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footer94.xml" ContentType="application/vnd.openxmlformats-officedocument.wordprocessingml.footer+xml"/>
  <Override PartName="/word/header94.xml" ContentType="application/vnd.openxmlformats-officedocument.wordprocessingml.head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footer97.xml" ContentType="application/vnd.openxmlformats-officedocument.wordprocessingml.footer+xml"/>
  <Override PartName="/word/header97.xml" ContentType="application/vnd.openxmlformats-officedocument.wordprocessingml.head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footer100.xml" ContentType="application/vnd.openxmlformats-officedocument.wordprocessingml.footer+xml"/>
  <Override PartName="/word/header100.xml" ContentType="application/vnd.openxmlformats-officedocument.wordprocessingml.head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footer103.xml" ContentType="application/vnd.openxmlformats-officedocument.wordprocessingml.footer+xml"/>
  <Override PartName="/word/header103.xml" ContentType="application/vnd.openxmlformats-officedocument.wordprocessingml.header+xml"/>
  <Override PartName="/word/footer10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FDAA41" w14:textId="1A584570" w:rsidR="00046465" w:rsidRDefault="002F57B9">
      <w:pPr>
        <w:spacing w:line="504" w:lineRule="exact"/>
        <w:ind w:left="57"/>
        <w:rPr>
          <w:rFonts w:ascii="Candara"/>
          <w:b/>
          <w:sz w:val="44"/>
        </w:rPr>
      </w:pPr>
      <w:r>
        <w:rPr>
          <w:noProof/>
        </w:rPr>
        <w:drawing>
          <wp:anchor distT="0" distB="0" distL="114300" distR="114300" simplePos="0" relativeHeight="487745536" behindDoc="0" locked="0" layoutInCell="1" allowOverlap="1" wp14:anchorId="28A40B99" wp14:editId="5EBE6B1F">
            <wp:simplePos x="0" y="0"/>
            <wp:positionH relativeFrom="column">
              <wp:posOffset>-362415</wp:posOffset>
            </wp:positionH>
            <wp:positionV relativeFrom="paragraph">
              <wp:posOffset>-491584</wp:posOffset>
            </wp:positionV>
            <wp:extent cx="7143327" cy="9556595"/>
            <wp:effectExtent l="0" t="0" r="635" b="6985"/>
            <wp:wrapNone/>
            <wp:docPr id="245935193" name="Picture 1"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35193" name="Picture 1" descr="Background pattern&#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7154151" cy="9571076"/>
                    </a:xfrm>
                    <a:prstGeom prst="rect">
                      <a:avLst/>
                    </a:prstGeom>
                  </pic:spPr>
                </pic:pic>
              </a:graphicData>
            </a:graphic>
            <wp14:sizeRelH relativeFrom="page">
              <wp14:pctWidth>0</wp14:pctWidth>
            </wp14:sizeRelH>
            <wp14:sizeRelV relativeFrom="page">
              <wp14:pctHeight>0</wp14:pctHeight>
            </wp14:sizeRelV>
          </wp:anchor>
        </w:drawing>
      </w:r>
      <w:r w:rsidR="008134EB">
        <w:rPr>
          <w:rFonts w:ascii="Candara"/>
          <w:b/>
          <w:color w:val="FFFFFF"/>
          <w:sz w:val="44"/>
        </w:rPr>
        <w:t>Volume</w:t>
      </w:r>
      <w:r w:rsidR="008134EB">
        <w:rPr>
          <w:rFonts w:ascii="Candara"/>
          <w:b/>
          <w:color w:val="FFFFFF"/>
          <w:spacing w:val="-9"/>
          <w:sz w:val="44"/>
        </w:rPr>
        <w:t xml:space="preserve"> </w:t>
      </w:r>
      <w:r w:rsidR="008134EB">
        <w:rPr>
          <w:rFonts w:ascii="Candara"/>
          <w:b/>
          <w:color w:val="FFFFFF"/>
          <w:spacing w:val="-10"/>
          <w:sz w:val="44"/>
        </w:rPr>
        <w:t>2</w:t>
      </w:r>
    </w:p>
    <w:p w14:paraId="0DFDAA42" w14:textId="77777777" w:rsidR="00046465" w:rsidRDefault="008134EB">
      <w:pPr>
        <w:spacing w:before="2"/>
        <w:ind w:left="57"/>
        <w:rPr>
          <w:rFonts w:ascii="Candara"/>
          <w:b/>
          <w:sz w:val="44"/>
        </w:rPr>
      </w:pPr>
      <w:r>
        <w:rPr>
          <w:rFonts w:ascii="Candara"/>
          <w:b/>
          <w:color w:val="FFFFFF"/>
          <w:sz w:val="44"/>
        </w:rPr>
        <w:t>June</w:t>
      </w:r>
      <w:r>
        <w:rPr>
          <w:rFonts w:ascii="Candara"/>
          <w:b/>
          <w:color w:val="FFFFFF"/>
          <w:spacing w:val="-5"/>
          <w:sz w:val="44"/>
        </w:rPr>
        <w:t xml:space="preserve"> </w:t>
      </w:r>
      <w:r>
        <w:rPr>
          <w:rFonts w:ascii="Candara"/>
          <w:b/>
          <w:color w:val="FFFFFF"/>
          <w:spacing w:val="-4"/>
          <w:sz w:val="44"/>
        </w:rPr>
        <w:t>2026</w:t>
      </w:r>
    </w:p>
    <w:p w14:paraId="0DFDAA43" w14:textId="77777777" w:rsidR="00046465" w:rsidRDefault="00046465">
      <w:pPr>
        <w:pStyle w:val="BodyText"/>
        <w:rPr>
          <w:rFonts w:ascii="Candara"/>
          <w:b/>
          <w:sz w:val="20"/>
        </w:rPr>
      </w:pPr>
    </w:p>
    <w:p w14:paraId="0DFDAA44" w14:textId="77777777" w:rsidR="00046465" w:rsidRDefault="00046465">
      <w:pPr>
        <w:pStyle w:val="BodyText"/>
        <w:rPr>
          <w:rFonts w:ascii="Candara"/>
          <w:b/>
          <w:sz w:val="20"/>
        </w:rPr>
      </w:pPr>
    </w:p>
    <w:p w14:paraId="0DFDAA45" w14:textId="77777777" w:rsidR="00046465" w:rsidRDefault="00046465">
      <w:pPr>
        <w:pStyle w:val="BodyText"/>
        <w:rPr>
          <w:rFonts w:ascii="Candara"/>
          <w:b/>
          <w:sz w:val="20"/>
        </w:rPr>
      </w:pPr>
    </w:p>
    <w:p w14:paraId="0DFDAA46" w14:textId="77777777" w:rsidR="00046465" w:rsidRDefault="00046465">
      <w:pPr>
        <w:pStyle w:val="BodyText"/>
        <w:rPr>
          <w:rFonts w:ascii="Candara"/>
          <w:b/>
          <w:sz w:val="20"/>
        </w:rPr>
      </w:pPr>
    </w:p>
    <w:p w14:paraId="0DFDAA47" w14:textId="77777777" w:rsidR="00046465" w:rsidRDefault="00046465">
      <w:pPr>
        <w:pStyle w:val="BodyText"/>
        <w:rPr>
          <w:rFonts w:ascii="Candara"/>
          <w:b/>
          <w:sz w:val="20"/>
        </w:rPr>
      </w:pPr>
    </w:p>
    <w:p w14:paraId="0DFDAA48" w14:textId="77777777" w:rsidR="00046465" w:rsidRDefault="00046465">
      <w:pPr>
        <w:pStyle w:val="BodyText"/>
        <w:rPr>
          <w:rFonts w:ascii="Candara"/>
          <w:b/>
          <w:sz w:val="20"/>
        </w:rPr>
      </w:pPr>
    </w:p>
    <w:p w14:paraId="0DFDAA49" w14:textId="77777777" w:rsidR="00046465" w:rsidRDefault="00046465">
      <w:pPr>
        <w:pStyle w:val="BodyText"/>
        <w:rPr>
          <w:rFonts w:ascii="Candara"/>
          <w:b/>
          <w:sz w:val="20"/>
        </w:rPr>
      </w:pPr>
    </w:p>
    <w:p w14:paraId="0DFDAA4A" w14:textId="77777777" w:rsidR="00046465" w:rsidRDefault="00046465">
      <w:pPr>
        <w:pStyle w:val="BodyText"/>
        <w:rPr>
          <w:rFonts w:ascii="Candara"/>
          <w:b/>
          <w:sz w:val="20"/>
        </w:rPr>
      </w:pPr>
    </w:p>
    <w:p w14:paraId="0DFDAA4B" w14:textId="77777777" w:rsidR="00046465" w:rsidRDefault="00046465">
      <w:pPr>
        <w:pStyle w:val="BodyText"/>
        <w:rPr>
          <w:rFonts w:ascii="Candara"/>
          <w:b/>
          <w:sz w:val="20"/>
        </w:rPr>
      </w:pPr>
    </w:p>
    <w:p w14:paraId="0DFDAA4C" w14:textId="77777777" w:rsidR="00046465" w:rsidRDefault="00046465">
      <w:pPr>
        <w:pStyle w:val="BodyText"/>
        <w:rPr>
          <w:rFonts w:ascii="Candara"/>
          <w:b/>
          <w:sz w:val="20"/>
        </w:rPr>
      </w:pPr>
    </w:p>
    <w:p w14:paraId="0DFDAA4D" w14:textId="77777777" w:rsidR="00046465" w:rsidRDefault="00046465">
      <w:pPr>
        <w:pStyle w:val="BodyText"/>
        <w:rPr>
          <w:rFonts w:ascii="Candara"/>
          <w:b/>
          <w:sz w:val="20"/>
        </w:rPr>
      </w:pPr>
    </w:p>
    <w:p w14:paraId="0DFDAA4E" w14:textId="77777777" w:rsidR="00046465" w:rsidRDefault="00046465">
      <w:pPr>
        <w:pStyle w:val="BodyText"/>
        <w:rPr>
          <w:rFonts w:ascii="Candara"/>
          <w:b/>
          <w:sz w:val="20"/>
        </w:rPr>
      </w:pPr>
    </w:p>
    <w:p w14:paraId="0DFDAA4F" w14:textId="77777777" w:rsidR="00046465" w:rsidRDefault="00046465">
      <w:pPr>
        <w:pStyle w:val="BodyText"/>
        <w:rPr>
          <w:rFonts w:ascii="Candara"/>
          <w:b/>
          <w:sz w:val="20"/>
        </w:rPr>
      </w:pPr>
    </w:p>
    <w:p w14:paraId="0DFDAA50" w14:textId="77777777" w:rsidR="00046465" w:rsidRDefault="00046465">
      <w:pPr>
        <w:pStyle w:val="BodyText"/>
        <w:rPr>
          <w:rFonts w:ascii="Candara"/>
          <w:b/>
          <w:sz w:val="20"/>
        </w:rPr>
      </w:pPr>
    </w:p>
    <w:p w14:paraId="0DFDAA51" w14:textId="77777777" w:rsidR="00046465" w:rsidRDefault="00046465">
      <w:pPr>
        <w:pStyle w:val="BodyText"/>
        <w:rPr>
          <w:rFonts w:ascii="Candara"/>
          <w:b/>
          <w:sz w:val="20"/>
        </w:rPr>
      </w:pPr>
    </w:p>
    <w:p w14:paraId="0DFDAA52" w14:textId="77777777" w:rsidR="00046465" w:rsidRDefault="00046465">
      <w:pPr>
        <w:pStyle w:val="BodyText"/>
        <w:rPr>
          <w:rFonts w:ascii="Candara"/>
          <w:b/>
          <w:sz w:val="20"/>
        </w:rPr>
      </w:pPr>
    </w:p>
    <w:p w14:paraId="0DFDAA53" w14:textId="77777777" w:rsidR="00046465" w:rsidRDefault="00046465">
      <w:pPr>
        <w:pStyle w:val="BodyText"/>
        <w:rPr>
          <w:rFonts w:ascii="Candara"/>
          <w:b/>
          <w:sz w:val="20"/>
        </w:rPr>
      </w:pPr>
    </w:p>
    <w:p w14:paraId="0DFDAA54" w14:textId="77777777" w:rsidR="00046465" w:rsidRDefault="00046465">
      <w:pPr>
        <w:pStyle w:val="BodyText"/>
        <w:rPr>
          <w:rFonts w:ascii="Candara"/>
          <w:b/>
          <w:sz w:val="20"/>
        </w:rPr>
      </w:pPr>
    </w:p>
    <w:p w14:paraId="0DFDAA55" w14:textId="77777777" w:rsidR="00046465" w:rsidRDefault="00046465">
      <w:pPr>
        <w:pStyle w:val="BodyText"/>
        <w:rPr>
          <w:rFonts w:ascii="Candara"/>
          <w:b/>
          <w:sz w:val="20"/>
        </w:rPr>
      </w:pPr>
    </w:p>
    <w:p w14:paraId="0DFDAA56" w14:textId="4790D56B" w:rsidR="00046465" w:rsidRDefault="00046465">
      <w:pPr>
        <w:pStyle w:val="BodyText"/>
        <w:rPr>
          <w:rFonts w:ascii="Candara"/>
          <w:b/>
          <w:sz w:val="20"/>
        </w:rPr>
      </w:pPr>
    </w:p>
    <w:p w14:paraId="0DFDAA57" w14:textId="77777777" w:rsidR="00046465" w:rsidRDefault="00046465">
      <w:pPr>
        <w:pStyle w:val="BodyText"/>
        <w:rPr>
          <w:rFonts w:ascii="Candara"/>
          <w:b/>
          <w:sz w:val="20"/>
        </w:rPr>
      </w:pPr>
    </w:p>
    <w:p w14:paraId="0DFDAA58" w14:textId="575EE955" w:rsidR="00046465" w:rsidRDefault="00046465">
      <w:pPr>
        <w:pStyle w:val="BodyText"/>
        <w:rPr>
          <w:rFonts w:ascii="Candara"/>
          <w:b/>
          <w:sz w:val="20"/>
        </w:rPr>
      </w:pPr>
    </w:p>
    <w:p w14:paraId="0DFDAA59" w14:textId="77777777" w:rsidR="00046465" w:rsidRDefault="00046465">
      <w:pPr>
        <w:pStyle w:val="BodyText"/>
        <w:rPr>
          <w:rFonts w:ascii="Candara"/>
          <w:b/>
          <w:sz w:val="20"/>
        </w:rPr>
      </w:pPr>
    </w:p>
    <w:p w14:paraId="0DFDAA5A" w14:textId="77777777" w:rsidR="00046465" w:rsidRDefault="00046465">
      <w:pPr>
        <w:pStyle w:val="BodyText"/>
        <w:rPr>
          <w:rFonts w:ascii="Candara"/>
          <w:b/>
          <w:sz w:val="20"/>
        </w:rPr>
      </w:pPr>
    </w:p>
    <w:p w14:paraId="0DFDAA5B" w14:textId="77777777" w:rsidR="00046465" w:rsidRDefault="00046465">
      <w:pPr>
        <w:pStyle w:val="BodyText"/>
        <w:rPr>
          <w:rFonts w:ascii="Candara"/>
          <w:b/>
          <w:sz w:val="20"/>
        </w:rPr>
      </w:pPr>
    </w:p>
    <w:p w14:paraId="0DFDAA5C" w14:textId="77777777" w:rsidR="00046465" w:rsidRDefault="00046465">
      <w:pPr>
        <w:pStyle w:val="BodyText"/>
        <w:rPr>
          <w:rFonts w:ascii="Candara"/>
          <w:b/>
          <w:sz w:val="20"/>
        </w:rPr>
      </w:pPr>
    </w:p>
    <w:p w14:paraId="0DFDAA5D" w14:textId="77777777" w:rsidR="00046465" w:rsidRDefault="00046465">
      <w:pPr>
        <w:pStyle w:val="BodyText"/>
        <w:rPr>
          <w:rFonts w:ascii="Candara"/>
          <w:b/>
          <w:sz w:val="20"/>
        </w:rPr>
      </w:pPr>
    </w:p>
    <w:p w14:paraId="0DFDAA5E" w14:textId="77777777" w:rsidR="00046465" w:rsidRDefault="00046465">
      <w:pPr>
        <w:pStyle w:val="BodyText"/>
        <w:rPr>
          <w:rFonts w:ascii="Candara"/>
          <w:b/>
          <w:sz w:val="20"/>
        </w:rPr>
      </w:pPr>
    </w:p>
    <w:p w14:paraId="0DFDAA5F" w14:textId="77777777" w:rsidR="00046465" w:rsidRDefault="00046465">
      <w:pPr>
        <w:pStyle w:val="BodyText"/>
        <w:rPr>
          <w:rFonts w:ascii="Candara"/>
          <w:b/>
          <w:sz w:val="20"/>
        </w:rPr>
      </w:pPr>
    </w:p>
    <w:p w14:paraId="0DFDAA60" w14:textId="77777777" w:rsidR="00046465" w:rsidRDefault="00046465">
      <w:pPr>
        <w:pStyle w:val="BodyText"/>
        <w:rPr>
          <w:rFonts w:ascii="Candara"/>
          <w:b/>
          <w:sz w:val="20"/>
        </w:rPr>
      </w:pPr>
    </w:p>
    <w:p w14:paraId="0DFDAA61" w14:textId="77777777" w:rsidR="00046465" w:rsidRDefault="00046465">
      <w:pPr>
        <w:pStyle w:val="BodyText"/>
        <w:rPr>
          <w:rFonts w:ascii="Candara"/>
          <w:b/>
          <w:sz w:val="20"/>
        </w:rPr>
      </w:pPr>
    </w:p>
    <w:p w14:paraId="0DFDAA62" w14:textId="77777777" w:rsidR="00046465" w:rsidRDefault="00046465">
      <w:pPr>
        <w:pStyle w:val="BodyText"/>
        <w:rPr>
          <w:rFonts w:ascii="Candara"/>
          <w:b/>
          <w:sz w:val="20"/>
        </w:rPr>
      </w:pPr>
    </w:p>
    <w:p w14:paraId="0DFDAA63" w14:textId="77777777" w:rsidR="00046465" w:rsidRDefault="00046465">
      <w:pPr>
        <w:pStyle w:val="BodyText"/>
        <w:rPr>
          <w:rFonts w:ascii="Candara"/>
          <w:b/>
          <w:sz w:val="20"/>
        </w:rPr>
      </w:pPr>
    </w:p>
    <w:p w14:paraId="0DFDAA64" w14:textId="77777777" w:rsidR="00046465" w:rsidRDefault="00046465">
      <w:pPr>
        <w:pStyle w:val="BodyText"/>
        <w:rPr>
          <w:rFonts w:ascii="Candara"/>
          <w:b/>
          <w:sz w:val="20"/>
        </w:rPr>
      </w:pPr>
    </w:p>
    <w:p w14:paraId="0DFDAA65" w14:textId="77777777" w:rsidR="00046465" w:rsidRDefault="00046465">
      <w:pPr>
        <w:pStyle w:val="BodyText"/>
        <w:rPr>
          <w:rFonts w:ascii="Candara"/>
          <w:b/>
          <w:sz w:val="20"/>
        </w:rPr>
      </w:pPr>
    </w:p>
    <w:p w14:paraId="0DFDAA66" w14:textId="77777777" w:rsidR="00046465" w:rsidRDefault="00046465">
      <w:pPr>
        <w:pStyle w:val="BodyText"/>
        <w:rPr>
          <w:rFonts w:ascii="Candara"/>
          <w:b/>
          <w:sz w:val="20"/>
        </w:rPr>
      </w:pPr>
    </w:p>
    <w:p w14:paraId="0DFDAA67" w14:textId="77777777" w:rsidR="00046465" w:rsidRDefault="00046465">
      <w:pPr>
        <w:pStyle w:val="BodyText"/>
        <w:rPr>
          <w:rFonts w:ascii="Candara"/>
          <w:b/>
          <w:sz w:val="20"/>
        </w:rPr>
      </w:pPr>
    </w:p>
    <w:p w14:paraId="0DFDAA68" w14:textId="77777777" w:rsidR="00046465" w:rsidRDefault="00046465">
      <w:pPr>
        <w:pStyle w:val="BodyText"/>
        <w:rPr>
          <w:rFonts w:ascii="Candara"/>
          <w:b/>
          <w:sz w:val="20"/>
        </w:rPr>
      </w:pPr>
    </w:p>
    <w:p w14:paraId="0DFDAA69" w14:textId="77777777" w:rsidR="00046465" w:rsidRDefault="00046465">
      <w:pPr>
        <w:pStyle w:val="BodyText"/>
        <w:rPr>
          <w:rFonts w:ascii="Candara"/>
          <w:b/>
          <w:sz w:val="20"/>
        </w:rPr>
      </w:pPr>
    </w:p>
    <w:p w14:paraId="0DFDAA6A" w14:textId="77777777" w:rsidR="00046465" w:rsidRDefault="00046465">
      <w:pPr>
        <w:pStyle w:val="BodyText"/>
        <w:rPr>
          <w:rFonts w:ascii="Candara"/>
          <w:b/>
          <w:sz w:val="20"/>
        </w:rPr>
      </w:pPr>
    </w:p>
    <w:p w14:paraId="0DFDAA6B" w14:textId="77777777" w:rsidR="00046465" w:rsidRDefault="00046465">
      <w:pPr>
        <w:pStyle w:val="BodyText"/>
        <w:rPr>
          <w:rFonts w:ascii="Candara"/>
          <w:b/>
          <w:sz w:val="20"/>
        </w:rPr>
      </w:pPr>
    </w:p>
    <w:p w14:paraId="0DFDAA6C" w14:textId="77777777" w:rsidR="00046465" w:rsidRDefault="00046465">
      <w:pPr>
        <w:pStyle w:val="BodyText"/>
        <w:rPr>
          <w:rFonts w:ascii="Candara"/>
          <w:b/>
          <w:sz w:val="20"/>
        </w:rPr>
      </w:pPr>
    </w:p>
    <w:p w14:paraId="0DFDAA6D" w14:textId="77777777" w:rsidR="00046465" w:rsidRDefault="00046465">
      <w:pPr>
        <w:pStyle w:val="BodyText"/>
        <w:rPr>
          <w:rFonts w:ascii="Candara"/>
          <w:b/>
          <w:sz w:val="20"/>
        </w:rPr>
      </w:pPr>
    </w:p>
    <w:p w14:paraId="0DFDAA6E" w14:textId="77777777" w:rsidR="00046465" w:rsidRDefault="00046465">
      <w:pPr>
        <w:pStyle w:val="BodyText"/>
        <w:spacing w:before="188"/>
        <w:rPr>
          <w:rFonts w:ascii="Candara"/>
          <w:b/>
          <w:sz w:val="20"/>
        </w:rPr>
      </w:pPr>
    </w:p>
    <w:p w14:paraId="0DFDAA6F" w14:textId="77777777" w:rsidR="00046465" w:rsidRDefault="00046465">
      <w:pPr>
        <w:pStyle w:val="BodyText"/>
        <w:rPr>
          <w:rFonts w:ascii="Candara"/>
          <w:b/>
          <w:sz w:val="20"/>
        </w:rPr>
        <w:sectPr w:rsidR="00046465">
          <w:type w:val="continuous"/>
          <w:pgSz w:w="12240" w:h="15840"/>
          <w:pgMar w:top="1020" w:right="720" w:bottom="280" w:left="1080" w:header="720" w:footer="720" w:gutter="0"/>
          <w:cols w:space="720"/>
        </w:sectPr>
      </w:pPr>
    </w:p>
    <w:p w14:paraId="0DFDAA70" w14:textId="6547BCAF" w:rsidR="00046465" w:rsidRDefault="008134EB">
      <w:pPr>
        <w:spacing w:before="387"/>
        <w:ind w:left="60"/>
        <w:rPr>
          <w:rFonts w:ascii="Candara"/>
          <w:b/>
          <w:sz w:val="32"/>
        </w:rPr>
      </w:pPr>
      <w:r>
        <w:rPr>
          <w:rFonts w:ascii="Candara"/>
          <w:b/>
          <w:color w:val="FFFFFF"/>
          <w:spacing w:val="-2"/>
          <w:sz w:val="32"/>
        </w:rPr>
        <w:t>GAO-26-107706</w:t>
      </w:r>
    </w:p>
    <w:p w14:paraId="0DFDAA71" w14:textId="77777777" w:rsidR="00046465" w:rsidRDefault="008134EB">
      <w:pPr>
        <w:spacing w:before="118" w:line="208" w:lineRule="auto"/>
        <w:ind w:left="60" w:right="319" w:firstLine="12"/>
        <w:rPr>
          <w:rFonts w:ascii="Palatino Linotype"/>
          <w:b/>
          <w:sz w:val="16"/>
        </w:rPr>
      </w:pPr>
      <w:r>
        <w:br w:type="column"/>
      </w:r>
      <w:r>
        <w:rPr>
          <w:rFonts w:ascii="Palatino Linotype"/>
          <w:b/>
          <w:color w:val="FFFFFF"/>
          <w:sz w:val="16"/>
        </w:rPr>
        <w:t>COUNCIL</w:t>
      </w:r>
      <w:r>
        <w:rPr>
          <w:rFonts w:ascii="Palatino Linotype"/>
          <w:b/>
          <w:color w:val="FFFFFF"/>
          <w:spacing w:val="33"/>
          <w:sz w:val="16"/>
        </w:rPr>
        <w:t xml:space="preserve"> </w:t>
      </w:r>
      <w:r>
        <w:rPr>
          <w:rFonts w:ascii="Palatino Linotype"/>
          <w:b/>
          <w:color w:val="FFFFFF"/>
          <w:sz w:val="16"/>
        </w:rPr>
        <w:t>OF</w:t>
      </w:r>
      <w:r>
        <w:rPr>
          <w:rFonts w:ascii="Palatino Linotype"/>
          <w:b/>
          <w:color w:val="FFFFFF"/>
          <w:spacing w:val="32"/>
          <w:sz w:val="16"/>
        </w:rPr>
        <w:t xml:space="preserve"> </w:t>
      </w:r>
      <w:r>
        <w:rPr>
          <w:rFonts w:ascii="Palatino Linotype"/>
          <w:b/>
          <w:color w:val="FFFFFF"/>
          <w:sz w:val="16"/>
        </w:rPr>
        <w:t>THE</w:t>
      </w:r>
      <w:r>
        <w:rPr>
          <w:rFonts w:ascii="Palatino Linotype"/>
          <w:b/>
          <w:color w:val="FFFFFF"/>
          <w:spacing w:val="33"/>
          <w:sz w:val="16"/>
        </w:rPr>
        <w:t xml:space="preserve"> </w:t>
      </w:r>
      <w:r>
        <w:rPr>
          <w:rFonts w:ascii="Palatino Linotype"/>
          <w:b/>
          <w:color w:val="FFFFFF"/>
          <w:sz w:val="16"/>
        </w:rPr>
        <w:t>INSPECTORS</w:t>
      </w:r>
      <w:r>
        <w:rPr>
          <w:rFonts w:ascii="Palatino Linotype"/>
          <w:b/>
          <w:color w:val="FFFFFF"/>
          <w:spacing w:val="32"/>
          <w:sz w:val="16"/>
        </w:rPr>
        <w:t xml:space="preserve"> </w:t>
      </w:r>
      <w:r>
        <w:rPr>
          <w:rFonts w:ascii="Palatino Linotype"/>
          <w:b/>
          <w:color w:val="FFFFFF"/>
          <w:sz w:val="16"/>
        </w:rPr>
        <w:t>GENERAL</w:t>
      </w:r>
      <w:r>
        <w:rPr>
          <w:rFonts w:ascii="Palatino Linotype"/>
          <w:b/>
          <w:color w:val="FFFFFF"/>
          <w:spacing w:val="40"/>
          <w:sz w:val="16"/>
        </w:rPr>
        <w:t xml:space="preserve"> </w:t>
      </w:r>
      <w:r>
        <w:rPr>
          <w:rFonts w:ascii="Palatino Linotype"/>
          <w:b/>
          <w:color w:val="FFFFFF"/>
          <w:sz w:val="16"/>
        </w:rPr>
        <w:t>ON</w:t>
      </w:r>
      <w:r>
        <w:rPr>
          <w:rFonts w:ascii="Palatino Linotype"/>
          <w:b/>
          <w:color w:val="FFFFFF"/>
          <w:spacing w:val="40"/>
          <w:sz w:val="16"/>
        </w:rPr>
        <w:t xml:space="preserve"> </w:t>
      </w:r>
      <w:r>
        <w:rPr>
          <w:rFonts w:ascii="Palatino Linotype"/>
          <w:b/>
          <w:color w:val="FFFFFF"/>
          <w:sz w:val="16"/>
        </w:rPr>
        <w:t>INTEGRITY</w:t>
      </w:r>
      <w:r>
        <w:rPr>
          <w:rFonts w:ascii="Palatino Linotype"/>
          <w:b/>
          <w:color w:val="FFFFFF"/>
          <w:spacing w:val="40"/>
          <w:sz w:val="16"/>
        </w:rPr>
        <w:t xml:space="preserve"> </w:t>
      </w:r>
      <w:r>
        <w:rPr>
          <w:rFonts w:ascii="Palatino Linotype"/>
          <w:b/>
          <w:color w:val="FFFFFF"/>
          <w:sz w:val="16"/>
        </w:rPr>
        <w:t>AND</w:t>
      </w:r>
      <w:r>
        <w:rPr>
          <w:rFonts w:ascii="Palatino Linotype"/>
          <w:b/>
          <w:color w:val="FFFFFF"/>
          <w:spacing w:val="40"/>
          <w:sz w:val="16"/>
        </w:rPr>
        <w:t xml:space="preserve"> </w:t>
      </w:r>
      <w:r>
        <w:rPr>
          <w:rFonts w:ascii="Palatino Linotype"/>
          <w:b/>
          <w:color w:val="FFFFFF"/>
          <w:spacing w:val="10"/>
          <w:sz w:val="16"/>
        </w:rPr>
        <w:t>EFFICIENCY</w:t>
      </w:r>
    </w:p>
    <w:p w14:paraId="0DFDAA72" w14:textId="77777777" w:rsidR="00046465" w:rsidRDefault="00046465">
      <w:pPr>
        <w:spacing w:line="208" w:lineRule="auto"/>
        <w:rPr>
          <w:rFonts w:ascii="Palatino Linotype"/>
          <w:b/>
          <w:sz w:val="16"/>
        </w:rPr>
        <w:sectPr w:rsidR="00046465">
          <w:type w:val="continuous"/>
          <w:pgSz w:w="12240" w:h="15840"/>
          <w:pgMar w:top="1020" w:right="720" w:bottom="280" w:left="1080" w:header="720" w:footer="720" w:gutter="0"/>
          <w:cols w:num="2" w:space="720" w:equalWidth="0">
            <w:col w:w="2084" w:space="4439"/>
            <w:col w:w="3917"/>
          </w:cols>
        </w:sectPr>
      </w:pPr>
    </w:p>
    <w:p w14:paraId="0DFDAA73" w14:textId="08055E31" w:rsidR="00046465" w:rsidRDefault="008134EB">
      <w:pPr>
        <w:ind w:left="360"/>
        <w:rPr>
          <w:rFonts w:ascii="Palatino Linotype"/>
          <w:sz w:val="20"/>
        </w:rPr>
      </w:pPr>
      <w:r>
        <w:rPr>
          <w:rFonts w:ascii="Palatino Linotype"/>
          <w:noProof/>
          <w:position w:val="16"/>
          <w:sz w:val="20"/>
        </w:rPr>
        <w:lastRenderedPageBreak/>
        <w:drawing>
          <wp:inline distT="0" distB="0" distL="0" distR="0" wp14:anchorId="0DFDD513" wp14:editId="51B7CA48">
            <wp:extent cx="3168395" cy="320611"/>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8" cstate="print"/>
                    <a:stretch>
                      <a:fillRect/>
                    </a:stretch>
                  </pic:blipFill>
                  <pic:spPr>
                    <a:xfrm>
                      <a:off x="0" y="0"/>
                      <a:ext cx="3168395" cy="320611"/>
                    </a:xfrm>
                    <a:prstGeom prst="rect">
                      <a:avLst/>
                    </a:prstGeom>
                  </pic:spPr>
                </pic:pic>
              </a:graphicData>
            </a:graphic>
          </wp:inline>
        </w:drawing>
      </w:r>
      <w:r>
        <w:rPr>
          <w:rFonts w:ascii="Times New Roman"/>
          <w:spacing w:val="135"/>
          <w:position w:val="16"/>
          <w:sz w:val="20"/>
        </w:rPr>
        <w:t xml:space="preserve"> </w:t>
      </w:r>
      <w:r>
        <w:rPr>
          <w:rFonts w:ascii="Palatino Linotype"/>
          <w:noProof/>
          <w:spacing w:val="135"/>
          <w:sz w:val="20"/>
        </w:rPr>
        <w:drawing>
          <wp:inline distT="0" distB="0" distL="0" distR="0" wp14:anchorId="0DFDD515" wp14:editId="0DFDD516">
            <wp:extent cx="2718161" cy="48291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9" cstate="print"/>
                    <a:stretch>
                      <a:fillRect/>
                    </a:stretch>
                  </pic:blipFill>
                  <pic:spPr>
                    <a:xfrm>
                      <a:off x="0" y="0"/>
                      <a:ext cx="2718161" cy="482917"/>
                    </a:xfrm>
                    <a:prstGeom prst="rect">
                      <a:avLst/>
                    </a:prstGeom>
                  </pic:spPr>
                </pic:pic>
              </a:graphicData>
            </a:graphic>
          </wp:inline>
        </w:drawing>
      </w:r>
    </w:p>
    <w:p w14:paraId="0DFDAA74" w14:textId="77777777" w:rsidR="00046465" w:rsidRDefault="008134EB">
      <w:pPr>
        <w:pStyle w:val="BodyText"/>
        <w:spacing w:before="9"/>
        <w:rPr>
          <w:rFonts w:ascii="Palatino Linotype"/>
          <w:b/>
          <w:sz w:val="4"/>
        </w:rPr>
      </w:pPr>
      <w:r>
        <w:rPr>
          <w:rFonts w:ascii="Palatino Linotype"/>
          <w:b/>
          <w:noProof/>
          <w:sz w:val="4"/>
        </w:rPr>
        <mc:AlternateContent>
          <mc:Choice Requires="wps">
            <w:drawing>
              <wp:anchor distT="0" distB="0" distL="0" distR="0" simplePos="0" relativeHeight="487588864" behindDoc="1" locked="0" layoutInCell="1" allowOverlap="1" wp14:anchorId="0DFDD517" wp14:editId="0DFDD518">
                <wp:simplePos x="0" y="0"/>
                <wp:positionH relativeFrom="page">
                  <wp:posOffset>920113</wp:posOffset>
                </wp:positionH>
                <wp:positionV relativeFrom="paragraph">
                  <wp:posOffset>55243</wp:posOffset>
                </wp:positionV>
                <wp:extent cx="6000750" cy="127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1270"/>
                        </a:xfrm>
                        <a:custGeom>
                          <a:avLst/>
                          <a:gdLst/>
                          <a:ahLst/>
                          <a:cxnLst/>
                          <a:rect l="l" t="t" r="r" b="b"/>
                          <a:pathLst>
                            <a:path w="6000750">
                              <a:moveTo>
                                <a:pt x="0" y="0"/>
                              </a:moveTo>
                              <a:lnTo>
                                <a:pt x="600075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58599D" id="Graphic 26" o:spid="_x0000_s1026" style="position:absolute;margin-left:72.45pt;margin-top:4.35pt;width:472.5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0007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" path="m,l6000750,e" filled="f" strokeweight="1pt">
                <v:path arrowok="t"/>
                <w10:wrap type="topAndBottom" anchorx="page"/>
              </v:shape>
            </w:pict>
          </mc:Fallback>
        </mc:AlternateContent>
      </w:r>
    </w:p>
    <w:p w14:paraId="0DFDAA75" w14:textId="19CC500D" w:rsidR="00046465" w:rsidRDefault="00046465">
      <w:pPr>
        <w:pStyle w:val="BodyText"/>
        <w:rPr>
          <w:rFonts w:ascii="Palatino Linotype"/>
          <w:b/>
        </w:rPr>
      </w:pPr>
    </w:p>
    <w:p w14:paraId="0DFDAA8A" w14:textId="0C8F7C36" w:rsidR="00046465" w:rsidRDefault="006125EB">
      <w:pPr>
        <w:pStyle w:val="BodyText"/>
        <w:rPr>
          <w:sz w:val="20"/>
        </w:rPr>
      </w:pPr>
      <w:r>
        <w:rPr>
          <w:noProof/>
        </w:rPr>
        <w:drawing>
          <wp:anchor distT="0" distB="0" distL="114300" distR="114300" simplePos="0" relativeHeight="487746560" behindDoc="0" locked="0" layoutInCell="1" allowOverlap="1" wp14:anchorId="7E235DF2" wp14:editId="54BE1386">
            <wp:simplePos x="0" y="0"/>
            <wp:positionH relativeFrom="column">
              <wp:posOffset>138910</wp:posOffset>
            </wp:positionH>
            <wp:positionV relativeFrom="paragraph">
              <wp:posOffset>83170</wp:posOffset>
            </wp:positionV>
            <wp:extent cx="6336333" cy="7956225"/>
            <wp:effectExtent l="0" t="0" r="7620" b="6985"/>
            <wp:wrapNone/>
            <wp:docPr id="1396324757" name="Picture 1" descr="Text,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324757" name="Picture 1" descr="Text, letter&#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6336333" cy="7956225"/>
                    </a:xfrm>
                    <a:prstGeom prst="rect">
                      <a:avLst/>
                    </a:prstGeom>
                  </pic:spPr>
                </pic:pic>
              </a:graphicData>
            </a:graphic>
            <wp14:sizeRelH relativeFrom="page">
              <wp14:pctWidth>0</wp14:pctWidth>
            </wp14:sizeRelH>
            <wp14:sizeRelV relativeFrom="page">
              <wp14:pctHeight>0</wp14:pctHeight>
            </wp14:sizeRelV>
          </wp:anchor>
        </w:drawing>
      </w:r>
    </w:p>
    <w:p w14:paraId="0DFDAA8B" w14:textId="6F64E419" w:rsidR="00046465" w:rsidRDefault="00046465">
      <w:pPr>
        <w:pStyle w:val="BodyText"/>
        <w:rPr>
          <w:sz w:val="20"/>
        </w:rPr>
      </w:pPr>
    </w:p>
    <w:p w14:paraId="0DFDAA8F" w14:textId="5D81F583" w:rsidR="00046465" w:rsidRDefault="00046465">
      <w:pPr>
        <w:spacing w:line="273" w:lineRule="auto"/>
        <w:rPr>
          <w:sz w:val="18"/>
        </w:rPr>
        <w:sectPr w:rsidR="00046465">
          <w:footerReference w:type="default" r:id="rId11"/>
          <w:pgSz w:w="12240" w:h="15840"/>
          <w:pgMar w:top="620" w:right="720" w:bottom="940" w:left="1080" w:header="0" w:footer="743" w:gutter="0"/>
          <w:pgNumType w:start="1"/>
          <w:cols w:space="720"/>
        </w:sectPr>
      </w:pPr>
    </w:p>
    <w:p w14:paraId="0DFDAA90" w14:textId="77777777" w:rsidR="00046465" w:rsidRDefault="00046465">
      <w:pPr>
        <w:pStyle w:val="BodyText"/>
        <w:spacing w:before="7"/>
        <w:rPr>
          <w:sz w:val="2"/>
        </w:rPr>
      </w:pPr>
    </w:p>
    <w:tbl>
      <w:tblPr>
        <w:tblW w:w="0" w:type="auto"/>
        <w:tblInd w:w="367" w:type="dxa"/>
        <w:tblLayout w:type="fixed"/>
        <w:tblCellMar>
          <w:left w:w="0" w:type="dxa"/>
          <w:right w:w="0" w:type="dxa"/>
        </w:tblCellMar>
        <w:tblLook w:val="01E0" w:firstRow="1" w:lastRow="1" w:firstColumn="1" w:lastColumn="1" w:noHBand="0" w:noVBand="0"/>
      </w:tblPr>
      <w:tblGrid>
        <w:gridCol w:w="2226"/>
        <w:gridCol w:w="7125"/>
      </w:tblGrid>
      <w:tr w:rsidR="00046465" w14:paraId="0DFDAA93" w14:textId="77777777">
        <w:trPr>
          <w:trHeight w:val="450"/>
        </w:trPr>
        <w:tc>
          <w:tcPr>
            <w:tcW w:w="2226" w:type="dxa"/>
            <w:tcBorders>
              <w:top w:val="single" w:sz="48" w:space="0" w:color="000000"/>
            </w:tcBorders>
          </w:tcPr>
          <w:p w14:paraId="0DFDAA91" w14:textId="77777777" w:rsidR="00046465" w:rsidRDefault="008134EB">
            <w:pPr>
              <w:pStyle w:val="TableParagraph"/>
              <w:spacing w:before="150"/>
              <w:ind w:left="108"/>
              <w:rPr>
                <w:b/>
                <w:sz w:val="20"/>
              </w:rPr>
            </w:pPr>
            <w:r>
              <w:rPr>
                <w:b/>
                <w:color w:val="3B639F"/>
                <w:spacing w:val="-5"/>
                <w:sz w:val="20"/>
              </w:rPr>
              <w:t>GAO</w:t>
            </w:r>
          </w:p>
        </w:tc>
        <w:tc>
          <w:tcPr>
            <w:tcW w:w="7125" w:type="dxa"/>
            <w:tcBorders>
              <w:top w:val="single" w:sz="48" w:space="0" w:color="000000"/>
            </w:tcBorders>
          </w:tcPr>
          <w:p w14:paraId="0DFDAA92" w14:textId="77777777" w:rsidR="00046465" w:rsidRDefault="008134EB">
            <w:pPr>
              <w:pStyle w:val="TableParagraph"/>
              <w:spacing w:before="173"/>
              <w:ind w:left="1571"/>
              <w:rPr>
                <w:b/>
                <w:sz w:val="18"/>
              </w:rPr>
            </w:pPr>
            <w:r>
              <w:rPr>
                <w:b/>
                <w:color w:val="3B639F"/>
                <w:sz w:val="18"/>
              </w:rPr>
              <w:t>Financial</w:t>
            </w:r>
            <w:r>
              <w:rPr>
                <w:b/>
                <w:color w:val="3B639F"/>
                <w:spacing w:val="-4"/>
                <w:sz w:val="18"/>
              </w:rPr>
              <w:t xml:space="preserve"> </w:t>
            </w:r>
            <w:r>
              <w:rPr>
                <w:b/>
                <w:color w:val="3B639F"/>
                <w:sz w:val="18"/>
              </w:rPr>
              <w:t>Management</w:t>
            </w:r>
            <w:r>
              <w:rPr>
                <w:b/>
                <w:color w:val="3B639F"/>
                <w:spacing w:val="-3"/>
                <w:sz w:val="18"/>
              </w:rPr>
              <w:t xml:space="preserve"> </w:t>
            </w:r>
            <w:r>
              <w:rPr>
                <w:b/>
                <w:color w:val="3B639F"/>
                <w:sz w:val="18"/>
              </w:rPr>
              <w:t>and</w:t>
            </w:r>
            <w:r>
              <w:rPr>
                <w:b/>
                <w:color w:val="3B639F"/>
                <w:spacing w:val="-3"/>
                <w:sz w:val="18"/>
              </w:rPr>
              <w:t xml:space="preserve"> </w:t>
            </w:r>
            <w:r>
              <w:rPr>
                <w:b/>
                <w:color w:val="3B639F"/>
                <w:spacing w:val="-2"/>
                <w:sz w:val="18"/>
              </w:rPr>
              <w:t>Assurance</w:t>
            </w:r>
          </w:p>
        </w:tc>
      </w:tr>
      <w:tr w:rsidR="00046465" w14:paraId="0DFDAA96" w14:textId="77777777">
        <w:trPr>
          <w:trHeight w:val="339"/>
        </w:trPr>
        <w:tc>
          <w:tcPr>
            <w:tcW w:w="2226" w:type="dxa"/>
          </w:tcPr>
          <w:p w14:paraId="0DFDAA94" w14:textId="77777777" w:rsidR="00046465" w:rsidRDefault="00046465">
            <w:pPr>
              <w:pStyle w:val="TableParagraph"/>
              <w:rPr>
                <w:rFonts w:ascii="Times New Roman"/>
                <w:sz w:val="18"/>
              </w:rPr>
            </w:pPr>
          </w:p>
        </w:tc>
        <w:tc>
          <w:tcPr>
            <w:tcW w:w="7125" w:type="dxa"/>
          </w:tcPr>
          <w:p w14:paraId="0DFDAA95" w14:textId="77777777" w:rsidR="00046465" w:rsidRDefault="008134EB">
            <w:pPr>
              <w:pStyle w:val="TableParagraph"/>
              <w:spacing w:before="63"/>
              <w:ind w:left="1571"/>
              <w:rPr>
                <w:sz w:val="18"/>
              </w:rPr>
            </w:pPr>
            <w:r>
              <w:rPr>
                <w:sz w:val="18"/>
              </w:rPr>
              <w:t>Dawn</w:t>
            </w:r>
            <w:r>
              <w:rPr>
                <w:spacing w:val="-6"/>
                <w:sz w:val="18"/>
              </w:rPr>
              <w:t xml:space="preserve"> </w:t>
            </w:r>
            <w:r>
              <w:rPr>
                <w:sz w:val="18"/>
              </w:rPr>
              <w:t>B.</w:t>
            </w:r>
            <w:r>
              <w:rPr>
                <w:spacing w:val="-3"/>
                <w:sz w:val="18"/>
              </w:rPr>
              <w:t xml:space="preserve"> </w:t>
            </w:r>
            <w:r>
              <w:rPr>
                <w:sz w:val="18"/>
              </w:rPr>
              <w:t>Simpson,</w:t>
            </w:r>
            <w:r>
              <w:rPr>
                <w:spacing w:val="-2"/>
                <w:sz w:val="18"/>
              </w:rPr>
              <w:t xml:space="preserve"> Director</w:t>
            </w:r>
          </w:p>
        </w:tc>
      </w:tr>
      <w:tr w:rsidR="00046465" w14:paraId="0DFDAA99" w14:textId="77777777">
        <w:trPr>
          <w:trHeight w:val="339"/>
        </w:trPr>
        <w:tc>
          <w:tcPr>
            <w:tcW w:w="2226" w:type="dxa"/>
          </w:tcPr>
          <w:p w14:paraId="0DFDAA97" w14:textId="77777777" w:rsidR="00046465" w:rsidRDefault="00046465">
            <w:pPr>
              <w:pStyle w:val="TableParagraph"/>
              <w:rPr>
                <w:rFonts w:ascii="Times New Roman"/>
                <w:sz w:val="18"/>
              </w:rPr>
            </w:pPr>
          </w:p>
        </w:tc>
        <w:tc>
          <w:tcPr>
            <w:tcW w:w="7125" w:type="dxa"/>
          </w:tcPr>
          <w:p w14:paraId="0DFDAA98" w14:textId="77777777" w:rsidR="00046465" w:rsidRDefault="008134EB">
            <w:pPr>
              <w:pStyle w:val="TableParagraph"/>
              <w:spacing w:before="63"/>
              <w:ind w:left="1571"/>
              <w:rPr>
                <w:sz w:val="18"/>
              </w:rPr>
            </w:pPr>
            <w:r>
              <w:rPr>
                <w:sz w:val="18"/>
              </w:rPr>
              <w:t>Nicole</w:t>
            </w:r>
            <w:r>
              <w:rPr>
                <w:spacing w:val="-5"/>
                <w:sz w:val="18"/>
              </w:rPr>
              <w:t xml:space="preserve"> </w:t>
            </w:r>
            <w:r>
              <w:rPr>
                <w:sz w:val="18"/>
              </w:rPr>
              <w:t>M.</w:t>
            </w:r>
            <w:r>
              <w:rPr>
                <w:spacing w:val="-3"/>
                <w:sz w:val="18"/>
              </w:rPr>
              <w:t xml:space="preserve"> </w:t>
            </w:r>
            <w:r>
              <w:rPr>
                <w:sz w:val="18"/>
              </w:rPr>
              <w:t>Burkart,</w:t>
            </w:r>
            <w:r>
              <w:rPr>
                <w:spacing w:val="-4"/>
                <w:sz w:val="18"/>
              </w:rPr>
              <w:t xml:space="preserve"> </w:t>
            </w:r>
            <w:r>
              <w:rPr>
                <w:sz w:val="18"/>
              </w:rPr>
              <w:t>Assistant</w:t>
            </w:r>
            <w:r>
              <w:rPr>
                <w:spacing w:val="-3"/>
                <w:sz w:val="18"/>
              </w:rPr>
              <w:t xml:space="preserve"> </w:t>
            </w:r>
            <w:r>
              <w:rPr>
                <w:spacing w:val="-2"/>
                <w:sz w:val="18"/>
              </w:rPr>
              <w:t>Director</w:t>
            </w:r>
          </w:p>
        </w:tc>
      </w:tr>
      <w:tr w:rsidR="00046465" w14:paraId="0DFDAA9D" w14:textId="77777777">
        <w:trPr>
          <w:trHeight w:val="660"/>
        </w:trPr>
        <w:tc>
          <w:tcPr>
            <w:tcW w:w="2226" w:type="dxa"/>
          </w:tcPr>
          <w:p w14:paraId="0DFDAA9A" w14:textId="77777777" w:rsidR="00046465" w:rsidRDefault="00046465">
            <w:pPr>
              <w:pStyle w:val="TableParagraph"/>
              <w:rPr>
                <w:rFonts w:ascii="Times New Roman"/>
                <w:sz w:val="18"/>
              </w:rPr>
            </w:pPr>
          </w:p>
        </w:tc>
        <w:tc>
          <w:tcPr>
            <w:tcW w:w="7125" w:type="dxa"/>
          </w:tcPr>
          <w:p w14:paraId="0DFDAA9B" w14:textId="77777777" w:rsidR="00046465" w:rsidRDefault="008134EB">
            <w:pPr>
              <w:pStyle w:val="TableParagraph"/>
              <w:spacing w:before="63"/>
              <w:ind w:left="1571"/>
              <w:rPr>
                <w:sz w:val="18"/>
              </w:rPr>
            </w:pPr>
            <w:r>
              <w:rPr>
                <w:sz w:val="18"/>
              </w:rPr>
              <w:t>Lee</w:t>
            </w:r>
            <w:r>
              <w:rPr>
                <w:spacing w:val="-5"/>
                <w:sz w:val="18"/>
              </w:rPr>
              <w:t xml:space="preserve"> </w:t>
            </w:r>
            <w:r>
              <w:rPr>
                <w:sz w:val="18"/>
              </w:rPr>
              <w:t>Evans,</w:t>
            </w:r>
            <w:r>
              <w:rPr>
                <w:spacing w:val="-4"/>
                <w:sz w:val="18"/>
              </w:rPr>
              <w:t xml:space="preserve"> </w:t>
            </w:r>
            <w:r>
              <w:rPr>
                <w:sz w:val="18"/>
              </w:rPr>
              <w:t>Assistant</w:t>
            </w:r>
            <w:r>
              <w:rPr>
                <w:spacing w:val="-3"/>
                <w:sz w:val="18"/>
              </w:rPr>
              <w:t xml:space="preserve"> </w:t>
            </w:r>
            <w:r>
              <w:rPr>
                <w:spacing w:val="-2"/>
                <w:sz w:val="18"/>
              </w:rPr>
              <w:t>Director</w:t>
            </w:r>
          </w:p>
          <w:p w14:paraId="0DFDAA9C" w14:textId="77777777" w:rsidR="00046465" w:rsidRDefault="008134EB">
            <w:pPr>
              <w:pStyle w:val="TableParagraph"/>
              <w:spacing w:before="114"/>
              <w:ind w:left="1571"/>
              <w:rPr>
                <w:sz w:val="18"/>
              </w:rPr>
            </w:pPr>
            <w:r>
              <w:rPr>
                <w:sz w:val="18"/>
              </w:rPr>
              <w:t>Lien</w:t>
            </w:r>
            <w:r>
              <w:rPr>
                <w:spacing w:val="-5"/>
                <w:sz w:val="18"/>
              </w:rPr>
              <w:t xml:space="preserve"> </w:t>
            </w:r>
            <w:r>
              <w:rPr>
                <w:sz w:val="18"/>
              </w:rPr>
              <w:t>T.</w:t>
            </w:r>
            <w:r>
              <w:rPr>
                <w:spacing w:val="-2"/>
                <w:sz w:val="18"/>
              </w:rPr>
              <w:t xml:space="preserve"> </w:t>
            </w:r>
            <w:r>
              <w:rPr>
                <w:sz w:val="18"/>
              </w:rPr>
              <w:t>To,</w:t>
            </w:r>
            <w:r>
              <w:rPr>
                <w:spacing w:val="-2"/>
                <w:sz w:val="18"/>
              </w:rPr>
              <w:t xml:space="preserve"> </w:t>
            </w:r>
            <w:r>
              <w:rPr>
                <w:sz w:val="18"/>
              </w:rPr>
              <w:t>Auditor</w:t>
            </w:r>
            <w:r>
              <w:rPr>
                <w:spacing w:val="-2"/>
                <w:sz w:val="18"/>
              </w:rPr>
              <w:t xml:space="preserve"> </w:t>
            </w:r>
            <w:r>
              <w:rPr>
                <w:sz w:val="18"/>
              </w:rPr>
              <w:t>in</w:t>
            </w:r>
            <w:r>
              <w:rPr>
                <w:spacing w:val="-2"/>
                <w:sz w:val="18"/>
              </w:rPr>
              <w:t xml:space="preserve"> Charge</w:t>
            </w:r>
          </w:p>
        </w:tc>
      </w:tr>
      <w:tr w:rsidR="00046465" w14:paraId="0DFDAAA0" w14:textId="77777777">
        <w:trPr>
          <w:trHeight w:val="390"/>
        </w:trPr>
        <w:tc>
          <w:tcPr>
            <w:tcW w:w="2226" w:type="dxa"/>
          </w:tcPr>
          <w:p w14:paraId="0DFDAA9E" w14:textId="77777777" w:rsidR="00046465" w:rsidRDefault="00046465">
            <w:pPr>
              <w:pStyle w:val="TableParagraph"/>
              <w:rPr>
                <w:rFonts w:ascii="Times New Roman"/>
                <w:sz w:val="18"/>
              </w:rPr>
            </w:pPr>
          </w:p>
        </w:tc>
        <w:tc>
          <w:tcPr>
            <w:tcW w:w="7125" w:type="dxa"/>
          </w:tcPr>
          <w:p w14:paraId="0DFDAA9F" w14:textId="77777777" w:rsidR="00046465" w:rsidRDefault="008134EB">
            <w:pPr>
              <w:pStyle w:val="TableParagraph"/>
              <w:spacing w:before="63"/>
              <w:ind w:left="1571"/>
              <w:rPr>
                <w:sz w:val="18"/>
              </w:rPr>
            </w:pPr>
            <w:r>
              <w:rPr>
                <w:sz w:val="18"/>
              </w:rPr>
              <w:t>Kristen</w:t>
            </w:r>
            <w:r>
              <w:rPr>
                <w:spacing w:val="-5"/>
                <w:sz w:val="18"/>
              </w:rPr>
              <w:t xml:space="preserve"> </w:t>
            </w:r>
            <w:r>
              <w:rPr>
                <w:sz w:val="18"/>
              </w:rPr>
              <w:t>A.</w:t>
            </w:r>
            <w:r>
              <w:rPr>
                <w:spacing w:val="-3"/>
                <w:sz w:val="18"/>
              </w:rPr>
              <w:t xml:space="preserve"> </w:t>
            </w:r>
            <w:r>
              <w:rPr>
                <w:sz w:val="18"/>
              </w:rPr>
              <w:t>Kociolek,</w:t>
            </w:r>
            <w:r>
              <w:rPr>
                <w:spacing w:val="-3"/>
                <w:sz w:val="18"/>
              </w:rPr>
              <w:t xml:space="preserve"> </w:t>
            </w:r>
            <w:r>
              <w:rPr>
                <w:sz w:val="18"/>
              </w:rPr>
              <w:t>Managing</w:t>
            </w:r>
            <w:r>
              <w:rPr>
                <w:spacing w:val="-2"/>
                <w:sz w:val="18"/>
              </w:rPr>
              <w:t xml:space="preserve"> Director</w:t>
            </w:r>
          </w:p>
        </w:tc>
      </w:tr>
      <w:tr w:rsidR="00046465" w14:paraId="0DFDAAA3" w14:textId="77777777">
        <w:trPr>
          <w:trHeight w:val="390"/>
        </w:trPr>
        <w:tc>
          <w:tcPr>
            <w:tcW w:w="2226" w:type="dxa"/>
          </w:tcPr>
          <w:p w14:paraId="0DFDAAA1" w14:textId="77777777" w:rsidR="00046465" w:rsidRDefault="00046465">
            <w:pPr>
              <w:pStyle w:val="TableParagraph"/>
              <w:rPr>
                <w:rFonts w:ascii="Times New Roman"/>
                <w:sz w:val="18"/>
              </w:rPr>
            </w:pPr>
          </w:p>
        </w:tc>
        <w:tc>
          <w:tcPr>
            <w:tcW w:w="7125" w:type="dxa"/>
          </w:tcPr>
          <w:p w14:paraId="0DFDAAA2" w14:textId="77777777" w:rsidR="00046465" w:rsidRDefault="008134EB">
            <w:pPr>
              <w:pStyle w:val="TableParagraph"/>
              <w:spacing w:before="113"/>
              <w:ind w:left="1571"/>
              <w:rPr>
                <w:b/>
                <w:sz w:val="18"/>
              </w:rPr>
            </w:pPr>
            <w:r>
              <w:rPr>
                <w:b/>
                <w:color w:val="3B639F"/>
                <w:sz w:val="18"/>
              </w:rPr>
              <w:t>Applied</w:t>
            </w:r>
            <w:r>
              <w:rPr>
                <w:b/>
                <w:color w:val="3B639F"/>
                <w:spacing w:val="-4"/>
                <w:sz w:val="18"/>
              </w:rPr>
              <w:t xml:space="preserve"> </w:t>
            </w:r>
            <w:r>
              <w:rPr>
                <w:b/>
                <w:color w:val="3B639F"/>
                <w:sz w:val="18"/>
              </w:rPr>
              <w:t>Research</w:t>
            </w:r>
            <w:r>
              <w:rPr>
                <w:b/>
                <w:color w:val="3B639F"/>
                <w:spacing w:val="-3"/>
                <w:sz w:val="18"/>
              </w:rPr>
              <w:t xml:space="preserve"> </w:t>
            </w:r>
            <w:r>
              <w:rPr>
                <w:b/>
                <w:color w:val="3B639F"/>
                <w:sz w:val="18"/>
              </w:rPr>
              <w:t>and</w:t>
            </w:r>
            <w:r>
              <w:rPr>
                <w:b/>
                <w:color w:val="3B639F"/>
                <w:spacing w:val="-3"/>
                <w:sz w:val="18"/>
              </w:rPr>
              <w:t xml:space="preserve"> </w:t>
            </w:r>
            <w:r>
              <w:rPr>
                <w:b/>
                <w:color w:val="3B639F"/>
                <w:spacing w:val="-2"/>
                <w:sz w:val="18"/>
              </w:rPr>
              <w:t>Methods</w:t>
            </w:r>
          </w:p>
        </w:tc>
      </w:tr>
      <w:tr w:rsidR="00046465" w14:paraId="0DFDAAA6" w14:textId="77777777">
        <w:trPr>
          <w:trHeight w:val="568"/>
        </w:trPr>
        <w:tc>
          <w:tcPr>
            <w:tcW w:w="2226" w:type="dxa"/>
          </w:tcPr>
          <w:p w14:paraId="0DFDAAA4" w14:textId="77777777" w:rsidR="00046465" w:rsidRDefault="00046465">
            <w:pPr>
              <w:pStyle w:val="TableParagraph"/>
              <w:rPr>
                <w:rFonts w:ascii="Times New Roman"/>
                <w:sz w:val="18"/>
              </w:rPr>
            </w:pPr>
          </w:p>
        </w:tc>
        <w:tc>
          <w:tcPr>
            <w:tcW w:w="7125" w:type="dxa"/>
          </w:tcPr>
          <w:p w14:paraId="0DFDAAA5" w14:textId="77777777" w:rsidR="00046465" w:rsidRDefault="008134EB">
            <w:pPr>
              <w:pStyle w:val="TableParagraph"/>
              <w:spacing w:before="63"/>
              <w:ind w:left="1571"/>
              <w:rPr>
                <w:sz w:val="18"/>
              </w:rPr>
            </w:pPr>
            <w:r>
              <w:rPr>
                <w:sz w:val="18"/>
              </w:rPr>
              <w:t>Robert</w:t>
            </w:r>
            <w:r>
              <w:rPr>
                <w:spacing w:val="-3"/>
                <w:sz w:val="18"/>
              </w:rPr>
              <w:t xml:space="preserve"> </w:t>
            </w:r>
            <w:r>
              <w:rPr>
                <w:sz w:val="18"/>
              </w:rPr>
              <w:t>F.</w:t>
            </w:r>
            <w:r>
              <w:rPr>
                <w:spacing w:val="-2"/>
                <w:sz w:val="18"/>
              </w:rPr>
              <w:t xml:space="preserve"> </w:t>
            </w:r>
            <w:r>
              <w:rPr>
                <w:sz w:val="18"/>
              </w:rPr>
              <w:t>Dacey,</w:t>
            </w:r>
            <w:r>
              <w:rPr>
                <w:spacing w:val="-3"/>
                <w:sz w:val="18"/>
              </w:rPr>
              <w:t xml:space="preserve"> </w:t>
            </w:r>
            <w:r>
              <w:rPr>
                <w:sz w:val="18"/>
              </w:rPr>
              <w:t>Chief</w:t>
            </w:r>
            <w:r>
              <w:rPr>
                <w:spacing w:val="-2"/>
                <w:sz w:val="18"/>
              </w:rPr>
              <w:t xml:space="preserve"> Accountant</w:t>
            </w:r>
          </w:p>
        </w:tc>
      </w:tr>
      <w:tr w:rsidR="00046465" w14:paraId="0DFDAAAE" w14:textId="77777777">
        <w:trPr>
          <w:trHeight w:val="2421"/>
        </w:trPr>
        <w:tc>
          <w:tcPr>
            <w:tcW w:w="2226" w:type="dxa"/>
          </w:tcPr>
          <w:p w14:paraId="0DFDAAA7" w14:textId="77777777" w:rsidR="00046465" w:rsidRDefault="00046465">
            <w:pPr>
              <w:pStyle w:val="TableParagraph"/>
              <w:spacing w:before="61"/>
              <w:rPr>
                <w:sz w:val="20"/>
              </w:rPr>
            </w:pPr>
          </w:p>
          <w:p w14:paraId="0DFDAAA8" w14:textId="77777777" w:rsidR="00046465" w:rsidRDefault="008134EB">
            <w:pPr>
              <w:pStyle w:val="TableParagraph"/>
              <w:spacing w:before="1"/>
              <w:ind w:left="108"/>
              <w:rPr>
                <w:b/>
                <w:sz w:val="20"/>
              </w:rPr>
            </w:pPr>
            <w:r>
              <w:rPr>
                <w:b/>
                <w:color w:val="3B639F"/>
                <w:spacing w:val="-2"/>
                <w:sz w:val="20"/>
              </w:rPr>
              <w:t>CIGIE</w:t>
            </w:r>
          </w:p>
        </w:tc>
        <w:tc>
          <w:tcPr>
            <w:tcW w:w="7125" w:type="dxa"/>
          </w:tcPr>
          <w:p w14:paraId="0DFDAAA9" w14:textId="77777777" w:rsidR="00046465" w:rsidRDefault="00046465">
            <w:pPr>
              <w:pStyle w:val="TableParagraph"/>
              <w:spacing w:before="107"/>
              <w:rPr>
                <w:sz w:val="18"/>
              </w:rPr>
            </w:pPr>
          </w:p>
          <w:p w14:paraId="0DFDAAAA" w14:textId="77777777" w:rsidR="00046465" w:rsidRDefault="008134EB">
            <w:pPr>
              <w:pStyle w:val="TableParagraph"/>
              <w:ind w:left="1571"/>
              <w:rPr>
                <w:b/>
                <w:sz w:val="18"/>
              </w:rPr>
            </w:pPr>
            <w:r>
              <w:rPr>
                <w:b/>
                <w:color w:val="3B639F"/>
                <w:sz w:val="18"/>
              </w:rPr>
              <w:t>Offices</w:t>
            </w:r>
            <w:r>
              <w:rPr>
                <w:b/>
                <w:color w:val="3B639F"/>
                <w:spacing w:val="-3"/>
                <w:sz w:val="18"/>
              </w:rPr>
              <w:t xml:space="preserve"> </w:t>
            </w:r>
            <w:r>
              <w:rPr>
                <w:b/>
                <w:color w:val="3B639F"/>
                <w:sz w:val="18"/>
              </w:rPr>
              <w:t>of</w:t>
            </w:r>
            <w:r>
              <w:rPr>
                <w:b/>
                <w:color w:val="3B639F"/>
                <w:spacing w:val="-3"/>
                <w:sz w:val="18"/>
              </w:rPr>
              <w:t xml:space="preserve"> </w:t>
            </w:r>
            <w:r>
              <w:rPr>
                <w:b/>
                <w:color w:val="3B639F"/>
                <w:sz w:val="18"/>
              </w:rPr>
              <w:t>Inspector</w:t>
            </w:r>
            <w:r>
              <w:rPr>
                <w:b/>
                <w:color w:val="3B639F"/>
                <w:spacing w:val="-2"/>
                <w:sz w:val="18"/>
              </w:rPr>
              <w:t xml:space="preserve"> General</w:t>
            </w:r>
          </w:p>
          <w:p w14:paraId="0DFDAAAB" w14:textId="77777777" w:rsidR="00046465" w:rsidRDefault="008134EB">
            <w:pPr>
              <w:pStyle w:val="TableParagraph"/>
              <w:spacing w:before="173" w:line="441" w:lineRule="auto"/>
              <w:ind w:left="1571"/>
              <w:rPr>
                <w:sz w:val="18"/>
              </w:rPr>
            </w:pPr>
            <w:r>
              <w:rPr>
                <w:sz w:val="18"/>
              </w:rPr>
              <w:t>Beverly</w:t>
            </w:r>
            <w:r>
              <w:rPr>
                <w:spacing w:val="-5"/>
                <w:sz w:val="18"/>
              </w:rPr>
              <w:t xml:space="preserve"> </w:t>
            </w:r>
            <w:r>
              <w:rPr>
                <w:sz w:val="18"/>
              </w:rPr>
              <w:t>Farley,</w:t>
            </w:r>
            <w:r>
              <w:rPr>
                <w:spacing w:val="-5"/>
                <w:sz w:val="18"/>
              </w:rPr>
              <w:t xml:space="preserve"> </w:t>
            </w:r>
            <w:r>
              <w:rPr>
                <w:sz w:val="18"/>
              </w:rPr>
              <w:t>U.S.</w:t>
            </w:r>
            <w:r>
              <w:rPr>
                <w:spacing w:val="-5"/>
                <w:sz w:val="18"/>
              </w:rPr>
              <w:t xml:space="preserve"> </w:t>
            </w:r>
            <w:r>
              <w:rPr>
                <w:sz w:val="18"/>
              </w:rPr>
              <w:t>Department</w:t>
            </w:r>
            <w:r>
              <w:rPr>
                <w:spacing w:val="-5"/>
                <w:sz w:val="18"/>
              </w:rPr>
              <w:t xml:space="preserve"> </w:t>
            </w:r>
            <w:r>
              <w:rPr>
                <w:sz w:val="18"/>
              </w:rPr>
              <w:t>of</w:t>
            </w:r>
            <w:r>
              <w:rPr>
                <w:spacing w:val="-5"/>
                <w:sz w:val="18"/>
              </w:rPr>
              <w:t xml:space="preserve"> </w:t>
            </w:r>
            <w:r>
              <w:rPr>
                <w:sz w:val="18"/>
              </w:rPr>
              <w:t>Health</w:t>
            </w:r>
            <w:r>
              <w:rPr>
                <w:spacing w:val="-6"/>
                <w:sz w:val="18"/>
              </w:rPr>
              <w:t xml:space="preserve"> </w:t>
            </w:r>
            <w:r>
              <w:rPr>
                <w:sz w:val="18"/>
              </w:rPr>
              <w:t>and</w:t>
            </w:r>
            <w:r>
              <w:rPr>
                <w:spacing w:val="-6"/>
                <w:sz w:val="18"/>
              </w:rPr>
              <w:t xml:space="preserve"> </w:t>
            </w:r>
            <w:r>
              <w:rPr>
                <w:sz w:val="18"/>
              </w:rPr>
              <w:t>Human</w:t>
            </w:r>
            <w:r>
              <w:rPr>
                <w:spacing w:val="-6"/>
                <w:sz w:val="18"/>
              </w:rPr>
              <w:t xml:space="preserve"> </w:t>
            </w:r>
            <w:r>
              <w:rPr>
                <w:sz w:val="18"/>
              </w:rPr>
              <w:t>Services Branco Garcia, Commodity Futures Trading Commission</w:t>
            </w:r>
          </w:p>
          <w:p w14:paraId="0DFDAAAC" w14:textId="77777777" w:rsidR="00046465" w:rsidRDefault="008134EB">
            <w:pPr>
              <w:pStyle w:val="TableParagraph"/>
              <w:spacing w:line="205" w:lineRule="exact"/>
              <w:ind w:left="1571"/>
              <w:rPr>
                <w:sz w:val="18"/>
              </w:rPr>
            </w:pPr>
            <w:r>
              <w:rPr>
                <w:sz w:val="18"/>
              </w:rPr>
              <w:t>Kelly</w:t>
            </w:r>
            <w:r>
              <w:rPr>
                <w:spacing w:val="-4"/>
                <w:sz w:val="18"/>
              </w:rPr>
              <w:t xml:space="preserve"> </w:t>
            </w:r>
            <w:r>
              <w:rPr>
                <w:sz w:val="18"/>
              </w:rPr>
              <w:t>McFadden,</w:t>
            </w:r>
            <w:r>
              <w:rPr>
                <w:spacing w:val="-3"/>
                <w:sz w:val="18"/>
              </w:rPr>
              <w:t xml:space="preserve"> </w:t>
            </w:r>
            <w:r>
              <w:rPr>
                <w:sz w:val="18"/>
              </w:rPr>
              <w:t>U.S.</w:t>
            </w:r>
            <w:r>
              <w:rPr>
                <w:spacing w:val="-3"/>
                <w:sz w:val="18"/>
              </w:rPr>
              <w:t xml:space="preserve"> </w:t>
            </w:r>
            <w:r>
              <w:rPr>
                <w:sz w:val="18"/>
              </w:rPr>
              <w:t>Department</w:t>
            </w:r>
            <w:r>
              <w:rPr>
                <w:spacing w:val="-3"/>
                <w:sz w:val="18"/>
              </w:rPr>
              <w:t xml:space="preserve"> </w:t>
            </w:r>
            <w:r>
              <w:rPr>
                <w:sz w:val="18"/>
              </w:rPr>
              <w:t>of</w:t>
            </w:r>
            <w:r>
              <w:rPr>
                <w:spacing w:val="-3"/>
                <w:sz w:val="18"/>
              </w:rPr>
              <w:t xml:space="preserve"> </w:t>
            </w:r>
            <w:r>
              <w:rPr>
                <w:spacing w:val="-2"/>
                <w:sz w:val="18"/>
              </w:rPr>
              <w:t>Justice</w:t>
            </w:r>
          </w:p>
          <w:p w14:paraId="0DFDAAAD" w14:textId="77777777" w:rsidR="00046465" w:rsidRDefault="008134EB">
            <w:pPr>
              <w:pStyle w:val="TableParagraph"/>
              <w:spacing w:line="380" w:lineRule="atLeast"/>
              <w:ind w:left="1571"/>
              <w:rPr>
                <w:sz w:val="18"/>
              </w:rPr>
            </w:pPr>
            <w:r>
              <w:rPr>
                <w:sz w:val="18"/>
              </w:rPr>
              <w:t>Samantha</w:t>
            </w:r>
            <w:r>
              <w:rPr>
                <w:spacing w:val="-6"/>
                <w:sz w:val="18"/>
              </w:rPr>
              <w:t xml:space="preserve"> </w:t>
            </w:r>
            <w:r>
              <w:rPr>
                <w:sz w:val="18"/>
              </w:rPr>
              <w:t>Tigert,</w:t>
            </w:r>
            <w:r>
              <w:rPr>
                <w:spacing w:val="-5"/>
                <w:sz w:val="18"/>
              </w:rPr>
              <w:t xml:space="preserve"> </w:t>
            </w:r>
            <w:r>
              <w:rPr>
                <w:sz w:val="18"/>
              </w:rPr>
              <w:t>U.S.</w:t>
            </w:r>
            <w:r>
              <w:rPr>
                <w:spacing w:val="-6"/>
                <w:sz w:val="18"/>
              </w:rPr>
              <w:t xml:space="preserve"> </w:t>
            </w:r>
            <w:r>
              <w:rPr>
                <w:sz w:val="18"/>
              </w:rPr>
              <w:t>Department</w:t>
            </w:r>
            <w:r>
              <w:rPr>
                <w:spacing w:val="-5"/>
                <w:sz w:val="18"/>
              </w:rPr>
              <w:t xml:space="preserve"> </w:t>
            </w:r>
            <w:r>
              <w:rPr>
                <w:sz w:val="18"/>
              </w:rPr>
              <w:t>of</w:t>
            </w:r>
            <w:r>
              <w:rPr>
                <w:spacing w:val="-5"/>
                <w:sz w:val="18"/>
              </w:rPr>
              <w:t xml:space="preserve"> </w:t>
            </w:r>
            <w:r>
              <w:rPr>
                <w:sz w:val="18"/>
              </w:rPr>
              <w:t>Health</w:t>
            </w:r>
            <w:r>
              <w:rPr>
                <w:spacing w:val="-4"/>
                <w:sz w:val="18"/>
              </w:rPr>
              <w:t xml:space="preserve"> </w:t>
            </w:r>
            <w:r>
              <w:rPr>
                <w:sz w:val="18"/>
              </w:rPr>
              <w:t>and</w:t>
            </w:r>
            <w:r>
              <w:rPr>
                <w:spacing w:val="-6"/>
                <w:sz w:val="18"/>
              </w:rPr>
              <w:t xml:space="preserve"> </w:t>
            </w:r>
            <w:r>
              <w:rPr>
                <w:sz w:val="18"/>
              </w:rPr>
              <w:t>Human</w:t>
            </w:r>
            <w:r>
              <w:rPr>
                <w:spacing w:val="-6"/>
                <w:sz w:val="18"/>
              </w:rPr>
              <w:t xml:space="preserve"> </w:t>
            </w:r>
            <w:r>
              <w:rPr>
                <w:sz w:val="18"/>
              </w:rPr>
              <w:t>Services Patrick Wunderlich, U.S. Small Business Administration</w:t>
            </w:r>
          </w:p>
        </w:tc>
      </w:tr>
    </w:tbl>
    <w:p w14:paraId="0DFDAAAF" w14:textId="77777777" w:rsidR="00046465" w:rsidRDefault="00046465">
      <w:pPr>
        <w:pStyle w:val="TableParagraph"/>
        <w:spacing w:line="380" w:lineRule="atLeast"/>
        <w:rPr>
          <w:sz w:val="18"/>
        </w:rPr>
        <w:sectPr w:rsidR="00046465">
          <w:pgSz w:w="12240" w:h="15840"/>
          <w:pgMar w:top="960" w:right="720" w:bottom="940" w:left="1080" w:header="0" w:footer="743" w:gutter="0"/>
          <w:cols w:space="720"/>
        </w:sectPr>
      </w:pPr>
    </w:p>
    <w:p w14:paraId="0DFDAAB0" w14:textId="77777777" w:rsidR="00046465" w:rsidRDefault="008134EB">
      <w:pPr>
        <w:pStyle w:val="Heading3"/>
        <w:spacing w:before="330"/>
        <w:rPr>
          <w:u w:val="none"/>
        </w:rPr>
      </w:pPr>
      <w:bookmarkStart w:id="0" w:name="Summary_of_Significant_Changes"/>
      <w:bookmarkEnd w:id="0"/>
      <w:r>
        <w:rPr>
          <w:u w:val="thick"/>
        </w:rPr>
        <w:lastRenderedPageBreak/>
        <w:t>Summary</w:t>
      </w:r>
      <w:r>
        <w:rPr>
          <w:spacing w:val="-7"/>
          <w:u w:val="thick"/>
        </w:rPr>
        <w:t xml:space="preserve"> </w:t>
      </w:r>
      <w:r>
        <w:rPr>
          <w:u w:val="thick"/>
        </w:rPr>
        <w:t>of</w:t>
      </w:r>
      <w:r>
        <w:rPr>
          <w:spacing w:val="-7"/>
          <w:u w:val="thick"/>
        </w:rPr>
        <w:t xml:space="preserve"> </w:t>
      </w:r>
      <w:r>
        <w:rPr>
          <w:u w:val="thick"/>
        </w:rPr>
        <w:t>Significant</w:t>
      </w:r>
      <w:r>
        <w:rPr>
          <w:spacing w:val="-6"/>
          <w:u w:val="thick"/>
        </w:rPr>
        <w:t xml:space="preserve"> </w:t>
      </w:r>
      <w:r>
        <w:rPr>
          <w:spacing w:val="-2"/>
          <w:u w:val="thick"/>
        </w:rPr>
        <w:t>Changes</w:t>
      </w:r>
    </w:p>
    <w:p w14:paraId="0DFDAAB1" w14:textId="77777777" w:rsidR="00046465" w:rsidRDefault="00046465">
      <w:pPr>
        <w:pStyle w:val="BodyText"/>
        <w:spacing w:before="59"/>
        <w:rPr>
          <w:b/>
        </w:rPr>
      </w:pPr>
    </w:p>
    <w:p w14:paraId="0DFDAAB2" w14:textId="77777777" w:rsidR="00046465" w:rsidRDefault="008134EB">
      <w:pPr>
        <w:pStyle w:val="BodyText"/>
        <w:ind w:left="360"/>
      </w:pPr>
      <w:r>
        <w:t>This</w:t>
      </w:r>
      <w:r>
        <w:rPr>
          <w:spacing w:val="-7"/>
        </w:rPr>
        <w:t xml:space="preserve"> </w:t>
      </w:r>
      <w:r>
        <w:t>summary</w:t>
      </w:r>
      <w:r>
        <w:rPr>
          <w:spacing w:val="-6"/>
        </w:rPr>
        <w:t xml:space="preserve"> </w:t>
      </w:r>
      <w:r>
        <w:t>lists</w:t>
      </w:r>
      <w:r>
        <w:rPr>
          <w:spacing w:val="-6"/>
        </w:rPr>
        <w:t xml:space="preserve"> </w:t>
      </w:r>
      <w:r>
        <w:t>significant</w:t>
      </w:r>
      <w:r>
        <w:rPr>
          <w:spacing w:val="-6"/>
        </w:rPr>
        <w:t xml:space="preserve"> </w:t>
      </w:r>
      <w:r>
        <w:t>changes</w:t>
      </w:r>
      <w:r>
        <w:rPr>
          <w:spacing w:val="-6"/>
        </w:rPr>
        <w:t xml:space="preserve"> </w:t>
      </w:r>
      <w:r>
        <w:t>from</w:t>
      </w:r>
      <w:r>
        <w:rPr>
          <w:spacing w:val="-6"/>
        </w:rPr>
        <w:t xml:space="preserve"> </w:t>
      </w:r>
      <w:r>
        <w:t>the</w:t>
      </w:r>
      <w:r>
        <w:rPr>
          <w:spacing w:val="-6"/>
        </w:rPr>
        <w:t xml:space="preserve"> </w:t>
      </w:r>
      <w:r>
        <w:t>June</w:t>
      </w:r>
      <w:r>
        <w:rPr>
          <w:spacing w:val="-6"/>
        </w:rPr>
        <w:t xml:space="preserve"> </w:t>
      </w:r>
      <w:r>
        <w:t>2024</w:t>
      </w:r>
      <w:r>
        <w:rPr>
          <w:spacing w:val="-6"/>
        </w:rPr>
        <w:t xml:space="preserve"> </w:t>
      </w:r>
      <w:r>
        <w:t>version</w:t>
      </w:r>
      <w:r>
        <w:rPr>
          <w:spacing w:val="-6"/>
        </w:rPr>
        <w:t xml:space="preserve"> </w:t>
      </w:r>
      <w:r>
        <w:t>of</w:t>
      </w:r>
      <w:r>
        <w:rPr>
          <w:spacing w:val="-6"/>
        </w:rPr>
        <w:t xml:space="preserve"> </w:t>
      </w:r>
      <w:r>
        <w:t>FAM</w:t>
      </w:r>
      <w:r>
        <w:rPr>
          <w:spacing w:val="-6"/>
        </w:rPr>
        <w:t xml:space="preserve"> </w:t>
      </w:r>
      <w:r>
        <w:t>volume</w:t>
      </w:r>
      <w:r>
        <w:rPr>
          <w:spacing w:val="-6"/>
        </w:rPr>
        <w:t xml:space="preserve"> </w:t>
      </w:r>
      <w:r>
        <w:rPr>
          <w:spacing w:val="-5"/>
        </w:rPr>
        <w:t>2.</w:t>
      </w:r>
    </w:p>
    <w:p w14:paraId="0DFDAAB3" w14:textId="77777777" w:rsidR="00046465" w:rsidRDefault="00046465">
      <w:pPr>
        <w:pStyle w:val="BodyText"/>
        <w:spacing w:before="5" w:after="1"/>
        <w:rPr>
          <w:sz w:val="8"/>
        </w:rPr>
      </w:pPr>
    </w:p>
    <w:p w14:paraId="0DFDAAB4" w14:textId="77777777" w:rsidR="00046465" w:rsidRDefault="008134EB">
      <w:pPr>
        <w:ind w:left="360"/>
        <w:rPr>
          <w:sz w:val="20"/>
        </w:rPr>
      </w:pPr>
      <w:r>
        <w:rPr>
          <w:noProof/>
          <w:sz w:val="20"/>
        </w:rPr>
        <mc:AlternateContent>
          <mc:Choice Requires="wpg">
            <w:drawing>
              <wp:inline distT="0" distB="0" distL="0" distR="0" wp14:anchorId="0DFDD51F" wp14:editId="0DFDD520">
                <wp:extent cx="6002655" cy="371475"/>
                <wp:effectExtent l="0" t="0" r="0" b="0"/>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655" cy="371475"/>
                          <a:chOff x="0" y="0"/>
                          <a:chExt cx="6002655" cy="371475"/>
                        </a:xfrm>
                      </wpg:grpSpPr>
                      <wps:wsp>
                        <wps:cNvPr id="38" name="Graphic 38"/>
                        <wps:cNvSpPr/>
                        <wps:spPr>
                          <a:xfrm>
                            <a:off x="0" y="6857"/>
                            <a:ext cx="6000750" cy="357505"/>
                          </a:xfrm>
                          <a:custGeom>
                            <a:avLst/>
                            <a:gdLst/>
                            <a:ahLst/>
                            <a:cxnLst/>
                            <a:rect l="l" t="t" r="r" b="b"/>
                            <a:pathLst>
                              <a:path w="6000750" h="357505">
                                <a:moveTo>
                                  <a:pt x="6000750" y="0"/>
                                </a:moveTo>
                                <a:lnTo>
                                  <a:pt x="4629150" y="0"/>
                                </a:lnTo>
                                <a:lnTo>
                                  <a:pt x="0" y="0"/>
                                </a:lnTo>
                                <a:lnTo>
                                  <a:pt x="0" y="357378"/>
                                </a:lnTo>
                                <a:lnTo>
                                  <a:pt x="4629150" y="357378"/>
                                </a:lnTo>
                                <a:lnTo>
                                  <a:pt x="6000750" y="357378"/>
                                </a:lnTo>
                                <a:lnTo>
                                  <a:pt x="6000750" y="0"/>
                                </a:lnTo>
                                <a:close/>
                              </a:path>
                            </a:pathLst>
                          </a:custGeom>
                          <a:solidFill>
                            <a:srgbClr val="D9D9D9"/>
                          </a:solidFill>
                        </wps:spPr>
                        <wps:bodyPr wrap="square" lIns="0" tIns="0" rIns="0" bIns="0" rtlCol="0">
                          <a:prstTxWarp prst="textNoShape">
                            <a:avLst/>
                          </a:prstTxWarp>
                          <a:noAutofit/>
                        </wps:bodyPr>
                      </wps:wsp>
                      <wps:wsp>
                        <wps:cNvPr id="39" name="Graphic 39"/>
                        <wps:cNvSpPr/>
                        <wps:spPr>
                          <a:xfrm>
                            <a:off x="0" y="0"/>
                            <a:ext cx="4629150" cy="6350"/>
                          </a:xfrm>
                          <a:custGeom>
                            <a:avLst/>
                            <a:gdLst/>
                            <a:ahLst/>
                            <a:cxnLst/>
                            <a:rect l="l" t="t" r="r" b="b"/>
                            <a:pathLst>
                              <a:path w="4629150" h="6350">
                                <a:moveTo>
                                  <a:pt x="4629150" y="0"/>
                                </a:moveTo>
                                <a:lnTo>
                                  <a:pt x="0" y="0"/>
                                </a:lnTo>
                                <a:lnTo>
                                  <a:pt x="0" y="6095"/>
                                </a:lnTo>
                                <a:lnTo>
                                  <a:pt x="4629150" y="6095"/>
                                </a:lnTo>
                                <a:lnTo>
                                  <a:pt x="4629150"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0" y="6095"/>
                            <a:ext cx="4635500" cy="19050"/>
                          </a:xfrm>
                          <a:custGeom>
                            <a:avLst/>
                            <a:gdLst/>
                            <a:ahLst/>
                            <a:cxnLst/>
                            <a:rect l="l" t="t" r="r" b="b"/>
                            <a:pathLst>
                              <a:path w="4635500" h="19050">
                                <a:moveTo>
                                  <a:pt x="4635246" y="0"/>
                                </a:moveTo>
                                <a:lnTo>
                                  <a:pt x="0" y="0"/>
                                </a:lnTo>
                                <a:lnTo>
                                  <a:pt x="0" y="19050"/>
                                </a:lnTo>
                                <a:lnTo>
                                  <a:pt x="4635246" y="19050"/>
                                </a:lnTo>
                                <a:lnTo>
                                  <a:pt x="4635246" y="0"/>
                                </a:lnTo>
                                <a:close/>
                              </a:path>
                            </a:pathLst>
                          </a:custGeom>
                          <a:solidFill>
                            <a:srgbClr val="D9D9D9"/>
                          </a:solidFill>
                        </wps:spPr>
                        <wps:bodyPr wrap="square" lIns="0" tIns="0" rIns="0" bIns="0" rtlCol="0">
                          <a:prstTxWarp prst="textNoShape">
                            <a:avLst/>
                          </a:prstTxWarp>
                          <a:noAutofit/>
                        </wps:bodyPr>
                      </wps:wsp>
                      <wps:wsp>
                        <wps:cNvPr id="41" name="Graphic 41"/>
                        <wps:cNvSpPr/>
                        <wps:spPr>
                          <a:xfrm>
                            <a:off x="4629150" y="0"/>
                            <a:ext cx="1371600" cy="6350"/>
                          </a:xfrm>
                          <a:custGeom>
                            <a:avLst/>
                            <a:gdLst/>
                            <a:ahLst/>
                            <a:cxnLst/>
                            <a:rect l="l" t="t" r="r" b="b"/>
                            <a:pathLst>
                              <a:path w="1371600" h="6350">
                                <a:moveTo>
                                  <a:pt x="1371600" y="0"/>
                                </a:moveTo>
                                <a:lnTo>
                                  <a:pt x="0" y="0"/>
                                </a:lnTo>
                                <a:lnTo>
                                  <a:pt x="0" y="6095"/>
                                </a:lnTo>
                                <a:lnTo>
                                  <a:pt x="1371600" y="6095"/>
                                </a:lnTo>
                                <a:lnTo>
                                  <a:pt x="1371600"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0" y="6095"/>
                            <a:ext cx="6000750" cy="358140"/>
                          </a:xfrm>
                          <a:custGeom>
                            <a:avLst/>
                            <a:gdLst/>
                            <a:ahLst/>
                            <a:cxnLst/>
                            <a:rect l="l" t="t" r="r" b="b"/>
                            <a:pathLst>
                              <a:path w="6000750" h="358140">
                                <a:moveTo>
                                  <a:pt x="6000750" y="339852"/>
                                </a:moveTo>
                                <a:lnTo>
                                  <a:pt x="0" y="339852"/>
                                </a:lnTo>
                                <a:lnTo>
                                  <a:pt x="0" y="358140"/>
                                </a:lnTo>
                                <a:lnTo>
                                  <a:pt x="6000750" y="358140"/>
                                </a:lnTo>
                                <a:lnTo>
                                  <a:pt x="6000750" y="339852"/>
                                </a:lnTo>
                                <a:close/>
                              </a:path>
                              <a:path w="6000750" h="358140">
                                <a:moveTo>
                                  <a:pt x="6000750" y="0"/>
                                </a:moveTo>
                                <a:lnTo>
                                  <a:pt x="4635246" y="0"/>
                                </a:lnTo>
                                <a:lnTo>
                                  <a:pt x="4635246" y="19050"/>
                                </a:lnTo>
                                <a:lnTo>
                                  <a:pt x="6000750" y="19050"/>
                                </a:lnTo>
                                <a:lnTo>
                                  <a:pt x="6000750" y="0"/>
                                </a:lnTo>
                                <a:close/>
                              </a:path>
                            </a:pathLst>
                          </a:custGeom>
                          <a:solidFill>
                            <a:srgbClr val="D9D9D9"/>
                          </a:solidFill>
                        </wps:spPr>
                        <wps:bodyPr wrap="square" lIns="0" tIns="0" rIns="0" bIns="0" rtlCol="0">
                          <a:prstTxWarp prst="textNoShape">
                            <a:avLst/>
                          </a:prstTxWarp>
                          <a:noAutofit/>
                        </wps:bodyPr>
                      </wps:wsp>
                      <wps:wsp>
                        <wps:cNvPr id="43" name="Graphic 43"/>
                        <wps:cNvSpPr/>
                        <wps:spPr>
                          <a:xfrm>
                            <a:off x="0" y="364997"/>
                            <a:ext cx="6000750" cy="6350"/>
                          </a:xfrm>
                          <a:custGeom>
                            <a:avLst/>
                            <a:gdLst/>
                            <a:ahLst/>
                            <a:cxnLst/>
                            <a:rect l="l" t="t" r="r" b="b"/>
                            <a:pathLst>
                              <a:path w="6000750" h="6350">
                                <a:moveTo>
                                  <a:pt x="6000750" y="0"/>
                                </a:moveTo>
                                <a:lnTo>
                                  <a:pt x="0" y="0"/>
                                </a:lnTo>
                                <a:lnTo>
                                  <a:pt x="0" y="6096"/>
                                </a:lnTo>
                                <a:lnTo>
                                  <a:pt x="6000750" y="6096"/>
                                </a:lnTo>
                                <a:lnTo>
                                  <a:pt x="6000750" y="0"/>
                                </a:lnTo>
                                <a:close/>
                              </a:path>
                            </a:pathLst>
                          </a:custGeom>
                          <a:solidFill>
                            <a:srgbClr val="000000"/>
                          </a:solidFill>
                        </wps:spPr>
                        <wps:bodyPr wrap="square" lIns="0" tIns="0" rIns="0" bIns="0" rtlCol="0">
                          <a:prstTxWarp prst="textNoShape">
                            <a:avLst/>
                          </a:prstTxWarp>
                          <a:noAutofit/>
                        </wps:bodyPr>
                      </wps:wsp>
                      <wps:wsp>
                        <wps:cNvPr id="44" name="Textbox 44"/>
                        <wps:cNvSpPr txBox="1"/>
                        <wps:spPr>
                          <a:xfrm>
                            <a:off x="9144" y="29972"/>
                            <a:ext cx="1316990" cy="156210"/>
                          </a:xfrm>
                          <a:prstGeom prst="rect">
                            <a:avLst/>
                          </a:prstGeom>
                        </wps:spPr>
                        <wps:txbx>
                          <w:txbxContent>
                            <w:p w14:paraId="0DFDDD84" w14:textId="77777777" w:rsidR="00046465" w:rsidRDefault="008134EB">
                              <w:pPr>
                                <w:spacing w:line="245" w:lineRule="exact"/>
                                <w:rPr>
                                  <w:b/>
                                </w:rPr>
                              </w:pPr>
                              <w:r>
                                <w:rPr>
                                  <w:b/>
                                </w:rPr>
                                <w:t>Change</w:t>
                              </w:r>
                              <w:r>
                                <w:rPr>
                                  <w:b/>
                                  <w:spacing w:val="-9"/>
                                </w:rPr>
                                <w:t xml:space="preserve"> </w:t>
                              </w:r>
                              <w:r>
                                <w:rPr>
                                  <w:b/>
                                  <w:spacing w:val="-2"/>
                                </w:rPr>
                                <w:t>description</w:t>
                              </w:r>
                            </w:p>
                          </w:txbxContent>
                        </wps:txbx>
                        <wps:bodyPr wrap="square" lIns="0" tIns="0" rIns="0" bIns="0" rtlCol="0">
                          <a:noAutofit/>
                        </wps:bodyPr>
                      </wps:wsp>
                      <wps:wsp>
                        <wps:cNvPr id="45" name="Textbox 45"/>
                        <wps:cNvSpPr txBox="1"/>
                        <wps:spPr>
                          <a:xfrm>
                            <a:off x="4638294" y="29972"/>
                            <a:ext cx="1363980" cy="316230"/>
                          </a:xfrm>
                          <a:prstGeom prst="rect">
                            <a:avLst/>
                          </a:prstGeom>
                        </wps:spPr>
                        <wps:txbx>
                          <w:txbxContent>
                            <w:p w14:paraId="0DFDDD85" w14:textId="77777777" w:rsidR="00046465" w:rsidRDefault="008134EB">
                              <w:pPr>
                                <w:ind w:right="16"/>
                                <w:rPr>
                                  <w:b/>
                                </w:rPr>
                              </w:pPr>
                              <w:r>
                                <w:rPr>
                                  <w:b/>
                                </w:rPr>
                                <w:t>Section or paragraph</w:t>
                              </w:r>
                              <w:r>
                                <w:rPr>
                                  <w:b/>
                                  <w:spacing w:val="-16"/>
                                </w:rPr>
                                <w:t xml:space="preserve"> </w:t>
                              </w:r>
                              <w:r>
                                <w:rPr>
                                  <w:b/>
                                </w:rPr>
                                <w:t>reference</w:t>
                              </w:r>
                            </w:p>
                          </w:txbxContent>
                        </wps:txbx>
                        <wps:bodyPr wrap="square" lIns="0" tIns="0" rIns="0" bIns="0" rtlCol="0">
                          <a:noAutofit/>
                        </wps:bodyPr>
                      </wps:wsp>
                    </wpg:wgp>
                  </a:graphicData>
                </a:graphic>
              </wp:inline>
            </w:drawing>
          </mc:Choice>
          <mc:Fallback>
            <w:pict>
              <v:group w14:anchorId="0DFDD51F" id="Group 37" o:spid="_x0000_s1026" style="width:472.65pt;height:29.25pt;mso-position-horizontal-relative:char;mso-position-vertical-relative:line" coordsize="60026,3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">
                <v:shape id="Graphic 38" o:spid="_x0000_s1027" style="position:absolute;top:68;width:60007;height:3575;visibility:visible;mso-wrap-style:square;v-text-anchor:top" coordsize="600075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" path="m6000750,l4629150,,,,,357378r4629150,l6000750,357378,6000750,xe" fillcolor="#d9d9d9" stroked="f">
                  <v:path arrowok="t"/>
                </v:shape>
                <v:shape id="Graphic 39" o:spid="_x0000_s1028" style="position:absolute;width:46291;height:63;visibility:visible;mso-wrap-style:square;v-text-anchor:top" coordsize="46291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" path="m4629150,l,,,6095r4629150,l4629150,xe" fillcolor="black" stroked="f">
                  <v:path arrowok="t"/>
                </v:shape>
                <v:shape id="Graphic 40" o:spid="_x0000_s1029" style="position:absolute;top:60;width:46355;height:191;visibility:visible;mso-wrap-style:square;v-text-anchor:top" coordsize="46355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" path="m4635246,l,,,19050r4635246,l4635246,xe" fillcolor="#d9d9d9" stroked="f">
                  <v:path arrowok="t"/>
                </v:shape>
                <v:shape id="Graphic 41" o:spid="_x0000_s1030" style="position:absolute;left:46291;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" path="m1371600,l,,,6095r1371600,l1371600,xe" fillcolor="black" stroked="f">
                  <v:path arrowok="t"/>
                </v:shape>
                <v:shape id="Graphic 42" o:spid="_x0000_s1031" style="position:absolute;top:60;width:60007;height:3582;visibility:visible;mso-wrap-style:square;v-text-anchor:top" coordsize="600075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" path="m6000750,339852l,339852r,18288l6000750,358140r,-18288xem6000750,l4635246,r,19050l6000750,19050r,-19050xe" fillcolor="#d9d9d9" stroked="f">
                  <v:path arrowok="t"/>
                </v:shape>
                <v:shape id="Graphic 43" o:spid="_x0000_s1032" style="position:absolute;top:3649;width:60007;height:64;visibility:visible;mso-wrap-style:square;v-text-anchor:top" coordsize="6000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" path="m6000750,l,,,6096r6000750,l6000750,xe" fillcolor="black" stroked="f">
                  <v:path arrowok="t"/>
                </v:shape>
                <v:shapetype id="_x0000_t202" coordsize="21600,21600" o:spt="202" path="m,l,21600r21600,l21600,xe">
                  <v:stroke joinstyle="miter"/>
                  <v:path gradientshapeok="t" o:connecttype="rect"/>
                </v:shapetype>
                <v:shape id="Textbox 44" o:spid="_x0000_s1033" type="#_x0000_t202" style="position:absolute;left:91;top:299;width:1317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DFDDD84" w14:textId="77777777" w:rsidR="00046465" w:rsidRDefault="008134EB">
                        <w:pPr>
                          <w:spacing w:line="245" w:lineRule="exact"/>
                          <w:rPr>
                            <w:b/>
                          </w:rPr>
                        </w:pPr>
                        <w:r>
                          <w:rPr>
                            <w:b/>
                          </w:rPr>
                          <w:t>Change</w:t>
                        </w:r>
                        <w:r>
                          <w:rPr>
                            <w:b/>
                            <w:spacing w:val="-9"/>
                          </w:rPr>
                          <w:t xml:space="preserve"> </w:t>
                        </w:r>
                        <w:r>
                          <w:rPr>
                            <w:b/>
                            <w:spacing w:val="-2"/>
                          </w:rPr>
                          <w:t>description</w:t>
                        </w:r>
                      </w:p>
                    </w:txbxContent>
                  </v:textbox>
                </v:shape>
                <v:shape id="Textbox 45" o:spid="_x0000_s1034" type="#_x0000_t202" style="position:absolute;left:46382;top:299;width:13640;height:3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0DFDDD85" w14:textId="77777777" w:rsidR="00046465" w:rsidRDefault="008134EB">
                        <w:pPr>
                          <w:ind w:right="16"/>
                          <w:rPr>
                            <w:b/>
                          </w:rPr>
                        </w:pPr>
                        <w:r>
                          <w:rPr>
                            <w:b/>
                          </w:rPr>
                          <w:t>Section or paragraph</w:t>
                        </w:r>
                        <w:r>
                          <w:rPr>
                            <w:b/>
                            <w:spacing w:val="-16"/>
                          </w:rPr>
                          <w:t xml:space="preserve"> </w:t>
                        </w:r>
                        <w:r>
                          <w:rPr>
                            <w:b/>
                          </w:rPr>
                          <w:t>reference</w:t>
                        </w:r>
                      </w:p>
                    </w:txbxContent>
                  </v:textbox>
                </v:shape>
                <w10:anchorlock/>
              </v:group>
            </w:pict>
          </mc:Fallback>
        </mc:AlternateContent>
      </w:r>
    </w:p>
    <w:p w14:paraId="0DFDAAB5" w14:textId="77777777" w:rsidR="00046465" w:rsidRDefault="00046465">
      <w:pPr>
        <w:rPr>
          <w:sz w:val="20"/>
        </w:rPr>
        <w:sectPr w:rsidR="00046465">
          <w:headerReference w:type="default" r:id="rId12"/>
          <w:footerReference w:type="default" r:id="rId13"/>
          <w:pgSz w:w="12240" w:h="15840"/>
          <w:pgMar w:top="1160" w:right="720" w:bottom="980" w:left="1080" w:header="781" w:footer="786" w:gutter="0"/>
          <w:cols w:space="720"/>
        </w:sectPr>
      </w:pPr>
    </w:p>
    <w:p w14:paraId="0DFDAAB6" w14:textId="77777777" w:rsidR="00046465" w:rsidRDefault="008134EB">
      <w:pPr>
        <w:pStyle w:val="BodyText"/>
        <w:spacing w:before="3"/>
        <w:ind w:left="374" w:right="44"/>
      </w:pPr>
      <w:r>
        <w:rPr>
          <w:noProof/>
        </w:rPr>
        <mc:AlternateContent>
          <mc:Choice Requires="wps">
            <w:drawing>
              <wp:anchor distT="0" distB="0" distL="0" distR="0" simplePos="0" relativeHeight="15732736" behindDoc="0" locked="0" layoutInCell="1" allowOverlap="1" wp14:anchorId="0DFDD521" wp14:editId="0DFDD522">
                <wp:simplePos x="0" y="0"/>
                <wp:positionH relativeFrom="page">
                  <wp:posOffset>914400</wp:posOffset>
                </wp:positionH>
                <wp:positionV relativeFrom="paragraph">
                  <wp:posOffset>662685</wp:posOffset>
                </wp:positionV>
                <wp:extent cx="6000750" cy="635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6350"/>
                        </a:xfrm>
                        <a:custGeom>
                          <a:avLst/>
                          <a:gdLst/>
                          <a:ahLst/>
                          <a:cxnLst/>
                          <a:rect l="l" t="t" r="r" b="b"/>
                          <a:pathLst>
                            <a:path w="6000750" h="6350">
                              <a:moveTo>
                                <a:pt x="6000750" y="0"/>
                              </a:moveTo>
                              <a:lnTo>
                                <a:pt x="0" y="0"/>
                              </a:lnTo>
                              <a:lnTo>
                                <a:pt x="0" y="6096"/>
                              </a:lnTo>
                              <a:lnTo>
                                <a:pt x="6000750" y="6096"/>
                              </a:lnTo>
                              <a:lnTo>
                                <a:pt x="6000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3BD24A" id="Graphic 46" o:spid="_x0000_s1026" style="position:absolute;margin-left:1in;margin-top:52.2pt;width:472.5pt;height:.5pt;z-index:15732736;visibility:visible;mso-wrap-style:square;mso-wrap-distance-left:0;mso-wrap-distance-top:0;mso-wrap-distance-right:0;mso-wrap-distance-bottom:0;mso-position-horizontal:absolute;mso-position-horizontal-relative:page;mso-position-vertical:absolute;mso-position-vertical-relative:text;v-text-anchor:top" coordsize="6000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" path="m6000750,l,,,6096r6000750,l6000750,xe" fillcolor="black" stroked="f">
                <v:path arrowok="t"/>
                <w10:wrap anchorx="page"/>
              </v:shape>
            </w:pict>
          </mc:Fallback>
        </mc:AlternateContent>
      </w:r>
      <w:r>
        <w:t>Clarified question 19 of FAM 640 A, Service Organization Type 2 Report Assessment Tool, related to the auditor’s understanding of the</w:t>
      </w:r>
      <w:r>
        <w:rPr>
          <w:spacing w:val="-5"/>
        </w:rPr>
        <w:t xml:space="preserve"> </w:t>
      </w:r>
      <w:r>
        <w:t>entity’s</w:t>
      </w:r>
      <w:r>
        <w:rPr>
          <w:spacing w:val="-6"/>
        </w:rPr>
        <w:t xml:space="preserve"> </w:t>
      </w:r>
      <w:r>
        <w:t>process</w:t>
      </w:r>
      <w:r>
        <w:rPr>
          <w:spacing w:val="-5"/>
        </w:rPr>
        <w:t xml:space="preserve"> </w:t>
      </w:r>
      <w:r>
        <w:t>for</w:t>
      </w:r>
      <w:r>
        <w:rPr>
          <w:spacing w:val="-6"/>
        </w:rPr>
        <w:t xml:space="preserve"> </w:t>
      </w:r>
      <w:r>
        <w:t>assessing</w:t>
      </w:r>
      <w:r>
        <w:rPr>
          <w:spacing w:val="-5"/>
        </w:rPr>
        <w:t xml:space="preserve"> </w:t>
      </w:r>
      <w:r>
        <w:t>and</w:t>
      </w:r>
      <w:r>
        <w:rPr>
          <w:spacing w:val="-5"/>
        </w:rPr>
        <w:t xml:space="preserve"> </w:t>
      </w:r>
      <w:r>
        <w:t>reporting</w:t>
      </w:r>
      <w:r>
        <w:rPr>
          <w:spacing w:val="-6"/>
        </w:rPr>
        <w:t xml:space="preserve"> </w:t>
      </w:r>
      <w:r>
        <w:t>on</w:t>
      </w:r>
      <w:r>
        <w:rPr>
          <w:spacing w:val="-5"/>
        </w:rPr>
        <w:t xml:space="preserve"> </w:t>
      </w:r>
      <w:r>
        <w:t>the</w:t>
      </w:r>
      <w:r>
        <w:rPr>
          <w:spacing w:val="-5"/>
        </w:rPr>
        <w:t xml:space="preserve"> </w:t>
      </w:r>
      <w:r>
        <w:t>effectiveness of internal control.</w:t>
      </w:r>
    </w:p>
    <w:p w14:paraId="0DFDAAB7" w14:textId="77777777" w:rsidR="00046465" w:rsidRDefault="008134EB">
      <w:pPr>
        <w:pStyle w:val="BodyText"/>
        <w:spacing w:before="68"/>
        <w:ind w:left="374" w:right="44"/>
      </w:pPr>
      <w:r>
        <w:rPr>
          <w:noProof/>
        </w:rPr>
        <mc:AlternateContent>
          <mc:Choice Requires="wps">
            <w:drawing>
              <wp:anchor distT="0" distB="0" distL="0" distR="0" simplePos="0" relativeHeight="15733248" behindDoc="0" locked="0" layoutInCell="1" allowOverlap="1" wp14:anchorId="0DFDD523" wp14:editId="0DFDD524">
                <wp:simplePos x="0" y="0"/>
                <wp:positionH relativeFrom="page">
                  <wp:posOffset>914400</wp:posOffset>
                </wp:positionH>
                <wp:positionV relativeFrom="paragraph">
                  <wp:posOffset>1347143</wp:posOffset>
                </wp:positionV>
                <wp:extent cx="6000750" cy="635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6350"/>
                        </a:xfrm>
                        <a:custGeom>
                          <a:avLst/>
                          <a:gdLst/>
                          <a:ahLst/>
                          <a:cxnLst/>
                          <a:rect l="l" t="t" r="r" b="b"/>
                          <a:pathLst>
                            <a:path w="6000750" h="6350">
                              <a:moveTo>
                                <a:pt x="6000750" y="0"/>
                              </a:moveTo>
                              <a:lnTo>
                                <a:pt x="0" y="0"/>
                              </a:lnTo>
                              <a:lnTo>
                                <a:pt x="0" y="6095"/>
                              </a:lnTo>
                              <a:lnTo>
                                <a:pt x="6000750" y="6095"/>
                              </a:lnTo>
                              <a:lnTo>
                                <a:pt x="6000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9E8216" id="Graphic 47" o:spid="_x0000_s1026" style="position:absolute;margin-left:1in;margin-top:106.05pt;width:472.5pt;height:.5pt;z-index:15733248;visibility:visible;mso-wrap-style:square;mso-wrap-distance-left:0;mso-wrap-distance-top:0;mso-wrap-distance-right:0;mso-wrap-distance-bottom:0;mso-position-horizontal:absolute;mso-position-horizontal-relative:page;mso-position-vertical:absolute;mso-position-vertical-relative:text;v-text-anchor:top" coordsize="6000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" path="m6000750,l,,,6095r6000750,l6000750,xe" fillcolor="black" stroked="f">
                <v:path arrowok="t"/>
                <w10:wrap anchorx="page"/>
              </v:shape>
            </w:pict>
          </mc:Fallback>
        </mc:AlternateContent>
      </w:r>
      <w:r>
        <w:t>Clarified guidance for inspectors general (IG) overseeing financial statement</w:t>
      </w:r>
      <w:r>
        <w:rPr>
          <w:spacing w:val="-6"/>
        </w:rPr>
        <w:t xml:space="preserve"> </w:t>
      </w:r>
      <w:r>
        <w:t>audits</w:t>
      </w:r>
      <w:r>
        <w:rPr>
          <w:spacing w:val="-6"/>
        </w:rPr>
        <w:t xml:space="preserve"> </w:t>
      </w:r>
      <w:r>
        <w:t>performed</w:t>
      </w:r>
      <w:r>
        <w:rPr>
          <w:spacing w:val="-6"/>
        </w:rPr>
        <w:t xml:space="preserve"> </w:t>
      </w:r>
      <w:r>
        <w:t>by</w:t>
      </w:r>
      <w:r>
        <w:rPr>
          <w:spacing w:val="-6"/>
        </w:rPr>
        <w:t xml:space="preserve"> </w:t>
      </w:r>
      <w:r>
        <w:t>independent</w:t>
      </w:r>
      <w:r>
        <w:rPr>
          <w:spacing w:val="-6"/>
        </w:rPr>
        <w:t xml:space="preserve"> </w:t>
      </w:r>
      <w:r>
        <w:t>public</w:t>
      </w:r>
      <w:r>
        <w:rPr>
          <w:spacing w:val="-6"/>
        </w:rPr>
        <w:t xml:space="preserve"> </w:t>
      </w:r>
      <w:r>
        <w:t>accounting</w:t>
      </w:r>
      <w:r>
        <w:rPr>
          <w:spacing w:val="-6"/>
        </w:rPr>
        <w:t xml:space="preserve"> </w:t>
      </w:r>
      <w:r>
        <w:t>(IPA) firms, including clarifying that the IG should perform at least a low level of review when expressing no assurance, or at least a moderate level of review when expressing negative assurance, on an IPA firm’s compliance with generally accepted government auditing standards. Revised example transmittal letter for IG oversight of financial statement audits performed by IPA firms.</w:t>
      </w:r>
    </w:p>
    <w:p w14:paraId="0DFDAAB8" w14:textId="77777777" w:rsidR="00046465" w:rsidRDefault="008134EB">
      <w:pPr>
        <w:pStyle w:val="BodyText"/>
        <w:spacing w:before="68"/>
        <w:ind w:left="374" w:right="123"/>
      </w:pPr>
      <w:r>
        <w:rPr>
          <w:noProof/>
        </w:rPr>
        <mc:AlternateContent>
          <mc:Choice Requires="wps">
            <w:drawing>
              <wp:anchor distT="0" distB="0" distL="0" distR="0" simplePos="0" relativeHeight="15733760" behindDoc="0" locked="0" layoutInCell="1" allowOverlap="1" wp14:anchorId="0DFDD525" wp14:editId="0DFDD526">
                <wp:simplePos x="0" y="0"/>
                <wp:positionH relativeFrom="page">
                  <wp:posOffset>914400</wp:posOffset>
                </wp:positionH>
                <wp:positionV relativeFrom="paragraph">
                  <wp:posOffset>864652</wp:posOffset>
                </wp:positionV>
                <wp:extent cx="6000750" cy="635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6350"/>
                        </a:xfrm>
                        <a:custGeom>
                          <a:avLst/>
                          <a:gdLst/>
                          <a:ahLst/>
                          <a:cxnLst/>
                          <a:rect l="l" t="t" r="r" b="b"/>
                          <a:pathLst>
                            <a:path w="6000750" h="6350">
                              <a:moveTo>
                                <a:pt x="6000750" y="0"/>
                              </a:moveTo>
                              <a:lnTo>
                                <a:pt x="0" y="0"/>
                              </a:lnTo>
                              <a:lnTo>
                                <a:pt x="0" y="6095"/>
                              </a:lnTo>
                              <a:lnTo>
                                <a:pt x="6000750" y="6095"/>
                              </a:lnTo>
                              <a:lnTo>
                                <a:pt x="6000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4051A2" id="Graphic 48" o:spid="_x0000_s1026" style="position:absolute;margin-left:1in;margin-top:68.1pt;width:472.5pt;height:.5pt;z-index:15733760;visibility:visible;mso-wrap-style:square;mso-wrap-distance-left:0;mso-wrap-distance-top:0;mso-wrap-distance-right:0;mso-wrap-distance-bottom:0;mso-position-horizontal:absolute;mso-position-horizontal-relative:page;mso-position-vertical:absolute;mso-position-vertical-relative:text;v-text-anchor:top" coordsize="6000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" path="m6000750,l,,,6095r6000750,l6000750,xe" fillcolor="black" stroked="f">
                <v:path arrowok="t"/>
                <w10:wrap anchorx="page"/>
              </v:shape>
            </w:pict>
          </mc:Fallback>
        </mc:AlternateContent>
      </w:r>
      <w:r>
        <w:t>Revised requirements and guidance for assessing financial management systems’ compliance under the Federal Financial Management</w:t>
      </w:r>
      <w:r>
        <w:rPr>
          <w:spacing w:val="-5"/>
        </w:rPr>
        <w:t xml:space="preserve"> </w:t>
      </w:r>
      <w:r>
        <w:t>Improvement</w:t>
      </w:r>
      <w:r>
        <w:rPr>
          <w:spacing w:val="-5"/>
        </w:rPr>
        <w:t xml:space="preserve"> </w:t>
      </w:r>
      <w:r>
        <w:t>Act</w:t>
      </w:r>
      <w:r>
        <w:rPr>
          <w:spacing w:val="-5"/>
        </w:rPr>
        <w:t xml:space="preserve"> </w:t>
      </w:r>
      <w:r>
        <w:t>of</w:t>
      </w:r>
      <w:r>
        <w:rPr>
          <w:spacing w:val="-5"/>
        </w:rPr>
        <w:t xml:space="preserve"> </w:t>
      </w:r>
      <w:r>
        <w:t>1996</w:t>
      </w:r>
      <w:r>
        <w:rPr>
          <w:spacing w:val="-5"/>
        </w:rPr>
        <w:t xml:space="preserve"> </w:t>
      </w:r>
      <w:r>
        <w:t>to</w:t>
      </w:r>
      <w:r>
        <w:rPr>
          <w:spacing w:val="-5"/>
        </w:rPr>
        <w:t xml:space="preserve"> </w:t>
      </w:r>
      <w:r>
        <w:t>address</w:t>
      </w:r>
      <w:r>
        <w:rPr>
          <w:spacing w:val="-5"/>
        </w:rPr>
        <w:t xml:space="preserve"> </w:t>
      </w:r>
      <w:r>
        <w:t>recent</w:t>
      </w:r>
      <w:r>
        <w:rPr>
          <w:spacing w:val="-5"/>
        </w:rPr>
        <w:t xml:space="preserve"> </w:t>
      </w:r>
      <w:r>
        <w:t>changes to federal financial management systems requirements and Office of Management and Budget guidance.</w:t>
      </w:r>
    </w:p>
    <w:p w14:paraId="0DFDAAB9" w14:textId="77777777" w:rsidR="00046465" w:rsidRDefault="008134EB">
      <w:pPr>
        <w:spacing w:before="68"/>
        <w:ind w:left="374" w:right="44"/>
      </w:pPr>
      <w:r>
        <w:rPr>
          <w:noProof/>
        </w:rPr>
        <mc:AlternateContent>
          <mc:Choice Requires="wps">
            <w:drawing>
              <wp:anchor distT="0" distB="0" distL="0" distR="0" simplePos="0" relativeHeight="15734272" behindDoc="0" locked="0" layoutInCell="1" allowOverlap="1" wp14:anchorId="0DFDD527" wp14:editId="0DFDD528">
                <wp:simplePos x="0" y="0"/>
                <wp:positionH relativeFrom="page">
                  <wp:posOffset>914400</wp:posOffset>
                </wp:positionH>
                <wp:positionV relativeFrom="paragraph">
                  <wp:posOffset>543283</wp:posOffset>
                </wp:positionV>
                <wp:extent cx="6000750" cy="6350"/>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6350"/>
                        </a:xfrm>
                        <a:custGeom>
                          <a:avLst/>
                          <a:gdLst/>
                          <a:ahLst/>
                          <a:cxnLst/>
                          <a:rect l="l" t="t" r="r" b="b"/>
                          <a:pathLst>
                            <a:path w="6000750" h="6350">
                              <a:moveTo>
                                <a:pt x="6000750" y="0"/>
                              </a:moveTo>
                              <a:lnTo>
                                <a:pt x="0" y="0"/>
                              </a:lnTo>
                              <a:lnTo>
                                <a:pt x="0" y="6095"/>
                              </a:lnTo>
                              <a:lnTo>
                                <a:pt x="6000750" y="6095"/>
                              </a:lnTo>
                              <a:lnTo>
                                <a:pt x="6000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73B4F1" id="Graphic 49" o:spid="_x0000_s1026" style="position:absolute;margin-left:1in;margin-top:42.8pt;width:472.5pt;height:.5pt;z-index:15734272;visibility:visible;mso-wrap-style:square;mso-wrap-distance-left:0;mso-wrap-distance-top:0;mso-wrap-distance-right:0;mso-wrap-distance-bottom:0;mso-position-horizontal:absolute;mso-position-horizontal-relative:page;mso-position-vertical:absolute;mso-position-vertical-relative:text;v-text-anchor:top" coordsize="6000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" path="m6000750,l,,,6095r6000750,l6000750,xe" fillcolor="black" stroked="f">
                <v:path arrowok="t"/>
                <w10:wrap anchorx="page"/>
              </v:shape>
            </w:pict>
          </mc:Fallback>
        </mc:AlternateContent>
      </w:r>
      <w:r>
        <w:t>Updated</w:t>
      </w:r>
      <w:r>
        <w:rPr>
          <w:spacing w:val="-7"/>
        </w:rPr>
        <w:t xml:space="preserve"> </w:t>
      </w:r>
      <w:r>
        <w:t>requirements</w:t>
      </w:r>
      <w:r>
        <w:rPr>
          <w:spacing w:val="-7"/>
        </w:rPr>
        <w:t xml:space="preserve"> </w:t>
      </w:r>
      <w:r>
        <w:t>and</w:t>
      </w:r>
      <w:r>
        <w:rPr>
          <w:spacing w:val="-7"/>
        </w:rPr>
        <w:t xml:space="preserve"> </w:t>
      </w:r>
      <w:r>
        <w:t>guidance</w:t>
      </w:r>
      <w:r>
        <w:rPr>
          <w:spacing w:val="-8"/>
        </w:rPr>
        <w:t xml:space="preserve"> </w:t>
      </w:r>
      <w:r>
        <w:t>for</w:t>
      </w:r>
      <w:r>
        <w:rPr>
          <w:spacing w:val="-7"/>
        </w:rPr>
        <w:t xml:space="preserve"> </w:t>
      </w:r>
      <w:r>
        <w:t>performing</w:t>
      </w:r>
      <w:r>
        <w:rPr>
          <w:spacing w:val="-7"/>
        </w:rPr>
        <w:t xml:space="preserve"> </w:t>
      </w:r>
      <w:r>
        <w:t xml:space="preserve">agreed-upon procedures engagements based on the </w:t>
      </w:r>
      <w:r>
        <w:rPr>
          <w:i/>
        </w:rPr>
        <w:t>U.S. Attestation Standards—AICPA [Clarified]</w:t>
      </w:r>
      <w:r>
        <w:t>, sections 105 and 215.</w:t>
      </w:r>
    </w:p>
    <w:p w14:paraId="0DFDAABA" w14:textId="77777777" w:rsidR="00046465" w:rsidRDefault="008134EB">
      <w:pPr>
        <w:pStyle w:val="BodyText"/>
        <w:spacing w:before="68"/>
        <w:ind w:left="374" w:right="44"/>
      </w:pPr>
      <w:r>
        <w:rPr>
          <w:noProof/>
        </w:rPr>
        <mc:AlternateContent>
          <mc:Choice Requires="wps">
            <w:drawing>
              <wp:anchor distT="0" distB="0" distL="0" distR="0" simplePos="0" relativeHeight="15734784" behindDoc="0" locked="0" layoutInCell="1" allowOverlap="1" wp14:anchorId="0DFDD529" wp14:editId="0DFDD52A">
                <wp:simplePos x="0" y="0"/>
                <wp:positionH relativeFrom="page">
                  <wp:posOffset>914400</wp:posOffset>
                </wp:positionH>
                <wp:positionV relativeFrom="paragraph">
                  <wp:posOffset>703979</wp:posOffset>
                </wp:positionV>
                <wp:extent cx="6000750" cy="6350"/>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6350"/>
                        </a:xfrm>
                        <a:custGeom>
                          <a:avLst/>
                          <a:gdLst/>
                          <a:ahLst/>
                          <a:cxnLst/>
                          <a:rect l="l" t="t" r="r" b="b"/>
                          <a:pathLst>
                            <a:path w="6000750" h="6350">
                              <a:moveTo>
                                <a:pt x="6000750" y="0"/>
                              </a:moveTo>
                              <a:lnTo>
                                <a:pt x="0" y="0"/>
                              </a:lnTo>
                              <a:lnTo>
                                <a:pt x="0" y="6095"/>
                              </a:lnTo>
                              <a:lnTo>
                                <a:pt x="6000750" y="6095"/>
                              </a:lnTo>
                              <a:lnTo>
                                <a:pt x="6000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4A7A63" id="Graphic 50" o:spid="_x0000_s1026" style="position:absolute;margin-left:1in;margin-top:55.45pt;width:472.5pt;height:.5pt;z-index:15734784;visibility:visible;mso-wrap-style:square;mso-wrap-distance-left:0;mso-wrap-distance-top:0;mso-wrap-distance-right:0;mso-wrap-distance-bottom:0;mso-position-horizontal:absolute;mso-position-horizontal-relative:page;mso-position-vertical:absolute;mso-position-vertical-relative:text;v-text-anchor:top" coordsize="6000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" path="m6000750,l,,,6095r6000750,l6000750,xe" fillcolor="black" stroked="f">
                <v:path arrowok="t"/>
                <w10:wrap anchorx="page"/>
              </v:shape>
            </w:pict>
          </mc:Fallback>
        </mc:AlternateContent>
      </w:r>
      <w:r>
        <w:t>Updated guidance for auditing intragovernmental activity and balances,</w:t>
      </w:r>
      <w:r>
        <w:rPr>
          <w:spacing w:val="-6"/>
        </w:rPr>
        <w:t xml:space="preserve"> </w:t>
      </w:r>
      <w:r>
        <w:t>including</w:t>
      </w:r>
      <w:r>
        <w:rPr>
          <w:spacing w:val="-5"/>
        </w:rPr>
        <w:t xml:space="preserve"> </w:t>
      </w:r>
      <w:r>
        <w:t>guidance</w:t>
      </w:r>
      <w:r>
        <w:rPr>
          <w:spacing w:val="-5"/>
        </w:rPr>
        <w:t xml:space="preserve"> </w:t>
      </w:r>
      <w:r>
        <w:t>related</w:t>
      </w:r>
      <w:r>
        <w:rPr>
          <w:spacing w:val="-6"/>
        </w:rPr>
        <w:t xml:space="preserve"> </w:t>
      </w:r>
      <w:r>
        <w:t>to</w:t>
      </w:r>
      <w:r>
        <w:rPr>
          <w:spacing w:val="-5"/>
        </w:rPr>
        <w:t xml:space="preserve"> </w:t>
      </w:r>
      <w:r>
        <w:t>the</w:t>
      </w:r>
      <w:r>
        <w:rPr>
          <w:spacing w:val="-5"/>
        </w:rPr>
        <w:t xml:space="preserve"> </w:t>
      </w:r>
      <w:r>
        <w:t>federal</w:t>
      </w:r>
      <w:r>
        <w:rPr>
          <w:spacing w:val="-5"/>
        </w:rPr>
        <w:t xml:space="preserve"> </w:t>
      </w:r>
      <w:r>
        <w:t>government’s</w:t>
      </w:r>
      <w:r>
        <w:rPr>
          <w:spacing w:val="-5"/>
        </w:rPr>
        <w:t xml:space="preserve"> </w:t>
      </w:r>
      <w:r>
        <w:t>G-Invoicing system and significant entities’ use of a standardized balance sheet.</w:t>
      </w:r>
    </w:p>
    <w:p w14:paraId="0DFDAABB" w14:textId="77777777" w:rsidR="00046465" w:rsidRDefault="008134EB">
      <w:pPr>
        <w:pStyle w:val="BodyText"/>
        <w:spacing w:before="68"/>
        <w:ind w:left="374" w:right="44"/>
      </w:pPr>
      <w:r>
        <w:rPr>
          <w:noProof/>
        </w:rPr>
        <mc:AlternateContent>
          <mc:Choice Requires="wps">
            <w:drawing>
              <wp:anchor distT="0" distB="0" distL="0" distR="0" simplePos="0" relativeHeight="15735296" behindDoc="0" locked="0" layoutInCell="1" allowOverlap="1" wp14:anchorId="0DFDD52B" wp14:editId="0DFDD52C">
                <wp:simplePos x="0" y="0"/>
                <wp:positionH relativeFrom="page">
                  <wp:posOffset>914400</wp:posOffset>
                </wp:positionH>
                <wp:positionV relativeFrom="paragraph">
                  <wp:posOffset>383232</wp:posOffset>
                </wp:positionV>
                <wp:extent cx="6000750" cy="635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6350"/>
                        </a:xfrm>
                        <a:custGeom>
                          <a:avLst/>
                          <a:gdLst/>
                          <a:ahLst/>
                          <a:cxnLst/>
                          <a:rect l="l" t="t" r="r" b="b"/>
                          <a:pathLst>
                            <a:path w="6000750" h="6350">
                              <a:moveTo>
                                <a:pt x="6000750" y="0"/>
                              </a:moveTo>
                              <a:lnTo>
                                <a:pt x="0" y="0"/>
                              </a:lnTo>
                              <a:lnTo>
                                <a:pt x="0" y="6096"/>
                              </a:lnTo>
                              <a:lnTo>
                                <a:pt x="6000750" y="6096"/>
                              </a:lnTo>
                              <a:lnTo>
                                <a:pt x="6000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B4740E" id="Graphic 51" o:spid="_x0000_s1026" style="position:absolute;margin-left:1in;margin-top:30.2pt;width:472.5pt;height:.5pt;z-index:15735296;visibility:visible;mso-wrap-style:square;mso-wrap-distance-left:0;mso-wrap-distance-top:0;mso-wrap-distance-right:0;mso-wrap-distance-bottom:0;mso-position-horizontal:absolute;mso-position-horizontal-relative:page;mso-position-vertical:absolute;mso-position-vertical-relative:text;v-text-anchor:top" coordsize="6000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" path="m6000750,l,,,6096r6000750,l6000750,xe" fillcolor="black" stroked="f">
                <v:path arrowok="t"/>
                <w10:wrap anchorx="page"/>
              </v:shape>
            </w:pict>
          </mc:Fallback>
        </mc:AlternateContent>
      </w:r>
      <w:r>
        <w:t>Added</w:t>
      </w:r>
      <w:r>
        <w:rPr>
          <w:spacing w:val="-6"/>
        </w:rPr>
        <w:t xml:space="preserve"> </w:t>
      </w:r>
      <w:r>
        <w:t>new</w:t>
      </w:r>
      <w:r>
        <w:rPr>
          <w:spacing w:val="-6"/>
        </w:rPr>
        <w:t xml:space="preserve"> </w:t>
      </w:r>
      <w:r>
        <w:t>requirements</w:t>
      </w:r>
      <w:r>
        <w:rPr>
          <w:spacing w:val="-6"/>
        </w:rPr>
        <w:t xml:space="preserve"> </w:t>
      </w:r>
      <w:r>
        <w:t>and</w:t>
      </w:r>
      <w:r>
        <w:rPr>
          <w:spacing w:val="-6"/>
        </w:rPr>
        <w:t xml:space="preserve"> </w:t>
      </w:r>
      <w:r>
        <w:t>guidance</w:t>
      </w:r>
      <w:r>
        <w:rPr>
          <w:spacing w:val="-6"/>
        </w:rPr>
        <w:t xml:space="preserve"> </w:t>
      </w:r>
      <w:r>
        <w:t>related</w:t>
      </w:r>
      <w:r>
        <w:rPr>
          <w:spacing w:val="-6"/>
        </w:rPr>
        <w:t xml:space="preserve"> </w:t>
      </w:r>
      <w:r>
        <w:t>to</w:t>
      </w:r>
      <w:r>
        <w:rPr>
          <w:spacing w:val="-6"/>
        </w:rPr>
        <w:t xml:space="preserve"> </w:t>
      </w:r>
      <w:r>
        <w:t xml:space="preserve">non-production </w:t>
      </w:r>
      <w:r>
        <w:rPr>
          <w:spacing w:val="-2"/>
        </w:rPr>
        <w:t>costs.</w:t>
      </w:r>
    </w:p>
    <w:p w14:paraId="0DFDAABC" w14:textId="77777777" w:rsidR="00046465" w:rsidRDefault="008134EB">
      <w:pPr>
        <w:pStyle w:val="BodyText"/>
        <w:spacing w:before="68"/>
        <w:ind w:left="374" w:right="123"/>
      </w:pPr>
      <w:r>
        <w:rPr>
          <w:noProof/>
        </w:rPr>
        <mc:AlternateContent>
          <mc:Choice Requires="wps">
            <w:drawing>
              <wp:anchor distT="0" distB="0" distL="0" distR="0" simplePos="0" relativeHeight="15735808" behindDoc="0" locked="0" layoutInCell="1" allowOverlap="1" wp14:anchorId="0DFDD52D" wp14:editId="0DFDD52E">
                <wp:simplePos x="0" y="0"/>
                <wp:positionH relativeFrom="page">
                  <wp:posOffset>914400</wp:posOffset>
                </wp:positionH>
                <wp:positionV relativeFrom="paragraph">
                  <wp:posOffset>383005</wp:posOffset>
                </wp:positionV>
                <wp:extent cx="6000750" cy="635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6350"/>
                        </a:xfrm>
                        <a:custGeom>
                          <a:avLst/>
                          <a:gdLst/>
                          <a:ahLst/>
                          <a:cxnLst/>
                          <a:rect l="l" t="t" r="r" b="b"/>
                          <a:pathLst>
                            <a:path w="6000750" h="6350">
                              <a:moveTo>
                                <a:pt x="6000750" y="0"/>
                              </a:moveTo>
                              <a:lnTo>
                                <a:pt x="0" y="0"/>
                              </a:lnTo>
                              <a:lnTo>
                                <a:pt x="0" y="6095"/>
                              </a:lnTo>
                              <a:lnTo>
                                <a:pt x="6000750" y="6095"/>
                              </a:lnTo>
                              <a:lnTo>
                                <a:pt x="6000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27BA3A" id="Graphic 52" o:spid="_x0000_s1026" style="position:absolute;margin-left:1in;margin-top:30.15pt;width:472.5pt;height:.5pt;z-index:15735808;visibility:visible;mso-wrap-style:square;mso-wrap-distance-left:0;mso-wrap-distance-top:0;mso-wrap-distance-right:0;mso-wrap-distance-bottom:0;mso-position-horizontal:absolute;mso-position-horizontal-relative:page;mso-position-vertical:absolute;mso-position-vertical-relative:text;v-text-anchor:top" coordsize="6000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" path="m6000750,l,,,6095r6000750,l6000750,xe" fillcolor="black" stroked="f">
                <v:path arrowok="t"/>
                <w10:wrap anchorx="page"/>
              </v:shape>
            </w:pict>
          </mc:Fallback>
        </mc:AlternateContent>
      </w:r>
      <w:r>
        <w:t>Revised</w:t>
      </w:r>
      <w:r>
        <w:rPr>
          <w:spacing w:val="-5"/>
        </w:rPr>
        <w:t xml:space="preserve"> </w:t>
      </w:r>
      <w:r>
        <w:t>examples</w:t>
      </w:r>
      <w:r>
        <w:rPr>
          <w:spacing w:val="-5"/>
        </w:rPr>
        <w:t xml:space="preserve"> </w:t>
      </w:r>
      <w:r>
        <w:t>of</w:t>
      </w:r>
      <w:r>
        <w:rPr>
          <w:spacing w:val="-5"/>
        </w:rPr>
        <w:t xml:space="preserve"> </w:t>
      </w:r>
      <w:r>
        <w:t>control</w:t>
      </w:r>
      <w:r>
        <w:rPr>
          <w:spacing w:val="-5"/>
        </w:rPr>
        <w:t xml:space="preserve"> </w:t>
      </w:r>
      <w:r>
        <w:t>objectives</w:t>
      </w:r>
      <w:r>
        <w:rPr>
          <w:spacing w:val="-5"/>
        </w:rPr>
        <w:t xml:space="preserve"> </w:t>
      </w:r>
      <w:r>
        <w:t>by</w:t>
      </w:r>
      <w:r>
        <w:rPr>
          <w:spacing w:val="-5"/>
        </w:rPr>
        <w:t xml:space="preserve"> </w:t>
      </w:r>
      <w:r>
        <w:t>assertion</w:t>
      </w:r>
      <w:r>
        <w:rPr>
          <w:spacing w:val="-5"/>
        </w:rPr>
        <w:t xml:space="preserve"> </w:t>
      </w:r>
      <w:r>
        <w:t>related</w:t>
      </w:r>
      <w:r>
        <w:rPr>
          <w:spacing w:val="-6"/>
        </w:rPr>
        <w:t xml:space="preserve"> </w:t>
      </w:r>
      <w:r>
        <w:t xml:space="preserve">to </w:t>
      </w:r>
      <w:r>
        <w:rPr>
          <w:spacing w:val="-2"/>
        </w:rPr>
        <w:t>costs.</w:t>
      </w:r>
    </w:p>
    <w:p w14:paraId="0DFDAABD" w14:textId="77777777" w:rsidR="00046465" w:rsidRDefault="008134EB">
      <w:pPr>
        <w:pStyle w:val="BodyText"/>
        <w:spacing w:before="67"/>
        <w:ind w:left="374" w:right="44"/>
      </w:pPr>
      <w:r>
        <w:rPr>
          <w:noProof/>
        </w:rPr>
        <mc:AlternateContent>
          <mc:Choice Requires="wps">
            <w:drawing>
              <wp:anchor distT="0" distB="0" distL="0" distR="0" simplePos="0" relativeHeight="15736320" behindDoc="0" locked="0" layoutInCell="1" allowOverlap="1" wp14:anchorId="0DFDD52F" wp14:editId="0DFDD530">
                <wp:simplePos x="0" y="0"/>
                <wp:positionH relativeFrom="page">
                  <wp:posOffset>914400</wp:posOffset>
                </wp:positionH>
                <wp:positionV relativeFrom="paragraph">
                  <wp:posOffset>1025906</wp:posOffset>
                </wp:positionV>
                <wp:extent cx="6000750" cy="635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6350"/>
                        </a:xfrm>
                        <a:custGeom>
                          <a:avLst/>
                          <a:gdLst/>
                          <a:ahLst/>
                          <a:cxnLst/>
                          <a:rect l="l" t="t" r="r" b="b"/>
                          <a:pathLst>
                            <a:path w="6000750" h="6350">
                              <a:moveTo>
                                <a:pt x="6000750" y="0"/>
                              </a:moveTo>
                              <a:lnTo>
                                <a:pt x="0" y="0"/>
                              </a:lnTo>
                              <a:lnTo>
                                <a:pt x="0" y="6095"/>
                              </a:lnTo>
                              <a:lnTo>
                                <a:pt x="6000750" y="6095"/>
                              </a:lnTo>
                              <a:lnTo>
                                <a:pt x="6000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0C7B08" id="Graphic 53" o:spid="_x0000_s1026" style="position:absolute;margin-left:1in;margin-top:80.8pt;width:472.5pt;height:.5pt;z-index:15736320;visibility:visible;mso-wrap-style:square;mso-wrap-distance-left:0;mso-wrap-distance-top:0;mso-wrap-distance-right:0;mso-wrap-distance-bottom:0;mso-position-horizontal:absolute;mso-position-horizontal-relative:page;mso-position-vertical:absolute;mso-position-vertical-relative:text;v-text-anchor:top" coordsize="6000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" path="m6000750,l,,,6095r6000750,l6000750,xe" fillcolor="black" stroked="f">
                <v:path arrowok="t"/>
                <w10:wrap anchorx="page"/>
              </v:shape>
            </w:pict>
          </mc:Fallback>
        </mc:AlternateContent>
      </w:r>
      <w:r>
        <w:t>Added guidance for auditing property, plant, and equipment land and updated guidance for auditing stewardship land, in light of the implementation of Statement of Federal Financial Accounting Standards</w:t>
      </w:r>
      <w:r>
        <w:rPr>
          <w:spacing w:val="-5"/>
        </w:rPr>
        <w:t xml:space="preserve"> </w:t>
      </w:r>
      <w:r>
        <w:t>59,</w:t>
      </w:r>
      <w:r>
        <w:rPr>
          <w:spacing w:val="-5"/>
        </w:rPr>
        <w:t xml:space="preserve"> </w:t>
      </w:r>
      <w:r>
        <w:rPr>
          <w:i/>
        </w:rPr>
        <w:t>Accounting</w:t>
      </w:r>
      <w:r>
        <w:rPr>
          <w:i/>
          <w:spacing w:val="-5"/>
        </w:rPr>
        <w:t xml:space="preserve"> </w:t>
      </w:r>
      <w:r>
        <w:rPr>
          <w:i/>
        </w:rPr>
        <w:t>and</w:t>
      </w:r>
      <w:r>
        <w:rPr>
          <w:i/>
          <w:spacing w:val="-5"/>
        </w:rPr>
        <w:t xml:space="preserve"> </w:t>
      </w:r>
      <w:r>
        <w:rPr>
          <w:i/>
        </w:rPr>
        <w:t>Reporting</w:t>
      </w:r>
      <w:r>
        <w:rPr>
          <w:i/>
          <w:spacing w:val="-5"/>
        </w:rPr>
        <w:t xml:space="preserve"> </w:t>
      </w:r>
      <w:r>
        <w:rPr>
          <w:i/>
        </w:rPr>
        <w:t>of</w:t>
      </w:r>
      <w:r>
        <w:rPr>
          <w:i/>
          <w:spacing w:val="-5"/>
        </w:rPr>
        <w:t xml:space="preserve"> </w:t>
      </w:r>
      <w:r>
        <w:rPr>
          <w:i/>
        </w:rPr>
        <w:t>Government</w:t>
      </w:r>
      <w:r>
        <w:rPr>
          <w:i/>
          <w:spacing w:val="-5"/>
        </w:rPr>
        <w:t xml:space="preserve"> </w:t>
      </w:r>
      <w:r>
        <w:rPr>
          <w:i/>
        </w:rPr>
        <w:t>Land</w:t>
      </w:r>
      <w:r>
        <w:t>,</w:t>
      </w:r>
      <w:r>
        <w:rPr>
          <w:spacing w:val="-5"/>
        </w:rPr>
        <w:t xml:space="preserve"> </w:t>
      </w:r>
      <w:r>
        <w:t>and Technical Bulletin 2025-1. Moved guidance on auditing heritage assets from FAM 931 to FAM 932.</w:t>
      </w:r>
    </w:p>
    <w:p w14:paraId="0DFDAABE" w14:textId="77777777" w:rsidR="00046465" w:rsidRDefault="008134EB">
      <w:pPr>
        <w:spacing w:before="69"/>
        <w:ind w:left="374" w:right="44"/>
      </w:pPr>
      <w:r>
        <w:rPr>
          <w:noProof/>
        </w:rPr>
        <mc:AlternateContent>
          <mc:Choice Requires="wps">
            <w:drawing>
              <wp:anchor distT="0" distB="0" distL="0" distR="0" simplePos="0" relativeHeight="15736832" behindDoc="0" locked="0" layoutInCell="1" allowOverlap="1" wp14:anchorId="0DFDD531" wp14:editId="0DFDD532">
                <wp:simplePos x="0" y="0"/>
                <wp:positionH relativeFrom="page">
                  <wp:posOffset>914400</wp:posOffset>
                </wp:positionH>
                <wp:positionV relativeFrom="paragraph">
                  <wp:posOffset>1026115</wp:posOffset>
                </wp:positionV>
                <wp:extent cx="6000750" cy="6350"/>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6350"/>
                        </a:xfrm>
                        <a:custGeom>
                          <a:avLst/>
                          <a:gdLst/>
                          <a:ahLst/>
                          <a:cxnLst/>
                          <a:rect l="l" t="t" r="r" b="b"/>
                          <a:pathLst>
                            <a:path w="6000750" h="6350">
                              <a:moveTo>
                                <a:pt x="6000750" y="0"/>
                              </a:moveTo>
                              <a:lnTo>
                                <a:pt x="0" y="0"/>
                              </a:lnTo>
                              <a:lnTo>
                                <a:pt x="0" y="6096"/>
                              </a:lnTo>
                              <a:lnTo>
                                <a:pt x="6000750" y="6096"/>
                              </a:lnTo>
                              <a:lnTo>
                                <a:pt x="6000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E022D3" id="Graphic 54" o:spid="_x0000_s1026" style="position:absolute;margin-left:1in;margin-top:80.8pt;width:472.5pt;height:.5pt;z-index:15736832;visibility:visible;mso-wrap-style:square;mso-wrap-distance-left:0;mso-wrap-distance-top:0;mso-wrap-distance-right:0;mso-wrap-distance-bottom:0;mso-position-horizontal:absolute;mso-position-horizontal-relative:page;mso-position-vertical:absolute;mso-position-vertical-relative:text;v-text-anchor:top" coordsize="6000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" path="m6000750,l,,,6096r6000750,l6000750,xe" fillcolor="black" stroked="f">
                <v:path arrowok="t"/>
                <w10:wrap anchorx="page"/>
              </v:shape>
            </w:pict>
          </mc:Fallback>
        </mc:AlternateContent>
      </w:r>
      <w:r>
        <w:t>Created</w:t>
      </w:r>
      <w:r>
        <w:rPr>
          <w:spacing w:val="-4"/>
        </w:rPr>
        <w:t xml:space="preserve"> </w:t>
      </w:r>
      <w:r>
        <w:t>a</w:t>
      </w:r>
      <w:r>
        <w:rPr>
          <w:spacing w:val="-4"/>
        </w:rPr>
        <w:t xml:space="preserve"> </w:t>
      </w:r>
      <w:r>
        <w:t>new</w:t>
      </w:r>
      <w:r>
        <w:rPr>
          <w:spacing w:val="-4"/>
        </w:rPr>
        <w:t xml:space="preserve"> </w:t>
      </w:r>
      <w:r>
        <w:t>section,</w:t>
      </w:r>
      <w:r>
        <w:rPr>
          <w:spacing w:val="-5"/>
        </w:rPr>
        <w:t xml:space="preserve"> </w:t>
      </w:r>
      <w:r>
        <w:t>FAM</w:t>
      </w:r>
      <w:r>
        <w:rPr>
          <w:spacing w:val="-4"/>
        </w:rPr>
        <w:t xml:space="preserve"> </w:t>
      </w:r>
      <w:r>
        <w:t>932,</w:t>
      </w:r>
      <w:r>
        <w:rPr>
          <w:spacing w:val="-4"/>
        </w:rPr>
        <w:t xml:space="preserve"> </w:t>
      </w:r>
      <w:r>
        <w:t>and</w:t>
      </w:r>
      <w:r>
        <w:rPr>
          <w:spacing w:val="-4"/>
        </w:rPr>
        <w:t xml:space="preserve"> </w:t>
      </w:r>
      <w:r>
        <w:t>moved</w:t>
      </w:r>
      <w:r>
        <w:rPr>
          <w:spacing w:val="-4"/>
        </w:rPr>
        <w:t xml:space="preserve"> </w:t>
      </w:r>
      <w:r>
        <w:t>guidance</w:t>
      </w:r>
      <w:r>
        <w:rPr>
          <w:spacing w:val="-4"/>
        </w:rPr>
        <w:t xml:space="preserve"> </w:t>
      </w:r>
      <w:r>
        <w:t>on</w:t>
      </w:r>
      <w:r>
        <w:rPr>
          <w:spacing w:val="-5"/>
        </w:rPr>
        <w:t xml:space="preserve"> </w:t>
      </w:r>
      <w:r>
        <w:t xml:space="preserve">auditing heritage assets from FAM 931 to this section. Added reference to Technical Release 9, </w:t>
      </w:r>
      <w:r>
        <w:rPr>
          <w:i/>
        </w:rPr>
        <w:t>Implementation Guide for Statement of Federal Financial Accounting Standards 29: Heritage Assets and Stewardship</w:t>
      </w:r>
      <w:r>
        <w:rPr>
          <w:i/>
          <w:spacing w:val="-2"/>
        </w:rPr>
        <w:t xml:space="preserve"> </w:t>
      </w:r>
      <w:r>
        <w:rPr>
          <w:i/>
        </w:rPr>
        <w:t>Land</w:t>
      </w:r>
      <w:r>
        <w:t>,</w:t>
      </w:r>
      <w:r>
        <w:rPr>
          <w:spacing w:val="-2"/>
        </w:rPr>
        <w:t xml:space="preserve"> </w:t>
      </w:r>
      <w:r>
        <w:t>relating</w:t>
      </w:r>
      <w:r>
        <w:rPr>
          <w:spacing w:val="-2"/>
        </w:rPr>
        <w:t xml:space="preserve"> </w:t>
      </w:r>
      <w:r>
        <w:t>to</w:t>
      </w:r>
      <w:r>
        <w:rPr>
          <w:spacing w:val="-2"/>
        </w:rPr>
        <w:t xml:space="preserve"> </w:t>
      </w:r>
      <w:r>
        <w:t>(1)</w:t>
      </w:r>
      <w:r>
        <w:rPr>
          <w:spacing w:val="-2"/>
        </w:rPr>
        <w:t xml:space="preserve"> </w:t>
      </w:r>
      <w:r>
        <w:t>materiality</w:t>
      </w:r>
      <w:r>
        <w:rPr>
          <w:spacing w:val="-3"/>
        </w:rPr>
        <w:t xml:space="preserve"> </w:t>
      </w:r>
      <w:r>
        <w:t>considerations</w:t>
      </w:r>
      <w:r>
        <w:rPr>
          <w:spacing w:val="-2"/>
        </w:rPr>
        <w:t xml:space="preserve"> </w:t>
      </w:r>
      <w:r>
        <w:t>and</w:t>
      </w:r>
      <w:r>
        <w:rPr>
          <w:spacing w:val="-2"/>
        </w:rPr>
        <w:t xml:space="preserve"> </w:t>
      </w:r>
      <w:r>
        <w:t>(2) identification, categorization, and quantification of heritage assets.</w:t>
      </w:r>
    </w:p>
    <w:p w14:paraId="0DFDAABF" w14:textId="77777777" w:rsidR="00046465" w:rsidRDefault="008134EB">
      <w:pPr>
        <w:pStyle w:val="BodyText"/>
        <w:spacing w:before="67"/>
        <w:ind w:left="374" w:right="44"/>
      </w:pPr>
      <w:r>
        <w:t>Added new requirement for the auditor to obtain additional representations</w:t>
      </w:r>
      <w:r>
        <w:rPr>
          <w:spacing w:val="-6"/>
        </w:rPr>
        <w:t xml:space="preserve"> </w:t>
      </w:r>
      <w:r>
        <w:t>from</w:t>
      </w:r>
      <w:r>
        <w:rPr>
          <w:spacing w:val="-6"/>
        </w:rPr>
        <w:t xml:space="preserve"> </w:t>
      </w:r>
      <w:r>
        <w:t>management</w:t>
      </w:r>
      <w:r>
        <w:rPr>
          <w:spacing w:val="-6"/>
        </w:rPr>
        <w:t xml:space="preserve"> </w:t>
      </w:r>
      <w:r>
        <w:t>if</w:t>
      </w:r>
      <w:r>
        <w:rPr>
          <w:spacing w:val="-6"/>
        </w:rPr>
        <w:t xml:space="preserve"> </w:t>
      </w:r>
      <w:r>
        <w:t>the</w:t>
      </w:r>
      <w:r>
        <w:rPr>
          <w:spacing w:val="-6"/>
        </w:rPr>
        <w:t xml:space="preserve"> </w:t>
      </w:r>
      <w:r>
        <w:t>entity</w:t>
      </w:r>
      <w:r>
        <w:rPr>
          <w:spacing w:val="-6"/>
        </w:rPr>
        <w:t xml:space="preserve"> </w:t>
      </w:r>
      <w:r>
        <w:t>prepares</w:t>
      </w:r>
      <w:r>
        <w:rPr>
          <w:spacing w:val="-6"/>
        </w:rPr>
        <w:t xml:space="preserve"> </w:t>
      </w:r>
      <w:r>
        <w:t>single-year financial statements.</w:t>
      </w:r>
    </w:p>
    <w:p w14:paraId="0DFDAAC0" w14:textId="77777777" w:rsidR="00046465" w:rsidRDefault="008134EB">
      <w:pPr>
        <w:pStyle w:val="BodyText"/>
        <w:spacing w:before="3"/>
        <w:ind w:left="374"/>
      </w:pPr>
      <w:r>
        <w:br w:type="column"/>
      </w:r>
      <w:r>
        <w:t>640</w:t>
      </w:r>
      <w:r>
        <w:rPr>
          <w:spacing w:val="-4"/>
        </w:rPr>
        <w:t xml:space="preserve"> </w:t>
      </w:r>
      <w:r>
        <w:rPr>
          <w:spacing w:val="-10"/>
        </w:rPr>
        <w:t>A</w:t>
      </w:r>
    </w:p>
    <w:p w14:paraId="0DFDAAC1" w14:textId="77777777" w:rsidR="00046465" w:rsidRDefault="00046465">
      <w:pPr>
        <w:pStyle w:val="BodyText"/>
      </w:pPr>
    </w:p>
    <w:p w14:paraId="0DFDAAC2" w14:textId="77777777" w:rsidR="00046465" w:rsidRDefault="00046465">
      <w:pPr>
        <w:pStyle w:val="BodyText"/>
      </w:pPr>
    </w:p>
    <w:p w14:paraId="0DFDAAC3" w14:textId="77777777" w:rsidR="00046465" w:rsidRDefault="00046465">
      <w:pPr>
        <w:pStyle w:val="BodyText"/>
        <w:spacing w:before="68"/>
      </w:pPr>
    </w:p>
    <w:p w14:paraId="0DFDAAC4" w14:textId="77777777" w:rsidR="00046465" w:rsidRDefault="008134EB">
      <w:pPr>
        <w:pStyle w:val="BodyText"/>
        <w:ind w:left="374"/>
      </w:pPr>
      <w:r>
        <w:t>670,</w:t>
      </w:r>
      <w:r>
        <w:rPr>
          <w:spacing w:val="-4"/>
        </w:rPr>
        <w:t xml:space="preserve"> </w:t>
      </w:r>
      <w:r>
        <w:t>670</w:t>
      </w:r>
      <w:r>
        <w:rPr>
          <w:spacing w:val="-3"/>
        </w:rPr>
        <w:t xml:space="preserve"> </w:t>
      </w:r>
      <w:r>
        <w:t>A,</w:t>
      </w:r>
      <w:r>
        <w:rPr>
          <w:spacing w:val="-4"/>
        </w:rPr>
        <w:t xml:space="preserve"> </w:t>
      </w:r>
      <w:r>
        <w:t>670</w:t>
      </w:r>
      <w:r>
        <w:rPr>
          <w:spacing w:val="-3"/>
        </w:rPr>
        <w:t xml:space="preserve"> </w:t>
      </w:r>
      <w:r>
        <w:rPr>
          <w:spacing w:val="-10"/>
        </w:rPr>
        <w:t>B</w:t>
      </w:r>
    </w:p>
    <w:p w14:paraId="0DFDAAC5" w14:textId="77777777" w:rsidR="00046465" w:rsidRDefault="00046465">
      <w:pPr>
        <w:pStyle w:val="BodyText"/>
      </w:pPr>
    </w:p>
    <w:p w14:paraId="0DFDAAC6" w14:textId="77777777" w:rsidR="00046465" w:rsidRDefault="00046465">
      <w:pPr>
        <w:pStyle w:val="BodyText"/>
      </w:pPr>
    </w:p>
    <w:p w14:paraId="0DFDAAC7" w14:textId="77777777" w:rsidR="00046465" w:rsidRDefault="00046465">
      <w:pPr>
        <w:pStyle w:val="BodyText"/>
      </w:pPr>
    </w:p>
    <w:p w14:paraId="0DFDAAC8" w14:textId="77777777" w:rsidR="00046465" w:rsidRDefault="00046465">
      <w:pPr>
        <w:pStyle w:val="BodyText"/>
      </w:pPr>
    </w:p>
    <w:p w14:paraId="0DFDAAC9" w14:textId="77777777" w:rsidR="00046465" w:rsidRDefault="00046465">
      <w:pPr>
        <w:pStyle w:val="BodyText"/>
      </w:pPr>
    </w:p>
    <w:p w14:paraId="0DFDAACA" w14:textId="77777777" w:rsidR="00046465" w:rsidRDefault="00046465">
      <w:pPr>
        <w:pStyle w:val="BodyText"/>
      </w:pPr>
    </w:p>
    <w:p w14:paraId="0DFDAACB" w14:textId="77777777" w:rsidR="00046465" w:rsidRDefault="00046465">
      <w:pPr>
        <w:pStyle w:val="BodyText"/>
        <w:spacing w:before="68"/>
      </w:pPr>
    </w:p>
    <w:p w14:paraId="0DFDAACC" w14:textId="77777777" w:rsidR="00046465" w:rsidRDefault="008134EB">
      <w:pPr>
        <w:pStyle w:val="BodyText"/>
        <w:ind w:left="374"/>
      </w:pPr>
      <w:r>
        <w:t>701,</w:t>
      </w:r>
      <w:r>
        <w:rPr>
          <w:spacing w:val="-4"/>
        </w:rPr>
        <w:t xml:space="preserve"> </w:t>
      </w:r>
      <w:r>
        <w:t>701</w:t>
      </w:r>
      <w:r>
        <w:rPr>
          <w:spacing w:val="-4"/>
        </w:rPr>
        <w:t xml:space="preserve"> </w:t>
      </w:r>
      <w:r>
        <w:rPr>
          <w:spacing w:val="-10"/>
        </w:rPr>
        <w:t>A</w:t>
      </w:r>
    </w:p>
    <w:p w14:paraId="0DFDAACD" w14:textId="77777777" w:rsidR="00046465" w:rsidRDefault="00046465">
      <w:pPr>
        <w:pStyle w:val="BodyText"/>
      </w:pPr>
    </w:p>
    <w:p w14:paraId="0DFDAACE" w14:textId="77777777" w:rsidR="00046465" w:rsidRDefault="00046465">
      <w:pPr>
        <w:pStyle w:val="BodyText"/>
      </w:pPr>
    </w:p>
    <w:p w14:paraId="0DFDAACF" w14:textId="77777777" w:rsidR="00046465" w:rsidRDefault="00046465">
      <w:pPr>
        <w:pStyle w:val="BodyText"/>
      </w:pPr>
    </w:p>
    <w:p w14:paraId="0DFDAAD0" w14:textId="77777777" w:rsidR="00046465" w:rsidRDefault="00046465">
      <w:pPr>
        <w:pStyle w:val="BodyText"/>
        <w:spacing w:before="68"/>
      </w:pPr>
    </w:p>
    <w:p w14:paraId="0DFDAAD1" w14:textId="77777777" w:rsidR="00046465" w:rsidRDefault="008134EB">
      <w:pPr>
        <w:pStyle w:val="BodyText"/>
        <w:ind w:left="374"/>
      </w:pPr>
      <w:r>
        <w:t>710,</w:t>
      </w:r>
      <w:r>
        <w:rPr>
          <w:spacing w:val="-6"/>
        </w:rPr>
        <w:t xml:space="preserve"> </w:t>
      </w:r>
      <w:r>
        <w:t>710</w:t>
      </w:r>
      <w:r>
        <w:rPr>
          <w:spacing w:val="-5"/>
        </w:rPr>
        <w:t xml:space="preserve"> </w:t>
      </w:r>
      <w:r>
        <w:t>A–</w:t>
      </w:r>
      <w:r>
        <w:rPr>
          <w:spacing w:val="-10"/>
        </w:rPr>
        <w:t>E</w:t>
      </w:r>
    </w:p>
    <w:p w14:paraId="0DFDAAD2" w14:textId="77777777" w:rsidR="00046465" w:rsidRDefault="00046465">
      <w:pPr>
        <w:pStyle w:val="BodyText"/>
      </w:pPr>
    </w:p>
    <w:p w14:paraId="0DFDAAD3" w14:textId="77777777" w:rsidR="00046465" w:rsidRDefault="00046465">
      <w:pPr>
        <w:pStyle w:val="BodyText"/>
        <w:spacing w:before="68"/>
      </w:pPr>
    </w:p>
    <w:p w14:paraId="0DFDAAD4" w14:textId="77777777" w:rsidR="00046465" w:rsidRDefault="008134EB">
      <w:pPr>
        <w:pStyle w:val="BodyText"/>
        <w:ind w:left="374"/>
      </w:pPr>
      <w:r>
        <w:t>902,</w:t>
      </w:r>
      <w:r>
        <w:rPr>
          <w:spacing w:val="-4"/>
        </w:rPr>
        <w:t xml:space="preserve"> </w:t>
      </w:r>
      <w:r>
        <w:t>902</w:t>
      </w:r>
      <w:r>
        <w:rPr>
          <w:spacing w:val="-4"/>
        </w:rPr>
        <w:t xml:space="preserve"> </w:t>
      </w:r>
      <w:r>
        <w:rPr>
          <w:spacing w:val="-10"/>
        </w:rPr>
        <w:t>A</w:t>
      </w:r>
    </w:p>
    <w:p w14:paraId="0DFDAAD5" w14:textId="77777777" w:rsidR="00046465" w:rsidRDefault="00046465">
      <w:pPr>
        <w:pStyle w:val="BodyText"/>
      </w:pPr>
    </w:p>
    <w:p w14:paraId="0DFDAAD6" w14:textId="77777777" w:rsidR="00046465" w:rsidRDefault="00046465">
      <w:pPr>
        <w:pStyle w:val="BodyText"/>
      </w:pPr>
    </w:p>
    <w:p w14:paraId="0DFDAAD7" w14:textId="77777777" w:rsidR="00046465" w:rsidRDefault="00046465">
      <w:pPr>
        <w:pStyle w:val="BodyText"/>
        <w:spacing w:before="68"/>
      </w:pPr>
    </w:p>
    <w:p w14:paraId="0DFDAAD8" w14:textId="77777777" w:rsidR="00046465" w:rsidRDefault="008134EB">
      <w:pPr>
        <w:pStyle w:val="BodyText"/>
        <w:ind w:left="374"/>
      </w:pPr>
      <w:r>
        <w:t>903.05,</w:t>
      </w:r>
      <w:r>
        <w:rPr>
          <w:spacing w:val="-8"/>
        </w:rPr>
        <w:t xml:space="preserve"> </w:t>
      </w:r>
      <w:r>
        <w:t>.06,</w:t>
      </w:r>
      <w:r>
        <w:rPr>
          <w:spacing w:val="-6"/>
        </w:rPr>
        <w:t xml:space="preserve"> </w:t>
      </w:r>
      <w:r>
        <w:rPr>
          <w:spacing w:val="-5"/>
        </w:rPr>
        <w:t>.11</w:t>
      </w:r>
    </w:p>
    <w:p w14:paraId="0DFDAAD9" w14:textId="77777777" w:rsidR="00046465" w:rsidRDefault="00046465">
      <w:pPr>
        <w:pStyle w:val="BodyText"/>
        <w:spacing w:before="68"/>
      </w:pPr>
    </w:p>
    <w:p w14:paraId="0DFDAADA" w14:textId="77777777" w:rsidR="00046465" w:rsidRDefault="008134EB">
      <w:pPr>
        <w:pStyle w:val="BodyText"/>
        <w:ind w:left="374"/>
      </w:pPr>
      <w:r>
        <w:rPr>
          <w:spacing w:val="-2"/>
        </w:rPr>
        <w:t>903.06</w:t>
      </w:r>
    </w:p>
    <w:p w14:paraId="0DFDAADB" w14:textId="77777777" w:rsidR="00046465" w:rsidRDefault="00046465">
      <w:pPr>
        <w:pStyle w:val="BodyText"/>
        <w:spacing w:before="67"/>
      </w:pPr>
    </w:p>
    <w:p w14:paraId="0DFDAADC" w14:textId="77777777" w:rsidR="00046465" w:rsidRDefault="008134EB">
      <w:pPr>
        <w:pStyle w:val="BodyText"/>
        <w:ind w:left="374"/>
      </w:pPr>
      <w:r>
        <w:rPr>
          <w:spacing w:val="-5"/>
        </w:rPr>
        <w:t>931</w:t>
      </w:r>
    </w:p>
    <w:p w14:paraId="0DFDAADD" w14:textId="77777777" w:rsidR="00046465" w:rsidRDefault="00046465">
      <w:pPr>
        <w:pStyle w:val="BodyText"/>
      </w:pPr>
    </w:p>
    <w:p w14:paraId="0DFDAADE" w14:textId="77777777" w:rsidR="00046465" w:rsidRDefault="00046465">
      <w:pPr>
        <w:pStyle w:val="BodyText"/>
      </w:pPr>
    </w:p>
    <w:p w14:paraId="0DFDAADF" w14:textId="77777777" w:rsidR="00046465" w:rsidRDefault="00046465">
      <w:pPr>
        <w:pStyle w:val="BodyText"/>
      </w:pPr>
    </w:p>
    <w:p w14:paraId="0DFDAAE0" w14:textId="77777777" w:rsidR="00046465" w:rsidRDefault="00046465">
      <w:pPr>
        <w:pStyle w:val="BodyText"/>
      </w:pPr>
    </w:p>
    <w:p w14:paraId="0DFDAAE1" w14:textId="77777777" w:rsidR="00046465" w:rsidRDefault="00046465">
      <w:pPr>
        <w:pStyle w:val="BodyText"/>
        <w:spacing w:before="69"/>
      </w:pPr>
    </w:p>
    <w:p w14:paraId="0DFDAAE2" w14:textId="77777777" w:rsidR="00046465" w:rsidRDefault="008134EB">
      <w:pPr>
        <w:pStyle w:val="BodyText"/>
        <w:ind w:left="374"/>
      </w:pPr>
      <w:r>
        <w:rPr>
          <w:spacing w:val="-5"/>
        </w:rPr>
        <w:t>932</w:t>
      </w:r>
    </w:p>
    <w:p w14:paraId="0DFDAAE3" w14:textId="77777777" w:rsidR="00046465" w:rsidRDefault="00046465">
      <w:pPr>
        <w:pStyle w:val="BodyText"/>
      </w:pPr>
    </w:p>
    <w:p w14:paraId="0DFDAAE4" w14:textId="77777777" w:rsidR="00046465" w:rsidRDefault="00046465">
      <w:pPr>
        <w:pStyle w:val="BodyText"/>
      </w:pPr>
    </w:p>
    <w:p w14:paraId="0DFDAAE5" w14:textId="77777777" w:rsidR="00046465" w:rsidRDefault="00046465">
      <w:pPr>
        <w:pStyle w:val="BodyText"/>
      </w:pPr>
    </w:p>
    <w:p w14:paraId="0DFDAAE6" w14:textId="77777777" w:rsidR="00046465" w:rsidRDefault="00046465">
      <w:pPr>
        <w:pStyle w:val="BodyText"/>
      </w:pPr>
    </w:p>
    <w:p w14:paraId="0DFDAAE7" w14:textId="77777777" w:rsidR="00046465" w:rsidRDefault="00046465">
      <w:pPr>
        <w:pStyle w:val="BodyText"/>
        <w:spacing w:before="67"/>
      </w:pPr>
    </w:p>
    <w:p w14:paraId="0DFDAAE8" w14:textId="77777777" w:rsidR="00046465" w:rsidRDefault="008134EB">
      <w:pPr>
        <w:pStyle w:val="BodyText"/>
        <w:ind w:left="374"/>
      </w:pPr>
      <w:r>
        <w:rPr>
          <w:spacing w:val="-2"/>
        </w:rPr>
        <w:t>1001.23</w:t>
      </w:r>
    </w:p>
    <w:p w14:paraId="0DFDAAE9" w14:textId="77777777" w:rsidR="00046465" w:rsidRDefault="00046465">
      <w:pPr>
        <w:pStyle w:val="BodyText"/>
        <w:sectPr w:rsidR="00046465">
          <w:type w:val="continuous"/>
          <w:pgSz w:w="12240" w:h="15840"/>
          <w:pgMar w:top="1020" w:right="720" w:bottom="280" w:left="1080" w:header="781" w:footer="786" w:gutter="0"/>
          <w:cols w:num="2" w:space="720" w:equalWidth="0">
            <w:col w:w="7028" w:space="262"/>
            <w:col w:w="3150"/>
          </w:cols>
        </w:sectPr>
      </w:pPr>
    </w:p>
    <w:p w14:paraId="0DFDAAEA" w14:textId="77777777" w:rsidR="00046465" w:rsidRDefault="00046465">
      <w:pPr>
        <w:pStyle w:val="BodyText"/>
        <w:spacing w:before="8"/>
        <w:rPr>
          <w:sz w:val="2"/>
        </w:rPr>
      </w:pPr>
    </w:p>
    <w:p w14:paraId="0DFDAAEB" w14:textId="77777777" w:rsidR="00046465" w:rsidRDefault="008134EB">
      <w:pPr>
        <w:spacing w:line="20" w:lineRule="exact"/>
        <w:ind w:left="345"/>
        <w:rPr>
          <w:sz w:val="2"/>
        </w:rPr>
      </w:pPr>
      <w:r>
        <w:rPr>
          <w:noProof/>
          <w:sz w:val="2"/>
        </w:rPr>
        <mc:AlternateContent>
          <mc:Choice Requires="wpg">
            <w:drawing>
              <wp:inline distT="0" distB="0" distL="0" distR="0" wp14:anchorId="0DFDD533" wp14:editId="0DFDD534">
                <wp:extent cx="6010275" cy="6350"/>
                <wp:effectExtent l="0" t="0" r="0" b="0"/>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0275" cy="6350"/>
                          <a:chOff x="0" y="0"/>
                          <a:chExt cx="6010275" cy="6350"/>
                        </a:xfrm>
                      </wpg:grpSpPr>
                      <wps:wsp>
                        <wps:cNvPr id="56" name="Graphic 56"/>
                        <wps:cNvSpPr/>
                        <wps:spPr>
                          <a:xfrm>
                            <a:off x="0" y="12"/>
                            <a:ext cx="6010275" cy="6350"/>
                          </a:xfrm>
                          <a:custGeom>
                            <a:avLst/>
                            <a:gdLst/>
                            <a:ahLst/>
                            <a:cxnLst/>
                            <a:rect l="l" t="t" r="r" b="b"/>
                            <a:pathLst>
                              <a:path w="6010275" h="6350">
                                <a:moveTo>
                                  <a:pt x="6009894" y="0"/>
                                </a:moveTo>
                                <a:lnTo>
                                  <a:pt x="4638294" y="0"/>
                                </a:lnTo>
                                <a:lnTo>
                                  <a:pt x="4629150" y="0"/>
                                </a:lnTo>
                                <a:lnTo>
                                  <a:pt x="0" y="0"/>
                                </a:lnTo>
                                <a:lnTo>
                                  <a:pt x="0" y="6083"/>
                                </a:lnTo>
                                <a:lnTo>
                                  <a:pt x="4629150" y="6083"/>
                                </a:lnTo>
                                <a:lnTo>
                                  <a:pt x="4638294" y="6083"/>
                                </a:lnTo>
                                <a:lnTo>
                                  <a:pt x="6009894" y="6083"/>
                                </a:lnTo>
                                <a:lnTo>
                                  <a:pt x="600989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1F95DBC" id="Group 55" o:spid="_x0000_s1026" style="width:473.25pt;height:.5pt;mso-position-horizontal-relative:char;mso-position-vertical-relative:line" coordsize="601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">
                <v:shape id="Graphic 56" o:spid="_x0000_s1027" style="position:absolute;width:60102;height:63;visibility:visible;mso-wrap-style:square;v-text-anchor:top" coordsize="601027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" path="m6009894,l4638294,r-9144,l,,,6083r4629150,l4638294,6083r1371600,l6009894,xe" fillcolor="black" stroked="f">
                  <v:path arrowok="t"/>
                </v:shape>
                <w10:anchorlock/>
              </v:group>
            </w:pict>
          </mc:Fallback>
        </mc:AlternateContent>
      </w:r>
    </w:p>
    <w:p w14:paraId="0DFDAAEC" w14:textId="77777777" w:rsidR="00046465" w:rsidRDefault="00046465">
      <w:pPr>
        <w:spacing w:line="20" w:lineRule="exact"/>
        <w:rPr>
          <w:sz w:val="2"/>
        </w:rPr>
        <w:sectPr w:rsidR="00046465">
          <w:type w:val="continuous"/>
          <w:pgSz w:w="12240" w:h="15840"/>
          <w:pgMar w:top="1020" w:right="720" w:bottom="280" w:left="1080" w:header="781" w:footer="786" w:gutter="0"/>
          <w:cols w:space="720"/>
        </w:sectPr>
      </w:pPr>
    </w:p>
    <w:p w14:paraId="0DFDAAED" w14:textId="77777777" w:rsidR="00046465" w:rsidRDefault="00046465">
      <w:pPr>
        <w:pStyle w:val="BodyText"/>
        <w:spacing w:before="100"/>
        <w:rPr>
          <w:sz w:val="20"/>
        </w:rPr>
      </w:pPr>
    </w:p>
    <w:p w14:paraId="0DFDAAEE" w14:textId="77777777" w:rsidR="00046465" w:rsidRDefault="008134EB">
      <w:pPr>
        <w:ind w:left="360"/>
        <w:rPr>
          <w:sz w:val="20"/>
        </w:rPr>
      </w:pPr>
      <w:r>
        <w:rPr>
          <w:noProof/>
          <w:sz w:val="20"/>
        </w:rPr>
        <mc:AlternateContent>
          <mc:Choice Requires="wpg">
            <w:drawing>
              <wp:inline distT="0" distB="0" distL="0" distR="0" wp14:anchorId="0DFDD535" wp14:editId="0DFDD536">
                <wp:extent cx="6002655" cy="370840"/>
                <wp:effectExtent l="0" t="0" r="0" b="635"/>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655" cy="370840"/>
                          <a:chOff x="0" y="0"/>
                          <a:chExt cx="6002655" cy="370840"/>
                        </a:xfrm>
                      </wpg:grpSpPr>
                      <wps:wsp>
                        <wps:cNvPr id="65" name="Graphic 65"/>
                        <wps:cNvSpPr/>
                        <wps:spPr>
                          <a:xfrm>
                            <a:off x="0" y="6096"/>
                            <a:ext cx="6000750" cy="358140"/>
                          </a:xfrm>
                          <a:custGeom>
                            <a:avLst/>
                            <a:gdLst/>
                            <a:ahLst/>
                            <a:cxnLst/>
                            <a:rect l="l" t="t" r="r" b="b"/>
                            <a:pathLst>
                              <a:path w="6000750" h="358140">
                                <a:moveTo>
                                  <a:pt x="6000750" y="0"/>
                                </a:moveTo>
                                <a:lnTo>
                                  <a:pt x="4629150" y="0"/>
                                </a:lnTo>
                                <a:lnTo>
                                  <a:pt x="0" y="0"/>
                                </a:lnTo>
                                <a:lnTo>
                                  <a:pt x="0" y="358140"/>
                                </a:lnTo>
                                <a:lnTo>
                                  <a:pt x="4629150" y="358140"/>
                                </a:lnTo>
                                <a:lnTo>
                                  <a:pt x="6000750" y="358140"/>
                                </a:lnTo>
                                <a:lnTo>
                                  <a:pt x="6000750" y="0"/>
                                </a:lnTo>
                                <a:close/>
                              </a:path>
                            </a:pathLst>
                          </a:custGeom>
                          <a:solidFill>
                            <a:srgbClr val="D9D9D9"/>
                          </a:solidFill>
                        </wps:spPr>
                        <wps:bodyPr wrap="square" lIns="0" tIns="0" rIns="0" bIns="0" rtlCol="0">
                          <a:prstTxWarp prst="textNoShape">
                            <a:avLst/>
                          </a:prstTxWarp>
                          <a:noAutofit/>
                        </wps:bodyPr>
                      </wps:wsp>
                      <wps:wsp>
                        <wps:cNvPr id="66" name="Graphic 66"/>
                        <wps:cNvSpPr/>
                        <wps:spPr>
                          <a:xfrm>
                            <a:off x="0" y="0"/>
                            <a:ext cx="4629150" cy="6350"/>
                          </a:xfrm>
                          <a:custGeom>
                            <a:avLst/>
                            <a:gdLst/>
                            <a:ahLst/>
                            <a:cxnLst/>
                            <a:rect l="l" t="t" r="r" b="b"/>
                            <a:pathLst>
                              <a:path w="4629150" h="6350">
                                <a:moveTo>
                                  <a:pt x="4629150" y="0"/>
                                </a:moveTo>
                                <a:lnTo>
                                  <a:pt x="0" y="0"/>
                                </a:lnTo>
                                <a:lnTo>
                                  <a:pt x="0" y="6096"/>
                                </a:lnTo>
                                <a:lnTo>
                                  <a:pt x="4629150" y="6096"/>
                                </a:lnTo>
                                <a:lnTo>
                                  <a:pt x="4629150" y="0"/>
                                </a:lnTo>
                                <a:close/>
                              </a:path>
                            </a:pathLst>
                          </a:custGeom>
                          <a:solidFill>
                            <a:srgbClr val="000000"/>
                          </a:solidFill>
                        </wps:spPr>
                        <wps:bodyPr wrap="square" lIns="0" tIns="0" rIns="0" bIns="0" rtlCol="0">
                          <a:prstTxWarp prst="textNoShape">
                            <a:avLst/>
                          </a:prstTxWarp>
                          <a:noAutofit/>
                        </wps:bodyPr>
                      </wps:wsp>
                      <wps:wsp>
                        <wps:cNvPr id="67" name="Graphic 67"/>
                        <wps:cNvSpPr/>
                        <wps:spPr>
                          <a:xfrm>
                            <a:off x="0" y="6096"/>
                            <a:ext cx="4635500" cy="19050"/>
                          </a:xfrm>
                          <a:custGeom>
                            <a:avLst/>
                            <a:gdLst/>
                            <a:ahLst/>
                            <a:cxnLst/>
                            <a:rect l="l" t="t" r="r" b="b"/>
                            <a:pathLst>
                              <a:path w="4635500" h="19050">
                                <a:moveTo>
                                  <a:pt x="4635246" y="0"/>
                                </a:moveTo>
                                <a:lnTo>
                                  <a:pt x="0" y="0"/>
                                </a:lnTo>
                                <a:lnTo>
                                  <a:pt x="0" y="19050"/>
                                </a:lnTo>
                                <a:lnTo>
                                  <a:pt x="4635246" y="19050"/>
                                </a:lnTo>
                                <a:lnTo>
                                  <a:pt x="4635246" y="0"/>
                                </a:lnTo>
                                <a:close/>
                              </a:path>
                            </a:pathLst>
                          </a:custGeom>
                          <a:solidFill>
                            <a:srgbClr val="D9D9D9"/>
                          </a:solidFill>
                        </wps:spPr>
                        <wps:bodyPr wrap="square" lIns="0" tIns="0" rIns="0" bIns="0" rtlCol="0">
                          <a:prstTxWarp prst="textNoShape">
                            <a:avLst/>
                          </a:prstTxWarp>
                          <a:noAutofit/>
                        </wps:bodyPr>
                      </wps:wsp>
                      <wps:wsp>
                        <wps:cNvPr id="68" name="Graphic 68"/>
                        <wps:cNvSpPr/>
                        <wps:spPr>
                          <a:xfrm>
                            <a:off x="4629150" y="0"/>
                            <a:ext cx="1371600" cy="6350"/>
                          </a:xfrm>
                          <a:custGeom>
                            <a:avLst/>
                            <a:gdLst/>
                            <a:ahLst/>
                            <a:cxnLst/>
                            <a:rect l="l" t="t" r="r" b="b"/>
                            <a:pathLst>
                              <a:path w="1371600" h="6350">
                                <a:moveTo>
                                  <a:pt x="1371600" y="0"/>
                                </a:moveTo>
                                <a:lnTo>
                                  <a:pt x="0" y="0"/>
                                </a:lnTo>
                                <a:lnTo>
                                  <a:pt x="0" y="6096"/>
                                </a:lnTo>
                                <a:lnTo>
                                  <a:pt x="1371600" y="6096"/>
                                </a:lnTo>
                                <a:lnTo>
                                  <a:pt x="1371600" y="0"/>
                                </a:lnTo>
                                <a:close/>
                              </a:path>
                            </a:pathLst>
                          </a:custGeom>
                          <a:solidFill>
                            <a:srgbClr val="000000"/>
                          </a:solidFill>
                        </wps:spPr>
                        <wps:bodyPr wrap="square" lIns="0" tIns="0" rIns="0" bIns="0" rtlCol="0">
                          <a:prstTxWarp prst="textNoShape">
                            <a:avLst/>
                          </a:prstTxWarp>
                          <a:noAutofit/>
                        </wps:bodyPr>
                      </wps:wsp>
                      <wps:wsp>
                        <wps:cNvPr id="69" name="Graphic 69"/>
                        <wps:cNvSpPr/>
                        <wps:spPr>
                          <a:xfrm>
                            <a:off x="0" y="6096"/>
                            <a:ext cx="6000750" cy="357505"/>
                          </a:xfrm>
                          <a:custGeom>
                            <a:avLst/>
                            <a:gdLst/>
                            <a:ahLst/>
                            <a:cxnLst/>
                            <a:rect l="l" t="t" r="r" b="b"/>
                            <a:pathLst>
                              <a:path w="6000750" h="357505">
                                <a:moveTo>
                                  <a:pt x="6000750" y="339090"/>
                                </a:moveTo>
                                <a:lnTo>
                                  <a:pt x="0" y="339090"/>
                                </a:lnTo>
                                <a:lnTo>
                                  <a:pt x="0" y="357378"/>
                                </a:lnTo>
                                <a:lnTo>
                                  <a:pt x="6000750" y="357378"/>
                                </a:lnTo>
                                <a:lnTo>
                                  <a:pt x="6000750" y="339090"/>
                                </a:lnTo>
                                <a:close/>
                              </a:path>
                              <a:path w="6000750" h="357505">
                                <a:moveTo>
                                  <a:pt x="6000750" y="0"/>
                                </a:moveTo>
                                <a:lnTo>
                                  <a:pt x="4635246" y="0"/>
                                </a:lnTo>
                                <a:lnTo>
                                  <a:pt x="4635246" y="19050"/>
                                </a:lnTo>
                                <a:lnTo>
                                  <a:pt x="6000750" y="19050"/>
                                </a:lnTo>
                                <a:lnTo>
                                  <a:pt x="6000750" y="0"/>
                                </a:lnTo>
                                <a:close/>
                              </a:path>
                            </a:pathLst>
                          </a:custGeom>
                          <a:solidFill>
                            <a:srgbClr val="D9D9D9"/>
                          </a:solidFill>
                        </wps:spPr>
                        <wps:bodyPr wrap="square" lIns="0" tIns="0" rIns="0" bIns="0" rtlCol="0">
                          <a:prstTxWarp prst="textNoShape">
                            <a:avLst/>
                          </a:prstTxWarp>
                          <a:noAutofit/>
                        </wps:bodyPr>
                      </wps:wsp>
                      <wps:wsp>
                        <wps:cNvPr id="70" name="Graphic 70"/>
                        <wps:cNvSpPr/>
                        <wps:spPr>
                          <a:xfrm>
                            <a:off x="0" y="364236"/>
                            <a:ext cx="6000750" cy="6350"/>
                          </a:xfrm>
                          <a:custGeom>
                            <a:avLst/>
                            <a:gdLst/>
                            <a:ahLst/>
                            <a:cxnLst/>
                            <a:rect l="l" t="t" r="r" b="b"/>
                            <a:pathLst>
                              <a:path w="6000750" h="6350">
                                <a:moveTo>
                                  <a:pt x="6000750" y="0"/>
                                </a:moveTo>
                                <a:lnTo>
                                  <a:pt x="0" y="0"/>
                                </a:lnTo>
                                <a:lnTo>
                                  <a:pt x="0" y="6095"/>
                                </a:lnTo>
                                <a:lnTo>
                                  <a:pt x="6000750" y="6095"/>
                                </a:lnTo>
                                <a:lnTo>
                                  <a:pt x="6000750" y="0"/>
                                </a:lnTo>
                                <a:close/>
                              </a:path>
                            </a:pathLst>
                          </a:custGeom>
                          <a:solidFill>
                            <a:srgbClr val="000000"/>
                          </a:solidFill>
                        </wps:spPr>
                        <wps:bodyPr wrap="square" lIns="0" tIns="0" rIns="0" bIns="0" rtlCol="0">
                          <a:prstTxWarp prst="textNoShape">
                            <a:avLst/>
                          </a:prstTxWarp>
                          <a:noAutofit/>
                        </wps:bodyPr>
                      </wps:wsp>
                      <wps:wsp>
                        <wps:cNvPr id="71" name="Textbox 71"/>
                        <wps:cNvSpPr txBox="1"/>
                        <wps:spPr>
                          <a:xfrm>
                            <a:off x="9144" y="29211"/>
                            <a:ext cx="1316990" cy="156210"/>
                          </a:xfrm>
                          <a:prstGeom prst="rect">
                            <a:avLst/>
                          </a:prstGeom>
                        </wps:spPr>
                        <wps:txbx>
                          <w:txbxContent>
                            <w:p w14:paraId="0DFDDD86" w14:textId="77777777" w:rsidR="00046465" w:rsidRDefault="008134EB">
                              <w:pPr>
                                <w:spacing w:line="245" w:lineRule="exact"/>
                                <w:rPr>
                                  <w:b/>
                                </w:rPr>
                              </w:pPr>
                              <w:r>
                                <w:rPr>
                                  <w:b/>
                                </w:rPr>
                                <w:t>Change</w:t>
                              </w:r>
                              <w:r>
                                <w:rPr>
                                  <w:b/>
                                  <w:spacing w:val="-9"/>
                                </w:rPr>
                                <w:t xml:space="preserve"> </w:t>
                              </w:r>
                              <w:r>
                                <w:rPr>
                                  <w:b/>
                                  <w:spacing w:val="-2"/>
                                </w:rPr>
                                <w:t>description</w:t>
                              </w:r>
                            </w:p>
                          </w:txbxContent>
                        </wps:txbx>
                        <wps:bodyPr wrap="square" lIns="0" tIns="0" rIns="0" bIns="0" rtlCol="0">
                          <a:noAutofit/>
                        </wps:bodyPr>
                      </wps:wsp>
                      <wps:wsp>
                        <wps:cNvPr id="72" name="Textbox 72"/>
                        <wps:cNvSpPr txBox="1"/>
                        <wps:spPr>
                          <a:xfrm>
                            <a:off x="4638294" y="29211"/>
                            <a:ext cx="1363980" cy="316865"/>
                          </a:xfrm>
                          <a:prstGeom prst="rect">
                            <a:avLst/>
                          </a:prstGeom>
                        </wps:spPr>
                        <wps:txbx>
                          <w:txbxContent>
                            <w:p w14:paraId="0DFDDD87" w14:textId="77777777" w:rsidR="00046465" w:rsidRDefault="008134EB">
                              <w:pPr>
                                <w:ind w:right="16"/>
                                <w:rPr>
                                  <w:b/>
                                </w:rPr>
                              </w:pPr>
                              <w:r>
                                <w:rPr>
                                  <w:b/>
                                </w:rPr>
                                <w:t>Section or paragraph</w:t>
                              </w:r>
                              <w:r>
                                <w:rPr>
                                  <w:b/>
                                  <w:spacing w:val="-16"/>
                                </w:rPr>
                                <w:t xml:space="preserve"> </w:t>
                              </w:r>
                              <w:r>
                                <w:rPr>
                                  <w:b/>
                                </w:rPr>
                                <w:t>reference</w:t>
                              </w:r>
                            </w:p>
                          </w:txbxContent>
                        </wps:txbx>
                        <wps:bodyPr wrap="square" lIns="0" tIns="0" rIns="0" bIns="0" rtlCol="0">
                          <a:noAutofit/>
                        </wps:bodyPr>
                      </wps:wsp>
                    </wpg:wgp>
                  </a:graphicData>
                </a:graphic>
              </wp:inline>
            </w:drawing>
          </mc:Choice>
          <mc:Fallback>
            <w:pict>
              <v:group w14:anchorId="0DFDD535" id="Group 64" o:spid="_x0000_s1035" style="width:472.65pt;height:29.2pt;mso-position-horizontal-relative:char;mso-position-vertical-relative:line" coordsize="60026,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">
                <v:shape id="Graphic 65" o:spid="_x0000_s1036" style="position:absolute;top:60;width:60007;height:3582;visibility:visible;mso-wrap-style:square;v-text-anchor:top" coordsize="6000750,358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" path="m6000750,l4629150,,,,,358140r4629150,l6000750,358140,6000750,xe" fillcolor="#d9d9d9" stroked="f">
                  <v:path arrowok="t"/>
                </v:shape>
                <v:shape id="Graphic 66" o:spid="_x0000_s1037" style="position:absolute;width:46291;height:63;visibility:visible;mso-wrap-style:square;v-text-anchor:top" coordsize="46291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" path="m4629150,l,,,6096r4629150,l4629150,xe" fillcolor="black" stroked="f">
                  <v:path arrowok="t"/>
                </v:shape>
                <v:shape id="Graphic 67" o:spid="_x0000_s1038" style="position:absolute;top:60;width:46355;height:191;visibility:visible;mso-wrap-style:square;v-text-anchor:top" coordsize="463550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" path="m4635246,l,,,19050r4635246,l4635246,xe" fillcolor="#d9d9d9" stroked="f">
                  <v:path arrowok="t"/>
                </v:shape>
                <v:shape id="Graphic 68" o:spid="_x0000_s1039" style="position:absolute;left:46291;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" path="m1371600,l,,,6096r1371600,l1371600,xe" fillcolor="black" stroked="f">
                  <v:path arrowok="t"/>
                </v:shape>
                <v:shape id="Graphic 69" o:spid="_x0000_s1040" style="position:absolute;top:60;width:60007;height:3576;visibility:visible;mso-wrap-style:square;v-text-anchor:top" coordsize="600075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" path="m6000750,339090l,339090r,18288l6000750,357378r,-18288xem6000750,l4635246,r,19050l6000750,19050r,-19050xe" fillcolor="#d9d9d9" stroked="f">
                  <v:path arrowok="t"/>
                </v:shape>
                <v:shape id="Graphic 70" o:spid="_x0000_s1041" style="position:absolute;top:3642;width:60007;height:63;visibility:visible;mso-wrap-style:square;v-text-anchor:top" coordsize="60007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" path="m6000750,l,,,6095r6000750,l6000750,xe" fillcolor="black" stroked="f">
                  <v:path arrowok="t"/>
                </v:shape>
                <v:shape id="Textbox 71" o:spid="_x0000_s1042" type="#_x0000_t202" style="position:absolute;left:91;top:292;width:13170;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0DFDDD86" w14:textId="77777777" w:rsidR="00046465" w:rsidRDefault="008134EB">
                        <w:pPr>
                          <w:spacing w:line="245" w:lineRule="exact"/>
                          <w:rPr>
                            <w:b/>
                          </w:rPr>
                        </w:pPr>
                        <w:r>
                          <w:rPr>
                            <w:b/>
                          </w:rPr>
                          <w:t>Change</w:t>
                        </w:r>
                        <w:r>
                          <w:rPr>
                            <w:b/>
                            <w:spacing w:val="-9"/>
                          </w:rPr>
                          <w:t xml:space="preserve"> </w:t>
                        </w:r>
                        <w:r>
                          <w:rPr>
                            <w:b/>
                            <w:spacing w:val="-2"/>
                          </w:rPr>
                          <w:t>description</w:t>
                        </w:r>
                      </w:p>
                    </w:txbxContent>
                  </v:textbox>
                </v:shape>
                <v:shape id="Textbox 72" o:spid="_x0000_s1043" type="#_x0000_t202" style="position:absolute;left:46382;top:292;width:13640;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0DFDDD87" w14:textId="77777777" w:rsidR="00046465" w:rsidRDefault="008134EB">
                        <w:pPr>
                          <w:ind w:right="16"/>
                          <w:rPr>
                            <w:b/>
                          </w:rPr>
                        </w:pPr>
                        <w:r>
                          <w:rPr>
                            <w:b/>
                          </w:rPr>
                          <w:t>Section or paragraph</w:t>
                        </w:r>
                        <w:r>
                          <w:rPr>
                            <w:b/>
                            <w:spacing w:val="-16"/>
                          </w:rPr>
                          <w:t xml:space="preserve"> </w:t>
                        </w:r>
                        <w:r>
                          <w:rPr>
                            <w:b/>
                          </w:rPr>
                          <w:t>reference</w:t>
                        </w:r>
                      </w:p>
                    </w:txbxContent>
                  </v:textbox>
                </v:shape>
                <w10:anchorlock/>
              </v:group>
            </w:pict>
          </mc:Fallback>
        </mc:AlternateContent>
      </w:r>
    </w:p>
    <w:p w14:paraId="0DFDAAEF" w14:textId="77777777" w:rsidR="00046465" w:rsidRDefault="00046465">
      <w:pPr>
        <w:rPr>
          <w:sz w:val="20"/>
        </w:rPr>
        <w:sectPr w:rsidR="00046465">
          <w:headerReference w:type="default" r:id="rId14"/>
          <w:footerReference w:type="default" r:id="rId15"/>
          <w:pgSz w:w="12240" w:h="15840"/>
          <w:pgMar w:top="1160" w:right="720" w:bottom="900" w:left="1080" w:header="781" w:footer="706" w:gutter="0"/>
          <w:cols w:space="720"/>
        </w:sectPr>
      </w:pPr>
    </w:p>
    <w:p w14:paraId="0DFDAAF0" w14:textId="77777777" w:rsidR="00046465" w:rsidRDefault="008134EB">
      <w:pPr>
        <w:pStyle w:val="BodyText"/>
        <w:spacing w:before="3"/>
        <w:ind w:left="374"/>
      </w:pPr>
      <w:r>
        <w:rPr>
          <w:noProof/>
        </w:rPr>
        <mc:AlternateContent>
          <mc:Choice Requires="wps">
            <w:drawing>
              <wp:anchor distT="0" distB="0" distL="0" distR="0" simplePos="0" relativeHeight="15737856" behindDoc="0" locked="0" layoutInCell="1" allowOverlap="1" wp14:anchorId="0DFDD537" wp14:editId="0DFDD538">
                <wp:simplePos x="0" y="0"/>
                <wp:positionH relativeFrom="page">
                  <wp:posOffset>914400</wp:posOffset>
                </wp:positionH>
                <wp:positionV relativeFrom="paragraph">
                  <wp:posOffset>341884</wp:posOffset>
                </wp:positionV>
                <wp:extent cx="6000750" cy="635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0" cy="6350"/>
                        </a:xfrm>
                        <a:custGeom>
                          <a:avLst/>
                          <a:gdLst/>
                          <a:ahLst/>
                          <a:cxnLst/>
                          <a:rect l="l" t="t" r="r" b="b"/>
                          <a:pathLst>
                            <a:path w="6000750" h="6350">
                              <a:moveTo>
                                <a:pt x="6000750" y="0"/>
                              </a:moveTo>
                              <a:lnTo>
                                <a:pt x="0" y="0"/>
                              </a:lnTo>
                              <a:lnTo>
                                <a:pt x="0" y="6095"/>
                              </a:lnTo>
                              <a:lnTo>
                                <a:pt x="6000750" y="6095"/>
                              </a:lnTo>
                              <a:lnTo>
                                <a:pt x="6000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95EAF9" id="Graphic 73" o:spid="_x0000_s1026" style="position:absolute;margin-left:1in;margin-top:26.9pt;width:472.5pt;height:.5pt;z-index:15737856;visibility:visible;mso-wrap-style:square;mso-wrap-distance-left:0;mso-wrap-distance-top:0;mso-wrap-distance-right:0;mso-wrap-distance-bottom:0;mso-position-horizontal:absolute;mso-position-horizontal-relative:page;mso-position-vertical:absolute;mso-position-vertical-relative:text;v-text-anchor:top" coordsize="60007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" path="m6000750,l,,,6095r6000750,l6000750,xe" fillcolor="black" stroked="f">
                <v:path arrowok="t"/>
                <w10:wrap anchorx="page"/>
              </v:shape>
            </w:pict>
          </mc:Fallback>
        </mc:AlternateContent>
      </w:r>
      <w:r>
        <w:t>Clarified</w:t>
      </w:r>
      <w:r>
        <w:rPr>
          <w:spacing w:val="-5"/>
        </w:rPr>
        <w:t xml:space="preserve"> </w:t>
      </w:r>
      <w:r>
        <w:t>that</w:t>
      </w:r>
      <w:r>
        <w:rPr>
          <w:spacing w:val="-5"/>
        </w:rPr>
        <w:t xml:space="preserve"> </w:t>
      </w:r>
      <w:r>
        <w:t>updated</w:t>
      </w:r>
      <w:r>
        <w:rPr>
          <w:spacing w:val="-5"/>
        </w:rPr>
        <w:t xml:space="preserve"> </w:t>
      </w:r>
      <w:r>
        <w:t>legal</w:t>
      </w:r>
      <w:r>
        <w:rPr>
          <w:spacing w:val="-5"/>
        </w:rPr>
        <w:t xml:space="preserve"> </w:t>
      </w:r>
      <w:r>
        <w:t>counsel</w:t>
      </w:r>
      <w:r>
        <w:rPr>
          <w:spacing w:val="-5"/>
        </w:rPr>
        <w:t xml:space="preserve"> </w:t>
      </w:r>
      <w:r>
        <w:t>responses</w:t>
      </w:r>
      <w:r>
        <w:rPr>
          <w:spacing w:val="-5"/>
        </w:rPr>
        <w:t xml:space="preserve"> </w:t>
      </w:r>
      <w:r>
        <w:t>should</w:t>
      </w:r>
      <w:r>
        <w:rPr>
          <w:spacing w:val="-5"/>
        </w:rPr>
        <w:t xml:space="preserve"> </w:t>
      </w:r>
      <w:r>
        <w:t>be</w:t>
      </w:r>
      <w:r>
        <w:rPr>
          <w:spacing w:val="-5"/>
        </w:rPr>
        <w:t xml:space="preserve"> </w:t>
      </w:r>
      <w:r>
        <w:t>on</w:t>
      </w:r>
      <w:r>
        <w:rPr>
          <w:spacing w:val="-5"/>
        </w:rPr>
        <w:t xml:space="preserve"> </w:t>
      </w:r>
      <w:r>
        <w:t>legal counsel letterhead.</w:t>
      </w:r>
    </w:p>
    <w:p w14:paraId="0DFDAAF1" w14:textId="77777777" w:rsidR="00046465" w:rsidRDefault="008134EB">
      <w:pPr>
        <w:pStyle w:val="BodyText"/>
        <w:spacing w:before="68"/>
        <w:ind w:left="374"/>
      </w:pPr>
      <w:r>
        <w:t>Revised the financial statement audit completion checklist to incorporate changes made throughout FAM volumes 1 and 2. Added</w:t>
      </w:r>
      <w:r>
        <w:rPr>
          <w:spacing w:val="-4"/>
        </w:rPr>
        <w:t xml:space="preserve"> </w:t>
      </w:r>
      <w:r>
        <w:t>a</w:t>
      </w:r>
      <w:r>
        <w:rPr>
          <w:spacing w:val="-4"/>
        </w:rPr>
        <w:t xml:space="preserve"> </w:t>
      </w:r>
      <w:r>
        <w:t>separate</w:t>
      </w:r>
      <w:r>
        <w:rPr>
          <w:spacing w:val="-4"/>
        </w:rPr>
        <w:t xml:space="preserve"> </w:t>
      </w:r>
      <w:r>
        <w:t>section</w:t>
      </w:r>
      <w:r>
        <w:rPr>
          <w:spacing w:val="-4"/>
        </w:rPr>
        <w:t xml:space="preserve"> </w:t>
      </w:r>
      <w:r>
        <w:t>for</w:t>
      </w:r>
      <w:r>
        <w:rPr>
          <w:spacing w:val="-4"/>
        </w:rPr>
        <w:t xml:space="preserve"> </w:t>
      </w:r>
      <w:r>
        <w:t>steps</w:t>
      </w:r>
      <w:r>
        <w:rPr>
          <w:spacing w:val="-5"/>
        </w:rPr>
        <w:t xml:space="preserve"> </w:t>
      </w:r>
      <w:r>
        <w:t>to</w:t>
      </w:r>
      <w:r>
        <w:rPr>
          <w:spacing w:val="-4"/>
        </w:rPr>
        <w:t xml:space="preserve"> </w:t>
      </w:r>
      <w:r>
        <w:t>be</w:t>
      </w:r>
      <w:r>
        <w:rPr>
          <w:spacing w:val="-4"/>
        </w:rPr>
        <w:t xml:space="preserve"> </w:t>
      </w:r>
      <w:r>
        <w:t>completed</w:t>
      </w:r>
      <w:r>
        <w:rPr>
          <w:spacing w:val="-4"/>
        </w:rPr>
        <w:t xml:space="preserve"> </w:t>
      </w:r>
      <w:r>
        <w:t>before</w:t>
      </w:r>
      <w:r>
        <w:rPr>
          <w:spacing w:val="-5"/>
        </w:rPr>
        <w:t xml:space="preserve"> </w:t>
      </w:r>
      <w:r>
        <w:t>the report release date.</w:t>
      </w:r>
    </w:p>
    <w:p w14:paraId="0DFDAAF2" w14:textId="77777777" w:rsidR="00046465" w:rsidRDefault="008134EB">
      <w:pPr>
        <w:pStyle w:val="BodyText"/>
        <w:spacing w:before="3"/>
        <w:ind w:left="374"/>
      </w:pPr>
      <w:r>
        <w:br w:type="column"/>
      </w:r>
      <w:r>
        <w:t>1002.33,</w:t>
      </w:r>
      <w:r>
        <w:rPr>
          <w:spacing w:val="-8"/>
        </w:rPr>
        <w:t xml:space="preserve"> </w:t>
      </w:r>
      <w:r>
        <w:t>1002</w:t>
      </w:r>
      <w:r>
        <w:rPr>
          <w:spacing w:val="-7"/>
        </w:rPr>
        <w:t xml:space="preserve"> </w:t>
      </w:r>
      <w:r>
        <w:rPr>
          <w:spacing w:val="-10"/>
        </w:rPr>
        <w:t>B</w:t>
      </w:r>
    </w:p>
    <w:p w14:paraId="0DFDAAF3" w14:textId="77777777" w:rsidR="00046465" w:rsidRDefault="00046465">
      <w:pPr>
        <w:pStyle w:val="BodyText"/>
        <w:spacing w:before="67"/>
      </w:pPr>
    </w:p>
    <w:p w14:paraId="0DFDAAF4" w14:textId="77777777" w:rsidR="00046465" w:rsidRDefault="008134EB">
      <w:pPr>
        <w:pStyle w:val="BodyText"/>
        <w:spacing w:before="1"/>
        <w:ind w:left="374"/>
      </w:pPr>
      <w:r>
        <w:rPr>
          <w:spacing w:val="-4"/>
        </w:rPr>
        <w:t>1003</w:t>
      </w:r>
    </w:p>
    <w:p w14:paraId="0DFDAAF5" w14:textId="77777777" w:rsidR="00046465" w:rsidRDefault="00046465">
      <w:pPr>
        <w:pStyle w:val="BodyText"/>
        <w:sectPr w:rsidR="00046465">
          <w:type w:val="continuous"/>
          <w:pgSz w:w="12240" w:h="15840"/>
          <w:pgMar w:top="1020" w:right="720" w:bottom="280" w:left="1080" w:header="781" w:footer="706" w:gutter="0"/>
          <w:cols w:num="2" w:space="720" w:equalWidth="0">
            <w:col w:w="6773" w:space="517"/>
            <w:col w:w="3150"/>
          </w:cols>
        </w:sectPr>
      </w:pPr>
    </w:p>
    <w:p w14:paraId="0DFDAAF6" w14:textId="77777777" w:rsidR="00046465" w:rsidRDefault="008134EB">
      <w:pPr>
        <w:spacing w:line="20" w:lineRule="exact"/>
        <w:ind w:left="360"/>
        <w:rPr>
          <w:sz w:val="2"/>
        </w:rPr>
      </w:pPr>
      <w:r>
        <w:rPr>
          <w:noProof/>
          <w:sz w:val="2"/>
        </w:rPr>
        <w:lastRenderedPageBreak/>
        <mc:AlternateContent>
          <mc:Choice Requires="wpg">
            <w:drawing>
              <wp:inline distT="0" distB="0" distL="0" distR="0" wp14:anchorId="0DFDD539" wp14:editId="0DFDD53A">
                <wp:extent cx="5814060" cy="9525"/>
                <wp:effectExtent l="9525" t="0" r="0" b="0"/>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4060" cy="9525"/>
                          <a:chOff x="0" y="0"/>
                          <a:chExt cx="5814060" cy="9525"/>
                        </a:xfrm>
                      </wpg:grpSpPr>
                      <wps:wsp>
                        <wps:cNvPr id="75" name="Graphic 75"/>
                        <wps:cNvSpPr/>
                        <wps:spPr>
                          <a:xfrm>
                            <a:off x="0" y="4762"/>
                            <a:ext cx="5814060" cy="1270"/>
                          </a:xfrm>
                          <a:custGeom>
                            <a:avLst/>
                            <a:gdLst/>
                            <a:ahLst/>
                            <a:cxnLst/>
                            <a:rect l="l" t="t" r="r" b="b"/>
                            <a:pathLst>
                              <a:path w="5814060">
                                <a:moveTo>
                                  <a:pt x="0" y="0"/>
                                </a:moveTo>
                                <a:lnTo>
                                  <a:pt x="581406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E292BD" id="Group 74" o:spid="_x0000_s1026" style="width:457.8pt;height:.75pt;mso-position-horizontal-relative:char;mso-position-vertical-relative:line" coordsize="581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">
                <v:shape id="Graphic 75" o:spid="_x0000_s1027" style="position:absolute;top:47;width:58140;height:13;visibility:visible;mso-wrap-style:square;v-text-anchor:top" coordsize="5814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" path="m,l5814060,e" filled="f">
                  <v:path arrowok="t"/>
                </v:shape>
                <w10:anchorlock/>
              </v:group>
            </w:pict>
          </mc:Fallback>
        </mc:AlternateContent>
      </w:r>
    </w:p>
    <w:p w14:paraId="0DFDAAF7" w14:textId="77777777" w:rsidR="00046465" w:rsidRDefault="00046465">
      <w:pPr>
        <w:pStyle w:val="BodyText"/>
        <w:spacing w:before="234"/>
        <w:rPr>
          <w:sz w:val="60"/>
        </w:rPr>
      </w:pPr>
    </w:p>
    <w:p w14:paraId="0DFDAAF8" w14:textId="77777777" w:rsidR="00046465" w:rsidRDefault="008134EB">
      <w:pPr>
        <w:pStyle w:val="Heading1"/>
        <w:ind w:left="6286"/>
      </w:pPr>
      <w:bookmarkStart w:id="1" w:name="Table_of_Contents"/>
      <w:bookmarkEnd w:id="1"/>
      <w:r>
        <w:rPr>
          <w:spacing w:val="-2"/>
        </w:rPr>
        <w:t>CONTENTS</w:t>
      </w:r>
    </w:p>
    <w:p w14:paraId="0DFDAAF9" w14:textId="77777777" w:rsidR="00046465" w:rsidRDefault="00046465">
      <w:pPr>
        <w:pStyle w:val="BodyText"/>
        <w:rPr>
          <w:sz w:val="20"/>
        </w:rPr>
      </w:pPr>
    </w:p>
    <w:p w14:paraId="0DFDAAFA" w14:textId="77777777" w:rsidR="00046465" w:rsidRDefault="008134EB">
      <w:pPr>
        <w:pStyle w:val="BodyText"/>
        <w:spacing w:before="68"/>
        <w:rPr>
          <w:sz w:val="20"/>
        </w:rPr>
      </w:pPr>
      <w:r>
        <w:rPr>
          <w:noProof/>
          <w:sz w:val="20"/>
        </w:rPr>
        <mc:AlternateContent>
          <mc:Choice Requires="wps">
            <w:drawing>
              <wp:anchor distT="0" distB="0" distL="0" distR="0" simplePos="0" relativeHeight="487598080" behindDoc="1" locked="0" layoutInCell="1" allowOverlap="1" wp14:anchorId="0DFDD53B" wp14:editId="0DFDD53C">
                <wp:simplePos x="0" y="0"/>
                <wp:positionH relativeFrom="page">
                  <wp:posOffset>914400</wp:posOffset>
                </wp:positionH>
                <wp:positionV relativeFrom="paragraph">
                  <wp:posOffset>204556</wp:posOffset>
                </wp:positionV>
                <wp:extent cx="5895975" cy="97155"/>
                <wp:effectExtent l="0" t="0" r="0" b="0"/>
                <wp:wrapTopAndBottom/>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5975" cy="97155"/>
                        </a:xfrm>
                        <a:custGeom>
                          <a:avLst/>
                          <a:gdLst/>
                          <a:ahLst/>
                          <a:cxnLst/>
                          <a:rect l="l" t="t" r="r" b="b"/>
                          <a:pathLst>
                            <a:path w="5895975" h="97155">
                              <a:moveTo>
                                <a:pt x="5895594" y="0"/>
                              </a:moveTo>
                              <a:lnTo>
                                <a:pt x="0" y="0"/>
                              </a:lnTo>
                              <a:lnTo>
                                <a:pt x="0" y="96774"/>
                              </a:lnTo>
                              <a:lnTo>
                                <a:pt x="5895594" y="96774"/>
                              </a:lnTo>
                              <a:lnTo>
                                <a:pt x="58955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CC365D" id="Graphic 76" o:spid="_x0000_s1026" style="position:absolute;margin-left:1in;margin-top:16.1pt;width:464.25pt;height:7.65pt;z-index:-15718400;visibility:visible;mso-wrap-style:square;mso-wrap-distance-left:0;mso-wrap-distance-top:0;mso-wrap-distance-right:0;mso-wrap-distance-bottom:0;mso-position-horizontal:absolute;mso-position-horizontal-relative:page;mso-position-vertical:absolute;mso-position-vertical-relative:text;v-text-anchor:top" coordsize="5895975,97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" path="m5895594,l,,,96774r5895594,l5895594,xe" fillcolor="black" stroked="f">
                <v:path arrowok="t"/>
                <w10:wrap type="topAndBottom" anchorx="page"/>
              </v:shape>
            </w:pict>
          </mc:Fallback>
        </mc:AlternateContent>
      </w:r>
    </w:p>
    <w:p w14:paraId="0DFDAAFB" w14:textId="77777777" w:rsidR="00046465" w:rsidRDefault="00046465">
      <w:pPr>
        <w:pStyle w:val="BodyText"/>
        <w:rPr>
          <w:sz w:val="20"/>
        </w:rPr>
      </w:pPr>
    </w:p>
    <w:p w14:paraId="0DFDAAFC" w14:textId="77777777" w:rsidR="00046465" w:rsidRDefault="00046465">
      <w:pPr>
        <w:pStyle w:val="BodyText"/>
        <w:rPr>
          <w:sz w:val="20"/>
        </w:rPr>
      </w:pPr>
    </w:p>
    <w:p w14:paraId="0DFDAAFD" w14:textId="77777777" w:rsidR="00046465" w:rsidRDefault="00046465">
      <w:pPr>
        <w:pStyle w:val="BodyText"/>
        <w:rPr>
          <w:sz w:val="20"/>
        </w:rPr>
      </w:pPr>
    </w:p>
    <w:p w14:paraId="0DFDAAFE" w14:textId="77777777" w:rsidR="00046465" w:rsidRDefault="00046465">
      <w:pPr>
        <w:pStyle w:val="BodyText"/>
        <w:rPr>
          <w:sz w:val="20"/>
        </w:rPr>
      </w:pPr>
    </w:p>
    <w:p w14:paraId="0DFDAAFF" w14:textId="77777777" w:rsidR="00046465" w:rsidRDefault="00046465">
      <w:pPr>
        <w:pStyle w:val="BodyText"/>
        <w:rPr>
          <w:sz w:val="20"/>
        </w:rPr>
      </w:pPr>
    </w:p>
    <w:p w14:paraId="0DFDAB00" w14:textId="77777777" w:rsidR="00046465" w:rsidRDefault="00046465">
      <w:pPr>
        <w:pStyle w:val="BodyText"/>
        <w:rPr>
          <w:sz w:val="20"/>
        </w:rPr>
      </w:pPr>
    </w:p>
    <w:p w14:paraId="0DFDAB01" w14:textId="77777777" w:rsidR="00046465" w:rsidRDefault="00046465">
      <w:pPr>
        <w:pStyle w:val="BodyText"/>
        <w:rPr>
          <w:sz w:val="20"/>
        </w:rPr>
      </w:pPr>
    </w:p>
    <w:p w14:paraId="0DFDAB02" w14:textId="77777777" w:rsidR="00046465" w:rsidRDefault="00046465">
      <w:pPr>
        <w:pStyle w:val="BodyText"/>
        <w:rPr>
          <w:sz w:val="20"/>
        </w:rPr>
      </w:pPr>
    </w:p>
    <w:p w14:paraId="0DFDAB03" w14:textId="77777777" w:rsidR="00046465" w:rsidRDefault="00046465">
      <w:pPr>
        <w:pStyle w:val="BodyText"/>
        <w:rPr>
          <w:sz w:val="20"/>
        </w:rPr>
      </w:pPr>
    </w:p>
    <w:p w14:paraId="0DFDAB04" w14:textId="77777777" w:rsidR="00046465" w:rsidRDefault="00046465">
      <w:pPr>
        <w:pStyle w:val="BodyText"/>
        <w:rPr>
          <w:sz w:val="20"/>
        </w:rPr>
      </w:pPr>
    </w:p>
    <w:p w14:paraId="0DFDAB05" w14:textId="77777777" w:rsidR="00046465" w:rsidRDefault="00046465">
      <w:pPr>
        <w:pStyle w:val="BodyText"/>
        <w:rPr>
          <w:sz w:val="20"/>
        </w:rPr>
      </w:pPr>
    </w:p>
    <w:p w14:paraId="0DFDAB06" w14:textId="77777777" w:rsidR="00046465" w:rsidRDefault="00046465">
      <w:pPr>
        <w:pStyle w:val="BodyText"/>
        <w:rPr>
          <w:sz w:val="20"/>
        </w:rPr>
      </w:pPr>
    </w:p>
    <w:p w14:paraId="0DFDAB07" w14:textId="77777777" w:rsidR="00046465" w:rsidRDefault="00046465">
      <w:pPr>
        <w:pStyle w:val="BodyText"/>
        <w:rPr>
          <w:sz w:val="20"/>
        </w:rPr>
      </w:pPr>
    </w:p>
    <w:p w14:paraId="0DFDAB08" w14:textId="77777777" w:rsidR="00046465" w:rsidRDefault="00046465">
      <w:pPr>
        <w:pStyle w:val="BodyText"/>
        <w:rPr>
          <w:sz w:val="20"/>
        </w:rPr>
      </w:pPr>
    </w:p>
    <w:p w14:paraId="0DFDAB09" w14:textId="77777777" w:rsidR="00046465" w:rsidRDefault="00046465">
      <w:pPr>
        <w:pStyle w:val="BodyText"/>
        <w:rPr>
          <w:sz w:val="20"/>
        </w:rPr>
      </w:pPr>
    </w:p>
    <w:p w14:paraId="0DFDAB0A" w14:textId="77777777" w:rsidR="00046465" w:rsidRDefault="00046465">
      <w:pPr>
        <w:pStyle w:val="BodyText"/>
        <w:rPr>
          <w:sz w:val="20"/>
        </w:rPr>
      </w:pPr>
    </w:p>
    <w:p w14:paraId="0DFDAB0B" w14:textId="77777777" w:rsidR="00046465" w:rsidRDefault="00046465">
      <w:pPr>
        <w:pStyle w:val="BodyText"/>
        <w:rPr>
          <w:sz w:val="20"/>
        </w:rPr>
      </w:pPr>
    </w:p>
    <w:p w14:paraId="0DFDAB0C" w14:textId="77777777" w:rsidR="00046465" w:rsidRDefault="00046465">
      <w:pPr>
        <w:pStyle w:val="BodyText"/>
        <w:rPr>
          <w:sz w:val="20"/>
        </w:rPr>
      </w:pPr>
    </w:p>
    <w:p w14:paraId="0DFDAB0D" w14:textId="77777777" w:rsidR="00046465" w:rsidRDefault="00046465">
      <w:pPr>
        <w:pStyle w:val="BodyText"/>
        <w:rPr>
          <w:sz w:val="20"/>
        </w:rPr>
      </w:pPr>
    </w:p>
    <w:p w14:paraId="0DFDAB0E" w14:textId="77777777" w:rsidR="00046465" w:rsidRDefault="00046465">
      <w:pPr>
        <w:pStyle w:val="BodyText"/>
        <w:rPr>
          <w:sz w:val="20"/>
        </w:rPr>
      </w:pPr>
    </w:p>
    <w:p w14:paraId="0DFDAB0F" w14:textId="77777777" w:rsidR="00046465" w:rsidRDefault="00046465">
      <w:pPr>
        <w:pStyle w:val="BodyText"/>
        <w:rPr>
          <w:sz w:val="20"/>
        </w:rPr>
      </w:pPr>
    </w:p>
    <w:p w14:paraId="0DFDAB10" w14:textId="77777777" w:rsidR="00046465" w:rsidRDefault="00046465">
      <w:pPr>
        <w:pStyle w:val="BodyText"/>
        <w:rPr>
          <w:sz w:val="20"/>
        </w:rPr>
      </w:pPr>
    </w:p>
    <w:p w14:paraId="0DFDAB11" w14:textId="77777777" w:rsidR="00046465" w:rsidRDefault="00046465">
      <w:pPr>
        <w:pStyle w:val="BodyText"/>
        <w:rPr>
          <w:sz w:val="20"/>
        </w:rPr>
      </w:pPr>
    </w:p>
    <w:p w14:paraId="0DFDAB12" w14:textId="77777777" w:rsidR="00046465" w:rsidRDefault="00046465">
      <w:pPr>
        <w:pStyle w:val="BodyText"/>
        <w:rPr>
          <w:sz w:val="20"/>
        </w:rPr>
      </w:pPr>
    </w:p>
    <w:p w14:paraId="0DFDAB13" w14:textId="77777777" w:rsidR="00046465" w:rsidRDefault="00046465">
      <w:pPr>
        <w:pStyle w:val="BodyText"/>
        <w:rPr>
          <w:sz w:val="20"/>
        </w:rPr>
      </w:pPr>
    </w:p>
    <w:p w14:paraId="0DFDAB14" w14:textId="77777777" w:rsidR="00046465" w:rsidRDefault="00046465">
      <w:pPr>
        <w:pStyle w:val="BodyText"/>
        <w:rPr>
          <w:sz w:val="20"/>
        </w:rPr>
      </w:pPr>
    </w:p>
    <w:p w14:paraId="0DFDAB15" w14:textId="77777777" w:rsidR="00046465" w:rsidRDefault="00046465">
      <w:pPr>
        <w:pStyle w:val="BodyText"/>
        <w:rPr>
          <w:sz w:val="20"/>
        </w:rPr>
      </w:pPr>
    </w:p>
    <w:p w14:paraId="0DFDAB16" w14:textId="77777777" w:rsidR="00046465" w:rsidRDefault="00046465">
      <w:pPr>
        <w:pStyle w:val="BodyText"/>
        <w:rPr>
          <w:sz w:val="20"/>
        </w:rPr>
      </w:pPr>
    </w:p>
    <w:p w14:paraId="0DFDAB17" w14:textId="77777777" w:rsidR="00046465" w:rsidRDefault="00046465">
      <w:pPr>
        <w:pStyle w:val="BodyText"/>
        <w:rPr>
          <w:sz w:val="20"/>
        </w:rPr>
      </w:pPr>
    </w:p>
    <w:p w14:paraId="0DFDAB18" w14:textId="77777777" w:rsidR="00046465" w:rsidRDefault="00046465">
      <w:pPr>
        <w:pStyle w:val="BodyText"/>
        <w:rPr>
          <w:sz w:val="20"/>
        </w:rPr>
      </w:pPr>
    </w:p>
    <w:p w14:paraId="0DFDAB19" w14:textId="77777777" w:rsidR="00046465" w:rsidRDefault="00046465">
      <w:pPr>
        <w:pStyle w:val="BodyText"/>
        <w:rPr>
          <w:sz w:val="20"/>
        </w:rPr>
      </w:pPr>
    </w:p>
    <w:p w14:paraId="0DFDAB1A" w14:textId="77777777" w:rsidR="00046465" w:rsidRDefault="00046465">
      <w:pPr>
        <w:pStyle w:val="BodyText"/>
        <w:rPr>
          <w:sz w:val="20"/>
        </w:rPr>
      </w:pPr>
    </w:p>
    <w:p w14:paraId="0DFDAB1B" w14:textId="77777777" w:rsidR="00046465" w:rsidRDefault="00046465">
      <w:pPr>
        <w:pStyle w:val="BodyText"/>
        <w:rPr>
          <w:sz w:val="20"/>
        </w:rPr>
      </w:pPr>
    </w:p>
    <w:p w14:paraId="0DFDAB1C" w14:textId="77777777" w:rsidR="00046465" w:rsidRDefault="00046465">
      <w:pPr>
        <w:pStyle w:val="BodyText"/>
        <w:rPr>
          <w:sz w:val="20"/>
        </w:rPr>
      </w:pPr>
    </w:p>
    <w:p w14:paraId="0DFDAB1D" w14:textId="77777777" w:rsidR="00046465" w:rsidRDefault="00046465">
      <w:pPr>
        <w:pStyle w:val="BodyText"/>
        <w:rPr>
          <w:sz w:val="20"/>
        </w:rPr>
      </w:pPr>
    </w:p>
    <w:p w14:paraId="0DFDAB1E" w14:textId="77777777" w:rsidR="00046465" w:rsidRDefault="00046465">
      <w:pPr>
        <w:pStyle w:val="BodyText"/>
        <w:rPr>
          <w:sz w:val="20"/>
        </w:rPr>
      </w:pPr>
    </w:p>
    <w:p w14:paraId="0DFDAB1F" w14:textId="77777777" w:rsidR="00046465" w:rsidRDefault="00046465">
      <w:pPr>
        <w:pStyle w:val="BodyText"/>
        <w:rPr>
          <w:sz w:val="20"/>
        </w:rPr>
      </w:pPr>
    </w:p>
    <w:p w14:paraId="0DFDAB20" w14:textId="77777777" w:rsidR="00046465" w:rsidRDefault="00046465">
      <w:pPr>
        <w:pStyle w:val="BodyText"/>
        <w:rPr>
          <w:sz w:val="20"/>
        </w:rPr>
      </w:pPr>
    </w:p>
    <w:p w14:paraId="0DFDAB21" w14:textId="77777777" w:rsidR="00046465" w:rsidRDefault="00046465">
      <w:pPr>
        <w:pStyle w:val="BodyText"/>
        <w:rPr>
          <w:sz w:val="20"/>
        </w:rPr>
      </w:pPr>
    </w:p>
    <w:p w14:paraId="0DFDAB22" w14:textId="77777777" w:rsidR="00046465" w:rsidRDefault="00046465">
      <w:pPr>
        <w:pStyle w:val="BodyText"/>
        <w:rPr>
          <w:sz w:val="20"/>
        </w:rPr>
      </w:pPr>
    </w:p>
    <w:p w14:paraId="0DFDAB23" w14:textId="77777777" w:rsidR="00046465" w:rsidRDefault="00046465">
      <w:pPr>
        <w:pStyle w:val="BodyText"/>
        <w:rPr>
          <w:sz w:val="20"/>
        </w:rPr>
      </w:pPr>
    </w:p>
    <w:p w14:paraId="0DFDAB24" w14:textId="77777777" w:rsidR="00046465" w:rsidRDefault="00046465">
      <w:pPr>
        <w:pStyle w:val="BodyText"/>
        <w:rPr>
          <w:sz w:val="20"/>
        </w:rPr>
      </w:pPr>
    </w:p>
    <w:p w14:paraId="0DFDAB25" w14:textId="77777777" w:rsidR="00046465" w:rsidRDefault="00046465">
      <w:pPr>
        <w:pStyle w:val="BodyText"/>
        <w:rPr>
          <w:sz w:val="20"/>
        </w:rPr>
      </w:pPr>
    </w:p>
    <w:p w14:paraId="0DFDAB26" w14:textId="77777777" w:rsidR="00046465" w:rsidRDefault="00046465">
      <w:pPr>
        <w:pStyle w:val="BodyText"/>
        <w:rPr>
          <w:sz w:val="20"/>
        </w:rPr>
      </w:pPr>
    </w:p>
    <w:p w14:paraId="0DFDAB27" w14:textId="77777777" w:rsidR="00046465" w:rsidRDefault="00046465">
      <w:pPr>
        <w:pStyle w:val="BodyText"/>
        <w:rPr>
          <w:sz w:val="20"/>
        </w:rPr>
      </w:pPr>
    </w:p>
    <w:p w14:paraId="0DFDAB28" w14:textId="77777777" w:rsidR="00046465" w:rsidRDefault="00046465">
      <w:pPr>
        <w:pStyle w:val="BodyText"/>
        <w:rPr>
          <w:sz w:val="20"/>
        </w:rPr>
      </w:pPr>
    </w:p>
    <w:p w14:paraId="0DFDAB29" w14:textId="77777777" w:rsidR="00046465" w:rsidRDefault="00046465">
      <w:pPr>
        <w:pStyle w:val="BodyText"/>
        <w:rPr>
          <w:sz w:val="20"/>
        </w:rPr>
      </w:pPr>
    </w:p>
    <w:p w14:paraId="0DFDAB2A" w14:textId="77777777" w:rsidR="00046465" w:rsidRDefault="00046465">
      <w:pPr>
        <w:pStyle w:val="BodyText"/>
        <w:rPr>
          <w:sz w:val="20"/>
        </w:rPr>
      </w:pPr>
    </w:p>
    <w:p w14:paraId="0DFDAB2B" w14:textId="77777777" w:rsidR="00046465" w:rsidRDefault="008134EB">
      <w:pPr>
        <w:pStyle w:val="BodyText"/>
        <w:spacing w:before="121"/>
        <w:rPr>
          <w:sz w:val="20"/>
        </w:rPr>
      </w:pPr>
      <w:r>
        <w:rPr>
          <w:noProof/>
          <w:sz w:val="20"/>
        </w:rPr>
        <mc:AlternateContent>
          <mc:Choice Requires="wps">
            <w:drawing>
              <wp:anchor distT="0" distB="0" distL="0" distR="0" simplePos="0" relativeHeight="487598592" behindDoc="1" locked="0" layoutInCell="1" allowOverlap="1" wp14:anchorId="0DFDD53D" wp14:editId="0DFDD53E">
                <wp:simplePos x="0" y="0"/>
                <wp:positionH relativeFrom="page">
                  <wp:posOffset>895350</wp:posOffset>
                </wp:positionH>
                <wp:positionV relativeFrom="paragraph">
                  <wp:posOffset>238112</wp:posOffset>
                </wp:positionV>
                <wp:extent cx="5981700" cy="12700"/>
                <wp:effectExtent l="0" t="0" r="0" b="0"/>
                <wp:wrapTopAndBottom/>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2700"/>
                        </a:xfrm>
                        <a:custGeom>
                          <a:avLst/>
                          <a:gdLst/>
                          <a:ahLst/>
                          <a:cxnLst/>
                          <a:rect l="l" t="t" r="r" b="b"/>
                          <a:pathLst>
                            <a:path w="5981700" h="12700">
                              <a:moveTo>
                                <a:pt x="5981700" y="0"/>
                              </a:moveTo>
                              <a:lnTo>
                                <a:pt x="0" y="0"/>
                              </a:lnTo>
                              <a:lnTo>
                                <a:pt x="0" y="12191"/>
                              </a:lnTo>
                              <a:lnTo>
                                <a:pt x="5981700" y="12191"/>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6315B5" id="Graphic 77" o:spid="_x0000_s1026" style="position:absolute;margin-left:70.5pt;margin-top:18.75pt;width:471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598170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" path="m5981700,l,,,12191r5981700,l5981700,xe" fillcolor="black" stroked="f">
                <v:path arrowok="t"/>
                <w10:wrap type="topAndBottom" anchorx="page"/>
              </v:shape>
            </w:pict>
          </mc:Fallback>
        </mc:AlternateContent>
      </w:r>
    </w:p>
    <w:p w14:paraId="0DFDAB2C" w14:textId="77777777" w:rsidR="00046465" w:rsidRDefault="00046465">
      <w:pPr>
        <w:pStyle w:val="BodyText"/>
        <w:rPr>
          <w:sz w:val="20"/>
        </w:rPr>
        <w:sectPr w:rsidR="00046465">
          <w:headerReference w:type="default" r:id="rId16"/>
          <w:footerReference w:type="default" r:id="rId17"/>
          <w:pgSz w:w="12240" w:h="15840"/>
          <w:pgMar w:top="1060" w:right="720" w:bottom="280" w:left="1080" w:header="0" w:footer="0" w:gutter="0"/>
          <w:cols w:space="720"/>
        </w:sectPr>
      </w:pPr>
    </w:p>
    <w:p w14:paraId="0DFDAB2D" w14:textId="77777777" w:rsidR="00046465" w:rsidRDefault="008134EB">
      <w:pPr>
        <w:pStyle w:val="BodyText"/>
        <w:tabs>
          <w:tab w:val="left" w:pos="1709"/>
        </w:tabs>
        <w:spacing w:before="121"/>
        <w:ind w:left="1710" w:right="753" w:hanging="631"/>
      </w:pPr>
      <w:r>
        <w:rPr>
          <w:spacing w:val="-4"/>
        </w:rPr>
        <w:lastRenderedPageBreak/>
        <w:t>.01</w:t>
      </w:r>
      <w:r>
        <w:tab/>
        <w:t>FAM volume 2 provides detailed guidance and requirements for implementing FAM volume 1. It also provides example audit procedures that are typically used for certain audit areas in</w:t>
      </w:r>
      <w:r>
        <w:rPr>
          <w:spacing w:val="-1"/>
        </w:rPr>
        <w:t xml:space="preserve"> </w:t>
      </w:r>
      <w:r>
        <w:t>conjunction</w:t>
      </w:r>
      <w:r>
        <w:rPr>
          <w:spacing w:val="-1"/>
        </w:rPr>
        <w:t xml:space="preserve"> </w:t>
      </w:r>
      <w:r>
        <w:t>with the related FAM volume 1 sections. The auditor uses professional judgment to tailor the example audit procedures, such as adding procedures, deleting inapplicable procedures, modifying procedures, determining the timing and extent of procedures, and changing the terminology to that</w:t>
      </w:r>
      <w:r>
        <w:rPr>
          <w:spacing w:val="-3"/>
        </w:rPr>
        <w:t xml:space="preserve"> </w:t>
      </w:r>
      <w:r>
        <w:t>used</w:t>
      </w:r>
      <w:r>
        <w:rPr>
          <w:spacing w:val="-3"/>
        </w:rPr>
        <w:t xml:space="preserve"> </w:t>
      </w:r>
      <w:r>
        <w:t>by</w:t>
      </w:r>
      <w:r>
        <w:rPr>
          <w:spacing w:val="-3"/>
        </w:rPr>
        <w:t xml:space="preserve"> </w:t>
      </w:r>
      <w:r>
        <w:t>the</w:t>
      </w:r>
      <w:r>
        <w:rPr>
          <w:spacing w:val="-3"/>
        </w:rPr>
        <w:t xml:space="preserve"> </w:t>
      </w:r>
      <w:r>
        <w:t>entity.</w:t>
      </w:r>
      <w:r>
        <w:rPr>
          <w:spacing w:val="-3"/>
        </w:rPr>
        <w:t xml:space="preserve"> </w:t>
      </w:r>
      <w:r>
        <w:t>The</w:t>
      </w:r>
      <w:r>
        <w:rPr>
          <w:spacing w:val="-3"/>
        </w:rPr>
        <w:t xml:space="preserve"> </w:t>
      </w:r>
      <w:r>
        <w:t>auditor</w:t>
      </w:r>
      <w:r>
        <w:rPr>
          <w:spacing w:val="-3"/>
        </w:rPr>
        <w:t xml:space="preserve"> </w:t>
      </w:r>
      <w:r>
        <w:t>may</w:t>
      </w:r>
      <w:r>
        <w:rPr>
          <w:spacing w:val="-3"/>
        </w:rPr>
        <w:t xml:space="preserve"> </w:t>
      </w:r>
      <w:r>
        <w:t>integrate</w:t>
      </w:r>
      <w:r>
        <w:rPr>
          <w:spacing w:val="-4"/>
        </w:rPr>
        <w:t xml:space="preserve"> </w:t>
      </w:r>
      <w:r>
        <w:t>these</w:t>
      </w:r>
      <w:r>
        <w:rPr>
          <w:spacing w:val="-3"/>
        </w:rPr>
        <w:t xml:space="preserve"> </w:t>
      </w:r>
      <w:r>
        <w:t>example</w:t>
      </w:r>
      <w:r>
        <w:rPr>
          <w:spacing w:val="-3"/>
        </w:rPr>
        <w:t xml:space="preserve"> </w:t>
      </w:r>
      <w:r>
        <w:t>audit</w:t>
      </w:r>
      <w:r>
        <w:rPr>
          <w:spacing w:val="-3"/>
        </w:rPr>
        <w:t xml:space="preserve"> </w:t>
      </w:r>
      <w:r>
        <w:t>procedures with the audit plans for related line items. For example, tests of intragovernmental activity and balances in FAM 902 may be integrated with tests of accounts receivable and payable. To improve efficiency, the auditor may also coordinate these tests with tests of related non-intragovernmental activity and balances.</w:t>
      </w:r>
    </w:p>
    <w:p w14:paraId="0DFDAB2E" w14:textId="77777777" w:rsidR="00046465" w:rsidRDefault="00046465">
      <w:pPr>
        <w:pStyle w:val="BodyText"/>
        <w:sectPr w:rsidR="00046465">
          <w:headerReference w:type="default" r:id="rId18"/>
          <w:footerReference w:type="default" r:id="rId19"/>
          <w:pgSz w:w="12240" w:h="15840"/>
          <w:pgMar w:top="1100" w:right="720" w:bottom="940" w:left="1080" w:header="721" w:footer="757" w:gutter="0"/>
          <w:cols w:space="720"/>
        </w:sectPr>
      </w:pPr>
    </w:p>
    <w:p w14:paraId="0DFDAB2F" w14:textId="77777777" w:rsidR="00046465" w:rsidRDefault="008134EB">
      <w:pPr>
        <w:pStyle w:val="Heading3"/>
        <w:ind w:right="749"/>
        <w:rPr>
          <w:u w:val="none"/>
        </w:rPr>
      </w:pPr>
      <w:r>
        <w:rPr>
          <w:u w:val="thick"/>
        </w:rPr>
        <w:lastRenderedPageBreak/>
        <w:t>Contents</w:t>
      </w:r>
      <w:r>
        <w:rPr>
          <w:spacing w:val="-11"/>
          <w:u w:val="thick"/>
        </w:rPr>
        <w:t xml:space="preserve"> </w:t>
      </w:r>
      <w:r>
        <w:rPr>
          <w:u w:val="thick"/>
        </w:rPr>
        <w:t>of</w:t>
      </w:r>
      <w:r>
        <w:rPr>
          <w:spacing w:val="-11"/>
          <w:u w:val="thick"/>
        </w:rPr>
        <w:t xml:space="preserve"> </w:t>
      </w:r>
      <w:r>
        <w:rPr>
          <w:u w:val="thick"/>
        </w:rPr>
        <w:t>FAM</w:t>
      </w:r>
      <w:r>
        <w:rPr>
          <w:spacing w:val="-11"/>
          <w:u w:val="thick"/>
        </w:rPr>
        <w:t xml:space="preserve"> </w:t>
      </w:r>
      <w:r>
        <w:rPr>
          <w:u w:val="thick"/>
        </w:rPr>
        <w:t>Volume</w:t>
      </w:r>
      <w:r>
        <w:rPr>
          <w:spacing w:val="-11"/>
          <w:u w:val="thick"/>
        </w:rPr>
        <w:t xml:space="preserve"> </w:t>
      </w:r>
      <w:r>
        <w:rPr>
          <w:u w:val="thick"/>
        </w:rPr>
        <w:t>2</w:t>
      </w:r>
      <w:r>
        <w:rPr>
          <w:spacing w:val="-11"/>
          <w:u w:val="thick"/>
        </w:rPr>
        <w:t xml:space="preserve"> </w:t>
      </w:r>
      <w:r>
        <w:rPr>
          <w:u w:val="thick"/>
        </w:rPr>
        <w:t>–</w:t>
      </w:r>
      <w:r>
        <w:rPr>
          <w:spacing w:val="-11"/>
          <w:u w:val="thick"/>
        </w:rPr>
        <w:t xml:space="preserve"> </w:t>
      </w:r>
      <w:r>
        <w:rPr>
          <w:u w:val="thick"/>
        </w:rPr>
        <w:t>Detailed</w:t>
      </w:r>
      <w:r>
        <w:rPr>
          <w:spacing w:val="-11"/>
          <w:u w:val="thick"/>
        </w:rPr>
        <w:t xml:space="preserve"> </w:t>
      </w:r>
      <w:r>
        <w:rPr>
          <w:u w:val="thick"/>
        </w:rPr>
        <w:t>Implementation</w:t>
      </w:r>
      <w:r>
        <w:rPr>
          <w:spacing w:val="-11"/>
          <w:u w:val="thick"/>
        </w:rPr>
        <w:t xml:space="preserve"> </w:t>
      </w:r>
      <w:r>
        <w:rPr>
          <w:spacing w:val="-11"/>
          <w:u w:val="none"/>
        </w:rPr>
        <w:t xml:space="preserve"> </w:t>
      </w:r>
      <w:r>
        <w:rPr>
          <w:spacing w:val="-2"/>
          <w:u w:val="thick"/>
        </w:rPr>
        <w:t>Guidance</w:t>
      </w:r>
    </w:p>
    <w:p w14:paraId="0DFDAB30" w14:textId="77777777" w:rsidR="00046465" w:rsidRDefault="00046465">
      <w:pPr>
        <w:pStyle w:val="BodyText"/>
        <w:spacing w:before="240"/>
        <w:rPr>
          <w:b/>
        </w:rPr>
      </w:pPr>
    </w:p>
    <w:p w14:paraId="0DFDAB31" w14:textId="77777777" w:rsidR="00046465" w:rsidRDefault="008134EB">
      <w:pPr>
        <w:tabs>
          <w:tab w:val="left" w:pos="2519"/>
        </w:tabs>
        <w:ind w:left="907"/>
        <w:rPr>
          <w:b/>
        </w:rPr>
      </w:pPr>
      <w:r>
        <w:rPr>
          <w:b/>
          <w:spacing w:val="-5"/>
        </w:rPr>
        <w:t>600</w:t>
      </w:r>
      <w:r>
        <w:rPr>
          <w:b/>
        </w:rPr>
        <w:tab/>
        <w:t>Using</w:t>
      </w:r>
      <w:r>
        <w:rPr>
          <w:b/>
          <w:spacing w:val="-5"/>
        </w:rPr>
        <w:t xml:space="preserve"> </w:t>
      </w:r>
      <w:r>
        <w:rPr>
          <w:b/>
        </w:rPr>
        <w:t>the</w:t>
      </w:r>
      <w:r>
        <w:rPr>
          <w:b/>
          <w:spacing w:val="-4"/>
        </w:rPr>
        <w:t xml:space="preserve"> </w:t>
      </w:r>
      <w:r>
        <w:rPr>
          <w:b/>
        </w:rPr>
        <w:t>Work</w:t>
      </w:r>
      <w:r>
        <w:rPr>
          <w:b/>
          <w:spacing w:val="-4"/>
        </w:rPr>
        <w:t xml:space="preserve"> </w:t>
      </w:r>
      <w:r>
        <w:rPr>
          <w:b/>
        </w:rPr>
        <w:t>of</w:t>
      </w:r>
      <w:r>
        <w:rPr>
          <w:b/>
          <w:spacing w:val="-4"/>
        </w:rPr>
        <w:t xml:space="preserve"> </w:t>
      </w:r>
      <w:r>
        <w:rPr>
          <w:b/>
          <w:spacing w:val="-2"/>
        </w:rPr>
        <w:t>Others</w:t>
      </w:r>
    </w:p>
    <w:p w14:paraId="0DFDAB32" w14:textId="77777777" w:rsidR="00046465" w:rsidRDefault="008134EB">
      <w:pPr>
        <w:pStyle w:val="BodyText"/>
        <w:tabs>
          <w:tab w:val="left" w:pos="2528"/>
        </w:tabs>
        <w:spacing w:before="120"/>
        <w:ind w:left="908"/>
      </w:pPr>
      <w:hyperlink w:anchor="_bookmark1" w:history="1">
        <w:r>
          <w:rPr>
            <w:spacing w:val="-5"/>
          </w:rPr>
          <w:t>610</w:t>
        </w:r>
        <w:r>
          <w:tab/>
          <w:t>Overview</w:t>
        </w:r>
        <w:r>
          <w:rPr>
            <w:spacing w:val="-5"/>
          </w:rPr>
          <w:t xml:space="preserve"> </w:t>
        </w:r>
        <w:r>
          <w:t>of</w:t>
        </w:r>
        <w:r>
          <w:rPr>
            <w:spacing w:val="-5"/>
          </w:rPr>
          <w:t xml:space="preserve"> </w:t>
        </w:r>
        <w:r>
          <w:t>Using</w:t>
        </w:r>
        <w:r>
          <w:rPr>
            <w:spacing w:val="-4"/>
          </w:rPr>
          <w:t xml:space="preserve"> </w:t>
        </w:r>
        <w:r>
          <w:t>the</w:t>
        </w:r>
        <w:r>
          <w:rPr>
            <w:spacing w:val="-5"/>
          </w:rPr>
          <w:t xml:space="preserve"> </w:t>
        </w:r>
        <w:r>
          <w:t>Work</w:t>
        </w:r>
        <w:r>
          <w:rPr>
            <w:spacing w:val="-5"/>
          </w:rPr>
          <w:t xml:space="preserve"> </w:t>
        </w:r>
        <w:r>
          <w:t>of</w:t>
        </w:r>
        <w:r>
          <w:rPr>
            <w:spacing w:val="-4"/>
          </w:rPr>
          <w:t xml:space="preserve"> </w:t>
        </w:r>
        <w:r>
          <w:rPr>
            <w:spacing w:val="-2"/>
          </w:rPr>
          <w:t>Others</w:t>
        </w:r>
      </w:hyperlink>
    </w:p>
    <w:p w14:paraId="0DFDAB33" w14:textId="77777777" w:rsidR="00046465" w:rsidRDefault="008134EB">
      <w:pPr>
        <w:pStyle w:val="BodyText"/>
        <w:tabs>
          <w:tab w:val="left" w:pos="2519"/>
        </w:tabs>
        <w:ind w:left="2519" w:right="1729" w:hanging="1620"/>
      </w:pPr>
      <w:hyperlink w:anchor="_bookmark2" w:history="1">
        <w:r>
          <w:rPr>
            <w:spacing w:val="-4"/>
          </w:rPr>
          <w:t>615</w:t>
        </w:r>
        <w:r>
          <w:tab/>
          <w:t>Evaluating</w:t>
        </w:r>
        <w:r>
          <w:rPr>
            <w:spacing w:val="-5"/>
          </w:rPr>
          <w:t xml:space="preserve"> </w:t>
        </w:r>
        <w:r>
          <w:t>the</w:t>
        </w:r>
        <w:r>
          <w:rPr>
            <w:spacing w:val="-5"/>
          </w:rPr>
          <w:t xml:space="preserve"> </w:t>
        </w:r>
        <w:r>
          <w:t>Objectivity</w:t>
        </w:r>
        <w:r>
          <w:rPr>
            <w:spacing w:val="-5"/>
          </w:rPr>
          <w:t xml:space="preserve"> </w:t>
        </w:r>
        <w:r>
          <w:t>and</w:t>
        </w:r>
        <w:r>
          <w:rPr>
            <w:spacing w:val="-5"/>
          </w:rPr>
          <w:t xml:space="preserve"> </w:t>
        </w:r>
        <w:r>
          <w:t>Competence</w:t>
        </w:r>
        <w:r>
          <w:rPr>
            <w:spacing w:val="-5"/>
          </w:rPr>
          <w:t xml:space="preserve"> </w:t>
        </w:r>
        <w:r>
          <w:t>of</w:t>
        </w:r>
        <w:r>
          <w:rPr>
            <w:spacing w:val="-5"/>
          </w:rPr>
          <w:t xml:space="preserve"> </w:t>
        </w:r>
        <w:r>
          <w:t>Other</w:t>
        </w:r>
        <w:r>
          <w:rPr>
            <w:spacing w:val="-5"/>
          </w:rPr>
          <w:t xml:space="preserve"> </w:t>
        </w:r>
        <w:r>
          <w:t>Auditors</w:t>
        </w:r>
        <w:r>
          <w:rPr>
            <w:spacing w:val="-5"/>
          </w:rPr>
          <w:t xml:space="preserve"> </w:t>
        </w:r>
        <w:r>
          <w:t xml:space="preserve">or </w:t>
        </w:r>
        <w:r>
          <w:rPr>
            <w:spacing w:val="-2"/>
          </w:rPr>
          <w:t>Specialists</w:t>
        </w:r>
      </w:hyperlink>
    </w:p>
    <w:p w14:paraId="0DFDAB34" w14:textId="77777777" w:rsidR="00046465" w:rsidRDefault="008134EB">
      <w:pPr>
        <w:pStyle w:val="BodyText"/>
        <w:tabs>
          <w:tab w:val="left" w:pos="2519"/>
        </w:tabs>
        <w:spacing w:line="252" w:lineRule="exact"/>
        <w:ind w:left="908"/>
      </w:pPr>
      <w:hyperlink w:anchor="_bookmark8" w:history="1">
        <w:r>
          <w:rPr>
            <w:spacing w:val="-5"/>
          </w:rPr>
          <w:t>620</w:t>
        </w:r>
        <w:r>
          <w:tab/>
          <w:t>Using</w:t>
        </w:r>
        <w:r>
          <w:rPr>
            <w:spacing w:val="-5"/>
          </w:rPr>
          <w:t xml:space="preserve"> </w:t>
        </w:r>
        <w:r>
          <w:t>the</w:t>
        </w:r>
        <w:r>
          <w:rPr>
            <w:spacing w:val="-5"/>
          </w:rPr>
          <w:t xml:space="preserve"> </w:t>
        </w:r>
        <w:r>
          <w:t>Work</w:t>
        </w:r>
        <w:r>
          <w:rPr>
            <w:spacing w:val="-4"/>
          </w:rPr>
          <w:t xml:space="preserve"> </w:t>
        </w:r>
        <w:r>
          <w:t>of</w:t>
        </w:r>
        <w:r>
          <w:rPr>
            <w:spacing w:val="-5"/>
          </w:rPr>
          <w:t xml:space="preserve"> </w:t>
        </w:r>
        <w:r>
          <w:t>an</w:t>
        </w:r>
        <w:r>
          <w:rPr>
            <w:spacing w:val="-5"/>
          </w:rPr>
          <w:t xml:space="preserve"> </w:t>
        </w:r>
        <w:r>
          <w:t>Auditor’s</w:t>
        </w:r>
        <w:r>
          <w:rPr>
            <w:spacing w:val="-4"/>
          </w:rPr>
          <w:t xml:space="preserve"> </w:t>
        </w:r>
        <w:r>
          <w:rPr>
            <w:spacing w:val="-2"/>
          </w:rPr>
          <w:t>Specialist</w:t>
        </w:r>
      </w:hyperlink>
    </w:p>
    <w:p w14:paraId="0DFDAB35" w14:textId="77777777" w:rsidR="00046465" w:rsidRDefault="008134EB">
      <w:pPr>
        <w:pStyle w:val="BodyText"/>
        <w:tabs>
          <w:tab w:val="left" w:pos="2519"/>
        </w:tabs>
        <w:spacing w:before="1"/>
        <w:ind w:left="908"/>
      </w:pPr>
      <w:hyperlink w:anchor="_bookmark10" w:history="1">
        <w:r>
          <w:rPr>
            <w:spacing w:val="-5"/>
          </w:rPr>
          <w:t>625</w:t>
        </w:r>
        <w:r>
          <w:tab/>
          <w:t>Using</w:t>
        </w:r>
        <w:r>
          <w:rPr>
            <w:spacing w:val="-7"/>
          </w:rPr>
          <w:t xml:space="preserve"> </w:t>
        </w:r>
        <w:r>
          <w:t>the</w:t>
        </w:r>
        <w:r>
          <w:rPr>
            <w:spacing w:val="-6"/>
          </w:rPr>
          <w:t xml:space="preserve"> </w:t>
        </w:r>
        <w:r>
          <w:t>Work</w:t>
        </w:r>
        <w:r>
          <w:rPr>
            <w:spacing w:val="-6"/>
          </w:rPr>
          <w:t xml:space="preserve"> </w:t>
        </w:r>
        <w:r>
          <w:t>of</w:t>
        </w:r>
        <w:r>
          <w:rPr>
            <w:spacing w:val="-6"/>
          </w:rPr>
          <w:t xml:space="preserve"> </w:t>
        </w:r>
        <w:r>
          <w:t>Management’s</w:t>
        </w:r>
        <w:r>
          <w:rPr>
            <w:spacing w:val="-7"/>
          </w:rPr>
          <w:t xml:space="preserve"> </w:t>
        </w:r>
        <w:r>
          <w:rPr>
            <w:spacing w:val="-2"/>
          </w:rPr>
          <w:t>Specialists</w:t>
        </w:r>
      </w:hyperlink>
    </w:p>
    <w:p w14:paraId="0DFDAB36" w14:textId="77777777" w:rsidR="00046465" w:rsidRDefault="008134EB">
      <w:pPr>
        <w:pStyle w:val="BodyText"/>
        <w:tabs>
          <w:tab w:val="left" w:pos="2519"/>
        </w:tabs>
        <w:ind w:left="899"/>
      </w:pPr>
      <w:hyperlink w:anchor="_bookmark12" w:history="1">
        <w:r>
          <w:rPr>
            <w:spacing w:val="-5"/>
          </w:rPr>
          <w:t>630</w:t>
        </w:r>
        <w:r>
          <w:tab/>
          <w:t>Audits</w:t>
        </w:r>
        <w:r>
          <w:rPr>
            <w:spacing w:val="-6"/>
          </w:rPr>
          <w:t xml:space="preserve"> </w:t>
        </w:r>
        <w:r>
          <w:t>of</w:t>
        </w:r>
        <w:r>
          <w:rPr>
            <w:spacing w:val="-6"/>
          </w:rPr>
          <w:t xml:space="preserve"> </w:t>
        </w:r>
        <w:r>
          <w:t>Group</w:t>
        </w:r>
        <w:r>
          <w:rPr>
            <w:spacing w:val="-6"/>
          </w:rPr>
          <w:t xml:space="preserve"> </w:t>
        </w:r>
        <w:r>
          <w:t>Financial</w:t>
        </w:r>
        <w:r>
          <w:rPr>
            <w:spacing w:val="-5"/>
          </w:rPr>
          <w:t xml:space="preserve"> </w:t>
        </w:r>
        <w:r>
          <w:rPr>
            <w:spacing w:val="-2"/>
          </w:rPr>
          <w:t>Statements</w:t>
        </w:r>
      </w:hyperlink>
    </w:p>
    <w:p w14:paraId="0DFDAB37" w14:textId="77777777" w:rsidR="00046465" w:rsidRDefault="008134EB">
      <w:pPr>
        <w:pStyle w:val="BodyText"/>
        <w:tabs>
          <w:tab w:val="left" w:pos="2519"/>
        </w:tabs>
        <w:ind w:left="908"/>
      </w:pPr>
      <w:hyperlink w:anchor="_bookmark16" w:history="1">
        <w:r>
          <w:rPr>
            <w:spacing w:val="-5"/>
          </w:rPr>
          <w:t>640</w:t>
        </w:r>
        <w:r>
          <w:tab/>
          <w:t>Entities</w:t>
        </w:r>
        <w:r>
          <w:rPr>
            <w:spacing w:val="-6"/>
          </w:rPr>
          <w:t xml:space="preserve"> </w:t>
        </w:r>
        <w:r>
          <w:t>Using</w:t>
        </w:r>
        <w:r>
          <w:rPr>
            <w:spacing w:val="-6"/>
          </w:rPr>
          <w:t xml:space="preserve"> </w:t>
        </w:r>
        <w:r>
          <w:t>a</w:t>
        </w:r>
        <w:r>
          <w:rPr>
            <w:spacing w:val="-5"/>
          </w:rPr>
          <w:t xml:space="preserve"> </w:t>
        </w:r>
        <w:r>
          <w:t>Service</w:t>
        </w:r>
        <w:r>
          <w:rPr>
            <w:spacing w:val="-7"/>
          </w:rPr>
          <w:t xml:space="preserve"> </w:t>
        </w:r>
        <w:r>
          <w:rPr>
            <w:spacing w:val="-2"/>
          </w:rPr>
          <w:t>Organization</w:t>
        </w:r>
      </w:hyperlink>
    </w:p>
    <w:p w14:paraId="0DFDAB38" w14:textId="77777777" w:rsidR="00046465" w:rsidRDefault="008134EB">
      <w:pPr>
        <w:pStyle w:val="BodyText"/>
        <w:tabs>
          <w:tab w:val="left" w:pos="2519"/>
        </w:tabs>
        <w:ind w:left="908" w:right="2673"/>
      </w:pPr>
      <w:hyperlink w:anchor="_bookmark22" w:history="1">
        <w:r>
          <w:t>640 A</w:t>
        </w:r>
        <w:r>
          <w:tab/>
        </w:r>
        <w:r>
          <w:rPr>
            <w:spacing w:val="-61"/>
          </w:rPr>
          <w:t xml:space="preserve"> </w:t>
        </w:r>
        <w:r>
          <w:t>Service</w:t>
        </w:r>
        <w:r>
          <w:rPr>
            <w:spacing w:val="-6"/>
          </w:rPr>
          <w:t xml:space="preserve"> </w:t>
        </w:r>
        <w:r>
          <w:t>Organization</w:t>
        </w:r>
        <w:r>
          <w:rPr>
            <w:spacing w:val="-7"/>
          </w:rPr>
          <w:t xml:space="preserve"> </w:t>
        </w:r>
        <w:r>
          <w:t>Type</w:t>
        </w:r>
        <w:r>
          <w:rPr>
            <w:spacing w:val="-7"/>
          </w:rPr>
          <w:t xml:space="preserve"> </w:t>
        </w:r>
        <w:r>
          <w:t>2</w:t>
        </w:r>
        <w:r>
          <w:rPr>
            <w:spacing w:val="-7"/>
          </w:rPr>
          <w:t xml:space="preserve"> </w:t>
        </w:r>
        <w:r>
          <w:t>Report</w:t>
        </w:r>
        <w:r>
          <w:rPr>
            <w:spacing w:val="-7"/>
          </w:rPr>
          <w:t xml:space="preserve"> </w:t>
        </w:r>
        <w:r>
          <w:t>Assessment</w:t>
        </w:r>
        <w:r>
          <w:rPr>
            <w:spacing w:val="-8"/>
          </w:rPr>
          <w:t xml:space="preserve"> </w:t>
        </w:r>
        <w:r>
          <w:t>Tool</w:t>
        </w:r>
      </w:hyperlink>
      <w:r>
        <w:t xml:space="preserve"> </w:t>
      </w:r>
      <w:hyperlink w:anchor="_bookmark24" w:history="1">
        <w:r>
          <w:rPr>
            <w:spacing w:val="-4"/>
          </w:rPr>
          <w:t>645</w:t>
        </w:r>
        <w:r>
          <w:tab/>
          <w:t>Using the Work of an Internal Auditor</w:t>
        </w:r>
      </w:hyperlink>
    </w:p>
    <w:p w14:paraId="0DFDAB39" w14:textId="77777777" w:rsidR="00046465" w:rsidRDefault="008134EB">
      <w:pPr>
        <w:pStyle w:val="BodyText"/>
        <w:tabs>
          <w:tab w:val="left" w:pos="2519"/>
        </w:tabs>
        <w:ind w:left="2519" w:right="1091" w:hanging="1620"/>
      </w:pPr>
      <w:hyperlink w:anchor="_bookmark25" w:history="1">
        <w:r>
          <w:rPr>
            <w:spacing w:val="-4"/>
          </w:rPr>
          <w:t>670</w:t>
        </w:r>
        <w:r>
          <w:tab/>
          <w:t>IG</w:t>
        </w:r>
        <w:r>
          <w:rPr>
            <w:spacing w:val="-5"/>
          </w:rPr>
          <w:t xml:space="preserve"> </w:t>
        </w:r>
        <w:r>
          <w:t>Oversight</w:t>
        </w:r>
        <w:r>
          <w:rPr>
            <w:spacing w:val="-5"/>
          </w:rPr>
          <w:t xml:space="preserve"> </w:t>
        </w:r>
        <w:r>
          <w:t>of</w:t>
        </w:r>
        <w:r>
          <w:rPr>
            <w:spacing w:val="-5"/>
          </w:rPr>
          <w:t xml:space="preserve"> </w:t>
        </w:r>
        <w:r>
          <w:t>Financial</w:t>
        </w:r>
        <w:r>
          <w:rPr>
            <w:spacing w:val="-5"/>
          </w:rPr>
          <w:t xml:space="preserve"> </w:t>
        </w:r>
        <w:r>
          <w:t>Statement</w:t>
        </w:r>
        <w:r>
          <w:rPr>
            <w:spacing w:val="-5"/>
          </w:rPr>
          <w:t xml:space="preserve"> </w:t>
        </w:r>
        <w:r>
          <w:t>Audits</w:t>
        </w:r>
        <w:r>
          <w:rPr>
            <w:spacing w:val="-5"/>
          </w:rPr>
          <w:t xml:space="preserve"> </w:t>
        </w:r>
        <w:r>
          <w:t>Performed</w:t>
        </w:r>
        <w:r>
          <w:rPr>
            <w:spacing w:val="-5"/>
          </w:rPr>
          <w:t xml:space="preserve"> </w:t>
        </w:r>
        <w:r>
          <w:t>by</w:t>
        </w:r>
        <w:r>
          <w:rPr>
            <w:spacing w:val="-5"/>
          </w:rPr>
          <w:t xml:space="preserve"> </w:t>
        </w:r>
        <w:r>
          <w:t>Independent Public Accounting (IPA) Firms</w:t>
        </w:r>
      </w:hyperlink>
    </w:p>
    <w:p w14:paraId="0DFDAB3A" w14:textId="77777777" w:rsidR="00046465" w:rsidRDefault="008134EB">
      <w:pPr>
        <w:pStyle w:val="BodyText"/>
        <w:tabs>
          <w:tab w:val="left" w:pos="2519"/>
        </w:tabs>
        <w:ind w:left="2519" w:right="785" w:hanging="1620"/>
      </w:pPr>
      <w:hyperlink w:anchor="_bookmark32" w:history="1">
        <w:r>
          <w:t>670 A</w:t>
        </w:r>
        <w:r>
          <w:tab/>
          <w:t>Summary</w:t>
        </w:r>
        <w:r>
          <w:rPr>
            <w:spacing w:val="-5"/>
          </w:rPr>
          <w:t xml:space="preserve"> </w:t>
        </w:r>
        <w:r>
          <w:t>of</w:t>
        </w:r>
        <w:r>
          <w:rPr>
            <w:spacing w:val="-5"/>
          </w:rPr>
          <w:t xml:space="preserve"> </w:t>
        </w:r>
        <w:r>
          <w:t>Procedures</w:t>
        </w:r>
        <w:r>
          <w:rPr>
            <w:spacing w:val="-5"/>
          </w:rPr>
          <w:t xml:space="preserve"> </w:t>
        </w:r>
        <w:r>
          <w:t>and</w:t>
        </w:r>
        <w:r>
          <w:rPr>
            <w:spacing w:val="-5"/>
          </w:rPr>
          <w:t xml:space="preserve"> </w:t>
        </w:r>
        <w:r>
          <w:t>Documentation</w:t>
        </w:r>
        <w:r>
          <w:rPr>
            <w:spacing w:val="-5"/>
          </w:rPr>
          <w:t xml:space="preserve"> </w:t>
        </w:r>
        <w:r>
          <w:t>for</w:t>
        </w:r>
        <w:r>
          <w:rPr>
            <w:spacing w:val="-5"/>
          </w:rPr>
          <w:t xml:space="preserve"> </w:t>
        </w:r>
        <w:r>
          <w:t>IG</w:t>
        </w:r>
        <w:r>
          <w:rPr>
            <w:spacing w:val="-6"/>
          </w:rPr>
          <w:t xml:space="preserve"> </w:t>
        </w:r>
        <w:r>
          <w:t>Oversight</w:t>
        </w:r>
        <w:r>
          <w:rPr>
            <w:spacing w:val="-5"/>
          </w:rPr>
          <w:t xml:space="preserve"> </w:t>
        </w:r>
        <w:r>
          <w:t>of</w:t>
        </w:r>
        <w:r>
          <w:rPr>
            <w:spacing w:val="-5"/>
          </w:rPr>
          <w:t xml:space="preserve"> </w:t>
        </w:r>
        <w:r>
          <w:t>Financial Statement Audits Performed by IPA Firms</w:t>
        </w:r>
      </w:hyperlink>
    </w:p>
    <w:p w14:paraId="0DFDAB3B" w14:textId="77777777" w:rsidR="00046465" w:rsidRDefault="008134EB">
      <w:pPr>
        <w:pStyle w:val="BodyText"/>
        <w:tabs>
          <w:tab w:val="left" w:pos="2520"/>
        </w:tabs>
        <w:ind w:left="2519" w:right="753" w:hanging="1620"/>
      </w:pPr>
      <w:hyperlink w:anchor="_bookmark33" w:history="1">
        <w:r>
          <w:t>670 B</w:t>
        </w:r>
        <w:r>
          <w:tab/>
          <w:t>Example</w:t>
        </w:r>
        <w:r>
          <w:rPr>
            <w:spacing w:val="-5"/>
          </w:rPr>
          <w:t xml:space="preserve"> </w:t>
        </w:r>
        <w:r>
          <w:t>Transmittal</w:t>
        </w:r>
        <w:r>
          <w:rPr>
            <w:spacing w:val="-5"/>
          </w:rPr>
          <w:t xml:space="preserve"> </w:t>
        </w:r>
        <w:r>
          <w:t>Letter</w:t>
        </w:r>
        <w:r>
          <w:rPr>
            <w:spacing w:val="-5"/>
          </w:rPr>
          <w:t xml:space="preserve"> </w:t>
        </w:r>
        <w:r>
          <w:t>for</w:t>
        </w:r>
        <w:r>
          <w:rPr>
            <w:spacing w:val="-5"/>
          </w:rPr>
          <w:t xml:space="preserve"> </w:t>
        </w:r>
        <w:r>
          <w:t>IG</w:t>
        </w:r>
        <w:r>
          <w:rPr>
            <w:spacing w:val="-5"/>
          </w:rPr>
          <w:t xml:space="preserve"> </w:t>
        </w:r>
        <w:r>
          <w:t>Oversight</w:t>
        </w:r>
        <w:r>
          <w:rPr>
            <w:spacing w:val="-5"/>
          </w:rPr>
          <w:t xml:space="preserve"> </w:t>
        </w:r>
        <w:r>
          <w:t>of</w:t>
        </w:r>
        <w:r>
          <w:rPr>
            <w:spacing w:val="-5"/>
          </w:rPr>
          <w:t xml:space="preserve"> </w:t>
        </w:r>
        <w:r>
          <w:t>Financial</w:t>
        </w:r>
        <w:r>
          <w:rPr>
            <w:spacing w:val="-5"/>
          </w:rPr>
          <w:t xml:space="preserve"> </w:t>
        </w:r>
        <w:r>
          <w:t>Statement</w:t>
        </w:r>
        <w:r>
          <w:rPr>
            <w:spacing w:val="-5"/>
          </w:rPr>
          <w:t xml:space="preserve"> </w:t>
        </w:r>
        <w:r>
          <w:t>Audits Performed by IPA Firms</w:t>
        </w:r>
      </w:hyperlink>
    </w:p>
    <w:p w14:paraId="0DFDAB3C" w14:textId="77777777" w:rsidR="00046465" w:rsidRDefault="008134EB">
      <w:pPr>
        <w:tabs>
          <w:tab w:val="left" w:pos="2519"/>
        </w:tabs>
        <w:spacing w:before="120"/>
        <w:ind w:left="899"/>
        <w:rPr>
          <w:b/>
        </w:rPr>
      </w:pPr>
      <w:r>
        <w:rPr>
          <w:b/>
          <w:spacing w:val="-5"/>
        </w:rPr>
        <w:t>700</w:t>
      </w:r>
      <w:r>
        <w:rPr>
          <w:b/>
        </w:rPr>
        <w:tab/>
        <w:t>FFMIA</w:t>
      </w:r>
      <w:r>
        <w:rPr>
          <w:b/>
          <w:spacing w:val="-10"/>
        </w:rPr>
        <w:t xml:space="preserve"> </w:t>
      </w:r>
      <w:r>
        <w:rPr>
          <w:b/>
        </w:rPr>
        <w:t>Guidance</w:t>
      </w:r>
      <w:r>
        <w:rPr>
          <w:b/>
          <w:spacing w:val="-9"/>
        </w:rPr>
        <w:t xml:space="preserve"> </w:t>
      </w:r>
      <w:r>
        <w:rPr>
          <w:b/>
        </w:rPr>
        <w:t>and</w:t>
      </w:r>
      <w:r>
        <w:rPr>
          <w:b/>
          <w:spacing w:val="-9"/>
        </w:rPr>
        <w:t xml:space="preserve"> </w:t>
      </w:r>
      <w:r>
        <w:rPr>
          <w:b/>
        </w:rPr>
        <w:t>Agreed-Upon</w:t>
      </w:r>
      <w:r>
        <w:rPr>
          <w:b/>
          <w:spacing w:val="-9"/>
        </w:rPr>
        <w:t xml:space="preserve"> </w:t>
      </w:r>
      <w:r>
        <w:rPr>
          <w:b/>
        </w:rPr>
        <w:t>Procedures</w:t>
      </w:r>
      <w:r>
        <w:rPr>
          <w:b/>
          <w:spacing w:val="-9"/>
        </w:rPr>
        <w:t xml:space="preserve"> </w:t>
      </w:r>
      <w:r>
        <w:rPr>
          <w:b/>
          <w:spacing w:val="-2"/>
        </w:rPr>
        <w:t>Guidance</w:t>
      </w:r>
    </w:p>
    <w:p w14:paraId="0DFDAB3D" w14:textId="77777777" w:rsidR="00046465" w:rsidRDefault="008134EB">
      <w:pPr>
        <w:pStyle w:val="BodyText"/>
        <w:tabs>
          <w:tab w:val="left" w:pos="2519"/>
        </w:tabs>
        <w:spacing w:before="138" w:line="266" w:lineRule="auto"/>
        <w:ind w:left="2519" w:right="1462" w:hanging="1620"/>
      </w:pPr>
      <w:hyperlink w:anchor="_bookmark41" w:history="1">
        <w:r>
          <w:rPr>
            <w:spacing w:val="-4"/>
          </w:rPr>
          <w:t>701</w:t>
        </w:r>
        <w:r>
          <w:tab/>
          <w:t>Assessing</w:t>
        </w:r>
        <w:r>
          <w:rPr>
            <w:spacing w:val="-8"/>
          </w:rPr>
          <w:t xml:space="preserve"> </w:t>
        </w:r>
        <w:r>
          <w:t>Financial</w:t>
        </w:r>
        <w:r>
          <w:rPr>
            <w:spacing w:val="-7"/>
          </w:rPr>
          <w:t xml:space="preserve"> </w:t>
        </w:r>
        <w:r>
          <w:t>Management</w:t>
        </w:r>
        <w:r>
          <w:rPr>
            <w:spacing w:val="-7"/>
          </w:rPr>
          <w:t xml:space="preserve"> </w:t>
        </w:r>
        <w:r>
          <w:t>Systems’</w:t>
        </w:r>
        <w:r>
          <w:rPr>
            <w:spacing w:val="-7"/>
          </w:rPr>
          <w:t xml:space="preserve"> </w:t>
        </w:r>
        <w:r>
          <w:t>Compliance</w:t>
        </w:r>
        <w:r>
          <w:rPr>
            <w:spacing w:val="-7"/>
          </w:rPr>
          <w:t xml:space="preserve"> </w:t>
        </w:r>
        <w:r>
          <w:t>under</w:t>
        </w:r>
        <w:r>
          <w:rPr>
            <w:spacing w:val="-7"/>
          </w:rPr>
          <w:t xml:space="preserve"> </w:t>
        </w:r>
        <w:r>
          <w:t>the Federal</w:t>
        </w:r>
        <w:r>
          <w:rPr>
            <w:spacing w:val="-8"/>
          </w:rPr>
          <w:t xml:space="preserve"> </w:t>
        </w:r>
        <w:r>
          <w:t>Financial</w:t>
        </w:r>
        <w:r>
          <w:rPr>
            <w:spacing w:val="-7"/>
          </w:rPr>
          <w:t xml:space="preserve"> </w:t>
        </w:r>
        <w:r>
          <w:t>Management</w:t>
        </w:r>
        <w:r>
          <w:rPr>
            <w:spacing w:val="-8"/>
          </w:rPr>
          <w:t xml:space="preserve"> </w:t>
        </w:r>
        <w:r>
          <w:t>Improvement</w:t>
        </w:r>
        <w:r>
          <w:rPr>
            <w:spacing w:val="-7"/>
          </w:rPr>
          <w:t xml:space="preserve"> </w:t>
        </w:r>
        <w:r>
          <w:t>Act</w:t>
        </w:r>
        <w:r>
          <w:rPr>
            <w:spacing w:val="-8"/>
          </w:rPr>
          <w:t xml:space="preserve"> </w:t>
        </w:r>
        <w:r>
          <w:t>of</w:t>
        </w:r>
        <w:r>
          <w:rPr>
            <w:spacing w:val="-7"/>
          </w:rPr>
          <w:t xml:space="preserve"> </w:t>
        </w:r>
        <w:r>
          <w:t>1996</w:t>
        </w:r>
        <w:r>
          <w:rPr>
            <w:spacing w:val="-7"/>
          </w:rPr>
          <w:t xml:space="preserve"> </w:t>
        </w:r>
        <w:r>
          <w:rPr>
            <w:spacing w:val="-2"/>
          </w:rPr>
          <w:t>(FFMIA)</w:t>
        </w:r>
      </w:hyperlink>
    </w:p>
    <w:p w14:paraId="0DFDAB3E" w14:textId="77777777" w:rsidR="00046465" w:rsidRDefault="008134EB">
      <w:pPr>
        <w:pStyle w:val="BodyText"/>
        <w:tabs>
          <w:tab w:val="left" w:pos="2520"/>
        </w:tabs>
        <w:spacing w:line="266" w:lineRule="auto"/>
        <w:ind w:left="2519" w:right="1378" w:hanging="1620"/>
      </w:pPr>
      <w:hyperlink w:anchor="_bookmark51" w:history="1">
        <w:r>
          <w:t>701 A</w:t>
        </w:r>
        <w:r>
          <w:tab/>
          <w:t>Example</w:t>
        </w:r>
        <w:r>
          <w:rPr>
            <w:spacing w:val="-6"/>
          </w:rPr>
          <w:t xml:space="preserve"> </w:t>
        </w:r>
        <w:r>
          <w:t>Audit</w:t>
        </w:r>
        <w:r>
          <w:rPr>
            <w:spacing w:val="-6"/>
          </w:rPr>
          <w:t xml:space="preserve"> </w:t>
        </w:r>
        <w:r>
          <w:t>Plan</w:t>
        </w:r>
        <w:r>
          <w:rPr>
            <w:spacing w:val="-6"/>
          </w:rPr>
          <w:t xml:space="preserve"> </w:t>
        </w:r>
        <w:r>
          <w:t>for</w:t>
        </w:r>
        <w:r>
          <w:rPr>
            <w:spacing w:val="-7"/>
          </w:rPr>
          <w:t xml:space="preserve"> </w:t>
        </w:r>
        <w:r>
          <w:t>Assessing</w:t>
        </w:r>
        <w:r>
          <w:rPr>
            <w:spacing w:val="-7"/>
          </w:rPr>
          <w:t xml:space="preserve"> </w:t>
        </w:r>
        <w:r>
          <w:t>Financial</w:t>
        </w:r>
        <w:r>
          <w:rPr>
            <w:spacing w:val="-6"/>
          </w:rPr>
          <w:t xml:space="preserve"> </w:t>
        </w:r>
        <w:r>
          <w:t>Management</w:t>
        </w:r>
        <w:r>
          <w:rPr>
            <w:spacing w:val="-6"/>
          </w:rPr>
          <w:t xml:space="preserve"> </w:t>
        </w:r>
        <w:r>
          <w:t>Systems’ Compliance under FFMIA</w:t>
        </w:r>
      </w:hyperlink>
    </w:p>
    <w:p w14:paraId="0DFDAB3F" w14:textId="77777777" w:rsidR="00046465" w:rsidRDefault="008134EB">
      <w:pPr>
        <w:pStyle w:val="BodyText"/>
        <w:tabs>
          <w:tab w:val="left" w:pos="2526"/>
        </w:tabs>
        <w:spacing w:line="248" w:lineRule="exact"/>
        <w:ind w:left="908"/>
      </w:pPr>
      <w:hyperlink w:anchor="_bookmark53" w:history="1">
        <w:r>
          <w:rPr>
            <w:spacing w:val="-5"/>
          </w:rPr>
          <w:t>710</w:t>
        </w:r>
        <w:r>
          <w:tab/>
          <w:t>Agreed-Upon</w:t>
        </w:r>
        <w:r>
          <w:rPr>
            <w:spacing w:val="-13"/>
          </w:rPr>
          <w:t xml:space="preserve"> </w:t>
        </w:r>
        <w:r>
          <w:rPr>
            <w:spacing w:val="-2"/>
          </w:rPr>
          <w:t>Procedures</w:t>
        </w:r>
      </w:hyperlink>
    </w:p>
    <w:p w14:paraId="0DFDAB40" w14:textId="77777777" w:rsidR="00046465" w:rsidRDefault="008134EB">
      <w:pPr>
        <w:pStyle w:val="BodyText"/>
        <w:tabs>
          <w:tab w:val="left" w:pos="2527"/>
        </w:tabs>
        <w:spacing w:before="30"/>
        <w:ind w:left="908"/>
      </w:pPr>
      <w:hyperlink w:anchor="_bookmark56" w:history="1">
        <w:r>
          <w:t>710</w:t>
        </w:r>
        <w:r>
          <w:rPr>
            <w:spacing w:val="-4"/>
          </w:rPr>
          <w:t xml:space="preserve"> </w:t>
        </w:r>
        <w:r>
          <w:rPr>
            <w:spacing w:val="-10"/>
          </w:rPr>
          <w:t>A</w:t>
        </w:r>
        <w:r>
          <w:tab/>
          <w:t>Example</w:t>
        </w:r>
        <w:r>
          <w:rPr>
            <w:spacing w:val="-12"/>
          </w:rPr>
          <w:t xml:space="preserve"> </w:t>
        </w:r>
        <w:r>
          <w:t>Agreed-Upon</w:t>
        </w:r>
        <w:r>
          <w:rPr>
            <w:spacing w:val="-11"/>
          </w:rPr>
          <w:t xml:space="preserve"> </w:t>
        </w:r>
        <w:r>
          <w:t>Procedures</w:t>
        </w:r>
        <w:r>
          <w:rPr>
            <w:spacing w:val="-12"/>
          </w:rPr>
          <w:t xml:space="preserve"> </w:t>
        </w:r>
        <w:r>
          <w:t>Engagement</w:t>
        </w:r>
        <w:r>
          <w:rPr>
            <w:spacing w:val="-11"/>
          </w:rPr>
          <w:t xml:space="preserve"> </w:t>
        </w:r>
        <w:r>
          <w:rPr>
            <w:spacing w:val="-2"/>
          </w:rPr>
          <w:t>Letter</w:t>
        </w:r>
      </w:hyperlink>
    </w:p>
    <w:p w14:paraId="0DFDAB41" w14:textId="77777777" w:rsidR="00046465" w:rsidRDefault="008134EB">
      <w:pPr>
        <w:pStyle w:val="BodyText"/>
        <w:tabs>
          <w:tab w:val="left" w:pos="2519"/>
        </w:tabs>
        <w:spacing w:before="11" w:line="249" w:lineRule="auto"/>
        <w:ind w:left="2519" w:right="1143" w:hanging="1612"/>
      </w:pPr>
      <w:hyperlink w:anchor="_bookmark58" w:history="1">
        <w:r>
          <w:t>710 B</w:t>
        </w:r>
        <w:r>
          <w:tab/>
          <w:t>Example</w:t>
        </w:r>
        <w:r>
          <w:rPr>
            <w:spacing w:val="-6"/>
          </w:rPr>
          <w:t xml:space="preserve"> </w:t>
        </w:r>
        <w:r>
          <w:t>Representation</w:t>
        </w:r>
        <w:r>
          <w:rPr>
            <w:spacing w:val="-7"/>
          </w:rPr>
          <w:t xml:space="preserve"> </w:t>
        </w:r>
        <w:r>
          <w:t>Letter</w:t>
        </w:r>
        <w:r>
          <w:rPr>
            <w:spacing w:val="-6"/>
          </w:rPr>
          <w:t xml:space="preserve"> </w:t>
        </w:r>
        <w:r>
          <w:t>from</w:t>
        </w:r>
        <w:r>
          <w:rPr>
            <w:spacing w:val="-6"/>
          </w:rPr>
          <w:t xml:space="preserve"> </w:t>
        </w:r>
        <w:r>
          <w:t>Engaging</w:t>
        </w:r>
        <w:r>
          <w:rPr>
            <w:spacing w:val="-6"/>
          </w:rPr>
          <w:t xml:space="preserve"> </w:t>
        </w:r>
        <w:r>
          <w:t>Party</w:t>
        </w:r>
        <w:r>
          <w:rPr>
            <w:spacing w:val="-6"/>
          </w:rPr>
          <w:t xml:space="preserve"> </w:t>
        </w:r>
        <w:r>
          <w:t>on</w:t>
        </w:r>
        <w:r>
          <w:rPr>
            <w:spacing w:val="-6"/>
          </w:rPr>
          <w:t xml:space="preserve"> </w:t>
        </w:r>
        <w:r>
          <w:t>Agreed-Upon Procedures Engagement</w:t>
        </w:r>
      </w:hyperlink>
    </w:p>
    <w:p w14:paraId="0DFDAB42" w14:textId="77777777" w:rsidR="00046465" w:rsidRDefault="008134EB">
      <w:pPr>
        <w:pStyle w:val="BodyText"/>
        <w:tabs>
          <w:tab w:val="left" w:pos="2519"/>
        </w:tabs>
        <w:spacing w:before="17" w:line="261" w:lineRule="auto"/>
        <w:ind w:left="2519" w:right="2233" w:hanging="1612"/>
      </w:pPr>
      <w:hyperlink w:anchor="_bookmark59" w:history="1">
        <w:r>
          <w:t>710 C</w:t>
        </w:r>
        <w:r>
          <w:tab/>
          <w:t>Example</w:t>
        </w:r>
        <w:r>
          <w:rPr>
            <w:spacing w:val="-7"/>
          </w:rPr>
          <w:t xml:space="preserve"> </w:t>
        </w:r>
        <w:r>
          <w:t>Representation</w:t>
        </w:r>
        <w:r>
          <w:rPr>
            <w:spacing w:val="-8"/>
          </w:rPr>
          <w:t xml:space="preserve"> </w:t>
        </w:r>
        <w:r>
          <w:t>Letter</w:t>
        </w:r>
        <w:r>
          <w:rPr>
            <w:spacing w:val="-7"/>
          </w:rPr>
          <w:t xml:space="preserve"> </w:t>
        </w:r>
        <w:r>
          <w:t>from</w:t>
        </w:r>
        <w:r>
          <w:rPr>
            <w:spacing w:val="-7"/>
          </w:rPr>
          <w:t xml:space="preserve"> </w:t>
        </w:r>
        <w:r>
          <w:t>Responsible</w:t>
        </w:r>
        <w:r>
          <w:rPr>
            <w:spacing w:val="-8"/>
          </w:rPr>
          <w:t xml:space="preserve"> </w:t>
        </w:r>
        <w:r>
          <w:t>Party</w:t>
        </w:r>
        <w:r>
          <w:rPr>
            <w:spacing w:val="-7"/>
          </w:rPr>
          <w:t xml:space="preserve"> </w:t>
        </w:r>
        <w:r>
          <w:t>on Agreed-Upon Procedures Engagement</w:t>
        </w:r>
      </w:hyperlink>
    </w:p>
    <w:p w14:paraId="0DFDAB43" w14:textId="77777777" w:rsidR="00046465" w:rsidRDefault="008134EB">
      <w:pPr>
        <w:pStyle w:val="BodyText"/>
        <w:tabs>
          <w:tab w:val="left" w:pos="2519"/>
        </w:tabs>
        <w:spacing w:line="247" w:lineRule="auto"/>
        <w:ind w:left="2519" w:right="912" w:hanging="1612"/>
      </w:pPr>
      <w:hyperlink w:anchor="_bookmark60" w:history="1">
        <w:r>
          <w:t>710 D</w:t>
        </w:r>
        <w:r>
          <w:tab/>
          <w:t>Example</w:t>
        </w:r>
        <w:r>
          <w:rPr>
            <w:spacing w:val="-5"/>
          </w:rPr>
          <w:t xml:space="preserve"> </w:t>
        </w:r>
        <w:r>
          <w:t>Agreed-Upon</w:t>
        </w:r>
        <w:r>
          <w:rPr>
            <w:spacing w:val="-5"/>
          </w:rPr>
          <w:t xml:space="preserve"> </w:t>
        </w:r>
        <w:r>
          <w:t>Procedures</w:t>
        </w:r>
        <w:r>
          <w:rPr>
            <w:spacing w:val="-6"/>
          </w:rPr>
          <w:t xml:space="preserve"> </w:t>
        </w:r>
        <w:r>
          <w:t>Report</w:t>
        </w:r>
        <w:r>
          <w:rPr>
            <w:spacing w:val="-5"/>
          </w:rPr>
          <w:t xml:space="preserve"> </w:t>
        </w:r>
        <w:r>
          <w:t>Where</w:t>
        </w:r>
        <w:r>
          <w:rPr>
            <w:spacing w:val="-5"/>
          </w:rPr>
          <w:t xml:space="preserve"> </w:t>
        </w:r>
        <w:r>
          <w:t>the</w:t>
        </w:r>
        <w:r>
          <w:rPr>
            <w:spacing w:val="-5"/>
          </w:rPr>
          <w:t xml:space="preserve"> </w:t>
        </w:r>
        <w:r>
          <w:t>Engaging</w:t>
        </w:r>
        <w:r>
          <w:rPr>
            <w:spacing w:val="-5"/>
          </w:rPr>
          <w:t xml:space="preserve"> </w:t>
        </w:r>
        <w:r>
          <w:t>Party</w:t>
        </w:r>
        <w:r>
          <w:rPr>
            <w:spacing w:val="-5"/>
          </w:rPr>
          <w:t xml:space="preserve"> </w:t>
        </w:r>
        <w:r>
          <w:t>Is Not the Responsible Party</w:t>
        </w:r>
      </w:hyperlink>
    </w:p>
    <w:p w14:paraId="0DFDAB44" w14:textId="77777777" w:rsidR="00046465" w:rsidRDefault="008134EB">
      <w:pPr>
        <w:pStyle w:val="BodyText"/>
        <w:tabs>
          <w:tab w:val="left" w:pos="2526"/>
        </w:tabs>
        <w:ind w:left="908"/>
      </w:pPr>
      <w:hyperlink w:anchor="_bookmark61" w:history="1">
        <w:r>
          <w:t>710</w:t>
        </w:r>
        <w:r>
          <w:rPr>
            <w:spacing w:val="-4"/>
          </w:rPr>
          <w:t xml:space="preserve"> </w:t>
        </w:r>
        <w:r>
          <w:rPr>
            <w:spacing w:val="-10"/>
          </w:rPr>
          <w:t>E</w:t>
        </w:r>
        <w:r>
          <w:tab/>
          <w:t>Agreed-Upon</w:t>
        </w:r>
        <w:r>
          <w:rPr>
            <w:spacing w:val="-12"/>
          </w:rPr>
          <w:t xml:space="preserve"> </w:t>
        </w:r>
        <w:r>
          <w:t>Procedures</w:t>
        </w:r>
        <w:r>
          <w:rPr>
            <w:spacing w:val="-12"/>
          </w:rPr>
          <w:t xml:space="preserve"> </w:t>
        </w:r>
        <w:r>
          <w:t>Engagement</w:t>
        </w:r>
        <w:r>
          <w:rPr>
            <w:spacing w:val="-12"/>
          </w:rPr>
          <w:t xml:space="preserve"> </w:t>
        </w:r>
        <w:r>
          <w:t>Completion</w:t>
        </w:r>
        <w:r>
          <w:rPr>
            <w:spacing w:val="-11"/>
          </w:rPr>
          <w:t xml:space="preserve"> </w:t>
        </w:r>
        <w:r>
          <w:rPr>
            <w:spacing w:val="-2"/>
          </w:rPr>
          <w:t>Checklist</w:t>
        </w:r>
      </w:hyperlink>
    </w:p>
    <w:p w14:paraId="0DFDAB45" w14:textId="77777777" w:rsidR="00046465" w:rsidRDefault="008134EB">
      <w:pPr>
        <w:tabs>
          <w:tab w:val="left" w:pos="2519"/>
        </w:tabs>
        <w:spacing w:before="126"/>
        <w:ind w:left="899"/>
        <w:rPr>
          <w:b/>
        </w:rPr>
      </w:pPr>
      <w:r>
        <w:rPr>
          <w:b/>
          <w:spacing w:val="-5"/>
        </w:rPr>
        <w:t>800</w:t>
      </w:r>
      <w:r>
        <w:rPr>
          <w:b/>
        </w:rPr>
        <w:tab/>
      </w:r>
      <w:r>
        <w:rPr>
          <w:b/>
          <w:spacing w:val="-2"/>
        </w:rPr>
        <w:t>Compliance</w:t>
      </w:r>
    </w:p>
    <w:p w14:paraId="0DFDAB46" w14:textId="77777777" w:rsidR="00046465" w:rsidRDefault="008134EB">
      <w:pPr>
        <w:pStyle w:val="ListParagraph"/>
        <w:numPr>
          <w:ilvl w:val="0"/>
          <w:numId w:val="221"/>
        </w:numPr>
        <w:tabs>
          <w:tab w:val="left" w:pos="2519"/>
        </w:tabs>
        <w:spacing w:before="138"/>
      </w:pPr>
      <w:hyperlink w:anchor="_bookmark62" w:history="1">
        <w:r>
          <w:t>General</w:t>
        </w:r>
        <w:r>
          <w:rPr>
            <w:spacing w:val="-10"/>
          </w:rPr>
          <w:t xml:space="preserve"> </w:t>
        </w:r>
        <w:r>
          <w:t>Compliance</w:t>
        </w:r>
        <w:r>
          <w:rPr>
            <w:spacing w:val="-10"/>
          </w:rPr>
          <w:t xml:space="preserve"> </w:t>
        </w:r>
        <w:r>
          <w:rPr>
            <w:spacing w:val="-2"/>
          </w:rPr>
          <w:t>Checklist</w:t>
        </w:r>
      </w:hyperlink>
    </w:p>
    <w:p w14:paraId="0DFDAB47" w14:textId="77777777" w:rsidR="00046465" w:rsidRDefault="008134EB">
      <w:pPr>
        <w:pStyle w:val="ListParagraph"/>
        <w:numPr>
          <w:ilvl w:val="0"/>
          <w:numId w:val="221"/>
        </w:numPr>
        <w:tabs>
          <w:tab w:val="left" w:pos="2519"/>
        </w:tabs>
        <w:spacing w:before="20" w:line="259" w:lineRule="auto"/>
        <w:ind w:right="751"/>
      </w:pPr>
      <w:hyperlink w:anchor="_bookmark64" w:history="1">
        <w:r>
          <w:t>Antideficiency</w:t>
        </w:r>
        <w:r>
          <w:rPr>
            <w:spacing w:val="-4"/>
          </w:rPr>
          <w:t xml:space="preserve"> </w:t>
        </w:r>
        <w:r>
          <w:t>Act</w:t>
        </w:r>
        <w:r>
          <w:rPr>
            <w:spacing w:val="-4"/>
          </w:rPr>
          <w:t xml:space="preserve"> </w:t>
        </w:r>
        <w:r>
          <w:t>(ADA),</w:t>
        </w:r>
        <w:r>
          <w:rPr>
            <w:spacing w:val="-4"/>
          </w:rPr>
          <w:t xml:space="preserve"> </w:t>
        </w:r>
        <w:r>
          <w:t>as</w:t>
        </w:r>
        <w:r>
          <w:rPr>
            <w:spacing w:val="-4"/>
          </w:rPr>
          <w:t xml:space="preserve"> </w:t>
        </w:r>
        <w:r>
          <w:t>Provided</w:t>
        </w:r>
        <w:r>
          <w:rPr>
            <w:spacing w:val="-4"/>
          </w:rPr>
          <w:t xml:space="preserve"> </w:t>
        </w:r>
        <w:r>
          <w:t>Primarily</w:t>
        </w:r>
        <w:r>
          <w:rPr>
            <w:spacing w:val="-4"/>
          </w:rPr>
          <w:t xml:space="preserve"> </w:t>
        </w:r>
        <w:r>
          <w:t>in</w:t>
        </w:r>
        <w:r>
          <w:rPr>
            <w:spacing w:val="-4"/>
          </w:rPr>
          <w:t xml:space="preserve"> </w:t>
        </w:r>
        <w:r>
          <w:t>31</w:t>
        </w:r>
        <w:r>
          <w:rPr>
            <w:spacing w:val="-4"/>
          </w:rPr>
          <w:t xml:space="preserve"> </w:t>
        </w:r>
        <w:r>
          <w:t>U.S.C.</w:t>
        </w:r>
        <w:r>
          <w:rPr>
            <w:spacing w:val="-4"/>
          </w:rPr>
          <w:t xml:space="preserve"> </w:t>
        </w:r>
        <w:r>
          <w:t>Chapters</w:t>
        </w:r>
        <w:r>
          <w:rPr>
            <w:spacing w:val="-4"/>
          </w:rPr>
          <w:t xml:space="preserve"> </w:t>
        </w:r>
        <w:r>
          <w:t xml:space="preserve">13, </w:t>
        </w:r>
        <w:r>
          <w:rPr>
            <w:spacing w:val="-6"/>
          </w:rPr>
          <w:t>15</w:t>
        </w:r>
      </w:hyperlink>
    </w:p>
    <w:p w14:paraId="0DFDAB48" w14:textId="77777777" w:rsidR="00046465" w:rsidRDefault="008134EB">
      <w:pPr>
        <w:pStyle w:val="ListParagraph"/>
        <w:numPr>
          <w:ilvl w:val="0"/>
          <w:numId w:val="221"/>
        </w:numPr>
        <w:tabs>
          <w:tab w:val="left" w:pos="2519"/>
        </w:tabs>
        <w:spacing w:before="0" w:line="259" w:lineRule="auto"/>
        <w:ind w:right="1046"/>
      </w:pPr>
      <w:hyperlink w:anchor="_bookmark67" w:history="1">
        <w:r>
          <w:t>Federal</w:t>
        </w:r>
        <w:r>
          <w:rPr>
            <w:spacing w:val="-4"/>
          </w:rPr>
          <w:t xml:space="preserve"> </w:t>
        </w:r>
        <w:r>
          <w:t>Credit</w:t>
        </w:r>
        <w:r>
          <w:rPr>
            <w:spacing w:val="-4"/>
          </w:rPr>
          <w:t xml:space="preserve"> </w:t>
        </w:r>
        <w:r>
          <w:t>Reform</w:t>
        </w:r>
        <w:r>
          <w:rPr>
            <w:spacing w:val="-4"/>
          </w:rPr>
          <w:t xml:space="preserve"> </w:t>
        </w:r>
        <w:r>
          <w:t>Act</w:t>
        </w:r>
        <w:r>
          <w:rPr>
            <w:spacing w:val="-4"/>
          </w:rPr>
          <w:t xml:space="preserve"> </w:t>
        </w:r>
        <w:r>
          <w:t>of</w:t>
        </w:r>
        <w:r>
          <w:rPr>
            <w:spacing w:val="-4"/>
          </w:rPr>
          <w:t xml:space="preserve"> </w:t>
        </w:r>
        <w:r>
          <w:t>1990</w:t>
        </w:r>
        <w:r>
          <w:rPr>
            <w:spacing w:val="-4"/>
          </w:rPr>
          <w:t xml:space="preserve"> </w:t>
        </w:r>
        <w:r>
          <w:t>(FCRA),</w:t>
        </w:r>
        <w:r>
          <w:rPr>
            <w:spacing w:val="-4"/>
          </w:rPr>
          <w:t xml:space="preserve"> </w:t>
        </w:r>
        <w:r>
          <w:t>as</w:t>
        </w:r>
        <w:r>
          <w:rPr>
            <w:spacing w:val="-3"/>
          </w:rPr>
          <w:t xml:space="preserve"> </w:t>
        </w:r>
        <w:r>
          <w:t>Provided</w:t>
        </w:r>
        <w:r>
          <w:rPr>
            <w:spacing w:val="-4"/>
          </w:rPr>
          <w:t xml:space="preserve"> </w:t>
        </w:r>
        <w:r>
          <w:t>in</w:t>
        </w:r>
        <w:r>
          <w:rPr>
            <w:spacing w:val="-5"/>
          </w:rPr>
          <w:t xml:space="preserve"> </w:t>
        </w:r>
        <w:r>
          <w:t>2</w:t>
        </w:r>
        <w:r>
          <w:rPr>
            <w:spacing w:val="-4"/>
          </w:rPr>
          <w:t xml:space="preserve"> </w:t>
        </w:r>
        <w:r>
          <w:t>U.S.C.</w:t>
        </w:r>
        <w:r>
          <w:rPr>
            <w:spacing w:val="-4"/>
          </w:rPr>
          <w:t xml:space="preserve"> </w:t>
        </w:r>
        <w:r>
          <w:t xml:space="preserve">§§ </w:t>
        </w:r>
        <w:r>
          <w:rPr>
            <w:spacing w:val="-2"/>
          </w:rPr>
          <w:t>661-661f</w:t>
        </w:r>
      </w:hyperlink>
    </w:p>
    <w:p w14:paraId="0DFDAB49" w14:textId="77777777" w:rsidR="00046465" w:rsidRDefault="008134EB">
      <w:pPr>
        <w:pStyle w:val="ListParagraph"/>
        <w:numPr>
          <w:ilvl w:val="0"/>
          <w:numId w:val="221"/>
        </w:numPr>
        <w:tabs>
          <w:tab w:val="left" w:pos="2519"/>
        </w:tabs>
        <w:spacing w:before="0" w:line="253" w:lineRule="exact"/>
      </w:pPr>
      <w:hyperlink w:anchor="_bookmark88" w:history="1">
        <w:r>
          <w:t>Federal</w:t>
        </w:r>
        <w:r>
          <w:rPr>
            <w:spacing w:val="-7"/>
          </w:rPr>
          <w:t xml:space="preserve"> </w:t>
        </w:r>
        <w:r>
          <w:t>Debt</w:t>
        </w:r>
        <w:r>
          <w:rPr>
            <w:spacing w:val="-6"/>
          </w:rPr>
          <w:t xml:space="preserve"> </w:t>
        </w:r>
        <w:r>
          <w:t>Collection</w:t>
        </w:r>
        <w:r>
          <w:rPr>
            <w:spacing w:val="-7"/>
          </w:rPr>
          <w:t xml:space="preserve"> </w:t>
        </w:r>
        <w:r>
          <w:t>Authorities,</w:t>
        </w:r>
        <w:r>
          <w:rPr>
            <w:spacing w:val="-7"/>
          </w:rPr>
          <w:t xml:space="preserve"> </w:t>
        </w:r>
        <w:r>
          <w:t>as</w:t>
        </w:r>
        <w:r>
          <w:rPr>
            <w:spacing w:val="-7"/>
          </w:rPr>
          <w:t xml:space="preserve"> </w:t>
        </w:r>
        <w:r>
          <w:t>Provided</w:t>
        </w:r>
        <w:r>
          <w:rPr>
            <w:spacing w:val="-7"/>
          </w:rPr>
          <w:t xml:space="preserve"> </w:t>
        </w:r>
        <w:r>
          <w:t>in</w:t>
        </w:r>
        <w:r>
          <w:rPr>
            <w:spacing w:val="-6"/>
          </w:rPr>
          <w:t xml:space="preserve"> </w:t>
        </w:r>
        <w:r>
          <w:t>31</w:t>
        </w:r>
        <w:r>
          <w:rPr>
            <w:spacing w:val="-6"/>
          </w:rPr>
          <w:t xml:space="preserve"> </w:t>
        </w:r>
        <w:r>
          <w:t>U.S.C.</w:t>
        </w:r>
        <w:r>
          <w:rPr>
            <w:spacing w:val="-6"/>
          </w:rPr>
          <w:t xml:space="preserve"> </w:t>
        </w:r>
        <w:r>
          <w:t>Chapter</w:t>
        </w:r>
        <w:r>
          <w:rPr>
            <w:spacing w:val="-7"/>
          </w:rPr>
          <w:t xml:space="preserve"> </w:t>
        </w:r>
        <w:r>
          <w:rPr>
            <w:spacing w:val="-5"/>
          </w:rPr>
          <w:t>37</w:t>
        </w:r>
      </w:hyperlink>
    </w:p>
    <w:p w14:paraId="0DFDAB4A" w14:textId="77777777" w:rsidR="00046465" w:rsidRDefault="008134EB">
      <w:pPr>
        <w:pStyle w:val="ListParagraph"/>
        <w:numPr>
          <w:ilvl w:val="0"/>
          <w:numId w:val="221"/>
        </w:numPr>
        <w:tabs>
          <w:tab w:val="left" w:pos="2519"/>
        </w:tabs>
        <w:spacing w:before="31" w:line="251" w:lineRule="exact"/>
      </w:pPr>
      <w:hyperlink w:anchor="_bookmark106" w:history="1">
        <w:r>
          <w:t>Prompt</w:t>
        </w:r>
        <w:r>
          <w:rPr>
            <w:spacing w:val="-6"/>
          </w:rPr>
          <w:t xml:space="preserve"> </w:t>
        </w:r>
        <w:r>
          <w:t>Payment</w:t>
        </w:r>
        <w:r>
          <w:rPr>
            <w:spacing w:val="-5"/>
          </w:rPr>
          <w:t xml:space="preserve"> </w:t>
        </w:r>
        <w:r>
          <w:t>Act</w:t>
        </w:r>
        <w:r>
          <w:rPr>
            <w:spacing w:val="-6"/>
          </w:rPr>
          <w:t xml:space="preserve"> </w:t>
        </w:r>
        <w:r>
          <w:t>(PPA),</w:t>
        </w:r>
        <w:r>
          <w:rPr>
            <w:spacing w:val="-5"/>
          </w:rPr>
          <w:t xml:space="preserve"> </w:t>
        </w:r>
        <w:r>
          <w:t>as</w:t>
        </w:r>
        <w:r>
          <w:rPr>
            <w:spacing w:val="-5"/>
          </w:rPr>
          <w:t xml:space="preserve"> </w:t>
        </w:r>
        <w:r>
          <w:t>Provided</w:t>
        </w:r>
        <w:r>
          <w:rPr>
            <w:spacing w:val="-6"/>
          </w:rPr>
          <w:t xml:space="preserve"> </w:t>
        </w:r>
        <w:r>
          <w:t>in</w:t>
        </w:r>
        <w:r>
          <w:rPr>
            <w:spacing w:val="-5"/>
          </w:rPr>
          <w:t xml:space="preserve"> </w:t>
        </w:r>
        <w:r>
          <w:t>31</w:t>
        </w:r>
        <w:r>
          <w:rPr>
            <w:spacing w:val="-7"/>
          </w:rPr>
          <w:t xml:space="preserve"> </w:t>
        </w:r>
        <w:r>
          <w:t>U.S.C.</w:t>
        </w:r>
        <w:r>
          <w:rPr>
            <w:spacing w:val="-5"/>
          </w:rPr>
          <w:t xml:space="preserve"> </w:t>
        </w:r>
        <w:r>
          <w:t>Chapter</w:t>
        </w:r>
        <w:r>
          <w:rPr>
            <w:spacing w:val="-5"/>
          </w:rPr>
          <w:t xml:space="preserve"> 39</w:t>
        </w:r>
      </w:hyperlink>
    </w:p>
    <w:p w14:paraId="0DFDAB4B" w14:textId="77777777" w:rsidR="00046465" w:rsidRDefault="008134EB">
      <w:pPr>
        <w:pStyle w:val="ListParagraph"/>
        <w:numPr>
          <w:ilvl w:val="0"/>
          <w:numId w:val="221"/>
        </w:numPr>
        <w:tabs>
          <w:tab w:val="left" w:pos="2519"/>
        </w:tabs>
        <w:spacing w:before="10" w:line="225" w:lineRule="auto"/>
        <w:ind w:right="815"/>
      </w:pPr>
      <w:hyperlink w:anchor="_bookmark117" w:history="1">
        <w:r>
          <w:t>Pay</w:t>
        </w:r>
        <w:r>
          <w:rPr>
            <w:spacing w:val="-5"/>
          </w:rPr>
          <w:t xml:space="preserve"> </w:t>
        </w:r>
        <w:r>
          <w:t>and</w:t>
        </w:r>
        <w:r>
          <w:rPr>
            <w:spacing w:val="-5"/>
          </w:rPr>
          <w:t xml:space="preserve"> </w:t>
        </w:r>
        <w:r>
          <w:t>Allowance</w:t>
        </w:r>
        <w:r>
          <w:rPr>
            <w:spacing w:val="-5"/>
          </w:rPr>
          <w:t xml:space="preserve"> </w:t>
        </w:r>
        <w:r>
          <w:t>System</w:t>
        </w:r>
        <w:r>
          <w:rPr>
            <w:spacing w:val="-5"/>
          </w:rPr>
          <w:t xml:space="preserve"> </w:t>
        </w:r>
        <w:r>
          <w:t>for</w:t>
        </w:r>
        <w:r>
          <w:rPr>
            <w:spacing w:val="-5"/>
          </w:rPr>
          <w:t xml:space="preserve"> </w:t>
        </w:r>
        <w:r>
          <w:t>Civilian</w:t>
        </w:r>
        <w:r>
          <w:rPr>
            <w:spacing w:val="-5"/>
          </w:rPr>
          <w:t xml:space="preserve"> </w:t>
        </w:r>
        <w:r>
          <w:t>Employees,</w:t>
        </w:r>
        <w:r>
          <w:rPr>
            <w:spacing w:val="-5"/>
          </w:rPr>
          <w:t xml:space="preserve"> </w:t>
        </w:r>
        <w:r>
          <w:t>as</w:t>
        </w:r>
        <w:r>
          <w:rPr>
            <w:spacing w:val="-5"/>
          </w:rPr>
          <w:t xml:space="preserve"> </w:t>
        </w:r>
        <w:r>
          <w:t>Provided</w:t>
        </w:r>
        <w:r>
          <w:rPr>
            <w:spacing w:val="-5"/>
          </w:rPr>
          <w:t xml:space="preserve"> </w:t>
        </w:r>
        <w:r>
          <w:t>Primarily in 5 U.S.C. Chapters 51-59</w:t>
        </w:r>
      </w:hyperlink>
    </w:p>
    <w:p w14:paraId="0DFDAB4C" w14:textId="77777777" w:rsidR="00046465" w:rsidRDefault="008134EB">
      <w:pPr>
        <w:pStyle w:val="ListParagraph"/>
        <w:numPr>
          <w:ilvl w:val="0"/>
          <w:numId w:val="221"/>
        </w:numPr>
        <w:tabs>
          <w:tab w:val="left" w:pos="2519"/>
        </w:tabs>
        <w:spacing w:before="10"/>
      </w:pPr>
      <w:hyperlink w:anchor="_bookmark119" w:history="1">
        <w:r>
          <w:t>Civil</w:t>
        </w:r>
        <w:r>
          <w:rPr>
            <w:spacing w:val="-6"/>
          </w:rPr>
          <w:t xml:space="preserve"> </w:t>
        </w:r>
        <w:r>
          <w:t>Service</w:t>
        </w:r>
        <w:r>
          <w:rPr>
            <w:spacing w:val="-7"/>
          </w:rPr>
          <w:t xml:space="preserve"> </w:t>
        </w:r>
        <w:r>
          <w:t>Retirement</w:t>
        </w:r>
        <w:r>
          <w:rPr>
            <w:spacing w:val="-5"/>
          </w:rPr>
          <w:t xml:space="preserve"> </w:t>
        </w:r>
        <w:r>
          <w:t>Act</w:t>
        </w:r>
        <w:r>
          <w:rPr>
            <w:spacing w:val="-6"/>
          </w:rPr>
          <w:t xml:space="preserve"> </w:t>
        </w:r>
        <w:r>
          <w:t>(CSRA),</w:t>
        </w:r>
        <w:r>
          <w:rPr>
            <w:spacing w:val="-5"/>
          </w:rPr>
          <w:t xml:space="preserve"> </w:t>
        </w:r>
        <w:r>
          <w:t>as</w:t>
        </w:r>
        <w:r>
          <w:rPr>
            <w:spacing w:val="-5"/>
          </w:rPr>
          <w:t xml:space="preserve"> </w:t>
        </w:r>
        <w:r>
          <w:t>Provided</w:t>
        </w:r>
        <w:r>
          <w:rPr>
            <w:spacing w:val="-7"/>
          </w:rPr>
          <w:t xml:space="preserve"> </w:t>
        </w:r>
        <w:r>
          <w:t>in</w:t>
        </w:r>
        <w:r>
          <w:rPr>
            <w:spacing w:val="-5"/>
          </w:rPr>
          <w:t xml:space="preserve"> </w:t>
        </w:r>
        <w:r>
          <w:t>5</w:t>
        </w:r>
        <w:r>
          <w:rPr>
            <w:spacing w:val="-6"/>
          </w:rPr>
          <w:t xml:space="preserve"> </w:t>
        </w:r>
        <w:r>
          <w:t>U.S.C.</w:t>
        </w:r>
        <w:r>
          <w:rPr>
            <w:spacing w:val="-6"/>
          </w:rPr>
          <w:t xml:space="preserve"> </w:t>
        </w:r>
        <w:r>
          <w:t>Chapter</w:t>
        </w:r>
        <w:r>
          <w:rPr>
            <w:spacing w:val="-5"/>
          </w:rPr>
          <w:t xml:space="preserve"> 83</w:t>
        </w:r>
      </w:hyperlink>
    </w:p>
    <w:p w14:paraId="0DFDAB4D" w14:textId="77777777" w:rsidR="00046465" w:rsidRDefault="008134EB">
      <w:pPr>
        <w:pStyle w:val="ListParagraph"/>
        <w:numPr>
          <w:ilvl w:val="0"/>
          <w:numId w:val="221"/>
        </w:numPr>
        <w:tabs>
          <w:tab w:val="left" w:pos="2519"/>
        </w:tabs>
        <w:spacing w:before="20" w:line="259" w:lineRule="auto"/>
        <w:ind w:right="740"/>
      </w:pPr>
      <w:hyperlink w:anchor="_bookmark125" w:history="1">
        <w:r>
          <w:t>Federal</w:t>
        </w:r>
        <w:r>
          <w:rPr>
            <w:spacing w:val="-4"/>
          </w:rPr>
          <w:t xml:space="preserve"> </w:t>
        </w:r>
        <w:r>
          <w:t>Employees</w:t>
        </w:r>
        <w:r>
          <w:rPr>
            <w:spacing w:val="-4"/>
          </w:rPr>
          <w:t xml:space="preserve"> </w:t>
        </w:r>
        <w:r>
          <w:t>Health</w:t>
        </w:r>
        <w:r>
          <w:rPr>
            <w:spacing w:val="-4"/>
          </w:rPr>
          <w:t xml:space="preserve"> </w:t>
        </w:r>
        <w:r>
          <w:t>Benefits</w:t>
        </w:r>
        <w:r>
          <w:rPr>
            <w:spacing w:val="-5"/>
          </w:rPr>
          <w:t xml:space="preserve"> </w:t>
        </w:r>
        <w:r>
          <w:t>Act</w:t>
        </w:r>
        <w:r>
          <w:rPr>
            <w:spacing w:val="-4"/>
          </w:rPr>
          <w:t xml:space="preserve"> </w:t>
        </w:r>
        <w:r>
          <w:t>(FEHBA),</w:t>
        </w:r>
        <w:r>
          <w:rPr>
            <w:spacing w:val="-4"/>
          </w:rPr>
          <w:t xml:space="preserve"> </w:t>
        </w:r>
        <w:r>
          <w:t>as</w:t>
        </w:r>
        <w:r>
          <w:rPr>
            <w:spacing w:val="-4"/>
          </w:rPr>
          <w:t xml:space="preserve"> </w:t>
        </w:r>
        <w:r>
          <w:t>Provided</w:t>
        </w:r>
        <w:r>
          <w:rPr>
            <w:spacing w:val="-4"/>
          </w:rPr>
          <w:t xml:space="preserve"> </w:t>
        </w:r>
        <w:r>
          <w:t>in</w:t>
        </w:r>
        <w:r>
          <w:rPr>
            <w:spacing w:val="-4"/>
          </w:rPr>
          <w:t xml:space="preserve"> </w:t>
        </w:r>
        <w:r>
          <w:t>5</w:t>
        </w:r>
        <w:r>
          <w:rPr>
            <w:spacing w:val="-4"/>
          </w:rPr>
          <w:t xml:space="preserve"> </w:t>
        </w:r>
        <w:r>
          <w:t>U.S.C. Chapter 89</w:t>
        </w:r>
      </w:hyperlink>
    </w:p>
    <w:p w14:paraId="0DFDAB4E" w14:textId="77777777" w:rsidR="00046465" w:rsidRDefault="00046465">
      <w:pPr>
        <w:pStyle w:val="ListParagraph"/>
        <w:spacing w:line="259" w:lineRule="auto"/>
        <w:sectPr w:rsidR="00046465">
          <w:headerReference w:type="default" r:id="rId20"/>
          <w:footerReference w:type="default" r:id="rId21"/>
          <w:pgSz w:w="12240" w:h="15840"/>
          <w:pgMar w:top="1100" w:right="720" w:bottom="940" w:left="1080" w:header="721" w:footer="757" w:gutter="0"/>
          <w:cols w:space="720"/>
        </w:sectPr>
      </w:pPr>
    </w:p>
    <w:p w14:paraId="0DFDAB4F" w14:textId="77777777" w:rsidR="00046465" w:rsidRDefault="008134EB">
      <w:pPr>
        <w:pStyle w:val="ListParagraph"/>
        <w:numPr>
          <w:ilvl w:val="0"/>
          <w:numId w:val="221"/>
        </w:numPr>
        <w:tabs>
          <w:tab w:val="left" w:pos="2519"/>
        </w:tabs>
        <w:spacing w:before="139" w:line="266" w:lineRule="auto"/>
        <w:ind w:right="918"/>
      </w:pPr>
      <w:hyperlink w:anchor="_bookmark129" w:history="1">
        <w:r>
          <w:t>Federal</w:t>
        </w:r>
        <w:r>
          <w:rPr>
            <w:spacing w:val="-5"/>
          </w:rPr>
          <w:t xml:space="preserve"> </w:t>
        </w:r>
        <w:r>
          <w:t>Employees'</w:t>
        </w:r>
        <w:r>
          <w:rPr>
            <w:spacing w:val="-5"/>
          </w:rPr>
          <w:t xml:space="preserve"> </w:t>
        </w:r>
        <w:r>
          <w:t>Compensation</w:t>
        </w:r>
        <w:r>
          <w:rPr>
            <w:spacing w:val="-5"/>
          </w:rPr>
          <w:t xml:space="preserve"> </w:t>
        </w:r>
        <w:r>
          <w:t>Act</w:t>
        </w:r>
        <w:r>
          <w:rPr>
            <w:spacing w:val="-5"/>
          </w:rPr>
          <w:t xml:space="preserve"> </w:t>
        </w:r>
        <w:r>
          <w:t>(FECA),</w:t>
        </w:r>
        <w:r>
          <w:rPr>
            <w:spacing w:val="-4"/>
          </w:rPr>
          <w:t xml:space="preserve"> </w:t>
        </w:r>
        <w:r>
          <w:t>as</w:t>
        </w:r>
        <w:r>
          <w:rPr>
            <w:spacing w:val="-5"/>
          </w:rPr>
          <w:t xml:space="preserve"> </w:t>
        </w:r>
        <w:r>
          <w:t>Provided</w:t>
        </w:r>
        <w:r>
          <w:rPr>
            <w:spacing w:val="-5"/>
          </w:rPr>
          <w:t xml:space="preserve"> </w:t>
        </w:r>
        <w:r>
          <w:t>in</w:t>
        </w:r>
        <w:r>
          <w:rPr>
            <w:spacing w:val="-5"/>
          </w:rPr>
          <w:t xml:space="preserve"> </w:t>
        </w:r>
        <w:r>
          <w:t>5</w:t>
        </w:r>
        <w:r>
          <w:rPr>
            <w:spacing w:val="-5"/>
          </w:rPr>
          <w:t xml:space="preserve"> </w:t>
        </w:r>
        <w:r>
          <w:t>U.S.C. Chapter 81</w:t>
        </w:r>
      </w:hyperlink>
    </w:p>
    <w:p w14:paraId="0DFDAB50" w14:textId="77777777" w:rsidR="00046465" w:rsidRDefault="008134EB">
      <w:pPr>
        <w:pStyle w:val="ListParagraph"/>
        <w:numPr>
          <w:ilvl w:val="0"/>
          <w:numId w:val="221"/>
        </w:numPr>
        <w:tabs>
          <w:tab w:val="left" w:pos="2519"/>
        </w:tabs>
        <w:spacing w:before="0" w:line="252" w:lineRule="exact"/>
        <w:ind w:hanging="1619"/>
      </w:pPr>
      <w:hyperlink w:anchor="_bookmark132" w:history="1">
        <w:r>
          <w:t>Federal</w:t>
        </w:r>
        <w:r>
          <w:rPr>
            <w:spacing w:val="-8"/>
          </w:rPr>
          <w:t xml:space="preserve"> </w:t>
        </w:r>
        <w:r>
          <w:t>Employees’</w:t>
        </w:r>
        <w:r>
          <w:rPr>
            <w:spacing w:val="-7"/>
          </w:rPr>
          <w:t xml:space="preserve"> </w:t>
        </w:r>
        <w:r>
          <w:t>Retirement</w:t>
        </w:r>
        <w:r>
          <w:rPr>
            <w:spacing w:val="-7"/>
          </w:rPr>
          <w:t xml:space="preserve"> </w:t>
        </w:r>
        <w:r>
          <w:t>System</w:t>
        </w:r>
        <w:r>
          <w:rPr>
            <w:spacing w:val="-7"/>
          </w:rPr>
          <w:t xml:space="preserve"> </w:t>
        </w:r>
        <w:r>
          <w:t>Act</w:t>
        </w:r>
        <w:r>
          <w:rPr>
            <w:spacing w:val="-7"/>
          </w:rPr>
          <w:t xml:space="preserve"> </w:t>
        </w:r>
        <w:r>
          <w:t>(FERSA),</w:t>
        </w:r>
        <w:r>
          <w:rPr>
            <w:spacing w:val="-7"/>
          </w:rPr>
          <w:t xml:space="preserve"> </w:t>
        </w:r>
        <w:r>
          <w:t>as</w:t>
        </w:r>
        <w:r>
          <w:rPr>
            <w:spacing w:val="-7"/>
          </w:rPr>
          <w:t xml:space="preserve"> </w:t>
        </w:r>
        <w:r>
          <w:t>Provided</w:t>
        </w:r>
        <w:r>
          <w:rPr>
            <w:spacing w:val="-7"/>
          </w:rPr>
          <w:t xml:space="preserve"> </w:t>
        </w:r>
        <w:r>
          <w:t>in</w:t>
        </w:r>
        <w:r>
          <w:rPr>
            <w:spacing w:val="-7"/>
          </w:rPr>
          <w:t xml:space="preserve"> </w:t>
        </w:r>
        <w:r>
          <w:rPr>
            <w:spacing w:val="-10"/>
          </w:rPr>
          <w:t>5</w:t>
        </w:r>
      </w:hyperlink>
    </w:p>
    <w:p w14:paraId="0DFDAB51" w14:textId="77777777" w:rsidR="00046465" w:rsidRDefault="008134EB">
      <w:pPr>
        <w:pStyle w:val="BodyText"/>
        <w:spacing w:before="27"/>
        <w:ind w:left="2519"/>
      </w:pPr>
      <w:hyperlink w:anchor="_bookmark132" w:history="1">
        <w:r>
          <w:t>U.S.C.</w:t>
        </w:r>
        <w:r>
          <w:rPr>
            <w:spacing w:val="-7"/>
          </w:rPr>
          <w:t xml:space="preserve"> </w:t>
        </w:r>
        <w:r>
          <w:t>Chapter</w:t>
        </w:r>
        <w:r>
          <w:rPr>
            <w:spacing w:val="-7"/>
          </w:rPr>
          <w:t xml:space="preserve"> </w:t>
        </w:r>
        <w:r>
          <w:rPr>
            <w:spacing w:val="-5"/>
          </w:rPr>
          <w:t>84</w:t>
        </w:r>
      </w:hyperlink>
    </w:p>
    <w:p w14:paraId="0DFDAB52" w14:textId="77777777" w:rsidR="00046465" w:rsidRDefault="008134EB">
      <w:pPr>
        <w:tabs>
          <w:tab w:val="left" w:pos="2519"/>
        </w:tabs>
        <w:spacing w:before="128"/>
        <w:ind w:left="900"/>
        <w:rPr>
          <w:b/>
        </w:rPr>
      </w:pPr>
      <w:r>
        <w:rPr>
          <w:b/>
          <w:spacing w:val="-5"/>
        </w:rPr>
        <w:t>900</w:t>
      </w:r>
      <w:r>
        <w:rPr>
          <w:b/>
        </w:rPr>
        <w:tab/>
        <w:t>Substantive</w:t>
      </w:r>
      <w:r>
        <w:rPr>
          <w:b/>
          <w:spacing w:val="-13"/>
        </w:rPr>
        <w:t xml:space="preserve"> </w:t>
      </w:r>
      <w:r>
        <w:rPr>
          <w:b/>
        </w:rPr>
        <w:t>Testing</w:t>
      </w:r>
      <w:r>
        <w:rPr>
          <w:b/>
          <w:spacing w:val="-12"/>
        </w:rPr>
        <w:t xml:space="preserve"> </w:t>
      </w:r>
      <w:r>
        <w:rPr>
          <w:b/>
        </w:rPr>
        <w:t>Implementation</w:t>
      </w:r>
      <w:r>
        <w:rPr>
          <w:b/>
          <w:spacing w:val="-12"/>
        </w:rPr>
        <w:t xml:space="preserve"> </w:t>
      </w:r>
      <w:r>
        <w:rPr>
          <w:b/>
          <w:spacing w:val="-2"/>
        </w:rPr>
        <w:t>Guidance</w:t>
      </w:r>
    </w:p>
    <w:p w14:paraId="0DFDAB53" w14:textId="77777777" w:rsidR="00046465" w:rsidRDefault="008134EB">
      <w:pPr>
        <w:pStyle w:val="BodyText"/>
        <w:tabs>
          <w:tab w:val="left" w:pos="2526"/>
        </w:tabs>
        <w:spacing w:before="138"/>
        <w:ind w:left="907"/>
      </w:pPr>
      <w:hyperlink w:anchor="_bookmark139" w:history="1">
        <w:r>
          <w:rPr>
            <w:spacing w:val="-5"/>
          </w:rPr>
          <w:t>902</w:t>
        </w:r>
        <w:r>
          <w:tab/>
          <w:t>Intragovernmental</w:t>
        </w:r>
        <w:r>
          <w:rPr>
            <w:spacing w:val="-11"/>
          </w:rPr>
          <w:t xml:space="preserve"> </w:t>
        </w:r>
        <w:r>
          <w:t>Activity</w:t>
        </w:r>
        <w:r>
          <w:rPr>
            <w:spacing w:val="-10"/>
          </w:rPr>
          <w:t xml:space="preserve"> </w:t>
        </w:r>
        <w:r>
          <w:t>and</w:t>
        </w:r>
        <w:r>
          <w:rPr>
            <w:spacing w:val="-10"/>
          </w:rPr>
          <w:t xml:space="preserve"> </w:t>
        </w:r>
        <w:r>
          <w:rPr>
            <w:spacing w:val="-2"/>
          </w:rPr>
          <w:t>Balances</w:t>
        </w:r>
      </w:hyperlink>
    </w:p>
    <w:p w14:paraId="0DFDAB54" w14:textId="77777777" w:rsidR="00046465" w:rsidRDefault="008134EB">
      <w:pPr>
        <w:pStyle w:val="BodyText"/>
        <w:tabs>
          <w:tab w:val="left" w:pos="2520"/>
        </w:tabs>
        <w:spacing w:before="21" w:line="259" w:lineRule="auto"/>
        <w:ind w:left="2520" w:right="1977" w:hanging="1613"/>
      </w:pPr>
      <w:hyperlink w:anchor="_bookmark153" w:history="1">
        <w:r>
          <w:t>902 A</w:t>
        </w:r>
        <w:r>
          <w:tab/>
          <w:t>Example</w:t>
        </w:r>
        <w:r>
          <w:rPr>
            <w:spacing w:val="-7"/>
          </w:rPr>
          <w:t xml:space="preserve"> </w:t>
        </w:r>
        <w:r>
          <w:t>Audit</w:t>
        </w:r>
        <w:r>
          <w:rPr>
            <w:spacing w:val="-7"/>
          </w:rPr>
          <w:t xml:space="preserve"> </w:t>
        </w:r>
        <w:r>
          <w:t>Procedures</w:t>
        </w:r>
        <w:r>
          <w:rPr>
            <w:spacing w:val="-7"/>
          </w:rPr>
          <w:t xml:space="preserve"> </w:t>
        </w:r>
        <w:r>
          <w:t>for</w:t>
        </w:r>
        <w:r>
          <w:rPr>
            <w:spacing w:val="-7"/>
          </w:rPr>
          <w:t xml:space="preserve"> </w:t>
        </w:r>
        <w:r>
          <w:t>Intragovernmental</w:t>
        </w:r>
        <w:r>
          <w:rPr>
            <w:spacing w:val="-7"/>
          </w:rPr>
          <w:t xml:space="preserve"> </w:t>
        </w:r>
        <w:r>
          <w:t>Activity</w:t>
        </w:r>
        <w:r>
          <w:rPr>
            <w:spacing w:val="-7"/>
          </w:rPr>
          <w:t xml:space="preserve"> </w:t>
        </w:r>
        <w:r>
          <w:t xml:space="preserve">and </w:t>
        </w:r>
        <w:r>
          <w:rPr>
            <w:spacing w:val="-2"/>
          </w:rPr>
          <w:t>Balances</w:t>
        </w:r>
      </w:hyperlink>
    </w:p>
    <w:p w14:paraId="0DFDAB55" w14:textId="77777777" w:rsidR="00046465" w:rsidRDefault="008134EB">
      <w:pPr>
        <w:pStyle w:val="BodyText"/>
        <w:tabs>
          <w:tab w:val="left" w:pos="2528"/>
        </w:tabs>
        <w:spacing w:line="251" w:lineRule="exact"/>
        <w:ind w:left="907"/>
      </w:pPr>
      <w:hyperlink w:anchor="_bookmark158" w:history="1">
        <w:r>
          <w:rPr>
            <w:spacing w:val="-5"/>
          </w:rPr>
          <w:t>903</w:t>
        </w:r>
        <w:r>
          <w:tab/>
          <w:t>Auditing</w:t>
        </w:r>
        <w:r>
          <w:rPr>
            <w:spacing w:val="-7"/>
          </w:rPr>
          <w:t xml:space="preserve"> </w:t>
        </w:r>
        <w:r>
          <w:t>Cost</w:t>
        </w:r>
        <w:r>
          <w:rPr>
            <w:spacing w:val="-6"/>
          </w:rPr>
          <w:t xml:space="preserve"> </w:t>
        </w:r>
        <w:r>
          <w:rPr>
            <w:spacing w:val="-2"/>
          </w:rPr>
          <w:t>Information</w:t>
        </w:r>
      </w:hyperlink>
    </w:p>
    <w:p w14:paraId="0DFDAB56" w14:textId="77777777" w:rsidR="00046465" w:rsidRDefault="008134EB">
      <w:pPr>
        <w:pStyle w:val="BodyText"/>
        <w:tabs>
          <w:tab w:val="left" w:pos="2528"/>
        </w:tabs>
        <w:spacing w:before="18"/>
        <w:ind w:left="907"/>
      </w:pPr>
      <w:hyperlink w:anchor="_bookmark162" w:history="1">
        <w:r>
          <w:rPr>
            <w:spacing w:val="-5"/>
          </w:rPr>
          <w:t>904</w:t>
        </w:r>
        <w:r>
          <w:tab/>
          <w:t>Disclosure</w:t>
        </w:r>
        <w:r>
          <w:rPr>
            <w:spacing w:val="-10"/>
          </w:rPr>
          <w:t xml:space="preserve"> </w:t>
        </w:r>
        <w:r>
          <w:t>Entities,</w:t>
        </w:r>
        <w:r>
          <w:rPr>
            <w:spacing w:val="-9"/>
          </w:rPr>
          <w:t xml:space="preserve"> </w:t>
        </w:r>
        <w:r>
          <w:t>Related</w:t>
        </w:r>
        <w:r>
          <w:rPr>
            <w:spacing w:val="-9"/>
          </w:rPr>
          <w:t xml:space="preserve"> </w:t>
        </w:r>
        <w:r>
          <w:t>Parties,</w:t>
        </w:r>
        <w:r>
          <w:rPr>
            <w:spacing w:val="-9"/>
          </w:rPr>
          <w:t xml:space="preserve"> </w:t>
        </w:r>
        <w:r>
          <w:t>and</w:t>
        </w:r>
        <w:r>
          <w:rPr>
            <w:spacing w:val="-9"/>
          </w:rPr>
          <w:t xml:space="preserve"> </w:t>
        </w:r>
        <w:r>
          <w:t>Public-Private</w:t>
        </w:r>
        <w:r>
          <w:rPr>
            <w:spacing w:val="-9"/>
          </w:rPr>
          <w:t xml:space="preserve"> </w:t>
        </w:r>
        <w:r>
          <w:rPr>
            <w:spacing w:val="-2"/>
          </w:rPr>
          <w:t>Partnerships</w:t>
        </w:r>
      </w:hyperlink>
    </w:p>
    <w:p w14:paraId="0DFDAB57" w14:textId="77777777" w:rsidR="00046465" w:rsidRDefault="008134EB">
      <w:pPr>
        <w:pStyle w:val="BodyText"/>
        <w:tabs>
          <w:tab w:val="left" w:pos="2526"/>
        </w:tabs>
        <w:spacing w:before="20"/>
        <w:ind w:left="907"/>
      </w:pPr>
      <w:hyperlink w:anchor="_bookmark163" w:history="1">
        <w:r>
          <w:rPr>
            <w:spacing w:val="-5"/>
          </w:rPr>
          <w:t>905</w:t>
        </w:r>
        <w:r>
          <w:tab/>
          <w:t>Auditing</w:t>
        </w:r>
        <w:r>
          <w:rPr>
            <w:spacing w:val="-10"/>
          </w:rPr>
          <w:t xml:space="preserve"> </w:t>
        </w:r>
        <w:r>
          <w:t>Accounting</w:t>
        </w:r>
        <w:r>
          <w:rPr>
            <w:spacing w:val="-9"/>
          </w:rPr>
          <w:t xml:space="preserve"> </w:t>
        </w:r>
        <w:r>
          <w:rPr>
            <w:spacing w:val="-2"/>
          </w:rPr>
          <w:t>Estimates</w:t>
        </w:r>
      </w:hyperlink>
    </w:p>
    <w:p w14:paraId="0DFDAB58" w14:textId="77777777" w:rsidR="00046465" w:rsidRDefault="008134EB">
      <w:pPr>
        <w:pStyle w:val="BodyText"/>
        <w:tabs>
          <w:tab w:val="left" w:pos="2527"/>
        </w:tabs>
        <w:spacing w:before="20"/>
        <w:ind w:left="907"/>
      </w:pPr>
      <w:hyperlink w:anchor="_bookmark164" w:history="1">
        <w:r>
          <w:rPr>
            <w:spacing w:val="-5"/>
          </w:rPr>
          <w:t>921</w:t>
        </w:r>
        <w:r>
          <w:tab/>
          <w:t>Auditing</w:t>
        </w:r>
        <w:r>
          <w:rPr>
            <w:spacing w:val="-7"/>
          </w:rPr>
          <w:t xml:space="preserve"> </w:t>
        </w:r>
        <w:r>
          <w:t>Fund</w:t>
        </w:r>
        <w:r>
          <w:rPr>
            <w:spacing w:val="-6"/>
          </w:rPr>
          <w:t xml:space="preserve"> </w:t>
        </w:r>
        <w:r>
          <w:t>Balance</w:t>
        </w:r>
        <w:r>
          <w:rPr>
            <w:spacing w:val="-8"/>
          </w:rPr>
          <w:t xml:space="preserve"> </w:t>
        </w:r>
        <w:r>
          <w:t>with</w:t>
        </w:r>
        <w:r>
          <w:rPr>
            <w:spacing w:val="-6"/>
          </w:rPr>
          <w:t xml:space="preserve"> </w:t>
        </w:r>
        <w:r>
          <w:rPr>
            <w:spacing w:val="-2"/>
          </w:rPr>
          <w:t>Treasury</w:t>
        </w:r>
      </w:hyperlink>
    </w:p>
    <w:p w14:paraId="0DFDAB59" w14:textId="77777777" w:rsidR="00046465" w:rsidRDefault="008134EB">
      <w:pPr>
        <w:pStyle w:val="BodyText"/>
        <w:tabs>
          <w:tab w:val="left" w:pos="2519"/>
        </w:tabs>
        <w:spacing w:before="20" w:line="259" w:lineRule="auto"/>
        <w:ind w:left="907" w:right="2190"/>
      </w:pPr>
      <w:hyperlink w:anchor="_bookmark182" w:history="1">
        <w:r>
          <w:t>921 A</w:t>
        </w:r>
        <w:r>
          <w:tab/>
        </w:r>
        <w:r>
          <w:rPr>
            <w:spacing w:val="-53"/>
          </w:rPr>
          <w:t xml:space="preserve"> </w:t>
        </w:r>
        <w:r>
          <w:t>Example</w:t>
        </w:r>
        <w:r>
          <w:rPr>
            <w:spacing w:val="-6"/>
          </w:rPr>
          <w:t xml:space="preserve"> </w:t>
        </w:r>
        <w:r>
          <w:t>Audit</w:t>
        </w:r>
        <w:r>
          <w:rPr>
            <w:spacing w:val="-6"/>
          </w:rPr>
          <w:t xml:space="preserve"> </w:t>
        </w:r>
        <w:r>
          <w:t>Procedures</w:t>
        </w:r>
        <w:r>
          <w:rPr>
            <w:spacing w:val="-6"/>
          </w:rPr>
          <w:t xml:space="preserve"> </w:t>
        </w:r>
        <w:r>
          <w:t>for</w:t>
        </w:r>
        <w:r>
          <w:rPr>
            <w:spacing w:val="-6"/>
          </w:rPr>
          <w:t xml:space="preserve"> </w:t>
        </w:r>
        <w:r>
          <w:t>Fund</w:t>
        </w:r>
        <w:r>
          <w:rPr>
            <w:spacing w:val="-7"/>
          </w:rPr>
          <w:t xml:space="preserve"> </w:t>
        </w:r>
        <w:r>
          <w:t>Balance</w:t>
        </w:r>
        <w:r>
          <w:rPr>
            <w:spacing w:val="-6"/>
          </w:rPr>
          <w:t xml:space="preserve"> </w:t>
        </w:r>
        <w:r>
          <w:t>with</w:t>
        </w:r>
        <w:r>
          <w:rPr>
            <w:spacing w:val="-6"/>
          </w:rPr>
          <w:t xml:space="preserve"> </w:t>
        </w:r>
        <w:r>
          <w:t>Treasury</w:t>
        </w:r>
      </w:hyperlink>
      <w:r>
        <w:t xml:space="preserve"> </w:t>
      </w:r>
      <w:hyperlink w:anchor="_bookmark184" w:history="1">
        <w:r>
          <w:t>921 B</w:t>
        </w:r>
        <w:r>
          <w:tab/>
          <w:t>Example Audit Procedures for Auditing TAS and BETC</w:t>
        </w:r>
      </w:hyperlink>
    </w:p>
    <w:p w14:paraId="0DFDAB5A" w14:textId="77777777" w:rsidR="00046465" w:rsidRDefault="008134EB">
      <w:pPr>
        <w:pStyle w:val="BodyText"/>
        <w:tabs>
          <w:tab w:val="left" w:pos="2527"/>
        </w:tabs>
        <w:spacing w:line="253" w:lineRule="exact"/>
        <w:ind w:left="907"/>
      </w:pPr>
      <w:hyperlink w:anchor="_bookmark185" w:history="1">
        <w:r>
          <w:rPr>
            <w:spacing w:val="-5"/>
          </w:rPr>
          <w:t>931</w:t>
        </w:r>
        <w:r>
          <w:tab/>
          <w:t>Auditing</w:t>
        </w:r>
        <w:r>
          <w:rPr>
            <w:spacing w:val="-7"/>
          </w:rPr>
          <w:t xml:space="preserve"> </w:t>
        </w:r>
        <w:r>
          <w:t>PP&amp;E</w:t>
        </w:r>
        <w:r>
          <w:rPr>
            <w:spacing w:val="-7"/>
          </w:rPr>
          <w:t xml:space="preserve"> </w:t>
        </w:r>
        <w:r>
          <w:t>Land</w:t>
        </w:r>
        <w:r>
          <w:rPr>
            <w:spacing w:val="-7"/>
          </w:rPr>
          <w:t xml:space="preserve"> </w:t>
        </w:r>
        <w:r>
          <w:t>and</w:t>
        </w:r>
        <w:r>
          <w:rPr>
            <w:spacing w:val="-7"/>
          </w:rPr>
          <w:t xml:space="preserve"> </w:t>
        </w:r>
        <w:r>
          <w:t>Stewardship</w:t>
        </w:r>
        <w:r>
          <w:rPr>
            <w:spacing w:val="-7"/>
          </w:rPr>
          <w:t xml:space="preserve"> </w:t>
        </w:r>
        <w:r>
          <w:rPr>
            <w:spacing w:val="-4"/>
          </w:rPr>
          <w:t>Land</w:t>
        </w:r>
      </w:hyperlink>
    </w:p>
    <w:p w14:paraId="0DFDAB5B" w14:textId="77777777" w:rsidR="00046465" w:rsidRDefault="008134EB">
      <w:pPr>
        <w:pStyle w:val="BodyText"/>
        <w:tabs>
          <w:tab w:val="left" w:pos="2528"/>
        </w:tabs>
        <w:spacing w:before="20"/>
        <w:ind w:left="907"/>
      </w:pPr>
      <w:hyperlink w:anchor="_bookmark193" w:history="1">
        <w:r>
          <w:rPr>
            <w:spacing w:val="-5"/>
          </w:rPr>
          <w:t>932</w:t>
        </w:r>
        <w:r>
          <w:tab/>
          <w:t>Auditing</w:t>
        </w:r>
        <w:r>
          <w:rPr>
            <w:spacing w:val="-9"/>
          </w:rPr>
          <w:t xml:space="preserve"> </w:t>
        </w:r>
        <w:r>
          <w:t>Heritage</w:t>
        </w:r>
        <w:r>
          <w:rPr>
            <w:spacing w:val="-8"/>
          </w:rPr>
          <w:t xml:space="preserve"> </w:t>
        </w:r>
        <w:r>
          <w:rPr>
            <w:spacing w:val="-2"/>
          </w:rPr>
          <w:t>Assets</w:t>
        </w:r>
      </w:hyperlink>
    </w:p>
    <w:p w14:paraId="0DFDAB5C" w14:textId="77777777" w:rsidR="00046465" w:rsidRDefault="008134EB">
      <w:pPr>
        <w:pStyle w:val="BodyText"/>
        <w:tabs>
          <w:tab w:val="left" w:pos="2519"/>
        </w:tabs>
        <w:spacing w:before="20" w:line="259" w:lineRule="auto"/>
        <w:ind w:left="2520" w:right="1655" w:hanging="1613"/>
      </w:pPr>
      <w:hyperlink w:anchor="_bookmark195" w:history="1">
        <w:r>
          <w:rPr>
            <w:spacing w:val="-4"/>
          </w:rPr>
          <w:t>941</w:t>
        </w:r>
        <w:r>
          <w:tab/>
          <w:t>Auditing</w:t>
        </w:r>
        <w:r>
          <w:rPr>
            <w:spacing w:val="-4"/>
          </w:rPr>
          <w:t xml:space="preserve"> </w:t>
        </w:r>
        <w:r>
          <w:t>the</w:t>
        </w:r>
        <w:r>
          <w:rPr>
            <w:spacing w:val="-5"/>
          </w:rPr>
          <w:t xml:space="preserve"> </w:t>
        </w:r>
        <w:r>
          <w:t>Statement</w:t>
        </w:r>
        <w:r>
          <w:rPr>
            <w:spacing w:val="-4"/>
          </w:rPr>
          <w:t xml:space="preserve"> </w:t>
        </w:r>
        <w:r>
          <w:t>of</w:t>
        </w:r>
        <w:r>
          <w:rPr>
            <w:spacing w:val="-4"/>
          </w:rPr>
          <w:t xml:space="preserve"> </w:t>
        </w:r>
        <w:r>
          <w:t>Social</w:t>
        </w:r>
        <w:r>
          <w:rPr>
            <w:spacing w:val="-4"/>
          </w:rPr>
          <w:t xml:space="preserve"> </w:t>
        </w:r>
        <w:r>
          <w:t>Insurance</w:t>
        </w:r>
        <w:r>
          <w:rPr>
            <w:spacing w:val="-4"/>
          </w:rPr>
          <w:t xml:space="preserve"> </w:t>
        </w:r>
        <w:r>
          <w:t>and</w:t>
        </w:r>
        <w:r>
          <w:rPr>
            <w:spacing w:val="-4"/>
          </w:rPr>
          <w:t xml:space="preserve"> </w:t>
        </w:r>
        <w:r>
          <w:t>the</w:t>
        </w:r>
        <w:r>
          <w:rPr>
            <w:spacing w:val="-4"/>
          </w:rPr>
          <w:t xml:space="preserve"> </w:t>
        </w:r>
        <w:r>
          <w:t>Statement</w:t>
        </w:r>
        <w:r>
          <w:rPr>
            <w:spacing w:val="-4"/>
          </w:rPr>
          <w:t xml:space="preserve"> </w:t>
        </w:r>
        <w:r>
          <w:t>of Changes in Social Insurance Amounts</w:t>
        </w:r>
      </w:hyperlink>
    </w:p>
    <w:p w14:paraId="0DFDAB5D" w14:textId="77777777" w:rsidR="00046465" w:rsidRDefault="008134EB">
      <w:pPr>
        <w:tabs>
          <w:tab w:val="left" w:pos="2519"/>
        </w:tabs>
        <w:spacing w:before="106"/>
        <w:ind w:left="907"/>
        <w:rPr>
          <w:b/>
        </w:rPr>
      </w:pPr>
      <w:r>
        <w:rPr>
          <w:b/>
          <w:spacing w:val="-4"/>
        </w:rPr>
        <w:t>1000</w:t>
      </w:r>
      <w:r>
        <w:rPr>
          <w:b/>
        </w:rPr>
        <w:tab/>
        <w:t>Reporting</w:t>
      </w:r>
      <w:r>
        <w:rPr>
          <w:b/>
          <w:spacing w:val="-14"/>
        </w:rPr>
        <w:t xml:space="preserve"> </w:t>
      </w:r>
      <w:r>
        <w:rPr>
          <w:b/>
        </w:rPr>
        <w:t>Implementation</w:t>
      </w:r>
      <w:r>
        <w:rPr>
          <w:b/>
          <w:spacing w:val="-13"/>
        </w:rPr>
        <w:t xml:space="preserve"> </w:t>
      </w:r>
      <w:r>
        <w:rPr>
          <w:b/>
          <w:spacing w:val="-2"/>
        </w:rPr>
        <w:t>Guidance</w:t>
      </w:r>
    </w:p>
    <w:p w14:paraId="0DFDAB5E" w14:textId="77777777" w:rsidR="00046465" w:rsidRDefault="008134EB">
      <w:pPr>
        <w:pStyle w:val="BodyText"/>
        <w:tabs>
          <w:tab w:val="left" w:pos="2526"/>
        </w:tabs>
        <w:spacing w:before="131"/>
        <w:ind w:left="907"/>
      </w:pPr>
      <w:hyperlink w:anchor="_bookmark207" w:history="1">
        <w:r>
          <w:rPr>
            <w:spacing w:val="-4"/>
          </w:rPr>
          <w:t>1001</w:t>
        </w:r>
        <w:r>
          <w:tab/>
          <w:t>Management</w:t>
        </w:r>
        <w:r>
          <w:rPr>
            <w:spacing w:val="-12"/>
          </w:rPr>
          <w:t xml:space="preserve"> </w:t>
        </w:r>
        <w:r>
          <w:rPr>
            <w:spacing w:val="-2"/>
          </w:rPr>
          <w:t>Representations</w:t>
        </w:r>
      </w:hyperlink>
    </w:p>
    <w:p w14:paraId="0DFDAB5F" w14:textId="77777777" w:rsidR="00046465" w:rsidRDefault="008134EB">
      <w:pPr>
        <w:pStyle w:val="BodyText"/>
        <w:tabs>
          <w:tab w:val="left" w:pos="2526"/>
        </w:tabs>
        <w:spacing w:before="20" w:line="256" w:lineRule="auto"/>
        <w:ind w:left="907" w:right="3534"/>
      </w:pPr>
      <w:hyperlink w:anchor="_bookmark209" w:history="1">
        <w:r>
          <w:t>1001 A</w:t>
        </w:r>
        <w:r>
          <w:tab/>
          <w:t>Management</w:t>
        </w:r>
        <w:r>
          <w:rPr>
            <w:spacing w:val="-13"/>
          </w:rPr>
          <w:t xml:space="preserve"> </w:t>
        </w:r>
        <w:r>
          <w:t>Representation</w:t>
        </w:r>
        <w:r>
          <w:rPr>
            <w:spacing w:val="-13"/>
          </w:rPr>
          <w:t xml:space="preserve"> </w:t>
        </w:r>
        <w:r>
          <w:t>Letter</w:t>
        </w:r>
        <w:r>
          <w:rPr>
            <w:spacing w:val="-14"/>
          </w:rPr>
          <w:t xml:space="preserve"> </w:t>
        </w:r>
        <w:r>
          <w:t>Example</w:t>
        </w:r>
      </w:hyperlink>
      <w:r>
        <w:t xml:space="preserve"> </w:t>
      </w:r>
      <w:hyperlink w:anchor="_bookmark214" w:history="1">
        <w:r>
          <w:rPr>
            <w:spacing w:val="-4"/>
          </w:rPr>
          <w:t>1002</w:t>
        </w:r>
        <w:r>
          <w:tab/>
          <w:t>Litigation, Claims, and Assessments</w:t>
        </w:r>
      </w:hyperlink>
    </w:p>
    <w:p w14:paraId="0DFDAB60" w14:textId="77777777" w:rsidR="00046465" w:rsidRDefault="008134EB">
      <w:pPr>
        <w:pStyle w:val="BodyText"/>
        <w:tabs>
          <w:tab w:val="left" w:pos="2527"/>
        </w:tabs>
        <w:spacing w:before="2" w:line="259" w:lineRule="auto"/>
        <w:ind w:left="907" w:right="1393"/>
      </w:pPr>
      <w:hyperlink w:anchor="_bookmark224" w:history="1">
        <w:r>
          <w:t>1002 A</w:t>
        </w:r>
        <w:r>
          <w:tab/>
          <w:t>Example</w:t>
        </w:r>
        <w:r>
          <w:rPr>
            <w:spacing w:val="-6"/>
          </w:rPr>
          <w:t xml:space="preserve"> </w:t>
        </w:r>
        <w:r>
          <w:t>Audit</w:t>
        </w:r>
        <w:r>
          <w:rPr>
            <w:spacing w:val="-6"/>
          </w:rPr>
          <w:t xml:space="preserve"> </w:t>
        </w:r>
        <w:r>
          <w:t>Procedures</w:t>
        </w:r>
        <w:r>
          <w:rPr>
            <w:spacing w:val="-6"/>
          </w:rPr>
          <w:t xml:space="preserve"> </w:t>
        </w:r>
        <w:r>
          <w:t>for</w:t>
        </w:r>
        <w:r>
          <w:rPr>
            <w:spacing w:val="-6"/>
          </w:rPr>
          <w:t xml:space="preserve"> </w:t>
        </w:r>
        <w:r>
          <w:t>Litigation,</w:t>
        </w:r>
        <w:r>
          <w:rPr>
            <w:spacing w:val="-6"/>
          </w:rPr>
          <w:t xml:space="preserve"> </w:t>
        </w:r>
        <w:r>
          <w:t>Claims,</w:t>
        </w:r>
        <w:r>
          <w:rPr>
            <w:spacing w:val="-6"/>
          </w:rPr>
          <w:t xml:space="preserve"> </w:t>
        </w:r>
        <w:r>
          <w:t>and</w:t>
        </w:r>
        <w:r>
          <w:rPr>
            <w:spacing w:val="-6"/>
          </w:rPr>
          <w:t xml:space="preserve"> </w:t>
        </w:r>
        <w:r>
          <w:t>Assessments</w:t>
        </w:r>
      </w:hyperlink>
      <w:r>
        <w:t xml:space="preserve"> </w:t>
      </w:r>
      <w:hyperlink w:anchor="_bookmark225" w:history="1">
        <w:r>
          <w:t>1002 B</w:t>
        </w:r>
        <w:r>
          <w:tab/>
          <w:t>Example Legal Counsel Request</w:t>
        </w:r>
      </w:hyperlink>
    </w:p>
    <w:p w14:paraId="0DFDAB61" w14:textId="77777777" w:rsidR="00046465" w:rsidRDefault="008134EB">
      <w:pPr>
        <w:pStyle w:val="BodyText"/>
        <w:tabs>
          <w:tab w:val="left" w:pos="2527"/>
        </w:tabs>
        <w:spacing w:line="259" w:lineRule="auto"/>
        <w:ind w:left="907" w:right="4536"/>
      </w:pPr>
      <w:hyperlink w:anchor="_bookmark228" w:history="1">
        <w:r>
          <w:t>1002 C</w:t>
        </w:r>
        <w:r>
          <w:tab/>
          <w:t>Example</w:t>
        </w:r>
        <w:r>
          <w:rPr>
            <w:spacing w:val="-13"/>
          </w:rPr>
          <w:t xml:space="preserve"> </w:t>
        </w:r>
        <w:r>
          <w:t>Legal</w:t>
        </w:r>
        <w:r>
          <w:rPr>
            <w:spacing w:val="-13"/>
          </w:rPr>
          <w:t xml:space="preserve"> </w:t>
        </w:r>
        <w:r>
          <w:t>Counsel</w:t>
        </w:r>
        <w:r>
          <w:rPr>
            <w:spacing w:val="-14"/>
          </w:rPr>
          <w:t xml:space="preserve"> </w:t>
        </w:r>
        <w:r>
          <w:t>Response</w:t>
        </w:r>
      </w:hyperlink>
      <w:r>
        <w:t xml:space="preserve"> </w:t>
      </w:r>
      <w:hyperlink w:anchor="_bookmark231" w:history="1">
        <w:r>
          <w:t>1002 D</w:t>
        </w:r>
        <w:r>
          <w:tab/>
          <w:t>Example Management Schedule</w:t>
        </w:r>
      </w:hyperlink>
    </w:p>
    <w:p w14:paraId="0DFDAB62" w14:textId="77777777" w:rsidR="00046465" w:rsidRDefault="008134EB">
      <w:pPr>
        <w:pStyle w:val="BodyText"/>
        <w:tabs>
          <w:tab w:val="left" w:pos="2526"/>
        </w:tabs>
        <w:spacing w:line="256" w:lineRule="auto"/>
        <w:ind w:left="907" w:right="3273"/>
      </w:pPr>
      <w:hyperlink w:anchor="_bookmark232" w:history="1">
        <w:r>
          <w:rPr>
            <w:spacing w:val="-4"/>
          </w:rPr>
          <w:t>1003</w:t>
        </w:r>
        <w:r>
          <w:tab/>
          <w:t>Financial</w:t>
        </w:r>
        <w:r>
          <w:rPr>
            <w:spacing w:val="-9"/>
          </w:rPr>
          <w:t xml:space="preserve"> </w:t>
        </w:r>
        <w:r>
          <w:t>Statement</w:t>
        </w:r>
        <w:r>
          <w:rPr>
            <w:spacing w:val="-9"/>
          </w:rPr>
          <w:t xml:space="preserve"> </w:t>
        </w:r>
        <w:r>
          <w:t>Audit</w:t>
        </w:r>
        <w:r>
          <w:rPr>
            <w:spacing w:val="-9"/>
          </w:rPr>
          <w:t xml:space="preserve"> </w:t>
        </w:r>
        <w:r>
          <w:t>Completion</w:t>
        </w:r>
        <w:r>
          <w:rPr>
            <w:spacing w:val="-9"/>
          </w:rPr>
          <w:t xml:space="preserve"> </w:t>
        </w:r>
        <w:r>
          <w:t>Checklist</w:t>
        </w:r>
      </w:hyperlink>
      <w:r>
        <w:t xml:space="preserve"> </w:t>
      </w:r>
      <w:hyperlink w:anchor="_bookmark236" w:history="1">
        <w:r>
          <w:rPr>
            <w:spacing w:val="-4"/>
          </w:rPr>
          <w:t>1005</w:t>
        </w:r>
        <w:r>
          <w:tab/>
          <w:t>Subsequent Events Review</w:t>
        </w:r>
      </w:hyperlink>
    </w:p>
    <w:p w14:paraId="0DFDAB63" w14:textId="77777777" w:rsidR="00046465" w:rsidRDefault="00046465">
      <w:pPr>
        <w:pStyle w:val="BodyText"/>
        <w:spacing w:line="256" w:lineRule="auto"/>
        <w:sectPr w:rsidR="00046465">
          <w:headerReference w:type="default" r:id="rId22"/>
          <w:footerReference w:type="default" r:id="rId23"/>
          <w:pgSz w:w="12240" w:h="15840"/>
          <w:pgMar w:top="1100" w:right="720" w:bottom="940" w:left="1080" w:header="721" w:footer="757" w:gutter="0"/>
          <w:cols w:space="720"/>
        </w:sectPr>
      </w:pPr>
    </w:p>
    <w:p w14:paraId="0DFDAB64" w14:textId="77777777" w:rsidR="00046465" w:rsidRDefault="008134EB">
      <w:pPr>
        <w:spacing w:line="20" w:lineRule="exact"/>
        <w:ind w:left="296"/>
        <w:rPr>
          <w:sz w:val="2"/>
        </w:rPr>
      </w:pPr>
      <w:r>
        <w:rPr>
          <w:noProof/>
          <w:sz w:val="2"/>
        </w:rPr>
        <w:lastRenderedPageBreak/>
        <mc:AlternateContent>
          <mc:Choice Requires="wpg">
            <w:drawing>
              <wp:inline distT="0" distB="0" distL="0" distR="0" wp14:anchorId="0DFDD53F" wp14:editId="0DFDD540">
                <wp:extent cx="5997575" cy="9525"/>
                <wp:effectExtent l="9525" t="0" r="3175" b="0"/>
                <wp:docPr id="99"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7575" cy="9525"/>
                          <a:chOff x="0" y="0"/>
                          <a:chExt cx="5997575" cy="9525"/>
                        </a:xfrm>
                      </wpg:grpSpPr>
                      <wps:wsp>
                        <wps:cNvPr id="100" name="Graphic 100"/>
                        <wps:cNvSpPr/>
                        <wps:spPr>
                          <a:xfrm>
                            <a:off x="0" y="4762"/>
                            <a:ext cx="5997575" cy="1270"/>
                          </a:xfrm>
                          <a:custGeom>
                            <a:avLst/>
                            <a:gdLst/>
                            <a:ahLst/>
                            <a:cxnLst/>
                            <a:rect l="l" t="t" r="r" b="b"/>
                            <a:pathLst>
                              <a:path w="5997575">
                                <a:moveTo>
                                  <a:pt x="0" y="0"/>
                                </a:moveTo>
                                <a:lnTo>
                                  <a:pt x="5997575"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90E88B" id="Group 99" o:spid="_x0000_s1026" style="width:472.25pt;height:.75pt;mso-position-horizontal-relative:char;mso-position-vertical-relative:line" coordsize="5997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">
                <v:shape id="Graphic 100" o:spid="_x0000_s1027" style="position:absolute;top:47;width:59975;height:13;visibility:visible;mso-wrap-style:square;v-text-anchor:top" coordsize="5997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" path="m,l5997575,e" filled="f">
                  <v:path arrowok="t"/>
                </v:shape>
                <w10:anchorlock/>
              </v:group>
            </w:pict>
          </mc:Fallback>
        </mc:AlternateContent>
      </w:r>
    </w:p>
    <w:p w14:paraId="0DFDAB65" w14:textId="77777777" w:rsidR="00046465" w:rsidRDefault="008134EB">
      <w:pPr>
        <w:pStyle w:val="Heading1"/>
        <w:spacing w:before="468"/>
      </w:pPr>
      <w:bookmarkStart w:id="2" w:name="Section_600_-_Using_the_Work_of_Others"/>
      <w:bookmarkEnd w:id="2"/>
      <w:r>
        <w:t>SECTION</w:t>
      </w:r>
      <w:r>
        <w:rPr>
          <w:spacing w:val="-4"/>
        </w:rPr>
        <w:t xml:space="preserve"> </w:t>
      </w:r>
      <w:r>
        <w:rPr>
          <w:spacing w:val="-5"/>
        </w:rPr>
        <w:t>600</w:t>
      </w:r>
    </w:p>
    <w:p w14:paraId="0DFDAB66" w14:textId="77777777" w:rsidR="00046465" w:rsidRDefault="00046465">
      <w:pPr>
        <w:pStyle w:val="BodyText"/>
        <w:rPr>
          <w:sz w:val="20"/>
        </w:rPr>
      </w:pPr>
    </w:p>
    <w:p w14:paraId="0DFDAB67" w14:textId="77777777" w:rsidR="00046465" w:rsidRDefault="008134EB">
      <w:pPr>
        <w:pStyle w:val="BodyText"/>
        <w:spacing w:before="152"/>
        <w:rPr>
          <w:sz w:val="20"/>
        </w:rPr>
      </w:pPr>
      <w:r>
        <w:rPr>
          <w:noProof/>
          <w:sz w:val="20"/>
        </w:rPr>
        <mc:AlternateContent>
          <mc:Choice Requires="wps">
            <w:drawing>
              <wp:anchor distT="0" distB="0" distL="0" distR="0" simplePos="0" relativeHeight="487599616" behindDoc="1" locked="0" layoutInCell="1" allowOverlap="1" wp14:anchorId="0DFDD541" wp14:editId="0DFDD542">
                <wp:simplePos x="0" y="0"/>
                <wp:positionH relativeFrom="page">
                  <wp:posOffset>930275</wp:posOffset>
                </wp:positionH>
                <wp:positionV relativeFrom="paragraph">
                  <wp:posOffset>257859</wp:posOffset>
                </wp:positionV>
                <wp:extent cx="5927725" cy="9144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7725" cy="91440"/>
                        </a:xfrm>
                        <a:custGeom>
                          <a:avLst/>
                          <a:gdLst/>
                          <a:ahLst/>
                          <a:cxnLst/>
                          <a:rect l="l" t="t" r="r" b="b"/>
                          <a:pathLst>
                            <a:path w="5927725" h="91440">
                              <a:moveTo>
                                <a:pt x="5927725" y="0"/>
                              </a:moveTo>
                              <a:lnTo>
                                <a:pt x="0" y="0"/>
                              </a:lnTo>
                              <a:lnTo>
                                <a:pt x="0" y="91440"/>
                              </a:lnTo>
                              <a:lnTo>
                                <a:pt x="5927725" y="91440"/>
                              </a:lnTo>
                              <a:lnTo>
                                <a:pt x="592772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8CE606" id="Graphic 101" o:spid="_x0000_s1026" style="position:absolute;margin-left:73.25pt;margin-top:20.3pt;width:466.75pt;height:7.2pt;z-index:-15716864;visibility:visible;mso-wrap-style:square;mso-wrap-distance-left:0;mso-wrap-distance-top:0;mso-wrap-distance-right:0;mso-wrap-distance-bottom:0;mso-position-horizontal:absolute;mso-position-horizontal-relative:page;mso-position-vertical:absolute;mso-position-vertical-relative:text;v-text-anchor:top" coordsize="592772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" path="m5927725,l,,,91440r5927725,l5927725,xe" fillcolor="black" stroked="f">
                <v:path arrowok="t"/>
                <w10:wrap type="topAndBottom" anchorx="page"/>
              </v:shape>
            </w:pict>
          </mc:Fallback>
        </mc:AlternateContent>
      </w:r>
    </w:p>
    <w:p w14:paraId="0DFDAB68" w14:textId="77777777" w:rsidR="00046465" w:rsidRDefault="008134EB">
      <w:pPr>
        <w:pStyle w:val="Heading2"/>
        <w:spacing w:before="251"/>
        <w:ind w:left="4332" w:right="0"/>
        <w:jc w:val="left"/>
      </w:pPr>
      <w:r>
        <w:t>Using</w:t>
      </w:r>
      <w:r>
        <w:rPr>
          <w:spacing w:val="-3"/>
        </w:rPr>
        <w:t xml:space="preserve"> </w:t>
      </w:r>
      <w:r>
        <w:t>the</w:t>
      </w:r>
      <w:r>
        <w:rPr>
          <w:spacing w:val="-2"/>
        </w:rPr>
        <w:t xml:space="preserve"> </w:t>
      </w:r>
      <w:r>
        <w:t>Work</w:t>
      </w:r>
      <w:r>
        <w:rPr>
          <w:spacing w:val="-3"/>
        </w:rPr>
        <w:t xml:space="preserve"> </w:t>
      </w:r>
      <w:r>
        <w:t>of</w:t>
      </w:r>
      <w:r>
        <w:rPr>
          <w:spacing w:val="-2"/>
        </w:rPr>
        <w:t xml:space="preserve"> Others</w:t>
      </w:r>
    </w:p>
    <w:p w14:paraId="0DFDAB69" w14:textId="77777777" w:rsidR="00046465" w:rsidRDefault="00046465">
      <w:pPr>
        <w:pStyle w:val="BodyText"/>
        <w:rPr>
          <w:sz w:val="20"/>
        </w:rPr>
      </w:pPr>
    </w:p>
    <w:p w14:paraId="0DFDAB6A" w14:textId="77777777" w:rsidR="00046465" w:rsidRDefault="00046465">
      <w:pPr>
        <w:pStyle w:val="BodyText"/>
        <w:rPr>
          <w:sz w:val="20"/>
        </w:rPr>
      </w:pPr>
    </w:p>
    <w:p w14:paraId="0DFDAB6B" w14:textId="77777777" w:rsidR="00046465" w:rsidRDefault="00046465">
      <w:pPr>
        <w:pStyle w:val="BodyText"/>
        <w:rPr>
          <w:sz w:val="20"/>
        </w:rPr>
      </w:pPr>
    </w:p>
    <w:p w14:paraId="0DFDAB6C" w14:textId="77777777" w:rsidR="00046465" w:rsidRDefault="00046465">
      <w:pPr>
        <w:pStyle w:val="BodyText"/>
        <w:rPr>
          <w:sz w:val="20"/>
        </w:rPr>
      </w:pPr>
    </w:p>
    <w:p w14:paraId="0DFDAB6D" w14:textId="77777777" w:rsidR="00046465" w:rsidRDefault="00046465">
      <w:pPr>
        <w:pStyle w:val="BodyText"/>
        <w:rPr>
          <w:sz w:val="20"/>
        </w:rPr>
      </w:pPr>
    </w:p>
    <w:p w14:paraId="0DFDAB6E" w14:textId="77777777" w:rsidR="00046465" w:rsidRDefault="00046465">
      <w:pPr>
        <w:pStyle w:val="BodyText"/>
        <w:rPr>
          <w:sz w:val="20"/>
        </w:rPr>
      </w:pPr>
    </w:p>
    <w:p w14:paraId="0DFDAB6F" w14:textId="77777777" w:rsidR="00046465" w:rsidRDefault="00046465">
      <w:pPr>
        <w:pStyle w:val="BodyText"/>
        <w:rPr>
          <w:sz w:val="20"/>
        </w:rPr>
      </w:pPr>
    </w:p>
    <w:p w14:paraId="0DFDAB70" w14:textId="77777777" w:rsidR="00046465" w:rsidRDefault="00046465">
      <w:pPr>
        <w:pStyle w:val="BodyText"/>
        <w:rPr>
          <w:sz w:val="20"/>
        </w:rPr>
      </w:pPr>
    </w:p>
    <w:p w14:paraId="0DFDAB71" w14:textId="77777777" w:rsidR="00046465" w:rsidRDefault="00046465">
      <w:pPr>
        <w:pStyle w:val="BodyText"/>
        <w:rPr>
          <w:sz w:val="20"/>
        </w:rPr>
      </w:pPr>
    </w:p>
    <w:p w14:paraId="0DFDAB72" w14:textId="77777777" w:rsidR="00046465" w:rsidRDefault="00046465">
      <w:pPr>
        <w:pStyle w:val="BodyText"/>
        <w:rPr>
          <w:sz w:val="20"/>
        </w:rPr>
      </w:pPr>
    </w:p>
    <w:p w14:paraId="0DFDAB73" w14:textId="77777777" w:rsidR="00046465" w:rsidRDefault="00046465">
      <w:pPr>
        <w:pStyle w:val="BodyText"/>
        <w:rPr>
          <w:sz w:val="20"/>
        </w:rPr>
      </w:pPr>
    </w:p>
    <w:p w14:paraId="0DFDAB74" w14:textId="77777777" w:rsidR="00046465" w:rsidRDefault="00046465">
      <w:pPr>
        <w:pStyle w:val="BodyText"/>
        <w:rPr>
          <w:sz w:val="20"/>
        </w:rPr>
      </w:pPr>
    </w:p>
    <w:p w14:paraId="0DFDAB75" w14:textId="77777777" w:rsidR="00046465" w:rsidRDefault="00046465">
      <w:pPr>
        <w:pStyle w:val="BodyText"/>
        <w:rPr>
          <w:sz w:val="20"/>
        </w:rPr>
      </w:pPr>
    </w:p>
    <w:p w14:paraId="0DFDAB76" w14:textId="77777777" w:rsidR="00046465" w:rsidRDefault="00046465">
      <w:pPr>
        <w:pStyle w:val="BodyText"/>
        <w:rPr>
          <w:sz w:val="20"/>
        </w:rPr>
      </w:pPr>
    </w:p>
    <w:p w14:paraId="0DFDAB77" w14:textId="77777777" w:rsidR="00046465" w:rsidRDefault="00046465">
      <w:pPr>
        <w:pStyle w:val="BodyText"/>
        <w:rPr>
          <w:sz w:val="20"/>
        </w:rPr>
      </w:pPr>
    </w:p>
    <w:p w14:paraId="0DFDAB78" w14:textId="77777777" w:rsidR="00046465" w:rsidRDefault="00046465">
      <w:pPr>
        <w:pStyle w:val="BodyText"/>
        <w:rPr>
          <w:sz w:val="20"/>
        </w:rPr>
      </w:pPr>
    </w:p>
    <w:p w14:paraId="0DFDAB79" w14:textId="77777777" w:rsidR="00046465" w:rsidRDefault="00046465">
      <w:pPr>
        <w:pStyle w:val="BodyText"/>
        <w:rPr>
          <w:sz w:val="20"/>
        </w:rPr>
      </w:pPr>
    </w:p>
    <w:p w14:paraId="0DFDAB7A" w14:textId="77777777" w:rsidR="00046465" w:rsidRDefault="00046465">
      <w:pPr>
        <w:pStyle w:val="BodyText"/>
        <w:rPr>
          <w:sz w:val="20"/>
        </w:rPr>
      </w:pPr>
    </w:p>
    <w:p w14:paraId="0DFDAB7B" w14:textId="77777777" w:rsidR="00046465" w:rsidRDefault="00046465">
      <w:pPr>
        <w:pStyle w:val="BodyText"/>
        <w:rPr>
          <w:sz w:val="20"/>
        </w:rPr>
      </w:pPr>
    </w:p>
    <w:p w14:paraId="0DFDAB7C" w14:textId="77777777" w:rsidR="00046465" w:rsidRDefault="00046465">
      <w:pPr>
        <w:pStyle w:val="BodyText"/>
        <w:rPr>
          <w:sz w:val="20"/>
        </w:rPr>
      </w:pPr>
    </w:p>
    <w:p w14:paraId="0DFDAB7D" w14:textId="77777777" w:rsidR="00046465" w:rsidRDefault="00046465">
      <w:pPr>
        <w:pStyle w:val="BodyText"/>
        <w:rPr>
          <w:sz w:val="20"/>
        </w:rPr>
      </w:pPr>
    </w:p>
    <w:p w14:paraId="0DFDAB7E" w14:textId="77777777" w:rsidR="00046465" w:rsidRDefault="00046465">
      <w:pPr>
        <w:pStyle w:val="BodyText"/>
        <w:rPr>
          <w:sz w:val="20"/>
        </w:rPr>
      </w:pPr>
    </w:p>
    <w:p w14:paraId="0DFDAB7F" w14:textId="77777777" w:rsidR="00046465" w:rsidRDefault="00046465">
      <w:pPr>
        <w:pStyle w:val="BodyText"/>
        <w:rPr>
          <w:sz w:val="20"/>
        </w:rPr>
      </w:pPr>
    </w:p>
    <w:p w14:paraId="0DFDAB80" w14:textId="77777777" w:rsidR="00046465" w:rsidRDefault="00046465">
      <w:pPr>
        <w:pStyle w:val="BodyText"/>
        <w:rPr>
          <w:sz w:val="20"/>
        </w:rPr>
      </w:pPr>
    </w:p>
    <w:p w14:paraId="0DFDAB81" w14:textId="77777777" w:rsidR="00046465" w:rsidRDefault="00046465">
      <w:pPr>
        <w:pStyle w:val="BodyText"/>
        <w:rPr>
          <w:sz w:val="20"/>
        </w:rPr>
      </w:pPr>
    </w:p>
    <w:p w14:paraId="0DFDAB82" w14:textId="77777777" w:rsidR="00046465" w:rsidRDefault="00046465">
      <w:pPr>
        <w:pStyle w:val="BodyText"/>
        <w:rPr>
          <w:sz w:val="20"/>
        </w:rPr>
      </w:pPr>
    </w:p>
    <w:p w14:paraId="0DFDAB83" w14:textId="77777777" w:rsidR="00046465" w:rsidRDefault="00046465">
      <w:pPr>
        <w:pStyle w:val="BodyText"/>
        <w:rPr>
          <w:sz w:val="20"/>
        </w:rPr>
      </w:pPr>
    </w:p>
    <w:p w14:paraId="0DFDAB84" w14:textId="77777777" w:rsidR="00046465" w:rsidRDefault="00046465">
      <w:pPr>
        <w:pStyle w:val="BodyText"/>
        <w:rPr>
          <w:sz w:val="20"/>
        </w:rPr>
      </w:pPr>
    </w:p>
    <w:p w14:paraId="0DFDAB85" w14:textId="77777777" w:rsidR="00046465" w:rsidRDefault="00046465">
      <w:pPr>
        <w:pStyle w:val="BodyText"/>
        <w:rPr>
          <w:sz w:val="20"/>
        </w:rPr>
      </w:pPr>
    </w:p>
    <w:p w14:paraId="0DFDAB86" w14:textId="77777777" w:rsidR="00046465" w:rsidRDefault="00046465">
      <w:pPr>
        <w:pStyle w:val="BodyText"/>
        <w:rPr>
          <w:sz w:val="20"/>
        </w:rPr>
      </w:pPr>
    </w:p>
    <w:p w14:paraId="0DFDAB87" w14:textId="77777777" w:rsidR="00046465" w:rsidRDefault="00046465">
      <w:pPr>
        <w:pStyle w:val="BodyText"/>
        <w:rPr>
          <w:sz w:val="20"/>
        </w:rPr>
      </w:pPr>
    </w:p>
    <w:p w14:paraId="0DFDAB88" w14:textId="77777777" w:rsidR="00046465" w:rsidRDefault="00046465">
      <w:pPr>
        <w:pStyle w:val="BodyText"/>
        <w:rPr>
          <w:sz w:val="20"/>
        </w:rPr>
      </w:pPr>
    </w:p>
    <w:p w14:paraId="0DFDAB89" w14:textId="77777777" w:rsidR="00046465" w:rsidRDefault="00046465">
      <w:pPr>
        <w:pStyle w:val="BodyText"/>
        <w:rPr>
          <w:sz w:val="20"/>
        </w:rPr>
      </w:pPr>
    </w:p>
    <w:p w14:paraId="0DFDAB8A" w14:textId="77777777" w:rsidR="00046465" w:rsidRDefault="00046465">
      <w:pPr>
        <w:pStyle w:val="BodyText"/>
        <w:rPr>
          <w:sz w:val="20"/>
        </w:rPr>
      </w:pPr>
    </w:p>
    <w:p w14:paraId="0DFDAB8B" w14:textId="77777777" w:rsidR="00046465" w:rsidRDefault="00046465">
      <w:pPr>
        <w:pStyle w:val="BodyText"/>
        <w:rPr>
          <w:sz w:val="20"/>
        </w:rPr>
      </w:pPr>
    </w:p>
    <w:p w14:paraId="0DFDAB8C" w14:textId="77777777" w:rsidR="00046465" w:rsidRDefault="00046465">
      <w:pPr>
        <w:pStyle w:val="BodyText"/>
        <w:rPr>
          <w:sz w:val="20"/>
        </w:rPr>
      </w:pPr>
    </w:p>
    <w:p w14:paraId="0DFDAB8D" w14:textId="77777777" w:rsidR="00046465" w:rsidRDefault="00046465">
      <w:pPr>
        <w:pStyle w:val="BodyText"/>
        <w:rPr>
          <w:sz w:val="20"/>
        </w:rPr>
      </w:pPr>
    </w:p>
    <w:p w14:paraId="0DFDAB8E" w14:textId="77777777" w:rsidR="00046465" w:rsidRDefault="00046465">
      <w:pPr>
        <w:pStyle w:val="BodyText"/>
        <w:rPr>
          <w:sz w:val="20"/>
        </w:rPr>
      </w:pPr>
    </w:p>
    <w:p w14:paraId="0DFDAB8F" w14:textId="77777777" w:rsidR="00046465" w:rsidRDefault="00046465">
      <w:pPr>
        <w:pStyle w:val="BodyText"/>
        <w:rPr>
          <w:sz w:val="20"/>
        </w:rPr>
      </w:pPr>
    </w:p>
    <w:p w14:paraId="0DFDAB90" w14:textId="77777777" w:rsidR="00046465" w:rsidRDefault="00046465">
      <w:pPr>
        <w:pStyle w:val="BodyText"/>
        <w:rPr>
          <w:sz w:val="20"/>
        </w:rPr>
      </w:pPr>
    </w:p>
    <w:p w14:paraId="0DFDAB91" w14:textId="77777777" w:rsidR="00046465" w:rsidRDefault="00046465">
      <w:pPr>
        <w:pStyle w:val="BodyText"/>
        <w:rPr>
          <w:sz w:val="20"/>
        </w:rPr>
      </w:pPr>
    </w:p>
    <w:p w14:paraId="0DFDAB92" w14:textId="77777777" w:rsidR="00046465" w:rsidRDefault="00046465">
      <w:pPr>
        <w:pStyle w:val="BodyText"/>
        <w:rPr>
          <w:sz w:val="20"/>
        </w:rPr>
      </w:pPr>
    </w:p>
    <w:p w14:paraId="0DFDAB93" w14:textId="77777777" w:rsidR="00046465" w:rsidRDefault="00046465">
      <w:pPr>
        <w:pStyle w:val="BodyText"/>
        <w:rPr>
          <w:sz w:val="20"/>
        </w:rPr>
      </w:pPr>
    </w:p>
    <w:p w14:paraId="0DFDAB94" w14:textId="77777777" w:rsidR="00046465" w:rsidRDefault="00046465">
      <w:pPr>
        <w:pStyle w:val="BodyText"/>
        <w:rPr>
          <w:sz w:val="20"/>
        </w:rPr>
      </w:pPr>
    </w:p>
    <w:p w14:paraId="0DFDAB95" w14:textId="77777777" w:rsidR="00046465" w:rsidRDefault="00046465">
      <w:pPr>
        <w:pStyle w:val="BodyText"/>
        <w:rPr>
          <w:sz w:val="20"/>
        </w:rPr>
      </w:pPr>
    </w:p>
    <w:p w14:paraId="0DFDAB96" w14:textId="77777777" w:rsidR="00046465" w:rsidRDefault="00046465">
      <w:pPr>
        <w:pStyle w:val="BodyText"/>
        <w:rPr>
          <w:sz w:val="20"/>
        </w:rPr>
      </w:pPr>
    </w:p>
    <w:p w14:paraId="0DFDAB97" w14:textId="77777777" w:rsidR="00046465" w:rsidRDefault="008134EB">
      <w:pPr>
        <w:pStyle w:val="BodyText"/>
        <w:spacing w:before="208"/>
        <w:rPr>
          <w:sz w:val="20"/>
        </w:rPr>
      </w:pPr>
      <w:r>
        <w:rPr>
          <w:noProof/>
          <w:sz w:val="20"/>
        </w:rPr>
        <mc:AlternateContent>
          <mc:Choice Requires="wps">
            <w:drawing>
              <wp:anchor distT="0" distB="0" distL="0" distR="0" simplePos="0" relativeHeight="487600128" behindDoc="1" locked="0" layoutInCell="1" allowOverlap="1" wp14:anchorId="0DFDD543" wp14:editId="0DFDD544">
                <wp:simplePos x="0" y="0"/>
                <wp:positionH relativeFrom="page">
                  <wp:posOffset>895350</wp:posOffset>
                </wp:positionH>
                <wp:positionV relativeFrom="paragraph">
                  <wp:posOffset>293357</wp:posOffset>
                </wp:positionV>
                <wp:extent cx="5981700" cy="28575"/>
                <wp:effectExtent l="0" t="0" r="0" b="0"/>
                <wp:wrapTopAndBottom/>
                <wp:docPr id="102" name="Graphic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3"/>
                              </a:lnTo>
                              <a:lnTo>
                                <a:pt x="5981700" y="28193"/>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BF56EA" id="Graphic 102" o:spid="_x0000_s1026" style="position:absolute;margin-left:70.5pt;margin-top:23.1pt;width:471pt;height:2.25pt;z-index:-15716352;visibility:visible;mso-wrap-style:square;mso-wrap-distance-left:0;mso-wrap-distance-top:0;mso-wrap-distance-right:0;mso-wrap-distance-bottom:0;mso-position-horizontal:absolute;mso-position-horizontal-relative:page;mso-position-vertical:absolute;mso-position-vertical-relative:text;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RoIAIAAMEEAAAOAAAAZHJzL2Uyb0RvYy54bWysVMFu2zAMvQ/YPwi6L04yZE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" path="m5981700,l,,,28193r5981700,l5981700,xe" fillcolor="black" stroked="f">
                <v:path arrowok="t"/>
                <w10:wrap type="topAndBottom" anchorx="page"/>
              </v:shape>
            </w:pict>
          </mc:Fallback>
        </mc:AlternateContent>
      </w:r>
    </w:p>
    <w:p w14:paraId="0DFDAB98" w14:textId="77777777" w:rsidR="00046465" w:rsidRDefault="00046465">
      <w:pPr>
        <w:pStyle w:val="BodyText"/>
        <w:rPr>
          <w:sz w:val="20"/>
        </w:rPr>
        <w:sectPr w:rsidR="00046465">
          <w:headerReference w:type="default" r:id="rId24"/>
          <w:footerReference w:type="default" r:id="rId25"/>
          <w:pgSz w:w="12240" w:h="15840"/>
          <w:pgMar w:top="1020" w:right="720" w:bottom="280" w:left="1080" w:header="0" w:footer="0" w:gutter="0"/>
          <w:cols w:space="720"/>
        </w:sectPr>
      </w:pPr>
    </w:p>
    <w:p w14:paraId="0DFDAB99" w14:textId="77777777" w:rsidR="00046465" w:rsidRDefault="008134EB">
      <w:pPr>
        <w:pStyle w:val="Heading3"/>
        <w:rPr>
          <w:u w:val="none"/>
        </w:rPr>
      </w:pPr>
      <w:bookmarkStart w:id="3" w:name="Contents_of_Using_the_Work_of_Others"/>
      <w:bookmarkEnd w:id="3"/>
      <w:r>
        <w:lastRenderedPageBreak/>
        <w:t>Contents</w:t>
      </w:r>
      <w:r>
        <w:rPr>
          <w:spacing w:val="-4"/>
        </w:rPr>
        <w:t xml:space="preserve"> </w:t>
      </w:r>
      <w:r>
        <w:t>of</w:t>
      </w:r>
      <w:r>
        <w:rPr>
          <w:spacing w:val="-4"/>
        </w:rPr>
        <w:t xml:space="preserve"> </w:t>
      </w:r>
      <w:r>
        <w:t>Using</w:t>
      </w:r>
      <w:r>
        <w:rPr>
          <w:spacing w:val="-5"/>
        </w:rPr>
        <w:t xml:space="preserve"> </w:t>
      </w:r>
      <w:r>
        <w:t>the</w:t>
      </w:r>
      <w:r>
        <w:rPr>
          <w:spacing w:val="-4"/>
        </w:rPr>
        <w:t xml:space="preserve"> </w:t>
      </w:r>
      <w:r>
        <w:t>Work</w:t>
      </w:r>
      <w:r>
        <w:rPr>
          <w:spacing w:val="-4"/>
        </w:rPr>
        <w:t xml:space="preserve"> </w:t>
      </w:r>
      <w:r>
        <w:t>of</w:t>
      </w:r>
      <w:r>
        <w:rPr>
          <w:spacing w:val="-5"/>
        </w:rPr>
        <w:t xml:space="preserve"> </w:t>
      </w:r>
      <w:r>
        <w:rPr>
          <w:spacing w:val="-2"/>
        </w:rPr>
        <w:t>Others</w:t>
      </w:r>
    </w:p>
    <w:p w14:paraId="0DFDAB9A" w14:textId="77777777" w:rsidR="00046465" w:rsidRDefault="00046465">
      <w:pPr>
        <w:pStyle w:val="BodyText"/>
        <w:spacing w:before="18"/>
        <w:rPr>
          <w:b/>
          <w:sz w:val="20"/>
        </w:rPr>
      </w:pPr>
    </w:p>
    <w:tbl>
      <w:tblPr>
        <w:tblW w:w="0" w:type="auto"/>
        <w:tblInd w:w="677" w:type="dxa"/>
        <w:tblLayout w:type="fixed"/>
        <w:tblCellMar>
          <w:left w:w="0" w:type="dxa"/>
          <w:right w:w="0" w:type="dxa"/>
        </w:tblCellMar>
        <w:tblLook w:val="01E0" w:firstRow="1" w:lastRow="1" w:firstColumn="1" w:lastColumn="1" w:noHBand="0" w:noVBand="0"/>
      </w:tblPr>
      <w:tblGrid>
        <w:gridCol w:w="7754"/>
        <w:gridCol w:w="1030"/>
      </w:tblGrid>
      <w:tr w:rsidR="00046465" w14:paraId="0DFDAB9D" w14:textId="77777777">
        <w:trPr>
          <w:trHeight w:val="368"/>
        </w:trPr>
        <w:tc>
          <w:tcPr>
            <w:tcW w:w="7754" w:type="dxa"/>
          </w:tcPr>
          <w:p w14:paraId="0DFDAB9B" w14:textId="77777777" w:rsidR="00046465" w:rsidRDefault="00046465">
            <w:pPr>
              <w:pStyle w:val="TableParagraph"/>
              <w:rPr>
                <w:rFonts w:ascii="Times New Roman"/>
              </w:rPr>
            </w:pPr>
          </w:p>
        </w:tc>
        <w:tc>
          <w:tcPr>
            <w:tcW w:w="1030" w:type="dxa"/>
          </w:tcPr>
          <w:p w14:paraId="0DFDAB9C" w14:textId="77777777" w:rsidR="00046465" w:rsidRDefault="008134EB">
            <w:pPr>
              <w:pStyle w:val="TableParagraph"/>
              <w:spacing w:line="245" w:lineRule="exact"/>
              <w:ind w:left="362"/>
              <w:rPr>
                <w:b/>
              </w:rPr>
            </w:pPr>
            <w:r>
              <w:rPr>
                <w:b/>
                <w:spacing w:val="-5"/>
              </w:rPr>
              <w:t>FAM</w:t>
            </w:r>
          </w:p>
        </w:tc>
      </w:tr>
      <w:tr w:rsidR="00046465" w14:paraId="0DFDABA0" w14:textId="77777777">
        <w:trPr>
          <w:trHeight w:val="492"/>
        </w:trPr>
        <w:tc>
          <w:tcPr>
            <w:tcW w:w="7754" w:type="dxa"/>
          </w:tcPr>
          <w:p w14:paraId="0DFDAB9E" w14:textId="77777777" w:rsidR="00046465" w:rsidRDefault="008134EB">
            <w:pPr>
              <w:pStyle w:val="TableParagraph"/>
              <w:spacing w:before="115"/>
              <w:ind w:left="50"/>
            </w:pPr>
            <w:r>
              <w:t>Overview</w:t>
            </w:r>
            <w:r>
              <w:rPr>
                <w:spacing w:val="-6"/>
              </w:rPr>
              <w:t xml:space="preserve"> </w:t>
            </w:r>
            <w:r>
              <w:t>of</w:t>
            </w:r>
            <w:r>
              <w:rPr>
                <w:spacing w:val="-5"/>
              </w:rPr>
              <w:t xml:space="preserve"> </w:t>
            </w:r>
            <w:r>
              <w:t>Using</w:t>
            </w:r>
            <w:r>
              <w:rPr>
                <w:spacing w:val="-5"/>
              </w:rPr>
              <w:t xml:space="preserve"> </w:t>
            </w:r>
            <w:r>
              <w:t>the</w:t>
            </w:r>
            <w:r>
              <w:rPr>
                <w:spacing w:val="-5"/>
              </w:rPr>
              <w:t xml:space="preserve"> </w:t>
            </w:r>
            <w:r>
              <w:t>Work</w:t>
            </w:r>
            <w:r>
              <w:rPr>
                <w:spacing w:val="-5"/>
              </w:rPr>
              <w:t xml:space="preserve"> </w:t>
            </w:r>
            <w:r>
              <w:t>of</w:t>
            </w:r>
            <w:r>
              <w:rPr>
                <w:spacing w:val="-5"/>
              </w:rPr>
              <w:t xml:space="preserve"> </w:t>
            </w:r>
            <w:r>
              <w:rPr>
                <w:spacing w:val="-2"/>
              </w:rPr>
              <w:t>Others</w:t>
            </w:r>
          </w:p>
        </w:tc>
        <w:tc>
          <w:tcPr>
            <w:tcW w:w="1030" w:type="dxa"/>
          </w:tcPr>
          <w:p w14:paraId="0DFDAB9F" w14:textId="77777777" w:rsidR="00046465" w:rsidRDefault="008134EB">
            <w:pPr>
              <w:pStyle w:val="TableParagraph"/>
              <w:spacing w:before="115"/>
              <w:ind w:left="416"/>
            </w:pPr>
            <w:r>
              <w:rPr>
                <w:spacing w:val="-5"/>
              </w:rPr>
              <w:t>610</w:t>
            </w:r>
          </w:p>
        </w:tc>
      </w:tr>
      <w:tr w:rsidR="00046465" w14:paraId="0DFDABA3" w14:textId="77777777">
        <w:trPr>
          <w:trHeight w:val="493"/>
        </w:trPr>
        <w:tc>
          <w:tcPr>
            <w:tcW w:w="7754" w:type="dxa"/>
          </w:tcPr>
          <w:p w14:paraId="0DFDABA1" w14:textId="77777777" w:rsidR="00046465" w:rsidRDefault="008134EB">
            <w:pPr>
              <w:pStyle w:val="TableParagraph"/>
              <w:spacing w:before="116"/>
              <w:ind w:left="50"/>
            </w:pPr>
            <w:r>
              <w:t>Evaluating</w:t>
            </w:r>
            <w:r>
              <w:rPr>
                <w:spacing w:val="-8"/>
              </w:rPr>
              <w:t xml:space="preserve"> </w:t>
            </w:r>
            <w:r>
              <w:t>the</w:t>
            </w:r>
            <w:r>
              <w:rPr>
                <w:spacing w:val="-7"/>
              </w:rPr>
              <w:t xml:space="preserve"> </w:t>
            </w:r>
            <w:r>
              <w:t>Objectivity</w:t>
            </w:r>
            <w:r>
              <w:rPr>
                <w:spacing w:val="-8"/>
              </w:rPr>
              <w:t xml:space="preserve"> </w:t>
            </w:r>
            <w:r>
              <w:t>and</w:t>
            </w:r>
            <w:r>
              <w:rPr>
                <w:spacing w:val="-7"/>
              </w:rPr>
              <w:t xml:space="preserve"> </w:t>
            </w:r>
            <w:r>
              <w:t>Competence</w:t>
            </w:r>
            <w:r>
              <w:rPr>
                <w:spacing w:val="-7"/>
              </w:rPr>
              <w:t xml:space="preserve"> </w:t>
            </w:r>
            <w:r>
              <w:t>of</w:t>
            </w:r>
            <w:r>
              <w:rPr>
                <w:spacing w:val="-8"/>
              </w:rPr>
              <w:t xml:space="preserve"> </w:t>
            </w:r>
            <w:r>
              <w:t>Other</w:t>
            </w:r>
            <w:r>
              <w:rPr>
                <w:spacing w:val="-7"/>
              </w:rPr>
              <w:t xml:space="preserve"> </w:t>
            </w:r>
            <w:r>
              <w:t>Auditors</w:t>
            </w:r>
            <w:r>
              <w:rPr>
                <w:spacing w:val="-8"/>
              </w:rPr>
              <w:t xml:space="preserve"> </w:t>
            </w:r>
            <w:r>
              <w:t>or</w:t>
            </w:r>
            <w:r>
              <w:rPr>
                <w:spacing w:val="-7"/>
              </w:rPr>
              <w:t xml:space="preserve"> </w:t>
            </w:r>
            <w:r>
              <w:rPr>
                <w:spacing w:val="-2"/>
              </w:rPr>
              <w:t>Specialists</w:t>
            </w:r>
          </w:p>
        </w:tc>
        <w:tc>
          <w:tcPr>
            <w:tcW w:w="1030" w:type="dxa"/>
          </w:tcPr>
          <w:p w14:paraId="0DFDABA2" w14:textId="77777777" w:rsidR="00046465" w:rsidRDefault="008134EB">
            <w:pPr>
              <w:pStyle w:val="TableParagraph"/>
              <w:spacing w:before="116"/>
              <w:ind w:left="416"/>
            </w:pPr>
            <w:r>
              <w:rPr>
                <w:spacing w:val="-5"/>
              </w:rPr>
              <w:t>615</w:t>
            </w:r>
          </w:p>
        </w:tc>
      </w:tr>
      <w:tr w:rsidR="00046465" w14:paraId="0DFDABA6" w14:textId="77777777">
        <w:trPr>
          <w:trHeight w:val="493"/>
        </w:trPr>
        <w:tc>
          <w:tcPr>
            <w:tcW w:w="7754" w:type="dxa"/>
          </w:tcPr>
          <w:p w14:paraId="0DFDABA4" w14:textId="77777777" w:rsidR="00046465" w:rsidRDefault="008134EB">
            <w:pPr>
              <w:pStyle w:val="TableParagraph"/>
              <w:spacing w:before="116"/>
              <w:ind w:left="50"/>
            </w:pPr>
            <w:r>
              <w:t>Using</w:t>
            </w:r>
            <w:r>
              <w:rPr>
                <w:spacing w:val="-5"/>
              </w:rPr>
              <w:t xml:space="preserve"> </w:t>
            </w:r>
            <w:r>
              <w:t>the</w:t>
            </w:r>
            <w:r>
              <w:rPr>
                <w:spacing w:val="-5"/>
              </w:rPr>
              <w:t xml:space="preserve"> </w:t>
            </w:r>
            <w:r>
              <w:t>Work</w:t>
            </w:r>
            <w:r>
              <w:rPr>
                <w:spacing w:val="-5"/>
              </w:rPr>
              <w:t xml:space="preserve"> </w:t>
            </w:r>
            <w:r>
              <w:t>of</w:t>
            </w:r>
            <w:r>
              <w:rPr>
                <w:spacing w:val="-5"/>
              </w:rPr>
              <w:t xml:space="preserve"> </w:t>
            </w:r>
            <w:r>
              <w:t>an</w:t>
            </w:r>
            <w:r>
              <w:rPr>
                <w:spacing w:val="-5"/>
              </w:rPr>
              <w:t xml:space="preserve"> </w:t>
            </w:r>
            <w:r>
              <w:t>Auditor’s</w:t>
            </w:r>
            <w:r>
              <w:rPr>
                <w:spacing w:val="-5"/>
              </w:rPr>
              <w:t xml:space="preserve"> </w:t>
            </w:r>
            <w:r>
              <w:rPr>
                <w:spacing w:val="-2"/>
              </w:rPr>
              <w:t>Specialist</w:t>
            </w:r>
          </w:p>
        </w:tc>
        <w:tc>
          <w:tcPr>
            <w:tcW w:w="1030" w:type="dxa"/>
          </w:tcPr>
          <w:p w14:paraId="0DFDABA5" w14:textId="77777777" w:rsidR="00046465" w:rsidRDefault="008134EB">
            <w:pPr>
              <w:pStyle w:val="TableParagraph"/>
              <w:spacing w:before="116"/>
              <w:ind w:left="416"/>
            </w:pPr>
            <w:r>
              <w:rPr>
                <w:spacing w:val="-5"/>
              </w:rPr>
              <w:t>620</w:t>
            </w:r>
          </w:p>
        </w:tc>
      </w:tr>
      <w:tr w:rsidR="00046465" w14:paraId="0DFDABA9" w14:textId="77777777">
        <w:trPr>
          <w:trHeight w:val="493"/>
        </w:trPr>
        <w:tc>
          <w:tcPr>
            <w:tcW w:w="7754" w:type="dxa"/>
          </w:tcPr>
          <w:p w14:paraId="0DFDABA7" w14:textId="77777777" w:rsidR="00046465" w:rsidRDefault="008134EB">
            <w:pPr>
              <w:pStyle w:val="TableParagraph"/>
              <w:spacing w:before="116"/>
              <w:ind w:left="50"/>
            </w:pPr>
            <w:r>
              <w:t>Using</w:t>
            </w:r>
            <w:r>
              <w:rPr>
                <w:spacing w:val="-7"/>
              </w:rPr>
              <w:t xml:space="preserve"> </w:t>
            </w:r>
            <w:r>
              <w:t>the</w:t>
            </w:r>
            <w:r>
              <w:rPr>
                <w:spacing w:val="-7"/>
              </w:rPr>
              <w:t xml:space="preserve"> </w:t>
            </w:r>
            <w:r>
              <w:t>Work</w:t>
            </w:r>
            <w:r>
              <w:rPr>
                <w:spacing w:val="-7"/>
              </w:rPr>
              <w:t xml:space="preserve"> </w:t>
            </w:r>
            <w:r>
              <w:t>of</w:t>
            </w:r>
            <w:r>
              <w:rPr>
                <w:spacing w:val="-7"/>
              </w:rPr>
              <w:t xml:space="preserve"> </w:t>
            </w:r>
            <w:r>
              <w:t>Management’s</w:t>
            </w:r>
            <w:r>
              <w:rPr>
                <w:spacing w:val="-7"/>
              </w:rPr>
              <w:t xml:space="preserve"> </w:t>
            </w:r>
            <w:r>
              <w:rPr>
                <w:spacing w:val="-2"/>
              </w:rPr>
              <w:t>Specialists</w:t>
            </w:r>
          </w:p>
        </w:tc>
        <w:tc>
          <w:tcPr>
            <w:tcW w:w="1030" w:type="dxa"/>
          </w:tcPr>
          <w:p w14:paraId="0DFDABA8" w14:textId="77777777" w:rsidR="00046465" w:rsidRDefault="008134EB">
            <w:pPr>
              <w:pStyle w:val="TableParagraph"/>
              <w:spacing w:before="116"/>
              <w:ind w:left="416"/>
            </w:pPr>
            <w:r>
              <w:rPr>
                <w:spacing w:val="-5"/>
              </w:rPr>
              <w:t>625</w:t>
            </w:r>
          </w:p>
        </w:tc>
      </w:tr>
      <w:tr w:rsidR="00046465" w14:paraId="0DFDABAC" w14:textId="77777777">
        <w:trPr>
          <w:trHeight w:val="492"/>
        </w:trPr>
        <w:tc>
          <w:tcPr>
            <w:tcW w:w="7754" w:type="dxa"/>
          </w:tcPr>
          <w:p w14:paraId="0DFDABAA" w14:textId="77777777" w:rsidR="00046465" w:rsidRDefault="008134EB">
            <w:pPr>
              <w:pStyle w:val="TableParagraph"/>
              <w:spacing w:before="116"/>
              <w:ind w:left="50"/>
            </w:pPr>
            <w:r>
              <w:t>Audits</w:t>
            </w:r>
            <w:r>
              <w:rPr>
                <w:spacing w:val="-7"/>
              </w:rPr>
              <w:t xml:space="preserve"> </w:t>
            </w:r>
            <w:r>
              <w:t>of</w:t>
            </w:r>
            <w:r>
              <w:rPr>
                <w:spacing w:val="-6"/>
              </w:rPr>
              <w:t xml:space="preserve"> </w:t>
            </w:r>
            <w:r>
              <w:t>Group</w:t>
            </w:r>
            <w:r>
              <w:rPr>
                <w:spacing w:val="-7"/>
              </w:rPr>
              <w:t xml:space="preserve"> </w:t>
            </w:r>
            <w:r>
              <w:t>Financial</w:t>
            </w:r>
            <w:r>
              <w:rPr>
                <w:spacing w:val="-6"/>
              </w:rPr>
              <w:t xml:space="preserve"> </w:t>
            </w:r>
            <w:r>
              <w:rPr>
                <w:spacing w:val="-2"/>
              </w:rPr>
              <w:t>Statements</w:t>
            </w:r>
          </w:p>
        </w:tc>
        <w:tc>
          <w:tcPr>
            <w:tcW w:w="1030" w:type="dxa"/>
          </w:tcPr>
          <w:p w14:paraId="0DFDABAB" w14:textId="77777777" w:rsidR="00046465" w:rsidRDefault="008134EB">
            <w:pPr>
              <w:pStyle w:val="TableParagraph"/>
              <w:spacing w:before="116"/>
              <w:ind w:left="416"/>
            </w:pPr>
            <w:r>
              <w:rPr>
                <w:spacing w:val="-5"/>
              </w:rPr>
              <w:t>630</w:t>
            </w:r>
          </w:p>
        </w:tc>
      </w:tr>
      <w:tr w:rsidR="00046465" w14:paraId="0DFDABAF" w14:textId="77777777">
        <w:trPr>
          <w:trHeight w:val="492"/>
        </w:trPr>
        <w:tc>
          <w:tcPr>
            <w:tcW w:w="7754" w:type="dxa"/>
          </w:tcPr>
          <w:p w14:paraId="0DFDABAD" w14:textId="77777777" w:rsidR="00046465" w:rsidRDefault="008134EB">
            <w:pPr>
              <w:pStyle w:val="TableParagraph"/>
              <w:spacing w:before="115"/>
              <w:ind w:left="50"/>
            </w:pPr>
            <w:r>
              <w:t>Entities</w:t>
            </w:r>
            <w:r>
              <w:rPr>
                <w:spacing w:val="-7"/>
              </w:rPr>
              <w:t xml:space="preserve"> </w:t>
            </w:r>
            <w:r>
              <w:t>Using</w:t>
            </w:r>
            <w:r>
              <w:rPr>
                <w:spacing w:val="-6"/>
              </w:rPr>
              <w:t xml:space="preserve"> </w:t>
            </w:r>
            <w:r>
              <w:t>a</w:t>
            </w:r>
            <w:r>
              <w:rPr>
                <w:spacing w:val="-7"/>
              </w:rPr>
              <w:t xml:space="preserve"> </w:t>
            </w:r>
            <w:r>
              <w:t>Service</w:t>
            </w:r>
            <w:r>
              <w:rPr>
                <w:spacing w:val="-7"/>
              </w:rPr>
              <w:t xml:space="preserve"> </w:t>
            </w:r>
            <w:r>
              <w:rPr>
                <w:spacing w:val="-2"/>
              </w:rPr>
              <w:t>Organization</w:t>
            </w:r>
          </w:p>
        </w:tc>
        <w:tc>
          <w:tcPr>
            <w:tcW w:w="1030" w:type="dxa"/>
          </w:tcPr>
          <w:p w14:paraId="0DFDABAE" w14:textId="77777777" w:rsidR="00046465" w:rsidRDefault="008134EB">
            <w:pPr>
              <w:pStyle w:val="TableParagraph"/>
              <w:spacing w:before="115"/>
              <w:ind w:left="416"/>
            </w:pPr>
            <w:r>
              <w:rPr>
                <w:spacing w:val="-5"/>
              </w:rPr>
              <w:t>640</w:t>
            </w:r>
          </w:p>
        </w:tc>
      </w:tr>
      <w:tr w:rsidR="00046465" w14:paraId="0DFDABB2" w14:textId="77777777">
        <w:trPr>
          <w:trHeight w:val="493"/>
        </w:trPr>
        <w:tc>
          <w:tcPr>
            <w:tcW w:w="7754" w:type="dxa"/>
          </w:tcPr>
          <w:p w14:paraId="0DFDABB0" w14:textId="77777777" w:rsidR="00046465" w:rsidRDefault="008134EB">
            <w:pPr>
              <w:pStyle w:val="TableParagraph"/>
              <w:spacing w:before="116"/>
              <w:ind w:left="50"/>
            </w:pPr>
            <w:r>
              <w:t>Service</w:t>
            </w:r>
            <w:r>
              <w:rPr>
                <w:spacing w:val="-9"/>
              </w:rPr>
              <w:t xml:space="preserve"> </w:t>
            </w:r>
            <w:r>
              <w:t>Organization</w:t>
            </w:r>
            <w:r>
              <w:rPr>
                <w:spacing w:val="-9"/>
              </w:rPr>
              <w:t xml:space="preserve"> </w:t>
            </w:r>
            <w:r>
              <w:t>Type</w:t>
            </w:r>
            <w:r>
              <w:rPr>
                <w:spacing w:val="-8"/>
              </w:rPr>
              <w:t xml:space="preserve"> </w:t>
            </w:r>
            <w:r>
              <w:t>2</w:t>
            </w:r>
            <w:r>
              <w:rPr>
                <w:spacing w:val="-9"/>
              </w:rPr>
              <w:t xml:space="preserve"> </w:t>
            </w:r>
            <w:r>
              <w:t>Report</w:t>
            </w:r>
            <w:r>
              <w:rPr>
                <w:spacing w:val="-9"/>
              </w:rPr>
              <w:t xml:space="preserve"> </w:t>
            </w:r>
            <w:r>
              <w:t>Assessment</w:t>
            </w:r>
            <w:r>
              <w:rPr>
                <w:spacing w:val="-9"/>
              </w:rPr>
              <w:t xml:space="preserve"> </w:t>
            </w:r>
            <w:r>
              <w:rPr>
                <w:spacing w:val="-4"/>
              </w:rPr>
              <w:t>Tool</w:t>
            </w:r>
          </w:p>
        </w:tc>
        <w:tc>
          <w:tcPr>
            <w:tcW w:w="1030" w:type="dxa"/>
          </w:tcPr>
          <w:p w14:paraId="0DFDABB1" w14:textId="77777777" w:rsidR="00046465" w:rsidRDefault="008134EB">
            <w:pPr>
              <w:pStyle w:val="TableParagraph"/>
              <w:spacing w:before="116"/>
              <w:ind w:right="48"/>
              <w:jc w:val="right"/>
            </w:pPr>
            <w:r>
              <w:t>640</w:t>
            </w:r>
            <w:r>
              <w:rPr>
                <w:spacing w:val="-4"/>
              </w:rPr>
              <w:t xml:space="preserve"> </w:t>
            </w:r>
            <w:r>
              <w:rPr>
                <w:spacing w:val="-10"/>
              </w:rPr>
              <w:t>A</w:t>
            </w:r>
          </w:p>
        </w:tc>
      </w:tr>
      <w:tr w:rsidR="00046465" w14:paraId="0DFDABB5" w14:textId="77777777">
        <w:trPr>
          <w:trHeight w:val="493"/>
        </w:trPr>
        <w:tc>
          <w:tcPr>
            <w:tcW w:w="7754" w:type="dxa"/>
          </w:tcPr>
          <w:p w14:paraId="0DFDABB3" w14:textId="77777777" w:rsidR="00046465" w:rsidRDefault="008134EB">
            <w:pPr>
              <w:pStyle w:val="TableParagraph"/>
              <w:spacing w:before="116"/>
              <w:ind w:left="50"/>
            </w:pPr>
            <w:r>
              <w:t>Using</w:t>
            </w:r>
            <w:r>
              <w:rPr>
                <w:spacing w:val="-5"/>
              </w:rPr>
              <w:t xml:space="preserve"> </w:t>
            </w:r>
            <w:r>
              <w:t>the</w:t>
            </w:r>
            <w:r>
              <w:rPr>
                <w:spacing w:val="-5"/>
              </w:rPr>
              <w:t xml:space="preserve"> </w:t>
            </w:r>
            <w:r>
              <w:t>Work</w:t>
            </w:r>
            <w:r>
              <w:rPr>
                <w:spacing w:val="-5"/>
              </w:rPr>
              <w:t xml:space="preserve"> </w:t>
            </w:r>
            <w:r>
              <w:t>of</w:t>
            </w:r>
            <w:r>
              <w:rPr>
                <w:spacing w:val="-5"/>
              </w:rPr>
              <w:t xml:space="preserve"> </w:t>
            </w:r>
            <w:r>
              <w:t>an</w:t>
            </w:r>
            <w:r>
              <w:rPr>
                <w:spacing w:val="-5"/>
              </w:rPr>
              <w:t xml:space="preserve"> </w:t>
            </w:r>
            <w:r>
              <w:t>Internal</w:t>
            </w:r>
            <w:r>
              <w:rPr>
                <w:spacing w:val="-5"/>
              </w:rPr>
              <w:t xml:space="preserve"> </w:t>
            </w:r>
            <w:r>
              <w:rPr>
                <w:spacing w:val="-2"/>
              </w:rPr>
              <w:t>Auditor</w:t>
            </w:r>
          </w:p>
        </w:tc>
        <w:tc>
          <w:tcPr>
            <w:tcW w:w="1030" w:type="dxa"/>
          </w:tcPr>
          <w:p w14:paraId="0DFDABB4" w14:textId="77777777" w:rsidR="00046465" w:rsidRDefault="008134EB">
            <w:pPr>
              <w:pStyle w:val="TableParagraph"/>
              <w:spacing w:before="116"/>
              <w:ind w:left="416"/>
            </w:pPr>
            <w:r>
              <w:rPr>
                <w:spacing w:val="-5"/>
              </w:rPr>
              <w:t>645</w:t>
            </w:r>
          </w:p>
        </w:tc>
      </w:tr>
      <w:tr w:rsidR="00046465" w14:paraId="0DFDABB8" w14:textId="77777777">
        <w:trPr>
          <w:trHeight w:val="745"/>
        </w:trPr>
        <w:tc>
          <w:tcPr>
            <w:tcW w:w="7754" w:type="dxa"/>
          </w:tcPr>
          <w:p w14:paraId="0DFDABB6" w14:textId="77777777" w:rsidR="00046465" w:rsidRDefault="008134EB">
            <w:pPr>
              <w:pStyle w:val="TableParagraph"/>
              <w:spacing w:before="116"/>
              <w:ind w:left="50" w:right="342"/>
            </w:pPr>
            <w:r>
              <w:t>IG</w:t>
            </w:r>
            <w:r>
              <w:rPr>
                <w:spacing w:val="-6"/>
              </w:rPr>
              <w:t xml:space="preserve"> </w:t>
            </w:r>
            <w:r>
              <w:t>Oversight</w:t>
            </w:r>
            <w:r>
              <w:rPr>
                <w:spacing w:val="-5"/>
              </w:rPr>
              <w:t xml:space="preserve"> </w:t>
            </w:r>
            <w:r>
              <w:t>of</w:t>
            </w:r>
            <w:r>
              <w:rPr>
                <w:spacing w:val="-5"/>
              </w:rPr>
              <w:t xml:space="preserve"> </w:t>
            </w:r>
            <w:r>
              <w:t>Financial</w:t>
            </w:r>
            <w:r>
              <w:rPr>
                <w:spacing w:val="-5"/>
              </w:rPr>
              <w:t xml:space="preserve"> </w:t>
            </w:r>
            <w:r>
              <w:t>Statement</w:t>
            </w:r>
            <w:r>
              <w:rPr>
                <w:spacing w:val="-5"/>
              </w:rPr>
              <w:t xml:space="preserve"> </w:t>
            </w:r>
            <w:r>
              <w:t>Audits</w:t>
            </w:r>
            <w:r>
              <w:rPr>
                <w:spacing w:val="-5"/>
              </w:rPr>
              <w:t xml:space="preserve"> </w:t>
            </w:r>
            <w:r>
              <w:t>Performed</w:t>
            </w:r>
            <w:r>
              <w:rPr>
                <w:spacing w:val="-5"/>
              </w:rPr>
              <w:t xml:space="preserve"> </w:t>
            </w:r>
            <w:r>
              <w:t>by</w:t>
            </w:r>
            <w:r>
              <w:rPr>
                <w:spacing w:val="-5"/>
              </w:rPr>
              <w:t xml:space="preserve"> </w:t>
            </w:r>
            <w:r>
              <w:t>Independent Public Accounting (IPA) Firms</w:t>
            </w:r>
          </w:p>
        </w:tc>
        <w:tc>
          <w:tcPr>
            <w:tcW w:w="1030" w:type="dxa"/>
          </w:tcPr>
          <w:p w14:paraId="0DFDABB7" w14:textId="77777777" w:rsidR="00046465" w:rsidRDefault="008134EB">
            <w:pPr>
              <w:pStyle w:val="TableParagraph"/>
              <w:spacing w:before="116"/>
              <w:ind w:left="416"/>
            </w:pPr>
            <w:r>
              <w:rPr>
                <w:spacing w:val="-5"/>
              </w:rPr>
              <w:t>670</w:t>
            </w:r>
          </w:p>
        </w:tc>
      </w:tr>
      <w:tr w:rsidR="00046465" w14:paraId="0DFDABBB" w14:textId="77777777">
        <w:trPr>
          <w:trHeight w:val="745"/>
        </w:trPr>
        <w:tc>
          <w:tcPr>
            <w:tcW w:w="7754" w:type="dxa"/>
          </w:tcPr>
          <w:p w14:paraId="0DFDABB9" w14:textId="77777777" w:rsidR="00046465" w:rsidRDefault="008134EB">
            <w:pPr>
              <w:pStyle w:val="TableParagraph"/>
              <w:spacing w:before="115"/>
              <w:ind w:left="50"/>
            </w:pPr>
            <w:r>
              <w:t>Summary</w:t>
            </w:r>
            <w:r>
              <w:rPr>
                <w:spacing w:val="-5"/>
              </w:rPr>
              <w:t xml:space="preserve"> </w:t>
            </w:r>
            <w:r>
              <w:t>of</w:t>
            </w:r>
            <w:r>
              <w:rPr>
                <w:spacing w:val="-5"/>
              </w:rPr>
              <w:t xml:space="preserve"> </w:t>
            </w:r>
            <w:r>
              <w:t>Procedures</w:t>
            </w:r>
            <w:r>
              <w:rPr>
                <w:spacing w:val="-6"/>
              </w:rPr>
              <w:t xml:space="preserve"> </w:t>
            </w:r>
            <w:r>
              <w:t>and</w:t>
            </w:r>
            <w:r>
              <w:rPr>
                <w:spacing w:val="-5"/>
              </w:rPr>
              <w:t xml:space="preserve"> </w:t>
            </w:r>
            <w:r>
              <w:t>Documentation</w:t>
            </w:r>
            <w:r>
              <w:rPr>
                <w:spacing w:val="-5"/>
              </w:rPr>
              <w:t xml:space="preserve"> </w:t>
            </w:r>
            <w:r>
              <w:t>for</w:t>
            </w:r>
            <w:r>
              <w:rPr>
                <w:spacing w:val="-5"/>
              </w:rPr>
              <w:t xml:space="preserve"> </w:t>
            </w:r>
            <w:r>
              <w:t>IG</w:t>
            </w:r>
            <w:r>
              <w:rPr>
                <w:spacing w:val="-5"/>
              </w:rPr>
              <w:t xml:space="preserve"> </w:t>
            </w:r>
            <w:r>
              <w:t>Oversight</w:t>
            </w:r>
            <w:r>
              <w:rPr>
                <w:spacing w:val="-5"/>
              </w:rPr>
              <w:t xml:space="preserve"> </w:t>
            </w:r>
            <w:r>
              <w:t>of</w:t>
            </w:r>
            <w:r>
              <w:rPr>
                <w:spacing w:val="-5"/>
              </w:rPr>
              <w:t xml:space="preserve"> </w:t>
            </w:r>
            <w:r>
              <w:t>Financial Statement Audits Performed by IPA Firms</w:t>
            </w:r>
          </w:p>
        </w:tc>
        <w:tc>
          <w:tcPr>
            <w:tcW w:w="1030" w:type="dxa"/>
          </w:tcPr>
          <w:p w14:paraId="0DFDABBA" w14:textId="77777777" w:rsidR="00046465" w:rsidRDefault="008134EB">
            <w:pPr>
              <w:pStyle w:val="TableParagraph"/>
              <w:spacing w:before="117"/>
              <w:ind w:right="48"/>
              <w:jc w:val="right"/>
            </w:pPr>
            <w:r>
              <w:t>670</w:t>
            </w:r>
            <w:r>
              <w:rPr>
                <w:spacing w:val="-4"/>
              </w:rPr>
              <w:t xml:space="preserve"> </w:t>
            </w:r>
            <w:r>
              <w:rPr>
                <w:spacing w:val="-10"/>
              </w:rPr>
              <w:t>A</w:t>
            </w:r>
          </w:p>
        </w:tc>
      </w:tr>
      <w:tr w:rsidR="00046465" w14:paraId="0DFDABBE" w14:textId="77777777">
        <w:trPr>
          <w:trHeight w:val="622"/>
        </w:trPr>
        <w:tc>
          <w:tcPr>
            <w:tcW w:w="7754" w:type="dxa"/>
          </w:tcPr>
          <w:p w14:paraId="0DFDABBC" w14:textId="77777777" w:rsidR="00046465" w:rsidRDefault="008134EB">
            <w:pPr>
              <w:pStyle w:val="TableParagraph"/>
              <w:spacing w:before="96" w:line="250" w:lineRule="atLeast"/>
              <w:ind w:left="50"/>
            </w:pPr>
            <w:r>
              <w:t>Example</w:t>
            </w:r>
            <w:r>
              <w:rPr>
                <w:spacing w:val="-5"/>
              </w:rPr>
              <w:t xml:space="preserve"> </w:t>
            </w:r>
            <w:r>
              <w:t>Transmittal</w:t>
            </w:r>
            <w:r>
              <w:rPr>
                <w:spacing w:val="-5"/>
              </w:rPr>
              <w:t xml:space="preserve"> </w:t>
            </w:r>
            <w:r>
              <w:t>Letter</w:t>
            </w:r>
            <w:r>
              <w:rPr>
                <w:spacing w:val="-5"/>
              </w:rPr>
              <w:t xml:space="preserve"> </w:t>
            </w:r>
            <w:r>
              <w:t>for</w:t>
            </w:r>
            <w:r>
              <w:rPr>
                <w:spacing w:val="-5"/>
              </w:rPr>
              <w:t xml:space="preserve"> </w:t>
            </w:r>
            <w:r>
              <w:t>IG</w:t>
            </w:r>
            <w:r>
              <w:rPr>
                <w:spacing w:val="-6"/>
              </w:rPr>
              <w:t xml:space="preserve"> </w:t>
            </w:r>
            <w:r>
              <w:t>Oversight</w:t>
            </w:r>
            <w:r>
              <w:rPr>
                <w:spacing w:val="-5"/>
              </w:rPr>
              <w:t xml:space="preserve"> </w:t>
            </w:r>
            <w:r>
              <w:t>of</w:t>
            </w:r>
            <w:r>
              <w:rPr>
                <w:spacing w:val="-5"/>
              </w:rPr>
              <w:t xml:space="preserve"> </w:t>
            </w:r>
            <w:r>
              <w:t>Financial</w:t>
            </w:r>
            <w:r>
              <w:rPr>
                <w:spacing w:val="-5"/>
              </w:rPr>
              <w:t xml:space="preserve"> </w:t>
            </w:r>
            <w:r>
              <w:t>Statement</w:t>
            </w:r>
            <w:r>
              <w:rPr>
                <w:spacing w:val="-5"/>
              </w:rPr>
              <w:t xml:space="preserve"> </w:t>
            </w:r>
            <w:r>
              <w:t>Audits Performed by IPA Firms</w:t>
            </w:r>
          </w:p>
        </w:tc>
        <w:tc>
          <w:tcPr>
            <w:tcW w:w="1030" w:type="dxa"/>
          </w:tcPr>
          <w:p w14:paraId="0DFDABBD" w14:textId="77777777" w:rsidR="00046465" w:rsidRDefault="008134EB">
            <w:pPr>
              <w:pStyle w:val="TableParagraph"/>
              <w:spacing w:before="116"/>
              <w:ind w:right="48"/>
              <w:jc w:val="right"/>
            </w:pPr>
            <w:r>
              <w:t>670</w:t>
            </w:r>
            <w:r>
              <w:rPr>
                <w:spacing w:val="-4"/>
              </w:rPr>
              <w:t xml:space="preserve"> </w:t>
            </w:r>
            <w:r>
              <w:rPr>
                <w:spacing w:val="-10"/>
              </w:rPr>
              <w:t>B</w:t>
            </w:r>
          </w:p>
        </w:tc>
      </w:tr>
    </w:tbl>
    <w:p w14:paraId="0DFDABBF" w14:textId="77777777" w:rsidR="00046465" w:rsidRDefault="00046465">
      <w:pPr>
        <w:pStyle w:val="TableParagraph"/>
        <w:jc w:val="right"/>
        <w:sectPr w:rsidR="00046465">
          <w:headerReference w:type="default" r:id="rId26"/>
          <w:footerReference w:type="default" r:id="rId27"/>
          <w:pgSz w:w="12240" w:h="15840"/>
          <w:pgMar w:top="1340" w:right="720" w:bottom="940" w:left="1080" w:header="721" w:footer="757" w:gutter="0"/>
          <w:cols w:space="720"/>
        </w:sectPr>
      </w:pPr>
    </w:p>
    <w:p w14:paraId="0DFDABC0" w14:textId="77777777" w:rsidR="00046465" w:rsidRDefault="008134EB" w:rsidP="00335083">
      <w:pPr>
        <w:pStyle w:val="Heading3"/>
      </w:pPr>
      <w:bookmarkStart w:id="4" w:name="610_–_Overview_of_Using_the_Work_of_Othe"/>
      <w:bookmarkStart w:id="5" w:name="_bookmark1"/>
      <w:bookmarkEnd w:id="4"/>
      <w:bookmarkEnd w:id="5"/>
      <w:r>
        <w:lastRenderedPageBreak/>
        <w:t>610</w:t>
      </w:r>
      <w:r>
        <w:rPr>
          <w:spacing w:val="-6"/>
        </w:rPr>
        <w:t xml:space="preserve"> </w:t>
      </w:r>
      <w:r>
        <w:t>–</w:t>
      </w:r>
      <w:r>
        <w:rPr>
          <w:spacing w:val="-3"/>
        </w:rPr>
        <w:t xml:space="preserve"> </w:t>
      </w:r>
      <w:r>
        <w:t>Overview</w:t>
      </w:r>
      <w:r>
        <w:rPr>
          <w:spacing w:val="-4"/>
        </w:rPr>
        <w:t xml:space="preserve"> </w:t>
      </w:r>
      <w:r>
        <w:t>of</w:t>
      </w:r>
      <w:r>
        <w:rPr>
          <w:spacing w:val="-3"/>
        </w:rPr>
        <w:t xml:space="preserve"> </w:t>
      </w:r>
      <w:r>
        <w:t>Using</w:t>
      </w:r>
      <w:r>
        <w:rPr>
          <w:spacing w:val="-3"/>
        </w:rPr>
        <w:t xml:space="preserve"> </w:t>
      </w:r>
      <w:r>
        <w:t>the</w:t>
      </w:r>
      <w:r>
        <w:rPr>
          <w:spacing w:val="-3"/>
        </w:rPr>
        <w:t xml:space="preserve"> </w:t>
      </w:r>
      <w:r>
        <w:t>Work</w:t>
      </w:r>
      <w:r>
        <w:rPr>
          <w:spacing w:val="-3"/>
        </w:rPr>
        <w:t xml:space="preserve"> </w:t>
      </w:r>
      <w:r>
        <w:t>of</w:t>
      </w:r>
      <w:r>
        <w:rPr>
          <w:spacing w:val="-4"/>
        </w:rPr>
        <w:t xml:space="preserve"> </w:t>
      </w:r>
      <w:r>
        <w:rPr>
          <w:spacing w:val="-2"/>
        </w:rPr>
        <w:t>Others</w:t>
      </w:r>
    </w:p>
    <w:p w14:paraId="0DFDABC1" w14:textId="77777777" w:rsidR="00046465" w:rsidRDefault="008134EB">
      <w:pPr>
        <w:pStyle w:val="ListParagraph"/>
        <w:numPr>
          <w:ilvl w:val="0"/>
          <w:numId w:val="21"/>
        </w:numPr>
        <w:tabs>
          <w:tab w:val="left" w:pos="1800"/>
        </w:tabs>
        <w:spacing w:before="239"/>
        <w:ind w:right="751"/>
      </w:pPr>
      <w:r>
        <w:t>In</w:t>
      </w:r>
      <w:r>
        <w:rPr>
          <w:spacing w:val="-3"/>
        </w:rPr>
        <w:t xml:space="preserve"> </w:t>
      </w:r>
      <w:r>
        <w:t>many</w:t>
      </w:r>
      <w:r>
        <w:rPr>
          <w:spacing w:val="-3"/>
        </w:rPr>
        <w:t xml:space="preserve"> </w:t>
      </w:r>
      <w:r>
        <w:t>financial</w:t>
      </w:r>
      <w:r>
        <w:rPr>
          <w:spacing w:val="-3"/>
        </w:rPr>
        <w:t xml:space="preserve"> </w:t>
      </w:r>
      <w:r>
        <w:t>statement</w:t>
      </w:r>
      <w:r>
        <w:rPr>
          <w:spacing w:val="-3"/>
        </w:rPr>
        <w:t xml:space="preserve"> </w:t>
      </w:r>
      <w:r>
        <w:t>audits,</w:t>
      </w:r>
      <w:r>
        <w:rPr>
          <w:spacing w:val="-3"/>
        </w:rPr>
        <w:t xml:space="preserve"> </w:t>
      </w:r>
      <w:r>
        <w:t>the</w:t>
      </w:r>
      <w:r>
        <w:rPr>
          <w:spacing w:val="-3"/>
        </w:rPr>
        <w:t xml:space="preserve"> </w:t>
      </w:r>
      <w:r>
        <w:t>auditor</w:t>
      </w:r>
      <w:r>
        <w:rPr>
          <w:spacing w:val="-3"/>
        </w:rPr>
        <w:t xml:space="preserve"> </w:t>
      </w:r>
      <w:r>
        <w:t>uses</w:t>
      </w:r>
      <w:r>
        <w:rPr>
          <w:spacing w:val="-3"/>
        </w:rPr>
        <w:t xml:space="preserve"> </w:t>
      </w:r>
      <w:r>
        <w:t>the</w:t>
      </w:r>
      <w:r>
        <w:rPr>
          <w:spacing w:val="-3"/>
        </w:rPr>
        <w:t xml:space="preserve"> </w:t>
      </w:r>
      <w:r>
        <w:t>work</w:t>
      </w:r>
      <w:r>
        <w:rPr>
          <w:spacing w:val="-3"/>
        </w:rPr>
        <w:t xml:space="preserve"> </w:t>
      </w:r>
      <w:r>
        <w:t>and</w:t>
      </w:r>
      <w:r>
        <w:rPr>
          <w:spacing w:val="-3"/>
        </w:rPr>
        <w:t xml:space="preserve"> </w:t>
      </w:r>
      <w:r>
        <w:t>reports</w:t>
      </w:r>
      <w:r>
        <w:rPr>
          <w:spacing w:val="-3"/>
        </w:rPr>
        <w:t xml:space="preserve"> </w:t>
      </w:r>
      <w:r>
        <w:t>of</w:t>
      </w:r>
      <w:r>
        <w:rPr>
          <w:spacing w:val="-3"/>
        </w:rPr>
        <w:t xml:space="preserve"> </w:t>
      </w:r>
      <w:r>
        <w:t>other auditors and specialists. Other auditors may include independent public accounting (IPA) firms, inspectors general (IG), state auditors, and internal auditors. Specialists may include statisticians, actuaries, economists, and information technology (IT) professionals.</w:t>
      </w:r>
    </w:p>
    <w:p w14:paraId="0DFDABC2" w14:textId="77777777" w:rsidR="00046465" w:rsidRDefault="008134EB">
      <w:pPr>
        <w:pStyle w:val="ListParagraph"/>
        <w:numPr>
          <w:ilvl w:val="0"/>
          <w:numId w:val="21"/>
        </w:numPr>
        <w:tabs>
          <w:tab w:val="left" w:pos="1800"/>
        </w:tabs>
        <w:ind w:right="921"/>
      </w:pPr>
      <w:r>
        <w:t>U.S. Government Accountability Office (GAO) and Council of the Inspectors General</w:t>
      </w:r>
      <w:r>
        <w:rPr>
          <w:spacing w:val="-4"/>
        </w:rPr>
        <w:t xml:space="preserve"> </w:t>
      </w:r>
      <w:r>
        <w:t>on</w:t>
      </w:r>
      <w:r>
        <w:rPr>
          <w:spacing w:val="-4"/>
        </w:rPr>
        <w:t xml:space="preserve"> </w:t>
      </w:r>
      <w:r>
        <w:t>Integrity</w:t>
      </w:r>
      <w:r>
        <w:rPr>
          <w:spacing w:val="-4"/>
        </w:rPr>
        <w:t xml:space="preserve"> </w:t>
      </w:r>
      <w:r>
        <w:t>and</w:t>
      </w:r>
      <w:r>
        <w:rPr>
          <w:spacing w:val="-5"/>
        </w:rPr>
        <w:t xml:space="preserve"> </w:t>
      </w:r>
      <w:r>
        <w:t>Efficiency’s</w:t>
      </w:r>
      <w:r>
        <w:rPr>
          <w:spacing w:val="-5"/>
        </w:rPr>
        <w:t xml:space="preserve"> </w:t>
      </w:r>
      <w:r>
        <w:t>(CIGIE)</w:t>
      </w:r>
      <w:r>
        <w:rPr>
          <w:spacing w:val="-4"/>
        </w:rPr>
        <w:t xml:space="preserve"> </w:t>
      </w:r>
      <w:r>
        <w:rPr>
          <w:i/>
        </w:rPr>
        <w:t>Financial</w:t>
      </w:r>
      <w:r>
        <w:rPr>
          <w:i/>
          <w:spacing w:val="-4"/>
        </w:rPr>
        <w:t xml:space="preserve"> </w:t>
      </w:r>
      <w:r>
        <w:rPr>
          <w:i/>
        </w:rPr>
        <w:t>Audit</w:t>
      </w:r>
      <w:r>
        <w:rPr>
          <w:i/>
          <w:spacing w:val="-5"/>
        </w:rPr>
        <w:t xml:space="preserve"> </w:t>
      </w:r>
      <w:r>
        <w:rPr>
          <w:i/>
        </w:rPr>
        <w:t>Manual</w:t>
      </w:r>
      <w:r>
        <w:rPr>
          <w:i/>
          <w:spacing w:val="-3"/>
        </w:rPr>
        <w:t xml:space="preserve"> </w:t>
      </w:r>
      <w:r>
        <w:t>(FAM)</w:t>
      </w:r>
      <w:r>
        <w:rPr>
          <w:spacing w:val="-4"/>
        </w:rPr>
        <w:t xml:space="preserve"> </w:t>
      </w:r>
      <w:r>
        <w:t>600 provides guidance to auditors of federal entities on designing and performing oversight and other procedures when using the work of others as follows:</w:t>
      </w:r>
    </w:p>
    <w:p w14:paraId="0DFDABC3" w14:textId="77777777" w:rsidR="00046465" w:rsidRDefault="008134EB">
      <w:pPr>
        <w:pStyle w:val="ListParagraph"/>
        <w:numPr>
          <w:ilvl w:val="1"/>
          <w:numId w:val="21"/>
        </w:numPr>
        <w:tabs>
          <w:tab w:val="left" w:pos="2159"/>
          <w:tab w:val="left" w:pos="2161"/>
        </w:tabs>
        <w:spacing w:before="121"/>
        <w:ind w:right="1208" w:hanging="361"/>
      </w:pPr>
      <w:r>
        <w:t>evaluating</w:t>
      </w:r>
      <w:r>
        <w:rPr>
          <w:spacing w:val="-5"/>
        </w:rPr>
        <w:t xml:space="preserve"> </w:t>
      </w:r>
      <w:r>
        <w:t>the</w:t>
      </w:r>
      <w:r>
        <w:rPr>
          <w:spacing w:val="-5"/>
        </w:rPr>
        <w:t xml:space="preserve"> </w:t>
      </w:r>
      <w:r>
        <w:t>objectivity</w:t>
      </w:r>
      <w:r>
        <w:rPr>
          <w:spacing w:val="-4"/>
        </w:rPr>
        <w:t xml:space="preserve"> </w:t>
      </w:r>
      <w:r>
        <w:t>and</w:t>
      </w:r>
      <w:r>
        <w:rPr>
          <w:spacing w:val="-5"/>
        </w:rPr>
        <w:t xml:space="preserve"> </w:t>
      </w:r>
      <w:r>
        <w:t>competence</w:t>
      </w:r>
      <w:r>
        <w:rPr>
          <w:spacing w:val="-5"/>
        </w:rPr>
        <w:t xml:space="preserve"> </w:t>
      </w:r>
      <w:r>
        <w:t>of</w:t>
      </w:r>
      <w:r>
        <w:rPr>
          <w:spacing w:val="-5"/>
        </w:rPr>
        <w:t xml:space="preserve"> </w:t>
      </w:r>
      <w:r>
        <w:t>other</w:t>
      </w:r>
      <w:r>
        <w:rPr>
          <w:spacing w:val="-5"/>
        </w:rPr>
        <w:t xml:space="preserve"> </w:t>
      </w:r>
      <w:r>
        <w:t>auditors</w:t>
      </w:r>
      <w:r>
        <w:rPr>
          <w:spacing w:val="-5"/>
        </w:rPr>
        <w:t xml:space="preserve"> </w:t>
      </w:r>
      <w:r>
        <w:t>or</w:t>
      </w:r>
      <w:r>
        <w:rPr>
          <w:spacing w:val="-5"/>
        </w:rPr>
        <w:t xml:space="preserve"> </w:t>
      </w:r>
      <w:r>
        <w:t>specialists (FAM 615),</w:t>
      </w:r>
    </w:p>
    <w:p w14:paraId="0DFDABC4" w14:textId="77777777" w:rsidR="00046465" w:rsidRDefault="008134EB">
      <w:pPr>
        <w:pStyle w:val="ListParagraph"/>
        <w:numPr>
          <w:ilvl w:val="1"/>
          <w:numId w:val="21"/>
        </w:numPr>
        <w:tabs>
          <w:tab w:val="left" w:pos="2160"/>
        </w:tabs>
        <w:ind w:left="2160" w:hanging="359"/>
      </w:pPr>
      <w:r>
        <w:t>using</w:t>
      </w:r>
      <w:r>
        <w:rPr>
          <w:spacing w:val="-6"/>
        </w:rPr>
        <w:t xml:space="preserve"> </w:t>
      </w:r>
      <w:r>
        <w:t>the</w:t>
      </w:r>
      <w:r>
        <w:rPr>
          <w:spacing w:val="-6"/>
        </w:rPr>
        <w:t xml:space="preserve"> </w:t>
      </w:r>
      <w:r>
        <w:t>work</w:t>
      </w:r>
      <w:r>
        <w:rPr>
          <w:spacing w:val="-6"/>
        </w:rPr>
        <w:t xml:space="preserve"> </w:t>
      </w:r>
      <w:r>
        <w:t>of</w:t>
      </w:r>
      <w:r>
        <w:rPr>
          <w:spacing w:val="-6"/>
        </w:rPr>
        <w:t xml:space="preserve"> </w:t>
      </w:r>
      <w:r>
        <w:t>an</w:t>
      </w:r>
      <w:r>
        <w:rPr>
          <w:spacing w:val="-5"/>
        </w:rPr>
        <w:t xml:space="preserve"> </w:t>
      </w:r>
      <w:r>
        <w:t>auditor’s</w:t>
      </w:r>
      <w:r>
        <w:rPr>
          <w:spacing w:val="-6"/>
        </w:rPr>
        <w:t xml:space="preserve"> </w:t>
      </w:r>
      <w:r>
        <w:t>specialist</w:t>
      </w:r>
      <w:r>
        <w:rPr>
          <w:spacing w:val="-6"/>
        </w:rPr>
        <w:t xml:space="preserve"> </w:t>
      </w:r>
      <w:r>
        <w:t>(FAM</w:t>
      </w:r>
      <w:r>
        <w:rPr>
          <w:spacing w:val="-6"/>
        </w:rPr>
        <w:t xml:space="preserve"> </w:t>
      </w:r>
      <w:r>
        <w:rPr>
          <w:spacing w:val="-4"/>
        </w:rPr>
        <w:t>620),</w:t>
      </w:r>
    </w:p>
    <w:p w14:paraId="0DFDABC5" w14:textId="77777777" w:rsidR="00046465" w:rsidRDefault="008134EB">
      <w:pPr>
        <w:pStyle w:val="ListParagraph"/>
        <w:numPr>
          <w:ilvl w:val="1"/>
          <w:numId w:val="21"/>
        </w:numPr>
        <w:tabs>
          <w:tab w:val="left" w:pos="2159"/>
        </w:tabs>
        <w:spacing w:before="119"/>
        <w:ind w:left="2159" w:hanging="359"/>
      </w:pPr>
      <w:r>
        <w:t>using</w:t>
      </w:r>
      <w:r>
        <w:rPr>
          <w:spacing w:val="-8"/>
        </w:rPr>
        <w:t xml:space="preserve"> </w:t>
      </w:r>
      <w:r>
        <w:t>the</w:t>
      </w:r>
      <w:r>
        <w:rPr>
          <w:spacing w:val="-8"/>
        </w:rPr>
        <w:t xml:space="preserve"> </w:t>
      </w:r>
      <w:r>
        <w:t>work</w:t>
      </w:r>
      <w:r>
        <w:rPr>
          <w:spacing w:val="-7"/>
        </w:rPr>
        <w:t xml:space="preserve"> </w:t>
      </w:r>
      <w:r>
        <w:t>of</w:t>
      </w:r>
      <w:r>
        <w:rPr>
          <w:spacing w:val="-8"/>
        </w:rPr>
        <w:t xml:space="preserve"> </w:t>
      </w:r>
      <w:r>
        <w:t>management’s</w:t>
      </w:r>
      <w:r>
        <w:rPr>
          <w:spacing w:val="-7"/>
        </w:rPr>
        <w:t xml:space="preserve"> </w:t>
      </w:r>
      <w:r>
        <w:t>specialists</w:t>
      </w:r>
      <w:r>
        <w:rPr>
          <w:spacing w:val="-7"/>
        </w:rPr>
        <w:t xml:space="preserve"> </w:t>
      </w:r>
      <w:r>
        <w:t>(FAM</w:t>
      </w:r>
      <w:r>
        <w:rPr>
          <w:spacing w:val="-8"/>
        </w:rPr>
        <w:t xml:space="preserve"> </w:t>
      </w:r>
      <w:r>
        <w:rPr>
          <w:spacing w:val="-2"/>
        </w:rPr>
        <w:t>625),</w:t>
      </w:r>
    </w:p>
    <w:p w14:paraId="0DFDABC6" w14:textId="77777777" w:rsidR="00046465" w:rsidRDefault="008134EB">
      <w:pPr>
        <w:pStyle w:val="ListParagraph"/>
        <w:numPr>
          <w:ilvl w:val="1"/>
          <w:numId w:val="21"/>
        </w:numPr>
        <w:tabs>
          <w:tab w:val="left" w:pos="2158"/>
          <w:tab w:val="left" w:pos="2160"/>
        </w:tabs>
        <w:ind w:left="2160" w:right="1515" w:hanging="361"/>
      </w:pPr>
      <w:r>
        <w:t>audits</w:t>
      </w:r>
      <w:r>
        <w:rPr>
          <w:spacing w:val="-3"/>
        </w:rPr>
        <w:t xml:space="preserve"> </w:t>
      </w:r>
      <w:r>
        <w:t>of</w:t>
      </w:r>
      <w:r>
        <w:rPr>
          <w:spacing w:val="-4"/>
        </w:rPr>
        <w:t xml:space="preserve"> </w:t>
      </w:r>
      <w:r>
        <w:t>group</w:t>
      </w:r>
      <w:r>
        <w:rPr>
          <w:spacing w:val="-4"/>
        </w:rPr>
        <w:t xml:space="preserve"> </w:t>
      </w:r>
      <w:r>
        <w:t>financial</w:t>
      </w:r>
      <w:r>
        <w:rPr>
          <w:spacing w:val="-5"/>
        </w:rPr>
        <w:t xml:space="preserve"> </w:t>
      </w:r>
      <w:r>
        <w:t>statements</w:t>
      </w:r>
      <w:r>
        <w:rPr>
          <w:spacing w:val="-4"/>
        </w:rPr>
        <w:t xml:space="preserve"> </w:t>
      </w:r>
      <w:r>
        <w:t>and</w:t>
      </w:r>
      <w:r>
        <w:rPr>
          <w:spacing w:val="-4"/>
        </w:rPr>
        <w:t xml:space="preserve"> </w:t>
      </w:r>
      <w:r>
        <w:t>using</w:t>
      </w:r>
      <w:r>
        <w:rPr>
          <w:spacing w:val="-4"/>
        </w:rPr>
        <w:t xml:space="preserve"> </w:t>
      </w:r>
      <w:r>
        <w:t>the</w:t>
      </w:r>
      <w:r>
        <w:rPr>
          <w:spacing w:val="-4"/>
        </w:rPr>
        <w:t xml:space="preserve"> </w:t>
      </w:r>
      <w:r>
        <w:t>work</w:t>
      </w:r>
      <w:r>
        <w:rPr>
          <w:spacing w:val="-4"/>
        </w:rPr>
        <w:t xml:space="preserve"> </w:t>
      </w:r>
      <w:r>
        <w:t>of</w:t>
      </w:r>
      <w:r>
        <w:rPr>
          <w:spacing w:val="-4"/>
        </w:rPr>
        <w:t xml:space="preserve"> </w:t>
      </w:r>
      <w:r>
        <w:t>component auditors (FAM 630),</w:t>
      </w:r>
    </w:p>
    <w:p w14:paraId="0DFDABC7" w14:textId="77777777" w:rsidR="00046465" w:rsidRDefault="008134EB">
      <w:pPr>
        <w:pStyle w:val="ListParagraph"/>
        <w:numPr>
          <w:ilvl w:val="1"/>
          <w:numId w:val="21"/>
        </w:numPr>
        <w:tabs>
          <w:tab w:val="left" w:pos="2159"/>
        </w:tabs>
        <w:spacing w:before="121"/>
        <w:ind w:left="2159" w:hanging="359"/>
      </w:pPr>
      <w:r>
        <w:t>entities</w:t>
      </w:r>
      <w:r>
        <w:rPr>
          <w:spacing w:val="-7"/>
        </w:rPr>
        <w:t xml:space="preserve"> </w:t>
      </w:r>
      <w:r>
        <w:t>using</w:t>
      </w:r>
      <w:r>
        <w:rPr>
          <w:spacing w:val="-6"/>
        </w:rPr>
        <w:t xml:space="preserve"> </w:t>
      </w:r>
      <w:r>
        <w:t>the</w:t>
      </w:r>
      <w:r>
        <w:rPr>
          <w:spacing w:val="-6"/>
        </w:rPr>
        <w:t xml:space="preserve"> </w:t>
      </w:r>
      <w:r>
        <w:t>work</w:t>
      </w:r>
      <w:r>
        <w:rPr>
          <w:spacing w:val="-6"/>
        </w:rPr>
        <w:t xml:space="preserve"> </w:t>
      </w:r>
      <w:r>
        <w:t>of</w:t>
      </w:r>
      <w:r>
        <w:rPr>
          <w:spacing w:val="-6"/>
        </w:rPr>
        <w:t xml:space="preserve"> </w:t>
      </w:r>
      <w:r>
        <w:t>a</w:t>
      </w:r>
      <w:r>
        <w:rPr>
          <w:spacing w:val="-6"/>
        </w:rPr>
        <w:t xml:space="preserve"> </w:t>
      </w:r>
      <w:r>
        <w:t>service</w:t>
      </w:r>
      <w:r>
        <w:rPr>
          <w:spacing w:val="-6"/>
        </w:rPr>
        <w:t xml:space="preserve"> </w:t>
      </w:r>
      <w:r>
        <w:t>organization</w:t>
      </w:r>
      <w:r>
        <w:rPr>
          <w:spacing w:val="-6"/>
        </w:rPr>
        <w:t xml:space="preserve"> </w:t>
      </w:r>
      <w:r>
        <w:t>(FAM</w:t>
      </w:r>
      <w:r>
        <w:rPr>
          <w:spacing w:val="-7"/>
        </w:rPr>
        <w:t xml:space="preserve"> </w:t>
      </w:r>
      <w:r>
        <w:t>640),</w:t>
      </w:r>
      <w:r>
        <w:rPr>
          <w:spacing w:val="-6"/>
        </w:rPr>
        <w:t xml:space="preserve"> </w:t>
      </w:r>
      <w:r>
        <w:rPr>
          <w:spacing w:val="-5"/>
        </w:rPr>
        <w:t>and</w:t>
      </w:r>
    </w:p>
    <w:p w14:paraId="0DFDABC8" w14:textId="77777777" w:rsidR="00046465" w:rsidRDefault="008134EB">
      <w:pPr>
        <w:pStyle w:val="ListParagraph"/>
        <w:numPr>
          <w:ilvl w:val="1"/>
          <w:numId w:val="21"/>
        </w:numPr>
        <w:tabs>
          <w:tab w:val="left" w:pos="2160"/>
        </w:tabs>
        <w:ind w:left="2160"/>
      </w:pPr>
      <w:r>
        <w:t>using</w:t>
      </w:r>
      <w:r>
        <w:rPr>
          <w:spacing w:val="-6"/>
        </w:rPr>
        <w:t xml:space="preserve"> </w:t>
      </w:r>
      <w:r>
        <w:t>the</w:t>
      </w:r>
      <w:r>
        <w:rPr>
          <w:spacing w:val="-5"/>
        </w:rPr>
        <w:t xml:space="preserve"> </w:t>
      </w:r>
      <w:r>
        <w:t>work</w:t>
      </w:r>
      <w:r>
        <w:rPr>
          <w:spacing w:val="-5"/>
        </w:rPr>
        <w:t xml:space="preserve"> </w:t>
      </w:r>
      <w:r>
        <w:t>of</w:t>
      </w:r>
      <w:r>
        <w:rPr>
          <w:spacing w:val="-5"/>
        </w:rPr>
        <w:t xml:space="preserve"> </w:t>
      </w:r>
      <w:r>
        <w:t>an</w:t>
      </w:r>
      <w:r>
        <w:rPr>
          <w:spacing w:val="-6"/>
        </w:rPr>
        <w:t xml:space="preserve"> </w:t>
      </w:r>
      <w:r>
        <w:t>internal</w:t>
      </w:r>
      <w:r>
        <w:rPr>
          <w:spacing w:val="-5"/>
        </w:rPr>
        <w:t xml:space="preserve"> </w:t>
      </w:r>
      <w:r>
        <w:t>auditor</w:t>
      </w:r>
      <w:r>
        <w:rPr>
          <w:spacing w:val="-6"/>
        </w:rPr>
        <w:t xml:space="preserve"> </w:t>
      </w:r>
      <w:r>
        <w:t>(FAM</w:t>
      </w:r>
      <w:r>
        <w:rPr>
          <w:spacing w:val="-6"/>
        </w:rPr>
        <w:t xml:space="preserve"> </w:t>
      </w:r>
      <w:r>
        <w:rPr>
          <w:spacing w:val="-2"/>
        </w:rPr>
        <w:t>645).</w:t>
      </w:r>
    </w:p>
    <w:p w14:paraId="0DFDABC9" w14:textId="77777777" w:rsidR="00046465" w:rsidRDefault="008134EB">
      <w:pPr>
        <w:pStyle w:val="BodyText"/>
        <w:spacing w:before="119"/>
        <w:ind w:left="1800" w:right="749"/>
      </w:pPr>
      <w:r>
        <w:t>In</w:t>
      </w:r>
      <w:r>
        <w:rPr>
          <w:spacing w:val="-4"/>
        </w:rPr>
        <w:t xml:space="preserve"> </w:t>
      </w:r>
      <w:r>
        <w:t>addition,</w:t>
      </w:r>
      <w:r>
        <w:rPr>
          <w:spacing w:val="-4"/>
        </w:rPr>
        <w:t xml:space="preserve"> </w:t>
      </w:r>
      <w:r>
        <w:t>this</w:t>
      </w:r>
      <w:r>
        <w:rPr>
          <w:spacing w:val="-4"/>
        </w:rPr>
        <w:t xml:space="preserve"> </w:t>
      </w:r>
      <w:r>
        <w:t>section</w:t>
      </w:r>
      <w:r>
        <w:rPr>
          <w:spacing w:val="-4"/>
        </w:rPr>
        <w:t xml:space="preserve"> </w:t>
      </w:r>
      <w:r>
        <w:t>addresses</w:t>
      </w:r>
      <w:r>
        <w:rPr>
          <w:spacing w:val="-4"/>
        </w:rPr>
        <w:t xml:space="preserve"> </w:t>
      </w:r>
      <w:r>
        <w:t>IG</w:t>
      </w:r>
      <w:r>
        <w:rPr>
          <w:spacing w:val="-6"/>
        </w:rPr>
        <w:t xml:space="preserve"> </w:t>
      </w:r>
      <w:r>
        <w:t>oversight</w:t>
      </w:r>
      <w:r>
        <w:rPr>
          <w:spacing w:val="-4"/>
        </w:rPr>
        <w:t xml:space="preserve"> </w:t>
      </w:r>
      <w:r>
        <w:t>of</w:t>
      </w:r>
      <w:r>
        <w:rPr>
          <w:spacing w:val="-5"/>
        </w:rPr>
        <w:t xml:space="preserve"> </w:t>
      </w:r>
      <w:r>
        <w:t>financial</w:t>
      </w:r>
      <w:r>
        <w:rPr>
          <w:spacing w:val="-5"/>
        </w:rPr>
        <w:t xml:space="preserve"> </w:t>
      </w:r>
      <w:r>
        <w:t>statement</w:t>
      </w:r>
      <w:r>
        <w:rPr>
          <w:spacing w:val="-4"/>
        </w:rPr>
        <w:t xml:space="preserve"> </w:t>
      </w:r>
      <w:r>
        <w:t>audits performed by IPA firms (FAM 670).</w:t>
      </w:r>
    </w:p>
    <w:p w14:paraId="0DFDABCA" w14:textId="77777777" w:rsidR="00046465" w:rsidRDefault="008134EB">
      <w:pPr>
        <w:pStyle w:val="ListParagraph"/>
        <w:numPr>
          <w:ilvl w:val="0"/>
          <w:numId w:val="21"/>
        </w:numPr>
        <w:tabs>
          <w:tab w:val="left" w:pos="1800"/>
        </w:tabs>
        <w:ind w:right="836"/>
      </w:pPr>
      <w:r>
        <w:t>Although FAM 630 provides guidance for using the work of component auditors in an audit of group financial statements, the auditor may find this section, adapted</w:t>
      </w:r>
      <w:r>
        <w:rPr>
          <w:spacing w:val="-4"/>
        </w:rPr>
        <w:t xml:space="preserve"> </w:t>
      </w:r>
      <w:r>
        <w:t>as</w:t>
      </w:r>
      <w:r>
        <w:rPr>
          <w:spacing w:val="-5"/>
        </w:rPr>
        <w:t xml:space="preserve"> </w:t>
      </w:r>
      <w:r>
        <w:t>necessary</w:t>
      </w:r>
      <w:r>
        <w:rPr>
          <w:spacing w:val="-5"/>
        </w:rPr>
        <w:t xml:space="preserve"> </w:t>
      </w:r>
      <w:r>
        <w:t>in</w:t>
      </w:r>
      <w:r>
        <w:rPr>
          <w:spacing w:val="-4"/>
        </w:rPr>
        <w:t xml:space="preserve"> </w:t>
      </w:r>
      <w:r>
        <w:t>the</w:t>
      </w:r>
      <w:r>
        <w:rPr>
          <w:spacing w:val="-4"/>
        </w:rPr>
        <w:t xml:space="preserve"> </w:t>
      </w:r>
      <w:r>
        <w:t>circumstances,</w:t>
      </w:r>
      <w:r>
        <w:rPr>
          <w:spacing w:val="-4"/>
        </w:rPr>
        <w:t xml:space="preserve"> </w:t>
      </w:r>
      <w:r>
        <w:t>useful</w:t>
      </w:r>
      <w:r>
        <w:rPr>
          <w:spacing w:val="-4"/>
        </w:rPr>
        <w:t xml:space="preserve"> </w:t>
      </w:r>
      <w:r>
        <w:t>when</w:t>
      </w:r>
      <w:r>
        <w:rPr>
          <w:spacing w:val="-4"/>
        </w:rPr>
        <w:t xml:space="preserve"> </w:t>
      </w:r>
      <w:r>
        <w:t>using</w:t>
      </w:r>
      <w:r>
        <w:rPr>
          <w:spacing w:val="-3"/>
        </w:rPr>
        <w:t xml:space="preserve"> </w:t>
      </w:r>
      <w:r>
        <w:t>the</w:t>
      </w:r>
      <w:r>
        <w:rPr>
          <w:spacing w:val="-4"/>
        </w:rPr>
        <w:t xml:space="preserve"> </w:t>
      </w:r>
      <w:r>
        <w:t>work</w:t>
      </w:r>
      <w:r>
        <w:rPr>
          <w:spacing w:val="-4"/>
        </w:rPr>
        <w:t xml:space="preserve"> </w:t>
      </w:r>
      <w:r>
        <w:t>of</w:t>
      </w:r>
      <w:r>
        <w:rPr>
          <w:spacing w:val="-4"/>
        </w:rPr>
        <w:t xml:space="preserve"> </w:t>
      </w:r>
      <w:r>
        <w:t>other auditors in auditing financial statements that are not group financial statements. For example, the auditor may involve another auditor to observe the inventory count or inspect physical fixed assets at a remote location. (</w:t>
      </w:r>
      <w:r>
        <w:rPr>
          <w:i/>
        </w:rPr>
        <w:t xml:space="preserve">US. Auditing Standards—AICPA [Clarified] </w:t>
      </w:r>
      <w:r>
        <w:t>(AU-C) 600A.02)</w:t>
      </w:r>
    </w:p>
    <w:p w14:paraId="0DFDABCB" w14:textId="77777777" w:rsidR="00046465" w:rsidRDefault="008134EB">
      <w:pPr>
        <w:pStyle w:val="BodyText"/>
        <w:spacing w:before="121"/>
        <w:ind w:left="1801" w:right="749"/>
      </w:pPr>
      <w:r>
        <w:t>The</w:t>
      </w:r>
      <w:r>
        <w:rPr>
          <w:spacing w:val="-5"/>
        </w:rPr>
        <w:t xml:space="preserve"> </w:t>
      </w:r>
      <w:r>
        <w:t>auditor’s</w:t>
      </w:r>
      <w:r>
        <w:rPr>
          <w:spacing w:val="-5"/>
        </w:rPr>
        <w:t xml:space="preserve"> </w:t>
      </w:r>
      <w:r>
        <w:t>responsibilities</w:t>
      </w:r>
      <w:r>
        <w:rPr>
          <w:spacing w:val="-5"/>
        </w:rPr>
        <w:t xml:space="preserve"> </w:t>
      </w:r>
      <w:r>
        <w:t>for</w:t>
      </w:r>
      <w:r>
        <w:rPr>
          <w:spacing w:val="-7"/>
        </w:rPr>
        <w:t xml:space="preserve"> </w:t>
      </w:r>
      <w:r>
        <w:t>supervising</w:t>
      </w:r>
      <w:r>
        <w:rPr>
          <w:spacing w:val="-5"/>
        </w:rPr>
        <w:t xml:space="preserve"> </w:t>
      </w:r>
      <w:r>
        <w:t>other</w:t>
      </w:r>
      <w:r>
        <w:rPr>
          <w:spacing w:val="-5"/>
        </w:rPr>
        <w:t xml:space="preserve"> </w:t>
      </w:r>
      <w:r>
        <w:t>auditors</w:t>
      </w:r>
      <w:r>
        <w:rPr>
          <w:spacing w:val="-5"/>
        </w:rPr>
        <w:t xml:space="preserve"> </w:t>
      </w:r>
      <w:r>
        <w:t>who</w:t>
      </w:r>
      <w:r>
        <w:rPr>
          <w:spacing w:val="-5"/>
        </w:rPr>
        <w:t xml:space="preserve"> </w:t>
      </w:r>
      <w:r>
        <w:t>are</w:t>
      </w:r>
      <w:r>
        <w:rPr>
          <w:spacing w:val="-5"/>
        </w:rPr>
        <w:t xml:space="preserve"> </w:t>
      </w:r>
      <w:r>
        <w:t>essentially functioning as part of the engagement team are the same as those for supervising other engagement team members, as discussed in FAM 200.</w:t>
      </w:r>
    </w:p>
    <w:p w14:paraId="0DFDABCC" w14:textId="77777777" w:rsidR="00046465" w:rsidRDefault="008134EB">
      <w:pPr>
        <w:pStyle w:val="BodyText"/>
        <w:ind w:left="1801" w:right="1263"/>
        <w:jc w:val="both"/>
      </w:pPr>
      <w:r>
        <w:t>However,</w:t>
      </w:r>
      <w:r>
        <w:rPr>
          <w:spacing w:val="-4"/>
        </w:rPr>
        <w:t xml:space="preserve"> </w:t>
      </w:r>
      <w:r>
        <w:t>because</w:t>
      </w:r>
      <w:r>
        <w:rPr>
          <w:spacing w:val="-4"/>
        </w:rPr>
        <w:t xml:space="preserve"> </w:t>
      </w:r>
      <w:r>
        <w:t>outside</w:t>
      </w:r>
      <w:r>
        <w:rPr>
          <w:spacing w:val="-4"/>
        </w:rPr>
        <w:t xml:space="preserve"> </w:t>
      </w:r>
      <w:r>
        <w:t>auditors</w:t>
      </w:r>
      <w:r>
        <w:rPr>
          <w:spacing w:val="-5"/>
        </w:rPr>
        <w:t xml:space="preserve"> </w:t>
      </w:r>
      <w:r>
        <w:t>are</w:t>
      </w:r>
      <w:r>
        <w:rPr>
          <w:spacing w:val="-4"/>
        </w:rPr>
        <w:t xml:space="preserve"> </w:t>
      </w:r>
      <w:r>
        <w:t>not</w:t>
      </w:r>
      <w:r>
        <w:rPr>
          <w:spacing w:val="-4"/>
        </w:rPr>
        <w:t xml:space="preserve"> </w:t>
      </w:r>
      <w:r>
        <w:t>subject</w:t>
      </w:r>
      <w:r>
        <w:rPr>
          <w:spacing w:val="-4"/>
        </w:rPr>
        <w:t xml:space="preserve"> </w:t>
      </w:r>
      <w:r>
        <w:t>to</w:t>
      </w:r>
      <w:r>
        <w:rPr>
          <w:spacing w:val="-4"/>
        </w:rPr>
        <w:t xml:space="preserve"> </w:t>
      </w:r>
      <w:r>
        <w:t>a</w:t>
      </w:r>
      <w:r>
        <w:rPr>
          <w:spacing w:val="-4"/>
        </w:rPr>
        <w:t xml:space="preserve"> </w:t>
      </w:r>
      <w:r>
        <w:t>firm’s</w:t>
      </w:r>
      <w:r>
        <w:rPr>
          <w:spacing w:val="-4"/>
        </w:rPr>
        <w:t xml:space="preserve"> </w:t>
      </w:r>
      <w:r>
        <w:t>quality</w:t>
      </w:r>
      <w:r>
        <w:rPr>
          <w:spacing w:val="-5"/>
        </w:rPr>
        <w:t xml:space="preserve"> </w:t>
      </w:r>
      <w:r>
        <w:t>control procedures,</w:t>
      </w:r>
      <w:r>
        <w:rPr>
          <w:spacing w:val="-4"/>
        </w:rPr>
        <w:t xml:space="preserve"> </w:t>
      </w:r>
      <w:r>
        <w:t>the</w:t>
      </w:r>
      <w:r>
        <w:rPr>
          <w:spacing w:val="-3"/>
        </w:rPr>
        <w:t xml:space="preserve"> </w:t>
      </w:r>
      <w:r>
        <w:t>auditor</w:t>
      </w:r>
      <w:r>
        <w:rPr>
          <w:spacing w:val="-3"/>
        </w:rPr>
        <w:t xml:space="preserve"> </w:t>
      </w:r>
      <w:r>
        <w:t>should</w:t>
      </w:r>
      <w:r>
        <w:rPr>
          <w:spacing w:val="-3"/>
        </w:rPr>
        <w:t xml:space="preserve"> </w:t>
      </w:r>
      <w:r>
        <w:t>evaluate</w:t>
      </w:r>
      <w:r>
        <w:rPr>
          <w:spacing w:val="-3"/>
        </w:rPr>
        <w:t xml:space="preserve"> </w:t>
      </w:r>
      <w:r>
        <w:t>their</w:t>
      </w:r>
      <w:r>
        <w:rPr>
          <w:spacing w:val="-3"/>
        </w:rPr>
        <w:t xml:space="preserve"> </w:t>
      </w:r>
      <w:r>
        <w:t>objectivity</w:t>
      </w:r>
      <w:r>
        <w:rPr>
          <w:spacing w:val="-2"/>
        </w:rPr>
        <w:t xml:space="preserve"> </w:t>
      </w:r>
      <w:r>
        <w:t>and</w:t>
      </w:r>
      <w:r>
        <w:rPr>
          <w:spacing w:val="-4"/>
        </w:rPr>
        <w:t xml:space="preserve"> </w:t>
      </w:r>
      <w:r>
        <w:t>competence</w:t>
      </w:r>
      <w:r>
        <w:rPr>
          <w:spacing w:val="-3"/>
        </w:rPr>
        <w:t xml:space="preserve"> </w:t>
      </w:r>
      <w:r>
        <w:t>as discussed in FAM 615.</w:t>
      </w:r>
    </w:p>
    <w:p w14:paraId="0DFDABCD" w14:textId="77777777" w:rsidR="00046465" w:rsidRDefault="00046465">
      <w:pPr>
        <w:pStyle w:val="BodyText"/>
        <w:jc w:val="both"/>
        <w:sectPr w:rsidR="00046465">
          <w:headerReference w:type="default" r:id="rId28"/>
          <w:footerReference w:type="default" r:id="rId29"/>
          <w:pgSz w:w="12240" w:h="15840"/>
          <w:pgMar w:top="1340" w:right="720" w:bottom="940" w:left="1080" w:header="721" w:footer="757" w:gutter="0"/>
          <w:cols w:space="720"/>
        </w:sectPr>
      </w:pPr>
    </w:p>
    <w:p w14:paraId="0DFDABCE" w14:textId="77777777" w:rsidR="00046465" w:rsidRDefault="008134EB">
      <w:pPr>
        <w:pStyle w:val="Heading3"/>
        <w:ind w:right="749"/>
        <w:rPr>
          <w:u w:val="none"/>
        </w:rPr>
      </w:pPr>
      <w:bookmarkStart w:id="6" w:name="615_–_Evaluating_the_Objectivity_and_Com"/>
      <w:bookmarkStart w:id="7" w:name="_bookmark2"/>
      <w:bookmarkEnd w:id="6"/>
      <w:bookmarkEnd w:id="7"/>
      <w:r>
        <w:lastRenderedPageBreak/>
        <w:t>615</w:t>
      </w:r>
      <w:r>
        <w:rPr>
          <w:spacing w:val="-6"/>
        </w:rPr>
        <w:t xml:space="preserve"> </w:t>
      </w:r>
      <w:r>
        <w:t>–</w:t>
      </w:r>
      <w:r>
        <w:rPr>
          <w:spacing w:val="-5"/>
        </w:rPr>
        <w:t xml:space="preserve"> </w:t>
      </w:r>
      <w:r>
        <w:t>Evaluating</w:t>
      </w:r>
      <w:r>
        <w:rPr>
          <w:spacing w:val="-6"/>
        </w:rPr>
        <w:t xml:space="preserve"> </w:t>
      </w:r>
      <w:r>
        <w:t>the</w:t>
      </w:r>
      <w:r>
        <w:rPr>
          <w:spacing w:val="-6"/>
        </w:rPr>
        <w:t xml:space="preserve"> </w:t>
      </w:r>
      <w:r>
        <w:t>Objectivity</w:t>
      </w:r>
      <w:r>
        <w:rPr>
          <w:spacing w:val="-5"/>
        </w:rPr>
        <w:t xml:space="preserve"> </w:t>
      </w:r>
      <w:r>
        <w:t>and</w:t>
      </w:r>
      <w:r>
        <w:rPr>
          <w:spacing w:val="-6"/>
        </w:rPr>
        <w:t xml:space="preserve"> </w:t>
      </w:r>
      <w:r>
        <w:t>Competence</w:t>
      </w:r>
      <w:r>
        <w:rPr>
          <w:spacing w:val="-5"/>
        </w:rPr>
        <w:t xml:space="preserve"> </w:t>
      </w:r>
      <w:r>
        <w:t>of</w:t>
      </w:r>
      <w:r>
        <w:rPr>
          <w:spacing w:val="-6"/>
        </w:rPr>
        <w:t xml:space="preserve"> </w:t>
      </w:r>
      <w:r>
        <w:t>Other</w:t>
      </w:r>
      <w:r>
        <w:rPr>
          <w:u w:val="none"/>
        </w:rPr>
        <w:t xml:space="preserve"> </w:t>
      </w:r>
      <w:r>
        <w:t>Auditors or Specialists</w:t>
      </w:r>
    </w:p>
    <w:p w14:paraId="0DFDABCF" w14:textId="77777777" w:rsidR="00046465" w:rsidRDefault="00046465">
      <w:pPr>
        <w:pStyle w:val="BodyText"/>
        <w:spacing w:before="38"/>
        <w:rPr>
          <w:b/>
          <w:sz w:val="28"/>
        </w:rPr>
      </w:pPr>
    </w:p>
    <w:p w14:paraId="0DFDABD0" w14:textId="77777777" w:rsidR="00046465" w:rsidRDefault="008134EB">
      <w:pPr>
        <w:pStyle w:val="Heading4"/>
        <w:spacing w:before="0"/>
      </w:pPr>
      <w:r>
        <w:rPr>
          <w:spacing w:val="-2"/>
        </w:rPr>
        <w:t>Overview</w:t>
      </w:r>
    </w:p>
    <w:p w14:paraId="0DFDABD1" w14:textId="77777777" w:rsidR="00046465" w:rsidRDefault="008134EB">
      <w:pPr>
        <w:pStyle w:val="ListParagraph"/>
        <w:numPr>
          <w:ilvl w:val="0"/>
          <w:numId w:val="20"/>
        </w:numPr>
        <w:tabs>
          <w:tab w:val="left" w:pos="1800"/>
        </w:tabs>
        <w:spacing w:before="119"/>
        <w:ind w:right="726"/>
      </w:pPr>
      <w:r>
        <w:t>FAM 600 discusses circumstances where an auditor may use or review the work of others. Regardless of the purpose for using the work of others, the auditor should evaluate whether the other auditors or specialists have the necessary objectivity and competence for the auditor’s purposes. This section provides guidance to assist the auditor in determining the procedures for evaluating the objectivity and competence of other auditors and specialists. There are also specific procedures (as noted in the sections below) that the auditor may need to perform when using or reviewing the work of specialists, component auditors, service</w:t>
      </w:r>
      <w:r>
        <w:rPr>
          <w:spacing w:val="-3"/>
        </w:rPr>
        <w:t xml:space="preserve"> </w:t>
      </w:r>
      <w:r>
        <w:t>auditors,</w:t>
      </w:r>
      <w:r>
        <w:rPr>
          <w:spacing w:val="-3"/>
        </w:rPr>
        <w:t xml:space="preserve"> </w:t>
      </w:r>
      <w:r>
        <w:t>internal</w:t>
      </w:r>
      <w:r>
        <w:rPr>
          <w:spacing w:val="-4"/>
        </w:rPr>
        <w:t xml:space="preserve"> </w:t>
      </w:r>
      <w:r>
        <w:t>auditors,</w:t>
      </w:r>
      <w:r>
        <w:rPr>
          <w:spacing w:val="-3"/>
        </w:rPr>
        <w:t xml:space="preserve"> </w:t>
      </w:r>
      <w:r>
        <w:t>or</w:t>
      </w:r>
      <w:r>
        <w:rPr>
          <w:spacing w:val="-4"/>
        </w:rPr>
        <w:t xml:space="preserve"> </w:t>
      </w:r>
      <w:r>
        <w:t>IPA</w:t>
      </w:r>
      <w:r>
        <w:rPr>
          <w:spacing w:val="-3"/>
        </w:rPr>
        <w:t xml:space="preserve"> </w:t>
      </w:r>
      <w:r>
        <w:t>firms.</w:t>
      </w:r>
      <w:r>
        <w:rPr>
          <w:spacing w:val="-3"/>
        </w:rPr>
        <w:t xml:space="preserve"> </w:t>
      </w:r>
      <w:r>
        <w:t>The</w:t>
      </w:r>
      <w:r>
        <w:rPr>
          <w:spacing w:val="-3"/>
        </w:rPr>
        <w:t xml:space="preserve"> </w:t>
      </w:r>
      <w:r>
        <w:t>chart</w:t>
      </w:r>
      <w:r>
        <w:rPr>
          <w:spacing w:val="-3"/>
        </w:rPr>
        <w:t xml:space="preserve"> </w:t>
      </w:r>
      <w:r>
        <w:t>below</w:t>
      </w:r>
      <w:r>
        <w:rPr>
          <w:spacing w:val="-4"/>
        </w:rPr>
        <w:t xml:space="preserve"> </w:t>
      </w:r>
      <w:r>
        <w:t>links</w:t>
      </w:r>
      <w:r>
        <w:rPr>
          <w:spacing w:val="-3"/>
        </w:rPr>
        <w:t xml:space="preserve"> </w:t>
      </w:r>
      <w:r>
        <w:t>the</w:t>
      </w:r>
      <w:r>
        <w:rPr>
          <w:spacing w:val="-4"/>
        </w:rPr>
        <w:t xml:space="preserve"> </w:t>
      </w:r>
      <w:r>
        <w:t>different FAM 600 sections to the applicable paragraphs of this section.</w:t>
      </w:r>
    </w:p>
    <w:p w14:paraId="0DFDABD2" w14:textId="77777777" w:rsidR="00046465" w:rsidRDefault="00046465">
      <w:pPr>
        <w:pStyle w:val="BodyText"/>
        <w:spacing w:before="4"/>
        <w:rPr>
          <w:sz w:val="11"/>
        </w:rPr>
      </w:pPr>
    </w:p>
    <w:tbl>
      <w:tblPr>
        <w:tblW w:w="0" w:type="auto"/>
        <w:tblInd w:w="18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168"/>
        <w:gridCol w:w="2430"/>
        <w:gridCol w:w="2430"/>
      </w:tblGrid>
      <w:tr w:rsidR="00046465" w14:paraId="0DFDABD6" w14:textId="77777777">
        <w:trPr>
          <w:trHeight w:val="349"/>
        </w:trPr>
        <w:tc>
          <w:tcPr>
            <w:tcW w:w="3168" w:type="dxa"/>
            <w:tcBorders>
              <w:right w:val="single" w:sz="4" w:space="0" w:color="000000"/>
            </w:tcBorders>
          </w:tcPr>
          <w:p w14:paraId="0DFDABD3" w14:textId="77777777" w:rsidR="00046465" w:rsidRDefault="008134EB">
            <w:pPr>
              <w:pStyle w:val="TableParagraph"/>
              <w:spacing w:before="1"/>
              <w:ind w:left="97"/>
              <w:rPr>
                <w:b/>
                <w:sz w:val="20"/>
              </w:rPr>
            </w:pPr>
            <w:r>
              <w:rPr>
                <w:b/>
                <w:sz w:val="20"/>
              </w:rPr>
              <w:t>Relevant</w:t>
            </w:r>
            <w:r>
              <w:rPr>
                <w:b/>
                <w:spacing w:val="-3"/>
                <w:sz w:val="20"/>
              </w:rPr>
              <w:t xml:space="preserve"> </w:t>
            </w:r>
            <w:r>
              <w:rPr>
                <w:b/>
                <w:sz w:val="20"/>
              </w:rPr>
              <w:t>FAM</w:t>
            </w:r>
            <w:r>
              <w:rPr>
                <w:b/>
                <w:spacing w:val="-3"/>
                <w:sz w:val="20"/>
              </w:rPr>
              <w:t xml:space="preserve"> </w:t>
            </w:r>
            <w:r>
              <w:rPr>
                <w:b/>
                <w:sz w:val="20"/>
              </w:rPr>
              <w:t>600</w:t>
            </w:r>
            <w:r>
              <w:rPr>
                <w:b/>
                <w:spacing w:val="-2"/>
                <w:sz w:val="20"/>
              </w:rPr>
              <w:t xml:space="preserve"> section</w:t>
            </w:r>
          </w:p>
        </w:tc>
        <w:tc>
          <w:tcPr>
            <w:tcW w:w="2430" w:type="dxa"/>
            <w:tcBorders>
              <w:left w:val="single" w:sz="4" w:space="0" w:color="000000"/>
              <w:right w:val="single" w:sz="4" w:space="0" w:color="000000"/>
            </w:tcBorders>
          </w:tcPr>
          <w:p w14:paraId="0DFDABD4" w14:textId="77777777" w:rsidR="00046465" w:rsidRDefault="008134EB">
            <w:pPr>
              <w:pStyle w:val="TableParagraph"/>
              <w:spacing w:before="1"/>
              <w:ind w:left="107"/>
              <w:rPr>
                <w:b/>
                <w:sz w:val="20"/>
              </w:rPr>
            </w:pPr>
            <w:r>
              <w:rPr>
                <w:b/>
                <w:spacing w:val="-2"/>
                <w:sz w:val="20"/>
              </w:rPr>
              <w:t>Objectivity</w:t>
            </w:r>
          </w:p>
        </w:tc>
        <w:tc>
          <w:tcPr>
            <w:tcW w:w="2430" w:type="dxa"/>
            <w:tcBorders>
              <w:left w:val="single" w:sz="4" w:space="0" w:color="000000"/>
            </w:tcBorders>
          </w:tcPr>
          <w:p w14:paraId="0DFDABD5" w14:textId="77777777" w:rsidR="00046465" w:rsidRDefault="008134EB">
            <w:pPr>
              <w:pStyle w:val="TableParagraph"/>
              <w:spacing w:before="1"/>
              <w:ind w:left="107"/>
              <w:rPr>
                <w:b/>
                <w:sz w:val="20"/>
              </w:rPr>
            </w:pPr>
            <w:r>
              <w:rPr>
                <w:b/>
                <w:spacing w:val="-2"/>
                <w:sz w:val="20"/>
              </w:rPr>
              <w:t>Competence</w:t>
            </w:r>
          </w:p>
        </w:tc>
      </w:tr>
      <w:tr w:rsidR="00046465" w14:paraId="0DFDABDD" w14:textId="77777777">
        <w:trPr>
          <w:trHeight w:val="810"/>
        </w:trPr>
        <w:tc>
          <w:tcPr>
            <w:tcW w:w="3168" w:type="dxa"/>
            <w:tcBorders>
              <w:bottom w:val="single" w:sz="4" w:space="0" w:color="000000"/>
              <w:right w:val="single" w:sz="4" w:space="0" w:color="000000"/>
            </w:tcBorders>
          </w:tcPr>
          <w:p w14:paraId="0DFDABD7" w14:textId="77777777" w:rsidR="00046465" w:rsidRDefault="008134EB">
            <w:pPr>
              <w:pStyle w:val="TableParagraph"/>
              <w:spacing w:before="1"/>
              <w:ind w:left="97"/>
              <w:rPr>
                <w:sz w:val="20"/>
              </w:rPr>
            </w:pPr>
            <w:r>
              <w:rPr>
                <w:b/>
                <w:sz w:val="20"/>
              </w:rPr>
              <w:t>FAM</w:t>
            </w:r>
            <w:r>
              <w:rPr>
                <w:b/>
                <w:spacing w:val="-6"/>
                <w:sz w:val="20"/>
              </w:rPr>
              <w:t xml:space="preserve"> </w:t>
            </w:r>
            <w:r>
              <w:rPr>
                <w:b/>
                <w:sz w:val="20"/>
              </w:rPr>
              <w:t>620</w:t>
            </w:r>
            <w:r>
              <w:rPr>
                <w:b/>
                <w:spacing w:val="-6"/>
                <w:sz w:val="20"/>
              </w:rPr>
              <w:t xml:space="preserve"> </w:t>
            </w:r>
            <w:r>
              <w:rPr>
                <w:sz w:val="20"/>
              </w:rPr>
              <w:t>–</w:t>
            </w:r>
            <w:r>
              <w:rPr>
                <w:spacing w:val="-6"/>
                <w:sz w:val="20"/>
              </w:rPr>
              <w:t xml:space="preserve"> </w:t>
            </w:r>
            <w:r>
              <w:rPr>
                <w:sz w:val="20"/>
              </w:rPr>
              <w:t>Using</w:t>
            </w:r>
            <w:r>
              <w:rPr>
                <w:spacing w:val="-6"/>
                <w:sz w:val="20"/>
              </w:rPr>
              <w:t xml:space="preserve"> </w:t>
            </w:r>
            <w:r>
              <w:rPr>
                <w:sz w:val="20"/>
              </w:rPr>
              <w:t>the</w:t>
            </w:r>
            <w:r>
              <w:rPr>
                <w:spacing w:val="-6"/>
                <w:sz w:val="20"/>
              </w:rPr>
              <w:t xml:space="preserve"> </w:t>
            </w:r>
            <w:r>
              <w:rPr>
                <w:sz w:val="20"/>
              </w:rPr>
              <w:t>Work</w:t>
            </w:r>
            <w:r>
              <w:rPr>
                <w:spacing w:val="-6"/>
                <w:sz w:val="20"/>
              </w:rPr>
              <w:t xml:space="preserve"> </w:t>
            </w:r>
            <w:r>
              <w:rPr>
                <w:sz w:val="20"/>
              </w:rPr>
              <w:t>of</w:t>
            </w:r>
            <w:r>
              <w:rPr>
                <w:spacing w:val="-6"/>
                <w:sz w:val="20"/>
              </w:rPr>
              <w:t xml:space="preserve"> </w:t>
            </w:r>
            <w:r>
              <w:rPr>
                <w:sz w:val="20"/>
              </w:rPr>
              <w:t>an Auditor’s Specialist</w:t>
            </w:r>
          </w:p>
        </w:tc>
        <w:tc>
          <w:tcPr>
            <w:tcW w:w="2430" w:type="dxa"/>
            <w:tcBorders>
              <w:left w:val="single" w:sz="4" w:space="0" w:color="000000"/>
              <w:bottom w:val="single" w:sz="4" w:space="0" w:color="000000"/>
              <w:right w:val="single" w:sz="4" w:space="0" w:color="000000"/>
            </w:tcBorders>
          </w:tcPr>
          <w:p w14:paraId="0DFDABD8" w14:textId="77777777" w:rsidR="00046465" w:rsidRDefault="008134EB">
            <w:pPr>
              <w:pStyle w:val="TableParagraph"/>
              <w:spacing w:before="1"/>
              <w:ind w:left="107"/>
              <w:rPr>
                <w:sz w:val="20"/>
              </w:rPr>
            </w:pPr>
            <w:r>
              <w:rPr>
                <w:sz w:val="20"/>
              </w:rPr>
              <w:t>FAM</w:t>
            </w:r>
            <w:r>
              <w:rPr>
                <w:spacing w:val="-4"/>
                <w:sz w:val="20"/>
              </w:rPr>
              <w:t xml:space="preserve"> </w:t>
            </w:r>
            <w:r>
              <w:rPr>
                <w:sz w:val="20"/>
              </w:rPr>
              <w:t>615.03–.07,</w:t>
            </w:r>
            <w:r>
              <w:rPr>
                <w:spacing w:val="-4"/>
                <w:sz w:val="20"/>
              </w:rPr>
              <w:t xml:space="preserve"> .35–</w:t>
            </w:r>
          </w:p>
          <w:p w14:paraId="0DFDABD9" w14:textId="77777777" w:rsidR="00046465" w:rsidRDefault="008134EB">
            <w:pPr>
              <w:pStyle w:val="TableParagraph"/>
              <w:spacing w:before="1"/>
              <w:ind w:left="107"/>
              <w:rPr>
                <w:sz w:val="20"/>
              </w:rPr>
            </w:pPr>
            <w:r>
              <w:rPr>
                <w:spacing w:val="-5"/>
                <w:sz w:val="20"/>
              </w:rPr>
              <w:t>.36</w:t>
            </w:r>
          </w:p>
        </w:tc>
        <w:tc>
          <w:tcPr>
            <w:tcW w:w="2430" w:type="dxa"/>
            <w:tcBorders>
              <w:left w:val="single" w:sz="4" w:space="0" w:color="000000"/>
              <w:bottom w:val="single" w:sz="4" w:space="0" w:color="000000"/>
            </w:tcBorders>
          </w:tcPr>
          <w:p w14:paraId="0DFDABDA" w14:textId="77777777" w:rsidR="00046465" w:rsidRDefault="008134EB">
            <w:pPr>
              <w:pStyle w:val="TableParagraph"/>
              <w:spacing w:before="1"/>
              <w:ind w:left="107"/>
              <w:rPr>
                <w:sz w:val="20"/>
              </w:rPr>
            </w:pPr>
            <w:r>
              <w:rPr>
                <w:sz w:val="20"/>
              </w:rPr>
              <w:t>FAM</w:t>
            </w:r>
            <w:r>
              <w:rPr>
                <w:spacing w:val="-4"/>
                <w:sz w:val="20"/>
              </w:rPr>
              <w:t xml:space="preserve"> </w:t>
            </w:r>
            <w:r>
              <w:rPr>
                <w:sz w:val="20"/>
              </w:rPr>
              <w:t>615.16–.19,</w:t>
            </w:r>
            <w:r>
              <w:rPr>
                <w:spacing w:val="-3"/>
                <w:sz w:val="20"/>
              </w:rPr>
              <w:t xml:space="preserve"> </w:t>
            </w:r>
            <w:r>
              <w:rPr>
                <w:spacing w:val="-4"/>
                <w:sz w:val="20"/>
              </w:rPr>
              <w:t>.21,</w:t>
            </w:r>
          </w:p>
          <w:p w14:paraId="0DFDABDB" w14:textId="77777777" w:rsidR="00046465" w:rsidRDefault="008134EB">
            <w:pPr>
              <w:pStyle w:val="TableParagraph"/>
              <w:spacing w:before="1"/>
              <w:ind w:left="107"/>
              <w:rPr>
                <w:sz w:val="20"/>
              </w:rPr>
            </w:pPr>
            <w:r>
              <w:rPr>
                <w:sz w:val="20"/>
              </w:rPr>
              <w:t>.23–.25,</w:t>
            </w:r>
            <w:r>
              <w:rPr>
                <w:spacing w:val="-3"/>
                <w:sz w:val="20"/>
              </w:rPr>
              <w:t xml:space="preserve"> </w:t>
            </w:r>
            <w:r>
              <w:rPr>
                <w:sz w:val="20"/>
              </w:rPr>
              <w:t>.28,</w:t>
            </w:r>
            <w:r>
              <w:rPr>
                <w:spacing w:val="-3"/>
                <w:sz w:val="20"/>
              </w:rPr>
              <w:t xml:space="preserve"> </w:t>
            </w:r>
            <w:r>
              <w:rPr>
                <w:sz w:val="20"/>
              </w:rPr>
              <w:t>.30–</w:t>
            </w:r>
            <w:r>
              <w:rPr>
                <w:spacing w:val="-4"/>
                <w:sz w:val="20"/>
              </w:rPr>
              <w:t>.33,</w:t>
            </w:r>
          </w:p>
          <w:p w14:paraId="0DFDABDC" w14:textId="77777777" w:rsidR="00046465" w:rsidRDefault="008134EB">
            <w:pPr>
              <w:pStyle w:val="TableParagraph"/>
              <w:ind w:left="107"/>
              <w:rPr>
                <w:sz w:val="20"/>
              </w:rPr>
            </w:pPr>
            <w:r>
              <w:rPr>
                <w:spacing w:val="-2"/>
                <w:sz w:val="20"/>
              </w:rPr>
              <w:t>.35–</w:t>
            </w:r>
            <w:r>
              <w:rPr>
                <w:spacing w:val="-5"/>
                <w:sz w:val="20"/>
              </w:rPr>
              <w:t>.36</w:t>
            </w:r>
          </w:p>
        </w:tc>
      </w:tr>
      <w:tr w:rsidR="00046465" w14:paraId="0DFDABE3" w14:textId="77777777">
        <w:trPr>
          <w:trHeight w:val="580"/>
        </w:trPr>
        <w:tc>
          <w:tcPr>
            <w:tcW w:w="3168" w:type="dxa"/>
            <w:tcBorders>
              <w:top w:val="single" w:sz="4" w:space="0" w:color="000000"/>
              <w:bottom w:val="single" w:sz="4" w:space="0" w:color="000000"/>
              <w:right w:val="single" w:sz="4" w:space="0" w:color="000000"/>
            </w:tcBorders>
          </w:tcPr>
          <w:p w14:paraId="0DFDABDE" w14:textId="77777777" w:rsidR="00046465" w:rsidRDefault="008134EB">
            <w:pPr>
              <w:pStyle w:val="TableParagraph"/>
              <w:ind w:left="97"/>
              <w:rPr>
                <w:sz w:val="20"/>
              </w:rPr>
            </w:pPr>
            <w:r>
              <w:rPr>
                <w:b/>
                <w:sz w:val="20"/>
              </w:rPr>
              <w:t>FAM</w:t>
            </w:r>
            <w:r>
              <w:rPr>
                <w:b/>
                <w:spacing w:val="-6"/>
                <w:sz w:val="20"/>
              </w:rPr>
              <w:t xml:space="preserve"> </w:t>
            </w:r>
            <w:r>
              <w:rPr>
                <w:b/>
                <w:sz w:val="20"/>
              </w:rPr>
              <w:t>625</w:t>
            </w:r>
            <w:r>
              <w:rPr>
                <w:b/>
                <w:spacing w:val="-6"/>
                <w:sz w:val="20"/>
              </w:rPr>
              <w:t xml:space="preserve"> </w:t>
            </w:r>
            <w:r>
              <w:rPr>
                <w:sz w:val="20"/>
              </w:rPr>
              <w:t>–</w:t>
            </w:r>
            <w:r>
              <w:rPr>
                <w:spacing w:val="-6"/>
                <w:sz w:val="20"/>
              </w:rPr>
              <w:t xml:space="preserve"> </w:t>
            </w:r>
            <w:r>
              <w:rPr>
                <w:sz w:val="20"/>
              </w:rPr>
              <w:t>Using</w:t>
            </w:r>
            <w:r>
              <w:rPr>
                <w:spacing w:val="-6"/>
                <w:sz w:val="20"/>
              </w:rPr>
              <w:t xml:space="preserve"> </w:t>
            </w:r>
            <w:r>
              <w:rPr>
                <w:sz w:val="20"/>
              </w:rPr>
              <w:t>the</w:t>
            </w:r>
            <w:r>
              <w:rPr>
                <w:spacing w:val="-7"/>
                <w:sz w:val="20"/>
              </w:rPr>
              <w:t xml:space="preserve"> </w:t>
            </w:r>
            <w:r>
              <w:rPr>
                <w:sz w:val="20"/>
              </w:rPr>
              <w:t>Work</w:t>
            </w:r>
            <w:r>
              <w:rPr>
                <w:spacing w:val="-6"/>
                <w:sz w:val="20"/>
              </w:rPr>
              <w:t xml:space="preserve"> </w:t>
            </w:r>
            <w:r>
              <w:rPr>
                <w:sz w:val="20"/>
              </w:rPr>
              <w:t>of Management’s Specialists</w:t>
            </w:r>
          </w:p>
        </w:tc>
        <w:tc>
          <w:tcPr>
            <w:tcW w:w="2430" w:type="dxa"/>
            <w:tcBorders>
              <w:top w:val="single" w:sz="4" w:space="0" w:color="000000"/>
              <w:left w:val="single" w:sz="4" w:space="0" w:color="000000"/>
              <w:bottom w:val="single" w:sz="4" w:space="0" w:color="000000"/>
              <w:right w:val="single" w:sz="4" w:space="0" w:color="000000"/>
            </w:tcBorders>
          </w:tcPr>
          <w:p w14:paraId="0DFDABDF" w14:textId="77777777" w:rsidR="00046465" w:rsidRDefault="008134EB">
            <w:pPr>
              <w:pStyle w:val="TableParagraph"/>
              <w:ind w:left="107"/>
              <w:rPr>
                <w:sz w:val="20"/>
              </w:rPr>
            </w:pPr>
            <w:r>
              <w:rPr>
                <w:sz w:val="20"/>
              </w:rPr>
              <w:t>FAM</w:t>
            </w:r>
            <w:r>
              <w:rPr>
                <w:spacing w:val="-4"/>
                <w:sz w:val="20"/>
              </w:rPr>
              <w:t xml:space="preserve"> </w:t>
            </w:r>
            <w:r>
              <w:rPr>
                <w:sz w:val="20"/>
              </w:rPr>
              <w:t>615.03–.04,</w:t>
            </w:r>
            <w:r>
              <w:rPr>
                <w:spacing w:val="-3"/>
                <w:sz w:val="20"/>
              </w:rPr>
              <w:t xml:space="preserve"> </w:t>
            </w:r>
            <w:r>
              <w:rPr>
                <w:spacing w:val="-4"/>
                <w:sz w:val="20"/>
              </w:rPr>
              <w:t>.08–</w:t>
            </w:r>
          </w:p>
          <w:p w14:paraId="0DFDABE0" w14:textId="77777777" w:rsidR="00046465" w:rsidRDefault="008134EB">
            <w:pPr>
              <w:pStyle w:val="TableParagraph"/>
              <w:spacing w:before="1"/>
              <w:ind w:left="107"/>
              <w:rPr>
                <w:sz w:val="20"/>
              </w:rPr>
            </w:pPr>
            <w:r>
              <w:rPr>
                <w:sz w:val="20"/>
              </w:rPr>
              <w:t>.10,</w:t>
            </w:r>
            <w:r>
              <w:rPr>
                <w:spacing w:val="-5"/>
                <w:sz w:val="20"/>
              </w:rPr>
              <w:t xml:space="preserve"> </w:t>
            </w:r>
            <w:r>
              <w:rPr>
                <w:sz w:val="20"/>
              </w:rPr>
              <w:t>.35–</w:t>
            </w:r>
            <w:r>
              <w:rPr>
                <w:spacing w:val="-5"/>
                <w:sz w:val="20"/>
              </w:rPr>
              <w:t>.36</w:t>
            </w:r>
          </w:p>
        </w:tc>
        <w:tc>
          <w:tcPr>
            <w:tcW w:w="2430" w:type="dxa"/>
            <w:tcBorders>
              <w:top w:val="single" w:sz="4" w:space="0" w:color="000000"/>
              <w:left w:val="single" w:sz="4" w:space="0" w:color="000000"/>
              <w:bottom w:val="single" w:sz="4" w:space="0" w:color="000000"/>
            </w:tcBorders>
          </w:tcPr>
          <w:p w14:paraId="0DFDABE1" w14:textId="77777777" w:rsidR="00046465" w:rsidRDefault="008134EB">
            <w:pPr>
              <w:pStyle w:val="TableParagraph"/>
              <w:ind w:left="107"/>
              <w:rPr>
                <w:sz w:val="20"/>
              </w:rPr>
            </w:pPr>
            <w:r>
              <w:rPr>
                <w:sz w:val="20"/>
              </w:rPr>
              <w:t>FAM</w:t>
            </w:r>
            <w:r>
              <w:rPr>
                <w:spacing w:val="-6"/>
                <w:sz w:val="20"/>
              </w:rPr>
              <w:t xml:space="preserve"> </w:t>
            </w:r>
            <w:r>
              <w:rPr>
                <w:sz w:val="20"/>
              </w:rPr>
              <w:t>615.16,</w:t>
            </w:r>
            <w:r>
              <w:rPr>
                <w:spacing w:val="-4"/>
                <w:sz w:val="20"/>
              </w:rPr>
              <w:t xml:space="preserve"> </w:t>
            </w:r>
            <w:r>
              <w:rPr>
                <w:sz w:val="20"/>
              </w:rPr>
              <w:t>.23–</w:t>
            </w:r>
            <w:r>
              <w:rPr>
                <w:spacing w:val="-4"/>
                <w:sz w:val="20"/>
              </w:rPr>
              <w:t>.25,</w:t>
            </w:r>
          </w:p>
          <w:p w14:paraId="0DFDABE2" w14:textId="77777777" w:rsidR="00046465" w:rsidRDefault="008134EB">
            <w:pPr>
              <w:pStyle w:val="TableParagraph"/>
              <w:spacing w:before="1"/>
              <w:ind w:left="107"/>
              <w:rPr>
                <w:sz w:val="20"/>
              </w:rPr>
            </w:pPr>
            <w:r>
              <w:rPr>
                <w:sz w:val="20"/>
              </w:rPr>
              <w:t>.28–.29,</w:t>
            </w:r>
            <w:r>
              <w:rPr>
                <w:spacing w:val="-4"/>
                <w:sz w:val="20"/>
              </w:rPr>
              <w:t xml:space="preserve"> </w:t>
            </w:r>
            <w:r>
              <w:rPr>
                <w:sz w:val="20"/>
              </w:rPr>
              <w:t>.35–</w:t>
            </w:r>
            <w:r>
              <w:rPr>
                <w:spacing w:val="-5"/>
                <w:sz w:val="20"/>
              </w:rPr>
              <w:t>.36</w:t>
            </w:r>
          </w:p>
        </w:tc>
      </w:tr>
      <w:tr w:rsidR="00046465" w14:paraId="0DFDABE9" w14:textId="77777777">
        <w:trPr>
          <w:trHeight w:val="809"/>
        </w:trPr>
        <w:tc>
          <w:tcPr>
            <w:tcW w:w="3168" w:type="dxa"/>
            <w:tcBorders>
              <w:top w:val="single" w:sz="4" w:space="0" w:color="000000"/>
              <w:bottom w:val="single" w:sz="4" w:space="0" w:color="000000"/>
              <w:right w:val="single" w:sz="4" w:space="0" w:color="000000"/>
            </w:tcBorders>
          </w:tcPr>
          <w:p w14:paraId="0DFDABE4" w14:textId="77777777" w:rsidR="00046465" w:rsidRDefault="008134EB">
            <w:pPr>
              <w:pStyle w:val="TableParagraph"/>
              <w:ind w:left="97" w:right="158"/>
              <w:rPr>
                <w:sz w:val="20"/>
              </w:rPr>
            </w:pPr>
            <w:r>
              <w:rPr>
                <w:b/>
                <w:sz w:val="20"/>
              </w:rPr>
              <w:t xml:space="preserve">FAM 630 </w:t>
            </w:r>
            <w:r>
              <w:rPr>
                <w:sz w:val="20"/>
              </w:rPr>
              <w:t>– Group Audits &amp; Using</w:t>
            </w:r>
            <w:r>
              <w:rPr>
                <w:spacing w:val="-8"/>
                <w:sz w:val="20"/>
              </w:rPr>
              <w:t xml:space="preserve"> </w:t>
            </w:r>
            <w:r>
              <w:rPr>
                <w:sz w:val="20"/>
              </w:rPr>
              <w:t>the</w:t>
            </w:r>
            <w:r>
              <w:rPr>
                <w:spacing w:val="-8"/>
                <w:sz w:val="20"/>
              </w:rPr>
              <w:t xml:space="preserve"> </w:t>
            </w:r>
            <w:r>
              <w:rPr>
                <w:sz w:val="20"/>
              </w:rPr>
              <w:t>Work</w:t>
            </w:r>
            <w:r>
              <w:rPr>
                <w:spacing w:val="-7"/>
                <w:sz w:val="20"/>
              </w:rPr>
              <w:t xml:space="preserve"> </w:t>
            </w:r>
            <w:r>
              <w:rPr>
                <w:sz w:val="20"/>
              </w:rPr>
              <w:t>of</w:t>
            </w:r>
            <w:r>
              <w:rPr>
                <w:spacing w:val="-8"/>
                <w:sz w:val="20"/>
              </w:rPr>
              <w:t xml:space="preserve"> </w:t>
            </w:r>
            <w:r>
              <w:rPr>
                <w:sz w:val="20"/>
              </w:rPr>
              <w:t>a</w:t>
            </w:r>
            <w:r>
              <w:rPr>
                <w:spacing w:val="-8"/>
                <w:sz w:val="20"/>
              </w:rPr>
              <w:t xml:space="preserve"> </w:t>
            </w:r>
            <w:r>
              <w:rPr>
                <w:sz w:val="20"/>
              </w:rPr>
              <w:t xml:space="preserve">Component </w:t>
            </w:r>
            <w:r>
              <w:rPr>
                <w:spacing w:val="-2"/>
                <w:sz w:val="20"/>
              </w:rPr>
              <w:t>Auditor</w:t>
            </w:r>
          </w:p>
        </w:tc>
        <w:tc>
          <w:tcPr>
            <w:tcW w:w="2430" w:type="dxa"/>
            <w:tcBorders>
              <w:top w:val="single" w:sz="4" w:space="0" w:color="000000"/>
              <w:left w:val="single" w:sz="4" w:space="0" w:color="000000"/>
              <w:bottom w:val="single" w:sz="4" w:space="0" w:color="000000"/>
              <w:right w:val="single" w:sz="4" w:space="0" w:color="000000"/>
            </w:tcBorders>
          </w:tcPr>
          <w:p w14:paraId="0DFDABE5" w14:textId="77777777" w:rsidR="00046465" w:rsidRDefault="008134EB">
            <w:pPr>
              <w:pStyle w:val="TableParagraph"/>
              <w:ind w:left="107"/>
              <w:rPr>
                <w:sz w:val="20"/>
              </w:rPr>
            </w:pPr>
            <w:r>
              <w:rPr>
                <w:sz w:val="20"/>
              </w:rPr>
              <w:t>FAM</w:t>
            </w:r>
            <w:r>
              <w:rPr>
                <w:spacing w:val="-4"/>
                <w:sz w:val="20"/>
              </w:rPr>
              <w:t xml:space="preserve"> </w:t>
            </w:r>
            <w:r>
              <w:rPr>
                <w:sz w:val="20"/>
              </w:rPr>
              <w:t>615.03–.06,</w:t>
            </w:r>
            <w:r>
              <w:rPr>
                <w:spacing w:val="-4"/>
                <w:sz w:val="20"/>
              </w:rPr>
              <w:t xml:space="preserve"> .11,</w:t>
            </w:r>
          </w:p>
          <w:p w14:paraId="0DFDABE6" w14:textId="77777777" w:rsidR="00046465" w:rsidRDefault="008134EB">
            <w:pPr>
              <w:pStyle w:val="TableParagraph"/>
              <w:spacing w:before="1"/>
              <w:ind w:left="107"/>
              <w:rPr>
                <w:sz w:val="20"/>
              </w:rPr>
            </w:pPr>
            <w:r>
              <w:rPr>
                <w:sz w:val="20"/>
              </w:rPr>
              <w:t>.12,</w:t>
            </w:r>
            <w:r>
              <w:rPr>
                <w:spacing w:val="-3"/>
                <w:sz w:val="20"/>
              </w:rPr>
              <w:t xml:space="preserve"> </w:t>
            </w:r>
            <w:r>
              <w:rPr>
                <w:sz w:val="20"/>
              </w:rPr>
              <w:t>.15,</w:t>
            </w:r>
            <w:r>
              <w:rPr>
                <w:spacing w:val="-2"/>
                <w:sz w:val="20"/>
              </w:rPr>
              <w:t xml:space="preserve"> </w:t>
            </w:r>
            <w:r>
              <w:rPr>
                <w:sz w:val="20"/>
              </w:rPr>
              <w:t>.35–</w:t>
            </w:r>
            <w:r>
              <w:rPr>
                <w:spacing w:val="-5"/>
                <w:sz w:val="20"/>
              </w:rPr>
              <w:t>.36</w:t>
            </w:r>
          </w:p>
        </w:tc>
        <w:tc>
          <w:tcPr>
            <w:tcW w:w="2430" w:type="dxa"/>
            <w:tcBorders>
              <w:top w:val="single" w:sz="4" w:space="0" w:color="000000"/>
              <w:left w:val="single" w:sz="4" w:space="0" w:color="000000"/>
              <w:bottom w:val="single" w:sz="4" w:space="0" w:color="000000"/>
            </w:tcBorders>
          </w:tcPr>
          <w:p w14:paraId="0DFDABE7" w14:textId="77777777" w:rsidR="00046465" w:rsidRDefault="008134EB">
            <w:pPr>
              <w:pStyle w:val="TableParagraph"/>
              <w:ind w:left="107"/>
              <w:rPr>
                <w:sz w:val="20"/>
              </w:rPr>
            </w:pPr>
            <w:r>
              <w:rPr>
                <w:sz w:val="20"/>
              </w:rPr>
              <w:t>FAM</w:t>
            </w:r>
            <w:r>
              <w:rPr>
                <w:spacing w:val="-8"/>
                <w:sz w:val="20"/>
              </w:rPr>
              <w:t xml:space="preserve"> </w:t>
            </w:r>
            <w:r>
              <w:rPr>
                <w:sz w:val="20"/>
              </w:rPr>
              <w:t>615.16–</w:t>
            </w:r>
            <w:r>
              <w:rPr>
                <w:spacing w:val="-4"/>
                <w:sz w:val="20"/>
              </w:rPr>
              <w:t>.19,</w:t>
            </w:r>
          </w:p>
          <w:p w14:paraId="0DFDABE8" w14:textId="77777777" w:rsidR="00046465" w:rsidRDefault="008134EB">
            <w:pPr>
              <w:pStyle w:val="TableParagraph"/>
              <w:spacing w:before="1"/>
              <w:ind w:left="107"/>
              <w:rPr>
                <w:sz w:val="20"/>
              </w:rPr>
            </w:pPr>
            <w:r>
              <w:rPr>
                <w:sz w:val="20"/>
              </w:rPr>
              <w:t>.22–.27,</w:t>
            </w:r>
            <w:r>
              <w:rPr>
                <w:spacing w:val="-4"/>
                <w:sz w:val="20"/>
              </w:rPr>
              <w:t xml:space="preserve"> </w:t>
            </w:r>
            <w:r>
              <w:rPr>
                <w:sz w:val="20"/>
              </w:rPr>
              <w:t>.35–</w:t>
            </w:r>
            <w:r>
              <w:rPr>
                <w:spacing w:val="-5"/>
                <w:sz w:val="20"/>
              </w:rPr>
              <w:t>.36</w:t>
            </w:r>
          </w:p>
        </w:tc>
      </w:tr>
      <w:tr w:rsidR="00046465" w14:paraId="0DFDABEF" w14:textId="77777777">
        <w:trPr>
          <w:trHeight w:val="580"/>
        </w:trPr>
        <w:tc>
          <w:tcPr>
            <w:tcW w:w="3168" w:type="dxa"/>
            <w:tcBorders>
              <w:top w:val="single" w:sz="4" w:space="0" w:color="000000"/>
              <w:bottom w:val="single" w:sz="4" w:space="0" w:color="000000"/>
              <w:right w:val="single" w:sz="4" w:space="0" w:color="000000"/>
            </w:tcBorders>
          </w:tcPr>
          <w:p w14:paraId="0DFDABEA" w14:textId="77777777" w:rsidR="00046465" w:rsidRDefault="008134EB">
            <w:pPr>
              <w:pStyle w:val="TableParagraph"/>
              <w:ind w:left="97"/>
              <w:rPr>
                <w:sz w:val="20"/>
              </w:rPr>
            </w:pPr>
            <w:r>
              <w:rPr>
                <w:b/>
                <w:sz w:val="20"/>
              </w:rPr>
              <w:t>FAM</w:t>
            </w:r>
            <w:r>
              <w:rPr>
                <w:b/>
                <w:spacing w:val="-6"/>
                <w:sz w:val="20"/>
              </w:rPr>
              <w:t xml:space="preserve"> </w:t>
            </w:r>
            <w:r>
              <w:rPr>
                <w:b/>
                <w:sz w:val="20"/>
              </w:rPr>
              <w:t>640</w:t>
            </w:r>
            <w:r>
              <w:rPr>
                <w:b/>
                <w:spacing w:val="-6"/>
                <w:sz w:val="20"/>
              </w:rPr>
              <w:t xml:space="preserve"> </w:t>
            </w:r>
            <w:r>
              <w:rPr>
                <w:sz w:val="20"/>
              </w:rPr>
              <w:t>–</w:t>
            </w:r>
            <w:r>
              <w:rPr>
                <w:spacing w:val="-6"/>
                <w:sz w:val="20"/>
              </w:rPr>
              <w:t xml:space="preserve"> </w:t>
            </w:r>
            <w:r>
              <w:rPr>
                <w:sz w:val="20"/>
              </w:rPr>
              <w:t>Using</w:t>
            </w:r>
            <w:r>
              <w:rPr>
                <w:spacing w:val="-6"/>
                <w:sz w:val="20"/>
              </w:rPr>
              <w:t xml:space="preserve"> </w:t>
            </w:r>
            <w:r>
              <w:rPr>
                <w:sz w:val="20"/>
              </w:rPr>
              <w:t>the</w:t>
            </w:r>
            <w:r>
              <w:rPr>
                <w:spacing w:val="-7"/>
                <w:sz w:val="20"/>
              </w:rPr>
              <w:t xml:space="preserve"> </w:t>
            </w:r>
            <w:r>
              <w:rPr>
                <w:sz w:val="20"/>
              </w:rPr>
              <w:t>Work</w:t>
            </w:r>
            <w:r>
              <w:rPr>
                <w:spacing w:val="-6"/>
                <w:sz w:val="20"/>
              </w:rPr>
              <w:t xml:space="preserve"> </w:t>
            </w:r>
            <w:r>
              <w:rPr>
                <w:sz w:val="20"/>
              </w:rPr>
              <w:t>of Service Auditors</w:t>
            </w:r>
          </w:p>
        </w:tc>
        <w:tc>
          <w:tcPr>
            <w:tcW w:w="2430" w:type="dxa"/>
            <w:tcBorders>
              <w:top w:val="single" w:sz="4" w:space="0" w:color="000000"/>
              <w:left w:val="single" w:sz="4" w:space="0" w:color="000000"/>
              <w:bottom w:val="single" w:sz="4" w:space="0" w:color="000000"/>
              <w:right w:val="single" w:sz="4" w:space="0" w:color="000000"/>
            </w:tcBorders>
          </w:tcPr>
          <w:p w14:paraId="0DFDABEB" w14:textId="77777777" w:rsidR="00046465" w:rsidRDefault="008134EB">
            <w:pPr>
              <w:pStyle w:val="TableParagraph"/>
              <w:ind w:left="107"/>
              <w:rPr>
                <w:sz w:val="20"/>
              </w:rPr>
            </w:pPr>
            <w:r>
              <w:rPr>
                <w:sz w:val="20"/>
              </w:rPr>
              <w:t>FAM</w:t>
            </w:r>
            <w:r>
              <w:rPr>
                <w:spacing w:val="-4"/>
                <w:sz w:val="20"/>
              </w:rPr>
              <w:t xml:space="preserve"> </w:t>
            </w:r>
            <w:r>
              <w:rPr>
                <w:sz w:val="20"/>
              </w:rPr>
              <w:t>615.03–.04,</w:t>
            </w:r>
            <w:r>
              <w:rPr>
                <w:spacing w:val="-4"/>
                <w:sz w:val="20"/>
              </w:rPr>
              <w:t xml:space="preserve"> .13,</w:t>
            </w:r>
          </w:p>
          <w:p w14:paraId="0DFDABEC" w14:textId="77777777" w:rsidR="00046465" w:rsidRDefault="008134EB">
            <w:pPr>
              <w:pStyle w:val="TableParagraph"/>
              <w:spacing w:before="1"/>
              <w:ind w:left="107"/>
              <w:rPr>
                <w:sz w:val="20"/>
              </w:rPr>
            </w:pPr>
            <w:r>
              <w:rPr>
                <w:sz w:val="20"/>
              </w:rPr>
              <w:t>.14,</w:t>
            </w:r>
            <w:r>
              <w:rPr>
                <w:spacing w:val="-5"/>
                <w:sz w:val="20"/>
              </w:rPr>
              <w:t xml:space="preserve"> </w:t>
            </w:r>
            <w:r>
              <w:rPr>
                <w:sz w:val="20"/>
              </w:rPr>
              <w:t>.35–</w:t>
            </w:r>
            <w:r>
              <w:rPr>
                <w:spacing w:val="-5"/>
                <w:sz w:val="20"/>
              </w:rPr>
              <w:t>.36</w:t>
            </w:r>
          </w:p>
        </w:tc>
        <w:tc>
          <w:tcPr>
            <w:tcW w:w="2430" w:type="dxa"/>
            <w:tcBorders>
              <w:top w:val="single" w:sz="4" w:space="0" w:color="000000"/>
              <w:left w:val="single" w:sz="4" w:space="0" w:color="000000"/>
              <w:bottom w:val="single" w:sz="4" w:space="0" w:color="000000"/>
            </w:tcBorders>
          </w:tcPr>
          <w:p w14:paraId="0DFDABED" w14:textId="77777777" w:rsidR="00046465" w:rsidRDefault="008134EB">
            <w:pPr>
              <w:pStyle w:val="TableParagraph"/>
              <w:ind w:left="107"/>
              <w:rPr>
                <w:sz w:val="20"/>
              </w:rPr>
            </w:pPr>
            <w:r>
              <w:rPr>
                <w:sz w:val="20"/>
              </w:rPr>
              <w:t>FAM</w:t>
            </w:r>
            <w:r>
              <w:rPr>
                <w:spacing w:val="-3"/>
                <w:sz w:val="20"/>
              </w:rPr>
              <w:t xml:space="preserve"> </w:t>
            </w:r>
            <w:r>
              <w:rPr>
                <w:sz w:val="20"/>
              </w:rPr>
              <w:t>615.16,</w:t>
            </w:r>
            <w:r>
              <w:rPr>
                <w:spacing w:val="-4"/>
                <w:sz w:val="20"/>
              </w:rPr>
              <w:t xml:space="preserve"> .20,</w:t>
            </w:r>
          </w:p>
          <w:p w14:paraId="0DFDABEE" w14:textId="77777777" w:rsidR="00046465" w:rsidRDefault="008134EB">
            <w:pPr>
              <w:pStyle w:val="TableParagraph"/>
              <w:spacing w:before="1"/>
              <w:ind w:left="107"/>
              <w:rPr>
                <w:sz w:val="20"/>
              </w:rPr>
            </w:pPr>
            <w:r>
              <w:rPr>
                <w:sz w:val="20"/>
              </w:rPr>
              <w:t>.23–.24,</w:t>
            </w:r>
            <w:r>
              <w:rPr>
                <w:spacing w:val="-4"/>
                <w:sz w:val="20"/>
              </w:rPr>
              <w:t xml:space="preserve"> </w:t>
            </w:r>
            <w:r>
              <w:rPr>
                <w:sz w:val="20"/>
              </w:rPr>
              <w:t>.34–</w:t>
            </w:r>
            <w:r>
              <w:rPr>
                <w:spacing w:val="-5"/>
                <w:sz w:val="20"/>
              </w:rPr>
              <w:t>.36</w:t>
            </w:r>
          </w:p>
        </w:tc>
      </w:tr>
      <w:tr w:rsidR="00046465" w14:paraId="0DFDABF5" w14:textId="77777777">
        <w:trPr>
          <w:trHeight w:val="579"/>
        </w:trPr>
        <w:tc>
          <w:tcPr>
            <w:tcW w:w="3168" w:type="dxa"/>
            <w:tcBorders>
              <w:top w:val="single" w:sz="4" w:space="0" w:color="000000"/>
              <w:bottom w:val="single" w:sz="4" w:space="0" w:color="000000"/>
              <w:right w:val="single" w:sz="4" w:space="0" w:color="000000"/>
            </w:tcBorders>
          </w:tcPr>
          <w:p w14:paraId="0DFDABF0" w14:textId="77777777" w:rsidR="00046465" w:rsidRDefault="008134EB">
            <w:pPr>
              <w:pStyle w:val="TableParagraph"/>
              <w:ind w:left="97"/>
              <w:rPr>
                <w:sz w:val="20"/>
              </w:rPr>
            </w:pPr>
            <w:r>
              <w:rPr>
                <w:b/>
                <w:sz w:val="20"/>
              </w:rPr>
              <w:t>FAM</w:t>
            </w:r>
            <w:r>
              <w:rPr>
                <w:b/>
                <w:spacing w:val="-6"/>
                <w:sz w:val="20"/>
              </w:rPr>
              <w:t xml:space="preserve"> </w:t>
            </w:r>
            <w:r>
              <w:rPr>
                <w:b/>
                <w:sz w:val="20"/>
              </w:rPr>
              <w:t>645</w:t>
            </w:r>
            <w:r>
              <w:rPr>
                <w:b/>
                <w:spacing w:val="-6"/>
                <w:sz w:val="20"/>
              </w:rPr>
              <w:t xml:space="preserve"> </w:t>
            </w:r>
            <w:r>
              <w:rPr>
                <w:sz w:val="20"/>
              </w:rPr>
              <w:t>–</w:t>
            </w:r>
            <w:r>
              <w:rPr>
                <w:spacing w:val="-6"/>
                <w:sz w:val="20"/>
              </w:rPr>
              <w:t xml:space="preserve"> </w:t>
            </w:r>
            <w:r>
              <w:rPr>
                <w:sz w:val="20"/>
              </w:rPr>
              <w:t>Using</w:t>
            </w:r>
            <w:r>
              <w:rPr>
                <w:spacing w:val="-6"/>
                <w:sz w:val="20"/>
              </w:rPr>
              <w:t xml:space="preserve"> </w:t>
            </w:r>
            <w:r>
              <w:rPr>
                <w:sz w:val="20"/>
              </w:rPr>
              <w:t>the</w:t>
            </w:r>
            <w:r>
              <w:rPr>
                <w:spacing w:val="-7"/>
                <w:sz w:val="20"/>
              </w:rPr>
              <w:t xml:space="preserve"> </w:t>
            </w:r>
            <w:r>
              <w:rPr>
                <w:sz w:val="20"/>
              </w:rPr>
              <w:t>Work</w:t>
            </w:r>
            <w:r>
              <w:rPr>
                <w:spacing w:val="-6"/>
                <w:sz w:val="20"/>
              </w:rPr>
              <w:t xml:space="preserve"> </w:t>
            </w:r>
            <w:r>
              <w:rPr>
                <w:sz w:val="20"/>
              </w:rPr>
              <w:t>of Internal Auditors</w:t>
            </w:r>
          </w:p>
        </w:tc>
        <w:tc>
          <w:tcPr>
            <w:tcW w:w="2430" w:type="dxa"/>
            <w:tcBorders>
              <w:top w:val="single" w:sz="4" w:space="0" w:color="000000"/>
              <w:left w:val="single" w:sz="4" w:space="0" w:color="000000"/>
              <w:bottom w:val="single" w:sz="4" w:space="0" w:color="000000"/>
              <w:right w:val="single" w:sz="4" w:space="0" w:color="000000"/>
            </w:tcBorders>
          </w:tcPr>
          <w:p w14:paraId="0DFDABF1" w14:textId="77777777" w:rsidR="00046465" w:rsidRDefault="008134EB">
            <w:pPr>
              <w:pStyle w:val="TableParagraph"/>
              <w:ind w:left="107"/>
              <w:rPr>
                <w:sz w:val="20"/>
              </w:rPr>
            </w:pPr>
            <w:r>
              <w:rPr>
                <w:sz w:val="20"/>
              </w:rPr>
              <w:t>FAM</w:t>
            </w:r>
            <w:r>
              <w:rPr>
                <w:spacing w:val="-4"/>
                <w:sz w:val="20"/>
              </w:rPr>
              <w:t xml:space="preserve"> </w:t>
            </w:r>
            <w:r>
              <w:rPr>
                <w:sz w:val="20"/>
              </w:rPr>
              <w:t>615.03–.04,</w:t>
            </w:r>
            <w:r>
              <w:rPr>
                <w:spacing w:val="-3"/>
                <w:sz w:val="20"/>
              </w:rPr>
              <w:t xml:space="preserve"> </w:t>
            </w:r>
            <w:r>
              <w:rPr>
                <w:spacing w:val="-4"/>
                <w:sz w:val="20"/>
              </w:rPr>
              <w:t>.15,</w:t>
            </w:r>
          </w:p>
          <w:p w14:paraId="0DFDABF2" w14:textId="77777777" w:rsidR="00046465" w:rsidRDefault="008134EB">
            <w:pPr>
              <w:pStyle w:val="TableParagraph"/>
              <w:spacing w:before="1"/>
              <w:ind w:left="107"/>
              <w:rPr>
                <w:sz w:val="20"/>
              </w:rPr>
            </w:pPr>
            <w:r>
              <w:rPr>
                <w:spacing w:val="-2"/>
                <w:sz w:val="20"/>
              </w:rPr>
              <w:t>.35–</w:t>
            </w:r>
            <w:r>
              <w:rPr>
                <w:spacing w:val="-5"/>
                <w:sz w:val="20"/>
              </w:rPr>
              <w:t>.36</w:t>
            </w:r>
          </w:p>
        </w:tc>
        <w:tc>
          <w:tcPr>
            <w:tcW w:w="2430" w:type="dxa"/>
            <w:tcBorders>
              <w:top w:val="single" w:sz="4" w:space="0" w:color="000000"/>
              <w:left w:val="single" w:sz="4" w:space="0" w:color="000000"/>
              <w:bottom w:val="single" w:sz="4" w:space="0" w:color="000000"/>
            </w:tcBorders>
          </w:tcPr>
          <w:p w14:paraId="0DFDABF3" w14:textId="77777777" w:rsidR="00046465" w:rsidRDefault="008134EB">
            <w:pPr>
              <w:pStyle w:val="TableParagraph"/>
              <w:ind w:left="107"/>
              <w:rPr>
                <w:sz w:val="20"/>
              </w:rPr>
            </w:pPr>
            <w:r>
              <w:rPr>
                <w:sz w:val="20"/>
              </w:rPr>
              <w:t>FAM</w:t>
            </w:r>
            <w:r>
              <w:rPr>
                <w:spacing w:val="-3"/>
                <w:sz w:val="20"/>
              </w:rPr>
              <w:t xml:space="preserve"> </w:t>
            </w:r>
            <w:r>
              <w:rPr>
                <w:sz w:val="20"/>
              </w:rPr>
              <w:t>615.16,</w:t>
            </w:r>
            <w:r>
              <w:rPr>
                <w:spacing w:val="-4"/>
                <w:sz w:val="20"/>
              </w:rPr>
              <w:t xml:space="preserve"> .19,</w:t>
            </w:r>
          </w:p>
          <w:p w14:paraId="0DFDABF4" w14:textId="77777777" w:rsidR="00046465" w:rsidRDefault="008134EB">
            <w:pPr>
              <w:pStyle w:val="TableParagraph"/>
              <w:spacing w:before="1"/>
              <w:ind w:left="107"/>
              <w:rPr>
                <w:sz w:val="20"/>
              </w:rPr>
            </w:pPr>
            <w:r>
              <w:rPr>
                <w:sz w:val="20"/>
              </w:rPr>
              <w:t>.25–.27,</w:t>
            </w:r>
            <w:r>
              <w:rPr>
                <w:spacing w:val="-4"/>
                <w:sz w:val="20"/>
              </w:rPr>
              <w:t xml:space="preserve"> </w:t>
            </w:r>
            <w:r>
              <w:rPr>
                <w:sz w:val="20"/>
              </w:rPr>
              <w:t>.35–</w:t>
            </w:r>
            <w:r>
              <w:rPr>
                <w:spacing w:val="-5"/>
                <w:sz w:val="20"/>
              </w:rPr>
              <w:t>.36</w:t>
            </w:r>
          </w:p>
        </w:tc>
      </w:tr>
      <w:tr w:rsidR="00046465" w14:paraId="0DFDABFB" w14:textId="77777777">
        <w:trPr>
          <w:trHeight w:val="811"/>
        </w:trPr>
        <w:tc>
          <w:tcPr>
            <w:tcW w:w="3168" w:type="dxa"/>
            <w:tcBorders>
              <w:top w:val="single" w:sz="4" w:space="0" w:color="000000"/>
              <w:right w:val="single" w:sz="4" w:space="0" w:color="000000"/>
            </w:tcBorders>
          </w:tcPr>
          <w:p w14:paraId="0DFDABF6" w14:textId="77777777" w:rsidR="00046465" w:rsidRDefault="008134EB">
            <w:pPr>
              <w:pStyle w:val="TableParagraph"/>
              <w:ind w:left="97"/>
              <w:rPr>
                <w:sz w:val="20"/>
              </w:rPr>
            </w:pPr>
            <w:r>
              <w:rPr>
                <w:b/>
                <w:sz w:val="20"/>
              </w:rPr>
              <w:t>FAM</w:t>
            </w:r>
            <w:r>
              <w:rPr>
                <w:b/>
                <w:spacing w:val="-8"/>
                <w:sz w:val="20"/>
              </w:rPr>
              <w:t xml:space="preserve"> </w:t>
            </w:r>
            <w:r>
              <w:rPr>
                <w:b/>
                <w:sz w:val="20"/>
              </w:rPr>
              <w:t>670</w:t>
            </w:r>
            <w:r>
              <w:rPr>
                <w:b/>
                <w:spacing w:val="-8"/>
                <w:sz w:val="20"/>
              </w:rPr>
              <w:t xml:space="preserve"> </w:t>
            </w:r>
            <w:r>
              <w:rPr>
                <w:sz w:val="20"/>
              </w:rPr>
              <w:t>–</w:t>
            </w:r>
            <w:r>
              <w:rPr>
                <w:spacing w:val="-8"/>
                <w:sz w:val="20"/>
              </w:rPr>
              <w:t xml:space="preserve"> </w:t>
            </w:r>
            <w:r>
              <w:rPr>
                <w:sz w:val="20"/>
              </w:rPr>
              <w:t>Oversight</w:t>
            </w:r>
            <w:r>
              <w:rPr>
                <w:spacing w:val="-8"/>
                <w:sz w:val="20"/>
              </w:rPr>
              <w:t xml:space="preserve"> </w:t>
            </w:r>
            <w:r>
              <w:rPr>
                <w:sz w:val="20"/>
              </w:rPr>
              <w:t>of</w:t>
            </w:r>
            <w:r>
              <w:rPr>
                <w:spacing w:val="-8"/>
                <w:sz w:val="20"/>
              </w:rPr>
              <w:t xml:space="preserve"> </w:t>
            </w:r>
            <w:r>
              <w:rPr>
                <w:sz w:val="20"/>
              </w:rPr>
              <w:t xml:space="preserve">Audits Performed by Contracted IPA </w:t>
            </w:r>
            <w:r>
              <w:rPr>
                <w:spacing w:val="-2"/>
                <w:sz w:val="20"/>
              </w:rPr>
              <w:t>Firms</w:t>
            </w:r>
          </w:p>
        </w:tc>
        <w:tc>
          <w:tcPr>
            <w:tcW w:w="2430" w:type="dxa"/>
            <w:tcBorders>
              <w:top w:val="single" w:sz="4" w:space="0" w:color="000000"/>
              <w:left w:val="single" w:sz="4" w:space="0" w:color="000000"/>
              <w:right w:val="single" w:sz="4" w:space="0" w:color="000000"/>
            </w:tcBorders>
          </w:tcPr>
          <w:p w14:paraId="0DFDABF7" w14:textId="77777777" w:rsidR="00046465" w:rsidRDefault="008134EB">
            <w:pPr>
              <w:pStyle w:val="TableParagraph"/>
              <w:ind w:left="107"/>
              <w:rPr>
                <w:sz w:val="20"/>
              </w:rPr>
            </w:pPr>
            <w:r>
              <w:rPr>
                <w:sz w:val="20"/>
              </w:rPr>
              <w:t>FAM</w:t>
            </w:r>
            <w:r>
              <w:rPr>
                <w:spacing w:val="-4"/>
                <w:sz w:val="20"/>
              </w:rPr>
              <w:t xml:space="preserve"> </w:t>
            </w:r>
            <w:r>
              <w:rPr>
                <w:sz w:val="20"/>
              </w:rPr>
              <w:t>615.03–.06,</w:t>
            </w:r>
            <w:r>
              <w:rPr>
                <w:spacing w:val="-4"/>
                <w:sz w:val="20"/>
              </w:rPr>
              <w:t xml:space="preserve"> .35–</w:t>
            </w:r>
          </w:p>
          <w:p w14:paraId="0DFDABF8" w14:textId="77777777" w:rsidR="00046465" w:rsidRDefault="008134EB">
            <w:pPr>
              <w:pStyle w:val="TableParagraph"/>
              <w:spacing w:before="1"/>
              <w:ind w:left="107"/>
              <w:rPr>
                <w:sz w:val="20"/>
              </w:rPr>
            </w:pPr>
            <w:r>
              <w:rPr>
                <w:spacing w:val="-5"/>
                <w:sz w:val="20"/>
              </w:rPr>
              <w:t>.36</w:t>
            </w:r>
          </w:p>
        </w:tc>
        <w:tc>
          <w:tcPr>
            <w:tcW w:w="2430" w:type="dxa"/>
            <w:tcBorders>
              <w:top w:val="single" w:sz="4" w:space="0" w:color="000000"/>
              <w:left w:val="single" w:sz="4" w:space="0" w:color="000000"/>
            </w:tcBorders>
          </w:tcPr>
          <w:p w14:paraId="0DFDABF9" w14:textId="77777777" w:rsidR="00046465" w:rsidRDefault="008134EB">
            <w:pPr>
              <w:pStyle w:val="TableParagraph"/>
              <w:ind w:left="107"/>
              <w:rPr>
                <w:sz w:val="20"/>
              </w:rPr>
            </w:pPr>
            <w:r>
              <w:rPr>
                <w:sz w:val="20"/>
              </w:rPr>
              <w:t>FAM</w:t>
            </w:r>
            <w:r>
              <w:rPr>
                <w:spacing w:val="-8"/>
                <w:sz w:val="20"/>
              </w:rPr>
              <w:t xml:space="preserve"> </w:t>
            </w:r>
            <w:r>
              <w:rPr>
                <w:sz w:val="20"/>
              </w:rPr>
              <w:t>615.16–</w:t>
            </w:r>
            <w:r>
              <w:rPr>
                <w:spacing w:val="-4"/>
                <w:sz w:val="20"/>
              </w:rPr>
              <w:t>.18,</w:t>
            </w:r>
          </w:p>
          <w:p w14:paraId="0DFDABFA" w14:textId="77777777" w:rsidR="00046465" w:rsidRDefault="008134EB">
            <w:pPr>
              <w:pStyle w:val="TableParagraph"/>
              <w:spacing w:before="1"/>
              <w:ind w:left="107"/>
              <w:rPr>
                <w:sz w:val="20"/>
              </w:rPr>
            </w:pPr>
            <w:r>
              <w:rPr>
                <w:sz w:val="20"/>
              </w:rPr>
              <w:t>.23–.27,</w:t>
            </w:r>
            <w:r>
              <w:rPr>
                <w:spacing w:val="-4"/>
                <w:sz w:val="20"/>
              </w:rPr>
              <w:t xml:space="preserve"> </w:t>
            </w:r>
            <w:r>
              <w:rPr>
                <w:sz w:val="20"/>
              </w:rPr>
              <w:t>.35–</w:t>
            </w:r>
            <w:r>
              <w:rPr>
                <w:spacing w:val="-5"/>
                <w:sz w:val="20"/>
              </w:rPr>
              <w:t>.36</w:t>
            </w:r>
          </w:p>
        </w:tc>
      </w:tr>
    </w:tbl>
    <w:p w14:paraId="0DFDABFC" w14:textId="77777777" w:rsidR="00046465" w:rsidRDefault="008134EB">
      <w:pPr>
        <w:pStyle w:val="ListParagraph"/>
        <w:numPr>
          <w:ilvl w:val="0"/>
          <w:numId w:val="20"/>
        </w:numPr>
        <w:tabs>
          <w:tab w:val="left" w:pos="1800"/>
        </w:tabs>
        <w:spacing w:before="112"/>
        <w:ind w:right="1142"/>
      </w:pPr>
      <w:r>
        <w:t>When</w:t>
      </w:r>
      <w:r>
        <w:rPr>
          <w:spacing w:val="-4"/>
        </w:rPr>
        <w:t xml:space="preserve"> </w:t>
      </w:r>
      <w:r>
        <w:t>using</w:t>
      </w:r>
      <w:r>
        <w:rPr>
          <w:spacing w:val="-5"/>
        </w:rPr>
        <w:t xml:space="preserve"> </w:t>
      </w:r>
      <w:r>
        <w:t>the</w:t>
      </w:r>
      <w:r>
        <w:rPr>
          <w:spacing w:val="-4"/>
        </w:rPr>
        <w:t xml:space="preserve"> </w:t>
      </w:r>
      <w:r>
        <w:t>work</w:t>
      </w:r>
      <w:r>
        <w:rPr>
          <w:spacing w:val="-4"/>
        </w:rPr>
        <w:t xml:space="preserve"> </w:t>
      </w:r>
      <w:r>
        <w:t>of</w:t>
      </w:r>
      <w:r>
        <w:rPr>
          <w:spacing w:val="-4"/>
        </w:rPr>
        <w:t xml:space="preserve"> </w:t>
      </w:r>
      <w:r>
        <w:t>others</w:t>
      </w:r>
      <w:r>
        <w:rPr>
          <w:spacing w:val="-4"/>
        </w:rPr>
        <w:t xml:space="preserve"> </w:t>
      </w:r>
      <w:r>
        <w:t>in</w:t>
      </w:r>
      <w:r>
        <w:rPr>
          <w:spacing w:val="-4"/>
        </w:rPr>
        <w:t xml:space="preserve"> </w:t>
      </w:r>
      <w:r>
        <w:t>situations</w:t>
      </w:r>
      <w:r>
        <w:rPr>
          <w:spacing w:val="-4"/>
        </w:rPr>
        <w:t xml:space="preserve"> </w:t>
      </w:r>
      <w:r>
        <w:t>not</w:t>
      </w:r>
      <w:r>
        <w:rPr>
          <w:spacing w:val="-5"/>
        </w:rPr>
        <w:t xml:space="preserve"> </w:t>
      </w:r>
      <w:r>
        <w:t>specifically</w:t>
      </w:r>
      <w:r>
        <w:rPr>
          <w:spacing w:val="-5"/>
        </w:rPr>
        <w:t xml:space="preserve"> </w:t>
      </w:r>
      <w:r>
        <w:t>addressed</w:t>
      </w:r>
      <w:r>
        <w:rPr>
          <w:spacing w:val="-4"/>
        </w:rPr>
        <w:t xml:space="preserve"> </w:t>
      </w:r>
      <w:r>
        <w:t>above, auditors may find the guidance in this section, adapted as necessary, useful when evaluating the objectivity and competence of others.</w:t>
      </w:r>
    </w:p>
    <w:p w14:paraId="0DFDABFD" w14:textId="77777777" w:rsidR="00046465" w:rsidRDefault="008134EB">
      <w:pPr>
        <w:pStyle w:val="Heading4"/>
        <w:spacing w:before="239"/>
      </w:pPr>
      <w:r>
        <w:t>Evaluating</w:t>
      </w:r>
      <w:r>
        <w:rPr>
          <w:spacing w:val="-14"/>
        </w:rPr>
        <w:t xml:space="preserve"> </w:t>
      </w:r>
      <w:r>
        <w:t>Other</w:t>
      </w:r>
      <w:r>
        <w:rPr>
          <w:spacing w:val="-13"/>
        </w:rPr>
        <w:t xml:space="preserve"> </w:t>
      </w:r>
      <w:r>
        <w:t>Auditors’</w:t>
      </w:r>
      <w:r>
        <w:rPr>
          <w:spacing w:val="-12"/>
        </w:rPr>
        <w:t xml:space="preserve"> </w:t>
      </w:r>
      <w:r>
        <w:t>or</w:t>
      </w:r>
      <w:r>
        <w:rPr>
          <w:spacing w:val="-13"/>
        </w:rPr>
        <w:t xml:space="preserve"> </w:t>
      </w:r>
      <w:r>
        <w:t>Specialists’</w:t>
      </w:r>
      <w:r>
        <w:rPr>
          <w:spacing w:val="-14"/>
        </w:rPr>
        <w:t xml:space="preserve"> </w:t>
      </w:r>
      <w:r>
        <w:rPr>
          <w:spacing w:val="-2"/>
        </w:rPr>
        <w:t>Objectivity</w:t>
      </w:r>
    </w:p>
    <w:p w14:paraId="0DFDABFE" w14:textId="77777777" w:rsidR="00046465" w:rsidRDefault="008134EB">
      <w:pPr>
        <w:pStyle w:val="ListParagraph"/>
        <w:numPr>
          <w:ilvl w:val="0"/>
          <w:numId w:val="20"/>
        </w:numPr>
        <w:tabs>
          <w:tab w:val="left" w:pos="1800"/>
        </w:tabs>
        <w:ind w:right="835"/>
      </w:pPr>
      <w:r>
        <w:t>Auditors’ objectivity in discharging their professional responsibilities is the basis for the credibility of auditing in the government sector. Objectivity includes independence of mind and appearance when conducting engagements, maintaining</w:t>
      </w:r>
      <w:r>
        <w:rPr>
          <w:spacing w:val="-4"/>
        </w:rPr>
        <w:t xml:space="preserve"> </w:t>
      </w:r>
      <w:r>
        <w:t>an</w:t>
      </w:r>
      <w:r>
        <w:rPr>
          <w:spacing w:val="-4"/>
        </w:rPr>
        <w:t xml:space="preserve"> </w:t>
      </w:r>
      <w:r>
        <w:t>attitude</w:t>
      </w:r>
      <w:r>
        <w:rPr>
          <w:spacing w:val="-4"/>
        </w:rPr>
        <w:t xml:space="preserve"> </w:t>
      </w:r>
      <w:r>
        <w:t>of</w:t>
      </w:r>
      <w:r>
        <w:rPr>
          <w:spacing w:val="-4"/>
        </w:rPr>
        <w:t xml:space="preserve"> </w:t>
      </w:r>
      <w:r>
        <w:t>impartiality,</w:t>
      </w:r>
      <w:r>
        <w:rPr>
          <w:spacing w:val="-4"/>
        </w:rPr>
        <w:t xml:space="preserve"> </w:t>
      </w:r>
      <w:r>
        <w:t>having</w:t>
      </w:r>
      <w:r>
        <w:rPr>
          <w:spacing w:val="-4"/>
        </w:rPr>
        <w:t xml:space="preserve"> </w:t>
      </w:r>
      <w:r>
        <w:t>intellectual</w:t>
      </w:r>
      <w:r>
        <w:rPr>
          <w:spacing w:val="-4"/>
        </w:rPr>
        <w:t xml:space="preserve"> </w:t>
      </w:r>
      <w:r>
        <w:t>honesty,</w:t>
      </w:r>
      <w:r>
        <w:rPr>
          <w:spacing w:val="-4"/>
        </w:rPr>
        <w:t xml:space="preserve"> </w:t>
      </w:r>
      <w:r>
        <w:t>and</w:t>
      </w:r>
      <w:r>
        <w:rPr>
          <w:spacing w:val="-4"/>
        </w:rPr>
        <w:t xml:space="preserve"> </w:t>
      </w:r>
      <w:r>
        <w:t>being</w:t>
      </w:r>
      <w:r>
        <w:rPr>
          <w:spacing w:val="-4"/>
        </w:rPr>
        <w:t xml:space="preserve"> </w:t>
      </w:r>
      <w:r>
        <w:t>free of conflicts of interest. Maintaining objectivity includes a continuing assessment of relationships with audited entities and other stakeholders in the context of the auditors’ responsibility to the public. The concepts of objectivity and independence are closely related. Independence impairments affect objectivity. (GAGAS (2018) 3.11)</w:t>
      </w:r>
    </w:p>
    <w:p w14:paraId="0DFDABFF" w14:textId="77777777" w:rsidR="00046465" w:rsidRDefault="00046465">
      <w:pPr>
        <w:pStyle w:val="ListParagraph"/>
        <w:sectPr w:rsidR="00046465">
          <w:headerReference w:type="default" r:id="rId30"/>
          <w:footerReference w:type="default" r:id="rId31"/>
          <w:pgSz w:w="12240" w:h="15840"/>
          <w:pgMar w:top="1340" w:right="720" w:bottom="940" w:left="1080" w:header="721" w:footer="757" w:gutter="0"/>
          <w:cols w:space="720"/>
        </w:sectPr>
      </w:pPr>
    </w:p>
    <w:p w14:paraId="0DFDAC00" w14:textId="77777777" w:rsidR="00046465" w:rsidRDefault="008134EB">
      <w:pPr>
        <w:pStyle w:val="ListParagraph"/>
        <w:numPr>
          <w:ilvl w:val="0"/>
          <w:numId w:val="20"/>
        </w:numPr>
        <w:tabs>
          <w:tab w:val="left" w:pos="1800"/>
        </w:tabs>
        <w:spacing w:before="121"/>
        <w:ind w:right="728"/>
        <w:rPr>
          <w:position w:val="7"/>
          <w:sz w:val="14"/>
        </w:rPr>
      </w:pPr>
      <w:r>
        <w:lastRenderedPageBreak/>
        <w:t xml:space="preserve">When using or reviewing the work of others, the auditor should evaluate whether other auditors’ or specialists’ organizations, as well as the individual auditors or specialists, are objective (or independent, as applicable). Component auditors and service auditors should be independent in order for the auditor to use their work. There are also varying degrees of objectivity for evaluating other auditors and specialists. </w:t>
      </w:r>
      <w:r>
        <w:rPr>
          <w:color w:val="242424"/>
        </w:rPr>
        <w:t xml:space="preserve">If </w:t>
      </w:r>
      <w:r>
        <w:t>the auditor has previously evaluated the objectivity of other auditors or specialists for another engagement, the auditor should update the previous evaluation. The nature and extent of evidence needed will depend on the significance of other auditors’ or specialists’ work to the current audit objectives and the extent to which the auditor will use their work. T</w:t>
      </w:r>
      <w:r>
        <w:rPr>
          <w:color w:val="242424"/>
        </w:rPr>
        <w:t>he following procedures may be used in evaluating the objectivity of other auditors or specialists</w:t>
      </w:r>
      <w:r>
        <w:t>.</w:t>
      </w:r>
      <w:r>
        <w:rPr>
          <w:spacing w:val="-5"/>
        </w:rPr>
        <w:t xml:space="preserve"> </w:t>
      </w:r>
      <w:r>
        <w:t>In</w:t>
      </w:r>
      <w:r>
        <w:rPr>
          <w:spacing w:val="-4"/>
        </w:rPr>
        <w:t xml:space="preserve"> </w:t>
      </w:r>
      <w:r>
        <w:t>addition,</w:t>
      </w:r>
      <w:r>
        <w:rPr>
          <w:spacing w:val="-4"/>
        </w:rPr>
        <w:t xml:space="preserve"> </w:t>
      </w:r>
      <w:r>
        <w:t>auditors</w:t>
      </w:r>
      <w:r>
        <w:rPr>
          <w:spacing w:val="-4"/>
        </w:rPr>
        <w:t xml:space="preserve"> </w:t>
      </w:r>
      <w:r>
        <w:t>may</w:t>
      </w:r>
      <w:r>
        <w:rPr>
          <w:spacing w:val="-5"/>
        </w:rPr>
        <w:t xml:space="preserve"> </w:t>
      </w:r>
      <w:r>
        <w:t>refer</w:t>
      </w:r>
      <w:r>
        <w:rPr>
          <w:spacing w:val="-4"/>
        </w:rPr>
        <w:t xml:space="preserve"> </w:t>
      </w:r>
      <w:r>
        <w:t>to</w:t>
      </w:r>
      <w:r>
        <w:rPr>
          <w:spacing w:val="-4"/>
        </w:rPr>
        <w:t xml:space="preserve"> </w:t>
      </w:r>
      <w:r>
        <w:t>U.S.</w:t>
      </w:r>
      <w:r>
        <w:rPr>
          <w:spacing w:val="-4"/>
        </w:rPr>
        <w:t xml:space="preserve"> </w:t>
      </w:r>
      <w:r>
        <w:t>generally</w:t>
      </w:r>
      <w:r>
        <w:rPr>
          <w:spacing w:val="-4"/>
        </w:rPr>
        <w:t xml:space="preserve"> </w:t>
      </w:r>
      <w:r>
        <w:t>accepted</w:t>
      </w:r>
      <w:r>
        <w:rPr>
          <w:spacing w:val="-4"/>
        </w:rPr>
        <w:t xml:space="preserve"> </w:t>
      </w:r>
      <w:r>
        <w:t xml:space="preserve">government auditing standards (GAGAS) as needed when making independence </w:t>
      </w:r>
      <w:r>
        <w:rPr>
          <w:spacing w:val="-2"/>
        </w:rPr>
        <w:t>determinations.</w:t>
      </w:r>
      <w:hyperlink w:anchor="_bookmark3" w:history="1">
        <w:r>
          <w:rPr>
            <w:spacing w:val="-2"/>
            <w:position w:val="7"/>
            <w:sz w:val="14"/>
          </w:rPr>
          <w:t>1</w:t>
        </w:r>
      </w:hyperlink>
    </w:p>
    <w:p w14:paraId="0DFDAC01" w14:textId="77777777" w:rsidR="00046465" w:rsidRDefault="008134EB">
      <w:pPr>
        <w:pStyle w:val="ListParagraph"/>
        <w:numPr>
          <w:ilvl w:val="0"/>
          <w:numId w:val="20"/>
        </w:numPr>
        <w:tabs>
          <w:tab w:val="left" w:pos="1800"/>
        </w:tabs>
        <w:spacing w:before="119"/>
        <w:ind w:right="739"/>
      </w:pPr>
      <w:r>
        <w:t>If the auditor engages other auditors or specialists as a contractor, the auditor may use a contracting process that is part of its organization or a procurement function within the entity to be audited to evaluate independence and objectivity of</w:t>
      </w:r>
      <w:r>
        <w:rPr>
          <w:spacing w:val="-4"/>
        </w:rPr>
        <w:t xml:space="preserve"> </w:t>
      </w:r>
      <w:r>
        <w:t>other</w:t>
      </w:r>
      <w:r>
        <w:rPr>
          <w:spacing w:val="-4"/>
        </w:rPr>
        <w:t xml:space="preserve"> </w:t>
      </w:r>
      <w:r>
        <w:t>auditors</w:t>
      </w:r>
      <w:r>
        <w:rPr>
          <w:spacing w:val="-4"/>
        </w:rPr>
        <w:t xml:space="preserve"> </w:t>
      </w:r>
      <w:r>
        <w:t>or</w:t>
      </w:r>
      <w:r>
        <w:rPr>
          <w:spacing w:val="-4"/>
        </w:rPr>
        <w:t xml:space="preserve"> </w:t>
      </w:r>
      <w:r>
        <w:t>specialists.</w:t>
      </w:r>
      <w:r>
        <w:rPr>
          <w:spacing w:val="-4"/>
        </w:rPr>
        <w:t xml:space="preserve"> </w:t>
      </w:r>
      <w:r>
        <w:t>For</w:t>
      </w:r>
      <w:r>
        <w:rPr>
          <w:spacing w:val="-4"/>
        </w:rPr>
        <w:t xml:space="preserve"> </w:t>
      </w:r>
      <w:r>
        <w:t>example,</w:t>
      </w:r>
      <w:r>
        <w:rPr>
          <w:spacing w:val="-4"/>
        </w:rPr>
        <w:t xml:space="preserve"> </w:t>
      </w:r>
      <w:r>
        <w:t>the</w:t>
      </w:r>
      <w:r>
        <w:rPr>
          <w:spacing w:val="-4"/>
        </w:rPr>
        <w:t xml:space="preserve"> </w:t>
      </w:r>
      <w:r>
        <w:t>auditor</w:t>
      </w:r>
      <w:r>
        <w:rPr>
          <w:spacing w:val="-4"/>
        </w:rPr>
        <w:t xml:space="preserve"> </w:t>
      </w:r>
      <w:r>
        <w:t>could</w:t>
      </w:r>
      <w:r>
        <w:rPr>
          <w:spacing w:val="-4"/>
        </w:rPr>
        <w:t xml:space="preserve"> </w:t>
      </w:r>
      <w:r>
        <w:t>determine</w:t>
      </w:r>
      <w:r>
        <w:rPr>
          <w:spacing w:val="-4"/>
        </w:rPr>
        <w:t xml:space="preserve"> </w:t>
      </w:r>
      <w:r>
        <w:t>whether the firm selected made the following representations in the proposal: that it and the assigned engagement team</w:t>
      </w:r>
    </w:p>
    <w:p w14:paraId="0DFDAC02" w14:textId="77777777" w:rsidR="00046465" w:rsidRDefault="008134EB">
      <w:pPr>
        <w:pStyle w:val="ListParagraph"/>
        <w:numPr>
          <w:ilvl w:val="1"/>
          <w:numId w:val="20"/>
        </w:numPr>
        <w:tabs>
          <w:tab w:val="left" w:pos="2159"/>
        </w:tabs>
        <w:spacing w:before="121"/>
        <w:ind w:left="2159" w:hanging="359"/>
      </w:pPr>
      <w:r>
        <w:t>are</w:t>
      </w:r>
      <w:r>
        <w:rPr>
          <w:spacing w:val="-7"/>
        </w:rPr>
        <w:t xml:space="preserve"> </w:t>
      </w:r>
      <w:r>
        <w:t>independent</w:t>
      </w:r>
      <w:r>
        <w:rPr>
          <w:spacing w:val="-6"/>
        </w:rPr>
        <w:t xml:space="preserve"> </w:t>
      </w:r>
      <w:r>
        <w:t>and</w:t>
      </w:r>
      <w:r>
        <w:rPr>
          <w:spacing w:val="-6"/>
        </w:rPr>
        <w:t xml:space="preserve"> </w:t>
      </w:r>
      <w:r>
        <w:t>objective</w:t>
      </w:r>
      <w:r>
        <w:rPr>
          <w:spacing w:val="-7"/>
        </w:rPr>
        <w:t xml:space="preserve"> </w:t>
      </w:r>
      <w:r>
        <w:t>with</w:t>
      </w:r>
      <w:r>
        <w:rPr>
          <w:spacing w:val="-6"/>
        </w:rPr>
        <w:t xml:space="preserve"> </w:t>
      </w:r>
      <w:r>
        <w:t>respect</w:t>
      </w:r>
      <w:r>
        <w:rPr>
          <w:spacing w:val="-6"/>
        </w:rPr>
        <w:t xml:space="preserve"> </w:t>
      </w:r>
      <w:r>
        <w:t>to</w:t>
      </w:r>
      <w:r>
        <w:rPr>
          <w:spacing w:val="-7"/>
        </w:rPr>
        <w:t xml:space="preserve"> </w:t>
      </w:r>
      <w:r>
        <w:t>the</w:t>
      </w:r>
      <w:r>
        <w:rPr>
          <w:spacing w:val="-6"/>
        </w:rPr>
        <w:t xml:space="preserve"> </w:t>
      </w:r>
      <w:r>
        <w:t>audited</w:t>
      </w:r>
      <w:r>
        <w:rPr>
          <w:spacing w:val="-6"/>
        </w:rPr>
        <w:t xml:space="preserve"> </w:t>
      </w:r>
      <w:r>
        <w:rPr>
          <w:spacing w:val="-2"/>
        </w:rPr>
        <w:t>entity,</w:t>
      </w:r>
    </w:p>
    <w:p w14:paraId="0DFDAC03" w14:textId="77777777" w:rsidR="00046465" w:rsidRDefault="008134EB">
      <w:pPr>
        <w:pStyle w:val="ListParagraph"/>
        <w:numPr>
          <w:ilvl w:val="1"/>
          <w:numId w:val="20"/>
        </w:numPr>
        <w:tabs>
          <w:tab w:val="left" w:pos="2158"/>
        </w:tabs>
        <w:ind w:left="2158" w:hanging="359"/>
      </w:pPr>
      <w:r>
        <w:t>will</w:t>
      </w:r>
      <w:r>
        <w:rPr>
          <w:spacing w:val="-8"/>
        </w:rPr>
        <w:t xml:space="preserve"> </w:t>
      </w:r>
      <w:r>
        <w:t>remain</w:t>
      </w:r>
      <w:r>
        <w:rPr>
          <w:spacing w:val="-8"/>
        </w:rPr>
        <w:t xml:space="preserve"> </w:t>
      </w:r>
      <w:r>
        <w:t>independent</w:t>
      </w:r>
      <w:r>
        <w:rPr>
          <w:spacing w:val="-9"/>
        </w:rPr>
        <w:t xml:space="preserve"> </w:t>
      </w:r>
      <w:r>
        <w:t>throughout</w:t>
      </w:r>
      <w:r>
        <w:rPr>
          <w:spacing w:val="-8"/>
        </w:rPr>
        <w:t xml:space="preserve"> </w:t>
      </w:r>
      <w:r>
        <w:t>the</w:t>
      </w:r>
      <w:r>
        <w:rPr>
          <w:spacing w:val="-8"/>
        </w:rPr>
        <w:t xml:space="preserve"> </w:t>
      </w:r>
      <w:r>
        <w:rPr>
          <w:spacing w:val="-2"/>
        </w:rPr>
        <w:t>audit,</w:t>
      </w:r>
    </w:p>
    <w:p w14:paraId="0DFDAC04" w14:textId="77777777" w:rsidR="00046465" w:rsidRDefault="008134EB">
      <w:pPr>
        <w:pStyle w:val="ListParagraph"/>
        <w:numPr>
          <w:ilvl w:val="1"/>
          <w:numId w:val="20"/>
        </w:numPr>
        <w:tabs>
          <w:tab w:val="left" w:pos="2158"/>
        </w:tabs>
        <w:ind w:left="2158" w:hanging="359"/>
      </w:pPr>
      <w:r>
        <w:t>will</w:t>
      </w:r>
      <w:r>
        <w:rPr>
          <w:spacing w:val="-9"/>
        </w:rPr>
        <w:t xml:space="preserve"> </w:t>
      </w:r>
      <w:r>
        <w:t>disclose</w:t>
      </w:r>
      <w:r>
        <w:rPr>
          <w:spacing w:val="-10"/>
        </w:rPr>
        <w:t xml:space="preserve"> </w:t>
      </w:r>
      <w:r>
        <w:t>any</w:t>
      </w:r>
      <w:r>
        <w:rPr>
          <w:spacing w:val="-9"/>
        </w:rPr>
        <w:t xml:space="preserve"> </w:t>
      </w:r>
      <w:r>
        <w:t>independence</w:t>
      </w:r>
      <w:r>
        <w:rPr>
          <w:spacing w:val="-9"/>
        </w:rPr>
        <w:t xml:space="preserve"> </w:t>
      </w:r>
      <w:r>
        <w:t>issues</w:t>
      </w:r>
      <w:r>
        <w:rPr>
          <w:spacing w:val="-8"/>
        </w:rPr>
        <w:t xml:space="preserve"> </w:t>
      </w:r>
      <w:r>
        <w:t>discovered,</w:t>
      </w:r>
      <w:r>
        <w:rPr>
          <w:spacing w:val="-8"/>
        </w:rPr>
        <w:t xml:space="preserve"> </w:t>
      </w:r>
      <w:r>
        <w:rPr>
          <w:spacing w:val="-5"/>
        </w:rPr>
        <w:t>and</w:t>
      </w:r>
    </w:p>
    <w:p w14:paraId="0DFDAC05" w14:textId="77777777" w:rsidR="00046465" w:rsidRDefault="008134EB">
      <w:pPr>
        <w:pStyle w:val="ListParagraph"/>
        <w:numPr>
          <w:ilvl w:val="1"/>
          <w:numId w:val="20"/>
        </w:numPr>
        <w:tabs>
          <w:tab w:val="left" w:pos="2159"/>
        </w:tabs>
        <w:ind w:left="2159" w:right="965"/>
      </w:pPr>
      <w:r>
        <w:t>will immediately notify the appropriate official(s) (such as the contracting officer’s representative (COR)) when considering submitting a proposal on any</w:t>
      </w:r>
      <w:r>
        <w:rPr>
          <w:spacing w:val="-4"/>
        </w:rPr>
        <w:t xml:space="preserve"> </w:t>
      </w:r>
      <w:r>
        <w:t>contracts</w:t>
      </w:r>
      <w:r>
        <w:rPr>
          <w:spacing w:val="-4"/>
        </w:rPr>
        <w:t xml:space="preserve"> </w:t>
      </w:r>
      <w:r>
        <w:t>involving</w:t>
      </w:r>
      <w:r>
        <w:rPr>
          <w:spacing w:val="-4"/>
        </w:rPr>
        <w:t xml:space="preserve"> </w:t>
      </w:r>
      <w:r>
        <w:t>the</w:t>
      </w:r>
      <w:r>
        <w:rPr>
          <w:spacing w:val="-4"/>
        </w:rPr>
        <w:t xml:space="preserve"> </w:t>
      </w:r>
      <w:r>
        <w:t>audited</w:t>
      </w:r>
      <w:r>
        <w:rPr>
          <w:spacing w:val="-4"/>
        </w:rPr>
        <w:t xml:space="preserve"> </w:t>
      </w:r>
      <w:r>
        <w:t>entity</w:t>
      </w:r>
      <w:r>
        <w:rPr>
          <w:spacing w:val="-4"/>
        </w:rPr>
        <w:t xml:space="preserve"> </w:t>
      </w:r>
      <w:r>
        <w:t>to</w:t>
      </w:r>
      <w:r>
        <w:rPr>
          <w:spacing w:val="-4"/>
        </w:rPr>
        <w:t xml:space="preserve"> </w:t>
      </w:r>
      <w:r>
        <w:t>permit</w:t>
      </w:r>
      <w:r>
        <w:rPr>
          <w:spacing w:val="-4"/>
        </w:rPr>
        <w:t xml:space="preserve"> </w:t>
      </w:r>
      <w:r>
        <w:t>evaluation</w:t>
      </w:r>
      <w:r>
        <w:rPr>
          <w:spacing w:val="-5"/>
        </w:rPr>
        <w:t xml:space="preserve"> </w:t>
      </w:r>
      <w:r>
        <w:t>of</w:t>
      </w:r>
      <w:r>
        <w:rPr>
          <w:spacing w:val="-4"/>
        </w:rPr>
        <w:t xml:space="preserve"> </w:t>
      </w:r>
      <w:r>
        <w:t>whether</w:t>
      </w:r>
      <w:r>
        <w:rPr>
          <w:spacing w:val="-4"/>
        </w:rPr>
        <w:t xml:space="preserve"> </w:t>
      </w:r>
      <w:r>
        <w:t>its auditors’ independence could be impaired.</w:t>
      </w:r>
    </w:p>
    <w:p w14:paraId="0DFDAC06" w14:textId="77777777" w:rsidR="00046465" w:rsidRDefault="008134EB">
      <w:pPr>
        <w:pStyle w:val="BodyText"/>
        <w:spacing w:before="120"/>
        <w:ind w:left="1799" w:right="749"/>
      </w:pPr>
      <w:r>
        <w:t>Firms</w:t>
      </w:r>
      <w:r>
        <w:rPr>
          <w:spacing w:val="-4"/>
        </w:rPr>
        <w:t xml:space="preserve"> </w:t>
      </w:r>
      <w:r>
        <w:t>may</w:t>
      </w:r>
      <w:r>
        <w:rPr>
          <w:spacing w:val="-4"/>
        </w:rPr>
        <w:t xml:space="preserve"> </w:t>
      </w:r>
      <w:r>
        <w:t>be</w:t>
      </w:r>
      <w:r>
        <w:rPr>
          <w:spacing w:val="-4"/>
        </w:rPr>
        <w:t xml:space="preserve"> </w:t>
      </w:r>
      <w:r>
        <w:t>asked</w:t>
      </w:r>
      <w:r>
        <w:rPr>
          <w:spacing w:val="-4"/>
        </w:rPr>
        <w:t xml:space="preserve"> </w:t>
      </w:r>
      <w:r>
        <w:t>to</w:t>
      </w:r>
      <w:r>
        <w:rPr>
          <w:spacing w:val="-4"/>
        </w:rPr>
        <w:t xml:space="preserve"> </w:t>
      </w:r>
      <w:r>
        <w:t>describe</w:t>
      </w:r>
      <w:r>
        <w:rPr>
          <w:spacing w:val="-4"/>
        </w:rPr>
        <w:t xml:space="preserve"> </w:t>
      </w:r>
      <w:r>
        <w:t>in</w:t>
      </w:r>
      <w:r>
        <w:rPr>
          <w:spacing w:val="-5"/>
        </w:rPr>
        <w:t xml:space="preserve"> </w:t>
      </w:r>
      <w:r>
        <w:t>their</w:t>
      </w:r>
      <w:r>
        <w:rPr>
          <w:spacing w:val="-4"/>
        </w:rPr>
        <w:t xml:space="preserve"> </w:t>
      </w:r>
      <w:r>
        <w:t>proposals</w:t>
      </w:r>
      <w:r>
        <w:rPr>
          <w:spacing w:val="-4"/>
        </w:rPr>
        <w:t xml:space="preserve"> </w:t>
      </w:r>
      <w:r>
        <w:t>all</w:t>
      </w:r>
      <w:r>
        <w:rPr>
          <w:spacing w:val="-4"/>
        </w:rPr>
        <w:t xml:space="preserve"> </w:t>
      </w:r>
      <w:r>
        <w:t>work,</w:t>
      </w:r>
      <w:r>
        <w:rPr>
          <w:spacing w:val="-4"/>
        </w:rPr>
        <w:t xml:space="preserve"> </w:t>
      </w:r>
      <w:r>
        <w:t>including</w:t>
      </w:r>
      <w:r>
        <w:rPr>
          <w:spacing w:val="-4"/>
        </w:rPr>
        <w:t xml:space="preserve"> </w:t>
      </w:r>
      <w:r>
        <w:t>nonaudit services, they have done for the audited entity in the last several years. See GAGAS (2018) 3.64 through 3.106.</w:t>
      </w:r>
    </w:p>
    <w:p w14:paraId="0DFDAC07" w14:textId="77777777" w:rsidR="00046465" w:rsidRDefault="008134EB">
      <w:pPr>
        <w:pStyle w:val="BodyText"/>
        <w:spacing w:before="119"/>
        <w:ind w:left="1800" w:right="749"/>
      </w:pPr>
      <w:r>
        <w:t>The auditor may wish to include in the statement of work (SOW) or request for proposal</w:t>
      </w:r>
      <w:r>
        <w:rPr>
          <w:spacing w:val="-4"/>
        </w:rPr>
        <w:t xml:space="preserve"> </w:t>
      </w:r>
      <w:r>
        <w:t>(RFP)</w:t>
      </w:r>
      <w:r>
        <w:rPr>
          <w:spacing w:val="-4"/>
        </w:rPr>
        <w:t xml:space="preserve"> </w:t>
      </w:r>
      <w:r>
        <w:t>that</w:t>
      </w:r>
      <w:r>
        <w:rPr>
          <w:spacing w:val="-4"/>
        </w:rPr>
        <w:t xml:space="preserve"> </w:t>
      </w:r>
      <w:r>
        <w:t>the</w:t>
      </w:r>
      <w:r>
        <w:rPr>
          <w:spacing w:val="-4"/>
        </w:rPr>
        <w:t xml:space="preserve"> </w:t>
      </w:r>
      <w:r>
        <w:t>government</w:t>
      </w:r>
      <w:r>
        <w:rPr>
          <w:spacing w:val="-4"/>
        </w:rPr>
        <w:t xml:space="preserve"> </w:t>
      </w:r>
      <w:r>
        <w:t>will</w:t>
      </w:r>
      <w:r>
        <w:rPr>
          <w:spacing w:val="-4"/>
        </w:rPr>
        <w:t xml:space="preserve"> </w:t>
      </w:r>
      <w:r>
        <w:t>determine</w:t>
      </w:r>
      <w:r>
        <w:rPr>
          <w:spacing w:val="-4"/>
        </w:rPr>
        <w:t xml:space="preserve"> </w:t>
      </w:r>
      <w:r>
        <w:t>whether</w:t>
      </w:r>
      <w:r>
        <w:rPr>
          <w:spacing w:val="-4"/>
        </w:rPr>
        <w:t xml:space="preserve"> </w:t>
      </w:r>
      <w:r>
        <w:t>a</w:t>
      </w:r>
      <w:r>
        <w:rPr>
          <w:spacing w:val="-4"/>
        </w:rPr>
        <w:t xml:space="preserve"> </w:t>
      </w:r>
      <w:r>
        <w:t>firm</w:t>
      </w:r>
      <w:r>
        <w:rPr>
          <w:spacing w:val="-5"/>
        </w:rPr>
        <w:t xml:space="preserve"> </w:t>
      </w:r>
      <w:r>
        <w:t>is</w:t>
      </w:r>
      <w:r>
        <w:rPr>
          <w:spacing w:val="-4"/>
        </w:rPr>
        <w:t xml:space="preserve"> </w:t>
      </w:r>
      <w:r>
        <w:t>independent for the purpose of performing an audit of financial statements of the entity. This avoids a potential dispute where, for example, the firm</w:t>
      </w:r>
      <w:r>
        <w:rPr>
          <w:spacing w:val="-1"/>
        </w:rPr>
        <w:t xml:space="preserve"> </w:t>
      </w:r>
      <w:r>
        <w:t>does substantial</w:t>
      </w:r>
      <w:r>
        <w:rPr>
          <w:spacing w:val="-1"/>
        </w:rPr>
        <w:t xml:space="preserve"> </w:t>
      </w:r>
      <w:r>
        <w:t>nonaudit work</w:t>
      </w:r>
      <w:r>
        <w:rPr>
          <w:spacing w:val="-3"/>
        </w:rPr>
        <w:t xml:space="preserve"> </w:t>
      </w:r>
      <w:r>
        <w:t>for</w:t>
      </w:r>
      <w:r>
        <w:rPr>
          <w:spacing w:val="-3"/>
        </w:rPr>
        <w:t xml:space="preserve"> </w:t>
      </w:r>
      <w:r>
        <w:t>the</w:t>
      </w:r>
      <w:r>
        <w:rPr>
          <w:spacing w:val="-3"/>
        </w:rPr>
        <w:t xml:space="preserve"> </w:t>
      </w:r>
      <w:r>
        <w:t>entity</w:t>
      </w:r>
      <w:r>
        <w:rPr>
          <w:spacing w:val="-3"/>
        </w:rPr>
        <w:t xml:space="preserve"> </w:t>
      </w:r>
      <w:r>
        <w:t>to</w:t>
      </w:r>
      <w:r>
        <w:rPr>
          <w:spacing w:val="-3"/>
        </w:rPr>
        <w:t xml:space="preserve"> </w:t>
      </w:r>
      <w:r>
        <w:t>be</w:t>
      </w:r>
      <w:r>
        <w:rPr>
          <w:spacing w:val="-4"/>
        </w:rPr>
        <w:t xml:space="preserve"> </w:t>
      </w:r>
      <w:r>
        <w:t>audited</w:t>
      </w:r>
      <w:r>
        <w:rPr>
          <w:spacing w:val="-3"/>
        </w:rPr>
        <w:t xml:space="preserve"> </w:t>
      </w:r>
      <w:r>
        <w:t>that</w:t>
      </w:r>
      <w:r>
        <w:rPr>
          <w:spacing w:val="-4"/>
        </w:rPr>
        <w:t xml:space="preserve"> </w:t>
      </w:r>
      <w:r>
        <w:t>the</w:t>
      </w:r>
      <w:r>
        <w:rPr>
          <w:spacing w:val="-3"/>
        </w:rPr>
        <w:t xml:space="preserve"> </w:t>
      </w:r>
      <w:r>
        <w:t>auditor</w:t>
      </w:r>
      <w:r>
        <w:rPr>
          <w:spacing w:val="-3"/>
        </w:rPr>
        <w:t xml:space="preserve"> </w:t>
      </w:r>
      <w:r>
        <w:t>views</w:t>
      </w:r>
      <w:r>
        <w:rPr>
          <w:spacing w:val="-3"/>
        </w:rPr>
        <w:t xml:space="preserve"> </w:t>
      </w:r>
      <w:r>
        <w:t>as</w:t>
      </w:r>
      <w:r>
        <w:rPr>
          <w:spacing w:val="-3"/>
        </w:rPr>
        <w:t xml:space="preserve"> </w:t>
      </w:r>
      <w:r>
        <w:t>a</w:t>
      </w:r>
      <w:r>
        <w:rPr>
          <w:spacing w:val="-3"/>
        </w:rPr>
        <w:t xml:space="preserve"> </w:t>
      </w:r>
      <w:r>
        <w:t>conflict.</w:t>
      </w:r>
      <w:r>
        <w:rPr>
          <w:spacing w:val="-3"/>
        </w:rPr>
        <w:t xml:space="preserve"> </w:t>
      </w:r>
      <w:r>
        <w:t>The</w:t>
      </w:r>
      <w:r>
        <w:rPr>
          <w:spacing w:val="-3"/>
        </w:rPr>
        <w:t xml:space="preserve"> </w:t>
      </w:r>
      <w:r>
        <w:t>technical evaluation panel may evaluate whether the nature and extent of nonaudit services or other factors cause an independence or objectivity issue, either in independence of mind or independence in appearance.</w:t>
      </w:r>
    </w:p>
    <w:p w14:paraId="0DFDAC08" w14:textId="77777777" w:rsidR="00046465" w:rsidRDefault="008134EB">
      <w:pPr>
        <w:pStyle w:val="ListParagraph"/>
        <w:numPr>
          <w:ilvl w:val="0"/>
          <w:numId w:val="20"/>
        </w:numPr>
        <w:tabs>
          <w:tab w:val="left" w:pos="1800"/>
        </w:tabs>
        <w:spacing w:before="121"/>
        <w:ind w:right="1262"/>
      </w:pPr>
      <w:r>
        <w:t>When</w:t>
      </w:r>
      <w:r>
        <w:rPr>
          <w:spacing w:val="-3"/>
        </w:rPr>
        <w:t xml:space="preserve"> </w:t>
      </w:r>
      <w:r>
        <w:t>the</w:t>
      </w:r>
      <w:r>
        <w:rPr>
          <w:spacing w:val="-3"/>
        </w:rPr>
        <w:t xml:space="preserve"> </w:t>
      </w:r>
      <w:r>
        <w:t>auditor</w:t>
      </w:r>
      <w:r>
        <w:rPr>
          <w:spacing w:val="-3"/>
        </w:rPr>
        <w:t xml:space="preserve"> </w:t>
      </w:r>
      <w:r>
        <w:t>does</w:t>
      </w:r>
      <w:r>
        <w:rPr>
          <w:spacing w:val="-4"/>
        </w:rPr>
        <w:t xml:space="preserve"> </w:t>
      </w:r>
      <w:r>
        <w:t>not</w:t>
      </w:r>
      <w:r>
        <w:rPr>
          <w:spacing w:val="-3"/>
        </w:rPr>
        <w:t xml:space="preserve"> </w:t>
      </w:r>
      <w:r>
        <w:t>participate</w:t>
      </w:r>
      <w:r>
        <w:rPr>
          <w:spacing w:val="-3"/>
        </w:rPr>
        <w:t xml:space="preserve"> </w:t>
      </w:r>
      <w:r>
        <w:t>in</w:t>
      </w:r>
      <w:r>
        <w:rPr>
          <w:spacing w:val="-3"/>
        </w:rPr>
        <w:t xml:space="preserve"> </w:t>
      </w:r>
      <w:r>
        <w:t>contracting</w:t>
      </w:r>
      <w:r>
        <w:rPr>
          <w:spacing w:val="-3"/>
        </w:rPr>
        <w:t xml:space="preserve"> </w:t>
      </w:r>
      <w:r>
        <w:t>for</w:t>
      </w:r>
      <w:r>
        <w:rPr>
          <w:spacing w:val="-3"/>
        </w:rPr>
        <w:t xml:space="preserve"> </w:t>
      </w:r>
      <w:r>
        <w:t>the</w:t>
      </w:r>
      <w:r>
        <w:rPr>
          <w:spacing w:val="-3"/>
        </w:rPr>
        <w:t xml:space="preserve"> </w:t>
      </w:r>
      <w:r>
        <w:t>other</w:t>
      </w:r>
      <w:r>
        <w:rPr>
          <w:spacing w:val="-3"/>
        </w:rPr>
        <w:t xml:space="preserve"> </w:t>
      </w:r>
      <w:r>
        <w:t>auditors</w:t>
      </w:r>
      <w:r>
        <w:rPr>
          <w:spacing w:val="-4"/>
        </w:rPr>
        <w:t xml:space="preserve"> </w:t>
      </w:r>
      <w:r>
        <w:t>or specialists,</w:t>
      </w:r>
      <w:r>
        <w:rPr>
          <w:spacing w:val="-4"/>
        </w:rPr>
        <w:t xml:space="preserve"> </w:t>
      </w:r>
      <w:r>
        <w:t>the</w:t>
      </w:r>
      <w:r>
        <w:rPr>
          <w:spacing w:val="-3"/>
        </w:rPr>
        <w:t xml:space="preserve"> </w:t>
      </w:r>
      <w:r>
        <w:t>auditor</w:t>
      </w:r>
      <w:r>
        <w:rPr>
          <w:spacing w:val="-3"/>
        </w:rPr>
        <w:t xml:space="preserve"> </w:t>
      </w:r>
      <w:r>
        <w:t>may</w:t>
      </w:r>
      <w:r>
        <w:rPr>
          <w:spacing w:val="-3"/>
        </w:rPr>
        <w:t xml:space="preserve"> </w:t>
      </w:r>
      <w:r>
        <w:t>obtain</w:t>
      </w:r>
      <w:r>
        <w:rPr>
          <w:spacing w:val="-3"/>
        </w:rPr>
        <w:t xml:space="preserve"> </w:t>
      </w:r>
      <w:r>
        <w:t>an</w:t>
      </w:r>
      <w:r>
        <w:rPr>
          <w:spacing w:val="-4"/>
        </w:rPr>
        <w:t xml:space="preserve"> </w:t>
      </w:r>
      <w:r>
        <w:t>overview</w:t>
      </w:r>
      <w:r>
        <w:rPr>
          <w:spacing w:val="-4"/>
        </w:rPr>
        <w:t xml:space="preserve"> </w:t>
      </w:r>
      <w:r>
        <w:t>of</w:t>
      </w:r>
      <w:r>
        <w:rPr>
          <w:spacing w:val="-4"/>
        </w:rPr>
        <w:t xml:space="preserve"> </w:t>
      </w:r>
      <w:r>
        <w:t>the</w:t>
      </w:r>
      <w:r>
        <w:rPr>
          <w:spacing w:val="-3"/>
        </w:rPr>
        <w:t xml:space="preserve"> </w:t>
      </w:r>
      <w:r>
        <w:t>contracting</w:t>
      </w:r>
      <w:r>
        <w:rPr>
          <w:spacing w:val="-3"/>
        </w:rPr>
        <w:t xml:space="preserve"> </w:t>
      </w:r>
      <w:r>
        <w:t>process</w:t>
      </w:r>
      <w:r>
        <w:rPr>
          <w:spacing w:val="-3"/>
        </w:rPr>
        <w:t xml:space="preserve"> </w:t>
      </w:r>
      <w:r>
        <w:t>to provide background in evaluating the objectivity of the other auditors or specialists, including</w:t>
      </w:r>
    </w:p>
    <w:p w14:paraId="0DFDAC09" w14:textId="77777777" w:rsidR="00046465" w:rsidRDefault="008134EB">
      <w:pPr>
        <w:pStyle w:val="ListParagraph"/>
        <w:numPr>
          <w:ilvl w:val="1"/>
          <w:numId w:val="20"/>
        </w:numPr>
        <w:tabs>
          <w:tab w:val="left" w:pos="2159"/>
        </w:tabs>
        <w:spacing w:before="119"/>
        <w:ind w:left="2159" w:hanging="359"/>
      </w:pPr>
      <w:r>
        <w:t>reading</w:t>
      </w:r>
      <w:r>
        <w:rPr>
          <w:spacing w:val="-5"/>
        </w:rPr>
        <w:t xml:space="preserve"> </w:t>
      </w:r>
      <w:r>
        <w:t>the</w:t>
      </w:r>
      <w:r>
        <w:rPr>
          <w:spacing w:val="-6"/>
        </w:rPr>
        <w:t xml:space="preserve"> </w:t>
      </w:r>
      <w:r>
        <w:t>SOW</w:t>
      </w:r>
      <w:r>
        <w:rPr>
          <w:spacing w:val="-5"/>
        </w:rPr>
        <w:t xml:space="preserve"> </w:t>
      </w:r>
      <w:r>
        <w:t>or</w:t>
      </w:r>
      <w:r>
        <w:rPr>
          <w:spacing w:val="-5"/>
        </w:rPr>
        <w:t xml:space="preserve"> </w:t>
      </w:r>
      <w:r>
        <w:rPr>
          <w:spacing w:val="-4"/>
        </w:rPr>
        <w:t>RFP,</w:t>
      </w:r>
    </w:p>
    <w:p w14:paraId="0DFDAC0A" w14:textId="77777777" w:rsidR="00046465" w:rsidRDefault="008134EB">
      <w:pPr>
        <w:pStyle w:val="BodyText"/>
        <w:spacing w:before="210"/>
        <w:rPr>
          <w:sz w:val="20"/>
        </w:rPr>
      </w:pPr>
      <w:r>
        <w:rPr>
          <w:noProof/>
          <w:sz w:val="20"/>
        </w:rPr>
        <mc:AlternateContent>
          <mc:Choice Requires="wps">
            <w:drawing>
              <wp:anchor distT="0" distB="0" distL="0" distR="0" simplePos="0" relativeHeight="487600640" behindDoc="1" locked="0" layoutInCell="1" allowOverlap="1" wp14:anchorId="0DFDD545" wp14:editId="0DFDD546">
                <wp:simplePos x="0" y="0"/>
                <wp:positionH relativeFrom="page">
                  <wp:posOffset>914400</wp:posOffset>
                </wp:positionH>
                <wp:positionV relativeFrom="paragraph">
                  <wp:posOffset>294858</wp:posOffset>
                </wp:positionV>
                <wp:extent cx="1828800" cy="5715"/>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1642A3" id="Graphic 131" o:spid="_x0000_s1026" style="position:absolute;margin-left:1in;margin-top:23.2pt;width:2in;height:.4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" path="m1828800,l,,,5321r1828800,l1828800,xe" fillcolor="black" stroked="f">
                <v:path arrowok="t"/>
                <w10:wrap type="topAndBottom" anchorx="page"/>
              </v:shape>
            </w:pict>
          </mc:Fallback>
        </mc:AlternateContent>
      </w:r>
    </w:p>
    <w:p w14:paraId="0DFDAC0B" w14:textId="77777777" w:rsidR="00046465" w:rsidRDefault="008134EB">
      <w:pPr>
        <w:spacing w:before="202" w:line="249" w:lineRule="auto"/>
        <w:ind w:left="360" w:right="844" w:hanging="1"/>
        <w:rPr>
          <w:sz w:val="18"/>
        </w:rPr>
      </w:pPr>
      <w:bookmarkStart w:id="8" w:name="_bookmark3"/>
      <w:bookmarkEnd w:id="8"/>
      <w:r>
        <w:rPr>
          <w:position w:val="7"/>
          <w:sz w:val="14"/>
        </w:rPr>
        <w:t>1</w:t>
      </w:r>
      <w:r>
        <w:rPr>
          <w:sz w:val="18"/>
        </w:rPr>
        <w:t>See</w:t>
      </w:r>
      <w:r>
        <w:rPr>
          <w:spacing w:val="-4"/>
          <w:sz w:val="18"/>
        </w:rPr>
        <w:t xml:space="preserve"> </w:t>
      </w:r>
      <w:r>
        <w:rPr>
          <w:sz w:val="18"/>
        </w:rPr>
        <w:t>GAGAS</w:t>
      </w:r>
      <w:r>
        <w:rPr>
          <w:spacing w:val="-3"/>
          <w:sz w:val="18"/>
        </w:rPr>
        <w:t xml:space="preserve"> </w:t>
      </w:r>
      <w:r>
        <w:rPr>
          <w:sz w:val="18"/>
        </w:rPr>
        <w:t>(2018)</w:t>
      </w:r>
      <w:r>
        <w:rPr>
          <w:spacing w:val="-3"/>
          <w:sz w:val="18"/>
        </w:rPr>
        <w:t xml:space="preserve"> </w:t>
      </w:r>
      <w:r>
        <w:rPr>
          <w:sz w:val="18"/>
        </w:rPr>
        <w:t>3.17</w:t>
      </w:r>
      <w:r>
        <w:rPr>
          <w:spacing w:val="-4"/>
          <w:sz w:val="18"/>
        </w:rPr>
        <w:t xml:space="preserve"> </w:t>
      </w:r>
      <w:r>
        <w:rPr>
          <w:sz w:val="18"/>
        </w:rPr>
        <w:t>through</w:t>
      </w:r>
      <w:r>
        <w:rPr>
          <w:spacing w:val="-4"/>
          <w:sz w:val="18"/>
        </w:rPr>
        <w:t xml:space="preserve"> </w:t>
      </w:r>
      <w:r>
        <w:rPr>
          <w:sz w:val="18"/>
        </w:rPr>
        <w:t>3.63</w:t>
      </w:r>
      <w:r>
        <w:rPr>
          <w:spacing w:val="-4"/>
          <w:sz w:val="18"/>
        </w:rPr>
        <w:t xml:space="preserve"> </w:t>
      </w:r>
      <w:r>
        <w:rPr>
          <w:sz w:val="18"/>
        </w:rPr>
        <w:t>for</w:t>
      </w:r>
      <w:r>
        <w:rPr>
          <w:spacing w:val="-3"/>
          <w:sz w:val="18"/>
        </w:rPr>
        <w:t xml:space="preserve"> </w:t>
      </w:r>
      <w:r>
        <w:rPr>
          <w:sz w:val="18"/>
        </w:rPr>
        <w:t>additional</w:t>
      </w:r>
      <w:r>
        <w:rPr>
          <w:spacing w:val="-3"/>
          <w:sz w:val="18"/>
        </w:rPr>
        <w:t xml:space="preserve"> </w:t>
      </w:r>
      <w:r>
        <w:rPr>
          <w:sz w:val="18"/>
        </w:rPr>
        <w:t>discussion</w:t>
      </w:r>
      <w:r>
        <w:rPr>
          <w:spacing w:val="-4"/>
          <w:sz w:val="18"/>
        </w:rPr>
        <w:t xml:space="preserve"> </w:t>
      </w:r>
      <w:r>
        <w:rPr>
          <w:sz w:val="18"/>
        </w:rPr>
        <w:t>related</w:t>
      </w:r>
      <w:r>
        <w:rPr>
          <w:spacing w:val="-4"/>
          <w:sz w:val="18"/>
        </w:rPr>
        <w:t xml:space="preserve"> </w:t>
      </w:r>
      <w:r>
        <w:rPr>
          <w:sz w:val="18"/>
        </w:rPr>
        <w:t>to</w:t>
      </w:r>
      <w:r>
        <w:rPr>
          <w:spacing w:val="-4"/>
          <w:sz w:val="18"/>
        </w:rPr>
        <w:t xml:space="preserve"> </w:t>
      </w:r>
      <w:r>
        <w:rPr>
          <w:sz w:val="18"/>
        </w:rPr>
        <w:t>independence</w:t>
      </w:r>
      <w:r>
        <w:rPr>
          <w:spacing w:val="-4"/>
          <w:sz w:val="18"/>
        </w:rPr>
        <w:t xml:space="preserve"> </w:t>
      </w:r>
      <w:r>
        <w:rPr>
          <w:sz w:val="18"/>
        </w:rPr>
        <w:t>and</w:t>
      </w:r>
      <w:r>
        <w:rPr>
          <w:spacing w:val="-4"/>
          <w:sz w:val="18"/>
        </w:rPr>
        <w:t xml:space="preserve"> </w:t>
      </w:r>
      <w:r>
        <w:rPr>
          <w:sz w:val="18"/>
        </w:rPr>
        <w:t>applying</w:t>
      </w:r>
      <w:r>
        <w:rPr>
          <w:spacing w:val="-4"/>
          <w:sz w:val="18"/>
        </w:rPr>
        <w:t xml:space="preserve"> </w:t>
      </w:r>
      <w:r>
        <w:rPr>
          <w:sz w:val="18"/>
        </w:rPr>
        <w:t>the conceptual framework approach to independence.</w:t>
      </w:r>
    </w:p>
    <w:p w14:paraId="0DFDAC0C" w14:textId="77777777" w:rsidR="00046465" w:rsidRDefault="00046465">
      <w:pPr>
        <w:spacing w:line="249" w:lineRule="auto"/>
        <w:rPr>
          <w:sz w:val="18"/>
        </w:rPr>
        <w:sectPr w:rsidR="00046465">
          <w:headerReference w:type="default" r:id="rId32"/>
          <w:footerReference w:type="default" r:id="rId33"/>
          <w:pgSz w:w="12240" w:h="15840"/>
          <w:pgMar w:top="1340" w:right="720" w:bottom="940" w:left="1080" w:header="721" w:footer="757" w:gutter="0"/>
          <w:pgNumType w:start="2"/>
          <w:cols w:space="720"/>
        </w:sectPr>
      </w:pPr>
    </w:p>
    <w:p w14:paraId="0DFDAC0D" w14:textId="77777777" w:rsidR="00046465" w:rsidRDefault="008134EB">
      <w:pPr>
        <w:pStyle w:val="ListParagraph"/>
        <w:numPr>
          <w:ilvl w:val="1"/>
          <w:numId w:val="20"/>
        </w:numPr>
        <w:tabs>
          <w:tab w:val="left" w:pos="2159"/>
        </w:tabs>
        <w:spacing w:before="121"/>
        <w:ind w:left="2159" w:hanging="359"/>
      </w:pPr>
      <w:r>
        <w:lastRenderedPageBreak/>
        <w:t>reviewing</w:t>
      </w:r>
      <w:r>
        <w:rPr>
          <w:spacing w:val="-7"/>
        </w:rPr>
        <w:t xml:space="preserve"> </w:t>
      </w:r>
      <w:r>
        <w:t>the</w:t>
      </w:r>
      <w:r>
        <w:rPr>
          <w:spacing w:val="-6"/>
        </w:rPr>
        <w:t xml:space="preserve"> </w:t>
      </w:r>
      <w:r>
        <w:t>proposal</w:t>
      </w:r>
      <w:r>
        <w:rPr>
          <w:spacing w:val="-6"/>
        </w:rPr>
        <w:t xml:space="preserve"> </w:t>
      </w:r>
      <w:r>
        <w:t>of</w:t>
      </w:r>
      <w:r>
        <w:rPr>
          <w:spacing w:val="-6"/>
        </w:rPr>
        <w:t xml:space="preserve"> </w:t>
      </w:r>
      <w:r>
        <w:t>the</w:t>
      </w:r>
      <w:r>
        <w:rPr>
          <w:spacing w:val="-6"/>
        </w:rPr>
        <w:t xml:space="preserve"> </w:t>
      </w:r>
      <w:r>
        <w:t>firm</w:t>
      </w:r>
      <w:r>
        <w:rPr>
          <w:spacing w:val="-7"/>
        </w:rPr>
        <w:t xml:space="preserve"> </w:t>
      </w:r>
      <w:r>
        <w:t>selected,</w:t>
      </w:r>
      <w:r>
        <w:rPr>
          <w:spacing w:val="-6"/>
        </w:rPr>
        <w:t xml:space="preserve"> </w:t>
      </w:r>
      <w:r>
        <w:rPr>
          <w:spacing w:val="-5"/>
        </w:rPr>
        <w:t>and</w:t>
      </w:r>
    </w:p>
    <w:p w14:paraId="0DFDAC0E" w14:textId="77777777" w:rsidR="00046465" w:rsidRDefault="008134EB">
      <w:pPr>
        <w:pStyle w:val="ListParagraph"/>
        <w:numPr>
          <w:ilvl w:val="1"/>
          <w:numId w:val="20"/>
        </w:numPr>
        <w:tabs>
          <w:tab w:val="left" w:pos="2158"/>
        </w:tabs>
        <w:ind w:left="2158" w:hanging="359"/>
      </w:pPr>
      <w:r>
        <w:t>understanding</w:t>
      </w:r>
      <w:r>
        <w:rPr>
          <w:spacing w:val="-7"/>
        </w:rPr>
        <w:t xml:space="preserve"> </w:t>
      </w:r>
      <w:r>
        <w:t>the</w:t>
      </w:r>
      <w:r>
        <w:rPr>
          <w:spacing w:val="-6"/>
        </w:rPr>
        <w:t xml:space="preserve"> </w:t>
      </w:r>
      <w:r>
        <w:t>evaluations</w:t>
      </w:r>
      <w:r>
        <w:rPr>
          <w:spacing w:val="-6"/>
        </w:rPr>
        <w:t xml:space="preserve"> </w:t>
      </w:r>
      <w:r>
        <w:t>of</w:t>
      </w:r>
      <w:r>
        <w:rPr>
          <w:spacing w:val="-6"/>
        </w:rPr>
        <w:t xml:space="preserve"> </w:t>
      </w:r>
      <w:r>
        <w:t>the</w:t>
      </w:r>
      <w:r>
        <w:rPr>
          <w:spacing w:val="-7"/>
        </w:rPr>
        <w:t xml:space="preserve"> </w:t>
      </w:r>
      <w:r>
        <w:t>panel</w:t>
      </w:r>
      <w:r>
        <w:rPr>
          <w:spacing w:val="-6"/>
        </w:rPr>
        <w:t xml:space="preserve"> </w:t>
      </w:r>
      <w:r>
        <w:t>that</w:t>
      </w:r>
      <w:r>
        <w:rPr>
          <w:spacing w:val="-6"/>
        </w:rPr>
        <w:t xml:space="preserve"> </w:t>
      </w:r>
      <w:r>
        <w:t>selects</w:t>
      </w:r>
      <w:r>
        <w:rPr>
          <w:spacing w:val="-6"/>
        </w:rPr>
        <w:t xml:space="preserve"> </w:t>
      </w:r>
      <w:r>
        <w:t>the</w:t>
      </w:r>
      <w:r>
        <w:rPr>
          <w:spacing w:val="-6"/>
        </w:rPr>
        <w:t xml:space="preserve"> </w:t>
      </w:r>
      <w:r>
        <w:rPr>
          <w:spacing w:val="-2"/>
        </w:rPr>
        <w:t>firm.</w:t>
      </w:r>
    </w:p>
    <w:p w14:paraId="0DFDAC0F" w14:textId="77777777" w:rsidR="00046465" w:rsidRDefault="008134EB">
      <w:pPr>
        <w:pStyle w:val="BodyText"/>
        <w:spacing w:before="119"/>
        <w:ind w:left="1799" w:right="749"/>
      </w:pPr>
      <w:r>
        <w:t>The auditor may determine whether the other auditors’ or specialists’ firm provided</w:t>
      </w:r>
      <w:r>
        <w:rPr>
          <w:spacing w:val="-1"/>
        </w:rPr>
        <w:t xml:space="preserve"> </w:t>
      </w:r>
      <w:r>
        <w:t>a</w:t>
      </w:r>
      <w:r>
        <w:rPr>
          <w:spacing w:val="-1"/>
        </w:rPr>
        <w:t xml:space="preserve"> </w:t>
      </w:r>
      <w:r>
        <w:t>representation</w:t>
      </w:r>
      <w:r>
        <w:rPr>
          <w:spacing w:val="-1"/>
        </w:rPr>
        <w:t xml:space="preserve"> </w:t>
      </w:r>
      <w:r>
        <w:t>as</w:t>
      </w:r>
      <w:r>
        <w:rPr>
          <w:spacing w:val="-1"/>
        </w:rPr>
        <w:t xml:space="preserve"> </w:t>
      </w:r>
      <w:r>
        <w:t>to</w:t>
      </w:r>
      <w:r>
        <w:rPr>
          <w:spacing w:val="-1"/>
        </w:rPr>
        <w:t xml:space="preserve"> </w:t>
      </w:r>
      <w:r>
        <w:t>objectivity</w:t>
      </w:r>
      <w:r>
        <w:rPr>
          <w:spacing w:val="-1"/>
        </w:rPr>
        <w:t xml:space="preserve"> </w:t>
      </w:r>
      <w:r>
        <w:t>(usually</w:t>
      </w:r>
      <w:r>
        <w:rPr>
          <w:spacing w:val="-1"/>
        </w:rPr>
        <w:t xml:space="preserve"> </w:t>
      </w:r>
      <w:r>
        <w:t>in</w:t>
      </w:r>
      <w:r>
        <w:rPr>
          <w:spacing w:val="-1"/>
        </w:rPr>
        <w:t xml:space="preserve"> </w:t>
      </w:r>
      <w:r>
        <w:t>its</w:t>
      </w:r>
      <w:r>
        <w:rPr>
          <w:spacing w:val="-1"/>
        </w:rPr>
        <w:t xml:space="preserve"> </w:t>
      </w:r>
      <w:r>
        <w:t>proposal).</w:t>
      </w:r>
      <w:r>
        <w:rPr>
          <w:spacing w:val="-1"/>
        </w:rPr>
        <w:t xml:space="preserve"> </w:t>
      </w:r>
      <w:r>
        <w:t>If</w:t>
      </w:r>
      <w:r>
        <w:rPr>
          <w:spacing w:val="-1"/>
        </w:rPr>
        <w:t xml:space="preserve"> </w:t>
      </w:r>
      <w:r>
        <w:t>the</w:t>
      </w:r>
      <w:r>
        <w:rPr>
          <w:spacing w:val="-1"/>
        </w:rPr>
        <w:t xml:space="preserve"> </w:t>
      </w:r>
      <w:r>
        <w:t>firm</w:t>
      </w:r>
      <w:r>
        <w:rPr>
          <w:spacing w:val="-2"/>
        </w:rPr>
        <w:t xml:space="preserve"> </w:t>
      </w:r>
      <w:r>
        <w:t>has not provided such a representation, the auditor may wish to obtain one from the firm. If the auditor is not familiar with the firm, the auditor can inquire of professional organizations, such as the American Institute of Certified Public Accountants (AICPA) or the Public Company Accounting Oversight Board (PCAOB),</w:t>
      </w:r>
      <w:r>
        <w:rPr>
          <w:spacing w:val="-4"/>
        </w:rPr>
        <w:t xml:space="preserve"> </w:t>
      </w:r>
      <w:r>
        <w:t>about</w:t>
      </w:r>
      <w:r>
        <w:rPr>
          <w:spacing w:val="-4"/>
        </w:rPr>
        <w:t xml:space="preserve"> </w:t>
      </w:r>
      <w:r>
        <w:t>the</w:t>
      </w:r>
      <w:r>
        <w:rPr>
          <w:spacing w:val="-4"/>
        </w:rPr>
        <w:t xml:space="preserve"> </w:t>
      </w:r>
      <w:r>
        <w:t>firm’s</w:t>
      </w:r>
      <w:r>
        <w:rPr>
          <w:spacing w:val="-4"/>
        </w:rPr>
        <w:t xml:space="preserve"> </w:t>
      </w:r>
      <w:r>
        <w:t>professional</w:t>
      </w:r>
      <w:r>
        <w:rPr>
          <w:spacing w:val="-4"/>
        </w:rPr>
        <w:t xml:space="preserve"> </w:t>
      </w:r>
      <w:r>
        <w:t>reputation</w:t>
      </w:r>
      <w:r>
        <w:rPr>
          <w:spacing w:val="-4"/>
        </w:rPr>
        <w:t xml:space="preserve"> </w:t>
      </w:r>
      <w:r>
        <w:t>and</w:t>
      </w:r>
      <w:r>
        <w:rPr>
          <w:spacing w:val="-4"/>
        </w:rPr>
        <w:t xml:space="preserve"> </w:t>
      </w:r>
      <w:r>
        <w:t>standing.</w:t>
      </w:r>
      <w:r>
        <w:rPr>
          <w:spacing w:val="-4"/>
        </w:rPr>
        <w:t xml:space="preserve"> </w:t>
      </w:r>
      <w:r>
        <w:rPr>
          <w:color w:val="242424"/>
        </w:rPr>
        <w:t>The</w:t>
      </w:r>
      <w:r>
        <w:rPr>
          <w:color w:val="242424"/>
          <w:spacing w:val="-4"/>
        </w:rPr>
        <w:t xml:space="preserve"> </w:t>
      </w:r>
      <w:r>
        <w:rPr>
          <w:color w:val="242424"/>
        </w:rPr>
        <w:t>auditor</w:t>
      </w:r>
      <w:r>
        <w:rPr>
          <w:color w:val="242424"/>
          <w:spacing w:val="-4"/>
        </w:rPr>
        <w:t xml:space="preserve"> </w:t>
      </w:r>
      <w:r>
        <w:rPr>
          <w:color w:val="242424"/>
        </w:rPr>
        <w:t>may also consider whether the other auditors’ or specialists’ work is subject to technical performance standards or other professional or industry requirements (for example, specialists may be subject to ethical standards and other membership requirements of a professional body or industry association, accreditation standards of a licensing body, or requirements imposed by law or regulation (AU-C 620.A17)).</w:t>
      </w:r>
    </w:p>
    <w:p w14:paraId="0DFDAC10" w14:textId="77777777" w:rsidR="00046465" w:rsidRDefault="008134EB">
      <w:pPr>
        <w:pStyle w:val="Heading5"/>
        <w:ind w:right="749"/>
        <w:rPr>
          <w:u w:val="none"/>
        </w:rPr>
      </w:pPr>
      <w:bookmarkStart w:id="9" w:name="Additional_Procedures_to_Perform_in_Eval"/>
      <w:bookmarkEnd w:id="9"/>
      <w:r>
        <w:t>Additional</w:t>
      </w:r>
      <w:r>
        <w:rPr>
          <w:spacing w:val="-4"/>
        </w:rPr>
        <w:t xml:space="preserve"> </w:t>
      </w:r>
      <w:r>
        <w:t>Procedures</w:t>
      </w:r>
      <w:r>
        <w:rPr>
          <w:spacing w:val="-5"/>
        </w:rPr>
        <w:t xml:space="preserve"> </w:t>
      </w:r>
      <w:r>
        <w:t>to</w:t>
      </w:r>
      <w:r>
        <w:rPr>
          <w:spacing w:val="-5"/>
        </w:rPr>
        <w:t xml:space="preserve"> </w:t>
      </w:r>
      <w:r>
        <w:t>Perform</w:t>
      </w:r>
      <w:r>
        <w:rPr>
          <w:spacing w:val="-5"/>
        </w:rPr>
        <w:t xml:space="preserve"> </w:t>
      </w:r>
      <w:r>
        <w:t>in</w:t>
      </w:r>
      <w:r>
        <w:rPr>
          <w:spacing w:val="-5"/>
        </w:rPr>
        <w:t xml:space="preserve"> </w:t>
      </w:r>
      <w:r>
        <w:t>Evaluating</w:t>
      </w:r>
      <w:r>
        <w:rPr>
          <w:spacing w:val="-5"/>
        </w:rPr>
        <w:t xml:space="preserve"> </w:t>
      </w:r>
      <w:r>
        <w:t>Objectivity</w:t>
      </w:r>
      <w:r>
        <w:rPr>
          <w:spacing w:val="-6"/>
        </w:rPr>
        <w:t xml:space="preserve"> </w:t>
      </w:r>
      <w:r>
        <w:t>for</w:t>
      </w:r>
      <w:r>
        <w:rPr>
          <w:spacing w:val="-5"/>
        </w:rPr>
        <w:t xml:space="preserve"> </w:t>
      </w:r>
      <w:r>
        <w:t>Specific</w:t>
      </w:r>
      <w:r>
        <w:rPr>
          <w:u w:val="none"/>
        </w:rPr>
        <w:t xml:space="preserve"> </w:t>
      </w:r>
      <w:r>
        <w:t>Types of Specialists and Auditors</w:t>
      </w:r>
    </w:p>
    <w:p w14:paraId="0DFDAC11" w14:textId="77777777" w:rsidR="00046465" w:rsidRDefault="008134EB">
      <w:pPr>
        <w:spacing w:before="240"/>
        <w:ind w:left="1080"/>
        <w:rPr>
          <w:b/>
          <w:sz w:val="24"/>
        </w:rPr>
      </w:pPr>
      <w:bookmarkStart w:id="10" w:name="Internal_Specialists"/>
      <w:bookmarkEnd w:id="10"/>
      <w:r>
        <w:rPr>
          <w:b/>
          <w:sz w:val="24"/>
        </w:rPr>
        <w:t>Internal</w:t>
      </w:r>
      <w:r>
        <w:rPr>
          <w:b/>
          <w:spacing w:val="-3"/>
          <w:sz w:val="24"/>
        </w:rPr>
        <w:t xml:space="preserve"> </w:t>
      </w:r>
      <w:r>
        <w:rPr>
          <w:b/>
          <w:spacing w:val="-2"/>
          <w:sz w:val="24"/>
        </w:rPr>
        <w:t>Specialists</w:t>
      </w:r>
    </w:p>
    <w:p w14:paraId="0DFDAC12" w14:textId="77777777" w:rsidR="00046465" w:rsidRDefault="008134EB">
      <w:pPr>
        <w:pStyle w:val="ListParagraph"/>
        <w:numPr>
          <w:ilvl w:val="0"/>
          <w:numId w:val="20"/>
        </w:numPr>
        <w:tabs>
          <w:tab w:val="left" w:pos="1800"/>
        </w:tabs>
        <w:ind w:right="738"/>
      </w:pPr>
      <w:r>
        <w:rPr>
          <w:color w:val="242424"/>
        </w:rPr>
        <w:t>An auditor’s internal specialist may be a partner or staff member, including temporary</w:t>
      </w:r>
      <w:r>
        <w:rPr>
          <w:color w:val="242424"/>
          <w:spacing w:val="-4"/>
        </w:rPr>
        <w:t xml:space="preserve"> </w:t>
      </w:r>
      <w:r>
        <w:rPr>
          <w:color w:val="242424"/>
        </w:rPr>
        <w:t>staff</w:t>
      </w:r>
      <w:r>
        <w:rPr>
          <w:color w:val="242424"/>
          <w:spacing w:val="-4"/>
        </w:rPr>
        <w:t xml:space="preserve"> </w:t>
      </w:r>
      <w:r>
        <w:rPr>
          <w:color w:val="242424"/>
        </w:rPr>
        <w:t>member,</w:t>
      </w:r>
      <w:r>
        <w:rPr>
          <w:color w:val="242424"/>
          <w:spacing w:val="-3"/>
        </w:rPr>
        <w:t xml:space="preserve"> </w:t>
      </w:r>
      <w:r>
        <w:rPr>
          <w:color w:val="242424"/>
        </w:rPr>
        <w:t>of</w:t>
      </w:r>
      <w:r>
        <w:rPr>
          <w:color w:val="242424"/>
          <w:spacing w:val="-4"/>
        </w:rPr>
        <w:t xml:space="preserve"> </w:t>
      </w:r>
      <w:r>
        <w:rPr>
          <w:color w:val="242424"/>
        </w:rPr>
        <w:t>the</w:t>
      </w:r>
      <w:r>
        <w:rPr>
          <w:color w:val="242424"/>
          <w:spacing w:val="-4"/>
        </w:rPr>
        <w:t xml:space="preserve"> </w:t>
      </w:r>
      <w:r>
        <w:rPr>
          <w:color w:val="242424"/>
        </w:rPr>
        <w:t>auditor’s</w:t>
      </w:r>
      <w:r>
        <w:rPr>
          <w:color w:val="242424"/>
          <w:spacing w:val="-4"/>
        </w:rPr>
        <w:t xml:space="preserve"> </w:t>
      </w:r>
      <w:r>
        <w:rPr>
          <w:color w:val="242424"/>
        </w:rPr>
        <w:t>organization</w:t>
      </w:r>
      <w:r>
        <w:rPr>
          <w:color w:val="242424"/>
          <w:spacing w:val="-4"/>
        </w:rPr>
        <w:t xml:space="preserve"> </w:t>
      </w:r>
      <w:r>
        <w:rPr>
          <w:color w:val="242424"/>
        </w:rPr>
        <w:t>and</w:t>
      </w:r>
      <w:r>
        <w:rPr>
          <w:color w:val="242424"/>
          <w:spacing w:val="-4"/>
        </w:rPr>
        <w:t xml:space="preserve"> </w:t>
      </w:r>
      <w:r>
        <w:rPr>
          <w:color w:val="242424"/>
        </w:rPr>
        <w:t>therefore</w:t>
      </w:r>
      <w:r>
        <w:rPr>
          <w:color w:val="242424"/>
          <w:spacing w:val="-4"/>
        </w:rPr>
        <w:t xml:space="preserve"> </w:t>
      </w:r>
      <w:r>
        <w:rPr>
          <w:color w:val="242424"/>
        </w:rPr>
        <w:t>subject</w:t>
      </w:r>
      <w:r>
        <w:rPr>
          <w:color w:val="242424"/>
          <w:spacing w:val="-4"/>
        </w:rPr>
        <w:t xml:space="preserve"> </w:t>
      </w:r>
      <w:r>
        <w:rPr>
          <w:color w:val="242424"/>
        </w:rPr>
        <w:t>to</w:t>
      </w:r>
      <w:r>
        <w:rPr>
          <w:color w:val="242424"/>
          <w:spacing w:val="-4"/>
        </w:rPr>
        <w:t xml:space="preserve"> </w:t>
      </w:r>
      <w:r>
        <w:rPr>
          <w:color w:val="242424"/>
        </w:rPr>
        <w:t xml:space="preserve">the independence and/or objectivity quality control policies and procedures of that organization (AU-C 620.A12). In accordance with </w:t>
      </w:r>
      <w:r>
        <w:t>AU-C 220A</w:t>
      </w:r>
      <w:r>
        <w:rPr>
          <w:color w:val="242424"/>
        </w:rPr>
        <w:t xml:space="preserve">, </w:t>
      </w:r>
      <w:r>
        <w:rPr>
          <w:i/>
          <w:color w:val="242424"/>
        </w:rPr>
        <w:t>Quality Control for an Engagement Conducted in Accordance With Generally Accepted Auditing Standards</w:t>
      </w:r>
      <w:r>
        <w:rPr>
          <w:color w:val="242424"/>
        </w:rPr>
        <w:t xml:space="preserve">, the auditor is entitled to rely on the organization’s system of quality control unless the auditor’s engagement partner determines that it is inappropriate to do so based on information provided by the other auditors’ or specialists’ firms or other parties. However, such reliance does not reduce the auditor’s responsibility to meet the requirements of AU-C 620, </w:t>
      </w:r>
      <w:r>
        <w:rPr>
          <w:i/>
          <w:color w:val="242424"/>
        </w:rPr>
        <w:t xml:space="preserve">Using the Work of an Auditor’s Specialist </w:t>
      </w:r>
      <w:r>
        <w:rPr>
          <w:color w:val="242424"/>
        </w:rPr>
        <w:t>(AU-C 620.A13).</w:t>
      </w:r>
    </w:p>
    <w:p w14:paraId="0DFDAC13" w14:textId="77777777" w:rsidR="00046465" w:rsidRDefault="008134EB">
      <w:pPr>
        <w:spacing w:before="240"/>
        <w:ind w:left="1080"/>
        <w:rPr>
          <w:b/>
          <w:sz w:val="24"/>
        </w:rPr>
      </w:pPr>
      <w:bookmarkStart w:id="11" w:name="Management’s_Specialists"/>
      <w:bookmarkEnd w:id="11"/>
      <w:r>
        <w:rPr>
          <w:b/>
          <w:sz w:val="24"/>
        </w:rPr>
        <w:t>Management’s</w:t>
      </w:r>
      <w:r>
        <w:rPr>
          <w:b/>
          <w:spacing w:val="-7"/>
          <w:sz w:val="24"/>
        </w:rPr>
        <w:t xml:space="preserve"> </w:t>
      </w:r>
      <w:r>
        <w:rPr>
          <w:b/>
          <w:spacing w:val="-2"/>
          <w:sz w:val="24"/>
        </w:rPr>
        <w:t>Specialists</w:t>
      </w:r>
    </w:p>
    <w:p w14:paraId="0DFDAC14" w14:textId="77777777" w:rsidR="00046465" w:rsidRDefault="008134EB">
      <w:pPr>
        <w:pStyle w:val="ListParagraph"/>
        <w:numPr>
          <w:ilvl w:val="0"/>
          <w:numId w:val="20"/>
        </w:numPr>
        <w:tabs>
          <w:tab w:val="left" w:pos="1799"/>
        </w:tabs>
        <w:ind w:left="1799" w:right="765" w:hanging="720"/>
      </w:pPr>
      <w:r>
        <w:t>Based on AU-C 501.A73, when evaluating the objectivity of management’s specialists,</w:t>
      </w:r>
      <w:r>
        <w:rPr>
          <w:spacing w:val="-4"/>
        </w:rPr>
        <w:t xml:space="preserve"> </w:t>
      </w:r>
      <w:r>
        <w:t>the</w:t>
      </w:r>
      <w:r>
        <w:rPr>
          <w:spacing w:val="-3"/>
        </w:rPr>
        <w:t xml:space="preserve"> </w:t>
      </w:r>
      <w:r>
        <w:t>auditor</w:t>
      </w:r>
      <w:r>
        <w:rPr>
          <w:spacing w:val="-3"/>
        </w:rPr>
        <w:t xml:space="preserve"> </w:t>
      </w:r>
      <w:r>
        <w:t>may</w:t>
      </w:r>
      <w:r>
        <w:rPr>
          <w:spacing w:val="-3"/>
        </w:rPr>
        <w:t xml:space="preserve"> </w:t>
      </w:r>
      <w:r>
        <w:t>consider</w:t>
      </w:r>
      <w:r>
        <w:rPr>
          <w:spacing w:val="-5"/>
        </w:rPr>
        <w:t xml:space="preserve"> </w:t>
      </w:r>
      <w:r>
        <w:t>any</w:t>
      </w:r>
      <w:r>
        <w:rPr>
          <w:spacing w:val="-3"/>
        </w:rPr>
        <w:t xml:space="preserve"> </w:t>
      </w:r>
      <w:r>
        <w:t>controls</w:t>
      </w:r>
      <w:r>
        <w:rPr>
          <w:spacing w:val="-4"/>
        </w:rPr>
        <w:t xml:space="preserve"> </w:t>
      </w:r>
      <w:r>
        <w:t>within</w:t>
      </w:r>
      <w:r>
        <w:rPr>
          <w:spacing w:val="-3"/>
        </w:rPr>
        <w:t xml:space="preserve"> </w:t>
      </w:r>
      <w:r>
        <w:t>the</w:t>
      </w:r>
      <w:r>
        <w:rPr>
          <w:spacing w:val="-3"/>
        </w:rPr>
        <w:t xml:space="preserve"> </w:t>
      </w:r>
      <w:r>
        <w:t>entity</w:t>
      </w:r>
      <w:r>
        <w:rPr>
          <w:spacing w:val="-3"/>
        </w:rPr>
        <w:t xml:space="preserve"> </w:t>
      </w:r>
      <w:r>
        <w:t>over</w:t>
      </w:r>
      <w:r>
        <w:rPr>
          <w:spacing w:val="-3"/>
        </w:rPr>
        <w:t xml:space="preserve"> </w:t>
      </w:r>
      <w:r>
        <w:t>their</w:t>
      </w:r>
      <w:r>
        <w:rPr>
          <w:spacing w:val="-3"/>
        </w:rPr>
        <w:t xml:space="preserve"> </w:t>
      </w:r>
      <w:r>
        <w:t>work as important factors with regard to the reliability of any information they produce. A broad range of circumstances may threaten objectivity, for example, self-interest threats, advocacy threats, familiarity threats, self-review threats, and intimidation threats (AU-C 501.A77).</w:t>
      </w:r>
    </w:p>
    <w:p w14:paraId="0DFDAC15" w14:textId="77777777" w:rsidR="00046465" w:rsidRDefault="008134EB">
      <w:pPr>
        <w:pStyle w:val="ListParagraph"/>
        <w:numPr>
          <w:ilvl w:val="0"/>
          <w:numId w:val="20"/>
        </w:numPr>
        <w:tabs>
          <w:tab w:val="left" w:pos="1800"/>
        </w:tabs>
        <w:ind w:right="737"/>
      </w:pPr>
      <w:r>
        <w:t>Although safeguards cannot eliminate all threats to the objectivity of management’s specialists, threats such as intimidation threats may be of less significance</w:t>
      </w:r>
      <w:r>
        <w:rPr>
          <w:spacing w:val="-4"/>
        </w:rPr>
        <w:t xml:space="preserve"> </w:t>
      </w:r>
      <w:r>
        <w:t>to</w:t>
      </w:r>
      <w:r>
        <w:rPr>
          <w:spacing w:val="-3"/>
        </w:rPr>
        <w:t xml:space="preserve"> </w:t>
      </w:r>
      <w:r>
        <w:t>a</w:t>
      </w:r>
      <w:r>
        <w:rPr>
          <w:spacing w:val="-3"/>
        </w:rPr>
        <w:t xml:space="preserve"> </w:t>
      </w:r>
      <w:r>
        <w:t>specialist</w:t>
      </w:r>
      <w:r>
        <w:rPr>
          <w:spacing w:val="-3"/>
        </w:rPr>
        <w:t xml:space="preserve"> </w:t>
      </w:r>
      <w:r>
        <w:t>engaged</w:t>
      </w:r>
      <w:r>
        <w:rPr>
          <w:spacing w:val="-4"/>
        </w:rPr>
        <w:t xml:space="preserve"> </w:t>
      </w:r>
      <w:r>
        <w:t>by</w:t>
      </w:r>
      <w:r>
        <w:rPr>
          <w:spacing w:val="-3"/>
        </w:rPr>
        <w:t xml:space="preserve"> </w:t>
      </w:r>
      <w:r>
        <w:t>the</w:t>
      </w:r>
      <w:r>
        <w:rPr>
          <w:spacing w:val="-3"/>
        </w:rPr>
        <w:t xml:space="preserve"> </w:t>
      </w:r>
      <w:r>
        <w:t>entity</w:t>
      </w:r>
      <w:r>
        <w:rPr>
          <w:spacing w:val="-4"/>
        </w:rPr>
        <w:t xml:space="preserve"> </w:t>
      </w:r>
      <w:r>
        <w:t>than</w:t>
      </w:r>
      <w:r>
        <w:rPr>
          <w:spacing w:val="-3"/>
        </w:rPr>
        <w:t xml:space="preserve"> </w:t>
      </w:r>
      <w:r>
        <w:t>to</w:t>
      </w:r>
      <w:r>
        <w:rPr>
          <w:spacing w:val="-3"/>
        </w:rPr>
        <w:t xml:space="preserve"> </w:t>
      </w:r>
      <w:r>
        <w:t>a</w:t>
      </w:r>
      <w:r>
        <w:rPr>
          <w:spacing w:val="-3"/>
        </w:rPr>
        <w:t xml:space="preserve"> </w:t>
      </w:r>
      <w:r>
        <w:t>specialist</w:t>
      </w:r>
      <w:r>
        <w:rPr>
          <w:spacing w:val="-3"/>
        </w:rPr>
        <w:t xml:space="preserve"> </w:t>
      </w:r>
      <w:r>
        <w:t>employed</w:t>
      </w:r>
      <w:r>
        <w:rPr>
          <w:spacing w:val="-3"/>
        </w:rPr>
        <w:t xml:space="preserve"> </w:t>
      </w:r>
      <w:r>
        <w:t>by the entity, and the effectiveness of safeguards such as quality control policies and procedures may be greater. Because the threat to objectivity created by being an employee of the entity will always be present, a specialist employed by the entity cannot ordinarily be regarded as being more likely to be objective than other employees of the entity (AU-C 501.A78).</w:t>
      </w:r>
    </w:p>
    <w:p w14:paraId="0DFDAC16" w14:textId="77777777" w:rsidR="00046465" w:rsidRDefault="008134EB">
      <w:pPr>
        <w:pStyle w:val="ListParagraph"/>
        <w:numPr>
          <w:ilvl w:val="0"/>
          <w:numId w:val="220"/>
        </w:numPr>
        <w:tabs>
          <w:tab w:val="left" w:pos="1800"/>
        </w:tabs>
        <w:spacing w:before="119"/>
        <w:ind w:right="1032"/>
      </w:pPr>
      <w:r>
        <w:t>When</w:t>
      </w:r>
      <w:r>
        <w:rPr>
          <w:spacing w:val="-3"/>
        </w:rPr>
        <w:t xml:space="preserve"> </w:t>
      </w:r>
      <w:r>
        <w:t>evaluating</w:t>
      </w:r>
      <w:r>
        <w:rPr>
          <w:spacing w:val="-3"/>
        </w:rPr>
        <w:t xml:space="preserve"> </w:t>
      </w:r>
      <w:r>
        <w:t>the</w:t>
      </w:r>
      <w:r>
        <w:rPr>
          <w:spacing w:val="-3"/>
        </w:rPr>
        <w:t xml:space="preserve"> </w:t>
      </w:r>
      <w:r>
        <w:t>objectivity</w:t>
      </w:r>
      <w:r>
        <w:rPr>
          <w:spacing w:val="-3"/>
        </w:rPr>
        <w:t xml:space="preserve"> </w:t>
      </w:r>
      <w:r>
        <w:t>of</w:t>
      </w:r>
      <w:r>
        <w:rPr>
          <w:spacing w:val="-3"/>
        </w:rPr>
        <w:t xml:space="preserve"> </w:t>
      </w:r>
      <w:r>
        <w:t>a</w:t>
      </w:r>
      <w:r>
        <w:rPr>
          <w:spacing w:val="-4"/>
        </w:rPr>
        <w:t xml:space="preserve"> </w:t>
      </w:r>
      <w:r>
        <w:t>specialist</w:t>
      </w:r>
      <w:r>
        <w:rPr>
          <w:spacing w:val="-3"/>
        </w:rPr>
        <w:t xml:space="preserve"> </w:t>
      </w:r>
      <w:r>
        <w:t>engaged</w:t>
      </w:r>
      <w:r>
        <w:rPr>
          <w:spacing w:val="-3"/>
        </w:rPr>
        <w:t xml:space="preserve"> </w:t>
      </w:r>
      <w:r>
        <w:t>by</w:t>
      </w:r>
      <w:r>
        <w:rPr>
          <w:spacing w:val="-3"/>
        </w:rPr>
        <w:t xml:space="preserve"> </w:t>
      </w:r>
      <w:r>
        <w:t>the</w:t>
      </w:r>
      <w:r>
        <w:rPr>
          <w:spacing w:val="-3"/>
        </w:rPr>
        <w:t xml:space="preserve"> </w:t>
      </w:r>
      <w:r>
        <w:t>entity,</w:t>
      </w:r>
      <w:r>
        <w:rPr>
          <w:spacing w:val="-3"/>
        </w:rPr>
        <w:t xml:space="preserve"> </w:t>
      </w:r>
      <w:r>
        <w:t>it</w:t>
      </w:r>
      <w:r>
        <w:rPr>
          <w:spacing w:val="-3"/>
        </w:rPr>
        <w:t xml:space="preserve"> </w:t>
      </w:r>
      <w:r>
        <w:t>may</w:t>
      </w:r>
      <w:r>
        <w:rPr>
          <w:spacing w:val="-3"/>
        </w:rPr>
        <w:t xml:space="preserve"> </w:t>
      </w:r>
      <w:r>
        <w:t>be relevant to discuss with management and that specialist any interests and</w:t>
      </w:r>
    </w:p>
    <w:p w14:paraId="0DFDAC17" w14:textId="77777777" w:rsidR="00046465" w:rsidRDefault="00046465">
      <w:pPr>
        <w:pStyle w:val="ListParagraph"/>
        <w:sectPr w:rsidR="00046465">
          <w:pgSz w:w="12240" w:h="15840"/>
          <w:pgMar w:top="1340" w:right="720" w:bottom="1020" w:left="1080" w:header="721" w:footer="757" w:gutter="0"/>
          <w:cols w:space="720"/>
        </w:sectPr>
      </w:pPr>
    </w:p>
    <w:p w14:paraId="0DFDAC18" w14:textId="77777777" w:rsidR="00046465" w:rsidRDefault="008134EB">
      <w:pPr>
        <w:pStyle w:val="BodyText"/>
        <w:spacing w:before="121"/>
        <w:ind w:left="1800" w:right="749"/>
      </w:pPr>
      <w:r>
        <w:lastRenderedPageBreak/>
        <w:t>relationships that may create threats to the specialist’s objectivity and any applicable</w:t>
      </w:r>
      <w:r>
        <w:rPr>
          <w:spacing w:val="-6"/>
        </w:rPr>
        <w:t xml:space="preserve"> </w:t>
      </w:r>
      <w:r>
        <w:t>safeguards,</w:t>
      </w:r>
      <w:r>
        <w:rPr>
          <w:spacing w:val="-5"/>
        </w:rPr>
        <w:t xml:space="preserve"> </w:t>
      </w:r>
      <w:r>
        <w:t>including</w:t>
      </w:r>
      <w:r>
        <w:rPr>
          <w:spacing w:val="-5"/>
        </w:rPr>
        <w:t xml:space="preserve"> </w:t>
      </w:r>
      <w:r>
        <w:t>any</w:t>
      </w:r>
      <w:r>
        <w:rPr>
          <w:spacing w:val="-5"/>
        </w:rPr>
        <w:t xml:space="preserve"> </w:t>
      </w:r>
      <w:r>
        <w:t>professional</w:t>
      </w:r>
      <w:r>
        <w:rPr>
          <w:spacing w:val="-5"/>
        </w:rPr>
        <w:t xml:space="preserve"> </w:t>
      </w:r>
      <w:r>
        <w:t>requirements</w:t>
      </w:r>
      <w:r>
        <w:rPr>
          <w:spacing w:val="-5"/>
        </w:rPr>
        <w:t xml:space="preserve"> </w:t>
      </w:r>
      <w:r>
        <w:t>that</w:t>
      </w:r>
      <w:r>
        <w:rPr>
          <w:spacing w:val="-5"/>
        </w:rPr>
        <w:t xml:space="preserve"> </w:t>
      </w:r>
      <w:r>
        <w:t>apply</w:t>
      </w:r>
      <w:r>
        <w:rPr>
          <w:spacing w:val="-5"/>
        </w:rPr>
        <w:t xml:space="preserve"> </w:t>
      </w:r>
      <w:r>
        <w:t>to</w:t>
      </w:r>
      <w:r>
        <w:rPr>
          <w:spacing w:val="-5"/>
        </w:rPr>
        <w:t xml:space="preserve"> </w:t>
      </w:r>
      <w:r>
        <w:t>the specialist, and to evaluate whether the safeguards are adequate. Relevant information may be obtained by performing the procedures described in FAM 220, 265, 280, 550, and 904 pertaining to related parties. Interests and relationships creating threats may include</w:t>
      </w:r>
    </w:p>
    <w:p w14:paraId="0DFDAC19" w14:textId="77777777" w:rsidR="00046465" w:rsidRDefault="008134EB">
      <w:pPr>
        <w:pStyle w:val="ListParagraph"/>
        <w:numPr>
          <w:ilvl w:val="1"/>
          <w:numId w:val="220"/>
        </w:numPr>
        <w:tabs>
          <w:tab w:val="left" w:pos="2159"/>
        </w:tabs>
        <w:ind w:hanging="359"/>
      </w:pPr>
      <w:r>
        <w:t>financial</w:t>
      </w:r>
      <w:r>
        <w:rPr>
          <w:spacing w:val="-10"/>
        </w:rPr>
        <w:t xml:space="preserve"> </w:t>
      </w:r>
      <w:r>
        <w:rPr>
          <w:spacing w:val="-2"/>
        </w:rPr>
        <w:t>interests,</w:t>
      </w:r>
    </w:p>
    <w:p w14:paraId="0DFDAC1A" w14:textId="77777777" w:rsidR="00046465" w:rsidRDefault="008134EB">
      <w:pPr>
        <w:pStyle w:val="ListParagraph"/>
        <w:numPr>
          <w:ilvl w:val="1"/>
          <w:numId w:val="220"/>
        </w:numPr>
        <w:tabs>
          <w:tab w:val="left" w:pos="2159"/>
        </w:tabs>
        <w:spacing w:before="119"/>
        <w:ind w:right="1161"/>
      </w:pPr>
      <w:r>
        <w:t>business</w:t>
      </w:r>
      <w:r>
        <w:rPr>
          <w:spacing w:val="-6"/>
        </w:rPr>
        <w:t xml:space="preserve"> </w:t>
      </w:r>
      <w:r>
        <w:t>and</w:t>
      </w:r>
      <w:r>
        <w:rPr>
          <w:spacing w:val="-5"/>
        </w:rPr>
        <w:t xml:space="preserve"> </w:t>
      </w:r>
      <w:r>
        <w:t>personal</w:t>
      </w:r>
      <w:r>
        <w:rPr>
          <w:spacing w:val="-5"/>
        </w:rPr>
        <w:t xml:space="preserve"> </w:t>
      </w:r>
      <w:r>
        <w:t>relationships</w:t>
      </w:r>
      <w:r>
        <w:rPr>
          <w:spacing w:val="-5"/>
        </w:rPr>
        <w:t xml:space="preserve"> </w:t>
      </w:r>
      <w:r>
        <w:t>between</w:t>
      </w:r>
      <w:r>
        <w:rPr>
          <w:spacing w:val="-5"/>
        </w:rPr>
        <w:t xml:space="preserve"> </w:t>
      </w:r>
      <w:r>
        <w:t>the</w:t>
      </w:r>
      <w:r>
        <w:rPr>
          <w:spacing w:val="-5"/>
        </w:rPr>
        <w:t xml:space="preserve"> </w:t>
      </w:r>
      <w:r>
        <w:t>entity</w:t>
      </w:r>
      <w:r>
        <w:rPr>
          <w:spacing w:val="-5"/>
        </w:rPr>
        <w:t xml:space="preserve"> </w:t>
      </w:r>
      <w:r>
        <w:t>and</w:t>
      </w:r>
      <w:r>
        <w:rPr>
          <w:spacing w:val="-5"/>
        </w:rPr>
        <w:t xml:space="preserve"> </w:t>
      </w:r>
      <w:r>
        <w:t>the</w:t>
      </w:r>
      <w:r>
        <w:rPr>
          <w:spacing w:val="-5"/>
        </w:rPr>
        <w:t xml:space="preserve"> </w:t>
      </w:r>
      <w:r>
        <w:t>individual specialist and between the entity and the organization that employs the individual specialist, and</w:t>
      </w:r>
    </w:p>
    <w:p w14:paraId="0DFDAC1B" w14:textId="77777777" w:rsidR="00046465" w:rsidRDefault="008134EB">
      <w:pPr>
        <w:pStyle w:val="ListParagraph"/>
        <w:numPr>
          <w:ilvl w:val="1"/>
          <w:numId w:val="220"/>
        </w:numPr>
        <w:tabs>
          <w:tab w:val="left" w:pos="2159"/>
        </w:tabs>
        <w:spacing w:before="121"/>
        <w:ind w:hanging="359"/>
      </w:pPr>
      <w:r>
        <w:t>provision</w:t>
      </w:r>
      <w:r>
        <w:rPr>
          <w:spacing w:val="-7"/>
        </w:rPr>
        <w:t xml:space="preserve"> </w:t>
      </w:r>
      <w:r>
        <w:t>of</w:t>
      </w:r>
      <w:r>
        <w:rPr>
          <w:spacing w:val="-8"/>
        </w:rPr>
        <w:t xml:space="preserve"> </w:t>
      </w:r>
      <w:r>
        <w:t>other</w:t>
      </w:r>
      <w:r>
        <w:rPr>
          <w:spacing w:val="-7"/>
        </w:rPr>
        <w:t xml:space="preserve"> </w:t>
      </w:r>
      <w:r>
        <w:t>services</w:t>
      </w:r>
      <w:r>
        <w:rPr>
          <w:spacing w:val="-7"/>
        </w:rPr>
        <w:t xml:space="preserve"> </w:t>
      </w:r>
      <w:r>
        <w:t>(AU-C</w:t>
      </w:r>
      <w:r>
        <w:rPr>
          <w:spacing w:val="-6"/>
        </w:rPr>
        <w:t xml:space="preserve"> </w:t>
      </w:r>
      <w:r>
        <w:rPr>
          <w:spacing w:val="-2"/>
        </w:rPr>
        <w:t>501.A79).</w:t>
      </w:r>
    </w:p>
    <w:p w14:paraId="0DFDAC1C" w14:textId="77777777" w:rsidR="00046465" w:rsidRDefault="008134EB">
      <w:pPr>
        <w:spacing w:before="240"/>
        <w:ind w:left="1080"/>
        <w:rPr>
          <w:b/>
          <w:sz w:val="24"/>
        </w:rPr>
      </w:pPr>
      <w:bookmarkStart w:id="12" w:name="Component_Auditors_of_a_Group_Audit"/>
      <w:bookmarkEnd w:id="12"/>
      <w:r>
        <w:rPr>
          <w:b/>
          <w:sz w:val="24"/>
        </w:rPr>
        <w:t>Component</w:t>
      </w:r>
      <w:r>
        <w:rPr>
          <w:b/>
          <w:spacing w:val="-3"/>
          <w:sz w:val="24"/>
        </w:rPr>
        <w:t xml:space="preserve"> </w:t>
      </w:r>
      <w:r>
        <w:rPr>
          <w:b/>
          <w:sz w:val="24"/>
        </w:rPr>
        <w:t>Auditors</w:t>
      </w:r>
      <w:r>
        <w:rPr>
          <w:b/>
          <w:spacing w:val="-3"/>
          <w:sz w:val="24"/>
        </w:rPr>
        <w:t xml:space="preserve"> </w:t>
      </w:r>
      <w:r>
        <w:rPr>
          <w:b/>
          <w:sz w:val="24"/>
        </w:rPr>
        <w:t>of</w:t>
      </w:r>
      <w:r>
        <w:rPr>
          <w:b/>
          <w:spacing w:val="-2"/>
          <w:sz w:val="24"/>
        </w:rPr>
        <w:t xml:space="preserve"> </w:t>
      </w:r>
      <w:r>
        <w:rPr>
          <w:b/>
          <w:sz w:val="24"/>
        </w:rPr>
        <w:t>a</w:t>
      </w:r>
      <w:r>
        <w:rPr>
          <w:b/>
          <w:spacing w:val="-3"/>
          <w:sz w:val="24"/>
        </w:rPr>
        <w:t xml:space="preserve"> </w:t>
      </w:r>
      <w:r>
        <w:rPr>
          <w:b/>
          <w:sz w:val="24"/>
        </w:rPr>
        <w:t>Group</w:t>
      </w:r>
      <w:r>
        <w:rPr>
          <w:b/>
          <w:spacing w:val="-3"/>
          <w:sz w:val="24"/>
        </w:rPr>
        <w:t xml:space="preserve"> </w:t>
      </w:r>
      <w:r>
        <w:rPr>
          <w:b/>
          <w:spacing w:val="-4"/>
          <w:sz w:val="24"/>
        </w:rPr>
        <w:t>Audit</w:t>
      </w:r>
    </w:p>
    <w:p w14:paraId="0DFDAC1D" w14:textId="77777777" w:rsidR="00046465" w:rsidRDefault="008134EB">
      <w:pPr>
        <w:pStyle w:val="ListParagraph"/>
        <w:numPr>
          <w:ilvl w:val="0"/>
          <w:numId w:val="220"/>
        </w:numPr>
        <w:tabs>
          <w:tab w:val="left" w:pos="1800"/>
        </w:tabs>
        <w:ind w:right="725"/>
      </w:pPr>
      <w:r>
        <w:t xml:space="preserve">In addition to evaluating whether a </w:t>
      </w:r>
      <w:r>
        <w:rPr>
          <w:b/>
        </w:rPr>
        <w:t xml:space="preserve">component auditor </w:t>
      </w:r>
      <w:r>
        <w:t>is independent and objective, the auditor (group engagement team) should obtain an understanding of whether a component auditor understands and will comply with the ethical requirements that are relevant to the group audit (AU-C 600A.22 and see FAM 630). Such requirements may be different from or in addition to those applying to a component auditor when performing an audit in the component auditor’s jurisdiction. The auditor, therefore, obtains an understanding about the component auditor’s understanding of, and compliance with, the ethical requirements</w:t>
      </w:r>
      <w:r>
        <w:rPr>
          <w:spacing w:val="-2"/>
        </w:rPr>
        <w:t xml:space="preserve"> </w:t>
      </w:r>
      <w:r>
        <w:t>that</w:t>
      </w:r>
      <w:r>
        <w:rPr>
          <w:spacing w:val="-2"/>
        </w:rPr>
        <w:t xml:space="preserve"> </w:t>
      </w:r>
      <w:r>
        <w:t>are</w:t>
      </w:r>
      <w:r>
        <w:rPr>
          <w:spacing w:val="-2"/>
        </w:rPr>
        <w:t xml:space="preserve"> </w:t>
      </w:r>
      <w:r>
        <w:t>relevant</w:t>
      </w:r>
      <w:r>
        <w:rPr>
          <w:spacing w:val="-2"/>
        </w:rPr>
        <w:t xml:space="preserve"> </w:t>
      </w:r>
      <w:r>
        <w:t>to</w:t>
      </w:r>
      <w:r>
        <w:rPr>
          <w:spacing w:val="-2"/>
        </w:rPr>
        <w:t xml:space="preserve"> </w:t>
      </w:r>
      <w:r>
        <w:t>the</w:t>
      </w:r>
      <w:r>
        <w:rPr>
          <w:spacing w:val="-2"/>
        </w:rPr>
        <w:t xml:space="preserve"> </w:t>
      </w:r>
      <w:r>
        <w:t>group</w:t>
      </w:r>
      <w:r>
        <w:rPr>
          <w:spacing w:val="-2"/>
        </w:rPr>
        <w:t xml:space="preserve"> </w:t>
      </w:r>
      <w:r>
        <w:t>audit</w:t>
      </w:r>
      <w:r>
        <w:rPr>
          <w:spacing w:val="-2"/>
        </w:rPr>
        <w:t xml:space="preserve"> </w:t>
      </w:r>
      <w:r>
        <w:t>and</w:t>
      </w:r>
      <w:r>
        <w:rPr>
          <w:spacing w:val="-2"/>
        </w:rPr>
        <w:t xml:space="preserve"> </w:t>
      </w:r>
      <w:r>
        <w:t>whether</w:t>
      </w:r>
      <w:r>
        <w:rPr>
          <w:spacing w:val="-2"/>
        </w:rPr>
        <w:t xml:space="preserve"> </w:t>
      </w:r>
      <w:r>
        <w:t>these</w:t>
      </w:r>
      <w:r>
        <w:rPr>
          <w:spacing w:val="-2"/>
        </w:rPr>
        <w:t xml:space="preserve"> </w:t>
      </w:r>
      <w:r>
        <w:t>are</w:t>
      </w:r>
      <w:r>
        <w:rPr>
          <w:spacing w:val="-1"/>
        </w:rPr>
        <w:t xml:space="preserve"> </w:t>
      </w:r>
      <w:r>
        <w:t>sufficient to fulfill the component auditor’s responsibilities in the group audit. When the component</w:t>
      </w:r>
      <w:r>
        <w:rPr>
          <w:spacing w:val="-4"/>
        </w:rPr>
        <w:t xml:space="preserve"> </w:t>
      </w:r>
      <w:r>
        <w:t>auditor</w:t>
      </w:r>
      <w:r>
        <w:rPr>
          <w:spacing w:val="-4"/>
        </w:rPr>
        <w:t xml:space="preserve"> </w:t>
      </w:r>
      <w:r>
        <w:t>is</w:t>
      </w:r>
      <w:r>
        <w:rPr>
          <w:spacing w:val="-4"/>
        </w:rPr>
        <w:t xml:space="preserve"> </w:t>
      </w:r>
      <w:r>
        <w:t>not</w:t>
      </w:r>
      <w:r>
        <w:rPr>
          <w:spacing w:val="-4"/>
        </w:rPr>
        <w:t xml:space="preserve"> </w:t>
      </w:r>
      <w:r>
        <w:t>subject</w:t>
      </w:r>
      <w:r>
        <w:rPr>
          <w:spacing w:val="-4"/>
        </w:rPr>
        <w:t xml:space="preserve"> </w:t>
      </w:r>
      <w:r>
        <w:t>to</w:t>
      </w:r>
      <w:r>
        <w:rPr>
          <w:spacing w:val="-4"/>
        </w:rPr>
        <w:t xml:space="preserve"> </w:t>
      </w:r>
      <w:r>
        <w:t>the</w:t>
      </w:r>
      <w:r>
        <w:rPr>
          <w:spacing w:val="-4"/>
        </w:rPr>
        <w:t xml:space="preserve"> </w:t>
      </w:r>
      <w:r>
        <w:t>AICPA</w:t>
      </w:r>
      <w:r>
        <w:rPr>
          <w:spacing w:val="-4"/>
        </w:rPr>
        <w:t xml:space="preserve"> </w:t>
      </w:r>
      <w:r>
        <w:t>Code</w:t>
      </w:r>
      <w:r>
        <w:rPr>
          <w:spacing w:val="-4"/>
        </w:rPr>
        <w:t xml:space="preserve"> </w:t>
      </w:r>
      <w:r>
        <w:t>of</w:t>
      </w:r>
      <w:r>
        <w:rPr>
          <w:spacing w:val="-4"/>
        </w:rPr>
        <w:t xml:space="preserve"> </w:t>
      </w:r>
      <w:r>
        <w:t>Professional</w:t>
      </w:r>
      <w:r>
        <w:rPr>
          <w:spacing w:val="-4"/>
        </w:rPr>
        <w:t xml:space="preserve"> </w:t>
      </w:r>
      <w:r>
        <w:t>Conduct,</w:t>
      </w:r>
      <w:r>
        <w:rPr>
          <w:spacing w:val="-4"/>
        </w:rPr>
        <w:t xml:space="preserve"> </w:t>
      </w:r>
      <w:r>
        <w:t>the component auditor’s compliance with the ethics and independence requirements set forth in the International Federation of Accountants Code of Ethics for Professional Accountants is sufficient to fulfill the component auditor's ethical responsibilities in the group audit (AU-C 600A.A46).</w:t>
      </w:r>
    </w:p>
    <w:p w14:paraId="0DFDAC1E" w14:textId="77777777" w:rsidR="00046465" w:rsidRDefault="008134EB">
      <w:pPr>
        <w:pStyle w:val="ListParagraph"/>
        <w:numPr>
          <w:ilvl w:val="0"/>
          <w:numId w:val="220"/>
        </w:numPr>
        <w:tabs>
          <w:tab w:val="left" w:pos="1800"/>
        </w:tabs>
        <w:ind w:right="896"/>
      </w:pPr>
      <w:r>
        <w:t>The auditor should obtain written representations from the component auditor that</w:t>
      </w:r>
      <w:r>
        <w:rPr>
          <w:spacing w:val="-3"/>
        </w:rPr>
        <w:t xml:space="preserve"> </w:t>
      </w:r>
      <w:r>
        <w:t>to</w:t>
      </w:r>
      <w:r>
        <w:rPr>
          <w:spacing w:val="-3"/>
        </w:rPr>
        <w:t xml:space="preserve"> </w:t>
      </w:r>
      <w:r>
        <w:t>the</w:t>
      </w:r>
      <w:r>
        <w:rPr>
          <w:spacing w:val="-3"/>
        </w:rPr>
        <w:t xml:space="preserve"> </w:t>
      </w:r>
      <w:r>
        <w:t>best</w:t>
      </w:r>
      <w:r>
        <w:rPr>
          <w:spacing w:val="-3"/>
        </w:rPr>
        <w:t xml:space="preserve"> </w:t>
      </w:r>
      <w:r>
        <w:t>of</w:t>
      </w:r>
      <w:r>
        <w:rPr>
          <w:spacing w:val="-3"/>
        </w:rPr>
        <w:t xml:space="preserve"> </w:t>
      </w:r>
      <w:r>
        <w:t>their</w:t>
      </w:r>
      <w:r>
        <w:rPr>
          <w:spacing w:val="-3"/>
        </w:rPr>
        <w:t xml:space="preserve"> </w:t>
      </w:r>
      <w:r>
        <w:t>knowledge,</w:t>
      </w:r>
      <w:r>
        <w:rPr>
          <w:spacing w:val="-3"/>
        </w:rPr>
        <w:t xml:space="preserve"> </w:t>
      </w:r>
      <w:r>
        <w:t>the</w:t>
      </w:r>
      <w:r>
        <w:rPr>
          <w:spacing w:val="-3"/>
        </w:rPr>
        <w:t xml:space="preserve"> </w:t>
      </w:r>
      <w:r>
        <w:t>firm</w:t>
      </w:r>
      <w:r>
        <w:rPr>
          <w:spacing w:val="-4"/>
        </w:rPr>
        <w:t xml:space="preserve"> </w:t>
      </w:r>
      <w:r>
        <w:t>and</w:t>
      </w:r>
      <w:r>
        <w:rPr>
          <w:spacing w:val="-3"/>
        </w:rPr>
        <w:t xml:space="preserve"> </w:t>
      </w:r>
      <w:r>
        <w:t>the</w:t>
      </w:r>
      <w:r>
        <w:rPr>
          <w:spacing w:val="-3"/>
        </w:rPr>
        <w:t xml:space="preserve"> </w:t>
      </w:r>
      <w:r>
        <w:t>individual</w:t>
      </w:r>
      <w:r>
        <w:rPr>
          <w:spacing w:val="-4"/>
        </w:rPr>
        <w:t xml:space="preserve"> </w:t>
      </w:r>
      <w:r>
        <w:t>auditors</w:t>
      </w:r>
      <w:r>
        <w:rPr>
          <w:spacing w:val="-3"/>
        </w:rPr>
        <w:t xml:space="preserve"> </w:t>
      </w:r>
      <w:r>
        <w:t>doing</w:t>
      </w:r>
      <w:r>
        <w:rPr>
          <w:spacing w:val="-3"/>
        </w:rPr>
        <w:t xml:space="preserve"> </w:t>
      </w:r>
      <w:r>
        <w:t>the work have complied with ethical requirements relevant to the group audit, including independence (AU-C 600A.42).</w:t>
      </w:r>
    </w:p>
    <w:p w14:paraId="0DFDAC1F" w14:textId="77777777" w:rsidR="00046465" w:rsidRDefault="008134EB">
      <w:pPr>
        <w:spacing w:before="240"/>
        <w:ind w:left="1080"/>
        <w:rPr>
          <w:b/>
          <w:sz w:val="24"/>
        </w:rPr>
      </w:pPr>
      <w:r>
        <w:rPr>
          <w:b/>
          <w:sz w:val="24"/>
        </w:rPr>
        <w:t>Service</w:t>
      </w:r>
      <w:r>
        <w:rPr>
          <w:b/>
          <w:spacing w:val="-4"/>
          <w:sz w:val="24"/>
        </w:rPr>
        <w:t xml:space="preserve"> </w:t>
      </w:r>
      <w:r>
        <w:rPr>
          <w:b/>
          <w:spacing w:val="-2"/>
          <w:sz w:val="24"/>
        </w:rPr>
        <w:t>Auditors</w:t>
      </w:r>
    </w:p>
    <w:p w14:paraId="0DFDAC20" w14:textId="77777777" w:rsidR="00046465" w:rsidRDefault="008134EB">
      <w:pPr>
        <w:pStyle w:val="ListParagraph"/>
        <w:numPr>
          <w:ilvl w:val="0"/>
          <w:numId w:val="220"/>
        </w:numPr>
        <w:tabs>
          <w:tab w:val="left" w:pos="1800"/>
        </w:tabs>
        <w:spacing w:before="119"/>
        <w:ind w:right="765" w:hanging="720"/>
      </w:pPr>
      <w:r>
        <w:rPr>
          <w:color w:val="242424"/>
        </w:rPr>
        <w:t>When</w:t>
      </w:r>
      <w:r>
        <w:rPr>
          <w:color w:val="242424"/>
          <w:spacing w:val="-2"/>
        </w:rPr>
        <w:t xml:space="preserve"> </w:t>
      </w:r>
      <w:r>
        <w:rPr>
          <w:color w:val="242424"/>
        </w:rPr>
        <w:t>the</w:t>
      </w:r>
      <w:r>
        <w:rPr>
          <w:color w:val="242424"/>
          <w:spacing w:val="-2"/>
        </w:rPr>
        <w:t xml:space="preserve"> </w:t>
      </w:r>
      <w:r>
        <w:rPr>
          <w:color w:val="242424"/>
        </w:rPr>
        <w:t>auditor</w:t>
      </w:r>
      <w:r>
        <w:rPr>
          <w:color w:val="242424"/>
          <w:spacing w:val="-2"/>
        </w:rPr>
        <w:t xml:space="preserve"> </w:t>
      </w:r>
      <w:r>
        <w:rPr>
          <w:color w:val="242424"/>
        </w:rPr>
        <w:t>is</w:t>
      </w:r>
      <w:r>
        <w:rPr>
          <w:color w:val="242424"/>
          <w:spacing w:val="-2"/>
        </w:rPr>
        <w:t xml:space="preserve"> </w:t>
      </w:r>
      <w:r>
        <w:rPr>
          <w:color w:val="242424"/>
        </w:rPr>
        <w:t>using</w:t>
      </w:r>
      <w:r>
        <w:rPr>
          <w:color w:val="242424"/>
          <w:spacing w:val="-2"/>
        </w:rPr>
        <w:t xml:space="preserve"> </w:t>
      </w:r>
      <w:r>
        <w:rPr>
          <w:color w:val="242424"/>
        </w:rPr>
        <w:t>a</w:t>
      </w:r>
      <w:r>
        <w:rPr>
          <w:color w:val="242424"/>
          <w:spacing w:val="-2"/>
        </w:rPr>
        <w:t xml:space="preserve"> </w:t>
      </w:r>
      <w:r>
        <w:rPr>
          <w:color w:val="242424"/>
        </w:rPr>
        <w:t>type</w:t>
      </w:r>
      <w:r>
        <w:rPr>
          <w:color w:val="242424"/>
          <w:spacing w:val="-2"/>
        </w:rPr>
        <w:t xml:space="preserve"> </w:t>
      </w:r>
      <w:r>
        <w:rPr>
          <w:color w:val="242424"/>
        </w:rPr>
        <w:t>1</w:t>
      </w:r>
      <w:r>
        <w:rPr>
          <w:color w:val="242424"/>
          <w:spacing w:val="-2"/>
        </w:rPr>
        <w:t xml:space="preserve"> </w:t>
      </w:r>
      <w:r>
        <w:rPr>
          <w:color w:val="242424"/>
        </w:rPr>
        <w:t>or</w:t>
      </w:r>
      <w:r>
        <w:rPr>
          <w:color w:val="242424"/>
          <w:spacing w:val="-2"/>
        </w:rPr>
        <w:t xml:space="preserve"> </w:t>
      </w:r>
      <w:r>
        <w:rPr>
          <w:color w:val="242424"/>
        </w:rPr>
        <w:t>type</w:t>
      </w:r>
      <w:r>
        <w:rPr>
          <w:color w:val="242424"/>
          <w:spacing w:val="-2"/>
        </w:rPr>
        <w:t xml:space="preserve"> </w:t>
      </w:r>
      <w:r>
        <w:rPr>
          <w:color w:val="242424"/>
        </w:rPr>
        <w:t>2</w:t>
      </w:r>
      <w:r>
        <w:rPr>
          <w:color w:val="242424"/>
          <w:spacing w:val="-2"/>
        </w:rPr>
        <w:t xml:space="preserve"> </w:t>
      </w:r>
      <w:r>
        <w:rPr>
          <w:color w:val="242424"/>
        </w:rPr>
        <w:t>report</w:t>
      </w:r>
      <w:r>
        <w:rPr>
          <w:color w:val="242424"/>
          <w:spacing w:val="-2"/>
        </w:rPr>
        <w:t xml:space="preserve"> </w:t>
      </w:r>
      <w:r>
        <w:rPr>
          <w:color w:val="242424"/>
        </w:rPr>
        <w:t>prepared</w:t>
      </w:r>
      <w:r>
        <w:rPr>
          <w:color w:val="242424"/>
          <w:spacing w:val="-2"/>
        </w:rPr>
        <w:t xml:space="preserve"> </w:t>
      </w:r>
      <w:r>
        <w:rPr>
          <w:color w:val="242424"/>
        </w:rPr>
        <w:t>by</w:t>
      </w:r>
      <w:r>
        <w:rPr>
          <w:color w:val="242424"/>
          <w:spacing w:val="-2"/>
        </w:rPr>
        <w:t xml:space="preserve"> </w:t>
      </w:r>
      <w:r>
        <w:rPr>
          <w:color w:val="242424"/>
        </w:rPr>
        <w:t>a</w:t>
      </w:r>
      <w:r>
        <w:rPr>
          <w:color w:val="242424"/>
          <w:spacing w:val="-1"/>
        </w:rPr>
        <w:t xml:space="preserve"> </w:t>
      </w:r>
      <w:r>
        <w:rPr>
          <w:color w:val="242424"/>
        </w:rPr>
        <w:t>service</w:t>
      </w:r>
      <w:r>
        <w:rPr>
          <w:color w:val="242424"/>
          <w:spacing w:val="-2"/>
        </w:rPr>
        <w:t xml:space="preserve"> </w:t>
      </w:r>
      <w:r>
        <w:rPr>
          <w:color w:val="242424"/>
        </w:rPr>
        <w:t xml:space="preserve">auditor, </w:t>
      </w:r>
      <w:r>
        <w:t>the</w:t>
      </w:r>
      <w:r>
        <w:rPr>
          <w:spacing w:val="-5"/>
        </w:rPr>
        <w:t xml:space="preserve"> </w:t>
      </w:r>
      <w:r>
        <w:t>auditor</w:t>
      </w:r>
      <w:r>
        <w:rPr>
          <w:spacing w:val="-5"/>
        </w:rPr>
        <w:t xml:space="preserve"> </w:t>
      </w:r>
      <w:r>
        <w:t>should</w:t>
      </w:r>
      <w:r>
        <w:rPr>
          <w:spacing w:val="-5"/>
        </w:rPr>
        <w:t xml:space="preserve"> </w:t>
      </w:r>
      <w:r>
        <w:t>be</w:t>
      </w:r>
      <w:r>
        <w:rPr>
          <w:spacing w:val="-5"/>
        </w:rPr>
        <w:t xml:space="preserve"> </w:t>
      </w:r>
      <w:r>
        <w:t>satisfied</w:t>
      </w:r>
      <w:r>
        <w:rPr>
          <w:spacing w:val="-5"/>
        </w:rPr>
        <w:t xml:space="preserve"> </w:t>
      </w:r>
      <w:r>
        <w:t>regarding</w:t>
      </w:r>
      <w:r>
        <w:rPr>
          <w:spacing w:val="-5"/>
        </w:rPr>
        <w:t xml:space="preserve"> </w:t>
      </w:r>
      <w:r>
        <w:t>the</w:t>
      </w:r>
      <w:r>
        <w:rPr>
          <w:spacing w:val="-5"/>
        </w:rPr>
        <w:t xml:space="preserve"> </w:t>
      </w:r>
      <w:r>
        <w:t>service</w:t>
      </w:r>
      <w:r>
        <w:rPr>
          <w:spacing w:val="-5"/>
        </w:rPr>
        <w:t xml:space="preserve"> </w:t>
      </w:r>
      <w:r>
        <w:t>auditor’s</w:t>
      </w:r>
      <w:r>
        <w:rPr>
          <w:spacing w:val="-5"/>
        </w:rPr>
        <w:t xml:space="preserve"> </w:t>
      </w:r>
      <w:r>
        <w:t>independence</w:t>
      </w:r>
      <w:r>
        <w:rPr>
          <w:spacing w:val="-5"/>
        </w:rPr>
        <w:t xml:space="preserve"> </w:t>
      </w:r>
      <w:r>
        <w:t>from the service organization (see FAM 640.07). However, a service auditor need not be independent of the entity (AU-C 402.A22).</w:t>
      </w:r>
    </w:p>
    <w:p w14:paraId="0DFDAC21" w14:textId="77777777" w:rsidR="00046465" w:rsidRDefault="008134EB">
      <w:pPr>
        <w:pStyle w:val="ListParagraph"/>
        <w:numPr>
          <w:ilvl w:val="0"/>
          <w:numId w:val="220"/>
        </w:numPr>
        <w:tabs>
          <w:tab w:val="left" w:pos="1800"/>
        </w:tabs>
        <w:ind w:right="825"/>
      </w:pPr>
      <w:r>
        <w:t xml:space="preserve">Unless evidence to the contrary comes to the auditor’s attention, a service auditor’s report implies that the service auditor is independent of the service organization (AU-C 402.A22). The service auditor is required to include “independent” in the title of the report (AICPA’s </w:t>
      </w:r>
      <w:r>
        <w:rPr>
          <w:i/>
        </w:rPr>
        <w:t xml:space="preserve">Standards for Attestation Engagements [Clarified] </w:t>
      </w:r>
      <w:r>
        <w:t>(AT-C) 320.40–.41). If the auditor has questions or concerns</w:t>
      </w:r>
      <w:r>
        <w:rPr>
          <w:spacing w:val="-4"/>
        </w:rPr>
        <w:t xml:space="preserve"> </w:t>
      </w:r>
      <w:r>
        <w:t>about</w:t>
      </w:r>
      <w:r>
        <w:rPr>
          <w:spacing w:val="-4"/>
        </w:rPr>
        <w:t xml:space="preserve"> </w:t>
      </w:r>
      <w:r>
        <w:t>the</w:t>
      </w:r>
      <w:r>
        <w:rPr>
          <w:spacing w:val="-4"/>
        </w:rPr>
        <w:t xml:space="preserve"> </w:t>
      </w:r>
      <w:r>
        <w:t>service</w:t>
      </w:r>
      <w:r>
        <w:rPr>
          <w:spacing w:val="-4"/>
        </w:rPr>
        <w:t xml:space="preserve"> </w:t>
      </w:r>
      <w:r>
        <w:t>auditor’s</w:t>
      </w:r>
      <w:r>
        <w:rPr>
          <w:spacing w:val="-5"/>
        </w:rPr>
        <w:t xml:space="preserve"> </w:t>
      </w:r>
      <w:r>
        <w:t>independence,</w:t>
      </w:r>
      <w:r>
        <w:rPr>
          <w:spacing w:val="-4"/>
        </w:rPr>
        <w:t xml:space="preserve"> </w:t>
      </w:r>
      <w:r>
        <w:t>the</w:t>
      </w:r>
      <w:r>
        <w:rPr>
          <w:spacing w:val="-4"/>
        </w:rPr>
        <w:t xml:space="preserve"> </w:t>
      </w:r>
      <w:r>
        <w:t>auditor</w:t>
      </w:r>
      <w:r>
        <w:rPr>
          <w:spacing w:val="-4"/>
        </w:rPr>
        <w:t xml:space="preserve"> </w:t>
      </w:r>
      <w:r>
        <w:t>should</w:t>
      </w:r>
      <w:r>
        <w:rPr>
          <w:spacing w:val="-4"/>
        </w:rPr>
        <w:t xml:space="preserve"> </w:t>
      </w:r>
      <w:r>
        <w:t>work</w:t>
      </w:r>
      <w:r>
        <w:rPr>
          <w:spacing w:val="-4"/>
        </w:rPr>
        <w:t xml:space="preserve"> </w:t>
      </w:r>
      <w:r>
        <w:t>with the entity under audit to assess the service auditor’s independence from the service</w:t>
      </w:r>
      <w:r>
        <w:rPr>
          <w:spacing w:val="-3"/>
        </w:rPr>
        <w:t xml:space="preserve"> </w:t>
      </w:r>
      <w:r>
        <w:t>organization</w:t>
      </w:r>
      <w:r>
        <w:rPr>
          <w:spacing w:val="-3"/>
        </w:rPr>
        <w:t xml:space="preserve"> </w:t>
      </w:r>
      <w:r>
        <w:t>using</w:t>
      </w:r>
      <w:r>
        <w:rPr>
          <w:spacing w:val="-3"/>
        </w:rPr>
        <w:t xml:space="preserve"> </w:t>
      </w:r>
      <w:r>
        <w:t>chapter</w:t>
      </w:r>
      <w:r>
        <w:rPr>
          <w:spacing w:val="-3"/>
        </w:rPr>
        <w:t xml:space="preserve"> </w:t>
      </w:r>
      <w:r>
        <w:t>3</w:t>
      </w:r>
      <w:r>
        <w:rPr>
          <w:spacing w:val="-4"/>
        </w:rPr>
        <w:t xml:space="preserve"> </w:t>
      </w:r>
      <w:r>
        <w:t>of</w:t>
      </w:r>
      <w:r>
        <w:rPr>
          <w:spacing w:val="-3"/>
        </w:rPr>
        <w:t xml:space="preserve"> </w:t>
      </w:r>
      <w:r>
        <w:t>GAGAS</w:t>
      </w:r>
      <w:r>
        <w:rPr>
          <w:spacing w:val="-3"/>
        </w:rPr>
        <w:t xml:space="preserve"> </w:t>
      </w:r>
      <w:r>
        <w:t>(2018)</w:t>
      </w:r>
      <w:r>
        <w:rPr>
          <w:spacing w:val="-3"/>
        </w:rPr>
        <w:t xml:space="preserve"> </w:t>
      </w:r>
      <w:r>
        <w:t>and</w:t>
      </w:r>
      <w:r>
        <w:rPr>
          <w:spacing w:val="-3"/>
        </w:rPr>
        <w:t xml:space="preserve"> </w:t>
      </w:r>
      <w:r>
        <w:t>FAM</w:t>
      </w:r>
      <w:r>
        <w:rPr>
          <w:spacing w:val="-4"/>
        </w:rPr>
        <w:t xml:space="preserve"> </w:t>
      </w:r>
      <w:r>
        <w:t>615.03</w:t>
      </w:r>
      <w:r>
        <w:rPr>
          <w:spacing w:val="-3"/>
        </w:rPr>
        <w:t xml:space="preserve"> </w:t>
      </w:r>
      <w:r>
        <w:t>through</w:t>
      </w:r>
    </w:p>
    <w:p w14:paraId="0DFDAC22" w14:textId="77777777" w:rsidR="00046465" w:rsidRDefault="008134EB">
      <w:pPr>
        <w:pStyle w:val="BodyText"/>
        <w:spacing w:before="1"/>
        <w:ind w:left="1800"/>
      </w:pPr>
      <w:r>
        <w:rPr>
          <w:spacing w:val="-4"/>
        </w:rPr>
        <w:t>.06.</w:t>
      </w:r>
    </w:p>
    <w:p w14:paraId="0DFDAC23" w14:textId="77777777" w:rsidR="00046465" w:rsidRDefault="00046465">
      <w:pPr>
        <w:pStyle w:val="BodyText"/>
        <w:sectPr w:rsidR="00046465">
          <w:pgSz w:w="12240" w:h="15840"/>
          <w:pgMar w:top="1340" w:right="720" w:bottom="940" w:left="1080" w:header="721" w:footer="757" w:gutter="0"/>
          <w:cols w:space="720"/>
        </w:sectPr>
      </w:pPr>
    </w:p>
    <w:p w14:paraId="0DFDAC24" w14:textId="77777777" w:rsidR="00046465" w:rsidRDefault="008134EB">
      <w:pPr>
        <w:spacing w:before="121"/>
        <w:ind w:left="1080"/>
        <w:rPr>
          <w:b/>
          <w:sz w:val="24"/>
        </w:rPr>
      </w:pPr>
      <w:bookmarkStart w:id="13" w:name="Government_Auditors"/>
      <w:bookmarkEnd w:id="13"/>
      <w:r>
        <w:rPr>
          <w:b/>
          <w:sz w:val="24"/>
        </w:rPr>
        <w:lastRenderedPageBreak/>
        <w:t>Government</w:t>
      </w:r>
      <w:r>
        <w:rPr>
          <w:b/>
          <w:spacing w:val="-5"/>
          <w:sz w:val="24"/>
        </w:rPr>
        <w:t xml:space="preserve"> </w:t>
      </w:r>
      <w:r>
        <w:rPr>
          <w:b/>
          <w:spacing w:val="-2"/>
          <w:sz w:val="24"/>
        </w:rPr>
        <w:t>Auditors</w:t>
      </w:r>
    </w:p>
    <w:p w14:paraId="0DFDAC25" w14:textId="77777777" w:rsidR="00046465" w:rsidRDefault="008134EB">
      <w:pPr>
        <w:pStyle w:val="ListParagraph"/>
        <w:numPr>
          <w:ilvl w:val="0"/>
          <w:numId w:val="220"/>
        </w:numPr>
        <w:tabs>
          <w:tab w:val="left" w:pos="1800"/>
        </w:tabs>
        <w:ind w:right="932"/>
      </w:pPr>
      <w:r>
        <w:t>When using the work of government auditors, the auditor should also consider the</w:t>
      </w:r>
      <w:r>
        <w:rPr>
          <w:spacing w:val="-4"/>
        </w:rPr>
        <w:t xml:space="preserve"> </w:t>
      </w:r>
      <w:r>
        <w:t>guidance</w:t>
      </w:r>
      <w:r>
        <w:rPr>
          <w:spacing w:val="-4"/>
        </w:rPr>
        <w:t xml:space="preserve"> </w:t>
      </w:r>
      <w:r>
        <w:t>in</w:t>
      </w:r>
      <w:r>
        <w:rPr>
          <w:spacing w:val="-4"/>
        </w:rPr>
        <w:t xml:space="preserve"> </w:t>
      </w:r>
      <w:r>
        <w:t>GAGAS</w:t>
      </w:r>
      <w:r>
        <w:rPr>
          <w:spacing w:val="-3"/>
        </w:rPr>
        <w:t xml:space="preserve"> </w:t>
      </w:r>
      <w:r>
        <w:t>(2018)</w:t>
      </w:r>
      <w:r>
        <w:rPr>
          <w:spacing w:val="-4"/>
        </w:rPr>
        <w:t xml:space="preserve"> </w:t>
      </w:r>
      <w:r>
        <w:t>3.52</w:t>
      </w:r>
      <w:r>
        <w:rPr>
          <w:spacing w:val="-4"/>
        </w:rPr>
        <w:t xml:space="preserve"> </w:t>
      </w:r>
      <w:r>
        <w:t>through</w:t>
      </w:r>
      <w:r>
        <w:rPr>
          <w:spacing w:val="-4"/>
        </w:rPr>
        <w:t xml:space="preserve"> </w:t>
      </w:r>
      <w:r>
        <w:t>3.58</w:t>
      </w:r>
      <w:r>
        <w:rPr>
          <w:spacing w:val="-4"/>
        </w:rPr>
        <w:t xml:space="preserve"> </w:t>
      </w:r>
      <w:r>
        <w:t>in</w:t>
      </w:r>
      <w:r>
        <w:rPr>
          <w:spacing w:val="-4"/>
        </w:rPr>
        <w:t xml:space="preserve"> </w:t>
      </w:r>
      <w:r>
        <w:t>determining</w:t>
      </w:r>
      <w:r>
        <w:rPr>
          <w:spacing w:val="-4"/>
        </w:rPr>
        <w:t xml:space="preserve"> </w:t>
      </w:r>
      <w:r>
        <w:t>independence and objectivity.</w:t>
      </w:r>
    </w:p>
    <w:p w14:paraId="0DFDAC26" w14:textId="77777777" w:rsidR="00046465" w:rsidRDefault="008134EB">
      <w:pPr>
        <w:pStyle w:val="Heading4"/>
        <w:spacing w:before="240"/>
      </w:pPr>
      <w:r>
        <w:t>Evaluating</w:t>
      </w:r>
      <w:r>
        <w:rPr>
          <w:spacing w:val="-14"/>
        </w:rPr>
        <w:t xml:space="preserve"> </w:t>
      </w:r>
      <w:r>
        <w:t>Other</w:t>
      </w:r>
      <w:r>
        <w:rPr>
          <w:spacing w:val="-13"/>
        </w:rPr>
        <w:t xml:space="preserve"> </w:t>
      </w:r>
      <w:r>
        <w:t>Auditors’</w:t>
      </w:r>
      <w:r>
        <w:rPr>
          <w:spacing w:val="-13"/>
        </w:rPr>
        <w:t xml:space="preserve"> </w:t>
      </w:r>
      <w:r>
        <w:t>or</w:t>
      </w:r>
      <w:r>
        <w:rPr>
          <w:spacing w:val="-12"/>
        </w:rPr>
        <w:t xml:space="preserve"> </w:t>
      </w:r>
      <w:r>
        <w:t>Specialists’</w:t>
      </w:r>
      <w:r>
        <w:rPr>
          <w:spacing w:val="-16"/>
        </w:rPr>
        <w:t xml:space="preserve"> </w:t>
      </w:r>
      <w:r>
        <w:rPr>
          <w:spacing w:val="-2"/>
        </w:rPr>
        <w:t>Competence</w:t>
      </w:r>
    </w:p>
    <w:p w14:paraId="0DFDAC27" w14:textId="77777777" w:rsidR="00046465" w:rsidRDefault="008134EB">
      <w:pPr>
        <w:pStyle w:val="Heading5"/>
        <w:rPr>
          <w:u w:val="none"/>
        </w:rPr>
      </w:pPr>
      <w:r>
        <w:rPr>
          <w:spacing w:val="-2"/>
        </w:rPr>
        <w:t>Overview</w:t>
      </w:r>
    </w:p>
    <w:p w14:paraId="0DFDAC28" w14:textId="77777777" w:rsidR="00046465" w:rsidRDefault="008134EB">
      <w:pPr>
        <w:pStyle w:val="ListParagraph"/>
        <w:numPr>
          <w:ilvl w:val="0"/>
          <w:numId w:val="220"/>
        </w:numPr>
        <w:tabs>
          <w:tab w:val="left" w:pos="1800"/>
        </w:tabs>
        <w:spacing w:before="118"/>
        <w:ind w:right="727"/>
      </w:pPr>
      <w:r>
        <w:t>After evaluating the other auditors’ or specialists’ objectivity (and independence, as appropriate), the auditor should evaluate their competence to perform the specific tasks required (AU-C 402.13, AU-C 501.27, AU-C 600A.22, AU-C 610.13, and AU-C 620.09). This involves evaluating the competence of the other auditors’</w:t>
      </w:r>
      <w:r>
        <w:rPr>
          <w:spacing w:val="-3"/>
        </w:rPr>
        <w:t xml:space="preserve"> </w:t>
      </w:r>
      <w:r>
        <w:t>or</w:t>
      </w:r>
      <w:r>
        <w:rPr>
          <w:spacing w:val="-5"/>
        </w:rPr>
        <w:t xml:space="preserve"> </w:t>
      </w:r>
      <w:r>
        <w:t>specialists’</w:t>
      </w:r>
      <w:r>
        <w:rPr>
          <w:spacing w:val="-3"/>
        </w:rPr>
        <w:t xml:space="preserve"> </w:t>
      </w:r>
      <w:r>
        <w:t>firms</w:t>
      </w:r>
      <w:r>
        <w:rPr>
          <w:spacing w:val="-3"/>
        </w:rPr>
        <w:t xml:space="preserve"> </w:t>
      </w:r>
      <w:r>
        <w:t>as</w:t>
      </w:r>
      <w:r>
        <w:rPr>
          <w:spacing w:val="-3"/>
        </w:rPr>
        <w:t xml:space="preserve"> </w:t>
      </w:r>
      <w:r>
        <w:t>well</w:t>
      </w:r>
      <w:r>
        <w:rPr>
          <w:spacing w:val="-4"/>
        </w:rPr>
        <w:t xml:space="preserve"> </w:t>
      </w:r>
      <w:r>
        <w:t>as</w:t>
      </w:r>
      <w:r>
        <w:rPr>
          <w:spacing w:val="-2"/>
        </w:rPr>
        <w:t xml:space="preserve"> </w:t>
      </w:r>
      <w:r>
        <w:t>that</w:t>
      </w:r>
      <w:r>
        <w:rPr>
          <w:spacing w:val="-3"/>
        </w:rPr>
        <w:t xml:space="preserve"> </w:t>
      </w:r>
      <w:r>
        <w:t>of</w:t>
      </w:r>
      <w:r>
        <w:rPr>
          <w:spacing w:val="-3"/>
        </w:rPr>
        <w:t xml:space="preserve"> </w:t>
      </w:r>
      <w:r>
        <w:t>specific</w:t>
      </w:r>
      <w:r>
        <w:rPr>
          <w:spacing w:val="-3"/>
        </w:rPr>
        <w:t xml:space="preserve"> </w:t>
      </w:r>
      <w:r>
        <w:t>team</w:t>
      </w:r>
      <w:r>
        <w:rPr>
          <w:spacing w:val="-4"/>
        </w:rPr>
        <w:t xml:space="preserve"> </w:t>
      </w:r>
      <w:r>
        <w:t>members.</w:t>
      </w:r>
      <w:r>
        <w:rPr>
          <w:spacing w:val="-2"/>
        </w:rPr>
        <w:t xml:space="preserve"> </w:t>
      </w:r>
      <w:r>
        <w:t>Where</w:t>
      </w:r>
      <w:r>
        <w:rPr>
          <w:spacing w:val="-3"/>
        </w:rPr>
        <w:t xml:space="preserve"> </w:t>
      </w:r>
      <w:r>
        <w:t>the auditor has previously used the work of the same other auditors or specialists,</w:t>
      </w:r>
      <w:r>
        <w:rPr>
          <w:spacing w:val="40"/>
        </w:rPr>
        <w:t xml:space="preserve"> </w:t>
      </w:r>
      <w:r>
        <w:t>the auditor generally should update the previous evaluation.</w:t>
      </w:r>
    </w:p>
    <w:p w14:paraId="0DFDAC29" w14:textId="77777777" w:rsidR="00046465" w:rsidRDefault="008134EB">
      <w:pPr>
        <w:pStyle w:val="Heading5"/>
        <w:ind w:right="749"/>
        <w:rPr>
          <w:u w:val="none"/>
        </w:rPr>
      </w:pPr>
      <w:r>
        <w:t>Evaluating</w:t>
      </w:r>
      <w:r>
        <w:rPr>
          <w:spacing w:val="-6"/>
        </w:rPr>
        <w:t xml:space="preserve"> </w:t>
      </w:r>
      <w:r>
        <w:t>Other</w:t>
      </w:r>
      <w:r>
        <w:rPr>
          <w:spacing w:val="-7"/>
        </w:rPr>
        <w:t xml:space="preserve"> </w:t>
      </w:r>
      <w:r>
        <w:t>Auditors’</w:t>
      </w:r>
      <w:r>
        <w:rPr>
          <w:spacing w:val="-5"/>
        </w:rPr>
        <w:t xml:space="preserve"> </w:t>
      </w:r>
      <w:r>
        <w:t>or</w:t>
      </w:r>
      <w:r>
        <w:rPr>
          <w:spacing w:val="-8"/>
        </w:rPr>
        <w:t xml:space="preserve"> </w:t>
      </w:r>
      <w:r>
        <w:t>Specialists’</w:t>
      </w:r>
      <w:r>
        <w:rPr>
          <w:spacing w:val="-5"/>
        </w:rPr>
        <w:t xml:space="preserve"> </w:t>
      </w:r>
      <w:r>
        <w:t>Competence</w:t>
      </w:r>
      <w:r>
        <w:rPr>
          <w:spacing w:val="-6"/>
        </w:rPr>
        <w:t xml:space="preserve"> </w:t>
      </w:r>
      <w:r>
        <w:t>at</w:t>
      </w:r>
      <w:r>
        <w:rPr>
          <w:spacing w:val="-5"/>
        </w:rPr>
        <w:t xml:space="preserve"> </w:t>
      </w:r>
      <w:r>
        <w:t>the</w:t>
      </w:r>
      <w:r>
        <w:rPr>
          <w:u w:val="none"/>
        </w:rPr>
        <w:t xml:space="preserve"> </w:t>
      </w:r>
      <w:r>
        <w:t>Organization/Firm Level</w:t>
      </w:r>
    </w:p>
    <w:p w14:paraId="0DFDAC2A" w14:textId="77777777" w:rsidR="00046465" w:rsidRDefault="008134EB">
      <w:pPr>
        <w:pStyle w:val="ListParagraph"/>
        <w:numPr>
          <w:ilvl w:val="0"/>
          <w:numId w:val="220"/>
        </w:numPr>
        <w:tabs>
          <w:tab w:val="left" w:pos="1800"/>
        </w:tabs>
        <w:spacing w:before="119"/>
        <w:ind w:right="724"/>
      </w:pPr>
      <w:r>
        <w:t>If</w:t>
      </w:r>
      <w:r>
        <w:rPr>
          <w:spacing w:val="-3"/>
        </w:rPr>
        <w:t xml:space="preserve"> </w:t>
      </w:r>
      <w:r>
        <w:t>the</w:t>
      </w:r>
      <w:r>
        <w:rPr>
          <w:spacing w:val="-3"/>
        </w:rPr>
        <w:t xml:space="preserve"> </w:t>
      </w:r>
      <w:r>
        <w:t>auditor</w:t>
      </w:r>
      <w:r>
        <w:rPr>
          <w:spacing w:val="-4"/>
        </w:rPr>
        <w:t xml:space="preserve"> </w:t>
      </w:r>
      <w:r>
        <w:t>engages</w:t>
      </w:r>
      <w:r>
        <w:rPr>
          <w:spacing w:val="-2"/>
        </w:rPr>
        <w:t xml:space="preserve"> </w:t>
      </w:r>
      <w:r>
        <w:t>the</w:t>
      </w:r>
      <w:r>
        <w:rPr>
          <w:spacing w:val="-3"/>
        </w:rPr>
        <w:t xml:space="preserve"> </w:t>
      </w:r>
      <w:r>
        <w:t>other</w:t>
      </w:r>
      <w:r>
        <w:rPr>
          <w:spacing w:val="-3"/>
        </w:rPr>
        <w:t xml:space="preserve"> </w:t>
      </w:r>
      <w:r>
        <w:t>auditors</w:t>
      </w:r>
      <w:r>
        <w:rPr>
          <w:spacing w:val="-3"/>
        </w:rPr>
        <w:t xml:space="preserve"> </w:t>
      </w:r>
      <w:r>
        <w:t>or</w:t>
      </w:r>
      <w:r>
        <w:rPr>
          <w:spacing w:val="-3"/>
        </w:rPr>
        <w:t xml:space="preserve"> </w:t>
      </w:r>
      <w:r>
        <w:t>specialists</w:t>
      </w:r>
      <w:r>
        <w:rPr>
          <w:spacing w:val="-3"/>
        </w:rPr>
        <w:t xml:space="preserve"> </w:t>
      </w:r>
      <w:r>
        <w:t>as</w:t>
      </w:r>
      <w:r>
        <w:rPr>
          <w:spacing w:val="-3"/>
        </w:rPr>
        <w:t xml:space="preserve"> </w:t>
      </w:r>
      <w:r>
        <w:t>a</w:t>
      </w:r>
      <w:r>
        <w:rPr>
          <w:spacing w:val="-3"/>
        </w:rPr>
        <w:t xml:space="preserve"> </w:t>
      </w:r>
      <w:r>
        <w:t>contractor,</w:t>
      </w:r>
      <w:r>
        <w:rPr>
          <w:spacing w:val="-3"/>
        </w:rPr>
        <w:t xml:space="preserve"> </w:t>
      </w:r>
      <w:r>
        <w:t>the</w:t>
      </w:r>
      <w:r>
        <w:rPr>
          <w:spacing w:val="-3"/>
        </w:rPr>
        <w:t xml:space="preserve"> </w:t>
      </w:r>
      <w:r>
        <w:t>auditor generally should evaluate the other auditors’ or specialists’ firms’ qualifications through the contracting process, usually by using a technical evaluation panel for selecting a qualified firm. A firm may submit résumés for its key team members, demonstrate why its team is qualified to do the work, and submit its plan for performing the work.</w:t>
      </w:r>
    </w:p>
    <w:p w14:paraId="0DFDAC2B" w14:textId="77777777" w:rsidR="00046465" w:rsidRDefault="008134EB">
      <w:pPr>
        <w:pStyle w:val="BodyText"/>
        <w:spacing w:before="121"/>
        <w:ind w:left="1800" w:right="726"/>
      </w:pPr>
      <w:r>
        <w:t>The auditor should request a copy of the other auditors’ firms’ most recent peer review report (GAGAS (2018) 5.80).</w:t>
      </w:r>
      <w:r>
        <w:rPr>
          <w:spacing w:val="-22"/>
        </w:rPr>
        <w:t xml:space="preserve"> </w:t>
      </w:r>
      <w:r>
        <w:t>The auditor should also request that the firm provide any updated peer review reports during the period of the contract. The auditor may request that the other auditors’ firms provide a copy of their latest public inspection report prepared by the PCAOB, if applicable.</w:t>
      </w:r>
      <w:hyperlink w:anchor="_bookmark4" w:history="1">
        <w:r>
          <w:rPr>
            <w:position w:val="7"/>
            <w:sz w:val="14"/>
          </w:rPr>
          <w:t>2</w:t>
        </w:r>
      </w:hyperlink>
      <w:r>
        <w:rPr>
          <w:spacing w:val="35"/>
          <w:position w:val="7"/>
          <w:sz w:val="14"/>
        </w:rPr>
        <w:t xml:space="preserve"> </w:t>
      </w:r>
      <w:r>
        <w:t>While these reports</w:t>
      </w:r>
      <w:r>
        <w:rPr>
          <w:spacing w:val="-4"/>
        </w:rPr>
        <w:t xml:space="preserve"> </w:t>
      </w:r>
      <w:r>
        <w:t>pertain</w:t>
      </w:r>
      <w:r>
        <w:rPr>
          <w:spacing w:val="-4"/>
        </w:rPr>
        <w:t xml:space="preserve"> </w:t>
      </w:r>
      <w:r>
        <w:t>to</w:t>
      </w:r>
      <w:r>
        <w:rPr>
          <w:spacing w:val="-4"/>
        </w:rPr>
        <w:t xml:space="preserve"> </w:t>
      </w:r>
      <w:r>
        <w:t>audits</w:t>
      </w:r>
      <w:r>
        <w:rPr>
          <w:spacing w:val="-5"/>
        </w:rPr>
        <w:t xml:space="preserve"> </w:t>
      </w:r>
      <w:r>
        <w:t>of</w:t>
      </w:r>
      <w:r>
        <w:rPr>
          <w:spacing w:val="-4"/>
        </w:rPr>
        <w:t xml:space="preserve"> </w:t>
      </w:r>
      <w:r>
        <w:t>publicly</w:t>
      </w:r>
      <w:r>
        <w:rPr>
          <w:spacing w:val="-4"/>
        </w:rPr>
        <w:t xml:space="preserve"> </w:t>
      </w:r>
      <w:r>
        <w:t>traded</w:t>
      </w:r>
      <w:r>
        <w:rPr>
          <w:spacing w:val="-4"/>
        </w:rPr>
        <w:t xml:space="preserve"> </w:t>
      </w:r>
      <w:r>
        <w:t>companies</w:t>
      </w:r>
      <w:r>
        <w:rPr>
          <w:spacing w:val="-4"/>
        </w:rPr>
        <w:t xml:space="preserve"> </w:t>
      </w:r>
      <w:r>
        <w:t>and</w:t>
      </w:r>
      <w:r>
        <w:rPr>
          <w:spacing w:val="-4"/>
        </w:rPr>
        <w:t xml:space="preserve"> </w:t>
      </w:r>
      <w:r>
        <w:t>related</w:t>
      </w:r>
      <w:r>
        <w:rPr>
          <w:spacing w:val="-4"/>
        </w:rPr>
        <w:t xml:space="preserve"> </w:t>
      </w:r>
      <w:r>
        <w:t>quality</w:t>
      </w:r>
      <w:r>
        <w:rPr>
          <w:spacing w:val="-5"/>
        </w:rPr>
        <w:t xml:space="preserve"> </w:t>
      </w:r>
      <w:r>
        <w:t>controls, to the extent that they raise issues about the firm’s quality controls or methodology, they may be relevant to audits of federal entities.</w:t>
      </w:r>
    </w:p>
    <w:p w14:paraId="0DFDAC2C" w14:textId="77777777" w:rsidR="00046465" w:rsidRDefault="008134EB">
      <w:pPr>
        <w:pStyle w:val="ListParagraph"/>
        <w:numPr>
          <w:ilvl w:val="0"/>
          <w:numId w:val="220"/>
        </w:numPr>
        <w:tabs>
          <w:tab w:val="left" w:pos="1800"/>
        </w:tabs>
        <w:ind w:right="1018"/>
      </w:pPr>
      <w:r>
        <w:t>Where the auditor did not participate in the contracting process for the other auditors</w:t>
      </w:r>
      <w:r>
        <w:rPr>
          <w:spacing w:val="-4"/>
        </w:rPr>
        <w:t xml:space="preserve"> </w:t>
      </w:r>
      <w:r>
        <w:t>or</w:t>
      </w:r>
      <w:r>
        <w:rPr>
          <w:spacing w:val="-4"/>
        </w:rPr>
        <w:t xml:space="preserve"> </w:t>
      </w:r>
      <w:r>
        <w:t>specialists,</w:t>
      </w:r>
      <w:r>
        <w:rPr>
          <w:spacing w:val="-4"/>
        </w:rPr>
        <w:t xml:space="preserve"> </w:t>
      </w:r>
      <w:r>
        <w:t>the</w:t>
      </w:r>
      <w:r>
        <w:rPr>
          <w:spacing w:val="-4"/>
        </w:rPr>
        <w:t xml:space="preserve"> </w:t>
      </w:r>
      <w:r>
        <w:t>auditor</w:t>
      </w:r>
      <w:r>
        <w:rPr>
          <w:spacing w:val="-4"/>
        </w:rPr>
        <w:t xml:space="preserve"> </w:t>
      </w:r>
      <w:r>
        <w:t>should</w:t>
      </w:r>
      <w:r>
        <w:rPr>
          <w:spacing w:val="-4"/>
        </w:rPr>
        <w:t xml:space="preserve"> </w:t>
      </w:r>
      <w:r>
        <w:t>determine</w:t>
      </w:r>
      <w:r>
        <w:rPr>
          <w:spacing w:val="-4"/>
        </w:rPr>
        <w:t xml:space="preserve"> </w:t>
      </w:r>
      <w:r>
        <w:t>how</w:t>
      </w:r>
      <w:r>
        <w:rPr>
          <w:spacing w:val="-5"/>
        </w:rPr>
        <w:t xml:space="preserve"> </w:t>
      </w:r>
      <w:r>
        <w:t>the</w:t>
      </w:r>
      <w:r>
        <w:rPr>
          <w:spacing w:val="-4"/>
        </w:rPr>
        <w:t xml:space="preserve"> </w:t>
      </w:r>
      <w:r>
        <w:t>qualifications</w:t>
      </w:r>
      <w:r>
        <w:rPr>
          <w:spacing w:val="-4"/>
        </w:rPr>
        <w:t xml:space="preserve"> </w:t>
      </w:r>
      <w:r>
        <w:t>of</w:t>
      </w:r>
      <w:r>
        <w:rPr>
          <w:spacing w:val="-4"/>
        </w:rPr>
        <w:t xml:space="preserve"> </w:t>
      </w:r>
      <w:r>
        <w:t>a firm were evaluated. For example, consider whether the technical evaluation panel or entity under audit review provided the following:</w:t>
      </w:r>
    </w:p>
    <w:p w14:paraId="0DFDAC2D" w14:textId="77777777" w:rsidR="00046465" w:rsidRDefault="008134EB">
      <w:pPr>
        <w:pStyle w:val="ListParagraph"/>
        <w:numPr>
          <w:ilvl w:val="1"/>
          <w:numId w:val="220"/>
        </w:numPr>
        <w:tabs>
          <w:tab w:val="left" w:pos="2159"/>
        </w:tabs>
        <w:ind w:hanging="359"/>
      </w:pPr>
      <w:r>
        <w:t>résumés</w:t>
      </w:r>
      <w:r>
        <w:rPr>
          <w:spacing w:val="-5"/>
        </w:rPr>
        <w:t xml:space="preserve"> </w:t>
      </w:r>
      <w:r>
        <w:t>of</w:t>
      </w:r>
      <w:r>
        <w:rPr>
          <w:spacing w:val="-5"/>
        </w:rPr>
        <w:t xml:space="preserve"> </w:t>
      </w:r>
      <w:r>
        <w:t>the</w:t>
      </w:r>
      <w:r>
        <w:rPr>
          <w:spacing w:val="-4"/>
        </w:rPr>
        <w:t xml:space="preserve"> </w:t>
      </w:r>
      <w:r>
        <w:t>key</w:t>
      </w:r>
      <w:r>
        <w:rPr>
          <w:spacing w:val="-5"/>
        </w:rPr>
        <w:t xml:space="preserve"> </w:t>
      </w:r>
      <w:r>
        <w:t>team</w:t>
      </w:r>
      <w:r>
        <w:rPr>
          <w:spacing w:val="-5"/>
        </w:rPr>
        <w:t xml:space="preserve"> </w:t>
      </w:r>
      <w:r>
        <w:rPr>
          <w:spacing w:val="-2"/>
        </w:rPr>
        <w:t>members,</w:t>
      </w:r>
    </w:p>
    <w:p w14:paraId="0DFDAC2E" w14:textId="77777777" w:rsidR="00046465" w:rsidRDefault="008134EB">
      <w:pPr>
        <w:pStyle w:val="ListParagraph"/>
        <w:numPr>
          <w:ilvl w:val="1"/>
          <w:numId w:val="220"/>
        </w:numPr>
        <w:tabs>
          <w:tab w:val="left" w:pos="2159"/>
        </w:tabs>
        <w:ind w:hanging="359"/>
      </w:pPr>
      <w:r>
        <w:t>the</w:t>
      </w:r>
      <w:r>
        <w:rPr>
          <w:spacing w:val="-4"/>
        </w:rPr>
        <w:t xml:space="preserve"> </w:t>
      </w:r>
      <w:r>
        <w:t>audit</w:t>
      </w:r>
      <w:r>
        <w:rPr>
          <w:spacing w:val="-4"/>
        </w:rPr>
        <w:t xml:space="preserve"> </w:t>
      </w:r>
      <w:r>
        <w:rPr>
          <w:spacing w:val="-2"/>
        </w:rPr>
        <w:t>approach,</w:t>
      </w:r>
    </w:p>
    <w:p w14:paraId="0DFDAC2F" w14:textId="77777777" w:rsidR="00046465" w:rsidRDefault="008134EB">
      <w:pPr>
        <w:pStyle w:val="ListParagraph"/>
        <w:numPr>
          <w:ilvl w:val="1"/>
          <w:numId w:val="220"/>
        </w:numPr>
        <w:tabs>
          <w:tab w:val="left" w:pos="2159"/>
        </w:tabs>
        <w:ind w:hanging="359"/>
      </w:pPr>
      <w:r>
        <w:t>the</w:t>
      </w:r>
      <w:r>
        <w:rPr>
          <w:spacing w:val="-6"/>
        </w:rPr>
        <w:t xml:space="preserve"> </w:t>
      </w:r>
      <w:r>
        <w:t>peer</w:t>
      </w:r>
      <w:r>
        <w:rPr>
          <w:spacing w:val="-5"/>
        </w:rPr>
        <w:t xml:space="preserve"> </w:t>
      </w:r>
      <w:r>
        <w:t>review</w:t>
      </w:r>
      <w:r>
        <w:rPr>
          <w:spacing w:val="-6"/>
        </w:rPr>
        <w:t xml:space="preserve"> </w:t>
      </w:r>
      <w:r>
        <w:t>report</w:t>
      </w:r>
      <w:r>
        <w:rPr>
          <w:spacing w:val="-5"/>
        </w:rPr>
        <w:t xml:space="preserve"> </w:t>
      </w:r>
      <w:r>
        <w:t>and</w:t>
      </w:r>
      <w:r>
        <w:rPr>
          <w:spacing w:val="-6"/>
        </w:rPr>
        <w:t xml:space="preserve"> </w:t>
      </w:r>
      <w:r>
        <w:t>related</w:t>
      </w:r>
      <w:r>
        <w:rPr>
          <w:spacing w:val="-5"/>
        </w:rPr>
        <w:t xml:space="preserve"> </w:t>
      </w:r>
      <w:r>
        <w:t>letter</w:t>
      </w:r>
      <w:r>
        <w:rPr>
          <w:spacing w:val="-5"/>
        </w:rPr>
        <w:t xml:space="preserve"> </w:t>
      </w:r>
      <w:r>
        <w:t>of</w:t>
      </w:r>
      <w:r>
        <w:rPr>
          <w:spacing w:val="-5"/>
        </w:rPr>
        <w:t xml:space="preserve"> </w:t>
      </w:r>
      <w:r>
        <w:t>comments</w:t>
      </w:r>
      <w:r>
        <w:rPr>
          <w:spacing w:val="-6"/>
        </w:rPr>
        <w:t xml:space="preserve"> </w:t>
      </w:r>
      <w:r>
        <w:t>(if</w:t>
      </w:r>
      <w:r>
        <w:rPr>
          <w:spacing w:val="-5"/>
        </w:rPr>
        <w:t xml:space="preserve"> </w:t>
      </w:r>
      <w:r>
        <w:t>any),</w:t>
      </w:r>
      <w:r>
        <w:rPr>
          <w:spacing w:val="-6"/>
        </w:rPr>
        <w:t xml:space="preserve"> </w:t>
      </w:r>
      <w:r>
        <w:rPr>
          <w:spacing w:val="-5"/>
        </w:rPr>
        <w:t>and</w:t>
      </w:r>
    </w:p>
    <w:p w14:paraId="0DFDAC30" w14:textId="77777777" w:rsidR="00046465" w:rsidRDefault="008134EB">
      <w:pPr>
        <w:pStyle w:val="ListParagraph"/>
        <w:numPr>
          <w:ilvl w:val="1"/>
          <w:numId w:val="220"/>
        </w:numPr>
        <w:tabs>
          <w:tab w:val="left" w:pos="2159"/>
        </w:tabs>
        <w:spacing w:before="119"/>
        <w:ind w:hanging="359"/>
      </w:pPr>
      <w:r>
        <w:t>the</w:t>
      </w:r>
      <w:r>
        <w:rPr>
          <w:spacing w:val="-6"/>
        </w:rPr>
        <w:t xml:space="preserve"> </w:t>
      </w:r>
      <w:r>
        <w:t>firm’s</w:t>
      </w:r>
      <w:r>
        <w:rPr>
          <w:spacing w:val="-5"/>
        </w:rPr>
        <w:t xml:space="preserve"> </w:t>
      </w:r>
      <w:r>
        <w:t>response</w:t>
      </w:r>
      <w:r>
        <w:rPr>
          <w:spacing w:val="-5"/>
        </w:rPr>
        <w:t xml:space="preserve"> </w:t>
      </w:r>
      <w:r>
        <w:t>to</w:t>
      </w:r>
      <w:r>
        <w:rPr>
          <w:spacing w:val="-5"/>
        </w:rPr>
        <w:t xml:space="preserve"> </w:t>
      </w:r>
      <w:r>
        <w:t>the</w:t>
      </w:r>
      <w:r>
        <w:rPr>
          <w:spacing w:val="-5"/>
        </w:rPr>
        <w:t xml:space="preserve"> </w:t>
      </w:r>
      <w:r>
        <w:t>peer</w:t>
      </w:r>
      <w:r>
        <w:rPr>
          <w:spacing w:val="-5"/>
        </w:rPr>
        <w:t xml:space="preserve"> </w:t>
      </w:r>
      <w:r>
        <w:t>review</w:t>
      </w:r>
      <w:r>
        <w:rPr>
          <w:spacing w:val="-7"/>
        </w:rPr>
        <w:t xml:space="preserve"> </w:t>
      </w:r>
      <w:r>
        <w:rPr>
          <w:spacing w:val="-2"/>
        </w:rPr>
        <w:t>report.</w:t>
      </w:r>
    </w:p>
    <w:p w14:paraId="0DFDAC31" w14:textId="77777777" w:rsidR="00046465" w:rsidRDefault="008134EB">
      <w:pPr>
        <w:pStyle w:val="BodyText"/>
        <w:spacing w:before="120"/>
        <w:ind w:left="1800"/>
      </w:pPr>
      <w:r>
        <w:t>The</w:t>
      </w:r>
      <w:r>
        <w:rPr>
          <w:spacing w:val="-7"/>
        </w:rPr>
        <w:t xml:space="preserve"> </w:t>
      </w:r>
      <w:r>
        <w:t>auditor</w:t>
      </w:r>
      <w:r>
        <w:rPr>
          <w:spacing w:val="-8"/>
        </w:rPr>
        <w:t xml:space="preserve"> </w:t>
      </w:r>
      <w:r>
        <w:t>should</w:t>
      </w:r>
      <w:r>
        <w:rPr>
          <w:spacing w:val="-6"/>
        </w:rPr>
        <w:t xml:space="preserve"> </w:t>
      </w:r>
      <w:r>
        <w:t>read</w:t>
      </w:r>
      <w:r>
        <w:rPr>
          <w:spacing w:val="-8"/>
        </w:rPr>
        <w:t xml:space="preserve"> </w:t>
      </w:r>
      <w:r>
        <w:t>the</w:t>
      </w:r>
      <w:r>
        <w:rPr>
          <w:spacing w:val="-5"/>
        </w:rPr>
        <w:t xml:space="preserve"> </w:t>
      </w:r>
      <w:r>
        <w:t>reviewed</w:t>
      </w:r>
      <w:r>
        <w:rPr>
          <w:spacing w:val="-7"/>
        </w:rPr>
        <w:t xml:space="preserve"> </w:t>
      </w:r>
      <w:r>
        <w:t>documents</w:t>
      </w:r>
      <w:r>
        <w:rPr>
          <w:spacing w:val="-5"/>
        </w:rPr>
        <w:t xml:space="preserve"> </w:t>
      </w:r>
      <w:r>
        <w:t>and</w:t>
      </w:r>
      <w:r>
        <w:rPr>
          <w:spacing w:val="-7"/>
        </w:rPr>
        <w:t xml:space="preserve"> </w:t>
      </w:r>
      <w:r>
        <w:t>conclude</w:t>
      </w:r>
      <w:r>
        <w:rPr>
          <w:spacing w:val="-6"/>
        </w:rPr>
        <w:t xml:space="preserve"> </w:t>
      </w:r>
      <w:r>
        <w:t>on</w:t>
      </w:r>
      <w:r>
        <w:rPr>
          <w:spacing w:val="-6"/>
        </w:rPr>
        <w:t xml:space="preserve"> </w:t>
      </w:r>
      <w:r>
        <w:rPr>
          <w:spacing w:val="-2"/>
        </w:rPr>
        <w:t>competence.</w:t>
      </w:r>
    </w:p>
    <w:p w14:paraId="0DFDAC32" w14:textId="77777777" w:rsidR="00046465" w:rsidRDefault="00046465">
      <w:pPr>
        <w:pStyle w:val="BodyText"/>
        <w:rPr>
          <w:sz w:val="20"/>
        </w:rPr>
      </w:pPr>
    </w:p>
    <w:p w14:paraId="0DFDAC33" w14:textId="77777777" w:rsidR="00046465" w:rsidRDefault="00046465">
      <w:pPr>
        <w:pStyle w:val="BodyText"/>
        <w:rPr>
          <w:sz w:val="20"/>
        </w:rPr>
      </w:pPr>
    </w:p>
    <w:p w14:paraId="0DFDAC34" w14:textId="77777777" w:rsidR="00046465" w:rsidRDefault="008134EB">
      <w:pPr>
        <w:pStyle w:val="BodyText"/>
        <w:spacing w:before="14"/>
        <w:rPr>
          <w:sz w:val="20"/>
        </w:rPr>
      </w:pPr>
      <w:r>
        <w:rPr>
          <w:noProof/>
          <w:sz w:val="20"/>
        </w:rPr>
        <mc:AlternateContent>
          <mc:Choice Requires="wps">
            <w:drawing>
              <wp:anchor distT="0" distB="0" distL="0" distR="0" simplePos="0" relativeHeight="487601152" behindDoc="1" locked="0" layoutInCell="1" allowOverlap="1" wp14:anchorId="0DFDD547" wp14:editId="0DFDD548">
                <wp:simplePos x="0" y="0"/>
                <wp:positionH relativeFrom="page">
                  <wp:posOffset>914400</wp:posOffset>
                </wp:positionH>
                <wp:positionV relativeFrom="paragraph">
                  <wp:posOffset>170363</wp:posOffset>
                </wp:positionV>
                <wp:extent cx="1828800" cy="5715"/>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32589C" id="Graphic 132" o:spid="_x0000_s1026" style="position:absolute;margin-left:1in;margin-top:13.4pt;width:2in;height:.4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" path="m1828800,l,,,5321r1828800,l1828800,xe" fillcolor="black" stroked="f">
                <v:path arrowok="t"/>
                <w10:wrap type="topAndBottom" anchorx="page"/>
              </v:shape>
            </w:pict>
          </mc:Fallback>
        </mc:AlternateContent>
      </w:r>
    </w:p>
    <w:p w14:paraId="0DFDAC35" w14:textId="77777777" w:rsidR="00046465" w:rsidRDefault="008134EB">
      <w:pPr>
        <w:spacing w:before="202" w:line="249" w:lineRule="auto"/>
        <w:ind w:left="360" w:right="749" w:hanging="1"/>
        <w:rPr>
          <w:sz w:val="18"/>
        </w:rPr>
      </w:pPr>
      <w:bookmarkStart w:id="14" w:name="_bookmark4"/>
      <w:bookmarkEnd w:id="14"/>
      <w:r>
        <w:rPr>
          <w:position w:val="7"/>
          <w:sz w:val="14"/>
        </w:rPr>
        <w:t>2</w:t>
      </w:r>
      <w:r>
        <w:rPr>
          <w:sz w:val="18"/>
        </w:rPr>
        <w:t>Further</w:t>
      </w:r>
      <w:r>
        <w:rPr>
          <w:spacing w:val="-3"/>
          <w:sz w:val="18"/>
        </w:rPr>
        <w:t xml:space="preserve"> </w:t>
      </w:r>
      <w:r>
        <w:rPr>
          <w:sz w:val="18"/>
        </w:rPr>
        <w:t>information</w:t>
      </w:r>
      <w:r>
        <w:rPr>
          <w:spacing w:val="-4"/>
          <w:sz w:val="18"/>
        </w:rPr>
        <w:t xml:space="preserve"> </w:t>
      </w:r>
      <w:r>
        <w:rPr>
          <w:sz w:val="18"/>
        </w:rPr>
        <w:t>on</w:t>
      </w:r>
      <w:r>
        <w:rPr>
          <w:spacing w:val="-4"/>
          <w:sz w:val="18"/>
        </w:rPr>
        <w:t xml:space="preserve"> </w:t>
      </w:r>
      <w:r>
        <w:rPr>
          <w:sz w:val="18"/>
        </w:rPr>
        <w:t>the</w:t>
      </w:r>
      <w:r>
        <w:rPr>
          <w:spacing w:val="-4"/>
          <w:sz w:val="18"/>
        </w:rPr>
        <w:t xml:space="preserve"> </w:t>
      </w:r>
      <w:r>
        <w:rPr>
          <w:sz w:val="18"/>
        </w:rPr>
        <w:t>PCAOB</w:t>
      </w:r>
      <w:r>
        <w:rPr>
          <w:spacing w:val="-3"/>
          <w:sz w:val="18"/>
        </w:rPr>
        <w:t xml:space="preserve"> </w:t>
      </w:r>
      <w:r>
        <w:rPr>
          <w:sz w:val="18"/>
        </w:rPr>
        <w:t>inspection</w:t>
      </w:r>
      <w:r>
        <w:rPr>
          <w:spacing w:val="-4"/>
          <w:sz w:val="18"/>
        </w:rPr>
        <w:t xml:space="preserve"> </w:t>
      </w:r>
      <w:r>
        <w:rPr>
          <w:sz w:val="18"/>
        </w:rPr>
        <w:t>report</w:t>
      </w:r>
      <w:r>
        <w:rPr>
          <w:spacing w:val="-3"/>
          <w:sz w:val="18"/>
        </w:rPr>
        <w:t xml:space="preserve"> </w:t>
      </w:r>
      <w:r>
        <w:rPr>
          <w:sz w:val="18"/>
        </w:rPr>
        <w:t>process</w:t>
      </w:r>
      <w:r>
        <w:rPr>
          <w:spacing w:val="-3"/>
          <w:sz w:val="18"/>
        </w:rPr>
        <w:t xml:space="preserve"> </w:t>
      </w:r>
      <w:r>
        <w:rPr>
          <w:sz w:val="18"/>
        </w:rPr>
        <w:t>is</w:t>
      </w:r>
      <w:r>
        <w:rPr>
          <w:spacing w:val="-3"/>
          <w:sz w:val="18"/>
        </w:rPr>
        <w:t xml:space="preserve"> </w:t>
      </w:r>
      <w:r>
        <w:rPr>
          <w:sz w:val="18"/>
        </w:rPr>
        <w:t>available</w:t>
      </w:r>
      <w:r>
        <w:rPr>
          <w:spacing w:val="-4"/>
          <w:sz w:val="18"/>
        </w:rPr>
        <w:t xml:space="preserve"> </w:t>
      </w:r>
      <w:r>
        <w:rPr>
          <w:sz w:val="18"/>
        </w:rPr>
        <w:t>at</w:t>
      </w:r>
      <w:r>
        <w:rPr>
          <w:spacing w:val="-3"/>
          <w:sz w:val="18"/>
        </w:rPr>
        <w:t xml:space="preserve"> </w:t>
      </w:r>
      <w:hyperlink r:id="rId34">
        <w:r>
          <w:rPr>
            <w:color w:val="0000FF"/>
            <w:sz w:val="18"/>
          </w:rPr>
          <w:t>https://pcaobus.org</w:t>
        </w:r>
      </w:hyperlink>
      <w:r>
        <w:rPr>
          <w:color w:val="0000FF"/>
          <w:spacing w:val="-2"/>
          <w:sz w:val="18"/>
        </w:rPr>
        <w:t xml:space="preserve"> </w:t>
      </w:r>
      <w:r>
        <w:rPr>
          <w:sz w:val="18"/>
        </w:rPr>
        <w:t>(accessed</w:t>
      </w:r>
      <w:r>
        <w:rPr>
          <w:spacing w:val="-3"/>
          <w:sz w:val="18"/>
        </w:rPr>
        <w:t xml:space="preserve"> </w:t>
      </w:r>
      <w:r>
        <w:rPr>
          <w:sz w:val="18"/>
        </w:rPr>
        <w:t>May</w:t>
      </w:r>
      <w:r>
        <w:rPr>
          <w:spacing w:val="-3"/>
          <w:sz w:val="18"/>
        </w:rPr>
        <w:t xml:space="preserve"> </w:t>
      </w:r>
      <w:r>
        <w:rPr>
          <w:sz w:val="18"/>
        </w:rPr>
        <w:t xml:space="preserve">29, </w:t>
      </w:r>
      <w:r>
        <w:rPr>
          <w:spacing w:val="-2"/>
          <w:sz w:val="18"/>
        </w:rPr>
        <w:t>2026).</w:t>
      </w:r>
    </w:p>
    <w:p w14:paraId="0DFDAC36" w14:textId="77777777" w:rsidR="00046465" w:rsidRDefault="00046465">
      <w:pPr>
        <w:spacing w:line="249" w:lineRule="auto"/>
        <w:rPr>
          <w:sz w:val="18"/>
        </w:rPr>
        <w:sectPr w:rsidR="00046465">
          <w:pgSz w:w="12240" w:h="15840"/>
          <w:pgMar w:top="1340" w:right="720" w:bottom="940" w:left="1080" w:header="721" w:footer="757" w:gutter="0"/>
          <w:cols w:space="720"/>
        </w:sectPr>
      </w:pPr>
    </w:p>
    <w:p w14:paraId="0DFDAC37" w14:textId="77777777" w:rsidR="00046465" w:rsidRDefault="008134EB">
      <w:pPr>
        <w:pStyle w:val="ListParagraph"/>
        <w:numPr>
          <w:ilvl w:val="0"/>
          <w:numId w:val="220"/>
        </w:numPr>
        <w:tabs>
          <w:tab w:val="left" w:pos="1800"/>
        </w:tabs>
        <w:spacing w:before="121"/>
        <w:ind w:right="877"/>
      </w:pPr>
      <w:r>
        <w:rPr>
          <w:b/>
        </w:rPr>
        <w:lastRenderedPageBreak/>
        <w:t>For</w:t>
      </w:r>
      <w:r>
        <w:rPr>
          <w:b/>
          <w:spacing w:val="-5"/>
        </w:rPr>
        <w:t xml:space="preserve"> </w:t>
      </w:r>
      <w:r>
        <w:rPr>
          <w:b/>
        </w:rPr>
        <w:t>government</w:t>
      </w:r>
      <w:r>
        <w:rPr>
          <w:b/>
          <w:spacing w:val="-4"/>
        </w:rPr>
        <w:t xml:space="preserve"> </w:t>
      </w:r>
      <w:r>
        <w:rPr>
          <w:b/>
        </w:rPr>
        <w:t>internal</w:t>
      </w:r>
      <w:r>
        <w:rPr>
          <w:b/>
          <w:spacing w:val="-4"/>
        </w:rPr>
        <w:t xml:space="preserve"> </w:t>
      </w:r>
      <w:r>
        <w:rPr>
          <w:b/>
        </w:rPr>
        <w:t>or</w:t>
      </w:r>
      <w:r>
        <w:rPr>
          <w:b/>
          <w:spacing w:val="-5"/>
        </w:rPr>
        <w:t xml:space="preserve"> </w:t>
      </w:r>
      <w:r>
        <w:rPr>
          <w:b/>
        </w:rPr>
        <w:t>external</w:t>
      </w:r>
      <w:r>
        <w:rPr>
          <w:b/>
          <w:spacing w:val="-4"/>
        </w:rPr>
        <w:t xml:space="preserve"> </w:t>
      </w:r>
      <w:r>
        <w:rPr>
          <w:b/>
        </w:rPr>
        <w:t>auditors</w:t>
      </w:r>
      <w:r>
        <w:t>,</w:t>
      </w:r>
      <w:r>
        <w:rPr>
          <w:spacing w:val="-4"/>
        </w:rPr>
        <w:t xml:space="preserve"> </w:t>
      </w:r>
      <w:r>
        <w:t>the</w:t>
      </w:r>
      <w:r>
        <w:rPr>
          <w:spacing w:val="-4"/>
        </w:rPr>
        <w:t xml:space="preserve"> </w:t>
      </w:r>
      <w:r>
        <w:t>auditor</w:t>
      </w:r>
      <w:r>
        <w:rPr>
          <w:spacing w:val="-6"/>
        </w:rPr>
        <w:t xml:space="preserve"> </w:t>
      </w:r>
      <w:r>
        <w:t>should</w:t>
      </w:r>
      <w:r>
        <w:rPr>
          <w:spacing w:val="-4"/>
        </w:rPr>
        <w:t xml:space="preserve"> </w:t>
      </w:r>
      <w:r>
        <w:t>ask</w:t>
      </w:r>
      <w:r>
        <w:rPr>
          <w:spacing w:val="-5"/>
        </w:rPr>
        <w:t xml:space="preserve"> </w:t>
      </w:r>
      <w:r>
        <w:t xml:space="preserve">whether the audit organization had a peer review and the date of that review. To comply with GAGAS, the audit organization should have a peer review performed by reviewers independent of the audit organization every 3 years (GAGAS (2018) </w:t>
      </w:r>
      <w:r>
        <w:rPr>
          <w:spacing w:val="-2"/>
        </w:rPr>
        <w:t>5.84).</w:t>
      </w:r>
    </w:p>
    <w:p w14:paraId="0DFDAC38" w14:textId="77777777" w:rsidR="00046465" w:rsidRDefault="008134EB">
      <w:pPr>
        <w:pStyle w:val="BodyText"/>
        <w:spacing w:before="120"/>
        <w:ind w:left="1800" w:right="749"/>
      </w:pPr>
      <w:r>
        <w:t>The</w:t>
      </w:r>
      <w:r>
        <w:rPr>
          <w:spacing w:val="-3"/>
        </w:rPr>
        <w:t xml:space="preserve"> </w:t>
      </w:r>
      <w:r>
        <w:t>auditor</w:t>
      </w:r>
      <w:r>
        <w:rPr>
          <w:spacing w:val="-5"/>
        </w:rPr>
        <w:t xml:space="preserve"> </w:t>
      </w:r>
      <w:r>
        <w:t>should</w:t>
      </w:r>
      <w:r>
        <w:rPr>
          <w:spacing w:val="-3"/>
        </w:rPr>
        <w:t xml:space="preserve"> </w:t>
      </w:r>
      <w:r>
        <w:t>read</w:t>
      </w:r>
      <w:r>
        <w:rPr>
          <w:spacing w:val="-4"/>
        </w:rPr>
        <w:t xml:space="preserve"> </w:t>
      </w:r>
      <w:r>
        <w:t>the</w:t>
      </w:r>
      <w:r>
        <w:rPr>
          <w:spacing w:val="-3"/>
        </w:rPr>
        <w:t xml:space="preserve"> </w:t>
      </w:r>
      <w:r>
        <w:t>peer</w:t>
      </w:r>
      <w:r>
        <w:rPr>
          <w:spacing w:val="-3"/>
        </w:rPr>
        <w:t xml:space="preserve"> </w:t>
      </w:r>
      <w:r>
        <w:t>review</w:t>
      </w:r>
      <w:r>
        <w:rPr>
          <w:spacing w:val="-4"/>
        </w:rPr>
        <w:t xml:space="preserve"> </w:t>
      </w:r>
      <w:r>
        <w:t>report,</w:t>
      </w:r>
      <w:r>
        <w:rPr>
          <w:spacing w:val="-3"/>
        </w:rPr>
        <w:t xml:space="preserve"> </w:t>
      </w:r>
      <w:r>
        <w:t>the</w:t>
      </w:r>
      <w:r>
        <w:rPr>
          <w:spacing w:val="-3"/>
        </w:rPr>
        <w:t xml:space="preserve"> </w:t>
      </w:r>
      <w:r>
        <w:t>letter</w:t>
      </w:r>
      <w:r>
        <w:rPr>
          <w:spacing w:val="-3"/>
        </w:rPr>
        <w:t xml:space="preserve"> </w:t>
      </w:r>
      <w:r>
        <w:t>of</w:t>
      </w:r>
      <w:r>
        <w:rPr>
          <w:spacing w:val="-3"/>
        </w:rPr>
        <w:t xml:space="preserve"> </w:t>
      </w:r>
      <w:r>
        <w:t>comments,</w:t>
      </w:r>
      <w:r>
        <w:rPr>
          <w:spacing w:val="-3"/>
        </w:rPr>
        <w:t xml:space="preserve"> </w:t>
      </w:r>
      <w:r>
        <w:t>and</w:t>
      </w:r>
      <w:r>
        <w:rPr>
          <w:spacing w:val="-3"/>
        </w:rPr>
        <w:t xml:space="preserve"> </w:t>
      </w:r>
      <w:r>
        <w:t>the audit organization’s response.</w:t>
      </w:r>
    </w:p>
    <w:p w14:paraId="0DFDAC39" w14:textId="77777777" w:rsidR="00046465" w:rsidRDefault="008134EB">
      <w:pPr>
        <w:pStyle w:val="ListParagraph"/>
        <w:numPr>
          <w:ilvl w:val="0"/>
          <w:numId w:val="220"/>
        </w:numPr>
        <w:tabs>
          <w:tab w:val="left" w:pos="1800"/>
        </w:tabs>
        <w:spacing w:before="119"/>
        <w:ind w:right="850"/>
      </w:pPr>
      <w:r>
        <w:t>If</w:t>
      </w:r>
      <w:r>
        <w:rPr>
          <w:spacing w:val="-2"/>
        </w:rPr>
        <w:t xml:space="preserve"> </w:t>
      </w:r>
      <w:r>
        <w:t>using</w:t>
      </w:r>
      <w:r>
        <w:rPr>
          <w:spacing w:val="-2"/>
        </w:rPr>
        <w:t xml:space="preserve"> </w:t>
      </w:r>
      <w:r>
        <w:t>the</w:t>
      </w:r>
      <w:r>
        <w:rPr>
          <w:spacing w:val="-3"/>
        </w:rPr>
        <w:t xml:space="preserve"> </w:t>
      </w:r>
      <w:r>
        <w:t>work</w:t>
      </w:r>
      <w:r>
        <w:rPr>
          <w:spacing w:val="-2"/>
        </w:rPr>
        <w:t xml:space="preserve"> </w:t>
      </w:r>
      <w:r>
        <w:t>of</w:t>
      </w:r>
      <w:r>
        <w:rPr>
          <w:spacing w:val="-2"/>
        </w:rPr>
        <w:t xml:space="preserve"> </w:t>
      </w:r>
      <w:r>
        <w:t>a</w:t>
      </w:r>
      <w:r>
        <w:rPr>
          <w:spacing w:val="-2"/>
        </w:rPr>
        <w:t xml:space="preserve"> </w:t>
      </w:r>
      <w:r>
        <w:rPr>
          <w:b/>
        </w:rPr>
        <w:t>service</w:t>
      </w:r>
      <w:r>
        <w:rPr>
          <w:b/>
          <w:spacing w:val="-2"/>
        </w:rPr>
        <w:t xml:space="preserve"> </w:t>
      </w:r>
      <w:r>
        <w:rPr>
          <w:b/>
        </w:rPr>
        <w:t>auditor</w:t>
      </w:r>
      <w:r>
        <w:t>,</w:t>
      </w:r>
      <w:r>
        <w:rPr>
          <w:spacing w:val="-2"/>
        </w:rPr>
        <w:t xml:space="preserve"> </w:t>
      </w:r>
      <w:r>
        <w:t>the</w:t>
      </w:r>
      <w:r>
        <w:rPr>
          <w:spacing w:val="-2"/>
        </w:rPr>
        <w:t xml:space="preserve"> </w:t>
      </w:r>
      <w:r>
        <w:t>auditor</w:t>
      </w:r>
      <w:r>
        <w:rPr>
          <w:spacing w:val="-2"/>
        </w:rPr>
        <w:t xml:space="preserve"> </w:t>
      </w:r>
      <w:r>
        <w:t>should</w:t>
      </w:r>
      <w:r>
        <w:rPr>
          <w:spacing w:val="-2"/>
        </w:rPr>
        <w:t xml:space="preserve"> </w:t>
      </w:r>
      <w:r>
        <w:t>request</w:t>
      </w:r>
      <w:r>
        <w:rPr>
          <w:spacing w:val="-2"/>
        </w:rPr>
        <w:t xml:space="preserve"> </w:t>
      </w:r>
      <w:r>
        <w:t>from</w:t>
      </w:r>
      <w:r>
        <w:rPr>
          <w:spacing w:val="-3"/>
        </w:rPr>
        <w:t xml:space="preserve"> </w:t>
      </w:r>
      <w:r>
        <w:t>the</w:t>
      </w:r>
      <w:r>
        <w:rPr>
          <w:spacing w:val="-2"/>
        </w:rPr>
        <w:t xml:space="preserve"> </w:t>
      </w:r>
      <w:r>
        <w:t>entity under audit the service auditor’s most recent peer review report and any other written</w:t>
      </w:r>
      <w:r>
        <w:rPr>
          <w:spacing w:val="-4"/>
        </w:rPr>
        <w:t xml:space="preserve"> </w:t>
      </w:r>
      <w:r>
        <w:t>communication</w:t>
      </w:r>
      <w:r>
        <w:rPr>
          <w:spacing w:val="-4"/>
        </w:rPr>
        <w:t xml:space="preserve"> </w:t>
      </w:r>
      <w:r>
        <w:t>issued.</w:t>
      </w:r>
      <w:r>
        <w:rPr>
          <w:spacing w:val="-4"/>
        </w:rPr>
        <w:t xml:space="preserve"> </w:t>
      </w:r>
      <w:r>
        <w:t>The</w:t>
      </w:r>
      <w:r>
        <w:rPr>
          <w:spacing w:val="-5"/>
        </w:rPr>
        <w:t xml:space="preserve"> </w:t>
      </w:r>
      <w:r>
        <w:t>auditor</w:t>
      </w:r>
      <w:r>
        <w:rPr>
          <w:spacing w:val="-4"/>
        </w:rPr>
        <w:t xml:space="preserve"> </w:t>
      </w:r>
      <w:r>
        <w:t>should</w:t>
      </w:r>
      <w:r>
        <w:rPr>
          <w:spacing w:val="-4"/>
        </w:rPr>
        <w:t xml:space="preserve"> </w:t>
      </w:r>
      <w:r>
        <w:t>evaluate</w:t>
      </w:r>
      <w:r>
        <w:rPr>
          <w:spacing w:val="-4"/>
        </w:rPr>
        <w:t xml:space="preserve"> </w:t>
      </w:r>
      <w:r>
        <w:t>the</w:t>
      </w:r>
      <w:r>
        <w:rPr>
          <w:spacing w:val="-4"/>
        </w:rPr>
        <w:t xml:space="preserve"> </w:t>
      </w:r>
      <w:r>
        <w:t>reports</w:t>
      </w:r>
      <w:r>
        <w:rPr>
          <w:spacing w:val="-4"/>
        </w:rPr>
        <w:t xml:space="preserve"> </w:t>
      </w:r>
      <w:r>
        <w:t>and</w:t>
      </w:r>
      <w:r>
        <w:rPr>
          <w:spacing w:val="-4"/>
        </w:rPr>
        <w:t xml:space="preserve"> </w:t>
      </w:r>
      <w:r>
        <w:t>work with</w:t>
      </w:r>
      <w:r>
        <w:rPr>
          <w:spacing w:val="-2"/>
        </w:rPr>
        <w:t xml:space="preserve"> </w:t>
      </w:r>
      <w:r>
        <w:t>the</w:t>
      </w:r>
      <w:r>
        <w:rPr>
          <w:spacing w:val="-2"/>
        </w:rPr>
        <w:t xml:space="preserve"> </w:t>
      </w:r>
      <w:r>
        <w:t>entity</w:t>
      </w:r>
      <w:r>
        <w:rPr>
          <w:spacing w:val="-2"/>
        </w:rPr>
        <w:t xml:space="preserve"> </w:t>
      </w:r>
      <w:r>
        <w:t>under</w:t>
      </w:r>
      <w:r>
        <w:rPr>
          <w:spacing w:val="-2"/>
        </w:rPr>
        <w:t xml:space="preserve"> </w:t>
      </w:r>
      <w:r>
        <w:t>audit</w:t>
      </w:r>
      <w:r>
        <w:rPr>
          <w:spacing w:val="-2"/>
        </w:rPr>
        <w:t xml:space="preserve"> </w:t>
      </w:r>
      <w:r>
        <w:t>if</w:t>
      </w:r>
      <w:r>
        <w:rPr>
          <w:spacing w:val="-2"/>
        </w:rPr>
        <w:t xml:space="preserve"> </w:t>
      </w:r>
      <w:r>
        <w:t>any</w:t>
      </w:r>
      <w:r>
        <w:rPr>
          <w:spacing w:val="-2"/>
        </w:rPr>
        <w:t xml:space="preserve"> </w:t>
      </w:r>
      <w:r>
        <w:t>additional</w:t>
      </w:r>
      <w:r>
        <w:rPr>
          <w:spacing w:val="-2"/>
        </w:rPr>
        <w:t xml:space="preserve"> </w:t>
      </w:r>
      <w:r>
        <w:t>information</w:t>
      </w:r>
      <w:r>
        <w:rPr>
          <w:spacing w:val="-2"/>
        </w:rPr>
        <w:t xml:space="preserve"> </w:t>
      </w:r>
      <w:r>
        <w:t>is</w:t>
      </w:r>
      <w:r>
        <w:rPr>
          <w:spacing w:val="-2"/>
        </w:rPr>
        <w:t xml:space="preserve"> </w:t>
      </w:r>
      <w:r>
        <w:t>needed</w:t>
      </w:r>
      <w:r>
        <w:rPr>
          <w:spacing w:val="-2"/>
        </w:rPr>
        <w:t xml:space="preserve"> </w:t>
      </w:r>
      <w:r>
        <w:t>to</w:t>
      </w:r>
      <w:r>
        <w:rPr>
          <w:spacing w:val="-2"/>
        </w:rPr>
        <w:t xml:space="preserve"> </w:t>
      </w:r>
      <w:r>
        <w:t>evaluate</w:t>
      </w:r>
      <w:r>
        <w:rPr>
          <w:spacing w:val="-2"/>
        </w:rPr>
        <w:t xml:space="preserve"> </w:t>
      </w:r>
      <w:r>
        <w:t>the competency of the service auditor’s firm.</w:t>
      </w:r>
    </w:p>
    <w:p w14:paraId="0DFDAC3A" w14:textId="77777777" w:rsidR="00046465" w:rsidRDefault="008134EB">
      <w:pPr>
        <w:pStyle w:val="ListParagraph"/>
        <w:numPr>
          <w:ilvl w:val="0"/>
          <w:numId w:val="220"/>
        </w:numPr>
        <w:tabs>
          <w:tab w:val="left" w:pos="1800"/>
        </w:tabs>
        <w:spacing w:before="121"/>
        <w:ind w:right="736"/>
      </w:pPr>
      <w:r>
        <w:t xml:space="preserve">If the auditor is using an </w:t>
      </w:r>
      <w:r>
        <w:rPr>
          <w:b/>
        </w:rPr>
        <w:t xml:space="preserve">internal specialist </w:t>
      </w:r>
      <w:r>
        <w:t>(which may be a partner or staff member, including a temporary staff member, of the auditor’s organization), the internal</w:t>
      </w:r>
      <w:r>
        <w:rPr>
          <w:spacing w:val="-4"/>
        </w:rPr>
        <w:t xml:space="preserve"> </w:t>
      </w:r>
      <w:r>
        <w:t>specialist</w:t>
      </w:r>
      <w:r>
        <w:rPr>
          <w:spacing w:val="-4"/>
        </w:rPr>
        <w:t xml:space="preserve"> </w:t>
      </w:r>
      <w:r>
        <w:t>would</w:t>
      </w:r>
      <w:r>
        <w:rPr>
          <w:spacing w:val="-5"/>
        </w:rPr>
        <w:t xml:space="preserve"> </w:t>
      </w:r>
      <w:r>
        <w:t>be</w:t>
      </w:r>
      <w:r>
        <w:rPr>
          <w:spacing w:val="-4"/>
        </w:rPr>
        <w:t xml:space="preserve"> </w:t>
      </w:r>
      <w:r>
        <w:t>subject</w:t>
      </w:r>
      <w:r>
        <w:rPr>
          <w:spacing w:val="-4"/>
        </w:rPr>
        <w:t xml:space="preserve"> </w:t>
      </w:r>
      <w:r>
        <w:t>to</w:t>
      </w:r>
      <w:r>
        <w:rPr>
          <w:spacing w:val="-4"/>
        </w:rPr>
        <w:t xml:space="preserve"> </w:t>
      </w:r>
      <w:r>
        <w:t>the</w:t>
      </w:r>
      <w:r>
        <w:rPr>
          <w:spacing w:val="-4"/>
        </w:rPr>
        <w:t xml:space="preserve"> </w:t>
      </w:r>
      <w:r>
        <w:t>competence</w:t>
      </w:r>
      <w:r>
        <w:rPr>
          <w:spacing w:val="-4"/>
        </w:rPr>
        <w:t xml:space="preserve"> </w:t>
      </w:r>
      <w:r>
        <w:t>quality</w:t>
      </w:r>
      <w:r>
        <w:rPr>
          <w:spacing w:val="-4"/>
        </w:rPr>
        <w:t xml:space="preserve"> </w:t>
      </w:r>
      <w:r>
        <w:t>control</w:t>
      </w:r>
      <w:r>
        <w:rPr>
          <w:spacing w:val="-4"/>
        </w:rPr>
        <w:t xml:space="preserve"> </w:t>
      </w:r>
      <w:r>
        <w:t>policies</w:t>
      </w:r>
      <w:r>
        <w:rPr>
          <w:spacing w:val="-4"/>
        </w:rPr>
        <w:t xml:space="preserve"> </w:t>
      </w:r>
      <w:r>
        <w:t>and procedures of that organization (AU-C 620.A12). In accordance with AU-C 220A, auditors are entitled to rely on the organization’s system of quality control unless the auditor’s engagement partner determines that it is inappropriate to do so based on information provided by firms or other parties.</w:t>
      </w:r>
    </w:p>
    <w:p w14:paraId="0DFDAC3B" w14:textId="77777777" w:rsidR="00046465" w:rsidRDefault="008134EB">
      <w:pPr>
        <w:pStyle w:val="ListParagraph"/>
        <w:numPr>
          <w:ilvl w:val="0"/>
          <w:numId w:val="220"/>
        </w:numPr>
        <w:tabs>
          <w:tab w:val="left" w:pos="1800"/>
        </w:tabs>
        <w:spacing w:before="119"/>
        <w:ind w:right="1030"/>
      </w:pPr>
      <w:r>
        <w:t xml:space="preserve">For group audits, the auditor should obtain written representations from the </w:t>
      </w:r>
      <w:r>
        <w:rPr>
          <w:b/>
        </w:rPr>
        <w:t>component</w:t>
      </w:r>
      <w:r>
        <w:rPr>
          <w:b/>
          <w:spacing w:val="-4"/>
        </w:rPr>
        <w:t xml:space="preserve"> </w:t>
      </w:r>
      <w:r>
        <w:rPr>
          <w:b/>
        </w:rPr>
        <w:t>auditor</w:t>
      </w:r>
      <w:r>
        <w:rPr>
          <w:b/>
          <w:spacing w:val="-4"/>
        </w:rPr>
        <w:t xml:space="preserve"> </w:t>
      </w:r>
      <w:r>
        <w:t>that</w:t>
      </w:r>
      <w:r>
        <w:rPr>
          <w:spacing w:val="-4"/>
        </w:rPr>
        <w:t xml:space="preserve"> </w:t>
      </w:r>
      <w:r>
        <w:t>to</w:t>
      </w:r>
      <w:r>
        <w:rPr>
          <w:spacing w:val="-4"/>
        </w:rPr>
        <w:t xml:space="preserve"> </w:t>
      </w:r>
      <w:r>
        <w:t>the</w:t>
      </w:r>
      <w:r>
        <w:rPr>
          <w:spacing w:val="-4"/>
        </w:rPr>
        <w:t xml:space="preserve"> </w:t>
      </w:r>
      <w:r>
        <w:t>best</w:t>
      </w:r>
      <w:r>
        <w:rPr>
          <w:spacing w:val="-5"/>
        </w:rPr>
        <w:t xml:space="preserve"> </w:t>
      </w:r>
      <w:r>
        <w:t>of</w:t>
      </w:r>
      <w:r>
        <w:rPr>
          <w:spacing w:val="-4"/>
        </w:rPr>
        <w:t xml:space="preserve"> </w:t>
      </w:r>
      <w:r>
        <w:t>their</w:t>
      </w:r>
      <w:r>
        <w:rPr>
          <w:spacing w:val="-4"/>
        </w:rPr>
        <w:t xml:space="preserve"> </w:t>
      </w:r>
      <w:r>
        <w:t>knowledge</w:t>
      </w:r>
      <w:r>
        <w:rPr>
          <w:spacing w:val="-4"/>
        </w:rPr>
        <w:t xml:space="preserve"> </w:t>
      </w:r>
      <w:r>
        <w:t>the</w:t>
      </w:r>
      <w:r>
        <w:rPr>
          <w:spacing w:val="-4"/>
        </w:rPr>
        <w:t xml:space="preserve"> </w:t>
      </w:r>
      <w:r>
        <w:t>component</w:t>
      </w:r>
      <w:r>
        <w:rPr>
          <w:spacing w:val="-4"/>
        </w:rPr>
        <w:t xml:space="preserve"> </w:t>
      </w:r>
      <w:r>
        <w:t>auditor has complied with ethical requirements relevant to the group audit, including professional competence (AU-C 600A.42).</w:t>
      </w:r>
    </w:p>
    <w:p w14:paraId="0DFDAC3C" w14:textId="77777777" w:rsidR="00046465" w:rsidRDefault="008134EB">
      <w:pPr>
        <w:spacing w:before="242"/>
        <w:ind w:left="1080"/>
        <w:rPr>
          <w:b/>
          <w:sz w:val="24"/>
        </w:rPr>
      </w:pPr>
      <w:bookmarkStart w:id="15" w:name="Evaluation_of_Peer_Review_Reports"/>
      <w:bookmarkEnd w:id="15"/>
      <w:r>
        <w:rPr>
          <w:b/>
          <w:sz w:val="24"/>
        </w:rPr>
        <w:t>Evaluation</w:t>
      </w:r>
      <w:r>
        <w:rPr>
          <w:b/>
          <w:spacing w:val="-6"/>
          <w:sz w:val="24"/>
        </w:rPr>
        <w:t xml:space="preserve"> </w:t>
      </w:r>
      <w:r>
        <w:rPr>
          <w:b/>
          <w:sz w:val="24"/>
        </w:rPr>
        <w:t>of</w:t>
      </w:r>
      <w:r>
        <w:rPr>
          <w:b/>
          <w:spacing w:val="-2"/>
          <w:sz w:val="24"/>
        </w:rPr>
        <w:t xml:space="preserve"> </w:t>
      </w:r>
      <w:r>
        <w:rPr>
          <w:b/>
          <w:sz w:val="24"/>
        </w:rPr>
        <w:t>Peer</w:t>
      </w:r>
      <w:r>
        <w:rPr>
          <w:b/>
          <w:spacing w:val="-4"/>
          <w:sz w:val="24"/>
        </w:rPr>
        <w:t xml:space="preserve"> </w:t>
      </w:r>
      <w:r>
        <w:rPr>
          <w:b/>
          <w:sz w:val="24"/>
        </w:rPr>
        <w:t>Review</w:t>
      </w:r>
      <w:r>
        <w:rPr>
          <w:b/>
          <w:spacing w:val="-2"/>
          <w:sz w:val="24"/>
        </w:rPr>
        <w:t xml:space="preserve"> Reports</w:t>
      </w:r>
    </w:p>
    <w:p w14:paraId="0DFDAC3D" w14:textId="77777777" w:rsidR="00046465" w:rsidRDefault="008134EB">
      <w:pPr>
        <w:pStyle w:val="ListParagraph"/>
        <w:numPr>
          <w:ilvl w:val="0"/>
          <w:numId w:val="220"/>
        </w:numPr>
        <w:tabs>
          <w:tab w:val="left" w:pos="1800"/>
        </w:tabs>
        <w:spacing w:before="119"/>
        <w:ind w:right="848"/>
      </w:pPr>
      <w:r>
        <w:t>Where</w:t>
      </w:r>
      <w:r>
        <w:rPr>
          <w:spacing w:val="-3"/>
        </w:rPr>
        <w:t xml:space="preserve"> </w:t>
      </w:r>
      <w:r>
        <w:t>the</w:t>
      </w:r>
      <w:r>
        <w:rPr>
          <w:spacing w:val="-3"/>
        </w:rPr>
        <w:t xml:space="preserve"> </w:t>
      </w:r>
      <w:r>
        <w:t>auditors’</w:t>
      </w:r>
      <w:r>
        <w:rPr>
          <w:spacing w:val="-3"/>
        </w:rPr>
        <w:t xml:space="preserve"> </w:t>
      </w:r>
      <w:r>
        <w:t>or</w:t>
      </w:r>
      <w:r>
        <w:rPr>
          <w:spacing w:val="-3"/>
        </w:rPr>
        <w:t xml:space="preserve"> </w:t>
      </w:r>
      <w:r>
        <w:t>specialists’</w:t>
      </w:r>
      <w:r>
        <w:rPr>
          <w:spacing w:val="-3"/>
        </w:rPr>
        <w:t xml:space="preserve"> </w:t>
      </w:r>
      <w:r>
        <w:t>firm</w:t>
      </w:r>
      <w:r>
        <w:rPr>
          <w:spacing w:val="-4"/>
        </w:rPr>
        <w:t xml:space="preserve"> </w:t>
      </w:r>
      <w:r>
        <w:t>has</w:t>
      </w:r>
      <w:r>
        <w:rPr>
          <w:spacing w:val="-3"/>
        </w:rPr>
        <w:t xml:space="preserve"> </w:t>
      </w:r>
      <w:r>
        <w:t>received</w:t>
      </w:r>
      <w:r>
        <w:rPr>
          <w:spacing w:val="-3"/>
        </w:rPr>
        <w:t xml:space="preserve"> </w:t>
      </w:r>
      <w:r>
        <w:t>a</w:t>
      </w:r>
      <w:r>
        <w:rPr>
          <w:spacing w:val="-3"/>
        </w:rPr>
        <w:t xml:space="preserve"> </w:t>
      </w:r>
      <w:r>
        <w:t>peer</w:t>
      </w:r>
      <w:r>
        <w:rPr>
          <w:spacing w:val="-3"/>
        </w:rPr>
        <w:t xml:space="preserve"> </w:t>
      </w:r>
      <w:r>
        <w:t>review</w:t>
      </w:r>
      <w:r>
        <w:rPr>
          <w:spacing w:val="-4"/>
        </w:rPr>
        <w:t xml:space="preserve"> </w:t>
      </w:r>
      <w:r>
        <w:t>rating</w:t>
      </w:r>
      <w:r>
        <w:rPr>
          <w:spacing w:val="-4"/>
        </w:rPr>
        <w:t xml:space="preserve"> </w:t>
      </w:r>
      <w:r>
        <w:t>of</w:t>
      </w:r>
      <w:r>
        <w:rPr>
          <w:spacing w:val="-3"/>
        </w:rPr>
        <w:t xml:space="preserve"> </w:t>
      </w:r>
      <w:r>
        <w:t>pass within the last 3 years, the auditor generally need not perform further review of the</w:t>
      </w:r>
      <w:r>
        <w:rPr>
          <w:spacing w:val="-1"/>
        </w:rPr>
        <w:t xml:space="preserve"> </w:t>
      </w:r>
      <w:r>
        <w:t>firm’s</w:t>
      </w:r>
      <w:r>
        <w:rPr>
          <w:spacing w:val="-1"/>
        </w:rPr>
        <w:t xml:space="preserve"> </w:t>
      </w:r>
      <w:r>
        <w:t>quality</w:t>
      </w:r>
      <w:r>
        <w:rPr>
          <w:spacing w:val="-1"/>
        </w:rPr>
        <w:t xml:space="preserve"> </w:t>
      </w:r>
      <w:r>
        <w:t>controls.</w:t>
      </w:r>
      <w:r>
        <w:rPr>
          <w:spacing w:val="-1"/>
        </w:rPr>
        <w:t xml:space="preserve"> </w:t>
      </w:r>
      <w:r>
        <w:t>However,</w:t>
      </w:r>
      <w:r>
        <w:rPr>
          <w:spacing w:val="-1"/>
        </w:rPr>
        <w:t xml:space="preserve"> </w:t>
      </w:r>
      <w:r>
        <w:t>the</w:t>
      </w:r>
      <w:r>
        <w:rPr>
          <w:spacing w:val="-1"/>
        </w:rPr>
        <w:t xml:space="preserve"> </w:t>
      </w:r>
      <w:r>
        <w:t>auditor</w:t>
      </w:r>
      <w:r>
        <w:rPr>
          <w:spacing w:val="-1"/>
        </w:rPr>
        <w:t xml:space="preserve"> </w:t>
      </w:r>
      <w:r>
        <w:t>may</w:t>
      </w:r>
      <w:r>
        <w:rPr>
          <w:spacing w:val="-1"/>
        </w:rPr>
        <w:t xml:space="preserve"> </w:t>
      </w:r>
      <w:r>
        <w:t>request</w:t>
      </w:r>
      <w:r>
        <w:rPr>
          <w:spacing w:val="-1"/>
        </w:rPr>
        <w:t xml:space="preserve"> </w:t>
      </w:r>
      <w:r>
        <w:t>and</w:t>
      </w:r>
      <w:r>
        <w:rPr>
          <w:spacing w:val="-1"/>
        </w:rPr>
        <w:t xml:space="preserve"> </w:t>
      </w:r>
      <w:r>
        <w:t>review</w:t>
      </w:r>
      <w:r>
        <w:rPr>
          <w:spacing w:val="-2"/>
        </w:rPr>
        <w:t xml:space="preserve"> </w:t>
      </w:r>
      <w:r>
        <w:t>letter</w:t>
      </w:r>
      <w:r>
        <w:rPr>
          <w:spacing w:val="-1"/>
        </w:rPr>
        <w:t xml:space="preserve"> </w:t>
      </w:r>
      <w:r>
        <w:t>of comments, if any, relating to the peer review.</w:t>
      </w:r>
    </w:p>
    <w:p w14:paraId="0DFDAC3E" w14:textId="77777777" w:rsidR="00046465" w:rsidRDefault="008134EB">
      <w:pPr>
        <w:pStyle w:val="ListParagraph"/>
        <w:numPr>
          <w:ilvl w:val="0"/>
          <w:numId w:val="220"/>
        </w:numPr>
        <w:tabs>
          <w:tab w:val="left" w:pos="1800"/>
        </w:tabs>
        <w:ind w:right="737"/>
      </w:pPr>
      <w:r>
        <w:t>Where the other auditors’ or specialists’ firm receives a peer review or inspection report rating of pass with deficiencies or fail, the auditor should evaluate whether the quality control system has since been strengthened to allow the auditor to</w:t>
      </w:r>
      <w:r>
        <w:rPr>
          <w:spacing w:val="40"/>
        </w:rPr>
        <w:t xml:space="preserve"> </w:t>
      </w:r>
      <w:r>
        <w:t>use the other auditors’ or specialists’ work. The auditor may review the firm’s action plan for improving quality controls and inspection results in determining whether</w:t>
      </w:r>
      <w:r>
        <w:rPr>
          <w:spacing w:val="-4"/>
        </w:rPr>
        <w:t xml:space="preserve"> </w:t>
      </w:r>
      <w:r>
        <w:t>quality</w:t>
      </w:r>
      <w:r>
        <w:rPr>
          <w:spacing w:val="-4"/>
        </w:rPr>
        <w:t xml:space="preserve"> </w:t>
      </w:r>
      <w:r>
        <w:t>controls</w:t>
      </w:r>
      <w:r>
        <w:rPr>
          <w:spacing w:val="-5"/>
        </w:rPr>
        <w:t xml:space="preserve"> </w:t>
      </w:r>
      <w:r>
        <w:t>have</w:t>
      </w:r>
      <w:r>
        <w:rPr>
          <w:spacing w:val="-4"/>
        </w:rPr>
        <w:t xml:space="preserve"> </w:t>
      </w:r>
      <w:r>
        <w:t>improved</w:t>
      </w:r>
      <w:r>
        <w:rPr>
          <w:spacing w:val="-4"/>
        </w:rPr>
        <w:t xml:space="preserve"> </w:t>
      </w:r>
      <w:r>
        <w:t>since</w:t>
      </w:r>
      <w:r>
        <w:rPr>
          <w:spacing w:val="-4"/>
        </w:rPr>
        <w:t xml:space="preserve"> </w:t>
      </w:r>
      <w:r>
        <w:t>the</w:t>
      </w:r>
      <w:r>
        <w:rPr>
          <w:spacing w:val="-5"/>
        </w:rPr>
        <w:t xml:space="preserve"> </w:t>
      </w:r>
      <w:r>
        <w:t>peer</w:t>
      </w:r>
      <w:r>
        <w:rPr>
          <w:spacing w:val="-4"/>
        </w:rPr>
        <w:t xml:space="preserve"> </w:t>
      </w:r>
      <w:r>
        <w:t>review.</w:t>
      </w:r>
      <w:r>
        <w:rPr>
          <w:spacing w:val="-4"/>
        </w:rPr>
        <w:t xml:space="preserve"> </w:t>
      </w:r>
      <w:r>
        <w:t>The</w:t>
      </w:r>
      <w:r>
        <w:rPr>
          <w:spacing w:val="-4"/>
        </w:rPr>
        <w:t xml:space="preserve"> </w:t>
      </w:r>
      <w:r>
        <w:t>auditor</w:t>
      </w:r>
      <w:r>
        <w:rPr>
          <w:spacing w:val="-4"/>
        </w:rPr>
        <w:t xml:space="preserve"> </w:t>
      </w:r>
      <w:r>
        <w:t>should evaluate the effect of remaining weaknesses in determining the nature and</w:t>
      </w:r>
      <w:r>
        <w:rPr>
          <w:spacing w:val="40"/>
        </w:rPr>
        <w:t xml:space="preserve"> </w:t>
      </w:r>
      <w:r>
        <w:t>extent of procedures to be performed.</w:t>
      </w:r>
    </w:p>
    <w:p w14:paraId="0DFDAC3F" w14:textId="77777777" w:rsidR="00046465" w:rsidRDefault="008134EB">
      <w:pPr>
        <w:pStyle w:val="Heading5"/>
        <w:spacing w:before="240"/>
        <w:ind w:right="749"/>
        <w:rPr>
          <w:u w:val="none"/>
        </w:rPr>
      </w:pPr>
      <w:bookmarkStart w:id="16" w:name="Evaluating_Other_Auditors’_or_Specialist"/>
      <w:bookmarkEnd w:id="16"/>
      <w:r>
        <w:t>Evaluating</w:t>
      </w:r>
      <w:r>
        <w:rPr>
          <w:spacing w:val="-5"/>
        </w:rPr>
        <w:t xml:space="preserve"> </w:t>
      </w:r>
      <w:r>
        <w:t>Other</w:t>
      </w:r>
      <w:r>
        <w:rPr>
          <w:spacing w:val="-6"/>
        </w:rPr>
        <w:t xml:space="preserve"> </w:t>
      </w:r>
      <w:r>
        <w:t>Auditors’</w:t>
      </w:r>
      <w:r>
        <w:rPr>
          <w:spacing w:val="-4"/>
        </w:rPr>
        <w:t xml:space="preserve"> </w:t>
      </w:r>
      <w:r>
        <w:t>or</w:t>
      </w:r>
      <w:r>
        <w:rPr>
          <w:spacing w:val="-7"/>
        </w:rPr>
        <w:t xml:space="preserve"> </w:t>
      </w:r>
      <w:r>
        <w:t>Specialists’</w:t>
      </w:r>
      <w:r>
        <w:rPr>
          <w:spacing w:val="-4"/>
        </w:rPr>
        <w:t xml:space="preserve"> </w:t>
      </w:r>
      <w:r>
        <w:t>Competence</w:t>
      </w:r>
      <w:r>
        <w:rPr>
          <w:spacing w:val="-5"/>
        </w:rPr>
        <w:t xml:space="preserve"> </w:t>
      </w:r>
      <w:r>
        <w:t>at</w:t>
      </w:r>
      <w:r>
        <w:rPr>
          <w:spacing w:val="-4"/>
        </w:rPr>
        <w:t xml:space="preserve"> </w:t>
      </w:r>
      <w:r>
        <w:t>the</w:t>
      </w:r>
      <w:r>
        <w:rPr>
          <w:spacing w:val="-5"/>
        </w:rPr>
        <w:t xml:space="preserve"> </w:t>
      </w:r>
      <w:r>
        <w:t>Individual</w:t>
      </w:r>
      <w:r>
        <w:rPr>
          <w:u w:val="none"/>
        </w:rPr>
        <w:t xml:space="preserve"> </w:t>
      </w:r>
      <w:r>
        <w:t>Team Member Level</w:t>
      </w:r>
    </w:p>
    <w:p w14:paraId="0DFDAC40" w14:textId="77777777" w:rsidR="00046465" w:rsidRDefault="008134EB">
      <w:pPr>
        <w:pStyle w:val="ListParagraph"/>
        <w:numPr>
          <w:ilvl w:val="0"/>
          <w:numId w:val="220"/>
        </w:numPr>
        <w:tabs>
          <w:tab w:val="left" w:pos="1800"/>
        </w:tabs>
        <w:spacing w:before="119"/>
        <w:ind w:right="750"/>
      </w:pPr>
      <w:r>
        <w:t>In</w:t>
      </w:r>
      <w:r>
        <w:rPr>
          <w:spacing w:val="-3"/>
        </w:rPr>
        <w:t xml:space="preserve"> </w:t>
      </w:r>
      <w:r>
        <w:t>addition</w:t>
      </w:r>
      <w:r>
        <w:rPr>
          <w:spacing w:val="-3"/>
        </w:rPr>
        <w:t xml:space="preserve"> </w:t>
      </w:r>
      <w:r>
        <w:t>to</w:t>
      </w:r>
      <w:r>
        <w:rPr>
          <w:spacing w:val="-3"/>
        </w:rPr>
        <w:t xml:space="preserve"> </w:t>
      </w:r>
      <w:r>
        <w:t>evaluating</w:t>
      </w:r>
      <w:r>
        <w:rPr>
          <w:spacing w:val="-4"/>
        </w:rPr>
        <w:t xml:space="preserve"> </w:t>
      </w:r>
      <w:r>
        <w:t>the</w:t>
      </w:r>
      <w:r>
        <w:rPr>
          <w:spacing w:val="-3"/>
        </w:rPr>
        <w:t xml:space="preserve"> </w:t>
      </w:r>
      <w:r>
        <w:t>other</w:t>
      </w:r>
      <w:r>
        <w:rPr>
          <w:spacing w:val="-3"/>
        </w:rPr>
        <w:t xml:space="preserve"> </w:t>
      </w:r>
      <w:r>
        <w:t>auditors’</w:t>
      </w:r>
      <w:r>
        <w:rPr>
          <w:spacing w:val="-3"/>
        </w:rPr>
        <w:t xml:space="preserve"> </w:t>
      </w:r>
      <w:r>
        <w:t>or</w:t>
      </w:r>
      <w:r>
        <w:rPr>
          <w:spacing w:val="-3"/>
        </w:rPr>
        <w:t xml:space="preserve"> </w:t>
      </w:r>
      <w:r>
        <w:t>firms’</w:t>
      </w:r>
      <w:r>
        <w:rPr>
          <w:spacing w:val="-3"/>
        </w:rPr>
        <w:t xml:space="preserve"> </w:t>
      </w:r>
      <w:r>
        <w:t>competence,</w:t>
      </w:r>
      <w:r>
        <w:rPr>
          <w:spacing w:val="-3"/>
        </w:rPr>
        <w:t xml:space="preserve"> </w:t>
      </w:r>
      <w:r>
        <w:t>the</w:t>
      </w:r>
      <w:r>
        <w:rPr>
          <w:spacing w:val="-3"/>
        </w:rPr>
        <w:t xml:space="preserve"> </w:t>
      </w:r>
      <w:r>
        <w:t>auditor</w:t>
      </w:r>
      <w:r>
        <w:rPr>
          <w:spacing w:val="-3"/>
        </w:rPr>
        <w:t xml:space="preserve"> </w:t>
      </w:r>
      <w:r>
        <w:t>also should evaluate the overall competence of the key individual team members assigned</w:t>
      </w:r>
      <w:r>
        <w:rPr>
          <w:spacing w:val="-3"/>
        </w:rPr>
        <w:t xml:space="preserve"> </w:t>
      </w:r>
      <w:r>
        <w:t>to</w:t>
      </w:r>
      <w:r>
        <w:rPr>
          <w:spacing w:val="-4"/>
        </w:rPr>
        <w:t xml:space="preserve"> </w:t>
      </w:r>
      <w:r>
        <w:t>do</w:t>
      </w:r>
      <w:r>
        <w:rPr>
          <w:spacing w:val="-3"/>
        </w:rPr>
        <w:t xml:space="preserve"> </w:t>
      </w:r>
      <w:r>
        <w:t>the</w:t>
      </w:r>
      <w:r>
        <w:rPr>
          <w:spacing w:val="-3"/>
        </w:rPr>
        <w:t xml:space="preserve"> </w:t>
      </w:r>
      <w:r>
        <w:t>work.</w:t>
      </w:r>
      <w:r>
        <w:rPr>
          <w:spacing w:val="-3"/>
        </w:rPr>
        <w:t xml:space="preserve"> </w:t>
      </w:r>
      <w:r>
        <w:t>The</w:t>
      </w:r>
      <w:r>
        <w:rPr>
          <w:spacing w:val="-3"/>
        </w:rPr>
        <w:t xml:space="preserve"> </w:t>
      </w:r>
      <w:r>
        <w:t>auditor</w:t>
      </w:r>
      <w:r>
        <w:rPr>
          <w:spacing w:val="-4"/>
        </w:rPr>
        <w:t xml:space="preserve"> </w:t>
      </w:r>
      <w:r>
        <w:t>may</w:t>
      </w:r>
      <w:r>
        <w:rPr>
          <w:spacing w:val="-3"/>
        </w:rPr>
        <w:t xml:space="preserve"> </w:t>
      </w:r>
      <w:r>
        <w:t>review</w:t>
      </w:r>
      <w:r>
        <w:rPr>
          <w:spacing w:val="-4"/>
        </w:rPr>
        <w:t xml:space="preserve"> </w:t>
      </w:r>
      <w:r>
        <w:t>résumés</w:t>
      </w:r>
      <w:r>
        <w:rPr>
          <w:spacing w:val="-3"/>
        </w:rPr>
        <w:t xml:space="preserve"> </w:t>
      </w:r>
      <w:r>
        <w:t>and</w:t>
      </w:r>
      <w:r>
        <w:rPr>
          <w:spacing w:val="-3"/>
        </w:rPr>
        <w:t xml:space="preserve"> </w:t>
      </w:r>
      <w:r>
        <w:t>training</w:t>
      </w:r>
      <w:r>
        <w:rPr>
          <w:spacing w:val="-3"/>
        </w:rPr>
        <w:t xml:space="preserve"> </w:t>
      </w:r>
      <w:r>
        <w:t>records</w:t>
      </w:r>
      <w:r>
        <w:rPr>
          <w:spacing w:val="-3"/>
        </w:rPr>
        <w:t xml:space="preserve"> </w:t>
      </w:r>
      <w:r>
        <w:t>of key team members to accomplish this. The auditor should review the specific education, training, certifications, and experience of key team members. In evaluating qualifications, the auditor should review the specific role of team members on the job. When the auditor has knowledge of competence from prior</w:t>
      </w:r>
    </w:p>
    <w:p w14:paraId="0DFDAC41" w14:textId="77777777" w:rsidR="00046465" w:rsidRDefault="00046465">
      <w:pPr>
        <w:pStyle w:val="ListParagraph"/>
        <w:sectPr w:rsidR="00046465">
          <w:pgSz w:w="12240" w:h="15840"/>
          <w:pgMar w:top="1340" w:right="720" w:bottom="940" w:left="1080" w:header="721" w:footer="757" w:gutter="0"/>
          <w:cols w:space="720"/>
        </w:sectPr>
      </w:pPr>
    </w:p>
    <w:p w14:paraId="0DFDAC42" w14:textId="77777777" w:rsidR="00046465" w:rsidRDefault="008134EB">
      <w:pPr>
        <w:pStyle w:val="BodyText"/>
        <w:spacing w:before="121"/>
        <w:ind w:left="1800" w:right="749"/>
      </w:pPr>
      <w:r>
        <w:lastRenderedPageBreak/>
        <w:t>experience</w:t>
      </w:r>
      <w:r>
        <w:rPr>
          <w:spacing w:val="-4"/>
        </w:rPr>
        <w:t xml:space="preserve"> </w:t>
      </w:r>
      <w:r>
        <w:t>for</w:t>
      </w:r>
      <w:r>
        <w:rPr>
          <w:spacing w:val="-4"/>
        </w:rPr>
        <w:t xml:space="preserve"> </w:t>
      </w:r>
      <w:r>
        <w:t>key</w:t>
      </w:r>
      <w:r>
        <w:rPr>
          <w:spacing w:val="-4"/>
        </w:rPr>
        <w:t xml:space="preserve"> </w:t>
      </w:r>
      <w:r>
        <w:t>team</w:t>
      </w:r>
      <w:r>
        <w:rPr>
          <w:spacing w:val="-5"/>
        </w:rPr>
        <w:t xml:space="preserve"> </w:t>
      </w:r>
      <w:r>
        <w:t>members,</w:t>
      </w:r>
      <w:r>
        <w:rPr>
          <w:spacing w:val="-4"/>
        </w:rPr>
        <w:t xml:space="preserve"> </w:t>
      </w:r>
      <w:r>
        <w:t>the</w:t>
      </w:r>
      <w:r>
        <w:rPr>
          <w:spacing w:val="-4"/>
        </w:rPr>
        <w:t xml:space="preserve"> </w:t>
      </w:r>
      <w:r>
        <w:t>auditor</w:t>
      </w:r>
      <w:r>
        <w:rPr>
          <w:spacing w:val="-4"/>
        </w:rPr>
        <w:t xml:space="preserve"> </w:t>
      </w:r>
      <w:r>
        <w:t>should</w:t>
      </w:r>
      <w:r>
        <w:rPr>
          <w:spacing w:val="-4"/>
        </w:rPr>
        <w:t xml:space="preserve"> </w:t>
      </w:r>
      <w:r>
        <w:t>inquire</w:t>
      </w:r>
      <w:r>
        <w:rPr>
          <w:spacing w:val="-5"/>
        </w:rPr>
        <w:t xml:space="preserve"> </w:t>
      </w:r>
      <w:r>
        <w:t>about</w:t>
      </w:r>
      <w:r>
        <w:rPr>
          <w:spacing w:val="-4"/>
        </w:rPr>
        <w:t xml:space="preserve"> </w:t>
      </w:r>
      <w:r>
        <w:t>their experience since the last audit.</w:t>
      </w:r>
    </w:p>
    <w:p w14:paraId="0DFDAC43" w14:textId="77777777" w:rsidR="00046465" w:rsidRDefault="008134EB">
      <w:pPr>
        <w:spacing w:before="241"/>
        <w:ind w:left="1080"/>
        <w:rPr>
          <w:b/>
          <w:sz w:val="24"/>
        </w:rPr>
      </w:pPr>
      <w:bookmarkStart w:id="17" w:name="Other_Auditors_(Except_Service_Auditors)"/>
      <w:bookmarkEnd w:id="17"/>
      <w:r>
        <w:rPr>
          <w:b/>
          <w:sz w:val="24"/>
        </w:rPr>
        <w:t>Other</w:t>
      </w:r>
      <w:r>
        <w:rPr>
          <w:b/>
          <w:spacing w:val="-5"/>
          <w:sz w:val="24"/>
        </w:rPr>
        <w:t xml:space="preserve"> </w:t>
      </w:r>
      <w:r>
        <w:rPr>
          <w:b/>
          <w:sz w:val="24"/>
        </w:rPr>
        <w:t>Auditors</w:t>
      </w:r>
      <w:r>
        <w:rPr>
          <w:b/>
          <w:spacing w:val="-3"/>
          <w:sz w:val="24"/>
        </w:rPr>
        <w:t xml:space="preserve"> </w:t>
      </w:r>
      <w:r>
        <w:rPr>
          <w:b/>
          <w:sz w:val="24"/>
        </w:rPr>
        <w:t>(Except</w:t>
      </w:r>
      <w:r>
        <w:rPr>
          <w:b/>
          <w:spacing w:val="-3"/>
          <w:sz w:val="24"/>
        </w:rPr>
        <w:t xml:space="preserve"> </w:t>
      </w:r>
      <w:r>
        <w:rPr>
          <w:b/>
          <w:sz w:val="24"/>
        </w:rPr>
        <w:t>Service</w:t>
      </w:r>
      <w:r>
        <w:rPr>
          <w:b/>
          <w:spacing w:val="-3"/>
          <w:sz w:val="24"/>
        </w:rPr>
        <w:t xml:space="preserve"> </w:t>
      </w:r>
      <w:r>
        <w:rPr>
          <w:b/>
          <w:spacing w:val="-2"/>
          <w:sz w:val="24"/>
        </w:rPr>
        <w:t>Auditors)</w:t>
      </w:r>
    </w:p>
    <w:p w14:paraId="0DFDAC44" w14:textId="77777777" w:rsidR="00046465" w:rsidRDefault="008134EB">
      <w:pPr>
        <w:pStyle w:val="ListParagraph"/>
        <w:numPr>
          <w:ilvl w:val="0"/>
          <w:numId w:val="220"/>
        </w:numPr>
        <w:tabs>
          <w:tab w:val="left" w:pos="1800"/>
        </w:tabs>
        <w:spacing w:before="118"/>
        <w:ind w:right="740"/>
      </w:pPr>
      <w:r>
        <w:t>The auditor should determine that other auditors engaged to assist in performing financial audits, who do not work for a government audit organization, are licensed</w:t>
      </w:r>
      <w:r>
        <w:rPr>
          <w:spacing w:val="-6"/>
        </w:rPr>
        <w:t xml:space="preserve"> </w:t>
      </w:r>
      <w:r>
        <w:t>certified</w:t>
      </w:r>
      <w:r>
        <w:rPr>
          <w:spacing w:val="-5"/>
        </w:rPr>
        <w:t xml:space="preserve"> </w:t>
      </w:r>
      <w:r>
        <w:t>public</w:t>
      </w:r>
      <w:r>
        <w:rPr>
          <w:spacing w:val="-6"/>
        </w:rPr>
        <w:t xml:space="preserve"> </w:t>
      </w:r>
      <w:r>
        <w:t>accountants,</w:t>
      </w:r>
      <w:r>
        <w:rPr>
          <w:spacing w:val="-5"/>
        </w:rPr>
        <w:t xml:space="preserve"> </w:t>
      </w:r>
      <w:r>
        <w:t>persons</w:t>
      </w:r>
      <w:r>
        <w:rPr>
          <w:spacing w:val="-5"/>
        </w:rPr>
        <w:t xml:space="preserve"> </w:t>
      </w:r>
      <w:r>
        <w:t>working</w:t>
      </w:r>
      <w:r>
        <w:rPr>
          <w:spacing w:val="-5"/>
        </w:rPr>
        <w:t xml:space="preserve"> </w:t>
      </w:r>
      <w:r>
        <w:t>for</w:t>
      </w:r>
      <w:r>
        <w:rPr>
          <w:spacing w:val="-5"/>
        </w:rPr>
        <w:t xml:space="preserve"> </w:t>
      </w:r>
      <w:r>
        <w:t>licensed</w:t>
      </w:r>
      <w:r>
        <w:rPr>
          <w:spacing w:val="-5"/>
        </w:rPr>
        <w:t xml:space="preserve"> </w:t>
      </w:r>
      <w:r>
        <w:t>certified</w:t>
      </w:r>
      <w:r>
        <w:rPr>
          <w:spacing w:val="-5"/>
        </w:rPr>
        <w:t xml:space="preserve"> </w:t>
      </w:r>
      <w:r>
        <w:t>public accounting firms, or licensed accountants in states that have multiclass licensing systems that recognize licensed accountants other than certified public accountants (GAGAS (2018) 6.04).</w:t>
      </w:r>
      <w:hyperlink w:anchor="_bookmark5" w:history="1">
        <w:r>
          <w:rPr>
            <w:position w:val="7"/>
            <w:sz w:val="14"/>
          </w:rPr>
          <w:t>3</w:t>
        </w:r>
      </w:hyperlink>
      <w:r>
        <w:rPr>
          <w:spacing w:val="35"/>
          <w:position w:val="7"/>
          <w:sz w:val="14"/>
        </w:rPr>
        <w:t xml:space="preserve"> </w:t>
      </w:r>
      <w:r>
        <w:t>The auditor should also determine whether the other auditors are competent as required by GAGAS, including having completed continuing professional education (CPE) requirements. See chapter 4 of GAGAS (2018) (Competence and Continuing Professional Education). This may include obtaining an assertion, reviewing years of experience, reviewing types of past audits performed, and reviewing CPE history.</w:t>
      </w:r>
    </w:p>
    <w:p w14:paraId="0DFDAC45" w14:textId="77777777" w:rsidR="00046465" w:rsidRDefault="008134EB">
      <w:pPr>
        <w:pStyle w:val="ListParagraph"/>
        <w:numPr>
          <w:ilvl w:val="0"/>
          <w:numId w:val="220"/>
        </w:numPr>
        <w:tabs>
          <w:tab w:val="left" w:pos="1800"/>
        </w:tabs>
        <w:ind w:right="861"/>
      </w:pPr>
      <w:r>
        <w:t>The</w:t>
      </w:r>
      <w:r>
        <w:rPr>
          <w:spacing w:val="-5"/>
        </w:rPr>
        <w:t xml:space="preserve"> </w:t>
      </w:r>
      <w:r>
        <w:t>auditor’s</w:t>
      </w:r>
      <w:r>
        <w:rPr>
          <w:spacing w:val="-5"/>
        </w:rPr>
        <w:t xml:space="preserve"> </w:t>
      </w:r>
      <w:r>
        <w:t>understanding</w:t>
      </w:r>
      <w:r>
        <w:rPr>
          <w:spacing w:val="-5"/>
        </w:rPr>
        <w:t xml:space="preserve"> </w:t>
      </w:r>
      <w:r>
        <w:t>of</w:t>
      </w:r>
      <w:r>
        <w:rPr>
          <w:spacing w:val="-5"/>
        </w:rPr>
        <w:t xml:space="preserve"> </w:t>
      </w:r>
      <w:r>
        <w:t>the</w:t>
      </w:r>
      <w:r>
        <w:rPr>
          <w:spacing w:val="-5"/>
        </w:rPr>
        <w:t xml:space="preserve"> </w:t>
      </w:r>
      <w:r>
        <w:t>other</w:t>
      </w:r>
      <w:r>
        <w:rPr>
          <w:spacing w:val="-5"/>
        </w:rPr>
        <w:t xml:space="preserve"> </w:t>
      </w:r>
      <w:r>
        <w:t>auditors’</w:t>
      </w:r>
      <w:r>
        <w:rPr>
          <w:spacing w:val="-5"/>
        </w:rPr>
        <w:t xml:space="preserve"> </w:t>
      </w:r>
      <w:r>
        <w:t>professional</w:t>
      </w:r>
      <w:r>
        <w:rPr>
          <w:spacing w:val="-5"/>
        </w:rPr>
        <w:t xml:space="preserve"> </w:t>
      </w:r>
      <w:r>
        <w:t>competence</w:t>
      </w:r>
      <w:r>
        <w:rPr>
          <w:spacing w:val="-5"/>
        </w:rPr>
        <w:t xml:space="preserve"> </w:t>
      </w:r>
      <w:r>
        <w:t>may include whether the other auditors (AU-C 600A.A48)</w:t>
      </w:r>
    </w:p>
    <w:p w14:paraId="0DFDAC46" w14:textId="77777777" w:rsidR="00046465" w:rsidRDefault="008134EB">
      <w:pPr>
        <w:pStyle w:val="ListParagraph"/>
        <w:numPr>
          <w:ilvl w:val="1"/>
          <w:numId w:val="220"/>
        </w:numPr>
        <w:tabs>
          <w:tab w:val="left" w:pos="2160"/>
        </w:tabs>
        <w:spacing w:before="121"/>
        <w:ind w:left="2160" w:right="928"/>
        <w:jc w:val="both"/>
      </w:pPr>
      <w:r>
        <w:t>possess</w:t>
      </w:r>
      <w:r>
        <w:rPr>
          <w:spacing w:val="-3"/>
        </w:rPr>
        <w:t xml:space="preserve"> </w:t>
      </w:r>
      <w:r>
        <w:t>an</w:t>
      </w:r>
      <w:r>
        <w:rPr>
          <w:spacing w:val="-3"/>
        </w:rPr>
        <w:t xml:space="preserve"> </w:t>
      </w:r>
      <w:r>
        <w:t>understanding</w:t>
      </w:r>
      <w:r>
        <w:rPr>
          <w:spacing w:val="-2"/>
        </w:rPr>
        <w:t xml:space="preserve"> </w:t>
      </w:r>
      <w:r>
        <w:t>of</w:t>
      </w:r>
      <w:r>
        <w:rPr>
          <w:spacing w:val="-2"/>
        </w:rPr>
        <w:t xml:space="preserve"> </w:t>
      </w:r>
      <w:r>
        <w:t>the</w:t>
      </w:r>
      <w:r>
        <w:rPr>
          <w:spacing w:val="-2"/>
        </w:rPr>
        <w:t xml:space="preserve"> </w:t>
      </w:r>
      <w:r>
        <w:t>auditing</w:t>
      </w:r>
      <w:r>
        <w:rPr>
          <w:spacing w:val="-2"/>
        </w:rPr>
        <w:t xml:space="preserve"> </w:t>
      </w:r>
      <w:r>
        <w:t>and</w:t>
      </w:r>
      <w:r>
        <w:rPr>
          <w:spacing w:val="-2"/>
        </w:rPr>
        <w:t xml:space="preserve"> </w:t>
      </w:r>
      <w:r>
        <w:t>other</w:t>
      </w:r>
      <w:r>
        <w:rPr>
          <w:spacing w:val="-2"/>
        </w:rPr>
        <w:t xml:space="preserve"> </w:t>
      </w:r>
      <w:r>
        <w:t>standards</w:t>
      </w:r>
      <w:r>
        <w:rPr>
          <w:spacing w:val="-2"/>
        </w:rPr>
        <w:t xml:space="preserve"> </w:t>
      </w:r>
      <w:r>
        <w:t>applicable</w:t>
      </w:r>
      <w:r>
        <w:rPr>
          <w:spacing w:val="-2"/>
        </w:rPr>
        <w:t xml:space="preserve"> </w:t>
      </w:r>
      <w:r>
        <w:t>to the</w:t>
      </w:r>
      <w:r>
        <w:rPr>
          <w:spacing w:val="-4"/>
        </w:rPr>
        <w:t xml:space="preserve"> </w:t>
      </w:r>
      <w:r>
        <w:t>audit,</w:t>
      </w:r>
      <w:r>
        <w:rPr>
          <w:spacing w:val="-4"/>
        </w:rPr>
        <w:t xml:space="preserve"> </w:t>
      </w:r>
      <w:r>
        <w:t>such</w:t>
      </w:r>
      <w:r>
        <w:rPr>
          <w:spacing w:val="-4"/>
        </w:rPr>
        <w:t xml:space="preserve"> </w:t>
      </w:r>
      <w:r>
        <w:t>as</w:t>
      </w:r>
      <w:r>
        <w:rPr>
          <w:spacing w:val="-4"/>
        </w:rPr>
        <w:t xml:space="preserve"> </w:t>
      </w:r>
      <w:r>
        <w:t>U.S.</w:t>
      </w:r>
      <w:r>
        <w:rPr>
          <w:spacing w:val="-4"/>
        </w:rPr>
        <w:t xml:space="preserve"> </w:t>
      </w:r>
      <w:r>
        <w:t>generally</w:t>
      </w:r>
      <w:r>
        <w:rPr>
          <w:spacing w:val="-4"/>
        </w:rPr>
        <w:t xml:space="preserve"> </w:t>
      </w:r>
      <w:r>
        <w:t>accepted</w:t>
      </w:r>
      <w:r>
        <w:rPr>
          <w:spacing w:val="-4"/>
        </w:rPr>
        <w:t xml:space="preserve"> </w:t>
      </w:r>
      <w:r>
        <w:t>auditing</w:t>
      </w:r>
      <w:r>
        <w:rPr>
          <w:spacing w:val="-4"/>
        </w:rPr>
        <w:t xml:space="preserve"> </w:t>
      </w:r>
      <w:r>
        <w:t>standards</w:t>
      </w:r>
      <w:r>
        <w:rPr>
          <w:spacing w:val="-4"/>
        </w:rPr>
        <w:t xml:space="preserve"> </w:t>
      </w:r>
      <w:r>
        <w:t>(U.S.</w:t>
      </w:r>
      <w:r>
        <w:rPr>
          <w:spacing w:val="-4"/>
        </w:rPr>
        <w:t xml:space="preserve"> </w:t>
      </w:r>
      <w:r>
        <w:t>GAAS), that is sufficient to fulfill the other auditors’ responsibilities;</w:t>
      </w:r>
    </w:p>
    <w:p w14:paraId="0DFDAC47" w14:textId="77777777" w:rsidR="00046465" w:rsidRDefault="008134EB">
      <w:pPr>
        <w:pStyle w:val="ListParagraph"/>
        <w:numPr>
          <w:ilvl w:val="1"/>
          <w:numId w:val="220"/>
        </w:numPr>
        <w:tabs>
          <w:tab w:val="left" w:pos="2160"/>
        </w:tabs>
        <w:spacing w:before="119"/>
        <w:ind w:left="2160" w:right="1112"/>
      </w:pPr>
      <w:r>
        <w:t>possess the special skills (for example, industry-specific knowledge or knowledge</w:t>
      </w:r>
      <w:r>
        <w:rPr>
          <w:spacing w:val="-6"/>
        </w:rPr>
        <w:t xml:space="preserve"> </w:t>
      </w:r>
      <w:r>
        <w:t>of</w:t>
      </w:r>
      <w:r>
        <w:rPr>
          <w:spacing w:val="-5"/>
        </w:rPr>
        <w:t xml:space="preserve"> </w:t>
      </w:r>
      <w:r>
        <w:t>relevant</w:t>
      </w:r>
      <w:r>
        <w:rPr>
          <w:spacing w:val="-5"/>
        </w:rPr>
        <w:t xml:space="preserve"> </w:t>
      </w:r>
      <w:r>
        <w:t>financial</w:t>
      </w:r>
      <w:r>
        <w:rPr>
          <w:spacing w:val="-5"/>
        </w:rPr>
        <w:t xml:space="preserve"> </w:t>
      </w:r>
      <w:r>
        <w:t>reporting</w:t>
      </w:r>
      <w:r>
        <w:rPr>
          <w:spacing w:val="-5"/>
        </w:rPr>
        <w:t xml:space="preserve"> </w:t>
      </w:r>
      <w:r>
        <w:t>requirements</w:t>
      </w:r>
      <w:r>
        <w:rPr>
          <w:spacing w:val="-5"/>
        </w:rPr>
        <w:t xml:space="preserve"> </w:t>
      </w:r>
      <w:r>
        <w:t>for</w:t>
      </w:r>
      <w:r>
        <w:rPr>
          <w:spacing w:val="-5"/>
        </w:rPr>
        <w:t xml:space="preserve"> </w:t>
      </w:r>
      <w:r>
        <w:t>statements</w:t>
      </w:r>
      <w:r>
        <w:rPr>
          <w:spacing w:val="-5"/>
        </w:rPr>
        <w:t xml:space="preserve"> </w:t>
      </w:r>
      <w:r>
        <w:t>and schedules to be filed with regulatory agencies) necessary to perform the work; and</w:t>
      </w:r>
    </w:p>
    <w:p w14:paraId="0DFDAC48" w14:textId="77777777" w:rsidR="00046465" w:rsidRDefault="008134EB">
      <w:pPr>
        <w:pStyle w:val="ListParagraph"/>
        <w:numPr>
          <w:ilvl w:val="1"/>
          <w:numId w:val="220"/>
        </w:numPr>
        <w:tabs>
          <w:tab w:val="left" w:pos="2160"/>
        </w:tabs>
        <w:spacing w:before="121"/>
        <w:ind w:left="2160" w:right="756"/>
        <w:rPr>
          <w:position w:val="7"/>
          <w:sz w:val="14"/>
        </w:rPr>
      </w:pPr>
      <w:r>
        <w:t>when</w:t>
      </w:r>
      <w:r>
        <w:rPr>
          <w:spacing w:val="-4"/>
        </w:rPr>
        <w:t xml:space="preserve"> </w:t>
      </w:r>
      <w:r>
        <w:t>relevant,</w:t>
      </w:r>
      <w:r>
        <w:rPr>
          <w:spacing w:val="-4"/>
        </w:rPr>
        <w:t xml:space="preserve"> </w:t>
      </w:r>
      <w:r>
        <w:t>possess</w:t>
      </w:r>
      <w:r>
        <w:rPr>
          <w:spacing w:val="-5"/>
        </w:rPr>
        <w:t xml:space="preserve"> </w:t>
      </w:r>
      <w:r>
        <w:t>an</w:t>
      </w:r>
      <w:r>
        <w:rPr>
          <w:spacing w:val="-4"/>
        </w:rPr>
        <w:t xml:space="preserve"> </w:t>
      </w:r>
      <w:r>
        <w:t>understanding</w:t>
      </w:r>
      <w:r>
        <w:rPr>
          <w:spacing w:val="-4"/>
        </w:rPr>
        <w:t xml:space="preserve"> </w:t>
      </w:r>
      <w:r>
        <w:t>of</w:t>
      </w:r>
      <w:r>
        <w:rPr>
          <w:spacing w:val="-4"/>
        </w:rPr>
        <w:t xml:space="preserve"> </w:t>
      </w:r>
      <w:r>
        <w:t>the</w:t>
      </w:r>
      <w:r>
        <w:rPr>
          <w:spacing w:val="-5"/>
        </w:rPr>
        <w:t xml:space="preserve"> </w:t>
      </w:r>
      <w:r>
        <w:t>applicable</w:t>
      </w:r>
      <w:r>
        <w:rPr>
          <w:spacing w:val="-5"/>
        </w:rPr>
        <w:t xml:space="preserve"> </w:t>
      </w:r>
      <w:r>
        <w:t>financial</w:t>
      </w:r>
      <w:r>
        <w:rPr>
          <w:spacing w:val="-4"/>
        </w:rPr>
        <w:t xml:space="preserve"> </w:t>
      </w:r>
      <w:r>
        <w:t>reporting framework (generally U.S. GAAP) that is sufficient to fulfill the other auditors’ responsibilities in the audit (instructions that the auditor issues to the other auditors</w:t>
      </w:r>
      <w:r>
        <w:rPr>
          <w:spacing w:val="-4"/>
        </w:rPr>
        <w:t xml:space="preserve"> </w:t>
      </w:r>
      <w:r>
        <w:t>often</w:t>
      </w:r>
      <w:r>
        <w:rPr>
          <w:spacing w:val="-4"/>
        </w:rPr>
        <w:t xml:space="preserve"> </w:t>
      </w:r>
      <w:r>
        <w:t>describe</w:t>
      </w:r>
      <w:r>
        <w:rPr>
          <w:spacing w:val="-4"/>
        </w:rPr>
        <w:t xml:space="preserve"> </w:t>
      </w:r>
      <w:r>
        <w:t>the</w:t>
      </w:r>
      <w:r>
        <w:rPr>
          <w:spacing w:val="-4"/>
        </w:rPr>
        <w:t xml:space="preserve"> </w:t>
      </w:r>
      <w:r>
        <w:t>characteristics</w:t>
      </w:r>
      <w:r>
        <w:rPr>
          <w:spacing w:val="-4"/>
        </w:rPr>
        <w:t xml:space="preserve"> </w:t>
      </w:r>
      <w:r>
        <w:t>of</w:t>
      </w:r>
      <w:r>
        <w:rPr>
          <w:spacing w:val="-4"/>
        </w:rPr>
        <w:t xml:space="preserve"> </w:t>
      </w:r>
      <w:r>
        <w:t>the</w:t>
      </w:r>
      <w:r>
        <w:rPr>
          <w:spacing w:val="-5"/>
        </w:rPr>
        <w:t xml:space="preserve"> </w:t>
      </w:r>
      <w:r>
        <w:t>applicable</w:t>
      </w:r>
      <w:r>
        <w:rPr>
          <w:spacing w:val="-5"/>
        </w:rPr>
        <w:t xml:space="preserve"> </w:t>
      </w:r>
      <w:r>
        <w:t>financial</w:t>
      </w:r>
      <w:r>
        <w:rPr>
          <w:spacing w:val="-4"/>
        </w:rPr>
        <w:t xml:space="preserve"> </w:t>
      </w:r>
      <w:r>
        <w:t xml:space="preserve">reporting </w:t>
      </w:r>
      <w:r>
        <w:rPr>
          <w:spacing w:val="-2"/>
        </w:rPr>
        <w:t>framework).</w:t>
      </w:r>
      <w:hyperlink w:anchor="_bookmark6" w:history="1">
        <w:r>
          <w:rPr>
            <w:spacing w:val="-2"/>
            <w:position w:val="7"/>
            <w:sz w:val="14"/>
          </w:rPr>
          <w:t>4</w:t>
        </w:r>
      </w:hyperlink>
    </w:p>
    <w:p w14:paraId="0DFDAC49" w14:textId="77777777" w:rsidR="00046465" w:rsidRDefault="008134EB">
      <w:pPr>
        <w:spacing w:before="240"/>
        <w:ind w:left="1080"/>
        <w:rPr>
          <w:b/>
          <w:sz w:val="24"/>
        </w:rPr>
      </w:pPr>
      <w:bookmarkStart w:id="18" w:name="Specialists"/>
      <w:bookmarkEnd w:id="18"/>
      <w:r>
        <w:rPr>
          <w:b/>
          <w:spacing w:val="-2"/>
          <w:sz w:val="24"/>
        </w:rPr>
        <w:t>Specialists</w:t>
      </w:r>
    </w:p>
    <w:p w14:paraId="0DFDAC4A" w14:textId="77777777" w:rsidR="00046465" w:rsidRDefault="008134EB">
      <w:pPr>
        <w:pStyle w:val="ListParagraph"/>
        <w:numPr>
          <w:ilvl w:val="0"/>
          <w:numId w:val="220"/>
        </w:numPr>
        <w:tabs>
          <w:tab w:val="left" w:pos="1800"/>
        </w:tabs>
        <w:ind w:right="1068"/>
      </w:pPr>
      <w:r>
        <w:t>Sources that may inform the auditor’s assessment of the competence and professional</w:t>
      </w:r>
      <w:r>
        <w:rPr>
          <w:spacing w:val="-5"/>
        </w:rPr>
        <w:t xml:space="preserve"> </w:t>
      </w:r>
      <w:r>
        <w:t>qualifications</w:t>
      </w:r>
      <w:r>
        <w:rPr>
          <w:spacing w:val="-4"/>
        </w:rPr>
        <w:t xml:space="preserve"> </w:t>
      </w:r>
      <w:r>
        <w:t>of</w:t>
      </w:r>
      <w:r>
        <w:rPr>
          <w:spacing w:val="-4"/>
        </w:rPr>
        <w:t xml:space="preserve"> </w:t>
      </w:r>
      <w:r>
        <w:t>a</w:t>
      </w:r>
      <w:r>
        <w:rPr>
          <w:spacing w:val="-4"/>
        </w:rPr>
        <w:t xml:space="preserve"> </w:t>
      </w:r>
      <w:r>
        <w:t>specialist</w:t>
      </w:r>
      <w:r>
        <w:rPr>
          <w:spacing w:val="-4"/>
        </w:rPr>
        <w:t xml:space="preserve"> </w:t>
      </w:r>
      <w:r>
        <w:t>include</w:t>
      </w:r>
      <w:r>
        <w:rPr>
          <w:spacing w:val="-5"/>
        </w:rPr>
        <w:t xml:space="preserve"> </w:t>
      </w:r>
      <w:r>
        <w:t>the</w:t>
      </w:r>
      <w:r>
        <w:rPr>
          <w:spacing w:val="-4"/>
        </w:rPr>
        <w:t xml:space="preserve"> </w:t>
      </w:r>
      <w:r>
        <w:t>following</w:t>
      </w:r>
      <w:r>
        <w:rPr>
          <w:spacing w:val="-5"/>
        </w:rPr>
        <w:t xml:space="preserve"> </w:t>
      </w:r>
      <w:r>
        <w:t>(GAGAS</w:t>
      </w:r>
      <w:r>
        <w:rPr>
          <w:spacing w:val="-4"/>
        </w:rPr>
        <w:t xml:space="preserve"> </w:t>
      </w:r>
      <w:r>
        <w:t xml:space="preserve">(2018) </w:t>
      </w:r>
      <w:r>
        <w:rPr>
          <w:spacing w:val="-2"/>
        </w:rPr>
        <w:t>4.15):</w:t>
      </w:r>
    </w:p>
    <w:p w14:paraId="0DFDAC4B" w14:textId="77777777" w:rsidR="00046465" w:rsidRDefault="008134EB">
      <w:pPr>
        <w:pStyle w:val="ListParagraph"/>
        <w:numPr>
          <w:ilvl w:val="1"/>
          <w:numId w:val="220"/>
        </w:numPr>
        <w:tabs>
          <w:tab w:val="left" w:pos="2160"/>
        </w:tabs>
        <w:spacing w:before="119"/>
        <w:ind w:left="2160" w:right="854"/>
      </w:pPr>
      <w:r>
        <w:t>the</w:t>
      </w:r>
      <w:r>
        <w:rPr>
          <w:spacing w:val="-5"/>
        </w:rPr>
        <w:t xml:space="preserve"> </w:t>
      </w:r>
      <w:r>
        <w:t>professional</w:t>
      </w:r>
      <w:r>
        <w:rPr>
          <w:spacing w:val="-5"/>
        </w:rPr>
        <w:t xml:space="preserve"> </w:t>
      </w:r>
      <w:r>
        <w:t>certification,</w:t>
      </w:r>
      <w:r>
        <w:rPr>
          <w:spacing w:val="-5"/>
        </w:rPr>
        <w:t xml:space="preserve"> </w:t>
      </w:r>
      <w:r>
        <w:t>license,</w:t>
      </w:r>
      <w:r>
        <w:rPr>
          <w:spacing w:val="-5"/>
        </w:rPr>
        <w:t xml:space="preserve"> </w:t>
      </w:r>
      <w:r>
        <w:t>or</w:t>
      </w:r>
      <w:r>
        <w:rPr>
          <w:spacing w:val="-5"/>
        </w:rPr>
        <w:t xml:space="preserve"> </w:t>
      </w:r>
      <w:r>
        <w:t>other</w:t>
      </w:r>
      <w:r>
        <w:rPr>
          <w:spacing w:val="-5"/>
        </w:rPr>
        <w:t xml:space="preserve"> </w:t>
      </w:r>
      <w:r>
        <w:t>recognition</w:t>
      </w:r>
      <w:r>
        <w:rPr>
          <w:spacing w:val="-5"/>
        </w:rPr>
        <w:t xml:space="preserve"> </w:t>
      </w:r>
      <w:r>
        <w:t>of</w:t>
      </w:r>
      <w:r>
        <w:rPr>
          <w:spacing w:val="-5"/>
        </w:rPr>
        <w:t xml:space="preserve"> </w:t>
      </w:r>
      <w:r>
        <w:t>the</w:t>
      </w:r>
      <w:r>
        <w:rPr>
          <w:spacing w:val="-5"/>
        </w:rPr>
        <w:t xml:space="preserve"> </w:t>
      </w:r>
      <w:r>
        <w:t>competence of the specialist in the specialist’s field, as appropriate;</w:t>
      </w:r>
    </w:p>
    <w:p w14:paraId="0DFDAC4C" w14:textId="77777777" w:rsidR="00046465" w:rsidRDefault="008134EB">
      <w:pPr>
        <w:pStyle w:val="ListParagraph"/>
        <w:numPr>
          <w:ilvl w:val="1"/>
          <w:numId w:val="220"/>
        </w:numPr>
        <w:tabs>
          <w:tab w:val="left" w:pos="2160"/>
        </w:tabs>
        <w:spacing w:before="121"/>
        <w:ind w:left="2160" w:right="868"/>
      </w:pPr>
      <w:r>
        <w:t>the</w:t>
      </w:r>
      <w:r>
        <w:rPr>
          <w:spacing w:val="-4"/>
        </w:rPr>
        <w:t xml:space="preserve"> </w:t>
      </w:r>
      <w:r>
        <w:t>reputation</w:t>
      </w:r>
      <w:r>
        <w:rPr>
          <w:spacing w:val="-4"/>
        </w:rPr>
        <w:t xml:space="preserve"> </w:t>
      </w:r>
      <w:r>
        <w:t>and</w:t>
      </w:r>
      <w:r>
        <w:rPr>
          <w:spacing w:val="-4"/>
        </w:rPr>
        <w:t xml:space="preserve"> </w:t>
      </w:r>
      <w:r>
        <w:t>standing</w:t>
      </w:r>
      <w:r>
        <w:rPr>
          <w:spacing w:val="-4"/>
        </w:rPr>
        <w:t xml:space="preserve"> </w:t>
      </w:r>
      <w:r>
        <w:t>of</w:t>
      </w:r>
      <w:r>
        <w:rPr>
          <w:spacing w:val="-4"/>
        </w:rPr>
        <w:t xml:space="preserve"> </w:t>
      </w:r>
      <w:r>
        <w:t>the</w:t>
      </w:r>
      <w:r>
        <w:rPr>
          <w:spacing w:val="-4"/>
        </w:rPr>
        <w:t xml:space="preserve"> </w:t>
      </w:r>
      <w:r>
        <w:t>specialist</w:t>
      </w:r>
      <w:r>
        <w:rPr>
          <w:spacing w:val="-4"/>
        </w:rPr>
        <w:t xml:space="preserve"> </w:t>
      </w:r>
      <w:r>
        <w:t>in</w:t>
      </w:r>
      <w:r>
        <w:rPr>
          <w:spacing w:val="-4"/>
        </w:rPr>
        <w:t xml:space="preserve"> </w:t>
      </w:r>
      <w:r>
        <w:t>the</w:t>
      </w:r>
      <w:r>
        <w:rPr>
          <w:spacing w:val="-4"/>
        </w:rPr>
        <w:t xml:space="preserve"> </w:t>
      </w:r>
      <w:r>
        <w:t>views</w:t>
      </w:r>
      <w:r>
        <w:rPr>
          <w:spacing w:val="-4"/>
        </w:rPr>
        <w:t xml:space="preserve"> </w:t>
      </w:r>
      <w:r>
        <w:t>of</w:t>
      </w:r>
      <w:r>
        <w:rPr>
          <w:spacing w:val="-4"/>
        </w:rPr>
        <w:t xml:space="preserve"> </w:t>
      </w:r>
      <w:r>
        <w:t>peers</w:t>
      </w:r>
      <w:r>
        <w:rPr>
          <w:spacing w:val="-4"/>
        </w:rPr>
        <w:t xml:space="preserve"> </w:t>
      </w:r>
      <w:r>
        <w:t>and</w:t>
      </w:r>
      <w:r>
        <w:rPr>
          <w:spacing w:val="-4"/>
        </w:rPr>
        <w:t xml:space="preserve"> </w:t>
      </w:r>
      <w:r>
        <w:t>others familiar with the specialist’s capability or performance;</w:t>
      </w:r>
    </w:p>
    <w:p w14:paraId="0DFDAC4D" w14:textId="77777777" w:rsidR="00046465" w:rsidRDefault="008134EB">
      <w:pPr>
        <w:pStyle w:val="ListParagraph"/>
        <w:numPr>
          <w:ilvl w:val="1"/>
          <w:numId w:val="220"/>
        </w:numPr>
        <w:tabs>
          <w:tab w:val="left" w:pos="2159"/>
        </w:tabs>
        <w:ind w:hanging="359"/>
      </w:pPr>
      <w:r>
        <w:t>the</w:t>
      </w:r>
      <w:r>
        <w:rPr>
          <w:spacing w:val="-7"/>
        </w:rPr>
        <w:t xml:space="preserve"> </w:t>
      </w:r>
      <w:r>
        <w:t>specialist’s</w:t>
      </w:r>
      <w:r>
        <w:rPr>
          <w:spacing w:val="-7"/>
        </w:rPr>
        <w:t xml:space="preserve"> </w:t>
      </w:r>
      <w:r>
        <w:t>experience</w:t>
      </w:r>
      <w:r>
        <w:rPr>
          <w:spacing w:val="-6"/>
        </w:rPr>
        <w:t xml:space="preserve"> </w:t>
      </w:r>
      <w:r>
        <w:t>and</w:t>
      </w:r>
      <w:r>
        <w:rPr>
          <w:spacing w:val="-7"/>
        </w:rPr>
        <w:t xml:space="preserve"> </w:t>
      </w:r>
      <w:r>
        <w:t>previous</w:t>
      </w:r>
      <w:r>
        <w:rPr>
          <w:spacing w:val="-6"/>
        </w:rPr>
        <w:t xml:space="preserve"> </w:t>
      </w:r>
      <w:r>
        <w:t>work</w:t>
      </w:r>
      <w:r>
        <w:rPr>
          <w:spacing w:val="-7"/>
        </w:rPr>
        <w:t xml:space="preserve"> </w:t>
      </w:r>
      <w:r>
        <w:t>in</w:t>
      </w:r>
      <w:r>
        <w:rPr>
          <w:spacing w:val="-7"/>
        </w:rPr>
        <w:t xml:space="preserve"> </w:t>
      </w:r>
      <w:r>
        <w:t>the</w:t>
      </w:r>
      <w:r>
        <w:rPr>
          <w:spacing w:val="-7"/>
        </w:rPr>
        <w:t xml:space="preserve"> </w:t>
      </w:r>
      <w:r>
        <w:t>subject</w:t>
      </w:r>
      <w:r>
        <w:rPr>
          <w:spacing w:val="-7"/>
        </w:rPr>
        <w:t xml:space="preserve"> </w:t>
      </w:r>
      <w:r>
        <w:rPr>
          <w:spacing w:val="-2"/>
        </w:rPr>
        <w:t>matter;</w:t>
      </w:r>
    </w:p>
    <w:p w14:paraId="0DFDAC4E" w14:textId="77777777" w:rsidR="00046465" w:rsidRDefault="008134EB">
      <w:pPr>
        <w:pStyle w:val="ListParagraph"/>
        <w:numPr>
          <w:ilvl w:val="1"/>
          <w:numId w:val="220"/>
        </w:numPr>
        <w:tabs>
          <w:tab w:val="left" w:pos="2160"/>
        </w:tabs>
        <w:spacing w:before="119"/>
        <w:ind w:left="2160" w:right="1344"/>
      </w:pPr>
      <w:r>
        <w:t>the</w:t>
      </w:r>
      <w:r>
        <w:rPr>
          <w:spacing w:val="-5"/>
        </w:rPr>
        <w:t xml:space="preserve"> </w:t>
      </w:r>
      <w:r>
        <w:t>auditor’s</w:t>
      </w:r>
      <w:r>
        <w:rPr>
          <w:spacing w:val="-6"/>
        </w:rPr>
        <w:t xml:space="preserve"> </w:t>
      </w:r>
      <w:r>
        <w:t>assessment</w:t>
      </w:r>
      <w:r>
        <w:rPr>
          <w:spacing w:val="-5"/>
        </w:rPr>
        <w:t xml:space="preserve"> </w:t>
      </w:r>
      <w:r>
        <w:t>of</w:t>
      </w:r>
      <w:r>
        <w:rPr>
          <w:spacing w:val="-5"/>
        </w:rPr>
        <w:t xml:space="preserve"> </w:t>
      </w:r>
      <w:r>
        <w:t>the</w:t>
      </w:r>
      <w:r>
        <w:rPr>
          <w:spacing w:val="-5"/>
        </w:rPr>
        <w:t xml:space="preserve"> </w:t>
      </w:r>
      <w:r>
        <w:t>specialist’s</w:t>
      </w:r>
      <w:r>
        <w:rPr>
          <w:spacing w:val="-5"/>
        </w:rPr>
        <w:t xml:space="preserve"> </w:t>
      </w:r>
      <w:r>
        <w:t>knowledge</w:t>
      </w:r>
      <w:r>
        <w:rPr>
          <w:spacing w:val="-5"/>
        </w:rPr>
        <w:t xml:space="preserve"> </w:t>
      </w:r>
      <w:r>
        <w:t>and</w:t>
      </w:r>
      <w:r>
        <w:rPr>
          <w:spacing w:val="-5"/>
        </w:rPr>
        <w:t xml:space="preserve"> </w:t>
      </w:r>
      <w:r>
        <w:t>qualification based on prior experience in using the specialist’s work;</w:t>
      </w:r>
    </w:p>
    <w:p w14:paraId="0DFDAC4F" w14:textId="77777777" w:rsidR="00046465" w:rsidRDefault="008134EB">
      <w:pPr>
        <w:pStyle w:val="BodyText"/>
        <w:spacing w:before="203"/>
        <w:rPr>
          <w:sz w:val="20"/>
        </w:rPr>
      </w:pPr>
      <w:r>
        <w:rPr>
          <w:noProof/>
          <w:sz w:val="20"/>
        </w:rPr>
        <mc:AlternateContent>
          <mc:Choice Requires="wps">
            <w:drawing>
              <wp:anchor distT="0" distB="0" distL="0" distR="0" simplePos="0" relativeHeight="487601664" behindDoc="1" locked="0" layoutInCell="1" allowOverlap="1" wp14:anchorId="0DFDD549" wp14:editId="0DFDD54A">
                <wp:simplePos x="0" y="0"/>
                <wp:positionH relativeFrom="page">
                  <wp:posOffset>914400</wp:posOffset>
                </wp:positionH>
                <wp:positionV relativeFrom="paragraph">
                  <wp:posOffset>290221</wp:posOffset>
                </wp:positionV>
                <wp:extent cx="1828800" cy="5715"/>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34675D" id="Graphic 133" o:spid="_x0000_s1026" style="position:absolute;margin-left:1in;margin-top:22.85pt;width:2in;height:.4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" path="m1828800,l,,,5333r1828800,l1828800,xe" fillcolor="black" stroked="f">
                <v:path arrowok="t"/>
                <w10:wrap type="topAndBottom" anchorx="page"/>
              </v:shape>
            </w:pict>
          </mc:Fallback>
        </mc:AlternateContent>
      </w:r>
    </w:p>
    <w:p w14:paraId="0DFDAC50" w14:textId="77777777" w:rsidR="00046465" w:rsidRDefault="008134EB">
      <w:pPr>
        <w:spacing w:before="202" w:line="249" w:lineRule="auto"/>
        <w:ind w:left="360" w:right="749" w:hanging="1"/>
        <w:rPr>
          <w:sz w:val="18"/>
        </w:rPr>
      </w:pPr>
      <w:bookmarkStart w:id="19" w:name="_bookmark5"/>
      <w:bookmarkEnd w:id="19"/>
      <w:r>
        <w:rPr>
          <w:position w:val="7"/>
          <w:sz w:val="14"/>
        </w:rPr>
        <w:t>3</w:t>
      </w:r>
      <w:r>
        <w:rPr>
          <w:sz w:val="18"/>
        </w:rPr>
        <w:t>See</w:t>
      </w:r>
      <w:r>
        <w:rPr>
          <w:spacing w:val="-3"/>
          <w:sz w:val="18"/>
        </w:rPr>
        <w:t xml:space="preserve"> </w:t>
      </w:r>
      <w:r>
        <w:rPr>
          <w:sz w:val="18"/>
        </w:rPr>
        <w:t>GAGAS</w:t>
      </w:r>
      <w:r>
        <w:rPr>
          <w:spacing w:val="-2"/>
          <w:sz w:val="18"/>
        </w:rPr>
        <w:t xml:space="preserve"> </w:t>
      </w:r>
      <w:r>
        <w:rPr>
          <w:sz w:val="18"/>
        </w:rPr>
        <w:t>(2018)</w:t>
      </w:r>
      <w:r>
        <w:rPr>
          <w:spacing w:val="-2"/>
          <w:sz w:val="18"/>
        </w:rPr>
        <w:t xml:space="preserve"> </w:t>
      </w:r>
      <w:r>
        <w:rPr>
          <w:sz w:val="18"/>
        </w:rPr>
        <w:t>6.05</w:t>
      </w:r>
      <w:r>
        <w:rPr>
          <w:spacing w:val="-3"/>
          <w:sz w:val="18"/>
        </w:rPr>
        <w:t xml:space="preserve"> </w:t>
      </w:r>
      <w:r>
        <w:rPr>
          <w:sz w:val="18"/>
        </w:rPr>
        <w:t>for</w:t>
      </w:r>
      <w:r>
        <w:rPr>
          <w:spacing w:val="-2"/>
          <w:sz w:val="18"/>
        </w:rPr>
        <w:t xml:space="preserve"> </w:t>
      </w:r>
      <w:r>
        <w:rPr>
          <w:sz w:val="18"/>
        </w:rPr>
        <w:t>licensing</w:t>
      </w:r>
      <w:r>
        <w:rPr>
          <w:spacing w:val="-3"/>
          <w:sz w:val="18"/>
        </w:rPr>
        <w:t xml:space="preserve"> </w:t>
      </w:r>
      <w:r>
        <w:rPr>
          <w:sz w:val="18"/>
        </w:rPr>
        <w:t>requirements</w:t>
      </w:r>
      <w:r>
        <w:rPr>
          <w:spacing w:val="-2"/>
          <w:sz w:val="18"/>
        </w:rPr>
        <w:t xml:space="preserve"> </w:t>
      </w:r>
      <w:r>
        <w:rPr>
          <w:sz w:val="18"/>
        </w:rPr>
        <w:t>for</w:t>
      </w:r>
      <w:r>
        <w:rPr>
          <w:spacing w:val="-2"/>
          <w:sz w:val="18"/>
        </w:rPr>
        <w:t xml:space="preserve"> </w:t>
      </w:r>
      <w:r>
        <w:rPr>
          <w:sz w:val="18"/>
        </w:rPr>
        <w:t>auditors</w:t>
      </w:r>
      <w:r>
        <w:rPr>
          <w:spacing w:val="-2"/>
          <w:sz w:val="18"/>
        </w:rPr>
        <w:t xml:space="preserve"> </w:t>
      </w:r>
      <w:r>
        <w:rPr>
          <w:sz w:val="18"/>
        </w:rPr>
        <w:t>who</w:t>
      </w:r>
      <w:r>
        <w:rPr>
          <w:spacing w:val="-3"/>
          <w:sz w:val="18"/>
        </w:rPr>
        <w:t xml:space="preserve"> </w:t>
      </w:r>
      <w:r>
        <w:rPr>
          <w:sz w:val="18"/>
        </w:rPr>
        <w:t>are</w:t>
      </w:r>
      <w:r>
        <w:rPr>
          <w:spacing w:val="-3"/>
          <w:sz w:val="18"/>
        </w:rPr>
        <w:t xml:space="preserve"> </w:t>
      </w:r>
      <w:r>
        <w:rPr>
          <w:sz w:val="18"/>
        </w:rPr>
        <w:t>engaged</w:t>
      </w:r>
      <w:r>
        <w:rPr>
          <w:spacing w:val="-3"/>
          <w:sz w:val="18"/>
        </w:rPr>
        <w:t xml:space="preserve"> </w:t>
      </w:r>
      <w:r>
        <w:rPr>
          <w:sz w:val="18"/>
        </w:rPr>
        <w:t>to</w:t>
      </w:r>
      <w:r>
        <w:rPr>
          <w:spacing w:val="-3"/>
          <w:sz w:val="18"/>
        </w:rPr>
        <w:t xml:space="preserve"> </w:t>
      </w:r>
      <w:r>
        <w:rPr>
          <w:sz w:val="18"/>
        </w:rPr>
        <w:t>conduct</w:t>
      </w:r>
      <w:r>
        <w:rPr>
          <w:spacing w:val="-2"/>
          <w:sz w:val="18"/>
        </w:rPr>
        <w:t xml:space="preserve"> </w:t>
      </w:r>
      <w:r>
        <w:rPr>
          <w:sz w:val="18"/>
        </w:rPr>
        <w:t>financial</w:t>
      </w:r>
      <w:r>
        <w:rPr>
          <w:spacing w:val="-2"/>
          <w:sz w:val="18"/>
        </w:rPr>
        <w:t xml:space="preserve"> </w:t>
      </w:r>
      <w:r>
        <w:rPr>
          <w:sz w:val="18"/>
        </w:rPr>
        <w:t>audits</w:t>
      </w:r>
      <w:r>
        <w:rPr>
          <w:spacing w:val="-2"/>
          <w:sz w:val="18"/>
        </w:rPr>
        <w:t xml:space="preserve"> </w:t>
      </w:r>
      <w:r>
        <w:rPr>
          <w:sz w:val="18"/>
        </w:rPr>
        <w:t>of entities operating outside the United States.</w:t>
      </w:r>
    </w:p>
    <w:p w14:paraId="0DFDAC51" w14:textId="77777777" w:rsidR="00046465" w:rsidRDefault="008134EB">
      <w:pPr>
        <w:spacing w:before="176"/>
        <w:ind w:left="360"/>
        <w:rPr>
          <w:sz w:val="18"/>
        </w:rPr>
      </w:pPr>
      <w:bookmarkStart w:id="20" w:name="_bookmark6"/>
      <w:bookmarkEnd w:id="20"/>
      <w:r>
        <w:rPr>
          <w:position w:val="7"/>
          <w:sz w:val="14"/>
        </w:rPr>
        <w:t>4</w:t>
      </w:r>
      <w:r>
        <w:rPr>
          <w:sz w:val="18"/>
        </w:rPr>
        <w:t>For</w:t>
      </w:r>
      <w:r>
        <w:rPr>
          <w:spacing w:val="-5"/>
          <w:sz w:val="18"/>
        </w:rPr>
        <w:t xml:space="preserve"> </w:t>
      </w:r>
      <w:r>
        <w:rPr>
          <w:sz w:val="18"/>
        </w:rPr>
        <w:t>federal</w:t>
      </w:r>
      <w:r>
        <w:rPr>
          <w:spacing w:val="-3"/>
          <w:sz w:val="18"/>
        </w:rPr>
        <w:t xml:space="preserve"> </w:t>
      </w:r>
      <w:r>
        <w:rPr>
          <w:sz w:val="18"/>
        </w:rPr>
        <w:t>entities,</w:t>
      </w:r>
      <w:r>
        <w:rPr>
          <w:spacing w:val="-3"/>
          <w:sz w:val="18"/>
        </w:rPr>
        <w:t xml:space="preserve"> </w:t>
      </w:r>
      <w:r>
        <w:rPr>
          <w:sz w:val="18"/>
        </w:rPr>
        <w:t>the</w:t>
      </w:r>
      <w:r>
        <w:rPr>
          <w:spacing w:val="-4"/>
          <w:sz w:val="18"/>
        </w:rPr>
        <w:t xml:space="preserve"> </w:t>
      </w:r>
      <w:r>
        <w:rPr>
          <w:sz w:val="18"/>
        </w:rPr>
        <w:t>applicable</w:t>
      </w:r>
      <w:r>
        <w:rPr>
          <w:spacing w:val="-3"/>
          <w:sz w:val="18"/>
        </w:rPr>
        <w:t xml:space="preserve"> </w:t>
      </w:r>
      <w:r>
        <w:rPr>
          <w:sz w:val="18"/>
        </w:rPr>
        <w:t>financial</w:t>
      </w:r>
      <w:r>
        <w:rPr>
          <w:spacing w:val="-3"/>
          <w:sz w:val="18"/>
        </w:rPr>
        <w:t xml:space="preserve"> </w:t>
      </w:r>
      <w:r>
        <w:rPr>
          <w:sz w:val="18"/>
        </w:rPr>
        <w:t>reporting</w:t>
      </w:r>
      <w:r>
        <w:rPr>
          <w:spacing w:val="-4"/>
          <w:sz w:val="18"/>
        </w:rPr>
        <w:t xml:space="preserve"> </w:t>
      </w:r>
      <w:r>
        <w:rPr>
          <w:sz w:val="18"/>
        </w:rPr>
        <w:t>framework</w:t>
      </w:r>
      <w:r>
        <w:rPr>
          <w:spacing w:val="-3"/>
          <w:sz w:val="18"/>
        </w:rPr>
        <w:t xml:space="preserve"> </w:t>
      </w:r>
      <w:r>
        <w:rPr>
          <w:sz w:val="18"/>
        </w:rPr>
        <w:t>is</w:t>
      </w:r>
      <w:r>
        <w:rPr>
          <w:spacing w:val="-3"/>
          <w:sz w:val="18"/>
        </w:rPr>
        <w:t xml:space="preserve"> </w:t>
      </w:r>
      <w:r>
        <w:rPr>
          <w:sz w:val="18"/>
        </w:rPr>
        <w:t>generally</w:t>
      </w:r>
      <w:r>
        <w:rPr>
          <w:spacing w:val="-2"/>
          <w:sz w:val="18"/>
        </w:rPr>
        <w:t xml:space="preserve"> </w:t>
      </w:r>
      <w:r>
        <w:rPr>
          <w:sz w:val="18"/>
        </w:rPr>
        <w:t>U.S.</w:t>
      </w:r>
      <w:r>
        <w:rPr>
          <w:spacing w:val="-3"/>
          <w:sz w:val="18"/>
        </w:rPr>
        <w:t xml:space="preserve"> </w:t>
      </w:r>
      <w:r>
        <w:rPr>
          <w:sz w:val="18"/>
        </w:rPr>
        <w:t>GAAP.</w:t>
      </w:r>
      <w:r>
        <w:rPr>
          <w:spacing w:val="-4"/>
          <w:sz w:val="18"/>
        </w:rPr>
        <w:t xml:space="preserve"> </w:t>
      </w:r>
      <w:r>
        <w:rPr>
          <w:sz w:val="18"/>
        </w:rPr>
        <w:t>See</w:t>
      </w:r>
      <w:r>
        <w:rPr>
          <w:spacing w:val="-4"/>
          <w:sz w:val="18"/>
        </w:rPr>
        <w:t xml:space="preserve"> </w:t>
      </w:r>
      <w:r>
        <w:rPr>
          <w:sz w:val="18"/>
        </w:rPr>
        <w:t>FAM</w:t>
      </w:r>
      <w:r>
        <w:rPr>
          <w:spacing w:val="-2"/>
          <w:sz w:val="18"/>
        </w:rPr>
        <w:t xml:space="preserve"> 110.02.</w:t>
      </w:r>
    </w:p>
    <w:p w14:paraId="0DFDAC52" w14:textId="77777777" w:rsidR="00046465" w:rsidRDefault="00046465">
      <w:pPr>
        <w:rPr>
          <w:sz w:val="18"/>
        </w:rPr>
        <w:sectPr w:rsidR="00046465">
          <w:pgSz w:w="12240" w:h="15840"/>
          <w:pgMar w:top="1340" w:right="720" w:bottom="940" w:left="1080" w:header="721" w:footer="757" w:gutter="0"/>
          <w:cols w:space="720"/>
        </w:sectPr>
      </w:pPr>
    </w:p>
    <w:p w14:paraId="0DFDAC53" w14:textId="77777777" w:rsidR="00046465" w:rsidRDefault="008134EB">
      <w:pPr>
        <w:pStyle w:val="ListParagraph"/>
        <w:numPr>
          <w:ilvl w:val="1"/>
          <w:numId w:val="220"/>
        </w:numPr>
        <w:tabs>
          <w:tab w:val="left" w:pos="2159"/>
        </w:tabs>
        <w:spacing w:before="121"/>
        <w:ind w:right="796"/>
      </w:pPr>
      <w:r>
        <w:lastRenderedPageBreak/>
        <w:t>the specialist’s knowledge of any technical performance standards or other professional or industry requirements in the specialist’s field (for example, ethical</w:t>
      </w:r>
      <w:r>
        <w:rPr>
          <w:spacing w:val="-5"/>
        </w:rPr>
        <w:t xml:space="preserve"> </w:t>
      </w:r>
      <w:r>
        <w:t>standards</w:t>
      </w:r>
      <w:r>
        <w:rPr>
          <w:spacing w:val="-5"/>
        </w:rPr>
        <w:t xml:space="preserve"> </w:t>
      </w:r>
      <w:r>
        <w:t>and</w:t>
      </w:r>
      <w:r>
        <w:rPr>
          <w:spacing w:val="-5"/>
        </w:rPr>
        <w:t xml:space="preserve"> </w:t>
      </w:r>
      <w:r>
        <w:t>other</w:t>
      </w:r>
      <w:r>
        <w:rPr>
          <w:spacing w:val="-5"/>
        </w:rPr>
        <w:t xml:space="preserve"> </w:t>
      </w:r>
      <w:r>
        <w:t>membership</w:t>
      </w:r>
      <w:r>
        <w:rPr>
          <w:spacing w:val="-5"/>
        </w:rPr>
        <w:t xml:space="preserve"> </w:t>
      </w:r>
      <w:r>
        <w:t>requirements</w:t>
      </w:r>
      <w:r>
        <w:rPr>
          <w:spacing w:val="-5"/>
        </w:rPr>
        <w:t xml:space="preserve"> </w:t>
      </w:r>
      <w:r>
        <w:t>of</w:t>
      </w:r>
      <w:r>
        <w:rPr>
          <w:spacing w:val="-5"/>
        </w:rPr>
        <w:t xml:space="preserve"> </w:t>
      </w:r>
      <w:r>
        <w:t>a</w:t>
      </w:r>
      <w:r>
        <w:rPr>
          <w:spacing w:val="-5"/>
        </w:rPr>
        <w:t xml:space="preserve"> </w:t>
      </w:r>
      <w:r>
        <w:t>professional</w:t>
      </w:r>
      <w:r>
        <w:rPr>
          <w:spacing w:val="-7"/>
        </w:rPr>
        <w:t xml:space="preserve"> </w:t>
      </w:r>
      <w:r>
        <w:t>body or industry association, accreditation standards of a licensing body, or requirements imposed by law or regulation);</w:t>
      </w:r>
    </w:p>
    <w:p w14:paraId="0DFDAC54" w14:textId="77777777" w:rsidR="00046465" w:rsidRDefault="008134EB">
      <w:pPr>
        <w:pStyle w:val="ListParagraph"/>
        <w:numPr>
          <w:ilvl w:val="1"/>
          <w:numId w:val="220"/>
        </w:numPr>
        <w:tabs>
          <w:tab w:val="left" w:pos="2159"/>
        </w:tabs>
        <w:ind w:right="1040"/>
      </w:pPr>
      <w:r>
        <w:t>the</w:t>
      </w:r>
      <w:r>
        <w:rPr>
          <w:spacing w:val="-4"/>
        </w:rPr>
        <w:t xml:space="preserve"> </w:t>
      </w:r>
      <w:r>
        <w:t>knowledge</w:t>
      </w:r>
      <w:r>
        <w:rPr>
          <w:spacing w:val="-4"/>
        </w:rPr>
        <w:t xml:space="preserve"> </w:t>
      </w:r>
      <w:r>
        <w:t>of</w:t>
      </w:r>
      <w:r>
        <w:rPr>
          <w:spacing w:val="-4"/>
        </w:rPr>
        <w:t xml:space="preserve"> </w:t>
      </w:r>
      <w:r>
        <w:t>the</w:t>
      </w:r>
      <w:r>
        <w:rPr>
          <w:spacing w:val="-4"/>
        </w:rPr>
        <w:t xml:space="preserve"> </w:t>
      </w:r>
      <w:r>
        <w:t>specialist</w:t>
      </w:r>
      <w:r>
        <w:rPr>
          <w:spacing w:val="-4"/>
        </w:rPr>
        <w:t xml:space="preserve"> </w:t>
      </w:r>
      <w:r>
        <w:t>with</w:t>
      </w:r>
      <w:r>
        <w:rPr>
          <w:spacing w:val="-5"/>
        </w:rPr>
        <w:t xml:space="preserve"> </w:t>
      </w:r>
      <w:r>
        <w:t>respect</w:t>
      </w:r>
      <w:r>
        <w:rPr>
          <w:spacing w:val="-4"/>
        </w:rPr>
        <w:t xml:space="preserve"> </w:t>
      </w:r>
      <w:r>
        <w:t>to</w:t>
      </w:r>
      <w:r>
        <w:rPr>
          <w:spacing w:val="-4"/>
        </w:rPr>
        <w:t xml:space="preserve"> </w:t>
      </w:r>
      <w:r>
        <w:t>relevant</w:t>
      </w:r>
      <w:r>
        <w:rPr>
          <w:spacing w:val="-4"/>
        </w:rPr>
        <w:t xml:space="preserve"> </w:t>
      </w:r>
      <w:r>
        <w:t>auditing</w:t>
      </w:r>
      <w:r>
        <w:rPr>
          <w:spacing w:val="-4"/>
        </w:rPr>
        <w:t xml:space="preserve"> </w:t>
      </w:r>
      <w:r>
        <w:t xml:space="preserve">standards; </w:t>
      </w:r>
      <w:r>
        <w:rPr>
          <w:spacing w:val="-4"/>
        </w:rPr>
        <w:t>and</w:t>
      </w:r>
    </w:p>
    <w:p w14:paraId="0DFDAC55" w14:textId="77777777" w:rsidR="00046465" w:rsidRDefault="008134EB">
      <w:pPr>
        <w:pStyle w:val="ListParagraph"/>
        <w:numPr>
          <w:ilvl w:val="1"/>
          <w:numId w:val="220"/>
        </w:numPr>
        <w:tabs>
          <w:tab w:val="left" w:pos="2159"/>
        </w:tabs>
        <w:spacing w:before="119"/>
        <w:ind w:right="720"/>
      </w:pPr>
      <w:r>
        <w:t>the</w:t>
      </w:r>
      <w:r>
        <w:rPr>
          <w:spacing w:val="-4"/>
        </w:rPr>
        <w:t xml:space="preserve"> </w:t>
      </w:r>
      <w:r>
        <w:t>assessment</w:t>
      </w:r>
      <w:r>
        <w:rPr>
          <w:spacing w:val="-4"/>
        </w:rPr>
        <w:t xml:space="preserve"> </w:t>
      </w:r>
      <w:r>
        <w:t>of</w:t>
      </w:r>
      <w:r>
        <w:rPr>
          <w:spacing w:val="-4"/>
        </w:rPr>
        <w:t xml:space="preserve"> </w:t>
      </w:r>
      <w:r>
        <w:t>unexpected</w:t>
      </w:r>
      <w:r>
        <w:rPr>
          <w:spacing w:val="-4"/>
        </w:rPr>
        <w:t xml:space="preserve"> </w:t>
      </w:r>
      <w:r>
        <w:t>events,</w:t>
      </w:r>
      <w:r>
        <w:rPr>
          <w:spacing w:val="-4"/>
        </w:rPr>
        <w:t xml:space="preserve"> </w:t>
      </w:r>
      <w:r>
        <w:t>changes</w:t>
      </w:r>
      <w:r>
        <w:rPr>
          <w:spacing w:val="-4"/>
        </w:rPr>
        <w:t xml:space="preserve"> </w:t>
      </w:r>
      <w:r>
        <w:t>in</w:t>
      </w:r>
      <w:r>
        <w:rPr>
          <w:spacing w:val="-4"/>
        </w:rPr>
        <w:t xml:space="preserve"> </w:t>
      </w:r>
      <w:r>
        <w:t>conditions,</w:t>
      </w:r>
      <w:r>
        <w:rPr>
          <w:spacing w:val="-4"/>
        </w:rPr>
        <w:t xml:space="preserve"> </w:t>
      </w:r>
      <w:r>
        <w:t>or</w:t>
      </w:r>
      <w:r>
        <w:rPr>
          <w:spacing w:val="-4"/>
        </w:rPr>
        <w:t xml:space="preserve"> </w:t>
      </w:r>
      <w:r>
        <w:t>the</w:t>
      </w:r>
      <w:r>
        <w:rPr>
          <w:spacing w:val="-4"/>
        </w:rPr>
        <w:t xml:space="preserve"> </w:t>
      </w:r>
      <w:r>
        <w:t>evidence obtained from the results of engagement procedures that indicate it may be necessary to reconsider the initial evaluation of the competence and qualifications of a specialist as the engagement progresses.</w:t>
      </w:r>
    </w:p>
    <w:p w14:paraId="0DFDAC56" w14:textId="77777777" w:rsidR="00046465" w:rsidRDefault="008134EB">
      <w:pPr>
        <w:pStyle w:val="ListParagraph"/>
        <w:numPr>
          <w:ilvl w:val="0"/>
          <w:numId w:val="220"/>
        </w:numPr>
        <w:tabs>
          <w:tab w:val="left" w:pos="1800"/>
        </w:tabs>
        <w:spacing w:before="121"/>
        <w:ind w:right="764"/>
      </w:pPr>
      <w:r>
        <w:t xml:space="preserve">When using the work of </w:t>
      </w:r>
      <w:r>
        <w:rPr>
          <w:b/>
        </w:rPr>
        <w:t>management’s specialists</w:t>
      </w:r>
      <w:r>
        <w:t>, the auditor may consider their competence with respect to relevant accounting requirements, for example, knowledge</w:t>
      </w:r>
      <w:r>
        <w:rPr>
          <w:spacing w:val="-6"/>
        </w:rPr>
        <w:t xml:space="preserve"> </w:t>
      </w:r>
      <w:r>
        <w:t>of</w:t>
      </w:r>
      <w:r>
        <w:rPr>
          <w:spacing w:val="-5"/>
        </w:rPr>
        <w:t xml:space="preserve"> </w:t>
      </w:r>
      <w:r>
        <w:t>assumptions</w:t>
      </w:r>
      <w:r>
        <w:rPr>
          <w:spacing w:val="-5"/>
        </w:rPr>
        <w:t xml:space="preserve"> </w:t>
      </w:r>
      <w:r>
        <w:t>and</w:t>
      </w:r>
      <w:r>
        <w:rPr>
          <w:spacing w:val="-5"/>
        </w:rPr>
        <w:t xml:space="preserve"> </w:t>
      </w:r>
      <w:r>
        <w:t>methods,</w:t>
      </w:r>
      <w:r>
        <w:rPr>
          <w:spacing w:val="-5"/>
        </w:rPr>
        <w:t xml:space="preserve"> </w:t>
      </w:r>
      <w:r>
        <w:t>including</w:t>
      </w:r>
      <w:r>
        <w:rPr>
          <w:spacing w:val="-5"/>
        </w:rPr>
        <w:t xml:space="preserve"> </w:t>
      </w:r>
      <w:r>
        <w:t>models,</w:t>
      </w:r>
      <w:r>
        <w:rPr>
          <w:spacing w:val="-5"/>
        </w:rPr>
        <w:t xml:space="preserve"> </w:t>
      </w:r>
      <w:r>
        <w:t>when</w:t>
      </w:r>
      <w:r>
        <w:rPr>
          <w:spacing w:val="-5"/>
        </w:rPr>
        <w:t xml:space="preserve"> </w:t>
      </w:r>
      <w:r>
        <w:t>applicable,</w:t>
      </w:r>
      <w:r>
        <w:rPr>
          <w:spacing w:val="-5"/>
        </w:rPr>
        <w:t xml:space="preserve"> </w:t>
      </w:r>
      <w:r>
        <w:t>that are consistent with the applicable financial reporting framework (generally U.S. GAAP) (AU-C 501.A76). Refer to AU-C 501.A73 through .A76 for additional guidance specific to management’s specialists.</w:t>
      </w:r>
    </w:p>
    <w:p w14:paraId="0DFDAC57" w14:textId="77777777" w:rsidR="00046465" w:rsidRDefault="008134EB">
      <w:pPr>
        <w:pStyle w:val="ListParagraph"/>
        <w:numPr>
          <w:ilvl w:val="0"/>
          <w:numId w:val="220"/>
        </w:numPr>
        <w:tabs>
          <w:tab w:val="left" w:pos="1799"/>
        </w:tabs>
        <w:ind w:left="1799" w:right="751" w:hanging="720"/>
      </w:pPr>
      <w:r>
        <w:t xml:space="preserve">The auditor should determine that </w:t>
      </w:r>
      <w:r>
        <w:rPr>
          <w:b/>
        </w:rPr>
        <w:t xml:space="preserve">external specialists </w:t>
      </w:r>
      <w:r>
        <w:t>(specialists who are hired/engaged from outside the auditor’s organization) assisting in performing a GAGAS engagement are qualified and competent in their areas of specialization (GAGAS (2018) 4.12). However, external specialists are not auditors subject to the</w:t>
      </w:r>
      <w:r>
        <w:rPr>
          <w:spacing w:val="-4"/>
        </w:rPr>
        <w:t xml:space="preserve"> </w:t>
      </w:r>
      <w:r>
        <w:t>GAGAS</w:t>
      </w:r>
      <w:r>
        <w:rPr>
          <w:spacing w:val="-3"/>
        </w:rPr>
        <w:t xml:space="preserve"> </w:t>
      </w:r>
      <w:r>
        <w:t>CPE</w:t>
      </w:r>
      <w:r>
        <w:rPr>
          <w:spacing w:val="-4"/>
        </w:rPr>
        <w:t xml:space="preserve"> </w:t>
      </w:r>
      <w:r>
        <w:t>requirements</w:t>
      </w:r>
      <w:r>
        <w:rPr>
          <w:spacing w:val="-3"/>
        </w:rPr>
        <w:t xml:space="preserve"> </w:t>
      </w:r>
      <w:r>
        <w:t>(GAGAS</w:t>
      </w:r>
      <w:r>
        <w:rPr>
          <w:spacing w:val="-4"/>
        </w:rPr>
        <w:t xml:space="preserve"> </w:t>
      </w:r>
      <w:r>
        <w:t>(2018)</w:t>
      </w:r>
      <w:r>
        <w:rPr>
          <w:spacing w:val="-4"/>
        </w:rPr>
        <w:t xml:space="preserve"> </w:t>
      </w:r>
      <w:r>
        <w:t>4.30).</w:t>
      </w:r>
      <w:r>
        <w:rPr>
          <w:spacing w:val="-4"/>
        </w:rPr>
        <w:t xml:space="preserve"> </w:t>
      </w:r>
      <w:r>
        <w:t>Auditors</w:t>
      </w:r>
      <w:r>
        <w:rPr>
          <w:spacing w:val="-4"/>
        </w:rPr>
        <w:t xml:space="preserve"> </w:t>
      </w:r>
      <w:r>
        <w:t>who</w:t>
      </w:r>
      <w:r>
        <w:rPr>
          <w:spacing w:val="-4"/>
        </w:rPr>
        <w:t xml:space="preserve"> </w:t>
      </w:r>
      <w:r>
        <w:t>use</w:t>
      </w:r>
      <w:r>
        <w:rPr>
          <w:spacing w:val="-4"/>
        </w:rPr>
        <w:t xml:space="preserve"> </w:t>
      </w:r>
      <w:r>
        <w:t>the</w:t>
      </w:r>
      <w:r>
        <w:rPr>
          <w:spacing w:val="-4"/>
        </w:rPr>
        <w:t xml:space="preserve"> </w:t>
      </w:r>
      <w:r>
        <w:t>work of external specialists should assess the professional qualifications of such specialists and document their findings and conclusions.</w:t>
      </w:r>
    </w:p>
    <w:p w14:paraId="0DFDAC58" w14:textId="77777777" w:rsidR="00046465" w:rsidRDefault="008134EB">
      <w:pPr>
        <w:pStyle w:val="ListParagraph"/>
        <w:numPr>
          <w:ilvl w:val="0"/>
          <w:numId w:val="220"/>
        </w:numPr>
        <w:tabs>
          <w:tab w:val="left" w:pos="1800"/>
        </w:tabs>
        <w:spacing w:before="119"/>
        <w:ind w:right="738" w:hanging="720"/>
      </w:pPr>
      <w:r>
        <w:t xml:space="preserve">The auditor should determine that </w:t>
      </w:r>
      <w:r>
        <w:rPr>
          <w:b/>
        </w:rPr>
        <w:t xml:space="preserve">internal specialists </w:t>
      </w:r>
      <w:r>
        <w:t>(specialists who are from within</w:t>
      </w:r>
      <w:r>
        <w:rPr>
          <w:spacing w:val="-4"/>
        </w:rPr>
        <w:t xml:space="preserve"> </w:t>
      </w:r>
      <w:r>
        <w:t>the</w:t>
      </w:r>
      <w:r>
        <w:rPr>
          <w:spacing w:val="-4"/>
        </w:rPr>
        <w:t xml:space="preserve"> </w:t>
      </w:r>
      <w:r>
        <w:t>auditor’s</w:t>
      </w:r>
      <w:r>
        <w:rPr>
          <w:spacing w:val="-4"/>
        </w:rPr>
        <w:t xml:space="preserve"> </w:t>
      </w:r>
      <w:r>
        <w:t>organization)</w:t>
      </w:r>
      <w:r>
        <w:rPr>
          <w:spacing w:val="-4"/>
        </w:rPr>
        <w:t xml:space="preserve"> </w:t>
      </w:r>
      <w:r>
        <w:t>assisting</w:t>
      </w:r>
      <w:r>
        <w:rPr>
          <w:spacing w:val="-3"/>
        </w:rPr>
        <w:t xml:space="preserve"> </w:t>
      </w:r>
      <w:r>
        <w:t>on</w:t>
      </w:r>
      <w:r>
        <w:rPr>
          <w:spacing w:val="-4"/>
        </w:rPr>
        <w:t xml:space="preserve"> </w:t>
      </w:r>
      <w:r>
        <w:t>a</w:t>
      </w:r>
      <w:r>
        <w:rPr>
          <w:spacing w:val="-5"/>
        </w:rPr>
        <w:t xml:space="preserve"> </w:t>
      </w:r>
      <w:r>
        <w:t>GAGAS</w:t>
      </w:r>
      <w:r>
        <w:rPr>
          <w:spacing w:val="-5"/>
        </w:rPr>
        <w:t xml:space="preserve"> </w:t>
      </w:r>
      <w:r>
        <w:t>engagement</w:t>
      </w:r>
      <w:r>
        <w:rPr>
          <w:spacing w:val="-4"/>
        </w:rPr>
        <w:t xml:space="preserve"> </w:t>
      </w:r>
      <w:r>
        <w:t>who</w:t>
      </w:r>
      <w:r>
        <w:rPr>
          <w:spacing w:val="-4"/>
        </w:rPr>
        <w:t xml:space="preserve"> </w:t>
      </w:r>
      <w:r>
        <w:t>are</w:t>
      </w:r>
      <w:r>
        <w:rPr>
          <w:spacing w:val="-4"/>
        </w:rPr>
        <w:t xml:space="preserve"> </w:t>
      </w:r>
      <w:r>
        <w:t>not involved in planning, directing, performing engagement procedures, or reporting on a GAGAS engagement, are qualified and competent in their areas of specialization (GAGAS (2018) 4.12). However, these internal specialists are not auditors subject to the GAGAS CPE requirements (GAGAS (2018) 4.30).</w:t>
      </w:r>
    </w:p>
    <w:p w14:paraId="0DFDAC59" w14:textId="77777777" w:rsidR="00046465" w:rsidRDefault="008134EB">
      <w:pPr>
        <w:pStyle w:val="ListParagraph"/>
        <w:numPr>
          <w:ilvl w:val="0"/>
          <w:numId w:val="220"/>
        </w:numPr>
        <w:tabs>
          <w:tab w:val="left" w:pos="1800"/>
        </w:tabs>
        <w:ind w:right="749"/>
      </w:pPr>
      <w:r>
        <w:t>The</w:t>
      </w:r>
      <w:r>
        <w:rPr>
          <w:spacing w:val="-3"/>
        </w:rPr>
        <w:t xml:space="preserve"> </w:t>
      </w:r>
      <w:r>
        <w:t>auditor</w:t>
      </w:r>
      <w:r>
        <w:rPr>
          <w:spacing w:val="-5"/>
        </w:rPr>
        <w:t xml:space="preserve"> </w:t>
      </w:r>
      <w:r>
        <w:t>should</w:t>
      </w:r>
      <w:r>
        <w:rPr>
          <w:spacing w:val="-3"/>
        </w:rPr>
        <w:t xml:space="preserve"> </w:t>
      </w:r>
      <w:r>
        <w:t>determine</w:t>
      </w:r>
      <w:r>
        <w:rPr>
          <w:spacing w:val="-3"/>
        </w:rPr>
        <w:t xml:space="preserve"> </w:t>
      </w:r>
      <w:r>
        <w:t>that</w:t>
      </w:r>
      <w:r>
        <w:rPr>
          <w:spacing w:val="-3"/>
        </w:rPr>
        <w:t xml:space="preserve"> </w:t>
      </w:r>
      <w:r>
        <w:rPr>
          <w:b/>
        </w:rPr>
        <w:t>internal</w:t>
      </w:r>
      <w:r>
        <w:rPr>
          <w:b/>
          <w:spacing w:val="-3"/>
        </w:rPr>
        <w:t xml:space="preserve"> </w:t>
      </w:r>
      <w:r>
        <w:rPr>
          <w:b/>
        </w:rPr>
        <w:t>specialists</w:t>
      </w:r>
      <w:r>
        <w:t>,</w:t>
      </w:r>
      <w:r>
        <w:rPr>
          <w:spacing w:val="-3"/>
        </w:rPr>
        <w:t xml:space="preserve"> </w:t>
      </w:r>
      <w:r>
        <w:t>who</w:t>
      </w:r>
      <w:r>
        <w:rPr>
          <w:spacing w:val="-3"/>
        </w:rPr>
        <w:t xml:space="preserve"> </w:t>
      </w:r>
      <w:r>
        <w:t>are</w:t>
      </w:r>
      <w:r>
        <w:rPr>
          <w:spacing w:val="-3"/>
        </w:rPr>
        <w:t xml:space="preserve"> </w:t>
      </w:r>
      <w:r>
        <w:t>performing</w:t>
      </w:r>
      <w:r>
        <w:rPr>
          <w:spacing w:val="-3"/>
        </w:rPr>
        <w:t xml:space="preserve"> </w:t>
      </w:r>
      <w:r>
        <w:t>work in</w:t>
      </w:r>
      <w:r>
        <w:rPr>
          <w:spacing w:val="-4"/>
        </w:rPr>
        <w:t xml:space="preserve"> </w:t>
      </w:r>
      <w:r>
        <w:t>accordance</w:t>
      </w:r>
      <w:r>
        <w:rPr>
          <w:spacing w:val="-4"/>
        </w:rPr>
        <w:t xml:space="preserve"> </w:t>
      </w:r>
      <w:r>
        <w:t>with</w:t>
      </w:r>
      <w:r>
        <w:rPr>
          <w:spacing w:val="-4"/>
        </w:rPr>
        <w:t xml:space="preserve"> </w:t>
      </w:r>
      <w:r>
        <w:t>GAGAS</w:t>
      </w:r>
      <w:r>
        <w:rPr>
          <w:spacing w:val="-4"/>
        </w:rPr>
        <w:t xml:space="preserve"> </w:t>
      </w:r>
      <w:r>
        <w:t>as</w:t>
      </w:r>
      <w:r>
        <w:rPr>
          <w:spacing w:val="-4"/>
        </w:rPr>
        <w:t xml:space="preserve"> </w:t>
      </w:r>
      <w:r>
        <w:t>part</w:t>
      </w:r>
      <w:r>
        <w:rPr>
          <w:spacing w:val="-3"/>
        </w:rPr>
        <w:t xml:space="preserve"> </w:t>
      </w:r>
      <w:r>
        <w:t>of</w:t>
      </w:r>
      <w:r>
        <w:rPr>
          <w:spacing w:val="-4"/>
        </w:rPr>
        <w:t xml:space="preserve"> </w:t>
      </w:r>
      <w:r>
        <w:t>the</w:t>
      </w:r>
      <w:r>
        <w:rPr>
          <w:spacing w:val="-4"/>
        </w:rPr>
        <w:t xml:space="preserve"> </w:t>
      </w:r>
      <w:r>
        <w:t>engagement</w:t>
      </w:r>
      <w:r>
        <w:rPr>
          <w:spacing w:val="-4"/>
        </w:rPr>
        <w:t xml:space="preserve"> </w:t>
      </w:r>
      <w:r>
        <w:t>team—including</w:t>
      </w:r>
      <w:r>
        <w:rPr>
          <w:spacing w:val="-4"/>
        </w:rPr>
        <w:t xml:space="preserve"> </w:t>
      </w:r>
      <w:r>
        <w:t>planning, directing, performing engagement procedures, or reporting on a GAGAS engagement—are considered auditors and are subject to the GAGAS CPE requirements (see GAGAS (2018) 4.16–4.53). The GAGAS CPE requirements become effective for internal specialists when an audit organization first assigns an internal specialist to an engagement. Because internal specialists apply specialized knowledge in government engagements, CPE in their areas of specialization qualifies under the requirement for 24 hours of CPE that directly relates to government auditing, the government environment, or the specific or unique environment in which the audited entity operates (GAGAS (2018) 4.31).</w:t>
      </w:r>
    </w:p>
    <w:p w14:paraId="0DFDAC5A" w14:textId="77777777" w:rsidR="00046465" w:rsidRDefault="008134EB">
      <w:pPr>
        <w:pStyle w:val="ListParagraph"/>
        <w:numPr>
          <w:ilvl w:val="0"/>
          <w:numId w:val="220"/>
        </w:numPr>
        <w:tabs>
          <w:tab w:val="left" w:pos="1800"/>
        </w:tabs>
        <w:spacing w:before="121"/>
        <w:ind w:right="745"/>
      </w:pPr>
      <w:r>
        <w:t xml:space="preserve">An auditor's </w:t>
      </w:r>
      <w:r>
        <w:rPr>
          <w:b/>
        </w:rPr>
        <w:t xml:space="preserve">internal specialist </w:t>
      </w:r>
      <w:r>
        <w:t>may be a partner or staff member, including a temporary</w:t>
      </w:r>
      <w:r>
        <w:rPr>
          <w:spacing w:val="-4"/>
        </w:rPr>
        <w:t xml:space="preserve"> </w:t>
      </w:r>
      <w:r>
        <w:t>staff</w:t>
      </w:r>
      <w:r>
        <w:rPr>
          <w:spacing w:val="-4"/>
        </w:rPr>
        <w:t xml:space="preserve"> </w:t>
      </w:r>
      <w:r>
        <w:t>member,</w:t>
      </w:r>
      <w:r>
        <w:rPr>
          <w:spacing w:val="-3"/>
        </w:rPr>
        <w:t xml:space="preserve"> </w:t>
      </w:r>
      <w:r>
        <w:t>of</w:t>
      </w:r>
      <w:r>
        <w:rPr>
          <w:spacing w:val="-4"/>
        </w:rPr>
        <w:t xml:space="preserve"> </w:t>
      </w:r>
      <w:r>
        <w:t>the</w:t>
      </w:r>
      <w:r>
        <w:rPr>
          <w:spacing w:val="-4"/>
        </w:rPr>
        <w:t xml:space="preserve"> </w:t>
      </w:r>
      <w:r>
        <w:t>auditor's</w:t>
      </w:r>
      <w:r>
        <w:rPr>
          <w:spacing w:val="-4"/>
        </w:rPr>
        <w:t xml:space="preserve"> </w:t>
      </w:r>
      <w:r>
        <w:t>organization</w:t>
      </w:r>
      <w:r>
        <w:rPr>
          <w:spacing w:val="-4"/>
        </w:rPr>
        <w:t xml:space="preserve"> </w:t>
      </w:r>
      <w:r>
        <w:t>and</w:t>
      </w:r>
      <w:r>
        <w:rPr>
          <w:spacing w:val="-4"/>
        </w:rPr>
        <w:t xml:space="preserve"> </w:t>
      </w:r>
      <w:r>
        <w:t>therefore</w:t>
      </w:r>
      <w:r>
        <w:rPr>
          <w:spacing w:val="-4"/>
        </w:rPr>
        <w:t xml:space="preserve"> </w:t>
      </w:r>
      <w:r>
        <w:t>subject</w:t>
      </w:r>
      <w:r>
        <w:rPr>
          <w:spacing w:val="-4"/>
        </w:rPr>
        <w:t xml:space="preserve"> </w:t>
      </w:r>
      <w:r>
        <w:t>to</w:t>
      </w:r>
      <w:r>
        <w:rPr>
          <w:spacing w:val="-4"/>
        </w:rPr>
        <w:t xml:space="preserve"> </w:t>
      </w:r>
      <w:r>
        <w:t>the competence quality control policies and procedures of that firm. (AU-C 620.A12) In accordance with AU-C 220A, auditors are entitled to rely on the organization’s system of quality control unless the auditor’s engagement partner determines that</w:t>
      </w:r>
      <w:r>
        <w:rPr>
          <w:spacing w:val="-3"/>
        </w:rPr>
        <w:t xml:space="preserve"> </w:t>
      </w:r>
      <w:r>
        <w:t>it</w:t>
      </w:r>
      <w:r>
        <w:rPr>
          <w:spacing w:val="-3"/>
        </w:rPr>
        <w:t xml:space="preserve"> </w:t>
      </w:r>
      <w:r>
        <w:t>is</w:t>
      </w:r>
      <w:r>
        <w:rPr>
          <w:spacing w:val="-4"/>
        </w:rPr>
        <w:t xml:space="preserve"> </w:t>
      </w:r>
      <w:r>
        <w:t>inappropriate</w:t>
      </w:r>
      <w:r>
        <w:rPr>
          <w:spacing w:val="-3"/>
        </w:rPr>
        <w:t xml:space="preserve"> </w:t>
      </w:r>
      <w:r>
        <w:t>to</w:t>
      </w:r>
      <w:r>
        <w:rPr>
          <w:spacing w:val="-3"/>
        </w:rPr>
        <w:t xml:space="preserve"> </w:t>
      </w:r>
      <w:r>
        <w:t>do</w:t>
      </w:r>
      <w:r>
        <w:rPr>
          <w:spacing w:val="-3"/>
        </w:rPr>
        <w:t xml:space="preserve"> </w:t>
      </w:r>
      <w:r>
        <w:t>so</w:t>
      </w:r>
      <w:r>
        <w:rPr>
          <w:spacing w:val="-3"/>
        </w:rPr>
        <w:t xml:space="preserve"> </w:t>
      </w:r>
      <w:r>
        <w:t>based</w:t>
      </w:r>
      <w:r>
        <w:rPr>
          <w:spacing w:val="-3"/>
        </w:rPr>
        <w:t xml:space="preserve"> </w:t>
      </w:r>
      <w:r>
        <w:t>on</w:t>
      </w:r>
      <w:r>
        <w:rPr>
          <w:spacing w:val="-3"/>
        </w:rPr>
        <w:t xml:space="preserve"> </w:t>
      </w:r>
      <w:r>
        <w:t>information</w:t>
      </w:r>
      <w:r>
        <w:rPr>
          <w:spacing w:val="-3"/>
        </w:rPr>
        <w:t xml:space="preserve"> </w:t>
      </w:r>
      <w:r>
        <w:t>provided</w:t>
      </w:r>
      <w:r>
        <w:rPr>
          <w:spacing w:val="-3"/>
        </w:rPr>
        <w:t xml:space="preserve"> </w:t>
      </w:r>
      <w:r>
        <w:t>by</w:t>
      </w:r>
      <w:r>
        <w:rPr>
          <w:spacing w:val="-3"/>
        </w:rPr>
        <w:t xml:space="preserve"> </w:t>
      </w:r>
      <w:r>
        <w:t>the</w:t>
      </w:r>
      <w:r>
        <w:rPr>
          <w:spacing w:val="-3"/>
        </w:rPr>
        <w:t xml:space="preserve"> </w:t>
      </w:r>
      <w:r>
        <w:t>organization or other parties. However, such reliance does not reduce the auditor’s</w:t>
      </w:r>
    </w:p>
    <w:p w14:paraId="0DFDAC5B" w14:textId="77777777" w:rsidR="00046465" w:rsidRDefault="00046465">
      <w:pPr>
        <w:pStyle w:val="ListParagraph"/>
        <w:sectPr w:rsidR="00046465">
          <w:pgSz w:w="12240" w:h="15840"/>
          <w:pgMar w:top="1340" w:right="720" w:bottom="940" w:left="1080" w:header="721" w:footer="757" w:gutter="0"/>
          <w:cols w:space="720"/>
        </w:sectPr>
      </w:pPr>
    </w:p>
    <w:p w14:paraId="0DFDAC5C" w14:textId="77777777" w:rsidR="00046465" w:rsidRDefault="008134EB">
      <w:pPr>
        <w:pStyle w:val="BodyText"/>
        <w:spacing w:before="121"/>
        <w:ind w:left="1800" w:right="1471"/>
      </w:pPr>
      <w:r>
        <w:lastRenderedPageBreak/>
        <w:t>responsibility</w:t>
      </w:r>
      <w:r>
        <w:rPr>
          <w:spacing w:val="-4"/>
        </w:rPr>
        <w:t xml:space="preserve"> </w:t>
      </w:r>
      <w:r>
        <w:t>to</w:t>
      </w:r>
      <w:r>
        <w:rPr>
          <w:spacing w:val="-4"/>
        </w:rPr>
        <w:t xml:space="preserve"> </w:t>
      </w:r>
      <w:r>
        <w:t>meet</w:t>
      </w:r>
      <w:r>
        <w:rPr>
          <w:spacing w:val="-4"/>
        </w:rPr>
        <w:t xml:space="preserve"> </w:t>
      </w:r>
      <w:r>
        <w:t>the</w:t>
      </w:r>
      <w:r>
        <w:rPr>
          <w:spacing w:val="-4"/>
        </w:rPr>
        <w:t xml:space="preserve"> </w:t>
      </w:r>
      <w:r>
        <w:t>requirements</w:t>
      </w:r>
      <w:r>
        <w:rPr>
          <w:spacing w:val="-4"/>
        </w:rPr>
        <w:t xml:space="preserve"> </w:t>
      </w:r>
      <w:r>
        <w:t>of</w:t>
      </w:r>
      <w:r>
        <w:rPr>
          <w:spacing w:val="-4"/>
        </w:rPr>
        <w:t xml:space="preserve"> </w:t>
      </w:r>
      <w:r>
        <w:t>this</w:t>
      </w:r>
      <w:r>
        <w:rPr>
          <w:spacing w:val="-4"/>
        </w:rPr>
        <w:t xml:space="preserve"> </w:t>
      </w:r>
      <w:r>
        <w:t>FAM</w:t>
      </w:r>
      <w:r>
        <w:rPr>
          <w:spacing w:val="-5"/>
        </w:rPr>
        <w:t xml:space="preserve"> </w:t>
      </w:r>
      <w:r>
        <w:t>section</w:t>
      </w:r>
      <w:r>
        <w:rPr>
          <w:spacing w:val="-4"/>
        </w:rPr>
        <w:t xml:space="preserve"> </w:t>
      </w:r>
      <w:r>
        <w:t>and</w:t>
      </w:r>
      <w:r>
        <w:rPr>
          <w:spacing w:val="-4"/>
        </w:rPr>
        <w:t xml:space="preserve"> </w:t>
      </w:r>
      <w:r>
        <w:t>AU-C</w:t>
      </w:r>
      <w:r>
        <w:rPr>
          <w:spacing w:val="-5"/>
        </w:rPr>
        <w:t xml:space="preserve"> </w:t>
      </w:r>
      <w:r>
        <w:t>620 (AU-C 620.A13).</w:t>
      </w:r>
    </w:p>
    <w:p w14:paraId="0DFDAC5D" w14:textId="77777777" w:rsidR="00046465" w:rsidRDefault="008134EB">
      <w:pPr>
        <w:spacing w:before="241"/>
        <w:ind w:left="1080"/>
        <w:rPr>
          <w:b/>
          <w:sz w:val="24"/>
        </w:rPr>
      </w:pPr>
      <w:bookmarkStart w:id="21" w:name="Service_Auditors"/>
      <w:bookmarkEnd w:id="21"/>
      <w:r>
        <w:rPr>
          <w:b/>
          <w:sz w:val="24"/>
        </w:rPr>
        <w:t>Service</w:t>
      </w:r>
      <w:r>
        <w:rPr>
          <w:b/>
          <w:spacing w:val="-4"/>
          <w:sz w:val="24"/>
        </w:rPr>
        <w:t xml:space="preserve"> </w:t>
      </w:r>
      <w:r>
        <w:rPr>
          <w:b/>
          <w:spacing w:val="-2"/>
          <w:sz w:val="24"/>
        </w:rPr>
        <w:t>Auditors</w:t>
      </w:r>
    </w:p>
    <w:p w14:paraId="0DFDAC5E" w14:textId="77777777" w:rsidR="00046465" w:rsidRDefault="008134EB">
      <w:pPr>
        <w:pStyle w:val="ListParagraph"/>
        <w:numPr>
          <w:ilvl w:val="0"/>
          <w:numId w:val="220"/>
        </w:numPr>
        <w:tabs>
          <w:tab w:val="left" w:pos="1800"/>
        </w:tabs>
        <w:spacing w:before="118"/>
        <w:ind w:right="738"/>
      </w:pPr>
      <w:r>
        <w:t>The auditor is not required to assess the competence of the individual team members working on a service organization audit. If the auditor is satisfied with the service auditor firm’s competence (see FAM 615.20), then no further procedures</w:t>
      </w:r>
      <w:r>
        <w:rPr>
          <w:spacing w:val="-4"/>
        </w:rPr>
        <w:t xml:space="preserve"> </w:t>
      </w:r>
      <w:r>
        <w:t>are</w:t>
      </w:r>
      <w:r>
        <w:rPr>
          <w:spacing w:val="-4"/>
        </w:rPr>
        <w:t xml:space="preserve"> </w:t>
      </w:r>
      <w:r>
        <w:t>necessary.</w:t>
      </w:r>
      <w:r>
        <w:rPr>
          <w:spacing w:val="-4"/>
        </w:rPr>
        <w:t xml:space="preserve"> </w:t>
      </w:r>
      <w:r>
        <w:t>However,</w:t>
      </w:r>
      <w:r>
        <w:rPr>
          <w:spacing w:val="-4"/>
        </w:rPr>
        <w:t xml:space="preserve"> </w:t>
      </w:r>
      <w:r>
        <w:t>if</w:t>
      </w:r>
      <w:r>
        <w:rPr>
          <w:spacing w:val="-4"/>
        </w:rPr>
        <w:t xml:space="preserve"> </w:t>
      </w:r>
      <w:r>
        <w:t>the</w:t>
      </w:r>
      <w:r>
        <w:rPr>
          <w:spacing w:val="-4"/>
        </w:rPr>
        <w:t xml:space="preserve"> </w:t>
      </w:r>
      <w:r>
        <w:t>auditor</w:t>
      </w:r>
      <w:r>
        <w:rPr>
          <w:spacing w:val="-4"/>
        </w:rPr>
        <w:t xml:space="preserve"> </w:t>
      </w:r>
      <w:r>
        <w:t>is</w:t>
      </w:r>
      <w:r>
        <w:rPr>
          <w:spacing w:val="-4"/>
        </w:rPr>
        <w:t xml:space="preserve"> </w:t>
      </w:r>
      <w:r>
        <w:t>not</w:t>
      </w:r>
      <w:r>
        <w:rPr>
          <w:spacing w:val="-4"/>
        </w:rPr>
        <w:t xml:space="preserve"> </w:t>
      </w:r>
      <w:r>
        <w:t>satisfied</w:t>
      </w:r>
      <w:r>
        <w:rPr>
          <w:spacing w:val="-4"/>
        </w:rPr>
        <w:t xml:space="preserve"> </w:t>
      </w:r>
      <w:r>
        <w:t>with</w:t>
      </w:r>
      <w:r>
        <w:rPr>
          <w:spacing w:val="-4"/>
        </w:rPr>
        <w:t xml:space="preserve"> </w:t>
      </w:r>
      <w:r>
        <w:t>the</w:t>
      </w:r>
      <w:r>
        <w:rPr>
          <w:spacing w:val="-4"/>
        </w:rPr>
        <w:t xml:space="preserve"> </w:t>
      </w:r>
      <w:r>
        <w:t>service auditor firm’s competence, the auditor may make inquiries to the entity under audit regarding the service organization’s individual team members’ competence (see FAM 615.25).</w:t>
      </w:r>
    </w:p>
    <w:p w14:paraId="0DFDAC5F" w14:textId="77777777" w:rsidR="00046465" w:rsidRDefault="008134EB">
      <w:pPr>
        <w:pStyle w:val="Heading4"/>
      </w:pPr>
      <w:r>
        <w:rPr>
          <w:spacing w:val="-2"/>
        </w:rPr>
        <w:t>Documentation</w:t>
      </w:r>
    </w:p>
    <w:p w14:paraId="0DFDAC60" w14:textId="77777777" w:rsidR="00046465" w:rsidRDefault="008134EB">
      <w:pPr>
        <w:pStyle w:val="ListParagraph"/>
        <w:numPr>
          <w:ilvl w:val="0"/>
          <w:numId w:val="220"/>
        </w:numPr>
        <w:tabs>
          <w:tab w:val="left" w:pos="1800"/>
        </w:tabs>
        <w:spacing w:before="119"/>
        <w:ind w:right="971"/>
      </w:pPr>
      <w:r>
        <w:t>The</w:t>
      </w:r>
      <w:r>
        <w:rPr>
          <w:spacing w:val="-4"/>
        </w:rPr>
        <w:t xml:space="preserve"> </w:t>
      </w:r>
      <w:r>
        <w:t>auditor</w:t>
      </w:r>
      <w:r>
        <w:rPr>
          <w:spacing w:val="-6"/>
        </w:rPr>
        <w:t xml:space="preserve"> </w:t>
      </w:r>
      <w:r>
        <w:t>should</w:t>
      </w:r>
      <w:r>
        <w:rPr>
          <w:spacing w:val="-4"/>
        </w:rPr>
        <w:t xml:space="preserve"> </w:t>
      </w:r>
      <w:r>
        <w:t>document</w:t>
      </w:r>
      <w:r>
        <w:rPr>
          <w:spacing w:val="-4"/>
        </w:rPr>
        <w:t xml:space="preserve"> </w:t>
      </w:r>
      <w:r>
        <w:t>the</w:t>
      </w:r>
      <w:r>
        <w:rPr>
          <w:spacing w:val="-4"/>
        </w:rPr>
        <w:t xml:space="preserve"> </w:t>
      </w:r>
      <w:r>
        <w:t>work</w:t>
      </w:r>
      <w:r>
        <w:rPr>
          <w:spacing w:val="-4"/>
        </w:rPr>
        <w:t xml:space="preserve"> </w:t>
      </w:r>
      <w:r>
        <w:t>performed</w:t>
      </w:r>
      <w:r>
        <w:rPr>
          <w:spacing w:val="-4"/>
        </w:rPr>
        <w:t xml:space="preserve"> </w:t>
      </w:r>
      <w:r>
        <w:t>and</w:t>
      </w:r>
      <w:r>
        <w:rPr>
          <w:spacing w:val="-4"/>
        </w:rPr>
        <w:t xml:space="preserve"> </w:t>
      </w:r>
      <w:r>
        <w:t>the</w:t>
      </w:r>
      <w:r>
        <w:rPr>
          <w:spacing w:val="-4"/>
        </w:rPr>
        <w:t xml:space="preserve"> </w:t>
      </w:r>
      <w:r>
        <w:t>conclusions</w:t>
      </w:r>
      <w:r>
        <w:rPr>
          <w:spacing w:val="-4"/>
        </w:rPr>
        <w:t xml:space="preserve"> </w:t>
      </w:r>
      <w:r>
        <w:t xml:space="preserve">reached as to the other auditors’ or specialists’ firm’s independence, objectivity, and qualifications, as well as that of the individual team members of the other auditors’ or specialists’ firms. The auditor should also document whether the other auditors’ or specialists’ individual team members have any significant threats to independence and whether necessary safeguards were applied </w:t>
      </w:r>
      <w:r>
        <w:rPr>
          <w:color w:val="242424"/>
        </w:rPr>
        <w:t>to eliminate those threats or reduce to an acceptable level</w:t>
      </w:r>
      <w:r>
        <w:t>. See GAGAS (2018)</w:t>
      </w:r>
    </w:p>
    <w:p w14:paraId="0DFDAC61" w14:textId="77777777" w:rsidR="00046465" w:rsidRDefault="008134EB">
      <w:pPr>
        <w:pStyle w:val="BodyText"/>
        <w:spacing w:before="1"/>
        <w:ind w:left="1800" w:right="749"/>
        <w:rPr>
          <w:position w:val="7"/>
          <w:sz w:val="14"/>
        </w:rPr>
      </w:pPr>
      <w:r>
        <w:t>3.32 for additional information. The documentation should indicate the auditor’s conclusion as to whether the other auditors or specialists are independent, objective, and qualified to perform the tasks required and the basis for that conclusion. If the auditor has questions or concerns about the other auditors’ or specialists’ independence, objectivity, or qualifications, the auditor must provide the</w:t>
      </w:r>
      <w:r>
        <w:rPr>
          <w:spacing w:val="-3"/>
        </w:rPr>
        <w:t xml:space="preserve"> </w:t>
      </w:r>
      <w:r>
        <w:t>related</w:t>
      </w:r>
      <w:r>
        <w:rPr>
          <w:spacing w:val="-3"/>
        </w:rPr>
        <w:t xml:space="preserve"> </w:t>
      </w:r>
      <w:r>
        <w:t>documentation</w:t>
      </w:r>
      <w:r>
        <w:rPr>
          <w:spacing w:val="-3"/>
        </w:rPr>
        <w:t xml:space="preserve"> </w:t>
      </w:r>
      <w:r>
        <w:t>to</w:t>
      </w:r>
      <w:r>
        <w:rPr>
          <w:spacing w:val="-3"/>
        </w:rPr>
        <w:t xml:space="preserve"> </w:t>
      </w:r>
      <w:r>
        <w:t>the</w:t>
      </w:r>
      <w:r>
        <w:rPr>
          <w:spacing w:val="-3"/>
        </w:rPr>
        <w:t xml:space="preserve"> </w:t>
      </w:r>
      <w:r>
        <w:t>reviewer</w:t>
      </w:r>
      <w:r>
        <w:rPr>
          <w:spacing w:val="-3"/>
        </w:rPr>
        <w:t xml:space="preserve"> </w:t>
      </w:r>
      <w:r>
        <w:t>in</w:t>
      </w:r>
      <w:r>
        <w:rPr>
          <w:spacing w:val="-3"/>
        </w:rPr>
        <w:t xml:space="preserve"> </w:t>
      </w:r>
      <w:r>
        <w:t>a</w:t>
      </w:r>
      <w:r>
        <w:rPr>
          <w:spacing w:val="-3"/>
        </w:rPr>
        <w:t xml:space="preserve"> </w:t>
      </w:r>
      <w:r>
        <w:t>timely</w:t>
      </w:r>
      <w:r>
        <w:rPr>
          <w:spacing w:val="-3"/>
        </w:rPr>
        <w:t xml:space="preserve"> </w:t>
      </w:r>
      <w:r>
        <w:t>manner</w:t>
      </w:r>
      <w:r>
        <w:rPr>
          <w:spacing w:val="-3"/>
        </w:rPr>
        <w:t xml:space="preserve"> </w:t>
      </w:r>
      <w:r>
        <w:t>to</w:t>
      </w:r>
      <w:r>
        <w:rPr>
          <w:spacing w:val="-3"/>
        </w:rPr>
        <w:t xml:space="preserve"> </w:t>
      </w:r>
      <w:r>
        <w:t>allow</w:t>
      </w:r>
      <w:r>
        <w:rPr>
          <w:spacing w:val="-4"/>
        </w:rPr>
        <w:t xml:space="preserve"> </w:t>
      </w:r>
      <w:r>
        <w:t>any</w:t>
      </w:r>
      <w:r>
        <w:rPr>
          <w:spacing w:val="-3"/>
        </w:rPr>
        <w:t xml:space="preserve"> </w:t>
      </w:r>
      <w:r>
        <w:t>issues to be promptly identified and resolved.</w:t>
      </w:r>
      <w:hyperlink w:anchor="_bookmark7" w:history="1">
        <w:r>
          <w:rPr>
            <w:position w:val="7"/>
            <w:sz w:val="14"/>
          </w:rPr>
          <w:t>5</w:t>
        </w:r>
      </w:hyperlink>
    </w:p>
    <w:p w14:paraId="0DFDAC62" w14:textId="77777777" w:rsidR="00046465" w:rsidRDefault="008134EB">
      <w:pPr>
        <w:pStyle w:val="ListParagraph"/>
        <w:numPr>
          <w:ilvl w:val="0"/>
          <w:numId w:val="220"/>
        </w:numPr>
        <w:tabs>
          <w:tab w:val="left" w:pos="1797"/>
          <w:tab w:val="left" w:pos="1799"/>
        </w:tabs>
        <w:ind w:left="1799" w:right="1179"/>
        <w:jc w:val="both"/>
      </w:pPr>
      <w:r>
        <w:t>If</w:t>
      </w:r>
      <w:r>
        <w:rPr>
          <w:spacing w:val="-2"/>
        </w:rPr>
        <w:t xml:space="preserve"> </w:t>
      </w:r>
      <w:r>
        <w:t>the</w:t>
      </w:r>
      <w:r>
        <w:rPr>
          <w:spacing w:val="-2"/>
        </w:rPr>
        <w:t xml:space="preserve"> </w:t>
      </w:r>
      <w:r>
        <w:t>auditor</w:t>
      </w:r>
      <w:r>
        <w:rPr>
          <w:spacing w:val="-3"/>
        </w:rPr>
        <w:t xml:space="preserve"> </w:t>
      </w:r>
      <w:r>
        <w:t>has</w:t>
      </w:r>
      <w:r>
        <w:rPr>
          <w:spacing w:val="-2"/>
        </w:rPr>
        <w:t xml:space="preserve"> </w:t>
      </w:r>
      <w:r>
        <w:t>significant</w:t>
      </w:r>
      <w:r>
        <w:rPr>
          <w:spacing w:val="-2"/>
        </w:rPr>
        <w:t xml:space="preserve"> </w:t>
      </w:r>
      <w:r>
        <w:t>concerns</w:t>
      </w:r>
      <w:r>
        <w:rPr>
          <w:spacing w:val="-2"/>
        </w:rPr>
        <w:t xml:space="preserve"> </w:t>
      </w:r>
      <w:r>
        <w:t>about</w:t>
      </w:r>
      <w:r>
        <w:rPr>
          <w:spacing w:val="-2"/>
        </w:rPr>
        <w:t xml:space="preserve"> </w:t>
      </w:r>
      <w:r>
        <w:t>the</w:t>
      </w:r>
      <w:r>
        <w:rPr>
          <w:spacing w:val="-3"/>
        </w:rPr>
        <w:t xml:space="preserve"> </w:t>
      </w:r>
      <w:r>
        <w:t>other</w:t>
      </w:r>
      <w:r>
        <w:rPr>
          <w:spacing w:val="-2"/>
        </w:rPr>
        <w:t xml:space="preserve"> </w:t>
      </w:r>
      <w:r>
        <w:t>auditors’</w:t>
      </w:r>
      <w:r>
        <w:rPr>
          <w:spacing w:val="-2"/>
        </w:rPr>
        <w:t xml:space="preserve"> </w:t>
      </w:r>
      <w:r>
        <w:t>or</w:t>
      </w:r>
      <w:r>
        <w:rPr>
          <w:spacing w:val="-2"/>
        </w:rPr>
        <w:t xml:space="preserve"> </w:t>
      </w:r>
      <w:r>
        <w:t>specialists’ independence,</w:t>
      </w:r>
      <w:r>
        <w:rPr>
          <w:spacing w:val="-5"/>
        </w:rPr>
        <w:t xml:space="preserve"> </w:t>
      </w:r>
      <w:r>
        <w:t>objectivity,</w:t>
      </w:r>
      <w:r>
        <w:rPr>
          <w:spacing w:val="-5"/>
        </w:rPr>
        <w:t xml:space="preserve"> </w:t>
      </w:r>
      <w:r>
        <w:t>or</w:t>
      </w:r>
      <w:r>
        <w:rPr>
          <w:spacing w:val="-5"/>
        </w:rPr>
        <w:t xml:space="preserve"> </w:t>
      </w:r>
      <w:r>
        <w:t>qualifications,</w:t>
      </w:r>
      <w:r>
        <w:rPr>
          <w:spacing w:val="-5"/>
        </w:rPr>
        <w:t xml:space="preserve"> </w:t>
      </w:r>
      <w:r>
        <w:t>the</w:t>
      </w:r>
      <w:r>
        <w:rPr>
          <w:spacing w:val="-5"/>
        </w:rPr>
        <w:t xml:space="preserve"> </w:t>
      </w:r>
      <w:r>
        <w:t>auditor</w:t>
      </w:r>
      <w:r>
        <w:rPr>
          <w:spacing w:val="-5"/>
        </w:rPr>
        <w:t xml:space="preserve"> </w:t>
      </w:r>
      <w:r>
        <w:t>should</w:t>
      </w:r>
      <w:r>
        <w:rPr>
          <w:spacing w:val="-5"/>
        </w:rPr>
        <w:t xml:space="preserve"> </w:t>
      </w:r>
      <w:r>
        <w:t>revise</w:t>
      </w:r>
      <w:r>
        <w:rPr>
          <w:spacing w:val="-5"/>
        </w:rPr>
        <w:t xml:space="preserve"> </w:t>
      </w:r>
      <w:r>
        <w:t>its</w:t>
      </w:r>
      <w:r>
        <w:rPr>
          <w:spacing w:val="-6"/>
        </w:rPr>
        <w:t xml:space="preserve"> </w:t>
      </w:r>
      <w:r>
        <w:t>audit strategy. For example, the auditor may</w:t>
      </w:r>
    </w:p>
    <w:p w14:paraId="0DFDAC63" w14:textId="77777777" w:rsidR="00046465" w:rsidRDefault="008134EB">
      <w:pPr>
        <w:pStyle w:val="ListParagraph"/>
        <w:numPr>
          <w:ilvl w:val="1"/>
          <w:numId w:val="220"/>
        </w:numPr>
        <w:tabs>
          <w:tab w:val="left" w:pos="2158"/>
        </w:tabs>
        <w:spacing w:before="119"/>
        <w:ind w:left="2158" w:hanging="359"/>
      </w:pPr>
      <w:r>
        <w:t>perform</w:t>
      </w:r>
      <w:r>
        <w:rPr>
          <w:spacing w:val="-6"/>
        </w:rPr>
        <w:t xml:space="preserve"> </w:t>
      </w:r>
      <w:r>
        <w:t>a</w:t>
      </w:r>
      <w:r>
        <w:rPr>
          <w:spacing w:val="-5"/>
        </w:rPr>
        <w:t xml:space="preserve"> </w:t>
      </w:r>
      <w:r>
        <w:t>more</w:t>
      </w:r>
      <w:r>
        <w:rPr>
          <w:spacing w:val="-5"/>
        </w:rPr>
        <w:t xml:space="preserve"> </w:t>
      </w:r>
      <w:r>
        <w:t>detailed</w:t>
      </w:r>
      <w:r>
        <w:rPr>
          <w:spacing w:val="-6"/>
        </w:rPr>
        <w:t xml:space="preserve"> </w:t>
      </w:r>
      <w:r>
        <w:t>review</w:t>
      </w:r>
      <w:r>
        <w:rPr>
          <w:spacing w:val="-6"/>
        </w:rPr>
        <w:t xml:space="preserve"> </w:t>
      </w:r>
      <w:r>
        <w:t>of</w:t>
      </w:r>
      <w:r>
        <w:rPr>
          <w:spacing w:val="-4"/>
        </w:rPr>
        <w:t xml:space="preserve"> </w:t>
      </w:r>
      <w:r>
        <w:t>the</w:t>
      </w:r>
      <w:r>
        <w:rPr>
          <w:spacing w:val="-5"/>
        </w:rPr>
        <w:t xml:space="preserve"> </w:t>
      </w:r>
      <w:r>
        <w:rPr>
          <w:spacing w:val="-2"/>
        </w:rPr>
        <w:t>documentation,</w:t>
      </w:r>
    </w:p>
    <w:p w14:paraId="0DFDAC64" w14:textId="77777777" w:rsidR="00046465" w:rsidRDefault="008134EB">
      <w:pPr>
        <w:pStyle w:val="ListParagraph"/>
        <w:numPr>
          <w:ilvl w:val="1"/>
          <w:numId w:val="220"/>
        </w:numPr>
        <w:tabs>
          <w:tab w:val="left" w:pos="2159"/>
        </w:tabs>
        <w:ind w:right="1919"/>
      </w:pPr>
      <w:r>
        <w:t>perform</w:t>
      </w:r>
      <w:r>
        <w:rPr>
          <w:spacing w:val="-5"/>
        </w:rPr>
        <w:t xml:space="preserve"> </w:t>
      </w:r>
      <w:r>
        <w:t>supplemental</w:t>
      </w:r>
      <w:r>
        <w:rPr>
          <w:spacing w:val="-4"/>
        </w:rPr>
        <w:t xml:space="preserve"> </w:t>
      </w:r>
      <w:r>
        <w:t>tests</w:t>
      </w:r>
      <w:r>
        <w:rPr>
          <w:spacing w:val="-4"/>
        </w:rPr>
        <w:t xml:space="preserve"> </w:t>
      </w:r>
      <w:r>
        <w:t>for</w:t>
      </w:r>
      <w:r>
        <w:rPr>
          <w:spacing w:val="-4"/>
        </w:rPr>
        <w:t xml:space="preserve"> </w:t>
      </w:r>
      <w:r>
        <w:t>material</w:t>
      </w:r>
      <w:r>
        <w:rPr>
          <w:spacing w:val="-4"/>
        </w:rPr>
        <w:t xml:space="preserve"> </w:t>
      </w:r>
      <w:r>
        <w:t>line</w:t>
      </w:r>
      <w:r>
        <w:rPr>
          <w:spacing w:val="-5"/>
        </w:rPr>
        <w:t xml:space="preserve"> </w:t>
      </w:r>
      <w:r>
        <w:t>items,</w:t>
      </w:r>
      <w:r>
        <w:rPr>
          <w:spacing w:val="-4"/>
        </w:rPr>
        <w:t xml:space="preserve"> </w:t>
      </w:r>
      <w:r>
        <w:t>accounts,</w:t>
      </w:r>
      <w:r>
        <w:rPr>
          <w:spacing w:val="-7"/>
        </w:rPr>
        <w:t xml:space="preserve"> </w:t>
      </w:r>
      <w:r>
        <w:t>note disclosures, or classes of transactions;</w:t>
      </w:r>
    </w:p>
    <w:p w14:paraId="0DFDAC65" w14:textId="77777777" w:rsidR="00046465" w:rsidRDefault="008134EB">
      <w:pPr>
        <w:pStyle w:val="ListParagraph"/>
        <w:numPr>
          <w:ilvl w:val="1"/>
          <w:numId w:val="220"/>
        </w:numPr>
        <w:tabs>
          <w:tab w:val="left" w:pos="2158"/>
        </w:tabs>
        <w:spacing w:before="121"/>
        <w:ind w:left="2158" w:hanging="359"/>
      </w:pPr>
      <w:r>
        <w:t>contract</w:t>
      </w:r>
      <w:r>
        <w:rPr>
          <w:spacing w:val="-8"/>
        </w:rPr>
        <w:t xml:space="preserve"> </w:t>
      </w:r>
      <w:r>
        <w:t>with</w:t>
      </w:r>
      <w:r>
        <w:rPr>
          <w:spacing w:val="-7"/>
        </w:rPr>
        <w:t xml:space="preserve"> </w:t>
      </w:r>
      <w:r>
        <w:t>another</w:t>
      </w:r>
      <w:r>
        <w:rPr>
          <w:spacing w:val="-8"/>
        </w:rPr>
        <w:t xml:space="preserve"> </w:t>
      </w:r>
      <w:r>
        <w:rPr>
          <w:spacing w:val="-4"/>
        </w:rPr>
        <w:t>firm;</w:t>
      </w:r>
    </w:p>
    <w:p w14:paraId="0DFDAC66" w14:textId="77777777" w:rsidR="00046465" w:rsidRDefault="008134EB">
      <w:pPr>
        <w:pStyle w:val="ListParagraph"/>
        <w:numPr>
          <w:ilvl w:val="1"/>
          <w:numId w:val="220"/>
        </w:numPr>
        <w:tabs>
          <w:tab w:val="left" w:pos="2159"/>
        </w:tabs>
        <w:ind w:right="1173"/>
      </w:pPr>
      <w:r>
        <w:t>ask</w:t>
      </w:r>
      <w:r>
        <w:rPr>
          <w:spacing w:val="-4"/>
        </w:rPr>
        <w:t xml:space="preserve"> </w:t>
      </w:r>
      <w:r>
        <w:t>the</w:t>
      </w:r>
      <w:r>
        <w:rPr>
          <w:spacing w:val="-4"/>
        </w:rPr>
        <w:t xml:space="preserve"> </w:t>
      </w:r>
      <w:r>
        <w:t>other</w:t>
      </w:r>
      <w:r>
        <w:rPr>
          <w:spacing w:val="-4"/>
        </w:rPr>
        <w:t xml:space="preserve"> </w:t>
      </w:r>
      <w:r>
        <w:t>auditors</w:t>
      </w:r>
      <w:r>
        <w:rPr>
          <w:spacing w:val="-4"/>
        </w:rPr>
        <w:t xml:space="preserve"> </w:t>
      </w:r>
      <w:r>
        <w:t>to</w:t>
      </w:r>
      <w:r>
        <w:rPr>
          <w:spacing w:val="-5"/>
        </w:rPr>
        <w:t xml:space="preserve"> </w:t>
      </w:r>
      <w:r>
        <w:t>substitute</w:t>
      </w:r>
      <w:r>
        <w:rPr>
          <w:spacing w:val="-4"/>
        </w:rPr>
        <w:t xml:space="preserve"> </w:t>
      </w:r>
      <w:r>
        <w:t>more</w:t>
      </w:r>
      <w:r>
        <w:rPr>
          <w:spacing w:val="-4"/>
        </w:rPr>
        <w:t xml:space="preserve"> </w:t>
      </w:r>
      <w:r>
        <w:t>highly</w:t>
      </w:r>
      <w:r>
        <w:rPr>
          <w:spacing w:val="-4"/>
        </w:rPr>
        <w:t xml:space="preserve"> </w:t>
      </w:r>
      <w:r>
        <w:t>qualified</w:t>
      </w:r>
      <w:r>
        <w:rPr>
          <w:spacing w:val="-4"/>
        </w:rPr>
        <w:t xml:space="preserve"> </w:t>
      </w:r>
      <w:r>
        <w:t>or</w:t>
      </w:r>
      <w:r>
        <w:rPr>
          <w:spacing w:val="-4"/>
        </w:rPr>
        <w:t xml:space="preserve"> </w:t>
      </w:r>
      <w:r>
        <w:t>objective</w:t>
      </w:r>
      <w:r>
        <w:rPr>
          <w:spacing w:val="-5"/>
        </w:rPr>
        <w:t xml:space="preserve"> </w:t>
      </w:r>
      <w:r>
        <w:t xml:space="preserve">staff </w:t>
      </w:r>
      <w:r>
        <w:rPr>
          <w:spacing w:val="-2"/>
        </w:rPr>
        <w:t>members;</w:t>
      </w:r>
    </w:p>
    <w:p w14:paraId="0DFDAC67" w14:textId="77777777" w:rsidR="00046465" w:rsidRDefault="008134EB">
      <w:pPr>
        <w:pStyle w:val="ListParagraph"/>
        <w:numPr>
          <w:ilvl w:val="1"/>
          <w:numId w:val="220"/>
        </w:numPr>
        <w:tabs>
          <w:tab w:val="left" w:pos="2159"/>
        </w:tabs>
        <w:spacing w:before="119"/>
        <w:ind w:right="1126"/>
      </w:pPr>
      <w:r>
        <w:t>perform</w:t>
      </w:r>
      <w:r>
        <w:rPr>
          <w:spacing w:val="-5"/>
        </w:rPr>
        <w:t xml:space="preserve"> </w:t>
      </w:r>
      <w:r>
        <w:t>the</w:t>
      </w:r>
      <w:r>
        <w:rPr>
          <w:spacing w:val="-4"/>
        </w:rPr>
        <w:t xml:space="preserve"> </w:t>
      </w:r>
      <w:r>
        <w:t>audit</w:t>
      </w:r>
      <w:r>
        <w:rPr>
          <w:spacing w:val="-4"/>
        </w:rPr>
        <w:t xml:space="preserve"> </w:t>
      </w:r>
      <w:r>
        <w:t>without</w:t>
      </w:r>
      <w:r>
        <w:rPr>
          <w:spacing w:val="-4"/>
        </w:rPr>
        <w:t xml:space="preserve"> </w:t>
      </w:r>
      <w:r>
        <w:t>using</w:t>
      </w:r>
      <w:r>
        <w:rPr>
          <w:spacing w:val="-4"/>
        </w:rPr>
        <w:t xml:space="preserve"> </w:t>
      </w:r>
      <w:r>
        <w:t>the</w:t>
      </w:r>
      <w:r>
        <w:rPr>
          <w:spacing w:val="-4"/>
        </w:rPr>
        <w:t xml:space="preserve"> </w:t>
      </w:r>
      <w:r>
        <w:t>other</w:t>
      </w:r>
      <w:r>
        <w:rPr>
          <w:spacing w:val="-4"/>
        </w:rPr>
        <w:t xml:space="preserve"> </w:t>
      </w:r>
      <w:r>
        <w:t>auditors’</w:t>
      </w:r>
      <w:r>
        <w:rPr>
          <w:spacing w:val="-4"/>
        </w:rPr>
        <w:t xml:space="preserve"> </w:t>
      </w:r>
      <w:r>
        <w:t>work,</w:t>
      </w:r>
      <w:r>
        <w:rPr>
          <w:spacing w:val="-4"/>
        </w:rPr>
        <w:t xml:space="preserve"> </w:t>
      </w:r>
      <w:r>
        <w:t>treating</w:t>
      </w:r>
      <w:r>
        <w:rPr>
          <w:spacing w:val="-4"/>
        </w:rPr>
        <w:t xml:space="preserve"> </w:t>
      </w:r>
      <w:r>
        <w:t>any</w:t>
      </w:r>
      <w:r>
        <w:rPr>
          <w:spacing w:val="-4"/>
        </w:rPr>
        <w:t xml:space="preserve"> </w:t>
      </w:r>
      <w:r>
        <w:t>work done by the other auditors as prepared by the audited entity;</w:t>
      </w:r>
    </w:p>
    <w:p w14:paraId="0DFDAC68" w14:textId="77777777" w:rsidR="00046465" w:rsidRDefault="008134EB">
      <w:pPr>
        <w:pStyle w:val="ListParagraph"/>
        <w:numPr>
          <w:ilvl w:val="1"/>
          <w:numId w:val="220"/>
        </w:numPr>
        <w:tabs>
          <w:tab w:val="left" w:pos="2159"/>
        </w:tabs>
        <w:ind w:right="1404"/>
      </w:pPr>
      <w:r>
        <w:t>divide</w:t>
      </w:r>
      <w:r>
        <w:rPr>
          <w:spacing w:val="-3"/>
        </w:rPr>
        <w:t xml:space="preserve"> </w:t>
      </w:r>
      <w:r>
        <w:t>the</w:t>
      </w:r>
      <w:r>
        <w:rPr>
          <w:spacing w:val="-3"/>
        </w:rPr>
        <w:t xml:space="preserve"> </w:t>
      </w:r>
      <w:r>
        <w:t>work</w:t>
      </w:r>
      <w:r>
        <w:rPr>
          <w:spacing w:val="-3"/>
        </w:rPr>
        <w:t xml:space="preserve"> </w:t>
      </w:r>
      <w:r>
        <w:t>so</w:t>
      </w:r>
      <w:r>
        <w:rPr>
          <w:spacing w:val="-3"/>
        </w:rPr>
        <w:t xml:space="preserve"> </w:t>
      </w:r>
      <w:r>
        <w:t>that</w:t>
      </w:r>
      <w:r>
        <w:rPr>
          <w:spacing w:val="-3"/>
        </w:rPr>
        <w:t xml:space="preserve"> </w:t>
      </w:r>
      <w:r>
        <w:t>the</w:t>
      </w:r>
      <w:r>
        <w:rPr>
          <w:spacing w:val="-3"/>
        </w:rPr>
        <w:t xml:space="preserve"> </w:t>
      </w:r>
      <w:r>
        <w:t>other</w:t>
      </w:r>
      <w:r>
        <w:rPr>
          <w:spacing w:val="-3"/>
        </w:rPr>
        <w:t xml:space="preserve"> </w:t>
      </w:r>
      <w:r>
        <w:t>auditors</w:t>
      </w:r>
      <w:r>
        <w:rPr>
          <w:spacing w:val="-3"/>
        </w:rPr>
        <w:t xml:space="preserve"> </w:t>
      </w:r>
      <w:r>
        <w:t>test</w:t>
      </w:r>
      <w:r>
        <w:rPr>
          <w:spacing w:val="-3"/>
        </w:rPr>
        <w:t xml:space="preserve"> </w:t>
      </w:r>
      <w:r>
        <w:t>the</w:t>
      </w:r>
      <w:r>
        <w:rPr>
          <w:spacing w:val="-3"/>
        </w:rPr>
        <w:t xml:space="preserve"> </w:t>
      </w:r>
      <w:r>
        <w:t>areas</w:t>
      </w:r>
      <w:r>
        <w:rPr>
          <w:spacing w:val="-3"/>
        </w:rPr>
        <w:t xml:space="preserve"> </w:t>
      </w:r>
      <w:r>
        <w:t>where</w:t>
      </w:r>
      <w:r>
        <w:rPr>
          <w:spacing w:val="-3"/>
        </w:rPr>
        <w:t xml:space="preserve"> </w:t>
      </w:r>
      <w:r>
        <w:t>they</w:t>
      </w:r>
      <w:r>
        <w:rPr>
          <w:spacing w:val="-3"/>
        </w:rPr>
        <w:t xml:space="preserve"> </w:t>
      </w:r>
      <w:r>
        <w:t>are qualified and the auditor does the rest of the audit; or</w:t>
      </w:r>
    </w:p>
    <w:p w14:paraId="0DFDAC69" w14:textId="77777777" w:rsidR="00046465" w:rsidRDefault="00046465">
      <w:pPr>
        <w:pStyle w:val="BodyText"/>
        <w:rPr>
          <w:sz w:val="20"/>
        </w:rPr>
      </w:pPr>
    </w:p>
    <w:p w14:paraId="0DFDAC6A" w14:textId="77777777" w:rsidR="00046465" w:rsidRDefault="00046465">
      <w:pPr>
        <w:pStyle w:val="BodyText"/>
        <w:rPr>
          <w:sz w:val="20"/>
        </w:rPr>
      </w:pPr>
    </w:p>
    <w:p w14:paraId="0DFDAC6B" w14:textId="77777777" w:rsidR="00046465" w:rsidRDefault="008134EB">
      <w:pPr>
        <w:pStyle w:val="BodyText"/>
        <w:spacing w:before="149"/>
        <w:rPr>
          <w:sz w:val="20"/>
        </w:rPr>
      </w:pPr>
      <w:r>
        <w:rPr>
          <w:noProof/>
          <w:sz w:val="20"/>
        </w:rPr>
        <mc:AlternateContent>
          <mc:Choice Requires="wps">
            <w:drawing>
              <wp:anchor distT="0" distB="0" distL="0" distR="0" simplePos="0" relativeHeight="487602176" behindDoc="1" locked="0" layoutInCell="1" allowOverlap="1" wp14:anchorId="0DFDD54B" wp14:editId="0DFDD54C">
                <wp:simplePos x="0" y="0"/>
                <wp:positionH relativeFrom="page">
                  <wp:posOffset>914400</wp:posOffset>
                </wp:positionH>
                <wp:positionV relativeFrom="paragraph">
                  <wp:posOffset>256072</wp:posOffset>
                </wp:positionV>
                <wp:extent cx="1828800" cy="5715"/>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634DCC" id="Graphic 134" o:spid="_x0000_s1026" style="position:absolute;margin-left:1in;margin-top:20.15pt;width:2in;height:.4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" path="m1828800,l,,,5334r1828800,l1828800,xe" fillcolor="black" stroked="f">
                <v:path arrowok="t"/>
                <w10:wrap type="topAndBottom" anchorx="page"/>
              </v:shape>
            </w:pict>
          </mc:Fallback>
        </mc:AlternateContent>
      </w:r>
    </w:p>
    <w:p w14:paraId="0DFDAC6C" w14:textId="77777777" w:rsidR="00046465" w:rsidRDefault="008134EB">
      <w:pPr>
        <w:spacing w:before="202" w:line="249" w:lineRule="auto"/>
        <w:ind w:left="360" w:right="749" w:hanging="1"/>
        <w:rPr>
          <w:sz w:val="18"/>
        </w:rPr>
      </w:pPr>
      <w:bookmarkStart w:id="22" w:name="_bookmark7"/>
      <w:bookmarkEnd w:id="22"/>
      <w:r>
        <w:rPr>
          <w:position w:val="7"/>
          <w:sz w:val="14"/>
        </w:rPr>
        <w:t>5</w:t>
      </w:r>
      <w:r>
        <w:rPr>
          <w:sz w:val="18"/>
        </w:rPr>
        <w:t>There</w:t>
      </w:r>
      <w:r>
        <w:rPr>
          <w:spacing w:val="-4"/>
          <w:sz w:val="18"/>
        </w:rPr>
        <w:t xml:space="preserve"> </w:t>
      </w:r>
      <w:r>
        <w:rPr>
          <w:sz w:val="18"/>
        </w:rPr>
        <w:t>are</w:t>
      </w:r>
      <w:r>
        <w:rPr>
          <w:spacing w:val="-4"/>
          <w:sz w:val="18"/>
        </w:rPr>
        <w:t xml:space="preserve"> </w:t>
      </w:r>
      <w:r>
        <w:rPr>
          <w:sz w:val="18"/>
        </w:rPr>
        <w:t>a</w:t>
      </w:r>
      <w:r>
        <w:rPr>
          <w:spacing w:val="-4"/>
          <w:sz w:val="18"/>
        </w:rPr>
        <w:t xml:space="preserve"> </w:t>
      </w:r>
      <w:r>
        <w:rPr>
          <w:sz w:val="18"/>
        </w:rPr>
        <w:t>few</w:t>
      </w:r>
      <w:r>
        <w:rPr>
          <w:spacing w:val="-3"/>
          <w:sz w:val="18"/>
        </w:rPr>
        <w:t xml:space="preserve"> </w:t>
      </w:r>
      <w:r>
        <w:rPr>
          <w:sz w:val="18"/>
        </w:rPr>
        <w:t>circumstances</w:t>
      </w:r>
      <w:r>
        <w:rPr>
          <w:spacing w:val="-3"/>
          <w:sz w:val="18"/>
        </w:rPr>
        <w:t xml:space="preserve"> </w:t>
      </w:r>
      <w:r>
        <w:rPr>
          <w:sz w:val="18"/>
        </w:rPr>
        <w:t>identified</w:t>
      </w:r>
      <w:r>
        <w:rPr>
          <w:spacing w:val="-4"/>
          <w:sz w:val="18"/>
        </w:rPr>
        <w:t xml:space="preserve"> </w:t>
      </w:r>
      <w:r>
        <w:rPr>
          <w:sz w:val="18"/>
        </w:rPr>
        <w:t>in</w:t>
      </w:r>
      <w:r>
        <w:rPr>
          <w:spacing w:val="-2"/>
          <w:sz w:val="18"/>
        </w:rPr>
        <w:t xml:space="preserve"> </w:t>
      </w:r>
      <w:r>
        <w:rPr>
          <w:sz w:val="18"/>
        </w:rPr>
        <w:t>the</w:t>
      </w:r>
      <w:r>
        <w:rPr>
          <w:spacing w:val="-4"/>
          <w:sz w:val="18"/>
        </w:rPr>
        <w:t xml:space="preserve"> </w:t>
      </w:r>
      <w:r>
        <w:rPr>
          <w:sz w:val="18"/>
        </w:rPr>
        <w:t>FAM</w:t>
      </w:r>
      <w:r>
        <w:rPr>
          <w:spacing w:val="-3"/>
          <w:sz w:val="18"/>
        </w:rPr>
        <w:t xml:space="preserve"> </w:t>
      </w:r>
      <w:r>
        <w:rPr>
          <w:sz w:val="18"/>
        </w:rPr>
        <w:t>where</w:t>
      </w:r>
      <w:r>
        <w:rPr>
          <w:spacing w:val="-2"/>
          <w:sz w:val="18"/>
        </w:rPr>
        <w:t xml:space="preserve"> </w:t>
      </w:r>
      <w:r>
        <w:rPr>
          <w:sz w:val="18"/>
        </w:rPr>
        <w:t>timely</w:t>
      </w:r>
      <w:r>
        <w:rPr>
          <w:spacing w:val="-3"/>
          <w:sz w:val="18"/>
        </w:rPr>
        <w:t xml:space="preserve"> </w:t>
      </w:r>
      <w:r>
        <w:rPr>
          <w:sz w:val="18"/>
        </w:rPr>
        <w:t>review</w:t>
      </w:r>
      <w:r>
        <w:rPr>
          <w:spacing w:val="-2"/>
          <w:sz w:val="18"/>
        </w:rPr>
        <w:t xml:space="preserve"> </w:t>
      </w:r>
      <w:r>
        <w:rPr>
          <w:sz w:val="18"/>
        </w:rPr>
        <w:t>of</w:t>
      </w:r>
      <w:r>
        <w:rPr>
          <w:spacing w:val="-3"/>
          <w:sz w:val="18"/>
        </w:rPr>
        <w:t xml:space="preserve"> </w:t>
      </w:r>
      <w:r>
        <w:rPr>
          <w:sz w:val="18"/>
        </w:rPr>
        <w:t>audit</w:t>
      </w:r>
      <w:r>
        <w:rPr>
          <w:spacing w:val="-3"/>
          <w:sz w:val="18"/>
        </w:rPr>
        <w:t xml:space="preserve"> </w:t>
      </w:r>
      <w:r>
        <w:rPr>
          <w:sz w:val="18"/>
        </w:rPr>
        <w:t>documentation</w:t>
      </w:r>
      <w:r>
        <w:rPr>
          <w:spacing w:val="-4"/>
          <w:sz w:val="18"/>
        </w:rPr>
        <w:t xml:space="preserve"> </w:t>
      </w:r>
      <w:r>
        <w:rPr>
          <w:sz w:val="18"/>
        </w:rPr>
        <w:t>by</w:t>
      </w:r>
      <w:r>
        <w:rPr>
          <w:spacing w:val="-3"/>
          <w:sz w:val="18"/>
        </w:rPr>
        <w:t xml:space="preserve"> </w:t>
      </w:r>
      <w:r>
        <w:rPr>
          <w:sz w:val="18"/>
        </w:rPr>
        <w:t>the</w:t>
      </w:r>
      <w:r>
        <w:rPr>
          <w:spacing w:val="-2"/>
          <w:sz w:val="18"/>
        </w:rPr>
        <w:t xml:space="preserve"> </w:t>
      </w:r>
      <w:r>
        <w:rPr>
          <w:sz w:val="18"/>
        </w:rPr>
        <w:t>reviewer</w:t>
      </w:r>
      <w:r>
        <w:rPr>
          <w:spacing w:val="-3"/>
          <w:sz w:val="18"/>
        </w:rPr>
        <w:t xml:space="preserve"> </w:t>
      </w:r>
      <w:r>
        <w:rPr>
          <w:sz w:val="18"/>
        </w:rPr>
        <w:t>at appropriate stages during the engagement is required to ensure the effectiveness and efficiency of the audit.</w:t>
      </w:r>
    </w:p>
    <w:p w14:paraId="0DFDAC6D" w14:textId="77777777" w:rsidR="00046465" w:rsidRDefault="008134EB">
      <w:pPr>
        <w:ind w:left="360" w:right="749"/>
        <w:rPr>
          <w:sz w:val="18"/>
        </w:rPr>
      </w:pPr>
      <w:r>
        <w:rPr>
          <w:sz w:val="18"/>
        </w:rPr>
        <w:t>Generally,</w:t>
      </w:r>
      <w:r>
        <w:rPr>
          <w:spacing w:val="-3"/>
          <w:sz w:val="18"/>
        </w:rPr>
        <w:t xml:space="preserve"> </w:t>
      </w:r>
      <w:r>
        <w:rPr>
          <w:sz w:val="18"/>
        </w:rPr>
        <w:t>timely</w:t>
      </w:r>
      <w:r>
        <w:rPr>
          <w:spacing w:val="-3"/>
          <w:sz w:val="18"/>
        </w:rPr>
        <w:t xml:space="preserve"> </w:t>
      </w:r>
      <w:r>
        <w:rPr>
          <w:sz w:val="18"/>
        </w:rPr>
        <w:t>manner</w:t>
      </w:r>
      <w:r>
        <w:rPr>
          <w:spacing w:val="-3"/>
          <w:sz w:val="18"/>
        </w:rPr>
        <w:t xml:space="preserve"> </w:t>
      </w:r>
      <w:r>
        <w:rPr>
          <w:sz w:val="18"/>
        </w:rPr>
        <w:t>in</w:t>
      </w:r>
      <w:r>
        <w:rPr>
          <w:spacing w:val="-4"/>
          <w:sz w:val="18"/>
        </w:rPr>
        <w:t xml:space="preserve"> </w:t>
      </w:r>
      <w:r>
        <w:rPr>
          <w:sz w:val="18"/>
        </w:rPr>
        <w:t>this</w:t>
      </w:r>
      <w:r>
        <w:rPr>
          <w:spacing w:val="-3"/>
          <w:sz w:val="18"/>
        </w:rPr>
        <w:t xml:space="preserve"> </w:t>
      </w:r>
      <w:r>
        <w:rPr>
          <w:sz w:val="18"/>
        </w:rPr>
        <w:t>context</w:t>
      </w:r>
      <w:r>
        <w:rPr>
          <w:spacing w:val="-3"/>
          <w:sz w:val="18"/>
        </w:rPr>
        <w:t xml:space="preserve"> </w:t>
      </w:r>
      <w:r>
        <w:rPr>
          <w:sz w:val="18"/>
        </w:rPr>
        <w:t>means</w:t>
      </w:r>
      <w:r>
        <w:rPr>
          <w:spacing w:val="-3"/>
          <w:sz w:val="18"/>
        </w:rPr>
        <w:t xml:space="preserve"> </w:t>
      </w:r>
      <w:r>
        <w:rPr>
          <w:sz w:val="18"/>
        </w:rPr>
        <w:t>after</w:t>
      </w:r>
      <w:r>
        <w:rPr>
          <w:spacing w:val="-3"/>
          <w:sz w:val="18"/>
        </w:rPr>
        <w:t xml:space="preserve"> </w:t>
      </w:r>
      <w:r>
        <w:rPr>
          <w:sz w:val="18"/>
        </w:rPr>
        <w:t>the</w:t>
      </w:r>
      <w:r>
        <w:rPr>
          <w:spacing w:val="-4"/>
          <w:sz w:val="18"/>
        </w:rPr>
        <w:t xml:space="preserve"> </w:t>
      </w:r>
      <w:r>
        <w:rPr>
          <w:sz w:val="18"/>
        </w:rPr>
        <w:t>engagement</w:t>
      </w:r>
      <w:r>
        <w:rPr>
          <w:spacing w:val="-3"/>
          <w:sz w:val="18"/>
        </w:rPr>
        <w:t xml:space="preserve"> </w:t>
      </w:r>
      <w:r>
        <w:rPr>
          <w:sz w:val="18"/>
        </w:rPr>
        <w:t>team</w:t>
      </w:r>
      <w:r>
        <w:rPr>
          <w:spacing w:val="-2"/>
          <w:sz w:val="18"/>
        </w:rPr>
        <w:t xml:space="preserve"> </w:t>
      </w:r>
      <w:r>
        <w:rPr>
          <w:sz w:val="18"/>
        </w:rPr>
        <w:t>makes</w:t>
      </w:r>
      <w:r>
        <w:rPr>
          <w:spacing w:val="-3"/>
          <w:sz w:val="18"/>
        </w:rPr>
        <w:t xml:space="preserve"> </w:t>
      </w:r>
      <w:r>
        <w:rPr>
          <w:sz w:val="18"/>
        </w:rPr>
        <w:t>a</w:t>
      </w:r>
      <w:r>
        <w:rPr>
          <w:spacing w:val="-4"/>
          <w:sz w:val="18"/>
        </w:rPr>
        <w:t xml:space="preserve"> </w:t>
      </w:r>
      <w:r>
        <w:rPr>
          <w:sz w:val="18"/>
        </w:rPr>
        <w:t>judgment</w:t>
      </w:r>
      <w:r>
        <w:rPr>
          <w:spacing w:val="-3"/>
          <w:sz w:val="18"/>
        </w:rPr>
        <w:t xml:space="preserve"> </w:t>
      </w:r>
      <w:r>
        <w:rPr>
          <w:sz w:val="18"/>
        </w:rPr>
        <w:t>or</w:t>
      </w:r>
      <w:r>
        <w:rPr>
          <w:spacing w:val="-3"/>
          <w:sz w:val="18"/>
        </w:rPr>
        <w:t xml:space="preserve"> </w:t>
      </w:r>
      <w:r>
        <w:rPr>
          <w:sz w:val="18"/>
        </w:rPr>
        <w:t>conclusion</w:t>
      </w:r>
      <w:r>
        <w:rPr>
          <w:spacing w:val="-4"/>
          <w:sz w:val="18"/>
        </w:rPr>
        <w:t xml:space="preserve"> </w:t>
      </w:r>
      <w:r>
        <w:rPr>
          <w:sz w:val="18"/>
        </w:rPr>
        <w:t>about</w:t>
      </w:r>
      <w:r>
        <w:rPr>
          <w:spacing w:val="-3"/>
          <w:sz w:val="18"/>
        </w:rPr>
        <w:t xml:space="preserve"> </w:t>
      </w:r>
      <w:r>
        <w:rPr>
          <w:sz w:val="18"/>
        </w:rPr>
        <w:t>an issue and before the judgment or conclusion is implemented or finalized.</w:t>
      </w:r>
    </w:p>
    <w:p w14:paraId="0DFDAC6E" w14:textId="77777777" w:rsidR="00046465" w:rsidRDefault="00046465">
      <w:pPr>
        <w:rPr>
          <w:sz w:val="18"/>
        </w:rPr>
        <w:sectPr w:rsidR="00046465">
          <w:pgSz w:w="12240" w:h="15840"/>
          <w:pgMar w:top="1340" w:right="720" w:bottom="940" w:left="1080" w:header="721" w:footer="757" w:gutter="0"/>
          <w:cols w:space="720"/>
        </w:sectPr>
      </w:pPr>
    </w:p>
    <w:p w14:paraId="0DFDAC6F" w14:textId="77777777" w:rsidR="00046465" w:rsidRDefault="008134EB">
      <w:pPr>
        <w:pStyle w:val="ListParagraph"/>
        <w:numPr>
          <w:ilvl w:val="1"/>
          <w:numId w:val="220"/>
        </w:numPr>
        <w:tabs>
          <w:tab w:val="left" w:pos="2159"/>
        </w:tabs>
        <w:spacing w:before="121"/>
        <w:ind w:right="808"/>
      </w:pPr>
      <w:r>
        <w:lastRenderedPageBreak/>
        <w:t>if the auditor is unable to resolve the concerns, determine the effect on the audit</w:t>
      </w:r>
      <w:r>
        <w:rPr>
          <w:spacing w:val="-3"/>
        </w:rPr>
        <w:t xml:space="preserve"> </w:t>
      </w:r>
      <w:r>
        <w:t>opinion</w:t>
      </w:r>
      <w:r>
        <w:rPr>
          <w:spacing w:val="-3"/>
        </w:rPr>
        <w:t xml:space="preserve"> </w:t>
      </w:r>
      <w:r>
        <w:t>(e.g.,</w:t>
      </w:r>
      <w:r>
        <w:rPr>
          <w:spacing w:val="-3"/>
        </w:rPr>
        <w:t xml:space="preserve"> </w:t>
      </w:r>
      <w:r>
        <w:t>if</w:t>
      </w:r>
      <w:r>
        <w:rPr>
          <w:spacing w:val="-3"/>
        </w:rPr>
        <w:t xml:space="preserve"> </w:t>
      </w:r>
      <w:r>
        <w:t>there</w:t>
      </w:r>
      <w:r>
        <w:rPr>
          <w:spacing w:val="-3"/>
        </w:rPr>
        <w:t xml:space="preserve"> </w:t>
      </w:r>
      <w:r>
        <w:t>is</w:t>
      </w:r>
      <w:r>
        <w:rPr>
          <w:spacing w:val="-3"/>
        </w:rPr>
        <w:t xml:space="preserve"> </w:t>
      </w:r>
      <w:r>
        <w:t>a</w:t>
      </w:r>
      <w:r>
        <w:rPr>
          <w:spacing w:val="-3"/>
        </w:rPr>
        <w:t xml:space="preserve"> </w:t>
      </w:r>
      <w:r>
        <w:t>scope</w:t>
      </w:r>
      <w:r>
        <w:rPr>
          <w:spacing w:val="-3"/>
        </w:rPr>
        <w:t xml:space="preserve"> </w:t>
      </w:r>
      <w:r>
        <w:t>limitation</w:t>
      </w:r>
      <w:r>
        <w:rPr>
          <w:spacing w:val="-3"/>
        </w:rPr>
        <w:t xml:space="preserve"> </w:t>
      </w:r>
      <w:r>
        <w:t>requiring</w:t>
      </w:r>
      <w:r>
        <w:rPr>
          <w:spacing w:val="-3"/>
        </w:rPr>
        <w:t xml:space="preserve"> </w:t>
      </w:r>
      <w:r>
        <w:t>a</w:t>
      </w:r>
      <w:r>
        <w:rPr>
          <w:spacing w:val="-3"/>
        </w:rPr>
        <w:t xml:space="preserve"> </w:t>
      </w:r>
      <w:r>
        <w:t>modification</w:t>
      </w:r>
      <w:r>
        <w:rPr>
          <w:spacing w:val="-4"/>
        </w:rPr>
        <w:t xml:space="preserve"> </w:t>
      </w:r>
      <w:r>
        <w:t>to</w:t>
      </w:r>
      <w:r>
        <w:rPr>
          <w:spacing w:val="-3"/>
        </w:rPr>
        <w:t xml:space="preserve"> </w:t>
      </w:r>
      <w:r>
        <w:t>the audit opinion).</w:t>
      </w:r>
    </w:p>
    <w:p w14:paraId="0DFDAC70" w14:textId="77777777" w:rsidR="00046465" w:rsidRDefault="00046465">
      <w:pPr>
        <w:pStyle w:val="ListParagraph"/>
        <w:sectPr w:rsidR="00046465">
          <w:pgSz w:w="12240" w:h="15840"/>
          <w:pgMar w:top="1340" w:right="720" w:bottom="940" w:left="1080" w:header="721" w:footer="757" w:gutter="0"/>
          <w:cols w:space="720"/>
        </w:sectPr>
      </w:pPr>
    </w:p>
    <w:p w14:paraId="0DFDAC71" w14:textId="77777777" w:rsidR="00046465" w:rsidRDefault="008134EB">
      <w:pPr>
        <w:pStyle w:val="Heading3"/>
        <w:rPr>
          <w:u w:val="none"/>
        </w:rPr>
      </w:pPr>
      <w:bookmarkStart w:id="23" w:name="620_–_Using_the_Work_of_an_Auditor’s_Spe"/>
      <w:bookmarkStart w:id="24" w:name="_bookmark8"/>
      <w:bookmarkEnd w:id="23"/>
      <w:bookmarkEnd w:id="24"/>
      <w:r>
        <w:lastRenderedPageBreak/>
        <w:t>620</w:t>
      </w:r>
      <w:r>
        <w:rPr>
          <w:spacing w:val="-6"/>
        </w:rPr>
        <w:t xml:space="preserve"> </w:t>
      </w:r>
      <w:r>
        <w:t>–</w:t>
      </w:r>
      <w:r>
        <w:rPr>
          <w:spacing w:val="-3"/>
        </w:rPr>
        <w:t xml:space="preserve"> </w:t>
      </w:r>
      <w:r>
        <w:t>Using</w:t>
      </w:r>
      <w:r>
        <w:rPr>
          <w:spacing w:val="-4"/>
        </w:rPr>
        <w:t xml:space="preserve"> </w:t>
      </w:r>
      <w:r>
        <w:t>the</w:t>
      </w:r>
      <w:r>
        <w:rPr>
          <w:spacing w:val="-4"/>
        </w:rPr>
        <w:t xml:space="preserve"> </w:t>
      </w:r>
      <w:r>
        <w:t>Work</w:t>
      </w:r>
      <w:r>
        <w:rPr>
          <w:spacing w:val="-3"/>
        </w:rPr>
        <w:t xml:space="preserve"> </w:t>
      </w:r>
      <w:r>
        <w:t>of</w:t>
      </w:r>
      <w:r>
        <w:rPr>
          <w:spacing w:val="-3"/>
        </w:rPr>
        <w:t xml:space="preserve"> </w:t>
      </w:r>
      <w:r>
        <w:t>an</w:t>
      </w:r>
      <w:r>
        <w:rPr>
          <w:spacing w:val="-16"/>
        </w:rPr>
        <w:t xml:space="preserve"> </w:t>
      </w:r>
      <w:r>
        <w:t>Auditor’s</w:t>
      </w:r>
      <w:r>
        <w:rPr>
          <w:spacing w:val="-3"/>
        </w:rPr>
        <w:t xml:space="preserve"> </w:t>
      </w:r>
      <w:r>
        <w:rPr>
          <w:spacing w:val="-2"/>
        </w:rPr>
        <w:t>Specialist</w:t>
      </w:r>
    </w:p>
    <w:p w14:paraId="0DFDAC72" w14:textId="77777777" w:rsidR="00046465" w:rsidRDefault="00046465">
      <w:pPr>
        <w:pStyle w:val="BodyText"/>
        <w:spacing w:before="38"/>
        <w:rPr>
          <w:b/>
          <w:sz w:val="28"/>
        </w:rPr>
      </w:pPr>
    </w:p>
    <w:p w14:paraId="0DFDAC73" w14:textId="77777777" w:rsidR="00046465" w:rsidRDefault="008134EB">
      <w:pPr>
        <w:pStyle w:val="Heading4"/>
        <w:spacing w:before="1"/>
      </w:pPr>
      <w:r>
        <w:rPr>
          <w:spacing w:val="-2"/>
        </w:rPr>
        <w:t>Overview</w:t>
      </w:r>
    </w:p>
    <w:p w14:paraId="0DFDAC74" w14:textId="77777777" w:rsidR="00046465" w:rsidRDefault="008134EB">
      <w:pPr>
        <w:pStyle w:val="ListParagraph"/>
        <w:numPr>
          <w:ilvl w:val="0"/>
          <w:numId w:val="19"/>
        </w:numPr>
        <w:tabs>
          <w:tab w:val="left" w:pos="1800"/>
        </w:tabs>
        <w:spacing w:before="119"/>
        <w:ind w:right="1032"/>
      </w:pPr>
      <w:r>
        <w:rPr>
          <w:color w:val="242424"/>
        </w:rPr>
        <w:t>This section provides guidance on the auditor’s responsibilities relating to the work of an individual or</w:t>
      </w:r>
      <w:r>
        <w:rPr>
          <w:color w:val="242424"/>
          <w:spacing w:val="-1"/>
        </w:rPr>
        <w:t xml:space="preserve"> </w:t>
      </w:r>
      <w:r>
        <w:rPr>
          <w:color w:val="242424"/>
        </w:rPr>
        <w:t>organization possessing expertise in a field other</w:t>
      </w:r>
      <w:r>
        <w:rPr>
          <w:color w:val="242424"/>
          <w:spacing w:val="-1"/>
        </w:rPr>
        <w:t xml:space="preserve"> </w:t>
      </w:r>
      <w:r>
        <w:rPr>
          <w:color w:val="242424"/>
        </w:rPr>
        <w:t>than accounting</w:t>
      </w:r>
      <w:r>
        <w:rPr>
          <w:color w:val="242424"/>
          <w:spacing w:val="-4"/>
        </w:rPr>
        <w:t xml:space="preserve"> </w:t>
      </w:r>
      <w:r>
        <w:rPr>
          <w:color w:val="242424"/>
        </w:rPr>
        <w:t>or</w:t>
      </w:r>
      <w:r>
        <w:rPr>
          <w:color w:val="242424"/>
          <w:spacing w:val="-3"/>
        </w:rPr>
        <w:t xml:space="preserve"> </w:t>
      </w:r>
      <w:r>
        <w:rPr>
          <w:color w:val="242424"/>
        </w:rPr>
        <w:t>auditing</w:t>
      </w:r>
      <w:r>
        <w:rPr>
          <w:color w:val="242424"/>
          <w:spacing w:val="-4"/>
        </w:rPr>
        <w:t xml:space="preserve"> </w:t>
      </w:r>
      <w:r>
        <w:rPr>
          <w:color w:val="242424"/>
        </w:rPr>
        <w:t>when</w:t>
      </w:r>
      <w:r>
        <w:rPr>
          <w:color w:val="242424"/>
          <w:spacing w:val="-3"/>
        </w:rPr>
        <w:t xml:space="preserve"> </w:t>
      </w:r>
      <w:r>
        <w:rPr>
          <w:color w:val="242424"/>
        </w:rPr>
        <w:t>that</w:t>
      </w:r>
      <w:r>
        <w:rPr>
          <w:color w:val="242424"/>
          <w:spacing w:val="-3"/>
        </w:rPr>
        <w:t xml:space="preserve"> </w:t>
      </w:r>
      <w:r>
        <w:rPr>
          <w:color w:val="242424"/>
        </w:rPr>
        <w:t>work</w:t>
      </w:r>
      <w:r>
        <w:rPr>
          <w:color w:val="242424"/>
          <w:spacing w:val="-3"/>
        </w:rPr>
        <w:t xml:space="preserve"> </w:t>
      </w:r>
      <w:r>
        <w:rPr>
          <w:color w:val="242424"/>
        </w:rPr>
        <w:t>is</w:t>
      </w:r>
      <w:r>
        <w:rPr>
          <w:color w:val="242424"/>
          <w:spacing w:val="-3"/>
        </w:rPr>
        <w:t xml:space="preserve"> </w:t>
      </w:r>
      <w:r>
        <w:rPr>
          <w:color w:val="242424"/>
        </w:rPr>
        <w:t>used</w:t>
      </w:r>
      <w:r>
        <w:rPr>
          <w:color w:val="242424"/>
          <w:spacing w:val="-3"/>
        </w:rPr>
        <w:t xml:space="preserve"> </w:t>
      </w:r>
      <w:r>
        <w:rPr>
          <w:color w:val="242424"/>
        </w:rPr>
        <w:t>to</w:t>
      </w:r>
      <w:r>
        <w:rPr>
          <w:color w:val="242424"/>
          <w:spacing w:val="-3"/>
        </w:rPr>
        <w:t xml:space="preserve"> </w:t>
      </w:r>
      <w:r>
        <w:rPr>
          <w:color w:val="242424"/>
        </w:rPr>
        <w:t>assist</w:t>
      </w:r>
      <w:r>
        <w:rPr>
          <w:color w:val="242424"/>
          <w:spacing w:val="-4"/>
        </w:rPr>
        <w:t xml:space="preserve"> </w:t>
      </w:r>
      <w:r>
        <w:rPr>
          <w:color w:val="242424"/>
        </w:rPr>
        <w:t>the</w:t>
      </w:r>
      <w:r>
        <w:rPr>
          <w:color w:val="242424"/>
          <w:spacing w:val="-4"/>
        </w:rPr>
        <w:t xml:space="preserve"> </w:t>
      </w:r>
      <w:r>
        <w:rPr>
          <w:color w:val="242424"/>
        </w:rPr>
        <w:t>auditor</w:t>
      </w:r>
      <w:r>
        <w:rPr>
          <w:color w:val="242424"/>
          <w:spacing w:val="-3"/>
        </w:rPr>
        <w:t xml:space="preserve"> </w:t>
      </w:r>
      <w:r>
        <w:rPr>
          <w:color w:val="242424"/>
        </w:rPr>
        <w:t>in</w:t>
      </w:r>
      <w:r>
        <w:rPr>
          <w:color w:val="242424"/>
          <w:spacing w:val="-3"/>
        </w:rPr>
        <w:t xml:space="preserve"> </w:t>
      </w:r>
      <w:r>
        <w:rPr>
          <w:color w:val="242424"/>
        </w:rPr>
        <w:t>obtaining sufficient appropriate audit evidence (AU-C 620.01).</w:t>
      </w:r>
    </w:p>
    <w:p w14:paraId="0DFDAC75" w14:textId="77777777" w:rsidR="00046465" w:rsidRDefault="008134EB">
      <w:pPr>
        <w:pStyle w:val="ListParagraph"/>
        <w:numPr>
          <w:ilvl w:val="0"/>
          <w:numId w:val="19"/>
        </w:numPr>
        <w:tabs>
          <w:tab w:val="left" w:pos="1798"/>
          <w:tab w:val="left" w:pos="1800"/>
        </w:tabs>
        <w:ind w:right="753"/>
        <w:jc w:val="both"/>
      </w:pPr>
      <w:r>
        <w:t>This section does not address situations in which the engagement team includes a</w:t>
      </w:r>
      <w:r>
        <w:rPr>
          <w:spacing w:val="-4"/>
        </w:rPr>
        <w:t xml:space="preserve"> </w:t>
      </w:r>
      <w:r>
        <w:t>member</w:t>
      </w:r>
      <w:r>
        <w:rPr>
          <w:spacing w:val="-4"/>
        </w:rPr>
        <w:t xml:space="preserve"> </w:t>
      </w:r>
      <w:r>
        <w:t>or</w:t>
      </w:r>
      <w:r>
        <w:rPr>
          <w:spacing w:val="-4"/>
        </w:rPr>
        <w:t xml:space="preserve"> </w:t>
      </w:r>
      <w:r>
        <w:t>consults</w:t>
      </w:r>
      <w:r>
        <w:rPr>
          <w:spacing w:val="-5"/>
        </w:rPr>
        <w:t xml:space="preserve"> </w:t>
      </w:r>
      <w:r>
        <w:t>an</w:t>
      </w:r>
      <w:r>
        <w:rPr>
          <w:spacing w:val="-4"/>
        </w:rPr>
        <w:t xml:space="preserve"> </w:t>
      </w:r>
      <w:r>
        <w:t>individual</w:t>
      </w:r>
      <w:r>
        <w:rPr>
          <w:spacing w:val="-5"/>
        </w:rPr>
        <w:t xml:space="preserve"> </w:t>
      </w:r>
      <w:r>
        <w:t>or</w:t>
      </w:r>
      <w:r>
        <w:rPr>
          <w:spacing w:val="-4"/>
        </w:rPr>
        <w:t xml:space="preserve"> </w:t>
      </w:r>
      <w:r>
        <w:t>organization</w:t>
      </w:r>
      <w:r>
        <w:rPr>
          <w:spacing w:val="-4"/>
        </w:rPr>
        <w:t xml:space="preserve"> </w:t>
      </w:r>
      <w:r>
        <w:t>with</w:t>
      </w:r>
      <w:r>
        <w:rPr>
          <w:spacing w:val="-4"/>
        </w:rPr>
        <w:t xml:space="preserve"> </w:t>
      </w:r>
      <w:r>
        <w:t>expertise</w:t>
      </w:r>
      <w:r>
        <w:rPr>
          <w:spacing w:val="-4"/>
        </w:rPr>
        <w:t xml:space="preserve"> </w:t>
      </w:r>
      <w:r>
        <w:t>in</w:t>
      </w:r>
      <w:r>
        <w:rPr>
          <w:spacing w:val="-4"/>
        </w:rPr>
        <w:t xml:space="preserve"> </w:t>
      </w:r>
      <w:r>
        <w:t>a</w:t>
      </w:r>
      <w:r>
        <w:rPr>
          <w:spacing w:val="-5"/>
        </w:rPr>
        <w:t xml:space="preserve"> </w:t>
      </w:r>
      <w:r>
        <w:t>specialized area of accounting or auditing, which are addressed in FAM 210.08 and</w:t>
      </w:r>
    </w:p>
    <w:p w14:paraId="0DFDAC76" w14:textId="77777777" w:rsidR="00046465" w:rsidRDefault="008134EB">
      <w:pPr>
        <w:pStyle w:val="BodyText"/>
        <w:ind w:left="1800"/>
      </w:pPr>
      <w:r>
        <w:t>AU-C</w:t>
      </w:r>
      <w:r>
        <w:rPr>
          <w:spacing w:val="-8"/>
        </w:rPr>
        <w:t xml:space="preserve"> </w:t>
      </w:r>
      <w:r>
        <w:t>220A</w:t>
      </w:r>
      <w:r>
        <w:rPr>
          <w:spacing w:val="-6"/>
        </w:rPr>
        <w:t xml:space="preserve"> </w:t>
      </w:r>
      <w:r>
        <w:t>(AU-C</w:t>
      </w:r>
      <w:r>
        <w:rPr>
          <w:spacing w:val="-8"/>
        </w:rPr>
        <w:t xml:space="preserve"> </w:t>
      </w:r>
      <w:r>
        <w:rPr>
          <w:spacing w:val="-2"/>
        </w:rPr>
        <w:t>620.02a).</w:t>
      </w:r>
    </w:p>
    <w:p w14:paraId="0DFDAC77" w14:textId="77777777" w:rsidR="00046465" w:rsidRDefault="008134EB">
      <w:pPr>
        <w:pStyle w:val="ListParagraph"/>
        <w:numPr>
          <w:ilvl w:val="0"/>
          <w:numId w:val="19"/>
        </w:numPr>
        <w:tabs>
          <w:tab w:val="left" w:pos="1799"/>
        </w:tabs>
        <w:spacing w:before="119"/>
        <w:ind w:left="1799" w:right="787" w:hanging="720"/>
      </w:pPr>
      <w:r>
        <w:t>This section also does not address the auditor’s use of the work of an individual or organization possessing expertise in a field other than accounting or auditing, whose work in that field the entity to be audited uses to assist it in preparing the financial</w:t>
      </w:r>
      <w:r>
        <w:rPr>
          <w:spacing w:val="-5"/>
        </w:rPr>
        <w:t xml:space="preserve"> </w:t>
      </w:r>
      <w:r>
        <w:t>statements</w:t>
      </w:r>
      <w:r>
        <w:rPr>
          <w:spacing w:val="-4"/>
        </w:rPr>
        <w:t xml:space="preserve"> </w:t>
      </w:r>
      <w:r>
        <w:t>(management’s</w:t>
      </w:r>
      <w:r>
        <w:rPr>
          <w:spacing w:val="-4"/>
        </w:rPr>
        <w:t xml:space="preserve"> </w:t>
      </w:r>
      <w:r>
        <w:t>specialists),</w:t>
      </w:r>
      <w:r>
        <w:rPr>
          <w:spacing w:val="-5"/>
        </w:rPr>
        <w:t xml:space="preserve"> </w:t>
      </w:r>
      <w:r>
        <w:t>which</w:t>
      </w:r>
      <w:r>
        <w:rPr>
          <w:spacing w:val="-4"/>
        </w:rPr>
        <w:t xml:space="preserve"> </w:t>
      </w:r>
      <w:r>
        <w:t>is</w:t>
      </w:r>
      <w:r>
        <w:rPr>
          <w:spacing w:val="-4"/>
        </w:rPr>
        <w:t xml:space="preserve"> </w:t>
      </w:r>
      <w:r>
        <w:t>addressed</w:t>
      </w:r>
      <w:r>
        <w:rPr>
          <w:spacing w:val="-4"/>
        </w:rPr>
        <w:t xml:space="preserve"> </w:t>
      </w:r>
      <w:r>
        <w:t>in</w:t>
      </w:r>
      <w:r>
        <w:rPr>
          <w:spacing w:val="-4"/>
        </w:rPr>
        <w:t xml:space="preserve"> </w:t>
      </w:r>
      <w:r>
        <w:t>FAM</w:t>
      </w:r>
      <w:r>
        <w:rPr>
          <w:spacing w:val="-5"/>
        </w:rPr>
        <w:t xml:space="preserve"> </w:t>
      </w:r>
      <w:r>
        <w:t>625 (AU-C 620.02b).</w:t>
      </w:r>
    </w:p>
    <w:p w14:paraId="0DFDAC78" w14:textId="77777777" w:rsidR="00046465" w:rsidRDefault="008134EB">
      <w:pPr>
        <w:pStyle w:val="ListParagraph"/>
        <w:numPr>
          <w:ilvl w:val="0"/>
          <w:numId w:val="19"/>
        </w:numPr>
        <w:tabs>
          <w:tab w:val="left" w:pos="1799"/>
        </w:tabs>
        <w:ind w:left="1799" w:right="969"/>
      </w:pPr>
      <w:r>
        <w:t>Based</w:t>
      </w:r>
      <w:r>
        <w:rPr>
          <w:spacing w:val="-3"/>
        </w:rPr>
        <w:t xml:space="preserve"> </w:t>
      </w:r>
      <w:r>
        <w:t>on</w:t>
      </w:r>
      <w:r>
        <w:rPr>
          <w:spacing w:val="-3"/>
        </w:rPr>
        <w:t xml:space="preserve"> </w:t>
      </w:r>
      <w:r>
        <w:t>AU-C</w:t>
      </w:r>
      <w:r>
        <w:rPr>
          <w:spacing w:val="-4"/>
        </w:rPr>
        <w:t xml:space="preserve"> </w:t>
      </w:r>
      <w:r>
        <w:t>620.A1</w:t>
      </w:r>
      <w:r>
        <w:rPr>
          <w:spacing w:val="-3"/>
        </w:rPr>
        <w:t xml:space="preserve"> </w:t>
      </w:r>
      <w:r>
        <w:t>and</w:t>
      </w:r>
      <w:r>
        <w:rPr>
          <w:spacing w:val="-3"/>
        </w:rPr>
        <w:t xml:space="preserve"> </w:t>
      </w:r>
      <w:r>
        <w:t>300.A20,</w:t>
      </w:r>
      <w:r>
        <w:rPr>
          <w:spacing w:val="-3"/>
        </w:rPr>
        <w:t xml:space="preserve"> </w:t>
      </w:r>
      <w:r>
        <w:t>expertise</w:t>
      </w:r>
      <w:r>
        <w:rPr>
          <w:spacing w:val="-4"/>
        </w:rPr>
        <w:t xml:space="preserve"> </w:t>
      </w:r>
      <w:r>
        <w:t>in</w:t>
      </w:r>
      <w:r>
        <w:rPr>
          <w:spacing w:val="-3"/>
        </w:rPr>
        <w:t xml:space="preserve"> </w:t>
      </w:r>
      <w:r>
        <w:t>a</w:t>
      </w:r>
      <w:r>
        <w:rPr>
          <w:spacing w:val="-3"/>
        </w:rPr>
        <w:t xml:space="preserve"> </w:t>
      </w:r>
      <w:r>
        <w:t>field</w:t>
      </w:r>
      <w:r>
        <w:rPr>
          <w:spacing w:val="-3"/>
        </w:rPr>
        <w:t xml:space="preserve"> </w:t>
      </w:r>
      <w:r>
        <w:t>other</w:t>
      </w:r>
      <w:r>
        <w:rPr>
          <w:spacing w:val="-3"/>
        </w:rPr>
        <w:t xml:space="preserve"> </w:t>
      </w:r>
      <w:r>
        <w:t>than</w:t>
      </w:r>
      <w:r>
        <w:rPr>
          <w:spacing w:val="-3"/>
        </w:rPr>
        <w:t xml:space="preserve"> </w:t>
      </w:r>
      <w:r>
        <w:t>accounting or auditing may include expertise regarding such matters as the following:</w:t>
      </w:r>
    </w:p>
    <w:p w14:paraId="0DFDAC79" w14:textId="77777777" w:rsidR="00046465" w:rsidRDefault="008134EB">
      <w:pPr>
        <w:pStyle w:val="ListParagraph"/>
        <w:numPr>
          <w:ilvl w:val="1"/>
          <w:numId w:val="19"/>
        </w:numPr>
        <w:tabs>
          <w:tab w:val="left" w:pos="2159"/>
        </w:tabs>
        <w:spacing w:before="121"/>
        <w:ind w:right="819"/>
      </w:pPr>
      <w:r>
        <w:t>the valuation of complex financial instruments and nonfinancial assets and liabilities measured at fair value, such as land and buildings, plant and machinery,</w:t>
      </w:r>
      <w:r>
        <w:rPr>
          <w:spacing w:val="-5"/>
        </w:rPr>
        <w:t xml:space="preserve"> </w:t>
      </w:r>
      <w:r>
        <w:t>jewelry,</w:t>
      </w:r>
      <w:r>
        <w:rPr>
          <w:spacing w:val="-5"/>
        </w:rPr>
        <w:t xml:space="preserve"> </w:t>
      </w:r>
      <w:r>
        <w:t>works</w:t>
      </w:r>
      <w:r>
        <w:rPr>
          <w:spacing w:val="-5"/>
        </w:rPr>
        <w:t xml:space="preserve"> </w:t>
      </w:r>
      <w:r>
        <w:t>of</w:t>
      </w:r>
      <w:r>
        <w:rPr>
          <w:spacing w:val="-5"/>
        </w:rPr>
        <w:t xml:space="preserve"> </w:t>
      </w:r>
      <w:r>
        <w:t>art,</w:t>
      </w:r>
      <w:r>
        <w:rPr>
          <w:spacing w:val="-5"/>
        </w:rPr>
        <w:t xml:space="preserve"> </w:t>
      </w:r>
      <w:r>
        <w:t>antiques,</w:t>
      </w:r>
      <w:r>
        <w:rPr>
          <w:spacing w:val="-5"/>
        </w:rPr>
        <w:t xml:space="preserve"> </w:t>
      </w:r>
      <w:r>
        <w:t>intangible</w:t>
      </w:r>
      <w:r>
        <w:rPr>
          <w:spacing w:val="-5"/>
        </w:rPr>
        <w:t xml:space="preserve"> </w:t>
      </w:r>
      <w:r>
        <w:t>assets,</w:t>
      </w:r>
      <w:r>
        <w:rPr>
          <w:spacing w:val="-5"/>
        </w:rPr>
        <w:t xml:space="preserve"> </w:t>
      </w:r>
      <w:r>
        <w:t>assets</w:t>
      </w:r>
      <w:r>
        <w:rPr>
          <w:spacing w:val="-5"/>
        </w:rPr>
        <w:t xml:space="preserve"> </w:t>
      </w:r>
      <w:r>
        <w:t>acquired and liabilities assumed in business combinations, and assets that may have been impaired;</w:t>
      </w:r>
    </w:p>
    <w:p w14:paraId="0DFDAC7A" w14:textId="77777777" w:rsidR="00046465" w:rsidRDefault="008134EB">
      <w:pPr>
        <w:pStyle w:val="ListParagraph"/>
        <w:numPr>
          <w:ilvl w:val="1"/>
          <w:numId w:val="19"/>
        </w:numPr>
        <w:tabs>
          <w:tab w:val="left" w:pos="2159"/>
        </w:tabs>
        <w:ind w:right="1052"/>
      </w:pPr>
      <w:r>
        <w:t>the</w:t>
      </w:r>
      <w:r>
        <w:rPr>
          <w:spacing w:val="-4"/>
        </w:rPr>
        <w:t xml:space="preserve"> </w:t>
      </w:r>
      <w:r>
        <w:t>actuarial</w:t>
      </w:r>
      <w:r>
        <w:rPr>
          <w:spacing w:val="-5"/>
        </w:rPr>
        <w:t xml:space="preserve"> </w:t>
      </w:r>
      <w:r>
        <w:t>calculation</w:t>
      </w:r>
      <w:r>
        <w:rPr>
          <w:spacing w:val="-5"/>
        </w:rPr>
        <w:t xml:space="preserve"> </w:t>
      </w:r>
      <w:r>
        <w:t>of</w:t>
      </w:r>
      <w:r>
        <w:rPr>
          <w:spacing w:val="-4"/>
        </w:rPr>
        <w:t xml:space="preserve"> </w:t>
      </w:r>
      <w:r>
        <w:t>liabilities</w:t>
      </w:r>
      <w:r>
        <w:rPr>
          <w:spacing w:val="-5"/>
        </w:rPr>
        <w:t xml:space="preserve"> </w:t>
      </w:r>
      <w:r>
        <w:t>associated</w:t>
      </w:r>
      <w:r>
        <w:rPr>
          <w:spacing w:val="-5"/>
        </w:rPr>
        <w:t xml:space="preserve"> </w:t>
      </w:r>
      <w:r>
        <w:t>with</w:t>
      </w:r>
      <w:r>
        <w:rPr>
          <w:spacing w:val="-4"/>
        </w:rPr>
        <w:t xml:space="preserve"> </w:t>
      </w:r>
      <w:r>
        <w:t>insurance</w:t>
      </w:r>
      <w:r>
        <w:rPr>
          <w:spacing w:val="-4"/>
        </w:rPr>
        <w:t xml:space="preserve"> </w:t>
      </w:r>
      <w:r>
        <w:t>contracts</w:t>
      </w:r>
      <w:r>
        <w:rPr>
          <w:spacing w:val="-5"/>
        </w:rPr>
        <w:t xml:space="preserve"> </w:t>
      </w:r>
      <w:r>
        <w:t>or employee benefit plans;</w:t>
      </w:r>
    </w:p>
    <w:p w14:paraId="0DFDAC7B" w14:textId="77777777" w:rsidR="00046465" w:rsidRDefault="008134EB">
      <w:pPr>
        <w:pStyle w:val="ListParagraph"/>
        <w:numPr>
          <w:ilvl w:val="1"/>
          <w:numId w:val="19"/>
        </w:numPr>
        <w:tabs>
          <w:tab w:val="left" w:pos="2158"/>
        </w:tabs>
        <w:ind w:left="2158" w:hanging="359"/>
      </w:pPr>
      <w:r>
        <w:t>the</w:t>
      </w:r>
      <w:r>
        <w:rPr>
          <w:spacing w:val="-6"/>
        </w:rPr>
        <w:t xml:space="preserve"> </w:t>
      </w:r>
      <w:r>
        <w:t>estimation</w:t>
      </w:r>
      <w:r>
        <w:rPr>
          <w:spacing w:val="-5"/>
        </w:rPr>
        <w:t xml:space="preserve"> </w:t>
      </w:r>
      <w:r>
        <w:t>of</w:t>
      </w:r>
      <w:r>
        <w:rPr>
          <w:spacing w:val="-5"/>
        </w:rPr>
        <w:t xml:space="preserve"> </w:t>
      </w:r>
      <w:r>
        <w:t>oil</w:t>
      </w:r>
      <w:r>
        <w:rPr>
          <w:spacing w:val="-5"/>
        </w:rPr>
        <w:t xml:space="preserve"> </w:t>
      </w:r>
      <w:r>
        <w:t>and</w:t>
      </w:r>
      <w:r>
        <w:rPr>
          <w:spacing w:val="-6"/>
        </w:rPr>
        <w:t xml:space="preserve"> </w:t>
      </w:r>
      <w:r>
        <w:t>other</w:t>
      </w:r>
      <w:r>
        <w:rPr>
          <w:spacing w:val="-5"/>
        </w:rPr>
        <w:t xml:space="preserve"> </w:t>
      </w:r>
      <w:r>
        <w:t>mineral</w:t>
      </w:r>
      <w:r>
        <w:rPr>
          <w:spacing w:val="-6"/>
        </w:rPr>
        <w:t xml:space="preserve"> </w:t>
      </w:r>
      <w:r>
        <w:rPr>
          <w:spacing w:val="-2"/>
        </w:rPr>
        <w:t>reserves;</w:t>
      </w:r>
    </w:p>
    <w:p w14:paraId="0DFDAC7C" w14:textId="77777777" w:rsidR="00046465" w:rsidRDefault="008134EB">
      <w:pPr>
        <w:pStyle w:val="ListParagraph"/>
        <w:numPr>
          <w:ilvl w:val="1"/>
          <w:numId w:val="19"/>
        </w:numPr>
        <w:tabs>
          <w:tab w:val="left" w:pos="2158"/>
        </w:tabs>
        <w:ind w:left="2158" w:hanging="359"/>
      </w:pPr>
      <w:r>
        <w:t>the</w:t>
      </w:r>
      <w:r>
        <w:rPr>
          <w:spacing w:val="-7"/>
        </w:rPr>
        <w:t xml:space="preserve"> </w:t>
      </w:r>
      <w:r>
        <w:t>valuation</w:t>
      </w:r>
      <w:r>
        <w:rPr>
          <w:spacing w:val="-7"/>
        </w:rPr>
        <w:t xml:space="preserve"> </w:t>
      </w:r>
      <w:r>
        <w:t>of</w:t>
      </w:r>
      <w:r>
        <w:rPr>
          <w:spacing w:val="-7"/>
        </w:rPr>
        <w:t xml:space="preserve"> </w:t>
      </w:r>
      <w:r>
        <w:t>environmental</w:t>
      </w:r>
      <w:r>
        <w:rPr>
          <w:spacing w:val="-7"/>
        </w:rPr>
        <w:t xml:space="preserve"> </w:t>
      </w:r>
      <w:r>
        <w:t>liabilities</w:t>
      </w:r>
      <w:r>
        <w:rPr>
          <w:spacing w:val="-7"/>
        </w:rPr>
        <w:t xml:space="preserve"> </w:t>
      </w:r>
      <w:r>
        <w:t>and</w:t>
      </w:r>
      <w:r>
        <w:rPr>
          <w:spacing w:val="-7"/>
        </w:rPr>
        <w:t xml:space="preserve"> </w:t>
      </w:r>
      <w:r>
        <w:t>site</w:t>
      </w:r>
      <w:r>
        <w:rPr>
          <w:spacing w:val="-8"/>
        </w:rPr>
        <w:t xml:space="preserve"> </w:t>
      </w:r>
      <w:r>
        <w:t>cleanup</w:t>
      </w:r>
      <w:r>
        <w:rPr>
          <w:spacing w:val="-7"/>
        </w:rPr>
        <w:t xml:space="preserve"> </w:t>
      </w:r>
      <w:r>
        <w:rPr>
          <w:spacing w:val="-2"/>
        </w:rPr>
        <w:t>costs;</w:t>
      </w:r>
    </w:p>
    <w:p w14:paraId="0DFDAC7D" w14:textId="77777777" w:rsidR="00046465" w:rsidRDefault="008134EB">
      <w:pPr>
        <w:pStyle w:val="ListParagraph"/>
        <w:numPr>
          <w:ilvl w:val="1"/>
          <w:numId w:val="19"/>
        </w:numPr>
        <w:tabs>
          <w:tab w:val="left" w:pos="2158"/>
        </w:tabs>
        <w:spacing w:before="119"/>
        <w:ind w:left="2158" w:hanging="359"/>
      </w:pPr>
      <w:r>
        <w:t>the</w:t>
      </w:r>
      <w:r>
        <w:rPr>
          <w:spacing w:val="-8"/>
        </w:rPr>
        <w:t xml:space="preserve"> </w:t>
      </w:r>
      <w:r>
        <w:t>interpretation</w:t>
      </w:r>
      <w:r>
        <w:rPr>
          <w:spacing w:val="-7"/>
        </w:rPr>
        <w:t xml:space="preserve"> </w:t>
      </w:r>
      <w:r>
        <w:t>of</w:t>
      </w:r>
      <w:r>
        <w:rPr>
          <w:spacing w:val="-7"/>
        </w:rPr>
        <w:t xml:space="preserve"> </w:t>
      </w:r>
      <w:r>
        <w:t>laws,</w:t>
      </w:r>
      <w:r>
        <w:rPr>
          <w:spacing w:val="-7"/>
        </w:rPr>
        <w:t xml:space="preserve"> </w:t>
      </w:r>
      <w:r>
        <w:t>regulations,</w:t>
      </w:r>
      <w:r>
        <w:rPr>
          <w:spacing w:val="-7"/>
        </w:rPr>
        <w:t xml:space="preserve"> </w:t>
      </w:r>
      <w:r>
        <w:t>contracts,</w:t>
      </w:r>
      <w:r>
        <w:rPr>
          <w:spacing w:val="-8"/>
        </w:rPr>
        <w:t xml:space="preserve"> </w:t>
      </w:r>
      <w:r>
        <w:t>and</w:t>
      </w:r>
      <w:r>
        <w:rPr>
          <w:spacing w:val="-7"/>
        </w:rPr>
        <w:t xml:space="preserve"> </w:t>
      </w:r>
      <w:r>
        <w:t>grant</w:t>
      </w:r>
      <w:r>
        <w:rPr>
          <w:spacing w:val="-7"/>
        </w:rPr>
        <w:t xml:space="preserve"> </w:t>
      </w:r>
      <w:r>
        <w:rPr>
          <w:spacing w:val="-2"/>
        </w:rPr>
        <w:t>agreements;</w:t>
      </w:r>
    </w:p>
    <w:p w14:paraId="0DFDAC7E" w14:textId="77777777" w:rsidR="00046465" w:rsidRDefault="008134EB">
      <w:pPr>
        <w:pStyle w:val="ListParagraph"/>
        <w:numPr>
          <w:ilvl w:val="1"/>
          <w:numId w:val="19"/>
        </w:numPr>
        <w:tabs>
          <w:tab w:val="left" w:pos="2159"/>
        </w:tabs>
      </w:pPr>
      <w:r>
        <w:t>the</w:t>
      </w:r>
      <w:r>
        <w:rPr>
          <w:spacing w:val="-7"/>
        </w:rPr>
        <w:t xml:space="preserve"> </w:t>
      </w:r>
      <w:r>
        <w:t>analysis</w:t>
      </w:r>
      <w:r>
        <w:rPr>
          <w:spacing w:val="-7"/>
        </w:rPr>
        <w:t xml:space="preserve"> </w:t>
      </w:r>
      <w:r>
        <w:t>of</w:t>
      </w:r>
      <w:r>
        <w:rPr>
          <w:spacing w:val="-6"/>
        </w:rPr>
        <w:t xml:space="preserve"> </w:t>
      </w:r>
      <w:r>
        <w:t>complex</w:t>
      </w:r>
      <w:r>
        <w:rPr>
          <w:spacing w:val="-7"/>
        </w:rPr>
        <w:t xml:space="preserve"> </w:t>
      </w:r>
      <w:r>
        <w:t>or</w:t>
      </w:r>
      <w:r>
        <w:rPr>
          <w:spacing w:val="-7"/>
        </w:rPr>
        <w:t xml:space="preserve"> </w:t>
      </w:r>
      <w:r>
        <w:t>unusual</w:t>
      </w:r>
      <w:r>
        <w:rPr>
          <w:spacing w:val="-6"/>
        </w:rPr>
        <w:t xml:space="preserve"> </w:t>
      </w:r>
      <w:r>
        <w:t>tax</w:t>
      </w:r>
      <w:r>
        <w:rPr>
          <w:spacing w:val="-6"/>
        </w:rPr>
        <w:t xml:space="preserve"> </w:t>
      </w:r>
      <w:r>
        <w:t>compliance</w:t>
      </w:r>
      <w:r>
        <w:rPr>
          <w:spacing w:val="-6"/>
        </w:rPr>
        <w:t xml:space="preserve"> </w:t>
      </w:r>
      <w:r>
        <w:rPr>
          <w:spacing w:val="-2"/>
        </w:rPr>
        <w:t>issues;</w:t>
      </w:r>
    </w:p>
    <w:p w14:paraId="0DFDAC7F" w14:textId="77777777" w:rsidR="00046465" w:rsidRDefault="008134EB">
      <w:pPr>
        <w:pStyle w:val="ListParagraph"/>
        <w:numPr>
          <w:ilvl w:val="1"/>
          <w:numId w:val="19"/>
        </w:numPr>
        <w:tabs>
          <w:tab w:val="left" w:pos="2159"/>
        </w:tabs>
        <w:ind w:right="770"/>
      </w:pPr>
      <w:r>
        <w:t>the determination of physical characteristics relating to quantity on hand or condition</w:t>
      </w:r>
      <w:r>
        <w:rPr>
          <w:spacing w:val="-4"/>
        </w:rPr>
        <w:t xml:space="preserve"> </w:t>
      </w:r>
      <w:r>
        <w:t>(for</w:t>
      </w:r>
      <w:r>
        <w:rPr>
          <w:spacing w:val="-4"/>
        </w:rPr>
        <w:t xml:space="preserve"> </w:t>
      </w:r>
      <w:r>
        <w:t>example,</w:t>
      </w:r>
      <w:r>
        <w:rPr>
          <w:spacing w:val="-4"/>
        </w:rPr>
        <w:t xml:space="preserve"> </w:t>
      </w:r>
      <w:r>
        <w:t>quantity</w:t>
      </w:r>
      <w:r>
        <w:rPr>
          <w:spacing w:val="-4"/>
        </w:rPr>
        <w:t xml:space="preserve"> </w:t>
      </w:r>
      <w:r>
        <w:t>or</w:t>
      </w:r>
      <w:r>
        <w:rPr>
          <w:spacing w:val="-4"/>
        </w:rPr>
        <w:t xml:space="preserve"> </w:t>
      </w:r>
      <w:r>
        <w:t>condition</w:t>
      </w:r>
      <w:r>
        <w:rPr>
          <w:spacing w:val="-4"/>
        </w:rPr>
        <w:t xml:space="preserve"> </w:t>
      </w:r>
      <w:r>
        <w:t>of</w:t>
      </w:r>
      <w:r>
        <w:rPr>
          <w:spacing w:val="-4"/>
        </w:rPr>
        <w:t xml:space="preserve"> </w:t>
      </w:r>
      <w:r>
        <w:t>minerals</w:t>
      </w:r>
      <w:r>
        <w:rPr>
          <w:spacing w:val="-4"/>
        </w:rPr>
        <w:t xml:space="preserve"> </w:t>
      </w:r>
      <w:r>
        <w:t>or</w:t>
      </w:r>
      <w:r>
        <w:rPr>
          <w:spacing w:val="-4"/>
        </w:rPr>
        <w:t xml:space="preserve"> </w:t>
      </w:r>
      <w:r>
        <w:t>materials</w:t>
      </w:r>
      <w:r>
        <w:rPr>
          <w:spacing w:val="-4"/>
        </w:rPr>
        <w:t xml:space="preserve"> </w:t>
      </w:r>
      <w:r>
        <w:t>stored</w:t>
      </w:r>
      <w:r>
        <w:rPr>
          <w:spacing w:val="-4"/>
        </w:rPr>
        <w:t xml:space="preserve"> </w:t>
      </w:r>
      <w:r>
        <w:t xml:space="preserve">in </w:t>
      </w:r>
      <w:r>
        <w:rPr>
          <w:spacing w:val="-2"/>
        </w:rPr>
        <w:t>stockpiles);</w:t>
      </w:r>
    </w:p>
    <w:p w14:paraId="0DFDAC80" w14:textId="77777777" w:rsidR="00046465" w:rsidRDefault="008134EB">
      <w:pPr>
        <w:pStyle w:val="ListParagraph"/>
        <w:numPr>
          <w:ilvl w:val="1"/>
          <w:numId w:val="19"/>
        </w:numPr>
        <w:tabs>
          <w:tab w:val="left" w:pos="2159"/>
        </w:tabs>
        <w:ind w:right="1100"/>
      </w:pPr>
      <w:r>
        <w:t>the analysis of the effect of information technology on the audit and the understanding</w:t>
      </w:r>
      <w:r>
        <w:rPr>
          <w:spacing w:val="-5"/>
        </w:rPr>
        <w:t xml:space="preserve"> </w:t>
      </w:r>
      <w:r>
        <w:t>and</w:t>
      </w:r>
      <w:r>
        <w:rPr>
          <w:spacing w:val="-5"/>
        </w:rPr>
        <w:t xml:space="preserve"> </w:t>
      </w:r>
      <w:r>
        <w:t>evaluation</w:t>
      </w:r>
      <w:r>
        <w:rPr>
          <w:spacing w:val="-5"/>
        </w:rPr>
        <w:t xml:space="preserve"> </w:t>
      </w:r>
      <w:r>
        <w:t>of</w:t>
      </w:r>
      <w:r>
        <w:rPr>
          <w:spacing w:val="-5"/>
        </w:rPr>
        <w:t xml:space="preserve"> </w:t>
      </w:r>
      <w:r>
        <w:t>information</w:t>
      </w:r>
      <w:r>
        <w:rPr>
          <w:spacing w:val="-5"/>
        </w:rPr>
        <w:t xml:space="preserve"> </w:t>
      </w:r>
      <w:r>
        <w:t>system</w:t>
      </w:r>
      <w:r>
        <w:rPr>
          <w:spacing w:val="-6"/>
        </w:rPr>
        <w:t xml:space="preserve"> </w:t>
      </w:r>
      <w:r>
        <w:t>controls</w:t>
      </w:r>
      <w:r>
        <w:rPr>
          <w:spacing w:val="-5"/>
        </w:rPr>
        <w:t xml:space="preserve"> </w:t>
      </w:r>
      <w:r>
        <w:t>(IS</w:t>
      </w:r>
      <w:r>
        <w:rPr>
          <w:spacing w:val="-5"/>
        </w:rPr>
        <w:t xml:space="preserve"> </w:t>
      </w:r>
      <w:r>
        <w:t xml:space="preserve">controls); </w:t>
      </w:r>
      <w:r>
        <w:rPr>
          <w:spacing w:val="-4"/>
        </w:rPr>
        <w:t>and</w:t>
      </w:r>
    </w:p>
    <w:p w14:paraId="0DFDAC81" w14:textId="77777777" w:rsidR="00046465" w:rsidRDefault="008134EB">
      <w:pPr>
        <w:pStyle w:val="ListParagraph"/>
        <w:numPr>
          <w:ilvl w:val="1"/>
          <w:numId w:val="19"/>
        </w:numPr>
        <w:tabs>
          <w:tab w:val="left" w:pos="2159"/>
        </w:tabs>
      </w:pPr>
      <w:r>
        <w:t>statistical</w:t>
      </w:r>
      <w:r>
        <w:rPr>
          <w:spacing w:val="-11"/>
        </w:rPr>
        <w:t xml:space="preserve"> </w:t>
      </w:r>
      <w:r>
        <w:rPr>
          <w:spacing w:val="-2"/>
        </w:rPr>
        <w:t>analysis.</w:t>
      </w:r>
    </w:p>
    <w:p w14:paraId="0DFDAC82" w14:textId="77777777" w:rsidR="00046465" w:rsidRDefault="008134EB">
      <w:pPr>
        <w:pStyle w:val="ListParagraph"/>
        <w:numPr>
          <w:ilvl w:val="0"/>
          <w:numId w:val="19"/>
        </w:numPr>
        <w:tabs>
          <w:tab w:val="left" w:pos="1799"/>
        </w:tabs>
        <w:ind w:left="1799" w:right="1253"/>
      </w:pPr>
      <w:r>
        <w:t>The</w:t>
      </w:r>
      <w:r>
        <w:rPr>
          <w:spacing w:val="-4"/>
        </w:rPr>
        <w:t xml:space="preserve"> </w:t>
      </w:r>
      <w:r>
        <w:t>following</w:t>
      </w:r>
      <w:r>
        <w:rPr>
          <w:spacing w:val="-4"/>
        </w:rPr>
        <w:t xml:space="preserve"> </w:t>
      </w:r>
      <w:r>
        <w:t>are</w:t>
      </w:r>
      <w:r>
        <w:rPr>
          <w:spacing w:val="-4"/>
        </w:rPr>
        <w:t xml:space="preserve"> </w:t>
      </w:r>
      <w:r>
        <w:t>examples</w:t>
      </w:r>
      <w:r>
        <w:rPr>
          <w:spacing w:val="-4"/>
        </w:rPr>
        <w:t xml:space="preserve"> </w:t>
      </w:r>
      <w:r>
        <w:t>of</w:t>
      </w:r>
      <w:r>
        <w:rPr>
          <w:spacing w:val="-4"/>
        </w:rPr>
        <w:t xml:space="preserve"> </w:t>
      </w:r>
      <w:r>
        <w:t>positions</w:t>
      </w:r>
      <w:r>
        <w:rPr>
          <w:spacing w:val="-3"/>
        </w:rPr>
        <w:t xml:space="preserve"> </w:t>
      </w:r>
      <w:r>
        <w:t>that</w:t>
      </w:r>
      <w:r>
        <w:rPr>
          <w:spacing w:val="-4"/>
        </w:rPr>
        <w:t xml:space="preserve"> </w:t>
      </w:r>
      <w:r>
        <w:t>generally</w:t>
      </w:r>
      <w:r>
        <w:rPr>
          <w:spacing w:val="-4"/>
        </w:rPr>
        <w:t xml:space="preserve"> </w:t>
      </w:r>
      <w:r>
        <w:t>should</w:t>
      </w:r>
      <w:r>
        <w:rPr>
          <w:spacing w:val="-5"/>
        </w:rPr>
        <w:t xml:space="preserve"> </w:t>
      </w:r>
      <w:r>
        <w:t>be</w:t>
      </w:r>
      <w:r>
        <w:rPr>
          <w:spacing w:val="-4"/>
        </w:rPr>
        <w:t xml:space="preserve"> </w:t>
      </w:r>
      <w:r>
        <w:t>considered auditor’s specialists:</w:t>
      </w:r>
    </w:p>
    <w:p w14:paraId="0DFDAC83" w14:textId="77777777" w:rsidR="00046465" w:rsidRDefault="008134EB">
      <w:pPr>
        <w:pStyle w:val="ListParagraph"/>
        <w:numPr>
          <w:ilvl w:val="1"/>
          <w:numId w:val="19"/>
        </w:numPr>
        <w:tabs>
          <w:tab w:val="left" w:pos="2158"/>
        </w:tabs>
        <w:ind w:left="2158" w:hanging="359"/>
      </w:pPr>
      <w:r>
        <w:t>statistician</w:t>
      </w:r>
      <w:r>
        <w:rPr>
          <w:spacing w:val="-9"/>
        </w:rPr>
        <w:t xml:space="preserve"> </w:t>
      </w:r>
      <w:r>
        <w:t>(with</w:t>
      </w:r>
      <w:r>
        <w:rPr>
          <w:spacing w:val="-9"/>
        </w:rPr>
        <w:t xml:space="preserve"> </w:t>
      </w:r>
      <w:r>
        <w:t>audit</w:t>
      </w:r>
      <w:r>
        <w:rPr>
          <w:spacing w:val="-8"/>
        </w:rPr>
        <w:t xml:space="preserve"> </w:t>
      </w:r>
      <w:r>
        <w:t>sampling</w:t>
      </w:r>
      <w:r>
        <w:rPr>
          <w:spacing w:val="-9"/>
        </w:rPr>
        <w:t xml:space="preserve"> </w:t>
      </w:r>
      <w:r>
        <w:rPr>
          <w:spacing w:val="-2"/>
        </w:rPr>
        <w:t>experience),</w:t>
      </w:r>
    </w:p>
    <w:p w14:paraId="0DFDAC84" w14:textId="77777777" w:rsidR="00046465" w:rsidRDefault="008134EB">
      <w:pPr>
        <w:pStyle w:val="ListParagraph"/>
        <w:numPr>
          <w:ilvl w:val="1"/>
          <w:numId w:val="19"/>
        </w:numPr>
        <w:tabs>
          <w:tab w:val="left" w:pos="2158"/>
        </w:tabs>
        <w:ind w:left="2158" w:hanging="359"/>
      </w:pPr>
      <w:r>
        <w:t>audit</w:t>
      </w:r>
      <w:r>
        <w:rPr>
          <w:spacing w:val="-8"/>
        </w:rPr>
        <w:t xml:space="preserve"> </w:t>
      </w:r>
      <w:r>
        <w:t>sampling</w:t>
      </w:r>
      <w:r>
        <w:rPr>
          <w:spacing w:val="-8"/>
        </w:rPr>
        <w:t xml:space="preserve"> </w:t>
      </w:r>
      <w:r>
        <w:rPr>
          <w:spacing w:val="-2"/>
        </w:rPr>
        <w:t>specialist,</w:t>
      </w:r>
    </w:p>
    <w:p w14:paraId="0DFDAC85" w14:textId="77777777" w:rsidR="00046465" w:rsidRDefault="00046465">
      <w:pPr>
        <w:pStyle w:val="ListParagraph"/>
        <w:sectPr w:rsidR="00046465">
          <w:headerReference w:type="default" r:id="rId35"/>
          <w:footerReference w:type="default" r:id="rId36"/>
          <w:pgSz w:w="12240" w:h="15840"/>
          <w:pgMar w:top="1340" w:right="720" w:bottom="940" w:left="1080" w:header="721" w:footer="757" w:gutter="0"/>
          <w:cols w:space="720"/>
        </w:sectPr>
      </w:pPr>
    </w:p>
    <w:p w14:paraId="0DFDAC86" w14:textId="77777777" w:rsidR="00046465" w:rsidRDefault="008134EB">
      <w:pPr>
        <w:pStyle w:val="ListParagraph"/>
        <w:numPr>
          <w:ilvl w:val="1"/>
          <w:numId w:val="19"/>
        </w:numPr>
        <w:tabs>
          <w:tab w:val="left" w:pos="2159"/>
        </w:tabs>
        <w:spacing w:before="121"/>
        <w:ind w:hanging="359"/>
      </w:pPr>
      <w:r>
        <w:lastRenderedPageBreak/>
        <w:t>legal</w:t>
      </w:r>
      <w:r>
        <w:rPr>
          <w:spacing w:val="-5"/>
        </w:rPr>
        <w:t xml:space="preserve"> </w:t>
      </w:r>
      <w:r>
        <w:rPr>
          <w:spacing w:val="-2"/>
        </w:rPr>
        <w:t>counsel,</w:t>
      </w:r>
    </w:p>
    <w:p w14:paraId="0DFDAC87" w14:textId="77777777" w:rsidR="00046465" w:rsidRDefault="008134EB">
      <w:pPr>
        <w:pStyle w:val="ListParagraph"/>
        <w:numPr>
          <w:ilvl w:val="1"/>
          <w:numId w:val="19"/>
        </w:numPr>
        <w:tabs>
          <w:tab w:val="left" w:pos="2159"/>
        </w:tabs>
        <w:ind w:hanging="359"/>
        <w:rPr>
          <w:position w:val="7"/>
          <w:sz w:val="14"/>
        </w:rPr>
      </w:pPr>
      <w:r>
        <w:t>IT</w:t>
      </w:r>
      <w:r>
        <w:rPr>
          <w:spacing w:val="-2"/>
        </w:rPr>
        <w:t xml:space="preserve"> specialist,</w:t>
      </w:r>
      <w:hyperlink w:anchor="_bookmark9" w:history="1">
        <w:r>
          <w:rPr>
            <w:spacing w:val="-2"/>
            <w:position w:val="7"/>
            <w:sz w:val="14"/>
          </w:rPr>
          <w:t>6</w:t>
        </w:r>
      </w:hyperlink>
    </w:p>
    <w:p w14:paraId="0DFDAC88" w14:textId="77777777" w:rsidR="00046465" w:rsidRDefault="008134EB">
      <w:pPr>
        <w:pStyle w:val="ListParagraph"/>
        <w:numPr>
          <w:ilvl w:val="1"/>
          <w:numId w:val="19"/>
        </w:numPr>
        <w:tabs>
          <w:tab w:val="left" w:pos="2159"/>
        </w:tabs>
        <w:ind w:hanging="359"/>
      </w:pPr>
      <w:r>
        <w:t>actuary</w:t>
      </w:r>
      <w:r>
        <w:rPr>
          <w:spacing w:val="-7"/>
        </w:rPr>
        <w:t xml:space="preserve"> </w:t>
      </w:r>
      <w:r>
        <w:t>(for</w:t>
      </w:r>
      <w:r>
        <w:rPr>
          <w:spacing w:val="-7"/>
        </w:rPr>
        <w:t xml:space="preserve"> </w:t>
      </w:r>
      <w:r>
        <w:t>insurance</w:t>
      </w:r>
      <w:r>
        <w:rPr>
          <w:spacing w:val="-7"/>
        </w:rPr>
        <w:t xml:space="preserve"> </w:t>
      </w:r>
      <w:r>
        <w:t>and</w:t>
      </w:r>
      <w:r>
        <w:rPr>
          <w:spacing w:val="-6"/>
        </w:rPr>
        <w:t xml:space="preserve"> </w:t>
      </w:r>
      <w:r>
        <w:t>pension</w:t>
      </w:r>
      <w:r>
        <w:rPr>
          <w:spacing w:val="-7"/>
        </w:rPr>
        <w:t xml:space="preserve"> </w:t>
      </w:r>
      <w:r>
        <w:rPr>
          <w:spacing w:val="-2"/>
        </w:rPr>
        <w:t>audits),</w:t>
      </w:r>
    </w:p>
    <w:p w14:paraId="0DFDAC89" w14:textId="77777777" w:rsidR="00046465" w:rsidRDefault="008134EB">
      <w:pPr>
        <w:pStyle w:val="ListParagraph"/>
        <w:numPr>
          <w:ilvl w:val="1"/>
          <w:numId w:val="19"/>
        </w:numPr>
        <w:tabs>
          <w:tab w:val="left" w:pos="2160"/>
        </w:tabs>
        <w:spacing w:before="119"/>
        <w:ind w:left="2160"/>
      </w:pPr>
      <w:r>
        <w:rPr>
          <w:spacing w:val="-2"/>
        </w:rPr>
        <w:t>economist,</w:t>
      </w:r>
    </w:p>
    <w:p w14:paraId="0DFDAC8A" w14:textId="77777777" w:rsidR="00046465" w:rsidRDefault="008134EB">
      <w:pPr>
        <w:pStyle w:val="ListParagraph"/>
        <w:numPr>
          <w:ilvl w:val="1"/>
          <w:numId w:val="19"/>
        </w:numPr>
        <w:tabs>
          <w:tab w:val="left" w:pos="2159"/>
        </w:tabs>
        <w:ind w:hanging="359"/>
      </w:pPr>
      <w:r>
        <w:t>financial</w:t>
      </w:r>
      <w:r>
        <w:rPr>
          <w:spacing w:val="-9"/>
        </w:rPr>
        <w:t xml:space="preserve"> </w:t>
      </w:r>
      <w:r>
        <w:t>analyst,</w:t>
      </w:r>
      <w:r>
        <w:rPr>
          <w:spacing w:val="-9"/>
        </w:rPr>
        <w:t xml:space="preserve"> </w:t>
      </w:r>
      <w:r>
        <w:rPr>
          <w:spacing w:val="-5"/>
        </w:rPr>
        <w:t>and</w:t>
      </w:r>
    </w:p>
    <w:p w14:paraId="0DFDAC8B" w14:textId="77777777" w:rsidR="00046465" w:rsidRDefault="008134EB">
      <w:pPr>
        <w:pStyle w:val="ListParagraph"/>
        <w:numPr>
          <w:ilvl w:val="1"/>
          <w:numId w:val="19"/>
        </w:numPr>
        <w:tabs>
          <w:tab w:val="left" w:pos="2158"/>
        </w:tabs>
        <w:spacing w:before="121"/>
        <w:ind w:left="2158" w:hanging="359"/>
      </w:pPr>
      <w:r>
        <w:t>environmental</w:t>
      </w:r>
      <w:r>
        <w:rPr>
          <w:spacing w:val="-15"/>
        </w:rPr>
        <w:t xml:space="preserve"> </w:t>
      </w:r>
      <w:r>
        <w:rPr>
          <w:spacing w:val="-2"/>
        </w:rPr>
        <w:t>specialist.</w:t>
      </w:r>
    </w:p>
    <w:p w14:paraId="0DFDAC8C" w14:textId="77777777" w:rsidR="00046465" w:rsidRDefault="008134EB">
      <w:pPr>
        <w:pStyle w:val="ListParagraph"/>
        <w:numPr>
          <w:ilvl w:val="0"/>
          <w:numId w:val="19"/>
        </w:numPr>
        <w:tabs>
          <w:tab w:val="left" w:pos="1799"/>
        </w:tabs>
        <w:ind w:left="1799" w:right="1046"/>
      </w:pPr>
      <w:r>
        <w:rPr>
          <w:color w:val="242424"/>
        </w:rPr>
        <w:t>In</w:t>
      </w:r>
      <w:r>
        <w:rPr>
          <w:color w:val="242424"/>
          <w:spacing w:val="-4"/>
        </w:rPr>
        <w:t xml:space="preserve"> </w:t>
      </w:r>
      <w:r>
        <w:rPr>
          <w:color w:val="242424"/>
        </w:rPr>
        <w:t>many</w:t>
      </w:r>
      <w:r>
        <w:rPr>
          <w:color w:val="242424"/>
          <w:spacing w:val="-4"/>
        </w:rPr>
        <w:t xml:space="preserve"> </w:t>
      </w:r>
      <w:r>
        <w:rPr>
          <w:color w:val="242424"/>
        </w:rPr>
        <w:t>cases,</w:t>
      </w:r>
      <w:r>
        <w:rPr>
          <w:color w:val="242424"/>
          <w:spacing w:val="-4"/>
        </w:rPr>
        <w:t xml:space="preserve"> </w:t>
      </w:r>
      <w:r>
        <w:rPr>
          <w:color w:val="242424"/>
        </w:rPr>
        <w:t>distinguishing</w:t>
      </w:r>
      <w:r>
        <w:rPr>
          <w:color w:val="242424"/>
          <w:spacing w:val="-4"/>
        </w:rPr>
        <w:t xml:space="preserve"> </w:t>
      </w:r>
      <w:r>
        <w:rPr>
          <w:color w:val="242424"/>
        </w:rPr>
        <w:t>between</w:t>
      </w:r>
      <w:r>
        <w:rPr>
          <w:color w:val="242424"/>
          <w:spacing w:val="-4"/>
        </w:rPr>
        <w:t xml:space="preserve"> </w:t>
      </w:r>
      <w:r>
        <w:rPr>
          <w:color w:val="242424"/>
        </w:rPr>
        <w:t>expertise</w:t>
      </w:r>
      <w:r>
        <w:rPr>
          <w:color w:val="242424"/>
          <w:spacing w:val="-5"/>
        </w:rPr>
        <w:t xml:space="preserve"> </w:t>
      </w:r>
      <w:r>
        <w:rPr>
          <w:color w:val="242424"/>
        </w:rPr>
        <w:t>in</w:t>
      </w:r>
      <w:r>
        <w:rPr>
          <w:color w:val="242424"/>
          <w:spacing w:val="-4"/>
        </w:rPr>
        <w:t xml:space="preserve"> </w:t>
      </w:r>
      <w:r>
        <w:rPr>
          <w:color w:val="242424"/>
        </w:rPr>
        <w:t>accounting</w:t>
      </w:r>
      <w:r>
        <w:rPr>
          <w:color w:val="242424"/>
          <w:spacing w:val="-4"/>
        </w:rPr>
        <w:t xml:space="preserve"> </w:t>
      </w:r>
      <w:r>
        <w:rPr>
          <w:color w:val="242424"/>
        </w:rPr>
        <w:t>or</w:t>
      </w:r>
      <w:r>
        <w:rPr>
          <w:color w:val="242424"/>
          <w:spacing w:val="-4"/>
        </w:rPr>
        <w:t xml:space="preserve"> </w:t>
      </w:r>
      <w:r>
        <w:rPr>
          <w:color w:val="242424"/>
        </w:rPr>
        <w:t>auditing</w:t>
      </w:r>
      <w:r>
        <w:rPr>
          <w:color w:val="242424"/>
          <w:spacing w:val="-4"/>
        </w:rPr>
        <w:t xml:space="preserve"> </w:t>
      </w:r>
      <w:r>
        <w:rPr>
          <w:color w:val="242424"/>
        </w:rPr>
        <w:t>and expertise in another field will be straightforward, even when this involves a specialized area of accounting or auditing. The table below highlights some examples (AU-C 620.A2).</w:t>
      </w:r>
    </w:p>
    <w:p w14:paraId="0DFDAC8D" w14:textId="77777777" w:rsidR="00046465" w:rsidRDefault="00046465">
      <w:pPr>
        <w:pStyle w:val="BodyText"/>
        <w:spacing w:before="3"/>
        <w:rPr>
          <w:sz w:val="11"/>
        </w:rPr>
      </w:pPr>
    </w:p>
    <w:tbl>
      <w:tblPr>
        <w:tblW w:w="0" w:type="auto"/>
        <w:tblInd w:w="181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260"/>
        <w:gridCol w:w="3420"/>
        <w:gridCol w:w="3348"/>
      </w:tblGrid>
      <w:tr w:rsidR="00046465" w14:paraId="0DFDAC95" w14:textId="77777777">
        <w:trPr>
          <w:trHeight w:val="929"/>
        </w:trPr>
        <w:tc>
          <w:tcPr>
            <w:tcW w:w="1260" w:type="dxa"/>
            <w:tcBorders>
              <w:right w:val="single" w:sz="8" w:space="0" w:color="000000"/>
            </w:tcBorders>
          </w:tcPr>
          <w:p w14:paraId="0DFDAC8E" w14:textId="77777777" w:rsidR="00046465" w:rsidRDefault="00046465">
            <w:pPr>
              <w:pStyle w:val="TableParagraph"/>
              <w:rPr>
                <w:sz w:val="20"/>
              </w:rPr>
            </w:pPr>
          </w:p>
          <w:p w14:paraId="0DFDAC8F" w14:textId="77777777" w:rsidR="00046465" w:rsidRDefault="00046465">
            <w:pPr>
              <w:pStyle w:val="TableParagraph"/>
              <w:spacing w:before="121"/>
              <w:rPr>
                <w:sz w:val="20"/>
              </w:rPr>
            </w:pPr>
          </w:p>
          <w:p w14:paraId="0DFDAC90" w14:textId="77777777" w:rsidR="00046465" w:rsidRDefault="008134EB">
            <w:pPr>
              <w:pStyle w:val="TableParagraph"/>
              <w:ind w:left="97"/>
              <w:rPr>
                <w:b/>
                <w:sz w:val="20"/>
              </w:rPr>
            </w:pPr>
            <w:r>
              <w:rPr>
                <w:b/>
                <w:color w:val="242424"/>
                <w:spacing w:val="-4"/>
                <w:sz w:val="20"/>
              </w:rPr>
              <w:t>Area</w:t>
            </w:r>
          </w:p>
        </w:tc>
        <w:tc>
          <w:tcPr>
            <w:tcW w:w="3420" w:type="dxa"/>
            <w:tcBorders>
              <w:left w:val="single" w:sz="8" w:space="0" w:color="000000"/>
              <w:right w:val="single" w:sz="8" w:space="0" w:color="000000"/>
            </w:tcBorders>
          </w:tcPr>
          <w:p w14:paraId="0DFDAC91" w14:textId="77777777" w:rsidR="00046465" w:rsidRDefault="008134EB">
            <w:pPr>
              <w:pStyle w:val="TableParagraph"/>
              <w:spacing w:before="1"/>
              <w:ind w:left="102"/>
              <w:rPr>
                <w:b/>
                <w:sz w:val="20"/>
              </w:rPr>
            </w:pPr>
            <w:r>
              <w:rPr>
                <w:b/>
                <w:color w:val="242424"/>
                <w:sz w:val="20"/>
              </w:rPr>
              <w:t>Expertise</w:t>
            </w:r>
            <w:r>
              <w:rPr>
                <w:b/>
                <w:color w:val="242424"/>
                <w:spacing w:val="-12"/>
                <w:sz w:val="20"/>
              </w:rPr>
              <w:t xml:space="preserve"> </w:t>
            </w:r>
            <w:r>
              <w:rPr>
                <w:b/>
                <w:color w:val="242424"/>
                <w:sz w:val="20"/>
              </w:rPr>
              <w:t>in</w:t>
            </w:r>
            <w:r>
              <w:rPr>
                <w:b/>
                <w:color w:val="242424"/>
                <w:spacing w:val="-12"/>
                <w:sz w:val="20"/>
              </w:rPr>
              <w:t xml:space="preserve"> </w:t>
            </w:r>
            <w:r>
              <w:rPr>
                <w:b/>
                <w:color w:val="242424"/>
                <w:sz w:val="20"/>
              </w:rPr>
              <w:t>accounting</w:t>
            </w:r>
            <w:r>
              <w:rPr>
                <w:b/>
                <w:color w:val="242424"/>
                <w:spacing w:val="-13"/>
                <w:sz w:val="20"/>
              </w:rPr>
              <w:t xml:space="preserve"> </w:t>
            </w:r>
            <w:r>
              <w:rPr>
                <w:b/>
                <w:color w:val="242424"/>
                <w:sz w:val="20"/>
              </w:rPr>
              <w:t xml:space="preserve">and </w:t>
            </w:r>
            <w:r>
              <w:rPr>
                <w:b/>
                <w:color w:val="242424"/>
                <w:spacing w:val="-2"/>
                <w:sz w:val="20"/>
              </w:rPr>
              <w:t>auditing</w:t>
            </w:r>
          </w:p>
          <w:p w14:paraId="0DFDAC92" w14:textId="77777777" w:rsidR="00046465" w:rsidRDefault="008134EB">
            <w:pPr>
              <w:pStyle w:val="TableParagraph"/>
              <w:spacing w:before="120"/>
              <w:ind w:left="102"/>
              <w:rPr>
                <w:sz w:val="20"/>
              </w:rPr>
            </w:pPr>
            <w:r>
              <w:rPr>
                <w:color w:val="242424"/>
                <w:spacing w:val="-2"/>
                <w:sz w:val="20"/>
              </w:rPr>
              <w:t>(Auditor)</w:t>
            </w:r>
          </w:p>
        </w:tc>
        <w:tc>
          <w:tcPr>
            <w:tcW w:w="3348" w:type="dxa"/>
            <w:tcBorders>
              <w:left w:val="single" w:sz="8" w:space="0" w:color="000000"/>
            </w:tcBorders>
          </w:tcPr>
          <w:p w14:paraId="0DFDAC93" w14:textId="77777777" w:rsidR="00046465" w:rsidRDefault="008134EB">
            <w:pPr>
              <w:pStyle w:val="TableParagraph"/>
              <w:spacing w:before="1"/>
              <w:ind w:left="102"/>
              <w:rPr>
                <w:b/>
                <w:sz w:val="20"/>
              </w:rPr>
            </w:pPr>
            <w:r>
              <w:rPr>
                <w:b/>
                <w:color w:val="242424"/>
                <w:sz w:val="20"/>
              </w:rPr>
              <w:t>Expertise</w:t>
            </w:r>
            <w:r>
              <w:rPr>
                <w:b/>
                <w:color w:val="242424"/>
                <w:spacing w:val="-7"/>
                <w:sz w:val="20"/>
              </w:rPr>
              <w:t xml:space="preserve"> </w:t>
            </w:r>
            <w:r>
              <w:rPr>
                <w:b/>
                <w:color w:val="242424"/>
                <w:sz w:val="20"/>
              </w:rPr>
              <w:t>in</w:t>
            </w:r>
            <w:r>
              <w:rPr>
                <w:b/>
                <w:color w:val="242424"/>
                <w:spacing w:val="-7"/>
                <w:sz w:val="20"/>
              </w:rPr>
              <w:t xml:space="preserve"> </w:t>
            </w:r>
            <w:r>
              <w:rPr>
                <w:b/>
                <w:color w:val="242424"/>
                <w:sz w:val="20"/>
              </w:rPr>
              <w:t>a</w:t>
            </w:r>
            <w:r>
              <w:rPr>
                <w:b/>
                <w:color w:val="242424"/>
                <w:spacing w:val="-7"/>
                <w:sz w:val="20"/>
              </w:rPr>
              <w:t xml:space="preserve"> </w:t>
            </w:r>
            <w:r>
              <w:rPr>
                <w:b/>
                <w:color w:val="242424"/>
                <w:sz w:val="20"/>
              </w:rPr>
              <w:t>field</w:t>
            </w:r>
            <w:r>
              <w:rPr>
                <w:b/>
                <w:color w:val="242424"/>
                <w:spacing w:val="-7"/>
                <w:sz w:val="20"/>
              </w:rPr>
              <w:t xml:space="preserve"> </w:t>
            </w:r>
            <w:r>
              <w:rPr>
                <w:b/>
                <w:color w:val="242424"/>
                <w:sz w:val="20"/>
                <w:u w:val="single" w:color="242424"/>
              </w:rPr>
              <w:t>other</w:t>
            </w:r>
            <w:r>
              <w:rPr>
                <w:b/>
                <w:color w:val="242424"/>
                <w:spacing w:val="-8"/>
                <w:sz w:val="20"/>
              </w:rPr>
              <w:t xml:space="preserve"> </w:t>
            </w:r>
            <w:r>
              <w:rPr>
                <w:b/>
                <w:color w:val="242424"/>
                <w:sz w:val="20"/>
              </w:rPr>
              <w:t>than accounting and auditing</w:t>
            </w:r>
          </w:p>
          <w:p w14:paraId="0DFDAC94" w14:textId="77777777" w:rsidR="00046465" w:rsidRDefault="008134EB">
            <w:pPr>
              <w:pStyle w:val="TableParagraph"/>
              <w:spacing w:before="120"/>
              <w:ind w:left="102"/>
              <w:rPr>
                <w:sz w:val="20"/>
              </w:rPr>
            </w:pPr>
            <w:r>
              <w:rPr>
                <w:color w:val="242424"/>
                <w:sz w:val="20"/>
              </w:rPr>
              <w:t>(Auditor’s</w:t>
            </w:r>
            <w:r>
              <w:rPr>
                <w:color w:val="242424"/>
                <w:spacing w:val="-5"/>
                <w:sz w:val="20"/>
              </w:rPr>
              <w:t xml:space="preserve"> </w:t>
            </w:r>
            <w:r>
              <w:rPr>
                <w:color w:val="242424"/>
                <w:spacing w:val="-2"/>
                <w:sz w:val="20"/>
              </w:rPr>
              <w:t>specialist)</w:t>
            </w:r>
          </w:p>
        </w:tc>
      </w:tr>
      <w:tr w:rsidR="00046465" w14:paraId="0DFDAC99" w14:textId="77777777">
        <w:trPr>
          <w:trHeight w:val="579"/>
        </w:trPr>
        <w:tc>
          <w:tcPr>
            <w:tcW w:w="1260" w:type="dxa"/>
            <w:tcBorders>
              <w:bottom w:val="single" w:sz="8" w:space="0" w:color="000000"/>
              <w:right w:val="single" w:sz="8" w:space="0" w:color="000000"/>
            </w:tcBorders>
          </w:tcPr>
          <w:p w14:paraId="0DFDAC96" w14:textId="77777777" w:rsidR="00046465" w:rsidRDefault="008134EB">
            <w:pPr>
              <w:pStyle w:val="TableParagraph"/>
              <w:spacing w:before="1"/>
              <w:ind w:left="97"/>
              <w:rPr>
                <w:sz w:val="20"/>
              </w:rPr>
            </w:pPr>
            <w:r>
              <w:rPr>
                <w:color w:val="242424"/>
                <w:spacing w:val="-2"/>
                <w:sz w:val="20"/>
              </w:rPr>
              <w:t>Employee benefits</w:t>
            </w:r>
          </w:p>
        </w:tc>
        <w:tc>
          <w:tcPr>
            <w:tcW w:w="3420" w:type="dxa"/>
            <w:tcBorders>
              <w:left w:val="single" w:sz="8" w:space="0" w:color="000000"/>
              <w:bottom w:val="single" w:sz="8" w:space="0" w:color="000000"/>
              <w:right w:val="single" w:sz="8" w:space="0" w:color="000000"/>
            </w:tcBorders>
          </w:tcPr>
          <w:p w14:paraId="0DFDAC97" w14:textId="77777777" w:rsidR="00046465" w:rsidRDefault="008134EB">
            <w:pPr>
              <w:pStyle w:val="TableParagraph"/>
              <w:spacing w:before="1"/>
              <w:ind w:left="102"/>
              <w:rPr>
                <w:sz w:val="20"/>
              </w:rPr>
            </w:pPr>
            <w:r>
              <w:rPr>
                <w:color w:val="242424"/>
                <w:sz w:val="20"/>
              </w:rPr>
              <w:t>Applying</w:t>
            </w:r>
            <w:r>
              <w:rPr>
                <w:color w:val="242424"/>
                <w:spacing w:val="-10"/>
                <w:sz w:val="20"/>
              </w:rPr>
              <w:t xml:space="preserve"> </w:t>
            </w:r>
            <w:r>
              <w:rPr>
                <w:color w:val="242424"/>
                <w:sz w:val="20"/>
              </w:rPr>
              <w:t>methods</w:t>
            </w:r>
            <w:r>
              <w:rPr>
                <w:color w:val="242424"/>
                <w:spacing w:val="-9"/>
                <w:sz w:val="20"/>
              </w:rPr>
              <w:t xml:space="preserve"> </w:t>
            </w:r>
            <w:r>
              <w:rPr>
                <w:color w:val="242424"/>
                <w:sz w:val="20"/>
              </w:rPr>
              <w:t>of</w:t>
            </w:r>
            <w:r>
              <w:rPr>
                <w:color w:val="242424"/>
                <w:spacing w:val="-10"/>
                <w:sz w:val="20"/>
              </w:rPr>
              <w:t xml:space="preserve"> </w:t>
            </w:r>
            <w:r>
              <w:rPr>
                <w:color w:val="242424"/>
                <w:sz w:val="20"/>
              </w:rPr>
              <w:t>accounting</w:t>
            </w:r>
            <w:r>
              <w:rPr>
                <w:color w:val="242424"/>
                <w:spacing w:val="-10"/>
                <w:sz w:val="20"/>
              </w:rPr>
              <w:t xml:space="preserve"> </w:t>
            </w:r>
            <w:r>
              <w:rPr>
                <w:color w:val="242424"/>
                <w:sz w:val="20"/>
              </w:rPr>
              <w:t>for employee benefit accrual</w:t>
            </w:r>
          </w:p>
        </w:tc>
        <w:tc>
          <w:tcPr>
            <w:tcW w:w="3348" w:type="dxa"/>
            <w:tcBorders>
              <w:left w:val="single" w:sz="8" w:space="0" w:color="000000"/>
              <w:bottom w:val="single" w:sz="8" w:space="0" w:color="000000"/>
            </w:tcBorders>
          </w:tcPr>
          <w:p w14:paraId="0DFDAC98" w14:textId="77777777" w:rsidR="00046465" w:rsidRDefault="008134EB">
            <w:pPr>
              <w:pStyle w:val="TableParagraph"/>
              <w:spacing w:before="1"/>
              <w:ind w:left="102"/>
              <w:rPr>
                <w:sz w:val="20"/>
              </w:rPr>
            </w:pPr>
            <w:r>
              <w:rPr>
                <w:color w:val="242424"/>
                <w:sz w:val="20"/>
              </w:rPr>
              <w:t>Actuarial</w:t>
            </w:r>
            <w:r>
              <w:rPr>
                <w:color w:val="242424"/>
                <w:spacing w:val="-12"/>
                <w:sz w:val="20"/>
              </w:rPr>
              <w:t xml:space="preserve"> </w:t>
            </w:r>
            <w:r>
              <w:rPr>
                <w:color w:val="242424"/>
                <w:sz w:val="20"/>
              </w:rPr>
              <w:t>computation</w:t>
            </w:r>
            <w:r>
              <w:rPr>
                <w:color w:val="242424"/>
                <w:spacing w:val="-12"/>
                <w:sz w:val="20"/>
              </w:rPr>
              <w:t xml:space="preserve"> </w:t>
            </w:r>
            <w:r>
              <w:rPr>
                <w:color w:val="242424"/>
                <w:sz w:val="20"/>
              </w:rPr>
              <w:t>of</w:t>
            </w:r>
            <w:r>
              <w:rPr>
                <w:color w:val="242424"/>
                <w:spacing w:val="-12"/>
                <w:sz w:val="20"/>
              </w:rPr>
              <w:t xml:space="preserve"> </w:t>
            </w:r>
            <w:r>
              <w:rPr>
                <w:color w:val="242424"/>
                <w:sz w:val="20"/>
              </w:rPr>
              <w:t xml:space="preserve">employee </w:t>
            </w:r>
            <w:r>
              <w:rPr>
                <w:color w:val="242424"/>
                <w:spacing w:val="-2"/>
                <w:sz w:val="20"/>
              </w:rPr>
              <w:t>benefits</w:t>
            </w:r>
          </w:p>
        </w:tc>
      </w:tr>
      <w:tr w:rsidR="00046465" w14:paraId="0DFDAC9D" w14:textId="77777777">
        <w:trPr>
          <w:trHeight w:val="836"/>
        </w:trPr>
        <w:tc>
          <w:tcPr>
            <w:tcW w:w="1260" w:type="dxa"/>
            <w:tcBorders>
              <w:top w:val="single" w:sz="8" w:space="0" w:color="000000"/>
              <w:right w:val="single" w:sz="8" w:space="0" w:color="000000"/>
            </w:tcBorders>
          </w:tcPr>
          <w:p w14:paraId="0DFDAC9A" w14:textId="77777777" w:rsidR="00046465" w:rsidRDefault="008134EB">
            <w:pPr>
              <w:pStyle w:val="TableParagraph"/>
              <w:spacing w:before="129"/>
              <w:ind w:left="97"/>
              <w:rPr>
                <w:sz w:val="20"/>
              </w:rPr>
            </w:pPr>
            <w:r>
              <w:rPr>
                <w:color w:val="242424"/>
                <w:spacing w:val="-2"/>
                <w:sz w:val="20"/>
              </w:rPr>
              <w:t>Financial instruments</w:t>
            </w:r>
          </w:p>
        </w:tc>
        <w:tc>
          <w:tcPr>
            <w:tcW w:w="3420" w:type="dxa"/>
            <w:tcBorders>
              <w:top w:val="single" w:sz="8" w:space="0" w:color="000000"/>
              <w:left w:val="single" w:sz="8" w:space="0" w:color="000000"/>
              <w:right w:val="single" w:sz="8" w:space="0" w:color="000000"/>
            </w:tcBorders>
          </w:tcPr>
          <w:p w14:paraId="0DFDAC9B" w14:textId="77777777" w:rsidR="00046465" w:rsidRDefault="008134EB">
            <w:pPr>
              <w:pStyle w:val="TableParagraph"/>
              <w:spacing w:before="129"/>
              <w:ind w:left="102"/>
              <w:rPr>
                <w:sz w:val="20"/>
              </w:rPr>
            </w:pPr>
            <w:r>
              <w:rPr>
                <w:color w:val="242424"/>
                <w:sz w:val="20"/>
              </w:rPr>
              <w:t>Applying</w:t>
            </w:r>
            <w:r>
              <w:rPr>
                <w:color w:val="242424"/>
                <w:spacing w:val="-10"/>
                <w:sz w:val="20"/>
              </w:rPr>
              <w:t xml:space="preserve"> </w:t>
            </w:r>
            <w:r>
              <w:rPr>
                <w:color w:val="242424"/>
                <w:sz w:val="20"/>
              </w:rPr>
              <w:t>methods</w:t>
            </w:r>
            <w:r>
              <w:rPr>
                <w:color w:val="242424"/>
                <w:spacing w:val="-9"/>
                <w:sz w:val="20"/>
              </w:rPr>
              <w:t xml:space="preserve"> </w:t>
            </w:r>
            <w:r>
              <w:rPr>
                <w:color w:val="242424"/>
                <w:sz w:val="20"/>
              </w:rPr>
              <w:t>of</w:t>
            </w:r>
            <w:r>
              <w:rPr>
                <w:color w:val="242424"/>
                <w:spacing w:val="-10"/>
                <w:sz w:val="20"/>
              </w:rPr>
              <w:t xml:space="preserve"> </w:t>
            </w:r>
            <w:r>
              <w:rPr>
                <w:color w:val="242424"/>
                <w:sz w:val="20"/>
              </w:rPr>
              <w:t>accounting</w:t>
            </w:r>
            <w:r>
              <w:rPr>
                <w:color w:val="242424"/>
                <w:spacing w:val="-10"/>
                <w:sz w:val="20"/>
              </w:rPr>
              <w:t xml:space="preserve"> </w:t>
            </w:r>
            <w:r>
              <w:rPr>
                <w:color w:val="242424"/>
                <w:sz w:val="20"/>
              </w:rPr>
              <w:t>for financial instruments</w:t>
            </w:r>
          </w:p>
        </w:tc>
        <w:tc>
          <w:tcPr>
            <w:tcW w:w="3348" w:type="dxa"/>
            <w:tcBorders>
              <w:top w:val="single" w:sz="8" w:space="0" w:color="000000"/>
              <w:left w:val="single" w:sz="8" w:space="0" w:color="000000"/>
            </w:tcBorders>
          </w:tcPr>
          <w:p w14:paraId="0DFDAC9C" w14:textId="77777777" w:rsidR="00046465" w:rsidRDefault="008134EB">
            <w:pPr>
              <w:pStyle w:val="TableParagraph"/>
              <w:spacing w:before="129"/>
              <w:ind w:left="102" w:right="55"/>
              <w:rPr>
                <w:sz w:val="20"/>
              </w:rPr>
            </w:pPr>
            <w:r>
              <w:rPr>
                <w:color w:val="242424"/>
                <w:sz w:val="20"/>
              </w:rPr>
              <w:t>Complex</w:t>
            </w:r>
            <w:r>
              <w:rPr>
                <w:color w:val="242424"/>
                <w:spacing w:val="-9"/>
                <w:sz w:val="20"/>
              </w:rPr>
              <w:t xml:space="preserve"> </w:t>
            </w:r>
            <w:r>
              <w:rPr>
                <w:color w:val="242424"/>
                <w:sz w:val="20"/>
              </w:rPr>
              <w:t>modeling</w:t>
            </w:r>
            <w:r>
              <w:rPr>
                <w:color w:val="242424"/>
                <w:spacing w:val="-10"/>
                <w:sz w:val="20"/>
              </w:rPr>
              <w:t xml:space="preserve"> </w:t>
            </w:r>
            <w:r>
              <w:rPr>
                <w:color w:val="242424"/>
                <w:sz w:val="20"/>
              </w:rPr>
              <w:t>for</w:t>
            </w:r>
            <w:r>
              <w:rPr>
                <w:color w:val="242424"/>
                <w:spacing w:val="-9"/>
                <w:sz w:val="20"/>
              </w:rPr>
              <w:t xml:space="preserve"> </w:t>
            </w:r>
            <w:r>
              <w:rPr>
                <w:color w:val="242424"/>
                <w:sz w:val="20"/>
              </w:rPr>
              <w:t>the</w:t>
            </w:r>
            <w:r>
              <w:rPr>
                <w:color w:val="242424"/>
                <w:spacing w:val="-11"/>
                <w:sz w:val="20"/>
              </w:rPr>
              <w:t xml:space="preserve"> </w:t>
            </w:r>
            <w:r>
              <w:rPr>
                <w:color w:val="242424"/>
                <w:sz w:val="20"/>
              </w:rPr>
              <w:t>purpose of valuing financial instruments</w:t>
            </w:r>
          </w:p>
        </w:tc>
      </w:tr>
    </w:tbl>
    <w:p w14:paraId="0DFDAC9E" w14:textId="77777777" w:rsidR="00046465" w:rsidRDefault="008134EB">
      <w:pPr>
        <w:pStyle w:val="ListParagraph"/>
        <w:numPr>
          <w:ilvl w:val="0"/>
          <w:numId w:val="19"/>
        </w:numPr>
        <w:tabs>
          <w:tab w:val="left" w:pos="1800"/>
        </w:tabs>
        <w:spacing w:before="111"/>
        <w:ind w:right="725"/>
      </w:pPr>
      <w:r>
        <w:rPr>
          <w:color w:val="242424"/>
        </w:rPr>
        <w:t>However, in some cases, particularly those involving an emerging area of accounting or auditing expertise, distinguishing between specialized areas of accounting or auditing and expertise in another field will be a matter of professional judgment. Applicable professional rules and standards regarding education</w:t>
      </w:r>
      <w:r>
        <w:rPr>
          <w:color w:val="242424"/>
          <w:spacing w:val="-5"/>
        </w:rPr>
        <w:t xml:space="preserve"> </w:t>
      </w:r>
      <w:r>
        <w:rPr>
          <w:color w:val="242424"/>
        </w:rPr>
        <w:t>and</w:t>
      </w:r>
      <w:r>
        <w:rPr>
          <w:color w:val="242424"/>
          <w:spacing w:val="-5"/>
        </w:rPr>
        <w:t xml:space="preserve"> </w:t>
      </w:r>
      <w:r>
        <w:rPr>
          <w:color w:val="242424"/>
        </w:rPr>
        <w:t>competency</w:t>
      </w:r>
      <w:r>
        <w:rPr>
          <w:color w:val="242424"/>
          <w:spacing w:val="-5"/>
        </w:rPr>
        <w:t xml:space="preserve"> </w:t>
      </w:r>
      <w:r>
        <w:rPr>
          <w:color w:val="242424"/>
        </w:rPr>
        <w:t>requirements</w:t>
      </w:r>
      <w:r>
        <w:rPr>
          <w:color w:val="242424"/>
          <w:spacing w:val="-5"/>
        </w:rPr>
        <w:t xml:space="preserve"> </w:t>
      </w:r>
      <w:r>
        <w:rPr>
          <w:color w:val="242424"/>
        </w:rPr>
        <w:t>for</w:t>
      </w:r>
      <w:r>
        <w:rPr>
          <w:color w:val="242424"/>
          <w:spacing w:val="-5"/>
        </w:rPr>
        <w:t xml:space="preserve"> </w:t>
      </w:r>
      <w:r>
        <w:rPr>
          <w:color w:val="242424"/>
        </w:rPr>
        <w:t>accountants</w:t>
      </w:r>
      <w:r>
        <w:rPr>
          <w:color w:val="242424"/>
          <w:spacing w:val="-5"/>
        </w:rPr>
        <w:t xml:space="preserve"> </w:t>
      </w:r>
      <w:r>
        <w:rPr>
          <w:color w:val="242424"/>
        </w:rPr>
        <w:t>and</w:t>
      </w:r>
      <w:r>
        <w:rPr>
          <w:color w:val="242424"/>
          <w:spacing w:val="-5"/>
        </w:rPr>
        <w:t xml:space="preserve"> </w:t>
      </w:r>
      <w:r>
        <w:rPr>
          <w:color w:val="242424"/>
        </w:rPr>
        <w:t>auditors</w:t>
      </w:r>
      <w:r>
        <w:rPr>
          <w:color w:val="242424"/>
          <w:spacing w:val="-5"/>
        </w:rPr>
        <w:t xml:space="preserve"> </w:t>
      </w:r>
      <w:r>
        <w:rPr>
          <w:color w:val="242424"/>
        </w:rPr>
        <w:t>may</w:t>
      </w:r>
      <w:r>
        <w:rPr>
          <w:color w:val="242424"/>
          <w:spacing w:val="-5"/>
        </w:rPr>
        <w:t xml:space="preserve"> </w:t>
      </w:r>
      <w:r>
        <w:rPr>
          <w:color w:val="242424"/>
        </w:rPr>
        <w:t>assist the auditor in exercising that judgment (AU-C 620.A2).</w:t>
      </w:r>
    </w:p>
    <w:p w14:paraId="0DFDAC9F" w14:textId="77777777" w:rsidR="00046465" w:rsidRDefault="008134EB">
      <w:pPr>
        <w:pStyle w:val="ListParagraph"/>
        <w:numPr>
          <w:ilvl w:val="0"/>
          <w:numId w:val="19"/>
        </w:numPr>
        <w:tabs>
          <w:tab w:val="left" w:pos="1799"/>
        </w:tabs>
        <w:ind w:left="1799" w:right="1067" w:hanging="720"/>
      </w:pPr>
      <w:r>
        <w:rPr>
          <w:color w:val="242424"/>
        </w:rPr>
        <w:t>An individual may possess expertise in accounting or auditing, as well as expertise in a field other than accounting or auditing (for example, an actuary also may be an accountant). In that circumstance, determining whether that individual is an auditor or an auditor’s specialist depends on the nature of the work</w:t>
      </w:r>
      <w:r>
        <w:rPr>
          <w:color w:val="242424"/>
          <w:spacing w:val="-3"/>
        </w:rPr>
        <w:t xml:space="preserve"> </w:t>
      </w:r>
      <w:r>
        <w:rPr>
          <w:color w:val="242424"/>
        </w:rPr>
        <w:t>that</w:t>
      </w:r>
      <w:r>
        <w:rPr>
          <w:color w:val="242424"/>
          <w:spacing w:val="-3"/>
        </w:rPr>
        <w:t xml:space="preserve"> </w:t>
      </w:r>
      <w:r>
        <w:rPr>
          <w:color w:val="242424"/>
        </w:rPr>
        <w:t>individual</w:t>
      </w:r>
      <w:r>
        <w:rPr>
          <w:color w:val="242424"/>
          <w:spacing w:val="-3"/>
        </w:rPr>
        <w:t xml:space="preserve"> </w:t>
      </w:r>
      <w:r>
        <w:rPr>
          <w:color w:val="242424"/>
        </w:rPr>
        <w:t>performs</w:t>
      </w:r>
      <w:r>
        <w:rPr>
          <w:color w:val="242424"/>
          <w:spacing w:val="-3"/>
        </w:rPr>
        <w:t xml:space="preserve"> </w:t>
      </w:r>
      <w:r>
        <w:rPr>
          <w:color w:val="242424"/>
        </w:rPr>
        <w:t>that</w:t>
      </w:r>
      <w:r>
        <w:rPr>
          <w:color w:val="242424"/>
          <w:spacing w:val="-3"/>
        </w:rPr>
        <w:t xml:space="preserve"> </w:t>
      </w:r>
      <w:r>
        <w:rPr>
          <w:color w:val="242424"/>
        </w:rPr>
        <w:t>the</w:t>
      </w:r>
      <w:r>
        <w:rPr>
          <w:color w:val="242424"/>
          <w:spacing w:val="-3"/>
        </w:rPr>
        <w:t xml:space="preserve"> </w:t>
      </w:r>
      <w:r>
        <w:rPr>
          <w:color w:val="242424"/>
        </w:rPr>
        <w:t>auditor</w:t>
      </w:r>
      <w:r>
        <w:rPr>
          <w:color w:val="242424"/>
          <w:spacing w:val="-3"/>
        </w:rPr>
        <w:t xml:space="preserve"> </w:t>
      </w:r>
      <w:r>
        <w:rPr>
          <w:color w:val="242424"/>
        </w:rPr>
        <w:t>is</w:t>
      </w:r>
      <w:r>
        <w:rPr>
          <w:color w:val="242424"/>
          <w:spacing w:val="-4"/>
        </w:rPr>
        <w:t xml:space="preserve"> </w:t>
      </w:r>
      <w:r>
        <w:rPr>
          <w:color w:val="242424"/>
        </w:rPr>
        <w:t>using</w:t>
      </w:r>
      <w:r>
        <w:rPr>
          <w:color w:val="242424"/>
          <w:spacing w:val="-3"/>
        </w:rPr>
        <w:t xml:space="preserve"> </w:t>
      </w:r>
      <w:r>
        <w:rPr>
          <w:color w:val="242424"/>
        </w:rPr>
        <w:t>for</w:t>
      </w:r>
      <w:r>
        <w:rPr>
          <w:color w:val="242424"/>
          <w:spacing w:val="-3"/>
        </w:rPr>
        <w:t xml:space="preserve"> </w:t>
      </w:r>
      <w:r>
        <w:rPr>
          <w:color w:val="242424"/>
        </w:rPr>
        <w:t>purposes</w:t>
      </w:r>
      <w:r>
        <w:rPr>
          <w:color w:val="242424"/>
          <w:spacing w:val="-3"/>
        </w:rPr>
        <w:t xml:space="preserve"> </w:t>
      </w:r>
      <w:r>
        <w:rPr>
          <w:color w:val="242424"/>
        </w:rPr>
        <w:t>of</w:t>
      </w:r>
      <w:r>
        <w:rPr>
          <w:color w:val="242424"/>
          <w:spacing w:val="-3"/>
        </w:rPr>
        <w:t xml:space="preserve"> </w:t>
      </w:r>
      <w:r>
        <w:rPr>
          <w:color w:val="242424"/>
        </w:rPr>
        <w:t>the</w:t>
      </w:r>
      <w:r>
        <w:rPr>
          <w:color w:val="242424"/>
          <w:spacing w:val="-4"/>
        </w:rPr>
        <w:t xml:space="preserve"> </w:t>
      </w:r>
      <w:r>
        <w:rPr>
          <w:color w:val="242424"/>
        </w:rPr>
        <w:t>audit (AU-C 620.A3).</w:t>
      </w:r>
    </w:p>
    <w:p w14:paraId="0DFDACA0" w14:textId="77777777" w:rsidR="00046465" w:rsidRDefault="008134EB">
      <w:pPr>
        <w:pStyle w:val="ListParagraph"/>
        <w:numPr>
          <w:ilvl w:val="0"/>
          <w:numId w:val="19"/>
        </w:numPr>
        <w:tabs>
          <w:tab w:val="left" w:pos="1798"/>
          <w:tab w:val="left" w:pos="1800"/>
        </w:tabs>
        <w:spacing w:before="119"/>
        <w:ind w:right="1204"/>
        <w:jc w:val="both"/>
      </w:pPr>
      <w:r>
        <w:rPr>
          <w:color w:val="242424"/>
        </w:rPr>
        <w:t>An</w:t>
      </w:r>
      <w:r>
        <w:rPr>
          <w:color w:val="242424"/>
          <w:spacing w:val="-1"/>
        </w:rPr>
        <w:t xml:space="preserve"> </w:t>
      </w:r>
      <w:r>
        <w:rPr>
          <w:color w:val="242424"/>
        </w:rPr>
        <w:t>auditor’s</w:t>
      </w:r>
      <w:r>
        <w:rPr>
          <w:color w:val="242424"/>
          <w:spacing w:val="-2"/>
        </w:rPr>
        <w:t xml:space="preserve"> </w:t>
      </w:r>
      <w:r>
        <w:rPr>
          <w:color w:val="242424"/>
        </w:rPr>
        <w:t>specialist</w:t>
      </w:r>
      <w:r>
        <w:rPr>
          <w:color w:val="242424"/>
          <w:spacing w:val="-1"/>
        </w:rPr>
        <w:t xml:space="preserve"> </w:t>
      </w:r>
      <w:r>
        <w:rPr>
          <w:color w:val="242424"/>
        </w:rPr>
        <w:t>may</w:t>
      </w:r>
      <w:r>
        <w:rPr>
          <w:color w:val="242424"/>
          <w:spacing w:val="-1"/>
        </w:rPr>
        <w:t xml:space="preserve"> </w:t>
      </w:r>
      <w:r>
        <w:rPr>
          <w:color w:val="242424"/>
        </w:rPr>
        <w:t>be</w:t>
      </w:r>
      <w:r>
        <w:rPr>
          <w:color w:val="242424"/>
          <w:spacing w:val="-1"/>
        </w:rPr>
        <w:t xml:space="preserve"> </w:t>
      </w:r>
      <w:r>
        <w:rPr>
          <w:color w:val="242424"/>
        </w:rPr>
        <w:t>either</w:t>
      </w:r>
      <w:r>
        <w:rPr>
          <w:color w:val="242424"/>
          <w:spacing w:val="-3"/>
        </w:rPr>
        <w:t xml:space="preserve"> </w:t>
      </w:r>
      <w:r>
        <w:rPr>
          <w:color w:val="242424"/>
        </w:rPr>
        <w:t>an</w:t>
      </w:r>
      <w:r>
        <w:rPr>
          <w:color w:val="242424"/>
          <w:spacing w:val="-1"/>
        </w:rPr>
        <w:t xml:space="preserve"> </w:t>
      </w:r>
      <w:r>
        <w:rPr>
          <w:color w:val="242424"/>
        </w:rPr>
        <w:t>auditor’s</w:t>
      </w:r>
      <w:r>
        <w:rPr>
          <w:color w:val="242424"/>
          <w:spacing w:val="-1"/>
        </w:rPr>
        <w:t xml:space="preserve"> </w:t>
      </w:r>
      <w:r>
        <w:rPr>
          <w:color w:val="242424"/>
        </w:rPr>
        <w:t>internal</w:t>
      </w:r>
      <w:r>
        <w:rPr>
          <w:color w:val="242424"/>
          <w:spacing w:val="-1"/>
        </w:rPr>
        <w:t xml:space="preserve"> </w:t>
      </w:r>
      <w:r>
        <w:rPr>
          <w:color w:val="242424"/>
        </w:rPr>
        <w:t>specialist</w:t>
      </w:r>
      <w:r>
        <w:rPr>
          <w:color w:val="242424"/>
          <w:spacing w:val="-1"/>
        </w:rPr>
        <w:t xml:space="preserve"> </w:t>
      </w:r>
      <w:r>
        <w:rPr>
          <w:color w:val="242424"/>
        </w:rPr>
        <w:t>(who</w:t>
      </w:r>
      <w:r>
        <w:rPr>
          <w:color w:val="242424"/>
          <w:spacing w:val="-1"/>
        </w:rPr>
        <w:t xml:space="preserve"> </w:t>
      </w:r>
      <w:r>
        <w:rPr>
          <w:color w:val="242424"/>
        </w:rPr>
        <w:t>is</w:t>
      </w:r>
      <w:r>
        <w:rPr>
          <w:color w:val="242424"/>
          <w:spacing w:val="-1"/>
        </w:rPr>
        <w:t xml:space="preserve"> </w:t>
      </w:r>
      <w:r>
        <w:rPr>
          <w:color w:val="242424"/>
        </w:rPr>
        <w:t>a partner</w:t>
      </w:r>
      <w:r>
        <w:rPr>
          <w:color w:val="242424"/>
          <w:spacing w:val="-4"/>
        </w:rPr>
        <w:t xml:space="preserve"> </w:t>
      </w:r>
      <w:r>
        <w:rPr>
          <w:color w:val="242424"/>
        </w:rPr>
        <w:t>or</w:t>
      </w:r>
      <w:r>
        <w:rPr>
          <w:color w:val="242424"/>
          <w:spacing w:val="-4"/>
        </w:rPr>
        <w:t xml:space="preserve"> </w:t>
      </w:r>
      <w:r>
        <w:rPr>
          <w:color w:val="242424"/>
        </w:rPr>
        <w:t>staff</w:t>
      </w:r>
      <w:r>
        <w:rPr>
          <w:color w:val="242424"/>
          <w:spacing w:val="-4"/>
        </w:rPr>
        <w:t xml:space="preserve"> </w:t>
      </w:r>
      <w:r>
        <w:rPr>
          <w:color w:val="242424"/>
        </w:rPr>
        <w:t>member,</w:t>
      </w:r>
      <w:r>
        <w:rPr>
          <w:color w:val="242424"/>
          <w:spacing w:val="-3"/>
        </w:rPr>
        <w:t xml:space="preserve"> </w:t>
      </w:r>
      <w:r>
        <w:rPr>
          <w:color w:val="242424"/>
        </w:rPr>
        <w:t>including</w:t>
      </w:r>
      <w:r>
        <w:rPr>
          <w:color w:val="242424"/>
          <w:spacing w:val="-5"/>
        </w:rPr>
        <w:t xml:space="preserve"> </w:t>
      </w:r>
      <w:r>
        <w:rPr>
          <w:color w:val="242424"/>
        </w:rPr>
        <w:t>a</w:t>
      </w:r>
      <w:r>
        <w:rPr>
          <w:color w:val="242424"/>
          <w:spacing w:val="-5"/>
        </w:rPr>
        <w:t xml:space="preserve"> </w:t>
      </w:r>
      <w:r>
        <w:rPr>
          <w:color w:val="242424"/>
        </w:rPr>
        <w:t>temporary</w:t>
      </w:r>
      <w:r>
        <w:rPr>
          <w:color w:val="242424"/>
          <w:spacing w:val="-4"/>
        </w:rPr>
        <w:t xml:space="preserve"> </w:t>
      </w:r>
      <w:r>
        <w:rPr>
          <w:color w:val="242424"/>
        </w:rPr>
        <w:t>staff</w:t>
      </w:r>
      <w:r>
        <w:rPr>
          <w:color w:val="242424"/>
          <w:spacing w:val="-4"/>
        </w:rPr>
        <w:t xml:space="preserve"> </w:t>
      </w:r>
      <w:r>
        <w:rPr>
          <w:color w:val="242424"/>
        </w:rPr>
        <w:t>member,</w:t>
      </w:r>
      <w:r>
        <w:rPr>
          <w:color w:val="242424"/>
          <w:spacing w:val="-3"/>
        </w:rPr>
        <w:t xml:space="preserve"> </w:t>
      </w:r>
      <w:r>
        <w:rPr>
          <w:color w:val="242424"/>
        </w:rPr>
        <w:t>of</w:t>
      </w:r>
      <w:r>
        <w:rPr>
          <w:color w:val="242424"/>
          <w:spacing w:val="-4"/>
        </w:rPr>
        <w:t xml:space="preserve"> </w:t>
      </w:r>
      <w:r>
        <w:rPr>
          <w:color w:val="242424"/>
        </w:rPr>
        <w:t>the</w:t>
      </w:r>
      <w:r>
        <w:rPr>
          <w:color w:val="242424"/>
          <w:spacing w:val="-4"/>
        </w:rPr>
        <w:t xml:space="preserve"> </w:t>
      </w:r>
      <w:r>
        <w:rPr>
          <w:color w:val="242424"/>
        </w:rPr>
        <w:t>auditor’s organization) or an auditor’s external specialist (AU-C 620.06).</w:t>
      </w:r>
    </w:p>
    <w:p w14:paraId="0DFDACA1" w14:textId="77777777" w:rsidR="00046465" w:rsidRDefault="008134EB">
      <w:pPr>
        <w:pStyle w:val="Heading4"/>
      </w:pPr>
      <w:bookmarkStart w:id="25" w:name="Determining_the_Need_for_an_Auditor’s_Sp"/>
      <w:bookmarkEnd w:id="25"/>
      <w:r>
        <w:t>Determining</w:t>
      </w:r>
      <w:r>
        <w:rPr>
          <w:spacing w:val="-11"/>
        </w:rPr>
        <w:t xml:space="preserve"> </w:t>
      </w:r>
      <w:r>
        <w:t>the</w:t>
      </w:r>
      <w:r>
        <w:rPr>
          <w:spacing w:val="-9"/>
        </w:rPr>
        <w:t xml:space="preserve"> </w:t>
      </w:r>
      <w:r>
        <w:t>Need</w:t>
      </w:r>
      <w:r>
        <w:rPr>
          <w:spacing w:val="-10"/>
        </w:rPr>
        <w:t xml:space="preserve"> </w:t>
      </w:r>
      <w:r>
        <w:t>for</w:t>
      </w:r>
      <w:r>
        <w:rPr>
          <w:spacing w:val="-10"/>
        </w:rPr>
        <w:t xml:space="preserve"> </w:t>
      </w:r>
      <w:r>
        <w:t>an</w:t>
      </w:r>
      <w:r>
        <w:rPr>
          <w:spacing w:val="-10"/>
        </w:rPr>
        <w:t xml:space="preserve"> </w:t>
      </w:r>
      <w:r>
        <w:t>Auditor’s</w:t>
      </w:r>
      <w:r>
        <w:rPr>
          <w:spacing w:val="-9"/>
        </w:rPr>
        <w:t xml:space="preserve"> </w:t>
      </w:r>
      <w:r>
        <w:rPr>
          <w:spacing w:val="-2"/>
        </w:rPr>
        <w:t>Specialist</w:t>
      </w:r>
    </w:p>
    <w:p w14:paraId="0DFDACA2" w14:textId="77777777" w:rsidR="00046465" w:rsidRDefault="008134EB">
      <w:pPr>
        <w:pStyle w:val="ListParagraph"/>
        <w:numPr>
          <w:ilvl w:val="0"/>
          <w:numId w:val="219"/>
        </w:numPr>
        <w:tabs>
          <w:tab w:val="left" w:pos="1800"/>
        </w:tabs>
        <w:ind w:right="810"/>
      </w:pPr>
      <w:r>
        <w:t>If expertise in a field other than accounting or auditing is necessary to obtain sufficient appropriate audit evidence, the auditor should determine whether to use</w:t>
      </w:r>
      <w:r>
        <w:rPr>
          <w:spacing w:val="-3"/>
        </w:rPr>
        <w:t xml:space="preserve"> </w:t>
      </w:r>
      <w:r>
        <w:t>the</w:t>
      </w:r>
      <w:r>
        <w:rPr>
          <w:spacing w:val="-3"/>
        </w:rPr>
        <w:t xml:space="preserve"> </w:t>
      </w:r>
      <w:r>
        <w:t>work</w:t>
      </w:r>
      <w:r>
        <w:rPr>
          <w:spacing w:val="-3"/>
        </w:rPr>
        <w:t xml:space="preserve"> </w:t>
      </w:r>
      <w:r>
        <w:t>of</w:t>
      </w:r>
      <w:r>
        <w:rPr>
          <w:spacing w:val="-3"/>
        </w:rPr>
        <w:t xml:space="preserve"> </w:t>
      </w:r>
      <w:r>
        <w:t>an</w:t>
      </w:r>
      <w:r>
        <w:rPr>
          <w:spacing w:val="-3"/>
        </w:rPr>
        <w:t xml:space="preserve"> </w:t>
      </w:r>
      <w:r>
        <w:t>auditor’s</w:t>
      </w:r>
      <w:r>
        <w:rPr>
          <w:spacing w:val="-2"/>
        </w:rPr>
        <w:t xml:space="preserve"> </w:t>
      </w:r>
      <w:r>
        <w:t>specialist</w:t>
      </w:r>
      <w:r>
        <w:rPr>
          <w:spacing w:val="-3"/>
        </w:rPr>
        <w:t xml:space="preserve"> </w:t>
      </w:r>
      <w:r>
        <w:t>(AU-C</w:t>
      </w:r>
      <w:r>
        <w:rPr>
          <w:spacing w:val="-4"/>
        </w:rPr>
        <w:t xml:space="preserve"> </w:t>
      </w:r>
      <w:r>
        <w:t>620.07).</w:t>
      </w:r>
      <w:r>
        <w:rPr>
          <w:spacing w:val="-3"/>
        </w:rPr>
        <w:t xml:space="preserve"> </w:t>
      </w:r>
      <w:r>
        <w:t>As</w:t>
      </w:r>
      <w:r>
        <w:rPr>
          <w:spacing w:val="-3"/>
        </w:rPr>
        <w:t xml:space="preserve"> </w:t>
      </w:r>
      <w:r>
        <w:t>the</w:t>
      </w:r>
      <w:r>
        <w:rPr>
          <w:spacing w:val="-3"/>
        </w:rPr>
        <w:t xml:space="preserve"> </w:t>
      </w:r>
      <w:r>
        <w:t>audit</w:t>
      </w:r>
      <w:r>
        <w:rPr>
          <w:spacing w:val="-3"/>
        </w:rPr>
        <w:t xml:space="preserve"> </w:t>
      </w:r>
      <w:r>
        <w:t>progresses</w:t>
      </w:r>
      <w:r>
        <w:rPr>
          <w:spacing w:val="-3"/>
        </w:rPr>
        <w:t xml:space="preserve"> </w:t>
      </w:r>
      <w:r>
        <w:t>or</w:t>
      </w:r>
    </w:p>
    <w:p w14:paraId="0DFDACA3" w14:textId="77777777" w:rsidR="00046465" w:rsidRDefault="00046465">
      <w:pPr>
        <w:pStyle w:val="BodyText"/>
        <w:rPr>
          <w:sz w:val="20"/>
        </w:rPr>
      </w:pPr>
    </w:p>
    <w:p w14:paraId="0DFDACA4" w14:textId="77777777" w:rsidR="00046465" w:rsidRDefault="008134EB">
      <w:pPr>
        <w:pStyle w:val="BodyText"/>
        <w:spacing w:before="103"/>
        <w:rPr>
          <w:sz w:val="20"/>
        </w:rPr>
      </w:pPr>
      <w:r>
        <w:rPr>
          <w:noProof/>
          <w:sz w:val="20"/>
        </w:rPr>
        <mc:AlternateContent>
          <mc:Choice Requires="wps">
            <w:drawing>
              <wp:anchor distT="0" distB="0" distL="0" distR="0" simplePos="0" relativeHeight="487602688" behindDoc="1" locked="0" layoutInCell="1" allowOverlap="1" wp14:anchorId="0DFDD54D" wp14:editId="0DFDD54E">
                <wp:simplePos x="0" y="0"/>
                <wp:positionH relativeFrom="page">
                  <wp:posOffset>914400</wp:posOffset>
                </wp:positionH>
                <wp:positionV relativeFrom="paragraph">
                  <wp:posOffset>226983</wp:posOffset>
                </wp:positionV>
                <wp:extent cx="1828800" cy="5715"/>
                <wp:effectExtent l="0" t="0" r="0" b="0"/>
                <wp:wrapTopAndBottom/>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EBD7D8" id="Graphic 149" o:spid="_x0000_s1026" style="position:absolute;margin-left:1in;margin-top:17.85pt;width:2in;height:.45pt;z-index:-1571379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" path="m1828800,l,,,5321r1828800,l1828800,xe" fillcolor="black" stroked="f">
                <v:path arrowok="t"/>
                <w10:wrap type="topAndBottom" anchorx="page"/>
              </v:shape>
            </w:pict>
          </mc:Fallback>
        </mc:AlternateContent>
      </w:r>
    </w:p>
    <w:p w14:paraId="0DFDACA5" w14:textId="77777777" w:rsidR="00046465" w:rsidRDefault="008134EB">
      <w:pPr>
        <w:spacing w:before="202" w:line="242" w:lineRule="auto"/>
        <w:ind w:left="360" w:right="749" w:hanging="1"/>
        <w:rPr>
          <w:sz w:val="18"/>
        </w:rPr>
      </w:pPr>
      <w:bookmarkStart w:id="26" w:name="_bookmark9"/>
      <w:bookmarkEnd w:id="26"/>
      <w:r>
        <w:rPr>
          <w:position w:val="7"/>
          <w:sz w:val="14"/>
        </w:rPr>
        <w:t>6</w:t>
      </w:r>
      <w:r>
        <w:rPr>
          <w:sz w:val="18"/>
        </w:rPr>
        <w:t>An</w:t>
      </w:r>
      <w:r>
        <w:rPr>
          <w:spacing w:val="-1"/>
          <w:sz w:val="18"/>
        </w:rPr>
        <w:t xml:space="preserve"> </w:t>
      </w:r>
      <w:r>
        <w:rPr>
          <w:sz w:val="18"/>
        </w:rPr>
        <w:t>IT specialist differs from an</w:t>
      </w:r>
      <w:r>
        <w:rPr>
          <w:spacing w:val="-1"/>
          <w:sz w:val="18"/>
        </w:rPr>
        <w:t xml:space="preserve"> </w:t>
      </w:r>
      <w:r>
        <w:rPr>
          <w:sz w:val="18"/>
        </w:rPr>
        <w:t>IS controls auditor. An</w:t>
      </w:r>
      <w:r>
        <w:rPr>
          <w:spacing w:val="-1"/>
          <w:sz w:val="18"/>
        </w:rPr>
        <w:t xml:space="preserve"> </w:t>
      </w:r>
      <w:r>
        <w:rPr>
          <w:sz w:val="18"/>
        </w:rPr>
        <w:t>IT specialist possesses special skills or knowledge in an IT field that extend beyond the skills and knowledge normally possessed by those working in specialized fields of auditing,</w:t>
      </w:r>
      <w:r>
        <w:rPr>
          <w:spacing w:val="-2"/>
          <w:sz w:val="18"/>
        </w:rPr>
        <w:t xml:space="preserve"> </w:t>
      </w:r>
      <w:r>
        <w:rPr>
          <w:sz w:val="18"/>
        </w:rPr>
        <w:t>such</w:t>
      </w:r>
      <w:r>
        <w:rPr>
          <w:spacing w:val="-3"/>
          <w:sz w:val="18"/>
        </w:rPr>
        <w:t xml:space="preserve"> </w:t>
      </w:r>
      <w:r>
        <w:rPr>
          <w:sz w:val="18"/>
        </w:rPr>
        <w:t>as</w:t>
      </w:r>
      <w:r>
        <w:rPr>
          <w:spacing w:val="-2"/>
          <w:sz w:val="18"/>
        </w:rPr>
        <w:t xml:space="preserve"> </w:t>
      </w:r>
      <w:r>
        <w:rPr>
          <w:sz w:val="18"/>
        </w:rPr>
        <w:t>IS</w:t>
      </w:r>
      <w:r>
        <w:rPr>
          <w:spacing w:val="-2"/>
          <w:sz w:val="18"/>
        </w:rPr>
        <w:t xml:space="preserve"> </w:t>
      </w:r>
      <w:r>
        <w:rPr>
          <w:sz w:val="18"/>
        </w:rPr>
        <w:t>controls</w:t>
      </w:r>
      <w:r>
        <w:rPr>
          <w:spacing w:val="-2"/>
          <w:sz w:val="18"/>
        </w:rPr>
        <w:t xml:space="preserve"> </w:t>
      </w:r>
      <w:r>
        <w:rPr>
          <w:sz w:val="18"/>
        </w:rPr>
        <w:t>auditing.</w:t>
      </w:r>
      <w:r>
        <w:rPr>
          <w:spacing w:val="-2"/>
          <w:sz w:val="18"/>
        </w:rPr>
        <w:t xml:space="preserve"> </w:t>
      </w:r>
      <w:r>
        <w:rPr>
          <w:sz w:val="18"/>
        </w:rPr>
        <w:t>Auditors</w:t>
      </w:r>
      <w:r>
        <w:rPr>
          <w:spacing w:val="-2"/>
          <w:sz w:val="18"/>
        </w:rPr>
        <w:t xml:space="preserve"> </w:t>
      </w:r>
      <w:r>
        <w:rPr>
          <w:sz w:val="18"/>
        </w:rPr>
        <w:t>and</w:t>
      </w:r>
      <w:r>
        <w:rPr>
          <w:spacing w:val="-3"/>
          <w:sz w:val="18"/>
        </w:rPr>
        <w:t xml:space="preserve"> </w:t>
      </w:r>
      <w:r>
        <w:rPr>
          <w:sz w:val="18"/>
        </w:rPr>
        <w:t>IS</w:t>
      </w:r>
      <w:r>
        <w:rPr>
          <w:spacing w:val="-2"/>
          <w:sz w:val="18"/>
        </w:rPr>
        <w:t xml:space="preserve"> </w:t>
      </w:r>
      <w:r>
        <w:rPr>
          <w:sz w:val="18"/>
        </w:rPr>
        <w:t>controls</w:t>
      </w:r>
      <w:r>
        <w:rPr>
          <w:spacing w:val="-2"/>
          <w:sz w:val="18"/>
        </w:rPr>
        <w:t xml:space="preserve"> </w:t>
      </w:r>
      <w:r>
        <w:rPr>
          <w:sz w:val="18"/>
        </w:rPr>
        <w:t>auditors</w:t>
      </w:r>
      <w:r>
        <w:rPr>
          <w:spacing w:val="-2"/>
          <w:sz w:val="18"/>
        </w:rPr>
        <w:t xml:space="preserve"> </w:t>
      </w:r>
      <w:r>
        <w:rPr>
          <w:sz w:val="18"/>
        </w:rPr>
        <w:t>may</w:t>
      </w:r>
      <w:r>
        <w:rPr>
          <w:spacing w:val="-2"/>
          <w:sz w:val="18"/>
        </w:rPr>
        <w:t xml:space="preserve"> </w:t>
      </w:r>
      <w:r>
        <w:rPr>
          <w:sz w:val="18"/>
        </w:rPr>
        <w:t>decide</w:t>
      </w:r>
      <w:r>
        <w:rPr>
          <w:spacing w:val="-3"/>
          <w:sz w:val="18"/>
        </w:rPr>
        <w:t xml:space="preserve"> </w:t>
      </w:r>
      <w:r>
        <w:rPr>
          <w:sz w:val="18"/>
        </w:rPr>
        <w:t>to</w:t>
      </w:r>
      <w:r>
        <w:rPr>
          <w:spacing w:val="-3"/>
          <w:sz w:val="18"/>
        </w:rPr>
        <w:t xml:space="preserve"> </w:t>
      </w:r>
      <w:r>
        <w:rPr>
          <w:sz w:val="18"/>
        </w:rPr>
        <w:t>seek</w:t>
      </w:r>
      <w:r>
        <w:rPr>
          <w:spacing w:val="-2"/>
          <w:sz w:val="18"/>
        </w:rPr>
        <w:t xml:space="preserve"> </w:t>
      </w:r>
      <w:r>
        <w:rPr>
          <w:sz w:val="18"/>
        </w:rPr>
        <w:t>the</w:t>
      </w:r>
      <w:r>
        <w:rPr>
          <w:spacing w:val="-3"/>
          <w:sz w:val="18"/>
        </w:rPr>
        <w:t xml:space="preserve"> </w:t>
      </w:r>
      <w:r>
        <w:rPr>
          <w:sz w:val="18"/>
        </w:rPr>
        <w:t>assistance</w:t>
      </w:r>
      <w:r>
        <w:rPr>
          <w:spacing w:val="-3"/>
          <w:sz w:val="18"/>
        </w:rPr>
        <w:t xml:space="preserve"> </w:t>
      </w:r>
      <w:r>
        <w:rPr>
          <w:sz w:val="18"/>
        </w:rPr>
        <w:t>of</w:t>
      </w:r>
      <w:r>
        <w:rPr>
          <w:spacing w:val="-2"/>
          <w:sz w:val="18"/>
        </w:rPr>
        <w:t xml:space="preserve"> </w:t>
      </w:r>
      <w:r>
        <w:rPr>
          <w:sz w:val="18"/>
        </w:rPr>
        <w:t>an</w:t>
      </w:r>
      <w:r>
        <w:rPr>
          <w:spacing w:val="-3"/>
          <w:sz w:val="18"/>
        </w:rPr>
        <w:t xml:space="preserve"> </w:t>
      </w:r>
      <w:r>
        <w:rPr>
          <w:sz w:val="18"/>
        </w:rPr>
        <w:t>IT specialist to complete various aspects of the engagement.</w:t>
      </w:r>
    </w:p>
    <w:p w14:paraId="0DFDACA6" w14:textId="77777777" w:rsidR="00046465" w:rsidRDefault="00046465">
      <w:pPr>
        <w:spacing w:line="242" w:lineRule="auto"/>
        <w:rPr>
          <w:sz w:val="18"/>
        </w:rPr>
        <w:sectPr w:rsidR="00046465">
          <w:headerReference w:type="default" r:id="rId37"/>
          <w:footerReference w:type="default" r:id="rId38"/>
          <w:pgSz w:w="12240" w:h="15840"/>
          <w:pgMar w:top="1340" w:right="720" w:bottom="940" w:left="1080" w:header="721" w:footer="757" w:gutter="0"/>
          <w:pgNumType w:start="2"/>
          <w:cols w:space="720"/>
        </w:sectPr>
      </w:pPr>
    </w:p>
    <w:p w14:paraId="0DFDACA7" w14:textId="77777777" w:rsidR="00046465" w:rsidRDefault="008134EB">
      <w:pPr>
        <w:pStyle w:val="BodyText"/>
        <w:spacing w:before="121"/>
        <w:ind w:left="1800" w:right="749"/>
      </w:pPr>
      <w:r>
        <w:lastRenderedPageBreak/>
        <w:t>as</w:t>
      </w:r>
      <w:r>
        <w:rPr>
          <w:spacing w:val="-4"/>
        </w:rPr>
        <w:t xml:space="preserve"> </w:t>
      </w:r>
      <w:r>
        <w:t>circumstances</w:t>
      </w:r>
      <w:r>
        <w:rPr>
          <w:spacing w:val="-4"/>
        </w:rPr>
        <w:t xml:space="preserve"> </w:t>
      </w:r>
      <w:r>
        <w:t>change,</w:t>
      </w:r>
      <w:r>
        <w:rPr>
          <w:spacing w:val="-4"/>
        </w:rPr>
        <w:t xml:space="preserve"> </w:t>
      </w:r>
      <w:r>
        <w:t>the</w:t>
      </w:r>
      <w:r>
        <w:rPr>
          <w:spacing w:val="-4"/>
        </w:rPr>
        <w:t xml:space="preserve"> </w:t>
      </w:r>
      <w:r>
        <w:t>auditor</w:t>
      </w:r>
      <w:r>
        <w:rPr>
          <w:spacing w:val="-4"/>
        </w:rPr>
        <w:t xml:space="preserve"> </w:t>
      </w:r>
      <w:r>
        <w:t>may</w:t>
      </w:r>
      <w:r>
        <w:rPr>
          <w:spacing w:val="-4"/>
        </w:rPr>
        <w:t xml:space="preserve"> </w:t>
      </w:r>
      <w:r>
        <w:t>need</w:t>
      </w:r>
      <w:r>
        <w:rPr>
          <w:spacing w:val="-4"/>
        </w:rPr>
        <w:t xml:space="preserve"> </w:t>
      </w:r>
      <w:r>
        <w:t>to</w:t>
      </w:r>
      <w:r>
        <w:rPr>
          <w:spacing w:val="-4"/>
        </w:rPr>
        <w:t xml:space="preserve"> </w:t>
      </w:r>
      <w:r>
        <w:t>revise</w:t>
      </w:r>
      <w:r>
        <w:rPr>
          <w:spacing w:val="-4"/>
        </w:rPr>
        <w:t xml:space="preserve"> </w:t>
      </w:r>
      <w:r>
        <w:t>earlier</w:t>
      </w:r>
      <w:r>
        <w:rPr>
          <w:spacing w:val="-4"/>
        </w:rPr>
        <w:t xml:space="preserve"> </w:t>
      </w:r>
      <w:r>
        <w:t>decisions</w:t>
      </w:r>
      <w:r>
        <w:rPr>
          <w:spacing w:val="-4"/>
        </w:rPr>
        <w:t xml:space="preserve"> </w:t>
      </w:r>
      <w:r>
        <w:t>about using the work of an auditor’s specialist (AU-C 620.A7).</w:t>
      </w:r>
    </w:p>
    <w:p w14:paraId="0DFDACA8" w14:textId="77777777" w:rsidR="00046465" w:rsidRDefault="008134EB">
      <w:pPr>
        <w:pStyle w:val="ListParagraph"/>
        <w:numPr>
          <w:ilvl w:val="0"/>
          <w:numId w:val="219"/>
        </w:numPr>
        <w:tabs>
          <w:tab w:val="left" w:pos="1800"/>
        </w:tabs>
        <w:spacing w:before="119"/>
        <w:ind w:right="873"/>
      </w:pPr>
      <w:r>
        <w:t>An</w:t>
      </w:r>
      <w:r>
        <w:rPr>
          <w:spacing w:val="-3"/>
        </w:rPr>
        <w:t xml:space="preserve"> </w:t>
      </w:r>
      <w:r>
        <w:t>auditor’s</w:t>
      </w:r>
      <w:r>
        <w:rPr>
          <w:spacing w:val="-4"/>
        </w:rPr>
        <w:t xml:space="preserve"> </w:t>
      </w:r>
      <w:r>
        <w:t>specialist</w:t>
      </w:r>
      <w:r>
        <w:rPr>
          <w:spacing w:val="-3"/>
        </w:rPr>
        <w:t xml:space="preserve"> </w:t>
      </w:r>
      <w:r>
        <w:t>may</w:t>
      </w:r>
      <w:r>
        <w:rPr>
          <w:spacing w:val="-3"/>
        </w:rPr>
        <w:t xml:space="preserve"> </w:t>
      </w:r>
      <w:r>
        <w:t>be</w:t>
      </w:r>
      <w:r>
        <w:rPr>
          <w:spacing w:val="-3"/>
        </w:rPr>
        <w:t xml:space="preserve"> </w:t>
      </w:r>
      <w:r>
        <w:t>needed</w:t>
      </w:r>
      <w:r>
        <w:rPr>
          <w:spacing w:val="-3"/>
        </w:rPr>
        <w:t xml:space="preserve"> </w:t>
      </w:r>
      <w:r>
        <w:t>to</w:t>
      </w:r>
      <w:r>
        <w:rPr>
          <w:spacing w:val="-3"/>
        </w:rPr>
        <w:t xml:space="preserve"> </w:t>
      </w:r>
      <w:r>
        <w:t>assist</w:t>
      </w:r>
      <w:r>
        <w:rPr>
          <w:spacing w:val="-3"/>
        </w:rPr>
        <w:t xml:space="preserve"> </w:t>
      </w:r>
      <w:r>
        <w:t>the</w:t>
      </w:r>
      <w:r>
        <w:rPr>
          <w:spacing w:val="-3"/>
        </w:rPr>
        <w:t xml:space="preserve"> </w:t>
      </w:r>
      <w:r>
        <w:t>auditor</w:t>
      </w:r>
      <w:r>
        <w:rPr>
          <w:spacing w:val="-3"/>
        </w:rPr>
        <w:t xml:space="preserve"> </w:t>
      </w:r>
      <w:r>
        <w:t>in</w:t>
      </w:r>
      <w:r>
        <w:rPr>
          <w:spacing w:val="-4"/>
        </w:rPr>
        <w:t xml:space="preserve"> </w:t>
      </w:r>
      <w:r>
        <w:t>one</w:t>
      </w:r>
      <w:r>
        <w:rPr>
          <w:spacing w:val="-3"/>
        </w:rPr>
        <w:t xml:space="preserve"> </w:t>
      </w:r>
      <w:r>
        <w:t>or</w:t>
      </w:r>
      <w:r>
        <w:rPr>
          <w:spacing w:val="-3"/>
        </w:rPr>
        <w:t xml:space="preserve"> </w:t>
      </w:r>
      <w:r>
        <w:t>more</w:t>
      </w:r>
      <w:r>
        <w:rPr>
          <w:spacing w:val="-3"/>
        </w:rPr>
        <w:t xml:space="preserve"> </w:t>
      </w:r>
      <w:r>
        <w:t>of</w:t>
      </w:r>
      <w:r>
        <w:rPr>
          <w:spacing w:val="-3"/>
        </w:rPr>
        <w:t xml:space="preserve"> </w:t>
      </w:r>
      <w:r>
        <w:t>the following (AU-C 620.A5):</w:t>
      </w:r>
    </w:p>
    <w:p w14:paraId="0DFDACA9" w14:textId="77777777" w:rsidR="00046465" w:rsidRDefault="008134EB">
      <w:pPr>
        <w:pStyle w:val="ListParagraph"/>
        <w:numPr>
          <w:ilvl w:val="1"/>
          <w:numId w:val="219"/>
        </w:numPr>
        <w:tabs>
          <w:tab w:val="left" w:pos="2160"/>
        </w:tabs>
        <w:spacing w:before="121"/>
        <w:ind w:right="807"/>
      </w:pPr>
      <w:r>
        <w:t>obtaining an understanding of the entity and its environment, the applicable financial</w:t>
      </w:r>
      <w:r>
        <w:rPr>
          <w:spacing w:val="-5"/>
        </w:rPr>
        <w:t xml:space="preserve"> </w:t>
      </w:r>
      <w:r>
        <w:t>reporting</w:t>
      </w:r>
      <w:r>
        <w:rPr>
          <w:spacing w:val="-5"/>
        </w:rPr>
        <w:t xml:space="preserve"> </w:t>
      </w:r>
      <w:r>
        <w:t>framework</w:t>
      </w:r>
      <w:r>
        <w:rPr>
          <w:spacing w:val="-4"/>
        </w:rPr>
        <w:t xml:space="preserve"> </w:t>
      </w:r>
      <w:r>
        <w:t>(generally</w:t>
      </w:r>
      <w:r>
        <w:rPr>
          <w:spacing w:val="-4"/>
        </w:rPr>
        <w:t xml:space="preserve"> </w:t>
      </w:r>
      <w:r>
        <w:t>U.S.</w:t>
      </w:r>
      <w:r>
        <w:rPr>
          <w:spacing w:val="-5"/>
        </w:rPr>
        <w:t xml:space="preserve"> </w:t>
      </w:r>
      <w:r>
        <w:t>GAAP),</w:t>
      </w:r>
      <w:r>
        <w:rPr>
          <w:spacing w:val="-5"/>
        </w:rPr>
        <w:t xml:space="preserve"> </w:t>
      </w:r>
      <w:r>
        <w:t>and</w:t>
      </w:r>
      <w:r>
        <w:rPr>
          <w:spacing w:val="-5"/>
        </w:rPr>
        <w:t xml:space="preserve"> </w:t>
      </w:r>
      <w:r>
        <w:t>the</w:t>
      </w:r>
      <w:r>
        <w:rPr>
          <w:spacing w:val="-5"/>
        </w:rPr>
        <w:t xml:space="preserve"> </w:t>
      </w:r>
      <w:r>
        <w:t>entity’s</w:t>
      </w:r>
      <w:r>
        <w:rPr>
          <w:spacing w:val="-6"/>
        </w:rPr>
        <w:t xml:space="preserve"> </w:t>
      </w:r>
      <w:r>
        <w:t xml:space="preserve">internal </w:t>
      </w:r>
      <w:r>
        <w:rPr>
          <w:spacing w:val="-2"/>
        </w:rPr>
        <w:t>control;</w:t>
      </w:r>
    </w:p>
    <w:p w14:paraId="0DFDACAA" w14:textId="77777777" w:rsidR="00046465" w:rsidRDefault="008134EB">
      <w:pPr>
        <w:pStyle w:val="ListParagraph"/>
        <w:numPr>
          <w:ilvl w:val="1"/>
          <w:numId w:val="219"/>
        </w:numPr>
        <w:tabs>
          <w:tab w:val="left" w:pos="2158"/>
        </w:tabs>
        <w:ind w:left="2158" w:hanging="359"/>
      </w:pPr>
      <w:r>
        <w:t>identifying</w:t>
      </w:r>
      <w:r>
        <w:rPr>
          <w:spacing w:val="-8"/>
        </w:rPr>
        <w:t xml:space="preserve"> </w:t>
      </w:r>
      <w:r>
        <w:t>and</w:t>
      </w:r>
      <w:r>
        <w:rPr>
          <w:spacing w:val="-7"/>
        </w:rPr>
        <w:t xml:space="preserve"> </w:t>
      </w:r>
      <w:r>
        <w:t>assessing</w:t>
      </w:r>
      <w:r>
        <w:rPr>
          <w:spacing w:val="-6"/>
        </w:rPr>
        <w:t xml:space="preserve"> </w:t>
      </w:r>
      <w:r>
        <w:t>the</w:t>
      </w:r>
      <w:r>
        <w:rPr>
          <w:spacing w:val="-7"/>
        </w:rPr>
        <w:t xml:space="preserve"> </w:t>
      </w:r>
      <w:r>
        <w:t>risks</w:t>
      </w:r>
      <w:r>
        <w:rPr>
          <w:spacing w:val="-7"/>
        </w:rPr>
        <w:t xml:space="preserve"> </w:t>
      </w:r>
      <w:r>
        <w:t>of</w:t>
      </w:r>
      <w:r>
        <w:rPr>
          <w:spacing w:val="-6"/>
        </w:rPr>
        <w:t xml:space="preserve"> </w:t>
      </w:r>
      <w:r>
        <w:t>material</w:t>
      </w:r>
      <w:r>
        <w:rPr>
          <w:spacing w:val="-7"/>
        </w:rPr>
        <w:t xml:space="preserve"> </w:t>
      </w:r>
      <w:r>
        <w:rPr>
          <w:spacing w:val="-2"/>
        </w:rPr>
        <w:t>misstatement;</w:t>
      </w:r>
    </w:p>
    <w:p w14:paraId="0DFDACAB" w14:textId="77777777" w:rsidR="00046465" w:rsidRDefault="008134EB">
      <w:pPr>
        <w:pStyle w:val="ListParagraph"/>
        <w:numPr>
          <w:ilvl w:val="1"/>
          <w:numId w:val="219"/>
        </w:numPr>
        <w:tabs>
          <w:tab w:val="left" w:pos="2159"/>
        </w:tabs>
        <w:spacing w:before="119"/>
        <w:ind w:left="2159" w:right="1187"/>
      </w:pPr>
      <w:r>
        <w:t>determining</w:t>
      </w:r>
      <w:r>
        <w:rPr>
          <w:spacing w:val="-5"/>
        </w:rPr>
        <w:t xml:space="preserve"> </w:t>
      </w:r>
      <w:r>
        <w:t>and</w:t>
      </w:r>
      <w:r>
        <w:rPr>
          <w:spacing w:val="-5"/>
        </w:rPr>
        <w:t xml:space="preserve"> </w:t>
      </w:r>
      <w:r>
        <w:t>implementing</w:t>
      </w:r>
      <w:r>
        <w:rPr>
          <w:spacing w:val="-5"/>
        </w:rPr>
        <w:t xml:space="preserve"> </w:t>
      </w:r>
      <w:r>
        <w:t>overall</w:t>
      </w:r>
      <w:r>
        <w:rPr>
          <w:spacing w:val="-5"/>
        </w:rPr>
        <w:t xml:space="preserve"> </w:t>
      </w:r>
      <w:r>
        <w:t>responses</w:t>
      </w:r>
      <w:r>
        <w:rPr>
          <w:spacing w:val="-6"/>
        </w:rPr>
        <w:t xml:space="preserve"> </w:t>
      </w:r>
      <w:r>
        <w:t>to</w:t>
      </w:r>
      <w:r>
        <w:rPr>
          <w:spacing w:val="-5"/>
        </w:rPr>
        <w:t xml:space="preserve"> </w:t>
      </w:r>
      <w:r>
        <w:t>assessed</w:t>
      </w:r>
      <w:r>
        <w:rPr>
          <w:spacing w:val="-5"/>
        </w:rPr>
        <w:t xml:space="preserve"> </w:t>
      </w:r>
      <w:r>
        <w:t>risks</w:t>
      </w:r>
      <w:r>
        <w:rPr>
          <w:spacing w:val="-5"/>
        </w:rPr>
        <w:t xml:space="preserve"> </w:t>
      </w:r>
      <w:r>
        <w:t>at</w:t>
      </w:r>
      <w:r>
        <w:rPr>
          <w:spacing w:val="-5"/>
        </w:rPr>
        <w:t xml:space="preserve"> </w:t>
      </w:r>
      <w:r>
        <w:t>the financial statement level;</w:t>
      </w:r>
    </w:p>
    <w:p w14:paraId="0DFDACAC" w14:textId="77777777" w:rsidR="00046465" w:rsidRDefault="008134EB">
      <w:pPr>
        <w:pStyle w:val="ListParagraph"/>
        <w:numPr>
          <w:ilvl w:val="1"/>
          <w:numId w:val="219"/>
        </w:numPr>
        <w:tabs>
          <w:tab w:val="left" w:pos="2159"/>
        </w:tabs>
        <w:spacing w:before="121"/>
        <w:ind w:left="2159" w:right="865"/>
      </w:pPr>
      <w:r>
        <w:t>designing</w:t>
      </w:r>
      <w:r>
        <w:rPr>
          <w:spacing w:val="-4"/>
        </w:rPr>
        <w:t xml:space="preserve"> </w:t>
      </w:r>
      <w:r>
        <w:t>and</w:t>
      </w:r>
      <w:r>
        <w:rPr>
          <w:spacing w:val="-4"/>
        </w:rPr>
        <w:t xml:space="preserve"> </w:t>
      </w:r>
      <w:r>
        <w:t>performing</w:t>
      </w:r>
      <w:r>
        <w:rPr>
          <w:spacing w:val="-4"/>
        </w:rPr>
        <w:t xml:space="preserve"> </w:t>
      </w:r>
      <w:r>
        <w:t>additional</w:t>
      </w:r>
      <w:r>
        <w:rPr>
          <w:spacing w:val="-4"/>
        </w:rPr>
        <w:t xml:space="preserve"> </w:t>
      </w:r>
      <w:r>
        <w:t>audit</w:t>
      </w:r>
      <w:r>
        <w:rPr>
          <w:spacing w:val="-4"/>
        </w:rPr>
        <w:t xml:space="preserve"> </w:t>
      </w:r>
      <w:r>
        <w:t>procedures</w:t>
      </w:r>
      <w:r>
        <w:rPr>
          <w:spacing w:val="-4"/>
        </w:rPr>
        <w:t xml:space="preserve"> </w:t>
      </w:r>
      <w:r>
        <w:t>to</w:t>
      </w:r>
      <w:r>
        <w:rPr>
          <w:spacing w:val="-4"/>
        </w:rPr>
        <w:t xml:space="preserve"> </w:t>
      </w:r>
      <w:r>
        <w:t>respond</w:t>
      </w:r>
      <w:r>
        <w:rPr>
          <w:spacing w:val="-4"/>
        </w:rPr>
        <w:t xml:space="preserve"> </w:t>
      </w:r>
      <w:r>
        <w:t>to</w:t>
      </w:r>
      <w:r>
        <w:rPr>
          <w:spacing w:val="-4"/>
        </w:rPr>
        <w:t xml:space="preserve"> </w:t>
      </w:r>
      <w:r>
        <w:t>the</w:t>
      </w:r>
      <w:r>
        <w:rPr>
          <w:spacing w:val="-3"/>
        </w:rPr>
        <w:t xml:space="preserve"> </w:t>
      </w:r>
      <w:r>
        <w:t>risks of material misstatement at the assertion level, which may include tests of controls or substantive procedures; and</w:t>
      </w:r>
    </w:p>
    <w:p w14:paraId="0DFDACAD" w14:textId="77777777" w:rsidR="00046465" w:rsidRDefault="008134EB">
      <w:pPr>
        <w:pStyle w:val="ListParagraph"/>
        <w:numPr>
          <w:ilvl w:val="1"/>
          <w:numId w:val="219"/>
        </w:numPr>
        <w:tabs>
          <w:tab w:val="left" w:pos="2159"/>
        </w:tabs>
        <w:spacing w:before="119"/>
        <w:ind w:left="2159" w:right="891"/>
      </w:pPr>
      <w:r>
        <w:t>evaluating</w:t>
      </w:r>
      <w:r>
        <w:rPr>
          <w:spacing w:val="-5"/>
        </w:rPr>
        <w:t xml:space="preserve"> </w:t>
      </w:r>
      <w:r>
        <w:t>the</w:t>
      </w:r>
      <w:r>
        <w:rPr>
          <w:spacing w:val="-5"/>
        </w:rPr>
        <w:t xml:space="preserve"> </w:t>
      </w:r>
      <w:r>
        <w:t>sufficiency</w:t>
      </w:r>
      <w:r>
        <w:rPr>
          <w:spacing w:val="-5"/>
        </w:rPr>
        <w:t xml:space="preserve"> </w:t>
      </w:r>
      <w:r>
        <w:t>and</w:t>
      </w:r>
      <w:r>
        <w:rPr>
          <w:spacing w:val="-5"/>
        </w:rPr>
        <w:t xml:space="preserve"> </w:t>
      </w:r>
      <w:r>
        <w:t>appropriateness</w:t>
      </w:r>
      <w:r>
        <w:rPr>
          <w:spacing w:val="-5"/>
        </w:rPr>
        <w:t xml:space="preserve"> </w:t>
      </w:r>
      <w:r>
        <w:t>of</w:t>
      </w:r>
      <w:r>
        <w:rPr>
          <w:spacing w:val="-5"/>
        </w:rPr>
        <w:t xml:space="preserve"> </w:t>
      </w:r>
      <w:r>
        <w:t>audit</w:t>
      </w:r>
      <w:r>
        <w:rPr>
          <w:spacing w:val="-5"/>
        </w:rPr>
        <w:t xml:space="preserve"> </w:t>
      </w:r>
      <w:r>
        <w:t>evidence</w:t>
      </w:r>
      <w:r>
        <w:rPr>
          <w:spacing w:val="-5"/>
        </w:rPr>
        <w:t xml:space="preserve"> </w:t>
      </w:r>
      <w:r>
        <w:t>obtained</w:t>
      </w:r>
      <w:r>
        <w:rPr>
          <w:spacing w:val="-5"/>
        </w:rPr>
        <w:t xml:space="preserve"> </w:t>
      </w:r>
      <w:r>
        <w:t>in forming an opinion on the financial statements.</w:t>
      </w:r>
    </w:p>
    <w:p w14:paraId="0DFDACAE" w14:textId="77777777" w:rsidR="00046465" w:rsidRDefault="008134EB">
      <w:pPr>
        <w:pStyle w:val="ListParagraph"/>
        <w:numPr>
          <w:ilvl w:val="0"/>
          <w:numId w:val="219"/>
        </w:numPr>
        <w:tabs>
          <w:tab w:val="left" w:pos="1799"/>
        </w:tabs>
        <w:ind w:left="1799" w:right="849"/>
      </w:pPr>
      <w:r>
        <w:t>In</w:t>
      </w:r>
      <w:r>
        <w:rPr>
          <w:spacing w:val="-3"/>
        </w:rPr>
        <w:t xml:space="preserve"> </w:t>
      </w:r>
      <w:r>
        <w:t>some</w:t>
      </w:r>
      <w:r>
        <w:rPr>
          <w:spacing w:val="-3"/>
        </w:rPr>
        <w:t xml:space="preserve"> </w:t>
      </w:r>
      <w:r>
        <w:t>situations,</w:t>
      </w:r>
      <w:r>
        <w:rPr>
          <w:spacing w:val="-3"/>
        </w:rPr>
        <w:t xml:space="preserve"> </w:t>
      </w:r>
      <w:r>
        <w:t>the</w:t>
      </w:r>
      <w:r>
        <w:rPr>
          <w:spacing w:val="-3"/>
        </w:rPr>
        <w:t xml:space="preserve"> </w:t>
      </w:r>
      <w:r>
        <w:t>auditor</w:t>
      </w:r>
      <w:r>
        <w:rPr>
          <w:spacing w:val="-3"/>
        </w:rPr>
        <w:t xml:space="preserve"> </w:t>
      </w:r>
      <w:r>
        <w:t>may</w:t>
      </w:r>
      <w:r>
        <w:rPr>
          <w:spacing w:val="-3"/>
        </w:rPr>
        <w:t xml:space="preserve"> </w:t>
      </w:r>
      <w:r>
        <w:t>determine</w:t>
      </w:r>
      <w:r>
        <w:rPr>
          <w:spacing w:val="-3"/>
        </w:rPr>
        <w:t xml:space="preserve"> </w:t>
      </w:r>
      <w:r>
        <w:t>that</w:t>
      </w:r>
      <w:r>
        <w:rPr>
          <w:spacing w:val="-3"/>
        </w:rPr>
        <w:t xml:space="preserve"> </w:t>
      </w:r>
      <w:r>
        <w:t>it</w:t>
      </w:r>
      <w:r>
        <w:rPr>
          <w:spacing w:val="-3"/>
        </w:rPr>
        <w:t xml:space="preserve"> </w:t>
      </w:r>
      <w:r>
        <w:t>is</w:t>
      </w:r>
      <w:r>
        <w:rPr>
          <w:spacing w:val="-3"/>
        </w:rPr>
        <w:t xml:space="preserve"> </w:t>
      </w:r>
      <w:r>
        <w:t>necessary</w:t>
      </w:r>
      <w:r>
        <w:rPr>
          <w:spacing w:val="-2"/>
        </w:rPr>
        <w:t xml:space="preserve"> </w:t>
      </w:r>
      <w:r>
        <w:t>to</w:t>
      </w:r>
      <w:r>
        <w:rPr>
          <w:spacing w:val="-3"/>
        </w:rPr>
        <w:t xml:space="preserve"> </w:t>
      </w:r>
      <w:r>
        <w:t>use,</w:t>
      </w:r>
      <w:r>
        <w:rPr>
          <w:spacing w:val="-3"/>
        </w:rPr>
        <w:t xml:space="preserve"> </w:t>
      </w:r>
      <w:r>
        <w:t>or</w:t>
      </w:r>
      <w:r>
        <w:rPr>
          <w:spacing w:val="-3"/>
        </w:rPr>
        <w:t xml:space="preserve"> </w:t>
      </w:r>
      <w:r>
        <w:t>may choose</w:t>
      </w:r>
      <w:r>
        <w:rPr>
          <w:spacing w:val="-1"/>
        </w:rPr>
        <w:t xml:space="preserve"> </w:t>
      </w:r>
      <w:r>
        <w:t>to</w:t>
      </w:r>
      <w:r>
        <w:rPr>
          <w:spacing w:val="-1"/>
        </w:rPr>
        <w:t xml:space="preserve"> </w:t>
      </w:r>
      <w:r>
        <w:t>use,</w:t>
      </w:r>
      <w:r>
        <w:rPr>
          <w:spacing w:val="-1"/>
        </w:rPr>
        <w:t xml:space="preserve"> </w:t>
      </w:r>
      <w:r>
        <w:t>an</w:t>
      </w:r>
      <w:r>
        <w:rPr>
          <w:spacing w:val="-1"/>
        </w:rPr>
        <w:t xml:space="preserve"> </w:t>
      </w:r>
      <w:r>
        <w:t>auditor’s specialist</w:t>
      </w:r>
      <w:r>
        <w:rPr>
          <w:spacing w:val="-1"/>
        </w:rPr>
        <w:t xml:space="preserve"> </w:t>
      </w:r>
      <w:r>
        <w:t>to</w:t>
      </w:r>
      <w:r>
        <w:rPr>
          <w:spacing w:val="-1"/>
        </w:rPr>
        <w:t xml:space="preserve"> </w:t>
      </w:r>
      <w:r>
        <w:t>assist</w:t>
      </w:r>
      <w:r>
        <w:rPr>
          <w:spacing w:val="-1"/>
        </w:rPr>
        <w:t xml:space="preserve"> </w:t>
      </w:r>
      <w:r>
        <w:t>in</w:t>
      </w:r>
      <w:r>
        <w:rPr>
          <w:spacing w:val="-1"/>
        </w:rPr>
        <w:t xml:space="preserve"> </w:t>
      </w:r>
      <w:r>
        <w:t>obtaining</w:t>
      </w:r>
      <w:r>
        <w:rPr>
          <w:spacing w:val="-2"/>
        </w:rPr>
        <w:t xml:space="preserve"> </w:t>
      </w:r>
      <w:r>
        <w:t>sufficient</w:t>
      </w:r>
      <w:r>
        <w:rPr>
          <w:spacing w:val="-1"/>
        </w:rPr>
        <w:t xml:space="preserve"> </w:t>
      </w:r>
      <w:r>
        <w:t>appropriate audit evidence. Considerations when deciding whether to use an auditor’s specialist may include the following (AU-C 620.A9):</w:t>
      </w:r>
    </w:p>
    <w:p w14:paraId="0DFDACAF" w14:textId="77777777" w:rsidR="00046465" w:rsidRDefault="008134EB">
      <w:pPr>
        <w:pStyle w:val="ListParagraph"/>
        <w:numPr>
          <w:ilvl w:val="1"/>
          <w:numId w:val="219"/>
        </w:numPr>
        <w:tabs>
          <w:tab w:val="left" w:pos="2159"/>
        </w:tabs>
        <w:ind w:left="2159" w:right="1588"/>
      </w:pPr>
      <w:r>
        <w:t>whether</w:t>
      </w:r>
      <w:r>
        <w:rPr>
          <w:spacing w:val="-4"/>
        </w:rPr>
        <w:t xml:space="preserve"> </w:t>
      </w:r>
      <w:r>
        <w:t>management</w:t>
      </w:r>
      <w:r>
        <w:rPr>
          <w:spacing w:val="-4"/>
        </w:rPr>
        <w:t xml:space="preserve"> </w:t>
      </w:r>
      <w:r>
        <w:t>has</w:t>
      </w:r>
      <w:r>
        <w:rPr>
          <w:spacing w:val="-4"/>
        </w:rPr>
        <w:t xml:space="preserve"> </w:t>
      </w:r>
      <w:r>
        <w:t>used</w:t>
      </w:r>
      <w:r>
        <w:rPr>
          <w:spacing w:val="-4"/>
        </w:rPr>
        <w:t xml:space="preserve"> </w:t>
      </w:r>
      <w:r>
        <w:t>a</w:t>
      </w:r>
      <w:r>
        <w:rPr>
          <w:spacing w:val="-4"/>
        </w:rPr>
        <w:t xml:space="preserve"> </w:t>
      </w:r>
      <w:r>
        <w:t>specialist</w:t>
      </w:r>
      <w:r>
        <w:rPr>
          <w:spacing w:val="-4"/>
        </w:rPr>
        <w:t xml:space="preserve"> </w:t>
      </w:r>
      <w:r>
        <w:t>in</w:t>
      </w:r>
      <w:r>
        <w:rPr>
          <w:spacing w:val="-4"/>
        </w:rPr>
        <w:t xml:space="preserve"> </w:t>
      </w:r>
      <w:r>
        <w:t>preparing</w:t>
      </w:r>
      <w:r>
        <w:rPr>
          <w:spacing w:val="-4"/>
        </w:rPr>
        <w:t xml:space="preserve"> </w:t>
      </w:r>
      <w:r>
        <w:t>the</w:t>
      </w:r>
      <w:r>
        <w:rPr>
          <w:spacing w:val="-5"/>
        </w:rPr>
        <w:t xml:space="preserve"> </w:t>
      </w:r>
      <w:r>
        <w:t>financial statements (see AU-C 620.A10);</w:t>
      </w:r>
    </w:p>
    <w:p w14:paraId="0DFDACB0" w14:textId="77777777" w:rsidR="00046465" w:rsidRDefault="008134EB">
      <w:pPr>
        <w:pStyle w:val="ListParagraph"/>
        <w:numPr>
          <w:ilvl w:val="1"/>
          <w:numId w:val="219"/>
        </w:numPr>
        <w:tabs>
          <w:tab w:val="left" w:pos="2158"/>
        </w:tabs>
        <w:ind w:left="2158" w:hanging="359"/>
      </w:pPr>
      <w:r>
        <w:t>the</w:t>
      </w:r>
      <w:r>
        <w:rPr>
          <w:spacing w:val="-6"/>
        </w:rPr>
        <w:t xml:space="preserve"> </w:t>
      </w:r>
      <w:r>
        <w:t>nature</w:t>
      </w:r>
      <w:r>
        <w:rPr>
          <w:spacing w:val="-6"/>
        </w:rPr>
        <w:t xml:space="preserve"> </w:t>
      </w:r>
      <w:r>
        <w:t>and</w:t>
      </w:r>
      <w:r>
        <w:rPr>
          <w:spacing w:val="-6"/>
        </w:rPr>
        <w:t xml:space="preserve"> </w:t>
      </w:r>
      <w:r>
        <w:t>significance</w:t>
      </w:r>
      <w:r>
        <w:rPr>
          <w:spacing w:val="-6"/>
        </w:rPr>
        <w:t xml:space="preserve"> </w:t>
      </w:r>
      <w:r>
        <w:t>of</w:t>
      </w:r>
      <w:r>
        <w:rPr>
          <w:spacing w:val="-6"/>
        </w:rPr>
        <w:t xml:space="preserve"> </w:t>
      </w:r>
      <w:r>
        <w:t>the</w:t>
      </w:r>
      <w:r>
        <w:rPr>
          <w:spacing w:val="-6"/>
        </w:rPr>
        <w:t xml:space="preserve"> </w:t>
      </w:r>
      <w:r>
        <w:t>matter,</w:t>
      </w:r>
      <w:r>
        <w:rPr>
          <w:spacing w:val="-6"/>
        </w:rPr>
        <w:t xml:space="preserve"> </w:t>
      </w:r>
      <w:r>
        <w:t>including</w:t>
      </w:r>
      <w:r>
        <w:rPr>
          <w:spacing w:val="-6"/>
        </w:rPr>
        <w:t xml:space="preserve"> </w:t>
      </w:r>
      <w:r>
        <w:t>its</w:t>
      </w:r>
      <w:r>
        <w:rPr>
          <w:spacing w:val="-6"/>
        </w:rPr>
        <w:t xml:space="preserve"> </w:t>
      </w:r>
      <w:r>
        <w:rPr>
          <w:spacing w:val="-2"/>
        </w:rPr>
        <w:t>complexity;</w:t>
      </w:r>
    </w:p>
    <w:p w14:paraId="0DFDACB1" w14:textId="77777777" w:rsidR="00046465" w:rsidRDefault="008134EB">
      <w:pPr>
        <w:pStyle w:val="ListParagraph"/>
        <w:numPr>
          <w:ilvl w:val="1"/>
          <w:numId w:val="219"/>
        </w:numPr>
        <w:tabs>
          <w:tab w:val="left" w:pos="2158"/>
        </w:tabs>
        <w:spacing w:before="121"/>
        <w:ind w:left="2158" w:hanging="359"/>
      </w:pPr>
      <w:r>
        <w:t>the</w:t>
      </w:r>
      <w:r>
        <w:rPr>
          <w:spacing w:val="-6"/>
        </w:rPr>
        <w:t xml:space="preserve"> </w:t>
      </w:r>
      <w:r>
        <w:t>risks</w:t>
      </w:r>
      <w:r>
        <w:rPr>
          <w:spacing w:val="-7"/>
        </w:rPr>
        <w:t xml:space="preserve"> </w:t>
      </w:r>
      <w:r>
        <w:t>of</w:t>
      </w:r>
      <w:r>
        <w:rPr>
          <w:spacing w:val="-7"/>
        </w:rPr>
        <w:t xml:space="preserve"> </w:t>
      </w:r>
      <w:r>
        <w:t>material</w:t>
      </w:r>
      <w:r>
        <w:rPr>
          <w:spacing w:val="-5"/>
        </w:rPr>
        <w:t xml:space="preserve"> </w:t>
      </w:r>
      <w:r>
        <w:t>misstatement</w:t>
      </w:r>
      <w:r>
        <w:rPr>
          <w:spacing w:val="-6"/>
        </w:rPr>
        <w:t xml:space="preserve"> </w:t>
      </w:r>
      <w:r>
        <w:t>of</w:t>
      </w:r>
      <w:r>
        <w:rPr>
          <w:spacing w:val="-6"/>
        </w:rPr>
        <w:t xml:space="preserve"> </w:t>
      </w:r>
      <w:r>
        <w:t>the</w:t>
      </w:r>
      <w:r>
        <w:rPr>
          <w:spacing w:val="-6"/>
        </w:rPr>
        <w:t xml:space="preserve"> </w:t>
      </w:r>
      <w:r>
        <w:t>matter;</w:t>
      </w:r>
      <w:r>
        <w:rPr>
          <w:spacing w:val="-6"/>
        </w:rPr>
        <w:t xml:space="preserve"> </w:t>
      </w:r>
      <w:r>
        <w:rPr>
          <w:spacing w:val="-5"/>
        </w:rPr>
        <w:t>and</w:t>
      </w:r>
    </w:p>
    <w:p w14:paraId="0DFDACB2" w14:textId="77777777" w:rsidR="00046465" w:rsidRDefault="008134EB">
      <w:pPr>
        <w:pStyle w:val="ListParagraph"/>
        <w:numPr>
          <w:ilvl w:val="1"/>
          <w:numId w:val="219"/>
        </w:numPr>
        <w:tabs>
          <w:tab w:val="left" w:pos="2159"/>
        </w:tabs>
        <w:ind w:left="2159" w:right="771"/>
      </w:pPr>
      <w:r>
        <w:t>the</w:t>
      </w:r>
      <w:r>
        <w:rPr>
          <w:spacing w:val="-4"/>
        </w:rPr>
        <w:t xml:space="preserve"> </w:t>
      </w:r>
      <w:r>
        <w:t>expected</w:t>
      </w:r>
      <w:r>
        <w:rPr>
          <w:spacing w:val="-4"/>
        </w:rPr>
        <w:t xml:space="preserve"> </w:t>
      </w:r>
      <w:r>
        <w:t>nature</w:t>
      </w:r>
      <w:r>
        <w:rPr>
          <w:spacing w:val="-4"/>
        </w:rPr>
        <w:t xml:space="preserve"> </w:t>
      </w:r>
      <w:r>
        <w:t>of</w:t>
      </w:r>
      <w:r>
        <w:rPr>
          <w:spacing w:val="-5"/>
        </w:rPr>
        <w:t xml:space="preserve"> </w:t>
      </w:r>
      <w:r>
        <w:t>procedures</w:t>
      </w:r>
      <w:r>
        <w:rPr>
          <w:spacing w:val="-4"/>
        </w:rPr>
        <w:t xml:space="preserve"> </w:t>
      </w:r>
      <w:r>
        <w:t>to</w:t>
      </w:r>
      <w:r>
        <w:rPr>
          <w:spacing w:val="-4"/>
        </w:rPr>
        <w:t xml:space="preserve"> </w:t>
      </w:r>
      <w:r>
        <w:t>respond</w:t>
      </w:r>
      <w:r>
        <w:rPr>
          <w:spacing w:val="-4"/>
        </w:rPr>
        <w:t xml:space="preserve"> </w:t>
      </w:r>
      <w:r>
        <w:t>to</w:t>
      </w:r>
      <w:r>
        <w:rPr>
          <w:spacing w:val="-5"/>
        </w:rPr>
        <w:t xml:space="preserve"> </w:t>
      </w:r>
      <w:r>
        <w:t>identified</w:t>
      </w:r>
      <w:r>
        <w:rPr>
          <w:spacing w:val="-4"/>
        </w:rPr>
        <w:t xml:space="preserve"> </w:t>
      </w:r>
      <w:r>
        <w:t>risks,</w:t>
      </w:r>
      <w:r>
        <w:rPr>
          <w:spacing w:val="-4"/>
        </w:rPr>
        <w:t xml:space="preserve"> </w:t>
      </w:r>
      <w:r>
        <w:t>including</w:t>
      </w:r>
      <w:r>
        <w:rPr>
          <w:spacing w:val="-4"/>
        </w:rPr>
        <w:t xml:space="preserve"> </w:t>
      </w:r>
      <w:r>
        <w:t>the auditor’s knowledge of, and experience with, the work of specialists on such matters and the availability of alternative sources of audit evidence.</w:t>
      </w:r>
    </w:p>
    <w:p w14:paraId="0DFDACB3" w14:textId="77777777" w:rsidR="00046465" w:rsidRDefault="008134EB">
      <w:pPr>
        <w:pStyle w:val="ListParagraph"/>
        <w:numPr>
          <w:ilvl w:val="0"/>
          <w:numId w:val="219"/>
        </w:numPr>
        <w:tabs>
          <w:tab w:val="left" w:pos="1799"/>
        </w:tabs>
        <w:spacing w:before="119"/>
        <w:ind w:left="1799" w:right="738"/>
      </w:pPr>
      <w:r>
        <w:t>An auditor’s specialist may also be needed to assist the auditor and the IS controls</w:t>
      </w:r>
      <w:r>
        <w:rPr>
          <w:spacing w:val="-4"/>
        </w:rPr>
        <w:t xml:space="preserve"> </w:t>
      </w:r>
      <w:r>
        <w:t>auditor</w:t>
      </w:r>
      <w:r>
        <w:rPr>
          <w:spacing w:val="-4"/>
        </w:rPr>
        <w:t xml:space="preserve"> </w:t>
      </w:r>
      <w:r>
        <w:t>in</w:t>
      </w:r>
      <w:r>
        <w:rPr>
          <w:spacing w:val="-4"/>
        </w:rPr>
        <w:t xml:space="preserve"> </w:t>
      </w:r>
      <w:r>
        <w:t>understanding</w:t>
      </w:r>
      <w:r>
        <w:rPr>
          <w:spacing w:val="-4"/>
        </w:rPr>
        <w:t xml:space="preserve"> </w:t>
      </w:r>
      <w:r>
        <w:t>technical</w:t>
      </w:r>
      <w:r>
        <w:rPr>
          <w:spacing w:val="-4"/>
        </w:rPr>
        <w:t xml:space="preserve"> </w:t>
      </w:r>
      <w:r>
        <w:t>aspects</w:t>
      </w:r>
      <w:r>
        <w:rPr>
          <w:spacing w:val="-4"/>
        </w:rPr>
        <w:t xml:space="preserve"> </w:t>
      </w:r>
      <w:r>
        <w:t>of</w:t>
      </w:r>
      <w:r>
        <w:rPr>
          <w:spacing w:val="-4"/>
        </w:rPr>
        <w:t xml:space="preserve"> </w:t>
      </w:r>
      <w:r>
        <w:t>information</w:t>
      </w:r>
      <w:r>
        <w:rPr>
          <w:spacing w:val="-4"/>
        </w:rPr>
        <w:t xml:space="preserve"> </w:t>
      </w:r>
      <w:r>
        <w:t>systems</w:t>
      </w:r>
      <w:r>
        <w:rPr>
          <w:spacing w:val="-4"/>
        </w:rPr>
        <w:t xml:space="preserve"> </w:t>
      </w:r>
      <w:r>
        <w:t>and</w:t>
      </w:r>
      <w:r>
        <w:rPr>
          <w:spacing w:val="-4"/>
        </w:rPr>
        <w:t xml:space="preserve"> </w:t>
      </w:r>
      <w:r>
        <w:t>IS controls. In determining whether such a specialist is needed on the audit, the auditor may consider such factors as the following (AU-C 300.A20):</w:t>
      </w:r>
    </w:p>
    <w:p w14:paraId="0DFDACB4" w14:textId="77777777" w:rsidR="00046465" w:rsidRDefault="008134EB">
      <w:pPr>
        <w:pStyle w:val="ListParagraph"/>
        <w:numPr>
          <w:ilvl w:val="1"/>
          <w:numId w:val="219"/>
        </w:numPr>
        <w:tabs>
          <w:tab w:val="left" w:pos="2159"/>
        </w:tabs>
        <w:ind w:left="2159" w:right="1285"/>
      </w:pPr>
      <w:r>
        <w:t>the</w:t>
      </w:r>
      <w:r>
        <w:rPr>
          <w:spacing w:val="-4"/>
        </w:rPr>
        <w:t xml:space="preserve"> </w:t>
      </w:r>
      <w:r>
        <w:t>complexity</w:t>
      </w:r>
      <w:r>
        <w:rPr>
          <w:spacing w:val="-4"/>
        </w:rPr>
        <w:t xml:space="preserve"> </w:t>
      </w:r>
      <w:r>
        <w:t>of</w:t>
      </w:r>
      <w:r>
        <w:rPr>
          <w:spacing w:val="-4"/>
        </w:rPr>
        <w:t xml:space="preserve"> </w:t>
      </w:r>
      <w:r>
        <w:t>the</w:t>
      </w:r>
      <w:r>
        <w:rPr>
          <w:spacing w:val="-4"/>
        </w:rPr>
        <w:t xml:space="preserve"> </w:t>
      </w:r>
      <w:r>
        <w:t>entity’s</w:t>
      </w:r>
      <w:r>
        <w:rPr>
          <w:spacing w:val="-5"/>
        </w:rPr>
        <w:t xml:space="preserve"> </w:t>
      </w:r>
      <w:r>
        <w:t>systems</w:t>
      </w:r>
      <w:r>
        <w:rPr>
          <w:spacing w:val="-4"/>
        </w:rPr>
        <w:t xml:space="preserve"> </w:t>
      </w:r>
      <w:r>
        <w:t>and</w:t>
      </w:r>
      <w:r>
        <w:rPr>
          <w:spacing w:val="-4"/>
        </w:rPr>
        <w:t xml:space="preserve"> </w:t>
      </w:r>
      <w:r>
        <w:t>IS</w:t>
      </w:r>
      <w:r>
        <w:rPr>
          <w:spacing w:val="-4"/>
        </w:rPr>
        <w:t xml:space="preserve"> </w:t>
      </w:r>
      <w:r>
        <w:t>controls</w:t>
      </w:r>
      <w:r>
        <w:rPr>
          <w:spacing w:val="-4"/>
        </w:rPr>
        <w:t xml:space="preserve"> </w:t>
      </w:r>
      <w:r>
        <w:t>and</w:t>
      </w:r>
      <w:r>
        <w:rPr>
          <w:spacing w:val="-4"/>
        </w:rPr>
        <w:t xml:space="preserve"> </w:t>
      </w:r>
      <w:r>
        <w:t>the</w:t>
      </w:r>
      <w:r>
        <w:rPr>
          <w:spacing w:val="-5"/>
        </w:rPr>
        <w:t xml:space="preserve"> </w:t>
      </w:r>
      <w:r>
        <w:t>manner</w:t>
      </w:r>
      <w:r>
        <w:rPr>
          <w:spacing w:val="-4"/>
        </w:rPr>
        <w:t xml:space="preserve"> </w:t>
      </w:r>
      <w:r>
        <w:t>in which they are used in conducting the entity’s business;</w:t>
      </w:r>
    </w:p>
    <w:p w14:paraId="0DFDACB5" w14:textId="77777777" w:rsidR="00046465" w:rsidRDefault="008134EB">
      <w:pPr>
        <w:pStyle w:val="ListParagraph"/>
        <w:numPr>
          <w:ilvl w:val="1"/>
          <w:numId w:val="219"/>
        </w:numPr>
        <w:tabs>
          <w:tab w:val="left" w:pos="2159"/>
        </w:tabs>
        <w:ind w:left="2159" w:right="917"/>
      </w:pPr>
      <w:r>
        <w:t>the</w:t>
      </w:r>
      <w:r>
        <w:rPr>
          <w:spacing w:val="-4"/>
        </w:rPr>
        <w:t xml:space="preserve"> </w:t>
      </w:r>
      <w:r>
        <w:t>significance</w:t>
      </w:r>
      <w:r>
        <w:rPr>
          <w:spacing w:val="-4"/>
        </w:rPr>
        <w:t xml:space="preserve"> </w:t>
      </w:r>
      <w:r>
        <w:t>of</w:t>
      </w:r>
      <w:r>
        <w:rPr>
          <w:spacing w:val="-4"/>
        </w:rPr>
        <w:t xml:space="preserve"> </w:t>
      </w:r>
      <w:r>
        <w:t>changes</w:t>
      </w:r>
      <w:r>
        <w:rPr>
          <w:spacing w:val="-4"/>
        </w:rPr>
        <w:t xml:space="preserve"> </w:t>
      </w:r>
      <w:r>
        <w:t>made</w:t>
      </w:r>
      <w:r>
        <w:rPr>
          <w:spacing w:val="-4"/>
        </w:rPr>
        <w:t xml:space="preserve"> </w:t>
      </w:r>
      <w:r>
        <w:t>to</w:t>
      </w:r>
      <w:r>
        <w:rPr>
          <w:spacing w:val="-4"/>
        </w:rPr>
        <w:t xml:space="preserve"> </w:t>
      </w:r>
      <w:r>
        <w:t>existing</w:t>
      </w:r>
      <w:r>
        <w:rPr>
          <w:spacing w:val="-5"/>
        </w:rPr>
        <w:t xml:space="preserve"> </w:t>
      </w:r>
      <w:r>
        <w:t>systems</w:t>
      </w:r>
      <w:r>
        <w:rPr>
          <w:spacing w:val="-4"/>
        </w:rPr>
        <w:t xml:space="preserve"> </w:t>
      </w:r>
      <w:r>
        <w:t>or</w:t>
      </w:r>
      <w:r>
        <w:rPr>
          <w:spacing w:val="-4"/>
        </w:rPr>
        <w:t xml:space="preserve"> </w:t>
      </w:r>
      <w:r>
        <w:t>the</w:t>
      </w:r>
      <w:r>
        <w:rPr>
          <w:spacing w:val="-4"/>
        </w:rPr>
        <w:t xml:space="preserve"> </w:t>
      </w:r>
      <w:r>
        <w:t>implementation of new systems;</w:t>
      </w:r>
    </w:p>
    <w:p w14:paraId="0DFDACB6" w14:textId="77777777" w:rsidR="00046465" w:rsidRDefault="008134EB">
      <w:pPr>
        <w:pStyle w:val="ListParagraph"/>
        <w:numPr>
          <w:ilvl w:val="1"/>
          <w:numId w:val="219"/>
        </w:numPr>
        <w:tabs>
          <w:tab w:val="left" w:pos="2158"/>
        </w:tabs>
        <w:ind w:left="2158" w:hanging="359"/>
      </w:pPr>
      <w:r>
        <w:t>the</w:t>
      </w:r>
      <w:r>
        <w:rPr>
          <w:spacing w:val="-6"/>
        </w:rPr>
        <w:t xml:space="preserve"> </w:t>
      </w:r>
      <w:r>
        <w:t>extent</w:t>
      </w:r>
      <w:r>
        <w:rPr>
          <w:spacing w:val="-5"/>
        </w:rPr>
        <w:t xml:space="preserve"> </w:t>
      </w:r>
      <w:r>
        <w:t>to</w:t>
      </w:r>
      <w:r>
        <w:rPr>
          <w:spacing w:val="-6"/>
        </w:rPr>
        <w:t xml:space="preserve"> </w:t>
      </w:r>
      <w:r>
        <w:t>which</w:t>
      </w:r>
      <w:r>
        <w:rPr>
          <w:spacing w:val="-5"/>
        </w:rPr>
        <w:t xml:space="preserve"> </w:t>
      </w:r>
      <w:r>
        <w:t>data</w:t>
      </w:r>
      <w:r>
        <w:rPr>
          <w:spacing w:val="-6"/>
        </w:rPr>
        <w:t xml:space="preserve"> </w:t>
      </w:r>
      <w:r>
        <w:t>are</w:t>
      </w:r>
      <w:r>
        <w:rPr>
          <w:spacing w:val="-5"/>
        </w:rPr>
        <w:t xml:space="preserve"> </w:t>
      </w:r>
      <w:r>
        <w:t>shared</w:t>
      </w:r>
      <w:r>
        <w:rPr>
          <w:spacing w:val="-6"/>
        </w:rPr>
        <w:t xml:space="preserve"> </w:t>
      </w:r>
      <w:r>
        <w:t>among</w:t>
      </w:r>
      <w:r>
        <w:rPr>
          <w:spacing w:val="-5"/>
        </w:rPr>
        <w:t xml:space="preserve"> </w:t>
      </w:r>
      <w:r>
        <w:rPr>
          <w:spacing w:val="-2"/>
        </w:rPr>
        <w:t>systems;</w:t>
      </w:r>
    </w:p>
    <w:p w14:paraId="0DFDACB7" w14:textId="77777777" w:rsidR="00046465" w:rsidRDefault="008134EB">
      <w:pPr>
        <w:pStyle w:val="ListParagraph"/>
        <w:numPr>
          <w:ilvl w:val="1"/>
          <w:numId w:val="219"/>
        </w:numPr>
        <w:tabs>
          <w:tab w:val="left" w:pos="2158"/>
        </w:tabs>
        <w:spacing w:before="121"/>
        <w:ind w:left="2158" w:hanging="359"/>
      </w:pPr>
      <w:r>
        <w:t>the</w:t>
      </w:r>
      <w:r>
        <w:rPr>
          <w:spacing w:val="-6"/>
        </w:rPr>
        <w:t xml:space="preserve"> </w:t>
      </w:r>
      <w:r>
        <w:t>extent</w:t>
      </w:r>
      <w:r>
        <w:rPr>
          <w:spacing w:val="-6"/>
        </w:rPr>
        <w:t xml:space="preserve"> </w:t>
      </w:r>
      <w:r>
        <w:t>of</w:t>
      </w:r>
      <w:r>
        <w:rPr>
          <w:spacing w:val="-7"/>
        </w:rPr>
        <w:t xml:space="preserve"> </w:t>
      </w:r>
      <w:r>
        <w:t>the</w:t>
      </w:r>
      <w:r>
        <w:rPr>
          <w:spacing w:val="-6"/>
        </w:rPr>
        <w:t xml:space="preserve"> </w:t>
      </w:r>
      <w:r>
        <w:t>entity’s</w:t>
      </w:r>
      <w:r>
        <w:rPr>
          <w:spacing w:val="-7"/>
        </w:rPr>
        <w:t xml:space="preserve"> </w:t>
      </w:r>
      <w:r>
        <w:t>participation</w:t>
      </w:r>
      <w:r>
        <w:rPr>
          <w:spacing w:val="-7"/>
        </w:rPr>
        <w:t xml:space="preserve"> </w:t>
      </w:r>
      <w:r>
        <w:t>in</w:t>
      </w:r>
      <w:r>
        <w:rPr>
          <w:spacing w:val="-5"/>
        </w:rPr>
        <w:t xml:space="preserve"> </w:t>
      </w:r>
      <w:r>
        <w:t>electronic</w:t>
      </w:r>
      <w:r>
        <w:rPr>
          <w:spacing w:val="-6"/>
        </w:rPr>
        <w:t xml:space="preserve"> </w:t>
      </w:r>
      <w:r>
        <w:rPr>
          <w:spacing w:val="-2"/>
        </w:rPr>
        <w:t>commerce;</w:t>
      </w:r>
    </w:p>
    <w:p w14:paraId="0DFDACB8" w14:textId="77777777" w:rsidR="00046465" w:rsidRDefault="008134EB">
      <w:pPr>
        <w:pStyle w:val="ListParagraph"/>
        <w:numPr>
          <w:ilvl w:val="1"/>
          <w:numId w:val="219"/>
        </w:numPr>
        <w:tabs>
          <w:tab w:val="left" w:pos="2158"/>
        </w:tabs>
        <w:spacing w:before="119"/>
        <w:ind w:left="2158" w:hanging="359"/>
      </w:pPr>
      <w:r>
        <w:t>the</w:t>
      </w:r>
      <w:r>
        <w:rPr>
          <w:spacing w:val="-7"/>
        </w:rPr>
        <w:t xml:space="preserve"> </w:t>
      </w:r>
      <w:r>
        <w:t>entity’s</w:t>
      </w:r>
      <w:r>
        <w:rPr>
          <w:spacing w:val="-8"/>
        </w:rPr>
        <w:t xml:space="preserve"> </w:t>
      </w:r>
      <w:r>
        <w:t>use</w:t>
      </w:r>
      <w:r>
        <w:rPr>
          <w:spacing w:val="-7"/>
        </w:rPr>
        <w:t xml:space="preserve"> </w:t>
      </w:r>
      <w:r>
        <w:t>of</w:t>
      </w:r>
      <w:r>
        <w:rPr>
          <w:spacing w:val="-6"/>
        </w:rPr>
        <w:t xml:space="preserve"> </w:t>
      </w:r>
      <w:r>
        <w:t>emerging</w:t>
      </w:r>
      <w:r>
        <w:rPr>
          <w:spacing w:val="-7"/>
        </w:rPr>
        <w:t xml:space="preserve"> </w:t>
      </w:r>
      <w:r>
        <w:t>technologies;</w:t>
      </w:r>
      <w:r>
        <w:rPr>
          <w:spacing w:val="-7"/>
        </w:rPr>
        <w:t xml:space="preserve"> </w:t>
      </w:r>
      <w:r>
        <w:rPr>
          <w:spacing w:val="-5"/>
        </w:rPr>
        <w:t>and</w:t>
      </w:r>
    </w:p>
    <w:p w14:paraId="0DFDACB9" w14:textId="77777777" w:rsidR="00046465" w:rsidRDefault="008134EB">
      <w:pPr>
        <w:pStyle w:val="ListParagraph"/>
        <w:numPr>
          <w:ilvl w:val="1"/>
          <w:numId w:val="219"/>
        </w:numPr>
        <w:tabs>
          <w:tab w:val="left" w:pos="2159"/>
        </w:tabs>
        <w:ind w:left="2159"/>
      </w:pPr>
      <w:r>
        <w:t>the</w:t>
      </w:r>
      <w:r>
        <w:rPr>
          <w:spacing w:val="-7"/>
        </w:rPr>
        <w:t xml:space="preserve"> </w:t>
      </w:r>
      <w:r>
        <w:t>significance</w:t>
      </w:r>
      <w:r>
        <w:rPr>
          <w:spacing w:val="-6"/>
        </w:rPr>
        <w:t xml:space="preserve"> </w:t>
      </w:r>
      <w:r>
        <w:t>of</w:t>
      </w:r>
      <w:r>
        <w:rPr>
          <w:spacing w:val="-6"/>
        </w:rPr>
        <w:t xml:space="preserve"> </w:t>
      </w:r>
      <w:r>
        <w:t>audit</w:t>
      </w:r>
      <w:r>
        <w:rPr>
          <w:spacing w:val="-7"/>
        </w:rPr>
        <w:t xml:space="preserve"> </w:t>
      </w:r>
      <w:r>
        <w:t>evidence</w:t>
      </w:r>
      <w:r>
        <w:rPr>
          <w:spacing w:val="-6"/>
        </w:rPr>
        <w:t xml:space="preserve"> </w:t>
      </w:r>
      <w:r>
        <w:t>that</w:t>
      </w:r>
      <w:r>
        <w:rPr>
          <w:spacing w:val="-6"/>
        </w:rPr>
        <w:t xml:space="preserve"> </w:t>
      </w:r>
      <w:r>
        <w:t>is</w:t>
      </w:r>
      <w:r>
        <w:rPr>
          <w:spacing w:val="-6"/>
        </w:rPr>
        <w:t xml:space="preserve"> </w:t>
      </w:r>
      <w:r>
        <w:t>available</w:t>
      </w:r>
      <w:r>
        <w:rPr>
          <w:spacing w:val="-6"/>
        </w:rPr>
        <w:t xml:space="preserve"> </w:t>
      </w:r>
      <w:r>
        <w:t>only</w:t>
      </w:r>
      <w:r>
        <w:rPr>
          <w:spacing w:val="-6"/>
        </w:rPr>
        <w:t xml:space="preserve"> </w:t>
      </w:r>
      <w:r>
        <w:t>in</w:t>
      </w:r>
      <w:r>
        <w:rPr>
          <w:spacing w:val="-6"/>
        </w:rPr>
        <w:t xml:space="preserve"> </w:t>
      </w:r>
      <w:r>
        <w:t>electronic</w:t>
      </w:r>
      <w:r>
        <w:rPr>
          <w:spacing w:val="-7"/>
        </w:rPr>
        <w:t xml:space="preserve"> </w:t>
      </w:r>
      <w:r>
        <w:rPr>
          <w:spacing w:val="-2"/>
        </w:rPr>
        <w:t>form.</w:t>
      </w:r>
    </w:p>
    <w:p w14:paraId="0DFDACBA" w14:textId="77777777" w:rsidR="00046465" w:rsidRDefault="008134EB">
      <w:pPr>
        <w:pStyle w:val="ListParagraph"/>
        <w:numPr>
          <w:ilvl w:val="0"/>
          <w:numId w:val="219"/>
        </w:numPr>
        <w:tabs>
          <w:tab w:val="left" w:pos="1799"/>
        </w:tabs>
        <w:ind w:left="1799" w:right="1154"/>
      </w:pPr>
      <w:r>
        <w:t>In other cases, however, an auditor who is not a specialist in a relevant field other than accounting or auditing may be able to obtain a sufficient understanding</w:t>
      </w:r>
      <w:r>
        <w:rPr>
          <w:spacing w:val="-4"/>
        </w:rPr>
        <w:t xml:space="preserve"> </w:t>
      </w:r>
      <w:r>
        <w:t>of</w:t>
      </w:r>
      <w:r>
        <w:rPr>
          <w:spacing w:val="-4"/>
        </w:rPr>
        <w:t xml:space="preserve"> </w:t>
      </w:r>
      <w:r>
        <w:t>that</w:t>
      </w:r>
      <w:r>
        <w:rPr>
          <w:spacing w:val="-4"/>
        </w:rPr>
        <w:t xml:space="preserve"> </w:t>
      </w:r>
      <w:r>
        <w:t>field</w:t>
      </w:r>
      <w:r>
        <w:rPr>
          <w:spacing w:val="-4"/>
        </w:rPr>
        <w:t xml:space="preserve"> </w:t>
      </w:r>
      <w:r>
        <w:t>to</w:t>
      </w:r>
      <w:r>
        <w:rPr>
          <w:spacing w:val="-4"/>
        </w:rPr>
        <w:t xml:space="preserve"> </w:t>
      </w:r>
      <w:r>
        <w:t>perform</w:t>
      </w:r>
      <w:r>
        <w:rPr>
          <w:spacing w:val="-5"/>
        </w:rPr>
        <w:t xml:space="preserve"> </w:t>
      </w:r>
      <w:r>
        <w:t>the</w:t>
      </w:r>
      <w:r>
        <w:rPr>
          <w:spacing w:val="-4"/>
        </w:rPr>
        <w:t xml:space="preserve"> </w:t>
      </w:r>
      <w:r>
        <w:t>audit</w:t>
      </w:r>
      <w:r>
        <w:rPr>
          <w:spacing w:val="-4"/>
        </w:rPr>
        <w:t xml:space="preserve"> </w:t>
      </w:r>
      <w:r>
        <w:t>without</w:t>
      </w:r>
      <w:r>
        <w:rPr>
          <w:spacing w:val="-4"/>
        </w:rPr>
        <w:t xml:space="preserve"> </w:t>
      </w:r>
      <w:r>
        <w:t>an</w:t>
      </w:r>
      <w:r>
        <w:rPr>
          <w:spacing w:val="-4"/>
        </w:rPr>
        <w:t xml:space="preserve"> </w:t>
      </w:r>
      <w:r>
        <w:t>auditor’s</w:t>
      </w:r>
      <w:r>
        <w:rPr>
          <w:spacing w:val="-3"/>
        </w:rPr>
        <w:t xml:space="preserve"> </w:t>
      </w:r>
      <w:r>
        <w:t>specialist.</w:t>
      </w:r>
    </w:p>
    <w:p w14:paraId="0DFDACBB" w14:textId="77777777" w:rsidR="00046465" w:rsidRDefault="008134EB">
      <w:pPr>
        <w:pStyle w:val="BodyText"/>
        <w:ind w:left="1799" w:right="1717"/>
      </w:pPr>
      <w:r>
        <w:t>This</w:t>
      </w:r>
      <w:r>
        <w:rPr>
          <w:spacing w:val="-5"/>
        </w:rPr>
        <w:t xml:space="preserve"> </w:t>
      </w:r>
      <w:r>
        <w:t>understanding</w:t>
      </w:r>
      <w:r>
        <w:rPr>
          <w:spacing w:val="-5"/>
        </w:rPr>
        <w:t xml:space="preserve"> </w:t>
      </w:r>
      <w:r>
        <w:t>may</w:t>
      </w:r>
      <w:r>
        <w:rPr>
          <w:spacing w:val="-5"/>
        </w:rPr>
        <w:t xml:space="preserve"> </w:t>
      </w:r>
      <w:r>
        <w:t>be</w:t>
      </w:r>
      <w:r>
        <w:rPr>
          <w:spacing w:val="-5"/>
        </w:rPr>
        <w:t xml:space="preserve"> </w:t>
      </w:r>
      <w:r>
        <w:t>obtained</w:t>
      </w:r>
      <w:r>
        <w:rPr>
          <w:spacing w:val="-6"/>
        </w:rPr>
        <w:t xml:space="preserve"> </w:t>
      </w:r>
      <w:r>
        <w:t>through</w:t>
      </w:r>
      <w:r>
        <w:rPr>
          <w:spacing w:val="-4"/>
        </w:rPr>
        <w:t xml:space="preserve"> </w:t>
      </w:r>
      <w:r>
        <w:t>the</w:t>
      </w:r>
      <w:r>
        <w:rPr>
          <w:spacing w:val="-6"/>
        </w:rPr>
        <w:t xml:space="preserve"> </w:t>
      </w:r>
      <w:r>
        <w:t>following,</w:t>
      </w:r>
      <w:r>
        <w:rPr>
          <w:spacing w:val="-5"/>
        </w:rPr>
        <w:t xml:space="preserve"> </w:t>
      </w:r>
      <w:r>
        <w:t>for</w:t>
      </w:r>
      <w:r>
        <w:rPr>
          <w:spacing w:val="-5"/>
        </w:rPr>
        <w:t xml:space="preserve"> </w:t>
      </w:r>
      <w:r>
        <w:t>example (AU-C 620.A8):</w:t>
      </w:r>
    </w:p>
    <w:p w14:paraId="0DFDACBC" w14:textId="77777777" w:rsidR="00046465" w:rsidRDefault="00046465">
      <w:pPr>
        <w:pStyle w:val="BodyText"/>
        <w:sectPr w:rsidR="00046465">
          <w:pgSz w:w="12240" w:h="15840"/>
          <w:pgMar w:top="1340" w:right="720" w:bottom="1020" w:left="1080" w:header="721" w:footer="757" w:gutter="0"/>
          <w:cols w:space="720"/>
        </w:sectPr>
      </w:pPr>
    </w:p>
    <w:p w14:paraId="0DFDACBD" w14:textId="77777777" w:rsidR="00046465" w:rsidRDefault="008134EB">
      <w:pPr>
        <w:pStyle w:val="ListParagraph"/>
        <w:numPr>
          <w:ilvl w:val="1"/>
          <w:numId w:val="219"/>
        </w:numPr>
        <w:tabs>
          <w:tab w:val="left" w:pos="2159"/>
        </w:tabs>
        <w:spacing w:before="121"/>
        <w:ind w:left="2159" w:right="989"/>
      </w:pPr>
      <w:r>
        <w:lastRenderedPageBreak/>
        <w:t>Experience</w:t>
      </w:r>
      <w:r>
        <w:rPr>
          <w:spacing w:val="-4"/>
        </w:rPr>
        <w:t xml:space="preserve"> </w:t>
      </w:r>
      <w:r>
        <w:t>in</w:t>
      </w:r>
      <w:r>
        <w:rPr>
          <w:spacing w:val="-4"/>
        </w:rPr>
        <w:t xml:space="preserve"> </w:t>
      </w:r>
      <w:r>
        <w:t>auditing</w:t>
      </w:r>
      <w:r>
        <w:rPr>
          <w:spacing w:val="-4"/>
        </w:rPr>
        <w:t xml:space="preserve"> </w:t>
      </w:r>
      <w:r>
        <w:t>entities</w:t>
      </w:r>
      <w:r>
        <w:rPr>
          <w:spacing w:val="-4"/>
        </w:rPr>
        <w:t xml:space="preserve"> </w:t>
      </w:r>
      <w:r>
        <w:t>that</w:t>
      </w:r>
      <w:r>
        <w:rPr>
          <w:spacing w:val="-4"/>
        </w:rPr>
        <w:t xml:space="preserve"> </w:t>
      </w:r>
      <w:r>
        <w:t>require</w:t>
      </w:r>
      <w:r>
        <w:rPr>
          <w:spacing w:val="-4"/>
        </w:rPr>
        <w:t xml:space="preserve"> </w:t>
      </w:r>
      <w:r>
        <w:t>such</w:t>
      </w:r>
      <w:r>
        <w:rPr>
          <w:spacing w:val="-5"/>
        </w:rPr>
        <w:t xml:space="preserve"> </w:t>
      </w:r>
      <w:r>
        <w:t>expertise</w:t>
      </w:r>
      <w:r>
        <w:rPr>
          <w:spacing w:val="-4"/>
        </w:rPr>
        <w:t xml:space="preserve"> </w:t>
      </w:r>
      <w:r>
        <w:t>in</w:t>
      </w:r>
      <w:r>
        <w:rPr>
          <w:spacing w:val="-5"/>
        </w:rPr>
        <w:t xml:space="preserve"> </w:t>
      </w:r>
      <w:r>
        <w:t>preparing</w:t>
      </w:r>
      <w:r>
        <w:rPr>
          <w:spacing w:val="-4"/>
        </w:rPr>
        <w:t xml:space="preserve"> </w:t>
      </w:r>
      <w:r>
        <w:t>their financial statements.</w:t>
      </w:r>
    </w:p>
    <w:p w14:paraId="0DFDACBE" w14:textId="77777777" w:rsidR="00046465" w:rsidRDefault="008134EB">
      <w:pPr>
        <w:pStyle w:val="ListParagraph"/>
        <w:numPr>
          <w:ilvl w:val="1"/>
          <w:numId w:val="219"/>
        </w:numPr>
        <w:tabs>
          <w:tab w:val="left" w:pos="2159"/>
        </w:tabs>
        <w:spacing w:before="119"/>
        <w:ind w:left="2159" w:right="719"/>
      </w:pPr>
      <w:r>
        <w:t>Education or professional development in the particular field. This may include formal courses or discussion with individuals possessing expertise in the</w:t>
      </w:r>
      <w:r>
        <w:rPr>
          <w:spacing w:val="-3"/>
        </w:rPr>
        <w:t xml:space="preserve"> </w:t>
      </w:r>
      <w:r>
        <w:t>relevant</w:t>
      </w:r>
      <w:r>
        <w:rPr>
          <w:spacing w:val="-4"/>
        </w:rPr>
        <w:t xml:space="preserve"> </w:t>
      </w:r>
      <w:r>
        <w:t>field</w:t>
      </w:r>
      <w:r>
        <w:rPr>
          <w:spacing w:val="-3"/>
        </w:rPr>
        <w:t xml:space="preserve"> </w:t>
      </w:r>
      <w:r>
        <w:t>to</w:t>
      </w:r>
      <w:r>
        <w:rPr>
          <w:spacing w:val="-3"/>
        </w:rPr>
        <w:t xml:space="preserve"> </w:t>
      </w:r>
      <w:r>
        <w:t>enhance</w:t>
      </w:r>
      <w:r>
        <w:rPr>
          <w:spacing w:val="-3"/>
        </w:rPr>
        <w:t xml:space="preserve"> </w:t>
      </w:r>
      <w:r>
        <w:t>the</w:t>
      </w:r>
      <w:r>
        <w:rPr>
          <w:spacing w:val="-3"/>
        </w:rPr>
        <w:t xml:space="preserve"> </w:t>
      </w:r>
      <w:r>
        <w:t>auditor’s</w:t>
      </w:r>
      <w:r>
        <w:rPr>
          <w:spacing w:val="-2"/>
        </w:rPr>
        <w:t xml:space="preserve"> </w:t>
      </w:r>
      <w:r>
        <w:t>own</w:t>
      </w:r>
      <w:r>
        <w:rPr>
          <w:spacing w:val="-3"/>
        </w:rPr>
        <w:t xml:space="preserve"> </w:t>
      </w:r>
      <w:r>
        <w:t>capacity</w:t>
      </w:r>
      <w:r>
        <w:rPr>
          <w:spacing w:val="-3"/>
        </w:rPr>
        <w:t xml:space="preserve"> </w:t>
      </w:r>
      <w:r>
        <w:t>to</w:t>
      </w:r>
      <w:r>
        <w:rPr>
          <w:spacing w:val="-3"/>
        </w:rPr>
        <w:t xml:space="preserve"> </w:t>
      </w:r>
      <w:r>
        <w:t>deal</w:t>
      </w:r>
      <w:r>
        <w:rPr>
          <w:spacing w:val="-3"/>
        </w:rPr>
        <w:t xml:space="preserve"> </w:t>
      </w:r>
      <w:r>
        <w:t>with</w:t>
      </w:r>
      <w:r>
        <w:rPr>
          <w:spacing w:val="-3"/>
        </w:rPr>
        <w:t xml:space="preserve"> </w:t>
      </w:r>
      <w:r>
        <w:t>matters</w:t>
      </w:r>
      <w:r>
        <w:rPr>
          <w:spacing w:val="-3"/>
        </w:rPr>
        <w:t xml:space="preserve"> </w:t>
      </w:r>
      <w:r>
        <w:t>in that</w:t>
      </w:r>
      <w:r>
        <w:rPr>
          <w:spacing w:val="-4"/>
        </w:rPr>
        <w:t xml:space="preserve"> </w:t>
      </w:r>
      <w:r>
        <w:t>field.</w:t>
      </w:r>
      <w:r>
        <w:rPr>
          <w:spacing w:val="-4"/>
        </w:rPr>
        <w:t xml:space="preserve"> </w:t>
      </w:r>
      <w:r>
        <w:t>Such</w:t>
      </w:r>
      <w:r>
        <w:rPr>
          <w:spacing w:val="-4"/>
        </w:rPr>
        <w:t xml:space="preserve"> </w:t>
      </w:r>
      <w:r>
        <w:t>discussion</w:t>
      </w:r>
      <w:r>
        <w:rPr>
          <w:spacing w:val="-4"/>
        </w:rPr>
        <w:t xml:space="preserve"> </w:t>
      </w:r>
      <w:r>
        <w:t>differs</w:t>
      </w:r>
      <w:r>
        <w:rPr>
          <w:spacing w:val="-4"/>
        </w:rPr>
        <w:t xml:space="preserve"> </w:t>
      </w:r>
      <w:r>
        <w:t>from</w:t>
      </w:r>
      <w:r>
        <w:rPr>
          <w:spacing w:val="-5"/>
        </w:rPr>
        <w:t xml:space="preserve"> </w:t>
      </w:r>
      <w:r>
        <w:t>consultation</w:t>
      </w:r>
      <w:r>
        <w:rPr>
          <w:spacing w:val="-4"/>
        </w:rPr>
        <w:t xml:space="preserve"> </w:t>
      </w:r>
      <w:r>
        <w:t>with</w:t>
      </w:r>
      <w:r>
        <w:rPr>
          <w:spacing w:val="-4"/>
        </w:rPr>
        <w:t xml:space="preserve"> </w:t>
      </w:r>
      <w:r>
        <w:t>an</w:t>
      </w:r>
      <w:r>
        <w:rPr>
          <w:spacing w:val="-4"/>
        </w:rPr>
        <w:t xml:space="preserve"> </w:t>
      </w:r>
      <w:r>
        <w:t>auditor’s</w:t>
      </w:r>
      <w:r>
        <w:rPr>
          <w:spacing w:val="-3"/>
        </w:rPr>
        <w:t xml:space="preserve"> </w:t>
      </w:r>
      <w:r>
        <w:t>specialist regarding a specific set of circumstances encountered on the engagement in which that specialist is given all the relevant facts that will enable the specialist to provide informed advice about the particular matter.</w:t>
      </w:r>
    </w:p>
    <w:p w14:paraId="0DFDACBF" w14:textId="77777777" w:rsidR="00046465" w:rsidRDefault="008134EB">
      <w:pPr>
        <w:pStyle w:val="Heading4"/>
      </w:pPr>
      <w:bookmarkStart w:id="27" w:name="Planning_the_Review_of_the_Work_of_an_Au"/>
      <w:bookmarkEnd w:id="27"/>
      <w:r>
        <w:t>Planning</w:t>
      </w:r>
      <w:r>
        <w:rPr>
          <w:spacing w:val="-7"/>
        </w:rPr>
        <w:t xml:space="preserve"> </w:t>
      </w:r>
      <w:r>
        <w:t>the</w:t>
      </w:r>
      <w:r>
        <w:rPr>
          <w:spacing w:val="-8"/>
        </w:rPr>
        <w:t xml:space="preserve"> </w:t>
      </w:r>
      <w:r>
        <w:t>Review</w:t>
      </w:r>
      <w:r>
        <w:rPr>
          <w:spacing w:val="-9"/>
        </w:rPr>
        <w:t xml:space="preserve"> </w:t>
      </w:r>
      <w:r>
        <w:t>of</w:t>
      </w:r>
      <w:r>
        <w:rPr>
          <w:spacing w:val="-8"/>
        </w:rPr>
        <w:t xml:space="preserve"> </w:t>
      </w:r>
      <w:r>
        <w:t>the</w:t>
      </w:r>
      <w:r>
        <w:rPr>
          <w:spacing w:val="-8"/>
        </w:rPr>
        <w:t xml:space="preserve"> </w:t>
      </w:r>
      <w:r>
        <w:t>Work</w:t>
      </w:r>
      <w:r>
        <w:rPr>
          <w:spacing w:val="-8"/>
        </w:rPr>
        <w:t xml:space="preserve"> </w:t>
      </w:r>
      <w:r>
        <w:t>of</w:t>
      </w:r>
      <w:r>
        <w:rPr>
          <w:spacing w:val="-8"/>
        </w:rPr>
        <w:t xml:space="preserve"> </w:t>
      </w:r>
      <w:r>
        <w:t>an</w:t>
      </w:r>
      <w:r>
        <w:rPr>
          <w:spacing w:val="-8"/>
        </w:rPr>
        <w:t xml:space="preserve"> </w:t>
      </w:r>
      <w:r>
        <w:t>Auditor’s</w:t>
      </w:r>
      <w:r>
        <w:rPr>
          <w:spacing w:val="-8"/>
        </w:rPr>
        <w:t xml:space="preserve"> </w:t>
      </w:r>
      <w:r>
        <w:rPr>
          <w:spacing w:val="-2"/>
        </w:rPr>
        <w:t>Specialist</w:t>
      </w:r>
    </w:p>
    <w:p w14:paraId="0DFDACC0" w14:textId="77777777" w:rsidR="00046465" w:rsidRDefault="008134EB">
      <w:pPr>
        <w:pStyle w:val="ListParagraph"/>
        <w:numPr>
          <w:ilvl w:val="0"/>
          <w:numId w:val="219"/>
        </w:numPr>
        <w:tabs>
          <w:tab w:val="left" w:pos="1800"/>
        </w:tabs>
        <w:spacing w:before="119"/>
        <w:ind w:right="737"/>
      </w:pPr>
      <w:r>
        <w:t>The nature, timing, and extent of the auditor’s procedures with respect to the requirements in FAM 620.18, .19, .21, .27, and .29 will vary depending on the circumstances.</w:t>
      </w:r>
      <w:r>
        <w:rPr>
          <w:spacing w:val="-4"/>
        </w:rPr>
        <w:t xml:space="preserve"> </w:t>
      </w:r>
      <w:r>
        <w:t>In</w:t>
      </w:r>
      <w:r>
        <w:rPr>
          <w:spacing w:val="-4"/>
        </w:rPr>
        <w:t xml:space="preserve"> </w:t>
      </w:r>
      <w:r>
        <w:t>determining</w:t>
      </w:r>
      <w:r>
        <w:rPr>
          <w:spacing w:val="-4"/>
        </w:rPr>
        <w:t xml:space="preserve"> </w:t>
      </w:r>
      <w:r>
        <w:t>the</w:t>
      </w:r>
      <w:r>
        <w:rPr>
          <w:spacing w:val="-4"/>
        </w:rPr>
        <w:t xml:space="preserve"> </w:t>
      </w:r>
      <w:r>
        <w:t>nature,</w:t>
      </w:r>
      <w:r>
        <w:rPr>
          <w:spacing w:val="-4"/>
        </w:rPr>
        <w:t xml:space="preserve"> </w:t>
      </w:r>
      <w:r>
        <w:t>timing,</w:t>
      </w:r>
      <w:r>
        <w:rPr>
          <w:spacing w:val="-4"/>
        </w:rPr>
        <w:t xml:space="preserve"> </w:t>
      </w:r>
      <w:r>
        <w:t>and</w:t>
      </w:r>
      <w:r>
        <w:rPr>
          <w:spacing w:val="-4"/>
        </w:rPr>
        <w:t xml:space="preserve"> </w:t>
      </w:r>
      <w:r>
        <w:t>extent</w:t>
      </w:r>
      <w:r>
        <w:rPr>
          <w:spacing w:val="-5"/>
        </w:rPr>
        <w:t xml:space="preserve"> </w:t>
      </w:r>
      <w:r>
        <w:t>of</w:t>
      </w:r>
      <w:r>
        <w:rPr>
          <w:spacing w:val="-4"/>
        </w:rPr>
        <w:t xml:space="preserve"> </w:t>
      </w:r>
      <w:r>
        <w:t>those</w:t>
      </w:r>
      <w:r>
        <w:rPr>
          <w:spacing w:val="-4"/>
        </w:rPr>
        <w:t xml:space="preserve"> </w:t>
      </w:r>
      <w:r>
        <w:t>procedures, the auditor should consider matters including (AU-C 620.08)</w:t>
      </w:r>
    </w:p>
    <w:p w14:paraId="0DFDACC1" w14:textId="77777777" w:rsidR="00046465" w:rsidRDefault="008134EB">
      <w:pPr>
        <w:pStyle w:val="ListParagraph"/>
        <w:numPr>
          <w:ilvl w:val="1"/>
          <w:numId w:val="219"/>
        </w:numPr>
        <w:tabs>
          <w:tab w:val="left" w:pos="2159"/>
        </w:tabs>
        <w:spacing w:before="121"/>
        <w:ind w:left="2159" w:hanging="359"/>
      </w:pPr>
      <w:r>
        <w:t>the</w:t>
      </w:r>
      <w:r>
        <w:rPr>
          <w:spacing w:val="-5"/>
        </w:rPr>
        <w:t xml:space="preserve"> </w:t>
      </w:r>
      <w:r>
        <w:t>nature</w:t>
      </w:r>
      <w:r>
        <w:rPr>
          <w:spacing w:val="-5"/>
        </w:rPr>
        <w:t xml:space="preserve"> </w:t>
      </w:r>
      <w:r>
        <w:t>of</w:t>
      </w:r>
      <w:r>
        <w:rPr>
          <w:spacing w:val="-5"/>
        </w:rPr>
        <w:t xml:space="preserve"> </w:t>
      </w:r>
      <w:r>
        <w:t>the</w:t>
      </w:r>
      <w:r>
        <w:rPr>
          <w:spacing w:val="-5"/>
        </w:rPr>
        <w:t xml:space="preserve"> </w:t>
      </w:r>
      <w:r>
        <w:t>matter</w:t>
      </w:r>
      <w:r>
        <w:rPr>
          <w:spacing w:val="-5"/>
        </w:rPr>
        <w:t xml:space="preserve"> </w:t>
      </w:r>
      <w:r>
        <w:t>to</w:t>
      </w:r>
      <w:r>
        <w:rPr>
          <w:spacing w:val="-5"/>
        </w:rPr>
        <w:t xml:space="preserve"> </w:t>
      </w:r>
      <w:r>
        <w:t>which</w:t>
      </w:r>
      <w:r>
        <w:rPr>
          <w:spacing w:val="-5"/>
        </w:rPr>
        <w:t xml:space="preserve"> </w:t>
      </w:r>
      <w:r>
        <w:t>the</w:t>
      </w:r>
      <w:r>
        <w:rPr>
          <w:spacing w:val="-6"/>
        </w:rPr>
        <w:t xml:space="preserve"> </w:t>
      </w:r>
      <w:r>
        <w:t>work</w:t>
      </w:r>
      <w:r>
        <w:rPr>
          <w:spacing w:val="-5"/>
        </w:rPr>
        <w:t xml:space="preserve"> </w:t>
      </w:r>
      <w:r>
        <w:t>of</w:t>
      </w:r>
      <w:r>
        <w:rPr>
          <w:spacing w:val="-5"/>
        </w:rPr>
        <w:t xml:space="preserve"> </w:t>
      </w:r>
      <w:r>
        <w:t>the</w:t>
      </w:r>
      <w:r>
        <w:rPr>
          <w:spacing w:val="-5"/>
        </w:rPr>
        <w:t xml:space="preserve"> </w:t>
      </w:r>
      <w:r>
        <w:t>auditor’s</w:t>
      </w:r>
      <w:r>
        <w:rPr>
          <w:spacing w:val="-4"/>
        </w:rPr>
        <w:t xml:space="preserve"> </w:t>
      </w:r>
      <w:r>
        <w:t>specialist</w:t>
      </w:r>
      <w:r>
        <w:rPr>
          <w:spacing w:val="-5"/>
        </w:rPr>
        <w:t xml:space="preserve"> </w:t>
      </w:r>
      <w:r>
        <w:rPr>
          <w:spacing w:val="-2"/>
        </w:rPr>
        <w:t>relates;</w:t>
      </w:r>
    </w:p>
    <w:p w14:paraId="0DFDACC2" w14:textId="77777777" w:rsidR="00046465" w:rsidRDefault="008134EB">
      <w:pPr>
        <w:pStyle w:val="ListParagraph"/>
        <w:numPr>
          <w:ilvl w:val="1"/>
          <w:numId w:val="219"/>
        </w:numPr>
        <w:tabs>
          <w:tab w:val="left" w:pos="2160"/>
        </w:tabs>
        <w:ind w:right="1345"/>
      </w:pPr>
      <w:r>
        <w:t>the</w:t>
      </w:r>
      <w:r>
        <w:rPr>
          <w:spacing w:val="-3"/>
        </w:rPr>
        <w:t xml:space="preserve"> </w:t>
      </w:r>
      <w:r>
        <w:t>risks</w:t>
      </w:r>
      <w:r>
        <w:rPr>
          <w:spacing w:val="-4"/>
        </w:rPr>
        <w:t xml:space="preserve"> </w:t>
      </w:r>
      <w:r>
        <w:t>of</w:t>
      </w:r>
      <w:r>
        <w:rPr>
          <w:spacing w:val="-4"/>
        </w:rPr>
        <w:t xml:space="preserve"> </w:t>
      </w:r>
      <w:r>
        <w:t>material</w:t>
      </w:r>
      <w:r>
        <w:rPr>
          <w:spacing w:val="-3"/>
        </w:rPr>
        <w:t xml:space="preserve"> </w:t>
      </w:r>
      <w:r>
        <w:t>misstatement</w:t>
      </w:r>
      <w:r>
        <w:rPr>
          <w:spacing w:val="-3"/>
        </w:rPr>
        <w:t xml:space="preserve"> </w:t>
      </w:r>
      <w:r>
        <w:t>in</w:t>
      </w:r>
      <w:r>
        <w:rPr>
          <w:spacing w:val="-3"/>
        </w:rPr>
        <w:t xml:space="preserve"> </w:t>
      </w:r>
      <w:r>
        <w:t>the</w:t>
      </w:r>
      <w:r>
        <w:rPr>
          <w:spacing w:val="-3"/>
        </w:rPr>
        <w:t xml:space="preserve"> </w:t>
      </w:r>
      <w:r>
        <w:t>matter</w:t>
      </w:r>
      <w:r>
        <w:rPr>
          <w:spacing w:val="-3"/>
        </w:rPr>
        <w:t xml:space="preserve"> </w:t>
      </w:r>
      <w:r>
        <w:t>to</w:t>
      </w:r>
      <w:r>
        <w:rPr>
          <w:spacing w:val="-3"/>
        </w:rPr>
        <w:t xml:space="preserve"> </w:t>
      </w:r>
      <w:r>
        <w:t>which</w:t>
      </w:r>
      <w:r>
        <w:rPr>
          <w:spacing w:val="-3"/>
        </w:rPr>
        <w:t xml:space="preserve"> </w:t>
      </w:r>
      <w:r>
        <w:t>the</w:t>
      </w:r>
      <w:r>
        <w:rPr>
          <w:spacing w:val="-4"/>
        </w:rPr>
        <w:t xml:space="preserve"> </w:t>
      </w:r>
      <w:r>
        <w:t>work</w:t>
      </w:r>
      <w:r>
        <w:rPr>
          <w:spacing w:val="-3"/>
        </w:rPr>
        <w:t xml:space="preserve"> </w:t>
      </w:r>
      <w:r>
        <w:t>of</w:t>
      </w:r>
      <w:r>
        <w:rPr>
          <w:spacing w:val="-3"/>
        </w:rPr>
        <w:t xml:space="preserve"> </w:t>
      </w:r>
      <w:r>
        <w:t>the auditor’s specialist relates;</w:t>
      </w:r>
    </w:p>
    <w:p w14:paraId="0DFDACC3" w14:textId="77777777" w:rsidR="00046465" w:rsidRDefault="008134EB">
      <w:pPr>
        <w:pStyle w:val="ListParagraph"/>
        <w:numPr>
          <w:ilvl w:val="1"/>
          <w:numId w:val="219"/>
        </w:numPr>
        <w:tabs>
          <w:tab w:val="left" w:pos="2160"/>
        </w:tabs>
        <w:spacing w:before="119"/>
        <w:ind w:right="1171"/>
      </w:pPr>
      <w:r>
        <w:t>the</w:t>
      </w:r>
      <w:r>
        <w:rPr>
          <w:spacing w:val="-3"/>
        </w:rPr>
        <w:t xml:space="preserve"> </w:t>
      </w:r>
      <w:r>
        <w:t>significance</w:t>
      </w:r>
      <w:r>
        <w:rPr>
          <w:spacing w:val="-3"/>
        </w:rPr>
        <w:t xml:space="preserve"> </w:t>
      </w:r>
      <w:r>
        <w:t>of</w:t>
      </w:r>
      <w:r>
        <w:rPr>
          <w:spacing w:val="-3"/>
        </w:rPr>
        <w:t xml:space="preserve"> </w:t>
      </w:r>
      <w:r>
        <w:t>the</w:t>
      </w:r>
      <w:r>
        <w:rPr>
          <w:spacing w:val="-3"/>
        </w:rPr>
        <w:t xml:space="preserve"> </w:t>
      </w:r>
      <w:r>
        <w:t>work</w:t>
      </w:r>
      <w:r>
        <w:rPr>
          <w:spacing w:val="-3"/>
        </w:rPr>
        <w:t xml:space="preserve"> </w:t>
      </w:r>
      <w:r>
        <w:t>of</w:t>
      </w:r>
      <w:r>
        <w:rPr>
          <w:spacing w:val="-3"/>
        </w:rPr>
        <w:t xml:space="preserve"> </w:t>
      </w:r>
      <w:r>
        <w:t>the</w:t>
      </w:r>
      <w:r>
        <w:rPr>
          <w:spacing w:val="-3"/>
        </w:rPr>
        <w:t xml:space="preserve"> </w:t>
      </w:r>
      <w:r>
        <w:t>auditor’s</w:t>
      </w:r>
      <w:r>
        <w:rPr>
          <w:spacing w:val="-2"/>
        </w:rPr>
        <w:t xml:space="preserve"> </w:t>
      </w:r>
      <w:r>
        <w:t>specialist</w:t>
      </w:r>
      <w:r>
        <w:rPr>
          <w:spacing w:val="-3"/>
        </w:rPr>
        <w:t xml:space="preserve"> </w:t>
      </w:r>
      <w:r>
        <w:t>in</w:t>
      </w:r>
      <w:r>
        <w:rPr>
          <w:spacing w:val="-3"/>
        </w:rPr>
        <w:t xml:space="preserve"> </w:t>
      </w:r>
      <w:r>
        <w:t>the</w:t>
      </w:r>
      <w:r>
        <w:rPr>
          <w:spacing w:val="-3"/>
        </w:rPr>
        <w:t xml:space="preserve"> </w:t>
      </w:r>
      <w:r>
        <w:t>context</w:t>
      </w:r>
      <w:r>
        <w:rPr>
          <w:spacing w:val="-3"/>
        </w:rPr>
        <w:t xml:space="preserve"> </w:t>
      </w:r>
      <w:r>
        <w:t>of</w:t>
      </w:r>
      <w:r>
        <w:rPr>
          <w:spacing w:val="-3"/>
        </w:rPr>
        <w:t xml:space="preserve"> </w:t>
      </w:r>
      <w:r>
        <w:t xml:space="preserve">the </w:t>
      </w:r>
      <w:r>
        <w:rPr>
          <w:spacing w:val="-2"/>
        </w:rPr>
        <w:t>audit;</w:t>
      </w:r>
    </w:p>
    <w:p w14:paraId="0DFDACC4" w14:textId="77777777" w:rsidR="00046465" w:rsidRDefault="008134EB">
      <w:pPr>
        <w:pStyle w:val="ListParagraph"/>
        <w:numPr>
          <w:ilvl w:val="1"/>
          <w:numId w:val="219"/>
        </w:numPr>
        <w:tabs>
          <w:tab w:val="left" w:pos="2160"/>
        </w:tabs>
        <w:spacing w:before="121"/>
        <w:ind w:right="1368"/>
      </w:pPr>
      <w:r>
        <w:t>the</w:t>
      </w:r>
      <w:r>
        <w:rPr>
          <w:spacing w:val="-4"/>
        </w:rPr>
        <w:t xml:space="preserve"> </w:t>
      </w:r>
      <w:r>
        <w:t>auditor’s</w:t>
      </w:r>
      <w:r>
        <w:rPr>
          <w:spacing w:val="-5"/>
        </w:rPr>
        <w:t xml:space="preserve"> </w:t>
      </w:r>
      <w:r>
        <w:t>knowledge</w:t>
      </w:r>
      <w:r>
        <w:rPr>
          <w:spacing w:val="-5"/>
        </w:rPr>
        <w:t xml:space="preserve"> </w:t>
      </w:r>
      <w:r>
        <w:t>of,</w:t>
      </w:r>
      <w:r>
        <w:rPr>
          <w:spacing w:val="-4"/>
        </w:rPr>
        <w:t xml:space="preserve"> </w:t>
      </w:r>
      <w:r>
        <w:t>and</w:t>
      </w:r>
      <w:r>
        <w:rPr>
          <w:spacing w:val="-4"/>
        </w:rPr>
        <w:t xml:space="preserve"> </w:t>
      </w:r>
      <w:r>
        <w:t>experience</w:t>
      </w:r>
      <w:r>
        <w:rPr>
          <w:spacing w:val="-4"/>
        </w:rPr>
        <w:t xml:space="preserve"> </w:t>
      </w:r>
      <w:r>
        <w:t>with,</w:t>
      </w:r>
      <w:r>
        <w:rPr>
          <w:spacing w:val="-5"/>
        </w:rPr>
        <w:t xml:space="preserve"> </w:t>
      </w:r>
      <w:r>
        <w:t>previous</w:t>
      </w:r>
      <w:r>
        <w:rPr>
          <w:spacing w:val="-4"/>
        </w:rPr>
        <w:t xml:space="preserve"> </w:t>
      </w:r>
      <w:r>
        <w:t>work</w:t>
      </w:r>
      <w:r>
        <w:rPr>
          <w:spacing w:val="-4"/>
        </w:rPr>
        <w:t xml:space="preserve"> </w:t>
      </w:r>
      <w:r>
        <w:t>that</w:t>
      </w:r>
      <w:r>
        <w:rPr>
          <w:spacing w:val="-4"/>
        </w:rPr>
        <w:t xml:space="preserve"> </w:t>
      </w:r>
      <w:r>
        <w:t>the auditor’s specialist performed; and</w:t>
      </w:r>
    </w:p>
    <w:p w14:paraId="0DFDACC5" w14:textId="77777777" w:rsidR="00046465" w:rsidRDefault="008134EB">
      <w:pPr>
        <w:pStyle w:val="ListParagraph"/>
        <w:numPr>
          <w:ilvl w:val="1"/>
          <w:numId w:val="219"/>
        </w:numPr>
        <w:tabs>
          <w:tab w:val="left" w:pos="2160"/>
        </w:tabs>
        <w:spacing w:before="119"/>
        <w:ind w:right="2005"/>
      </w:pPr>
      <w:r>
        <w:t>whether</w:t>
      </w:r>
      <w:r>
        <w:rPr>
          <w:spacing w:val="-5"/>
        </w:rPr>
        <w:t xml:space="preserve"> </w:t>
      </w:r>
      <w:r>
        <w:t>the</w:t>
      </w:r>
      <w:r>
        <w:rPr>
          <w:spacing w:val="-5"/>
        </w:rPr>
        <w:t xml:space="preserve"> </w:t>
      </w:r>
      <w:r>
        <w:t>auditor’s</w:t>
      </w:r>
      <w:r>
        <w:rPr>
          <w:spacing w:val="-4"/>
        </w:rPr>
        <w:t xml:space="preserve"> </w:t>
      </w:r>
      <w:r>
        <w:t>internal</w:t>
      </w:r>
      <w:r>
        <w:rPr>
          <w:spacing w:val="-5"/>
        </w:rPr>
        <w:t xml:space="preserve"> </w:t>
      </w:r>
      <w:r>
        <w:t>specialist</w:t>
      </w:r>
      <w:r>
        <w:rPr>
          <w:spacing w:val="-5"/>
        </w:rPr>
        <w:t xml:space="preserve"> </w:t>
      </w:r>
      <w:r>
        <w:t>is</w:t>
      </w:r>
      <w:r>
        <w:rPr>
          <w:spacing w:val="-5"/>
        </w:rPr>
        <w:t xml:space="preserve"> </w:t>
      </w:r>
      <w:r>
        <w:t>subject</w:t>
      </w:r>
      <w:r>
        <w:rPr>
          <w:spacing w:val="-5"/>
        </w:rPr>
        <w:t xml:space="preserve"> </w:t>
      </w:r>
      <w:r>
        <w:t>to</w:t>
      </w:r>
      <w:r>
        <w:rPr>
          <w:spacing w:val="-5"/>
        </w:rPr>
        <w:t xml:space="preserve"> </w:t>
      </w:r>
      <w:r>
        <w:t>the</w:t>
      </w:r>
      <w:r>
        <w:rPr>
          <w:spacing w:val="-5"/>
        </w:rPr>
        <w:t xml:space="preserve"> </w:t>
      </w:r>
      <w:r>
        <w:t>auditor’s organization’s quality control policies and procedures.</w:t>
      </w:r>
    </w:p>
    <w:p w14:paraId="0DFDACC6" w14:textId="77777777" w:rsidR="00046465" w:rsidRDefault="008134EB">
      <w:pPr>
        <w:pStyle w:val="ListParagraph"/>
        <w:numPr>
          <w:ilvl w:val="0"/>
          <w:numId w:val="219"/>
        </w:numPr>
        <w:tabs>
          <w:tab w:val="left" w:pos="1800"/>
        </w:tabs>
        <w:ind w:right="861"/>
      </w:pPr>
      <w:r>
        <w:t>For</w:t>
      </w:r>
      <w:r>
        <w:rPr>
          <w:spacing w:val="-4"/>
        </w:rPr>
        <w:t xml:space="preserve"> </w:t>
      </w:r>
      <w:r>
        <w:t>internal</w:t>
      </w:r>
      <w:r>
        <w:rPr>
          <w:spacing w:val="-5"/>
        </w:rPr>
        <w:t xml:space="preserve"> </w:t>
      </w:r>
      <w:r>
        <w:t>specialists</w:t>
      </w:r>
      <w:r>
        <w:rPr>
          <w:spacing w:val="-4"/>
        </w:rPr>
        <w:t xml:space="preserve"> </w:t>
      </w:r>
      <w:r>
        <w:t>(i.e.,</w:t>
      </w:r>
      <w:r>
        <w:rPr>
          <w:spacing w:val="-4"/>
        </w:rPr>
        <w:t xml:space="preserve"> </w:t>
      </w:r>
      <w:r>
        <w:t>partners</w:t>
      </w:r>
      <w:r>
        <w:rPr>
          <w:spacing w:val="-5"/>
        </w:rPr>
        <w:t xml:space="preserve"> </w:t>
      </w:r>
      <w:r>
        <w:t>or</w:t>
      </w:r>
      <w:r>
        <w:rPr>
          <w:spacing w:val="-4"/>
        </w:rPr>
        <w:t xml:space="preserve"> </w:t>
      </w:r>
      <w:r>
        <w:t>staff</w:t>
      </w:r>
      <w:r>
        <w:rPr>
          <w:spacing w:val="-4"/>
        </w:rPr>
        <w:t xml:space="preserve"> </w:t>
      </w:r>
      <w:r>
        <w:t>members,</w:t>
      </w:r>
      <w:r>
        <w:rPr>
          <w:spacing w:val="-4"/>
        </w:rPr>
        <w:t xml:space="preserve"> </w:t>
      </w:r>
      <w:r>
        <w:t>including</w:t>
      </w:r>
      <w:r>
        <w:rPr>
          <w:spacing w:val="-4"/>
        </w:rPr>
        <w:t xml:space="preserve"> </w:t>
      </w:r>
      <w:r>
        <w:t>temporary</w:t>
      </w:r>
      <w:r>
        <w:rPr>
          <w:spacing w:val="-4"/>
        </w:rPr>
        <w:t xml:space="preserve"> </w:t>
      </w:r>
      <w:r>
        <w:t xml:space="preserve">staff members, within the auditor’s organization), in accordance with </w:t>
      </w:r>
      <w:hyperlink r:id="rId39">
        <w:r>
          <w:t>AU-C</w:t>
        </w:r>
      </w:hyperlink>
      <w:r>
        <w:t xml:space="preserve"> 220A.05, auditors are entitled to rely on the auditor’s organization’s system of quality control unless the auditor’s engagement partner determines that it is inappropriate to do so based on information provided by the auditor’s organization or other parties. The extent of that reliance will vary based on the circumstances and may affect the nature, timing, and extent of the auditor’s procedures with respect to such matters as the following (AU-C 620.A13):</w:t>
      </w:r>
    </w:p>
    <w:p w14:paraId="0DFDACC7" w14:textId="77777777" w:rsidR="00046465" w:rsidRDefault="008134EB">
      <w:pPr>
        <w:pStyle w:val="ListParagraph"/>
        <w:numPr>
          <w:ilvl w:val="1"/>
          <w:numId w:val="219"/>
        </w:numPr>
        <w:tabs>
          <w:tab w:val="left" w:pos="2159"/>
        </w:tabs>
        <w:spacing w:before="121"/>
        <w:ind w:left="2159" w:hanging="359"/>
      </w:pPr>
      <w:r>
        <w:t>Competence</w:t>
      </w:r>
      <w:r>
        <w:rPr>
          <w:spacing w:val="-10"/>
        </w:rPr>
        <w:t xml:space="preserve"> </w:t>
      </w:r>
      <w:r>
        <w:t>and</w:t>
      </w:r>
      <w:r>
        <w:rPr>
          <w:spacing w:val="-9"/>
        </w:rPr>
        <w:t xml:space="preserve"> </w:t>
      </w:r>
      <w:r>
        <w:t>capabilities</w:t>
      </w:r>
      <w:r>
        <w:rPr>
          <w:spacing w:val="-9"/>
        </w:rPr>
        <w:t xml:space="preserve"> </w:t>
      </w:r>
      <w:r>
        <w:t>through</w:t>
      </w:r>
      <w:r>
        <w:rPr>
          <w:spacing w:val="-9"/>
        </w:rPr>
        <w:t xml:space="preserve"> </w:t>
      </w:r>
      <w:r>
        <w:t>recruitment</w:t>
      </w:r>
      <w:r>
        <w:rPr>
          <w:spacing w:val="-9"/>
        </w:rPr>
        <w:t xml:space="preserve"> </w:t>
      </w:r>
      <w:r>
        <w:t>and</w:t>
      </w:r>
      <w:r>
        <w:rPr>
          <w:spacing w:val="-9"/>
        </w:rPr>
        <w:t xml:space="preserve"> </w:t>
      </w:r>
      <w:r>
        <w:t>training</w:t>
      </w:r>
      <w:r>
        <w:rPr>
          <w:spacing w:val="-9"/>
        </w:rPr>
        <w:t xml:space="preserve"> </w:t>
      </w:r>
      <w:r>
        <w:rPr>
          <w:spacing w:val="-2"/>
        </w:rPr>
        <w:t>programs.</w:t>
      </w:r>
    </w:p>
    <w:p w14:paraId="0DFDACC8" w14:textId="77777777" w:rsidR="00046465" w:rsidRDefault="008134EB">
      <w:pPr>
        <w:pStyle w:val="ListParagraph"/>
        <w:numPr>
          <w:ilvl w:val="1"/>
          <w:numId w:val="219"/>
        </w:numPr>
        <w:tabs>
          <w:tab w:val="left" w:pos="2160"/>
        </w:tabs>
        <w:spacing w:before="119"/>
        <w:ind w:right="792"/>
      </w:pPr>
      <w:r>
        <w:t>Independence</w:t>
      </w:r>
      <w:r>
        <w:rPr>
          <w:spacing w:val="-4"/>
        </w:rPr>
        <w:t xml:space="preserve"> </w:t>
      </w:r>
      <w:r>
        <w:t>and</w:t>
      </w:r>
      <w:r>
        <w:rPr>
          <w:spacing w:val="-4"/>
        </w:rPr>
        <w:t xml:space="preserve"> </w:t>
      </w:r>
      <w:r>
        <w:t>objectivity.</w:t>
      </w:r>
      <w:r>
        <w:rPr>
          <w:spacing w:val="-4"/>
        </w:rPr>
        <w:t xml:space="preserve"> </w:t>
      </w:r>
      <w:r>
        <w:t>The</w:t>
      </w:r>
      <w:r>
        <w:rPr>
          <w:spacing w:val="-5"/>
        </w:rPr>
        <w:t xml:space="preserve"> </w:t>
      </w:r>
      <w:r>
        <w:t>auditor’s</w:t>
      </w:r>
      <w:r>
        <w:rPr>
          <w:spacing w:val="-4"/>
        </w:rPr>
        <w:t xml:space="preserve"> </w:t>
      </w:r>
      <w:r>
        <w:t>internal</w:t>
      </w:r>
      <w:r>
        <w:rPr>
          <w:spacing w:val="-4"/>
        </w:rPr>
        <w:t xml:space="preserve"> </w:t>
      </w:r>
      <w:r>
        <w:t>specialists</w:t>
      </w:r>
      <w:r>
        <w:rPr>
          <w:spacing w:val="-4"/>
        </w:rPr>
        <w:t xml:space="preserve"> </w:t>
      </w:r>
      <w:r>
        <w:t>are</w:t>
      </w:r>
      <w:r>
        <w:rPr>
          <w:spacing w:val="-5"/>
        </w:rPr>
        <w:t xml:space="preserve"> </w:t>
      </w:r>
      <w:r>
        <w:t>subject</w:t>
      </w:r>
      <w:r>
        <w:rPr>
          <w:spacing w:val="-4"/>
        </w:rPr>
        <w:t xml:space="preserve"> </w:t>
      </w:r>
      <w:r>
        <w:t>to relevant ethical requirements, including those pertaining to independence.</w:t>
      </w:r>
    </w:p>
    <w:p w14:paraId="0DFDACC9" w14:textId="77777777" w:rsidR="00046465" w:rsidRDefault="008134EB">
      <w:pPr>
        <w:pStyle w:val="ListParagraph"/>
        <w:numPr>
          <w:ilvl w:val="1"/>
          <w:numId w:val="219"/>
        </w:numPr>
        <w:tabs>
          <w:tab w:val="left" w:pos="2159"/>
        </w:tabs>
        <w:ind w:left="2159" w:hanging="359"/>
      </w:pPr>
      <w:r>
        <w:t>Agreement</w:t>
      </w:r>
      <w:r>
        <w:rPr>
          <w:spacing w:val="-7"/>
        </w:rPr>
        <w:t xml:space="preserve"> </w:t>
      </w:r>
      <w:r>
        <w:t>with</w:t>
      </w:r>
      <w:r>
        <w:rPr>
          <w:spacing w:val="-7"/>
        </w:rPr>
        <w:t xml:space="preserve"> </w:t>
      </w:r>
      <w:r>
        <w:t>the</w:t>
      </w:r>
      <w:r>
        <w:rPr>
          <w:spacing w:val="-7"/>
        </w:rPr>
        <w:t xml:space="preserve"> </w:t>
      </w:r>
      <w:r>
        <w:t>auditor’s</w:t>
      </w:r>
      <w:r>
        <w:rPr>
          <w:spacing w:val="-7"/>
        </w:rPr>
        <w:t xml:space="preserve"> </w:t>
      </w:r>
      <w:r>
        <w:t>internal</w:t>
      </w:r>
      <w:r>
        <w:rPr>
          <w:spacing w:val="-7"/>
        </w:rPr>
        <w:t xml:space="preserve"> </w:t>
      </w:r>
      <w:r>
        <w:rPr>
          <w:spacing w:val="-2"/>
        </w:rPr>
        <w:t>specialist.</w:t>
      </w:r>
    </w:p>
    <w:p w14:paraId="0DFDACCA" w14:textId="77777777" w:rsidR="00046465" w:rsidRDefault="008134EB">
      <w:pPr>
        <w:pStyle w:val="ListParagraph"/>
        <w:numPr>
          <w:ilvl w:val="1"/>
          <w:numId w:val="219"/>
        </w:numPr>
        <w:tabs>
          <w:tab w:val="left" w:pos="2160"/>
        </w:tabs>
        <w:ind w:right="747"/>
      </w:pPr>
      <w:r>
        <w:t>The auditor’s evaluation of the adequacy of the auditor’s internal specialist’s work. For example, the auditor’s organization’s training programs may provide the auditor’s internal specialists with an</w:t>
      </w:r>
      <w:r>
        <w:rPr>
          <w:spacing w:val="-1"/>
        </w:rPr>
        <w:t xml:space="preserve"> </w:t>
      </w:r>
      <w:r>
        <w:t>appropriate understanding of the interrelationship of their expertise with the audit process. Reliance on such</w:t>
      </w:r>
      <w:r>
        <w:rPr>
          <w:spacing w:val="-4"/>
        </w:rPr>
        <w:t xml:space="preserve"> </w:t>
      </w:r>
      <w:r>
        <w:t>training</w:t>
      </w:r>
      <w:r>
        <w:rPr>
          <w:spacing w:val="-4"/>
        </w:rPr>
        <w:t xml:space="preserve"> </w:t>
      </w:r>
      <w:r>
        <w:t>and</w:t>
      </w:r>
      <w:r>
        <w:rPr>
          <w:spacing w:val="-4"/>
        </w:rPr>
        <w:t xml:space="preserve"> </w:t>
      </w:r>
      <w:r>
        <w:t>other</w:t>
      </w:r>
      <w:r>
        <w:rPr>
          <w:spacing w:val="-6"/>
        </w:rPr>
        <w:t xml:space="preserve"> </w:t>
      </w:r>
      <w:r>
        <w:t>organization</w:t>
      </w:r>
      <w:r>
        <w:rPr>
          <w:spacing w:val="-5"/>
        </w:rPr>
        <w:t xml:space="preserve"> </w:t>
      </w:r>
      <w:r>
        <w:t>processes,</w:t>
      </w:r>
      <w:r>
        <w:rPr>
          <w:spacing w:val="-5"/>
        </w:rPr>
        <w:t xml:space="preserve"> </w:t>
      </w:r>
      <w:r>
        <w:t>such</w:t>
      </w:r>
      <w:r>
        <w:rPr>
          <w:spacing w:val="-4"/>
        </w:rPr>
        <w:t xml:space="preserve"> </w:t>
      </w:r>
      <w:r>
        <w:t>as</w:t>
      </w:r>
      <w:r>
        <w:rPr>
          <w:spacing w:val="-4"/>
        </w:rPr>
        <w:t xml:space="preserve"> </w:t>
      </w:r>
      <w:r>
        <w:t>protocols</w:t>
      </w:r>
      <w:r>
        <w:rPr>
          <w:spacing w:val="-4"/>
        </w:rPr>
        <w:t xml:space="preserve"> </w:t>
      </w:r>
      <w:r>
        <w:t>for</w:t>
      </w:r>
      <w:r>
        <w:rPr>
          <w:spacing w:val="-6"/>
        </w:rPr>
        <w:t xml:space="preserve"> </w:t>
      </w:r>
      <w:r>
        <w:t>scoping the work of the auditor’s internal specialists, may affect the nature, timing, and extent of the auditor’s procedures for evaluating the adequacy the auditor's internal specialist’s work.</w:t>
      </w:r>
    </w:p>
    <w:p w14:paraId="0DFDACCB" w14:textId="77777777" w:rsidR="00046465" w:rsidRDefault="00046465">
      <w:pPr>
        <w:pStyle w:val="ListParagraph"/>
        <w:sectPr w:rsidR="00046465">
          <w:pgSz w:w="12240" w:h="15840"/>
          <w:pgMar w:top="1340" w:right="720" w:bottom="940" w:left="1080" w:header="721" w:footer="757" w:gutter="0"/>
          <w:cols w:space="720"/>
        </w:sectPr>
      </w:pPr>
    </w:p>
    <w:p w14:paraId="0DFDACCC" w14:textId="77777777" w:rsidR="00046465" w:rsidRDefault="008134EB">
      <w:pPr>
        <w:pStyle w:val="ListParagraph"/>
        <w:numPr>
          <w:ilvl w:val="1"/>
          <w:numId w:val="219"/>
        </w:numPr>
        <w:tabs>
          <w:tab w:val="left" w:pos="2158"/>
          <w:tab w:val="left" w:pos="2160"/>
        </w:tabs>
        <w:spacing w:before="121"/>
        <w:ind w:right="1735" w:hanging="361"/>
      </w:pPr>
      <w:r>
        <w:lastRenderedPageBreak/>
        <w:t>Adherence</w:t>
      </w:r>
      <w:r>
        <w:rPr>
          <w:spacing w:val="-6"/>
        </w:rPr>
        <w:t xml:space="preserve"> </w:t>
      </w:r>
      <w:r>
        <w:t>to</w:t>
      </w:r>
      <w:r>
        <w:rPr>
          <w:spacing w:val="-6"/>
        </w:rPr>
        <w:t xml:space="preserve"> </w:t>
      </w:r>
      <w:r>
        <w:t>legal</w:t>
      </w:r>
      <w:r>
        <w:rPr>
          <w:spacing w:val="-6"/>
        </w:rPr>
        <w:t xml:space="preserve"> </w:t>
      </w:r>
      <w:r>
        <w:t>and</w:t>
      </w:r>
      <w:r>
        <w:rPr>
          <w:spacing w:val="-6"/>
        </w:rPr>
        <w:t xml:space="preserve"> </w:t>
      </w:r>
      <w:r>
        <w:t>regulatory</w:t>
      </w:r>
      <w:r>
        <w:rPr>
          <w:spacing w:val="-6"/>
        </w:rPr>
        <w:t xml:space="preserve"> </w:t>
      </w:r>
      <w:r>
        <w:t>requirements</w:t>
      </w:r>
      <w:r>
        <w:rPr>
          <w:spacing w:val="-6"/>
        </w:rPr>
        <w:t xml:space="preserve"> </w:t>
      </w:r>
      <w:r>
        <w:t>through</w:t>
      </w:r>
      <w:r>
        <w:rPr>
          <w:spacing w:val="-6"/>
        </w:rPr>
        <w:t xml:space="preserve"> </w:t>
      </w:r>
      <w:r>
        <w:t xml:space="preserve">monitoring </w:t>
      </w:r>
      <w:r>
        <w:rPr>
          <w:spacing w:val="-2"/>
        </w:rPr>
        <w:t>processes.</w:t>
      </w:r>
    </w:p>
    <w:p w14:paraId="0DFDACCD" w14:textId="77777777" w:rsidR="00046465" w:rsidRDefault="008134EB">
      <w:pPr>
        <w:pStyle w:val="BodyText"/>
        <w:spacing w:before="119"/>
        <w:ind w:left="1800" w:right="749"/>
      </w:pPr>
      <w:r>
        <w:t>Such</w:t>
      </w:r>
      <w:r>
        <w:rPr>
          <w:spacing w:val="-4"/>
        </w:rPr>
        <w:t xml:space="preserve"> </w:t>
      </w:r>
      <w:r>
        <w:t>reliance</w:t>
      </w:r>
      <w:r>
        <w:rPr>
          <w:spacing w:val="-4"/>
        </w:rPr>
        <w:t xml:space="preserve"> </w:t>
      </w:r>
      <w:r>
        <w:t>does</w:t>
      </w:r>
      <w:r>
        <w:rPr>
          <w:spacing w:val="-4"/>
        </w:rPr>
        <w:t xml:space="preserve"> </w:t>
      </w:r>
      <w:r>
        <w:t>not</w:t>
      </w:r>
      <w:r>
        <w:rPr>
          <w:spacing w:val="-4"/>
        </w:rPr>
        <w:t xml:space="preserve"> </w:t>
      </w:r>
      <w:r>
        <w:t>reduce</w:t>
      </w:r>
      <w:r>
        <w:rPr>
          <w:spacing w:val="-4"/>
        </w:rPr>
        <w:t xml:space="preserve"> </w:t>
      </w:r>
      <w:r>
        <w:t>the</w:t>
      </w:r>
      <w:r>
        <w:rPr>
          <w:spacing w:val="-4"/>
        </w:rPr>
        <w:t xml:space="preserve"> </w:t>
      </w:r>
      <w:r>
        <w:t>auditor’s</w:t>
      </w:r>
      <w:r>
        <w:rPr>
          <w:spacing w:val="-3"/>
        </w:rPr>
        <w:t xml:space="preserve"> </w:t>
      </w:r>
      <w:r>
        <w:t>responsibility</w:t>
      </w:r>
      <w:r>
        <w:rPr>
          <w:spacing w:val="-4"/>
        </w:rPr>
        <w:t xml:space="preserve"> </w:t>
      </w:r>
      <w:r>
        <w:t>to</w:t>
      </w:r>
      <w:r>
        <w:rPr>
          <w:spacing w:val="-5"/>
        </w:rPr>
        <w:t xml:space="preserve"> </w:t>
      </w:r>
      <w:r>
        <w:t>meet</w:t>
      </w:r>
      <w:r>
        <w:rPr>
          <w:spacing w:val="-4"/>
        </w:rPr>
        <w:t xml:space="preserve"> </w:t>
      </w:r>
      <w:r>
        <w:t>the requirements of this section (AU-C 620.A13).</w:t>
      </w:r>
    </w:p>
    <w:p w14:paraId="0DFDACCE" w14:textId="77777777" w:rsidR="00046465" w:rsidRDefault="008134EB">
      <w:pPr>
        <w:pStyle w:val="ListParagraph"/>
        <w:numPr>
          <w:ilvl w:val="0"/>
          <w:numId w:val="219"/>
        </w:numPr>
        <w:tabs>
          <w:tab w:val="left" w:pos="1800"/>
        </w:tabs>
        <w:spacing w:before="121"/>
        <w:ind w:right="737"/>
      </w:pPr>
      <w:r>
        <w:t>It is necessary to apply professional judgment when considering how the requirements of this section are affected by the fact that an auditor’s specialist may be either an individual or an organization.</w:t>
      </w:r>
      <w:r>
        <w:rPr>
          <w:spacing w:val="-1"/>
        </w:rPr>
        <w:t xml:space="preserve"> </w:t>
      </w:r>
      <w:r>
        <w:t>For example, when evaluating the independence,</w:t>
      </w:r>
      <w:r>
        <w:rPr>
          <w:spacing w:val="-5"/>
        </w:rPr>
        <w:t xml:space="preserve"> </w:t>
      </w:r>
      <w:r>
        <w:t>objectivity,</w:t>
      </w:r>
      <w:r>
        <w:rPr>
          <w:spacing w:val="-5"/>
        </w:rPr>
        <w:t xml:space="preserve"> </w:t>
      </w:r>
      <w:r>
        <w:t>competence,</w:t>
      </w:r>
      <w:r>
        <w:rPr>
          <w:spacing w:val="-5"/>
        </w:rPr>
        <w:t xml:space="preserve"> </w:t>
      </w:r>
      <w:r>
        <w:t>and</w:t>
      </w:r>
      <w:r>
        <w:rPr>
          <w:spacing w:val="-5"/>
        </w:rPr>
        <w:t xml:space="preserve"> </w:t>
      </w:r>
      <w:r>
        <w:t>capabilities</w:t>
      </w:r>
      <w:r>
        <w:rPr>
          <w:spacing w:val="-5"/>
        </w:rPr>
        <w:t xml:space="preserve"> </w:t>
      </w:r>
      <w:r>
        <w:t>of</w:t>
      </w:r>
      <w:r>
        <w:rPr>
          <w:spacing w:val="-5"/>
        </w:rPr>
        <w:t xml:space="preserve"> </w:t>
      </w:r>
      <w:r>
        <w:t>an</w:t>
      </w:r>
      <w:r>
        <w:rPr>
          <w:spacing w:val="-5"/>
        </w:rPr>
        <w:t xml:space="preserve"> </w:t>
      </w:r>
      <w:r>
        <w:t>auditor’s</w:t>
      </w:r>
      <w:r>
        <w:rPr>
          <w:spacing w:val="-5"/>
        </w:rPr>
        <w:t xml:space="preserve"> </w:t>
      </w:r>
      <w:r>
        <w:t>specialist, it may be that the specialist is an organization that the auditor has previously used, but the auditor has no prior experience with the individual specialist assigned by the organization for the particular engagement, or it may be the reverse (that is, the auditor may be familiar with the work of an individual specialist but not with the organization that now employs the specialist). In either case, both the personal attributes of the individual and the managerial attributes of the organization (such as systems of quality control that the organization implements) may be relevant to the auditor’s evaluation (AU-C 620.A4).</w:t>
      </w:r>
    </w:p>
    <w:p w14:paraId="0DFDACCF" w14:textId="77777777" w:rsidR="00046465" w:rsidRDefault="008134EB">
      <w:pPr>
        <w:pStyle w:val="Heading4"/>
        <w:spacing w:before="240"/>
        <w:ind w:right="749"/>
      </w:pPr>
      <w:bookmarkStart w:id="28" w:name="Evaluating_the_Objectivity,_Competence,_"/>
      <w:bookmarkEnd w:id="28"/>
      <w:r>
        <w:t>Evaluating</w:t>
      </w:r>
      <w:r>
        <w:rPr>
          <w:spacing w:val="-7"/>
        </w:rPr>
        <w:t xml:space="preserve"> </w:t>
      </w:r>
      <w:r>
        <w:t>the</w:t>
      </w:r>
      <w:r>
        <w:rPr>
          <w:spacing w:val="-6"/>
        </w:rPr>
        <w:t xml:space="preserve"> </w:t>
      </w:r>
      <w:r>
        <w:t>Objectivity,</w:t>
      </w:r>
      <w:r>
        <w:rPr>
          <w:spacing w:val="-6"/>
        </w:rPr>
        <w:t xml:space="preserve"> </w:t>
      </w:r>
      <w:r>
        <w:t>Competence,</w:t>
      </w:r>
      <w:r>
        <w:rPr>
          <w:spacing w:val="-6"/>
        </w:rPr>
        <w:t xml:space="preserve"> </w:t>
      </w:r>
      <w:r>
        <w:t>and</w:t>
      </w:r>
      <w:r>
        <w:rPr>
          <w:spacing w:val="-7"/>
        </w:rPr>
        <w:t xml:space="preserve"> </w:t>
      </w:r>
      <w:r>
        <w:t>Capabilities</w:t>
      </w:r>
      <w:r>
        <w:rPr>
          <w:spacing w:val="-6"/>
        </w:rPr>
        <w:t xml:space="preserve"> </w:t>
      </w:r>
      <w:r>
        <w:t>of</w:t>
      </w:r>
      <w:r>
        <w:rPr>
          <w:spacing w:val="-7"/>
        </w:rPr>
        <w:t xml:space="preserve"> </w:t>
      </w:r>
      <w:r>
        <w:t>the Auditor’s Specialist</w:t>
      </w:r>
    </w:p>
    <w:p w14:paraId="0DFDACD0" w14:textId="77777777" w:rsidR="00046465" w:rsidRDefault="008134EB">
      <w:pPr>
        <w:pStyle w:val="ListParagraph"/>
        <w:numPr>
          <w:ilvl w:val="0"/>
          <w:numId w:val="219"/>
        </w:numPr>
        <w:tabs>
          <w:tab w:val="left" w:pos="1800"/>
        </w:tabs>
        <w:spacing w:before="119"/>
        <w:ind w:right="725"/>
      </w:pPr>
      <w:r>
        <w:t>The auditor should evaluate whether the auditor’s specialist has the necessary objectivity,</w:t>
      </w:r>
      <w:r>
        <w:rPr>
          <w:spacing w:val="-5"/>
        </w:rPr>
        <w:t xml:space="preserve"> </w:t>
      </w:r>
      <w:r>
        <w:t>competence,</w:t>
      </w:r>
      <w:r>
        <w:rPr>
          <w:spacing w:val="-4"/>
        </w:rPr>
        <w:t xml:space="preserve"> </w:t>
      </w:r>
      <w:r>
        <w:t>and</w:t>
      </w:r>
      <w:r>
        <w:rPr>
          <w:spacing w:val="-4"/>
        </w:rPr>
        <w:t xml:space="preserve"> </w:t>
      </w:r>
      <w:r>
        <w:t>capabilities</w:t>
      </w:r>
      <w:r>
        <w:rPr>
          <w:spacing w:val="-4"/>
        </w:rPr>
        <w:t xml:space="preserve"> </w:t>
      </w:r>
      <w:r>
        <w:t>for</w:t>
      </w:r>
      <w:r>
        <w:rPr>
          <w:spacing w:val="-4"/>
        </w:rPr>
        <w:t xml:space="preserve"> </w:t>
      </w:r>
      <w:r>
        <w:t>the</w:t>
      </w:r>
      <w:r>
        <w:rPr>
          <w:spacing w:val="-4"/>
        </w:rPr>
        <w:t xml:space="preserve"> </w:t>
      </w:r>
      <w:r>
        <w:t>auditor’s</w:t>
      </w:r>
      <w:r>
        <w:rPr>
          <w:spacing w:val="-3"/>
        </w:rPr>
        <w:t xml:space="preserve"> </w:t>
      </w:r>
      <w:r>
        <w:t>purposes.</w:t>
      </w:r>
      <w:r>
        <w:rPr>
          <w:spacing w:val="-4"/>
        </w:rPr>
        <w:t xml:space="preserve"> </w:t>
      </w:r>
      <w:r>
        <w:t>In</w:t>
      </w:r>
      <w:r>
        <w:rPr>
          <w:spacing w:val="-4"/>
        </w:rPr>
        <w:t xml:space="preserve"> </w:t>
      </w:r>
      <w:r>
        <w:t>the</w:t>
      </w:r>
      <w:r>
        <w:rPr>
          <w:spacing w:val="-5"/>
        </w:rPr>
        <w:t xml:space="preserve"> </w:t>
      </w:r>
      <w:r>
        <w:t>case</w:t>
      </w:r>
      <w:r>
        <w:rPr>
          <w:spacing w:val="-4"/>
        </w:rPr>
        <w:t xml:space="preserve"> </w:t>
      </w:r>
      <w:r>
        <w:t>of an</w:t>
      </w:r>
      <w:r>
        <w:rPr>
          <w:spacing w:val="-2"/>
        </w:rPr>
        <w:t xml:space="preserve"> </w:t>
      </w:r>
      <w:r>
        <w:t>auditor’s</w:t>
      </w:r>
      <w:r>
        <w:rPr>
          <w:spacing w:val="-3"/>
        </w:rPr>
        <w:t xml:space="preserve"> </w:t>
      </w:r>
      <w:r>
        <w:t>external</w:t>
      </w:r>
      <w:r>
        <w:rPr>
          <w:spacing w:val="-2"/>
        </w:rPr>
        <w:t xml:space="preserve"> </w:t>
      </w:r>
      <w:r>
        <w:t>specialist,</w:t>
      </w:r>
      <w:r>
        <w:rPr>
          <w:spacing w:val="-2"/>
        </w:rPr>
        <w:t xml:space="preserve"> </w:t>
      </w:r>
      <w:r>
        <w:t>the</w:t>
      </w:r>
      <w:r>
        <w:rPr>
          <w:spacing w:val="-2"/>
        </w:rPr>
        <w:t xml:space="preserve"> </w:t>
      </w:r>
      <w:r>
        <w:t>evaluation</w:t>
      </w:r>
      <w:r>
        <w:rPr>
          <w:spacing w:val="-2"/>
        </w:rPr>
        <w:t xml:space="preserve"> </w:t>
      </w:r>
      <w:r>
        <w:t>of</w:t>
      </w:r>
      <w:r>
        <w:rPr>
          <w:spacing w:val="-3"/>
        </w:rPr>
        <w:t xml:space="preserve"> </w:t>
      </w:r>
      <w:r>
        <w:t>objectivity</w:t>
      </w:r>
      <w:r>
        <w:rPr>
          <w:spacing w:val="-2"/>
        </w:rPr>
        <w:t xml:space="preserve"> </w:t>
      </w:r>
      <w:r>
        <w:t>should</w:t>
      </w:r>
      <w:r>
        <w:rPr>
          <w:spacing w:val="-2"/>
        </w:rPr>
        <w:t xml:space="preserve"> </w:t>
      </w:r>
      <w:r>
        <w:t>include</w:t>
      </w:r>
      <w:r>
        <w:rPr>
          <w:spacing w:val="-2"/>
        </w:rPr>
        <w:t xml:space="preserve"> </w:t>
      </w:r>
      <w:r>
        <w:t>inquiry regarding interests and relationships that may create a threat to the objectivity of the auditor’s specialist. (AU-C 620.09) See FAM 615 and AU-C 620.A15 through</w:t>
      </w:r>
    </w:p>
    <w:p w14:paraId="0DFDACD1" w14:textId="77777777" w:rsidR="00046465" w:rsidRDefault="008134EB">
      <w:pPr>
        <w:pStyle w:val="BodyText"/>
        <w:spacing w:before="1"/>
        <w:ind w:left="1800"/>
      </w:pPr>
      <w:r>
        <w:t>.A22</w:t>
      </w:r>
      <w:r>
        <w:rPr>
          <w:spacing w:val="-6"/>
        </w:rPr>
        <w:t xml:space="preserve"> </w:t>
      </w:r>
      <w:r>
        <w:t>for</w:t>
      </w:r>
      <w:r>
        <w:rPr>
          <w:spacing w:val="-6"/>
        </w:rPr>
        <w:t xml:space="preserve"> </w:t>
      </w:r>
      <w:r>
        <w:t>additional</w:t>
      </w:r>
      <w:r>
        <w:rPr>
          <w:spacing w:val="-6"/>
        </w:rPr>
        <w:t xml:space="preserve"> </w:t>
      </w:r>
      <w:r>
        <w:rPr>
          <w:spacing w:val="-2"/>
        </w:rPr>
        <w:t>guidance.</w:t>
      </w:r>
    </w:p>
    <w:p w14:paraId="0DFDACD2" w14:textId="77777777" w:rsidR="00046465" w:rsidRDefault="008134EB">
      <w:pPr>
        <w:pStyle w:val="Heading4"/>
      </w:pPr>
      <w:bookmarkStart w:id="29" w:name="Obtaining_an_Understanding_of_the_Field_"/>
      <w:bookmarkEnd w:id="29"/>
      <w:r>
        <w:t>Obtaining</w:t>
      </w:r>
      <w:r>
        <w:rPr>
          <w:spacing w:val="-5"/>
        </w:rPr>
        <w:t xml:space="preserve"> </w:t>
      </w:r>
      <w:r>
        <w:t>an</w:t>
      </w:r>
      <w:r>
        <w:rPr>
          <w:spacing w:val="-5"/>
        </w:rPr>
        <w:t xml:space="preserve"> </w:t>
      </w:r>
      <w:r>
        <w:t>Understanding</w:t>
      </w:r>
      <w:r>
        <w:rPr>
          <w:spacing w:val="-5"/>
        </w:rPr>
        <w:t xml:space="preserve"> </w:t>
      </w:r>
      <w:r>
        <w:t>of</w:t>
      </w:r>
      <w:r>
        <w:rPr>
          <w:spacing w:val="-4"/>
        </w:rPr>
        <w:t xml:space="preserve"> </w:t>
      </w:r>
      <w:r>
        <w:t>the</w:t>
      </w:r>
      <w:r>
        <w:rPr>
          <w:spacing w:val="-3"/>
        </w:rPr>
        <w:t xml:space="preserve"> </w:t>
      </w:r>
      <w:r>
        <w:t>Field</w:t>
      </w:r>
      <w:r>
        <w:rPr>
          <w:spacing w:val="-5"/>
        </w:rPr>
        <w:t xml:space="preserve"> </w:t>
      </w:r>
      <w:r>
        <w:t>of</w:t>
      </w:r>
      <w:r>
        <w:rPr>
          <w:spacing w:val="-4"/>
        </w:rPr>
        <w:t xml:space="preserve"> </w:t>
      </w:r>
      <w:r>
        <w:t>Expertise</w:t>
      </w:r>
      <w:r>
        <w:rPr>
          <w:spacing w:val="-4"/>
        </w:rPr>
        <w:t xml:space="preserve"> </w:t>
      </w:r>
      <w:r>
        <w:t>of</w:t>
      </w:r>
      <w:r>
        <w:rPr>
          <w:spacing w:val="-4"/>
        </w:rPr>
        <w:t xml:space="preserve"> </w:t>
      </w:r>
      <w:r>
        <w:t>the</w:t>
      </w:r>
      <w:r>
        <w:rPr>
          <w:spacing w:val="-5"/>
        </w:rPr>
        <w:t xml:space="preserve"> </w:t>
      </w:r>
      <w:r>
        <w:t xml:space="preserve">Auditor’s </w:t>
      </w:r>
      <w:r>
        <w:rPr>
          <w:spacing w:val="-2"/>
        </w:rPr>
        <w:t>Specialist</w:t>
      </w:r>
    </w:p>
    <w:p w14:paraId="0DFDACD3" w14:textId="77777777" w:rsidR="00046465" w:rsidRDefault="008134EB">
      <w:pPr>
        <w:pStyle w:val="ListParagraph"/>
        <w:numPr>
          <w:ilvl w:val="0"/>
          <w:numId w:val="219"/>
        </w:numPr>
        <w:tabs>
          <w:tab w:val="left" w:pos="1800"/>
        </w:tabs>
        <w:spacing w:before="119"/>
        <w:ind w:right="872"/>
      </w:pPr>
      <w:r>
        <w:t>The auditor should obtain a sufficient understanding of the field of expertise of the</w:t>
      </w:r>
      <w:r>
        <w:rPr>
          <w:spacing w:val="-3"/>
        </w:rPr>
        <w:t xml:space="preserve"> </w:t>
      </w:r>
      <w:r>
        <w:t>auditor’s</w:t>
      </w:r>
      <w:r>
        <w:rPr>
          <w:spacing w:val="-4"/>
        </w:rPr>
        <w:t xml:space="preserve"> </w:t>
      </w:r>
      <w:r>
        <w:t>specialist</w:t>
      </w:r>
      <w:r>
        <w:rPr>
          <w:spacing w:val="-3"/>
        </w:rPr>
        <w:t xml:space="preserve"> </w:t>
      </w:r>
      <w:r>
        <w:t>to</w:t>
      </w:r>
      <w:r>
        <w:rPr>
          <w:spacing w:val="-4"/>
        </w:rPr>
        <w:t xml:space="preserve"> </w:t>
      </w:r>
      <w:r>
        <w:t>enable</w:t>
      </w:r>
      <w:r>
        <w:rPr>
          <w:spacing w:val="-3"/>
        </w:rPr>
        <w:t xml:space="preserve"> </w:t>
      </w:r>
      <w:r>
        <w:t>the</w:t>
      </w:r>
      <w:r>
        <w:rPr>
          <w:spacing w:val="-4"/>
        </w:rPr>
        <w:t xml:space="preserve"> </w:t>
      </w:r>
      <w:r>
        <w:t>auditor</w:t>
      </w:r>
      <w:r>
        <w:rPr>
          <w:spacing w:val="-3"/>
        </w:rPr>
        <w:t xml:space="preserve"> </w:t>
      </w:r>
      <w:r>
        <w:t>to</w:t>
      </w:r>
      <w:r>
        <w:rPr>
          <w:spacing w:val="-3"/>
        </w:rPr>
        <w:t xml:space="preserve"> </w:t>
      </w:r>
      <w:r>
        <w:t>determine</w:t>
      </w:r>
      <w:r>
        <w:rPr>
          <w:spacing w:val="-3"/>
        </w:rPr>
        <w:t xml:space="preserve"> </w:t>
      </w:r>
      <w:r>
        <w:t>the</w:t>
      </w:r>
      <w:r>
        <w:rPr>
          <w:spacing w:val="-3"/>
        </w:rPr>
        <w:t xml:space="preserve"> </w:t>
      </w:r>
      <w:r>
        <w:t>nature,</w:t>
      </w:r>
      <w:r>
        <w:rPr>
          <w:spacing w:val="-3"/>
        </w:rPr>
        <w:t xml:space="preserve"> </w:t>
      </w:r>
      <w:r>
        <w:t>scope,</w:t>
      </w:r>
      <w:r>
        <w:rPr>
          <w:spacing w:val="-3"/>
        </w:rPr>
        <w:t xml:space="preserve"> </w:t>
      </w:r>
      <w:r>
        <w:t>and objectives of the specialist’s work for the auditor’s purposes and evaluate the adequacy of that work for the auditor’s purposes (AU-C 620.10).</w:t>
      </w:r>
    </w:p>
    <w:p w14:paraId="0DFDACD4" w14:textId="77777777" w:rsidR="00046465" w:rsidRDefault="008134EB">
      <w:pPr>
        <w:pStyle w:val="ListParagraph"/>
        <w:numPr>
          <w:ilvl w:val="0"/>
          <w:numId w:val="219"/>
        </w:numPr>
        <w:tabs>
          <w:tab w:val="left" w:pos="1800"/>
        </w:tabs>
        <w:spacing w:before="119"/>
        <w:ind w:right="1960"/>
      </w:pPr>
      <w:r>
        <w:t>Aspects</w:t>
      </w:r>
      <w:r>
        <w:rPr>
          <w:spacing w:val="-4"/>
        </w:rPr>
        <w:t xml:space="preserve"> </w:t>
      </w:r>
      <w:r>
        <w:t>of</w:t>
      </w:r>
      <w:r>
        <w:rPr>
          <w:spacing w:val="-4"/>
        </w:rPr>
        <w:t xml:space="preserve"> </w:t>
      </w:r>
      <w:r>
        <w:t>the</w:t>
      </w:r>
      <w:r>
        <w:rPr>
          <w:spacing w:val="-4"/>
        </w:rPr>
        <w:t xml:space="preserve"> </w:t>
      </w:r>
      <w:r>
        <w:t>field</w:t>
      </w:r>
      <w:r>
        <w:rPr>
          <w:spacing w:val="-4"/>
        </w:rPr>
        <w:t xml:space="preserve"> </w:t>
      </w:r>
      <w:r>
        <w:t>of</w:t>
      </w:r>
      <w:r>
        <w:rPr>
          <w:spacing w:val="-4"/>
        </w:rPr>
        <w:t xml:space="preserve"> </w:t>
      </w:r>
      <w:r>
        <w:t>the</w:t>
      </w:r>
      <w:r>
        <w:rPr>
          <w:spacing w:val="-4"/>
        </w:rPr>
        <w:t xml:space="preserve"> </w:t>
      </w:r>
      <w:r>
        <w:t>auditor’s</w:t>
      </w:r>
      <w:r>
        <w:rPr>
          <w:spacing w:val="-5"/>
        </w:rPr>
        <w:t xml:space="preserve"> </w:t>
      </w:r>
      <w:r>
        <w:t>specialist</w:t>
      </w:r>
      <w:r>
        <w:rPr>
          <w:spacing w:val="-4"/>
        </w:rPr>
        <w:t xml:space="preserve"> </w:t>
      </w:r>
      <w:r>
        <w:t>relevant</w:t>
      </w:r>
      <w:r>
        <w:rPr>
          <w:spacing w:val="-4"/>
        </w:rPr>
        <w:t xml:space="preserve"> </w:t>
      </w:r>
      <w:r>
        <w:t>to</w:t>
      </w:r>
      <w:r>
        <w:rPr>
          <w:spacing w:val="-4"/>
        </w:rPr>
        <w:t xml:space="preserve"> </w:t>
      </w:r>
      <w:r>
        <w:t>the</w:t>
      </w:r>
      <w:r>
        <w:rPr>
          <w:spacing w:val="-4"/>
        </w:rPr>
        <w:t xml:space="preserve"> </w:t>
      </w:r>
      <w:r>
        <w:t>auditor’s understanding may include the following (AU-C 620.A24):</w:t>
      </w:r>
    </w:p>
    <w:p w14:paraId="0DFDACD5" w14:textId="77777777" w:rsidR="00046465" w:rsidRDefault="008134EB">
      <w:pPr>
        <w:pStyle w:val="ListParagraph"/>
        <w:numPr>
          <w:ilvl w:val="1"/>
          <w:numId w:val="219"/>
        </w:numPr>
        <w:tabs>
          <w:tab w:val="left" w:pos="2158"/>
          <w:tab w:val="left" w:pos="2160"/>
        </w:tabs>
        <w:spacing w:before="121"/>
        <w:ind w:right="782" w:hanging="361"/>
      </w:pPr>
      <w:r>
        <w:t>whether</w:t>
      </w:r>
      <w:r>
        <w:rPr>
          <w:spacing w:val="-3"/>
        </w:rPr>
        <w:t xml:space="preserve"> </w:t>
      </w:r>
      <w:r>
        <w:t>the</w:t>
      </w:r>
      <w:r>
        <w:rPr>
          <w:spacing w:val="-3"/>
        </w:rPr>
        <w:t xml:space="preserve"> </w:t>
      </w:r>
      <w:r>
        <w:t>field</w:t>
      </w:r>
      <w:r>
        <w:rPr>
          <w:spacing w:val="-3"/>
        </w:rPr>
        <w:t xml:space="preserve"> </w:t>
      </w:r>
      <w:r>
        <w:t>of</w:t>
      </w:r>
      <w:r>
        <w:rPr>
          <w:spacing w:val="-3"/>
        </w:rPr>
        <w:t xml:space="preserve"> </w:t>
      </w:r>
      <w:r>
        <w:t>the</w:t>
      </w:r>
      <w:r>
        <w:rPr>
          <w:spacing w:val="-3"/>
        </w:rPr>
        <w:t xml:space="preserve"> </w:t>
      </w:r>
      <w:r>
        <w:t>auditor’s</w:t>
      </w:r>
      <w:r>
        <w:rPr>
          <w:spacing w:val="-2"/>
        </w:rPr>
        <w:t xml:space="preserve"> </w:t>
      </w:r>
      <w:r>
        <w:t>specialist</w:t>
      </w:r>
      <w:r>
        <w:rPr>
          <w:spacing w:val="-3"/>
        </w:rPr>
        <w:t xml:space="preserve"> </w:t>
      </w:r>
      <w:r>
        <w:t>has</w:t>
      </w:r>
      <w:r>
        <w:rPr>
          <w:spacing w:val="-3"/>
        </w:rPr>
        <w:t xml:space="preserve"> </w:t>
      </w:r>
      <w:r>
        <w:t>areas</w:t>
      </w:r>
      <w:r>
        <w:rPr>
          <w:spacing w:val="-3"/>
        </w:rPr>
        <w:t xml:space="preserve"> </w:t>
      </w:r>
      <w:r>
        <w:t>of</w:t>
      </w:r>
      <w:r>
        <w:rPr>
          <w:spacing w:val="-3"/>
        </w:rPr>
        <w:t xml:space="preserve"> </w:t>
      </w:r>
      <w:r>
        <w:t>specialty</w:t>
      </w:r>
      <w:r>
        <w:rPr>
          <w:spacing w:val="-3"/>
        </w:rPr>
        <w:t xml:space="preserve"> </w:t>
      </w:r>
      <w:r>
        <w:t>within</w:t>
      </w:r>
      <w:r>
        <w:rPr>
          <w:spacing w:val="-3"/>
        </w:rPr>
        <w:t xml:space="preserve"> </w:t>
      </w:r>
      <w:r>
        <w:t>it</w:t>
      </w:r>
      <w:r>
        <w:rPr>
          <w:spacing w:val="-6"/>
        </w:rPr>
        <w:t xml:space="preserve"> </w:t>
      </w:r>
      <w:r>
        <w:t>that are relevant to the audit;</w:t>
      </w:r>
    </w:p>
    <w:p w14:paraId="0DFDACD6" w14:textId="77777777" w:rsidR="00046465" w:rsidRDefault="008134EB">
      <w:pPr>
        <w:pStyle w:val="ListParagraph"/>
        <w:numPr>
          <w:ilvl w:val="1"/>
          <w:numId w:val="219"/>
        </w:numPr>
        <w:tabs>
          <w:tab w:val="left" w:pos="2160"/>
        </w:tabs>
        <w:spacing w:before="119"/>
        <w:ind w:right="1735"/>
      </w:pPr>
      <w:r>
        <w:t>whether</w:t>
      </w:r>
      <w:r>
        <w:rPr>
          <w:spacing w:val="-5"/>
        </w:rPr>
        <w:t xml:space="preserve"> </w:t>
      </w:r>
      <w:r>
        <w:t>any</w:t>
      </w:r>
      <w:r>
        <w:rPr>
          <w:spacing w:val="-5"/>
        </w:rPr>
        <w:t xml:space="preserve"> </w:t>
      </w:r>
      <w:r>
        <w:t>professional</w:t>
      </w:r>
      <w:r>
        <w:rPr>
          <w:spacing w:val="-5"/>
        </w:rPr>
        <w:t xml:space="preserve"> </w:t>
      </w:r>
      <w:r>
        <w:t>or</w:t>
      </w:r>
      <w:r>
        <w:rPr>
          <w:spacing w:val="-5"/>
        </w:rPr>
        <w:t xml:space="preserve"> </w:t>
      </w:r>
      <w:r>
        <w:t>other</w:t>
      </w:r>
      <w:r>
        <w:rPr>
          <w:spacing w:val="-5"/>
        </w:rPr>
        <w:t xml:space="preserve"> </w:t>
      </w:r>
      <w:r>
        <w:t>standards</w:t>
      </w:r>
      <w:r>
        <w:rPr>
          <w:spacing w:val="-5"/>
        </w:rPr>
        <w:t xml:space="preserve"> </w:t>
      </w:r>
      <w:r>
        <w:t>and</w:t>
      </w:r>
      <w:r>
        <w:rPr>
          <w:spacing w:val="-5"/>
        </w:rPr>
        <w:t xml:space="preserve"> </w:t>
      </w:r>
      <w:r>
        <w:t>legal</w:t>
      </w:r>
      <w:r>
        <w:rPr>
          <w:spacing w:val="-5"/>
        </w:rPr>
        <w:t xml:space="preserve"> </w:t>
      </w:r>
      <w:r>
        <w:t>or</w:t>
      </w:r>
      <w:r>
        <w:rPr>
          <w:spacing w:val="-5"/>
        </w:rPr>
        <w:t xml:space="preserve"> </w:t>
      </w:r>
      <w:r>
        <w:t>regulatory requirements apply;</w:t>
      </w:r>
    </w:p>
    <w:p w14:paraId="0DFDACD7" w14:textId="77777777" w:rsidR="00046465" w:rsidRDefault="008134EB">
      <w:pPr>
        <w:pStyle w:val="ListParagraph"/>
        <w:numPr>
          <w:ilvl w:val="1"/>
          <w:numId w:val="219"/>
        </w:numPr>
        <w:tabs>
          <w:tab w:val="left" w:pos="2160"/>
        </w:tabs>
        <w:ind w:right="805"/>
      </w:pPr>
      <w:r>
        <w:t>what assumptions and methods, including models, when applicable, the auditor’s</w:t>
      </w:r>
      <w:r>
        <w:rPr>
          <w:spacing w:val="-4"/>
        </w:rPr>
        <w:t xml:space="preserve"> </w:t>
      </w:r>
      <w:r>
        <w:t>specialist</w:t>
      </w:r>
      <w:r>
        <w:rPr>
          <w:spacing w:val="-4"/>
        </w:rPr>
        <w:t xml:space="preserve"> </w:t>
      </w:r>
      <w:r>
        <w:t>uses,</w:t>
      </w:r>
      <w:r>
        <w:rPr>
          <w:spacing w:val="-4"/>
        </w:rPr>
        <w:t xml:space="preserve"> </w:t>
      </w:r>
      <w:r>
        <w:t>and</w:t>
      </w:r>
      <w:r>
        <w:rPr>
          <w:spacing w:val="-4"/>
        </w:rPr>
        <w:t xml:space="preserve"> </w:t>
      </w:r>
      <w:r>
        <w:t>whether</w:t>
      </w:r>
      <w:r>
        <w:rPr>
          <w:spacing w:val="-4"/>
        </w:rPr>
        <w:t xml:space="preserve"> </w:t>
      </w:r>
      <w:r>
        <w:t>they</w:t>
      </w:r>
      <w:r>
        <w:rPr>
          <w:spacing w:val="-4"/>
        </w:rPr>
        <w:t xml:space="preserve"> </w:t>
      </w:r>
      <w:r>
        <w:t>are</w:t>
      </w:r>
      <w:r>
        <w:rPr>
          <w:spacing w:val="-5"/>
        </w:rPr>
        <w:t xml:space="preserve"> </w:t>
      </w:r>
      <w:r>
        <w:t>generally</w:t>
      </w:r>
      <w:r>
        <w:rPr>
          <w:spacing w:val="-4"/>
        </w:rPr>
        <w:t xml:space="preserve"> </w:t>
      </w:r>
      <w:r>
        <w:t>accepted</w:t>
      </w:r>
      <w:r>
        <w:rPr>
          <w:spacing w:val="-4"/>
        </w:rPr>
        <w:t xml:space="preserve"> </w:t>
      </w:r>
      <w:r>
        <w:t>within</w:t>
      </w:r>
      <w:r>
        <w:rPr>
          <w:spacing w:val="-4"/>
        </w:rPr>
        <w:t xml:space="preserve"> </w:t>
      </w:r>
      <w:r>
        <w:t>that field and appropriate for financial reporting purposes; and</w:t>
      </w:r>
    </w:p>
    <w:p w14:paraId="0DFDACD8" w14:textId="77777777" w:rsidR="00046465" w:rsidRDefault="008134EB">
      <w:pPr>
        <w:pStyle w:val="ListParagraph"/>
        <w:numPr>
          <w:ilvl w:val="1"/>
          <w:numId w:val="219"/>
        </w:numPr>
        <w:tabs>
          <w:tab w:val="left" w:pos="2160"/>
        </w:tabs>
        <w:spacing w:before="121"/>
        <w:ind w:right="1404"/>
      </w:pPr>
      <w:r>
        <w:t>the</w:t>
      </w:r>
      <w:r>
        <w:rPr>
          <w:spacing w:val="-4"/>
        </w:rPr>
        <w:t xml:space="preserve"> </w:t>
      </w:r>
      <w:r>
        <w:t>nature</w:t>
      </w:r>
      <w:r>
        <w:rPr>
          <w:spacing w:val="-4"/>
        </w:rPr>
        <w:t xml:space="preserve"> </w:t>
      </w:r>
      <w:r>
        <w:t>of</w:t>
      </w:r>
      <w:r>
        <w:rPr>
          <w:spacing w:val="-4"/>
        </w:rPr>
        <w:t xml:space="preserve"> </w:t>
      </w:r>
      <w:r>
        <w:t>internal</w:t>
      </w:r>
      <w:r>
        <w:rPr>
          <w:spacing w:val="-4"/>
        </w:rPr>
        <w:t xml:space="preserve"> </w:t>
      </w:r>
      <w:r>
        <w:t>and</w:t>
      </w:r>
      <w:r>
        <w:rPr>
          <w:spacing w:val="-4"/>
        </w:rPr>
        <w:t xml:space="preserve"> </w:t>
      </w:r>
      <w:r>
        <w:t>external</w:t>
      </w:r>
      <w:r>
        <w:rPr>
          <w:spacing w:val="-4"/>
        </w:rPr>
        <w:t xml:space="preserve"> </w:t>
      </w:r>
      <w:r>
        <w:t>data</w:t>
      </w:r>
      <w:r>
        <w:rPr>
          <w:spacing w:val="-4"/>
        </w:rPr>
        <w:t xml:space="preserve"> </w:t>
      </w:r>
      <w:r>
        <w:t>or</w:t>
      </w:r>
      <w:r>
        <w:rPr>
          <w:spacing w:val="-4"/>
        </w:rPr>
        <w:t xml:space="preserve"> </w:t>
      </w:r>
      <w:r>
        <w:t>information</w:t>
      </w:r>
      <w:r>
        <w:rPr>
          <w:spacing w:val="-4"/>
        </w:rPr>
        <w:t xml:space="preserve"> </w:t>
      </w:r>
      <w:r>
        <w:t>that</w:t>
      </w:r>
      <w:r>
        <w:rPr>
          <w:spacing w:val="-3"/>
        </w:rPr>
        <w:t xml:space="preserve"> </w:t>
      </w:r>
      <w:r>
        <w:t>the</w:t>
      </w:r>
      <w:r>
        <w:rPr>
          <w:spacing w:val="-4"/>
        </w:rPr>
        <w:t xml:space="preserve"> </w:t>
      </w:r>
      <w:r>
        <w:t>auditor’s specialist uses.</w:t>
      </w:r>
    </w:p>
    <w:p w14:paraId="0DFDACD9" w14:textId="77777777" w:rsidR="00046465" w:rsidRDefault="00046465">
      <w:pPr>
        <w:pStyle w:val="ListParagraph"/>
        <w:sectPr w:rsidR="00046465">
          <w:pgSz w:w="12240" w:h="15840"/>
          <w:pgMar w:top="1340" w:right="720" w:bottom="940" w:left="1080" w:header="721" w:footer="757" w:gutter="0"/>
          <w:cols w:space="720"/>
        </w:sectPr>
      </w:pPr>
    </w:p>
    <w:p w14:paraId="0DFDACDA" w14:textId="77777777" w:rsidR="00046465" w:rsidRDefault="008134EB">
      <w:pPr>
        <w:pStyle w:val="Heading4"/>
        <w:spacing w:before="121"/>
      </w:pPr>
      <w:bookmarkStart w:id="30" w:name="Agreement_with_the_Auditor’s_Specialist"/>
      <w:bookmarkEnd w:id="30"/>
      <w:r>
        <w:lastRenderedPageBreak/>
        <w:t>Agreement</w:t>
      </w:r>
      <w:r>
        <w:rPr>
          <w:spacing w:val="-12"/>
        </w:rPr>
        <w:t xml:space="preserve"> </w:t>
      </w:r>
      <w:r>
        <w:t>with</w:t>
      </w:r>
      <w:r>
        <w:rPr>
          <w:spacing w:val="-12"/>
        </w:rPr>
        <w:t xml:space="preserve"> </w:t>
      </w:r>
      <w:r>
        <w:t>the</w:t>
      </w:r>
      <w:r>
        <w:rPr>
          <w:spacing w:val="-11"/>
        </w:rPr>
        <w:t xml:space="preserve"> </w:t>
      </w:r>
      <w:r>
        <w:t>Auditor’s</w:t>
      </w:r>
      <w:r>
        <w:rPr>
          <w:spacing w:val="-11"/>
        </w:rPr>
        <w:t xml:space="preserve"> </w:t>
      </w:r>
      <w:r>
        <w:rPr>
          <w:spacing w:val="-2"/>
        </w:rPr>
        <w:t>Specialist</w:t>
      </w:r>
    </w:p>
    <w:p w14:paraId="0DFDACDB" w14:textId="77777777" w:rsidR="00046465" w:rsidRDefault="008134EB">
      <w:pPr>
        <w:pStyle w:val="ListParagraph"/>
        <w:numPr>
          <w:ilvl w:val="0"/>
          <w:numId w:val="219"/>
        </w:numPr>
        <w:tabs>
          <w:tab w:val="left" w:pos="1800"/>
        </w:tabs>
        <w:ind w:right="1669"/>
      </w:pPr>
      <w:r>
        <w:t>The</w:t>
      </w:r>
      <w:r>
        <w:rPr>
          <w:spacing w:val="-4"/>
        </w:rPr>
        <w:t xml:space="preserve"> </w:t>
      </w:r>
      <w:r>
        <w:t>auditor</w:t>
      </w:r>
      <w:r>
        <w:rPr>
          <w:spacing w:val="-6"/>
        </w:rPr>
        <w:t xml:space="preserve"> </w:t>
      </w:r>
      <w:r>
        <w:t>should</w:t>
      </w:r>
      <w:r>
        <w:rPr>
          <w:spacing w:val="-4"/>
        </w:rPr>
        <w:t xml:space="preserve"> </w:t>
      </w:r>
      <w:r>
        <w:t>agree,</w:t>
      </w:r>
      <w:r>
        <w:rPr>
          <w:spacing w:val="-4"/>
        </w:rPr>
        <w:t xml:space="preserve"> </w:t>
      </w:r>
      <w:r>
        <w:t>in</w:t>
      </w:r>
      <w:r>
        <w:rPr>
          <w:spacing w:val="-4"/>
        </w:rPr>
        <w:t xml:space="preserve"> </w:t>
      </w:r>
      <w:r>
        <w:t>writing</w:t>
      </w:r>
      <w:r>
        <w:rPr>
          <w:spacing w:val="-5"/>
        </w:rPr>
        <w:t xml:space="preserve"> </w:t>
      </w:r>
      <w:r>
        <w:t>when</w:t>
      </w:r>
      <w:r>
        <w:rPr>
          <w:spacing w:val="-4"/>
        </w:rPr>
        <w:t xml:space="preserve"> </w:t>
      </w:r>
      <w:r>
        <w:t>appropriate,</w:t>
      </w:r>
      <w:r>
        <w:rPr>
          <w:spacing w:val="-4"/>
        </w:rPr>
        <w:t xml:space="preserve"> </w:t>
      </w:r>
      <w:r>
        <w:t>with</w:t>
      </w:r>
      <w:r>
        <w:rPr>
          <w:spacing w:val="-4"/>
        </w:rPr>
        <w:t xml:space="preserve"> </w:t>
      </w:r>
      <w:r>
        <w:t>the</w:t>
      </w:r>
      <w:r>
        <w:rPr>
          <w:spacing w:val="-4"/>
        </w:rPr>
        <w:t xml:space="preserve"> </w:t>
      </w:r>
      <w:r>
        <w:t>auditor’s specialists regarding (AU-C 620.11)</w:t>
      </w:r>
    </w:p>
    <w:p w14:paraId="0DFDACDC" w14:textId="77777777" w:rsidR="00046465" w:rsidRDefault="008134EB">
      <w:pPr>
        <w:pStyle w:val="ListParagraph"/>
        <w:numPr>
          <w:ilvl w:val="1"/>
          <w:numId w:val="219"/>
        </w:numPr>
        <w:tabs>
          <w:tab w:val="left" w:pos="2159"/>
        </w:tabs>
        <w:ind w:left="2159" w:hanging="359"/>
      </w:pPr>
      <w:r>
        <w:t>the</w:t>
      </w:r>
      <w:r>
        <w:rPr>
          <w:spacing w:val="-6"/>
        </w:rPr>
        <w:t xml:space="preserve"> </w:t>
      </w:r>
      <w:r>
        <w:t>nature,</w:t>
      </w:r>
      <w:r>
        <w:rPr>
          <w:spacing w:val="-5"/>
        </w:rPr>
        <w:t xml:space="preserve"> </w:t>
      </w:r>
      <w:r>
        <w:t>scope,</w:t>
      </w:r>
      <w:r>
        <w:rPr>
          <w:spacing w:val="-5"/>
        </w:rPr>
        <w:t xml:space="preserve"> </w:t>
      </w:r>
      <w:r>
        <w:t>and</w:t>
      </w:r>
      <w:r>
        <w:rPr>
          <w:spacing w:val="-6"/>
        </w:rPr>
        <w:t xml:space="preserve"> </w:t>
      </w:r>
      <w:r>
        <w:t>objectives</w:t>
      </w:r>
      <w:r>
        <w:rPr>
          <w:spacing w:val="-5"/>
        </w:rPr>
        <w:t xml:space="preserve"> </w:t>
      </w:r>
      <w:r>
        <w:t>of</w:t>
      </w:r>
      <w:r>
        <w:rPr>
          <w:spacing w:val="-5"/>
        </w:rPr>
        <w:t xml:space="preserve"> </w:t>
      </w:r>
      <w:r>
        <w:t>the</w:t>
      </w:r>
      <w:r>
        <w:rPr>
          <w:spacing w:val="-6"/>
        </w:rPr>
        <w:t xml:space="preserve"> </w:t>
      </w:r>
      <w:r>
        <w:t>work</w:t>
      </w:r>
      <w:r>
        <w:rPr>
          <w:spacing w:val="-5"/>
        </w:rPr>
        <w:t xml:space="preserve"> </w:t>
      </w:r>
      <w:r>
        <w:t>of</w:t>
      </w:r>
      <w:r>
        <w:rPr>
          <w:spacing w:val="-5"/>
        </w:rPr>
        <w:t xml:space="preserve"> </w:t>
      </w:r>
      <w:r>
        <w:t>the</w:t>
      </w:r>
      <w:r>
        <w:rPr>
          <w:spacing w:val="-6"/>
        </w:rPr>
        <w:t xml:space="preserve"> </w:t>
      </w:r>
      <w:r>
        <w:t>auditor’s</w:t>
      </w:r>
      <w:r>
        <w:rPr>
          <w:spacing w:val="-5"/>
        </w:rPr>
        <w:t xml:space="preserve"> </w:t>
      </w:r>
      <w:r>
        <w:rPr>
          <w:spacing w:val="-2"/>
        </w:rPr>
        <w:t>specialist;</w:t>
      </w:r>
    </w:p>
    <w:p w14:paraId="0DFDACDD" w14:textId="77777777" w:rsidR="00046465" w:rsidRDefault="008134EB">
      <w:pPr>
        <w:pStyle w:val="ListParagraph"/>
        <w:numPr>
          <w:ilvl w:val="1"/>
          <w:numId w:val="219"/>
        </w:numPr>
        <w:tabs>
          <w:tab w:val="left" w:pos="2160"/>
        </w:tabs>
        <w:ind w:right="1404"/>
      </w:pPr>
      <w:r>
        <w:t>the</w:t>
      </w:r>
      <w:r>
        <w:rPr>
          <w:spacing w:val="-4"/>
        </w:rPr>
        <w:t xml:space="preserve"> </w:t>
      </w:r>
      <w:r>
        <w:t>respective</w:t>
      </w:r>
      <w:r>
        <w:rPr>
          <w:spacing w:val="-4"/>
        </w:rPr>
        <w:t xml:space="preserve"> </w:t>
      </w:r>
      <w:r>
        <w:t>roles</w:t>
      </w:r>
      <w:r>
        <w:rPr>
          <w:spacing w:val="-4"/>
        </w:rPr>
        <w:t xml:space="preserve"> </w:t>
      </w:r>
      <w:r>
        <w:t>and</w:t>
      </w:r>
      <w:r>
        <w:rPr>
          <w:spacing w:val="-5"/>
        </w:rPr>
        <w:t xml:space="preserve"> </w:t>
      </w:r>
      <w:r>
        <w:t>responsibilities</w:t>
      </w:r>
      <w:r>
        <w:rPr>
          <w:spacing w:val="-4"/>
        </w:rPr>
        <w:t xml:space="preserve"> </w:t>
      </w:r>
      <w:r>
        <w:t>of</w:t>
      </w:r>
      <w:r>
        <w:rPr>
          <w:spacing w:val="-4"/>
        </w:rPr>
        <w:t xml:space="preserve"> </w:t>
      </w:r>
      <w:r>
        <w:t>the</w:t>
      </w:r>
      <w:r>
        <w:rPr>
          <w:spacing w:val="-4"/>
        </w:rPr>
        <w:t xml:space="preserve"> </w:t>
      </w:r>
      <w:r>
        <w:t>auditor</w:t>
      </w:r>
      <w:r>
        <w:rPr>
          <w:spacing w:val="-4"/>
        </w:rPr>
        <w:t xml:space="preserve"> </w:t>
      </w:r>
      <w:r>
        <w:t>and</w:t>
      </w:r>
      <w:r>
        <w:rPr>
          <w:spacing w:val="-4"/>
        </w:rPr>
        <w:t xml:space="preserve"> </w:t>
      </w:r>
      <w:r>
        <w:t>the</w:t>
      </w:r>
      <w:r>
        <w:rPr>
          <w:spacing w:val="-5"/>
        </w:rPr>
        <w:t xml:space="preserve"> </w:t>
      </w:r>
      <w:r>
        <w:t xml:space="preserve">auditor’s </w:t>
      </w:r>
      <w:r>
        <w:rPr>
          <w:spacing w:val="-2"/>
        </w:rPr>
        <w:t>specialist;</w:t>
      </w:r>
    </w:p>
    <w:p w14:paraId="0DFDACDE" w14:textId="77777777" w:rsidR="00046465" w:rsidRDefault="008134EB">
      <w:pPr>
        <w:pStyle w:val="ListParagraph"/>
        <w:numPr>
          <w:ilvl w:val="1"/>
          <w:numId w:val="219"/>
        </w:numPr>
        <w:tabs>
          <w:tab w:val="left" w:pos="2160"/>
        </w:tabs>
        <w:spacing w:before="119"/>
        <w:ind w:right="856"/>
      </w:pPr>
      <w:r>
        <w:t>the</w:t>
      </w:r>
      <w:r>
        <w:rPr>
          <w:spacing w:val="-4"/>
        </w:rPr>
        <w:t xml:space="preserve"> </w:t>
      </w:r>
      <w:r>
        <w:t>nature,</w:t>
      </w:r>
      <w:r>
        <w:rPr>
          <w:spacing w:val="-4"/>
        </w:rPr>
        <w:t xml:space="preserve"> </w:t>
      </w:r>
      <w:r>
        <w:t>timing,</w:t>
      </w:r>
      <w:r>
        <w:rPr>
          <w:spacing w:val="-4"/>
        </w:rPr>
        <w:t xml:space="preserve"> </w:t>
      </w:r>
      <w:r>
        <w:t>and</w:t>
      </w:r>
      <w:r>
        <w:rPr>
          <w:spacing w:val="-4"/>
        </w:rPr>
        <w:t xml:space="preserve"> </w:t>
      </w:r>
      <w:r>
        <w:t>extent</w:t>
      </w:r>
      <w:r>
        <w:rPr>
          <w:spacing w:val="-4"/>
        </w:rPr>
        <w:t xml:space="preserve"> </w:t>
      </w:r>
      <w:r>
        <w:t>of</w:t>
      </w:r>
      <w:r>
        <w:rPr>
          <w:spacing w:val="-4"/>
        </w:rPr>
        <w:t xml:space="preserve"> </w:t>
      </w:r>
      <w:r>
        <w:t>communication</w:t>
      </w:r>
      <w:r>
        <w:rPr>
          <w:spacing w:val="-5"/>
        </w:rPr>
        <w:t xml:space="preserve"> </w:t>
      </w:r>
      <w:r>
        <w:t>between</w:t>
      </w:r>
      <w:r>
        <w:rPr>
          <w:spacing w:val="-4"/>
        </w:rPr>
        <w:t xml:space="preserve"> </w:t>
      </w:r>
      <w:r>
        <w:t>the</w:t>
      </w:r>
      <w:r>
        <w:rPr>
          <w:spacing w:val="-4"/>
        </w:rPr>
        <w:t xml:space="preserve"> </w:t>
      </w:r>
      <w:r>
        <w:t>auditor</w:t>
      </w:r>
      <w:r>
        <w:rPr>
          <w:spacing w:val="-4"/>
        </w:rPr>
        <w:t xml:space="preserve"> </w:t>
      </w:r>
      <w:r>
        <w:t>and</w:t>
      </w:r>
      <w:r>
        <w:rPr>
          <w:spacing w:val="-5"/>
        </w:rPr>
        <w:t xml:space="preserve"> </w:t>
      </w:r>
      <w:r>
        <w:t>the auditor’s specialist, including the form of any report that the specialist is to provide; and</w:t>
      </w:r>
    </w:p>
    <w:p w14:paraId="0DFDACDF" w14:textId="77777777" w:rsidR="00046465" w:rsidRDefault="008134EB">
      <w:pPr>
        <w:pStyle w:val="ListParagraph"/>
        <w:numPr>
          <w:ilvl w:val="1"/>
          <w:numId w:val="219"/>
        </w:numPr>
        <w:tabs>
          <w:tab w:val="left" w:pos="2159"/>
        </w:tabs>
        <w:spacing w:before="121"/>
        <w:ind w:left="2159" w:hanging="359"/>
      </w:pPr>
      <w:r>
        <w:t>the</w:t>
      </w:r>
      <w:r>
        <w:rPr>
          <w:spacing w:val="-7"/>
        </w:rPr>
        <w:t xml:space="preserve"> </w:t>
      </w:r>
      <w:r>
        <w:t>need</w:t>
      </w:r>
      <w:r>
        <w:rPr>
          <w:spacing w:val="-7"/>
        </w:rPr>
        <w:t xml:space="preserve"> </w:t>
      </w:r>
      <w:r>
        <w:t>for</w:t>
      </w:r>
      <w:r>
        <w:rPr>
          <w:spacing w:val="-7"/>
        </w:rPr>
        <w:t xml:space="preserve"> </w:t>
      </w:r>
      <w:r>
        <w:t>the</w:t>
      </w:r>
      <w:r>
        <w:rPr>
          <w:spacing w:val="-7"/>
        </w:rPr>
        <w:t xml:space="preserve"> </w:t>
      </w:r>
      <w:r>
        <w:t>auditor’s</w:t>
      </w:r>
      <w:r>
        <w:rPr>
          <w:spacing w:val="-5"/>
        </w:rPr>
        <w:t xml:space="preserve"> </w:t>
      </w:r>
      <w:r>
        <w:t>specialist</w:t>
      </w:r>
      <w:r>
        <w:rPr>
          <w:spacing w:val="-8"/>
        </w:rPr>
        <w:t xml:space="preserve"> </w:t>
      </w:r>
      <w:r>
        <w:t>to</w:t>
      </w:r>
      <w:r>
        <w:rPr>
          <w:spacing w:val="-6"/>
        </w:rPr>
        <w:t xml:space="preserve"> </w:t>
      </w:r>
      <w:r>
        <w:t>observe</w:t>
      </w:r>
      <w:r>
        <w:rPr>
          <w:spacing w:val="-7"/>
        </w:rPr>
        <w:t xml:space="preserve"> </w:t>
      </w:r>
      <w:r>
        <w:t>confidentiality</w:t>
      </w:r>
      <w:r>
        <w:rPr>
          <w:spacing w:val="-7"/>
        </w:rPr>
        <w:t xml:space="preserve"> </w:t>
      </w:r>
      <w:r>
        <w:rPr>
          <w:spacing w:val="-2"/>
        </w:rPr>
        <w:t>requirements.</w:t>
      </w:r>
    </w:p>
    <w:p w14:paraId="0DFDACE0" w14:textId="77777777" w:rsidR="00046465" w:rsidRDefault="008134EB">
      <w:pPr>
        <w:pStyle w:val="BodyText"/>
        <w:spacing w:before="119"/>
        <w:ind w:left="1800" w:right="844"/>
      </w:pPr>
      <w:r>
        <w:t>AU-C</w:t>
      </w:r>
      <w:r>
        <w:rPr>
          <w:spacing w:val="-6"/>
        </w:rPr>
        <w:t xml:space="preserve"> </w:t>
      </w:r>
      <w:r>
        <w:t>620.A25</w:t>
      </w:r>
      <w:r>
        <w:rPr>
          <w:spacing w:val="-5"/>
        </w:rPr>
        <w:t xml:space="preserve"> </w:t>
      </w:r>
      <w:r>
        <w:t>through</w:t>
      </w:r>
      <w:r>
        <w:rPr>
          <w:spacing w:val="-5"/>
        </w:rPr>
        <w:t xml:space="preserve"> </w:t>
      </w:r>
      <w:r>
        <w:t>.A34</w:t>
      </w:r>
      <w:r>
        <w:rPr>
          <w:spacing w:val="-4"/>
        </w:rPr>
        <w:t xml:space="preserve"> </w:t>
      </w:r>
      <w:r>
        <w:t>provide</w:t>
      </w:r>
      <w:r>
        <w:rPr>
          <w:spacing w:val="-6"/>
        </w:rPr>
        <w:t xml:space="preserve"> </w:t>
      </w:r>
      <w:r>
        <w:t>additional</w:t>
      </w:r>
      <w:r>
        <w:rPr>
          <w:spacing w:val="-5"/>
        </w:rPr>
        <w:t xml:space="preserve"> </w:t>
      </w:r>
      <w:r>
        <w:t>guidance</w:t>
      </w:r>
      <w:r>
        <w:rPr>
          <w:spacing w:val="-5"/>
        </w:rPr>
        <w:t xml:space="preserve"> </w:t>
      </w:r>
      <w:r>
        <w:t>on</w:t>
      </w:r>
      <w:r>
        <w:rPr>
          <w:spacing w:val="-5"/>
        </w:rPr>
        <w:t xml:space="preserve"> </w:t>
      </w:r>
      <w:r>
        <w:t>this</w:t>
      </w:r>
      <w:r>
        <w:rPr>
          <w:spacing w:val="-5"/>
        </w:rPr>
        <w:t xml:space="preserve"> </w:t>
      </w:r>
      <w:r>
        <w:t>agreement, some of which is discussed below.</w:t>
      </w:r>
    </w:p>
    <w:p w14:paraId="0DFDACE1" w14:textId="77777777" w:rsidR="00046465" w:rsidRDefault="008134EB">
      <w:pPr>
        <w:pStyle w:val="ListParagraph"/>
        <w:numPr>
          <w:ilvl w:val="0"/>
          <w:numId w:val="219"/>
        </w:numPr>
        <w:tabs>
          <w:tab w:val="left" w:pos="1800"/>
        </w:tabs>
        <w:ind w:right="738"/>
      </w:pPr>
      <w:r>
        <w:t xml:space="preserve">The matters noted in </w:t>
      </w:r>
      <w:hyperlink r:id="rId40">
        <w:r>
          <w:t>FAM</w:t>
        </w:r>
      </w:hyperlink>
      <w:r>
        <w:t xml:space="preserve"> 620.15 may affect the level of detail and formality of the</w:t>
      </w:r>
      <w:r>
        <w:rPr>
          <w:spacing w:val="-4"/>
        </w:rPr>
        <w:t xml:space="preserve"> </w:t>
      </w:r>
      <w:r>
        <w:t>agreement</w:t>
      </w:r>
      <w:r>
        <w:rPr>
          <w:spacing w:val="-4"/>
        </w:rPr>
        <w:t xml:space="preserve"> </w:t>
      </w:r>
      <w:r>
        <w:t>between</w:t>
      </w:r>
      <w:r>
        <w:rPr>
          <w:spacing w:val="-4"/>
        </w:rPr>
        <w:t xml:space="preserve"> </w:t>
      </w:r>
      <w:r>
        <w:t>the</w:t>
      </w:r>
      <w:r>
        <w:rPr>
          <w:spacing w:val="-4"/>
        </w:rPr>
        <w:t xml:space="preserve"> </w:t>
      </w:r>
      <w:r>
        <w:t>auditor</w:t>
      </w:r>
      <w:r>
        <w:rPr>
          <w:spacing w:val="-6"/>
        </w:rPr>
        <w:t xml:space="preserve"> </w:t>
      </w:r>
      <w:r>
        <w:t>and</w:t>
      </w:r>
      <w:r>
        <w:rPr>
          <w:spacing w:val="-4"/>
        </w:rPr>
        <w:t xml:space="preserve"> </w:t>
      </w:r>
      <w:r>
        <w:t>the</w:t>
      </w:r>
      <w:r>
        <w:rPr>
          <w:spacing w:val="-4"/>
        </w:rPr>
        <w:t xml:space="preserve"> </w:t>
      </w:r>
      <w:r>
        <w:t>auditor’s</w:t>
      </w:r>
      <w:r>
        <w:rPr>
          <w:spacing w:val="-2"/>
        </w:rPr>
        <w:t xml:space="preserve"> </w:t>
      </w:r>
      <w:r>
        <w:t>specialist,</w:t>
      </w:r>
      <w:r>
        <w:rPr>
          <w:spacing w:val="-4"/>
        </w:rPr>
        <w:t xml:space="preserve"> </w:t>
      </w:r>
      <w:r>
        <w:t>including</w:t>
      </w:r>
      <w:r>
        <w:rPr>
          <w:spacing w:val="-5"/>
        </w:rPr>
        <w:t xml:space="preserve"> </w:t>
      </w:r>
      <w:r>
        <w:t>whether it is appropriate that the agreement be in writing. For example, the following factors may suggest the need for a more detailed agreement than would otherwise be the case or for the agreement to be in writing (AU-C 620.A26):</w:t>
      </w:r>
    </w:p>
    <w:p w14:paraId="0DFDACE2" w14:textId="77777777" w:rsidR="00046465" w:rsidRDefault="008134EB">
      <w:pPr>
        <w:pStyle w:val="ListParagraph"/>
        <w:numPr>
          <w:ilvl w:val="1"/>
          <w:numId w:val="219"/>
        </w:numPr>
        <w:tabs>
          <w:tab w:val="left" w:pos="2160"/>
        </w:tabs>
        <w:ind w:right="1282"/>
      </w:pPr>
      <w:r>
        <w:t>the</w:t>
      </w:r>
      <w:r>
        <w:rPr>
          <w:spacing w:val="-4"/>
        </w:rPr>
        <w:t xml:space="preserve"> </w:t>
      </w:r>
      <w:r>
        <w:t>auditor’s</w:t>
      </w:r>
      <w:r>
        <w:rPr>
          <w:spacing w:val="-5"/>
        </w:rPr>
        <w:t xml:space="preserve"> </w:t>
      </w:r>
      <w:r>
        <w:t>specialist</w:t>
      </w:r>
      <w:r>
        <w:rPr>
          <w:spacing w:val="-4"/>
        </w:rPr>
        <w:t xml:space="preserve"> </w:t>
      </w:r>
      <w:r>
        <w:t>will</w:t>
      </w:r>
      <w:r>
        <w:rPr>
          <w:spacing w:val="-4"/>
        </w:rPr>
        <w:t xml:space="preserve"> </w:t>
      </w:r>
      <w:r>
        <w:t>have</w:t>
      </w:r>
      <w:r>
        <w:rPr>
          <w:spacing w:val="-4"/>
        </w:rPr>
        <w:t xml:space="preserve"> </w:t>
      </w:r>
      <w:r>
        <w:t>access</w:t>
      </w:r>
      <w:r>
        <w:rPr>
          <w:spacing w:val="-4"/>
        </w:rPr>
        <w:t xml:space="preserve"> </w:t>
      </w:r>
      <w:r>
        <w:t>to</w:t>
      </w:r>
      <w:r>
        <w:rPr>
          <w:spacing w:val="-4"/>
        </w:rPr>
        <w:t xml:space="preserve"> </w:t>
      </w:r>
      <w:r>
        <w:t>sensitive</w:t>
      </w:r>
      <w:r>
        <w:rPr>
          <w:spacing w:val="-4"/>
        </w:rPr>
        <w:t xml:space="preserve"> </w:t>
      </w:r>
      <w:r>
        <w:t>or</w:t>
      </w:r>
      <w:r>
        <w:rPr>
          <w:spacing w:val="-4"/>
        </w:rPr>
        <w:t xml:space="preserve"> </w:t>
      </w:r>
      <w:r>
        <w:t>confidential</w:t>
      </w:r>
      <w:r>
        <w:rPr>
          <w:spacing w:val="-4"/>
        </w:rPr>
        <w:t xml:space="preserve"> </w:t>
      </w:r>
      <w:r>
        <w:t xml:space="preserve">entity </w:t>
      </w:r>
      <w:r>
        <w:rPr>
          <w:spacing w:val="-2"/>
        </w:rPr>
        <w:t>information;</w:t>
      </w:r>
    </w:p>
    <w:p w14:paraId="0DFDACE3" w14:textId="77777777" w:rsidR="00046465" w:rsidRDefault="008134EB">
      <w:pPr>
        <w:pStyle w:val="ListParagraph"/>
        <w:numPr>
          <w:ilvl w:val="1"/>
          <w:numId w:val="219"/>
        </w:numPr>
        <w:tabs>
          <w:tab w:val="left" w:pos="2160"/>
        </w:tabs>
        <w:ind w:right="1576"/>
      </w:pPr>
      <w:r>
        <w:t>the</w:t>
      </w:r>
      <w:r>
        <w:rPr>
          <w:spacing w:val="-4"/>
        </w:rPr>
        <w:t xml:space="preserve"> </w:t>
      </w:r>
      <w:r>
        <w:t>respective</w:t>
      </w:r>
      <w:r>
        <w:rPr>
          <w:spacing w:val="-4"/>
        </w:rPr>
        <w:t xml:space="preserve"> </w:t>
      </w:r>
      <w:r>
        <w:t>roles</w:t>
      </w:r>
      <w:r>
        <w:rPr>
          <w:spacing w:val="-4"/>
        </w:rPr>
        <w:t xml:space="preserve"> </w:t>
      </w:r>
      <w:r>
        <w:t>or</w:t>
      </w:r>
      <w:r>
        <w:rPr>
          <w:spacing w:val="-4"/>
        </w:rPr>
        <w:t xml:space="preserve"> </w:t>
      </w:r>
      <w:r>
        <w:t>responsibilities</w:t>
      </w:r>
      <w:r>
        <w:rPr>
          <w:spacing w:val="-4"/>
        </w:rPr>
        <w:t xml:space="preserve"> </w:t>
      </w:r>
      <w:r>
        <w:t>of</w:t>
      </w:r>
      <w:r>
        <w:rPr>
          <w:spacing w:val="-4"/>
        </w:rPr>
        <w:t xml:space="preserve"> </w:t>
      </w:r>
      <w:r>
        <w:t>the</w:t>
      </w:r>
      <w:r>
        <w:rPr>
          <w:spacing w:val="-4"/>
        </w:rPr>
        <w:t xml:space="preserve"> </w:t>
      </w:r>
      <w:r>
        <w:t>auditor</w:t>
      </w:r>
      <w:r>
        <w:rPr>
          <w:spacing w:val="-4"/>
        </w:rPr>
        <w:t xml:space="preserve"> </w:t>
      </w:r>
      <w:r>
        <w:t>and</w:t>
      </w:r>
      <w:r>
        <w:rPr>
          <w:spacing w:val="-4"/>
        </w:rPr>
        <w:t xml:space="preserve"> </w:t>
      </w:r>
      <w:r>
        <w:t>the</w:t>
      </w:r>
      <w:r>
        <w:rPr>
          <w:spacing w:val="-5"/>
        </w:rPr>
        <w:t xml:space="preserve"> </w:t>
      </w:r>
      <w:r>
        <w:t>auditor’s specialist are different from those normally expected;</w:t>
      </w:r>
    </w:p>
    <w:p w14:paraId="0DFDACE4" w14:textId="77777777" w:rsidR="00046465" w:rsidRDefault="008134EB">
      <w:pPr>
        <w:pStyle w:val="ListParagraph"/>
        <w:numPr>
          <w:ilvl w:val="1"/>
          <w:numId w:val="219"/>
        </w:numPr>
        <w:tabs>
          <w:tab w:val="left" w:pos="2159"/>
        </w:tabs>
        <w:spacing w:before="121"/>
        <w:ind w:left="2159" w:hanging="359"/>
      </w:pPr>
      <w:r>
        <w:t>multijurisdictional</w:t>
      </w:r>
      <w:r>
        <w:rPr>
          <w:spacing w:val="-11"/>
        </w:rPr>
        <w:t xml:space="preserve"> </w:t>
      </w:r>
      <w:r>
        <w:t>legal</w:t>
      </w:r>
      <w:r>
        <w:rPr>
          <w:spacing w:val="-11"/>
        </w:rPr>
        <w:t xml:space="preserve"> </w:t>
      </w:r>
      <w:r>
        <w:t>or</w:t>
      </w:r>
      <w:r>
        <w:rPr>
          <w:spacing w:val="-11"/>
        </w:rPr>
        <w:t xml:space="preserve"> </w:t>
      </w:r>
      <w:r>
        <w:t>regulatory</w:t>
      </w:r>
      <w:r>
        <w:rPr>
          <w:spacing w:val="-11"/>
        </w:rPr>
        <w:t xml:space="preserve"> </w:t>
      </w:r>
      <w:r>
        <w:t>requirements</w:t>
      </w:r>
      <w:r>
        <w:rPr>
          <w:spacing w:val="-10"/>
        </w:rPr>
        <w:t xml:space="preserve"> </w:t>
      </w:r>
      <w:r>
        <w:rPr>
          <w:spacing w:val="-2"/>
        </w:rPr>
        <w:t>apply;</w:t>
      </w:r>
    </w:p>
    <w:p w14:paraId="0DFDACE5" w14:textId="77777777" w:rsidR="00046465" w:rsidRDefault="008134EB">
      <w:pPr>
        <w:pStyle w:val="ListParagraph"/>
        <w:numPr>
          <w:ilvl w:val="1"/>
          <w:numId w:val="219"/>
        </w:numPr>
        <w:tabs>
          <w:tab w:val="left" w:pos="2160"/>
        </w:tabs>
        <w:spacing w:before="119"/>
        <w:ind w:right="1479"/>
      </w:pPr>
      <w:r>
        <w:t>the</w:t>
      </w:r>
      <w:r>
        <w:rPr>
          <w:spacing w:val="-4"/>
        </w:rPr>
        <w:t xml:space="preserve"> </w:t>
      </w:r>
      <w:r>
        <w:t>matter</w:t>
      </w:r>
      <w:r>
        <w:rPr>
          <w:spacing w:val="-4"/>
        </w:rPr>
        <w:t xml:space="preserve"> </w:t>
      </w:r>
      <w:r>
        <w:t>to</w:t>
      </w:r>
      <w:r>
        <w:rPr>
          <w:spacing w:val="-4"/>
        </w:rPr>
        <w:t xml:space="preserve"> </w:t>
      </w:r>
      <w:r>
        <w:t>which</w:t>
      </w:r>
      <w:r>
        <w:rPr>
          <w:spacing w:val="-4"/>
        </w:rPr>
        <w:t xml:space="preserve"> </w:t>
      </w:r>
      <w:r>
        <w:t>the</w:t>
      </w:r>
      <w:r>
        <w:rPr>
          <w:spacing w:val="-5"/>
        </w:rPr>
        <w:t xml:space="preserve"> </w:t>
      </w:r>
      <w:r>
        <w:t>work</w:t>
      </w:r>
      <w:r>
        <w:rPr>
          <w:spacing w:val="-4"/>
        </w:rPr>
        <w:t xml:space="preserve"> </w:t>
      </w:r>
      <w:r>
        <w:t>of</w:t>
      </w:r>
      <w:r>
        <w:rPr>
          <w:spacing w:val="-4"/>
        </w:rPr>
        <w:t xml:space="preserve"> </w:t>
      </w:r>
      <w:r>
        <w:t>the</w:t>
      </w:r>
      <w:r>
        <w:rPr>
          <w:spacing w:val="-4"/>
        </w:rPr>
        <w:t xml:space="preserve"> </w:t>
      </w:r>
      <w:r>
        <w:t>auditor’s</w:t>
      </w:r>
      <w:r>
        <w:rPr>
          <w:spacing w:val="-3"/>
        </w:rPr>
        <w:t xml:space="preserve"> </w:t>
      </w:r>
      <w:r>
        <w:t>specialist</w:t>
      </w:r>
      <w:r>
        <w:rPr>
          <w:spacing w:val="-4"/>
        </w:rPr>
        <w:t xml:space="preserve"> </w:t>
      </w:r>
      <w:r>
        <w:t>relates</w:t>
      </w:r>
      <w:r>
        <w:rPr>
          <w:spacing w:val="-4"/>
        </w:rPr>
        <w:t xml:space="preserve"> </w:t>
      </w:r>
      <w:r>
        <w:t>is</w:t>
      </w:r>
      <w:r>
        <w:rPr>
          <w:spacing w:val="-4"/>
        </w:rPr>
        <w:t xml:space="preserve"> </w:t>
      </w:r>
      <w:r>
        <w:t xml:space="preserve">highly </w:t>
      </w:r>
      <w:r>
        <w:rPr>
          <w:spacing w:val="-2"/>
        </w:rPr>
        <w:t>complex;</w:t>
      </w:r>
    </w:p>
    <w:p w14:paraId="0DFDACE6" w14:textId="77777777" w:rsidR="00046465" w:rsidRDefault="008134EB">
      <w:pPr>
        <w:pStyle w:val="ListParagraph"/>
        <w:numPr>
          <w:ilvl w:val="1"/>
          <w:numId w:val="219"/>
        </w:numPr>
        <w:tabs>
          <w:tab w:val="left" w:pos="2160"/>
        </w:tabs>
        <w:ind w:right="1723"/>
      </w:pPr>
      <w:r>
        <w:t>the</w:t>
      </w:r>
      <w:r>
        <w:rPr>
          <w:spacing w:val="-4"/>
        </w:rPr>
        <w:t xml:space="preserve"> </w:t>
      </w:r>
      <w:r>
        <w:t>auditor</w:t>
      </w:r>
      <w:r>
        <w:rPr>
          <w:spacing w:val="-4"/>
        </w:rPr>
        <w:t xml:space="preserve"> </w:t>
      </w:r>
      <w:r>
        <w:t>has</w:t>
      </w:r>
      <w:r>
        <w:rPr>
          <w:spacing w:val="-4"/>
        </w:rPr>
        <w:t xml:space="preserve"> </w:t>
      </w:r>
      <w:r>
        <w:t>not</w:t>
      </w:r>
      <w:r>
        <w:rPr>
          <w:spacing w:val="-4"/>
        </w:rPr>
        <w:t xml:space="preserve"> </w:t>
      </w:r>
      <w:r>
        <w:t>previously</w:t>
      </w:r>
      <w:r>
        <w:rPr>
          <w:spacing w:val="-4"/>
        </w:rPr>
        <w:t xml:space="preserve"> </w:t>
      </w:r>
      <w:r>
        <w:t>used</w:t>
      </w:r>
      <w:r>
        <w:rPr>
          <w:spacing w:val="-5"/>
        </w:rPr>
        <w:t xml:space="preserve"> </w:t>
      </w:r>
      <w:r>
        <w:t>work</w:t>
      </w:r>
      <w:r>
        <w:rPr>
          <w:spacing w:val="-4"/>
        </w:rPr>
        <w:t xml:space="preserve"> </w:t>
      </w:r>
      <w:r>
        <w:t>performed</w:t>
      </w:r>
      <w:r>
        <w:rPr>
          <w:spacing w:val="-4"/>
        </w:rPr>
        <w:t xml:space="preserve"> </w:t>
      </w:r>
      <w:r>
        <w:t>by</w:t>
      </w:r>
      <w:r>
        <w:rPr>
          <w:spacing w:val="-4"/>
        </w:rPr>
        <w:t xml:space="preserve"> </w:t>
      </w:r>
      <w:r>
        <w:t>the</w:t>
      </w:r>
      <w:r>
        <w:rPr>
          <w:spacing w:val="-4"/>
        </w:rPr>
        <w:t xml:space="preserve"> </w:t>
      </w:r>
      <w:r>
        <w:t>auditor’s specialist; and</w:t>
      </w:r>
    </w:p>
    <w:p w14:paraId="0DFDACE7" w14:textId="77777777" w:rsidR="00046465" w:rsidRDefault="008134EB">
      <w:pPr>
        <w:pStyle w:val="ListParagraph"/>
        <w:numPr>
          <w:ilvl w:val="1"/>
          <w:numId w:val="219"/>
        </w:numPr>
        <w:tabs>
          <w:tab w:val="left" w:pos="2160"/>
        </w:tabs>
        <w:spacing w:before="119"/>
        <w:ind w:right="1196"/>
      </w:pPr>
      <w:r>
        <w:t>the</w:t>
      </w:r>
      <w:r>
        <w:rPr>
          <w:spacing w:val="-3"/>
        </w:rPr>
        <w:t xml:space="preserve"> </w:t>
      </w:r>
      <w:r>
        <w:t>auditor’s</w:t>
      </w:r>
      <w:r>
        <w:rPr>
          <w:spacing w:val="-4"/>
        </w:rPr>
        <w:t xml:space="preserve"> </w:t>
      </w:r>
      <w:r>
        <w:t>use</w:t>
      </w:r>
      <w:r>
        <w:rPr>
          <w:spacing w:val="-3"/>
        </w:rPr>
        <w:t xml:space="preserve"> </w:t>
      </w:r>
      <w:r>
        <w:t>of</w:t>
      </w:r>
      <w:r>
        <w:rPr>
          <w:spacing w:val="-3"/>
        </w:rPr>
        <w:t xml:space="preserve"> </w:t>
      </w:r>
      <w:r>
        <w:t>the</w:t>
      </w:r>
      <w:r>
        <w:rPr>
          <w:spacing w:val="-4"/>
        </w:rPr>
        <w:t xml:space="preserve"> </w:t>
      </w:r>
      <w:r>
        <w:t>work</w:t>
      </w:r>
      <w:r>
        <w:rPr>
          <w:spacing w:val="-3"/>
        </w:rPr>
        <w:t xml:space="preserve"> </w:t>
      </w:r>
      <w:r>
        <w:t>of</w:t>
      </w:r>
      <w:r>
        <w:rPr>
          <w:spacing w:val="-3"/>
        </w:rPr>
        <w:t xml:space="preserve"> </w:t>
      </w:r>
      <w:r>
        <w:t>the</w:t>
      </w:r>
      <w:r>
        <w:rPr>
          <w:spacing w:val="-3"/>
        </w:rPr>
        <w:t xml:space="preserve"> </w:t>
      </w:r>
      <w:r>
        <w:t>auditor’s</w:t>
      </w:r>
      <w:r>
        <w:rPr>
          <w:spacing w:val="-2"/>
        </w:rPr>
        <w:t xml:space="preserve"> </w:t>
      </w:r>
      <w:r>
        <w:t>specialist</w:t>
      </w:r>
      <w:r>
        <w:rPr>
          <w:spacing w:val="-3"/>
        </w:rPr>
        <w:t xml:space="preserve"> </w:t>
      </w:r>
      <w:r>
        <w:t>is</w:t>
      </w:r>
      <w:r>
        <w:rPr>
          <w:spacing w:val="-3"/>
        </w:rPr>
        <w:t xml:space="preserve"> </w:t>
      </w:r>
      <w:r>
        <w:t>extensive</w:t>
      </w:r>
      <w:r>
        <w:rPr>
          <w:spacing w:val="-3"/>
        </w:rPr>
        <w:t xml:space="preserve"> </w:t>
      </w:r>
      <w:r>
        <w:t>and</w:t>
      </w:r>
      <w:r>
        <w:rPr>
          <w:spacing w:val="-4"/>
        </w:rPr>
        <w:t xml:space="preserve"> </w:t>
      </w:r>
      <w:r>
        <w:t>is significant in the context of the audit.</w:t>
      </w:r>
    </w:p>
    <w:p w14:paraId="0DFDACE8" w14:textId="77777777" w:rsidR="00046465" w:rsidRDefault="008134EB">
      <w:pPr>
        <w:pStyle w:val="ListParagraph"/>
        <w:numPr>
          <w:ilvl w:val="0"/>
          <w:numId w:val="219"/>
        </w:numPr>
        <w:tabs>
          <w:tab w:val="left" w:pos="1800"/>
        </w:tabs>
        <w:spacing w:before="121"/>
        <w:ind w:right="1240"/>
      </w:pPr>
      <w:r>
        <w:t>In establishing the agreement with the auditor’s specialist, an important consideration</w:t>
      </w:r>
      <w:r>
        <w:rPr>
          <w:spacing w:val="-1"/>
        </w:rPr>
        <w:t xml:space="preserve"> </w:t>
      </w:r>
      <w:r>
        <w:t>is</w:t>
      </w:r>
      <w:r>
        <w:rPr>
          <w:spacing w:val="-1"/>
        </w:rPr>
        <w:t xml:space="preserve"> </w:t>
      </w:r>
      <w:r>
        <w:t>whether</w:t>
      </w:r>
      <w:r>
        <w:rPr>
          <w:spacing w:val="-2"/>
        </w:rPr>
        <w:t xml:space="preserve"> </w:t>
      </w:r>
      <w:r>
        <w:t>the</w:t>
      </w:r>
      <w:r>
        <w:rPr>
          <w:spacing w:val="-1"/>
        </w:rPr>
        <w:t xml:space="preserve"> </w:t>
      </w:r>
      <w:r>
        <w:t>work</w:t>
      </w:r>
      <w:r>
        <w:rPr>
          <w:spacing w:val="-1"/>
        </w:rPr>
        <w:t xml:space="preserve"> </w:t>
      </w:r>
      <w:r>
        <w:t>of</w:t>
      </w:r>
      <w:r>
        <w:rPr>
          <w:spacing w:val="-1"/>
        </w:rPr>
        <w:t xml:space="preserve"> </w:t>
      </w:r>
      <w:r>
        <w:t>the</w:t>
      </w:r>
      <w:r>
        <w:rPr>
          <w:spacing w:val="-1"/>
        </w:rPr>
        <w:t xml:space="preserve"> </w:t>
      </w:r>
      <w:r>
        <w:t>auditor’s</w:t>
      </w:r>
      <w:r>
        <w:rPr>
          <w:spacing w:val="-1"/>
        </w:rPr>
        <w:t xml:space="preserve"> </w:t>
      </w:r>
      <w:r>
        <w:t>specialist</w:t>
      </w:r>
      <w:r>
        <w:rPr>
          <w:spacing w:val="-1"/>
        </w:rPr>
        <w:t xml:space="preserve"> </w:t>
      </w:r>
      <w:r>
        <w:t>is</w:t>
      </w:r>
      <w:r>
        <w:rPr>
          <w:spacing w:val="-2"/>
        </w:rPr>
        <w:t xml:space="preserve"> </w:t>
      </w:r>
      <w:r>
        <w:t>subject</w:t>
      </w:r>
      <w:r>
        <w:rPr>
          <w:spacing w:val="-1"/>
        </w:rPr>
        <w:t xml:space="preserve"> </w:t>
      </w:r>
      <w:r>
        <w:t>to</w:t>
      </w:r>
      <w:r>
        <w:rPr>
          <w:spacing w:val="-1"/>
        </w:rPr>
        <w:t xml:space="preserve"> </w:t>
      </w:r>
      <w:r>
        <w:t>any reservation,</w:t>
      </w:r>
      <w:r>
        <w:rPr>
          <w:spacing w:val="-5"/>
        </w:rPr>
        <w:t xml:space="preserve"> </w:t>
      </w:r>
      <w:r>
        <w:t>limitation,</w:t>
      </w:r>
      <w:r>
        <w:rPr>
          <w:spacing w:val="-4"/>
        </w:rPr>
        <w:t xml:space="preserve"> </w:t>
      </w:r>
      <w:r>
        <w:t>or</w:t>
      </w:r>
      <w:r>
        <w:rPr>
          <w:spacing w:val="-5"/>
        </w:rPr>
        <w:t xml:space="preserve"> </w:t>
      </w:r>
      <w:r>
        <w:t>restriction</w:t>
      </w:r>
      <w:r>
        <w:rPr>
          <w:spacing w:val="-5"/>
        </w:rPr>
        <w:t xml:space="preserve"> </w:t>
      </w:r>
      <w:r>
        <w:t>and</w:t>
      </w:r>
      <w:r>
        <w:rPr>
          <w:spacing w:val="-4"/>
        </w:rPr>
        <w:t xml:space="preserve"> </w:t>
      </w:r>
      <w:r>
        <w:t>whether</w:t>
      </w:r>
      <w:r>
        <w:rPr>
          <w:spacing w:val="-4"/>
        </w:rPr>
        <w:t xml:space="preserve"> </w:t>
      </w:r>
      <w:r>
        <w:t>this</w:t>
      </w:r>
      <w:r>
        <w:rPr>
          <w:spacing w:val="-4"/>
        </w:rPr>
        <w:t xml:space="preserve"> </w:t>
      </w:r>
      <w:r>
        <w:t>has</w:t>
      </w:r>
      <w:r>
        <w:rPr>
          <w:spacing w:val="-4"/>
        </w:rPr>
        <w:t xml:space="preserve"> </w:t>
      </w:r>
      <w:r>
        <w:t>implications</w:t>
      </w:r>
      <w:r>
        <w:rPr>
          <w:spacing w:val="-4"/>
        </w:rPr>
        <w:t xml:space="preserve"> </w:t>
      </w:r>
      <w:r>
        <w:t>for</w:t>
      </w:r>
      <w:r>
        <w:rPr>
          <w:spacing w:val="-4"/>
        </w:rPr>
        <w:t xml:space="preserve"> </w:t>
      </w:r>
      <w:r>
        <w:t>the auditor (AU-C 620.A27).</w:t>
      </w:r>
    </w:p>
    <w:p w14:paraId="0DFDACE9" w14:textId="77777777" w:rsidR="00046465" w:rsidRDefault="008134EB">
      <w:pPr>
        <w:pStyle w:val="ListParagraph"/>
        <w:numPr>
          <w:ilvl w:val="0"/>
          <w:numId w:val="219"/>
        </w:numPr>
        <w:tabs>
          <w:tab w:val="left" w:pos="1800"/>
        </w:tabs>
        <w:spacing w:before="119"/>
        <w:ind w:right="1446"/>
      </w:pPr>
      <w:r>
        <w:t>When no written agreement exists between the auditor and the auditor’s specialist,</w:t>
      </w:r>
      <w:r>
        <w:rPr>
          <w:spacing w:val="-4"/>
        </w:rPr>
        <w:t xml:space="preserve"> </w:t>
      </w:r>
      <w:r>
        <w:t>evidence</w:t>
      </w:r>
      <w:r>
        <w:rPr>
          <w:spacing w:val="-4"/>
        </w:rPr>
        <w:t xml:space="preserve"> </w:t>
      </w:r>
      <w:r>
        <w:t>of</w:t>
      </w:r>
      <w:r>
        <w:rPr>
          <w:spacing w:val="-4"/>
        </w:rPr>
        <w:t xml:space="preserve"> </w:t>
      </w:r>
      <w:r>
        <w:t>the</w:t>
      </w:r>
      <w:r>
        <w:rPr>
          <w:spacing w:val="-4"/>
        </w:rPr>
        <w:t xml:space="preserve"> </w:t>
      </w:r>
      <w:r>
        <w:t>agreement</w:t>
      </w:r>
      <w:r>
        <w:rPr>
          <w:spacing w:val="-4"/>
        </w:rPr>
        <w:t xml:space="preserve"> </w:t>
      </w:r>
      <w:r>
        <w:t>may</w:t>
      </w:r>
      <w:r>
        <w:rPr>
          <w:spacing w:val="-4"/>
        </w:rPr>
        <w:t xml:space="preserve"> </w:t>
      </w:r>
      <w:r>
        <w:t>be</w:t>
      </w:r>
      <w:r>
        <w:rPr>
          <w:spacing w:val="-4"/>
        </w:rPr>
        <w:t xml:space="preserve"> </w:t>
      </w:r>
      <w:r>
        <w:t>included</w:t>
      </w:r>
      <w:r>
        <w:rPr>
          <w:spacing w:val="-4"/>
        </w:rPr>
        <w:t xml:space="preserve"> </w:t>
      </w:r>
      <w:r>
        <w:t>in</w:t>
      </w:r>
      <w:r>
        <w:rPr>
          <w:spacing w:val="-3"/>
        </w:rPr>
        <w:t xml:space="preserve"> </w:t>
      </w:r>
      <w:r>
        <w:t>the</w:t>
      </w:r>
      <w:r>
        <w:rPr>
          <w:spacing w:val="-4"/>
        </w:rPr>
        <w:t xml:space="preserve"> </w:t>
      </w:r>
      <w:r>
        <w:t>following,</w:t>
      </w:r>
      <w:r>
        <w:rPr>
          <w:spacing w:val="-4"/>
        </w:rPr>
        <w:t xml:space="preserve"> </w:t>
      </w:r>
      <w:r>
        <w:t>for example (AU-C 620.A29):</w:t>
      </w:r>
    </w:p>
    <w:p w14:paraId="0DFDACEA" w14:textId="77777777" w:rsidR="00046465" w:rsidRDefault="008134EB">
      <w:pPr>
        <w:pStyle w:val="ListParagraph"/>
        <w:numPr>
          <w:ilvl w:val="1"/>
          <w:numId w:val="219"/>
        </w:numPr>
        <w:tabs>
          <w:tab w:val="left" w:pos="2159"/>
        </w:tabs>
        <w:spacing w:before="121"/>
        <w:ind w:left="2159" w:hanging="359"/>
      </w:pPr>
      <w:r>
        <w:t>Planning</w:t>
      </w:r>
      <w:r>
        <w:rPr>
          <w:spacing w:val="-8"/>
        </w:rPr>
        <w:t xml:space="preserve"> </w:t>
      </w:r>
      <w:r>
        <w:t>memorandums</w:t>
      </w:r>
      <w:r>
        <w:rPr>
          <w:spacing w:val="-5"/>
        </w:rPr>
        <w:t xml:space="preserve"> </w:t>
      </w:r>
      <w:r>
        <w:t>or</w:t>
      </w:r>
      <w:r>
        <w:rPr>
          <w:spacing w:val="-7"/>
        </w:rPr>
        <w:t xml:space="preserve"> </w:t>
      </w:r>
      <w:r>
        <w:t>related</w:t>
      </w:r>
      <w:r>
        <w:rPr>
          <w:spacing w:val="-7"/>
        </w:rPr>
        <w:t xml:space="preserve"> </w:t>
      </w:r>
      <w:r>
        <w:t>working</w:t>
      </w:r>
      <w:r>
        <w:rPr>
          <w:spacing w:val="-7"/>
        </w:rPr>
        <w:t xml:space="preserve"> </w:t>
      </w:r>
      <w:r>
        <w:t>papers,</w:t>
      </w:r>
      <w:r>
        <w:rPr>
          <w:spacing w:val="-7"/>
        </w:rPr>
        <w:t xml:space="preserve"> </w:t>
      </w:r>
      <w:r>
        <w:t>such</w:t>
      </w:r>
      <w:r>
        <w:rPr>
          <w:spacing w:val="-7"/>
        </w:rPr>
        <w:t xml:space="preserve"> </w:t>
      </w:r>
      <w:r>
        <w:t>as</w:t>
      </w:r>
      <w:r>
        <w:rPr>
          <w:spacing w:val="-7"/>
        </w:rPr>
        <w:t xml:space="preserve"> </w:t>
      </w:r>
      <w:r>
        <w:t>the</w:t>
      </w:r>
      <w:r>
        <w:rPr>
          <w:spacing w:val="-7"/>
        </w:rPr>
        <w:t xml:space="preserve"> </w:t>
      </w:r>
      <w:r>
        <w:t>audit</w:t>
      </w:r>
      <w:r>
        <w:rPr>
          <w:spacing w:val="-7"/>
        </w:rPr>
        <w:t xml:space="preserve"> </w:t>
      </w:r>
      <w:r>
        <w:rPr>
          <w:spacing w:val="-2"/>
        </w:rPr>
        <w:t>plan.</w:t>
      </w:r>
    </w:p>
    <w:p w14:paraId="0DFDACEB" w14:textId="77777777" w:rsidR="00046465" w:rsidRDefault="008134EB">
      <w:pPr>
        <w:pStyle w:val="ListParagraph"/>
        <w:numPr>
          <w:ilvl w:val="1"/>
          <w:numId w:val="219"/>
        </w:numPr>
        <w:tabs>
          <w:tab w:val="left" w:pos="2160"/>
        </w:tabs>
        <w:ind w:right="819"/>
      </w:pPr>
      <w:r>
        <w:t>The policies and procedures of the auditor’s firm. In the case of an auditor’s internal specialist, the established policies and procedures to which the auditor’s specialist is subject may include particular policies and procedures regarding</w:t>
      </w:r>
      <w:r>
        <w:rPr>
          <w:spacing w:val="-2"/>
        </w:rPr>
        <w:t xml:space="preserve"> </w:t>
      </w:r>
      <w:r>
        <w:t>the</w:t>
      </w:r>
      <w:r>
        <w:rPr>
          <w:spacing w:val="-2"/>
        </w:rPr>
        <w:t xml:space="preserve"> </w:t>
      </w:r>
      <w:r>
        <w:t>work</w:t>
      </w:r>
      <w:r>
        <w:rPr>
          <w:spacing w:val="-2"/>
        </w:rPr>
        <w:t xml:space="preserve"> </w:t>
      </w:r>
      <w:r>
        <w:t>of</w:t>
      </w:r>
      <w:r>
        <w:rPr>
          <w:spacing w:val="-2"/>
        </w:rPr>
        <w:t xml:space="preserve"> </w:t>
      </w:r>
      <w:r>
        <w:t>the</w:t>
      </w:r>
      <w:r>
        <w:rPr>
          <w:spacing w:val="-2"/>
        </w:rPr>
        <w:t xml:space="preserve"> </w:t>
      </w:r>
      <w:r>
        <w:t>auditor’s</w:t>
      </w:r>
      <w:r>
        <w:rPr>
          <w:spacing w:val="-2"/>
        </w:rPr>
        <w:t xml:space="preserve"> </w:t>
      </w:r>
      <w:r>
        <w:t>specialist.</w:t>
      </w:r>
      <w:r>
        <w:rPr>
          <w:spacing w:val="-2"/>
        </w:rPr>
        <w:t xml:space="preserve"> </w:t>
      </w:r>
      <w:r>
        <w:t>The</w:t>
      </w:r>
      <w:r>
        <w:rPr>
          <w:spacing w:val="-2"/>
        </w:rPr>
        <w:t xml:space="preserve"> </w:t>
      </w:r>
      <w:r>
        <w:t>extent</w:t>
      </w:r>
      <w:r>
        <w:rPr>
          <w:spacing w:val="-2"/>
        </w:rPr>
        <w:t xml:space="preserve"> </w:t>
      </w:r>
      <w:r>
        <w:t>of</w:t>
      </w:r>
      <w:r>
        <w:rPr>
          <w:spacing w:val="-2"/>
        </w:rPr>
        <w:t xml:space="preserve"> </w:t>
      </w:r>
      <w:r>
        <w:t>documentation</w:t>
      </w:r>
      <w:r>
        <w:rPr>
          <w:spacing w:val="-2"/>
        </w:rPr>
        <w:t xml:space="preserve"> </w:t>
      </w:r>
      <w:r>
        <w:t>in the auditor’s working papers depends on the nature of such policies and procedures.</w:t>
      </w:r>
      <w:r>
        <w:rPr>
          <w:spacing w:val="-5"/>
        </w:rPr>
        <w:t xml:space="preserve"> </w:t>
      </w:r>
      <w:r>
        <w:t>For</w:t>
      </w:r>
      <w:r>
        <w:rPr>
          <w:spacing w:val="-4"/>
        </w:rPr>
        <w:t xml:space="preserve"> </w:t>
      </w:r>
      <w:r>
        <w:t>example,</w:t>
      </w:r>
      <w:r>
        <w:rPr>
          <w:spacing w:val="-4"/>
        </w:rPr>
        <w:t xml:space="preserve"> </w:t>
      </w:r>
      <w:r>
        <w:t>no</w:t>
      </w:r>
      <w:r>
        <w:rPr>
          <w:spacing w:val="-4"/>
        </w:rPr>
        <w:t xml:space="preserve"> </w:t>
      </w:r>
      <w:r>
        <w:t>documentation</w:t>
      </w:r>
      <w:r>
        <w:rPr>
          <w:spacing w:val="-4"/>
        </w:rPr>
        <w:t xml:space="preserve"> </w:t>
      </w:r>
      <w:r>
        <w:t>may</w:t>
      </w:r>
      <w:r>
        <w:rPr>
          <w:spacing w:val="-4"/>
        </w:rPr>
        <w:t xml:space="preserve"> </w:t>
      </w:r>
      <w:r>
        <w:t>be</w:t>
      </w:r>
      <w:r>
        <w:rPr>
          <w:spacing w:val="-4"/>
        </w:rPr>
        <w:t xml:space="preserve"> </w:t>
      </w:r>
      <w:r>
        <w:t>required</w:t>
      </w:r>
      <w:r>
        <w:rPr>
          <w:spacing w:val="-4"/>
        </w:rPr>
        <w:t xml:space="preserve"> </w:t>
      </w:r>
      <w:r>
        <w:t>in</w:t>
      </w:r>
      <w:r>
        <w:rPr>
          <w:spacing w:val="-4"/>
        </w:rPr>
        <w:t xml:space="preserve"> </w:t>
      </w:r>
      <w:r>
        <w:t>the</w:t>
      </w:r>
      <w:r>
        <w:rPr>
          <w:spacing w:val="-4"/>
        </w:rPr>
        <w:t xml:space="preserve"> </w:t>
      </w:r>
      <w:r>
        <w:t>auditor’s</w:t>
      </w:r>
    </w:p>
    <w:p w14:paraId="0DFDACEC" w14:textId="77777777" w:rsidR="00046465" w:rsidRDefault="00046465">
      <w:pPr>
        <w:pStyle w:val="ListParagraph"/>
        <w:sectPr w:rsidR="00046465">
          <w:pgSz w:w="12240" w:h="15840"/>
          <w:pgMar w:top="1340" w:right="720" w:bottom="940" w:left="1080" w:header="721" w:footer="757" w:gutter="0"/>
          <w:cols w:space="720"/>
        </w:sectPr>
      </w:pPr>
    </w:p>
    <w:p w14:paraId="0DFDACED" w14:textId="77777777" w:rsidR="00046465" w:rsidRDefault="008134EB">
      <w:pPr>
        <w:pStyle w:val="BodyText"/>
        <w:spacing w:before="121"/>
        <w:ind w:left="2160" w:right="773"/>
      </w:pPr>
      <w:r>
        <w:lastRenderedPageBreak/>
        <w:t>working</w:t>
      </w:r>
      <w:r>
        <w:rPr>
          <w:spacing w:val="-5"/>
        </w:rPr>
        <w:t xml:space="preserve"> </w:t>
      </w:r>
      <w:r>
        <w:t>papers</w:t>
      </w:r>
      <w:r>
        <w:rPr>
          <w:spacing w:val="-5"/>
        </w:rPr>
        <w:t xml:space="preserve"> </w:t>
      </w:r>
      <w:r>
        <w:t>if</w:t>
      </w:r>
      <w:r>
        <w:rPr>
          <w:spacing w:val="-5"/>
        </w:rPr>
        <w:t xml:space="preserve"> </w:t>
      </w:r>
      <w:r>
        <w:t>the</w:t>
      </w:r>
      <w:r>
        <w:rPr>
          <w:spacing w:val="-5"/>
        </w:rPr>
        <w:t xml:space="preserve"> </w:t>
      </w:r>
      <w:r>
        <w:t>auditor’s</w:t>
      </w:r>
      <w:r>
        <w:rPr>
          <w:spacing w:val="-4"/>
        </w:rPr>
        <w:t xml:space="preserve"> </w:t>
      </w:r>
      <w:r>
        <w:t>organization</w:t>
      </w:r>
      <w:r>
        <w:rPr>
          <w:spacing w:val="-5"/>
        </w:rPr>
        <w:t xml:space="preserve"> </w:t>
      </w:r>
      <w:r>
        <w:t>has</w:t>
      </w:r>
      <w:r>
        <w:rPr>
          <w:spacing w:val="-6"/>
        </w:rPr>
        <w:t xml:space="preserve"> </w:t>
      </w:r>
      <w:r>
        <w:t>detailed</w:t>
      </w:r>
      <w:r>
        <w:rPr>
          <w:spacing w:val="-5"/>
        </w:rPr>
        <w:t xml:space="preserve"> </w:t>
      </w:r>
      <w:r>
        <w:t>protocols</w:t>
      </w:r>
      <w:r>
        <w:rPr>
          <w:spacing w:val="-5"/>
        </w:rPr>
        <w:t xml:space="preserve"> </w:t>
      </w:r>
      <w:r>
        <w:t>covering the circumstances in which the work of such an internal specialist is used.</w:t>
      </w:r>
    </w:p>
    <w:p w14:paraId="0DFDACEE" w14:textId="77777777" w:rsidR="00046465" w:rsidRDefault="008134EB">
      <w:pPr>
        <w:pStyle w:val="Heading4"/>
      </w:pPr>
      <w:bookmarkStart w:id="31" w:name="Evaluating_the_Adequacy_of_the_Work_of_a"/>
      <w:bookmarkEnd w:id="31"/>
      <w:r>
        <w:t>Evaluating</w:t>
      </w:r>
      <w:r>
        <w:rPr>
          <w:spacing w:val="-10"/>
        </w:rPr>
        <w:t xml:space="preserve"> </w:t>
      </w:r>
      <w:r>
        <w:t>the</w:t>
      </w:r>
      <w:r>
        <w:rPr>
          <w:spacing w:val="-9"/>
        </w:rPr>
        <w:t xml:space="preserve"> </w:t>
      </w:r>
      <w:r>
        <w:t>Adequacy</w:t>
      </w:r>
      <w:r>
        <w:rPr>
          <w:spacing w:val="-8"/>
        </w:rPr>
        <w:t xml:space="preserve"> </w:t>
      </w:r>
      <w:r>
        <w:t>of</w:t>
      </w:r>
      <w:r>
        <w:rPr>
          <w:spacing w:val="-9"/>
        </w:rPr>
        <w:t xml:space="preserve"> </w:t>
      </w:r>
      <w:r>
        <w:t>the</w:t>
      </w:r>
      <w:r>
        <w:rPr>
          <w:spacing w:val="-9"/>
        </w:rPr>
        <w:t xml:space="preserve"> </w:t>
      </w:r>
      <w:r>
        <w:t>Work</w:t>
      </w:r>
      <w:r>
        <w:rPr>
          <w:spacing w:val="-8"/>
        </w:rPr>
        <w:t xml:space="preserve"> </w:t>
      </w:r>
      <w:r>
        <w:t>of</w:t>
      </w:r>
      <w:r>
        <w:rPr>
          <w:spacing w:val="-9"/>
        </w:rPr>
        <w:t xml:space="preserve"> </w:t>
      </w:r>
      <w:r>
        <w:t>an</w:t>
      </w:r>
      <w:r>
        <w:rPr>
          <w:spacing w:val="-11"/>
        </w:rPr>
        <w:t xml:space="preserve"> </w:t>
      </w:r>
      <w:r>
        <w:t>Auditor’s</w:t>
      </w:r>
      <w:r>
        <w:rPr>
          <w:spacing w:val="-8"/>
        </w:rPr>
        <w:t xml:space="preserve"> </w:t>
      </w:r>
      <w:r>
        <w:rPr>
          <w:spacing w:val="-2"/>
        </w:rPr>
        <w:t>Specialist</w:t>
      </w:r>
    </w:p>
    <w:p w14:paraId="0DFDACEF" w14:textId="77777777" w:rsidR="00046465" w:rsidRDefault="008134EB">
      <w:pPr>
        <w:pStyle w:val="ListParagraph"/>
        <w:numPr>
          <w:ilvl w:val="0"/>
          <w:numId w:val="219"/>
        </w:numPr>
        <w:tabs>
          <w:tab w:val="left" w:pos="1800"/>
        </w:tabs>
        <w:spacing w:before="119"/>
        <w:ind w:right="1127"/>
      </w:pPr>
      <w:r>
        <w:t>The following affect the nature, timing, and extent of audit procedures for evaluating</w:t>
      </w:r>
      <w:r>
        <w:rPr>
          <w:spacing w:val="-4"/>
        </w:rPr>
        <w:t xml:space="preserve"> </w:t>
      </w:r>
      <w:r>
        <w:t>the</w:t>
      </w:r>
      <w:r>
        <w:rPr>
          <w:spacing w:val="-4"/>
        </w:rPr>
        <w:t xml:space="preserve"> </w:t>
      </w:r>
      <w:r>
        <w:t>adequacy</w:t>
      </w:r>
      <w:r>
        <w:rPr>
          <w:spacing w:val="-4"/>
        </w:rPr>
        <w:t xml:space="preserve"> </w:t>
      </w:r>
      <w:r>
        <w:t>of</w:t>
      </w:r>
      <w:r>
        <w:rPr>
          <w:spacing w:val="-4"/>
        </w:rPr>
        <w:t xml:space="preserve"> </w:t>
      </w:r>
      <w:r>
        <w:t>the</w:t>
      </w:r>
      <w:r>
        <w:rPr>
          <w:spacing w:val="-4"/>
        </w:rPr>
        <w:t xml:space="preserve"> </w:t>
      </w:r>
      <w:r>
        <w:t>work</w:t>
      </w:r>
      <w:r>
        <w:rPr>
          <w:spacing w:val="-4"/>
        </w:rPr>
        <w:t xml:space="preserve"> </w:t>
      </w:r>
      <w:r>
        <w:t>of</w:t>
      </w:r>
      <w:r>
        <w:rPr>
          <w:spacing w:val="-4"/>
        </w:rPr>
        <w:t xml:space="preserve"> </w:t>
      </w:r>
      <w:r>
        <w:t>an</w:t>
      </w:r>
      <w:r>
        <w:rPr>
          <w:spacing w:val="-3"/>
        </w:rPr>
        <w:t xml:space="preserve"> </w:t>
      </w:r>
      <w:r>
        <w:t>auditor’s</w:t>
      </w:r>
      <w:r>
        <w:rPr>
          <w:spacing w:val="-4"/>
        </w:rPr>
        <w:t xml:space="preserve"> </w:t>
      </w:r>
      <w:r>
        <w:t>specialist</w:t>
      </w:r>
      <w:r>
        <w:rPr>
          <w:spacing w:val="-4"/>
        </w:rPr>
        <w:t xml:space="preserve"> </w:t>
      </w:r>
      <w:r>
        <w:t>for</w:t>
      </w:r>
      <w:r>
        <w:rPr>
          <w:spacing w:val="-4"/>
        </w:rPr>
        <w:t xml:space="preserve"> </w:t>
      </w:r>
      <w:r>
        <w:t>the</w:t>
      </w:r>
      <w:r>
        <w:rPr>
          <w:spacing w:val="-4"/>
        </w:rPr>
        <w:t xml:space="preserve"> </w:t>
      </w:r>
      <w:r>
        <w:t>auditor’s purposes (AU-C 620.A35):</w:t>
      </w:r>
    </w:p>
    <w:p w14:paraId="0DFDACF0" w14:textId="77777777" w:rsidR="00046465" w:rsidRDefault="008134EB">
      <w:pPr>
        <w:pStyle w:val="ListParagraph"/>
        <w:numPr>
          <w:ilvl w:val="1"/>
          <w:numId w:val="219"/>
        </w:numPr>
        <w:tabs>
          <w:tab w:val="left" w:pos="2160"/>
        </w:tabs>
        <w:spacing w:before="119"/>
        <w:ind w:right="805"/>
      </w:pPr>
      <w:r>
        <w:t>the</w:t>
      </w:r>
      <w:r>
        <w:rPr>
          <w:spacing w:val="-4"/>
        </w:rPr>
        <w:t xml:space="preserve"> </w:t>
      </w:r>
      <w:r>
        <w:t>auditor’s</w:t>
      </w:r>
      <w:r>
        <w:rPr>
          <w:spacing w:val="-5"/>
        </w:rPr>
        <w:t xml:space="preserve"> </w:t>
      </w:r>
      <w:r>
        <w:t>evaluation</w:t>
      </w:r>
      <w:r>
        <w:rPr>
          <w:spacing w:val="-5"/>
        </w:rPr>
        <w:t xml:space="preserve"> </w:t>
      </w:r>
      <w:r>
        <w:t>of</w:t>
      </w:r>
      <w:r>
        <w:rPr>
          <w:spacing w:val="-4"/>
        </w:rPr>
        <w:t xml:space="preserve"> </w:t>
      </w:r>
      <w:r>
        <w:t>the</w:t>
      </w:r>
      <w:r>
        <w:rPr>
          <w:spacing w:val="-4"/>
        </w:rPr>
        <w:t xml:space="preserve"> </w:t>
      </w:r>
      <w:r>
        <w:t>objectivity,</w:t>
      </w:r>
      <w:r>
        <w:rPr>
          <w:spacing w:val="-5"/>
        </w:rPr>
        <w:t xml:space="preserve"> </w:t>
      </w:r>
      <w:r>
        <w:t>competence,</w:t>
      </w:r>
      <w:r>
        <w:rPr>
          <w:spacing w:val="-4"/>
        </w:rPr>
        <w:t xml:space="preserve"> </w:t>
      </w:r>
      <w:r>
        <w:t>and</w:t>
      </w:r>
      <w:r>
        <w:rPr>
          <w:spacing w:val="-4"/>
        </w:rPr>
        <w:t xml:space="preserve"> </w:t>
      </w:r>
      <w:r>
        <w:t>capabilities</w:t>
      </w:r>
      <w:r>
        <w:rPr>
          <w:spacing w:val="-4"/>
        </w:rPr>
        <w:t xml:space="preserve"> </w:t>
      </w:r>
      <w:r>
        <w:t>of</w:t>
      </w:r>
      <w:r>
        <w:rPr>
          <w:spacing w:val="-5"/>
        </w:rPr>
        <w:t xml:space="preserve"> </w:t>
      </w:r>
      <w:r>
        <w:t xml:space="preserve">the </w:t>
      </w:r>
      <w:r>
        <w:rPr>
          <w:spacing w:val="-2"/>
        </w:rPr>
        <w:t>specialist;</w:t>
      </w:r>
    </w:p>
    <w:p w14:paraId="0DFDACF1" w14:textId="77777777" w:rsidR="00046465" w:rsidRDefault="008134EB">
      <w:pPr>
        <w:pStyle w:val="ListParagraph"/>
        <w:numPr>
          <w:ilvl w:val="1"/>
          <w:numId w:val="219"/>
        </w:numPr>
        <w:tabs>
          <w:tab w:val="left" w:pos="2159"/>
        </w:tabs>
        <w:spacing w:before="121"/>
        <w:ind w:left="2159" w:hanging="359"/>
      </w:pPr>
      <w:r>
        <w:t>the</w:t>
      </w:r>
      <w:r>
        <w:rPr>
          <w:spacing w:val="-7"/>
        </w:rPr>
        <w:t xml:space="preserve"> </w:t>
      </w:r>
      <w:r>
        <w:t>auditor’s</w:t>
      </w:r>
      <w:r>
        <w:rPr>
          <w:spacing w:val="-7"/>
        </w:rPr>
        <w:t xml:space="preserve"> </w:t>
      </w:r>
      <w:r>
        <w:t>familiarity</w:t>
      </w:r>
      <w:r>
        <w:rPr>
          <w:spacing w:val="-7"/>
        </w:rPr>
        <w:t xml:space="preserve"> </w:t>
      </w:r>
      <w:r>
        <w:t>with</w:t>
      </w:r>
      <w:r>
        <w:rPr>
          <w:spacing w:val="-6"/>
        </w:rPr>
        <w:t xml:space="preserve"> </w:t>
      </w:r>
      <w:r>
        <w:t>the</w:t>
      </w:r>
      <w:r>
        <w:rPr>
          <w:spacing w:val="-6"/>
        </w:rPr>
        <w:t xml:space="preserve"> </w:t>
      </w:r>
      <w:r>
        <w:t>specialist’s</w:t>
      </w:r>
      <w:r>
        <w:rPr>
          <w:spacing w:val="-6"/>
        </w:rPr>
        <w:t xml:space="preserve"> </w:t>
      </w:r>
      <w:r>
        <w:t>field</w:t>
      </w:r>
      <w:r>
        <w:rPr>
          <w:spacing w:val="-6"/>
        </w:rPr>
        <w:t xml:space="preserve"> </w:t>
      </w:r>
      <w:r>
        <w:t>of</w:t>
      </w:r>
      <w:r>
        <w:rPr>
          <w:spacing w:val="-7"/>
        </w:rPr>
        <w:t xml:space="preserve"> </w:t>
      </w:r>
      <w:r>
        <w:rPr>
          <w:spacing w:val="-2"/>
        </w:rPr>
        <w:t>expertise;</w:t>
      </w:r>
    </w:p>
    <w:p w14:paraId="0DFDACF2" w14:textId="77777777" w:rsidR="00046465" w:rsidRDefault="008134EB">
      <w:pPr>
        <w:pStyle w:val="ListParagraph"/>
        <w:numPr>
          <w:ilvl w:val="1"/>
          <w:numId w:val="219"/>
        </w:numPr>
        <w:tabs>
          <w:tab w:val="left" w:pos="2160"/>
        </w:tabs>
        <w:ind w:right="943"/>
      </w:pPr>
      <w:r>
        <w:t>the</w:t>
      </w:r>
      <w:r>
        <w:rPr>
          <w:spacing w:val="-4"/>
        </w:rPr>
        <w:t xml:space="preserve"> </w:t>
      </w:r>
      <w:r>
        <w:t>risk</w:t>
      </w:r>
      <w:r>
        <w:rPr>
          <w:spacing w:val="-4"/>
        </w:rPr>
        <w:t xml:space="preserve"> </w:t>
      </w:r>
      <w:r>
        <w:t>of</w:t>
      </w:r>
      <w:r>
        <w:rPr>
          <w:spacing w:val="-4"/>
        </w:rPr>
        <w:t xml:space="preserve"> </w:t>
      </w:r>
      <w:r>
        <w:t>material</w:t>
      </w:r>
      <w:r>
        <w:rPr>
          <w:spacing w:val="-4"/>
        </w:rPr>
        <w:t xml:space="preserve"> </w:t>
      </w:r>
      <w:r>
        <w:t>misstatement</w:t>
      </w:r>
      <w:r>
        <w:rPr>
          <w:spacing w:val="-4"/>
        </w:rPr>
        <w:t xml:space="preserve"> </w:t>
      </w:r>
      <w:r>
        <w:t>in</w:t>
      </w:r>
      <w:r>
        <w:rPr>
          <w:spacing w:val="-4"/>
        </w:rPr>
        <w:t xml:space="preserve"> </w:t>
      </w:r>
      <w:r>
        <w:t>the</w:t>
      </w:r>
      <w:r>
        <w:rPr>
          <w:spacing w:val="-4"/>
        </w:rPr>
        <w:t xml:space="preserve"> </w:t>
      </w:r>
      <w:r>
        <w:t>matter</w:t>
      </w:r>
      <w:r>
        <w:rPr>
          <w:spacing w:val="-4"/>
        </w:rPr>
        <w:t xml:space="preserve"> </w:t>
      </w:r>
      <w:r>
        <w:t>to</w:t>
      </w:r>
      <w:r>
        <w:rPr>
          <w:spacing w:val="-4"/>
        </w:rPr>
        <w:t xml:space="preserve"> </w:t>
      </w:r>
      <w:r>
        <w:t>which</w:t>
      </w:r>
      <w:r>
        <w:rPr>
          <w:spacing w:val="-4"/>
        </w:rPr>
        <w:t xml:space="preserve"> </w:t>
      </w:r>
      <w:r>
        <w:t>the</w:t>
      </w:r>
      <w:r>
        <w:rPr>
          <w:spacing w:val="-4"/>
        </w:rPr>
        <w:t xml:space="preserve"> </w:t>
      </w:r>
      <w:r>
        <w:t>specialist’s</w:t>
      </w:r>
      <w:r>
        <w:rPr>
          <w:spacing w:val="-4"/>
        </w:rPr>
        <w:t xml:space="preserve"> </w:t>
      </w:r>
      <w:r>
        <w:t xml:space="preserve">work </w:t>
      </w:r>
      <w:r>
        <w:rPr>
          <w:spacing w:val="-2"/>
        </w:rPr>
        <w:t>relates;</w:t>
      </w:r>
    </w:p>
    <w:p w14:paraId="0DFDACF3" w14:textId="77777777" w:rsidR="00046465" w:rsidRDefault="008134EB">
      <w:pPr>
        <w:pStyle w:val="ListParagraph"/>
        <w:numPr>
          <w:ilvl w:val="1"/>
          <w:numId w:val="219"/>
        </w:numPr>
        <w:tabs>
          <w:tab w:val="left" w:pos="2159"/>
        </w:tabs>
        <w:spacing w:before="119"/>
        <w:ind w:left="2159" w:hanging="359"/>
      </w:pPr>
      <w:r>
        <w:t>the</w:t>
      </w:r>
      <w:r>
        <w:rPr>
          <w:spacing w:val="-6"/>
        </w:rPr>
        <w:t xml:space="preserve"> </w:t>
      </w:r>
      <w:r>
        <w:t>nature</w:t>
      </w:r>
      <w:r>
        <w:rPr>
          <w:spacing w:val="-5"/>
        </w:rPr>
        <w:t xml:space="preserve"> </w:t>
      </w:r>
      <w:r>
        <w:t>of</w:t>
      </w:r>
      <w:r>
        <w:rPr>
          <w:spacing w:val="-6"/>
        </w:rPr>
        <w:t xml:space="preserve"> </w:t>
      </w:r>
      <w:r>
        <w:t>the</w:t>
      </w:r>
      <w:r>
        <w:rPr>
          <w:spacing w:val="-5"/>
        </w:rPr>
        <w:t xml:space="preserve"> </w:t>
      </w:r>
      <w:r>
        <w:t>work</w:t>
      </w:r>
      <w:r>
        <w:rPr>
          <w:spacing w:val="-6"/>
        </w:rPr>
        <w:t xml:space="preserve"> </w:t>
      </w:r>
      <w:r>
        <w:t>performed</w:t>
      </w:r>
      <w:r>
        <w:rPr>
          <w:spacing w:val="-5"/>
        </w:rPr>
        <w:t xml:space="preserve"> </w:t>
      </w:r>
      <w:r>
        <w:t>by</w:t>
      </w:r>
      <w:r>
        <w:rPr>
          <w:spacing w:val="-6"/>
        </w:rPr>
        <w:t xml:space="preserve"> </w:t>
      </w:r>
      <w:r>
        <w:t>the</w:t>
      </w:r>
      <w:r>
        <w:rPr>
          <w:spacing w:val="-5"/>
        </w:rPr>
        <w:t xml:space="preserve"> </w:t>
      </w:r>
      <w:r>
        <w:t>specialist;</w:t>
      </w:r>
      <w:r>
        <w:rPr>
          <w:spacing w:val="-5"/>
        </w:rPr>
        <w:t xml:space="preserve"> and</w:t>
      </w:r>
    </w:p>
    <w:p w14:paraId="0DFDACF4" w14:textId="77777777" w:rsidR="00046465" w:rsidRDefault="008134EB">
      <w:pPr>
        <w:pStyle w:val="ListParagraph"/>
        <w:numPr>
          <w:ilvl w:val="1"/>
          <w:numId w:val="219"/>
        </w:numPr>
        <w:tabs>
          <w:tab w:val="left" w:pos="2159"/>
        </w:tabs>
        <w:ind w:left="2159" w:hanging="359"/>
      </w:pPr>
      <w:r>
        <w:t>the</w:t>
      </w:r>
      <w:r>
        <w:rPr>
          <w:spacing w:val="-6"/>
        </w:rPr>
        <w:t xml:space="preserve"> </w:t>
      </w:r>
      <w:r>
        <w:t>significance</w:t>
      </w:r>
      <w:r>
        <w:rPr>
          <w:spacing w:val="-5"/>
        </w:rPr>
        <w:t xml:space="preserve"> </w:t>
      </w:r>
      <w:r>
        <w:t>of</w:t>
      </w:r>
      <w:r>
        <w:rPr>
          <w:spacing w:val="-6"/>
        </w:rPr>
        <w:t xml:space="preserve"> </w:t>
      </w:r>
      <w:r>
        <w:t>the</w:t>
      </w:r>
      <w:r>
        <w:rPr>
          <w:spacing w:val="-5"/>
        </w:rPr>
        <w:t xml:space="preserve"> </w:t>
      </w:r>
      <w:r>
        <w:t>specialist’s</w:t>
      </w:r>
      <w:r>
        <w:rPr>
          <w:spacing w:val="-6"/>
        </w:rPr>
        <w:t xml:space="preserve"> </w:t>
      </w:r>
      <w:r>
        <w:t>work</w:t>
      </w:r>
      <w:r>
        <w:rPr>
          <w:spacing w:val="-5"/>
        </w:rPr>
        <w:t xml:space="preserve"> </w:t>
      </w:r>
      <w:r>
        <w:t>in</w:t>
      </w:r>
      <w:r>
        <w:rPr>
          <w:spacing w:val="-5"/>
        </w:rPr>
        <w:t xml:space="preserve"> </w:t>
      </w:r>
      <w:r>
        <w:t>the</w:t>
      </w:r>
      <w:r>
        <w:rPr>
          <w:spacing w:val="-6"/>
        </w:rPr>
        <w:t xml:space="preserve"> </w:t>
      </w:r>
      <w:r>
        <w:t>context</w:t>
      </w:r>
      <w:r>
        <w:rPr>
          <w:spacing w:val="-5"/>
        </w:rPr>
        <w:t xml:space="preserve"> </w:t>
      </w:r>
      <w:r>
        <w:t>of</w:t>
      </w:r>
      <w:r>
        <w:rPr>
          <w:spacing w:val="-6"/>
        </w:rPr>
        <w:t xml:space="preserve"> </w:t>
      </w:r>
      <w:r>
        <w:t>the</w:t>
      </w:r>
      <w:r>
        <w:rPr>
          <w:spacing w:val="-6"/>
        </w:rPr>
        <w:t xml:space="preserve"> </w:t>
      </w:r>
      <w:r>
        <w:rPr>
          <w:spacing w:val="-2"/>
        </w:rPr>
        <w:t>audit.</w:t>
      </w:r>
    </w:p>
    <w:p w14:paraId="0DFDACF5" w14:textId="77777777" w:rsidR="00046465" w:rsidRDefault="008134EB">
      <w:pPr>
        <w:pStyle w:val="ListParagraph"/>
        <w:numPr>
          <w:ilvl w:val="0"/>
          <w:numId w:val="219"/>
        </w:numPr>
        <w:tabs>
          <w:tab w:val="left" w:pos="1800"/>
        </w:tabs>
        <w:ind w:right="958"/>
      </w:pPr>
      <w:r>
        <w:t>The</w:t>
      </w:r>
      <w:r>
        <w:rPr>
          <w:spacing w:val="-4"/>
        </w:rPr>
        <w:t xml:space="preserve"> </w:t>
      </w:r>
      <w:r>
        <w:t>level</w:t>
      </w:r>
      <w:r>
        <w:rPr>
          <w:spacing w:val="-4"/>
        </w:rPr>
        <w:t xml:space="preserve"> </w:t>
      </w:r>
      <w:r>
        <w:t>of</w:t>
      </w:r>
      <w:r>
        <w:rPr>
          <w:spacing w:val="-5"/>
        </w:rPr>
        <w:t xml:space="preserve"> </w:t>
      </w:r>
      <w:r>
        <w:t>review</w:t>
      </w:r>
      <w:r>
        <w:rPr>
          <w:spacing w:val="-5"/>
        </w:rPr>
        <w:t xml:space="preserve"> </w:t>
      </w:r>
      <w:r>
        <w:t>is</w:t>
      </w:r>
      <w:r>
        <w:rPr>
          <w:spacing w:val="-4"/>
        </w:rPr>
        <w:t xml:space="preserve"> </w:t>
      </w:r>
      <w:r>
        <w:t>based</w:t>
      </w:r>
      <w:r>
        <w:rPr>
          <w:spacing w:val="-4"/>
        </w:rPr>
        <w:t xml:space="preserve"> </w:t>
      </w:r>
      <w:r>
        <w:t>on</w:t>
      </w:r>
      <w:r>
        <w:rPr>
          <w:spacing w:val="-4"/>
        </w:rPr>
        <w:t xml:space="preserve"> </w:t>
      </w:r>
      <w:r>
        <w:t>the</w:t>
      </w:r>
      <w:r>
        <w:rPr>
          <w:spacing w:val="-4"/>
        </w:rPr>
        <w:t xml:space="preserve"> </w:t>
      </w:r>
      <w:r>
        <w:t>auditor’s</w:t>
      </w:r>
      <w:r>
        <w:rPr>
          <w:spacing w:val="-4"/>
        </w:rPr>
        <w:t xml:space="preserve"> </w:t>
      </w:r>
      <w:r>
        <w:t>professional</w:t>
      </w:r>
      <w:r>
        <w:rPr>
          <w:spacing w:val="-5"/>
        </w:rPr>
        <w:t xml:space="preserve"> </w:t>
      </w:r>
      <w:r>
        <w:t>judgment</w:t>
      </w:r>
      <w:r>
        <w:rPr>
          <w:spacing w:val="-4"/>
        </w:rPr>
        <w:t xml:space="preserve"> </w:t>
      </w:r>
      <w:r>
        <w:t>considering the following factors along with matters identified in FAM 620.15:</w:t>
      </w:r>
    </w:p>
    <w:p w14:paraId="0DFDACF6" w14:textId="77777777" w:rsidR="00046465" w:rsidRDefault="008134EB">
      <w:pPr>
        <w:pStyle w:val="ListParagraph"/>
        <w:numPr>
          <w:ilvl w:val="1"/>
          <w:numId w:val="219"/>
        </w:numPr>
        <w:tabs>
          <w:tab w:val="left" w:pos="2160"/>
        </w:tabs>
        <w:spacing w:before="121"/>
        <w:ind w:right="1514"/>
      </w:pPr>
      <w:r>
        <w:t>The</w:t>
      </w:r>
      <w:r>
        <w:rPr>
          <w:spacing w:val="-4"/>
        </w:rPr>
        <w:t xml:space="preserve"> </w:t>
      </w:r>
      <w:r>
        <w:rPr>
          <w:b/>
        </w:rPr>
        <w:t>specialist’s</w:t>
      </w:r>
      <w:r>
        <w:rPr>
          <w:b/>
          <w:spacing w:val="-4"/>
        </w:rPr>
        <w:t xml:space="preserve"> </w:t>
      </w:r>
      <w:r>
        <w:rPr>
          <w:b/>
        </w:rPr>
        <w:t>objectivity.</w:t>
      </w:r>
      <w:r>
        <w:rPr>
          <w:b/>
          <w:spacing w:val="-4"/>
        </w:rPr>
        <w:t xml:space="preserve"> </w:t>
      </w:r>
      <w:r>
        <w:t>The</w:t>
      </w:r>
      <w:r>
        <w:rPr>
          <w:spacing w:val="-4"/>
        </w:rPr>
        <w:t xml:space="preserve"> </w:t>
      </w:r>
      <w:r>
        <w:t>level</w:t>
      </w:r>
      <w:r>
        <w:rPr>
          <w:spacing w:val="-4"/>
        </w:rPr>
        <w:t xml:space="preserve"> </w:t>
      </w:r>
      <w:r>
        <w:t>of</w:t>
      </w:r>
      <w:r>
        <w:rPr>
          <w:spacing w:val="-4"/>
        </w:rPr>
        <w:t xml:space="preserve"> </w:t>
      </w:r>
      <w:r>
        <w:t>auditor</w:t>
      </w:r>
      <w:r>
        <w:rPr>
          <w:spacing w:val="-6"/>
        </w:rPr>
        <w:t xml:space="preserve"> </w:t>
      </w:r>
      <w:r>
        <w:t>review</w:t>
      </w:r>
      <w:r>
        <w:rPr>
          <w:spacing w:val="-5"/>
        </w:rPr>
        <w:t xml:space="preserve"> </w:t>
      </w:r>
      <w:r>
        <w:t>increases</w:t>
      </w:r>
      <w:r>
        <w:rPr>
          <w:spacing w:val="-4"/>
        </w:rPr>
        <w:t xml:space="preserve"> </w:t>
      </w:r>
      <w:r>
        <w:t>as specialist’s objectivity decreases.</w:t>
      </w:r>
    </w:p>
    <w:p w14:paraId="0DFDACF7" w14:textId="77777777" w:rsidR="00046465" w:rsidRDefault="008134EB">
      <w:pPr>
        <w:pStyle w:val="ListParagraph"/>
        <w:numPr>
          <w:ilvl w:val="1"/>
          <w:numId w:val="219"/>
        </w:numPr>
        <w:tabs>
          <w:tab w:val="left" w:pos="2159"/>
        </w:tabs>
        <w:spacing w:before="119"/>
        <w:ind w:left="2159" w:right="720"/>
      </w:pPr>
      <w:r>
        <w:t xml:space="preserve">The </w:t>
      </w:r>
      <w:r>
        <w:rPr>
          <w:b/>
        </w:rPr>
        <w:t xml:space="preserve">specialist’s qualifications </w:t>
      </w:r>
      <w:r>
        <w:t>(both for the specialist’s firm and its engagement</w:t>
      </w:r>
      <w:r>
        <w:rPr>
          <w:spacing w:val="-3"/>
        </w:rPr>
        <w:t xml:space="preserve"> </w:t>
      </w:r>
      <w:r>
        <w:t>team)</w:t>
      </w:r>
      <w:r>
        <w:rPr>
          <w:spacing w:val="-3"/>
        </w:rPr>
        <w:t xml:space="preserve"> </w:t>
      </w:r>
      <w:r>
        <w:t>to</w:t>
      </w:r>
      <w:r>
        <w:rPr>
          <w:spacing w:val="-3"/>
        </w:rPr>
        <w:t xml:space="preserve"> </w:t>
      </w:r>
      <w:r>
        <w:t>perform</w:t>
      </w:r>
      <w:r>
        <w:rPr>
          <w:spacing w:val="-4"/>
        </w:rPr>
        <w:t xml:space="preserve"> </w:t>
      </w:r>
      <w:r>
        <w:t>the</w:t>
      </w:r>
      <w:r>
        <w:rPr>
          <w:spacing w:val="-3"/>
        </w:rPr>
        <w:t xml:space="preserve"> </w:t>
      </w:r>
      <w:r>
        <w:t>work</w:t>
      </w:r>
      <w:r>
        <w:rPr>
          <w:spacing w:val="-3"/>
        </w:rPr>
        <w:t xml:space="preserve"> </w:t>
      </w:r>
      <w:r>
        <w:t>the</w:t>
      </w:r>
      <w:r>
        <w:rPr>
          <w:spacing w:val="-3"/>
        </w:rPr>
        <w:t xml:space="preserve"> </w:t>
      </w:r>
      <w:r>
        <w:t>auditor</w:t>
      </w:r>
      <w:r>
        <w:rPr>
          <w:spacing w:val="-3"/>
        </w:rPr>
        <w:t xml:space="preserve"> </w:t>
      </w:r>
      <w:r>
        <w:t>wishes</w:t>
      </w:r>
      <w:r>
        <w:rPr>
          <w:spacing w:val="-3"/>
        </w:rPr>
        <w:t xml:space="preserve"> </w:t>
      </w:r>
      <w:r>
        <w:t>to</w:t>
      </w:r>
      <w:r>
        <w:rPr>
          <w:spacing w:val="-4"/>
        </w:rPr>
        <w:t xml:space="preserve"> </w:t>
      </w:r>
      <w:r>
        <w:t>use.</w:t>
      </w:r>
      <w:r>
        <w:rPr>
          <w:spacing w:val="-2"/>
        </w:rPr>
        <w:t xml:space="preserve"> </w:t>
      </w:r>
      <w:r>
        <w:t>The</w:t>
      </w:r>
      <w:r>
        <w:rPr>
          <w:spacing w:val="-3"/>
        </w:rPr>
        <w:t xml:space="preserve"> </w:t>
      </w:r>
      <w:r>
        <w:t>level</w:t>
      </w:r>
      <w:r>
        <w:rPr>
          <w:spacing w:val="-3"/>
        </w:rPr>
        <w:t xml:space="preserve"> </w:t>
      </w:r>
      <w:r>
        <w:t>of auditor review increases as the specialist’s qualifications decrease.</w:t>
      </w:r>
    </w:p>
    <w:p w14:paraId="0DFDACF8" w14:textId="77777777" w:rsidR="00046465" w:rsidRDefault="008134EB">
      <w:pPr>
        <w:pStyle w:val="ListParagraph"/>
        <w:numPr>
          <w:ilvl w:val="1"/>
          <w:numId w:val="219"/>
        </w:numPr>
        <w:tabs>
          <w:tab w:val="left" w:pos="2159"/>
        </w:tabs>
        <w:spacing w:before="121"/>
        <w:ind w:left="2159" w:right="832"/>
      </w:pPr>
      <w:r>
        <w:t xml:space="preserve">The </w:t>
      </w:r>
      <w:r>
        <w:rPr>
          <w:b/>
        </w:rPr>
        <w:t xml:space="preserve">auditor’s prior experience </w:t>
      </w:r>
      <w:r>
        <w:t>with the specialist. The level of auditor review</w:t>
      </w:r>
      <w:r>
        <w:rPr>
          <w:spacing w:val="-5"/>
        </w:rPr>
        <w:t xml:space="preserve"> </w:t>
      </w:r>
      <w:r>
        <w:t>tends</w:t>
      </w:r>
      <w:r>
        <w:rPr>
          <w:spacing w:val="-4"/>
        </w:rPr>
        <w:t xml:space="preserve"> </w:t>
      </w:r>
      <w:r>
        <w:t>to</w:t>
      </w:r>
      <w:r>
        <w:rPr>
          <w:spacing w:val="-4"/>
        </w:rPr>
        <w:t xml:space="preserve"> </w:t>
      </w:r>
      <w:r>
        <w:t>decrease</w:t>
      </w:r>
      <w:r>
        <w:rPr>
          <w:spacing w:val="-4"/>
        </w:rPr>
        <w:t xml:space="preserve"> </w:t>
      </w:r>
      <w:r>
        <w:t>as</w:t>
      </w:r>
      <w:r>
        <w:rPr>
          <w:spacing w:val="-4"/>
        </w:rPr>
        <w:t xml:space="preserve"> </w:t>
      </w:r>
      <w:r>
        <w:t>the</w:t>
      </w:r>
      <w:r>
        <w:rPr>
          <w:spacing w:val="-4"/>
        </w:rPr>
        <w:t xml:space="preserve"> </w:t>
      </w:r>
      <w:r>
        <w:t>auditor’s</w:t>
      </w:r>
      <w:r>
        <w:rPr>
          <w:spacing w:val="-4"/>
        </w:rPr>
        <w:t xml:space="preserve"> </w:t>
      </w:r>
      <w:r>
        <w:t>confidence</w:t>
      </w:r>
      <w:r>
        <w:rPr>
          <w:spacing w:val="-4"/>
        </w:rPr>
        <w:t xml:space="preserve"> </w:t>
      </w:r>
      <w:r>
        <w:t>increases</w:t>
      </w:r>
      <w:r>
        <w:rPr>
          <w:spacing w:val="-4"/>
        </w:rPr>
        <w:t xml:space="preserve"> </w:t>
      </w:r>
      <w:r>
        <w:t>from</w:t>
      </w:r>
      <w:r>
        <w:rPr>
          <w:spacing w:val="-5"/>
        </w:rPr>
        <w:t xml:space="preserve"> </w:t>
      </w:r>
      <w:r>
        <w:t>working with the specialist.</w:t>
      </w:r>
    </w:p>
    <w:p w14:paraId="0DFDACF9" w14:textId="77777777" w:rsidR="00046465" w:rsidRDefault="008134EB">
      <w:pPr>
        <w:pStyle w:val="ListParagraph"/>
        <w:numPr>
          <w:ilvl w:val="1"/>
          <w:numId w:val="219"/>
        </w:numPr>
        <w:tabs>
          <w:tab w:val="left" w:pos="2159"/>
        </w:tabs>
        <w:spacing w:before="119"/>
        <w:ind w:left="2159" w:right="819"/>
      </w:pPr>
      <w:r>
        <w:t xml:space="preserve">The </w:t>
      </w:r>
      <w:r>
        <w:rPr>
          <w:b/>
        </w:rPr>
        <w:t xml:space="preserve">materiality of the line item </w:t>
      </w:r>
      <w:r>
        <w:t>in relation to the financial statements as a whole.</w:t>
      </w:r>
      <w:r>
        <w:rPr>
          <w:spacing w:val="-3"/>
        </w:rPr>
        <w:t xml:space="preserve"> </w:t>
      </w:r>
      <w:r>
        <w:t>The</w:t>
      </w:r>
      <w:r>
        <w:rPr>
          <w:spacing w:val="-3"/>
        </w:rPr>
        <w:t xml:space="preserve"> </w:t>
      </w:r>
      <w:r>
        <w:t>level</w:t>
      </w:r>
      <w:r>
        <w:rPr>
          <w:spacing w:val="-3"/>
        </w:rPr>
        <w:t xml:space="preserve"> </w:t>
      </w:r>
      <w:r>
        <w:t>of</w:t>
      </w:r>
      <w:r>
        <w:rPr>
          <w:spacing w:val="-3"/>
        </w:rPr>
        <w:t xml:space="preserve"> </w:t>
      </w:r>
      <w:r>
        <w:t>auditor</w:t>
      </w:r>
      <w:r>
        <w:rPr>
          <w:spacing w:val="-3"/>
        </w:rPr>
        <w:t xml:space="preserve"> </w:t>
      </w:r>
      <w:r>
        <w:t>review</w:t>
      </w:r>
      <w:r>
        <w:rPr>
          <w:spacing w:val="-4"/>
        </w:rPr>
        <w:t xml:space="preserve"> </w:t>
      </w:r>
      <w:r>
        <w:t>increases</w:t>
      </w:r>
      <w:r>
        <w:rPr>
          <w:spacing w:val="-3"/>
        </w:rPr>
        <w:t xml:space="preserve"> </w:t>
      </w:r>
      <w:r>
        <w:t>as</w:t>
      </w:r>
      <w:r>
        <w:rPr>
          <w:spacing w:val="-3"/>
        </w:rPr>
        <w:t xml:space="preserve"> </w:t>
      </w:r>
      <w:r>
        <w:t>the</w:t>
      </w:r>
      <w:r>
        <w:rPr>
          <w:spacing w:val="-3"/>
        </w:rPr>
        <w:t xml:space="preserve"> </w:t>
      </w:r>
      <w:r>
        <w:t>line</w:t>
      </w:r>
      <w:r>
        <w:rPr>
          <w:spacing w:val="-3"/>
        </w:rPr>
        <w:t xml:space="preserve"> </w:t>
      </w:r>
      <w:r>
        <w:t>item</w:t>
      </w:r>
      <w:r>
        <w:rPr>
          <w:spacing w:val="-5"/>
        </w:rPr>
        <w:t xml:space="preserve"> </w:t>
      </w:r>
      <w:r>
        <w:t>value</w:t>
      </w:r>
      <w:r>
        <w:rPr>
          <w:spacing w:val="-3"/>
        </w:rPr>
        <w:t xml:space="preserve"> </w:t>
      </w:r>
      <w:r>
        <w:t>increases.</w:t>
      </w:r>
    </w:p>
    <w:p w14:paraId="0DFDACFA" w14:textId="77777777" w:rsidR="00046465" w:rsidRDefault="008134EB">
      <w:pPr>
        <w:pStyle w:val="ListParagraph"/>
        <w:numPr>
          <w:ilvl w:val="1"/>
          <w:numId w:val="219"/>
        </w:numPr>
        <w:tabs>
          <w:tab w:val="left" w:pos="2159"/>
        </w:tabs>
        <w:ind w:left="2159" w:right="845"/>
      </w:pPr>
      <w:r>
        <w:t xml:space="preserve">The </w:t>
      </w:r>
      <w:r>
        <w:rPr>
          <w:b/>
        </w:rPr>
        <w:t>risk of material misstatement</w:t>
      </w:r>
      <w:r>
        <w:t>, including the risk of material fraud for the</w:t>
      </w:r>
      <w:r>
        <w:rPr>
          <w:spacing w:val="-4"/>
        </w:rPr>
        <w:t xml:space="preserve"> </w:t>
      </w:r>
      <w:r>
        <w:t>line</w:t>
      </w:r>
      <w:r>
        <w:rPr>
          <w:spacing w:val="-4"/>
        </w:rPr>
        <w:t xml:space="preserve"> </w:t>
      </w:r>
      <w:r>
        <w:t>item</w:t>
      </w:r>
      <w:r>
        <w:rPr>
          <w:spacing w:val="-6"/>
        </w:rPr>
        <w:t xml:space="preserve"> </w:t>
      </w:r>
      <w:r>
        <w:t>and</w:t>
      </w:r>
      <w:r>
        <w:rPr>
          <w:spacing w:val="-4"/>
        </w:rPr>
        <w:t xml:space="preserve"> </w:t>
      </w:r>
      <w:r>
        <w:t>assertion</w:t>
      </w:r>
      <w:r>
        <w:rPr>
          <w:spacing w:val="-4"/>
        </w:rPr>
        <w:t xml:space="preserve"> </w:t>
      </w:r>
      <w:r>
        <w:t>in</w:t>
      </w:r>
      <w:r>
        <w:rPr>
          <w:spacing w:val="-4"/>
        </w:rPr>
        <w:t xml:space="preserve"> </w:t>
      </w:r>
      <w:r>
        <w:t>the</w:t>
      </w:r>
      <w:r>
        <w:rPr>
          <w:spacing w:val="-4"/>
        </w:rPr>
        <w:t xml:space="preserve"> </w:t>
      </w:r>
      <w:r>
        <w:t>financial</w:t>
      </w:r>
      <w:r>
        <w:rPr>
          <w:spacing w:val="-4"/>
        </w:rPr>
        <w:t xml:space="preserve"> </w:t>
      </w:r>
      <w:r>
        <w:t>statements</w:t>
      </w:r>
      <w:r>
        <w:rPr>
          <w:spacing w:val="-4"/>
        </w:rPr>
        <w:t xml:space="preserve"> </w:t>
      </w:r>
      <w:r>
        <w:t>on</w:t>
      </w:r>
      <w:r>
        <w:rPr>
          <w:spacing w:val="-4"/>
        </w:rPr>
        <w:t xml:space="preserve"> </w:t>
      </w:r>
      <w:r>
        <w:t>which</w:t>
      </w:r>
      <w:r>
        <w:rPr>
          <w:spacing w:val="-4"/>
        </w:rPr>
        <w:t xml:space="preserve"> </w:t>
      </w:r>
      <w:r>
        <w:t>the</w:t>
      </w:r>
      <w:r>
        <w:rPr>
          <w:spacing w:val="-4"/>
        </w:rPr>
        <w:t xml:space="preserve"> </w:t>
      </w:r>
      <w:r>
        <w:t>specialist is</w:t>
      </w:r>
      <w:r>
        <w:rPr>
          <w:spacing w:val="-4"/>
        </w:rPr>
        <w:t xml:space="preserve"> </w:t>
      </w:r>
      <w:r>
        <w:t>performing</w:t>
      </w:r>
      <w:r>
        <w:rPr>
          <w:spacing w:val="-4"/>
        </w:rPr>
        <w:t xml:space="preserve"> </w:t>
      </w:r>
      <w:r>
        <w:t>procedures.</w:t>
      </w:r>
      <w:r>
        <w:rPr>
          <w:spacing w:val="-4"/>
        </w:rPr>
        <w:t xml:space="preserve"> </w:t>
      </w:r>
      <w:r>
        <w:t>The</w:t>
      </w:r>
      <w:r>
        <w:rPr>
          <w:spacing w:val="-4"/>
        </w:rPr>
        <w:t xml:space="preserve"> </w:t>
      </w:r>
      <w:r>
        <w:t>level</w:t>
      </w:r>
      <w:r>
        <w:rPr>
          <w:spacing w:val="-5"/>
        </w:rPr>
        <w:t xml:space="preserve"> </w:t>
      </w:r>
      <w:r>
        <w:t>of</w:t>
      </w:r>
      <w:r>
        <w:rPr>
          <w:spacing w:val="-4"/>
        </w:rPr>
        <w:t xml:space="preserve"> </w:t>
      </w:r>
      <w:r>
        <w:t>auditor</w:t>
      </w:r>
      <w:r>
        <w:rPr>
          <w:spacing w:val="-4"/>
        </w:rPr>
        <w:t xml:space="preserve"> </w:t>
      </w:r>
      <w:r>
        <w:t>review</w:t>
      </w:r>
      <w:r>
        <w:rPr>
          <w:spacing w:val="-5"/>
        </w:rPr>
        <w:t xml:space="preserve"> </w:t>
      </w:r>
      <w:r>
        <w:t>increases</w:t>
      </w:r>
      <w:r>
        <w:rPr>
          <w:spacing w:val="-4"/>
        </w:rPr>
        <w:t xml:space="preserve"> </w:t>
      </w:r>
      <w:r>
        <w:t>as</w:t>
      </w:r>
      <w:r>
        <w:rPr>
          <w:spacing w:val="-4"/>
        </w:rPr>
        <w:t xml:space="preserve"> </w:t>
      </w:r>
      <w:r>
        <w:t>the</w:t>
      </w:r>
      <w:r>
        <w:rPr>
          <w:spacing w:val="-4"/>
        </w:rPr>
        <w:t xml:space="preserve"> </w:t>
      </w:r>
      <w:r>
        <w:t>risk</w:t>
      </w:r>
      <w:r>
        <w:rPr>
          <w:spacing w:val="-4"/>
        </w:rPr>
        <w:t xml:space="preserve"> </w:t>
      </w:r>
      <w:r>
        <w:t>of material misstatement increases.</w:t>
      </w:r>
    </w:p>
    <w:p w14:paraId="0DFDACFB" w14:textId="77777777" w:rsidR="00046465" w:rsidRDefault="008134EB">
      <w:pPr>
        <w:pStyle w:val="ListParagraph"/>
        <w:numPr>
          <w:ilvl w:val="1"/>
          <w:numId w:val="219"/>
        </w:numPr>
        <w:tabs>
          <w:tab w:val="left" w:pos="2159"/>
        </w:tabs>
        <w:ind w:left="2159" w:right="918"/>
      </w:pPr>
      <w:r>
        <w:t>The</w:t>
      </w:r>
      <w:r>
        <w:rPr>
          <w:spacing w:val="-4"/>
        </w:rPr>
        <w:t xml:space="preserve"> </w:t>
      </w:r>
      <w:r>
        <w:t>specialist</w:t>
      </w:r>
      <w:r>
        <w:rPr>
          <w:spacing w:val="-4"/>
        </w:rPr>
        <w:t xml:space="preserve"> </w:t>
      </w:r>
      <w:r>
        <w:t>is</w:t>
      </w:r>
      <w:r>
        <w:rPr>
          <w:spacing w:val="-4"/>
        </w:rPr>
        <w:t xml:space="preserve"> </w:t>
      </w:r>
      <w:r>
        <w:t>an</w:t>
      </w:r>
      <w:r>
        <w:rPr>
          <w:spacing w:val="-4"/>
        </w:rPr>
        <w:t xml:space="preserve"> </w:t>
      </w:r>
      <w:r>
        <w:rPr>
          <w:b/>
        </w:rPr>
        <w:t>internal</w:t>
      </w:r>
      <w:r>
        <w:rPr>
          <w:b/>
          <w:spacing w:val="-4"/>
        </w:rPr>
        <w:t xml:space="preserve"> </w:t>
      </w:r>
      <w:r>
        <w:rPr>
          <w:b/>
        </w:rPr>
        <w:t>specialist</w:t>
      </w:r>
      <w:r>
        <w:t>.</w:t>
      </w:r>
      <w:r>
        <w:rPr>
          <w:spacing w:val="-4"/>
        </w:rPr>
        <w:t xml:space="preserve"> </w:t>
      </w:r>
      <w:r>
        <w:t>The</w:t>
      </w:r>
      <w:r>
        <w:rPr>
          <w:spacing w:val="-4"/>
        </w:rPr>
        <w:t xml:space="preserve"> </w:t>
      </w:r>
      <w:r>
        <w:t>level</w:t>
      </w:r>
      <w:r>
        <w:rPr>
          <w:spacing w:val="-4"/>
        </w:rPr>
        <w:t xml:space="preserve"> </w:t>
      </w:r>
      <w:r>
        <w:t>of</w:t>
      </w:r>
      <w:r>
        <w:rPr>
          <w:spacing w:val="-4"/>
        </w:rPr>
        <w:t xml:space="preserve"> </w:t>
      </w:r>
      <w:r>
        <w:t>review</w:t>
      </w:r>
      <w:r>
        <w:rPr>
          <w:spacing w:val="-5"/>
        </w:rPr>
        <w:t xml:space="preserve"> </w:t>
      </w:r>
      <w:r>
        <w:t>decreases</w:t>
      </w:r>
      <w:r>
        <w:rPr>
          <w:spacing w:val="-4"/>
        </w:rPr>
        <w:t xml:space="preserve"> </w:t>
      </w:r>
      <w:r>
        <w:t>if</w:t>
      </w:r>
      <w:r>
        <w:rPr>
          <w:spacing w:val="-4"/>
        </w:rPr>
        <w:t xml:space="preserve"> </w:t>
      </w:r>
      <w:r>
        <w:t>the work the auditor wishes to use is subject to the auditor’s quality control policies and procedures.</w:t>
      </w:r>
    </w:p>
    <w:p w14:paraId="0DFDACFC" w14:textId="77777777" w:rsidR="00046465" w:rsidRDefault="008134EB">
      <w:pPr>
        <w:pStyle w:val="BodyText"/>
        <w:spacing w:before="120"/>
        <w:ind w:left="1799" w:right="749"/>
      </w:pPr>
      <w:r>
        <w:t>The auditor may need to reevaluate the planned level of review as the work progresses.</w:t>
      </w:r>
      <w:r>
        <w:rPr>
          <w:spacing w:val="-4"/>
        </w:rPr>
        <w:t xml:space="preserve"> </w:t>
      </w:r>
      <w:r>
        <w:t>If</w:t>
      </w:r>
      <w:r>
        <w:rPr>
          <w:spacing w:val="-3"/>
        </w:rPr>
        <w:t xml:space="preserve"> </w:t>
      </w:r>
      <w:r>
        <w:t>serving</w:t>
      </w:r>
      <w:r>
        <w:rPr>
          <w:spacing w:val="-3"/>
        </w:rPr>
        <w:t xml:space="preserve"> </w:t>
      </w:r>
      <w:r>
        <w:t>as</w:t>
      </w:r>
      <w:r>
        <w:rPr>
          <w:spacing w:val="-4"/>
        </w:rPr>
        <w:t xml:space="preserve"> </w:t>
      </w:r>
      <w:r>
        <w:t>the</w:t>
      </w:r>
      <w:r>
        <w:rPr>
          <w:spacing w:val="-3"/>
        </w:rPr>
        <w:t xml:space="preserve"> </w:t>
      </w:r>
      <w:r>
        <w:t>COR,</w:t>
      </w:r>
      <w:r>
        <w:rPr>
          <w:spacing w:val="-3"/>
        </w:rPr>
        <w:t xml:space="preserve"> </w:t>
      </w:r>
      <w:r>
        <w:t>the</w:t>
      </w:r>
      <w:r>
        <w:rPr>
          <w:spacing w:val="-3"/>
        </w:rPr>
        <w:t xml:space="preserve"> </w:t>
      </w:r>
      <w:r>
        <w:t>auditor</w:t>
      </w:r>
      <w:r>
        <w:rPr>
          <w:spacing w:val="-3"/>
        </w:rPr>
        <w:t xml:space="preserve"> </w:t>
      </w:r>
      <w:r>
        <w:t>will</w:t>
      </w:r>
      <w:r>
        <w:rPr>
          <w:spacing w:val="-4"/>
        </w:rPr>
        <w:t xml:space="preserve"> </w:t>
      </w:r>
      <w:r>
        <w:t>assist</w:t>
      </w:r>
      <w:r>
        <w:rPr>
          <w:spacing w:val="-4"/>
        </w:rPr>
        <w:t xml:space="preserve"> </w:t>
      </w:r>
      <w:r>
        <w:t>the</w:t>
      </w:r>
      <w:r>
        <w:rPr>
          <w:spacing w:val="-3"/>
        </w:rPr>
        <w:t xml:space="preserve"> </w:t>
      </w:r>
      <w:r>
        <w:t>contracting</w:t>
      </w:r>
      <w:r>
        <w:rPr>
          <w:spacing w:val="-3"/>
        </w:rPr>
        <w:t xml:space="preserve"> </w:t>
      </w:r>
      <w:r>
        <w:t>officer</w:t>
      </w:r>
      <w:r>
        <w:rPr>
          <w:spacing w:val="-3"/>
        </w:rPr>
        <w:t xml:space="preserve"> </w:t>
      </w:r>
      <w:r>
        <w:t>to ensure contractor compliance with the terms and conditions of the contract.</w:t>
      </w:r>
    </w:p>
    <w:p w14:paraId="0DFDACFD" w14:textId="77777777" w:rsidR="00046465" w:rsidRDefault="008134EB">
      <w:pPr>
        <w:pStyle w:val="ListParagraph"/>
        <w:numPr>
          <w:ilvl w:val="0"/>
          <w:numId w:val="219"/>
        </w:numPr>
        <w:tabs>
          <w:tab w:val="left" w:pos="1799"/>
        </w:tabs>
        <w:ind w:left="1799" w:right="911"/>
      </w:pPr>
      <w:r>
        <w:t>It is not necessary to perform supplemental tests of the work of specialists. As indicated</w:t>
      </w:r>
      <w:r>
        <w:rPr>
          <w:spacing w:val="-4"/>
        </w:rPr>
        <w:t xml:space="preserve"> </w:t>
      </w:r>
      <w:r>
        <w:t>in</w:t>
      </w:r>
      <w:r>
        <w:rPr>
          <w:spacing w:val="-5"/>
        </w:rPr>
        <w:t xml:space="preserve"> </w:t>
      </w:r>
      <w:r>
        <w:t>AU-C</w:t>
      </w:r>
      <w:r>
        <w:rPr>
          <w:spacing w:val="-5"/>
        </w:rPr>
        <w:t xml:space="preserve"> </w:t>
      </w:r>
      <w:r>
        <w:t>620.12,</w:t>
      </w:r>
      <w:r>
        <w:rPr>
          <w:spacing w:val="-4"/>
        </w:rPr>
        <w:t xml:space="preserve"> </w:t>
      </w:r>
      <w:r>
        <w:t>the</w:t>
      </w:r>
      <w:r>
        <w:rPr>
          <w:spacing w:val="-4"/>
        </w:rPr>
        <w:t xml:space="preserve"> </w:t>
      </w:r>
      <w:r>
        <w:t>auditor</w:t>
      </w:r>
      <w:r>
        <w:rPr>
          <w:spacing w:val="-4"/>
        </w:rPr>
        <w:t xml:space="preserve"> </w:t>
      </w:r>
      <w:r>
        <w:t>should</w:t>
      </w:r>
      <w:r>
        <w:rPr>
          <w:spacing w:val="-4"/>
        </w:rPr>
        <w:t xml:space="preserve"> </w:t>
      </w:r>
      <w:r>
        <w:t>evaluate</w:t>
      </w:r>
      <w:r>
        <w:rPr>
          <w:spacing w:val="-4"/>
        </w:rPr>
        <w:t xml:space="preserve"> </w:t>
      </w:r>
      <w:r>
        <w:t>the</w:t>
      </w:r>
      <w:r>
        <w:rPr>
          <w:spacing w:val="-4"/>
        </w:rPr>
        <w:t xml:space="preserve"> </w:t>
      </w:r>
      <w:r>
        <w:t>adequacy</w:t>
      </w:r>
      <w:r>
        <w:rPr>
          <w:spacing w:val="-4"/>
        </w:rPr>
        <w:t xml:space="preserve"> </w:t>
      </w:r>
      <w:r>
        <w:t>of</w:t>
      </w:r>
      <w:r>
        <w:rPr>
          <w:spacing w:val="-4"/>
        </w:rPr>
        <w:t xml:space="preserve"> </w:t>
      </w:r>
      <w:r>
        <w:t>the</w:t>
      </w:r>
      <w:r>
        <w:rPr>
          <w:spacing w:val="-4"/>
        </w:rPr>
        <w:t xml:space="preserve"> </w:t>
      </w:r>
      <w:r>
        <w:t>work of an auditor’s specialist for the auditor’s purposes, including</w:t>
      </w:r>
    </w:p>
    <w:p w14:paraId="0DFDACFE" w14:textId="77777777" w:rsidR="00046465" w:rsidRDefault="008134EB">
      <w:pPr>
        <w:pStyle w:val="ListParagraph"/>
        <w:numPr>
          <w:ilvl w:val="1"/>
          <w:numId w:val="219"/>
        </w:numPr>
        <w:tabs>
          <w:tab w:val="left" w:pos="2159"/>
        </w:tabs>
        <w:ind w:left="2159" w:right="866"/>
      </w:pPr>
      <w:r>
        <w:t>evaluating</w:t>
      </w:r>
      <w:r>
        <w:rPr>
          <w:spacing w:val="-4"/>
        </w:rPr>
        <w:t xml:space="preserve"> </w:t>
      </w:r>
      <w:r>
        <w:t>the</w:t>
      </w:r>
      <w:r>
        <w:rPr>
          <w:spacing w:val="-4"/>
        </w:rPr>
        <w:t xml:space="preserve"> </w:t>
      </w:r>
      <w:r>
        <w:t>relevance</w:t>
      </w:r>
      <w:r>
        <w:rPr>
          <w:spacing w:val="-4"/>
        </w:rPr>
        <w:t xml:space="preserve"> </w:t>
      </w:r>
      <w:r>
        <w:t>and</w:t>
      </w:r>
      <w:r>
        <w:rPr>
          <w:spacing w:val="-4"/>
        </w:rPr>
        <w:t xml:space="preserve"> </w:t>
      </w:r>
      <w:r>
        <w:t>reasonableness</w:t>
      </w:r>
      <w:r>
        <w:rPr>
          <w:spacing w:val="-4"/>
        </w:rPr>
        <w:t xml:space="preserve"> </w:t>
      </w:r>
      <w:r>
        <w:t>of</w:t>
      </w:r>
      <w:r>
        <w:rPr>
          <w:spacing w:val="-4"/>
        </w:rPr>
        <w:t xml:space="preserve"> </w:t>
      </w:r>
      <w:r>
        <w:t>the</w:t>
      </w:r>
      <w:r>
        <w:rPr>
          <w:spacing w:val="-4"/>
        </w:rPr>
        <w:t xml:space="preserve"> </w:t>
      </w:r>
      <w:r>
        <w:t>specialist’s</w:t>
      </w:r>
      <w:r>
        <w:rPr>
          <w:spacing w:val="-4"/>
        </w:rPr>
        <w:t xml:space="preserve"> </w:t>
      </w:r>
      <w:r>
        <w:t>findings</w:t>
      </w:r>
      <w:r>
        <w:rPr>
          <w:spacing w:val="-5"/>
        </w:rPr>
        <w:t xml:space="preserve"> </w:t>
      </w:r>
      <w:r>
        <w:t>and conclusions and consistency with other audit evidence (see FAM 620.30);</w:t>
      </w:r>
    </w:p>
    <w:p w14:paraId="0DFDACFF" w14:textId="77777777" w:rsidR="00046465" w:rsidRDefault="008134EB">
      <w:pPr>
        <w:pStyle w:val="ListParagraph"/>
        <w:numPr>
          <w:ilvl w:val="1"/>
          <w:numId w:val="219"/>
        </w:numPr>
        <w:tabs>
          <w:tab w:val="left" w:pos="2159"/>
        </w:tabs>
        <w:ind w:left="2159" w:right="916"/>
      </w:pPr>
      <w:r>
        <w:t>obtaining</w:t>
      </w:r>
      <w:r>
        <w:rPr>
          <w:spacing w:val="-5"/>
        </w:rPr>
        <w:t xml:space="preserve"> </w:t>
      </w:r>
      <w:r>
        <w:t>an</w:t>
      </w:r>
      <w:r>
        <w:rPr>
          <w:spacing w:val="-6"/>
        </w:rPr>
        <w:t xml:space="preserve"> </w:t>
      </w:r>
      <w:r>
        <w:t>understanding</w:t>
      </w:r>
      <w:r>
        <w:rPr>
          <w:spacing w:val="-5"/>
        </w:rPr>
        <w:t xml:space="preserve"> </w:t>
      </w:r>
      <w:r>
        <w:t>of</w:t>
      </w:r>
      <w:r>
        <w:rPr>
          <w:spacing w:val="-5"/>
        </w:rPr>
        <w:t xml:space="preserve"> </w:t>
      </w:r>
      <w:r>
        <w:t>the</w:t>
      </w:r>
      <w:r>
        <w:rPr>
          <w:spacing w:val="-5"/>
        </w:rPr>
        <w:t xml:space="preserve"> </w:t>
      </w:r>
      <w:r>
        <w:t>significant</w:t>
      </w:r>
      <w:r>
        <w:rPr>
          <w:spacing w:val="-5"/>
        </w:rPr>
        <w:t xml:space="preserve"> </w:t>
      </w:r>
      <w:r>
        <w:t>assumptions</w:t>
      </w:r>
      <w:r>
        <w:rPr>
          <w:spacing w:val="-5"/>
        </w:rPr>
        <w:t xml:space="preserve"> </w:t>
      </w:r>
      <w:r>
        <w:t>and</w:t>
      </w:r>
      <w:r>
        <w:rPr>
          <w:spacing w:val="-5"/>
        </w:rPr>
        <w:t xml:space="preserve"> </w:t>
      </w:r>
      <w:r>
        <w:t>methods</w:t>
      </w:r>
      <w:r>
        <w:rPr>
          <w:spacing w:val="-5"/>
        </w:rPr>
        <w:t xml:space="preserve"> </w:t>
      </w:r>
      <w:r>
        <w:t>that the specialist used and evaluating the relevance and reasonableness of</w:t>
      </w:r>
    </w:p>
    <w:p w14:paraId="0DFDAD00" w14:textId="77777777" w:rsidR="00046465" w:rsidRDefault="00046465">
      <w:pPr>
        <w:pStyle w:val="ListParagraph"/>
        <w:sectPr w:rsidR="00046465">
          <w:pgSz w:w="12240" w:h="15840"/>
          <w:pgMar w:top="1340" w:right="720" w:bottom="940" w:left="1080" w:header="721" w:footer="757" w:gutter="0"/>
          <w:cols w:space="720"/>
        </w:sectPr>
      </w:pPr>
    </w:p>
    <w:p w14:paraId="0DFDAD01" w14:textId="77777777" w:rsidR="00046465" w:rsidRDefault="008134EB">
      <w:pPr>
        <w:pStyle w:val="BodyText"/>
        <w:spacing w:before="121"/>
        <w:ind w:left="2160" w:right="726"/>
      </w:pPr>
      <w:r>
        <w:lastRenderedPageBreak/>
        <w:t>those</w:t>
      </w:r>
      <w:r>
        <w:rPr>
          <w:spacing w:val="-5"/>
        </w:rPr>
        <w:t xml:space="preserve"> </w:t>
      </w:r>
      <w:r>
        <w:t>assumptions</w:t>
      </w:r>
      <w:r>
        <w:rPr>
          <w:spacing w:val="-5"/>
        </w:rPr>
        <w:t xml:space="preserve"> </w:t>
      </w:r>
      <w:r>
        <w:t>and</w:t>
      </w:r>
      <w:r>
        <w:rPr>
          <w:spacing w:val="-5"/>
        </w:rPr>
        <w:t xml:space="preserve"> </w:t>
      </w:r>
      <w:r>
        <w:t>methods</w:t>
      </w:r>
      <w:r>
        <w:rPr>
          <w:spacing w:val="-5"/>
        </w:rPr>
        <w:t xml:space="preserve"> </w:t>
      </w:r>
      <w:r>
        <w:t>in</w:t>
      </w:r>
      <w:r>
        <w:rPr>
          <w:spacing w:val="-5"/>
        </w:rPr>
        <w:t xml:space="preserve"> </w:t>
      </w:r>
      <w:r>
        <w:t>the</w:t>
      </w:r>
      <w:r>
        <w:rPr>
          <w:spacing w:val="-5"/>
        </w:rPr>
        <w:t xml:space="preserve"> </w:t>
      </w:r>
      <w:r>
        <w:t>circumstances,</w:t>
      </w:r>
      <w:r>
        <w:rPr>
          <w:spacing w:val="-5"/>
        </w:rPr>
        <w:t xml:space="preserve"> </w:t>
      </w:r>
      <w:r>
        <w:t>giving</w:t>
      </w:r>
      <w:r>
        <w:rPr>
          <w:spacing w:val="-5"/>
        </w:rPr>
        <w:t xml:space="preserve"> </w:t>
      </w:r>
      <w:r>
        <w:t>consideration</w:t>
      </w:r>
      <w:r>
        <w:rPr>
          <w:spacing w:val="-5"/>
        </w:rPr>
        <w:t xml:space="preserve"> </w:t>
      </w:r>
      <w:r>
        <w:t>to the rationale and support provided by the specialist and in relation to the auditor’s other findings and conclusions (see FAM 620.31 through .33); and</w:t>
      </w:r>
    </w:p>
    <w:p w14:paraId="0DFDAD02" w14:textId="77777777" w:rsidR="00046465" w:rsidRDefault="008134EB">
      <w:pPr>
        <w:pStyle w:val="ListParagraph"/>
        <w:numPr>
          <w:ilvl w:val="1"/>
          <w:numId w:val="219"/>
        </w:numPr>
        <w:tabs>
          <w:tab w:val="left" w:pos="2159"/>
        </w:tabs>
        <w:spacing w:before="119"/>
        <w:ind w:left="2159" w:right="720"/>
      </w:pPr>
      <w:r>
        <w:t>evaluating</w:t>
      </w:r>
      <w:r>
        <w:rPr>
          <w:spacing w:val="-4"/>
        </w:rPr>
        <w:t xml:space="preserve"> </w:t>
      </w:r>
      <w:r>
        <w:t>the</w:t>
      </w:r>
      <w:r>
        <w:rPr>
          <w:spacing w:val="-4"/>
        </w:rPr>
        <w:t xml:space="preserve"> </w:t>
      </w:r>
      <w:r>
        <w:t>relevance,</w:t>
      </w:r>
      <w:r>
        <w:rPr>
          <w:spacing w:val="-4"/>
        </w:rPr>
        <w:t xml:space="preserve"> </w:t>
      </w:r>
      <w:r>
        <w:t>completeness,</w:t>
      </w:r>
      <w:r>
        <w:rPr>
          <w:spacing w:val="-4"/>
        </w:rPr>
        <w:t xml:space="preserve"> </w:t>
      </w:r>
      <w:r>
        <w:t>and</w:t>
      </w:r>
      <w:r>
        <w:rPr>
          <w:spacing w:val="-4"/>
        </w:rPr>
        <w:t xml:space="preserve"> </w:t>
      </w:r>
      <w:r>
        <w:t>accuracy</w:t>
      </w:r>
      <w:r>
        <w:rPr>
          <w:spacing w:val="-4"/>
        </w:rPr>
        <w:t xml:space="preserve"> </w:t>
      </w:r>
      <w:r>
        <w:t>of</w:t>
      </w:r>
      <w:r>
        <w:rPr>
          <w:spacing w:val="-4"/>
        </w:rPr>
        <w:t xml:space="preserve"> </w:t>
      </w:r>
      <w:r>
        <w:t>source</w:t>
      </w:r>
      <w:r>
        <w:rPr>
          <w:spacing w:val="-4"/>
        </w:rPr>
        <w:t xml:space="preserve"> </w:t>
      </w:r>
      <w:r>
        <w:t>data</w:t>
      </w:r>
      <w:r>
        <w:rPr>
          <w:spacing w:val="-4"/>
        </w:rPr>
        <w:t xml:space="preserve"> </w:t>
      </w:r>
      <w:r>
        <w:t>that</w:t>
      </w:r>
      <w:r>
        <w:rPr>
          <w:spacing w:val="-4"/>
        </w:rPr>
        <w:t xml:space="preserve"> </w:t>
      </w:r>
      <w:r>
        <w:t>are significant to the work of the auditor’s specialist (extent of testing is based on risk and materiality) (see FAM 620.34 through .35).</w:t>
      </w:r>
    </w:p>
    <w:p w14:paraId="0DFDAD03" w14:textId="77777777" w:rsidR="00046465" w:rsidRDefault="008134EB">
      <w:pPr>
        <w:pStyle w:val="ListParagraph"/>
        <w:numPr>
          <w:ilvl w:val="0"/>
          <w:numId w:val="219"/>
        </w:numPr>
        <w:tabs>
          <w:tab w:val="left" w:pos="1800"/>
        </w:tabs>
        <w:spacing w:before="121"/>
        <w:ind w:right="983"/>
      </w:pPr>
      <w:r>
        <w:t>Specific procedures to evaluate the adequacy of the work of the auditor’s specialist</w:t>
      </w:r>
      <w:r>
        <w:rPr>
          <w:spacing w:val="-4"/>
        </w:rPr>
        <w:t xml:space="preserve"> </w:t>
      </w:r>
      <w:r>
        <w:t>for</w:t>
      </w:r>
      <w:r>
        <w:rPr>
          <w:spacing w:val="-5"/>
        </w:rPr>
        <w:t xml:space="preserve"> </w:t>
      </w:r>
      <w:r>
        <w:t>the</w:t>
      </w:r>
      <w:r>
        <w:rPr>
          <w:spacing w:val="-4"/>
        </w:rPr>
        <w:t xml:space="preserve"> </w:t>
      </w:r>
      <w:r>
        <w:t>auditor’s</w:t>
      </w:r>
      <w:r>
        <w:rPr>
          <w:spacing w:val="-3"/>
        </w:rPr>
        <w:t xml:space="preserve"> </w:t>
      </w:r>
      <w:r>
        <w:t>purposes</w:t>
      </w:r>
      <w:r>
        <w:rPr>
          <w:spacing w:val="-5"/>
        </w:rPr>
        <w:t xml:space="preserve"> </w:t>
      </w:r>
      <w:r>
        <w:t>may</w:t>
      </w:r>
      <w:r>
        <w:rPr>
          <w:spacing w:val="-4"/>
        </w:rPr>
        <w:t xml:space="preserve"> </w:t>
      </w:r>
      <w:r>
        <w:t>include</w:t>
      </w:r>
      <w:r>
        <w:rPr>
          <w:spacing w:val="-5"/>
        </w:rPr>
        <w:t xml:space="preserve"> </w:t>
      </w:r>
      <w:r>
        <w:t>the</w:t>
      </w:r>
      <w:r>
        <w:rPr>
          <w:spacing w:val="-4"/>
        </w:rPr>
        <w:t xml:space="preserve"> </w:t>
      </w:r>
      <w:r>
        <w:t>following</w:t>
      </w:r>
      <w:r>
        <w:rPr>
          <w:spacing w:val="-4"/>
        </w:rPr>
        <w:t xml:space="preserve"> </w:t>
      </w:r>
      <w:r>
        <w:t>(AU-C</w:t>
      </w:r>
      <w:r>
        <w:rPr>
          <w:spacing w:val="-5"/>
        </w:rPr>
        <w:t xml:space="preserve"> </w:t>
      </w:r>
      <w:r>
        <w:t>620.A36):</w:t>
      </w:r>
    </w:p>
    <w:p w14:paraId="0DFDAD04" w14:textId="77777777" w:rsidR="00046465" w:rsidRDefault="008134EB">
      <w:pPr>
        <w:pStyle w:val="ListParagraph"/>
        <w:numPr>
          <w:ilvl w:val="1"/>
          <w:numId w:val="219"/>
        </w:numPr>
        <w:tabs>
          <w:tab w:val="left" w:pos="2159"/>
        </w:tabs>
        <w:spacing w:before="119"/>
        <w:ind w:left="2159" w:hanging="359"/>
      </w:pPr>
      <w:r>
        <w:t>Making</w:t>
      </w:r>
      <w:r>
        <w:rPr>
          <w:spacing w:val="-7"/>
        </w:rPr>
        <w:t xml:space="preserve"> </w:t>
      </w:r>
      <w:r>
        <w:t>inquiries</w:t>
      </w:r>
      <w:r>
        <w:rPr>
          <w:spacing w:val="-6"/>
        </w:rPr>
        <w:t xml:space="preserve"> </w:t>
      </w:r>
      <w:r>
        <w:t>of</w:t>
      </w:r>
      <w:r>
        <w:rPr>
          <w:spacing w:val="-6"/>
        </w:rPr>
        <w:t xml:space="preserve"> </w:t>
      </w:r>
      <w:r>
        <w:t>the</w:t>
      </w:r>
      <w:r>
        <w:rPr>
          <w:spacing w:val="-6"/>
        </w:rPr>
        <w:t xml:space="preserve"> </w:t>
      </w:r>
      <w:r>
        <w:t>auditor’s</w:t>
      </w:r>
      <w:r>
        <w:rPr>
          <w:spacing w:val="-5"/>
        </w:rPr>
        <w:t xml:space="preserve"> </w:t>
      </w:r>
      <w:r>
        <w:rPr>
          <w:spacing w:val="-2"/>
        </w:rPr>
        <w:t>specialist.</w:t>
      </w:r>
    </w:p>
    <w:p w14:paraId="0DFDAD05" w14:textId="77777777" w:rsidR="00046465" w:rsidRDefault="008134EB">
      <w:pPr>
        <w:pStyle w:val="ListParagraph"/>
        <w:numPr>
          <w:ilvl w:val="1"/>
          <w:numId w:val="219"/>
        </w:numPr>
        <w:tabs>
          <w:tab w:val="left" w:pos="2159"/>
        </w:tabs>
        <w:ind w:left="2159" w:hanging="359"/>
      </w:pPr>
      <w:r>
        <w:t>Reviewing</w:t>
      </w:r>
      <w:r>
        <w:rPr>
          <w:spacing w:val="-7"/>
        </w:rPr>
        <w:t xml:space="preserve"> </w:t>
      </w:r>
      <w:r>
        <w:t>the</w:t>
      </w:r>
      <w:r>
        <w:rPr>
          <w:spacing w:val="-6"/>
        </w:rPr>
        <w:t xml:space="preserve"> </w:t>
      </w:r>
      <w:r>
        <w:t>working</w:t>
      </w:r>
      <w:r>
        <w:rPr>
          <w:spacing w:val="-7"/>
        </w:rPr>
        <w:t xml:space="preserve"> </w:t>
      </w:r>
      <w:r>
        <w:t>papers</w:t>
      </w:r>
      <w:r>
        <w:rPr>
          <w:spacing w:val="-6"/>
        </w:rPr>
        <w:t xml:space="preserve"> </w:t>
      </w:r>
      <w:r>
        <w:t>and</w:t>
      </w:r>
      <w:r>
        <w:rPr>
          <w:spacing w:val="-7"/>
        </w:rPr>
        <w:t xml:space="preserve"> </w:t>
      </w:r>
      <w:r>
        <w:t>reports</w:t>
      </w:r>
      <w:r>
        <w:rPr>
          <w:spacing w:val="-6"/>
        </w:rPr>
        <w:t xml:space="preserve"> </w:t>
      </w:r>
      <w:r>
        <w:t>of</w:t>
      </w:r>
      <w:r>
        <w:rPr>
          <w:spacing w:val="-6"/>
        </w:rPr>
        <w:t xml:space="preserve"> </w:t>
      </w:r>
      <w:r>
        <w:t>the</w:t>
      </w:r>
      <w:r>
        <w:rPr>
          <w:spacing w:val="-7"/>
        </w:rPr>
        <w:t xml:space="preserve"> </w:t>
      </w:r>
      <w:r>
        <w:t>auditor’s</w:t>
      </w:r>
      <w:r>
        <w:rPr>
          <w:spacing w:val="-6"/>
        </w:rPr>
        <w:t xml:space="preserve"> </w:t>
      </w:r>
      <w:r>
        <w:rPr>
          <w:spacing w:val="-2"/>
        </w:rPr>
        <w:t>specialist.</w:t>
      </w:r>
    </w:p>
    <w:p w14:paraId="0DFDAD06" w14:textId="77777777" w:rsidR="00046465" w:rsidRDefault="008134EB">
      <w:pPr>
        <w:pStyle w:val="ListParagraph"/>
        <w:numPr>
          <w:ilvl w:val="1"/>
          <w:numId w:val="219"/>
        </w:numPr>
        <w:tabs>
          <w:tab w:val="left" w:pos="2158"/>
        </w:tabs>
        <w:ind w:left="2158" w:hanging="359"/>
      </w:pPr>
      <w:r>
        <w:t>Performing</w:t>
      </w:r>
      <w:r>
        <w:rPr>
          <w:spacing w:val="-10"/>
        </w:rPr>
        <w:t xml:space="preserve"> </w:t>
      </w:r>
      <w:r>
        <w:t>corroborative</w:t>
      </w:r>
      <w:r>
        <w:rPr>
          <w:spacing w:val="-11"/>
        </w:rPr>
        <w:t xml:space="preserve"> </w:t>
      </w:r>
      <w:r>
        <w:t>procedures,</w:t>
      </w:r>
      <w:r>
        <w:rPr>
          <w:spacing w:val="-11"/>
        </w:rPr>
        <w:t xml:space="preserve"> </w:t>
      </w:r>
      <w:r>
        <w:t>such</w:t>
      </w:r>
      <w:r>
        <w:rPr>
          <w:spacing w:val="-10"/>
        </w:rPr>
        <w:t xml:space="preserve"> </w:t>
      </w:r>
      <w:r>
        <w:rPr>
          <w:spacing w:val="-5"/>
        </w:rPr>
        <w:t>as</w:t>
      </w:r>
    </w:p>
    <w:p w14:paraId="0DFDAD07" w14:textId="77777777" w:rsidR="00046465" w:rsidRDefault="008134EB">
      <w:pPr>
        <w:pStyle w:val="ListParagraph"/>
        <w:numPr>
          <w:ilvl w:val="2"/>
          <w:numId w:val="219"/>
        </w:numPr>
        <w:tabs>
          <w:tab w:val="left" w:pos="2519"/>
        </w:tabs>
      </w:pPr>
      <w:r>
        <w:t>observing</w:t>
      </w:r>
      <w:r>
        <w:rPr>
          <w:spacing w:val="-6"/>
        </w:rPr>
        <w:t xml:space="preserve"> </w:t>
      </w:r>
      <w:r>
        <w:t>the</w:t>
      </w:r>
      <w:r>
        <w:rPr>
          <w:spacing w:val="-5"/>
        </w:rPr>
        <w:t xml:space="preserve"> </w:t>
      </w:r>
      <w:r>
        <w:t>work</w:t>
      </w:r>
      <w:r>
        <w:rPr>
          <w:spacing w:val="-6"/>
        </w:rPr>
        <w:t xml:space="preserve"> </w:t>
      </w:r>
      <w:r>
        <w:t>of</w:t>
      </w:r>
      <w:r>
        <w:rPr>
          <w:spacing w:val="-5"/>
        </w:rPr>
        <w:t xml:space="preserve"> </w:t>
      </w:r>
      <w:r>
        <w:t>the</w:t>
      </w:r>
      <w:r>
        <w:rPr>
          <w:spacing w:val="-6"/>
        </w:rPr>
        <w:t xml:space="preserve"> </w:t>
      </w:r>
      <w:r>
        <w:t>auditor’s</w:t>
      </w:r>
      <w:r>
        <w:rPr>
          <w:spacing w:val="-6"/>
        </w:rPr>
        <w:t xml:space="preserve"> </w:t>
      </w:r>
      <w:r>
        <w:rPr>
          <w:spacing w:val="-2"/>
        </w:rPr>
        <w:t>specialist,</w:t>
      </w:r>
    </w:p>
    <w:p w14:paraId="0DFDAD08" w14:textId="77777777" w:rsidR="00046465" w:rsidRDefault="008134EB">
      <w:pPr>
        <w:pStyle w:val="ListParagraph"/>
        <w:numPr>
          <w:ilvl w:val="2"/>
          <w:numId w:val="219"/>
        </w:numPr>
        <w:tabs>
          <w:tab w:val="left" w:pos="2519"/>
        </w:tabs>
        <w:spacing w:before="118"/>
        <w:ind w:right="1290"/>
      </w:pPr>
      <w:r>
        <w:t>examining</w:t>
      </w:r>
      <w:r>
        <w:rPr>
          <w:spacing w:val="-5"/>
        </w:rPr>
        <w:t xml:space="preserve"> </w:t>
      </w:r>
      <w:r>
        <w:t>published</w:t>
      </w:r>
      <w:r>
        <w:rPr>
          <w:spacing w:val="-5"/>
        </w:rPr>
        <w:t xml:space="preserve"> </w:t>
      </w:r>
      <w:r>
        <w:t>data,</w:t>
      </w:r>
      <w:r>
        <w:rPr>
          <w:spacing w:val="-5"/>
        </w:rPr>
        <w:t xml:space="preserve"> </w:t>
      </w:r>
      <w:r>
        <w:t>such</w:t>
      </w:r>
      <w:r>
        <w:rPr>
          <w:spacing w:val="-5"/>
        </w:rPr>
        <w:t xml:space="preserve"> </w:t>
      </w:r>
      <w:r>
        <w:t>as</w:t>
      </w:r>
      <w:r>
        <w:rPr>
          <w:spacing w:val="-6"/>
        </w:rPr>
        <w:t xml:space="preserve"> </w:t>
      </w:r>
      <w:r>
        <w:t>statistical</w:t>
      </w:r>
      <w:r>
        <w:rPr>
          <w:spacing w:val="-5"/>
        </w:rPr>
        <w:t xml:space="preserve"> </w:t>
      </w:r>
      <w:r>
        <w:t>reports</w:t>
      </w:r>
      <w:r>
        <w:rPr>
          <w:spacing w:val="-5"/>
        </w:rPr>
        <w:t xml:space="preserve"> </w:t>
      </w:r>
      <w:r>
        <w:t>from</w:t>
      </w:r>
      <w:r>
        <w:rPr>
          <w:spacing w:val="-6"/>
        </w:rPr>
        <w:t xml:space="preserve"> </w:t>
      </w:r>
      <w:r>
        <w:t>reputable, authoritative sources,</w:t>
      </w:r>
    </w:p>
    <w:p w14:paraId="0DFDAD09" w14:textId="77777777" w:rsidR="00046465" w:rsidRDefault="008134EB">
      <w:pPr>
        <w:pStyle w:val="ListParagraph"/>
        <w:numPr>
          <w:ilvl w:val="2"/>
          <w:numId w:val="219"/>
        </w:numPr>
        <w:tabs>
          <w:tab w:val="left" w:pos="2519"/>
        </w:tabs>
        <w:spacing w:before="119"/>
      </w:pPr>
      <w:r>
        <w:t>confirming</w:t>
      </w:r>
      <w:r>
        <w:rPr>
          <w:spacing w:val="-8"/>
        </w:rPr>
        <w:t xml:space="preserve"> </w:t>
      </w:r>
      <w:r>
        <w:t>relevant</w:t>
      </w:r>
      <w:r>
        <w:rPr>
          <w:spacing w:val="-8"/>
        </w:rPr>
        <w:t xml:space="preserve"> </w:t>
      </w:r>
      <w:r>
        <w:t>matters</w:t>
      </w:r>
      <w:r>
        <w:rPr>
          <w:spacing w:val="-8"/>
        </w:rPr>
        <w:t xml:space="preserve"> </w:t>
      </w:r>
      <w:r>
        <w:t>with</w:t>
      </w:r>
      <w:r>
        <w:rPr>
          <w:spacing w:val="-7"/>
        </w:rPr>
        <w:t xml:space="preserve"> </w:t>
      </w:r>
      <w:r>
        <w:t>third</w:t>
      </w:r>
      <w:r>
        <w:rPr>
          <w:spacing w:val="-8"/>
        </w:rPr>
        <w:t xml:space="preserve"> </w:t>
      </w:r>
      <w:r>
        <w:rPr>
          <w:spacing w:val="-2"/>
        </w:rPr>
        <w:t>parties,</w:t>
      </w:r>
    </w:p>
    <w:p w14:paraId="0DFDAD0A" w14:textId="77777777" w:rsidR="00046465" w:rsidRDefault="008134EB">
      <w:pPr>
        <w:pStyle w:val="ListParagraph"/>
        <w:numPr>
          <w:ilvl w:val="2"/>
          <w:numId w:val="219"/>
        </w:numPr>
        <w:tabs>
          <w:tab w:val="left" w:pos="2518"/>
        </w:tabs>
        <w:spacing w:before="118"/>
        <w:ind w:left="2518" w:hanging="359"/>
      </w:pPr>
      <w:r>
        <w:t>performing</w:t>
      </w:r>
      <w:r>
        <w:rPr>
          <w:spacing w:val="-11"/>
        </w:rPr>
        <w:t xml:space="preserve"> </w:t>
      </w:r>
      <w:r>
        <w:t>detailed</w:t>
      </w:r>
      <w:r>
        <w:rPr>
          <w:spacing w:val="-10"/>
        </w:rPr>
        <w:t xml:space="preserve"> </w:t>
      </w:r>
      <w:r>
        <w:t>analytical</w:t>
      </w:r>
      <w:r>
        <w:rPr>
          <w:spacing w:val="-11"/>
        </w:rPr>
        <w:t xml:space="preserve"> </w:t>
      </w:r>
      <w:r>
        <w:t>procedures,</w:t>
      </w:r>
      <w:r>
        <w:rPr>
          <w:spacing w:val="-11"/>
        </w:rPr>
        <w:t xml:space="preserve"> </w:t>
      </w:r>
      <w:r>
        <w:rPr>
          <w:spacing w:val="-5"/>
        </w:rPr>
        <w:t>and</w:t>
      </w:r>
    </w:p>
    <w:p w14:paraId="0DFDAD0B" w14:textId="77777777" w:rsidR="00046465" w:rsidRDefault="008134EB">
      <w:pPr>
        <w:pStyle w:val="ListParagraph"/>
        <w:numPr>
          <w:ilvl w:val="2"/>
          <w:numId w:val="219"/>
        </w:numPr>
        <w:tabs>
          <w:tab w:val="left" w:pos="2518"/>
        </w:tabs>
        <w:spacing w:before="118"/>
        <w:ind w:left="2518" w:hanging="359"/>
      </w:pPr>
      <w:r>
        <w:t>reperforming</w:t>
      </w:r>
      <w:r>
        <w:rPr>
          <w:spacing w:val="-14"/>
        </w:rPr>
        <w:t xml:space="preserve"> </w:t>
      </w:r>
      <w:r>
        <w:rPr>
          <w:spacing w:val="-2"/>
        </w:rPr>
        <w:t>calculations.</w:t>
      </w:r>
    </w:p>
    <w:p w14:paraId="0DFDAD0C" w14:textId="77777777" w:rsidR="00046465" w:rsidRDefault="008134EB">
      <w:pPr>
        <w:pStyle w:val="ListParagraph"/>
        <w:numPr>
          <w:ilvl w:val="1"/>
          <w:numId w:val="219"/>
        </w:numPr>
        <w:tabs>
          <w:tab w:val="left" w:pos="2158"/>
        </w:tabs>
        <w:spacing w:before="118"/>
        <w:ind w:left="2158" w:right="905"/>
      </w:pPr>
      <w:r>
        <w:t>Engaging</w:t>
      </w:r>
      <w:r>
        <w:rPr>
          <w:spacing w:val="-4"/>
        </w:rPr>
        <w:t xml:space="preserve"> </w:t>
      </w:r>
      <w:r>
        <w:t>in</w:t>
      </w:r>
      <w:r>
        <w:rPr>
          <w:spacing w:val="-5"/>
        </w:rPr>
        <w:t xml:space="preserve"> </w:t>
      </w:r>
      <w:r>
        <w:t>discussion</w:t>
      </w:r>
      <w:r>
        <w:rPr>
          <w:spacing w:val="-5"/>
        </w:rPr>
        <w:t xml:space="preserve"> </w:t>
      </w:r>
      <w:r>
        <w:t>with</w:t>
      </w:r>
      <w:r>
        <w:rPr>
          <w:spacing w:val="-4"/>
        </w:rPr>
        <w:t xml:space="preserve"> </w:t>
      </w:r>
      <w:r>
        <w:t>another</w:t>
      </w:r>
      <w:r>
        <w:rPr>
          <w:spacing w:val="-4"/>
        </w:rPr>
        <w:t xml:space="preserve"> </w:t>
      </w:r>
      <w:r>
        <w:t>specialist</w:t>
      </w:r>
      <w:r>
        <w:rPr>
          <w:spacing w:val="-4"/>
        </w:rPr>
        <w:t xml:space="preserve"> </w:t>
      </w:r>
      <w:r>
        <w:t>with</w:t>
      </w:r>
      <w:r>
        <w:rPr>
          <w:spacing w:val="-4"/>
        </w:rPr>
        <w:t xml:space="preserve"> </w:t>
      </w:r>
      <w:r>
        <w:t>relevant</w:t>
      </w:r>
      <w:r>
        <w:rPr>
          <w:spacing w:val="-5"/>
        </w:rPr>
        <w:t xml:space="preserve"> </w:t>
      </w:r>
      <w:r>
        <w:t>expertise</w:t>
      </w:r>
      <w:r>
        <w:rPr>
          <w:spacing w:val="-4"/>
        </w:rPr>
        <w:t xml:space="preserve"> </w:t>
      </w:r>
      <w:r>
        <w:t>when, for example, the findings or conclusions of the auditor’s specialist are not consistent with other audit evidence.</w:t>
      </w:r>
    </w:p>
    <w:p w14:paraId="0DFDAD0D" w14:textId="77777777" w:rsidR="00046465" w:rsidRDefault="008134EB">
      <w:pPr>
        <w:pStyle w:val="ListParagraph"/>
        <w:numPr>
          <w:ilvl w:val="1"/>
          <w:numId w:val="219"/>
        </w:numPr>
        <w:tabs>
          <w:tab w:val="left" w:pos="2157"/>
        </w:tabs>
        <w:spacing w:before="121"/>
        <w:ind w:left="2157" w:hanging="359"/>
      </w:pPr>
      <w:r>
        <w:t>Discussing</w:t>
      </w:r>
      <w:r>
        <w:rPr>
          <w:spacing w:val="-7"/>
        </w:rPr>
        <w:t xml:space="preserve"> </w:t>
      </w:r>
      <w:r>
        <w:t>the</w:t>
      </w:r>
      <w:r>
        <w:rPr>
          <w:spacing w:val="-7"/>
        </w:rPr>
        <w:t xml:space="preserve"> </w:t>
      </w:r>
      <w:r>
        <w:t>report</w:t>
      </w:r>
      <w:r>
        <w:rPr>
          <w:spacing w:val="-6"/>
        </w:rPr>
        <w:t xml:space="preserve"> </w:t>
      </w:r>
      <w:r>
        <w:t>of</w:t>
      </w:r>
      <w:r>
        <w:rPr>
          <w:spacing w:val="-7"/>
        </w:rPr>
        <w:t xml:space="preserve"> </w:t>
      </w:r>
      <w:r>
        <w:t>the</w:t>
      </w:r>
      <w:r>
        <w:rPr>
          <w:spacing w:val="-6"/>
        </w:rPr>
        <w:t xml:space="preserve"> </w:t>
      </w:r>
      <w:r>
        <w:t>auditor’s</w:t>
      </w:r>
      <w:r>
        <w:rPr>
          <w:spacing w:val="-8"/>
        </w:rPr>
        <w:t xml:space="preserve"> </w:t>
      </w:r>
      <w:r>
        <w:t>specialist</w:t>
      </w:r>
      <w:r>
        <w:rPr>
          <w:spacing w:val="-7"/>
        </w:rPr>
        <w:t xml:space="preserve"> </w:t>
      </w:r>
      <w:r>
        <w:t>with</w:t>
      </w:r>
      <w:r>
        <w:rPr>
          <w:spacing w:val="-6"/>
        </w:rPr>
        <w:t xml:space="preserve"> </w:t>
      </w:r>
      <w:r>
        <w:rPr>
          <w:spacing w:val="-2"/>
        </w:rPr>
        <w:t>management.</w:t>
      </w:r>
    </w:p>
    <w:p w14:paraId="0DFDAD0E" w14:textId="77777777" w:rsidR="00046465" w:rsidRDefault="008134EB">
      <w:pPr>
        <w:pStyle w:val="ListParagraph"/>
        <w:numPr>
          <w:ilvl w:val="0"/>
          <w:numId w:val="219"/>
        </w:numPr>
        <w:tabs>
          <w:tab w:val="left" w:pos="1798"/>
        </w:tabs>
        <w:ind w:left="1798" w:right="764"/>
      </w:pPr>
      <w:r>
        <w:t>If the auditor determines that the work of the auditor’s specialist is not adequate for the auditor’s purposes, the auditor should (1) agree with the auditor’s specialist</w:t>
      </w:r>
      <w:r>
        <w:rPr>
          <w:spacing w:val="-2"/>
        </w:rPr>
        <w:t xml:space="preserve"> </w:t>
      </w:r>
      <w:r>
        <w:t>on</w:t>
      </w:r>
      <w:r>
        <w:rPr>
          <w:spacing w:val="-3"/>
        </w:rPr>
        <w:t xml:space="preserve"> </w:t>
      </w:r>
      <w:r>
        <w:t>the</w:t>
      </w:r>
      <w:r>
        <w:rPr>
          <w:spacing w:val="-2"/>
        </w:rPr>
        <w:t xml:space="preserve"> </w:t>
      </w:r>
      <w:r>
        <w:t>nature</w:t>
      </w:r>
      <w:r>
        <w:rPr>
          <w:spacing w:val="-3"/>
        </w:rPr>
        <w:t xml:space="preserve"> </w:t>
      </w:r>
      <w:r>
        <w:t>and</w:t>
      </w:r>
      <w:r>
        <w:rPr>
          <w:spacing w:val="-2"/>
        </w:rPr>
        <w:t xml:space="preserve"> </w:t>
      </w:r>
      <w:r>
        <w:t>extent</w:t>
      </w:r>
      <w:r>
        <w:rPr>
          <w:spacing w:val="-2"/>
        </w:rPr>
        <w:t xml:space="preserve"> </w:t>
      </w:r>
      <w:r>
        <w:t>of</w:t>
      </w:r>
      <w:r>
        <w:rPr>
          <w:spacing w:val="-2"/>
        </w:rPr>
        <w:t xml:space="preserve"> </w:t>
      </w:r>
      <w:r>
        <w:t>further</w:t>
      </w:r>
      <w:r>
        <w:rPr>
          <w:spacing w:val="-2"/>
        </w:rPr>
        <w:t xml:space="preserve"> </w:t>
      </w:r>
      <w:r>
        <w:t>work</w:t>
      </w:r>
      <w:r>
        <w:rPr>
          <w:spacing w:val="-2"/>
        </w:rPr>
        <w:t xml:space="preserve"> </w:t>
      </w:r>
      <w:r>
        <w:t>that</w:t>
      </w:r>
      <w:r>
        <w:rPr>
          <w:spacing w:val="-2"/>
        </w:rPr>
        <w:t xml:space="preserve"> </w:t>
      </w:r>
      <w:r>
        <w:t>the</w:t>
      </w:r>
      <w:r>
        <w:rPr>
          <w:spacing w:val="-2"/>
        </w:rPr>
        <w:t xml:space="preserve"> </w:t>
      </w:r>
      <w:r>
        <w:t>specialist</w:t>
      </w:r>
      <w:r>
        <w:rPr>
          <w:spacing w:val="-2"/>
        </w:rPr>
        <w:t xml:space="preserve"> </w:t>
      </w:r>
      <w:r>
        <w:t>is</w:t>
      </w:r>
      <w:r>
        <w:rPr>
          <w:spacing w:val="-2"/>
        </w:rPr>
        <w:t xml:space="preserve"> </w:t>
      </w:r>
      <w:r>
        <w:t>to</w:t>
      </w:r>
      <w:r>
        <w:rPr>
          <w:spacing w:val="-5"/>
        </w:rPr>
        <w:t xml:space="preserve"> </w:t>
      </w:r>
      <w:r>
        <w:t>perform or (2) perform additional audit procedures appropriate to the circumstances (AU-C 620.13). Additional audit procedures may involve additional work being performed</w:t>
      </w:r>
      <w:r>
        <w:rPr>
          <w:spacing w:val="-4"/>
        </w:rPr>
        <w:t xml:space="preserve"> </w:t>
      </w:r>
      <w:r>
        <w:t>by</w:t>
      </w:r>
      <w:r>
        <w:rPr>
          <w:spacing w:val="-4"/>
        </w:rPr>
        <w:t xml:space="preserve"> </w:t>
      </w:r>
      <w:r>
        <w:t>both</w:t>
      </w:r>
      <w:r>
        <w:rPr>
          <w:spacing w:val="-4"/>
        </w:rPr>
        <w:t xml:space="preserve"> </w:t>
      </w:r>
      <w:r>
        <w:t>the</w:t>
      </w:r>
      <w:r>
        <w:rPr>
          <w:spacing w:val="-4"/>
        </w:rPr>
        <w:t xml:space="preserve"> </w:t>
      </w:r>
      <w:r>
        <w:t>auditor’s</w:t>
      </w:r>
      <w:r>
        <w:rPr>
          <w:spacing w:val="-4"/>
        </w:rPr>
        <w:t xml:space="preserve"> </w:t>
      </w:r>
      <w:r>
        <w:t>specialist</w:t>
      </w:r>
      <w:r>
        <w:rPr>
          <w:spacing w:val="-4"/>
        </w:rPr>
        <w:t xml:space="preserve"> </w:t>
      </w:r>
      <w:r>
        <w:t>and</w:t>
      </w:r>
      <w:r>
        <w:rPr>
          <w:spacing w:val="-4"/>
        </w:rPr>
        <w:t xml:space="preserve"> </w:t>
      </w:r>
      <w:r>
        <w:t>the</w:t>
      </w:r>
      <w:r>
        <w:rPr>
          <w:spacing w:val="-4"/>
        </w:rPr>
        <w:t xml:space="preserve"> </w:t>
      </w:r>
      <w:r>
        <w:t>auditor</w:t>
      </w:r>
      <w:r>
        <w:rPr>
          <w:spacing w:val="-4"/>
        </w:rPr>
        <w:t xml:space="preserve"> </w:t>
      </w:r>
      <w:r>
        <w:t>or</w:t>
      </w:r>
      <w:r>
        <w:rPr>
          <w:spacing w:val="-4"/>
        </w:rPr>
        <w:t xml:space="preserve"> </w:t>
      </w:r>
      <w:r>
        <w:t>include</w:t>
      </w:r>
      <w:r>
        <w:rPr>
          <w:spacing w:val="-4"/>
        </w:rPr>
        <w:t xml:space="preserve"> </w:t>
      </w:r>
      <w:r>
        <w:t>employing</w:t>
      </w:r>
      <w:r>
        <w:rPr>
          <w:spacing w:val="-4"/>
        </w:rPr>
        <w:t xml:space="preserve"> </w:t>
      </w:r>
      <w:r>
        <w:t>or engaging</w:t>
      </w:r>
      <w:r>
        <w:rPr>
          <w:spacing w:val="-3"/>
        </w:rPr>
        <w:t xml:space="preserve"> </w:t>
      </w:r>
      <w:r>
        <w:t>another</w:t>
      </w:r>
      <w:r>
        <w:rPr>
          <w:spacing w:val="-3"/>
        </w:rPr>
        <w:t xml:space="preserve"> </w:t>
      </w:r>
      <w:r>
        <w:t>specialist</w:t>
      </w:r>
      <w:r>
        <w:rPr>
          <w:spacing w:val="-3"/>
        </w:rPr>
        <w:t xml:space="preserve"> </w:t>
      </w:r>
      <w:r>
        <w:t>(AU-C</w:t>
      </w:r>
      <w:r>
        <w:rPr>
          <w:spacing w:val="-4"/>
        </w:rPr>
        <w:t xml:space="preserve"> </w:t>
      </w:r>
      <w:r>
        <w:t>620.A44).</w:t>
      </w:r>
      <w:r>
        <w:rPr>
          <w:spacing w:val="-3"/>
        </w:rPr>
        <w:t xml:space="preserve"> </w:t>
      </w:r>
      <w:r>
        <w:t>See</w:t>
      </w:r>
      <w:r>
        <w:rPr>
          <w:spacing w:val="-3"/>
        </w:rPr>
        <w:t xml:space="preserve"> </w:t>
      </w:r>
      <w:r>
        <w:t>AU-C</w:t>
      </w:r>
      <w:r>
        <w:rPr>
          <w:spacing w:val="-4"/>
        </w:rPr>
        <w:t xml:space="preserve"> </w:t>
      </w:r>
      <w:r>
        <w:t>620.A43</w:t>
      </w:r>
      <w:r>
        <w:rPr>
          <w:spacing w:val="-3"/>
        </w:rPr>
        <w:t xml:space="preserve"> </w:t>
      </w:r>
      <w:r>
        <w:t>for</w:t>
      </w:r>
      <w:r>
        <w:rPr>
          <w:spacing w:val="-3"/>
        </w:rPr>
        <w:t xml:space="preserve"> </w:t>
      </w:r>
      <w:r>
        <w:t>examples</w:t>
      </w:r>
      <w:r>
        <w:rPr>
          <w:spacing w:val="-3"/>
        </w:rPr>
        <w:t xml:space="preserve"> </w:t>
      </w:r>
      <w:r>
        <w:t>of situations in which the auditor may conclude that the work of the auditor’s specialist is not adequate for the auditor’s purposes.</w:t>
      </w:r>
    </w:p>
    <w:p w14:paraId="0DFDAD0F" w14:textId="77777777" w:rsidR="00046465" w:rsidRDefault="008134EB">
      <w:pPr>
        <w:pStyle w:val="Heading5"/>
        <w:rPr>
          <w:u w:val="none"/>
        </w:rPr>
      </w:pPr>
      <w:bookmarkStart w:id="32" w:name="Evaluating_Findings_and_Conclusions"/>
      <w:bookmarkEnd w:id="32"/>
      <w:r>
        <w:t>Evaluating</w:t>
      </w:r>
      <w:r>
        <w:rPr>
          <w:spacing w:val="-5"/>
        </w:rPr>
        <w:t xml:space="preserve"> </w:t>
      </w:r>
      <w:r>
        <w:t>Findings</w:t>
      </w:r>
      <w:r>
        <w:rPr>
          <w:spacing w:val="-5"/>
        </w:rPr>
        <w:t xml:space="preserve"> </w:t>
      </w:r>
      <w:r>
        <w:t>and</w:t>
      </w:r>
      <w:r>
        <w:rPr>
          <w:spacing w:val="-4"/>
        </w:rPr>
        <w:t xml:space="preserve"> </w:t>
      </w:r>
      <w:r>
        <w:rPr>
          <w:spacing w:val="-2"/>
        </w:rPr>
        <w:t>Conclusions</w:t>
      </w:r>
    </w:p>
    <w:p w14:paraId="0DFDAD10" w14:textId="77777777" w:rsidR="00046465" w:rsidRDefault="008134EB">
      <w:pPr>
        <w:pStyle w:val="ListParagraph"/>
        <w:numPr>
          <w:ilvl w:val="0"/>
          <w:numId w:val="219"/>
        </w:numPr>
        <w:tabs>
          <w:tab w:val="left" w:pos="1800"/>
        </w:tabs>
        <w:spacing w:before="119"/>
        <w:ind w:right="1166"/>
      </w:pPr>
      <w:r>
        <w:t>Relevant factors when evaluating the relevance and reasonableness of the findings</w:t>
      </w:r>
      <w:r>
        <w:rPr>
          <w:spacing w:val="-3"/>
        </w:rPr>
        <w:t xml:space="preserve"> </w:t>
      </w:r>
      <w:r>
        <w:t>or</w:t>
      </w:r>
      <w:r>
        <w:rPr>
          <w:spacing w:val="-5"/>
        </w:rPr>
        <w:t xml:space="preserve"> </w:t>
      </w:r>
      <w:r>
        <w:t>conclusions</w:t>
      </w:r>
      <w:r>
        <w:rPr>
          <w:spacing w:val="-3"/>
        </w:rPr>
        <w:t xml:space="preserve"> </w:t>
      </w:r>
      <w:r>
        <w:t>of</w:t>
      </w:r>
      <w:r>
        <w:rPr>
          <w:spacing w:val="-3"/>
        </w:rPr>
        <w:t xml:space="preserve"> </w:t>
      </w:r>
      <w:r>
        <w:t>the</w:t>
      </w:r>
      <w:r>
        <w:rPr>
          <w:spacing w:val="-3"/>
        </w:rPr>
        <w:t xml:space="preserve"> </w:t>
      </w:r>
      <w:r>
        <w:t>auditor’s</w:t>
      </w:r>
      <w:r>
        <w:rPr>
          <w:spacing w:val="-2"/>
        </w:rPr>
        <w:t xml:space="preserve"> </w:t>
      </w:r>
      <w:r>
        <w:t>specialist,</w:t>
      </w:r>
      <w:r>
        <w:rPr>
          <w:spacing w:val="-6"/>
        </w:rPr>
        <w:t xml:space="preserve"> </w:t>
      </w:r>
      <w:r>
        <w:t>whether</w:t>
      </w:r>
      <w:r>
        <w:rPr>
          <w:spacing w:val="-3"/>
        </w:rPr>
        <w:t xml:space="preserve"> </w:t>
      </w:r>
      <w:r>
        <w:t>in</w:t>
      </w:r>
      <w:r>
        <w:rPr>
          <w:spacing w:val="-3"/>
        </w:rPr>
        <w:t xml:space="preserve"> </w:t>
      </w:r>
      <w:r>
        <w:t>a</w:t>
      </w:r>
      <w:r>
        <w:rPr>
          <w:spacing w:val="-3"/>
        </w:rPr>
        <w:t xml:space="preserve"> </w:t>
      </w:r>
      <w:r>
        <w:t>report</w:t>
      </w:r>
      <w:r>
        <w:rPr>
          <w:spacing w:val="-3"/>
        </w:rPr>
        <w:t xml:space="preserve"> </w:t>
      </w:r>
      <w:r>
        <w:t>or</w:t>
      </w:r>
      <w:r>
        <w:rPr>
          <w:spacing w:val="-3"/>
        </w:rPr>
        <w:t xml:space="preserve"> </w:t>
      </w:r>
      <w:r>
        <w:t>other form, may include whether they are (AU-C 620.A37)</w:t>
      </w:r>
    </w:p>
    <w:p w14:paraId="0DFDAD11" w14:textId="77777777" w:rsidR="00046465" w:rsidRDefault="008134EB">
      <w:pPr>
        <w:pStyle w:val="ListParagraph"/>
        <w:numPr>
          <w:ilvl w:val="1"/>
          <w:numId w:val="219"/>
        </w:numPr>
        <w:tabs>
          <w:tab w:val="left" w:pos="2159"/>
        </w:tabs>
        <w:ind w:left="2159" w:right="977"/>
      </w:pPr>
      <w:r>
        <w:t>presented</w:t>
      </w:r>
      <w:r>
        <w:rPr>
          <w:spacing w:val="-3"/>
        </w:rPr>
        <w:t xml:space="preserve"> </w:t>
      </w:r>
      <w:r>
        <w:t>in</w:t>
      </w:r>
      <w:r>
        <w:rPr>
          <w:spacing w:val="-4"/>
        </w:rPr>
        <w:t xml:space="preserve"> </w:t>
      </w:r>
      <w:r>
        <w:t>a</w:t>
      </w:r>
      <w:r>
        <w:rPr>
          <w:spacing w:val="-3"/>
        </w:rPr>
        <w:t xml:space="preserve"> </w:t>
      </w:r>
      <w:r>
        <w:t>manner</w:t>
      </w:r>
      <w:r>
        <w:rPr>
          <w:spacing w:val="-3"/>
        </w:rPr>
        <w:t xml:space="preserve"> </w:t>
      </w:r>
      <w:r>
        <w:t>that</w:t>
      </w:r>
      <w:r>
        <w:rPr>
          <w:spacing w:val="-3"/>
        </w:rPr>
        <w:t xml:space="preserve"> </w:t>
      </w:r>
      <w:r>
        <w:t>is</w:t>
      </w:r>
      <w:r>
        <w:rPr>
          <w:spacing w:val="-3"/>
        </w:rPr>
        <w:t xml:space="preserve"> </w:t>
      </w:r>
      <w:r>
        <w:t>consistent</w:t>
      </w:r>
      <w:r>
        <w:rPr>
          <w:spacing w:val="-3"/>
        </w:rPr>
        <w:t xml:space="preserve"> </w:t>
      </w:r>
      <w:r>
        <w:t>with</w:t>
      </w:r>
      <w:r>
        <w:rPr>
          <w:spacing w:val="-3"/>
        </w:rPr>
        <w:t xml:space="preserve"> </w:t>
      </w:r>
      <w:r>
        <w:t>any</w:t>
      </w:r>
      <w:r>
        <w:rPr>
          <w:spacing w:val="-3"/>
        </w:rPr>
        <w:t xml:space="preserve"> </w:t>
      </w:r>
      <w:r>
        <w:t>standards</w:t>
      </w:r>
      <w:r>
        <w:rPr>
          <w:spacing w:val="-4"/>
        </w:rPr>
        <w:t xml:space="preserve"> </w:t>
      </w:r>
      <w:r>
        <w:t>of</w:t>
      </w:r>
      <w:r>
        <w:rPr>
          <w:spacing w:val="-3"/>
        </w:rPr>
        <w:t xml:space="preserve"> </w:t>
      </w:r>
      <w:r>
        <w:t>the</w:t>
      </w:r>
      <w:r>
        <w:rPr>
          <w:spacing w:val="-3"/>
        </w:rPr>
        <w:t xml:space="preserve"> </w:t>
      </w:r>
      <w:r>
        <w:t>auditor’s specialist’s profession or industry;</w:t>
      </w:r>
    </w:p>
    <w:p w14:paraId="0DFDAD12" w14:textId="77777777" w:rsidR="00046465" w:rsidRDefault="008134EB">
      <w:pPr>
        <w:pStyle w:val="ListParagraph"/>
        <w:numPr>
          <w:ilvl w:val="1"/>
          <w:numId w:val="219"/>
        </w:numPr>
        <w:tabs>
          <w:tab w:val="left" w:pos="2159"/>
        </w:tabs>
        <w:ind w:left="2159" w:right="1064"/>
      </w:pPr>
      <w:r>
        <w:t>clearly</w:t>
      </w:r>
      <w:r>
        <w:rPr>
          <w:spacing w:val="-4"/>
        </w:rPr>
        <w:t xml:space="preserve"> </w:t>
      </w:r>
      <w:r>
        <w:t>expressed,</w:t>
      </w:r>
      <w:r>
        <w:rPr>
          <w:spacing w:val="-4"/>
        </w:rPr>
        <w:t xml:space="preserve"> </w:t>
      </w:r>
      <w:r>
        <w:t>including</w:t>
      </w:r>
      <w:r>
        <w:rPr>
          <w:spacing w:val="-4"/>
        </w:rPr>
        <w:t xml:space="preserve"> </w:t>
      </w:r>
      <w:r>
        <w:t>reference</w:t>
      </w:r>
      <w:r>
        <w:rPr>
          <w:spacing w:val="-4"/>
        </w:rPr>
        <w:t xml:space="preserve"> </w:t>
      </w:r>
      <w:r>
        <w:t>to</w:t>
      </w:r>
      <w:r>
        <w:rPr>
          <w:spacing w:val="-4"/>
        </w:rPr>
        <w:t xml:space="preserve"> </w:t>
      </w:r>
      <w:r>
        <w:t>the</w:t>
      </w:r>
      <w:r>
        <w:rPr>
          <w:spacing w:val="-4"/>
        </w:rPr>
        <w:t xml:space="preserve"> </w:t>
      </w:r>
      <w:r>
        <w:t>objectives</w:t>
      </w:r>
      <w:r>
        <w:rPr>
          <w:spacing w:val="-5"/>
        </w:rPr>
        <w:t xml:space="preserve"> </w:t>
      </w:r>
      <w:r>
        <w:t>agreed</w:t>
      </w:r>
      <w:r>
        <w:rPr>
          <w:spacing w:val="-3"/>
        </w:rPr>
        <w:t xml:space="preserve"> </w:t>
      </w:r>
      <w:r>
        <w:t>on</w:t>
      </w:r>
      <w:r>
        <w:rPr>
          <w:spacing w:val="-4"/>
        </w:rPr>
        <w:t xml:space="preserve"> </w:t>
      </w:r>
      <w:r>
        <w:t>with</w:t>
      </w:r>
      <w:r>
        <w:rPr>
          <w:spacing w:val="-4"/>
        </w:rPr>
        <w:t xml:space="preserve"> </w:t>
      </w:r>
      <w:r>
        <w:t>the auditor, the scope of the work performed, and standards applied;</w:t>
      </w:r>
    </w:p>
    <w:p w14:paraId="0DFDAD13" w14:textId="77777777" w:rsidR="00046465" w:rsidRDefault="008134EB">
      <w:pPr>
        <w:pStyle w:val="ListParagraph"/>
        <w:numPr>
          <w:ilvl w:val="1"/>
          <w:numId w:val="219"/>
        </w:numPr>
        <w:tabs>
          <w:tab w:val="left" w:pos="2159"/>
        </w:tabs>
        <w:ind w:left="2159" w:right="1100"/>
      </w:pPr>
      <w:r>
        <w:t>based</w:t>
      </w:r>
      <w:r>
        <w:rPr>
          <w:spacing w:val="-4"/>
        </w:rPr>
        <w:t xml:space="preserve"> </w:t>
      </w:r>
      <w:r>
        <w:t>on</w:t>
      </w:r>
      <w:r>
        <w:rPr>
          <w:spacing w:val="-4"/>
        </w:rPr>
        <w:t xml:space="preserve"> </w:t>
      </w:r>
      <w:r>
        <w:t>an</w:t>
      </w:r>
      <w:r>
        <w:rPr>
          <w:spacing w:val="-5"/>
        </w:rPr>
        <w:t xml:space="preserve"> </w:t>
      </w:r>
      <w:r>
        <w:t>appropriate</w:t>
      </w:r>
      <w:r>
        <w:rPr>
          <w:spacing w:val="-5"/>
        </w:rPr>
        <w:t xml:space="preserve"> </w:t>
      </w:r>
      <w:r>
        <w:t>period</w:t>
      </w:r>
      <w:r>
        <w:rPr>
          <w:spacing w:val="-4"/>
        </w:rPr>
        <w:t xml:space="preserve"> </w:t>
      </w:r>
      <w:r>
        <w:t>and</w:t>
      </w:r>
      <w:r>
        <w:rPr>
          <w:spacing w:val="-4"/>
        </w:rPr>
        <w:t xml:space="preserve"> </w:t>
      </w:r>
      <w:r>
        <w:t>take</w:t>
      </w:r>
      <w:r>
        <w:rPr>
          <w:spacing w:val="-4"/>
        </w:rPr>
        <w:t xml:space="preserve"> </w:t>
      </w:r>
      <w:r>
        <w:t>into</w:t>
      </w:r>
      <w:r>
        <w:rPr>
          <w:spacing w:val="-4"/>
        </w:rPr>
        <w:t xml:space="preserve"> </w:t>
      </w:r>
      <w:r>
        <w:t>account</w:t>
      </w:r>
      <w:r>
        <w:rPr>
          <w:spacing w:val="-4"/>
        </w:rPr>
        <w:t xml:space="preserve"> </w:t>
      </w:r>
      <w:r>
        <w:t>subsequent</w:t>
      </w:r>
      <w:r>
        <w:rPr>
          <w:spacing w:val="-4"/>
        </w:rPr>
        <w:t xml:space="preserve"> </w:t>
      </w:r>
      <w:r>
        <w:t>events, when relevant; and</w:t>
      </w:r>
    </w:p>
    <w:p w14:paraId="0DFDAD14" w14:textId="77777777" w:rsidR="00046465" w:rsidRDefault="008134EB">
      <w:pPr>
        <w:pStyle w:val="ListParagraph"/>
        <w:numPr>
          <w:ilvl w:val="1"/>
          <w:numId w:val="219"/>
        </w:numPr>
        <w:tabs>
          <w:tab w:val="left" w:pos="2159"/>
        </w:tabs>
        <w:spacing w:before="119"/>
        <w:ind w:left="2159" w:right="954"/>
      </w:pPr>
      <w:r>
        <w:t>based</w:t>
      </w:r>
      <w:r>
        <w:rPr>
          <w:spacing w:val="-4"/>
        </w:rPr>
        <w:t xml:space="preserve"> </w:t>
      </w:r>
      <w:r>
        <w:t>on</w:t>
      </w:r>
      <w:r>
        <w:rPr>
          <w:spacing w:val="-4"/>
        </w:rPr>
        <w:t xml:space="preserve"> </w:t>
      </w:r>
      <w:r>
        <w:t>appropriate</w:t>
      </w:r>
      <w:r>
        <w:rPr>
          <w:spacing w:val="-4"/>
        </w:rPr>
        <w:t xml:space="preserve"> </w:t>
      </w:r>
      <w:r>
        <w:t>consideration</w:t>
      </w:r>
      <w:r>
        <w:rPr>
          <w:spacing w:val="-5"/>
        </w:rPr>
        <w:t xml:space="preserve"> </w:t>
      </w:r>
      <w:r>
        <w:t>of</w:t>
      </w:r>
      <w:r>
        <w:rPr>
          <w:spacing w:val="-4"/>
        </w:rPr>
        <w:t xml:space="preserve"> </w:t>
      </w:r>
      <w:r>
        <w:t>errors</w:t>
      </w:r>
      <w:r>
        <w:rPr>
          <w:spacing w:val="-4"/>
        </w:rPr>
        <w:t xml:space="preserve"> </w:t>
      </w:r>
      <w:r>
        <w:t>or</w:t>
      </w:r>
      <w:r>
        <w:rPr>
          <w:spacing w:val="-6"/>
        </w:rPr>
        <w:t xml:space="preserve"> </w:t>
      </w:r>
      <w:r>
        <w:t>deviations</w:t>
      </w:r>
      <w:r>
        <w:rPr>
          <w:spacing w:val="-4"/>
        </w:rPr>
        <w:t xml:space="preserve"> </w:t>
      </w:r>
      <w:r>
        <w:t>that</w:t>
      </w:r>
      <w:r>
        <w:rPr>
          <w:spacing w:val="-4"/>
        </w:rPr>
        <w:t xml:space="preserve"> </w:t>
      </w:r>
      <w:r>
        <w:t>the</w:t>
      </w:r>
      <w:r>
        <w:rPr>
          <w:spacing w:val="-4"/>
        </w:rPr>
        <w:t xml:space="preserve"> </w:t>
      </w:r>
      <w:r>
        <w:t>auditor’s specialist encountered.</w:t>
      </w:r>
    </w:p>
    <w:p w14:paraId="0DFDAD15" w14:textId="77777777" w:rsidR="00046465" w:rsidRDefault="00046465">
      <w:pPr>
        <w:pStyle w:val="ListParagraph"/>
        <w:sectPr w:rsidR="00046465">
          <w:pgSz w:w="12240" w:h="15840"/>
          <w:pgMar w:top="1340" w:right="720" w:bottom="1020" w:left="1080" w:header="721" w:footer="757" w:gutter="0"/>
          <w:cols w:space="720"/>
        </w:sectPr>
      </w:pPr>
    </w:p>
    <w:p w14:paraId="0DFDAD16" w14:textId="77777777" w:rsidR="00046465" w:rsidRDefault="008134EB">
      <w:pPr>
        <w:pStyle w:val="Heading5"/>
        <w:spacing w:before="121"/>
        <w:rPr>
          <w:u w:val="none"/>
        </w:rPr>
      </w:pPr>
      <w:bookmarkStart w:id="33" w:name="Evaluating_Significant_Assumptions_and_M"/>
      <w:bookmarkEnd w:id="33"/>
      <w:r>
        <w:lastRenderedPageBreak/>
        <w:t>Evaluating</w:t>
      </w:r>
      <w:r>
        <w:rPr>
          <w:spacing w:val="-6"/>
        </w:rPr>
        <w:t xml:space="preserve"> </w:t>
      </w:r>
      <w:r>
        <w:t>Significant</w:t>
      </w:r>
      <w:r>
        <w:rPr>
          <w:spacing w:val="-5"/>
        </w:rPr>
        <w:t xml:space="preserve"> </w:t>
      </w:r>
      <w:r>
        <w:t>Assumptions</w:t>
      </w:r>
      <w:r>
        <w:rPr>
          <w:spacing w:val="-5"/>
        </w:rPr>
        <w:t xml:space="preserve"> </w:t>
      </w:r>
      <w:r>
        <w:t>and</w:t>
      </w:r>
      <w:r>
        <w:rPr>
          <w:spacing w:val="-5"/>
        </w:rPr>
        <w:t xml:space="preserve"> </w:t>
      </w:r>
      <w:r>
        <w:rPr>
          <w:spacing w:val="-2"/>
        </w:rPr>
        <w:t>Methods</w:t>
      </w:r>
    </w:p>
    <w:p w14:paraId="0DFDAD17" w14:textId="77777777" w:rsidR="00046465" w:rsidRDefault="008134EB">
      <w:pPr>
        <w:pStyle w:val="ListParagraph"/>
        <w:numPr>
          <w:ilvl w:val="0"/>
          <w:numId w:val="219"/>
        </w:numPr>
        <w:tabs>
          <w:tab w:val="left" w:pos="1800"/>
        </w:tabs>
        <w:ind w:right="813"/>
      </w:pPr>
      <w:r>
        <w:t>When the work of an auditor’s specialist involves using significant assumptions and methods, the appropriateness and reasonableness of those assumptions and methods used and their application are the responsibility of the auditor's specialist. The auditor is responsible for obtaining an understanding of those assumptions and methods and evaluating the relevance and reasonableness of those assumptions and methods in the circumstances. Factors relevant to the auditor’s</w:t>
      </w:r>
      <w:r>
        <w:rPr>
          <w:spacing w:val="-4"/>
        </w:rPr>
        <w:t xml:space="preserve"> </w:t>
      </w:r>
      <w:r>
        <w:t>evaluation</w:t>
      </w:r>
      <w:r>
        <w:rPr>
          <w:spacing w:val="-4"/>
        </w:rPr>
        <w:t xml:space="preserve"> </w:t>
      </w:r>
      <w:r>
        <w:t>of</w:t>
      </w:r>
      <w:r>
        <w:rPr>
          <w:spacing w:val="-4"/>
        </w:rPr>
        <w:t xml:space="preserve"> </w:t>
      </w:r>
      <w:r>
        <w:t>those</w:t>
      </w:r>
      <w:r>
        <w:rPr>
          <w:spacing w:val="-4"/>
        </w:rPr>
        <w:t xml:space="preserve"> </w:t>
      </w:r>
      <w:r>
        <w:t>assumptions</w:t>
      </w:r>
      <w:r>
        <w:rPr>
          <w:spacing w:val="-4"/>
        </w:rPr>
        <w:t xml:space="preserve"> </w:t>
      </w:r>
      <w:r>
        <w:t>and</w:t>
      </w:r>
      <w:r>
        <w:rPr>
          <w:spacing w:val="-5"/>
        </w:rPr>
        <w:t xml:space="preserve"> </w:t>
      </w:r>
      <w:r>
        <w:t>methods</w:t>
      </w:r>
      <w:r>
        <w:rPr>
          <w:spacing w:val="-4"/>
        </w:rPr>
        <w:t xml:space="preserve"> </w:t>
      </w:r>
      <w:r>
        <w:t>include</w:t>
      </w:r>
      <w:r>
        <w:rPr>
          <w:spacing w:val="-4"/>
        </w:rPr>
        <w:t xml:space="preserve"> </w:t>
      </w:r>
      <w:r>
        <w:t>whether</w:t>
      </w:r>
      <w:r>
        <w:rPr>
          <w:spacing w:val="-4"/>
        </w:rPr>
        <w:t xml:space="preserve"> </w:t>
      </w:r>
      <w:r>
        <w:t>they</w:t>
      </w:r>
      <w:r>
        <w:rPr>
          <w:spacing w:val="-4"/>
        </w:rPr>
        <w:t xml:space="preserve"> </w:t>
      </w:r>
      <w:r>
        <w:t>are</w:t>
      </w:r>
    </w:p>
    <w:p w14:paraId="0DFDAD18" w14:textId="77777777" w:rsidR="00046465" w:rsidRDefault="008134EB">
      <w:pPr>
        <w:pStyle w:val="ListParagraph"/>
        <w:numPr>
          <w:ilvl w:val="1"/>
          <w:numId w:val="219"/>
        </w:numPr>
        <w:tabs>
          <w:tab w:val="left" w:pos="2159"/>
        </w:tabs>
        <w:ind w:left="2159" w:hanging="359"/>
      </w:pPr>
      <w:r>
        <w:t>generally</w:t>
      </w:r>
      <w:r>
        <w:rPr>
          <w:spacing w:val="-9"/>
        </w:rPr>
        <w:t xml:space="preserve"> </w:t>
      </w:r>
      <w:r>
        <w:t>accepted</w:t>
      </w:r>
      <w:r>
        <w:rPr>
          <w:spacing w:val="-8"/>
        </w:rPr>
        <w:t xml:space="preserve"> </w:t>
      </w:r>
      <w:r>
        <w:t>within</w:t>
      </w:r>
      <w:r>
        <w:rPr>
          <w:spacing w:val="-9"/>
        </w:rPr>
        <w:t xml:space="preserve"> </w:t>
      </w:r>
      <w:r>
        <w:t>the</w:t>
      </w:r>
      <w:r>
        <w:rPr>
          <w:spacing w:val="-8"/>
        </w:rPr>
        <w:t xml:space="preserve"> </w:t>
      </w:r>
      <w:r>
        <w:t>specialist’s</w:t>
      </w:r>
      <w:r>
        <w:rPr>
          <w:spacing w:val="-8"/>
        </w:rPr>
        <w:t xml:space="preserve"> </w:t>
      </w:r>
      <w:r>
        <w:rPr>
          <w:spacing w:val="-2"/>
        </w:rPr>
        <w:t>field;</w:t>
      </w:r>
    </w:p>
    <w:p w14:paraId="0DFDAD19" w14:textId="77777777" w:rsidR="00046465" w:rsidRDefault="008134EB">
      <w:pPr>
        <w:pStyle w:val="ListParagraph"/>
        <w:numPr>
          <w:ilvl w:val="1"/>
          <w:numId w:val="219"/>
        </w:numPr>
        <w:tabs>
          <w:tab w:val="left" w:pos="2159"/>
        </w:tabs>
        <w:spacing w:before="119"/>
        <w:ind w:left="2159" w:right="1663"/>
      </w:pPr>
      <w:r>
        <w:t>consistent</w:t>
      </w:r>
      <w:r>
        <w:rPr>
          <w:spacing w:val="-5"/>
        </w:rPr>
        <w:t xml:space="preserve"> </w:t>
      </w:r>
      <w:r>
        <w:t>with</w:t>
      </w:r>
      <w:r>
        <w:rPr>
          <w:spacing w:val="-5"/>
        </w:rPr>
        <w:t xml:space="preserve"> </w:t>
      </w:r>
      <w:r>
        <w:t>the</w:t>
      </w:r>
      <w:r>
        <w:rPr>
          <w:spacing w:val="-5"/>
        </w:rPr>
        <w:t xml:space="preserve"> </w:t>
      </w:r>
      <w:r>
        <w:t>requirements</w:t>
      </w:r>
      <w:r>
        <w:rPr>
          <w:spacing w:val="-5"/>
        </w:rPr>
        <w:t xml:space="preserve"> </w:t>
      </w:r>
      <w:r>
        <w:t>of</w:t>
      </w:r>
      <w:r>
        <w:rPr>
          <w:spacing w:val="-5"/>
        </w:rPr>
        <w:t xml:space="preserve"> </w:t>
      </w:r>
      <w:r>
        <w:t>the</w:t>
      </w:r>
      <w:r>
        <w:rPr>
          <w:spacing w:val="-5"/>
        </w:rPr>
        <w:t xml:space="preserve"> </w:t>
      </w:r>
      <w:r>
        <w:t>applicable</w:t>
      </w:r>
      <w:r>
        <w:rPr>
          <w:spacing w:val="-6"/>
        </w:rPr>
        <w:t xml:space="preserve"> </w:t>
      </w:r>
      <w:r>
        <w:t>financial</w:t>
      </w:r>
      <w:r>
        <w:rPr>
          <w:spacing w:val="-6"/>
        </w:rPr>
        <w:t xml:space="preserve"> </w:t>
      </w:r>
      <w:r>
        <w:t>reporting framework (generally U.S. GAAP);</w:t>
      </w:r>
    </w:p>
    <w:p w14:paraId="0DFDAD1A" w14:textId="77777777" w:rsidR="00046465" w:rsidRDefault="008134EB">
      <w:pPr>
        <w:pStyle w:val="ListParagraph"/>
        <w:numPr>
          <w:ilvl w:val="1"/>
          <w:numId w:val="219"/>
        </w:numPr>
        <w:tabs>
          <w:tab w:val="left" w:pos="2159"/>
        </w:tabs>
        <w:spacing w:before="121"/>
        <w:ind w:left="2159" w:hanging="359"/>
      </w:pPr>
      <w:r>
        <w:t>dependent</w:t>
      </w:r>
      <w:r>
        <w:rPr>
          <w:spacing w:val="-6"/>
        </w:rPr>
        <w:t xml:space="preserve"> </w:t>
      </w:r>
      <w:r>
        <w:t>on</w:t>
      </w:r>
      <w:r>
        <w:rPr>
          <w:spacing w:val="-6"/>
        </w:rPr>
        <w:t xml:space="preserve"> </w:t>
      </w:r>
      <w:r>
        <w:t>the</w:t>
      </w:r>
      <w:r>
        <w:rPr>
          <w:spacing w:val="-6"/>
        </w:rPr>
        <w:t xml:space="preserve"> </w:t>
      </w:r>
      <w:r>
        <w:t>use</w:t>
      </w:r>
      <w:r>
        <w:rPr>
          <w:spacing w:val="-5"/>
        </w:rPr>
        <w:t xml:space="preserve"> </w:t>
      </w:r>
      <w:r>
        <w:t>of</w:t>
      </w:r>
      <w:r>
        <w:rPr>
          <w:spacing w:val="-7"/>
        </w:rPr>
        <w:t xml:space="preserve"> </w:t>
      </w:r>
      <w:r>
        <w:t>specialized</w:t>
      </w:r>
      <w:r>
        <w:rPr>
          <w:spacing w:val="-7"/>
        </w:rPr>
        <w:t xml:space="preserve"> </w:t>
      </w:r>
      <w:r>
        <w:t>models</w:t>
      </w:r>
      <w:r>
        <w:rPr>
          <w:spacing w:val="-5"/>
        </w:rPr>
        <w:t xml:space="preserve"> </w:t>
      </w:r>
      <w:r>
        <w:t>(see</w:t>
      </w:r>
      <w:r>
        <w:rPr>
          <w:spacing w:val="-6"/>
        </w:rPr>
        <w:t xml:space="preserve"> </w:t>
      </w:r>
      <w:r>
        <w:t>FAM</w:t>
      </w:r>
      <w:r>
        <w:rPr>
          <w:spacing w:val="-7"/>
        </w:rPr>
        <w:t xml:space="preserve"> </w:t>
      </w:r>
      <w:r>
        <w:t>905);</w:t>
      </w:r>
      <w:r>
        <w:rPr>
          <w:spacing w:val="-5"/>
        </w:rPr>
        <w:t xml:space="preserve"> and</w:t>
      </w:r>
    </w:p>
    <w:p w14:paraId="0DFDAD1B" w14:textId="77777777" w:rsidR="00046465" w:rsidRDefault="008134EB">
      <w:pPr>
        <w:pStyle w:val="ListParagraph"/>
        <w:numPr>
          <w:ilvl w:val="1"/>
          <w:numId w:val="219"/>
        </w:numPr>
        <w:tabs>
          <w:tab w:val="left" w:pos="2159"/>
        </w:tabs>
        <w:ind w:left="2159" w:right="928"/>
      </w:pPr>
      <w:r>
        <w:t>consistent</w:t>
      </w:r>
      <w:r>
        <w:rPr>
          <w:spacing w:val="-4"/>
        </w:rPr>
        <w:t xml:space="preserve"> </w:t>
      </w:r>
      <w:r>
        <w:t>with</w:t>
      </w:r>
      <w:r>
        <w:rPr>
          <w:spacing w:val="-4"/>
        </w:rPr>
        <w:t xml:space="preserve"> </w:t>
      </w:r>
      <w:r>
        <w:t>those</w:t>
      </w:r>
      <w:r>
        <w:rPr>
          <w:spacing w:val="-4"/>
        </w:rPr>
        <w:t xml:space="preserve"> </w:t>
      </w:r>
      <w:r>
        <w:t>of</w:t>
      </w:r>
      <w:r>
        <w:rPr>
          <w:spacing w:val="-5"/>
        </w:rPr>
        <w:t xml:space="preserve"> </w:t>
      </w:r>
      <w:r>
        <w:t>management—if</w:t>
      </w:r>
      <w:r>
        <w:rPr>
          <w:spacing w:val="-4"/>
        </w:rPr>
        <w:t xml:space="preserve"> </w:t>
      </w:r>
      <w:r>
        <w:t>not</w:t>
      </w:r>
      <w:r>
        <w:rPr>
          <w:spacing w:val="-4"/>
        </w:rPr>
        <w:t xml:space="preserve"> </w:t>
      </w:r>
      <w:r>
        <w:t>consistent,</w:t>
      </w:r>
      <w:r>
        <w:rPr>
          <w:spacing w:val="-4"/>
        </w:rPr>
        <w:t xml:space="preserve"> </w:t>
      </w:r>
      <w:r>
        <w:t>the</w:t>
      </w:r>
      <w:r>
        <w:rPr>
          <w:spacing w:val="-5"/>
        </w:rPr>
        <w:t xml:space="preserve"> </w:t>
      </w:r>
      <w:r>
        <w:t>reason</w:t>
      </w:r>
      <w:r>
        <w:rPr>
          <w:spacing w:val="-4"/>
        </w:rPr>
        <w:t xml:space="preserve"> </w:t>
      </w:r>
      <w:r>
        <w:t>for,</w:t>
      </w:r>
      <w:r>
        <w:rPr>
          <w:spacing w:val="-4"/>
        </w:rPr>
        <w:t xml:space="preserve"> </w:t>
      </w:r>
      <w:r>
        <w:t>and effects of, the differences should be provided. (AU-C 620.A40)</w:t>
      </w:r>
    </w:p>
    <w:p w14:paraId="0DFDAD1C" w14:textId="77777777" w:rsidR="00046465" w:rsidRDefault="008134EB">
      <w:pPr>
        <w:pStyle w:val="ListParagraph"/>
        <w:numPr>
          <w:ilvl w:val="0"/>
          <w:numId w:val="219"/>
        </w:numPr>
        <w:tabs>
          <w:tab w:val="left" w:pos="1800"/>
        </w:tabs>
        <w:spacing w:before="119"/>
        <w:ind w:right="725"/>
      </w:pPr>
      <w:r>
        <w:t>When the purpose of the auditor’s specialist’s work is to evaluate underlying assumptions and methods, including models, when applicable, that management uses in developing an accounting estimate, the auditor’s procedures are likely to be</w:t>
      </w:r>
      <w:r>
        <w:rPr>
          <w:spacing w:val="-4"/>
        </w:rPr>
        <w:t xml:space="preserve"> </w:t>
      </w:r>
      <w:r>
        <w:t>primarily</w:t>
      </w:r>
      <w:r>
        <w:rPr>
          <w:spacing w:val="-5"/>
        </w:rPr>
        <w:t xml:space="preserve"> </w:t>
      </w:r>
      <w:r>
        <w:t>directed</w:t>
      </w:r>
      <w:r>
        <w:rPr>
          <w:spacing w:val="-4"/>
        </w:rPr>
        <w:t xml:space="preserve"> </w:t>
      </w:r>
      <w:r>
        <w:t>to</w:t>
      </w:r>
      <w:r>
        <w:rPr>
          <w:spacing w:val="-4"/>
        </w:rPr>
        <w:t xml:space="preserve"> </w:t>
      </w:r>
      <w:r>
        <w:t>evaluating</w:t>
      </w:r>
      <w:r>
        <w:rPr>
          <w:spacing w:val="-4"/>
        </w:rPr>
        <w:t xml:space="preserve"> </w:t>
      </w:r>
      <w:r>
        <w:t>whether</w:t>
      </w:r>
      <w:r>
        <w:rPr>
          <w:spacing w:val="-4"/>
        </w:rPr>
        <w:t xml:space="preserve"> </w:t>
      </w:r>
      <w:r>
        <w:t>the</w:t>
      </w:r>
      <w:r>
        <w:rPr>
          <w:spacing w:val="-4"/>
        </w:rPr>
        <w:t xml:space="preserve"> </w:t>
      </w:r>
      <w:r>
        <w:t>auditor’s</w:t>
      </w:r>
      <w:r>
        <w:rPr>
          <w:spacing w:val="-3"/>
        </w:rPr>
        <w:t xml:space="preserve"> </w:t>
      </w:r>
      <w:r>
        <w:t>specialist</w:t>
      </w:r>
      <w:r>
        <w:rPr>
          <w:spacing w:val="-4"/>
        </w:rPr>
        <w:t xml:space="preserve"> </w:t>
      </w:r>
      <w:r>
        <w:t>has</w:t>
      </w:r>
      <w:r>
        <w:rPr>
          <w:spacing w:val="-5"/>
        </w:rPr>
        <w:t xml:space="preserve"> </w:t>
      </w:r>
      <w:r>
        <w:t>adequately reviewed those assumptions and methods. When the purpose of the auditor’s specialist’s</w:t>
      </w:r>
      <w:r>
        <w:rPr>
          <w:spacing w:val="-4"/>
        </w:rPr>
        <w:t xml:space="preserve"> </w:t>
      </w:r>
      <w:r>
        <w:t>work</w:t>
      </w:r>
      <w:r>
        <w:rPr>
          <w:spacing w:val="-3"/>
        </w:rPr>
        <w:t xml:space="preserve"> </w:t>
      </w:r>
      <w:r>
        <w:t>is</w:t>
      </w:r>
      <w:r>
        <w:rPr>
          <w:spacing w:val="-3"/>
        </w:rPr>
        <w:t xml:space="preserve"> </w:t>
      </w:r>
      <w:r>
        <w:t>to</w:t>
      </w:r>
      <w:r>
        <w:rPr>
          <w:spacing w:val="-3"/>
        </w:rPr>
        <w:t xml:space="preserve"> </w:t>
      </w:r>
      <w:r>
        <w:t>develop</w:t>
      </w:r>
      <w:r>
        <w:rPr>
          <w:spacing w:val="-3"/>
        </w:rPr>
        <w:t xml:space="preserve"> </w:t>
      </w:r>
      <w:r>
        <w:t>an</w:t>
      </w:r>
      <w:r>
        <w:rPr>
          <w:spacing w:val="-3"/>
        </w:rPr>
        <w:t xml:space="preserve"> </w:t>
      </w:r>
      <w:r>
        <w:t>auditor’s</w:t>
      </w:r>
      <w:r>
        <w:rPr>
          <w:spacing w:val="-2"/>
        </w:rPr>
        <w:t xml:space="preserve"> </w:t>
      </w:r>
      <w:r>
        <w:t>point</w:t>
      </w:r>
      <w:r>
        <w:rPr>
          <w:spacing w:val="-3"/>
        </w:rPr>
        <w:t xml:space="preserve"> </w:t>
      </w:r>
      <w:r>
        <w:t>estimate</w:t>
      </w:r>
      <w:r>
        <w:rPr>
          <w:spacing w:val="-3"/>
        </w:rPr>
        <w:t xml:space="preserve"> </w:t>
      </w:r>
      <w:r>
        <w:t>or</w:t>
      </w:r>
      <w:r>
        <w:rPr>
          <w:spacing w:val="-3"/>
        </w:rPr>
        <w:t xml:space="preserve"> </w:t>
      </w:r>
      <w:r>
        <w:t>an</w:t>
      </w:r>
      <w:r>
        <w:rPr>
          <w:spacing w:val="-3"/>
        </w:rPr>
        <w:t xml:space="preserve"> </w:t>
      </w:r>
      <w:r>
        <w:t>auditor’s</w:t>
      </w:r>
      <w:r>
        <w:rPr>
          <w:spacing w:val="-3"/>
        </w:rPr>
        <w:t xml:space="preserve"> </w:t>
      </w:r>
      <w:r>
        <w:t>range</w:t>
      </w:r>
      <w:r>
        <w:rPr>
          <w:spacing w:val="-3"/>
        </w:rPr>
        <w:t xml:space="preserve"> </w:t>
      </w:r>
      <w:r>
        <w:t>for comparison with management’s point estimate, the auditor’s procedures may be primarily directed to evaluating the assumptions and methods, including models, when appropriate, used by the specialist. (AU-C 620.A38)</w:t>
      </w:r>
    </w:p>
    <w:p w14:paraId="0DFDAD1D" w14:textId="77777777" w:rsidR="00046465" w:rsidRDefault="008134EB">
      <w:pPr>
        <w:pStyle w:val="ListParagraph"/>
        <w:numPr>
          <w:ilvl w:val="0"/>
          <w:numId w:val="219"/>
        </w:numPr>
        <w:tabs>
          <w:tab w:val="left" w:pos="1800"/>
        </w:tabs>
        <w:spacing w:before="121"/>
        <w:ind w:right="1007"/>
      </w:pPr>
      <w:r>
        <w:t>FAM 905 discusses the assumptions and methods that management uses in making accounting estimates, including the use, in some cases, of highly specialized,</w:t>
      </w:r>
      <w:r>
        <w:rPr>
          <w:spacing w:val="-5"/>
        </w:rPr>
        <w:t xml:space="preserve"> </w:t>
      </w:r>
      <w:r>
        <w:t>entity-developed</w:t>
      </w:r>
      <w:r>
        <w:rPr>
          <w:spacing w:val="-5"/>
        </w:rPr>
        <w:t xml:space="preserve"> </w:t>
      </w:r>
      <w:r>
        <w:t>models.</w:t>
      </w:r>
      <w:r>
        <w:rPr>
          <w:spacing w:val="-5"/>
        </w:rPr>
        <w:t xml:space="preserve"> </w:t>
      </w:r>
      <w:r>
        <w:t>Although</w:t>
      </w:r>
      <w:r>
        <w:rPr>
          <w:spacing w:val="-5"/>
        </w:rPr>
        <w:t xml:space="preserve"> </w:t>
      </w:r>
      <w:r>
        <w:t>that</w:t>
      </w:r>
      <w:r>
        <w:rPr>
          <w:spacing w:val="-5"/>
        </w:rPr>
        <w:t xml:space="preserve"> </w:t>
      </w:r>
      <w:r>
        <w:t>discussion</w:t>
      </w:r>
      <w:r>
        <w:rPr>
          <w:spacing w:val="-5"/>
        </w:rPr>
        <w:t xml:space="preserve"> </w:t>
      </w:r>
      <w:r>
        <w:t>is</w:t>
      </w:r>
      <w:r>
        <w:rPr>
          <w:spacing w:val="-5"/>
        </w:rPr>
        <w:t xml:space="preserve"> </w:t>
      </w:r>
      <w:r>
        <w:t>written</w:t>
      </w:r>
      <w:r>
        <w:rPr>
          <w:spacing w:val="-5"/>
        </w:rPr>
        <w:t xml:space="preserve"> </w:t>
      </w:r>
      <w:r>
        <w:t>in</w:t>
      </w:r>
      <w:r>
        <w:rPr>
          <w:spacing w:val="-5"/>
        </w:rPr>
        <w:t xml:space="preserve"> </w:t>
      </w:r>
      <w:r>
        <w:t>the context of the auditor obtaining sufficient appropriate audit evidence regarding management’s assumptions and methods, it also may assist the auditor when evaluating the assumptions and methods of an auditor’s specialist</w:t>
      </w:r>
    </w:p>
    <w:p w14:paraId="0DFDAD1E" w14:textId="77777777" w:rsidR="00046465" w:rsidRDefault="008134EB">
      <w:pPr>
        <w:pStyle w:val="BodyText"/>
        <w:ind w:left="1800"/>
      </w:pPr>
      <w:r>
        <w:t>(AU-C</w:t>
      </w:r>
      <w:r>
        <w:rPr>
          <w:spacing w:val="-10"/>
        </w:rPr>
        <w:t xml:space="preserve"> </w:t>
      </w:r>
      <w:r>
        <w:rPr>
          <w:spacing w:val="-2"/>
        </w:rPr>
        <w:t>620.A39).</w:t>
      </w:r>
    </w:p>
    <w:p w14:paraId="0DFDAD1F" w14:textId="77777777" w:rsidR="00046465" w:rsidRDefault="008134EB">
      <w:pPr>
        <w:pStyle w:val="Heading5"/>
        <w:rPr>
          <w:u w:val="none"/>
        </w:rPr>
      </w:pPr>
      <w:bookmarkStart w:id="34" w:name="Evaluating_Source_Data"/>
      <w:bookmarkEnd w:id="34"/>
      <w:r>
        <w:t>Evaluating</w:t>
      </w:r>
      <w:r>
        <w:rPr>
          <w:spacing w:val="-5"/>
        </w:rPr>
        <w:t xml:space="preserve"> </w:t>
      </w:r>
      <w:r>
        <w:t>Source</w:t>
      </w:r>
      <w:r>
        <w:rPr>
          <w:spacing w:val="-5"/>
        </w:rPr>
        <w:t xml:space="preserve"> </w:t>
      </w:r>
      <w:r>
        <w:rPr>
          <w:spacing w:val="-4"/>
        </w:rPr>
        <w:t>Data</w:t>
      </w:r>
    </w:p>
    <w:p w14:paraId="0DFDAD20" w14:textId="77777777" w:rsidR="00046465" w:rsidRDefault="008134EB">
      <w:pPr>
        <w:pStyle w:val="ListParagraph"/>
        <w:numPr>
          <w:ilvl w:val="0"/>
          <w:numId w:val="219"/>
        </w:numPr>
        <w:tabs>
          <w:tab w:val="left" w:pos="1800"/>
        </w:tabs>
        <w:spacing w:before="118"/>
        <w:ind w:right="838"/>
      </w:pPr>
      <w:r>
        <w:t>As discussed in FAM 410.02, the auditor should evaluate the relevance and reliability</w:t>
      </w:r>
      <w:r>
        <w:rPr>
          <w:spacing w:val="-4"/>
        </w:rPr>
        <w:t xml:space="preserve"> </w:t>
      </w:r>
      <w:r>
        <w:t>of</w:t>
      </w:r>
      <w:r>
        <w:rPr>
          <w:spacing w:val="-4"/>
        </w:rPr>
        <w:t xml:space="preserve"> </w:t>
      </w:r>
      <w:r>
        <w:t>information</w:t>
      </w:r>
      <w:r>
        <w:rPr>
          <w:spacing w:val="-4"/>
        </w:rPr>
        <w:t xml:space="preserve"> </w:t>
      </w:r>
      <w:r>
        <w:t>to</w:t>
      </w:r>
      <w:r>
        <w:rPr>
          <w:spacing w:val="-4"/>
        </w:rPr>
        <w:t xml:space="preserve"> </w:t>
      </w:r>
      <w:r>
        <w:t>be</w:t>
      </w:r>
      <w:r>
        <w:rPr>
          <w:spacing w:val="-4"/>
        </w:rPr>
        <w:t xml:space="preserve"> </w:t>
      </w:r>
      <w:r>
        <w:t>used</w:t>
      </w:r>
      <w:r>
        <w:rPr>
          <w:spacing w:val="-4"/>
        </w:rPr>
        <w:t xml:space="preserve"> </w:t>
      </w:r>
      <w:r>
        <w:t>as</w:t>
      </w:r>
      <w:r>
        <w:rPr>
          <w:spacing w:val="-4"/>
        </w:rPr>
        <w:t xml:space="preserve"> </w:t>
      </w:r>
      <w:r>
        <w:t>audit</w:t>
      </w:r>
      <w:r>
        <w:rPr>
          <w:spacing w:val="-4"/>
        </w:rPr>
        <w:t xml:space="preserve"> </w:t>
      </w:r>
      <w:r>
        <w:t>evidence,</w:t>
      </w:r>
      <w:r>
        <w:rPr>
          <w:spacing w:val="-4"/>
        </w:rPr>
        <w:t xml:space="preserve"> </w:t>
      </w:r>
      <w:r>
        <w:t>including</w:t>
      </w:r>
      <w:r>
        <w:rPr>
          <w:spacing w:val="-4"/>
        </w:rPr>
        <w:t xml:space="preserve"> </w:t>
      </w:r>
      <w:r>
        <w:t>its</w:t>
      </w:r>
      <w:r>
        <w:rPr>
          <w:spacing w:val="-4"/>
        </w:rPr>
        <w:t xml:space="preserve"> </w:t>
      </w:r>
      <w:r>
        <w:t>source.</w:t>
      </w:r>
      <w:r>
        <w:rPr>
          <w:spacing w:val="-4"/>
        </w:rPr>
        <w:t xml:space="preserve"> </w:t>
      </w:r>
      <w:r>
        <w:t>When the work of an auditor’s specialist involves the use of source data that are significant to the work of the auditor's specialist, the auditor may perform procedures such as the following to test such data (AU-C 620.A41):</w:t>
      </w:r>
    </w:p>
    <w:p w14:paraId="0DFDAD21" w14:textId="77777777" w:rsidR="00046465" w:rsidRDefault="008134EB">
      <w:pPr>
        <w:pStyle w:val="ListParagraph"/>
        <w:numPr>
          <w:ilvl w:val="1"/>
          <w:numId w:val="219"/>
        </w:numPr>
        <w:tabs>
          <w:tab w:val="left" w:pos="2159"/>
        </w:tabs>
        <w:ind w:left="2159" w:right="953"/>
      </w:pPr>
      <w:r>
        <w:t>verifying</w:t>
      </w:r>
      <w:r>
        <w:rPr>
          <w:spacing w:val="-4"/>
        </w:rPr>
        <w:t xml:space="preserve"> </w:t>
      </w:r>
      <w:r>
        <w:t>the</w:t>
      </w:r>
      <w:r>
        <w:rPr>
          <w:spacing w:val="-5"/>
        </w:rPr>
        <w:t xml:space="preserve"> </w:t>
      </w:r>
      <w:r>
        <w:t>origin</w:t>
      </w:r>
      <w:r>
        <w:rPr>
          <w:spacing w:val="-4"/>
        </w:rPr>
        <w:t xml:space="preserve"> </w:t>
      </w:r>
      <w:r>
        <w:t>of</w:t>
      </w:r>
      <w:r>
        <w:rPr>
          <w:spacing w:val="-4"/>
        </w:rPr>
        <w:t xml:space="preserve"> </w:t>
      </w:r>
      <w:r>
        <w:t>the</w:t>
      </w:r>
      <w:r>
        <w:rPr>
          <w:spacing w:val="-5"/>
        </w:rPr>
        <w:t xml:space="preserve"> </w:t>
      </w:r>
      <w:r>
        <w:t>data,</w:t>
      </w:r>
      <w:r>
        <w:rPr>
          <w:spacing w:val="-4"/>
        </w:rPr>
        <w:t xml:space="preserve"> </w:t>
      </w:r>
      <w:r>
        <w:t>including</w:t>
      </w:r>
      <w:r>
        <w:rPr>
          <w:spacing w:val="-4"/>
        </w:rPr>
        <w:t xml:space="preserve"> </w:t>
      </w:r>
      <w:r>
        <w:t>obtaining</w:t>
      </w:r>
      <w:r>
        <w:rPr>
          <w:spacing w:val="-4"/>
        </w:rPr>
        <w:t xml:space="preserve"> </w:t>
      </w:r>
      <w:r>
        <w:t>an</w:t>
      </w:r>
      <w:r>
        <w:rPr>
          <w:spacing w:val="-4"/>
        </w:rPr>
        <w:t xml:space="preserve"> </w:t>
      </w:r>
      <w:r>
        <w:t>understanding</w:t>
      </w:r>
      <w:r>
        <w:rPr>
          <w:spacing w:val="-4"/>
        </w:rPr>
        <w:t xml:space="preserve"> </w:t>
      </w:r>
      <w:r>
        <w:t>of</w:t>
      </w:r>
      <w:r>
        <w:rPr>
          <w:spacing w:val="-4"/>
        </w:rPr>
        <w:t xml:space="preserve"> </w:t>
      </w:r>
      <w:r>
        <w:t>and, when applicable, testing the internal controls over the data and, when relevant, their transmission to the auditor’s specialist, and</w:t>
      </w:r>
    </w:p>
    <w:p w14:paraId="0DFDAD22" w14:textId="77777777" w:rsidR="00046465" w:rsidRDefault="008134EB">
      <w:pPr>
        <w:pStyle w:val="ListParagraph"/>
        <w:numPr>
          <w:ilvl w:val="1"/>
          <w:numId w:val="219"/>
        </w:numPr>
        <w:tabs>
          <w:tab w:val="left" w:pos="2159"/>
        </w:tabs>
        <w:spacing w:before="121"/>
        <w:ind w:left="2159" w:hanging="359"/>
      </w:pPr>
      <w:r>
        <w:t>reviewing</w:t>
      </w:r>
      <w:r>
        <w:rPr>
          <w:spacing w:val="-7"/>
        </w:rPr>
        <w:t xml:space="preserve"> </w:t>
      </w:r>
      <w:r>
        <w:t>the</w:t>
      </w:r>
      <w:r>
        <w:rPr>
          <w:spacing w:val="-7"/>
        </w:rPr>
        <w:t xml:space="preserve"> </w:t>
      </w:r>
      <w:r>
        <w:t>data</w:t>
      </w:r>
      <w:r>
        <w:rPr>
          <w:spacing w:val="-7"/>
        </w:rPr>
        <w:t xml:space="preserve"> </w:t>
      </w:r>
      <w:r>
        <w:t>for</w:t>
      </w:r>
      <w:r>
        <w:rPr>
          <w:spacing w:val="-7"/>
        </w:rPr>
        <w:t xml:space="preserve"> </w:t>
      </w:r>
      <w:r>
        <w:t>completeness</w:t>
      </w:r>
      <w:r>
        <w:rPr>
          <w:spacing w:val="-8"/>
        </w:rPr>
        <w:t xml:space="preserve"> </w:t>
      </w:r>
      <w:r>
        <w:t>and</w:t>
      </w:r>
      <w:r>
        <w:rPr>
          <w:spacing w:val="-6"/>
        </w:rPr>
        <w:t xml:space="preserve"> </w:t>
      </w:r>
      <w:r>
        <w:t>internal</w:t>
      </w:r>
      <w:r>
        <w:rPr>
          <w:spacing w:val="-8"/>
        </w:rPr>
        <w:t xml:space="preserve"> </w:t>
      </w:r>
      <w:r>
        <w:rPr>
          <w:spacing w:val="-2"/>
        </w:rPr>
        <w:t>consistency.</w:t>
      </w:r>
    </w:p>
    <w:p w14:paraId="0DFDAD23" w14:textId="77777777" w:rsidR="00046465" w:rsidRDefault="008134EB">
      <w:pPr>
        <w:pStyle w:val="ListParagraph"/>
        <w:numPr>
          <w:ilvl w:val="0"/>
          <w:numId w:val="219"/>
        </w:numPr>
        <w:tabs>
          <w:tab w:val="left" w:pos="1800"/>
        </w:tabs>
        <w:ind w:right="762"/>
      </w:pPr>
      <w:r>
        <w:t>In many cases, the auditor may test source data. However, in other cases, when the nature of the source</w:t>
      </w:r>
      <w:r>
        <w:rPr>
          <w:spacing w:val="-1"/>
        </w:rPr>
        <w:t xml:space="preserve"> </w:t>
      </w:r>
      <w:r>
        <w:t>data used by an auditor’s specialist</w:t>
      </w:r>
      <w:r>
        <w:rPr>
          <w:spacing w:val="-1"/>
        </w:rPr>
        <w:t xml:space="preserve"> </w:t>
      </w:r>
      <w:r>
        <w:t>is highly</w:t>
      </w:r>
      <w:r>
        <w:rPr>
          <w:spacing w:val="-1"/>
        </w:rPr>
        <w:t xml:space="preserve"> </w:t>
      </w:r>
      <w:r>
        <w:t>technical in relation</w:t>
      </w:r>
      <w:r>
        <w:rPr>
          <w:spacing w:val="-3"/>
        </w:rPr>
        <w:t xml:space="preserve"> </w:t>
      </w:r>
      <w:r>
        <w:t>to</w:t>
      </w:r>
      <w:r>
        <w:rPr>
          <w:spacing w:val="-3"/>
        </w:rPr>
        <w:t xml:space="preserve"> </w:t>
      </w:r>
      <w:r>
        <w:t>the</w:t>
      </w:r>
      <w:r>
        <w:rPr>
          <w:spacing w:val="-3"/>
        </w:rPr>
        <w:t xml:space="preserve"> </w:t>
      </w:r>
      <w:r>
        <w:t>field</w:t>
      </w:r>
      <w:r>
        <w:rPr>
          <w:spacing w:val="-3"/>
        </w:rPr>
        <w:t xml:space="preserve"> </w:t>
      </w:r>
      <w:r>
        <w:t>of</w:t>
      </w:r>
      <w:r>
        <w:rPr>
          <w:spacing w:val="-3"/>
        </w:rPr>
        <w:t xml:space="preserve"> </w:t>
      </w:r>
      <w:r>
        <w:t>the</w:t>
      </w:r>
      <w:r>
        <w:rPr>
          <w:spacing w:val="-4"/>
        </w:rPr>
        <w:t xml:space="preserve"> </w:t>
      </w:r>
      <w:r>
        <w:t>auditor’s</w:t>
      </w:r>
      <w:r>
        <w:rPr>
          <w:spacing w:val="-3"/>
        </w:rPr>
        <w:t xml:space="preserve"> </w:t>
      </w:r>
      <w:r>
        <w:t>specialist,</w:t>
      </w:r>
      <w:r>
        <w:rPr>
          <w:spacing w:val="-3"/>
        </w:rPr>
        <w:t xml:space="preserve"> </w:t>
      </w:r>
      <w:r>
        <w:t>that</w:t>
      </w:r>
      <w:r>
        <w:rPr>
          <w:spacing w:val="-5"/>
        </w:rPr>
        <w:t xml:space="preserve"> </w:t>
      </w:r>
      <w:r>
        <w:t>auditor’s</w:t>
      </w:r>
      <w:r>
        <w:rPr>
          <w:spacing w:val="-3"/>
        </w:rPr>
        <w:t xml:space="preserve"> </w:t>
      </w:r>
      <w:r>
        <w:t>specialist</w:t>
      </w:r>
      <w:r>
        <w:rPr>
          <w:spacing w:val="-3"/>
        </w:rPr>
        <w:t xml:space="preserve"> </w:t>
      </w:r>
      <w:r>
        <w:t>may</w:t>
      </w:r>
      <w:r>
        <w:rPr>
          <w:spacing w:val="-3"/>
        </w:rPr>
        <w:t xml:space="preserve"> </w:t>
      </w:r>
      <w:r>
        <w:t>test</w:t>
      </w:r>
      <w:r>
        <w:rPr>
          <w:spacing w:val="-3"/>
        </w:rPr>
        <w:t xml:space="preserve"> </w:t>
      </w:r>
      <w:r>
        <w:t>the source data. If the auditor’s specialist has tested the source data, it may be appropriate for the auditor to conduct inquiry of the auditor’s specialist or to</w:t>
      </w:r>
    </w:p>
    <w:p w14:paraId="0DFDAD24" w14:textId="77777777" w:rsidR="00046465" w:rsidRDefault="00046465">
      <w:pPr>
        <w:pStyle w:val="ListParagraph"/>
        <w:sectPr w:rsidR="00046465">
          <w:pgSz w:w="12240" w:h="15840"/>
          <w:pgMar w:top="1340" w:right="720" w:bottom="940" w:left="1080" w:header="721" w:footer="757" w:gutter="0"/>
          <w:cols w:space="720"/>
        </w:sectPr>
      </w:pPr>
    </w:p>
    <w:p w14:paraId="0DFDAD25" w14:textId="77777777" w:rsidR="00046465" w:rsidRDefault="008134EB">
      <w:pPr>
        <w:pStyle w:val="BodyText"/>
        <w:spacing w:before="121"/>
        <w:ind w:left="1800" w:right="749"/>
      </w:pPr>
      <w:r>
        <w:lastRenderedPageBreak/>
        <w:t>supervise</w:t>
      </w:r>
      <w:r>
        <w:rPr>
          <w:spacing w:val="-5"/>
        </w:rPr>
        <w:t xml:space="preserve"> </w:t>
      </w:r>
      <w:r>
        <w:t>or</w:t>
      </w:r>
      <w:r>
        <w:rPr>
          <w:spacing w:val="-4"/>
        </w:rPr>
        <w:t xml:space="preserve"> </w:t>
      </w:r>
      <w:r>
        <w:t>review</w:t>
      </w:r>
      <w:r>
        <w:rPr>
          <w:spacing w:val="-5"/>
        </w:rPr>
        <w:t xml:space="preserve"> </w:t>
      </w:r>
      <w:r>
        <w:t>the</w:t>
      </w:r>
      <w:r>
        <w:rPr>
          <w:spacing w:val="-5"/>
        </w:rPr>
        <w:t xml:space="preserve"> </w:t>
      </w:r>
      <w:r>
        <w:t>specialist’s</w:t>
      </w:r>
      <w:r>
        <w:rPr>
          <w:spacing w:val="-4"/>
        </w:rPr>
        <w:t xml:space="preserve"> </w:t>
      </w:r>
      <w:r>
        <w:t>test</w:t>
      </w:r>
      <w:r>
        <w:rPr>
          <w:spacing w:val="-4"/>
        </w:rPr>
        <w:t xml:space="preserve"> </w:t>
      </w:r>
      <w:r>
        <w:t>to</w:t>
      </w:r>
      <w:r>
        <w:rPr>
          <w:spacing w:val="-4"/>
        </w:rPr>
        <w:t xml:space="preserve"> </w:t>
      </w:r>
      <w:r>
        <w:t>evaluate</w:t>
      </w:r>
      <w:r>
        <w:rPr>
          <w:spacing w:val="-4"/>
        </w:rPr>
        <w:t xml:space="preserve"> </w:t>
      </w:r>
      <w:r>
        <w:t>the</w:t>
      </w:r>
      <w:r>
        <w:rPr>
          <w:spacing w:val="-4"/>
        </w:rPr>
        <w:t xml:space="preserve"> </w:t>
      </w:r>
      <w:r>
        <w:t>data’s</w:t>
      </w:r>
      <w:r>
        <w:rPr>
          <w:spacing w:val="-4"/>
        </w:rPr>
        <w:t xml:space="preserve"> </w:t>
      </w:r>
      <w:r>
        <w:t>relevance, completeness, and accuracy (AU-C 620.A42).</w:t>
      </w:r>
    </w:p>
    <w:p w14:paraId="0DFDAD26" w14:textId="77777777" w:rsidR="00046465" w:rsidRDefault="008134EB">
      <w:pPr>
        <w:pStyle w:val="Heading4"/>
      </w:pPr>
      <w:bookmarkStart w:id="35" w:name="Reference_to_the_Auditor’s_Specialist_in"/>
      <w:bookmarkEnd w:id="35"/>
      <w:r>
        <w:t>Reference</w:t>
      </w:r>
      <w:r>
        <w:rPr>
          <w:spacing w:val="-10"/>
        </w:rPr>
        <w:t xml:space="preserve"> </w:t>
      </w:r>
      <w:r>
        <w:t>to</w:t>
      </w:r>
      <w:r>
        <w:rPr>
          <w:spacing w:val="-11"/>
        </w:rPr>
        <w:t xml:space="preserve"> </w:t>
      </w:r>
      <w:r>
        <w:t>the</w:t>
      </w:r>
      <w:r>
        <w:rPr>
          <w:spacing w:val="-11"/>
        </w:rPr>
        <w:t xml:space="preserve"> </w:t>
      </w:r>
      <w:r>
        <w:t>Auditor’s</w:t>
      </w:r>
      <w:r>
        <w:rPr>
          <w:spacing w:val="-10"/>
        </w:rPr>
        <w:t xml:space="preserve"> </w:t>
      </w:r>
      <w:r>
        <w:t>Specialist</w:t>
      </w:r>
      <w:r>
        <w:rPr>
          <w:spacing w:val="-9"/>
        </w:rPr>
        <w:t xml:space="preserve"> </w:t>
      </w:r>
      <w:r>
        <w:t>in</w:t>
      </w:r>
      <w:r>
        <w:rPr>
          <w:spacing w:val="-11"/>
        </w:rPr>
        <w:t xml:space="preserve"> </w:t>
      </w:r>
      <w:r>
        <w:t>the</w:t>
      </w:r>
      <w:r>
        <w:rPr>
          <w:spacing w:val="-11"/>
        </w:rPr>
        <w:t xml:space="preserve"> </w:t>
      </w:r>
      <w:r>
        <w:t>Auditor’s</w:t>
      </w:r>
      <w:r>
        <w:rPr>
          <w:spacing w:val="-9"/>
        </w:rPr>
        <w:t xml:space="preserve"> </w:t>
      </w:r>
      <w:r>
        <w:rPr>
          <w:spacing w:val="-2"/>
        </w:rPr>
        <w:t>Report</w:t>
      </w:r>
    </w:p>
    <w:p w14:paraId="0DFDAD27" w14:textId="77777777" w:rsidR="00046465" w:rsidRDefault="008134EB">
      <w:pPr>
        <w:pStyle w:val="ListParagraph"/>
        <w:numPr>
          <w:ilvl w:val="0"/>
          <w:numId w:val="219"/>
        </w:numPr>
        <w:tabs>
          <w:tab w:val="left" w:pos="1800"/>
        </w:tabs>
        <w:spacing w:before="119"/>
        <w:ind w:right="810"/>
      </w:pPr>
      <w:r>
        <w:t>The auditor has sole responsibility for the audit opinion expressed, and that responsibility is not reduced by the auditor’s use of the work of an auditor’s specialist. Nonetheless,</w:t>
      </w:r>
      <w:r>
        <w:rPr>
          <w:spacing w:val="-1"/>
        </w:rPr>
        <w:t xml:space="preserve"> </w:t>
      </w:r>
      <w:r>
        <w:t>if the auditor</w:t>
      </w:r>
      <w:r>
        <w:rPr>
          <w:spacing w:val="-1"/>
        </w:rPr>
        <w:t xml:space="preserve"> </w:t>
      </w:r>
      <w:r>
        <w:t>using an auditor’s specialist’s work,</w:t>
      </w:r>
      <w:r>
        <w:rPr>
          <w:spacing w:val="-1"/>
        </w:rPr>
        <w:t xml:space="preserve"> </w:t>
      </w:r>
      <w:r>
        <w:t>having followed this section, concludes that the work of that specialist is adequate for the auditor’s purposes, the auditor may accept that specialist’s findings or conclusions</w:t>
      </w:r>
      <w:r>
        <w:rPr>
          <w:spacing w:val="-5"/>
        </w:rPr>
        <w:t xml:space="preserve"> </w:t>
      </w:r>
      <w:r>
        <w:t>in</w:t>
      </w:r>
      <w:r>
        <w:rPr>
          <w:spacing w:val="-4"/>
        </w:rPr>
        <w:t xml:space="preserve"> </w:t>
      </w:r>
      <w:r>
        <w:t>the</w:t>
      </w:r>
      <w:r>
        <w:rPr>
          <w:spacing w:val="-4"/>
        </w:rPr>
        <w:t xml:space="preserve"> </w:t>
      </w:r>
      <w:r>
        <w:t>specialist’s</w:t>
      </w:r>
      <w:r>
        <w:rPr>
          <w:spacing w:val="-4"/>
        </w:rPr>
        <w:t xml:space="preserve"> </w:t>
      </w:r>
      <w:r>
        <w:t>field</w:t>
      </w:r>
      <w:r>
        <w:rPr>
          <w:spacing w:val="-4"/>
        </w:rPr>
        <w:t xml:space="preserve"> </w:t>
      </w:r>
      <w:r>
        <w:t>as</w:t>
      </w:r>
      <w:r>
        <w:rPr>
          <w:spacing w:val="-4"/>
        </w:rPr>
        <w:t xml:space="preserve"> </w:t>
      </w:r>
      <w:r>
        <w:t>appropriate</w:t>
      </w:r>
      <w:r>
        <w:rPr>
          <w:spacing w:val="-4"/>
        </w:rPr>
        <w:t xml:space="preserve"> </w:t>
      </w:r>
      <w:r>
        <w:t>audit</w:t>
      </w:r>
      <w:r>
        <w:rPr>
          <w:spacing w:val="-4"/>
        </w:rPr>
        <w:t xml:space="preserve"> </w:t>
      </w:r>
      <w:r>
        <w:t>evidence</w:t>
      </w:r>
      <w:r>
        <w:rPr>
          <w:spacing w:val="-4"/>
        </w:rPr>
        <w:t xml:space="preserve"> </w:t>
      </w:r>
      <w:r>
        <w:t>(AU-C</w:t>
      </w:r>
      <w:r>
        <w:rPr>
          <w:spacing w:val="-3"/>
        </w:rPr>
        <w:t xml:space="preserve"> </w:t>
      </w:r>
      <w:r>
        <w:t>620.03).</w:t>
      </w:r>
    </w:p>
    <w:p w14:paraId="0DFDAD28" w14:textId="77777777" w:rsidR="00046465" w:rsidRDefault="008134EB">
      <w:pPr>
        <w:pStyle w:val="ListParagraph"/>
        <w:numPr>
          <w:ilvl w:val="0"/>
          <w:numId w:val="219"/>
        </w:numPr>
        <w:tabs>
          <w:tab w:val="left" w:pos="1800"/>
        </w:tabs>
        <w:ind w:right="909"/>
      </w:pPr>
      <w:r>
        <w:t>If the auditor concludes that the work of the auditor’s specialist is not adequate for</w:t>
      </w:r>
      <w:r>
        <w:rPr>
          <w:spacing w:val="-4"/>
        </w:rPr>
        <w:t xml:space="preserve"> </w:t>
      </w:r>
      <w:r>
        <w:t>the</w:t>
      </w:r>
      <w:r>
        <w:rPr>
          <w:spacing w:val="-4"/>
        </w:rPr>
        <w:t xml:space="preserve"> </w:t>
      </w:r>
      <w:r>
        <w:t>auditor’s</w:t>
      </w:r>
      <w:r>
        <w:rPr>
          <w:spacing w:val="-3"/>
        </w:rPr>
        <w:t xml:space="preserve"> </w:t>
      </w:r>
      <w:r>
        <w:t>purposes</w:t>
      </w:r>
      <w:r>
        <w:rPr>
          <w:spacing w:val="-4"/>
        </w:rPr>
        <w:t xml:space="preserve"> </w:t>
      </w:r>
      <w:r>
        <w:t>and</w:t>
      </w:r>
      <w:r>
        <w:rPr>
          <w:spacing w:val="-4"/>
        </w:rPr>
        <w:t xml:space="preserve"> </w:t>
      </w:r>
      <w:r>
        <w:t>the</w:t>
      </w:r>
      <w:r>
        <w:rPr>
          <w:spacing w:val="-4"/>
        </w:rPr>
        <w:t xml:space="preserve"> </w:t>
      </w:r>
      <w:r>
        <w:t>auditor</w:t>
      </w:r>
      <w:r>
        <w:rPr>
          <w:spacing w:val="-4"/>
        </w:rPr>
        <w:t xml:space="preserve"> </w:t>
      </w:r>
      <w:r>
        <w:t>cannot</w:t>
      </w:r>
      <w:r>
        <w:rPr>
          <w:spacing w:val="-5"/>
        </w:rPr>
        <w:t xml:space="preserve"> </w:t>
      </w:r>
      <w:r>
        <w:t>resolve</w:t>
      </w:r>
      <w:r>
        <w:rPr>
          <w:spacing w:val="-4"/>
        </w:rPr>
        <w:t xml:space="preserve"> </w:t>
      </w:r>
      <w:r>
        <w:t>the</w:t>
      </w:r>
      <w:r>
        <w:rPr>
          <w:spacing w:val="-5"/>
        </w:rPr>
        <w:t xml:space="preserve"> </w:t>
      </w:r>
      <w:r>
        <w:t>matter</w:t>
      </w:r>
      <w:r>
        <w:rPr>
          <w:spacing w:val="-4"/>
        </w:rPr>
        <w:t xml:space="preserve"> </w:t>
      </w:r>
      <w:r>
        <w:t>through</w:t>
      </w:r>
      <w:r>
        <w:rPr>
          <w:spacing w:val="-4"/>
        </w:rPr>
        <w:t xml:space="preserve"> </w:t>
      </w:r>
      <w:r>
        <w:t>the additional audit procedures discussed in FAM 620.29, it may be necessary to express a modified opinion in the auditor’s report, as discussed in FAM 580 (AU-C 620.A44).</w:t>
      </w:r>
    </w:p>
    <w:p w14:paraId="0DFDAD29" w14:textId="77777777" w:rsidR="00046465" w:rsidRDefault="008134EB">
      <w:pPr>
        <w:pStyle w:val="ListParagraph"/>
        <w:numPr>
          <w:ilvl w:val="0"/>
          <w:numId w:val="219"/>
        </w:numPr>
        <w:tabs>
          <w:tab w:val="left" w:pos="1800"/>
        </w:tabs>
        <w:ind w:right="873" w:hanging="720"/>
      </w:pPr>
      <w:r>
        <w:t xml:space="preserve">The auditor should </w:t>
      </w:r>
      <w:r>
        <w:rPr>
          <w:u w:val="single"/>
        </w:rPr>
        <w:t>not</w:t>
      </w:r>
      <w:r>
        <w:t xml:space="preserve"> refer to the work of an auditor’s specialist in an auditor’s report containing an unmodified opinion (AU-C 620.14). In this situation, the auditor issues the example report in FAM 595 A (as if no specialist were involved). This means that the auditor takes responsibility for the specialist’s work. Professional standards do not permit referring to a specialist unless the auditor</w:t>
      </w:r>
      <w:r>
        <w:rPr>
          <w:spacing w:val="-3"/>
        </w:rPr>
        <w:t xml:space="preserve"> </w:t>
      </w:r>
      <w:r>
        <w:t>issues</w:t>
      </w:r>
      <w:r>
        <w:rPr>
          <w:spacing w:val="-3"/>
        </w:rPr>
        <w:t xml:space="preserve"> </w:t>
      </w:r>
      <w:r>
        <w:t>a</w:t>
      </w:r>
      <w:r>
        <w:rPr>
          <w:spacing w:val="-3"/>
        </w:rPr>
        <w:t xml:space="preserve"> </w:t>
      </w:r>
      <w:r>
        <w:t>qualified</w:t>
      </w:r>
      <w:r>
        <w:rPr>
          <w:spacing w:val="-3"/>
        </w:rPr>
        <w:t xml:space="preserve"> </w:t>
      </w:r>
      <w:r>
        <w:t>or</w:t>
      </w:r>
      <w:r>
        <w:rPr>
          <w:spacing w:val="-3"/>
        </w:rPr>
        <w:t xml:space="preserve"> </w:t>
      </w:r>
      <w:r>
        <w:t>adverse</w:t>
      </w:r>
      <w:r>
        <w:rPr>
          <w:spacing w:val="-4"/>
        </w:rPr>
        <w:t xml:space="preserve"> </w:t>
      </w:r>
      <w:r>
        <w:t>opinion</w:t>
      </w:r>
      <w:r>
        <w:rPr>
          <w:spacing w:val="-3"/>
        </w:rPr>
        <w:t xml:space="preserve"> </w:t>
      </w:r>
      <w:r>
        <w:t>or</w:t>
      </w:r>
      <w:r>
        <w:rPr>
          <w:spacing w:val="-3"/>
        </w:rPr>
        <w:t xml:space="preserve"> </w:t>
      </w:r>
      <w:r>
        <w:t>a</w:t>
      </w:r>
      <w:r>
        <w:rPr>
          <w:spacing w:val="-4"/>
        </w:rPr>
        <w:t xml:space="preserve"> </w:t>
      </w:r>
      <w:r>
        <w:t>disclaimer</w:t>
      </w:r>
      <w:r>
        <w:rPr>
          <w:spacing w:val="-3"/>
        </w:rPr>
        <w:t xml:space="preserve"> </w:t>
      </w:r>
      <w:r>
        <w:t>of</w:t>
      </w:r>
      <w:r>
        <w:rPr>
          <w:spacing w:val="-3"/>
        </w:rPr>
        <w:t xml:space="preserve"> </w:t>
      </w:r>
      <w:r>
        <w:t>opinion</w:t>
      </w:r>
      <w:r>
        <w:rPr>
          <w:spacing w:val="-3"/>
        </w:rPr>
        <w:t xml:space="preserve"> </w:t>
      </w:r>
      <w:r>
        <w:t>based</w:t>
      </w:r>
      <w:r>
        <w:rPr>
          <w:spacing w:val="-3"/>
        </w:rPr>
        <w:t xml:space="preserve"> </w:t>
      </w:r>
      <w:r>
        <w:t>on the specialist’s work.</w:t>
      </w:r>
    </w:p>
    <w:p w14:paraId="0DFDAD2A" w14:textId="77777777" w:rsidR="00046465" w:rsidRDefault="008134EB">
      <w:pPr>
        <w:pStyle w:val="ListParagraph"/>
        <w:numPr>
          <w:ilvl w:val="0"/>
          <w:numId w:val="219"/>
        </w:numPr>
        <w:tabs>
          <w:tab w:val="left" w:pos="1800"/>
        </w:tabs>
        <w:spacing w:before="119"/>
        <w:ind w:right="725"/>
      </w:pPr>
      <w:r>
        <w:t>If</w:t>
      </w:r>
      <w:r>
        <w:rPr>
          <w:spacing w:val="-3"/>
        </w:rPr>
        <w:t xml:space="preserve"> </w:t>
      </w:r>
      <w:r>
        <w:t>the</w:t>
      </w:r>
      <w:r>
        <w:rPr>
          <w:spacing w:val="-3"/>
        </w:rPr>
        <w:t xml:space="preserve"> </w:t>
      </w:r>
      <w:r>
        <w:t>auditor</w:t>
      </w:r>
      <w:r>
        <w:rPr>
          <w:spacing w:val="-4"/>
        </w:rPr>
        <w:t xml:space="preserve"> </w:t>
      </w:r>
      <w:r>
        <w:t>makes</w:t>
      </w:r>
      <w:r>
        <w:rPr>
          <w:spacing w:val="-3"/>
        </w:rPr>
        <w:t xml:space="preserve"> </w:t>
      </w:r>
      <w:r>
        <w:t>reference</w:t>
      </w:r>
      <w:r>
        <w:rPr>
          <w:spacing w:val="-3"/>
        </w:rPr>
        <w:t xml:space="preserve"> </w:t>
      </w:r>
      <w:r>
        <w:t>to</w:t>
      </w:r>
      <w:r>
        <w:rPr>
          <w:spacing w:val="-3"/>
        </w:rPr>
        <w:t xml:space="preserve"> </w:t>
      </w:r>
      <w:r>
        <w:t>the</w:t>
      </w:r>
      <w:r>
        <w:rPr>
          <w:spacing w:val="-4"/>
        </w:rPr>
        <w:t xml:space="preserve"> </w:t>
      </w:r>
      <w:r>
        <w:t>work</w:t>
      </w:r>
      <w:r>
        <w:rPr>
          <w:spacing w:val="-3"/>
        </w:rPr>
        <w:t xml:space="preserve"> </w:t>
      </w:r>
      <w:r>
        <w:t>of</w:t>
      </w:r>
      <w:r>
        <w:rPr>
          <w:spacing w:val="-3"/>
        </w:rPr>
        <w:t xml:space="preserve"> </w:t>
      </w:r>
      <w:r>
        <w:t>an</w:t>
      </w:r>
      <w:r>
        <w:rPr>
          <w:spacing w:val="-3"/>
        </w:rPr>
        <w:t xml:space="preserve"> </w:t>
      </w:r>
      <w:r>
        <w:t>auditor’s</w:t>
      </w:r>
      <w:r>
        <w:rPr>
          <w:spacing w:val="-2"/>
        </w:rPr>
        <w:t xml:space="preserve"> </w:t>
      </w:r>
      <w:r>
        <w:t>external</w:t>
      </w:r>
      <w:r>
        <w:rPr>
          <w:spacing w:val="-3"/>
        </w:rPr>
        <w:t xml:space="preserve"> </w:t>
      </w:r>
      <w:r>
        <w:t>specialist</w:t>
      </w:r>
      <w:r>
        <w:rPr>
          <w:spacing w:val="-3"/>
        </w:rPr>
        <w:t xml:space="preserve"> </w:t>
      </w:r>
      <w:r>
        <w:t>in</w:t>
      </w:r>
      <w:r>
        <w:rPr>
          <w:spacing w:val="-3"/>
        </w:rPr>
        <w:t xml:space="preserve"> </w:t>
      </w:r>
      <w:r>
        <w:t>the auditor’s report because such reference is relevant to an understanding of a modification to the auditor’s opinion, the auditor should indicate in the auditor's report that such reference does not reduce the auditor’s responsibility for that opinion (AU-C 620.15). In such circumstances, the auditor may need the specialist’s permission before making such a reference (AU-C 620.A46).</w:t>
      </w:r>
    </w:p>
    <w:p w14:paraId="0DFDAD2B" w14:textId="77777777" w:rsidR="00046465" w:rsidRDefault="008134EB">
      <w:pPr>
        <w:pStyle w:val="Heading4"/>
        <w:spacing w:before="240"/>
      </w:pPr>
      <w:r>
        <w:rPr>
          <w:spacing w:val="-2"/>
        </w:rPr>
        <w:t>Documentation</w:t>
      </w:r>
    </w:p>
    <w:p w14:paraId="0DFDAD2C" w14:textId="77777777" w:rsidR="00046465" w:rsidRDefault="008134EB">
      <w:pPr>
        <w:pStyle w:val="ListParagraph"/>
        <w:numPr>
          <w:ilvl w:val="0"/>
          <w:numId w:val="219"/>
        </w:numPr>
        <w:tabs>
          <w:tab w:val="left" w:pos="1800"/>
        </w:tabs>
        <w:spacing w:before="121"/>
        <w:ind w:right="774"/>
      </w:pPr>
      <w:r>
        <w:t>In the overall audit strategy, the auditor should include or refer to other documentation</w:t>
      </w:r>
      <w:r>
        <w:rPr>
          <w:spacing w:val="-4"/>
        </w:rPr>
        <w:t xml:space="preserve"> </w:t>
      </w:r>
      <w:r>
        <w:t>where</w:t>
      </w:r>
      <w:r>
        <w:rPr>
          <w:spacing w:val="-4"/>
        </w:rPr>
        <w:t xml:space="preserve"> </w:t>
      </w:r>
      <w:r>
        <w:t>this</w:t>
      </w:r>
      <w:r>
        <w:rPr>
          <w:spacing w:val="-4"/>
        </w:rPr>
        <w:t xml:space="preserve"> </w:t>
      </w:r>
      <w:r>
        <w:t>information</w:t>
      </w:r>
      <w:r>
        <w:rPr>
          <w:spacing w:val="-4"/>
        </w:rPr>
        <w:t xml:space="preserve"> </w:t>
      </w:r>
      <w:r>
        <w:t>is</w:t>
      </w:r>
      <w:r>
        <w:rPr>
          <w:spacing w:val="-4"/>
        </w:rPr>
        <w:t xml:space="preserve"> </w:t>
      </w:r>
      <w:r>
        <w:t>described</w:t>
      </w:r>
      <w:r>
        <w:rPr>
          <w:spacing w:val="-4"/>
        </w:rPr>
        <w:t xml:space="preserve"> </w:t>
      </w:r>
      <w:r>
        <w:t>in</w:t>
      </w:r>
      <w:r>
        <w:rPr>
          <w:spacing w:val="-4"/>
        </w:rPr>
        <w:t xml:space="preserve"> </w:t>
      </w:r>
      <w:r>
        <w:t>more</w:t>
      </w:r>
      <w:r>
        <w:rPr>
          <w:spacing w:val="-4"/>
        </w:rPr>
        <w:t xml:space="preserve"> </w:t>
      </w:r>
      <w:r>
        <w:t>detail</w:t>
      </w:r>
      <w:r>
        <w:rPr>
          <w:spacing w:val="-4"/>
        </w:rPr>
        <w:t xml:space="preserve"> </w:t>
      </w:r>
      <w:r>
        <w:t>on</w:t>
      </w:r>
      <w:r>
        <w:rPr>
          <w:spacing w:val="-4"/>
        </w:rPr>
        <w:t xml:space="preserve"> </w:t>
      </w:r>
      <w:r>
        <w:t>the</w:t>
      </w:r>
      <w:r>
        <w:rPr>
          <w:spacing w:val="-4"/>
        </w:rPr>
        <w:t xml:space="preserve"> </w:t>
      </w:r>
      <w:r>
        <w:t xml:space="preserve">following </w:t>
      </w:r>
      <w:r>
        <w:rPr>
          <w:spacing w:val="-2"/>
        </w:rPr>
        <w:t>areas:</w:t>
      </w:r>
    </w:p>
    <w:p w14:paraId="0DFDAD2D" w14:textId="77777777" w:rsidR="00046465" w:rsidRDefault="008134EB">
      <w:pPr>
        <w:pStyle w:val="ListParagraph"/>
        <w:numPr>
          <w:ilvl w:val="1"/>
          <w:numId w:val="219"/>
        </w:numPr>
        <w:tabs>
          <w:tab w:val="left" w:pos="2160"/>
        </w:tabs>
        <w:ind w:right="1858"/>
      </w:pPr>
      <w:r>
        <w:t>Determination</w:t>
      </w:r>
      <w:r>
        <w:rPr>
          <w:spacing w:val="-4"/>
        </w:rPr>
        <w:t xml:space="preserve"> </w:t>
      </w:r>
      <w:r>
        <w:t>of</w:t>
      </w:r>
      <w:r>
        <w:rPr>
          <w:spacing w:val="-4"/>
        </w:rPr>
        <w:t xml:space="preserve"> </w:t>
      </w:r>
      <w:r>
        <w:t>whether</w:t>
      </w:r>
      <w:r>
        <w:rPr>
          <w:spacing w:val="-4"/>
        </w:rPr>
        <w:t xml:space="preserve"> </w:t>
      </w:r>
      <w:r>
        <w:t>to</w:t>
      </w:r>
      <w:r>
        <w:rPr>
          <w:spacing w:val="-4"/>
        </w:rPr>
        <w:t xml:space="preserve"> </w:t>
      </w:r>
      <w:r>
        <w:t>use</w:t>
      </w:r>
      <w:r>
        <w:rPr>
          <w:spacing w:val="-4"/>
        </w:rPr>
        <w:t xml:space="preserve"> </w:t>
      </w:r>
      <w:r>
        <w:t>the</w:t>
      </w:r>
      <w:r>
        <w:rPr>
          <w:spacing w:val="-5"/>
        </w:rPr>
        <w:t xml:space="preserve"> </w:t>
      </w:r>
      <w:r>
        <w:t>work</w:t>
      </w:r>
      <w:r>
        <w:rPr>
          <w:spacing w:val="-4"/>
        </w:rPr>
        <w:t xml:space="preserve"> </w:t>
      </w:r>
      <w:r>
        <w:t>of</w:t>
      </w:r>
      <w:r>
        <w:rPr>
          <w:spacing w:val="-4"/>
        </w:rPr>
        <w:t xml:space="preserve"> </w:t>
      </w:r>
      <w:r>
        <w:t>an</w:t>
      </w:r>
      <w:r>
        <w:rPr>
          <w:spacing w:val="-4"/>
        </w:rPr>
        <w:t xml:space="preserve"> </w:t>
      </w:r>
      <w:r>
        <w:t>auditor’s</w:t>
      </w:r>
      <w:r>
        <w:rPr>
          <w:spacing w:val="-3"/>
        </w:rPr>
        <w:t xml:space="preserve"> </w:t>
      </w:r>
      <w:r>
        <w:t>specialist (AU-C 620.07).</w:t>
      </w:r>
    </w:p>
    <w:p w14:paraId="0DFDAD2E" w14:textId="77777777" w:rsidR="00046465" w:rsidRDefault="008134EB">
      <w:pPr>
        <w:pStyle w:val="ListParagraph"/>
        <w:numPr>
          <w:ilvl w:val="1"/>
          <w:numId w:val="219"/>
        </w:numPr>
        <w:tabs>
          <w:tab w:val="left" w:pos="2160"/>
        </w:tabs>
        <w:ind w:right="1088"/>
      </w:pPr>
      <w:r>
        <w:t>Matters</w:t>
      </w:r>
      <w:r>
        <w:rPr>
          <w:spacing w:val="-4"/>
        </w:rPr>
        <w:t xml:space="preserve"> </w:t>
      </w:r>
      <w:r>
        <w:t>considered</w:t>
      </w:r>
      <w:r>
        <w:rPr>
          <w:spacing w:val="-4"/>
        </w:rPr>
        <w:t xml:space="preserve"> </w:t>
      </w:r>
      <w:r>
        <w:t>when</w:t>
      </w:r>
      <w:r>
        <w:rPr>
          <w:spacing w:val="-4"/>
        </w:rPr>
        <w:t xml:space="preserve"> </w:t>
      </w:r>
      <w:r>
        <w:t>determining</w:t>
      </w:r>
      <w:r>
        <w:rPr>
          <w:spacing w:val="-4"/>
        </w:rPr>
        <w:t xml:space="preserve"> </w:t>
      </w:r>
      <w:r>
        <w:t>the</w:t>
      </w:r>
      <w:r>
        <w:rPr>
          <w:spacing w:val="-4"/>
        </w:rPr>
        <w:t xml:space="preserve"> </w:t>
      </w:r>
      <w:r>
        <w:t>nature,</w:t>
      </w:r>
      <w:r>
        <w:rPr>
          <w:spacing w:val="-4"/>
        </w:rPr>
        <w:t xml:space="preserve"> </w:t>
      </w:r>
      <w:r>
        <w:t>timing,</w:t>
      </w:r>
      <w:r>
        <w:rPr>
          <w:spacing w:val="-4"/>
        </w:rPr>
        <w:t xml:space="preserve"> </w:t>
      </w:r>
      <w:r>
        <w:t>and</w:t>
      </w:r>
      <w:r>
        <w:rPr>
          <w:spacing w:val="-4"/>
        </w:rPr>
        <w:t xml:space="preserve"> </w:t>
      </w:r>
      <w:r>
        <w:t>extent</w:t>
      </w:r>
      <w:r>
        <w:rPr>
          <w:spacing w:val="-4"/>
        </w:rPr>
        <w:t xml:space="preserve"> </w:t>
      </w:r>
      <w:r>
        <w:t>of</w:t>
      </w:r>
      <w:r>
        <w:rPr>
          <w:spacing w:val="-4"/>
        </w:rPr>
        <w:t xml:space="preserve"> </w:t>
      </w:r>
      <w:r>
        <w:t>the auditor’s procedures with respect to the requirements of this section</w:t>
      </w:r>
    </w:p>
    <w:p w14:paraId="0DFDAD2F" w14:textId="77777777" w:rsidR="00046465" w:rsidRDefault="008134EB">
      <w:pPr>
        <w:pStyle w:val="BodyText"/>
        <w:spacing w:line="252" w:lineRule="exact"/>
        <w:ind w:left="2160"/>
      </w:pPr>
      <w:r>
        <w:t>(AU-C</w:t>
      </w:r>
      <w:r>
        <w:rPr>
          <w:spacing w:val="-10"/>
        </w:rPr>
        <w:t xml:space="preserve"> </w:t>
      </w:r>
      <w:r>
        <w:rPr>
          <w:spacing w:val="-2"/>
        </w:rPr>
        <w:t>620.08).</w:t>
      </w:r>
    </w:p>
    <w:p w14:paraId="0DFDAD30" w14:textId="77777777" w:rsidR="00046465" w:rsidRDefault="008134EB">
      <w:pPr>
        <w:pStyle w:val="ListParagraph"/>
        <w:numPr>
          <w:ilvl w:val="1"/>
          <w:numId w:val="219"/>
        </w:numPr>
        <w:tabs>
          <w:tab w:val="left" w:pos="2160"/>
        </w:tabs>
        <w:ind w:right="904"/>
      </w:pPr>
      <w:r>
        <w:t>Evaluation of whether the specialist has the necessary independence, objectivity, competence, and capabilities for the auditor’s purposes (AU-C 620.09). This evaluation may be limited if the individual or organization is subject</w:t>
      </w:r>
      <w:r>
        <w:rPr>
          <w:spacing w:val="-4"/>
        </w:rPr>
        <w:t xml:space="preserve"> </w:t>
      </w:r>
      <w:r>
        <w:t>to</w:t>
      </w:r>
      <w:r>
        <w:rPr>
          <w:spacing w:val="-4"/>
        </w:rPr>
        <w:t xml:space="preserve"> </w:t>
      </w:r>
      <w:r>
        <w:t>the</w:t>
      </w:r>
      <w:r>
        <w:rPr>
          <w:spacing w:val="-4"/>
        </w:rPr>
        <w:t xml:space="preserve"> </w:t>
      </w:r>
      <w:r>
        <w:t>auditor’s</w:t>
      </w:r>
      <w:r>
        <w:rPr>
          <w:spacing w:val="-4"/>
        </w:rPr>
        <w:t xml:space="preserve"> </w:t>
      </w:r>
      <w:r>
        <w:t>organization’s</w:t>
      </w:r>
      <w:r>
        <w:rPr>
          <w:spacing w:val="-4"/>
        </w:rPr>
        <w:t xml:space="preserve"> </w:t>
      </w:r>
      <w:r>
        <w:t>quality</w:t>
      </w:r>
      <w:r>
        <w:rPr>
          <w:spacing w:val="-5"/>
        </w:rPr>
        <w:t xml:space="preserve"> </w:t>
      </w:r>
      <w:r>
        <w:t>control</w:t>
      </w:r>
      <w:r>
        <w:rPr>
          <w:spacing w:val="-4"/>
        </w:rPr>
        <w:t xml:space="preserve"> </w:t>
      </w:r>
      <w:r>
        <w:t>procedures</w:t>
      </w:r>
      <w:r>
        <w:rPr>
          <w:spacing w:val="-4"/>
        </w:rPr>
        <w:t xml:space="preserve"> </w:t>
      </w:r>
      <w:r>
        <w:t>or</w:t>
      </w:r>
      <w:r>
        <w:rPr>
          <w:spacing w:val="-4"/>
        </w:rPr>
        <w:t xml:space="preserve"> </w:t>
      </w:r>
      <w:r>
        <w:t>to</w:t>
      </w:r>
      <w:r>
        <w:rPr>
          <w:spacing w:val="-3"/>
        </w:rPr>
        <w:t xml:space="preserve"> </w:t>
      </w:r>
      <w:r>
        <w:t xml:space="preserve">formal </w:t>
      </w:r>
      <w:r>
        <w:rPr>
          <w:spacing w:val="-2"/>
        </w:rPr>
        <w:t>contracts.</w:t>
      </w:r>
    </w:p>
    <w:p w14:paraId="0DFDAD31" w14:textId="77777777" w:rsidR="00046465" w:rsidRDefault="008134EB">
      <w:pPr>
        <w:pStyle w:val="ListParagraph"/>
        <w:numPr>
          <w:ilvl w:val="1"/>
          <w:numId w:val="219"/>
        </w:numPr>
        <w:tabs>
          <w:tab w:val="left" w:pos="2159"/>
        </w:tabs>
        <w:ind w:left="2159" w:right="952"/>
      </w:pPr>
      <w:r>
        <w:t>Understanding of the auditor’s specialist’s field of expertise, enabling the auditor to determine the nature, scope, and objectives of the auditor’s specialist’s</w:t>
      </w:r>
      <w:r>
        <w:rPr>
          <w:spacing w:val="-5"/>
        </w:rPr>
        <w:t xml:space="preserve"> </w:t>
      </w:r>
      <w:r>
        <w:t>work</w:t>
      </w:r>
      <w:r>
        <w:rPr>
          <w:spacing w:val="-4"/>
        </w:rPr>
        <w:t xml:space="preserve"> </w:t>
      </w:r>
      <w:r>
        <w:t>for</w:t>
      </w:r>
      <w:r>
        <w:rPr>
          <w:spacing w:val="-4"/>
        </w:rPr>
        <w:t xml:space="preserve"> </w:t>
      </w:r>
      <w:r>
        <w:t>the</w:t>
      </w:r>
      <w:r>
        <w:rPr>
          <w:spacing w:val="-4"/>
        </w:rPr>
        <w:t xml:space="preserve"> </w:t>
      </w:r>
      <w:r>
        <w:t>auditor’s</w:t>
      </w:r>
      <w:r>
        <w:rPr>
          <w:spacing w:val="-3"/>
        </w:rPr>
        <w:t xml:space="preserve"> </w:t>
      </w:r>
      <w:r>
        <w:t>purposes</w:t>
      </w:r>
      <w:r>
        <w:rPr>
          <w:spacing w:val="-4"/>
        </w:rPr>
        <w:t xml:space="preserve"> </w:t>
      </w:r>
      <w:r>
        <w:t>and</w:t>
      </w:r>
      <w:r>
        <w:rPr>
          <w:spacing w:val="-4"/>
        </w:rPr>
        <w:t xml:space="preserve"> </w:t>
      </w:r>
      <w:r>
        <w:t>to</w:t>
      </w:r>
      <w:r>
        <w:rPr>
          <w:spacing w:val="-4"/>
        </w:rPr>
        <w:t xml:space="preserve"> </w:t>
      </w:r>
      <w:r>
        <w:t>evaluate</w:t>
      </w:r>
      <w:r>
        <w:rPr>
          <w:spacing w:val="-4"/>
        </w:rPr>
        <w:t xml:space="preserve"> </w:t>
      </w:r>
      <w:r>
        <w:t>the</w:t>
      </w:r>
      <w:r>
        <w:rPr>
          <w:spacing w:val="-4"/>
        </w:rPr>
        <w:t xml:space="preserve"> </w:t>
      </w:r>
      <w:r>
        <w:t>adequacy</w:t>
      </w:r>
      <w:r>
        <w:rPr>
          <w:spacing w:val="-4"/>
        </w:rPr>
        <w:t xml:space="preserve"> </w:t>
      </w:r>
      <w:r>
        <w:t>of that work for the auditor’s purposes (AU-C 620.10).</w:t>
      </w:r>
    </w:p>
    <w:p w14:paraId="0DFDAD32" w14:textId="77777777" w:rsidR="00046465" w:rsidRDefault="00046465">
      <w:pPr>
        <w:pStyle w:val="ListParagraph"/>
        <w:sectPr w:rsidR="00046465">
          <w:pgSz w:w="12240" w:h="15840"/>
          <w:pgMar w:top="1340" w:right="720" w:bottom="1020" w:left="1080" w:header="721" w:footer="757" w:gutter="0"/>
          <w:cols w:space="720"/>
        </w:sectPr>
      </w:pPr>
    </w:p>
    <w:p w14:paraId="0DFDAD33" w14:textId="77777777" w:rsidR="00046465" w:rsidRDefault="008134EB">
      <w:pPr>
        <w:pStyle w:val="ListParagraph"/>
        <w:numPr>
          <w:ilvl w:val="0"/>
          <w:numId w:val="219"/>
        </w:numPr>
        <w:tabs>
          <w:tab w:val="left" w:pos="1800"/>
        </w:tabs>
        <w:spacing w:before="121"/>
        <w:ind w:right="983"/>
      </w:pPr>
      <w:r>
        <w:lastRenderedPageBreak/>
        <w:t>The</w:t>
      </w:r>
      <w:r>
        <w:rPr>
          <w:spacing w:val="-4"/>
        </w:rPr>
        <w:t xml:space="preserve"> </w:t>
      </w:r>
      <w:r>
        <w:t>auditor</w:t>
      </w:r>
      <w:r>
        <w:rPr>
          <w:spacing w:val="-6"/>
        </w:rPr>
        <w:t xml:space="preserve"> </w:t>
      </w:r>
      <w:r>
        <w:t>should</w:t>
      </w:r>
      <w:r>
        <w:rPr>
          <w:spacing w:val="-4"/>
        </w:rPr>
        <w:t xml:space="preserve"> </w:t>
      </w:r>
      <w:r>
        <w:t>document</w:t>
      </w:r>
      <w:r>
        <w:rPr>
          <w:spacing w:val="-4"/>
        </w:rPr>
        <w:t xml:space="preserve"> </w:t>
      </w:r>
      <w:r>
        <w:t>the</w:t>
      </w:r>
      <w:r>
        <w:rPr>
          <w:spacing w:val="-4"/>
        </w:rPr>
        <w:t xml:space="preserve"> </w:t>
      </w:r>
      <w:r>
        <w:t>understanding</w:t>
      </w:r>
      <w:r>
        <w:rPr>
          <w:spacing w:val="-5"/>
        </w:rPr>
        <w:t xml:space="preserve"> </w:t>
      </w:r>
      <w:r>
        <w:t>of</w:t>
      </w:r>
      <w:r>
        <w:rPr>
          <w:spacing w:val="-4"/>
        </w:rPr>
        <w:t xml:space="preserve"> </w:t>
      </w:r>
      <w:r>
        <w:t>the</w:t>
      </w:r>
      <w:r>
        <w:rPr>
          <w:spacing w:val="-4"/>
        </w:rPr>
        <w:t xml:space="preserve"> </w:t>
      </w:r>
      <w:r>
        <w:t>agreement</w:t>
      </w:r>
      <w:r>
        <w:rPr>
          <w:spacing w:val="-4"/>
        </w:rPr>
        <w:t xml:space="preserve"> </w:t>
      </w:r>
      <w:r>
        <w:t>between</w:t>
      </w:r>
      <w:r>
        <w:rPr>
          <w:spacing w:val="-4"/>
        </w:rPr>
        <w:t xml:space="preserve"> </w:t>
      </w:r>
      <w:r>
        <w:t>the auditor and the specialist (AU-C 620.11). This documentation may consist of planning memorandums, audit plans, policies and procedures of the auditor’s organization, or formal contracts when appropriate.</w:t>
      </w:r>
    </w:p>
    <w:p w14:paraId="0DFDAD34" w14:textId="77777777" w:rsidR="00046465" w:rsidRDefault="008134EB">
      <w:pPr>
        <w:pStyle w:val="ListParagraph"/>
        <w:numPr>
          <w:ilvl w:val="0"/>
          <w:numId w:val="219"/>
        </w:numPr>
        <w:tabs>
          <w:tab w:val="left" w:pos="1800"/>
        </w:tabs>
        <w:ind w:right="799"/>
      </w:pPr>
      <w:r>
        <w:t>The auditor should document evaluation of the adequacy of the auditor’s specialist’s work in the audit summary memorandum, including the auditor’s conclusions</w:t>
      </w:r>
      <w:r>
        <w:rPr>
          <w:spacing w:val="-5"/>
        </w:rPr>
        <w:t xml:space="preserve"> </w:t>
      </w:r>
      <w:r>
        <w:t>on</w:t>
      </w:r>
      <w:r>
        <w:rPr>
          <w:spacing w:val="-4"/>
        </w:rPr>
        <w:t xml:space="preserve"> </w:t>
      </w:r>
      <w:r>
        <w:t>the</w:t>
      </w:r>
      <w:r>
        <w:rPr>
          <w:spacing w:val="-4"/>
        </w:rPr>
        <w:t xml:space="preserve"> </w:t>
      </w:r>
      <w:r>
        <w:t>(1)</w:t>
      </w:r>
      <w:r>
        <w:rPr>
          <w:spacing w:val="-4"/>
        </w:rPr>
        <w:t xml:space="preserve"> </w:t>
      </w:r>
      <w:r>
        <w:t>relevance</w:t>
      </w:r>
      <w:r>
        <w:rPr>
          <w:spacing w:val="-4"/>
        </w:rPr>
        <w:t xml:space="preserve"> </w:t>
      </w:r>
      <w:r>
        <w:t>and</w:t>
      </w:r>
      <w:r>
        <w:rPr>
          <w:spacing w:val="-5"/>
        </w:rPr>
        <w:t xml:space="preserve"> </w:t>
      </w:r>
      <w:r>
        <w:t>reasonableness</w:t>
      </w:r>
      <w:r>
        <w:rPr>
          <w:spacing w:val="-4"/>
        </w:rPr>
        <w:t xml:space="preserve"> </w:t>
      </w:r>
      <w:r>
        <w:t>of</w:t>
      </w:r>
      <w:r>
        <w:rPr>
          <w:spacing w:val="-4"/>
        </w:rPr>
        <w:t xml:space="preserve"> </w:t>
      </w:r>
      <w:r>
        <w:t>the</w:t>
      </w:r>
      <w:r>
        <w:rPr>
          <w:spacing w:val="-5"/>
        </w:rPr>
        <w:t xml:space="preserve"> </w:t>
      </w:r>
      <w:r>
        <w:t>auditor’s</w:t>
      </w:r>
      <w:r>
        <w:rPr>
          <w:spacing w:val="-4"/>
        </w:rPr>
        <w:t xml:space="preserve"> </w:t>
      </w:r>
      <w:r>
        <w:t>specialist’s findings and conclusions and consistency with other audit evidence; (2) relevance and reasonableness of any significant assumptions and methods the specialist used; and (3) the relevance, completeness, and accuracy of any source data that are significant to the auditor’s specialist’s work (AU-C 620.12). In the memorandum, the auditor may refer to other documentation where this information is described in more detail.</w:t>
      </w:r>
    </w:p>
    <w:p w14:paraId="0DFDAD35" w14:textId="77777777" w:rsidR="00046465" w:rsidRDefault="00046465">
      <w:pPr>
        <w:pStyle w:val="ListParagraph"/>
        <w:sectPr w:rsidR="00046465">
          <w:pgSz w:w="12240" w:h="15840"/>
          <w:pgMar w:top="1340" w:right="720" w:bottom="940" w:left="1080" w:header="721" w:footer="757" w:gutter="0"/>
          <w:cols w:space="720"/>
        </w:sectPr>
      </w:pPr>
    </w:p>
    <w:p w14:paraId="0DFDAD36" w14:textId="77777777" w:rsidR="00046465" w:rsidRDefault="008134EB">
      <w:pPr>
        <w:pStyle w:val="Heading3"/>
        <w:rPr>
          <w:u w:val="none"/>
        </w:rPr>
      </w:pPr>
      <w:bookmarkStart w:id="36" w:name="625_–_Using_the_Work_of_Management’s_Spe"/>
      <w:bookmarkStart w:id="37" w:name="_bookmark10"/>
      <w:bookmarkEnd w:id="36"/>
      <w:bookmarkEnd w:id="37"/>
      <w:r>
        <w:lastRenderedPageBreak/>
        <w:t>625</w:t>
      </w:r>
      <w:r>
        <w:rPr>
          <w:spacing w:val="-9"/>
        </w:rPr>
        <w:t xml:space="preserve"> </w:t>
      </w:r>
      <w:r>
        <w:t>–</w:t>
      </w:r>
      <w:r>
        <w:rPr>
          <w:spacing w:val="-5"/>
        </w:rPr>
        <w:t xml:space="preserve"> </w:t>
      </w:r>
      <w:r>
        <w:t>Using</w:t>
      </w:r>
      <w:r>
        <w:rPr>
          <w:spacing w:val="-6"/>
        </w:rPr>
        <w:t xml:space="preserve"> </w:t>
      </w:r>
      <w:r>
        <w:t>the</w:t>
      </w:r>
      <w:r>
        <w:rPr>
          <w:spacing w:val="-7"/>
        </w:rPr>
        <w:t xml:space="preserve"> </w:t>
      </w:r>
      <w:r>
        <w:t>Work</w:t>
      </w:r>
      <w:r>
        <w:rPr>
          <w:spacing w:val="-5"/>
        </w:rPr>
        <w:t xml:space="preserve"> </w:t>
      </w:r>
      <w:r>
        <w:t>of</w:t>
      </w:r>
      <w:r>
        <w:rPr>
          <w:spacing w:val="-6"/>
        </w:rPr>
        <w:t xml:space="preserve"> </w:t>
      </w:r>
      <w:r>
        <w:t>Management’s</w:t>
      </w:r>
      <w:r>
        <w:rPr>
          <w:spacing w:val="-6"/>
        </w:rPr>
        <w:t xml:space="preserve"> </w:t>
      </w:r>
      <w:r>
        <w:rPr>
          <w:spacing w:val="-2"/>
        </w:rPr>
        <w:t>Specialists</w:t>
      </w:r>
    </w:p>
    <w:p w14:paraId="0DFDAD37" w14:textId="77777777" w:rsidR="00046465" w:rsidRDefault="00046465">
      <w:pPr>
        <w:pStyle w:val="BodyText"/>
        <w:spacing w:before="38"/>
        <w:rPr>
          <w:b/>
          <w:sz w:val="28"/>
        </w:rPr>
      </w:pPr>
    </w:p>
    <w:p w14:paraId="0DFDAD38" w14:textId="77777777" w:rsidR="00046465" w:rsidRDefault="008134EB">
      <w:pPr>
        <w:pStyle w:val="Heading4"/>
        <w:spacing w:before="1"/>
      </w:pPr>
      <w:r>
        <w:rPr>
          <w:spacing w:val="-2"/>
        </w:rPr>
        <w:t>Overview</w:t>
      </w:r>
    </w:p>
    <w:p w14:paraId="0DFDAD39" w14:textId="77777777" w:rsidR="00046465" w:rsidRDefault="008134EB">
      <w:pPr>
        <w:pStyle w:val="ListParagraph"/>
        <w:numPr>
          <w:ilvl w:val="0"/>
          <w:numId w:val="18"/>
        </w:numPr>
        <w:tabs>
          <w:tab w:val="left" w:pos="1799"/>
        </w:tabs>
        <w:spacing w:before="119"/>
        <w:ind w:right="749" w:hanging="720"/>
      </w:pPr>
      <w:r>
        <w:t xml:space="preserve">This section provides guidance on the auditor’s responsibilities related to </w:t>
      </w:r>
      <w:r>
        <w:rPr>
          <w:color w:val="242424"/>
        </w:rPr>
        <w:t>using the work of management’s specialists. Management’s specialists are individuals or</w:t>
      </w:r>
      <w:r>
        <w:rPr>
          <w:color w:val="242424"/>
          <w:spacing w:val="-4"/>
        </w:rPr>
        <w:t xml:space="preserve"> </w:t>
      </w:r>
      <w:r>
        <w:rPr>
          <w:color w:val="242424"/>
        </w:rPr>
        <w:t>organizations</w:t>
      </w:r>
      <w:r>
        <w:rPr>
          <w:color w:val="242424"/>
          <w:spacing w:val="-3"/>
        </w:rPr>
        <w:t xml:space="preserve"> </w:t>
      </w:r>
      <w:r>
        <w:rPr>
          <w:color w:val="242424"/>
        </w:rPr>
        <w:t>possessing</w:t>
      </w:r>
      <w:r>
        <w:rPr>
          <w:color w:val="242424"/>
          <w:spacing w:val="-4"/>
        </w:rPr>
        <w:t xml:space="preserve"> </w:t>
      </w:r>
      <w:r>
        <w:rPr>
          <w:color w:val="242424"/>
        </w:rPr>
        <w:t>expertise</w:t>
      </w:r>
      <w:r>
        <w:rPr>
          <w:color w:val="242424"/>
          <w:spacing w:val="-4"/>
        </w:rPr>
        <w:t xml:space="preserve"> </w:t>
      </w:r>
      <w:r>
        <w:rPr>
          <w:color w:val="242424"/>
        </w:rPr>
        <w:t>in</w:t>
      </w:r>
      <w:r>
        <w:rPr>
          <w:color w:val="242424"/>
          <w:spacing w:val="-4"/>
        </w:rPr>
        <w:t xml:space="preserve"> </w:t>
      </w:r>
      <w:r>
        <w:rPr>
          <w:color w:val="242424"/>
        </w:rPr>
        <w:t>a</w:t>
      </w:r>
      <w:r>
        <w:rPr>
          <w:color w:val="242424"/>
          <w:spacing w:val="-4"/>
        </w:rPr>
        <w:t xml:space="preserve"> </w:t>
      </w:r>
      <w:r>
        <w:rPr>
          <w:color w:val="242424"/>
        </w:rPr>
        <w:t>field</w:t>
      </w:r>
      <w:r>
        <w:rPr>
          <w:color w:val="242424"/>
          <w:spacing w:val="-4"/>
        </w:rPr>
        <w:t xml:space="preserve"> </w:t>
      </w:r>
      <w:r>
        <w:rPr>
          <w:color w:val="242424"/>
          <w:u w:val="single" w:color="242424"/>
        </w:rPr>
        <w:t>other</w:t>
      </w:r>
      <w:r>
        <w:rPr>
          <w:color w:val="242424"/>
          <w:spacing w:val="-4"/>
        </w:rPr>
        <w:t xml:space="preserve"> </w:t>
      </w:r>
      <w:r>
        <w:rPr>
          <w:color w:val="242424"/>
        </w:rPr>
        <w:t>than</w:t>
      </w:r>
      <w:r>
        <w:rPr>
          <w:color w:val="242424"/>
          <w:spacing w:val="-4"/>
        </w:rPr>
        <w:t xml:space="preserve"> </w:t>
      </w:r>
      <w:r>
        <w:rPr>
          <w:color w:val="242424"/>
        </w:rPr>
        <w:t>accounting</w:t>
      </w:r>
      <w:r>
        <w:rPr>
          <w:color w:val="242424"/>
          <w:spacing w:val="-4"/>
        </w:rPr>
        <w:t xml:space="preserve"> </w:t>
      </w:r>
      <w:r>
        <w:rPr>
          <w:color w:val="242424"/>
        </w:rPr>
        <w:t>or</w:t>
      </w:r>
      <w:r>
        <w:rPr>
          <w:color w:val="242424"/>
          <w:spacing w:val="-6"/>
        </w:rPr>
        <w:t xml:space="preserve"> </w:t>
      </w:r>
      <w:r>
        <w:rPr>
          <w:color w:val="242424"/>
        </w:rPr>
        <w:t>auditing, whose work in that field is used by the entity to assist it in preparing its financial statements (AU-C 501.04)</w:t>
      </w:r>
      <w:r>
        <w:t>.</w:t>
      </w:r>
    </w:p>
    <w:p w14:paraId="0DFDAD3A" w14:textId="77777777" w:rsidR="00046465" w:rsidRDefault="008134EB">
      <w:pPr>
        <w:pStyle w:val="ListParagraph"/>
        <w:numPr>
          <w:ilvl w:val="0"/>
          <w:numId w:val="18"/>
        </w:numPr>
        <w:tabs>
          <w:tab w:val="left" w:pos="1800"/>
        </w:tabs>
        <w:ind w:left="1800" w:right="799"/>
      </w:pPr>
      <w:r>
        <w:t>See</w:t>
      </w:r>
      <w:r>
        <w:rPr>
          <w:spacing w:val="-4"/>
        </w:rPr>
        <w:t xml:space="preserve"> </w:t>
      </w:r>
      <w:r>
        <w:t>FAM</w:t>
      </w:r>
      <w:r>
        <w:rPr>
          <w:spacing w:val="-5"/>
        </w:rPr>
        <w:t xml:space="preserve"> </w:t>
      </w:r>
      <w:r>
        <w:t>620.04</w:t>
      </w:r>
      <w:r>
        <w:rPr>
          <w:spacing w:val="-4"/>
        </w:rPr>
        <w:t xml:space="preserve"> </w:t>
      </w:r>
      <w:r>
        <w:t>through</w:t>
      </w:r>
      <w:r>
        <w:rPr>
          <w:spacing w:val="-4"/>
        </w:rPr>
        <w:t xml:space="preserve"> </w:t>
      </w:r>
      <w:r>
        <w:t>.05</w:t>
      </w:r>
      <w:r>
        <w:rPr>
          <w:spacing w:val="-4"/>
        </w:rPr>
        <w:t xml:space="preserve"> </w:t>
      </w:r>
      <w:r>
        <w:t>for</w:t>
      </w:r>
      <w:r>
        <w:rPr>
          <w:spacing w:val="-4"/>
        </w:rPr>
        <w:t xml:space="preserve"> </w:t>
      </w:r>
      <w:r>
        <w:t>examples</w:t>
      </w:r>
      <w:r>
        <w:rPr>
          <w:spacing w:val="-4"/>
        </w:rPr>
        <w:t xml:space="preserve"> </w:t>
      </w:r>
      <w:r>
        <w:t>of</w:t>
      </w:r>
      <w:r>
        <w:rPr>
          <w:spacing w:val="-4"/>
        </w:rPr>
        <w:t xml:space="preserve"> </w:t>
      </w:r>
      <w:r>
        <w:t>specialists</w:t>
      </w:r>
      <w:r>
        <w:rPr>
          <w:spacing w:val="-4"/>
        </w:rPr>
        <w:t xml:space="preserve"> </w:t>
      </w:r>
      <w:r>
        <w:t>that</w:t>
      </w:r>
      <w:r>
        <w:rPr>
          <w:spacing w:val="-5"/>
        </w:rPr>
        <w:t xml:space="preserve"> </w:t>
      </w:r>
      <w:r>
        <w:t>management</w:t>
      </w:r>
      <w:r>
        <w:rPr>
          <w:spacing w:val="-4"/>
        </w:rPr>
        <w:t xml:space="preserve"> </w:t>
      </w:r>
      <w:r>
        <w:t xml:space="preserve">might </w:t>
      </w:r>
      <w:r>
        <w:rPr>
          <w:spacing w:val="-4"/>
        </w:rPr>
        <w:t>use.</w:t>
      </w:r>
    </w:p>
    <w:p w14:paraId="0DFDAD3B" w14:textId="77777777" w:rsidR="00046465" w:rsidRDefault="008134EB">
      <w:pPr>
        <w:pStyle w:val="Heading4"/>
        <w:spacing w:before="240"/>
      </w:pPr>
      <w:bookmarkStart w:id="38" w:name="Planning_the_Review_of_the_Work_of_Manag"/>
      <w:bookmarkEnd w:id="38"/>
      <w:r>
        <w:t>Planning</w:t>
      </w:r>
      <w:r>
        <w:rPr>
          <w:spacing w:val="-9"/>
        </w:rPr>
        <w:t xml:space="preserve"> </w:t>
      </w:r>
      <w:r>
        <w:t>the</w:t>
      </w:r>
      <w:r>
        <w:rPr>
          <w:spacing w:val="-10"/>
        </w:rPr>
        <w:t xml:space="preserve"> </w:t>
      </w:r>
      <w:r>
        <w:t>Review</w:t>
      </w:r>
      <w:r>
        <w:rPr>
          <w:spacing w:val="-10"/>
        </w:rPr>
        <w:t xml:space="preserve"> </w:t>
      </w:r>
      <w:r>
        <w:t>of</w:t>
      </w:r>
      <w:r>
        <w:rPr>
          <w:spacing w:val="-9"/>
        </w:rPr>
        <w:t xml:space="preserve"> </w:t>
      </w:r>
      <w:r>
        <w:t>the</w:t>
      </w:r>
      <w:r>
        <w:rPr>
          <w:spacing w:val="-10"/>
        </w:rPr>
        <w:t xml:space="preserve"> </w:t>
      </w:r>
      <w:r>
        <w:t>Work</w:t>
      </w:r>
      <w:r>
        <w:rPr>
          <w:spacing w:val="-9"/>
        </w:rPr>
        <w:t xml:space="preserve"> </w:t>
      </w:r>
      <w:r>
        <w:t>of</w:t>
      </w:r>
      <w:r>
        <w:rPr>
          <w:spacing w:val="-10"/>
        </w:rPr>
        <w:t xml:space="preserve"> </w:t>
      </w:r>
      <w:r>
        <w:t>Management’s</w:t>
      </w:r>
      <w:r>
        <w:rPr>
          <w:spacing w:val="-10"/>
        </w:rPr>
        <w:t xml:space="preserve"> </w:t>
      </w:r>
      <w:r>
        <w:rPr>
          <w:spacing w:val="-2"/>
        </w:rPr>
        <w:t>Specialists</w:t>
      </w:r>
    </w:p>
    <w:p w14:paraId="0DFDAD3C" w14:textId="77777777" w:rsidR="00046465" w:rsidRDefault="008134EB">
      <w:pPr>
        <w:pStyle w:val="ListParagraph"/>
        <w:numPr>
          <w:ilvl w:val="0"/>
          <w:numId w:val="18"/>
        </w:numPr>
        <w:tabs>
          <w:tab w:val="left" w:pos="1800"/>
        </w:tabs>
        <w:ind w:left="1800" w:right="725"/>
      </w:pPr>
      <w:r>
        <w:t>If information to be used as audit evidence has been prepared using the work of management’s</w:t>
      </w:r>
      <w:r>
        <w:rPr>
          <w:spacing w:val="-4"/>
        </w:rPr>
        <w:t xml:space="preserve"> </w:t>
      </w:r>
      <w:r>
        <w:t>specialists,</w:t>
      </w:r>
      <w:r>
        <w:rPr>
          <w:spacing w:val="-4"/>
        </w:rPr>
        <w:t xml:space="preserve"> </w:t>
      </w:r>
      <w:r>
        <w:t>the</w:t>
      </w:r>
      <w:r>
        <w:rPr>
          <w:spacing w:val="-4"/>
        </w:rPr>
        <w:t xml:space="preserve"> </w:t>
      </w:r>
      <w:r>
        <w:t>auditor</w:t>
      </w:r>
      <w:r>
        <w:rPr>
          <w:spacing w:val="-4"/>
        </w:rPr>
        <w:t xml:space="preserve"> </w:t>
      </w:r>
      <w:r>
        <w:t>should,</w:t>
      </w:r>
      <w:r>
        <w:rPr>
          <w:spacing w:val="-4"/>
        </w:rPr>
        <w:t xml:space="preserve"> </w:t>
      </w:r>
      <w:r>
        <w:t>to</w:t>
      </w:r>
      <w:r>
        <w:rPr>
          <w:spacing w:val="-4"/>
        </w:rPr>
        <w:t xml:space="preserve"> </w:t>
      </w:r>
      <w:r>
        <w:t>the</w:t>
      </w:r>
      <w:r>
        <w:rPr>
          <w:spacing w:val="-4"/>
        </w:rPr>
        <w:t xml:space="preserve"> </w:t>
      </w:r>
      <w:r>
        <w:t>extent</w:t>
      </w:r>
      <w:r>
        <w:rPr>
          <w:spacing w:val="-4"/>
        </w:rPr>
        <w:t xml:space="preserve"> </w:t>
      </w:r>
      <w:r>
        <w:t>necessary,</w:t>
      </w:r>
      <w:r>
        <w:rPr>
          <w:spacing w:val="-5"/>
        </w:rPr>
        <w:t xml:space="preserve"> </w:t>
      </w:r>
      <w:r>
        <w:t>taking</w:t>
      </w:r>
      <w:r>
        <w:rPr>
          <w:spacing w:val="-4"/>
        </w:rPr>
        <w:t xml:space="preserve"> </w:t>
      </w:r>
      <w:r>
        <w:t>into account the significance of those specialists’ work for the auditor’s purposes, perform the following (AU-C 501.27):</w:t>
      </w:r>
    </w:p>
    <w:p w14:paraId="0DFDAD3D" w14:textId="77777777" w:rsidR="00046465" w:rsidRDefault="008134EB">
      <w:pPr>
        <w:pStyle w:val="ListParagraph"/>
        <w:numPr>
          <w:ilvl w:val="1"/>
          <w:numId w:val="18"/>
        </w:numPr>
        <w:tabs>
          <w:tab w:val="left" w:pos="2159"/>
        </w:tabs>
        <w:ind w:left="2159" w:hanging="359"/>
      </w:pPr>
      <w:r>
        <w:t>evaluate</w:t>
      </w:r>
      <w:r>
        <w:rPr>
          <w:spacing w:val="-8"/>
        </w:rPr>
        <w:t xml:space="preserve"> </w:t>
      </w:r>
      <w:r>
        <w:t>the</w:t>
      </w:r>
      <w:r>
        <w:rPr>
          <w:spacing w:val="-9"/>
        </w:rPr>
        <w:t xml:space="preserve"> </w:t>
      </w:r>
      <w:r>
        <w:t>competence,</w:t>
      </w:r>
      <w:r>
        <w:rPr>
          <w:spacing w:val="-7"/>
        </w:rPr>
        <w:t xml:space="preserve"> </w:t>
      </w:r>
      <w:r>
        <w:t>capabilities,</w:t>
      </w:r>
      <w:r>
        <w:rPr>
          <w:spacing w:val="-8"/>
        </w:rPr>
        <w:t xml:space="preserve"> </w:t>
      </w:r>
      <w:r>
        <w:t>and</w:t>
      </w:r>
      <w:r>
        <w:rPr>
          <w:spacing w:val="-7"/>
        </w:rPr>
        <w:t xml:space="preserve"> </w:t>
      </w:r>
      <w:r>
        <w:t>objectivity</w:t>
      </w:r>
      <w:r>
        <w:rPr>
          <w:spacing w:val="-7"/>
        </w:rPr>
        <w:t xml:space="preserve"> </w:t>
      </w:r>
      <w:r>
        <w:t>of</w:t>
      </w:r>
      <w:r>
        <w:rPr>
          <w:spacing w:val="-8"/>
        </w:rPr>
        <w:t xml:space="preserve"> </w:t>
      </w:r>
      <w:r>
        <w:t>those</w:t>
      </w:r>
      <w:r>
        <w:rPr>
          <w:spacing w:val="-8"/>
        </w:rPr>
        <w:t xml:space="preserve"> </w:t>
      </w:r>
      <w:r>
        <w:rPr>
          <w:spacing w:val="-2"/>
        </w:rPr>
        <w:t>specialists;</w:t>
      </w:r>
    </w:p>
    <w:p w14:paraId="0DFDAD3E" w14:textId="77777777" w:rsidR="00046465" w:rsidRDefault="008134EB">
      <w:pPr>
        <w:pStyle w:val="ListParagraph"/>
        <w:numPr>
          <w:ilvl w:val="1"/>
          <w:numId w:val="18"/>
        </w:numPr>
        <w:tabs>
          <w:tab w:val="left" w:pos="2159"/>
        </w:tabs>
        <w:ind w:left="2159" w:hanging="359"/>
      </w:pPr>
      <w:r>
        <w:t>obtain</w:t>
      </w:r>
      <w:r>
        <w:rPr>
          <w:spacing w:val="-6"/>
        </w:rPr>
        <w:t xml:space="preserve"> </w:t>
      </w:r>
      <w:r>
        <w:t>an</w:t>
      </w:r>
      <w:r>
        <w:rPr>
          <w:spacing w:val="-6"/>
        </w:rPr>
        <w:t xml:space="preserve"> </w:t>
      </w:r>
      <w:r>
        <w:t>understanding</w:t>
      </w:r>
      <w:r>
        <w:rPr>
          <w:spacing w:val="-7"/>
        </w:rPr>
        <w:t xml:space="preserve"> </w:t>
      </w:r>
      <w:r>
        <w:t>of</w:t>
      </w:r>
      <w:r>
        <w:rPr>
          <w:spacing w:val="-6"/>
        </w:rPr>
        <w:t xml:space="preserve"> </w:t>
      </w:r>
      <w:r>
        <w:t>the</w:t>
      </w:r>
      <w:r>
        <w:rPr>
          <w:spacing w:val="-5"/>
        </w:rPr>
        <w:t xml:space="preserve"> </w:t>
      </w:r>
      <w:r>
        <w:t>work</w:t>
      </w:r>
      <w:r>
        <w:rPr>
          <w:spacing w:val="-6"/>
        </w:rPr>
        <w:t xml:space="preserve"> </w:t>
      </w:r>
      <w:r>
        <w:t>of</w:t>
      </w:r>
      <w:r>
        <w:rPr>
          <w:spacing w:val="-6"/>
        </w:rPr>
        <w:t xml:space="preserve"> </w:t>
      </w:r>
      <w:r>
        <w:t>those</w:t>
      </w:r>
      <w:r>
        <w:rPr>
          <w:spacing w:val="-6"/>
        </w:rPr>
        <w:t xml:space="preserve"> </w:t>
      </w:r>
      <w:r>
        <w:t>specialists;</w:t>
      </w:r>
      <w:r>
        <w:rPr>
          <w:spacing w:val="-6"/>
        </w:rPr>
        <w:t xml:space="preserve"> </w:t>
      </w:r>
      <w:r>
        <w:rPr>
          <w:spacing w:val="-5"/>
        </w:rPr>
        <w:t>and</w:t>
      </w:r>
    </w:p>
    <w:p w14:paraId="0DFDAD3F" w14:textId="77777777" w:rsidR="00046465" w:rsidRDefault="008134EB">
      <w:pPr>
        <w:pStyle w:val="ListParagraph"/>
        <w:numPr>
          <w:ilvl w:val="1"/>
          <w:numId w:val="18"/>
        </w:numPr>
        <w:tabs>
          <w:tab w:val="left" w:pos="2158"/>
          <w:tab w:val="left" w:pos="2160"/>
        </w:tabs>
        <w:ind w:right="854" w:hanging="361"/>
        <w:rPr>
          <w:position w:val="7"/>
          <w:sz w:val="14"/>
        </w:rPr>
      </w:pPr>
      <w:r>
        <w:t>evaluate</w:t>
      </w:r>
      <w:r>
        <w:rPr>
          <w:spacing w:val="-4"/>
        </w:rPr>
        <w:t xml:space="preserve"> </w:t>
      </w:r>
      <w:r>
        <w:t>the</w:t>
      </w:r>
      <w:r>
        <w:rPr>
          <w:spacing w:val="-5"/>
        </w:rPr>
        <w:t xml:space="preserve"> </w:t>
      </w:r>
      <w:r>
        <w:t>appropriateness</w:t>
      </w:r>
      <w:r>
        <w:rPr>
          <w:spacing w:val="-3"/>
        </w:rPr>
        <w:t xml:space="preserve"> </w:t>
      </w:r>
      <w:r>
        <w:t>of</w:t>
      </w:r>
      <w:r>
        <w:rPr>
          <w:spacing w:val="-4"/>
        </w:rPr>
        <w:t xml:space="preserve"> </w:t>
      </w:r>
      <w:r>
        <w:t>those</w:t>
      </w:r>
      <w:r>
        <w:rPr>
          <w:spacing w:val="-4"/>
        </w:rPr>
        <w:t xml:space="preserve"> </w:t>
      </w:r>
      <w:r>
        <w:t>specialists’</w:t>
      </w:r>
      <w:r>
        <w:rPr>
          <w:spacing w:val="-4"/>
        </w:rPr>
        <w:t xml:space="preserve"> </w:t>
      </w:r>
      <w:r>
        <w:t>work</w:t>
      </w:r>
      <w:r>
        <w:rPr>
          <w:spacing w:val="-4"/>
        </w:rPr>
        <w:t xml:space="preserve"> </w:t>
      </w:r>
      <w:r>
        <w:t>as</w:t>
      </w:r>
      <w:r>
        <w:rPr>
          <w:spacing w:val="-4"/>
        </w:rPr>
        <w:t xml:space="preserve"> </w:t>
      </w:r>
      <w:r>
        <w:t>audit</w:t>
      </w:r>
      <w:r>
        <w:rPr>
          <w:spacing w:val="-4"/>
        </w:rPr>
        <w:t xml:space="preserve"> </w:t>
      </w:r>
      <w:r>
        <w:t>evidence</w:t>
      </w:r>
      <w:r>
        <w:rPr>
          <w:spacing w:val="-5"/>
        </w:rPr>
        <w:t xml:space="preserve"> </w:t>
      </w:r>
      <w:r>
        <w:t>for the significant assertion.</w:t>
      </w:r>
      <w:hyperlink w:anchor="_bookmark11" w:history="1">
        <w:r>
          <w:rPr>
            <w:position w:val="7"/>
            <w:sz w:val="14"/>
          </w:rPr>
          <w:t>7</w:t>
        </w:r>
      </w:hyperlink>
    </w:p>
    <w:p w14:paraId="0DFDAD40" w14:textId="77777777" w:rsidR="00046465" w:rsidRDefault="008134EB">
      <w:pPr>
        <w:pStyle w:val="ListParagraph"/>
        <w:numPr>
          <w:ilvl w:val="0"/>
          <w:numId w:val="18"/>
        </w:numPr>
        <w:tabs>
          <w:tab w:val="left" w:pos="1800"/>
        </w:tabs>
        <w:spacing w:before="119"/>
        <w:ind w:left="1800" w:right="775"/>
      </w:pPr>
      <w:r>
        <w:t>The</w:t>
      </w:r>
      <w:r>
        <w:rPr>
          <w:spacing w:val="-4"/>
        </w:rPr>
        <w:t xml:space="preserve"> </w:t>
      </w:r>
      <w:r>
        <w:t>nature,</w:t>
      </w:r>
      <w:r>
        <w:rPr>
          <w:spacing w:val="-4"/>
        </w:rPr>
        <w:t xml:space="preserve"> </w:t>
      </w:r>
      <w:r>
        <w:t>timing,</w:t>
      </w:r>
      <w:r>
        <w:rPr>
          <w:spacing w:val="-4"/>
        </w:rPr>
        <w:t xml:space="preserve"> </w:t>
      </w:r>
      <w:r>
        <w:t>and</w:t>
      </w:r>
      <w:r>
        <w:rPr>
          <w:spacing w:val="-4"/>
        </w:rPr>
        <w:t xml:space="preserve"> </w:t>
      </w:r>
      <w:r>
        <w:t>extent</w:t>
      </w:r>
      <w:r>
        <w:rPr>
          <w:spacing w:val="-4"/>
        </w:rPr>
        <w:t xml:space="preserve"> </w:t>
      </w:r>
      <w:r>
        <w:t>of</w:t>
      </w:r>
      <w:r>
        <w:rPr>
          <w:spacing w:val="-4"/>
        </w:rPr>
        <w:t xml:space="preserve"> </w:t>
      </w:r>
      <w:r>
        <w:t>audit</w:t>
      </w:r>
      <w:r>
        <w:rPr>
          <w:spacing w:val="-4"/>
        </w:rPr>
        <w:t xml:space="preserve"> </w:t>
      </w:r>
      <w:r>
        <w:t>procedures</w:t>
      </w:r>
      <w:r>
        <w:rPr>
          <w:spacing w:val="-4"/>
        </w:rPr>
        <w:t xml:space="preserve"> </w:t>
      </w:r>
      <w:r>
        <w:t>with</w:t>
      </w:r>
      <w:r>
        <w:rPr>
          <w:spacing w:val="-4"/>
        </w:rPr>
        <w:t xml:space="preserve"> </w:t>
      </w:r>
      <w:r>
        <w:t>regard</w:t>
      </w:r>
      <w:r>
        <w:rPr>
          <w:spacing w:val="-4"/>
        </w:rPr>
        <w:t xml:space="preserve"> </w:t>
      </w:r>
      <w:r>
        <w:t>to</w:t>
      </w:r>
      <w:r>
        <w:rPr>
          <w:spacing w:val="-4"/>
        </w:rPr>
        <w:t xml:space="preserve"> </w:t>
      </w:r>
      <w:r>
        <w:t>the</w:t>
      </w:r>
      <w:r>
        <w:rPr>
          <w:spacing w:val="-4"/>
        </w:rPr>
        <w:t xml:space="preserve"> </w:t>
      </w:r>
      <w:r>
        <w:t xml:space="preserve">requirement in </w:t>
      </w:r>
      <w:hyperlink r:id="rId41">
        <w:r>
          <w:t>FAM</w:t>
        </w:r>
      </w:hyperlink>
      <w:r>
        <w:t xml:space="preserve"> 625.03 may be affected by matters such as the following (AU-C </w:t>
      </w:r>
      <w:r>
        <w:rPr>
          <w:spacing w:val="-2"/>
        </w:rPr>
        <w:t>501.A72):</w:t>
      </w:r>
    </w:p>
    <w:p w14:paraId="0DFDAD41" w14:textId="77777777" w:rsidR="00046465" w:rsidRDefault="008134EB">
      <w:pPr>
        <w:pStyle w:val="ListParagraph"/>
        <w:numPr>
          <w:ilvl w:val="1"/>
          <w:numId w:val="18"/>
        </w:numPr>
        <w:tabs>
          <w:tab w:val="left" w:pos="2160"/>
        </w:tabs>
        <w:spacing w:before="121"/>
        <w:ind w:right="953"/>
      </w:pPr>
      <w:r>
        <w:t>the</w:t>
      </w:r>
      <w:r>
        <w:rPr>
          <w:spacing w:val="-4"/>
        </w:rPr>
        <w:t xml:space="preserve"> </w:t>
      </w:r>
      <w:r>
        <w:t>nature</w:t>
      </w:r>
      <w:r>
        <w:rPr>
          <w:spacing w:val="-4"/>
        </w:rPr>
        <w:t xml:space="preserve"> </w:t>
      </w:r>
      <w:r>
        <w:t>and</w:t>
      </w:r>
      <w:r>
        <w:rPr>
          <w:spacing w:val="-4"/>
        </w:rPr>
        <w:t xml:space="preserve"> </w:t>
      </w:r>
      <w:r>
        <w:t>complexity</w:t>
      </w:r>
      <w:r>
        <w:rPr>
          <w:spacing w:val="-4"/>
        </w:rPr>
        <w:t xml:space="preserve"> </w:t>
      </w:r>
      <w:r>
        <w:t>of</w:t>
      </w:r>
      <w:r>
        <w:rPr>
          <w:spacing w:val="-4"/>
        </w:rPr>
        <w:t xml:space="preserve"> </w:t>
      </w:r>
      <w:r>
        <w:t>the</w:t>
      </w:r>
      <w:r>
        <w:rPr>
          <w:spacing w:val="-4"/>
        </w:rPr>
        <w:t xml:space="preserve"> </w:t>
      </w:r>
      <w:r>
        <w:t>matter</w:t>
      </w:r>
      <w:r>
        <w:rPr>
          <w:spacing w:val="-4"/>
        </w:rPr>
        <w:t xml:space="preserve"> </w:t>
      </w:r>
      <w:r>
        <w:t>to</w:t>
      </w:r>
      <w:r>
        <w:rPr>
          <w:spacing w:val="-4"/>
        </w:rPr>
        <w:t xml:space="preserve"> </w:t>
      </w:r>
      <w:r>
        <w:t>which</w:t>
      </w:r>
      <w:r>
        <w:rPr>
          <w:spacing w:val="-5"/>
        </w:rPr>
        <w:t xml:space="preserve"> </w:t>
      </w:r>
      <w:r>
        <w:t>the</w:t>
      </w:r>
      <w:r>
        <w:rPr>
          <w:spacing w:val="-4"/>
        </w:rPr>
        <w:t xml:space="preserve"> </w:t>
      </w:r>
      <w:r>
        <w:t>work</w:t>
      </w:r>
      <w:r>
        <w:rPr>
          <w:spacing w:val="-4"/>
        </w:rPr>
        <w:t xml:space="preserve"> </w:t>
      </w:r>
      <w:r>
        <w:t>of</w:t>
      </w:r>
      <w:r>
        <w:rPr>
          <w:spacing w:val="-4"/>
        </w:rPr>
        <w:t xml:space="preserve"> </w:t>
      </w:r>
      <w:r>
        <w:t>management’s specialists relates;</w:t>
      </w:r>
    </w:p>
    <w:p w14:paraId="0DFDAD42" w14:textId="77777777" w:rsidR="00046465" w:rsidRDefault="008134EB">
      <w:pPr>
        <w:pStyle w:val="ListParagraph"/>
        <w:numPr>
          <w:ilvl w:val="1"/>
          <w:numId w:val="18"/>
        </w:numPr>
        <w:tabs>
          <w:tab w:val="left" w:pos="2159"/>
        </w:tabs>
        <w:ind w:left="2159" w:hanging="359"/>
      </w:pPr>
      <w:r>
        <w:t>the</w:t>
      </w:r>
      <w:r>
        <w:rPr>
          <w:spacing w:val="-6"/>
        </w:rPr>
        <w:t xml:space="preserve"> </w:t>
      </w:r>
      <w:r>
        <w:t>risks</w:t>
      </w:r>
      <w:r>
        <w:rPr>
          <w:spacing w:val="-6"/>
        </w:rPr>
        <w:t xml:space="preserve"> </w:t>
      </w:r>
      <w:r>
        <w:t>of</w:t>
      </w:r>
      <w:r>
        <w:rPr>
          <w:spacing w:val="-7"/>
        </w:rPr>
        <w:t xml:space="preserve"> </w:t>
      </w:r>
      <w:r>
        <w:t>material</w:t>
      </w:r>
      <w:r>
        <w:rPr>
          <w:spacing w:val="-5"/>
        </w:rPr>
        <w:t xml:space="preserve"> </w:t>
      </w:r>
      <w:r>
        <w:t>misstatement</w:t>
      </w:r>
      <w:r>
        <w:rPr>
          <w:spacing w:val="-6"/>
        </w:rPr>
        <w:t xml:space="preserve"> </w:t>
      </w:r>
      <w:r>
        <w:t>of</w:t>
      </w:r>
      <w:r>
        <w:rPr>
          <w:spacing w:val="-5"/>
        </w:rPr>
        <w:t xml:space="preserve"> </w:t>
      </w:r>
      <w:r>
        <w:t>the</w:t>
      </w:r>
      <w:r>
        <w:rPr>
          <w:spacing w:val="-6"/>
        </w:rPr>
        <w:t xml:space="preserve"> </w:t>
      </w:r>
      <w:r>
        <w:rPr>
          <w:spacing w:val="-2"/>
        </w:rPr>
        <w:t>matter;</w:t>
      </w:r>
    </w:p>
    <w:p w14:paraId="0DFDAD43" w14:textId="77777777" w:rsidR="00046465" w:rsidRDefault="008134EB">
      <w:pPr>
        <w:pStyle w:val="ListParagraph"/>
        <w:numPr>
          <w:ilvl w:val="1"/>
          <w:numId w:val="18"/>
        </w:numPr>
        <w:tabs>
          <w:tab w:val="left" w:pos="2159"/>
        </w:tabs>
        <w:spacing w:before="119"/>
        <w:ind w:left="2159" w:hanging="359"/>
      </w:pPr>
      <w:r>
        <w:t>the</w:t>
      </w:r>
      <w:r>
        <w:rPr>
          <w:spacing w:val="-7"/>
        </w:rPr>
        <w:t xml:space="preserve"> </w:t>
      </w:r>
      <w:r>
        <w:t>availability</w:t>
      </w:r>
      <w:r>
        <w:rPr>
          <w:spacing w:val="-6"/>
        </w:rPr>
        <w:t xml:space="preserve"> </w:t>
      </w:r>
      <w:r>
        <w:t>of</w:t>
      </w:r>
      <w:r>
        <w:rPr>
          <w:spacing w:val="-7"/>
        </w:rPr>
        <w:t xml:space="preserve"> </w:t>
      </w:r>
      <w:r>
        <w:t>alternative</w:t>
      </w:r>
      <w:r>
        <w:rPr>
          <w:spacing w:val="-6"/>
        </w:rPr>
        <w:t xml:space="preserve"> </w:t>
      </w:r>
      <w:r>
        <w:t>sources</w:t>
      </w:r>
      <w:r>
        <w:rPr>
          <w:spacing w:val="-7"/>
        </w:rPr>
        <w:t xml:space="preserve"> </w:t>
      </w:r>
      <w:r>
        <w:t>of</w:t>
      </w:r>
      <w:r>
        <w:rPr>
          <w:spacing w:val="-7"/>
        </w:rPr>
        <w:t xml:space="preserve"> </w:t>
      </w:r>
      <w:r>
        <w:t>audit</w:t>
      </w:r>
      <w:r>
        <w:rPr>
          <w:spacing w:val="-6"/>
        </w:rPr>
        <w:t xml:space="preserve"> </w:t>
      </w:r>
      <w:r>
        <w:rPr>
          <w:spacing w:val="-2"/>
        </w:rPr>
        <w:t>evidence;</w:t>
      </w:r>
    </w:p>
    <w:p w14:paraId="0DFDAD44" w14:textId="77777777" w:rsidR="00046465" w:rsidRDefault="008134EB">
      <w:pPr>
        <w:pStyle w:val="ListParagraph"/>
        <w:numPr>
          <w:ilvl w:val="1"/>
          <w:numId w:val="18"/>
        </w:numPr>
        <w:tabs>
          <w:tab w:val="left" w:pos="2159"/>
        </w:tabs>
        <w:ind w:left="2159" w:hanging="359"/>
      </w:pPr>
      <w:r>
        <w:t>the</w:t>
      </w:r>
      <w:r>
        <w:rPr>
          <w:spacing w:val="-7"/>
        </w:rPr>
        <w:t xml:space="preserve"> </w:t>
      </w:r>
      <w:r>
        <w:t>nature,</w:t>
      </w:r>
      <w:r>
        <w:rPr>
          <w:spacing w:val="-6"/>
        </w:rPr>
        <w:t xml:space="preserve"> </w:t>
      </w:r>
      <w:r>
        <w:t>scope,</w:t>
      </w:r>
      <w:r>
        <w:rPr>
          <w:spacing w:val="-6"/>
        </w:rPr>
        <w:t xml:space="preserve"> </w:t>
      </w:r>
      <w:r>
        <w:t>and</w:t>
      </w:r>
      <w:r>
        <w:rPr>
          <w:spacing w:val="-7"/>
        </w:rPr>
        <w:t xml:space="preserve"> </w:t>
      </w:r>
      <w:r>
        <w:t>objectives</w:t>
      </w:r>
      <w:r>
        <w:rPr>
          <w:spacing w:val="-6"/>
        </w:rPr>
        <w:t xml:space="preserve"> </w:t>
      </w:r>
      <w:r>
        <w:t>of</w:t>
      </w:r>
      <w:r>
        <w:rPr>
          <w:spacing w:val="-6"/>
        </w:rPr>
        <w:t xml:space="preserve"> </w:t>
      </w:r>
      <w:r>
        <w:t>the</w:t>
      </w:r>
      <w:r>
        <w:rPr>
          <w:spacing w:val="-6"/>
        </w:rPr>
        <w:t xml:space="preserve"> </w:t>
      </w:r>
      <w:r>
        <w:t>work</w:t>
      </w:r>
      <w:r>
        <w:rPr>
          <w:spacing w:val="-7"/>
        </w:rPr>
        <w:t xml:space="preserve"> </w:t>
      </w:r>
      <w:r>
        <w:t>of</w:t>
      </w:r>
      <w:r>
        <w:rPr>
          <w:spacing w:val="-6"/>
        </w:rPr>
        <w:t xml:space="preserve"> </w:t>
      </w:r>
      <w:r>
        <w:t>management’s</w:t>
      </w:r>
      <w:r>
        <w:rPr>
          <w:spacing w:val="-5"/>
        </w:rPr>
        <w:t xml:space="preserve"> </w:t>
      </w:r>
      <w:r>
        <w:rPr>
          <w:spacing w:val="-2"/>
        </w:rPr>
        <w:t>specialists;</w:t>
      </w:r>
    </w:p>
    <w:p w14:paraId="0DFDAD45" w14:textId="77777777" w:rsidR="00046465" w:rsidRDefault="008134EB">
      <w:pPr>
        <w:pStyle w:val="ListParagraph"/>
        <w:numPr>
          <w:ilvl w:val="1"/>
          <w:numId w:val="18"/>
        </w:numPr>
        <w:tabs>
          <w:tab w:val="left" w:pos="2158"/>
          <w:tab w:val="left" w:pos="2160"/>
        </w:tabs>
        <w:spacing w:before="121"/>
        <w:ind w:right="719" w:hanging="361"/>
      </w:pPr>
      <w:r>
        <w:t>whether</w:t>
      </w:r>
      <w:r>
        <w:rPr>
          <w:spacing w:val="-4"/>
        </w:rPr>
        <w:t xml:space="preserve"> </w:t>
      </w:r>
      <w:r>
        <w:t>management’s</w:t>
      </w:r>
      <w:r>
        <w:rPr>
          <w:spacing w:val="-4"/>
        </w:rPr>
        <w:t xml:space="preserve"> </w:t>
      </w:r>
      <w:r>
        <w:t>specialists</w:t>
      </w:r>
      <w:r>
        <w:rPr>
          <w:spacing w:val="-4"/>
        </w:rPr>
        <w:t xml:space="preserve"> </w:t>
      </w:r>
      <w:r>
        <w:t>are</w:t>
      </w:r>
      <w:r>
        <w:rPr>
          <w:spacing w:val="-4"/>
        </w:rPr>
        <w:t xml:space="preserve"> </w:t>
      </w:r>
      <w:r>
        <w:t>employed</w:t>
      </w:r>
      <w:r>
        <w:rPr>
          <w:spacing w:val="-4"/>
        </w:rPr>
        <w:t xml:space="preserve"> </w:t>
      </w:r>
      <w:r>
        <w:t>by</w:t>
      </w:r>
      <w:r>
        <w:rPr>
          <w:spacing w:val="-4"/>
        </w:rPr>
        <w:t xml:space="preserve"> </w:t>
      </w:r>
      <w:r>
        <w:t>the</w:t>
      </w:r>
      <w:r>
        <w:rPr>
          <w:spacing w:val="-4"/>
        </w:rPr>
        <w:t xml:space="preserve"> </w:t>
      </w:r>
      <w:r>
        <w:t>entity</w:t>
      </w:r>
      <w:r>
        <w:rPr>
          <w:spacing w:val="-4"/>
        </w:rPr>
        <w:t xml:space="preserve"> </w:t>
      </w:r>
      <w:r>
        <w:t>or</w:t>
      </w:r>
      <w:r>
        <w:rPr>
          <w:spacing w:val="-4"/>
        </w:rPr>
        <w:t xml:space="preserve"> </w:t>
      </w:r>
      <w:r>
        <w:t>are</w:t>
      </w:r>
      <w:r>
        <w:rPr>
          <w:spacing w:val="-4"/>
        </w:rPr>
        <w:t xml:space="preserve"> </w:t>
      </w:r>
      <w:r>
        <w:t>engaged by it to provide relevant services;</w:t>
      </w:r>
    </w:p>
    <w:p w14:paraId="0DFDAD46" w14:textId="77777777" w:rsidR="00046465" w:rsidRDefault="008134EB">
      <w:pPr>
        <w:pStyle w:val="ListParagraph"/>
        <w:numPr>
          <w:ilvl w:val="1"/>
          <w:numId w:val="18"/>
        </w:numPr>
        <w:tabs>
          <w:tab w:val="left" w:pos="2160"/>
        </w:tabs>
        <w:spacing w:before="119"/>
        <w:ind w:right="941"/>
      </w:pPr>
      <w:r>
        <w:t>the extent to which management can exercise control or influence over management’s</w:t>
      </w:r>
      <w:r>
        <w:rPr>
          <w:spacing w:val="-6"/>
        </w:rPr>
        <w:t xml:space="preserve"> </w:t>
      </w:r>
      <w:r>
        <w:t>specialists</w:t>
      </w:r>
      <w:r>
        <w:rPr>
          <w:spacing w:val="-6"/>
        </w:rPr>
        <w:t xml:space="preserve"> </w:t>
      </w:r>
      <w:r>
        <w:t>(including,</w:t>
      </w:r>
      <w:r>
        <w:rPr>
          <w:spacing w:val="-7"/>
        </w:rPr>
        <w:t xml:space="preserve"> </w:t>
      </w:r>
      <w:r>
        <w:t>when</w:t>
      </w:r>
      <w:r>
        <w:rPr>
          <w:spacing w:val="-6"/>
        </w:rPr>
        <w:t xml:space="preserve"> </w:t>
      </w:r>
      <w:r>
        <w:t>applicable,</w:t>
      </w:r>
      <w:r>
        <w:rPr>
          <w:spacing w:val="-6"/>
        </w:rPr>
        <w:t xml:space="preserve"> </w:t>
      </w:r>
      <w:r>
        <w:t>the</w:t>
      </w:r>
      <w:r>
        <w:rPr>
          <w:spacing w:val="-6"/>
        </w:rPr>
        <w:t xml:space="preserve"> </w:t>
      </w:r>
      <w:r>
        <w:t>organization</w:t>
      </w:r>
      <w:r>
        <w:rPr>
          <w:spacing w:val="-6"/>
        </w:rPr>
        <w:t xml:space="preserve"> </w:t>
      </w:r>
      <w:r>
        <w:t xml:space="preserve">that employs an individual specialist), thereby influencing the work of its </w:t>
      </w:r>
      <w:r>
        <w:rPr>
          <w:spacing w:val="-2"/>
        </w:rPr>
        <w:t>specialists;</w:t>
      </w:r>
    </w:p>
    <w:p w14:paraId="0DFDAD47" w14:textId="77777777" w:rsidR="00046465" w:rsidRDefault="008134EB">
      <w:pPr>
        <w:pStyle w:val="ListParagraph"/>
        <w:numPr>
          <w:ilvl w:val="1"/>
          <w:numId w:val="18"/>
        </w:numPr>
        <w:tabs>
          <w:tab w:val="left" w:pos="2158"/>
          <w:tab w:val="left" w:pos="2160"/>
        </w:tabs>
        <w:spacing w:before="121"/>
        <w:ind w:right="1307" w:hanging="361"/>
      </w:pPr>
      <w:r>
        <w:t>whether</w:t>
      </w:r>
      <w:r>
        <w:rPr>
          <w:spacing w:val="-5"/>
        </w:rPr>
        <w:t xml:space="preserve"> </w:t>
      </w:r>
      <w:r>
        <w:t>management’s</w:t>
      </w:r>
      <w:r>
        <w:rPr>
          <w:spacing w:val="-5"/>
        </w:rPr>
        <w:t xml:space="preserve"> </w:t>
      </w:r>
      <w:r>
        <w:t>specialists</w:t>
      </w:r>
      <w:r>
        <w:rPr>
          <w:spacing w:val="-5"/>
        </w:rPr>
        <w:t xml:space="preserve"> </w:t>
      </w:r>
      <w:r>
        <w:t>are</w:t>
      </w:r>
      <w:r>
        <w:rPr>
          <w:spacing w:val="-5"/>
        </w:rPr>
        <w:t xml:space="preserve"> </w:t>
      </w:r>
      <w:r>
        <w:t>subject</w:t>
      </w:r>
      <w:r>
        <w:rPr>
          <w:spacing w:val="-5"/>
        </w:rPr>
        <w:t xml:space="preserve"> </w:t>
      </w:r>
      <w:r>
        <w:t>to</w:t>
      </w:r>
      <w:r>
        <w:rPr>
          <w:spacing w:val="-6"/>
        </w:rPr>
        <w:t xml:space="preserve"> </w:t>
      </w:r>
      <w:r>
        <w:t>technical</w:t>
      </w:r>
      <w:r>
        <w:rPr>
          <w:spacing w:val="-5"/>
        </w:rPr>
        <w:t xml:space="preserve"> </w:t>
      </w:r>
      <w:r>
        <w:t>performance standards or other professional or industry requirements;</w:t>
      </w:r>
    </w:p>
    <w:p w14:paraId="0DFDAD48" w14:textId="77777777" w:rsidR="00046465" w:rsidRDefault="008134EB">
      <w:pPr>
        <w:pStyle w:val="ListParagraph"/>
        <w:numPr>
          <w:ilvl w:val="1"/>
          <w:numId w:val="18"/>
        </w:numPr>
        <w:tabs>
          <w:tab w:val="left" w:pos="2160"/>
        </w:tabs>
        <w:spacing w:before="119"/>
        <w:ind w:right="1503"/>
      </w:pPr>
      <w:r>
        <w:t>the</w:t>
      </w:r>
      <w:r>
        <w:rPr>
          <w:spacing w:val="-3"/>
        </w:rPr>
        <w:t xml:space="preserve"> </w:t>
      </w:r>
      <w:r>
        <w:t>nature</w:t>
      </w:r>
      <w:r>
        <w:rPr>
          <w:spacing w:val="-3"/>
        </w:rPr>
        <w:t xml:space="preserve"> </w:t>
      </w:r>
      <w:r>
        <w:t>and</w:t>
      </w:r>
      <w:r>
        <w:rPr>
          <w:spacing w:val="-3"/>
        </w:rPr>
        <w:t xml:space="preserve"> </w:t>
      </w:r>
      <w:r>
        <w:t>extent</w:t>
      </w:r>
      <w:r>
        <w:rPr>
          <w:spacing w:val="-3"/>
        </w:rPr>
        <w:t xml:space="preserve"> </w:t>
      </w:r>
      <w:r>
        <w:t>of</w:t>
      </w:r>
      <w:r>
        <w:rPr>
          <w:spacing w:val="-4"/>
        </w:rPr>
        <w:t xml:space="preserve"> </w:t>
      </w:r>
      <w:r>
        <w:t>any</w:t>
      </w:r>
      <w:r>
        <w:rPr>
          <w:spacing w:val="-3"/>
        </w:rPr>
        <w:t xml:space="preserve"> </w:t>
      </w:r>
      <w:r>
        <w:t>controls</w:t>
      </w:r>
      <w:r>
        <w:rPr>
          <w:spacing w:val="-4"/>
        </w:rPr>
        <w:t xml:space="preserve"> </w:t>
      </w:r>
      <w:r>
        <w:t>within</w:t>
      </w:r>
      <w:r>
        <w:rPr>
          <w:spacing w:val="-3"/>
        </w:rPr>
        <w:t xml:space="preserve"> </w:t>
      </w:r>
      <w:r>
        <w:t>the</w:t>
      </w:r>
      <w:r>
        <w:rPr>
          <w:spacing w:val="-3"/>
        </w:rPr>
        <w:t xml:space="preserve"> </w:t>
      </w:r>
      <w:r>
        <w:t>entity</w:t>
      </w:r>
      <w:r>
        <w:rPr>
          <w:spacing w:val="-3"/>
        </w:rPr>
        <w:t xml:space="preserve"> </w:t>
      </w:r>
      <w:r>
        <w:t>over</w:t>
      </w:r>
      <w:r>
        <w:rPr>
          <w:spacing w:val="-3"/>
        </w:rPr>
        <w:t xml:space="preserve"> </w:t>
      </w:r>
      <w:r>
        <w:t>the</w:t>
      </w:r>
      <w:r>
        <w:rPr>
          <w:spacing w:val="-3"/>
        </w:rPr>
        <w:t xml:space="preserve"> </w:t>
      </w:r>
      <w:r>
        <w:t>work</w:t>
      </w:r>
      <w:r>
        <w:rPr>
          <w:spacing w:val="-3"/>
        </w:rPr>
        <w:t xml:space="preserve"> </w:t>
      </w:r>
      <w:r>
        <w:t>of management’s specialists;</w:t>
      </w:r>
    </w:p>
    <w:p w14:paraId="0DFDAD49" w14:textId="77777777" w:rsidR="00046465" w:rsidRDefault="00046465">
      <w:pPr>
        <w:pStyle w:val="BodyText"/>
        <w:rPr>
          <w:sz w:val="20"/>
        </w:rPr>
      </w:pPr>
    </w:p>
    <w:p w14:paraId="0DFDAD4A" w14:textId="77777777" w:rsidR="00046465" w:rsidRDefault="00046465">
      <w:pPr>
        <w:pStyle w:val="BodyText"/>
        <w:rPr>
          <w:sz w:val="20"/>
        </w:rPr>
      </w:pPr>
    </w:p>
    <w:p w14:paraId="0DFDAD4B" w14:textId="77777777" w:rsidR="00046465" w:rsidRDefault="008134EB">
      <w:pPr>
        <w:pStyle w:val="BodyText"/>
        <w:spacing w:before="35"/>
        <w:rPr>
          <w:sz w:val="20"/>
        </w:rPr>
      </w:pPr>
      <w:r>
        <w:rPr>
          <w:noProof/>
          <w:sz w:val="20"/>
        </w:rPr>
        <mc:AlternateContent>
          <mc:Choice Requires="wps">
            <w:drawing>
              <wp:anchor distT="0" distB="0" distL="0" distR="0" simplePos="0" relativeHeight="487603200" behindDoc="1" locked="0" layoutInCell="1" allowOverlap="1" wp14:anchorId="0DFDD54F" wp14:editId="0DFDD550">
                <wp:simplePos x="0" y="0"/>
                <wp:positionH relativeFrom="page">
                  <wp:posOffset>914400</wp:posOffset>
                </wp:positionH>
                <wp:positionV relativeFrom="paragraph">
                  <wp:posOffset>184061</wp:posOffset>
                </wp:positionV>
                <wp:extent cx="1828800" cy="5715"/>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8A375D" id="Graphic 157" o:spid="_x0000_s1026" style="position:absolute;margin-left:1in;margin-top:14.5pt;width:2in;height:.4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" path="m1828800,l,,,5333r1828800,l1828800,xe" fillcolor="black" stroked="f">
                <v:path arrowok="t"/>
                <w10:wrap type="topAndBottom" anchorx="page"/>
              </v:shape>
            </w:pict>
          </mc:Fallback>
        </mc:AlternateContent>
      </w:r>
    </w:p>
    <w:p w14:paraId="0DFDAD4C" w14:textId="77777777" w:rsidR="00046465" w:rsidRDefault="00046465">
      <w:pPr>
        <w:pStyle w:val="BodyText"/>
        <w:spacing w:before="53"/>
        <w:rPr>
          <w:sz w:val="18"/>
        </w:rPr>
      </w:pPr>
    </w:p>
    <w:p w14:paraId="0DFDAD4D" w14:textId="77777777" w:rsidR="00046465" w:rsidRDefault="008134EB">
      <w:pPr>
        <w:ind w:left="360"/>
        <w:rPr>
          <w:sz w:val="18"/>
        </w:rPr>
      </w:pPr>
      <w:bookmarkStart w:id="39" w:name="_bookmark11"/>
      <w:bookmarkEnd w:id="39"/>
      <w:r>
        <w:rPr>
          <w:position w:val="7"/>
          <w:sz w:val="14"/>
        </w:rPr>
        <w:t>7</w:t>
      </w:r>
      <w:r>
        <w:rPr>
          <w:sz w:val="18"/>
        </w:rPr>
        <w:t>“Significant</w:t>
      </w:r>
      <w:r>
        <w:rPr>
          <w:spacing w:val="-5"/>
          <w:sz w:val="18"/>
        </w:rPr>
        <w:t xml:space="preserve"> </w:t>
      </w:r>
      <w:r>
        <w:rPr>
          <w:sz w:val="18"/>
        </w:rPr>
        <w:t>assertion”</w:t>
      </w:r>
      <w:r>
        <w:rPr>
          <w:spacing w:val="-2"/>
          <w:sz w:val="18"/>
        </w:rPr>
        <w:t xml:space="preserve"> </w:t>
      </w:r>
      <w:r>
        <w:rPr>
          <w:sz w:val="18"/>
        </w:rPr>
        <w:t>as</w:t>
      </w:r>
      <w:r>
        <w:rPr>
          <w:spacing w:val="-2"/>
          <w:sz w:val="18"/>
        </w:rPr>
        <w:t xml:space="preserve"> </w:t>
      </w:r>
      <w:r>
        <w:rPr>
          <w:sz w:val="18"/>
        </w:rPr>
        <w:t>used</w:t>
      </w:r>
      <w:r>
        <w:rPr>
          <w:spacing w:val="-1"/>
          <w:sz w:val="18"/>
        </w:rPr>
        <w:t xml:space="preserve"> </w:t>
      </w:r>
      <w:r>
        <w:rPr>
          <w:sz w:val="18"/>
        </w:rPr>
        <w:t>in</w:t>
      </w:r>
      <w:r>
        <w:rPr>
          <w:spacing w:val="-3"/>
          <w:sz w:val="18"/>
        </w:rPr>
        <w:t xml:space="preserve"> </w:t>
      </w:r>
      <w:r>
        <w:rPr>
          <w:sz w:val="18"/>
        </w:rPr>
        <w:t>the</w:t>
      </w:r>
      <w:r>
        <w:rPr>
          <w:spacing w:val="-3"/>
          <w:sz w:val="18"/>
        </w:rPr>
        <w:t xml:space="preserve"> </w:t>
      </w:r>
      <w:r>
        <w:rPr>
          <w:sz w:val="18"/>
        </w:rPr>
        <w:t>FAM</w:t>
      </w:r>
      <w:r>
        <w:rPr>
          <w:spacing w:val="-2"/>
          <w:sz w:val="18"/>
        </w:rPr>
        <w:t xml:space="preserve"> </w:t>
      </w:r>
      <w:r>
        <w:rPr>
          <w:sz w:val="18"/>
        </w:rPr>
        <w:t>is</w:t>
      </w:r>
      <w:r>
        <w:rPr>
          <w:spacing w:val="-2"/>
          <w:sz w:val="18"/>
        </w:rPr>
        <w:t xml:space="preserve"> </w:t>
      </w:r>
      <w:r>
        <w:rPr>
          <w:sz w:val="18"/>
        </w:rPr>
        <w:t>referred</w:t>
      </w:r>
      <w:r>
        <w:rPr>
          <w:spacing w:val="-3"/>
          <w:sz w:val="18"/>
        </w:rPr>
        <w:t xml:space="preserve"> </w:t>
      </w:r>
      <w:r>
        <w:rPr>
          <w:sz w:val="18"/>
        </w:rPr>
        <w:t>to</w:t>
      </w:r>
      <w:r>
        <w:rPr>
          <w:spacing w:val="-3"/>
          <w:sz w:val="18"/>
        </w:rPr>
        <w:t xml:space="preserve"> </w:t>
      </w:r>
      <w:r>
        <w:rPr>
          <w:sz w:val="18"/>
        </w:rPr>
        <w:t>as</w:t>
      </w:r>
      <w:r>
        <w:rPr>
          <w:spacing w:val="-2"/>
          <w:sz w:val="18"/>
        </w:rPr>
        <w:t xml:space="preserve"> </w:t>
      </w:r>
      <w:r>
        <w:rPr>
          <w:sz w:val="18"/>
        </w:rPr>
        <w:t>relevant</w:t>
      </w:r>
      <w:r>
        <w:rPr>
          <w:spacing w:val="-2"/>
          <w:sz w:val="18"/>
        </w:rPr>
        <w:t xml:space="preserve"> </w:t>
      </w:r>
      <w:r>
        <w:rPr>
          <w:sz w:val="18"/>
        </w:rPr>
        <w:t>assertion</w:t>
      </w:r>
      <w:r>
        <w:rPr>
          <w:spacing w:val="-3"/>
          <w:sz w:val="18"/>
        </w:rPr>
        <w:t xml:space="preserve"> </w:t>
      </w:r>
      <w:r>
        <w:rPr>
          <w:sz w:val="18"/>
        </w:rPr>
        <w:t>in</w:t>
      </w:r>
      <w:r>
        <w:rPr>
          <w:spacing w:val="-2"/>
          <w:sz w:val="18"/>
        </w:rPr>
        <w:t xml:space="preserve"> </w:t>
      </w:r>
      <w:r>
        <w:rPr>
          <w:sz w:val="18"/>
        </w:rPr>
        <w:t>AU-C</w:t>
      </w:r>
      <w:r>
        <w:rPr>
          <w:spacing w:val="-2"/>
          <w:sz w:val="18"/>
        </w:rPr>
        <w:t xml:space="preserve"> </w:t>
      </w:r>
      <w:r>
        <w:rPr>
          <w:spacing w:val="-4"/>
          <w:sz w:val="18"/>
        </w:rPr>
        <w:t>315.</w:t>
      </w:r>
    </w:p>
    <w:p w14:paraId="0DFDAD4E" w14:textId="77777777" w:rsidR="00046465" w:rsidRDefault="00046465">
      <w:pPr>
        <w:rPr>
          <w:sz w:val="18"/>
        </w:rPr>
        <w:sectPr w:rsidR="00046465">
          <w:headerReference w:type="default" r:id="rId42"/>
          <w:footerReference w:type="default" r:id="rId43"/>
          <w:pgSz w:w="12240" w:h="15840"/>
          <w:pgMar w:top="1340" w:right="720" w:bottom="940" w:left="1080" w:header="721" w:footer="757" w:gutter="0"/>
          <w:cols w:space="720"/>
        </w:sectPr>
      </w:pPr>
    </w:p>
    <w:p w14:paraId="0DFDAD4F" w14:textId="77777777" w:rsidR="00046465" w:rsidRDefault="008134EB">
      <w:pPr>
        <w:pStyle w:val="ListParagraph"/>
        <w:numPr>
          <w:ilvl w:val="1"/>
          <w:numId w:val="18"/>
        </w:numPr>
        <w:tabs>
          <w:tab w:val="left" w:pos="2160"/>
        </w:tabs>
        <w:spacing w:before="121"/>
        <w:ind w:right="1195" w:hanging="361"/>
      </w:pPr>
      <w:r>
        <w:lastRenderedPageBreak/>
        <w:t>the</w:t>
      </w:r>
      <w:r>
        <w:rPr>
          <w:spacing w:val="-3"/>
        </w:rPr>
        <w:t xml:space="preserve"> </w:t>
      </w:r>
      <w:r>
        <w:t>auditor’s</w:t>
      </w:r>
      <w:r>
        <w:rPr>
          <w:spacing w:val="-4"/>
        </w:rPr>
        <w:t xml:space="preserve"> </w:t>
      </w:r>
      <w:r>
        <w:t>knowledge</w:t>
      </w:r>
      <w:r>
        <w:rPr>
          <w:spacing w:val="-4"/>
        </w:rPr>
        <w:t xml:space="preserve"> </w:t>
      </w:r>
      <w:r>
        <w:t>of,</w:t>
      </w:r>
      <w:r>
        <w:rPr>
          <w:spacing w:val="-3"/>
        </w:rPr>
        <w:t xml:space="preserve"> </w:t>
      </w:r>
      <w:r>
        <w:t>and</w:t>
      </w:r>
      <w:r>
        <w:rPr>
          <w:spacing w:val="-3"/>
        </w:rPr>
        <w:t xml:space="preserve"> </w:t>
      </w:r>
      <w:r>
        <w:t>experience</w:t>
      </w:r>
      <w:r>
        <w:rPr>
          <w:spacing w:val="-3"/>
        </w:rPr>
        <w:t xml:space="preserve"> </w:t>
      </w:r>
      <w:r>
        <w:t>with,</w:t>
      </w:r>
      <w:r>
        <w:rPr>
          <w:spacing w:val="-4"/>
        </w:rPr>
        <w:t xml:space="preserve"> </w:t>
      </w:r>
      <w:r>
        <w:t>the</w:t>
      </w:r>
      <w:r>
        <w:rPr>
          <w:spacing w:val="-3"/>
        </w:rPr>
        <w:t xml:space="preserve"> </w:t>
      </w:r>
      <w:r>
        <w:t>fields</w:t>
      </w:r>
      <w:r>
        <w:rPr>
          <w:spacing w:val="-3"/>
        </w:rPr>
        <w:t xml:space="preserve"> </w:t>
      </w:r>
      <w:r>
        <w:t>of</w:t>
      </w:r>
      <w:r>
        <w:rPr>
          <w:spacing w:val="-4"/>
        </w:rPr>
        <w:t xml:space="preserve"> </w:t>
      </w:r>
      <w:r>
        <w:t>expertise</w:t>
      </w:r>
      <w:r>
        <w:rPr>
          <w:spacing w:val="-3"/>
        </w:rPr>
        <w:t xml:space="preserve"> </w:t>
      </w:r>
      <w:r>
        <w:t>of management’s specialists; and</w:t>
      </w:r>
    </w:p>
    <w:p w14:paraId="0DFDAD50" w14:textId="77777777" w:rsidR="00046465" w:rsidRDefault="008134EB">
      <w:pPr>
        <w:pStyle w:val="ListParagraph"/>
        <w:numPr>
          <w:ilvl w:val="1"/>
          <w:numId w:val="18"/>
        </w:numPr>
        <w:tabs>
          <w:tab w:val="left" w:pos="2160"/>
        </w:tabs>
      </w:pPr>
      <w:r>
        <w:t>the</w:t>
      </w:r>
      <w:r>
        <w:rPr>
          <w:spacing w:val="-8"/>
        </w:rPr>
        <w:t xml:space="preserve"> </w:t>
      </w:r>
      <w:r>
        <w:t>auditor’s</w:t>
      </w:r>
      <w:r>
        <w:rPr>
          <w:spacing w:val="-8"/>
        </w:rPr>
        <w:t xml:space="preserve"> </w:t>
      </w:r>
      <w:r>
        <w:t>previous</w:t>
      </w:r>
      <w:r>
        <w:rPr>
          <w:spacing w:val="-7"/>
        </w:rPr>
        <w:t xml:space="preserve"> </w:t>
      </w:r>
      <w:r>
        <w:t>experience</w:t>
      </w:r>
      <w:r>
        <w:rPr>
          <w:spacing w:val="-7"/>
        </w:rPr>
        <w:t xml:space="preserve"> </w:t>
      </w:r>
      <w:r>
        <w:t>with</w:t>
      </w:r>
      <w:r>
        <w:rPr>
          <w:spacing w:val="-7"/>
        </w:rPr>
        <w:t xml:space="preserve"> </w:t>
      </w:r>
      <w:r>
        <w:t>the</w:t>
      </w:r>
      <w:r>
        <w:rPr>
          <w:spacing w:val="-7"/>
        </w:rPr>
        <w:t xml:space="preserve"> </w:t>
      </w:r>
      <w:r>
        <w:t>work</w:t>
      </w:r>
      <w:r>
        <w:rPr>
          <w:spacing w:val="-7"/>
        </w:rPr>
        <w:t xml:space="preserve"> </w:t>
      </w:r>
      <w:r>
        <w:t>of</w:t>
      </w:r>
      <w:r>
        <w:rPr>
          <w:spacing w:val="-7"/>
        </w:rPr>
        <w:t xml:space="preserve"> </w:t>
      </w:r>
      <w:r>
        <w:t>management’s</w:t>
      </w:r>
      <w:r>
        <w:rPr>
          <w:spacing w:val="-7"/>
        </w:rPr>
        <w:t xml:space="preserve"> </w:t>
      </w:r>
      <w:r>
        <w:rPr>
          <w:spacing w:val="-2"/>
        </w:rPr>
        <w:t>specialists.</w:t>
      </w:r>
    </w:p>
    <w:p w14:paraId="0DFDAD51" w14:textId="77777777" w:rsidR="00046465" w:rsidRDefault="008134EB">
      <w:pPr>
        <w:pStyle w:val="BodyText"/>
        <w:spacing w:before="119"/>
        <w:ind w:left="1800"/>
      </w:pPr>
      <w:r>
        <w:t>More</w:t>
      </w:r>
      <w:r>
        <w:rPr>
          <w:spacing w:val="-7"/>
        </w:rPr>
        <w:t xml:space="preserve"> </w:t>
      </w:r>
      <w:r>
        <w:t>persuasive</w:t>
      </w:r>
      <w:r>
        <w:rPr>
          <w:spacing w:val="-8"/>
        </w:rPr>
        <w:t xml:space="preserve"> </w:t>
      </w:r>
      <w:r>
        <w:t>audit</w:t>
      </w:r>
      <w:r>
        <w:rPr>
          <w:spacing w:val="-7"/>
        </w:rPr>
        <w:t xml:space="preserve"> </w:t>
      </w:r>
      <w:r>
        <w:t>evidence</w:t>
      </w:r>
      <w:r>
        <w:rPr>
          <w:spacing w:val="-7"/>
        </w:rPr>
        <w:t xml:space="preserve"> </w:t>
      </w:r>
      <w:r>
        <w:t>is</w:t>
      </w:r>
      <w:r>
        <w:rPr>
          <w:spacing w:val="-8"/>
        </w:rPr>
        <w:t xml:space="preserve"> </w:t>
      </w:r>
      <w:r>
        <w:t>needed</w:t>
      </w:r>
      <w:r>
        <w:rPr>
          <w:spacing w:val="-7"/>
        </w:rPr>
        <w:t xml:space="preserve"> </w:t>
      </w:r>
      <w:r>
        <w:t>regarding</w:t>
      </w:r>
      <w:r>
        <w:rPr>
          <w:spacing w:val="-6"/>
        </w:rPr>
        <w:t xml:space="preserve"> </w:t>
      </w:r>
      <w:r>
        <w:t>the</w:t>
      </w:r>
      <w:r>
        <w:rPr>
          <w:spacing w:val="-7"/>
        </w:rPr>
        <w:t xml:space="preserve"> </w:t>
      </w:r>
      <w:r>
        <w:t>requirement</w:t>
      </w:r>
      <w:r>
        <w:rPr>
          <w:spacing w:val="-7"/>
        </w:rPr>
        <w:t xml:space="preserve"> </w:t>
      </w:r>
      <w:r>
        <w:t>in</w:t>
      </w:r>
      <w:r>
        <w:rPr>
          <w:spacing w:val="-7"/>
        </w:rPr>
        <w:t xml:space="preserve"> </w:t>
      </w:r>
      <w:r>
        <w:rPr>
          <w:spacing w:val="-5"/>
        </w:rPr>
        <w:t>FAM</w:t>
      </w:r>
    </w:p>
    <w:p w14:paraId="0DFDAD52" w14:textId="77777777" w:rsidR="00046465" w:rsidRDefault="008134EB">
      <w:pPr>
        <w:pStyle w:val="BodyText"/>
        <w:spacing w:before="1"/>
        <w:ind w:left="1800" w:right="844"/>
      </w:pPr>
      <w:r>
        <w:t>625.03</w:t>
      </w:r>
      <w:r>
        <w:rPr>
          <w:spacing w:val="-3"/>
        </w:rPr>
        <w:t xml:space="preserve"> </w:t>
      </w:r>
      <w:r>
        <w:t>as</w:t>
      </w:r>
      <w:r>
        <w:rPr>
          <w:spacing w:val="-3"/>
        </w:rPr>
        <w:t xml:space="preserve"> </w:t>
      </w:r>
      <w:r>
        <w:t>the</w:t>
      </w:r>
      <w:r>
        <w:rPr>
          <w:spacing w:val="-3"/>
        </w:rPr>
        <w:t xml:space="preserve"> </w:t>
      </w:r>
      <w:r>
        <w:t>significance</w:t>
      </w:r>
      <w:r>
        <w:rPr>
          <w:spacing w:val="-3"/>
        </w:rPr>
        <w:t xml:space="preserve"> </w:t>
      </w:r>
      <w:r>
        <w:t>of</w:t>
      </w:r>
      <w:r>
        <w:rPr>
          <w:spacing w:val="-3"/>
        </w:rPr>
        <w:t xml:space="preserve"> </w:t>
      </w:r>
      <w:r>
        <w:t>the</w:t>
      </w:r>
      <w:r>
        <w:rPr>
          <w:spacing w:val="-3"/>
        </w:rPr>
        <w:t xml:space="preserve"> </w:t>
      </w:r>
      <w:r>
        <w:t>work</w:t>
      </w:r>
      <w:r>
        <w:rPr>
          <w:spacing w:val="-3"/>
        </w:rPr>
        <w:t xml:space="preserve"> </w:t>
      </w:r>
      <w:r>
        <w:t>of</w:t>
      </w:r>
      <w:r>
        <w:rPr>
          <w:spacing w:val="-3"/>
        </w:rPr>
        <w:t xml:space="preserve"> </w:t>
      </w:r>
      <w:r>
        <w:t>management’s</w:t>
      </w:r>
      <w:r>
        <w:rPr>
          <w:spacing w:val="-3"/>
        </w:rPr>
        <w:t xml:space="preserve"> </w:t>
      </w:r>
      <w:r>
        <w:t>specialists,</w:t>
      </w:r>
      <w:r>
        <w:rPr>
          <w:spacing w:val="-4"/>
        </w:rPr>
        <w:t xml:space="preserve"> </w:t>
      </w:r>
      <w:r>
        <w:t>the</w:t>
      </w:r>
      <w:r>
        <w:rPr>
          <w:spacing w:val="-3"/>
        </w:rPr>
        <w:t xml:space="preserve"> </w:t>
      </w:r>
      <w:r>
        <w:t>risk</w:t>
      </w:r>
      <w:r>
        <w:rPr>
          <w:spacing w:val="-3"/>
        </w:rPr>
        <w:t xml:space="preserve"> </w:t>
      </w:r>
      <w:r>
        <w:t>of material misstatement at the assertion level, or the ability of management to affect the specialists’ judgments increase, or as the competence, capabilities, and objectivity of specialists in the particular fields decrease.</w:t>
      </w:r>
    </w:p>
    <w:p w14:paraId="0DFDAD53" w14:textId="77777777" w:rsidR="00046465" w:rsidRDefault="008134EB">
      <w:pPr>
        <w:pStyle w:val="ListParagraph"/>
        <w:numPr>
          <w:ilvl w:val="0"/>
          <w:numId w:val="18"/>
        </w:numPr>
        <w:tabs>
          <w:tab w:val="left" w:pos="1800"/>
        </w:tabs>
        <w:spacing w:before="119"/>
        <w:ind w:left="1800" w:right="860"/>
      </w:pPr>
      <w:r>
        <w:t>It is necessary to apply professional judgment when considering how the requirements of this section are affected by the fact that management’s specialists</w:t>
      </w:r>
      <w:r>
        <w:rPr>
          <w:spacing w:val="-5"/>
        </w:rPr>
        <w:t xml:space="preserve"> </w:t>
      </w:r>
      <w:r>
        <w:t>may</w:t>
      </w:r>
      <w:r>
        <w:rPr>
          <w:spacing w:val="-4"/>
        </w:rPr>
        <w:t xml:space="preserve"> </w:t>
      </w:r>
      <w:r>
        <w:t>be</w:t>
      </w:r>
      <w:r>
        <w:rPr>
          <w:spacing w:val="-4"/>
        </w:rPr>
        <w:t xml:space="preserve"> </w:t>
      </w:r>
      <w:r>
        <w:t>either</w:t>
      </w:r>
      <w:r>
        <w:rPr>
          <w:spacing w:val="-4"/>
        </w:rPr>
        <w:t xml:space="preserve"> </w:t>
      </w:r>
      <w:r>
        <w:t>individuals</w:t>
      </w:r>
      <w:r>
        <w:rPr>
          <w:spacing w:val="-4"/>
        </w:rPr>
        <w:t xml:space="preserve"> </w:t>
      </w:r>
      <w:r>
        <w:t>or</w:t>
      </w:r>
      <w:r>
        <w:rPr>
          <w:spacing w:val="-4"/>
        </w:rPr>
        <w:t xml:space="preserve"> </w:t>
      </w:r>
      <w:r>
        <w:t>organizations.</w:t>
      </w:r>
      <w:r>
        <w:rPr>
          <w:spacing w:val="-4"/>
        </w:rPr>
        <w:t xml:space="preserve"> </w:t>
      </w:r>
      <w:r>
        <w:t>See</w:t>
      </w:r>
      <w:r>
        <w:rPr>
          <w:spacing w:val="-5"/>
        </w:rPr>
        <w:t xml:space="preserve"> </w:t>
      </w:r>
      <w:r>
        <w:t>FAM</w:t>
      </w:r>
      <w:r>
        <w:rPr>
          <w:spacing w:val="-5"/>
        </w:rPr>
        <w:t xml:space="preserve"> </w:t>
      </w:r>
      <w:r>
        <w:t>620.17</w:t>
      </w:r>
      <w:r>
        <w:rPr>
          <w:spacing w:val="-3"/>
        </w:rPr>
        <w:t xml:space="preserve"> </w:t>
      </w:r>
      <w:r>
        <w:t>for</w:t>
      </w:r>
      <w:r>
        <w:rPr>
          <w:spacing w:val="-4"/>
        </w:rPr>
        <w:t xml:space="preserve"> </w:t>
      </w:r>
      <w:r>
        <w:t xml:space="preserve">more </w:t>
      </w:r>
      <w:r>
        <w:rPr>
          <w:spacing w:val="-2"/>
        </w:rPr>
        <w:t>information.</w:t>
      </w:r>
    </w:p>
    <w:p w14:paraId="0DFDAD54" w14:textId="77777777" w:rsidR="00046465" w:rsidRDefault="008134EB">
      <w:pPr>
        <w:pStyle w:val="Heading4"/>
        <w:ind w:right="749"/>
      </w:pPr>
      <w:bookmarkStart w:id="40" w:name="Evaluating_the_Competence,_Capabilities,"/>
      <w:bookmarkEnd w:id="40"/>
      <w:r>
        <w:t>Evaluating</w:t>
      </w:r>
      <w:r>
        <w:rPr>
          <w:spacing w:val="-7"/>
        </w:rPr>
        <w:t xml:space="preserve"> </w:t>
      </w:r>
      <w:r>
        <w:t>the</w:t>
      </w:r>
      <w:r>
        <w:rPr>
          <w:spacing w:val="-6"/>
        </w:rPr>
        <w:t xml:space="preserve"> </w:t>
      </w:r>
      <w:r>
        <w:t>Competence,</w:t>
      </w:r>
      <w:r>
        <w:rPr>
          <w:spacing w:val="-6"/>
        </w:rPr>
        <w:t xml:space="preserve"> </w:t>
      </w:r>
      <w:r>
        <w:t>Capabilities,</w:t>
      </w:r>
      <w:r>
        <w:rPr>
          <w:spacing w:val="-7"/>
        </w:rPr>
        <w:t xml:space="preserve"> </w:t>
      </w:r>
      <w:r>
        <w:t>and</w:t>
      </w:r>
      <w:r>
        <w:rPr>
          <w:spacing w:val="-7"/>
        </w:rPr>
        <w:t xml:space="preserve"> </w:t>
      </w:r>
      <w:r>
        <w:t>Objectivity</w:t>
      </w:r>
      <w:r>
        <w:rPr>
          <w:spacing w:val="-9"/>
        </w:rPr>
        <w:t xml:space="preserve"> </w:t>
      </w:r>
      <w:r>
        <w:t>of Management’s Specialists</w:t>
      </w:r>
    </w:p>
    <w:p w14:paraId="0DFDAD55" w14:textId="77777777" w:rsidR="00046465" w:rsidRDefault="008134EB">
      <w:pPr>
        <w:pStyle w:val="ListParagraph"/>
        <w:numPr>
          <w:ilvl w:val="0"/>
          <w:numId w:val="18"/>
        </w:numPr>
        <w:tabs>
          <w:tab w:val="left" w:pos="1799"/>
        </w:tabs>
        <w:spacing w:before="119"/>
        <w:ind w:right="741" w:hanging="720"/>
      </w:pPr>
      <w:r>
        <w:t>As</w:t>
      </w:r>
      <w:r>
        <w:rPr>
          <w:spacing w:val="-4"/>
        </w:rPr>
        <w:t xml:space="preserve"> </w:t>
      </w:r>
      <w:r>
        <w:t>discussed</w:t>
      </w:r>
      <w:r>
        <w:rPr>
          <w:spacing w:val="-4"/>
        </w:rPr>
        <w:t xml:space="preserve"> </w:t>
      </w:r>
      <w:r>
        <w:t>in</w:t>
      </w:r>
      <w:r>
        <w:rPr>
          <w:spacing w:val="-4"/>
        </w:rPr>
        <w:t xml:space="preserve"> </w:t>
      </w:r>
      <w:r>
        <w:t>FAM</w:t>
      </w:r>
      <w:r>
        <w:rPr>
          <w:spacing w:val="-5"/>
        </w:rPr>
        <w:t xml:space="preserve"> </w:t>
      </w:r>
      <w:r>
        <w:t>625.03,</w:t>
      </w:r>
      <w:r>
        <w:rPr>
          <w:spacing w:val="-4"/>
        </w:rPr>
        <w:t xml:space="preserve"> </w:t>
      </w:r>
      <w:r>
        <w:t>the</w:t>
      </w:r>
      <w:r>
        <w:rPr>
          <w:spacing w:val="-4"/>
        </w:rPr>
        <w:t xml:space="preserve"> </w:t>
      </w:r>
      <w:r>
        <w:t>auditor</w:t>
      </w:r>
      <w:r>
        <w:rPr>
          <w:spacing w:val="-4"/>
        </w:rPr>
        <w:t xml:space="preserve"> </w:t>
      </w:r>
      <w:r>
        <w:t>should</w:t>
      </w:r>
      <w:r>
        <w:rPr>
          <w:spacing w:val="-5"/>
        </w:rPr>
        <w:t xml:space="preserve"> </w:t>
      </w:r>
      <w:r>
        <w:t>evaluate</w:t>
      </w:r>
      <w:r>
        <w:rPr>
          <w:spacing w:val="-4"/>
        </w:rPr>
        <w:t xml:space="preserve"> </w:t>
      </w:r>
      <w:r>
        <w:t>whether</w:t>
      </w:r>
      <w:r>
        <w:rPr>
          <w:spacing w:val="-4"/>
        </w:rPr>
        <w:t xml:space="preserve"> </w:t>
      </w:r>
      <w:r>
        <w:t>management’s specialists have the necessary competence, capabilities, and objectivity for the auditor’s purposes. See FAM 615 for additional guidance.</w:t>
      </w:r>
    </w:p>
    <w:p w14:paraId="0DFDAD56" w14:textId="77777777" w:rsidR="00046465" w:rsidRDefault="008134EB">
      <w:pPr>
        <w:pStyle w:val="Heading4"/>
      </w:pPr>
      <w:bookmarkStart w:id="41" w:name="Obtaining_an_Understanding_of_the_Work_o"/>
      <w:bookmarkEnd w:id="41"/>
      <w:r>
        <w:t>Obtaining</w:t>
      </w:r>
      <w:r>
        <w:rPr>
          <w:spacing w:val="-12"/>
        </w:rPr>
        <w:t xml:space="preserve"> </w:t>
      </w:r>
      <w:r>
        <w:t>an</w:t>
      </w:r>
      <w:r>
        <w:rPr>
          <w:spacing w:val="-12"/>
        </w:rPr>
        <w:t xml:space="preserve"> </w:t>
      </w:r>
      <w:r>
        <w:t>Understanding</w:t>
      </w:r>
      <w:r>
        <w:rPr>
          <w:spacing w:val="-12"/>
        </w:rPr>
        <w:t xml:space="preserve"> </w:t>
      </w:r>
      <w:r>
        <w:t>of</w:t>
      </w:r>
      <w:r>
        <w:rPr>
          <w:spacing w:val="-11"/>
        </w:rPr>
        <w:t xml:space="preserve"> </w:t>
      </w:r>
      <w:r>
        <w:t>the</w:t>
      </w:r>
      <w:r>
        <w:rPr>
          <w:spacing w:val="-10"/>
        </w:rPr>
        <w:t xml:space="preserve"> </w:t>
      </w:r>
      <w:r>
        <w:t>Work</w:t>
      </w:r>
      <w:r>
        <w:rPr>
          <w:spacing w:val="-11"/>
        </w:rPr>
        <w:t xml:space="preserve"> </w:t>
      </w:r>
      <w:r>
        <w:t>of</w:t>
      </w:r>
      <w:r>
        <w:rPr>
          <w:spacing w:val="-11"/>
        </w:rPr>
        <w:t xml:space="preserve"> </w:t>
      </w:r>
      <w:r>
        <w:t>Management’s</w:t>
      </w:r>
      <w:r>
        <w:rPr>
          <w:spacing w:val="-11"/>
        </w:rPr>
        <w:t xml:space="preserve"> </w:t>
      </w:r>
      <w:r>
        <w:rPr>
          <w:spacing w:val="-2"/>
        </w:rPr>
        <w:t>Specialists</w:t>
      </w:r>
    </w:p>
    <w:p w14:paraId="0DFDAD57" w14:textId="77777777" w:rsidR="00046465" w:rsidRDefault="008134EB">
      <w:pPr>
        <w:pStyle w:val="ListParagraph"/>
        <w:numPr>
          <w:ilvl w:val="0"/>
          <w:numId w:val="18"/>
        </w:numPr>
        <w:tabs>
          <w:tab w:val="left" w:pos="1800"/>
        </w:tabs>
        <w:ind w:left="1800" w:right="773"/>
      </w:pPr>
      <w:r>
        <w:t xml:space="preserve">An understanding of the work of management’s specialists includes an understanding of the relevant fields of expertise. An understanding of the relevant fields of expertise may be obtained in conjunction with the auditor’s determination of whether the auditor has the expertise to evaluate the work of </w:t>
      </w:r>
      <w:r>
        <w:rPr>
          <w:color w:val="242424"/>
        </w:rPr>
        <w:t>management’s</w:t>
      </w:r>
      <w:r>
        <w:rPr>
          <w:color w:val="242424"/>
          <w:spacing w:val="-3"/>
        </w:rPr>
        <w:t xml:space="preserve"> </w:t>
      </w:r>
      <w:r>
        <w:t>specialists</w:t>
      </w:r>
      <w:r>
        <w:rPr>
          <w:spacing w:val="-4"/>
        </w:rPr>
        <w:t xml:space="preserve"> </w:t>
      </w:r>
      <w:r>
        <w:t>or</w:t>
      </w:r>
      <w:r>
        <w:rPr>
          <w:spacing w:val="-4"/>
        </w:rPr>
        <w:t xml:space="preserve"> </w:t>
      </w:r>
      <w:r>
        <w:t>whether</w:t>
      </w:r>
      <w:r>
        <w:rPr>
          <w:spacing w:val="-4"/>
        </w:rPr>
        <w:t xml:space="preserve"> </w:t>
      </w:r>
      <w:r>
        <w:t>the</w:t>
      </w:r>
      <w:r>
        <w:rPr>
          <w:spacing w:val="-4"/>
        </w:rPr>
        <w:t xml:space="preserve"> </w:t>
      </w:r>
      <w:r>
        <w:t>auditor</w:t>
      </w:r>
      <w:r>
        <w:rPr>
          <w:spacing w:val="-6"/>
        </w:rPr>
        <w:t xml:space="preserve"> </w:t>
      </w:r>
      <w:r>
        <w:t>needs</w:t>
      </w:r>
      <w:r>
        <w:rPr>
          <w:spacing w:val="-4"/>
        </w:rPr>
        <w:t xml:space="preserve"> </w:t>
      </w:r>
      <w:r>
        <w:t>an</w:t>
      </w:r>
      <w:r>
        <w:rPr>
          <w:spacing w:val="-4"/>
        </w:rPr>
        <w:t xml:space="preserve"> </w:t>
      </w:r>
      <w:r>
        <w:t>auditor’s</w:t>
      </w:r>
      <w:r>
        <w:rPr>
          <w:spacing w:val="-3"/>
        </w:rPr>
        <w:t xml:space="preserve"> </w:t>
      </w:r>
      <w:r>
        <w:t>specialist</w:t>
      </w:r>
      <w:r>
        <w:rPr>
          <w:spacing w:val="-4"/>
        </w:rPr>
        <w:t xml:space="preserve"> </w:t>
      </w:r>
      <w:r>
        <w:t>for this purpose (AU-C 501.A80) (see FAM 620).</w:t>
      </w:r>
    </w:p>
    <w:p w14:paraId="0DFDAD58" w14:textId="77777777" w:rsidR="00046465" w:rsidRDefault="008134EB">
      <w:pPr>
        <w:pStyle w:val="ListParagraph"/>
        <w:numPr>
          <w:ilvl w:val="0"/>
          <w:numId w:val="18"/>
        </w:numPr>
        <w:tabs>
          <w:tab w:val="left" w:pos="1800"/>
        </w:tabs>
        <w:ind w:left="1800" w:right="1189"/>
      </w:pPr>
      <w:r>
        <w:t>Aspects</w:t>
      </w:r>
      <w:r>
        <w:rPr>
          <w:spacing w:val="-4"/>
        </w:rPr>
        <w:t xml:space="preserve"> </w:t>
      </w:r>
      <w:r>
        <w:t>of</w:t>
      </w:r>
      <w:r>
        <w:rPr>
          <w:spacing w:val="-4"/>
        </w:rPr>
        <w:t xml:space="preserve"> </w:t>
      </w:r>
      <w:r>
        <w:t>the</w:t>
      </w:r>
      <w:r>
        <w:rPr>
          <w:spacing w:val="-4"/>
        </w:rPr>
        <w:t xml:space="preserve"> </w:t>
      </w:r>
      <w:r>
        <w:t>fields</w:t>
      </w:r>
      <w:r>
        <w:rPr>
          <w:spacing w:val="-4"/>
        </w:rPr>
        <w:t xml:space="preserve"> </w:t>
      </w:r>
      <w:r>
        <w:t>of</w:t>
      </w:r>
      <w:r>
        <w:rPr>
          <w:spacing w:val="-4"/>
        </w:rPr>
        <w:t xml:space="preserve"> </w:t>
      </w:r>
      <w:r>
        <w:t>expertise</w:t>
      </w:r>
      <w:r>
        <w:rPr>
          <w:spacing w:val="-4"/>
        </w:rPr>
        <w:t xml:space="preserve"> </w:t>
      </w:r>
      <w:r>
        <w:t>of</w:t>
      </w:r>
      <w:r>
        <w:rPr>
          <w:spacing w:val="-4"/>
        </w:rPr>
        <w:t xml:space="preserve"> </w:t>
      </w:r>
      <w:r>
        <w:t>management’s</w:t>
      </w:r>
      <w:r>
        <w:rPr>
          <w:spacing w:val="-4"/>
        </w:rPr>
        <w:t xml:space="preserve"> </w:t>
      </w:r>
      <w:r>
        <w:t>specialists</w:t>
      </w:r>
      <w:r>
        <w:rPr>
          <w:spacing w:val="-4"/>
        </w:rPr>
        <w:t xml:space="preserve"> </w:t>
      </w:r>
      <w:r>
        <w:t>relevant</w:t>
      </w:r>
      <w:r>
        <w:rPr>
          <w:spacing w:val="-4"/>
        </w:rPr>
        <w:t xml:space="preserve"> </w:t>
      </w:r>
      <w:r>
        <w:t>to</w:t>
      </w:r>
      <w:r>
        <w:rPr>
          <w:spacing w:val="-4"/>
        </w:rPr>
        <w:t xml:space="preserve"> </w:t>
      </w:r>
      <w:r>
        <w:t>the auditor’s understanding may include (AU-C 501.A81)</w:t>
      </w:r>
    </w:p>
    <w:p w14:paraId="0DFDAD59" w14:textId="77777777" w:rsidR="00046465" w:rsidRDefault="008134EB">
      <w:pPr>
        <w:pStyle w:val="ListParagraph"/>
        <w:numPr>
          <w:ilvl w:val="1"/>
          <w:numId w:val="18"/>
        </w:numPr>
        <w:tabs>
          <w:tab w:val="left" w:pos="2158"/>
          <w:tab w:val="left" w:pos="2160"/>
        </w:tabs>
        <w:spacing w:before="119"/>
        <w:ind w:right="769" w:hanging="361"/>
      </w:pPr>
      <w:r>
        <w:t>whether</w:t>
      </w:r>
      <w:r>
        <w:rPr>
          <w:spacing w:val="-4"/>
        </w:rPr>
        <w:t xml:space="preserve"> </w:t>
      </w:r>
      <w:r>
        <w:t>those</w:t>
      </w:r>
      <w:r>
        <w:rPr>
          <w:spacing w:val="-4"/>
        </w:rPr>
        <w:t xml:space="preserve"> </w:t>
      </w:r>
      <w:r>
        <w:t>specialists’</w:t>
      </w:r>
      <w:r>
        <w:rPr>
          <w:spacing w:val="-4"/>
        </w:rPr>
        <w:t xml:space="preserve"> </w:t>
      </w:r>
      <w:r>
        <w:t>fields</w:t>
      </w:r>
      <w:r>
        <w:rPr>
          <w:spacing w:val="-4"/>
        </w:rPr>
        <w:t xml:space="preserve"> </w:t>
      </w:r>
      <w:r>
        <w:t>include</w:t>
      </w:r>
      <w:r>
        <w:rPr>
          <w:spacing w:val="-4"/>
        </w:rPr>
        <w:t xml:space="preserve"> </w:t>
      </w:r>
      <w:r>
        <w:t>areas</w:t>
      </w:r>
      <w:r>
        <w:rPr>
          <w:spacing w:val="-4"/>
        </w:rPr>
        <w:t xml:space="preserve"> </w:t>
      </w:r>
      <w:r>
        <w:t>of</w:t>
      </w:r>
      <w:r>
        <w:rPr>
          <w:spacing w:val="-5"/>
        </w:rPr>
        <w:t xml:space="preserve"> </w:t>
      </w:r>
      <w:r>
        <w:t>specialty</w:t>
      </w:r>
      <w:r>
        <w:rPr>
          <w:spacing w:val="-4"/>
        </w:rPr>
        <w:t xml:space="preserve"> </w:t>
      </w:r>
      <w:r>
        <w:t>that</w:t>
      </w:r>
      <w:r>
        <w:rPr>
          <w:spacing w:val="-4"/>
        </w:rPr>
        <w:t xml:space="preserve"> </w:t>
      </w:r>
      <w:r>
        <w:t>are</w:t>
      </w:r>
      <w:r>
        <w:rPr>
          <w:spacing w:val="-4"/>
        </w:rPr>
        <w:t xml:space="preserve"> </w:t>
      </w:r>
      <w:r>
        <w:t>relevant</w:t>
      </w:r>
      <w:r>
        <w:rPr>
          <w:spacing w:val="-4"/>
        </w:rPr>
        <w:t xml:space="preserve"> </w:t>
      </w:r>
      <w:r>
        <w:t>to the audit;</w:t>
      </w:r>
    </w:p>
    <w:p w14:paraId="0DFDAD5A" w14:textId="77777777" w:rsidR="00046465" w:rsidRDefault="008134EB">
      <w:pPr>
        <w:pStyle w:val="ListParagraph"/>
        <w:numPr>
          <w:ilvl w:val="1"/>
          <w:numId w:val="18"/>
        </w:numPr>
        <w:tabs>
          <w:tab w:val="left" w:pos="2160"/>
        </w:tabs>
        <w:ind w:right="1735"/>
      </w:pPr>
      <w:r>
        <w:t>whether</w:t>
      </w:r>
      <w:r>
        <w:rPr>
          <w:spacing w:val="-5"/>
        </w:rPr>
        <w:t xml:space="preserve"> </w:t>
      </w:r>
      <w:r>
        <w:t>any</w:t>
      </w:r>
      <w:r>
        <w:rPr>
          <w:spacing w:val="-5"/>
        </w:rPr>
        <w:t xml:space="preserve"> </w:t>
      </w:r>
      <w:r>
        <w:t>professional</w:t>
      </w:r>
      <w:r>
        <w:rPr>
          <w:spacing w:val="-5"/>
        </w:rPr>
        <w:t xml:space="preserve"> </w:t>
      </w:r>
      <w:r>
        <w:t>or</w:t>
      </w:r>
      <w:r>
        <w:rPr>
          <w:spacing w:val="-5"/>
        </w:rPr>
        <w:t xml:space="preserve"> </w:t>
      </w:r>
      <w:r>
        <w:t>other</w:t>
      </w:r>
      <w:r>
        <w:rPr>
          <w:spacing w:val="-5"/>
        </w:rPr>
        <w:t xml:space="preserve"> </w:t>
      </w:r>
      <w:r>
        <w:t>standards</w:t>
      </w:r>
      <w:r>
        <w:rPr>
          <w:spacing w:val="-5"/>
        </w:rPr>
        <w:t xml:space="preserve"> </w:t>
      </w:r>
      <w:r>
        <w:t>and</w:t>
      </w:r>
      <w:r>
        <w:rPr>
          <w:spacing w:val="-5"/>
        </w:rPr>
        <w:t xml:space="preserve"> </w:t>
      </w:r>
      <w:r>
        <w:t>legal</w:t>
      </w:r>
      <w:r>
        <w:rPr>
          <w:spacing w:val="-5"/>
        </w:rPr>
        <w:t xml:space="preserve"> </w:t>
      </w:r>
      <w:r>
        <w:t>or</w:t>
      </w:r>
      <w:r>
        <w:rPr>
          <w:spacing w:val="-5"/>
        </w:rPr>
        <w:t xml:space="preserve"> </w:t>
      </w:r>
      <w:r>
        <w:t>regulatory requirements apply;</w:t>
      </w:r>
    </w:p>
    <w:p w14:paraId="0DFDAD5B" w14:textId="77777777" w:rsidR="00046465" w:rsidRDefault="008134EB">
      <w:pPr>
        <w:pStyle w:val="ListParagraph"/>
        <w:numPr>
          <w:ilvl w:val="1"/>
          <w:numId w:val="18"/>
        </w:numPr>
        <w:tabs>
          <w:tab w:val="left" w:pos="2160"/>
        </w:tabs>
        <w:spacing w:before="121"/>
        <w:ind w:right="963"/>
      </w:pPr>
      <w:r>
        <w:t>what</w:t>
      </w:r>
      <w:r>
        <w:rPr>
          <w:spacing w:val="-5"/>
        </w:rPr>
        <w:t xml:space="preserve"> </w:t>
      </w:r>
      <w:r>
        <w:t>assumptions</w:t>
      </w:r>
      <w:r>
        <w:rPr>
          <w:spacing w:val="-5"/>
        </w:rPr>
        <w:t xml:space="preserve"> </w:t>
      </w:r>
      <w:r>
        <w:t>and</w:t>
      </w:r>
      <w:r>
        <w:rPr>
          <w:spacing w:val="-5"/>
        </w:rPr>
        <w:t xml:space="preserve"> </w:t>
      </w:r>
      <w:r>
        <w:t>methods</w:t>
      </w:r>
      <w:r>
        <w:rPr>
          <w:spacing w:val="-5"/>
        </w:rPr>
        <w:t xml:space="preserve"> </w:t>
      </w:r>
      <w:r>
        <w:t>are</w:t>
      </w:r>
      <w:r>
        <w:rPr>
          <w:spacing w:val="-5"/>
        </w:rPr>
        <w:t xml:space="preserve"> </w:t>
      </w:r>
      <w:r>
        <w:t>used</w:t>
      </w:r>
      <w:r>
        <w:rPr>
          <w:spacing w:val="-5"/>
        </w:rPr>
        <w:t xml:space="preserve"> </w:t>
      </w:r>
      <w:r>
        <w:t>by</w:t>
      </w:r>
      <w:r>
        <w:rPr>
          <w:spacing w:val="-5"/>
        </w:rPr>
        <w:t xml:space="preserve"> </w:t>
      </w:r>
      <w:r>
        <w:t>management’s</w:t>
      </w:r>
      <w:r>
        <w:rPr>
          <w:spacing w:val="-4"/>
        </w:rPr>
        <w:t xml:space="preserve"> </w:t>
      </w:r>
      <w:r>
        <w:t>specialists</w:t>
      </w:r>
      <w:r>
        <w:rPr>
          <w:spacing w:val="-5"/>
        </w:rPr>
        <w:t xml:space="preserve"> </w:t>
      </w:r>
      <w:r>
        <w:t>and whether they are generally accepted within those specialists’ fields and appropriately applied under the applicable financial reporting framework (generally U.S. GAAP); and</w:t>
      </w:r>
    </w:p>
    <w:p w14:paraId="0DFDAD5C" w14:textId="77777777" w:rsidR="00046465" w:rsidRDefault="008134EB">
      <w:pPr>
        <w:pStyle w:val="ListParagraph"/>
        <w:numPr>
          <w:ilvl w:val="1"/>
          <w:numId w:val="18"/>
        </w:numPr>
        <w:tabs>
          <w:tab w:val="left" w:pos="2160"/>
        </w:tabs>
        <w:spacing w:before="119"/>
        <w:ind w:right="1590"/>
      </w:pPr>
      <w:r>
        <w:t>the</w:t>
      </w:r>
      <w:r>
        <w:rPr>
          <w:spacing w:val="-5"/>
        </w:rPr>
        <w:t xml:space="preserve"> </w:t>
      </w:r>
      <w:r>
        <w:t>nature</w:t>
      </w:r>
      <w:r>
        <w:rPr>
          <w:spacing w:val="-5"/>
        </w:rPr>
        <w:t xml:space="preserve"> </w:t>
      </w:r>
      <w:r>
        <w:t>of</w:t>
      </w:r>
      <w:r>
        <w:rPr>
          <w:spacing w:val="-5"/>
        </w:rPr>
        <w:t xml:space="preserve"> </w:t>
      </w:r>
      <w:r>
        <w:t>internal</w:t>
      </w:r>
      <w:r>
        <w:rPr>
          <w:spacing w:val="-5"/>
        </w:rPr>
        <w:t xml:space="preserve"> </w:t>
      </w:r>
      <w:r>
        <w:t>and</w:t>
      </w:r>
      <w:r>
        <w:rPr>
          <w:spacing w:val="-5"/>
        </w:rPr>
        <w:t xml:space="preserve"> </w:t>
      </w:r>
      <w:r>
        <w:t>external</w:t>
      </w:r>
      <w:r>
        <w:rPr>
          <w:spacing w:val="-5"/>
        </w:rPr>
        <w:t xml:space="preserve"> </w:t>
      </w:r>
      <w:r>
        <w:t>data</w:t>
      </w:r>
      <w:r>
        <w:rPr>
          <w:spacing w:val="-5"/>
        </w:rPr>
        <w:t xml:space="preserve"> </w:t>
      </w:r>
      <w:r>
        <w:t>or</w:t>
      </w:r>
      <w:r>
        <w:rPr>
          <w:spacing w:val="-5"/>
        </w:rPr>
        <w:t xml:space="preserve"> </w:t>
      </w:r>
      <w:r>
        <w:t>information</w:t>
      </w:r>
      <w:r>
        <w:rPr>
          <w:spacing w:val="-5"/>
        </w:rPr>
        <w:t xml:space="preserve"> </w:t>
      </w:r>
      <w:r>
        <w:t>management’s specialists use.</w:t>
      </w:r>
    </w:p>
    <w:p w14:paraId="0DFDAD5D" w14:textId="77777777" w:rsidR="00046465" w:rsidRDefault="008134EB">
      <w:pPr>
        <w:pStyle w:val="ListParagraph"/>
        <w:numPr>
          <w:ilvl w:val="0"/>
          <w:numId w:val="18"/>
        </w:numPr>
        <w:tabs>
          <w:tab w:val="left" w:pos="1800"/>
        </w:tabs>
        <w:spacing w:before="121"/>
        <w:ind w:left="1800" w:right="848"/>
      </w:pPr>
      <w:r>
        <w:t>In the case of management’s specialists engaged by the entity, there will ordinarily be an engagement letter or other written form of agreement between the entity and the specialist. Evaluating that agreement when obtaining an understanding</w:t>
      </w:r>
      <w:r>
        <w:rPr>
          <w:spacing w:val="-4"/>
        </w:rPr>
        <w:t xml:space="preserve"> </w:t>
      </w:r>
      <w:r>
        <w:t>of</w:t>
      </w:r>
      <w:r>
        <w:rPr>
          <w:spacing w:val="-4"/>
        </w:rPr>
        <w:t xml:space="preserve"> </w:t>
      </w:r>
      <w:r>
        <w:t>the</w:t>
      </w:r>
      <w:r>
        <w:rPr>
          <w:spacing w:val="-4"/>
        </w:rPr>
        <w:t xml:space="preserve"> </w:t>
      </w:r>
      <w:r>
        <w:t>work</w:t>
      </w:r>
      <w:r>
        <w:rPr>
          <w:spacing w:val="-4"/>
        </w:rPr>
        <w:t xml:space="preserve"> </w:t>
      </w:r>
      <w:r>
        <w:t>of</w:t>
      </w:r>
      <w:r>
        <w:rPr>
          <w:spacing w:val="-4"/>
        </w:rPr>
        <w:t xml:space="preserve"> </w:t>
      </w:r>
      <w:r>
        <w:rPr>
          <w:color w:val="242424"/>
        </w:rPr>
        <w:t>management’s</w:t>
      </w:r>
      <w:r>
        <w:rPr>
          <w:color w:val="242424"/>
          <w:spacing w:val="-3"/>
        </w:rPr>
        <w:t xml:space="preserve"> </w:t>
      </w:r>
      <w:r>
        <w:t>specialists</w:t>
      </w:r>
      <w:r>
        <w:rPr>
          <w:spacing w:val="-4"/>
        </w:rPr>
        <w:t xml:space="preserve"> </w:t>
      </w:r>
      <w:r>
        <w:t>may</w:t>
      </w:r>
      <w:r>
        <w:rPr>
          <w:spacing w:val="-5"/>
        </w:rPr>
        <w:t xml:space="preserve"> </w:t>
      </w:r>
      <w:r>
        <w:t>assist</w:t>
      </w:r>
      <w:r>
        <w:rPr>
          <w:spacing w:val="-5"/>
        </w:rPr>
        <w:t xml:space="preserve"> </w:t>
      </w:r>
      <w:r>
        <w:t>the</w:t>
      </w:r>
      <w:r>
        <w:rPr>
          <w:spacing w:val="-4"/>
        </w:rPr>
        <w:t xml:space="preserve"> </w:t>
      </w:r>
      <w:r>
        <w:t>auditor</w:t>
      </w:r>
      <w:r>
        <w:rPr>
          <w:spacing w:val="-4"/>
        </w:rPr>
        <w:t xml:space="preserve"> </w:t>
      </w:r>
      <w:r>
        <w:t>in determining, for the auditor’s purposes, the appropriateness of</w:t>
      </w:r>
    </w:p>
    <w:p w14:paraId="0DFDAD5E" w14:textId="77777777" w:rsidR="00046465" w:rsidRDefault="008134EB">
      <w:pPr>
        <w:pStyle w:val="ListParagraph"/>
        <w:numPr>
          <w:ilvl w:val="1"/>
          <w:numId w:val="18"/>
        </w:numPr>
        <w:tabs>
          <w:tab w:val="left" w:pos="2160"/>
        </w:tabs>
        <w:ind w:hanging="359"/>
      </w:pPr>
      <w:r>
        <w:t>the</w:t>
      </w:r>
      <w:r>
        <w:rPr>
          <w:spacing w:val="-7"/>
        </w:rPr>
        <w:t xml:space="preserve"> </w:t>
      </w:r>
      <w:r>
        <w:t>nature,</w:t>
      </w:r>
      <w:r>
        <w:rPr>
          <w:spacing w:val="-7"/>
        </w:rPr>
        <w:t xml:space="preserve"> </w:t>
      </w:r>
      <w:r>
        <w:t>scope,</w:t>
      </w:r>
      <w:r>
        <w:rPr>
          <w:spacing w:val="-7"/>
        </w:rPr>
        <w:t xml:space="preserve"> </w:t>
      </w:r>
      <w:r>
        <w:t>and</w:t>
      </w:r>
      <w:r>
        <w:rPr>
          <w:spacing w:val="-7"/>
        </w:rPr>
        <w:t xml:space="preserve"> </w:t>
      </w:r>
      <w:r>
        <w:t>objectives</w:t>
      </w:r>
      <w:r>
        <w:rPr>
          <w:spacing w:val="-7"/>
        </w:rPr>
        <w:t xml:space="preserve"> </w:t>
      </w:r>
      <w:r>
        <w:t>of</w:t>
      </w:r>
      <w:r>
        <w:rPr>
          <w:spacing w:val="-7"/>
        </w:rPr>
        <w:t xml:space="preserve"> </w:t>
      </w:r>
      <w:r>
        <w:t>those</w:t>
      </w:r>
      <w:r>
        <w:rPr>
          <w:spacing w:val="-6"/>
        </w:rPr>
        <w:t xml:space="preserve"> </w:t>
      </w:r>
      <w:r>
        <w:t>specialists’</w:t>
      </w:r>
      <w:r>
        <w:rPr>
          <w:spacing w:val="-7"/>
        </w:rPr>
        <w:t xml:space="preserve"> </w:t>
      </w:r>
      <w:r>
        <w:rPr>
          <w:spacing w:val="-2"/>
        </w:rPr>
        <w:t>work;</w:t>
      </w:r>
    </w:p>
    <w:p w14:paraId="0DFDAD5F" w14:textId="77777777" w:rsidR="00046465" w:rsidRDefault="00046465">
      <w:pPr>
        <w:pStyle w:val="ListParagraph"/>
        <w:sectPr w:rsidR="00046465">
          <w:headerReference w:type="default" r:id="rId44"/>
          <w:footerReference w:type="default" r:id="rId45"/>
          <w:pgSz w:w="12240" w:h="15840"/>
          <w:pgMar w:top="1340" w:right="720" w:bottom="940" w:left="1080" w:header="721" w:footer="757" w:gutter="0"/>
          <w:pgNumType w:start="2"/>
          <w:cols w:space="720"/>
        </w:sectPr>
      </w:pPr>
    </w:p>
    <w:p w14:paraId="0DFDAD60" w14:textId="77777777" w:rsidR="00046465" w:rsidRDefault="008134EB">
      <w:pPr>
        <w:pStyle w:val="ListParagraph"/>
        <w:numPr>
          <w:ilvl w:val="1"/>
          <w:numId w:val="18"/>
        </w:numPr>
        <w:tabs>
          <w:tab w:val="left" w:pos="2159"/>
        </w:tabs>
        <w:spacing w:before="121"/>
        <w:ind w:left="2159" w:right="1821"/>
      </w:pPr>
      <w:r>
        <w:lastRenderedPageBreak/>
        <w:t>the</w:t>
      </w:r>
      <w:r>
        <w:rPr>
          <w:spacing w:val="-5"/>
        </w:rPr>
        <w:t xml:space="preserve"> </w:t>
      </w:r>
      <w:r>
        <w:t>respective</w:t>
      </w:r>
      <w:r>
        <w:rPr>
          <w:spacing w:val="-5"/>
        </w:rPr>
        <w:t xml:space="preserve"> </w:t>
      </w:r>
      <w:r>
        <w:t>roles</w:t>
      </w:r>
      <w:r>
        <w:rPr>
          <w:spacing w:val="-5"/>
        </w:rPr>
        <w:t xml:space="preserve"> </w:t>
      </w:r>
      <w:r>
        <w:t>and</w:t>
      </w:r>
      <w:r>
        <w:rPr>
          <w:spacing w:val="-6"/>
        </w:rPr>
        <w:t xml:space="preserve"> </w:t>
      </w:r>
      <w:r>
        <w:t>responsibilities</w:t>
      </w:r>
      <w:r>
        <w:rPr>
          <w:spacing w:val="-5"/>
        </w:rPr>
        <w:t xml:space="preserve"> </w:t>
      </w:r>
      <w:r>
        <w:t>of</w:t>
      </w:r>
      <w:r>
        <w:rPr>
          <w:spacing w:val="-5"/>
        </w:rPr>
        <w:t xml:space="preserve"> </w:t>
      </w:r>
      <w:r>
        <w:t>management</w:t>
      </w:r>
      <w:r>
        <w:rPr>
          <w:spacing w:val="-5"/>
        </w:rPr>
        <w:t xml:space="preserve"> </w:t>
      </w:r>
      <w:r>
        <w:t>and</w:t>
      </w:r>
      <w:r>
        <w:rPr>
          <w:spacing w:val="-5"/>
        </w:rPr>
        <w:t xml:space="preserve"> </w:t>
      </w:r>
      <w:r>
        <w:t>those specialists; and</w:t>
      </w:r>
    </w:p>
    <w:p w14:paraId="0DFDAD61" w14:textId="77777777" w:rsidR="00046465" w:rsidRDefault="008134EB">
      <w:pPr>
        <w:pStyle w:val="ListParagraph"/>
        <w:numPr>
          <w:ilvl w:val="1"/>
          <w:numId w:val="18"/>
        </w:numPr>
        <w:tabs>
          <w:tab w:val="left" w:pos="2159"/>
        </w:tabs>
        <w:spacing w:before="119"/>
        <w:ind w:left="2159" w:right="978"/>
      </w:pPr>
      <w:r>
        <w:t>the</w:t>
      </w:r>
      <w:r>
        <w:rPr>
          <w:spacing w:val="-5"/>
        </w:rPr>
        <w:t xml:space="preserve"> </w:t>
      </w:r>
      <w:r>
        <w:t>nature,</w:t>
      </w:r>
      <w:r>
        <w:rPr>
          <w:spacing w:val="-5"/>
        </w:rPr>
        <w:t xml:space="preserve"> </w:t>
      </w:r>
      <w:r>
        <w:t>timing,</w:t>
      </w:r>
      <w:r>
        <w:rPr>
          <w:spacing w:val="-5"/>
        </w:rPr>
        <w:t xml:space="preserve"> </w:t>
      </w:r>
      <w:r>
        <w:t>and</w:t>
      </w:r>
      <w:r>
        <w:rPr>
          <w:spacing w:val="-5"/>
        </w:rPr>
        <w:t xml:space="preserve"> </w:t>
      </w:r>
      <w:r>
        <w:t>extent</w:t>
      </w:r>
      <w:r>
        <w:rPr>
          <w:spacing w:val="-5"/>
        </w:rPr>
        <w:t xml:space="preserve"> </w:t>
      </w:r>
      <w:r>
        <w:t>of</w:t>
      </w:r>
      <w:r>
        <w:rPr>
          <w:spacing w:val="-5"/>
        </w:rPr>
        <w:t xml:space="preserve"> </w:t>
      </w:r>
      <w:r>
        <w:t>communication</w:t>
      </w:r>
      <w:r>
        <w:rPr>
          <w:spacing w:val="-6"/>
        </w:rPr>
        <w:t xml:space="preserve"> </w:t>
      </w:r>
      <w:r>
        <w:t>between</w:t>
      </w:r>
      <w:r>
        <w:rPr>
          <w:spacing w:val="-5"/>
        </w:rPr>
        <w:t xml:space="preserve"> </w:t>
      </w:r>
      <w:r>
        <w:t>management</w:t>
      </w:r>
      <w:r>
        <w:rPr>
          <w:spacing w:val="-5"/>
        </w:rPr>
        <w:t xml:space="preserve"> </w:t>
      </w:r>
      <w:r>
        <w:t>and those specialists, including the form of any report to be provided by those specialists (AU-C 501.A82).</w:t>
      </w:r>
    </w:p>
    <w:p w14:paraId="0DFDAD62" w14:textId="77777777" w:rsidR="00046465" w:rsidRDefault="008134EB">
      <w:pPr>
        <w:pStyle w:val="ListParagraph"/>
        <w:numPr>
          <w:ilvl w:val="0"/>
          <w:numId w:val="218"/>
        </w:numPr>
        <w:tabs>
          <w:tab w:val="left" w:pos="1800"/>
        </w:tabs>
        <w:spacing w:before="121"/>
        <w:ind w:right="836"/>
      </w:pPr>
      <w:r>
        <w:t>In the case of management’s specialists employed by the entity, it is less likely that there will be a written agreement of this kind. Inquiry of the specialists and other</w:t>
      </w:r>
      <w:r>
        <w:rPr>
          <w:spacing w:val="-4"/>
        </w:rPr>
        <w:t xml:space="preserve"> </w:t>
      </w:r>
      <w:r>
        <w:t>members</w:t>
      </w:r>
      <w:r>
        <w:rPr>
          <w:spacing w:val="-4"/>
        </w:rPr>
        <w:t xml:space="preserve"> </w:t>
      </w:r>
      <w:r>
        <w:t>of</w:t>
      </w:r>
      <w:r>
        <w:rPr>
          <w:spacing w:val="-4"/>
        </w:rPr>
        <w:t xml:space="preserve"> </w:t>
      </w:r>
      <w:r>
        <w:t>management</w:t>
      </w:r>
      <w:r>
        <w:rPr>
          <w:spacing w:val="-4"/>
        </w:rPr>
        <w:t xml:space="preserve"> </w:t>
      </w:r>
      <w:r>
        <w:t>may</w:t>
      </w:r>
      <w:r>
        <w:rPr>
          <w:spacing w:val="-3"/>
        </w:rPr>
        <w:t xml:space="preserve"> </w:t>
      </w:r>
      <w:r>
        <w:t>be</w:t>
      </w:r>
      <w:r>
        <w:rPr>
          <w:spacing w:val="-4"/>
        </w:rPr>
        <w:t xml:space="preserve"> </w:t>
      </w:r>
      <w:r>
        <w:t>the</w:t>
      </w:r>
      <w:r>
        <w:rPr>
          <w:spacing w:val="-4"/>
        </w:rPr>
        <w:t xml:space="preserve"> </w:t>
      </w:r>
      <w:r>
        <w:t>most</w:t>
      </w:r>
      <w:r>
        <w:rPr>
          <w:spacing w:val="-4"/>
        </w:rPr>
        <w:t xml:space="preserve"> </w:t>
      </w:r>
      <w:r>
        <w:t>appropriate</w:t>
      </w:r>
      <w:r>
        <w:rPr>
          <w:spacing w:val="-5"/>
        </w:rPr>
        <w:t xml:space="preserve"> </w:t>
      </w:r>
      <w:r>
        <w:t>way</w:t>
      </w:r>
      <w:r>
        <w:rPr>
          <w:spacing w:val="-4"/>
        </w:rPr>
        <w:t xml:space="preserve"> </w:t>
      </w:r>
      <w:r>
        <w:t>for</w:t>
      </w:r>
      <w:r>
        <w:rPr>
          <w:spacing w:val="-4"/>
        </w:rPr>
        <w:t xml:space="preserve"> </w:t>
      </w:r>
      <w:r>
        <w:t>the</w:t>
      </w:r>
      <w:r>
        <w:rPr>
          <w:spacing w:val="-4"/>
        </w:rPr>
        <w:t xml:space="preserve"> </w:t>
      </w:r>
      <w:r>
        <w:t>auditor to obtain the necessary understanding (AU-C 501.A83).</w:t>
      </w:r>
    </w:p>
    <w:p w14:paraId="0DFDAD63" w14:textId="77777777" w:rsidR="00046465" w:rsidRDefault="008134EB">
      <w:pPr>
        <w:pStyle w:val="Heading4"/>
        <w:spacing w:before="240"/>
        <w:ind w:right="749"/>
      </w:pPr>
      <w:bookmarkStart w:id="42" w:name="Evaluating_the_Appropriateness_of_the_Wo"/>
      <w:bookmarkEnd w:id="42"/>
      <w:r>
        <w:t>Evaluating</w:t>
      </w:r>
      <w:r>
        <w:rPr>
          <w:spacing w:val="-6"/>
        </w:rPr>
        <w:t xml:space="preserve"> </w:t>
      </w:r>
      <w:r>
        <w:t>the</w:t>
      </w:r>
      <w:r>
        <w:rPr>
          <w:spacing w:val="-6"/>
        </w:rPr>
        <w:t xml:space="preserve"> </w:t>
      </w:r>
      <w:r>
        <w:t>Appropriateness</w:t>
      </w:r>
      <w:r>
        <w:rPr>
          <w:spacing w:val="-6"/>
        </w:rPr>
        <w:t xml:space="preserve"> </w:t>
      </w:r>
      <w:r>
        <w:t>of</w:t>
      </w:r>
      <w:r>
        <w:rPr>
          <w:spacing w:val="-6"/>
        </w:rPr>
        <w:t xml:space="preserve"> </w:t>
      </w:r>
      <w:r>
        <w:t>the</w:t>
      </w:r>
      <w:r>
        <w:rPr>
          <w:spacing w:val="-6"/>
        </w:rPr>
        <w:t xml:space="preserve"> </w:t>
      </w:r>
      <w:r>
        <w:t>Work</w:t>
      </w:r>
      <w:r>
        <w:rPr>
          <w:spacing w:val="-6"/>
        </w:rPr>
        <w:t xml:space="preserve"> </w:t>
      </w:r>
      <w:r>
        <w:t>of</w:t>
      </w:r>
      <w:r>
        <w:rPr>
          <w:spacing w:val="-6"/>
        </w:rPr>
        <w:t xml:space="preserve"> </w:t>
      </w:r>
      <w:r>
        <w:t xml:space="preserve">Management’s </w:t>
      </w:r>
      <w:r>
        <w:rPr>
          <w:spacing w:val="-2"/>
        </w:rPr>
        <w:t>Specialists</w:t>
      </w:r>
    </w:p>
    <w:p w14:paraId="0DFDAD64" w14:textId="77777777" w:rsidR="00046465" w:rsidRDefault="008134EB">
      <w:pPr>
        <w:pStyle w:val="ListParagraph"/>
        <w:numPr>
          <w:ilvl w:val="0"/>
          <w:numId w:val="218"/>
        </w:numPr>
        <w:tabs>
          <w:tab w:val="left" w:pos="1799"/>
        </w:tabs>
        <w:ind w:left="1799" w:right="886" w:hanging="720"/>
      </w:pPr>
      <w:r>
        <w:t>The auditor may use FAM 620.26, .28, and .30 through .35, adapted as necessary</w:t>
      </w:r>
      <w:r>
        <w:rPr>
          <w:spacing w:val="-5"/>
        </w:rPr>
        <w:t xml:space="preserve"> </w:t>
      </w:r>
      <w:r>
        <w:t>in</w:t>
      </w:r>
      <w:r>
        <w:rPr>
          <w:spacing w:val="-4"/>
        </w:rPr>
        <w:t xml:space="preserve"> </w:t>
      </w:r>
      <w:r>
        <w:t>the</w:t>
      </w:r>
      <w:r>
        <w:rPr>
          <w:spacing w:val="-4"/>
        </w:rPr>
        <w:t xml:space="preserve"> </w:t>
      </w:r>
      <w:r>
        <w:t>circumstances,</w:t>
      </w:r>
      <w:r>
        <w:rPr>
          <w:spacing w:val="-4"/>
        </w:rPr>
        <w:t xml:space="preserve"> </w:t>
      </w:r>
      <w:r>
        <w:t>for</w:t>
      </w:r>
      <w:r>
        <w:rPr>
          <w:spacing w:val="-5"/>
        </w:rPr>
        <w:t xml:space="preserve"> </w:t>
      </w:r>
      <w:r>
        <w:t>the</w:t>
      </w:r>
      <w:r>
        <w:rPr>
          <w:spacing w:val="-4"/>
        </w:rPr>
        <w:t xml:space="preserve"> </w:t>
      </w:r>
      <w:r>
        <w:t>level</w:t>
      </w:r>
      <w:r>
        <w:rPr>
          <w:spacing w:val="-4"/>
        </w:rPr>
        <w:t xml:space="preserve"> </w:t>
      </w:r>
      <w:r>
        <w:t>of</w:t>
      </w:r>
      <w:r>
        <w:rPr>
          <w:spacing w:val="-4"/>
        </w:rPr>
        <w:t xml:space="preserve"> </w:t>
      </w:r>
      <w:r>
        <w:t>review</w:t>
      </w:r>
      <w:r>
        <w:rPr>
          <w:spacing w:val="-5"/>
        </w:rPr>
        <w:t xml:space="preserve"> </w:t>
      </w:r>
      <w:r>
        <w:t>and</w:t>
      </w:r>
      <w:r>
        <w:rPr>
          <w:spacing w:val="-4"/>
        </w:rPr>
        <w:t xml:space="preserve"> </w:t>
      </w:r>
      <w:r>
        <w:t>example</w:t>
      </w:r>
      <w:r>
        <w:rPr>
          <w:spacing w:val="-4"/>
        </w:rPr>
        <w:t xml:space="preserve"> </w:t>
      </w:r>
      <w:r>
        <w:t>procedures for evaluating the appropriateness of the work of management’s specialists.</w:t>
      </w:r>
    </w:p>
    <w:p w14:paraId="0DFDAD65" w14:textId="77777777" w:rsidR="00046465" w:rsidRDefault="008134EB">
      <w:pPr>
        <w:pStyle w:val="ListParagraph"/>
        <w:numPr>
          <w:ilvl w:val="0"/>
          <w:numId w:val="218"/>
        </w:numPr>
        <w:tabs>
          <w:tab w:val="left" w:pos="1799"/>
        </w:tabs>
        <w:spacing w:before="119"/>
        <w:ind w:left="1799" w:right="1191"/>
      </w:pPr>
      <w:r>
        <w:t>Considerations when evaluating the appropriateness of the work of management’s</w:t>
      </w:r>
      <w:r>
        <w:rPr>
          <w:spacing w:val="-5"/>
        </w:rPr>
        <w:t xml:space="preserve"> </w:t>
      </w:r>
      <w:r>
        <w:t>specialists</w:t>
      </w:r>
      <w:r>
        <w:rPr>
          <w:spacing w:val="-5"/>
        </w:rPr>
        <w:t xml:space="preserve"> </w:t>
      </w:r>
      <w:r>
        <w:t>as</w:t>
      </w:r>
      <w:r>
        <w:rPr>
          <w:spacing w:val="-5"/>
        </w:rPr>
        <w:t xml:space="preserve"> </w:t>
      </w:r>
      <w:r>
        <w:t>audit</w:t>
      </w:r>
      <w:r>
        <w:rPr>
          <w:spacing w:val="-5"/>
        </w:rPr>
        <w:t xml:space="preserve"> </w:t>
      </w:r>
      <w:r>
        <w:t>evidence</w:t>
      </w:r>
      <w:r>
        <w:rPr>
          <w:spacing w:val="-5"/>
        </w:rPr>
        <w:t xml:space="preserve"> </w:t>
      </w:r>
      <w:r>
        <w:t>for</w:t>
      </w:r>
      <w:r>
        <w:rPr>
          <w:spacing w:val="-5"/>
        </w:rPr>
        <w:t xml:space="preserve"> </w:t>
      </w:r>
      <w:r>
        <w:t>the</w:t>
      </w:r>
      <w:r>
        <w:rPr>
          <w:spacing w:val="-5"/>
        </w:rPr>
        <w:t xml:space="preserve"> </w:t>
      </w:r>
      <w:r>
        <w:t>significant</w:t>
      </w:r>
      <w:r>
        <w:rPr>
          <w:spacing w:val="-5"/>
        </w:rPr>
        <w:t xml:space="preserve"> </w:t>
      </w:r>
      <w:r>
        <w:t>assertion</w:t>
      </w:r>
      <w:r>
        <w:rPr>
          <w:spacing w:val="-5"/>
        </w:rPr>
        <w:t xml:space="preserve"> </w:t>
      </w:r>
      <w:r>
        <w:t xml:space="preserve">may </w:t>
      </w:r>
      <w:r>
        <w:rPr>
          <w:spacing w:val="-2"/>
        </w:rPr>
        <w:t>include</w:t>
      </w:r>
    </w:p>
    <w:p w14:paraId="0DFDAD66" w14:textId="77777777" w:rsidR="00046465" w:rsidRDefault="008134EB">
      <w:pPr>
        <w:pStyle w:val="ListParagraph"/>
        <w:numPr>
          <w:ilvl w:val="1"/>
          <w:numId w:val="218"/>
        </w:numPr>
        <w:tabs>
          <w:tab w:val="left" w:pos="2159"/>
        </w:tabs>
        <w:spacing w:before="121"/>
        <w:ind w:right="759"/>
      </w:pPr>
      <w:r>
        <w:t>if the specialist’s work involves significant assumptions, the appropriateness of</w:t>
      </w:r>
      <w:r>
        <w:rPr>
          <w:spacing w:val="-4"/>
        </w:rPr>
        <w:t xml:space="preserve"> </w:t>
      </w:r>
      <w:r>
        <w:t>the</w:t>
      </w:r>
      <w:r>
        <w:rPr>
          <w:spacing w:val="-4"/>
        </w:rPr>
        <w:t xml:space="preserve"> </w:t>
      </w:r>
      <w:r>
        <w:t>assumptions,</w:t>
      </w:r>
      <w:r>
        <w:rPr>
          <w:spacing w:val="-4"/>
        </w:rPr>
        <w:t xml:space="preserve"> </w:t>
      </w:r>
      <w:r>
        <w:t>taking</w:t>
      </w:r>
      <w:r>
        <w:rPr>
          <w:spacing w:val="-4"/>
        </w:rPr>
        <w:t xml:space="preserve"> </w:t>
      </w:r>
      <w:r>
        <w:t>into</w:t>
      </w:r>
      <w:r>
        <w:rPr>
          <w:spacing w:val="-4"/>
        </w:rPr>
        <w:t xml:space="preserve"> </w:t>
      </w:r>
      <w:r>
        <w:t>account</w:t>
      </w:r>
      <w:r>
        <w:rPr>
          <w:spacing w:val="-4"/>
        </w:rPr>
        <w:t xml:space="preserve"> </w:t>
      </w:r>
      <w:r>
        <w:t>the</w:t>
      </w:r>
      <w:r>
        <w:rPr>
          <w:spacing w:val="-4"/>
        </w:rPr>
        <w:t xml:space="preserve"> </w:t>
      </w:r>
      <w:r>
        <w:t>consistency</w:t>
      </w:r>
      <w:r>
        <w:rPr>
          <w:spacing w:val="-4"/>
        </w:rPr>
        <w:t xml:space="preserve"> </w:t>
      </w:r>
      <w:r>
        <w:t>of</w:t>
      </w:r>
      <w:r>
        <w:rPr>
          <w:spacing w:val="-4"/>
        </w:rPr>
        <w:t xml:space="preserve"> </w:t>
      </w:r>
      <w:r>
        <w:t>those</w:t>
      </w:r>
      <w:r>
        <w:rPr>
          <w:spacing w:val="-4"/>
        </w:rPr>
        <w:t xml:space="preserve"> </w:t>
      </w:r>
      <w:r>
        <w:t>assumptions with relevant information;</w:t>
      </w:r>
    </w:p>
    <w:p w14:paraId="0DFDAD67" w14:textId="77777777" w:rsidR="00046465" w:rsidRDefault="008134EB">
      <w:pPr>
        <w:pStyle w:val="ListParagraph"/>
        <w:numPr>
          <w:ilvl w:val="1"/>
          <w:numId w:val="218"/>
        </w:numPr>
        <w:tabs>
          <w:tab w:val="left" w:pos="2159"/>
        </w:tabs>
        <w:spacing w:before="119"/>
        <w:ind w:right="941"/>
      </w:pPr>
      <w:r>
        <w:t>if the specialist’s work involves the use of methods, the appropriateness of the</w:t>
      </w:r>
      <w:r>
        <w:rPr>
          <w:spacing w:val="-5"/>
        </w:rPr>
        <w:t xml:space="preserve"> </w:t>
      </w:r>
      <w:r>
        <w:t>methods</w:t>
      </w:r>
      <w:r>
        <w:rPr>
          <w:spacing w:val="-5"/>
        </w:rPr>
        <w:t xml:space="preserve"> </w:t>
      </w:r>
      <w:r>
        <w:t>under</w:t>
      </w:r>
      <w:r>
        <w:rPr>
          <w:spacing w:val="-5"/>
        </w:rPr>
        <w:t xml:space="preserve"> </w:t>
      </w:r>
      <w:r>
        <w:t>the</w:t>
      </w:r>
      <w:r>
        <w:rPr>
          <w:spacing w:val="-5"/>
        </w:rPr>
        <w:t xml:space="preserve"> </w:t>
      </w:r>
      <w:r>
        <w:t>circumstances,</w:t>
      </w:r>
      <w:r>
        <w:rPr>
          <w:spacing w:val="-5"/>
        </w:rPr>
        <w:t xml:space="preserve"> </w:t>
      </w:r>
      <w:r>
        <w:t>taking</w:t>
      </w:r>
      <w:r>
        <w:rPr>
          <w:spacing w:val="-5"/>
        </w:rPr>
        <w:t xml:space="preserve"> </w:t>
      </w:r>
      <w:r>
        <w:t>into</w:t>
      </w:r>
      <w:r>
        <w:rPr>
          <w:spacing w:val="-5"/>
        </w:rPr>
        <w:t xml:space="preserve"> </w:t>
      </w:r>
      <w:r>
        <w:t>account</w:t>
      </w:r>
      <w:r>
        <w:rPr>
          <w:spacing w:val="-5"/>
        </w:rPr>
        <w:t xml:space="preserve"> </w:t>
      </w:r>
      <w:r>
        <w:t>the</w:t>
      </w:r>
      <w:r>
        <w:rPr>
          <w:spacing w:val="-5"/>
        </w:rPr>
        <w:t xml:space="preserve"> </w:t>
      </w:r>
      <w:r>
        <w:t>requirements of the applicable financial reporting framework (generally U.S. GAAP);</w:t>
      </w:r>
    </w:p>
    <w:p w14:paraId="0DFDAD68" w14:textId="77777777" w:rsidR="00046465" w:rsidRDefault="008134EB">
      <w:pPr>
        <w:pStyle w:val="ListParagraph"/>
        <w:numPr>
          <w:ilvl w:val="1"/>
          <w:numId w:val="218"/>
        </w:numPr>
        <w:tabs>
          <w:tab w:val="left" w:pos="2159"/>
        </w:tabs>
        <w:spacing w:before="121"/>
        <w:ind w:right="781"/>
      </w:pPr>
      <w:r>
        <w:t>if the specialist’s work involves significant use of source data, including data produced</w:t>
      </w:r>
      <w:r>
        <w:rPr>
          <w:spacing w:val="-3"/>
        </w:rPr>
        <w:t xml:space="preserve"> </w:t>
      </w:r>
      <w:r>
        <w:t>by</w:t>
      </w:r>
      <w:r>
        <w:rPr>
          <w:spacing w:val="-4"/>
        </w:rPr>
        <w:t xml:space="preserve"> </w:t>
      </w:r>
      <w:r>
        <w:t>the</w:t>
      </w:r>
      <w:r>
        <w:rPr>
          <w:spacing w:val="-3"/>
        </w:rPr>
        <w:t xml:space="preserve"> </w:t>
      </w:r>
      <w:r>
        <w:t>entity,</w:t>
      </w:r>
      <w:r>
        <w:rPr>
          <w:spacing w:val="-3"/>
        </w:rPr>
        <w:t xml:space="preserve"> </w:t>
      </w:r>
      <w:r>
        <w:t>the</w:t>
      </w:r>
      <w:r>
        <w:rPr>
          <w:spacing w:val="-3"/>
        </w:rPr>
        <w:t xml:space="preserve"> </w:t>
      </w:r>
      <w:r>
        <w:t>relevance</w:t>
      </w:r>
      <w:r>
        <w:rPr>
          <w:spacing w:val="-3"/>
        </w:rPr>
        <w:t xml:space="preserve"> </w:t>
      </w:r>
      <w:r>
        <w:t>and</w:t>
      </w:r>
      <w:r>
        <w:rPr>
          <w:spacing w:val="-3"/>
        </w:rPr>
        <w:t xml:space="preserve"> </w:t>
      </w:r>
      <w:r>
        <w:t>reliability</w:t>
      </w:r>
      <w:r>
        <w:rPr>
          <w:spacing w:val="-2"/>
        </w:rPr>
        <w:t xml:space="preserve"> </w:t>
      </w:r>
      <w:r>
        <w:t>of</w:t>
      </w:r>
      <w:r>
        <w:rPr>
          <w:spacing w:val="-3"/>
        </w:rPr>
        <w:t xml:space="preserve"> </w:t>
      </w:r>
      <w:r>
        <w:t>those</w:t>
      </w:r>
      <w:r>
        <w:rPr>
          <w:spacing w:val="-4"/>
        </w:rPr>
        <w:t xml:space="preserve"> </w:t>
      </w:r>
      <w:r>
        <w:t>source</w:t>
      </w:r>
      <w:r>
        <w:rPr>
          <w:spacing w:val="-3"/>
        </w:rPr>
        <w:t xml:space="preserve"> </w:t>
      </w:r>
      <w:r>
        <w:t>data</w:t>
      </w:r>
      <w:r>
        <w:rPr>
          <w:spacing w:val="-4"/>
        </w:rPr>
        <w:t xml:space="preserve"> </w:t>
      </w:r>
      <w:r>
        <w:t>(see FAM 480.01); and</w:t>
      </w:r>
    </w:p>
    <w:p w14:paraId="0DFDAD69" w14:textId="77777777" w:rsidR="00046465" w:rsidRDefault="008134EB">
      <w:pPr>
        <w:pStyle w:val="ListParagraph"/>
        <w:numPr>
          <w:ilvl w:val="1"/>
          <w:numId w:val="218"/>
        </w:numPr>
        <w:tabs>
          <w:tab w:val="left" w:pos="2159"/>
        </w:tabs>
        <w:ind w:right="830"/>
      </w:pPr>
      <w:r>
        <w:t>the</w:t>
      </w:r>
      <w:r>
        <w:rPr>
          <w:spacing w:val="-5"/>
        </w:rPr>
        <w:t xml:space="preserve"> </w:t>
      </w:r>
      <w:r>
        <w:t>relevance</w:t>
      </w:r>
      <w:r>
        <w:rPr>
          <w:spacing w:val="-5"/>
        </w:rPr>
        <w:t xml:space="preserve"> </w:t>
      </w:r>
      <w:r>
        <w:t>and</w:t>
      </w:r>
      <w:r>
        <w:rPr>
          <w:spacing w:val="-5"/>
        </w:rPr>
        <w:t xml:space="preserve"> </w:t>
      </w:r>
      <w:r>
        <w:t>reasonableness</w:t>
      </w:r>
      <w:r>
        <w:rPr>
          <w:spacing w:val="-5"/>
        </w:rPr>
        <w:t xml:space="preserve"> </w:t>
      </w:r>
      <w:r>
        <w:t>of</w:t>
      </w:r>
      <w:r>
        <w:rPr>
          <w:spacing w:val="-5"/>
        </w:rPr>
        <w:t xml:space="preserve"> </w:t>
      </w:r>
      <w:r>
        <w:t>the</w:t>
      </w:r>
      <w:r>
        <w:rPr>
          <w:spacing w:val="-4"/>
        </w:rPr>
        <w:t xml:space="preserve"> </w:t>
      </w:r>
      <w:r>
        <w:t>specialist’s</w:t>
      </w:r>
      <w:r>
        <w:rPr>
          <w:spacing w:val="-5"/>
        </w:rPr>
        <w:t xml:space="preserve"> </w:t>
      </w:r>
      <w:r>
        <w:t>findings</w:t>
      </w:r>
      <w:r>
        <w:rPr>
          <w:spacing w:val="-6"/>
        </w:rPr>
        <w:t xml:space="preserve"> </w:t>
      </w:r>
      <w:r>
        <w:t>or</w:t>
      </w:r>
      <w:r>
        <w:rPr>
          <w:spacing w:val="-5"/>
        </w:rPr>
        <w:t xml:space="preserve"> </w:t>
      </w:r>
      <w:r>
        <w:t>conclusions, the consistency of the findings or conclusions with other audit evidence, and whether the findings or conclusions have been appropriately reflected in the financial statements (AU-C 501.A84).</w:t>
      </w:r>
    </w:p>
    <w:p w14:paraId="0DFDAD6A" w14:textId="77777777" w:rsidR="00046465" w:rsidRDefault="008134EB">
      <w:pPr>
        <w:pStyle w:val="BodyText"/>
        <w:spacing w:before="119"/>
        <w:ind w:left="1799" w:right="749"/>
      </w:pPr>
      <w:r>
        <w:t>See AU-C 501.A85 and .A86 for further guidance if the work of management’s specialist</w:t>
      </w:r>
      <w:r>
        <w:rPr>
          <w:spacing w:val="-4"/>
        </w:rPr>
        <w:t xml:space="preserve"> </w:t>
      </w:r>
      <w:r>
        <w:t>involves</w:t>
      </w:r>
      <w:r>
        <w:rPr>
          <w:spacing w:val="-4"/>
        </w:rPr>
        <w:t xml:space="preserve"> </w:t>
      </w:r>
      <w:r>
        <w:t>the</w:t>
      </w:r>
      <w:r>
        <w:rPr>
          <w:spacing w:val="-4"/>
        </w:rPr>
        <w:t xml:space="preserve"> </w:t>
      </w:r>
      <w:r>
        <w:t>use</w:t>
      </w:r>
      <w:r>
        <w:rPr>
          <w:spacing w:val="-4"/>
        </w:rPr>
        <w:t xml:space="preserve"> </w:t>
      </w:r>
      <w:r>
        <w:t>of</w:t>
      </w:r>
      <w:r>
        <w:rPr>
          <w:spacing w:val="-4"/>
        </w:rPr>
        <w:t xml:space="preserve"> </w:t>
      </w:r>
      <w:r>
        <w:t>significant</w:t>
      </w:r>
      <w:r>
        <w:rPr>
          <w:spacing w:val="-4"/>
        </w:rPr>
        <w:t xml:space="preserve"> </w:t>
      </w:r>
      <w:r>
        <w:t>assumptions</w:t>
      </w:r>
      <w:r>
        <w:rPr>
          <w:spacing w:val="-4"/>
        </w:rPr>
        <w:t xml:space="preserve"> </w:t>
      </w:r>
      <w:r>
        <w:t>that</w:t>
      </w:r>
      <w:r>
        <w:rPr>
          <w:spacing w:val="-4"/>
        </w:rPr>
        <w:t xml:space="preserve"> </w:t>
      </w:r>
      <w:r>
        <w:t>a</w:t>
      </w:r>
      <w:r>
        <w:rPr>
          <w:spacing w:val="-4"/>
        </w:rPr>
        <w:t xml:space="preserve"> </w:t>
      </w:r>
      <w:r>
        <w:t>specialist</w:t>
      </w:r>
      <w:r>
        <w:rPr>
          <w:spacing w:val="-4"/>
        </w:rPr>
        <w:t xml:space="preserve"> </w:t>
      </w:r>
      <w:r>
        <w:t xml:space="preserve">developed or a proprietary model. Also see AU-C 540, </w:t>
      </w:r>
      <w:r>
        <w:rPr>
          <w:i/>
        </w:rPr>
        <w:t>Auditing Accounting Estimates and Related Disclosures</w:t>
      </w:r>
      <w:r>
        <w:t>, for requirements and guidance related to accounting estimates, including the selection and application of the methods, significant assumptions, and data used in making the accounting estimate.</w:t>
      </w:r>
    </w:p>
    <w:p w14:paraId="0DFDAD6B" w14:textId="77777777" w:rsidR="00046465" w:rsidRDefault="008134EB">
      <w:pPr>
        <w:pStyle w:val="ListParagraph"/>
        <w:numPr>
          <w:ilvl w:val="0"/>
          <w:numId w:val="218"/>
        </w:numPr>
        <w:tabs>
          <w:tab w:val="left" w:pos="1799"/>
        </w:tabs>
        <w:ind w:left="1799" w:right="1264"/>
      </w:pPr>
      <w:r>
        <w:t>Factors</w:t>
      </w:r>
      <w:r>
        <w:rPr>
          <w:spacing w:val="-4"/>
        </w:rPr>
        <w:t xml:space="preserve"> </w:t>
      </w:r>
      <w:r>
        <w:t>that</w:t>
      </w:r>
      <w:r>
        <w:rPr>
          <w:spacing w:val="-5"/>
        </w:rPr>
        <w:t xml:space="preserve"> </w:t>
      </w:r>
      <w:r>
        <w:t>affect</w:t>
      </w:r>
      <w:r>
        <w:rPr>
          <w:spacing w:val="-4"/>
        </w:rPr>
        <w:t xml:space="preserve"> </w:t>
      </w:r>
      <w:r>
        <w:t>the</w:t>
      </w:r>
      <w:r>
        <w:rPr>
          <w:spacing w:val="-4"/>
        </w:rPr>
        <w:t xml:space="preserve"> </w:t>
      </w:r>
      <w:r>
        <w:t>relevance</w:t>
      </w:r>
      <w:r>
        <w:rPr>
          <w:spacing w:val="-4"/>
        </w:rPr>
        <w:t xml:space="preserve"> </w:t>
      </w:r>
      <w:r>
        <w:t>and</w:t>
      </w:r>
      <w:r>
        <w:rPr>
          <w:spacing w:val="-5"/>
        </w:rPr>
        <w:t xml:space="preserve"> </w:t>
      </w:r>
      <w:r>
        <w:t>reliability</w:t>
      </w:r>
      <w:r>
        <w:rPr>
          <w:spacing w:val="-4"/>
        </w:rPr>
        <w:t xml:space="preserve"> </w:t>
      </w:r>
      <w:r>
        <w:t>of</w:t>
      </w:r>
      <w:r>
        <w:rPr>
          <w:spacing w:val="-4"/>
        </w:rPr>
        <w:t xml:space="preserve"> </w:t>
      </w:r>
      <w:r>
        <w:t>the</w:t>
      </w:r>
      <w:r>
        <w:rPr>
          <w:spacing w:val="-4"/>
        </w:rPr>
        <w:t xml:space="preserve"> </w:t>
      </w:r>
      <w:r>
        <w:t>work</w:t>
      </w:r>
      <w:r>
        <w:rPr>
          <w:spacing w:val="-4"/>
        </w:rPr>
        <w:t xml:space="preserve"> </w:t>
      </w:r>
      <w:r>
        <w:t>of</w:t>
      </w:r>
      <w:r>
        <w:rPr>
          <w:spacing w:val="-4"/>
        </w:rPr>
        <w:t xml:space="preserve"> </w:t>
      </w:r>
      <w:r>
        <w:t>management’s specialists include the following (AU-C 501.A87):</w:t>
      </w:r>
    </w:p>
    <w:p w14:paraId="0DFDAD6C" w14:textId="77777777" w:rsidR="00046465" w:rsidRDefault="008134EB">
      <w:pPr>
        <w:pStyle w:val="ListParagraph"/>
        <w:numPr>
          <w:ilvl w:val="1"/>
          <w:numId w:val="218"/>
        </w:numPr>
        <w:tabs>
          <w:tab w:val="left" w:pos="2159"/>
        </w:tabs>
        <w:spacing w:before="121"/>
        <w:ind w:right="1674"/>
      </w:pPr>
      <w:r>
        <w:t>the</w:t>
      </w:r>
      <w:r>
        <w:rPr>
          <w:spacing w:val="-4"/>
        </w:rPr>
        <w:t xml:space="preserve"> </w:t>
      </w:r>
      <w:r>
        <w:t>results</w:t>
      </w:r>
      <w:r>
        <w:rPr>
          <w:spacing w:val="-4"/>
        </w:rPr>
        <w:t xml:space="preserve"> </w:t>
      </w:r>
      <w:r>
        <w:t>of</w:t>
      </w:r>
      <w:r>
        <w:rPr>
          <w:spacing w:val="-4"/>
        </w:rPr>
        <w:t xml:space="preserve"> </w:t>
      </w:r>
      <w:r>
        <w:t>the</w:t>
      </w:r>
      <w:r>
        <w:rPr>
          <w:spacing w:val="-4"/>
        </w:rPr>
        <w:t xml:space="preserve"> </w:t>
      </w:r>
      <w:r>
        <w:t>auditor’s</w:t>
      </w:r>
      <w:r>
        <w:rPr>
          <w:spacing w:val="-4"/>
        </w:rPr>
        <w:t xml:space="preserve"> </w:t>
      </w:r>
      <w:r>
        <w:t>procedures</w:t>
      </w:r>
      <w:r>
        <w:rPr>
          <w:spacing w:val="-4"/>
        </w:rPr>
        <w:t xml:space="preserve"> </w:t>
      </w:r>
      <w:r>
        <w:t>over</w:t>
      </w:r>
      <w:r>
        <w:rPr>
          <w:spacing w:val="-4"/>
        </w:rPr>
        <w:t xml:space="preserve"> </w:t>
      </w:r>
      <w:r>
        <w:t>internal</w:t>
      </w:r>
      <w:r>
        <w:rPr>
          <w:spacing w:val="-4"/>
        </w:rPr>
        <w:t xml:space="preserve"> </w:t>
      </w:r>
      <w:r>
        <w:t>or</w:t>
      </w:r>
      <w:r>
        <w:rPr>
          <w:spacing w:val="-4"/>
        </w:rPr>
        <w:t xml:space="preserve"> </w:t>
      </w:r>
      <w:r>
        <w:t>external</w:t>
      </w:r>
      <w:r>
        <w:rPr>
          <w:spacing w:val="-4"/>
        </w:rPr>
        <w:t xml:space="preserve"> </w:t>
      </w:r>
      <w:r>
        <w:t>data, significant assumptions, and methods;</w:t>
      </w:r>
    </w:p>
    <w:p w14:paraId="0DFDAD6D" w14:textId="77777777" w:rsidR="00046465" w:rsidRDefault="008134EB">
      <w:pPr>
        <w:pStyle w:val="ListParagraph"/>
        <w:numPr>
          <w:ilvl w:val="1"/>
          <w:numId w:val="218"/>
        </w:numPr>
        <w:tabs>
          <w:tab w:val="left" w:pos="2159"/>
        </w:tabs>
        <w:spacing w:before="119"/>
        <w:ind w:right="1199"/>
      </w:pPr>
      <w:r>
        <w:t>the</w:t>
      </w:r>
      <w:r>
        <w:rPr>
          <w:spacing w:val="-4"/>
        </w:rPr>
        <w:t xml:space="preserve"> </w:t>
      </w:r>
      <w:r>
        <w:t>nature</w:t>
      </w:r>
      <w:r>
        <w:rPr>
          <w:spacing w:val="-4"/>
        </w:rPr>
        <w:t xml:space="preserve"> </w:t>
      </w:r>
      <w:r>
        <w:t>of</w:t>
      </w:r>
      <w:r>
        <w:rPr>
          <w:spacing w:val="-4"/>
        </w:rPr>
        <w:t xml:space="preserve"> </w:t>
      </w:r>
      <w:r>
        <w:t>any</w:t>
      </w:r>
      <w:r>
        <w:rPr>
          <w:spacing w:val="-4"/>
        </w:rPr>
        <w:t xml:space="preserve"> </w:t>
      </w:r>
      <w:r>
        <w:t>restrictions,</w:t>
      </w:r>
      <w:r>
        <w:rPr>
          <w:spacing w:val="-4"/>
        </w:rPr>
        <w:t xml:space="preserve"> </w:t>
      </w:r>
      <w:r>
        <w:t>disclaimers,</w:t>
      </w:r>
      <w:r>
        <w:rPr>
          <w:spacing w:val="-4"/>
        </w:rPr>
        <w:t xml:space="preserve"> </w:t>
      </w:r>
      <w:r>
        <w:t>or</w:t>
      </w:r>
      <w:r>
        <w:rPr>
          <w:spacing w:val="-4"/>
        </w:rPr>
        <w:t xml:space="preserve"> </w:t>
      </w:r>
      <w:r>
        <w:t>limitations</w:t>
      </w:r>
      <w:r>
        <w:rPr>
          <w:spacing w:val="-4"/>
        </w:rPr>
        <w:t xml:space="preserve"> </w:t>
      </w:r>
      <w:r>
        <w:t>in</w:t>
      </w:r>
      <w:r>
        <w:rPr>
          <w:spacing w:val="-4"/>
        </w:rPr>
        <w:t xml:space="preserve"> </w:t>
      </w:r>
      <w:r>
        <w:t>the</w:t>
      </w:r>
      <w:r>
        <w:rPr>
          <w:spacing w:val="-4"/>
        </w:rPr>
        <w:t xml:space="preserve"> </w:t>
      </w:r>
      <w:r>
        <w:t>specialist’s report or equivalent communication; and</w:t>
      </w:r>
    </w:p>
    <w:p w14:paraId="0DFDAD6E" w14:textId="77777777" w:rsidR="00046465" w:rsidRDefault="00046465">
      <w:pPr>
        <w:pStyle w:val="ListParagraph"/>
        <w:sectPr w:rsidR="00046465">
          <w:pgSz w:w="12240" w:h="15840"/>
          <w:pgMar w:top="1340" w:right="720" w:bottom="940" w:left="1080" w:header="721" w:footer="757" w:gutter="0"/>
          <w:cols w:space="720"/>
        </w:sectPr>
      </w:pPr>
    </w:p>
    <w:p w14:paraId="0DFDAD6F" w14:textId="77777777" w:rsidR="00046465" w:rsidRDefault="008134EB">
      <w:pPr>
        <w:pStyle w:val="ListParagraph"/>
        <w:numPr>
          <w:ilvl w:val="1"/>
          <w:numId w:val="218"/>
        </w:numPr>
        <w:tabs>
          <w:tab w:val="left" w:pos="2159"/>
        </w:tabs>
        <w:spacing w:before="121"/>
        <w:ind w:right="1319"/>
      </w:pPr>
      <w:r>
        <w:lastRenderedPageBreak/>
        <w:t>the consistency of the work of the specialist with (1) other evidence the auditor</w:t>
      </w:r>
      <w:r>
        <w:rPr>
          <w:spacing w:val="-4"/>
        </w:rPr>
        <w:t xml:space="preserve"> </w:t>
      </w:r>
      <w:r>
        <w:t>obtained</w:t>
      </w:r>
      <w:r>
        <w:rPr>
          <w:spacing w:val="-4"/>
        </w:rPr>
        <w:t xml:space="preserve"> </w:t>
      </w:r>
      <w:r>
        <w:t>and</w:t>
      </w:r>
      <w:r>
        <w:rPr>
          <w:spacing w:val="-4"/>
        </w:rPr>
        <w:t xml:space="preserve"> </w:t>
      </w:r>
      <w:r>
        <w:t>(2)</w:t>
      </w:r>
      <w:r>
        <w:rPr>
          <w:spacing w:val="-4"/>
        </w:rPr>
        <w:t xml:space="preserve"> </w:t>
      </w:r>
      <w:r>
        <w:t>the</w:t>
      </w:r>
      <w:r>
        <w:rPr>
          <w:spacing w:val="-4"/>
        </w:rPr>
        <w:t xml:space="preserve"> </w:t>
      </w:r>
      <w:r>
        <w:t>auditor’s</w:t>
      </w:r>
      <w:r>
        <w:rPr>
          <w:spacing w:val="-5"/>
        </w:rPr>
        <w:t xml:space="preserve"> </w:t>
      </w:r>
      <w:r>
        <w:t>understanding</w:t>
      </w:r>
      <w:r>
        <w:rPr>
          <w:spacing w:val="-4"/>
        </w:rPr>
        <w:t xml:space="preserve"> </w:t>
      </w:r>
      <w:r>
        <w:t>of</w:t>
      </w:r>
      <w:r>
        <w:rPr>
          <w:spacing w:val="-4"/>
        </w:rPr>
        <w:t xml:space="preserve"> </w:t>
      </w:r>
      <w:r>
        <w:t>the</w:t>
      </w:r>
      <w:r>
        <w:rPr>
          <w:spacing w:val="-4"/>
        </w:rPr>
        <w:t xml:space="preserve"> </w:t>
      </w:r>
      <w:r>
        <w:t>entity</w:t>
      </w:r>
      <w:r>
        <w:rPr>
          <w:spacing w:val="-4"/>
        </w:rPr>
        <w:t xml:space="preserve"> </w:t>
      </w:r>
      <w:r>
        <w:t>and</w:t>
      </w:r>
      <w:r>
        <w:rPr>
          <w:spacing w:val="-4"/>
        </w:rPr>
        <w:t xml:space="preserve"> </w:t>
      </w:r>
      <w:r>
        <w:t xml:space="preserve">its </w:t>
      </w:r>
      <w:r>
        <w:rPr>
          <w:spacing w:val="-2"/>
        </w:rPr>
        <w:t>environment.</w:t>
      </w:r>
    </w:p>
    <w:p w14:paraId="0DFDAD70" w14:textId="77777777" w:rsidR="00046465" w:rsidRDefault="008134EB">
      <w:pPr>
        <w:pStyle w:val="BodyText"/>
        <w:spacing w:before="119"/>
        <w:ind w:left="1800" w:right="762"/>
      </w:pPr>
      <w:r>
        <w:t>Additional procedures may be necessary if the findings or conclusions of management’s specialists appear to contradict the significant assertion, or their work</w:t>
      </w:r>
      <w:r>
        <w:rPr>
          <w:spacing w:val="-4"/>
        </w:rPr>
        <w:t xml:space="preserve"> </w:t>
      </w:r>
      <w:r>
        <w:t>does</w:t>
      </w:r>
      <w:r>
        <w:rPr>
          <w:spacing w:val="-4"/>
        </w:rPr>
        <w:t xml:space="preserve"> </w:t>
      </w:r>
      <w:r>
        <w:t>not</w:t>
      </w:r>
      <w:r>
        <w:rPr>
          <w:spacing w:val="-4"/>
        </w:rPr>
        <w:t xml:space="preserve"> </w:t>
      </w:r>
      <w:r>
        <w:t>provide</w:t>
      </w:r>
      <w:r>
        <w:rPr>
          <w:spacing w:val="-4"/>
        </w:rPr>
        <w:t xml:space="preserve"> </w:t>
      </w:r>
      <w:r>
        <w:t>sufficient</w:t>
      </w:r>
      <w:r>
        <w:rPr>
          <w:spacing w:val="-4"/>
        </w:rPr>
        <w:t xml:space="preserve"> </w:t>
      </w:r>
      <w:r>
        <w:t>appropriate</w:t>
      </w:r>
      <w:r>
        <w:rPr>
          <w:spacing w:val="-4"/>
        </w:rPr>
        <w:t xml:space="preserve"> </w:t>
      </w:r>
      <w:r>
        <w:t>audit</w:t>
      </w:r>
      <w:r>
        <w:rPr>
          <w:spacing w:val="-4"/>
        </w:rPr>
        <w:t xml:space="preserve"> </w:t>
      </w:r>
      <w:r>
        <w:t>evidence</w:t>
      </w:r>
      <w:r>
        <w:rPr>
          <w:spacing w:val="-4"/>
        </w:rPr>
        <w:t xml:space="preserve"> </w:t>
      </w:r>
      <w:r>
        <w:t>(AU-C</w:t>
      </w:r>
      <w:r>
        <w:rPr>
          <w:spacing w:val="-5"/>
        </w:rPr>
        <w:t xml:space="preserve"> </w:t>
      </w:r>
      <w:r>
        <w:t>501.A88).</w:t>
      </w:r>
      <w:r>
        <w:rPr>
          <w:spacing w:val="-4"/>
        </w:rPr>
        <w:t xml:space="preserve"> </w:t>
      </w:r>
      <w:r>
        <w:t xml:space="preserve">See AU-C 501.A88 for examples of situations in which additional procedures may be </w:t>
      </w:r>
      <w:r>
        <w:rPr>
          <w:spacing w:val="-2"/>
        </w:rPr>
        <w:t>necessary.</w:t>
      </w:r>
    </w:p>
    <w:p w14:paraId="0DFDAD71" w14:textId="77777777" w:rsidR="00046465" w:rsidRDefault="008134EB">
      <w:pPr>
        <w:pStyle w:val="Heading4"/>
        <w:spacing w:before="240"/>
        <w:ind w:right="844"/>
      </w:pPr>
      <w:bookmarkStart w:id="43" w:name="Making_Reference_to_Management’s_Special"/>
      <w:bookmarkEnd w:id="43"/>
      <w:r>
        <w:t>Making</w:t>
      </w:r>
      <w:r>
        <w:rPr>
          <w:spacing w:val="-4"/>
        </w:rPr>
        <w:t xml:space="preserve"> </w:t>
      </w:r>
      <w:r>
        <w:t>Reference</w:t>
      </w:r>
      <w:r>
        <w:rPr>
          <w:spacing w:val="-5"/>
        </w:rPr>
        <w:t xml:space="preserve"> </w:t>
      </w:r>
      <w:r>
        <w:t>to</w:t>
      </w:r>
      <w:r>
        <w:rPr>
          <w:spacing w:val="-6"/>
        </w:rPr>
        <w:t xml:space="preserve"> </w:t>
      </w:r>
      <w:r>
        <w:t>Management’s</w:t>
      </w:r>
      <w:r>
        <w:rPr>
          <w:spacing w:val="-6"/>
        </w:rPr>
        <w:t xml:space="preserve"> </w:t>
      </w:r>
      <w:r>
        <w:t>Specialists</w:t>
      </w:r>
      <w:r>
        <w:rPr>
          <w:spacing w:val="-5"/>
        </w:rPr>
        <w:t xml:space="preserve"> </w:t>
      </w:r>
      <w:r>
        <w:t>in</w:t>
      </w:r>
      <w:r>
        <w:rPr>
          <w:spacing w:val="-6"/>
        </w:rPr>
        <w:t xml:space="preserve"> </w:t>
      </w:r>
      <w:r>
        <w:t>the</w:t>
      </w:r>
      <w:r>
        <w:rPr>
          <w:spacing w:val="-5"/>
        </w:rPr>
        <w:t xml:space="preserve"> </w:t>
      </w:r>
      <w:r>
        <w:t xml:space="preserve">Auditor’s </w:t>
      </w:r>
      <w:r>
        <w:rPr>
          <w:spacing w:val="-2"/>
        </w:rPr>
        <w:t>Report</w:t>
      </w:r>
    </w:p>
    <w:p w14:paraId="0DFDAD72" w14:textId="77777777" w:rsidR="00046465" w:rsidRDefault="008134EB">
      <w:pPr>
        <w:pStyle w:val="ListParagraph"/>
        <w:numPr>
          <w:ilvl w:val="0"/>
          <w:numId w:val="218"/>
        </w:numPr>
        <w:tabs>
          <w:tab w:val="left" w:pos="1800"/>
        </w:tabs>
        <w:spacing w:before="121"/>
        <w:ind w:right="1374"/>
      </w:pPr>
      <w:r>
        <w:t>See</w:t>
      </w:r>
      <w:r>
        <w:rPr>
          <w:spacing w:val="-4"/>
        </w:rPr>
        <w:t xml:space="preserve"> </w:t>
      </w:r>
      <w:r>
        <w:t>FAM</w:t>
      </w:r>
      <w:r>
        <w:rPr>
          <w:spacing w:val="-5"/>
        </w:rPr>
        <w:t xml:space="preserve"> </w:t>
      </w:r>
      <w:r>
        <w:t>620.36</w:t>
      </w:r>
      <w:r>
        <w:rPr>
          <w:spacing w:val="-4"/>
        </w:rPr>
        <w:t xml:space="preserve"> </w:t>
      </w:r>
      <w:r>
        <w:t>through</w:t>
      </w:r>
      <w:r>
        <w:rPr>
          <w:spacing w:val="-4"/>
        </w:rPr>
        <w:t xml:space="preserve"> </w:t>
      </w:r>
      <w:r>
        <w:t>.39</w:t>
      </w:r>
      <w:r>
        <w:rPr>
          <w:spacing w:val="-4"/>
        </w:rPr>
        <w:t xml:space="preserve"> </w:t>
      </w:r>
      <w:r>
        <w:t>for</w:t>
      </w:r>
      <w:r>
        <w:rPr>
          <w:spacing w:val="-4"/>
        </w:rPr>
        <w:t xml:space="preserve"> </w:t>
      </w:r>
      <w:r>
        <w:t>guidance</w:t>
      </w:r>
      <w:r>
        <w:rPr>
          <w:spacing w:val="-4"/>
        </w:rPr>
        <w:t xml:space="preserve"> </w:t>
      </w:r>
      <w:r>
        <w:t>related</w:t>
      </w:r>
      <w:r>
        <w:rPr>
          <w:spacing w:val="-4"/>
        </w:rPr>
        <w:t xml:space="preserve"> </w:t>
      </w:r>
      <w:r>
        <w:t>to</w:t>
      </w:r>
      <w:r>
        <w:rPr>
          <w:spacing w:val="-4"/>
        </w:rPr>
        <w:t xml:space="preserve"> </w:t>
      </w:r>
      <w:r>
        <w:t>making</w:t>
      </w:r>
      <w:r>
        <w:rPr>
          <w:spacing w:val="-4"/>
        </w:rPr>
        <w:t xml:space="preserve"> </w:t>
      </w:r>
      <w:r>
        <w:t>reference</w:t>
      </w:r>
      <w:r>
        <w:rPr>
          <w:spacing w:val="-4"/>
        </w:rPr>
        <w:t xml:space="preserve"> </w:t>
      </w:r>
      <w:r>
        <w:t>to</w:t>
      </w:r>
      <w:r>
        <w:rPr>
          <w:spacing w:val="-5"/>
        </w:rPr>
        <w:t xml:space="preserve"> </w:t>
      </w:r>
      <w:r>
        <w:t>a specialist in the auditor’s report.</w:t>
      </w:r>
    </w:p>
    <w:p w14:paraId="0DFDAD73" w14:textId="77777777" w:rsidR="00046465" w:rsidRDefault="008134EB">
      <w:pPr>
        <w:pStyle w:val="Heading4"/>
        <w:spacing w:before="240"/>
      </w:pPr>
      <w:r>
        <w:rPr>
          <w:spacing w:val="-2"/>
        </w:rPr>
        <w:t>Documentation</w:t>
      </w:r>
    </w:p>
    <w:p w14:paraId="0DFDAD74" w14:textId="77777777" w:rsidR="00046465" w:rsidRDefault="008134EB">
      <w:pPr>
        <w:pStyle w:val="ListParagraph"/>
        <w:numPr>
          <w:ilvl w:val="0"/>
          <w:numId w:val="218"/>
        </w:numPr>
        <w:tabs>
          <w:tab w:val="left" w:pos="1800"/>
        </w:tabs>
        <w:ind w:right="774"/>
      </w:pPr>
      <w:r>
        <w:t>In the overall audit strategy, the auditor should include or refer to other documentation</w:t>
      </w:r>
      <w:r>
        <w:rPr>
          <w:spacing w:val="-4"/>
        </w:rPr>
        <w:t xml:space="preserve"> </w:t>
      </w:r>
      <w:r>
        <w:t>where</w:t>
      </w:r>
      <w:r>
        <w:rPr>
          <w:spacing w:val="-4"/>
        </w:rPr>
        <w:t xml:space="preserve"> </w:t>
      </w:r>
      <w:r>
        <w:t>this</w:t>
      </w:r>
      <w:r>
        <w:rPr>
          <w:spacing w:val="-4"/>
        </w:rPr>
        <w:t xml:space="preserve"> </w:t>
      </w:r>
      <w:r>
        <w:t>information</w:t>
      </w:r>
      <w:r>
        <w:rPr>
          <w:spacing w:val="-4"/>
        </w:rPr>
        <w:t xml:space="preserve"> </w:t>
      </w:r>
      <w:r>
        <w:t>is</w:t>
      </w:r>
      <w:r>
        <w:rPr>
          <w:spacing w:val="-4"/>
        </w:rPr>
        <w:t xml:space="preserve"> </w:t>
      </w:r>
      <w:r>
        <w:t>described</w:t>
      </w:r>
      <w:r>
        <w:rPr>
          <w:spacing w:val="-4"/>
        </w:rPr>
        <w:t xml:space="preserve"> </w:t>
      </w:r>
      <w:r>
        <w:t>in</w:t>
      </w:r>
      <w:r>
        <w:rPr>
          <w:spacing w:val="-4"/>
        </w:rPr>
        <w:t xml:space="preserve"> </w:t>
      </w:r>
      <w:r>
        <w:t>more</w:t>
      </w:r>
      <w:r>
        <w:rPr>
          <w:spacing w:val="-4"/>
        </w:rPr>
        <w:t xml:space="preserve"> </w:t>
      </w:r>
      <w:r>
        <w:t>detail</w:t>
      </w:r>
      <w:r>
        <w:rPr>
          <w:spacing w:val="-4"/>
        </w:rPr>
        <w:t xml:space="preserve"> </w:t>
      </w:r>
      <w:r>
        <w:t>on</w:t>
      </w:r>
      <w:r>
        <w:rPr>
          <w:spacing w:val="-4"/>
        </w:rPr>
        <w:t xml:space="preserve"> </w:t>
      </w:r>
      <w:r>
        <w:t>the</w:t>
      </w:r>
      <w:r>
        <w:rPr>
          <w:spacing w:val="-4"/>
        </w:rPr>
        <w:t xml:space="preserve"> </w:t>
      </w:r>
      <w:r>
        <w:t xml:space="preserve">following </w:t>
      </w:r>
      <w:r>
        <w:rPr>
          <w:spacing w:val="-2"/>
        </w:rPr>
        <w:t>areas:</w:t>
      </w:r>
    </w:p>
    <w:p w14:paraId="0DFDAD75" w14:textId="77777777" w:rsidR="00046465" w:rsidRDefault="008134EB">
      <w:pPr>
        <w:pStyle w:val="ListParagraph"/>
        <w:numPr>
          <w:ilvl w:val="1"/>
          <w:numId w:val="218"/>
        </w:numPr>
        <w:tabs>
          <w:tab w:val="left" w:pos="2160"/>
        </w:tabs>
        <w:spacing w:before="119"/>
        <w:ind w:left="2160" w:right="1185"/>
      </w:pPr>
      <w:r>
        <w:t>determination</w:t>
      </w:r>
      <w:r>
        <w:rPr>
          <w:spacing w:val="-4"/>
        </w:rPr>
        <w:t xml:space="preserve"> </w:t>
      </w:r>
      <w:r>
        <w:t>of</w:t>
      </w:r>
      <w:r>
        <w:rPr>
          <w:spacing w:val="-4"/>
        </w:rPr>
        <w:t xml:space="preserve"> </w:t>
      </w:r>
      <w:r>
        <w:t>whether</w:t>
      </w:r>
      <w:r>
        <w:rPr>
          <w:spacing w:val="-4"/>
        </w:rPr>
        <w:t xml:space="preserve"> </w:t>
      </w:r>
      <w:r>
        <w:t>to</w:t>
      </w:r>
      <w:r>
        <w:rPr>
          <w:spacing w:val="-4"/>
        </w:rPr>
        <w:t xml:space="preserve"> </w:t>
      </w:r>
      <w:r>
        <w:t>use</w:t>
      </w:r>
      <w:r>
        <w:rPr>
          <w:spacing w:val="-4"/>
        </w:rPr>
        <w:t xml:space="preserve"> </w:t>
      </w:r>
      <w:r>
        <w:t>the</w:t>
      </w:r>
      <w:r>
        <w:rPr>
          <w:spacing w:val="-5"/>
        </w:rPr>
        <w:t xml:space="preserve"> </w:t>
      </w:r>
      <w:r>
        <w:t>work</w:t>
      </w:r>
      <w:r>
        <w:rPr>
          <w:spacing w:val="-4"/>
        </w:rPr>
        <w:t xml:space="preserve"> </w:t>
      </w:r>
      <w:r>
        <w:t>of</w:t>
      </w:r>
      <w:r>
        <w:rPr>
          <w:spacing w:val="-4"/>
        </w:rPr>
        <w:t xml:space="preserve"> </w:t>
      </w:r>
      <w:r>
        <w:t>management’s</w:t>
      </w:r>
      <w:r>
        <w:rPr>
          <w:spacing w:val="-4"/>
        </w:rPr>
        <w:t xml:space="preserve"> </w:t>
      </w:r>
      <w:r>
        <w:t>specialists</w:t>
      </w:r>
      <w:r>
        <w:rPr>
          <w:spacing w:val="-3"/>
        </w:rPr>
        <w:t xml:space="preserve"> </w:t>
      </w:r>
      <w:r>
        <w:t>as audit evidence;</w:t>
      </w:r>
    </w:p>
    <w:p w14:paraId="0DFDAD76" w14:textId="77777777" w:rsidR="00046465" w:rsidRDefault="008134EB">
      <w:pPr>
        <w:pStyle w:val="ListParagraph"/>
        <w:numPr>
          <w:ilvl w:val="1"/>
          <w:numId w:val="218"/>
        </w:numPr>
        <w:tabs>
          <w:tab w:val="left" w:pos="2159"/>
        </w:tabs>
        <w:spacing w:before="121"/>
        <w:ind w:right="1087"/>
      </w:pPr>
      <w:r>
        <w:t>matters</w:t>
      </w:r>
      <w:r>
        <w:rPr>
          <w:spacing w:val="-4"/>
        </w:rPr>
        <w:t xml:space="preserve"> </w:t>
      </w:r>
      <w:r>
        <w:t>considered</w:t>
      </w:r>
      <w:r>
        <w:rPr>
          <w:spacing w:val="-4"/>
        </w:rPr>
        <w:t xml:space="preserve"> </w:t>
      </w:r>
      <w:r>
        <w:t>when</w:t>
      </w:r>
      <w:r>
        <w:rPr>
          <w:spacing w:val="-4"/>
        </w:rPr>
        <w:t xml:space="preserve"> </w:t>
      </w:r>
      <w:r>
        <w:t>determining</w:t>
      </w:r>
      <w:r>
        <w:rPr>
          <w:spacing w:val="-4"/>
        </w:rPr>
        <w:t xml:space="preserve"> </w:t>
      </w:r>
      <w:r>
        <w:t>the</w:t>
      </w:r>
      <w:r>
        <w:rPr>
          <w:spacing w:val="-4"/>
        </w:rPr>
        <w:t xml:space="preserve"> </w:t>
      </w:r>
      <w:r>
        <w:t>nature,</w:t>
      </w:r>
      <w:r>
        <w:rPr>
          <w:spacing w:val="-4"/>
        </w:rPr>
        <w:t xml:space="preserve"> </w:t>
      </w:r>
      <w:r>
        <w:t>timing,</w:t>
      </w:r>
      <w:r>
        <w:rPr>
          <w:spacing w:val="-4"/>
        </w:rPr>
        <w:t xml:space="preserve"> </w:t>
      </w:r>
      <w:r>
        <w:t>and</w:t>
      </w:r>
      <w:r>
        <w:rPr>
          <w:spacing w:val="-4"/>
        </w:rPr>
        <w:t xml:space="preserve"> </w:t>
      </w:r>
      <w:r>
        <w:t>extent</w:t>
      </w:r>
      <w:r>
        <w:rPr>
          <w:spacing w:val="-4"/>
        </w:rPr>
        <w:t xml:space="preserve"> </w:t>
      </w:r>
      <w:r>
        <w:t>of</w:t>
      </w:r>
      <w:r>
        <w:rPr>
          <w:spacing w:val="-4"/>
        </w:rPr>
        <w:t xml:space="preserve"> </w:t>
      </w:r>
      <w:r>
        <w:t>the auditor’s procedures with respect to the requirements of this section;</w:t>
      </w:r>
    </w:p>
    <w:p w14:paraId="0DFDAD77" w14:textId="77777777" w:rsidR="00046465" w:rsidRDefault="008134EB">
      <w:pPr>
        <w:pStyle w:val="ListParagraph"/>
        <w:numPr>
          <w:ilvl w:val="1"/>
          <w:numId w:val="218"/>
        </w:numPr>
        <w:tabs>
          <w:tab w:val="left" w:pos="2159"/>
        </w:tabs>
        <w:ind w:hanging="359"/>
      </w:pPr>
      <w:r>
        <w:t>understanding</w:t>
      </w:r>
      <w:r>
        <w:rPr>
          <w:spacing w:val="-9"/>
        </w:rPr>
        <w:t xml:space="preserve"> </w:t>
      </w:r>
      <w:r>
        <w:t>of</w:t>
      </w:r>
      <w:r>
        <w:rPr>
          <w:spacing w:val="-8"/>
        </w:rPr>
        <w:t xml:space="preserve"> </w:t>
      </w:r>
      <w:r>
        <w:t>the</w:t>
      </w:r>
      <w:r>
        <w:rPr>
          <w:spacing w:val="-8"/>
        </w:rPr>
        <w:t xml:space="preserve"> </w:t>
      </w:r>
      <w:r>
        <w:t>work</w:t>
      </w:r>
      <w:r>
        <w:rPr>
          <w:spacing w:val="-8"/>
        </w:rPr>
        <w:t xml:space="preserve"> </w:t>
      </w:r>
      <w:r>
        <w:t>of</w:t>
      </w:r>
      <w:r>
        <w:rPr>
          <w:spacing w:val="-8"/>
        </w:rPr>
        <w:t xml:space="preserve"> </w:t>
      </w:r>
      <w:r>
        <w:t>management’s</w:t>
      </w:r>
      <w:r>
        <w:rPr>
          <w:spacing w:val="-7"/>
        </w:rPr>
        <w:t xml:space="preserve"> </w:t>
      </w:r>
      <w:r>
        <w:t>specialists;</w:t>
      </w:r>
      <w:r>
        <w:rPr>
          <w:spacing w:val="-8"/>
        </w:rPr>
        <w:t xml:space="preserve"> </w:t>
      </w:r>
      <w:r>
        <w:rPr>
          <w:spacing w:val="-5"/>
        </w:rPr>
        <w:t>and</w:t>
      </w:r>
    </w:p>
    <w:p w14:paraId="0DFDAD78" w14:textId="77777777" w:rsidR="00046465" w:rsidRDefault="008134EB">
      <w:pPr>
        <w:pStyle w:val="ListParagraph"/>
        <w:numPr>
          <w:ilvl w:val="1"/>
          <w:numId w:val="218"/>
        </w:numPr>
        <w:tabs>
          <w:tab w:val="left" w:pos="2157"/>
          <w:tab w:val="left" w:pos="2159"/>
        </w:tabs>
        <w:spacing w:before="119"/>
        <w:ind w:right="1637" w:hanging="361"/>
      </w:pPr>
      <w:r>
        <w:t>evaluation</w:t>
      </w:r>
      <w:r>
        <w:rPr>
          <w:spacing w:val="-5"/>
        </w:rPr>
        <w:t xml:space="preserve"> </w:t>
      </w:r>
      <w:r>
        <w:t>of</w:t>
      </w:r>
      <w:r>
        <w:rPr>
          <w:spacing w:val="-5"/>
        </w:rPr>
        <w:t xml:space="preserve"> </w:t>
      </w:r>
      <w:r>
        <w:t>whether</w:t>
      </w:r>
      <w:r>
        <w:rPr>
          <w:spacing w:val="-5"/>
        </w:rPr>
        <w:t xml:space="preserve"> </w:t>
      </w:r>
      <w:r>
        <w:t>management’s</w:t>
      </w:r>
      <w:r>
        <w:rPr>
          <w:spacing w:val="-5"/>
        </w:rPr>
        <w:t xml:space="preserve"> </w:t>
      </w:r>
      <w:r>
        <w:t>specialists</w:t>
      </w:r>
      <w:r>
        <w:rPr>
          <w:spacing w:val="-6"/>
        </w:rPr>
        <w:t xml:space="preserve"> </w:t>
      </w:r>
      <w:r>
        <w:t>have</w:t>
      </w:r>
      <w:r>
        <w:rPr>
          <w:spacing w:val="-5"/>
        </w:rPr>
        <w:t xml:space="preserve"> </w:t>
      </w:r>
      <w:r>
        <w:t>the</w:t>
      </w:r>
      <w:r>
        <w:rPr>
          <w:spacing w:val="-5"/>
        </w:rPr>
        <w:t xml:space="preserve"> </w:t>
      </w:r>
      <w:r>
        <w:t>necessary competence, capabilities, and objectivity for the auditor’s purposes.</w:t>
      </w:r>
    </w:p>
    <w:p w14:paraId="0DFDAD79" w14:textId="77777777" w:rsidR="00046465" w:rsidRDefault="008134EB">
      <w:pPr>
        <w:pStyle w:val="ListParagraph"/>
        <w:numPr>
          <w:ilvl w:val="0"/>
          <w:numId w:val="218"/>
        </w:numPr>
        <w:tabs>
          <w:tab w:val="left" w:pos="1800"/>
        </w:tabs>
        <w:ind w:right="724"/>
      </w:pPr>
      <w:r>
        <w:t>The</w:t>
      </w:r>
      <w:r>
        <w:rPr>
          <w:spacing w:val="-4"/>
        </w:rPr>
        <w:t xml:space="preserve"> </w:t>
      </w:r>
      <w:r>
        <w:t>auditor</w:t>
      </w:r>
      <w:r>
        <w:rPr>
          <w:spacing w:val="-5"/>
        </w:rPr>
        <w:t xml:space="preserve"> </w:t>
      </w:r>
      <w:r>
        <w:t>should</w:t>
      </w:r>
      <w:r>
        <w:rPr>
          <w:spacing w:val="-4"/>
        </w:rPr>
        <w:t xml:space="preserve"> </w:t>
      </w:r>
      <w:r>
        <w:t>document</w:t>
      </w:r>
      <w:r>
        <w:rPr>
          <w:spacing w:val="-4"/>
        </w:rPr>
        <w:t xml:space="preserve"> </w:t>
      </w:r>
      <w:r>
        <w:t>the</w:t>
      </w:r>
      <w:r>
        <w:rPr>
          <w:spacing w:val="-4"/>
        </w:rPr>
        <w:t xml:space="preserve"> </w:t>
      </w:r>
      <w:r>
        <w:t>evaluation</w:t>
      </w:r>
      <w:r>
        <w:rPr>
          <w:spacing w:val="-4"/>
        </w:rPr>
        <w:t xml:space="preserve"> </w:t>
      </w:r>
      <w:r>
        <w:t>of</w:t>
      </w:r>
      <w:r>
        <w:rPr>
          <w:spacing w:val="-4"/>
        </w:rPr>
        <w:t xml:space="preserve"> </w:t>
      </w:r>
      <w:r>
        <w:t>the</w:t>
      </w:r>
      <w:r>
        <w:rPr>
          <w:spacing w:val="-4"/>
        </w:rPr>
        <w:t xml:space="preserve"> </w:t>
      </w:r>
      <w:r>
        <w:t>appropriateness</w:t>
      </w:r>
      <w:r>
        <w:rPr>
          <w:spacing w:val="-2"/>
        </w:rPr>
        <w:t xml:space="preserve"> </w:t>
      </w:r>
      <w:r>
        <w:t>of</w:t>
      </w:r>
      <w:r>
        <w:rPr>
          <w:spacing w:val="-4"/>
        </w:rPr>
        <w:t xml:space="preserve"> </w:t>
      </w:r>
      <w:r>
        <w:t>the</w:t>
      </w:r>
      <w:r>
        <w:rPr>
          <w:spacing w:val="-4"/>
        </w:rPr>
        <w:t xml:space="preserve"> </w:t>
      </w:r>
      <w:r>
        <w:t>work</w:t>
      </w:r>
      <w:r>
        <w:rPr>
          <w:spacing w:val="-4"/>
        </w:rPr>
        <w:t xml:space="preserve"> </w:t>
      </w:r>
      <w:r>
        <w:t>of management’s specialists as audit evidence for the significant assertion in the audit summary memorandum, including the auditor’s conclusions on the</w:t>
      </w:r>
    </w:p>
    <w:p w14:paraId="0DFDAD7A" w14:textId="77777777" w:rsidR="00046465" w:rsidRDefault="008134EB">
      <w:pPr>
        <w:pStyle w:val="ListParagraph"/>
        <w:numPr>
          <w:ilvl w:val="1"/>
          <w:numId w:val="218"/>
        </w:numPr>
        <w:tabs>
          <w:tab w:val="left" w:pos="2160"/>
        </w:tabs>
        <w:ind w:left="2160" w:right="1076"/>
      </w:pPr>
      <w:r>
        <w:t>relevance and reasonableness of the findings and conclusions of management’s</w:t>
      </w:r>
      <w:r>
        <w:rPr>
          <w:spacing w:val="-5"/>
        </w:rPr>
        <w:t xml:space="preserve"> </w:t>
      </w:r>
      <w:r>
        <w:t>specialists</w:t>
      </w:r>
      <w:r>
        <w:rPr>
          <w:spacing w:val="-5"/>
        </w:rPr>
        <w:t xml:space="preserve"> </w:t>
      </w:r>
      <w:r>
        <w:t>and</w:t>
      </w:r>
      <w:r>
        <w:rPr>
          <w:spacing w:val="-5"/>
        </w:rPr>
        <w:t xml:space="preserve"> </w:t>
      </w:r>
      <w:r>
        <w:t>their</w:t>
      </w:r>
      <w:r>
        <w:rPr>
          <w:spacing w:val="-5"/>
        </w:rPr>
        <w:t xml:space="preserve"> </w:t>
      </w:r>
      <w:r>
        <w:t>consistency</w:t>
      </w:r>
      <w:r>
        <w:rPr>
          <w:spacing w:val="-6"/>
        </w:rPr>
        <w:t xml:space="preserve"> </w:t>
      </w:r>
      <w:r>
        <w:t>with</w:t>
      </w:r>
      <w:r>
        <w:rPr>
          <w:spacing w:val="-5"/>
        </w:rPr>
        <w:t xml:space="preserve"> </w:t>
      </w:r>
      <w:r>
        <w:t>other</w:t>
      </w:r>
      <w:r>
        <w:rPr>
          <w:spacing w:val="-5"/>
        </w:rPr>
        <w:t xml:space="preserve"> </w:t>
      </w:r>
      <w:r>
        <w:t>audit</w:t>
      </w:r>
      <w:r>
        <w:rPr>
          <w:spacing w:val="-5"/>
        </w:rPr>
        <w:t xml:space="preserve"> </w:t>
      </w:r>
      <w:r>
        <w:t>evidence;</w:t>
      </w:r>
    </w:p>
    <w:p w14:paraId="0DFDAD7B" w14:textId="77777777" w:rsidR="00046465" w:rsidRDefault="008134EB">
      <w:pPr>
        <w:pStyle w:val="ListParagraph"/>
        <w:numPr>
          <w:ilvl w:val="1"/>
          <w:numId w:val="218"/>
        </w:numPr>
        <w:tabs>
          <w:tab w:val="left" w:pos="2160"/>
        </w:tabs>
        <w:ind w:left="2160" w:right="953"/>
      </w:pPr>
      <w:r>
        <w:t>relevance</w:t>
      </w:r>
      <w:r>
        <w:rPr>
          <w:spacing w:val="-5"/>
        </w:rPr>
        <w:t xml:space="preserve"> </w:t>
      </w:r>
      <w:r>
        <w:t>and</w:t>
      </w:r>
      <w:r>
        <w:rPr>
          <w:spacing w:val="-5"/>
        </w:rPr>
        <w:t xml:space="preserve"> </w:t>
      </w:r>
      <w:r>
        <w:t>reasonableness</w:t>
      </w:r>
      <w:r>
        <w:rPr>
          <w:spacing w:val="-5"/>
        </w:rPr>
        <w:t xml:space="preserve"> </w:t>
      </w:r>
      <w:r>
        <w:t>of</w:t>
      </w:r>
      <w:r>
        <w:rPr>
          <w:spacing w:val="-5"/>
        </w:rPr>
        <w:t xml:space="preserve"> </w:t>
      </w:r>
      <w:r>
        <w:t>any</w:t>
      </w:r>
      <w:r>
        <w:rPr>
          <w:spacing w:val="-5"/>
        </w:rPr>
        <w:t xml:space="preserve"> </w:t>
      </w:r>
      <w:r>
        <w:t>significant</w:t>
      </w:r>
      <w:r>
        <w:rPr>
          <w:spacing w:val="-6"/>
        </w:rPr>
        <w:t xml:space="preserve"> </w:t>
      </w:r>
      <w:r>
        <w:t>assumptions</w:t>
      </w:r>
      <w:r>
        <w:rPr>
          <w:spacing w:val="-5"/>
        </w:rPr>
        <w:t xml:space="preserve"> </w:t>
      </w:r>
      <w:r>
        <w:t>and</w:t>
      </w:r>
      <w:r>
        <w:rPr>
          <w:spacing w:val="-5"/>
        </w:rPr>
        <w:t xml:space="preserve"> </w:t>
      </w:r>
      <w:r>
        <w:t>methods used by management’s specialists; and</w:t>
      </w:r>
    </w:p>
    <w:p w14:paraId="0DFDAD7C" w14:textId="77777777" w:rsidR="00046465" w:rsidRDefault="008134EB">
      <w:pPr>
        <w:pStyle w:val="ListParagraph"/>
        <w:numPr>
          <w:ilvl w:val="1"/>
          <w:numId w:val="218"/>
        </w:numPr>
        <w:tabs>
          <w:tab w:val="left" w:pos="2160"/>
        </w:tabs>
        <w:spacing w:before="121"/>
        <w:ind w:left="2160" w:right="1367"/>
      </w:pPr>
      <w:r>
        <w:t>the</w:t>
      </w:r>
      <w:r>
        <w:rPr>
          <w:spacing w:val="-4"/>
        </w:rPr>
        <w:t xml:space="preserve"> </w:t>
      </w:r>
      <w:r>
        <w:t>relevance,</w:t>
      </w:r>
      <w:r>
        <w:rPr>
          <w:spacing w:val="-4"/>
        </w:rPr>
        <w:t xml:space="preserve"> </w:t>
      </w:r>
      <w:r>
        <w:t>completeness,</w:t>
      </w:r>
      <w:r>
        <w:rPr>
          <w:spacing w:val="-4"/>
        </w:rPr>
        <w:t xml:space="preserve"> </w:t>
      </w:r>
      <w:r>
        <w:t>and</w:t>
      </w:r>
      <w:r>
        <w:rPr>
          <w:spacing w:val="-4"/>
        </w:rPr>
        <w:t xml:space="preserve"> </w:t>
      </w:r>
      <w:r>
        <w:t>accuracy</w:t>
      </w:r>
      <w:r>
        <w:rPr>
          <w:spacing w:val="-4"/>
        </w:rPr>
        <w:t xml:space="preserve"> </w:t>
      </w:r>
      <w:r>
        <w:t>of</w:t>
      </w:r>
      <w:r>
        <w:rPr>
          <w:spacing w:val="-4"/>
        </w:rPr>
        <w:t xml:space="preserve"> </w:t>
      </w:r>
      <w:r>
        <w:t>any</w:t>
      </w:r>
      <w:r>
        <w:rPr>
          <w:spacing w:val="-4"/>
        </w:rPr>
        <w:t xml:space="preserve"> </w:t>
      </w:r>
      <w:r>
        <w:t>source</w:t>
      </w:r>
      <w:r>
        <w:rPr>
          <w:spacing w:val="-4"/>
        </w:rPr>
        <w:t xml:space="preserve"> </w:t>
      </w:r>
      <w:r>
        <w:t>data</w:t>
      </w:r>
      <w:r>
        <w:rPr>
          <w:spacing w:val="-4"/>
        </w:rPr>
        <w:t xml:space="preserve"> </w:t>
      </w:r>
      <w:r>
        <w:t>that</w:t>
      </w:r>
      <w:r>
        <w:rPr>
          <w:spacing w:val="-4"/>
        </w:rPr>
        <w:t xml:space="preserve"> </w:t>
      </w:r>
      <w:r>
        <w:t>are significant to the work of management’s specialists.</w:t>
      </w:r>
    </w:p>
    <w:p w14:paraId="0DFDAD7D" w14:textId="77777777" w:rsidR="00046465" w:rsidRDefault="008134EB">
      <w:pPr>
        <w:pStyle w:val="BodyText"/>
        <w:spacing w:before="119"/>
        <w:ind w:left="1800" w:right="749"/>
      </w:pPr>
      <w:r>
        <w:t>In</w:t>
      </w:r>
      <w:r>
        <w:rPr>
          <w:spacing w:val="-4"/>
        </w:rPr>
        <w:t xml:space="preserve"> </w:t>
      </w:r>
      <w:r>
        <w:t>the</w:t>
      </w:r>
      <w:r>
        <w:rPr>
          <w:spacing w:val="-4"/>
        </w:rPr>
        <w:t xml:space="preserve"> </w:t>
      </w:r>
      <w:r>
        <w:t>memorandum,</w:t>
      </w:r>
      <w:r>
        <w:rPr>
          <w:spacing w:val="-4"/>
        </w:rPr>
        <w:t xml:space="preserve"> </w:t>
      </w:r>
      <w:r>
        <w:t>the</w:t>
      </w:r>
      <w:r>
        <w:rPr>
          <w:spacing w:val="-4"/>
        </w:rPr>
        <w:t xml:space="preserve"> </w:t>
      </w:r>
      <w:r>
        <w:t>auditor</w:t>
      </w:r>
      <w:r>
        <w:rPr>
          <w:spacing w:val="-4"/>
        </w:rPr>
        <w:t xml:space="preserve"> </w:t>
      </w:r>
      <w:r>
        <w:t>may</w:t>
      </w:r>
      <w:r>
        <w:rPr>
          <w:spacing w:val="-4"/>
        </w:rPr>
        <w:t xml:space="preserve"> </w:t>
      </w:r>
      <w:r>
        <w:t>refer</w:t>
      </w:r>
      <w:r>
        <w:rPr>
          <w:spacing w:val="-4"/>
        </w:rPr>
        <w:t xml:space="preserve"> </w:t>
      </w:r>
      <w:r>
        <w:t>to</w:t>
      </w:r>
      <w:r>
        <w:rPr>
          <w:spacing w:val="-4"/>
        </w:rPr>
        <w:t xml:space="preserve"> </w:t>
      </w:r>
      <w:r>
        <w:t>other</w:t>
      </w:r>
      <w:r>
        <w:rPr>
          <w:spacing w:val="-4"/>
        </w:rPr>
        <w:t xml:space="preserve"> </w:t>
      </w:r>
      <w:r>
        <w:t>documentation</w:t>
      </w:r>
      <w:r>
        <w:rPr>
          <w:spacing w:val="-4"/>
        </w:rPr>
        <w:t xml:space="preserve"> </w:t>
      </w:r>
      <w:r>
        <w:t>where</w:t>
      </w:r>
      <w:r>
        <w:rPr>
          <w:spacing w:val="-4"/>
        </w:rPr>
        <w:t xml:space="preserve"> </w:t>
      </w:r>
      <w:r>
        <w:t>this information is described in more detail.</w:t>
      </w:r>
    </w:p>
    <w:p w14:paraId="5274CC81" w14:textId="77777777" w:rsidR="00046465" w:rsidRDefault="00046465">
      <w:pPr>
        <w:pStyle w:val="BodyText"/>
      </w:pPr>
    </w:p>
    <w:p w14:paraId="0DFDAD7E" w14:textId="599B823B" w:rsidR="005112B6" w:rsidRDefault="005112B6">
      <w:pPr>
        <w:pStyle w:val="BodyText"/>
        <w:sectPr w:rsidR="005112B6">
          <w:pgSz w:w="12240" w:h="15840"/>
          <w:pgMar w:top="1340" w:right="720" w:bottom="940" w:left="1080" w:header="721" w:footer="757" w:gutter="0"/>
          <w:cols w:space="720"/>
        </w:sectPr>
      </w:pPr>
    </w:p>
    <w:p w14:paraId="0DFDAD7F" w14:textId="77777777" w:rsidR="00046465" w:rsidRDefault="008134EB">
      <w:pPr>
        <w:pStyle w:val="Heading3"/>
        <w:rPr>
          <w:u w:val="none"/>
        </w:rPr>
      </w:pPr>
      <w:bookmarkStart w:id="44" w:name="630_–_Audits_of_Group_Financial_Statemen"/>
      <w:bookmarkStart w:id="45" w:name="_bookmark12"/>
      <w:bookmarkEnd w:id="44"/>
      <w:bookmarkEnd w:id="45"/>
      <w:r>
        <w:lastRenderedPageBreak/>
        <w:t>630</w:t>
      </w:r>
      <w:r>
        <w:rPr>
          <w:spacing w:val="-6"/>
        </w:rPr>
        <w:t xml:space="preserve"> </w:t>
      </w:r>
      <w:r>
        <w:t>–</w:t>
      </w:r>
      <w:r>
        <w:rPr>
          <w:spacing w:val="-15"/>
        </w:rPr>
        <w:t xml:space="preserve"> </w:t>
      </w:r>
      <w:r>
        <w:t>Audits</w:t>
      </w:r>
      <w:r>
        <w:rPr>
          <w:spacing w:val="-2"/>
        </w:rPr>
        <w:t xml:space="preserve"> </w:t>
      </w:r>
      <w:r>
        <w:t>of</w:t>
      </w:r>
      <w:r>
        <w:rPr>
          <w:spacing w:val="-5"/>
        </w:rPr>
        <w:t xml:space="preserve"> </w:t>
      </w:r>
      <w:r>
        <w:t>Group</w:t>
      </w:r>
      <w:r>
        <w:rPr>
          <w:spacing w:val="-5"/>
        </w:rPr>
        <w:t xml:space="preserve"> </w:t>
      </w:r>
      <w:r>
        <w:t>Financial</w:t>
      </w:r>
      <w:r>
        <w:rPr>
          <w:spacing w:val="-3"/>
        </w:rPr>
        <w:t xml:space="preserve"> </w:t>
      </w:r>
      <w:r>
        <w:rPr>
          <w:spacing w:val="-2"/>
        </w:rPr>
        <w:t>Statements</w:t>
      </w:r>
    </w:p>
    <w:p w14:paraId="0DFDAD80" w14:textId="77777777" w:rsidR="00046465" w:rsidRDefault="00046465">
      <w:pPr>
        <w:pStyle w:val="BodyText"/>
        <w:spacing w:before="38"/>
        <w:rPr>
          <w:b/>
          <w:sz w:val="28"/>
        </w:rPr>
      </w:pPr>
    </w:p>
    <w:p w14:paraId="0DFDAD81" w14:textId="77777777" w:rsidR="00046465" w:rsidRDefault="008134EB">
      <w:pPr>
        <w:pStyle w:val="Heading4"/>
        <w:spacing w:before="1"/>
      </w:pPr>
      <w:r>
        <w:rPr>
          <w:spacing w:val="-2"/>
        </w:rPr>
        <w:t>Overview</w:t>
      </w:r>
    </w:p>
    <w:p w14:paraId="0DFDAD82" w14:textId="77777777" w:rsidR="00046465" w:rsidRDefault="008134EB">
      <w:pPr>
        <w:pStyle w:val="ListParagraph"/>
        <w:numPr>
          <w:ilvl w:val="0"/>
          <w:numId w:val="17"/>
        </w:numPr>
        <w:tabs>
          <w:tab w:val="left" w:pos="1799"/>
        </w:tabs>
        <w:spacing w:before="119"/>
        <w:ind w:right="810" w:hanging="720"/>
      </w:pPr>
      <w:r>
        <w:t>FAM 630 provides guidance to auditors on designing and performing a group audit.</w:t>
      </w:r>
      <w:hyperlink w:anchor="_bookmark13" w:history="1">
        <w:r>
          <w:rPr>
            <w:position w:val="7"/>
            <w:sz w:val="14"/>
          </w:rPr>
          <w:t>8</w:t>
        </w:r>
      </w:hyperlink>
      <w:r>
        <w:rPr>
          <w:spacing w:val="40"/>
          <w:position w:val="7"/>
          <w:sz w:val="14"/>
        </w:rPr>
        <w:t xml:space="preserve"> </w:t>
      </w:r>
      <w:r>
        <w:t xml:space="preserve">AU-C 600A, </w:t>
      </w:r>
      <w:r>
        <w:rPr>
          <w:i/>
        </w:rPr>
        <w:t>Special Considerations</w:t>
      </w:r>
      <w:r>
        <w:rPr>
          <w:i/>
          <w:sz w:val="23"/>
        </w:rPr>
        <w:t>—</w:t>
      </w:r>
      <w:r>
        <w:rPr>
          <w:i/>
        </w:rPr>
        <w:t>Audits of Group Financial Statements</w:t>
      </w:r>
      <w:r>
        <w:rPr>
          <w:i/>
          <w:spacing w:val="-4"/>
        </w:rPr>
        <w:t xml:space="preserve"> </w:t>
      </w:r>
      <w:r>
        <w:rPr>
          <w:i/>
        </w:rPr>
        <w:t>(Including</w:t>
      </w:r>
      <w:r>
        <w:rPr>
          <w:i/>
          <w:spacing w:val="-4"/>
        </w:rPr>
        <w:t xml:space="preserve"> </w:t>
      </w:r>
      <w:r>
        <w:rPr>
          <w:i/>
        </w:rPr>
        <w:t>the</w:t>
      </w:r>
      <w:r>
        <w:rPr>
          <w:i/>
          <w:spacing w:val="-4"/>
        </w:rPr>
        <w:t xml:space="preserve"> </w:t>
      </w:r>
      <w:r>
        <w:rPr>
          <w:i/>
        </w:rPr>
        <w:t>Work</w:t>
      </w:r>
      <w:r>
        <w:rPr>
          <w:i/>
          <w:spacing w:val="-4"/>
        </w:rPr>
        <w:t xml:space="preserve"> </w:t>
      </w:r>
      <w:r>
        <w:rPr>
          <w:i/>
        </w:rPr>
        <w:t>of</w:t>
      </w:r>
      <w:r>
        <w:rPr>
          <w:i/>
          <w:spacing w:val="-4"/>
        </w:rPr>
        <w:t xml:space="preserve"> </w:t>
      </w:r>
      <w:r>
        <w:rPr>
          <w:i/>
        </w:rPr>
        <w:t>Component</w:t>
      </w:r>
      <w:r>
        <w:rPr>
          <w:i/>
          <w:spacing w:val="-4"/>
        </w:rPr>
        <w:t xml:space="preserve"> </w:t>
      </w:r>
      <w:r>
        <w:rPr>
          <w:i/>
        </w:rPr>
        <w:t>Auditors),</w:t>
      </w:r>
      <w:r>
        <w:rPr>
          <w:i/>
          <w:spacing w:val="-4"/>
        </w:rPr>
        <w:t xml:space="preserve"> </w:t>
      </w:r>
      <w:r>
        <w:t>also</w:t>
      </w:r>
      <w:r>
        <w:rPr>
          <w:spacing w:val="-4"/>
        </w:rPr>
        <w:t xml:space="preserve"> </w:t>
      </w:r>
      <w:r>
        <w:t>provides</w:t>
      </w:r>
      <w:r>
        <w:rPr>
          <w:spacing w:val="-4"/>
        </w:rPr>
        <w:t xml:space="preserve"> </w:t>
      </w:r>
      <w:r>
        <w:t>guidance in this area. This standard has different requirements depending on whether the group auditor elects to make reference or to not make reference to the work performed by the component auditors. Under various AU-C sections, the auditor of the group financial statements is also referred to as the group engagement partner, group engagement team, or group auditor; all of these terms are used interchangeably throughout this section.</w:t>
      </w:r>
    </w:p>
    <w:p w14:paraId="0DFDAD83" w14:textId="77777777" w:rsidR="00046465" w:rsidRDefault="008134EB">
      <w:pPr>
        <w:pStyle w:val="ListParagraph"/>
        <w:numPr>
          <w:ilvl w:val="0"/>
          <w:numId w:val="17"/>
        </w:numPr>
        <w:tabs>
          <w:tab w:val="left" w:pos="1799"/>
        </w:tabs>
        <w:ind w:right="763"/>
      </w:pPr>
      <w:r>
        <w:t>The</w:t>
      </w:r>
      <w:r>
        <w:rPr>
          <w:spacing w:val="-3"/>
        </w:rPr>
        <w:t xml:space="preserve"> </w:t>
      </w:r>
      <w:r>
        <w:t>objectives</w:t>
      </w:r>
      <w:r>
        <w:rPr>
          <w:spacing w:val="-3"/>
        </w:rPr>
        <w:t xml:space="preserve"> </w:t>
      </w:r>
      <w:r>
        <w:t>of</w:t>
      </w:r>
      <w:r>
        <w:rPr>
          <w:spacing w:val="-3"/>
        </w:rPr>
        <w:t xml:space="preserve"> </w:t>
      </w:r>
      <w:r>
        <w:t>the</w:t>
      </w:r>
      <w:r>
        <w:rPr>
          <w:spacing w:val="-3"/>
        </w:rPr>
        <w:t xml:space="preserve"> </w:t>
      </w:r>
      <w:r>
        <w:t>auditor</w:t>
      </w:r>
      <w:r>
        <w:rPr>
          <w:spacing w:val="-3"/>
        </w:rPr>
        <w:t xml:space="preserve"> </w:t>
      </w:r>
      <w:r>
        <w:t>are</w:t>
      </w:r>
      <w:r>
        <w:rPr>
          <w:spacing w:val="-3"/>
        </w:rPr>
        <w:t xml:space="preserve"> </w:t>
      </w:r>
      <w:r>
        <w:t>to</w:t>
      </w:r>
      <w:r>
        <w:rPr>
          <w:spacing w:val="-4"/>
        </w:rPr>
        <w:t xml:space="preserve"> </w:t>
      </w:r>
      <w:r>
        <w:t>determine</w:t>
      </w:r>
      <w:r>
        <w:rPr>
          <w:spacing w:val="-3"/>
        </w:rPr>
        <w:t xml:space="preserve"> </w:t>
      </w:r>
      <w:r>
        <w:t>whether</w:t>
      </w:r>
      <w:r>
        <w:rPr>
          <w:spacing w:val="-3"/>
        </w:rPr>
        <w:t xml:space="preserve"> </w:t>
      </w:r>
      <w:r>
        <w:t>to</w:t>
      </w:r>
      <w:r>
        <w:rPr>
          <w:spacing w:val="-3"/>
        </w:rPr>
        <w:t xml:space="preserve"> </w:t>
      </w:r>
      <w:r>
        <w:t>act</w:t>
      </w:r>
      <w:r>
        <w:rPr>
          <w:spacing w:val="-4"/>
        </w:rPr>
        <w:t xml:space="preserve"> </w:t>
      </w:r>
      <w:r>
        <w:t>as</w:t>
      </w:r>
      <w:r>
        <w:rPr>
          <w:spacing w:val="-3"/>
        </w:rPr>
        <w:t xml:space="preserve"> </w:t>
      </w:r>
      <w:r>
        <w:t>the</w:t>
      </w:r>
      <w:r>
        <w:rPr>
          <w:spacing w:val="-3"/>
        </w:rPr>
        <w:t xml:space="preserve"> </w:t>
      </w:r>
      <w:r>
        <w:t>auditor</w:t>
      </w:r>
      <w:r>
        <w:rPr>
          <w:spacing w:val="-3"/>
        </w:rPr>
        <w:t xml:space="preserve"> </w:t>
      </w:r>
      <w:r>
        <w:t>of</w:t>
      </w:r>
      <w:r>
        <w:rPr>
          <w:spacing w:val="-3"/>
        </w:rPr>
        <w:t xml:space="preserve"> </w:t>
      </w:r>
      <w:r>
        <w:t>the group financial statements and, if so, to</w:t>
      </w:r>
    </w:p>
    <w:p w14:paraId="0DFDAD84" w14:textId="77777777" w:rsidR="00046465" w:rsidRDefault="008134EB">
      <w:pPr>
        <w:pStyle w:val="ListParagraph"/>
        <w:numPr>
          <w:ilvl w:val="1"/>
          <w:numId w:val="17"/>
        </w:numPr>
        <w:tabs>
          <w:tab w:val="left" w:pos="2159"/>
        </w:tabs>
        <w:spacing w:before="119"/>
        <w:ind w:right="929"/>
      </w:pPr>
      <w:r>
        <w:t>determine</w:t>
      </w:r>
      <w:r>
        <w:rPr>
          <w:spacing w:val="-4"/>
        </w:rPr>
        <w:t xml:space="preserve"> </w:t>
      </w:r>
      <w:r>
        <w:t>whether</w:t>
      </w:r>
      <w:r>
        <w:rPr>
          <w:spacing w:val="-4"/>
        </w:rPr>
        <w:t xml:space="preserve"> </w:t>
      </w:r>
      <w:r>
        <w:t>to</w:t>
      </w:r>
      <w:r>
        <w:rPr>
          <w:spacing w:val="-4"/>
        </w:rPr>
        <w:t xml:space="preserve"> </w:t>
      </w:r>
      <w:r>
        <w:t>make</w:t>
      </w:r>
      <w:r>
        <w:rPr>
          <w:spacing w:val="-4"/>
        </w:rPr>
        <w:t xml:space="preserve"> </w:t>
      </w:r>
      <w:r>
        <w:t>reference</w:t>
      </w:r>
      <w:r>
        <w:rPr>
          <w:spacing w:val="-4"/>
        </w:rPr>
        <w:t xml:space="preserve"> </w:t>
      </w:r>
      <w:r>
        <w:t>to</w:t>
      </w:r>
      <w:r>
        <w:rPr>
          <w:spacing w:val="-4"/>
        </w:rPr>
        <w:t xml:space="preserve"> </w:t>
      </w:r>
      <w:r>
        <w:t>the</w:t>
      </w:r>
      <w:r>
        <w:rPr>
          <w:spacing w:val="-4"/>
        </w:rPr>
        <w:t xml:space="preserve"> </w:t>
      </w:r>
      <w:r>
        <w:t>audit</w:t>
      </w:r>
      <w:r>
        <w:rPr>
          <w:spacing w:val="-4"/>
        </w:rPr>
        <w:t xml:space="preserve"> </w:t>
      </w:r>
      <w:r>
        <w:t>of</w:t>
      </w:r>
      <w:r>
        <w:rPr>
          <w:spacing w:val="-4"/>
        </w:rPr>
        <w:t xml:space="preserve"> </w:t>
      </w:r>
      <w:r>
        <w:t>a</w:t>
      </w:r>
      <w:r>
        <w:rPr>
          <w:spacing w:val="-4"/>
        </w:rPr>
        <w:t xml:space="preserve"> </w:t>
      </w:r>
      <w:r>
        <w:t>component</w:t>
      </w:r>
      <w:r>
        <w:rPr>
          <w:spacing w:val="-4"/>
        </w:rPr>
        <w:t xml:space="preserve"> </w:t>
      </w:r>
      <w:r>
        <w:t>auditor</w:t>
      </w:r>
      <w:r>
        <w:rPr>
          <w:spacing w:val="-5"/>
        </w:rPr>
        <w:t xml:space="preserve"> </w:t>
      </w:r>
      <w:r>
        <w:t>in the auditor’s report on the group financial statements;</w:t>
      </w:r>
    </w:p>
    <w:p w14:paraId="0DFDAD85" w14:textId="77777777" w:rsidR="00046465" w:rsidRDefault="008134EB">
      <w:pPr>
        <w:pStyle w:val="ListParagraph"/>
        <w:numPr>
          <w:ilvl w:val="1"/>
          <w:numId w:val="17"/>
        </w:numPr>
        <w:tabs>
          <w:tab w:val="left" w:pos="2158"/>
        </w:tabs>
        <w:spacing w:before="121"/>
        <w:ind w:left="2158" w:hanging="359"/>
      </w:pPr>
      <w:r>
        <w:t>communicate</w:t>
      </w:r>
      <w:r>
        <w:rPr>
          <w:spacing w:val="-10"/>
        </w:rPr>
        <w:t xml:space="preserve"> </w:t>
      </w:r>
      <w:r>
        <w:t>clearly</w:t>
      </w:r>
      <w:r>
        <w:rPr>
          <w:spacing w:val="-10"/>
        </w:rPr>
        <w:t xml:space="preserve"> </w:t>
      </w:r>
      <w:r>
        <w:t>with</w:t>
      </w:r>
      <w:r>
        <w:rPr>
          <w:spacing w:val="-10"/>
        </w:rPr>
        <w:t xml:space="preserve"> </w:t>
      </w:r>
      <w:r>
        <w:t>component</w:t>
      </w:r>
      <w:r>
        <w:rPr>
          <w:spacing w:val="-9"/>
        </w:rPr>
        <w:t xml:space="preserve"> </w:t>
      </w:r>
      <w:r>
        <w:t>auditors;</w:t>
      </w:r>
      <w:r>
        <w:rPr>
          <w:spacing w:val="-10"/>
        </w:rPr>
        <w:t xml:space="preserve"> </w:t>
      </w:r>
      <w:r>
        <w:rPr>
          <w:spacing w:val="-5"/>
        </w:rPr>
        <w:t>and</w:t>
      </w:r>
    </w:p>
    <w:p w14:paraId="0DFDAD86" w14:textId="77777777" w:rsidR="00046465" w:rsidRDefault="008134EB">
      <w:pPr>
        <w:pStyle w:val="ListParagraph"/>
        <w:numPr>
          <w:ilvl w:val="1"/>
          <w:numId w:val="17"/>
        </w:numPr>
        <w:tabs>
          <w:tab w:val="left" w:pos="2159"/>
        </w:tabs>
        <w:ind w:right="722"/>
      </w:pPr>
      <w:r>
        <w:t>obtain</w:t>
      </w:r>
      <w:r>
        <w:rPr>
          <w:spacing w:val="-5"/>
        </w:rPr>
        <w:t xml:space="preserve"> </w:t>
      </w:r>
      <w:r>
        <w:t>sufficient</w:t>
      </w:r>
      <w:r>
        <w:rPr>
          <w:spacing w:val="-5"/>
        </w:rPr>
        <w:t xml:space="preserve"> </w:t>
      </w:r>
      <w:r>
        <w:t>appropriate</w:t>
      </w:r>
      <w:r>
        <w:rPr>
          <w:spacing w:val="-5"/>
        </w:rPr>
        <w:t xml:space="preserve"> </w:t>
      </w:r>
      <w:r>
        <w:t>audit</w:t>
      </w:r>
      <w:r>
        <w:rPr>
          <w:spacing w:val="-5"/>
        </w:rPr>
        <w:t xml:space="preserve"> </w:t>
      </w:r>
      <w:r>
        <w:t>evidence</w:t>
      </w:r>
      <w:r>
        <w:rPr>
          <w:spacing w:val="-5"/>
        </w:rPr>
        <w:t xml:space="preserve"> </w:t>
      </w:r>
      <w:r>
        <w:t>regarding</w:t>
      </w:r>
      <w:r>
        <w:rPr>
          <w:spacing w:val="-5"/>
        </w:rPr>
        <w:t xml:space="preserve"> </w:t>
      </w:r>
      <w:r>
        <w:t>the</w:t>
      </w:r>
      <w:r>
        <w:rPr>
          <w:spacing w:val="-5"/>
        </w:rPr>
        <w:t xml:space="preserve"> </w:t>
      </w:r>
      <w:r>
        <w:t>financial</w:t>
      </w:r>
      <w:r>
        <w:rPr>
          <w:spacing w:val="-5"/>
        </w:rPr>
        <w:t xml:space="preserve"> </w:t>
      </w:r>
      <w:r>
        <w:t>information of</w:t>
      </w:r>
      <w:r>
        <w:rPr>
          <w:spacing w:val="-3"/>
        </w:rPr>
        <w:t xml:space="preserve"> </w:t>
      </w:r>
      <w:r>
        <w:t>the</w:t>
      </w:r>
      <w:r>
        <w:rPr>
          <w:spacing w:val="-3"/>
        </w:rPr>
        <w:t xml:space="preserve"> </w:t>
      </w:r>
      <w:r>
        <w:t>components</w:t>
      </w:r>
      <w:r>
        <w:rPr>
          <w:spacing w:val="-3"/>
        </w:rPr>
        <w:t xml:space="preserve"> </w:t>
      </w:r>
      <w:r>
        <w:t>and</w:t>
      </w:r>
      <w:r>
        <w:rPr>
          <w:spacing w:val="-3"/>
        </w:rPr>
        <w:t xml:space="preserve"> </w:t>
      </w:r>
      <w:r>
        <w:t>the</w:t>
      </w:r>
      <w:r>
        <w:rPr>
          <w:spacing w:val="-3"/>
        </w:rPr>
        <w:t xml:space="preserve"> </w:t>
      </w:r>
      <w:r>
        <w:t>consolidation</w:t>
      </w:r>
      <w:r>
        <w:rPr>
          <w:spacing w:val="-3"/>
        </w:rPr>
        <w:t xml:space="preserve"> </w:t>
      </w:r>
      <w:r>
        <w:t>process</w:t>
      </w:r>
      <w:r>
        <w:rPr>
          <w:spacing w:val="-3"/>
        </w:rPr>
        <w:t xml:space="preserve"> </w:t>
      </w:r>
      <w:r>
        <w:t>to</w:t>
      </w:r>
      <w:r>
        <w:rPr>
          <w:spacing w:val="-3"/>
        </w:rPr>
        <w:t xml:space="preserve"> </w:t>
      </w:r>
      <w:r>
        <w:t>express</w:t>
      </w:r>
      <w:r>
        <w:rPr>
          <w:spacing w:val="-4"/>
        </w:rPr>
        <w:t xml:space="preserve"> </w:t>
      </w:r>
      <w:r>
        <w:t>an</w:t>
      </w:r>
      <w:r>
        <w:rPr>
          <w:spacing w:val="-3"/>
        </w:rPr>
        <w:t xml:space="preserve"> </w:t>
      </w:r>
      <w:r>
        <w:t>opinion</w:t>
      </w:r>
      <w:r>
        <w:rPr>
          <w:spacing w:val="-4"/>
        </w:rPr>
        <w:t xml:space="preserve"> </w:t>
      </w:r>
      <w:r>
        <w:t>about whether the group financial statements are prepared, in all material respects, in accordance with the applicable financial reporting framework (generally U.S. GAAP).</w:t>
      </w:r>
    </w:p>
    <w:p w14:paraId="0DFDAD87" w14:textId="77777777" w:rsidR="00046465" w:rsidRDefault="008134EB">
      <w:pPr>
        <w:pStyle w:val="ListParagraph"/>
        <w:numPr>
          <w:ilvl w:val="0"/>
          <w:numId w:val="17"/>
        </w:numPr>
        <w:tabs>
          <w:tab w:val="left" w:pos="1799"/>
        </w:tabs>
        <w:ind w:hanging="720"/>
      </w:pPr>
      <w:r>
        <w:t>The</w:t>
      </w:r>
      <w:r>
        <w:rPr>
          <w:spacing w:val="-7"/>
        </w:rPr>
        <w:t xml:space="preserve"> </w:t>
      </w:r>
      <w:r>
        <w:t>group</w:t>
      </w:r>
      <w:r>
        <w:rPr>
          <w:spacing w:val="-6"/>
        </w:rPr>
        <w:t xml:space="preserve"> </w:t>
      </w:r>
      <w:r>
        <w:t>engagement</w:t>
      </w:r>
      <w:r>
        <w:rPr>
          <w:spacing w:val="-6"/>
        </w:rPr>
        <w:t xml:space="preserve"> </w:t>
      </w:r>
      <w:r>
        <w:t>partner</w:t>
      </w:r>
      <w:r>
        <w:rPr>
          <w:spacing w:val="-7"/>
        </w:rPr>
        <w:t xml:space="preserve"> </w:t>
      </w:r>
      <w:r>
        <w:t>is</w:t>
      </w:r>
      <w:r>
        <w:rPr>
          <w:spacing w:val="-6"/>
        </w:rPr>
        <w:t xml:space="preserve"> </w:t>
      </w:r>
      <w:r>
        <w:t>responsible</w:t>
      </w:r>
      <w:r>
        <w:rPr>
          <w:spacing w:val="-7"/>
        </w:rPr>
        <w:t xml:space="preserve"> </w:t>
      </w:r>
      <w:r>
        <w:t>for</w:t>
      </w:r>
      <w:r>
        <w:rPr>
          <w:spacing w:val="-5"/>
        </w:rPr>
        <w:t xml:space="preserve"> </w:t>
      </w:r>
      <w:r>
        <w:t>the</w:t>
      </w:r>
      <w:r>
        <w:rPr>
          <w:spacing w:val="-7"/>
        </w:rPr>
        <w:t xml:space="preserve"> </w:t>
      </w:r>
      <w:r>
        <w:rPr>
          <w:spacing w:val="-2"/>
        </w:rPr>
        <w:t>following:</w:t>
      </w:r>
    </w:p>
    <w:p w14:paraId="0DFDAD88" w14:textId="77777777" w:rsidR="00046465" w:rsidRDefault="008134EB">
      <w:pPr>
        <w:pStyle w:val="ListParagraph"/>
        <w:numPr>
          <w:ilvl w:val="1"/>
          <w:numId w:val="17"/>
        </w:numPr>
        <w:tabs>
          <w:tab w:val="left" w:pos="2159"/>
        </w:tabs>
        <w:ind w:right="1333"/>
      </w:pPr>
      <w:r>
        <w:t>directing, supervising, and performing the group audit engagement in compliance</w:t>
      </w:r>
      <w:r>
        <w:rPr>
          <w:spacing w:val="-7"/>
        </w:rPr>
        <w:t xml:space="preserve"> </w:t>
      </w:r>
      <w:r>
        <w:t>with</w:t>
      </w:r>
      <w:r>
        <w:rPr>
          <w:spacing w:val="-6"/>
        </w:rPr>
        <w:t xml:space="preserve"> </w:t>
      </w:r>
      <w:r>
        <w:t>professional</w:t>
      </w:r>
      <w:r>
        <w:rPr>
          <w:spacing w:val="-6"/>
        </w:rPr>
        <w:t xml:space="preserve"> </w:t>
      </w:r>
      <w:r>
        <w:t>standards,</w:t>
      </w:r>
      <w:r>
        <w:rPr>
          <w:spacing w:val="-6"/>
        </w:rPr>
        <w:t xml:space="preserve"> </w:t>
      </w:r>
      <w:r>
        <w:t>applicable</w:t>
      </w:r>
      <w:r>
        <w:rPr>
          <w:spacing w:val="-6"/>
        </w:rPr>
        <w:t xml:space="preserve"> </w:t>
      </w:r>
      <w:r>
        <w:t>legal</w:t>
      </w:r>
      <w:r>
        <w:rPr>
          <w:spacing w:val="-6"/>
        </w:rPr>
        <w:t xml:space="preserve"> </w:t>
      </w:r>
      <w:r>
        <w:t>and</w:t>
      </w:r>
      <w:r>
        <w:rPr>
          <w:spacing w:val="-6"/>
        </w:rPr>
        <w:t xml:space="preserve"> </w:t>
      </w:r>
      <w:r>
        <w:t>regulatory requirements, and the audit entity’s policies and procedures and</w:t>
      </w:r>
    </w:p>
    <w:p w14:paraId="0DFDAD89" w14:textId="77777777" w:rsidR="00046465" w:rsidRDefault="008134EB">
      <w:pPr>
        <w:pStyle w:val="ListParagraph"/>
        <w:numPr>
          <w:ilvl w:val="1"/>
          <w:numId w:val="17"/>
        </w:numPr>
        <w:tabs>
          <w:tab w:val="left" w:pos="2159"/>
        </w:tabs>
        <w:spacing w:before="119"/>
        <w:ind w:right="1075"/>
      </w:pPr>
      <w:r>
        <w:t>determining</w:t>
      </w:r>
      <w:r>
        <w:rPr>
          <w:spacing w:val="-4"/>
        </w:rPr>
        <w:t xml:space="preserve"> </w:t>
      </w:r>
      <w:r>
        <w:t>whether</w:t>
      </w:r>
      <w:r>
        <w:rPr>
          <w:spacing w:val="-4"/>
        </w:rPr>
        <w:t xml:space="preserve"> </w:t>
      </w:r>
      <w:r>
        <w:t>the</w:t>
      </w:r>
      <w:r>
        <w:rPr>
          <w:spacing w:val="-4"/>
        </w:rPr>
        <w:t xml:space="preserve"> </w:t>
      </w:r>
      <w:r>
        <w:t>group</w:t>
      </w:r>
      <w:r>
        <w:rPr>
          <w:spacing w:val="-4"/>
        </w:rPr>
        <w:t xml:space="preserve"> </w:t>
      </w:r>
      <w:r>
        <w:t>auditor’s</w:t>
      </w:r>
      <w:r>
        <w:rPr>
          <w:spacing w:val="-4"/>
        </w:rPr>
        <w:t xml:space="preserve"> </w:t>
      </w:r>
      <w:r>
        <w:t>report</w:t>
      </w:r>
      <w:r>
        <w:rPr>
          <w:spacing w:val="-4"/>
        </w:rPr>
        <w:t xml:space="preserve"> </w:t>
      </w:r>
      <w:r>
        <w:t>issued</w:t>
      </w:r>
      <w:r>
        <w:rPr>
          <w:spacing w:val="-4"/>
        </w:rPr>
        <w:t xml:space="preserve"> </w:t>
      </w:r>
      <w:r>
        <w:t>is</w:t>
      </w:r>
      <w:r>
        <w:rPr>
          <w:spacing w:val="-4"/>
        </w:rPr>
        <w:t xml:space="preserve"> </w:t>
      </w:r>
      <w:r>
        <w:t>appropriate</w:t>
      </w:r>
      <w:r>
        <w:rPr>
          <w:spacing w:val="-4"/>
        </w:rPr>
        <w:t xml:space="preserve"> </w:t>
      </w:r>
      <w:r>
        <w:t>in</w:t>
      </w:r>
      <w:r>
        <w:rPr>
          <w:spacing w:val="-4"/>
        </w:rPr>
        <w:t xml:space="preserve"> </w:t>
      </w:r>
      <w:r>
        <w:t xml:space="preserve">the </w:t>
      </w:r>
      <w:r>
        <w:rPr>
          <w:spacing w:val="-2"/>
        </w:rPr>
        <w:t>circumstances.</w:t>
      </w:r>
    </w:p>
    <w:p w14:paraId="0DFDAD8A" w14:textId="77777777" w:rsidR="00046465" w:rsidRDefault="008134EB">
      <w:pPr>
        <w:pStyle w:val="ListParagraph"/>
        <w:numPr>
          <w:ilvl w:val="0"/>
          <w:numId w:val="17"/>
        </w:numPr>
        <w:tabs>
          <w:tab w:val="left" w:pos="1799"/>
        </w:tabs>
        <w:spacing w:before="121"/>
        <w:ind w:right="737"/>
      </w:pPr>
      <w:r>
        <w:t>The group engagement team may use the work of component auditors. In the federal</w:t>
      </w:r>
      <w:r>
        <w:rPr>
          <w:spacing w:val="-4"/>
        </w:rPr>
        <w:t xml:space="preserve"> </w:t>
      </w:r>
      <w:r>
        <w:t>environment,</w:t>
      </w:r>
      <w:r>
        <w:rPr>
          <w:spacing w:val="-4"/>
        </w:rPr>
        <w:t xml:space="preserve"> </w:t>
      </w:r>
      <w:r>
        <w:t>component</w:t>
      </w:r>
      <w:r>
        <w:rPr>
          <w:spacing w:val="-4"/>
        </w:rPr>
        <w:t xml:space="preserve"> </w:t>
      </w:r>
      <w:r>
        <w:t>auditors</w:t>
      </w:r>
      <w:r>
        <w:rPr>
          <w:spacing w:val="-4"/>
        </w:rPr>
        <w:t xml:space="preserve"> </w:t>
      </w:r>
      <w:r>
        <w:t>may</w:t>
      </w:r>
      <w:r>
        <w:rPr>
          <w:spacing w:val="-4"/>
        </w:rPr>
        <w:t xml:space="preserve"> </w:t>
      </w:r>
      <w:r>
        <w:t>be</w:t>
      </w:r>
      <w:r>
        <w:rPr>
          <w:spacing w:val="-4"/>
        </w:rPr>
        <w:t xml:space="preserve"> </w:t>
      </w:r>
      <w:r>
        <w:t>used</w:t>
      </w:r>
      <w:r>
        <w:rPr>
          <w:spacing w:val="-4"/>
        </w:rPr>
        <w:t xml:space="preserve"> </w:t>
      </w:r>
      <w:r>
        <w:t>in</w:t>
      </w:r>
      <w:r>
        <w:rPr>
          <w:spacing w:val="-4"/>
        </w:rPr>
        <w:t xml:space="preserve"> </w:t>
      </w:r>
      <w:r>
        <w:t>various</w:t>
      </w:r>
      <w:r>
        <w:rPr>
          <w:spacing w:val="-4"/>
        </w:rPr>
        <w:t xml:space="preserve"> </w:t>
      </w:r>
      <w:r>
        <w:t>situations,</w:t>
      </w:r>
      <w:r>
        <w:rPr>
          <w:spacing w:val="-4"/>
        </w:rPr>
        <w:t xml:space="preserve"> </w:t>
      </w:r>
      <w:r>
        <w:t>such as audits of individual bureaus, agencies, funds, or other components performed by either IGs or IPA firms.</w:t>
      </w:r>
    </w:p>
    <w:p w14:paraId="0DFDAD8B" w14:textId="77777777" w:rsidR="00046465" w:rsidRDefault="008134EB">
      <w:pPr>
        <w:pStyle w:val="Heading4"/>
        <w:spacing w:before="240"/>
      </w:pPr>
      <w:bookmarkStart w:id="46" w:name="Determining_Whether_to_Accept_and_Contin"/>
      <w:bookmarkEnd w:id="46"/>
      <w:r>
        <w:t>Determining</w:t>
      </w:r>
      <w:r>
        <w:rPr>
          <w:spacing w:val="-12"/>
        </w:rPr>
        <w:t xml:space="preserve"> </w:t>
      </w:r>
      <w:r>
        <w:t>Whether</w:t>
      </w:r>
      <w:r>
        <w:rPr>
          <w:spacing w:val="-11"/>
        </w:rPr>
        <w:t xml:space="preserve"> </w:t>
      </w:r>
      <w:r>
        <w:t>to</w:t>
      </w:r>
      <w:r>
        <w:rPr>
          <w:spacing w:val="-11"/>
        </w:rPr>
        <w:t xml:space="preserve"> </w:t>
      </w:r>
      <w:r>
        <w:t>Accept</w:t>
      </w:r>
      <w:r>
        <w:rPr>
          <w:spacing w:val="-11"/>
        </w:rPr>
        <w:t xml:space="preserve"> </w:t>
      </w:r>
      <w:r>
        <w:t>and</w:t>
      </w:r>
      <w:r>
        <w:rPr>
          <w:spacing w:val="-11"/>
        </w:rPr>
        <w:t xml:space="preserve"> </w:t>
      </w:r>
      <w:r>
        <w:rPr>
          <w:spacing w:val="-2"/>
        </w:rPr>
        <w:t>Continue</w:t>
      </w:r>
    </w:p>
    <w:p w14:paraId="0DFDAD8C" w14:textId="77777777" w:rsidR="00046465" w:rsidRDefault="008134EB">
      <w:pPr>
        <w:pStyle w:val="ListParagraph"/>
        <w:numPr>
          <w:ilvl w:val="0"/>
          <w:numId w:val="17"/>
        </w:numPr>
        <w:tabs>
          <w:tab w:val="left" w:pos="1800"/>
        </w:tabs>
        <w:spacing w:before="119"/>
        <w:ind w:left="1800" w:right="897"/>
      </w:pPr>
      <w:r>
        <w:t>The</w:t>
      </w:r>
      <w:r>
        <w:rPr>
          <w:spacing w:val="-5"/>
        </w:rPr>
        <w:t xml:space="preserve"> </w:t>
      </w:r>
      <w:r>
        <w:t>group</w:t>
      </w:r>
      <w:r>
        <w:rPr>
          <w:spacing w:val="-5"/>
        </w:rPr>
        <w:t xml:space="preserve"> </w:t>
      </w:r>
      <w:r>
        <w:t>engagement</w:t>
      </w:r>
      <w:r>
        <w:rPr>
          <w:spacing w:val="-5"/>
        </w:rPr>
        <w:t xml:space="preserve"> </w:t>
      </w:r>
      <w:r>
        <w:t>partner</w:t>
      </w:r>
      <w:r>
        <w:rPr>
          <w:spacing w:val="-5"/>
        </w:rPr>
        <w:t xml:space="preserve"> </w:t>
      </w:r>
      <w:r>
        <w:t>should</w:t>
      </w:r>
      <w:r>
        <w:rPr>
          <w:spacing w:val="-5"/>
        </w:rPr>
        <w:t xml:space="preserve"> </w:t>
      </w:r>
      <w:r>
        <w:t>determine</w:t>
      </w:r>
      <w:r>
        <w:rPr>
          <w:spacing w:val="-5"/>
        </w:rPr>
        <w:t xml:space="preserve"> </w:t>
      </w:r>
      <w:r>
        <w:t>whether</w:t>
      </w:r>
      <w:r>
        <w:rPr>
          <w:spacing w:val="-5"/>
        </w:rPr>
        <w:t xml:space="preserve"> </w:t>
      </w:r>
      <w:r>
        <w:t>sufficient</w:t>
      </w:r>
      <w:r>
        <w:rPr>
          <w:spacing w:val="-5"/>
        </w:rPr>
        <w:t xml:space="preserve"> </w:t>
      </w:r>
      <w:r>
        <w:t>appropriate audit evidence can reasonably be expected to be obtained regarding the consolidation</w:t>
      </w:r>
      <w:r>
        <w:rPr>
          <w:spacing w:val="-3"/>
        </w:rPr>
        <w:t xml:space="preserve"> </w:t>
      </w:r>
      <w:r>
        <w:t>process</w:t>
      </w:r>
      <w:r>
        <w:rPr>
          <w:spacing w:val="-3"/>
        </w:rPr>
        <w:t xml:space="preserve"> </w:t>
      </w:r>
      <w:r>
        <w:t>and</w:t>
      </w:r>
      <w:r>
        <w:rPr>
          <w:spacing w:val="-3"/>
        </w:rPr>
        <w:t xml:space="preserve"> </w:t>
      </w:r>
      <w:r>
        <w:t>the</w:t>
      </w:r>
      <w:r>
        <w:rPr>
          <w:spacing w:val="-3"/>
        </w:rPr>
        <w:t xml:space="preserve"> </w:t>
      </w:r>
      <w:r>
        <w:t>financial</w:t>
      </w:r>
      <w:r>
        <w:rPr>
          <w:spacing w:val="-3"/>
        </w:rPr>
        <w:t xml:space="preserve"> </w:t>
      </w:r>
      <w:r>
        <w:t>information</w:t>
      </w:r>
      <w:r>
        <w:rPr>
          <w:spacing w:val="-3"/>
        </w:rPr>
        <w:t xml:space="preserve"> </w:t>
      </w:r>
      <w:r>
        <w:t>of</w:t>
      </w:r>
      <w:r>
        <w:rPr>
          <w:spacing w:val="-3"/>
        </w:rPr>
        <w:t xml:space="preserve"> </w:t>
      </w:r>
      <w:r>
        <w:t>the</w:t>
      </w:r>
      <w:r>
        <w:rPr>
          <w:spacing w:val="-3"/>
        </w:rPr>
        <w:t xml:space="preserve"> </w:t>
      </w:r>
      <w:r>
        <w:t>components</w:t>
      </w:r>
      <w:r>
        <w:rPr>
          <w:spacing w:val="-3"/>
        </w:rPr>
        <w:t xml:space="preserve"> </w:t>
      </w:r>
      <w:r>
        <w:t>on</w:t>
      </w:r>
      <w:r>
        <w:rPr>
          <w:spacing w:val="-3"/>
        </w:rPr>
        <w:t xml:space="preserve"> </w:t>
      </w:r>
      <w:r>
        <w:t>which to base the group audit opinion. For this purpose, the group engagement team should obtain an understanding of the group, its components, and their</w:t>
      </w:r>
    </w:p>
    <w:p w14:paraId="0DFDAD8D" w14:textId="77777777" w:rsidR="00046465" w:rsidRDefault="008134EB">
      <w:pPr>
        <w:pStyle w:val="BodyText"/>
        <w:spacing w:before="209"/>
        <w:rPr>
          <w:sz w:val="20"/>
        </w:rPr>
      </w:pPr>
      <w:r>
        <w:rPr>
          <w:noProof/>
          <w:sz w:val="20"/>
        </w:rPr>
        <mc:AlternateContent>
          <mc:Choice Requires="wps">
            <w:drawing>
              <wp:anchor distT="0" distB="0" distL="0" distR="0" simplePos="0" relativeHeight="487603712" behindDoc="1" locked="0" layoutInCell="1" allowOverlap="1" wp14:anchorId="0DFDD551" wp14:editId="0DFDD552">
                <wp:simplePos x="0" y="0"/>
                <wp:positionH relativeFrom="page">
                  <wp:posOffset>914400</wp:posOffset>
                </wp:positionH>
                <wp:positionV relativeFrom="paragraph">
                  <wp:posOffset>294490</wp:posOffset>
                </wp:positionV>
                <wp:extent cx="1828800" cy="5715"/>
                <wp:effectExtent l="0" t="0" r="0" b="0"/>
                <wp:wrapTopAndBottom/>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635846" id="Graphic 172" o:spid="_x0000_s1026" style="position:absolute;margin-left:1in;margin-top:23.2pt;width:2in;height:.4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" path="m1828800,l,,,5321r1828800,l1828800,xe" fillcolor="black" stroked="f">
                <v:path arrowok="t"/>
                <w10:wrap type="topAndBottom" anchorx="page"/>
              </v:shape>
            </w:pict>
          </mc:Fallback>
        </mc:AlternateContent>
      </w:r>
    </w:p>
    <w:p w14:paraId="0DFDAD8E" w14:textId="77777777" w:rsidR="00046465" w:rsidRDefault="008134EB">
      <w:pPr>
        <w:spacing w:before="202" w:line="242" w:lineRule="auto"/>
        <w:ind w:left="360" w:right="844" w:hanging="1"/>
        <w:rPr>
          <w:sz w:val="18"/>
        </w:rPr>
      </w:pPr>
      <w:bookmarkStart w:id="47" w:name="_bookmark13"/>
      <w:bookmarkEnd w:id="47"/>
      <w:r>
        <w:rPr>
          <w:position w:val="7"/>
          <w:sz w:val="14"/>
        </w:rPr>
        <w:t>8</w:t>
      </w:r>
      <w:r>
        <w:rPr>
          <w:sz w:val="18"/>
        </w:rPr>
        <w:t>A group audit is the audit of group financial statements. Group financial statements are defined as financial statements</w:t>
      </w:r>
      <w:r>
        <w:rPr>
          <w:spacing w:val="-3"/>
          <w:sz w:val="18"/>
        </w:rPr>
        <w:t xml:space="preserve"> </w:t>
      </w:r>
      <w:r>
        <w:rPr>
          <w:sz w:val="18"/>
        </w:rPr>
        <w:t>that</w:t>
      </w:r>
      <w:r>
        <w:rPr>
          <w:spacing w:val="-3"/>
          <w:sz w:val="18"/>
        </w:rPr>
        <w:t xml:space="preserve"> </w:t>
      </w:r>
      <w:r>
        <w:rPr>
          <w:sz w:val="18"/>
        </w:rPr>
        <w:t>include</w:t>
      </w:r>
      <w:r>
        <w:rPr>
          <w:spacing w:val="-4"/>
          <w:sz w:val="18"/>
        </w:rPr>
        <w:t xml:space="preserve"> </w:t>
      </w:r>
      <w:r>
        <w:rPr>
          <w:sz w:val="18"/>
        </w:rPr>
        <w:t>the</w:t>
      </w:r>
      <w:r>
        <w:rPr>
          <w:spacing w:val="-4"/>
          <w:sz w:val="18"/>
        </w:rPr>
        <w:t xml:space="preserve"> </w:t>
      </w:r>
      <w:r>
        <w:rPr>
          <w:sz w:val="18"/>
        </w:rPr>
        <w:t>financial</w:t>
      </w:r>
      <w:r>
        <w:rPr>
          <w:spacing w:val="-3"/>
          <w:sz w:val="18"/>
        </w:rPr>
        <w:t xml:space="preserve"> </w:t>
      </w:r>
      <w:r>
        <w:rPr>
          <w:sz w:val="18"/>
        </w:rPr>
        <w:t>information</w:t>
      </w:r>
      <w:r>
        <w:rPr>
          <w:spacing w:val="-4"/>
          <w:sz w:val="18"/>
        </w:rPr>
        <w:t xml:space="preserve"> </w:t>
      </w:r>
      <w:r>
        <w:rPr>
          <w:sz w:val="18"/>
        </w:rPr>
        <w:t>of</w:t>
      </w:r>
      <w:r>
        <w:rPr>
          <w:spacing w:val="-3"/>
          <w:sz w:val="18"/>
        </w:rPr>
        <w:t xml:space="preserve"> </w:t>
      </w:r>
      <w:r>
        <w:rPr>
          <w:sz w:val="18"/>
        </w:rPr>
        <w:t>more</w:t>
      </w:r>
      <w:r>
        <w:rPr>
          <w:spacing w:val="-4"/>
          <w:sz w:val="18"/>
        </w:rPr>
        <w:t xml:space="preserve"> </w:t>
      </w:r>
      <w:r>
        <w:rPr>
          <w:sz w:val="18"/>
        </w:rPr>
        <w:t>than</w:t>
      </w:r>
      <w:r>
        <w:rPr>
          <w:spacing w:val="-4"/>
          <w:sz w:val="18"/>
        </w:rPr>
        <w:t xml:space="preserve"> </w:t>
      </w:r>
      <w:r>
        <w:rPr>
          <w:sz w:val="18"/>
        </w:rPr>
        <w:t>one</w:t>
      </w:r>
      <w:r>
        <w:rPr>
          <w:spacing w:val="-4"/>
          <w:sz w:val="18"/>
        </w:rPr>
        <w:t xml:space="preserve"> </w:t>
      </w:r>
      <w:r>
        <w:rPr>
          <w:sz w:val="18"/>
        </w:rPr>
        <w:t>component.</w:t>
      </w:r>
      <w:r>
        <w:rPr>
          <w:spacing w:val="-3"/>
          <w:sz w:val="18"/>
        </w:rPr>
        <w:t xml:space="preserve"> </w:t>
      </w:r>
      <w:r>
        <w:rPr>
          <w:sz w:val="18"/>
        </w:rPr>
        <w:t>Group</w:t>
      </w:r>
      <w:r>
        <w:rPr>
          <w:spacing w:val="-4"/>
          <w:sz w:val="18"/>
        </w:rPr>
        <w:t xml:space="preserve"> </w:t>
      </w:r>
      <w:r>
        <w:rPr>
          <w:sz w:val="18"/>
        </w:rPr>
        <w:t>financial</w:t>
      </w:r>
      <w:r>
        <w:rPr>
          <w:spacing w:val="-3"/>
          <w:sz w:val="18"/>
        </w:rPr>
        <w:t xml:space="preserve"> </w:t>
      </w:r>
      <w:r>
        <w:rPr>
          <w:sz w:val="18"/>
        </w:rPr>
        <w:t>statements</w:t>
      </w:r>
      <w:r>
        <w:rPr>
          <w:spacing w:val="-3"/>
          <w:sz w:val="18"/>
        </w:rPr>
        <w:t xml:space="preserve"> </w:t>
      </w:r>
      <w:r>
        <w:rPr>
          <w:sz w:val="18"/>
        </w:rPr>
        <w:t>also</w:t>
      </w:r>
      <w:r>
        <w:rPr>
          <w:spacing w:val="-4"/>
          <w:sz w:val="18"/>
        </w:rPr>
        <w:t xml:space="preserve"> </w:t>
      </w:r>
      <w:r>
        <w:rPr>
          <w:sz w:val="18"/>
        </w:rPr>
        <w:t>refer to combined financial statements aggregating the financial information prepared by components that are under common control. (AU-C 600A.11)</w:t>
      </w:r>
    </w:p>
    <w:p w14:paraId="0DFDAD8F" w14:textId="77777777" w:rsidR="00046465" w:rsidRDefault="00046465">
      <w:pPr>
        <w:spacing w:line="242" w:lineRule="auto"/>
        <w:rPr>
          <w:sz w:val="18"/>
        </w:rPr>
        <w:sectPr w:rsidR="00046465">
          <w:headerReference w:type="default" r:id="rId46"/>
          <w:footerReference w:type="default" r:id="rId47"/>
          <w:pgSz w:w="12240" w:h="15840"/>
          <w:pgMar w:top="1340" w:right="720" w:bottom="940" w:left="1080" w:header="721" w:footer="757" w:gutter="0"/>
          <w:cols w:space="720"/>
        </w:sectPr>
      </w:pPr>
    </w:p>
    <w:p w14:paraId="0DFDAD90" w14:textId="77777777" w:rsidR="00046465" w:rsidRDefault="008134EB">
      <w:pPr>
        <w:pStyle w:val="BodyText"/>
        <w:spacing w:before="121"/>
        <w:ind w:left="1800" w:right="749"/>
      </w:pPr>
      <w:r>
        <w:lastRenderedPageBreak/>
        <w:t>environments</w:t>
      </w:r>
      <w:r>
        <w:rPr>
          <w:spacing w:val="-4"/>
        </w:rPr>
        <w:t xml:space="preserve"> </w:t>
      </w:r>
      <w:r>
        <w:t>that</w:t>
      </w:r>
      <w:r>
        <w:rPr>
          <w:spacing w:val="-4"/>
        </w:rPr>
        <w:t xml:space="preserve"> </w:t>
      </w:r>
      <w:r>
        <w:t>is</w:t>
      </w:r>
      <w:r>
        <w:rPr>
          <w:spacing w:val="-5"/>
        </w:rPr>
        <w:t xml:space="preserve"> </w:t>
      </w:r>
      <w:r>
        <w:t>sufficient</w:t>
      </w:r>
      <w:r>
        <w:rPr>
          <w:spacing w:val="-4"/>
        </w:rPr>
        <w:t xml:space="preserve"> </w:t>
      </w:r>
      <w:r>
        <w:t>to</w:t>
      </w:r>
      <w:r>
        <w:rPr>
          <w:spacing w:val="-4"/>
        </w:rPr>
        <w:t xml:space="preserve"> </w:t>
      </w:r>
      <w:r>
        <w:t>identify</w:t>
      </w:r>
      <w:r>
        <w:rPr>
          <w:spacing w:val="-4"/>
        </w:rPr>
        <w:t xml:space="preserve"> </w:t>
      </w:r>
      <w:r>
        <w:t>components</w:t>
      </w:r>
      <w:r>
        <w:rPr>
          <w:spacing w:val="-4"/>
        </w:rPr>
        <w:t xml:space="preserve"> </w:t>
      </w:r>
      <w:r>
        <w:t>that</w:t>
      </w:r>
      <w:r>
        <w:rPr>
          <w:spacing w:val="-4"/>
        </w:rPr>
        <w:t xml:space="preserve"> </w:t>
      </w:r>
      <w:r>
        <w:t>are</w:t>
      </w:r>
      <w:r>
        <w:rPr>
          <w:spacing w:val="-5"/>
        </w:rPr>
        <w:t xml:space="preserve"> </w:t>
      </w:r>
      <w:r>
        <w:t>likely</w:t>
      </w:r>
      <w:r>
        <w:rPr>
          <w:spacing w:val="-4"/>
        </w:rPr>
        <w:t xml:space="preserve"> </w:t>
      </w:r>
      <w:r>
        <w:t>to</w:t>
      </w:r>
      <w:r>
        <w:rPr>
          <w:spacing w:val="-4"/>
        </w:rPr>
        <w:t xml:space="preserve"> </w:t>
      </w:r>
      <w:r>
        <w:t>be significant components (AU-C 600A.14).</w:t>
      </w:r>
    </w:p>
    <w:p w14:paraId="0DFDAD91" w14:textId="77777777" w:rsidR="00046465" w:rsidRDefault="008134EB">
      <w:pPr>
        <w:pStyle w:val="ListParagraph"/>
        <w:numPr>
          <w:ilvl w:val="0"/>
          <w:numId w:val="17"/>
        </w:numPr>
        <w:tabs>
          <w:tab w:val="left" w:pos="1800"/>
        </w:tabs>
        <w:spacing w:before="119"/>
        <w:ind w:left="1800" w:right="731"/>
      </w:pPr>
      <w:r>
        <w:t>The group engagement partner should evaluate whether the group engagement team will be able to obtain sufficient appropriate audit evidence through the</w:t>
      </w:r>
      <w:r>
        <w:rPr>
          <w:spacing w:val="40"/>
        </w:rPr>
        <w:t xml:space="preserve"> </w:t>
      </w:r>
      <w:r>
        <w:t>group</w:t>
      </w:r>
      <w:r>
        <w:rPr>
          <w:spacing w:val="-3"/>
        </w:rPr>
        <w:t xml:space="preserve"> </w:t>
      </w:r>
      <w:r>
        <w:t>engagement</w:t>
      </w:r>
      <w:r>
        <w:rPr>
          <w:spacing w:val="-3"/>
        </w:rPr>
        <w:t xml:space="preserve"> </w:t>
      </w:r>
      <w:r>
        <w:t>team's</w:t>
      </w:r>
      <w:r>
        <w:rPr>
          <w:spacing w:val="-3"/>
        </w:rPr>
        <w:t xml:space="preserve"> </w:t>
      </w:r>
      <w:r>
        <w:t>work</w:t>
      </w:r>
      <w:r>
        <w:rPr>
          <w:spacing w:val="-3"/>
        </w:rPr>
        <w:t xml:space="preserve"> </w:t>
      </w:r>
      <w:r>
        <w:t>or</w:t>
      </w:r>
      <w:r>
        <w:rPr>
          <w:spacing w:val="-3"/>
        </w:rPr>
        <w:t xml:space="preserve"> </w:t>
      </w:r>
      <w:r>
        <w:t>use</w:t>
      </w:r>
      <w:r>
        <w:rPr>
          <w:spacing w:val="-3"/>
        </w:rPr>
        <w:t xml:space="preserve"> </w:t>
      </w:r>
      <w:r>
        <w:t>of</w:t>
      </w:r>
      <w:r>
        <w:rPr>
          <w:spacing w:val="-3"/>
        </w:rPr>
        <w:t xml:space="preserve"> </w:t>
      </w:r>
      <w:r>
        <w:t>the</w:t>
      </w:r>
      <w:r>
        <w:rPr>
          <w:spacing w:val="-3"/>
        </w:rPr>
        <w:t xml:space="preserve"> </w:t>
      </w:r>
      <w:r>
        <w:t>work</w:t>
      </w:r>
      <w:r>
        <w:rPr>
          <w:spacing w:val="-3"/>
        </w:rPr>
        <w:t xml:space="preserve"> </w:t>
      </w:r>
      <w:r>
        <w:t>of</w:t>
      </w:r>
      <w:r>
        <w:rPr>
          <w:spacing w:val="-3"/>
        </w:rPr>
        <w:t xml:space="preserve"> </w:t>
      </w:r>
      <w:r>
        <w:t>component</w:t>
      </w:r>
      <w:r>
        <w:rPr>
          <w:spacing w:val="-3"/>
        </w:rPr>
        <w:t xml:space="preserve"> </w:t>
      </w:r>
      <w:r>
        <w:t>auditors</w:t>
      </w:r>
      <w:r>
        <w:rPr>
          <w:spacing w:val="-3"/>
        </w:rPr>
        <w:t xml:space="preserve"> </w:t>
      </w:r>
      <w:r>
        <w:t>(that</w:t>
      </w:r>
      <w:r>
        <w:rPr>
          <w:spacing w:val="-3"/>
        </w:rPr>
        <w:t xml:space="preserve"> </w:t>
      </w:r>
      <w:r>
        <w:t>is, through assuming responsibility for the work of component auditors or through making reference to the</w:t>
      </w:r>
      <w:r>
        <w:rPr>
          <w:spacing w:val="-1"/>
        </w:rPr>
        <w:t xml:space="preserve"> </w:t>
      </w:r>
      <w:r>
        <w:t>audit of a component auditor or report on internal</w:t>
      </w:r>
      <w:r>
        <w:rPr>
          <w:spacing w:val="-1"/>
        </w:rPr>
        <w:t xml:space="preserve"> </w:t>
      </w:r>
      <w:r>
        <w:t>control over financial reporting of a component auditor in the auditor’s report) to act as the auditor of the group financial statements and report as such on the group financial statements (AU-C 600A.15 and AU-C 940.78). Factors in determining whether</w:t>
      </w:r>
      <w:r>
        <w:rPr>
          <w:spacing w:val="-1"/>
        </w:rPr>
        <w:t xml:space="preserve"> </w:t>
      </w:r>
      <w:r>
        <w:t>the</w:t>
      </w:r>
      <w:r>
        <w:rPr>
          <w:spacing w:val="-1"/>
        </w:rPr>
        <w:t xml:space="preserve"> </w:t>
      </w:r>
      <w:r>
        <w:t>group</w:t>
      </w:r>
      <w:r>
        <w:rPr>
          <w:spacing w:val="-1"/>
        </w:rPr>
        <w:t xml:space="preserve"> </w:t>
      </w:r>
      <w:r>
        <w:t>engagement</w:t>
      </w:r>
      <w:r>
        <w:rPr>
          <w:spacing w:val="-1"/>
        </w:rPr>
        <w:t xml:space="preserve"> </w:t>
      </w:r>
      <w:r>
        <w:t>team</w:t>
      </w:r>
      <w:r>
        <w:rPr>
          <w:spacing w:val="-2"/>
        </w:rPr>
        <w:t xml:space="preserve"> </w:t>
      </w:r>
      <w:r>
        <w:t>can</w:t>
      </w:r>
      <w:r>
        <w:rPr>
          <w:spacing w:val="-1"/>
        </w:rPr>
        <w:t xml:space="preserve"> </w:t>
      </w:r>
      <w:r>
        <w:t>act</w:t>
      </w:r>
      <w:r>
        <w:rPr>
          <w:spacing w:val="-1"/>
        </w:rPr>
        <w:t xml:space="preserve"> </w:t>
      </w:r>
      <w:r>
        <w:t>as</w:t>
      </w:r>
      <w:r>
        <w:rPr>
          <w:spacing w:val="-1"/>
        </w:rPr>
        <w:t xml:space="preserve"> </w:t>
      </w:r>
      <w:r>
        <w:t>the</w:t>
      </w:r>
      <w:r>
        <w:rPr>
          <w:spacing w:val="-1"/>
        </w:rPr>
        <w:t xml:space="preserve"> </w:t>
      </w:r>
      <w:r>
        <w:t>auditor</w:t>
      </w:r>
      <w:r>
        <w:rPr>
          <w:spacing w:val="-2"/>
        </w:rPr>
        <w:t xml:space="preserve"> </w:t>
      </w:r>
      <w:r>
        <w:t>of</w:t>
      </w:r>
      <w:r>
        <w:rPr>
          <w:spacing w:val="-1"/>
        </w:rPr>
        <w:t xml:space="preserve"> </w:t>
      </w:r>
      <w:r>
        <w:t>the</w:t>
      </w:r>
      <w:r>
        <w:rPr>
          <w:spacing w:val="-1"/>
        </w:rPr>
        <w:t xml:space="preserve"> </w:t>
      </w:r>
      <w:r>
        <w:t>group</w:t>
      </w:r>
      <w:r>
        <w:rPr>
          <w:spacing w:val="-1"/>
        </w:rPr>
        <w:t xml:space="preserve"> </w:t>
      </w:r>
      <w:r>
        <w:t>financial statements include the financial significance of the components for which the group engagement team is assuming responsibility and the extent to which the group financial statements’ risks of material misstatement are included in those components (AU-C 600A.A18).</w:t>
      </w:r>
    </w:p>
    <w:p w14:paraId="0DFDAD92" w14:textId="77777777" w:rsidR="00046465" w:rsidRDefault="008134EB">
      <w:pPr>
        <w:pStyle w:val="ListParagraph"/>
        <w:numPr>
          <w:ilvl w:val="0"/>
          <w:numId w:val="17"/>
        </w:numPr>
        <w:tabs>
          <w:tab w:val="left" w:pos="1800"/>
        </w:tabs>
        <w:spacing w:before="121"/>
        <w:ind w:left="1800" w:right="775"/>
      </w:pPr>
      <w:r>
        <w:t>In some circumstances, the group engagement partner may conclude that it will not</w:t>
      </w:r>
      <w:r>
        <w:rPr>
          <w:spacing w:val="-4"/>
        </w:rPr>
        <w:t xml:space="preserve"> </w:t>
      </w:r>
      <w:r>
        <w:t>be</w:t>
      </w:r>
      <w:r>
        <w:rPr>
          <w:spacing w:val="-4"/>
        </w:rPr>
        <w:t xml:space="preserve"> </w:t>
      </w:r>
      <w:r>
        <w:t>possible,</w:t>
      </w:r>
      <w:r>
        <w:rPr>
          <w:spacing w:val="-4"/>
        </w:rPr>
        <w:t xml:space="preserve"> </w:t>
      </w:r>
      <w:r>
        <w:t>due</w:t>
      </w:r>
      <w:r>
        <w:rPr>
          <w:spacing w:val="-4"/>
        </w:rPr>
        <w:t xml:space="preserve"> </w:t>
      </w:r>
      <w:r>
        <w:t>to</w:t>
      </w:r>
      <w:r>
        <w:rPr>
          <w:spacing w:val="-4"/>
        </w:rPr>
        <w:t xml:space="preserve"> </w:t>
      </w:r>
      <w:r>
        <w:t>restrictions</w:t>
      </w:r>
      <w:r>
        <w:rPr>
          <w:spacing w:val="-4"/>
        </w:rPr>
        <w:t xml:space="preserve"> </w:t>
      </w:r>
      <w:r>
        <w:t>imposed</w:t>
      </w:r>
      <w:r>
        <w:rPr>
          <w:spacing w:val="-4"/>
        </w:rPr>
        <w:t xml:space="preserve"> </w:t>
      </w:r>
      <w:r>
        <w:t>by</w:t>
      </w:r>
      <w:r>
        <w:rPr>
          <w:spacing w:val="-4"/>
        </w:rPr>
        <w:t xml:space="preserve"> </w:t>
      </w:r>
      <w:r>
        <w:t>group</w:t>
      </w:r>
      <w:r>
        <w:rPr>
          <w:spacing w:val="-4"/>
        </w:rPr>
        <w:t xml:space="preserve"> </w:t>
      </w:r>
      <w:r>
        <w:t>management,</w:t>
      </w:r>
      <w:r>
        <w:rPr>
          <w:spacing w:val="-4"/>
        </w:rPr>
        <w:t xml:space="preserve"> </w:t>
      </w:r>
      <w:r>
        <w:t>for</w:t>
      </w:r>
      <w:r>
        <w:rPr>
          <w:spacing w:val="-4"/>
        </w:rPr>
        <w:t xml:space="preserve"> </w:t>
      </w:r>
      <w:r>
        <w:t>the</w:t>
      </w:r>
      <w:r>
        <w:rPr>
          <w:spacing w:val="-4"/>
        </w:rPr>
        <w:t xml:space="preserve"> </w:t>
      </w:r>
      <w:r>
        <w:t>group engagement team to obtain sufficient appropriate audit evidence through the group engagement team's work or use of component auditors’ work, and the possible effect of this inability will result in a disclaimer of opinion on the group financial statements. In such circumstances, the auditor of the group financial statements should refer to AU-C 600A.16.</w:t>
      </w:r>
    </w:p>
    <w:p w14:paraId="0DFDAD93" w14:textId="77777777" w:rsidR="00046465" w:rsidRDefault="008134EB">
      <w:pPr>
        <w:pStyle w:val="Heading4"/>
        <w:spacing w:before="240"/>
      </w:pPr>
      <w:bookmarkStart w:id="48" w:name="Overall_Audit_Strategy_and_Audit_Plan"/>
      <w:bookmarkEnd w:id="48"/>
      <w:r>
        <w:t>Overall</w:t>
      </w:r>
      <w:r>
        <w:rPr>
          <w:spacing w:val="-11"/>
        </w:rPr>
        <w:t xml:space="preserve"> </w:t>
      </w:r>
      <w:r>
        <w:t>Audit</w:t>
      </w:r>
      <w:r>
        <w:rPr>
          <w:spacing w:val="-10"/>
        </w:rPr>
        <w:t xml:space="preserve"> </w:t>
      </w:r>
      <w:r>
        <w:t>Strategy</w:t>
      </w:r>
      <w:r>
        <w:rPr>
          <w:spacing w:val="-9"/>
        </w:rPr>
        <w:t xml:space="preserve"> </w:t>
      </w:r>
      <w:r>
        <w:t>and</w:t>
      </w:r>
      <w:r>
        <w:rPr>
          <w:spacing w:val="-11"/>
        </w:rPr>
        <w:t xml:space="preserve"> </w:t>
      </w:r>
      <w:r>
        <w:t>Audit</w:t>
      </w:r>
      <w:r>
        <w:rPr>
          <w:spacing w:val="-9"/>
        </w:rPr>
        <w:t xml:space="preserve"> </w:t>
      </w:r>
      <w:r>
        <w:rPr>
          <w:spacing w:val="-4"/>
        </w:rPr>
        <w:t>Plan</w:t>
      </w:r>
    </w:p>
    <w:p w14:paraId="0DFDAD94" w14:textId="77777777" w:rsidR="00046465" w:rsidRDefault="008134EB">
      <w:pPr>
        <w:pStyle w:val="ListParagraph"/>
        <w:numPr>
          <w:ilvl w:val="0"/>
          <w:numId w:val="17"/>
        </w:numPr>
        <w:tabs>
          <w:tab w:val="left" w:pos="1800"/>
        </w:tabs>
        <w:ind w:left="1800" w:right="761"/>
      </w:pPr>
      <w:r>
        <w:t>The group engagement team should establish both an overall group audit strategy and a group audit plan. In developing the group audit plan, the group engagement team should assess the extent to which the group engagement team</w:t>
      </w:r>
      <w:r>
        <w:rPr>
          <w:spacing w:val="-4"/>
        </w:rPr>
        <w:t xml:space="preserve"> </w:t>
      </w:r>
      <w:r>
        <w:t>will</w:t>
      </w:r>
      <w:r>
        <w:rPr>
          <w:spacing w:val="-3"/>
        </w:rPr>
        <w:t xml:space="preserve"> </w:t>
      </w:r>
      <w:r>
        <w:t>use</w:t>
      </w:r>
      <w:r>
        <w:rPr>
          <w:spacing w:val="-3"/>
        </w:rPr>
        <w:t xml:space="preserve"> </w:t>
      </w:r>
      <w:r>
        <w:t>the</w:t>
      </w:r>
      <w:r>
        <w:rPr>
          <w:spacing w:val="-3"/>
        </w:rPr>
        <w:t xml:space="preserve"> </w:t>
      </w:r>
      <w:r>
        <w:t>work</w:t>
      </w:r>
      <w:r>
        <w:rPr>
          <w:spacing w:val="-3"/>
        </w:rPr>
        <w:t xml:space="preserve"> </w:t>
      </w:r>
      <w:r>
        <w:t>of</w:t>
      </w:r>
      <w:r>
        <w:rPr>
          <w:spacing w:val="-3"/>
        </w:rPr>
        <w:t xml:space="preserve"> </w:t>
      </w:r>
      <w:r>
        <w:t>component</w:t>
      </w:r>
      <w:r>
        <w:rPr>
          <w:spacing w:val="-3"/>
        </w:rPr>
        <w:t xml:space="preserve"> </w:t>
      </w:r>
      <w:r>
        <w:t>auditors</w:t>
      </w:r>
      <w:r>
        <w:rPr>
          <w:spacing w:val="-3"/>
        </w:rPr>
        <w:t xml:space="preserve"> </w:t>
      </w:r>
      <w:r>
        <w:t>and</w:t>
      </w:r>
      <w:r>
        <w:rPr>
          <w:spacing w:val="-3"/>
        </w:rPr>
        <w:t xml:space="preserve"> </w:t>
      </w:r>
      <w:r>
        <w:t>whether</w:t>
      </w:r>
      <w:r>
        <w:rPr>
          <w:spacing w:val="-3"/>
        </w:rPr>
        <w:t xml:space="preserve"> </w:t>
      </w:r>
      <w:r>
        <w:t>the</w:t>
      </w:r>
      <w:r>
        <w:rPr>
          <w:spacing w:val="-3"/>
        </w:rPr>
        <w:t xml:space="preserve"> </w:t>
      </w:r>
      <w:r>
        <w:t>auditor’s</w:t>
      </w:r>
      <w:r>
        <w:rPr>
          <w:spacing w:val="-2"/>
        </w:rPr>
        <w:t xml:space="preserve"> </w:t>
      </w:r>
      <w:r>
        <w:t>report</w:t>
      </w:r>
      <w:r>
        <w:rPr>
          <w:spacing w:val="-3"/>
        </w:rPr>
        <w:t xml:space="preserve"> </w:t>
      </w:r>
      <w:r>
        <w:t>on the group financial statements will make reference to the audit of a component auditor (AU-C 600A.18). The group engagement partner should review and approve the overall group audit strategy and group audit plan (AU-C 600A.19).</w:t>
      </w:r>
    </w:p>
    <w:p w14:paraId="0DFDAD95" w14:textId="77777777" w:rsidR="00046465" w:rsidRDefault="008134EB">
      <w:pPr>
        <w:pStyle w:val="ListParagraph"/>
        <w:numPr>
          <w:ilvl w:val="0"/>
          <w:numId w:val="17"/>
        </w:numPr>
        <w:tabs>
          <w:tab w:val="left" w:pos="1800"/>
        </w:tabs>
        <w:ind w:left="1800" w:right="739"/>
      </w:pPr>
      <w:r>
        <w:rPr>
          <w:color w:val="242424"/>
        </w:rPr>
        <w:t>T</w:t>
      </w:r>
      <w:r>
        <w:t>he group engagement team should determine the level of review to be performed</w:t>
      </w:r>
      <w:r>
        <w:rPr>
          <w:spacing w:val="-4"/>
        </w:rPr>
        <w:t xml:space="preserve"> </w:t>
      </w:r>
      <w:r>
        <w:t>on</w:t>
      </w:r>
      <w:r>
        <w:rPr>
          <w:spacing w:val="-4"/>
        </w:rPr>
        <w:t xml:space="preserve"> </w:t>
      </w:r>
      <w:r>
        <w:t>the</w:t>
      </w:r>
      <w:r>
        <w:rPr>
          <w:spacing w:val="-4"/>
        </w:rPr>
        <w:t xml:space="preserve"> </w:t>
      </w:r>
      <w:r>
        <w:t>component</w:t>
      </w:r>
      <w:r>
        <w:rPr>
          <w:spacing w:val="-4"/>
        </w:rPr>
        <w:t xml:space="preserve"> </w:t>
      </w:r>
      <w:r>
        <w:t>auditor’s</w:t>
      </w:r>
      <w:r>
        <w:rPr>
          <w:spacing w:val="-4"/>
        </w:rPr>
        <w:t xml:space="preserve"> </w:t>
      </w:r>
      <w:r>
        <w:t>audit</w:t>
      </w:r>
      <w:r>
        <w:rPr>
          <w:spacing w:val="-4"/>
        </w:rPr>
        <w:t xml:space="preserve"> </w:t>
      </w:r>
      <w:r>
        <w:t>work</w:t>
      </w:r>
      <w:r>
        <w:rPr>
          <w:spacing w:val="-5"/>
        </w:rPr>
        <w:t xml:space="preserve"> </w:t>
      </w:r>
      <w:r>
        <w:t>on</w:t>
      </w:r>
      <w:r>
        <w:rPr>
          <w:spacing w:val="-4"/>
        </w:rPr>
        <w:t xml:space="preserve"> </w:t>
      </w:r>
      <w:r>
        <w:t>the</w:t>
      </w:r>
      <w:r>
        <w:rPr>
          <w:spacing w:val="-4"/>
        </w:rPr>
        <w:t xml:space="preserve"> </w:t>
      </w:r>
      <w:r>
        <w:t>financial</w:t>
      </w:r>
      <w:r>
        <w:rPr>
          <w:spacing w:val="-4"/>
        </w:rPr>
        <w:t xml:space="preserve"> </w:t>
      </w:r>
      <w:r>
        <w:t>information</w:t>
      </w:r>
      <w:r>
        <w:rPr>
          <w:spacing w:val="-4"/>
        </w:rPr>
        <w:t xml:space="preserve"> </w:t>
      </w:r>
      <w:r>
        <w:t>of</w:t>
      </w:r>
      <w:r>
        <w:rPr>
          <w:spacing w:val="-4"/>
        </w:rPr>
        <w:t xml:space="preserve"> </w:t>
      </w:r>
      <w:r>
        <w:t>a component that will be used as audit evidence for the group audit. The level of review is a matter of professional judgment. In some situations, the group engagement team may determine that it is appropriate to perform significantly more work, including performing additional audit procedures. In other situations, the auditor may decide less review or no review is necessary. These situations typically</w:t>
      </w:r>
      <w:r>
        <w:rPr>
          <w:spacing w:val="-2"/>
        </w:rPr>
        <w:t xml:space="preserve"> </w:t>
      </w:r>
      <w:r>
        <w:t>involve</w:t>
      </w:r>
      <w:r>
        <w:rPr>
          <w:spacing w:val="-2"/>
        </w:rPr>
        <w:t xml:space="preserve"> </w:t>
      </w:r>
      <w:r>
        <w:t>entities</w:t>
      </w:r>
      <w:r>
        <w:rPr>
          <w:spacing w:val="-3"/>
        </w:rPr>
        <w:t xml:space="preserve"> </w:t>
      </w:r>
      <w:r>
        <w:t>or</w:t>
      </w:r>
      <w:r>
        <w:rPr>
          <w:spacing w:val="-2"/>
        </w:rPr>
        <w:t xml:space="preserve"> </w:t>
      </w:r>
      <w:r>
        <w:t>line</w:t>
      </w:r>
      <w:r>
        <w:rPr>
          <w:spacing w:val="-2"/>
        </w:rPr>
        <w:t xml:space="preserve"> </w:t>
      </w:r>
      <w:r>
        <w:t>items</w:t>
      </w:r>
      <w:r>
        <w:rPr>
          <w:spacing w:val="-3"/>
        </w:rPr>
        <w:t xml:space="preserve"> </w:t>
      </w:r>
      <w:r>
        <w:t>that</w:t>
      </w:r>
      <w:r>
        <w:rPr>
          <w:spacing w:val="-2"/>
        </w:rPr>
        <w:t xml:space="preserve"> </w:t>
      </w:r>
      <w:r>
        <w:t>are</w:t>
      </w:r>
      <w:r>
        <w:rPr>
          <w:spacing w:val="-2"/>
        </w:rPr>
        <w:t xml:space="preserve"> </w:t>
      </w:r>
      <w:r>
        <w:t>very</w:t>
      </w:r>
      <w:r>
        <w:rPr>
          <w:spacing w:val="-2"/>
        </w:rPr>
        <w:t xml:space="preserve"> </w:t>
      </w:r>
      <w:r>
        <w:t>small</w:t>
      </w:r>
      <w:r>
        <w:rPr>
          <w:spacing w:val="-2"/>
        </w:rPr>
        <w:t xml:space="preserve"> </w:t>
      </w:r>
      <w:r>
        <w:t>in</w:t>
      </w:r>
      <w:r>
        <w:rPr>
          <w:spacing w:val="-2"/>
        </w:rPr>
        <w:t xml:space="preserve"> </w:t>
      </w:r>
      <w:r>
        <w:t>relation</w:t>
      </w:r>
      <w:r>
        <w:rPr>
          <w:spacing w:val="-2"/>
        </w:rPr>
        <w:t xml:space="preserve"> </w:t>
      </w:r>
      <w:r>
        <w:t>to</w:t>
      </w:r>
      <w:r>
        <w:rPr>
          <w:spacing w:val="-2"/>
        </w:rPr>
        <w:t xml:space="preserve"> </w:t>
      </w:r>
      <w:r>
        <w:t>the</w:t>
      </w:r>
      <w:r>
        <w:rPr>
          <w:spacing w:val="-2"/>
        </w:rPr>
        <w:t xml:space="preserve"> </w:t>
      </w:r>
      <w:r>
        <w:t>financial statements as a whole. In these situations, the group engagement team may decide to read the component auditor’s report and the financial statements and ask questions if anything seems unusual.</w:t>
      </w:r>
    </w:p>
    <w:p w14:paraId="0DFDAD96" w14:textId="77777777" w:rsidR="00046465" w:rsidRDefault="008134EB">
      <w:pPr>
        <w:pStyle w:val="ListParagraph"/>
        <w:numPr>
          <w:ilvl w:val="0"/>
          <w:numId w:val="217"/>
        </w:numPr>
        <w:tabs>
          <w:tab w:val="left" w:pos="1800"/>
        </w:tabs>
        <w:ind w:right="995"/>
      </w:pPr>
      <w:r>
        <w:t>As noted above, the extent of the group engagement team’s review of the component auditor’s documentation depends on the level of review and is a matter</w:t>
      </w:r>
      <w:r>
        <w:rPr>
          <w:spacing w:val="-5"/>
        </w:rPr>
        <w:t xml:space="preserve"> </w:t>
      </w:r>
      <w:r>
        <w:t>of</w:t>
      </w:r>
      <w:r>
        <w:rPr>
          <w:spacing w:val="-5"/>
        </w:rPr>
        <w:t xml:space="preserve"> </w:t>
      </w:r>
      <w:r>
        <w:t>professional</w:t>
      </w:r>
      <w:r>
        <w:rPr>
          <w:spacing w:val="-6"/>
        </w:rPr>
        <w:t xml:space="preserve"> </w:t>
      </w:r>
      <w:r>
        <w:t>judgment.</w:t>
      </w:r>
      <w:r>
        <w:rPr>
          <w:spacing w:val="-5"/>
        </w:rPr>
        <w:t xml:space="preserve"> </w:t>
      </w:r>
      <w:r>
        <w:t>The</w:t>
      </w:r>
      <w:r>
        <w:rPr>
          <w:spacing w:val="-5"/>
        </w:rPr>
        <w:t xml:space="preserve"> </w:t>
      </w:r>
      <w:r>
        <w:t>group</w:t>
      </w:r>
      <w:r>
        <w:rPr>
          <w:spacing w:val="-5"/>
        </w:rPr>
        <w:t xml:space="preserve"> </w:t>
      </w:r>
      <w:r>
        <w:t>engagement</w:t>
      </w:r>
      <w:r>
        <w:rPr>
          <w:spacing w:val="-5"/>
        </w:rPr>
        <w:t xml:space="preserve"> </w:t>
      </w:r>
      <w:r>
        <w:t>team</w:t>
      </w:r>
      <w:r>
        <w:rPr>
          <w:spacing w:val="-6"/>
        </w:rPr>
        <w:t xml:space="preserve"> </w:t>
      </w:r>
      <w:r>
        <w:t>should</w:t>
      </w:r>
      <w:r>
        <w:rPr>
          <w:spacing w:val="-5"/>
        </w:rPr>
        <w:t xml:space="preserve"> </w:t>
      </w:r>
      <w:r>
        <w:t>consider using</w:t>
      </w:r>
      <w:r>
        <w:rPr>
          <w:spacing w:val="-3"/>
        </w:rPr>
        <w:t xml:space="preserve"> </w:t>
      </w:r>
      <w:r>
        <w:t>the</w:t>
      </w:r>
      <w:r>
        <w:rPr>
          <w:spacing w:val="-3"/>
        </w:rPr>
        <w:t xml:space="preserve"> </w:t>
      </w:r>
      <w:r>
        <w:t>following</w:t>
      </w:r>
      <w:r>
        <w:rPr>
          <w:spacing w:val="-3"/>
        </w:rPr>
        <w:t xml:space="preserve"> </w:t>
      </w:r>
      <w:r>
        <w:t>framework</w:t>
      </w:r>
      <w:r>
        <w:rPr>
          <w:spacing w:val="-3"/>
        </w:rPr>
        <w:t xml:space="preserve"> </w:t>
      </w:r>
      <w:r>
        <w:t>in</w:t>
      </w:r>
      <w:r>
        <w:rPr>
          <w:spacing w:val="-3"/>
        </w:rPr>
        <w:t xml:space="preserve"> </w:t>
      </w:r>
      <w:r>
        <w:t>planning</w:t>
      </w:r>
      <w:r>
        <w:rPr>
          <w:spacing w:val="-3"/>
        </w:rPr>
        <w:t xml:space="preserve"> </w:t>
      </w:r>
      <w:r>
        <w:t>and</w:t>
      </w:r>
      <w:r>
        <w:rPr>
          <w:spacing w:val="-3"/>
        </w:rPr>
        <w:t xml:space="preserve"> </w:t>
      </w:r>
      <w:r>
        <w:t>performing</w:t>
      </w:r>
      <w:r>
        <w:rPr>
          <w:spacing w:val="-3"/>
        </w:rPr>
        <w:t xml:space="preserve"> </w:t>
      </w:r>
      <w:r>
        <w:t>the</w:t>
      </w:r>
      <w:r>
        <w:rPr>
          <w:spacing w:val="-3"/>
        </w:rPr>
        <w:t xml:space="preserve"> </w:t>
      </w:r>
      <w:r>
        <w:t>level</w:t>
      </w:r>
      <w:r>
        <w:rPr>
          <w:spacing w:val="-3"/>
        </w:rPr>
        <w:t xml:space="preserve"> </w:t>
      </w:r>
      <w:r>
        <w:t>of</w:t>
      </w:r>
      <w:r>
        <w:rPr>
          <w:spacing w:val="-3"/>
        </w:rPr>
        <w:t xml:space="preserve"> </w:t>
      </w:r>
      <w:r>
        <w:t>review</w:t>
      </w:r>
      <w:r>
        <w:rPr>
          <w:spacing w:val="-4"/>
        </w:rPr>
        <w:t xml:space="preserve"> </w:t>
      </w:r>
      <w:r>
        <w:t>of the component auditor’s documentation:</w:t>
      </w:r>
    </w:p>
    <w:p w14:paraId="0DFDAD97" w14:textId="77777777" w:rsidR="00046465" w:rsidRDefault="008134EB">
      <w:pPr>
        <w:pStyle w:val="BodyText"/>
        <w:spacing w:before="120"/>
        <w:ind w:left="1800"/>
      </w:pPr>
      <w:r>
        <w:t>For</w:t>
      </w:r>
      <w:r>
        <w:rPr>
          <w:spacing w:val="-3"/>
        </w:rPr>
        <w:t xml:space="preserve"> </w:t>
      </w:r>
      <w:r>
        <w:t>a</w:t>
      </w:r>
      <w:r>
        <w:rPr>
          <w:spacing w:val="-3"/>
        </w:rPr>
        <w:t xml:space="preserve"> </w:t>
      </w:r>
      <w:r>
        <w:rPr>
          <w:b/>
        </w:rPr>
        <w:t>low</w:t>
      </w:r>
      <w:r>
        <w:rPr>
          <w:b/>
          <w:spacing w:val="-4"/>
        </w:rPr>
        <w:t xml:space="preserve"> </w:t>
      </w:r>
      <w:r>
        <w:rPr>
          <w:b/>
        </w:rPr>
        <w:t>level</w:t>
      </w:r>
      <w:r>
        <w:rPr>
          <w:b/>
          <w:spacing w:val="-3"/>
        </w:rPr>
        <w:t xml:space="preserve"> </w:t>
      </w:r>
      <w:r>
        <w:rPr>
          <w:b/>
        </w:rPr>
        <w:t>of</w:t>
      </w:r>
      <w:r>
        <w:rPr>
          <w:b/>
          <w:spacing w:val="-3"/>
        </w:rPr>
        <w:t xml:space="preserve"> </w:t>
      </w:r>
      <w:r>
        <w:rPr>
          <w:b/>
        </w:rPr>
        <w:t>review</w:t>
      </w:r>
      <w:r>
        <w:t>,</w:t>
      </w:r>
      <w:r>
        <w:rPr>
          <w:spacing w:val="-3"/>
        </w:rPr>
        <w:t xml:space="preserve"> </w:t>
      </w:r>
      <w:r>
        <w:t>the</w:t>
      </w:r>
      <w:r>
        <w:rPr>
          <w:spacing w:val="-3"/>
        </w:rPr>
        <w:t xml:space="preserve"> </w:t>
      </w:r>
      <w:r>
        <w:t>group</w:t>
      </w:r>
      <w:r>
        <w:rPr>
          <w:spacing w:val="-3"/>
        </w:rPr>
        <w:t xml:space="preserve"> </w:t>
      </w:r>
      <w:r>
        <w:t>engagement</w:t>
      </w:r>
      <w:r>
        <w:rPr>
          <w:spacing w:val="-3"/>
        </w:rPr>
        <w:t xml:space="preserve"> </w:t>
      </w:r>
      <w:r>
        <w:t>team</w:t>
      </w:r>
      <w:r>
        <w:rPr>
          <w:spacing w:val="-4"/>
        </w:rPr>
        <w:t xml:space="preserve"> </w:t>
      </w:r>
      <w:r>
        <w:t>may</w:t>
      </w:r>
      <w:r>
        <w:rPr>
          <w:spacing w:val="-3"/>
        </w:rPr>
        <w:t xml:space="preserve"> </w:t>
      </w:r>
      <w:r>
        <w:t>limit</w:t>
      </w:r>
      <w:r>
        <w:rPr>
          <w:spacing w:val="-3"/>
        </w:rPr>
        <w:t xml:space="preserve"> </w:t>
      </w:r>
      <w:r>
        <w:t>the</w:t>
      </w:r>
      <w:r>
        <w:rPr>
          <w:spacing w:val="-3"/>
        </w:rPr>
        <w:t xml:space="preserve"> </w:t>
      </w:r>
      <w:r>
        <w:t>review</w:t>
      </w:r>
      <w:r>
        <w:rPr>
          <w:spacing w:val="-4"/>
        </w:rPr>
        <w:t xml:space="preserve"> </w:t>
      </w:r>
      <w:r>
        <w:t>of documentation to key summary planning and completion documentation.</w:t>
      </w:r>
    </w:p>
    <w:p w14:paraId="0DFDAD98" w14:textId="77777777" w:rsidR="00046465" w:rsidRDefault="00046465">
      <w:pPr>
        <w:pStyle w:val="BodyText"/>
        <w:sectPr w:rsidR="00046465">
          <w:headerReference w:type="default" r:id="rId48"/>
          <w:footerReference w:type="default" r:id="rId49"/>
          <w:pgSz w:w="12240" w:h="15840"/>
          <w:pgMar w:top="1340" w:right="720" w:bottom="940" w:left="1080" w:header="721" w:footer="757" w:gutter="0"/>
          <w:pgNumType w:start="2"/>
          <w:cols w:space="720"/>
        </w:sectPr>
      </w:pPr>
    </w:p>
    <w:p w14:paraId="0DFDAD99" w14:textId="77777777" w:rsidR="00046465" w:rsidRDefault="008134EB">
      <w:pPr>
        <w:pStyle w:val="BodyText"/>
        <w:spacing w:before="121"/>
        <w:ind w:left="1800" w:right="844"/>
      </w:pPr>
      <w:r>
        <w:lastRenderedPageBreak/>
        <w:t xml:space="preserve">For a </w:t>
      </w:r>
      <w:r>
        <w:rPr>
          <w:b/>
        </w:rPr>
        <w:t>moderate level of review</w:t>
      </w:r>
      <w:r>
        <w:t>, in addition to the documentation reviewed at the low level of review, the group engagement team should consider reviewing more of the component auditor’s documentation, especially those documents evidencing</w:t>
      </w:r>
      <w:r>
        <w:rPr>
          <w:spacing w:val="-5"/>
        </w:rPr>
        <w:t xml:space="preserve"> </w:t>
      </w:r>
      <w:r>
        <w:t>important</w:t>
      </w:r>
      <w:r>
        <w:rPr>
          <w:spacing w:val="-4"/>
        </w:rPr>
        <w:t xml:space="preserve"> </w:t>
      </w:r>
      <w:r>
        <w:t>decisions.</w:t>
      </w:r>
      <w:r>
        <w:rPr>
          <w:spacing w:val="-4"/>
        </w:rPr>
        <w:t xml:space="preserve"> </w:t>
      </w:r>
      <w:r>
        <w:t>For</w:t>
      </w:r>
      <w:r>
        <w:rPr>
          <w:spacing w:val="-6"/>
        </w:rPr>
        <w:t xml:space="preserve"> </w:t>
      </w:r>
      <w:r>
        <w:t>financial</w:t>
      </w:r>
      <w:r>
        <w:rPr>
          <w:spacing w:val="-5"/>
        </w:rPr>
        <w:t xml:space="preserve"> </w:t>
      </w:r>
      <w:r>
        <w:t>statement</w:t>
      </w:r>
      <w:r>
        <w:rPr>
          <w:spacing w:val="-4"/>
        </w:rPr>
        <w:t xml:space="preserve"> </w:t>
      </w:r>
      <w:r>
        <w:t>audits,</w:t>
      </w:r>
      <w:r>
        <w:rPr>
          <w:spacing w:val="-4"/>
        </w:rPr>
        <w:t xml:space="preserve"> </w:t>
      </w:r>
      <w:r>
        <w:t>this</w:t>
      </w:r>
      <w:r>
        <w:rPr>
          <w:spacing w:val="-5"/>
        </w:rPr>
        <w:t xml:space="preserve"> </w:t>
      </w:r>
      <w:r>
        <w:t>includes</w:t>
      </w:r>
      <w:r>
        <w:rPr>
          <w:spacing w:val="-4"/>
        </w:rPr>
        <w:t xml:space="preserve"> </w:t>
      </w:r>
      <w:r>
        <w:t>the following or equivalent documents:</w:t>
      </w:r>
    </w:p>
    <w:p w14:paraId="0DFDAD9A" w14:textId="77777777" w:rsidR="00046465" w:rsidRDefault="008134EB">
      <w:pPr>
        <w:pStyle w:val="ListParagraph"/>
        <w:numPr>
          <w:ilvl w:val="1"/>
          <w:numId w:val="217"/>
        </w:numPr>
        <w:tabs>
          <w:tab w:val="left" w:pos="2159"/>
        </w:tabs>
        <w:ind w:hanging="359"/>
      </w:pPr>
      <w:r>
        <w:t>audit</w:t>
      </w:r>
      <w:r>
        <w:rPr>
          <w:spacing w:val="-6"/>
        </w:rPr>
        <w:t xml:space="preserve"> </w:t>
      </w:r>
      <w:r>
        <w:t>strategy</w:t>
      </w:r>
      <w:r>
        <w:rPr>
          <w:spacing w:val="-6"/>
        </w:rPr>
        <w:t xml:space="preserve"> </w:t>
      </w:r>
      <w:r>
        <w:t>and</w:t>
      </w:r>
      <w:r>
        <w:rPr>
          <w:spacing w:val="-5"/>
        </w:rPr>
        <w:t xml:space="preserve"> </w:t>
      </w:r>
      <w:r>
        <w:t>audit</w:t>
      </w:r>
      <w:r>
        <w:rPr>
          <w:spacing w:val="-7"/>
        </w:rPr>
        <w:t xml:space="preserve"> </w:t>
      </w:r>
      <w:r>
        <w:rPr>
          <w:spacing w:val="-2"/>
        </w:rPr>
        <w:t>procedures;</w:t>
      </w:r>
    </w:p>
    <w:p w14:paraId="0DFDAD9B" w14:textId="77777777" w:rsidR="00046465" w:rsidRDefault="008134EB">
      <w:pPr>
        <w:pStyle w:val="ListParagraph"/>
        <w:numPr>
          <w:ilvl w:val="1"/>
          <w:numId w:val="217"/>
        </w:numPr>
        <w:tabs>
          <w:tab w:val="left" w:pos="2158"/>
        </w:tabs>
        <w:ind w:left="2158" w:hanging="359"/>
      </w:pPr>
      <w:r>
        <w:t>line</w:t>
      </w:r>
      <w:r>
        <w:rPr>
          <w:spacing w:val="-6"/>
        </w:rPr>
        <w:t xml:space="preserve"> </w:t>
      </w:r>
      <w:r>
        <w:t>item</w:t>
      </w:r>
      <w:r>
        <w:rPr>
          <w:spacing w:val="-6"/>
        </w:rPr>
        <w:t xml:space="preserve"> </w:t>
      </w:r>
      <w:r>
        <w:t>risk</w:t>
      </w:r>
      <w:r>
        <w:rPr>
          <w:spacing w:val="-6"/>
        </w:rPr>
        <w:t xml:space="preserve"> </w:t>
      </w:r>
      <w:r>
        <w:t>analysis</w:t>
      </w:r>
      <w:r>
        <w:rPr>
          <w:spacing w:val="-5"/>
        </w:rPr>
        <w:t xml:space="preserve"> </w:t>
      </w:r>
      <w:r>
        <w:t>(LIRA)</w:t>
      </w:r>
      <w:r>
        <w:rPr>
          <w:spacing w:val="-6"/>
        </w:rPr>
        <w:t xml:space="preserve"> </w:t>
      </w:r>
      <w:r>
        <w:t>forms</w:t>
      </w:r>
      <w:r>
        <w:rPr>
          <w:spacing w:val="-5"/>
        </w:rPr>
        <w:t xml:space="preserve"> </w:t>
      </w:r>
      <w:r>
        <w:t>at</w:t>
      </w:r>
      <w:r>
        <w:rPr>
          <w:spacing w:val="-5"/>
        </w:rPr>
        <w:t xml:space="preserve"> </w:t>
      </w:r>
      <w:r>
        <w:t>FAM</w:t>
      </w:r>
      <w:r>
        <w:rPr>
          <w:spacing w:val="-6"/>
        </w:rPr>
        <w:t xml:space="preserve"> </w:t>
      </w:r>
      <w:r>
        <w:t>395</w:t>
      </w:r>
      <w:r>
        <w:rPr>
          <w:spacing w:val="-4"/>
        </w:rPr>
        <w:t xml:space="preserve"> </w:t>
      </w:r>
      <w:r>
        <w:rPr>
          <w:spacing w:val="-5"/>
        </w:rPr>
        <w:t>H;</w:t>
      </w:r>
    </w:p>
    <w:p w14:paraId="0DFDAD9C" w14:textId="77777777" w:rsidR="00046465" w:rsidRDefault="008134EB">
      <w:pPr>
        <w:pStyle w:val="ListParagraph"/>
        <w:numPr>
          <w:ilvl w:val="1"/>
          <w:numId w:val="217"/>
        </w:numPr>
        <w:tabs>
          <w:tab w:val="left" w:pos="2158"/>
        </w:tabs>
        <w:ind w:left="2158" w:hanging="359"/>
      </w:pPr>
      <w:r>
        <w:t>specific</w:t>
      </w:r>
      <w:r>
        <w:rPr>
          <w:spacing w:val="-8"/>
        </w:rPr>
        <w:t xml:space="preserve"> </w:t>
      </w:r>
      <w:r>
        <w:t>control</w:t>
      </w:r>
      <w:r>
        <w:rPr>
          <w:spacing w:val="-7"/>
        </w:rPr>
        <w:t xml:space="preserve"> </w:t>
      </w:r>
      <w:r>
        <w:t>evaluation</w:t>
      </w:r>
      <w:r>
        <w:rPr>
          <w:spacing w:val="-7"/>
        </w:rPr>
        <w:t xml:space="preserve"> </w:t>
      </w:r>
      <w:r>
        <w:t>(SCE)</w:t>
      </w:r>
      <w:r>
        <w:rPr>
          <w:spacing w:val="-8"/>
        </w:rPr>
        <w:t xml:space="preserve"> </w:t>
      </w:r>
      <w:r>
        <w:t>worksheets</w:t>
      </w:r>
      <w:r>
        <w:rPr>
          <w:spacing w:val="-7"/>
        </w:rPr>
        <w:t xml:space="preserve"> </w:t>
      </w:r>
      <w:r>
        <w:t>at</w:t>
      </w:r>
      <w:r>
        <w:rPr>
          <w:spacing w:val="-7"/>
        </w:rPr>
        <w:t xml:space="preserve"> </w:t>
      </w:r>
      <w:r>
        <w:t>FAM</w:t>
      </w:r>
      <w:r>
        <w:rPr>
          <w:spacing w:val="-8"/>
        </w:rPr>
        <w:t xml:space="preserve"> </w:t>
      </w:r>
      <w:r>
        <w:t>395</w:t>
      </w:r>
      <w:r>
        <w:rPr>
          <w:spacing w:val="-8"/>
        </w:rPr>
        <w:t xml:space="preserve"> </w:t>
      </w:r>
      <w:r>
        <w:rPr>
          <w:spacing w:val="-5"/>
        </w:rPr>
        <w:t>G;</w:t>
      </w:r>
    </w:p>
    <w:p w14:paraId="0DFDAD9D" w14:textId="77777777" w:rsidR="00046465" w:rsidRDefault="008134EB">
      <w:pPr>
        <w:pStyle w:val="ListParagraph"/>
        <w:numPr>
          <w:ilvl w:val="1"/>
          <w:numId w:val="217"/>
        </w:numPr>
        <w:tabs>
          <w:tab w:val="left" w:pos="2159"/>
        </w:tabs>
        <w:spacing w:before="119"/>
        <w:ind w:right="1480"/>
      </w:pPr>
      <w:r>
        <w:t>documentation</w:t>
      </w:r>
      <w:r>
        <w:rPr>
          <w:spacing w:val="-5"/>
        </w:rPr>
        <w:t xml:space="preserve"> </w:t>
      </w:r>
      <w:r>
        <w:t>for</w:t>
      </w:r>
      <w:r>
        <w:rPr>
          <w:spacing w:val="-5"/>
        </w:rPr>
        <w:t xml:space="preserve"> </w:t>
      </w:r>
      <w:r>
        <w:t>material</w:t>
      </w:r>
      <w:r>
        <w:rPr>
          <w:spacing w:val="-5"/>
        </w:rPr>
        <w:t xml:space="preserve"> </w:t>
      </w:r>
      <w:r>
        <w:t>line</w:t>
      </w:r>
      <w:r>
        <w:rPr>
          <w:spacing w:val="-6"/>
        </w:rPr>
        <w:t xml:space="preserve"> </w:t>
      </w:r>
      <w:r>
        <w:t>items,</w:t>
      </w:r>
      <w:r>
        <w:rPr>
          <w:spacing w:val="-4"/>
        </w:rPr>
        <w:t xml:space="preserve"> </w:t>
      </w:r>
      <w:r>
        <w:t>accounts,</w:t>
      </w:r>
      <w:r>
        <w:rPr>
          <w:spacing w:val="-7"/>
        </w:rPr>
        <w:t xml:space="preserve"> </w:t>
      </w:r>
      <w:r>
        <w:t>note</w:t>
      </w:r>
      <w:r>
        <w:rPr>
          <w:spacing w:val="-5"/>
        </w:rPr>
        <w:t xml:space="preserve"> </w:t>
      </w:r>
      <w:r>
        <w:t>disclosures,</w:t>
      </w:r>
      <w:r>
        <w:rPr>
          <w:spacing w:val="-5"/>
        </w:rPr>
        <w:t xml:space="preserve"> </w:t>
      </w:r>
      <w:r>
        <w:t>and classes of transactions with high risk of material misstatement;</w:t>
      </w:r>
    </w:p>
    <w:p w14:paraId="0DFDAD9E" w14:textId="77777777" w:rsidR="00046465" w:rsidRDefault="008134EB">
      <w:pPr>
        <w:pStyle w:val="ListParagraph"/>
        <w:numPr>
          <w:ilvl w:val="1"/>
          <w:numId w:val="217"/>
        </w:numPr>
        <w:tabs>
          <w:tab w:val="left" w:pos="2158"/>
        </w:tabs>
        <w:ind w:left="2158" w:hanging="359"/>
      </w:pPr>
      <w:r>
        <w:t>overall</w:t>
      </w:r>
      <w:r>
        <w:rPr>
          <w:spacing w:val="-9"/>
        </w:rPr>
        <w:t xml:space="preserve"> </w:t>
      </w:r>
      <w:r>
        <w:t>analytical</w:t>
      </w:r>
      <w:r>
        <w:rPr>
          <w:spacing w:val="-8"/>
        </w:rPr>
        <w:t xml:space="preserve"> </w:t>
      </w:r>
      <w:r>
        <w:rPr>
          <w:spacing w:val="-2"/>
        </w:rPr>
        <w:t>procedures;</w:t>
      </w:r>
    </w:p>
    <w:p w14:paraId="0DFDAD9F" w14:textId="77777777" w:rsidR="00046465" w:rsidRDefault="008134EB">
      <w:pPr>
        <w:pStyle w:val="ListParagraph"/>
        <w:numPr>
          <w:ilvl w:val="1"/>
          <w:numId w:val="217"/>
        </w:numPr>
        <w:tabs>
          <w:tab w:val="left" w:pos="2158"/>
        </w:tabs>
        <w:spacing w:before="121"/>
        <w:ind w:left="2158" w:hanging="359"/>
      </w:pPr>
      <w:r>
        <w:t>audit</w:t>
      </w:r>
      <w:r>
        <w:rPr>
          <w:spacing w:val="-8"/>
        </w:rPr>
        <w:t xml:space="preserve"> </w:t>
      </w:r>
      <w:r>
        <w:t>completion</w:t>
      </w:r>
      <w:r>
        <w:rPr>
          <w:spacing w:val="-7"/>
        </w:rPr>
        <w:t xml:space="preserve"> </w:t>
      </w:r>
      <w:r>
        <w:t>checklist</w:t>
      </w:r>
      <w:r>
        <w:rPr>
          <w:spacing w:val="-7"/>
        </w:rPr>
        <w:t xml:space="preserve"> </w:t>
      </w:r>
      <w:r>
        <w:t>at</w:t>
      </w:r>
      <w:r>
        <w:rPr>
          <w:spacing w:val="-7"/>
        </w:rPr>
        <w:t xml:space="preserve"> </w:t>
      </w:r>
      <w:r>
        <w:t>FAM</w:t>
      </w:r>
      <w:r>
        <w:rPr>
          <w:spacing w:val="-8"/>
        </w:rPr>
        <w:t xml:space="preserve"> </w:t>
      </w:r>
      <w:r>
        <w:rPr>
          <w:spacing w:val="-2"/>
        </w:rPr>
        <w:t>1003;</w:t>
      </w:r>
    </w:p>
    <w:p w14:paraId="0DFDADA0" w14:textId="77777777" w:rsidR="00046465" w:rsidRDefault="008134EB">
      <w:pPr>
        <w:pStyle w:val="ListParagraph"/>
        <w:numPr>
          <w:ilvl w:val="1"/>
          <w:numId w:val="217"/>
        </w:numPr>
        <w:tabs>
          <w:tab w:val="left" w:pos="2158"/>
        </w:tabs>
        <w:ind w:left="2158" w:hanging="359"/>
      </w:pPr>
      <w:r>
        <w:t>audit</w:t>
      </w:r>
      <w:r>
        <w:rPr>
          <w:spacing w:val="-8"/>
        </w:rPr>
        <w:t xml:space="preserve"> </w:t>
      </w:r>
      <w:r>
        <w:t>summary</w:t>
      </w:r>
      <w:r>
        <w:rPr>
          <w:spacing w:val="-7"/>
        </w:rPr>
        <w:t xml:space="preserve"> </w:t>
      </w:r>
      <w:r>
        <w:rPr>
          <w:spacing w:val="-2"/>
        </w:rPr>
        <w:t>memorandum;</w:t>
      </w:r>
    </w:p>
    <w:p w14:paraId="0DFDADA1" w14:textId="77777777" w:rsidR="00046465" w:rsidRDefault="008134EB">
      <w:pPr>
        <w:pStyle w:val="ListParagraph"/>
        <w:numPr>
          <w:ilvl w:val="1"/>
          <w:numId w:val="217"/>
        </w:numPr>
        <w:tabs>
          <w:tab w:val="left" w:pos="2158"/>
        </w:tabs>
        <w:ind w:left="2158" w:hanging="359"/>
      </w:pPr>
      <w:r>
        <w:t>summary</w:t>
      </w:r>
      <w:r>
        <w:rPr>
          <w:spacing w:val="-7"/>
        </w:rPr>
        <w:t xml:space="preserve"> </w:t>
      </w:r>
      <w:r>
        <w:t>of</w:t>
      </w:r>
      <w:r>
        <w:rPr>
          <w:spacing w:val="-7"/>
        </w:rPr>
        <w:t xml:space="preserve"> </w:t>
      </w:r>
      <w:r>
        <w:t>uncorrected</w:t>
      </w:r>
      <w:r>
        <w:rPr>
          <w:spacing w:val="-8"/>
        </w:rPr>
        <w:t xml:space="preserve"> </w:t>
      </w:r>
      <w:r>
        <w:t>misstatements</w:t>
      </w:r>
      <w:r>
        <w:rPr>
          <w:spacing w:val="-7"/>
        </w:rPr>
        <w:t xml:space="preserve"> </w:t>
      </w:r>
      <w:r>
        <w:t>at</w:t>
      </w:r>
      <w:r>
        <w:rPr>
          <w:spacing w:val="-7"/>
        </w:rPr>
        <w:t xml:space="preserve"> </w:t>
      </w:r>
      <w:r>
        <w:t>FAM</w:t>
      </w:r>
      <w:r>
        <w:rPr>
          <w:spacing w:val="-8"/>
        </w:rPr>
        <w:t xml:space="preserve"> </w:t>
      </w:r>
      <w:r>
        <w:t>595</w:t>
      </w:r>
      <w:r>
        <w:rPr>
          <w:spacing w:val="-7"/>
        </w:rPr>
        <w:t xml:space="preserve"> </w:t>
      </w:r>
      <w:r>
        <w:t>C;</w:t>
      </w:r>
      <w:r>
        <w:rPr>
          <w:spacing w:val="-7"/>
        </w:rPr>
        <w:t xml:space="preserve"> </w:t>
      </w:r>
      <w:r>
        <w:rPr>
          <w:spacing w:val="-5"/>
        </w:rPr>
        <w:t>and</w:t>
      </w:r>
    </w:p>
    <w:p w14:paraId="0DFDADA2" w14:textId="77777777" w:rsidR="00046465" w:rsidRDefault="008134EB">
      <w:pPr>
        <w:pStyle w:val="ListParagraph"/>
        <w:numPr>
          <w:ilvl w:val="1"/>
          <w:numId w:val="217"/>
        </w:numPr>
        <w:tabs>
          <w:tab w:val="left" w:pos="2159"/>
        </w:tabs>
        <w:spacing w:before="119"/>
      </w:pPr>
      <w:r>
        <w:t>documentation</w:t>
      </w:r>
      <w:r>
        <w:rPr>
          <w:spacing w:val="-8"/>
        </w:rPr>
        <w:t xml:space="preserve"> </w:t>
      </w:r>
      <w:r>
        <w:t>of</w:t>
      </w:r>
      <w:r>
        <w:rPr>
          <w:spacing w:val="-8"/>
        </w:rPr>
        <w:t xml:space="preserve"> </w:t>
      </w:r>
      <w:r>
        <w:t>key</w:t>
      </w:r>
      <w:r>
        <w:rPr>
          <w:spacing w:val="-8"/>
        </w:rPr>
        <w:t xml:space="preserve"> </w:t>
      </w:r>
      <w:r>
        <w:t>decisions</w:t>
      </w:r>
      <w:r>
        <w:rPr>
          <w:spacing w:val="-7"/>
        </w:rPr>
        <w:t xml:space="preserve"> </w:t>
      </w:r>
      <w:r>
        <w:t>and</w:t>
      </w:r>
      <w:r>
        <w:rPr>
          <w:spacing w:val="-9"/>
        </w:rPr>
        <w:t xml:space="preserve"> </w:t>
      </w:r>
      <w:r>
        <w:t>significant</w:t>
      </w:r>
      <w:r>
        <w:rPr>
          <w:spacing w:val="-8"/>
        </w:rPr>
        <w:t xml:space="preserve"> </w:t>
      </w:r>
      <w:r>
        <w:rPr>
          <w:spacing w:val="-2"/>
        </w:rPr>
        <w:t>judgments.</w:t>
      </w:r>
    </w:p>
    <w:p w14:paraId="0DFDADA3" w14:textId="77777777" w:rsidR="00046465" w:rsidRDefault="008134EB">
      <w:pPr>
        <w:pStyle w:val="BodyText"/>
        <w:spacing w:before="120"/>
        <w:ind w:left="1798" w:right="844"/>
      </w:pPr>
      <w:r>
        <w:t xml:space="preserve">For a </w:t>
      </w:r>
      <w:r>
        <w:rPr>
          <w:b/>
        </w:rPr>
        <w:t>high level of review</w:t>
      </w:r>
      <w:r>
        <w:t>, the group engagement team should consider reviewing all of the items for the moderate level of review plus any important documentation, particularly relating to areas with significant risk, such as memorandums documenting key meetings and discussions with management, the evaluation of sample results, and the summary of uncorrected misstatements.</w:t>
      </w:r>
      <w:r>
        <w:rPr>
          <w:spacing w:val="-4"/>
        </w:rPr>
        <w:t xml:space="preserve"> </w:t>
      </w:r>
      <w:r>
        <w:t>In</w:t>
      </w:r>
      <w:r>
        <w:rPr>
          <w:spacing w:val="-4"/>
        </w:rPr>
        <w:t xml:space="preserve"> </w:t>
      </w:r>
      <w:r>
        <w:t>some</w:t>
      </w:r>
      <w:r>
        <w:rPr>
          <w:spacing w:val="-4"/>
        </w:rPr>
        <w:t xml:space="preserve"> </w:t>
      </w:r>
      <w:r>
        <w:t>cases,</w:t>
      </w:r>
      <w:r>
        <w:rPr>
          <w:spacing w:val="-4"/>
        </w:rPr>
        <w:t xml:space="preserve"> </w:t>
      </w:r>
      <w:r>
        <w:t>the</w:t>
      </w:r>
      <w:r>
        <w:rPr>
          <w:spacing w:val="-7"/>
        </w:rPr>
        <w:t xml:space="preserve"> </w:t>
      </w:r>
      <w:r>
        <w:t>group</w:t>
      </w:r>
      <w:r>
        <w:rPr>
          <w:spacing w:val="-4"/>
        </w:rPr>
        <w:t xml:space="preserve"> </w:t>
      </w:r>
      <w:r>
        <w:t>engagement</w:t>
      </w:r>
      <w:r>
        <w:rPr>
          <w:spacing w:val="-4"/>
        </w:rPr>
        <w:t xml:space="preserve"> </w:t>
      </w:r>
      <w:r>
        <w:t>team</w:t>
      </w:r>
      <w:r>
        <w:rPr>
          <w:spacing w:val="-5"/>
        </w:rPr>
        <w:t xml:space="preserve"> </w:t>
      </w:r>
      <w:r>
        <w:t>may</w:t>
      </w:r>
      <w:r>
        <w:rPr>
          <w:spacing w:val="-4"/>
        </w:rPr>
        <w:t xml:space="preserve"> </w:t>
      </w:r>
      <w:r>
        <w:t>determine</w:t>
      </w:r>
      <w:r>
        <w:rPr>
          <w:spacing w:val="-3"/>
        </w:rPr>
        <w:t xml:space="preserve"> </w:t>
      </w:r>
      <w:r>
        <w:t>that it should coordinate or concur with the component auditor’s major planning decisions before audit work is started. Additionally, in some cases, the group engagement team should hold discussions with audited entity management and/or perform additional audit procedures in order to meet the relevant requirements of GAGAS.</w:t>
      </w:r>
    </w:p>
    <w:p w14:paraId="0DFDADA4" w14:textId="77777777" w:rsidR="00046465" w:rsidRDefault="008134EB">
      <w:pPr>
        <w:pStyle w:val="Heading4"/>
      </w:pPr>
      <w:bookmarkStart w:id="49" w:name="Understanding_the_Group,_Its_Components,"/>
      <w:bookmarkEnd w:id="49"/>
      <w:r>
        <w:t>Understanding</w:t>
      </w:r>
      <w:r>
        <w:rPr>
          <w:spacing w:val="-13"/>
        </w:rPr>
        <w:t xml:space="preserve"> </w:t>
      </w:r>
      <w:r>
        <w:t>the</w:t>
      </w:r>
      <w:r>
        <w:rPr>
          <w:spacing w:val="-12"/>
        </w:rPr>
        <w:t xml:space="preserve"> </w:t>
      </w:r>
      <w:r>
        <w:t>Group,</w:t>
      </w:r>
      <w:r>
        <w:rPr>
          <w:spacing w:val="-11"/>
        </w:rPr>
        <w:t xml:space="preserve"> </w:t>
      </w:r>
      <w:r>
        <w:t>Its</w:t>
      </w:r>
      <w:r>
        <w:rPr>
          <w:spacing w:val="-12"/>
        </w:rPr>
        <w:t xml:space="preserve"> </w:t>
      </w:r>
      <w:r>
        <w:t>Components,</w:t>
      </w:r>
      <w:r>
        <w:rPr>
          <w:spacing w:val="-12"/>
        </w:rPr>
        <w:t xml:space="preserve"> </w:t>
      </w:r>
      <w:r>
        <w:t>and</w:t>
      </w:r>
      <w:r>
        <w:rPr>
          <w:spacing w:val="-13"/>
        </w:rPr>
        <w:t xml:space="preserve"> </w:t>
      </w:r>
      <w:r>
        <w:t>Their</w:t>
      </w:r>
      <w:r>
        <w:rPr>
          <w:spacing w:val="-12"/>
        </w:rPr>
        <w:t xml:space="preserve"> </w:t>
      </w:r>
      <w:r>
        <w:rPr>
          <w:spacing w:val="-2"/>
        </w:rPr>
        <w:t>Environments</w:t>
      </w:r>
    </w:p>
    <w:p w14:paraId="0DFDADA5" w14:textId="77777777" w:rsidR="00046465" w:rsidRDefault="008134EB">
      <w:pPr>
        <w:pStyle w:val="ListParagraph"/>
        <w:numPr>
          <w:ilvl w:val="0"/>
          <w:numId w:val="217"/>
        </w:numPr>
        <w:tabs>
          <w:tab w:val="left" w:pos="1800"/>
        </w:tabs>
        <w:spacing w:before="119"/>
        <w:ind w:right="924"/>
      </w:pPr>
      <w:r>
        <w:t>The</w:t>
      </w:r>
      <w:r>
        <w:rPr>
          <w:spacing w:val="-3"/>
        </w:rPr>
        <w:t xml:space="preserve"> </w:t>
      </w:r>
      <w:r>
        <w:t>auditor</w:t>
      </w:r>
      <w:r>
        <w:rPr>
          <w:spacing w:val="-4"/>
        </w:rPr>
        <w:t xml:space="preserve"> </w:t>
      </w:r>
      <w:r>
        <w:t>is</w:t>
      </w:r>
      <w:r>
        <w:rPr>
          <w:spacing w:val="-3"/>
        </w:rPr>
        <w:t xml:space="preserve"> </w:t>
      </w:r>
      <w:r>
        <w:t>required</w:t>
      </w:r>
      <w:r>
        <w:rPr>
          <w:spacing w:val="-4"/>
        </w:rPr>
        <w:t xml:space="preserve"> </w:t>
      </w:r>
      <w:r>
        <w:t>to</w:t>
      </w:r>
      <w:r>
        <w:rPr>
          <w:spacing w:val="-4"/>
        </w:rPr>
        <w:t xml:space="preserve"> </w:t>
      </w:r>
      <w:r>
        <w:t>identify</w:t>
      </w:r>
      <w:r>
        <w:rPr>
          <w:spacing w:val="-3"/>
        </w:rPr>
        <w:t xml:space="preserve"> </w:t>
      </w:r>
      <w:r>
        <w:t>and</w:t>
      </w:r>
      <w:r>
        <w:rPr>
          <w:spacing w:val="-4"/>
        </w:rPr>
        <w:t xml:space="preserve"> </w:t>
      </w:r>
      <w:r>
        <w:t>assess</w:t>
      </w:r>
      <w:r>
        <w:rPr>
          <w:spacing w:val="-4"/>
        </w:rPr>
        <w:t xml:space="preserve"> </w:t>
      </w:r>
      <w:r>
        <w:t>the</w:t>
      </w:r>
      <w:r>
        <w:rPr>
          <w:spacing w:val="-4"/>
        </w:rPr>
        <w:t xml:space="preserve"> </w:t>
      </w:r>
      <w:r>
        <w:t>risks</w:t>
      </w:r>
      <w:r>
        <w:rPr>
          <w:spacing w:val="-3"/>
        </w:rPr>
        <w:t xml:space="preserve"> </w:t>
      </w:r>
      <w:r>
        <w:t>of</w:t>
      </w:r>
      <w:r>
        <w:rPr>
          <w:spacing w:val="-4"/>
        </w:rPr>
        <w:t xml:space="preserve"> </w:t>
      </w:r>
      <w:r>
        <w:t>material</w:t>
      </w:r>
      <w:r>
        <w:rPr>
          <w:spacing w:val="-3"/>
        </w:rPr>
        <w:t xml:space="preserve"> </w:t>
      </w:r>
      <w:r>
        <w:t>misstatement by obtaining an understanding of the entity and its environment, the applicable financial reporting framework (generally U.S. GAAP), and the entity’s internal control. The group engagement team should enhance its understanding of the group, its components, and their environments, including group-wide controls, obtained during the acceptance or continuance stage. (AU-C 600A.20)</w:t>
      </w:r>
    </w:p>
    <w:p w14:paraId="0DFDADA6" w14:textId="77777777" w:rsidR="00046465" w:rsidRDefault="008134EB">
      <w:pPr>
        <w:pStyle w:val="BodyText"/>
        <w:spacing w:before="120"/>
        <w:ind w:left="1800" w:right="773"/>
      </w:pPr>
      <w:r>
        <w:t>The group engagement team should also obtain an understanding of the consolidation process, including the instructions that group management issued to components (AU-C 600A.20). Group management ordinarily issues instructions to components in order to achieve uniformity and comparability of financial information. A group engagement team’s understanding of these instructions</w:t>
      </w:r>
      <w:r>
        <w:rPr>
          <w:spacing w:val="-5"/>
        </w:rPr>
        <w:t xml:space="preserve"> </w:t>
      </w:r>
      <w:r>
        <w:t>may</w:t>
      </w:r>
      <w:r>
        <w:rPr>
          <w:spacing w:val="-4"/>
        </w:rPr>
        <w:t xml:space="preserve"> </w:t>
      </w:r>
      <w:r>
        <w:t>include</w:t>
      </w:r>
      <w:r>
        <w:rPr>
          <w:spacing w:val="-5"/>
        </w:rPr>
        <w:t xml:space="preserve"> </w:t>
      </w:r>
      <w:r>
        <w:t>whether</w:t>
      </w:r>
      <w:r>
        <w:rPr>
          <w:spacing w:val="-4"/>
        </w:rPr>
        <w:t xml:space="preserve"> </w:t>
      </w:r>
      <w:r>
        <w:t>the</w:t>
      </w:r>
      <w:r>
        <w:rPr>
          <w:spacing w:val="-4"/>
        </w:rPr>
        <w:t xml:space="preserve"> </w:t>
      </w:r>
      <w:r>
        <w:t>instructions</w:t>
      </w:r>
      <w:r>
        <w:rPr>
          <w:spacing w:val="-5"/>
        </w:rPr>
        <w:t xml:space="preserve"> </w:t>
      </w:r>
      <w:r>
        <w:t>describe</w:t>
      </w:r>
      <w:r>
        <w:rPr>
          <w:spacing w:val="-4"/>
        </w:rPr>
        <w:t xml:space="preserve"> </w:t>
      </w:r>
      <w:r>
        <w:t>the</w:t>
      </w:r>
      <w:r>
        <w:rPr>
          <w:spacing w:val="-4"/>
        </w:rPr>
        <w:t xml:space="preserve"> </w:t>
      </w:r>
      <w:r>
        <w:t>financial</w:t>
      </w:r>
      <w:r>
        <w:rPr>
          <w:spacing w:val="-5"/>
        </w:rPr>
        <w:t xml:space="preserve"> </w:t>
      </w:r>
      <w:r>
        <w:t>reporting framework (generally U.S. GAAP), provide for disclosures consistent with the framework, and provide for component management’s approval of the financial information. (AU-C 600A.A32–.A34)</w:t>
      </w:r>
    </w:p>
    <w:p w14:paraId="0DFDADA7" w14:textId="77777777" w:rsidR="00046465" w:rsidRDefault="008134EB">
      <w:pPr>
        <w:pStyle w:val="ListParagraph"/>
        <w:numPr>
          <w:ilvl w:val="0"/>
          <w:numId w:val="217"/>
        </w:numPr>
        <w:tabs>
          <w:tab w:val="left" w:pos="1800"/>
        </w:tabs>
        <w:spacing w:before="121"/>
        <w:ind w:hanging="720"/>
      </w:pPr>
      <w:r>
        <w:t>The</w:t>
      </w:r>
      <w:r>
        <w:rPr>
          <w:spacing w:val="-7"/>
        </w:rPr>
        <w:t xml:space="preserve"> </w:t>
      </w:r>
      <w:r>
        <w:t>group</w:t>
      </w:r>
      <w:r>
        <w:rPr>
          <w:spacing w:val="-7"/>
        </w:rPr>
        <w:t xml:space="preserve"> </w:t>
      </w:r>
      <w:r>
        <w:t>engagement</w:t>
      </w:r>
      <w:r>
        <w:rPr>
          <w:spacing w:val="-7"/>
        </w:rPr>
        <w:t xml:space="preserve"> </w:t>
      </w:r>
      <w:r>
        <w:t>team</w:t>
      </w:r>
      <w:r>
        <w:rPr>
          <w:spacing w:val="-7"/>
        </w:rPr>
        <w:t xml:space="preserve"> </w:t>
      </w:r>
      <w:r>
        <w:t>should</w:t>
      </w:r>
      <w:r>
        <w:rPr>
          <w:spacing w:val="-7"/>
        </w:rPr>
        <w:t xml:space="preserve"> </w:t>
      </w:r>
      <w:r>
        <w:t>obtain</w:t>
      </w:r>
      <w:r>
        <w:rPr>
          <w:spacing w:val="-7"/>
        </w:rPr>
        <w:t xml:space="preserve"> </w:t>
      </w:r>
      <w:r>
        <w:t>an</w:t>
      </w:r>
      <w:r>
        <w:rPr>
          <w:spacing w:val="-7"/>
        </w:rPr>
        <w:t xml:space="preserve"> </w:t>
      </w:r>
      <w:r>
        <w:t>understanding</w:t>
      </w:r>
      <w:r>
        <w:rPr>
          <w:spacing w:val="-8"/>
        </w:rPr>
        <w:t xml:space="preserve"> </w:t>
      </w:r>
      <w:r>
        <w:t>that</w:t>
      </w:r>
      <w:r>
        <w:rPr>
          <w:spacing w:val="-6"/>
        </w:rPr>
        <w:t xml:space="preserve"> </w:t>
      </w:r>
      <w:r>
        <w:t>is</w:t>
      </w:r>
      <w:r>
        <w:rPr>
          <w:spacing w:val="-7"/>
        </w:rPr>
        <w:t xml:space="preserve"> </w:t>
      </w:r>
      <w:r>
        <w:t>sufficient</w:t>
      </w:r>
      <w:r>
        <w:rPr>
          <w:spacing w:val="-7"/>
        </w:rPr>
        <w:t xml:space="preserve"> </w:t>
      </w:r>
      <w:r>
        <w:rPr>
          <w:spacing w:val="-5"/>
        </w:rPr>
        <w:t>to</w:t>
      </w:r>
    </w:p>
    <w:p w14:paraId="0DFDADA8" w14:textId="77777777" w:rsidR="00046465" w:rsidRDefault="00046465">
      <w:pPr>
        <w:pStyle w:val="ListParagraph"/>
        <w:sectPr w:rsidR="00046465">
          <w:pgSz w:w="12240" w:h="15840"/>
          <w:pgMar w:top="1340" w:right="720" w:bottom="940" w:left="1080" w:header="721" w:footer="757" w:gutter="0"/>
          <w:cols w:space="720"/>
        </w:sectPr>
      </w:pPr>
    </w:p>
    <w:p w14:paraId="0DFDADA9" w14:textId="77777777" w:rsidR="00046465" w:rsidRDefault="008134EB">
      <w:pPr>
        <w:pStyle w:val="ListParagraph"/>
        <w:numPr>
          <w:ilvl w:val="1"/>
          <w:numId w:val="217"/>
        </w:numPr>
        <w:tabs>
          <w:tab w:val="left" w:pos="2159"/>
        </w:tabs>
        <w:spacing w:before="121"/>
        <w:ind w:right="1112"/>
      </w:pPr>
      <w:r>
        <w:lastRenderedPageBreak/>
        <w:t>confirm</w:t>
      </w:r>
      <w:r>
        <w:rPr>
          <w:spacing w:val="-4"/>
        </w:rPr>
        <w:t xml:space="preserve"> </w:t>
      </w:r>
      <w:r>
        <w:t>or</w:t>
      </w:r>
      <w:r>
        <w:rPr>
          <w:spacing w:val="-3"/>
        </w:rPr>
        <w:t xml:space="preserve"> </w:t>
      </w:r>
      <w:r>
        <w:t>revise</w:t>
      </w:r>
      <w:r>
        <w:rPr>
          <w:spacing w:val="-3"/>
        </w:rPr>
        <w:t xml:space="preserve"> </w:t>
      </w:r>
      <w:r>
        <w:t>its</w:t>
      </w:r>
      <w:r>
        <w:rPr>
          <w:spacing w:val="-3"/>
        </w:rPr>
        <w:t xml:space="preserve"> </w:t>
      </w:r>
      <w:r>
        <w:t>initial</w:t>
      </w:r>
      <w:r>
        <w:rPr>
          <w:spacing w:val="-3"/>
        </w:rPr>
        <w:t xml:space="preserve"> </w:t>
      </w:r>
      <w:r>
        <w:t>identification</w:t>
      </w:r>
      <w:r>
        <w:rPr>
          <w:spacing w:val="-3"/>
        </w:rPr>
        <w:t xml:space="preserve"> </w:t>
      </w:r>
      <w:r>
        <w:t>of</w:t>
      </w:r>
      <w:r>
        <w:rPr>
          <w:spacing w:val="-3"/>
        </w:rPr>
        <w:t xml:space="preserve"> </w:t>
      </w:r>
      <w:r>
        <w:t>components</w:t>
      </w:r>
      <w:r>
        <w:rPr>
          <w:spacing w:val="-3"/>
        </w:rPr>
        <w:t xml:space="preserve"> </w:t>
      </w:r>
      <w:r>
        <w:t>that</w:t>
      </w:r>
      <w:r>
        <w:rPr>
          <w:spacing w:val="-3"/>
        </w:rPr>
        <w:t xml:space="preserve"> </w:t>
      </w:r>
      <w:r>
        <w:t>are</w:t>
      </w:r>
      <w:r>
        <w:rPr>
          <w:spacing w:val="-3"/>
        </w:rPr>
        <w:t xml:space="preserve"> </w:t>
      </w:r>
      <w:r>
        <w:t>likely</w:t>
      </w:r>
      <w:r>
        <w:rPr>
          <w:spacing w:val="-3"/>
        </w:rPr>
        <w:t xml:space="preserve"> </w:t>
      </w:r>
      <w:r>
        <w:t>to</w:t>
      </w:r>
      <w:r>
        <w:rPr>
          <w:spacing w:val="-3"/>
        </w:rPr>
        <w:t xml:space="preserve"> </w:t>
      </w:r>
      <w:r>
        <w:t>be significant and</w:t>
      </w:r>
    </w:p>
    <w:p w14:paraId="0DFDADAA" w14:textId="77777777" w:rsidR="00046465" w:rsidRDefault="008134EB">
      <w:pPr>
        <w:pStyle w:val="ListParagraph"/>
        <w:numPr>
          <w:ilvl w:val="1"/>
          <w:numId w:val="217"/>
        </w:numPr>
        <w:tabs>
          <w:tab w:val="left" w:pos="2159"/>
        </w:tabs>
        <w:spacing w:before="119"/>
        <w:ind w:right="955"/>
      </w:pPr>
      <w:r>
        <w:t>assess</w:t>
      </w:r>
      <w:r>
        <w:rPr>
          <w:spacing w:val="-5"/>
        </w:rPr>
        <w:t xml:space="preserve"> </w:t>
      </w:r>
      <w:r>
        <w:t>the</w:t>
      </w:r>
      <w:r>
        <w:rPr>
          <w:spacing w:val="-4"/>
        </w:rPr>
        <w:t xml:space="preserve"> </w:t>
      </w:r>
      <w:r>
        <w:t>risks</w:t>
      </w:r>
      <w:r>
        <w:rPr>
          <w:spacing w:val="-4"/>
        </w:rPr>
        <w:t xml:space="preserve"> </w:t>
      </w:r>
      <w:r>
        <w:t>of</w:t>
      </w:r>
      <w:r>
        <w:rPr>
          <w:spacing w:val="-5"/>
        </w:rPr>
        <w:t xml:space="preserve"> </w:t>
      </w:r>
      <w:r>
        <w:t>material</w:t>
      </w:r>
      <w:r>
        <w:rPr>
          <w:spacing w:val="-4"/>
        </w:rPr>
        <w:t xml:space="preserve"> </w:t>
      </w:r>
      <w:r>
        <w:t>misstatement</w:t>
      </w:r>
      <w:r>
        <w:rPr>
          <w:spacing w:val="-4"/>
        </w:rPr>
        <w:t xml:space="preserve"> </w:t>
      </w:r>
      <w:r>
        <w:t>of</w:t>
      </w:r>
      <w:r>
        <w:rPr>
          <w:spacing w:val="-4"/>
        </w:rPr>
        <w:t xml:space="preserve"> </w:t>
      </w:r>
      <w:r>
        <w:t>the</w:t>
      </w:r>
      <w:r>
        <w:rPr>
          <w:spacing w:val="-4"/>
        </w:rPr>
        <w:t xml:space="preserve"> </w:t>
      </w:r>
      <w:r>
        <w:t>group</w:t>
      </w:r>
      <w:r>
        <w:rPr>
          <w:spacing w:val="-4"/>
        </w:rPr>
        <w:t xml:space="preserve"> </w:t>
      </w:r>
      <w:r>
        <w:t>financial</w:t>
      </w:r>
      <w:r>
        <w:rPr>
          <w:spacing w:val="-4"/>
        </w:rPr>
        <w:t xml:space="preserve"> </w:t>
      </w:r>
      <w:r>
        <w:t>statements, whether due to fraud or error (AU-C 600A.21).</w:t>
      </w:r>
    </w:p>
    <w:p w14:paraId="0DFDADAB" w14:textId="77777777" w:rsidR="00046465" w:rsidRDefault="008134EB">
      <w:pPr>
        <w:pStyle w:val="BodyText"/>
        <w:spacing w:before="121"/>
        <w:ind w:left="1800" w:right="825"/>
      </w:pPr>
      <w:r>
        <w:t>The</w:t>
      </w:r>
      <w:r>
        <w:rPr>
          <w:spacing w:val="-4"/>
        </w:rPr>
        <w:t xml:space="preserve"> </w:t>
      </w:r>
      <w:r>
        <w:t>group</w:t>
      </w:r>
      <w:r>
        <w:rPr>
          <w:spacing w:val="-4"/>
        </w:rPr>
        <w:t xml:space="preserve"> </w:t>
      </w:r>
      <w:r>
        <w:t>engagement</w:t>
      </w:r>
      <w:r>
        <w:rPr>
          <w:spacing w:val="-4"/>
        </w:rPr>
        <w:t xml:space="preserve"> </w:t>
      </w:r>
      <w:r>
        <w:t>team’s</w:t>
      </w:r>
      <w:r>
        <w:rPr>
          <w:spacing w:val="-4"/>
        </w:rPr>
        <w:t xml:space="preserve"> </w:t>
      </w:r>
      <w:r>
        <w:t>assessment</w:t>
      </w:r>
      <w:r>
        <w:rPr>
          <w:spacing w:val="-4"/>
        </w:rPr>
        <w:t xml:space="preserve"> </w:t>
      </w:r>
      <w:r>
        <w:t>of</w:t>
      </w:r>
      <w:r>
        <w:rPr>
          <w:spacing w:val="-4"/>
        </w:rPr>
        <w:t xml:space="preserve"> </w:t>
      </w:r>
      <w:r>
        <w:t>the</w:t>
      </w:r>
      <w:r>
        <w:rPr>
          <w:spacing w:val="-4"/>
        </w:rPr>
        <w:t xml:space="preserve"> </w:t>
      </w:r>
      <w:r>
        <w:t>risks</w:t>
      </w:r>
      <w:r>
        <w:rPr>
          <w:spacing w:val="-4"/>
        </w:rPr>
        <w:t xml:space="preserve"> </w:t>
      </w:r>
      <w:r>
        <w:t>of</w:t>
      </w:r>
      <w:r>
        <w:rPr>
          <w:spacing w:val="-5"/>
        </w:rPr>
        <w:t xml:space="preserve"> </w:t>
      </w:r>
      <w:r>
        <w:t>material</w:t>
      </w:r>
      <w:r>
        <w:rPr>
          <w:spacing w:val="-4"/>
        </w:rPr>
        <w:t xml:space="preserve"> </w:t>
      </w:r>
      <w:r>
        <w:t>misstatement of the group financial statements is based on information such as the following (AU-C 600A.A38–.A39):</w:t>
      </w:r>
    </w:p>
    <w:p w14:paraId="0DFDADAC" w14:textId="77777777" w:rsidR="00046465" w:rsidRDefault="008134EB">
      <w:pPr>
        <w:pStyle w:val="ListParagraph"/>
        <w:numPr>
          <w:ilvl w:val="0"/>
          <w:numId w:val="216"/>
        </w:numPr>
        <w:tabs>
          <w:tab w:val="left" w:pos="2159"/>
        </w:tabs>
        <w:spacing w:before="119"/>
        <w:ind w:right="744"/>
      </w:pPr>
      <w:r>
        <w:t>information obtained based on understanding of the group, its components, and their environments and of the consolidation process, including audit evidence</w:t>
      </w:r>
      <w:r>
        <w:rPr>
          <w:spacing w:val="-5"/>
        </w:rPr>
        <w:t xml:space="preserve"> </w:t>
      </w:r>
      <w:r>
        <w:t>obtained</w:t>
      </w:r>
      <w:r>
        <w:rPr>
          <w:spacing w:val="-5"/>
        </w:rPr>
        <w:t xml:space="preserve"> </w:t>
      </w:r>
      <w:r>
        <w:t>in</w:t>
      </w:r>
      <w:r>
        <w:rPr>
          <w:spacing w:val="-5"/>
        </w:rPr>
        <w:t xml:space="preserve"> </w:t>
      </w:r>
      <w:r>
        <w:t>evaluating</w:t>
      </w:r>
      <w:r>
        <w:rPr>
          <w:spacing w:val="-5"/>
        </w:rPr>
        <w:t xml:space="preserve"> </w:t>
      </w:r>
      <w:r>
        <w:t>the</w:t>
      </w:r>
      <w:r>
        <w:rPr>
          <w:spacing w:val="-5"/>
        </w:rPr>
        <w:t xml:space="preserve"> </w:t>
      </w:r>
      <w:r>
        <w:t>design</w:t>
      </w:r>
      <w:r>
        <w:rPr>
          <w:spacing w:val="-5"/>
        </w:rPr>
        <w:t xml:space="preserve"> </w:t>
      </w:r>
      <w:r>
        <w:t>and</w:t>
      </w:r>
      <w:r>
        <w:rPr>
          <w:spacing w:val="-5"/>
        </w:rPr>
        <w:t xml:space="preserve"> </w:t>
      </w:r>
      <w:r>
        <w:t>implementation</w:t>
      </w:r>
      <w:r>
        <w:rPr>
          <w:spacing w:val="-5"/>
        </w:rPr>
        <w:t xml:space="preserve"> </w:t>
      </w:r>
      <w:r>
        <w:t>of</w:t>
      </w:r>
      <w:r>
        <w:rPr>
          <w:spacing w:val="-5"/>
        </w:rPr>
        <w:t xml:space="preserve"> </w:t>
      </w:r>
      <w:r>
        <w:t>group-wide controls and controls that are relevant to the consolidation (refer to appendix B at AU-C 600A.A95 for examples of conditions or events that may indicate risks of material misstatement of the group financial statements), and</w:t>
      </w:r>
    </w:p>
    <w:p w14:paraId="0DFDADAD" w14:textId="77777777" w:rsidR="00046465" w:rsidRDefault="008134EB">
      <w:pPr>
        <w:pStyle w:val="ListParagraph"/>
        <w:numPr>
          <w:ilvl w:val="0"/>
          <w:numId w:val="216"/>
        </w:numPr>
        <w:tabs>
          <w:tab w:val="left" w:pos="2158"/>
        </w:tabs>
        <w:spacing w:before="121"/>
        <w:ind w:left="2158" w:hanging="359"/>
      </w:pPr>
      <w:r>
        <w:t>information</w:t>
      </w:r>
      <w:r>
        <w:rPr>
          <w:spacing w:val="-8"/>
        </w:rPr>
        <w:t xml:space="preserve"> </w:t>
      </w:r>
      <w:r>
        <w:t>obtained</w:t>
      </w:r>
      <w:r>
        <w:rPr>
          <w:spacing w:val="-8"/>
        </w:rPr>
        <w:t xml:space="preserve"> </w:t>
      </w:r>
      <w:r>
        <w:t>from</w:t>
      </w:r>
      <w:r>
        <w:rPr>
          <w:spacing w:val="-9"/>
        </w:rPr>
        <w:t xml:space="preserve"> </w:t>
      </w:r>
      <w:r>
        <w:t>the</w:t>
      </w:r>
      <w:r>
        <w:rPr>
          <w:spacing w:val="-7"/>
        </w:rPr>
        <w:t xml:space="preserve"> </w:t>
      </w:r>
      <w:r>
        <w:t>component</w:t>
      </w:r>
      <w:r>
        <w:rPr>
          <w:spacing w:val="-8"/>
        </w:rPr>
        <w:t xml:space="preserve"> </w:t>
      </w:r>
      <w:r>
        <w:rPr>
          <w:spacing w:val="-2"/>
        </w:rPr>
        <w:t>auditors.</w:t>
      </w:r>
    </w:p>
    <w:p w14:paraId="0DFDADAE" w14:textId="77777777" w:rsidR="00046465" w:rsidRDefault="008134EB">
      <w:pPr>
        <w:pStyle w:val="ListParagraph"/>
        <w:numPr>
          <w:ilvl w:val="0"/>
          <w:numId w:val="217"/>
        </w:numPr>
        <w:tabs>
          <w:tab w:val="left" w:pos="1799"/>
        </w:tabs>
        <w:spacing w:before="119"/>
        <w:ind w:left="1799" w:right="800"/>
      </w:pPr>
      <w:r>
        <w:t>The auditor is required to identify and assess the risks of material misstatement of the financial statements due to fraud or error and to design and implement appropriate</w:t>
      </w:r>
      <w:r>
        <w:rPr>
          <w:spacing w:val="-5"/>
        </w:rPr>
        <w:t xml:space="preserve"> </w:t>
      </w:r>
      <w:r>
        <w:t>responses</w:t>
      </w:r>
      <w:r>
        <w:rPr>
          <w:spacing w:val="-4"/>
        </w:rPr>
        <w:t xml:space="preserve"> </w:t>
      </w:r>
      <w:r>
        <w:t>to</w:t>
      </w:r>
      <w:r>
        <w:rPr>
          <w:spacing w:val="-4"/>
        </w:rPr>
        <w:t xml:space="preserve"> </w:t>
      </w:r>
      <w:r>
        <w:t>the</w:t>
      </w:r>
      <w:r>
        <w:rPr>
          <w:spacing w:val="-4"/>
        </w:rPr>
        <w:t xml:space="preserve"> </w:t>
      </w:r>
      <w:r>
        <w:t>assessed</w:t>
      </w:r>
      <w:r>
        <w:rPr>
          <w:spacing w:val="-4"/>
        </w:rPr>
        <w:t xml:space="preserve"> </w:t>
      </w:r>
      <w:r>
        <w:t>risk.</w:t>
      </w:r>
      <w:r>
        <w:rPr>
          <w:spacing w:val="-5"/>
        </w:rPr>
        <w:t xml:space="preserve"> </w:t>
      </w:r>
      <w:r>
        <w:t>Information</w:t>
      </w:r>
      <w:r>
        <w:rPr>
          <w:spacing w:val="-4"/>
        </w:rPr>
        <w:t xml:space="preserve"> </w:t>
      </w:r>
      <w:r>
        <w:t>used</w:t>
      </w:r>
      <w:r>
        <w:rPr>
          <w:spacing w:val="-4"/>
        </w:rPr>
        <w:t xml:space="preserve"> </w:t>
      </w:r>
      <w:r>
        <w:t>to</w:t>
      </w:r>
      <w:r>
        <w:rPr>
          <w:spacing w:val="-4"/>
        </w:rPr>
        <w:t xml:space="preserve"> </w:t>
      </w:r>
      <w:r>
        <w:t>identify</w:t>
      </w:r>
      <w:r>
        <w:rPr>
          <w:spacing w:val="-4"/>
        </w:rPr>
        <w:t xml:space="preserve"> </w:t>
      </w:r>
      <w:r>
        <w:t>the</w:t>
      </w:r>
      <w:r>
        <w:rPr>
          <w:spacing w:val="-4"/>
        </w:rPr>
        <w:t xml:space="preserve"> </w:t>
      </w:r>
      <w:r>
        <w:t>risks of material misstatement of the group financial statements due to fraud may include the following (AU-C 600A.A35):</w:t>
      </w:r>
    </w:p>
    <w:p w14:paraId="0DFDADAF" w14:textId="77777777" w:rsidR="00046465" w:rsidRDefault="008134EB">
      <w:pPr>
        <w:pStyle w:val="ListParagraph"/>
        <w:numPr>
          <w:ilvl w:val="1"/>
          <w:numId w:val="217"/>
        </w:numPr>
        <w:tabs>
          <w:tab w:val="left" w:pos="2159"/>
        </w:tabs>
        <w:ind w:right="1566"/>
      </w:pPr>
      <w:r>
        <w:t>group</w:t>
      </w:r>
      <w:r>
        <w:rPr>
          <w:spacing w:val="-5"/>
        </w:rPr>
        <w:t xml:space="preserve"> </w:t>
      </w:r>
      <w:r>
        <w:t>management’s</w:t>
      </w:r>
      <w:r>
        <w:rPr>
          <w:spacing w:val="-5"/>
        </w:rPr>
        <w:t xml:space="preserve"> </w:t>
      </w:r>
      <w:r>
        <w:t>assessment</w:t>
      </w:r>
      <w:r>
        <w:rPr>
          <w:spacing w:val="-5"/>
        </w:rPr>
        <w:t xml:space="preserve"> </w:t>
      </w:r>
      <w:r>
        <w:t>of</w:t>
      </w:r>
      <w:r>
        <w:rPr>
          <w:spacing w:val="-6"/>
        </w:rPr>
        <w:t xml:space="preserve"> </w:t>
      </w:r>
      <w:r>
        <w:t>the</w:t>
      </w:r>
      <w:r>
        <w:rPr>
          <w:spacing w:val="-5"/>
        </w:rPr>
        <w:t xml:space="preserve"> </w:t>
      </w:r>
      <w:r>
        <w:t>risks</w:t>
      </w:r>
      <w:r>
        <w:rPr>
          <w:spacing w:val="-5"/>
        </w:rPr>
        <w:t xml:space="preserve"> </w:t>
      </w:r>
      <w:r>
        <w:t>that</w:t>
      </w:r>
      <w:r>
        <w:rPr>
          <w:spacing w:val="-5"/>
        </w:rPr>
        <w:t xml:space="preserve"> </w:t>
      </w:r>
      <w:r>
        <w:t>the</w:t>
      </w:r>
      <w:r>
        <w:rPr>
          <w:spacing w:val="-5"/>
        </w:rPr>
        <w:t xml:space="preserve"> </w:t>
      </w:r>
      <w:r>
        <w:t>group</w:t>
      </w:r>
      <w:r>
        <w:rPr>
          <w:spacing w:val="-6"/>
        </w:rPr>
        <w:t xml:space="preserve"> </w:t>
      </w:r>
      <w:r>
        <w:t>financial statements may be materially misstated as a result of fraud or error;</w:t>
      </w:r>
    </w:p>
    <w:p w14:paraId="0DFDADB0" w14:textId="77777777" w:rsidR="00046465" w:rsidRDefault="008134EB">
      <w:pPr>
        <w:pStyle w:val="ListParagraph"/>
        <w:numPr>
          <w:ilvl w:val="1"/>
          <w:numId w:val="217"/>
        </w:numPr>
        <w:tabs>
          <w:tab w:val="left" w:pos="2159"/>
        </w:tabs>
        <w:ind w:right="732"/>
        <w:rPr>
          <w:position w:val="7"/>
          <w:sz w:val="14"/>
        </w:rPr>
      </w:pPr>
      <w:r>
        <w:t>group management’s process for identifying and responding to the risks of fraud or error in the group, including any specific fraud risks that group management</w:t>
      </w:r>
      <w:r>
        <w:rPr>
          <w:spacing w:val="-4"/>
        </w:rPr>
        <w:t xml:space="preserve"> </w:t>
      </w:r>
      <w:r>
        <w:t>identified</w:t>
      </w:r>
      <w:r>
        <w:rPr>
          <w:spacing w:val="-4"/>
        </w:rPr>
        <w:t xml:space="preserve"> </w:t>
      </w:r>
      <w:r>
        <w:t>or</w:t>
      </w:r>
      <w:r>
        <w:rPr>
          <w:spacing w:val="-4"/>
        </w:rPr>
        <w:t xml:space="preserve"> </w:t>
      </w:r>
      <w:r>
        <w:t>line</w:t>
      </w:r>
      <w:r>
        <w:rPr>
          <w:spacing w:val="-4"/>
        </w:rPr>
        <w:t xml:space="preserve"> </w:t>
      </w:r>
      <w:r>
        <w:t>items,</w:t>
      </w:r>
      <w:r>
        <w:rPr>
          <w:spacing w:val="-5"/>
        </w:rPr>
        <w:t xml:space="preserve"> </w:t>
      </w:r>
      <w:r>
        <w:t>accounts,</w:t>
      </w:r>
      <w:r>
        <w:rPr>
          <w:spacing w:val="-4"/>
        </w:rPr>
        <w:t xml:space="preserve"> </w:t>
      </w:r>
      <w:r>
        <w:t>note</w:t>
      </w:r>
      <w:r>
        <w:rPr>
          <w:spacing w:val="-4"/>
        </w:rPr>
        <w:t xml:space="preserve"> </w:t>
      </w:r>
      <w:r>
        <w:t>disclosures,</w:t>
      </w:r>
      <w:r>
        <w:rPr>
          <w:spacing w:val="-4"/>
        </w:rPr>
        <w:t xml:space="preserve"> </w:t>
      </w:r>
      <w:r>
        <w:t>or</w:t>
      </w:r>
      <w:r>
        <w:rPr>
          <w:spacing w:val="-4"/>
        </w:rPr>
        <w:t xml:space="preserve"> </w:t>
      </w:r>
      <w:r>
        <w:t>classes</w:t>
      </w:r>
      <w:r>
        <w:rPr>
          <w:spacing w:val="-4"/>
        </w:rPr>
        <w:t xml:space="preserve"> </w:t>
      </w:r>
      <w:r>
        <w:t>of transactions, for which a risk of fraud is likely;</w:t>
      </w:r>
      <w:hyperlink w:anchor="_bookmark14" w:history="1">
        <w:r>
          <w:rPr>
            <w:position w:val="7"/>
            <w:sz w:val="14"/>
          </w:rPr>
          <w:t>9</w:t>
        </w:r>
      </w:hyperlink>
    </w:p>
    <w:p w14:paraId="0DFDADB1" w14:textId="77777777" w:rsidR="00046465" w:rsidRDefault="008134EB">
      <w:pPr>
        <w:pStyle w:val="ListParagraph"/>
        <w:numPr>
          <w:ilvl w:val="1"/>
          <w:numId w:val="217"/>
        </w:numPr>
        <w:tabs>
          <w:tab w:val="left" w:pos="2158"/>
        </w:tabs>
        <w:ind w:left="2158" w:hanging="359"/>
      </w:pPr>
      <w:r>
        <w:t>whether</w:t>
      </w:r>
      <w:r>
        <w:rPr>
          <w:spacing w:val="-6"/>
        </w:rPr>
        <w:t xml:space="preserve"> </w:t>
      </w:r>
      <w:r>
        <w:t>particular</w:t>
      </w:r>
      <w:r>
        <w:rPr>
          <w:spacing w:val="-5"/>
        </w:rPr>
        <w:t xml:space="preserve"> </w:t>
      </w:r>
      <w:r>
        <w:t>components</w:t>
      </w:r>
      <w:r>
        <w:rPr>
          <w:spacing w:val="-5"/>
        </w:rPr>
        <w:t xml:space="preserve"> </w:t>
      </w:r>
      <w:r>
        <w:t>exist</w:t>
      </w:r>
      <w:r>
        <w:rPr>
          <w:spacing w:val="-6"/>
        </w:rPr>
        <w:t xml:space="preserve"> </w:t>
      </w:r>
      <w:r>
        <w:t>for</w:t>
      </w:r>
      <w:r>
        <w:rPr>
          <w:spacing w:val="-5"/>
        </w:rPr>
        <w:t xml:space="preserve"> </w:t>
      </w:r>
      <w:r>
        <w:t>which</w:t>
      </w:r>
      <w:r>
        <w:rPr>
          <w:spacing w:val="-5"/>
        </w:rPr>
        <w:t xml:space="preserve"> </w:t>
      </w:r>
      <w:r>
        <w:t>a</w:t>
      </w:r>
      <w:r>
        <w:rPr>
          <w:spacing w:val="-6"/>
        </w:rPr>
        <w:t xml:space="preserve"> </w:t>
      </w:r>
      <w:r>
        <w:t>risk</w:t>
      </w:r>
      <w:r>
        <w:rPr>
          <w:spacing w:val="-5"/>
        </w:rPr>
        <w:t xml:space="preserve"> </w:t>
      </w:r>
      <w:r>
        <w:t>of</w:t>
      </w:r>
      <w:r>
        <w:rPr>
          <w:spacing w:val="-5"/>
        </w:rPr>
        <w:t xml:space="preserve"> </w:t>
      </w:r>
      <w:r>
        <w:t>fraud</w:t>
      </w:r>
      <w:r>
        <w:rPr>
          <w:spacing w:val="-6"/>
        </w:rPr>
        <w:t xml:space="preserve"> </w:t>
      </w:r>
      <w:r>
        <w:t>or</w:t>
      </w:r>
      <w:r>
        <w:rPr>
          <w:spacing w:val="-6"/>
        </w:rPr>
        <w:t xml:space="preserve"> </w:t>
      </w:r>
      <w:r>
        <w:t>error</w:t>
      </w:r>
      <w:r>
        <w:rPr>
          <w:spacing w:val="-5"/>
        </w:rPr>
        <w:t xml:space="preserve"> </w:t>
      </w:r>
      <w:r>
        <w:t>is</w:t>
      </w:r>
      <w:r>
        <w:rPr>
          <w:spacing w:val="-5"/>
        </w:rPr>
        <w:t xml:space="preserve"> </w:t>
      </w:r>
      <w:r>
        <w:rPr>
          <w:spacing w:val="-2"/>
        </w:rPr>
        <w:t>likely;</w:t>
      </w:r>
    </w:p>
    <w:p w14:paraId="0DFDADB2" w14:textId="77777777" w:rsidR="00046465" w:rsidRDefault="008134EB">
      <w:pPr>
        <w:pStyle w:val="ListParagraph"/>
        <w:numPr>
          <w:ilvl w:val="1"/>
          <w:numId w:val="217"/>
        </w:numPr>
        <w:tabs>
          <w:tab w:val="left" w:pos="2159"/>
        </w:tabs>
        <w:spacing w:before="121"/>
        <w:ind w:right="894"/>
      </w:pPr>
      <w:r>
        <w:t>how those charged with governance of the group monitor group management’s</w:t>
      </w:r>
      <w:r>
        <w:rPr>
          <w:spacing w:val="-4"/>
        </w:rPr>
        <w:t xml:space="preserve"> </w:t>
      </w:r>
      <w:r>
        <w:t>processes</w:t>
      </w:r>
      <w:r>
        <w:rPr>
          <w:spacing w:val="-4"/>
        </w:rPr>
        <w:t xml:space="preserve"> </w:t>
      </w:r>
      <w:r>
        <w:t>for</w:t>
      </w:r>
      <w:r>
        <w:rPr>
          <w:spacing w:val="-4"/>
        </w:rPr>
        <w:t xml:space="preserve"> </w:t>
      </w:r>
      <w:r>
        <w:t>identifying</w:t>
      </w:r>
      <w:r>
        <w:rPr>
          <w:spacing w:val="-4"/>
        </w:rPr>
        <w:t xml:space="preserve"> </w:t>
      </w:r>
      <w:r>
        <w:t>and</w:t>
      </w:r>
      <w:r>
        <w:rPr>
          <w:spacing w:val="-4"/>
        </w:rPr>
        <w:t xml:space="preserve"> </w:t>
      </w:r>
      <w:r>
        <w:t>responding</w:t>
      </w:r>
      <w:r>
        <w:rPr>
          <w:spacing w:val="-4"/>
        </w:rPr>
        <w:t xml:space="preserve"> </w:t>
      </w:r>
      <w:r>
        <w:t>to</w:t>
      </w:r>
      <w:r>
        <w:rPr>
          <w:spacing w:val="-4"/>
        </w:rPr>
        <w:t xml:space="preserve"> </w:t>
      </w:r>
      <w:r>
        <w:t>the</w:t>
      </w:r>
      <w:r>
        <w:rPr>
          <w:spacing w:val="-4"/>
        </w:rPr>
        <w:t xml:space="preserve"> </w:t>
      </w:r>
      <w:r>
        <w:t>risks</w:t>
      </w:r>
      <w:r>
        <w:rPr>
          <w:spacing w:val="-4"/>
        </w:rPr>
        <w:t xml:space="preserve"> </w:t>
      </w:r>
      <w:r>
        <w:t>of</w:t>
      </w:r>
      <w:r>
        <w:rPr>
          <w:spacing w:val="-4"/>
        </w:rPr>
        <w:t xml:space="preserve"> </w:t>
      </w:r>
      <w:r>
        <w:t>fraud or</w:t>
      </w:r>
      <w:r>
        <w:rPr>
          <w:spacing w:val="-3"/>
        </w:rPr>
        <w:t xml:space="preserve"> </w:t>
      </w:r>
      <w:r>
        <w:t>error</w:t>
      </w:r>
      <w:r>
        <w:rPr>
          <w:spacing w:val="-3"/>
        </w:rPr>
        <w:t xml:space="preserve"> </w:t>
      </w:r>
      <w:r>
        <w:t>in</w:t>
      </w:r>
      <w:r>
        <w:rPr>
          <w:spacing w:val="-3"/>
        </w:rPr>
        <w:t xml:space="preserve"> </w:t>
      </w:r>
      <w:r>
        <w:t>the</w:t>
      </w:r>
      <w:r>
        <w:rPr>
          <w:spacing w:val="-3"/>
        </w:rPr>
        <w:t xml:space="preserve"> </w:t>
      </w:r>
      <w:r>
        <w:t>group</w:t>
      </w:r>
      <w:r>
        <w:rPr>
          <w:spacing w:val="-3"/>
        </w:rPr>
        <w:t xml:space="preserve"> </w:t>
      </w:r>
      <w:r>
        <w:t>and</w:t>
      </w:r>
      <w:r>
        <w:rPr>
          <w:spacing w:val="-3"/>
        </w:rPr>
        <w:t xml:space="preserve"> </w:t>
      </w:r>
      <w:r>
        <w:t>the</w:t>
      </w:r>
      <w:r>
        <w:rPr>
          <w:spacing w:val="-3"/>
        </w:rPr>
        <w:t xml:space="preserve"> </w:t>
      </w:r>
      <w:r>
        <w:t>controls</w:t>
      </w:r>
      <w:r>
        <w:rPr>
          <w:spacing w:val="-4"/>
        </w:rPr>
        <w:t xml:space="preserve"> </w:t>
      </w:r>
      <w:r>
        <w:t>group</w:t>
      </w:r>
      <w:r>
        <w:rPr>
          <w:spacing w:val="-3"/>
        </w:rPr>
        <w:t xml:space="preserve"> </w:t>
      </w:r>
      <w:r>
        <w:t>management</w:t>
      </w:r>
      <w:r>
        <w:rPr>
          <w:spacing w:val="-3"/>
        </w:rPr>
        <w:t xml:space="preserve"> </w:t>
      </w:r>
      <w:r>
        <w:t>has</w:t>
      </w:r>
      <w:r>
        <w:rPr>
          <w:spacing w:val="-3"/>
        </w:rPr>
        <w:t xml:space="preserve"> </w:t>
      </w:r>
      <w:r>
        <w:t>established</w:t>
      </w:r>
      <w:r>
        <w:rPr>
          <w:spacing w:val="-3"/>
        </w:rPr>
        <w:t xml:space="preserve"> </w:t>
      </w:r>
      <w:r>
        <w:t>to mitigate these risks; and</w:t>
      </w:r>
    </w:p>
    <w:p w14:paraId="0DFDADB3" w14:textId="77777777" w:rsidR="00046465" w:rsidRDefault="008134EB">
      <w:pPr>
        <w:pStyle w:val="ListParagraph"/>
        <w:numPr>
          <w:ilvl w:val="1"/>
          <w:numId w:val="217"/>
        </w:numPr>
        <w:tabs>
          <w:tab w:val="left" w:pos="2159"/>
        </w:tabs>
        <w:spacing w:before="119"/>
        <w:ind w:right="746"/>
      </w:pPr>
      <w:r>
        <w:t>responses of those charged with governance of the group, group management, and appropriate individuals within the internal audit function (and, if considered appropriate, component management, the component auditors,</w:t>
      </w:r>
      <w:r>
        <w:rPr>
          <w:spacing w:val="-3"/>
        </w:rPr>
        <w:t xml:space="preserve"> </w:t>
      </w:r>
      <w:r>
        <w:t>and</w:t>
      </w:r>
      <w:r>
        <w:rPr>
          <w:spacing w:val="-3"/>
        </w:rPr>
        <w:t xml:space="preserve"> </w:t>
      </w:r>
      <w:r>
        <w:t>others)</w:t>
      </w:r>
      <w:r>
        <w:rPr>
          <w:spacing w:val="-3"/>
        </w:rPr>
        <w:t xml:space="preserve"> </w:t>
      </w:r>
      <w:r>
        <w:t>to</w:t>
      </w:r>
      <w:r>
        <w:rPr>
          <w:spacing w:val="-4"/>
        </w:rPr>
        <w:t xml:space="preserve"> </w:t>
      </w:r>
      <w:r>
        <w:t>the</w:t>
      </w:r>
      <w:r>
        <w:rPr>
          <w:spacing w:val="-3"/>
        </w:rPr>
        <w:t xml:space="preserve"> </w:t>
      </w:r>
      <w:r>
        <w:t>group</w:t>
      </w:r>
      <w:r>
        <w:rPr>
          <w:spacing w:val="-3"/>
        </w:rPr>
        <w:t xml:space="preserve"> </w:t>
      </w:r>
      <w:r>
        <w:t>engagement</w:t>
      </w:r>
      <w:r>
        <w:rPr>
          <w:spacing w:val="-3"/>
        </w:rPr>
        <w:t xml:space="preserve"> </w:t>
      </w:r>
      <w:r>
        <w:t>team’s</w:t>
      </w:r>
      <w:r>
        <w:rPr>
          <w:spacing w:val="-3"/>
        </w:rPr>
        <w:t xml:space="preserve"> </w:t>
      </w:r>
      <w:r>
        <w:t>inquiry</w:t>
      </w:r>
      <w:r>
        <w:rPr>
          <w:spacing w:val="-3"/>
        </w:rPr>
        <w:t xml:space="preserve"> </w:t>
      </w:r>
      <w:r>
        <w:t>of</w:t>
      </w:r>
      <w:r>
        <w:rPr>
          <w:spacing w:val="-2"/>
        </w:rPr>
        <w:t xml:space="preserve"> </w:t>
      </w:r>
      <w:r>
        <w:t>whether</w:t>
      </w:r>
      <w:r>
        <w:rPr>
          <w:spacing w:val="-3"/>
        </w:rPr>
        <w:t xml:space="preserve"> </w:t>
      </w:r>
      <w:r>
        <w:t>they have</w:t>
      </w:r>
      <w:r>
        <w:rPr>
          <w:spacing w:val="-4"/>
        </w:rPr>
        <w:t xml:space="preserve"> </w:t>
      </w:r>
      <w:r>
        <w:t>knowledge</w:t>
      </w:r>
      <w:r>
        <w:rPr>
          <w:spacing w:val="-4"/>
        </w:rPr>
        <w:t xml:space="preserve"> </w:t>
      </w:r>
      <w:r>
        <w:t>of</w:t>
      </w:r>
      <w:r>
        <w:rPr>
          <w:spacing w:val="-4"/>
        </w:rPr>
        <w:t xml:space="preserve"> </w:t>
      </w:r>
      <w:r>
        <w:t>any</w:t>
      </w:r>
      <w:r>
        <w:rPr>
          <w:spacing w:val="-4"/>
        </w:rPr>
        <w:t xml:space="preserve"> </w:t>
      </w:r>
      <w:r>
        <w:t>actual,</w:t>
      </w:r>
      <w:r>
        <w:rPr>
          <w:spacing w:val="-4"/>
        </w:rPr>
        <w:t xml:space="preserve"> </w:t>
      </w:r>
      <w:r>
        <w:t>suspected,</w:t>
      </w:r>
      <w:r>
        <w:rPr>
          <w:spacing w:val="-4"/>
        </w:rPr>
        <w:t xml:space="preserve"> </w:t>
      </w:r>
      <w:r>
        <w:t>or</w:t>
      </w:r>
      <w:r>
        <w:rPr>
          <w:spacing w:val="-4"/>
        </w:rPr>
        <w:t xml:space="preserve"> </w:t>
      </w:r>
      <w:r>
        <w:t>alleged</w:t>
      </w:r>
      <w:r>
        <w:rPr>
          <w:spacing w:val="-4"/>
        </w:rPr>
        <w:t xml:space="preserve"> </w:t>
      </w:r>
      <w:r>
        <w:t>fraud</w:t>
      </w:r>
      <w:r>
        <w:rPr>
          <w:spacing w:val="-4"/>
        </w:rPr>
        <w:t xml:space="preserve"> </w:t>
      </w:r>
      <w:r>
        <w:t>or</w:t>
      </w:r>
      <w:r>
        <w:rPr>
          <w:spacing w:val="-4"/>
        </w:rPr>
        <w:t xml:space="preserve"> </w:t>
      </w:r>
      <w:r>
        <w:t>error</w:t>
      </w:r>
      <w:r>
        <w:rPr>
          <w:spacing w:val="-4"/>
        </w:rPr>
        <w:t xml:space="preserve"> </w:t>
      </w:r>
      <w:r>
        <w:t>affecting</w:t>
      </w:r>
      <w:r>
        <w:rPr>
          <w:spacing w:val="-4"/>
        </w:rPr>
        <w:t xml:space="preserve"> </w:t>
      </w:r>
      <w:r>
        <w:t>a component or the group.</w:t>
      </w:r>
    </w:p>
    <w:p w14:paraId="0DFDADB4" w14:textId="77777777" w:rsidR="00046465" w:rsidRDefault="008134EB">
      <w:pPr>
        <w:pStyle w:val="Heading4"/>
      </w:pPr>
      <w:bookmarkStart w:id="50" w:name="Understanding_the_Component_Auditor"/>
      <w:bookmarkEnd w:id="50"/>
      <w:r>
        <w:t>Understanding</w:t>
      </w:r>
      <w:r>
        <w:rPr>
          <w:spacing w:val="-18"/>
        </w:rPr>
        <w:t xml:space="preserve"> </w:t>
      </w:r>
      <w:r>
        <w:t>the</w:t>
      </w:r>
      <w:r>
        <w:rPr>
          <w:spacing w:val="-16"/>
        </w:rPr>
        <w:t xml:space="preserve"> </w:t>
      </w:r>
      <w:r>
        <w:t>Component</w:t>
      </w:r>
      <w:r>
        <w:rPr>
          <w:spacing w:val="-17"/>
        </w:rPr>
        <w:t xml:space="preserve"> </w:t>
      </w:r>
      <w:r>
        <w:rPr>
          <w:spacing w:val="-2"/>
        </w:rPr>
        <w:t>Auditor</w:t>
      </w:r>
    </w:p>
    <w:p w14:paraId="0DFDADB5" w14:textId="77777777" w:rsidR="00046465" w:rsidRDefault="008134EB">
      <w:pPr>
        <w:pStyle w:val="ListParagraph"/>
        <w:numPr>
          <w:ilvl w:val="0"/>
          <w:numId w:val="217"/>
        </w:numPr>
        <w:tabs>
          <w:tab w:val="left" w:pos="1800"/>
        </w:tabs>
        <w:spacing w:before="119"/>
        <w:ind w:right="737"/>
      </w:pPr>
      <w:r>
        <w:t>Regardless</w:t>
      </w:r>
      <w:r>
        <w:rPr>
          <w:spacing w:val="-4"/>
        </w:rPr>
        <w:t xml:space="preserve"> </w:t>
      </w:r>
      <w:r>
        <w:t>of</w:t>
      </w:r>
      <w:r>
        <w:rPr>
          <w:spacing w:val="-3"/>
        </w:rPr>
        <w:t xml:space="preserve"> </w:t>
      </w:r>
      <w:r>
        <w:t>whether</w:t>
      </w:r>
      <w:r>
        <w:rPr>
          <w:spacing w:val="-3"/>
        </w:rPr>
        <w:t xml:space="preserve"> </w:t>
      </w:r>
      <w:r>
        <w:t>reference</w:t>
      </w:r>
      <w:r>
        <w:rPr>
          <w:spacing w:val="-3"/>
        </w:rPr>
        <w:t xml:space="preserve"> </w:t>
      </w:r>
      <w:r>
        <w:t>will</w:t>
      </w:r>
      <w:r>
        <w:rPr>
          <w:spacing w:val="-4"/>
        </w:rPr>
        <w:t xml:space="preserve"> </w:t>
      </w:r>
      <w:r>
        <w:t>be</w:t>
      </w:r>
      <w:r>
        <w:rPr>
          <w:spacing w:val="-3"/>
        </w:rPr>
        <w:t xml:space="preserve"> </w:t>
      </w:r>
      <w:r>
        <w:t>made</w:t>
      </w:r>
      <w:r>
        <w:rPr>
          <w:spacing w:val="-3"/>
        </w:rPr>
        <w:t xml:space="preserve"> </w:t>
      </w:r>
      <w:r>
        <w:t>in</w:t>
      </w:r>
      <w:r>
        <w:rPr>
          <w:spacing w:val="-3"/>
        </w:rPr>
        <w:t xml:space="preserve"> </w:t>
      </w:r>
      <w:r>
        <w:t>the</w:t>
      </w:r>
      <w:r>
        <w:rPr>
          <w:spacing w:val="-3"/>
        </w:rPr>
        <w:t xml:space="preserve"> </w:t>
      </w:r>
      <w:r>
        <w:t>auditor’s</w:t>
      </w:r>
      <w:r>
        <w:rPr>
          <w:spacing w:val="-3"/>
        </w:rPr>
        <w:t xml:space="preserve"> </w:t>
      </w:r>
      <w:r>
        <w:t>report</w:t>
      </w:r>
      <w:r>
        <w:rPr>
          <w:spacing w:val="-3"/>
        </w:rPr>
        <w:t xml:space="preserve"> </w:t>
      </w:r>
      <w:r>
        <w:t>on</w:t>
      </w:r>
      <w:r>
        <w:rPr>
          <w:spacing w:val="-3"/>
        </w:rPr>
        <w:t xml:space="preserve"> </w:t>
      </w:r>
      <w:r>
        <w:t>the</w:t>
      </w:r>
      <w:r>
        <w:rPr>
          <w:spacing w:val="-3"/>
        </w:rPr>
        <w:t xml:space="preserve"> </w:t>
      </w:r>
      <w:r>
        <w:t>group financial statements to the audit of a component auditor, the group engagement team should obtain an understanding of the following (AU-C 600A.22):</w:t>
      </w:r>
    </w:p>
    <w:p w14:paraId="0DFDADB6" w14:textId="77777777" w:rsidR="00046465" w:rsidRDefault="008134EB">
      <w:pPr>
        <w:pStyle w:val="BodyText"/>
        <w:spacing w:before="6"/>
        <w:rPr>
          <w:sz w:val="20"/>
        </w:rPr>
      </w:pPr>
      <w:r>
        <w:rPr>
          <w:noProof/>
          <w:sz w:val="20"/>
        </w:rPr>
        <mc:AlternateContent>
          <mc:Choice Requires="wps">
            <w:drawing>
              <wp:anchor distT="0" distB="0" distL="0" distR="0" simplePos="0" relativeHeight="487604224" behindDoc="1" locked="0" layoutInCell="1" allowOverlap="1" wp14:anchorId="0DFDD553" wp14:editId="0DFDD554">
                <wp:simplePos x="0" y="0"/>
                <wp:positionH relativeFrom="page">
                  <wp:posOffset>914400</wp:posOffset>
                </wp:positionH>
                <wp:positionV relativeFrom="paragraph">
                  <wp:posOffset>165281</wp:posOffset>
                </wp:positionV>
                <wp:extent cx="1828800" cy="5715"/>
                <wp:effectExtent l="0" t="0" r="0" b="0"/>
                <wp:wrapTopAndBottom/>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9D9B7C" id="Graphic 180" o:spid="_x0000_s1026" style="position:absolute;margin-left:1in;margin-top:13pt;width:2in;height:.4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" path="m1828800,l,,,5321r1828800,l1828800,xe" fillcolor="black" stroked="f">
                <v:path arrowok="t"/>
                <w10:wrap type="topAndBottom" anchorx="page"/>
              </v:shape>
            </w:pict>
          </mc:Fallback>
        </mc:AlternateContent>
      </w:r>
    </w:p>
    <w:p w14:paraId="0DFDADB7" w14:textId="77777777" w:rsidR="00046465" w:rsidRDefault="00046465">
      <w:pPr>
        <w:pStyle w:val="BodyText"/>
        <w:spacing w:before="54"/>
        <w:rPr>
          <w:sz w:val="18"/>
        </w:rPr>
      </w:pPr>
    </w:p>
    <w:p w14:paraId="0DFDADB8" w14:textId="77777777" w:rsidR="00046465" w:rsidRDefault="008134EB">
      <w:pPr>
        <w:spacing w:before="1" w:line="242" w:lineRule="auto"/>
        <w:ind w:left="360" w:right="726" w:hanging="1"/>
        <w:rPr>
          <w:sz w:val="18"/>
        </w:rPr>
      </w:pPr>
      <w:bookmarkStart w:id="51" w:name="_bookmark14"/>
      <w:bookmarkEnd w:id="51"/>
      <w:r>
        <w:rPr>
          <w:position w:val="7"/>
          <w:sz w:val="14"/>
        </w:rPr>
        <w:t>9</w:t>
      </w:r>
      <w:r>
        <w:rPr>
          <w:sz w:val="18"/>
        </w:rPr>
        <w:t>AU-C 600A discusses audit procedures for classes of transactions, account balances, and disclosures. The FAM discusses</w:t>
      </w:r>
      <w:r>
        <w:rPr>
          <w:spacing w:val="-3"/>
          <w:sz w:val="18"/>
        </w:rPr>
        <w:t xml:space="preserve"> </w:t>
      </w:r>
      <w:r>
        <w:rPr>
          <w:sz w:val="18"/>
        </w:rPr>
        <w:t>audit</w:t>
      </w:r>
      <w:r>
        <w:rPr>
          <w:spacing w:val="-3"/>
          <w:sz w:val="18"/>
        </w:rPr>
        <w:t xml:space="preserve"> </w:t>
      </w:r>
      <w:r>
        <w:rPr>
          <w:sz w:val="18"/>
        </w:rPr>
        <w:t>procedures</w:t>
      </w:r>
      <w:r>
        <w:rPr>
          <w:spacing w:val="-3"/>
          <w:sz w:val="18"/>
        </w:rPr>
        <w:t xml:space="preserve"> </w:t>
      </w:r>
      <w:r>
        <w:rPr>
          <w:sz w:val="18"/>
        </w:rPr>
        <w:t>for</w:t>
      </w:r>
      <w:r>
        <w:rPr>
          <w:spacing w:val="-3"/>
          <w:sz w:val="18"/>
        </w:rPr>
        <w:t xml:space="preserve"> </w:t>
      </w:r>
      <w:r>
        <w:rPr>
          <w:sz w:val="18"/>
        </w:rPr>
        <w:t>line</w:t>
      </w:r>
      <w:r>
        <w:rPr>
          <w:spacing w:val="-4"/>
          <w:sz w:val="18"/>
        </w:rPr>
        <w:t xml:space="preserve"> </w:t>
      </w:r>
      <w:r>
        <w:rPr>
          <w:sz w:val="18"/>
        </w:rPr>
        <w:t>items,</w:t>
      </w:r>
      <w:r>
        <w:rPr>
          <w:spacing w:val="-3"/>
          <w:sz w:val="18"/>
        </w:rPr>
        <w:t xml:space="preserve"> </w:t>
      </w:r>
      <w:r>
        <w:rPr>
          <w:sz w:val="18"/>
        </w:rPr>
        <w:t>accounts,</w:t>
      </w:r>
      <w:r>
        <w:rPr>
          <w:spacing w:val="-3"/>
          <w:sz w:val="18"/>
        </w:rPr>
        <w:t xml:space="preserve"> </w:t>
      </w:r>
      <w:r>
        <w:rPr>
          <w:sz w:val="18"/>
        </w:rPr>
        <w:t>note</w:t>
      </w:r>
      <w:r>
        <w:rPr>
          <w:spacing w:val="-4"/>
          <w:sz w:val="18"/>
        </w:rPr>
        <w:t xml:space="preserve"> </w:t>
      </w:r>
      <w:r>
        <w:rPr>
          <w:sz w:val="18"/>
        </w:rPr>
        <w:t>disclosures,</w:t>
      </w:r>
      <w:r>
        <w:rPr>
          <w:spacing w:val="-3"/>
          <w:sz w:val="18"/>
        </w:rPr>
        <w:t xml:space="preserve"> </w:t>
      </w:r>
      <w:r>
        <w:rPr>
          <w:sz w:val="18"/>
        </w:rPr>
        <w:t>and</w:t>
      </w:r>
      <w:r>
        <w:rPr>
          <w:spacing w:val="-2"/>
          <w:sz w:val="18"/>
        </w:rPr>
        <w:t xml:space="preserve"> </w:t>
      </w:r>
      <w:r>
        <w:rPr>
          <w:sz w:val="18"/>
        </w:rPr>
        <w:t>classes</w:t>
      </w:r>
      <w:r>
        <w:rPr>
          <w:spacing w:val="-3"/>
          <w:sz w:val="18"/>
        </w:rPr>
        <w:t xml:space="preserve"> </w:t>
      </w:r>
      <w:r>
        <w:rPr>
          <w:sz w:val="18"/>
        </w:rPr>
        <w:t>of</w:t>
      </w:r>
      <w:r>
        <w:rPr>
          <w:spacing w:val="-3"/>
          <w:sz w:val="18"/>
        </w:rPr>
        <w:t xml:space="preserve"> </w:t>
      </w:r>
      <w:r>
        <w:rPr>
          <w:sz w:val="18"/>
        </w:rPr>
        <w:t>transactions.</w:t>
      </w:r>
      <w:r>
        <w:rPr>
          <w:spacing w:val="-3"/>
          <w:sz w:val="18"/>
        </w:rPr>
        <w:t xml:space="preserve"> </w:t>
      </w:r>
      <w:r>
        <w:rPr>
          <w:sz w:val="18"/>
        </w:rPr>
        <w:t>The</w:t>
      </w:r>
      <w:r>
        <w:rPr>
          <w:spacing w:val="-2"/>
          <w:sz w:val="18"/>
        </w:rPr>
        <w:t xml:space="preserve"> </w:t>
      </w:r>
      <w:r>
        <w:rPr>
          <w:sz w:val="18"/>
        </w:rPr>
        <w:t>FAM</w:t>
      </w:r>
      <w:r>
        <w:rPr>
          <w:spacing w:val="-3"/>
          <w:sz w:val="18"/>
        </w:rPr>
        <w:t xml:space="preserve"> </w:t>
      </w:r>
      <w:r>
        <w:rPr>
          <w:sz w:val="18"/>
        </w:rPr>
        <w:t>uses</w:t>
      </w:r>
      <w:r>
        <w:rPr>
          <w:spacing w:val="-3"/>
          <w:sz w:val="18"/>
        </w:rPr>
        <w:t xml:space="preserve"> </w:t>
      </w:r>
      <w:r>
        <w:rPr>
          <w:sz w:val="18"/>
        </w:rPr>
        <w:t>line item to describe an aggregation of account balances. The FAM refers to information in the notes to the financial statements as note disclosures.</w:t>
      </w:r>
    </w:p>
    <w:p w14:paraId="0DFDADB9" w14:textId="77777777" w:rsidR="00046465" w:rsidRDefault="00046465">
      <w:pPr>
        <w:spacing w:line="242" w:lineRule="auto"/>
        <w:rPr>
          <w:sz w:val="18"/>
        </w:rPr>
        <w:sectPr w:rsidR="00046465">
          <w:pgSz w:w="12240" w:h="15840"/>
          <w:pgMar w:top="1340" w:right="720" w:bottom="940" w:left="1080" w:header="721" w:footer="757" w:gutter="0"/>
          <w:cols w:space="720"/>
        </w:sectPr>
      </w:pPr>
    </w:p>
    <w:p w14:paraId="0DFDADBA" w14:textId="77777777" w:rsidR="00046465" w:rsidRDefault="008134EB">
      <w:pPr>
        <w:pStyle w:val="ListParagraph"/>
        <w:numPr>
          <w:ilvl w:val="1"/>
          <w:numId w:val="217"/>
        </w:numPr>
        <w:tabs>
          <w:tab w:val="left" w:pos="2159"/>
        </w:tabs>
        <w:spacing w:before="121"/>
        <w:ind w:right="1077"/>
      </w:pPr>
      <w:r>
        <w:lastRenderedPageBreak/>
        <w:t>whether</w:t>
      </w:r>
      <w:r>
        <w:rPr>
          <w:spacing w:val="-3"/>
        </w:rPr>
        <w:t xml:space="preserve"> </w:t>
      </w:r>
      <w:r>
        <w:t>a</w:t>
      </w:r>
      <w:r>
        <w:rPr>
          <w:spacing w:val="-3"/>
        </w:rPr>
        <w:t xml:space="preserve"> </w:t>
      </w:r>
      <w:r>
        <w:t>component</w:t>
      </w:r>
      <w:r>
        <w:rPr>
          <w:spacing w:val="-3"/>
        </w:rPr>
        <w:t xml:space="preserve"> </w:t>
      </w:r>
      <w:r>
        <w:t>auditor</w:t>
      </w:r>
      <w:r>
        <w:rPr>
          <w:spacing w:val="-3"/>
        </w:rPr>
        <w:t xml:space="preserve"> </w:t>
      </w:r>
      <w:r>
        <w:t>understands</w:t>
      </w:r>
      <w:r>
        <w:rPr>
          <w:spacing w:val="-3"/>
        </w:rPr>
        <w:t xml:space="preserve"> </w:t>
      </w:r>
      <w:r>
        <w:t>and</w:t>
      </w:r>
      <w:r>
        <w:rPr>
          <w:spacing w:val="-4"/>
        </w:rPr>
        <w:t xml:space="preserve"> </w:t>
      </w:r>
      <w:r>
        <w:t>will</w:t>
      </w:r>
      <w:r>
        <w:rPr>
          <w:spacing w:val="-3"/>
        </w:rPr>
        <w:t xml:space="preserve"> </w:t>
      </w:r>
      <w:r>
        <w:t>comply</w:t>
      </w:r>
      <w:r>
        <w:rPr>
          <w:spacing w:val="-4"/>
        </w:rPr>
        <w:t xml:space="preserve"> </w:t>
      </w:r>
      <w:r>
        <w:t>with</w:t>
      </w:r>
      <w:r>
        <w:rPr>
          <w:spacing w:val="-3"/>
        </w:rPr>
        <w:t xml:space="preserve"> </w:t>
      </w:r>
      <w:r>
        <w:t>the</w:t>
      </w:r>
      <w:r>
        <w:rPr>
          <w:spacing w:val="-3"/>
        </w:rPr>
        <w:t xml:space="preserve"> </w:t>
      </w:r>
      <w:r>
        <w:t>ethical requirements</w:t>
      </w:r>
      <w:r>
        <w:rPr>
          <w:spacing w:val="-4"/>
        </w:rPr>
        <w:t xml:space="preserve"> </w:t>
      </w:r>
      <w:r>
        <w:t>relevant</w:t>
      </w:r>
      <w:r>
        <w:rPr>
          <w:spacing w:val="-4"/>
        </w:rPr>
        <w:t xml:space="preserve"> </w:t>
      </w:r>
      <w:r>
        <w:t>to</w:t>
      </w:r>
      <w:r>
        <w:rPr>
          <w:spacing w:val="-5"/>
        </w:rPr>
        <w:t xml:space="preserve"> </w:t>
      </w:r>
      <w:r>
        <w:t>the</w:t>
      </w:r>
      <w:r>
        <w:rPr>
          <w:spacing w:val="-4"/>
        </w:rPr>
        <w:t xml:space="preserve"> </w:t>
      </w:r>
      <w:r>
        <w:t>group</w:t>
      </w:r>
      <w:r>
        <w:rPr>
          <w:spacing w:val="-4"/>
        </w:rPr>
        <w:t xml:space="preserve"> </w:t>
      </w:r>
      <w:r>
        <w:t>audit</w:t>
      </w:r>
      <w:r>
        <w:rPr>
          <w:spacing w:val="-4"/>
        </w:rPr>
        <w:t xml:space="preserve"> </w:t>
      </w:r>
      <w:r>
        <w:t>and,</w:t>
      </w:r>
      <w:r>
        <w:rPr>
          <w:spacing w:val="-4"/>
        </w:rPr>
        <w:t xml:space="preserve"> </w:t>
      </w:r>
      <w:r>
        <w:t>in</w:t>
      </w:r>
      <w:r>
        <w:rPr>
          <w:spacing w:val="-5"/>
        </w:rPr>
        <w:t xml:space="preserve"> </w:t>
      </w:r>
      <w:r>
        <w:t>particular,</w:t>
      </w:r>
      <w:r>
        <w:rPr>
          <w:spacing w:val="-4"/>
        </w:rPr>
        <w:t xml:space="preserve"> </w:t>
      </w:r>
      <w:r>
        <w:t>is</w:t>
      </w:r>
      <w:r>
        <w:rPr>
          <w:spacing w:val="-5"/>
        </w:rPr>
        <w:t xml:space="preserve"> </w:t>
      </w:r>
      <w:r>
        <w:t>independent;</w:t>
      </w:r>
    </w:p>
    <w:p w14:paraId="0DFDADBB" w14:textId="77777777" w:rsidR="00046465" w:rsidRDefault="008134EB">
      <w:pPr>
        <w:pStyle w:val="ListParagraph"/>
        <w:numPr>
          <w:ilvl w:val="1"/>
          <w:numId w:val="217"/>
        </w:numPr>
        <w:tabs>
          <w:tab w:val="left" w:pos="2158"/>
        </w:tabs>
        <w:ind w:left="2158" w:hanging="359"/>
      </w:pPr>
      <w:r>
        <w:t>a</w:t>
      </w:r>
      <w:r>
        <w:rPr>
          <w:spacing w:val="-9"/>
        </w:rPr>
        <w:t xml:space="preserve"> </w:t>
      </w:r>
      <w:r>
        <w:t>component</w:t>
      </w:r>
      <w:r>
        <w:rPr>
          <w:spacing w:val="-9"/>
        </w:rPr>
        <w:t xml:space="preserve"> </w:t>
      </w:r>
      <w:r>
        <w:t>auditor’s</w:t>
      </w:r>
      <w:r>
        <w:rPr>
          <w:spacing w:val="-9"/>
        </w:rPr>
        <w:t xml:space="preserve"> </w:t>
      </w:r>
      <w:r>
        <w:t>professional</w:t>
      </w:r>
      <w:r>
        <w:rPr>
          <w:spacing w:val="-10"/>
        </w:rPr>
        <w:t xml:space="preserve"> </w:t>
      </w:r>
      <w:r>
        <w:rPr>
          <w:spacing w:val="-2"/>
        </w:rPr>
        <w:t>competence;</w:t>
      </w:r>
    </w:p>
    <w:p w14:paraId="0DFDADBC" w14:textId="77777777" w:rsidR="00046465" w:rsidRDefault="008134EB">
      <w:pPr>
        <w:pStyle w:val="ListParagraph"/>
        <w:numPr>
          <w:ilvl w:val="1"/>
          <w:numId w:val="217"/>
        </w:numPr>
        <w:tabs>
          <w:tab w:val="left" w:pos="2159"/>
        </w:tabs>
        <w:spacing w:before="119"/>
        <w:ind w:right="1209"/>
      </w:pPr>
      <w:r>
        <w:t>the</w:t>
      </w:r>
      <w:r>
        <w:rPr>
          <w:spacing w:val="-3"/>
        </w:rPr>
        <w:t xml:space="preserve"> </w:t>
      </w:r>
      <w:r>
        <w:t>extent,</w:t>
      </w:r>
      <w:r>
        <w:rPr>
          <w:spacing w:val="-3"/>
        </w:rPr>
        <w:t xml:space="preserve"> </w:t>
      </w:r>
      <w:r>
        <w:t>if</w:t>
      </w:r>
      <w:r>
        <w:rPr>
          <w:spacing w:val="-4"/>
        </w:rPr>
        <w:t xml:space="preserve"> </w:t>
      </w:r>
      <w:r>
        <w:t>any,</w:t>
      </w:r>
      <w:r>
        <w:rPr>
          <w:spacing w:val="-3"/>
        </w:rPr>
        <w:t xml:space="preserve"> </w:t>
      </w:r>
      <w:r>
        <w:t>to</w:t>
      </w:r>
      <w:r>
        <w:rPr>
          <w:spacing w:val="-3"/>
        </w:rPr>
        <w:t xml:space="preserve"> </w:t>
      </w:r>
      <w:r>
        <w:t>which</w:t>
      </w:r>
      <w:r>
        <w:rPr>
          <w:spacing w:val="-3"/>
        </w:rPr>
        <w:t xml:space="preserve"> </w:t>
      </w:r>
      <w:r>
        <w:t>the</w:t>
      </w:r>
      <w:r>
        <w:rPr>
          <w:spacing w:val="-3"/>
        </w:rPr>
        <w:t xml:space="preserve"> </w:t>
      </w:r>
      <w:r>
        <w:t>group</w:t>
      </w:r>
      <w:r>
        <w:rPr>
          <w:spacing w:val="-4"/>
        </w:rPr>
        <w:t xml:space="preserve"> </w:t>
      </w:r>
      <w:r>
        <w:t>engagement</w:t>
      </w:r>
      <w:r>
        <w:rPr>
          <w:spacing w:val="-3"/>
        </w:rPr>
        <w:t xml:space="preserve"> </w:t>
      </w:r>
      <w:r>
        <w:t>team</w:t>
      </w:r>
      <w:r>
        <w:rPr>
          <w:spacing w:val="-4"/>
        </w:rPr>
        <w:t xml:space="preserve"> </w:t>
      </w:r>
      <w:r>
        <w:t>will</w:t>
      </w:r>
      <w:r>
        <w:rPr>
          <w:spacing w:val="-3"/>
        </w:rPr>
        <w:t xml:space="preserve"> </w:t>
      </w:r>
      <w:r>
        <w:t>be</w:t>
      </w:r>
      <w:r>
        <w:rPr>
          <w:spacing w:val="-3"/>
        </w:rPr>
        <w:t xml:space="preserve"> </w:t>
      </w:r>
      <w:r>
        <w:t>able</w:t>
      </w:r>
      <w:r>
        <w:rPr>
          <w:spacing w:val="-3"/>
        </w:rPr>
        <w:t xml:space="preserve"> </w:t>
      </w:r>
      <w:r>
        <w:t>to</w:t>
      </w:r>
      <w:r>
        <w:rPr>
          <w:spacing w:val="-3"/>
        </w:rPr>
        <w:t xml:space="preserve"> </w:t>
      </w:r>
      <w:r>
        <w:t>be involved in the work of the component auditor;</w:t>
      </w:r>
    </w:p>
    <w:p w14:paraId="0DFDADBD" w14:textId="77777777" w:rsidR="00046465" w:rsidRDefault="008134EB">
      <w:pPr>
        <w:pStyle w:val="ListParagraph"/>
        <w:numPr>
          <w:ilvl w:val="1"/>
          <w:numId w:val="217"/>
        </w:numPr>
        <w:tabs>
          <w:tab w:val="left" w:pos="2159"/>
        </w:tabs>
        <w:spacing w:before="121"/>
        <w:ind w:right="1467"/>
      </w:pPr>
      <w:r>
        <w:t>whether</w:t>
      </w:r>
      <w:r>
        <w:rPr>
          <w:spacing w:val="-4"/>
        </w:rPr>
        <w:t xml:space="preserve"> </w:t>
      </w:r>
      <w:r>
        <w:t>the</w:t>
      </w:r>
      <w:r>
        <w:rPr>
          <w:spacing w:val="-4"/>
        </w:rPr>
        <w:t xml:space="preserve"> </w:t>
      </w:r>
      <w:r>
        <w:t>group</w:t>
      </w:r>
      <w:r>
        <w:rPr>
          <w:spacing w:val="-4"/>
        </w:rPr>
        <w:t xml:space="preserve"> </w:t>
      </w:r>
      <w:r>
        <w:t>engagement</w:t>
      </w:r>
      <w:r>
        <w:rPr>
          <w:spacing w:val="-4"/>
        </w:rPr>
        <w:t xml:space="preserve"> </w:t>
      </w:r>
      <w:r>
        <w:t>team</w:t>
      </w:r>
      <w:r>
        <w:rPr>
          <w:spacing w:val="-5"/>
        </w:rPr>
        <w:t xml:space="preserve"> </w:t>
      </w:r>
      <w:r>
        <w:t>will</w:t>
      </w:r>
      <w:r>
        <w:rPr>
          <w:spacing w:val="-4"/>
        </w:rPr>
        <w:t xml:space="preserve"> </w:t>
      </w:r>
      <w:r>
        <w:t>be</w:t>
      </w:r>
      <w:r>
        <w:rPr>
          <w:spacing w:val="-4"/>
        </w:rPr>
        <w:t xml:space="preserve"> </w:t>
      </w:r>
      <w:r>
        <w:t>able</w:t>
      </w:r>
      <w:r>
        <w:rPr>
          <w:spacing w:val="-4"/>
        </w:rPr>
        <w:t xml:space="preserve"> </w:t>
      </w:r>
      <w:r>
        <w:t>to</w:t>
      </w:r>
      <w:r>
        <w:rPr>
          <w:spacing w:val="-4"/>
        </w:rPr>
        <w:t xml:space="preserve"> </w:t>
      </w:r>
      <w:r>
        <w:t>obtain</w:t>
      </w:r>
      <w:r>
        <w:rPr>
          <w:spacing w:val="-4"/>
        </w:rPr>
        <w:t xml:space="preserve"> </w:t>
      </w:r>
      <w:r>
        <w:t>information affecting the consolidation process from a component auditor; and</w:t>
      </w:r>
    </w:p>
    <w:p w14:paraId="0DFDADBE" w14:textId="77777777" w:rsidR="00046465" w:rsidRDefault="008134EB">
      <w:pPr>
        <w:pStyle w:val="ListParagraph"/>
        <w:numPr>
          <w:ilvl w:val="1"/>
          <w:numId w:val="217"/>
        </w:numPr>
        <w:tabs>
          <w:tab w:val="left" w:pos="2159"/>
        </w:tabs>
        <w:spacing w:before="119"/>
        <w:ind w:right="1357"/>
      </w:pPr>
      <w:r>
        <w:t>whether</w:t>
      </w:r>
      <w:r>
        <w:rPr>
          <w:spacing w:val="-5"/>
        </w:rPr>
        <w:t xml:space="preserve"> </w:t>
      </w:r>
      <w:r>
        <w:t>a</w:t>
      </w:r>
      <w:r>
        <w:rPr>
          <w:spacing w:val="-5"/>
        </w:rPr>
        <w:t xml:space="preserve"> </w:t>
      </w:r>
      <w:r>
        <w:t>component</w:t>
      </w:r>
      <w:r>
        <w:rPr>
          <w:spacing w:val="-5"/>
        </w:rPr>
        <w:t xml:space="preserve"> </w:t>
      </w:r>
      <w:r>
        <w:t>auditor</w:t>
      </w:r>
      <w:r>
        <w:rPr>
          <w:spacing w:val="-5"/>
        </w:rPr>
        <w:t xml:space="preserve"> </w:t>
      </w:r>
      <w:r>
        <w:t>operates</w:t>
      </w:r>
      <w:r>
        <w:rPr>
          <w:spacing w:val="-5"/>
        </w:rPr>
        <w:t xml:space="preserve"> </w:t>
      </w:r>
      <w:r>
        <w:t>in</w:t>
      </w:r>
      <w:r>
        <w:rPr>
          <w:spacing w:val="-5"/>
        </w:rPr>
        <w:t xml:space="preserve"> </w:t>
      </w:r>
      <w:r>
        <w:t>a</w:t>
      </w:r>
      <w:r>
        <w:rPr>
          <w:spacing w:val="-5"/>
        </w:rPr>
        <w:t xml:space="preserve"> </w:t>
      </w:r>
      <w:r>
        <w:t>regulatory</w:t>
      </w:r>
      <w:r>
        <w:rPr>
          <w:spacing w:val="-5"/>
        </w:rPr>
        <w:t xml:space="preserve"> </w:t>
      </w:r>
      <w:r>
        <w:t>environment</w:t>
      </w:r>
      <w:r>
        <w:rPr>
          <w:spacing w:val="-5"/>
        </w:rPr>
        <w:t xml:space="preserve"> </w:t>
      </w:r>
      <w:r>
        <w:t>that actively oversees auditors.</w:t>
      </w:r>
    </w:p>
    <w:p w14:paraId="0DFDADBF" w14:textId="77777777" w:rsidR="00046465" w:rsidRDefault="008134EB">
      <w:pPr>
        <w:pStyle w:val="BodyText"/>
        <w:spacing w:before="120"/>
        <w:ind w:left="1799"/>
      </w:pPr>
      <w:r>
        <w:t>See</w:t>
      </w:r>
      <w:r>
        <w:rPr>
          <w:spacing w:val="-4"/>
        </w:rPr>
        <w:t xml:space="preserve"> </w:t>
      </w:r>
      <w:r>
        <w:t>FAM</w:t>
      </w:r>
      <w:r>
        <w:rPr>
          <w:spacing w:val="-5"/>
        </w:rPr>
        <w:t xml:space="preserve"> </w:t>
      </w:r>
      <w:r>
        <w:t>615</w:t>
      </w:r>
      <w:r>
        <w:rPr>
          <w:spacing w:val="-4"/>
        </w:rPr>
        <w:t xml:space="preserve"> </w:t>
      </w:r>
      <w:r>
        <w:t>for</w:t>
      </w:r>
      <w:r>
        <w:rPr>
          <w:spacing w:val="-4"/>
        </w:rPr>
        <w:t xml:space="preserve"> </w:t>
      </w:r>
      <w:r>
        <w:t>requirements</w:t>
      </w:r>
      <w:r>
        <w:rPr>
          <w:spacing w:val="-4"/>
        </w:rPr>
        <w:t xml:space="preserve"> </w:t>
      </w:r>
      <w:r>
        <w:t>related</w:t>
      </w:r>
      <w:r>
        <w:rPr>
          <w:spacing w:val="-4"/>
        </w:rPr>
        <w:t xml:space="preserve"> </w:t>
      </w:r>
      <w:r>
        <w:t>to</w:t>
      </w:r>
      <w:r>
        <w:rPr>
          <w:spacing w:val="-4"/>
        </w:rPr>
        <w:t xml:space="preserve"> </w:t>
      </w:r>
      <w:r>
        <w:t>evaluating</w:t>
      </w:r>
      <w:r>
        <w:rPr>
          <w:spacing w:val="-4"/>
        </w:rPr>
        <w:t xml:space="preserve"> </w:t>
      </w:r>
      <w:r>
        <w:t>the</w:t>
      </w:r>
      <w:r>
        <w:rPr>
          <w:spacing w:val="-4"/>
        </w:rPr>
        <w:t xml:space="preserve"> </w:t>
      </w:r>
      <w:r>
        <w:t>component</w:t>
      </w:r>
      <w:r>
        <w:rPr>
          <w:spacing w:val="-4"/>
        </w:rPr>
        <w:t xml:space="preserve"> </w:t>
      </w:r>
      <w:r>
        <w:t>auditor’s independence, objectivity, and qualifications.</w:t>
      </w:r>
    </w:p>
    <w:p w14:paraId="0DFDADC0" w14:textId="77777777" w:rsidR="00046465" w:rsidRDefault="008134EB">
      <w:pPr>
        <w:pStyle w:val="ListParagraph"/>
        <w:numPr>
          <w:ilvl w:val="0"/>
          <w:numId w:val="217"/>
        </w:numPr>
        <w:tabs>
          <w:tab w:val="left" w:pos="1800"/>
        </w:tabs>
        <w:spacing w:before="121"/>
        <w:ind w:right="838"/>
      </w:pPr>
      <w:r>
        <w:t>When a component auditor does not meet the independence requirements that are relevant to the group audit or the group engagement team has serious concerns</w:t>
      </w:r>
      <w:r>
        <w:rPr>
          <w:spacing w:val="-4"/>
        </w:rPr>
        <w:t xml:space="preserve"> </w:t>
      </w:r>
      <w:r>
        <w:t>about</w:t>
      </w:r>
      <w:r>
        <w:rPr>
          <w:spacing w:val="-4"/>
        </w:rPr>
        <w:t xml:space="preserve"> </w:t>
      </w:r>
      <w:r>
        <w:t>the</w:t>
      </w:r>
      <w:r>
        <w:rPr>
          <w:spacing w:val="-4"/>
        </w:rPr>
        <w:t xml:space="preserve"> </w:t>
      </w:r>
      <w:r>
        <w:t>other</w:t>
      </w:r>
      <w:r>
        <w:rPr>
          <w:spacing w:val="-4"/>
        </w:rPr>
        <w:t xml:space="preserve"> </w:t>
      </w:r>
      <w:r>
        <w:t>matters</w:t>
      </w:r>
      <w:r>
        <w:rPr>
          <w:spacing w:val="-4"/>
        </w:rPr>
        <w:t xml:space="preserve"> </w:t>
      </w:r>
      <w:r>
        <w:t>listed</w:t>
      </w:r>
      <w:r>
        <w:rPr>
          <w:spacing w:val="-4"/>
        </w:rPr>
        <w:t xml:space="preserve"> </w:t>
      </w:r>
      <w:r>
        <w:t>in</w:t>
      </w:r>
      <w:r>
        <w:rPr>
          <w:spacing w:val="-4"/>
        </w:rPr>
        <w:t xml:space="preserve"> </w:t>
      </w:r>
      <w:r>
        <w:t>FAM</w:t>
      </w:r>
      <w:r>
        <w:rPr>
          <w:spacing w:val="-5"/>
        </w:rPr>
        <w:t xml:space="preserve"> </w:t>
      </w:r>
      <w:r>
        <w:t>630.14</w:t>
      </w:r>
      <w:r>
        <w:rPr>
          <w:spacing w:val="-4"/>
        </w:rPr>
        <w:t xml:space="preserve"> </w:t>
      </w:r>
      <w:r>
        <w:t>regarding</w:t>
      </w:r>
      <w:r>
        <w:rPr>
          <w:spacing w:val="-4"/>
        </w:rPr>
        <w:t xml:space="preserve"> </w:t>
      </w:r>
      <w:r>
        <w:t>the</w:t>
      </w:r>
      <w:r>
        <w:rPr>
          <w:spacing w:val="-4"/>
        </w:rPr>
        <w:t xml:space="preserve"> </w:t>
      </w:r>
      <w:r>
        <w:t>component auditor’s independence and professional competence, the group engagement team should obtain sufficient appropriate audit evidence relating to the component’s financial information without making reference to the audit of that component auditor in the auditor’s report on the group financial statements or otherwise using the work of that component auditor (AU-C 600A.23).</w:t>
      </w:r>
    </w:p>
    <w:p w14:paraId="0DFDADC1" w14:textId="77777777" w:rsidR="00046465" w:rsidRDefault="008134EB">
      <w:pPr>
        <w:pStyle w:val="Heading4"/>
        <w:spacing w:before="239"/>
        <w:ind w:right="749"/>
      </w:pPr>
      <w:bookmarkStart w:id="52" w:name="Determining_Whether_to_Make_Reference_to"/>
      <w:bookmarkEnd w:id="52"/>
      <w:r>
        <w:t>Determining</w:t>
      </w:r>
      <w:r>
        <w:rPr>
          <w:spacing w:val="-5"/>
        </w:rPr>
        <w:t xml:space="preserve"> </w:t>
      </w:r>
      <w:r>
        <w:t>Whether</w:t>
      </w:r>
      <w:r>
        <w:rPr>
          <w:spacing w:val="-4"/>
        </w:rPr>
        <w:t xml:space="preserve"> </w:t>
      </w:r>
      <w:r>
        <w:t>to</w:t>
      </w:r>
      <w:r>
        <w:rPr>
          <w:spacing w:val="-5"/>
        </w:rPr>
        <w:t xml:space="preserve"> </w:t>
      </w:r>
      <w:r>
        <w:t>Make</w:t>
      </w:r>
      <w:r>
        <w:rPr>
          <w:spacing w:val="-4"/>
        </w:rPr>
        <w:t xml:space="preserve"> </w:t>
      </w:r>
      <w:r>
        <w:t>Reference</w:t>
      </w:r>
      <w:r>
        <w:rPr>
          <w:spacing w:val="-4"/>
        </w:rPr>
        <w:t xml:space="preserve"> </w:t>
      </w:r>
      <w:r>
        <w:t>to</w:t>
      </w:r>
      <w:r>
        <w:rPr>
          <w:spacing w:val="-6"/>
        </w:rPr>
        <w:t xml:space="preserve"> </w:t>
      </w:r>
      <w:r>
        <w:t>a</w:t>
      </w:r>
      <w:r>
        <w:rPr>
          <w:spacing w:val="-4"/>
        </w:rPr>
        <w:t xml:space="preserve"> </w:t>
      </w:r>
      <w:r>
        <w:t>Component</w:t>
      </w:r>
      <w:r>
        <w:rPr>
          <w:spacing w:val="-4"/>
        </w:rPr>
        <w:t xml:space="preserve"> </w:t>
      </w:r>
      <w:r>
        <w:t>Auditor</w:t>
      </w:r>
      <w:r>
        <w:rPr>
          <w:spacing w:val="-4"/>
        </w:rPr>
        <w:t xml:space="preserve"> </w:t>
      </w:r>
      <w:r>
        <w:t>in the Auditor’s Report on the Group Financial Statements</w:t>
      </w:r>
    </w:p>
    <w:p w14:paraId="0DFDADC2" w14:textId="77777777" w:rsidR="00046465" w:rsidRDefault="008134EB">
      <w:pPr>
        <w:pStyle w:val="ListParagraph"/>
        <w:numPr>
          <w:ilvl w:val="0"/>
          <w:numId w:val="217"/>
        </w:numPr>
        <w:tabs>
          <w:tab w:val="left" w:pos="1800"/>
        </w:tabs>
        <w:spacing w:before="121"/>
        <w:ind w:right="799"/>
      </w:pPr>
      <w:r>
        <w:t>Having gained an understanding of each component auditor, the group engagement partner should decide whether to make reference to a component auditor in the auditor’s report on the group financial statements. (AU-C 600A.24) The decision about whether to make reference to a component auditor in the report</w:t>
      </w:r>
      <w:r>
        <w:rPr>
          <w:spacing w:val="-3"/>
        </w:rPr>
        <w:t xml:space="preserve"> </w:t>
      </w:r>
      <w:r>
        <w:t>on</w:t>
      </w:r>
      <w:r>
        <w:rPr>
          <w:spacing w:val="-3"/>
        </w:rPr>
        <w:t xml:space="preserve"> </w:t>
      </w:r>
      <w:r>
        <w:t>the</w:t>
      </w:r>
      <w:r>
        <w:rPr>
          <w:spacing w:val="-3"/>
        </w:rPr>
        <w:t xml:space="preserve"> </w:t>
      </w:r>
      <w:r>
        <w:t>audit</w:t>
      </w:r>
      <w:r>
        <w:rPr>
          <w:spacing w:val="-3"/>
        </w:rPr>
        <w:t xml:space="preserve"> </w:t>
      </w:r>
      <w:r>
        <w:t>of</w:t>
      </w:r>
      <w:r>
        <w:rPr>
          <w:spacing w:val="-3"/>
        </w:rPr>
        <w:t xml:space="preserve"> </w:t>
      </w:r>
      <w:r>
        <w:t>internal</w:t>
      </w:r>
      <w:r>
        <w:rPr>
          <w:spacing w:val="-3"/>
        </w:rPr>
        <w:t xml:space="preserve"> </w:t>
      </w:r>
      <w:r>
        <w:t>control</w:t>
      </w:r>
      <w:r>
        <w:rPr>
          <w:spacing w:val="-4"/>
        </w:rPr>
        <w:t xml:space="preserve"> </w:t>
      </w:r>
      <w:r>
        <w:t>over</w:t>
      </w:r>
      <w:r>
        <w:rPr>
          <w:spacing w:val="-3"/>
        </w:rPr>
        <w:t xml:space="preserve"> </w:t>
      </w:r>
      <w:r>
        <w:t>financial</w:t>
      </w:r>
      <w:r>
        <w:rPr>
          <w:spacing w:val="-3"/>
        </w:rPr>
        <w:t xml:space="preserve"> </w:t>
      </w:r>
      <w:r>
        <w:t>reporting</w:t>
      </w:r>
      <w:r>
        <w:rPr>
          <w:spacing w:val="-3"/>
        </w:rPr>
        <w:t xml:space="preserve"> </w:t>
      </w:r>
      <w:r>
        <w:t>might</w:t>
      </w:r>
      <w:r>
        <w:rPr>
          <w:spacing w:val="-3"/>
        </w:rPr>
        <w:t xml:space="preserve"> </w:t>
      </w:r>
      <w:r>
        <w:t>differ</w:t>
      </w:r>
      <w:r>
        <w:rPr>
          <w:spacing w:val="-3"/>
        </w:rPr>
        <w:t xml:space="preserve"> </w:t>
      </w:r>
      <w:r>
        <w:t>from</w:t>
      </w:r>
      <w:r>
        <w:rPr>
          <w:spacing w:val="-4"/>
        </w:rPr>
        <w:t xml:space="preserve"> </w:t>
      </w:r>
      <w:r>
        <w:t>the corresponding decision as it relates to the audit of the financial statements</w:t>
      </w:r>
    </w:p>
    <w:p w14:paraId="0DFDADC3" w14:textId="77777777" w:rsidR="00046465" w:rsidRDefault="008134EB">
      <w:pPr>
        <w:pStyle w:val="BodyText"/>
        <w:ind w:left="1800"/>
      </w:pPr>
      <w:r>
        <w:t>(AU-C</w:t>
      </w:r>
      <w:r>
        <w:rPr>
          <w:spacing w:val="-9"/>
        </w:rPr>
        <w:t xml:space="preserve"> </w:t>
      </w:r>
      <w:r>
        <w:rPr>
          <w:spacing w:val="-2"/>
        </w:rPr>
        <w:t>940.A128).</w:t>
      </w:r>
    </w:p>
    <w:p w14:paraId="0DFDADC4" w14:textId="77777777" w:rsidR="00046465" w:rsidRDefault="008134EB">
      <w:pPr>
        <w:pStyle w:val="ListParagraph"/>
        <w:numPr>
          <w:ilvl w:val="0"/>
          <w:numId w:val="217"/>
        </w:numPr>
        <w:tabs>
          <w:tab w:val="left" w:pos="1800"/>
        </w:tabs>
        <w:ind w:right="736"/>
      </w:pPr>
      <w:r>
        <w:t>Reference</w:t>
      </w:r>
      <w:r>
        <w:rPr>
          <w:spacing w:val="-3"/>
        </w:rPr>
        <w:t xml:space="preserve"> </w:t>
      </w:r>
      <w:r>
        <w:t>to</w:t>
      </w:r>
      <w:r>
        <w:rPr>
          <w:spacing w:val="-3"/>
        </w:rPr>
        <w:t xml:space="preserve"> </w:t>
      </w:r>
      <w:r>
        <w:t>the</w:t>
      </w:r>
      <w:r>
        <w:rPr>
          <w:spacing w:val="-3"/>
        </w:rPr>
        <w:t xml:space="preserve"> </w:t>
      </w:r>
      <w:r>
        <w:t>audit</w:t>
      </w:r>
      <w:r>
        <w:rPr>
          <w:spacing w:val="-3"/>
        </w:rPr>
        <w:t xml:space="preserve"> </w:t>
      </w:r>
      <w:r>
        <w:t>of</w:t>
      </w:r>
      <w:r>
        <w:rPr>
          <w:spacing w:val="-3"/>
        </w:rPr>
        <w:t xml:space="preserve"> </w:t>
      </w:r>
      <w:r>
        <w:t>a</w:t>
      </w:r>
      <w:r>
        <w:rPr>
          <w:spacing w:val="-3"/>
        </w:rPr>
        <w:t xml:space="preserve"> </w:t>
      </w:r>
      <w:r>
        <w:t>component</w:t>
      </w:r>
      <w:r>
        <w:rPr>
          <w:spacing w:val="-3"/>
        </w:rPr>
        <w:t xml:space="preserve"> </w:t>
      </w:r>
      <w:r>
        <w:t>auditor</w:t>
      </w:r>
      <w:r>
        <w:rPr>
          <w:spacing w:val="-3"/>
        </w:rPr>
        <w:t xml:space="preserve"> </w:t>
      </w:r>
      <w:r>
        <w:t>in</w:t>
      </w:r>
      <w:r>
        <w:rPr>
          <w:spacing w:val="-4"/>
        </w:rPr>
        <w:t xml:space="preserve"> </w:t>
      </w:r>
      <w:r>
        <w:t>the</w:t>
      </w:r>
      <w:r>
        <w:rPr>
          <w:spacing w:val="-3"/>
        </w:rPr>
        <w:t xml:space="preserve"> </w:t>
      </w:r>
      <w:r>
        <w:t>auditor’s</w:t>
      </w:r>
      <w:r>
        <w:rPr>
          <w:spacing w:val="-3"/>
        </w:rPr>
        <w:t xml:space="preserve"> </w:t>
      </w:r>
      <w:r>
        <w:t>report</w:t>
      </w:r>
      <w:r>
        <w:rPr>
          <w:spacing w:val="-3"/>
        </w:rPr>
        <w:t xml:space="preserve"> </w:t>
      </w:r>
      <w:r>
        <w:t>on</w:t>
      </w:r>
      <w:r>
        <w:rPr>
          <w:spacing w:val="-3"/>
        </w:rPr>
        <w:t xml:space="preserve"> </w:t>
      </w:r>
      <w:r>
        <w:t>the</w:t>
      </w:r>
      <w:r>
        <w:rPr>
          <w:spacing w:val="-3"/>
        </w:rPr>
        <w:t xml:space="preserve"> </w:t>
      </w:r>
      <w:r>
        <w:t>group financial statements or on internal control over financial reporting over the group financial statements should not be made unless</w:t>
      </w:r>
    </w:p>
    <w:p w14:paraId="0DFDADC5" w14:textId="77777777" w:rsidR="00046465" w:rsidRDefault="008134EB">
      <w:pPr>
        <w:pStyle w:val="ListParagraph"/>
        <w:numPr>
          <w:ilvl w:val="1"/>
          <w:numId w:val="217"/>
        </w:numPr>
        <w:tabs>
          <w:tab w:val="left" w:pos="2160"/>
        </w:tabs>
        <w:ind w:left="2160" w:right="770"/>
      </w:pPr>
      <w:r>
        <w:t>the group engagement partner has determined that the component auditor has</w:t>
      </w:r>
      <w:r>
        <w:rPr>
          <w:spacing w:val="-3"/>
        </w:rPr>
        <w:t xml:space="preserve"> </w:t>
      </w:r>
      <w:r>
        <w:t>performed</w:t>
      </w:r>
      <w:r>
        <w:rPr>
          <w:spacing w:val="-3"/>
        </w:rPr>
        <w:t xml:space="preserve"> </w:t>
      </w:r>
      <w:r>
        <w:t>an</w:t>
      </w:r>
      <w:r>
        <w:rPr>
          <w:spacing w:val="-3"/>
        </w:rPr>
        <w:t xml:space="preserve"> </w:t>
      </w:r>
      <w:r>
        <w:t>audit</w:t>
      </w:r>
      <w:r>
        <w:rPr>
          <w:spacing w:val="-4"/>
        </w:rPr>
        <w:t xml:space="preserve"> </w:t>
      </w:r>
      <w:r>
        <w:t>of</w:t>
      </w:r>
      <w:r>
        <w:rPr>
          <w:spacing w:val="-3"/>
        </w:rPr>
        <w:t xml:space="preserve"> </w:t>
      </w:r>
      <w:r>
        <w:t>the</w:t>
      </w:r>
      <w:r>
        <w:rPr>
          <w:spacing w:val="-3"/>
        </w:rPr>
        <w:t xml:space="preserve"> </w:t>
      </w:r>
      <w:r>
        <w:t>financial</w:t>
      </w:r>
      <w:r>
        <w:rPr>
          <w:spacing w:val="-3"/>
        </w:rPr>
        <w:t xml:space="preserve"> </w:t>
      </w:r>
      <w:r>
        <w:t>statements</w:t>
      </w:r>
      <w:r>
        <w:rPr>
          <w:spacing w:val="-3"/>
        </w:rPr>
        <w:t xml:space="preserve"> </w:t>
      </w:r>
      <w:r>
        <w:t>of</w:t>
      </w:r>
      <w:r>
        <w:rPr>
          <w:spacing w:val="-3"/>
        </w:rPr>
        <w:t xml:space="preserve"> </w:t>
      </w:r>
      <w:r>
        <w:t>the</w:t>
      </w:r>
      <w:r>
        <w:rPr>
          <w:spacing w:val="-3"/>
        </w:rPr>
        <w:t xml:space="preserve"> </w:t>
      </w:r>
      <w:r>
        <w:t>component</w:t>
      </w:r>
      <w:r>
        <w:rPr>
          <w:spacing w:val="-3"/>
        </w:rPr>
        <w:t xml:space="preserve"> </w:t>
      </w:r>
      <w:r>
        <w:t>or</w:t>
      </w:r>
      <w:r>
        <w:rPr>
          <w:spacing w:val="-3"/>
        </w:rPr>
        <w:t xml:space="preserve"> </w:t>
      </w:r>
      <w:r>
        <w:t>of</w:t>
      </w:r>
      <w:r>
        <w:rPr>
          <w:spacing w:val="-3"/>
        </w:rPr>
        <w:t xml:space="preserve"> </w:t>
      </w:r>
      <w:r>
        <w:t>the component’s internal control over financial reporting in accordance with the relevant requirements of GAGAS and</w:t>
      </w:r>
    </w:p>
    <w:p w14:paraId="0DFDADC6" w14:textId="77777777" w:rsidR="00046465" w:rsidRDefault="008134EB">
      <w:pPr>
        <w:pStyle w:val="ListParagraph"/>
        <w:numPr>
          <w:ilvl w:val="1"/>
          <w:numId w:val="217"/>
        </w:numPr>
        <w:tabs>
          <w:tab w:val="left" w:pos="2160"/>
        </w:tabs>
        <w:spacing w:before="119"/>
        <w:ind w:left="2160" w:right="866"/>
      </w:pPr>
      <w:r>
        <w:t>the</w:t>
      </w:r>
      <w:r>
        <w:rPr>
          <w:spacing w:val="-4"/>
        </w:rPr>
        <w:t xml:space="preserve"> </w:t>
      </w:r>
      <w:r>
        <w:t>component</w:t>
      </w:r>
      <w:r>
        <w:rPr>
          <w:spacing w:val="-4"/>
        </w:rPr>
        <w:t xml:space="preserve"> </w:t>
      </w:r>
      <w:r>
        <w:t>auditor</w:t>
      </w:r>
      <w:r>
        <w:rPr>
          <w:spacing w:val="-4"/>
        </w:rPr>
        <w:t xml:space="preserve"> </w:t>
      </w:r>
      <w:r>
        <w:t>has</w:t>
      </w:r>
      <w:r>
        <w:rPr>
          <w:spacing w:val="-4"/>
        </w:rPr>
        <w:t xml:space="preserve"> </w:t>
      </w:r>
      <w:r>
        <w:t>issued</w:t>
      </w:r>
      <w:r>
        <w:rPr>
          <w:spacing w:val="-4"/>
        </w:rPr>
        <w:t xml:space="preserve"> </w:t>
      </w:r>
      <w:r>
        <w:t>an</w:t>
      </w:r>
      <w:r>
        <w:rPr>
          <w:spacing w:val="-4"/>
        </w:rPr>
        <w:t xml:space="preserve"> </w:t>
      </w:r>
      <w:r>
        <w:t>auditor’s</w:t>
      </w:r>
      <w:r>
        <w:rPr>
          <w:spacing w:val="-3"/>
        </w:rPr>
        <w:t xml:space="preserve"> </w:t>
      </w:r>
      <w:r>
        <w:t>report</w:t>
      </w:r>
      <w:r>
        <w:rPr>
          <w:spacing w:val="-4"/>
        </w:rPr>
        <w:t xml:space="preserve"> </w:t>
      </w:r>
      <w:r>
        <w:t>that</w:t>
      </w:r>
      <w:r>
        <w:rPr>
          <w:spacing w:val="-4"/>
        </w:rPr>
        <w:t xml:space="preserve"> </w:t>
      </w:r>
      <w:r>
        <w:t>is</w:t>
      </w:r>
      <w:r>
        <w:rPr>
          <w:spacing w:val="-5"/>
        </w:rPr>
        <w:t xml:space="preserve"> </w:t>
      </w:r>
      <w:r>
        <w:t>not</w:t>
      </w:r>
      <w:r>
        <w:rPr>
          <w:spacing w:val="-4"/>
        </w:rPr>
        <w:t xml:space="preserve"> </w:t>
      </w:r>
      <w:r>
        <w:t>restricted</w:t>
      </w:r>
      <w:r>
        <w:rPr>
          <w:spacing w:val="-4"/>
        </w:rPr>
        <w:t xml:space="preserve"> </w:t>
      </w:r>
      <w:r>
        <w:t>as to use (AU-C 600A.25 and AU-C 940.79).</w:t>
      </w:r>
    </w:p>
    <w:p w14:paraId="0DFDADC7" w14:textId="77777777" w:rsidR="00046465" w:rsidRDefault="008134EB">
      <w:pPr>
        <w:pStyle w:val="ListParagraph"/>
        <w:numPr>
          <w:ilvl w:val="0"/>
          <w:numId w:val="217"/>
        </w:numPr>
        <w:tabs>
          <w:tab w:val="left" w:pos="1800"/>
        </w:tabs>
        <w:spacing w:before="121"/>
        <w:ind w:right="871"/>
      </w:pPr>
      <w:r>
        <w:t>For</w:t>
      </w:r>
      <w:r>
        <w:rPr>
          <w:spacing w:val="-4"/>
        </w:rPr>
        <w:t xml:space="preserve"> </w:t>
      </w:r>
      <w:r>
        <w:t>situations</w:t>
      </w:r>
      <w:r>
        <w:rPr>
          <w:spacing w:val="-4"/>
        </w:rPr>
        <w:t xml:space="preserve"> </w:t>
      </w:r>
      <w:r>
        <w:t>in</w:t>
      </w:r>
      <w:r>
        <w:rPr>
          <w:spacing w:val="-4"/>
        </w:rPr>
        <w:t xml:space="preserve"> </w:t>
      </w:r>
      <w:r>
        <w:t>which</w:t>
      </w:r>
      <w:r>
        <w:rPr>
          <w:spacing w:val="-4"/>
        </w:rPr>
        <w:t xml:space="preserve"> </w:t>
      </w:r>
      <w:r>
        <w:t>the</w:t>
      </w:r>
      <w:r>
        <w:rPr>
          <w:spacing w:val="-4"/>
        </w:rPr>
        <w:t xml:space="preserve"> </w:t>
      </w:r>
      <w:r>
        <w:t>component’s</w:t>
      </w:r>
      <w:r>
        <w:rPr>
          <w:spacing w:val="-4"/>
        </w:rPr>
        <w:t xml:space="preserve"> </w:t>
      </w:r>
      <w:r>
        <w:t>financial</w:t>
      </w:r>
      <w:r>
        <w:rPr>
          <w:spacing w:val="-5"/>
        </w:rPr>
        <w:t xml:space="preserve"> </w:t>
      </w:r>
      <w:r>
        <w:t>statements</w:t>
      </w:r>
      <w:r>
        <w:rPr>
          <w:spacing w:val="-4"/>
        </w:rPr>
        <w:t xml:space="preserve"> </w:t>
      </w:r>
      <w:r>
        <w:t>are</w:t>
      </w:r>
      <w:r>
        <w:rPr>
          <w:spacing w:val="-4"/>
        </w:rPr>
        <w:t xml:space="preserve"> </w:t>
      </w:r>
      <w:r>
        <w:t>prepared</w:t>
      </w:r>
      <w:r>
        <w:rPr>
          <w:spacing w:val="-4"/>
        </w:rPr>
        <w:t xml:space="preserve"> </w:t>
      </w:r>
      <w:r>
        <w:t>using a different financial reporting framework than that used for the group financial statements, see AU-C 600A.26.</w:t>
      </w:r>
    </w:p>
    <w:p w14:paraId="0DFDADC8" w14:textId="77777777" w:rsidR="00046465" w:rsidRDefault="008134EB">
      <w:pPr>
        <w:pStyle w:val="Heading4"/>
      </w:pPr>
      <w:bookmarkStart w:id="53" w:name="Making_Reference_in_the_Auditor’s_Report"/>
      <w:bookmarkEnd w:id="53"/>
      <w:r>
        <w:t>Making</w:t>
      </w:r>
      <w:r>
        <w:rPr>
          <w:spacing w:val="-10"/>
        </w:rPr>
        <w:t xml:space="preserve"> </w:t>
      </w:r>
      <w:r>
        <w:t>Reference</w:t>
      </w:r>
      <w:r>
        <w:rPr>
          <w:spacing w:val="-10"/>
        </w:rPr>
        <w:t xml:space="preserve"> </w:t>
      </w:r>
      <w:r>
        <w:t>in</w:t>
      </w:r>
      <w:r>
        <w:rPr>
          <w:spacing w:val="-11"/>
        </w:rPr>
        <w:t xml:space="preserve"> </w:t>
      </w:r>
      <w:r>
        <w:t>the</w:t>
      </w:r>
      <w:r>
        <w:rPr>
          <w:spacing w:val="-10"/>
        </w:rPr>
        <w:t xml:space="preserve"> </w:t>
      </w:r>
      <w:r>
        <w:t>Auditor’s</w:t>
      </w:r>
      <w:r>
        <w:rPr>
          <w:spacing w:val="-10"/>
        </w:rPr>
        <w:t xml:space="preserve"> </w:t>
      </w:r>
      <w:r>
        <w:rPr>
          <w:spacing w:val="-2"/>
        </w:rPr>
        <w:t>Report</w:t>
      </w:r>
    </w:p>
    <w:p w14:paraId="0DFDADC9" w14:textId="77777777" w:rsidR="00046465" w:rsidRDefault="008134EB">
      <w:pPr>
        <w:pStyle w:val="ListParagraph"/>
        <w:numPr>
          <w:ilvl w:val="0"/>
          <w:numId w:val="217"/>
        </w:numPr>
        <w:tabs>
          <w:tab w:val="left" w:pos="1800"/>
        </w:tabs>
        <w:spacing w:before="119"/>
        <w:ind w:right="798"/>
      </w:pPr>
      <w:r>
        <w:t>When</w:t>
      </w:r>
      <w:r>
        <w:rPr>
          <w:spacing w:val="-3"/>
        </w:rPr>
        <w:t xml:space="preserve"> </w:t>
      </w:r>
      <w:r>
        <w:t>the</w:t>
      </w:r>
      <w:r>
        <w:rPr>
          <w:spacing w:val="-3"/>
        </w:rPr>
        <w:t xml:space="preserve"> </w:t>
      </w:r>
      <w:r>
        <w:t>group</w:t>
      </w:r>
      <w:r>
        <w:rPr>
          <w:spacing w:val="-3"/>
        </w:rPr>
        <w:t xml:space="preserve"> </w:t>
      </w:r>
      <w:r>
        <w:t>engagement</w:t>
      </w:r>
      <w:r>
        <w:rPr>
          <w:spacing w:val="-3"/>
        </w:rPr>
        <w:t xml:space="preserve"> </w:t>
      </w:r>
      <w:r>
        <w:t>partner</w:t>
      </w:r>
      <w:r>
        <w:rPr>
          <w:spacing w:val="-3"/>
        </w:rPr>
        <w:t xml:space="preserve"> </w:t>
      </w:r>
      <w:r>
        <w:t>decides</w:t>
      </w:r>
      <w:r>
        <w:rPr>
          <w:spacing w:val="-3"/>
        </w:rPr>
        <w:t xml:space="preserve"> </w:t>
      </w:r>
      <w:r>
        <w:t>to</w:t>
      </w:r>
      <w:r>
        <w:rPr>
          <w:spacing w:val="-4"/>
        </w:rPr>
        <w:t xml:space="preserve"> </w:t>
      </w:r>
      <w:r>
        <w:t>make</w:t>
      </w:r>
      <w:r>
        <w:rPr>
          <w:spacing w:val="-3"/>
        </w:rPr>
        <w:t xml:space="preserve"> </w:t>
      </w:r>
      <w:r>
        <w:t>reference</w:t>
      </w:r>
      <w:r>
        <w:rPr>
          <w:spacing w:val="-3"/>
        </w:rPr>
        <w:t xml:space="preserve"> </w:t>
      </w:r>
      <w:r>
        <w:t>to</w:t>
      </w:r>
      <w:r>
        <w:rPr>
          <w:spacing w:val="-3"/>
        </w:rPr>
        <w:t xml:space="preserve"> </w:t>
      </w:r>
      <w:r>
        <w:t>the</w:t>
      </w:r>
      <w:r>
        <w:rPr>
          <w:spacing w:val="-3"/>
        </w:rPr>
        <w:t xml:space="preserve"> </w:t>
      </w:r>
      <w:r>
        <w:t>audit</w:t>
      </w:r>
      <w:r>
        <w:rPr>
          <w:spacing w:val="-3"/>
        </w:rPr>
        <w:t xml:space="preserve"> </w:t>
      </w:r>
      <w:r>
        <w:t>of</w:t>
      </w:r>
      <w:r>
        <w:rPr>
          <w:spacing w:val="-3"/>
        </w:rPr>
        <w:t xml:space="preserve"> </w:t>
      </w:r>
      <w:r>
        <w:t>a component auditor in the auditor’s report on the group financial statements, the</w:t>
      </w:r>
    </w:p>
    <w:p w14:paraId="0DFDADCA" w14:textId="77777777" w:rsidR="00046465" w:rsidRDefault="00046465">
      <w:pPr>
        <w:pStyle w:val="ListParagraph"/>
        <w:sectPr w:rsidR="00046465">
          <w:pgSz w:w="12240" w:h="15840"/>
          <w:pgMar w:top="1340" w:right="720" w:bottom="940" w:left="1080" w:header="721" w:footer="757" w:gutter="0"/>
          <w:cols w:space="720"/>
        </w:sectPr>
      </w:pPr>
    </w:p>
    <w:p w14:paraId="0DFDADCB" w14:textId="77777777" w:rsidR="00046465" w:rsidRDefault="008134EB">
      <w:pPr>
        <w:pStyle w:val="BodyText"/>
        <w:spacing w:before="121"/>
        <w:ind w:left="1800" w:right="749"/>
      </w:pPr>
      <w:r>
        <w:lastRenderedPageBreak/>
        <w:t>group</w:t>
      </w:r>
      <w:r>
        <w:rPr>
          <w:spacing w:val="-5"/>
        </w:rPr>
        <w:t xml:space="preserve"> </w:t>
      </w:r>
      <w:r>
        <w:t>engagement</w:t>
      </w:r>
      <w:r>
        <w:rPr>
          <w:spacing w:val="-5"/>
        </w:rPr>
        <w:t xml:space="preserve"> </w:t>
      </w:r>
      <w:r>
        <w:t>team</w:t>
      </w:r>
      <w:r>
        <w:rPr>
          <w:spacing w:val="-6"/>
        </w:rPr>
        <w:t xml:space="preserve"> </w:t>
      </w:r>
      <w:r>
        <w:t>should</w:t>
      </w:r>
      <w:r>
        <w:rPr>
          <w:spacing w:val="-5"/>
        </w:rPr>
        <w:t xml:space="preserve"> </w:t>
      </w:r>
      <w:r>
        <w:t>obtain</w:t>
      </w:r>
      <w:r>
        <w:rPr>
          <w:spacing w:val="-5"/>
        </w:rPr>
        <w:t xml:space="preserve"> </w:t>
      </w:r>
      <w:r>
        <w:t>sufficient</w:t>
      </w:r>
      <w:r>
        <w:rPr>
          <w:spacing w:val="-5"/>
        </w:rPr>
        <w:t xml:space="preserve"> </w:t>
      </w:r>
      <w:r>
        <w:t>appropriate</w:t>
      </w:r>
      <w:r>
        <w:rPr>
          <w:spacing w:val="-5"/>
        </w:rPr>
        <w:t xml:space="preserve"> </w:t>
      </w:r>
      <w:r>
        <w:t>audit</w:t>
      </w:r>
      <w:r>
        <w:rPr>
          <w:spacing w:val="-5"/>
        </w:rPr>
        <w:t xml:space="preserve"> </w:t>
      </w:r>
      <w:r>
        <w:t>evidence</w:t>
      </w:r>
      <w:r>
        <w:rPr>
          <w:spacing w:val="-5"/>
        </w:rPr>
        <w:t xml:space="preserve"> </w:t>
      </w:r>
      <w:r>
        <w:t xml:space="preserve">with regard to such components by performing the following procedures (AU-C </w:t>
      </w:r>
      <w:r>
        <w:rPr>
          <w:spacing w:val="-2"/>
        </w:rPr>
        <w:t>600A.27):</w:t>
      </w:r>
    </w:p>
    <w:p w14:paraId="0DFDADCC" w14:textId="77777777" w:rsidR="00046465" w:rsidRDefault="008134EB">
      <w:pPr>
        <w:pStyle w:val="ListParagraph"/>
        <w:numPr>
          <w:ilvl w:val="1"/>
          <w:numId w:val="217"/>
        </w:numPr>
        <w:tabs>
          <w:tab w:val="left" w:pos="2160"/>
        </w:tabs>
        <w:spacing w:before="119"/>
        <w:ind w:left="2160" w:right="784"/>
      </w:pPr>
      <w:r>
        <w:t>completing</w:t>
      </w:r>
      <w:r>
        <w:rPr>
          <w:spacing w:val="-4"/>
        </w:rPr>
        <w:t xml:space="preserve"> </w:t>
      </w:r>
      <w:r>
        <w:t>the</w:t>
      </w:r>
      <w:r>
        <w:rPr>
          <w:spacing w:val="-4"/>
        </w:rPr>
        <w:t xml:space="preserve"> </w:t>
      </w:r>
      <w:r>
        <w:t>procedures</w:t>
      </w:r>
      <w:r>
        <w:rPr>
          <w:spacing w:val="-4"/>
        </w:rPr>
        <w:t xml:space="preserve"> </w:t>
      </w:r>
      <w:r>
        <w:t>required</w:t>
      </w:r>
      <w:r>
        <w:rPr>
          <w:spacing w:val="-5"/>
        </w:rPr>
        <w:t xml:space="preserve"> </w:t>
      </w:r>
      <w:r>
        <w:t>by</w:t>
      </w:r>
      <w:r>
        <w:rPr>
          <w:spacing w:val="-4"/>
        </w:rPr>
        <w:t xml:space="preserve"> </w:t>
      </w:r>
      <w:r>
        <w:t>FAM</w:t>
      </w:r>
      <w:r>
        <w:rPr>
          <w:spacing w:val="-5"/>
        </w:rPr>
        <w:t xml:space="preserve"> </w:t>
      </w:r>
      <w:r>
        <w:t>630,</w:t>
      </w:r>
      <w:r>
        <w:rPr>
          <w:spacing w:val="-4"/>
        </w:rPr>
        <w:t xml:space="preserve"> </w:t>
      </w:r>
      <w:r>
        <w:t>except</w:t>
      </w:r>
      <w:r>
        <w:rPr>
          <w:spacing w:val="-4"/>
        </w:rPr>
        <w:t xml:space="preserve"> </w:t>
      </w:r>
      <w:r>
        <w:t>for</w:t>
      </w:r>
      <w:r>
        <w:rPr>
          <w:spacing w:val="-4"/>
        </w:rPr>
        <w:t xml:space="preserve"> </w:t>
      </w:r>
      <w:r>
        <w:t>those</w:t>
      </w:r>
      <w:r>
        <w:rPr>
          <w:spacing w:val="-4"/>
        </w:rPr>
        <w:t xml:space="preserve"> </w:t>
      </w:r>
      <w:r>
        <w:t>required</w:t>
      </w:r>
      <w:r>
        <w:rPr>
          <w:spacing w:val="-4"/>
        </w:rPr>
        <w:t xml:space="preserve"> </w:t>
      </w:r>
      <w:r>
        <w:t>in FAM 630.56 through .74, and</w:t>
      </w:r>
    </w:p>
    <w:p w14:paraId="0DFDADCD" w14:textId="77777777" w:rsidR="00046465" w:rsidRDefault="008134EB">
      <w:pPr>
        <w:pStyle w:val="ListParagraph"/>
        <w:numPr>
          <w:ilvl w:val="1"/>
          <w:numId w:val="217"/>
        </w:numPr>
        <w:tabs>
          <w:tab w:val="left" w:pos="2158"/>
          <w:tab w:val="left" w:pos="2160"/>
        </w:tabs>
        <w:spacing w:before="121"/>
        <w:ind w:left="2160" w:right="1026" w:hanging="361"/>
      </w:pPr>
      <w:r>
        <w:t>reading</w:t>
      </w:r>
      <w:r>
        <w:rPr>
          <w:spacing w:val="-5"/>
        </w:rPr>
        <w:t xml:space="preserve"> </w:t>
      </w:r>
      <w:r>
        <w:t>the</w:t>
      </w:r>
      <w:r>
        <w:rPr>
          <w:spacing w:val="-6"/>
        </w:rPr>
        <w:t xml:space="preserve"> </w:t>
      </w:r>
      <w:r>
        <w:t>component’s</w:t>
      </w:r>
      <w:r>
        <w:rPr>
          <w:spacing w:val="-4"/>
        </w:rPr>
        <w:t xml:space="preserve"> </w:t>
      </w:r>
      <w:r>
        <w:t>financial</w:t>
      </w:r>
      <w:r>
        <w:rPr>
          <w:spacing w:val="-5"/>
        </w:rPr>
        <w:t xml:space="preserve"> </w:t>
      </w:r>
      <w:r>
        <w:t>statements</w:t>
      </w:r>
      <w:r>
        <w:rPr>
          <w:spacing w:val="-5"/>
        </w:rPr>
        <w:t xml:space="preserve"> </w:t>
      </w:r>
      <w:r>
        <w:t>and</w:t>
      </w:r>
      <w:r>
        <w:rPr>
          <w:spacing w:val="-5"/>
        </w:rPr>
        <w:t xml:space="preserve"> </w:t>
      </w:r>
      <w:r>
        <w:t>the</w:t>
      </w:r>
      <w:r>
        <w:rPr>
          <w:spacing w:val="-5"/>
        </w:rPr>
        <w:t xml:space="preserve"> </w:t>
      </w:r>
      <w:r>
        <w:t>component</w:t>
      </w:r>
      <w:r>
        <w:rPr>
          <w:spacing w:val="-5"/>
        </w:rPr>
        <w:t xml:space="preserve"> </w:t>
      </w:r>
      <w:r>
        <w:t xml:space="preserve">auditor’s report thereon to identify significant findings and issues and, when considered necessary, communicating with the component auditor in this </w:t>
      </w:r>
      <w:r>
        <w:rPr>
          <w:spacing w:val="-2"/>
        </w:rPr>
        <w:t>regard.</w:t>
      </w:r>
    </w:p>
    <w:p w14:paraId="0DFDADCE" w14:textId="77777777" w:rsidR="00046465" w:rsidRDefault="008134EB">
      <w:pPr>
        <w:pStyle w:val="ListParagraph"/>
        <w:numPr>
          <w:ilvl w:val="0"/>
          <w:numId w:val="217"/>
        </w:numPr>
        <w:tabs>
          <w:tab w:val="left" w:pos="1800"/>
        </w:tabs>
        <w:spacing w:before="119"/>
        <w:ind w:right="738"/>
      </w:pPr>
      <w:r>
        <w:t>When the group engagement partner decides to make reference to the audit of a component auditor in the auditor’s report on the group financial statements, the report</w:t>
      </w:r>
      <w:r>
        <w:rPr>
          <w:spacing w:val="-4"/>
        </w:rPr>
        <w:t xml:space="preserve"> </w:t>
      </w:r>
      <w:r>
        <w:t>on</w:t>
      </w:r>
      <w:r>
        <w:rPr>
          <w:spacing w:val="-4"/>
        </w:rPr>
        <w:t xml:space="preserve"> </w:t>
      </w:r>
      <w:r>
        <w:t>the</w:t>
      </w:r>
      <w:r>
        <w:rPr>
          <w:spacing w:val="-4"/>
        </w:rPr>
        <w:t xml:space="preserve"> </w:t>
      </w:r>
      <w:r>
        <w:t>group</w:t>
      </w:r>
      <w:r>
        <w:rPr>
          <w:spacing w:val="-4"/>
        </w:rPr>
        <w:t xml:space="preserve"> </w:t>
      </w:r>
      <w:r>
        <w:t>financial</w:t>
      </w:r>
      <w:r>
        <w:rPr>
          <w:spacing w:val="-4"/>
        </w:rPr>
        <w:t xml:space="preserve"> </w:t>
      </w:r>
      <w:r>
        <w:t>statements</w:t>
      </w:r>
      <w:r>
        <w:rPr>
          <w:spacing w:val="-4"/>
        </w:rPr>
        <w:t xml:space="preserve"> </w:t>
      </w:r>
      <w:r>
        <w:t>should</w:t>
      </w:r>
      <w:r>
        <w:rPr>
          <w:spacing w:val="-5"/>
        </w:rPr>
        <w:t xml:space="preserve"> </w:t>
      </w:r>
      <w:r>
        <w:t>clearly</w:t>
      </w:r>
      <w:r>
        <w:rPr>
          <w:spacing w:val="-5"/>
        </w:rPr>
        <w:t xml:space="preserve"> </w:t>
      </w:r>
      <w:r>
        <w:t>indicate</w:t>
      </w:r>
      <w:r>
        <w:rPr>
          <w:spacing w:val="-3"/>
        </w:rPr>
        <w:t xml:space="preserve"> </w:t>
      </w:r>
      <w:r>
        <w:t>the</w:t>
      </w:r>
      <w:r>
        <w:rPr>
          <w:spacing w:val="-4"/>
        </w:rPr>
        <w:t xml:space="preserve"> </w:t>
      </w:r>
      <w:r>
        <w:t>following</w:t>
      </w:r>
      <w:r>
        <w:rPr>
          <w:spacing w:val="-4"/>
        </w:rPr>
        <w:t xml:space="preserve"> </w:t>
      </w:r>
      <w:r>
        <w:t>(AU-C 600A.28):</w:t>
      </w:r>
    </w:p>
    <w:p w14:paraId="0DFDADCF" w14:textId="77777777" w:rsidR="00046465" w:rsidRDefault="008134EB">
      <w:pPr>
        <w:pStyle w:val="ListParagraph"/>
        <w:numPr>
          <w:ilvl w:val="1"/>
          <w:numId w:val="217"/>
        </w:numPr>
        <w:tabs>
          <w:tab w:val="left" w:pos="2160"/>
        </w:tabs>
        <w:ind w:left="2160" w:right="1293"/>
      </w:pPr>
      <w:r>
        <w:t>that</w:t>
      </w:r>
      <w:r>
        <w:rPr>
          <w:spacing w:val="-3"/>
        </w:rPr>
        <w:t xml:space="preserve"> </w:t>
      </w:r>
      <w:r>
        <w:t>the</w:t>
      </w:r>
      <w:r>
        <w:rPr>
          <w:spacing w:val="-3"/>
        </w:rPr>
        <w:t xml:space="preserve"> </w:t>
      </w:r>
      <w:r>
        <w:t>component</w:t>
      </w:r>
      <w:r>
        <w:rPr>
          <w:spacing w:val="-3"/>
        </w:rPr>
        <w:t xml:space="preserve"> </w:t>
      </w:r>
      <w:r>
        <w:t>was</w:t>
      </w:r>
      <w:r>
        <w:rPr>
          <w:spacing w:val="-3"/>
        </w:rPr>
        <w:t xml:space="preserve"> </w:t>
      </w:r>
      <w:r>
        <w:t>not</w:t>
      </w:r>
      <w:r>
        <w:rPr>
          <w:spacing w:val="-3"/>
        </w:rPr>
        <w:t xml:space="preserve"> </w:t>
      </w:r>
      <w:r>
        <w:t>audited</w:t>
      </w:r>
      <w:r>
        <w:rPr>
          <w:spacing w:val="-4"/>
        </w:rPr>
        <w:t xml:space="preserve"> </w:t>
      </w:r>
      <w:r>
        <w:t>by</w:t>
      </w:r>
      <w:r>
        <w:rPr>
          <w:spacing w:val="-3"/>
        </w:rPr>
        <w:t xml:space="preserve"> </w:t>
      </w:r>
      <w:r>
        <w:t>the</w:t>
      </w:r>
      <w:r>
        <w:rPr>
          <w:spacing w:val="-3"/>
        </w:rPr>
        <w:t xml:space="preserve"> </w:t>
      </w:r>
      <w:r>
        <w:t>auditor</w:t>
      </w:r>
      <w:r>
        <w:rPr>
          <w:spacing w:val="-3"/>
        </w:rPr>
        <w:t xml:space="preserve"> </w:t>
      </w:r>
      <w:r>
        <w:t>of</w:t>
      </w:r>
      <w:r>
        <w:rPr>
          <w:spacing w:val="-3"/>
        </w:rPr>
        <w:t xml:space="preserve"> </w:t>
      </w:r>
      <w:r>
        <w:t>the</w:t>
      </w:r>
      <w:r>
        <w:rPr>
          <w:spacing w:val="-3"/>
        </w:rPr>
        <w:t xml:space="preserve"> </w:t>
      </w:r>
      <w:r>
        <w:t>group</w:t>
      </w:r>
      <w:r>
        <w:rPr>
          <w:spacing w:val="-3"/>
        </w:rPr>
        <w:t xml:space="preserve"> </w:t>
      </w:r>
      <w:r>
        <w:t>financial statements but was audited by the component auditor;</w:t>
      </w:r>
    </w:p>
    <w:p w14:paraId="0DFDADD0" w14:textId="77777777" w:rsidR="00046465" w:rsidRDefault="008134EB">
      <w:pPr>
        <w:pStyle w:val="ListParagraph"/>
        <w:numPr>
          <w:ilvl w:val="1"/>
          <w:numId w:val="217"/>
        </w:numPr>
        <w:tabs>
          <w:tab w:val="left" w:pos="2160"/>
        </w:tabs>
        <w:ind w:left="2160" w:right="977"/>
      </w:pPr>
      <w:r>
        <w:t>the</w:t>
      </w:r>
      <w:r>
        <w:rPr>
          <w:spacing w:val="-4"/>
        </w:rPr>
        <w:t xml:space="preserve"> </w:t>
      </w:r>
      <w:r>
        <w:t>magnitude</w:t>
      </w:r>
      <w:r>
        <w:rPr>
          <w:spacing w:val="-4"/>
        </w:rPr>
        <w:t xml:space="preserve"> </w:t>
      </w:r>
      <w:r>
        <w:t>of</w:t>
      </w:r>
      <w:r>
        <w:rPr>
          <w:spacing w:val="-4"/>
        </w:rPr>
        <w:t xml:space="preserve"> </w:t>
      </w:r>
      <w:r>
        <w:t>the</w:t>
      </w:r>
      <w:r>
        <w:rPr>
          <w:spacing w:val="-4"/>
        </w:rPr>
        <w:t xml:space="preserve"> </w:t>
      </w:r>
      <w:r>
        <w:t>portion</w:t>
      </w:r>
      <w:r>
        <w:rPr>
          <w:spacing w:val="-4"/>
        </w:rPr>
        <w:t xml:space="preserve"> </w:t>
      </w:r>
      <w:r>
        <w:t>of</w:t>
      </w:r>
      <w:r>
        <w:rPr>
          <w:spacing w:val="-4"/>
        </w:rPr>
        <w:t xml:space="preserve"> </w:t>
      </w:r>
      <w:r>
        <w:t>the</w:t>
      </w:r>
      <w:r>
        <w:rPr>
          <w:spacing w:val="-4"/>
        </w:rPr>
        <w:t xml:space="preserve"> </w:t>
      </w:r>
      <w:r>
        <w:t>financial</w:t>
      </w:r>
      <w:r>
        <w:rPr>
          <w:spacing w:val="-4"/>
        </w:rPr>
        <w:t xml:space="preserve"> </w:t>
      </w:r>
      <w:r>
        <w:t>statements</w:t>
      </w:r>
      <w:r>
        <w:rPr>
          <w:spacing w:val="-4"/>
        </w:rPr>
        <w:t xml:space="preserve"> </w:t>
      </w:r>
      <w:r>
        <w:t>that</w:t>
      </w:r>
      <w:r>
        <w:rPr>
          <w:spacing w:val="-4"/>
        </w:rPr>
        <w:t xml:space="preserve"> </w:t>
      </w:r>
      <w:r>
        <w:t>the</w:t>
      </w:r>
      <w:r>
        <w:rPr>
          <w:spacing w:val="-4"/>
        </w:rPr>
        <w:t xml:space="preserve"> </w:t>
      </w:r>
      <w:r>
        <w:t>component auditor audited;</w:t>
      </w:r>
    </w:p>
    <w:p w14:paraId="0DFDADD1" w14:textId="77777777" w:rsidR="00046465" w:rsidRDefault="008134EB">
      <w:pPr>
        <w:pStyle w:val="ListParagraph"/>
        <w:numPr>
          <w:ilvl w:val="1"/>
          <w:numId w:val="217"/>
        </w:numPr>
        <w:tabs>
          <w:tab w:val="left" w:pos="2160"/>
        </w:tabs>
        <w:spacing w:before="121"/>
        <w:ind w:left="2160" w:right="1125"/>
      </w:pPr>
      <w:r>
        <w:t>when</w:t>
      </w:r>
      <w:r>
        <w:rPr>
          <w:spacing w:val="-5"/>
        </w:rPr>
        <w:t xml:space="preserve"> </w:t>
      </w:r>
      <w:r>
        <w:t>the</w:t>
      </w:r>
      <w:r>
        <w:rPr>
          <w:spacing w:val="-5"/>
        </w:rPr>
        <w:t xml:space="preserve"> </w:t>
      </w:r>
      <w:r>
        <w:t>component’s</w:t>
      </w:r>
      <w:r>
        <w:rPr>
          <w:spacing w:val="-4"/>
        </w:rPr>
        <w:t xml:space="preserve"> </w:t>
      </w:r>
      <w:r>
        <w:t>financial</w:t>
      </w:r>
      <w:r>
        <w:rPr>
          <w:spacing w:val="-5"/>
        </w:rPr>
        <w:t xml:space="preserve"> </w:t>
      </w:r>
      <w:r>
        <w:t>statements</w:t>
      </w:r>
      <w:r>
        <w:rPr>
          <w:spacing w:val="-5"/>
        </w:rPr>
        <w:t xml:space="preserve"> </w:t>
      </w:r>
      <w:r>
        <w:t>are</w:t>
      </w:r>
      <w:r>
        <w:rPr>
          <w:spacing w:val="-5"/>
        </w:rPr>
        <w:t xml:space="preserve"> </w:t>
      </w:r>
      <w:r>
        <w:t>prepared</w:t>
      </w:r>
      <w:r>
        <w:rPr>
          <w:spacing w:val="-5"/>
        </w:rPr>
        <w:t xml:space="preserve"> </w:t>
      </w:r>
      <w:r>
        <w:t>using</w:t>
      </w:r>
      <w:r>
        <w:rPr>
          <w:spacing w:val="-5"/>
        </w:rPr>
        <w:t xml:space="preserve"> </w:t>
      </w:r>
      <w:r>
        <w:t>a</w:t>
      </w:r>
      <w:r>
        <w:rPr>
          <w:spacing w:val="-5"/>
        </w:rPr>
        <w:t xml:space="preserve"> </w:t>
      </w:r>
      <w:r>
        <w:t xml:space="preserve">different financial reporting framework than that used for the group financial </w:t>
      </w:r>
      <w:r>
        <w:rPr>
          <w:spacing w:val="-2"/>
        </w:rPr>
        <w:t>statements,</w:t>
      </w:r>
    </w:p>
    <w:p w14:paraId="0DFDADD2" w14:textId="77777777" w:rsidR="00046465" w:rsidRDefault="008134EB">
      <w:pPr>
        <w:pStyle w:val="ListParagraph"/>
        <w:numPr>
          <w:ilvl w:val="2"/>
          <w:numId w:val="217"/>
        </w:numPr>
        <w:tabs>
          <w:tab w:val="left" w:pos="2520"/>
        </w:tabs>
        <w:spacing w:before="119"/>
      </w:pPr>
      <w:r>
        <w:t>the</w:t>
      </w:r>
      <w:r>
        <w:rPr>
          <w:spacing w:val="-8"/>
        </w:rPr>
        <w:t xml:space="preserve"> </w:t>
      </w:r>
      <w:r>
        <w:t>financial</w:t>
      </w:r>
      <w:r>
        <w:rPr>
          <w:spacing w:val="-8"/>
        </w:rPr>
        <w:t xml:space="preserve"> </w:t>
      </w:r>
      <w:r>
        <w:t>reporting</w:t>
      </w:r>
      <w:r>
        <w:rPr>
          <w:spacing w:val="-7"/>
        </w:rPr>
        <w:t xml:space="preserve"> </w:t>
      </w:r>
      <w:r>
        <w:t>framework</w:t>
      </w:r>
      <w:r>
        <w:rPr>
          <w:spacing w:val="-7"/>
        </w:rPr>
        <w:t xml:space="preserve"> </w:t>
      </w:r>
      <w:r>
        <w:t>used</w:t>
      </w:r>
      <w:r>
        <w:rPr>
          <w:spacing w:val="-8"/>
        </w:rPr>
        <w:t xml:space="preserve"> </w:t>
      </w:r>
      <w:r>
        <w:t>by</w:t>
      </w:r>
      <w:r>
        <w:rPr>
          <w:spacing w:val="-7"/>
        </w:rPr>
        <w:t xml:space="preserve"> </w:t>
      </w:r>
      <w:r>
        <w:t>the</w:t>
      </w:r>
      <w:r>
        <w:rPr>
          <w:spacing w:val="-7"/>
        </w:rPr>
        <w:t xml:space="preserve"> </w:t>
      </w:r>
      <w:r>
        <w:t>component</w:t>
      </w:r>
      <w:r>
        <w:rPr>
          <w:spacing w:val="-8"/>
        </w:rPr>
        <w:t xml:space="preserve"> </w:t>
      </w:r>
      <w:r>
        <w:rPr>
          <w:spacing w:val="-5"/>
        </w:rPr>
        <w:t>and</w:t>
      </w:r>
    </w:p>
    <w:p w14:paraId="0DFDADD3" w14:textId="77777777" w:rsidR="00046465" w:rsidRDefault="008134EB">
      <w:pPr>
        <w:pStyle w:val="ListParagraph"/>
        <w:numPr>
          <w:ilvl w:val="2"/>
          <w:numId w:val="217"/>
        </w:numPr>
        <w:tabs>
          <w:tab w:val="left" w:pos="2520"/>
        </w:tabs>
        <w:spacing w:before="118"/>
        <w:ind w:right="1008"/>
      </w:pPr>
      <w:r>
        <w:t>that</w:t>
      </w:r>
      <w:r>
        <w:rPr>
          <w:spacing w:val="-4"/>
        </w:rPr>
        <w:t xml:space="preserve"> </w:t>
      </w:r>
      <w:r>
        <w:t>the</w:t>
      </w:r>
      <w:r>
        <w:rPr>
          <w:spacing w:val="-4"/>
        </w:rPr>
        <w:t xml:space="preserve"> </w:t>
      </w:r>
      <w:r>
        <w:t>auditor</w:t>
      </w:r>
      <w:r>
        <w:rPr>
          <w:spacing w:val="-4"/>
        </w:rPr>
        <w:t xml:space="preserve"> </w:t>
      </w:r>
      <w:r>
        <w:t>of</w:t>
      </w:r>
      <w:r>
        <w:rPr>
          <w:spacing w:val="-4"/>
        </w:rPr>
        <w:t xml:space="preserve"> </w:t>
      </w:r>
      <w:r>
        <w:t>the</w:t>
      </w:r>
      <w:r>
        <w:rPr>
          <w:spacing w:val="-4"/>
        </w:rPr>
        <w:t xml:space="preserve"> </w:t>
      </w:r>
      <w:r>
        <w:t>group</w:t>
      </w:r>
      <w:r>
        <w:rPr>
          <w:spacing w:val="-4"/>
        </w:rPr>
        <w:t xml:space="preserve"> </w:t>
      </w:r>
      <w:r>
        <w:t>financial</w:t>
      </w:r>
      <w:r>
        <w:rPr>
          <w:spacing w:val="-4"/>
        </w:rPr>
        <w:t xml:space="preserve"> </w:t>
      </w:r>
      <w:r>
        <w:t>statements</w:t>
      </w:r>
      <w:r>
        <w:rPr>
          <w:spacing w:val="-5"/>
        </w:rPr>
        <w:t xml:space="preserve"> </w:t>
      </w:r>
      <w:r>
        <w:t>is</w:t>
      </w:r>
      <w:r>
        <w:rPr>
          <w:spacing w:val="-4"/>
        </w:rPr>
        <w:t xml:space="preserve"> </w:t>
      </w:r>
      <w:r>
        <w:t>taking</w:t>
      </w:r>
      <w:r>
        <w:rPr>
          <w:spacing w:val="-4"/>
        </w:rPr>
        <w:t xml:space="preserve"> </w:t>
      </w:r>
      <w:r>
        <w:t>responsibility for evaluating the appropriateness of the adjustments to convert the component’s financial statements to the financial reporting framework used by the group; and</w:t>
      </w:r>
    </w:p>
    <w:p w14:paraId="0DFDADD4" w14:textId="77777777" w:rsidR="00046465" w:rsidRDefault="008134EB">
      <w:pPr>
        <w:pStyle w:val="ListParagraph"/>
        <w:numPr>
          <w:ilvl w:val="1"/>
          <w:numId w:val="217"/>
        </w:numPr>
        <w:tabs>
          <w:tab w:val="left" w:pos="2159"/>
        </w:tabs>
        <w:spacing w:before="119"/>
        <w:ind w:hanging="359"/>
      </w:pPr>
      <w:r>
        <w:rPr>
          <w:spacing w:val="-4"/>
        </w:rPr>
        <w:t>when</w:t>
      </w:r>
    </w:p>
    <w:p w14:paraId="0DFDADD5" w14:textId="77777777" w:rsidR="00046465" w:rsidRDefault="008134EB">
      <w:pPr>
        <w:pStyle w:val="ListParagraph"/>
        <w:numPr>
          <w:ilvl w:val="2"/>
          <w:numId w:val="217"/>
        </w:numPr>
        <w:tabs>
          <w:tab w:val="left" w:pos="2518"/>
          <w:tab w:val="left" w:pos="2520"/>
        </w:tabs>
        <w:ind w:right="946" w:hanging="361"/>
        <w:jc w:val="both"/>
      </w:pPr>
      <w:r>
        <w:t>the</w:t>
      </w:r>
      <w:r>
        <w:rPr>
          <w:spacing w:val="-5"/>
        </w:rPr>
        <w:t xml:space="preserve"> </w:t>
      </w:r>
      <w:r>
        <w:t>component</w:t>
      </w:r>
      <w:r>
        <w:rPr>
          <w:spacing w:val="-5"/>
        </w:rPr>
        <w:t xml:space="preserve"> </w:t>
      </w:r>
      <w:r>
        <w:t>auditor’s</w:t>
      </w:r>
      <w:r>
        <w:rPr>
          <w:spacing w:val="-6"/>
        </w:rPr>
        <w:t xml:space="preserve"> </w:t>
      </w:r>
      <w:r>
        <w:t>report</w:t>
      </w:r>
      <w:r>
        <w:rPr>
          <w:spacing w:val="-5"/>
        </w:rPr>
        <w:t xml:space="preserve"> </w:t>
      </w:r>
      <w:r>
        <w:t>on</w:t>
      </w:r>
      <w:r>
        <w:rPr>
          <w:spacing w:val="-5"/>
        </w:rPr>
        <w:t xml:space="preserve"> </w:t>
      </w:r>
      <w:r>
        <w:t>the</w:t>
      </w:r>
      <w:r>
        <w:rPr>
          <w:spacing w:val="-5"/>
        </w:rPr>
        <w:t xml:space="preserve"> </w:t>
      </w:r>
      <w:r>
        <w:t>component’s</w:t>
      </w:r>
      <w:r>
        <w:rPr>
          <w:spacing w:val="-4"/>
        </w:rPr>
        <w:t xml:space="preserve"> </w:t>
      </w:r>
      <w:r>
        <w:t>financial</w:t>
      </w:r>
      <w:r>
        <w:rPr>
          <w:spacing w:val="-6"/>
        </w:rPr>
        <w:t xml:space="preserve"> </w:t>
      </w:r>
      <w:r>
        <w:t>statements does</w:t>
      </w:r>
      <w:r>
        <w:rPr>
          <w:spacing w:val="-3"/>
        </w:rPr>
        <w:t xml:space="preserve"> </w:t>
      </w:r>
      <w:r>
        <w:t>not</w:t>
      </w:r>
      <w:r>
        <w:rPr>
          <w:spacing w:val="-3"/>
        </w:rPr>
        <w:t xml:space="preserve"> </w:t>
      </w:r>
      <w:r>
        <w:t>state</w:t>
      </w:r>
      <w:r>
        <w:rPr>
          <w:spacing w:val="-3"/>
        </w:rPr>
        <w:t xml:space="preserve"> </w:t>
      </w:r>
      <w:r>
        <w:t>that</w:t>
      </w:r>
      <w:r>
        <w:rPr>
          <w:spacing w:val="-3"/>
        </w:rPr>
        <w:t xml:space="preserve"> </w:t>
      </w:r>
      <w:r>
        <w:t>the</w:t>
      </w:r>
      <w:r>
        <w:rPr>
          <w:spacing w:val="-3"/>
        </w:rPr>
        <w:t xml:space="preserve"> </w:t>
      </w:r>
      <w:r>
        <w:t>audit</w:t>
      </w:r>
      <w:r>
        <w:rPr>
          <w:spacing w:val="-3"/>
        </w:rPr>
        <w:t xml:space="preserve"> </w:t>
      </w:r>
      <w:r>
        <w:t>was</w:t>
      </w:r>
      <w:r>
        <w:rPr>
          <w:spacing w:val="-3"/>
        </w:rPr>
        <w:t xml:space="preserve"> </w:t>
      </w:r>
      <w:r>
        <w:t>performed</w:t>
      </w:r>
      <w:r>
        <w:rPr>
          <w:spacing w:val="-3"/>
        </w:rPr>
        <w:t xml:space="preserve"> </w:t>
      </w:r>
      <w:r>
        <w:t>in</w:t>
      </w:r>
      <w:r>
        <w:rPr>
          <w:spacing w:val="-3"/>
        </w:rPr>
        <w:t xml:space="preserve"> </w:t>
      </w:r>
      <w:r>
        <w:t>accordance</w:t>
      </w:r>
      <w:r>
        <w:rPr>
          <w:spacing w:val="-3"/>
        </w:rPr>
        <w:t xml:space="preserve"> </w:t>
      </w:r>
      <w:r>
        <w:t>with</w:t>
      </w:r>
      <w:r>
        <w:rPr>
          <w:spacing w:val="-3"/>
        </w:rPr>
        <w:t xml:space="preserve"> </w:t>
      </w:r>
      <w:r>
        <w:t xml:space="preserve">GAGAS </w:t>
      </w:r>
      <w:r>
        <w:rPr>
          <w:spacing w:val="-4"/>
        </w:rPr>
        <w:t>and</w:t>
      </w:r>
    </w:p>
    <w:p w14:paraId="0DFDADD6" w14:textId="77777777" w:rsidR="00046465" w:rsidRDefault="008134EB">
      <w:pPr>
        <w:pStyle w:val="ListParagraph"/>
        <w:numPr>
          <w:ilvl w:val="2"/>
          <w:numId w:val="217"/>
        </w:numPr>
        <w:tabs>
          <w:tab w:val="left" w:pos="2520"/>
        </w:tabs>
        <w:spacing w:before="118"/>
        <w:ind w:right="1423"/>
      </w:pPr>
      <w:r>
        <w:t>the</w:t>
      </w:r>
      <w:r>
        <w:rPr>
          <w:spacing w:val="-5"/>
        </w:rPr>
        <w:t xml:space="preserve"> </w:t>
      </w:r>
      <w:r>
        <w:t>group</w:t>
      </w:r>
      <w:r>
        <w:rPr>
          <w:spacing w:val="-5"/>
        </w:rPr>
        <w:t xml:space="preserve"> </w:t>
      </w:r>
      <w:r>
        <w:t>engagement</w:t>
      </w:r>
      <w:r>
        <w:rPr>
          <w:spacing w:val="-5"/>
        </w:rPr>
        <w:t xml:space="preserve"> </w:t>
      </w:r>
      <w:r>
        <w:t>partner</w:t>
      </w:r>
      <w:r>
        <w:rPr>
          <w:spacing w:val="-5"/>
        </w:rPr>
        <w:t xml:space="preserve"> </w:t>
      </w:r>
      <w:r>
        <w:t>has</w:t>
      </w:r>
      <w:r>
        <w:rPr>
          <w:spacing w:val="-6"/>
        </w:rPr>
        <w:t xml:space="preserve"> </w:t>
      </w:r>
      <w:r>
        <w:t>determined</w:t>
      </w:r>
      <w:r>
        <w:rPr>
          <w:spacing w:val="-5"/>
        </w:rPr>
        <w:t xml:space="preserve"> </w:t>
      </w:r>
      <w:r>
        <w:t>that</w:t>
      </w:r>
      <w:r>
        <w:rPr>
          <w:spacing w:val="-5"/>
        </w:rPr>
        <w:t xml:space="preserve"> </w:t>
      </w:r>
      <w:r>
        <w:t>the</w:t>
      </w:r>
      <w:r>
        <w:rPr>
          <w:spacing w:val="-5"/>
        </w:rPr>
        <w:t xml:space="preserve"> </w:t>
      </w:r>
      <w:r>
        <w:t>component auditor performed additional audit procedures in order to meet the relevant requirements of GAGAS,</w:t>
      </w:r>
    </w:p>
    <w:p w14:paraId="0DFDADD7" w14:textId="77777777" w:rsidR="00046465" w:rsidRDefault="008134EB">
      <w:pPr>
        <w:pStyle w:val="ListParagraph"/>
        <w:numPr>
          <w:ilvl w:val="3"/>
          <w:numId w:val="217"/>
        </w:numPr>
        <w:tabs>
          <w:tab w:val="left" w:pos="2879"/>
        </w:tabs>
        <w:spacing w:before="118"/>
        <w:ind w:left="2879" w:hanging="359"/>
      </w:pPr>
      <w:r>
        <w:t>the</w:t>
      </w:r>
      <w:r>
        <w:rPr>
          <w:spacing w:val="-6"/>
        </w:rPr>
        <w:t xml:space="preserve"> </w:t>
      </w:r>
      <w:r>
        <w:t>set</w:t>
      </w:r>
      <w:r>
        <w:rPr>
          <w:spacing w:val="-6"/>
        </w:rPr>
        <w:t xml:space="preserve"> </w:t>
      </w:r>
      <w:r>
        <w:t>of</w:t>
      </w:r>
      <w:r>
        <w:rPr>
          <w:spacing w:val="-6"/>
        </w:rPr>
        <w:t xml:space="preserve"> </w:t>
      </w:r>
      <w:r>
        <w:t>auditing</w:t>
      </w:r>
      <w:r>
        <w:rPr>
          <w:spacing w:val="-5"/>
        </w:rPr>
        <w:t xml:space="preserve"> </w:t>
      </w:r>
      <w:r>
        <w:t>standards</w:t>
      </w:r>
      <w:r>
        <w:rPr>
          <w:spacing w:val="-6"/>
        </w:rPr>
        <w:t xml:space="preserve"> </w:t>
      </w:r>
      <w:r>
        <w:t>used</w:t>
      </w:r>
      <w:r>
        <w:rPr>
          <w:spacing w:val="-6"/>
        </w:rPr>
        <w:t xml:space="preserve"> </w:t>
      </w:r>
      <w:r>
        <w:t>by</w:t>
      </w:r>
      <w:r>
        <w:rPr>
          <w:spacing w:val="-5"/>
        </w:rPr>
        <w:t xml:space="preserve"> </w:t>
      </w:r>
      <w:r>
        <w:t>the</w:t>
      </w:r>
      <w:r>
        <w:rPr>
          <w:spacing w:val="-6"/>
        </w:rPr>
        <w:t xml:space="preserve"> </w:t>
      </w:r>
      <w:r>
        <w:t>component</w:t>
      </w:r>
      <w:r>
        <w:rPr>
          <w:spacing w:val="-6"/>
        </w:rPr>
        <w:t xml:space="preserve"> </w:t>
      </w:r>
      <w:r>
        <w:t>auditor</w:t>
      </w:r>
      <w:r>
        <w:rPr>
          <w:spacing w:val="-7"/>
        </w:rPr>
        <w:t xml:space="preserve"> </w:t>
      </w:r>
      <w:r>
        <w:rPr>
          <w:spacing w:val="-5"/>
        </w:rPr>
        <w:t>and</w:t>
      </w:r>
    </w:p>
    <w:p w14:paraId="0DFDADD8" w14:textId="77777777" w:rsidR="00046465" w:rsidRDefault="008134EB">
      <w:pPr>
        <w:pStyle w:val="ListParagraph"/>
        <w:numPr>
          <w:ilvl w:val="3"/>
          <w:numId w:val="217"/>
        </w:numPr>
        <w:tabs>
          <w:tab w:val="left" w:pos="2880"/>
        </w:tabs>
        <w:spacing w:before="114" w:line="223" w:lineRule="auto"/>
        <w:ind w:right="1075"/>
      </w:pPr>
      <w:r>
        <w:t>that</w:t>
      </w:r>
      <w:r>
        <w:rPr>
          <w:spacing w:val="-5"/>
        </w:rPr>
        <w:t xml:space="preserve"> </w:t>
      </w:r>
      <w:r>
        <w:t>additional</w:t>
      </w:r>
      <w:r>
        <w:rPr>
          <w:spacing w:val="-5"/>
        </w:rPr>
        <w:t xml:space="preserve"> </w:t>
      </w:r>
      <w:r>
        <w:t>audit</w:t>
      </w:r>
      <w:r>
        <w:rPr>
          <w:spacing w:val="-5"/>
        </w:rPr>
        <w:t xml:space="preserve"> </w:t>
      </w:r>
      <w:r>
        <w:t>procedures</w:t>
      </w:r>
      <w:r>
        <w:rPr>
          <w:spacing w:val="-5"/>
        </w:rPr>
        <w:t xml:space="preserve"> </w:t>
      </w:r>
      <w:r>
        <w:t>were</w:t>
      </w:r>
      <w:r>
        <w:rPr>
          <w:spacing w:val="-5"/>
        </w:rPr>
        <w:t xml:space="preserve"> </w:t>
      </w:r>
      <w:r>
        <w:t>performed</w:t>
      </w:r>
      <w:r>
        <w:rPr>
          <w:spacing w:val="-5"/>
        </w:rPr>
        <w:t xml:space="preserve"> </w:t>
      </w:r>
      <w:r>
        <w:t>by</w:t>
      </w:r>
      <w:r>
        <w:rPr>
          <w:spacing w:val="-5"/>
        </w:rPr>
        <w:t xml:space="preserve"> </w:t>
      </w:r>
      <w:r>
        <w:t>the</w:t>
      </w:r>
      <w:r>
        <w:rPr>
          <w:spacing w:val="-5"/>
        </w:rPr>
        <w:t xml:space="preserve"> </w:t>
      </w:r>
      <w:r>
        <w:t>component auditor to meet the relevant requirements of GAGAS.</w:t>
      </w:r>
    </w:p>
    <w:p w14:paraId="0DFDADD9" w14:textId="77777777" w:rsidR="00046465" w:rsidRDefault="008134EB">
      <w:pPr>
        <w:pStyle w:val="ListParagraph"/>
        <w:numPr>
          <w:ilvl w:val="0"/>
          <w:numId w:val="217"/>
        </w:numPr>
        <w:tabs>
          <w:tab w:val="left" w:pos="1800"/>
        </w:tabs>
        <w:spacing w:before="123"/>
        <w:ind w:right="724"/>
      </w:pPr>
      <w:r>
        <w:t>If the group engagement partner decides to name a component auditor in the auditor’s report on the group financial statements, the component auditor’s express permission should be obtained and the component auditor’s report should be presented together with that of the auditor’s report on the group financial statements (AU-C 600A.29). For IPA firms, this permission may be obtained</w:t>
      </w:r>
      <w:r>
        <w:rPr>
          <w:spacing w:val="-3"/>
        </w:rPr>
        <w:t xml:space="preserve"> </w:t>
      </w:r>
      <w:r>
        <w:t>as</w:t>
      </w:r>
      <w:r>
        <w:rPr>
          <w:spacing w:val="-4"/>
        </w:rPr>
        <w:t xml:space="preserve"> </w:t>
      </w:r>
      <w:r>
        <w:t>part</w:t>
      </w:r>
      <w:r>
        <w:rPr>
          <w:spacing w:val="-3"/>
        </w:rPr>
        <w:t xml:space="preserve"> </w:t>
      </w:r>
      <w:r>
        <w:t>of</w:t>
      </w:r>
      <w:r>
        <w:rPr>
          <w:spacing w:val="-3"/>
        </w:rPr>
        <w:t xml:space="preserve"> </w:t>
      </w:r>
      <w:r>
        <w:t>the</w:t>
      </w:r>
      <w:r>
        <w:rPr>
          <w:spacing w:val="-3"/>
        </w:rPr>
        <w:t xml:space="preserve"> </w:t>
      </w:r>
      <w:r>
        <w:t>contracting</w:t>
      </w:r>
      <w:r>
        <w:rPr>
          <w:spacing w:val="-3"/>
        </w:rPr>
        <w:t xml:space="preserve"> </w:t>
      </w:r>
      <w:r>
        <w:t>process.</w:t>
      </w:r>
      <w:r>
        <w:rPr>
          <w:spacing w:val="-3"/>
        </w:rPr>
        <w:t xml:space="preserve"> </w:t>
      </w:r>
      <w:r>
        <w:t>As</w:t>
      </w:r>
      <w:r>
        <w:rPr>
          <w:spacing w:val="-3"/>
        </w:rPr>
        <w:t xml:space="preserve"> </w:t>
      </w:r>
      <w:r>
        <w:t>a</w:t>
      </w:r>
      <w:r>
        <w:rPr>
          <w:spacing w:val="-4"/>
        </w:rPr>
        <w:t xml:space="preserve"> </w:t>
      </w:r>
      <w:r>
        <w:t>professional</w:t>
      </w:r>
      <w:r>
        <w:rPr>
          <w:spacing w:val="-4"/>
        </w:rPr>
        <w:t xml:space="preserve"> </w:t>
      </w:r>
      <w:r>
        <w:t>courtesy,</w:t>
      </w:r>
      <w:r>
        <w:rPr>
          <w:spacing w:val="-3"/>
        </w:rPr>
        <w:t xml:space="preserve"> </w:t>
      </w:r>
      <w:r>
        <w:t>the</w:t>
      </w:r>
      <w:r>
        <w:rPr>
          <w:spacing w:val="-3"/>
        </w:rPr>
        <w:t xml:space="preserve"> </w:t>
      </w:r>
      <w:r>
        <w:t>group engagement team generally should also provide component auditors with a draft of its report so that the auditors can read the report before final issuance.</w:t>
      </w:r>
    </w:p>
    <w:p w14:paraId="0DFDADDA" w14:textId="77777777" w:rsidR="00046465" w:rsidRDefault="00046465">
      <w:pPr>
        <w:pStyle w:val="ListParagraph"/>
        <w:sectPr w:rsidR="00046465">
          <w:pgSz w:w="12240" w:h="15840"/>
          <w:pgMar w:top="1340" w:right="720" w:bottom="940" w:left="1080" w:header="721" w:footer="757" w:gutter="0"/>
          <w:cols w:space="720"/>
        </w:sectPr>
      </w:pPr>
    </w:p>
    <w:p w14:paraId="0DFDADDB" w14:textId="77777777" w:rsidR="00046465" w:rsidRDefault="008134EB">
      <w:pPr>
        <w:pStyle w:val="ListParagraph"/>
        <w:numPr>
          <w:ilvl w:val="0"/>
          <w:numId w:val="217"/>
        </w:numPr>
        <w:tabs>
          <w:tab w:val="left" w:pos="1800"/>
        </w:tabs>
        <w:spacing w:before="121"/>
        <w:ind w:right="761"/>
      </w:pPr>
      <w:r>
        <w:lastRenderedPageBreak/>
        <w:t>When the auditor of the group’s internal control audit decides to make reference to</w:t>
      </w:r>
      <w:r>
        <w:rPr>
          <w:spacing w:val="-3"/>
        </w:rPr>
        <w:t xml:space="preserve"> </w:t>
      </w:r>
      <w:r>
        <w:t>the</w:t>
      </w:r>
      <w:r>
        <w:rPr>
          <w:spacing w:val="-3"/>
        </w:rPr>
        <w:t xml:space="preserve"> </w:t>
      </w:r>
      <w:r>
        <w:t>report</w:t>
      </w:r>
      <w:r>
        <w:rPr>
          <w:spacing w:val="-3"/>
        </w:rPr>
        <w:t xml:space="preserve"> </w:t>
      </w:r>
      <w:r>
        <w:t>of</w:t>
      </w:r>
      <w:r>
        <w:rPr>
          <w:spacing w:val="-3"/>
        </w:rPr>
        <w:t xml:space="preserve"> </w:t>
      </w:r>
      <w:r>
        <w:t>the</w:t>
      </w:r>
      <w:r>
        <w:rPr>
          <w:spacing w:val="-3"/>
        </w:rPr>
        <w:t xml:space="preserve"> </w:t>
      </w:r>
      <w:r>
        <w:t>component</w:t>
      </w:r>
      <w:r>
        <w:rPr>
          <w:spacing w:val="-3"/>
        </w:rPr>
        <w:t xml:space="preserve"> </w:t>
      </w:r>
      <w:r>
        <w:t>auditor</w:t>
      </w:r>
      <w:r>
        <w:rPr>
          <w:spacing w:val="-3"/>
        </w:rPr>
        <w:t xml:space="preserve"> </w:t>
      </w:r>
      <w:r>
        <w:t>as</w:t>
      </w:r>
      <w:r>
        <w:rPr>
          <w:spacing w:val="-3"/>
        </w:rPr>
        <w:t xml:space="preserve"> </w:t>
      </w:r>
      <w:r>
        <w:t>a</w:t>
      </w:r>
      <w:r>
        <w:rPr>
          <w:spacing w:val="-3"/>
        </w:rPr>
        <w:t xml:space="preserve"> </w:t>
      </w:r>
      <w:r>
        <w:t>basis,</w:t>
      </w:r>
      <w:r>
        <w:rPr>
          <w:spacing w:val="-4"/>
        </w:rPr>
        <w:t xml:space="preserve"> </w:t>
      </w:r>
      <w:r>
        <w:t>in</w:t>
      </w:r>
      <w:r>
        <w:rPr>
          <w:spacing w:val="-3"/>
        </w:rPr>
        <w:t xml:space="preserve"> </w:t>
      </w:r>
      <w:r>
        <w:t>part,</w:t>
      </w:r>
      <w:r>
        <w:rPr>
          <w:spacing w:val="-3"/>
        </w:rPr>
        <w:t xml:space="preserve"> </w:t>
      </w:r>
      <w:r>
        <w:t>for</w:t>
      </w:r>
      <w:r>
        <w:rPr>
          <w:spacing w:val="-3"/>
        </w:rPr>
        <w:t xml:space="preserve"> </w:t>
      </w:r>
      <w:r>
        <w:t>the</w:t>
      </w:r>
      <w:r>
        <w:rPr>
          <w:spacing w:val="-3"/>
        </w:rPr>
        <w:t xml:space="preserve"> </w:t>
      </w:r>
      <w:r>
        <w:t>auditor’s</w:t>
      </w:r>
      <w:r>
        <w:rPr>
          <w:spacing w:val="-3"/>
        </w:rPr>
        <w:t xml:space="preserve"> </w:t>
      </w:r>
      <w:r>
        <w:t>opinion on the group’s internal control, the auditor should modify the report on internal control over financial reporting.</w:t>
      </w:r>
    </w:p>
    <w:p w14:paraId="0DFDADDC" w14:textId="77777777" w:rsidR="00046465" w:rsidRDefault="008134EB">
      <w:pPr>
        <w:pStyle w:val="ListParagraph"/>
        <w:numPr>
          <w:ilvl w:val="0"/>
          <w:numId w:val="217"/>
        </w:numPr>
        <w:tabs>
          <w:tab w:val="left" w:pos="1800"/>
        </w:tabs>
        <w:ind w:right="738"/>
      </w:pPr>
      <w:r>
        <w:t>If the group engagement partner decides to assume responsibility for work of a component</w:t>
      </w:r>
      <w:r>
        <w:rPr>
          <w:spacing w:val="-4"/>
        </w:rPr>
        <w:t xml:space="preserve"> </w:t>
      </w:r>
      <w:r>
        <w:t>auditor,</w:t>
      </w:r>
      <w:r>
        <w:rPr>
          <w:spacing w:val="-4"/>
        </w:rPr>
        <w:t xml:space="preserve"> </w:t>
      </w:r>
      <w:r>
        <w:t>no</w:t>
      </w:r>
      <w:r>
        <w:rPr>
          <w:spacing w:val="-4"/>
        </w:rPr>
        <w:t xml:space="preserve"> </w:t>
      </w:r>
      <w:r>
        <w:t>reference</w:t>
      </w:r>
      <w:r>
        <w:rPr>
          <w:spacing w:val="-4"/>
        </w:rPr>
        <w:t xml:space="preserve"> </w:t>
      </w:r>
      <w:r>
        <w:t>should</w:t>
      </w:r>
      <w:r>
        <w:rPr>
          <w:spacing w:val="-4"/>
        </w:rPr>
        <w:t xml:space="preserve"> </w:t>
      </w:r>
      <w:r>
        <w:t>be</w:t>
      </w:r>
      <w:r>
        <w:rPr>
          <w:spacing w:val="-4"/>
        </w:rPr>
        <w:t xml:space="preserve"> </w:t>
      </w:r>
      <w:r>
        <w:t>made</w:t>
      </w:r>
      <w:r>
        <w:rPr>
          <w:spacing w:val="-4"/>
        </w:rPr>
        <w:t xml:space="preserve"> </w:t>
      </w:r>
      <w:r>
        <w:t>to</w:t>
      </w:r>
      <w:r>
        <w:rPr>
          <w:spacing w:val="-4"/>
        </w:rPr>
        <w:t xml:space="preserve"> </w:t>
      </w:r>
      <w:r>
        <w:t>the</w:t>
      </w:r>
      <w:r>
        <w:rPr>
          <w:spacing w:val="-4"/>
        </w:rPr>
        <w:t xml:space="preserve"> </w:t>
      </w:r>
      <w:r>
        <w:t>component</w:t>
      </w:r>
      <w:r>
        <w:rPr>
          <w:spacing w:val="-4"/>
        </w:rPr>
        <w:t xml:space="preserve"> </w:t>
      </w:r>
      <w:r>
        <w:t>auditor</w:t>
      </w:r>
      <w:r>
        <w:rPr>
          <w:spacing w:val="-4"/>
        </w:rPr>
        <w:t xml:space="preserve"> </w:t>
      </w:r>
      <w:r>
        <w:t>in</w:t>
      </w:r>
      <w:r>
        <w:rPr>
          <w:spacing w:val="-4"/>
        </w:rPr>
        <w:t xml:space="preserve"> </w:t>
      </w:r>
      <w:r>
        <w:t>the auditor’s report on the group financial statements (AU-C 600A.31).</w:t>
      </w:r>
    </w:p>
    <w:p w14:paraId="0DFDADDD" w14:textId="77777777" w:rsidR="00046465" w:rsidRDefault="008134EB">
      <w:pPr>
        <w:pStyle w:val="Heading4"/>
        <w:spacing w:before="240"/>
      </w:pPr>
      <w:r>
        <w:rPr>
          <w:spacing w:val="-2"/>
        </w:rPr>
        <w:t>Materiality</w:t>
      </w:r>
    </w:p>
    <w:p w14:paraId="0DFDADDE" w14:textId="77777777" w:rsidR="00046465" w:rsidRDefault="008134EB">
      <w:pPr>
        <w:pStyle w:val="ListParagraph"/>
        <w:numPr>
          <w:ilvl w:val="0"/>
          <w:numId w:val="217"/>
        </w:numPr>
        <w:tabs>
          <w:tab w:val="left" w:pos="1799"/>
        </w:tabs>
        <w:ind w:left="1799" w:hanging="719"/>
      </w:pPr>
      <w:r>
        <w:t>The</w:t>
      </w:r>
      <w:r>
        <w:rPr>
          <w:spacing w:val="-8"/>
        </w:rPr>
        <w:t xml:space="preserve"> </w:t>
      </w:r>
      <w:r>
        <w:t>group</w:t>
      </w:r>
      <w:r>
        <w:rPr>
          <w:spacing w:val="-8"/>
        </w:rPr>
        <w:t xml:space="preserve"> </w:t>
      </w:r>
      <w:r>
        <w:t>engagement</w:t>
      </w:r>
      <w:r>
        <w:rPr>
          <w:spacing w:val="-7"/>
        </w:rPr>
        <w:t xml:space="preserve"> </w:t>
      </w:r>
      <w:r>
        <w:t>team</w:t>
      </w:r>
      <w:r>
        <w:rPr>
          <w:spacing w:val="-8"/>
        </w:rPr>
        <w:t xml:space="preserve"> </w:t>
      </w:r>
      <w:r>
        <w:t>should</w:t>
      </w:r>
      <w:r>
        <w:rPr>
          <w:spacing w:val="-8"/>
        </w:rPr>
        <w:t xml:space="preserve"> </w:t>
      </w:r>
      <w:r>
        <w:t>determine</w:t>
      </w:r>
      <w:r>
        <w:rPr>
          <w:spacing w:val="-7"/>
        </w:rPr>
        <w:t xml:space="preserve"> </w:t>
      </w:r>
      <w:r>
        <w:t>the</w:t>
      </w:r>
      <w:r>
        <w:rPr>
          <w:spacing w:val="-8"/>
        </w:rPr>
        <w:t xml:space="preserve"> </w:t>
      </w:r>
      <w:r>
        <w:t>following</w:t>
      </w:r>
      <w:r>
        <w:rPr>
          <w:spacing w:val="-7"/>
        </w:rPr>
        <w:t xml:space="preserve"> </w:t>
      </w:r>
      <w:r>
        <w:t>(AU-C</w:t>
      </w:r>
      <w:r>
        <w:rPr>
          <w:spacing w:val="-8"/>
        </w:rPr>
        <w:t xml:space="preserve"> </w:t>
      </w:r>
      <w:r>
        <w:rPr>
          <w:spacing w:val="-2"/>
        </w:rPr>
        <w:t>600A.32):</w:t>
      </w:r>
    </w:p>
    <w:p w14:paraId="0DFDADDF" w14:textId="77777777" w:rsidR="00046465" w:rsidRDefault="008134EB">
      <w:pPr>
        <w:pStyle w:val="ListParagraph"/>
        <w:numPr>
          <w:ilvl w:val="1"/>
          <w:numId w:val="217"/>
        </w:numPr>
        <w:tabs>
          <w:tab w:val="left" w:pos="2159"/>
        </w:tabs>
        <w:ind w:right="1137"/>
      </w:pPr>
      <w:r>
        <w:t>Materiality, including performance materiality, for the group financial statements</w:t>
      </w:r>
      <w:r>
        <w:rPr>
          <w:spacing w:val="-4"/>
        </w:rPr>
        <w:t xml:space="preserve"> </w:t>
      </w:r>
      <w:r>
        <w:t>as</w:t>
      </w:r>
      <w:r>
        <w:rPr>
          <w:spacing w:val="-4"/>
        </w:rPr>
        <w:t xml:space="preserve"> </w:t>
      </w:r>
      <w:r>
        <w:t>a</w:t>
      </w:r>
      <w:r>
        <w:rPr>
          <w:spacing w:val="-4"/>
        </w:rPr>
        <w:t xml:space="preserve"> </w:t>
      </w:r>
      <w:r>
        <w:t>whole</w:t>
      </w:r>
      <w:r>
        <w:rPr>
          <w:spacing w:val="-5"/>
        </w:rPr>
        <w:t xml:space="preserve"> </w:t>
      </w:r>
      <w:r>
        <w:t>when</w:t>
      </w:r>
      <w:r>
        <w:rPr>
          <w:spacing w:val="-4"/>
        </w:rPr>
        <w:t xml:space="preserve"> </w:t>
      </w:r>
      <w:r>
        <w:t>establishing</w:t>
      </w:r>
      <w:r>
        <w:rPr>
          <w:spacing w:val="-4"/>
        </w:rPr>
        <w:t xml:space="preserve"> </w:t>
      </w:r>
      <w:r>
        <w:t>the</w:t>
      </w:r>
      <w:r>
        <w:rPr>
          <w:spacing w:val="-4"/>
        </w:rPr>
        <w:t xml:space="preserve"> </w:t>
      </w:r>
      <w:r>
        <w:t>overall</w:t>
      </w:r>
      <w:r>
        <w:rPr>
          <w:spacing w:val="-4"/>
        </w:rPr>
        <w:t xml:space="preserve"> </w:t>
      </w:r>
      <w:r>
        <w:t>group</w:t>
      </w:r>
      <w:r>
        <w:rPr>
          <w:spacing w:val="-4"/>
        </w:rPr>
        <w:t xml:space="preserve"> </w:t>
      </w:r>
      <w:r>
        <w:t>audit</w:t>
      </w:r>
      <w:r>
        <w:rPr>
          <w:spacing w:val="-4"/>
        </w:rPr>
        <w:t xml:space="preserve"> </w:t>
      </w:r>
      <w:r>
        <w:t>strategy.</w:t>
      </w:r>
    </w:p>
    <w:p w14:paraId="0DFDADE0" w14:textId="77777777" w:rsidR="00046465" w:rsidRDefault="008134EB">
      <w:pPr>
        <w:pStyle w:val="ListParagraph"/>
        <w:numPr>
          <w:ilvl w:val="1"/>
          <w:numId w:val="217"/>
        </w:numPr>
        <w:tabs>
          <w:tab w:val="left" w:pos="2159"/>
        </w:tabs>
        <w:spacing w:before="119"/>
        <w:ind w:right="731"/>
      </w:pPr>
      <w:r>
        <w:t>Whether, in the specific circumstances of the group, particular line items, accounts, note disclosures, or classes of transactions in the group financial statements exist for which there is a substantial likelihood that misstatements of lesser amounts than materiality for the group financial statements as a whole</w:t>
      </w:r>
      <w:r>
        <w:rPr>
          <w:spacing w:val="-4"/>
        </w:rPr>
        <w:t xml:space="preserve"> </w:t>
      </w:r>
      <w:r>
        <w:t>would</w:t>
      </w:r>
      <w:r>
        <w:rPr>
          <w:spacing w:val="-4"/>
        </w:rPr>
        <w:t xml:space="preserve"> </w:t>
      </w:r>
      <w:r>
        <w:t>influence</w:t>
      </w:r>
      <w:r>
        <w:rPr>
          <w:spacing w:val="-4"/>
        </w:rPr>
        <w:t xml:space="preserve"> </w:t>
      </w:r>
      <w:r>
        <w:t>the</w:t>
      </w:r>
      <w:r>
        <w:rPr>
          <w:spacing w:val="-4"/>
        </w:rPr>
        <w:t xml:space="preserve"> </w:t>
      </w:r>
      <w:r>
        <w:t>judgment</w:t>
      </w:r>
      <w:r>
        <w:rPr>
          <w:spacing w:val="-4"/>
        </w:rPr>
        <w:t xml:space="preserve"> </w:t>
      </w:r>
      <w:r>
        <w:t>made</w:t>
      </w:r>
      <w:r>
        <w:rPr>
          <w:spacing w:val="-4"/>
        </w:rPr>
        <w:t xml:space="preserve"> </w:t>
      </w:r>
      <w:r>
        <w:t>by</w:t>
      </w:r>
      <w:r>
        <w:rPr>
          <w:spacing w:val="-4"/>
        </w:rPr>
        <w:t xml:space="preserve"> </w:t>
      </w:r>
      <w:r>
        <w:t>a</w:t>
      </w:r>
      <w:r>
        <w:rPr>
          <w:spacing w:val="-4"/>
        </w:rPr>
        <w:t xml:space="preserve"> </w:t>
      </w:r>
      <w:r>
        <w:t>reasonable</w:t>
      </w:r>
      <w:r>
        <w:rPr>
          <w:spacing w:val="-4"/>
        </w:rPr>
        <w:t xml:space="preserve"> </w:t>
      </w:r>
      <w:r>
        <w:t>user</w:t>
      </w:r>
      <w:r>
        <w:rPr>
          <w:spacing w:val="-4"/>
        </w:rPr>
        <w:t xml:space="preserve"> </w:t>
      </w:r>
      <w:r>
        <w:t>based</w:t>
      </w:r>
      <w:r>
        <w:rPr>
          <w:spacing w:val="-4"/>
        </w:rPr>
        <w:t xml:space="preserve"> </w:t>
      </w:r>
      <w:r>
        <w:t>on</w:t>
      </w:r>
      <w:r>
        <w:rPr>
          <w:spacing w:val="-3"/>
        </w:rPr>
        <w:t xml:space="preserve"> </w:t>
      </w:r>
      <w:r>
        <w:t>the group financial statements. In such circumstances, the group engagement team should determine materiality to be applied to those particular line items, accounts, note disclosures, or classes of transactions.</w:t>
      </w:r>
    </w:p>
    <w:p w14:paraId="0DFDADE1" w14:textId="77777777" w:rsidR="00046465" w:rsidRDefault="008134EB">
      <w:pPr>
        <w:pStyle w:val="ListParagraph"/>
        <w:numPr>
          <w:ilvl w:val="1"/>
          <w:numId w:val="217"/>
        </w:numPr>
        <w:tabs>
          <w:tab w:val="left" w:pos="2159"/>
        </w:tabs>
        <w:spacing w:before="121"/>
        <w:ind w:right="720"/>
      </w:pPr>
      <w:r>
        <w:t>Component materiality for those components on which the group</w:t>
      </w:r>
      <w:r>
        <w:rPr>
          <w:spacing w:val="40"/>
        </w:rPr>
        <w:t xml:space="preserve"> </w:t>
      </w:r>
      <w:r>
        <w:t>engagement team will perform, or for which the auditor of the group financial statements will assume responsibility for the work of a component auditor</w:t>
      </w:r>
      <w:r>
        <w:rPr>
          <w:spacing w:val="40"/>
        </w:rPr>
        <w:t xml:space="preserve"> </w:t>
      </w:r>
      <w:r>
        <w:t>who performs, an audit or a review. Determining component materiality should take into account all components, regardless of whether reference is made</w:t>
      </w:r>
      <w:r>
        <w:rPr>
          <w:spacing w:val="-3"/>
        </w:rPr>
        <w:t xml:space="preserve"> </w:t>
      </w:r>
      <w:r>
        <w:t>in</w:t>
      </w:r>
      <w:r>
        <w:rPr>
          <w:spacing w:val="-3"/>
        </w:rPr>
        <w:t xml:space="preserve"> </w:t>
      </w:r>
      <w:r>
        <w:t>the</w:t>
      </w:r>
      <w:r>
        <w:rPr>
          <w:spacing w:val="-3"/>
        </w:rPr>
        <w:t xml:space="preserve"> </w:t>
      </w:r>
      <w:r>
        <w:t>auditor’s</w:t>
      </w:r>
      <w:r>
        <w:rPr>
          <w:spacing w:val="-2"/>
        </w:rPr>
        <w:t xml:space="preserve"> </w:t>
      </w:r>
      <w:r>
        <w:t>report</w:t>
      </w:r>
      <w:r>
        <w:rPr>
          <w:spacing w:val="-3"/>
        </w:rPr>
        <w:t xml:space="preserve"> </w:t>
      </w:r>
      <w:r>
        <w:t>on</w:t>
      </w:r>
      <w:r>
        <w:rPr>
          <w:spacing w:val="-3"/>
        </w:rPr>
        <w:t xml:space="preserve"> </w:t>
      </w:r>
      <w:r>
        <w:t>the</w:t>
      </w:r>
      <w:r>
        <w:rPr>
          <w:spacing w:val="-3"/>
        </w:rPr>
        <w:t xml:space="preserve"> </w:t>
      </w:r>
      <w:r>
        <w:t>group</w:t>
      </w:r>
      <w:r>
        <w:rPr>
          <w:spacing w:val="-3"/>
        </w:rPr>
        <w:t xml:space="preserve"> </w:t>
      </w:r>
      <w:r>
        <w:t>financial</w:t>
      </w:r>
      <w:r>
        <w:rPr>
          <w:spacing w:val="-3"/>
        </w:rPr>
        <w:t xml:space="preserve"> </w:t>
      </w:r>
      <w:r>
        <w:t>statements</w:t>
      </w:r>
      <w:r>
        <w:rPr>
          <w:spacing w:val="-4"/>
        </w:rPr>
        <w:t xml:space="preserve"> </w:t>
      </w:r>
      <w:r>
        <w:t>to</w:t>
      </w:r>
      <w:r>
        <w:rPr>
          <w:spacing w:val="-3"/>
        </w:rPr>
        <w:t xml:space="preserve"> </w:t>
      </w:r>
      <w:r>
        <w:t>the</w:t>
      </w:r>
      <w:r>
        <w:rPr>
          <w:spacing w:val="-3"/>
        </w:rPr>
        <w:t xml:space="preserve"> </w:t>
      </w:r>
      <w:r>
        <w:t>audit</w:t>
      </w:r>
      <w:r>
        <w:rPr>
          <w:spacing w:val="-4"/>
        </w:rPr>
        <w:t xml:space="preserve"> </w:t>
      </w:r>
      <w:r>
        <w:t>of</w:t>
      </w:r>
      <w:r>
        <w:rPr>
          <w:spacing w:val="-3"/>
        </w:rPr>
        <w:t xml:space="preserve"> </w:t>
      </w:r>
      <w:r>
        <w:t>a component auditor. To reduce the risk that the aggregate of uncorrected and undetected misstatements in the group financial statements exceeds the materiality for the group financial statements as a whole, component materiality should be lower than the materiality for the group financial statements as a whole, and component performance materiality should be lower than performance materiality for the group financial statements as a whole. Different materiality may be established for different components, and the aggregate component materiality may exceed the group materiality (see AU-C 600A.A64–.A66 for further guidance).</w:t>
      </w:r>
    </w:p>
    <w:p w14:paraId="0DFDADE2" w14:textId="77777777" w:rsidR="00046465" w:rsidRDefault="008134EB">
      <w:pPr>
        <w:pStyle w:val="ListParagraph"/>
        <w:numPr>
          <w:ilvl w:val="1"/>
          <w:numId w:val="217"/>
        </w:numPr>
        <w:tabs>
          <w:tab w:val="left" w:pos="2159"/>
        </w:tabs>
        <w:ind w:right="1212"/>
      </w:pPr>
      <w:r>
        <w:t>The</w:t>
      </w:r>
      <w:r>
        <w:rPr>
          <w:spacing w:val="-5"/>
        </w:rPr>
        <w:t xml:space="preserve"> </w:t>
      </w:r>
      <w:r>
        <w:t>threshold</w:t>
      </w:r>
      <w:r>
        <w:rPr>
          <w:spacing w:val="-5"/>
        </w:rPr>
        <w:t xml:space="preserve"> </w:t>
      </w:r>
      <w:r>
        <w:t>above</w:t>
      </w:r>
      <w:r>
        <w:rPr>
          <w:spacing w:val="-5"/>
        </w:rPr>
        <w:t xml:space="preserve"> </w:t>
      </w:r>
      <w:r>
        <w:t>which</w:t>
      </w:r>
      <w:r>
        <w:rPr>
          <w:spacing w:val="-5"/>
        </w:rPr>
        <w:t xml:space="preserve"> </w:t>
      </w:r>
      <w:r>
        <w:t>misstatements</w:t>
      </w:r>
      <w:r>
        <w:rPr>
          <w:spacing w:val="-5"/>
        </w:rPr>
        <w:t xml:space="preserve"> </w:t>
      </w:r>
      <w:r>
        <w:t>cannot</w:t>
      </w:r>
      <w:r>
        <w:rPr>
          <w:spacing w:val="-5"/>
        </w:rPr>
        <w:t xml:space="preserve"> </w:t>
      </w:r>
      <w:r>
        <w:t>be</w:t>
      </w:r>
      <w:r>
        <w:rPr>
          <w:spacing w:val="-5"/>
        </w:rPr>
        <w:t xml:space="preserve"> </w:t>
      </w:r>
      <w:r>
        <w:t>regarded</w:t>
      </w:r>
      <w:r>
        <w:rPr>
          <w:spacing w:val="-5"/>
        </w:rPr>
        <w:t xml:space="preserve"> </w:t>
      </w:r>
      <w:r>
        <w:t>as</w:t>
      </w:r>
      <w:r>
        <w:rPr>
          <w:spacing w:val="-5"/>
        </w:rPr>
        <w:t xml:space="preserve"> </w:t>
      </w:r>
      <w:r>
        <w:t>clearly trivial to the group financial statements.</w:t>
      </w:r>
    </w:p>
    <w:p w14:paraId="0DFDADE3" w14:textId="77777777" w:rsidR="00046465" w:rsidRDefault="008134EB">
      <w:pPr>
        <w:pStyle w:val="BodyText"/>
        <w:spacing w:before="120"/>
        <w:ind w:left="1799" w:right="844"/>
      </w:pPr>
      <w:r>
        <w:t>See</w:t>
      </w:r>
      <w:r>
        <w:rPr>
          <w:spacing w:val="-5"/>
        </w:rPr>
        <w:t xml:space="preserve"> </w:t>
      </w:r>
      <w:r>
        <w:t>FAM</w:t>
      </w:r>
      <w:r>
        <w:rPr>
          <w:spacing w:val="-6"/>
        </w:rPr>
        <w:t xml:space="preserve"> </w:t>
      </w:r>
      <w:r>
        <w:t>630.56</w:t>
      </w:r>
      <w:r>
        <w:rPr>
          <w:spacing w:val="-5"/>
        </w:rPr>
        <w:t xml:space="preserve"> </w:t>
      </w:r>
      <w:r>
        <w:t>for</w:t>
      </w:r>
      <w:r>
        <w:rPr>
          <w:spacing w:val="-5"/>
        </w:rPr>
        <w:t xml:space="preserve"> </w:t>
      </w:r>
      <w:r>
        <w:t>additional</w:t>
      </w:r>
      <w:r>
        <w:rPr>
          <w:spacing w:val="-5"/>
        </w:rPr>
        <w:t xml:space="preserve"> </w:t>
      </w:r>
      <w:r>
        <w:t>requirements</w:t>
      </w:r>
      <w:r>
        <w:rPr>
          <w:spacing w:val="-5"/>
        </w:rPr>
        <w:t xml:space="preserve"> </w:t>
      </w:r>
      <w:r>
        <w:t>when</w:t>
      </w:r>
      <w:r>
        <w:rPr>
          <w:spacing w:val="-5"/>
        </w:rPr>
        <w:t xml:space="preserve"> </w:t>
      </w:r>
      <w:r>
        <w:t>assuming</w:t>
      </w:r>
      <w:r>
        <w:rPr>
          <w:spacing w:val="-6"/>
        </w:rPr>
        <w:t xml:space="preserve"> </w:t>
      </w:r>
      <w:r>
        <w:t>responsibility</w:t>
      </w:r>
      <w:r>
        <w:rPr>
          <w:spacing w:val="-5"/>
        </w:rPr>
        <w:t xml:space="preserve"> </w:t>
      </w:r>
      <w:r>
        <w:t>for the work of a component auditor.</w:t>
      </w:r>
    </w:p>
    <w:p w14:paraId="0DFDADE4" w14:textId="77777777" w:rsidR="00046465" w:rsidRDefault="008134EB">
      <w:pPr>
        <w:pStyle w:val="Heading4"/>
        <w:spacing w:before="239"/>
      </w:pPr>
      <w:bookmarkStart w:id="54" w:name="Responding_to_Assessed_Risk"/>
      <w:bookmarkEnd w:id="54"/>
      <w:r>
        <w:t>Responding</w:t>
      </w:r>
      <w:r>
        <w:rPr>
          <w:spacing w:val="-14"/>
        </w:rPr>
        <w:t xml:space="preserve"> </w:t>
      </w:r>
      <w:r>
        <w:t>to</w:t>
      </w:r>
      <w:r>
        <w:rPr>
          <w:spacing w:val="-13"/>
        </w:rPr>
        <w:t xml:space="preserve"> </w:t>
      </w:r>
      <w:r>
        <w:t>Assessed</w:t>
      </w:r>
      <w:r>
        <w:rPr>
          <w:spacing w:val="-13"/>
        </w:rPr>
        <w:t xml:space="preserve"> </w:t>
      </w:r>
      <w:r>
        <w:rPr>
          <w:spacing w:val="-4"/>
        </w:rPr>
        <w:t>Risk</w:t>
      </w:r>
    </w:p>
    <w:p w14:paraId="0DFDADE5" w14:textId="77777777" w:rsidR="00046465" w:rsidRDefault="008134EB">
      <w:pPr>
        <w:pStyle w:val="ListParagraph"/>
        <w:numPr>
          <w:ilvl w:val="0"/>
          <w:numId w:val="217"/>
        </w:numPr>
        <w:tabs>
          <w:tab w:val="left" w:pos="1800"/>
        </w:tabs>
        <w:spacing w:before="121"/>
        <w:ind w:right="835"/>
      </w:pPr>
      <w:r>
        <w:t>The auditor is required to design and implement appropriate responses to address</w:t>
      </w:r>
      <w:r>
        <w:rPr>
          <w:spacing w:val="-3"/>
        </w:rPr>
        <w:t xml:space="preserve"> </w:t>
      </w:r>
      <w:r>
        <w:t>the</w:t>
      </w:r>
      <w:r>
        <w:rPr>
          <w:spacing w:val="-4"/>
        </w:rPr>
        <w:t xml:space="preserve"> </w:t>
      </w:r>
      <w:r>
        <w:t>assessed</w:t>
      </w:r>
      <w:r>
        <w:rPr>
          <w:spacing w:val="-3"/>
        </w:rPr>
        <w:t xml:space="preserve"> </w:t>
      </w:r>
      <w:r>
        <w:t>risks</w:t>
      </w:r>
      <w:r>
        <w:rPr>
          <w:spacing w:val="-3"/>
        </w:rPr>
        <w:t xml:space="preserve"> </w:t>
      </w:r>
      <w:r>
        <w:t>of</w:t>
      </w:r>
      <w:r>
        <w:rPr>
          <w:spacing w:val="-3"/>
        </w:rPr>
        <w:t xml:space="preserve"> </w:t>
      </w:r>
      <w:r>
        <w:t>material</w:t>
      </w:r>
      <w:r>
        <w:rPr>
          <w:spacing w:val="-3"/>
        </w:rPr>
        <w:t xml:space="preserve"> </w:t>
      </w:r>
      <w:r>
        <w:t>misstatement</w:t>
      </w:r>
      <w:r>
        <w:rPr>
          <w:spacing w:val="-3"/>
        </w:rPr>
        <w:t xml:space="preserve"> </w:t>
      </w:r>
      <w:r>
        <w:t>of</w:t>
      </w:r>
      <w:r>
        <w:rPr>
          <w:spacing w:val="-3"/>
        </w:rPr>
        <w:t xml:space="preserve"> </w:t>
      </w:r>
      <w:r>
        <w:t>the</w:t>
      </w:r>
      <w:r>
        <w:rPr>
          <w:spacing w:val="-3"/>
        </w:rPr>
        <w:t xml:space="preserve"> </w:t>
      </w:r>
      <w:r>
        <w:t>financial</w:t>
      </w:r>
      <w:r>
        <w:rPr>
          <w:spacing w:val="-4"/>
        </w:rPr>
        <w:t xml:space="preserve"> </w:t>
      </w:r>
      <w:r>
        <w:t>statements. If</w:t>
      </w:r>
      <w:r>
        <w:rPr>
          <w:spacing w:val="-3"/>
        </w:rPr>
        <w:t xml:space="preserve"> </w:t>
      </w:r>
      <w:r>
        <w:t>the</w:t>
      </w:r>
      <w:r>
        <w:rPr>
          <w:spacing w:val="-3"/>
        </w:rPr>
        <w:t xml:space="preserve"> </w:t>
      </w:r>
      <w:r>
        <w:t>nature,</w:t>
      </w:r>
      <w:r>
        <w:rPr>
          <w:spacing w:val="-3"/>
        </w:rPr>
        <w:t xml:space="preserve"> </w:t>
      </w:r>
      <w:r>
        <w:t>timing,</w:t>
      </w:r>
      <w:r>
        <w:rPr>
          <w:spacing w:val="-3"/>
        </w:rPr>
        <w:t xml:space="preserve"> </w:t>
      </w:r>
      <w:r>
        <w:t>and</w:t>
      </w:r>
      <w:r>
        <w:rPr>
          <w:spacing w:val="-3"/>
        </w:rPr>
        <w:t xml:space="preserve"> </w:t>
      </w:r>
      <w:r>
        <w:t>extent</w:t>
      </w:r>
      <w:r>
        <w:rPr>
          <w:spacing w:val="-3"/>
        </w:rPr>
        <w:t xml:space="preserve"> </w:t>
      </w:r>
      <w:r>
        <w:t>of</w:t>
      </w:r>
      <w:r>
        <w:rPr>
          <w:spacing w:val="-3"/>
        </w:rPr>
        <w:t xml:space="preserve"> </w:t>
      </w:r>
      <w:r>
        <w:t>the</w:t>
      </w:r>
      <w:r>
        <w:rPr>
          <w:spacing w:val="-3"/>
        </w:rPr>
        <w:t xml:space="preserve"> </w:t>
      </w:r>
      <w:r>
        <w:t>work</w:t>
      </w:r>
      <w:r>
        <w:rPr>
          <w:spacing w:val="-3"/>
        </w:rPr>
        <w:t xml:space="preserve"> </w:t>
      </w:r>
      <w:r>
        <w:t>to</w:t>
      </w:r>
      <w:r>
        <w:rPr>
          <w:spacing w:val="-3"/>
        </w:rPr>
        <w:t xml:space="preserve"> </w:t>
      </w:r>
      <w:r>
        <w:t>be</w:t>
      </w:r>
      <w:r>
        <w:rPr>
          <w:spacing w:val="-3"/>
        </w:rPr>
        <w:t xml:space="preserve"> </w:t>
      </w:r>
      <w:r>
        <w:t>performed</w:t>
      </w:r>
      <w:r>
        <w:rPr>
          <w:spacing w:val="-3"/>
        </w:rPr>
        <w:t xml:space="preserve"> </w:t>
      </w:r>
      <w:r>
        <w:t>on</w:t>
      </w:r>
      <w:r>
        <w:rPr>
          <w:spacing w:val="-3"/>
        </w:rPr>
        <w:t xml:space="preserve"> </w:t>
      </w:r>
      <w:r>
        <w:t>the</w:t>
      </w:r>
      <w:r>
        <w:rPr>
          <w:spacing w:val="-3"/>
        </w:rPr>
        <w:t xml:space="preserve"> </w:t>
      </w:r>
      <w:r>
        <w:t>consolidation process or the component’s financial information are based on an expectation that group-wide controls are operating effectively, or when substantive procedures alone cannot provide sufficient appropriate audit evidence at the</w:t>
      </w:r>
    </w:p>
    <w:p w14:paraId="0DFDADE6" w14:textId="77777777" w:rsidR="00046465" w:rsidRDefault="00046465">
      <w:pPr>
        <w:pStyle w:val="ListParagraph"/>
        <w:sectPr w:rsidR="00046465">
          <w:pgSz w:w="12240" w:h="15840"/>
          <w:pgMar w:top="1340" w:right="720" w:bottom="940" w:left="1080" w:header="721" w:footer="757" w:gutter="0"/>
          <w:cols w:space="720"/>
        </w:sectPr>
      </w:pPr>
    </w:p>
    <w:p w14:paraId="0DFDADE7" w14:textId="77777777" w:rsidR="00046465" w:rsidRDefault="008134EB">
      <w:pPr>
        <w:pStyle w:val="BodyText"/>
        <w:spacing w:before="121"/>
        <w:ind w:left="1800" w:right="749"/>
      </w:pPr>
      <w:r>
        <w:lastRenderedPageBreak/>
        <w:t>assertion level, the group engagement team should test, or have a component auditor</w:t>
      </w:r>
      <w:r>
        <w:rPr>
          <w:spacing w:val="-4"/>
        </w:rPr>
        <w:t xml:space="preserve"> </w:t>
      </w:r>
      <w:r>
        <w:t>test</w:t>
      </w:r>
      <w:r>
        <w:rPr>
          <w:spacing w:val="-5"/>
        </w:rPr>
        <w:t xml:space="preserve"> </w:t>
      </w:r>
      <w:r>
        <w:t>on</w:t>
      </w:r>
      <w:r>
        <w:rPr>
          <w:spacing w:val="-4"/>
        </w:rPr>
        <w:t xml:space="preserve"> </w:t>
      </w:r>
      <w:r>
        <w:t>the</w:t>
      </w:r>
      <w:r>
        <w:rPr>
          <w:spacing w:val="-4"/>
        </w:rPr>
        <w:t xml:space="preserve"> </w:t>
      </w:r>
      <w:r>
        <w:t>group</w:t>
      </w:r>
      <w:r>
        <w:rPr>
          <w:spacing w:val="-4"/>
        </w:rPr>
        <w:t xml:space="preserve"> </w:t>
      </w:r>
      <w:r>
        <w:t>engagement</w:t>
      </w:r>
      <w:r>
        <w:rPr>
          <w:spacing w:val="-4"/>
        </w:rPr>
        <w:t xml:space="preserve"> </w:t>
      </w:r>
      <w:r>
        <w:t>team’s</w:t>
      </w:r>
      <w:r>
        <w:rPr>
          <w:spacing w:val="-4"/>
        </w:rPr>
        <w:t xml:space="preserve"> </w:t>
      </w:r>
      <w:r>
        <w:t>behalf,</w:t>
      </w:r>
      <w:r>
        <w:rPr>
          <w:spacing w:val="-4"/>
        </w:rPr>
        <w:t xml:space="preserve"> </w:t>
      </w:r>
      <w:r>
        <w:t>the</w:t>
      </w:r>
      <w:r>
        <w:rPr>
          <w:spacing w:val="-4"/>
        </w:rPr>
        <w:t xml:space="preserve"> </w:t>
      </w:r>
      <w:r>
        <w:t>operating</w:t>
      </w:r>
      <w:r>
        <w:rPr>
          <w:spacing w:val="-4"/>
        </w:rPr>
        <w:t xml:space="preserve"> </w:t>
      </w:r>
      <w:r>
        <w:t>effectiveness of those controls over specified risks that present a reasonable possibility of material misstatement to the group financial statements (AU-C 600A.33 and</w:t>
      </w:r>
    </w:p>
    <w:p w14:paraId="0DFDADE8" w14:textId="77777777" w:rsidR="00046465" w:rsidRDefault="008134EB">
      <w:pPr>
        <w:pStyle w:val="BodyText"/>
        <w:ind w:left="1800" w:hanging="1"/>
      </w:pPr>
      <w:r>
        <w:t>AU-C</w:t>
      </w:r>
      <w:r>
        <w:rPr>
          <w:spacing w:val="-4"/>
        </w:rPr>
        <w:t xml:space="preserve"> </w:t>
      </w:r>
      <w:r>
        <w:t>940.82).</w:t>
      </w:r>
      <w:r>
        <w:rPr>
          <w:spacing w:val="-4"/>
        </w:rPr>
        <w:t xml:space="preserve"> </w:t>
      </w:r>
      <w:r>
        <w:t>See</w:t>
      </w:r>
      <w:r>
        <w:rPr>
          <w:spacing w:val="-4"/>
        </w:rPr>
        <w:t xml:space="preserve"> </w:t>
      </w:r>
      <w:r>
        <w:t>FAM</w:t>
      </w:r>
      <w:r>
        <w:rPr>
          <w:spacing w:val="-5"/>
        </w:rPr>
        <w:t xml:space="preserve"> </w:t>
      </w:r>
      <w:r>
        <w:t>630.66</w:t>
      </w:r>
      <w:r>
        <w:rPr>
          <w:spacing w:val="-4"/>
        </w:rPr>
        <w:t xml:space="preserve"> </w:t>
      </w:r>
      <w:r>
        <w:t>for</w:t>
      </w:r>
      <w:r>
        <w:rPr>
          <w:spacing w:val="-4"/>
        </w:rPr>
        <w:t xml:space="preserve"> </w:t>
      </w:r>
      <w:r>
        <w:t>additional</w:t>
      </w:r>
      <w:r>
        <w:rPr>
          <w:spacing w:val="-5"/>
        </w:rPr>
        <w:t xml:space="preserve"> </w:t>
      </w:r>
      <w:r>
        <w:t>audit</w:t>
      </w:r>
      <w:r>
        <w:rPr>
          <w:spacing w:val="-4"/>
        </w:rPr>
        <w:t xml:space="preserve"> </w:t>
      </w:r>
      <w:r>
        <w:t>procedures</w:t>
      </w:r>
      <w:r>
        <w:rPr>
          <w:spacing w:val="-4"/>
        </w:rPr>
        <w:t xml:space="preserve"> </w:t>
      </w:r>
      <w:r>
        <w:t>when</w:t>
      </w:r>
      <w:r>
        <w:rPr>
          <w:spacing w:val="-4"/>
        </w:rPr>
        <w:t xml:space="preserve"> </w:t>
      </w:r>
      <w:r>
        <w:t>assuming responsibility for the work of a component auditor.</w:t>
      </w:r>
    </w:p>
    <w:p w14:paraId="0DFDADE9" w14:textId="77777777" w:rsidR="00046465" w:rsidRDefault="008134EB">
      <w:pPr>
        <w:pStyle w:val="ListParagraph"/>
        <w:numPr>
          <w:ilvl w:val="0"/>
          <w:numId w:val="217"/>
        </w:numPr>
        <w:tabs>
          <w:tab w:val="left" w:pos="1800"/>
        </w:tabs>
        <w:ind w:right="934"/>
      </w:pPr>
      <w:r>
        <w:t>Responses</w:t>
      </w:r>
      <w:r>
        <w:rPr>
          <w:spacing w:val="-4"/>
        </w:rPr>
        <w:t xml:space="preserve"> </w:t>
      </w:r>
      <w:r>
        <w:t>to</w:t>
      </w:r>
      <w:r>
        <w:rPr>
          <w:spacing w:val="-4"/>
        </w:rPr>
        <w:t xml:space="preserve"> </w:t>
      </w:r>
      <w:r>
        <w:t>assessed</w:t>
      </w:r>
      <w:r>
        <w:rPr>
          <w:spacing w:val="-5"/>
        </w:rPr>
        <w:t xml:space="preserve"> </w:t>
      </w:r>
      <w:r>
        <w:t>risks</w:t>
      </w:r>
      <w:r>
        <w:rPr>
          <w:spacing w:val="-4"/>
        </w:rPr>
        <w:t xml:space="preserve"> </w:t>
      </w:r>
      <w:r>
        <w:t>of</w:t>
      </w:r>
      <w:r>
        <w:rPr>
          <w:spacing w:val="-4"/>
        </w:rPr>
        <w:t xml:space="preserve"> </w:t>
      </w:r>
      <w:r>
        <w:t>material</w:t>
      </w:r>
      <w:r>
        <w:rPr>
          <w:spacing w:val="-4"/>
        </w:rPr>
        <w:t xml:space="preserve"> </w:t>
      </w:r>
      <w:r>
        <w:t>misstatement</w:t>
      </w:r>
      <w:r>
        <w:rPr>
          <w:spacing w:val="-4"/>
        </w:rPr>
        <w:t xml:space="preserve"> </w:t>
      </w:r>
      <w:r>
        <w:t>for</w:t>
      </w:r>
      <w:r>
        <w:rPr>
          <w:spacing w:val="-4"/>
        </w:rPr>
        <w:t xml:space="preserve"> </w:t>
      </w:r>
      <w:r>
        <w:t>some</w:t>
      </w:r>
      <w:r>
        <w:rPr>
          <w:spacing w:val="-4"/>
        </w:rPr>
        <w:t xml:space="preserve"> </w:t>
      </w:r>
      <w:r>
        <w:t>or</w:t>
      </w:r>
      <w:r>
        <w:rPr>
          <w:spacing w:val="-4"/>
        </w:rPr>
        <w:t xml:space="preserve"> </w:t>
      </w:r>
      <w:r>
        <w:t>all</w:t>
      </w:r>
      <w:r>
        <w:rPr>
          <w:spacing w:val="-4"/>
        </w:rPr>
        <w:t xml:space="preserve"> </w:t>
      </w:r>
      <w:r>
        <w:t xml:space="preserve">accounts may be implemented at the group level, without involving the component auditors, if deemed appropriate by the group engagement team (AU-C </w:t>
      </w:r>
      <w:r>
        <w:rPr>
          <w:spacing w:val="-2"/>
        </w:rPr>
        <w:t>600A.A68).</w:t>
      </w:r>
    </w:p>
    <w:p w14:paraId="0DFDADEA" w14:textId="77777777" w:rsidR="00046465" w:rsidRDefault="008134EB">
      <w:pPr>
        <w:pStyle w:val="ListParagraph"/>
        <w:numPr>
          <w:ilvl w:val="0"/>
          <w:numId w:val="217"/>
        </w:numPr>
        <w:tabs>
          <w:tab w:val="left" w:pos="1800"/>
        </w:tabs>
        <w:ind w:right="861"/>
      </w:pPr>
      <w:r>
        <w:t>In determining the components at which to perform tests of controls, the group engagement team should assess the risk of material misstatement to the financial</w:t>
      </w:r>
      <w:r>
        <w:rPr>
          <w:spacing w:val="-5"/>
        </w:rPr>
        <w:t xml:space="preserve"> </w:t>
      </w:r>
      <w:r>
        <w:t>statements</w:t>
      </w:r>
      <w:r>
        <w:rPr>
          <w:spacing w:val="-4"/>
        </w:rPr>
        <w:t xml:space="preserve"> </w:t>
      </w:r>
      <w:r>
        <w:t>associated</w:t>
      </w:r>
      <w:r>
        <w:rPr>
          <w:spacing w:val="-4"/>
        </w:rPr>
        <w:t xml:space="preserve"> </w:t>
      </w:r>
      <w:r>
        <w:t>with</w:t>
      </w:r>
      <w:r>
        <w:rPr>
          <w:spacing w:val="-5"/>
        </w:rPr>
        <w:t xml:space="preserve"> </w:t>
      </w:r>
      <w:r>
        <w:t>the</w:t>
      </w:r>
      <w:r>
        <w:rPr>
          <w:spacing w:val="-4"/>
        </w:rPr>
        <w:t xml:space="preserve"> </w:t>
      </w:r>
      <w:r>
        <w:t>component</w:t>
      </w:r>
      <w:r>
        <w:rPr>
          <w:spacing w:val="-4"/>
        </w:rPr>
        <w:t xml:space="preserve"> </w:t>
      </w:r>
      <w:r>
        <w:t>and</w:t>
      </w:r>
      <w:r>
        <w:rPr>
          <w:spacing w:val="-4"/>
        </w:rPr>
        <w:t xml:space="preserve"> </w:t>
      </w:r>
      <w:r>
        <w:t>correlate</w:t>
      </w:r>
      <w:r>
        <w:rPr>
          <w:spacing w:val="-4"/>
        </w:rPr>
        <w:t xml:space="preserve"> </w:t>
      </w:r>
      <w:r>
        <w:t>the</w:t>
      </w:r>
      <w:r>
        <w:rPr>
          <w:spacing w:val="-4"/>
        </w:rPr>
        <w:t xml:space="preserve"> </w:t>
      </w:r>
      <w:r>
        <w:t>amount</w:t>
      </w:r>
      <w:r>
        <w:rPr>
          <w:spacing w:val="-4"/>
        </w:rPr>
        <w:t xml:space="preserve"> </w:t>
      </w:r>
      <w:r>
        <w:t>of attention devoted to a component with the degree of risk (AU-C 940.81).</w:t>
      </w:r>
    </w:p>
    <w:p w14:paraId="0DFDADEB" w14:textId="77777777" w:rsidR="00046465" w:rsidRDefault="008134EB">
      <w:pPr>
        <w:pStyle w:val="Heading4"/>
        <w:spacing w:before="240"/>
      </w:pPr>
      <w:bookmarkStart w:id="55" w:name="Consolidation_Process"/>
      <w:bookmarkEnd w:id="55"/>
      <w:r>
        <w:rPr>
          <w:spacing w:val="-2"/>
        </w:rPr>
        <w:t>Consolidation</w:t>
      </w:r>
      <w:r>
        <w:rPr>
          <w:spacing w:val="2"/>
        </w:rPr>
        <w:t xml:space="preserve"> </w:t>
      </w:r>
      <w:r>
        <w:rPr>
          <w:spacing w:val="-2"/>
        </w:rPr>
        <w:t>Process</w:t>
      </w:r>
    </w:p>
    <w:p w14:paraId="0DFDADEC" w14:textId="77777777" w:rsidR="00046465" w:rsidRDefault="008134EB">
      <w:pPr>
        <w:pStyle w:val="ListParagraph"/>
        <w:numPr>
          <w:ilvl w:val="0"/>
          <w:numId w:val="217"/>
        </w:numPr>
        <w:tabs>
          <w:tab w:val="left" w:pos="1800"/>
        </w:tabs>
        <w:ind w:right="886"/>
      </w:pPr>
      <w:r>
        <w:t xml:space="preserve">In accordance with </w:t>
      </w:r>
      <w:hyperlink r:id="rId50">
        <w:r>
          <w:t>FAM</w:t>
        </w:r>
      </w:hyperlink>
      <w:r>
        <w:t xml:space="preserve"> 630.11, the group engagement team obtains an understanding of group-wide controls and the consolidation process, including the instructions that group management issued to components. In accordance with </w:t>
      </w:r>
      <w:hyperlink r:id="rId51">
        <w:r>
          <w:t>FAM</w:t>
        </w:r>
      </w:hyperlink>
      <w:r>
        <w:t xml:space="preserve"> 630.25, the group engagement team, or component auditor at the request of the group engagement team, tests the operating effectiveness of group-wide</w:t>
      </w:r>
      <w:r>
        <w:rPr>
          <w:spacing w:val="-3"/>
        </w:rPr>
        <w:t xml:space="preserve"> </w:t>
      </w:r>
      <w:r>
        <w:t>controls</w:t>
      </w:r>
      <w:r>
        <w:rPr>
          <w:spacing w:val="-3"/>
        </w:rPr>
        <w:t xml:space="preserve"> </w:t>
      </w:r>
      <w:r>
        <w:t>if</w:t>
      </w:r>
      <w:r>
        <w:rPr>
          <w:spacing w:val="-4"/>
        </w:rPr>
        <w:t xml:space="preserve"> </w:t>
      </w:r>
      <w:r>
        <w:t>the</w:t>
      </w:r>
      <w:r>
        <w:rPr>
          <w:spacing w:val="-3"/>
        </w:rPr>
        <w:t xml:space="preserve"> </w:t>
      </w:r>
      <w:r>
        <w:t>nature,</w:t>
      </w:r>
      <w:r>
        <w:rPr>
          <w:spacing w:val="-3"/>
        </w:rPr>
        <w:t xml:space="preserve"> </w:t>
      </w:r>
      <w:r>
        <w:t>timing,</w:t>
      </w:r>
      <w:r>
        <w:rPr>
          <w:spacing w:val="-3"/>
        </w:rPr>
        <w:t xml:space="preserve"> </w:t>
      </w:r>
      <w:r>
        <w:t>and</w:t>
      </w:r>
      <w:r>
        <w:rPr>
          <w:spacing w:val="-3"/>
        </w:rPr>
        <w:t xml:space="preserve"> </w:t>
      </w:r>
      <w:r>
        <w:t>extent</w:t>
      </w:r>
      <w:r>
        <w:rPr>
          <w:spacing w:val="-3"/>
        </w:rPr>
        <w:t xml:space="preserve"> </w:t>
      </w:r>
      <w:r>
        <w:t>of</w:t>
      </w:r>
      <w:r>
        <w:rPr>
          <w:spacing w:val="-3"/>
        </w:rPr>
        <w:t xml:space="preserve"> </w:t>
      </w:r>
      <w:r>
        <w:t>the</w:t>
      </w:r>
      <w:r>
        <w:rPr>
          <w:spacing w:val="-3"/>
        </w:rPr>
        <w:t xml:space="preserve"> </w:t>
      </w:r>
      <w:r>
        <w:t>work</w:t>
      </w:r>
      <w:r>
        <w:rPr>
          <w:spacing w:val="-3"/>
        </w:rPr>
        <w:t xml:space="preserve"> </w:t>
      </w:r>
      <w:r>
        <w:t>to</w:t>
      </w:r>
      <w:r>
        <w:rPr>
          <w:spacing w:val="-3"/>
        </w:rPr>
        <w:t xml:space="preserve"> </w:t>
      </w:r>
      <w:r>
        <w:t>be</w:t>
      </w:r>
      <w:r>
        <w:rPr>
          <w:spacing w:val="-3"/>
        </w:rPr>
        <w:t xml:space="preserve"> </w:t>
      </w:r>
      <w:r>
        <w:t xml:space="preserve">performed on the consolidation process are based on an expectation that group-wide controls are operating effectively or when substantive procedures alone cannot provide sufficient appropriate audit evidence at the assertion level (AU-C </w:t>
      </w:r>
      <w:r>
        <w:rPr>
          <w:spacing w:val="-2"/>
        </w:rPr>
        <w:t>600A.34).</w:t>
      </w:r>
    </w:p>
    <w:p w14:paraId="0DFDADED" w14:textId="77777777" w:rsidR="00046465" w:rsidRDefault="008134EB">
      <w:pPr>
        <w:pStyle w:val="ListParagraph"/>
        <w:numPr>
          <w:ilvl w:val="0"/>
          <w:numId w:val="217"/>
        </w:numPr>
        <w:tabs>
          <w:tab w:val="left" w:pos="1800"/>
        </w:tabs>
        <w:ind w:right="738"/>
      </w:pPr>
      <w:r>
        <w:t>The</w:t>
      </w:r>
      <w:r>
        <w:rPr>
          <w:spacing w:val="-4"/>
        </w:rPr>
        <w:t xml:space="preserve"> </w:t>
      </w:r>
      <w:r>
        <w:t>group</w:t>
      </w:r>
      <w:r>
        <w:rPr>
          <w:spacing w:val="-4"/>
        </w:rPr>
        <w:t xml:space="preserve"> </w:t>
      </w:r>
      <w:r>
        <w:t>engagement</w:t>
      </w:r>
      <w:r>
        <w:rPr>
          <w:spacing w:val="-4"/>
        </w:rPr>
        <w:t xml:space="preserve"> </w:t>
      </w:r>
      <w:r>
        <w:t>team</w:t>
      </w:r>
      <w:r>
        <w:rPr>
          <w:spacing w:val="-5"/>
        </w:rPr>
        <w:t xml:space="preserve"> </w:t>
      </w:r>
      <w:r>
        <w:t>should</w:t>
      </w:r>
      <w:r>
        <w:rPr>
          <w:spacing w:val="-4"/>
        </w:rPr>
        <w:t xml:space="preserve"> </w:t>
      </w:r>
      <w:r>
        <w:t>design</w:t>
      </w:r>
      <w:r>
        <w:rPr>
          <w:spacing w:val="-4"/>
        </w:rPr>
        <w:t xml:space="preserve"> </w:t>
      </w:r>
      <w:r>
        <w:t>and</w:t>
      </w:r>
      <w:r>
        <w:rPr>
          <w:spacing w:val="-5"/>
        </w:rPr>
        <w:t xml:space="preserve"> </w:t>
      </w:r>
      <w:r>
        <w:t>perform</w:t>
      </w:r>
      <w:r>
        <w:rPr>
          <w:spacing w:val="-5"/>
        </w:rPr>
        <w:t xml:space="preserve"> </w:t>
      </w:r>
      <w:r>
        <w:t>further</w:t>
      </w:r>
      <w:r>
        <w:rPr>
          <w:spacing w:val="-4"/>
        </w:rPr>
        <w:t xml:space="preserve"> </w:t>
      </w:r>
      <w:r>
        <w:t>audit</w:t>
      </w:r>
      <w:r>
        <w:rPr>
          <w:spacing w:val="-4"/>
        </w:rPr>
        <w:t xml:space="preserve"> </w:t>
      </w:r>
      <w:r>
        <w:t>procedures on the consolidation process to respond to the assessed risks of material misstatement of the group financial statements arising from the consolidation process. This should include evaluating whether all components have been included in the group financial statements (AU-C 600A.35).</w:t>
      </w:r>
    </w:p>
    <w:p w14:paraId="0DFDADEE" w14:textId="77777777" w:rsidR="00046465" w:rsidRDefault="008134EB">
      <w:pPr>
        <w:pStyle w:val="ListParagraph"/>
        <w:numPr>
          <w:ilvl w:val="0"/>
          <w:numId w:val="217"/>
        </w:numPr>
        <w:tabs>
          <w:tab w:val="left" w:pos="1800"/>
        </w:tabs>
        <w:ind w:right="971"/>
      </w:pPr>
      <w:r>
        <w:t>The group engagement team should evaluate the appropriateness, completeness,</w:t>
      </w:r>
      <w:r>
        <w:rPr>
          <w:spacing w:val="-6"/>
        </w:rPr>
        <w:t xml:space="preserve"> </w:t>
      </w:r>
      <w:r>
        <w:t>and</w:t>
      </w:r>
      <w:r>
        <w:rPr>
          <w:spacing w:val="-6"/>
        </w:rPr>
        <w:t xml:space="preserve"> </w:t>
      </w:r>
      <w:r>
        <w:t>accuracy</w:t>
      </w:r>
      <w:r>
        <w:rPr>
          <w:spacing w:val="-6"/>
        </w:rPr>
        <w:t xml:space="preserve"> </w:t>
      </w:r>
      <w:r>
        <w:t>of</w:t>
      </w:r>
      <w:r>
        <w:rPr>
          <w:spacing w:val="-6"/>
        </w:rPr>
        <w:t xml:space="preserve"> </w:t>
      </w:r>
      <w:r>
        <w:t>consolidation</w:t>
      </w:r>
      <w:r>
        <w:rPr>
          <w:spacing w:val="-7"/>
        </w:rPr>
        <w:t xml:space="preserve"> </w:t>
      </w:r>
      <w:r>
        <w:t>adjustments</w:t>
      </w:r>
      <w:r>
        <w:rPr>
          <w:spacing w:val="-7"/>
        </w:rPr>
        <w:t xml:space="preserve"> </w:t>
      </w:r>
      <w:r>
        <w:t>and</w:t>
      </w:r>
      <w:r>
        <w:rPr>
          <w:spacing w:val="-6"/>
        </w:rPr>
        <w:t xml:space="preserve"> </w:t>
      </w:r>
      <w:r>
        <w:t>reclassifications and should evaluate whether any fraud risk factors or indicators of possible management bias exist (AU-C 600A.36). The group engagement team’s evaluation may include (1) evaluating whether significant adjustments reflect actual</w:t>
      </w:r>
      <w:r>
        <w:rPr>
          <w:spacing w:val="-1"/>
        </w:rPr>
        <w:t xml:space="preserve"> </w:t>
      </w:r>
      <w:r>
        <w:t>events</w:t>
      </w:r>
      <w:r>
        <w:rPr>
          <w:spacing w:val="-1"/>
        </w:rPr>
        <w:t xml:space="preserve"> </w:t>
      </w:r>
      <w:r>
        <w:t>and</w:t>
      </w:r>
      <w:r>
        <w:rPr>
          <w:spacing w:val="-1"/>
        </w:rPr>
        <w:t xml:space="preserve"> </w:t>
      </w:r>
      <w:r>
        <w:t>determining</w:t>
      </w:r>
      <w:r>
        <w:rPr>
          <w:spacing w:val="-1"/>
        </w:rPr>
        <w:t xml:space="preserve"> </w:t>
      </w:r>
      <w:r>
        <w:t>if</w:t>
      </w:r>
      <w:r>
        <w:rPr>
          <w:spacing w:val="-1"/>
        </w:rPr>
        <w:t xml:space="preserve"> </w:t>
      </w:r>
      <w:r>
        <w:t>the</w:t>
      </w:r>
      <w:r>
        <w:rPr>
          <w:spacing w:val="-2"/>
        </w:rPr>
        <w:t xml:space="preserve"> </w:t>
      </w:r>
      <w:r>
        <w:t>adjustments</w:t>
      </w:r>
      <w:r>
        <w:rPr>
          <w:spacing w:val="-1"/>
        </w:rPr>
        <w:t xml:space="preserve"> </w:t>
      </w:r>
      <w:r>
        <w:t>were</w:t>
      </w:r>
      <w:r>
        <w:rPr>
          <w:spacing w:val="-1"/>
        </w:rPr>
        <w:t xml:space="preserve"> </w:t>
      </w:r>
      <w:r>
        <w:t>correctly</w:t>
      </w:r>
      <w:r>
        <w:rPr>
          <w:spacing w:val="-1"/>
        </w:rPr>
        <w:t xml:space="preserve"> </w:t>
      </w:r>
      <w:r>
        <w:t>calculated</w:t>
      </w:r>
      <w:r>
        <w:rPr>
          <w:spacing w:val="-1"/>
        </w:rPr>
        <w:t xml:space="preserve"> </w:t>
      </w:r>
      <w:r>
        <w:t>and supported and (2) checking the reconciliation of intragroup account balances (AU-C 600A.A69).</w:t>
      </w:r>
    </w:p>
    <w:p w14:paraId="0DFDADEF" w14:textId="77777777" w:rsidR="00046465" w:rsidRDefault="008134EB">
      <w:pPr>
        <w:pStyle w:val="ListParagraph"/>
        <w:numPr>
          <w:ilvl w:val="0"/>
          <w:numId w:val="217"/>
        </w:numPr>
        <w:tabs>
          <w:tab w:val="left" w:pos="1800"/>
        </w:tabs>
        <w:ind w:right="737"/>
      </w:pPr>
      <w:r>
        <w:t>If the financial information of a component has not been prepared in accordance with the same accounting policies applied to the group financial statements, the group</w:t>
      </w:r>
      <w:r>
        <w:rPr>
          <w:spacing w:val="-4"/>
        </w:rPr>
        <w:t xml:space="preserve"> </w:t>
      </w:r>
      <w:r>
        <w:t>engagement</w:t>
      </w:r>
      <w:r>
        <w:rPr>
          <w:spacing w:val="-4"/>
        </w:rPr>
        <w:t xml:space="preserve"> </w:t>
      </w:r>
      <w:r>
        <w:t>team</w:t>
      </w:r>
      <w:r>
        <w:rPr>
          <w:spacing w:val="-5"/>
        </w:rPr>
        <w:t xml:space="preserve"> </w:t>
      </w:r>
      <w:r>
        <w:t>should</w:t>
      </w:r>
      <w:r>
        <w:rPr>
          <w:spacing w:val="-4"/>
        </w:rPr>
        <w:t xml:space="preserve"> </w:t>
      </w:r>
      <w:r>
        <w:t>evaluate</w:t>
      </w:r>
      <w:r>
        <w:rPr>
          <w:spacing w:val="-4"/>
        </w:rPr>
        <w:t xml:space="preserve"> </w:t>
      </w:r>
      <w:r>
        <w:t>whether</w:t>
      </w:r>
      <w:r>
        <w:rPr>
          <w:spacing w:val="-4"/>
        </w:rPr>
        <w:t xml:space="preserve"> </w:t>
      </w:r>
      <w:r>
        <w:t>the</w:t>
      </w:r>
      <w:r>
        <w:rPr>
          <w:spacing w:val="-4"/>
        </w:rPr>
        <w:t xml:space="preserve"> </w:t>
      </w:r>
      <w:r>
        <w:t>financial</w:t>
      </w:r>
      <w:r>
        <w:rPr>
          <w:spacing w:val="-4"/>
        </w:rPr>
        <w:t xml:space="preserve"> </w:t>
      </w:r>
      <w:r>
        <w:t>information</w:t>
      </w:r>
      <w:r>
        <w:rPr>
          <w:spacing w:val="-4"/>
        </w:rPr>
        <w:t xml:space="preserve"> </w:t>
      </w:r>
      <w:r>
        <w:t>of</w:t>
      </w:r>
      <w:r>
        <w:rPr>
          <w:spacing w:val="-4"/>
        </w:rPr>
        <w:t xml:space="preserve"> </w:t>
      </w:r>
      <w:r>
        <w:t>that component has been appropriately adjusted for purposes of the preparation and fair presentation of the group financial statements in accordance with the applicable financial reporting framework (generally U.S. GAAP) (AU-C 600A.37).</w:t>
      </w:r>
    </w:p>
    <w:p w14:paraId="0DFDADF0" w14:textId="77777777" w:rsidR="00046465" w:rsidRDefault="008134EB">
      <w:pPr>
        <w:pStyle w:val="ListParagraph"/>
        <w:numPr>
          <w:ilvl w:val="0"/>
          <w:numId w:val="217"/>
        </w:numPr>
        <w:tabs>
          <w:tab w:val="left" w:pos="1801"/>
        </w:tabs>
        <w:ind w:left="1801" w:right="725"/>
      </w:pPr>
      <w:r>
        <w:t>The group engagement team should determine whether the financial information identified</w:t>
      </w:r>
      <w:r>
        <w:rPr>
          <w:spacing w:val="-4"/>
        </w:rPr>
        <w:t xml:space="preserve"> </w:t>
      </w:r>
      <w:r>
        <w:t>in</w:t>
      </w:r>
      <w:r>
        <w:rPr>
          <w:spacing w:val="-5"/>
        </w:rPr>
        <w:t xml:space="preserve"> </w:t>
      </w:r>
      <w:r>
        <w:t>a</w:t>
      </w:r>
      <w:r>
        <w:rPr>
          <w:spacing w:val="-4"/>
        </w:rPr>
        <w:t xml:space="preserve"> </w:t>
      </w:r>
      <w:r>
        <w:t>component</w:t>
      </w:r>
      <w:r>
        <w:rPr>
          <w:spacing w:val="-4"/>
        </w:rPr>
        <w:t xml:space="preserve"> </w:t>
      </w:r>
      <w:r>
        <w:t>auditor’s</w:t>
      </w:r>
      <w:r>
        <w:rPr>
          <w:spacing w:val="-4"/>
        </w:rPr>
        <w:t xml:space="preserve"> </w:t>
      </w:r>
      <w:r>
        <w:t>communication</w:t>
      </w:r>
      <w:r>
        <w:rPr>
          <w:spacing w:val="-4"/>
        </w:rPr>
        <w:t xml:space="preserve"> </w:t>
      </w:r>
      <w:r>
        <w:t>is</w:t>
      </w:r>
      <w:r>
        <w:rPr>
          <w:spacing w:val="-4"/>
        </w:rPr>
        <w:t xml:space="preserve"> </w:t>
      </w:r>
      <w:r>
        <w:t>the</w:t>
      </w:r>
      <w:r>
        <w:rPr>
          <w:spacing w:val="-4"/>
        </w:rPr>
        <w:t xml:space="preserve"> </w:t>
      </w:r>
      <w:r>
        <w:t>financial</w:t>
      </w:r>
      <w:r>
        <w:rPr>
          <w:spacing w:val="-4"/>
        </w:rPr>
        <w:t xml:space="preserve"> </w:t>
      </w:r>
      <w:r>
        <w:t>information</w:t>
      </w:r>
      <w:r>
        <w:rPr>
          <w:spacing w:val="-4"/>
        </w:rPr>
        <w:t xml:space="preserve"> </w:t>
      </w:r>
      <w:r>
        <w:t>that is incorporated in the group financial statements (AU-C 600A.38).</w:t>
      </w:r>
    </w:p>
    <w:p w14:paraId="0DFDADF1" w14:textId="77777777" w:rsidR="00046465" w:rsidRDefault="00046465">
      <w:pPr>
        <w:pStyle w:val="ListParagraph"/>
        <w:sectPr w:rsidR="00046465">
          <w:pgSz w:w="12240" w:h="15840"/>
          <w:pgMar w:top="1340" w:right="720" w:bottom="940" w:left="1080" w:header="721" w:footer="757" w:gutter="0"/>
          <w:cols w:space="720"/>
        </w:sectPr>
      </w:pPr>
    </w:p>
    <w:p w14:paraId="0DFDADF2" w14:textId="77777777" w:rsidR="00046465" w:rsidRDefault="008134EB">
      <w:pPr>
        <w:pStyle w:val="ListParagraph"/>
        <w:numPr>
          <w:ilvl w:val="0"/>
          <w:numId w:val="217"/>
        </w:numPr>
        <w:tabs>
          <w:tab w:val="left" w:pos="1800"/>
        </w:tabs>
        <w:spacing w:before="121"/>
        <w:ind w:right="813"/>
      </w:pPr>
      <w:r>
        <w:lastRenderedPageBreak/>
        <w:t>If</w:t>
      </w:r>
      <w:r>
        <w:rPr>
          <w:spacing w:val="-4"/>
        </w:rPr>
        <w:t xml:space="preserve"> </w:t>
      </w:r>
      <w:r>
        <w:t>the</w:t>
      </w:r>
      <w:r>
        <w:rPr>
          <w:spacing w:val="-4"/>
        </w:rPr>
        <w:t xml:space="preserve"> </w:t>
      </w:r>
      <w:r>
        <w:t>group</w:t>
      </w:r>
      <w:r>
        <w:rPr>
          <w:spacing w:val="-5"/>
        </w:rPr>
        <w:t xml:space="preserve"> </w:t>
      </w:r>
      <w:r>
        <w:t>financial</w:t>
      </w:r>
      <w:r>
        <w:rPr>
          <w:spacing w:val="-5"/>
        </w:rPr>
        <w:t xml:space="preserve"> </w:t>
      </w:r>
      <w:r>
        <w:t>statements</w:t>
      </w:r>
      <w:r>
        <w:rPr>
          <w:spacing w:val="-4"/>
        </w:rPr>
        <w:t xml:space="preserve"> </w:t>
      </w:r>
      <w:r>
        <w:t>include</w:t>
      </w:r>
      <w:r>
        <w:rPr>
          <w:spacing w:val="-4"/>
        </w:rPr>
        <w:t xml:space="preserve"> </w:t>
      </w:r>
      <w:r>
        <w:t>the</w:t>
      </w:r>
      <w:r>
        <w:rPr>
          <w:spacing w:val="-4"/>
        </w:rPr>
        <w:t xml:space="preserve"> </w:t>
      </w:r>
      <w:r>
        <w:t>financial</w:t>
      </w:r>
      <w:r>
        <w:rPr>
          <w:spacing w:val="-4"/>
        </w:rPr>
        <w:t xml:space="preserve"> </w:t>
      </w:r>
      <w:r>
        <w:t>statements</w:t>
      </w:r>
      <w:r>
        <w:rPr>
          <w:spacing w:val="-4"/>
        </w:rPr>
        <w:t xml:space="preserve"> </w:t>
      </w:r>
      <w:r>
        <w:t>of</w:t>
      </w:r>
      <w:r>
        <w:rPr>
          <w:spacing w:val="-4"/>
        </w:rPr>
        <w:t xml:space="preserve"> </w:t>
      </w:r>
      <w:r>
        <w:t>a</w:t>
      </w:r>
      <w:r>
        <w:rPr>
          <w:spacing w:val="-4"/>
        </w:rPr>
        <w:t xml:space="preserve"> </w:t>
      </w:r>
      <w:r>
        <w:t>component with a financial reporting</w:t>
      </w:r>
      <w:r>
        <w:rPr>
          <w:spacing w:val="-1"/>
        </w:rPr>
        <w:t xml:space="preserve"> </w:t>
      </w:r>
      <w:r>
        <w:t>period end that differs from</w:t>
      </w:r>
      <w:r>
        <w:rPr>
          <w:spacing w:val="-1"/>
        </w:rPr>
        <w:t xml:space="preserve"> </w:t>
      </w:r>
      <w:r>
        <w:t>that of the group, the</w:t>
      </w:r>
      <w:r>
        <w:rPr>
          <w:spacing w:val="-1"/>
        </w:rPr>
        <w:t xml:space="preserve"> </w:t>
      </w:r>
      <w:r>
        <w:t>group engagement team should evaluate whether appropriate adjustments have been made to those financial statements in accordance with the applicable financial reporting framework (generally U.S. GAAP) (AU-C 600A.39).</w:t>
      </w:r>
    </w:p>
    <w:p w14:paraId="0DFDADF3" w14:textId="77777777" w:rsidR="00046465" w:rsidRDefault="008134EB">
      <w:pPr>
        <w:pStyle w:val="Heading4"/>
        <w:spacing w:before="240"/>
      </w:pPr>
      <w:r>
        <w:rPr>
          <w:spacing w:val="-2"/>
        </w:rPr>
        <w:t>Subsequent</w:t>
      </w:r>
      <w:r>
        <w:rPr>
          <w:spacing w:val="-1"/>
        </w:rPr>
        <w:t xml:space="preserve"> </w:t>
      </w:r>
      <w:r>
        <w:rPr>
          <w:spacing w:val="-2"/>
        </w:rPr>
        <w:t>Events</w:t>
      </w:r>
    </w:p>
    <w:p w14:paraId="0DFDADF4" w14:textId="77777777" w:rsidR="00046465" w:rsidRDefault="008134EB">
      <w:pPr>
        <w:pStyle w:val="ListParagraph"/>
        <w:numPr>
          <w:ilvl w:val="0"/>
          <w:numId w:val="217"/>
        </w:numPr>
        <w:tabs>
          <w:tab w:val="left" w:pos="1800"/>
        </w:tabs>
        <w:spacing w:before="119"/>
        <w:ind w:right="847"/>
      </w:pPr>
      <w:r>
        <w:t>When</w:t>
      </w:r>
      <w:r>
        <w:rPr>
          <w:spacing w:val="-4"/>
        </w:rPr>
        <w:t xml:space="preserve"> </w:t>
      </w:r>
      <w:r>
        <w:t>the</w:t>
      </w:r>
      <w:r>
        <w:rPr>
          <w:spacing w:val="-4"/>
        </w:rPr>
        <w:t xml:space="preserve"> </w:t>
      </w:r>
      <w:r>
        <w:t>group</w:t>
      </w:r>
      <w:r>
        <w:rPr>
          <w:spacing w:val="-4"/>
        </w:rPr>
        <w:t xml:space="preserve"> </w:t>
      </w:r>
      <w:r>
        <w:t>engagement</w:t>
      </w:r>
      <w:r>
        <w:rPr>
          <w:spacing w:val="-4"/>
        </w:rPr>
        <w:t xml:space="preserve"> </w:t>
      </w:r>
      <w:r>
        <w:t>team</w:t>
      </w:r>
      <w:r>
        <w:rPr>
          <w:spacing w:val="-5"/>
        </w:rPr>
        <w:t xml:space="preserve"> </w:t>
      </w:r>
      <w:r>
        <w:t>or</w:t>
      </w:r>
      <w:r>
        <w:rPr>
          <w:spacing w:val="-4"/>
        </w:rPr>
        <w:t xml:space="preserve"> </w:t>
      </w:r>
      <w:r>
        <w:t>component</w:t>
      </w:r>
      <w:r>
        <w:rPr>
          <w:spacing w:val="-4"/>
        </w:rPr>
        <w:t xml:space="preserve"> </w:t>
      </w:r>
      <w:r>
        <w:t>auditors</w:t>
      </w:r>
      <w:r>
        <w:rPr>
          <w:spacing w:val="-4"/>
        </w:rPr>
        <w:t xml:space="preserve"> </w:t>
      </w:r>
      <w:r>
        <w:t>perform</w:t>
      </w:r>
      <w:r>
        <w:rPr>
          <w:spacing w:val="-5"/>
        </w:rPr>
        <w:t xml:space="preserve"> </w:t>
      </w:r>
      <w:r>
        <w:t>audits</w:t>
      </w:r>
      <w:r>
        <w:rPr>
          <w:spacing w:val="-4"/>
        </w:rPr>
        <w:t xml:space="preserve"> </w:t>
      </w:r>
      <w:r>
        <w:t>on</w:t>
      </w:r>
      <w:r>
        <w:rPr>
          <w:spacing w:val="-4"/>
        </w:rPr>
        <w:t xml:space="preserve"> </w:t>
      </w:r>
      <w:r>
        <w:t>the financial information of components, the group engagement team or the component auditors should perform procedures designed to identify events at those components that occur between the dates of the financial information of the components and the date of the auditor’s report on the group financial statements and that may require adjustment to, or disclosure in, the group financial statements. See FAM 630.68 for additional requirements when assuming responsibility for the work of a component auditor (AU-C 600A.40).</w:t>
      </w:r>
    </w:p>
    <w:p w14:paraId="0DFDADF5" w14:textId="77777777" w:rsidR="00046465" w:rsidRDefault="008134EB">
      <w:pPr>
        <w:pStyle w:val="ListParagraph"/>
        <w:numPr>
          <w:ilvl w:val="0"/>
          <w:numId w:val="217"/>
        </w:numPr>
        <w:tabs>
          <w:tab w:val="left" w:pos="1800"/>
        </w:tabs>
        <w:spacing w:before="121"/>
        <w:ind w:right="848"/>
      </w:pPr>
      <w:r>
        <w:t>The group engagement team may ask the component auditors to update the subsequent events review to the required date, or the group engagement team may update the subsequent events review. However, since this requires additional work, the group engagement team should attempt to complete audit work</w:t>
      </w:r>
      <w:r>
        <w:rPr>
          <w:spacing w:val="-4"/>
        </w:rPr>
        <w:t xml:space="preserve"> </w:t>
      </w:r>
      <w:r>
        <w:t>when</w:t>
      </w:r>
      <w:r>
        <w:rPr>
          <w:spacing w:val="-4"/>
        </w:rPr>
        <w:t xml:space="preserve"> </w:t>
      </w:r>
      <w:r>
        <w:t>the</w:t>
      </w:r>
      <w:r>
        <w:rPr>
          <w:spacing w:val="-4"/>
        </w:rPr>
        <w:t xml:space="preserve"> </w:t>
      </w:r>
      <w:r>
        <w:t>component</w:t>
      </w:r>
      <w:r>
        <w:rPr>
          <w:spacing w:val="-4"/>
        </w:rPr>
        <w:t xml:space="preserve"> </w:t>
      </w:r>
      <w:r>
        <w:t>auditors</w:t>
      </w:r>
      <w:r>
        <w:rPr>
          <w:spacing w:val="-4"/>
        </w:rPr>
        <w:t xml:space="preserve"> </w:t>
      </w:r>
      <w:r>
        <w:t>complete</w:t>
      </w:r>
      <w:r>
        <w:rPr>
          <w:spacing w:val="-4"/>
        </w:rPr>
        <w:t xml:space="preserve"> </w:t>
      </w:r>
      <w:r>
        <w:t>their</w:t>
      </w:r>
      <w:r>
        <w:rPr>
          <w:spacing w:val="-4"/>
        </w:rPr>
        <w:t xml:space="preserve"> </w:t>
      </w:r>
      <w:r>
        <w:t>work.</w:t>
      </w:r>
      <w:r>
        <w:rPr>
          <w:spacing w:val="-4"/>
        </w:rPr>
        <w:t xml:space="preserve"> </w:t>
      </w:r>
      <w:r>
        <w:t>The</w:t>
      </w:r>
      <w:r>
        <w:rPr>
          <w:spacing w:val="-4"/>
        </w:rPr>
        <w:t xml:space="preserve"> </w:t>
      </w:r>
      <w:r>
        <w:t>group</w:t>
      </w:r>
      <w:r>
        <w:rPr>
          <w:spacing w:val="-4"/>
        </w:rPr>
        <w:t xml:space="preserve"> </w:t>
      </w:r>
      <w:r>
        <w:t>engagement team should evaluate this issue and coordinate with the component auditors when planning the audit.</w:t>
      </w:r>
    </w:p>
    <w:p w14:paraId="0DFDADF6" w14:textId="77777777" w:rsidR="00046465" w:rsidRDefault="008134EB">
      <w:pPr>
        <w:pStyle w:val="Heading4"/>
      </w:pPr>
      <w:bookmarkStart w:id="56" w:name="Communication_with_the_Component_Auditor"/>
      <w:bookmarkEnd w:id="56"/>
      <w:r>
        <w:t>Communication</w:t>
      </w:r>
      <w:r>
        <w:rPr>
          <w:spacing w:val="-16"/>
        </w:rPr>
        <w:t xml:space="preserve"> </w:t>
      </w:r>
      <w:r>
        <w:t>with</w:t>
      </w:r>
      <w:r>
        <w:rPr>
          <w:spacing w:val="-15"/>
        </w:rPr>
        <w:t xml:space="preserve"> </w:t>
      </w:r>
      <w:r>
        <w:t>the</w:t>
      </w:r>
      <w:r>
        <w:rPr>
          <w:spacing w:val="-15"/>
        </w:rPr>
        <w:t xml:space="preserve"> </w:t>
      </w:r>
      <w:r>
        <w:t>Component</w:t>
      </w:r>
      <w:r>
        <w:rPr>
          <w:spacing w:val="-14"/>
        </w:rPr>
        <w:t xml:space="preserve"> </w:t>
      </w:r>
      <w:r>
        <w:rPr>
          <w:spacing w:val="-2"/>
        </w:rPr>
        <w:t>Auditor</w:t>
      </w:r>
    </w:p>
    <w:p w14:paraId="0DFDADF7" w14:textId="77777777" w:rsidR="00046465" w:rsidRDefault="008134EB">
      <w:pPr>
        <w:pStyle w:val="ListParagraph"/>
        <w:numPr>
          <w:ilvl w:val="0"/>
          <w:numId w:val="217"/>
        </w:numPr>
        <w:tabs>
          <w:tab w:val="left" w:pos="1800"/>
        </w:tabs>
        <w:spacing w:before="119"/>
        <w:ind w:right="1205"/>
      </w:pPr>
      <w:r>
        <w:t>The group engagement team should communicate its requirements to a component</w:t>
      </w:r>
      <w:r>
        <w:rPr>
          <w:spacing w:val="-4"/>
        </w:rPr>
        <w:t xml:space="preserve"> </w:t>
      </w:r>
      <w:r>
        <w:t>auditor</w:t>
      </w:r>
      <w:r>
        <w:rPr>
          <w:spacing w:val="-4"/>
        </w:rPr>
        <w:t xml:space="preserve"> </w:t>
      </w:r>
      <w:r>
        <w:t>on</w:t>
      </w:r>
      <w:r>
        <w:rPr>
          <w:spacing w:val="-4"/>
        </w:rPr>
        <w:t xml:space="preserve"> </w:t>
      </w:r>
      <w:r>
        <w:t>a</w:t>
      </w:r>
      <w:r>
        <w:rPr>
          <w:spacing w:val="-5"/>
        </w:rPr>
        <w:t xml:space="preserve"> </w:t>
      </w:r>
      <w:r>
        <w:t>timely</w:t>
      </w:r>
      <w:r>
        <w:rPr>
          <w:spacing w:val="-4"/>
        </w:rPr>
        <w:t xml:space="preserve"> </w:t>
      </w:r>
      <w:r>
        <w:t>basis.</w:t>
      </w:r>
      <w:r>
        <w:rPr>
          <w:spacing w:val="-5"/>
        </w:rPr>
        <w:t xml:space="preserve"> </w:t>
      </w:r>
      <w:r>
        <w:t>This</w:t>
      </w:r>
      <w:r>
        <w:rPr>
          <w:spacing w:val="-4"/>
        </w:rPr>
        <w:t xml:space="preserve"> </w:t>
      </w:r>
      <w:r>
        <w:t>communication</w:t>
      </w:r>
      <w:r>
        <w:rPr>
          <w:spacing w:val="-5"/>
        </w:rPr>
        <w:t xml:space="preserve"> </w:t>
      </w:r>
      <w:r>
        <w:t>should</w:t>
      </w:r>
      <w:r>
        <w:rPr>
          <w:spacing w:val="-4"/>
        </w:rPr>
        <w:t xml:space="preserve"> </w:t>
      </w:r>
      <w:r>
        <w:t>include</w:t>
      </w:r>
      <w:r>
        <w:rPr>
          <w:spacing w:val="-5"/>
        </w:rPr>
        <w:t xml:space="preserve"> </w:t>
      </w:r>
      <w:r>
        <w:t xml:space="preserve">the </w:t>
      </w:r>
      <w:r>
        <w:rPr>
          <w:spacing w:val="-2"/>
        </w:rPr>
        <w:t>following:</w:t>
      </w:r>
    </w:p>
    <w:p w14:paraId="0DFDADF8" w14:textId="77777777" w:rsidR="00046465" w:rsidRDefault="008134EB">
      <w:pPr>
        <w:pStyle w:val="ListParagraph"/>
        <w:numPr>
          <w:ilvl w:val="1"/>
          <w:numId w:val="217"/>
        </w:numPr>
        <w:tabs>
          <w:tab w:val="left" w:pos="2159"/>
        </w:tabs>
        <w:spacing w:before="119"/>
        <w:ind w:right="745"/>
      </w:pPr>
      <w:r>
        <w:t>A</w:t>
      </w:r>
      <w:r>
        <w:rPr>
          <w:spacing w:val="-4"/>
        </w:rPr>
        <w:t xml:space="preserve"> </w:t>
      </w:r>
      <w:r>
        <w:t>request</w:t>
      </w:r>
      <w:r>
        <w:rPr>
          <w:spacing w:val="-3"/>
        </w:rPr>
        <w:t xml:space="preserve"> </w:t>
      </w:r>
      <w:r>
        <w:t>that</w:t>
      </w:r>
      <w:r>
        <w:rPr>
          <w:spacing w:val="-3"/>
        </w:rPr>
        <w:t xml:space="preserve"> </w:t>
      </w:r>
      <w:r>
        <w:t>the</w:t>
      </w:r>
      <w:r>
        <w:rPr>
          <w:spacing w:val="-3"/>
        </w:rPr>
        <w:t xml:space="preserve"> </w:t>
      </w:r>
      <w:r>
        <w:t>component</w:t>
      </w:r>
      <w:r>
        <w:rPr>
          <w:spacing w:val="-3"/>
        </w:rPr>
        <w:t xml:space="preserve"> </w:t>
      </w:r>
      <w:r>
        <w:t>auditor,</w:t>
      </w:r>
      <w:r>
        <w:rPr>
          <w:spacing w:val="-3"/>
        </w:rPr>
        <w:t xml:space="preserve"> </w:t>
      </w:r>
      <w:r>
        <w:t>knowing</w:t>
      </w:r>
      <w:r>
        <w:rPr>
          <w:spacing w:val="-3"/>
        </w:rPr>
        <w:t xml:space="preserve"> </w:t>
      </w:r>
      <w:r>
        <w:t>the</w:t>
      </w:r>
      <w:r>
        <w:rPr>
          <w:spacing w:val="-3"/>
        </w:rPr>
        <w:t xml:space="preserve"> </w:t>
      </w:r>
      <w:r>
        <w:t>context</w:t>
      </w:r>
      <w:r>
        <w:rPr>
          <w:spacing w:val="-3"/>
        </w:rPr>
        <w:t xml:space="preserve"> </w:t>
      </w:r>
      <w:r>
        <w:t>in</w:t>
      </w:r>
      <w:r>
        <w:rPr>
          <w:spacing w:val="-3"/>
        </w:rPr>
        <w:t xml:space="preserve"> </w:t>
      </w:r>
      <w:r>
        <w:t>which</w:t>
      </w:r>
      <w:r>
        <w:rPr>
          <w:spacing w:val="-3"/>
        </w:rPr>
        <w:t xml:space="preserve"> </w:t>
      </w:r>
      <w:r>
        <w:t>the</w:t>
      </w:r>
      <w:r>
        <w:rPr>
          <w:spacing w:val="-4"/>
        </w:rPr>
        <w:t xml:space="preserve"> </w:t>
      </w:r>
      <w:r>
        <w:t xml:space="preserve">group engagement team will use the component auditor’s work, confirm that the component auditor will cooperate with the group engagement team (AU-C </w:t>
      </w:r>
      <w:r>
        <w:rPr>
          <w:spacing w:val="-2"/>
        </w:rPr>
        <w:t>600A.41a).</w:t>
      </w:r>
    </w:p>
    <w:p w14:paraId="0DFDADF9" w14:textId="77777777" w:rsidR="00046465" w:rsidRDefault="008134EB">
      <w:pPr>
        <w:pStyle w:val="ListParagraph"/>
        <w:numPr>
          <w:ilvl w:val="1"/>
          <w:numId w:val="217"/>
        </w:numPr>
        <w:tabs>
          <w:tab w:val="left" w:pos="2159"/>
        </w:tabs>
        <w:ind w:right="1552"/>
      </w:pPr>
      <w:r>
        <w:t>The</w:t>
      </w:r>
      <w:r>
        <w:rPr>
          <w:spacing w:val="-4"/>
        </w:rPr>
        <w:t xml:space="preserve"> </w:t>
      </w:r>
      <w:r>
        <w:t>ethical</w:t>
      </w:r>
      <w:r>
        <w:rPr>
          <w:spacing w:val="-4"/>
        </w:rPr>
        <w:t xml:space="preserve"> </w:t>
      </w:r>
      <w:r>
        <w:t>requirements</w:t>
      </w:r>
      <w:r>
        <w:rPr>
          <w:spacing w:val="-4"/>
        </w:rPr>
        <w:t xml:space="preserve"> </w:t>
      </w:r>
      <w:r>
        <w:t>relevant</w:t>
      </w:r>
      <w:r>
        <w:rPr>
          <w:spacing w:val="-4"/>
        </w:rPr>
        <w:t xml:space="preserve"> </w:t>
      </w:r>
      <w:r>
        <w:t>to</w:t>
      </w:r>
      <w:r>
        <w:rPr>
          <w:spacing w:val="-4"/>
        </w:rPr>
        <w:t xml:space="preserve"> </w:t>
      </w:r>
      <w:r>
        <w:t>the</w:t>
      </w:r>
      <w:r>
        <w:rPr>
          <w:spacing w:val="-4"/>
        </w:rPr>
        <w:t xml:space="preserve"> </w:t>
      </w:r>
      <w:r>
        <w:t>group</w:t>
      </w:r>
      <w:r>
        <w:rPr>
          <w:spacing w:val="-4"/>
        </w:rPr>
        <w:t xml:space="preserve"> </w:t>
      </w:r>
      <w:r>
        <w:t>audit,</w:t>
      </w:r>
      <w:r>
        <w:rPr>
          <w:spacing w:val="-4"/>
        </w:rPr>
        <w:t xml:space="preserve"> </w:t>
      </w:r>
      <w:r>
        <w:t>in</w:t>
      </w:r>
      <w:r>
        <w:rPr>
          <w:spacing w:val="-4"/>
        </w:rPr>
        <w:t xml:space="preserve"> </w:t>
      </w:r>
      <w:r>
        <w:t>particular,</w:t>
      </w:r>
      <w:r>
        <w:rPr>
          <w:spacing w:val="-4"/>
        </w:rPr>
        <w:t xml:space="preserve"> </w:t>
      </w:r>
      <w:r>
        <w:t>the independence requirements (AU-C 600A.41b).</w:t>
      </w:r>
    </w:p>
    <w:p w14:paraId="0DFDADFA" w14:textId="77777777" w:rsidR="00046465" w:rsidRDefault="008134EB">
      <w:pPr>
        <w:pStyle w:val="ListParagraph"/>
        <w:numPr>
          <w:ilvl w:val="1"/>
          <w:numId w:val="217"/>
        </w:numPr>
        <w:tabs>
          <w:tab w:val="left" w:pos="2159"/>
        </w:tabs>
        <w:spacing w:before="121"/>
        <w:ind w:right="879"/>
      </w:pPr>
      <w:r>
        <w:t>A list of disclosure entities, related parties, and public-private partnerships that</w:t>
      </w:r>
      <w:r>
        <w:rPr>
          <w:spacing w:val="-2"/>
        </w:rPr>
        <w:t xml:space="preserve"> </w:t>
      </w:r>
      <w:r>
        <w:t>group</w:t>
      </w:r>
      <w:r>
        <w:rPr>
          <w:spacing w:val="-2"/>
        </w:rPr>
        <w:t xml:space="preserve"> </w:t>
      </w:r>
      <w:r>
        <w:t>management</w:t>
      </w:r>
      <w:r>
        <w:rPr>
          <w:spacing w:val="-2"/>
        </w:rPr>
        <w:t xml:space="preserve"> </w:t>
      </w:r>
      <w:r>
        <w:t>prepared</w:t>
      </w:r>
      <w:r>
        <w:rPr>
          <w:spacing w:val="-2"/>
        </w:rPr>
        <w:t xml:space="preserve"> </w:t>
      </w:r>
      <w:r>
        <w:t>and</w:t>
      </w:r>
      <w:r>
        <w:rPr>
          <w:spacing w:val="-2"/>
        </w:rPr>
        <w:t xml:space="preserve"> </w:t>
      </w:r>
      <w:r>
        <w:t>any</w:t>
      </w:r>
      <w:r>
        <w:rPr>
          <w:spacing w:val="-2"/>
        </w:rPr>
        <w:t xml:space="preserve"> </w:t>
      </w:r>
      <w:r>
        <w:t>other</w:t>
      </w:r>
      <w:r>
        <w:rPr>
          <w:spacing w:val="-3"/>
        </w:rPr>
        <w:t xml:space="preserve"> </w:t>
      </w:r>
      <w:r>
        <w:t>related</w:t>
      </w:r>
      <w:r>
        <w:rPr>
          <w:spacing w:val="-2"/>
        </w:rPr>
        <w:t xml:space="preserve"> </w:t>
      </w:r>
      <w:r>
        <w:t>parties</w:t>
      </w:r>
      <w:r>
        <w:rPr>
          <w:spacing w:val="-2"/>
        </w:rPr>
        <w:t xml:space="preserve"> </w:t>
      </w:r>
      <w:r>
        <w:t>of</w:t>
      </w:r>
      <w:r>
        <w:rPr>
          <w:spacing w:val="-2"/>
        </w:rPr>
        <w:t xml:space="preserve"> </w:t>
      </w:r>
      <w:r>
        <w:t>which</w:t>
      </w:r>
      <w:r>
        <w:rPr>
          <w:spacing w:val="-2"/>
        </w:rPr>
        <w:t xml:space="preserve"> </w:t>
      </w:r>
      <w:r>
        <w:t>the group engagement team is aware, including the nature of the entity’s relationships and transactions with those parties.</w:t>
      </w:r>
      <w:hyperlink w:anchor="_bookmark15" w:history="1">
        <w:r>
          <w:rPr>
            <w:position w:val="7"/>
            <w:sz w:val="14"/>
          </w:rPr>
          <w:t>10</w:t>
        </w:r>
      </w:hyperlink>
      <w:r>
        <w:rPr>
          <w:spacing w:val="35"/>
          <w:position w:val="7"/>
          <w:sz w:val="14"/>
        </w:rPr>
        <w:t xml:space="preserve"> </w:t>
      </w:r>
      <w:r>
        <w:t>The group engagement team should request that the component auditor communicate on a timely basis</w:t>
      </w:r>
      <w:r>
        <w:rPr>
          <w:spacing w:val="-5"/>
        </w:rPr>
        <w:t xml:space="preserve"> </w:t>
      </w:r>
      <w:r>
        <w:t>disclosure</w:t>
      </w:r>
      <w:r>
        <w:rPr>
          <w:spacing w:val="-5"/>
        </w:rPr>
        <w:t xml:space="preserve"> </w:t>
      </w:r>
      <w:r>
        <w:t>entities,</w:t>
      </w:r>
      <w:r>
        <w:rPr>
          <w:spacing w:val="-5"/>
        </w:rPr>
        <w:t xml:space="preserve"> </w:t>
      </w:r>
      <w:r>
        <w:t>related</w:t>
      </w:r>
      <w:r>
        <w:rPr>
          <w:spacing w:val="-5"/>
        </w:rPr>
        <w:t xml:space="preserve"> </w:t>
      </w:r>
      <w:r>
        <w:t>parties,</w:t>
      </w:r>
      <w:r>
        <w:rPr>
          <w:spacing w:val="-5"/>
        </w:rPr>
        <w:t xml:space="preserve"> </w:t>
      </w:r>
      <w:r>
        <w:t>and</w:t>
      </w:r>
      <w:r>
        <w:rPr>
          <w:spacing w:val="-5"/>
        </w:rPr>
        <w:t xml:space="preserve"> </w:t>
      </w:r>
      <w:r>
        <w:t>public-private</w:t>
      </w:r>
      <w:r>
        <w:rPr>
          <w:spacing w:val="-6"/>
        </w:rPr>
        <w:t xml:space="preserve"> </w:t>
      </w:r>
      <w:r>
        <w:t>partnerships</w:t>
      </w:r>
      <w:r>
        <w:rPr>
          <w:spacing w:val="-5"/>
        </w:rPr>
        <w:t xml:space="preserve"> </w:t>
      </w:r>
      <w:r>
        <w:t>that</w:t>
      </w:r>
    </w:p>
    <w:p w14:paraId="0DFDADFB" w14:textId="77777777" w:rsidR="00046465" w:rsidRDefault="008134EB">
      <w:pPr>
        <w:pStyle w:val="BodyText"/>
        <w:spacing w:before="20"/>
        <w:rPr>
          <w:sz w:val="20"/>
        </w:rPr>
      </w:pPr>
      <w:r>
        <w:rPr>
          <w:noProof/>
          <w:sz w:val="20"/>
        </w:rPr>
        <mc:AlternateContent>
          <mc:Choice Requires="wps">
            <w:drawing>
              <wp:anchor distT="0" distB="0" distL="0" distR="0" simplePos="0" relativeHeight="487604736" behindDoc="1" locked="0" layoutInCell="1" allowOverlap="1" wp14:anchorId="0DFDD555" wp14:editId="0DFDD556">
                <wp:simplePos x="0" y="0"/>
                <wp:positionH relativeFrom="page">
                  <wp:posOffset>914400</wp:posOffset>
                </wp:positionH>
                <wp:positionV relativeFrom="paragraph">
                  <wp:posOffset>174502</wp:posOffset>
                </wp:positionV>
                <wp:extent cx="1828800" cy="5715"/>
                <wp:effectExtent l="0" t="0" r="0" b="0"/>
                <wp:wrapTopAndBottom/>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2B4A3F" id="Graphic 181" o:spid="_x0000_s1026" style="position:absolute;margin-left:1in;margin-top:13.75pt;width:2in;height:.4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" path="m1828800,l,,,5333r1828800,l1828800,xe" fillcolor="black" stroked="f">
                <v:path arrowok="t"/>
                <w10:wrap type="topAndBottom" anchorx="page"/>
              </v:shape>
            </w:pict>
          </mc:Fallback>
        </mc:AlternateContent>
      </w:r>
    </w:p>
    <w:p w14:paraId="0DFDADFC" w14:textId="77777777" w:rsidR="00046465" w:rsidRDefault="008134EB">
      <w:pPr>
        <w:spacing w:before="200" w:line="242" w:lineRule="auto"/>
        <w:ind w:left="359" w:right="773"/>
        <w:rPr>
          <w:sz w:val="18"/>
        </w:rPr>
      </w:pPr>
      <w:bookmarkStart w:id="57" w:name="_bookmark15"/>
      <w:bookmarkEnd w:id="57"/>
      <w:r>
        <w:rPr>
          <w:position w:val="7"/>
          <w:sz w:val="14"/>
        </w:rPr>
        <w:t>10</w:t>
      </w:r>
      <w:r>
        <w:rPr>
          <w:sz w:val="18"/>
        </w:rPr>
        <w:t>Under Federal Accounting Standards Advisory Board (FASAB) standards, organizations are considered to be related</w:t>
      </w:r>
      <w:r>
        <w:rPr>
          <w:spacing w:val="-3"/>
          <w:sz w:val="18"/>
        </w:rPr>
        <w:t xml:space="preserve"> </w:t>
      </w:r>
      <w:r>
        <w:rPr>
          <w:sz w:val="18"/>
        </w:rPr>
        <w:t>parties</w:t>
      </w:r>
      <w:r>
        <w:rPr>
          <w:spacing w:val="-2"/>
          <w:sz w:val="18"/>
        </w:rPr>
        <w:t xml:space="preserve"> </w:t>
      </w:r>
      <w:r>
        <w:rPr>
          <w:sz w:val="18"/>
        </w:rPr>
        <w:t>if</w:t>
      </w:r>
      <w:r>
        <w:rPr>
          <w:spacing w:val="-2"/>
          <w:sz w:val="18"/>
        </w:rPr>
        <w:t xml:space="preserve"> </w:t>
      </w:r>
      <w:r>
        <w:rPr>
          <w:sz w:val="18"/>
        </w:rPr>
        <w:t>the</w:t>
      </w:r>
      <w:r>
        <w:rPr>
          <w:spacing w:val="-3"/>
          <w:sz w:val="18"/>
        </w:rPr>
        <w:t xml:space="preserve"> </w:t>
      </w:r>
      <w:r>
        <w:rPr>
          <w:sz w:val="18"/>
        </w:rPr>
        <w:t>existing</w:t>
      </w:r>
      <w:r>
        <w:rPr>
          <w:spacing w:val="-3"/>
          <w:sz w:val="18"/>
        </w:rPr>
        <w:t xml:space="preserve"> </w:t>
      </w:r>
      <w:r>
        <w:rPr>
          <w:sz w:val="18"/>
        </w:rPr>
        <w:t>relationship</w:t>
      </w:r>
      <w:r>
        <w:rPr>
          <w:spacing w:val="-3"/>
          <w:sz w:val="18"/>
        </w:rPr>
        <w:t xml:space="preserve"> </w:t>
      </w:r>
      <w:r>
        <w:rPr>
          <w:sz w:val="18"/>
        </w:rPr>
        <w:t>or</w:t>
      </w:r>
      <w:r>
        <w:rPr>
          <w:spacing w:val="-2"/>
          <w:sz w:val="18"/>
        </w:rPr>
        <w:t xml:space="preserve"> </w:t>
      </w:r>
      <w:r>
        <w:rPr>
          <w:sz w:val="18"/>
        </w:rPr>
        <w:t>one</w:t>
      </w:r>
      <w:r>
        <w:rPr>
          <w:spacing w:val="-3"/>
          <w:sz w:val="18"/>
        </w:rPr>
        <w:t xml:space="preserve"> </w:t>
      </w:r>
      <w:r>
        <w:rPr>
          <w:sz w:val="18"/>
        </w:rPr>
        <w:t>party</w:t>
      </w:r>
      <w:r>
        <w:rPr>
          <w:spacing w:val="-2"/>
          <w:sz w:val="18"/>
        </w:rPr>
        <w:t xml:space="preserve"> </w:t>
      </w:r>
      <w:r>
        <w:rPr>
          <w:sz w:val="18"/>
        </w:rPr>
        <w:t>to</w:t>
      </w:r>
      <w:r>
        <w:rPr>
          <w:spacing w:val="-3"/>
          <w:sz w:val="18"/>
        </w:rPr>
        <w:t xml:space="preserve"> </w:t>
      </w:r>
      <w:r>
        <w:rPr>
          <w:sz w:val="18"/>
        </w:rPr>
        <w:t>the</w:t>
      </w:r>
      <w:r>
        <w:rPr>
          <w:spacing w:val="-1"/>
          <w:sz w:val="18"/>
        </w:rPr>
        <w:t xml:space="preserve"> </w:t>
      </w:r>
      <w:r>
        <w:rPr>
          <w:sz w:val="18"/>
        </w:rPr>
        <w:t>existing</w:t>
      </w:r>
      <w:r>
        <w:rPr>
          <w:spacing w:val="-3"/>
          <w:sz w:val="18"/>
        </w:rPr>
        <w:t xml:space="preserve"> </w:t>
      </w:r>
      <w:r>
        <w:rPr>
          <w:sz w:val="18"/>
        </w:rPr>
        <w:t>relationship</w:t>
      </w:r>
      <w:r>
        <w:rPr>
          <w:spacing w:val="-3"/>
          <w:sz w:val="18"/>
        </w:rPr>
        <w:t xml:space="preserve"> </w:t>
      </w:r>
      <w:r>
        <w:rPr>
          <w:sz w:val="18"/>
        </w:rPr>
        <w:t>has</w:t>
      </w:r>
      <w:r>
        <w:rPr>
          <w:spacing w:val="-2"/>
          <w:sz w:val="18"/>
        </w:rPr>
        <w:t xml:space="preserve"> </w:t>
      </w:r>
      <w:r>
        <w:rPr>
          <w:sz w:val="18"/>
        </w:rPr>
        <w:t>the</w:t>
      </w:r>
      <w:r>
        <w:rPr>
          <w:spacing w:val="-3"/>
          <w:sz w:val="18"/>
        </w:rPr>
        <w:t xml:space="preserve"> </w:t>
      </w:r>
      <w:r>
        <w:rPr>
          <w:sz w:val="18"/>
        </w:rPr>
        <w:t>ability</w:t>
      </w:r>
      <w:r>
        <w:rPr>
          <w:spacing w:val="-2"/>
          <w:sz w:val="18"/>
        </w:rPr>
        <w:t xml:space="preserve"> </w:t>
      </w:r>
      <w:r>
        <w:rPr>
          <w:sz w:val="18"/>
        </w:rPr>
        <w:t>to</w:t>
      </w:r>
      <w:r>
        <w:rPr>
          <w:spacing w:val="-3"/>
          <w:sz w:val="18"/>
        </w:rPr>
        <w:t xml:space="preserve"> </w:t>
      </w:r>
      <w:r>
        <w:rPr>
          <w:sz w:val="18"/>
        </w:rPr>
        <w:t>exercise</w:t>
      </w:r>
      <w:r>
        <w:rPr>
          <w:spacing w:val="-3"/>
          <w:sz w:val="18"/>
        </w:rPr>
        <w:t xml:space="preserve"> </w:t>
      </w:r>
      <w:r>
        <w:rPr>
          <w:sz w:val="18"/>
        </w:rPr>
        <w:t>significant influence over the other party’s policy decisions. In the federal government, there are additional relationships that present risks similar to related parties, as defined by FASAB. These include disclosure entities and public-private partnerships. Consequently, while the AICPA auditing standards address only related parties, the auditor should apply audit procedures required for related parties to disclosure entities and public-private partnerships. Note that FASAB and the Financial Accounting Standards Board (FASB) provide different definitions for related parties.</w:t>
      </w:r>
    </w:p>
    <w:p w14:paraId="0DFDADFD" w14:textId="77777777" w:rsidR="00046465" w:rsidRDefault="008134EB">
      <w:pPr>
        <w:spacing w:line="242" w:lineRule="auto"/>
        <w:ind w:left="359" w:right="749"/>
        <w:rPr>
          <w:sz w:val="18"/>
        </w:rPr>
      </w:pPr>
      <w:r>
        <w:rPr>
          <w:sz w:val="18"/>
        </w:rPr>
        <w:t>Procedures</w:t>
      </w:r>
      <w:r>
        <w:rPr>
          <w:spacing w:val="-3"/>
          <w:sz w:val="18"/>
        </w:rPr>
        <w:t xml:space="preserve"> </w:t>
      </w:r>
      <w:r>
        <w:rPr>
          <w:sz w:val="18"/>
        </w:rPr>
        <w:t>pertaining</w:t>
      </w:r>
      <w:r>
        <w:rPr>
          <w:spacing w:val="-4"/>
          <w:sz w:val="18"/>
        </w:rPr>
        <w:t xml:space="preserve"> </w:t>
      </w:r>
      <w:r>
        <w:rPr>
          <w:sz w:val="18"/>
        </w:rPr>
        <w:t>to</w:t>
      </w:r>
      <w:r>
        <w:rPr>
          <w:spacing w:val="-4"/>
          <w:sz w:val="18"/>
        </w:rPr>
        <w:t xml:space="preserve"> </w:t>
      </w:r>
      <w:r>
        <w:rPr>
          <w:sz w:val="18"/>
        </w:rPr>
        <w:t>disclosure</w:t>
      </w:r>
      <w:r>
        <w:rPr>
          <w:spacing w:val="-4"/>
          <w:sz w:val="18"/>
        </w:rPr>
        <w:t xml:space="preserve"> </w:t>
      </w:r>
      <w:r>
        <w:rPr>
          <w:sz w:val="18"/>
        </w:rPr>
        <w:t>entities</w:t>
      </w:r>
      <w:r>
        <w:rPr>
          <w:spacing w:val="-3"/>
          <w:sz w:val="18"/>
        </w:rPr>
        <w:t xml:space="preserve"> </w:t>
      </w:r>
      <w:r>
        <w:rPr>
          <w:sz w:val="18"/>
        </w:rPr>
        <w:t>and</w:t>
      </w:r>
      <w:r>
        <w:rPr>
          <w:spacing w:val="-4"/>
          <w:sz w:val="18"/>
        </w:rPr>
        <w:t xml:space="preserve"> </w:t>
      </w:r>
      <w:r>
        <w:rPr>
          <w:sz w:val="18"/>
        </w:rPr>
        <w:t>public-private</w:t>
      </w:r>
      <w:r>
        <w:rPr>
          <w:spacing w:val="-4"/>
          <w:sz w:val="18"/>
        </w:rPr>
        <w:t xml:space="preserve"> </w:t>
      </w:r>
      <w:r>
        <w:rPr>
          <w:sz w:val="18"/>
        </w:rPr>
        <w:t>partnerships</w:t>
      </w:r>
      <w:r>
        <w:rPr>
          <w:spacing w:val="-3"/>
          <w:sz w:val="18"/>
        </w:rPr>
        <w:t xml:space="preserve"> </w:t>
      </w:r>
      <w:r>
        <w:rPr>
          <w:sz w:val="18"/>
        </w:rPr>
        <w:t>do</w:t>
      </w:r>
      <w:r>
        <w:rPr>
          <w:spacing w:val="-4"/>
          <w:sz w:val="18"/>
        </w:rPr>
        <w:t xml:space="preserve"> </w:t>
      </w:r>
      <w:r>
        <w:rPr>
          <w:sz w:val="18"/>
        </w:rPr>
        <w:t>not</w:t>
      </w:r>
      <w:r>
        <w:rPr>
          <w:spacing w:val="-3"/>
          <w:sz w:val="18"/>
        </w:rPr>
        <w:t xml:space="preserve"> </w:t>
      </w:r>
      <w:r>
        <w:rPr>
          <w:sz w:val="18"/>
        </w:rPr>
        <w:t>apply</w:t>
      </w:r>
      <w:r>
        <w:rPr>
          <w:spacing w:val="-3"/>
          <w:sz w:val="18"/>
        </w:rPr>
        <w:t xml:space="preserve"> </w:t>
      </w:r>
      <w:r>
        <w:rPr>
          <w:sz w:val="18"/>
        </w:rPr>
        <w:t>to</w:t>
      </w:r>
      <w:r>
        <w:rPr>
          <w:spacing w:val="-2"/>
          <w:sz w:val="18"/>
        </w:rPr>
        <w:t xml:space="preserve"> </w:t>
      </w:r>
      <w:r>
        <w:rPr>
          <w:sz w:val="18"/>
        </w:rPr>
        <w:t>entities</w:t>
      </w:r>
      <w:r>
        <w:rPr>
          <w:spacing w:val="-3"/>
          <w:sz w:val="18"/>
        </w:rPr>
        <w:t xml:space="preserve"> </w:t>
      </w:r>
      <w:r>
        <w:rPr>
          <w:sz w:val="18"/>
        </w:rPr>
        <w:t>issuing</w:t>
      </w:r>
      <w:r>
        <w:rPr>
          <w:spacing w:val="-4"/>
          <w:sz w:val="18"/>
        </w:rPr>
        <w:t xml:space="preserve"> </w:t>
      </w:r>
      <w:r>
        <w:rPr>
          <w:sz w:val="18"/>
        </w:rPr>
        <w:t>financial statements in accordance with FASB accounting standards.</w:t>
      </w:r>
    </w:p>
    <w:p w14:paraId="0DFDADFE" w14:textId="77777777" w:rsidR="00046465" w:rsidRDefault="00046465">
      <w:pPr>
        <w:spacing w:line="242" w:lineRule="auto"/>
        <w:rPr>
          <w:sz w:val="18"/>
        </w:rPr>
        <w:sectPr w:rsidR="00046465">
          <w:pgSz w:w="12240" w:h="15840"/>
          <w:pgMar w:top="1340" w:right="720" w:bottom="940" w:left="1080" w:header="721" w:footer="757" w:gutter="0"/>
          <w:cols w:space="720"/>
        </w:sectPr>
      </w:pPr>
    </w:p>
    <w:p w14:paraId="0DFDADFF" w14:textId="77777777" w:rsidR="00046465" w:rsidRDefault="008134EB">
      <w:pPr>
        <w:pStyle w:val="BodyText"/>
        <w:spacing w:before="121"/>
        <w:ind w:left="2160" w:right="844"/>
      </w:pPr>
      <w:r>
        <w:lastRenderedPageBreak/>
        <w:t>group management or the group engagement team did not previously identify. The group engagement team should identify such additional disclosure</w:t>
      </w:r>
      <w:r>
        <w:rPr>
          <w:spacing w:val="-5"/>
        </w:rPr>
        <w:t xml:space="preserve"> </w:t>
      </w:r>
      <w:r>
        <w:t>entities,</w:t>
      </w:r>
      <w:r>
        <w:rPr>
          <w:spacing w:val="-5"/>
        </w:rPr>
        <w:t xml:space="preserve"> </w:t>
      </w:r>
      <w:r>
        <w:t>related</w:t>
      </w:r>
      <w:r>
        <w:rPr>
          <w:spacing w:val="-5"/>
        </w:rPr>
        <w:t xml:space="preserve"> </w:t>
      </w:r>
      <w:r>
        <w:t>parties,</w:t>
      </w:r>
      <w:r>
        <w:rPr>
          <w:spacing w:val="-5"/>
        </w:rPr>
        <w:t xml:space="preserve"> </w:t>
      </w:r>
      <w:r>
        <w:t>and</w:t>
      </w:r>
      <w:r>
        <w:rPr>
          <w:spacing w:val="-5"/>
        </w:rPr>
        <w:t xml:space="preserve"> </w:t>
      </w:r>
      <w:r>
        <w:t>public-private</w:t>
      </w:r>
      <w:r>
        <w:rPr>
          <w:spacing w:val="-5"/>
        </w:rPr>
        <w:t xml:space="preserve"> </w:t>
      </w:r>
      <w:r>
        <w:t>partnerships</w:t>
      </w:r>
      <w:r>
        <w:rPr>
          <w:spacing w:val="-4"/>
        </w:rPr>
        <w:t xml:space="preserve"> </w:t>
      </w:r>
      <w:r>
        <w:t>to</w:t>
      </w:r>
      <w:r>
        <w:rPr>
          <w:spacing w:val="-5"/>
        </w:rPr>
        <w:t xml:space="preserve"> </w:t>
      </w:r>
      <w:r>
        <w:t>other component auditors. (AU-C 600A.41c)</w:t>
      </w:r>
    </w:p>
    <w:p w14:paraId="0DFDAE00" w14:textId="77777777" w:rsidR="00046465" w:rsidRDefault="008134EB">
      <w:pPr>
        <w:pStyle w:val="ListParagraph"/>
        <w:numPr>
          <w:ilvl w:val="1"/>
          <w:numId w:val="217"/>
        </w:numPr>
        <w:tabs>
          <w:tab w:val="left" w:pos="2160"/>
        </w:tabs>
        <w:ind w:left="2160" w:right="756"/>
      </w:pPr>
      <w:r>
        <w:t>Identified significant risks of material misstatement of the group financial statements,</w:t>
      </w:r>
      <w:r>
        <w:rPr>
          <w:spacing w:val="-3"/>
        </w:rPr>
        <w:t xml:space="preserve"> </w:t>
      </w:r>
      <w:r>
        <w:t>due</w:t>
      </w:r>
      <w:r>
        <w:rPr>
          <w:spacing w:val="-4"/>
        </w:rPr>
        <w:t xml:space="preserve"> </w:t>
      </w:r>
      <w:r>
        <w:t>to</w:t>
      </w:r>
      <w:r>
        <w:rPr>
          <w:spacing w:val="-3"/>
        </w:rPr>
        <w:t xml:space="preserve"> </w:t>
      </w:r>
      <w:r>
        <w:t>fraud</w:t>
      </w:r>
      <w:r>
        <w:rPr>
          <w:spacing w:val="-4"/>
        </w:rPr>
        <w:t xml:space="preserve"> </w:t>
      </w:r>
      <w:r>
        <w:t>or</w:t>
      </w:r>
      <w:r>
        <w:rPr>
          <w:spacing w:val="-3"/>
        </w:rPr>
        <w:t xml:space="preserve"> </w:t>
      </w:r>
      <w:r>
        <w:t>error,</w:t>
      </w:r>
      <w:r>
        <w:rPr>
          <w:spacing w:val="-4"/>
        </w:rPr>
        <w:t xml:space="preserve"> </w:t>
      </w:r>
      <w:r>
        <w:t>that</w:t>
      </w:r>
      <w:r>
        <w:rPr>
          <w:spacing w:val="-3"/>
        </w:rPr>
        <w:t xml:space="preserve"> </w:t>
      </w:r>
      <w:r>
        <w:t>are</w:t>
      </w:r>
      <w:r>
        <w:rPr>
          <w:spacing w:val="-4"/>
        </w:rPr>
        <w:t xml:space="preserve"> </w:t>
      </w:r>
      <w:r>
        <w:t>relevant</w:t>
      </w:r>
      <w:r>
        <w:rPr>
          <w:spacing w:val="-3"/>
        </w:rPr>
        <w:t xml:space="preserve"> </w:t>
      </w:r>
      <w:r>
        <w:t>to</w:t>
      </w:r>
      <w:r>
        <w:rPr>
          <w:spacing w:val="-4"/>
        </w:rPr>
        <w:t xml:space="preserve"> </w:t>
      </w:r>
      <w:r>
        <w:t>the</w:t>
      </w:r>
      <w:r>
        <w:rPr>
          <w:spacing w:val="-3"/>
        </w:rPr>
        <w:t xml:space="preserve"> </w:t>
      </w:r>
      <w:r>
        <w:t>component</w:t>
      </w:r>
      <w:r>
        <w:rPr>
          <w:spacing w:val="-4"/>
        </w:rPr>
        <w:t xml:space="preserve"> </w:t>
      </w:r>
      <w:r>
        <w:t>auditor’s work (AU-C 600A.41d).</w:t>
      </w:r>
    </w:p>
    <w:p w14:paraId="0DFDAE01" w14:textId="77777777" w:rsidR="00046465" w:rsidRDefault="008134EB">
      <w:pPr>
        <w:pStyle w:val="ListParagraph"/>
        <w:numPr>
          <w:ilvl w:val="1"/>
          <w:numId w:val="217"/>
        </w:numPr>
        <w:tabs>
          <w:tab w:val="left" w:pos="2160"/>
        </w:tabs>
        <w:spacing w:before="119"/>
        <w:ind w:left="2160" w:right="891"/>
        <w:jc w:val="both"/>
      </w:pPr>
      <w:r>
        <w:t>Any</w:t>
      </w:r>
      <w:r>
        <w:rPr>
          <w:spacing w:val="-2"/>
        </w:rPr>
        <w:t xml:space="preserve"> </w:t>
      </w:r>
      <w:r>
        <w:t>significant</w:t>
      </w:r>
      <w:r>
        <w:rPr>
          <w:spacing w:val="-2"/>
        </w:rPr>
        <w:t xml:space="preserve"> </w:t>
      </w:r>
      <w:r>
        <w:t>deviations</w:t>
      </w:r>
      <w:r>
        <w:rPr>
          <w:spacing w:val="-2"/>
        </w:rPr>
        <w:t xml:space="preserve"> </w:t>
      </w:r>
      <w:r>
        <w:t>in</w:t>
      </w:r>
      <w:r>
        <w:rPr>
          <w:spacing w:val="-2"/>
        </w:rPr>
        <w:t xml:space="preserve"> </w:t>
      </w:r>
      <w:r>
        <w:t>the</w:t>
      </w:r>
      <w:r>
        <w:rPr>
          <w:spacing w:val="-2"/>
        </w:rPr>
        <w:t xml:space="preserve"> </w:t>
      </w:r>
      <w:r>
        <w:t>methodologies</w:t>
      </w:r>
      <w:r>
        <w:rPr>
          <w:spacing w:val="-3"/>
        </w:rPr>
        <w:t xml:space="preserve"> </w:t>
      </w:r>
      <w:r>
        <w:t>or</w:t>
      </w:r>
      <w:r>
        <w:rPr>
          <w:spacing w:val="-2"/>
        </w:rPr>
        <w:t xml:space="preserve"> </w:t>
      </w:r>
      <w:r>
        <w:t>audit</w:t>
      </w:r>
      <w:r>
        <w:rPr>
          <w:spacing w:val="-2"/>
        </w:rPr>
        <w:t xml:space="preserve"> </w:t>
      </w:r>
      <w:r>
        <w:t>approaches</w:t>
      </w:r>
      <w:r>
        <w:rPr>
          <w:spacing w:val="-2"/>
        </w:rPr>
        <w:t xml:space="preserve"> </w:t>
      </w:r>
      <w:r>
        <w:t>that</w:t>
      </w:r>
      <w:r>
        <w:rPr>
          <w:spacing w:val="-2"/>
        </w:rPr>
        <w:t xml:space="preserve"> </w:t>
      </w:r>
      <w:r>
        <w:t>the component</w:t>
      </w:r>
      <w:r>
        <w:rPr>
          <w:spacing w:val="-4"/>
        </w:rPr>
        <w:t xml:space="preserve"> </w:t>
      </w:r>
      <w:r>
        <w:t>auditor</w:t>
      </w:r>
      <w:r>
        <w:rPr>
          <w:spacing w:val="-4"/>
        </w:rPr>
        <w:t xml:space="preserve"> </w:t>
      </w:r>
      <w:r>
        <w:t>uses</w:t>
      </w:r>
      <w:r>
        <w:rPr>
          <w:spacing w:val="-5"/>
        </w:rPr>
        <w:t xml:space="preserve"> </w:t>
      </w:r>
      <w:r>
        <w:t>that</w:t>
      </w:r>
      <w:r>
        <w:rPr>
          <w:spacing w:val="-4"/>
        </w:rPr>
        <w:t xml:space="preserve"> </w:t>
      </w:r>
      <w:r>
        <w:t>are</w:t>
      </w:r>
      <w:r>
        <w:rPr>
          <w:spacing w:val="-4"/>
        </w:rPr>
        <w:t xml:space="preserve"> </w:t>
      </w:r>
      <w:r>
        <w:t>different</w:t>
      </w:r>
      <w:r>
        <w:rPr>
          <w:spacing w:val="-4"/>
        </w:rPr>
        <w:t xml:space="preserve"> </w:t>
      </w:r>
      <w:r>
        <w:t>from</w:t>
      </w:r>
      <w:r>
        <w:rPr>
          <w:spacing w:val="-5"/>
        </w:rPr>
        <w:t xml:space="preserve"> </w:t>
      </w:r>
      <w:r>
        <w:t>those</w:t>
      </w:r>
      <w:r>
        <w:rPr>
          <w:spacing w:val="-4"/>
        </w:rPr>
        <w:t xml:space="preserve"> </w:t>
      </w:r>
      <w:r>
        <w:t>the</w:t>
      </w:r>
      <w:r>
        <w:rPr>
          <w:spacing w:val="-4"/>
        </w:rPr>
        <w:t xml:space="preserve"> </w:t>
      </w:r>
      <w:r>
        <w:t>group</w:t>
      </w:r>
      <w:r>
        <w:rPr>
          <w:spacing w:val="-4"/>
        </w:rPr>
        <w:t xml:space="preserve"> </w:t>
      </w:r>
      <w:r>
        <w:t>engagement team would have used and whether those deviations comply with GAGAS.</w:t>
      </w:r>
    </w:p>
    <w:p w14:paraId="0DFDAE02" w14:textId="77777777" w:rsidR="00046465" w:rsidRDefault="008134EB">
      <w:pPr>
        <w:pStyle w:val="ListParagraph"/>
        <w:numPr>
          <w:ilvl w:val="0"/>
          <w:numId w:val="217"/>
        </w:numPr>
        <w:tabs>
          <w:tab w:val="left" w:pos="1800"/>
        </w:tabs>
        <w:spacing w:before="121"/>
        <w:ind w:right="909"/>
      </w:pPr>
      <w:r>
        <w:t>The group engagement team should request that a component auditor communicate</w:t>
      </w:r>
      <w:r>
        <w:rPr>
          <w:spacing w:val="-5"/>
        </w:rPr>
        <w:t xml:space="preserve"> </w:t>
      </w:r>
      <w:r>
        <w:t>matters</w:t>
      </w:r>
      <w:r>
        <w:rPr>
          <w:spacing w:val="-5"/>
        </w:rPr>
        <w:t xml:space="preserve"> </w:t>
      </w:r>
      <w:r>
        <w:t>relevant</w:t>
      </w:r>
      <w:r>
        <w:rPr>
          <w:spacing w:val="-5"/>
        </w:rPr>
        <w:t xml:space="preserve"> </w:t>
      </w:r>
      <w:r>
        <w:t>to</w:t>
      </w:r>
      <w:r>
        <w:rPr>
          <w:spacing w:val="-5"/>
        </w:rPr>
        <w:t xml:space="preserve"> </w:t>
      </w:r>
      <w:r>
        <w:t>the</w:t>
      </w:r>
      <w:r>
        <w:rPr>
          <w:spacing w:val="-6"/>
        </w:rPr>
        <w:t xml:space="preserve"> </w:t>
      </w:r>
      <w:r>
        <w:t>group</w:t>
      </w:r>
      <w:r>
        <w:rPr>
          <w:spacing w:val="-5"/>
        </w:rPr>
        <w:t xml:space="preserve"> </w:t>
      </w:r>
      <w:r>
        <w:t>engagement</w:t>
      </w:r>
      <w:r>
        <w:rPr>
          <w:spacing w:val="-5"/>
        </w:rPr>
        <w:t xml:space="preserve"> </w:t>
      </w:r>
      <w:r>
        <w:t>team’s</w:t>
      </w:r>
      <w:r>
        <w:rPr>
          <w:spacing w:val="-4"/>
        </w:rPr>
        <w:t xml:space="preserve"> </w:t>
      </w:r>
      <w:r>
        <w:t>conclusion</w:t>
      </w:r>
      <w:r>
        <w:rPr>
          <w:spacing w:val="-5"/>
        </w:rPr>
        <w:t xml:space="preserve"> </w:t>
      </w:r>
      <w:r>
        <w:t>with regard to the group audit. Such communication should include the following (AU-C 600A.42):</w:t>
      </w:r>
    </w:p>
    <w:p w14:paraId="0DFDAE03" w14:textId="77777777" w:rsidR="00046465" w:rsidRDefault="008134EB">
      <w:pPr>
        <w:pStyle w:val="ListParagraph"/>
        <w:numPr>
          <w:ilvl w:val="1"/>
          <w:numId w:val="217"/>
        </w:numPr>
        <w:tabs>
          <w:tab w:val="left" w:pos="2160"/>
        </w:tabs>
        <w:spacing w:before="119"/>
        <w:ind w:left="2160" w:right="1393"/>
      </w:pPr>
      <w:r>
        <w:t>whether</w:t>
      </w:r>
      <w:r>
        <w:rPr>
          <w:spacing w:val="-5"/>
        </w:rPr>
        <w:t xml:space="preserve"> </w:t>
      </w:r>
      <w:r>
        <w:t>the</w:t>
      </w:r>
      <w:r>
        <w:rPr>
          <w:spacing w:val="-5"/>
        </w:rPr>
        <w:t xml:space="preserve"> </w:t>
      </w:r>
      <w:r>
        <w:t>component</w:t>
      </w:r>
      <w:r>
        <w:rPr>
          <w:spacing w:val="-5"/>
        </w:rPr>
        <w:t xml:space="preserve"> </w:t>
      </w:r>
      <w:r>
        <w:t>auditor</w:t>
      </w:r>
      <w:r>
        <w:rPr>
          <w:spacing w:val="-5"/>
        </w:rPr>
        <w:t xml:space="preserve"> </w:t>
      </w:r>
      <w:r>
        <w:t>has</w:t>
      </w:r>
      <w:r>
        <w:rPr>
          <w:spacing w:val="-6"/>
        </w:rPr>
        <w:t xml:space="preserve"> </w:t>
      </w:r>
      <w:r>
        <w:t>complied</w:t>
      </w:r>
      <w:r>
        <w:rPr>
          <w:spacing w:val="-5"/>
        </w:rPr>
        <w:t xml:space="preserve"> </w:t>
      </w:r>
      <w:r>
        <w:t>with</w:t>
      </w:r>
      <w:r>
        <w:rPr>
          <w:spacing w:val="-5"/>
        </w:rPr>
        <w:t xml:space="preserve"> </w:t>
      </w:r>
      <w:r>
        <w:t>ethical</w:t>
      </w:r>
      <w:r>
        <w:rPr>
          <w:spacing w:val="-5"/>
        </w:rPr>
        <w:t xml:space="preserve"> </w:t>
      </w:r>
      <w:r>
        <w:t xml:space="preserve">requirements relevant to the group audit, including independence and professional </w:t>
      </w:r>
      <w:r>
        <w:rPr>
          <w:spacing w:val="-2"/>
        </w:rPr>
        <w:t>competence;</w:t>
      </w:r>
    </w:p>
    <w:p w14:paraId="0DFDAE04" w14:textId="77777777" w:rsidR="00046465" w:rsidRDefault="008134EB">
      <w:pPr>
        <w:pStyle w:val="ListParagraph"/>
        <w:numPr>
          <w:ilvl w:val="1"/>
          <w:numId w:val="217"/>
        </w:numPr>
        <w:tabs>
          <w:tab w:val="left" w:pos="2160"/>
        </w:tabs>
        <w:spacing w:before="121"/>
        <w:ind w:left="2160" w:right="1368"/>
      </w:pPr>
      <w:r>
        <w:t>identification</w:t>
      </w:r>
      <w:r>
        <w:rPr>
          <w:spacing w:val="-5"/>
        </w:rPr>
        <w:t xml:space="preserve"> </w:t>
      </w:r>
      <w:r>
        <w:t>of</w:t>
      </w:r>
      <w:r>
        <w:rPr>
          <w:spacing w:val="-4"/>
        </w:rPr>
        <w:t xml:space="preserve"> </w:t>
      </w:r>
      <w:r>
        <w:t>the</w:t>
      </w:r>
      <w:r>
        <w:rPr>
          <w:spacing w:val="-4"/>
        </w:rPr>
        <w:t xml:space="preserve"> </w:t>
      </w:r>
      <w:r>
        <w:t>financial</w:t>
      </w:r>
      <w:r>
        <w:rPr>
          <w:spacing w:val="-4"/>
        </w:rPr>
        <w:t xml:space="preserve"> </w:t>
      </w:r>
      <w:r>
        <w:t>information</w:t>
      </w:r>
      <w:r>
        <w:rPr>
          <w:spacing w:val="-4"/>
        </w:rPr>
        <w:t xml:space="preserve"> </w:t>
      </w:r>
      <w:r>
        <w:t>of</w:t>
      </w:r>
      <w:r>
        <w:rPr>
          <w:spacing w:val="-4"/>
        </w:rPr>
        <w:t xml:space="preserve"> </w:t>
      </w:r>
      <w:r>
        <w:t>the</w:t>
      </w:r>
      <w:r>
        <w:rPr>
          <w:spacing w:val="-4"/>
        </w:rPr>
        <w:t xml:space="preserve"> </w:t>
      </w:r>
      <w:r>
        <w:t>component</w:t>
      </w:r>
      <w:r>
        <w:rPr>
          <w:spacing w:val="-4"/>
        </w:rPr>
        <w:t xml:space="preserve"> </w:t>
      </w:r>
      <w:r>
        <w:t>on</w:t>
      </w:r>
      <w:r>
        <w:rPr>
          <w:spacing w:val="-4"/>
        </w:rPr>
        <w:t xml:space="preserve"> </w:t>
      </w:r>
      <w:r>
        <w:t>which</w:t>
      </w:r>
      <w:r>
        <w:rPr>
          <w:spacing w:val="-4"/>
        </w:rPr>
        <w:t xml:space="preserve"> </w:t>
      </w:r>
      <w:r>
        <w:t>the component auditor is reporting; and</w:t>
      </w:r>
    </w:p>
    <w:p w14:paraId="0DFDAE05" w14:textId="77777777" w:rsidR="00046465" w:rsidRDefault="008134EB">
      <w:pPr>
        <w:pStyle w:val="ListParagraph"/>
        <w:numPr>
          <w:ilvl w:val="1"/>
          <w:numId w:val="217"/>
        </w:numPr>
        <w:tabs>
          <w:tab w:val="left" w:pos="2159"/>
        </w:tabs>
        <w:spacing w:before="119"/>
        <w:ind w:hanging="359"/>
      </w:pPr>
      <w:r>
        <w:t>the</w:t>
      </w:r>
      <w:r>
        <w:rPr>
          <w:spacing w:val="-9"/>
        </w:rPr>
        <w:t xml:space="preserve"> </w:t>
      </w:r>
      <w:r>
        <w:t>component</w:t>
      </w:r>
      <w:r>
        <w:rPr>
          <w:spacing w:val="-8"/>
        </w:rPr>
        <w:t xml:space="preserve"> </w:t>
      </w:r>
      <w:r>
        <w:t>auditor’s</w:t>
      </w:r>
      <w:r>
        <w:rPr>
          <w:spacing w:val="-8"/>
        </w:rPr>
        <w:t xml:space="preserve"> </w:t>
      </w:r>
      <w:r>
        <w:t>overall</w:t>
      </w:r>
      <w:r>
        <w:rPr>
          <w:spacing w:val="-8"/>
        </w:rPr>
        <w:t xml:space="preserve"> </w:t>
      </w:r>
      <w:r>
        <w:t>findings,</w:t>
      </w:r>
      <w:r>
        <w:rPr>
          <w:spacing w:val="-8"/>
        </w:rPr>
        <w:t xml:space="preserve"> </w:t>
      </w:r>
      <w:r>
        <w:t>conclusions,</w:t>
      </w:r>
      <w:r>
        <w:rPr>
          <w:spacing w:val="-8"/>
        </w:rPr>
        <w:t xml:space="preserve"> </w:t>
      </w:r>
      <w:r>
        <w:t>or</w:t>
      </w:r>
      <w:r>
        <w:rPr>
          <w:spacing w:val="-8"/>
        </w:rPr>
        <w:t xml:space="preserve"> </w:t>
      </w:r>
      <w:r>
        <w:rPr>
          <w:spacing w:val="-2"/>
        </w:rPr>
        <w:t>opinion.</w:t>
      </w:r>
    </w:p>
    <w:p w14:paraId="0DFDAE06" w14:textId="77777777" w:rsidR="00046465" w:rsidRDefault="008134EB">
      <w:pPr>
        <w:pStyle w:val="BodyText"/>
        <w:spacing w:before="120"/>
        <w:ind w:left="1800" w:right="749"/>
      </w:pPr>
      <w:r>
        <w:t>See</w:t>
      </w:r>
      <w:r>
        <w:rPr>
          <w:spacing w:val="-5"/>
        </w:rPr>
        <w:t xml:space="preserve"> </w:t>
      </w:r>
      <w:r>
        <w:t>FAM</w:t>
      </w:r>
      <w:r>
        <w:rPr>
          <w:spacing w:val="-6"/>
        </w:rPr>
        <w:t xml:space="preserve"> </w:t>
      </w:r>
      <w:r>
        <w:t>630.69</w:t>
      </w:r>
      <w:r>
        <w:rPr>
          <w:spacing w:val="-5"/>
        </w:rPr>
        <w:t xml:space="preserve"> </w:t>
      </w:r>
      <w:r>
        <w:t>through</w:t>
      </w:r>
      <w:r>
        <w:rPr>
          <w:spacing w:val="-5"/>
        </w:rPr>
        <w:t xml:space="preserve"> </w:t>
      </w:r>
      <w:r>
        <w:t>.73</w:t>
      </w:r>
      <w:r>
        <w:rPr>
          <w:spacing w:val="-5"/>
        </w:rPr>
        <w:t xml:space="preserve"> </w:t>
      </w:r>
      <w:r>
        <w:t>for</w:t>
      </w:r>
      <w:r>
        <w:rPr>
          <w:spacing w:val="-5"/>
        </w:rPr>
        <w:t xml:space="preserve"> </w:t>
      </w:r>
      <w:r>
        <w:t>additional</w:t>
      </w:r>
      <w:r>
        <w:rPr>
          <w:spacing w:val="-5"/>
        </w:rPr>
        <w:t xml:space="preserve"> </w:t>
      </w:r>
      <w:r>
        <w:t>requirements</w:t>
      </w:r>
      <w:r>
        <w:rPr>
          <w:spacing w:val="-5"/>
        </w:rPr>
        <w:t xml:space="preserve"> </w:t>
      </w:r>
      <w:r>
        <w:t>when</w:t>
      </w:r>
      <w:r>
        <w:rPr>
          <w:spacing w:val="-5"/>
        </w:rPr>
        <w:t xml:space="preserve"> </w:t>
      </w:r>
      <w:r>
        <w:t>assuming responsibility for the work of a component auditor.</w:t>
      </w:r>
    </w:p>
    <w:p w14:paraId="0DFDAE07" w14:textId="77777777" w:rsidR="00046465" w:rsidRDefault="008134EB">
      <w:pPr>
        <w:pStyle w:val="Heading4"/>
      </w:pPr>
      <w:bookmarkStart w:id="58" w:name="Evaluating_the_Sufficiency_and_Appropria"/>
      <w:bookmarkEnd w:id="58"/>
      <w:r>
        <w:t>Evaluating</w:t>
      </w:r>
      <w:r>
        <w:rPr>
          <w:spacing w:val="-14"/>
        </w:rPr>
        <w:t xml:space="preserve"> </w:t>
      </w:r>
      <w:r>
        <w:t>the</w:t>
      </w:r>
      <w:r>
        <w:rPr>
          <w:spacing w:val="-12"/>
        </w:rPr>
        <w:t xml:space="preserve"> </w:t>
      </w:r>
      <w:r>
        <w:t>Sufficiency</w:t>
      </w:r>
      <w:r>
        <w:rPr>
          <w:spacing w:val="-12"/>
        </w:rPr>
        <w:t xml:space="preserve"> </w:t>
      </w:r>
      <w:r>
        <w:t>and</w:t>
      </w:r>
      <w:r>
        <w:rPr>
          <w:spacing w:val="-14"/>
        </w:rPr>
        <w:t xml:space="preserve"> </w:t>
      </w:r>
      <w:r>
        <w:t>Appropriateness</w:t>
      </w:r>
      <w:r>
        <w:rPr>
          <w:spacing w:val="-12"/>
        </w:rPr>
        <w:t xml:space="preserve"> </w:t>
      </w:r>
      <w:r>
        <w:t>of</w:t>
      </w:r>
      <w:r>
        <w:rPr>
          <w:spacing w:val="-12"/>
        </w:rPr>
        <w:t xml:space="preserve"> </w:t>
      </w:r>
      <w:r>
        <w:t>Audit</w:t>
      </w:r>
      <w:r>
        <w:rPr>
          <w:spacing w:val="-13"/>
        </w:rPr>
        <w:t xml:space="preserve"> </w:t>
      </w:r>
      <w:r>
        <w:rPr>
          <w:spacing w:val="-2"/>
        </w:rPr>
        <w:t>Evidence</w:t>
      </w:r>
    </w:p>
    <w:p w14:paraId="0DFDAE08" w14:textId="77777777" w:rsidR="00046465" w:rsidRDefault="008134EB">
      <w:pPr>
        <w:pStyle w:val="ListParagraph"/>
        <w:numPr>
          <w:ilvl w:val="0"/>
          <w:numId w:val="217"/>
        </w:numPr>
        <w:tabs>
          <w:tab w:val="left" w:pos="1800"/>
        </w:tabs>
        <w:ind w:right="874"/>
      </w:pPr>
      <w:r>
        <w:t>The group engagement team should evaluate a component auditor’s communication</w:t>
      </w:r>
      <w:r>
        <w:rPr>
          <w:spacing w:val="-5"/>
        </w:rPr>
        <w:t xml:space="preserve"> </w:t>
      </w:r>
      <w:r>
        <w:t>(see</w:t>
      </w:r>
      <w:r>
        <w:rPr>
          <w:spacing w:val="-5"/>
        </w:rPr>
        <w:t xml:space="preserve"> </w:t>
      </w:r>
      <w:r>
        <w:t>FAM</w:t>
      </w:r>
      <w:r>
        <w:rPr>
          <w:spacing w:val="-6"/>
        </w:rPr>
        <w:t xml:space="preserve"> </w:t>
      </w:r>
      <w:r>
        <w:t>630.36).</w:t>
      </w:r>
      <w:r>
        <w:rPr>
          <w:spacing w:val="-5"/>
        </w:rPr>
        <w:t xml:space="preserve"> </w:t>
      </w:r>
      <w:r>
        <w:t>The</w:t>
      </w:r>
      <w:r>
        <w:rPr>
          <w:spacing w:val="-5"/>
        </w:rPr>
        <w:t xml:space="preserve"> </w:t>
      </w:r>
      <w:r>
        <w:t>group</w:t>
      </w:r>
      <w:r>
        <w:rPr>
          <w:spacing w:val="-5"/>
        </w:rPr>
        <w:t xml:space="preserve"> </w:t>
      </w:r>
      <w:r>
        <w:t>engagement</w:t>
      </w:r>
      <w:r>
        <w:rPr>
          <w:spacing w:val="-5"/>
        </w:rPr>
        <w:t xml:space="preserve"> </w:t>
      </w:r>
      <w:r>
        <w:t>team</w:t>
      </w:r>
      <w:r>
        <w:rPr>
          <w:spacing w:val="-6"/>
        </w:rPr>
        <w:t xml:space="preserve"> </w:t>
      </w:r>
      <w:r>
        <w:t>should</w:t>
      </w:r>
      <w:r>
        <w:rPr>
          <w:spacing w:val="-5"/>
        </w:rPr>
        <w:t xml:space="preserve"> </w:t>
      </w:r>
      <w:r>
        <w:t xml:space="preserve">discuss significant findings and issues arising from that evaluation with the component auditor, component management, or group management, as appropriate (AU-C </w:t>
      </w:r>
      <w:r>
        <w:rPr>
          <w:spacing w:val="-2"/>
        </w:rPr>
        <w:t>600A.43).</w:t>
      </w:r>
    </w:p>
    <w:p w14:paraId="0DFDAE09" w14:textId="77777777" w:rsidR="00046465" w:rsidRDefault="008134EB">
      <w:pPr>
        <w:pStyle w:val="ListParagraph"/>
        <w:numPr>
          <w:ilvl w:val="0"/>
          <w:numId w:val="217"/>
        </w:numPr>
        <w:tabs>
          <w:tab w:val="left" w:pos="1800"/>
        </w:tabs>
        <w:ind w:right="774"/>
      </w:pPr>
      <w:r>
        <w:t>The</w:t>
      </w:r>
      <w:r>
        <w:rPr>
          <w:spacing w:val="-3"/>
        </w:rPr>
        <w:t xml:space="preserve"> </w:t>
      </w:r>
      <w:r>
        <w:t>auditor</w:t>
      </w:r>
      <w:r>
        <w:rPr>
          <w:spacing w:val="-3"/>
        </w:rPr>
        <w:t xml:space="preserve"> </w:t>
      </w:r>
      <w:r>
        <w:t>is</w:t>
      </w:r>
      <w:r>
        <w:rPr>
          <w:spacing w:val="-3"/>
        </w:rPr>
        <w:t xml:space="preserve"> </w:t>
      </w:r>
      <w:r>
        <w:t>required</w:t>
      </w:r>
      <w:r>
        <w:rPr>
          <w:spacing w:val="-3"/>
        </w:rPr>
        <w:t xml:space="preserve"> </w:t>
      </w:r>
      <w:r>
        <w:t>to</w:t>
      </w:r>
      <w:r>
        <w:rPr>
          <w:spacing w:val="-4"/>
        </w:rPr>
        <w:t xml:space="preserve"> </w:t>
      </w:r>
      <w:r>
        <w:t>obtain</w:t>
      </w:r>
      <w:r>
        <w:rPr>
          <w:spacing w:val="-3"/>
        </w:rPr>
        <w:t xml:space="preserve"> </w:t>
      </w:r>
      <w:r>
        <w:t>sufficient</w:t>
      </w:r>
      <w:r>
        <w:rPr>
          <w:spacing w:val="-3"/>
        </w:rPr>
        <w:t xml:space="preserve"> </w:t>
      </w:r>
      <w:r>
        <w:t>appropriate</w:t>
      </w:r>
      <w:r>
        <w:rPr>
          <w:spacing w:val="-3"/>
        </w:rPr>
        <w:t xml:space="preserve"> </w:t>
      </w:r>
      <w:r>
        <w:t>audit</w:t>
      </w:r>
      <w:r>
        <w:rPr>
          <w:spacing w:val="-3"/>
        </w:rPr>
        <w:t xml:space="preserve"> </w:t>
      </w:r>
      <w:r>
        <w:t>evidence</w:t>
      </w:r>
      <w:r>
        <w:rPr>
          <w:spacing w:val="-3"/>
        </w:rPr>
        <w:t xml:space="preserve"> </w:t>
      </w:r>
      <w:r>
        <w:t>on</w:t>
      </w:r>
      <w:r>
        <w:rPr>
          <w:spacing w:val="-4"/>
        </w:rPr>
        <w:t xml:space="preserve"> </w:t>
      </w:r>
      <w:r>
        <w:t>which</w:t>
      </w:r>
      <w:r>
        <w:rPr>
          <w:spacing w:val="-3"/>
        </w:rPr>
        <w:t xml:space="preserve"> </w:t>
      </w:r>
      <w:r>
        <w:t>to base the audit opinion. The group engagement team should evaluate whether sufficient appropriate audit evidence on which to base the group audit opinion has been obtained from the audit procedures performed on the consolidation process and the work performed by the group engagement team and the component auditors on the financial information of the components (AU-C 600A.44). If the group engagement team concludes that sufficient evidence has not</w:t>
      </w:r>
      <w:r>
        <w:rPr>
          <w:spacing w:val="-4"/>
        </w:rPr>
        <w:t xml:space="preserve"> </w:t>
      </w:r>
      <w:r>
        <w:t>been</w:t>
      </w:r>
      <w:r>
        <w:rPr>
          <w:spacing w:val="-4"/>
        </w:rPr>
        <w:t xml:space="preserve"> </w:t>
      </w:r>
      <w:r>
        <w:t>obtained,</w:t>
      </w:r>
      <w:r>
        <w:rPr>
          <w:spacing w:val="-4"/>
        </w:rPr>
        <w:t xml:space="preserve"> </w:t>
      </w:r>
      <w:r>
        <w:t>the</w:t>
      </w:r>
      <w:r>
        <w:rPr>
          <w:spacing w:val="-4"/>
        </w:rPr>
        <w:t xml:space="preserve"> </w:t>
      </w:r>
      <w:r>
        <w:t>group</w:t>
      </w:r>
      <w:r>
        <w:rPr>
          <w:spacing w:val="-4"/>
        </w:rPr>
        <w:t xml:space="preserve"> </w:t>
      </w:r>
      <w:r>
        <w:t>engagement</w:t>
      </w:r>
      <w:r>
        <w:rPr>
          <w:spacing w:val="-4"/>
        </w:rPr>
        <w:t xml:space="preserve"> </w:t>
      </w:r>
      <w:r>
        <w:t>team</w:t>
      </w:r>
      <w:r>
        <w:rPr>
          <w:spacing w:val="-4"/>
        </w:rPr>
        <w:t xml:space="preserve"> </w:t>
      </w:r>
      <w:r>
        <w:t>may</w:t>
      </w:r>
      <w:r>
        <w:rPr>
          <w:spacing w:val="-4"/>
        </w:rPr>
        <w:t xml:space="preserve"> </w:t>
      </w:r>
      <w:r>
        <w:t>request</w:t>
      </w:r>
      <w:r>
        <w:rPr>
          <w:spacing w:val="-4"/>
        </w:rPr>
        <w:t xml:space="preserve"> </w:t>
      </w:r>
      <w:r>
        <w:t>that</w:t>
      </w:r>
      <w:r>
        <w:rPr>
          <w:spacing w:val="-4"/>
        </w:rPr>
        <w:t xml:space="preserve"> </w:t>
      </w:r>
      <w:r>
        <w:t>the</w:t>
      </w:r>
      <w:r>
        <w:rPr>
          <w:spacing w:val="-4"/>
        </w:rPr>
        <w:t xml:space="preserve"> </w:t>
      </w:r>
      <w:r>
        <w:t>component auditor perform additional procedures or may alternatively perform its own procedures (AU-C 600A.A71). If the group engagement team has concerns about whether the component auditor’s work provides sufficient appropriate evidence, the group engagement team generally should discuss the matter with the group engagement partner before formally discussing the issue with the component auditor.</w:t>
      </w:r>
    </w:p>
    <w:p w14:paraId="0DFDAE0A" w14:textId="77777777" w:rsidR="00046465" w:rsidRDefault="008134EB">
      <w:pPr>
        <w:pStyle w:val="ListParagraph"/>
        <w:numPr>
          <w:ilvl w:val="0"/>
          <w:numId w:val="217"/>
        </w:numPr>
        <w:tabs>
          <w:tab w:val="left" w:pos="1800"/>
        </w:tabs>
        <w:ind w:right="823"/>
      </w:pPr>
      <w:r>
        <w:t>Sometimes</w:t>
      </w:r>
      <w:r>
        <w:rPr>
          <w:spacing w:val="-4"/>
        </w:rPr>
        <w:t xml:space="preserve"> </w:t>
      </w:r>
      <w:r>
        <w:t>component</w:t>
      </w:r>
      <w:r>
        <w:rPr>
          <w:spacing w:val="-4"/>
        </w:rPr>
        <w:t xml:space="preserve"> </w:t>
      </w:r>
      <w:r>
        <w:t>auditors</w:t>
      </w:r>
      <w:r>
        <w:rPr>
          <w:spacing w:val="-4"/>
        </w:rPr>
        <w:t xml:space="preserve"> </w:t>
      </w:r>
      <w:r>
        <w:t>use</w:t>
      </w:r>
      <w:r>
        <w:rPr>
          <w:spacing w:val="-5"/>
        </w:rPr>
        <w:t xml:space="preserve"> </w:t>
      </w:r>
      <w:r>
        <w:t>methodologies</w:t>
      </w:r>
      <w:r>
        <w:rPr>
          <w:spacing w:val="-4"/>
        </w:rPr>
        <w:t xml:space="preserve"> </w:t>
      </w:r>
      <w:r>
        <w:t>or</w:t>
      </w:r>
      <w:r>
        <w:rPr>
          <w:spacing w:val="-4"/>
        </w:rPr>
        <w:t xml:space="preserve"> </w:t>
      </w:r>
      <w:r>
        <w:t>audit</w:t>
      </w:r>
      <w:r>
        <w:rPr>
          <w:spacing w:val="-5"/>
        </w:rPr>
        <w:t xml:space="preserve"> </w:t>
      </w:r>
      <w:r>
        <w:t>approaches</w:t>
      </w:r>
      <w:r>
        <w:rPr>
          <w:spacing w:val="-5"/>
        </w:rPr>
        <w:t xml:space="preserve"> </w:t>
      </w:r>
      <w:r>
        <w:t>that</w:t>
      </w:r>
      <w:r>
        <w:rPr>
          <w:spacing w:val="-4"/>
        </w:rPr>
        <w:t xml:space="preserve"> </w:t>
      </w:r>
      <w:r>
        <w:t>are different from</w:t>
      </w:r>
      <w:r>
        <w:rPr>
          <w:spacing w:val="-1"/>
        </w:rPr>
        <w:t xml:space="preserve"> </w:t>
      </w:r>
      <w:r>
        <w:t>those that the group engagement team</w:t>
      </w:r>
      <w:r>
        <w:rPr>
          <w:spacing w:val="-1"/>
        </w:rPr>
        <w:t xml:space="preserve"> </w:t>
      </w:r>
      <w:r>
        <w:t>would have used.</w:t>
      </w:r>
      <w:r>
        <w:rPr>
          <w:spacing w:val="-1"/>
        </w:rPr>
        <w:t xml:space="preserve"> </w:t>
      </w:r>
      <w:r>
        <w:t>Auditing requires a great deal of professional judgment, and there often are alternative ways to achieve audit objectives. Many IPA firms have developed, at</w:t>
      </w:r>
    </w:p>
    <w:p w14:paraId="0DFDAE0B" w14:textId="77777777" w:rsidR="00046465" w:rsidRDefault="00046465">
      <w:pPr>
        <w:pStyle w:val="ListParagraph"/>
        <w:sectPr w:rsidR="00046465">
          <w:pgSz w:w="12240" w:h="15840"/>
          <w:pgMar w:top="1340" w:right="720" w:bottom="1020" w:left="1080" w:header="721" w:footer="757" w:gutter="0"/>
          <w:cols w:space="720"/>
        </w:sectPr>
      </w:pPr>
    </w:p>
    <w:p w14:paraId="0DFDAE0C" w14:textId="77777777" w:rsidR="00046465" w:rsidRDefault="008134EB">
      <w:pPr>
        <w:pStyle w:val="BodyText"/>
        <w:spacing w:before="121"/>
        <w:ind w:left="1800" w:right="749"/>
      </w:pPr>
      <w:r>
        <w:lastRenderedPageBreak/>
        <w:t>considerable</w:t>
      </w:r>
      <w:r>
        <w:rPr>
          <w:spacing w:val="-4"/>
        </w:rPr>
        <w:t xml:space="preserve"> </w:t>
      </w:r>
      <w:r>
        <w:t>expense,</w:t>
      </w:r>
      <w:r>
        <w:rPr>
          <w:spacing w:val="-5"/>
        </w:rPr>
        <w:t xml:space="preserve"> </w:t>
      </w:r>
      <w:r>
        <w:t>proprietary</w:t>
      </w:r>
      <w:r>
        <w:rPr>
          <w:spacing w:val="-5"/>
        </w:rPr>
        <w:t xml:space="preserve"> </w:t>
      </w:r>
      <w:r>
        <w:t>audit</w:t>
      </w:r>
      <w:r>
        <w:rPr>
          <w:spacing w:val="-4"/>
        </w:rPr>
        <w:t xml:space="preserve"> </w:t>
      </w:r>
      <w:r>
        <w:t>methodologies</w:t>
      </w:r>
      <w:r>
        <w:rPr>
          <w:spacing w:val="-4"/>
        </w:rPr>
        <w:t xml:space="preserve"> </w:t>
      </w:r>
      <w:r>
        <w:t>to</w:t>
      </w:r>
      <w:r>
        <w:rPr>
          <w:spacing w:val="-5"/>
        </w:rPr>
        <w:t xml:space="preserve"> </w:t>
      </w:r>
      <w:r>
        <w:t>use</w:t>
      </w:r>
      <w:r>
        <w:rPr>
          <w:spacing w:val="-4"/>
        </w:rPr>
        <w:t xml:space="preserve"> </w:t>
      </w:r>
      <w:r>
        <w:t>on</w:t>
      </w:r>
      <w:r>
        <w:rPr>
          <w:spacing w:val="-4"/>
        </w:rPr>
        <w:t xml:space="preserve"> </w:t>
      </w:r>
      <w:r>
        <w:t>a</w:t>
      </w:r>
      <w:r>
        <w:rPr>
          <w:spacing w:val="-4"/>
        </w:rPr>
        <w:t xml:space="preserve"> </w:t>
      </w:r>
      <w:r>
        <w:t>wide</w:t>
      </w:r>
      <w:r>
        <w:rPr>
          <w:spacing w:val="-4"/>
        </w:rPr>
        <w:t xml:space="preserve"> </w:t>
      </w:r>
      <w:r>
        <w:t>range</w:t>
      </w:r>
      <w:r>
        <w:rPr>
          <w:spacing w:val="-4"/>
        </w:rPr>
        <w:t xml:space="preserve"> </w:t>
      </w:r>
      <w:r>
        <w:t>of public and private sector clients. Thus, the group engagement team generally should understand the component auditor’s audit methodology and basis for the nature, extent, and timing of audit procedures. This may require obtaining permission to use proprietary software to review the audit documentation.</w:t>
      </w:r>
    </w:p>
    <w:p w14:paraId="0DFDAE0D" w14:textId="77777777" w:rsidR="00046465" w:rsidRDefault="008134EB">
      <w:pPr>
        <w:pStyle w:val="BodyText"/>
        <w:ind w:left="1800" w:right="752"/>
      </w:pPr>
      <w:r>
        <w:t>Additionally,</w:t>
      </w:r>
      <w:r>
        <w:rPr>
          <w:spacing w:val="-5"/>
        </w:rPr>
        <w:t xml:space="preserve"> </w:t>
      </w:r>
      <w:r>
        <w:t>where</w:t>
      </w:r>
      <w:r>
        <w:rPr>
          <w:spacing w:val="-4"/>
        </w:rPr>
        <w:t xml:space="preserve"> </w:t>
      </w:r>
      <w:r>
        <w:t>the</w:t>
      </w:r>
      <w:r>
        <w:rPr>
          <w:spacing w:val="-4"/>
        </w:rPr>
        <w:t xml:space="preserve"> </w:t>
      </w:r>
      <w:r>
        <w:t>IPA</w:t>
      </w:r>
      <w:r>
        <w:rPr>
          <w:spacing w:val="-4"/>
        </w:rPr>
        <w:t xml:space="preserve"> </w:t>
      </w:r>
      <w:r>
        <w:t>firm</w:t>
      </w:r>
      <w:r>
        <w:rPr>
          <w:spacing w:val="-4"/>
        </w:rPr>
        <w:t xml:space="preserve"> </w:t>
      </w:r>
      <w:r>
        <w:t>software</w:t>
      </w:r>
      <w:r>
        <w:rPr>
          <w:spacing w:val="-4"/>
        </w:rPr>
        <w:t xml:space="preserve"> </w:t>
      </w:r>
      <w:r>
        <w:t>is</w:t>
      </w:r>
      <w:r>
        <w:rPr>
          <w:spacing w:val="-4"/>
        </w:rPr>
        <w:t xml:space="preserve"> </w:t>
      </w:r>
      <w:r>
        <w:t>retained,</w:t>
      </w:r>
      <w:r>
        <w:rPr>
          <w:spacing w:val="-4"/>
        </w:rPr>
        <w:t xml:space="preserve"> </w:t>
      </w:r>
      <w:r>
        <w:t>the</w:t>
      </w:r>
      <w:r>
        <w:rPr>
          <w:spacing w:val="-4"/>
        </w:rPr>
        <w:t xml:space="preserve"> </w:t>
      </w:r>
      <w:r>
        <w:t>group</w:t>
      </w:r>
      <w:r>
        <w:rPr>
          <w:spacing w:val="-4"/>
        </w:rPr>
        <w:t xml:space="preserve"> </w:t>
      </w:r>
      <w:r>
        <w:t>engagement</w:t>
      </w:r>
      <w:r>
        <w:rPr>
          <w:spacing w:val="-4"/>
        </w:rPr>
        <w:t xml:space="preserve"> </w:t>
      </w:r>
      <w:r>
        <w:t>team should develop a process to maintain the operability of the software to access</w:t>
      </w:r>
      <w:r>
        <w:rPr>
          <w:spacing w:val="40"/>
        </w:rPr>
        <w:t xml:space="preserve"> </w:t>
      </w:r>
      <w:r>
        <w:t>the audit documentation in the future.</w:t>
      </w:r>
    </w:p>
    <w:p w14:paraId="0DFDAE0E" w14:textId="77777777" w:rsidR="00046465" w:rsidRDefault="008134EB">
      <w:pPr>
        <w:pStyle w:val="BodyText"/>
        <w:spacing w:before="119"/>
        <w:ind w:left="1800" w:right="749"/>
      </w:pPr>
      <w:r>
        <w:t>As</w:t>
      </w:r>
      <w:r>
        <w:rPr>
          <w:spacing w:val="-4"/>
        </w:rPr>
        <w:t xml:space="preserve"> </w:t>
      </w:r>
      <w:r>
        <w:t>noted</w:t>
      </w:r>
      <w:r>
        <w:rPr>
          <w:spacing w:val="-4"/>
        </w:rPr>
        <w:t xml:space="preserve"> </w:t>
      </w:r>
      <w:r>
        <w:t>at</w:t>
      </w:r>
      <w:r>
        <w:rPr>
          <w:spacing w:val="-5"/>
        </w:rPr>
        <w:t xml:space="preserve"> </w:t>
      </w:r>
      <w:r>
        <w:t>FAM</w:t>
      </w:r>
      <w:r>
        <w:rPr>
          <w:spacing w:val="-5"/>
        </w:rPr>
        <w:t xml:space="preserve"> </w:t>
      </w:r>
      <w:r>
        <w:t>630.36.e,</w:t>
      </w:r>
      <w:r>
        <w:rPr>
          <w:spacing w:val="-4"/>
        </w:rPr>
        <w:t xml:space="preserve"> </w:t>
      </w:r>
      <w:r>
        <w:t>the</w:t>
      </w:r>
      <w:r>
        <w:rPr>
          <w:spacing w:val="-4"/>
        </w:rPr>
        <w:t xml:space="preserve"> </w:t>
      </w:r>
      <w:r>
        <w:t>group</w:t>
      </w:r>
      <w:r>
        <w:rPr>
          <w:spacing w:val="-4"/>
        </w:rPr>
        <w:t xml:space="preserve"> </w:t>
      </w:r>
      <w:r>
        <w:t>engagement</w:t>
      </w:r>
      <w:r>
        <w:rPr>
          <w:spacing w:val="-4"/>
        </w:rPr>
        <w:t xml:space="preserve"> </w:t>
      </w:r>
      <w:r>
        <w:t>team</w:t>
      </w:r>
      <w:r>
        <w:rPr>
          <w:spacing w:val="-5"/>
        </w:rPr>
        <w:t xml:space="preserve"> </w:t>
      </w:r>
      <w:r>
        <w:t>should</w:t>
      </w:r>
      <w:r>
        <w:rPr>
          <w:spacing w:val="-4"/>
        </w:rPr>
        <w:t xml:space="preserve"> </w:t>
      </w:r>
      <w:r>
        <w:t>communicate</w:t>
      </w:r>
      <w:r>
        <w:rPr>
          <w:spacing w:val="-4"/>
        </w:rPr>
        <w:t xml:space="preserve"> </w:t>
      </w:r>
      <w:r>
        <w:t>its requirements</w:t>
      </w:r>
      <w:r>
        <w:rPr>
          <w:spacing w:val="-3"/>
        </w:rPr>
        <w:t xml:space="preserve"> </w:t>
      </w:r>
      <w:r>
        <w:t>for</w:t>
      </w:r>
      <w:r>
        <w:rPr>
          <w:spacing w:val="-3"/>
        </w:rPr>
        <w:t xml:space="preserve"> </w:t>
      </w:r>
      <w:r>
        <w:t>a</w:t>
      </w:r>
      <w:r>
        <w:rPr>
          <w:spacing w:val="-3"/>
        </w:rPr>
        <w:t xml:space="preserve"> </w:t>
      </w:r>
      <w:r>
        <w:t>component</w:t>
      </w:r>
      <w:r>
        <w:rPr>
          <w:spacing w:val="-3"/>
        </w:rPr>
        <w:t xml:space="preserve"> </w:t>
      </w:r>
      <w:r>
        <w:t>auditor</w:t>
      </w:r>
      <w:r>
        <w:rPr>
          <w:spacing w:val="-3"/>
        </w:rPr>
        <w:t xml:space="preserve"> </w:t>
      </w:r>
      <w:r>
        <w:t>to</w:t>
      </w:r>
      <w:r>
        <w:rPr>
          <w:spacing w:val="-3"/>
        </w:rPr>
        <w:t xml:space="preserve"> </w:t>
      </w:r>
      <w:r>
        <w:t>communicate</w:t>
      </w:r>
      <w:r>
        <w:rPr>
          <w:spacing w:val="-3"/>
        </w:rPr>
        <w:t xml:space="preserve"> </w:t>
      </w:r>
      <w:r>
        <w:t>any</w:t>
      </w:r>
      <w:r>
        <w:rPr>
          <w:spacing w:val="-4"/>
        </w:rPr>
        <w:t xml:space="preserve"> </w:t>
      </w:r>
      <w:r>
        <w:t>significant</w:t>
      </w:r>
      <w:r>
        <w:rPr>
          <w:spacing w:val="-3"/>
        </w:rPr>
        <w:t xml:space="preserve"> </w:t>
      </w:r>
      <w:r>
        <w:t>deviations in</w:t>
      </w:r>
      <w:r>
        <w:rPr>
          <w:spacing w:val="-1"/>
        </w:rPr>
        <w:t xml:space="preserve"> </w:t>
      </w:r>
      <w:r>
        <w:t>the</w:t>
      </w:r>
      <w:r>
        <w:rPr>
          <w:spacing w:val="-1"/>
        </w:rPr>
        <w:t xml:space="preserve"> </w:t>
      </w:r>
      <w:r>
        <w:t>methodologies</w:t>
      </w:r>
      <w:r>
        <w:rPr>
          <w:spacing w:val="-1"/>
        </w:rPr>
        <w:t xml:space="preserve"> </w:t>
      </w:r>
      <w:r>
        <w:t>or</w:t>
      </w:r>
      <w:r>
        <w:rPr>
          <w:spacing w:val="-3"/>
        </w:rPr>
        <w:t xml:space="preserve"> </w:t>
      </w:r>
      <w:r>
        <w:t>audit</w:t>
      </w:r>
      <w:r>
        <w:rPr>
          <w:spacing w:val="-1"/>
        </w:rPr>
        <w:t xml:space="preserve"> </w:t>
      </w:r>
      <w:r>
        <w:t>approaches</w:t>
      </w:r>
      <w:r>
        <w:rPr>
          <w:spacing w:val="-1"/>
        </w:rPr>
        <w:t xml:space="preserve"> </w:t>
      </w:r>
      <w:r>
        <w:t>used that</w:t>
      </w:r>
      <w:r>
        <w:rPr>
          <w:spacing w:val="-1"/>
        </w:rPr>
        <w:t xml:space="preserve"> </w:t>
      </w:r>
      <w:r>
        <w:t>are</w:t>
      </w:r>
      <w:r>
        <w:rPr>
          <w:spacing w:val="-1"/>
        </w:rPr>
        <w:t xml:space="preserve"> </w:t>
      </w:r>
      <w:r>
        <w:t>different</w:t>
      </w:r>
      <w:r>
        <w:rPr>
          <w:spacing w:val="-1"/>
        </w:rPr>
        <w:t xml:space="preserve"> </w:t>
      </w:r>
      <w:r>
        <w:t>from</w:t>
      </w:r>
      <w:r>
        <w:rPr>
          <w:spacing w:val="-2"/>
        </w:rPr>
        <w:t xml:space="preserve"> </w:t>
      </w:r>
      <w:r>
        <w:t>those</w:t>
      </w:r>
      <w:r>
        <w:rPr>
          <w:spacing w:val="-1"/>
        </w:rPr>
        <w:t xml:space="preserve"> </w:t>
      </w:r>
      <w:r>
        <w:t>that the group engagement team would have used and whether those deviations comply with GAGAS.</w:t>
      </w:r>
    </w:p>
    <w:p w14:paraId="0DFDAE0F" w14:textId="77777777" w:rsidR="00046465" w:rsidRDefault="008134EB">
      <w:pPr>
        <w:pStyle w:val="ListParagraph"/>
        <w:numPr>
          <w:ilvl w:val="0"/>
          <w:numId w:val="217"/>
        </w:numPr>
        <w:tabs>
          <w:tab w:val="left" w:pos="1800"/>
        </w:tabs>
        <w:ind w:right="762"/>
      </w:pPr>
      <w:r>
        <w:t>The group auditor should determine the significance of the test results to the audit</w:t>
      </w:r>
      <w:r>
        <w:rPr>
          <w:spacing w:val="-4"/>
        </w:rPr>
        <w:t xml:space="preserve"> </w:t>
      </w:r>
      <w:r>
        <w:t>of</w:t>
      </w:r>
      <w:r>
        <w:rPr>
          <w:spacing w:val="-4"/>
        </w:rPr>
        <w:t xml:space="preserve"> </w:t>
      </w:r>
      <w:r>
        <w:t>the</w:t>
      </w:r>
      <w:r>
        <w:rPr>
          <w:spacing w:val="-4"/>
        </w:rPr>
        <w:t xml:space="preserve"> </w:t>
      </w:r>
      <w:r>
        <w:t>financial</w:t>
      </w:r>
      <w:r>
        <w:rPr>
          <w:spacing w:val="-5"/>
        </w:rPr>
        <w:t xml:space="preserve"> </w:t>
      </w:r>
      <w:r>
        <w:t>statements</w:t>
      </w:r>
      <w:r>
        <w:rPr>
          <w:spacing w:val="-4"/>
        </w:rPr>
        <w:t xml:space="preserve"> </w:t>
      </w:r>
      <w:r>
        <w:t>on</w:t>
      </w:r>
      <w:r>
        <w:rPr>
          <w:spacing w:val="-4"/>
        </w:rPr>
        <w:t xml:space="preserve"> </w:t>
      </w:r>
      <w:r>
        <w:t>which</w:t>
      </w:r>
      <w:r>
        <w:rPr>
          <w:spacing w:val="-4"/>
        </w:rPr>
        <w:t xml:space="preserve"> </w:t>
      </w:r>
      <w:r>
        <w:t>the</w:t>
      </w:r>
      <w:r>
        <w:rPr>
          <w:spacing w:val="-4"/>
        </w:rPr>
        <w:t xml:space="preserve"> </w:t>
      </w:r>
      <w:r>
        <w:t>component</w:t>
      </w:r>
      <w:r>
        <w:rPr>
          <w:spacing w:val="-4"/>
        </w:rPr>
        <w:t xml:space="preserve"> </w:t>
      </w:r>
      <w:r>
        <w:t>auditor</w:t>
      </w:r>
      <w:r>
        <w:rPr>
          <w:spacing w:val="-4"/>
        </w:rPr>
        <w:t xml:space="preserve"> </w:t>
      </w:r>
      <w:r>
        <w:t>is</w:t>
      </w:r>
      <w:r>
        <w:rPr>
          <w:spacing w:val="-4"/>
        </w:rPr>
        <w:t xml:space="preserve"> </w:t>
      </w:r>
      <w:r>
        <w:t>reporting.</w:t>
      </w:r>
      <w:r>
        <w:rPr>
          <w:spacing w:val="-4"/>
        </w:rPr>
        <w:t xml:space="preserve"> </w:t>
      </w:r>
      <w:r>
        <w:t>For example, the component auditor may have selected a nonstatistical sample or the sample size may be smaller than the sample size the group auditor would have selected. The group auditor may decide that this provides sufficient evidence in an area that is less material or has low or moderate risk of material misstatement. However, if the risk of material misstatement is high, the group auditor may conclude that sufficient appropriate evidence has not been obtained and that additional work is needed.</w:t>
      </w:r>
    </w:p>
    <w:p w14:paraId="0DFDAE10" w14:textId="77777777" w:rsidR="00046465" w:rsidRDefault="008134EB">
      <w:pPr>
        <w:pStyle w:val="BodyText"/>
        <w:spacing w:before="121"/>
        <w:ind w:left="1800" w:right="726"/>
      </w:pPr>
      <w:r>
        <w:t>In this case, after consulting with the group engagement partner, the group engagement team generally should either ask the component auditor to perform additional</w:t>
      </w:r>
      <w:r>
        <w:rPr>
          <w:spacing w:val="-3"/>
        </w:rPr>
        <w:t xml:space="preserve"> </w:t>
      </w:r>
      <w:r>
        <w:t>tests</w:t>
      </w:r>
      <w:r>
        <w:rPr>
          <w:spacing w:val="-3"/>
        </w:rPr>
        <w:t xml:space="preserve"> </w:t>
      </w:r>
      <w:r>
        <w:t>or</w:t>
      </w:r>
      <w:r>
        <w:rPr>
          <w:spacing w:val="-3"/>
        </w:rPr>
        <w:t xml:space="preserve"> </w:t>
      </w:r>
      <w:r>
        <w:t>perform</w:t>
      </w:r>
      <w:r>
        <w:rPr>
          <w:spacing w:val="-4"/>
        </w:rPr>
        <w:t xml:space="preserve"> </w:t>
      </w:r>
      <w:r>
        <w:t>the</w:t>
      </w:r>
      <w:r>
        <w:rPr>
          <w:spacing w:val="-3"/>
        </w:rPr>
        <w:t xml:space="preserve"> </w:t>
      </w:r>
      <w:r>
        <w:t>additional</w:t>
      </w:r>
      <w:r>
        <w:rPr>
          <w:spacing w:val="-3"/>
        </w:rPr>
        <w:t xml:space="preserve"> </w:t>
      </w:r>
      <w:r>
        <w:t>tests</w:t>
      </w:r>
      <w:r>
        <w:rPr>
          <w:spacing w:val="-3"/>
        </w:rPr>
        <w:t xml:space="preserve"> </w:t>
      </w:r>
      <w:r>
        <w:t>itself.</w:t>
      </w:r>
      <w:r>
        <w:rPr>
          <w:spacing w:val="-3"/>
        </w:rPr>
        <w:t xml:space="preserve"> </w:t>
      </w:r>
      <w:r>
        <w:t>If</w:t>
      </w:r>
      <w:r>
        <w:rPr>
          <w:spacing w:val="-3"/>
        </w:rPr>
        <w:t xml:space="preserve"> </w:t>
      </w:r>
      <w:r>
        <w:t>this</w:t>
      </w:r>
      <w:r>
        <w:rPr>
          <w:spacing w:val="-4"/>
        </w:rPr>
        <w:t xml:space="preserve"> </w:t>
      </w:r>
      <w:r>
        <w:t>additional</w:t>
      </w:r>
      <w:r>
        <w:rPr>
          <w:spacing w:val="-3"/>
        </w:rPr>
        <w:t xml:space="preserve"> </w:t>
      </w:r>
      <w:r>
        <w:t>testing</w:t>
      </w:r>
      <w:r>
        <w:rPr>
          <w:spacing w:val="-3"/>
        </w:rPr>
        <w:t xml:space="preserve"> </w:t>
      </w:r>
      <w:r>
        <w:t>is</w:t>
      </w:r>
      <w:r>
        <w:rPr>
          <w:spacing w:val="-3"/>
        </w:rPr>
        <w:t xml:space="preserve"> </w:t>
      </w:r>
      <w:r>
        <w:t>not done, the group engagement team should determine the effect of any scope limitation on the group auditor’s report.</w:t>
      </w:r>
    </w:p>
    <w:p w14:paraId="0DFDAE11" w14:textId="77777777" w:rsidR="00046465" w:rsidRDefault="008134EB">
      <w:pPr>
        <w:pStyle w:val="ListParagraph"/>
        <w:numPr>
          <w:ilvl w:val="0"/>
          <w:numId w:val="217"/>
        </w:numPr>
        <w:tabs>
          <w:tab w:val="left" w:pos="1800"/>
        </w:tabs>
        <w:ind w:right="983"/>
      </w:pPr>
      <w:r>
        <w:t>Sometimes,</w:t>
      </w:r>
      <w:r>
        <w:rPr>
          <w:spacing w:val="-3"/>
        </w:rPr>
        <w:t xml:space="preserve"> </w:t>
      </w:r>
      <w:r>
        <w:t>the</w:t>
      </w:r>
      <w:r>
        <w:rPr>
          <w:spacing w:val="-4"/>
        </w:rPr>
        <w:t xml:space="preserve"> </w:t>
      </w:r>
      <w:r>
        <w:t>group</w:t>
      </w:r>
      <w:r>
        <w:rPr>
          <w:spacing w:val="-4"/>
        </w:rPr>
        <w:t xml:space="preserve"> </w:t>
      </w:r>
      <w:r>
        <w:t>engagement</w:t>
      </w:r>
      <w:r>
        <w:rPr>
          <w:spacing w:val="-4"/>
        </w:rPr>
        <w:t xml:space="preserve"> </w:t>
      </w:r>
      <w:r>
        <w:t>team</w:t>
      </w:r>
      <w:r>
        <w:rPr>
          <w:spacing w:val="-5"/>
        </w:rPr>
        <w:t xml:space="preserve"> </w:t>
      </w:r>
      <w:r>
        <w:t>may</w:t>
      </w:r>
      <w:r>
        <w:rPr>
          <w:spacing w:val="-4"/>
        </w:rPr>
        <w:t xml:space="preserve"> </w:t>
      </w:r>
      <w:r>
        <w:t>disagree</w:t>
      </w:r>
      <w:r>
        <w:rPr>
          <w:spacing w:val="-4"/>
        </w:rPr>
        <w:t xml:space="preserve"> </w:t>
      </w:r>
      <w:r>
        <w:t>with</w:t>
      </w:r>
      <w:r>
        <w:rPr>
          <w:spacing w:val="-5"/>
        </w:rPr>
        <w:t xml:space="preserve"> </w:t>
      </w:r>
      <w:r>
        <w:t>the</w:t>
      </w:r>
      <w:r>
        <w:rPr>
          <w:spacing w:val="-4"/>
        </w:rPr>
        <w:t xml:space="preserve"> </w:t>
      </w:r>
      <w:r>
        <w:t>conclusions</w:t>
      </w:r>
      <w:r>
        <w:rPr>
          <w:spacing w:val="-4"/>
        </w:rPr>
        <w:t xml:space="preserve"> </w:t>
      </w:r>
      <w:r>
        <w:t>or judgments of the component auditors. In such a case, the group engagement team should evaluate the component auditor’s work as well as any other evidence or testing necessary to determine the appropriate conclusion.</w:t>
      </w:r>
    </w:p>
    <w:p w14:paraId="0DFDAE12" w14:textId="77777777" w:rsidR="00046465" w:rsidRDefault="008134EB">
      <w:pPr>
        <w:pStyle w:val="ListParagraph"/>
        <w:numPr>
          <w:ilvl w:val="0"/>
          <w:numId w:val="217"/>
        </w:numPr>
        <w:tabs>
          <w:tab w:val="left" w:pos="1800"/>
        </w:tabs>
        <w:ind w:right="738"/>
      </w:pPr>
      <w:r>
        <w:t>The</w:t>
      </w:r>
      <w:r>
        <w:rPr>
          <w:spacing w:val="-4"/>
        </w:rPr>
        <w:t xml:space="preserve"> </w:t>
      </w:r>
      <w:r>
        <w:t>group</w:t>
      </w:r>
      <w:r>
        <w:rPr>
          <w:spacing w:val="-4"/>
        </w:rPr>
        <w:t xml:space="preserve"> </w:t>
      </w:r>
      <w:r>
        <w:t>engagement</w:t>
      </w:r>
      <w:r>
        <w:rPr>
          <w:spacing w:val="-4"/>
        </w:rPr>
        <w:t xml:space="preserve"> </w:t>
      </w:r>
      <w:r>
        <w:t>team</w:t>
      </w:r>
      <w:r>
        <w:rPr>
          <w:spacing w:val="-5"/>
        </w:rPr>
        <w:t xml:space="preserve"> </w:t>
      </w:r>
      <w:r>
        <w:t>should</w:t>
      </w:r>
      <w:r>
        <w:rPr>
          <w:spacing w:val="-4"/>
        </w:rPr>
        <w:t xml:space="preserve"> </w:t>
      </w:r>
      <w:r>
        <w:t>discuss</w:t>
      </w:r>
      <w:r>
        <w:rPr>
          <w:spacing w:val="-4"/>
        </w:rPr>
        <w:t xml:space="preserve"> </w:t>
      </w:r>
      <w:r>
        <w:t>any</w:t>
      </w:r>
      <w:r>
        <w:rPr>
          <w:spacing w:val="-5"/>
        </w:rPr>
        <w:t xml:space="preserve"> </w:t>
      </w:r>
      <w:r>
        <w:t>issues</w:t>
      </w:r>
      <w:r>
        <w:rPr>
          <w:spacing w:val="-4"/>
        </w:rPr>
        <w:t xml:space="preserve"> </w:t>
      </w:r>
      <w:r>
        <w:t>of</w:t>
      </w:r>
      <w:r>
        <w:rPr>
          <w:spacing w:val="-4"/>
        </w:rPr>
        <w:t xml:space="preserve"> </w:t>
      </w:r>
      <w:r>
        <w:t>disagreement</w:t>
      </w:r>
      <w:r>
        <w:rPr>
          <w:spacing w:val="-4"/>
        </w:rPr>
        <w:t xml:space="preserve"> </w:t>
      </w:r>
      <w:r>
        <w:t>with</w:t>
      </w:r>
      <w:r>
        <w:rPr>
          <w:spacing w:val="-4"/>
        </w:rPr>
        <w:t xml:space="preserve"> </w:t>
      </w:r>
      <w:r>
        <w:t>the component auditors to attempt to resolve the disagreements. The group engagement team should attempt to resolve professional disagreements early to reduce confusion that may arise from differing auditor views. Once issues of disagreements are identified, the group engagement team should discuss the issues with the component auditors to resolve them in a timely manner and before the completion of the audit.</w:t>
      </w:r>
    </w:p>
    <w:p w14:paraId="0DFDAE13" w14:textId="77777777" w:rsidR="00046465" w:rsidRDefault="008134EB">
      <w:pPr>
        <w:pStyle w:val="ListParagraph"/>
        <w:numPr>
          <w:ilvl w:val="0"/>
          <w:numId w:val="217"/>
        </w:numPr>
        <w:tabs>
          <w:tab w:val="left" w:pos="1800"/>
        </w:tabs>
        <w:ind w:right="1092"/>
      </w:pPr>
      <w:r>
        <w:t>If</w:t>
      </w:r>
      <w:r>
        <w:rPr>
          <w:spacing w:val="-4"/>
        </w:rPr>
        <w:t xml:space="preserve"> </w:t>
      </w:r>
      <w:r>
        <w:t>the</w:t>
      </w:r>
      <w:r>
        <w:rPr>
          <w:spacing w:val="-4"/>
        </w:rPr>
        <w:t xml:space="preserve"> </w:t>
      </w:r>
      <w:r>
        <w:t>group</w:t>
      </w:r>
      <w:r>
        <w:rPr>
          <w:spacing w:val="-5"/>
        </w:rPr>
        <w:t xml:space="preserve"> </w:t>
      </w:r>
      <w:r>
        <w:t>engagement</w:t>
      </w:r>
      <w:r>
        <w:rPr>
          <w:spacing w:val="-4"/>
        </w:rPr>
        <w:t xml:space="preserve"> </w:t>
      </w:r>
      <w:r>
        <w:t>team</w:t>
      </w:r>
      <w:r>
        <w:rPr>
          <w:spacing w:val="-5"/>
        </w:rPr>
        <w:t xml:space="preserve"> </w:t>
      </w:r>
      <w:r>
        <w:t>does</w:t>
      </w:r>
      <w:r>
        <w:rPr>
          <w:spacing w:val="-4"/>
        </w:rPr>
        <w:t xml:space="preserve"> </w:t>
      </w:r>
      <w:r>
        <w:t>not</w:t>
      </w:r>
      <w:r>
        <w:rPr>
          <w:spacing w:val="-4"/>
        </w:rPr>
        <w:t xml:space="preserve"> </w:t>
      </w:r>
      <w:r>
        <w:t>reach</w:t>
      </w:r>
      <w:r>
        <w:rPr>
          <w:spacing w:val="-4"/>
        </w:rPr>
        <w:t xml:space="preserve"> </w:t>
      </w:r>
      <w:r>
        <w:t>agreement</w:t>
      </w:r>
      <w:r>
        <w:rPr>
          <w:spacing w:val="-4"/>
        </w:rPr>
        <w:t xml:space="preserve"> </w:t>
      </w:r>
      <w:r>
        <w:t>with</w:t>
      </w:r>
      <w:r>
        <w:rPr>
          <w:spacing w:val="-4"/>
        </w:rPr>
        <w:t xml:space="preserve"> </w:t>
      </w:r>
      <w:r>
        <w:t>the</w:t>
      </w:r>
      <w:r>
        <w:rPr>
          <w:spacing w:val="-4"/>
        </w:rPr>
        <w:t xml:space="preserve"> </w:t>
      </w:r>
      <w:r>
        <w:t>component auditors, the group engagement team should determine the impact that such disagreement may have on its audit report.</w:t>
      </w:r>
    </w:p>
    <w:p w14:paraId="0DFDAE14" w14:textId="77777777" w:rsidR="00046465" w:rsidRDefault="008134EB">
      <w:pPr>
        <w:pStyle w:val="ListParagraph"/>
        <w:numPr>
          <w:ilvl w:val="0"/>
          <w:numId w:val="217"/>
        </w:numPr>
        <w:tabs>
          <w:tab w:val="left" w:pos="1800"/>
        </w:tabs>
        <w:ind w:right="724"/>
      </w:pPr>
      <w:r>
        <w:t>The group engagement partner should evaluate the effect on the group audit opinion of any uncorrected misstatements (either identified by the group engagement team or communicated by component auditors) and any instances</w:t>
      </w:r>
      <w:r>
        <w:rPr>
          <w:spacing w:val="40"/>
        </w:rPr>
        <w:t xml:space="preserve"> </w:t>
      </w:r>
      <w:r>
        <w:t>in</w:t>
      </w:r>
      <w:r>
        <w:rPr>
          <w:spacing w:val="-3"/>
        </w:rPr>
        <w:t xml:space="preserve"> </w:t>
      </w:r>
      <w:r>
        <w:t>which</w:t>
      </w:r>
      <w:r>
        <w:rPr>
          <w:spacing w:val="-3"/>
        </w:rPr>
        <w:t xml:space="preserve"> </w:t>
      </w:r>
      <w:r>
        <w:t>there</w:t>
      </w:r>
      <w:r>
        <w:rPr>
          <w:spacing w:val="-3"/>
        </w:rPr>
        <w:t xml:space="preserve"> </w:t>
      </w:r>
      <w:r>
        <w:t>has</w:t>
      </w:r>
      <w:r>
        <w:rPr>
          <w:spacing w:val="-3"/>
        </w:rPr>
        <w:t xml:space="preserve"> </w:t>
      </w:r>
      <w:r>
        <w:t>been</w:t>
      </w:r>
      <w:r>
        <w:rPr>
          <w:spacing w:val="-4"/>
        </w:rPr>
        <w:t xml:space="preserve"> </w:t>
      </w:r>
      <w:r>
        <w:t>an</w:t>
      </w:r>
      <w:r>
        <w:rPr>
          <w:spacing w:val="-3"/>
        </w:rPr>
        <w:t xml:space="preserve"> </w:t>
      </w:r>
      <w:r>
        <w:t>inability</w:t>
      </w:r>
      <w:r>
        <w:rPr>
          <w:spacing w:val="-3"/>
        </w:rPr>
        <w:t xml:space="preserve"> </w:t>
      </w:r>
      <w:r>
        <w:t>to</w:t>
      </w:r>
      <w:r>
        <w:rPr>
          <w:spacing w:val="-3"/>
        </w:rPr>
        <w:t xml:space="preserve"> </w:t>
      </w:r>
      <w:r>
        <w:t>obtain</w:t>
      </w:r>
      <w:r>
        <w:rPr>
          <w:spacing w:val="-3"/>
        </w:rPr>
        <w:t xml:space="preserve"> </w:t>
      </w:r>
      <w:r>
        <w:t>sufficient</w:t>
      </w:r>
      <w:r>
        <w:rPr>
          <w:spacing w:val="-3"/>
        </w:rPr>
        <w:t xml:space="preserve"> </w:t>
      </w:r>
      <w:r>
        <w:t>appropriate</w:t>
      </w:r>
      <w:r>
        <w:rPr>
          <w:spacing w:val="-3"/>
        </w:rPr>
        <w:t xml:space="preserve"> </w:t>
      </w:r>
      <w:r>
        <w:t>audit</w:t>
      </w:r>
      <w:r>
        <w:rPr>
          <w:spacing w:val="-4"/>
        </w:rPr>
        <w:t xml:space="preserve"> </w:t>
      </w:r>
      <w:r>
        <w:t>evidence (AU-C 600A.45).</w:t>
      </w:r>
    </w:p>
    <w:p w14:paraId="0DFDAE15" w14:textId="77777777" w:rsidR="00046465" w:rsidRDefault="008134EB">
      <w:pPr>
        <w:pStyle w:val="ListParagraph"/>
        <w:numPr>
          <w:ilvl w:val="0"/>
          <w:numId w:val="217"/>
        </w:numPr>
        <w:tabs>
          <w:tab w:val="left" w:pos="1800"/>
        </w:tabs>
        <w:spacing w:before="119"/>
        <w:ind w:right="835"/>
      </w:pPr>
      <w:r>
        <w:t>If</w:t>
      </w:r>
      <w:r>
        <w:rPr>
          <w:spacing w:val="-4"/>
        </w:rPr>
        <w:t xml:space="preserve"> </w:t>
      </w:r>
      <w:r>
        <w:t>a</w:t>
      </w:r>
      <w:r>
        <w:rPr>
          <w:spacing w:val="-4"/>
        </w:rPr>
        <w:t xml:space="preserve"> </w:t>
      </w:r>
      <w:r>
        <w:t>component</w:t>
      </w:r>
      <w:r>
        <w:rPr>
          <w:spacing w:val="-4"/>
        </w:rPr>
        <w:t xml:space="preserve"> </w:t>
      </w:r>
      <w:r>
        <w:t>auditor</w:t>
      </w:r>
      <w:r>
        <w:rPr>
          <w:spacing w:val="-4"/>
        </w:rPr>
        <w:t xml:space="preserve"> </w:t>
      </w:r>
      <w:r>
        <w:t>disclaims</w:t>
      </w:r>
      <w:r>
        <w:rPr>
          <w:spacing w:val="-4"/>
        </w:rPr>
        <w:t xml:space="preserve"> </w:t>
      </w:r>
      <w:r>
        <w:t>an</w:t>
      </w:r>
      <w:r>
        <w:rPr>
          <w:spacing w:val="-4"/>
        </w:rPr>
        <w:t xml:space="preserve"> </w:t>
      </w:r>
      <w:r>
        <w:t>opinion</w:t>
      </w:r>
      <w:r>
        <w:rPr>
          <w:spacing w:val="-4"/>
        </w:rPr>
        <w:t xml:space="preserve"> </w:t>
      </w:r>
      <w:r>
        <w:t>on</w:t>
      </w:r>
      <w:r>
        <w:rPr>
          <w:spacing w:val="-4"/>
        </w:rPr>
        <w:t xml:space="preserve"> </w:t>
      </w:r>
      <w:r>
        <w:t>the</w:t>
      </w:r>
      <w:r>
        <w:rPr>
          <w:spacing w:val="-4"/>
        </w:rPr>
        <w:t xml:space="preserve"> </w:t>
      </w:r>
      <w:r>
        <w:t>financial</w:t>
      </w:r>
      <w:r>
        <w:rPr>
          <w:spacing w:val="-5"/>
        </w:rPr>
        <w:t xml:space="preserve"> </w:t>
      </w:r>
      <w:r>
        <w:t>statements</w:t>
      </w:r>
      <w:r>
        <w:rPr>
          <w:spacing w:val="-4"/>
        </w:rPr>
        <w:t xml:space="preserve"> </w:t>
      </w:r>
      <w:r>
        <w:t>because of a scope limitation, the group engagement team should consider the effect on</w:t>
      </w:r>
    </w:p>
    <w:p w14:paraId="0DFDAE16" w14:textId="77777777" w:rsidR="00046465" w:rsidRDefault="00046465">
      <w:pPr>
        <w:pStyle w:val="ListParagraph"/>
        <w:sectPr w:rsidR="00046465">
          <w:pgSz w:w="12240" w:h="15840"/>
          <w:pgMar w:top="1340" w:right="720" w:bottom="1020" w:left="1080" w:header="721" w:footer="757" w:gutter="0"/>
          <w:cols w:space="720"/>
        </w:sectPr>
      </w:pPr>
    </w:p>
    <w:p w14:paraId="0DFDAE17" w14:textId="77777777" w:rsidR="00046465" w:rsidRDefault="008134EB">
      <w:pPr>
        <w:pStyle w:val="BodyText"/>
        <w:spacing w:before="121"/>
        <w:ind w:left="1800" w:right="749"/>
      </w:pPr>
      <w:r>
        <w:lastRenderedPageBreak/>
        <w:t>the group auditor’s opinion. The group engagement team should confirm the nature and magnitude of the reason for the disclaimer. Additionally, the group engagement</w:t>
      </w:r>
      <w:r>
        <w:rPr>
          <w:spacing w:val="-5"/>
        </w:rPr>
        <w:t xml:space="preserve"> </w:t>
      </w:r>
      <w:r>
        <w:t>team</w:t>
      </w:r>
      <w:r>
        <w:rPr>
          <w:spacing w:val="-6"/>
        </w:rPr>
        <w:t xml:space="preserve"> </w:t>
      </w:r>
      <w:r>
        <w:t>generally</w:t>
      </w:r>
      <w:r>
        <w:rPr>
          <w:spacing w:val="-5"/>
        </w:rPr>
        <w:t xml:space="preserve"> </w:t>
      </w:r>
      <w:r>
        <w:t>need</w:t>
      </w:r>
      <w:r>
        <w:rPr>
          <w:spacing w:val="-5"/>
        </w:rPr>
        <w:t xml:space="preserve"> </w:t>
      </w:r>
      <w:r>
        <w:t>not</w:t>
      </w:r>
      <w:r>
        <w:rPr>
          <w:spacing w:val="-5"/>
        </w:rPr>
        <w:t xml:space="preserve"> </w:t>
      </w:r>
      <w:r>
        <w:t>hold</w:t>
      </w:r>
      <w:r>
        <w:rPr>
          <w:spacing w:val="-5"/>
        </w:rPr>
        <w:t xml:space="preserve"> </w:t>
      </w:r>
      <w:r>
        <w:t>discussions</w:t>
      </w:r>
      <w:r>
        <w:rPr>
          <w:spacing w:val="-5"/>
        </w:rPr>
        <w:t xml:space="preserve"> </w:t>
      </w:r>
      <w:r>
        <w:t>with</w:t>
      </w:r>
      <w:r>
        <w:rPr>
          <w:spacing w:val="-5"/>
        </w:rPr>
        <w:t xml:space="preserve"> </w:t>
      </w:r>
      <w:r>
        <w:t>entity</w:t>
      </w:r>
      <w:r>
        <w:rPr>
          <w:spacing w:val="-5"/>
        </w:rPr>
        <w:t xml:space="preserve"> </w:t>
      </w:r>
      <w:r>
        <w:t>management and/or perform additional audit procedures in this situation, and may limit the review of documentation to summary documentation. However, the group engagement team may do additional work to learn about the entity, to help the component auditor plan future audits, or to help entity management correct the causes of the scope limitation.</w:t>
      </w:r>
    </w:p>
    <w:p w14:paraId="0DFDAE18" w14:textId="77777777" w:rsidR="00046465" w:rsidRDefault="008134EB">
      <w:pPr>
        <w:pStyle w:val="ListParagraph"/>
        <w:numPr>
          <w:ilvl w:val="0"/>
          <w:numId w:val="217"/>
        </w:numPr>
        <w:tabs>
          <w:tab w:val="left" w:pos="1800"/>
        </w:tabs>
        <w:spacing w:before="119"/>
        <w:ind w:right="739"/>
      </w:pPr>
      <w:r>
        <w:t>If the component auditor’s work had a scope limitation that results in a qualified opinion,</w:t>
      </w:r>
      <w:r>
        <w:rPr>
          <w:spacing w:val="-4"/>
        </w:rPr>
        <w:t xml:space="preserve"> </w:t>
      </w:r>
      <w:r>
        <w:t>the</w:t>
      </w:r>
      <w:r>
        <w:rPr>
          <w:spacing w:val="-5"/>
        </w:rPr>
        <w:t xml:space="preserve"> </w:t>
      </w:r>
      <w:r>
        <w:t>group</w:t>
      </w:r>
      <w:r>
        <w:rPr>
          <w:spacing w:val="-4"/>
        </w:rPr>
        <w:t xml:space="preserve"> </w:t>
      </w:r>
      <w:r>
        <w:t>engagement</w:t>
      </w:r>
      <w:r>
        <w:rPr>
          <w:spacing w:val="-4"/>
        </w:rPr>
        <w:t xml:space="preserve"> </w:t>
      </w:r>
      <w:r>
        <w:t>team</w:t>
      </w:r>
      <w:r>
        <w:rPr>
          <w:spacing w:val="-5"/>
        </w:rPr>
        <w:t xml:space="preserve"> </w:t>
      </w:r>
      <w:r>
        <w:t>should</w:t>
      </w:r>
      <w:r>
        <w:rPr>
          <w:spacing w:val="-4"/>
        </w:rPr>
        <w:t xml:space="preserve"> </w:t>
      </w:r>
      <w:r>
        <w:t>confirm</w:t>
      </w:r>
      <w:r>
        <w:rPr>
          <w:spacing w:val="-5"/>
        </w:rPr>
        <w:t xml:space="preserve"> </w:t>
      </w:r>
      <w:r>
        <w:t>the</w:t>
      </w:r>
      <w:r>
        <w:rPr>
          <w:spacing w:val="-4"/>
        </w:rPr>
        <w:t xml:space="preserve"> </w:t>
      </w:r>
      <w:r>
        <w:t>nature</w:t>
      </w:r>
      <w:r>
        <w:rPr>
          <w:spacing w:val="-4"/>
        </w:rPr>
        <w:t xml:space="preserve"> </w:t>
      </w:r>
      <w:r>
        <w:t>and</w:t>
      </w:r>
      <w:r>
        <w:rPr>
          <w:spacing w:val="-4"/>
        </w:rPr>
        <w:t xml:space="preserve"> </w:t>
      </w:r>
      <w:r>
        <w:t>magnitude</w:t>
      </w:r>
      <w:r>
        <w:rPr>
          <w:spacing w:val="-4"/>
        </w:rPr>
        <w:t xml:space="preserve"> </w:t>
      </w:r>
      <w:r>
        <w:t xml:space="preserve">of the reason for the qualification and determine the effect on the group auditor’s </w:t>
      </w:r>
      <w:r>
        <w:rPr>
          <w:spacing w:val="-2"/>
        </w:rPr>
        <w:t>opinion.</w:t>
      </w:r>
    </w:p>
    <w:p w14:paraId="0DFDAE19" w14:textId="77777777" w:rsidR="00046465" w:rsidRDefault="008134EB">
      <w:pPr>
        <w:pStyle w:val="Heading4"/>
      </w:pPr>
      <w:r>
        <w:t>Communication</w:t>
      </w:r>
      <w:r>
        <w:rPr>
          <w:spacing w:val="-7"/>
        </w:rPr>
        <w:t xml:space="preserve"> </w:t>
      </w:r>
      <w:r>
        <w:t>with</w:t>
      </w:r>
      <w:r>
        <w:rPr>
          <w:spacing w:val="-7"/>
        </w:rPr>
        <w:t xml:space="preserve"> </w:t>
      </w:r>
      <w:r>
        <w:t>Group</w:t>
      </w:r>
      <w:r>
        <w:rPr>
          <w:spacing w:val="-7"/>
        </w:rPr>
        <w:t xml:space="preserve"> </w:t>
      </w:r>
      <w:r>
        <w:t>Management</w:t>
      </w:r>
      <w:r>
        <w:rPr>
          <w:spacing w:val="-6"/>
        </w:rPr>
        <w:t xml:space="preserve"> </w:t>
      </w:r>
      <w:r>
        <w:t>and</w:t>
      </w:r>
      <w:r>
        <w:rPr>
          <w:spacing w:val="-7"/>
        </w:rPr>
        <w:t xml:space="preserve"> </w:t>
      </w:r>
      <w:r>
        <w:t>Those</w:t>
      </w:r>
      <w:r>
        <w:rPr>
          <w:spacing w:val="-6"/>
        </w:rPr>
        <w:t xml:space="preserve"> </w:t>
      </w:r>
      <w:r>
        <w:t>Charged</w:t>
      </w:r>
      <w:r>
        <w:rPr>
          <w:spacing w:val="-7"/>
        </w:rPr>
        <w:t xml:space="preserve"> </w:t>
      </w:r>
      <w:r>
        <w:t xml:space="preserve">with </w:t>
      </w:r>
      <w:r>
        <w:rPr>
          <w:spacing w:val="-2"/>
        </w:rPr>
        <w:t>Governance</w:t>
      </w:r>
    </w:p>
    <w:p w14:paraId="0DFDAE1A" w14:textId="77777777" w:rsidR="00046465" w:rsidRDefault="008134EB">
      <w:pPr>
        <w:pStyle w:val="ListParagraph"/>
        <w:numPr>
          <w:ilvl w:val="0"/>
          <w:numId w:val="217"/>
        </w:numPr>
        <w:tabs>
          <w:tab w:val="left" w:pos="1800"/>
        </w:tabs>
        <w:spacing w:before="119"/>
        <w:ind w:right="763"/>
      </w:pPr>
      <w:r>
        <w:t>The group engagement team should communicate to group management and those</w:t>
      </w:r>
      <w:r>
        <w:rPr>
          <w:spacing w:val="-4"/>
        </w:rPr>
        <w:t xml:space="preserve"> </w:t>
      </w:r>
      <w:r>
        <w:t>charged</w:t>
      </w:r>
      <w:r>
        <w:rPr>
          <w:spacing w:val="-4"/>
        </w:rPr>
        <w:t xml:space="preserve"> </w:t>
      </w:r>
      <w:r>
        <w:t>with</w:t>
      </w:r>
      <w:r>
        <w:rPr>
          <w:spacing w:val="-4"/>
        </w:rPr>
        <w:t xml:space="preserve"> </w:t>
      </w:r>
      <w:r>
        <w:t>governance</w:t>
      </w:r>
      <w:r>
        <w:rPr>
          <w:spacing w:val="-4"/>
        </w:rPr>
        <w:t xml:space="preserve"> </w:t>
      </w:r>
      <w:r>
        <w:t>of</w:t>
      </w:r>
      <w:r>
        <w:rPr>
          <w:spacing w:val="-4"/>
        </w:rPr>
        <w:t xml:space="preserve"> </w:t>
      </w:r>
      <w:r>
        <w:t>the</w:t>
      </w:r>
      <w:r>
        <w:rPr>
          <w:spacing w:val="-4"/>
        </w:rPr>
        <w:t xml:space="preserve"> </w:t>
      </w:r>
      <w:r>
        <w:t>group</w:t>
      </w:r>
      <w:r>
        <w:rPr>
          <w:spacing w:val="-4"/>
        </w:rPr>
        <w:t xml:space="preserve"> </w:t>
      </w:r>
      <w:r>
        <w:t>material</w:t>
      </w:r>
      <w:r>
        <w:rPr>
          <w:spacing w:val="-4"/>
        </w:rPr>
        <w:t xml:space="preserve"> </w:t>
      </w:r>
      <w:r>
        <w:t>weaknesses</w:t>
      </w:r>
      <w:r>
        <w:rPr>
          <w:spacing w:val="-4"/>
        </w:rPr>
        <w:t xml:space="preserve"> </w:t>
      </w:r>
      <w:r>
        <w:t>and</w:t>
      </w:r>
      <w:r>
        <w:rPr>
          <w:spacing w:val="-5"/>
        </w:rPr>
        <w:t xml:space="preserve"> </w:t>
      </w:r>
      <w:r>
        <w:t>significant deficiencies in internal control that are relevant to the group (either identified by the group engagement team or brought to its attention by a component auditor during the audit) (AU-C 600A.46).</w:t>
      </w:r>
    </w:p>
    <w:p w14:paraId="0DFDAE1B" w14:textId="77777777" w:rsidR="00046465" w:rsidRDefault="008134EB">
      <w:pPr>
        <w:pStyle w:val="ListParagraph"/>
        <w:numPr>
          <w:ilvl w:val="0"/>
          <w:numId w:val="217"/>
        </w:numPr>
        <w:tabs>
          <w:tab w:val="left" w:pos="1800"/>
        </w:tabs>
        <w:ind w:right="863"/>
      </w:pPr>
      <w:r>
        <w:t>If fraud has been identified by the group engagement team or brought to its attention by a component auditor or if information indicates that a fraud may exist,</w:t>
      </w:r>
      <w:r>
        <w:rPr>
          <w:spacing w:val="-3"/>
        </w:rPr>
        <w:t xml:space="preserve"> </w:t>
      </w:r>
      <w:r>
        <w:t>the</w:t>
      </w:r>
      <w:r>
        <w:rPr>
          <w:spacing w:val="-3"/>
        </w:rPr>
        <w:t xml:space="preserve"> </w:t>
      </w:r>
      <w:r>
        <w:t>group</w:t>
      </w:r>
      <w:r>
        <w:rPr>
          <w:spacing w:val="-3"/>
        </w:rPr>
        <w:t xml:space="preserve"> </w:t>
      </w:r>
      <w:r>
        <w:t>engagement</w:t>
      </w:r>
      <w:r>
        <w:rPr>
          <w:spacing w:val="-3"/>
        </w:rPr>
        <w:t xml:space="preserve"> </w:t>
      </w:r>
      <w:r>
        <w:t>team</w:t>
      </w:r>
      <w:r>
        <w:rPr>
          <w:spacing w:val="-4"/>
        </w:rPr>
        <w:t xml:space="preserve"> </w:t>
      </w:r>
      <w:r>
        <w:t>should</w:t>
      </w:r>
      <w:r>
        <w:rPr>
          <w:spacing w:val="-3"/>
        </w:rPr>
        <w:t xml:space="preserve"> </w:t>
      </w:r>
      <w:r>
        <w:t>communicate</w:t>
      </w:r>
      <w:r>
        <w:rPr>
          <w:spacing w:val="-3"/>
        </w:rPr>
        <w:t xml:space="preserve"> </w:t>
      </w:r>
      <w:r>
        <w:t>this</w:t>
      </w:r>
      <w:r>
        <w:rPr>
          <w:spacing w:val="-4"/>
        </w:rPr>
        <w:t xml:space="preserve"> </w:t>
      </w:r>
      <w:r>
        <w:t>on</w:t>
      </w:r>
      <w:r>
        <w:rPr>
          <w:spacing w:val="-3"/>
        </w:rPr>
        <w:t xml:space="preserve"> </w:t>
      </w:r>
      <w:r>
        <w:t>a</w:t>
      </w:r>
      <w:r>
        <w:rPr>
          <w:spacing w:val="-3"/>
        </w:rPr>
        <w:t xml:space="preserve"> </w:t>
      </w:r>
      <w:r>
        <w:t>timely</w:t>
      </w:r>
      <w:r>
        <w:rPr>
          <w:spacing w:val="-4"/>
        </w:rPr>
        <w:t xml:space="preserve"> </w:t>
      </w:r>
      <w:r>
        <w:t>basis</w:t>
      </w:r>
      <w:r>
        <w:rPr>
          <w:spacing w:val="-3"/>
        </w:rPr>
        <w:t xml:space="preserve"> </w:t>
      </w:r>
      <w:r>
        <w:t>to the</w:t>
      </w:r>
      <w:r>
        <w:rPr>
          <w:spacing w:val="-4"/>
        </w:rPr>
        <w:t xml:space="preserve"> </w:t>
      </w:r>
      <w:r>
        <w:t>appropriate</w:t>
      </w:r>
      <w:r>
        <w:rPr>
          <w:spacing w:val="-4"/>
        </w:rPr>
        <w:t xml:space="preserve"> </w:t>
      </w:r>
      <w:r>
        <w:t>level</w:t>
      </w:r>
      <w:r>
        <w:rPr>
          <w:spacing w:val="-4"/>
        </w:rPr>
        <w:t xml:space="preserve"> </w:t>
      </w:r>
      <w:r>
        <w:t>of</w:t>
      </w:r>
      <w:r>
        <w:rPr>
          <w:spacing w:val="-5"/>
        </w:rPr>
        <w:t xml:space="preserve"> </w:t>
      </w:r>
      <w:r>
        <w:t>group</w:t>
      </w:r>
      <w:r>
        <w:rPr>
          <w:spacing w:val="-4"/>
        </w:rPr>
        <w:t xml:space="preserve"> </w:t>
      </w:r>
      <w:r>
        <w:t>management</w:t>
      </w:r>
      <w:r>
        <w:rPr>
          <w:spacing w:val="-4"/>
        </w:rPr>
        <w:t xml:space="preserve"> </w:t>
      </w:r>
      <w:r>
        <w:t>in</w:t>
      </w:r>
      <w:r>
        <w:rPr>
          <w:spacing w:val="-4"/>
        </w:rPr>
        <w:t xml:space="preserve"> </w:t>
      </w:r>
      <w:r>
        <w:t>order</w:t>
      </w:r>
      <w:r>
        <w:rPr>
          <w:spacing w:val="-4"/>
        </w:rPr>
        <w:t xml:space="preserve"> </w:t>
      </w:r>
      <w:r>
        <w:t>to</w:t>
      </w:r>
      <w:r>
        <w:rPr>
          <w:spacing w:val="-4"/>
        </w:rPr>
        <w:t xml:space="preserve"> </w:t>
      </w:r>
      <w:r>
        <w:t>inform</w:t>
      </w:r>
      <w:r>
        <w:rPr>
          <w:spacing w:val="-5"/>
        </w:rPr>
        <w:t xml:space="preserve"> </w:t>
      </w:r>
      <w:r>
        <w:t>those</w:t>
      </w:r>
      <w:r>
        <w:rPr>
          <w:spacing w:val="-4"/>
        </w:rPr>
        <w:t xml:space="preserve"> </w:t>
      </w:r>
      <w:r>
        <w:t>with</w:t>
      </w:r>
      <w:r>
        <w:rPr>
          <w:spacing w:val="-4"/>
        </w:rPr>
        <w:t xml:space="preserve"> </w:t>
      </w:r>
      <w:r>
        <w:t>primary responsibility for preventing and detecting fraud of matters relevant to their responsibilities (AU-C 600A.47).</w:t>
      </w:r>
    </w:p>
    <w:p w14:paraId="0DFDAE1C" w14:textId="77777777" w:rsidR="00046465" w:rsidRDefault="008134EB">
      <w:pPr>
        <w:pStyle w:val="ListParagraph"/>
        <w:numPr>
          <w:ilvl w:val="0"/>
          <w:numId w:val="217"/>
        </w:numPr>
        <w:tabs>
          <w:tab w:val="left" w:pos="1800"/>
        </w:tabs>
        <w:ind w:right="726"/>
      </w:pPr>
      <w:r>
        <w:t>When</w:t>
      </w:r>
      <w:r>
        <w:rPr>
          <w:spacing w:val="-2"/>
        </w:rPr>
        <w:t xml:space="preserve"> </w:t>
      </w:r>
      <w:r>
        <w:t>a</w:t>
      </w:r>
      <w:r>
        <w:rPr>
          <w:spacing w:val="-2"/>
        </w:rPr>
        <w:t xml:space="preserve"> </w:t>
      </w:r>
      <w:r>
        <w:t>component</w:t>
      </w:r>
      <w:r>
        <w:rPr>
          <w:spacing w:val="-2"/>
        </w:rPr>
        <w:t xml:space="preserve"> </w:t>
      </w:r>
      <w:r>
        <w:t>auditor</w:t>
      </w:r>
      <w:r>
        <w:rPr>
          <w:spacing w:val="-2"/>
        </w:rPr>
        <w:t xml:space="preserve"> </w:t>
      </w:r>
      <w:r>
        <w:t>has</w:t>
      </w:r>
      <w:r>
        <w:rPr>
          <w:spacing w:val="-2"/>
        </w:rPr>
        <w:t xml:space="preserve"> </w:t>
      </w:r>
      <w:r>
        <w:t>been</w:t>
      </w:r>
      <w:r>
        <w:rPr>
          <w:spacing w:val="-2"/>
        </w:rPr>
        <w:t xml:space="preserve"> </w:t>
      </w:r>
      <w:r>
        <w:t>engaged</w:t>
      </w:r>
      <w:r>
        <w:rPr>
          <w:spacing w:val="-3"/>
        </w:rPr>
        <w:t xml:space="preserve"> </w:t>
      </w:r>
      <w:r>
        <w:t>to</w:t>
      </w:r>
      <w:r>
        <w:rPr>
          <w:spacing w:val="-2"/>
        </w:rPr>
        <w:t xml:space="preserve"> </w:t>
      </w:r>
      <w:r>
        <w:t>express</w:t>
      </w:r>
      <w:r>
        <w:rPr>
          <w:spacing w:val="-2"/>
        </w:rPr>
        <w:t xml:space="preserve"> </w:t>
      </w:r>
      <w:r>
        <w:t>an</w:t>
      </w:r>
      <w:r>
        <w:rPr>
          <w:spacing w:val="-2"/>
        </w:rPr>
        <w:t xml:space="preserve"> </w:t>
      </w:r>
      <w:r>
        <w:t>audit</w:t>
      </w:r>
      <w:r>
        <w:rPr>
          <w:spacing w:val="-2"/>
        </w:rPr>
        <w:t xml:space="preserve"> </w:t>
      </w:r>
      <w:r>
        <w:t>opinion</w:t>
      </w:r>
      <w:r>
        <w:rPr>
          <w:spacing w:val="-2"/>
        </w:rPr>
        <w:t xml:space="preserve"> </w:t>
      </w:r>
      <w:r>
        <w:t>on</w:t>
      </w:r>
      <w:r>
        <w:rPr>
          <w:spacing w:val="-2"/>
        </w:rPr>
        <w:t xml:space="preserve"> </w:t>
      </w:r>
      <w:r>
        <w:t>the financial</w:t>
      </w:r>
      <w:r>
        <w:rPr>
          <w:spacing w:val="-5"/>
        </w:rPr>
        <w:t xml:space="preserve"> </w:t>
      </w:r>
      <w:r>
        <w:t>statements</w:t>
      </w:r>
      <w:r>
        <w:rPr>
          <w:spacing w:val="-4"/>
        </w:rPr>
        <w:t xml:space="preserve"> </w:t>
      </w:r>
      <w:r>
        <w:t>of</w:t>
      </w:r>
      <w:r>
        <w:rPr>
          <w:spacing w:val="-4"/>
        </w:rPr>
        <w:t xml:space="preserve"> </w:t>
      </w:r>
      <w:r>
        <w:t>a</w:t>
      </w:r>
      <w:r>
        <w:rPr>
          <w:spacing w:val="-4"/>
        </w:rPr>
        <w:t xml:space="preserve"> </w:t>
      </w:r>
      <w:r>
        <w:t>component,</w:t>
      </w:r>
      <w:r>
        <w:rPr>
          <w:spacing w:val="-4"/>
        </w:rPr>
        <w:t xml:space="preserve"> </w:t>
      </w:r>
      <w:r>
        <w:t>the</w:t>
      </w:r>
      <w:r>
        <w:rPr>
          <w:spacing w:val="-4"/>
        </w:rPr>
        <w:t xml:space="preserve"> </w:t>
      </w:r>
      <w:r>
        <w:t>group</w:t>
      </w:r>
      <w:r>
        <w:rPr>
          <w:spacing w:val="-4"/>
        </w:rPr>
        <w:t xml:space="preserve"> </w:t>
      </w:r>
      <w:r>
        <w:t>engagement</w:t>
      </w:r>
      <w:r>
        <w:rPr>
          <w:spacing w:val="-4"/>
        </w:rPr>
        <w:t xml:space="preserve"> </w:t>
      </w:r>
      <w:r>
        <w:t>team</w:t>
      </w:r>
      <w:r>
        <w:rPr>
          <w:spacing w:val="-5"/>
        </w:rPr>
        <w:t xml:space="preserve"> </w:t>
      </w:r>
      <w:r>
        <w:t>should</w:t>
      </w:r>
      <w:r>
        <w:rPr>
          <w:spacing w:val="-4"/>
        </w:rPr>
        <w:t xml:space="preserve"> </w:t>
      </w:r>
      <w:r>
        <w:t>request that group management inform component management of any matter of which the group engagement team becomes aware that may be significant to the financial statements of the component, but of which component management may be unaware. If group management refuses to communicate the matter to component management,</w:t>
      </w:r>
      <w:r>
        <w:rPr>
          <w:spacing w:val="-1"/>
        </w:rPr>
        <w:t xml:space="preserve"> </w:t>
      </w:r>
      <w:r>
        <w:t>the group</w:t>
      </w:r>
      <w:r>
        <w:rPr>
          <w:spacing w:val="-2"/>
        </w:rPr>
        <w:t xml:space="preserve"> </w:t>
      </w:r>
      <w:r>
        <w:t>engagement team</w:t>
      </w:r>
      <w:r>
        <w:rPr>
          <w:spacing w:val="-2"/>
        </w:rPr>
        <w:t xml:space="preserve"> </w:t>
      </w:r>
      <w:r>
        <w:t>should discuss</w:t>
      </w:r>
      <w:r>
        <w:rPr>
          <w:spacing w:val="-1"/>
        </w:rPr>
        <w:t xml:space="preserve"> </w:t>
      </w:r>
      <w:r>
        <w:t>the matter with those charged with governance of the group. If the matter remains unresolved, the group engagement team should refer to AU-C 600A.48.</w:t>
      </w:r>
    </w:p>
    <w:p w14:paraId="0DFDAE1D" w14:textId="77777777" w:rsidR="00046465" w:rsidRDefault="008134EB">
      <w:pPr>
        <w:pStyle w:val="ListParagraph"/>
        <w:numPr>
          <w:ilvl w:val="0"/>
          <w:numId w:val="217"/>
        </w:numPr>
        <w:tabs>
          <w:tab w:val="left" w:pos="1800"/>
        </w:tabs>
        <w:ind w:right="1117" w:hanging="720"/>
      </w:pPr>
      <w:r>
        <w:t>The group engagement team should communicate the following matters, in addition</w:t>
      </w:r>
      <w:r>
        <w:rPr>
          <w:spacing w:val="-4"/>
        </w:rPr>
        <w:t xml:space="preserve"> </w:t>
      </w:r>
      <w:r>
        <w:t>to</w:t>
      </w:r>
      <w:r>
        <w:rPr>
          <w:spacing w:val="-4"/>
        </w:rPr>
        <w:t xml:space="preserve"> </w:t>
      </w:r>
      <w:r>
        <w:t>those</w:t>
      </w:r>
      <w:r>
        <w:rPr>
          <w:spacing w:val="-4"/>
        </w:rPr>
        <w:t xml:space="preserve"> </w:t>
      </w:r>
      <w:r>
        <w:t>discussed</w:t>
      </w:r>
      <w:r>
        <w:rPr>
          <w:spacing w:val="-4"/>
        </w:rPr>
        <w:t xml:space="preserve"> </w:t>
      </w:r>
      <w:r>
        <w:t>in</w:t>
      </w:r>
      <w:r>
        <w:rPr>
          <w:spacing w:val="-4"/>
        </w:rPr>
        <w:t xml:space="preserve"> </w:t>
      </w:r>
      <w:r>
        <w:t>FAM</w:t>
      </w:r>
      <w:r>
        <w:rPr>
          <w:spacing w:val="-5"/>
        </w:rPr>
        <w:t xml:space="preserve"> </w:t>
      </w:r>
      <w:r>
        <w:t>215.36</w:t>
      </w:r>
      <w:r>
        <w:rPr>
          <w:spacing w:val="-4"/>
        </w:rPr>
        <w:t xml:space="preserve"> </w:t>
      </w:r>
      <w:r>
        <w:t>and</w:t>
      </w:r>
      <w:r>
        <w:rPr>
          <w:spacing w:val="-5"/>
        </w:rPr>
        <w:t xml:space="preserve"> </w:t>
      </w:r>
      <w:r>
        <w:t>550.19,</w:t>
      </w:r>
      <w:r>
        <w:rPr>
          <w:spacing w:val="-3"/>
        </w:rPr>
        <w:t xml:space="preserve"> </w:t>
      </w:r>
      <w:r>
        <w:t>to</w:t>
      </w:r>
      <w:r>
        <w:rPr>
          <w:spacing w:val="-4"/>
        </w:rPr>
        <w:t xml:space="preserve"> </w:t>
      </w:r>
      <w:r>
        <w:t>those</w:t>
      </w:r>
      <w:r>
        <w:rPr>
          <w:spacing w:val="-4"/>
        </w:rPr>
        <w:t xml:space="preserve"> </w:t>
      </w:r>
      <w:r>
        <w:t>charged</w:t>
      </w:r>
      <w:r>
        <w:rPr>
          <w:spacing w:val="-5"/>
        </w:rPr>
        <w:t xml:space="preserve"> </w:t>
      </w:r>
      <w:r>
        <w:t>with governance of the group (AU-C 600A.49):</w:t>
      </w:r>
    </w:p>
    <w:p w14:paraId="0DFDAE1E" w14:textId="77777777" w:rsidR="00046465" w:rsidRDefault="008134EB">
      <w:pPr>
        <w:pStyle w:val="ListParagraph"/>
        <w:numPr>
          <w:ilvl w:val="1"/>
          <w:numId w:val="217"/>
        </w:numPr>
        <w:tabs>
          <w:tab w:val="left" w:pos="2160"/>
        </w:tabs>
        <w:spacing w:before="121"/>
        <w:ind w:left="2160" w:right="828"/>
      </w:pPr>
      <w:r>
        <w:t>an overview of the type of work to be performed on the financial information of the components, including the basis for the decision to make reference to the</w:t>
      </w:r>
      <w:r>
        <w:rPr>
          <w:spacing w:val="-3"/>
        </w:rPr>
        <w:t xml:space="preserve"> </w:t>
      </w:r>
      <w:r>
        <w:t>audit</w:t>
      </w:r>
      <w:r>
        <w:rPr>
          <w:spacing w:val="-3"/>
        </w:rPr>
        <w:t xml:space="preserve"> </w:t>
      </w:r>
      <w:r>
        <w:t>of</w:t>
      </w:r>
      <w:r>
        <w:rPr>
          <w:spacing w:val="-4"/>
        </w:rPr>
        <w:t xml:space="preserve"> </w:t>
      </w:r>
      <w:r>
        <w:t>a</w:t>
      </w:r>
      <w:r>
        <w:rPr>
          <w:spacing w:val="-3"/>
        </w:rPr>
        <w:t xml:space="preserve"> </w:t>
      </w:r>
      <w:r>
        <w:t>component</w:t>
      </w:r>
      <w:r>
        <w:rPr>
          <w:spacing w:val="-3"/>
        </w:rPr>
        <w:t xml:space="preserve"> </w:t>
      </w:r>
      <w:r>
        <w:t>auditor</w:t>
      </w:r>
      <w:r>
        <w:rPr>
          <w:spacing w:val="-3"/>
        </w:rPr>
        <w:t xml:space="preserve"> </w:t>
      </w:r>
      <w:r>
        <w:t>in</w:t>
      </w:r>
      <w:r>
        <w:rPr>
          <w:spacing w:val="-3"/>
        </w:rPr>
        <w:t xml:space="preserve"> </w:t>
      </w:r>
      <w:r>
        <w:t>the</w:t>
      </w:r>
      <w:r>
        <w:rPr>
          <w:spacing w:val="-3"/>
        </w:rPr>
        <w:t xml:space="preserve"> </w:t>
      </w:r>
      <w:r>
        <w:t>auditor’s</w:t>
      </w:r>
      <w:r>
        <w:rPr>
          <w:spacing w:val="-3"/>
        </w:rPr>
        <w:t xml:space="preserve"> </w:t>
      </w:r>
      <w:r>
        <w:t>report</w:t>
      </w:r>
      <w:r>
        <w:rPr>
          <w:spacing w:val="-3"/>
        </w:rPr>
        <w:t xml:space="preserve"> </w:t>
      </w:r>
      <w:r>
        <w:t>on</w:t>
      </w:r>
      <w:r>
        <w:rPr>
          <w:spacing w:val="-3"/>
        </w:rPr>
        <w:t xml:space="preserve"> </w:t>
      </w:r>
      <w:r>
        <w:t>the</w:t>
      </w:r>
      <w:r>
        <w:rPr>
          <w:spacing w:val="-3"/>
        </w:rPr>
        <w:t xml:space="preserve"> </w:t>
      </w:r>
      <w:r>
        <w:t>group</w:t>
      </w:r>
      <w:r>
        <w:rPr>
          <w:spacing w:val="-3"/>
        </w:rPr>
        <w:t xml:space="preserve"> </w:t>
      </w:r>
      <w:r>
        <w:t xml:space="preserve">financial </w:t>
      </w:r>
      <w:r>
        <w:rPr>
          <w:spacing w:val="-2"/>
        </w:rPr>
        <w:t>statements;</w:t>
      </w:r>
    </w:p>
    <w:p w14:paraId="0DFDAE1F" w14:textId="77777777" w:rsidR="00046465" w:rsidRDefault="008134EB">
      <w:pPr>
        <w:pStyle w:val="ListParagraph"/>
        <w:numPr>
          <w:ilvl w:val="1"/>
          <w:numId w:val="217"/>
        </w:numPr>
        <w:tabs>
          <w:tab w:val="left" w:pos="2160"/>
        </w:tabs>
        <w:spacing w:before="119"/>
        <w:ind w:left="2160" w:right="1077"/>
      </w:pPr>
      <w:r>
        <w:t>an overview of the nature of the group engagement team’s planned involvement</w:t>
      </w:r>
      <w:r>
        <w:rPr>
          <w:spacing w:val="-5"/>
        </w:rPr>
        <w:t xml:space="preserve"> </w:t>
      </w:r>
      <w:r>
        <w:t>in</w:t>
      </w:r>
      <w:r>
        <w:rPr>
          <w:spacing w:val="-4"/>
        </w:rPr>
        <w:t xml:space="preserve"> </w:t>
      </w:r>
      <w:r>
        <w:t>the</w:t>
      </w:r>
      <w:r>
        <w:rPr>
          <w:spacing w:val="-4"/>
        </w:rPr>
        <w:t xml:space="preserve"> </w:t>
      </w:r>
      <w:r>
        <w:t>work</w:t>
      </w:r>
      <w:r>
        <w:rPr>
          <w:spacing w:val="-5"/>
        </w:rPr>
        <w:t xml:space="preserve"> </w:t>
      </w:r>
      <w:r>
        <w:t>that</w:t>
      </w:r>
      <w:r>
        <w:rPr>
          <w:spacing w:val="-4"/>
        </w:rPr>
        <w:t xml:space="preserve"> </w:t>
      </w:r>
      <w:r>
        <w:t>the</w:t>
      </w:r>
      <w:r>
        <w:rPr>
          <w:spacing w:val="-4"/>
        </w:rPr>
        <w:t xml:space="preserve"> </w:t>
      </w:r>
      <w:r>
        <w:t>component</w:t>
      </w:r>
      <w:r>
        <w:rPr>
          <w:spacing w:val="-4"/>
        </w:rPr>
        <w:t xml:space="preserve"> </w:t>
      </w:r>
      <w:r>
        <w:t>auditors</w:t>
      </w:r>
      <w:r>
        <w:rPr>
          <w:spacing w:val="-4"/>
        </w:rPr>
        <w:t xml:space="preserve"> </w:t>
      </w:r>
      <w:r>
        <w:t>are</w:t>
      </w:r>
      <w:r>
        <w:rPr>
          <w:spacing w:val="-4"/>
        </w:rPr>
        <w:t xml:space="preserve"> </w:t>
      </w:r>
      <w:r>
        <w:t>to</w:t>
      </w:r>
      <w:r>
        <w:rPr>
          <w:spacing w:val="-4"/>
        </w:rPr>
        <w:t xml:space="preserve"> </w:t>
      </w:r>
      <w:r>
        <w:t>perform</w:t>
      </w:r>
      <w:r>
        <w:rPr>
          <w:spacing w:val="-5"/>
        </w:rPr>
        <w:t xml:space="preserve"> </w:t>
      </w:r>
      <w:r>
        <w:t>on</w:t>
      </w:r>
      <w:r>
        <w:rPr>
          <w:spacing w:val="-4"/>
        </w:rPr>
        <w:t xml:space="preserve"> </w:t>
      </w:r>
      <w:r>
        <w:t>the financial information of significant components;</w:t>
      </w:r>
    </w:p>
    <w:p w14:paraId="0DFDAE20" w14:textId="77777777" w:rsidR="00046465" w:rsidRDefault="008134EB">
      <w:pPr>
        <w:pStyle w:val="ListParagraph"/>
        <w:numPr>
          <w:ilvl w:val="1"/>
          <w:numId w:val="217"/>
        </w:numPr>
        <w:tabs>
          <w:tab w:val="left" w:pos="2160"/>
        </w:tabs>
        <w:spacing w:before="121"/>
        <w:ind w:left="2160" w:right="866"/>
      </w:pPr>
      <w:r>
        <w:t>instances</w:t>
      </w:r>
      <w:r>
        <w:rPr>
          <w:spacing w:val="-4"/>
        </w:rPr>
        <w:t xml:space="preserve"> </w:t>
      </w:r>
      <w:r>
        <w:t>in</w:t>
      </w:r>
      <w:r>
        <w:rPr>
          <w:spacing w:val="-5"/>
        </w:rPr>
        <w:t xml:space="preserve"> </w:t>
      </w:r>
      <w:r>
        <w:t>which</w:t>
      </w:r>
      <w:r>
        <w:rPr>
          <w:spacing w:val="-4"/>
        </w:rPr>
        <w:t xml:space="preserve"> </w:t>
      </w:r>
      <w:r>
        <w:t>the</w:t>
      </w:r>
      <w:r>
        <w:rPr>
          <w:spacing w:val="-4"/>
        </w:rPr>
        <w:t xml:space="preserve"> </w:t>
      </w:r>
      <w:r>
        <w:t>group</w:t>
      </w:r>
      <w:r>
        <w:rPr>
          <w:spacing w:val="-4"/>
        </w:rPr>
        <w:t xml:space="preserve"> </w:t>
      </w:r>
      <w:r>
        <w:t>engagement</w:t>
      </w:r>
      <w:r>
        <w:rPr>
          <w:spacing w:val="-4"/>
        </w:rPr>
        <w:t xml:space="preserve"> </w:t>
      </w:r>
      <w:r>
        <w:t>team’s</w:t>
      </w:r>
      <w:r>
        <w:rPr>
          <w:spacing w:val="-3"/>
        </w:rPr>
        <w:t xml:space="preserve"> </w:t>
      </w:r>
      <w:r>
        <w:t>evaluation</w:t>
      </w:r>
      <w:r>
        <w:rPr>
          <w:spacing w:val="-5"/>
        </w:rPr>
        <w:t xml:space="preserve"> </w:t>
      </w:r>
      <w:r>
        <w:t>of</w:t>
      </w:r>
      <w:r>
        <w:rPr>
          <w:spacing w:val="-4"/>
        </w:rPr>
        <w:t xml:space="preserve"> </w:t>
      </w:r>
      <w:r>
        <w:t>a</w:t>
      </w:r>
      <w:r>
        <w:rPr>
          <w:spacing w:val="-4"/>
        </w:rPr>
        <w:t xml:space="preserve"> </w:t>
      </w:r>
      <w:r>
        <w:t>component auditor’s</w:t>
      </w:r>
      <w:r>
        <w:rPr>
          <w:spacing w:val="-3"/>
        </w:rPr>
        <w:t xml:space="preserve"> </w:t>
      </w:r>
      <w:r>
        <w:t>work</w:t>
      </w:r>
      <w:r>
        <w:rPr>
          <w:spacing w:val="-3"/>
        </w:rPr>
        <w:t xml:space="preserve"> </w:t>
      </w:r>
      <w:r>
        <w:t>gave</w:t>
      </w:r>
      <w:r>
        <w:rPr>
          <w:spacing w:val="-3"/>
        </w:rPr>
        <w:t xml:space="preserve"> </w:t>
      </w:r>
      <w:r>
        <w:t>rise</w:t>
      </w:r>
      <w:r>
        <w:rPr>
          <w:spacing w:val="-6"/>
        </w:rPr>
        <w:t xml:space="preserve"> </w:t>
      </w:r>
      <w:r>
        <w:t>to</w:t>
      </w:r>
      <w:r>
        <w:rPr>
          <w:spacing w:val="-3"/>
        </w:rPr>
        <w:t xml:space="preserve"> </w:t>
      </w:r>
      <w:r>
        <w:t>a</w:t>
      </w:r>
      <w:r>
        <w:rPr>
          <w:spacing w:val="-3"/>
        </w:rPr>
        <w:t xml:space="preserve"> </w:t>
      </w:r>
      <w:r>
        <w:t>concern</w:t>
      </w:r>
      <w:r>
        <w:rPr>
          <w:spacing w:val="-4"/>
        </w:rPr>
        <w:t xml:space="preserve"> </w:t>
      </w:r>
      <w:r>
        <w:t>about</w:t>
      </w:r>
      <w:r>
        <w:rPr>
          <w:spacing w:val="-3"/>
        </w:rPr>
        <w:t xml:space="preserve"> </w:t>
      </w:r>
      <w:r>
        <w:t>the</w:t>
      </w:r>
      <w:r>
        <w:rPr>
          <w:spacing w:val="-3"/>
        </w:rPr>
        <w:t xml:space="preserve"> </w:t>
      </w:r>
      <w:r>
        <w:t>quality</w:t>
      </w:r>
      <w:r>
        <w:rPr>
          <w:spacing w:val="-3"/>
        </w:rPr>
        <w:t xml:space="preserve"> </w:t>
      </w:r>
      <w:r>
        <w:t>of</w:t>
      </w:r>
      <w:r>
        <w:rPr>
          <w:spacing w:val="-3"/>
        </w:rPr>
        <w:t xml:space="preserve"> </w:t>
      </w:r>
      <w:r>
        <w:t>that</w:t>
      </w:r>
      <w:r>
        <w:rPr>
          <w:spacing w:val="-4"/>
        </w:rPr>
        <w:t xml:space="preserve"> </w:t>
      </w:r>
      <w:r>
        <w:t>auditor’s</w:t>
      </w:r>
      <w:r>
        <w:rPr>
          <w:spacing w:val="-3"/>
        </w:rPr>
        <w:t xml:space="preserve"> </w:t>
      </w:r>
      <w:r>
        <w:t>work;</w:t>
      </w:r>
    </w:p>
    <w:p w14:paraId="0DFDAE21" w14:textId="77777777" w:rsidR="00046465" w:rsidRDefault="00046465">
      <w:pPr>
        <w:pStyle w:val="ListParagraph"/>
        <w:sectPr w:rsidR="00046465">
          <w:pgSz w:w="12240" w:h="15840"/>
          <w:pgMar w:top="1340" w:right="720" w:bottom="940" w:left="1080" w:header="721" w:footer="757" w:gutter="0"/>
          <w:cols w:space="720"/>
        </w:sectPr>
      </w:pPr>
    </w:p>
    <w:p w14:paraId="0DFDAE22" w14:textId="77777777" w:rsidR="00046465" w:rsidRDefault="008134EB">
      <w:pPr>
        <w:pStyle w:val="ListParagraph"/>
        <w:numPr>
          <w:ilvl w:val="1"/>
          <w:numId w:val="217"/>
        </w:numPr>
        <w:tabs>
          <w:tab w:val="left" w:pos="2159"/>
        </w:tabs>
        <w:spacing w:before="121"/>
        <w:ind w:right="844"/>
      </w:pPr>
      <w:r>
        <w:lastRenderedPageBreak/>
        <w:t>any</w:t>
      </w:r>
      <w:r>
        <w:rPr>
          <w:spacing w:val="-4"/>
        </w:rPr>
        <w:t xml:space="preserve"> </w:t>
      </w:r>
      <w:r>
        <w:t>limitations</w:t>
      </w:r>
      <w:r>
        <w:rPr>
          <w:spacing w:val="-4"/>
        </w:rPr>
        <w:t xml:space="preserve"> </w:t>
      </w:r>
      <w:r>
        <w:t>on</w:t>
      </w:r>
      <w:r>
        <w:rPr>
          <w:spacing w:val="-4"/>
        </w:rPr>
        <w:t xml:space="preserve"> </w:t>
      </w:r>
      <w:r>
        <w:t>the</w:t>
      </w:r>
      <w:r>
        <w:rPr>
          <w:spacing w:val="-4"/>
        </w:rPr>
        <w:t xml:space="preserve"> </w:t>
      </w:r>
      <w:r>
        <w:t>group</w:t>
      </w:r>
      <w:r>
        <w:rPr>
          <w:spacing w:val="-4"/>
        </w:rPr>
        <w:t xml:space="preserve"> </w:t>
      </w:r>
      <w:r>
        <w:t>audit</w:t>
      </w:r>
      <w:r>
        <w:rPr>
          <w:spacing w:val="-4"/>
        </w:rPr>
        <w:t xml:space="preserve"> </w:t>
      </w:r>
      <w:r>
        <w:t>(for</w:t>
      </w:r>
      <w:r>
        <w:rPr>
          <w:spacing w:val="-4"/>
        </w:rPr>
        <w:t xml:space="preserve"> </w:t>
      </w:r>
      <w:r>
        <w:t>example,</w:t>
      </w:r>
      <w:r>
        <w:rPr>
          <w:spacing w:val="-4"/>
        </w:rPr>
        <w:t xml:space="preserve"> </w:t>
      </w:r>
      <w:r>
        <w:t>when</w:t>
      </w:r>
      <w:r>
        <w:rPr>
          <w:spacing w:val="-4"/>
        </w:rPr>
        <w:t xml:space="preserve"> </w:t>
      </w:r>
      <w:r>
        <w:t>the</w:t>
      </w:r>
      <w:r>
        <w:rPr>
          <w:spacing w:val="-4"/>
        </w:rPr>
        <w:t xml:space="preserve"> </w:t>
      </w:r>
      <w:r>
        <w:t>group</w:t>
      </w:r>
      <w:r>
        <w:rPr>
          <w:spacing w:val="-4"/>
        </w:rPr>
        <w:t xml:space="preserve"> </w:t>
      </w:r>
      <w:r>
        <w:t>engagement team’s access to information may have been restricted); and</w:t>
      </w:r>
    </w:p>
    <w:p w14:paraId="0DFDAE23" w14:textId="77777777" w:rsidR="00046465" w:rsidRDefault="008134EB">
      <w:pPr>
        <w:pStyle w:val="ListParagraph"/>
        <w:numPr>
          <w:ilvl w:val="1"/>
          <w:numId w:val="217"/>
        </w:numPr>
        <w:tabs>
          <w:tab w:val="left" w:pos="2159"/>
        </w:tabs>
        <w:spacing w:before="119"/>
        <w:ind w:right="918"/>
      </w:pPr>
      <w:r>
        <w:t>fraud or suspected fraud involving group management, component management,</w:t>
      </w:r>
      <w:r>
        <w:rPr>
          <w:spacing w:val="-1"/>
        </w:rPr>
        <w:t xml:space="preserve"> </w:t>
      </w:r>
      <w:r>
        <w:t>employees</w:t>
      </w:r>
      <w:r>
        <w:rPr>
          <w:spacing w:val="-1"/>
        </w:rPr>
        <w:t xml:space="preserve"> </w:t>
      </w:r>
      <w:r>
        <w:t>who</w:t>
      </w:r>
      <w:r>
        <w:rPr>
          <w:spacing w:val="-1"/>
        </w:rPr>
        <w:t xml:space="preserve"> </w:t>
      </w:r>
      <w:r>
        <w:t>have</w:t>
      </w:r>
      <w:r>
        <w:rPr>
          <w:spacing w:val="-2"/>
        </w:rPr>
        <w:t xml:space="preserve"> </w:t>
      </w:r>
      <w:r>
        <w:t>significant</w:t>
      </w:r>
      <w:r>
        <w:rPr>
          <w:spacing w:val="-1"/>
        </w:rPr>
        <w:t xml:space="preserve"> </w:t>
      </w:r>
      <w:r>
        <w:t>roles</w:t>
      </w:r>
      <w:r>
        <w:rPr>
          <w:spacing w:val="-1"/>
        </w:rPr>
        <w:t xml:space="preserve"> </w:t>
      </w:r>
      <w:r>
        <w:t>in</w:t>
      </w:r>
      <w:r>
        <w:rPr>
          <w:spacing w:val="-1"/>
        </w:rPr>
        <w:t xml:space="preserve"> </w:t>
      </w:r>
      <w:r>
        <w:t>group-wide</w:t>
      </w:r>
      <w:r>
        <w:rPr>
          <w:spacing w:val="-1"/>
        </w:rPr>
        <w:t xml:space="preserve"> </w:t>
      </w:r>
      <w:r>
        <w:t>controls, or</w:t>
      </w:r>
      <w:r>
        <w:rPr>
          <w:spacing w:val="-4"/>
        </w:rPr>
        <w:t xml:space="preserve"> </w:t>
      </w:r>
      <w:r>
        <w:t>others</w:t>
      </w:r>
      <w:r>
        <w:rPr>
          <w:spacing w:val="-4"/>
        </w:rPr>
        <w:t xml:space="preserve"> </w:t>
      </w:r>
      <w:r>
        <w:t>in</w:t>
      </w:r>
      <w:r>
        <w:rPr>
          <w:spacing w:val="-5"/>
        </w:rPr>
        <w:t xml:space="preserve"> </w:t>
      </w:r>
      <w:r>
        <w:t>which</w:t>
      </w:r>
      <w:r>
        <w:rPr>
          <w:spacing w:val="-4"/>
        </w:rPr>
        <w:t xml:space="preserve"> </w:t>
      </w:r>
      <w:r>
        <w:t>a</w:t>
      </w:r>
      <w:r>
        <w:rPr>
          <w:spacing w:val="-4"/>
        </w:rPr>
        <w:t xml:space="preserve"> </w:t>
      </w:r>
      <w:r>
        <w:t>material</w:t>
      </w:r>
      <w:r>
        <w:rPr>
          <w:spacing w:val="-4"/>
        </w:rPr>
        <w:t xml:space="preserve"> </w:t>
      </w:r>
      <w:r>
        <w:t>misstatement</w:t>
      </w:r>
      <w:r>
        <w:rPr>
          <w:spacing w:val="-4"/>
        </w:rPr>
        <w:t xml:space="preserve"> </w:t>
      </w:r>
      <w:r>
        <w:t>of</w:t>
      </w:r>
      <w:r>
        <w:rPr>
          <w:spacing w:val="-4"/>
        </w:rPr>
        <w:t xml:space="preserve"> </w:t>
      </w:r>
      <w:r>
        <w:t>the</w:t>
      </w:r>
      <w:r>
        <w:rPr>
          <w:spacing w:val="-4"/>
        </w:rPr>
        <w:t xml:space="preserve"> </w:t>
      </w:r>
      <w:r>
        <w:t>group</w:t>
      </w:r>
      <w:r>
        <w:rPr>
          <w:spacing w:val="-4"/>
        </w:rPr>
        <w:t xml:space="preserve"> </w:t>
      </w:r>
      <w:r>
        <w:t>financial</w:t>
      </w:r>
      <w:r>
        <w:rPr>
          <w:spacing w:val="-4"/>
        </w:rPr>
        <w:t xml:space="preserve"> </w:t>
      </w:r>
      <w:r>
        <w:t>statements has or may have resulted from fraud.</w:t>
      </w:r>
    </w:p>
    <w:p w14:paraId="0DFDAE24" w14:textId="77777777" w:rsidR="00046465" w:rsidRDefault="008134EB">
      <w:pPr>
        <w:pStyle w:val="Heading4"/>
      </w:pPr>
      <w:r>
        <w:rPr>
          <w:spacing w:val="-2"/>
        </w:rPr>
        <w:t>Documentation</w:t>
      </w:r>
    </w:p>
    <w:p w14:paraId="0DFDAE25" w14:textId="77777777" w:rsidR="00046465" w:rsidRDefault="008134EB">
      <w:pPr>
        <w:pStyle w:val="ListParagraph"/>
        <w:numPr>
          <w:ilvl w:val="0"/>
          <w:numId w:val="217"/>
        </w:numPr>
        <w:tabs>
          <w:tab w:val="left" w:pos="1799"/>
        </w:tabs>
        <w:ind w:left="1799" w:right="1910" w:hanging="720"/>
      </w:pPr>
      <w:r>
        <w:t>The</w:t>
      </w:r>
      <w:r>
        <w:rPr>
          <w:spacing w:val="-4"/>
        </w:rPr>
        <w:t xml:space="preserve"> </w:t>
      </w:r>
      <w:r>
        <w:t>group</w:t>
      </w:r>
      <w:r>
        <w:rPr>
          <w:spacing w:val="-4"/>
        </w:rPr>
        <w:t xml:space="preserve"> </w:t>
      </w:r>
      <w:r>
        <w:t>engagement</w:t>
      </w:r>
      <w:r>
        <w:rPr>
          <w:spacing w:val="-4"/>
        </w:rPr>
        <w:t xml:space="preserve"> </w:t>
      </w:r>
      <w:r>
        <w:t>team</w:t>
      </w:r>
      <w:r>
        <w:rPr>
          <w:spacing w:val="-5"/>
        </w:rPr>
        <w:t xml:space="preserve"> </w:t>
      </w:r>
      <w:r>
        <w:t>should</w:t>
      </w:r>
      <w:r>
        <w:rPr>
          <w:spacing w:val="-4"/>
        </w:rPr>
        <w:t xml:space="preserve"> </w:t>
      </w:r>
      <w:r>
        <w:t>include</w:t>
      </w:r>
      <w:r>
        <w:rPr>
          <w:spacing w:val="-3"/>
        </w:rPr>
        <w:t xml:space="preserve"> </w:t>
      </w:r>
      <w:r>
        <w:t>the</w:t>
      </w:r>
      <w:r>
        <w:rPr>
          <w:spacing w:val="-4"/>
        </w:rPr>
        <w:t xml:space="preserve"> </w:t>
      </w:r>
      <w:r>
        <w:t>following</w:t>
      </w:r>
      <w:r>
        <w:rPr>
          <w:spacing w:val="-4"/>
        </w:rPr>
        <w:t xml:space="preserve"> </w:t>
      </w:r>
      <w:r>
        <w:t>in</w:t>
      </w:r>
      <w:r>
        <w:rPr>
          <w:spacing w:val="-4"/>
        </w:rPr>
        <w:t xml:space="preserve"> </w:t>
      </w:r>
      <w:r>
        <w:t>the</w:t>
      </w:r>
      <w:r>
        <w:rPr>
          <w:spacing w:val="-4"/>
        </w:rPr>
        <w:t xml:space="preserve"> </w:t>
      </w:r>
      <w:r>
        <w:t>audit documentation (AU-C 600A.50):</w:t>
      </w:r>
    </w:p>
    <w:p w14:paraId="0DFDAE26" w14:textId="77777777" w:rsidR="00046465" w:rsidRDefault="008134EB">
      <w:pPr>
        <w:pStyle w:val="ListParagraph"/>
        <w:numPr>
          <w:ilvl w:val="1"/>
          <w:numId w:val="217"/>
        </w:numPr>
        <w:tabs>
          <w:tab w:val="left" w:pos="2159"/>
        </w:tabs>
        <w:ind w:right="721"/>
      </w:pPr>
      <w:r>
        <w:t>an</w:t>
      </w:r>
      <w:r>
        <w:rPr>
          <w:spacing w:val="-4"/>
        </w:rPr>
        <w:t xml:space="preserve"> </w:t>
      </w:r>
      <w:r>
        <w:t>analysis</w:t>
      </w:r>
      <w:r>
        <w:rPr>
          <w:spacing w:val="-4"/>
        </w:rPr>
        <w:t xml:space="preserve"> </w:t>
      </w:r>
      <w:r>
        <w:t>of</w:t>
      </w:r>
      <w:r>
        <w:rPr>
          <w:spacing w:val="-4"/>
        </w:rPr>
        <w:t xml:space="preserve"> </w:t>
      </w:r>
      <w:r>
        <w:t>components</w:t>
      </w:r>
      <w:r>
        <w:rPr>
          <w:spacing w:val="-4"/>
        </w:rPr>
        <w:t xml:space="preserve"> </w:t>
      </w:r>
      <w:r>
        <w:t>indicating</w:t>
      </w:r>
      <w:r>
        <w:rPr>
          <w:spacing w:val="-4"/>
        </w:rPr>
        <w:t xml:space="preserve"> </w:t>
      </w:r>
      <w:r>
        <w:t>those</w:t>
      </w:r>
      <w:r>
        <w:rPr>
          <w:spacing w:val="-4"/>
        </w:rPr>
        <w:t xml:space="preserve"> </w:t>
      </w:r>
      <w:r>
        <w:t>that</w:t>
      </w:r>
      <w:r>
        <w:rPr>
          <w:spacing w:val="-4"/>
        </w:rPr>
        <w:t xml:space="preserve"> </w:t>
      </w:r>
      <w:r>
        <w:t>are</w:t>
      </w:r>
      <w:r>
        <w:rPr>
          <w:spacing w:val="-4"/>
        </w:rPr>
        <w:t xml:space="preserve"> </w:t>
      </w:r>
      <w:r>
        <w:t>significant</w:t>
      </w:r>
      <w:r>
        <w:rPr>
          <w:spacing w:val="-4"/>
        </w:rPr>
        <w:t xml:space="preserve"> </w:t>
      </w:r>
      <w:r>
        <w:t>and</w:t>
      </w:r>
      <w:r>
        <w:rPr>
          <w:spacing w:val="-4"/>
        </w:rPr>
        <w:t xml:space="preserve"> </w:t>
      </w:r>
      <w:r>
        <w:t>the</w:t>
      </w:r>
      <w:r>
        <w:rPr>
          <w:spacing w:val="-4"/>
        </w:rPr>
        <w:t xml:space="preserve"> </w:t>
      </w:r>
      <w:r>
        <w:t>type</w:t>
      </w:r>
      <w:r>
        <w:rPr>
          <w:spacing w:val="-4"/>
        </w:rPr>
        <w:t xml:space="preserve"> </w:t>
      </w:r>
      <w:r>
        <w:t>of work performed on the financial information of the components;</w:t>
      </w:r>
    </w:p>
    <w:p w14:paraId="0DFDAE27" w14:textId="77777777" w:rsidR="00046465" w:rsidRDefault="008134EB">
      <w:pPr>
        <w:pStyle w:val="ListParagraph"/>
        <w:numPr>
          <w:ilvl w:val="1"/>
          <w:numId w:val="217"/>
        </w:numPr>
        <w:tabs>
          <w:tab w:val="left" w:pos="2159"/>
        </w:tabs>
        <w:spacing w:before="119"/>
        <w:ind w:right="732"/>
      </w:pPr>
      <w:r>
        <w:t>those</w:t>
      </w:r>
      <w:r>
        <w:rPr>
          <w:spacing w:val="-4"/>
        </w:rPr>
        <w:t xml:space="preserve"> </w:t>
      </w:r>
      <w:r>
        <w:t>components</w:t>
      </w:r>
      <w:r>
        <w:rPr>
          <w:spacing w:val="-4"/>
        </w:rPr>
        <w:t xml:space="preserve"> </w:t>
      </w:r>
      <w:r>
        <w:t>for</w:t>
      </w:r>
      <w:r>
        <w:rPr>
          <w:spacing w:val="-4"/>
        </w:rPr>
        <w:t xml:space="preserve"> </w:t>
      </w:r>
      <w:r>
        <w:t>which</w:t>
      </w:r>
      <w:r>
        <w:rPr>
          <w:spacing w:val="-4"/>
        </w:rPr>
        <w:t xml:space="preserve"> </w:t>
      </w:r>
      <w:r>
        <w:t>reference</w:t>
      </w:r>
      <w:r>
        <w:rPr>
          <w:spacing w:val="-4"/>
        </w:rPr>
        <w:t xml:space="preserve"> </w:t>
      </w:r>
      <w:r>
        <w:t>to</w:t>
      </w:r>
      <w:r>
        <w:rPr>
          <w:spacing w:val="-4"/>
        </w:rPr>
        <w:t xml:space="preserve"> </w:t>
      </w:r>
      <w:r>
        <w:t>the</w:t>
      </w:r>
      <w:r>
        <w:rPr>
          <w:spacing w:val="-4"/>
        </w:rPr>
        <w:t xml:space="preserve"> </w:t>
      </w:r>
      <w:r>
        <w:t>reports</w:t>
      </w:r>
      <w:r>
        <w:rPr>
          <w:spacing w:val="-4"/>
        </w:rPr>
        <w:t xml:space="preserve"> </w:t>
      </w:r>
      <w:r>
        <w:t>of</w:t>
      </w:r>
      <w:r>
        <w:rPr>
          <w:spacing w:val="-4"/>
        </w:rPr>
        <w:t xml:space="preserve"> </w:t>
      </w:r>
      <w:r>
        <w:t>component</w:t>
      </w:r>
      <w:r>
        <w:rPr>
          <w:spacing w:val="-4"/>
        </w:rPr>
        <w:t xml:space="preserve"> </w:t>
      </w:r>
      <w:r>
        <w:t>auditors</w:t>
      </w:r>
      <w:r>
        <w:rPr>
          <w:spacing w:val="-4"/>
        </w:rPr>
        <w:t xml:space="preserve"> </w:t>
      </w:r>
      <w:r>
        <w:t>is made in the auditor’s report on the group financial statements;</w:t>
      </w:r>
    </w:p>
    <w:p w14:paraId="0DFDAE28" w14:textId="77777777" w:rsidR="00046465" w:rsidRDefault="008134EB">
      <w:pPr>
        <w:pStyle w:val="ListParagraph"/>
        <w:numPr>
          <w:ilvl w:val="1"/>
          <w:numId w:val="217"/>
        </w:numPr>
        <w:tabs>
          <w:tab w:val="left" w:pos="2159"/>
        </w:tabs>
        <w:spacing w:before="121"/>
        <w:ind w:right="916"/>
      </w:pPr>
      <w:r>
        <w:t>written communications between the group engagement team and the component</w:t>
      </w:r>
      <w:r>
        <w:rPr>
          <w:spacing w:val="-5"/>
        </w:rPr>
        <w:t xml:space="preserve"> </w:t>
      </w:r>
      <w:r>
        <w:t>auditors</w:t>
      </w:r>
      <w:r>
        <w:rPr>
          <w:spacing w:val="-5"/>
        </w:rPr>
        <w:t xml:space="preserve"> </w:t>
      </w:r>
      <w:r>
        <w:t>about</w:t>
      </w:r>
      <w:r>
        <w:rPr>
          <w:spacing w:val="-5"/>
        </w:rPr>
        <w:t xml:space="preserve"> </w:t>
      </w:r>
      <w:r>
        <w:t>the</w:t>
      </w:r>
      <w:r>
        <w:rPr>
          <w:spacing w:val="-5"/>
        </w:rPr>
        <w:t xml:space="preserve"> </w:t>
      </w:r>
      <w:r>
        <w:t>group</w:t>
      </w:r>
      <w:r>
        <w:rPr>
          <w:spacing w:val="-6"/>
        </w:rPr>
        <w:t xml:space="preserve"> </w:t>
      </w:r>
      <w:r>
        <w:t>engagement</w:t>
      </w:r>
      <w:r>
        <w:rPr>
          <w:spacing w:val="-5"/>
        </w:rPr>
        <w:t xml:space="preserve"> </w:t>
      </w:r>
      <w:r>
        <w:t>team’s</w:t>
      </w:r>
      <w:r>
        <w:rPr>
          <w:spacing w:val="-4"/>
        </w:rPr>
        <w:t xml:space="preserve"> </w:t>
      </w:r>
      <w:r>
        <w:t>requirements;</w:t>
      </w:r>
      <w:r>
        <w:rPr>
          <w:spacing w:val="-5"/>
        </w:rPr>
        <w:t xml:space="preserve"> </w:t>
      </w:r>
      <w:r>
        <w:t>and</w:t>
      </w:r>
    </w:p>
    <w:p w14:paraId="0DFDAE29" w14:textId="77777777" w:rsidR="00046465" w:rsidRDefault="008134EB">
      <w:pPr>
        <w:pStyle w:val="ListParagraph"/>
        <w:numPr>
          <w:ilvl w:val="1"/>
          <w:numId w:val="217"/>
        </w:numPr>
        <w:tabs>
          <w:tab w:val="left" w:pos="2159"/>
        </w:tabs>
        <w:ind w:right="965"/>
      </w:pPr>
      <w:r>
        <w:t>for</w:t>
      </w:r>
      <w:r>
        <w:rPr>
          <w:spacing w:val="-4"/>
        </w:rPr>
        <w:t xml:space="preserve"> </w:t>
      </w:r>
      <w:r>
        <w:t>those</w:t>
      </w:r>
      <w:r>
        <w:rPr>
          <w:spacing w:val="-4"/>
        </w:rPr>
        <w:t xml:space="preserve"> </w:t>
      </w:r>
      <w:r>
        <w:t>components</w:t>
      </w:r>
      <w:r>
        <w:rPr>
          <w:spacing w:val="-4"/>
        </w:rPr>
        <w:t xml:space="preserve"> </w:t>
      </w:r>
      <w:r>
        <w:t>for</w:t>
      </w:r>
      <w:r>
        <w:rPr>
          <w:spacing w:val="-4"/>
        </w:rPr>
        <w:t xml:space="preserve"> </w:t>
      </w:r>
      <w:r>
        <w:t>which</w:t>
      </w:r>
      <w:r>
        <w:rPr>
          <w:spacing w:val="-4"/>
        </w:rPr>
        <w:t xml:space="preserve"> </w:t>
      </w:r>
      <w:r>
        <w:t>reference</w:t>
      </w:r>
      <w:r>
        <w:rPr>
          <w:spacing w:val="-4"/>
        </w:rPr>
        <w:t xml:space="preserve"> </w:t>
      </w:r>
      <w:r>
        <w:t>is</w:t>
      </w:r>
      <w:r>
        <w:rPr>
          <w:spacing w:val="-4"/>
        </w:rPr>
        <w:t xml:space="preserve"> </w:t>
      </w:r>
      <w:r>
        <w:t>made</w:t>
      </w:r>
      <w:r>
        <w:rPr>
          <w:spacing w:val="-4"/>
        </w:rPr>
        <w:t xml:space="preserve"> </w:t>
      </w:r>
      <w:r>
        <w:t>in</w:t>
      </w:r>
      <w:r>
        <w:rPr>
          <w:spacing w:val="-4"/>
        </w:rPr>
        <w:t xml:space="preserve"> </w:t>
      </w:r>
      <w:r>
        <w:t>the</w:t>
      </w:r>
      <w:r>
        <w:rPr>
          <w:spacing w:val="-4"/>
        </w:rPr>
        <w:t xml:space="preserve"> </w:t>
      </w:r>
      <w:r>
        <w:t>auditor’s</w:t>
      </w:r>
      <w:r>
        <w:rPr>
          <w:spacing w:val="-3"/>
        </w:rPr>
        <w:t xml:space="preserve"> </w:t>
      </w:r>
      <w:r>
        <w:t>report</w:t>
      </w:r>
      <w:r>
        <w:rPr>
          <w:spacing w:val="-5"/>
        </w:rPr>
        <w:t xml:space="preserve"> </w:t>
      </w:r>
      <w:r>
        <w:t>on the group financial statements to the audit of a component auditor,</w:t>
      </w:r>
    </w:p>
    <w:p w14:paraId="0DFDAE2A" w14:textId="77777777" w:rsidR="00046465" w:rsidRDefault="008134EB">
      <w:pPr>
        <w:pStyle w:val="ListParagraph"/>
        <w:numPr>
          <w:ilvl w:val="2"/>
          <w:numId w:val="217"/>
        </w:numPr>
        <w:tabs>
          <w:tab w:val="left" w:pos="2519"/>
        </w:tabs>
        <w:spacing w:before="119"/>
        <w:ind w:left="2519" w:right="1804"/>
      </w:pPr>
      <w:r>
        <w:t>the</w:t>
      </w:r>
      <w:r>
        <w:rPr>
          <w:spacing w:val="-4"/>
        </w:rPr>
        <w:t xml:space="preserve"> </w:t>
      </w:r>
      <w:r>
        <w:t>financial</w:t>
      </w:r>
      <w:r>
        <w:rPr>
          <w:spacing w:val="-5"/>
        </w:rPr>
        <w:t xml:space="preserve"> </w:t>
      </w:r>
      <w:r>
        <w:t>statements</w:t>
      </w:r>
      <w:r>
        <w:rPr>
          <w:spacing w:val="-4"/>
        </w:rPr>
        <w:t xml:space="preserve"> </w:t>
      </w:r>
      <w:r>
        <w:t>of</w:t>
      </w:r>
      <w:r>
        <w:rPr>
          <w:spacing w:val="-4"/>
        </w:rPr>
        <w:t xml:space="preserve"> </w:t>
      </w:r>
      <w:r>
        <w:t>the</w:t>
      </w:r>
      <w:r>
        <w:rPr>
          <w:spacing w:val="-4"/>
        </w:rPr>
        <w:t xml:space="preserve"> </w:t>
      </w:r>
      <w:r>
        <w:t>component</w:t>
      </w:r>
      <w:r>
        <w:rPr>
          <w:spacing w:val="-4"/>
        </w:rPr>
        <w:t xml:space="preserve"> </w:t>
      </w:r>
      <w:r>
        <w:t>and</w:t>
      </w:r>
      <w:r>
        <w:rPr>
          <w:spacing w:val="-4"/>
        </w:rPr>
        <w:t xml:space="preserve"> </w:t>
      </w:r>
      <w:r>
        <w:t>the</w:t>
      </w:r>
      <w:r>
        <w:rPr>
          <w:spacing w:val="-4"/>
        </w:rPr>
        <w:t xml:space="preserve"> </w:t>
      </w:r>
      <w:r>
        <w:t>report</w:t>
      </w:r>
      <w:r>
        <w:rPr>
          <w:spacing w:val="-4"/>
        </w:rPr>
        <w:t xml:space="preserve"> </w:t>
      </w:r>
      <w:r>
        <w:t>of</w:t>
      </w:r>
      <w:r>
        <w:rPr>
          <w:spacing w:val="-4"/>
        </w:rPr>
        <w:t xml:space="preserve"> </w:t>
      </w:r>
      <w:r>
        <w:t>the component auditor thereon and</w:t>
      </w:r>
    </w:p>
    <w:p w14:paraId="0DFDAE2B" w14:textId="77777777" w:rsidR="00046465" w:rsidRDefault="008134EB">
      <w:pPr>
        <w:pStyle w:val="ListParagraph"/>
        <w:numPr>
          <w:ilvl w:val="2"/>
          <w:numId w:val="217"/>
        </w:numPr>
        <w:tabs>
          <w:tab w:val="left" w:pos="2519"/>
        </w:tabs>
        <w:spacing w:before="118"/>
        <w:ind w:left="2519" w:right="986"/>
      </w:pPr>
      <w:r>
        <w:t>when the component auditor’s report on the component’s financial statements does not state that the audit of the component’s financial statements was performed in accordance with GAGAS (which incorporates</w:t>
      </w:r>
      <w:r>
        <w:rPr>
          <w:spacing w:val="-6"/>
        </w:rPr>
        <w:t xml:space="preserve"> </w:t>
      </w:r>
      <w:r>
        <w:t>U.S.</w:t>
      </w:r>
      <w:r>
        <w:rPr>
          <w:spacing w:val="-5"/>
        </w:rPr>
        <w:t xml:space="preserve"> </w:t>
      </w:r>
      <w:r>
        <w:t>GAAS)</w:t>
      </w:r>
      <w:r>
        <w:rPr>
          <w:spacing w:val="-5"/>
        </w:rPr>
        <w:t xml:space="preserve"> </w:t>
      </w:r>
      <w:r>
        <w:t>or</w:t>
      </w:r>
      <w:r>
        <w:rPr>
          <w:spacing w:val="-5"/>
        </w:rPr>
        <w:t xml:space="preserve"> </w:t>
      </w:r>
      <w:r>
        <w:t>the</w:t>
      </w:r>
      <w:r>
        <w:rPr>
          <w:spacing w:val="-5"/>
        </w:rPr>
        <w:t xml:space="preserve"> </w:t>
      </w:r>
      <w:r>
        <w:t>standards</w:t>
      </w:r>
      <w:r>
        <w:rPr>
          <w:spacing w:val="-5"/>
        </w:rPr>
        <w:t xml:space="preserve"> </w:t>
      </w:r>
      <w:r>
        <w:t>promulgated</w:t>
      </w:r>
      <w:r>
        <w:rPr>
          <w:spacing w:val="-5"/>
        </w:rPr>
        <w:t xml:space="preserve"> </w:t>
      </w:r>
      <w:r>
        <w:t>by</w:t>
      </w:r>
      <w:r>
        <w:rPr>
          <w:spacing w:val="-5"/>
        </w:rPr>
        <w:t xml:space="preserve"> </w:t>
      </w:r>
      <w:r>
        <w:t>the</w:t>
      </w:r>
      <w:r>
        <w:rPr>
          <w:spacing w:val="-5"/>
        </w:rPr>
        <w:t xml:space="preserve"> </w:t>
      </w:r>
      <w:r>
        <w:t>PCAOB, the basis for the group engagement partner’s determination that the component auditor’s audit met the relevant requirements of GAGAS.</w:t>
      </w:r>
    </w:p>
    <w:p w14:paraId="0DFDAE2C" w14:textId="77777777" w:rsidR="00046465" w:rsidRDefault="008134EB">
      <w:pPr>
        <w:pStyle w:val="BodyText"/>
        <w:spacing w:before="119"/>
        <w:ind w:left="1799" w:right="844"/>
      </w:pPr>
      <w:r>
        <w:t>See</w:t>
      </w:r>
      <w:r>
        <w:rPr>
          <w:spacing w:val="-5"/>
        </w:rPr>
        <w:t xml:space="preserve"> </w:t>
      </w:r>
      <w:r>
        <w:t>FAM</w:t>
      </w:r>
      <w:r>
        <w:rPr>
          <w:spacing w:val="-6"/>
        </w:rPr>
        <w:t xml:space="preserve"> </w:t>
      </w:r>
      <w:r>
        <w:t>630.74</w:t>
      </w:r>
      <w:r>
        <w:rPr>
          <w:spacing w:val="-5"/>
        </w:rPr>
        <w:t xml:space="preserve"> </w:t>
      </w:r>
      <w:r>
        <w:t>for</w:t>
      </w:r>
      <w:r>
        <w:rPr>
          <w:spacing w:val="-5"/>
        </w:rPr>
        <w:t xml:space="preserve"> </w:t>
      </w:r>
      <w:r>
        <w:t>additional</w:t>
      </w:r>
      <w:r>
        <w:rPr>
          <w:spacing w:val="-5"/>
        </w:rPr>
        <w:t xml:space="preserve"> </w:t>
      </w:r>
      <w:r>
        <w:t>requirements</w:t>
      </w:r>
      <w:r>
        <w:rPr>
          <w:spacing w:val="-5"/>
        </w:rPr>
        <w:t xml:space="preserve"> </w:t>
      </w:r>
      <w:r>
        <w:t>when</w:t>
      </w:r>
      <w:r>
        <w:rPr>
          <w:spacing w:val="-5"/>
        </w:rPr>
        <w:t xml:space="preserve"> </w:t>
      </w:r>
      <w:r>
        <w:t>assuming</w:t>
      </w:r>
      <w:r>
        <w:rPr>
          <w:spacing w:val="-6"/>
        </w:rPr>
        <w:t xml:space="preserve"> </w:t>
      </w:r>
      <w:r>
        <w:t>responsibility</w:t>
      </w:r>
      <w:r>
        <w:rPr>
          <w:spacing w:val="-5"/>
        </w:rPr>
        <w:t xml:space="preserve"> </w:t>
      </w:r>
      <w:r>
        <w:t>for the work of a component auditor.</w:t>
      </w:r>
    </w:p>
    <w:p w14:paraId="0DFDAE2D" w14:textId="77777777" w:rsidR="00046465" w:rsidRDefault="008134EB">
      <w:pPr>
        <w:pStyle w:val="ListParagraph"/>
        <w:numPr>
          <w:ilvl w:val="0"/>
          <w:numId w:val="217"/>
        </w:numPr>
        <w:tabs>
          <w:tab w:val="left" w:pos="1799"/>
        </w:tabs>
        <w:ind w:left="1799" w:right="802"/>
      </w:pPr>
      <w:r>
        <w:t>In addition, when the group engagement team performs additional audit procedures, the group engagement team’s documentation should contain a description</w:t>
      </w:r>
      <w:r>
        <w:rPr>
          <w:spacing w:val="-6"/>
        </w:rPr>
        <w:t xml:space="preserve"> </w:t>
      </w:r>
      <w:r>
        <w:t>of</w:t>
      </w:r>
      <w:r>
        <w:rPr>
          <w:spacing w:val="-3"/>
        </w:rPr>
        <w:t xml:space="preserve"> </w:t>
      </w:r>
      <w:r>
        <w:t>the</w:t>
      </w:r>
      <w:r>
        <w:rPr>
          <w:spacing w:val="-3"/>
        </w:rPr>
        <w:t xml:space="preserve"> </w:t>
      </w:r>
      <w:r>
        <w:t>work</w:t>
      </w:r>
      <w:r>
        <w:rPr>
          <w:spacing w:val="-3"/>
        </w:rPr>
        <w:t xml:space="preserve"> </w:t>
      </w:r>
      <w:r>
        <w:t>(this</w:t>
      </w:r>
      <w:r>
        <w:rPr>
          <w:spacing w:val="-3"/>
        </w:rPr>
        <w:t xml:space="preserve"> </w:t>
      </w:r>
      <w:r>
        <w:t>may</w:t>
      </w:r>
      <w:r>
        <w:rPr>
          <w:spacing w:val="-3"/>
        </w:rPr>
        <w:t xml:space="preserve"> </w:t>
      </w:r>
      <w:r>
        <w:t>be</w:t>
      </w:r>
      <w:r>
        <w:rPr>
          <w:spacing w:val="-4"/>
        </w:rPr>
        <w:t xml:space="preserve"> </w:t>
      </w:r>
      <w:r>
        <w:t>a</w:t>
      </w:r>
      <w:r>
        <w:rPr>
          <w:spacing w:val="-3"/>
        </w:rPr>
        <w:t xml:space="preserve"> </w:t>
      </w:r>
      <w:r>
        <w:t>list</w:t>
      </w:r>
      <w:r>
        <w:rPr>
          <w:spacing w:val="-3"/>
        </w:rPr>
        <w:t xml:space="preserve"> </w:t>
      </w:r>
      <w:r>
        <w:t>of</w:t>
      </w:r>
      <w:r>
        <w:rPr>
          <w:spacing w:val="-3"/>
        </w:rPr>
        <w:t xml:space="preserve"> </w:t>
      </w:r>
      <w:r>
        <w:t>the</w:t>
      </w:r>
      <w:r>
        <w:rPr>
          <w:spacing w:val="-6"/>
        </w:rPr>
        <w:t xml:space="preserve"> </w:t>
      </w:r>
      <w:r>
        <w:t>documents</w:t>
      </w:r>
      <w:r>
        <w:rPr>
          <w:spacing w:val="-3"/>
        </w:rPr>
        <w:t xml:space="preserve"> </w:t>
      </w:r>
      <w:r>
        <w:t>the</w:t>
      </w:r>
      <w:r>
        <w:rPr>
          <w:spacing w:val="-3"/>
        </w:rPr>
        <w:t xml:space="preserve"> </w:t>
      </w:r>
      <w:r>
        <w:t>auditor</w:t>
      </w:r>
      <w:r>
        <w:rPr>
          <w:spacing w:val="-3"/>
        </w:rPr>
        <w:t xml:space="preserve"> </w:t>
      </w:r>
      <w:r>
        <w:t>examined or tick marks on a copy of the component auditor’s documentation if that is the basis for the selection) and the group engagement team’s conclusion. It is not necessary to retain copies of the documents examined.</w:t>
      </w:r>
    </w:p>
    <w:p w14:paraId="0DFDAE2E" w14:textId="77777777" w:rsidR="00046465" w:rsidRDefault="008134EB">
      <w:pPr>
        <w:pStyle w:val="ListParagraph"/>
        <w:numPr>
          <w:ilvl w:val="0"/>
          <w:numId w:val="217"/>
        </w:numPr>
        <w:tabs>
          <w:tab w:val="left" w:pos="1799"/>
        </w:tabs>
        <w:ind w:left="1799" w:right="776"/>
      </w:pPr>
      <w:r>
        <w:t>There is a difference between the group engagement team’s responsibilities to review the documentation of component auditors and what the group engagement team may copy and retain from that documentation. The group engagement team uses professional judgment in deciding which of the component</w:t>
      </w:r>
      <w:r>
        <w:rPr>
          <w:spacing w:val="-2"/>
        </w:rPr>
        <w:t xml:space="preserve"> </w:t>
      </w:r>
      <w:r>
        <w:t>auditor’s</w:t>
      </w:r>
      <w:r>
        <w:rPr>
          <w:spacing w:val="-2"/>
        </w:rPr>
        <w:t xml:space="preserve"> </w:t>
      </w:r>
      <w:r>
        <w:t>documents</w:t>
      </w:r>
      <w:r>
        <w:rPr>
          <w:spacing w:val="-2"/>
        </w:rPr>
        <w:t xml:space="preserve"> </w:t>
      </w:r>
      <w:r>
        <w:t>to</w:t>
      </w:r>
      <w:r>
        <w:rPr>
          <w:spacing w:val="-2"/>
        </w:rPr>
        <w:t xml:space="preserve"> </w:t>
      </w:r>
      <w:r>
        <w:t>copy</w:t>
      </w:r>
      <w:r>
        <w:rPr>
          <w:spacing w:val="-2"/>
        </w:rPr>
        <w:t xml:space="preserve"> </w:t>
      </w:r>
      <w:r>
        <w:t>and</w:t>
      </w:r>
      <w:r>
        <w:rPr>
          <w:spacing w:val="-2"/>
        </w:rPr>
        <w:t xml:space="preserve"> </w:t>
      </w:r>
      <w:r>
        <w:t>retain.</w:t>
      </w:r>
      <w:r>
        <w:rPr>
          <w:spacing w:val="-2"/>
        </w:rPr>
        <w:t xml:space="preserve"> </w:t>
      </w:r>
      <w:r>
        <w:t>However,</w:t>
      </w:r>
      <w:r>
        <w:rPr>
          <w:spacing w:val="-2"/>
        </w:rPr>
        <w:t xml:space="preserve"> </w:t>
      </w:r>
      <w:r>
        <w:t>many</w:t>
      </w:r>
      <w:r>
        <w:rPr>
          <w:spacing w:val="-2"/>
        </w:rPr>
        <w:t xml:space="preserve"> </w:t>
      </w:r>
      <w:r>
        <w:t>auditors</w:t>
      </w:r>
      <w:r>
        <w:rPr>
          <w:spacing w:val="-2"/>
        </w:rPr>
        <w:t xml:space="preserve"> </w:t>
      </w:r>
      <w:r>
        <w:t>use electronic technology to retain documentation for the entire audit. The group engagement team may cite this documentation as part of the review to include any</w:t>
      </w:r>
      <w:r>
        <w:rPr>
          <w:spacing w:val="-4"/>
        </w:rPr>
        <w:t xml:space="preserve"> </w:t>
      </w:r>
      <w:r>
        <w:t>additional</w:t>
      </w:r>
      <w:r>
        <w:rPr>
          <w:spacing w:val="-4"/>
        </w:rPr>
        <w:t xml:space="preserve"> </w:t>
      </w:r>
      <w:r>
        <w:t>audit</w:t>
      </w:r>
      <w:r>
        <w:rPr>
          <w:spacing w:val="-4"/>
        </w:rPr>
        <w:t xml:space="preserve"> </w:t>
      </w:r>
      <w:r>
        <w:t>procedures</w:t>
      </w:r>
      <w:r>
        <w:rPr>
          <w:spacing w:val="-4"/>
        </w:rPr>
        <w:t xml:space="preserve"> </w:t>
      </w:r>
      <w:r>
        <w:t>performed</w:t>
      </w:r>
      <w:r>
        <w:rPr>
          <w:spacing w:val="-4"/>
        </w:rPr>
        <w:t xml:space="preserve"> </w:t>
      </w:r>
      <w:r>
        <w:t>on</w:t>
      </w:r>
      <w:r>
        <w:rPr>
          <w:spacing w:val="-4"/>
        </w:rPr>
        <w:t xml:space="preserve"> </w:t>
      </w:r>
      <w:r>
        <w:t>the</w:t>
      </w:r>
      <w:r>
        <w:rPr>
          <w:spacing w:val="-4"/>
        </w:rPr>
        <w:t xml:space="preserve"> </w:t>
      </w:r>
      <w:r>
        <w:t>component</w:t>
      </w:r>
      <w:r>
        <w:rPr>
          <w:spacing w:val="-4"/>
        </w:rPr>
        <w:t xml:space="preserve"> </w:t>
      </w:r>
      <w:r>
        <w:t>auditor’s</w:t>
      </w:r>
      <w:r>
        <w:rPr>
          <w:spacing w:val="-4"/>
        </w:rPr>
        <w:t xml:space="preserve"> </w:t>
      </w:r>
      <w:r>
        <w:t>work.</w:t>
      </w:r>
      <w:r>
        <w:rPr>
          <w:spacing w:val="-4"/>
        </w:rPr>
        <w:t xml:space="preserve"> </w:t>
      </w:r>
      <w:r>
        <w:t>The group engagement team may print any documents as necessary.</w:t>
      </w:r>
    </w:p>
    <w:p w14:paraId="0DFDAE2F" w14:textId="77777777" w:rsidR="00046465" w:rsidRDefault="008134EB">
      <w:pPr>
        <w:pStyle w:val="ListParagraph"/>
        <w:numPr>
          <w:ilvl w:val="0"/>
          <w:numId w:val="217"/>
        </w:numPr>
        <w:tabs>
          <w:tab w:val="left" w:pos="1799"/>
        </w:tabs>
        <w:ind w:left="1799" w:right="750"/>
      </w:pPr>
      <w:r>
        <w:t>The</w:t>
      </w:r>
      <w:r>
        <w:rPr>
          <w:spacing w:val="-4"/>
        </w:rPr>
        <w:t xml:space="preserve"> </w:t>
      </w:r>
      <w:r>
        <w:t>group</w:t>
      </w:r>
      <w:r>
        <w:rPr>
          <w:spacing w:val="-4"/>
        </w:rPr>
        <w:t xml:space="preserve"> </w:t>
      </w:r>
      <w:r>
        <w:t>engagement</w:t>
      </w:r>
      <w:r>
        <w:rPr>
          <w:spacing w:val="-4"/>
        </w:rPr>
        <w:t xml:space="preserve"> </w:t>
      </w:r>
      <w:r>
        <w:t>team</w:t>
      </w:r>
      <w:r>
        <w:rPr>
          <w:spacing w:val="-4"/>
        </w:rPr>
        <w:t xml:space="preserve"> </w:t>
      </w:r>
      <w:r>
        <w:t>may</w:t>
      </w:r>
      <w:r>
        <w:rPr>
          <w:spacing w:val="-4"/>
        </w:rPr>
        <w:t xml:space="preserve"> </w:t>
      </w:r>
      <w:r>
        <w:t>retain</w:t>
      </w:r>
      <w:r>
        <w:rPr>
          <w:spacing w:val="-4"/>
        </w:rPr>
        <w:t xml:space="preserve"> </w:t>
      </w:r>
      <w:r>
        <w:t>other</w:t>
      </w:r>
      <w:r>
        <w:rPr>
          <w:spacing w:val="-4"/>
        </w:rPr>
        <w:t xml:space="preserve"> </w:t>
      </w:r>
      <w:r>
        <w:t>documentation</w:t>
      </w:r>
      <w:r>
        <w:rPr>
          <w:spacing w:val="-4"/>
        </w:rPr>
        <w:t xml:space="preserve"> </w:t>
      </w:r>
      <w:r>
        <w:t>if</w:t>
      </w:r>
      <w:r>
        <w:rPr>
          <w:spacing w:val="-4"/>
        </w:rPr>
        <w:t xml:space="preserve"> </w:t>
      </w:r>
      <w:r>
        <w:t>it</w:t>
      </w:r>
      <w:r>
        <w:rPr>
          <w:spacing w:val="-4"/>
        </w:rPr>
        <w:t xml:space="preserve"> </w:t>
      </w:r>
      <w:r>
        <w:t>might</w:t>
      </w:r>
      <w:r>
        <w:rPr>
          <w:spacing w:val="-4"/>
        </w:rPr>
        <w:t xml:space="preserve"> </w:t>
      </w:r>
      <w:r>
        <w:t>be</w:t>
      </w:r>
      <w:r>
        <w:rPr>
          <w:spacing w:val="-4"/>
        </w:rPr>
        <w:t xml:space="preserve"> </w:t>
      </w:r>
      <w:r>
        <w:t>useful in understanding the entity, training staff members, planning future audits, reviewing the documentation, or writing the report. Documentation in this</w:t>
      </w:r>
    </w:p>
    <w:p w14:paraId="0DFDAE30" w14:textId="77777777" w:rsidR="00046465" w:rsidRDefault="00046465">
      <w:pPr>
        <w:pStyle w:val="ListParagraph"/>
        <w:sectPr w:rsidR="00046465">
          <w:pgSz w:w="12240" w:h="15840"/>
          <w:pgMar w:top="1340" w:right="720" w:bottom="1020" w:left="1080" w:header="721" w:footer="757" w:gutter="0"/>
          <w:cols w:space="720"/>
        </w:sectPr>
      </w:pPr>
    </w:p>
    <w:p w14:paraId="0DFDAE31" w14:textId="77777777" w:rsidR="00046465" w:rsidRDefault="008134EB">
      <w:pPr>
        <w:pStyle w:val="BodyText"/>
        <w:spacing w:before="121"/>
        <w:ind w:left="1800" w:right="773"/>
      </w:pPr>
      <w:r>
        <w:lastRenderedPageBreak/>
        <w:t>category includes the entity profile (or equivalent), audit strategy, audit procedures, LIRA forms and SCE worksheets (or equivalent), trial balance or lead schedules, management representation letter,</w:t>
      </w:r>
      <w:r>
        <w:rPr>
          <w:spacing w:val="-1"/>
        </w:rPr>
        <w:t xml:space="preserve"> </w:t>
      </w:r>
      <w:r>
        <w:t>and legal</w:t>
      </w:r>
      <w:r>
        <w:rPr>
          <w:spacing w:val="-1"/>
        </w:rPr>
        <w:t xml:space="preserve"> </w:t>
      </w:r>
      <w:r>
        <w:t>counsel response. Auditors</w:t>
      </w:r>
      <w:r>
        <w:rPr>
          <w:spacing w:val="-3"/>
        </w:rPr>
        <w:t xml:space="preserve"> </w:t>
      </w:r>
      <w:r>
        <w:t>often</w:t>
      </w:r>
      <w:r>
        <w:rPr>
          <w:spacing w:val="-3"/>
        </w:rPr>
        <w:t xml:space="preserve"> </w:t>
      </w:r>
      <w:r>
        <w:t>find</w:t>
      </w:r>
      <w:r>
        <w:rPr>
          <w:spacing w:val="-4"/>
        </w:rPr>
        <w:t xml:space="preserve"> </w:t>
      </w:r>
      <w:r>
        <w:t>it</w:t>
      </w:r>
      <w:r>
        <w:rPr>
          <w:spacing w:val="-3"/>
        </w:rPr>
        <w:t xml:space="preserve"> </w:t>
      </w:r>
      <w:r>
        <w:t>helpful</w:t>
      </w:r>
      <w:r>
        <w:rPr>
          <w:spacing w:val="-3"/>
        </w:rPr>
        <w:t xml:space="preserve"> </w:t>
      </w:r>
      <w:r>
        <w:t>to</w:t>
      </w:r>
      <w:r>
        <w:rPr>
          <w:spacing w:val="-4"/>
        </w:rPr>
        <w:t xml:space="preserve"> </w:t>
      </w:r>
      <w:r>
        <w:t>keep</w:t>
      </w:r>
      <w:r>
        <w:rPr>
          <w:spacing w:val="-4"/>
        </w:rPr>
        <w:t xml:space="preserve"> </w:t>
      </w:r>
      <w:r>
        <w:t>copies</w:t>
      </w:r>
      <w:r>
        <w:rPr>
          <w:spacing w:val="-3"/>
        </w:rPr>
        <w:t xml:space="preserve"> </w:t>
      </w:r>
      <w:r>
        <w:t>of</w:t>
      </w:r>
      <w:r>
        <w:rPr>
          <w:spacing w:val="-3"/>
        </w:rPr>
        <w:t xml:space="preserve"> </w:t>
      </w:r>
      <w:r>
        <w:t>documents</w:t>
      </w:r>
      <w:r>
        <w:rPr>
          <w:spacing w:val="-4"/>
        </w:rPr>
        <w:t xml:space="preserve"> </w:t>
      </w:r>
      <w:r>
        <w:t>(either</w:t>
      </w:r>
      <w:r>
        <w:rPr>
          <w:spacing w:val="-3"/>
        </w:rPr>
        <w:t xml:space="preserve"> </w:t>
      </w:r>
      <w:r>
        <w:t>electronically</w:t>
      </w:r>
      <w:r>
        <w:rPr>
          <w:spacing w:val="-3"/>
        </w:rPr>
        <w:t xml:space="preserve"> </w:t>
      </w:r>
      <w:r>
        <w:t>or in hard copy) in case questions are raised in review but not to include those copies</w:t>
      </w:r>
      <w:r>
        <w:rPr>
          <w:spacing w:val="-4"/>
        </w:rPr>
        <w:t xml:space="preserve"> </w:t>
      </w:r>
      <w:r>
        <w:t>in</w:t>
      </w:r>
      <w:r>
        <w:rPr>
          <w:spacing w:val="-5"/>
        </w:rPr>
        <w:t xml:space="preserve"> </w:t>
      </w:r>
      <w:r>
        <w:t>the</w:t>
      </w:r>
      <w:r>
        <w:rPr>
          <w:spacing w:val="-4"/>
        </w:rPr>
        <w:t xml:space="preserve"> </w:t>
      </w:r>
      <w:r>
        <w:t>audit</w:t>
      </w:r>
      <w:r>
        <w:rPr>
          <w:spacing w:val="-4"/>
        </w:rPr>
        <w:t xml:space="preserve"> </w:t>
      </w:r>
      <w:r>
        <w:t>documentation</w:t>
      </w:r>
      <w:r>
        <w:rPr>
          <w:spacing w:val="-4"/>
        </w:rPr>
        <w:t xml:space="preserve"> </w:t>
      </w:r>
      <w:r>
        <w:t>unless</w:t>
      </w:r>
      <w:r>
        <w:rPr>
          <w:spacing w:val="-4"/>
        </w:rPr>
        <w:t xml:space="preserve"> </w:t>
      </w:r>
      <w:r>
        <w:t>they</w:t>
      </w:r>
      <w:r>
        <w:rPr>
          <w:spacing w:val="-4"/>
        </w:rPr>
        <w:t xml:space="preserve"> </w:t>
      </w:r>
      <w:r>
        <w:t>are</w:t>
      </w:r>
      <w:r>
        <w:rPr>
          <w:spacing w:val="-4"/>
        </w:rPr>
        <w:t xml:space="preserve"> </w:t>
      </w:r>
      <w:r>
        <w:t>needed</w:t>
      </w:r>
      <w:r>
        <w:rPr>
          <w:spacing w:val="-4"/>
        </w:rPr>
        <w:t xml:space="preserve"> </w:t>
      </w:r>
      <w:r>
        <w:t>to</w:t>
      </w:r>
      <w:r>
        <w:rPr>
          <w:spacing w:val="-4"/>
        </w:rPr>
        <w:t xml:space="preserve"> </w:t>
      </w:r>
      <w:r>
        <w:t>document</w:t>
      </w:r>
      <w:r>
        <w:rPr>
          <w:spacing w:val="-4"/>
        </w:rPr>
        <w:t xml:space="preserve"> </w:t>
      </w:r>
      <w:r>
        <w:t>the</w:t>
      </w:r>
      <w:r>
        <w:rPr>
          <w:spacing w:val="-4"/>
        </w:rPr>
        <w:t xml:space="preserve"> </w:t>
      </w:r>
      <w:r>
        <w:t xml:space="preserve">work </w:t>
      </w:r>
      <w:r>
        <w:rPr>
          <w:spacing w:val="-2"/>
        </w:rPr>
        <w:t>performed.</w:t>
      </w:r>
    </w:p>
    <w:p w14:paraId="0DFDAE32" w14:textId="77777777" w:rsidR="00046465" w:rsidRDefault="008134EB">
      <w:pPr>
        <w:pStyle w:val="BodyText"/>
        <w:spacing w:before="119"/>
        <w:ind w:left="1800" w:right="749"/>
      </w:pPr>
      <w:r>
        <w:t>The group engagement team should retain documents in accordance with the contract or other legal requirements, but not less than 5 years from the report release</w:t>
      </w:r>
      <w:r>
        <w:rPr>
          <w:spacing w:val="-4"/>
        </w:rPr>
        <w:t xml:space="preserve"> </w:t>
      </w:r>
      <w:r>
        <w:t>date</w:t>
      </w:r>
      <w:r>
        <w:rPr>
          <w:spacing w:val="-5"/>
        </w:rPr>
        <w:t xml:space="preserve"> </w:t>
      </w:r>
      <w:r>
        <w:t>(AU-C</w:t>
      </w:r>
      <w:r>
        <w:rPr>
          <w:spacing w:val="-5"/>
        </w:rPr>
        <w:t xml:space="preserve"> </w:t>
      </w:r>
      <w:r>
        <w:t>230.17).</w:t>
      </w:r>
      <w:r>
        <w:rPr>
          <w:spacing w:val="-4"/>
        </w:rPr>
        <w:t xml:space="preserve"> </w:t>
      </w:r>
      <w:r>
        <w:t>Audit</w:t>
      </w:r>
      <w:r>
        <w:rPr>
          <w:spacing w:val="-4"/>
        </w:rPr>
        <w:t xml:space="preserve"> </w:t>
      </w:r>
      <w:r>
        <w:t>procedures</w:t>
      </w:r>
      <w:r>
        <w:rPr>
          <w:spacing w:val="-4"/>
        </w:rPr>
        <w:t xml:space="preserve"> </w:t>
      </w:r>
      <w:r>
        <w:t>may</w:t>
      </w:r>
      <w:r>
        <w:rPr>
          <w:spacing w:val="-4"/>
        </w:rPr>
        <w:t xml:space="preserve"> </w:t>
      </w:r>
      <w:r>
        <w:t>indicate</w:t>
      </w:r>
      <w:r>
        <w:rPr>
          <w:spacing w:val="-5"/>
        </w:rPr>
        <w:t xml:space="preserve"> </w:t>
      </w:r>
      <w:r>
        <w:t>which</w:t>
      </w:r>
      <w:r>
        <w:rPr>
          <w:spacing w:val="-4"/>
        </w:rPr>
        <w:t xml:space="preserve"> </w:t>
      </w:r>
      <w:r>
        <w:t>documents</w:t>
      </w:r>
      <w:r>
        <w:rPr>
          <w:spacing w:val="-4"/>
        </w:rPr>
        <w:t xml:space="preserve"> </w:t>
      </w:r>
      <w:r>
        <w:t>to retain. These documents should be included in the final audit file by the documentation completion date (no later than 60 days after the report release date). The auditor should not discard documents between the documentation completion date and the end of the specified retention period (AU-C 230.16 through .17). In documenting the review, auditors may indicate the document number or index number used by the component auditor in order to locate the document at a later date.</w:t>
      </w:r>
    </w:p>
    <w:p w14:paraId="0DFDAE33" w14:textId="77777777" w:rsidR="00046465" w:rsidRDefault="008134EB">
      <w:pPr>
        <w:pStyle w:val="BodyText"/>
        <w:spacing w:before="121"/>
        <w:ind w:left="1800" w:right="749"/>
      </w:pPr>
      <w:r>
        <w:t>Ownership</w:t>
      </w:r>
      <w:r>
        <w:rPr>
          <w:spacing w:val="-5"/>
        </w:rPr>
        <w:t xml:space="preserve"> </w:t>
      </w:r>
      <w:r>
        <w:t>and</w:t>
      </w:r>
      <w:r>
        <w:rPr>
          <w:spacing w:val="-5"/>
        </w:rPr>
        <w:t xml:space="preserve"> </w:t>
      </w:r>
      <w:r>
        <w:t>confidentiality</w:t>
      </w:r>
      <w:r>
        <w:rPr>
          <w:spacing w:val="-5"/>
        </w:rPr>
        <w:t xml:space="preserve"> </w:t>
      </w:r>
      <w:r>
        <w:t>of</w:t>
      </w:r>
      <w:r>
        <w:rPr>
          <w:spacing w:val="-5"/>
        </w:rPr>
        <w:t xml:space="preserve"> </w:t>
      </w:r>
      <w:r>
        <w:t>audit</w:t>
      </w:r>
      <w:r>
        <w:rPr>
          <w:spacing w:val="-5"/>
        </w:rPr>
        <w:t xml:space="preserve"> </w:t>
      </w:r>
      <w:r>
        <w:t>documentation</w:t>
      </w:r>
      <w:r>
        <w:rPr>
          <w:spacing w:val="-5"/>
        </w:rPr>
        <w:t xml:space="preserve"> </w:t>
      </w:r>
      <w:r>
        <w:t>is</w:t>
      </w:r>
      <w:r>
        <w:rPr>
          <w:spacing w:val="-5"/>
        </w:rPr>
        <w:t xml:space="preserve"> </w:t>
      </w:r>
      <w:r>
        <w:t>determined</w:t>
      </w:r>
      <w:r>
        <w:rPr>
          <w:spacing w:val="-5"/>
        </w:rPr>
        <w:t xml:space="preserve"> </w:t>
      </w:r>
      <w:r>
        <w:t>by</w:t>
      </w:r>
      <w:r>
        <w:rPr>
          <w:spacing w:val="-5"/>
        </w:rPr>
        <w:t xml:space="preserve"> </w:t>
      </w:r>
      <w:r>
        <w:t>contract and other legal requirements (see AU-C 230.A29).</w:t>
      </w:r>
    </w:p>
    <w:p w14:paraId="0DFDAE34" w14:textId="77777777" w:rsidR="00046465" w:rsidRDefault="008134EB">
      <w:pPr>
        <w:pStyle w:val="BodyText"/>
        <w:spacing w:before="119"/>
        <w:ind w:left="1800" w:right="844"/>
      </w:pPr>
      <w:r>
        <w:t>See</w:t>
      </w:r>
      <w:r>
        <w:rPr>
          <w:spacing w:val="-5"/>
        </w:rPr>
        <w:t xml:space="preserve"> </w:t>
      </w:r>
      <w:r>
        <w:t>FAM</w:t>
      </w:r>
      <w:r>
        <w:rPr>
          <w:spacing w:val="-6"/>
        </w:rPr>
        <w:t xml:space="preserve"> </w:t>
      </w:r>
      <w:r>
        <w:t>630.74</w:t>
      </w:r>
      <w:r>
        <w:rPr>
          <w:spacing w:val="-5"/>
        </w:rPr>
        <w:t xml:space="preserve"> </w:t>
      </w:r>
      <w:r>
        <w:t>for</w:t>
      </w:r>
      <w:r>
        <w:rPr>
          <w:spacing w:val="-5"/>
        </w:rPr>
        <w:t xml:space="preserve"> </w:t>
      </w:r>
      <w:r>
        <w:t>additional</w:t>
      </w:r>
      <w:r>
        <w:rPr>
          <w:spacing w:val="-5"/>
        </w:rPr>
        <w:t xml:space="preserve"> </w:t>
      </w:r>
      <w:r>
        <w:t>requirements</w:t>
      </w:r>
      <w:r>
        <w:rPr>
          <w:spacing w:val="-5"/>
        </w:rPr>
        <w:t xml:space="preserve"> </w:t>
      </w:r>
      <w:r>
        <w:t>when</w:t>
      </w:r>
      <w:r>
        <w:rPr>
          <w:spacing w:val="-5"/>
        </w:rPr>
        <w:t xml:space="preserve"> </w:t>
      </w:r>
      <w:r>
        <w:t>assuming</w:t>
      </w:r>
      <w:r>
        <w:rPr>
          <w:spacing w:val="-6"/>
        </w:rPr>
        <w:t xml:space="preserve"> </w:t>
      </w:r>
      <w:r>
        <w:t>responsibility</w:t>
      </w:r>
      <w:r>
        <w:rPr>
          <w:spacing w:val="-5"/>
        </w:rPr>
        <w:t xml:space="preserve"> </w:t>
      </w:r>
      <w:r>
        <w:t>for the work of a component auditor.</w:t>
      </w:r>
    </w:p>
    <w:p w14:paraId="0DFDAE35" w14:textId="77777777" w:rsidR="00046465" w:rsidRDefault="008134EB">
      <w:pPr>
        <w:pStyle w:val="Heading4"/>
        <w:ind w:left="359"/>
      </w:pPr>
      <w:bookmarkStart w:id="59" w:name="Additional_Procedures_if_Assuming_Respon"/>
      <w:bookmarkEnd w:id="59"/>
      <w:r>
        <w:t>Additional</w:t>
      </w:r>
      <w:r>
        <w:rPr>
          <w:spacing w:val="-6"/>
        </w:rPr>
        <w:t xml:space="preserve"> </w:t>
      </w:r>
      <w:r>
        <w:t>Procedures</w:t>
      </w:r>
      <w:r>
        <w:rPr>
          <w:spacing w:val="-6"/>
        </w:rPr>
        <w:t xml:space="preserve"> </w:t>
      </w:r>
      <w:r>
        <w:t>if</w:t>
      </w:r>
      <w:r>
        <w:rPr>
          <w:spacing w:val="-6"/>
        </w:rPr>
        <w:t xml:space="preserve"> </w:t>
      </w:r>
      <w:r>
        <w:t>Assuming</w:t>
      </w:r>
      <w:r>
        <w:rPr>
          <w:spacing w:val="-7"/>
        </w:rPr>
        <w:t xml:space="preserve"> </w:t>
      </w:r>
      <w:r>
        <w:t>Responsibility</w:t>
      </w:r>
      <w:r>
        <w:rPr>
          <w:spacing w:val="-7"/>
        </w:rPr>
        <w:t xml:space="preserve"> </w:t>
      </w:r>
      <w:r>
        <w:t>for</w:t>
      </w:r>
      <w:r>
        <w:rPr>
          <w:spacing w:val="-6"/>
        </w:rPr>
        <w:t xml:space="preserve"> </w:t>
      </w:r>
      <w:r>
        <w:t>a</w:t>
      </w:r>
      <w:r>
        <w:rPr>
          <w:spacing w:val="-6"/>
        </w:rPr>
        <w:t xml:space="preserve"> </w:t>
      </w:r>
      <w:r>
        <w:t>Component Auditor’s Work</w:t>
      </w:r>
    </w:p>
    <w:p w14:paraId="0DFDAE36" w14:textId="77777777" w:rsidR="00046465" w:rsidRDefault="008134EB">
      <w:pPr>
        <w:pStyle w:val="Heading5"/>
        <w:rPr>
          <w:u w:val="none"/>
        </w:rPr>
      </w:pPr>
      <w:bookmarkStart w:id="60" w:name="Materiality"/>
      <w:bookmarkEnd w:id="60"/>
      <w:r>
        <w:rPr>
          <w:spacing w:val="-2"/>
        </w:rPr>
        <w:t>Materiality</w:t>
      </w:r>
    </w:p>
    <w:p w14:paraId="0DFDAE37" w14:textId="77777777" w:rsidR="00046465" w:rsidRDefault="008134EB">
      <w:pPr>
        <w:pStyle w:val="ListParagraph"/>
        <w:numPr>
          <w:ilvl w:val="0"/>
          <w:numId w:val="217"/>
        </w:numPr>
        <w:tabs>
          <w:tab w:val="left" w:pos="1800"/>
        </w:tabs>
        <w:spacing w:before="119"/>
        <w:ind w:right="788"/>
      </w:pPr>
      <w:r>
        <w:t>During</w:t>
      </w:r>
      <w:r>
        <w:rPr>
          <w:spacing w:val="-1"/>
        </w:rPr>
        <w:t xml:space="preserve"> </w:t>
      </w:r>
      <w:r>
        <w:t>an</w:t>
      </w:r>
      <w:r>
        <w:rPr>
          <w:spacing w:val="-1"/>
        </w:rPr>
        <w:t xml:space="preserve"> </w:t>
      </w:r>
      <w:r>
        <w:t>audit</w:t>
      </w:r>
      <w:r>
        <w:rPr>
          <w:spacing w:val="-1"/>
        </w:rPr>
        <w:t xml:space="preserve"> </w:t>
      </w:r>
      <w:r>
        <w:t>of</w:t>
      </w:r>
      <w:r>
        <w:rPr>
          <w:spacing w:val="-1"/>
        </w:rPr>
        <w:t xml:space="preserve"> </w:t>
      </w:r>
      <w:r>
        <w:t>a</w:t>
      </w:r>
      <w:r>
        <w:rPr>
          <w:spacing w:val="-1"/>
        </w:rPr>
        <w:t xml:space="preserve"> </w:t>
      </w:r>
      <w:r>
        <w:t>component’s</w:t>
      </w:r>
      <w:r>
        <w:rPr>
          <w:spacing w:val="-1"/>
        </w:rPr>
        <w:t xml:space="preserve"> </w:t>
      </w:r>
      <w:r>
        <w:t>financial</w:t>
      </w:r>
      <w:r>
        <w:rPr>
          <w:spacing w:val="-1"/>
        </w:rPr>
        <w:t xml:space="preserve"> </w:t>
      </w:r>
      <w:r>
        <w:t>information</w:t>
      </w:r>
      <w:r>
        <w:rPr>
          <w:spacing w:val="-1"/>
        </w:rPr>
        <w:t xml:space="preserve"> </w:t>
      </w:r>
      <w:r>
        <w:t>in</w:t>
      </w:r>
      <w:r>
        <w:rPr>
          <w:spacing w:val="-1"/>
        </w:rPr>
        <w:t xml:space="preserve"> </w:t>
      </w:r>
      <w:r>
        <w:t>which</w:t>
      </w:r>
      <w:r>
        <w:rPr>
          <w:spacing w:val="-1"/>
        </w:rPr>
        <w:t xml:space="preserve"> </w:t>
      </w:r>
      <w:r>
        <w:t>the</w:t>
      </w:r>
      <w:r>
        <w:rPr>
          <w:spacing w:val="-1"/>
        </w:rPr>
        <w:t xml:space="preserve"> </w:t>
      </w:r>
      <w:r>
        <w:t>auditor</w:t>
      </w:r>
      <w:r>
        <w:rPr>
          <w:spacing w:val="-1"/>
        </w:rPr>
        <w:t xml:space="preserve"> </w:t>
      </w:r>
      <w:r>
        <w:t>of</w:t>
      </w:r>
      <w:r>
        <w:rPr>
          <w:spacing w:val="-1"/>
        </w:rPr>
        <w:t xml:space="preserve"> </w:t>
      </w:r>
      <w:r>
        <w:t>the group</w:t>
      </w:r>
      <w:r>
        <w:rPr>
          <w:spacing w:val="-5"/>
        </w:rPr>
        <w:t xml:space="preserve"> </w:t>
      </w:r>
      <w:r>
        <w:t>financial</w:t>
      </w:r>
      <w:r>
        <w:rPr>
          <w:spacing w:val="-5"/>
        </w:rPr>
        <w:t xml:space="preserve"> </w:t>
      </w:r>
      <w:r>
        <w:t>statements</w:t>
      </w:r>
      <w:r>
        <w:rPr>
          <w:spacing w:val="-5"/>
        </w:rPr>
        <w:t xml:space="preserve"> </w:t>
      </w:r>
      <w:r>
        <w:t>is</w:t>
      </w:r>
      <w:r>
        <w:rPr>
          <w:spacing w:val="-5"/>
        </w:rPr>
        <w:t xml:space="preserve"> </w:t>
      </w:r>
      <w:r>
        <w:t>assuming</w:t>
      </w:r>
      <w:r>
        <w:rPr>
          <w:spacing w:val="-5"/>
        </w:rPr>
        <w:t xml:space="preserve"> </w:t>
      </w:r>
      <w:r>
        <w:t>responsibility</w:t>
      </w:r>
      <w:r>
        <w:rPr>
          <w:spacing w:val="-5"/>
        </w:rPr>
        <w:t xml:space="preserve"> </w:t>
      </w:r>
      <w:r>
        <w:t>for</w:t>
      </w:r>
      <w:r>
        <w:rPr>
          <w:spacing w:val="-6"/>
        </w:rPr>
        <w:t xml:space="preserve"> </w:t>
      </w:r>
      <w:r>
        <w:t>the</w:t>
      </w:r>
      <w:r>
        <w:rPr>
          <w:spacing w:val="-5"/>
        </w:rPr>
        <w:t xml:space="preserve"> </w:t>
      </w:r>
      <w:r>
        <w:t>component</w:t>
      </w:r>
      <w:r>
        <w:rPr>
          <w:spacing w:val="-5"/>
        </w:rPr>
        <w:t xml:space="preserve"> </w:t>
      </w:r>
      <w:r>
        <w:t>auditor’s work, the group engagement team should evaluate the appropriateness of performance materiality at the component level (AU-C 600A.51).</w:t>
      </w:r>
    </w:p>
    <w:p w14:paraId="0DFDAE38" w14:textId="77777777" w:rsidR="00046465" w:rsidRDefault="008134EB">
      <w:pPr>
        <w:pStyle w:val="Heading5"/>
        <w:spacing w:before="240"/>
        <w:ind w:right="726"/>
        <w:rPr>
          <w:u w:val="none"/>
        </w:rPr>
      </w:pPr>
      <w:bookmarkStart w:id="61" w:name="Determining_the_Type_of_Work_to_Be_Perfo"/>
      <w:bookmarkEnd w:id="61"/>
      <w:r>
        <w:t>Determining</w:t>
      </w:r>
      <w:r>
        <w:rPr>
          <w:spacing w:val="-4"/>
        </w:rPr>
        <w:t xml:space="preserve"> </w:t>
      </w:r>
      <w:r>
        <w:t>the</w:t>
      </w:r>
      <w:r>
        <w:rPr>
          <w:spacing w:val="-4"/>
        </w:rPr>
        <w:t xml:space="preserve"> </w:t>
      </w:r>
      <w:r>
        <w:t>Type</w:t>
      </w:r>
      <w:r>
        <w:rPr>
          <w:spacing w:val="-4"/>
        </w:rPr>
        <w:t xml:space="preserve"> </w:t>
      </w:r>
      <w:r>
        <w:t>of</w:t>
      </w:r>
      <w:r>
        <w:rPr>
          <w:spacing w:val="-3"/>
        </w:rPr>
        <w:t xml:space="preserve"> </w:t>
      </w:r>
      <w:r>
        <w:t>Work</w:t>
      </w:r>
      <w:r>
        <w:rPr>
          <w:spacing w:val="-5"/>
        </w:rPr>
        <w:t xml:space="preserve"> </w:t>
      </w:r>
      <w:r>
        <w:t>to</w:t>
      </w:r>
      <w:r>
        <w:rPr>
          <w:spacing w:val="-4"/>
        </w:rPr>
        <w:t xml:space="preserve"> </w:t>
      </w:r>
      <w:r>
        <w:t>Be</w:t>
      </w:r>
      <w:r>
        <w:rPr>
          <w:spacing w:val="-4"/>
        </w:rPr>
        <w:t xml:space="preserve"> </w:t>
      </w:r>
      <w:r>
        <w:t>Performed</w:t>
      </w:r>
      <w:r>
        <w:rPr>
          <w:spacing w:val="-4"/>
        </w:rPr>
        <w:t xml:space="preserve"> </w:t>
      </w:r>
      <w:r>
        <w:t>on</w:t>
      </w:r>
      <w:r>
        <w:rPr>
          <w:spacing w:val="-4"/>
        </w:rPr>
        <w:t xml:space="preserve"> </w:t>
      </w:r>
      <w:r>
        <w:t>the</w:t>
      </w:r>
      <w:r>
        <w:rPr>
          <w:spacing w:val="-4"/>
        </w:rPr>
        <w:t xml:space="preserve"> </w:t>
      </w:r>
      <w:r>
        <w:t>Financial</w:t>
      </w:r>
      <w:r>
        <w:rPr>
          <w:spacing w:val="-5"/>
        </w:rPr>
        <w:t xml:space="preserve"> </w:t>
      </w:r>
      <w:r>
        <w:t>Information</w:t>
      </w:r>
      <w:r>
        <w:rPr>
          <w:u w:val="none"/>
        </w:rPr>
        <w:t xml:space="preserve"> </w:t>
      </w:r>
      <w:r>
        <w:t>of Components</w:t>
      </w:r>
    </w:p>
    <w:p w14:paraId="0DFDAE39" w14:textId="77777777" w:rsidR="00046465" w:rsidRDefault="008134EB">
      <w:pPr>
        <w:pStyle w:val="ListParagraph"/>
        <w:numPr>
          <w:ilvl w:val="0"/>
          <w:numId w:val="217"/>
        </w:numPr>
        <w:tabs>
          <w:tab w:val="left" w:pos="1800"/>
        </w:tabs>
        <w:ind w:right="775"/>
      </w:pPr>
      <w:r>
        <w:t>For components for which the auditor of the group financial statements is assuming</w:t>
      </w:r>
      <w:r>
        <w:rPr>
          <w:spacing w:val="-5"/>
        </w:rPr>
        <w:t xml:space="preserve"> </w:t>
      </w:r>
      <w:r>
        <w:t>responsibility</w:t>
      </w:r>
      <w:r>
        <w:rPr>
          <w:spacing w:val="-5"/>
        </w:rPr>
        <w:t xml:space="preserve"> </w:t>
      </w:r>
      <w:r>
        <w:t>for</w:t>
      </w:r>
      <w:r>
        <w:rPr>
          <w:spacing w:val="-5"/>
        </w:rPr>
        <w:t xml:space="preserve"> </w:t>
      </w:r>
      <w:r>
        <w:t>the</w:t>
      </w:r>
      <w:r>
        <w:rPr>
          <w:spacing w:val="-5"/>
        </w:rPr>
        <w:t xml:space="preserve"> </w:t>
      </w:r>
      <w:r>
        <w:t>component</w:t>
      </w:r>
      <w:r>
        <w:rPr>
          <w:spacing w:val="-5"/>
        </w:rPr>
        <w:t xml:space="preserve"> </w:t>
      </w:r>
      <w:r>
        <w:t>auditors’</w:t>
      </w:r>
      <w:r>
        <w:rPr>
          <w:spacing w:val="-5"/>
        </w:rPr>
        <w:t xml:space="preserve"> </w:t>
      </w:r>
      <w:r>
        <w:t>work,</w:t>
      </w:r>
      <w:r>
        <w:rPr>
          <w:spacing w:val="-5"/>
        </w:rPr>
        <w:t xml:space="preserve"> </w:t>
      </w:r>
      <w:r>
        <w:t>the</w:t>
      </w:r>
      <w:r>
        <w:rPr>
          <w:spacing w:val="-6"/>
        </w:rPr>
        <w:t xml:space="preserve"> </w:t>
      </w:r>
      <w:r>
        <w:t>group</w:t>
      </w:r>
      <w:r>
        <w:rPr>
          <w:spacing w:val="-5"/>
        </w:rPr>
        <w:t xml:space="preserve"> </w:t>
      </w:r>
      <w:r>
        <w:t>engagement team should determine the type of work to be performed by the group engagement team or by component auditors on its behalf on the components’ financial information. The group engagement team also should determine the nature, timing, and extent of its involvement in the work of component auditors (see FAM 630.09 through .10 for a suggested framework for planning and performing a low, moderate, or high level of review of the component auditor’s documentation) (AU-C 600A.52).</w:t>
      </w:r>
    </w:p>
    <w:p w14:paraId="0DFDAE3A" w14:textId="77777777" w:rsidR="00046465" w:rsidRDefault="008134EB">
      <w:pPr>
        <w:pStyle w:val="ListParagraph"/>
        <w:numPr>
          <w:ilvl w:val="0"/>
          <w:numId w:val="217"/>
        </w:numPr>
        <w:tabs>
          <w:tab w:val="left" w:pos="1800"/>
        </w:tabs>
        <w:ind w:right="873"/>
      </w:pPr>
      <w:r>
        <w:t>The group engagement team alone is responsible for determining the extent of additional procedures, if any, based on professional judgment. This determination</w:t>
      </w:r>
      <w:r>
        <w:rPr>
          <w:spacing w:val="-3"/>
        </w:rPr>
        <w:t xml:space="preserve"> </w:t>
      </w:r>
      <w:r>
        <w:t>in</w:t>
      </w:r>
      <w:r>
        <w:rPr>
          <w:spacing w:val="-3"/>
        </w:rPr>
        <w:t xml:space="preserve"> </w:t>
      </w:r>
      <w:r>
        <w:t>no</w:t>
      </w:r>
      <w:r>
        <w:rPr>
          <w:spacing w:val="-3"/>
        </w:rPr>
        <w:t xml:space="preserve"> </w:t>
      </w:r>
      <w:r>
        <w:t>way</w:t>
      </w:r>
      <w:r>
        <w:rPr>
          <w:spacing w:val="-4"/>
        </w:rPr>
        <w:t xml:space="preserve"> </w:t>
      </w:r>
      <w:r>
        <w:t>constitutes</w:t>
      </w:r>
      <w:r>
        <w:rPr>
          <w:spacing w:val="-4"/>
        </w:rPr>
        <w:t xml:space="preserve"> </w:t>
      </w:r>
      <w:r>
        <w:t>a</w:t>
      </w:r>
      <w:r>
        <w:rPr>
          <w:spacing w:val="-3"/>
        </w:rPr>
        <w:t xml:space="preserve"> </w:t>
      </w:r>
      <w:r>
        <w:t>reflection</w:t>
      </w:r>
      <w:r>
        <w:rPr>
          <w:spacing w:val="-4"/>
        </w:rPr>
        <w:t xml:space="preserve"> </w:t>
      </w:r>
      <w:r>
        <w:t>on</w:t>
      </w:r>
      <w:r>
        <w:rPr>
          <w:spacing w:val="-3"/>
        </w:rPr>
        <w:t xml:space="preserve"> </w:t>
      </w:r>
      <w:r>
        <w:t>the</w:t>
      </w:r>
      <w:r>
        <w:rPr>
          <w:spacing w:val="-3"/>
        </w:rPr>
        <w:t xml:space="preserve"> </w:t>
      </w:r>
      <w:r>
        <w:t>adequacy</w:t>
      </w:r>
      <w:r>
        <w:rPr>
          <w:spacing w:val="-3"/>
        </w:rPr>
        <w:t xml:space="preserve"> </w:t>
      </w:r>
      <w:r>
        <w:t>of</w:t>
      </w:r>
      <w:r>
        <w:rPr>
          <w:spacing w:val="-3"/>
        </w:rPr>
        <w:t xml:space="preserve"> </w:t>
      </w:r>
      <w:r>
        <w:t>the</w:t>
      </w:r>
      <w:r>
        <w:rPr>
          <w:spacing w:val="-4"/>
        </w:rPr>
        <w:t xml:space="preserve"> </w:t>
      </w:r>
      <w:r>
        <w:t xml:space="preserve">auditor’s </w:t>
      </w:r>
      <w:r>
        <w:rPr>
          <w:spacing w:val="-2"/>
        </w:rPr>
        <w:t>work.</w:t>
      </w:r>
    </w:p>
    <w:p w14:paraId="0DFDAE3B" w14:textId="77777777" w:rsidR="00046465" w:rsidRDefault="008134EB">
      <w:pPr>
        <w:pStyle w:val="ListParagraph"/>
        <w:numPr>
          <w:ilvl w:val="0"/>
          <w:numId w:val="217"/>
        </w:numPr>
        <w:tabs>
          <w:tab w:val="left" w:pos="1800"/>
        </w:tabs>
        <w:spacing w:before="119"/>
        <w:ind w:right="898"/>
      </w:pPr>
      <w:r>
        <w:t>The objective of these additional procedures is for the group engagement team to</w:t>
      </w:r>
      <w:r>
        <w:rPr>
          <w:spacing w:val="-4"/>
        </w:rPr>
        <w:t xml:space="preserve"> </w:t>
      </w:r>
      <w:r>
        <w:t>obtain</w:t>
      </w:r>
      <w:r>
        <w:rPr>
          <w:spacing w:val="-4"/>
        </w:rPr>
        <w:t xml:space="preserve"> </w:t>
      </w:r>
      <w:r>
        <w:t>additional</w:t>
      </w:r>
      <w:r>
        <w:rPr>
          <w:spacing w:val="-4"/>
        </w:rPr>
        <w:t xml:space="preserve"> </w:t>
      </w:r>
      <w:r>
        <w:t>evidence</w:t>
      </w:r>
      <w:r>
        <w:rPr>
          <w:spacing w:val="-4"/>
        </w:rPr>
        <w:t xml:space="preserve"> </w:t>
      </w:r>
      <w:r>
        <w:t>about</w:t>
      </w:r>
      <w:r>
        <w:rPr>
          <w:spacing w:val="-5"/>
        </w:rPr>
        <w:t xml:space="preserve"> </w:t>
      </w:r>
      <w:r>
        <w:t>whether</w:t>
      </w:r>
      <w:r>
        <w:rPr>
          <w:spacing w:val="-4"/>
        </w:rPr>
        <w:t xml:space="preserve"> </w:t>
      </w:r>
      <w:r>
        <w:t>key</w:t>
      </w:r>
      <w:r>
        <w:rPr>
          <w:spacing w:val="-5"/>
        </w:rPr>
        <w:t xml:space="preserve"> </w:t>
      </w:r>
      <w:r>
        <w:t>items</w:t>
      </w:r>
      <w:r>
        <w:rPr>
          <w:spacing w:val="-4"/>
        </w:rPr>
        <w:t xml:space="preserve"> </w:t>
      </w:r>
      <w:r>
        <w:t>are</w:t>
      </w:r>
      <w:r>
        <w:rPr>
          <w:spacing w:val="-4"/>
        </w:rPr>
        <w:t xml:space="preserve"> </w:t>
      </w:r>
      <w:r>
        <w:t>properly</w:t>
      </w:r>
      <w:r>
        <w:rPr>
          <w:spacing w:val="-4"/>
        </w:rPr>
        <w:t xml:space="preserve"> </w:t>
      </w:r>
      <w:r>
        <w:t>handled</w:t>
      </w:r>
      <w:r>
        <w:rPr>
          <w:spacing w:val="-4"/>
        </w:rPr>
        <w:t xml:space="preserve"> </w:t>
      </w:r>
      <w:r>
        <w:t>and</w:t>
      </w:r>
    </w:p>
    <w:p w14:paraId="0DFDAE3C" w14:textId="77777777" w:rsidR="00046465" w:rsidRDefault="00046465">
      <w:pPr>
        <w:pStyle w:val="ListParagraph"/>
        <w:sectPr w:rsidR="00046465">
          <w:pgSz w:w="12240" w:h="15840"/>
          <w:pgMar w:top="1340" w:right="720" w:bottom="1020" w:left="1080" w:header="721" w:footer="757" w:gutter="0"/>
          <w:cols w:space="720"/>
        </w:sectPr>
      </w:pPr>
    </w:p>
    <w:p w14:paraId="0DFDAE3D" w14:textId="77777777" w:rsidR="00046465" w:rsidRDefault="008134EB">
      <w:pPr>
        <w:pStyle w:val="BodyText"/>
        <w:spacing w:before="121"/>
        <w:ind w:left="1800" w:right="749"/>
      </w:pPr>
      <w:r>
        <w:lastRenderedPageBreak/>
        <w:t>supported by sufficient appropriate evidence. For example, the group engagement</w:t>
      </w:r>
      <w:r>
        <w:rPr>
          <w:spacing w:val="-5"/>
        </w:rPr>
        <w:t xml:space="preserve"> </w:t>
      </w:r>
      <w:r>
        <w:t>team</w:t>
      </w:r>
      <w:r>
        <w:rPr>
          <w:spacing w:val="-6"/>
        </w:rPr>
        <w:t xml:space="preserve"> </w:t>
      </w:r>
      <w:r>
        <w:t>generally</w:t>
      </w:r>
      <w:r>
        <w:rPr>
          <w:spacing w:val="-5"/>
        </w:rPr>
        <w:t xml:space="preserve"> </w:t>
      </w:r>
      <w:r>
        <w:t>should</w:t>
      </w:r>
      <w:r>
        <w:rPr>
          <w:spacing w:val="-5"/>
        </w:rPr>
        <w:t xml:space="preserve"> </w:t>
      </w:r>
      <w:r>
        <w:t>discuss</w:t>
      </w:r>
      <w:r>
        <w:rPr>
          <w:spacing w:val="-5"/>
        </w:rPr>
        <w:t xml:space="preserve"> </w:t>
      </w:r>
      <w:r>
        <w:t>key</w:t>
      </w:r>
      <w:r>
        <w:rPr>
          <w:spacing w:val="-6"/>
        </w:rPr>
        <w:t xml:space="preserve"> </w:t>
      </w:r>
      <w:r>
        <w:t>items</w:t>
      </w:r>
      <w:r>
        <w:rPr>
          <w:spacing w:val="-5"/>
        </w:rPr>
        <w:t xml:space="preserve"> </w:t>
      </w:r>
      <w:r>
        <w:t>with</w:t>
      </w:r>
      <w:r>
        <w:rPr>
          <w:spacing w:val="-5"/>
        </w:rPr>
        <w:t xml:space="preserve"> </w:t>
      </w:r>
      <w:r>
        <w:t>entity</w:t>
      </w:r>
      <w:r>
        <w:rPr>
          <w:spacing w:val="-5"/>
        </w:rPr>
        <w:t xml:space="preserve"> </w:t>
      </w:r>
      <w:r>
        <w:t xml:space="preserve">management, especially estimates and judgments. This discussion generally should be conducted with the component auditors present. The group engagement team generally should attend the entrance and exit conferences and other key meetings held by component auditors. For key items that have high risk of material misstatement, discussions with entity management may not provide sufficient evidence, and the group auditor should perform additional audit </w:t>
      </w:r>
      <w:r>
        <w:rPr>
          <w:spacing w:val="-2"/>
        </w:rPr>
        <w:t>procedures.</w:t>
      </w:r>
    </w:p>
    <w:p w14:paraId="0DFDAE3E" w14:textId="77777777" w:rsidR="00046465" w:rsidRDefault="008134EB">
      <w:pPr>
        <w:pStyle w:val="ListParagraph"/>
        <w:numPr>
          <w:ilvl w:val="0"/>
          <w:numId w:val="217"/>
        </w:numPr>
        <w:tabs>
          <w:tab w:val="left" w:pos="1800"/>
        </w:tabs>
        <w:ind w:right="824"/>
      </w:pPr>
      <w:r>
        <w:t>The group engagement team may perform additional audit procedures on a selection of the component auditor’s work, and/or additional tests of the accounting records. To perform additional audit procedures, the group engagement team should obtain access to the entity’s personnel and its books and</w:t>
      </w:r>
      <w:r>
        <w:rPr>
          <w:spacing w:val="-1"/>
        </w:rPr>
        <w:t xml:space="preserve"> </w:t>
      </w:r>
      <w:r>
        <w:t>records.</w:t>
      </w:r>
      <w:r>
        <w:rPr>
          <w:spacing w:val="-2"/>
        </w:rPr>
        <w:t xml:space="preserve"> </w:t>
      </w:r>
      <w:r>
        <w:t>The</w:t>
      </w:r>
      <w:r>
        <w:rPr>
          <w:spacing w:val="-1"/>
        </w:rPr>
        <w:t xml:space="preserve"> </w:t>
      </w:r>
      <w:r>
        <w:t>group</w:t>
      </w:r>
      <w:r>
        <w:rPr>
          <w:spacing w:val="-1"/>
        </w:rPr>
        <w:t xml:space="preserve"> </w:t>
      </w:r>
      <w:r>
        <w:t>engagement</w:t>
      </w:r>
      <w:r>
        <w:rPr>
          <w:spacing w:val="-1"/>
        </w:rPr>
        <w:t xml:space="preserve"> </w:t>
      </w:r>
      <w:r>
        <w:t>team</w:t>
      </w:r>
      <w:r>
        <w:rPr>
          <w:spacing w:val="-2"/>
        </w:rPr>
        <w:t xml:space="preserve"> </w:t>
      </w:r>
      <w:r>
        <w:t>may</w:t>
      </w:r>
      <w:r>
        <w:rPr>
          <w:spacing w:val="-1"/>
        </w:rPr>
        <w:t xml:space="preserve"> </w:t>
      </w:r>
      <w:r>
        <w:t>coordinate</w:t>
      </w:r>
      <w:r>
        <w:rPr>
          <w:spacing w:val="-1"/>
        </w:rPr>
        <w:t xml:space="preserve"> </w:t>
      </w:r>
      <w:r>
        <w:t>access</w:t>
      </w:r>
      <w:r>
        <w:rPr>
          <w:spacing w:val="-1"/>
        </w:rPr>
        <w:t xml:space="preserve"> </w:t>
      </w:r>
      <w:r>
        <w:t>to</w:t>
      </w:r>
      <w:r>
        <w:rPr>
          <w:spacing w:val="-1"/>
        </w:rPr>
        <w:t xml:space="preserve"> </w:t>
      </w:r>
      <w:r>
        <w:t>the</w:t>
      </w:r>
      <w:r>
        <w:rPr>
          <w:spacing w:val="-4"/>
        </w:rPr>
        <w:t xml:space="preserve"> </w:t>
      </w:r>
      <w:r>
        <w:t>entity’s personnel and records through the component auditor. The group engagement team and the component auditor also may jointly perform parts of a test, where the</w:t>
      </w:r>
      <w:r>
        <w:rPr>
          <w:spacing w:val="-4"/>
        </w:rPr>
        <w:t xml:space="preserve"> </w:t>
      </w:r>
      <w:r>
        <w:t>audit</w:t>
      </w:r>
      <w:r>
        <w:rPr>
          <w:spacing w:val="-4"/>
        </w:rPr>
        <w:t xml:space="preserve"> </w:t>
      </w:r>
      <w:r>
        <w:t>sample</w:t>
      </w:r>
      <w:r>
        <w:rPr>
          <w:spacing w:val="-4"/>
        </w:rPr>
        <w:t xml:space="preserve"> </w:t>
      </w:r>
      <w:r>
        <w:t>is</w:t>
      </w:r>
      <w:r>
        <w:rPr>
          <w:spacing w:val="-4"/>
        </w:rPr>
        <w:t xml:space="preserve"> </w:t>
      </w:r>
      <w:r>
        <w:t>planned</w:t>
      </w:r>
      <w:r>
        <w:rPr>
          <w:spacing w:val="-4"/>
        </w:rPr>
        <w:t xml:space="preserve"> </w:t>
      </w:r>
      <w:r>
        <w:t>jointly</w:t>
      </w:r>
      <w:r>
        <w:rPr>
          <w:spacing w:val="-5"/>
        </w:rPr>
        <w:t xml:space="preserve"> </w:t>
      </w:r>
      <w:r>
        <w:t>and</w:t>
      </w:r>
      <w:r>
        <w:rPr>
          <w:spacing w:val="-4"/>
        </w:rPr>
        <w:t xml:space="preserve"> </w:t>
      </w:r>
      <w:r>
        <w:t>the</w:t>
      </w:r>
      <w:r>
        <w:rPr>
          <w:spacing w:val="-4"/>
        </w:rPr>
        <w:t xml:space="preserve"> </w:t>
      </w:r>
      <w:r>
        <w:t>results</w:t>
      </w:r>
      <w:r>
        <w:rPr>
          <w:spacing w:val="-4"/>
        </w:rPr>
        <w:t xml:space="preserve"> </w:t>
      </w:r>
      <w:r>
        <w:t>are</w:t>
      </w:r>
      <w:r>
        <w:rPr>
          <w:spacing w:val="-4"/>
        </w:rPr>
        <w:t xml:space="preserve"> </w:t>
      </w:r>
      <w:r>
        <w:t>evaluated</w:t>
      </w:r>
      <w:r>
        <w:rPr>
          <w:spacing w:val="-4"/>
        </w:rPr>
        <w:t xml:space="preserve"> </w:t>
      </w:r>
      <w:r>
        <w:t>jointly.</w:t>
      </w:r>
      <w:r>
        <w:rPr>
          <w:spacing w:val="-4"/>
        </w:rPr>
        <w:t xml:space="preserve"> </w:t>
      </w:r>
      <w:r>
        <w:t>Although additional audit procedures are usually performed only when the level of review is high, the group engagement team may perform additional audit procedures in other situations to learn about the entity, to help the component auditor plan future audits, or to help entity management correct problems.</w:t>
      </w:r>
    </w:p>
    <w:p w14:paraId="0DFDAE3F" w14:textId="77777777" w:rsidR="00046465" w:rsidRDefault="008134EB">
      <w:pPr>
        <w:pStyle w:val="ListParagraph"/>
        <w:numPr>
          <w:ilvl w:val="0"/>
          <w:numId w:val="217"/>
        </w:numPr>
        <w:tabs>
          <w:tab w:val="left" w:pos="1800"/>
        </w:tabs>
        <w:ind w:right="849"/>
      </w:pPr>
      <w:r>
        <w:t>The group engagement team generally should limit discussions with entity management and/or additional audit procedures to significant assertions in line items that have a high risk of material misstatement. This is especially true in areas involving estimates and judgments or in areas on which users place extensive reliance. The group engagement team’s additional audit procedures generally should include some items tested by the component auditor, particularly</w:t>
      </w:r>
      <w:r>
        <w:rPr>
          <w:spacing w:val="-4"/>
        </w:rPr>
        <w:t xml:space="preserve"> </w:t>
      </w:r>
      <w:r>
        <w:t>any</w:t>
      </w:r>
      <w:r>
        <w:rPr>
          <w:spacing w:val="-4"/>
        </w:rPr>
        <w:t xml:space="preserve"> </w:t>
      </w:r>
      <w:r>
        <w:t>that</w:t>
      </w:r>
      <w:r>
        <w:rPr>
          <w:spacing w:val="-4"/>
        </w:rPr>
        <w:t xml:space="preserve"> </w:t>
      </w:r>
      <w:r>
        <w:t>appear</w:t>
      </w:r>
      <w:r>
        <w:rPr>
          <w:spacing w:val="-4"/>
        </w:rPr>
        <w:t xml:space="preserve"> </w:t>
      </w:r>
      <w:r>
        <w:t>to</w:t>
      </w:r>
      <w:r>
        <w:rPr>
          <w:spacing w:val="-4"/>
        </w:rPr>
        <w:t xml:space="preserve"> </w:t>
      </w:r>
      <w:r>
        <w:t>be</w:t>
      </w:r>
      <w:r>
        <w:rPr>
          <w:spacing w:val="-4"/>
        </w:rPr>
        <w:t xml:space="preserve"> </w:t>
      </w:r>
      <w:r>
        <w:t>exceptions,</w:t>
      </w:r>
      <w:r>
        <w:rPr>
          <w:spacing w:val="-4"/>
        </w:rPr>
        <w:t xml:space="preserve"> </w:t>
      </w:r>
      <w:r>
        <w:t>in</w:t>
      </w:r>
      <w:r>
        <w:rPr>
          <w:spacing w:val="-4"/>
        </w:rPr>
        <w:t xml:space="preserve"> </w:t>
      </w:r>
      <w:r>
        <w:t>order</w:t>
      </w:r>
      <w:r>
        <w:rPr>
          <w:spacing w:val="-4"/>
        </w:rPr>
        <w:t xml:space="preserve"> </w:t>
      </w:r>
      <w:r>
        <w:t>to</w:t>
      </w:r>
      <w:r>
        <w:rPr>
          <w:spacing w:val="-4"/>
        </w:rPr>
        <w:t xml:space="preserve"> </w:t>
      </w:r>
      <w:r>
        <w:t>determine</w:t>
      </w:r>
      <w:r>
        <w:rPr>
          <w:spacing w:val="-4"/>
        </w:rPr>
        <w:t xml:space="preserve"> </w:t>
      </w:r>
      <w:r>
        <w:t>whether</w:t>
      </w:r>
      <w:r>
        <w:rPr>
          <w:spacing w:val="-4"/>
        </w:rPr>
        <w:t xml:space="preserve"> </w:t>
      </w:r>
      <w:r>
        <w:t>they were appropriately evaluated in formulating an opinion. The group engagement team generally should plan to perform additional audit procedures while the component auditors are at the entity and have access to records, as this can minimize the inconvenience for everyone.</w:t>
      </w:r>
    </w:p>
    <w:p w14:paraId="0DFDAE40" w14:textId="77777777" w:rsidR="00046465" w:rsidRDefault="008134EB">
      <w:pPr>
        <w:pStyle w:val="Heading5"/>
        <w:spacing w:before="240"/>
        <w:rPr>
          <w:u w:val="none"/>
        </w:rPr>
      </w:pPr>
      <w:bookmarkStart w:id="62" w:name="Significant_Components"/>
      <w:bookmarkEnd w:id="62"/>
      <w:r>
        <w:t>Significant</w:t>
      </w:r>
      <w:r>
        <w:rPr>
          <w:spacing w:val="-7"/>
        </w:rPr>
        <w:t xml:space="preserve"> </w:t>
      </w:r>
      <w:r>
        <w:rPr>
          <w:spacing w:val="-2"/>
        </w:rPr>
        <w:t>Components</w:t>
      </w:r>
    </w:p>
    <w:p w14:paraId="0DFDAE41" w14:textId="77777777" w:rsidR="00046465" w:rsidRDefault="008134EB">
      <w:pPr>
        <w:pStyle w:val="ListParagraph"/>
        <w:numPr>
          <w:ilvl w:val="0"/>
          <w:numId w:val="217"/>
        </w:numPr>
        <w:tabs>
          <w:tab w:val="left" w:pos="1800"/>
        </w:tabs>
        <w:ind w:right="726"/>
      </w:pPr>
      <w:r>
        <w:t>For a component that is significant due to its individual financial significance to the group, the group engagement team, or a component auditor on its behalf, should</w:t>
      </w:r>
      <w:r>
        <w:rPr>
          <w:spacing w:val="-4"/>
        </w:rPr>
        <w:t xml:space="preserve"> </w:t>
      </w:r>
      <w:r>
        <w:t>perform</w:t>
      </w:r>
      <w:r>
        <w:rPr>
          <w:spacing w:val="-5"/>
        </w:rPr>
        <w:t xml:space="preserve"> </w:t>
      </w:r>
      <w:r>
        <w:t>an</w:t>
      </w:r>
      <w:r>
        <w:rPr>
          <w:spacing w:val="-4"/>
        </w:rPr>
        <w:t xml:space="preserve"> </w:t>
      </w:r>
      <w:r>
        <w:t>audit</w:t>
      </w:r>
      <w:r>
        <w:rPr>
          <w:spacing w:val="-4"/>
        </w:rPr>
        <w:t xml:space="preserve"> </w:t>
      </w:r>
      <w:r>
        <w:t>of</w:t>
      </w:r>
      <w:r>
        <w:rPr>
          <w:spacing w:val="-4"/>
        </w:rPr>
        <w:t xml:space="preserve"> </w:t>
      </w:r>
      <w:r>
        <w:t>the</w:t>
      </w:r>
      <w:r>
        <w:rPr>
          <w:spacing w:val="-4"/>
        </w:rPr>
        <w:t xml:space="preserve"> </w:t>
      </w:r>
      <w:r>
        <w:t>financial</w:t>
      </w:r>
      <w:r>
        <w:rPr>
          <w:spacing w:val="-4"/>
        </w:rPr>
        <w:t xml:space="preserve"> </w:t>
      </w:r>
      <w:r>
        <w:t>information</w:t>
      </w:r>
      <w:r>
        <w:rPr>
          <w:spacing w:val="-4"/>
        </w:rPr>
        <w:t xml:space="preserve"> </w:t>
      </w:r>
      <w:r>
        <w:t>of</w:t>
      </w:r>
      <w:r>
        <w:rPr>
          <w:spacing w:val="-4"/>
        </w:rPr>
        <w:t xml:space="preserve"> </w:t>
      </w:r>
      <w:r>
        <w:t>the</w:t>
      </w:r>
      <w:r>
        <w:rPr>
          <w:spacing w:val="-4"/>
        </w:rPr>
        <w:t xml:space="preserve"> </w:t>
      </w:r>
      <w:r>
        <w:t>component,</w:t>
      </w:r>
      <w:r>
        <w:rPr>
          <w:spacing w:val="-4"/>
        </w:rPr>
        <w:t xml:space="preserve"> </w:t>
      </w:r>
      <w:r>
        <w:t>adapted</w:t>
      </w:r>
      <w:r>
        <w:rPr>
          <w:spacing w:val="-4"/>
        </w:rPr>
        <w:t xml:space="preserve"> </w:t>
      </w:r>
      <w:r>
        <w:t>as necessary to meet the needs of the group engagement team, using component materiality (AU-C 600A.53).</w:t>
      </w:r>
    </w:p>
    <w:p w14:paraId="0DFDAE42" w14:textId="77777777" w:rsidR="00046465" w:rsidRDefault="008134EB">
      <w:pPr>
        <w:pStyle w:val="ListParagraph"/>
        <w:numPr>
          <w:ilvl w:val="0"/>
          <w:numId w:val="217"/>
        </w:numPr>
        <w:tabs>
          <w:tab w:val="left" w:pos="1800"/>
        </w:tabs>
        <w:ind w:right="862"/>
      </w:pPr>
      <w:r>
        <w:t>For a component that is</w:t>
      </w:r>
      <w:r>
        <w:rPr>
          <w:spacing w:val="-1"/>
        </w:rPr>
        <w:t xml:space="preserve"> </w:t>
      </w:r>
      <w:r>
        <w:t>significant not due to its</w:t>
      </w:r>
      <w:r>
        <w:rPr>
          <w:spacing w:val="-1"/>
        </w:rPr>
        <w:t xml:space="preserve"> </w:t>
      </w:r>
      <w:r>
        <w:t>individual financial significance but</w:t>
      </w:r>
      <w:r>
        <w:rPr>
          <w:spacing w:val="-2"/>
        </w:rPr>
        <w:t xml:space="preserve"> </w:t>
      </w:r>
      <w:r>
        <w:t>because</w:t>
      </w:r>
      <w:r>
        <w:rPr>
          <w:spacing w:val="-3"/>
        </w:rPr>
        <w:t xml:space="preserve"> </w:t>
      </w:r>
      <w:r>
        <w:t>it</w:t>
      </w:r>
      <w:r>
        <w:rPr>
          <w:spacing w:val="-2"/>
        </w:rPr>
        <w:t xml:space="preserve"> </w:t>
      </w:r>
      <w:r>
        <w:t>is</w:t>
      </w:r>
      <w:r>
        <w:rPr>
          <w:spacing w:val="-2"/>
        </w:rPr>
        <w:t xml:space="preserve"> </w:t>
      </w:r>
      <w:r>
        <w:t>likely</w:t>
      </w:r>
      <w:r>
        <w:rPr>
          <w:spacing w:val="-2"/>
        </w:rPr>
        <w:t xml:space="preserve"> </w:t>
      </w:r>
      <w:r>
        <w:t>to</w:t>
      </w:r>
      <w:r>
        <w:rPr>
          <w:spacing w:val="-3"/>
        </w:rPr>
        <w:t xml:space="preserve"> </w:t>
      </w:r>
      <w:r>
        <w:t>include</w:t>
      </w:r>
      <w:r>
        <w:rPr>
          <w:spacing w:val="-3"/>
        </w:rPr>
        <w:t xml:space="preserve"> </w:t>
      </w:r>
      <w:r>
        <w:t>significant</w:t>
      </w:r>
      <w:r>
        <w:rPr>
          <w:spacing w:val="-2"/>
        </w:rPr>
        <w:t xml:space="preserve"> </w:t>
      </w:r>
      <w:r>
        <w:t>risks</w:t>
      </w:r>
      <w:r>
        <w:rPr>
          <w:spacing w:val="-3"/>
        </w:rPr>
        <w:t xml:space="preserve"> </w:t>
      </w:r>
      <w:r>
        <w:t>of</w:t>
      </w:r>
      <w:r>
        <w:rPr>
          <w:spacing w:val="-2"/>
        </w:rPr>
        <w:t xml:space="preserve"> </w:t>
      </w:r>
      <w:r>
        <w:t>material</w:t>
      </w:r>
      <w:r>
        <w:rPr>
          <w:spacing w:val="-2"/>
        </w:rPr>
        <w:t xml:space="preserve"> </w:t>
      </w:r>
      <w:r>
        <w:t>misstatement</w:t>
      </w:r>
      <w:r>
        <w:rPr>
          <w:spacing w:val="-2"/>
        </w:rPr>
        <w:t xml:space="preserve"> </w:t>
      </w:r>
      <w:r>
        <w:t>of</w:t>
      </w:r>
      <w:r>
        <w:rPr>
          <w:spacing w:val="-2"/>
        </w:rPr>
        <w:t xml:space="preserve"> </w:t>
      </w:r>
      <w:r>
        <w:t>the group</w:t>
      </w:r>
      <w:r>
        <w:rPr>
          <w:spacing w:val="-4"/>
        </w:rPr>
        <w:t xml:space="preserve"> </w:t>
      </w:r>
      <w:r>
        <w:t>financial</w:t>
      </w:r>
      <w:r>
        <w:rPr>
          <w:spacing w:val="-4"/>
        </w:rPr>
        <w:t xml:space="preserve"> </w:t>
      </w:r>
      <w:r>
        <w:t>statements</w:t>
      </w:r>
      <w:r>
        <w:rPr>
          <w:spacing w:val="-4"/>
        </w:rPr>
        <w:t xml:space="preserve"> </w:t>
      </w:r>
      <w:r>
        <w:t>due</w:t>
      </w:r>
      <w:r>
        <w:rPr>
          <w:spacing w:val="-4"/>
        </w:rPr>
        <w:t xml:space="preserve"> </w:t>
      </w:r>
      <w:r>
        <w:t>to</w:t>
      </w:r>
      <w:r>
        <w:rPr>
          <w:spacing w:val="-4"/>
        </w:rPr>
        <w:t xml:space="preserve"> </w:t>
      </w:r>
      <w:r>
        <w:t>its</w:t>
      </w:r>
      <w:r>
        <w:rPr>
          <w:spacing w:val="-5"/>
        </w:rPr>
        <w:t xml:space="preserve"> </w:t>
      </w:r>
      <w:r>
        <w:t>specific</w:t>
      </w:r>
      <w:r>
        <w:rPr>
          <w:spacing w:val="-4"/>
        </w:rPr>
        <w:t xml:space="preserve"> </w:t>
      </w:r>
      <w:r>
        <w:t>nature</w:t>
      </w:r>
      <w:r>
        <w:rPr>
          <w:spacing w:val="-4"/>
        </w:rPr>
        <w:t xml:space="preserve"> </w:t>
      </w:r>
      <w:r>
        <w:t>or</w:t>
      </w:r>
      <w:r>
        <w:rPr>
          <w:spacing w:val="-4"/>
        </w:rPr>
        <w:t xml:space="preserve"> </w:t>
      </w:r>
      <w:r>
        <w:t>circumstances,</w:t>
      </w:r>
      <w:r>
        <w:rPr>
          <w:spacing w:val="-4"/>
        </w:rPr>
        <w:t xml:space="preserve"> </w:t>
      </w:r>
      <w:r>
        <w:t>the</w:t>
      </w:r>
      <w:r>
        <w:rPr>
          <w:spacing w:val="-5"/>
        </w:rPr>
        <w:t xml:space="preserve"> </w:t>
      </w:r>
      <w:r>
        <w:t>group engagement team, or a component auditor on its behalf, should perform one or more of the following (AU-C 600A.54):</w:t>
      </w:r>
    </w:p>
    <w:p w14:paraId="0DFDAE43" w14:textId="77777777" w:rsidR="00046465" w:rsidRDefault="008134EB">
      <w:pPr>
        <w:pStyle w:val="ListParagraph"/>
        <w:numPr>
          <w:ilvl w:val="1"/>
          <w:numId w:val="217"/>
        </w:numPr>
        <w:tabs>
          <w:tab w:val="left" w:pos="2159"/>
        </w:tabs>
        <w:ind w:right="881"/>
      </w:pPr>
      <w:r>
        <w:t>an</w:t>
      </w:r>
      <w:r>
        <w:rPr>
          <w:spacing w:val="-4"/>
        </w:rPr>
        <w:t xml:space="preserve"> </w:t>
      </w:r>
      <w:r>
        <w:t>audit,</w:t>
      </w:r>
      <w:r>
        <w:rPr>
          <w:spacing w:val="-4"/>
        </w:rPr>
        <w:t xml:space="preserve"> </w:t>
      </w:r>
      <w:r>
        <w:t>adapted</w:t>
      </w:r>
      <w:r>
        <w:rPr>
          <w:spacing w:val="-4"/>
        </w:rPr>
        <w:t xml:space="preserve"> </w:t>
      </w:r>
      <w:r>
        <w:t>as</w:t>
      </w:r>
      <w:r>
        <w:rPr>
          <w:spacing w:val="-4"/>
        </w:rPr>
        <w:t xml:space="preserve"> </w:t>
      </w:r>
      <w:r>
        <w:t>necessary</w:t>
      </w:r>
      <w:r>
        <w:rPr>
          <w:spacing w:val="-5"/>
        </w:rPr>
        <w:t xml:space="preserve"> </w:t>
      </w:r>
      <w:r>
        <w:t>to</w:t>
      </w:r>
      <w:r>
        <w:rPr>
          <w:spacing w:val="-5"/>
        </w:rPr>
        <w:t xml:space="preserve"> </w:t>
      </w:r>
      <w:r>
        <w:t>meet</w:t>
      </w:r>
      <w:r>
        <w:rPr>
          <w:spacing w:val="-4"/>
        </w:rPr>
        <w:t xml:space="preserve"> </w:t>
      </w:r>
      <w:r>
        <w:t>the</w:t>
      </w:r>
      <w:r>
        <w:rPr>
          <w:spacing w:val="-4"/>
        </w:rPr>
        <w:t xml:space="preserve"> </w:t>
      </w:r>
      <w:r>
        <w:t>needs</w:t>
      </w:r>
      <w:r>
        <w:rPr>
          <w:spacing w:val="-4"/>
        </w:rPr>
        <w:t xml:space="preserve"> </w:t>
      </w:r>
      <w:r>
        <w:t>of</w:t>
      </w:r>
      <w:r>
        <w:rPr>
          <w:spacing w:val="-4"/>
        </w:rPr>
        <w:t xml:space="preserve"> </w:t>
      </w:r>
      <w:r>
        <w:t>the</w:t>
      </w:r>
      <w:r>
        <w:rPr>
          <w:spacing w:val="-4"/>
        </w:rPr>
        <w:t xml:space="preserve"> </w:t>
      </w:r>
      <w:r>
        <w:t>group</w:t>
      </w:r>
      <w:r>
        <w:rPr>
          <w:spacing w:val="-4"/>
        </w:rPr>
        <w:t xml:space="preserve"> </w:t>
      </w:r>
      <w:r>
        <w:t xml:space="preserve">engagement team, of the financial information of the component, using component </w:t>
      </w:r>
      <w:r>
        <w:rPr>
          <w:spacing w:val="-2"/>
        </w:rPr>
        <w:t>materiality;</w:t>
      </w:r>
    </w:p>
    <w:p w14:paraId="0DFDAE44" w14:textId="77777777" w:rsidR="00046465" w:rsidRDefault="008134EB">
      <w:pPr>
        <w:pStyle w:val="ListParagraph"/>
        <w:numPr>
          <w:ilvl w:val="1"/>
          <w:numId w:val="217"/>
        </w:numPr>
        <w:tabs>
          <w:tab w:val="left" w:pos="2159"/>
        </w:tabs>
        <w:spacing w:before="119"/>
        <w:ind w:right="881"/>
      </w:pPr>
      <w:r>
        <w:t>an</w:t>
      </w:r>
      <w:r>
        <w:rPr>
          <w:spacing w:val="-4"/>
        </w:rPr>
        <w:t xml:space="preserve"> </w:t>
      </w:r>
      <w:r>
        <w:t>audit,</w:t>
      </w:r>
      <w:r>
        <w:rPr>
          <w:spacing w:val="-4"/>
        </w:rPr>
        <w:t xml:space="preserve"> </w:t>
      </w:r>
      <w:r>
        <w:t>adapted</w:t>
      </w:r>
      <w:r>
        <w:rPr>
          <w:spacing w:val="-4"/>
        </w:rPr>
        <w:t xml:space="preserve"> </w:t>
      </w:r>
      <w:r>
        <w:t>as</w:t>
      </w:r>
      <w:r>
        <w:rPr>
          <w:spacing w:val="-4"/>
        </w:rPr>
        <w:t xml:space="preserve"> </w:t>
      </w:r>
      <w:r>
        <w:t>necessary</w:t>
      </w:r>
      <w:r>
        <w:rPr>
          <w:spacing w:val="-5"/>
        </w:rPr>
        <w:t xml:space="preserve"> </w:t>
      </w:r>
      <w:r>
        <w:t>to</w:t>
      </w:r>
      <w:r>
        <w:rPr>
          <w:spacing w:val="-5"/>
        </w:rPr>
        <w:t xml:space="preserve"> </w:t>
      </w:r>
      <w:r>
        <w:t>meet</w:t>
      </w:r>
      <w:r>
        <w:rPr>
          <w:spacing w:val="-4"/>
        </w:rPr>
        <w:t xml:space="preserve"> </w:t>
      </w:r>
      <w:r>
        <w:t>the</w:t>
      </w:r>
      <w:r>
        <w:rPr>
          <w:spacing w:val="-4"/>
        </w:rPr>
        <w:t xml:space="preserve"> </w:t>
      </w:r>
      <w:r>
        <w:t>needs</w:t>
      </w:r>
      <w:r>
        <w:rPr>
          <w:spacing w:val="-4"/>
        </w:rPr>
        <w:t xml:space="preserve"> </w:t>
      </w:r>
      <w:r>
        <w:t>of</w:t>
      </w:r>
      <w:r>
        <w:rPr>
          <w:spacing w:val="-4"/>
        </w:rPr>
        <w:t xml:space="preserve"> </w:t>
      </w:r>
      <w:r>
        <w:t>the</w:t>
      </w:r>
      <w:r>
        <w:rPr>
          <w:spacing w:val="-4"/>
        </w:rPr>
        <w:t xml:space="preserve"> </w:t>
      </w:r>
      <w:r>
        <w:t>group</w:t>
      </w:r>
      <w:r>
        <w:rPr>
          <w:spacing w:val="-4"/>
        </w:rPr>
        <w:t xml:space="preserve"> </w:t>
      </w:r>
      <w:r>
        <w:t>engagement team, of one or more line items, accounts, note disclosures, or classes of</w:t>
      </w:r>
    </w:p>
    <w:p w14:paraId="0DFDAE45" w14:textId="77777777" w:rsidR="00046465" w:rsidRDefault="00046465">
      <w:pPr>
        <w:pStyle w:val="ListParagraph"/>
        <w:sectPr w:rsidR="00046465">
          <w:pgSz w:w="12240" w:h="15840"/>
          <w:pgMar w:top="1340" w:right="720" w:bottom="1020" w:left="1080" w:header="721" w:footer="757" w:gutter="0"/>
          <w:cols w:space="720"/>
        </w:sectPr>
      </w:pPr>
    </w:p>
    <w:p w14:paraId="0DFDAE46" w14:textId="77777777" w:rsidR="00046465" w:rsidRDefault="008134EB">
      <w:pPr>
        <w:pStyle w:val="BodyText"/>
        <w:spacing w:before="121"/>
        <w:ind w:left="2160" w:right="749"/>
      </w:pPr>
      <w:r>
        <w:lastRenderedPageBreak/>
        <w:t>transactions</w:t>
      </w:r>
      <w:r>
        <w:rPr>
          <w:spacing w:val="-5"/>
        </w:rPr>
        <w:t xml:space="preserve"> </w:t>
      </w:r>
      <w:r>
        <w:t>relating</w:t>
      </w:r>
      <w:r>
        <w:rPr>
          <w:spacing w:val="-4"/>
        </w:rPr>
        <w:t xml:space="preserve"> </w:t>
      </w:r>
      <w:r>
        <w:t>to</w:t>
      </w:r>
      <w:r>
        <w:rPr>
          <w:spacing w:val="-4"/>
        </w:rPr>
        <w:t xml:space="preserve"> </w:t>
      </w:r>
      <w:r>
        <w:t>the</w:t>
      </w:r>
      <w:r>
        <w:rPr>
          <w:spacing w:val="-4"/>
        </w:rPr>
        <w:t xml:space="preserve"> </w:t>
      </w:r>
      <w:r>
        <w:t>likely</w:t>
      </w:r>
      <w:r>
        <w:rPr>
          <w:spacing w:val="-4"/>
        </w:rPr>
        <w:t xml:space="preserve"> </w:t>
      </w:r>
      <w:r>
        <w:t>significant</w:t>
      </w:r>
      <w:r>
        <w:rPr>
          <w:spacing w:val="-4"/>
        </w:rPr>
        <w:t xml:space="preserve"> </w:t>
      </w:r>
      <w:r>
        <w:t>risks</w:t>
      </w:r>
      <w:r>
        <w:rPr>
          <w:spacing w:val="-5"/>
        </w:rPr>
        <w:t xml:space="preserve"> </w:t>
      </w:r>
      <w:r>
        <w:t>of</w:t>
      </w:r>
      <w:r>
        <w:rPr>
          <w:spacing w:val="-4"/>
        </w:rPr>
        <w:t xml:space="preserve"> </w:t>
      </w:r>
      <w:r>
        <w:t>material</w:t>
      </w:r>
      <w:r>
        <w:rPr>
          <w:spacing w:val="-4"/>
        </w:rPr>
        <w:t xml:space="preserve"> </w:t>
      </w:r>
      <w:r>
        <w:t>misstatement</w:t>
      </w:r>
      <w:r>
        <w:rPr>
          <w:spacing w:val="-4"/>
        </w:rPr>
        <w:t xml:space="preserve"> </w:t>
      </w:r>
      <w:r>
        <w:t>of the group financial statements; or</w:t>
      </w:r>
    </w:p>
    <w:p w14:paraId="0DFDAE47" w14:textId="77777777" w:rsidR="00046465" w:rsidRDefault="008134EB">
      <w:pPr>
        <w:pStyle w:val="ListParagraph"/>
        <w:numPr>
          <w:ilvl w:val="1"/>
          <w:numId w:val="217"/>
        </w:numPr>
        <w:tabs>
          <w:tab w:val="left" w:pos="2160"/>
        </w:tabs>
        <w:spacing w:before="119"/>
        <w:ind w:left="2160" w:right="1125"/>
      </w:pPr>
      <w:r>
        <w:t>specified</w:t>
      </w:r>
      <w:r>
        <w:rPr>
          <w:spacing w:val="-5"/>
        </w:rPr>
        <w:t xml:space="preserve"> </w:t>
      </w:r>
      <w:r>
        <w:t>audit</w:t>
      </w:r>
      <w:r>
        <w:rPr>
          <w:spacing w:val="-4"/>
        </w:rPr>
        <w:t xml:space="preserve"> </w:t>
      </w:r>
      <w:r>
        <w:t>procedures</w:t>
      </w:r>
      <w:r>
        <w:rPr>
          <w:spacing w:val="-4"/>
        </w:rPr>
        <w:t xml:space="preserve"> </w:t>
      </w:r>
      <w:r>
        <w:t>relating</w:t>
      </w:r>
      <w:r>
        <w:rPr>
          <w:spacing w:val="-4"/>
        </w:rPr>
        <w:t xml:space="preserve"> </w:t>
      </w:r>
      <w:r>
        <w:t>to</w:t>
      </w:r>
      <w:r>
        <w:rPr>
          <w:spacing w:val="-4"/>
        </w:rPr>
        <w:t xml:space="preserve"> </w:t>
      </w:r>
      <w:r>
        <w:t>the</w:t>
      </w:r>
      <w:r>
        <w:rPr>
          <w:spacing w:val="-4"/>
        </w:rPr>
        <w:t xml:space="preserve"> </w:t>
      </w:r>
      <w:r>
        <w:t>likely</w:t>
      </w:r>
      <w:r>
        <w:rPr>
          <w:spacing w:val="-4"/>
        </w:rPr>
        <w:t xml:space="preserve"> </w:t>
      </w:r>
      <w:r>
        <w:t>significant</w:t>
      </w:r>
      <w:r>
        <w:rPr>
          <w:spacing w:val="-5"/>
        </w:rPr>
        <w:t xml:space="preserve"> </w:t>
      </w:r>
      <w:r>
        <w:t>risks</w:t>
      </w:r>
      <w:r>
        <w:rPr>
          <w:spacing w:val="-4"/>
        </w:rPr>
        <w:t xml:space="preserve"> </w:t>
      </w:r>
      <w:r>
        <w:t>of</w:t>
      </w:r>
      <w:r>
        <w:rPr>
          <w:spacing w:val="-4"/>
        </w:rPr>
        <w:t xml:space="preserve"> </w:t>
      </w:r>
      <w:r>
        <w:t>material misstatement of the group financial statements.</w:t>
      </w:r>
    </w:p>
    <w:p w14:paraId="0DFDAE48" w14:textId="77777777" w:rsidR="00046465" w:rsidRDefault="008134EB">
      <w:pPr>
        <w:pStyle w:val="Heading5"/>
        <w:rPr>
          <w:u w:val="none"/>
        </w:rPr>
      </w:pPr>
      <w:bookmarkStart w:id="63" w:name="Components_That_Are_Not_Significant"/>
      <w:bookmarkEnd w:id="63"/>
      <w:r>
        <w:t>Components</w:t>
      </w:r>
      <w:r>
        <w:rPr>
          <w:spacing w:val="-3"/>
        </w:rPr>
        <w:t xml:space="preserve"> </w:t>
      </w:r>
      <w:r>
        <w:t>That</w:t>
      </w:r>
      <w:r>
        <w:rPr>
          <w:spacing w:val="-3"/>
        </w:rPr>
        <w:t xml:space="preserve"> </w:t>
      </w:r>
      <w:r>
        <w:t>Are</w:t>
      </w:r>
      <w:r>
        <w:rPr>
          <w:spacing w:val="-3"/>
        </w:rPr>
        <w:t xml:space="preserve"> </w:t>
      </w:r>
      <w:r>
        <w:t>Not</w:t>
      </w:r>
      <w:r>
        <w:rPr>
          <w:spacing w:val="-1"/>
        </w:rPr>
        <w:t xml:space="preserve"> </w:t>
      </w:r>
      <w:r>
        <w:rPr>
          <w:spacing w:val="-2"/>
        </w:rPr>
        <w:t>Significant</w:t>
      </w:r>
    </w:p>
    <w:p w14:paraId="0DFDAE49" w14:textId="77777777" w:rsidR="00046465" w:rsidRDefault="008134EB">
      <w:pPr>
        <w:pStyle w:val="ListParagraph"/>
        <w:numPr>
          <w:ilvl w:val="0"/>
          <w:numId w:val="217"/>
        </w:numPr>
        <w:tabs>
          <w:tab w:val="left" w:pos="1800"/>
        </w:tabs>
        <w:ind w:right="1044"/>
      </w:pPr>
      <w:r>
        <w:t>For components that are not significant components, the group engagement team</w:t>
      </w:r>
      <w:r>
        <w:rPr>
          <w:spacing w:val="-5"/>
        </w:rPr>
        <w:t xml:space="preserve"> </w:t>
      </w:r>
      <w:r>
        <w:t>should</w:t>
      </w:r>
      <w:r>
        <w:rPr>
          <w:spacing w:val="-4"/>
        </w:rPr>
        <w:t xml:space="preserve"> </w:t>
      </w:r>
      <w:r>
        <w:t>perform</w:t>
      </w:r>
      <w:r>
        <w:rPr>
          <w:spacing w:val="-5"/>
        </w:rPr>
        <w:t xml:space="preserve"> </w:t>
      </w:r>
      <w:r>
        <w:t>analytical</w:t>
      </w:r>
      <w:r>
        <w:rPr>
          <w:spacing w:val="-4"/>
        </w:rPr>
        <w:t xml:space="preserve"> </w:t>
      </w:r>
      <w:r>
        <w:t>procedures</w:t>
      </w:r>
      <w:r>
        <w:rPr>
          <w:spacing w:val="-4"/>
        </w:rPr>
        <w:t xml:space="preserve"> </w:t>
      </w:r>
      <w:r>
        <w:t>at</w:t>
      </w:r>
      <w:r>
        <w:rPr>
          <w:spacing w:val="-3"/>
        </w:rPr>
        <w:t xml:space="preserve"> </w:t>
      </w:r>
      <w:r>
        <w:t>the</w:t>
      </w:r>
      <w:r>
        <w:rPr>
          <w:spacing w:val="-4"/>
        </w:rPr>
        <w:t xml:space="preserve"> </w:t>
      </w:r>
      <w:r>
        <w:t>group</w:t>
      </w:r>
      <w:r>
        <w:rPr>
          <w:spacing w:val="-4"/>
        </w:rPr>
        <w:t xml:space="preserve"> </w:t>
      </w:r>
      <w:r>
        <w:t>level</w:t>
      </w:r>
      <w:r>
        <w:rPr>
          <w:spacing w:val="-4"/>
        </w:rPr>
        <w:t xml:space="preserve"> </w:t>
      </w:r>
      <w:r>
        <w:t>(AU-C</w:t>
      </w:r>
      <w:r>
        <w:rPr>
          <w:spacing w:val="-5"/>
        </w:rPr>
        <w:t xml:space="preserve"> </w:t>
      </w:r>
      <w:r>
        <w:t>600A.55).</w:t>
      </w:r>
    </w:p>
    <w:p w14:paraId="0DFDAE4A" w14:textId="77777777" w:rsidR="00046465" w:rsidRDefault="008134EB">
      <w:pPr>
        <w:pStyle w:val="ListParagraph"/>
        <w:numPr>
          <w:ilvl w:val="0"/>
          <w:numId w:val="217"/>
        </w:numPr>
        <w:tabs>
          <w:tab w:val="left" w:pos="1800"/>
        </w:tabs>
        <w:ind w:right="740"/>
      </w:pPr>
      <w:r>
        <w:t>In some circumstances, the group engagement team may determine that sufficient</w:t>
      </w:r>
      <w:r>
        <w:rPr>
          <w:spacing w:val="-4"/>
        </w:rPr>
        <w:t xml:space="preserve"> </w:t>
      </w:r>
      <w:r>
        <w:t>appropriate</w:t>
      </w:r>
      <w:r>
        <w:rPr>
          <w:spacing w:val="-4"/>
        </w:rPr>
        <w:t xml:space="preserve"> </w:t>
      </w:r>
      <w:r>
        <w:t>audit</w:t>
      </w:r>
      <w:r>
        <w:rPr>
          <w:spacing w:val="-4"/>
        </w:rPr>
        <w:t xml:space="preserve"> </w:t>
      </w:r>
      <w:r>
        <w:t>evidence</w:t>
      </w:r>
      <w:r>
        <w:rPr>
          <w:spacing w:val="-5"/>
        </w:rPr>
        <w:t xml:space="preserve"> </w:t>
      </w:r>
      <w:r>
        <w:t>on</w:t>
      </w:r>
      <w:r>
        <w:rPr>
          <w:spacing w:val="-4"/>
        </w:rPr>
        <w:t xml:space="preserve"> </w:t>
      </w:r>
      <w:r>
        <w:t>which</w:t>
      </w:r>
      <w:r>
        <w:rPr>
          <w:spacing w:val="-4"/>
        </w:rPr>
        <w:t xml:space="preserve"> </w:t>
      </w:r>
      <w:r>
        <w:t>to</w:t>
      </w:r>
      <w:r>
        <w:rPr>
          <w:spacing w:val="-5"/>
        </w:rPr>
        <w:t xml:space="preserve"> </w:t>
      </w:r>
      <w:r>
        <w:t>base</w:t>
      </w:r>
      <w:r>
        <w:rPr>
          <w:spacing w:val="-4"/>
        </w:rPr>
        <w:t xml:space="preserve"> </w:t>
      </w:r>
      <w:r>
        <w:t>the</w:t>
      </w:r>
      <w:r>
        <w:rPr>
          <w:spacing w:val="-4"/>
        </w:rPr>
        <w:t xml:space="preserve"> </w:t>
      </w:r>
      <w:r>
        <w:t>group</w:t>
      </w:r>
      <w:r>
        <w:rPr>
          <w:spacing w:val="-4"/>
        </w:rPr>
        <w:t xml:space="preserve"> </w:t>
      </w:r>
      <w:r>
        <w:t>audit</w:t>
      </w:r>
      <w:r>
        <w:rPr>
          <w:spacing w:val="-4"/>
        </w:rPr>
        <w:t xml:space="preserve"> </w:t>
      </w:r>
      <w:r>
        <w:t>opinion</w:t>
      </w:r>
      <w:r>
        <w:rPr>
          <w:spacing w:val="-4"/>
        </w:rPr>
        <w:t xml:space="preserve"> </w:t>
      </w:r>
      <w:r>
        <w:t>will not be obtained from the following (AU-C 600A.56):</w:t>
      </w:r>
    </w:p>
    <w:p w14:paraId="0DFDAE4B" w14:textId="77777777" w:rsidR="00046465" w:rsidRDefault="008134EB">
      <w:pPr>
        <w:pStyle w:val="ListParagraph"/>
        <w:numPr>
          <w:ilvl w:val="1"/>
          <w:numId w:val="217"/>
        </w:numPr>
        <w:tabs>
          <w:tab w:val="left" w:pos="2159"/>
        </w:tabs>
        <w:spacing w:before="119"/>
        <w:ind w:hanging="359"/>
      </w:pPr>
      <w:r>
        <w:t>the</w:t>
      </w:r>
      <w:r>
        <w:rPr>
          <w:spacing w:val="-7"/>
        </w:rPr>
        <w:t xml:space="preserve"> </w:t>
      </w:r>
      <w:r>
        <w:t>work</w:t>
      </w:r>
      <w:r>
        <w:rPr>
          <w:spacing w:val="-7"/>
        </w:rPr>
        <w:t xml:space="preserve"> </w:t>
      </w:r>
      <w:r>
        <w:t>performed</w:t>
      </w:r>
      <w:r>
        <w:rPr>
          <w:spacing w:val="-6"/>
        </w:rPr>
        <w:t xml:space="preserve"> </w:t>
      </w:r>
      <w:r>
        <w:t>on</w:t>
      </w:r>
      <w:r>
        <w:rPr>
          <w:spacing w:val="-7"/>
        </w:rPr>
        <w:t xml:space="preserve"> </w:t>
      </w:r>
      <w:r>
        <w:t>the</w:t>
      </w:r>
      <w:r>
        <w:rPr>
          <w:spacing w:val="-7"/>
        </w:rPr>
        <w:t xml:space="preserve"> </w:t>
      </w:r>
      <w:r>
        <w:t>financial</w:t>
      </w:r>
      <w:r>
        <w:rPr>
          <w:spacing w:val="-6"/>
        </w:rPr>
        <w:t xml:space="preserve"> </w:t>
      </w:r>
      <w:r>
        <w:t>information</w:t>
      </w:r>
      <w:r>
        <w:rPr>
          <w:spacing w:val="-7"/>
        </w:rPr>
        <w:t xml:space="preserve"> </w:t>
      </w:r>
      <w:r>
        <w:t>of</w:t>
      </w:r>
      <w:r>
        <w:rPr>
          <w:spacing w:val="-7"/>
        </w:rPr>
        <w:t xml:space="preserve"> </w:t>
      </w:r>
      <w:r>
        <w:t>significant</w:t>
      </w:r>
      <w:r>
        <w:rPr>
          <w:spacing w:val="-7"/>
        </w:rPr>
        <w:t xml:space="preserve"> </w:t>
      </w:r>
      <w:r>
        <w:rPr>
          <w:spacing w:val="-2"/>
        </w:rPr>
        <w:t>components,</w:t>
      </w:r>
    </w:p>
    <w:p w14:paraId="0DFDAE4C" w14:textId="77777777" w:rsidR="00046465" w:rsidRDefault="008134EB">
      <w:pPr>
        <w:pStyle w:val="ListParagraph"/>
        <w:numPr>
          <w:ilvl w:val="1"/>
          <w:numId w:val="217"/>
        </w:numPr>
        <w:tabs>
          <w:tab w:val="left" w:pos="2159"/>
        </w:tabs>
        <w:spacing w:before="121"/>
        <w:ind w:hanging="359"/>
      </w:pPr>
      <w:r>
        <w:t>the</w:t>
      </w:r>
      <w:r>
        <w:rPr>
          <w:spacing w:val="-8"/>
        </w:rPr>
        <w:t xml:space="preserve"> </w:t>
      </w:r>
      <w:r>
        <w:t>work</w:t>
      </w:r>
      <w:r>
        <w:rPr>
          <w:spacing w:val="-7"/>
        </w:rPr>
        <w:t xml:space="preserve"> </w:t>
      </w:r>
      <w:r>
        <w:t>performed</w:t>
      </w:r>
      <w:r>
        <w:rPr>
          <w:spacing w:val="-7"/>
        </w:rPr>
        <w:t xml:space="preserve"> </w:t>
      </w:r>
      <w:r>
        <w:t>on</w:t>
      </w:r>
      <w:r>
        <w:rPr>
          <w:spacing w:val="-8"/>
        </w:rPr>
        <w:t xml:space="preserve"> </w:t>
      </w:r>
      <w:r>
        <w:t>group-wide</w:t>
      </w:r>
      <w:r>
        <w:rPr>
          <w:spacing w:val="-7"/>
        </w:rPr>
        <w:t xml:space="preserve"> </w:t>
      </w:r>
      <w:r>
        <w:t>controls</w:t>
      </w:r>
      <w:r>
        <w:rPr>
          <w:spacing w:val="-7"/>
        </w:rPr>
        <w:t xml:space="preserve"> </w:t>
      </w:r>
      <w:r>
        <w:t>and</w:t>
      </w:r>
      <w:r>
        <w:rPr>
          <w:spacing w:val="-7"/>
        </w:rPr>
        <w:t xml:space="preserve"> </w:t>
      </w:r>
      <w:r>
        <w:t>the</w:t>
      </w:r>
      <w:r>
        <w:rPr>
          <w:spacing w:val="-8"/>
        </w:rPr>
        <w:t xml:space="preserve"> </w:t>
      </w:r>
      <w:r>
        <w:t>consolidation</w:t>
      </w:r>
      <w:r>
        <w:rPr>
          <w:spacing w:val="-7"/>
        </w:rPr>
        <w:t xml:space="preserve"> </w:t>
      </w:r>
      <w:r>
        <w:t>process,</w:t>
      </w:r>
      <w:r>
        <w:rPr>
          <w:spacing w:val="-7"/>
        </w:rPr>
        <w:t xml:space="preserve"> </w:t>
      </w:r>
      <w:r>
        <w:rPr>
          <w:spacing w:val="-5"/>
        </w:rPr>
        <w:t>or</w:t>
      </w:r>
    </w:p>
    <w:p w14:paraId="0DFDAE4D" w14:textId="77777777" w:rsidR="00046465" w:rsidRDefault="008134EB">
      <w:pPr>
        <w:pStyle w:val="ListParagraph"/>
        <w:numPr>
          <w:ilvl w:val="1"/>
          <w:numId w:val="217"/>
        </w:numPr>
        <w:tabs>
          <w:tab w:val="left" w:pos="2159"/>
        </w:tabs>
        <w:ind w:hanging="359"/>
      </w:pPr>
      <w:r>
        <w:t>the</w:t>
      </w:r>
      <w:r>
        <w:rPr>
          <w:spacing w:val="-8"/>
        </w:rPr>
        <w:t xml:space="preserve"> </w:t>
      </w:r>
      <w:r>
        <w:t>analytical</w:t>
      </w:r>
      <w:r>
        <w:rPr>
          <w:spacing w:val="-7"/>
        </w:rPr>
        <w:t xml:space="preserve"> </w:t>
      </w:r>
      <w:r>
        <w:t>procedures</w:t>
      </w:r>
      <w:r>
        <w:rPr>
          <w:spacing w:val="-8"/>
        </w:rPr>
        <w:t xml:space="preserve"> </w:t>
      </w:r>
      <w:r>
        <w:t>performed</w:t>
      </w:r>
      <w:r>
        <w:rPr>
          <w:spacing w:val="-7"/>
        </w:rPr>
        <w:t xml:space="preserve"> </w:t>
      </w:r>
      <w:r>
        <w:t>at</w:t>
      </w:r>
      <w:r>
        <w:rPr>
          <w:spacing w:val="-8"/>
        </w:rPr>
        <w:t xml:space="preserve"> </w:t>
      </w:r>
      <w:r>
        <w:t>group</w:t>
      </w:r>
      <w:r>
        <w:rPr>
          <w:spacing w:val="-7"/>
        </w:rPr>
        <w:t xml:space="preserve"> </w:t>
      </w:r>
      <w:r>
        <w:rPr>
          <w:spacing w:val="-2"/>
        </w:rPr>
        <w:t>level.</w:t>
      </w:r>
    </w:p>
    <w:p w14:paraId="0DFDAE4E" w14:textId="77777777" w:rsidR="00046465" w:rsidRDefault="008134EB">
      <w:pPr>
        <w:pStyle w:val="BodyText"/>
        <w:spacing w:before="120"/>
        <w:ind w:left="1800" w:right="749"/>
      </w:pPr>
      <w:r>
        <w:t>In such circumstances, the group engagement team should select additional components</w:t>
      </w:r>
      <w:r>
        <w:rPr>
          <w:spacing w:val="-4"/>
        </w:rPr>
        <w:t xml:space="preserve"> </w:t>
      </w:r>
      <w:r>
        <w:t>that</w:t>
      </w:r>
      <w:r>
        <w:rPr>
          <w:spacing w:val="-4"/>
        </w:rPr>
        <w:t xml:space="preserve"> </w:t>
      </w:r>
      <w:r>
        <w:t>are</w:t>
      </w:r>
      <w:r>
        <w:rPr>
          <w:spacing w:val="-4"/>
        </w:rPr>
        <w:t xml:space="preserve"> </w:t>
      </w:r>
      <w:r>
        <w:t>not</w:t>
      </w:r>
      <w:r>
        <w:rPr>
          <w:spacing w:val="-5"/>
        </w:rPr>
        <w:t xml:space="preserve"> </w:t>
      </w:r>
      <w:r>
        <w:t>significant</w:t>
      </w:r>
      <w:r>
        <w:rPr>
          <w:spacing w:val="-4"/>
        </w:rPr>
        <w:t xml:space="preserve"> </w:t>
      </w:r>
      <w:r>
        <w:t>components</w:t>
      </w:r>
      <w:r>
        <w:rPr>
          <w:spacing w:val="-4"/>
        </w:rPr>
        <w:t xml:space="preserve"> </w:t>
      </w:r>
      <w:r>
        <w:t>and</w:t>
      </w:r>
      <w:r>
        <w:rPr>
          <w:spacing w:val="-4"/>
        </w:rPr>
        <w:t xml:space="preserve"> </w:t>
      </w:r>
      <w:r>
        <w:t>should</w:t>
      </w:r>
      <w:r>
        <w:rPr>
          <w:spacing w:val="-5"/>
        </w:rPr>
        <w:t xml:space="preserve"> </w:t>
      </w:r>
      <w:r>
        <w:t>perform</w:t>
      </w:r>
      <w:r>
        <w:rPr>
          <w:spacing w:val="-5"/>
        </w:rPr>
        <w:t xml:space="preserve"> </w:t>
      </w:r>
      <w:r>
        <w:t>or</w:t>
      </w:r>
      <w:r>
        <w:rPr>
          <w:spacing w:val="-4"/>
        </w:rPr>
        <w:t xml:space="preserve"> </w:t>
      </w:r>
      <w:r>
        <w:t>request that a component auditor perform one or more of the following on the financial information of the individual components selected (AU-C 600A.56):</w:t>
      </w:r>
    </w:p>
    <w:p w14:paraId="0DFDAE4F" w14:textId="77777777" w:rsidR="00046465" w:rsidRDefault="008134EB">
      <w:pPr>
        <w:pStyle w:val="ListParagraph"/>
        <w:numPr>
          <w:ilvl w:val="0"/>
          <w:numId w:val="215"/>
        </w:numPr>
        <w:tabs>
          <w:tab w:val="left" w:pos="2160"/>
        </w:tabs>
        <w:ind w:right="880"/>
      </w:pPr>
      <w:r>
        <w:t>an</w:t>
      </w:r>
      <w:r>
        <w:rPr>
          <w:spacing w:val="-4"/>
        </w:rPr>
        <w:t xml:space="preserve"> </w:t>
      </w:r>
      <w:r>
        <w:t>audit,</w:t>
      </w:r>
      <w:r>
        <w:rPr>
          <w:spacing w:val="-4"/>
        </w:rPr>
        <w:t xml:space="preserve"> </w:t>
      </w:r>
      <w:r>
        <w:t>adapted</w:t>
      </w:r>
      <w:r>
        <w:rPr>
          <w:spacing w:val="-4"/>
        </w:rPr>
        <w:t xml:space="preserve"> </w:t>
      </w:r>
      <w:r>
        <w:t>as</w:t>
      </w:r>
      <w:r>
        <w:rPr>
          <w:spacing w:val="-4"/>
        </w:rPr>
        <w:t xml:space="preserve"> </w:t>
      </w:r>
      <w:r>
        <w:t>necessary</w:t>
      </w:r>
      <w:r>
        <w:rPr>
          <w:spacing w:val="-5"/>
        </w:rPr>
        <w:t xml:space="preserve"> </w:t>
      </w:r>
      <w:r>
        <w:t>to</w:t>
      </w:r>
      <w:r>
        <w:rPr>
          <w:spacing w:val="-5"/>
        </w:rPr>
        <w:t xml:space="preserve"> </w:t>
      </w:r>
      <w:r>
        <w:t>meet</w:t>
      </w:r>
      <w:r>
        <w:rPr>
          <w:spacing w:val="-4"/>
        </w:rPr>
        <w:t xml:space="preserve"> </w:t>
      </w:r>
      <w:r>
        <w:t>the</w:t>
      </w:r>
      <w:r>
        <w:rPr>
          <w:spacing w:val="-4"/>
        </w:rPr>
        <w:t xml:space="preserve"> </w:t>
      </w:r>
      <w:r>
        <w:t>needs</w:t>
      </w:r>
      <w:r>
        <w:rPr>
          <w:spacing w:val="-4"/>
        </w:rPr>
        <w:t xml:space="preserve"> </w:t>
      </w:r>
      <w:r>
        <w:t>of</w:t>
      </w:r>
      <w:r>
        <w:rPr>
          <w:spacing w:val="-4"/>
        </w:rPr>
        <w:t xml:space="preserve"> </w:t>
      </w:r>
      <w:r>
        <w:t>the</w:t>
      </w:r>
      <w:r>
        <w:rPr>
          <w:spacing w:val="-4"/>
        </w:rPr>
        <w:t xml:space="preserve"> </w:t>
      </w:r>
      <w:r>
        <w:t>group</w:t>
      </w:r>
      <w:r>
        <w:rPr>
          <w:spacing w:val="-4"/>
        </w:rPr>
        <w:t xml:space="preserve"> </w:t>
      </w:r>
      <w:r>
        <w:t xml:space="preserve">engagement team, of the financial information of the component, using component </w:t>
      </w:r>
      <w:r>
        <w:rPr>
          <w:spacing w:val="-2"/>
        </w:rPr>
        <w:t>materiality;</w:t>
      </w:r>
    </w:p>
    <w:p w14:paraId="0DFDAE50" w14:textId="77777777" w:rsidR="00046465" w:rsidRDefault="008134EB">
      <w:pPr>
        <w:pStyle w:val="ListParagraph"/>
        <w:numPr>
          <w:ilvl w:val="0"/>
          <w:numId w:val="215"/>
        </w:numPr>
        <w:tabs>
          <w:tab w:val="left" w:pos="2160"/>
        </w:tabs>
        <w:spacing w:before="119"/>
        <w:ind w:right="881"/>
      </w:pPr>
      <w:r>
        <w:t>an</w:t>
      </w:r>
      <w:r>
        <w:rPr>
          <w:spacing w:val="-4"/>
        </w:rPr>
        <w:t xml:space="preserve"> </w:t>
      </w:r>
      <w:r>
        <w:t>audit,</w:t>
      </w:r>
      <w:r>
        <w:rPr>
          <w:spacing w:val="-4"/>
        </w:rPr>
        <w:t xml:space="preserve"> </w:t>
      </w:r>
      <w:r>
        <w:t>adapted</w:t>
      </w:r>
      <w:r>
        <w:rPr>
          <w:spacing w:val="-4"/>
        </w:rPr>
        <w:t xml:space="preserve"> </w:t>
      </w:r>
      <w:r>
        <w:t>as</w:t>
      </w:r>
      <w:r>
        <w:rPr>
          <w:spacing w:val="-4"/>
        </w:rPr>
        <w:t xml:space="preserve"> </w:t>
      </w:r>
      <w:r>
        <w:t>necessary</w:t>
      </w:r>
      <w:r>
        <w:rPr>
          <w:spacing w:val="-5"/>
        </w:rPr>
        <w:t xml:space="preserve"> </w:t>
      </w:r>
      <w:r>
        <w:t>to</w:t>
      </w:r>
      <w:r>
        <w:rPr>
          <w:spacing w:val="-5"/>
        </w:rPr>
        <w:t xml:space="preserve"> </w:t>
      </w:r>
      <w:r>
        <w:t>meet</w:t>
      </w:r>
      <w:r>
        <w:rPr>
          <w:spacing w:val="-4"/>
        </w:rPr>
        <w:t xml:space="preserve"> </w:t>
      </w:r>
      <w:r>
        <w:t>the</w:t>
      </w:r>
      <w:r>
        <w:rPr>
          <w:spacing w:val="-4"/>
        </w:rPr>
        <w:t xml:space="preserve"> </w:t>
      </w:r>
      <w:r>
        <w:t>needs</w:t>
      </w:r>
      <w:r>
        <w:rPr>
          <w:spacing w:val="-4"/>
        </w:rPr>
        <w:t xml:space="preserve"> </w:t>
      </w:r>
      <w:r>
        <w:t>of</w:t>
      </w:r>
      <w:r>
        <w:rPr>
          <w:spacing w:val="-4"/>
        </w:rPr>
        <w:t xml:space="preserve"> </w:t>
      </w:r>
      <w:r>
        <w:t>the</w:t>
      </w:r>
      <w:r>
        <w:rPr>
          <w:spacing w:val="-4"/>
        </w:rPr>
        <w:t xml:space="preserve"> </w:t>
      </w:r>
      <w:r>
        <w:t>group</w:t>
      </w:r>
      <w:r>
        <w:rPr>
          <w:spacing w:val="-4"/>
        </w:rPr>
        <w:t xml:space="preserve"> </w:t>
      </w:r>
      <w:r>
        <w:t xml:space="preserve">engagement team, of one or more line items, accounts, note disclosures, or classes of </w:t>
      </w:r>
      <w:r>
        <w:rPr>
          <w:spacing w:val="-2"/>
        </w:rPr>
        <w:t>transactions;</w:t>
      </w:r>
    </w:p>
    <w:p w14:paraId="0DFDAE51" w14:textId="77777777" w:rsidR="00046465" w:rsidRDefault="008134EB">
      <w:pPr>
        <w:pStyle w:val="ListParagraph"/>
        <w:numPr>
          <w:ilvl w:val="0"/>
          <w:numId w:val="215"/>
        </w:numPr>
        <w:tabs>
          <w:tab w:val="left" w:pos="2160"/>
        </w:tabs>
        <w:spacing w:before="121"/>
        <w:ind w:right="796"/>
      </w:pPr>
      <w:r>
        <w:t>a</w:t>
      </w:r>
      <w:r>
        <w:rPr>
          <w:spacing w:val="-4"/>
        </w:rPr>
        <w:t xml:space="preserve"> </w:t>
      </w:r>
      <w:r>
        <w:t>review</w:t>
      </w:r>
      <w:r>
        <w:rPr>
          <w:spacing w:val="-5"/>
        </w:rPr>
        <w:t xml:space="preserve"> </w:t>
      </w:r>
      <w:r>
        <w:t>of</w:t>
      </w:r>
      <w:r>
        <w:rPr>
          <w:spacing w:val="-4"/>
        </w:rPr>
        <w:t xml:space="preserve"> </w:t>
      </w:r>
      <w:r>
        <w:t>the</w:t>
      </w:r>
      <w:r>
        <w:rPr>
          <w:spacing w:val="-4"/>
        </w:rPr>
        <w:t xml:space="preserve"> </w:t>
      </w:r>
      <w:r>
        <w:t>financial</w:t>
      </w:r>
      <w:r>
        <w:rPr>
          <w:spacing w:val="-4"/>
        </w:rPr>
        <w:t xml:space="preserve"> </w:t>
      </w:r>
      <w:r>
        <w:t>information</w:t>
      </w:r>
      <w:r>
        <w:rPr>
          <w:spacing w:val="-4"/>
        </w:rPr>
        <w:t xml:space="preserve"> </w:t>
      </w:r>
      <w:r>
        <w:t>of</w:t>
      </w:r>
      <w:r>
        <w:rPr>
          <w:spacing w:val="-4"/>
        </w:rPr>
        <w:t xml:space="preserve"> </w:t>
      </w:r>
      <w:r>
        <w:t>the</w:t>
      </w:r>
      <w:r>
        <w:rPr>
          <w:spacing w:val="-4"/>
        </w:rPr>
        <w:t xml:space="preserve"> </w:t>
      </w:r>
      <w:r>
        <w:t>component,</w:t>
      </w:r>
      <w:r>
        <w:rPr>
          <w:spacing w:val="-4"/>
        </w:rPr>
        <w:t xml:space="preserve"> </w:t>
      </w:r>
      <w:r>
        <w:t>adapted</w:t>
      </w:r>
      <w:r>
        <w:rPr>
          <w:spacing w:val="-4"/>
        </w:rPr>
        <w:t xml:space="preserve"> </w:t>
      </w:r>
      <w:r>
        <w:t>as</w:t>
      </w:r>
      <w:r>
        <w:rPr>
          <w:spacing w:val="-4"/>
        </w:rPr>
        <w:t xml:space="preserve"> </w:t>
      </w:r>
      <w:r>
        <w:t>necessary to meet the needs of the group engagement team, using component materiality; or</w:t>
      </w:r>
    </w:p>
    <w:p w14:paraId="0DFDAE52" w14:textId="77777777" w:rsidR="00046465" w:rsidRDefault="008134EB">
      <w:pPr>
        <w:pStyle w:val="ListParagraph"/>
        <w:numPr>
          <w:ilvl w:val="0"/>
          <w:numId w:val="215"/>
        </w:numPr>
        <w:tabs>
          <w:tab w:val="left" w:pos="2159"/>
        </w:tabs>
        <w:spacing w:before="119"/>
        <w:ind w:left="2159" w:hanging="359"/>
      </w:pPr>
      <w:r>
        <w:t>specified</w:t>
      </w:r>
      <w:r>
        <w:rPr>
          <w:spacing w:val="-9"/>
        </w:rPr>
        <w:t xml:space="preserve"> </w:t>
      </w:r>
      <w:r>
        <w:t>audit</w:t>
      </w:r>
      <w:r>
        <w:rPr>
          <w:spacing w:val="-7"/>
        </w:rPr>
        <w:t xml:space="preserve"> </w:t>
      </w:r>
      <w:r>
        <w:rPr>
          <w:spacing w:val="-2"/>
        </w:rPr>
        <w:t>procedures.</w:t>
      </w:r>
    </w:p>
    <w:p w14:paraId="0DFDAE53" w14:textId="77777777" w:rsidR="00046465" w:rsidRDefault="008134EB">
      <w:pPr>
        <w:pStyle w:val="BodyText"/>
        <w:spacing w:before="120"/>
        <w:ind w:left="1800" w:right="749"/>
      </w:pPr>
      <w:r>
        <w:t>The</w:t>
      </w:r>
      <w:r>
        <w:rPr>
          <w:spacing w:val="-4"/>
        </w:rPr>
        <w:t xml:space="preserve"> </w:t>
      </w:r>
      <w:r>
        <w:t>group</w:t>
      </w:r>
      <w:r>
        <w:rPr>
          <w:spacing w:val="-4"/>
        </w:rPr>
        <w:t xml:space="preserve"> </w:t>
      </w:r>
      <w:r>
        <w:t>engagement</w:t>
      </w:r>
      <w:r>
        <w:rPr>
          <w:spacing w:val="-4"/>
        </w:rPr>
        <w:t xml:space="preserve"> </w:t>
      </w:r>
      <w:r>
        <w:t>team</w:t>
      </w:r>
      <w:r>
        <w:rPr>
          <w:spacing w:val="-5"/>
        </w:rPr>
        <w:t xml:space="preserve"> </w:t>
      </w:r>
      <w:r>
        <w:t>should</w:t>
      </w:r>
      <w:r>
        <w:rPr>
          <w:spacing w:val="-4"/>
        </w:rPr>
        <w:t xml:space="preserve"> </w:t>
      </w:r>
      <w:r>
        <w:t>vary</w:t>
      </w:r>
      <w:r>
        <w:rPr>
          <w:spacing w:val="-4"/>
        </w:rPr>
        <w:t xml:space="preserve"> </w:t>
      </w:r>
      <w:r>
        <w:t>the</w:t>
      </w:r>
      <w:r>
        <w:rPr>
          <w:spacing w:val="-4"/>
        </w:rPr>
        <w:t xml:space="preserve"> </w:t>
      </w:r>
      <w:r>
        <w:t>selection</w:t>
      </w:r>
      <w:r>
        <w:rPr>
          <w:spacing w:val="-4"/>
        </w:rPr>
        <w:t xml:space="preserve"> </w:t>
      </w:r>
      <w:r>
        <w:t>of</w:t>
      </w:r>
      <w:r>
        <w:rPr>
          <w:spacing w:val="-4"/>
        </w:rPr>
        <w:t xml:space="preserve"> </w:t>
      </w:r>
      <w:r>
        <w:t>such</w:t>
      </w:r>
      <w:r>
        <w:rPr>
          <w:spacing w:val="-4"/>
        </w:rPr>
        <w:t xml:space="preserve"> </w:t>
      </w:r>
      <w:r>
        <w:t>individual components over a period of time (AU-C 600A.56).</w:t>
      </w:r>
    </w:p>
    <w:p w14:paraId="0DFDAE54" w14:textId="77777777" w:rsidR="00046465" w:rsidRDefault="008134EB">
      <w:pPr>
        <w:pStyle w:val="Heading4"/>
      </w:pPr>
      <w:bookmarkStart w:id="64" w:name="Involvement_in_the_Work_Performed_by_Com"/>
      <w:bookmarkEnd w:id="64"/>
      <w:r>
        <w:t>Involvement</w:t>
      </w:r>
      <w:r>
        <w:rPr>
          <w:spacing w:val="-12"/>
        </w:rPr>
        <w:t xml:space="preserve"> </w:t>
      </w:r>
      <w:r>
        <w:t>in</w:t>
      </w:r>
      <w:r>
        <w:rPr>
          <w:spacing w:val="-12"/>
        </w:rPr>
        <w:t xml:space="preserve"> </w:t>
      </w:r>
      <w:r>
        <w:t>the</w:t>
      </w:r>
      <w:r>
        <w:rPr>
          <w:spacing w:val="-11"/>
        </w:rPr>
        <w:t xml:space="preserve"> </w:t>
      </w:r>
      <w:r>
        <w:t>Work</w:t>
      </w:r>
      <w:r>
        <w:rPr>
          <w:spacing w:val="-11"/>
        </w:rPr>
        <w:t xml:space="preserve"> </w:t>
      </w:r>
      <w:r>
        <w:t>Performed</w:t>
      </w:r>
      <w:r>
        <w:rPr>
          <w:spacing w:val="-12"/>
        </w:rPr>
        <w:t xml:space="preserve"> </w:t>
      </w:r>
      <w:r>
        <w:t>by</w:t>
      </w:r>
      <w:r>
        <w:rPr>
          <w:spacing w:val="-11"/>
        </w:rPr>
        <w:t xml:space="preserve"> </w:t>
      </w:r>
      <w:r>
        <w:t>Component</w:t>
      </w:r>
      <w:r>
        <w:rPr>
          <w:spacing w:val="-11"/>
        </w:rPr>
        <w:t xml:space="preserve"> </w:t>
      </w:r>
      <w:r>
        <w:rPr>
          <w:spacing w:val="-2"/>
        </w:rPr>
        <w:t>Auditors</w:t>
      </w:r>
    </w:p>
    <w:p w14:paraId="0DFDAE55" w14:textId="77777777" w:rsidR="00046465" w:rsidRDefault="008134EB">
      <w:pPr>
        <w:pStyle w:val="Heading5"/>
        <w:spacing w:before="240"/>
        <w:rPr>
          <w:u w:val="none"/>
        </w:rPr>
      </w:pPr>
      <w:bookmarkStart w:id="65" w:name="Significant_Components_–_Risk_Assessment"/>
      <w:bookmarkEnd w:id="65"/>
      <w:r>
        <w:t>Significant</w:t>
      </w:r>
      <w:r>
        <w:rPr>
          <w:spacing w:val="-5"/>
        </w:rPr>
        <w:t xml:space="preserve"> </w:t>
      </w:r>
      <w:r>
        <w:t>Components</w:t>
      </w:r>
      <w:r>
        <w:rPr>
          <w:spacing w:val="-3"/>
        </w:rPr>
        <w:t xml:space="preserve"> </w:t>
      </w:r>
      <w:r>
        <w:t>–</w:t>
      </w:r>
      <w:r>
        <w:rPr>
          <w:spacing w:val="-4"/>
        </w:rPr>
        <w:t xml:space="preserve"> </w:t>
      </w:r>
      <w:r>
        <w:t>Risk</w:t>
      </w:r>
      <w:r>
        <w:rPr>
          <w:spacing w:val="-4"/>
        </w:rPr>
        <w:t xml:space="preserve"> </w:t>
      </w:r>
      <w:r>
        <w:rPr>
          <w:spacing w:val="-2"/>
        </w:rPr>
        <w:t>Assessment</w:t>
      </w:r>
    </w:p>
    <w:p w14:paraId="0DFDAE56" w14:textId="77777777" w:rsidR="00046465" w:rsidRDefault="008134EB">
      <w:pPr>
        <w:pStyle w:val="ListParagraph"/>
        <w:numPr>
          <w:ilvl w:val="0"/>
          <w:numId w:val="217"/>
        </w:numPr>
        <w:tabs>
          <w:tab w:val="left" w:pos="1800"/>
        </w:tabs>
        <w:ind w:right="777"/>
      </w:pPr>
      <w:r>
        <w:t>When</w:t>
      </w:r>
      <w:r>
        <w:rPr>
          <w:spacing w:val="-4"/>
        </w:rPr>
        <w:t xml:space="preserve"> </w:t>
      </w:r>
      <w:r>
        <w:t>a</w:t>
      </w:r>
      <w:r>
        <w:rPr>
          <w:spacing w:val="-4"/>
        </w:rPr>
        <w:t xml:space="preserve"> </w:t>
      </w:r>
      <w:r>
        <w:t>component</w:t>
      </w:r>
      <w:r>
        <w:rPr>
          <w:spacing w:val="-4"/>
        </w:rPr>
        <w:t xml:space="preserve"> </w:t>
      </w:r>
      <w:r>
        <w:t>auditor</w:t>
      </w:r>
      <w:r>
        <w:rPr>
          <w:spacing w:val="-4"/>
        </w:rPr>
        <w:t xml:space="preserve"> </w:t>
      </w:r>
      <w:r>
        <w:t>performs</w:t>
      </w:r>
      <w:r>
        <w:rPr>
          <w:spacing w:val="-4"/>
        </w:rPr>
        <w:t xml:space="preserve"> </w:t>
      </w:r>
      <w:r>
        <w:t>an</w:t>
      </w:r>
      <w:r>
        <w:rPr>
          <w:spacing w:val="-4"/>
        </w:rPr>
        <w:t xml:space="preserve"> </w:t>
      </w:r>
      <w:r>
        <w:t>audit</w:t>
      </w:r>
      <w:r>
        <w:rPr>
          <w:spacing w:val="-4"/>
        </w:rPr>
        <w:t xml:space="preserve"> </w:t>
      </w:r>
      <w:r>
        <w:t>or</w:t>
      </w:r>
      <w:r>
        <w:rPr>
          <w:spacing w:val="-4"/>
        </w:rPr>
        <w:t xml:space="preserve"> </w:t>
      </w:r>
      <w:r>
        <w:t>other</w:t>
      </w:r>
      <w:r>
        <w:rPr>
          <w:spacing w:val="-4"/>
        </w:rPr>
        <w:t xml:space="preserve"> </w:t>
      </w:r>
      <w:r>
        <w:t>specified</w:t>
      </w:r>
      <w:r>
        <w:rPr>
          <w:spacing w:val="-4"/>
        </w:rPr>
        <w:t xml:space="preserve"> </w:t>
      </w:r>
      <w:r>
        <w:t>audit</w:t>
      </w:r>
      <w:r>
        <w:rPr>
          <w:spacing w:val="-5"/>
        </w:rPr>
        <w:t xml:space="preserve"> </w:t>
      </w:r>
      <w:r>
        <w:t>procedures of</w:t>
      </w:r>
      <w:r>
        <w:rPr>
          <w:spacing w:val="-2"/>
        </w:rPr>
        <w:t xml:space="preserve"> </w:t>
      </w:r>
      <w:r>
        <w:t>the</w:t>
      </w:r>
      <w:r>
        <w:rPr>
          <w:spacing w:val="-2"/>
        </w:rPr>
        <w:t xml:space="preserve"> </w:t>
      </w:r>
      <w:r>
        <w:t>financial</w:t>
      </w:r>
      <w:r>
        <w:rPr>
          <w:spacing w:val="-2"/>
        </w:rPr>
        <w:t xml:space="preserve"> </w:t>
      </w:r>
      <w:r>
        <w:t>information</w:t>
      </w:r>
      <w:r>
        <w:rPr>
          <w:spacing w:val="-2"/>
        </w:rPr>
        <w:t xml:space="preserve"> </w:t>
      </w:r>
      <w:r>
        <w:t>of</w:t>
      </w:r>
      <w:r>
        <w:rPr>
          <w:spacing w:val="-2"/>
        </w:rPr>
        <w:t xml:space="preserve"> </w:t>
      </w:r>
      <w:r>
        <w:t>a</w:t>
      </w:r>
      <w:r>
        <w:rPr>
          <w:spacing w:val="-2"/>
        </w:rPr>
        <w:t xml:space="preserve"> </w:t>
      </w:r>
      <w:r>
        <w:t>significant</w:t>
      </w:r>
      <w:r>
        <w:rPr>
          <w:spacing w:val="-2"/>
        </w:rPr>
        <w:t xml:space="preserve"> </w:t>
      </w:r>
      <w:r>
        <w:t>component</w:t>
      </w:r>
      <w:r>
        <w:rPr>
          <w:spacing w:val="-2"/>
        </w:rPr>
        <w:t xml:space="preserve"> </w:t>
      </w:r>
      <w:r>
        <w:t>for</w:t>
      </w:r>
      <w:r>
        <w:rPr>
          <w:spacing w:val="-2"/>
        </w:rPr>
        <w:t xml:space="preserve"> </w:t>
      </w:r>
      <w:r>
        <w:t>which</w:t>
      </w:r>
      <w:r>
        <w:rPr>
          <w:spacing w:val="-2"/>
        </w:rPr>
        <w:t xml:space="preserve"> </w:t>
      </w:r>
      <w:r>
        <w:t>the</w:t>
      </w:r>
      <w:r>
        <w:rPr>
          <w:spacing w:val="-2"/>
        </w:rPr>
        <w:t xml:space="preserve"> </w:t>
      </w:r>
      <w:r>
        <w:t>auditor</w:t>
      </w:r>
      <w:r>
        <w:rPr>
          <w:spacing w:val="-2"/>
        </w:rPr>
        <w:t xml:space="preserve"> </w:t>
      </w:r>
      <w:r>
        <w:t>of</w:t>
      </w:r>
      <w:r>
        <w:rPr>
          <w:spacing w:val="-2"/>
        </w:rPr>
        <w:t xml:space="preserve"> </w:t>
      </w:r>
      <w:r>
        <w:t>the group</w:t>
      </w:r>
      <w:r>
        <w:rPr>
          <w:spacing w:val="-3"/>
        </w:rPr>
        <w:t xml:space="preserve"> </w:t>
      </w:r>
      <w:r>
        <w:t>financial</w:t>
      </w:r>
      <w:r>
        <w:rPr>
          <w:spacing w:val="-3"/>
        </w:rPr>
        <w:t xml:space="preserve"> </w:t>
      </w:r>
      <w:r>
        <w:t>statements</w:t>
      </w:r>
      <w:r>
        <w:rPr>
          <w:spacing w:val="-3"/>
        </w:rPr>
        <w:t xml:space="preserve"> </w:t>
      </w:r>
      <w:r>
        <w:t>is</w:t>
      </w:r>
      <w:r>
        <w:rPr>
          <w:spacing w:val="-3"/>
        </w:rPr>
        <w:t xml:space="preserve"> </w:t>
      </w:r>
      <w:r>
        <w:t>assuming</w:t>
      </w:r>
      <w:r>
        <w:rPr>
          <w:spacing w:val="-3"/>
        </w:rPr>
        <w:t xml:space="preserve"> </w:t>
      </w:r>
      <w:r>
        <w:t>responsibility</w:t>
      </w:r>
      <w:r>
        <w:rPr>
          <w:spacing w:val="-3"/>
        </w:rPr>
        <w:t xml:space="preserve"> </w:t>
      </w:r>
      <w:r>
        <w:t>for</w:t>
      </w:r>
      <w:r>
        <w:rPr>
          <w:spacing w:val="-5"/>
        </w:rPr>
        <w:t xml:space="preserve"> </w:t>
      </w:r>
      <w:r>
        <w:t>the</w:t>
      </w:r>
      <w:r>
        <w:rPr>
          <w:spacing w:val="-4"/>
        </w:rPr>
        <w:t xml:space="preserve"> </w:t>
      </w:r>
      <w:r>
        <w:t>component</w:t>
      </w:r>
      <w:r>
        <w:rPr>
          <w:spacing w:val="-3"/>
        </w:rPr>
        <w:t xml:space="preserve"> </w:t>
      </w:r>
      <w:r>
        <w:t>auditor’s work, the group engagement team should be involved in the risk assessment of the component to identify significant risks of material misstatement of the group financial statements. The nature, timing, and extent of this involvement are affected by the group engagement team’s understanding of the component auditor but, at a minimum, should include the following (AU-C 600A.57):</w:t>
      </w:r>
    </w:p>
    <w:p w14:paraId="0DFDAE57" w14:textId="77777777" w:rsidR="00046465" w:rsidRDefault="008134EB">
      <w:pPr>
        <w:pStyle w:val="ListParagraph"/>
        <w:numPr>
          <w:ilvl w:val="1"/>
          <w:numId w:val="217"/>
        </w:numPr>
        <w:tabs>
          <w:tab w:val="left" w:pos="2159"/>
        </w:tabs>
        <w:spacing w:before="119"/>
        <w:ind w:right="1431"/>
      </w:pPr>
      <w:r>
        <w:t>discussing</w:t>
      </w:r>
      <w:r>
        <w:rPr>
          <w:spacing w:val="-6"/>
        </w:rPr>
        <w:t xml:space="preserve"> </w:t>
      </w:r>
      <w:r>
        <w:t>with</w:t>
      </w:r>
      <w:r>
        <w:rPr>
          <w:spacing w:val="-5"/>
        </w:rPr>
        <w:t xml:space="preserve"> </w:t>
      </w:r>
      <w:r>
        <w:t>the</w:t>
      </w:r>
      <w:r>
        <w:rPr>
          <w:spacing w:val="-5"/>
        </w:rPr>
        <w:t xml:space="preserve"> </w:t>
      </w:r>
      <w:r>
        <w:t>component</w:t>
      </w:r>
      <w:r>
        <w:rPr>
          <w:spacing w:val="-5"/>
        </w:rPr>
        <w:t xml:space="preserve"> </w:t>
      </w:r>
      <w:r>
        <w:t>auditor</w:t>
      </w:r>
      <w:r>
        <w:rPr>
          <w:spacing w:val="-5"/>
        </w:rPr>
        <w:t xml:space="preserve"> </w:t>
      </w:r>
      <w:r>
        <w:t>or</w:t>
      </w:r>
      <w:r>
        <w:rPr>
          <w:spacing w:val="-5"/>
        </w:rPr>
        <w:t xml:space="preserve"> </w:t>
      </w:r>
      <w:r>
        <w:t>component</w:t>
      </w:r>
      <w:r>
        <w:rPr>
          <w:spacing w:val="-5"/>
        </w:rPr>
        <w:t xml:space="preserve"> </w:t>
      </w:r>
      <w:r>
        <w:t>management</w:t>
      </w:r>
      <w:r>
        <w:rPr>
          <w:spacing w:val="-5"/>
        </w:rPr>
        <w:t xml:space="preserve"> </w:t>
      </w:r>
      <w:r>
        <w:t>the component’s business activities of significance to the group,</w:t>
      </w:r>
    </w:p>
    <w:p w14:paraId="0DFDAE58" w14:textId="77777777" w:rsidR="00046465" w:rsidRDefault="00046465">
      <w:pPr>
        <w:pStyle w:val="ListParagraph"/>
        <w:sectPr w:rsidR="00046465">
          <w:pgSz w:w="12240" w:h="15840"/>
          <w:pgMar w:top="1340" w:right="720" w:bottom="940" w:left="1080" w:header="721" w:footer="757" w:gutter="0"/>
          <w:cols w:space="720"/>
        </w:sectPr>
      </w:pPr>
    </w:p>
    <w:p w14:paraId="0DFDAE59" w14:textId="77777777" w:rsidR="00046465" w:rsidRDefault="008134EB">
      <w:pPr>
        <w:pStyle w:val="ListParagraph"/>
        <w:numPr>
          <w:ilvl w:val="1"/>
          <w:numId w:val="217"/>
        </w:numPr>
        <w:tabs>
          <w:tab w:val="left" w:pos="2159"/>
        </w:tabs>
        <w:spacing w:before="121"/>
        <w:ind w:right="867"/>
      </w:pPr>
      <w:r>
        <w:lastRenderedPageBreak/>
        <w:t>discussing</w:t>
      </w:r>
      <w:r>
        <w:rPr>
          <w:spacing w:val="-5"/>
        </w:rPr>
        <w:t xml:space="preserve"> </w:t>
      </w:r>
      <w:r>
        <w:t>with</w:t>
      </w:r>
      <w:r>
        <w:rPr>
          <w:spacing w:val="-4"/>
        </w:rPr>
        <w:t xml:space="preserve"> </w:t>
      </w:r>
      <w:r>
        <w:t>the</w:t>
      </w:r>
      <w:r>
        <w:rPr>
          <w:spacing w:val="-4"/>
        </w:rPr>
        <w:t xml:space="preserve"> </w:t>
      </w:r>
      <w:r>
        <w:t>component</w:t>
      </w:r>
      <w:r>
        <w:rPr>
          <w:spacing w:val="-4"/>
        </w:rPr>
        <w:t xml:space="preserve"> </w:t>
      </w:r>
      <w:r>
        <w:t>auditor</w:t>
      </w:r>
      <w:r>
        <w:rPr>
          <w:spacing w:val="-4"/>
        </w:rPr>
        <w:t xml:space="preserve"> </w:t>
      </w:r>
      <w:r>
        <w:t>the</w:t>
      </w:r>
      <w:r>
        <w:rPr>
          <w:spacing w:val="-4"/>
        </w:rPr>
        <w:t xml:space="preserve"> </w:t>
      </w:r>
      <w:r>
        <w:t>susceptibility</w:t>
      </w:r>
      <w:r>
        <w:rPr>
          <w:spacing w:val="-4"/>
        </w:rPr>
        <w:t xml:space="preserve"> </w:t>
      </w:r>
      <w:r>
        <w:t>of</w:t>
      </w:r>
      <w:r>
        <w:rPr>
          <w:spacing w:val="-5"/>
        </w:rPr>
        <w:t xml:space="preserve"> </w:t>
      </w:r>
      <w:r>
        <w:t>the</w:t>
      </w:r>
      <w:r>
        <w:rPr>
          <w:spacing w:val="-4"/>
        </w:rPr>
        <w:t xml:space="preserve"> </w:t>
      </w:r>
      <w:r>
        <w:t>component</w:t>
      </w:r>
      <w:r>
        <w:rPr>
          <w:spacing w:val="-4"/>
        </w:rPr>
        <w:t xml:space="preserve"> </w:t>
      </w:r>
      <w:r>
        <w:t>to material misstatement of the financial information due to fraud or error, and</w:t>
      </w:r>
    </w:p>
    <w:p w14:paraId="0DFDAE5A" w14:textId="77777777" w:rsidR="00046465" w:rsidRDefault="008134EB">
      <w:pPr>
        <w:pStyle w:val="ListParagraph"/>
        <w:numPr>
          <w:ilvl w:val="1"/>
          <w:numId w:val="217"/>
        </w:numPr>
        <w:tabs>
          <w:tab w:val="left" w:pos="2159"/>
        </w:tabs>
        <w:spacing w:before="119"/>
        <w:ind w:right="878"/>
      </w:pPr>
      <w:r>
        <w:t>reviewing the component auditor’s documentation of identified significant risks of material misstatement of the group financial statements—such documentation may take the form of a memorandum that reflects the component</w:t>
      </w:r>
      <w:r>
        <w:rPr>
          <w:spacing w:val="-4"/>
        </w:rPr>
        <w:t xml:space="preserve"> </w:t>
      </w:r>
      <w:r>
        <w:t>auditor’s</w:t>
      </w:r>
      <w:r>
        <w:rPr>
          <w:spacing w:val="-4"/>
        </w:rPr>
        <w:t xml:space="preserve"> </w:t>
      </w:r>
      <w:r>
        <w:t>conclusion</w:t>
      </w:r>
      <w:r>
        <w:rPr>
          <w:spacing w:val="-4"/>
        </w:rPr>
        <w:t xml:space="preserve"> </w:t>
      </w:r>
      <w:r>
        <w:t>with</w:t>
      </w:r>
      <w:r>
        <w:rPr>
          <w:spacing w:val="-4"/>
        </w:rPr>
        <w:t xml:space="preserve"> </w:t>
      </w:r>
      <w:r>
        <w:t>regard</w:t>
      </w:r>
      <w:r>
        <w:rPr>
          <w:spacing w:val="-4"/>
        </w:rPr>
        <w:t xml:space="preserve"> </w:t>
      </w:r>
      <w:r>
        <w:t>to</w:t>
      </w:r>
      <w:r>
        <w:rPr>
          <w:spacing w:val="-4"/>
        </w:rPr>
        <w:t xml:space="preserve"> </w:t>
      </w:r>
      <w:r>
        <w:t>the</w:t>
      </w:r>
      <w:r>
        <w:rPr>
          <w:spacing w:val="-4"/>
        </w:rPr>
        <w:t xml:space="preserve"> </w:t>
      </w:r>
      <w:r>
        <w:t>identified</w:t>
      </w:r>
      <w:r>
        <w:rPr>
          <w:spacing w:val="-5"/>
        </w:rPr>
        <w:t xml:space="preserve"> </w:t>
      </w:r>
      <w:r>
        <w:t>significant</w:t>
      </w:r>
      <w:r>
        <w:rPr>
          <w:spacing w:val="-4"/>
        </w:rPr>
        <w:t xml:space="preserve"> </w:t>
      </w:r>
      <w:r>
        <w:t>risks.</w:t>
      </w:r>
    </w:p>
    <w:p w14:paraId="0DFDAE5B" w14:textId="77777777" w:rsidR="00046465" w:rsidRDefault="008134EB">
      <w:pPr>
        <w:pStyle w:val="Heading4"/>
      </w:pPr>
      <w:bookmarkStart w:id="66" w:name="Further_Audit_Procedures_for_Identified_"/>
      <w:bookmarkEnd w:id="66"/>
      <w:r>
        <w:t>Further</w:t>
      </w:r>
      <w:r>
        <w:rPr>
          <w:spacing w:val="-5"/>
        </w:rPr>
        <w:t xml:space="preserve"> </w:t>
      </w:r>
      <w:r>
        <w:t>Audit</w:t>
      </w:r>
      <w:r>
        <w:rPr>
          <w:spacing w:val="-5"/>
        </w:rPr>
        <w:t xml:space="preserve"> </w:t>
      </w:r>
      <w:r>
        <w:t>Procedures</w:t>
      </w:r>
      <w:r>
        <w:rPr>
          <w:spacing w:val="-5"/>
        </w:rPr>
        <w:t xml:space="preserve"> </w:t>
      </w:r>
      <w:r>
        <w:t>for</w:t>
      </w:r>
      <w:r>
        <w:rPr>
          <w:spacing w:val="-5"/>
        </w:rPr>
        <w:t xml:space="preserve"> </w:t>
      </w:r>
      <w:r>
        <w:t>Identified</w:t>
      </w:r>
      <w:r>
        <w:rPr>
          <w:spacing w:val="-5"/>
        </w:rPr>
        <w:t xml:space="preserve"> </w:t>
      </w:r>
      <w:r>
        <w:t>Significant</w:t>
      </w:r>
      <w:r>
        <w:rPr>
          <w:spacing w:val="-5"/>
        </w:rPr>
        <w:t xml:space="preserve"> </w:t>
      </w:r>
      <w:r>
        <w:t>Risk</w:t>
      </w:r>
      <w:r>
        <w:rPr>
          <w:spacing w:val="-5"/>
        </w:rPr>
        <w:t xml:space="preserve"> </w:t>
      </w:r>
      <w:r>
        <w:t>of</w:t>
      </w:r>
      <w:r>
        <w:rPr>
          <w:spacing w:val="-5"/>
        </w:rPr>
        <w:t xml:space="preserve"> </w:t>
      </w:r>
      <w:r>
        <w:t>Material Misstatement of the Group Financial Statements</w:t>
      </w:r>
    </w:p>
    <w:p w14:paraId="0DFDAE5C" w14:textId="77777777" w:rsidR="00046465" w:rsidRDefault="008134EB">
      <w:pPr>
        <w:pStyle w:val="ListParagraph"/>
        <w:numPr>
          <w:ilvl w:val="0"/>
          <w:numId w:val="217"/>
        </w:numPr>
        <w:tabs>
          <w:tab w:val="left" w:pos="1800"/>
        </w:tabs>
        <w:spacing w:before="119"/>
        <w:ind w:right="813"/>
      </w:pPr>
      <w:r>
        <w:t>When</w:t>
      </w:r>
      <w:r>
        <w:rPr>
          <w:spacing w:val="-4"/>
        </w:rPr>
        <w:t xml:space="preserve"> </w:t>
      </w:r>
      <w:r>
        <w:t>significant</w:t>
      </w:r>
      <w:r>
        <w:rPr>
          <w:spacing w:val="-4"/>
        </w:rPr>
        <w:t xml:space="preserve"> </w:t>
      </w:r>
      <w:r>
        <w:t>risks</w:t>
      </w:r>
      <w:r>
        <w:rPr>
          <w:spacing w:val="-4"/>
        </w:rPr>
        <w:t xml:space="preserve"> </w:t>
      </w:r>
      <w:r>
        <w:t>of</w:t>
      </w:r>
      <w:r>
        <w:rPr>
          <w:spacing w:val="-5"/>
        </w:rPr>
        <w:t xml:space="preserve"> </w:t>
      </w:r>
      <w:r>
        <w:t>material</w:t>
      </w:r>
      <w:r>
        <w:rPr>
          <w:spacing w:val="-4"/>
        </w:rPr>
        <w:t xml:space="preserve"> </w:t>
      </w:r>
      <w:r>
        <w:t>misstatement</w:t>
      </w:r>
      <w:r>
        <w:rPr>
          <w:spacing w:val="-4"/>
        </w:rPr>
        <w:t xml:space="preserve"> </w:t>
      </w:r>
      <w:r>
        <w:t>of</w:t>
      </w:r>
      <w:r>
        <w:rPr>
          <w:spacing w:val="-4"/>
        </w:rPr>
        <w:t xml:space="preserve"> </w:t>
      </w:r>
      <w:r>
        <w:t>the</w:t>
      </w:r>
      <w:r>
        <w:rPr>
          <w:spacing w:val="-4"/>
        </w:rPr>
        <w:t xml:space="preserve"> </w:t>
      </w:r>
      <w:r>
        <w:t>group</w:t>
      </w:r>
      <w:r>
        <w:rPr>
          <w:spacing w:val="-5"/>
        </w:rPr>
        <w:t xml:space="preserve"> </w:t>
      </w:r>
      <w:r>
        <w:t>financial</w:t>
      </w:r>
      <w:r>
        <w:rPr>
          <w:spacing w:val="-5"/>
        </w:rPr>
        <w:t xml:space="preserve"> </w:t>
      </w:r>
      <w:r>
        <w:t>statements have been identified at a component for which the auditor of the group financial statements is assuming responsibility for the work of the component’s auditor, the group engagement team should evaluate the appropriateness of the further audit procedures to be performed to respond to the identified significant risks of material misstatement of the group financial statements. Based on its understanding of the component auditor, the group engagement team should determine whether it is necessary to be involved in the further audit procedures (AU-C 600A.58).</w:t>
      </w:r>
    </w:p>
    <w:p w14:paraId="0DFDAE5D" w14:textId="77777777" w:rsidR="00046465" w:rsidRDefault="008134EB">
      <w:pPr>
        <w:pStyle w:val="Heading5"/>
        <w:spacing w:before="242"/>
        <w:rPr>
          <w:u w:val="none"/>
        </w:rPr>
      </w:pPr>
      <w:bookmarkStart w:id="67" w:name="Subsequent_Events"/>
      <w:bookmarkEnd w:id="67"/>
      <w:r>
        <w:t>Subsequent</w:t>
      </w:r>
      <w:r>
        <w:rPr>
          <w:spacing w:val="-7"/>
        </w:rPr>
        <w:t xml:space="preserve"> </w:t>
      </w:r>
      <w:r>
        <w:rPr>
          <w:spacing w:val="-2"/>
        </w:rPr>
        <w:t>Events</w:t>
      </w:r>
    </w:p>
    <w:p w14:paraId="0DFDAE5E" w14:textId="77777777" w:rsidR="00046465" w:rsidRDefault="008134EB">
      <w:pPr>
        <w:pStyle w:val="ListParagraph"/>
        <w:numPr>
          <w:ilvl w:val="0"/>
          <w:numId w:val="217"/>
        </w:numPr>
        <w:tabs>
          <w:tab w:val="left" w:pos="1800"/>
        </w:tabs>
        <w:spacing w:before="119"/>
        <w:ind w:right="811"/>
      </w:pPr>
      <w:r>
        <w:t>When component auditors perform work other than audits of the components’ financial information at the request of the group engagement team, the group engagement team should request that the component auditors notify the group engagement team if they become aware of events at those components that occur between the dates of the financial information of the components and the date</w:t>
      </w:r>
      <w:r>
        <w:rPr>
          <w:spacing w:val="-3"/>
        </w:rPr>
        <w:t xml:space="preserve"> </w:t>
      </w:r>
      <w:r>
        <w:t>of</w:t>
      </w:r>
      <w:r>
        <w:rPr>
          <w:spacing w:val="-3"/>
        </w:rPr>
        <w:t xml:space="preserve"> </w:t>
      </w:r>
      <w:r>
        <w:t>the</w:t>
      </w:r>
      <w:r>
        <w:rPr>
          <w:spacing w:val="-3"/>
        </w:rPr>
        <w:t xml:space="preserve"> </w:t>
      </w:r>
      <w:r>
        <w:t>auditor’s</w:t>
      </w:r>
      <w:r>
        <w:rPr>
          <w:spacing w:val="-2"/>
        </w:rPr>
        <w:t xml:space="preserve"> </w:t>
      </w:r>
      <w:r>
        <w:t>report</w:t>
      </w:r>
      <w:r>
        <w:rPr>
          <w:spacing w:val="-3"/>
        </w:rPr>
        <w:t xml:space="preserve"> </w:t>
      </w:r>
      <w:r>
        <w:t>on</w:t>
      </w:r>
      <w:r>
        <w:rPr>
          <w:spacing w:val="-3"/>
        </w:rPr>
        <w:t xml:space="preserve"> </w:t>
      </w:r>
      <w:r>
        <w:t>the</w:t>
      </w:r>
      <w:r>
        <w:rPr>
          <w:spacing w:val="-3"/>
        </w:rPr>
        <w:t xml:space="preserve"> </w:t>
      </w:r>
      <w:r>
        <w:t>group</w:t>
      </w:r>
      <w:r>
        <w:rPr>
          <w:spacing w:val="-3"/>
        </w:rPr>
        <w:t xml:space="preserve"> </w:t>
      </w:r>
      <w:r>
        <w:t>financial</w:t>
      </w:r>
      <w:r>
        <w:rPr>
          <w:spacing w:val="-4"/>
        </w:rPr>
        <w:t xml:space="preserve"> </w:t>
      </w:r>
      <w:r>
        <w:t>statements</w:t>
      </w:r>
      <w:r>
        <w:rPr>
          <w:spacing w:val="-3"/>
        </w:rPr>
        <w:t xml:space="preserve"> </w:t>
      </w:r>
      <w:r>
        <w:t>that</w:t>
      </w:r>
      <w:r>
        <w:rPr>
          <w:spacing w:val="-3"/>
        </w:rPr>
        <w:t xml:space="preserve"> </w:t>
      </w:r>
      <w:r>
        <w:t>may</w:t>
      </w:r>
      <w:r>
        <w:rPr>
          <w:spacing w:val="-3"/>
        </w:rPr>
        <w:t xml:space="preserve"> </w:t>
      </w:r>
      <w:r>
        <w:t>require</w:t>
      </w:r>
      <w:r>
        <w:rPr>
          <w:spacing w:val="-3"/>
        </w:rPr>
        <w:t xml:space="preserve"> </w:t>
      </w:r>
      <w:r>
        <w:t>an adjustment to, or disclosure in, the group financial statements (AU-C 600A.59).</w:t>
      </w:r>
    </w:p>
    <w:p w14:paraId="0DFDAE5F" w14:textId="77777777" w:rsidR="00046465" w:rsidRDefault="008134EB">
      <w:pPr>
        <w:pStyle w:val="Heading5"/>
        <w:rPr>
          <w:u w:val="none"/>
        </w:rPr>
      </w:pPr>
      <w:bookmarkStart w:id="68" w:name="Communication_with_a_Component_Auditor"/>
      <w:bookmarkEnd w:id="68"/>
      <w:r>
        <w:t>Communication</w:t>
      </w:r>
      <w:r>
        <w:rPr>
          <w:spacing w:val="-4"/>
        </w:rPr>
        <w:t xml:space="preserve"> </w:t>
      </w:r>
      <w:r>
        <w:t>with</w:t>
      </w:r>
      <w:r>
        <w:rPr>
          <w:spacing w:val="-4"/>
        </w:rPr>
        <w:t xml:space="preserve"> </w:t>
      </w:r>
      <w:r>
        <w:t>a</w:t>
      </w:r>
      <w:r>
        <w:rPr>
          <w:spacing w:val="-4"/>
        </w:rPr>
        <w:t xml:space="preserve"> </w:t>
      </w:r>
      <w:r>
        <w:t>Component</w:t>
      </w:r>
      <w:r>
        <w:rPr>
          <w:spacing w:val="-3"/>
        </w:rPr>
        <w:t xml:space="preserve"> </w:t>
      </w:r>
      <w:r>
        <w:rPr>
          <w:spacing w:val="-2"/>
        </w:rPr>
        <w:t>Auditor</w:t>
      </w:r>
    </w:p>
    <w:p w14:paraId="0DFDAE60" w14:textId="77777777" w:rsidR="00046465" w:rsidRDefault="008134EB">
      <w:pPr>
        <w:pStyle w:val="ListParagraph"/>
        <w:numPr>
          <w:ilvl w:val="0"/>
          <w:numId w:val="217"/>
        </w:numPr>
        <w:tabs>
          <w:tab w:val="left" w:pos="1800"/>
        </w:tabs>
        <w:spacing w:before="118"/>
        <w:ind w:right="763"/>
      </w:pPr>
      <w:r>
        <w:t>When the auditor of the group financial statements is assuming responsibility for the work of a component auditor, the communication required in FAM 630.36 should set out the work to be performed and the form and content of the component auditor’s communication with the group engagement team. It also should</w:t>
      </w:r>
      <w:r>
        <w:rPr>
          <w:spacing w:val="-3"/>
        </w:rPr>
        <w:t xml:space="preserve"> </w:t>
      </w:r>
      <w:r>
        <w:t>include,</w:t>
      </w:r>
      <w:r>
        <w:rPr>
          <w:spacing w:val="-3"/>
        </w:rPr>
        <w:t xml:space="preserve"> </w:t>
      </w:r>
      <w:r>
        <w:t>in</w:t>
      </w:r>
      <w:r>
        <w:rPr>
          <w:spacing w:val="-3"/>
        </w:rPr>
        <w:t xml:space="preserve"> </w:t>
      </w:r>
      <w:r>
        <w:t>the</w:t>
      </w:r>
      <w:r>
        <w:rPr>
          <w:spacing w:val="-3"/>
        </w:rPr>
        <w:t xml:space="preserve"> </w:t>
      </w:r>
      <w:r>
        <w:t>case</w:t>
      </w:r>
      <w:r>
        <w:rPr>
          <w:spacing w:val="-3"/>
        </w:rPr>
        <w:t xml:space="preserve"> </w:t>
      </w:r>
      <w:r>
        <w:t>of</w:t>
      </w:r>
      <w:r>
        <w:rPr>
          <w:spacing w:val="-3"/>
        </w:rPr>
        <w:t xml:space="preserve"> </w:t>
      </w:r>
      <w:r>
        <w:t>an</w:t>
      </w:r>
      <w:r>
        <w:rPr>
          <w:spacing w:val="-3"/>
        </w:rPr>
        <w:t xml:space="preserve"> </w:t>
      </w:r>
      <w:r>
        <w:t>audit</w:t>
      </w:r>
      <w:r>
        <w:rPr>
          <w:spacing w:val="-3"/>
        </w:rPr>
        <w:t xml:space="preserve"> </w:t>
      </w:r>
      <w:r>
        <w:t>or</w:t>
      </w:r>
      <w:r>
        <w:rPr>
          <w:spacing w:val="-3"/>
        </w:rPr>
        <w:t xml:space="preserve"> </w:t>
      </w:r>
      <w:r>
        <w:t>review</w:t>
      </w:r>
      <w:r>
        <w:rPr>
          <w:spacing w:val="-5"/>
        </w:rPr>
        <w:t xml:space="preserve"> </w:t>
      </w:r>
      <w:r>
        <w:t>of</w:t>
      </w:r>
      <w:r>
        <w:rPr>
          <w:spacing w:val="-3"/>
        </w:rPr>
        <w:t xml:space="preserve"> </w:t>
      </w:r>
      <w:r>
        <w:t>the</w:t>
      </w:r>
      <w:r>
        <w:rPr>
          <w:spacing w:val="-3"/>
        </w:rPr>
        <w:t xml:space="preserve"> </w:t>
      </w:r>
      <w:r>
        <w:t>financial</w:t>
      </w:r>
      <w:r>
        <w:rPr>
          <w:spacing w:val="-3"/>
        </w:rPr>
        <w:t xml:space="preserve"> </w:t>
      </w:r>
      <w:r>
        <w:t>information</w:t>
      </w:r>
      <w:r>
        <w:rPr>
          <w:spacing w:val="-3"/>
        </w:rPr>
        <w:t xml:space="preserve"> </w:t>
      </w:r>
      <w:r>
        <w:t>of</w:t>
      </w:r>
      <w:r>
        <w:rPr>
          <w:spacing w:val="-3"/>
        </w:rPr>
        <w:t xml:space="preserve"> </w:t>
      </w:r>
      <w:r>
        <w:t>the component, component materiality (and the amount or amounts lower than the materiality for particular line items, accounts, note disclosures, or classes of transactions, if applicable) and the threshold above which misstatements cannot be regarded as clearly trivial to the group financial statements (AU-C 600A.60).</w:t>
      </w:r>
    </w:p>
    <w:p w14:paraId="0DFDAE61" w14:textId="77777777" w:rsidR="00046465" w:rsidRDefault="008134EB">
      <w:pPr>
        <w:pStyle w:val="ListParagraph"/>
        <w:numPr>
          <w:ilvl w:val="0"/>
          <w:numId w:val="217"/>
        </w:numPr>
        <w:tabs>
          <w:tab w:val="left" w:pos="1800"/>
        </w:tabs>
        <w:spacing w:before="121"/>
        <w:ind w:right="823"/>
      </w:pPr>
      <w:r>
        <w:t>When</w:t>
      </w:r>
      <w:r>
        <w:rPr>
          <w:spacing w:val="-2"/>
        </w:rPr>
        <w:t xml:space="preserve"> </w:t>
      </w:r>
      <w:r>
        <w:t>the</w:t>
      </w:r>
      <w:r>
        <w:rPr>
          <w:spacing w:val="-2"/>
        </w:rPr>
        <w:t xml:space="preserve"> </w:t>
      </w:r>
      <w:r>
        <w:t>auditor</w:t>
      </w:r>
      <w:r>
        <w:rPr>
          <w:spacing w:val="-2"/>
        </w:rPr>
        <w:t xml:space="preserve"> </w:t>
      </w:r>
      <w:r>
        <w:t>of</w:t>
      </w:r>
      <w:r>
        <w:rPr>
          <w:spacing w:val="-2"/>
        </w:rPr>
        <w:t xml:space="preserve"> </w:t>
      </w:r>
      <w:r>
        <w:t>the</w:t>
      </w:r>
      <w:r>
        <w:rPr>
          <w:spacing w:val="-3"/>
        </w:rPr>
        <w:t xml:space="preserve"> </w:t>
      </w:r>
      <w:r>
        <w:t>group</w:t>
      </w:r>
      <w:r>
        <w:rPr>
          <w:spacing w:val="-2"/>
        </w:rPr>
        <w:t xml:space="preserve"> </w:t>
      </w:r>
      <w:r>
        <w:t>financial</w:t>
      </w:r>
      <w:r>
        <w:rPr>
          <w:spacing w:val="-2"/>
        </w:rPr>
        <w:t xml:space="preserve"> </w:t>
      </w:r>
      <w:r>
        <w:t>statements</w:t>
      </w:r>
      <w:r>
        <w:rPr>
          <w:spacing w:val="-2"/>
        </w:rPr>
        <w:t xml:space="preserve"> </w:t>
      </w:r>
      <w:r>
        <w:t>is</w:t>
      </w:r>
      <w:r>
        <w:rPr>
          <w:spacing w:val="-2"/>
        </w:rPr>
        <w:t xml:space="preserve"> </w:t>
      </w:r>
      <w:r>
        <w:t>assuming</w:t>
      </w:r>
      <w:r>
        <w:rPr>
          <w:spacing w:val="-2"/>
        </w:rPr>
        <w:t xml:space="preserve"> </w:t>
      </w:r>
      <w:r>
        <w:t>responsibility</w:t>
      </w:r>
      <w:r>
        <w:rPr>
          <w:spacing w:val="-2"/>
        </w:rPr>
        <w:t xml:space="preserve"> </w:t>
      </w:r>
      <w:r>
        <w:t>for the work of a component auditor, the communication requested from the component</w:t>
      </w:r>
      <w:r>
        <w:rPr>
          <w:spacing w:val="-4"/>
        </w:rPr>
        <w:t xml:space="preserve"> </w:t>
      </w:r>
      <w:r>
        <w:t>auditor,</w:t>
      </w:r>
      <w:r>
        <w:rPr>
          <w:spacing w:val="-4"/>
        </w:rPr>
        <w:t xml:space="preserve"> </w:t>
      </w:r>
      <w:r>
        <w:t>as</w:t>
      </w:r>
      <w:r>
        <w:rPr>
          <w:spacing w:val="-4"/>
        </w:rPr>
        <w:t xml:space="preserve"> </w:t>
      </w:r>
      <w:r>
        <w:t>required</w:t>
      </w:r>
      <w:r>
        <w:rPr>
          <w:spacing w:val="-4"/>
        </w:rPr>
        <w:t xml:space="preserve"> </w:t>
      </w:r>
      <w:r>
        <w:t>in</w:t>
      </w:r>
      <w:r>
        <w:rPr>
          <w:spacing w:val="-4"/>
        </w:rPr>
        <w:t xml:space="preserve"> </w:t>
      </w:r>
      <w:r>
        <w:t>FAM</w:t>
      </w:r>
      <w:r>
        <w:rPr>
          <w:spacing w:val="-5"/>
        </w:rPr>
        <w:t xml:space="preserve"> </w:t>
      </w:r>
      <w:r>
        <w:t>630.37,</w:t>
      </w:r>
      <w:r>
        <w:rPr>
          <w:spacing w:val="-3"/>
        </w:rPr>
        <w:t xml:space="preserve"> </w:t>
      </w:r>
      <w:r>
        <w:t>also</w:t>
      </w:r>
      <w:r>
        <w:rPr>
          <w:spacing w:val="-4"/>
        </w:rPr>
        <w:t xml:space="preserve"> </w:t>
      </w:r>
      <w:r>
        <w:t>should</w:t>
      </w:r>
      <w:r>
        <w:rPr>
          <w:spacing w:val="-4"/>
        </w:rPr>
        <w:t xml:space="preserve"> </w:t>
      </w:r>
      <w:r>
        <w:t>include</w:t>
      </w:r>
      <w:r>
        <w:rPr>
          <w:spacing w:val="-4"/>
        </w:rPr>
        <w:t xml:space="preserve"> </w:t>
      </w:r>
      <w:r>
        <w:t>the</w:t>
      </w:r>
      <w:r>
        <w:rPr>
          <w:spacing w:val="-4"/>
        </w:rPr>
        <w:t xml:space="preserve"> </w:t>
      </w:r>
      <w:r>
        <w:t>following (AU-C 600A.61):</w:t>
      </w:r>
    </w:p>
    <w:p w14:paraId="0DFDAE62" w14:textId="77777777" w:rsidR="00046465" w:rsidRDefault="008134EB">
      <w:pPr>
        <w:pStyle w:val="ListParagraph"/>
        <w:numPr>
          <w:ilvl w:val="1"/>
          <w:numId w:val="217"/>
        </w:numPr>
        <w:tabs>
          <w:tab w:val="left" w:pos="2160"/>
        </w:tabs>
        <w:ind w:left="2160" w:right="1112"/>
      </w:pPr>
      <w:r>
        <w:t>Whether</w:t>
      </w:r>
      <w:r>
        <w:rPr>
          <w:spacing w:val="-5"/>
        </w:rPr>
        <w:t xml:space="preserve"> </w:t>
      </w:r>
      <w:r>
        <w:t>the</w:t>
      </w:r>
      <w:r>
        <w:rPr>
          <w:spacing w:val="-5"/>
        </w:rPr>
        <w:t xml:space="preserve"> </w:t>
      </w:r>
      <w:r>
        <w:t>component</w:t>
      </w:r>
      <w:r>
        <w:rPr>
          <w:spacing w:val="-5"/>
        </w:rPr>
        <w:t xml:space="preserve"> </w:t>
      </w:r>
      <w:r>
        <w:t>auditor</w:t>
      </w:r>
      <w:r>
        <w:rPr>
          <w:spacing w:val="-5"/>
        </w:rPr>
        <w:t xml:space="preserve"> </w:t>
      </w:r>
      <w:r>
        <w:t>has</w:t>
      </w:r>
      <w:r>
        <w:rPr>
          <w:spacing w:val="-6"/>
        </w:rPr>
        <w:t xml:space="preserve"> </w:t>
      </w:r>
      <w:r>
        <w:t>complied</w:t>
      </w:r>
      <w:r>
        <w:rPr>
          <w:spacing w:val="-5"/>
        </w:rPr>
        <w:t xml:space="preserve"> </w:t>
      </w:r>
      <w:r>
        <w:t>with</w:t>
      </w:r>
      <w:r>
        <w:rPr>
          <w:spacing w:val="-5"/>
        </w:rPr>
        <w:t xml:space="preserve"> </w:t>
      </w:r>
      <w:r>
        <w:t>the</w:t>
      </w:r>
      <w:r>
        <w:rPr>
          <w:spacing w:val="-5"/>
        </w:rPr>
        <w:t xml:space="preserve"> </w:t>
      </w:r>
      <w:r>
        <w:t>group</w:t>
      </w:r>
      <w:r>
        <w:rPr>
          <w:spacing w:val="-6"/>
        </w:rPr>
        <w:t xml:space="preserve"> </w:t>
      </w:r>
      <w:r>
        <w:t>engagement team’s requirements.</w:t>
      </w:r>
    </w:p>
    <w:p w14:paraId="0DFDAE63" w14:textId="77777777" w:rsidR="00046465" w:rsidRDefault="008134EB">
      <w:pPr>
        <w:pStyle w:val="ListParagraph"/>
        <w:numPr>
          <w:ilvl w:val="1"/>
          <w:numId w:val="217"/>
        </w:numPr>
        <w:tabs>
          <w:tab w:val="left" w:pos="2160"/>
        </w:tabs>
        <w:ind w:left="2160" w:right="793"/>
      </w:pPr>
      <w:r>
        <w:t>Information</w:t>
      </w:r>
      <w:r>
        <w:rPr>
          <w:spacing w:val="-5"/>
        </w:rPr>
        <w:t xml:space="preserve"> </w:t>
      </w:r>
      <w:r>
        <w:t>on</w:t>
      </w:r>
      <w:r>
        <w:rPr>
          <w:spacing w:val="-5"/>
        </w:rPr>
        <w:t xml:space="preserve"> </w:t>
      </w:r>
      <w:r>
        <w:t>instances</w:t>
      </w:r>
      <w:r>
        <w:rPr>
          <w:spacing w:val="-5"/>
        </w:rPr>
        <w:t xml:space="preserve"> </w:t>
      </w:r>
      <w:r>
        <w:t>of</w:t>
      </w:r>
      <w:r>
        <w:rPr>
          <w:spacing w:val="-5"/>
        </w:rPr>
        <w:t xml:space="preserve"> </w:t>
      </w:r>
      <w:r>
        <w:t>noncompliance</w:t>
      </w:r>
      <w:r>
        <w:rPr>
          <w:spacing w:val="-5"/>
        </w:rPr>
        <w:t xml:space="preserve"> </w:t>
      </w:r>
      <w:r>
        <w:t>with</w:t>
      </w:r>
      <w:r>
        <w:rPr>
          <w:spacing w:val="-5"/>
        </w:rPr>
        <w:t xml:space="preserve"> </w:t>
      </w:r>
      <w:r>
        <w:t>provisions</w:t>
      </w:r>
      <w:r>
        <w:rPr>
          <w:spacing w:val="-5"/>
        </w:rPr>
        <w:t xml:space="preserve"> </w:t>
      </w:r>
      <w:r>
        <w:t>of</w:t>
      </w:r>
      <w:r>
        <w:rPr>
          <w:spacing w:val="-5"/>
        </w:rPr>
        <w:t xml:space="preserve"> </w:t>
      </w:r>
      <w:r>
        <w:t>applicable</w:t>
      </w:r>
      <w:r>
        <w:rPr>
          <w:spacing w:val="-5"/>
        </w:rPr>
        <w:t xml:space="preserve"> </w:t>
      </w:r>
      <w:r>
        <w:t>laws or regulations at the component or group level that could give rise to a material misstatement of the group financial statements.</w:t>
      </w:r>
    </w:p>
    <w:p w14:paraId="0DFDAE64" w14:textId="77777777" w:rsidR="00046465" w:rsidRDefault="00046465">
      <w:pPr>
        <w:pStyle w:val="ListParagraph"/>
        <w:sectPr w:rsidR="00046465">
          <w:pgSz w:w="12240" w:h="15840"/>
          <w:pgMar w:top="1340" w:right="720" w:bottom="940" w:left="1080" w:header="721" w:footer="757" w:gutter="0"/>
          <w:cols w:space="720"/>
        </w:sectPr>
      </w:pPr>
    </w:p>
    <w:p w14:paraId="0DFDAE65" w14:textId="77777777" w:rsidR="00046465" w:rsidRDefault="008134EB">
      <w:pPr>
        <w:pStyle w:val="ListParagraph"/>
        <w:numPr>
          <w:ilvl w:val="1"/>
          <w:numId w:val="217"/>
        </w:numPr>
        <w:tabs>
          <w:tab w:val="left" w:pos="2159"/>
        </w:tabs>
        <w:spacing w:before="121"/>
        <w:ind w:right="733"/>
      </w:pPr>
      <w:r>
        <w:lastRenderedPageBreak/>
        <w:t>Significant risks of material misstatement of the group financial statements, due to fraud or error, identified by the component auditor in the component and</w:t>
      </w:r>
      <w:r>
        <w:rPr>
          <w:spacing w:val="-4"/>
        </w:rPr>
        <w:t xml:space="preserve"> </w:t>
      </w:r>
      <w:r>
        <w:t>the</w:t>
      </w:r>
      <w:r>
        <w:rPr>
          <w:spacing w:val="-4"/>
        </w:rPr>
        <w:t xml:space="preserve"> </w:t>
      </w:r>
      <w:r>
        <w:t>component</w:t>
      </w:r>
      <w:r>
        <w:rPr>
          <w:spacing w:val="-4"/>
        </w:rPr>
        <w:t xml:space="preserve"> </w:t>
      </w:r>
      <w:r>
        <w:t>auditor’s</w:t>
      </w:r>
      <w:r>
        <w:rPr>
          <w:spacing w:val="-3"/>
        </w:rPr>
        <w:t xml:space="preserve"> </w:t>
      </w:r>
      <w:r>
        <w:t>responses</w:t>
      </w:r>
      <w:r>
        <w:rPr>
          <w:spacing w:val="-4"/>
        </w:rPr>
        <w:t xml:space="preserve"> </w:t>
      </w:r>
      <w:r>
        <w:t>to</w:t>
      </w:r>
      <w:r>
        <w:rPr>
          <w:spacing w:val="-4"/>
        </w:rPr>
        <w:t xml:space="preserve"> </w:t>
      </w:r>
      <w:r>
        <w:t>such</w:t>
      </w:r>
      <w:r>
        <w:rPr>
          <w:spacing w:val="-4"/>
        </w:rPr>
        <w:t xml:space="preserve"> </w:t>
      </w:r>
      <w:r>
        <w:t>risks.</w:t>
      </w:r>
      <w:r>
        <w:rPr>
          <w:spacing w:val="-4"/>
        </w:rPr>
        <w:t xml:space="preserve"> </w:t>
      </w:r>
      <w:r>
        <w:t>The</w:t>
      </w:r>
      <w:r>
        <w:rPr>
          <w:spacing w:val="-4"/>
        </w:rPr>
        <w:t xml:space="preserve"> </w:t>
      </w:r>
      <w:r>
        <w:t>group</w:t>
      </w:r>
      <w:r>
        <w:rPr>
          <w:spacing w:val="-4"/>
        </w:rPr>
        <w:t xml:space="preserve"> </w:t>
      </w:r>
      <w:r>
        <w:t>engagement team should request that the component auditor communicate such significant risks on a timely basis.</w:t>
      </w:r>
    </w:p>
    <w:p w14:paraId="0DFDAE66" w14:textId="77777777" w:rsidR="00046465" w:rsidRDefault="008134EB">
      <w:pPr>
        <w:pStyle w:val="ListParagraph"/>
        <w:numPr>
          <w:ilvl w:val="1"/>
          <w:numId w:val="217"/>
        </w:numPr>
        <w:tabs>
          <w:tab w:val="left" w:pos="2159"/>
        </w:tabs>
        <w:ind w:right="819"/>
      </w:pPr>
      <w:r>
        <w:t>A</w:t>
      </w:r>
      <w:r>
        <w:rPr>
          <w:spacing w:val="-5"/>
        </w:rPr>
        <w:t xml:space="preserve"> </w:t>
      </w:r>
      <w:r>
        <w:t>list</w:t>
      </w:r>
      <w:r>
        <w:rPr>
          <w:spacing w:val="-4"/>
        </w:rPr>
        <w:t xml:space="preserve"> </w:t>
      </w:r>
      <w:r>
        <w:t>of</w:t>
      </w:r>
      <w:r>
        <w:rPr>
          <w:spacing w:val="-4"/>
        </w:rPr>
        <w:t xml:space="preserve"> </w:t>
      </w:r>
      <w:r>
        <w:t>corrected</w:t>
      </w:r>
      <w:r>
        <w:rPr>
          <w:spacing w:val="-4"/>
        </w:rPr>
        <w:t xml:space="preserve"> </w:t>
      </w:r>
      <w:r>
        <w:t>and</w:t>
      </w:r>
      <w:r>
        <w:rPr>
          <w:spacing w:val="-4"/>
        </w:rPr>
        <w:t xml:space="preserve"> </w:t>
      </w:r>
      <w:r>
        <w:t>uncorrected</w:t>
      </w:r>
      <w:r>
        <w:rPr>
          <w:spacing w:val="-5"/>
        </w:rPr>
        <w:t xml:space="preserve"> </w:t>
      </w:r>
      <w:r>
        <w:t>misstatements</w:t>
      </w:r>
      <w:r>
        <w:rPr>
          <w:spacing w:val="-4"/>
        </w:rPr>
        <w:t xml:space="preserve"> </w:t>
      </w:r>
      <w:r>
        <w:t>of</w:t>
      </w:r>
      <w:r>
        <w:rPr>
          <w:spacing w:val="-4"/>
        </w:rPr>
        <w:t xml:space="preserve"> </w:t>
      </w:r>
      <w:r>
        <w:t>the</w:t>
      </w:r>
      <w:r>
        <w:rPr>
          <w:spacing w:val="-4"/>
        </w:rPr>
        <w:t xml:space="preserve"> </w:t>
      </w:r>
      <w:r>
        <w:t>financial</w:t>
      </w:r>
      <w:r>
        <w:rPr>
          <w:spacing w:val="-4"/>
        </w:rPr>
        <w:t xml:space="preserve"> </w:t>
      </w:r>
      <w:r>
        <w:t>information of</w:t>
      </w:r>
      <w:r>
        <w:rPr>
          <w:spacing w:val="-2"/>
        </w:rPr>
        <w:t xml:space="preserve"> </w:t>
      </w:r>
      <w:r>
        <w:t>the</w:t>
      </w:r>
      <w:r>
        <w:rPr>
          <w:spacing w:val="-2"/>
        </w:rPr>
        <w:t xml:space="preserve"> </w:t>
      </w:r>
      <w:r>
        <w:t>component</w:t>
      </w:r>
      <w:r>
        <w:rPr>
          <w:spacing w:val="-2"/>
        </w:rPr>
        <w:t xml:space="preserve"> </w:t>
      </w:r>
      <w:r>
        <w:t>(the</w:t>
      </w:r>
      <w:r>
        <w:rPr>
          <w:spacing w:val="-2"/>
        </w:rPr>
        <w:t xml:space="preserve"> </w:t>
      </w:r>
      <w:r>
        <w:t>list</w:t>
      </w:r>
      <w:r>
        <w:rPr>
          <w:spacing w:val="-2"/>
        </w:rPr>
        <w:t xml:space="preserve"> </w:t>
      </w:r>
      <w:r>
        <w:t>need</w:t>
      </w:r>
      <w:r>
        <w:rPr>
          <w:spacing w:val="-2"/>
        </w:rPr>
        <w:t xml:space="preserve"> </w:t>
      </w:r>
      <w:r>
        <w:t>not</w:t>
      </w:r>
      <w:r>
        <w:rPr>
          <w:spacing w:val="-2"/>
        </w:rPr>
        <w:t xml:space="preserve"> </w:t>
      </w:r>
      <w:r>
        <w:t>include</w:t>
      </w:r>
      <w:r>
        <w:rPr>
          <w:spacing w:val="-2"/>
        </w:rPr>
        <w:t xml:space="preserve"> </w:t>
      </w:r>
      <w:r>
        <w:t>misstatements</w:t>
      </w:r>
      <w:r>
        <w:rPr>
          <w:spacing w:val="-2"/>
        </w:rPr>
        <w:t xml:space="preserve"> </w:t>
      </w:r>
      <w:r>
        <w:t>that</w:t>
      </w:r>
      <w:r>
        <w:rPr>
          <w:spacing w:val="-2"/>
        </w:rPr>
        <w:t xml:space="preserve"> </w:t>
      </w:r>
      <w:r>
        <w:t>are</w:t>
      </w:r>
      <w:r>
        <w:rPr>
          <w:spacing w:val="-2"/>
        </w:rPr>
        <w:t xml:space="preserve"> </w:t>
      </w:r>
      <w:r>
        <w:t>below</w:t>
      </w:r>
      <w:r>
        <w:rPr>
          <w:spacing w:val="-3"/>
        </w:rPr>
        <w:t xml:space="preserve"> </w:t>
      </w:r>
      <w:r>
        <w:t>the threshold for clearly trivial misstatements communicated by the group engagement team).</w:t>
      </w:r>
    </w:p>
    <w:p w14:paraId="0DFDAE67" w14:textId="77777777" w:rsidR="00046465" w:rsidRDefault="008134EB">
      <w:pPr>
        <w:pStyle w:val="ListParagraph"/>
        <w:numPr>
          <w:ilvl w:val="1"/>
          <w:numId w:val="217"/>
        </w:numPr>
        <w:tabs>
          <w:tab w:val="left" w:pos="2159"/>
        </w:tabs>
        <w:ind w:right="855"/>
      </w:pPr>
      <w:r>
        <w:t>Indicators</w:t>
      </w:r>
      <w:r>
        <w:rPr>
          <w:spacing w:val="-5"/>
        </w:rPr>
        <w:t xml:space="preserve"> </w:t>
      </w:r>
      <w:r>
        <w:t>of</w:t>
      </w:r>
      <w:r>
        <w:rPr>
          <w:spacing w:val="-6"/>
        </w:rPr>
        <w:t xml:space="preserve"> </w:t>
      </w:r>
      <w:r>
        <w:t>possible</w:t>
      </w:r>
      <w:r>
        <w:rPr>
          <w:spacing w:val="-6"/>
        </w:rPr>
        <w:t xml:space="preserve"> </w:t>
      </w:r>
      <w:r>
        <w:t>management</w:t>
      </w:r>
      <w:r>
        <w:rPr>
          <w:spacing w:val="-5"/>
        </w:rPr>
        <w:t xml:space="preserve"> </w:t>
      </w:r>
      <w:r>
        <w:t>bias</w:t>
      </w:r>
      <w:r>
        <w:rPr>
          <w:spacing w:val="-5"/>
        </w:rPr>
        <w:t xml:space="preserve"> </w:t>
      </w:r>
      <w:r>
        <w:t>regarding</w:t>
      </w:r>
      <w:r>
        <w:rPr>
          <w:spacing w:val="-5"/>
        </w:rPr>
        <w:t xml:space="preserve"> </w:t>
      </w:r>
      <w:r>
        <w:t>accounting</w:t>
      </w:r>
      <w:r>
        <w:rPr>
          <w:spacing w:val="-5"/>
        </w:rPr>
        <w:t xml:space="preserve"> </w:t>
      </w:r>
      <w:r>
        <w:t>estimates</w:t>
      </w:r>
      <w:r>
        <w:rPr>
          <w:spacing w:val="-5"/>
        </w:rPr>
        <w:t xml:space="preserve"> </w:t>
      </w:r>
      <w:r>
        <w:t>and the application of accounting principles.</w:t>
      </w:r>
    </w:p>
    <w:p w14:paraId="0DFDAE68" w14:textId="77777777" w:rsidR="00046465" w:rsidRDefault="008134EB">
      <w:pPr>
        <w:pStyle w:val="ListParagraph"/>
        <w:numPr>
          <w:ilvl w:val="1"/>
          <w:numId w:val="217"/>
        </w:numPr>
        <w:tabs>
          <w:tab w:val="left" w:pos="2159"/>
        </w:tabs>
        <w:ind w:right="1881"/>
      </w:pPr>
      <w:r>
        <w:t>Descriptions</w:t>
      </w:r>
      <w:r>
        <w:rPr>
          <w:spacing w:val="-6"/>
        </w:rPr>
        <w:t xml:space="preserve"> </w:t>
      </w:r>
      <w:r>
        <w:t>of</w:t>
      </w:r>
      <w:r>
        <w:rPr>
          <w:spacing w:val="-5"/>
        </w:rPr>
        <w:t xml:space="preserve"> </w:t>
      </w:r>
      <w:r>
        <w:t>any</w:t>
      </w:r>
      <w:r>
        <w:rPr>
          <w:spacing w:val="-5"/>
        </w:rPr>
        <w:t xml:space="preserve"> </w:t>
      </w:r>
      <w:r>
        <w:t>identified</w:t>
      </w:r>
      <w:r>
        <w:rPr>
          <w:spacing w:val="-5"/>
        </w:rPr>
        <w:t xml:space="preserve"> </w:t>
      </w:r>
      <w:r>
        <w:t>material</w:t>
      </w:r>
      <w:r>
        <w:rPr>
          <w:spacing w:val="-5"/>
        </w:rPr>
        <w:t xml:space="preserve"> </w:t>
      </w:r>
      <w:r>
        <w:t>weaknesses</w:t>
      </w:r>
      <w:r>
        <w:rPr>
          <w:spacing w:val="-5"/>
        </w:rPr>
        <w:t xml:space="preserve"> </w:t>
      </w:r>
      <w:r>
        <w:t>and</w:t>
      </w:r>
      <w:r>
        <w:rPr>
          <w:spacing w:val="-5"/>
        </w:rPr>
        <w:t xml:space="preserve"> </w:t>
      </w:r>
      <w:r>
        <w:t>significant deficiencies in internal control at the component level.</w:t>
      </w:r>
    </w:p>
    <w:p w14:paraId="0DFDAE69" w14:textId="77777777" w:rsidR="00046465" w:rsidRDefault="008134EB">
      <w:pPr>
        <w:pStyle w:val="ListParagraph"/>
        <w:numPr>
          <w:ilvl w:val="1"/>
          <w:numId w:val="217"/>
        </w:numPr>
        <w:tabs>
          <w:tab w:val="left" w:pos="2159"/>
        </w:tabs>
        <w:spacing w:before="119"/>
        <w:ind w:right="796"/>
      </w:pPr>
      <w:r>
        <w:t>Other significant findings and issues that the component auditor communicated</w:t>
      </w:r>
      <w:r>
        <w:rPr>
          <w:spacing w:val="-5"/>
        </w:rPr>
        <w:t xml:space="preserve"> </w:t>
      </w:r>
      <w:r>
        <w:t>or</w:t>
      </w:r>
      <w:r>
        <w:rPr>
          <w:spacing w:val="-5"/>
        </w:rPr>
        <w:t xml:space="preserve"> </w:t>
      </w:r>
      <w:r>
        <w:t>expects</w:t>
      </w:r>
      <w:r>
        <w:rPr>
          <w:spacing w:val="-5"/>
        </w:rPr>
        <w:t xml:space="preserve"> </w:t>
      </w:r>
      <w:r>
        <w:t>to</w:t>
      </w:r>
      <w:r>
        <w:rPr>
          <w:spacing w:val="-5"/>
        </w:rPr>
        <w:t xml:space="preserve"> </w:t>
      </w:r>
      <w:r>
        <w:t>communicate</w:t>
      </w:r>
      <w:r>
        <w:rPr>
          <w:spacing w:val="-5"/>
        </w:rPr>
        <w:t xml:space="preserve"> </w:t>
      </w:r>
      <w:r>
        <w:t>to</w:t>
      </w:r>
      <w:r>
        <w:rPr>
          <w:spacing w:val="-5"/>
        </w:rPr>
        <w:t xml:space="preserve"> </w:t>
      </w:r>
      <w:r>
        <w:t>those</w:t>
      </w:r>
      <w:r>
        <w:rPr>
          <w:spacing w:val="-5"/>
        </w:rPr>
        <w:t xml:space="preserve"> </w:t>
      </w:r>
      <w:r>
        <w:t>charged</w:t>
      </w:r>
      <w:r>
        <w:rPr>
          <w:spacing w:val="-6"/>
        </w:rPr>
        <w:t xml:space="preserve"> </w:t>
      </w:r>
      <w:r>
        <w:t>with</w:t>
      </w:r>
      <w:r>
        <w:rPr>
          <w:spacing w:val="-5"/>
        </w:rPr>
        <w:t xml:space="preserve"> </w:t>
      </w:r>
      <w:r>
        <w:t>governance of the component, including fraud or suspected fraud involving component management, employees who have significant roles in internal control at the component level, or others that resulted in a material misstatement of the component’s financial information.</w:t>
      </w:r>
    </w:p>
    <w:p w14:paraId="0DFDAE6A" w14:textId="77777777" w:rsidR="00046465" w:rsidRDefault="008134EB">
      <w:pPr>
        <w:pStyle w:val="ListParagraph"/>
        <w:numPr>
          <w:ilvl w:val="1"/>
          <w:numId w:val="217"/>
        </w:numPr>
        <w:tabs>
          <w:tab w:val="left" w:pos="2159"/>
        </w:tabs>
        <w:ind w:right="905"/>
      </w:pPr>
      <w:r>
        <w:t>Any other matters that may be relevant to the group audit or that the component</w:t>
      </w:r>
      <w:r>
        <w:rPr>
          <w:spacing w:val="-4"/>
        </w:rPr>
        <w:t xml:space="preserve"> </w:t>
      </w:r>
      <w:r>
        <w:t>auditor</w:t>
      </w:r>
      <w:r>
        <w:rPr>
          <w:spacing w:val="-4"/>
        </w:rPr>
        <w:t xml:space="preserve"> </w:t>
      </w:r>
      <w:r>
        <w:t>wishes</w:t>
      </w:r>
      <w:r>
        <w:rPr>
          <w:spacing w:val="-4"/>
        </w:rPr>
        <w:t xml:space="preserve"> </w:t>
      </w:r>
      <w:r>
        <w:t>to</w:t>
      </w:r>
      <w:r>
        <w:rPr>
          <w:spacing w:val="-4"/>
        </w:rPr>
        <w:t xml:space="preserve"> </w:t>
      </w:r>
      <w:r>
        <w:t>draw</w:t>
      </w:r>
      <w:r>
        <w:rPr>
          <w:spacing w:val="-5"/>
        </w:rPr>
        <w:t xml:space="preserve"> </w:t>
      </w:r>
      <w:r>
        <w:t>to</w:t>
      </w:r>
      <w:r>
        <w:rPr>
          <w:spacing w:val="-4"/>
        </w:rPr>
        <w:t xml:space="preserve"> </w:t>
      </w:r>
      <w:r>
        <w:t>the</w:t>
      </w:r>
      <w:r>
        <w:rPr>
          <w:spacing w:val="-4"/>
        </w:rPr>
        <w:t xml:space="preserve"> </w:t>
      </w:r>
      <w:r>
        <w:t>attention</w:t>
      </w:r>
      <w:r>
        <w:rPr>
          <w:spacing w:val="-4"/>
        </w:rPr>
        <w:t xml:space="preserve"> </w:t>
      </w:r>
      <w:r>
        <w:t>of</w:t>
      </w:r>
      <w:r>
        <w:rPr>
          <w:spacing w:val="-4"/>
        </w:rPr>
        <w:t xml:space="preserve"> </w:t>
      </w:r>
      <w:r>
        <w:t>the</w:t>
      </w:r>
      <w:r>
        <w:rPr>
          <w:spacing w:val="-4"/>
        </w:rPr>
        <w:t xml:space="preserve"> </w:t>
      </w:r>
      <w:r>
        <w:t>group</w:t>
      </w:r>
      <w:r>
        <w:rPr>
          <w:spacing w:val="-4"/>
        </w:rPr>
        <w:t xml:space="preserve"> </w:t>
      </w:r>
      <w:r>
        <w:t>engagement team, including exceptions noted in the written representations that the component auditor requested from component management.</w:t>
      </w:r>
    </w:p>
    <w:p w14:paraId="0DFDAE6B" w14:textId="77777777" w:rsidR="00046465" w:rsidRDefault="008134EB">
      <w:pPr>
        <w:pStyle w:val="Heading5"/>
        <w:spacing w:before="242"/>
        <w:rPr>
          <w:u w:val="none"/>
        </w:rPr>
      </w:pPr>
      <w:bookmarkStart w:id="69" w:name="Evaluating_a_Component_Auditor’s_Communi"/>
      <w:bookmarkEnd w:id="69"/>
      <w:r>
        <w:t>Evaluating</w:t>
      </w:r>
      <w:r>
        <w:rPr>
          <w:spacing w:val="-6"/>
        </w:rPr>
        <w:t xml:space="preserve"> </w:t>
      </w:r>
      <w:r>
        <w:t>a</w:t>
      </w:r>
      <w:r>
        <w:rPr>
          <w:spacing w:val="-6"/>
        </w:rPr>
        <w:t xml:space="preserve"> </w:t>
      </w:r>
      <w:r>
        <w:t>Component</w:t>
      </w:r>
      <w:r>
        <w:rPr>
          <w:spacing w:val="-5"/>
        </w:rPr>
        <w:t xml:space="preserve"> </w:t>
      </w:r>
      <w:r>
        <w:t>Auditor’s</w:t>
      </w:r>
      <w:r>
        <w:rPr>
          <w:spacing w:val="-6"/>
        </w:rPr>
        <w:t xml:space="preserve"> </w:t>
      </w:r>
      <w:r>
        <w:t>Communication</w:t>
      </w:r>
      <w:r>
        <w:rPr>
          <w:spacing w:val="-6"/>
        </w:rPr>
        <w:t xml:space="preserve"> </w:t>
      </w:r>
      <w:r>
        <w:t>and</w:t>
      </w:r>
      <w:r>
        <w:rPr>
          <w:spacing w:val="-6"/>
        </w:rPr>
        <w:t xml:space="preserve"> </w:t>
      </w:r>
      <w:r>
        <w:t>Adequacy</w:t>
      </w:r>
      <w:r>
        <w:rPr>
          <w:spacing w:val="-6"/>
        </w:rPr>
        <w:t xml:space="preserve"> </w:t>
      </w:r>
      <w:r>
        <w:t>of</w:t>
      </w:r>
      <w:r>
        <w:rPr>
          <w:spacing w:val="-5"/>
        </w:rPr>
        <w:t xml:space="preserve"> </w:t>
      </w:r>
      <w:r>
        <w:t>the</w:t>
      </w:r>
      <w:r>
        <w:rPr>
          <w:u w:val="none"/>
        </w:rPr>
        <w:t xml:space="preserve"> </w:t>
      </w:r>
      <w:r>
        <w:t>Component Auditor’s Work</w:t>
      </w:r>
    </w:p>
    <w:p w14:paraId="0DFDAE6C" w14:textId="77777777" w:rsidR="00046465" w:rsidRDefault="008134EB">
      <w:pPr>
        <w:pStyle w:val="ListParagraph"/>
        <w:numPr>
          <w:ilvl w:val="0"/>
          <w:numId w:val="217"/>
        </w:numPr>
        <w:tabs>
          <w:tab w:val="left" w:pos="1800"/>
        </w:tabs>
        <w:spacing w:before="118"/>
        <w:ind w:right="726"/>
      </w:pPr>
      <w:r>
        <w:t>The</w:t>
      </w:r>
      <w:r>
        <w:rPr>
          <w:spacing w:val="-4"/>
        </w:rPr>
        <w:t xml:space="preserve"> </w:t>
      </w:r>
      <w:r>
        <w:t>group</w:t>
      </w:r>
      <w:r>
        <w:rPr>
          <w:spacing w:val="-4"/>
        </w:rPr>
        <w:t xml:space="preserve"> </w:t>
      </w:r>
      <w:r>
        <w:t>engagement</w:t>
      </w:r>
      <w:r>
        <w:rPr>
          <w:spacing w:val="-4"/>
        </w:rPr>
        <w:t xml:space="preserve"> </w:t>
      </w:r>
      <w:r>
        <w:t>team</w:t>
      </w:r>
      <w:r>
        <w:rPr>
          <w:spacing w:val="-5"/>
        </w:rPr>
        <w:t xml:space="preserve"> </w:t>
      </w:r>
      <w:r>
        <w:t>should</w:t>
      </w:r>
      <w:r>
        <w:rPr>
          <w:spacing w:val="-4"/>
        </w:rPr>
        <w:t xml:space="preserve"> </w:t>
      </w:r>
      <w:r>
        <w:t>determine,</w:t>
      </w:r>
      <w:r>
        <w:rPr>
          <w:spacing w:val="-4"/>
        </w:rPr>
        <w:t xml:space="preserve"> </w:t>
      </w:r>
      <w:r>
        <w:t>based</w:t>
      </w:r>
      <w:r>
        <w:rPr>
          <w:spacing w:val="-4"/>
        </w:rPr>
        <w:t xml:space="preserve"> </w:t>
      </w:r>
      <w:r>
        <w:t>on</w:t>
      </w:r>
      <w:r>
        <w:rPr>
          <w:spacing w:val="-4"/>
        </w:rPr>
        <w:t xml:space="preserve"> </w:t>
      </w:r>
      <w:r>
        <w:t>the</w:t>
      </w:r>
      <w:r>
        <w:rPr>
          <w:spacing w:val="-5"/>
        </w:rPr>
        <w:t xml:space="preserve"> </w:t>
      </w:r>
      <w:r>
        <w:t>evaluation</w:t>
      </w:r>
      <w:r>
        <w:rPr>
          <w:spacing w:val="-4"/>
        </w:rPr>
        <w:t xml:space="preserve"> </w:t>
      </w:r>
      <w:r>
        <w:t>required in FAM 630.38, whether it is necessary to review other relevant parts of a component auditor’s audit documentation (see FAM 630.09 through .10 for a suggested framework for planning and performing a low, moderate, or high level of review of the component auditor’s documentation) (AU-C 600A.62).</w:t>
      </w:r>
    </w:p>
    <w:p w14:paraId="0DFDAE6D" w14:textId="77777777" w:rsidR="00046465" w:rsidRDefault="008134EB">
      <w:pPr>
        <w:pStyle w:val="ListParagraph"/>
        <w:numPr>
          <w:ilvl w:val="0"/>
          <w:numId w:val="217"/>
        </w:numPr>
        <w:tabs>
          <w:tab w:val="left" w:pos="1798"/>
          <w:tab w:val="left" w:pos="1800"/>
        </w:tabs>
        <w:spacing w:before="121"/>
        <w:ind w:right="787"/>
        <w:jc w:val="both"/>
      </w:pPr>
      <w:r>
        <w:t>If</w:t>
      </w:r>
      <w:r>
        <w:rPr>
          <w:spacing w:val="-3"/>
        </w:rPr>
        <w:t xml:space="preserve"> </w:t>
      </w:r>
      <w:r>
        <w:t>the</w:t>
      </w:r>
      <w:r>
        <w:rPr>
          <w:spacing w:val="-3"/>
        </w:rPr>
        <w:t xml:space="preserve"> </w:t>
      </w:r>
      <w:r>
        <w:t>group</w:t>
      </w:r>
      <w:r>
        <w:rPr>
          <w:spacing w:val="-4"/>
        </w:rPr>
        <w:t xml:space="preserve"> </w:t>
      </w:r>
      <w:r>
        <w:t>engagement</w:t>
      </w:r>
      <w:r>
        <w:rPr>
          <w:spacing w:val="-3"/>
        </w:rPr>
        <w:t xml:space="preserve"> </w:t>
      </w:r>
      <w:r>
        <w:t>team</w:t>
      </w:r>
      <w:r>
        <w:rPr>
          <w:spacing w:val="-4"/>
        </w:rPr>
        <w:t xml:space="preserve"> </w:t>
      </w:r>
      <w:r>
        <w:t>concludes</w:t>
      </w:r>
      <w:r>
        <w:rPr>
          <w:spacing w:val="-3"/>
        </w:rPr>
        <w:t xml:space="preserve"> </w:t>
      </w:r>
      <w:r>
        <w:t>that</w:t>
      </w:r>
      <w:r>
        <w:rPr>
          <w:spacing w:val="-3"/>
        </w:rPr>
        <w:t xml:space="preserve"> </w:t>
      </w:r>
      <w:r>
        <w:t>the</w:t>
      </w:r>
      <w:r>
        <w:rPr>
          <w:spacing w:val="-3"/>
        </w:rPr>
        <w:t xml:space="preserve"> </w:t>
      </w:r>
      <w:r>
        <w:t>work</w:t>
      </w:r>
      <w:r>
        <w:rPr>
          <w:spacing w:val="-3"/>
        </w:rPr>
        <w:t xml:space="preserve"> </w:t>
      </w:r>
      <w:r>
        <w:t>of</w:t>
      </w:r>
      <w:r>
        <w:rPr>
          <w:spacing w:val="-3"/>
        </w:rPr>
        <w:t xml:space="preserve"> </w:t>
      </w:r>
      <w:r>
        <w:t>a</w:t>
      </w:r>
      <w:r>
        <w:rPr>
          <w:spacing w:val="-3"/>
        </w:rPr>
        <w:t xml:space="preserve"> </w:t>
      </w:r>
      <w:r>
        <w:t>component</w:t>
      </w:r>
      <w:r>
        <w:rPr>
          <w:spacing w:val="-3"/>
        </w:rPr>
        <w:t xml:space="preserve"> </w:t>
      </w:r>
      <w:r>
        <w:t>auditor</w:t>
      </w:r>
      <w:r>
        <w:rPr>
          <w:spacing w:val="-3"/>
        </w:rPr>
        <w:t xml:space="preserve"> </w:t>
      </w:r>
      <w:r>
        <w:t>is insufficient,</w:t>
      </w:r>
      <w:r>
        <w:rPr>
          <w:spacing w:val="-4"/>
        </w:rPr>
        <w:t xml:space="preserve"> </w:t>
      </w:r>
      <w:r>
        <w:t>the</w:t>
      </w:r>
      <w:r>
        <w:rPr>
          <w:spacing w:val="-4"/>
        </w:rPr>
        <w:t xml:space="preserve"> </w:t>
      </w:r>
      <w:r>
        <w:t>group</w:t>
      </w:r>
      <w:r>
        <w:rPr>
          <w:spacing w:val="-4"/>
        </w:rPr>
        <w:t xml:space="preserve"> </w:t>
      </w:r>
      <w:r>
        <w:t>engagement</w:t>
      </w:r>
      <w:r>
        <w:rPr>
          <w:spacing w:val="-4"/>
        </w:rPr>
        <w:t xml:space="preserve"> </w:t>
      </w:r>
      <w:r>
        <w:t>team</w:t>
      </w:r>
      <w:r>
        <w:rPr>
          <w:spacing w:val="-5"/>
        </w:rPr>
        <w:t xml:space="preserve"> </w:t>
      </w:r>
      <w:r>
        <w:t>should</w:t>
      </w:r>
      <w:r>
        <w:rPr>
          <w:spacing w:val="-4"/>
        </w:rPr>
        <w:t xml:space="preserve"> </w:t>
      </w:r>
      <w:r>
        <w:t>determine</w:t>
      </w:r>
      <w:r>
        <w:rPr>
          <w:spacing w:val="-4"/>
        </w:rPr>
        <w:t xml:space="preserve"> </w:t>
      </w:r>
      <w:r>
        <w:t>additional</w:t>
      </w:r>
      <w:r>
        <w:rPr>
          <w:spacing w:val="-4"/>
        </w:rPr>
        <w:t xml:space="preserve"> </w:t>
      </w:r>
      <w:r>
        <w:t>procedures to</w:t>
      </w:r>
      <w:r>
        <w:rPr>
          <w:spacing w:val="-3"/>
        </w:rPr>
        <w:t xml:space="preserve"> </w:t>
      </w:r>
      <w:r>
        <w:t>be</w:t>
      </w:r>
      <w:r>
        <w:rPr>
          <w:spacing w:val="-3"/>
        </w:rPr>
        <w:t xml:space="preserve"> </w:t>
      </w:r>
      <w:r>
        <w:t>performed</w:t>
      </w:r>
      <w:r>
        <w:rPr>
          <w:spacing w:val="-3"/>
        </w:rPr>
        <w:t xml:space="preserve"> </w:t>
      </w:r>
      <w:r>
        <w:t>and</w:t>
      </w:r>
      <w:r>
        <w:rPr>
          <w:spacing w:val="-3"/>
        </w:rPr>
        <w:t xml:space="preserve"> </w:t>
      </w:r>
      <w:r>
        <w:t>whether</w:t>
      </w:r>
      <w:r>
        <w:rPr>
          <w:spacing w:val="-3"/>
        </w:rPr>
        <w:t xml:space="preserve"> </w:t>
      </w:r>
      <w:r>
        <w:t>they</w:t>
      </w:r>
      <w:r>
        <w:rPr>
          <w:spacing w:val="-3"/>
        </w:rPr>
        <w:t xml:space="preserve"> </w:t>
      </w:r>
      <w:r>
        <w:t>are</w:t>
      </w:r>
      <w:r>
        <w:rPr>
          <w:spacing w:val="-3"/>
        </w:rPr>
        <w:t xml:space="preserve"> </w:t>
      </w:r>
      <w:r>
        <w:t>to</w:t>
      </w:r>
      <w:r>
        <w:rPr>
          <w:spacing w:val="-3"/>
        </w:rPr>
        <w:t xml:space="preserve"> </w:t>
      </w:r>
      <w:r>
        <w:t>be</w:t>
      </w:r>
      <w:r>
        <w:rPr>
          <w:spacing w:val="-3"/>
        </w:rPr>
        <w:t xml:space="preserve"> </w:t>
      </w:r>
      <w:r>
        <w:t>performed</w:t>
      </w:r>
      <w:r>
        <w:rPr>
          <w:spacing w:val="-3"/>
        </w:rPr>
        <w:t xml:space="preserve"> </w:t>
      </w:r>
      <w:r>
        <w:t>by</w:t>
      </w:r>
      <w:r>
        <w:rPr>
          <w:spacing w:val="-3"/>
        </w:rPr>
        <w:t xml:space="preserve"> </w:t>
      </w:r>
      <w:r>
        <w:t>the</w:t>
      </w:r>
      <w:r>
        <w:rPr>
          <w:spacing w:val="-3"/>
        </w:rPr>
        <w:t xml:space="preserve"> </w:t>
      </w:r>
      <w:r>
        <w:t>component</w:t>
      </w:r>
      <w:r>
        <w:rPr>
          <w:spacing w:val="-3"/>
        </w:rPr>
        <w:t xml:space="preserve"> </w:t>
      </w:r>
      <w:r>
        <w:t>auditor or by the group engagement team (AU-C 600A.63).</w:t>
      </w:r>
    </w:p>
    <w:p w14:paraId="0DFDAE6E" w14:textId="77777777" w:rsidR="00046465" w:rsidRDefault="008134EB">
      <w:pPr>
        <w:pStyle w:val="Heading5"/>
        <w:spacing w:before="240"/>
        <w:ind w:right="749"/>
        <w:rPr>
          <w:u w:val="none"/>
        </w:rPr>
      </w:pPr>
      <w:bookmarkStart w:id="70" w:name="Communication_with_Group_Management_and_"/>
      <w:bookmarkEnd w:id="70"/>
      <w:r>
        <w:t>Communication</w:t>
      </w:r>
      <w:r>
        <w:rPr>
          <w:spacing w:val="-6"/>
        </w:rPr>
        <w:t xml:space="preserve"> </w:t>
      </w:r>
      <w:r>
        <w:t>with</w:t>
      </w:r>
      <w:r>
        <w:rPr>
          <w:spacing w:val="-6"/>
        </w:rPr>
        <w:t xml:space="preserve"> </w:t>
      </w:r>
      <w:r>
        <w:t>Group</w:t>
      </w:r>
      <w:r>
        <w:rPr>
          <w:spacing w:val="-6"/>
        </w:rPr>
        <w:t xml:space="preserve"> </w:t>
      </w:r>
      <w:r>
        <w:t>Management</w:t>
      </w:r>
      <w:r>
        <w:rPr>
          <w:spacing w:val="-5"/>
        </w:rPr>
        <w:t xml:space="preserve"> </w:t>
      </w:r>
      <w:r>
        <w:t>and</w:t>
      </w:r>
      <w:r>
        <w:rPr>
          <w:spacing w:val="-7"/>
        </w:rPr>
        <w:t xml:space="preserve"> </w:t>
      </w:r>
      <w:r>
        <w:t>Those</w:t>
      </w:r>
      <w:r>
        <w:rPr>
          <w:spacing w:val="-6"/>
        </w:rPr>
        <w:t xml:space="preserve"> </w:t>
      </w:r>
      <w:r>
        <w:t>Charged</w:t>
      </w:r>
      <w:r>
        <w:rPr>
          <w:spacing w:val="-5"/>
        </w:rPr>
        <w:t xml:space="preserve"> </w:t>
      </w:r>
      <w:r>
        <w:t>with</w:t>
      </w:r>
      <w:r>
        <w:rPr>
          <w:u w:val="none"/>
        </w:rPr>
        <w:t xml:space="preserve"> </w:t>
      </w:r>
      <w:r>
        <w:rPr>
          <w:spacing w:val="-2"/>
        </w:rPr>
        <w:t>Governance</w:t>
      </w:r>
    </w:p>
    <w:p w14:paraId="0DFDAE6F" w14:textId="77777777" w:rsidR="00046465" w:rsidRDefault="008134EB">
      <w:pPr>
        <w:pStyle w:val="ListParagraph"/>
        <w:numPr>
          <w:ilvl w:val="0"/>
          <w:numId w:val="217"/>
        </w:numPr>
        <w:tabs>
          <w:tab w:val="left" w:pos="1800"/>
        </w:tabs>
        <w:ind w:right="886"/>
      </w:pPr>
      <w:r>
        <w:t>If assuming responsibility for the component auditors’ work, the group engagement</w:t>
      </w:r>
      <w:r>
        <w:rPr>
          <w:spacing w:val="-2"/>
        </w:rPr>
        <w:t xml:space="preserve"> </w:t>
      </w:r>
      <w:r>
        <w:t>team</w:t>
      </w:r>
      <w:r>
        <w:rPr>
          <w:spacing w:val="-3"/>
        </w:rPr>
        <w:t xml:space="preserve"> </w:t>
      </w:r>
      <w:r>
        <w:t>should</w:t>
      </w:r>
      <w:r>
        <w:rPr>
          <w:spacing w:val="-2"/>
        </w:rPr>
        <w:t xml:space="preserve"> </w:t>
      </w:r>
      <w:r>
        <w:t>determine</w:t>
      </w:r>
      <w:r>
        <w:rPr>
          <w:spacing w:val="-2"/>
        </w:rPr>
        <w:t xml:space="preserve"> </w:t>
      </w:r>
      <w:r>
        <w:t>which</w:t>
      </w:r>
      <w:r>
        <w:rPr>
          <w:spacing w:val="-2"/>
        </w:rPr>
        <w:t xml:space="preserve"> </w:t>
      </w:r>
      <w:r>
        <w:t>material</w:t>
      </w:r>
      <w:r>
        <w:rPr>
          <w:spacing w:val="-2"/>
        </w:rPr>
        <w:t xml:space="preserve"> </w:t>
      </w:r>
      <w:r>
        <w:t>weaknesses</w:t>
      </w:r>
      <w:r>
        <w:rPr>
          <w:spacing w:val="-2"/>
        </w:rPr>
        <w:t xml:space="preserve"> </w:t>
      </w:r>
      <w:r>
        <w:t>and</w:t>
      </w:r>
      <w:r>
        <w:rPr>
          <w:spacing w:val="-2"/>
        </w:rPr>
        <w:t xml:space="preserve"> </w:t>
      </w:r>
      <w:r>
        <w:t>significant deficiencies in internal control that component auditors have brought to the attention of the group engagement team should be communicated to group management</w:t>
      </w:r>
      <w:r>
        <w:rPr>
          <w:spacing w:val="-4"/>
        </w:rPr>
        <w:t xml:space="preserve"> </w:t>
      </w:r>
      <w:r>
        <w:t>and</w:t>
      </w:r>
      <w:r>
        <w:rPr>
          <w:spacing w:val="-4"/>
        </w:rPr>
        <w:t xml:space="preserve"> </w:t>
      </w:r>
      <w:r>
        <w:t>those</w:t>
      </w:r>
      <w:r>
        <w:rPr>
          <w:spacing w:val="-5"/>
        </w:rPr>
        <w:t xml:space="preserve"> </w:t>
      </w:r>
      <w:r>
        <w:t>charged</w:t>
      </w:r>
      <w:r>
        <w:rPr>
          <w:spacing w:val="-4"/>
        </w:rPr>
        <w:t xml:space="preserve"> </w:t>
      </w:r>
      <w:r>
        <w:t>with</w:t>
      </w:r>
      <w:r>
        <w:rPr>
          <w:spacing w:val="-4"/>
        </w:rPr>
        <w:t xml:space="preserve"> </w:t>
      </w:r>
      <w:r>
        <w:t>governance</w:t>
      </w:r>
      <w:r>
        <w:rPr>
          <w:spacing w:val="-4"/>
        </w:rPr>
        <w:t xml:space="preserve"> </w:t>
      </w:r>
      <w:r>
        <w:t>of</w:t>
      </w:r>
      <w:r>
        <w:rPr>
          <w:spacing w:val="-4"/>
        </w:rPr>
        <w:t xml:space="preserve"> </w:t>
      </w:r>
      <w:r>
        <w:t>the</w:t>
      </w:r>
      <w:r>
        <w:rPr>
          <w:spacing w:val="-4"/>
        </w:rPr>
        <w:t xml:space="preserve"> </w:t>
      </w:r>
      <w:r>
        <w:t>group</w:t>
      </w:r>
      <w:r>
        <w:rPr>
          <w:spacing w:val="-3"/>
        </w:rPr>
        <w:t xml:space="preserve"> </w:t>
      </w:r>
      <w:r>
        <w:t>(AU-C</w:t>
      </w:r>
      <w:r>
        <w:rPr>
          <w:spacing w:val="-5"/>
        </w:rPr>
        <w:t xml:space="preserve"> </w:t>
      </w:r>
      <w:r>
        <w:t>600A.64).</w:t>
      </w:r>
    </w:p>
    <w:p w14:paraId="0DFDAE70" w14:textId="77777777" w:rsidR="00046465" w:rsidRDefault="008134EB">
      <w:pPr>
        <w:pStyle w:val="Heading5"/>
        <w:spacing w:before="240"/>
        <w:rPr>
          <w:u w:val="none"/>
        </w:rPr>
      </w:pPr>
      <w:r>
        <w:rPr>
          <w:spacing w:val="-2"/>
        </w:rPr>
        <w:t>Documentation</w:t>
      </w:r>
    </w:p>
    <w:p w14:paraId="0DFDAE71" w14:textId="77777777" w:rsidR="00046465" w:rsidRDefault="008134EB">
      <w:pPr>
        <w:pStyle w:val="ListParagraph"/>
        <w:numPr>
          <w:ilvl w:val="0"/>
          <w:numId w:val="217"/>
        </w:numPr>
        <w:tabs>
          <w:tab w:val="left" w:pos="1800"/>
        </w:tabs>
        <w:ind w:right="1093"/>
      </w:pPr>
      <w:r>
        <w:t>The group engagement team should include in the audit documentation the nature,</w:t>
      </w:r>
      <w:r>
        <w:rPr>
          <w:spacing w:val="-4"/>
        </w:rPr>
        <w:t xml:space="preserve"> </w:t>
      </w:r>
      <w:r>
        <w:t>timing,</w:t>
      </w:r>
      <w:r>
        <w:rPr>
          <w:spacing w:val="-4"/>
        </w:rPr>
        <w:t xml:space="preserve"> </w:t>
      </w:r>
      <w:r>
        <w:t>and</w:t>
      </w:r>
      <w:r>
        <w:rPr>
          <w:spacing w:val="-4"/>
        </w:rPr>
        <w:t xml:space="preserve"> </w:t>
      </w:r>
      <w:r>
        <w:t>extent</w:t>
      </w:r>
      <w:r>
        <w:rPr>
          <w:spacing w:val="-4"/>
        </w:rPr>
        <w:t xml:space="preserve"> </w:t>
      </w:r>
      <w:r>
        <w:t>of</w:t>
      </w:r>
      <w:r>
        <w:rPr>
          <w:spacing w:val="-4"/>
        </w:rPr>
        <w:t xml:space="preserve"> </w:t>
      </w:r>
      <w:r>
        <w:t>the</w:t>
      </w:r>
      <w:r>
        <w:rPr>
          <w:spacing w:val="-4"/>
        </w:rPr>
        <w:t xml:space="preserve"> </w:t>
      </w:r>
      <w:r>
        <w:t>group</w:t>
      </w:r>
      <w:r>
        <w:rPr>
          <w:spacing w:val="-4"/>
        </w:rPr>
        <w:t xml:space="preserve"> </w:t>
      </w:r>
      <w:r>
        <w:t>engagement</w:t>
      </w:r>
      <w:r>
        <w:rPr>
          <w:spacing w:val="-4"/>
        </w:rPr>
        <w:t xml:space="preserve"> </w:t>
      </w:r>
      <w:r>
        <w:t>team’s</w:t>
      </w:r>
      <w:r>
        <w:rPr>
          <w:spacing w:val="-4"/>
        </w:rPr>
        <w:t xml:space="preserve"> </w:t>
      </w:r>
      <w:r>
        <w:t>involvement</w:t>
      </w:r>
      <w:r>
        <w:rPr>
          <w:spacing w:val="-4"/>
        </w:rPr>
        <w:t xml:space="preserve"> </w:t>
      </w:r>
      <w:r>
        <w:t>in</w:t>
      </w:r>
      <w:r>
        <w:rPr>
          <w:spacing w:val="-4"/>
        </w:rPr>
        <w:t xml:space="preserve"> </w:t>
      </w:r>
      <w:r>
        <w:t>the</w:t>
      </w:r>
    </w:p>
    <w:p w14:paraId="0DFDAE72" w14:textId="77777777" w:rsidR="00046465" w:rsidRDefault="00046465">
      <w:pPr>
        <w:pStyle w:val="ListParagraph"/>
        <w:sectPr w:rsidR="00046465">
          <w:pgSz w:w="12240" w:h="15840"/>
          <w:pgMar w:top="1340" w:right="720" w:bottom="940" w:left="1080" w:header="721" w:footer="757" w:gutter="0"/>
          <w:cols w:space="720"/>
        </w:sectPr>
      </w:pPr>
    </w:p>
    <w:p w14:paraId="0DFDAE73" w14:textId="77777777" w:rsidR="00046465" w:rsidRDefault="008134EB">
      <w:pPr>
        <w:pStyle w:val="BodyText"/>
        <w:spacing w:before="121"/>
        <w:ind w:left="1800" w:right="749"/>
      </w:pPr>
      <w:r>
        <w:lastRenderedPageBreak/>
        <w:t>work</w:t>
      </w:r>
      <w:r>
        <w:rPr>
          <w:spacing w:val="-4"/>
        </w:rPr>
        <w:t xml:space="preserve"> </w:t>
      </w:r>
      <w:r>
        <w:t>performed</w:t>
      </w:r>
      <w:r>
        <w:rPr>
          <w:spacing w:val="-5"/>
        </w:rPr>
        <w:t xml:space="preserve"> </w:t>
      </w:r>
      <w:r>
        <w:t>by</w:t>
      </w:r>
      <w:r>
        <w:rPr>
          <w:spacing w:val="-4"/>
        </w:rPr>
        <w:t xml:space="preserve"> </w:t>
      </w:r>
      <w:r>
        <w:t>the</w:t>
      </w:r>
      <w:r>
        <w:rPr>
          <w:spacing w:val="-5"/>
        </w:rPr>
        <w:t xml:space="preserve"> </w:t>
      </w:r>
      <w:r>
        <w:t>component</w:t>
      </w:r>
      <w:r>
        <w:rPr>
          <w:spacing w:val="-4"/>
        </w:rPr>
        <w:t xml:space="preserve"> </w:t>
      </w:r>
      <w:r>
        <w:t>auditors</w:t>
      </w:r>
      <w:r>
        <w:rPr>
          <w:spacing w:val="-5"/>
        </w:rPr>
        <w:t xml:space="preserve"> </w:t>
      </w:r>
      <w:r>
        <w:t>on</w:t>
      </w:r>
      <w:r>
        <w:rPr>
          <w:spacing w:val="-5"/>
        </w:rPr>
        <w:t xml:space="preserve"> </w:t>
      </w:r>
      <w:r>
        <w:t>significant</w:t>
      </w:r>
      <w:r>
        <w:rPr>
          <w:spacing w:val="-4"/>
        </w:rPr>
        <w:t xml:space="preserve"> </w:t>
      </w:r>
      <w:r>
        <w:t>components,</w:t>
      </w:r>
      <w:r>
        <w:rPr>
          <w:spacing w:val="-5"/>
        </w:rPr>
        <w:t xml:space="preserve"> </w:t>
      </w:r>
      <w:r>
        <w:t xml:space="preserve">including, when applicable, the group engagement team's review of relevant parts of the component auditors’ audit documentation and conclusions thereon (AU-C </w:t>
      </w:r>
      <w:r>
        <w:rPr>
          <w:spacing w:val="-2"/>
        </w:rPr>
        <w:t>600A.65).</w:t>
      </w:r>
    </w:p>
    <w:p w14:paraId="0DFDAE74" w14:textId="77777777" w:rsidR="00046465" w:rsidRDefault="00046465">
      <w:pPr>
        <w:pStyle w:val="BodyText"/>
        <w:sectPr w:rsidR="00046465">
          <w:pgSz w:w="12240" w:h="15840"/>
          <w:pgMar w:top="1340" w:right="720" w:bottom="940" w:left="1080" w:header="721" w:footer="757" w:gutter="0"/>
          <w:cols w:space="720"/>
        </w:sectPr>
      </w:pPr>
    </w:p>
    <w:p w14:paraId="0DFDAE75" w14:textId="77777777" w:rsidR="00046465" w:rsidRDefault="008134EB">
      <w:pPr>
        <w:pStyle w:val="Heading3"/>
        <w:rPr>
          <w:u w:val="none"/>
        </w:rPr>
      </w:pPr>
      <w:bookmarkStart w:id="71" w:name="640_–_Entities_Using_a_Service_Organizat"/>
      <w:bookmarkStart w:id="72" w:name="_bookmark16"/>
      <w:bookmarkEnd w:id="71"/>
      <w:bookmarkEnd w:id="72"/>
      <w:r>
        <w:lastRenderedPageBreak/>
        <w:t>640</w:t>
      </w:r>
      <w:r>
        <w:rPr>
          <w:spacing w:val="-6"/>
        </w:rPr>
        <w:t xml:space="preserve"> </w:t>
      </w:r>
      <w:r>
        <w:t>–</w:t>
      </w:r>
      <w:r>
        <w:rPr>
          <w:spacing w:val="-2"/>
        </w:rPr>
        <w:t xml:space="preserve"> </w:t>
      </w:r>
      <w:r>
        <w:t>Entities</w:t>
      </w:r>
      <w:r>
        <w:rPr>
          <w:spacing w:val="-4"/>
        </w:rPr>
        <w:t xml:space="preserve"> </w:t>
      </w:r>
      <w:r>
        <w:t>Using</w:t>
      </w:r>
      <w:r>
        <w:rPr>
          <w:spacing w:val="-4"/>
        </w:rPr>
        <w:t xml:space="preserve"> </w:t>
      </w:r>
      <w:r>
        <w:t>a</w:t>
      </w:r>
      <w:r>
        <w:rPr>
          <w:spacing w:val="-3"/>
        </w:rPr>
        <w:t xml:space="preserve"> </w:t>
      </w:r>
      <w:r>
        <w:t>Service</w:t>
      </w:r>
      <w:r>
        <w:rPr>
          <w:spacing w:val="-3"/>
        </w:rPr>
        <w:t xml:space="preserve"> </w:t>
      </w:r>
      <w:r>
        <w:rPr>
          <w:spacing w:val="-2"/>
        </w:rPr>
        <w:t>Organization</w:t>
      </w:r>
    </w:p>
    <w:p w14:paraId="0DFDAE76" w14:textId="77777777" w:rsidR="00046465" w:rsidRDefault="00046465">
      <w:pPr>
        <w:pStyle w:val="BodyText"/>
        <w:spacing w:before="38"/>
        <w:rPr>
          <w:b/>
          <w:sz w:val="28"/>
        </w:rPr>
      </w:pPr>
    </w:p>
    <w:p w14:paraId="0DFDAE77" w14:textId="77777777" w:rsidR="00046465" w:rsidRDefault="008134EB">
      <w:pPr>
        <w:pStyle w:val="Heading4"/>
        <w:spacing w:before="1"/>
      </w:pPr>
      <w:r>
        <w:rPr>
          <w:spacing w:val="-2"/>
        </w:rPr>
        <w:t>Overview</w:t>
      </w:r>
    </w:p>
    <w:p w14:paraId="0DFDAE78" w14:textId="77777777" w:rsidR="00046465" w:rsidRDefault="008134EB">
      <w:pPr>
        <w:pStyle w:val="ListParagraph"/>
        <w:numPr>
          <w:ilvl w:val="0"/>
          <w:numId w:val="16"/>
        </w:numPr>
        <w:tabs>
          <w:tab w:val="left" w:pos="1800"/>
        </w:tabs>
        <w:spacing w:before="119"/>
        <w:ind w:right="823"/>
        <w:rPr>
          <w:position w:val="7"/>
          <w:sz w:val="14"/>
        </w:rPr>
      </w:pPr>
      <w:r>
        <w:t>FAM 640 provides guidance to auditors when considering the services provided to the entity by a service organization. As discussed in FAM 320, the auditor should obtain an understanding of how the entity uses the services of a service organization</w:t>
      </w:r>
      <w:r>
        <w:rPr>
          <w:spacing w:val="-5"/>
        </w:rPr>
        <w:t xml:space="preserve"> </w:t>
      </w:r>
      <w:r>
        <w:t>in</w:t>
      </w:r>
      <w:r>
        <w:rPr>
          <w:spacing w:val="-4"/>
        </w:rPr>
        <w:t xml:space="preserve"> </w:t>
      </w:r>
      <w:r>
        <w:t>the</w:t>
      </w:r>
      <w:r>
        <w:rPr>
          <w:spacing w:val="-4"/>
        </w:rPr>
        <w:t xml:space="preserve"> </w:t>
      </w:r>
      <w:r>
        <w:t>entity’s</w:t>
      </w:r>
      <w:r>
        <w:rPr>
          <w:spacing w:val="-4"/>
        </w:rPr>
        <w:t xml:space="preserve"> </w:t>
      </w:r>
      <w:r>
        <w:t>operations</w:t>
      </w:r>
      <w:r>
        <w:rPr>
          <w:spacing w:val="-4"/>
        </w:rPr>
        <w:t xml:space="preserve"> </w:t>
      </w:r>
      <w:r>
        <w:t>for</w:t>
      </w:r>
      <w:r>
        <w:rPr>
          <w:spacing w:val="-4"/>
        </w:rPr>
        <w:t xml:space="preserve"> </w:t>
      </w:r>
      <w:r>
        <w:t>assessing</w:t>
      </w:r>
      <w:r>
        <w:rPr>
          <w:spacing w:val="-4"/>
        </w:rPr>
        <w:t xml:space="preserve"> </w:t>
      </w:r>
      <w:r>
        <w:t>risk</w:t>
      </w:r>
      <w:r>
        <w:rPr>
          <w:spacing w:val="-4"/>
        </w:rPr>
        <w:t xml:space="preserve"> </w:t>
      </w:r>
      <w:r>
        <w:t>and</w:t>
      </w:r>
      <w:r>
        <w:rPr>
          <w:spacing w:val="-5"/>
        </w:rPr>
        <w:t xml:space="preserve"> </w:t>
      </w:r>
      <w:r>
        <w:t>planning</w:t>
      </w:r>
      <w:r>
        <w:rPr>
          <w:spacing w:val="-4"/>
        </w:rPr>
        <w:t xml:space="preserve"> </w:t>
      </w:r>
      <w:r>
        <w:t>other</w:t>
      </w:r>
      <w:r>
        <w:rPr>
          <w:spacing w:val="-4"/>
        </w:rPr>
        <w:t xml:space="preserve"> </w:t>
      </w:r>
      <w:r>
        <w:t xml:space="preserve">audit </w:t>
      </w:r>
      <w:r>
        <w:rPr>
          <w:spacing w:val="-2"/>
        </w:rPr>
        <w:t>procedures.</w:t>
      </w:r>
      <w:hyperlink w:anchor="_bookmark17" w:history="1">
        <w:r>
          <w:rPr>
            <w:spacing w:val="-2"/>
            <w:position w:val="7"/>
            <w:sz w:val="14"/>
          </w:rPr>
          <w:t>11</w:t>
        </w:r>
      </w:hyperlink>
    </w:p>
    <w:p w14:paraId="0DFDAE79" w14:textId="77777777" w:rsidR="00046465" w:rsidRDefault="008134EB">
      <w:pPr>
        <w:pStyle w:val="ListParagraph"/>
        <w:numPr>
          <w:ilvl w:val="0"/>
          <w:numId w:val="16"/>
        </w:numPr>
        <w:tabs>
          <w:tab w:val="left" w:pos="1800"/>
        </w:tabs>
        <w:ind w:right="810"/>
      </w:pPr>
      <w:r>
        <w:t>Many entities outsource aspects of their business activities to organizations that provide services ranging from performing a specific task under the direction of the</w:t>
      </w:r>
      <w:r>
        <w:rPr>
          <w:spacing w:val="-3"/>
        </w:rPr>
        <w:t xml:space="preserve"> </w:t>
      </w:r>
      <w:r>
        <w:t>entity</w:t>
      </w:r>
      <w:r>
        <w:rPr>
          <w:spacing w:val="-3"/>
        </w:rPr>
        <w:t xml:space="preserve"> </w:t>
      </w:r>
      <w:r>
        <w:t>to</w:t>
      </w:r>
      <w:r>
        <w:rPr>
          <w:spacing w:val="-4"/>
        </w:rPr>
        <w:t xml:space="preserve"> </w:t>
      </w:r>
      <w:r>
        <w:t>replacing</w:t>
      </w:r>
      <w:r>
        <w:rPr>
          <w:spacing w:val="-3"/>
        </w:rPr>
        <w:t xml:space="preserve"> </w:t>
      </w:r>
      <w:r>
        <w:t>entire</w:t>
      </w:r>
      <w:r>
        <w:rPr>
          <w:spacing w:val="-3"/>
        </w:rPr>
        <w:t xml:space="preserve"> </w:t>
      </w:r>
      <w:r>
        <w:t>business</w:t>
      </w:r>
      <w:r>
        <w:rPr>
          <w:spacing w:val="-3"/>
        </w:rPr>
        <w:t xml:space="preserve"> </w:t>
      </w:r>
      <w:r>
        <w:t>units</w:t>
      </w:r>
      <w:r>
        <w:rPr>
          <w:spacing w:val="-3"/>
        </w:rPr>
        <w:t xml:space="preserve"> </w:t>
      </w:r>
      <w:r>
        <w:t>or</w:t>
      </w:r>
      <w:r>
        <w:rPr>
          <w:spacing w:val="-3"/>
        </w:rPr>
        <w:t xml:space="preserve"> </w:t>
      </w:r>
      <w:r>
        <w:t>functions</w:t>
      </w:r>
      <w:r>
        <w:rPr>
          <w:spacing w:val="-3"/>
        </w:rPr>
        <w:t xml:space="preserve"> </w:t>
      </w:r>
      <w:r>
        <w:t>of</w:t>
      </w:r>
      <w:r>
        <w:rPr>
          <w:spacing w:val="-3"/>
        </w:rPr>
        <w:t xml:space="preserve"> </w:t>
      </w:r>
      <w:r>
        <w:t>the</w:t>
      </w:r>
      <w:r>
        <w:rPr>
          <w:spacing w:val="-3"/>
        </w:rPr>
        <w:t xml:space="preserve"> </w:t>
      </w:r>
      <w:r>
        <w:t>entity.</w:t>
      </w:r>
      <w:r>
        <w:rPr>
          <w:spacing w:val="-3"/>
        </w:rPr>
        <w:t xml:space="preserve"> </w:t>
      </w:r>
      <w:r>
        <w:t>Many</w:t>
      </w:r>
      <w:r>
        <w:rPr>
          <w:spacing w:val="-3"/>
        </w:rPr>
        <w:t xml:space="preserve"> </w:t>
      </w:r>
      <w:r>
        <w:t>of</w:t>
      </w:r>
      <w:r>
        <w:rPr>
          <w:spacing w:val="-3"/>
        </w:rPr>
        <w:t xml:space="preserve"> </w:t>
      </w:r>
      <w:r>
        <w:t>the services provided by such organizations are integral to an entity’s business operations; however, not all of those services are relevant to an audit</w:t>
      </w:r>
    </w:p>
    <w:p w14:paraId="0DFDAE7A" w14:textId="77777777" w:rsidR="00046465" w:rsidRDefault="008134EB">
      <w:pPr>
        <w:pStyle w:val="BodyText"/>
        <w:ind w:left="1800" w:right="749" w:hanging="1"/>
      </w:pPr>
      <w:r>
        <w:t>(AU-C</w:t>
      </w:r>
      <w:r>
        <w:rPr>
          <w:spacing w:val="-1"/>
        </w:rPr>
        <w:t xml:space="preserve"> </w:t>
      </w:r>
      <w:r>
        <w:t>402.02).</w:t>
      </w:r>
      <w:r>
        <w:rPr>
          <w:spacing w:val="-1"/>
        </w:rPr>
        <w:t xml:space="preserve"> </w:t>
      </w:r>
      <w:r>
        <w:t>Services</w:t>
      </w:r>
      <w:r>
        <w:rPr>
          <w:spacing w:val="-2"/>
        </w:rPr>
        <w:t xml:space="preserve"> </w:t>
      </w:r>
      <w:r>
        <w:t>provided</w:t>
      </w:r>
      <w:r>
        <w:rPr>
          <w:spacing w:val="-1"/>
        </w:rPr>
        <w:t xml:space="preserve"> </w:t>
      </w:r>
      <w:r>
        <w:t>by</w:t>
      </w:r>
      <w:r>
        <w:rPr>
          <w:spacing w:val="-2"/>
        </w:rPr>
        <w:t xml:space="preserve"> </w:t>
      </w:r>
      <w:r>
        <w:t>service</w:t>
      </w:r>
      <w:r>
        <w:rPr>
          <w:spacing w:val="-1"/>
        </w:rPr>
        <w:t xml:space="preserve"> </w:t>
      </w:r>
      <w:r>
        <w:t>organizations</w:t>
      </w:r>
      <w:r>
        <w:rPr>
          <w:spacing w:val="-2"/>
        </w:rPr>
        <w:t xml:space="preserve"> </w:t>
      </w:r>
      <w:r>
        <w:t>that</w:t>
      </w:r>
      <w:r>
        <w:rPr>
          <w:spacing w:val="-1"/>
        </w:rPr>
        <w:t xml:space="preserve"> </w:t>
      </w:r>
      <w:r>
        <w:t>may</w:t>
      </w:r>
      <w:r>
        <w:rPr>
          <w:spacing w:val="-1"/>
        </w:rPr>
        <w:t xml:space="preserve"> </w:t>
      </w:r>
      <w:r>
        <w:t>be</w:t>
      </w:r>
      <w:r>
        <w:rPr>
          <w:spacing w:val="-1"/>
        </w:rPr>
        <w:t xml:space="preserve"> </w:t>
      </w:r>
      <w:r>
        <w:t>relevant to</w:t>
      </w:r>
      <w:r>
        <w:rPr>
          <w:spacing w:val="-4"/>
        </w:rPr>
        <w:t xml:space="preserve"> </w:t>
      </w:r>
      <w:r>
        <w:t>an</w:t>
      </w:r>
      <w:r>
        <w:rPr>
          <w:spacing w:val="-4"/>
        </w:rPr>
        <w:t xml:space="preserve"> </w:t>
      </w:r>
      <w:r>
        <w:t>audit</w:t>
      </w:r>
      <w:r>
        <w:rPr>
          <w:spacing w:val="-4"/>
        </w:rPr>
        <w:t xml:space="preserve"> </w:t>
      </w:r>
      <w:r>
        <w:t>include</w:t>
      </w:r>
      <w:r>
        <w:rPr>
          <w:spacing w:val="-4"/>
        </w:rPr>
        <w:t xml:space="preserve"> </w:t>
      </w:r>
      <w:r>
        <w:t>maintenance</w:t>
      </w:r>
      <w:r>
        <w:rPr>
          <w:spacing w:val="-4"/>
        </w:rPr>
        <w:t xml:space="preserve"> </w:t>
      </w:r>
      <w:r>
        <w:t>of</w:t>
      </w:r>
      <w:r>
        <w:rPr>
          <w:spacing w:val="-4"/>
        </w:rPr>
        <w:t xml:space="preserve"> </w:t>
      </w:r>
      <w:r>
        <w:t>the</w:t>
      </w:r>
      <w:r>
        <w:rPr>
          <w:spacing w:val="-4"/>
        </w:rPr>
        <w:t xml:space="preserve"> </w:t>
      </w:r>
      <w:r>
        <w:t>entity’s</w:t>
      </w:r>
      <w:r>
        <w:rPr>
          <w:spacing w:val="-3"/>
        </w:rPr>
        <w:t xml:space="preserve"> </w:t>
      </w:r>
      <w:r>
        <w:t>accounting</w:t>
      </w:r>
      <w:r>
        <w:rPr>
          <w:spacing w:val="-4"/>
        </w:rPr>
        <w:t xml:space="preserve"> </w:t>
      </w:r>
      <w:r>
        <w:t>records;</w:t>
      </w:r>
      <w:r>
        <w:rPr>
          <w:spacing w:val="-4"/>
        </w:rPr>
        <w:t xml:space="preserve"> </w:t>
      </w:r>
      <w:r>
        <w:t>management of the entity’s assets; and initiating, authorizing, recording, or processing transactions as an agent of the entity.</w:t>
      </w:r>
    </w:p>
    <w:p w14:paraId="0DFDAE7B" w14:textId="77777777" w:rsidR="00046465" w:rsidRDefault="008134EB">
      <w:pPr>
        <w:pStyle w:val="ListParagraph"/>
        <w:numPr>
          <w:ilvl w:val="0"/>
          <w:numId w:val="16"/>
        </w:numPr>
        <w:tabs>
          <w:tab w:val="left" w:pos="1800"/>
        </w:tabs>
        <w:ind w:right="724"/>
      </w:pPr>
      <w:r>
        <w:t>Services</w:t>
      </w:r>
      <w:r>
        <w:rPr>
          <w:spacing w:val="-3"/>
        </w:rPr>
        <w:t xml:space="preserve"> </w:t>
      </w:r>
      <w:r>
        <w:t>provided</w:t>
      </w:r>
      <w:r>
        <w:rPr>
          <w:spacing w:val="-3"/>
        </w:rPr>
        <w:t xml:space="preserve"> </w:t>
      </w:r>
      <w:r>
        <w:t>by</w:t>
      </w:r>
      <w:r>
        <w:rPr>
          <w:spacing w:val="-3"/>
        </w:rPr>
        <w:t xml:space="preserve"> </w:t>
      </w:r>
      <w:r>
        <w:t>a</w:t>
      </w:r>
      <w:r>
        <w:rPr>
          <w:spacing w:val="-4"/>
        </w:rPr>
        <w:t xml:space="preserve"> </w:t>
      </w:r>
      <w:r>
        <w:t>service</w:t>
      </w:r>
      <w:r>
        <w:rPr>
          <w:spacing w:val="-3"/>
        </w:rPr>
        <w:t xml:space="preserve"> </w:t>
      </w:r>
      <w:r>
        <w:t>organization</w:t>
      </w:r>
      <w:r>
        <w:rPr>
          <w:spacing w:val="-3"/>
        </w:rPr>
        <w:t xml:space="preserve"> </w:t>
      </w:r>
      <w:r>
        <w:t>are</w:t>
      </w:r>
      <w:r>
        <w:rPr>
          <w:spacing w:val="-3"/>
        </w:rPr>
        <w:t xml:space="preserve"> </w:t>
      </w:r>
      <w:r>
        <w:t>relevant</w:t>
      </w:r>
      <w:r>
        <w:rPr>
          <w:spacing w:val="-3"/>
        </w:rPr>
        <w:t xml:space="preserve"> </w:t>
      </w:r>
      <w:r>
        <w:t>to</w:t>
      </w:r>
      <w:r>
        <w:rPr>
          <w:spacing w:val="-3"/>
        </w:rPr>
        <w:t xml:space="preserve"> </w:t>
      </w:r>
      <w:r>
        <w:t>the</w:t>
      </w:r>
      <w:r>
        <w:rPr>
          <w:spacing w:val="-3"/>
        </w:rPr>
        <w:t xml:space="preserve"> </w:t>
      </w:r>
      <w:r>
        <w:t>audit</w:t>
      </w:r>
      <w:r>
        <w:rPr>
          <w:spacing w:val="-3"/>
        </w:rPr>
        <w:t xml:space="preserve"> </w:t>
      </w:r>
      <w:r>
        <w:t>of</w:t>
      </w:r>
      <w:r>
        <w:rPr>
          <w:spacing w:val="-3"/>
        </w:rPr>
        <w:t xml:space="preserve"> </w:t>
      </w:r>
      <w:r>
        <w:t>an</w:t>
      </w:r>
      <w:r>
        <w:rPr>
          <w:spacing w:val="-4"/>
        </w:rPr>
        <w:t xml:space="preserve"> </w:t>
      </w:r>
      <w:r>
        <w:t>entity’s financial statements when those services and the controls over them affect the entity’s</w:t>
      </w:r>
      <w:r>
        <w:rPr>
          <w:spacing w:val="-3"/>
        </w:rPr>
        <w:t xml:space="preserve"> </w:t>
      </w:r>
      <w:r>
        <w:t>information</w:t>
      </w:r>
      <w:r>
        <w:rPr>
          <w:spacing w:val="-2"/>
        </w:rPr>
        <w:t xml:space="preserve"> </w:t>
      </w:r>
      <w:r>
        <w:t>system</w:t>
      </w:r>
      <w:r>
        <w:rPr>
          <w:spacing w:val="-3"/>
        </w:rPr>
        <w:t xml:space="preserve"> </w:t>
      </w:r>
      <w:r>
        <w:t>relevant</w:t>
      </w:r>
      <w:r>
        <w:rPr>
          <w:spacing w:val="-2"/>
        </w:rPr>
        <w:t xml:space="preserve"> </w:t>
      </w:r>
      <w:r>
        <w:t>to</w:t>
      </w:r>
      <w:r>
        <w:rPr>
          <w:spacing w:val="-2"/>
        </w:rPr>
        <w:t xml:space="preserve"> </w:t>
      </w:r>
      <w:r>
        <w:t>the</w:t>
      </w:r>
      <w:r>
        <w:rPr>
          <w:spacing w:val="-2"/>
        </w:rPr>
        <w:t xml:space="preserve"> </w:t>
      </w:r>
      <w:r>
        <w:t>preparation</w:t>
      </w:r>
      <w:r>
        <w:rPr>
          <w:spacing w:val="-2"/>
        </w:rPr>
        <w:t xml:space="preserve"> </w:t>
      </w:r>
      <w:r>
        <w:t>of</w:t>
      </w:r>
      <w:r>
        <w:rPr>
          <w:spacing w:val="-2"/>
        </w:rPr>
        <w:t xml:space="preserve"> </w:t>
      </w:r>
      <w:r>
        <w:t>the</w:t>
      </w:r>
      <w:r>
        <w:rPr>
          <w:spacing w:val="-3"/>
        </w:rPr>
        <w:t xml:space="preserve"> </w:t>
      </w:r>
      <w:r>
        <w:t>financial</w:t>
      </w:r>
      <w:r>
        <w:rPr>
          <w:spacing w:val="-3"/>
        </w:rPr>
        <w:t xml:space="preserve"> </w:t>
      </w:r>
      <w:r>
        <w:t>statements. Most controls at a service organization are likely to be part of the entity’s information</w:t>
      </w:r>
      <w:r>
        <w:rPr>
          <w:spacing w:val="-4"/>
        </w:rPr>
        <w:t xml:space="preserve"> </w:t>
      </w:r>
      <w:r>
        <w:t>system</w:t>
      </w:r>
      <w:r>
        <w:rPr>
          <w:spacing w:val="-5"/>
        </w:rPr>
        <w:t xml:space="preserve"> </w:t>
      </w:r>
      <w:r>
        <w:t>relevant</w:t>
      </w:r>
      <w:r>
        <w:rPr>
          <w:spacing w:val="-4"/>
        </w:rPr>
        <w:t xml:space="preserve"> </w:t>
      </w:r>
      <w:r>
        <w:t>to</w:t>
      </w:r>
      <w:r>
        <w:rPr>
          <w:spacing w:val="-4"/>
        </w:rPr>
        <w:t xml:space="preserve"> </w:t>
      </w:r>
      <w:r>
        <w:t>the</w:t>
      </w:r>
      <w:r>
        <w:rPr>
          <w:spacing w:val="-4"/>
        </w:rPr>
        <w:t xml:space="preserve"> </w:t>
      </w:r>
      <w:r>
        <w:t>preparation</w:t>
      </w:r>
      <w:r>
        <w:rPr>
          <w:spacing w:val="-4"/>
        </w:rPr>
        <w:t xml:space="preserve"> </w:t>
      </w:r>
      <w:r>
        <w:t>of</w:t>
      </w:r>
      <w:r>
        <w:rPr>
          <w:spacing w:val="-4"/>
        </w:rPr>
        <w:t xml:space="preserve"> </w:t>
      </w:r>
      <w:r>
        <w:t>the</w:t>
      </w:r>
      <w:r>
        <w:rPr>
          <w:spacing w:val="-4"/>
        </w:rPr>
        <w:t xml:space="preserve"> </w:t>
      </w:r>
      <w:r>
        <w:t>financial</w:t>
      </w:r>
      <w:r>
        <w:rPr>
          <w:spacing w:val="-4"/>
        </w:rPr>
        <w:t xml:space="preserve"> </w:t>
      </w:r>
      <w:r>
        <w:t>statements</w:t>
      </w:r>
      <w:r>
        <w:rPr>
          <w:spacing w:val="-3"/>
        </w:rPr>
        <w:t xml:space="preserve"> </w:t>
      </w:r>
      <w:r>
        <w:t>or</w:t>
      </w:r>
      <w:r>
        <w:rPr>
          <w:spacing w:val="-4"/>
        </w:rPr>
        <w:t xml:space="preserve"> </w:t>
      </w:r>
      <w:r>
        <w:t>other related</w:t>
      </w:r>
      <w:r>
        <w:rPr>
          <w:spacing w:val="-1"/>
        </w:rPr>
        <w:t xml:space="preserve"> </w:t>
      </w:r>
      <w:r>
        <w:t>controls,</w:t>
      </w:r>
      <w:r>
        <w:rPr>
          <w:spacing w:val="-1"/>
        </w:rPr>
        <w:t xml:space="preserve"> </w:t>
      </w:r>
      <w:r>
        <w:t>such</w:t>
      </w:r>
      <w:r>
        <w:rPr>
          <w:spacing w:val="-1"/>
        </w:rPr>
        <w:t xml:space="preserve"> </w:t>
      </w:r>
      <w:r>
        <w:t>as</w:t>
      </w:r>
      <w:r>
        <w:rPr>
          <w:spacing w:val="-2"/>
        </w:rPr>
        <w:t xml:space="preserve"> </w:t>
      </w:r>
      <w:r>
        <w:t>controls</w:t>
      </w:r>
      <w:r>
        <w:rPr>
          <w:spacing w:val="-1"/>
        </w:rPr>
        <w:t xml:space="preserve"> </w:t>
      </w:r>
      <w:r>
        <w:t>over</w:t>
      </w:r>
      <w:r>
        <w:rPr>
          <w:spacing w:val="-1"/>
        </w:rPr>
        <w:t xml:space="preserve"> </w:t>
      </w:r>
      <w:r>
        <w:t>the</w:t>
      </w:r>
      <w:r>
        <w:rPr>
          <w:spacing w:val="-1"/>
        </w:rPr>
        <w:t xml:space="preserve"> </w:t>
      </w:r>
      <w:r>
        <w:t>safeguarding</w:t>
      </w:r>
      <w:r>
        <w:rPr>
          <w:spacing w:val="-1"/>
        </w:rPr>
        <w:t xml:space="preserve"> </w:t>
      </w:r>
      <w:r>
        <w:t>of</w:t>
      </w:r>
      <w:r>
        <w:rPr>
          <w:spacing w:val="-1"/>
        </w:rPr>
        <w:t xml:space="preserve"> </w:t>
      </w:r>
      <w:r>
        <w:t>assets.</w:t>
      </w:r>
      <w:r>
        <w:rPr>
          <w:spacing w:val="-1"/>
        </w:rPr>
        <w:t xml:space="preserve"> </w:t>
      </w:r>
      <w:r>
        <w:t>(AU-C</w:t>
      </w:r>
      <w:r>
        <w:rPr>
          <w:spacing w:val="-2"/>
        </w:rPr>
        <w:t xml:space="preserve"> </w:t>
      </w:r>
      <w:r>
        <w:t>402.03)</w:t>
      </w:r>
    </w:p>
    <w:p w14:paraId="0DFDAE7C" w14:textId="77777777" w:rsidR="00046465" w:rsidRDefault="008134EB">
      <w:pPr>
        <w:pStyle w:val="BodyText"/>
        <w:spacing w:before="120"/>
        <w:ind w:left="1800" w:right="844" w:hanging="1"/>
      </w:pPr>
      <w:r>
        <w:t>A</w:t>
      </w:r>
      <w:r>
        <w:rPr>
          <w:spacing w:val="-4"/>
        </w:rPr>
        <w:t xml:space="preserve"> </w:t>
      </w:r>
      <w:r>
        <w:t>service</w:t>
      </w:r>
      <w:r>
        <w:rPr>
          <w:spacing w:val="-4"/>
        </w:rPr>
        <w:t xml:space="preserve"> </w:t>
      </w:r>
      <w:r>
        <w:t>organization’s</w:t>
      </w:r>
      <w:r>
        <w:rPr>
          <w:spacing w:val="-4"/>
        </w:rPr>
        <w:t xml:space="preserve"> </w:t>
      </w:r>
      <w:r>
        <w:t>services</w:t>
      </w:r>
      <w:r>
        <w:rPr>
          <w:spacing w:val="-4"/>
        </w:rPr>
        <w:t xml:space="preserve"> </w:t>
      </w:r>
      <w:r>
        <w:t>are</w:t>
      </w:r>
      <w:r>
        <w:rPr>
          <w:spacing w:val="-4"/>
        </w:rPr>
        <w:t xml:space="preserve"> </w:t>
      </w:r>
      <w:r>
        <w:t>part</w:t>
      </w:r>
      <w:r>
        <w:rPr>
          <w:spacing w:val="-4"/>
        </w:rPr>
        <w:t xml:space="preserve"> </w:t>
      </w:r>
      <w:r>
        <w:t>of</w:t>
      </w:r>
      <w:r>
        <w:rPr>
          <w:spacing w:val="-4"/>
        </w:rPr>
        <w:t xml:space="preserve"> </w:t>
      </w:r>
      <w:r>
        <w:t>an</w:t>
      </w:r>
      <w:r>
        <w:rPr>
          <w:spacing w:val="-4"/>
        </w:rPr>
        <w:t xml:space="preserve"> </w:t>
      </w:r>
      <w:r>
        <w:t>entity’s</w:t>
      </w:r>
      <w:r>
        <w:rPr>
          <w:spacing w:val="-4"/>
        </w:rPr>
        <w:t xml:space="preserve"> </w:t>
      </w:r>
      <w:r>
        <w:t>information</w:t>
      </w:r>
      <w:r>
        <w:rPr>
          <w:spacing w:val="-4"/>
        </w:rPr>
        <w:t xml:space="preserve"> </w:t>
      </w:r>
      <w:r>
        <w:t>system</w:t>
      </w:r>
      <w:r>
        <w:rPr>
          <w:spacing w:val="-4"/>
        </w:rPr>
        <w:t xml:space="preserve"> </w:t>
      </w:r>
      <w:r>
        <w:t>if these services affect any of the following (AU-C 402.03):</w:t>
      </w:r>
    </w:p>
    <w:p w14:paraId="0DFDAE7D" w14:textId="77777777" w:rsidR="00046465" w:rsidRDefault="008134EB">
      <w:pPr>
        <w:pStyle w:val="ListParagraph"/>
        <w:numPr>
          <w:ilvl w:val="1"/>
          <w:numId w:val="16"/>
        </w:numPr>
        <w:tabs>
          <w:tab w:val="left" w:pos="2161"/>
        </w:tabs>
        <w:ind w:right="1050"/>
      </w:pPr>
      <w:r>
        <w:t>How</w:t>
      </w:r>
      <w:r>
        <w:rPr>
          <w:spacing w:val="-5"/>
        </w:rPr>
        <w:t xml:space="preserve"> </w:t>
      </w:r>
      <w:r>
        <w:t>information</w:t>
      </w:r>
      <w:r>
        <w:rPr>
          <w:spacing w:val="-4"/>
        </w:rPr>
        <w:t xml:space="preserve"> </w:t>
      </w:r>
      <w:r>
        <w:t>relating</w:t>
      </w:r>
      <w:r>
        <w:rPr>
          <w:spacing w:val="-4"/>
        </w:rPr>
        <w:t xml:space="preserve"> </w:t>
      </w:r>
      <w:r>
        <w:t>to</w:t>
      </w:r>
      <w:r>
        <w:rPr>
          <w:spacing w:val="-4"/>
        </w:rPr>
        <w:t xml:space="preserve"> </w:t>
      </w:r>
      <w:r>
        <w:t>material</w:t>
      </w:r>
      <w:r>
        <w:rPr>
          <w:spacing w:val="-4"/>
        </w:rPr>
        <w:t xml:space="preserve"> </w:t>
      </w:r>
      <w:r>
        <w:t>line</w:t>
      </w:r>
      <w:r>
        <w:rPr>
          <w:spacing w:val="-4"/>
        </w:rPr>
        <w:t xml:space="preserve"> </w:t>
      </w:r>
      <w:r>
        <w:t>items,</w:t>
      </w:r>
      <w:r>
        <w:rPr>
          <w:spacing w:val="-5"/>
        </w:rPr>
        <w:t xml:space="preserve"> </w:t>
      </w:r>
      <w:r>
        <w:t>accounts,</w:t>
      </w:r>
      <w:r>
        <w:rPr>
          <w:spacing w:val="-4"/>
        </w:rPr>
        <w:t xml:space="preserve"> </w:t>
      </w:r>
      <w:r>
        <w:t>note</w:t>
      </w:r>
      <w:r>
        <w:rPr>
          <w:spacing w:val="-4"/>
        </w:rPr>
        <w:t xml:space="preserve"> </w:t>
      </w:r>
      <w:r>
        <w:t>disclosures, and classes of transactions flows through the entity’s information system, whether manually or using information technology, and whether obtained from within or outside the general ledger and subsidiary ledgers. This includes when the service organization affects the following:</w:t>
      </w:r>
    </w:p>
    <w:p w14:paraId="0DFDAE7E" w14:textId="77777777" w:rsidR="00046465" w:rsidRDefault="008134EB">
      <w:pPr>
        <w:pStyle w:val="ListParagraph"/>
        <w:numPr>
          <w:ilvl w:val="2"/>
          <w:numId w:val="16"/>
        </w:numPr>
        <w:tabs>
          <w:tab w:val="left" w:pos="2520"/>
        </w:tabs>
        <w:ind w:right="1145"/>
      </w:pPr>
      <w:r>
        <w:t>how transactions are initiated and how information about them is recorded,</w:t>
      </w:r>
      <w:r>
        <w:rPr>
          <w:spacing w:val="-5"/>
        </w:rPr>
        <w:t xml:space="preserve"> </w:t>
      </w:r>
      <w:r>
        <w:t>processed,</w:t>
      </w:r>
      <w:r>
        <w:rPr>
          <w:spacing w:val="-6"/>
        </w:rPr>
        <w:t xml:space="preserve"> </w:t>
      </w:r>
      <w:r>
        <w:t>corrected</w:t>
      </w:r>
      <w:r>
        <w:rPr>
          <w:spacing w:val="-5"/>
        </w:rPr>
        <w:t xml:space="preserve"> </w:t>
      </w:r>
      <w:r>
        <w:t>as</w:t>
      </w:r>
      <w:r>
        <w:rPr>
          <w:spacing w:val="-5"/>
        </w:rPr>
        <w:t xml:space="preserve"> </w:t>
      </w:r>
      <w:r>
        <w:t>necessary,</w:t>
      </w:r>
      <w:r>
        <w:rPr>
          <w:spacing w:val="-6"/>
        </w:rPr>
        <w:t xml:space="preserve"> </w:t>
      </w:r>
      <w:r>
        <w:t>and</w:t>
      </w:r>
      <w:r>
        <w:rPr>
          <w:spacing w:val="-5"/>
        </w:rPr>
        <w:t xml:space="preserve"> </w:t>
      </w:r>
      <w:r>
        <w:t>incorporated</w:t>
      </w:r>
      <w:r>
        <w:rPr>
          <w:spacing w:val="-5"/>
        </w:rPr>
        <w:t xml:space="preserve"> </w:t>
      </w:r>
      <w:r>
        <w:t>in</w:t>
      </w:r>
      <w:r>
        <w:rPr>
          <w:spacing w:val="-5"/>
        </w:rPr>
        <w:t xml:space="preserve"> </w:t>
      </w:r>
      <w:r>
        <w:t>the general ledger and reported in the financial statements and</w:t>
      </w:r>
    </w:p>
    <w:p w14:paraId="0DFDAE7F" w14:textId="77777777" w:rsidR="00046465" w:rsidRDefault="008134EB">
      <w:pPr>
        <w:pStyle w:val="ListParagraph"/>
        <w:numPr>
          <w:ilvl w:val="2"/>
          <w:numId w:val="16"/>
        </w:numPr>
        <w:tabs>
          <w:tab w:val="left" w:pos="2520"/>
        </w:tabs>
        <w:spacing w:before="118"/>
        <w:ind w:right="1092"/>
      </w:pPr>
      <w:r>
        <w:t>how</w:t>
      </w:r>
      <w:r>
        <w:rPr>
          <w:spacing w:val="-5"/>
        </w:rPr>
        <w:t xml:space="preserve"> </w:t>
      </w:r>
      <w:r>
        <w:t>information</w:t>
      </w:r>
      <w:r>
        <w:rPr>
          <w:spacing w:val="-4"/>
        </w:rPr>
        <w:t xml:space="preserve"> </w:t>
      </w:r>
      <w:r>
        <w:t>about</w:t>
      </w:r>
      <w:r>
        <w:rPr>
          <w:spacing w:val="-4"/>
        </w:rPr>
        <w:t xml:space="preserve"> </w:t>
      </w:r>
      <w:r>
        <w:t>events</w:t>
      </w:r>
      <w:r>
        <w:rPr>
          <w:spacing w:val="-4"/>
        </w:rPr>
        <w:t xml:space="preserve"> </w:t>
      </w:r>
      <w:r>
        <w:t>or</w:t>
      </w:r>
      <w:r>
        <w:rPr>
          <w:spacing w:val="-4"/>
        </w:rPr>
        <w:t xml:space="preserve"> </w:t>
      </w:r>
      <w:r>
        <w:t>conditions,</w:t>
      </w:r>
      <w:r>
        <w:rPr>
          <w:spacing w:val="-4"/>
        </w:rPr>
        <w:t xml:space="preserve"> </w:t>
      </w:r>
      <w:r>
        <w:t>other</w:t>
      </w:r>
      <w:r>
        <w:rPr>
          <w:spacing w:val="-4"/>
        </w:rPr>
        <w:t xml:space="preserve"> </w:t>
      </w:r>
      <w:r>
        <w:t>than</w:t>
      </w:r>
      <w:r>
        <w:rPr>
          <w:spacing w:val="-4"/>
        </w:rPr>
        <w:t xml:space="preserve"> </w:t>
      </w:r>
      <w:r>
        <w:t>transactions,</w:t>
      </w:r>
      <w:r>
        <w:rPr>
          <w:spacing w:val="-5"/>
        </w:rPr>
        <w:t xml:space="preserve"> </w:t>
      </w:r>
      <w:r>
        <w:t xml:space="preserve">is captured, processed, and disclosed by the entity in the financial </w:t>
      </w:r>
      <w:r>
        <w:rPr>
          <w:spacing w:val="-2"/>
        </w:rPr>
        <w:t>statements.</w:t>
      </w:r>
    </w:p>
    <w:p w14:paraId="0DFDAE80" w14:textId="77777777" w:rsidR="00046465" w:rsidRDefault="008134EB">
      <w:pPr>
        <w:pStyle w:val="ListParagraph"/>
        <w:numPr>
          <w:ilvl w:val="1"/>
          <w:numId w:val="16"/>
        </w:numPr>
        <w:tabs>
          <w:tab w:val="left" w:pos="2160"/>
        </w:tabs>
        <w:spacing w:before="118"/>
        <w:ind w:left="2160" w:right="840"/>
        <w:jc w:val="both"/>
      </w:pPr>
      <w:r>
        <w:t>the</w:t>
      </w:r>
      <w:r>
        <w:rPr>
          <w:spacing w:val="-4"/>
        </w:rPr>
        <w:t xml:space="preserve"> </w:t>
      </w:r>
      <w:r>
        <w:t>accounting</w:t>
      </w:r>
      <w:r>
        <w:rPr>
          <w:spacing w:val="-4"/>
        </w:rPr>
        <w:t xml:space="preserve"> </w:t>
      </w:r>
      <w:r>
        <w:t>records,</w:t>
      </w:r>
      <w:r>
        <w:rPr>
          <w:spacing w:val="-5"/>
        </w:rPr>
        <w:t xml:space="preserve"> </w:t>
      </w:r>
      <w:r>
        <w:t>specific</w:t>
      </w:r>
      <w:r>
        <w:rPr>
          <w:spacing w:val="-4"/>
        </w:rPr>
        <w:t xml:space="preserve"> </w:t>
      </w:r>
      <w:r>
        <w:t>accounts</w:t>
      </w:r>
      <w:r>
        <w:rPr>
          <w:spacing w:val="-4"/>
        </w:rPr>
        <w:t xml:space="preserve"> </w:t>
      </w:r>
      <w:r>
        <w:t>in</w:t>
      </w:r>
      <w:r>
        <w:rPr>
          <w:spacing w:val="-4"/>
        </w:rPr>
        <w:t xml:space="preserve"> </w:t>
      </w:r>
      <w:r>
        <w:t>the</w:t>
      </w:r>
      <w:r>
        <w:rPr>
          <w:spacing w:val="-4"/>
        </w:rPr>
        <w:t xml:space="preserve"> </w:t>
      </w:r>
      <w:r>
        <w:t>entity’s</w:t>
      </w:r>
      <w:r>
        <w:rPr>
          <w:spacing w:val="-5"/>
        </w:rPr>
        <w:t xml:space="preserve"> </w:t>
      </w:r>
      <w:r>
        <w:t>financial</w:t>
      </w:r>
      <w:r>
        <w:rPr>
          <w:spacing w:val="-4"/>
        </w:rPr>
        <w:t xml:space="preserve"> </w:t>
      </w:r>
      <w:r>
        <w:t>statements, and</w:t>
      </w:r>
      <w:r>
        <w:rPr>
          <w:spacing w:val="-1"/>
        </w:rPr>
        <w:t xml:space="preserve"> </w:t>
      </w:r>
      <w:r>
        <w:t>other</w:t>
      </w:r>
      <w:r>
        <w:rPr>
          <w:spacing w:val="-1"/>
        </w:rPr>
        <w:t xml:space="preserve"> </w:t>
      </w:r>
      <w:r>
        <w:t>supporting</w:t>
      </w:r>
      <w:r>
        <w:rPr>
          <w:spacing w:val="-1"/>
        </w:rPr>
        <w:t xml:space="preserve"> </w:t>
      </w:r>
      <w:r>
        <w:t>records</w:t>
      </w:r>
      <w:r>
        <w:rPr>
          <w:spacing w:val="-1"/>
        </w:rPr>
        <w:t xml:space="preserve"> </w:t>
      </w:r>
      <w:r>
        <w:t>relating</w:t>
      </w:r>
      <w:r>
        <w:rPr>
          <w:spacing w:val="-2"/>
        </w:rPr>
        <w:t xml:space="preserve"> </w:t>
      </w:r>
      <w:r>
        <w:t>to</w:t>
      </w:r>
      <w:r>
        <w:rPr>
          <w:spacing w:val="-1"/>
        </w:rPr>
        <w:t xml:space="preserve"> </w:t>
      </w:r>
      <w:r>
        <w:t>the</w:t>
      </w:r>
      <w:r>
        <w:rPr>
          <w:spacing w:val="-1"/>
        </w:rPr>
        <w:t xml:space="preserve"> </w:t>
      </w:r>
      <w:r>
        <w:t>flows</w:t>
      </w:r>
      <w:r>
        <w:rPr>
          <w:spacing w:val="-2"/>
        </w:rPr>
        <w:t xml:space="preserve"> </w:t>
      </w:r>
      <w:r>
        <w:t>of</w:t>
      </w:r>
      <w:r>
        <w:rPr>
          <w:spacing w:val="-1"/>
        </w:rPr>
        <w:t xml:space="preserve"> </w:t>
      </w:r>
      <w:r>
        <w:t>information described</w:t>
      </w:r>
      <w:r>
        <w:rPr>
          <w:spacing w:val="-1"/>
        </w:rPr>
        <w:t xml:space="preserve"> </w:t>
      </w:r>
      <w:r>
        <w:t>in FAM 640.03a.</w:t>
      </w:r>
    </w:p>
    <w:p w14:paraId="0DFDAE81" w14:textId="77777777" w:rsidR="00046465" w:rsidRDefault="00046465">
      <w:pPr>
        <w:pStyle w:val="BodyText"/>
        <w:rPr>
          <w:sz w:val="20"/>
        </w:rPr>
      </w:pPr>
    </w:p>
    <w:p w14:paraId="0DFDAE82" w14:textId="77777777" w:rsidR="00046465" w:rsidRDefault="00046465">
      <w:pPr>
        <w:pStyle w:val="BodyText"/>
        <w:rPr>
          <w:sz w:val="20"/>
        </w:rPr>
      </w:pPr>
    </w:p>
    <w:p w14:paraId="0DFDAE83" w14:textId="77777777" w:rsidR="00046465" w:rsidRDefault="008134EB">
      <w:pPr>
        <w:pStyle w:val="BodyText"/>
        <w:spacing w:before="27"/>
        <w:rPr>
          <w:sz w:val="20"/>
        </w:rPr>
      </w:pPr>
      <w:r>
        <w:rPr>
          <w:noProof/>
          <w:sz w:val="20"/>
        </w:rPr>
        <mc:AlternateContent>
          <mc:Choice Requires="wps">
            <w:drawing>
              <wp:anchor distT="0" distB="0" distL="0" distR="0" simplePos="0" relativeHeight="487605248" behindDoc="1" locked="0" layoutInCell="1" allowOverlap="1" wp14:anchorId="0DFDD557" wp14:editId="0DFDD558">
                <wp:simplePos x="0" y="0"/>
                <wp:positionH relativeFrom="page">
                  <wp:posOffset>914400</wp:posOffset>
                </wp:positionH>
                <wp:positionV relativeFrom="paragraph">
                  <wp:posOffset>178582</wp:posOffset>
                </wp:positionV>
                <wp:extent cx="1828800" cy="5715"/>
                <wp:effectExtent l="0" t="0" r="0" b="0"/>
                <wp:wrapTopAndBottom/>
                <wp:docPr id="189" name="Graphic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0CC962" id="Graphic 189" o:spid="_x0000_s1026" style="position:absolute;margin-left:1in;margin-top:14.05pt;width:2in;height:.45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" path="m1828800,l,,,5321r1828800,l1828800,xe" fillcolor="black" stroked="f">
                <v:path arrowok="t"/>
                <w10:wrap type="topAndBottom" anchorx="page"/>
              </v:shape>
            </w:pict>
          </mc:Fallback>
        </mc:AlternateContent>
      </w:r>
    </w:p>
    <w:p w14:paraId="0DFDAE84" w14:textId="77777777" w:rsidR="00046465" w:rsidRDefault="008134EB">
      <w:pPr>
        <w:spacing w:before="202" w:line="242" w:lineRule="auto"/>
        <w:ind w:left="360" w:right="749" w:hanging="1"/>
        <w:rPr>
          <w:sz w:val="18"/>
        </w:rPr>
      </w:pPr>
      <w:bookmarkStart w:id="73" w:name="_bookmark17"/>
      <w:bookmarkEnd w:id="73"/>
      <w:r>
        <w:rPr>
          <w:position w:val="7"/>
          <w:sz w:val="14"/>
        </w:rPr>
        <w:t>11</w:t>
      </w:r>
      <w:r>
        <w:rPr>
          <w:sz w:val="18"/>
        </w:rPr>
        <w:t>In</w:t>
      </w:r>
      <w:r>
        <w:rPr>
          <w:spacing w:val="-3"/>
          <w:sz w:val="18"/>
        </w:rPr>
        <w:t xml:space="preserve"> </w:t>
      </w:r>
      <w:r>
        <w:rPr>
          <w:sz w:val="18"/>
        </w:rPr>
        <w:t>this</w:t>
      </w:r>
      <w:r>
        <w:rPr>
          <w:spacing w:val="-2"/>
          <w:sz w:val="18"/>
        </w:rPr>
        <w:t xml:space="preserve"> </w:t>
      </w:r>
      <w:r>
        <w:rPr>
          <w:sz w:val="18"/>
        </w:rPr>
        <w:t>section,</w:t>
      </w:r>
      <w:r>
        <w:rPr>
          <w:spacing w:val="-2"/>
          <w:sz w:val="18"/>
        </w:rPr>
        <w:t xml:space="preserve"> </w:t>
      </w:r>
      <w:r>
        <w:rPr>
          <w:sz w:val="18"/>
        </w:rPr>
        <w:t>“entity”</w:t>
      </w:r>
      <w:r>
        <w:rPr>
          <w:spacing w:val="-2"/>
          <w:sz w:val="18"/>
        </w:rPr>
        <w:t xml:space="preserve"> </w:t>
      </w:r>
      <w:r>
        <w:rPr>
          <w:sz w:val="18"/>
        </w:rPr>
        <w:t>refers</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user</w:t>
      </w:r>
      <w:r>
        <w:rPr>
          <w:spacing w:val="-2"/>
          <w:sz w:val="18"/>
        </w:rPr>
        <w:t xml:space="preserve"> </w:t>
      </w:r>
      <w:r>
        <w:rPr>
          <w:sz w:val="18"/>
        </w:rPr>
        <w:t>entity</w:t>
      </w:r>
      <w:r>
        <w:rPr>
          <w:spacing w:val="-2"/>
          <w:sz w:val="18"/>
        </w:rPr>
        <w:t xml:space="preserve"> </w:t>
      </w:r>
      <w:r>
        <w:rPr>
          <w:sz w:val="18"/>
        </w:rPr>
        <w:t>and</w:t>
      </w:r>
      <w:r>
        <w:rPr>
          <w:spacing w:val="-3"/>
          <w:sz w:val="18"/>
        </w:rPr>
        <w:t xml:space="preserve"> </w:t>
      </w:r>
      <w:r>
        <w:rPr>
          <w:sz w:val="18"/>
        </w:rPr>
        <w:t>“auditor”</w:t>
      </w:r>
      <w:r>
        <w:rPr>
          <w:spacing w:val="-1"/>
          <w:sz w:val="18"/>
        </w:rPr>
        <w:t xml:space="preserve"> </w:t>
      </w:r>
      <w:r>
        <w:rPr>
          <w:sz w:val="18"/>
        </w:rPr>
        <w:t>refers</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user</w:t>
      </w:r>
      <w:r>
        <w:rPr>
          <w:spacing w:val="-2"/>
          <w:sz w:val="18"/>
        </w:rPr>
        <w:t xml:space="preserve"> </w:t>
      </w:r>
      <w:r>
        <w:rPr>
          <w:sz w:val="18"/>
        </w:rPr>
        <w:t>auditor</w:t>
      </w:r>
      <w:r>
        <w:rPr>
          <w:spacing w:val="-2"/>
          <w:sz w:val="18"/>
        </w:rPr>
        <w:t xml:space="preserve"> </w:t>
      </w:r>
      <w:r>
        <w:rPr>
          <w:sz w:val="18"/>
        </w:rPr>
        <w:t>as</w:t>
      </w:r>
      <w:r>
        <w:rPr>
          <w:spacing w:val="-2"/>
          <w:sz w:val="18"/>
        </w:rPr>
        <w:t xml:space="preserve"> </w:t>
      </w:r>
      <w:r>
        <w:rPr>
          <w:sz w:val="18"/>
        </w:rPr>
        <w:t>defined</w:t>
      </w:r>
      <w:r>
        <w:rPr>
          <w:spacing w:val="-3"/>
          <w:sz w:val="18"/>
        </w:rPr>
        <w:t xml:space="preserve"> </w:t>
      </w:r>
      <w:r>
        <w:rPr>
          <w:sz w:val="18"/>
        </w:rPr>
        <w:t>in</w:t>
      </w:r>
      <w:r>
        <w:rPr>
          <w:spacing w:val="-3"/>
          <w:sz w:val="18"/>
        </w:rPr>
        <w:t xml:space="preserve"> </w:t>
      </w:r>
      <w:r>
        <w:rPr>
          <w:sz w:val="18"/>
        </w:rPr>
        <w:t>AU-C</w:t>
      </w:r>
      <w:r>
        <w:rPr>
          <w:spacing w:val="-1"/>
          <w:sz w:val="18"/>
        </w:rPr>
        <w:t xml:space="preserve"> </w:t>
      </w:r>
      <w:r>
        <w:rPr>
          <w:sz w:val="18"/>
        </w:rPr>
        <w:t>402,</w:t>
      </w:r>
      <w:r>
        <w:rPr>
          <w:spacing w:val="-2"/>
          <w:sz w:val="18"/>
        </w:rPr>
        <w:t xml:space="preserve"> </w:t>
      </w:r>
      <w:r>
        <w:rPr>
          <w:i/>
          <w:sz w:val="18"/>
        </w:rPr>
        <w:t>Audit Considerations Relating to an Entity Using a Service Organization</w:t>
      </w:r>
      <w:r>
        <w:rPr>
          <w:sz w:val="18"/>
        </w:rPr>
        <w:t>. AU-C 402 defines (1) user entity as an entity that uses a service organization and whose financial statements are being audited and (2) user auditor as an auditor that audits and reports on the financial statements of a user entity.</w:t>
      </w:r>
    </w:p>
    <w:p w14:paraId="0DFDAE85" w14:textId="77777777" w:rsidR="00046465" w:rsidRDefault="00046465">
      <w:pPr>
        <w:spacing w:line="242" w:lineRule="auto"/>
        <w:rPr>
          <w:sz w:val="18"/>
        </w:rPr>
        <w:sectPr w:rsidR="00046465">
          <w:headerReference w:type="default" r:id="rId52"/>
          <w:footerReference w:type="default" r:id="rId53"/>
          <w:pgSz w:w="12240" w:h="15840"/>
          <w:pgMar w:top="1340" w:right="720" w:bottom="940" w:left="1080" w:header="721" w:footer="757" w:gutter="0"/>
          <w:cols w:space="720"/>
        </w:sectPr>
      </w:pPr>
    </w:p>
    <w:p w14:paraId="0DFDAE86" w14:textId="77777777" w:rsidR="00046465" w:rsidRDefault="008134EB">
      <w:pPr>
        <w:pStyle w:val="ListParagraph"/>
        <w:numPr>
          <w:ilvl w:val="1"/>
          <w:numId w:val="16"/>
        </w:numPr>
        <w:tabs>
          <w:tab w:val="left" w:pos="2158"/>
          <w:tab w:val="left" w:pos="2160"/>
        </w:tabs>
        <w:spacing w:before="121"/>
        <w:ind w:left="2160" w:right="953" w:hanging="361"/>
      </w:pPr>
      <w:r>
        <w:lastRenderedPageBreak/>
        <w:t>the financial reporting process used to prepare the entity’s financial statements from the records described in FAM 640.03b, including as it pertains to (1) note disclosures and (2) accounting estimates relating to material</w:t>
      </w:r>
      <w:r>
        <w:rPr>
          <w:spacing w:val="-5"/>
        </w:rPr>
        <w:t xml:space="preserve"> </w:t>
      </w:r>
      <w:r>
        <w:t>line</w:t>
      </w:r>
      <w:r>
        <w:rPr>
          <w:spacing w:val="-6"/>
        </w:rPr>
        <w:t xml:space="preserve"> </w:t>
      </w:r>
      <w:r>
        <w:t>items,</w:t>
      </w:r>
      <w:r>
        <w:rPr>
          <w:spacing w:val="-5"/>
        </w:rPr>
        <w:t xml:space="preserve"> </w:t>
      </w:r>
      <w:r>
        <w:t>accounts,</w:t>
      </w:r>
      <w:r>
        <w:rPr>
          <w:spacing w:val="-5"/>
        </w:rPr>
        <w:t xml:space="preserve"> </w:t>
      </w:r>
      <w:r>
        <w:t>note</w:t>
      </w:r>
      <w:r>
        <w:rPr>
          <w:spacing w:val="-5"/>
        </w:rPr>
        <w:t xml:space="preserve"> </w:t>
      </w:r>
      <w:r>
        <w:t>disclosures,</w:t>
      </w:r>
      <w:r>
        <w:rPr>
          <w:spacing w:val="-5"/>
        </w:rPr>
        <w:t xml:space="preserve"> </w:t>
      </w:r>
      <w:r>
        <w:t>and</w:t>
      </w:r>
      <w:r>
        <w:rPr>
          <w:spacing w:val="-5"/>
        </w:rPr>
        <w:t xml:space="preserve"> </w:t>
      </w:r>
      <w:r>
        <w:t>classes</w:t>
      </w:r>
      <w:r>
        <w:rPr>
          <w:spacing w:val="-5"/>
        </w:rPr>
        <w:t xml:space="preserve"> </w:t>
      </w:r>
      <w:r>
        <w:t>of</w:t>
      </w:r>
      <w:r>
        <w:rPr>
          <w:spacing w:val="-5"/>
        </w:rPr>
        <w:t xml:space="preserve"> </w:t>
      </w:r>
      <w:r>
        <w:t>transactions.</w:t>
      </w:r>
    </w:p>
    <w:p w14:paraId="0DFDAE87" w14:textId="77777777" w:rsidR="00046465" w:rsidRDefault="008134EB">
      <w:pPr>
        <w:pStyle w:val="ListParagraph"/>
        <w:numPr>
          <w:ilvl w:val="1"/>
          <w:numId w:val="16"/>
        </w:numPr>
        <w:tabs>
          <w:tab w:val="left" w:pos="2159"/>
        </w:tabs>
        <w:ind w:left="2159" w:hanging="359"/>
      </w:pPr>
      <w:r>
        <w:t>the</w:t>
      </w:r>
      <w:r>
        <w:rPr>
          <w:spacing w:val="-7"/>
        </w:rPr>
        <w:t xml:space="preserve"> </w:t>
      </w:r>
      <w:r>
        <w:t>entity’s</w:t>
      </w:r>
      <w:r>
        <w:rPr>
          <w:spacing w:val="-7"/>
        </w:rPr>
        <w:t xml:space="preserve"> </w:t>
      </w:r>
      <w:r>
        <w:t>IT</w:t>
      </w:r>
      <w:r>
        <w:rPr>
          <w:spacing w:val="-6"/>
        </w:rPr>
        <w:t xml:space="preserve"> </w:t>
      </w:r>
      <w:r>
        <w:t>environment</w:t>
      </w:r>
      <w:r>
        <w:rPr>
          <w:spacing w:val="-7"/>
        </w:rPr>
        <w:t xml:space="preserve"> </w:t>
      </w:r>
      <w:r>
        <w:t>relevant</w:t>
      </w:r>
      <w:r>
        <w:rPr>
          <w:spacing w:val="-6"/>
        </w:rPr>
        <w:t xml:space="preserve"> </w:t>
      </w:r>
      <w:r>
        <w:t>to</w:t>
      </w:r>
      <w:r>
        <w:rPr>
          <w:spacing w:val="-7"/>
        </w:rPr>
        <w:t xml:space="preserve"> </w:t>
      </w:r>
      <w:r>
        <w:t>FAM</w:t>
      </w:r>
      <w:r>
        <w:rPr>
          <w:spacing w:val="-7"/>
        </w:rPr>
        <w:t xml:space="preserve"> </w:t>
      </w:r>
      <w:r>
        <w:t>640.03a</w:t>
      </w:r>
      <w:r>
        <w:rPr>
          <w:spacing w:val="-7"/>
        </w:rPr>
        <w:t xml:space="preserve"> </w:t>
      </w:r>
      <w:r>
        <w:t>through</w:t>
      </w:r>
      <w:r>
        <w:rPr>
          <w:spacing w:val="-6"/>
        </w:rPr>
        <w:t xml:space="preserve"> </w:t>
      </w:r>
      <w:r>
        <w:rPr>
          <w:spacing w:val="-2"/>
        </w:rPr>
        <w:t>.03c.</w:t>
      </w:r>
    </w:p>
    <w:p w14:paraId="0DFDAE88" w14:textId="77777777" w:rsidR="00046465" w:rsidRDefault="008134EB">
      <w:pPr>
        <w:pStyle w:val="ListParagraph"/>
        <w:numPr>
          <w:ilvl w:val="0"/>
          <w:numId w:val="16"/>
        </w:numPr>
        <w:tabs>
          <w:tab w:val="left" w:pos="1800"/>
        </w:tabs>
        <w:ind w:right="810" w:hanging="720"/>
      </w:pPr>
      <w:r>
        <w:t>The nature and extent of work to be performed by the auditor regarding the services provided by a service organization depend on the nature and significance</w:t>
      </w:r>
      <w:r>
        <w:rPr>
          <w:spacing w:val="-4"/>
        </w:rPr>
        <w:t xml:space="preserve"> </w:t>
      </w:r>
      <w:r>
        <w:t>of</w:t>
      </w:r>
      <w:r>
        <w:rPr>
          <w:spacing w:val="-3"/>
        </w:rPr>
        <w:t xml:space="preserve"> </w:t>
      </w:r>
      <w:r>
        <w:t>those</w:t>
      </w:r>
      <w:r>
        <w:rPr>
          <w:spacing w:val="-3"/>
        </w:rPr>
        <w:t xml:space="preserve"> </w:t>
      </w:r>
      <w:r>
        <w:t>services</w:t>
      </w:r>
      <w:r>
        <w:rPr>
          <w:spacing w:val="-3"/>
        </w:rPr>
        <w:t xml:space="preserve"> </w:t>
      </w:r>
      <w:r>
        <w:t>to</w:t>
      </w:r>
      <w:r>
        <w:rPr>
          <w:spacing w:val="-4"/>
        </w:rPr>
        <w:t xml:space="preserve"> </w:t>
      </w:r>
      <w:r>
        <w:t>the</w:t>
      </w:r>
      <w:r>
        <w:rPr>
          <w:spacing w:val="-4"/>
        </w:rPr>
        <w:t xml:space="preserve"> </w:t>
      </w:r>
      <w:r>
        <w:t>entity</w:t>
      </w:r>
      <w:r>
        <w:rPr>
          <w:spacing w:val="-3"/>
        </w:rPr>
        <w:t xml:space="preserve"> </w:t>
      </w:r>
      <w:r>
        <w:t>and</w:t>
      </w:r>
      <w:r>
        <w:rPr>
          <w:spacing w:val="-3"/>
        </w:rPr>
        <w:t xml:space="preserve"> </w:t>
      </w:r>
      <w:r>
        <w:t>the</w:t>
      </w:r>
      <w:r>
        <w:rPr>
          <w:spacing w:val="-3"/>
        </w:rPr>
        <w:t xml:space="preserve"> </w:t>
      </w:r>
      <w:r>
        <w:t>relevance</w:t>
      </w:r>
      <w:r>
        <w:rPr>
          <w:spacing w:val="-4"/>
        </w:rPr>
        <w:t xml:space="preserve"> </w:t>
      </w:r>
      <w:r>
        <w:t>of</w:t>
      </w:r>
      <w:r>
        <w:rPr>
          <w:spacing w:val="-3"/>
        </w:rPr>
        <w:t xml:space="preserve"> </w:t>
      </w:r>
      <w:r>
        <w:t>those</w:t>
      </w:r>
      <w:r>
        <w:rPr>
          <w:spacing w:val="-3"/>
        </w:rPr>
        <w:t xml:space="preserve"> </w:t>
      </w:r>
      <w:r>
        <w:t>services</w:t>
      </w:r>
      <w:r>
        <w:rPr>
          <w:spacing w:val="-3"/>
        </w:rPr>
        <w:t xml:space="preserve"> </w:t>
      </w:r>
      <w:r>
        <w:t>to the audit (AU-C 402.04). If the service organization’s control activities are included in the SCE worksheet,</w:t>
      </w:r>
      <w:hyperlink w:anchor="_bookmark18" w:history="1">
        <w:r>
          <w:rPr>
            <w:position w:val="7"/>
            <w:sz w:val="14"/>
          </w:rPr>
          <w:t>12</w:t>
        </w:r>
      </w:hyperlink>
      <w:r>
        <w:rPr>
          <w:spacing w:val="34"/>
          <w:position w:val="7"/>
          <w:sz w:val="14"/>
        </w:rPr>
        <w:t xml:space="preserve"> </w:t>
      </w:r>
      <w:r>
        <w:t>then the auditor should follow the guidance outlined in the remaining paragraphs of this section.</w:t>
      </w:r>
    </w:p>
    <w:p w14:paraId="0DFDAE89" w14:textId="77777777" w:rsidR="00046465" w:rsidRDefault="008134EB">
      <w:pPr>
        <w:pStyle w:val="ListParagraph"/>
        <w:numPr>
          <w:ilvl w:val="0"/>
          <w:numId w:val="16"/>
        </w:numPr>
        <w:tabs>
          <w:tab w:val="left" w:pos="1800"/>
        </w:tabs>
        <w:ind w:right="848"/>
      </w:pPr>
      <w:r>
        <w:t>In</w:t>
      </w:r>
      <w:r>
        <w:rPr>
          <w:spacing w:val="-4"/>
        </w:rPr>
        <w:t xml:space="preserve"> </w:t>
      </w:r>
      <w:r>
        <w:t>responding</w:t>
      </w:r>
      <w:r>
        <w:rPr>
          <w:spacing w:val="-4"/>
        </w:rPr>
        <w:t xml:space="preserve"> </w:t>
      </w:r>
      <w:r>
        <w:t>to</w:t>
      </w:r>
      <w:r>
        <w:rPr>
          <w:spacing w:val="-4"/>
        </w:rPr>
        <w:t xml:space="preserve"> </w:t>
      </w:r>
      <w:r>
        <w:t>the</w:t>
      </w:r>
      <w:r>
        <w:rPr>
          <w:spacing w:val="-4"/>
        </w:rPr>
        <w:t xml:space="preserve"> </w:t>
      </w:r>
      <w:r>
        <w:t>assessed</w:t>
      </w:r>
      <w:r>
        <w:rPr>
          <w:spacing w:val="-4"/>
        </w:rPr>
        <w:t xml:space="preserve"> </w:t>
      </w:r>
      <w:r>
        <w:t>risks</w:t>
      </w:r>
      <w:r>
        <w:rPr>
          <w:spacing w:val="-5"/>
        </w:rPr>
        <w:t xml:space="preserve"> </w:t>
      </w:r>
      <w:r>
        <w:t>of</w:t>
      </w:r>
      <w:r>
        <w:rPr>
          <w:spacing w:val="-4"/>
        </w:rPr>
        <w:t xml:space="preserve"> </w:t>
      </w:r>
      <w:r>
        <w:t>material</w:t>
      </w:r>
      <w:r>
        <w:rPr>
          <w:spacing w:val="-4"/>
        </w:rPr>
        <w:t xml:space="preserve"> </w:t>
      </w:r>
      <w:r>
        <w:t>misstatement</w:t>
      </w:r>
      <w:r>
        <w:rPr>
          <w:spacing w:val="-4"/>
        </w:rPr>
        <w:t xml:space="preserve"> </w:t>
      </w:r>
      <w:r>
        <w:t>in</w:t>
      </w:r>
      <w:r>
        <w:rPr>
          <w:spacing w:val="-4"/>
        </w:rPr>
        <w:t xml:space="preserve"> </w:t>
      </w:r>
      <w:r>
        <w:t>accordance</w:t>
      </w:r>
      <w:r>
        <w:rPr>
          <w:spacing w:val="-4"/>
        </w:rPr>
        <w:t xml:space="preserve"> </w:t>
      </w:r>
      <w:r>
        <w:t>with FAM 420, the auditor should determine whether sufficient appropriate audit evidence concerning the significant assertions is available from records held at the entity. If not, then the auditor should perform further audit procedures to obtain sufficient appropriate audit evidence or use another auditor to perform those procedures at the service organization on the auditor’s behalf (AU-C 402.15). For example, the auditor may consider (1) inspecting records and documents held by the service organization or (2) obtaining confirmations of balances and transactions from the service organization (AU-C 402.A28).</w:t>
      </w:r>
    </w:p>
    <w:p w14:paraId="0DFDAE8A" w14:textId="77777777" w:rsidR="00046465" w:rsidRDefault="008134EB">
      <w:pPr>
        <w:pStyle w:val="BodyText"/>
        <w:ind w:left="1800" w:right="749"/>
      </w:pPr>
      <w:r>
        <w:t>Alternatively,</w:t>
      </w:r>
      <w:r>
        <w:rPr>
          <w:spacing w:val="-5"/>
        </w:rPr>
        <w:t xml:space="preserve"> </w:t>
      </w:r>
      <w:r>
        <w:t>a</w:t>
      </w:r>
      <w:r>
        <w:rPr>
          <w:spacing w:val="-5"/>
        </w:rPr>
        <w:t xml:space="preserve"> </w:t>
      </w:r>
      <w:r>
        <w:t>service</w:t>
      </w:r>
      <w:r>
        <w:rPr>
          <w:spacing w:val="-5"/>
        </w:rPr>
        <w:t xml:space="preserve"> </w:t>
      </w:r>
      <w:r>
        <w:t>auditor</w:t>
      </w:r>
      <w:r>
        <w:rPr>
          <w:spacing w:val="-5"/>
        </w:rPr>
        <w:t xml:space="preserve"> </w:t>
      </w:r>
      <w:r>
        <w:t>may</w:t>
      </w:r>
      <w:r>
        <w:rPr>
          <w:spacing w:val="-5"/>
        </w:rPr>
        <w:t xml:space="preserve"> </w:t>
      </w:r>
      <w:r>
        <w:t>perform</w:t>
      </w:r>
      <w:r>
        <w:rPr>
          <w:spacing w:val="-6"/>
        </w:rPr>
        <w:t xml:space="preserve"> </w:t>
      </w:r>
      <w:r>
        <w:t>procedures</w:t>
      </w:r>
      <w:r>
        <w:rPr>
          <w:spacing w:val="-5"/>
        </w:rPr>
        <w:t xml:space="preserve"> </w:t>
      </w:r>
      <w:r>
        <w:t>under</w:t>
      </w:r>
      <w:r>
        <w:rPr>
          <w:spacing w:val="-5"/>
        </w:rPr>
        <w:t xml:space="preserve"> </w:t>
      </w:r>
      <w:r>
        <w:t>an</w:t>
      </w:r>
      <w:r>
        <w:rPr>
          <w:spacing w:val="-5"/>
        </w:rPr>
        <w:t xml:space="preserve"> </w:t>
      </w:r>
      <w:r>
        <w:t>agreed-upon procedures engagement that are substantive in nature for the benefit of the auditor (AU-C 402.A29).</w:t>
      </w:r>
    </w:p>
    <w:p w14:paraId="0DFDAE8B" w14:textId="77777777" w:rsidR="00046465" w:rsidRDefault="008134EB">
      <w:pPr>
        <w:pStyle w:val="ListParagraph"/>
        <w:numPr>
          <w:ilvl w:val="0"/>
          <w:numId w:val="16"/>
        </w:numPr>
        <w:tabs>
          <w:tab w:val="left" w:pos="1800"/>
        </w:tabs>
        <w:ind w:right="858" w:hanging="720"/>
      </w:pPr>
      <w:r>
        <w:t>OMB audit guidance states that for those service organization controls likely to be relevant to the entity’s internal control over financial reporting, service organizations</w:t>
      </w:r>
      <w:r>
        <w:rPr>
          <w:spacing w:val="-3"/>
        </w:rPr>
        <w:t xml:space="preserve"> </w:t>
      </w:r>
      <w:r>
        <w:t>must</w:t>
      </w:r>
      <w:r>
        <w:rPr>
          <w:spacing w:val="-3"/>
        </w:rPr>
        <w:t xml:space="preserve"> </w:t>
      </w:r>
      <w:r>
        <w:t>provide</w:t>
      </w:r>
      <w:r>
        <w:rPr>
          <w:spacing w:val="-3"/>
        </w:rPr>
        <w:t xml:space="preserve"> </w:t>
      </w:r>
      <w:r>
        <w:t>the</w:t>
      </w:r>
      <w:r>
        <w:rPr>
          <w:spacing w:val="-3"/>
        </w:rPr>
        <w:t xml:space="preserve"> </w:t>
      </w:r>
      <w:r>
        <w:t>entity</w:t>
      </w:r>
      <w:r>
        <w:rPr>
          <w:spacing w:val="-4"/>
        </w:rPr>
        <w:t xml:space="preserve"> </w:t>
      </w:r>
      <w:r>
        <w:t>with</w:t>
      </w:r>
      <w:r>
        <w:rPr>
          <w:spacing w:val="-2"/>
        </w:rPr>
        <w:t xml:space="preserve"> </w:t>
      </w:r>
      <w:r>
        <w:t>an</w:t>
      </w:r>
      <w:r>
        <w:rPr>
          <w:spacing w:val="-3"/>
        </w:rPr>
        <w:t xml:space="preserve"> </w:t>
      </w:r>
      <w:r>
        <w:t>auditor’s</w:t>
      </w:r>
      <w:r>
        <w:rPr>
          <w:spacing w:val="-3"/>
        </w:rPr>
        <w:t xml:space="preserve"> </w:t>
      </w:r>
      <w:r>
        <w:t>report</w:t>
      </w:r>
      <w:r>
        <w:rPr>
          <w:spacing w:val="-4"/>
        </w:rPr>
        <w:t xml:space="preserve"> </w:t>
      </w:r>
      <w:r>
        <w:t>or</w:t>
      </w:r>
      <w:r>
        <w:rPr>
          <w:spacing w:val="-3"/>
        </w:rPr>
        <w:t xml:space="preserve"> </w:t>
      </w:r>
      <w:r>
        <w:t>allow</w:t>
      </w:r>
      <w:r>
        <w:rPr>
          <w:spacing w:val="-4"/>
        </w:rPr>
        <w:t xml:space="preserve"> </w:t>
      </w:r>
      <w:r>
        <w:t>auditors</w:t>
      </w:r>
      <w:r>
        <w:rPr>
          <w:spacing w:val="-3"/>
        </w:rPr>
        <w:t xml:space="preserve"> </w:t>
      </w:r>
      <w:r>
        <w:t>to perform appropriate tests of controls at the service organization.</w:t>
      </w:r>
      <w:hyperlink w:anchor="_bookmark19" w:history="1">
        <w:r>
          <w:rPr>
            <w:position w:val="7"/>
            <w:sz w:val="14"/>
          </w:rPr>
          <w:t>13</w:t>
        </w:r>
      </w:hyperlink>
      <w:r>
        <w:rPr>
          <w:spacing w:val="36"/>
          <w:position w:val="7"/>
          <w:sz w:val="14"/>
        </w:rPr>
        <w:t xml:space="preserve"> </w:t>
      </w:r>
      <w:r>
        <w:t>A service organization may provide the entity with one of the following (AU-C 402.08):</w:t>
      </w:r>
    </w:p>
    <w:p w14:paraId="0DFDAE8C" w14:textId="77777777" w:rsidR="00046465" w:rsidRDefault="008134EB">
      <w:pPr>
        <w:pStyle w:val="ListParagraph"/>
        <w:numPr>
          <w:ilvl w:val="1"/>
          <w:numId w:val="16"/>
        </w:numPr>
        <w:tabs>
          <w:tab w:val="left" w:pos="2160"/>
        </w:tabs>
        <w:ind w:left="2160" w:right="979"/>
      </w:pPr>
      <w:r>
        <w:rPr>
          <w:b/>
        </w:rPr>
        <w:t xml:space="preserve">Type 1 report </w:t>
      </w:r>
      <w:r>
        <w:t>– a report on management’s description of a service organization’s</w:t>
      </w:r>
      <w:r>
        <w:rPr>
          <w:spacing w:val="-3"/>
        </w:rPr>
        <w:t xml:space="preserve"> </w:t>
      </w:r>
      <w:r>
        <w:t>system</w:t>
      </w:r>
      <w:r>
        <w:rPr>
          <w:spacing w:val="-5"/>
        </w:rPr>
        <w:t xml:space="preserve"> </w:t>
      </w:r>
      <w:r>
        <w:t>and</w:t>
      </w:r>
      <w:r>
        <w:rPr>
          <w:spacing w:val="-4"/>
        </w:rPr>
        <w:t xml:space="preserve"> </w:t>
      </w:r>
      <w:r>
        <w:t>a</w:t>
      </w:r>
      <w:r>
        <w:rPr>
          <w:spacing w:val="-4"/>
        </w:rPr>
        <w:t xml:space="preserve"> </w:t>
      </w:r>
      <w:r>
        <w:t>service</w:t>
      </w:r>
      <w:r>
        <w:rPr>
          <w:spacing w:val="-5"/>
        </w:rPr>
        <w:t xml:space="preserve"> </w:t>
      </w:r>
      <w:r>
        <w:t>auditor’s</w:t>
      </w:r>
      <w:r>
        <w:rPr>
          <w:spacing w:val="-4"/>
        </w:rPr>
        <w:t xml:space="preserve"> </w:t>
      </w:r>
      <w:r>
        <w:t>report</w:t>
      </w:r>
      <w:r>
        <w:rPr>
          <w:spacing w:val="-4"/>
        </w:rPr>
        <w:t xml:space="preserve"> </w:t>
      </w:r>
      <w:r>
        <w:t>on</w:t>
      </w:r>
      <w:r>
        <w:rPr>
          <w:spacing w:val="-4"/>
        </w:rPr>
        <w:t xml:space="preserve"> </w:t>
      </w:r>
      <w:r>
        <w:t>that</w:t>
      </w:r>
      <w:r>
        <w:rPr>
          <w:spacing w:val="-4"/>
        </w:rPr>
        <w:t xml:space="preserve"> </w:t>
      </w:r>
      <w:r>
        <w:t>description</w:t>
      </w:r>
      <w:r>
        <w:rPr>
          <w:spacing w:val="-5"/>
        </w:rPr>
        <w:t xml:space="preserve"> </w:t>
      </w:r>
      <w:r>
        <w:t>and on the suitability of the design of controls.</w:t>
      </w:r>
    </w:p>
    <w:p w14:paraId="0DFDAE8D" w14:textId="77777777" w:rsidR="00046465" w:rsidRDefault="008134EB">
      <w:pPr>
        <w:pStyle w:val="ListParagraph"/>
        <w:numPr>
          <w:ilvl w:val="1"/>
          <w:numId w:val="16"/>
        </w:numPr>
        <w:tabs>
          <w:tab w:val="left" w:pos="2159"/>
        </w:tabs>
        <w:ind w:left="2159" w:right="979"/>
        <w:rPr>
          <w:position w:val="7"/>
          <w:sz w:val="14"/>
        </w:rPr>
      </w:pPr>
      <w:r>
        <w:rPr>
          <w:b/>
        </w:rPr>
        <w:t xml:space="preserve">Type 2 report </w:t>
      </w:r>
      <w:r>
        <w:t>– a report on management’s description of a service organization’s</w:t>
      </w:r>
      <w:r>
        <w:rPr>
          <w:spacing w:val="-4"/>
        </w:rPr>
        <w:t xml:space="preserve"> </w:t>
      </w:r>
      <w:r>
        <w:t>system</w:t>
      </w:r>
      <w:r>
        <w:rPr>
          <w:spacing w:val="-5"/>
        </w:rPr>
        <w:t xml:space="preserve"> </w:t>
      </w:r>
      <w:r>
        <w:t>and</w:t>
      </w:r>
      <w:r>
        <w:rPr>
          <w:spacing w:val="-4"/>
        </w:rPr>
        <w:t xml:space="preserve"> </w:t>
      </w:r>
      <w:r>
        <w:t>a</w:t>
      </w:r>
      <w:r>
        <w:rPr>
          <w:spacing w:val="-4"/>
        </w:rPr>
        <w:t xml:space="preserve"> </w:t>
      </w:r>
      <w:r>
        <w:t>service</w:t>
      </w:r>
      <w:r>
        <w:rPr>
          <w:spacing w:val="-5"/>
        </w:rPr>
        <w:t xml:space="preserve"> </w:t>
      </w:r>
      <w:r>
        <w:t>auditor’s</w:t>
      </w:r>
      <w:r>
        <w:rPr>
          <w:spacing w:val="-4"/>
        </w:rPr>
        <w:t xml:space="preserve"> </w:t>
      </w:r>
      <w:r>
        <w:t>report</w:t>
      </w:r>
      <w:r>
        <w:rPr>
          <w:spacing w:val="-4"/>
        </w:rPr>
        <w:t xml:space="preserve"> </w:t>
      </w:r>
      <w:r>
        <w:t>on</w:t>
      </w:r>
      <w:r>
        <w:rPr>
          <w:spacing w:val="-4"/>
        </w:rPr>
        <w:t xml:space="preserve"> </w:t>
      </w:r>
      <w:r>
        <w:t>that</w:t>
      </w:r>
      <w:r>
        <w:rPr>
          <w:spacing w:val="-4"/>
        </w:rPr>
        <w:t xml:space="preserve"> </w:t>
      </w:r>
      <w:r>
        <w:t>description</w:t>
      </w:r>
      <w:r>
        <w:rPr>
          <w:spacing w:val="-5"/>
        </w:rPr>
        <w:t xml:space="preserve"> </w:t>
      </w:r>
      <w:r>
        <w:t>and on the suitability of the design and operating effectiveness of controls.</w:t>
      </w:r>
      <w:hyperlink w:anchor="_bookmark20" w:history="1">
        <w:r>
          <w:rPr>
            <w:position w:val="7"/>
            <w:sz w:val="14"/>
          </w:rPr>
          <w:t>14</w:t>
        </w:r>
      </w:hyperlink>
    </w:p>
    <w:p w14:paraId="0DFDAE8E" w14:textId="77777777" w:rsidR="00046465" w:rsidRDefault="008134EB">
      <w:pPr>
        <w:pStyle w:val="BodyText"/>
        <w:spacing w:before="177"/>
        <w:rPr>
          <w:sz w:val="20"/>
        </w:rPr>
      </w:pPr>
      <w:r>
        <w:rPr>
          <w:noProof/>
          <w:sz w:val="20"/>
        </w:rPr>
        <mc:AlternateContent>
          <mc:Choice Requires="wps">
            <w:drawing>
              <wp:anchor distT="0" distB="0" distL="0" distR="0" simplePos="0" relativeHeight="487605760" behindDoc="1" locked="0" layoutInCell="1" allowOverlap="1" wp14:anchorId="0DFDD559" wp14:editId="0DFDD55A">
                <wp:simplePos x="0" y="0"/>
                <wp:positionH relativeFrom="page">
                  <wp:posOffset>914400</wp:posOffset>
                </wp:positionH>
                <wp:positionV relativeFrom="paragraph">
                  <wp:posOffset>273894</wp:posOffset>
                </wp:positionV>
                <wp:extent cx="1828800" cy="5715"/>
                <wp:effectExtent l="0" t="0" r="0" b="0"/>
                <wp:wrapTopAndBottom/>
                <wp:docPr id="197" name="Graphic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059B6C" id="Graphic 197" o:spid="_x0000_s1026" style="position:absolute;margin-left:1in;margin-top:21.55pt;width:2in;height:.45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" path="m1828800,l,,,5333r1828800,l1828800,xe" fillcolor="black" stroked="f">
                <v:path arrowok="t"/>
                <w10:wrap type="topAndBottom" anchorx="page"/>
              </v:shape>
            </w:pict>
          </mc:Fallback>
        </mc:AlternateContent>
      </w:r>
    </w:p>
    <w:p w14:paraId="0DFDAE8F" w14:textId="77777777" w:rsidR="00046465" w:rsidRDefault="008134EB">
      <w:pPr>
        <w:spacing w:before="202"/>
        <w:ind w:left="360"/>
        <w:rPr>
          <w:sz w:val="18"/>
        </w:rPr>
      </w:pPr>
      <w:bookmarkStart w:id="74" w:name="_bookmark18"/>
      <w:bookmarkEnd w:id="74"/>
      <w:r>
        <w:rPr>
          <w:position w:val="7"/>
          <w:sz w:val="14"/>
        </w:rPr>
        <w:t>12</w:t>
      </w:r>
      <w:r>
        <w:rPr>
          <w:sz w:val="18"/>
        </w:rPr>
        <w:t>“Control</w:t>
      </w:r>
      <w:r>
        <w:rPr>
          <w:spacing w:val="-3"/>
          <w:sz w:val="18"/>
        </w:rPr>
        <w:t xml:space="preserve"> </w:t>
      </w:r>
      <w:r>
        <w:rPr>
          <w:sz w:val="18"/>
        </w:rPr>
        <w:t>activities”</w:t>
      </w:r>
      <w:r>
        <w:rPr>
          <w:spacing w:val="-2"/>
          <w:sz w:val="18"/>
        </w:rPr>
        <w:t xml:space="preserve"> </w:t>
      </w:r>
      <w:r>
        <w:rPr>
          <w:sz w:val="18"/>
        </w:rPr>
        <w:t>as</w:t>
      </w:r>
      <w:r>
        <w:rPr>
          <w:spacing w:val="-2"/>
          <w:sz w:val="18"/>
        </w:rPr>
        <w:t xml:space="preserve"> </w:t>
      </w:r>
      <w:r>
        <w:rPr>
          <w:sz w:val="18"/>
        </w:rPr>
        <w:t>used</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FAM</w:t>
      </w:r>
      <w:r>
        <w:rPr>
          <w:spacing w:val="-1"/>
          <w:sz w:val="18"/>
        </w:rPr>
        <w:t xml:space="preserve"> </w:t>
      </w:r>
      <w:r>
        <w:rPr>
          <w:sz w:val="18"/>
        </w:rPr>
        <w:t>are</w:t>
      </w:r>
      <w:r>
        <w:rPr>
          <w:spacing w:val="-3"/>
          <w:sz w:val="18"/>
        </w:rPr>
        <w:t xml:space="preserve"> </w:t>
      </w:r>
      <w:r>
        <w:rPr>
          <w:sz w:val="18"/>
        </w:rPr>
        <w:t>referred</w:t>
      </w:r>
      <w:r>
        <w:rPr>
          <w:spacing w:val="-3"/>
          <w:sz w:val="18"/>
        </w:rPr>
        <w:t xml:space="preserve"> </w:t>
      </w:r>
      <w:r>
        <w:rPr>
          <w:sz w:val="18"/>
        </w:rPr>
        <w:t>to</w:t>
      </w:r>
      <w:r>
        <w:rPr>
          <w:spacing w:val="-2"/>
          <w:sz w:val="18"/>
        </w:rPr>
        <w:t xml:space="preserve"> </w:t>
      </w:r>
      <w:r>
        <w:rPr>
          <w:sz w:val="18"/>
        </w:rPr>
        <w:t>as</w:t>
      </w:r>
      <w:r>
        <w:rPr>
          <w:spacing w:val="-2"/>
          <w:sz w:val="18"/>
        </w:rPr>
        <w:t xml:space="preserve"> </w:t>
      </w:r>
      <w:r>
        <w:rPr>
          <w:sz w:val="18"/>
        </w:rPr>
        <w:t>controls</w:t>
      </w:r>
      <w:r>
        <w:rPr>
          <w:spacing w:val="-2"/>
          <w:sz w:val="18"/>
        </w:rPr>
        <w:t xml:space="preserve"> </w:t>
      </w:r>
      <w:r>
        <w:rPr>
          <w:sz w:val="18"/>
        </w:rPr>
        <w:t>in</w:t>
      </w:r>
      <w:r>
        <w:rPr>
          <w:spacing w:val="-2"/>
          <w:sz w:val="18"/>
        </w:rPr>
        <w:t xml:space="preserve"> </w:t>
      </w:r>
      <w:r>
        <w:rPr>
          <w:sz w:val="18"/>
        </w:rPr>
        <w:t>the</w:t>
      </w:r>
      <w:r>
        <w:rPr>
          <w:spacing w:val="-3"/>
          <w:sz w:val="18"/>
        </w:rPr>
        <w:t xml:space="preserve"> </w:t>
      </w:r>
      <w:r>
        <w:rPr>
          <w:sz w:val="18"/>
        </w:rPr>
        <w:t>control</w:t>
      </w:r>
      <w:r>
        <w:rPr>
          <w:spacing w:val="-2"/>
          <w:sz w:val="18"/>
        </w:rPr>
        <w:t xml:space="preserve"> </w:t>
      </w:r>
      <w:r>
        <w:rPr>
          <w:sz w:val="18"/>
        </w:rPr>
        <w:t>activities</w:t>
      </w:r>
      <w:r>
        <w:rPr>
          <w:spacing w:val="-2"/>
          <w:sz w:val="18"/>
        </w:rPr>
        <w:t xml:space="preserve"> </w:t>
      </w:r>
      <w:r>
        <w:rPr>
          <w:sz w:val="18"/>
        </w:rPr>
        <w:t>component</w:t>
      </w:r>
      <w:r>
        <w:rPr>
          <w:spacing w:val="-2"/>
          <w:sz w:val="18"/>
        </w:rPr>
        <w:t xml:space="preserve"> </w:t>
      </w:r>
      <w:r>
        <w:rPr>
          <w:sz w:val="18"/>
        </w:rPr>
        <w:t>in</w:t>
      </w:r>
      <w:r>
        <w:rPr>
          <w:spacing w:val="-3"/>
          <w:sz w:val="18"/>
        </w:rPr>
        <w:t xml:space="preserve"> </w:t>
      </w:r>
      <w:r>
        <w:rPr>
          <w:sz w:val="18"/>
        </w:rPr>
        <w:t>AU-C</w:t>
      </w:r>
      <w:r>
        <w:rPr>
          <w:spacing w:val="-1"/>
          <w:sz w:val="18"/>
        </w:rPr>
        <w:t xml:space="preserve"> </w:t>
      </w:r>
      <w:r>
        <w:rPr>
          <w:spacing w:val="-4"/>
          <w:sz w:val="18"/>
        </w:rPr>
        <w:t>540,</w:t>
      </w:r>
    </w:p>
    <w:p w14:paraId="0DFDAE90" w14:textId="77777777" w:rsidR="00046465" w:rsidRDefault="008134EB">
      <w:pPr>
        <w:spacing w:before="9"/>
        <w:ind w:left="359"/>
        <w:rPr>
          <w:sz w:val="18"/>
        </w:rPr>
      </w:pPr>
      <w:r>
        <w:rPr>
          <w:i/>
          <w:sz w:val="18"/>
        </w:rPr>
        <w:t>Auditing</w:t>
      </w:r>
      <w:r>
        <w:rPr>
          <w:i/>
          <w:spacing w:val="-5"/>
          <w:sz w:val="18"/>
        </w:rPr>
        <w:t xml:space="preserve"> </w:t>
      </w:r>
      <w:r>
        <w:rPr>
          <w:i/>
          <w:sz w:val="18"/>
        </w:rPr>
        <w:t>Accounting</w:t>
      </w:r>
      <w:r>
        <w:rPr>
          <w:i/>
          <w:spacing w:val="-4"/>
          <w:sz w:val="18"/>
        </w:rPr>
        <w:t xml:space="preserve"> </w:t>
      </w:r>
      <w:r>
        <w:rPr>
          <w:i/>
          <w:sz w:val="18"/>
        </w:rPr>
        <w:t>Estimates</w:t>
      </w:r>
      <w:r>
        <w:rPr>
          <w:i/>
          <w:spacing w:val="-4"/>
          <w:sz w:val="18"/>
        </w:rPr>
        <w:t xml:space="preserve"> </w:t>
      </w:r>
      <w:r>
        <w:rPr>
          <w:i/>
          <w:sz w:val="18"/>
        </w:rPr>
        <w:t>and</w:t>
      </w:r>
      <w:r>
        <w:rPr>
          <w:i/>
          <w:spacing w:val="-4"/>
          <w:sz w:val="18"/>
        </w:rPr>
        <w:t xml:space="preserve"> </w:t>
      </w:r>
      <w:r>
        <w:rPr>
          <w:i/>
          <w:sz w:val="18"/>
        </w:rPr>
        <w:t>Related</w:t>
      </w:r>
      <w:r>
        <w:rPr>
          <w:i/>
          <w:spacing w:val="-4"/>
          <w:sz w:val="18"/>
        </w:rPr>
        <w:t xml:space="preserve"> </w:t>
      </w:r>
      <w:r>
        <w:rPr>
          <w:i/>
          <w:spacing w:val="-2"/>
          <w:sz w:val="18"/>
        </w:rPr>
        <w:t>Disclosures</w:t>
      </w:r>
      <w:r>
        <w:rPr>
          <w:spacing w:val="-2"/>
          <w:sz w:val="18"/>
        </w:rPr>
        <w:t>.</w:t>
      </w:r>
    </w:p>
    <w:p w14:paraId="0DFDAE91" w14:textId="77777777" w:rsidR="00046465" w:rsidRDefault="008134EB">
      <w:pPr>
        <w:spacing w:before="184" w:line="244" w:lineRule="auto"/>
        <w:ind w:left="359" w:right="939"/>
        <w:rPr>
          <w:sz w:val="18"/>
        </w:rPr>
      </w:pPr>
      <w:bookmarkStart w:id="75" w:name="_bookmark19"/>
      <w:bookmarkEnd w:id="75"/>
      <w:r>
        <w:rPr>
          <w:position w:val="7"/>
          <w:sz w:val="14"/>
        </w:rPr>
        <w:t>13</w:t>
      </w:r>
      <w:r>
        <w:rPr>
          <w:sz w:val="18"/>
        </w:rPr>
        <w:t>The</w:t>
      </w:r>
      <w:r>
        <w:rPr>
          <w:spacing w:val="-3"/>
          <w:sz w:val="18"/>
        </w:rPr>
        <w:t xml:space="preserve"> </w:t>
      </w:r>
      <w:r>
        <w:rPr>
          <w:sz w:val="18"/>
        </w:rPr>
        <w:t>OMB</w:t>
      </w:r>
      <w:r>
        <w:rPr>
          <w:spacing w:val="-2"/>
          <w:sz w:val="18"/>
        </w:rPr>
        <w:t xml:space="preserve"> </w:t>
      </w:r>
      <w:r>
        <w:rPr>
          <w:sz w:val="18"/>
        </w:rPr>
        <w:t>audit</w:t>
      </w:r>
      <w:r>
        <w:rPr>
          <w:spacing w:val="-1"/>
          <w:sz w:val="18"/>
        </w:rPr>
        <w:t xml:space="preserve"> </w:t>
      </w:r>
      <w:r>
        <w:rPr>
          <w:sz w:val="18"/>
        </w:rPr>
        <w:t>guidance</w:t>
      </w:r>
      <w:r>
        <w:rPr>
          <w:spacing w:val="-3"/>
          <w:sz w:val="18"/>
        </w:rPr>
        <w:t xml:space="preserve"> </w:t>
      </w:r>
      <w:r>
        <w:rPr>
          <w:sz w:val="18"/>
        </w:rPr>
        <w:t>in</w:t>
      </w:r>
      <w:r>
        <w:rPr>
          <w:spacing w:val="-3"/>
          <w:sz w:val="18"/>
        </w:rPr>
        <w:t xml:space="preserve"> </w:t>
      </w:r>
      <w:r>
        <w:rPr>
          <w:sz w:val="18"/>
        </w:rPr>
        <w:t>effect</w:t>
      </w:r>
      <w:r>
        <w:rPr>
          <w:spacing w:val="-2"/>
          <w:sz w:val="18"/>
        </w:rPr>
        <w:t xml:space="preserve"> </w:t>
      </w:r>
      <w:r>
        <w:rPr>
          <w:sz w:val="18"/>
        </w:rPr>
        <w:t>as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publication</w:t>
      </w:r>
      <w:r>
        <w:rPr>
          <w:spacing w:val="-3"/>
          <w:sz w:val="18"/>
        </w:rPr>
        <w:t xml:space="preserve"> </w:t>
      </w:r>
      <w:r>
        <w:rPr>
          <w:sz w:val="18"/>
        </w:rPr>
        <w:t>date</w:t>
      </w:r>
      <w:r>
        <w:rPr>
          <w:spacing w:val="-1"/>
          <w:sz w:val="18"/>
        </w:rPr>
        <w:t xml:space="preserve"> </w:t>
      </w:r>
      <w:r>
        <w:rPr>
          <w:sz w:val="18"/>
        </w:rPr>
        <w:t>of</w:t>
      </w:r>
      <w:r>
        <w:rPr>
          <w:spacing w:val="-2"/>
          <w:sz w:val="18"/>
        </w:rPr>
        <w:t xml:space="preserve"> </w:t>
      </w:r>
      <w:r>
        <w:rPr>
          <w:sz w:val="18"/>
        </w:rPr>
        <w:t>this</w:t>
      </w:r>
      <w:r>
        <w:rPr>
          <w:spacing w:val="-2"/>
          <w:sz w:val="18"/>
        </w:rPr>
        <w:t xml:space="preserve"> </w:t>
      </w:r>
      <w:r>
        <w:rPr>
          <w:sz w:val="18"/>
        </w:rPr>
        <w:t>version</w:t>
      </w:r>
      <w:r>
        <w:rPr>
          <w:spacing w:val="-1"/>
          <w:sz w:val="18"/>
        </w:rPr>
        <w:t xml:space="preserve"> </w:t>
      </w:r>
      <w:r>
        <w:rPr>
          <w:sz w:val="18"/>
        </w:rPr>
        <w:t>of</w:t>
      </w:r>
      <w:r>
        <w:rPr>
          <w:spacing w:val="-2"/>
          <w:sz w:val="18"/>
        </w:rPr>
        <w:t xml:space="preserve"> </w:t>
      </w:r>
      <w:r>
        <w:rPr>
          <w:sz w:val="18"/>
        </w:rPr>
        <w:t>the</w:t>
      </w:r>
      <w:r>
        <w:rPr>
          <w:spacing w:val="-3"/>
          <w:sz w:val="18"/>
        </w:rPr>
        <w:t xml:space="preserve"> </w:t>
      </w:r>
      <w:r>
        <w:rPr>
          <w:sz w:val="18"/>
        </w:rPr>
        <w:t>FAM</w:t>
      </w:r>
      <w:r>
        <w:rPr>
          <w:spacing w:val="-2"/>
          <w:sz w:val="18"/>
        </w:rPr>
        <w:t xml:space="preserve"> </w:t>
      </w:r>
      <w:r>
        <w:rPr>
          <w:sz w:val="18"/>
        </w:rPr>
        <w:t>is</w:t>
      </w:r>
      <w:r>
        <w:rPr>
          <w:spacing w:val="-3"/>
          <w:sz w:val="18"/>
        </w:rPr>
        <w:t xml:space="preserve"> </w:t>
      </w:r>
      <w:r>
        <w:rPr>
          <w:sz w:val="18"/>
        </w:rPr>
        <w:t>OMB</w:t>
      </w:r>
      <w:r>
        <w:rPr>
          <w:spacing w:val="-2"/>
          <w:sz w:val="18"/>
        </w:rPr>
        <w:t xml:space="preserve"> </w:t>
      </w:r>
      <w:r>
        <w:rPr>
          <w:sz w:val="18"/>
        </w:rPr>
        <w:t>Bulletin</w:t>
      </w:r>
      <w:r>
        <w:rPr>
          <w:spacing w:val="-1"/>
          <w:sz w:val="18"/>
        </w:rPr>
        <w:t xml:space="preserve"> </w:t>
      </w:r>
      <w:r>
        <w:rPr>
          <w:sz w:val="18"/>
        </w:rPr>
        <w:t>No.</w:t>
      </w:r>
      <w:r>
        <w:rPr>
          <w:spacing w:val="-2"/>
          <w:sz w:val="18"/>
        </w:rPr>
        <w:t xml:space="preserve"> </w:t>
      </w:r>
      <w:r>
        <w:rPr>
          <w:sz w:val="18"/>
        </w:rPr>
        <w:t xml:space="preserve">24-02, </w:t>
      </w:r>
      <w:r>
        <w:rPr>
          <w:i/>
          <w:sz w:val="18"/>
        </w:rPr>
        <w:t>Audit Requirements for Federal Financial Statements</w:t>
      </w:r>
      <w:r>
        <w:rPr>
          <w:sz w:val="18"/>
        </w:rPr>
        <w:t xml:space="preserve">, issued on July 29, 2024. This bulletin can be found at </w:t>
      </w:r>
      <w:hyperlink r:id="rId54">
        <w:r>
          <w:rPr>
            <w:color w:val="0000FF"/>
            <w:sz w:val="18"/>
          </w:rPr>
          <w:t>https://www.whitehouse.gov/wp-content/uploads/2024/07/OMB-Bulletin-No.-24-02.pdf</w:t>
        </w:r>
      </w:hyperlink>
      <w:r>
        <w:rPr>
          <w:color w:val="0000FF"/>
          <w:sz w:val="18"/>
        </w:rPr>
        <w:t xml:space="preserve"> </w:t>
      </w:r>
      <w:r>
        <w:rPr>
          <w:sz w:val="18"/>
        </w:rPr>
        <w:t>(accessed May 29, 2026).</w:t>
      </w:r>
    </w:p>
    <w:p w14:paraId="0DFDAE92" w14:textId="77777777" w:rsidR="00046465" w:rsidRDefault="008134EB">
      <w:pPr>
        <w:ind w:left="359" w:right="749"/>
        <w:rPr>
          <w:sz w:val="18"/>
        </w:rPr>
      </w:pPr>
      <w:r>
        <w:rPr>
          <w:sz w:val="18"/>
        </w:rPr>
        <w:t>OMB</w:t>
      </w:r>
      <w:r>
        <w:rPr>
          <w:spacing w:val="-2"/>
          <w:sz w:val="18"/>
        </w:rPr>
        <w:t xml:space="preserve"> </w:t>
      </w:r>
      <w:r>
        <w:rPr>
          <w:sz w:val="18"/>
        </w:rPr>
        <w:t>audit</w:t>
      </w:r>
      <w:r>
        <w:rPr>
          <w:spacing w:val="-2"/>
          <w:sz w:val="18"/>
        </w:rPr>
        <w:t xml:space="preserve"> </w:t>
      </w:r>
      <w:r>
        <w:rPr>
          <w:sz w:val="18"/>
        </w:rPr>
        <w:t>guidance</w:t>
      </w:r>
      <w:r>
        <w:rPr>
          <w:spacing w:val="-3"/>
          <w:sz w:val="18"/>
        </w:rPr>
        <w:t xml:space="preserve"> </w:t>
      </w:r>
      <w:r>
        <w:rPr>
          <w:sz w:val="18"/>
        </w:rPr>
        <w:t>is</w:t>
      </w:r>
      <w:r>
        <w:rPr>
          <w:spacing w:val="-2"/>
          <w:sz w:val="18"/>
        </w:rPr>
        <w:t xml:space="preserve"> </w:t>
      </w:r>
      <w:r>
        <w:rPr>
          <w:sz w:val="18"/>
        </w:rPr>
        <w:t>updated</w:t>
      </w:r>
      <w:r>
        <w:rPr>
          <w:spacing w:val="-3"/>
          <w:sz w:val="18"/>
        </w:rPr>
        <w:t xml:space="preserve"> </w:t>
      </w:r>
      <w:r>
        <w:rPr>
          <w:sz w:val="18"/>
        </w:rPr>
        <w:t>periodically.</w:t>
      </w:r>
      <w:r>
        <w:rPr>
          <w:spacing w:val="-1"/>
          <w:sz w:val="18"/>
        </w:rPr>
        <w:t xml:space="preserve"> </w:t>
      </w:r>
      <w:r>
        <w:rPr>
          <w:sz w:val="18"/>
        </w:rPr>
        <w:t>Users</w:t>
      </w:r>
      <w:r>
        <w:rPr>
          <w:spacing w:val="-2"/>
          <w:sz w:val="18"/>
        </w:rPr>
        <w:t xml:space="preserve"> </w:t>
      </w:r>
      <w:r>
        <w:rPr>
          <w:sz w:val="18"/>
        </w:rPr>
        <w:t>should</w:t>
      </w:r>
      <w:r>
        <w:rPr>
          <w:spacing w:val="-3"/>
          <w:sz w:val="18"/>
        </w:rPr>
        <w:t xml:space="preserve"> </w:t>
      </w:r>
      <w:r>
        <w:rPr>
          <w:sz w:val="18"/>
        </w:rPr>
        <w:t>refer</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OMB</w:t>
      </w:r>
      <w:r>
        <w:rPr>
          <w:spacing w:val="-2"/>
          <w:sz w:val="18"/>
        </w:rPr>
        <w:t xml:space="preserve"> </w:t>
      </w:r>
      <w:r>
        <w:rPr>
          <w:sz w:val="18"/>
        </w:rPr>
        <w:t>audit</w:t>
      </w:r>
      <w:r>
        <w:rPr>
          <w:spacing w:val="-2"/>
          <w:sz w:val="18"/>
        </w:rPr>
        <w:t xml:space="preserve"> </w:t>
      </w:r>
      <w:r>
        <w:rPr>
          <w:sz w:val="18"/>
        </w:rPr>
        <w:t>guidance</w:t>
      </w:r>
      <w:r>
        <w:rPr>
          <w:spacing w:val="-3"/>
          <w:sz w:val="18"/>
        </w:rPr>
        <w:t xml:space="preserve"> </w:t>
      </w:r>
      <w:r>
        <w:rPr>
          <w:sz w:val="18"/>
        </w:rPr>
        <w:t>applicable</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current financial audit.</w:t>
      </w:r>
    </w:p>
    <w:p w14:paraId="0DFDAE93" w14:textId="77777777" w:rsidR="00046465" w:rsidRDefault="008134EB">
      <w:pPr>
        <w:spacing w:before="121" w:line="242" w:lineRule="auto"/>
        <w:ind w:left="359" w:right="726"/>
        <w:rPr>
          <w:sz w:val="18"/>
        </w:rPr>
      </w:pPr>
      <w:bookmarkStart w:id="76" w:name="_bookmark20"/>
      <w:bookmarkEnd w:id="76"/>
      <w:r>
        <w:rPr>
          <w:position w:val="7"/>
          <w:sz w:val="14"/>
        </w:rPr>
        <w:t>14</w:t>
      </w:r>
      <w:r>
        <w:rPr>
          <w:sz w:val="18"/>
        </w:rPr>
        <w:t>Type 1 and type 2 reports focus on controls likely to be relevant to entities’ internal control over financial reporting, issued</w:t>
      </w:r>
      <w:r>
        <w:rPr>
          <w:spacing w:val="-3"/>
          <w:sz w:val="18"/>
        </w:rPr>
        <w:t xml:space="preserve"> </w:t>
      </w:r>
      <w:r>
        <w:rPr>
          <w:sz w:val="18"/>
        </w:rPr>
        <w:t>under</w:t>
      </w:r>
      <w:r>
        <w:rPr>
          <w:spacing w:val="-2"/>
          <w:sz w:val="18"/>
        </w:rPr>
        <w:t xml:space="preserve"> </w:t>
      </w:r>
      <w:r>
        <w:rPr>
          <w:sz w:val="18"/>
        </w:rPr>
        <w:t>AT-C</w:t>
      </w:r>
      <w:r>
        <w:rPr>
          <w:spacing w:val="-2"/>
          <w:sz w:val="18"/>
        </w:rPr>
        <w:t xml:space="preserve"> </w:t>
      </w:r>
      <w:r>
        <w:rPr>
          <w:sz w:val="18"/>
        </w:rPr>
        <w:t>320,</w:t>
      </w:r>
      <w:r>
        <w:rPr>
          <w:spacing w:val="-2"/>
          <w:sz w:val="18"/>
        </w:rPr>
        <w:t xml:space="preserve"> </w:t>
      </w:r>
      <w:r>
        <w:rPr>
          <w:i/>
          <w:sz w:val="18"/>
        </w:rPr>
        <w:t>Reporting</w:t>
      </w:r>
      <w:r>
        <w:rPr>
          <w:i/>
          <w:spacing w:val="-3"/>
          <w:sz w:val="18"/>
        </w:rPr>
        <w:t xml:space="preserve"> </w:t>
      </w:r>
      <w:r>
        <w:rPr>
          <w:i/>
          <w:sz w:val="18"/>
        </w:rPr>
        <w:t>on</w:t>
      </w:r>
      <w:r>
        <w:rPr>
          <w:i/>
          <w:spacing w:val="-3"/>
          <w:sz w:val="18"/>
        </w:rPr>
        <w:t xml:space="preserve"> </w:t>
      </w:r>
      <w:r>
        <w:rPr>
          <w:i/>
          <w:sz w:val="18"/>
        </w:rPr>
        <w:t>an</w:t>
      </w:r>
      <w:r>
        <w:rPr>
          <w:i/>
          <w:spacing w:val="-3"/>
          <w:sz w:val="18"/>
        </w:rPr>
        <w:t xml:space="preserve"> </w:t>
      </w:r>
      <w:r>
        <w:rPr>
          <w:i/>
          <w:sz w:val="18"/>
        </w:rPr>
        <w:t>Examination</w:t>
      </w:r>
      <w:r>
        <w:rPr>
          <w:i/>
          <w:spacing w:val="-3"/>
          <w:sz w:val="18"/>
        </w:rPr>
        <w:t xml:space="preserve"> </w:t>
      </w:r>
      <w:r>
        <w:rPr>
          <w:i/>
          <w:sz w:val="18"/>
        </w:rPr>
        <w:t>of</w:t>
      </w:r>
      <w:r>
        <w:rPr>
          <w:i/>
          <w:spacing w:val="-2"/>
          <w:sz w:val="18"/>
        </w:rPr>
        <w:t xml:space="preserve"> </w:t>
      </w:r>
      <w:r>
        <w:rPr>
          <w:i/>
          <w:sz w:val="18"/>
        </w:rPr>
        <w:t>Controls</w:t>
      </w:r>
      <w:r>
        <w:rPr>
          <w:i/>
          <w:spacing w:val="-2"/>
          <w:sz w:val="18"/>
        </w:rPr>
        <w:t xml:space="preserve"> </w:t>
      </w:r>
      <w:r>
        <w:rPr>
          <w:i/>
          <w:sz w:val="18"/>
        </w:rPr>
        <w:t>at</w:t>
      </w:r>
      <w:r>
        <w:rPr>
          <w:i/>
          <w:spacing w:val="-2"/>
          <w:sz w:val="18"/>
        </w:rPr>
        <w:t xml:space="preserve"> </w:t>
      </w:r>
      <w:r>
        <w:rPr>
          <w:i/>
          <w:sz w:val="18"/>
        </w:rPr>
        <w:t>a</w:t>
      </w:r>
      <w:r>
        <w:rPr>
          <w:i/>
          <w:spacing w:val="-3"/>
          <w:sz w:val="18"/>
        </w:rPr>
        <w:t xml:space="preserve"> </w:t>
      </w:r>
      <w:r>
        <w:rPr>
          <w:i/>
          <w:sz w:val="18"/>
        </w:rPr>
        <w:t>Service</w:t>
      </w:r>
      <w:r>
        <w:rPr>
          <w:i/>
          <w:spacing w:val="-3"/>
          <w:sz w:val="18"/>
        </w:rPr>
        <w:t xml:space="preserve"> </w:t>
      </w:r>
      <w:r>
        <w:rPr>
          <w:i/>
          <w:sz w:val="18"/>
        </w:rPr>
        <w:t>Organization</w:t>
      </w:r>
      <w:r>
        <w:rPr>
          <w:i/>
          <w:spacing w:val="-3"/>
          <w:sz w:val="18"/>
        </w:rPr>
        <w:t xml:space="preserve"> </w:t>
      </w:r>
      <w:r>
        <w:rPr>
          <w:i/>
          <w:sz w:val="18"/>
        </w:rPr>
        <w:t>Relevant</w:t>
      </w:r>
      <w:r>
        <w:rPr>
          <w:i/>
          <w:spacing w:val="-2"/>
          <w:sz w:val="18"/>
        </w:rPr>
        <w:t xml:space="preserve"> </w:t>
      </w:r>
      <w:r>
        <w:rPr>
          <w:i/>
          <w:sz w:val="18"/>
        </w:rPr>
        <w:t>to</w:t>
      </w:r>
      <w:r>
        <w:rPr>
          <w:i/>
          <w:spacing w:val="-1"/>
          <w:sz w:val="18"/>
        </w:rPr>
        <w:t xml:space="preserve"> </w:t>
      </w:r>
      <w:r>
        <w:rPr>
          <w:i/>
          <w:sz w:val="18"/>
        </w:rPr>
        <w:t>User</w:t>
      </w:r>
      <w:r>
        <w:rPr>
          <w:i/>
          <w:spacing w:val="-2"/>
          <w:sz w:val="18"/>
        </w:rPr>
        <w:t xml:space="preserve"> </w:t>
      </w:r>
      <w:r>
        <w:rPr>
          <w:i/>
          <w:sz w:val="18"/>
        </w:rPr>
        <w:t xml:space="preserve">Entities’ Internal Control Over Financial Reporting. </w:t>
      </w:r>
      <w:r>
        <w:rPr>
          <w:sz w:val="18"/>
        </w:rPr>
        <w:t>There are other types of reports on service organizations that may be available, including reports on controls at a service organization other than those likely to be relevant to entities’ internal control over financial reporting (for example, controls that are relevant to entities’ compliance with specified requirements of laws, regulations, contracts, or grant agreements).</w:t>
      </w:r>
    </w:p>
    <w:p w14:paraId="0DFDAE94" w14:textId="77777777" w:rsidR="00046465" w:rsidRDefault="00046465">
      <w:pPr>
        <w:spacing w:line="242" w:lineRule="auto"/>
        <w:rPr>
          <w:sz w:val="18"/>
        </w:rPr>
        <w:sectPr w:rsidR="00046465">
          <w:headerReference w:type="default" r:id="rId55"/>
          <w:footerReference w:type="default" r:id="rId56"/>
          <w:pgSz w:w="12240" w:h="15840"/>
          <w:pgMar w:top="1340" w:right="720" w:bottom="940" w:left="1080" w:header="721" w:footer="757" w:gutter="0"/>
          <w:pgNumType w:start="2"/>
          <w:cols w:space="720"/>
        </w:sectPr>
      </w:pPr>
    </w:p>
    <w:p w14:paraId="0DFDAE95" w14:textId="77777777" w:rsidR="00046465" w:rsidRDefault="008134EB">
      <w:pPr>
        <w:pStyle w:val="BodyText"/>
        <w:spacing w:before="121"/>
        <w:ind w:left="1800" w:right="785"/>
      </w:pPr>
      <w:r>
        <w:lastRenderedPageBreak/>
        <w:t>Typically, the auditor will obtain a type 2 report that provides audit evidence about</w:t>
      </w:r>
      <w:r>
        <w:rPr>
          <w:spacing w:val="-4"/>
        </w:rPr>
        <w:t xml:space="preserve"> </w:t>
      </w:r>
      <w:r>
        <w:t>whether</w:t>
      </w:r>
      <w:r>
        <w:rPr>
          <w:spacing w:val="-4"/>
        </w:rPr>
        <w:t xml:space="preserve"> </w:t>
      </w:r>
      <w:r>
        <w:t>controls</w:t>
      </w:r>
      <w:r>
        <w:rPr>
          <w:spacing w:val="-4"/>
        </w:rPr>
        <w:t xml:space="preserve"> </w:t>
      </w:r>
      <w:r>
        <w:t>at</w:t>
      </w:r>
      <w:r>
        <w:rPr>
          <w:spacing w:val="-4"/>
        </w:rPr>
        <w:t xml:space="preserve"> </w:t>
      </w:r>
      <w:r>
        <w:t>the</w:t>
      </w:r>
      <w:r>
        <w:rPr>
          <w:spacing w:val="-4"/>
        </w:rPr>
        <w:t xml:space="preserve"> </w:t>
      </w:r>
      <w:r>
        <w:t>service</w:t>
      </w:r>
      <w:r>
        <w:rPr>
          <w:spacing w:val="-5"/>
        </w:rPr>
        <w:t xml:space="preserve"> </w:t>
      </w:r>
      <w:r>
        <w:t>organization</w:t>
      </w:r>
      <w:r>
        <w:rPr>
          <w:spacing w:val="-4"/>
        </w:rPr>
        <w:t xml:space="preserve"> </w:t>
      </w:r>
      <w:r>
        <w:t>are</w:t>
      </w:r>
      <w:r>
        <w:rPr>
          <w:spacing w:val="-4"/>
        </w:rPr>
        <w:t xml:space="preserve"> </w:t>
      </w:r>
      <w:r>
        <w:t>operating</w:t>
      </w:r>
      <w:r>
        <w:rPr>
          <w:spacing w:val="-4"/>
        </w:rPr>
        <w:t xml:space="preserve"> </w:t>
      </w:r>
      <w:r>
        <w:t>effectively.</w:t>
      </w:r>
      <w:r>
        <w:rPr>
          <w:spacing w:val="-4"/>
        </w:rPr>
        <w:t xml:space="preserve"> </w:t>
      </w:r>
      <w:r>
        <w:t>FAM 640</w:t>
      </w:r>
      <w:r>
        <w:rPr>
          <w:spacing w:val="-2"/>
        </w:rPr>
        <w:t xml:space="preserve"> </w:t>
      </w:r>
      <w:r>
        <w:t>A</w:t>
      </w:r>
      <w:r>
        <w:rPr>
          <w:spacing w:val="-2"/>
        </w:rPr>
        <w:t xml:space="preserve"> </w:t>
      </w:r>
      <w:r>
        <w:t>provides</w:t>
      </w:r>
      <w:r>
        <w:rPr>
          <w:spacing w:val="-2"/>
        </w:rPr>
        <w:t xml:space="preserve"> </w:t>
      </w:r>
      <w:r>
        <w:t>an</w:t>
      </w:r>
      <w:r>
        <w:rPr>
          <w:spacing w:val="-2"/>
        </w:rPr>
        <w:t xml:space="preserve"> </w:t>
      </w:r>
      <w:r>
        <w:t>assessment</w:t>
      </w:r>
      <w:r>
        <w:rPr>
          <w:spacing w:val="-2"/>
        </w:rPr>
        <w:t xml:space="preserve"> </w:t>
      </w:r>
      <w:r>
        <w:t>tool</w:t>
      </w:r>
      <w:r>
        <w:rPr>
          <w:spacing w:val="-3"/>
        </w:rPr>
        <w:t xml:space="preserve"> </w:t>
      </w:r>
      <w:r>
        <w:t>designed</w:t>
      </w:r>
      <w:r>
        <w:rPr>
          <w:spacing w:val="-2"/>
        </w:rPr>
        <w:t xml:space="preserve"> </w:t>
      </w:r>
      <w:r>
        <w:t>to</w:t>
      </w:r>
      <w:r>
        <w:rPr>
          <w:spacing w:val="-3"/>
        </w:rPr>
        <w:t xml:space="preserve"> </w:t>
      </w:r>
      <w:r>
        <w:t>assist</w:t>
      </w:r>
      <w:r>
        <w:rPr>
          <w:spacing w:val="-3"/>
        </w:rPr>
        <w:t xml:space="preserve"> </w:t>
      </w:r>
      <w:r>
        <w:t>the</w:t>
      </w:r>
      <w:r>
        <w:rPr>
          <w:spacing w:val="-2"/>
        </w:rPr>
        <w:t xml:space="preserve"> </w:t>
      </w:r>
      <w:r>
        <w:t>auditor</w:t>
      </w:r>
      <w:r>
        <w:rPr>
          <w:spacing w:val="-2"/>
        </w:rPr>
        <w:t xml:space="preserve"> </w:t>
      </w:r>
      <w:r>
        <w:t>in</w:t>
      </w:r>
      <w:r>
        <w:rPr>
          <w:spacing w:val="-2"/>
        </w:rPr>
        <w:t xml:space="preserve"> </w:t>
      </w:r>
      <w:r>
        <w:t>evaluating</w:t>
      </w:r>
      <w:r>
        <w:rPr>
          <w:spacing w:val="-2"/>
        </w:rPr>
        <w:t xml:space="preserve"> </w:t>
      </w:r>
      <w:r>
        <w:t>a type</w:t>
      </w:r>
      <w:r>
        <w:rPr>
          <w:spacing w:val="-1"/>
        </w:rPr>
        <w:t xml:space="preserve"> </w:t>
      </w:r>
      <w:r>
        <w:t>2</w:t>
      </w:r>
      <w:r>
        <w:rPr>
          <w:spacing w:val="-1"/>
        </w:rPr>
        <w:t xml:space="preserve"> </w:t>
      </w:r>
      <w:r>
        <w:t>report</w:t>
      </w:r>
      <w:r>
        <w:rPr>
          <w:spacing w:val="-1"/>
        </w:rPr>
        <w:t xml:space="preserve"> </w:t>
      </w:r>
      <w:r>
        <w:t>that</w:t>
      </w:r>
      <w:r>
        <w:rPr>
          <w:spacing w:val="-1"/>
        </w:rPr>
        <w:t xml:space="preserve"> </w:t>
      </w:r>
      <w:r>
        <w:t>can</w:t>
      </w:r>
      <w:r>
        <w:rPr>
          <w:spacing w:val="-1"/>
        </w:rPr>
        <w:t xml:space="preserve"> </w:t>
      </w:r>
      <w:r>
        <w:t>provide</w:t>
      </w:r>
      <w:r>
        <w:rPr>
          <w:spacing w:val="-1"/>
        </w:rPr>
        <w:t xml:space="preserve"> </w:t>
      </w:r>
      <w:r>
        <w:t>audit</w:t>
      </w:r>
      <w:r>
        <w:rPr>
          <w:spacing w:val="-2"/>
        </w:rPr>
        <w:t xml:space="preserve"> </w:t>
      </w:r>
      <w:r>
        <w:t>evidence</w:t>
      </w:r>
      <w:r>
        <w:rPr>
          <w:spacing w:val="-1"/>
        </w:rPr>
        <w:t xml:space="preserve"> </w:t>
      </w:r>
      <w:r>
        <w:t>about</w:t>
      </w:r>
      <w:r>
        <w:rPr>
          <w:spacing w:val="-1"/>
        </w:rPr>
        <w:t xml:space="preserve"> </w:t>
      </w:r>
      <w:r>
        <w:t>whether</w:t>
      </w:r>
      <w:r>
        <w:rPr>
          <w:spacing w:val="-1"/>
        </w:rPr>
        <w:t xml:space="preserve"> </w:t>
      </w:r>
      <w:r>
        <w:t>controls</w:t>
      </w:r>
      <w:r>
        <w:rPr>
          <w:spacing w:val="-1"/>
        </w:rPr>
        <w:t xml:space="preserve"> </w:t>
      </w:r>
      <w:r>
        <w:t>at</w:t>
      </w:r>
      <w:r>
        <w:rPr>
          <w:spacing w:val="-1"/>
        </w:rPr>
        <w:t xml:space="preserve"> </w:t>
      </w:r>
      <w:r>
        <w:t>a</w:t>
      </w:r>
      <w:r>
        <w:rPr>
          <w:spacing w:val="-2"/>
        </w:rPr>
        <w:t xml:space="preserve"> </w:t>
      </w:r>
      <w:r>
        <w:t>service organization are operating effectively and support the auditor’s risk assessment and report on internal control over financial reporting.</w:t>
      </w:r>
    </w:p>
    <w:p w14:paraId="0DFDAE96" w14:textId="77777777" w:rsidR="00046465" w:rsidRDefault="008134EB">
      <w:pPr>
        <w:pStyle w:val="ListParagraph"/>
        <w:numPr>
          <w:ilvl w:val="0"/>
          <w:numId w:val="16"/>
        </w:numPr>
        <w:tabs>
          <w:tab w:val="left" w:pos="1800"/>
        </w:tabs>
        <w:ind w:right="725"/>
      </w:pPr>
      <w:r>
        <w:t>In</w:t>
      </w:r>
      <w:r>
        <w:rPr>
          <w:spacing w:val="-4"/>
        </w:rPr>
        <w:t xml:space="preserve"> </w:t>
      </w:r>
      <w:r>
        <w:t>determining</w:t>
      </w:r>
      <w:r>
        <w:rPr>
          <w:spacing w:val="-4"/>
        </w:rPr>
        <w:t xml:space="preserve"> </w:t>
      </w:r>
      <w:r>
        <w:t>the</w:t>
      </w:r>
      <w:r>
        <w:rPr>
          <w:spacing w:val="-4"/>
        </w:rPr>
        <w:t xml:space="preserve"> </w:t>
      </w:r>
      <w:r>
        <w:t>sufficiency</w:t>
      </w:r>
      <w:r>
        <w:rPr>
          <w:spacing w:val="-4"/>
        </w:rPr>
        <w:t xml:space="preserve"> </w:t>
      </w:r>
      <w:r>
        <w:t>and</w:t>
      </w:r>
      <w:r>
        <w:rPr>
          <w:spacing w:val="-4"/>
        </w:rPr>
        <w:t xml:space="preserve"> </w:t>
      </w:r>
      <w:r>
        <w:t>appropriateness</w:t>
      </w:r>
      <w:r>
        <w:rPr>
          <w:spacing w:val="-4"/>
        </w:rPr>
        <w:t xml:space="preserve"> </w:t>
      </w:r>
      <w:r>
        <w:t>of</w:t>
      </w:r>
      <w:r>
        <w:rPr>
          <w:spacing w:val="-4"/>
        </w:rPr>
        <w:t xml:space="preserve"> </w:t>
      </w:r>
      <w:r>
        <w:t>the</w:t>
      </w:r>
      <w:r>
        <w:rPr>
          <w:spacing w:val="-4"/>
        </w:rPr>
        <w:t xml:space="preserve"> </w:t>
      </w:r>
      <w:r>
        <w:t>audit</w:t>
      </w:r>
      <w:r>
        <w:rPr>
          <w:spacing w:val="-4"/>
        </w:rPr>
        <w:t xml:space="preserve"> </w:t>
      </w:r>
      <w:r>
        <w:t>evidence</w:t>
      </w:r>
      <w:r>
        <w:rPr>
          <w:spacing w:val="-4"/>
        </w:rPr>
        <w:t xml:space="preserve"> </w:t>
      </w:r>
      <w:r>
        <w:t>provided by a type 1 or type 2 report, the auditor should be satisfied regarding the</w:t>
      </w:r>
      <w:r>
        <w:rPr>
          <w:spacing w:val="40"/>
        </w:rPr>
        <w:t xml:space="preserve"> </w:t>
      </w:r>
      <w:r>
        <w:t>following (AU-C 402.13):</w:t>
      </w:r>
    </w:p>
    <w:p w14:paraId="0DFDAE97" w14:textId="77777777" w:rsidR="00046465" w:rsidRDefault="008134EB">
      <w:pPr>
        <w:pStyle w:val="ListParagraph"/>
        <w:numPr>
          <w:ilvl w:val="1"/>
          <w:numId w:val="16"/>
        </w:numPr>
        <w:tabs>
          <w:tab w:val="left" w:pos="2160"/>
        </w:tabs>
        <w:ind w:left="2160" w:right="1077"/>
      </w:pPr>
      <w:r>
        <w:t>the</w:t>
      </w:r>
      <w:r>
        <w:rPr>
          <w:spacing w:val="-5"/>
        </w:rPr>
        <w:t xml:space="preserve"> </w:t>
      </w:r>
      <w:r>
        <w:t>service</w:t>
      </w:r>
      <w:r>
        <w:rPr>
          <w:spacing w:val="-6"/>
        </w:rPr>
        <w:t xml:space="preserve"> </w:t>
      </w:r>
      <w:r>
        <w:t>auditor’s</w:t>
      </w:r>
      <w:r>
        <w:rPr>
          <w:spacing w:val="-5"/>
        </w:rPr>
        <w:t xml:space="preserve"> </w:t>
      </w:r>
      <w:r>
        <w:t>professional</w:t>
      </w:r>
      <w:r>
        <w:rPr>
          <w:spacing w:val="-6"/>
        </w:rPr>
        <w:t xml:space="preserve"> </w:t>
      </w:r>
      <w:r>
        <w:t>competence</w:t>
      </w:r>
      <w:r>
        <w:rPr>
          <w:spacing w:val="-5"/>
        </w:rPr>
        <w:t xml:space="preserve"> </w:t>
      </w:r>
      <w:r>
        <w:t>and</w:t>
      </w:r>
      <w:r>
        <w:rPr>
          <w:spacing w:val="-5"/>
        </w:rPr>
        <w:t xml:space="preserve"> </w:t>
      </w:r>
      <w:r>
        <w:t>independence</w:t>
      </w:r>
      <w:r>
        <w:rPr>
          <w:spacing w:val="-5"/>
        </w:rPr>
        <w:t xml:space="preserve"> </w:t>
      </w:r>
      <w:r>
        <w:t>from</w:t>
      </w:r>
      <w:r>
        <w:rPr>
          <w:spacing w:val="-6"/>
        </w:rPr>
        <w:t xml:space="preserve"> </w:t>
      </w:r>
      <w:r>
        <w:t>the service organization (also see FAM 615) and</w:t>
      </w:r>
    </w:p>
    <w:p w14:paraId="0DFDAE98" w14:textId="77777777" w:rsidR="00046465" w:rsidRDefault="008134EB">
      <w:pPr>
        <w:pStyle w:val="ListParagraph"/>
        <w:numPr>
          <w:ilvl w:val="1"/>
          <w:numId w:val="16"/>
        </w:numPr>
        <w:tabs>
          <w:tab w:val="left" w:pos="2158"/>
          <w:tab w:val="left" w:pos="2160"/>
        </w:tabs>
        <w:ind w:left="2160" w:right="1038" w:hanging="361"/>
      </w:pPr>
      <w:r>
        <w:t>the</w:t>
      </w:r>
      <w:r>
        <w:rPr>
          <w:spacing w:val="-3"/>
        </w:rPr>
        <w:t xml:space="preserve"> </w:t>
      </w:r>
      <w:r>
        <w:t>adequacy</w:t>
      </w:r>
      <w:r>
        <w:rPr>
          <w:spacing w:val="-3"/>
        </w:rPr>
        <w:t xml:space="preserve"> </w:t>
      </w:r>
      <w:r>
        <w:t>of</w:t>
      </w:r>
      <w:r>
        <w:rPr>
          <w:spacing w:val="-3"/>
        </w:rPr>
        <w:t xml:space="preserve"> </w:t>
      </w:r>
      <w:r>
        <w:t>the</w:t>
      </w:r>
      <w:r>
        <w:rPr>
          <w:spacing w:val="-3"/>
        </w:rPr>
        <w:t xml:space="preserve"> </w:t>
      </w:r>
      <w:r>
        <w:t>standards</w:t>
      </w:r>
      <w:r>
        <w:rPr>
          <w:spacing w:val="-3"/>
        </w:rPr>
        <w:t xml:space="preserve"> </w:t>
      </w:r>
      <w:r>
        <w:t>under</w:t>
      </w:r>
      <w:r>
        <w:rPr>
          <w:spacing w:val="-4"/>
        </w:rPr>
        <w:t xml:space="preserve"> </w:t>
      </w:r>
      <w:r>
        <w:t>which</w:t>
      </w:r>
      <w:r>
        <w:rPr>
          <w:spacing w:val="-3"/>
        </w:rPr>
        <w:t xml:space="preserve"> </w:t>
      </w:r>
      <w:r>
        <w:t>the</w:t>
      </w:r>
      <w:r>
        <w:rPr>
          <w:spacing w:val="-3"/>
        </w:rPr>
        <w:t xml:space="preserve"> </w:t>
      </w:r>
      <w:r>
        <w:t>type</w:t>
      </w:r>
      <w:r>
        <w:rPr>
          <w:spacing w:val="-3"/>
        </w:rPr>
        <w:t xml:space="preserve"> </w:t>
      </w:r>
      <w:r>
        <w:t>1</w:t>
      </w:r>
      <w:r>
        <w:rPr>
          <w:spacing w:val="-3"/>
        </w:rPr>
        <w:t xml:space="preserve"> </w:t>
      </w:r>
      <w:r>
        <w:t>or</w:t>
      </w:r>
      <w:r>
        <w:rPr>
          <w:spacing w:val="-2"/>
        </w:rPr>
        <w:t xml:space="preserve"> </w:t>
      </w:r>
      <w:r>
        <w:t>type</w:t>
      </w:r>
      <w:r>
        <w:rPr>
          <w:spacing w:val="-4"/>
        </w:rPr>
        <w:t xml:space="preserve"> </w:t>
      </w:r>
      <w:r>
        <w:t>2</w:t>
      </w:r>
      <w:r>
        <w:rPr>
          <w:spacing w:val="-3"/>
        </w:rPr>
        <w:t xml:space="preserve"> </w:t>
      </w:r>
      <w:r>
        <w:t>report</w:t>
      </w:r>
      <w:r>
        <w:rPr>
          <w:spacing w:val="-3"/>
        </w:rPr>
        <w:t xml:space="preserve"> </w:t>
      </w:r>
      <w:r>
        <w:t xml:space="preserve">was </w:t>
      </w:r>
      <w:r>
        <w:rPr>
          <w:spacing w:val="-2"/>
        </w:rPr>
        <w:t>issued.</w:t>
      </w:r>
    </w:p>
    <w:p w14:paraId="0DFDAE99" w14:textId="77777777" w:rsidR="00046465" w:rsidRDefault="008134EB">
      <w:pPr>
        <w:pStyle w:val="ListParagraph"/>
        <w:numPr>
          <w:ilvl w:val="0"/>
          <w:numId w:val="16"/>
        </w:numPr>
        <w:tabs>
          <w:tab w:val="left" w:pos="1800"/>
        </w:tabs>
        <w:spacing w:before="119"/>
        <w:ind w:right="969"/>
      </w:pPr>
      <w:r>
        <w:t>The auditor generally should obtain and review a type 1 or type 2 report, if available, to determine if it contains information that may affect the audit or increase</w:t>
      </w:r>
      <w:r>
        <w:rPr>
          <w:spacing w:val="-3"/>
        </w:rPr>
        <w:t xml:space="preserve"> </w:t>
      </w:r>
      <w:r>
        <w:t>the</w:t>
      </w:r>
      <w:r>
        <w:rPr>
          <w:spacing w:val="-4"/>
        </w:rPr>
        <w:t xml:space="preserve"> </w:t>
      </w:r>
      <w:r>
        <w:t>risks</w:t>
      </w:r>
      <w:r>
        <w:rPr>
          <w:spacing w:val="-3"/>
        </w:rPr>
        <w:t xml:space="preserve"> </w:t>
      </w:r>
      <w:r>
        <w:t>of</w:t>
      </w:r>
      <w:r>
        <w:rPr>
          <w:spacing w:val="-4"/>
        </w:rPr>
        <w:t xml:space="preserve"> </w:t>
      </w:r>
      <w:r>
        <w:t>material</w:t>
      </w:r>
      <w:r>
        <w:rPr>
          <w:spacing w:val="-3"/>
        </w:rPr>
        <w:t xml:space="preserve"> </w:t>
      </w:r>
      <w:r>
        <w:t>misstatement,</w:t>
      </w:r>
      <w:r>
        <w:rPr>
          <w:spacing w:val="-3"/>
        </w:rPr>
        <w:t xml:space="preserve"> </w:t>
      </w:r>
      <w:r>
        <w:t>even</w:t>
      </w:r>
      <w:r>
        <w:rPr>
          <w:spacing w:val="-3"/>
        </w:rPr>
        <w:t xml:space="preserve"> </w:t>
      </w:r>
      <w:r>
        <w:t>if</w:t>
      </w:r>
      <w:r>
        <w:rPr>
          <w:spacing w:val="-3"/>
        </w:rPr>
        <w:t xml:space="preserve"> </w:t>
      </w:r>
      <w:r>
        <w:t>the</w:t>
      </w:r>
      <w:r>
        <w:rPr>
          <w:spacing w:val="-3"/>
        </w:rPr>
        <w:t xml:space="preserve"> </w:t>
      </w:r>
      <w:r>
        <w:t>auditor</w:t>
      </w:r>
      <w:r>
        <w:rPr>
          <w:spacing w:val="-3"/>
        </w:rPr>
        <w:t xml:space="preserve"> </w:t>
      </w:r>
      <w:r>
        <w:t>does</w:t>
      </w:r>
      <w:r>
        <w:rPr>
          <w:spacing w:val="-3"/>
        </w:rPr>
        <w:t xml:space="preserve"> </w:t>
      </w:r>
      <w:r>
        <w:t>not</w:t>
      </w:r>
      <w:r>
        <w:rPr>
          <w:spacing w:val="-3"/>
        </w:rPr>
        <w:t xml:space="preserve"> </w:t>
      </w:r>
      <w:r>
        <w:t>plan</w:t>
      </w:r>
      <w:r>
        <w:rPr>
          <w:spacing w:val="-3"/>
        </w:rPr>
        <w:t xml:space="preserve"> </w:t>
      </w:r>
      <w:r>
        <w:t>to rely on the report to support the auditor’s risk assessment or report on internal control over financial reporting.</w:t>
      </w:r>
    </w:p>
    <w:p w14:paraId="0DFDAE9A" w14:textId="77777777" w:rsidR="00046465" w:rsidRDefault="008134EB">
      <w:pPr>
        <w:pStyle w:val="ListParagraph"/>
        <w:numPr>
          <w:ilvl w:val="0"/>
          <w:numId w:val="16"/>
        </w:numPr>
        <w:tabs>
          <w:tab w:val="left" w:pos="1799"/>
        </w:tabs>
        <w:ind w:left="1799" w:right="751" w:hanging="720"/>
      </w:pPr>
      <w:r>
        <w:t>The</w:t>
      </w:r>
      <w:r>
        <w:rPr>
          <w:spacing w:val="-3"/>
        </w:rPr>
        <w:t xml:space="preserve"> </w:t>
      </w:r>
      <w:r>
        <w:t>auditor</w:t>
      </w:r>
      <w:r>
        <w:rPr>
          <w:spacing w:val="-5"/>
        </w:rPr>
        <w:t xml:space="preserve"> </w:t>
      </w:r>
      <w:r>
        <w:t>should</w:t>
      </w:r>
      <w:r>
        <w:rPr>
          <w:spacing w:val="-3"/>
        </w:rPr>
        <w:t xml:space="preserve"> </w:t>
      </w:r>
      <w:r>
        <w:t>not</w:t>
      </w:r>
      <w:r>
        <w:rPr>
          <w:spacing w:val="-3"/>
        </w:rPr>
        <w:t xml:space="preserve"> </w:t>
      </w:r>
      <w:r>
        <w:t>refer</w:t>
      </w:r>
      <w:r>
        <w:rPr>
          <w:spacing w:val="-3"/>
        </w:rPr>
        <w:t xml:space="preserve"> </w:t>
      </w:r>
      <w:r>
        <w:t>to</w:t>
      </w:r>
      <w:r>
        <w:rPr>
          <w:spacing w:val="-3"/>
        </w:rPr>
        <w:t xml:space="preserve"> </w:t>
      </w:r>
      <w:r>
        <w:t>the</w:t>
      </w:r>
      <w:r>
        <w:rPr>
          <w:spacing w:val="-3"/>
        </w:rPr>
        <w:t xml:space="preserve"> </w:t>
      </w:r>
      <w:r>
        <w:t>work</w:t>
      </w:r>
      <w:r>
        <w:rPr>
          <w:spacing w:val="-3"/>
        </w:rPr>
        <w:t xml:space="preserve"> </w:t>
      </w:r>
      <w:r>
        <w:t>of</w:t>
      </w:r>
      <w:r>
        <w:rPr>
          <w:spacing w:val="-3"/>
        </w:rPr>
        <w:t xml:space="preserve"> </w:t>
      </w:r>
      <w:r>
        <w:t>a</w:t>
      </w:r>
      <w:r>
        <w:rPr>
          <w:spacing w:val="-3"/>
        </w:rPr>
        <w:t xml:space="preserve"> </w:t>
      </w:r>
      <w:r>
        <w:t>service</w:t>
      </w:r>
      <w:r>
        <w:rPr>
          <w:spacing w:val="-3"/>
        </w:rPr>
        <w:t xml:space="preserve"> </w:t>
      </w:r>
      <w:r>
        <w:t>auditor</w:t>
      </w:r>
      <w:r>
        <w:rPr>
          <w:spacing w:val="-5"/>
        </w:rPr>
        <w:t xml:space="preserve"> </w:t>
      </w:r>
      <w:r>
        <w:t>in</w:t>
      </w:r>
      <w:r>
        <w:rPr>
          <w:spacing w:val="-3"/>
        </w:rPr>
        <w:t xml:space="preserve"> </w:t>
      </w:r>
      <w:r>
        <w:t>the</w:t>
      </w:r>
      <w:r>
        <w:rPr>
          <w:spacing w:val="-3"/>
        </w:rPr>
        <w:t xml:space="preserve"> </w:t>
      </w:r>
      <w:r>
        <w:t>auditor’s</w:t>
      </w:r>
      <w:r>
        <w:rPr>
          <w:spacing w:val="-3"/>
        </w:rPr>
        <w:t xml:space="preserve"> </w:t>
      </w:r>
      <w:r>
        <w:t>report containing an unmodified opinion (AU-C 402.21). Based on AU-C 940.96, the auditor also should not refer to the service auditor’s report in the report on internal control over financial reporting.</w:t>
      </w:r>
    </w:p>
    <w:p w14:paraId="0DFDAE9B" w14:textId="77777777" w:rsidR="00046465" w:rsidRDefault="008134EB">
      <w:pPr>
        <w:pStyle w:val="Heading4"/>
      </w:pPr>
      <w:bookmarkStart w:id="77" w:name="Evaluate_the_Design_and_Implementation_o"/>
      <w:bookmarkEnd w:id="77"/>
      <w:r>
        <w:t>Evaluate</w:t>
      </w:r>
      <w:r>
        <w:rPr>
          <w:spacing w:val="-11"/>
        </w:rPr>
        <w:t xml:space="preserve"> </w:t>
      </w:r>
      <w:r>
        <w:t>the</w:t>
      </w:r>
      <w:r>
        <w:rPr>
          <w:spacing w:val="-11"/>
        </w:rPr>
        <w:t xml:space="preserve"> </w:t>
      </w:r>
      <w:r>
        <w:t>Design</w:t>
      </w:r>
      <w:r>
        <w:rPr>
          <w:spacing w:val="-11"/>
        </w:rPr>
        <w:t xml:space="preserve"> </w:t>
      </w:r>
      <w:r>
        <w:t>and</w:t>
      </w:r>
      <w:r>
        <w:rPr>
          <w:spacing w:val="-12"/>
        </w:rPr>
        <w:t xml:space="preserve"> </w:t>
      </w:r>
      <w:r>
        <w:t>Implementation</w:t>
      </w:r>
      <w:r>
        <w:rPr>
          <w:spacing w:val="-11"/>
        </w:rPr>
        <w:t xml:space="preserve"> </w:t>
      </w:r>
      <w:r>
        <w:t>of</w:t>
      </w:r>
      <w:r>
        <w:rPr>
          <w:spacing w:val="-11"/>
        </w:rPr>
        <w:t xml:space="preserve"> </w:t>
      </w:r>
      <w:r>
        <w:rPr>
          <w:spacing w:val="-2"/>
        </w:rPr>
        <w:t>Controls</w:t>
      </w:r>
    </w:p>
    <w:p w14:paraId="0DFDAE9C" w14:textId="77777777" w:rsidR="00046465" w:rsidRDefault="008134EB">
      <w:pPr>
        <w:pStyle w:val="ListParagraph"/>
        <w:numPr>
          <w:ilvl w:val="0"/>
          <w:numId w:val="214"/>
        </w:numPr>
        <w:tabs>
          <w:tab w:val="left" w:pos="1799"/>
        </w:tabs>
        <w:ind w:right="726" w:hanging="720"/>
      </w:pPr>
      <w:r>
        <w:t>As</w:t>
      </w:r>
      <w:r>
        <w:rPr>
          <w:spacing w:val="-3"/>
        </w:rPr>
        <w:t xml:space="preserve"> </w:t>
      </w:r>
      <w:r>
        <w:t>discussed</w:t>
      </w:r>
      <w:r>
        <w:rPr>
          <w:spacing w:val="-3"/>
        </w:rPr>
        <w:t xml:space="preserve"> </w:t>
      </w:r>
      <w:r>
        <w:t>in</w:t>
      </w:r>
      <w:r>
        <w:rPr>
          <w:spacing w:val="-3"/>
        </w:rPr>
        <w:t xml:space="preserve"> </w:t>
      </w:r>
      <w:r>
        <w:t>FAM</w:t>
      </w:r>
      <w:r>
        <w:rPr>
          <w:spacing w:val="-4"/>
        </w:rPr>
        <w:t xml:space="preserve"> </w:t>
      </w:r>
      <w:r>
        <w:t>350.10,</w:t>
      </w:r>
      <w:r>
        <w:rPr>
          <w:spacing w:val="-3"/>
        </w:rPr>
        <w:t xml:space="preserve"> </w:t>
      </w:r>
      <w:r>
        <w:t>the</w:t>
      </w:r>
      <w:r>
        <w:rPr>
          <w:spacing w:val="-3"/>
        </w:rPr>
        <w:t xml:space="preserve"> </w:t>
      </w:r>
      <w:r>
        <w:t>auditor</w:t>
      </w:r>
      <w:r>
        <w:rPr>
          <w:spacing w:val="-3"/>
        </w:rPr>
        <w:t xml:space="preserve"> </w:t>
      </w:r>
      <w:r>
        <w:t>should</w:t>
      </w:r>
      <w:r>
        <w:rPr>
          <w:spacing w:val="-4"/>
        </w:rPr>
        <w:t xml:space="preserve"> </w:t>
      </w:r>
      <w:r>
        <w:t>determine</w:t>
      </w:r>
      <w:r>
        <w:rPr>
          <w:spacing w:val="-3"/>
        </w:rPr>
        <w:t xml:space="preserve"> </w:t>
      </w:r>
      <w:r>
        <w:t>whether</w:t>
      </w:r>
      <w:r>
        <w:rPr>
          <w:spacing w:val="-3"/>
        </w:rPr>
        <w:t xml:space="preserve"> </w:t>
      </w:r>
      <w:r>
        <w:t>the</w:t>
      </w:r>
      <w:r>
        <w:rPr>
          <w:spacing w:val="-3"/>
        </w:rPr>
        <w:t xml:space="preserve"> </w:t>
      </w:r>
      <w:r>
        <w:t>entity</w:t>
      </w:r>
      <w:r>
        <w:rPr>
          <w:spacing w:val="-3"/>
        </w:rPr>
        <w:t xml:space="preserve"> </w:t>
      </w:r>
      <w:r>
        <w:t>has implemented relevant control activities that relate to the services provided by the service organization.</w:t>
      </w:r>
      <w:hyperlink w:anchor="_bookmark21" w:history="1">
        <w:r>
          <w:rPr>
            <w:position w:val="7"/>
            <w:sz w:val="14"/>
          </w:rPr>
          <w:t>15</w:t>
        </w:r>
      </w:hyperlink>
      <w:r>
        <w:rPr>
          <w:spacing w:val="39"/>
          <w:position w:val="7"/>
          <w:sz w:val="14"/>
        </w:rPr>
        <w:t xml:space="preserve"> </w:t>
      </w:r>
      <w:r>
        <w:t>The auditor should determine whether a sufficient understanding of the nature and significance of the services provided by the service organization and their effect on the entity’s internal control has been obtained to provide an appropriate basis for the identification and assessment of the risks of material misstatement (AU-C 402.11). If the auditor is unable to</w:t>
      </w:r>
      <w:r>
        <w:rPr>
          <w:spacing w:val="40"/>
        </w:rPr>
        <w:t xml:space="preserve"> </w:t>
      </w:r>
      <w:r>
        <w:t>obtain a sufficient understanding from the entity, the auditor should obtain that understanding from one or more of the following procedures (AU-C 402.12):</w:t>
      </w:r>
    </w:p>
    <w:p w14:paraId="0DFDAE9D" w14:textId="77777777" w:rsidR="00046465" w:rsidRDefault="008134EB">
      <w:pPr>
        <w:pStyle w:val="ListParagraph"/>
        <w:numPr>
          <w:ilvl w:val="1"/>
          <w:numId w:val="214"/>
        </w:numPr>
        <w:tabs>
          <w:tab w:val="left" w:pos="2159"/>
        </w:tabs>
        <w:ind w:left="2159" w:hanging="359"/>
      </w:pPr>
      <w:r>
        <w:t>obtaining</w:t>
      </w:r>
      <w:r>
        <w:rPr>
          <w:spacing w:val="-5"/>
        </w:rPr>
        <w:t xml:space="preserve"> </w:t>
      </w:r>
      <w:r>
        <w:t>and</w:t>
      </w:r>
      <w:r>
        <w:rPr>
          <w:spacing w:val="-4"/>
        </w:rPr>
        <w:t xml:space="preserve"> </w:t>
      </w:r>
      <w:r>
        <w:t>reading</w:t>
      </w:r>
      <w:r>
        <w:rPr>
          <w:spacing w:val="-4"/>
        </w:rPr>
        <w:t xml:space="preserve"> </w:t>
      </w:r>
      <w:r>
        <w:t>a</w:t>
      </w:r>
      <w:r>
        <w:rPr>
          <w:spacing w:val="-4"/>
        </w:rPr>
        <w:t xml:space="preserve"> </w:t>
      </w:r>
      <w:r>
        <w:t>type</w:t>
      </w:r>
      <w:r>
        <w:rPr>
          <w:spacing w:val="-4"/>
        </w:rPr>
        <w:t xml:space="preserve"> </w:t>
      </w:r>
      <w:r>
        <w:t>1</w:t>
      </w:r>
      <w:r>
        <w:rPr>
          <w:spacing w:val="-4"/>
        </w:rPr>
        <w:t xml:space="preserve"> </w:t>
      </w:r>
      <w:r>
        <w:t>or</w:t>
      </w:r>
      <w:r>
        <w:rPr>
          <w:spacing w:val="-4"/>
        </w:rPr>
        <w:t xml:space="preserve"> </w:t>
      </w:r>
      <w:r>
        <w:t>type</w:t>
      </w:r>
      <w:r>
        <w:rPr>
          <w:spacing w:val="-5"/>
        </w:rPr>
        <w:t xml:space="preserve"> </w:t>
      </w:r>
      <w:r>
        <w:t>2</w:t>
      </w:r>
      <w:r>
        <w:rPr>
          <w:spacing w:val="-4"/>
        </w:rPr>
        <w:t xml:space="preserve"> </w:t>
      </w:r>
      <w:r>
        <w:t>report,</w:t>
      </w:r>
      <w:r>
        <w:rPr>
          <w:spacing w:val="-4"/>
        </w:rPr>
        <w:t xml:space="preserve"> </w:t>
      </w:r>
      <w:r>
        <w:t>if</w:t>
      </w:r>
      <w:r>
        <w:rPr>
          <w:spacing w:val="-5"/>
        </w:rPr>
        <w:t xml:space="preserve"> </w:t>
      </w:r>
      <w:r>
        <w:rPr>
          <w:spacing w:val="-2"/>
        </w:rPr>
        <w:t>available;</w:t>
      </w:r>
    </w:p>
    <w:p w14:paraId="0DFDAE9E" w14:textId="77777777" w:rsidR="00046465" w:rsidRDefault="008134EB">
      <w:pPr>
        <w:pStyle w:val="ListParagraph"/>
        <w:numPr>
          <w:ilvl w:val="1"/>
          <w:numId w:val="214"/>
        </w:numPr>
        <w:tabs>
          <w:tab w:val="left" w:pos="2159"/>
        </w:tabs>
        <w:spacing w:before="119"/>
        <w:ind w:left="2159" w:right="1308"/>
      </w:pPr>
      <w:r>
        <w:t>contacting</w:t>
      </w:r>
      <w:r>
        <w:rPr>
          <w:spacing w:val="-4"/>
        </w:rPr>
        <w:t xml:space="preserve"> </w:t>
      </w:r>
      <w:r>
        <w:t>the</w:t>
      </w:r>
      <w:r>
        <w:rPr>
          <w:spacing w:val="-4"/>
        </w:rPr>
        <w:t xml:space="preserve"> </w:t>
      </w:r>
      <w:r>
        <w:t>service</w:t>
      </w:r>
      <w:r>
        <w:rPr>
          <w:spacing w:val="-5"/>
        </w:rPr>
        <w:t xml:space="preserve"> </w:t>
      </w:r>
      <w:r>
        <w:t>organization,</w:t>
      </w:r>
      <w:r>
        <w:rPr>
          <w:spacing w:val="-5"/>
        </w:rPr>
        <w:t xml:space="preserve"> </w:t>
      </w:r>
      <w:r>
        <w:t>through</w:t>
      </w:r>
      <w:r>
        <w:rPr>
          <w:spacing w:val="-4"/>
        </w:rPr>
        <w:t xml:space="preserve"> </w:t>
      </w:r>
      <w:r>
        <w:t>the</w:t>
      </w:r>
      <w:r>
        <w:rPr>
          <w:spacing w:val="-5"/>
        </w:rPr>
        <w:t xml:space="preserve"> </w:t>
      </w:r>
      <w:r>
        <w:t>entity,</w:t>
      </w:r>
      <w:r>
        <w:rPr>
          <w:spacing w:val="-4"/>
        </w:rPr>
        <w:t xml:space="preserve"> </w:t>
      </w:r>
      <w:r>
        <w:t>to</w:t>
      </w:r>
      <w:r>
        <w:rPr>
          <w:spacing w:val="-4"/>
        </w:rPr>
        <w:t xml:space="preserve"> </w:t>
      </w:r>
      <w:r>
        <w:t>obtain</w:t>
      </w:r>
      <w:r>
        <w:rPr>
          <w:spacing w:val="-4"/>
        </w:rPr>
        <w:t xml:space="preserve"> </w:t>
      </w:r>
      <w:r>
        <w:t xml:space="preserve">specific </w:t>
      </w:r>
      <w:r>
        <w:rPr>
          <w:spacing w:val="-2"/>
        </w:rPr>
        <w:t>information;</w:t>
      </w:r>
    </w:p>
    <w:p w14:paraId="0DFDAE9F" w14:textId="77777777" w:rsidR="00046465" w:rsidRDefault="008134EB">
      <w:pPr>
        <w:pStyle w:val="ListParagraph"/>
        <w:numPr>
          <w:ilvl w:val="1"/>
          <w:numId w:val="214"/>
        </w:numPr>
        <w:tabs>
          <w:tab w:val="left" w:pos="2159"/>
        </w:tabs>
        <w:spacing w:before="121"/>
        <w:ind w:left="2159" w:right="941"/>
      </w:pPr>
      <w:r>
        <w:t>visiting</w:t>
      </w:r>
      <w:r>
        <w:rPr>
          <w:spacing w:val="-5"/>
        </w:rPr>
        <w:t xml:space="preserve"> </w:t>
      </w:r>
      <w:r>
        <w:t>the</w:t>
      </w:r>
      <w:r>
        <w:rPr>
          <w:spacing w:val="-5"/>
        </w:rPr>
        <w:t xml:space="preserve"> </w:t>
      </w:r>
      <w:r>
        <w:t>service</w:t>
      </w:r>
      <w:r>
        <w:rPr>
          <w:spacing w:val="-5"/>
        </w:rPr>
        <w:t xml:space="preserve"> </w:t>
      </w:r>
      <w:r>
        <w:t>organization</w:t>
      </w:r>
      <w:r>
        <w:rPr>
          <w:spacing w:val="-5"/>
        </w:rPr>
        <w:t xml:space="preserve"> </w:t>
      </w:r>
      <w:r>
        <w:t>and</w:t>
      </w:r>
      <w:r>
        <w:rPr>
          <w:spacing w:val="-5"/>
        </w:rPr>
        <w:t xml:space="preserve"> </w:t>
      </w:r>
      <w:r>
        <w:t>performing</w:t>
      </w:r>
      <w:r>
        <w:rPr>
          <w:spacing w:val="-5"/>
        </w:rPr>
        <w:t xml:space="preserve"> </w:t>
      </w:r>
      <w:r>
        <w:t>procedures</w:t>
      </w:r>
      <w:r>
        <w:rPr>
          <w:spacing w:val="-5"/>
        </w:rPr>
        <w:t xml:space="preserve"> </w:t>
      </w:r>
      <w:r>
        <w:t>that</w:t>
      </w:r>
      <w:r>
        <w:rPr>
          <w:spacing w:val="-5"/>
        </w:rPr>
        <w:t xml:space="preserve"> </w:t>
      </w:r>
      <w:r>
        <w:t>will</w:t>
      </w:r>
      <w:r>
        <w:rPr>
          <w:spacing w:val="-5"/>
        </w:rPr>
        <w:t xml:space="preserve"> </w:t>
      </w:r>
      <w:r>
        <w:t>provide the necessary information about the relevant controls at the service organization; or</w:t>
      </w:r>
    </w:p>
    <w:p w14:paraId="0DFDAEA0" w14:textId="77777777" w:rsidR="00046465" w:rsidRDefault="008134EB">
      <w:pPr>
        <w:pStyle w:val="ListParagraph"/>
        <w:numPr>
          <w:ilvl w:val="1"/>
          <w:numId w:val="214"/>
        </w:numPr>
        <w:tabs>
          <w:tab w:val="left" w:pos="2159"/>
        </w:tabs>
        <w:spacing w:before="119"/>
        <w:ind w:left="2159" w:right="979"/>
      </w:pPr>
      <w:r>
        <w:t>using</w:t>
      </w:r>
      <w:r>
        <w:rPr>
          <w:spacing w:val="-4"/>
        </w:rPr>
        <w:t xml:space="preserve"> </w:t>
      </w:r>
      <w:r>
        <w:t>another</w:t>
      </w:r>
      <w:r>
        <w:rPr>
          <w:spacing w:val="-4"/>
        </w:rPr>
        <w:t xml:space="preserve"> </w:t>
      </w:r>
      <w:r>
        <w:t>auditor</w:t>
      </w:r>
      <w:r>
        <w:rPr>
          <w:spacing w:val="-4"/>
        </w:rPr>
        <w:t xml:space="preserve"> </w:t>
      </w:r>
      <w:r>
        <w:t>to</w:t>
      </w:r>
      <w:r>
        <w:rPr>
          <w:spacing w:val="-5"/>
        </w:rPr>
        <w:t xml:space="preserve"> </w:t>
      </w:r>
      <w:r>
        <w:t>perform</w:t>
      </w:r>
      <w:r>
        <w:rPr>
          <w:spacing w:val="-5"/>
        </w:rPr>
        <w:t xml:space="preserve"> </w:t>
      </w:r>
      <w:r>
        <w:t>procedures</w:t>
      </w:r>
      <w:r>
        <w:rPr>
          <w:spacing w:val="-4"/>
        </w:rPr>
        <w:t xml:space="preserve"> </w:t>
      </w:r>
      <w:r>
        <w:t>that</w:t>
      </w:r>
      <w:r>
        <w:rPr>
          <w:spacing w:val="-5"/>
        </w:rPr>
        <w:t xml:space="preserve"> </w:t>
      </w:r>
      <w:r>
        <w:t>will</w:t>
      </w:r>
      <w:r>
        <w:rPr>
          <w:spacing w:val="-4"/>
        </w:rPr>
        <w:t xml:space="preserve"> </w:t>
      </w:r>
      <w:r>
        <w:t>provide</w:t>
      </w:r>
      <w:r>
        <w:rPr>
          <w:spacing w:val="-5"/>
        </w:rPr>
        <w:t xml:space="preserve"> </w:t>
      </w:r>
      <w:r>
        <w:t>the</w:t>
      </w:r>
      <w:r>
        <w:rPr>
          <w:spacing w:val="-4"/>
        </w:rPr>
        <w:t xml:space="preserve"> </w:t>
      </w:r>
      <w:r>
        <w:t>necessary information about the relevant controls at the service organization.</w:t>
      </w:r>
    </w:p>
    <w:p w14:paraId="0DFDAEA1" w14:textId="77777777" w:rsidR="00046465" w:rsidRDefault="00046465">
      <w:pPr>
        <w:pStyle w:val="BodyText"/>
        <w:rPr>
          <w:sz w:val="20"/>
        </w:rPr>
      </w:pPr>
    </w:p>
    <w:p w14:paraId="0DFDAEA2" w14:textId="77777777" w:rsidR="00046465" w:rsidRDefault="00046465">
      <w:pPr>
        <w:pStyle w:val="BodyText"/>
        <w:rPr>
          <w:sz w:val="20"/>
        </w:rPr>
      </w:pPr>
    </w:p>
    <w:p w14:paraId="0DFDAEA3" w14:textId="77777777" w:rsidR="00046465" w:rsidRDefault="008134EB">
      <w:pPr>
        <w:pStyle w:val="BodyText"/>
        <w:spacing w:before="140"/>
        <w:rPr>
          <w:sz w:val="20"/>
        </w:rPr>
      </w:pPr>
      <w:r>
        <w:rPr>
          <w:noProof/>
          <w:sz w:val="20"/>
        </w:rPr>
        <mc:AlternateContent>
          <mc:Choice Requires="wps">
            <w:drawing>
              <wp:anchor distT="0" distB="0" distL="0" distR="0" simplePos="0" relativeHeight="487606272" behindDoc="1" locked="0" layoutInCell="1" allowOverlap="1" wp14:anchorId="0DFDD55B" wp14:editId="0DFDD55C">
                <wp:simplePos x="0" y="0"/>
                <wp:positionH relativeFrom="page">
                  <wp:posOffset>914400</wp:posOffset>
                </wp:positionH>
                <wp:positionV relativeFrom="paragraph">
                  <wp:posOffset>250383</wp:posOffset>
                </wp:positionV>
                <wp:extent cx="1828800" cy="5715"/>
                <wp:effectExtent l="0" t="0" r="0" b="0"/>
                <wp:wrapTopAndBottom/>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1444F7" id="Graphic 198" o:spid="_x0000_s1026" style="position:absolute;margin-left:1in;margin-top:19.7pt;width:2in;height:.45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" path="m1828800,l,,,5333r1828800,l1828800,xe" fillcolor="black" stroked="f">
                <v:path arrowok="t"/>
                <w10:wrap type="topAndBottom" anchorx="page"/>
              </v:shape>
            </w:pict>
          </mc:Fallback>
        </mc:AlternateContent>
      </w:r>
    </w:p>
    <w:p w14:paraId="0DFDAEA4" w14:textId="77777777" w:rsidR="00046465" w:rsidRDefault="008134EB">
      <w:pPr>
        <w:spacing w:before="202" w:line="249" w:lineRule="auto"/>
        <w:ind w:left="359" w:right="749"/>
        <w:rPr>
          <w:sz w:val="18"/>
        </w:rPr>
      </w:pPr>
      <w:bookmarkStart w:id="78" w:name="_bookmark21"/>
      <w:bookmarkEnd w:id="78"/>
      <w:r>
        <w:rPr>
          <w:position w:val="7"/>
          <w:sz w:val="14"/>
        </w:rPr>
        <w:t>15</w:t>
      </w:r>
      <w:r>
        <w:rPr>
          <w:sz w:val="18"/>
        </w:rPr>
        <w:t>“Relevant</w:t>
      </w:r>
      <w:r>
        <w:rPr>
          <w:spacing w:val="-2"/>
          <w:sz w:val="18"/>
        </w:rPr>
        <w:t xml:space="preserve"> </w:t>
      </w:r>
      <w:r>
        <w:rPr>
          <w:sz w:val="18"/>
        </w:rPr>
        <w:t>control</w:t>
      </w:r>
      <w:r>
        <w:rPr>
          <w:spacing w:val="-2"/>
          <w:sz w:val="18"/>
        </w:rPr>
        <w:t xml:space="preserve"> </w:t>
      </w:r>
      <w:r>
        <w:rPr>
          <w:sz w:val="18"/>
        </w:rPr>
        <w:t>activities”</w:t>
      </w:r>
      <w:r>
        <w:rPr>
          <w:spacing w:val="-2"/>
          <w:sz w:val="18"/>
        </w:rPr>
        <w:t xml:space="preserve"> </w:t>
      </w:r>
      <w:r>
        <w:rPr>
          <w:sz w:val="18"/>
        </w:rPr>
        <w:t>as</w:t>
      </w:r>
      <w:r>
        <w:rPr>
          <w:spacing w:val="-1"/>
          <w:sz w:val="18"/>
        </w:rPr>
        <w:t xml:space="preserve"> </w:t>
      </w:r>
      <w:r>
        <w:rPr>
          <w:sz w:val="18"/>
        </w:rPr>
        <w:t>used</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FAM</w:t>
      </w:r>
      <w:r>
        <w:rPr>
          <w:spacing w:val="-2"/>
          <w:sz w:val="18"/>
        </w:rPr>
        <w:t xml:space="preserve"> </w:t>
      </w:r>
      <w:r>
        <w:rPr>
          <w:sz w:val="18"/>
        </w:rPr>
        <w:t>are</w:t>
      </w:r>
      <w:r>
        <w:rPr>
          <w:spacing w:val="-3"/>
          <w:sz w:val="18"/>
        </w:rPr>
        <w:t xml:space="preserve"> </w:t>
      </w:r>
      <w:r>
        <w:rPr>
          <w:sz w:val="18"/>
        </w:rPr>
        <w:t>referred</w:t>
      </w:r>
      <w:r>
        <w:rPr>
          <w:spacing w:val="-1"/>
          <w:sz w:val="18"/>
        </w:rPr>
        <w:t xml:space="preserve"> </w:t>
      </w:r>
      <w:r>
        <w:rPr>
          <w:sz w:val="18"/>
        </w:rPr>
        <w:t>to</w:t>
      </w:r>
      <w:r>
        <w:rPr>
          <w:spacing w:val="-3"/>
          <w:sz w:val="18"/>
        </w:rPr>
        <w:t xml:space="preserve"> </w:t>
      </w:r>
      <w:r>
        <w:rPr>
          <w:sz w:val="18"/>
        </w:rPr>
        <w:t>as</w:t>
      </w:r>
      <w:r>
        <w:rPr>
          <w:spacing w:val="-1"/>
          <w:sz w:val="18"/>
        </w:rPr>
        <w:t xml:space="preserve"> </w:t>
      </w:r>
      <w:r>
        <w:rPr>
          <w:sz w:val="18"/>
        </w:rPr>
        <w:t>identified</w:t>
      </w:r>
      <w:r>
        <w:rPr>
          <w:spacing w:val="-1"/>
          <w:sz w:val="18"/>
        </w:rPr>
        <w:t xml:space="preserve"> </w:t>
      </w:r>
      <w:r>
        <w:rPr>
          <w:sz w:val="18"/>
        </w:rPr>
        <w:t>controls</w:t>
      </w:r>
      <w:r>
        <w:rPr>
          <w:spacing w:val="-2"/>
          <w:sz w:val="18"/>
        </w:rPr>
        <w:t xml:space="preserve"> </w:t>
      </w:r>
      <w:r>
        <w:rPr>
          <w:sz w:val="18"/>
        </w:rPr>
        <w:t>or</w:t>
      </w:r>
      <w:r>
        <w:rPr>
          <w:spacing w:val="-2"/>
          <w:sz w:val="18"/>
        </w:rPr>
        <w:t xml:space="preserve"> </w:t>
      </w:r>
      <w:r>
        <w:rPr>
          <w:sz w:val="18"/>
        </w:rPr>
        <w:t>controls</w:t>
      </w:r>
      <w:r>
        <w:rPr>
          <w:spacing w:val="-2"/>
          <w:sz w:val="18"/>
        </w:rPr>
        <w:t xml:space="preserve"> </w:t>
      </w:r>
      <w:r>
        <w:rPr>
          <w:sz w:val="18"/>
        </w:rPr>
        <w:t>that</w:t>
      </w:r>
      <w:r>
        <w:rPr>
          <w:spacing w:val="-2"/>
          <w:sz w:val="18"/>
        </w:rPr>
        <w:t xml:space="preserve"> </w:t>
      </w:r>
      <w:r>
        <w:rPr>
          <w:sz w:val="18"/>
        </w:rPr>
        <w:t>address</w:t>
      </w:r>
      <w:r>
        <w:rPr>
          <w:spacing w:val="-2"/>
          <w:sz w:val="18"/>
        </w:rPr>
        <w:t xml:space="preserve"> </w:t>
      </w:r>
      <w:r>
        <w:rPr>
          <w:sz w:val="18"/>
        </w:rPr>
        <w:t>the risks of material misstatement at the assertion level in AU-C 315.</w:t>
      </w:r>
    </w:p>
    <w:p w14:paraId="0DFDAEA5" w14:textId="77777777" w:rsidR="00046465" w:rsidRDefault="00046465">
      <w:pPr>
        <w:spacing w:line="249" w:lineRule="auto"/>
        <w:rPr>
          <w:sz w:val="18"/>
        </w:rPr>
        <w:sectPr w:rsidR="00046465">
          <w:pgSz w:w="12240" w:h="15840"/>
          <w:pgMar w:top="1340" w:right="720" w:bottom="940" w:left="1080" w:header="721" w:footer="757" w:gutter="0"/>
          <w:cols w:space="720"/>
        </w:sectPr>
      </w:pPr>
    </w:p>
    <w:p w14:paraId="0DFDAEA6" w14:textId="77777777" w:rsidR="00046465" w:rsidRDefault="008134EB">
      <w:pPr>
        <w:pStyle w:val="ListParagraph"/>
        <w:numPr>
          <w:ilvl w:val="0"/>
          <w:numId w:val="214"/>
        </w:numPr>
        <w:tabs>
          <w:tab w:val="left" w:pos="1800"/>
        </w:tabs>
        <w:spacing w:before="121"/>
        <w:ind w:left="1800" w:right="737"/>
      </w:pPr>
      <w:r>
        <w:lastRenderedPageBreak/>
        <w:t>As discussed in FAM</w:t>
      </w:r>
      <w:r>
        <w:rPr>
          <w:spacing w:val="-1"/>
        </w:rPr>
        <w:t xml:space="preserve"> </w:t>
      </w:r>
      <w:r>
        <w:t>640.08, the auditor generally</w:t>
      </w:r>
      <w:r>
        <w:rPr>
          <w:spacing w:val="-1"/>
        </w:rPr>
        <w:t xml:space="preserve"> </w:t>
      </w:r>
      <w:r>
        <w:t>should</w:t>
      </w:r>
      <w:r>
        <w:rPr>
          <w:spacing w:val="-1"/>
        </w:rPr>
        <w:t xml:space="preserve"> </w:t>
      </w:r>
      <w:r>
        <w:t>obtain and read a type 1 or type 2 report, if available. The auditor may determine that additional procedures</w:t>
      </w:r>
      <w:r>
        <w:rPr>
          <w:spacing w:val="-4"/>
        </w:rPr>
        <w:t xml:space="preserve"> </w:t>
      </w:r>
      <w:r>
        <w:t>are</w:t>
      </w:r>
      <w:r>
        <w:rPr>
          <w:spacing w:val="-3"/>
        </w:rPr>
        <w:t xml:space="preserve"> </w:t>
      </w:r>
      <w:r>
        <w:t>necessary</w:t>
      </w:r>
      <w:r>
        <w:rPr>
          <w:spacing w:val="-3"/>
        </w:rPr>
        <w:t xml:space="preserve"> </w:t>
      </w:r>
      <w:r>
        <w:t>based</w:t>
      </w:r>
      <w:r>
        <w:rPr>
          <w:spacing w:val="-3"/>
        </w:rPr>
        <w:t xml:space="preserve"> </w:t>
      </w:r>
      <w:r>
        <w:t>on</w:t>
      </w:r>
      <w:r>
        <w:rPr>
          <w:spacing w:val="-4"/>
        </w:rPr>
        <w:t xml:space="preserve"> </w:t>
      </w:r>
      <w:r>
        <w:t>reading</w:t>
      </w:r>
      <w:r>
        <w:rPr>
          <w:spacing w:val="-3"/>
        </w:rPr>
        <w:t xml:space="preserve"> </w:t>
      </w:r>
      <w:r>
        <w:t>the</w:t>
      </w:r>
      <w:r>
        <w:rPr>
          <w:spacing w:val="-4"/>
        </w:rPr>
        <w:t xml:space="preserve"> </w:t>
      </w:r>
      <w:r>
        <w:t>report.</w:t>
      </w:r>
      <w:r>
        <w:rPr>
          <w:spacing w:val="-2"/>
        </w:rPr>
        <w:t xml:space="preserve"> </w:t>
      </w:r>
      <w:r>
        <w:t>If</w:t>
      </w:r>
      <w:r>
        <w:rPr>
          <w:spacing w:val="-3"/>
        </w:rPr>
        <w:t xml:space="preserve"> </w:t>
      </w:r>
      <w:r>
        <w:t>the</w:t>
      </w:r>
      <w:r>
        <w:rPr>
          <w:spacing w:val="-4"/>
        </w:rPr>
        <w:t xml:space="preserve"> </w:t>
      </w:r>
      <w:r>
        <w:t>auditor</w:t>
      </w:r>
      <w:r>
        <w:rPr>
          <w:spacing w:val="-3"/>
        </w:rPr>
        <w:t xml:space="preserve"> </w:t>
      </w:r>
      <w:r>
        <w:t>plans</w:t>
      </w:r>
      <w:r>
        <w:rPr>
          <w:spacing w:val="-3"/>
        </w:rPr>
        <w:t xml:space="preserve"> </w:t>
      </w:r>
      <w:r>
        <w:t>to</w:t>
      </w:r>
      <w:r>
        <w:rPr>
          <w:spacing w:val="-3"/>
        </w:rPr>
        <w:t xml:space="preserve"> </w:t>
      </w:r>
      <w:r>
        <w:t>use a type</w:t>
      </w:r>
      <w:r>
        <w:rPr>
          <w:spacing w:val="-1"/>
        </w:rPr>
        <w:t xml:space="preserve"> </w:t>
      </w:r>
      <w:r>
        <w:t>1 or</w:t>
      </w:r>
      <w:r>
        <w:rPr>
          <w:spacing w:val="-1"/>
        </w:rPr>
        <w:t xml:space="preserve"> </w:t>
      </w:r>
      <w:r>
        <w:t>type 2</w:t>
      </w:r>
      <w:r>
        <w:rPr>
          <w:spacing w:val="-1"/>
        </w:rPr>
        <w:t xml:space="preserve"> </w:t>
      </w:r>
      <w:r>
        <w:t>report</w:t>
      </w:r>
      <w:r>
        <w:rPr>
          <w:spacing w:val="-1"/>
        </w:rPr>
        <w:t xml:space="preserve"> </w:t>
      </w:r>
      <w:r>
        <w:t>as</w:t>
      </w:r>
      <w:r>
        <w:rPr>
          <w:spacing w:val="-1"/>
        </w:rPr>
        <w:t xml:space="preserve"> </w:t>
      </w:r>
      <w:r>
        <w:t>audit evidence</w:t>
      </w:r>
      <w:r>
        <w:rPr>
          <w:spacing w:val="-1"/>
        </w:rPr>
        <w:t xml:space="preserve"> </w:t>
      </w:r>
      <w:r>
        <w:t>to support</w:t>
      </w:r>
      <w:r>
        <w:rPr>
          <w:spacing w:val="-1"/>
        </w:rPr>
        <w:t xml:space="preserve"> </w:t>
      </w:r>
      <w:r>
        <w:t>the auditor’s</w:t>
      </w:r>
      <w:r>
        <w:rPr>
          <w:spacing w:val="-1"/>
        </w:rPr>
        <w:t xml:space="preserve"> </w:t>
      </w:r>
      <w:r>
        <w:t>understanding about the design and implementation of relevant controls at the service organization, the auditor should</w:t>
      </w:r>
    </w:p>
    <w:p w14:paraId="0DFDAEA7" w14:textId="77777777" w:rsidR="00046465" w:rsidRDefault="008134EB">
      <w:pPr>
        <w:pStyle w:val="ListParagraph"/>
        <w:numPr>
          <w:ilvl w:val="1"/>
          <w:numId w:val="214"/>
        </w:numPr>
        <w:tabs>
          <w:tab w:val="left" w:pos="2160"/>
        </w:tabs>
        <w:ind w:right="977"/>
      </w:pPr>
      <w:r>
        <w:t>evaluate</w:t>
      </w:r>
      <w:r>
        <w:rPr>
          <w:spacing w:val="-2"/>
        </w:rPr>
        <w:t xml:space="preserve"> </w:t>
      </w:r>
      <w:r>
        <w:t>whether</w:t>
      </w:r>
      <w:r>
        <w:rPr>
          <w:spacing w:val="-2"/>
        </w:rPr>
        <w:t xml:space="preserve"> </w:t>
      </w:r>
      <w:r>
        <w:t>the</w:t>
      </w:r>
      <w:r>
        <w:rPr>
          <w:spacing w:val="-2"/>
        </w:rPr>
        <w:t xml:space="preserve"> </w:t>
      </w:r>
      <w:r>
        <w:t>type</w:t>
      </w:r>
      <w:r>
        <w:rPr>
          <w:spacing w:val="-2"/>
        </w:rPr>
        <w:t xml:space="preserve"> </w:t>
      </w:r>
      <w:r>
        <w:t>1</w:t>
      </w:r>
      <w:r>
        <w:rPr>
          <w:spacing w:val="-2"/>
        </w:rPr>
        <w:t xml:space="preserve"> </w:t>
      </w:r>
      <w:r>
        <w:t>report</w:t>
      </w:r>
      <w:r>
        <w:rPr>
          <w:spacing w:val="-2"/>
        </w:rPr>
        <w:t xml:space="preserve"> </w:t>
      </w:r>
      <w:r>
        <w:t>is</w:t>
      </w:r>
      <w:r>
        <w:rPr>
          <w:spacing w:val="-3"/>
        </w:rPr>
        <w:t xml:space="preserve"> </w:t>
      </w:r>
      <w:r>
        <w:t>as</w:t>
      </w:r>
      <w:r>
        <w:rPr>
          <w:spacing w:val="-2"/>
        </w:rPr>
        <w:t xml:space="preserve"> </w:t>
      </w:r>
      <w:r>
        <w:t>of</w:t>
      </w:r>
      <w:r>
        <w:rPr>
          <w:spacing w:val="-2"/>
        </w:rPr>
        <w:t xml:space="preserve"> </w:t>
      </w:r>
      <w:r>
        <w:t>a</w:t>
      </w:r>
      <w:r>
        <w:rPr>
          <w:spacing w:val="-2"/>
        </w:rPr>
        <w:t xml:space="preserve"> </w:t>
      </w:r>
      <w:r>
        <w:t>date,</w:t>
      </w:r>
      <w:r>
        <w:rPr>
          <w:spacing w:val="-3"/>
        </w:rPr>
        <w:t xml:space="preserve"> </w:t>
      </w:r>
      <w:r>
        <w:t>or</w:t>
      </w:r>
      <w:r>
        <w:rPr>
          <w:spacing w:val="-2"/>
        </w:rPr>
        <w:t xml:space="preserve"> </w:t>
      </w:r>
      <w:r>
        <w:t>in</w:t>
      </w:r>
      <w:r>
        <w:rPr>
          <w:spacing w:val="-2"/>
        </w:rPr>
        <w:t xml:space="preserve"> </w:t>
      </w:r>
      <w:r>
        <w:t>the</w:t>
      </w:r>
      <w:r>
        <w:rPr>
          <w:spacing w:val="-2"/>
        </w:rPr>
        <w:t xml:space="preserve"> </w:t>
      </w:r>
      <w:r>
        <w:t>case</w:t>
      </w:r>
      <w:r>
        <w:rPr>
          <w:spacing w:val="-2"/>
        </w:rPr>
        <w:t xml:space="preserve"> </w:t>
      </w:r>
      <w:r>
        <w:t>of</w:t>
      </w:r>
      <w:r>
        <w:rPr>
          <w:spacing w:val="-2"/>
        </w:rPr>
        <w:t xml:space="preserve"> </w:t>
      </w:r>
      <w:r>
        <w:t>a</w:t>
      </w:r>
      <w:r>
        <w:rPr>
          <w:spacing w:val="-2"/>
        </w:rPr>
        <w:t xml:space="preserve"> </w:t>
      </w:r>
      <w:r>
        <w:t>type</w:t>
      </w:r>
      <w:r>
        <w:rPr>
          <w:spacing w:val="-3"/>
        </w:rPr>
        <w:t xml:space="preserve"> </w:t>
      </w:r>
      <w:r>
        <w:t>2 report, is for a period that is appropriate for the auditor’s purposes;</w:t>
      </w:r>
    </w:p>
    <w:p w14:paraId="0DFDAEA8" w14:textId="77777777" w:rsidR="00046465" w:rsidRDefault="008134EB">
      <w:pPr>
        <w:pStyle w:val="ListParagraph"/>
        <w:numPr>
          <w:ilvl w:val="1"/>
          <w:numId w:val="214"/>
        </w:numPr>
        <w:tabs>
          <w:tab w:val="left" w:pos="2160"/>
        </w:tabs>
        <w:spacing w:before="119"/>
        <w:ind w:right="768"/>
      </w:pPr>
      <w:r>
        <w:t>evaluate the</w:t>
      </w:r>
      <w:r>
        <w:rPr>
          <w:spacing w:val="-1"/>
        </w:rPr>
        <w:t xml:space="preserve"> </w:t>
      </w:r>
      <w:r>
        <w:t>sufficiency</w:t>
      </w:r>
      <w:r>
        <w:rPr>
          <w:spacing w:val="-1"/>
        </w:rPr>
        <w:t xml:space="preserve"> </w:t>
      </w:r>
      <w:r>
        <w:t>and appropriateness of the evidence</w:t>
      </w:r>
      <w:r>
        <w:rPr>
          <w:spacing w:val="-1"/>
        </w:rPr>
        <w:t xml:space="preserve"> </w:t>
      </w:r>
      <w:r>
        <w:t>provided by</w:t>
      </w:r>
      <w:r>
        <w:rPr>
          <w:spacing w:val="-1"/>
        </w:rPr>
        <w:t xml:space="preserve"> </w:t>
      </w:r>
      <w:r>
        <w:t>the report</w:t>
      </w:r>
      <w:r>
        <w:rPr>
          <w:spacing w:val="-4"/>
        </w:rPr>
        <w:t xml:space="preserve"> </w:t>
      </w:r>
      <w:r>
        <w:t>for</w:t>
      </w:r>
      <w:r>
        <w:rPr>
          <w:spacing w:val="-4"/>
        </w:rPr>
        <w:t xml:space="preserve"> </w:t>
      </w:r>
      <w:r>
        <w:t>understanding</w:t>
      </w:r>
      <w:r>
        <w:rPr>
          <w:spacing w:val="-5"/>
        </w:rPr>
        <w:t xml:space="preserve"> </w:t>
      </w:r>
      <w:r>
        <w:t>the</w:t>
      </w:r>
      <w:r>
        <w:rPr>
          <w:spacing w:val="-3"/>
        </w:rPr>
        <w:t xml:space="preserve"> </w:t>
      </w:r>
      <w:r>
        <w:t>relevant</w:t>
      </w:r>
      <w:r>
        <w:rPr>
          <w:spacing w:val="-5"/>
        </w:rPr>
        <w:t xml:space="preserve"> </w:t>
      </w:r>
      <w:r>
        <w:t>controls</w:t>
      </w:r>
      <w:r>
        <w:rPr>
          <w:spacing w:val="-4"/>
        </w:rPr>
        <w:t xml:space="preserve"> </w:t>
      </w:r>
      <w:r>
        <w:t>at</w:t>
      </w:r>
      <w:r>
        <w:rPr>
          <w:spacing w:val="-4"/>
        </w:rPr>
        <w:t xml:space="preserve"> </w:t>
      </w:r>
      <w:r>
        <w:t>the</w:t>
      </w:r>
      <w:r>
        <w:rPr>
          <w:spacing w:val="-4"/>
        </w:rPr>
        <w:t xml:space="preserve"> </w:t>
      </w:r>
      <w:r>
        <w:t>service</w:t>
      </w:r>
      <w:r>
        <w:rPr>
          <w:spacing w:val="-5"/>
        </w:rPr>
        <w:t xml:space="preserve"> </w:t>
      </w:r>
      <w:r>
        <w:t>organization;</w:t>
      </w:r>
      <w:r>
        <w:rPr>
          <w:spacing w:val="-5"/>
        </w:rPr>
        <w:t xml:space="preserve"> </w:t>
      </w:r>
      <w:r>
        <w:t>and</w:t>
      </w:r>
    </w:p>
    <w:p w14:paraId="0DFDAEA9" w14:textId="77777777" w:rsidR="00046465" w:rsidRDefault="008134EB">
      <w:pPr>
        <w:pStyle w:val="ListParagraph"/>
        <w:numPr>
          <w:ilvl w:val="1"/>
          <w:numId w:val="214"/>
        </w:numPr>
        <w:tabs>
          <w:tab w:val="left" w:pos="2160"/>
        </w:tabs>
        <w:spacing w:before="121"/>
        <w:ind w:right="745"/>
      </w:pPr>
      <w:r>
        <w:t>determine whether complementary user entity controls identified by the service</w:t>
      </w:r>
      <w:r>
        <w:rPr>
          <w:spacing w:val="-4"/>
        </w:rPr>
        <w:t xml:space="preserve"> </w:t>
      </w:r>
      <w:r>
        <w:t>organization</w:t>
      </w:r>
      <w:r>
        <w:rPr>
          <w:spacing w:val="-4"/>
        </w:rPr>
        <w:t xml:space="preserve"> </w:t>
      </w:r>
      <w:r>
        <w:t>address</w:t>
      </w:r>
      <w:r>
        <w:rPr>
          <w:spacing w:val="-3"/>
        </w:rPr>
        <w:t xml:space="preserve"> </w:t>
      </w:r>
      <w:r>
        <w:t>the</w:t>
      </w:r>
      <w:r>
        <w:rPr>
          <w:spacing w:val="-4"/>
        </w:rPr>
        <w:t xml:space="preserve"> </w:t>
      </w:r>
      <w:r>
        <w:t>risks</w:t>
      </w:r>
      <w:r>
        <w:rPr>
          <w:spacing w:val="-4"/>
        </w:rPr>
        <w:t xml:space="preserve"> </w:t>
      </w:r>
      <w:r>
        <w:t>of</w:t>
      </w:r>
      <w:r>
        <w:rPr>
          <w:spacing w:val="-4"/>
        </w:rPr>
        <w:t xml:space="preserve"> </w:t>
      </w:r>
      <w:r>
        <w:t>material</w:t>
      </w:r>
      <w:r>
        <w:rPr>
          <w:spacing w:val="-5"/>
        </w:rPr>
        <w:t xml:space="preserve"> </w:t>
      </w:r>
      <w:r>
        <w:t>misstatement</w:t>
      </w:r>
      <w:r>
        <w:rPr>
          <w:spacing w:val="-4"/>
        </w:rPr>
        <w:t xml:space="preserve"> </w:t>
      </w:r>
      <w:r>
        <w:t>relating</w:t>
      </w:r>
      <w:r>
        <w:rPr>
          <w:spacing w:val="-4"/>
        </w:rPr>
        <w:t xml:space="preserve"> </w:t>
      </w:r>
      <w:r>
        <w:t>to</w:t>
      </w:r>
      <w:r>
        <w:rPr>
          <w:spacing w:val="-5"/>
        </w:rPr>
        <w:t xml:space="preserve"> </w:t>
      </w:r>
      <w:r>
        <w:t>the significant assertions in the entity’s financial statements and, if so, obtain an understanding of whether the entity has designed and implemented such controls (AU-C 402.14).</w:t>
      </w:r>
    </w:p>
    <w:p w14:paraId="0DFDAEAA" w14:textId="77777777" w:rsidR="00046465" w:rsidRDefault="008134EB">
      <w:pPr>
        <w:pStyle w:val="Heading4"/>
        <w:spacing w:before="240"/>
      </w:pPr>
      <w:bookmarkStart w:id="79" w:name="Evaluate_the_Operating_Effectiveness_of_"/>
      <w:bookmarkEnd w:id="79"/>
      <w:r>
        <w:t>Evaluate</w:t>
      </w:r>
      <w:r>
        <w:rPr>
          <w:spacing w:val="-12"/>
        </w:rPr>
        <w:t xml:space="preserve"> </w:t>
      </w:r>
      <w:r>
        <w:t>the</w:t>
      </w:r>
      <w:r>
        <w:rPr>
          <w:spacing w:val="-12"/>
        </w:rPr>
        <w:t xml:space="preserve"> </w:t>
      </w:r>
      <w:r>
        <w:t>Operating</w:t>
      </w:r>
      <w:r>
        <w:rPr>
          <w:spacing w:val="-13"/>
        </w:rPr>
        <w:t xml:space="preserve"> </w:t>
      </w:r>
      <w:r>
        <w:t>Effectiveness</w:t>
      </w:r>
      <w:r>
        <w:rPr>
          <w:spacing w:val="-12"/>
        </w:rPr>
        <w:t xml:space="preserve"> </w:t>
      </w:r>
      <w:r>
        <w:t>of</w:t>
      </w:r>
      <w:r>
        <w:rPr>
          <w:spacing w:val="-12"/>
        </w:rPr>
        <w:t xml:space="preserve"> </w:t>
      </w:r>
      <w:r>
        <w:rPr>
          <w:spacing w:val="-2"/>
        </w:rPr>
        <w:t>Controls</w:t>
      </w:r>
    </w:p>
    <w:p w14:paraId="0DFDAEAB" w14:textId="77777777" w:rsidR="00046465" w:rsidRDefault="008134EB">
      <w:pPr>
        <w:pStyle w:val="ListParagraph"/>
        <w:numPr>
          <w:ilvl w:val="0"/>
          <w:numId w:val="214"/>
        </w:numPr>
        <w:tabs>
          <w:tab w:val="left" w:pos="1800"/>
        </w:tabs>
        <w:spacing w:before="119"/>
        <w:ind w:left="1800" w:right="837"/>
      </w:pPr>
      <w:r>
        <w:t>As discussed in FAM 310, OMB audit guidance requires the auditor to perform sufficient tests of internal controls that have been suitably designed and implemented to support a low level of assessed control risk. Based on AU-C 402.16, if the auditor identified relevant control activities that are designed and implemented</w:t>
      </w:r>
      <w:r>
        <w:rPr>
          <w:spacing w:val="-4"/>
        </w:rPr>
        <w:t xml:space="preserve"> </w:t>
      </w:r>
      <w:r>
        <w:t>by</w:t>
      </w:r>
      <w:r>
        <w:rPr>
          <w:spacing w:val="-4"/>
        </w:rPr>
        <w:t xml:space="preserve"> </w:t>
      </w:r>
      <w:r>
        <w:t>a</w:t>
      </w:r>
      <w:r>
        <w:rPr>
          <w:spacing w:val="-4"/>
        </w:rPr>
        <w:t xml:space="preserve"> </w:t>
      </w:r>
      <w:r>
        <w:t>service</w:t>
      </w:r>
      <w:r>
        <w:rPr>
          <w:spacing w:val="-4"/>
        </w:rPr>
        <w:t xml:space="preserve"> </w:t>
      </w:r>
      <w:r>
        <w:t>organization</w:t>
      </w:r>
      <w:r>
        <w:rPr>
          <w:spacing w:val="-4"/>
        </w:rPr>
        <w:t xml:space="preserve"> </w:t>
      </w:r>
      <w:r>
        <w:t>(see</w:t>
      </w:r>
      <w:r>
        <w:rPr>
          <w:spacing w:val="-4"/>
        </w:rPr>
        <w:t xml:space="preserve"> </w:t>
      </w:r>
      <w:r>
        <w:t>FAM</w:t>
      </w:r>
      <w:r>
        <w:rPr>
          <w:spacing w:val="-5"/>
        </w:rPr>
        <w:t xml:space="preserve"> </w:t>
      </w:r>
      <w:r>
        <w:t>340),</w:t>
      </w:r>
      <w:r>
        <w:rPr>
          <w:spacing w:val="-4"/>
        </w:rPr>
        <w:t xml:space="preserve"> </w:t>
      </w:r>
      <w:r>
        <w:t>the</w:t>
      </w:r>
      <w:r>
        <w:rPr>
          <w:spacing w:val="-4"/>
        </w:rPr>
        <w:t xml:space="preserve"> </w:t>
      </w:r>
      <w:r>
        <w:t>auditor</w:t>
      </w:r>
      <w:r>
        <w:rPr>
          <w:spacing w:val="-4"/>
        </w:rPr>
        <w:t xml:space="preserve"> </w:t>
      </w:r>
      <w:r>
        <w:t>should</w:t>
      </w:r>
      <w:r>
        <w:rPr>
          <w:spacing w:val="-4"/>
        </w:rPr>
        <w:t xml:space="preserve"> </w:t>
      </w:r>
      <w:r>
        <w:t>obtain audit evidence about the operating effectiveness of those control activities from one or more of the following procedures:</w:t>
      </w:r>
    </w:p>
    <w:p w14:paraId="0DFDAEAC" w14:textId="77777777" w:rsidR="00046465" w:rsidRDefault="008134EB">
      <w:pPr>
        <w:pStyle w:val="ListParagraph"/>
        <w:numPr>
          <w:ilvl w:val="1"/>
          <w:numId w:val="214"/>
        </w:numPr>
        <w:tabs>
          <w:tab w:val="left" w:pos="2159"/>
        </w:tabs>
        <w:spacing w:before="121"/>
        <w:ind w:left="2159" w:hanging="359"/>
      </w:pPr>
      <w:r>
        <w:t>obtaining</w:t>
      </w:r>
      <w:r>
        <w:rPr>
          <w:spacing w:val="-7"/>
        </w:rPr>
        <w:t xml:space="preserve"> </w:t>
      </w:r>
      <w:r>
        <w:t>and</w:t>
      </w:r>
      <w:r>
        <w:rPr>
          <w:spacing w:val="-5"/>
        </w:rPr>
        <w:t xml:space="preserve"> </w:t>
      </w:r>
      <w:r>
        <w:t>reading</w:t>
      </w:r>
      <w:r>
        <w:rPr>
          <w:spacing w:val="-5"/>
        </w:rPr>
        <w:t xml:space="preserve"> </w:t>
      </w:r>
      <w:r>
        <w:t>a</w:t>
      </w:r>
      <w:r>
        <w:rPr>
          <w:spacing w:val="-4"/>
        </w:rPr>
        <w:t xml:space="preserve"> </w:t>
      </w:r>
      <w:r>
        <w:t>type</w:t>
      </w:r>
      <w:r>
        <w:rPr>
          <w:spacing w:val="-5"/>
        </w:rPr>
        <w:t xml:space="preserve"> </w:t>
      </w:r>
      <w:r>
        <w:t>2</w:t>
      </w:r>
      <w:r>
        <w:rPr>
          <w:spacing w:val="-5"/>
        </w:rPr>
        <w:t xml:space="preserve"> </w:t>
      </w:r>
      <w:r>
        <w:t>report,</w:t>
      </w:r>
      <w:r>
        <w:rPr>
          <w:spacing w:val="-5"/>
        </w:rPr>
        <w:t xml:space="preserve"> </w:t>
      </w:r>
      <w:r>
        <w:t>if</w:t>
      </w:r>
      <w:r>
        <w:rPr>
          <w:spacing w:val="-4"/>
        </w:rPr>
        <w:t xml:space="preserve"> </w:t>
      </w:r>
      <w:r>
        <w:rPr>
          <w:spacing w:val="-2"/>
        </w:rPr>
        <w:t>available;</w:t>
      </w:r>
    </w:p>
    <w:p w14:paraId="0DFDAEAD" w14:textId="77777777" w:rsidR="00046465" w:rsidRDefault="008134EB">
      <w:pPr>
        <w:pStyle w:val="ListParagraph"/>
        <w:numPr>
          <w:ilvl w:val="1"/>
          <w:numId w:val="214"/>
        </w:numPr>
        <w:tabs>
          <w:tab w:val="left" w:pos="2159"/>
        </w:tabs>
        <w:ind w:left="2159" w:hanging="359"/>
      </w:pPr>
      <w:r>
        <w:t>performing</w:t>
      </w:r>
      <w:r>
        <w:rPr>
          <w:spacing w:val="-8"/>
        </w:rPr>
        <w:t xml:space="preserve"> </w:t>
      </w:r>
      <w:r>
        <w:t>appropriate</w:t>
      </w:r>
      <w:r>
        <w:rPr>
          <w:spacing w:val="-8"/>
        </w:rPr>
        <w:t xml:space="preserve"> </w:t>
      </w:r>
      <w:r>
        <w:t>tests</w:t>
      </w:r>
      <w:r>
        <w:rPr>
          <w:spacing w:val="-8"/>
        </w:rPr>
        <w:t xml:space="preserve"> </w:t>
      </w:r>
      <w:r>
        <w:t>of</w:t>
      </w:r>
      <w:r>
        <w:rPr>
          <w:spacing w:val="-7"/>
        </w:rPr>
        <w:t xml:space="preserve"> </w:t>
      </w:r>
      <w:r>
        <w:t>controls</w:t>
      </w:r>
      <w:r>
        <w:rPr>
          <w:spacing w:val="-7"/>
        </w:rPr>
        <w:t xml:space="preserve"> </w:t>
      </w:r>
      <w:r>
        <w:t>at</w:t>
      </w:r>
      <w:r>
        <w:rPr>
          <w:spacing w:val="-8"/>
        </w:rPr>
        <w:t xml:space="preserve"> </w:t>
      </w:r>
      <w:r>
        <w:t>the</w:t>
      </w:r>
      <w:r>
        <w:rPr>
          <w:spacing w:val="-7"/>
        </w:rPr>
        <w:t xml:space="preserve"> </w:t>
      </w:r>
      <w:r>
        <w:t>service</w:t>
      </w:r>
      <w:r>
        <w:rPr>
          <w:spacing w:val="-7"/>
        </w:rPr>
        <w:t xml:space="preserve"> </w:t>
      </w:r>
      <w:r>
        <w:t>organization;</w:t>
      </w:r>
      <w:r>
        <w:rPr>
          <w:spacing w:val="-8"/>
        </w:rPr>
        <w:t xml:space="preserve"> </w:t>
      </w:r>
      <w:r>
        <w:rPr>
          <w:spacing w:val="-5"/>
        </w:rPr>
        <w:t>or</w:t>
      </w:r>
    </w:p>
    <w:p w14:paraId="0DFDAEAE" w14:textId="77777777" w:rsidR="00046465" w:rsidRDefault="008134EB">
      <w:pPr>
        <w:pStyle w:val="ListParagraph"/>
        <w:numPr>
          <w:ilvl w:val="1"/>
          <w:numId w:val="214"/>
        </w:numPr>
        <w:tabs>
          <w:tab w:val="left" w:pos="2159"/>
        </w:tabs>
        <w:ind w:left="2159" w:right="915"/>
      </w:pPr>
      <w:r>
        <w:t>using</w:t>
      </w:r>
      <w:r>
        <w:rPr>
          <w:spacing w:val="-4"/>
        </w:rPr>
        <w:t xml:space="preserve"> </w:t>
      </w:r>
      <w:r>
        <w:t>another</w:t>
      </w:r>
      <w:r>
        <w:rPr>
          <w:spacing w:val="-4"/>
        </w:rPr>
        <w:t xml:space="preserve"> </w:t>
      </w:r>
      <w:r>
        <w:t>auditor</w:t>
      </w:r>
      <w:r>
        <w:rPr>
          <w:spacing w:val="-4"/>
        </w:rPr>
        <w:t xml:space="preserve"> </w:t>
      </w:r>
      <w:r>
        <w:t>to</w:t>
      </w:r>
      <w:r>
        <w:rPr>
          <w:spacing w:val="-5"/>
        </w:rPr>
        <w:t xml:space="preserve"> </w:t>
      </w:r>
      <w:r>
        <w:t>perform</w:t>
      </w:r>
      <w:r>
        <w:rPr>
          <w:spacing w:val="-5"/>
        </w:rPr>
        <w:t xml:space="preserve"> </w:t>
      </w:r>
      <w:r>
        <w:t>tests</w:t>
      </w:r>
      <w:r>
        <w:rPr>
          <w:spacing w:val="-4"/>
        </w:rPr>
        <w:t xml:space="preserve"> </w:t>
      </w:r>
      <w:r>
        <w:t>of</w:t>
      </w:r>
      <w:r>
        <w:rPr>
          <w:spacing w:val="-4"/>
        </w:rPr>
        <w:t xml:space="preserve"> </w:t>
      </w:r>
      <w:r>
        <w:t>controls</w:t>
      </w:r>
      <w:r>
        <w:rPr>
          <w:spacing w:val="-4"/>
        </w:rPr>
        <w:t xml:space="preserve"> </w:t>
      </w:r>
      <w:r>
        <w:t>at</w:t>
      </w:r>
      <w:r>
        <w:rPr>
          <w:spacing w:val="-4"/>
        </w:rPr>
        <w:t xml:space="preserve"> </w:t>
      </w:r>
      <w:r>
        <w:t>the</w:t>
      </w:r>
      <w:r>
        <w:rPr>
          <w:spacing w:val="-4"/>
        </w:rPr>
        <w:t xml:space="preserve"> </w:t>
      </w:r>
      <w:r>
        <w:t>service</w:t>
      </w:r>
      <w:r>
        <w:rPr>
          <w:spacing w:val="-4"/>
        </w:rPr>
        <w:t xml:space="preserve"> </w:t>
      </w:r>
      <w:r>
        <w:t>organization on behalf of the auditor.</w:t>
      </w:r>
    </w:p>
    <w:p w14:paraId="0DFDAEAF" w14:textId="77777777" w:rsidR="00046465" w:rsidRDefault="008134EB">
      <w:pPr>
        <w:pStyle w:val="BodyText"/>
        <w:spacing w:before="119"/>
        <w:ind w:left="1799" w:right="749"/>
      </w:pPr>
      <w:r>
        <w:t>As</w:t>
      </w:r>
      <w:r>
        <w:rPr>
          <w:spacing w:val="-3"/>
        </w:rPr>
        <w:t xml:space="preserve"> </w:t>
      </w:r>
      <w:r>
        <w:t>discussed</w:t>
      </w:r>
      <w:r>
        <w:rPr>
          <w:spacing w:val="-3"/>
        </w:rPr>
        <w:t xml:space="preserve"> </w:t>
      </w:r>
      <w:r>
        <w:t>in</w:t>
      </w:r>
      <w:r>
        <w:rPr>
          <w:spacing w:val="-3"/>
        </w:rPr>
        <w:t xml:space="preserve"> </w:t>
      </w:r>
      <w:r>
        <w:t>FAM</w:t>
      </w:r>
      <w:r>
        <w:rPr>
          <w:spacing w:val="-4"/>
        </w:rPr>
        <w:t xml:space="preserve"> </w:t>
      </w:r>
      <w:r>
        <w:t>640.08,</w:t>
      </w:r>
      <w:r>
        <w:rPr>
          <w:spacing w:val="-3"/>
        </w:rPr>
        <w:t xml:space="preserve"> </w:t>
      </w:r>
      <w:r>
        <w:t>the</w:t>
      </w:r>
      <w:r>
        <w:rPr>
          <w:spacing w:val="-3"/>
        </w:rPr>
        <w:t xml:space="preserve"> </w:t>
      </w:r>
      <w:r>
        <w:t>auditor</w:t>
      </w:r>
      <w:r>
        <w:rPr>
          <w:spacing w:val="-3"/>
        </w:rPr>
        <w:t xml:space="preserve"> </w:t>
      </w:r>
      <w:r>
        <w:t>generally</w:t>
      </w:r>
      <w:r>
        <w:rPr>
          <w:spacing w:val="-3"/>
        </w:rPr>
        <w:t xml:space="preserve"> </w:t>
      </w:r>
      <w:r>
        <w:t>should</w:t>
      </w:r>
      <w:r>
        <w:rPr>
          <w:spacing w:val="-4"/>
        </w:rPr>
        <w:t xml:space="preserve"> </w:t>
      </w:r>
      <w:r>
        <w:t>obtain</w:t>
      </w:r>
      <w:r>
        <w:rPr>
          <w:spacing w:val="-3"/>
        </w:rPr>
        <w:t xml:space="preserve"> </w:t>
      </w:r>
      <w:r>
        <w:t>and</w:t>
      </w:r>
      <w:r>
        <w:rPr>
          <w:spacing w:val="-3"/>
        </w:rPr>
        <w:t xml:space="preserve"> </w:t>
      </w:r>
      <w:r>
        <w:t>read</w:t>
      </w:r>
      <w:r>
        <w:rPr>
          <w:spacing w:val="-3"/>
        </w:rPr>
        <w:t xml:space="preserve"> </w:t>
      </w:r>
      <w:r>
        <w:t>a</w:t>
      </w:r>
      <w:r>
        <w:rPr>
          <w:spacing w:val="-3"/>
        </w:rPr>
        <w:t xml:space="preserve"> </w:t>
      </w:r>
      <w:r>
        <w:t>type 2 report, if available. The auditor may determine that additional procedures are necessary based on reading the report.</w:t>
      </w:r>
    </w:p>
    <w:p w14:paraId="0DFDAEB0" w14:textId="77777777" w:rsidR="00046465" w:rsidRDefault="008134EB">
      <w:pPr>
        <w:pStyle w:val="ListParagraph"/>
        <w:numPr>
          <w:ilvl w:val="0"/>
          <w:numId w:val="214"/>
        </w:numPr>
        <w:tabs>
          <w:tab w:val="left" w:pos="1799"/>
        </w:tabs>
        <w:spacing w:before="121"/>
        <w:ind w:right="726"/>
      </w:pPr>
      <w:r>
        <w:t>If the auditor plans to use a type 2 report as audit evidence that relevant controls at the service organization are operating effectively, the auditor should</w:t>
      </w:r>
      <w:r>
        <w:rPr>
          <w:spacing w:val="-1"/>
        </w:rPr>
        <w:t xml:space="preserve"> </w:t>
      </w:r>
      <w:r>
        <w:t>determine whether</w:t>
      </w:r>
      <w:r>
        <w:rPr>
          <w:spacing w:val="-5"/>
        </w:rPr>
        <w:t xml:space="preserve"> </w:t>
      </w:r>
      <w:r>
        <w:t>the</w:t>
      </w:r>
      <w:r>
        <w:rPr>
          <w:spacing w:val="-5"/>
        </w:rPr>
        <w:t xml:space="preserve"> </w:t>
      </w:r>
      <w:r>
        <w:t>service</w:t>
      </w:r>
      <w:r>
        <w:rPr>
          <w:spacing w:val="-5"/>
        </w:rPr>
        <w:t xml:space="preserve"> </w:t>
      </w:r>
      <w:r>
        <w:t>auditor’s</w:t>
      </w:r>
      <w:r>
        <w:rPr>
          <w:spacing w:val="-4"/>
        </w:rPr>
        <w:t xml:space="preserve"> </w:t>
      </w:r>
      <w:r>
        <w:t>report</w:t>
      </w:r>
      <w:r>
        <w:rPr>
          <w:spacing w:val="-5"/>
        </w:rPr>
        <w:t xml:space="preserve"> </w:t>
      </w:r>
      <w:r>
        <w:t>provides</w:t>
      </w:r>
      <w:r>
        <w:rPr>
          <w:spacing w:val="-5"/>
        </w:rPr>
        <w:t xml:space="preserve"> </w:t>
      </w:r>
      <w:r>
        <w:t>sufficient</w:t>
      </w:r>
      <w:r>
        <w:rPr>
          <w:spacing w:val="-5"/>
        </w:rPr>
        <w:t xml:space="preserve"> </w:t>
      </w:r>
      <w:r>
        <w:t>appropriate</w:t>
      </w:r>
      <w:r>
        <w:rPr>
          <w:spacing w:val="-5"/>
        </w:rPr>
        <w:t xml:space="preserve"> </w:t>
      </w:r>
      <w:r>
        <w:t>audit</w:t>
      </w:r>
      <w:r>
        <w:rPr>
          <w:spacing w:val="-5"/>
        </w:rPr>
        <w:t xml:space="preserve"> </w:t>
      </w:r>
      <w:r>
        <w:t>evidence about the effectiveness of the controls to support the auditor’s risk assessment</w:t>
      </w:r>
      <w:r>
        <w:rPr>
          <w:spacing w:val="40"/>
        </w:rPr>
        <w:t xml:space="preserve"> </w:t>
      </w:r>
      <w:r>
        <w:t>by performing the following procedures (AU-C 402.17):</w:t>
      </w:r>
    </w:p>
    <w:p w14:paraId="0DFDAEB1" w14:textId="77777777" w:rsidR="00046465" w:rsidRDefault="008134EB">
      <w:pPr>
        <w:pStyle w:val="ListParagraph"/>
        <w:numPr>
          <w:ilvl w:val="1"/>
          <w:numId w:val="214"/>
        </w:numPr>
        <w:tabs>
          <w:tab w:val="left" w:pos="2159"/>
        </w:tabs>
        <w:ind w:left="2159" w:right="869"/>
      </w:pPr>
      <w:r>
        <w:t>evaluating</w:t>
      </w:r>
      <w:r>
        <w:rPr>
          <w:spacing w:val="-3"/>
        </w:rPr>
        <w:t xml:space="preserve"> </w:t>
      </w:r>
      <w:r>
        <w:t>whether</w:t>
      </w:r>
      <w:r>
        <w:rPr>
          <w:spacing w:val="-3"/>
        </w:rPr>
        <w:t xml:space="preserve"> </w:t>
      </w:r>
      <w:r>
        <w:t>the</w:t>
      </w:r>
      <w:r>
        <w:rPr>
          <w:spacing w:val="-3"/>
        </w:rPr>
        <w:t xml:space="preserve"> </w:t>
      </w:r>
      <w:r>
        <w:t>type</w:t>
      </w:r>
      <w:r>
        <w:rPr>
          <w:spacing w:val="-3"/>
        </w:rPr>
        <w:t xml:space="preserve"> </w:t>
      </w:r>
      <w:r>
        <w:t>2</w:t>
      </w:r>
      <w:r>
        <w:rPr>
          <w:spacing w:val="-3"/>
        </w:rPr>
        <w:t xml:space="preserve"> </w:t>
      </w:r>
      <w:r>
        <w:t>report</w:t>
      </w:r>
      <w:r>
        <w:rPr>
          <w:spacing w:val="-3"/>
        </w:rPr>
        <w:t xml:space="preserve"> </w:t>
      </w:r>
      <w:r>
        <w:t>is</w:t>
      </w:r>
      <w:r>
        <w:rPr>
          <w:spacing w:val="-3"/>
        </w:rPr>
        <w:t xml:space="preserve"> </w:t>
      </w:r>
      <w:r>
        <w:t>for</w:t>
      </w:r>
      <w:r>
        <w:rPr>
          <w:spacing w:val="-3"/>
        </w:rPr>
        <w:t xml:space="preserve"> </w:t>
      </w:r>
      <w:r>
        <w:t>a</w:t>
      </w:r>
      <w:r>
        <w:rPr>
          <w:spacing w:val="-3"/>
        </w:rPr>
        <w:t xml:space="preserve"> </w:t>
      </w:r>
      <w:r>
        <w:t>period</w:t>
      </w:r>
      <w:r>
        <w:rPr>
          <w:spacing w:val="-3"/>
        </w:rPr>
        <w:t xml:space="preserve"> </w:t>
      </w:r>
      <w:r>
        <w:t>that</w:t>
      </w:r>
      <w:r>
        <w:rPr>
          <w:spacing w:val="-3"/>
        </w:rPr>
        <w:t xml:space="preserve"> </w:t>
      </w:r>
      <w:r>
        <w:t>is</w:t>
      </w:r>
      <w:r>
        <w:rPr>
          <w:spacing w:val="-3"/>
        </w:rPr>
        <w:t xml:space="preserve"> </w:t>
      </w:r>
      <w:r>
        <w:t>appropriate</w:t>
      </w:r>
      <w:r>
        <w:rPr>
          <w:spacing w:val="-3"/>
        </w:rPr>
        <w:t xml:space="preserve"> </w:t>
      </w:r>
      <w:r>
        <w:t>for</w:t>
      </w:r>
      <w:r>
        <w:rPr>
          <w:spacing w:val="-3"/>
        </w:rPr>
        <w:t xml:space="preserve"> </w:t>
      </w:r>
      <w:r>
        <w:t>the auditor’s purposes;</w:t>
      </w:r>
    </w:p>
    <w:p w14:paraId="0DFDAEB2" w14:textId="77777777" w:rsidR="00046465" w:rsidRDefault="008134EB">
      <w:pPr>
        <w:pStyle w:val="ListParagraph"/>
        <w:numPr>
          <w:ilvl w:val="1"/>
          <w:numId w:val="214"/>
        </w:numPr>
        <w:tabs>
          <w:tab w:val="left" w:pos="2159"/>
        </w:tabs>
        <w:spacing w:before="119"/>
        <w:ind w:left="2159" w:right="928"/>
      </w:pPr>
      <w:r>
        <w:t>determining whether complementary user entity controls that the service organization</w:t>
      </w:r>
      <w:r>
        <w:rPr>
          <w:spacing w:val="-5"/>
        </w:rPr>
        <w:t xml:space="preserve"> </w:t>
      </w:r>
      <w:r>
        <w:t>identified</w:t>
      </w:r>
      <w:r>
        <w:rPr>
          <w:spacing w:val="-4"/>
        </w:rPr>
        <w:t xml:space="preserve"> </w:t>
      </w:r>
      <w:r>
        <w:t>address</w:t>
      </w:r>
      <w:r>
        <w:rPr>
          <w:spacing w:val="-4"/>
        </w:rPr>
        <w:t xml:space="preserve"> </w:t>
      </w:r>
      <w:r>
        <w:t>the</w:t>
      </w:r>
      <w:r>
        <w:rPr>
          <w:spacing w:val="-4"/>
        </w:rPr>
        <w:t xml:space="preserve"> </w:t>
      </w:r>
      <w:r>
        <w:t>risks</w:t>
      </w:r>
      <w:r>
        <w:rPr>
          <w:spacing w:val="-4"/>
        </w:rPr>
        <w:t xml:space="preserve"> </w:t>
      </w:r>
      <w:r>
        <w:t>of</w:t>
      </w:r>
      <w:r>
        <w:rPr>
          <w:spacing w:val="-4"/>
        </w:rPr>
        <w:t xml:space="preserve"> </w:t>
      </w:r>
      <w:r>
        <w:t>material</w:t>
      </w:r>
      <w:r>
        <w:rPr>
          <w:spacing w:val="-4"/>
        </w:rPr>
        <w:t xml:space="preserve"> </w:t>
      </w:r>
      <w:r>
        <w:t>misstatement</w:t>
      </w:r>
      <w:r>
        <w:rPr>
          <w:spacing w:val="-4"/>
        </w:rPr>
        <w:t xml:space="preserve"> </w:t>
      </w:r>
      <w:r>
        <w:t>relating</w:t>
      </w:r>
      <w:r>
        <w:rPr>
          <w:spacing w:val="-4"/>
        </w:rPr>
        <w:t xml:space="preserve"> </w:t>
      </w:r>
      <w:r>
        <w:t xml:space="preserve">to the significant assertions in the entity’s financial statements and, if so, obtaining an understanding of whether the entity has designed and implemented such controls effectively and, if so, testing their operating </w:t>
      </w:r>
      <w:r>
        <w:rPr>
          <w:spacing w:val="-2"/>
        </w:rPr>
        <w:t>effectiveness;</w:t>
      </w:r>
    </w:p>
    <w:p w14:paraId="0DFDAEB3" w14:textId="77777777" w:rsidR="00046465" w:rsidRDefault="008134EB">
      <w:pPr>
        <w:pStyle w:val="ListParagraph"/>
        <w:numPr>
          <w:ilvl w:val="1"/>
          <w:numId w:val="214"/>
        </w:numPr>
        <w:tabs>
          <w:tab w:val="left" w:pos="2159"/>
        </w:tabs>
        <w:ind w:left="2159" w:right="1026"/>
      </w:pPr>
      <w:r>
        <w:t>evaluating</w:t>
      </w:r>
      <w:r>
        <w:rPr>
          <w:spacing w:val="-4"/>
        </w:rPr>
        <w:t xml:space="preserve"> </w:t>
      </w:r>
      <w:r>
        <w:t>the</w:t>
      </w:r>
      <w:r>
        <w:rPr>
          <w:spacing w:val="-4"/>
        </w:rPr>
        <w:t xml:space="preserve"> </w:t>
      </w:r>
      <w:r>
        <w:t>adequacy</w:t>
      </w:r>
      <w:r>
        <w:rPr>
          <w:spacing w:val="-4"/>
        </w:rPr>
        <w:t xml:space="preserve"> </w:t>
      </w:r>
      <w:r>
        <w:t>of</w:t>
      </w:r>
      <w:r>
        <w:rPr>
          <w:spacing w:val="-4"/>
        </w:rPr>
        <w:t xml:space="preserve"> </w:t>
      </w:r>
      <w:r>
        <w:t>the</w:t>
      </w:r>
      <w:r>
        <w:rPr>
          <w:spacing w:val="-4"/>
        </w:rPr>
        <w:t xml:space="preserve"> </w:t>
      </w:r>
      <w:r>
        <w:t>time</w:t>
      </w:r>
      <w:r>
        <w:rPr>
          <w:spacing w:val="-4"/>
        </w:rPr>
        <w:t xml:space="preserve"> </w:t>
      </w:r>
      <w:r>
        <w:t>period</w:t>
      </w:r>
      <w:r>
        <w:rPr>
          <w:spacing w:val="-4"/>
        </w:rPr>
        <w:t xml:space="preserve"> </w:t>
      </w:r>
      <w:r>
        <w:t>covered</w:t>
      </w:r>
      <w:r>
        <w:rPr>
          <w:spacing w:val="-4"/>
        </w:rPr>
        <w:t xml:space="preserve"> </w:t>
      </w:r>
      <w:r>
        <w:t>by</w:t>
      </w:r>
      <w:r>
        <w:rPr>
          <w:spacing w:val="-4"/>
        </w:rPr>
        <w:t xml:space="preserve"> </w:t>
      </w:r>
      <w:r>
        <w:t>the</w:t>
      </w:r>
      <w:r>
        <w:rPr>
          <w:spacing w:val="-4"/>
        </w:rPr>
        <w:t xml:space="preserve"> </w:t>
      </w:r>
      <w:r>
        <w:t>tests</w:t>
      </w:r>
      <w:r>
        <w:rPr>
          <w:spacing w:val="-4"/>
        </w:rPr>
        <w:t xml:space="preserve"> </w:t>
      </w:r>
      <w:r>
        <w:t>of</w:t>
      </w:r>
      <w:r>
        <w:rPr>
          <w:spacing w:val="-4"/>
        </w:rPr>
        <w:t xml:space="preserve"> </w:t>
      </w:r>
      <w:r>
        <w:t>controls and the time elapsed since the performance of the tests of controls; and</w:t>
      </w:r>
    </w:p>
    <w:p w14:paraId="0DFDAEB4" w14:textId="77777777" w:rsidR="00046465" w:rsidRDefault="00046465">
      <w:pPr>
        <w:pStyle w:val="ListParagraph"/>
        <w:sectPr w:rsidR="00046465">
          <w:pgSz w:w="12240" w:h="15840"/>
          <w:pgMar w:top="1340" w:right="720" w:bottom="1020" w:left="1080" w:header="721" w:footer="757" w:gutter="0"/>
          <w:cols w:space="720"/>
        </w:sectPr>
      </w:pPr>
    </w:p>
    <w:p w14:paraId="0DFDAEB5" w14:textId="77777777" w:rsidR="00046465" w:rsidRDefault="008134EB">
      <w:pPr>
        <w:pStyle w:val="ListParagraph"/>
        <w:numPr>
          <w:ilvl w:val="1"/>
          <w:numId w:val="214"/>
        </w:numPr>
        <w:tabs>
          <w:tab w:val="left" w:pos="2159"/>
        </w:tabs>
        <w:spacing w:before="121"/>
        <w:ind w:left="2159" w:right="758"/>
      </w:pPr>
      <w:r>
        <w:lastRenderedPageBreak/>
        <w:t>evaluating whether the tests of controls that the service auditor performed and the results thereof, as described in the service auditor’s report, are relevant to the assertions in the entity’s financial statements and provide sufficient</w:t>
      </w:r>
      <w:r>
        <w:rPr>
          <w:spacing w:val="-4"/>
        </w:rPr>
        <w:t xml:space="preserve"> </w:t>
      </w:r>
      <w:r>
        <w:t>appropriate</w:t>
      </w:r>
      <w:r>
        <w:rPr>
          <w:spacing w:val="-4"/>
        </w:rPr>
        <w:t xml:space="preserve"> </w:t>
      </w:r>
      <w:r>
        <w:t>audit</w:t>
      </w:r>
      <w:r>
        <w:rPr>
          <w:spacing w:val="-5"/>
        </w:rPr>
        <w:t xml:space="preserve"> </w:t>
      </w:r>
      <w:r>
        <w:t>evidence</w:t>
      </w:r>
      <w:r>
        <w:rPr>
          <w:spacing w:val="-5"/>
        </w:rPr>
        <w:t xml:space="preserve"> </w:t>
      </w:r>
      <w:r>
        <w:t>to</w:t>
      </w:r>
      <w:r>
        <w:rPr>
          <w:spacing w:val="-4"/>
        </w:rPr>
        <w:t xml:space="preserve"> </w:t>
      </w:r>
      <w:r>
        <w:t>support</w:t>
      </w:r>
      <w:r>
        <w:rPr>
          <w:spacing w:val="-4"/>
        </w:rPr>
        <w:t xml:space="preserve"> </w:t>
      </w:r>
      <w:r>
        <w:t>the</w:t>
      </w:r>
      <w:r>
        <w:rPr>
          <w:spacing w:val="-5"/>
        </w:rPr>
        <w:t xml:space="preserve"> </w:t>
      </w:r>
      <w:r>
        <w:t>auditor’s</w:t>
      </w:r>
      <w:r>
        <w:rPr>
          <w:spacing w:val="-5"/>
        </w:rPr>
        <w:t xml:space="preserve"> </w:t>
      </w:r>
      <w:r>
        <w:t>risk</w:t>
      </w:r>
      <w:r>
        <w:rPr>
          <w:spacing w:val="-4"/>
        </w:rPr>
        <w:t xml:space="preserve"> </w:t>
      </w:r>
      <w:r>
        <w:t>assessment.</w:t>
      </w:r>
    </w:p>
    <w:p w14:paraId="0DFDAEB6" w14:textId="77777777" w:rsidR="00046465" w:rsidRDefault="008134EB">
      <w:pPr>
        <w:pStyle w:val="Heading5"/>
        <w:spacing w:before="240"/>
        <w:rPr>
          <w:u w:val="none"/>
        </w:rPr>
      </w:pPr>
      <w:bookmarkStart w:id="80" w:name="Audit_of_Internal_Control_over_Financial"/>
      <w:bookmarkEnd w:id="80"/>
      <w:r>
        <w:t>Audit</w:t>
      </w:r>
      <w:r>
        <w:rPr>
          <w:spacing w:val="-5"/>
        </w:rPr>
        <w:t xml:space="preserve"> </w:t>
      </w:r>
      <w:r>
        <w:t>of</w:t>
      </w:r>
      <w:r>
        <w:rPr>
          <w:spacing w:val="-4"/>
        </w:rPr>
        <w:t xml:space="preserve"> </w:t>
      </w:r>
      <w:r>
        <w:t>Internal</w:t>
      </w:r>
      <w:r>
        <w:rPr>
          <w:spacing w:val="-3"/>
        </w:rPr>
        <w:t xml:space="preserve"> </w:t>
      </w:r>
      <w:r>
        <w:t>Control</w:t>
      </w:r>
      <w:r>
        <w:rPr>
          <w:spacing w:val="-2"/>
        </w:rPr>
        <w:t xml:space="preserve"> </w:t>
      </w:r>
      <w:r>
        <w:t>over</w:t>
      </w:r>
      <w:r>
        <w:rPr>
          <w:spacing w:val="-4"/>
        </w:rPr>
        <w:t xml:space="preserve"> </w:t>
      </w:r>
      <w:r>
        <w:t>Financial</w:t>
      </w:r>
      <w:r>
        <w:rPr>
          <w:spacing w:val="-2"/>
        </w:rPr>
        <w:t xml:space="preserve"> Reporting</w:t>
      </w:r>
    </w:p>
    <w:p w14:paraId="0DFDAEB7" w14:textId="77777777" w:rsidR="00046465" w:rsidRDefault="008134EB">
      <w:pPr>
        <w:pStyle w:val="ListParagraph"/>
        <w:numPr>
          <w:ilvl w:val="0"/>
          <w:numId w:val="214"/>
        </w:numPr>
        <w:tabs>
          <w:tab w:val="left" w:pos="1800"/>
        </w:tabs>
        <w:ind w:left="1800" w:right="848"/>
      </w:pPr>
      <w:r>
        <w:t>As discussed in FAM 350.10, in performing an audit of internal control over financial reporting, the auditor should consider the activities of the service organization when determining the evidence required to support the auditor’s opinion on the effectiveness of the entity’s internal control over financial reporting. The auditor should obtain evidence that controls at the service organization that are relevant to the auditor’s opinion on internal control over financial</w:t>
      </w:r>
      <w:r>
        <w:rPr>
          <w:spacing w:val="-4"/>
        </w:rPr>
        <w:t xml:space="preserve"> </w:t>
      </w:r>
      <w:r>
        <w:t>reporting</w:t>
      </w:r>
      <w:r>
        <w:rPr>
          <w:spacing w:val="-4"/>
        </w:rPr>
        <w:t xml:space="preserve"> </w:t>
      </w:r>
      <w:r>
        <w:t>are</w:t>
      </w:r>
      <w:r>
        <w:rPr>
          <w:spacing w:val="-4"/>
        </w:rPr>
        <w:t xml:space="preserve"> </w:t>
      </w:r>
      <w:r>
        <w:t>operating</w:t>
      </w:r>
      <w:r>
        <w:rPr>
          <w:spacing w:val="-4"/>
        </w:rPr>
        <w:t xml:space="preserve"> </w:t>
      </w:r>
      <w:r>
        <w:t>effectively</w:t>
      </w:r>
      <w:r>
        <w:rPr>
          <w:spacing w:val="-4"/>
        </w:rPr>
        <w:t xml:space="preserve"> </w:t>
      </w:r>
      <w:r>
        <w:t>(AU-C</w:t>
      </w:r>
      <w:r>
        <w:rPr>
          <w:spacing w:val="-5"/>
        </w:rPr>
        <w:t xml:space="preserve"> </w:t>
      </w:r>
      <w:r>
        <w:t>940.89).</w:t>
      </w:r>
      <w:r>
        <w:rPr>
          <w:spacing w:val="-4"/>
        </w:rPr>
        <w:t xml:space="preserve"> </w:t>
      </w:r>
      <w:r>
        <w:t>If</w:t>
      </w:r>
      <w:r>
        <w:rPr>
          <w:spacing w:val="-4"/>
        </w:rPr>
        <w:t xml:space="preserve"> </w:t>
      </w:r>
      <w:r>
        <w:t>the</w:t>
      </w:r>
      <w:r>
        <w:rPr>
          <w:spacing w:val="-4"/>
        </w:rPr>
        <w:t xml:space="preserve"> </w:t>
      </w:r>
      <w:r>
        <w:t>auditor</w:t>
      </w:r>
      <w:r>
        <w:rPr>
          <w:spacing w:val="-6"/>
        </w:rPr>
        <w:t xml:space="preserve"> </w:t>
      </w:r>
      <w:r>
        <w:t>plans</w:t>
      </w:r>
      <w:r>
        <w:rPr>
          <w:spacing w:val="-4"/>
        </w:rPr>
        <w:t xml:space="preserve"> </w:t>
      </w:r>
      <w:r>
        <w:t>to use a type 2 report as audit evidence that controls are operating effectively, the auditor should perform the following:</w:t>
      </w:r>
    </w:p>
    <w:p w14:paraId="0DFDAEB8" w14:textId="77777777" w:rsidR="00046465" w:rsidRDefault="008134EB">
      <w:pPr>
        <w:pStyle w:val="ListParagraph"/>
        <w:numPr>
          <w:ilvl w:val="1"/>
          <w:numId w:val="214"/>
        </w:numPr>
        <w:tabs>
          <w:tab w:val="left" w:pos="2159"/>
        </w:tabs>
        <w:spacing w:before="119"/>
        <w:ind w:left="2159" w:right="1223"/>
      </w:pPr>
      <w:r>
        <w:t>Determine</w:t>
      </w:r>
      <w:r>
        <w:rPr>
          <w:spacing w:val="-4"/>
        </w:rPr>
        <w:t xml:space="preserve"> </w:t>
      </w:r>
      <w:r>
        <w:t>whether</w:t>
      </w:r>
      <w:r>
        <w:rPr>
          <w:spacing w:val="-5"/>
        </w:rPr>
        <w:t xml:space="preserve"> </w:t>
      </w:r>
      <w:r>
        <w:t>the</w:t>
      </w:r>
      <w:r>
        <w:rPr>
          <w:spacing w:val="-5"/>
        </w:rPr>
        <w:t xml:space="preserve"> </w:t>
      </w:r>
      <w:r>
        <w:t>type</w:t>
      </w:r>
      <w:r>
        <w:rPr>
          <w:spacing w:val="-5"/>
        </w:rPr>
        <w:t xml:space="preserve"> </w:t>
      </w:r>
      <w:r>
        <w:t>2</w:t>
      </w:r>
      <w:r>
        <w:rPr>
          <w:spacing w:val="-5"/>
        </w:rPr>
        <w:t xml:space="preserve"> </w:t>
      </w:r>
      <w:r>
        <w:t>report</w:t>
      </w:r>
      <w:r>
        <w:rPr>
          <w:spacing w:val="-5"/>
        </w:rPr>
        <w:t xml:space="preserve"> </w:t>
      </w:r>
      <w:r>
        <w:t>provides</w:t>
      </w:r>
      <w:r>
        <w:rPr>
          <w:spacing w:val="-6"/>
        </w:rPr>
        <w:t xml:space="preserve"> </w:t>
      </w:r>
      <w:r>
        <w:t>sufficient</w:t>
      </w:r>
      <w:r>
        <w:rPr>
          <w:spacing w:val="-5"/>
        </w:rPr>
        <w:t xml:space="preserve"> </w:t>
      </w:r>
      <w:r>
        <w:t>appropriate</w:t>
      </w:r>
      <w:r>
        <w:rPr>
          <w:spacing w:val="-5"/>
        </w:rPr>
        <w:t xml:space="preserve"> </w:t>
      </w:r>
      <w:r>
        <w:t>audit evidence about the effectiveness of the controls to support the auditor’s opinion by evaluating</w:t>
      </w:r>
    </w:p>
    <w:p w14:paraId="0DFDAEB9" w14:textId="77777777" w:rsidR="00046465" w:rsidRDefault="008134EB">
      <w:pPr>
        <w:pStyle w:val="ListParagraph"/>
        <w:numPr>
          <w:ilvl w:val="2"/>
          <w:numId w:val="214"/>
        </w:numPr>
        <w:tabs>
          <w:tab w:val="left" w:pos="2519"/>
        </w:tabs>
        <w:spacing w:before="121"/>
        <w:ind w:right="727"/>
        <w:jc w:val="both"/>
      </w:pPr>
      <w:r>
        <w:t>the time period covered</w:t>
      </w:r>
      <w:r>
        <w:rPr>
          <w:spacing w:val="-1"/>
        </w:rPr>
        <w:t xml:space="preserve"> </w:t>
      </w:r>
      <w:r>
        <w:t>by the tests</w:t>
      </w:r>
      <w:r>
        <w:rPr>
          <w:spacing w:val="-1"/>
        </w:rPr>
        <w:t xml:space="preserve"> </w:t>
      </w:r>
      <w:r>
        <w:t>of controls and its relation to the date specified</w:t>
      </w:r>
      <w:r>
        <w:rPr>
          <w:spacing w:val="-6"/>
        </w:rPr>
        <w:t xml:space="preserve"> </w:t>
      </w:r>
      <w:r>
        <w:t>in</w:t>
      </w:r>
      <w:r>
        <w:rPr>
          <w:spacing w:val="-6"/>
        </w:rPr>
        <w:t xml:space="preserve"> </w:t>
      </w:r>
      <w:r>
        <w:t>management’s</w:t>
      </w:r>
      <w:r>
        <w:rPr>
          <w:spacing w:val="-5"/>
        </w:rPr>
        <w:t xml:space="preserve"> </w:t>
      </w:r>
      <w:r>
        <w:t>assessment</w:t>
      </w:r>
      <w:r>
        <w:rPr>
          <w:spacing w:val="-5"/>
        </w:rPr>
        <w:t xml:space="preserve"> </w:t>
      </w:r>
      <w:r>
        <w:t>about</w:t>
      </w:r>
      <w:r>
        <w:rPr>
          <w:spacing w:val="-5"/>
        </w:rPr>
        <w:t xml:space="preserve"> </w:t>
      </w:r>
      <w:r>
        <w:t>the</w:t>
      </w:r>
      <w:r>
        <w:rPr>
          <w:spacing w:val="-5"/>
        </w:rPr>
        <w:t xml:space="preserve"> </w:t>
      </w:r>
      <w:r>
        <w:t>effectiveness</w:t>
      </w:r>
      <w:r>
        <w:rPr>
          <w:spacing w:val="-5"/>
        </w:rPr>
        <w:t xml:space="preserve"> </w:t>
      </w:r>
      <w:r>
        <w:t>of</w:t>
      </w:r>
      <w:r>
        <w:rPr>
          <w:spacing w:val="-5"/>
        </w:rPr>
        <w:t xml:space="preserve"> </w:t>
      </w:r>
      <w:r>
        <w:t>internal control over financial reporting (i.e., balance sheet date);</w:t>
      </w:r>
    </w:p>
    <w:p w14:paraId="0DFDAEBA" w14:textId="77777777" w:rsidR="00046465" w:rsidRDefault="008134EB">
      <w:pPr>
        <w:pStyle w:val="ListParagraph"/>
        <w:numPr>
          <w:ilvl w:val="2"/>
          <w:numId w:val="214"/>
        </w:numPr>
        <w:tabs>
          <w:tab w:val="left" w:pos="2519"/>
        </w:tabs>
        <w:spacing w:before="118"/>
        <w:ind w:right="1009"/>
        <w:jc w:val="both"/>
      </w:pPr>
      <w:r>
        <w:t>the</w:t>
      </w:r>
      <w:r>
        <w:rPr>
          <w:spacing w:val="-3"/>
        </w:rPr>
        <w:t xml:space="preserve"> </w:t>
      </w:r>
      <w:r>
        <w:t>scope</w:t>
      </w:r>
      <w:r>
        <w:rPr>
          <w:spacing w:val="-3"/>
        </w:rPr>
        <w:t xml:space="preserve"> </w:t>
      </w:r>
      <w:r>
        <w:t>of</w:t>
      </w:r>
      <w:r>
        <w:rPr>
          <w:spacing w:val="-3"/>
        </w:rPr>
        <w:t xml:space="preserve"> </w:t>
      </w:r>
      <w:r>
        <w:t>the</w:t>
      </w:r>
      <w:r>
        <w:rPr>
          <w:spacing w:val="-3"/>
        </w:rPr>
        <w:t xml:space="preserve"> </w:t>
      </w:r>
      <w:r>
        <w:t>service</w:t>
      </w:r>
      <w:r>
        <w:rPr>
          <w:spacing w:val="-3"/>
        </w:rPr>
        <w:t xml:space="preserve"> </w:t>
      </w:r>
      <w:r>
        <w:t>auditor’s</w:t>
      </w:r>
      <w:r>
        <w:rPr>
          <w:spacing w:val="-3"/>
        </w:rPr>
        <w:t xml:space="preserve"> </w:t>
      </w:r>
      <w:r>
        <w:t>work</w:t>
      </w:r>
      <w:r>
        <w:rPr>
          <w:spacing w:val="-3"/>
        </w:rPr>
        <w:t xml:space="preserve"> </w:t>
      </w:r>
      <w:r>
        <w:t>and</w:t>
      </w:r>
      <w:r>
        <w:rPr>
          <w:spacing w:val="-3"/>
        </w:rPr>
        <w:t xml:space="preserve"> </w:t>
      </w:r>
      <w:r>
        <w:t>the</w:t>
      </w:r>
      <w:r>
        <w:rPr>
          <w:spacing w:val="-3"/>
        </w:rPr>
        <w:t xml:space="preserve"> </w:t>
      </w:r>
      <w:r>
        <w:t>services</w:t>
      </w:r>
      <w:r>
        <w:rPr>
          <w:spacing w:val="-3"/>
        </w:rPr>
        <w:t xml:space="preserve"> </w:t>
      </w:r>
      <w:r>
        <w:t>and</w:t>
      </w:r>
      <w:r>
        <w:rPr>
          <w:spacing w:val="-3"/>
        </w:rPr>
        <w:t xml:space="preserve"> </w:t>
      </w:r>
      <w:r>
        <w:t>processes covered,</w:t>
      </w:r>
      <w:r>
        <w:rPr>
          <w:spacing w:val="-4"/>
        </w:rPr>
        <w:t xml:space="preserve"> </w:t>
      </w:r>
      <w:r>
        <w:t>the</w:t>
      </w:r>
      <w:r>
        <w:rPr>
          <w:spacing w:val="-5"/>
        </w:rPr>
        <w:t xml:space="preserve"> </w:t>
      </w:r>
      <w:r>
        <w:t>controls</w:t>
      </w:r>
      <w:r>
        <w:rPr>
          <w:spacing w:val="-4"/>
        </w:rPr>
        <w:t xml:space="preserve"> </w:t>
      </w:r>
      <w:r>
        <w:t>tested,</w:t>
      </w:r>
      <w:r>
        <w:rPr>
          <w:spacing w:val="-4"/>
        </w:rPr>
        <w:t xml:space="preserve"> </w:t>
      </w:r>
      <w:r>
        <w:t>and</w:t>
      </w:r>
      <w:r>
        <w:rPr>
          <w:spacing w:val="-4"/>
        </w:rPr>
        <w:t xml:space="preserve"> </w:t>
      </w:r>
      <w:r>
        <w:t>the</w:t>
      </w:r>
      <w:r>
        <w:rPr>
          <w:spacing w:val="-5"/>
        </w:rPr>
        <w:t xml:space="preserve"> </w:t>
      </w:r>
      <w:r>
        <w:t>tests</w:t>
      </w:r>
      <w:r>
        <w:rPr>
          <w:spacing w:val="-4"/>
        </w:rPr>
        <w:t xml:space="preserve"> </w:t>
      </w:r>
      <w:r>
        <w:t>that</w:t>
      </w:r>
      <w:r>
        <w:rPr>
          <w:spacing w:val="-4"/>
        </w:rPr>
        <w:t xml:space="preserve"> </w:t>
      </w:r>
      <w:r>
        <w:t>were</w:t>
      </w:r>
      <w:r>
        <w:rPr>
          <w:spacing w:val="-4"/>
        </w:rPr>
        <w:t xml:space="preserve"> </w:t>
      </w:r>
      <w:r>
        <w:t>performed</w:t>
      </w:r>
      <w:r>
        <w:rPr>
          <w:spacing w:val="-4"/>
        </w:rPr>
        <w:t xml:space="preserve"> </w:t>
      </w:r>
      <w:r>
        <w:t>and</w:t>
      </w:r>
      <w:r>
        <w:rPr>
          <w:spacing w:val="-4"/>
        </w:rPr>
        <w:t xml:space="preserve"> </w:t>
      </w:r>
      <w:r>
        <w:t>the way in which tested controls relate to the entity’s controls; and</w:t>
      </w:r>
    </w:p>
    <w:p w14:paraId="0DFDAEBB" w14:textId="77777777" w:rsidR="00046465" w:rsidRDefault="008134EB">
      <w:pPr>
        <w:pStyle w:val="ListParagraph"/>
        <w:numPr>
          <w:ilvl w:val="2"/>
          <w:numId w:val="214"/>
        </w:numPr>
        <w:tabs>
          <w:tab w:val="left" w:pos="2519"/>
        </w:tabs>
        <w:spacing w:before="119"/>
        <w:ind w:right="935"/>
        <w:jc w:val="both"/>
      </w:pPr>
      <w:r>
        <w:t>the</w:t>
      </w:r>
      <w:r>
        <w:rPr>
          <w:spacing w:val="-3"/>
        </w:rPr>
        <w:t xml:space="preserve"> </w:t>
      </w:r>
      <w:r>
        <w:t>results</w:t>
      </w:r>
      <w:r>
        <w:rPr>
          <w:spacing w:val="-3"/>
        </w:rPr>
        <w:t xml:space="preserve"> </w:t>
      </w:r>
      <w:r>
        <w:t>of</w:t>
      </w:r>
      <w:r>
        <w:rPr>
          <w:spacing w:val="-3"/>
        </w:rPr>
        <w:t xml:space="preserve"> </w:t>
      </w:r>
      <w:r>
        <w:t>those</w:t>
      </w:r>
      <w:r>
        <w:rPr>
          <w:spacing w:val="-3"/>
        </w:rPr>
        <w:t xml:space="preserve"> </w:t>
      </w:r>
      <w:r>
        <w:t>tests</w:t>
      </w:r>
      <w:r>
        <w:rPr>
          <w:spacing w:val="-4"/>
        </w:rPr>
        <w:t xml:space="preserve"> </w:t>
      </w:r>
      <w:r>
        <w:t>of</w:t>
      </w:r>
      <w:r>
        <w:rPr>
          <w:spacing w:val="-3"/>
        </w:rPr>
        <w:t xml:space="preserve"> </w:t>
      </w:r>
      <w:r>
        <w:t>controls</w:t>
      </w:r>
      <w:r>
        <w:rPr>
          <w:spacing w:val="-4"/>
        </w:rPr>
        <w:t xml:space="preserve"> </w:t>
      </w:r>
      <w:r>
        <w:t>and</w:t>
      </w:r>
      <w:r>
        <w:rPr>
          <w:spacing w:val="-3"/>
        </w:rPr>
        <w:t xml:space="preserve"> </w:t>
      </w:r>
      <w:r>
        <w:t>the</w:t>
      </w:r>
      <w:r>
        <w:rPr>
          <w:spacing w:val="-3"/>
        </w:rPr>
        <w:t xml:space="preserve"> </w:t>
      </w:r>
      <w:r>
        <w:t>service</w:t>
      </w:r>
      <w:r>
        <w:rPr>
          <w:spacing w:val="-3"/>
        </w:rPr>
        <w:t xml:space="preserve"> </w:t>
      </w:r>
      <w:r>
        <w:t>auditor’s</w:t>
      </w:r>
      <w:r>
        <w:rPr>
          <w:spacing w:val="-4"/>
        </w:rPr>
        <w:t xml:space="preserve"> </w:t>
      </w:r>
      <w:r>
        <w:t>opinion</w:t>
      </w:r>
      <w:r>
        <w:rPr>
          <w:spacing w:val="-3"/>
        </w:rPr>
        <w:t xml:space="preserve"> </w:t>
      </w:r>
      <w:r>
        <w:t>on the operating effectiveness of the controls (AU-C 940.04a and .90).</w:t>
      </w:r>
    </w:p>
    <w:p w14:paraId="0DFDAEBC" w14:textId="77777777" w:rsidR="00046465" w:rsidRDefault="008134EB">
      <w:pPr>
        <w:pStyle w:val="ListParagraph"/>
        <w:numPr>
          <w:ilvl w:val="1"/>
          <w:numId w:val="214"/>
        </w:numPr>
        <w:tabs>
          <w:tab w:val="left" w:pos="2159"/>
        </w:tabs>
        <w:spacing w:before="117"/>
        <w:ind w:left="2159" w:right="771"/>
      </w:pPr>
      <w:r>
        <w:t>Inquire</w:t>
      </w:r>
      <w:r>
        <w:rPr>
          <w:spacing w:val="-5"/>
        </w:rPr>
        <w:t xml:space="preserve"> </w:t>
      </w:r>
      <w:r>
        <w:t>of</w:t>
      </w:r>
      <w:r>
        <w:rPr>
          <w:spacing w:val="-5"/>
        </w:rPr>
        <w:t xml:space="preserve"> </w:t>
      </w:r>
      <w:r>
        <w:t>management</w:t>
      </w:r>
      <w:r>
        <w:rPr>
          <w:spacing w:val="-5"/>
        </w:rPr>
        <w:t xml:space="preserve"> </w:t>
      </w:r>
      <w:r>
        <w:t>to</w:t>
      </w:r>
      <w:r>
        <w:rPr>
          <w:spacing w:val="-5"/>
        </w:rPr>
        <w:t xml:space="preserve"> </w:t>
      </w:r>
      <w:r>
        <w:t>determine</w:t>
      </w:r>
      <w:r>
        <w:rPr>
          <w:spacing w:val="-5"/>
        </w:rPr>
        <w:t xml:space="preserve"> </w:t>
      </w:r>
      <w:r>
        <w:t>whether</w:t>
      </w:r>
      <w:r>
        <w:rPr>
          <w:spacing w:val="-5"/>
        </w:rPr>
        <w:t xml:space="preserve"> </w:t>
      </w:r>
      <w:r>
        <w:t>management</w:t>
      </w:r>
      <w:r>
        <w:rPr>
          <w:spacing w:val="-5"/>
        </w:rPr>
        <w:t xml:space="preserve"> </w:t>
      </w:r>
      <w:r>
        <w:t>has</w:t>
      </w:r>
      <w:r>
        <w:rPr>
          <w:spacing w:val="-5"/>
        </w:rPr>
        <w:t xml:space="preserve"> </w:t>
      </w:r>
      <w:r>
        <w:t>identified</w:t>
      </w:r>
      <w:r>
        <w:rPr>
          <w:spacing w:val="-6"/>
        </w:rPr>
        <w:t xml:space="preserve"> </w:t>
      </w:r>
      <w:r>
        <w:t xml:space="preserve">any changes in the service organization’s controls subsequent to the period covered by the service auditor’s report. If management has identified such changes, the auditor should evaluate the effect of such changes on the effectiveness of the entity’s internal control over financial reporting (AU-C </w:t>
      </w:r>
      <w:r>
        <w:rPr>
          <w:spacing w:val="-2"/>
        </w:rPr>
        <w:t>940.93).</w:t>
      </w:r>
    </w:p>
    <w:p w14:paraId="0DFDAEBD" w14:textId="77777777" w:rsidR="00046465" w:rsidRDefault="008134EB">
      <w:pPr>
        <w:pStyle w:val="ListParagraph"/>
        <w:numPr>
          <w:ilvl w:val="1"/>
          <w:numId w:val="214"/>
        </w:numPr>
        <w:tabs>
          <w:tab w:val="left" w:pos="2159"/>
        </w:tabs>
        <w:ind w:left="2159" w:right="1370"/>
      </w:pPr>
      <w:r>
        <w:t>Evaluate</w:t>
      </w:r>
      <w:r>
        <w:rPr>
          <w:spacing w:val="-5"/>
        </w:rPr>
        <w:t xml:space="preserve"> </w:t>
      </w:r>
      <w:r>
        <w:t>whether</w:t>
      </w:r>
      <w:r>
        <w:rPr>
          <w:spacing w:val="-5"/>
        </w:rPr>
        <w:t xml:space="preserve"> </w:t>
      </w:r>
      <w:r>
        <w:t>the</w:t>
      </w:r>
      <w:r>
        <w:rPr>
          <w:spacing w:val="-5"/>
        </w:rPr>
        <w:t xml:space="preserve"> </w:t>
      </w:r>
      <w:r>
        <w:t>results</w:t>
      </w:r>
      <w:r>
        <w:rPr>
          <w:spacing w:val="-5"/>
        </w:rPr>
        <w:t xml:space="preserve"> </w:t>
      </w:r>
      <w:r>
        <w:t>of</w:t>
      </w:r>
      <w:r>
        <w:rPr>
          <w:spacing w:val="-5"/>
        </w:rPr>
        <w:t xml:space="preserve"> </w:t>
      </w:r>
      <w:r>
        <w:t>other</w:t>
      </w:r>
      <w:r>
        <w:rPr>
          <w:spacing w:val="-5"/>
        </w:rPr>
        <w:t xml:space="preserve"> </w:t>
      </w:r>
      <w:r>
        <w:t>procedures</w:t>
      </w:r>
      <w:r>
        <w:rPr>
          <w:spacing w:val="-5"/>
        </w:rPr>
        <w:t xml:space="preserve"> </w:t>
      </w:r>
      <w:r>
        <w:t>the</w:t>
      </w:r>
      <w:r>
        <w:rPr>
          <w:spacing w:val="-5"/>
        </w:rPr>
        <w:t xml:space="preserve"> </w:t>
      </w:r>
      <w:r>
        <w:t>auditor</w:t>
      </w:r>
      <w:r>
        <w:rPr>
          <w:spacing w:val="-6"/>
        </w:rPr>
        <w:t xml:space="preserve"> </w:t>
      </w:r>
      <w:r>
        <w:t>performed indicate that there have been changes in the controls at the service organization (AU-C 940.93).</w:t>
      </w:r>
    </w:p>
    <w:p w14:paraId="0DFDAEBE" w14:textId="77777777" w:rsidR="00046465" w:rsidRDefault="008134EB">
      <w:pPr>
        <w:pStyle w:val="ListParagraph"/>
        <w:numPr>
          <w:ilvl w:val="1"/>
          <w:numId w:val="214"/>
        </w:numPr>
        <w:tabs>
          <w:tab w:val="left" w:pos="2159"/>
        </w:tabs>
        <w:spacing w:before="121"/>
        <w:ind w:left="2159" w:right="771"/>
      </w:pPr>
      <w:r>
        <w:t>Determine whether to obtain additional evidence about the operating effectiveness of controls at the service organization based on (1) the procedures</w:t>
      </w:r>
      <w:r>
        <w:rPr>
          <w:spacing w:val="-5"/>
        </w:rPr>
        <w:t xml:space="preserve"> </w:t>
      </w:r>
      <w:r>
        <w:t>performed</w:t>
      </w:r>
      <w:r>
        <w:rPr>
          <w:spacing w:val="-4"/>
        </w:rPr>
        <w:t xml:space="preserve"> </w:t>
      </w:r>
      <w:r>
        <w:t>by</w:t>
      </w:r>
      <w:r>
        <w:rPr>
          <w:spacing w:val="-4"/>
        </w:rPr>
        <w:t xml:space="preserve"> </w:t>
      </w:r>
      <w:r>
        <w:t>management</w:t>
      </w:r>
      <w:r>
        <w:rPr>
          <w:spacing w:val="-4"/>
        </w:rPr>
        <w:t xml:space="preserve"> </w:t>
      </w:r>
      <w:r>
        <w:t>or</w:t>
      </w:r>
      <w:r>
        <w:rPr>
          <w:spacing w:val="-4"/>
        </w:rPr>
        <w:t xml:space="preserve"> </w:t>
      </w:r>
      <w:r>
        <w:t>the</w:t>
      </w:r>
      <w:r>
        <w:rPr>
          <w:spacing w:val="-4"/>
        </w:rPr>
        <w:t xml:space="preserve"> </w:t>
      </w:r>
      <w:r>
        <w:t>auditor</w:t>
      </w:r>
      <w:r>
        <w:rPr>
          <w:spacing w:val="-4"/>
        </w:rPr>
        <w:t xml:space="preserve"> </w:t>
      </w:r>
      <w:r>
        <w:t>and</w:t>
      </w:r>
      <w:r>
        <w:rPr>
          <w:spacing w:val="-4"/>
        </w:rPr>
        <w:t xml:space="preserve"> </w:t>
      </w:r>
      <w:r>
        <w:t>the</w:t>
      </w:r>
      <w:r>
        <w:rPr>
          <w:spacing w:val="-4"/>
        </w:rPr>
        <w:t xml:space="preserve"> </w:t>
      </w:r>
      <w:r>
        <w:t>results</w:t>
      </w:r>
      <w:r>
        <w:rPr>
          <w:spacing w:val="-4"/>
        </w:rPr>
        <w:t xml:space="preserve"> </w:t>
      </w:r>
      <w:r>
        <w:t>of</w:t>
      </w:r>
      <w:r>
        <w:rPr>
          <w:spacing w:val="-4"/>
        </w:rPr>
        <w:t xml:space="preserve"> </w:t>
      </w:r>
      <w:r>
        <w:t>those procedures and (2) an evaluation of the following risk factors (AU-C 940.06b and .94):</w:t>
      </w:r>
    </w:p>
    <w:p w14:paraId="0DFDAEBF" w14:textId="77777777" w:rsidR="00046465" w:rsidRDefault="008134EB">
      <w:pPr>
        <w:pStyle w:val="ListParagraph"/>
        <w:numPr>
          <w:ilvl w:val="2"/>
          <w:numId w:val="214"/>
        </w:numPr>
        <w:tabs>
          <w:tab w:val="left" w:pos="2519"/>
        </w:tabs>
        <w:spacing w:before="119"/>
        <w:ind w:right="790"/>
      </w:pPr>
      <w:r>
        <w:t>the</w:t>
      </w:r>
      <w:r>
        <w:rPr>
          <w:spacing w:val="-4"/>
        </w:rPr>
        <w:t xml:space="preserve"> </w:t>
      </w:r>
      <w:r>
        <w:t>elapsed</w:t>
      </w:r>
      <w:r>
        <w:rPr>
          <w:spacing w:val="-5"/>
        </w:rPr>
        <w:t xml:space="preserve"> </w:t>
      </w:r>
      <w:r>
        <w:t>time</w:t>
      </w:r>
      <w:r>
        <w:rPr>
          <w:spacing w:val="-4"/>
        </w:rPr>
        <w:t xml:space="preserve"> </w:t>
      </w:r>
      <w:r>
        <w:t>between</w:t>
      </w:r>
      <w:r>
        <w:rPr>
          <w:spacing w:val="-4"/>
        </w:rPr>
        <w:t xml:space="preserve"> </w:t>
      </w:r>
      <w:r>
        <w:t>the</w:t>
      </w:r>
      <w:r>
        <w:rPr>
          <w:spacing w:val="-4"/>
        </w:rPr>
        <w:t xml:space="preserve"> </w:t>
      </w:r>
      <w:r>
        <w:t>time</w:t>
      </w:r>
      <w:r>
        <w:rPr>
          <w:spacing w:val="-4"/>
        </w:rPr>
        <w:t xml:space="preserve"> </w:t>
      </w:r>
      <w:r>
        <w:t>period</w:t>
      </w:r>
      <w:r>
        <w:rPr>
          <w:spacing w:val="-4"/>
        </w:rPr>
        <w:t xml:space="preserve"> </w:t>
      </w:r>
      <w:r>
        <w:t>covered</w:t>
      </w:r>
      <w:r>
        <w:rPr>
          <w:spacing w:val="-4"/>
        </w:rPr>
        <w:t xml:space="preserve"> </w:t>
      </w:r>
      <w:r>
        <w:t>by</w:t>
      </w:r>
      <w:r>
        <w:rPr>
          <w:spacing w:val="-4"/>
        </w:rPr>
        <w:t xml:space="preserve"> </w:t>
      </w:r>
      <w:r>
        <w:t>the</w:t>
      </w:r>
      <w:r>
        <w:rPr>
          <w:spacing w:val="-4"/>
        </w:rPr>
        <w:t xml:space="preserve"> </w:t>
      </w:r>
      <w:r>
        <w:t>tests</w:t>
      </w:r>
      <w:r>
        <w:rPr>
          <w:spacing w:val="-4"/>
        </w:rPr>
        <w:t xml:space="preserve"> </w:t>
      </w:r>
      <w:r>
        <w:t>of</w:t>
      </w:r>
      <w:r>
        <w:rPr>
          <w:spacing w:val="-4"/>
        </w:rPr>
        <w:t xml:space="preserve"> </w:t>
      </w:r>
      <w:r>
        <w:t>controls in the service auditor’s report and the balance sheet date,</w:t>
      </w:r>
    </w:p>
    <w:p w14:paraId="0DFDAEC0" w14:textId="77777777" w:rsidR="00046465" w:rsidRDefault="008134EB">
      <w:pPr>
        <w:pStyle w:val="ListParagraph"/>
        <w:numPr>
          <w:ilvl w:val="2"/>
          <w:numId w:val="214"/>
        </w:numPr>
        <w:tabs>
          <w:tab w:val="left" w:pos="2519"/>
        </w:tabs>
        <w:spacing w:before="119"/>
      </w:pPr>
      <w:r>
        <w:t>the</w:t>
      </w:r>
      <w:r>
        <w:rPr>
          <w:spacing w:val="-6"/>
        </w:rPr>
        <w:t xml:space="preserve"> </w:t>
      </w:r>
      <w:r>
        <w:t>significance</w:t>
      </w:r>
      <w:r>
        <w:rPr>
          <w:spacing w:val="-6"/>
        </w:rPr>
        <w:t xml:space="preserve"> </w:t>
      </w:r>
      <w:r>
        <w:t>of</w:t>
      </w:r>
      <w:r>
        <w:rPr>
          <w:spacing w:val="-6"/>
        </w:rPr>
        <w:t xml:space="preserve"> </w:t>
      </w:r>
      <w:r>
        <w:t>the</w:t>
      </w:r>
      <w:r>
        <w:rPr>
          <w:spacing w:val="-5"/>
        </w:rPr>
        <w:t xml:space="preserve"> </w:t>
      </w:r>
      <w:r>
        <w:t>activities</w:t>
      </w:r>
      <w:r>
        <w:rPr>
          <w:spacing w:val="-6"/>
        </w:rPr>
        <w:t xml:space="preserve"> </w:t>
      </w:r>
      <w:r>
        <w:t>of</w:t>
      </w:r>
      <w:r>
        <w:rPr>
          <w:spacing w:val="-6"/>
        </w:rPr>
        <w:t xml:space="preserve"> </w:t>
      </w:r>
      <w:r>
        <w:t>the</w:t>
      </w:r>
      <w:r>
        <w:rPr>
          <w:spacing w:val="-6"/>
        </w:rPr>
        <w:t xml:space="preserve"> </w:t>
      </w:r>
      <w:r>
        <w:t>service</w:t>
      </w:r>
      <w:r>
        <w:rPr>
          <w:spacing w:val="-6"/>
        </w:rPr>
        <w:t xml:space="preserve"> </w:t>
      </w:r>
      <w:r>
        <w:rPr>
          <w:spacing w:val="-2"/>
        </w:rPr>
        <w:t>organization,</w:t>
      </w:r>
    </w:p>
    <w:p w14:paraId="0DFDAEC1" w14:textId="77777777" w:rsidR="00046465" w:rsidRDefault="008134EB">
      <w:pPr>
        <w:pStyle w:val="ListParagraph"/>
        <w:numPr>
          <w:ilvl w:val="2"/>
          <w:numId w:val="214"/>
        </w:numPr>
        <w:tabs>
          <w:tab w:val="left" w:pos="2519"/>
        </w:tabs>
        <w:spacing w:before="118"/>
        <w:ind w:right="1744"/>
      </w:pPr>
      <w:r>
        <w:t>whether</w:t>
      </w:r>
      <w:r>
        <w:rPr>
          <w:spacing w:val="-4"/>
        </w:rPr>
        <w:t xml:space="preserve"> </w:t>
      </w:r>
      <w:r>
        <w:t>there</w:t>
      </w:r>
      <w:r>
        <w:rPr>
          <w:spacing w:val="-4"/>
        </w:rPr>
        <w:t xml:space="preserve"> </w:t>
      </w:r>
      <w:r>
        <w:t>are</w:t>
      </w:r>
      <w:r>
        <w:rPr>
          <w:spacing w:val="-4"/>
        </w:rPr>
        <w:t xml:space="preserve"> </w:t>
      </w:r>
      <w:r>
        <w:t>errors</w:t>
      </w:r>
      <w:r>
        <w:rPr>
          <w:spacing w:val="-5"/>
        </w:rPr>
        <w:t xml:space="preserve"> </w:t>
      </w:r>
      <w:r>
        <w:t>that</w:t>
      </w:r>
      <w:r>
        <w:rPr>
          <w:spacing w:val="-4"/>
        </w:rPr>
        <w:t xml:space="preserve"> </w:t>
      </w:r>
      <w:r>
        <w:t>have</w:t>
      </w:r>
      <w:r>
        <w:rPr>
          <w:spacing w:val="-4"/>
        </w:rPr>
        <w:t xml:space="preserve"> </w:t>
      </w:r>
      <w:r>
        <w:t>been</w:t>
      </w:r>
      <w:r>
        <w:rPr>
          <w:spacing w:val="-4"/>
        </w:rPr>
        <w:t xml:space="preserve"> </w:t>
      </w:r>
      <w:r>
        <w:t>identified</w:t>
      </w:r>
      <w:r>
        <w:rPr>
          <w:spacing w:val="-5"/>
        </w:rPr>
        <w:t xml:space="preserve"> </w:t>
      </w:r>
      <w:r>
        <w:t>in</w:t>
      </w:r>
      <w:r>
        <w:rPr>
          <w:spacing w:val="-4"/>
        </w:rPr>
        <w:t xml:space="preserve"> </w:t>
      </w:r>
      <w:r>
        <w:t>the</w:t>
      </w:r>
      <w:r>
        <w:rPr>
          <w:spacing w:val="-4"/>
        </w:rPr>
        <w:t xml:space="preserve"> </w:t>
      </w:r>
      <w:r>
        <w:t>service organization’s processing, and</w:t>
      </w:r>
    </w:p>
    <w:p w14:paraId="0DFDAEC2" w14:textId="77777777" w:rsidR="00046465" w:rsidRDefault="00046465">
      <w:pPr>
        <w:pStyle w:val="ListParagraph"/>
        <w:sectPr w:rsidR="00046465">
          <w:pgSz w:w="12240" w:h="15840"/>
          <w:pgMar w:top="1340" w:right="720" w:bottom="940" w:left="1080" w:header="721" w:footer="757" w:gutter="0"/>
          <w:cols w:space="720"/>
        </w:sectPr>
      </w:pPr>
    </w:p>
    <w:p w14:paraId="0DFDAEC3" w14:textId="77777777" w:rsidR="00046465" w:rsidRDefault="008134EB">
      <w:pPr>
        <w:pStyle w:val="ListParagraph"/>
        <w:numPr>
          <w:ilvl w:val="2"/>
          <w:numId w:val="214"/>
        </w:numPr>
        <w:tabs>
          <w:tab w:val="left" w:pos="2519"/>
        </w:tabs>
        <w:spacing w:before="121"/>
        <w:ind w:right="959"/>
      </w:pPr>
      <w:r>
        <w:lastRenderedPageBreak/>
        <w:t>the</w:t>
      </w:r>
      <w:r>
        <w:rPr>
          <w:spacing w:val="-4"/>
        </w:rPr>
        <w:t xml:space="preserve"> </w:t>
      </w:r>
      <w:r>
        <w:t>nature</w:t>
      </w:r>
      <w:r>
        <w:rPr>
          <w:spacing w:val="-4"/>
        </w:rPr>
        <w:t xml:space="preserve"> </w:t>
      </w:r>
      <w:r>
        <w:t>and</w:t>
      </w:r>
      <w:r>
        <w:rPr>
          <w:spacing w:val="-4"/>
        </w:rPr>
        <w:t xml:space="preserve"> </w:t>
      </w:r>
      <w:r>
        <w:t>significance</w:t>
      </w:r>
      <w:r>
        <w:rPr>
          <w:spacing w:val="-4"/>
        </w:rPr>
        <w:t xml:space="preserve"> </w:t>
      </w:r>
      <w:r>
        <w:t>of</w:t>
      </w:r>
      <w:r>
        <w:rPr>
          <w:spacing w:val="-4"/>
        </w:rPr>
        <w:t xml:space="preserve"> </w:t>
      </w:r>
      <w:r>
        <w:t>any</w:t>
      </w:r>
      <w:r>
        <w:rPr>
          <w:spacing w:val="-4"/>
        </w:rPr>
        <w:t xml:space="preserve"> </w:t>
      </w:r>
      <w:r>
        <w:t>changes</w:t>
      </w:r>
      <w:r>
        <w:rPr>
          <w:spacing w:val="-4"/>
        </w:rPr>
        <w:t xml:space="preserve"> </w:t>
      </w:r>
      <w:r>
        <w:t>in</w:t>
      </w:r>
      <w:r>
        <w:rPr>
          <w:spacing w:val="-4"/>
        </w:rPr>
        <w:t xml:space="preserve"> </w:t>
      </w:r>
      <w:r>
        <w:t>the</w:t>
      </w:r>
      <w:r>
        <w:rPr>
          <w:spacing w:val="-5"/>
        </w:rPr>
        <w:t xml:space="preserve"> </w:t>
      </w:r>
      <w:r>
        <w:t>service</w:t>
      </w:r>
      <w:r>
        <w:rPr>
          <w:spacing w:val="-4"/>
        </w:rPr>
        <w:t xml:space="preserve"> </w:t>
      </w:r>
      <w:r>
        <w:t>organization’s controls identified by management or the auditor.</w:t>
      </w:r>
    </w:p>
    <w:p w14:paraId="0DFDAEC4" w14:textId="77777777" w:rsidR="00046465" w:rsidRDefault="008134EB">
      <w:pPr>
        <w:pStyle w:val="ListParagraph"/>
        <w:numPr>
          <w:ilvl w:val="1"/>
          <w:numId w:val="214"/>
        </w:numPr>
        <w:tabs>
          <w:tab w:val="left" w:pos="2159"/>
        </w:tabs>
        <w:spacing w:before="118"/>
        <w:ind w:left="2159" w:right="721"/>
      </w:pPr>
      <w:r>
        <w:t>When a significant period of time has elapsed between the time period covered</w:t>
      </w:r>
      <w:r>
        <w:rPr>
          <w:spacing w:val="-3"/>
        </w:rPr>
        <w:t xml:space="preserve"> </w:t>
      </w:r>
      <w:r>
        <w:t>by</w:t>
      </w:r>
      <w:r>
        <w:rPr>
          <w:spacing w:val="-3"/>
        </w:rPr>
        <w:t xml:space="preserve"> </w:t>
      </w:r>
      <w:r>
        <w:t>the</w:t>
      </w:r>
      <w:r>
        <w:rPr>
          <w:spacing w:val="-3"/>
        </w:rPr>
        <w:t xml:space="preserve"> </w:t>
      </w:r>
      <w:r>
        <w:t>tests</w:t>
      </w:r>
      <w:r>
        <w:rPr>
          <w:spacing w:val="-3"/>
        </w:rPr>
        <w:t xml:space="preserve"> </w:t>
      </w:r>
      <w:r>
        <w:t>of</w:t>
      </w:r>
      <w:r>
        <w:rPr>
          <w:spacing w:val="-4"/>
        </w:rPr>
        <w:t xml:space="preserve"> </w:t>
      </w:r>
      <w:r>
        <w:t>controls</w:t>
      </w:r>
      <w:r>
        <w:rPr>
          <w:spacing w:val="-3"/>
        </w:rPr>
        <w:t xml:space="preserve"> </w:t>
      </w:r>
      <w:r>
        <w:t>in</w:t>
      </w:r>
      <w:r>
        <w:rPr>
          <w:spacing w:val="-3"/>
        </w:rPr>
        <w:t xml:space="preserve"> </w:t>
      </w:r>
      <w:r>
        <w:t>the</w:t>
      </w:r>
      <w:r>
        <w:rPr>
          <w:spacing w:val="-3"/>
        </w:rPr>
        <w:t xml:space="preserve"> </w:t>
      </w:r>
      <w:r>
        <w:t>service</w:t>
      </w:r>
      <w:r>
        <w:rPr>
          <w:spacing w:val="-4"/>
        </w:rPr>
        <w:t xml:space="preserve"> </w:t>
      </w:r>
      <w:r>
        <w:t>auditor’s</w:t>
      </w:r>
      <w:r>
        <w:rPr>
          <w:spacing w:val="-3"/>
        </w:rPr>
        <w:t xml:space="preserve"> </w:t>
      </w:r>
      <w:r>
        <w:t>report</w:t>
      </w:r>
      <w:r>
        <w:rPr>
          <w:spacing w:val="-4"/>
        </w:rPr>
        <w:t xml:space="preserve"> </w:t>
      </w:r>
      <w:r>
        <w:t>and</w:t>
      </w:r>
      <w:r>
        <w:rPr>
          <w:spacing w:val="-3"/>
        </w:rPr>
        <w:t xml:space="preserve"> </w:t>
      </w:r>
      <w:r>
        <w:t>the</w:t>
      </w:r>
      <w:r>
        <w:rPr>
          <w:spacing w:val="-3"/>
        </w:rPr>
        <w:t xml:space="preserve"> </w:t>
      </w:r>
      <w:r>
        <w:t>balance sheet date, perform additional procedures to obtain sufficient appropriate audit</w:t>
      </w:r>
      <w:r>
        <w:rPr>
          <w:spacing w:val="-2"/>
        </w:rPr>
        <w:t xml:space="preserve"> </w:t>
      </w:r>
      <w:r>
        <w:t>evidence</w:t>
      </w:r>
      <w:r>
        <w:rPr>
          <w:spacing w:val="-2"/>
        </w:rPr>
        <w:t xml:space="preserve"> </w:t>
      </w:r>
      <w:r>
        <w:t>about</w:t>
      </w:r>
      <w:r>
        <w:rPr>
          <w:spacing w:val="-2"/>
        </w:rPr>
        <w:t xml:space="preserve"> </w:t>
      </w:r>
      <w:r>
        <w:t>the</w:t>
      </w:r>
      <w:r>
        <w:rPr>
          <w:spacing w:val="-3"/>
        </w:rPr>
        <w:t xml:space="preserve"> </w:t>
      </w:r>
      <w:r>
        <w:t>operating</w:t>
      </w:r>
      <w:r>
        <w:rPr>
          <w:spacing w:val="-2"/>
        </w:rPr>
        <w:t xml:space="preserve"> </w:t>
      </w:r>
      <w:r>
        <w:t>effectiveness</w:t>
      </w:r>
      <w:r>
        <w:rPr>
          <w:spacing w:val="-3"/>
        </w:rPr>
        <w:t xml:space="preserve"> </w:t>
      </w:r>
      <w:r>
        <w:t>of</w:t>
      </w:r>
      <w:r>
        <w:rPr>
          <w:spacing w:val="-2"/>
        </w:rPr>
        <w:t xml:space="preserve"> </w:t>
      </w:r>
      <w:r>
        <w:t>the</w:t>
      </w:r>
      <w:r>
        <w:rPr>
          <w:spacing w:val="-2"/>
        </w:rPr>
        <w:t xml:space="preserve"> </w:t>
      </w:r>
      <w:r>
        <w:t>controls</w:t>
      </w:r>
      <w:r>
        <w:rPr>
          <w:spacing w:val="-2"/>
        </w:rPr>
        <w:t xml:space="preserve"> </w:t>
      </w:r>
      <w:r>
        <w:t>at</w:t>
      </w:r>
      <w:r>
        <w:rPr>
          <w:spacing w:val="-2"/>
        </w:rPr>
        <w:t xml:space="preserve"> </w:t>
      </w:r>
      <w:r>
        <w:t>the</w:t>
      </w:r>
      <w:r>
        <w:rPr>
          <w:spacing w:val="-2"/>
        </w:rPr>
        <w:t xml:space="preserve"> </w:t>
      </w:r>
      <w:r>
        <w:t>service organization that are relevant to the auditor’s opinion on internal control over financial reporting (AU-C 940.06b and .95).</w:t>
      </w:r>
    </w:p>
    <w:p w14:paraId="0DFDAEC5" w14:textId="77777777" w:rsidR="00046465" w:rsidRDefault="008134EB">
      <w:pPr>
        <w:pStyle w:val="ListParagraph"/>
        <w:numPr>
          <w:ilvl w:val="0"/>
          <w:numId w:val="214"/>
        </w:numPr>
        <w:tabs>
          <w:tab w:val="left" w:pos="1799"/>
        </w:tabs>
        <w:ind w:right="1238"/>
      </w:pPr>
      <w:r>
        <w:t>If the auditor concludes that additional evidence about the operating effectiveness</w:t>
      </w:r>
      <w:r>
        <w:rPr>
          <w:spacing w:val="-4"/>
        </w:rPr>
        <w:t xml:space="preserve"> </w:t>
      </w:r>
      <w:r>
        <w:t>of</w:t>
      </w:r>
      <w:r>
        <w:rPr>
          <w:spacing w:val="-4"/>
        </w:rPr>
        <w:t xml:space="preserve"> </w:t>
      </w:r>
      <w:r>
        <w:t>controls</w:t>
      </w:r>
      <w:r>
        <w:rPr>
          <w:spacing w:val="-5"/>
        </w:rPr>
        <w:t xml:space="preserve"> </w:t>
      </w:r>
      <w:r>
        <w:t>at</w:t>
      </w:r>
      <w:r>
        <w:rPr>
          <w:spacing w:val="-4"/>
        </w:rPr>
        <w:t xml:space="preserve"> </w:t>
      </w:r>
      <w:r>
        <w:t>the</w:t>
      </w:r>
      <w:r>
        <w:rPr>
          <w:spacing w:val="-4"/>
        </w:rPr>
        <w:t xml:space="preserve"> </w:t>
      </w:r>
      <w:r>
        <w:t>service</w:t>
      </w:r>
      <w:r>
        <w:rPr>
          <w:spacing w:val="-4"/>
        </w:rPr>
        <w:t xml:space="preserve"> </w:t>
      </w:r>
      <w:r>
        <w:t>organization</w:t>
      </w:r>
      <w:r>
        <w:rPr>
          <w:spacing w:val="-4"/>
        </w:rPr>
        <w:t xml:space="preserve"> </w:t>
      </w:r>
      <w:r>
        <w:t>is</w:t>
      </w:r>
      <w:r>
        <w:rPr>
          <w:spacing w:val="-4"/>
        </w:rPr>
        <w:t xml:space="preserve"> </w:t>
      </w:r>
      <w:r>
        <w:t>required,</w:t>
      </w:r>
      <w:r>
        <w:rPr>
          <w:spacing w:val="-4"/>
        </w:rPr>
        <w:t xml:space="preserve"> </w:t>
      </w:r>
      <w:r>
        <w:t>the</w:t>
      </w:r>
      <w:r>
        <w:rPr>
          <w:spacing w:val="-4"/>
        </w:rPr>
        <w:t xml:space="preserve"> </w:t>
      </w:r>
      <w:r>
        <w:t>auditor’s additional procedures might include</w:t>
      </w:r>
    </w:p>
    <w:p w14:paraId="0DFDAEC6" w14:textId="77777777" w:rsidR="00046465" w:rsidRDefault="008134EB">
      <w:pPr>
        <w:pStyle w:val="ListParagraph"/>
        <w:numPr>
          <w:ilvl w:val="1"/>
          <w:numId w:val="214"/>
        </w:numPr>
        <w:tabs>
          <w:tab w:val="left" w:pos="2160"/>
        </w:tabs>
        <w:ind w:right="1062"/>
      </w:pPr>
      <w:r>
        <w:t>evaluating</w:t>
      </w:r>
      <w:r>
        <w:rPr>
          <w:spacing w:val="-5"/>
        </w:rPr>
        <w:t xml:space="preserve"> </w:t>
      </w:r>
      <w:r>
        <w:t>procedures</w:t>
      </w:r>
      <w:r>
        <w:rPr>
          <w:spacing w:val="-4"/>
        </w:rPr>
        <w:t xml:space="preserve"> </w:t>
      </w:r>
      <w:r>
        <w:t>performed</w:t>
      </w:r>
      <w:r>
        <w:rPr>
          <w:spacing w:val="-5"/>
        </w:rPr>
        <w:t xml:space="preserve"> </w:t>
      </w:r>
      <w:r>
        <w:t>by</w:t>
      </w:r>
      <w:r>
        <w:rPr>
          <w:spacing w:val="-5"/>
        </w:rPr>
        <w:t xml:space="preserve"> </w:t>
      </w:r>
      <w:r>
        <w:t>management</w:t>
      </w:r>
      <w:r>
        <w:rPr>
          <w:spacing w:val="-5"/>
        </w:rPr>
        <w:t xml:space="preserve"> </w:t>
      </w:r>
      <w:r>
        <w:t>and</w:t>
      </w:r>
      <w:r>
        <w:rPr>
          <w:spacing w:val="-5"/>
        </w:rPr>
        <w:t xml:space="preserve"> </w:t>
      </w:r>
      <w:r>
        <w:t>the</w:t>
      </w:r>
      <w:r>
        <w:rPr>
          <w:spacing w:val="-5"/>
        </w:rPr>
        <w:t xml:space="preserve"> </w:t>
      </w:r>
      <w:r>
        <w:t>results</w:t>
      </w:r>
      <w:r>
        <w:rPr>
          <w:spacing w:val="-5"/>
        </w:rPr>
        <w:t xml:space="preserve"> </w:t>
      </w:r>
      <w:r>
        <w:t>of</w:t>
      </w:r>
      <w:r>
        <w:rPr>
          <w:spacing w:val="-5"/>
        </w:rPr>
        <w:t xml:space="preserve"> </w:t>
      </w:r>
      <w:r>
        <w:t xml:space="preserve">those </w:t>
      </w:r>
      <w:r>
        <w:rPr>
          <w:spacing w:val="-2"/>
        </w:rPr>
        <w:t>procedures;</w:t>
      </w:r>
    </w:p>
    <w:p w14:paraId="0DFDAEC7" w14:textId="77777777" w:rsidR="00046465" w:rsidRDefault="008134EB">
      <w:pPr>
        <w:pStyle w:val="ListParagraph"/>
        <w:numPr>
          <w:ilvl w:val="1"/>
          <w:numId w:val="214"/>
        </w:numPr>
        <w:tabs>
          <w:tab w:val="left" w:pos="2159"/>
        </w:tabs>
        <w:ind w:left="2159" w:right="1308"/>
      </w:pPr>
      <w:r>
        <w:t>contacting</w:t>
      </w:r>
      <w:r>
        <w:rPr>
          <w:spacing w:val="-4"/>
        </w:rPr>
        <w:t xml:space="preserve"> </w:t>
      </w:r>
      <w:r>
        <w:t>the</w:t>
      </w:r>
      <w:r>
        <w:rPr>
          <w:spacing w:val="-4"/>
        </w:rPr>
        <w:t xml:space="preserve"> </w:t>
      </w:r>
      <w:r>
        <w:t>service</w:t>
      </w:r>
      <w:r>
        <w:rPr>
          <w:spacing w:val="-5"/>
        </w:rPr>
        <w:t xml:space="preserve"> </w:t>
      </w:r>
      <w:r>
        <w:t>organization,</w:t>
      </w:r>
      <w:r>
        <w:rPr>
          <w:spacing w:val="-5"/>
        </w:rPr>
        <w:t xml:space="preserve"> </w:t>
      </w:r>
      <w:r>
        <w:t>through</w:t>
      </w:r>
      <w:r>
        <w:rPr>
          <w:spacing w:val="-4"/>
        </w:rPr>
        <w:t xml:space="preserve"> </w:t>
      </w:r>
      <w:r>
        <w:t>the</w:t>
      </w:r>
      <w:r>
        <w:rPr>
          <w:spacing w:val="-5"/>
        </w:rPr>
        <w:t xml:space="preserve"> </w:t>
      </w:r>
      <w:r>
        <w:t>entity,</w:t>
      </w:r>
      <w:r>
        <w:rPr>
          <w:spacing w:val="-4"/>
        </w:rPr>
        <w:t xml:space="preserve"> </w:t>
      </w:r>
      <w:r>
        <w:t>to</w:t>
      </w:r>
      <w:r>
        <w:rPr>
          <w:spacing w:val="-4"/>
        </w:rPr>
        <w:t xml:space="preserve"> </w:t>
      </w:r>
      <w:r>
        <w:t>obtain</w:t>
      </w:r>
      <w:r>
        <w:rPr>
          <w:spacing w:val="-4"/>
        </w:rPr>
        <w:t xml:space="preserve"> </w:t>
      </w:r>
      <w:r>
        <w:t xml:space="preserve">specific </w:t>
      </w:r>
      <w:r>
        <w:rPr>
          <w:spacing w:val="-2"/>
        </w:rPr>
        <w:t>information;</w:t>
      </w:r>
    </w:p>
    <w:p w14:paraId="0DFDAEC8" w14:textId="77777777" w:rsidR="00046465" w:rsidRDefault="008134EB">
      <w:pPr>
        <w:pStyle w:val="ListParagraph"/>
        <w:numPr>
          <w:ilvl w:val="1"/>
          <w:numId w:val="214"/>
        </w:numPr>
        <w:tabs>
          <w:tab w:val="left" w:pos="2159"/>
        </w:tabs>
        <w:spacing w:before="119"/>
        <w:ind w:left="2159" w:right="906"/>
      </w:pPr>
      <w:r>
        <w:t>requesting</w:t>
      </w:r>
      <w:r>
        <w:rPr>
          <w:spacing w:val="-4"/>
        </w:rPr>
        <w:t xml:space="preserve"> </w:t>
      </w:r>
      <w:r>
        <w:t>that</w:t>
      </w:r>
      <w:r>
        <w:rPr>
          <w:spacing w:val="-4"/>
        </w:rPr>
        <w:t xml:space="preserve"> </w:t>
      </w:r>
      <w:r>
        <w:t>a</w:t>
      </w:r>
      <w:r>
        <w:rPr>
          <w:spacing w:val="-4"/>
        </w:rPr>
        <w:t xml:space="preserve"> </w:t>
      </w:r>
      <w:r>
        <w:t>service</w:t>
      </w:r>
      <w:r>
        <w:rPr>
          <w:spacing w:val="-4"/>
        </w:rPr>
        <w:t xml:space="preserve"> </w:t>
      </w:r>
      <w:r>
        <w:t>auditor</w:t>
      </w:r>
      <w:r>
        <w:rPr>
          <w:spacing w:val="-4"/>
        </w:rPr>
        <w:t xml:space="preserve"> </w:t>
      </w:r>
      <w:r>
        <w:t>be</w:t>
      </w:r>
      <w:r>
        <w:rPr>
          <w:spacing w:val="-5"/>
        </w:rPr>
        <w:t xml:space="preserve"> </w:t>
      </w:r>
      <w:r>
        <w:t>engaged</w:t>
      </w:r>
      <w:r>
        <w:rPr>
          <w:spacing w:val="-4"/>
        </w:rPr>
        <w:t xml:space="preserve"> </w:t>
      </w:r>
      <w:r>
        <w:t>to</w:t>
      </w:r>
      <w:r>
        <w:rPr>
          <w:spacing w:val="-5"/>
        </w:rPr>
        <w:t xml:space="preserve"> </w:t>
      </w:r>
      <w:r>
        <w:t>perform</w:t>
      </w:r>
      <w:r>
        <w:rPr>
          <w:spacing w:val="-5"/>
        </w:rPr>
        <w:t xml:space="preserve"> </w:t>
      </w:r>
      <w:r>
        <w:t>procedures</w:t>
      </w:r>
      <w:r>
        <w:rPr>
          <w:spacing w:val="-4"/>
        </w:rPr>
        <w:t xml:space="preserve"> </w:t>
      </w:r>
      <w:r>
        <w:t>that</w:t>
      </w:r>
      <w:r>
        <w:rPr>
          <w:spacing w:val="-5"/>
        </w:rPr>
        <w:t xml:space="preserve"> </w:t>
      </w:r>
      <w:r>
        <w:t>will supply the necessary information; and</w:t>
      </w:r>
    </w:p>
    <w:p w14:paraId="0DFDAEC9" w14:textId="77777777" w:rsidR="00046465" w:rsidRDefault="008134EB">
      <w:pPr>
        <w:pStyle w:val="ListParagraph"/>
        <w:numPr>
          <w:ilvl w:val="1"/>
          <w:numId w:val="214"/>
        </w:numPr>
        <w:tabs>
          <w:tab w:val="left" w:pos="2159"/>
        </w:tabs>
        <w:spacing w:before="121"/>
        <w:ind w:left="2159" w:right="1320"/>
      </w:pPr>
      <w:r>
        <w:t>visiting</w:t>
      </w:r>
      <w:r>
        <w:rPr>
          <w:spacing w:val="-5"/>
        </w:rPr>
        <w:t xml:space="preserve"> </w:t>
      </w:r>
      <w:r>
        <w:t>the</w:t>
      </w:r>
      <w:r>
        <w:rPr>
          <w:spacing w:val="-5"/>
        </w:rPr>
        <w:t xml:space="preserve"> </w:t>
      </w:r>
      <w:r>
        <w:t>service</w:t>
      </w:r>
      <w:r>
        <w:rPr>
          <w:spacing w:val="-5"/>
        </w:rPr>
        <w:t xml:space="preserve"> </w:t>
      </w:r>
      <w:r>
        <w:t>organization</w:t>
      </w:r>
      <w:r>
        <w:rPr>
          <w:spacing w:val="-5"/>
        </w:rPr>
        <w:t xml:space="preserve"> </w:t>
      </w:r>
      <w:r>
        <w:t>and</w:t>
      </w:r>
      <w:r>
        <w:rPr>
          <w:spacing w:val="-6"/>
        </w:rPr>
        <w:t xml:space="preserve"> </w:t>
      </w:r>
      <w:r>
        <w:t>performing</w:t>
      </w:r>
      <w:r>
        <w:rPr>
          <w:spacing w:val="-5"/>
        </w:rPr>
        <w:t xml:space="preserve"> </w:t>
      </w:r>
      <w:r>
        <w:t>such</w:t>
      </w:r>
      <w:r>
        <w:rPr>
          <w:spacing w:val="-5"/>
        </w:rPr>
        <w:t xml:space="preserve"> </w:t>
      </w:r>
      <w:r>
        <w:t>procedures</w:t>
      </w:r>
      <w:r>
        <w:rPr>
          <w:spacing w:val="-3"/>
        </w:rPr>
        <w:t xml:space="preserve"> </w:t>
      </w:r>
      <w:r>
        <w:t xml:space="preserve">(AU-C </w:t>
      </w:r>
      <w:r>
        <w:rPr>
          <w:spacing w:val="-2"/>
        </w:rPr>
        <w:t>940.A148).</w:t>
      </w:r>
    </w:p>
    <w:p w14:paraId="0DFDAECA" w14:textId="77777777" w:rsidR="00046465" w:rsidRDefault="008134EB">
      <w:pPr>
        <w:pStyle w:val="Heading4"/>
      </w:pPr>
      <w:bookmarkStart w:id="81" w:name="Use_of_Subservice_Organizations"/>
      <w:bookmarkEnd w:id="81"/>
      <w:r>
        <w:t>Use</w:t>
      </w:r>
      <w:r>
        <w:rPr>
          <w:spacing w:val="-9"/>
        </w:rPr>
        <w:t xml:space="preserve"> </w:t>
      </w:r>
      <w:r>
        <w:t>of</w:t>
      </w:r>
      <w:r>
        <w:rPr>
          <w:spacing w:val="-9"/>
        </w:rPr>
        <w:t xml:space="preserve"> </w:t>
      </w:r>
      <w:r>
        <w:t>Subservice</w:t>
      </w:r>
      <w:r>
        <w:rPr>
          <w:spacing w:val="-9"/>
        </w:rPr>
        <w:t xml:space="preserve"> </w:t>
      </w:r>
      <w:r>
        <w:rPr>
          <w:spacing w:val="-2"/>
        </w:rPr>
        <w:t>Organizations</w:t>
      </w:r>
    </w:p>
    <w:p w14:paraId="0DFDAECB" w14:textId="77777777" w:rsidR="00046465" w:rsidRDefault="008134EB">
      <w:pPr>
        <w:pStyle w:val="ListParagraph"/>
        <w:numPr>
          <w:ilvl w:val="0"/>
          <w:numId w:val="214"/>
        </w:numPr>
        <w:tabs>
          <w:tab w:val="left" w:pos="1800"/>
        </w:tabs>
        <w:spacing w:before="119"/>
        <w:ind w:left="1800" w:right="1043"/>
      </w:pPr>
      <w:r>
        <w:t>An entity may use a service organization that in turn uses a subservice organization to provide some of the services provided to the entity that are relevant to the entity’s internal control over financial reporting. The subservice organization</w:t>
      </w:r>
      <w:r>
        <w:rPr>
          <w:spacing w:val="-4"/>
        </w:rPr>
        <w:t xml:space="preserve"> </w:t>
      </w:r>
      <w:r>
        <w:t>may</w:t>
      </w:r>
      <w:r>
        <w:rPr>
          <w:spacing w:val="-3"/>
        </w:rPr>
        <w:t xml:space="preserve"> </w:t>
      </w:r>
      <w:r>
        <w:t>be</w:t>
      </w:r>
      <w:r>
        <w:rPr>
          <w:spacing w:val="-3"/>
        </w:rPr>
        <w:t xml:space="preserve"> </w:t>
      </w:r>
      <w:r>
        <w:t>a</w:t>
      </w:r>
      <w:r>
        <w:rPr>
          <w:spacing w:val="-3"/>
        </w:rPr>
        <w:t xml:space="preserve"> </w:t>
      </w:r>
      <w:r>
        <w:t>separate</w:t>
      </w:r>
      <w:r>
        <w:rPr>
          <w:spacing w:val="-3"/>
        </w:rPr>
        <w:t xml:space="preserve"> </w:t>
      </w:r>
      <w:r>
        <w:t>entity</w:t>
      </w:r>
      <w:r>
        <w:rPr>
          <w:spacing w:val="-3"/>
        </w:rPr>
        <w:t xml:space="preserve"> </w:t>
      </w:r>
      <w:r>
        <w:t>from</w:t>
      </w:r>
      <w:r>
        <w:rPr>
          <w:spacing w:val="-4"/>
        </w:rPr>
        <w:t xml:space="preserve"> </w:t>
      </w:r>
      <w:r>
        <w:t>the</w:t>
      </w:r>
      <w:r>
        <w:rPr>
          <w:spacing w:val="-3"/>
        </w:rPr>
        <w:t xml:space="preserve"> </w:t>
      </w:r>
      <w:r>
        <w:t>service</w:t>
      </w:r>
      <w:r>
        <w:rPr>
          <w:spacing w:val="-3"/>
        </w:rPr>
        <w:t xml:space="preserve"> </w:t>
      </w:r>
      <w:r>
        <w:t>organization</w:t>
      </w:r>
      <w:r>
        <w:rPr>
          <w:spacing w:val="-3"/>
        </w:rPr>
        <w:t xml:space="preserve"> </w:t>
      </w:r>
      <w:r>
        <w:t>or</w:t>
      </w:r>
      <w:r>
        <w:rPr>
          <w:spacing w:val="-3"/>
        </w:rPr>
        <w:t xml:space="preserve"> </w:t>
      </w:r>
      <w:r>
        <w:t>may</w:t>
      </w:r>
      <w:r>
        <w:rPr>
          <w:spacing w:val="-3"/>
        </w:rPr>
        <w:t xml:space="preserve"> </w:t>
      </w:r>
      <w:r>
        <w:t>be related to the service organization.</w:t>
      </w:r>
    </w:p>
    <w:p w14:paraId="0DFDAECC" w14:textId="77777777" w:rsidR="00046465" w:rsidRDefault="008134EB">
      <w:pPr>
        <w:pStyle w:val="BodyText"/>
        <w:spacing w:before="120"/>
        <w:ind w:left="1800" w:right="726"/>
      </w:pPr>
      <w:r>
        <w:t>In situations in which one or more subservice organizations are used, the interaction between the activities of the entity and those of the service organization is expanded to include the interaction between the entity, the</w:t>
      </w:r>
      <w:r>
        <w:rPr>
          <w:spacing w:val="40"/>
        </w:rPr>
        <w:t xml:space="preserve"> </w:t>
      </w:r>
      <w:r>
        <w:t>service organization, and the subservice organizations. The degree of this interaction as well as the nature and materiality of the transactions processed by the service organization and the subservice organizations are the most important factors for the auditor to consider in determining the significance of the service organization’s</w:t>
      </w:r>
      <w:r>
        <w:rPr>
          <w:spacing w:val="-5"/>
        </w:rPr>
        <w:t xml:space="preserve"> </w:t>
      </w:r>
      <w:r>
        <w:t>and</w:t>
      </w:r>
      <w:r>
        <w:rPr>
          <w:spacing w:val="-5"/>
        </w:rPr>
        <w:t xml:space="preserve"> </w:t>
      </w:r>
      <w:r>
        <w:t>subservice</w:t>
      </w:r>
      <w:r>
        <w:rPr>
          <w:spacing w:val="-5"/>
        </w:rPr>
        <w:t xml:space="preserve"> </w:t>
      </w:r>
      <w:r>
        <w:t>organization’s</w:t>
      </w:r>
      <w:r>
        <w:rPr>
          <w:spacing w:val="-5"/>
        </w:rPr>
        <w:t xml:space="preserve"> </w:t>
      </w:r>
      <w:r>
        <w:t>controls</w:t>
      </w:r>
      <w:r>
        <w:rPr>
          <w:spacing w:val="-5"/>
        </w:rPr>
        <w:t xml:space="preserve"> </w:t>
      </w:r>
      <w:r>
        <w:t>to</w:t>
      </w:r>
      <w:r>
        <w:rPr>
          <w:spacing w:val="-5"/>
        </w:rPr>
        <w:t xml:space="preserve"> </w:t>
      </w:r>
      <w:r>
        <w:t>the</w:t>
      </w:r>
      <w:r>
        <w:rPr>
          <w:spacing w:val="-5"/>
        </w:rPr>
        <w:t xml:space="preserve"> </w:t>
      </w:r>
      <w:r>
        <w:t>entity’s</w:t>
      </w:r>
      <w:r>
        <w:rPr>
          <w:spacing w:val="-6"/>
        </w:rPr>
        <w:t xml:space="preserve"> </w:t>
      </w:r>
      <w:r>
        <w:t>controls.</w:t>
      </w:r>
      <w:r>
        <w:rPr>
          <w:spacing w:val="-5"/>
        </w:rPr>
        <w:t xml:space="preserve"> </w:t>
      </w:r>
      <w:r>
        <w:t>(AU-C 402.A20)</w:t>
      </w:r>
    </w:p>
    <w:p w14:paraId="0DFDAECD" w14:textId="77777777" w:rsidR="00046465" w:rsidRDefault="008134EB">
      <w:pPr>
        <w:pStyle w:val="ListParagraph"/>
        <w:numPr>
          <w:ilvl w:val="0"/>
          <w:numId w:val="214"/>
        </w:numPr>
        <w:tabs>
          <w:tab w:val="left" w:pos="1800"/>
        </w:tabs>
        <w:ind w:left="1800" w:right="750" w:hanging="720"/>
      </w:pPr>
      <w:r>
        <w:t>If a service organization uses a subservice organization, the service auditor’s report may either include or exclude the subservice organization’s relevant control objectives and related controls in the service organization’s description of its system and in the scope of the service auditor’s engagement. These two methods of reporting are known as the inclusive method and the carve-out method,</w:t>
      </w:r>
      <w:r>
        <w:rPr>
          <w:spacing w:val="-4"/>
        </w:rPr>
        <w:t xml:space="preserve"> </w:t>
      </w:r>
      <w:r>
        <w:t>respectively</w:t>
      </w:r>
      <w:r>
        <w:rPr>
          <w:spacing w:val="-5"/>
        </w:rPr>
        <w:t xml:space="preserve"> </w:t>
      </w:r>
      <w:r>
        <w:t>(AU-C</w:t>
      </w:r>
      <w:r>
        <w:rPr>
          <w:spacing w:val="-5"/>
        </w:rPr>
        <w:t xml:space="preserve"> </w:t>
      </w:r>
      <w:r>
        <w:t>402.A42).</w:t>
      </w:r>
      <w:r>
        <w:rPr>
          <w:spacing w:val="-4"/>
        </w:rPr>
        <w:t xml:space="preserve"> </w:t>
      </w:r>
      <w:r>
        <w:t>The</w:t>
      </w:r>
      <w:r>
        <w:rPr>
          <w:spacing w:val="-5"/>
        </w:rPr>
        <w:t xml:space="preserve"> </w:t>
      </w:r>
      <w:r>
        <w:t>following</w:t>
      </w:r>
      <w:r>
        <w:rPr>
          <w:spacing w:val="-4"/>
        </w:rPr>
        <w:t xml:space="preserve"> </w:t>
      </w:r>
      <w:r>
        <w:t>describes</w:t>
      </w:r>
      <w:r>
        <w:rPr>
          <w:spacing w:val="-5"/>
        </w:rPr>
        <w:t xml:space="preserve"> </w:t>
      </w:r>
      <w:r>
        <w:t>each</w:t>
      </w:r>
      <w:r>
        <w:rPr>
          <w:spacing w:val="-4"/>
        </w:rPr>
        <w:t xml:space="preserve"> </w:t>
      </w:r>
      <w:r>
        <w:t>method</w:t>
      </w:r>
      <w:r>
        <w:rPr>
          <w:spacing w:val="-5"/>
        </w:rPr>
        <w:t xml:space="preserve"> </w:t>
      </w:r>
      <w:r>
        <w:t>(AT-C 320.08):</w:t>
      </w:r>
    </w:p>
    <w:p w14:paraId="0DFDAECE" w14:textId="77777777" w:rsidR="00046465" w:rsidRDefault="008134EB">
      <w:pPr>
        <w:pStyle w:val="ListParagraph"/>
        <w:numPr>
          <w:ilvl w:val="1"/>
          <w:numId w:val="214"/>
        </w:numPr>
        <w:tabs>
          <w:tab w:val="left" w:pos="2160"/>
        </w:tabs>
        <w:ind w:right="769"/>
      </w:pPr>
      <w:r>
        <w:rPr>
          <w:b/>
        </w:rPr>
        <w:t xml:space="preserve">Inclusive method. </w:t>
      </w:r>
      <w:r>
        <w:t>Method of addressing the services provided by a subservice organization whereby management’s description of the service organization’s</w:t>
      </w:r>
      <w:r>
        <w:rPr>
          <w:spacing w:val="-2"/>
        </w:rPr>
        <w:t xml:space="preserve"> </w:t>
      </w:r>
      <w:r>
        <w:t>system</w:t>
      </w:r>
      <w:r>
        <w:rPr>
          <w:spacing w:val="-4"/>
        </w:rPr>
        <w:t xml:space="preserve"> </w:t>
      </w:r>
      <w:r>
        <w:t>includes</w:t>
      </w:r>
      <w:r>
        <w:rPr>
          <w:spacing w:val="-3"/>
        </w:rPr>
        <w:t xml:space="preserve"> </w:t>
      </w:r>
      <w:r>
        <w:t>a</w:t>
      </w:r>
      <w:r>
        <w:rPr>
          <w:spacing w:val="-3"/>
        </w:rPr>
        <w:t xml:space="preserve"> </w:t>
      </w:r>
      <w:r>
        <w:t>description</w:t>
      </w:r>
      <w:r>
        <w:rPr>
          <w:spacing w:val="-3"/>
        </w:rPr>
        <w:t xml:space="preserve"> </w:t>
      </w:r>
      <w:r>
        <w:t>of</w:t>
      </w:r>
      <w:r>
        <w:rPr>
          <w:spacing w:val="-3"/>
        </w:rPr>
        <w:t xml:space="preserve"> </w:t>
      </w:r>
      <w:r>
        <w:t>the</w:t>
      </w:r>
      <w:r>
        <w:rPr>
          <w:spacing w:val="-3"/>
        </w:rPr>
        <w:t xml:space="preserve"> </w:t>
      </w:r>
      <w:r>
        <w:t>nature</w:t>
      </w:r>
      <w:r>
        <w:rPr>
          <w:spacing w:val="-3"/>
        </w:rPr>
        <w:t xml:space="preserve"> </w:t>
      </w:r>
      <w:r>
        <w:t>of</w:t>
      </w:r>
      <w:r>
        <w:rPr>
          <w:spacing w:val="-4"/>
        </w:rPr>
        <w:t xml:space="preserve"> </w:t>
      </w:r>
      <w:r>
        <w:t>the</w:t>
      </w:r>
      <w:r>
        <w:rPr>
          <w:spacing w:val="-3"/>
        </w:rPr>
        <w:t xml:space="preserve"> </w:t>
      </w:r>
      <w:r>
        <w:t>services</w:t>
      </w:r>
      <w:r>
        <w:rPr>
          <w:spacing w:val="-3"/>
        </w:rPr>
        <w:t xml:space="preserve"> </w:t>
      </w:r>
      <w:r>
        <w:t>that the</w:t>
      </w:r>
      <w:r>
        <w:rPr>
          <w:spacing w:val="-5"/>
        </w:rPr>
        <w:t xml:space="preserve"> </w:t>
      </w:r>
      <w:r>
        <w:t>subservice</w:t>
      </w:r>
      <w:r>
        <w:rPr>
          <w:spacing w:val="-5"/>
        </w:rPr>
        <w:t xml:space="preserve"> </w:t>
      </w:r>
      <w:r>
        <w:t>organization</w:t>
      </w:r>
      <w:r>
        <w:rPr>
          <w:spacing w:val="-5"/>
        </w:rPr>
        <w:t xml:space="preserve"> </w:t>
      </w:r>
      <w:r>
        <w:t>provided</w:t>
      </w:r>
      <w:r>
        <w:rPr>
          <w:spacing w:val="-5"/>
        </w:rPr>
        <w:t xml:space="preserve"> </w:t>
      </w:r>
      <w:r>
        <w:t>as</w:t>
      </w:r>
      <w:r>
        <w:rPr>
          <w:spacing w:val="-5"/>
        </w:rPr>
        <w:t xml:space="preserve"> </w:t>
      </w:r>
      <w:r>
        <w:t>well</w:t>
      </w:r>
      <w:r>
        <w:rPr>
          <w:spacing w:val="-5"/>
        </w:rPr>
        <w:t xml:space="preserve"> </w:t>
      </w:r>
      <w:r>
        <w:t>as</w:t>
      </w:r>
      <w:r>
        <w:rPr>
          <w:spacing w:val="-5"/>
        </w:rPr>
        <w:t xml:space="preserve"> </w:t>
      </w:r>
      <w:r>
        <w:t>the</w:t>
      </w:r>
      <w:r>
        <w:rPr>
          <w:spacing w:val="-5"/>
        </w:rPr>
        <w:t xml:space="preserve"> </w:t>
      </w:r>
      <w:r>
        <w:t>subservice</w:t>
      </w:r>
      <w:r>
        <w:rPr>
          <w:spacing w:val="-5"/>
        </w:rPr>
        <w:t xml:space="preserve"> </w:t>
      </w:r>
      <w:r>
        <w:t>organization’s relevant control objectives and related controls.</w:t>
      </w:r>
    </w:p>
    <w:p w14:paraId="0DFDAECF" w14:textId="77777777" w:rsidR="00046465" w:rsidRDefault="00046465">
      <w:pPr>
        <w:pStyle w:val="ListParagraph"/>
        <w:sectPr w:rsidR="00046465">
          <w:pgSz w:w="12240" w:h="15840"/>
          <w:pgMar w:top="1340" w:right="720" w:bottom="1020" w:left="1080" w:header="721" w:footer="757" w:gutter="0"/>
          <w:cols w:space="720"/>
        </w:sectPr>
      </w:pPr>
    </w:p>
    <w:p w14:paraId="0DFDAED0" w14:textId="77777777" w:rsidR="00046465" w:rsidRDefault="008134EB">
      <w:pPr>
        <w:pStyle w:val="ListParagraph"/>
        <w:numPr>
          <w:ilvl w:val="1"/>
          <w:numId w:val="214"/>
        </w:numPr>
        <w:tabs>
          <w:tab w:val="left" w:pos="2159"/>
        </w:tabs>
        <w:spacing w:before="121"/>
        <w:ind w:left="2159" w:right="721"/>
      </w:pPr>
      <w:r>
        <w:rPr>
          <w:b/>
        </w:rPr>
        <w:lastRenderedPageBreak/>
        <w:t xml:space="preserve">Carve-out method. </w:t>
      </w:r>
      <w:r>
        <w:t>Method of addressing the services provided by a subservice organization whereby management’s description of the service organization’s system identifies the nature of the services that the subservice organization</w:t>
      </w:r>
      <w:r>
        <w:rPr>
          <w:spacing w:val="-5"/>
        </w:rPr>
        <w:t xml:space="preserve"> </w:t>
      </w:r>
      <w:r>
        <w:t>performed</w:t>
      </w:r>
      <w:r>
        <w:rPr>
          <w:spacing w:val="-4"/>
        </w:rPr>
        <w:t xml:space="preserve"> </w:t>
      </w:r>
      <w:r>
        <w:t>and</w:t>
      </w:r>
      <w:r>
        <w:rPr>
          <w:spacing w:val="-4"/>
        </w:rPr>
        <w:t xml:space="preserve"> </w:t>
      </w:r>
      <w:r>
        <w:t>excludes</w:t>
      </w:r>
      <w:r>
        <w:rPr>
          <w:spacing w:val="-4"/>
        </w:rPr>
        <w:t xml:space="preserve"> </w:t>
      </w:r>
      <w:r>
        <w:t>from</w:t>
      </w:r>
      <w:r>
        <w:rPr>
          <w:spacing w:val="-5"/>
        </w:rPr>
        <w:t xml:space="preserve"> </w:t>
      </w:r>
      <w:r>
        <w:t>the</w:t>
      </w:r>
      <w:r>
        <w:rPr>
          <w:spacing w:val="-4"/>
        </w:rPr>
        <w:t xml:space="preserve"> </w:t>
      </w:r>
      <w:r>
        <w:t>description</w:t>
      </w:r>
      <w:r>
        <w:rPr>
          <w:spacing w:val="-5"/>
        </w:rPr>
        <w:t xml:space="preserve"> </w:t>
      </w:r>
      <w:r>
        <w:t>and</w:t>
      </w:r>
      <w:r>
        <w:rPr>
          <w:spacing w:val="-4"/>
        </w:rPr>
        <w:t xml:space="preserve"> </w:t>
      </w:r>
      <w:r>
        <w:t>from</w:t>
      </w:r>
      <w:r>
        <w:rPr>
          <w:spacing w:val="-5"/>
        </w:rPr>
        <w:t xml:space="preserve"> </w:t>
      </w:r>
      <w:r>
        <w:t>the</w:t>
      </w:r>
      <w:r>
        <w:rPr>
          <w:spacing w:val="-4"/>
        </w:rPr>
        <w:t xml:space="preserve"> </w:t>
      </w:r>
      <w:r>
        <w:t>scope of the service auditor’s engagement the subservice organization’s relevant control objectives and related controls.</w:t>
      </w:r>
    </w:p>
    <w:p w14:paraId="0DFDAED1" w14:textId="77777777" w:rsidR="00046465" w:rsidRDefault="008134EB">
      <w:pPr>
        <w:pStyle w:val="ListParagraph"/>
        <w:numPr>
          <w:ilvl w:val="0"/>
          <w:numId w:val="214"/>
        </w:numPr>
        <w:tabs>
          <w:tab w:val="left" w:pos="1800"/>
        </w:tabs>
        <w:ind w:left="1800" w:right="786"/>
      </w:pPr>
      <w:r>
        <w:t>Based</w:t>
      </w:r>
      <w:r>
        <w:rPr>
          <w:spacing w:val="-2"/>
        </w:rPr>
        <w:t xml:space="preserve"> </w:t>
      </w:r>
      <w:r>
        <w:t>on</w:t>
      </w:r>
      <w:r>
        <w:rPr>
          <w:spacing w:val="-2"/>
        </w:rPr>
        <w:t xml:space="preserve"> </w:t>
      </w:r>
      <w:r>
        <w:t>AU-C</w:t>
      </w:r>
      <w:r>
        <w:rPr>
          <w:spacing w:val="-3"/>
        </w:rPr>
        <w:t xml:space="preserve"> </w:t>
      </w:r>
      <w:r>
        <w:t>402.18,</w:t>
      </w:r>
      <w:r>
        <w:rPr>
          <w:spacing w:val="-2"/>
        </w:rPr>
        <w:t xml:space="preserve"> </w:t>
      </w:r>
      <w:r>
        <w:t>if</w:t>
      </w:r>
      <w:r>
        <w:rPr>
          <w:spacing w:val="-2"/>
        </w:rPr>
        <w:t xml:space="preserve"> </w:t>
      </w:r>
      <w:r>
        <w:t>the</w:t>
      </w:r>
      <w:r>
        <w:rPr>
          <w:spacing w:val="-2"/>
        </w:rPr>
        <w:t xml:space="preserve"> </w:t>
      </w:r>
      <w:r>
        <w:t>auditor</w:t>
      </w:r>
      <w:r>
        <w:rPr>
          <w:spacing w:val="-2"/>
        </w:rPr>
        <w:t xml:space="preserve"> </w:t>
      </w:r>
      <w:r>
        <w:t>plans</w:t>
      </w:r>
      <w:r>
        <w:rPr>
          <w:spacing w:val="-2"/>
        </w:rPr>
        <w:t xml:space="preserve"> </w:t>
      </w:r>
      <w:r>
        <w:t>to</w:t>
      </w:r>
      <w:r>
        <w:rPr>
          <w:spacing w:val="-2"/>
        </w:rPr>
        <w:t xml:space="preserve"> </w:t>
      </w:r>
      <w:r>
        <w:t>use</w:t>
      </w:r>
      <w:r>
        <w:rPr>
          <w:spacing w:val="-2"/>
        </w:rPr>
        <w:t xml:space="preserve"> </w:t>
      </w:r>
      <w:r>
        <w:t>a</w:t>
      </w:r>
      <w:r>
        <w:rPr>
          <w:spacing w:val="-2"/>
        </w:rPr>
        <w:t xml:space="preserve"> </w:t>
      </w:r>
      <w:r>
        <w:t>type</w:t>
      </w:r>
      <w:r>
        <w:rPr>
          <w:spacing w:val="-2"/>
        </w:rPr>
        <w:t xml:space="preserve"> </w:t>
      </w:r>
      <w:r>
        <w:t>1</w:t>
      </w:r>
      <w:r>
        <w:rPr>
          <w:spacing w:val="-2"/>
        </w:rPr>
        <w:t xml:space="preserve"> </w:t>
      </w:r>
      <w:r>
        <w:t>or</w:t>
      </w:r>
      <w:r>
        <w:rPr>
          <w:spacing w:val="-3"/>
        </w:rPr>
        <w:t xml:space="preserve"> </w:t>
      </w:r>
      <w:r>
        <w:t>a</w:t>
      </w:r>
      <w:r>
        <w:rPr>
          <w:spacing w:val="-2"/>
        </w:rPr>
        <w:t xml:space="preserve"> </w:t>
      </w:r>
      <w:r>
        <w:t>type</w:t>
      </w:r>
      <w:r>
        <w:rPr>
          <w:spacing w:val="-2"/>
        </w:rPr>
        <w:t xml:space="preserve"> </w:t>
      </w:r>
      <w:r>
        <w:t>2</w:t>
      </w:r>
      <w:r>
        <w:rPr>
          <w:spacing w:val="-2"/>
        </w:rPr>
        <w:t xml:space="preserve"> </w:t>
      </w:r>
      <w:r>
        <w:t>report</w:t>
      </w:r>
      <w:r>
        <w:rPr>
          <w:spacing w:val="-2"/>
        </w:rPr>
        <w:t xml:space="preserve"> </w:t>
      </w:r>
      <w:r>
        <w:t>that excludes the services provided by a subservice organization and those services are relevant to the audit of the entity’s financial statements, the auditor should apply the requirements of FAM 640 with respect to the services provided by the subservice organization. These include obtaining an understanding of whether the subservice organization has effectively designed and implemented the relevant subservice organization controls and, if so, obtaining audit evidence about their operating effectiveness.</w:t>
      </w:r>
    </w:p>
    <w:p w14:paraId="0DFDAED2" w14:textId="77777777" w:rsidR="00046465" w:rsidRDefault="008134EB">
      <w:pPr>
        <w:pStyle w:val="BodyText"/>
        <w:spacing w:before="120"/>
        <w:ind w:left="1800" w:right="749"/>
      </w:pPr>
      <w:r>
        <w:t>The nature and extent of the work to be performed by the auditor regarding the services provided by a subservice organization depend on the nature and significance</w:t>
      </w:r>
      <w:r>
        <w:rPr>
          <w:spacing w:val="-4"/>
        </w:rPr>
        <w:t xml:space="preserve"> </w:t>
      </w:r>
      <w:r>
        <w:t>of</w:t>
      </w:r>
      <w:r>
        <w:rPr>
          <w:spacing w:val="-3"/>
        </w:rPr>
        <w:t xml:space="preserve"> </w:t>
      </w:r>
      <w:r>
        <w:t>those</w:t>
      </w:r>
      <w:r>
        <w:rPr>
          <w:spacing w:val="-3"/>
        </w:rPr>
        <w:t xml:space="preserve"> </w:t>
      </w:r>
      <w:r>
        <w:t>services</w:t>
      </w:r>
      <w:r>
        <w:rPr>
          <w:spacing w:val="-3"/>
        </w:rPr>
        <w:t xml:space="preserve"> </w:t>
      </w:r>
      <w:r>
        <w:t>to</w:t>
      </w:r>
      <w:r>
        <w:rPr>
          <w:spacing w:val="-4"/>
        </w:rPr>
        <w:t xml:space="preserve"> </w:t>
      </w:r>
      <w:r>
        <w:t>the</w:t>
      </w:r>
      <w:r>
        <w:rPr>
          <w:spacing w:val="-4"/>
        </w:rPr>
        <w:t xml:space="preserve"> </w:t>
      </w:r>
      <w:r>
        <w:t>entity</w:t>
      </w:r>
      <w:r>
        <w:rPr>
          <w:spacing w:val="-3"/>
        </w:rPr>
        <w:t xml:space="preserve"> </w:t>
      </w:r>
      <w:r>
        <w:t>and</w:t>
      </w:r>
      <w:r>
        <w:rPr>
          <w:spacing w:val="-3"/>
        </w:rPr>
        <w:t xml:space="preserve"> </w:t>
      </w:r>
      <w:r>
        <w:t>the</w:t>
      </w:r>
      <w:r>
        <w:rPr>
          <w:spacing w:val="-3"/>
        </w:rPr>
        <w:t xml:space="preserve"> </w:t>
      </w:r>
      <w:r>
        <w:t>relevance</w:t>
      </w:r>
      <w:r>
        <w:rPr>
          <w:spacing w:val="-3"/>
        </w:rPr>
        <w:t xml:space="preserve"> </w:t>
      </w:r>
      <w:r>
        <w:t>of</w:t>
      </w:r>
      <w:r>
        <w:rPr>
          <w:spacing w:val="-3"/>
        </w:rPr>
        <w:t xml:space="preserve"> </w:t>
      </w:r>
      <w:r>
        <w:t>those</w:t>
      </w:r>
      <w:r>
        <w:rPr>
          <w:spacing w:val="-3"/>
        </w:rPr>
        <w:t xml:space="preserve"> </w:t>
      </w:r>
      <w:r>
        <w:t>services</w:t>
      </w:r>
      <w:r>
        <w:rPr>
          <w:spacing w:val="-3"/>
        </w:rPr>
        <w:t xml:space="preserve"> </w:t>
      </w:r>
      <w:r>
        <w:t>to the audit. The application of FAM 320.04 assists the auditor in determining the effect of the subservice organization and the nature and extent of work to be performed. (AU-C 402.A42)</w:t>
      </w:r>
    </w:p>
    <w:p w14:paraId="0DFDAED3" w14:textId="77777777" w:rsidR="00046465" w:rsidRDefault="00046465">
      <w:pPr>
        <w:pStyle w:val="BodyText"/>
        <w:sectPr w:rsidR="00046465">
          <w:pgSz w:w="12240" w:h="15840"/>
          <w:pgMar w:top="1340" w:right="720" w:bottom="940" w:left="1080" w:header="721" w:footer="757" w:gutter="0"/>
          <w:cols w:space="720"/>
        </w:sectPr>
      </w:pPr>
    </w:p>
    <w:p w14:paraId="0DFDAED4" w14:textId="77777777" w:rsidR="00046465" w:rsidRDefault="008134EB">
      <w:pPr>
        <w:spacing w:line="44" w:lineRule="exact"/>
        <w:ind w:left="330"/>
        <w:rPr>
          <w:sz w:val="4"/>
        </w:rPr>
      </w:pPr>
      <w:r>
        <w:rPr>
          <w:noProof/>
          <w:sz w:val="4"/>
        </w:rPr>
        <w:lastRenderedPageBreak/>
        <mc:AlternateContent>
          <mc:Choice Requires="wpg">
            <w:drawing>
              <wp:inline distT="0" distB="0" distL="0" distR="0" wp14:anchorId="0DFDD55D" wp14:editId="0DFDD55E">
                <wp:extent cx="5981700" cy="28575"/>
                <wp:effectExtent l="0" t="0" r="0" b="0"/>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28575"/>
                          <a:chOff x="0" y="0"/>
                          <a:chExt cx="5981700" cy="28575"/>
                        </a:xfrm>
                      </wpg:grpSpPr>
                      <wps:wsp>
                        <wps:cNvPr id="206" name="Graphic 206"/>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7A52800" id="Group 205" o:spid="_x0000_s1026" style="width:471pt;height:2.25pt;mso-position-horizontal-relative:char;mso-position-vertical-relative:line" coordsize="5981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">
                <v:shape id="Graphic 206" o:spid="_x0000_s1027" style="position:absolute;width:59817;height:285;visibility:visible;mso-wrap-style:square;v-text-anchor:top" coordsize="59817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" path="m5981700,l,,,28194r5981700,l5981700,xe" fillcolor="black" stroked="f">
                  <v:path arrowok="t"/>
                </v:shape>
                <w10:anchorlock/>
              </v:group>
            </w:pict>
          </mc:Fallback>
        </mc:AlternateContent>
      </w:r>
    </w:p>
    <w:p w14:paraId="0DFDAED5" w14:textId="77777777" w:rsidR="00046465" w:rsidRDefault="008134EB">
      <w:pPr>
        <w:pStyle w:val="Heading3"/>
        <w:spacing w:before="261"/>
        <w:rPr>
          <w:u w:val="none"/>
        </w:rPr>
      </w:pPr>
      <w:bookmarkStart w:id="82" w:name="640_A_–_Service_Organization_Type_2_Repo"/>
      <w:bookmarkStart w:id="83" w:name="_bookmark22"/>
      <w:bookmarkEnd w:id="82"/>
      <w:bookmarkEnd w:id="83"/>
      <w:r>
        <w:t>640</w:t>
      </w:r>
      <w:r>
        <w:rPr>
          <w:spacing w:val="-20"/>
        </w:rPr>
        <w:t xml:space="preserve"> </w:t>
      </w:r>
      <w:r>
        <w:t>A</w:t>
      </w:r>
      <w:r>
        <w:rPr>
          <w:spacing w:val="-19"/>
        </w:rPr>
        <w:t xml:space="preserve"> </w:t>
      </w:r>
      <w:r>
        <w:t>–</w:t>
      </w:r>
      <w:r>
        <w:rPr>
          <w:spacing w:val="-6"/>
        </w:rPr>
        <w:t xml:space="preserve"> </w:t>
      </w:r>
      <w:r>
        <w:t>Service</w:t>
      </w:r>
      <w:r>
        <w:rPr>
          <w:spacing w:val="-7"/>
        </w:rPr>
        <w:t xml:space="preserve"> </w:t>
      </w:r>
      <w:r>
        <w:t>Organization</w:t>
      </w:r>
      <w:r>
        <w:rPr>
          <w:spacing w:val="-8"/>
        </w:rPr>
        <w:t xml:space="preserve"> </w:t>
      </w:r>
      <w:r>
        <w:t>Type</w:t>
      </w:r>
      <w:r>
        <w:rPr>
          <w:spacing w:val="-6"/>
        </w:rPr>
        <w:t xml:space="preserve"> </w:t>
      </w:r>
      <w:r>
        <w:t>2</w:t>
      </w:r>
      <w:r>
        <w:rPr>
          <w:spacing w:val="-7"/>
        </w:rPr>
        <w:t xml:space="preserve"> </w:t>
      </w:r>
      <w:r>
        <w:t>Report</w:t>
      </w:r>
      <w:r>
        <w:rPr>
          <w:spacing w:val="-18"/>
        </w:rPr>
        <w:t xml:space="preserve"> </w:t>
      </w:r>
      <w:r>
        <w:t>Assessment</w:t>
      </w:r>
      <w:r>
        <w:rPr>
          <w:spacing w:val="-6"/>
        </w:rPr>
        <w:t xml:space="preserve"> </w:t>
      </w:r>
      <w:r>
        <w:rPr>
          <w:spacing w:val="-4"/>
        </w:rPr>
        <w:t>Tool</w:t>
      </w:r>
    </w:p>
    <w:p w14:paraId="0DFDAED6" w14:textId="77777777" w:rsidR="00046465" w:rsidRDefault="008134EB">
      <w:pPr>
        <w:pStyle w:val="BodyText"/>
        <w:spacing w:before="239"/>
        <w:ind w:left="359" w:right="773"/>
      </w:pPr>
      <w:r>
        <w:t>A type 2 report can provide audit evidence about whether controls at a service organization were operating effectively and support the auditor’s risk assessment and report on internal control</w:t>
      </w:r>
      <w:r>
        <w:rPr>
          <w:spacing w:val="-2"/>
        </w:rPr>
        <w:t xml:space="preserve"> </w:t>
      </w:r>
      <w:r>
        <w:t>over</w:t>
      </w:r>
      <w:r>
        <w:rPr>
          <w:spacing w:val="-4"/>
        </w:rPr>
        <w:t xml:space="preserve"> </w:t>
      </w:r>
      <w:r>
        <w:t>financial</w:t>
      </w:r>
      <w:r>
        <w:rPr>
          <w:spacing w:val="-2"/>
        </w:rPr>
        <w:t xml:space="preserve"> </w:t>
      </w:r>
      <w:r>
        <w:t>reporting.</w:t>
      </w:r>
      <w:hyperlink w:anchor="_bookmark23" w:history="1">
        <w:r>
          <w:rPr>
            <w:position w:val="7"/>
            <w:sz w:val="14"/>
          </w:rPr>
          <w:t>16</w:t>
        </w:r>
      </w:hyperlink>
      <w:r>
        <w:rPr>
          <w:spacing w:val="19"/>
          <w:position w:val="7"/>
          <w:sz w:val="14"/>
        </w:rPr>
        <w:t xml:space="preserve"> </w:t>
      </w:r>
      <w:r>
        <w:t>The</w:t>
      </w:r>
      <w:r>
        <w:rPr>
          <w:spacing w:val="-2"/>
        </w:rPr>
        <w:t xml:space="preserve"> </w:t>
      </w:r>
      <w:r>
        <w:t>auditor</w:t>
      </w:r>
      <w:r>
        <w:rPr>
          <w:spacing w:val="-2"/>
        </w:rPr>
        <w:t xml:space="preserve"> </w:t>
      </w:r>
      <w:r>
        <w:t>may</w:t>
      </w:r>
      <w:r>
        <w:rPr>
          <w:spacing w:val="-2"/>
        </w:rPr>
        <w:t xml:space="preserve"> </w:t>
      </w:r>
      <w:r>
        <w:t>complete</w:t>
      </w:r>
      <w:r>
        <w:rPr>
          <w:spacing w:val="-2"/>
        </w:rPr>
        <w:t xml:space="preserve"> </w:t>
      </w:r>
      <w:r>
        <w:t>the</w:t>
      </w:r>
      <w:r>
        <w:rPr>
          <w:spacing w:val="-2"/>
        </w:rPr>
        <w:t xml:space="preserve"> </w:t>
      </w:r>
      <w:r>
        <w:t>following</w:t>
      </w:r>
      <w:r>
        <w:rPr>
          <w:spacing w:val="-2"/>
        </w:rPr>
        <w:t xml:space="preserve"> </w:t>
      </w:r>
      <w:r>
        <w:t>tool</w:t>
      </w:r>
      <w:r>
        <w:rPr>
          <w:spacing w:val="-1"/>
        </w:rPr>
        <w:t xml:space="preserve"> </w:t>
      </w:r>
      <w:r>
        <w:t>for</w:t>
      </w:r>
      <w:r>
        <w:rPr>
          <w:spacing w:val="-2"/>
        </w:rPr>
        <w:t xml:space="preserve"> </w:t>
      </w:r>
      <w:r>
        <w:t>each</w:t>
      </w:r>
      <w:r>
        <w:rPr>
          <w:spacing w:val="-3"/>
        </w:rPr>
        <w:t xml:space="preserve"> </w:t>
      </w:r>
      <w:r>
        <w:t>type</w:t>
      </w:r>
      <w:r>
        <w:rPr>
          <w:spacing w:val="-2"/>
        </w:rPr>
        <w:t xml:space="preserve"> </w:t>
      </w:r>
      <w:r>
        <w:t>2 report prepared for a service organization that performs controls likely to be relevant to an entity’s internal control over financial reporting.</w:t>
      </w:r>
    </w:p>
    <w:p w14:paraId="0DFDAED7" w14:textId="77777777" w:rsidR="00046465" w:rsidRDefault="008134EB">
      <w:pPr>
        <w:pStyle w:val="BodyText"/>
        <w:spacing w:before="120"/>
        <w:ind w:left="360" w:right="749" w:hanging="1"/>
      </w:pPr>
      <w:r>
        <w:t>If</w:t>
      </w:r>
      <w:r>
        <w:rPr>
          <w:spacing w:val="-3"/>
        </w:rPr>
        <w:t xml:space="preserve"> </w:t>
      </w:r>
      <w:r>
        <w:t>available,</w:t>
      </w:r>
      <w:r>
        <w:rPr>
          <w:spacing w:val="-4"/>
        </w:rPr>
        <w:t xml:space="preserve"> </w:t>
      </w:r>
      <w:r>
        <w:t>the</w:t>
      </w:r>
      <w:r>
        <w:rPr>
          <w:spacing w:val="-3"/>
        </w:rPr>
        <w:t xml:space="preserve"> </w:t>
      </w:r>
      <w:r>
        <w:t>auditor</w:t>
      </w:r>
      <w:r>
        <w:rPr>
          <w:spacing w:val="-3"/>
        </w:rPr>
        <w:t xml:space="preserve"> </w:t>
      </w:r>
      <w:r>
        <w:t>generally</w:t>
      </w:r>
      <w:r>
        <w:rPr>
          <w:spacing w:val="-2"/>
        </w:rPr>
        <w:t xml:space="preserve"> </w:t>
      </w:r>
      <w:r>
        <w:t>should</w:t>
      </w:r>
      <w:r>
        <w:rPr>
          <w:spacing w:val="-3"/>
        </w:rPr>
        <w:t xml:space="preserve"> </w:t>
      </w:r>
      <w:r>
        <w:t>obtain</w:t>
      </w:r>
      <w:r>
        <w:rPr>
          <w:spacing w:val="-3"/>
        </w:rPr>
        <w:t xml:space="preserve"> </w:t>
      </w:r>
      <w:r>
        <w:t>or</w:t>
      </w:r>
      <w:r>
        <w:rPr>
          <w:spacing w:val="-4"/>
        </w:rPr>
        <w:t xml:space="preserve"> </w:t>
      </w:r>
      <w:r>
        <w:t>arrange</w:t>
      </w:r>
      <w:r>
        <w:rPr>
          <w:spacing w:val="-3"/>
        </w:rPr>
        <w:t xml:space="preserve"> </w:t>
      </w:r>
      <w:r>
        <w:t>access</w:t>
      </w:r>
      <w:r>
        <w:rPr>
          <w:spacing w:val="-3"/>
        </w:rPr>
        <w:t xml:space="preserve"> </w:t>
      </w:r>
      <w:r>
        <w:t>to</w:t>
      </w:r>
      <w:r>
        <w:rPr>
          <w:spacing w:val="-3"/>
        </w:rPr>
        <w:t xml:space="preserve"> </w:t>
      </w:r>
      <w:r>
        <w:t>(1)</w:t>
      </w:r>
      <w:r>
        <w:rPr>
          <w:spacing w:val="-3"/>
        </w:rPr>
        <w:t xml:space="preserve"> </w:t>
      </w:r>
      <w:r>
        <w:t>the</w:t>
      </w:r>
      <w:r>
        <w:rPr>
          <w:spacing w:val="-3"/>
        </w:rPr>
        <w:t xml:space="preserve"> </w:t>
      </w:r>
      <w:r>
        <w:t>most</w:t>
      </w:r>
      <w:r>
        <w:rPr>
          <w:spacing w:val="-3"/>
        </w:rPr>
        <w:t xml:space="preserve"> </w:t>
      </w:r>
      <w:r>
        <w:t>recent</w:t>
      </w:r>
      <w:r>
        <w:rPr>
          <w:spacing w:val="-3"/>
        </w:rPr>
        <w:t xml:space="preserve"> </w:t>
      </w:r>
      <w:r>
        <w:t>type</w:t>
      </w:r>
      <w:r>
        <w:rPr>
          <w:spacing w:val="-3"/>
        </w:rPr>
        <w:t xml:space="preserve"> </w:t>
      </w:r>
      <w:r>
        <w:t>2 report, (2) documentation of management’s review of this report, and (3) the most recent peer review report for the service auditor that prepared this report.</w:t>
      </w:r>
    </w:p>
    <w:p w14:paraId="0DFDAED8" w14:textId="77777777" w:rsidR="00046465" w:rsidRDefault="008134EB">
      <w:pPr>
        <w:pStyle w:val="BodyText"/>
        <w:spacing w:before="121"/>
        <w:ind w:left="360"/>
      </w:pPr>
      <w:r>
        <w:t>Based</w:t>
      </w:r>
      <w:r>
        <w:rPr>
          <w:spacing w:val="-6"/>
        </w:rPr>
        <w:t xml:space="preserve"> </w:t>
      </w:r>
      <w:r>
        <w:t>on</w:t>
      </w:r>
      <w:r>
        <w:rPr>
          <w:spacing w:val="-6"/>
        </w:rPr>
        <w:t xml:space="preserve"> </w:t>
      </w:r>
      <w:r>
        <w:t>review</w:t>
      </w:r>
      <w:r>
        <w:rPr>
          <w:spacing w:val="-7"/>
        </w:rPr>
        <w:t xml:space="preserve"> </w:t>
      </w:r>
      <w:r>
        <w:t>of</w:t>
      </w:r>
      <w:r>
        <w:rPr>
          <w:spacing w:val="-5"/>
        </w:rPr>
        <w:t xml:space="preserve"> </w:t>
      </w:r>
      <w:r>
        <w:t>the</w:t>
      </w:r>
      <w:r>
        <w:rPr>
          <w:spacing w:val="-7"/>
        </w:rPr>
        <w:t xml:space="preserve"> </w:t>
      </w:r>
      <w:r>
        <w:t>documentation,</w:t>
      </w:r>
      <w:r>
        <w:rPr>
          <w:spacing w:val="-6"/>
        </w:rPr>
        <w:t xml:space="preserve"> </w:t>
      </w:r>
      <w:r>
        <w:t>this</w:t>
      </w:r>
      <w:r>
        <w:rPr>
          <w:spacing w:val="-5"/>
        </w:rPr>
        <w:t xml:space="preserve"> </w:t>
      </w:r>
      <w:r>
        <w:t>tool</w:t>
      </w:r>
      <w:r>
        <w:rPr>
          <w:spacing w:val="-7"/>
        </w:rPr>
        <w:t xml:space="preserve"> </w:t>
      </w:r>
      <w:r>
        <w:t>will</w:t>
      </w:r>
      <w:r>
        <w:rPr>
          <w:spacing w:val="-6"/>
        </w:rPr>
        <w:t xml:space="preserve"> </w:t>
      </w:r>
      <w:r>
        <w:t>assist</w:t>
      </w:r>
      <w:r>
        <w:rPr>
          <w:spacing w:val="-5"/>
        </w:rPr>
        <w:t xml:space="preserve"> </w:t>
      </w:r>
      <w:r>
        <w:t>the</w:t>
      </w:r>
      <w:r>
        <w:rPr>
          <w:spacing w:val="-6"/>
        </w:rPr>
        <w:t xml:space="preserve"> </w:t>
      </w:r>
      <w:r>
        <w:t>auditor</w:t>
      </w:r>
      <w:r>
        <w:rPr>
          <w:spacing w:val="-6"/>
        </w:rPr>
        <w:t xml:space="preserve"> </w:t>
      </w:r>
      <w:r>
        <w:t>in</w:t>
      </w:r>
      <w:r>
        <w:rPr>
          <w:spacing w:val="-6"/>
        </w:rPr>
        <w:t xml:space="preserve"> </w:t>
      </w:r>
      <w:r>
        <w:t>determining</w:t>
      </w:r>
      <w:r>
        <w:rPr>
          <w:spacing w:val="-5"/>
        </w:rPr>
        <w:t xml:space="preserve"> </w:t>
      </w:r>
      <w:r>
        <w:rPr>
          <w:spacing w:val="-2"/>
        </w:rPr>
        <w:t>whether</w:t>
      </w:r>
    </w:p>
    <w:p w14:paraId="0DFDAED9" w14:textId="77777777" w:rsidR="00046465" w:rsidRDefault="008134EB">
      <w:pPr>
        <w:pStyle w:val="ListParagraph"/>
        <w:numPr>
          <w:ilvl w:val="0"/>
          <w:numId w:val="15"/>
        </w:numPr>
        <w:tabs>
          <w:tab w:val="left" w:pos="720"/>
        </w:tabs>
        <w:ind w:right="788"/>
      </w:pPr>
      <w:r>
        <w:t>the</w:t>
      </w:r>
      <w:r>
        <w:rPr>
          <w:spacing w:val="-3"/>
        </w:rPr>
        <w:t xml:space="preserve"> </w:t>
      </w:r>
      <w:r>
        <w:t>audit</w:t>
      </w:r>
      <w:r>
        <w:rPr>
          <w:spacing w:val="-3"/>
        </w:rPr>
        <w:t xml:space="preserve"> </w:t>
      </w:r>
      <w:r>
        <w:t>evidence</w:t>
      </w:r>
      <w:r>
        <w:rPr>
          <w:spacing w:val="-3"/>
        </w:rPr>
        <w:t xml:space="preserve"> </w:t>
      </w:r>
      <w:r>
        <w:t>provided</w:t>
      </w:r>
      <w:r>
        <w:rPr>
          <w:spacing w:val="-3"/>
        </w:rPr>
        <w:t xml:space="preserve"> </w:t>
      </w:r>
      <w:r>
        <w:t>by</w:t>
      </w:r>
      <w:r>
        <w:rPr>
          <w:spacing w:val="-3"/>
        </w:rPr>
        <w:t xml:space="preserve"> </w:t>
      </w:r>
      <w:r>
        <w:t>the</w:t>
      </w:r>
      <w:r>
        <w:rPr>
          <w:spacing w:val="-3"/>
        </w:rPr>
        <w:t xml:space="preserve"> </w:t>
      </w:r>
      <w:r>
        <w:t>type</w:t>
      </w:r>
      <w:r>
        <w:rPr>
          <w:spacing w:val="-3"/>
        </w:rPr>
        <w:t xml:space="preserve"> </w:t>
      </w:r>
      <w:r>
        <w:t>2</w:t>
      </w:r>
      <w:r>
        <w:rPr>
          <w:spacing w:val="-3"/>
        </w:rPr>
        <w:t xml:space="preserve"> </w:t>
      </w:r>
      <w:r>
        <w:t>report</w:t>
      </w:r>
      <w:r>
        <w:rPr>
          <w:spacing w:val="-4"/>
        </w:rPr>
        <w:t xml:space="preserve"> </w:t>
      </w:r>
      <w:r>
        <w:t>is</w:t>
      </w:r>
      <w:r>
        <w:rPr>
          <w:spacing w:val="-2"/>
        </w:rPr>
        <w:t xml:space="preserve"> </w:t>
      </w:r>
      <w:r>
        <w:t>sufficient</w:t>
      </w:r>
      <w:r>
        <w:rPr>
          <w:spacing w:val="-4"/>
        </w:rPr>
        <w:t xml:space="preserve"> </w:t>
      </w:r>
      <w:r>
        <w:t>and</w:t>
      </w:r>
      <w:r>
        <w:rPr>
          <w:spacing w:val="-3"/>
        </w:rPr>
        <w:t xml:space="preserve"> </w:t>
      </w:r>
      <w:r>
        <w:t>appropriate</w:t>
      </w:r>
      <w:r>
        <w:rPr>
          <w:spacing w:val="-3"/>
        </w:rPr>
        <w:t xml:space="preserve"> </w:t>
      </w:r>
      <w:r>
        <w:t>for</w:t>
      </w:r>
      <w:r>
        <w:rPr>
          <w:spacing w:val="-3"/>
        </w:rPr>
        <w:t xml:space="preserve"> </w:t>
      </w:r>
      <w:r>
        <w:t>meeting</w:t>
      </w:r>
      <w:r>
        <w:rPr>
          <w:spacing w:val="-3"/>
        </w:rPr>
        <w:t xml:space="preserve"> </w:t>
      </w:r>
      <w:r>
        <w:t>the auditor’s objectives;</w:t>
      </w:r>
    </w:p>
    <w:p w14:paraId="0DFDAEDA" w14:textId="77777777" w:rsidR="00046465" w:rsidRDefault="008134EB">
      <w:pPr>
        <w:pStyle w:val="ListParagraph"/>
        <w:numPr>
          <w:ilvl w:val="0"/>
          <w:numId w:val="15"/>
        </w:numPr>
        <w:tabs>
          <w:tab w:val="left" w:pos="720"/>
        </w:tabs>
        <w:spacing w:before="119"/>
        <w:ind w:right="728"/>
      </w:pPr>
      <w:r>
        <w:t>the relevant internal controls at the service organization and any relevant complementary user</w:t>
      </w:r>
      <w:r>
        <w:rPr>
          <w:spacing w:val="-4"/>
        </w:rPr>
        <w:t xml:space="preserve"> </w:t>
      </w:r>
      <w:r>
        <w:t>entity</w:t>
      </w:r>
      <w:r>
        <w:rPr>
          <w:spacing w:val="-4"/>
        </w:rPr>
        <w:t xml:space="preserve"> </w:t>
      </w:r>
      <w:r>
        <w:t>and</w:t>
      </w:r>
      <w:r>
        <w:rPr>
          <w:spacing w:val="-4"/>
        </w:rPr>
        <w:t xml:space="preserve"> </w:t>
      </w:r>
      <w:r>
        <w:t>subservice</w:t>
      </w:r>
      <w:r>
        <w:rPr>
          <w:spacing w:val="-4"/>
        </w:rPr>
        <w:t xml:space="preserve"> </w:t>
      </w:r>
      <w:r>
        <w:t>organization</w:t>
      </w:r>
      <w:r>
        <w:rPr>
          <w:spacing w:val="-4"/>
        </w:rPr>
        <w:t xml:space="preserve"> </w:t>
      </w:r>
      <w:r>
        <w:t>controls</w:t>
      </w:r>
      <w:r>
        <w:rPr>
          <w:spacing w:val="-4"/>
        </w:rPr>
        <w:t xml:space="preserve"> </w:t>
      </w:r>
      <w:r>
        <w:t>were</w:t>
      </w:r>
      <w:r>
        <w:rPr>
          <w:spacing w:val="-4"/>
        </w:rPr>
        <w:t xml:space="preserve"> </w:t>
      </w:r>
      <w:r>
        <w:t>designed,</w:t>
      </w:r>
      <w:r>
        <w:rPr>
          <w:spacing w:val="-4"/>
        </w:rPr>
        <w:t xml:space="preserve"> </w:t>
      </w:r>
      <w:r>
        <w:t>implemented,</w:t>
      </w:r>
      <w:r>
        <w:rPr>
          <w:spacing w:val="-4"/>
        </w:rPr>
        <w:t xml:space="preserve"> </w:t>
      </w:r>
      <w:r>
        <w:t>and</w:t>
      </w:r>
      <w:r>
        <w:rPr>
          <w:spacing w:val="-4"/>
        </w:rPr>
        <w:t xml:space="preserve"> </w:t>
      </w:r>
      <w:r>
        <w:t xml:space="preserve">operating </w:t>
      </w:r>
      <w:r>
        <w:rPr>
          <w:spacing w:val="-2"/>
        </w:rPr>
        <w:t>effectively;</w:t>
      </w:r>
    </w:p>
    <w:p w14:paraId="0DFDAEDB" w14:textId="77777777" w:rsidR="00046465" w:rsidRDefault="008134EB">
      <w:pPr>
        <w:pStyle w:val="ListParagraph"/>
        <w:numPr>
          <w:ilvl w:val="0"/>
          <w:numId w:val="15"/>
        </w:numPr>
        <w:tabs>
          <w:tab w:val="left" w:pos="718"/>
          <w:tab w:val="left" w:pos="720"/>
        </w:tabs>
        <w:ind w:right="741" w:hanging="361"/>
      </w:pPr>
      <w:r>
        <w:t>effective</w:t>
      </w:r>
      <w:r>
        <w:rPr>
          <w:spacing w:val="-5"/>
        </w:rPr>
        <w:t xml:space="preserve"> </w:t>
      </w:r>
      <w:r>
        <w:t>compensating</w:t>
      </w:r>
      <w:r>
        <w:rPr>
          <w:spacing w:val="-4"/>
        </w:rPr>
        <w:t xml:space="preserve"> </w:t>
      </w:r>
      <w:r>
        <w:t>controls</w:t>
      </w:r>
      <w:r>
        <w:rPr>
          <w:spacing w:val="-3"/>
        </w:rPr>
        <w:t xml:space="preserve"> </w:t>
      </w:r>
      <w:r>
        <w:t>were</w:t>
      </w:r>
      <w:r>
        <w:rPr>
          <w:spacing w:val="-4"/>
        </w:rPr>
        <w:t xml:space="preserve"> </w:t>
      </w:r>
      <w:r>
        <w:t>in</w:t>
      </w:r>
      <w:r>
        <w:rPr>
          <w:spacing w:val="-4"/>
        </w:rPr>
        <w:t xml:space="preserve"> </w:t>
      </w:r>
      <w:r>
        <w:t>place</w:t>
      </w:r>
      <w:r>
        <w:rPr>
          <w:spacing w:val="-4"/>
        </w:rPr>
        <w:t xml:space="preserve"> </w:t>
      </w:r>
      <w:r>
        <w:t>for</w:t>
      </w:r>
      <w:r>
        <w:rPr>
          <w:spacing w:val="-4"/>
        </w:rPr>
        <w:t xml:space="preserve"> </w:t>
      </w:r>
      <w:r>
        <w:t>those</w:t>
      </w:r>
      <w:r>
        <w:rPr>
          <w:spacing w:val="-4"/>
        </w:rPr>
        <w:t xml:space="preserve"> </w:t>
      </w:r>
      <w:r>
        <w:t>relevant</w:t>
      </w:r>
      <w:r>
        <w:rPr>
          <w:spacing w:val="-4"/>
        </w:rPr>
        <w:t xml:space="preserve"> </w:t>
      </w:r>
      <w:r>
        <w:t>internal</w:t>
      </w:r>
      <w:r>
        <w:rPr>
          <w:spacing w:val="-5"/>
        </w:rPr>
        <w:t xml:space="preserve"> </w:t>
      </w:r>
      <w:r>
        <w:t>controls</w:t>
      </w:r>
      <w:r>
        <w:rPr>
          <w:spacing w:val="-4"/>
        </w:rPr>
        <w:t xml:space="preserve"> </w:t>
      </w:r>
      <w:r>
        <w:t>determined to be ineffective;</w:t>
      </w:r>
    </w:p>
    <w:p w14:paraId="0DFDAEDC" w14:textId="77777777" w:rsidR="00046465" w:rsidRDefault="008134EB">
      <w:pPr>
        <w:pStyle w:val="ListParagraph"/>
        <w:numPr>
          <w:ilvl w:val="0"/>
          <w:numId w:val="15"/>
        </w:numPr>
        <w:tabs>
          <w:tab w:val="left" w:pos="720"/>
        </w:tabs>
        <w:ind w:right="740"/>
      </w:pPr>
      <w:r>
        <w:t>management appropriately reviewed and documented the results of its review of the type 2 report,</w:t>
      </w:r>
      <w:r>
        <w:rPr>
          <w:spacing w:val="-4"/>
        </w:rPr>
        <w:t xml:space="preserve"> </w:t>
      </w:r>
      <w:r>
        <w:t>reached</w:t>
      </w:r>
      <w:r>
        <w:rPr>
          <w:spacing w:val="-4"/>
        </w:rPr>
        <w:t xml:space="preserve"> </w:t>
      </w:r>
      <w:r>
        <w:t>reasonable</w:t>
      </w:r>
      <w:r>
        <w:rPr>
          <w:spacing w:val="-4"/>
        </w:rPr>
        <w:t xml:space="preserve"> </w:t>
      </w:r>
      <w:r>
        <w:t>conclusions,</w:t>
      </w:r>
      <w:r>
        <w:rPr>
          <w:spacing w:val="-4"/>
        </w:rPr>
        <w:t xml:space="preserve"> </w:t>
      </w:r>
      <w:r>
        <w:t>and</w:t>
      </w:r>
      <w:r>
        <w:rPr>
          <w:spacing w:val="-4"/>
        </w:rPr>
        <w:t xml:space="preserve"> </w:t>
      </w:r>
      <w:r>
        <w:t>took</w:t>
      </w:r>
      <w:r>
        <w:rPr>
          <w:spacing w:val="-4"/>
        </w:rPr>
        <w:t xml:space="preserve"> </w:t>
      </w:r>
      <w:r>
        <w:t>appropriate</w:t>
      </w:r>
      <w:r>
        <w:rPr>
          <w:spacing w:val="-4"/>
        </w:rPr>
        <w:t xml:space="preserve"> </w:t>
      </w:r>
      <w:r>
        <w:t>actions</w:t>
      </w:r>
      <w:r>
        <w:rPr>
          <w:spacing w:val="-4"/>
        </w:rPr>
        <w:t xml:space="preserve"> </w:t>
      </w:r>
      <w:r>
        <w:t>to</w:t>
      </w:r>
      <w:r>
        <w:rPr>
          <w:spacing w:val="-5"/>
        </w:rPr>
        <w:t xml:space="preserve"> </w:t>
      </w:r>
      <w:r>
        <w:t>address</w:t>
      </w:r>
      <w:r>
        <w:rPr>
          <w:spacing w:val="-4"/>
        </w:rPr>
        <w:t xml:space="preserve"> </w:t>
      </w:r>
      <w:r>
        <w:t>any</w:t>
      </w:r>
      <w:r>
        <w:rPr>
          <w:spacing w:val="-5"/>
        </w:rPr>
        <w:t xml:space="preserve"> </w:t>
      </w:r>
      <w:r>
        <w:t>control objectives not adequately addressed in the type 2 report and any exceptions identified that have an impact on the relevant internal controls; and</w:t>
      </w:r>
    </w:p>
    <w:p w14:paraId="0DFDAEDD" w14:textId="77777777" w:rsidR="00046465" w:rsidRDefault="008134EB">
      <w:pPr>
        <w:pStyle w:val="ListParagraph"/>
        <w:numPr>
          <w:ilvl w:val="0"/>
          <w:numId w:val="15"/>
        </w:numPr>
        <w:tabs>
          <w:tab w:val="left" w:pos="720"/>
        </w:tabs>
        <w:ind w:right="975"/>
      </w:pPr>
      <w:r>
        <w:t>additional</w:t>
      </w:r>
      <w:r>
        <w:rPr>
          <w:spacing w:val="-4"/>
        </w:rPr>
        <w:t xml:space="preserve"> </w:t>
      </w:r>
      <w:r>
        <w:t>procedures</w:t>
      </w:r>
      <w:r>
        <w:rPr>
          <w:spacing w:val="-4"/>
        </w:rPr>
        <w:t xml:space="preserve"> </w:t>
      </w:r>
      <w:r>
        <w:t>are</w:t>
      </w:r>
      <w:r>
        <w:rPr>
          <w:spacing w:val="-4"/>
        </w:rPr>
        <w:t xml:space="preserve"> </w:t>
      </w:r>
      <w:r>
        <w:t>needed</w:t>
      </w:r>
      <w:r>
        <w:rPr>
          <w:spacing w:val="-4"/>
        </w:rPr>
        <w:t xml:space="preserve"> </w:t>
      </w:r>
      <w:r>
        <w:t>to</w:t>
      </w:r>
      <w:r>
        <w:rPr>
          <w:spacing w:val="-5"/>
        </w:rPr>
        <w:t xml:space="preserve"> </w:t>
      </w:r>
      <w:r>
        <w:t>obtain</w:t>
      </w:r>
      <w:r>
        <w:rPr>
          <w:spacing w:val="-4"/>
        </w:rPr>
        <w:t xml:space="preserve"> </w:t>
      </w:r>
      <w:r>
        <w:t>sufficient</w:t>
      </w:r>
      <w:r>
        <w:rPr>
          <w:spacing w:val="-4"/>
        </w:rPr>
        <w:t xml:space="preserve"> </w:t>
      </w:r>
      <w:r>
        <w:t>appropriate</w:t>
      </w:r>
      <w:r>
        <w:rPr>
          <w:spacing w:val="-4"/>
        </w:rPr>
        <w:t xml:space="preserve"> </w:t>
      </w:r>
      <w:r>
        <w:t>audit</w:t>
      </w:r>
      <w:r>
        <w:rPr>
          <w:spacing w:val="-4"/>
        </w:rPr>
        <w:t xml:space="preserve"> </w:t>
      </w:r>
      <w:r>
        <w:t>evidence</w:t>
      </w:r>
      <w:r>
        <w:rPr>
          <w:spacing w:val="-4"/>
        </w:rPr>
        <w:t xml:space="preserve"> </w:t>
      </w:r>
      <w:r>
        <w:t>about</w:t>
      </w:r>
      <w:r>
        <w:rPr>
          <w:spacing w:val="-5"/>
        </w:rPr>
        <w:t xml:space="preserve"> </w:t>
      </w:r>
      <w:r>
        <w:t>the operating effectiveness of controls at the service organization or at the entity.</w:t>
      </w:r>
    </w:p>
    <w:p w14:paraId="0DFDAEDE" w14:textId="77777777" w:rsidR="00046465" w:rsidRDefault="00046465">
      <w:pPr>
        <w:pStyle w:val="BodyText"/>
        <w:rPr>
          <w:sz w:val="20"/>
        </w:rPr>
      </w:pPr>
    </w:p>
    <w:p w14:paraId="0DFDAEDF" w14:textId="77777777" w:rsidR="00046465" w:rsidRDefault="00046465">
      <w:pPr>
        <w:pStyle w:val="BodyText"/>
        <w:rPr>
          <w:sz w:val="20"/>
        </w:rPr>
      </w:pPr>
    </w:p>
    <w:p w14:paraId="0DFDAEE0" w14:textId="77777777" w:rsidR="00046465" w:rsidRDefault="00046465">
      <w:pPr>
        <w:pStyle w:val="BodyText"/>
        <w:rPr>
          <w:sz w:val="20"/>
        </w:rPr>
      </w:pPr>
    </w:p>
    <w:p w14:paraId="0DFDAEE1" w14:textId="77777777" w:rsidR="00046465" w:rsidRDefault="00046465">
      <w:pPr>
        <w:pStyle w:val="BodyText"/>
        <w:rPr>
          <w:sz w:val="20"/>
        </w:rPr>
      </w:pPr>
    </w:p>
    <w:p w14:paraId="0DFDAEE2" w14:textId="77777777" w:rsidR="00046465" w:rsidRDefault="00046465">
      <w:pPr>
        <w:pStyle w:val="BodyText"/>
        <w:rPr>
          <w:sz w:val="20"/>
        </w:rPr>
      </w:pPr>
    </w:p>
    <w:p w14:paraId="0DFDAEE3" w14:textId="77777777" w:rsidR="00046465" w:rsidRDefault="00046465">
      <w:pPr>
        <w:pStyle w:val="BodyText"/>
        <w:rPr>
          <w:sz w:val="20"/>
        </w:rPr>
      </w:pPr>
    </w:p>
    <w:p w14:paraId="0DFDAEE4" w14:textId="77777777" w:rsidR="00046465" w:rsidRDefault="00046465">
      <w:pPr>
        <w:pStyle w:val="BodyText"/>
        <w:rPr>
          <w:sz w:val="20"/>
        </w:rPr>
      </w:pPr>
    </w:p>
    <w:p w14:paraId="0DFDAEE5" w14:textId="77777777" w:rsidR="00046465" w:rsidRDefault="00046465">
      <w:pPr>
        <w:pStyle w:val="BodyText"/>
        <w:rPr>
          <w:sz w:val="20"/>
        </w:rPr>
      </w:pPr>
    </w:p>
    <w:p w14:paraId="0DFDAEE6" w14:textId="77777777" w:rsidR="00046465" w:rsidRDefault="00046465">
      <w:pPr>
        <w:pStyle w:val="BodyText"/>
        <w:rPr>
          <w:sz w:val="20"/>
        </w:rPr>
      </w:pPr>
    </w:p>
    <w:p w14:paraId="0DFDAEE7" w14:textId="77777777" w:rsidR="00046465" w:rsidRDefault="00046465">
      <w:pPr>
        <w:pStyle w:val="BodyText"/>
        <w:rPr>
          <w:sz w:val="20"/>
        </w:rPr>
      </w:pPr>
    </w:p>
    <w:p w14:paraId="0DFDAEE8" w14:textId="77777777" w:rsidR="00046465" w:rsidRDefault="00046465">
      <w:pPr>
        <w:pStyle w:val="BodyText"/>
        <w:rPr>
          <w:sz w:val="20"/>
        </w:rPr>
      </w:pPr>
    </w:p>
    <w:p w14:paraId="0DFDAEE9" w14:textId="77777777" w:rsidR="00046465" w:rsidRDefault="00046465">
      <w:pPr>
        <w:pStyle w:val="BodyText"/>
        <w:rPr>
          <w:sz w:val="20"/>
        </w:rPr>
      </w:pPr>
    </w:p>
    <w:p w14:paraId="0DFDAEEA" w14:textId="77777777" w:rsidR="00046465" w:rsidRDefault="00046465">
      <w:pPr>
        <w:pStyle w:val="BodyText"/>
        <w:rPr>
          <w:sz w:val="20"/>
        </w:rPr>
      </w:pPr>
    </w:p>
    <w:p w14:paraId="0DFDAEEB" w14:textId="77777777" w:rsidR="00046465" w:rsidRDefault="00046465">
      <w:pPr>
        <w:pStyle w:val="BodyText"/>
        <w:rPr>
          <w:sz w:val="20"/>
        </w:rPr>
      </w:pPr>
    </w:p>
    <w:p w14:paraId="0DFDAEEC" w14:textId="77777777" w:rsidR="00046465" w:rsidRDefault="00046465">
      <w:pPr>
        <w:pStyle w:val="BodyText"/>
        <w:rPr>
          <w:sz w:val="20"/>
        </w:rPr>
      </w:pPr>
    </w:p>
    <w:p w14:paraId="0DFDAEED" w14:textId="77777777" w:rsidR="00046465" w:rsidRDefault="008134EB">
      <w:pPr>
        <w:pStyle w:val="BodyText"/>
        <w:spacing w:before="136"/>
        <w:rPr>
          <w:sz w:val="20"/>
        </w:rPr>
      </w:pPr>
      <w:r>
        <w:rPr>
          <w:noProof/>
          <w:sz w:val="20"/>
        </w:rPr>
        <mc:AlternateContent>
          <mc:Choice Requires="wps">
            <w:drawing>
              <wp:anchor distT="0" distB="0" distL="0" distR="0" simplePos="0" relativeHeight="487607296" behindDoc="1" locked="0" layoutInCell="1" allowOverlap="1" wp14:anchorId="0DFDD55F" wp14:editId="0DFDD560">
                <wp:simplePos x="0" y="0"/>
                <wp:positionH relativeFrom="page">
                  <wp:posOffset>914400</wp:posOffset>
                </wp:positionH>
                <wp:positionV relativeFrom="paragraph">
                  <wp:posOffset>248069</wp:posOffset>
                </wp:positionV>
                <wp:extent cx="1828800" cy="5715"/>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F09709" id="Graphic 207" o:spid="_x0000_s1026" style="position:absolute;margin-left:1in;margin-top:19.55pt;width:2in;height:.45pt;z-index:-1570918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" path="m1828800,l,,,5333r1828800,l1828800,xe" fillcolor="black" stroked="f">
                <v:path arrowok="t"/>
                <w10:wrap type="topAndBottom" anchorx="page"/>
              </v:shape>
            </w:pict>
          </mc:Fallback>
        </mc:AlternateContent>
      </w:r>
    </w:p>
    <w:p w14:paraId="0DFDAEEE" w14:textId="77777777" w:rsidR="00046465" w:rsidRDefault="008134EB">
      <w:pPr>
        <w:spacing w:before="200" w:line="242" w:lineRule="auto"/>
        <w:ind w:left="359" w:right="785"/>
        <w:rPr>
          <w:sz w:val="18"/>
        </w:rPr>
      </w:pPr>
      <w:bookmarkStart w:id="84" w:name="_bookmark23"/>
      <w:bookmarkEnd w:id="84"/>
      <w:r>
        <w:rPr>
          <w:position w:val="7"/>
          <w:sz w:val="14"/>
        </w:rPr>
        <w:t>16</w:t>
      </w:r>
      <w:r>
        <w:rPr>
          <w:sz w:val="18"/>
        </w:rPr>
        <w:t>A type 2 report consists of a report on management’s description of a service organization’s system and a service auditor’s</w:t>
      </w:r>
      <w:r>
        <w:rPr>
          <w:spacing w:val="-2"/>
          <w:sz w:val="18"/>
        </w:rPr>
        <w:t xml:space="preserve"> </w:t>
      </w:r>
      <w:r>
        <w:rPr>
          <w:sz w:val="18"/>
        </w:rPr>
        <w:t>report</w:t>
      </w:r>
      <w:r>
        <w:rPr>
          <w:spacing w:val="-2"/>
          <w:sz w:val="18"/>
        </w:rPr>
        <w:t xml:space="preserve"> </w:t>
      </w:r>
      <w:r>
        <w:rPr>
          <w:sz w:val="18"/>
        </w:rPr>
        <w:t>on</w:t>
      </w:r>
      <w:r>
        <w:rPr>
          <w:spacing w:val="-3"/>
          <w:sz w:val="18"/>
        </w:rPr>
        <w:t xml:space="preserve"> </w:t>
      </w:r>
      <w:r>
        <w:rPr>
          <w:sz w:val="18"/>
        </w:rPr>
        <w:t>that</w:t>
      </w:r>
      <w:r>
        <w:rPr>
          <w:spacing w:val="-2"/>
          <w:sz w:val="18"/>
        </w:rPr>
        <w:t xml:space="preserve"> </w:t>
      </w:r>
      <w:r>
        <w:rPr>
          <w:sz w:val="18"/>
        </w:rPr>
        <w:t>description</w:t>
      </w:r>
      <w:r>
        <w:rPr>
          <w:spacing w:val="-3"/>
          <w:sz w:val="18"/>
        </w:rPr>
        <w:t xml:space="preserve"> </w:t>
      </w:r>
      <w:r>
        <w:rPr>
          <w:sz w:val="18"/>
        </w:rPr>
        <w:t>and</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suitability</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design</w:t>
      </w:r>
      <w:r>
        <w:rPr>
          <w:spacing w:val="-3"/>
          <w:sz w:val="18"/>
        </w:rPr>
        <w:t xml:space="preserve"> </w:t>
      </w:r>
      <w:r>
        <w:rPr>
          <w:sz w:val="18"/>
        </w:rPr>
        <w:t>and</w:t>
      </w:r>
      <w:r>
        <w:rPr>
          <w:spacing w:val="-1"/>
          <w:sz w:val="18"/>
        </w:rPr>
        <w:t xml:space="preserve"> </w:t>
      </w:r>
      <w:r>
        <w:rPr>
          <w:sz w:val="18"/>
        </w:rPr>
        <w:t>operating</w:t>
      </w:r>
      <w:r>
        <w:rPr>
          <w:spacing w:val="-1"/>
          <w:sz w:val="18"/>
        </w:rPr>
        <w:t xml:space="preserve"> </w:t>
      </w:r>
      <w:r>
        <w:rPr>
          <w:sz w:val="18"/>
        </w:rPr>
        <w:t>effectiveness</w:t>
      </w:r>
      <w:r>
        <w:rPr>
          <w:spacing w:val="-2"/>
          <w:sz w:val="18"/>
        </w:rPr>
        <w:t xml:space="preserve"> </w:t>
      </w:r>
      <w:r>
        <w:rPr>
          <w:sz w:val="18"/>
        </w:rPr>
        <w:t>of</w:t>
      </w:r>
      <w:r>
        <w:rPr>
          <w:spacing w:val="-2"/>
          <w:sz w:val="18"/>
        </w:rPr>
        <w:t xml:space="preserve"> </w:t>
      </w:r>
      <w:r>
        <w:rPr>
          <w:sz w:val="18"/>
        </w:rPr>
        <w:t>controls.</w:t>
      </w:r>
      <w:r>
        <w:rPr>
          <w:spacing w:val="-2"/>
          <w:sz w:val="18"/>
        </w:rPr>
        <w:t xml:space="preserve"> </w:t>
      </w:r>
      <w:r>
        <w:rPr>
          <w:sz w:val="18"/>
        </w:rPr>
        <w:t>Type</w:t>
      </w:r>
      <w:r>
        <w:rPr>
          <w:spacing w:val="-3"/>
          <w:sz w:val="18"/>
        </w:rPr>
        <w:t xml:space="preserve"> </w:t>
      </w:r>
      <w:r>
        <w:rPr>
          <w:sz w:val="18"/>
        </w:rPr>
        <w:t xml:space="preserve">2 reports focus on controls likely to be relevant to entities’ internal control over financial reporting, issued under AICPA’s </w:t>
      </w:r>
      <w:r>
        <w:rPr>
          <w:i/>
          <w:sz w:val="18"/>
        </w:rPr>
        <w:t xml:space="preserve">Standards for Attestation Engagements [Clarified] </w:t>
      </w:r>
      <w:r>
        <w:rPr>
          <w:sz w:val="18"/>
        </w:rPr>
        <w:t xml:space="preserve">(AT-C), section 320, </w:t>
      </w:r>
      <w:r>
        <w:rPr>
          <w:i/>
          <w:sz w:val="18"/>
        </w:rPr>
        <w:t>Reporting on an Examination of Controls at a Service Organization Relevant to User Entities’ Internal Control Over Financial Reporting</w:t>
      </w:r>
      <w:r>
        <w:rPr>
          <w:sz w:val="18"/>
        </w:rPr>
        <w:t xml:space="preserve">. There are other types of reports on service organizations that may be available, including reports on controls at a service organization other than those likely to be relevant to entities’ internal control over financial reporting (for example, controls that are relevant to entities’ compliance with specified requirements of laws, regulations, contracts, or grant </w:t>
      </w:r>
      <w:r>
        <w:rPr>
          <w:spacing w:val="-2"/>
          <w:sz w:val="18"/>
        </w:rPr>
        <w:t>agreements).</w:t>
      </w:r>
    </w:p>
    <w:p w14:paraId="0DFDAEEF" w14:textId="77777777" w:rsidR="00046465" w:rsidRDefault="00046465">
      <w:pPr>
        <w:spacing w:line="242" w:lineRule="auto"/>
        <w:rPr>
          <w:sz w:val="18"/>
        </w:rPr>
        <w:sectPr w:rsidR="00046465">
          <w:headerReference w:type="default" r:id="rId57"/>
          <w:footerReference w:type="default" r:id="rId58"/>
          <w:pgSz w:w="12240" w:h="15840"/>
          <w:pgMar w:top="1280" w:right="720" w:bottom="940" w:left="1080" w:header="721" w:footer="757" w:gutter="0"/>
          <w:pgNumType w:start="1"/>
          <w:cols w:space="720"/>
        </w:sectPr>
      </w:pPr>
    </w:p>
    <w:tbl>
      <w:tblPr>
        <w:tblW w:w="0" w:type="auto"/>
        <w:tblInd w:w="337" w:type="dxa"/>
        <w:tblLayout w:type="fixed"/>
        <w:tblCellMar>
          <w:left w:w="0" w:type="dxa"/>
          <w:right w:w="0" w:type="dxa"/>
        </w:tblCellMar>
        <w:tblLook w:val="01E0" w:firstRow="1" w:lastRow="1" w:firstColumn="1" w:lastColumn="1" w:noHBand="0" w:noVBand="0"/>
      </w:tblPr>
      <w:tblGrid>
        <w:gridCol w:w="841"/>
        <w:gridCol w:w="8579"/>
      </w:tblGrid>
      <w:tr w:rsidR="00046465" w14:paraId="0DFDAEF2" w14:textId="77777777">
        <w:trPr>
          <w:trHeight w:val="519"/>
        </w:trPr>
        <w:tc>
          <w:tcPr>
            <w:tcW w:w="841" w:type="dxa"/>
            <w:tcBorders>
              <w:top w:val="single" w:sz="18" w:space="0" w:color="000000"/>
            </w:tcBorders>
          </w:tcPr>
          <w:p w14:paraId="0DFDAEF0" w14:textId="77777777" w:rsidR="00046465" w:rsidRDefault="008134EB">
            <w:pPr>
              <w:pStyle w:val="TableParagraph"/>
              <w:spacing w:before="121"/>
              <w:ind w:left="30"/>
              <w:rPr>
                <w:b/>
                <w:sz w:val="24"/>
              </w:rPr>
            </w:pPr>
            <w:r>
              <w:rPr>
                <w:b/>
                <w:spacing w:val="-5"/>
                <w:sz w:val="24"/>
              </w:rPr>
              <w:lastRenderedPageBreak/>
              <w:t>I.</w:t>
            </w:r>
          </w:p>
        </w:tc>
        <w:tc>
          <w:tcPr>
            <w:tcW w:w="8579" w:type="dxa"/>
            <w:tcBorders>
              <w:top w:val="single" w:sz="18" w:space="0" w:color="000000"/>
            </w:tcBorders>
          </w:tcPr>
          <w:p w14:paraId="0DFDAEF1" w14:textId="77777777" w:rsidR="00046465" w:rsidRDefault="008134EB">
            <w:pPr>
              <w:pStyle w:val="TableParagraph"/>
              <w:spacing w:before="121"/>
              <w:rPr>
                <w:b/>
                <w:sz w:val="24"/>
              </w:rPr>
            </w:pPr>
            <w:r>
              <w:rPr>
                <w:b/>
                <w:sz w:val="24"/>
              </w:rPr>
              <w:t>Name</w:t>
            </w:r>
            <w:r>
              <w:rPr>
                <w:b/>
                <w:spacing w:val="-3"/>
                <w:sz w:val="24"/>
              </w:rPr>
              <w:t xml:space="preserve"> </w:t>
            </w:r>
            <w:r>
              <w:rPr>
                <w:b/>
                <w:sz w:val="24"/>
              </w:rPr>
              <w:t>of</w:t>
            </w:r>
            <w:r>
              <w:rPr>
                <w:b/>
                <w:spacing w:val="-1"/>
                <w:sz w:val="24"/>
              </w:rPr>
              <w:t xml:space="preserve"> </w:t>
            </w:r>
            <w:r>
              <w:rPr>
                <w:b/>
                <w:sz w:val="24"/>
              </w:rPr>
              <w:t>Service</w:t>
            </w:r>
            <w:r>
              <w:rPr>
                <w:b/>
                <w:spacing w:val="-2"/>
                <w:sz w:val="24"/>
              </w:rPr>
              <w:t xml:space="preserve"> Organization</w:t>
            </w:r>
          </w:p>
        </w:tc>
      </w:tr>
      <w:tr w:rsidR="00046465" w14:paraId="0DFDAEF5" w14:textId="77777777">
        <w:trPr>
          <w:trHeight w:val="400"/>
        </w:trPr>
        <w:tc>
          <w:tcPr>
            <w:tcW w:w="841" w:type="dxa"/>
            <w:tcBorders>
              <w:right w:val="single" w:sz="2" w:space="0" w:color="000000"/>
            </w:tcBorders>
          </w:tcPr>
          <w:p w14:paraId="0DFDAEF3" w14:textId="77777777" w:rsidR="00046465" w:rsidRDefault="00046465">
            <w:pPr>
              <w:pStyle w:val="TableParagraph"/>
              <w:rPr>
                <w:rFonts w:ascii="Times New Roman"/>
                <w:sz w:val="20"/>
              </w:rPr>
            </w:pPr>
          </w:p>
        </w:tc>
        <w:tc>
          <w:tcPr>
            <w:tcW w:w="8579" w:type="dxa"/>
            <w:tcBorders>
              <w:left w:val="single" w:sz="2" w:space="0" w:color="000000"/>
            </w:tcBorders>
          </w:tcPr>
          <w:p w14:paraId="0DFDAEF4" w14:textId="77777777" w:rsidR="00046465" w:rsidRDefault="008134EB">
            <w:pPr>
              <w:pStyle w:val="TableParagraph"/>
              <w:spacing w:before="3"/>
              <w:ind w:left="105"/>
              <w:rPr>
                <w:sz w:val="20"/>
              </w:rPr>
            </w:pPr>
            <w:r>
              <w:rPr>
                <w:noProof/>
                <w:sz w:val="20"/>
              </w:rPr>
              <mc:AlternateContent>
                <mc:Choice Requires="wpg">
                  <w:drawing>
                    <wp:anchor distT="0" distB="0" distL="0" distR="0" simplePos="0" relativeHeight="476073472" behindDoc="1" locked="0" layoutInCell="1" allowOverlap="1" wp14:anchorId="0DFDD561" wp14:editId="0DFDD562">
                      <wp:simplePos x="0" y="0"/>
                      <wp:positionH relativeFrom="column">
                        <wp:posOffset>1523</wp:posOffset>
                      </wp:positionH>
                      <wp:positionV relativeFrom="paragraph">
                        <wp:posOffset>-1652</wp:posOffset>
                      </wp:positionV>
                      <wp:extent cx="5377180" cy="257810"/>
                      <wp:effectExtent l="0" t="0" r="0" b="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7180" cy="257810"/>
                                <a:chOff x="0" y="0"/>
                                <a:chExt cx="5377180" cy="257810"/>
                              </a:xfrm>
                            </wpg:grpSpPr>
                            <wps:wsp>
                              <wps:cNvPr id="209" name="Graphic 209"/>
                              <wps:cNvSpPr/>
                              <wps:spPr>
                                <a:xfrm>
                                  <a:off x="0" y="0"/>
                                  <a:ext cx="5377180" cy="257810"/>
                                </a:xfrm>
                                <a:custGeom>
                                  <a:avLst/>
                                  <a:gdLst/>
                                  <a:ahLst/>
                                  <a:cxnLst/>
                                  <a:rect l="l" t="t" r="r" b="b"/>
                                  <a:pathLst>
                                    <a:path w="5377180" h="257810">
                                      <a:moveTo>
                                        <a:pt x="5373611" y="254520"/>
                                      </a:moveTo>
                                      <a:lnTo>
                                        <a:pt x="3048" y="254520"/>
                                      </a:lnTo>
                                      <a:lnTo>
                                        <a:pt x="0" y="254520"/>
                                      </a:lnTo>
                                      <a:lnTo>
                                        <a:pt x="0" y="257556"/>
                                      </a:lnTo>
                                      <a:lnTo>
                                        <a:pt x="3048" y="257556"/>
                                      </a:lnTo>
                                      <a:lnTo>
                                        <a:pt x="5373611" y="257556"/>
                                      </a:lnTo>
                                      <a:lnTo>
                                        <a:pt x="5373611" y="254520"/>
                                      </a:lnTo>
                                      <a:close/>
                                    </a:path>
                                    <a:path w="5377180" h="257810">
                                      <a:moveTo>
                                        <a:pt x="5373611" y="0"/>
                                      </a:moveTo>
                                      <a:lnTo>
                                        <a:pt x="3048" y="0"/>
                                      </a:lnTo>
                                      <a:lnTo>
                                        <a:pt x="0" y="0"/>
                                      </a:lnTo>
                                      <a:lnTo>
                                        <a:pt x="0" y="3048"/>
                                      </a:lnTo>
                                      <a:lnTo>
                                        <a:pt x="3048" y="3048"/>
                                      </a:lnTo>
                                      <a:lnTo>
                                        <a:pt x="5373611" y="3048"/>
                                      </a:lnTo>
                                      <a:lnTo>
                                        <a:pt x="5373611" y="0"/>
                                      </a:lnTo>
                                      <a:close/>
                                    </a:path>
                                    <a:path w="5377180" h="257810">
                                      <a:moveTo>
                                        <a:pt x="5376672" y="254520"/>
                                      </a:moveTo>
                                      <a:lnTo>
                                        <a:pt x="5373624" y="254520"/>
                                      </a:lnTo>
                                      <a:lnTo>
                                        <a:pt x="5373624" y="257556"/>
                                      </a:lnTo>
                                      <a:lnTo>
                                        <a:pt x="5376672" y="257556"/>
                                      </a:lnTo>
                                      <a:lnTo>
                                        <a:pt x="5376672" y="254520"/>
                                      </a:lnTo>
                                      <a:close/>
                                    </a:path>
                                    <a:path w="5377180" h="257810">
                                      <a:moveTo>
                                        <a:pt x="5376672" y="0"/>
                                      </a:moveTo>
                                      <a:lnTo>
                                        <a:pt x="5373624" y="0"/>
                                      </a:lnTo>
                                      <a:lnTo>
                                        <a:pt x="5373624" y="3048"/>
                                      </a:lnTo>
                                      <a:lnTo>
                                        <a:pt x="5373624" y="254508"/>
                                      </a:lnTo>
                                      <a:lnTo>
                                        <a:pt x="5376672" y="254508"/>
                                      </a:lnTo>
                                      <a:lnTo>
                                        <a:pt x="5376672" y="3048"/>
                                      </a:lnTo>
                                      <a:lnTo>
                                        <a:pt x="53766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0027D0" id="Group 208" o:spid="_x0000_s1026" style="position:absolute;margin-left:.1pt;margin-top:-.15pt;width:423.4pt;height:20.3pt;z-index:-27243008;mso-wrap-distance-left:0;mso-wrap-distance-right:0" coordsize="53771,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">
                      <v:shape id="Graphic 209" o:spid="_x0000_s1027" style="position:absolute;width:53771;height:2578;visibility:visible;mso-wrap-style:square;v-text-anchor:top" coordsize="537718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" path="m5373611,254520r-5370563,l,254520r,3036l3048,257556r5370563,l5373611,254520xem5373611,l3048,,,,,3048r3048,l5373611,3048r,-3048xem5376672,254520r-3048,l5373624,257556r3048,l5376672,254520xem5376672,r-3048,l5373624,3048r,251460l5376672,254508r,-251460l5376672,xe" fillcolor="black" stroked="f">
                        <v:path arrowok="t"/>
                      </v:shape>
                    </v:group>
                  </w:pict>
                </mc:Fallback>
              </mc:AlternateContent>
            </w:r>
            <w:r>
              <w:rPr>
                <w:sz w:val="20"/>
              </w:rPr>
              <w:t>ABC</w:t>
            </w:r>
            <w:r>
              <w:rPr>
                <w:spacing w:val="-3"/>
                <w:sz w:val="20"/>
              </w:rPr>
              <w:t xml:space="preserve"> </w:t>
            </w:r>
            <w:r>
              <w:rPr>
                <w:sz w:val="20"/>
              </w:rPr>
              <w:t>Service</w:t>
            </w:r>
            <w:r>
              <w:rPr>
                <w:spacing w:val="-4"/>
                <w:sz w:val="20"/>
              </w:rPr>
              <w:t xml:space="preserve"> </w:t>
            </w:r>
            <w:r>
              <w:rPr>
                <w:spacing w:val="-2"/>
                <w:sz w:val="20"/>
              </w:rPr>
              <w:t>Organization</w:t>
            </w:r>
          </w:p>
        </w:tc>
      </w:tr>
      <w:tr w:rsidR="00046465" w14:paraId="0DFDAEF8" w14:textId="77777777">
        <w:trPr>
          <w:trHeight w:val="796"/>
        </w:trPr>
        <w:tc>
          <w:tcPr>
            <w:tcW w:w="841" w:type="dxa"/>
          </w:tcPr>
          <w:p w14:paraId="0DFDAEF6" w14:textId="77777777" w:rsidR="00046465" w:rsidRDefault="008134EB">
            <w:pPr>
              <w:pStyle w:val="TableParagraph"/>
              <w:spacing w:before="123"/>
              <w:ind w:left="30"/>
              <w:rPr>
                <w:b/>
                <w:sz w:val="24"/>
              </w:rPr>
            </w:pPr>
            <w:r>
              <w:rPr>
                <w:b/>
                <w:spacing w:val="-5"/>
                <w:sz w:val="24"/>
              </w:rPr>
              <w:t>II.</w:t>
            </w:r>
          </w:p>
        </w:tc>
        <w:tc>
          <w:tcPr>
            <w:tcW w:w="8579" w:type="dxa"/>
          </w:tcPr>
          <w:p w14:paraId="0DFDAEF7" w14:textId="77777777" w:rsidR="00046465" w:rsidRDefault="008134EB">
            <w:pPr>
              <w:pStyle w:val="TableParagraph"/>
              <w:spacing w:before="123"/>
              <w:ind w:right="314"/>
              <w:rPr>
                <w:b/>
                <w:sz w:val="24"/>
              </w:rPr>
            </w:pPr>
            <w:r>
              <w:rPr>
                <w:b/>
                <w:sz w:val="24"/>
              </w:rPr>
              <w:t>Description</w:t>
            </w:r>
            <w:r>
              <w:rPr>
                <w:b/>
                <w:spacing w:val="-6"/>
                <w:sz w:val="24"/>
              </w:rPr>
              <w:t xml:space="preserve"> </w:t>
            </w:r>
            <w:r>
              <w:rPr>
                <w:b/>
                <w:sz w:val="24"/>
              </w:rPr>
              <w:t>of</w:t>
            </w:r>
            <w:r>
              <w:rPr>
                <w:b/>
                <w:spacing w:val="-5"/>
                <w:sz w:val="24"/>
              </w:rPr>
              <w:t xml:space="preserve"> </w:t>
            </w:r>
            <w:r>
              <w:rPr>
                <w:b/>
                <w:sz w:val="24"/>
              </w:rPr>
              <w:t>Service</w:t>
            </w:r>
            <w:r>
              <w:rPr>
                <w:b/>
                <w:spacing w:val="-6"/>
                <w:sz w:val="24"/>
              </w:rPr>
              <w:t xml:space="preserve"> </w:t>
            </w:r>
            <w:r>
              <w:rPr>
                <w:b/>
                <w:sz w:val="24"/>
              </w:rPr>
              <w:t>Provided</w:t>
            </w:r>
            <w:r>
              <w:rPr>
                <w:b/>
                <w:spacing w:val="-5"/>
                <w:sz w:val="24"/>
              </w:rPr>
              <w:t xml:space="preserve"> </w:t>
            </w:r>
            <w:r>
              <w:rPr>
                <w:b/>
                <w:sz w:val="24"/>
              </w:rPr>
              <w:t>or</w:t>
            </w:r>
            <w:r>
              <w:rPr>
                <w:b/>
                <w:spacing w:val="-6"/>
                <w:sz w:val="24"/>
              </w:rPr>
              <w:t xml:space="preserve"> </w:t>
            </w:r>
            <w:r>
              <w:rPr>
                <w:b/>
                <w:sz w:val="24"/>
              </w:rPr>
              <w:t>Name</w:t>
            </w:r>
            <w:r>
              <w:rPr>
                <w:b/>
                <w:spacing w:val="-7"/>
                <w:sz w:val="24"/>
              </w:rPr>
              <w:t xml:space="preserve"> </w:t>
            </w:r>
            <w:r>
              <w:rPr>
                <w:b/>
                <w:sz w:val="24"/>
              </w:rPr>
              <w:t>of</w:t>
            </w:r>
            <w:r>
              <w:rPr>
                <w:b/>
                <w:spacing w:val="-5"/>
                <w:sz w:val="24"/>
              </w:rPr>
              <w:t xml:space="preserve"> </w:t>
            </w:r>
            <w:r>
              <w:rPr>
                <w:b/>
                <w:sz w:val="24"/>
              </w:rPr>
              <w:t>Financial</w:t>
            </w:r>
            <w:r>
              <w:rPr>
                <w:b/>
                <w:spacing w:val="-5"/>
                <w:sz w:val="24"/>
              </w:rPr>
              <w:t xml:space="preserve"> </w:t>
            </w:r>
            <w:r>
              <w:rPr>
                <w:b/>
                <w:sz w:val="24"/>
              </w:rPr>
              <w:t>Reporting System(s) the Service Organization Owns/Operates</w:t>
            </w:r>
          </w:p>
        </w:tc>
      </w:tr>
      <w:tr w:rsidR="00046465" w14:paraId="0DFDAEFB" w14:textId="77777777">
        <w:trPr>
          <w:trHeight w:val="585"/>
        </w:trPr>
        <w:tc>
          <w:tcPr>
            <w:tcW w:w="841" w:type="dxa"/>
            <w:tcBorders>
              <w:right w:val="single" w:sz="2" w:space="0" w:color="000000"/>
            </w:tcBorders>
          </w:tcPr>
          <w:p w14:paraId="0DFDAEF9" w14:textId="77777777" w:rsidR="00046465" w:rsidRDefault="00046465">
            <w:pPr>
              <w:pStyle w:val="TableParagraph"/>
              <w:rPr>
                <w:rFonts w:ascii="Times New Roman"/>
                <w:sz w:val="20"/>
              </w:rPr>
            </w:pPr>
          </w:p>
        </w:tc>
        <w:tc>
          <w:tcPr>
            <w:tcW w:w="8579" w:type="dxa"/>
            <w:tcBorders>
              <w:left w:val="single" w:sz="2" w:space="0" w:color="000000"/>
            </w:tcBorders>
          </w:tcPr>
          <w:p w14:paraId="0DFDAEFA" w14:textId="77777777" w:rsidR="00046465" w:rsidRDefault="008134EB">
            <w:pPr>
              <w:pStyle w:val="TableParagraph"/>
              <w:spacing w:before="3"/>
              <w:ind w:left="105"/>
              <w:rPr>
                <w:sz w:val="20"/>
              </w:rPr>
            </w:pPr>
            <w:r>
              <w:rPr>
                <w:noProof/>
                <w:sz w:val="20"/>
              </w:rPr>
              <mc:AlternateContent>
                <mc:Choice Requires="wpg">
                  <w:drawing>
                    <wp:anchor distT="0" distB="0" distL="0" distR="0" simplePos="0" relativeHeight="476073984" behindDoc="1" locked="0" layoutInCell="1" allowOverlap="1" wp14:anchorId="0DFDD563" wp14:editId="0DFDD564">
                      <wp:simplePos x="0" y="0"/>
                      <wp:positionH relativeFrom="column">
                        <wp:posOffset>1523</wp:posOffset>
                      </wp:positionH>
                      <wp:positionV relativeFrom="paragraph">
                        <wp:posOffset>-1652</wp:posOffset>
                      </wp:positionV>
                      <wp:extent cx="5377180" cy="37528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7180" cy="375285"/>
                                <a:chOff x="0" y="0"/>
                                <a:chExt cx="5377180" cy="375285"/>
                              </a:xfrm>
                            </wpg:grpSpPr>
                            <wps:wsp>
                              <wps:cNvPr id="211" name="Graphic 211"/>
                              <wps:cNvSpPr/>
                              <wps:spPr>
                                <a:xfrm>
                                  <a:off x="0" y="0"/>
                                  <a:ext cx="5377180" cy="375285"/>
                                </a:xfrm>
                                <a:custGeom>
                                  <a:avLst/>
                                  <a:gdLst/>
                                  <a:ahLst/>
                                  <a:cxnLst/>
                                  <a:rect l="l" t="t" r="r" b="b"/>
                                  <a:pathLst>
                                    <a:path w="5377180" h="375285">
                                      <a:moveTo>
                                        <a:pt x="5373611" y="371868"/>
                                      </a:moveTo>
                                      <a:lnTo>
                                        <a:pt x="3048" y="371868"/>
                                      </a:lnTo>
                                      <a:lnTo>
                                        <a:pt x="0" y="371868"/>
                                      </a:lnTo>
                                      <a:lnTo>
                                        <a:pt x="0" y="374904"/>
                                      </a:lnTo>
                                      <a:lnTo>
                                        <a:pt x="3048" y="374904"/>
                                      </a:lnTo>
                                      <a:lnTo>
                                        <a:pt x="5373611" y="374904"/>
                                      </a:lnTo>
                                      <a:lnTo>
                                        <a:pt x="5373611" y="371868"/>
                                      </a:lnTo>
                                      <a:close/>
                                    </a:path>
                                    <a:path w="5377180" h="375285">
                                      <a:moveTo>
                                        <a:pt x="5373611" y="0"/>
                                      </a:moveTo>
                                      <a:lnTo>
                                        <a:pt x="3048" y="0"/>
                                      </a:lnTo>
                                      <a:lnTo>
                                        <a:pt x="0" y="0"/>
                                      </a:lnTo>
                                      <a:lnTo>
                                        <a:pt x="0" y="3048"/>
                                      </a:lnTo>
                                      <a:lnTo>
                                        <a:pt x="3048" y="3048"/>
                                      </a:lnTo>
                                      <a:lnTo>
                                        <a:pt x="5373611" y="3048"/>
                                      </a:lnTo>
                                      <a:lnTo>
                                        <a:pt x="5373611" y="0"/>
                                      </a:lnTo>
                                      <a:close/>
                                    </a:path>
                                    <a:path w="5377180" h="375285">
                                      <a:moveTo>
                                        <a:pt x="5376672" y="371868"/>
                                      </a:moveTo>
                                      <a:lnTo>
                                        <a:pt x="5373624" y="371868"/>
                                      </a:lnTo>
                                      <a:lnTo>
                                        <a:pt x="5373624" y="374904"/>
                                      </a:lnTo>
                                      <a:lnTo>
                                        <a:pt x="5376672" y="374904"/>
                                      </a:lnTo>
                                      <a:lnTo>
                                        <a:pt x="5376672" y="371868"/>
                                      </a:lnTo>
                                      <a:close/>
                                    </a:path>
                                    <a:path w="5377180" h="375285">
                                      <a:moveTo>
                                        <a:pt x="5376672" y="0"/>
                                      </a:moveTo>
                                      <a:lnTo>
                                        <a:pt x="5373624" y="0"/>
                                      </a:lnTo>
                                      <a:lnTo>
                                        <a:pt x="5373624" y="3048"/>
                                      </a:lnTo>
                                      <a:lnTo>
                                        <a:pt x="5373624" y="371856"/>
                                      </a:lnTo>
                                      <a:lnTo>
                                        <a:pt x="5376672" y="371856"/>
                                      </a:lnTo>
                                      <a:lnTo>
                                        <a:pt x="5376672" y="3048"/>
                                      </a:lnTo>
                                      <a:lnTo>
                                        <a:pt x="53766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51C495" id="Group 210" o:spid="_x0000_s1026" style="position:absolute;margin-left:.1pt;margin-top:-.15pt;width:423.4pt;height:29.55pt;z-index:-27242496;mso-wrap-distance-left:0;mso-wrap-distance-right:0" coordsize="53771,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">
                      <v:shape id="Graphic 211" o:spid="_x0000_s1027" style="position:absolute;width:53771;height:3752;visibility:visible;mso-wrap-style:square;v-text-anchor:top" coordsize="537718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" path="m5373611,371868r-5370563,l,371868r,3036l3048,374904r5370563,l5373611,371868xem5373611,l3048,,,,,3048r3048,l5373611,3048r,-3048xem5376672,371868r-3048,l5373624,374904r3048,l5376672,371868xem5376672,r-3048,l5373624,3048r,368808l5376672,371856r,-368808l5376672,xe" fillcolor="black" stroked="f">
                        <v:path arrowok="t"/>
                      </v:shape>
                    </v:group>
                  </w:pict>
                </mc:Fallback>
              </mc:AlternateContent>
            </w:r>
            <w:r>
              <w:rPr>
                <w:sz w:val="20"/>
              </w:rPr>
              <w:t>ABC</w:t>
            </w:r>
            <w:r>
              <w:rPr>
                <w:spacing w:val="-4"/>
                <w:sz w:val="20"/>
              </w:rPr>
              <w:t xml:space="preserve"> </w:t>
            </w:r>
            <w:r>
              <w:rPr>
                <w:sz w:val="20"/>
              </w:rPr>
              <w:t>Service</w:t>
            </w:r>
            <w:r>
              <w:rPr>
                <w:spacing w:val="-6"/>
                <w:sz w:val="20"/>
              </w:rPr>
              <w:t xml:space="preserve"> </w:t>
            </w:r>
            <w:r>
              <w:rPr>
                <w:sz w:val="20"/>
              </w:rPr>
              <w:t>Organization</w:t>
            </w:r>
            <w:r>
              <w:rPr>
                <w:spacing w:val="-6"/>
                <w:sz w:val="20"/>
              </w:rPr>
              <w:t xml:space="preserve"> </w:t>
            </w:r>
            <w:r>
              <w:rPr>
                <w:sz w:val="20"/>
              </w:rPr>
              <w:t>processes</w:t>
            </w:r>
            <w:r>
              <w:rPr>
                <w:spacing w:val="-4"/>
                <w:sz w:val="20"/>
              </w:rPr>
              <w:t xml:space="preserve"> </w:t>
            </w:r>
            <w:r>
              <w:rPr>
                <w:sz w:val="20"/>
              </w:rPr>
              <w:t>XYZ</w:t>
            </w:r>
            <w:r>
              <w:rPr>
                <w:spacing w:val="-5"/>
                <w:sz w:val="20"/>
              </w:rPr>
              <w:t xml:space="preserve"> </w:t>
            </w:r>
            <w:r>
              <w:rPr>
                <w:sz w:val="20"/>
              </w:rPr>
              <w:t>Entity’s</w:t>
            </w:r>
            <w:r>
              <w:rPr>
                <w:spacing w:val="-4"/>
                <w:sz w:val="20"/>
              </w:rPr>
              <w:t xml:space="preserve"> </w:t>
            </w:r>
            <w:r>
              <w:rPr>
                <w:sz w:val="20"/>
              </w:rPr>
              <w:t>payroll</w:t>
            </w:r>
            <w:r>
              <w:rPr>
                <w:spacing w:val="-5"/>
                <w:sz w:val="20"/>
              </w:rPr>
              <w:t xml:space="preserve"> </w:t>
            </w:r>
            <w:r>
              <w:rPr>
                <w:sz w:val="20"/>
              </w:rPr>
              <w:t>transactions.</w:t>
            </w:r>
            <w:r>
              <w:rPr>
                <w:spacing w:val="-5"/>
                <w:sz w:val="20"/>
              </w:rPr>
              <w:t xml:space="preserve"> </w:t>
            </w:r>
            <w:r>
              <w:rPr>
                <w:sz w:val="20"/>
              </w:rPr>
              <w:t>ABC</w:t>
            </w:r>
            <w:r>
              <w:rPr>
                <w:spacing w:val="-4"/>
                <w:sz w:val="20"/>
              </w:rPr>
              <w:t xml:space="preserve"> </w:t>
            </w:r>
            <w:r>
              <w:rPr>
                <w:sz w:val="20"/>
              </w:rPr>
              <w:t>Service Organization owns and operations XXX IT system to process payroll.</w:t>
            </w:r>
          </w:p>
        </w:tc>
      </w:tr>
      <w:tr w:rsidR="00046465" w14:paraId="0DFDAEFE" w14:textId="77777777">
        <w:trPr>
          <w:trHeight w:val="1072"/>
        </w:trPr>
        <w:tc>
          <w:tcPr>
            <w:tcW w:w="841" w:type="dxa"/>
          </w:tcPr>
          <w:p w14:paraId="0DFDAEFC" w14:textId="77777777" w:rsidR="00046465" w:rsidRDefault="008134EB">
            <w:pPr>
              <w:pStyle w:val="TableParagraph"/>
              <w:spacing w:before="123"/>
              <w:ind w:left="30"/>
              <w:rPr>
                <w:b/>
                <w:sz w:val="24"/>
              </w:rPr>
            </w:pPr>
            <w:r>
              <w:rPr>
                <w:b/>
                <w:spacing w:val="-4"/>
                <w:sz w:val="24"/>
              </w:rPr>
              <w:t>III.</w:t>
            </w:r>
          </w:p>
        </w:tc>
        <w:tc>
          <w:tcPr>
            <w:tcW w:w="8579" w:type="dxa"/>
          </w:tcPr>
          <w:p w14:paraId="0DFDAEFD" w14:textId="77777777" w:rsidR="00046465" w:rsidRDefault="008134EB">
            <w:pPr>
              <w:pStyle w:val="TableParagraph"/>
              <w:spacing w:before="123"/>
              <w:ind w:right="314"/>
              <w:rPr>
                <w:b/>
                <w:sz w:val="24"/>
              </w:rPr>
            </w:pPr>
            <w:r>
              <w:rPr>
                <w:b/>
                <w:sz w:val="24"/>
              </w:rPr>
              <w:t>Description of Financial Statement Impact (e.g., nature of entity transactions processed, prior-year or year-to-date dollar value, transaction</w:t>
            </w:r>
            <w:r>
              <w:rPr>
                <w:b/>
                <w:spacing w:val="-4"/>
                <w:sz w:val="24"/>
              </w:rPr>
              <w:t xml:space="preserve"> </w:t>
            </w:r>
            <w:r>
              <w:rPr>
                <w:b/>
                <w:sz w:val="24"/>
              </w:rPr>
              <w:t>volume,</w:t>
            </w:r>
            <w:r>
              <w:rPr>
                <w:b/>
                <w:spacing w:val="-5"/>
                <w:sz w:val="24"/>
              </w:rPr>
              <w:t xml:space="preserve"> </w:t>
            </w:r>
            <w:r>
              <w:rPr>
                <w:b/>
                <w:sz w:val="24"/>
              </w:rPr>
              <w:t>and</w:t>
            </w:r>
            <w:r>
              <w:rPr>
                <w:b/>
                <w:spacing w:val="-4"/>
                <w:sz w:val="24"/>
              </w:rPr>
              <w:t xml:space="preserve"> </w:t>
            </w:r>
            <w:r>
              <w:rPr>
                <w:b/>
                <w:sz w:val="24"/>
              </w:rPr>
              <w:t>how</w:t>
            </w:r>
            <w:r>
              <w:rPr>
                <w:b/>
                <w:spacing w:val="-3"/>
                <w:sz w:val="24"/>
              </w:rPr>
              <w:t xml:space="preserve"> </w:t>
            </w:r>
            <w:r>
              <w:rPr>
                <w:b/>
                <w:sz w:val="24"/>
              </w:rPr>
              <w:t>it</w:t>
            </w:r>
            <w:r>
              <w:rPr>
                <w:b/>
                <w:spacing w:val="-5"/>
                <w:sz w:val="24"/>
              </w:rPr>
              <w:t xml:space="preserve"> </w:t>
            </w:r>
            <w:r>
              <w:rPr>
                <w:b/>
                <w:sz w:val="24"/>
              </w:rPr>
              <w:t>is</w:t>
            </w:r>
            <w:r>
              <w:rPr>
                <w:b/>
                <w:spacing w:val="-4"/>
                <w:sz w:val="24"/>
              </w:rPr>
              <w:t xml:space="preserve"> </w:t>
            </w:r>
            <w:r>
              <w:rPr>
                <w:b/>
                <w:sz w:val="24"/>
              </w:rPr>
              <w:t>reported</w:t>
            </w:r>
            <w:r>
              <w:rPr>
                <w:b/>
                <w:spacing w:val="-4"/>
                <w:sz w:val="24"/>
              </w:rPr>
              <w:t xml:space="preserve"> </w:t>
            </w:r>
            <w:r>
              <w:rPr>
                <w:b/>
                <w:sz w:val="24"/>
              </w:rPr>
              <w:t>in</w:t>
            </w:r>
            <w:r>
              <w:rPr>
                <w:b/>
                <w:spacing w:val="-4"/>
                <w:sz w:val="24"/>
              </w:rPr>
              <w:t xml:space="preserve"> </w:t>
            </w:r>
            <w:r>
              <w:rPr>
                <w:b/>
                <w:sz w:val="24"/>
              </w:rPr>
              <w:t>the</w:t>
            </w:r>
            <w:r>
              <w:rPr>
                <w:b/>
                <w:spacing w:val="-5"/>
                <w:sz w:val="24"/>
              </w:rPr>
              <w:t xml:space="preserve"> </w:t>
            </w:r>
            <w:r>
              <w:rPr>
                <w:b/>
                <w:sz w:val="24"/>
              </w:rPr>
              <w:t>financial</w:t>
            </w:r>
            <w:r>
              <w:rPr>
                <w:b/>
                <w:spacing w:val="-3"/>
                <w:sz w:val="24"/>
              </w:rPr>
              <w:t xml:space="preserve"> </w:t>
            </w:r>
            <w:r>
              <w:rPr>
                <w:b/>
                <w:sz w:val="24"/>
              </w:rPr>
              <w:t>statements)</w:t>
            </w:r>
          </w:p>
        </w:tc>
      </w:tr>
      <w:tr w:rsidR="00046465" w14:paraId="0DFDAF02" w14:textId="77777777">
        <w:trPr>
          <w:trHeight w:val="1045"/>
        </w:trPr>
        <w:tc>
          <w:tcPr>
            <w:tcW w:w="841" w:type="dxa"/>
            <w:tcBorders>
              <w:right w:val="single" w:sz="2" w:space="0" w:color="000000"/>
            </w:tcBorders>
          </w:tcPr>
          <w:p w14:paraId="0DFDAEFF" w14:textId="77777777" w:rsidR="00046465" w:rsidRDefault="00046465">
            <w:pPr>
              <w:pStyle w:val="TableParagraph"/>
              <w:rPr>
                <w:rFonts w:ascii="Times New Roman"/>
                <w:sz w:val="20"/>
              </w:rPr>
            </w:pPr>
          </w:p>
        </w:tc>
        <w:tc>
          <w:tcPr>
            <w:tcW w:w="8579" w:type="dxa"/>
            <w:tcBorders>
              <w:left w:val="single" w:sz="2" w:space="0" w:color="000000"/>
            </w:tcBorders>
          </w:tcPr>
          <w:p w14:paraId="0DFDAF00" w14:textId="77777777" w:rsidR="00046465" w:rsidRDefault="008134EB">
            <w:pPr>
              <w:pStyle w:val="TableParagraph"/>
              <w:spacing w:before="3"/>
              <w:ind w:left="105" w:right="295"/>
              <w:jc w:val="both"/>
              <w:rPr>
                <w:sz w:val="20"/>
              </w:rPr>
            </w:pPr>
            <w:r>
              <w:rPr>
                <w:noProof/>
                <w:sz w:val="20"/>
              </w:rPr>
              <mc:AlternateContent>
                <mc:Choice Requires="wpg">
                  <w:drawing>
                    <wp:anchor distT="0" distB="0" distL="0" distR="0" simplePos="0" relativeHeight="476074496" behindDoc="1" locked="0" layoutInCell="1" allowOverlap="1" wp14:anchorId="0DFDD565" wp14:editId="0DFDD566">
                      <wp:simplePos x="0" y="0"/>
                      <wp:positionH relativeFrom="column">
                        <wp:posOffset>1523</wp:posOffset>
                      </wp:positionH>
                      <wp:positionV relativeFrom="paragraph">
                        <wp:posOffset>-1639</wp:posOffset>
                      </wp:positionV>
                      <wp:extent cx="5377180" cy="666750"/>
                      <wp:effectExtent l="0" t="0" r="0" b="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7180" cy="666750"/>
                                <a:chOff x="0" y="0"/>
                                <a:chExt cx="5377180" cy="666750"/>
                              </a:xfrm>
                            </wpg:grpSpPr>
                            <wps:wsp>
                              <wps:cNvPr id="213" name="Graphic 213"/>
                              <wps:cNvSpPr/>
                              <wps:spPr>
                                <a:xfrm>
                                  <a:off x="0" y="0"/>
                                  <a:ext cx="5377180" cy="666750"/>
                                </a:xfrm>
                                <a:custGeom>
                                  <a:avLst/>
                                  <a:gdLst/>
                                  <a:ahLst/>
                                  <a:cxnLst/>
                                  <a:rect l="l" t="t" r="r" b="b"/>
                                  <a:pathLst>
                                    <a:path w="5377180" h="666750">
                                      <a:moveTo>
                                        <a:pt x="5373611" y="663689"/>
                                      </a:moveTo>
                                      <a:lnTo>
                                        <a:pt x="3048" y="663689"/>
                                      </a:lnTo>
                                      <a:lnTo>
                                        <a:pt x="0" y="663689"/>
                                      </a:lnTo>
                                      <a:lnTo>
                                        <a:pt x="0" y="666737"/>
                                      </a:lnTo>
                                      <a:lnTo>
                                        <a:pt x="3048" y="666737"/>
                                      </a:lnTo>
                                      <a:lnTo>
                                        <a:pt x="5373611" y="666737"/>
                                      </a:lnTo>
                                      <a:lnTo>
                                        <a:pt x="5373611" y="663689"/>
                                      </a:lnTo>
                                      <a:close/>
                                    </a:path>
                                    <a:path w="5377180" h="666750">
                                      <a:moveTo>
                                        <a:pt x="5373611" y="0"/>
                                      </a:moveTo>
                                      <a:lnTo>
                                        <a:pt x="3048" y="0"/>
                                      </a:lnTo>
                                      <a:lnTo>
                                        <a:pt x="0" y="0"/>
                                      </a:lnTo>
                                      <a:lnTo>
                                        <a:pt x="0" y="3035"/>
                                      </a:lnTo>
                                      <a:lnTo>
                                        <a:pt x="3048" y="3035"/>
                                      </a:lnTo>
                                      <a:lnTo>
                                        <a:pt x="5373611" y="3035"/>
                                      </a:lnTo>
                                      <a:lnTo>
                                        <a:pt x="5373611" y="0"/>
                                      </a:lnTo>
                                      <a:close/>
                                    </a:path>
                                    <a:path w="5377180" h="666750">
                                      <a:moveTo>
                                        <a:pt x="5376672" y="0"/>
                                      </a:moveTo>
                                      <a:lnTo>
                                        <a:pt x="5373624" y="0"/>
                                      </a:lnTo>
                                      <a:lnTo>
                                        <a:pt x="5373624" y="3035"/>
                                      </a:lnTo>
                                      <a:lnTo>
                                        <a:pt x="5373624" y="663689"/>
                                      </a:lnTo>
                                      <a:lnTo>
                                        <a:pt x="5373624" y="666737"/>
                                      </a:lnTo>
                                      <a:lnTo>
                                        <a:pt x="5376672" y="666737"/>
                                      </a:lnTo>
                                      <a:lnTo>
                                        <a:pt x="5376672" y="663689"/>
                                      </a:lnTo>
                                      <a:lnTo>
                                        <a:pt x="5376672" y="3035"/>
                                      </a:lnTo>
                                      <a:lnTo>
                                        <a:pt x="53766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5266257" id="Group 212" o:spid="_x0000_s1026" style="position:absolute;margin-left:.1pt;margin-top:-.15pt;width:423.4pt;height:52.5pt;z-index:-27241984;mso-wrap-distance-left:0;mso-wrap-distance-right:0" coordsize="53771,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">
                      <v:shape id="Graphic 213" o:spid="_x0000_s1027" style="position:absolute;width:53771;height:6667;visibility:visible;mso-wrap-style:square;v-text-anchor:top" coordsize="5377180,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" path="m5373611,663689r-5370563,l,663689r,3048l3048,666737r5370563,l5373611,663689xem5373611,l3048,,,,,3035r3048,l5373611,3035r,-3035xem5376672,r-3048,l5373624,3035r,660654l5373624,666737r3048,l5376672,663689r,-660654l5376672,xe" fillcolor="black" stroked="f">
                        <v:path arrowok="t"/>
                      </v:shape>
                    </v:group>
                  </w:pict>
                </mc:Fallback>
              </mc:AlternateContent>
            </w:r>
            <w:r>
              <w:rPr>
                <w:sz w:val="20"/>
              </w:rPr>
              <w:t>Payroll</w:t>
            </w:r>
            <w:r>
              <w:rPr>
                <w:spacing w:val="-1"/>
                <w:sz w:val="20"/>
              </w:rPr>
              <w:t xml:space="preserve"> </w:t>
            </w:r>
            <w:r>
              <w:rPr>
                <w:sz w:val="20"/>
              </w:rPr>
              <w:t>transactions are</w:t>
            </w:r>
            <w:r>
              <w:rPr>
                <w:spacing w:val="-2"/>
                <w:sz w:val="20"/>
              </w:rPr>
              <w:t xml:space="preserve"> </w:t>
            </w:r>
            <w:r>
              <w:rPr>
                <w:sz w:val="20"/>
              </w:rPr>
              <w:t>recorded</w:t>
            </w:r>
            <w:r>
              <w:rPr>
                <w:spacing w:val="-1"/>
                <w:sz w:val="20"/>
              </w:rPr>
              <w:t xml:space="preserve"> </w:t>
            </w:r>
            <w:r>
              <w:rPr>
                <w:sz w:val="20"/>
              </w:rPr>
              <w:t>in</w:t>
            </w:r>
            <w:r>
              <w:rPr>
                <w:spacing w:val="-1"/>
                <w:sz w:val="20"/>
              </w:rPr>
              <w:t xml:space="preserve"> </w:t>
            </w:r>
            <w:r>
              <w:rPr>
                <w:sz w:val="20"/>
              </w:rPr>
              <w:t>“Payroll</w:t>
            </w:r>
            <w:r>
              <w:rPr>
                <w:spacing w:val="-1"/>
                <w:sz w:val="20"/>
              </w:rPr>
              <w:t xml:space="preserve"> </w:t>
            </w:r>
            <w:r>
              <w:rPr>
                <w:sz w:val="20"/>
              </w:rPr>
              <w:t>Expense”</w:t>
            </w:r>
            <w:r>
              <w:rPr>
                <w:spacing w:val="-2"/>
                <w:sz w:val="20"/>
              </w:rPr>
              <w:t xml:space="preserve"> </w:t>
            </w:r>
            <w:r>
              <w:rPr>
                <w:sz w:val="20"/>
              </w:rPr>
              <w:t>line</w:t>
            </w:r>
            <w:r>
              <w:rPr>
                <w:spacing w:val="-1"/>
                <w:sz w:val="20"/>
              </w:rPr>
              <w:t xml:space="preserve"> </w:t>
            </w:r>
            <w:r>
              <w:rPr>
                <w:sz w:val="20"/>
              </w:rPr>
              <w:t>item</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Statement</w:t>
            </w:r>
            <w:r>
              <w:rPr>
                <w:spacing w:val="-1"/>
                <w:sz w:val="20"/>
              </w:rPr>
              <w:t xml:space="preserve"> </w:t>
            </w:r>
            <w:r>
              <w:rPr>
                <w:sz w:val="20"/>
              </w:rPr>
              <w:t>of</w:t>
            </w:r>
            <w:r>
              <w:rPr>
                <w:spacing w:val="-1"/>
                <w:sz w:val="20"/>
              </w:rPr>
              <w:t xml:space="preserve"> </w:t>
            </w:r>
            <w:r>
              <w:rPr>
                <w:sz w:val="20"/>
              </w:rPr>
              <w:t>Net</w:t>
            </w:r>
            <w:r>
              <w:rPr>
                <w:spacing w:val="-1"/>
                <w:sz w:val="20"/>
              </w:rPr>
              <w:t xml:space="preserve"> </w:t>
            </w:r>
            <w:r>
              <w:rPr>
                <w:sz w:val="20"/>
              </w:rPr>
              <w:t>Cost and</w:t>
            </w:r>
            <w:r>
              <w:rPr>
                <w:spacing w:val="-3"/>
                <w:sz w:val="20"/>
              </w:rPr>
              <w:t xml:space="preserve"> </w:t>
            </w:r>
            <w:r>
              <w:rPr>
                <w:sz w:val="20"/>
              </w:rPr>
              <w:t>“Accrued</w:t>
            </w:r>
            <w:r>
              <w:rPr>
                <w:spacing w:val="-4"/>
                <w:sz w:val="20"/>
              </w:rPr>
              <w:t xml:space="preserve"> </w:t>
            </w:r>
            <w:r>
              <w:rPr>
                <w:sz w:val="20"/>
              </w:rPr>
              <w:t>Liabilities”</w:t>
            </w:r>
            <w:r>
              <w:rPr>
                <w:spacing w:val="-2"/>
                <w:sz w:val="20"/>
              </w:rPr>
              <w:t xml:space="preserve"> </w:t>
            </w:r>
            <w:r>
              <w:rPr>
                <w:sz w:val="20"/>
              </w:rPr>
              <w:t>line</w:t>
            </w:r>
            <w:r>
              <w:rPr>
                <w:spacing w:val="-3"/>
                <w:sz w:val="20"/>
              </w:rPr>
              <w:t xml:space="preserve"> </w:t>
            </w:r>
            <w:r>
              <w:rPr>
                <w:sz w:val="20"/>
              </w:rPr>
              <w:t>item</w:t>
            </w:r>
            <w:r>
              <w:rPr>
                <w:spacing w:val="-3"/>
                <w:sz w:val="20"/>
              </w:rPr>
              <w:t xml:space="preserve"> </w:t>
            </w:r>
            <w:r>
              <w:rPr>
                <w:sz w:val="20"/>
              </w:rPr>
              <w:t>on</w:t>
            </w:r>
            <w:r>
              <w:rPr>
                <w:spacing w:val="-3"/>
                <w:sz w:val="20"/>
              </w:rPr>
              <w:t xml:space="preserve"> </w:t>
            </w:r>
            <w:r>
              <w:rPr>
                <w:sz w:val="20"/>
              </w:rPr>
              <w:t>the</w:t>
            </w:r>
            <w:r>
              <w:rPr>
                <w:spacing w:val="-3"/>
                <w:sz w:val="20"/>
              </w:rPr>
              <w:t xml:space="preserve"> </w:t>
            </w:r>
            <w:r>
              <w:rPr>
                <w:sz w:val="20"/>
              </w:rPr>
              <w:t>Balance</w:t>
            </w:r>
            <w:r>
              <w:rPr>
                <w:spacing w:val="-3"/>
                <w:sz w:val="20"/>
              </w:rPr>
              <w:t xml:space="preserve"> </w:t>
            </w:r>
            <w:r>
              <w:rPr>
                <w:sz w:val="20"/>
              </w:rPr>
              <w:t>Sheet.</w:t>
            </w:r>
            <w:r>
              <w:rPr>
                <w:spacing w:val="-3"/>
                <w:sz w:val="20"/>
              </w:rPr>
              <w:t xml:space="preserve"> </w:t>
            </w:r>
            <w:r>
              <w:rPr>
                <w:sz w:val="20"/>
              </w:rPr>
              <w:t>For</w:t>
            </w:r>
            <w:r>
              <w:rPr>
                <w:spacing w:val="-2"/>
                <w:sz w:val="20"/>
              </w:rPr>
              <w:t xml:space="preserve"> </w:t>
            </w:r>
            <w:r>
              <w:rPr>
                <w:sz w:val="20"/>
              </w:rPr>
              <w:t>FY</w:t>
            </w:r>
            <w:r>
              <w:rPr>
                <w:spacing w:val="-3"/>
                <w:sz w:val="20"/>
              </w:rPr>
              <w:t xml:space="preserve"> </w:t>
            </w:r>
            <w:r>
              <w:rPr>
                <w:sz w:val="20"/>
              </w:rPr>
              <w:t>20XX,</w:t>
            </w:r>
            <w:r>
              <w:rPr>
                <w:spacing w:val="-3"/>
                <w:sz w:val="20"/>
              </w:rPr>
              <w:t xml:space="preserve"> </w:t>
            </w:r>
            <w:r>
              <w:rPr>
                <w:sz w:val="20"/>
              </w:rPr>
              <w:t>the</w:t>
            </w:r>
            <w:r>
              <w:rPr>
                <w:spacing w:val="-3"/>
                <w:sz w:val="20"/>
              </w:rPr>
              <w:t xml:space="preserve"> </w:t>
            </w:r>
            <w:r>
              <w:rPr>
                <w:sz w:val="20"/>
              </w:rPr>
              <w:t>amount</w:t>
            </w:r>
            <w:r>
              <w:rPr>
                <w:spacing w:val="-3"/>
                <w:sz w:val="20"/>
              </w:rPr>
              <w:t xml:space="preserve"> </w:t>
            </w:r>
            <w:r>
              <w:rPr>
                <w:sz w:val="20"/>
              </w:rPr>
              <w:t>of</w:t>
            </w:r>
            <w:r>
              <w:rPr>
                <w:spacing w:val="-3"/>
                <w:sz w:val="20"/>
              </w:rPr>
              <w:t xml:space="preserve"> </w:t>
            </w:r>
            <w:r>
              <w:rPr>
                <w:sz w:val="20"/>
              </w:rPr>
              <w:t>Payroll Expense was $XXX million and the amount of Accrued Liabilities (related to payroll) was</w:t>
            </w:r>
          </w:p>
          <w:p w14:paraId="0DFDAF01" w14:textId="77777777" w:rsidR="00046465" w:rsidRDefault="008134EB">
            <w:pPr>
              <w:pStyle w:val="TableParagraph"/>
              <w:ind w:left="105"/>
              <w:jc w:val="both"/>
              <w:rPr>
                <w:sz w:val="20"/>
              </w:rPr>
            </w:pPr>
            <w:r>
              <w:rPr>
                <w:sz w:val="20"/>
              </w:rPr>
              <w:t>$XXX</w:t>
            </w:r>
            <w:r>
              <w:rPr>
                <w:spacing w:val="-6"/>
                <w:sz w:val="20"/>
              </w:rPr>
              <w:t xml:space="preserve"> </w:t>
            </w:r>
            <w:r>
              <w:rPr>
                <w:sz w:val="20"/>
              </w:rPr>
              <w:t>million.</w:t>
            </w:r>
            <w:r>
              <w:rPr>
                <w:spacing w:val="-5"/>
                <w:sz w:val="20"/>
              </w:rPr>
              <w:t xml:space="preserve"> </w:t>
            </w:r>
            <w:r>
              <w:rPr>
                <w:sz w:val="20"/>
              </w:rPr>
              <w:t>Transactions</w:t>
            </w:r>
            <w:r>
              <w:rPr>
                <w:spacing w:val="-5"/>
                <w:sz w:val="20"/>
              </w:rPr>
              <w:t xml:space="preserve"> </w:t>
            </w:r>
            <w:r>
              <w:rPr>
                <w:sz w:val="20"/>
              </w:rPr>
              <w:t>are</w:t>
            </w:r>
            <w:r>
              <w:rPr>
                <w:spacing w:val="-5"/>
                <w:sz w:val="20"/>
              </w:rPr>
              <w:t xml:space="preserve"> </w:t>
            </w:r>
            <w:r>
              <w:rPr>
                <w:sz w:val="20"/>
              </w:rPr>
              <w:t>recorded</w:t>
            </w:r>
            <w:r>
              <w:rPr>
                <w:spacing w:val="-6"/>
                <w:sz w:val="20"/>
              </w:rPr>
              <w:t xml:space="preserve"> </w:t>
            </w:r>
            <w:r>
              <w:rPr>
                <w:spacing w:val="-2"/>
                <w:sz w:val="20"/>
              </w:rPr>
              <w:t>biweekly.</w:t>
            </w:r>
          </w:p>
        </w:tc>
      </w:tr>
      <w:tr w:rsidR="00046465" w14:paraId="0DFDAF05" w14:textId="77777777">
        <w:trPr>
          <w:trHeight w:val="520"/>
        </w:trPr>
        <w:tc>
          <w:tcPr>
            <w:tcW w:w="841" w:type="dxa"/>
          </w:tcPr>
          <w:p w14:paraId="0DFDAF03" w14:textId="77777777" w:rsidR="00046465" w:rsidRDefault="008134EB">
            <w:pPr>
              <w:pStyle w:val="TableParagraph"/>
              <w:spacing w:before="123"/>
              <w:ind w:left="30"/>
              <w:rPr>
                <w:b/>
                <w:sz w:val="24"/>
              </w:rPr>
            </w:pPr>
            <w:r>
              <w:rPr>
                <w:b/>
                <w:spacing w:val="-5"/>
                <w:sz w:val="24"/>
              </w:rPr>
              <w:t>IV.</w:t>
            </w:r>
          </w:p>
        </w:tc>
        <w:tc>
          <w:tcPr>
            <w:tcW w:w="8579" w:type="dxa"/>
          </w:tcPr>
          <w:p w14:paraId="0DFDAF04" w14:textId="77777777" w:rsidR="00046465" w:rsidRDefault="008134EB">
            <w:pPr>
              <w:pStyle w:val="TableParagraph"/>
              <w:spacing w:before="123"/>
              <w:rPr>
                <w:b/>
                <w:sz w:val="24"/>
              </w:rPr>
            </w:pPr>
            <w:r>
              <w:rPr>
                <w:b/>
                <w:sz w:val="24"/>
              </w:rPr>
              <w:t>Date</w:t>
            </w:r>
            <w:r>
              <w:rPr>
                <w:b/>
                <w:spacing w:val="-2"/>
                <w:sz w:val="24"/>
              </w:rPr>
              <w:t xml:space="preserve"> </w:t>
            </w:r>
            <w:r>
              <w:rPr>
                <w:b/>
                <w:sz w:val="24"/>
              </w:rPr>
              <w:t>of</w:t>
            </w:r>
            <w:r>
              <w:rPr>
                <w:b/>
                <w:spacing w:val="-1"/>
                <w:sz w:val="24"/>
              </w:rPr>
              <w:t xml:space="preserve"> </w:t>
            </w:r>
            <w:r>
              <w:rPr>
                <w:b/>
                <w:sz w:val="24"/>
              </w:rPr>
              <w:t>the</w:t>
            </w:r>
            <w:r>
              <w:rPr>
                <w:b/>
                <w:spacing w:val="-2"/>
                <w:sz w:val="24"/>
              </w:rPr>
              <w:t xml:space="preserve"> </w:t>
            </w:r>
            <w:r>
              <w:rPr>
                <w:b/>
                <w:sz w:val="24"/>
              </w:rPr>
              <w:t>Type</w:t>
            </w:r>
            <w:r>
              <w:rPr>
                <w:b/>
                <w:spacing w:val="-2"/>
                <w:sz w:val="24"/>
              </w:rPr>
              <w:t xml:space="preserve"> </w:t>
            </w:r>
            <w:r>
              <w:rPr>
                <w:b/>
                <w:sz w:val="24"/>
              </w:rPr>
              <w:t>2</w:t>
            </w:r>
            <w:r>
              <w:rPr>
                <w:b/>
                <w:spacing w:val="-2"/>
                <w:sz w:val="24"/>
              </w:rPr>
              <w:t xml:space="preserve"> </w:t>
            </w:r>
            <w:r>
              <w:rPr>
                <w:b/>
                <w:sz w:val="24"/>
              </w:rPr>
              <w:t>Report</w:t>
            </w:r>
            <w:r>
              <w:rPr>
                <w:b/>
                <w:spacing w:val="-1"/>
                <w:sz w:val="24"/>
              </w:rPr>
              <w:t xml:space="preserve"> </w:t>
            </w:r>
            <w:r>
              <w:rPr>
                <w:b/>
                <w:sz w:val="24"/>
              </w:rPr>
              <w:t>and</w:t>
            </w:r>
            <w:r>
              <w:rPr>
                <w:b/>
                <w:spacing w:val="-2"/>
                <w:sz w:val="24"/>
              </w:rPr>
              <w:t xml:space="preserve"> </w:t>
            </w:r>
            <w:r>
              <w:rPr>
                <w:b/>
                <w:sz w:val="24"/>
              </w:rPr>
              <w:t>the</w:t>
            </w:r>
            <w:r>
              <w:rPr>
                <w:b/>
                <w:spacing w:val="-2"/>
                <w:sz w:val="24"/>
              </w:rPr>
              <w:t xml:space="preserve"> </w:t>
            </w:r>
            <w:r>
              <w:rPr>
                <w:b/>
                <w:sz w:val="24"/>
              </w:rPr>
              <w:t>Period</w:t>
            </w:r>
            <w:r>
              <w:rPr>
                <w:b/>
                <w:spacing w:val="-1"/>
                <w:sz w:val="24"/>
              </w:rPr>
              <w:t xml:space="preserve"> </w:t>
            </w:r>
            <w:r>
              <w:rPr>
                <w:b/>
                <w:spacing w:val="-2"/>
                <w:sz w:val="24"/>
              </w:rPr>
              <w:t>Covered</w:t>
            </w:r>
          </w:p>
        </w:tc>
      </w:tr>
      <w:tr w:rsidR="00046465" w14:paraId="0DFDAF08" w14:textId="77777777">
        <w:trPr>
          <w:trHeight w:val="584"/>
        </w:trPr>
        <w:tc>
          <w:tcPr>
            <w:tcW w:w="841" w:type="dxa"/>
            <w:tcBorders>
              <w:right w:val="single" w:sz="2" w:space="0" w:color="000000"/>
            </w:tcBorders>
          </w:tcPr>
          <w:p w14:paraId="0DFDAF06" w14:textId="77777777" w:rsidR="00046465" w:rsidRDefault="00046465">
            <w:pPr>
              <w:pStyle w:val="TableParagraph"/>
              <w:rPr>
                <w:rFonts w:ascii="Times New Roman"/>
                <w:sz w:val="20"/>
              </w:rPr>
            </w:pPr>
          </w:p>
        </w:tc>
        <w:tc>
          <w:tcPr>
            <w:tcW w:w="8579" w:type="dxa"/>
            <w:tcBorders>
              <w:left w:val="single" w:sz="2" w:space="0" w:color="000000"/>
            </w:tcBorders>
          </w:tcPr>
          <w:p w14:paraId="0DFDAF07" w14:textId="77777777" w:rsidR="00046465" w:rsidRDefault="008134EB">
            <w:pPr>
              <w:pStyle w:val="TableParagraph"/>
              <w:spacing w:before="3"/>
              <w:ind w:left="105"/>
              <w:rPr>
                <w:sz w:val="20"/>
              </w:rPr>
            </w:pPr>
            <w:r>
              <w:rPr>
                <w:noProof/>
                <w:sz w:val="20"/>
              </w:rPr>
              <mc:AlternateContent>
                <mc:Choice Requires="wpg">
                  <w:drawing>
                    <wp:anchor distT="0" distB="0" distL="0" distR="0" simplePos="0" relativeHeight="476075008" behindDoc="1" locked="0" layoutInCell="1" allowOverlap="1" wp14:anchorId="0DFDD567" wp14:editId="0DFDD568">
                      <wp:simplePos x="0" y="0"/>
                      <wp:positionH relativeFrom="column">
                        <wp:posOffset>1523</wp:posOffset>
                      </wp:positionH>
                      <wp:positionV relativeFrom="paragraph">
                        <wp:posOffset>-1639</wp:posOffset>
                      </wp:positionV>
                      <wp:extent cx="5377180" cy="374650"/>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7180" cy="374650"/>
                                <a:chOff x="0" y="0"/>
                                <a:chExt cx="5377180" cy="374650"/>
                              </a:xfrm>
                            </wpg:grpSpPr>
                            <wps:wsp>
                              <wps:cNvPr id="215" name="Graphic 215"/>
                              <wps:cNvSpPr/>
                              <wps:spPr>
                                <a:xfrm>
                                  <a:off x="0" y="0"/>
                                  <a:ext cx="5377180" cy="374650"/>
                                </a:xfrm>
                                <a:custGeom>
                                  <a:avLst/>
                                  <a:gdLst/>
                                  <a:ahLst/>
                                  <a:cxnLst/>
                                  <a:rect l="l" t="t" r="r" b="b"/>
                                  <a:pathLst>
                                    <a:path w="5377180" h="374650">
                                      <a:moveTo>
                                        <a:pt x="5373611" y="371081"/>
                                      </a:moveTo>
                                      <a:lnTo>
                                        <a:pt x="3048" y="371081"/>
                                      </a:lnTo>
                                      <a:lnTo>
                                        <a:pt x="0" y="371081"/>
                                      </a:lnTo>
                                      <a:lnTo>
                                        <a:pt x="0" y="374129"/>
                                      </a:lnTo>
                                      <a:lnTo>
                                        <a:pt x="3048" y="374129"/>
                                      </a:lnTo>
                                      <a:lnTo>
                                        <a:pt x="5373611" y="374129"/>
                                      </a:lnTo>
                                      <a:lnTo>
                                        <a:pt x="5373611" y="371081"/>
                                      </a:lnTo>
                                      <a:close/>
                                    </a:path>
                                    <a:path w="5377180" h="374650">
                                      <a:moveTo>
                                        <a:pt x="5373611" y="0"/>
                                      </a:moveTo>
                                      <a:lnTo>
                                        <a:pt x="3048" y="0"/>
                                      </a:lnTo>
                                      <a:lnTo>
                                        <a:pt x="0" y="0"/>
                                      </a:lnTo>
                                      <a:lnTo>
                                        <a:pt x="0" y="3035"/>
                                      </a:lnTo>
                                      <a:lnTo>
                                        <a:pt x="3048" y="3035"/>
                                      </a:lnTo>
                                      <a:lnTo>
                                        <a:pt x="5373611" y="3035"/>
                                      </a:lnTo>
                                      <a:lnTo>
                                        <a:pt x="5373611" y="0"/>
                                      </a:lnTo>
                                      <a:close/>
                                    </a:path>
                                    <a:path w="5377180" h="374650">
                                      <a:moveTo>
                                        <a:pt x="5376672" y="0"/>
                                      </a:moveTo>
                                      <a:lnTo>
                                        <a:pt x="5373624" y="0"/>
                                      </a:lnTo>
                                      <a:lnTo>
                                        <a:pt x="5373624" y="3035"/>
                                      </a:lnTo>
                                      <a:lnTo>
                                        <a:pt x="5373624" y="371081"/>
                                      </a:lnTo>
                                      <a:lnTo>
                                        <a:pt x="5373624" y="374129"/>
                                      </a:lnTo>
                                      <a:lnTo>
                                        <a:pt x="5376672" y="374129"/>
                                      </a:lnTo>
                                      <a:lnTo>
                                        <a:pt x="5376672" y="371081"/>
                                      </a:lnTo>
                                      <a:lnTo>
                                        <a:pt x="5376672" y="3035"/>
                                      </a:lnTo>
                                      <a:lnTo>
                                        <a:pt x="53766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8B28D0" id="Group 214" o:spid="_x0000_s1026" style="position:absolute;margin-left:.1pt;margin-top:-.15pt;width:423.4pt;height:29.5pt;z-index:-27241472;mso-wrap-distance-left:0;mso-wrap-distance-right:0" coordsize="53771,3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">
                      <v:shape id="Graphic 215" o:spid="_x0000_s1027" style="position:absolute;width:53771;height:3746;visibility:visible;mso-wrap-style:square;v-text-anchor:top" coordsize="537718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" path="m5373611,371081r-5370563,l,371081r,3048l3048,374129r5370563,l5373611,371081xem5373611,l3048,,,,,3035r3048,l5373611,3035r,-3035xem5376672,r-3048,l5373624,3035r,368046l5373624,374129r3048,l5376672,371081r,-368046l5376672,xe" fillcolor="black" stroked="f">
                        <v:path arrowok="t"/>
                      </v:shape>
                    </v:group>
                  </w:pict>
                </mc:Fallback>
              </mc:AlternateContent>
            </w:r>
            <w:r>
              <w:rPr>
                <w:sz w:val="20"/>
              </w:rPr>
              <w:t>Report</w:t>
            </w:r>
            <w:r>
              <w:rPr>
                <w:spacing w:val="-3"/>
                <w:sz w:val="20"/>
              </w:rPr>
              <w:t xml:space="preserve"> </w:t>
            </w:r>
            <w:r>
              <w:rPr>
                <w:sz w:val="20"/>
              </w:rPr>
              <w:t>issued</w:t>
            </w:r>
            <w:r>
              <w:rPr>
                <w:spacing w:val="-3"/>
                <w:sz w:val="20"/>
              </w:rPr>
              <w:t xml:space="preserve"> </w:t>
            </w:r>
            <w:r>
              <w:rPr>
                <w:sz w:val="20"/>
              </w:rPr>
              <w:t>September</w:t>
            </w:r>
            <w:r>
              <w:rPr>
                <w:spacing w:val="-2"/>
                <w:sz w:val="20"/>
              </w:rPr>
              <w:t xml:space="preserve"> </w:t>
            </w:r>
            <w:r>
              <w:rPr>
                <w:sz w:val="20"/>
              </w:rPr>
              <w:t>XX,</w:t>
            </w:r>
            <w:r>
              <w:rPr>
                <w:spacing w:val="-3"/>
                <w:sz w:val="20"/>
              </w:rPr>
              <w:t xml:space="preserve"> </w:t>
            </w:r>
            <w:r>
              <w:rPr>
                <w:sz w:val="20"/>
              </w:rPr>
              <w:t>20X1,</w:t>
            </w:r>
            <w:r>
              <w:rPr>
                <w:spacing w:val="-3"/>
                <w:sz w:val="20"/>
              </w:rPr>
              <w:t xml:space="preserve"> </w:t>
            </w:r>
            <w:r>
              <w:rPr>
                <w:sz w:val="20"/>
              </w:rPr>
              <w:t>covering</w:t>
            </w:r>
            <w:r>
              <w:rPr>
                <w:spacing w:val="-3"/>
                <w:sz w:val="20"/>
              </w:rPr>
              <w:t xml:space="preserve"> </w:t>
            </w:r>
            <w:r>
              <w:rPr>
                <w:sz w:val="20"/>
              </w:rPr>
              <w:t>the</w:t>
            </w:r>
            <w:r>
              <w:rPr>
                <w:spacing w:val="-3"/>
                <w:sz w:val="20"/>
              </w:rPr>
              <w:t xml:space="preserve"> </w:t>
            </w:r>
            <w:r>
              <w:rPr>
                <w:sz w:val="20"/>
              </w:rPr>
              <w:t>period</w:t>
            </w:r>
            <w:r>
              <w:rPr>
                <w:spacing w:val="-3"/>
                <w:sz w:val="20"/>
              </w:rPr>
              <w:t xml:space="preserve"> </w:t>
            </w:r>
            <w:r>
              <w:rPr>
                <w:sz w:val="20"/>
              </w:rPr>
              <w:t>October</w:t>
            </w:r>
            <w:r>
              <w:rPr>
                <w:spacing w:val="-2"/>
                <w:sz w:val="20"/>
              </w:rPr>
              <w:t xml:space="preserve"> </w:t>
            </w:r>
            <w:r>
              <w:rPr>
                <w:sz w:val="20"/>
              </w:rPr>
              <w:t>1,</w:t>
            </w:r>
            <w:r>
              <w:rPr>
                <w:spacing w:val="-3"/>
                <w:sz w:val="20"/>
              </w:rPr>
              <w:t xml:space="preserve"> </w:t>
            </w:r>
            <w:r>
              <w:rPr>
                <w:sz w:val="20"/>
              </w:rPr>
              <w:t>20XX,</w:t>
            </w:r>
            <w:r>
              <w:rPr>
                <w:spacing w:val="-3"/>
                <w:sz w:val="20"/>
              </w:rPr>
              <w:t xml:space="preserve"> </w:t>
            </w:r>
            <w:r>
              <w:rPr>
                <w:sz w:val="20"/>
              </w:rPr>
              <w:t>through</w:t>
            </w:r>
            <w:r>
              <w:rPr>
                <w:spacing w:val="-3"/>
                <w:sz w:val="20"/>
              </w:rPr>
              <w:t xml:space="preserve"> </w:t>
            </w:r>
            <w:r>
              <w:rPr>
                <w:sz w:val="20"/>
              </w:rPr>
              <w:t>June</w:t>
            </w:r>
            <w:r>
              <w:rPr>
                <w:spacing w:val="-3"/>
                <w:sz w:val="20"/>
              </w:rPr>
              <w:t xml:space="preserve"> </w:t>
            </w:r>
            <w:r>
              <w:rPr>
                <w:sz w:val="20"/>
              </w:rPr>
              <w:t xml:space="preserve">30, </w:t>
            </w:r>
            <w:r>
              <w:rPr>
                <w:spacing w:val="-4"/>
                <w:sz w:val="20"/>
              </w:rPr>
              <w:t>20X1</w:t>
            </w:r>
          </w:p>
        </w:tc>
      </w:tr>
      <w:tr w:rsidR="00046465" w14:paraId="0DFDAF0B" w14:textId="77777777">
        <w:trPr>
          <w:trHeight w:val="796"/>
        </w:trPr>
        <w:tc>
          <w:tcPr>
            <w:tcW w:w="841" w:type="dxa"/>
          </w:tcPr>
          <w:p w14:paraId="0DFDAF09" w14:textId="77777777" w:rsidR="00046465" w:rsidRDefault="008134EB">
            <w:pPr>
              <w:pStyle w:val="TableParagraph"/>
              <w:spacing w:before="123"/>
              <w:ind w:left="30"/>
              <w:rPr>
                <w:b/>
                <w:sz w:val="24"/>
              </w:rPr>
            </w:pPr>
            <w:r>
              <w:rPr>
                <w:b/>
                <w:spacing w:val="-5"/>
                <w:sz w:val="24"/>
              </w:rPr>
              <w:t>V.</w:t>
            </w:r>
          </w:p>
        </w:tc>
        <w:tc>
          <w:tcPr>
            <w:tcW w:w="8579" w:type="dxa"/>
          </w:tcPr>
          <w:p w14:paraId="0DFDAF0A" w14:textId="77777777" w:rsidR="00046465" w:rsidRDefault="008134EB">
            <w:pPr>
              <w:pStyle w:val="TableParagraph"/>
              <w:spacing w:before="123"/>
              <w:ind w:right="314"/>
              <w:rPr>
                <w:b/>
                <w:sz w:val="24"/>
              </w:rPr>
            </w:pPr>
            <w:r>
              <w:rPr>
                <w:b/>
                <w:sz w:val="24"/>
              </w:rPr>
              <w:t>Name</w:t>
            </w:r>
            <w:r>
              <w:rPr>
                <w:b/>
                <w:spacing w:val="-4"/>
                <w:sz w:val="24"/>
              </w:rPr>
              <w:t xml:space="preserve"> </w:t>
            </w:r>
            <w:r>
              <w:rPr>
                <w:b/>
                <w:sz w:val="24"/>
              </w:rPr>
              <w:t>of</w:t>
            </w:r>
            <w:r>
              <w:rPr>
                <w:b/>
                <w:spacing w:val="-3"/>
                <w:sz w:val="24"/>
              </w:rPr>
              <w:t xml:space="preserve"> </w:t>
            </w:r>
            <w:r>
              <w:rPr>
                <w:b/>
                <w:sz w:val="24"/>
              </w:rPr>
              <w:t>the</w:t>
            </w:r>
            <w:r>
              <w:rPr>
                <w:b/>
                <w:spacing w:val="-4"/>
                <w:sz w:val="24"/>
              </w:rPr>
              <w:t xml:space="preserve"> </w:t>
            </w:r>
            <w:r>
              <w:rPr>
                <w:b/>
                <w:sz w:val="24"/>
              </w:rPr>
              <w:t>Service</w:t>
            </w:r>
            <w:r>
              <w:rPr>
                <w:b/>
                <w:spacing w:val="-3"/>
                <w:sz w:val="24"/>
              </w:rPr>
              <w:t xml:space="preserve"> </w:t>
            </w:r>
            <w:r>
              <w:rPr>
                <w:b/>
                <w:sz w:val="24"/>
              </w:rPr>
              <w:t>Auditor</w:t>
            </w:r>
            <w:r>
              <w:rPr>
                <w:b/>
                <w:spacing w:val="-4"/>
                <w:sz w:val="24"/>
              </w:rPr>
              <w:t xml:space="preserve"> </w:t>
            </w:r>
            <w:r>
              <w:rPr>
                <w:b/>
                <w:sz w:val="24"/>
              </w:rPr>
              <w:t>and</w:t>
            </w:r>
            <w:r>
              <w:rPr>
                <w:b/>
                <w:spacing w:val="-4"/>
                <w:sz w:val="24"/>
              </w:rPr>
              <w:t xml:space="preserve"> </w:t>
            </w:r>
            <w:r>
              <w:rPr>
                <w:b/>
                <w:sz w:val="24"/>
              </w:rPr>
              <w:t>Date</w:t>
            </w:r>
            <w:r>
              <w:rPr>
                <w:b/>
                <w:spacing w:val="-4"/>
                <w:sz w:val="24"/>
              </w:rPr>
              <w:t xml:space="preserve"> </w:t>
            </w:r>
            <w:r>
              <w:rPr>
                <w:b/>
                <w:sz w:val="24"/>
              </w:rPr>
              <w:t>of</w:t>
            </w:r>
            <w:r>
              <w:rPr>
                <w:b/>
                <w:spacing w:val="-3"/>
                <w:sz w:val="24"/>
              </w:rPr>
              <w:t xml:space="preserve"> </w:t>
            </w:r>
            <w:r>
              <w:rPr>
                <w:b/>
                <w:sz w:val="24"/>
              </w:rPr>
              <w:t>Most</w:t>
            </w:r>
            <w:r>
              <w:rPr>
                <w:b/>
                <w:spacing w:val="-3"/>
                <w:sz w:val="24"/>
              </w:rPr>
              <w:t xml:space="preserve"> </w:t>
            </w:r>
            <w:r>
              <w:rPr>
                <w:b/>
                <w:sz w:val="24"/>
              </w:rPr>
              <w:t>Recent</w:t>
            </w:r>
            <w:r>
              <w:rPr>
                <w:b/>
                <w:spacing w:val="-3"/>
                <w:sz w:val="24"/>
              </w:rPr>
              <w:t xml:space="preserve"> </w:t>
            </w:r>
            <w:r>
              <w:rPr>
                <w:b/>
                <w:sz w:val="24"/>
              </w:rPr>
              <w:t>Peer</w:t>
            </w:r>
            <w:r>
              <w:rPr>
                <w:b/>
                <w:spacing w:val="-4"/>
                <w:sz w:val="24"/>
              </w:rPr>
              <w:t xml:space="preserve"> </w:t>
            </w:r>
            <w:r>
              <w:rPr>
                <w:b/>
                <w:sz w:val="24"/>
              </w:rPr>
              <w:t xml:space="preserve">Review </w:t>
            </w:r>
            <w:r>
              <w:rPr>
                <w:b/>
                <w:spacing w:val="-2"/>
                <w:sz w:val="24"/>
              </w:rPr>
              <w:t>Report</w:t>
            </w:r>
          </w:p>
        </w:tc>
      </w:tr>
      <w:tr w:rsidR="00046465" w14:paraId="0DFDAF0F" w14:textId="77777777">
        <w:trPr>
          <w:trHeight w:val="585"/>
        </w:trPr>
        <w:tc>
          <w:tcPr>
            <w:tcW w:w="841" w:type="dxa"/>
            <w:tcBorders>
              <w:right w:val="single" w:sz="2" w:space="0" w:color="000000"/>
            </w:tcBorders>
          </w:tcPr>
          <w:p w14:paraId="0DFDAF0C" w14:textId="77777777" w:rsidR="00046465" w:rsidRDefault="00046465">
            <w:pPr>
              <w:pStyle w:val="TableParagraph"/>
              <w:rPr>
                <w:rFonts w:ascii="Times New Roman"/>
                <w:sz w:val="20"/>
              </w:rPr>
            </w:pPr>
          </w:p>
        </w:tc>
        <w:tc>
          <w:tcPr>
            <w:tcW w:w="8579" w:type="dxa"/>
            <w:tcBorders>
              <w:left w:val="single" w:sz="2" w:space="0" w:color="000000"/>
            </w:tcBorders>
          </w:tcPr>
          <w:p w14:paraId="0DFDAF0D" w14:textId="77777777" w:rsidR="00046465" w:rsidRDefault="008134EB">
            <w:pPr>
              <w:pStyle w:val="TableParagraph"/>
              <w:spacing w:before="3"/>
              <w:ind w:left="105"/>
              <w:rPr>
                <w:sz w:val="20"/>
              </w:rPr>
            </w:pPr>
            <w:r>
              <w:rPr>
                <w:noProof/>
                <w:sz w:val="20"/>
              </w:rPr>
              <mc:AlternateContent>
                <mc:Choice Requires="wpg">
                  <w:drawing>
                    <wp:anchor distT="0" distB="0" distL="0" distR="0" simplePos="0" relativeHeight="476075520" behindDoc="1" locked="0" layoutInCell="1" allowOverlap="1" wp14:anchorId="0DFDD569" wp14:editId="0DFDD56A">
                      <wp:simplePos x="0" y="0"/>
                      <wp:positionH relativeFrom="column">
                        <wp:posOffset>1523</wp:posOffset>
                      </wp:positionH>
                      <wp:positionV relativeFrom="paragraph">
                        <wp:posOffset>-1652</wp:posOffset>
                      </wp:positionV>
                      <wp:extent cx="5377180" cy="375285"/>
                      <wp:effectExtent l="0" t="0" r="0" b="0"/>
                      <wp:wrapNone/>
                      <wp:docPr id="216"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7180" cy="375285"/>
                                <a:chOff x="0" y="0"/>
                                <a:chExt cx="5377180" cy="375285"/>
                              </a:xfrm>
                            </wpg:grpSpPr>
                            <wps:wsp>
                              <wps:cNvPr id="217" name="Graphic 217"/>
                              <wps:cNvSpPr/>
                              <wps:spPr>
                                <a:xfrm>
                                  <a:off x="0" y="0"/>
                                  <a:ext cx="5377180" cy="375285"/>
                                </a:xfrm>
                                <a:custGeom>
                                  <a:avLst/>
                                  <a:gdLst/>
                                  <a:ahLst/>
                                  <a:cxnLst/>
                                  <a:rect l="l" t="t" r="r" b="b"/>
                                  <a:pathLst>
                                    <a:path w="5377180" h="375285">
                                      <a:moveTo>
                                        <a:pt x="5373611" y="371856"/>
                                      </a:moveTo>
                                      <a:lnTo>
                                        <a:pt x="3048" y="371856"/>
                                      </a:lnTo>
                                      <a:lnTo>
                                        <a:pt x="0" y="371856"/>
                                      </a:lnTo>
                                      <a:lnTo>
                                        <a:pt x="0" y="374904"/>
                                      </a:lnTo>
                                      <a:lnTo>
                                        <a:pt x="3048" y="374904"/>
                                      </a:lnTo>
                                      <a:lnTo>
                                        <a:pt x="5373611" y="374904"/>
                                      </a:lnTo>
                                      <a:lnTo>
                                        <a:pt x="5373611" y="371856"/>
                                      </a:lnTo>
                                      <a:close/>
                                    </a:path>
                                    <a:path w="5377180" h="375285">
                                      <a:moveTo>
                                        <a:pt x="5373611" y="0"/>
                                      </a:moveTo>
                                      <a:lnTo>
                                        <a:pt x="3048" y="0"/>
                                      </a:lnTo>
                                      <a:lnTo>
                                        <a:pt x="0" y="0"/>
                                      </a:lnTo>
                                      <a:lnTo>
                                        <a:pt x="0" y="3048"/>
                                      </a:lnTo>
                                      <a:lnTo>
                                        <a:pt x="3048" y="3048"/>
                                      </a:lnTo>
                                      <a:lnTo>
                                        <a:pt x="5373611" y="3048"/>
                                      </a:lnTo>
                                      <a:lnTo>
                                        <a:pt x="5373611" y="0"/>
                                      </a:lnTo>
                                      <a:close/>
                                    </a:path>
                                    <a:path w="5377180" h="375285">
                                      <a:moveTo>
                                        <a:pt x="5376672" y="3073"/>
                                      </a:moveTo>
                                      <a:lnTo>
                                        <a:pt x="5373624" y="3073"/>
                                      </a:lnTo>
                                      <a:lnTo>
                                        <a:pt x="5373624" y="371856"/>
                                      </a:lnTo>
                                      <a:lnTo>
                                        <a:pt x="5373624" y="374904"/>
                                      </a:lnTo>
                                      <a:lnTo>
                                        <a:pt x="5376672" y="374904"/>
                                      </a:lnTo>
                                      <a:lnTo>
                                        <a:pt x="5376672" y="371856"/>
                                      </a:lnTo>
                                      <a:lnTo>
                                        <a:pt x="5376672" y="3073"/>
                                      </a:lnTo>
                                      <a:close/>
                                    </a:path>
                                    <a:path w="5377180" h="375285">
                                      <a:moveTo>
                                        <a:pt x="5376672" y="0"/>
                                      </a:moveTo>
                                      <a:lnTo>
                                        <a:pt x="5373624" y="0"/>
                                      </a:lnTo>
                                      <a:lnTo>
                                        <a:pt x="5373624" y="3048"/>
                                      </a:lnTo>
                                      <a:lnTo>
                                        <a:pt x="5376672" y="3048"/>
                                      </a:lnTo>
                                      <a:lnTo>
                                        <a:pt x="53766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772800" id="Group 216" o:spid="_x0000_s1026" style="position:absolute;margin-left:.1pt;margin-top:-.15pt;width:423.4pt;height:29.55pt;z-index:-27240960;mso-wrap-distance-left:0;mso-wrap-distance-right:0" coordsize="53771,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">
                      <v:shape id="Graphic 217" o:spid="_x0000_s1027" style="position:absolute;width:53771;height:3752;visibility:visible;mso-wrap-style:square;v-text-anchor:top" coordsize="5377180,375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" path="m5373611,371856r-5370563,l,371856r,3048l3048,374904r5370563,l5373611,371856xem5373611,l3048,,,,,3048r3048,l5373611,3048r,-3048xem5376672,3073r-3048,l5373624,371856r,3048l5376672,374904r,-3048l5376672,3073xem5376672,r-3048,l5373624,3048r3048,l5376672,xe" fillcolor="black" stroked="f">
                        <v:path arrowok="t"/>
                      </v:shape>
                    </v:group>
                  </w:pict>
                </mc:Fallback>
              </mc:AlternateContent>
            </w:r>
            <w:r>
              <w:rPr>
                <w:sz w:val="20"/>
              </w:rPr>
              <w:t>IPA</w:t>
            </w:r>
            <w:r>
              <w:rPr>
                <w:spacing w:val="-4"/>
                <w:sz w:val="20"/>
              </w:rPr>
              <w:t xml:space="preserve"> </w:t>
            </w:r>
            <w:r>
              <w:rPr>
                <w:sz w:val="20"/>
              </w:rPr>
              <w:t>Public</w:t>
            </w:r>
            <w:r>
              <w:rPr>
                <w:spacing w:val="-2"/>
                <w:sz w:val="20"/>
              </w:rPr>
              <w:t xml:space="preserve"> Accountants</w:t>
            </w:r>
          </w:p>
          <w:p w14:paraId="0DFDAF0E" w14:textId="77777777" w:rsidR="00046465" w:rsidRDefault="008134EB">
            <w:pPr>
              <w:pStyle w:val="TableParagraph"/>
              <w:ind w:left="105"/>
              <w:rPr>
                <w:sz w:val="20"/>
              </w:rPr>
            </w:pPr>
            <w:r>
              <w:rPr>
                <w:sz w:val="20"/>
              </w:rPr>
              <w:t>Peer</w:t>
            </w:r>
            <w:r>
              <w:rPr>
                <w:spacing w:val="-3"/>
                <w:sz w:val="20"/>
              </w:rPr>
              <w:t xml:space="preserve"> </w:t>
            </w:r>
            <w:r>
              <w:rPr>
                <w:sz w:val="20"/>
              </w:rPr>
              <w:t>review</w:t>
            </w:r>
            <w:r>
              <w:rPr>
                <w:spacing w:val="-3"/>
                <w:sz w:val="20"/>
              </w:rPr>
              <w:t xml:space="preserve"> </w:t>
            </w:r>
            <w:r>
              <w:rPr>
                <w:sz w:val="20"/>
              </w:rPr>
              <w:t>report</w:t>
            </w:r>
            <w:r>
              <w:rPr>
                <w:spacing w:val="-4"/>
                <w:sz w:val="20"/>
              </w:rPr>
              <w:t xml:space="preserve"> </w:t>
            </w:r>
            <w:r>
              <w:rPr>
                <w:sz w:val="20"/>
              </w:rPr>
              <w:t>certified</w:t>
            </w:r>
            <w:r>
              <w:rPr>
                <w:spacing w:val="-4"/>
                <w:sz w:val="20"/>
              </w:rPr>
              <w:t xml:space="preserve"> </w:t>
            </w:r>
            <w:r>
              <w:rPr>
                <w:sz w:val="20"/>
              </w:rPr>
              <w:t>through</w:t>
            </w:r>
            <w:r>
              <w:rPr>
                <w:spacing w:val="-5"/>
                <w:sz w:val="20"/>
              </w:rPr>
              <w:t xml:space="preserve"> </w:t>
            </w:r>
            <w:r>
              <w:rPr>
                <w:sz w:val="20"/>
              </w:rPr>
              <w:t>November</w:t>
            </w:r>
            <w:r>
              <w:rPr>
                <w:spacing w:val="-3"/>
                <w:sz w:val="20"/>
              </w:rPr>
              <w:t xml:space="preserve"> </w:t>
            </w:r>
            <w:r>
              <w:rPr>
                <w:sz w:val="20"/>
              </w:rPr>
              <w:t>30,</w:t>
            </w:r>
            <w:r>
              <w:rPr>
                <w:spacing w:val="-3"/>
                <w:sz w:val="20"/>
              </w:rPr>
              <w:t xml:space="preserve"> </w:t>
            </w:r>
            <w:r>
              <w:rPr>
                <w:spacing w:val="-4"/>
                <w:sz w:val="20"/>
              </w:rPr>
              <w:t>20XX.</w:t>
            </w:r>
          </w:p>
        </w:tc>
      </w:tr>
      <w:tr w:rsidR="00046465" w14:paraId="0DFDAF12" w14:textId="77777777">
        <w:trPr>
          <w:trHeight w:val="520"/>
        </w:trPr>
        <w:tc>
          <w:tcPr>
            <w:tcW w:w="841" w:type="dxa"/>
          </w:tcPr>
          <w:p w14:paraId="0DFDAF10" w14:textId="77777777" w:rsidR="00046465" w:rsidRDefault="008134EB">
            <w:pPr>
              <w:pStyle w:val="TableParagraph"/>
              <w:spacing w:before="123"/>
              <w:ind w:left="30"/>
              <w:rPr>
                <w:b/>
                <w:sz w:val="24"/>
              </w:rPr>
            </w:pPr>
            <w:r>
              <w:rPr>
                <w:b/>
                <w:spacing w:val="-5"/>
                <w:sz w:val="24"/>
              </w:rPr>
              <w:t>VI.</w:t>
            </w:r>
          </w:p>
        </w:tc>
        <w:tc>
          <w:tcPr>
            <w:tcW w:w="8579" w:type="dxa"/>
          </w:tcPr>
          <w:p w14:paraId="0DFDAF11" w14:textId="77777777" w:rsidR="00046465" w:rsidRDefault="008134EB">
            <w:pPr>
              <w:pStyle w:val="TableParagraph"/>
              <w:spacing w:before="123"/>
              <w:rPr>
                <w:b/>
                <w:sz w:val="24"/>
              </w:rPr>
            </w:pPr>
            <w:r>
              <w:rPr>
                <w:b/>
                <w:sz w:val="24"/>
              </w:rPr>
              <w:t>Audit</w:t>
            </w:r>
            <w:r>
              <w:rPr>
                <w:b/>
                <w:spacing w:val="-4"/>
                <w:sz w:val="24"/>
              </w:rPr>
              <w:t xml:space="preserve"> </w:t>
            </w:r>
            <w:r>
              <w:rPr>
                <w:b/>
                <w:sz w:val="24"/>
              </w:rPr>
              <w:t>Cycles</w:t>
            </w:r>
            <w:r>
              <w:rPr>
                <w:b/>
                <w:spacing w:val="-3"/>
                <w:sz w:val="24"/>
              </w:rPr>
              <w:t xml:space="preserve"> </w:t>
            </w:r>
            <w:r>
              <w:rPr>
                <w:b/>
                <w:sz w:val="24"/>
              </w:rPr>
              <w:t>Affected</w:t>
            </w:r>
            <w:r>
              <w:rPr>
                <w:b/>
                <w:spacing w:val="-2"/>
                <w:sz w:val="24"/>
              </w:rPr>
              <w:t xml:space="preserve"> </w:t>
            </w:r>
            <w:r>
              <w:rPr>
                <w:b/>
                <w:sz w:val="24"/>
              </w:rPr>
              <w:t>by</w:t>
            </w:r>
            <w:r>
              <w:rPr>
                <w:b/>
                <w:spacing w:val="-3"/>
                <w:sz w:val="24"/>
              </w:rPr>
              <w:t xml:space="preserve"> </w:t>
            </w:r>
            <w:r>
              <w:rPr>
                <w:b/>
                <w:sz w:val="24"/>
              </w:rPr>
              <w:t>the</w:t>
            </w:r>
            <w:r>
              <w:rPr>
                <w:b/>
                <w:spacing w:val="-3"/>
                <w:sz w:val="24"/>
              </w:rPr>
              <w:t xml:space="preserve"> </w:t>
            </w:r>
            <w:r>
              <w:rPr>
                <w:b/>
                <w:sz w:val="24"/>
              </w:rPr>
              <w:t>Service</w:t>
            </w:r>
            <w:r>
              <w:rPr>
                <w:b/>
                <w:spacing w:val="-2"/>
                <w:sz w:val="24"/>
              </w:rPr>
              <w:t xml:space="preserve"> Organization</w:t>
            </w:r>
          </w:p>
        </w:tc>
      </w:tr>
      <w:tr w:rsidR="00046465" w14:paraId="0DFDAF15" w14:textId="77777777">
        <w:trPr>
          <w:trHeight w:val="400"/>
        </w:trPr>
        <w:tc>
          <w:tcPr>
            <w:tcW w:w="841" w:type="dxa"/>
            <w:tcBorders>
              <w:right w:val="single" w:sz="2" w:space="0" w:color="000000"/>
            </w:tcBorders>
          </w:tcPr>
          <w:p w14:paraId="0DFDAF13" w14:textId="77777777" w:rsidR="00046465" w:rsidRDefault="00046465">
            <w:pPr>
              <w:pStyle w:val="TableParagraph"/>
              <w:rPr>
                <w:rFonts w:ascii="Times New Roman"/>
                <w:sz w:val="20"/>
              </w:rPr>
            </w:pPr>
          </w:p>
        </w:tc>
        <w:tc>
          <w:tcPr>
            <w:tcW w:w="8579" w:type="dxa"/>
            <w:tcBorders>
              <w:left w:val="single" w:sz="2" w:space="0" w:color="000000"/>
            </w:tcBorders>
          </w:tcPr>
          <w:p w14:paraId="0DFDAF14" w14:textId="77777777" w:rsidR="00046465" w:rsidRDefault="008134EB">
            <w:pPr>
              <w:pStyle w:val="TableParagraph"/>
              <w:spacing w:before="3"/>
              <w:ind w:left="105"/>
              <w:rPr>
                <w:sz w:val="20"/>
              </w:rPr>
            </w:pPr>
            <w:r>
              <w:rPr>
                <w:noProof/>
                <w:sz w:val="20"/>
              </w:rPr>
              <mc:AlternateContent>
                <mc:Choice Requires="wpg">
                  <w:drawing>
                    <wp:anchor distT="0" distB="0" distL="0" distR="0" simplePos="0" relativeHeight="476076032" behindDoc="1" locked="0" layoutInCell="1" allowOverlap="1" wp14:anchorId="0DFDD56B" wp14:editId="0DFDD56C">
                      <wp:simplePos x="0" y="0"/>
                      <wp:positionH relativeFrom="column">
                        <wp:posOffset>1523</wp:posOffset>
                      </wp:positionH>
                      <wp:positionV relativeFrom="paragraph">
                        <wp:posOffset>-1639</wp:posOffset>
                      </wp:positionV>
                      <wp:extent cx="5377180" cy="257810"/>
                      <wp:effectExtent l="0" t="0" r="0" b="0"/>
                      <wp:wrapNone/>
                      <wp:docPr id="21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7180" cy="257810"/>
                                <a:chOff x="0" y="0"/>
                                <a:chExt cx="5377180" cy="257810"/>
                              </a:xfrm>
                            </wpg:grpSpPr>
                            <wps:wsp>
                              <wps:cNvPr id="219" name="Graphic 219"/>
                              <wps:cNvSpPr/>
                              <wps:spPr>
                                <a:xfrm>
                                  <a:off x="0" y="0"/>
                                  <a:ext cx="5377180" cy="257810"/>
                                </a:xfrm>
                                <a:custGeom>
                                  <a:avLst/>
                                  <a:gdLst/>
                                  <a:ahLst/>
                                  <a:cxnLst/>
                                  <a:rect l="l" t="t" r="r" b="b"/>
                                  <a:pathLst>
                                    <a:path w="5377180" h="257810">
                                      <a:moveTo>
                                        <a:pt x="5373611" y="254495"/>
                                      </a:moveTo>
                                      <a:lnTo>
                                        <a:pt x="3048" y="254495"/>
                                      </a:lnTo>
                                      <a:lnTo>
                                        <a:pt x="0" y="254495"/>
                                      </a:lnTo>
                                      <a:lnTo>
                                        <a:pt x="0" y="257543"/>
                                      </a:lnTo>
                                      <a:lnTo>
                                        <a:pt x="3048" y="257543"/>
                                      </a:lnTo>
                                      <a:lnTo>
                                        <a:pt x="5373611" y="257543"/>
                                      </a:lnTo>
                                      <a:lnTo>
                                        <a:pt x="5373611" y="254495"/>
                                      </a:lnTo>
                                      <a:close/>
                                    </a:path>
                                    <a:path w="5377180" h="257810">
                                      <a:moveTo>
                                        <a:pt x="5373611" y="0"/>
                                      </a:moveTo>
                                      <a:lnTo>
                                        <a:pt x="3048" y="0"/>
                                      </a:lnTo>
                                      <a:lnTo>
                                        <a:pt x="0" y="0"/>
                                      </a:lnTo>
                                      <a:lnTo>
                                        <a:pt x="0" y="3035"/>
                                      </a:lnTo>
                                      <a:lnTo>
                                        <a:pt x="3048" y="3035"/>
                                      </a:lnTo>
                                      <a:lnTo>
                                        <a:pt x="5373611" y="3035"/>
                                      </a:lnTo>
                                      <a:lnTo>
                                        <a:pt x="5373611" y="0"/>
                                      </a:lnTo>
                                      <a:close/>
                                    </a:path>
                                    <a:path w="5377180" h="257810">
                                      <a:moveTo>
                                        <a:pt x="5376672" y="0"/>
                                      </a:moveTo>
                                      <a:lnTo>
                                        <a:pt x="5373624" y="0"/>
                                      </a:lnTo>
                                      <a:lnTo>
                                        <a:pt x="5373624" y="3035"/>
                                      </a:lnTo>
                                      <a:lnTo>
                                        <a:pt x="5373624" y="254495"/>
                                      </a:lnTo>
                                      <a:lnTo>
                                        <a:pt x="5373624" y="257543"/>
                                      </a:lnTo>
                                      <a:lnTo>
                                        <a:pt x="5376672" y="257543"/>
                                      </a:lnTo>
                                      <a:lnTo>
                                        <a:pt x="5376672" y="254495"/>
                                      </a:lnTo>
                                      <a:lnTo>
                                        <a:pt x="5376672" y="3035"/>
                                      </a:lnTo>
                                      <a:lnTo>
                                        <a:pt x="53766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108EB3" id="Group 218" o:spid="_x0000_s1026" style="position:absolute;margin-left:.1pt;margin-top:-.15pt;width:423.4pt;height:20.3pt;z-index:-27240448;mso-wrap-distance-left:0;mso-wrap-distance-right:0" coordsize="53771,2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">
                      <v:shape id="Graphic 219" o:spid="_x0000_s1027" style="position:absolute;width:53771;height:2578;visibility:visible;mso-wrap-style:square;v-text-anchor:top" coordsize="537718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" path="m5373611,254495r-5370563,l,254495r,3048l3048,257543r5370563,l5373611,254495xem5373611,l3048,,,,,3035r3048,l5373611,3035r,-3035xem5376672,r-3048,l5373624,3035r,251460l5373624,257543r3048,l5376672,254495r,-251460l5376672,xe" fillcolor="black" stroked="f">
                        <v:path arrowok="t"/>
                      </v:shape>
                    </v:group>
                  </w:pict>
                </mc:Fallback>
              </mc:AlternateContent>
            </w:r>
            <w:r>
              <w:rPr>
                <w:sz w:val="20"/>
              </w:rPr>
              <w:t>Payroll</w:t>
            </w:r>
            <w:r>
              <w:rPr>
                <w:spacing w:val="-4"/>
                <w:sz w:val="20"/>
              </w:rPr>
              <w:t xml:space="preserve"> </w:t>
            </w:r>
            <w:r>
              <w:rPr>
                <w:sz w:val="20"/>
              </w:rPr>
              <w:t>cycle</w:t>
            </w:r>
            <w:r>
              <w:rPr>
                <w:spacing w:val="-4"/>
                <w:sz w:val="20"/>
              </w:rPr>
              <w:t xml:space="preserve"> </w:t>
            </w:r>
            <w:r>
              <w:rPr>
                <w:sz w:val="20"/>
              </w:rPr>
              <w:t>and</w:t>
            </w:r>
            <w:r>
              <w:rPr>
                <w:spacing w:val="-3"/>
                <w:sz w:val="20"/>
              </w:rPr>
              <w:t xml:space="preserve"> </w:t>
            </w:r>
            <w:r>
              <w:rPr>
                <w:sz w:val="20"/>
              </w:rPr>
              <w:t>Accounts</w:t>
            </w:r>
            <w:r>
              <w:rPr>
                <w:spacing w:val="-4"/>
                <w:sz w:val="20"/>
              </w:rPr>
              <w:t xml:space="preserve"> </w:t>
            </w:r>
            <w:r>
              <w:rPr>
                <w:sz w:val="20"/>
              </w:rPr>
              <w:t>Payable</w:t>
            </w:r>
            <w:r>
              <w:rPr>
                <w:spacing w:val="-4"/>
                <w:sz w:val="20"/>
              </w:rPr>
              <w:t xml:space="preserve"> cycle</w:t>
            </w:r>
          </w:p>
        </w:tc>
      </w:tr>
      <w:tr w:rsidR="00046465" w14:paraId="0DFDAF18" w14:textId="77777777">
        <w:trPr>
          <w:trHeight w:val="796"/>
        </w:trPr>
        <w:tc>
          <w:tcPr>
            <w:tcW w:w="841" w:type="dxa"/>
          </w:tcPr>
          <w:p w14:paraId="0DFDAF16" w14:textId="77777777" w:rsidR="00046465" w:rsidRDefault="008134EB">
            <w:pPr>
              <w:pStyle w:val="TableParagraph"/>
              <w:spacing w:before="123"/>
              <w:ind w:left="30"/>
              <w:rPr>
                <w:b/>
                <w:sz w:val="24"/>
              </w:rPr>
            </w:pPr>
            <w:r>
              <w:rPr>
                <w:b/>
                <w:spacing w:val="-4"/>
                <w:sz w:val="24"/>
              </w:rPr>
              <w:t>VII.</w:t>
            </w:r>
          </w:p>
        </w:tc>
        <w:tc>
          <w:tcPr>
            <w:tcW w:w="8579" w:type="dxa"/>
          </w:tcPr>
          <w:p w14:paraId="0DFDAF17" w14:textId="77777777" w:rsidR="00046465" w:rsidRDefault="008134EB">
            <w:pPr>
              <w:pStyle w:val="TableParagraph"/>
              <w:spacing w:before="123"/>
              <w:rPr>
                <w:b/>
                <w:sz w:val="24"/>
              </w:rPr>
            </w:pPr>
            <w:r>
              <w:rPr>
                <w:b/>
                <w:sz w:val="24"/>
              </w:rPr>
              <w:t>List</w:t>
            </w:r>
            <w:r>
              <w:rPr>
                <w:b/>
                <w:spacing w:val="-3"/>
                <w:sz w:val="24"/>
              </w:rPr>
              <w:t xml:space="preserve"> </w:t>
            </w:r>
            <w:r>
              <w:rPr>
                <w:b/>
                <w:sz w:val="24"/>
              </w:rPr>
              <w:t>of</w:t>
            </w:r>
            <w:r>
              <w:rPr>
                <w:b/>
                <w:spacing w:val="-5"/>
                <w:sz w:val="24"/>
              </w:rPr>
              <w:t xml:space="preserve"> </w:t>
            </w:r>
            <w:r>
              <w:rPr>
                <w:b/>
                <w:sz w:val="24"/>
              </w:rPr>
              <w:t>Control</w:t>
            </w:r>
            <w:r>
              <w:rPr>
                <w:b/>
                <w:spacing w:val="-5"/>
                <w:sz w:val="24"/>
              </w:rPr>
              <w:t xml:space="preserve"> </w:t>
            </w:r>
            <w:r>
              <w:rPr>
                <w:b/>
                <w:sz w:val="24"/>
              </w:rPr>
              <w:t>Activities</w:t>
            </w:r>
            <w:r>
              <w:rPr>
                <w:b/>
                <w:spacing w:val="-5"/>
                <w:sz w:val="24"/>
              </w:rPr>
              <w:t xml:space="preserve"> </w:t>
            </w:r>
            <w:r>
              <w:rPr>
                <w:b/>
                <w:sz w:val="24"/>
              </w:rPr>
              <w:t>from</w:t>
            </w:r>
            <w:r>
              <w:rPr>
                <w:b/>
                <w:spacing w:val="-5"/>
                <w:sz w:val="24"/>
              </w:rPr>
              <w:t xml:space="preserve"> </w:t>
            </w:r>
            <w:r>
              <w:rPr>
                <w:b/>
                <w:sz w:val="24"/>
              </w:rPr>
              <w:t>the</w:t>
            </w:r>
            <w:r>
              <w:rPr>
                <w:b/>
                <w:spacing w:val="-4"/>
                <w:sz w:val="24"/>
              </w:rPr>
              <w:t xml:space="preserve"> </w:t>
            </w:r>
            <w:r>
              <w:rPr>
                <w:b/>
                <w:sz w:val="24"/>
              </w:rPr>
              <w:t>Specific</w:t>
            </w:r>
            <w:r>
              <w:rPr>
                <w:b/>
                <w:spacing w:val="-4"/>
                <w:sz w:val="24"/>
              </w:rPr>
              <w:t xml:space="preserve"> </w:t>
            </w:r>
            <w:r>
              <w:rPr>
                <w:b/>
                <w:sz w:val="24"/>
              </w:rPr>
              <w:t>Control</w:t>
            </w:r>
            <w:r>
              <w:rPr>
                <w:b/>
                <w:spacing w:val="-5"/>
                <w:sz w:val="24"/>
              </w:rPr>
              <w:t xml:space="preserve"> </w:t>
            </w:r>
            <w:r>
              <w:rPr>
                <w:b/>
                <w:sz w:val="24"/>
              </w:rPr>
              <w:t>Evaluation</w:t>
            </w:r>
            <w:r>
              <w:rPr>
                <w:b/>
                <w:spacing w:val="-4"/>
                <w:sz w:val="24"/>
              </w:rPr>
              <w:t xml:space="preserve"> </w:t>
            </w:r>
            <w:r>
              <w:rPr>
                <w:b/>
                <w:sz w:val="24"/>
              </w:rPr>
              <w:t>(SCE) Worksheet That Are Being Reviewed for This Type 2 Report</w:t>
            </w:r>
          </w:p>
        </w:tc>
      </w:tr>
      <w:tr w:rsidR="00046465" w14:paraId="0DFDAF1D" w14:textId="77777777">
        <w:trPr>
          <w:trHeight w:val="1515"/>
        </w:trPr>
        <w:tc>
          <w:tcPr>
            <w:tcW w:w="841" w:type="dxa"/>
            <w:tcBorders>
              <w:right w:val="single" w:sz="2" w:space="0" w:color="000000"/>
            </w:tcBorders>
          </w:tcPr>
          <w:p w14:paraId="0DFDAF19" w14:textId="77777777" w:rsidR="00046465" w:rsidRDefault="00046465">
            <w:pPr>
              <w:pStyle w:val="TableParagraph"/>
              <w:rPr>
                <w:rFonts w:ascii="Times New Roman"/>
                <w:sz w:val="20"/>
              </w:rPr>
            </w:pPr>
          </w:p>
        </w:tc>
        <w:tc>
          <w:tcPr>
            <w:tcW w:w="8579" w:type="dxa"/>
            <w:tcBorders>
              <w:left w:val="single" w:sz="2" w:space="0" w:color="000000"/>
            </w:tcBorders>
          </w:tcPr>
          <w:p w14:paraId="0DFDAF1A" w14:textId="77777777" w:rsidR="00046465" w:rsidRDefault="008134EB">
            <w:pPr>
              <w:pStyle w:val="TableParagraph"/>
              <w:spacing w:before="3"/>
              <w:ind w:left="105"/>
              <w:rPr>
                <w:b/>
                <w:sz w:val="20"/>
              </w:rPr>
            </w:pPr>
            <w:r>
              <w:rPr>
                <w:b/>
                <w:noProof/>
                <w:sz w:val="20"/>
              </w:rPr>
              <mc:AlternateContent>
                <mc:Choice Requires="wpg">
                  <w:drawing>
                    <wp:anchor distT="0" distB="0" distL="0" distR="0" simplePos="0" relativeHeight="476076544" behindDoc="1" locked="0" layoutInCell="1" allowOverlap="1" wp14:anchorId="0DFDD56D" wp14:editId="0DFDD56E">
                      <wp:simplePos x="0" y="0"/>
                      <wp:positionH relativeFrom="column">
                        <wp:posOffset>1523</wp:posOffset>
                      </wp:positionH>
                      <wp:positionV relativeFrom="paragraph">
                        <wp:posOffset>-1652</wp:posOffset>
                      </wp:positionV>
                      <wp:extent cx="5377180" cy="965835"/>
                      <wp:effectExtent l="0" t="0" r="0" b="0"/>
                      <wp:wrapNone/>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7180" cy="965835"/>
                                <a:chOff x="0" y="0"/>
                                <a:chExt cx="5377180" cy="965835"/>
                              </a:xfrm>
                            </wpg:grpSpPr>
                            <wps:wsp>
                              <wps:cNvPr id="221" name="Graphic 221"/>
                              <wps:cNvSpPr/>
                              <wps:spPr>
                                <a:xfrm>
                                  <a:off x="0" y="0"/>
                                  <a:ext cx="5377180" cy="965835"/>
                                </a:xfrm>
                                <a:custGeom>
                                  <a:avLst/>
                                  <a:gdLst/>
                                  <a:ahLst/>
                                  <a:cxnLst/>
                                  <a:rect l="l" t="t" r="r" b="b"/>
                                  <a:pathLst>
                                    <a:path w="5377180" h="965835">
                                      <a:moveTo>
                                        <a:pt x="5373611" y="0"/>
                                      </a:moveTo>
                                      <a:lnTo>
                                        <a:pt x="3048" y="0"/>
                                      </a:lnTo>
                                      <a:lnTo>
                                        <a:pt x="0" y="0"/>
                                      </a:lnTo>
                                      <a:lnTo>
                                        <a:pt x="0" y="3048"/>
                                      </a:lnTo>
                                      <a:lnTo>
                                        <a:pt x="3048" y="3048"/>
                                      </a:lnTo>
                                      <a:lnTo>
                                        <a:pt x="5373611" y="3048"/>
                                      </a:lnTo>
                                      <a:lnTo>
                                        <a:pt x="5373611" y="0"/>
                                      </a:lnTo>
                                      <a:close/>
                                    </a:path>
                                    <a:path w="5377180" h="965835">
                                      <a:moveTo>
                                        <a:pt x="5376672" y="0"/>
                                      </a:moveTo>
                                      <a:lnTo>
                                        <a:pt x="5373624" y="0"/>
                                      </a:lnTo>
                                      <a:lnTo>
                                        <a:pt x="5373624" y="3048"/>
                                      </a:lnTo>
                                      <a:lnTo>
                                        <a:pt x="5373624" y="962406"/>
                                      </a:lnTo>
                                      <a:lnTo>
                                        <a:pt x="0" y="962406"/>
                                      </a:lnTo>
                                      <a:lnTo>
                                        <a:pt x="0" y="965454"/>
                                      </a:lnTo>
                                      <a:lnTo>
                                        <a:pt x="5373624" y="965454"/>
                                      </a:lnTo>
                                      <a:lnTo>
                                        <a:pt x="5376672" y="965454"/>
                                      </a:lnTo>
                                      <a:lnTo>
                                        <a:pt x="5376672" y="962406"/>
                                      </a:lnTo>
                                      <a:lnTo>
                                        <a:pt x="5376672" y="3048"/>
                                      </a:lnTo>
                                      <a:lnTo>
                                        <a:pt x="537667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44565B" id="Group 220" o:spid="_x0000_s1026" style="position:absolute;margin-left:.1pt;margin-top:-.15pt;width:423.4pt;height:76.05pt;z-index:-27239936;mso-wrap-distance-left:0;mso-wrap-distance-right:0" coordsize="53771,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">
                      <v:shape id="Graphic 221" o:spid="_x0000_s1027" style="position:absolute;width:53771;height:9658;visibility:visible;mso-wrap-style:square;v-text-anchor:top" coordsize="5377180,965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" path="m5373611,l3048,,,,,3048r3048,l5373611,3048r,-3048xem5376672,r-3048,l5373624,3048r,959358l,962406r,3048l5373624,965454r3048,l5376672,962406r,-959358l5376672,xe" fillcolor="black" stroked="f">
                        <v:path arrowok="t"/>
                      </v:shape>
                    </v:group>
                  </w:pict>
                </mc:Fallback>
              </mc:AlternateContent>
            </w:r>
            <w:r>
              <w:rPr>
                <w:b/>
                <w:spacing w:val="-2"/>
                <w:sz w:val="20"/>
                <w:u w:val="single"/>
              </w:rPr>
              <w:t>SCE.1:</w:t>
            </w:r>
          </w:p>
          <w:p w14:paraId="0DFDAF1B" w14:textId="77777777" w:rsidR="00046465" w:rsidRDefault="008134EB">
            <w:pPr>
              <w:pStyle w:val="TableParagraph"/>
              <w:spacing w:before="120"/>
              <w:ind w:left="105"/>
              <w:rPr>
                <w:sz w:val="20"/>
              </w:rPr>
            </w:pPr>
            <w:r>
              <w:rPr>
                <w:b/>
                <w:sz w:val="20"/>
              </w:rPr>
              <w:t>1a.1</w:t>
            </w:r>
            <w:r>
              <w:rPr>
                <w:b/>
                <w:spacing w:val="-4"/>
                <w:sz w:val="20"/>
              </w:rPr>
              <w:t xml:space="preserve"> </w:t>
            </w:r>
            <w:r>
              <w:rPr>
                <w:sz w:val="20"/>
              </w:rPr>
              <w:t>Only</w:t>
            </w:r>
            <w:r>
              <w:rPr>
                <w:spacing w:val="-2"/>
                <w:sz w:val="20"/>
              </w:rPr>
              <w:t xml:space="preserve"> </w:t>
            </w:r>
            <w:r>
              <w:rPr>
                <w:sz w:val="20"/>
              </w:rPr>
              <w:t>authorized</w:t>
            </w:r>
            <w:r>
              <w:rPr>
                <w:spacing w:val="-4"/>
                <w:sz w:val="20"/>
              </w:rPr>
              <w:t xml:space="preserve"> </w:t>
            </w:r>
            <w:r>
              <w:rPr>
                <w:sz w:val="20"/>
              </w:rPr>
              <w:t>users</w:t>
            </w:r>
            <w:r>
              <w:rPr>
                <w:spacing w:val="-3"/>
                <w:sz w:val="20"/>
              </w:rPr>
              <w:t xml:space="preserve"> </w:t>
            </w:r>
            <w:r>
              <w:rPr>
                <w:sz w:val="20"/>
              </w:rPr>
              <w:t>have</w:t>
            </w:r>
            <w:r>
              <w:rPr>
                <w:spacing w:val="-3"/>
                <w:sz w:val="20"/>
              </w:rPr>
              <w:t xml:space="preserve"> </w:t>
            </w:r>
            <w:r>
              <w:rPr>
                <w:sz w:val="20"/>
              </w:rPr>
              <w:t>access</w:t>
            </w:r>
            <w:r>
              <w:rPr>
                <w:spacing w:val="-3"/>
                <w:sz w:val="20"/>
              </w:rPr>
              <w:t xml:space="preserve"> </w:t>
            </w:r>
            <w:r>
              <w:rPr>
                <w:sz w:val="20"/>
              </w:rPr>
              <w:t>to</w:t>
            </w:r>
            <w:r>
              <w:rPr>
                <w:spacing w:val="-4"/>
                <w:sz w:val="20"/>
              </w:rPr>
              <w:t xml:space="preserve"> </w:t>
            </w:r>
            <w:r>
              <w:rPr>
                <w:sz w:val="20"/>
              </w:rPr>
              <w:t>XXX</w:t>
            </w:r>
            <w:r>
              <w:rPr>
                <w:spacing w:val="-3"/>
                <w:sz w:val="20"/>
              </w:rPr>
              <w:t xml:space="preserve"> </w:t>
            </w:r>
            <w:r>
              <w:rPr>
                <w:sz w:val="20"/>
              </w:rPr>
              <w:t>IT</w:t>
            </w:r>
            <w:r>
              <w:rPr>
                <w:spacing w:val="-2"/>
                <w:sz w:val="20"/>
              </w:rPr>
              <w:t xml:space="preserve"> System.</w:t>
            </w:r>
          </w:p>
          <w:p w14:paraId="0DFDAF1C" w14:textId="77777777" w:rsidR="00046465" w:rsidRDefault="008134EB">
            <w:pPr>
              <w:pStyle w:val="TableParagraph"/>
              <w:spacing w:before="120"/>
              <w:ind w:left="105" w:right="277"/>
              <w:rPr>
                <w:sz w:val="20"/>
              </w:rPr>
            </w:pPr>
            <w:r>
              <w:rPr>
                <w:b/>
                <w:sz w:val="20"/>
              </w:rPr>
              <w:t xml:space="preserve">2a.2 </w:t>
            </w:r>
            <w:r>
              <w:rPr>
                <w:sz w:val="20"/>
              </w:rPr>
              <w:t>ABC Service Organization accountant prepares a monthly reconciliation of payroll disbursements</w:t>
            </w:r>
            <w:r>
              <w:rPr>
                <w:spacing w:val="-3"/>
                <w:sz w:val="20"/>
              </w:rPr>
              <w:t xml:space="preserve"> </w:t>
            </w:r>
            <w:r>
              <w:rPr>
                <w:sz w:val="20"/>
              </w:rPr>
              <w:t>recorded</w:t>
            </w:r>
            <w:r>
              <w:rPr>
                <w:spacing w:val="-4"/>
                <w:sz w:val="20"/>
              </w:rPr>
              <w:t xml:space="preserve"> </w:t>
            </w:r>
            <w:r>
              <w:rPr>
                <w:sz w:val="20"/>
              </w:rPr>
              <w:t>in</w:t>
            </w:r>
            <w:r>
              <w:rPr>
                <w:spacing w:val="-4"/>
                <w:sz w:val="20"/>
              </w:rPr>
              <w:t xml:space="preserve"> </w:t>
            </w:r>
            <w:r>
              <w:rPr>
                <w:sz w:val="20"/>
              </w:rPr>
              <w:t>XXX</w:t>
            </w:r>
            <w:r>
              <w:rPr>
                <w:spacing w:val="-4"/>
                <w:sz w:val="20"/>
              </w:rPr>
              <w:t xml:space="preserve"> </w:t>
            </w:r>
            <w:r>
              <w:rPr>
                <w:sz w:val="20"/>
              </w:rPr>
              <w:t>IT</w:t>
            </w:r>
            <w:r>
              <w:rPr>
                <w:spacing w:val="-4"/>
                <w:sz w:val="20"/>
              </w:rPr>
              <w:t xml:space="preserve"> </w:t>
            </w:r>
            <w:r>
              <w:rPr>
                <w:sz w:val="20"/>
              </w:rPr>
              <w:t>System</w:t>
            </w:r>
            <w:r>
              <w:rPr>
                <w:spacing w:val="-4"/>
                <w:sz w:val="20"/>
              </w:rPr>
              <w:t xml:space="preserve"> </w:t>
            </w:r>
            <w:r>
              <w:rPr>
                <w:sz w:val="20"/>
              </w:rPr>
              <w:t>and</w:t>
            </w:r>
            <w:r>
              <w:rPr>
                <w:spacing w:val="-4"/>
                <w:sz w:val="20"/>
              </w:rPr>
              <w:t xml:space="preserve"> </w:t>
            </w:r>
            <w:r>
              <w:rPr>
                <w:sz w:val="20"/>
              </w:rPr>
              <w:t>the</w:t>
            </w:r>
            <w:r>
              <w:rPr>
                <w:spacing w:val="-4"/>
                <w:sz w:val="20"/>
              </w:rPr>
              <w:t xml:space="preserve"> </w:t>
            </w:r>
            <w:r>
              <w:rPr>
                <w:sz w:val="20"/>
              </w:rPr>
              <w:t>reconciliation</w:t>
            </w:r>
            <w:r>
              <w:rPr>
                <w:spacing w:val="-4"/>
                <w:sz w:val="20"/>
              </w:rPr>
              <w:t xml:space="preserve"> </w:t>
            </w:r>
            <w:r>
              <w:rPr>
                <w:sz w:val="20"/>
              </w:rPr>
              <w:t>is</w:t>
            </w:r>
            <w:r>
              <w:rPr>
                <w:spacing w:val="-3"/>
                <w:sz w:val="20"/>
              </w:rPr>
              <w:t xml:space="preserve"> </w:t>
            </w:r>
            <w:r>
              <w:rPr>
                <w:sz w:val="20"/>
              </w:rPr>
              <w:t>reviewed</w:t>
            </w:r>
            <w:r>
              <w:rPr>
                <w:spacing w:val="-4"/>
                <w:sz w:val="20"/>
              </w:rPr>
              <w:t xml:space="preserve"> </w:t>
            </w:r>
            <w:r>
              <w:rPr>
                <w:sz w:val="20"/>
              </w:rPr>
              <w:t>and</w:t>
            </w:r>
            <w:r>
              <w:rPr>
                <w:spacing w:val="-4"/>
                <w:sz w:val="20"/>
              </w:rPr>
              <w:t xml:space="preserve"> </w:t>
            </w:r>
            <w:r>
              <w:rPr>
                <w:sz w:val="20"/>
              </w:rPr>
              <w:t>approved by the ABC Service Organization manager.</w:t>
            </w:r>
          </w:p>
        </w:tc>
      </w:tr>
    </w:tbl>
    <w:p w14:paraId="0DFDAF1E" w14:textId="77777777" w:rsidR="00046465" w:rsidRDefault="00046465">
      <w:pPr>
        <w:pStyle w:val="TableParagraph"/>
        <w:rPr>
          <w:sz w:val="20"/>
        </w:rPr>
        <w:sectPr w:rsidR="00046465">
          <w:pgSz w:w="12240" w:h="15840"/>
          <w:pgMar w:top="1300" w:right="720" w:bottom="940" w:left="1080" w:header="721" w:footer="757" w:gutter="0"/>
          <w:cols w:space="720"/>
        </w:sectPr>
      </w:pPr>
    </w:p>
    <w:p w14:paraId="0DFDAF1F" w14:textId="77777777" w:rsidR="00046465" w:rsidRDefault="008134EB">
      <w:pPr>
        <w:spacing w:before="121"/>
        <w:ind w:left="360"/>
        <w:rPr>
          <w:b/>
          <w:sz w:val="24"/>
        </w:rPr>
      </w:pPr>
      <w:r>
        <w:rPr>
          <w:b/>
          <w:sz w:val="24"/>
        </w:rPr>
        <w:lastRenderedPageBreak/>
        <w:t>VIII.</w:t>
      </w:r>
      <w:r>
        <w:rPr>
          <w:b/>
          <w:spacing w:val="29"/>
          <w:sz w:val="24"/>
        </w:rPr>
        <w:t xml:space="preserve">  </w:t>
      </w:r>
      <w:r>
        <w:rPr>
          <w:b/>
          <w:sz w:val="24"/>
        </w:rPr>
        <w:t>Observations</w:t>
      </w:r>
      <w:r>
        <w:rPr>
          <w:b/>
          <w:spacing w:val="-1"/>
          <w:sz w:val="24"/>
        </w:rPr>
        <w:t xml:space="preserve"> </w:t>
      </w:r>
      <w:r>
        <w:rPr>
          <w:b/>
          <w:sz w:val="24"/>
        </w:rPr>
        <w:t>and</w:t>
      </w:r>
      <w:r>
        <w:rPr>
          <w:b/>
          <w:spacing w:val="-2"/>
          <w:sz w:val="24"/>
        </w:rPr>
        <w:t xml:space="preserve"> Conclusions</w:t>
      </w:r>
    </w:p>
    <w:p w14:paraId="0DFDAF20" w14:textId="77777777" w:rsidR="00046465" w:rsidRDefault="008134EB">
      <w:pPr>
        <w:spacing w:before="119"/>
        <w:ind w:left="360" w:right="773"/>
        <w:rPr>
          <w:sz w:val="18"/>
        </w:rPr>
      </w:pPr>
      <w:r>
        <w:rPr>
          <w:sz w:val="18"/>
        </w:rPr>
        <w:t>The questions in this section are to be answered “yes,” “no,” or “N/A” (not applicable). For any “no” responses, provide an explanation in the space provided at the end of this assessment tool to support the auditor’s assessment of</w:t>
      </w:r>
      <w:r>
        <w:rPr>
          <w:spacing w:val="-2"/>
          <w:sz w:val="18"/>
        </w:rPr>
        <w:t xml:space="preserve"> </w:t>
      </w:r>
      <w:r>
        <w:rPr>
          <w:sz w:val="18"/>
        </w:rPr>
        <w:t>the</w:t>
      </w:r>
      <w:r>
        <w:rPr>
          <w:spacing w:val="-3"/>
          <w:sz w:val="18"/>
        </w:rPr>
        <w:t xml:space="preserve"> </w:t>
      </w:r>
      <w:r>
        <w:rPr>
          <w:sz w:val="18"/>
        </w:rPr>
        <w:t>effect</w:t>
      </w:r>
      <w:r>
        <w:rPr>
          <w:spacing w:val="-2"/>
          <w:sz w:val="18"/>
        </w:rPr>
        <w:t xml:space="preserve"> </w:t>
      </w:r>
      <w:r>
        <w:rPr>
          <w:sz w:val="18"/>
        </w:rPr>
        <w:t>of</w:t>
      </w:r>
      <w:r>
        <w:rPr>
          <w:spacing w:val="-3"/>
          <w:sz w:val="18"/>
        </w:rPr>
        <w:t xml:space="preserve"> </w:t>
      </w:r>
      <w:r>
        <w:rPr>
          <w:sz w:val="18"/>
        </w:rPr>
        <w:t>the</w:t>
      </w:r>
      <w:r>
        <w:rPr>
          <w:spacing w:val="-3"/>
          <w:sz w:val="18"/>
        </w:rPr>
        <w:t xml:space="preserve"> </w:t>
      </w:r>
      <w:r>
        <w:rPr>
          <w:sz w:val="18"/>
        </w:rPr>
        <w:t>“no”</w:t>
      </w:r>
      <w:r>
        <w:rPr>
          <w:spacing w:val="-2"/>
          <w:sz w:val="18"/>
        </w:rPr>
        <w:t xml:space="preserve"> </w:t>
      </w:r>
      <w:r>
        <w:rPr>
          <w:sz w:val="18"/>
        </w:rPr>
        <w:t>response</w:t>
      </w:r>
      <w:r>
        <w:rPr>
          <w:spacing w:val="-2"/>
          <w:sz w:val="18"/>
        </w:rPr>
        <w:t xml:space="preserve"> </w:t>
      </w:r>
      <w:r>
        <w:rPr>
          <w:sz w:val="18"/>
        </w:rPr>
        <w:t>on</w:t>
      </w:r>
      <w:r>
        <w:rPr>
          <w:spacing w:val="-3"/>
          <w:sz w:val="18"/>
        </w:rPr>
        <w:t xml:space="preserve"> </w:t>
      </w:r>
      <w:r>
        <w:rPr>
          <w:sz w:val="18"/>
        </w:rPr>
        <w:t>the</w:t>
      </w:r>
      <w:r>
        <w:rPr>
          <w:spacing w:val="-3"/>
          <w:sz w:val="18"/>
        </w:rPr>
        <w:t xml:space="preserve"> </w:t>
      </w:r>
      <w:r>
        <w:rPr>
          <w:sz w:val="18"/>
        </w:rPr>
        <w:t>audit.</w:t>
      </w:r>
      <w:r>
        <w:rPr>
          <w:spacing w:val="-2"/>
          <w:sz w:val="18"/>
        </w:rPr>
        <w:t xml:space="preserve"> </w:t>
      </w:r>
      <w:r>
        <w:rPr>
          <w:sz w:val="18"/>
        </w:rPr>
        <w:t>The</w:t>
      </w:r>
      <w:r>
        <w:rPr>
          <w:spacing w:val="-3"/>
          <w:sz w:val="18"/>
        </w:rPr>
        <w:t xml:space="preserve"> </w:t>
      </w:r>
      <w:r>
        <w:rPr>
          <w:sz w:val="18"/>
        </w:rPr>
        <w:t>auditor</w:t>
      </w:r>
      <w:r>
        <w:rPr>
          <w:spacing w:val="-2"/>
          <w:sz w:val="18"/>
        </w:rPr>
        <w:t xml:space="preserve"> </w:t>
      </w:r>
      <w:r>
        <w:rPr>
          <w:sz w:val="18"/>
        </w:rPr>
        <w:t>may</w:t>
      </w:r>
      <w:r>
        <w:rPr>
          <w:spacing w:val="-2"/>
          <w:sz w:val="18"/>
        </w:rPr>
        <w:t xml:space="preserve"> </w:t>
      </w:r>
      <w:r>
        <w:rPr>
          <w:sz w:val="18"/>
        </w:rPr>
        <w:t>also</w:t>
      </w:r>
      <w:r>
        <w:rPr>
          <w:spacing w:val="-3"/>
          <w:sz w:val="18"/>
        </w:rPr>
        <w:t xml:space="preserve"> </w:t>
      </w:r>
      <w:r>
        <w:rPr>
          <w:sz w:val="18"/>
        </w:rPr>
        <w:t>use</w:t>
      </w:r>
      <w:r>
        <w:rPr>
          <w:spacing w:val="-3"/>
          <w:sz w:val="18"/>
        </w:rPr>
        <w:t xml:space="preserve"> </w:t>
      </w:r>
      <w:r>
        <w:rPr>
          <w:sz w:val="18"/>
        </w:rPr>
        <w:t>this</w:t>
      </w:r>
      <w:r>
        <w:rPr>
          <w:spacing w:val="-2"/>
          <w:sz w:val="18"/>
        </w:rPr>
        <w:t xml:space="preserve"> </w:t>
      </w:r>
      <w:r>
        <w:rPr>
          <w:sz w:val="18"/>
        </w:rPr>
        <w:t>space</w:t>
      </w:r>
      <w:r>
        <w:rPr>
          <w:spacing w:val="-3"/>
          <w:sz w:val="18"/>
        </w:rPr>
        <w:t xml:space="preserve"> </w:t>
      </w:r>
      <w:r>
        <w:rPr>
          <w:sz w:val="18"/>
        </w:rPr>
        <w:t>to</w:t>
      </w:r>
      <w:r>
        <w:rPr>
          <w:spacing w:val="-3"/>
          <w:sz w:val="18"/>
        </w:rPr>
        <w:t xml:space="preserve"> </w:t>
      </w:r>
      <w:r>
        <w:rPr>
          <w:sz w:val="18"/>
        </w:rPr>
        <w:t>explain</w:t>
      </w:r>
      <w:r>
        <w:rPr>
          <w:spacing w:val="-3"/>
          <w:sz w:val="18"/>
        </w:rPr>
        <w:t xml:space="preserve"> </w:t>
      </w:r>
      <w:r>
        <w:rPr>
          <w:sz w:val="18"/>
        </w:rPr>
        <w:t>other</w:t>
      </w:r>
      <w:r>
        <w:rPr>
          <w:spacing w:val="-2"/>
          <w:sz w:val="18"/>
        </w:rPr>
        <w:t xml:space="preserve"> </w:t>
      </w:r>
      <w:r>
        <w:rPr>
          <w:sz w:val="18"/>
        </w:rPr>
        <w:t>responses</w:t>
      </w:r>
      <w:r>
        <w:rPr>
          <w:spacing w:val="-2"/>
          <w:sz w:val="18"/>
        </w:rPr>
        <w:t xml:space="preserve"> </w:t>
      </w:r>
      <w:r>
        <w:rPr>
          <w:sz w:val="18"/>
        </w:rPr>
        <w:t>and</w:t>
      </w:r>
      <w:r>
        <w:rPr>
          <w:spacing w:val="-3"/>
          <w:sz w:val="18"/>
        </w:rPr>
        <w:t xml:space="preserve"> </w:t>
      </w:r>
      <w:r>
        <w:rPr>
          <w:sz w:val="18"/>
        </w:rPr>
        <w:t>to note additional observations.</w:t>
      </w:r>
    </w:p>
    <w:p w14:paraId="0DFDAF21" w14:textId="77777777" w:rsidR="00046465" w:rsidRDefault="00046465">
      <w:pPr>
        <w:pStyle w:val="BodyText"/>
        <w:spacing w:before="4"/>
        <w:rPr>
          <w:sz w:val="11"/>
        </w:rPr>
      </w:pPr>
    </w:p>
    <w:tbl>
      <w:tblPr>
        <w:tblW w:w="0" w:type="auto"/>
        <w:tblInd w:w="40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091"/>
        <w:gridCol w:w="720"/>
        <w:gridCol w:w="1080"/>
        <w:gridCol w:w="1379"/>
      </w:tblGrid>
      <w:tr w:rsidR="00046465" w14:paraId="0DFDAF28" w14:textId="77777777">
        <w:trPr>
          <w:trHeight w:val="740"/>
        </w:trPr>
        <w:tc>
          <w:tcPr>
            <w:tcW w:w="6091" w:type="dxa"/>
            <w:tcBorders>
              <w:right w:val="single" w:sz="4" w:space="0" w:color="000000"/>
            </w:tcBorders>
          </w:tcPr>
          <w:p w14:paraId="0DFDAF22" w14:textId="77777777" w:rsidR="00046465" w:rsidRDefault="00046465">
            <w:pPr>
              <w:pStyle w:val="TableParagraph"/>
              <w:rPr>
                <w:sz w:val="18"/>
              </w:rPr>
            </w:pPr>
          </w:p>
          <w:p w14:paraId="0DFDAF23" w14:textId="77777777" w:rsidR="00046465" w:rsidRDefault="00046465">
            <w:pPr>
              <w:pStyle w:val="TableParagraph"/>
              <w:spacing w:before="1"/>
              <w:rPr>
                <w:sz w:val="18"/>
              </w:rPr>
            </w:pPr>
          </w:p>
          <w:p w14:paraId="0DFDAF24" w14:textId="77777777" w:rsidR="00046465" w:rsidRDefault="008134EB">
            <w:pPr>
              <w:pStyle w:val="TableParagraph"/>
              <w:ind w:left="105"/>
              <w:rPr>
                <w:b/>
                <w:sz w:val="18"/>
              </w:rPr>
            </w:pPr>
            <w:r>
              <w:rPr>
                <w:b/>
                <w:spacing w:val="-2"/>
                <w:sz w:val="18"/>
              </w:rPr>
              <w:t>Questions</w:t>
            </w:r>
          </w:p>
        </w:tc>
        <w:tc>
          <w:tcPr>
            <w:tcW w:w="720" w:type="dxa"/>
            <w:tcBorders>
              <w:left w:val="single" w:sz="4" w:space="0" w:color="000000"/>
              <w:right w:val="single" w:sz="4" w:space="0" w:color="000000"/>
            </w:tcBorders>
          </w:tcPr>
          <w:p w14:paraId="0DFDAF25" w14:textId="77777777" w:rsidR="00046465" w:rsidRDefault="008134EB">
            <w:pPr>
              <w:pStyle w:val="TableParagraph"/>
              <w:ind w:left="205" w:right="164" w:hanging="31"/>
              <w:jc w:val="both"/>
              <w:rPr>
                <w:b/>
                <w:sz w:val="18"/>
              </w:rPr>
            </w:pPr>
            <w:r>
              <w:rPr>
                <w:b/>
                <w:spacing w:val="-4"/>
                <w:sz w:val="18"/>
              </w:rPr>
              <w:t xml:space="preserve">Yes, No, </w:t>
            </w:r>
            <w:r>
              <w:rPr>
                <w:b/>
                <w:spacing w:val="-5"/>
                <w:sz w:val="18"/>
              </w:rPr>
              <w:t>N/A</w:t>
            </w:r>
          </w:p>
        </w:tc>
        <w:tc>
          <w:tcPr>
            <w:tcW w:w="1080" w:type="dxa"/>
            <w:tcBorders>
              <w:left w:val="single" w:sz="4" w:space="0" w:color="000000"/>
              <w:right w:val="single" w:sz="4" w:space="0" w:color="000000"/>
            </w:tcBorders>
          </w:tcPr>
          <w:p w14:paraId="0DFDAF26" w14:textId="77777777" w:rsidR="00046465" w:rsidRDefault="008134EB">
            <w:pPr>
              <w:pStyle w:val="TableParagraph"/>
              <w:spacing w:before="206"/>
              <w:ind w:left="169" w:firstLine="85"/>
              <w:rPr>
                <w:b/>
                <w:sz w:val="18"/>
              </w:rPr>
            </w:pPr>
            <w:r>
              <w:rPr>
                <w:b/>
                <w:spacing w:val="-2"/>
                <w:sz w:val="18"/>
              </w:rPr>
              <w:t xml:space="preserve">Initials </w:t>
            </w:r>
            <w:r>
              <w:rPr>
                <w:b/>
                <w:sz w:val="18"/>
              </w:rPr>
              <w:t>and</w:t>
            </w:r>
            <w:r>
              <w:rPr>
                <w:b/>
                <w:spacing w:val="-1"/>
                <w:sz w:val="18"/>
              </w:rPr>
              <w:t xml:space="preserve"> </w:t>
            </w:r>
            <w:r>
              <w:rPr>
                <w:b/>
                <w:spacing w:val="-4"/>
                <w:sz w:val="18"/>
              </w:rPr>
              <w:t>date</w:t>
            </w:r>
          </w:p>
        </w:tc>
        <w:tc>
          <w:tcPr>
            <w:tcW w:w="1379" w:type="dxa"/>
            <w:tcBorders>
              <w:left w:val="single" w:sz="4" w:space="0" w:color="000000"/>
            </w:tcBorders>
          </w:tcPr>
          <w:p w14:paraId="0DFDAF27" w14:textId="77777777" w:rsidR="00046465" w:rsidRDefault="008134EB">
            <w:pPr>
              <w:pStyle w:val="TableParagraph"/>
              <w:spacing w:before="206"/>
              <w:ind w:left="234" w:firstLine="14"/>
              <w:rPr>
                <w:b/>
                <w:sz w:val="18"/>
              </w:rPr>
            </w:pPr>
            <w:r>
              <w:rPr>
                <w:b/>
                <w:sz w:val="18"/>
              </w:rPr>
              <w:t>Audit</w:t>
            </w:r>
            <w:r>
              <w:rPr>
                <w:b/>
                <w:spacing w:val="-13"/>
                <w:sz w:val="18"/>
              </w:rPr>
              <w:t xml:space="preserve"> </w:t>
            </w:r>
            <w:r>
              <w:rPr>
                <w:b/>
                <w:sz w:val="18"/>
              </w:rPr>
              <w:t xml:space="preserve">doc. </w:t>
            </w:r>
            <w:r>
              <w:rPr>
                <w:b/>
                <w:spacing w:val="-2"/>
                <w:sz w:val="18"/>
              </w:rPr>
              <w:t>references</w:t>
            </w:r>
          </w:p>
        </w:tc>
      </w:tr>
      <w:tr w:rsidR="00046465" w14:paraId="0DFDAF2A" w14:textId="77777777">
        <w:trPr>
          <w:trHeight w:val="327"/>
        </w:trPr>
        <w:tc>
          <w:tcPr>
            <w:tcW w:w="9270" w:type="dxa"/>
            <w:gridSpan w:val="4"/>
            <w:tcBorders>
              <w:bottom w:val="single" w:sz="4" w:space="0" w:color="000000"/>
            </w:tcBorders>
            <w:shd w:val="clear" w:color="auto" w:fill="D9D9D9"/>
          </w:tcPr>
          <w:p w14:paraId="0DFDAF29" w14:textId="77777777" w:rsidR="00046465" w:rsidRDefault="008134EB">
            <w:pPr>
              <w:pStyle w:val="TableParagraph"/>
              <w:spacing w:before="1"/>
              <w:ind w:left="105"/>
              <w:rPr>
                <w:b/>
                <w:sz w:val="18"/>
              </w:rPr>
            </w:pPr>
            <w:r>
              <w:rPr>
                <w:b/>
                <w:sz w:val="18"/>
              </w:rPr>
              <w:t>Assess</w:t>
            </w:r>
            <w:r>
              <w:rPr>
                <w:b/>
                <w:spacing w:val="-5"/>
                <w:sz w:val="18"/>
              </w:rPr>
              <w:t xml:space="preserve"> </w:t>
            </w:r>
            <w:r>
              <w:rPr>
                <w:b/>
                <w:sz w:val="18"/>
              </w:rPr>
              <w:t>the</w:t>
            </w:r>
            <w:r>
              <w:rPr>
                <w:b/>
                <w:spacing w:val="-3"/>
                <w:sz w:val="18"/>
              </w:rPr>
              <w:t xml:space="preserve"> </w:t>
            </w:r>
            <w:r>
              <w:rPr>
                <w:b/>
                <w:sz w:val="18"/>
              </w:rPr>
              <w:t>adequacy</w:t>
            </w:r>
            <w:r>
              <w:rPr>
                <w:b/>
                <w:spacing w:val="-2"/>
                <w:sz w:val="18"/>
              </w:rPr>
              <w:t xml:space="preserve"> </w:t>
            </w:r>
            <w:r>
              <w:rPr>
                <w:b/>
                <w:sz w:val="18"/>
              </w:rPr>
              <w:t>of</w:t>
            </w:r>
            <w:r>
              <w:rPr>
                <w:b/>
                <w:spacing w:val="-2"/>
                <w:sz w:val="18"/>
              </w:rPr>
              <w:t xml:space="preserve"> </w:t>
            </w:r>
            <w:r>
              <w:rPr>
                <w:b/>
                <w:sz w:val="18"/>
              </w:rPr>
              <w:t>the</w:t>
            </w:r>
            <w:r>
              <w:rPr>
                <w:b/>
                <w:spacing w:val="-2"/>
                <w:sz w:val="18"/>
              </w:rPr>
              <w:t xml:space="preserve"> </w:t>
            </w:r>
            <w:r>
              <w:rPr>
                <w:b/>
                <w:sz w:val="18"/>
              </w:rPr>
              <w:t>standards</w:t>
            </w:r>
            <w:r>
              <w:rPr>
                <w:b/>
                <w:spacing w:val="-3"/>
                <w:sz w:val="18"/>
              </w:rPr>
              <w:t xml:space="preserve"> </w:t>
            </w:r>
            <w:r>
              <w:rPr>
                <w:b/>
                <w:sz w:val="18"/>
              </w:rPr>
              <w:t>under</w:t>
            </w:r>
            <w:r>
              <w:rPr>
                <w:b/>
                <w:spacing w:val="-2"/>
                <w:sz w:val="18"/>
              </w:rPr>
              <w:t xml:space="preserve"> </w:t>
            </w:r>
            <w:r>
              <w:rPr>
                <w:b/>
                <w:sz w:val="18"/>
              </w:rPr>
              <w:t>which</w:t>
            </w:r>
            <w:r>
              <w:rPr>
                <w:b/>
                <w:spacing w:val="-2"/>
                <w:sz w:val="18"/>
              </w:rPr>
              <w:t xml:space="preserve"> </w:t>
            </w:r>
            <w:r>
              <w:rPr>
                <w:b/>
                <w:sz w:val="18"/>
              </w:rPr>
              <w:t>the</w:t>
            </w:r>
            <w:r>
              <w:rPr>
                <w:b/>
                <w:spacing w:val="-3"/>
                <w:sz w:val="18"/>
              </w:rPr>
              <w:t xml:space="preserve"> </w:t>
            </w:r>
            <w:r>
              <w:rPr>
                <w:b/>
                <w:sz w:val="18"/>
              </w:rPr>
              <w:t>type</w:t>
            </w:r>
            <w:r>
              <w:rPr>
                <w:b/>
                <w:spacing w:val="-3"/>
                <w:sz w:val="18"/>
              </w:rPr>
              <w:t xml:space="preserve"> </w:t>
            </w:r>
            <w:r>
              <w:rPr>
                <w:b/>
                <w:sz w:val="18"/>
              </w:rPr>
              <w:t>2</w:t>
            </w:r>
            <w:r>
              <w:rPr>
                <w:b/>
                <w:spacing w:val="-2"/>
                <w:sz w:val="18"/>
              </w:rPr>
              <w:t xml:space="preserve"> </w:t>
            </w:r>
            <w:r>
              <w:rPr>
                <w:b/>
                <w:sz w:val="18"/>
              </w:rPr>
              <w:t>report</w:t>
            </w:r>
            <w:r>
              <w:rPr>
                <w:b/>
                <w:spacing w:val="-2"/>
                <w:sz w:val="18"/>
              </w:rPr>
              <w:t xml:space="preserve"> </w:t>
            </w:r>
            <w:r>
              <w:rPr>
                <w:b/>
                <w:sz w:val="18"/>
              </w:rPr>
              <w:t>was</w:t>
            </w:r>
            <w:r>
              <w:rPr>
                <w:b/>
                <w:spacing w:val="-2"/>
                <w:sz w:val="18"/>
              </w:rPr>
              <w:t xml:space="preserve"> issued</w:t>
            </w:r>
          </w:p>
        </w:tc>
      </w:tr>
      <w:tr w:rsidR="00046465" w14:paraId="0DFDAF30" w14:textId="77777777">
        <w:trPr>
          <w:trHeight w:val="1481"/>
        </w:trPr>
        <w:tc>
          <w:tcPr>
            <w:tcW w:w="6091" w:type="dxa"/>
            <w:tcBorders>
              <w:top w:val="single" w:sz="4" w:space="0" w:color="000000"/>
              <w:bottom w:val="single" w:sz="4" w:space="0" w:color="000000"/>
              <w:right w:val="single" w:sz="4" w:space="0" w:color="000000"/>
            </w:tcBorders>
          </w:tcPr>
          <w:p w14:paraId="0DFDAF2B" w14:textId="77777777" w:rsidR="00046465" w:rsidRDefault="008134EB">
            <w:pPr>
              <w:pStyle w:val="TableParagraph"/>
              <w:ind w:left="405" w:right="165" w:hanging="300"/>
              <w:rPr>
                <w:sz w:val="18"/>
              </w:rPr>
            </w:pPr>
            <w:r>
              <w:rPr>
                <w:sz w:val="18"/>
              </w:rPr>
              <w:t>1)</w:t>
            </w:r>
            <w:r>
              <w:rPr>
                <w:spacing w:val="80"/>
                <w:sz w:val="18"/>
              </w:rPr>
              <w:t xml:space="preserve"> </w:t>
            </w:r>
            <w:r>
              <w:rPr>
                <w:sz w:val="18"/>
              </w:rPr>
              <w:t>Did</w:t>
            </w:r>
            <w:r>
              <w:rPr>
                <w:spacing w:val="-4"/>
                <w:sz w:val="18"/>
              </w:rPr>
              <w:t xml:space="preserve"> </w:t>
            </w:r>
            <w:r>
              <w:rPr>
                <w:sz w:val="18"/>
              </w:rPr>
              <w:t>the</w:t>
            </w:r>
            <w:r>
              <w:rPr>
                <w:spacing w:val="-4"/>
                <w:sz w:val="18"/>
              </w:rPr>
              <w:t xml:space="preserve"> </w:t>
            </w:r>
            <w:r>
              <w:rPr>
                <w:sz w:val="18"/>
              </w:rPr>
              <w:t>auditor</w:t>
            </w:r>
            <w:r>
              <w:rPr>
                <w:spacing w:val="-3"/>
                <w:sz w:val="18"/>
              </w:rPr>
              <w:t xml:space="preserve"> </w:t>
            </w:r>
            <w:r>
              <w:rPr>
                <w:sz w:val="18"/>
              </w:rPr>
              <w:t>determine</w:t>
            </w:r>
            <w:r>
              <w:rPr>
                <w:spacing w:val="-4"/>
                <w:sz w:val="18"/>
              </w:rPr>
              <w:t xml:space="preserve"> </w:t>
            </w:r>
            <w:r>
              <w:rPr>
                <w:sz w:val="18"/>
              </w:rPr>
              <w:t>that</w:t>
            </w:r>
            <w:r>
              <w:rPr>
                <w:spacing w:val="-1"/>
                <w:sz w:val="18"/>
              </w:rPr>
              <w:t xml:space="preserve"> </w:t>
            </w:r>
            <w:r>
              <w:rPr>
                <w:sz w:val="18"/>
              </w:rPr>
              <w:t>the</w:t>
            </w:r>
            <w:r>
              <w:rPr>
                <w:spacing w:val="-4"/>
                <w:sz w:val="18"/>
              </w:rPr>
              <w:t xml:space="preserve"> </w:t>
            </w:r>
            <w:r>
              <w:rPr>
                <w:sz w:val="18"/>
              </w:rPr>
              <w:t>standards</w:t>
            </w:r>
            <w:r>
              <w:rPr>
                <w:spacing w:val="-2"/>
                <w:sz w:val="18"/>
              </w:rPr>
              <w:t xml:space="preserve"> </w:t>
            </w:r>
            <w:r>
              <w:rPr>
                <w:sz w:val="18"/>
              </w:rPr>
              <w:t>under</w:t>
            </w:r>
            <w:r>
              <w:rPr>
                <w:spacing w:val="-3"/>
                <w:sz w:val="18"/>
              </w:rPr>
              <w:t xml:space="preserve"> </w:t>
            </w:r>
            <w:r>
              <w:rPr>
                <w:sz w:val="18"/>
              </w:rPr>
              <w:t>which</w:t>
            </w:r>
            <w:r>
              <w:rPr>
                <w:spacing w:val="-4"/>
                <w:sz w:val="18"/>
              </w:rPr>
              <w:t xml:space="preserve"> </w:t>
            </w:r>
            <w:r>
              <w:rPr>
                <w:sz w:val="18"/>
              </w:rPr>
              <w:t>the</w:t>
            </w:r>
            <w:r>
              <w:rPr>
                <w:spacing w:val="-3"/>
                <w:sz w:val="18"/>
              </w:rPr>
              <w:t xml:space="preserve"> </w:t>
            </w:r>
            <w:r>
              <w:rPr>
                <w:sz w:val="18"/>
              </w:rPr>
              <w:t>report was issued are adequate?</w:t>
            </w:r>
          </w:p>
          <w:p w14:paraId="0DFDAF2C" w14:textId="77777777" w:rsidR="00046465" w:rsidRDefault="008134EB">
            <w:pPr>
              <w:pStyle w:val="TableParagraph"/>
              <w:spacing w:before="119"/>
              <w:ind w:left="405"/>
              <w:rPr>
                <w:sz w:val="18"/>
              </w:rPr>
            </w:pPr>
            <w:r>
              <w:rPr>
                <w:sz w:val="18"/>
              </w:rPr>
              <w:t>If</w:t>
            </w:r>
            <w:r>
              <w:rPr>
                <w:spacing w:val="-4"/>
                <w:sz w:val="18"/>
              </w:rPr>
              <w:t xml:space="preserve"> </w:t>
            </w:r>
            <w:r>
              <w:rPr>
                <w:sz w:val="18"/>
              </w:rPr>
              <w:t>the</w:t>
            </w:r>
            <w:r>
              <w:rPr>
                <w:spacing w:val="-5"/>
                <w:sz w:val="18"/>
              </w:rPr>
              <w:t xml:space="preserve"> </w:t>
            </w:r>
            <w:r>
              <w:rPr>
                <w:sz w:val="18"/>
              </w:rPr>
              <w:t>report</w:t>
            </w:r>
            <w:r>
              <w:rPr>
                <w:spacing w:val="-4"/>
                <w:sz w:val="18"/>
              </w:rPr>
              <w:t xml:space="preserve"> </w:t>
            </w:r>
            <w:r>
              <w:rPr>
                <w:sz w:val="18"/>
              </w:rPr>
              <w:t>states</w:t>
            </w:r>
            <w:r>
              <w:rPr>
                <w:spacing w:val="-4"/>
                <w:sz w:val="18"/>
              </w:rPr>
              <w:t xml:space="preserve"> </w:t>
            </w:r>
            <w:r>
              <w:rPr>
                <w:sz w:val="18"/>
              </w:rPr>
              <w:t>that</w:t>
            </w:r>
            <w:r>
              <w:rPr>
                <w:spacing w:val="-4"/>
                <w:sz w:val="18"/>
              </w:rPr>
              <w:t xml:space="preserve"> </w:t>
            </w:r>
            <w:r>
              <w:rPr>
                <w:sz w:val="18"/>
              </w:rPr>
              <w:t>the</w:t>
            </w:r>
            <w:r>
              <w:rPr>
                <w:spacing w:val="-5"/>
                <w:sz w:val="18"/>
              </w:rPr>
              <w:t xml:space="preserve"> </w:t>
            </w:r>
            <w:r>
              <w:rPr>
                <w:sz w:val="18"/>
              </w:rPr>
              <w:t>examination</w:t>
            </w:r>
            <w:r>
              <w:rPr>
                <w:spacing w:val="-5"/>
                <w:sz w:val="18"/>
              </w:rPr>
              <w:t xml:space="preserve"> </w:t>
            </w:r>
            <w:r>
              <w:rPr>
                <w:sz w:val="18"/>
              </w:rPr>
              <w:t>was</w:t>
            </w:r>
            <w:r>
              <w:rPr>
                <w:spacing w:val="-4"/>
                <w:sz w:val="18"/>
              </w:rPr>
              <w:t xml:space="preserve"> </w:t>
            </w:r>
            <w:r>
              <w:rPr>
                <w:sz w:val="18"/>
              </w:rPr>
              <w:t>conducted</w:t>
            </w:r>
            <w:r>
              <w:rPr>
                <w:spacing w:val="-5"/>
                <w:sz w:val="18"/>
              </w:rPr>
              <w:t xml:space="preserve"> </w:t>
            </w:r>
            <w:r>
              <w:rPr>
                <w:sz w:val="18"/>
              </w:rPr>
              <w:t>in</w:t>
            </w:r>
            <w:r>
              <w:rPr>
                <w:spacing w:val="-5"/>
                <w:sz w:val="18"/>
              </w:rPr>
              <w:t xml:space="preserve"> </w:t>
            </w:r>
            <w:r>
              <w:rPr>
                <w:sz w:val="18"/>
              </w:rPr>
              <w:t>accordance with attestation standards established by the AICPA, answer “yes.” Otherwise, assess the adequacy of the standards under which the report was issued following guidance in AU-C 402.A21 and .A23.</w:t>
            </w:r>
          </w:p>
        </w:tc>
        <w:tc>
          <w:tcPr>
            <w:tcW w:w="720" w:type="dxa"/>
            <w:tcBorders>
              <w:top w:val="single" w:sz="4" w:space="0" w:color="000000"/>
              <w:left w:val="single" w:sz="4" w:space="0" w:color="000000"/>
              <w:bottom w:val="single" w:sz="4" w:space="0" w:color="000000"/>
              <w:right w:val="single" w:sz="4" w:space="0" w:color="000000"/>
            </w:tcBorders>
          </w:tcPr>
          <w:p w14:paraId="0DFDAF2D"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2E" w14:textId="3595C63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2F" w14:textId="77777777" w:rsidR="00046465" w:rsidRDefault="00046465">
            <w:pPr>
              <w:pStyle w:val="TableParagraph"/>
              <w:rPr>
                <w:rFonts w:ascii="Times New Roman"/>
                <w:sz w:val="18"/>
              </w:rPr>
            </w:pPr>
          </w:p>
        </w:tc>
      </w:tr>
      <w:tr w:rsidR="00046465" w14:paraId="0DFDAF32" w14:textId="77777777">
        <w:trPr>
          <w:trHeight w:val="327"/>
        </w:trPr>
        <w:tc>
          <w:tcPr>
            <w:tcW w:w="9270" w:type="dxa"/>
            <w:gridSpan w:val="4"/>
            <w:tcBorders>
              <w:top w:val="single" w:sz="4" w:space="0" w:color="000000"/>
              <w:bottom w:val="single" w:sz="4" w:space="0" w:color="000000"/>
            </w:tcBorders>
            <w:shd w:val="clear" w:color="auto" w:fill="D9D9D9"/>
          </w:tcPr>
          <w:p w14:paraId="0DFDAF31" w14:textId="77777777" w:rsidR="00046465" w:rsidRDefault="008134EB">
            <w:pPr>
              <w:pStyle w:val="TableParagraph"/>
              <w:ind w:left="105"/>
              <w:rPr>
                <w:b/>
                <w:sz w:val="18"/>
              </w:rPr>
            </w:pPr>
            <w:r>
              <w:rPr>
                <w:b/>
                <w:sz w:val="18"/>
              </w:rPr>
              <w:t>Assess</w:t>
            </w:r>
            <w:r>
              <w:rPr>
                <w:b/>
                <w:spacing w:val="-5"/>
                <w:sz w:val="18"/>
              </w:rPr>
              <w:t xml:space="preserve"> </w:t>
            </w:r>
            <w:r>
              <w:rPr>
                <w:b/>
                <w:sz w:val="18"/>
              </w:rPr>
              <w:t>the</w:t>
            </w:r>
            <w:r>
              <w:rPr>
                <w:b/>
                <w:spacing w:val="-4"/>
                <w:sz w:val="18"/>
              </w:rPr>
              <w:t xml:space="preserve"> </w:t>
            </w:r>
            <w:r>
              <w:rPr>
                <w:b/>
                <w:sz w:val="18"/>
              </w:rPr>
              <w:t>service</w:t>
            </w:r>
            <w:r>
              <w:rPr>
                <w:b/>
                <w:spacing w:val="-4"/>
                <w:sz w:val="18"/>
              </w:rPr>
              <w:t xml:space="preserve"> </w:t>
            </w:r>
            <w:r>
              <w:rPr>
                <w:b/>
                <w:sz w:val="18"/>
              </w:rPr>
              <w:t>auditor’s</w:t>
            </w:r>
            <w:r>
              <w:rPr>
                <w:b/>
                <w:spacing w:val="-4"/>
                <w:sz w:val="18"/>
              </w:rPr>
              <w:t xml:space="preserve"> </w:t>
            </w:r>
            <w:r>
              <w:rPr>
                <w:b/>
                <w:sz w:val="18"/>
              </w:rPr>
              <w:t>independence</w:t>
            </w:r>
            <w:r>
              <w:rPr>
                <w:b/>
                <w:spacing w:val="-4"/>
                <w:sz w:val="18"/>
              </w:rPr>
              <w:t xml:space="preserve"> </w:t>
            </w:r>
            <w:r>
              <w:rPr>
                <w:b/>
                <w:sz w:val="18"/>
              </w:rPr>
              <w:t>and</w:t>
            </w:r>
            <w:r>
              <w:rPr>
                <w:b/>
                <w:spacing w:val="-3"/>
                <w:sz w:val="18"/>
              </w:rPr>
              <w:t xml:space="preserve"> </w:t>
            </w:r>
            <w:r>
              <w:rPr>
                <w:b/>
                <w:sz w:val="18"/>
              </w:rPr>
              <w:t>professional</w:t>
            </w:r>
            <w:r>
              <w:rPr>
                <w:b/>
                <w:spacing w:val="-2"/>
                <w:sz w:val="18"/>
              </w:rPr>
              <w:t xml:space="preserve"> competence</w:t>
            </w:r>
          </w:p>
        </w:tc>
      </w:tr>
      <w:tr w:rsidR="00046465" w14:paraId="0DFDAF38" w14:textId="77777777">
        <w:trPr>
          <w:trHeight w:val="2103"/>
        </w:trPr>
        <w:tc>
          <w:tcPr>
            <w:tcW w:w="6091" w:type="dxa"/>
            <w:tcBorders>
              <w:top w:val="single" w:sz="4" w:space="0" w:color="000000"/>
              <w:bottom w:val="single" w:sz="4" w:space="0" w:color="000000"/>
              <w:right w:val="single" w:sz="4" w:space="0" w:color="000000"/>
            </w:tcBorders>
          </w:tcPr>
          <w:p w14:paraId="0DFDAF33" w14:textId="77777777" w:rsidR="00046465" w:rsidRDefault="008134EB">
            <w:pPr>
              <w:pStyle w:val="TableParagraph"/>
              <w:ind w:left="405" w:right="165" w:hanging="300"/>
              <w:rPr>
                <w:sz w:val="18"/>
              </w:rPr>
            </w:pPr>
            <w:r>
              <w:rPr>
                <w:sz w:val="18"/>
              </w:rPr>
              <w:t>2)</w:t>
            </w:r>
            <w:r>
              <w:rPr>
                <w:spacing w:val="80"/>
                <w:sz w:val="18"/>
              </w:rPr>
              <w:t xml:space="preserve"> </w:t>
            </w:r>
            <w:r>
              <w:rPr>
                <w:sz w:val="18"/>
              </w:rPr>
              <w:t>Did</w:t>
            </w:r>
            <w:r>
              <w:rPr>
                <w:spacing w:val="-4"/>
                <w:sz w:val="18"/>
              </w:rPr>
              <w:t xml:space="preserve"> </w:t>
            </w:r>
            <w:r>
              <w:rPr>
                <w:sz w:val="18"/>
              </w:rPr>
              <w:t>the</w:t>
            </w:r>
            <w:r>
              <w:rPr>
                <w:spacing w:val="-4"/>
                <w:sz w:val="18"/>
              </w:rPr>
              <w:t xml:space="preserve"> </w:t>
            </w:r>
            <w:r>
              <w:rPr>
                <w:sz w:val="18"/>
              </w:rPr>
              <w:t>auditor</w:t>
            </w:r>
            <w:r>
              <w:rPr>
                <w:spacing w:val="-3"/>
                <w:sz w:val="18"/>
              </w:rPr>
              <w:t xml:space="preserve"> </w:t>
            </w:r>
            <w:r>
              <w:rPr>
                <w:sz w:val="18"/>
              </w:rPr>
              <w:t>determine</w:t>
            </w:r>
            <w:r>
              <w:rPr>
                <w:spacing w:val="-4"/>
                <w:sz w:val="18"/>
              </w:rPr>
              <w:t xml:space="preserve"> </w:t>
            </w:r>
            <w:r>
              <w:rPr>
                <w:sz w:val="18"/>
              </w:rPr>
              <w:t>that</w:t>
            </w:r>
            <w:r>
              <w:rPr>
                <w:spacing w:val="-2"/>
                <w:sz w:val="18"/>
              </w:rPr>
              <w:t xml:space="preserve"> </w:t>
            </w:r>
            <w:r>
              <w:rPr>
                <w:sz w:val="18"/>
              </w:rPr>
              <w:t>the</w:t>
            </w:r>
            <w:r>
              <w:rPr>
                <w:spacing w:val="-3"/>
                <w:sz w:val="18"/>
              </w:rPr>
              <w:t xml:space="preserve"> </w:t>
            </w:r>
            <w:r>
              <w:rPr>
                <w:sz w:val="18"/>
              </w:rPr>
              <w:t>service</w:t>
            </w:r>
            <w:r>
              <w:rPr>
                <w:spacing w:val="-4"/>
                <w:sz w:val="18"/>
              </w:rPr>
              <w:t xml:space="preserve"> </w:t>
            </w:r>
            <w:r>
              <w:rPr>
                <w:sz w:val="18"/>
              </w:rPr>
              <w:t>auditor</w:t>
            </w:r>
            <w:r>
              <w:rPr>
                <w:spacing w:val="-3"/>
                <w:sz w:val="18"/>
              </w:rPr>
              <w:t xml:space="preserve"> </w:t>
            </w:r>
            <w:r>
              <w:rPr>
                <w:sz w:val="18"/>
              </w:rPr>
              <w:t>is</w:t>
            </w:r>
            <w:r>
              <w:rPr>
                <w:spacing w:val="-3"/>
                <w:sz w:val="18"/>
              </w:rPr>
              <w:t xml:space="preserve"> </w:t>
            </w:r>
            <w:r>
              <w:rPr>
                <w:sz w:val="18"/>
              </w:rPr>
              <w:t>independent</w:t>
            </w:r>
            <w:r>
              <w:rPr>
                <w:spacing w:val="-3"/>
                <w:sz w:val="18"/>
              </w:rPr>
              <w:t xml:space="preserve"> </w:t>
            </w:r>
            <w:r>
              <w:rPr>
                <w:sz w:val="18"/>
              </w:rPr>
              <w:t>of the service organization?</w:t>
            </w:r>
          </w:p>
          <w:p w14:paraId="0DFDAF34" w14:textId="77777777" w:rsidR="00046465" w:rsidRDefault="008134EB">
            <w:pPr>
              <w:pStyle w:val="TableParagraph"/>
              <w:spacing w:before="119"/>
              <w:ind w:left="404" w:right="62"/>
              <w:rPr>
                <w:sz w:val="18"/>
              </w:rPr>
            </w:pPr>
            <w:r>
              <w:rPr>
                <w:sz w:val="18"/>
              </w:rPr>
              <w:t>Unless evidence to the contrary comes to the auditor’s attention, a service</w:t>
            </w:r>
            <w:r>
              <w:rPr>
                <w:spacing w:val="-6"/>
                <w:sz w:val="18"/>
              </w:rPr>
              <w:t xml:space="preserve"> </w:t>
            </w:r>
            <w:r>
              <w:rPr>
                <w:sz w:val="18"/>
              </w:rPr>
              <w:t>auditor’s</w:t>
            </w:r>
            <w:r>
              <w:rPr>
                <w:spacing w:val="-5"/>
                <w:sz w:val="18"/>
              </w:rPr>
              <w:t xml:space="preserve"> </w:t>
            </w:r>
            <w:r>
              <w:rPr>
                <w:sz w:val="18"/>
              </w:rPr>
              <w:t>report</w:t>
            </w:r>
            <w:r>
              <w:rPr>
                <w:spacing w:val="-5"/>
                <w:sz w:val="18"/>
              </w:rPr>
              <w:t xml:space="preserve"> </w:t>
            </w:r>
            <w:r>
              <w:rPr>
                <w:sz w:val="18"/>
              </w:rPr>
              <w:t>implies</w:t>
            </w:r>
            <w:r>
              <w:rPr>
                <w:spacing w:val="-4"/>
                <w:sz w:val="18"/>
              </w:rPr>
              <w:t xml:space="preserve"> </w:t>
            </w:r>
            <w:r>
              <w:rPr>
                <w:sz w:val="18"/>
              </w:rPr>
              <w:t>that</w:t>
            </w:r>
            <w:r>
              <w:rPr>
                <w:spacing w:val="-5"/>
                <w:sz w:val="18"/>
              </w:rPr>
              <w:t xml:space="preserve"> </w:t>
            </w:r>
            <w:r>
              <w:rPr>
                <w:sz w:val="18"/>
              </w:rPr>
              <w:t>the</w:t>
            </w:r>
            <w:r>
              <w:rPr>
                <w:spacing w:val="-6"/>
                <w:sz w:val="18"/>
              </w:rPr>
              <w:t xml:space="preserve"> </w:t>
            </w:r>
            <w:r>
              <w:rPr>
                <w:sz w:val="18"/>
              </w:rPr>
              <w:t>service</w:t>
            </w:r>
            <w:r>
              <w:rPr>
                <w:spacing w:val="-6"/>
                <w:sz w:val="18"/>
              </w:rPr>
              <w:t xml:space="preserve"> </w:t>
            </w:r>
            <w:r>
              <w:rPr>
                <w:sz w:val="18"/>
              </w:rPr>
              <w:t>auditor</w:t>
            </w:r>
            <w:r>
              <w:rPr>
                <w:spacing w:val="-5"/>
                <w:sz w:val="18"/>
              </w:rPr>
              <w:t xml:space="preserve"> </w:t>
            </w:r>
            <w:r>
              <w:rPr>
                <w:sz w:val="18"/>
              </w:rPr>
              <w:t>is</w:t>
            </w:r>
            <w:r>
              <w:rPr>
                <w:spacing w:val="-5"/>
                <w:sz w:val="18"/>
              </w:rPr>
              <w:t xml:space="preserve"> </w:t>
            </w:r>
            <w:r>
              <w:rPr>
                <w:sz w:val="18"/>
              </w:rPr>
              <w:t>independent of the service organization (note that the service auditor need not be independent of the entity). The service auditor is required to include “independent” in the title of the report. If the auditor has questions or concerns about the</w:t>
            </w:r>
            <w:r>
              <w:rPr>
                <w:spacing w:val="-1"/>
                <w:sz w:val="18"/>
              </w:rPr>
              <w:t xml:space="preserve"> </w:t>
            </w:r>
            <w:r>
              <w:rPr>
                <w:sz w:val="18"/>
              </w:rPr>
              <w:t>service</w:t>
            </w:r>
            <w:r>
              <w:rPr>
                <w:spacing w:val="-1"/>
                <w:sz w:val="18"/>
              </w:rPr>
              <w:t xml:space="preserve"> </w:t>
            </w:r>
            <w:r>
              <w:rPr>
                <w:sz w:val="18"/>
              </w:rPr>
              <w:t>auditor’s independence, see</w:t>
            </w:r>
            <w:r>
              <w:rPr>
                <w:spacing w:val="-1"/>
                <w:sz w:val="18"/>
              </w:rPr>
              <w:t xml:space="preserve"> </w:t>
            </w:r>
            <w:r>
              <w:rPr>
                <w:sz w:val="18"/>
              </w:rPr>
              <w:t>FAM 615.14 for guidance.</w:t>
            </w:r>
          </w:p>
        </w:tc>
        <w:tc>
          <w:tcPr>
            <w:tcW w:w="720" w:type="dxa"/>
            <w:tcBorders>
              <w:top w:val="single" w:sz="4" w:space="0" w:color="000000"/>
              <w:left w:val="single" w:sz="4" w:space="0" w:color="000000"/>
              <w:bottom w:val="single" w:sz="4" w:space="0" w:color="000000"/>
              <w:right w:val="single" w:sz="4" w:space="0" w:color="000000"/>
            </w:tcBorders>
          </w:tcPr>
          <w:p w14:paraId="0DFDAF35"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36"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37" w14:textId="77777777" w:rsidR="00046465" w:rsidRDefault="00046465">
            <w:pPr>
              <w:pStyle w:val="TableParagraph"/>
              <w:rPr>
                <w:rFonts w:ascii="Times New Roman"/>
                <w:sz w:val="18"/>
              </w:rPr>
            </w:pPr>
          </w:p>
        </w:tc>
      </w:tr>
      <w:tr w:rsidR="00046465" w14:paraId="0DFDAF40" w14:textId="77777777">
        <w:trPr>
          <w:trHeight w:val="2756"/>
        </w:trPr>
        <w:tc>
          <w:tcPr>
            <w:tcW w:w="6091" w:type="dxa"/>
            <w:tcBorders>
              <w:top w:val="single" w:sz="4" w:space="0" w:color="000000"/>
              <w:bottom w:val="single" w:sz="4" w:space="0" w:color="000000"/>
              <w:right w:val="single" w:sz="4" w:space="0" w:color="000000"/>
            </w:tcBorders>
          </w:tcPr>
          <w:p w14:paraId="0DFDAF39" w14:textId="77777777" w:rsidR="00046465" w:rsidRDefault="008134EB">
            <w:pPr>
              <w:pStyle w:val="TableParagraph"/>
              <w:ind w:left="392" w:hanging="288"/>
              <w:rPr>
                <w:sz w:val="18"/>
              </w:rPr>
            </w:pPr>
            <w:r>
              <w:rPr>
                <w:sz w:val="18"/>
              </w:rPr>
              <w:t>3)</w:t>
            </w:r>
            <w:r>
              <w:rPr>
                <w:spacing w:val="71"/>
                <w:sz w:val="18"/>
              </w:rPr>
              <w:t xml:space="preserve"> </w:t>
            </w:r>
            <w:r>
              <w:rPr>
                <w:sz w:val="18"/>
              </w:rPr>
              <w:t>Did</w:t>
            </w:r>
            <w:r>
              <w:rPr>
                <w:spacing w:val="-4"/>
                <w:sz w:val="18"/>
              </w:rPr>
              <w:t xml:space="preserve"> </w:t>
            </w:r>
            <w:r>
              <w:rPr>
                <w:sz w:val="18"/>
              </w:rPr>
              <w:t>the</w:t>
            </w:r>
            <w:r>
              <w:rPr>
                <w:spacing w:val="-4"/>
                <w:sz w:val="18"/>
              </w:rPr>
              <w:t xml:space="preserve"> </w:t>
            </w:r>
            <w:r>
              <w:rPr>
                <w:sz w:val="18"/>
              </w:rPr>
              <w:t>auditor</w:t>
            </w:r>
            <w:r>
              <w:rPr>
                <w:spacing w:val="-3"/>
                <w:sz w:val="18"/>
              </w:rPr>
              <w:t xml:space="preserve"> </w:t>
            </w:r>
            <w:r>
              <w:rPr>
                <w:sz w:val="18"/>
              </w:rPr>
              <w:t>determine</w:t>
            </w:r>
            <w:r>
              <w:rPr>
                <w:spacing w:val="-4"/>
                <w:sz w:val="18"/>
              </w:rPr>
              <w:t xml:space="preserve"> </w:t>
            </w:r>
            <w:r>
              <w:rPr>
                <w:sz w:val="18"/>
              </w:rPr>
              <w:t>that</w:t>
            </w:r>
            <w:r>
              <w:rPr>
                <w:spacing w:val="-1"/>
                <w:sz w:val="18"/>
              </w:rPr>
              <w:t xml:space="preserve"> </w:t>
            </w:r>
            <w:r>
              <w:rPr>
                <w:sz w:val="18"/>
              </w:rPr>
              <w:t>the</w:t>
            </w:r>
            <w:r>
              <w:rPr>
                <w:spacing w:val="-4"/>
                <w:sz w:val="18"/>
              </w:rPr>
              <w:t xml:space="preserve"> </w:t>
            </w:r>
            <w:r>
              <w:rPr>
                <w:sz w:val="18"/>
              </w:rPr>
              <w:t>service</w:t>
            </w:r>
            <w:r>
              <w:rPr>
                <w:spacing w:val="-4"/>
                <w:sz w:val="18"/>
              </w:rPr>
              <w:t xml:space="preserve"> </w:t>
            </w:r>
            <w:r>
              <w:rPr>
                <w:sz w:val="18"/>
              </w:rPr>
              <w:t>auditor</w:t>
            </w:r>
            <w:r>
              <w:rPr>
                <w:spacing w:val="-3"/>
                <w:sz w:val="18"/>
              </w:rPr>
              <w:t xml:space="preserve"> </w:t>
            </w:r>
            <w:r>
              <w:rPr>
                <w:sz w:val="18"/>
              </w:rPr>
              <w:t>has</w:t>
            </w:r>
            <w:r>
              <w:rPr>
                <w:spacing w:val="-3"/>
                <w:sz w:val="18"/>
              </w:rPr>
              <w:t xml:space="preserve"> </w:t>
            </w:r>
            <w:r>
              <w:rPr>
                <w:sz w:val="18"/>
              </w:rPr>
              <w:t>the</w:t>
            </w:r>
            <w:r>
              <w:rPr>
                <w:spacing w:val="-4"/>
                <w:sz w:val="18"/>
              </w:rPr>
              <w:t xml:space="preserve"> </w:t>
            </w:r>
            <w:r>
              <w:rPr>
                <w:sz w:val="18"/>
              </w:rPr>
              <w:t>necessary competence for the auditor’s purposes?</w:t>
            </w:r>
          </w:p>
          <w:p w14:paraId="0DFDAF3A" w14:textId="77777777" w:rsidR="00046465" w:rsidRDefault="008134EB">
            <w:pPr>
              <w:pStyle w:val="TableParagraph"/>
              <w:spacing w:before="119"/>
              <w:ind w:left="393"/>
              <w:rPr>
                <w:sz w:val="18"/>
              </w:rPr>
            </w:pPr>
            <w:r>
              <w:rPr>
                <w:sz w:val="18"/>
              </w:rPr>
              <w:t>If</w:t>
            </w:r>
            <w:r>
              <w:rPr>
                <w:spacing w:val="-4"/>
                <w:sz w:val="18"/>
              </w:rPr>
              <w:t xml:space="preserve"> </w:t>
            </w:r>
            <w:r>
              <w:rPr>
                <w:sz w:val="18"/>
              </w:rPr>
              <w:t>the</w:t>
            </w:r>
            <w:r>
              <w:rPr>
                <w:spacing w:val="-4"/>
                <w:sz w:val="18"/>
              </w:rPr>
              <w:t xml:space="preserve"> </w:t>
            </w:r>
            <w:r>
              <w:rPr>
                <w:sz w:val="18"/>
              </w:rPr>
              <w:t>service</w:t>
            </w:r>
            <w:r>
              <w:rPr>
                <w:spacing w:val="-5"/>
                <w:sz w:val="18"/>
              </w:rPr>
              <w:t xml:space="preserve"> </w:t>
            </w:r>
            <w:r>
              <w:rPr>
                <w:sz w:val="18"/>
              </w:rPr>
              <w:t>auditor</w:t>
            </w:r>
            <w:r>
              <w:rPr>
                <w:spacing w:val="-4"/>
                <w:sz w:val="18"/>
              </w:rPr>
              <w:t xml:space="preserve"> </w:t>
            </w:r>
            <w:r>
              <w:rPr>
                <w:sz w:val="18"/>
              </w:rPr>
              <w:t>passed</w:t>
            </w:r>
            <w:r>
              <w:rPr>
                <w:spacing w:val="-5"/>
                <w:sz w:val="18"/>
              </w:rPr>
              <w:t xml:space="preserve"> </w:t>
            </w:r>
            <w:r>
              <w:rPr>
                <w:sz w:val="18"/>
              </w:rPr>
              <w:t>a</w:t>
            </w:r>
            <w:r>
              <w:rPr>
                <w:spacing w:val="-5"/>
                <w:sz w:val="18"/>
              </w:rPr>
              <w:t xml:space="preserve"> </w:t>
            </w:r>
            <w:r>
              <w:rPr>
                <w:sz w:val="18"/>
              </w:rPr>
              <w:t>recent</w:t>
            </w:r>
            <w:r>
              <w:rPr>
                <w:spacing w:val="-4"/>
                <w:sz w:val="18"/>
              </w:rPr>
              <w:t xml:space="preserve"> </w:t>
            </w:r>
            <w:r>
              <w:rPr>
                <w:sz w:val="18"/>
              </w:rPr>
              <w:t>peer</w:t>
            </w:r>
            <w:r>
              <w:rPr>
                <w:spacing w:val="-4"/>
                <w:sz w:val="18"/>
              </w:rPr>
              <w:t xml:space="preserve"> </w:t>
            </w:r>
            <w:r>
              <w:rPr>
                <w:sz w:val="18"/>
              </w:rPr>
              <w:t>review</w:t>
            </w:r>
            <w:r>
              <w:rPr>
                <w:spacing w:val="-4"/>
                <w:sz w:val="18"/>
              </w:rPr>
              <w:t xml:space="preserve"> </w:t>
            </w:r>
            <w:r>
              <w:rPr>
                <w:sz w:val="18"/>
              </w:rPr>
              <w:t>with</w:t>
            </w:r>
            <w:r>
              <w:rPr>
                <w:spacing w:val="-5"/>
                <w:sz w:val="18"/>
              </w:rPr>
              <w:t xml:space="preserve"> </w:t>
            </w:r>
            <w:r>
              <w:rPr>
                <w:sz w:val="18"/>
              </w:rPr>
              <w:t>no</w:t>
            </w:r>
            <w:r>
              <w:rPr>
                <w:spacing w:val="-3"/>
                <w:sz w:val="18"/>
              </w:rPr>
              <w:t xml:space="preserve"> </w:t>
            </w:r>
            <w:r>
              <w:rPr>
                <w:sz w:val="18"/>
              </w:rPr>
              <w:t>deficiencies and there is no evidence indicating that the service auditor is not competent, answer “yes.”</w:t>
            </w:r>
          </w:p>
          <w:p w14:paraId="0DFDAF3B" w14:textId="77777777" w:rsidR="00046465" w:rsidRDefault="008134EB">
            <w:pPr>
              <w:pStyle w:val="TableParagraph"/>
              <w:spacing w:before="119"/>
              <w:ind w:left="392" w:right="165"/>
              <w:rPr>
                <w:sz w:val="18"/>
              </w:rPr>
            </w:pPr>
            <w:r>
              <w:rPr>
                <w:sz w:val="18"/>
              </w:rPr>
              <w:t>If</w:t>
            </w:r>
            <w:r>
              <w:rPr>
                <w:spacing w:val="-4"/>
                <w:sz w:val="18"/>
              </w:rPr>
              <w:t xml:space="preserve"> </w:t>
            </w:r>
            <w:r>
              <w:rPr>
                <w:sz w:val="18"/>
              </w:rPr>
              <w:t>the</w:t>
            </w:r>
            <w:r>
              <w:rPr>
                <w:spacing w:val="-5"/>
                <w:sz w:val="18"/>
              </w:rPr>
              <w:t xml:space="preserve"> </w:t>
            </w:r>
            <w:r>
              <w:rPr>
                <w:sz w:val="18"/>
              </w:rPr>
              <w:t>service</w:t>
            </w:r>
            <w:r>
              <w:rPr>
                <w:spacing w:val="-5"/>
                <w:sz w:val="18"/>
              </w:rPr>
              <w:t xml:space="preserve"> </w:t>
            </w:r>
            <w:r>
              <w:rPr>
                <w:sz w:val="18"/>
              </w:rPr>
              <w:t>auditor</w:t>
            </w:r>
            <w:r>
              <w:rPr>
                <w:spacing w:val="-4"/>
                <w:sz w:val="18"/>
              </w:rPr>
              <w:t xml:space="preserve"> </w:t>
            </w:r>
            <w:r>
              <w:rPr>
                <w:sz w:val="18"/>
              </w:rPr>
              <w:t>passed</w:t>
            </w:r>
            <w:r>
              <w:rPr>
                <w:spacing w:val="-5"/>
                <w:sz w:val="18"/>
              </w:rPr>
              <w:t xml:space="preserve"> </w:t>
            </w:r>
            <w:r>
              <w:rPr>
                <w:sz w:val="18"/>
              </w:rPr>
              <w:t>a</w:t>
            </w:r>
            <w:r>
              <w:rPr>
                <w:spacing w:val="-5"/>
                <w:sz w:val="18"/>
              </w:rPr>
              <w:t xml:space="preserve"> </w:t>
            </w:r>
            <w:r>
              <w:rPr>
                <w:sz w:val="18"/>
              </w:rPr>
              <w:t>recent</w:t>
            </w:r>
            <w:r>
              <w:rPr>
                <w:spacing w:val="-3"/>
                <w:sz w:val="18"/>
              </w:rPr>
              <w:t xml:space="preserve"> </w:t>
            </w:r>
            <w:r>
              <w:rPr>
                <w:sz w:val="18"/>
              </w:rPr>
              <w:t>peer</w:t>
            </w:r>
            <w:r>
              <w:rPr>
                <w:spacing w:val="-4"/>
                <w:sz w:val="18"/>
              </w:rPr>
              <w:t xml:space="preserve"> </w:t>
            </w:r>
            <w:r>
              <w:rPr>
                <w:sz w:val="18"/>
              </w:rPr>
              <w:t>review</w:t>
            </w:r>
            <w:r>
              <w:rPr>
                <w:spacing w:val="-4"/>
                <w:sz w:val="18"/>
              </w:rPr>
              <w:t xml:space="preserve"> </w:t>
            </w:r>
            <w:r>
              <w:rPr>
                <w:sz w:val="18"/>
              </w:rPr>
              <w:t>with</w:t>
            </w:r>
            <w:r>
              <w:rPr>
                <w:spacing w:val="-5"/>
                <w:sz w:val="18"/>
              </w:rPr>
              <w:t xml:space="preserve"> </w:t>
            </w:r>
            <w:r>
              <w:rPr>
                <w:sz w:val="18"/>
              </w:rPr>
              <w:t>deficiencies</w:t>
            </w:r>
            <w:r>
              <w:rPr>
                <w:spacing w:val="-4"/>
                <w:sz w:val="18"/>
              </w:rPr>
              <w:t xml:space="preserve"> </w:t>
            </w:r>
            <w:r>
              <w:rPr>
                <w:sz w:val="18"/>
              </w:rPr>
              <w:t>or a recent peer review report is not available, assess the service auditor’s competence using chapter 4 of GAGAS (2018) (Competence). See FAM 615 for guidance.</w:t>
            </w:r>
          </w:p>
          <w:p w14:paraId="0DFDAF3C" w14:textId="77777777" w:rsidR="00046465" w:rsidRDefault="008134EB">
            <w:pPr>
              <w:pStyle w:val="TableParagraph"/>
              <w:spacing w:before="120"/>
              <w:ind w:left="392"/>
              <w:rPr>
                <w:sz w:val="18"/>
              </w:rPr>
            </w:pPr>
            <w:r>
              <w:rPr>
                <w:sz w:val="18"/>
              </w:rPr>
              <w:t>If</w:t>
            </w:r>
            <w:r>
              <w:rPr>
                <w:spacing w:val="-4"/>
                <w:sz w:val="18"/>
              </w:rPr>
              <w:t xml:space="preserve"> </w:t>
            </w:r>
            <w:r>
              <w:rPr>
                <w:sz w:val="18"/>
              </w:rPr>
              <w:t>the</w:t>
            </w:r>
            <w:r>
              <w:rPr>
                <w:spacing w:val="-5"/>
                <w:sz w:val="18"/>
              </w:rPr>
              <w:t xml:space="preserve"> </w:t>
            </w:r>
            <w:r>
              <w:rPr>
                <w:sz w:val="18"/>
              </w:rPr>
              <w:t>service</w:t>
            </w:r>
            <w:r>
              <w:rPr>
                <w:spacing w:val="-5"/>
                <w:sz w:val="18"/>
              </w:rPr>
              <w:t xml:space="preserve"> </w:t>
            </w:r>
            <w:r>
              <w:rPr>
                <w:sz w:val="18"/>
              </w:rPr>
              <w:t>auditor</w:t>
            </w:r>
            <w:r>
              <w:rPr>
                <w:spacing w:val="-4"/>
                <w:sz w:val="18"/>
              </w:rPr>
              <w:t xml:space="preserve"> </w:t>
            </w:r>
            <w:r>
              <w:rPr>
                <w:sz w:val="18"/>
              </w:rPr>
              <w:t>failed</w:t>
            </w:r>
            <w:r>
              <w:rPr>
                <w:spacing w:val="-5"/>
                <w:sz w:val="18"/>
              </w:rPr>
              <w:t xml:space="preserve"> </w:t>
            </w:r>
            <w:r>
              <w:rPr>
                <w:sz w:val="18"/>
              </w:rPr>
              <w:t>its</w:t>
            </w:r>
            <w:r>
              <w:rPr>
                <w:spacing w:val="-2"/>
                <w:sz w:val="18"/>
              </w:rPr>
              <w:t xml:space="preserve"> </w:t>
            </w:r>
            <w:r>
              <w:rPr>
                <w:sz w:val="18"/>
              </w:rPr>
              <w:t>recent</w:t>
            </w:r>
            <w:r>
              <w:rPr>
                <w:spacing w:val="-4"/>
                <w:sz w:val="18"/>
              </w:rPr>
              <w:t xml:space="preserve"> </w:t>
            </w:r>
            <w:r>
              <w:rPr>
                <w:sz w:val="18"/>
              </w:rPr>
              <w:t>peer</w:t>
            </w:r>
            <w:r>
              <w:rPr>
                <w:spacing w:val="-4"/>
                <w:sz w:val="18"/>
              </w:rPr>
              <w:t xml:space="preserve"> </w:t>
            </w:r>
            <w:r>
              <w:rPr>
                <w:sz w:val="18"/>
              </w:rPr>
              <w:t>review,</w:t>
            </w:r>
            <w:r>
              <w:rPr>
                <w:spacing w:val="-4"/>
                <w:sz w:val="18"/>
              </w:rPr>
              <w:t xml:space="preserve"> </w:t>
            </w:r>
            <w:r>
              <w:rPr>
                <w:sz w:val="18"/>
              </w:rPr>
              <w:t>answer</w:t>
            </w:r>
            <w:r>
              <w:rPr>
                <w:spacing w:val="-4"/>
                <w:sz w:val="18"/>
              </w:rPr>
              <w:t xml:space="preserve"> </w:t>
            </w:r>
            <w:r>
              <w:rPr>
                <w:sz w:val="18"/>
              </w:rPr>
              <w:t>“no”</w:t>
            </w:r>
            <w:r>
              <w:rPr>
                <w:spacing w:val="-4"/>
                <w:sz w:val="18"/>
              </w:rPr>
              <w:t xml:space="preserve"> </w:t>
            </w:r>
            <w:r>
              <w:rPr>
                <w:sz w:val="18"/>
              </w:rPr>
              <w:t>and assess the effect on the audit.</w:t>
            </w:r>
          </w:p>
        </w:tc>
        <w:tc>
          <w:tcPr>
            <w:tcW w:w="720" w:type="dxa"/>
            <w:tcBorders>
              <w:top w:val="single" w:sz="4" w:space="0" w:color="000000"/>
              <w:left w:val="single" w:sz="4" w:space="0" w:color="000000"/>
              <w:bottom w:val="single" w:sz="4" w:space="0" w:color="000000"/>
              <w:right w:val="single" w:sz="4" w:space="0" w:color="000000"/>
            </w:tcBorders>
          </w:tcPr>
          <w:p w14:paraId="0DFDAF3D"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3E"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3F" w14:textId="77777777" w:rsidR="00046465" w:rsidRDefault="00046465">
            <w:pPr>
              <w:pStyle w:val="TableParagraph"/>
              <w:rPr>
                <w:rFonts w:ascii="Times New Roman"/>
                <w:sz w:val="18"/>
              </w:rPr>
            </w:pPr>
          </w:p>
        </w:tc>
      </w:tr>
      <w:tr w:rsidR="00046465" w14:paraId="0DFDAF42" w14:textId="77777777">
        <w:trPr>
          <w:trHeight w:val="327"/>
        </w:trPr>
        <w:tc>
          <w:tcPr>
            <w:tcW w:w="9270" w:type="dxa"/>
            <w:gridSpan w:val="4"/>
            <w:tcBorders>
              <w:top w:val="single" w:sz="4" w:space="0" w:color="000000"/>
              <w:bottom w:val="single" w:sz="4" w:space="0" w:color="000000"/>
            </w:tcBorders>
            <w:shd w:val="clear" w:color="auto" w:fill="D9D9D9"/>
          </w:tcPr>
          <w:p w14:paraId="0DFDAF41" w14:textId="77777777" w:rsidR="00046465" w:rsidRDefault="008134EB">
            <w:pPr>
              <w:pStyle w:val="TableParagraph"/>
              <w:spacing w:before="1"/>
              <w:ind w:left="105"/>
              <w:rPr>
                <w:b/>
                <w:sz w:val="18"/>
              </w:rPr>
            </w:pPr>
            <w:r>
              <w:rPr>
                <w:b/>
                <w:sz w:val="18"/>
              </w:rPr>
              <w:t>Assess</w:t>
            </w:r>
            <w:r>
              <w:rPr>
                <w:b/>
                <w:spacing w:val="-5"/>
                <w:sz w:val="18"/>
              </w:rPr>
              <w:t xml:space="preserve"> </w:t>
            </w:r>
            <w:r>
              <w:rPr>
                <w:b/>
                <w:sz w:val="18"/>
              </w:rPr>
              <w:t>the</w:t>
            </w:r>
            <w:r>
              <w:rPr>
                <w:b/>
                <w:spacing w:val="-2"/>
                <w:sz w:val="18"/>
              </w:rPr>
              <w:t xml:space="preserve"> </w:t>
            </w:r>
            <w:r>
              <w:rPr>
                <w:b/>
                <w:sz w:val="18"/>
              </w:rPr>
              <w:t>time</w:t>
            </w:r>
            <w:r>
              <w:rPr>
                <w:b/>
                <w:spacing w:val="-3"/>
                <w:sz w:val="18"/>
              </w:rPr>
              <w:t xml:space="preserve"> </w:t>
            </w:r>
            <w:r>
              <w:rPr>
                <w:b/>
                <w:sz w:val="18"/>
              </w:rPr>
              <w:t>period</w:t>
            </w:r>
            <w:r>
              <w:rPr>
                <w:b/>
                <w:spacing w:val="-1"/>
                <w:sz w:val="18"/>
              </w:rPr>
              <w:t xml:space="preserve"> </w:t>
            </w:r>
            <w:r>
              <w:rPr>
                <w:b/>
                <w:sz w:val="18"/>
              </w:rPr>
              <w:t>covered</w:t>
            </w:r>
            <w:r>
              <w:rPr>
                <w:b/>
                <w:spacing w:val="-2"/>
                <w:sz w:val="18"/>
              </w:rPr>
              <w:t xml:space="preserve"> </w:t>
            </w:r>
            <w:r>
              <w:rPr>
                <w:b/>
                <w:sz w:val="18"/>
              </w:rPr>
              <w:t>by</w:t>
            </w:r>
            <w:r>
              <w:rPr>
                <w:b/>
                <w:spacing w:val="-2"/>
                <w:sz w:val="18"/>
              </w:rPr>
              <w:t xml:space="preserve"> </w:t>
            </w:r>
            <w:r>
              <w:rPr>
                <w:b/>
                <w:sz w:val="18"/>
              </w:rPr>
              <w:t>the</w:t>
            </w:r>
            <w:r>
              <w:rPr>
                <w:b/>
                <w:spacing w:val="-2"/>
                <w:sz w:val="18"/>
              </w:rPr>
              <w:t xml:space="preserve"> </w:t>
            </w:r>
            <w:r>
              <w:rPr>
                <w:b/>
                <w:sz w:val="18"/>
              </w:rPr>
              <w:t>type</w:t>
            </w:r>
            <w:r>
              <w:rPr>
                <w:b/>
                <w:spacing w:val="-2"/>
                <w:sz w:val="18"/>
              </w:rPr>
              <w:t xml:space="preserve"> </w:t>
            </w:r>
            <w:r>
              <w:rPr>
                <w:b/>
                <w:sz w:val="18"/>
              </w:rPr>
              <w:t>2</w:t>
            </w:r>
            <w:r>
              <w:rPr>
                <w:b/>
                <w:spacing w:val="-2"/>
                <w:sz w:val="18"/>
              </w:rPr>
              <w:t xml:space="preserve"> report</w:t>
            </w:r>
          </w:p>
        </w:tc>
      </w:tr>
      <w:tr w:rsidR="00046465" w14:paraId="0DFDAF47" w14:textId="77777777">
        <w:trPr>
          <w:trHeight w:val="1155"/>
        </w:trPr>
        <w:tc>
          <w:tcPr>
            <w:tcW w:w="6091" w:type="dxa"/>
            <w:tcBorders>
              <w:top w:val="single" w:sz="4" w:space="0" w:color="000000"/>
              <w:bottom w:val="single" w:sz="4" w:space="0" w:color="000000"/>
              <w:right w:val="single" w:sz="4" w:space="0" w:color="000000"/>
            </w:tcBorders>
          </w:tcPr>
          <w:p w14:paraId="0DFDAF43" w14:textId="77777777" w:rsidR="00046465" w:rsidRDefault="008134EB">
            <w:pPr>
              <w:pStyle w:val="TableParagraph"/>
              <w:ind w:left="392" w:right="62" w:hanging="288"/>
              <w:rPr>
                <w:sz w:val="18"/>
              </w:rPr>
            </w:pPr>
            <w:r>
              <w:rPr>
                <w:sz w:val="18"/>
              </w:rPr>
              <w:t>4)</w:t>
            </w:r>
            <w:r>
              <w:rPr>
                <w:spacing w:val="80"/>
                <w:sz w:val="18"/>
              </w:rPr>
              <w:t xml:space="preserve"> </w:t>
            </w:r>
            <w:r>
              <w:rPr>
                <w:sz w:val="18"/>
              </w:rPr>
              <w:t>If the time period of the report is not the same as the entire period of the</w:t>
            </w:r>
            <w:r>
              <w:rPr>
                <w:spacing w:val="-5"/>
                <w:sz w:val="18"/>
              </w:rPr>
              <w:t xml:space="preserve"> </w:t>
            </w:r>
            <w:r>
              <w:rPr>
                <w:sz w:val="18"/>
              </w:rPr>
              <w:t>audit,</w:t>
            </w:r>
            <w:r>
              <w:rPr>
                <w:spacing w:val="-4"/>
                <w:sz w:val="18"/>
              </w:rPr>
              <w:t xml:space="preserve"> </w:t>
            </w:r>
            <w:r>
              <w:rPr>
                <w:sz w:val="18"/>
              </w:rPr>
              <w:t>did</w:t>
            </w:r>
            <w:r>
              <w:rPr>
                <w:spacing w:val="-5"/>
                <w:sz w:val="18"/>
              </w:rPr>
              <w:t xml:space="preserve"> </w:t>
            </w:r>
            <w:r>
              <w:rPr>
                <w:sz w:val="18"/>
              </w:rPr>
              <w:t>the</w:t>
            </w:r>
            <w:r>
              <w:rPr>
                <w:spacing w:val="-5"/>
                <w:sz w:val="18"/>
              </w:rPr>
              <w:t xml:space="preserve"> </w:t>
            </w:r>
            <w:r>
              <w:rPr>
                <w:sz w:val="18"/>
              </w:rPr>
              <w:t>auditor</w:t>
            </w:r>
            <w:r>
              <w:rPr>
                <w:spacing w:val="-4"/>
                <w:sz w:val="18"/>
              </w:rPr>
              <w:t xml:space="preserve"> </w:t>
            </w:r>
            <w:r>
              <w:rPr>
                <w:sz w:val="18"/>
              </w:rPr>
              <w:t>determine</w:t>
            </w:r>
            <w:r>
              <w:rPr>
                <w:spacing w:val="-4"/>
                <w:sz w:val="18"/>
              </w:rPr>
              <w:t xml:space="preserve"> </w:t>
            </w:r>
            <w:r>
              <w:rPr>
                <w:sz w:val="18"/>
              </w:rPr>
              <w:t>whether</w:t>
            </w:r>
            <w:r>
              <w:rPr>
                <w:spacing w:val="-4"/>
                <w:sz w:val="18"/>
              </w:rPr>
              <w:t xml:space="preserve"> </w:t>
            </w:r>
            <w:r>
              <w:rPr>
                <w:sz w:val="18"/>
              </w:rPr>
              <w:t>additional</w:t>
            </w:r>
            <w:r>
              <w:rPr>
                <w:spacing w:val="-4"/>
                <w:sz w:val="18"/>
              </w:rPr>
              <w:t xml:space="preserve"> </w:t>
            </w:r>
            <w:r>
              <w:rPr>
                <w:sz w:val="18"/>
              </w:rPr>
              <w:t>procedures</w:t>
            </w:r>
            <w:r>
              <w:rPr>
                <w:spacing w:val="-4"/>
                <w:sz w:val="18"/>
              </w:rPr>
              <w:t xml:space="preserve"> </w:t>
            </w:r>
            <w:r>
              <w:rPr>
                <w:sz w:val="18"/>
              </w:rPr>
              <w:t>are needed to obtain sufficient appropriate audit evidence about the operating effectiveness of the control activities listed in section VII for the period not covered by the report?</w:t>
            </w:r>
          </w:p>
        </w:tc>
        <w:tc>
          <w:tcPr>
            <w:tcW w:w="720" w:type="dxa"/>
            <w:tcBorders>
              <w:top w:val="single" w:sz="4" w:space="0" w:color="000000"/>
              <w:left w:val="single" w:sz="4" w:space="0" w:color="000000"/>
              <w:bottom w:val="single" w:sz="4" w:space="0" w:color="000000"/>
              <w:right w:val="single" w:sz="4" w:space="0" w:color="000000"/>
            </w:tcBorders>
          </w:tcPr>
          <w:p w14:paraId="0DFDAF44"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45"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46" w14:textId="77777777" w:rsidR="00046465" w:rsidRDefault="00046465">
            <w:pPr>
              <w:pStyle w:val="TableParagraph"/>
              <w:rPr>
                <w:rFonts w:ascii="Times New Roman"/>
                <w:sz w:val="18"/>
              </w:rPr>
            </w:pPr>
          </w:p>
        </w:tc>
      </w:tr>
      <w:tr w:rsidR="00046465" w14:paraId="0DFDAF4D" w14:textId="77777777">
        <w:trPr>
          <w:trHeight w:val="2103"/>
        </w:trPr>
        <w:tc>
          <w:tcPr>
            <w:tcW w:w="6091" w:type="dxa"/>
            <w:tcBorders>
              <w:top w:val="single" w:sz="4" w:space="0" w:color="000000"/>
              <w:bottom w:val="single" w:sz="4" w:space="0" w:color="000000"/>
              <w:right w:val="single" w:sz="4" w:space="0" w:color="000000"/>
            </w:tcBorders>
          </w:tcPr>
          <w:p w14:paraId="0DFDAF48" w14:textId="77777777" w:rsidR="00046465" w:rsidRDefault="008134EB">
            <w:pPr>
              <w:pStyle w:val="TableParagraph"/>
              <w:ind w:left="673" w:right="165" w:hanging="270"/>
              <w:rPr>
                <w:sz w:val="18"/>
              </w:rPr>
            </w:pPr>
            <w:r>
              <w:rPr>
                <w:sz w:val="18"/>
              </w:rPr>
              <w:t>a)</w:t>
            </w:r>
            <w:r>
              <w:rPr>
                <w:spacing w:val="40"/>
                <w:sz w:val="18"/>
              </w:rPr>
              <w:t xml:space="preserve"> </w:t>
            </w:r>
            <w:r>
              <w:rPr>
                <w:sz w:val="18"/>
              </w:rPr>
              <w:t>If</w:t>
            </w:r>
            <w:r>
              <w:rPr>
                <w:spacing w:val="-4"/>
                <w:sz w:val="18"/>
              </w:rPr>
              <w:t xml:space="preserve"> </w:t>
            </w:r>
            <w:r>
              <w:rPr>
                <w:sz w:val="18"/>
              </w:rPr>
              <w:t>the</w:t>
            </w:r>
            <w:r>
              <w:rPr>
                <w:spacing w:val="-5"/>
                <w:sz w:val="18"/>
              </w:rPr>
              <w:t xml:space="preserve"> </w:t>
            </w:r>
            <w:r>
              <w:rPr>
                <w:sz w:val="18"/>
              </w:rPr>
              <w:t>auditor</w:t>
            </w:r>
            <w:r>
              <w:rPr>
                <w:spacing w:val="-4"/>
                <w:sz w:val="18"/>
              </w:rPr>
              <w:t xml:space="preserve"> </w:t>
            </w:r>
            <w:r>
              <w:rPr>
                <w:sz w:val="18"/>
              </w:rPr>
              <w:t>determined</w:t>
            </w:r>
            <w:r>
              <w:rPr>
                <w:spacing w:val="-5"/>
                <w:sz w:val="18"/>
              </w:rPr>
              <w:t xml:space="preserve"> </w:t>
            </w:r>
            <w:r>
              <w:rPr>
                <w:sz w:val="18"/>
              </w:rPr>
              <w:t>that</w:t>
            </w:r>
            <w:r>
              <w:rPr>
                <w:spacing w:val="-2"/>
                <w:sz w:val="18"/>
              </w:rPr>
              <w:t xml:space="preserve"> </w:t>
            </w:r>
            <w:r>
              <w:rPr>
                <w:sz w:val="18"/>
              </w:rPr>
              <w:t>additional</w:t>
            </w:r>
            <w:r>
              <w:rPr>
                <w:spacing w:val="-4"/>
                <w:sz w:val="18"/>
              </w:rPr>
              <w:t xml:space="preserve"> </w:t>
            </w:r>
            <w:r>
              <w:rPr>
                <w:sz w:val="18"/>
              </w:rPr>
              <w:t>audit</w:t>
            </w:r>
            <w:r>
              <w:rPr>
                <w:spacing w:val="-3"/>
                <w:sz w:val="18"/>
              </w:rPr>
              <w:t xml:space="preserve"> </w:t>
            </w:r>
            <w:r>
              <w:rPr>
                <w:sz w:val="18"/>
              </w:rPr>
              <w:t>evidence</w:t>
            </w:r>
            <w:r>
              <w:rPr>
                <w:spacing w:val="-5"/>
                <w:sz w:val="18"/>
              </w:rPr>
              <w:t xml:space="preserve"> </w:t>
            </w:r>
            <w:r>
              <w:rPr>
                <w:sz w:val="18"/>
              </w:rPr>
              <w:t>is</w:t>
            </w:r>
            <w:r>
              <w:rPr>
                <w:spacing w:val="-4"/>
                <w:sz w:val="18"/>
              </w:rPr>
              <w:t xml:space="preserve"> </w:t>
            </w:r>
            <w:r>
              <w:rPr>
                <w:sz w:val="18"/>
              </w:rPr>
              <w:t>needed, did the auditor perform procedures to obtain such evidence?</w:t>
            </w:r>
          </w:p>
          <w:p w14:paraId="0DFDAF49" w14:textId="77777777" w:rsidR="00046465" w:rsidRDefault="008134EB">
            <w:pPr>
              <w:pStyle w:val="TableParagraph"/>
              <w:spacing w:before="119"/>
              <w:ind w:left="673" w:right="134"/>
              <w:rPr>
                <w:sz w:val="18"/>
              </w:rPr>
            </w:pPr>
            <w:r>
              <w:rPr>
                <w:sz w:val="18"/>
              </w:rPr>
              <w:t>Additional procedures may include (a) reviewing a bridge/gap letter provided by the service organization indicating whether</w:t>
            </w:r>
            <w:r>
              <w:rPr>
                <w:spacing w:val="40"/>
                <w:sz w:val="18"/>
              </w:rPr>
              <w:t xml:space="preserve"> </w:t>
            </w:r>
            <w:r>
              <w:rPr>
                <w:sz w:val="18"/>
              </w:rPr>
              <w:t>there have been material changes in the service organization’s controls</w:t>
            </w:r>
            <w:r>
              <w:rPr>
                <w:spacing w:val="-3"/>
                <w:sz w:val="18"/>
              </w:rPr>
              <w:t xml:space="preserve"> </w:t>
            </w:r>
            <w:r>
              <w:rPr>
                <w:sz w:val="18"/>
              </w:rPr>
              <w:t>subsequent</w:t>
            </w:r>
            <w:r>
              <w:rPr>
                <w:spacing w:val="-3"/>
                <w:sz w:val="18"/>
              </w:rPr>
              <w:t xml:space="preserve"> </w:t>
            </w:r>
            <w:r>
              <w:rPr>
                <w:sz w:val="18"/>
              </w:rPr>
              <w:t>to</w:t>
            </w:r>
            <w:r>
              <w:rPr>
                <w:spacing w:val="-4"/>
                <w:sz w:val="18"/>
              </w:rPr>
              <w:t xml:space="preserve"> </w:t>
            </w:r>
            <w:r>
              <w:rPr>
                <w:sz w:val="18"/>
              </w:rPr>
              <w:t>the</w:t>
            </w:r>
            <w:r>
              <w:rPr>
                <w:spacing w:val="-3"/>
                <w:sz w:val="18"/>
              </w:rPr>
              <w:t xml:space="preserve"> </w:t>
            </w:r>
            <w:r>
              <w:rPr>
                <w:sz w:val="18"/>
              </w:rPr>
              <w:t>period</w:t>
            </w:r>
            <w:r>
              <w:rPr>
                <w:spacing w:val="-4"/>
                <w:sz w:val="18"/>
              </w:rPr>
              <w:t xml:space="preserve"> </w:t>
            </w:r>
            <w:r>
              <w:rPr>
                <w:sz w:val="18"/>
              </w:rPr>
              <w:t>covered</w:t>
            </w:r>
            <w:r>
              <w:rPr>
                <w:spacing w:val="-4"/>
                <w:sz w:val="18"/>
              </w:rPr>
              <w:t xml:space="preserve"> </w:t>
            </w:r>
            <w:r>
              <w:rPr>
                <w:sz w:val="18"/>
              </w:rPr>
              <w:t>by</w:t>
            </w:r>
            <w:r>
              <w:rPr>
                <w:spacing w:val="-3"/>
                <w:sz w:val="18"/>
              </w:rPr>
              <w:t xml:space="preserve"> </w:t>
            </w:r>
            <w:r>
              <w:rPr>
                <w:sz w:val="18"/>
              </w:rPr>
              <w:t>the</w:t>
            </w:r>
            <w:r>
              <w:rPr>
                <w:spacing w:val="-4"/>
                <w:sz w:val="18"/>
              </w:rPr>
              <w:t xml:space="preserve"> </w:t>
            </w:r>
            <w:r>
              <w:rPr>
                <w:sz w:val="18"/>
              </w:rPr>
              <w:t>type</w:t>
            </w:r>
            <w:r>
              <w:rPr>
                <w:spacing w:val="-4"/>
                <w:sz w:val="18"/>
              </w:rPr>
              <w:t xml:space="preserve"> </w:t>
            </w:r>
            <w:r>
              <w:rPr>
                <w:sz w:val="18"/>
              </w:rPr>
              <w:t>2</w:t>
            </w:r>
            <w:r>
              <w:rPr>
                <w:spacing w:val="-4"/>
                <w:sz w:val="18"/>
              </w:rPr>
              <w:t xml:space="preserve"> </w:t>
            </w:r>
            <w:r>
              <w:rPr>
                <w:sz w:val="18"/>
              </w:rPr>
              <w:t>report,</w:t>
            </w:r>
            <w:r>
              <w:rPr>
                <w:spacing w:val="-3"/>
                <w:sz w:val="18"/>
              </w:rPr>
              <w:t xml:space="preserve"> </w:t>
            </w:r>
            <w:r>
              <w:rPr>
                <w:sz w:val="18"/>
              </w:rPr>
              <w:t>(b) reviewing a service organization report(s) for additional time periods, or (c) testing the operating effectiveness of relevant controls at the service organization.</w:t>
            </w:r>
          </w:p>
        </w:tc>
        <w:tc>
          <w:tcPr>
            <w:tcW w:w="720" w:type="dxa"/>
            <w:tcBorders>
              <w:top w:val="single" w:sz="4" w:space="0" w:color="000000"/>
              <w:left w:val="single" w:sz="4" w:space="0" w:color="000000"/>
              <w:bottom w:val="single" w:sz="4" w:space="0" w:color="000000"/>
              <w:right w:val="single" w:sz="4" w:space="0" w:color="000000"/>
            </w:tcBorders>
          </w:tcPr>
          <w:p w14:paraId="0DFDAF4A"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4B"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4C" w14:textId="77777777" w:rsidR="00046465" w:rsidRDefault="00046465">
            <w:pPr>
              <w:pStyle w:val="TableParagraph"/>
              <w:rPr>
                <w:rFonts w:ascii="Times New Roman"/>
                <w:sz w:val="18"/>
              </w:rPr>
            </w:pPr>
          </w:p>
        </w:tc>
      </w:tr>
      <w:tr w:rsidR="00046465" w14:paraId="0DFDAF52" w14:textId="77777777">
        <w:trPr>
          <w:trHeight w:val="326"/>
        </w:trPr>
        <w:tc>
          <w:tcPr>
            <w:tcW w:w="6091" w:type="dxa"/>
            <w:tcBorders>
              <w:top w:val="single" w:sz="4" w:space="0" w:color="000000"/>
              <w:right w:val="single" w:sz="4" w:space="0" w:color="000000"/>
            </w:tcBorders>
          </w:tcPr>
          <w:p w14:paraId="0DFDAF4E" w14:textId="77777777" w:rsidR="00046465" w:rsidRDefault="008134EB">
            <w:pPr>
              <w:pStyle w:val="TableParagraph"/>
              <w:spacing w:line="206" w:lineRule="exact"/>
              <w:ind w:left="105"/>
              <w:rPr>
                <w:b/>
                <w:sz w:val="18"/>
              </w:rPr>
            </w:pPr>
            <w:r>
              <w:rPr>
                <w:sz w:val="18"/>
              </w:rPr>
              <w:t>5)</w:t>
            </w:r>
            <w:r>
              <w:rPr>
                <w:spacing w:val="72"/>
                <w:sz w:val="18"/>
              </w:rPr>
              <w:t xml:space="preserve"> </w:t>
            </w:r>
            <w:r>
              <w:rPr>
                <w:b/>
                <w:sz w:val="18"/>
              </w:rPr>
              <w:t>[For</w:t>
            </w:r>
            <w:r>
              <w:rPr>
                <w:b/>
                <w:spacing w:val="-3"/>
                <w:sz w:val="18"/>
              </w:rPr>
              <w:t xml:space="preserve"> </w:t>
            </w:r>
            <w:r>
              <w:rPr>
                <w:b/>
                <w:sz w:val="18"/>
              </w:rPr>
              <w:t>audits</w:t>
            </w:r>
            <w:r>
              <w:rPr>
                <w:b/>
                <w:spacing w:val="-3"/>
                <w:sz w:val="18"/>
              </w:rPr>
              <w:t xml:space="preserve"> </w:t>
            </w:r>
            <w:r>
              <w:rPr>
                <w:b/>
                <w:sz w:val="18"/>
              </w:rPr>
              <w:t>of</w:t>
            </w:r>
            <w:r>
              <w:rPr>
                <w:b/>
                <w:spacing w:val="-3"/>
                <w:sz w:val="18"/>
              </w:rPr>
              <w:t xml:space="preserve"> </w:t>
            </w:r>
            <w:r>
              <w:rPr>
                <w:b/>
                <w:sz w:val="18"/>
              </w:rPr>
              <w:t>internal</w:t>
            </w:r>
            <w:r>
              <w:rPr>
                <w:b/>
                <w:spacing w:val="-1"/>
                <w:sz w:val="18"/>
              </w:rPr>
              <w:t xml:space="preserve"> </w:t>
            </w:r>
            <w:r>
              <w:rPr>
                <w:b/>
                <w:sz w:val="18"/>
              </w:rPr>
              <w:t>control</w:t>
            </w:r>
            <w:r>
              <w:rPr>
                <w:b/>
                <w:spacing w:val="-2"/>
                <w:sz w:val="18"/>
              </w:rPr>
              <w:t xml:space="preserve"> </w:t>
            </w:r>
            <w:r>
              <w:rPr>
                <w:b/>
                <w:sz w:val="18"/>
              </w:rPr>
              <w:t>over</w:t>
            </w:r>
            <w:r>
              <w:rPr>
                <w:b/>
                <w:spacing w:val="-2"/>
                <w:sz w:val="18"/>
              </w:rPr>
              <w:t xml:space="preserve"> </w:t>
            </w:r>
            <w:r>
              <w:rPr>
                <w:b/>
                <w:sz w:val="18"/>
              </w:rPr>
              <w:t>financial</w:t>
            </w:r>
            <w:r>
              <w:rPr>
                <w:b/>
                <w:spacing w:val="-1"/>
                <w:sz w:val="18"/>
              </w:rPr>
              <w:t xml:space="preserve"> </w:t>
            </w:r>
            <w:r>
              <w:rPr>
                <w:b/>
                <w:spacing w:val="-2"/>
                <w:sz w:val="18"/>
              </w:rPr>
              <w:t>reporting]</w:t>
            </w:r>
          </w:p>
        </w:tc>
        <w:tc>
          <w:tcPr>
            <w:tcW w:w="720" w:type="dxa"/>
            <w:tcBorders>
              <w:top w:val="single" w:sz="4" w:space="0" w:color="000000"/>
              <w:left w:val="single" w:sz="4" w:space="0" w:color="000000"/>
              <w:right w:val="single" w:sz="4" w:space="0" w:color="000000"/>
            </w:tcBorders>
          </w:tcPr>
          <w:p w14:paraId="0DFDAF4F" w14:textId="77777777" w:rsidR="00046465" w:rsidRDefault="00046465">
            <w:pPr>
              <w:pStyle w:val="TableParagraph"/>
              <w:rPr>
                <w:rFonts w:ascii="Times New Roman"/>
                <w:sz w:val="18"/>
              </w:rPr>
            </w:pPr>
          </w:p>
        </w:tc>
        <w:tc>
          <w:tcPr>
            <w:tcW w:w="1080" w:type="dxa"/>
            <w:tcBorders>
              <w:top w:val="single" w:sz="4" w:space="0" w:color="000000"/>
              <w:left w:val="single" w:sz="4" w:space="0" w:color="000000"/>
              <w:right w:val="single" w:sz="4" w:space="0" w:color="000000"/>
            </w:tcBorders>
          </w:tcPr>
          <w:p w14:paraId="0DFDAF50" w14:textId="77777777" w:rsidR="00046465" w:rsidRDefault="00046465">
            <w:pPr>
              <w:pStyle w:val="TableParagraph"/>
              <w:rPr>
                <w:rFonts w:ascii="Times New Roman"/>
                <w:sz w:val="18"/>
              </w:rPr>
            </w:pPr>
          </w:p>
        </w:tc>
        <w:tc>
          <w:tcPr>
            <w:tcW w:w="1379" w:type="dxa"/>
            <w:tcBorders>
              <w:top w:val="single" w:sz="4" w:space="0" w:color="000000"/>
              <w:left w:val="single" w:sz="4" w:space="0" w:color="000000"/>
            </w:tcBorders>
          </w:tcPr>
          <w:p w14:paraId="0DFDAF51" w14:textId="77777777" w:rsidR="00046465" w:rsidRDefault="00046465">
            <w:pPr>
              <w:pStyle w:val="TableParagraph"/>
              <w:rPr>
                <w:rFonts w:ascii="Times New Roman"/>
                <w:sz w:val="18"/>
              </w:rPr>
            </w:pPr>
          </w:p>
        </w:tc>
      </w:tr>
    </w:tbl>
    <w:p w14:paraId="0DFDAF53" w14:textId="77777777" w:rsidR="00046465" w:rsidRDefault="00046465">
      <w:pPr>
        <w:pStyle w:val="TableParagraph"/>
        <w:rPr>
          <w:rFonts w:ascii="Times New Roman"/>
          <w:sz w:val="18"/>
        </w:rPr>
        <w:sectPr w:rsidR="00046465">
          <w:headerReference w:type="default" r:id="rId59"/>
          <w:footerReference w:type="default" r:id="rId60"/>
          <w:pgSz w:w="12240" w:h="15840"/>
          <w:pgMar w:top="1340" w:right="720" w:bottom="940" w:left="1080" w:header="721" w:footer="757" w:gutter="0"/>
          <w:cols w:space="720"/>
        </w:sectPr>
      </w:pPr>
    </w:p>
    <w:p w14:paraId="0DFDAF54" w14:textId="77777777" w:rsidR="00046465" w:rsidRDefault="00046465">
      <w:pPr>
        <w:pStyle w:val="BodyText"/>
        <w:spacing w:before="4"/>
        <w:rPr>
          <w:sz w:val="11"/>
        </w:rPr>
      </w:pPr>
    </w:p>
    <w:tbl>
      <w:tblPr>
        <w:tblW w:w="0" w:type="auto"/>
        <w:tblInd w:w="40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091"/>
        <w:gridCol w:w="720"/>
        <w:gridCol w:w="1080"/>
        <w:gridCol w:w="1379"/>
      </w:tblGrid>
      <w:tr w:rsidR="00046465" w14:paraId="0DFDAF5B" w14:textId="77777777">
        <w:trPr>
          <w:trHeight w:val="740"/>
        </w:trPr>
        <w:tc>
          <w:tcPr>
            <w:tcW w:w="6091" w:type="dxa"/>
            <w:tcBorders>
              <w:right w:val="single" w:sz="4" w:space="0" w:color="000000"/>
            </w:tcBorders>
          </w:tcPr>
          <w:p w14:paraId="0DFDAF55" w14:textId="77777777" w:rsidR="00046465" w:rsidRDefault="00046465">
            <w:pPr>
              <w:pStyle w:val="TableParagraph"/>
              <w:rPr>
                <w:sz w:val="18"/>
              </w:rPr>
            </w:pPr>
          </w:p>
          <w:p w14:paraId="0DFDAF56" w14:textId="77777777" w:rsidR="00046465" w:rsidRDefault="00046465">
            <w:pPr>
              <w:pStyle w:val="TableParagraph"/>
              <w:spacing w:before="1"/>
              <w:rPr>
                <w:sz w:val="18"/>
              </w:rPr>
            </w:pPr>
          </w:p>
          <w:p w14:paraId="0DFDAF57" w14:textId="77777777" w:rsidR="00046465" w:rsidRDefault="008134EB">
            <w:pPr>
              <w:pStyle w:val="TableParagraph"/>
              <w:ind w:left="105"/>
              <w:rPr>
                <w:b/>
                <w:sz w:val="18"/>
              </w:rPr>
            </w:pPr>
            <w:r>
              <w:rPr>
                <w:b/>
                <w:spacing w:val="-2"/>
                <w:sz w:val="18"/>
              </w:rPr>
              <w:t>Questions</w:t>
            </w:r>
          </w:p>
        </w:tc>
        <w:tc>
          <w:tcPr>
            <w:tcW w:w="720" w:type="dxa"/>
            <w:tcBorders>
              <w:left w:val="single" w:sz="4" w:space="0" w:color="000000"/>
              <w:right w:val="single" w:sz="4" w:space="0" w:color="000000"/>
            </w:tcBorders>
          </w:tcPr>
          <w:p w14:paraId="0DFDAF58" w14:textId="77777777" w:rsidR="00046465" w:rsidRDefault="008134EB">
            <w:pPr>
              <w:pStyle w:val="TableParagraph"/>
              <w:ind w:left="205" w:right="164" w:hanging="31"/>
              <w:jc w:val="both"/>
              <w:rPr>
                <w:b/>
                <w:sz w:val="18"/>
              </w:rPr>
            </w:pPr>
            <w:r>
              <w:rPr>
                <w:b/>
                <w:spacing w:val="-4"/>
                <w:sz w:val="18"/>
              </w:rPr>
              <w:t xml:space="preserve">Yes, No, </w:t>
            </w:r>
            <w:r>
              <w:rPr>
                <w:b/>
                <w:spacing w:val="-5"/>
                <w:sz w:val="18"/>
              </w:rPr>
              <w:t>N/A</w:t>
            </w:r>
          </w:p>
        </w:tc>
        <w:tc>
          <w:tcPr>
            <w:tcW w:w="1080" w:type="dxa"/>
            <w:tcBorders>
              <w:left w:val="single" w:sz="4" w:space="0" w:color="000000"/>
              <w:right w:val="single" w:sz="4" w:space="0" w:color="000000"/>
            </w:tcBorders>
          </w:tcPr>
          <w:p w14:paraId="0DFDAF59" w14:textId="77777777" w:rsidR="00046465" w:rsidRDefault="008134EB">
            <w:pPr>
              <w:pStyle w:val="TableParagraph"/>
              <w:spacing w:before="206"/>
              <w:ind w:left="169" w:firstLine="85"/>
              <w:rPr>
                <w:b/>
                <w:sz w:val="18"/>
              </w:rPr>
            </w:pPr>
            <w:r>
              <w:rPr>
                <w:b/>
                <w:spacing w:val="-2"/>
                <w:sz w:val="18"/>
              </w:rPr>
              <w:t xml:space="preserve">Initials </w:t>
            </w:r>
            <w:r>
              <w:rPr>
                <w:b/>
                <w:sz w:val="18"/>
              </w:rPr>
              <w:t>and</w:t>
            </w:r>
            <w:r>
              <w:rPr>
                <w:b/>
                <w:spacing w:val="-1"/>
                <w:sz w:val="18"/>
              </w:rPr>
              <w:t xml:space="preserve"> </w:t>
            </w:r>
            <w:r>
              <w:rPr>
                <w:b/>
                <w:spacing w:val="-4"/>
                <w:sz w:val="18"/>
              </w:rPr>
              <w:t>date</w:t>
            </w:r>
          </w:p>
        </w:tc>
        <w:tc>
          <w:tcPr>
            <w:tcW w:w="1379" w:type="dxa"/>
            <w:tcBorders>
              <w:left w:val="single" w:sz="4" w:space="0" w:color="000000"/>
            </w:tcBorders>
          </w:tcPr>
          <w:p w14:paraId="0DFDAF5A" w14:textId="77777777" w:rsidR="00046465" w:rsidRDefault="008134EB">
            <w:pPr>
              <w:pStyle w:val="TableParagraph"/>
              <w:spacing w:before="206"/>
              <w:ind w:left="234" w:firstLine="14"/>
              <w:rPr>
                <w:b/>
                <w:sz w:val="18"/>
              </w:rPr>
            </w:pPr>
            <w:r>
              <w:rPr>
                <w:b/>
                <w:sz w:val="18"/>
              </w:rPr>
              <w:t>Audit</w:t>
            </w:r>
            <w:r>
              <w:rPr>
                <w:b/>
                <w:spacing w:val="-13"/>
                <w:sz w:val="18"/>
              </w:rPr>
              <w:t xml:space="preserve"> </w:t>
            </w:r>
            <w:r>
              <w:rPr>
                <w:b/>
                <w:sz w:val="18"/>
              </w:rPr>
              <w:t xml:space="preserve">doc. </w:t>
            </w:r>
            <w:r>
              <w:rPr>
                <w:b/>
                <w:spacing w:val="-2"/>
                <w:sz w:val="18"/>
              </w:rPr>
              <w:t>references</w:t>
            </w:r>
          </w:p>
        </w:tc>
      </w:tr>
      <w:tr w:rsidR="00046465" w14:paraId="0DFDAF61" w14:textId="77777777">
        <w:trPr>
          <w:trHeight w:val="2103"/>
        </w:trPr>
        <w:tc>
          <w:tcPr>
            <w:tcW w:w="6091" w:type="dxa"/>
            <w:tcBorders>
              <w:bottom w:val="single" w:sz="4" w:space="0" w:color="000000"/>
              <w:right w:val="single" w:sz="4" w:space="0" w:color="000000"/>
            </w:tcBorders>
          </w:tcPr>
          <w:p w14:paraId="0DFDAF5C" w14:textId="77777777" w:rsidR="00046465" w:rsidRDefault="008134EB">
            <w:pPr>
              <w:pStyle w:val="TableParagraph"/>
              <w:ind w:left="392" w:right="165"/>
              <w:rPr>
                <w:sz w:val="18"/>
              </w:rPr>
            </w:pPr>
            <w:r>
              <w:rPr>
                <w:sz w:val="18"/>
              </w:rPr>
              <w:t>If a significant period of time has elapsed between the time period covered by the report and the balance sheet date, did the auditor perform</w:t>
            </w:r>
            <w:r>
              <w:rPr>
                <w:spacing w:val="-6"/>
                <w:sz w:val="18"/>
              </w:rPr>
              <w:t xml:space="preserve"> </w:t>
            </w:r>
            <w:r>
              <w:rPr>
                <w:sz w:val="18"/>
              </w:rPr>
              <w:t>additional</w:t>
            </w:r>
            <w:r>
              <w:rPr>
                <w:spacing w:val="-6"/>
                <w:sz w:val="18"/>
              </w:rPr>
              <w:t xml:space="preserve"> </w:t>
            </w:r>
            <w:r>
              <w:rPr>
                <w:sz w:val="18"/>
              </w:rPr>
              <w:t>procedures</w:t>
            </w:r>
            <w:r>
              <w:rPr>
                <w:spacing w:val="-5"/>
                <w:sz w:val="18"/>
              </w:rPr>
              <w:t xml:space="preserve"> </w:t>
            </w:r>
            <w:r>
              <w:rPr>
                <w:sz w:val="18"/>
              </w:rPr>
              <w:t>to</w:t>
            </w:r>
            <w:r>
              <w:rPr>
                <w:spacing w:val="-7"/>
                <w:sz w:val="18"/>
              </w:rPr>
              <w:t xml:space="preserve"> </w:t>
            </w:r>
            <w:r>
              <w:rPr>
                <w:sz w:val="18"/>
              </w:rPr>
              <w:t>obtain</w:t>
            </w:r>
            <w:r>
              <w:rPr>
                <w:spacing w:val="-7"/>
                <w:sz w:val="18"/>
              </w:rPr>
              <w:t xml:space="preserve"> </w:t>
            </w:r>
            <w:r>
              <w:rPr>
                <w:sz w:val="18"/>
              </w:rPr>
              <w:t>sufficient</w:t>
            </w:r>
            <w:r>
              <w:rPr>
                <w:spacing w:val="-6"/>
                <w:sz w:val="18"/>
              </w:rPr>
              <w:t xml:space="preserve"> </w:t>
            </w:r>
            <w:r>
              <w:rPr>
                <w:sz w:val="18"/>
              </w:rPr>
              <w:t>appropriate</w:t>
            </w:r>
            <w:r>
              <w:rPr>
                <w:spacing w:val="-7"/>
                <w:sz w:val="18"/>
              </w:rPr>
              <w:t xml:space="preserve"> </w:t>
            </w:r>
            <w:r>
              <w:rPr>
                <w:sz w:val="18"/>
              </w:rPr>
              <w:t>audit evidence about</w:t>
            </w:r>
            <w:r>
              <w:rPr>
                <w:spacing w:val="-1"/>
                <w:sz w:val="18"/>
              </w:rPr>
              <w:t xml:space="preserve"> </w:t>
            </w:r>
            <w:r>
              <w:rPr>
                <w:sz w:val="18"/>
              </w:rPr>
              <w:t>the</w:t>
            </w:r>
            <w:r>
              <w:rPr>
                <w:spacing w:val="-2"/>
                <w:sz w:val="18"/>
              </w:rPr>
              <w:t xml:space="preserve"> </w:t>
            </w:r>
            <w:r>
              <w:rPr>
                <w:sz w:val="18"/>
              </w:rPr>
              <w:t>operating effectiveness of the</w:t>
            </w:r>
            <w:r>
              <w:rPr>
                <w:spacing w:val="-1"/>
                <w:sz w:val="18"/>
              </w:rPr>
              <w:t xml:space="preserve"> </w:t>
            </w:r>
            <w:r>
              <w:rPr>
                <w:sz w:val="18"/>
              </w:rPr>
              <w:t>control</w:t>
            </w:r>
            <w:r>
              <w:rPr>
                <w:spacing w:val="-1"/>
                <w:sz w:val="18"/>
              </w:rPr>
              <w:t xml:space="preserve"> </w:t>
            </w:r>
            <w:r>
              <w:rPr>
                <w:sz w:val="18"/>
              </w:rPr>
              <w:t>activities listed in section VII as of the balance sheet date?</w:t>
            </w:r>
          </w:p>
          <w:p w14:paraId="0DFDAF5D" w14:textId="77777777" w:rsidR="00046465" w:rsidRDefault="008134EB">
            <w:pPr>
              <w:pStyle w:val="TableParagraph"/>
              <w:spacing w:before="120"/>
              <w:ind w:left="392" w:right="200"/>
              <w:rPr>
                <w:sz w:val="18"/>
              </w:rPr>
            </w:pPr>
            <w:r>
              <w:rPr>
                <w:sz w:val="18"/>
              </w:rPr>
              <w:t>Additional</w:t>
            </w:r>
            <w:r>
              <w:rPr>
                <w:spacing w:val="-5"/>
                <w:sz w:val="18"/>
              </w:rPr>
              <w:t xml:space="preserve"> </w:t>
            </w:r>
            <w:r>
              <w:rPr>
                <w:sz w:val="18"/>
              </w:rPr>
              <w:t>procedures</w:t>
            </w:r>
            <w:r>
              <w:rPr>
                <w:spacing w:val="-5"/>
                <w:sz w:val="18"/>
              </w:rPr>
              <w:t xml:space="preserve"> </w:t>
            </w:r>
            <w:r>
              <w:rPr>
                <w:sz w:val="18"/>
              </w:rPr>
              <w:t>may</w:t>
            </w:r>
            <w:r>
              <w:rPr>
                <w:spacing w:val="-5"/>
                <w:sz w:val="18"/>
              </w:rPr>
              <w:t xml:space="preserve"> </w:t>
            </w:r>
            <w:r>
              <w:rPr>
                <w:sz w:val="18"/>
              </w:rPr>
              <w:t>include</w:t>
            </w:r>
            <w:r>
              <w:rPr>
                <w:spacing w:val="-6"/>
                <w:sz w:val="18"/>
              </w:rPr>
              <w:t xml:space="preserve"> </w:t>
            </w:r>
            <w:r>
              <w:rPr>
                <w:sz w:val="18"/>
              </w:rPr>
              <w:t>(a)</w:t>
            </w:r>
            <w:r>
              <w:rPr>
                <w:spacing w:val="-5"/>
                <w:sz w:val="18"/>
              </w:rPr>
              <w:t xml:space="preserve"> </w:t>
            </w:r>
            <w:r>
              <w:rPr>
                <w:sz w:val="18"/>
              </w:rPr>
              <w:t>reviewing</w:t>
            </w:r>
            <w:r>
              <w:rPr>
                <w:spacing w:val="-6"/>
                <w:sz w:val="18"/>
              </w:rPr>
              <w:t xml:space="preserve"> </w:t>
            </w:r>
            <w:r>
              <w:rPr>
                <w:sz w:val="18"/>
              </w:rPr>
              <w:t>a</w:t>
            </w:r>
            <w:r>
              <w:rPr>
                <w:spacing w:val="-6"/>
                <w:sz w:val="18"/>
              </w:rPr>
              <w:t xml:space="preserve"> </w:t>
            </w:r>
            <w:r>
              <w:rPr>
                <w:sz w:val="18"/>
              </w:rPr>
              <w:t>bridge/gap</w:t>
            </w:r>
            <w:r>
              <w:rPr>
                <w:spacing w:val="-4"/>
                <w:sz w:val="18"/>
              </w:rPr>
              <w:t xml:space="preserve"> </w:t>
            </w:r>
            <w:r>
              <w:rPr>
                <w:sz w:val="18"/>
              </w:rPr>
              <w:t>letter (or equivalent), (b) reviewing a service organization report(s) for additional</w:t>
            </w:r>
            <w:r>
              <w:rPr>
                <w:spacing w:val="-1"/>
                <w:sz w:val="18"/>
              </w:rPr>
              <w:t xml:space="preserve"> </w:t>
            </w:r>
            <w:r>
              <w:rPr>
                <w:sz w:val="18"/>
              </w:rPr>
              <w:t>time</w:t>
            </w:r>
            <w:r>
              <w:rPr>
                <w:spacing w:val="-1"/>
                <w:sz w:val="18"/>
              </w:rPr>
              <w:t xml:space="preserve"> </w:t>
            </w:r>
            <w:r>
              <w:rPr>
                <w:sz w:val="18"/>
              </w:rPr>
              <w:t>periods,</w:t>
            </w:r>
            <w:r>
              <w:rPr>
                <w:spacing w:val="-1"/>
                <w:sz w:val="18"/>
              </w:rPr>
              <w:t xml:space="preserve"> </w:t>
            </w:r>
            <w:r>
              <w:rPr>
                <w:sz w:val="18"/>
              </w:rPr>
              <w:t>or</w:t>
            </w:r>
            <w:r>
              <w:rPr>
                <w:spacing w:val="-2"/>
                <w:sz w:val="18"/>
              </w:rPr>
              <w:t xml:space="preserve"> </w:t>
            </w:r>
            <w:r>
              <w:rPr>
                <w:sz w:val="18"/>
              </w:rPr>
              <w:t>(c)</w:t>
            </w:r>
            <w:r>
              <w:rPr>
                <w:spacing w:val="-1"/>
                <w:sz w:val="18"/>
              </w:rPr>
              <w:t xml:space="preserve"> </w:t>
            </w:r>
            <w:r>
              <w:rPr>
                <w:sz w:val="18"/>
              </w:rPr>
              <w:t>testing</w:t>
            </w:r>
            <w:r>
              <w:rPr>
                <w:spacing w:val="-2"/>
                <w:sz w:val="18"/>
              </w:rPr>
              <w:t xml:space="preserve"> </w:t>
            </w:r>
            <w:r>
              <w:rPr>
                <w:sz w:val="18"/>
              </w:rPr>
              <w:t>the</w:t>
            </w:r>
            <w:r>
              <w:rPr>
                <w:spacing w:val="-1"/>
                <w:sz w:val="18"/>
              </w:rPr>
              <w:t xml:space="preserve"> </w:t>
            </w:r>
            <w:r>
              <w:rPr>
                <w:sz w:val="18"/>
              </w:rPr>
              <w:t>operating</w:t>
            </w:r>
            <w:r>
              <w:rPr>
                <w:spacing w:val="-2"/>
                <w:sz w:val="18"/>
              </w:rPr>
              <w:t xml:space="preserve"> </w:t>
            </w:r>
            <w:r>
              <w:rPr>
                <w:sz w:val="18"/>
              </w:rPr>
              <w:t>effectiveness</w:t>
            </w:r>
            <w:r>
              <w:rPr>
                <w:spacing w:val="-1"/>
                <w:sz w:val="18"/>
              </w:rPr>
              <w:t xml:space="preserve"> </w:t>
            </w:r>
            <w:r>
              <w:rPr>
                <w:sz w:val="18"/>
              </w:rPr>
              <w:t>of relevant controls at the service organization.</w:t>
            </w:r>
          </w:p>
        </w:tc>
        <w:tc>
          <w:tcPr>
            <w:tcW w:w="720" w:type="dxa"/>
            <w:tcBorders>
              <w:left w:val="single" w:sz="4" w:space="0" w:color="000000"/>
              <w:bottom w:val="single" w:sz="4" w:space="0" w:color="000000"/>
              <w:right w:val="single" w:sz="4" w:space="0" w:color="000000"/>
            </w:tcBorders>
          </w:tcPr>
          <w:p w14:paraId="0DFDAF5E" w14:textId="77777777" w:rsidR="00046465" w:rsidRDefault="00046465">
            <w:pPr>
              <w:pStyle w:val="TableParagraph"/>
              <w:rPr>
                <w:rFonts w:ascii="Times New Roman"/>
                <w:sz w:val="18"/>
              </w:rPr>
            </w:pPr>
          </w:p>
        </w:tc>
        <w:tc>
          <w:tcPr>
            <w:tcW w:w="1080" w:type="dxa"/>
            <w:tcBorders>
              <w:left w:val="single" w:sz="4" w:space="0" w:color="000000"/>
              <w:bottom w:val="single" w:sz="4" w:space="0" w:color="000000"/>
              <w:right w:val="single" w:sz="4" w:space="0" w:color="000000"/>
            </w:tcBorders>
          </w:tcPr>
          <w:p w14:paraId="0DFDAF5F" w14:textId="77777777" w:rsidR="00046465" w:rsidRDefault="00046465">
            <w:pPr>
              <w:pStyle w:val="TableParagraph"/>
              <w:rPr>
                <w:rFonts w:ascii="Times New Roman"/>
                <w:sz w:val="18"/>
              </w:rPr>
            </w:pPr>
          </w:p>
        </w:tc>
        <w:tc>
          <w:tcPr>
            <w:tcW w:w="1379" w:type="dxa"/>
            <w:tcBorders>
              <w:left w:val="single" w:sz="4" w:space="0" w:color="000000"/>
              <w:bottom w:val="single" w:sz="4" w:space="0" w:color="000000"/>
            </w:tcBorders>
          </w:tcPr>
          <w:p w14:paraId="0DFDAF60" w14:textId="77777777" w:rsidR="00046465" w:rsidRDefault="00046465">
            <w:pPr>
              <w:pStyle w:val="TableParagraph"/>
              <w:rPr>
                <w:rFonts w:ascii="Times New Roman"/>
                <w:sz w:val="18"/>
              </w:rPr>
            </w:pPr>
          </w:p>
        </w:tc>
      </w:tr>
      <w:tr w:rsidR="00046465" w14:paraId="0DFDAF67" w14:textId="77777777">
        <w:trPr>
          <w:trHeight w:val="947"/>
        </w:trPr>
        <w:tc>
          <w:tcPr>
            <w:tcW w:w="6091" w:type="dxa"/>
            <w:tcBorders>
              <w:top w:val="single" w:sz="4" w:space="0" w:color="000000"/>
              <w:bottom w:val="single" w:sz="4" w:space="0" w:color="000000"/>
              <w:right w:val="single" w:sz="4" w:space="0" w:color="000000"/>
            </w:tcBorders>
          </w:tcPr>
          <w:p w14:paraId="0DFDAF62" w14:textId="77777777" w:rsidR="00046465" w:rsidRDefault="008134EB">
            <w:pPr>
              <w:pStyle w:val="TableParagraph"/>
              <w:spacing w:line="206" w:lineRule="exact"/>
              <w:ind w:left="105"/>
              <w:rPr>
                <w:b/>
                <w:sz w:val="18"/>
              </w:rPr>
            </w:pPr>
            <w:r>
              <w:rPr>
                <w:sz w:val="18"/>
              </w:rPr>
              <w:t>6)</w:t>
            </w:r>
            <w:r>
              <w:rPr>
                <w:spacing w:val="72"/>
                <w:sz w:val="18"/>
              </w:rPr>
              <w:t xml:space="preserve"> </w:t>
            </w:r>
            <w:r>
              <w:rPr>
                <w:b/>
                <w:sz w:val="18"/>
              </w:rPr>
              <w:t>[For</w:t>
            </w:r>
            <w:r>
              <w:rPr>
                <w:b/>
                <w:spacing w:val="-3"/>
                <w:sz w:val="18"/>
              </w:rPr>
              <w:t xml:space="preserve"> </w:t>
            </w:r>
            <w:r>
              <w:rPr>
                <w:b/>
                <w:sz w:val="18"/>
              </w:rPr>
              <w:t>audits</w:t>
            </w:r>
            <w:r>
              <w:rPr>
                <w:b/>
                <w:spacing w:val="-3"/>
                <w:sz w:val="18"/>
              </w:rPr>
              <w:t xml:space="preserve"> </w:t>
            </w:r>
            <w:r>
              <w:rPr>
                <w:b/>
                <w:sz w:val="18"/>
              </w:rPr>
              <w:t>of</w:t>
            </w:r>
            <w:r>
              <w:rPr>
                <w:b/>
                <w:spacing w:val="-3"/>
                <w:sz w:val="18"/>
              </w:rPr>
              <w:t xml:space="preserve"> </w:t>
            </w:r>
            <w:r>
              <w:rPr>
                <w:b/>
                <w:sz w:val="18"/>
              </w:rPr>
              <w:t>internal</w:t>
            </w:r>
            <w:r>
              <w:rPr>
                <w:b/>
                <w:spacing w:val="-1"/>
                <w:sz w:val="18"/>
              </w:rPr>
              <w:t xml:space="preserve"> </w:t>
            </w:r>
            <w:r>
              <w:rPr>
                <w:b/>
                <w:sz w:val="18"/>
              </w:rPr>
              <w:t>control</w:t>
            </w:r>
            <w:r>
              <w:rPr>
                <w:b/>
                <w:spacing w:val="-2"/>
                <w:sz w:val="18"/>
              </w:rPr>
              <w:t xml:space="preserve"> </w:t>
            </w:r>
            <w:r>
              <w:rPr>
                <w:b/>
                <w:sz w:val="18"/>
              </w:rPr>
              <w:t>over</w:t>
            </w:r>
            <w:r>
              <w:rPr>
                <w:b/>
                <w:spacing w:val="-2"/>
                <w:sz w:val="18"/>
              </w:rPr>
              <w:t xml:space="preserve"> </w:t>
            </w:r>
            <w:r>
              <w:rPr>
                <w:b/>
                <w:sz w:val="18"/>
              </w:rPr>
              <w:t>financial</w:t>
            </w:r>
            <w:r>
              <w:rPr>
                <w:b/>
                <w:spacing w:val="-1"/>
                <w:sz w:val="18"/>
              </w:rPr>
              <w:t xml:space="preserve"> </w:t>
            </w:r>
            <w:r>
              <w:rPr>
                <w:b/>
                <w:spacing w:val="-2"/>
                <w:sz w:val="18"/>
              </w:rPr>
              <w:t>reporting]</w:t>
            </w:r>
          </w:p>
          <w:p w14:paraId="0DFDAF63" w14:textId="77777777" w:rsidR="00046465" w:rsidRDefault="008134EB">
            <w:pPr>
              <w:pStyle w:val="TableParagraph"/>
              <w:ind w:left="392"/>
              <w:rPr>
                <w:sz w:val="18"/>
              </w:rPr>
            </w:pPr>
            <w:r>
              <w:rPr>
                <w:sz w:val="18"/>
              </w:rPr>
              <w:t>Did the auditor inquire of management to determine whether management</w:t>
            </w:r>
            <w:r>
              <w:rPr>
                <w:spacing w:val="-4"/>
                <w:sz w:val="18"/>
              </w:rPr>
              <w:t xml:space="preserve"> </w:t>
            </w:r>
            <w:r>
              <w:rPr>
                <w:sz w:val="18"/>
              </w:rPr>
              <w:t>has</w:t>
            </w:r>
            <w:r>
              <w:rPr>
                <w:spacing w:val="-5"/>
                <w:sz w:val="18"/>
              </w:rPr>
              <w:t xml:space="preserve"> </w:t>
            </w:r>
            <w:r>
              <w:rPr>
                <w:sz w:val="18"/>
              </w:rPr>
              <w:t>identified</w:t>
            </w:r>
            <w:r>
              <w:rPr>
                <w:spacing w:val="-6"/>
                <w:sz w:val="18"/>
              </w:rPr>
              <w:t xml:space="preserve"> </w:t>
            </w:r>
            <w:r>
              <w:rPr>
                <w:sz w:val="18"/>
              </w:rPr>
              <w:t>any</w:t>
            </w:r>
            <w:r>
              <w:rPr>
                <w:spacing w:val="-5"/>
                <w:sz w:val="18"/>
              </w:rPr>
              <w:t xml:space="preserve"> </w:t>
            </w:r>
            <w:r>
              <w:rPr>
                <w:sz w:val="18"/>
              </w:rPr>
              <w:t>changes</w:t>
            </w:r>
            <w:r>
              <w:rPr>
                <w:spacing w:val="-5"/>
                <w:sz w:val="18"/>
              </w:rPr>
              <w:t xml:space="preserve"> </w:t>
            </w:r>
            <w:r>
              <w:rPr>
                <w:sz w:val="18"/>
              </w:rPr>
              <w:t>in</w:t>
            </w:r>
            <w:r>
              <w:rPr>
                <w:spacing w:val="-6"/>
                <w:sz w:val="18"/>
              </w:rPr>
              <w:t xml:space="preserve"> </w:t>
            </w:r>
            <w:r>
              <w:rPr>
                <w:sz w:val="18"/>
              </w:rPr>
              <w:t>the</w:t>
            </w:r>
            <w:r>
              <w:rPr>
                <w:spacing w:val="-5"/>
                <w:sz w:val="18"/>
              </w:rPr>
              <w:t xml:space="preserve"> </w:t>
            </w:r>
            <w:r>
              <w:rPr>
                <w:sz w:val="18"/>
              </w:rPr>
              <w:t>service</w:t>
            </w:r>
            <w:r>
              <w:rPr>
                <w:spacing w:val="-6"/>
                <w:sz w:val="18"/>
              </w:rPr>
              <w:t xml:space="preserve"> </w:t>
            </w:r>
            <w:r>
              <w:rPr>
                <w:sz w:val="18"/>
              </w:rPr>
              <w:t>organization’s controls subsequent to the period covered by the report?</w:t>
            </w:r>
          </w:p>
        </w:tc>
        <w:tc>
          <w:tcPr>
            <w:tcW w:w="720" w:type="dxa"/>
            <w:tcBorders>
              <w:top w:val="single" w:sz="4" w:space="0" w:color="000000"/>
              <w:left w:val="single" w:sz="4" w:space="0" w:color="000000"/>
              <w:bottom w:val="single" w:sz="4" w:space="0" w:color="000000"/>
              <w:right w:val="single" w:sz="4" w:space="0" w:color="000000"/>
            </w:tcBorders>
          </w:tcPr>
          <w:p w14:paraId="0DFDAF64"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65"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66" w14:textId="77777777" w:rsidR="00046465" w:rsidRDefault="00046465">
            <w:pPr>
              <w:pStyle w:val="TableParagraph"/>
              <w:rPr>
                <w:rFonts w:ascii="Times New Roman"/>
                <w:sz w:val="18"/>
              </w:rPr>
            </w:pPr>
          </w:p>
        </w:tc>
      </w:tr>
      <w:tr w:rsidR="00046465" w14:paraId="0DFDAF6C" w14:textId="77777777">
        <w:trPr>
          <w:trHeight w:val="741"/>
        </w:trPr>
        <w:tc>
          <w:tcPr>
            <w:tcW w:w="6091" w:type="dxa"/>
            <w:tcBorders>
              <w:top w:val="single" w:sz="4" w:space="0" w:color="000000"/>
              <w:bottom w:val="single" w:sz="4" w:space="0" w:color="000000"/>
              <w:right w:val="single" w:sz="4" w:space="0" w:color="000000"/>
            </w:tcBorders>
          </w:tcPr>
          <w:p w14:paraId="0DFDAF68" w14:textId="77777777" w:rsidR="00046465" w:rsidRDefault="008134EB">
            <w:pPr>
              <w:pStyle w:val="TableParagraph"/>
              <w:tabs>
                <w:tab w:val="left" w:pos="764"/>
              </w:tabs>
              <w:ind w:left="765" w:right="200" w:hanging="360"/>
              <w:rPr>
                <w:sz w:val="18"/>
              </w:rPr>
            </w:pPr>
            <w:r>
              <w:rPr>
                <w:spacing w:val="-6"/>
                <w:sz w:val="18"/>
              </w:rPr>
              <w:t>a)</w:t>
            </w:r>
            <w:r>
              <w:rPr>
                <w:sz w:val="18"/>
              </w:rPr>
              <w:tab/>
              <w:t>If</w:t>
            </w:r>
            <w:r>
              <w:rPr>
                <w:spacing w:val="-5"/>
                <w:sz w:val="18"/>
              </w:rPr>
              <w:t xml:space="preserve"> </w:t>
            </w:r>
            <w:r>
              <w:rPr>
                <w:sz w:val="18"/>
              </w:rPr>
              <w:t>management</w:t>
            </w:r>
            <w:r>
              <w:rPr>
                <w:spacing w:val="-4"/>
                <w:sz w:val="18"/>
              </w:rPr>
              <w:t xml:space="preserve"> </w:t>
            </w:r>
            <w:r>
              <w:rPr>
                <w:sz w:val="18"/>
              </w:rPr>
              <w:t>identified</w:t>
            </w:r>
            <w:r>
              <w:rPr>
                <w:spacing w:val="-6"/>
                <w:sz w:val="18"/>
              </w:rPr>
              <w:t xml:space="preserve"> </w:t>
            </w:r>
            <w:r>
              <w:rPr>
                <w:sz w:val="18"/>
              </w:rPr>
              <w:t>such</w:t>
            </w:r>
            <w:r>
              <w:rPr>
                <w:spacing w:val="-4"/>
                <w:sz w:val="18"/>
              </w:rPr>
              <w:t xml:space="preserve"> </w:t>
            </w:r>
            <w:r>
              <w:rPr>
                <w:sz w:val="18"/>
              </w:rPr>
              <w:t>changes,</w:t>
            </w:r>
            <w:r>
              <w:rPr>
                <w:spacing w:val="-5"/>
                <w:sz w:val="18"/>
              </w:rPr>
              <w:t xml:space="preserve"> </w:t>
            </w:r>
            <w:r>
              <w:rPr>
                <w:sz w:val="18"/>
              </w:rPr>
              <w:t>did</w:t>
            </w:r>
            <w:r>
              <w:rPr>
                <w:spacing w:val="-6"/>
                <w:sz w:val="18"/>
              </w:rPr>
              <w:t xml:space="preserve"> </w:t>
            </w:r>
            <w:r>
              <w:rPr>
                <w:sz w:val="18"/>
              </w:rPr>
              <w:t>the</w:t>
            </w:r>
            <w:r>
              <w:rPr>
                <w:spacing w:val="-6"/>
                <w:sz w:val="18"/>
              </w:rPr>
              <w:t xml:space="preserve"> </w:t>
            </w:r>
            <w:r>
              <w:rPr>
                <w:sz w:val="18"/>
              </w:rPr>
              <w:t>auditor</w:t>
            </w:r>
            <w:r>
              <w:rPr>
                <w:spacing w:val="-5"/>
                <w:sz w:val="18"/>
              </w:rPr>
              <w:t xml:space="preserve"> </w:t>
            </w:r>
            <w:r>
              <w:rPr>
                <w:sz w:val="18"/>
              </w:rPr>
              <w:t>evaluate their effect on the auditor’s assessment of the effectiveness of the control activities listed in section VII?</w:t>
            </w:r>
          </w:p>
        </w:tc>
        <w:tc>
          <w:tcPr>
            <w:tcW w:w="720" w:type="dxa"/>
            <w:tcBorders>
              <w:top w:val="single" w:sz="4" w:space="0" w:color="000000"/>
              <w:left w:val="single" w:sz="4" w:space="0" w:color="000000"/>
              <w:bottom w:val="single" w:sz="4" w:space="0" w:color="000000"/>
              <w:right w:val="single" w:sz="4" w:space="0" w:color="000000"/>
            </w:tcBorders>
          </w:tcPr>
          <w:p w14:paraId="0DFDAF69"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6A"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6B" w14:textId="77777777" w:rsidR="00046465" w:rsidRDefault="00046465">
            <w:pPr>
              <w:pStyle w:val="TableParagraph"/>
              <w:rPr>
                <w:rFonts w:ascii="Times New Roman"/>
                <w:sz w:val="18"/>
              </w:rPr>
            </w:pPr>
          </w:p>
        </w:tc>
      </w:tr>
      <w:tr w:rsidR="00046465" w14:paraId="0DFDAF72" w14:textId="77777777">
        <w:trPr>
          <w:trHeight w:val="1155"/>
        </w:trPr>
        <w:tc>
          <w:tcPr>
            <w:tcW w:w="6091" w:type="dxa"/>
            <w:tcBorders>
              <w:top w:val="single" w:sz="4" w:space="0" w:color="000000"/>
              <w:bottom w:val="single" w:sz="4" w:space="0" w:color="000000"/>
              <w:right w:val="single" w:sz="4" w:space="0" w:color="000000"/>
            </w:tcBorders>
          </w:tcPr>
          <w:p w14:paraId="0DFDAF6D" w14:textId="77777777" w:rsidR="00046465" w:rsidRDefault="008134EB">
            <w:pPr>
              <w:pStyle w:val="TableParagraph"/>
              <w:spacing w:line="206" w:lineRule="exact"/>
              <w:ind w:left="105"/>
              <w:rPr>
                <w:b/>
                <w:sz w:val="18"/>
              </w:rPr>
            </w:pPr>
            <w:r>
              <w:rPr>
                <w:sz w:val="18"/>
              </w:rPr>
              <w:t>7)</w:t>
            </w:r>
            <w:r>
              <w:rPr>
                <w:spacing w:val="58"/>
                <w:w w:val="150"/>
                <w:sz w:val="18"/>
              </w:rPr>
              <w:t xml:space="preserve"> </w:t>
            </w:r>
            <w:r>
              <w:rPr>
                <w:b/>
                <w:sz w:val="18"/>
              </w:rPr>
              <w:t>[For</w:t>
            </w:r>
            <w:r>
              <w:rPr>
                <w:b/>
                <w:spacing w:val="-2"/>
                <w:sz w:val="18"/>
              </w:rPr>
              <w:t xml:space="preserve"> </w:t>
            </w:r>
            <w:r>
              <w:rPr>
                <w:b/>
                <w:sz w:val="18"/>
              </w:rPr>
              <w:t>audits</w:t>
            </w:r>
            <w:r>
              <w:rPr>
                <w:b/>
                <w:spacing w:val="-3"/>
                <w:sz w:val="18"/>
              </w:rPr>
              <w:t xml:space="preserve"> </w:t>
            </w:r>
            <w:r>
              <w:rPr>
                <w:b/>
                <w:sz w:val="18"/>
              </w:rPr>
              <w:t>of</w:t>
            </w:r>
            <w:r>
              <w:rPr>
                <w:b/>
                <w:spacing w:val="-3"/>
                <w:sz w:val="18"/>
              </w:rPr>
              <w:t xml:space="preserve"> </w:t>
            </w:r>
            <w:r>
              <w:rPr>
                <w:b/>
                <w:sz w:val="18"/>
              </w:rPr>
              <w:t>internal</w:t>
            </w:r>
            <w:r>
              <w:rPr>
                <w:b/>
                <w:spacing w:val="-1"/>
                <w:sz w:val="18"/>
              </w:rPr>
              <w:t xml:space="preserve"> </w:t>
            </w:r>
            <w:r>
              <w:rPr>
                <w:b/>
                <w:sz w:val="18"/>
              </w:rPr>
              <w:t>control</w:t>
            </w:r>
            <w:r>
              <w:rPr>
                <w:b/>
                <w:spacing w:val="-2"/>
                <w:sz w:val="18"/>
              </w:rPr>
              <w:t xml:space="preserve"> </w:t>
            </w:r>
            <w:r>
              <w:rPr>
                <w:b/>
                <w:sz w:val="18"/>
              </w:rPr>
              <w:t>over</w:t>
            </w:r>
            <w:r>
              <w:rPr>
                <w:b/>
                <w:spacing w:val="-2"/>
                <w:sz w:val="18"/>
              </w:rPr>
              <w:t xml:space="preserve"> </w:t>
            </w:r>
            <w:r>
              <w:rPr>
                <w:b/>
                <w:sz w:val="18"/>
              </w:rPr>
              <w:t>financial</w:t>
            </w:r>
            <w:r>
              <w:rPr>
                <w:b/>
                <w:spacing w:val="-1"/>
                <w:sz w:val="18"/>
              </w:rPr>
              <w:t xml:space="preserve"> </w:t>
            </w:r>
            <w:r>
              <w:rPr>
                <w:b/>
                <w:spacing w:val="-2"/>
                <w:sz w:val="18"/>
              </w:rPr>
              <w:t>reporting]</w:t>
            </w:r>
          </w:p>
          <w:p w14:paraId="0DFDAF6E" w14:textId="77777777" w:rsidR="00046465" w:rsidRDefault="008134EB">
            <w:pPr>
              <w:pStyle w:val="TableParagraph"/>
              <w:ind w:left="405" w:right="62"/>
              <w:rPr>
                <w:sz w:val="18"/>
              </w:rPr>
            </w:pPr>
            <w:r>
              <w:rPr>
                <w:sz w:val="18"/>
              </w:rPr>
              <w:t>Did the auditor evaluate whether the results of other procedures performed</w:t>
            </w:r>
            <w:r>
              <w:rPr>
                <w:spacing w:val="-5"/>
                <w:sz w:val="18"/>
              </w:rPr>
              <w:t xml:space="preserve"> </w:t>
            </w:r>
            <w:r>
              <w:rPr>
                <w:sz w:val="18"/>
              </w:rPr>
              <w:t>by</w:t>
            </w:r>
            <w:r>
              <w:rPr>
                <w:spacing w:val="-4"/>
                <w:sz w:val="18"/>
              </w:rPr>
              <w:t xml:space="preserve"> </w:t>
            </w:r>
            <w:r>
              <w:rPr>
                <w:sz w:val="18"/>
              </w:rPr>
              <w:t>the</w:t>
            </w:r>
            <w:r>
              <w:rPr>
                <w:spacing w:val="-5"/>
                <w:sz w:val="18"/>
              </w:rPr>
              <w:t xml:space="preserve"> </w:t>
            </w:r>
            <w:r>
              <w:rPr>
                <w:sz w:val="18"/>
              </w:rPr>
              <w:t>auditor</w:t>
            </w:r>
            <w:r>
              <w:rPr>
                <w:spacing w:val="-4"/>
                <w:sz w:val="18"/>
              </w:rPr>
              <w:t xml:space="preserve"> </w:t>
            </w:r>
            <w:r>
              <w:rPr>
                <w:sz w:val="18"/>
              </w:rPr>
              <w:t>indicate</w:t>
            </w:r>
            <w:r>
              <w:rPr>
                <w:spacing w:val="-5"/>
                <w:sz w:val="18"/>
              </w:rPr>
              <w:t xml:space="preserve"> </w:t>
            </w:r>
            <w:r>
              <w:rPr>
                <w:sz w:val="18"/>
              </w:rPr>
              <w:t>that</w:t>
            </w:r>
            <w:r>
              <w:rPr>
                <w:spacing w:val="-4"/>
                <w:sz w:val="18"/>
              </w:rPr>
              <w:t xml:space="preserve"> </w:t>
            </w:r>
            <w:r>
              <w:rPr>
                <w:sz w:val="18"/>
              </w:rPr>
              <w:t>there</w:t>
            </w:r>
            <w:r>
              <w:rPr>
                <w:spacing w:val="-5"/>
                <w:sz w:val="18"/>
              </w:rPr>
              <w:t xml:space="preserve"> </w:t>
            </w:r>
            <w:r>
              <w:rPr>
                <w:sz w:val="18"/>
              </w:rPr>
              <w:t>have</w:t>
            </w:r>
            <w:r>
              <w:rPr>
                <w:spacing w:val="-5"/>
                <w:sz w:val="18"/>
              </w:rPr>
              <w:t xml:space="preserve"> </w:t>
            </w:r>
            <w:r>
              <w:rPr>
                <w:sz w:val="18"/>
              </w:rPr>
              <w:t>been</w:t>
            </w:r>
            <w:r>
              <w:rPr>
                <w:spacing w:val="-5"/>
                <w:sz w:val="18"/>
              </w:rPr>
              <w:t xml:space="preserve"> </w:t>
            </w:r>
            <w:r>
              <w:rPr>
                <w:sz w:val="18"/>
              </w:rPr>
              <w:t>changes</w:t>
            </w:r>
            <w:r>
              <w:rPr>
                <w:spacing w:val="-4"/>
                <w:sz w:val="18"/>
              </w:rPr>
              <w:t xml:space="preserve"> </w:t>
            </w:r>
            <w:r>
              <w:rPr>
                <w:sz w:val="18"/>
              </w:rPr>
              <w:t>in</w:t>
            </w:r>
            <w:r>
              <w:rPr>
                <w:spacing w:val="-5"/>
                <w:sz w:val="18"/>
              </w:rPr>
              <w:t xml:space="preserve"> </w:t>
            </w:r>
            <w:r>
              <w:rPr>
                <w:sz w:val="18"/>
              </w:rPr>
              <w:t>the service organization’s controls subsequent to the period covered by the report?</w:t>
            </w:r>
          </w:p>
        </w:tc>
        <w:tc>
          <w:tcPr>
            <w:tcW w:w="720" w:type="dxa"/>
            <w:tcBorders>
              <w:top w:val="single" w:sz="4" w:space="0" w:color="000000"/>
              <w:left w:val="single" w:sz="4" w:space="0" w:color="000000"/>
              <w:bottom w:val="single" w:sz="4" w:space="0" w:color="000000"/>
              <w:right w:val="single" w:sz="4" w:space="0" w:color="000000"/>
            </w:tcBorders>
          </w:tcPr>
          <w:p w14:paraId="0DFDAF6F"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70"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71" w14:textId="77777777" w:rsidR="00046465" w:rsidRDefault="00046465">
            <w:pPr>
              <w:pStyle w:val="TableParagraph"/>
              <w:rPr>
                <w:rFonts w:ascii="Times New Roman"/>
                <w:sz w:val="18"/>
              </w:rPr>
            </w:pPr>
          </w:p>
        </w:tc>
      </w:tr>
      <w:tr w:rsidR="00046465" w14:paraId="0DFDAF77" w14:textId="77777777">
        <w:trPr>
          <w:trHeight w:val="740"/>
        </w:trPr>
        <w:tc>
          <w:tcPr>
            <w:tcW w:w="6091" w:type="dxa"/>
            <w:tcBorders>
              <w:top w:val="single" w:sz="4" w:space="0" w:color="000000"/>
              <w:bottom w:val="single" w:sz="4" w:space="0" w:color="000000"/>
              <w:right w:val="single" w:sz="4" w:space="0" w:color="000000"/>
            </w:tcBorders>
          </w:tcPr>
          <w:p w14:paraId="0DFDAF73" w14:textId="77777777" w:rsidR="00046465" w:rsidRDefault="008134EB">
            <w:pPr>
              <w:pStyle w:val="TableParagraph"/>
              <w:ind w:left="765" w:right="372" w:hanging="360"/>
              <w:jc w:val="both"/>
              <w:rPr>
                <w:sz w:val="18"/>
              </w:rPr>
            </w:pPr>
            <w:r>
              <w:rPr>
                <w:sz w:val="18"/>
              </w:rPr>
              <w:t>a)</w:t>
            </w:r>
            <w:r>
              <w:rPr>
                <w:spacing w:val="80"/>
                <w:sz w:val="18"/>
              </w:rPr>
              <w:t xml:space="preserve"> </w:t>
            </w:r>
            <w:r>
              <w:rPr>
                <w:sz w:val="18"/>
              </w:rPr>
              <w:t>If</w:t>
            </w:r>
            <w:r>
              <w:rPr>
                <w:spacing w:val="-1"/>
                <w:sz w:val="18"/>
              </w:rPr>
              <w:t xml:space="preserve"> </w:t>
            </w:r>
            <w:r>
              <w:rPr>
                <w:sz w:val="18"/>
              </w:rPr>
              <w:t>the</w:t>
            </w:r>
            <w:r>
              <w:rPr>
                <w:spacing w:val="-2"/>
                <w:sz w:val="18"/>
              </w:rPr>
              <w:t xml:space="preserve"> </w:t>
            </w:r>
            <w:r>
              <w:rPr>
                <w:sz w:val="18"/>
              </w:rPr>
              <w:t>auditor</w:t>
            </w:r>
            <w:r>
              <w:rPr>
                <w:spacing w:val="-1"/>
                <w:sz w:val="18"/>
              </w:rPr>
              <w:t xml:space="preserve"> </w:t>
            </w:r>
            <w:r>
              <w:rPr>
                <w:sz w:val="18"/>
              </w:rPr>
              <w:t>identified</w:t>
            </w:r>
            <w:r>
              <w:rPr>
                <w:spacing w:val="-2"/>
                <w:sz w:val="18"/>
              </w:rPr>
              <w:t xml:space="preserve"> </w:t>
            </w:r>
            <w:r>
              <w:rPr>
                <w:sz w:val="18"/>
              </w:rPr>
              <w:t>such</w:t>
            </w:r>
            <w:r>
              <w:rPr>
                <w:spacing w:val="-2"/>
                <w:sz w:val="18"/>
              </w:rPr>
              <w:t xml:space="preserve"> </w:t>
            </w:r>
            <w:r>
              <w:rPr>
                <w:sz w:val="18"/>
              </w:rPr>
              <w:t>changes,</w:t>
            </w:r>
            <w:r>
              <w:rPr>
                <w:spacing w:val="-1"/>
                <w:sz w:val="18"/>
              </w:rPr>
              <w:t xml:space="preserve"> </w:t>
            </w:r>
            <w:r>
              <w:rPr>
                <w:sz w:val="18"/>
              </w:rPr>
              <w:t>did</w:t>
            </w:r>
            <w:r>
              <w:rPr>
                <w:spacing w:val="-2"/>
                <w:sz w:val="18"/>
              </w:rPr>
              <w:t xml:space="preserve"> </w:t>
            </w:r>
            <w:r>
              <w:rPr>
                <w:sz w:val="18"/>
              </w:rPr>
              <w:t>the</w:t>
            </w:r>
            <w:r>
              <w:rPr>
                <w:spacing w:val="-2"/>
                <w:sz w:val="18"/>
              </w:rPr>
              <w:t xml:space="preserve"> </w:t>
            </w:r>
            <w:r>
              <w:rPr>
                <w:sz w:val="18"/>
              </w:rPr>
              <w:t>auditor</w:t>
            </w:r>
            <w:r>
              <w:rPr>
                <w:spacing w:val="-1"/>
                <w:sz w:val="18"/>
              </w:rPr>
              <w:t xml:space="preserve"> </w:t>
            </w:r>
            <w:r>
              <w:rPr>
                <w:sz w:val="18"/>
              </w:rPr>
              <w:t>evaluate their</w:t>
            </w:r>
            <w:r>
              <w:rPr>
                <w:spacing w:val="-5"/>
                <w:sz w:val="18"/>
              </w:rPr>
              <w:t xml:space="preserve"> </w:t>
            </w:r>
            <w:r>
              <w:rPr>
                <w:sz w:val="18"/>
              </w:rPr>
              <w:t>effect</w:t>
            </w:r>
            <w:r>
              <w:rPr>
                <w:spacing w:val="-5"/>
                <w:sz w:val="18"/>
              </w:rPr>
              <w:t xml:space="preserve"> </w:t>
            </w:r>
            <w:r>
              <w:rPr>
                <w:sz w:val="18"/>
              </w:rPr>
              <w:t>on</w:t>
            </w:r>
            <w:r>
              <w:rPr>
                <w:spacing w:val="-6"/>
                <w:sz w:val="18"/>
              </w:rPr>
              <w:t xml:space="preserve"> </w:t>
            </w:r>
            <w:r>
              <w:rPr>
                <w:sz w:val="18"/>
              </w:rPr>
              <w:t>the</w:t>
            </w:r>
            <w:r>
              <w:rPr>
                <w:spacing w:val="-6"/>
                <w:sz w:val="18"/>
              </w:rPr>
              <w:t xml:space="preserve"> </w:t>
            </w:r>
            <w:r>
              <w:rPr>
                <w:sz w:val="18"/>
              </w:rPr>
              <w:t>auditor’s</w:t>
            </w:r>
            <w:r>
              <w:rPr>
                <w:spacing w:val="-4"/>
                <w:sz w:val="18"/>
              </w:rPr>
              <w:t xml:space="preserve"> </w:t>
            </w:r>
            <w:r>
              <w:rPr>
                <w:sz w:val="18"/>
              </w:rPr>
              <w:t>assessment</w:t>
            </w:r>
            <w:r>
              <w:rPr>
                <w:spacing w:val="-5"/>
                <w:sz w:val="18"/>
              </w:rPr>
              <w:t xml:space="preserve"> </w:t>
            </w:r>
            <w:r>
              <w:rPr>
                <w:sz w:val="18"/>
              </w:rPr>
              <w:t>of</w:t>
            </w:r>
            <w:r>
              <w:rPr>
                <w:spacing w:val="-5"/>
                <w:sz w:val="18"/>
              </w:rPr>
              <w:t xml:space="preserve"> </w:t>
            </w:r>
            <w:r>
              <w:rPr>
                <w:sz w:val="18"/>
              </w:rPr>
              <w:t>the</w:t>
            </w:r>
            <w:r>
              <w:rPr>
                <w:spacing w:val="-6"/>
                <w:sz w:val="18"/>
              </w:rPr>
              <w:t xml:space="preserve"> </w:t>
            </w:r>
            <w:r>
              <w:rPr>
                <w:sz w:val="18"/>
              </w:rPr>
              <w:t>effectiveness</w:t>
            </w:r>
            <w:r>
              <w:rPr>
                <w:spacing w:val="-4"/>
                <w:sz w:val="18"/>
              </w:rPr>
              <w:t xml:space="preserve"> </w:t>
            </w:r>
            <w:r>
              <w:rPr>
                <w:sz w:val="18"/>
              </w:rPr>
              <w:t>of the control activities listed in section VII?</w:t>
            </w:r>
          </w:p>
        </w:tc>
        <w:tc>
          <w:tcPr>
            <w:tcW w:w="720" w:type="dxa"/>
            <w:tcBorders>
              <w:top w:val="single" w:sz="4" w:space="0" w:color="000000"/>
              <w:left w:val="single" w:sz="4" w:space="0" w:color="000000"/>
              <w:bottom w:val="single" w:sz="4" w:space="0" w:color="000000"/>
              <w:right w:val="single" w:sz="4" w:space="0" w:color="000000"/>
            </w:tcBorders>
          </w:tcPr>
          <w:p w14:paraId="0DFDAF74"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75"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76" w14:textId="77777777" w:rsidR="00046465" w:rsidRDefault="00046465">
            <w:pPr>
              <w:pStyle w:val="TableParagraph"/>
              <w:rPr>
                <w:rFonts w:ascii="Times New Roman"/>
                <w:sz w:val="18"/>
              </w:rPr>
            </w:pPr>
          </w:p>
        </w:tc>
      </w:tr>
      <w:tr w:rsidR="00046465" w14:paraId="0DFDAF79" w14:textId="77777777">
        <w:trPr>
          <w:trHeight w:val="327"/>
        </w:trPr>
        <w:tc>
          <w:tcPr>
            <w:tcW w:w="9270" w:type="dxa"/>
            <w:gridSpan w:val="4"/>
            <w:tcBorders>
              <w:top w:val="single" w:sz="4" w:space="0" w:color="000000"/>
              <w:bottom w:val="single" w:sz="4" w:space="0" w:color="000000"/>
            </w:tcBorders>
            <w:shd w:val="clear" w:color="auto" w:fill="D9D9D9"/>
          </w:tcPr>
          <w:p w14:paraId="0DFDAF78" w14:textId="77777777" w:rsidR="00046465" w:rsidRDefault="008134EB">
            <w:pPr>
              <w:pStyle w:val="TableParagraph"/>
              <w:spacing w:before="1"/>
              <w:ind w:left="105"/>
              <w:rPr>
                <w:b/>
                <w:sz w:val="18"/>
              </w:rPr>
            </w:pPr>
            <w:r>
              <w:rPr>
                <w:b/>
                <w:sz w:val="18"/>
              </w:rPr>
              <w:t>Evaluate</w:t>
            </w:r>
            <w:r>
              <w:rPr>
                <w:b/>
                <w:spacing w:val="-5"/>
                <w:sz w:val="18"/>
              </w:rPr>
              <w:t xml:space="preserve"> </w:t>
            </w:r>
            <w:r>
              <w:rPr>
                <w:b/>
                <w:sz w:val="18"/>
              </w:rPr>
              <w:t>the</w:t>
            </w:r>
            <w:r>
              <w:rPr>
                <w:b/>
                <w:spacing w:val="-3"/>
                <w:sz w:val="18"/>
              </w:rPr>
              <w:t xml:space="preserve"> </w:t>
            </w:r>
            <w:r>
              <w:rPr>
                <w:b/>
                <w:sz w:val="18"/>
              </w:rPr>
              <w:t>sufficiency</w:t>
            </w:r>
            <w:r>
              <w:rPr>
                <w:b/>
                <w:spacing w:val="-3"/>
                <w:sz w:val="18"/>
              </w:rPr>
              <w:t xml:space="preserve"> </w:t>
            </w:r>
            <w:r>
              <w:rPr>
                <w:b/>
                <w:sz w:val="18"/>
              </w:rPr>
              <w:t>and</w:t>
            </w:r>
            <w:r>
              <w:rPr>
                <w:b/>
                <w:spacing w:val="-2"/>
                <w:sz w:val="18"/>
              </w:rPr>
              <w:t xml:space="preserve"> </w:t>
            </w:r>
            <w:r>
              <w:rPr>
                <w:b/>
                <w:sz w:val="18"/>
              </w:rPr>
              <w:t>appropriateness</w:t>
            </w:r>
            <w:r>
              <w:rPr>
                <w:b/>
                <w:spacing w:val="-3"/>
                <w:sz w:val="18"/>
              </w:rPr>
              <w:t xml:space="preserve"> </w:t>
            </w:r>
            <w:r>
              <w:rPr>
                <w:b/>
                <w:sz w:val="18"/>
              </w:rPr>
              <w:t>of</w:t>
            </w:r>
            <w:r>
              <w:rPr>
                <w:b/>
                <w:spacing w:val="-2"/>
                <w:sz w:val="18"/>
              </w:rPr>
              <w:t xml:space="preserve"> </w:t>
            </w:r>
            <w:r>
              <w:rPr>
                <w:b/>
                <w:sz w:val="18"/>
              </w:rPr>
              <w:t>the</w:t>
            </w:r>
            <w:r>
              <w:rPr>
                <w:b/>
                <w:spacing w:val="-2"/>
                <w:sz w:val="18"/>
              </w:rPr>
              <w:t xml:space="preserve"> </w:t>
            </w:r>
            <w:r>
              <w:rPr>
                <w:b/>
                <w:sz w:val="18"/>
              </w:rPr>
              <w:t>audit</w:t>
            </w:r>
            <w:r>
              <w:rPr>
                <w:b/>
                <w:spacing w:val="-2"/>
                <w:sz w:val="18"/>
              </w:rPr>
              <w:t xml:space="preserve"> </w:t>
            </w:r>
            <w:r>
              <w:rPr>
                <w:b/>
                <w:sz w:val="18"/>
              </w:rPr>
              <w:t>evidence</w:t>
            </w:r>
            <w:r>
              <w:rPr>
                <w:b/>
                <w:spacing w:val="-3"/>
                <w:sz w:val="18"/>
              </w:rPr>
              <w:t xml:space="preserve"> </w:t>
            </w:r>
            <w:r>
              <w:rPr>
                <w:b/>
                <w:sz w:val="18"/>
              </w:rPr>
              <w:t>provided</w:t>
            </w:r>
            <w:r>
              <w:rPr>
                <w:b/>
                <w:spacing w:val="-2"/>
                <w:sz w:val="18"/>
              </w:rPr>
              <w:t xml:space="preserve"> </w:t>
            </w:r>
            <w:r>
              <w:rPr>
                <w:b/>
                <w:sz w:val="18"/>
              </w:rPr>
              <w:t>by</w:t>
            </w:r>
            <w:r>
              <w:rPr>
                <w:b/>
                <w:spacing w:val="-3"/>
                <w:sz w:val="18"/>
              </w:rPr>
              <w:t xml:space="preserve"> </w:t>
            </w:r>
            <w:r>
              <w:rPr>
                <w:b/>
                <w:sz w:val="18"/>
              </w:rPr>
              <w:t>the</w:t>
            </w:r>
            <w:r>
              <w:rPr>
                <w:b/>
                <w:spacing w:val="-4"/>
                <w:sz w:val="18"/>
              </w:rPr>
              <w:t xml:space="preserve"> </w:t>
            </w:r>
            <w:r>
              <w:rPr>
                <w:b/>
                <w:sz w:val="18"/>
              </w:rPr>
              <w:t>type</w:t>
            </w:r>
            <w:r>
              <w:rPr>
                <w:b/>
                <w:spacing w:val="-3"/>
                <w:sz w:val="18"/>
              </w:rPr>
              <w:t xml:space="preserve"> </w:t>
            </w:r>
            <w:r>
              <w:rPr>
                <w:b/>
                <w:sz w:val="18"/>
              </w:rPr>
              <w:t>2</w:t>
            </w:r>
            <w:r>
              <w:rPr>
                <w:b/>
                <w:spacing w:val="-2"/>
                <w:sz w:val="18"/>
              </w:rPr>
              <w:t xml:space="preserve"> report</w:t>
            </w:r>
          </w:p>
        </w:tc>
      </w:tr>
      <w:tr w:rsidR="00046465" w14:paraId="0DFDAF7E" w14:textId="77777777">
        <w:trPr>
          <w:trHeight w:val="534"/>
        </w:trPr>
        <w:tc>
          <w:tcPr>
            <w:tcW w:w="6091" w:type="dxa"/>
            <w:tcBorders>
              <w:top w:val="single" w:sz="4" w:space="0" w:color="000000"/>
              <w:bottom w:val="single" w:sz="4" w:space="0" w:color="000000"/>
              <w:right w:val="single" w:sz="4" w:space="0" w:color="000000"/>
            </w:tcBorders>
          </w:tcPr>
          <w:p w14:paraId="0DFDAF7A" w14:textId="77777777" w:rsidR="00046465" w:rsidRDefault="008134EB">
            <w:pPr>
              <w:pStyle w:val="TableParagraph"/>
              <w:ind w:left="392" w:hanging="288"/>
              <w:rPr>
                <w:sz w:val="18"/>
              </w:rPr>
            </w:pPr>
            <w:r>
              <w:rPr>
                <w:sz w:val="18"/>
              </w:rPr>
              <w:t>8)</w:t>
            </w:r>
            <w:r>
              <w:rPr>
                <w:spacing w:val="71"/>
                <w:sz w:val="18"/>
              </w:rPr>
              <w:t xml:space="preserve"> </w:t>
            </w:r>
            <w:r>
              <w:rPr>
                <w:sz w:val="18"/>
              </w:rPr>
              <w:t>Are</w:t>
            </w:r>
            <w:r>
              <w:rPr>
                <w:spacing w:val="-4"/>
                <w:sz w:val="18"/>
              </w:rPr>
              <w:t xml:space="preserve"> </w:t>
            </w:r>
            <w:r>
              <w:rPr>
                <w:sz w:val="18"/>
              </w:rPr>
              <w:t>the</w:t>
            </w:r>
            <w:r>
              <w:rPr>
                <w:spacing w:val="-4"/>
                <w:sz w:val="18"/>
              </w:rPr>
              <w:t xml:space="preserve"> </w:t>
            </w:r>
            <w:r>
              <w:rPr>
                <w:sz w:val="18"/>
              </w:rPr>
              <w:t>control</w:t>
            </w:r>
            <w:r>
              <w:rPr>
                <w:spacing w:val="-2"/>
                <w:sz w:val="18"/>
              </w:rPr>
              <w:t xml:space="preserve"> </w:t>
            </w:r>
            <w:r>
              <w:rPr>
                <w:sz w:val="18"/>
              </w:rPr>
              <w:t>activities</w:t>
            </w:r>
            <w:r>
              <w:rPr>
                <w:spacing w:val="-3"/>
                <w:sz w:val="18"/>
              </w:rPr>
              <w:t xml:space="preserve"> </w:t>
            </w:r>
            <w:r>
              <w:rPr>
                <w:sz w:val="18"/>
              </w:rPr>
              <w:t>listed</w:t>
            </w:r>
            <w:r>
              <w:rPr>
                <w:spacing w:val="-2"/>
                <w:sz w:val="18"/>
              </w:rPr>
              <w:t xml:space="preserve"> </w:t>
            </w:r>
            <w:r>
              <w:rPr>
                <w:sz w:val="18"/>
              </w:rPr>
              <w:t>in</w:t>
            </w:r>
            <w:r>
              <w:rPr>
                <w:spacing w:val="-4"/>
                <w:sz w:val="18"/>
              </w:rPr>
              <w:t xml:space="preserve"> </w:t>
            </w:r>
            <w:r>
              <w:rPr>
                <w:sz w:val="18"/>
              </w:rPr>
              <w:t>section</w:t>
            </w:r>
            <w:r>
              <w:rPr>
                <w:spacing w:val="-4"/>
                <w:sz w:val="18"/>
              </w:rPr>
              <w:t xml:space="preserve"> </w:t>
            </w:r>
            <w:r>
              <w:rPr>
                <w:sz w:val="18"/>
              </w:rPr>
              <w:t>VII</w:t>
            </w:r>
            <w:r>
              <w:rPr>
                <w:spacing w:val="-3"/>
                <w:sz w:val="18"/>
              </w:rPr>
              <w:t xml:space="preserve"> </w:t>
            </w:r>
            <w:r>
              <w:rPr>
                <w:sz w:val="18"/>
              </w:rPr>
              <w:t>of</w:t>
            </w:r>
            <w:r>
              <w:rPr>
                <w:spacing w:val="-3"/>
                <w:sz w:val="18"/>
              </w:rPr>
              <w:t xml:space="preserve"> </w:t>
            </w:r>
            <w:r>
              <w:rPr>
                <w:sz w:val="18"/>
              </w:rPr>
              <w:t>this</w:t>
            </w:r>
            <w:r>
              <w:rPr>
                <w:spacing w:val="-3"/>
                <w:sz w:val="18"/>
              </w:rPr>
              <w:t xml:space="preserve"> </w:t>
            </w:r>
            <w:r>
              <w:rPr>
                <w:sz w:val="18"/>
              </w:rPr>
              <w:t>assessment</w:t>
            </w:r>
            <w:r>
              <w:rPr>
                <w:spacing w:val="-3"/>
                <w:sz w:val="18"/>
              </w:rPr>
              <w:t xml:space="preserve"> </w:t>
            </w:r>
            <w:r>
              <w:rPr>
                <w:sz w:val="18"/>
              </w:rPr>
              <w:t>tool included in the report?</w:t>
            </w:r>
          </w:p>
        </w:tc>
        <w:tc>
          <w:tcPr>
            <w:tcW w:w="720" w:type="dxa"/>
            <w:tcBorders>
              <w:top w:val="single" w:sz="4" w:space="0" w:color="000000"/>
              <w:left w:val="single" w:sz="4" w:space="0" w:color="000000"/>
              <w:bottom w:val="single" w:sz="4" w:space="0" w:color="000000"/>
              <w:right w:val="single" w:sz="4" w:space="0" w:color="000000"/>
            </w:tcBorders>
          </w:tcPr>
          <w:p w14:paraId="0DFDAF7B"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7C"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7D" w14:textId="77777777" w:rsidR="00046465" w:rsidRDefault="00046465">
            <w:pPr>
              <w:pStyle w:val="TableParagraph"/>
              <w:rPr>
                <w:rFonts w:ascii="Times New Roman"/>
                <w:sz w:val="18"/>
              </w:rPr>
            </w:pPr>
          </w:p>
        </w:tc>
      </w:tr>
      <w:tr w:rsidR="00046465" w14:paraId="0DFDAF83" w14:textId="77777777">
        <w:trPr>
          <w:trHeight w:val="739"/>
        </w:trPr>
        <w:tc>
          <w:tcPr>
            <w:tcW w:w="6091" w:type="dxa"/>
            <w:tcBorders>
              <w:top w:val="single" w:sz="4" w:space="0" w:color="000000"/>
              <w:bottom w:val="single" w:sz="4" w:space="0" w:color="000000"/>
              <w:right w:val="single" w:sz="4" w:space="0" w:color="000000"/>
            </w:tcBorders>
          </w:tcPr>
          <w:p w14:paraId="0DFDAF7F" w14:textId="77777777" w:rsidR="00046465" w:rsidRDefault="008134EB">
            <w:pPr>
              <w:pStyle w:val="TableParagraph"/>
              <w:ind w:left="392" w:hanging="288"/>
              <w:rPr>
                <w:sz w:val="18"/>
              </w:rPr>
            </w:pPr>
            <w:r>
              <w:rPr>
                <w:sz w:val="18"/>
              </w:rPr>
              <w:t>9)</w:t>
            </w:r>
            <w:r>
              <w:rPr>
                <w:spacing w:val="71"/>
                <w:sz w:val="18"/>
              </w:rPr>
              <w:t xml:space="preserve"> </w:t>
            </w:r>
            <w:r>
              <w:rPr>
                <w:sz w:val="18"/>
              </w:rPr>
              <w:t>Did</w:t>
            </w:r>
            <w:r>
              <w:rPr>
                <w:spacing w:val="-4"/>
                <w:sz w:val="18"/>
              </w:rPr>
              <w:t xml:space="preserve"> </w:t>
            </w:r>
            <w:r>
              <w:rPr>
                <w:sz w:val="18"/>
              </w:rPr>
              <w:t>the</w:t>
            </w:r>
            <w:r>
              <w:rPr>
                <w:spacing w:val="-3"/>
                <w:sz w:val="18"/>
              </w:rPr>
              <w:t xml:space="preserve"> </w:t>
            </w:r>
            <w:r>
              <w:rPr>
                <w:sz w:val="18"/>
              </w:rPr>
              <w:t>auditor</w:t>
            </w:r>
            <w:r>
              <w:rPr>
                <w:spacing w:val="-3"/>
                <w:sz w:val="18"/>
              </w:rPr>
              <w:t xml:space="preserve"> </w:t>
            </w:r>
            <w:r>
              <w:rPr>
                <w:sz w:val="18"/>
              </w:rPr>
              <w:t>determine</w:t>
            </w:r>
            <w:r>
              <w:rPr>
                <w:spacing w:val="-4"/>
                <w:sz w:val="18"/>
              </w:rPr>
              <w:t xml:space="preserve"> </w:t>
            </w:r>
            <w:r>
              <w:rPr>
                <w:sz w:val="18"/>
              </w:rPr>
              <w:t>that</w:t>
            </w:r>
            <w:r>
              <w:rPr>
                <w:spacing w:val="-1"/>
                <w:sz w:val="18"/>
              </w:rPr>
              <w:t xml:space="preserve"> </w:t>
            </w:r>
            <w:r>
              <w:rPr>
                <w:sz w:val="18"/>
              </w:rPr>
              <w:t>there</w:t>
            </w:r>
            <w:r>
              <w:rPr>
                <w:spacing w:val="-4"/>
                <w:sz w:val="18"/>
              </w:rPr>
              <w:t xml:space="preserve"> </w:t>
            </w:r>
            <w:r>
              <w:rPr>
                <w:sz w:val="18"/>
              </w:rPr>
              <w:t>are</w:t>
            </w:r>
            <w:r>
              <w:rPr>
                <w:spacing w:val="-4"/>
                <w:sz w:val="18"/>
              </w:rPr>
              <w:t xml:space="preserve"> </w:t>
            </w:r>
            <w:r>
              <w:rPr>
                <w:sz w:val="18"/>
              </w:rPr>
              <w:t>no</w:t>
            </w:r>
            <w:r>
              <w:rPr>
                <w:spacing w:val="-4"/>
                <w:sz w:val="18"/>
              </w:rPr>
              <w:t xml:space="preserve"> </w:t>
            </w:r>
            <w:r>
              <w:rPr>
                <w:sz w:val="18"/>
              </w:rPr>
              <w:t>exceptions</w:t>
            </w:r>
            <w:r>
              <w:rPr>
                <w:spacing w:val="-3"/>
                <w:sz w:val="18"/>
              </w:rPr>
              <w:t xml:space="preserve"> </w:t>
            </w:r>
            <w:r>
              <w:rPr>
                <w:sz w:val="18"/>
              </w:rPr>
              <w:t>identified</w:t>
            </w:r>
            <w:r>
              <w:rPr>
                <w:spacing w:val="-4"/>
                <w:sz w:val="18"/>
              </w:rPr>
              <w:t xml:space="preserve"> </w:t>
            </w:r>
            <w:r>
              <w:rPr>
                <w:sz w:val="18"/>
              </w:rPr>
              <w:t>in</w:t>
            </w:r>
            <w:r>
              <w:rPr>
                <w:spacing w:val="-4"/>
                <w:sz w:val="18"/>
              </w:rPr>
              <w:t xml:space="preserve"> </w:t>
            </w:r>
            <w:r>
              <w:rPr>
                <w:sz w:val="18"/>
              </w:rPr>
              <w:t>the report that affect the auditor’s assessment of the effectiveness of the control activities listed in section VII? If no, see step 12 below.</w:t>
            </w:r>
          </w:p>
        </w:tc>
        <w:tc>
          <w:tcPr>
            <w:tcW w:w="720" w:type="dxa"/>
            <w:tcBorders>
              <w:top w:val="single" w:sz="4" w:space="0" w:color="000000"/>
              <w:left w:val="single" w:sz="4" w:space="0" w:color="000000"/>
              <w:bottom w:val="single" w:sz="4" w:space="0" w:color="000000"/>
              <w:right w:val="single" w:sz="4" w:space="0" w:color="000000"/>
            </w:tcBorders>
          </w:tcPr>
          <w:p w14:paraId="0DFDAF80"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81"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82" w14:textId="77777777" w:rsidR="00046465" w:rsidRDefault="00046465">
            <w:pPr>
              <w:pStyle w:val="TableParagraph"/>
              <w:rPr>
                <w:rFonts w:ascii="Times New Roman"/>
                <w:sz w:val="18"/>
              </w:rPr>
            </w:pPr>
          </w:p>
        </w:tc>
      </w:tr>
      <w:tr w:rsidR="00046465" w14:paraId="0DFDAF88" w14:textId="77777777">
        <w:trPr>
          <w:trHeight w:val="741"/>
        </w:trPr>
        <w:tc>
          <w:tcPr>
            <w:tcW w:w="6091" w:type="dxa"/>
            <w:tcBorders>
              <w:top w:val="single" w:sz="4" w:space="0" w:color="000000"/>
              <w:bottom w:val="single" w:sz="4" w:space="0" w:color="000000"/>
              <w:right w:val="single" w:sz="4" w:space="0" w:color="000000"/>
            </w:tcBorders>
          </w:tcPr>
          <w:p w14:paraId="0DFDAF84" w14:textId="77777777" w:rsidR="00046465" w:rsidRDefault="008134EB">
            <w:pPr>
              <w:pStyle w:val="TableParagraph"/>
              <w:ind w:left="392" w:right="165" w:hanging="288"/>
              <w:rPr>
                <w:sz w:val="18"/>
              </w:rPr>
            </w:pPr>
            <w:r>
              <w:rPr>
                <w:sz w:val="18"/>
              </w:rPr>
              <w:t>10)</w:t>
            </w:r>
            <w:r>
              <w:rPr>
                <w:spacing w:val="-22"/>
                <w:sz w:val="18"/>
              </w:rPr>
              <w:t xml:space="preserve"> </w:t>
            </w:r>
            <w:r>
              <w:rPr>
                <w:sz w:val="18"/>
              </w:rPr>
              <w:t>Does</w:t>
            </w:r>
            <w:r>
              <w:rPr>
                <w:spacing w:val="-7"/>
                <w:sz w:val="18"/>
              </w:rPr>
              <w:t xml:space="preserve"> </w:t>
            </w:r>
            <w:r>
              <w:rPr>
                <w:sz w:val="18"/>
              </w:rPr>
              <w:t>the</w:t>
            </w:r>
            <w:r>
              <w:rPr>
                <w:spacing w:val="-6"/>
                <w:sz w:val="18"/>
              </w:rPr>
              <w:t xml:space="preserve"> </w:t>
            </w:r>
            <w:r>
              <w:rPr>
                <w:sz w:val="18"/>
              </w:rPr>
              <w:t>SCE</w:t>
            </w:r>
            <w:r>
              <w:rPr>
                <w:spacing w:val="-4"/>
                <w:sz w:val="18"/>
              </w:rPr>
              <w:t xml:space="preserve"> </w:t>
            </w:r>
            <w:r>
              <w:rPr>
                <w:sz w:val="18"/>
              </w:rPr>
              <w:t>worksheet</w:t>
            </w:r>
            <w:r>
              <w:rPr>
                <w:spacing w:val="-5"/>
                <w:sz w:val="18"/>
              </w:rPr>
              <w:t xml:space="preserve"> </w:t>
            </w:r>
            <w:r>
              <w:rPr>
                <w:sz w:val="18"/>
              </w:rPr>
              <w:t>include</w:t>
            </w:r>
            <w:r>
              <w:rPr>
                <w:spacing w:val="-5"/>
                <w:sz w:val="18"/>
              </w:rPr>
              <w:t xml:space="preserve"> </w:t>
            </w:r>
            <w:r>
              <w:rPr>
                <w:sz w:val="18"/>
              </w:rPr>
              <w:t>any</w:t>
            </w:r>
            <w:r>
              <w:rPr>
                <w:spacing w:val="-5"/>
                <w:sz w:val="18"/>
              </w:rPr>
              <w:t xml:space="preserve"> </w:t>
            </w:r>
            <w:r>
              <w:rPr>
                <w:sz w:val="18"/>
              </w:rPr>
              <w:t>complementary</w:t>
            </w:r>
            <w:r>
              <w:rPr>
                <w:spacing w:val="-5"/>
                <w:sz w:val="18"/>
              </w:rPr>
              <w:t xml:space="preserve"> </w:t>
            </w:r>
            <w:r>
              <w:rPr>
                <w:sz w:val="18"/>
              </w:rPr>
              <w:t>user</w:t>
            </w:r>
            <w:r>
              <w:rPr>
                <w:spacing w:val="-5"/>
                <w:sz w:val="18"/>
              </w:rPr>
              <w:t xml:space="preserve"> </w:t>
            </w:r>
            <w:r>
              <w:rPr>
                <w:sz w:val="18"/>
              </w:rPr>
              <w:t>entity</w:t>
            </w:r>
            <w:r>
              <w:rPr>
                <w:spacing w:val="-5"/>
                <w:sz w:val="18"/>
              </w:rPr>
              <w:t xml:space="preserve"> </w:t>
            </w:r>
            <w:r>
              <w:rPr>
                <w:sz w:val="18"/>
              </w:rPr>
              <w:t>and subservice organization controls identified in the report that are relevant in addressing the risks of material misstatement?</w:t>
            </w:r>
          </w:p>
        </w:tc>
        <w:tc>
          <w:tcPr>
            <w:tcW w:w="720" w:type="dxa"/>
            <w:tcBorders>
              <w:top w:val="single" w:sz="4" w:space="0" w:color="000000"/>
              <w:left w:val="single" w:sz="4" w:space="0" w:color="000000"/>
              <w:bottom w:val="single" w:sz="4" w:space="0" w:color="000000"/>
              <w:right w:val="single" w:sz="4" w:space="0" w:color="000000"/>
            </w:tcBorders>
          </w:tcPr>
          <w:p w14:paraId="0DFDAF85"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86"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87" w14:textId="77777777" w:rsidR="00046465" w:rsidRDefault="00046465">
            <w:pPr>
              <w:pStyle w:val="TableParagraph"/>
              <w:rPr>
                <w:rFonts w:ascii="Times New Roman"/>
                <w:sz w:val="18"/>
              </w:rPr>
            </w:pPr>
          </w:p>
        </w:tc>
      </w:tr>
      <w:tr w:rsidR="00046465" w14:paraId="0DFDAF8D" w14:textId="77777777">
        <w:trPr>
          <w:trHeight w:val="741"/>
        </w:trPr>
        <w:tc>
          <w:tcPr>
            <w:tcW w:w="6091" w:type="dxa"/>
            <w:tcBorders>
              <w:top w:val="single" w:sz="4" w:space="0" w:color="000000"/>
              <w:bottom w:val="single" w:sz="4" w:space="0" w:color="000000"/>
              <w:right w:val="single" w:sz="4" w:space="0" w:color="000000"/>
            </w:tcBorders>
          </w:tcPr>
          <w:p w14:paraId="0DFDAF89" w14:textId="77777777" w:rsidR="00046465" w:rsidRDefault="008134EB">
            <w:pPr>
              <w:pStyle w:val="TableParagraph"/>
              <w:ind w:left="392" w:hanging="288"/>
              <w:rPr>
                <w:sz w:val="18"/>
              </w:rPr>
            </w:pPr>
            <w:r>
              <w:rPr>
                <w:sz w:val="18"/>
              </w:rPr>
              <w:t>11)</w:t>
            </w:r>
            <w:r>
              <w:rPr>
                <w:spacing w:val="-15"/>
                <w:sz w:val="18"/>
              </w:rPr>
              <w:t xml:space="preserve"> </w:t>
            </w:r>
            <w:r>
              <w:rPr>
                <w:sz w:val="18"/>
              </w:rPr>
              <w:t>Did the auditor determine that the complementary user entity and subservice</w:t>
            </w:r>
            <w:r>
              <w:rPr>
                <w:spacing w:val="-6"/>
                <w:sz w:val="18"/>
              </w:rPr>
              <w:t xml:space="preserve"> </w:t>
            </w:r>
            <w:r>
              <w:rPr>
                <w:sz w:val="18"/>
              </w:rPr>
              <w:t>organization</w:t>
            </w:r>
            <w:r>
              <w:rPr>
                <w:spacing w:val="-6"/>
                <w:sz w:val="18"/>
              </w:rPr>
              <w:t xml:space="preserve"> </w:t>
            </w:r>
            <w:r>
              <w:rPr>
                <w:sz w:val="18"/>
              </w:rPr>
              <w:t>controls</w:t>
            </w:r>
            <w:r>
              <w:rPr>
                <w:spacing w:val="-5"/>
                <w:sz w:val="18"/>
              </w:rPr>
              <w:t xml:space="preserve"> </w:t>
            </w:r>
            <w:r>
              <w:rPr>
                <w:sz w:val="18"/>
              </w:rPr>
              <w:t>identified</w:t>
            </w:r>
            <w:r>
              <w:rPr>
                <w:spacing w:val="-6"/>
                <w:sz w:val="18"/>
              </w:rPr>
              <w:t xml:space="preserve"> </w:t>
            </w:r>
            <w:r>
              <w:rPr>
                <w:sz w:val="18"/>
              </w:rPr>
              <w:t>in</w:t>
            </w:r>
            <w:r>
              <w:rPr>
                <w:spacing w:val="-4"/>
                <w:sz w:val="18"/>
              </w:rPr>
              <w:t xml:space="preserve"> </w:t>
            </w:r>
            <w:r>
              <w:rPr>
                <w:sz w:val="18"/>
              </w:rPr>
              <w:t>step</w:t>
            </w:r>
            <w:r>
              <w:rPr>
                <w:spacing w:val="-6"/>
                <w:sz w:val="18"/>
              </w:rPr>
              <w:t xml:space="preserve"> </w:t>
            </w:r>
            <w:r>
              <w:rPr>
                <w:sz w:val="18"/>
              </w:rPr>
              <w:t>10</w:t>
            </w:r>
            <w:r>
              <w:rPr>
                <w:spacing w:val="-5"/>
                <w:sz w:val="18"/>
              </w:rPr>
              <w:t xml:space="preserve"> </w:t>
            </w:r>
            <w:r>
              <w:rPr>
                <w:sz w:val="18"/>
              </w:rPr>
              <w:t>were</w:t>
            </w:r>
            <w:r>
              <w:rPr>
                <w:spacing w:val="-4"/>
                <w:sz w:val="18"/>
              </w:rPr>
              <w:t xml:space="preserve"> </w:t>
            </w:r>
            <w:r>
              <w:rPr>
                <w:sz w:val="18"/>
              </w:rPr>
              <w:t>designed, implemented, and operating effectively? If no, see step 12 below.</w:t>
            </w:r>
          </w:p>
        </w:tc>
        <w:tc>
          <w:tcPr>
            <w:tcW w:w="720" w:type="dxa"/>
            <w:tcBorders>
              <w:top w:val="single" w:sz="4" w:space="0" w:color="000000"/>
              <w:left w:val="single" w:sz="4" w:space="0" w:color="000000"/>
              <w:bottom w:val="single" w:sz="4" w:space="0" w:color="000000"/>
              <w:right w:val="single" w:sz="4" w:space="0" w:color="000000"/>
            </w:tcBorders>
          </w:tcPr>
          <w:p w14:paraId="0DFDAF8A"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8B"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8C" w14:textId="77777777" w:rsidR="00046465" w:rsidRDefault="00046465">
            <w:pPr>
              <w:pStyle w:val="TableParagraph"/>
              <w:rPr>
                <w:rFonts w:ascii="Times New Roman"/>
                <w:sz w:val="18"/>
              </w:rPr>
            </w:pPr>
          </w:p>
        </w:tc>
      </w:tr>
      <w:tr w:rsidR="00046465" w14:paraId="0DFDAF92" w14:textId="77777777">
        <w:trPr>
          <w:trHeight w:val="533"/>
        </w:trPr>
        <w:tc>
          <w:tcPr>
            <w:tcW w:w="6091" w:type="dxa"/>
            <w:tcBorders>
              <w:top w:val="single" w:sz="4" w:space="0" w:color="000000"/>
              <w:bottom w:val="single" w:sz="4" w:space="0" w:color="000000"/>
              <w:right w:val="single" w:sz="4" w:space="0" w:color="000000"/>
            </w:tcBorders>
          </w:tcPr>
          <w:p w14:paraId="0DFDAF8E" w14:textId="77777777" w:rsidR="00046465" w:rsidRDefault="008134EB">
            <w:pPr>
              <w:pStyle w:val="TableParagraph"/>
              <w:ind w:left="392" w:right="207" w:hanging="288"/>
              <w:rPr>
                <w:sz w:val="18"/>
              </w:rPr>
            </w:pPr>
            <w:r>
              <w:rPr>
                <w:sz w:val="18"/>
              </w:rPr>
              <w:t>12)</w:t>
            </w:r>
            <w:r>
              <w:rPr>
                <w:spacing w:val="-22"/>
                <w:sz w:val="18"/>
              </w:rPr>
              <w:t xml:space="preserve"> </w:t>
            </w:r>
            <w:r>
              <w:rPr>
                <w:sz w:val="18"/>
              </w:rPr>
              <w:t>If</w:t>
            </w:r>
            <w:r>
              <w:rPr>
                <w:spacing w:val="-5"/>
                <w:sz w:val="18"/>
              </w:rPr>
              <w:t xml:space="preserve"> </w:t>
            </w:r>
            <w:r>
              <w:rPr>
                <w:sz w:val="18"/>
              </w:rPr>
              <w:t>controls</w:t>
            </w:r>
            <w:r>
              <w:rPr>
                <w:spacing w:val="-3"/>
                <w:sz w:val="18"/>
              </w:rPr>
              <w:t xml:space="preserve"> </w:t>
            </w:r>
            <w:r>
              <w:rPr>
                <w:sz w:val="18"/>
              </w:rPr>
              <w:t>are</w:t>
            </w:r>
            <w:r>
              <w:rPr>
                <w:spacing w:val="-4"/>
                <w:sz w:val="18"/>
              </w:rPr>
              <w:t xml:space="preserve"> </w:t>
            </w:r>
            <w:r>
              <w:rPr>
                <w:sz w:val="18"/>
              </w:rPr>
              <w:t>determined</w:t>
            </w:r>
            <w:r>
              <w:rPr>
                <w:spacing w:val="-4"/>
                <w:sz w:val="18"/>
              </w:rPr>
              <w:t xml:space="preserve"> </w:t>
            </w:r>
            <w:r>
              <w:rPr>
                <w:sz w:val="18"/>
              </w:rPr>
              <w:t>to</w:t>
            </w:r>
            <w:r>
              <w:rPr>
                <w:spacing w:val="-2"/>
                <w:sz w:val="18"/>
              </w:rPr>
              <w:t xml:space="preserve"> </w:t>
            </w:r>
            <w:r>
              <w:rPr>
                <w:sz w:val="18"/>
              </w:rPr>
              <w:t>be</w:t>
            </w:r>
            <w:r>
              <w:rPr>
                <w:spacing w:val="-3"/>
                <w:sz w:val="18"/>
              </w:rPr>
              <w:t xml:space="preserve"> </w:t>
            </w:r>
            <w:r>
              <w:rPr>
                <w:sz w:val="18"/>
              </w:rPr>
              <w:t>ineffective</w:t>
            </w:r>
            <w:r>
              <w:rPr>
                <w:spacing w:val="-4"/>
                <w:sz w:val="18"/>
              </w:rPr>
              <w:t xml:space="preserve"> </w:t>
            </w:r>
            <w:r>
              <w:rPr>
                <w:sz w:val="18"/>
              </w:rPr>
              <w:t>in</w:t>
            </w:r>
            <w:r>
              <w:rPr>
                <w:spacing w:val="-4"/>
                <w:sz w:val="18"/>
              </w:rPr>
              <w:t xml:space="preserve"> </w:t>
            </w:r>
            <w:r>
              <w:rPr>
                <w:sz w:val="18"/>
              </w:rPr>
              <w:t>steps</w:t>
            </w:r>
            <w:r>
              <w:rPr>
                <w:spacing w:val="-3"/>
                <w:sz w:val="18"/>
              </w:rPr>
              <w:t xml:space="preserve"> </w:t>
            </w:r>
            <w:r>
              <w:rPr>
                <w:sz w:val="18"/>
              </w:rPr>
              <w:t>9</w:t>
            </w:r>
            <w:r>
              <w:rPr>
                <w:spacing w:val="-4"/>
                <w:sz w:val="18"/>
              </w:rPr>
              <w:t xml:space="preserve"> </w:t>
            </w:r>
            <w:r>
              <w:rPr>
                <w:sz w:val="18"/>
              </w:rPr>
              <w:t>or</w:t>
            </w:r>
            <w:r>
              <w:rPr>
                <w:spacing w:val="-3"/>
                <w:sz w:val="18"/>
              </w:rPr>
              <w:t xml:space="preserve"> </w:t>
            </w:r>
            <w:r>
              <w:rPr>
                <w:sz w:val="18"/>
              </w:rPr>
              <w:t>11,</w:t>
            </w:r>
            <w:r>
              <w:rPr>
                <w:spacing w:val="-3"/>
                <w:sz w:val="18"/>
              </w:rPr>
              <w:t xml:space="preserve"> </w:t>
            </w:r>
            <w:r>
              <w:rPr>
                <w:sz w:val="18"/>
              </w:rPr>
              <w:t>were there effective compensating controls in place?</w:t>
            </w:r>
          </w:p>
        </w:tc>
        <w:tc>
          <w:tcPr>
            <w:tcW w:w="720" w:type="dxa"/>
            <w:tcBorders>
              <w:top w:val="single" w:sz="4" w:space="0" w:color="000000"/>
              <w:left w:val="single" w:sz="4" w:space="0" w:color="000000"/>
              <w:bottom w:val="single" w:sz="4" w:space="0" w:color="000000"/>
              <w:right w:val="single" w:sz="4" w:space="0" w:color="000000"/>
            </w:tcBorders>
          </w:tcPr>
          <w:p w14:paraId="0DFDAF8F"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90"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91" w14:textId="77777777" w:rsidR="00046465" w:rsidRDefault="00046465">
            <w:pPr>
              <w:pStyle w:val="TableParagraph"/>
              <w:rPr>
                <w:rFonts w:ascii="Times New Roman"/>
                <w:sz w:val="18"/>
              </w:rPr>
            </w:pPr>
          </w:p>
        </w:tc>
      </w:tr>
      <w:tr w:rsidR="00046465" w14:paraId="0DFDAF9A" w14:textId="77777777">
        <w:trPr>
          <w:trHeight w:val="2881"/>
        </w:trPr>
        <w:tc>
          <w:tcPr>
            <w:tcW w:w="6091" w:type="dxa"/>
            <w:tcBorders>
              <w:top w:val="single" w:sz="4" w:space="0" w:color="000000"/>
              <w:right w:val="single" w:sz="4" w:space="0" w:color="000000"/>
            </w:tcBorders>
          </w:tcPr>
          <w:p w14:paraId="0DFDAF93" w14:textId="77777777" w:rsidR="00046465" w:rsidRDefault="008134EB">
            <w:pPr>
              <w:pStyle w:val="TableParagraph"/>
              <w:ind w:left="392" w:right="165" w:hanging="288"/>
              <w:rPr>
                <w:sz w:val="18"/>
              </w:rPr>
            </w:pPr>
            <w:r>
              <w:rPr>
                <w:sz w:val="18"/>
              </w:rPr>
              <w:t>13)</w:t>
            </w:r>
            <w:r>
              <w:rPr>
                <w:spacing w:val="-7"/>
                <w:sz w:val="18"/>
              </w:rPr>
              <w:t xml:space="preserve"> </w:t>
            </w:r>
            <w:r>
              <w:rPr>
                <w:sz w:val="18"/>
              </w:rPr>
              <w:t>Did the auditor determine whether the report provides sufficient appropriate</w:t>
            </w:r>
            <w:r>
              <w:rPr>
                <w:spacing w:val="-6"/>
                <w:sz w:val="18"/>
              </w:rPr>
              <w:t xml:space="preserve"> </w:t>
            </w:r>
            <w:r>
              <w:rPr>
                <w:sz w:val="18"/>
              </w:rPr>
              <w:t>audit</w:t>
            </w:r>
            <w:r>
              <w:rPr>
                <w:spacing w:val="-5"/>
                <w:sz w:val="18"/>
              </w:rPr>
              <w:t xml:space="preserve"> </w:t>
            </w:r>
            <w:r>
              <w:rPr>
                <w:sz w:val="18"/>
              </w:rPr>
              <w:t>evidence</w:t>
            </w:r>
            <w:r>
              <w:rPr>
                <w:spacing w:val="-6"/>
                <w:sz w:val="18"/>
              </w:rPr>
              <w:t xml:space="preserve"> </w:t>
            </w:r>
            <w:r>
              <w:rPr>
                <w:sz w:val="18"/>
              </w:rPr>
              <w:t>about</w:t>
            </w:r>
            <w:r>
              <w:rPr>
                <w:spacing w:val="-5"/>
                <w:sz w:val="18"/>
              </w:rPr>
              <w:t xml:space="preserve"> </w:t>
            </w:r>
            <w:r>
              <w:rPr>
                <w:sz w:val="18"/>
              </w:rPr>
              <w:t>the</w:t>
            </w:r>
            <w:r>
              <w:rPr>
                <w:spacing w:val="-6"/>
                <w:sz w:val="18"/>
              </w:rPr>
              <w:t xml:space="preserve"> </w:t>
            </w:r>
            <w:r>
              <w:rPr>
                <w:sz w:val="18"/>
              </w:rPr>
              <w:t>effectiveness</w:t>
            </w:r>
            <w:r>
              <w:rPr>
                <w:spacing w:val="-5"/>
                <w:sz w:val="18"/>
              </w:rPr>
              <w:t xml:space="preserve"> </w:t>
            </w:r>
            <w:r>
              <w:rPr>
                <w:sz w:val="18"/>
              </w:rPr>
              <w:t>of</w:t>
            </w:r>
            <w:r>
              <w:rPr>
                <w:spacing w:val="-5"/>
                <w:sz w:val="18"/>
              </w:rPr>
              <w:t xml:space="preserve"> </w:t>
            </w:r>
            <w:r>
              <w:rPr>
                <w:sz w:val="18"/>
              </w:rPr>
              <w:t>controls</w:t>
            </w:r>
            <w:r>
              <w:rPr>
                <w:spacing w:val="-5"/>
                <w:sz w:val="18"/>
              </w:rPr>
              <w:t xml:space="preserve"> </w:t>
            </w:r>
            <w:r>
              <w:rPr>
                <w:sz w:val="18"/>
              </w:rPr>
              <w:t>to support the auditor’s risk assessment by:</w:t>
            </w:r>
          </w:p>
          <w:p w14:paraId="0DFDAF94" w14:textId="77777777" w:rsidR="00046465" w:rsidRDefault="008134EB">
            <w:pPr>
              <w:pStyle w:val="TableParagraph"/>
              <w:numPr>
                <w:ilvl w:val="0"/>
                <w:numId w:val="213"/>
              </w:numPr>
              <w:tabs>
                <w:tab w:val="left" w:pos="585"/>
              </w:tabs>
              <w:spacing w:before="120"/>
              <w:ind w:right="263"/>
              <w:rPr>
                <w:sz w:val="18"/>
              </w:rPr>
            </w:pPr>
            <w:r>
              <w:rPr>
                <w:sz w:val="18"/>
              </w:rPr>
              <w:t>evaluating</w:t>
            </w:r>
            <w:r>
              <w:rPr>
                <w:spacing w:val="-5"/>
                <w:sz w:val="18"/>
              </w:rPr>
              <w:t xml:space="preserve"> </w:t>
            </w:r>
            <w:r>
              <w:rPr>
                <w:sz w:val="18"/>
              </w:rPr>
              <w:t>whether</w:t>
            </w:r>
            <w:r>
              <w:rPr>
                <w:spacing w:val="-4"/>
                <w:sz w:val="18"/>
              </w:rPr>
              <w:t xml:space="preserve"> </w:t>
            </w:r>
            <w:r>
              <w:rPr>
                <w:sz w:val="18"/>
              </w:rPr>
              <w:t>the</w:t>
            </w:r>
            <w:r>
              <w:rPr>
                <w:spacing w:val="-5"/>
                <w:sz w:val="18"/>
              </w:rPr>
              <w:t xml:space="preserve"> </w:t>
            </w:r>
            <w:r>
              <w:rPr>
                <w:sz w:val="18"/>
              </w:rPr>
              <w:t>report</w:t>
            </w:r>
            <w:r>
              <w:rPr>
                <w:spacing w:val="-4"/>
                <w:sz w:val="18"/>
              </w:rPr>
              <w:t xml:space="preserve"> </w:t>
            </w:r>
            <w:r>
              <w:rPr>
                <w:sz w:val="18"/>
              </w:rPr>
              <w:t>is</w:t>
            </w:r>
            <w:r>
              <w:rPr>
                <w:spacing w:val="-4"/>
                <w:sz w:val="18"/>
              </w:rPr>
              <w:t xml:space="preserve"> </w:t>
            </w:r>
            <w:r>
              <w:rPr>
                <w:sz w:val="18"/>
              </w:rPr>
              <w:t>for</w:t>
            </w:r>
            <w:r>
              <w:rPr>
                <w:spacing w:val="-4"/>
                <w:sz w:val="18"/>
              </w:rPr>
              <w:t xml:space="preserve"> </w:t>
            </w:r>
            <w:r>
              <w:rPr>
                <w:sz w:val="18"/>
              </w:rPr>
              <w:t>a</w:t>
            </w:r>
            <w:r>
              <w:rPr>
                <w:spacing w:val="-5"/>
                <w:sz w:val="18"/>
              </w:rPr>
              <w:t xml:space="preserve"> </w:t>
            </w:r>
            <w:r>
              <w:rPr>
                <w:sz w:val="18"/>
              </w:rPr>
              <w:t>period</w:t>
            </w:r>
            <w:r>
              <w:rPr>
                <w:spacing w:val="-5"/>
                <w:sz w:val="18"/>
              </w:rPr>
              <w:t xml:space="preserve"> </w:t>
            </w:r>
            <w:r>
              <w:rPr>
                <w:sz w:val="18"/>
              </w:rPr>
              <w:t>that</w:t>
            </w:r>
            <w:r>
              <w:rPr>
                <w:spacing w:val="-4"/>
                <w:sz w:val="18"/>
              </w:rPr>
              <w:t xml:space="preserve"> </w:t>
            </w:r>
            <w:r>
              <w:rPr>
                <w:sz w:val="18"/>
              </w:rPr>
              <w:t>is</w:t>
            </w:r>
            <w:r>
              <w:rPr>
                <w:spacing w:val="-4"/>
                <w:sz w:val="18"/>
              </w:rPr>
              <w:t xml:space="preserve"> </w:t>
            </w:r>
            <w:r>
              <w:rPr>
                <w:sz w:val="18"/>
              </w:rPr>
              <w:t>appropriate</w:t>
            </w:r>
            <w:r>
              <w:rPr>
                <w:spacing w:val="-5"/>
                <w:sz w:val="18"/>
              </w:rPr>
              <w:t xml:space="preserve"> </w:t>
            </w:r>
            <w:r>
              <w:rPr>
                <w:sz w:val="18"/>
              </w:rPr>
              <w:t>for the auditor’s purposes;</w:t>
            </w:r>
          </w:p>
          <w:p w14:paraId="0DFDAF95" w14:textId="77777777" w:rsidR="00046465" w:rsidRDefault="008134EB">
            <w:pPr>
              <w:pStyle w:val="TableParagraph"/>
              <w:numPr>
                <w:ilvl w:val="0"/>
                <w:numId w:val="213"/>
              </w:numPr>
              <w:tabs>
                <w:tab w:val="left" w:pos="584"/>
              </w:tabs>
              <w:spacing w:before="119"/>
              <w:ind w:left="584" w:right="112"/>
              <w:rPr>
                <w:sz w:val="18"/>
              </w:rPr>
            </w:pPr>
            <w:r>
              <w:rPr>
                <w:sz w:val="18"/>
              </w:rPr>
              <w:t>determining (a) whether complementary user entity controls that</w:t>
            </w:r>
            <w:r>
              <w:rPr>
                <w:spacing w:val="40"/>
                <w:sz w:val="18"/>
              </w:rPr>
              <w:t xml:space="preserve"> </w:t>
            </w:r>
            <w:r>
              <w:rPr>
                <w:sz w:val="18"/>
              </w:rPr>
              <w:t>the service organization identified are relevant in addressing the risks of material misstatement relating to the significant assertions in the entity’s financial statements and, if so, (b) whether the entity has</w:t>
            </w:r>
            <w:r>
              <w:rPr>
                <w:spacing w:val="-6"/>
                <w:sz w:val="18"/>
              </w:rPr>
              <w:t xml:space="preserve"> </w:t>
            </w:r>
            <w:r>
              <w:rPr>
                <w:sz w:val="18"/>
              </w:rPr>
              <w:t>designed,</w:t>
            </w:r>
            <w:r>
              <w:rPr>
                <w:spacing w:val="-6"/>
                <w:sz w:val="18"/>
              </w:rPr>
              <w:t xml:space="preserve"> </w:t>
            </w:r>
            <w:r>
              <w:rPr>
                <w:sz w:val="18"/>
              </w:rPr>
              <w:t>implemented,</w:t>
            </w:r>
            <w:r>
              <w:rPr>
                <w:spacing w:val="-6"/>
                <w:sz w:val="18"/>
              </w:rPr>
              <w:t xml:space="preserve"> </w:t>
            </w:r>
            <w:r>
              <w:rPr>
                <w:sz w:val="18"/>
              </w:rPr>
              <w:t>and</w:t>
            </w:r>
            <w:r>
              <w:rPr>
                <w:spacing w:val="-6"/>
                <w:sz w:val="18"/>
              </w:rPr>
              <w:t xml:space="preserve"> </w:t>
            </w:r>
            <w:r>
              <w:rPr>
                <w:sz w:val="18"/>
              </w:rPr>
              <w:t>operated</w:t>
            </w:r>
            <w:r>
              <w:rPr>
                <w:spacing w:val="-6"/>
                <w:sz w:val="18"/>
              </w:rPr>
              <w:t xml:space="preserve"> </w:t>
            </w:r>
            <w:r>
              <w:rPr>
                <w:sz w:val="18"/>
              </w:rPr>
              <w:t>such</w:t>
            </w:r>
            <w:r>
              <w:rPr>
                <w:spacing w:val="-6"/>
                <w:sz w:val="18"/>
              </w:rPr>
              <w:t xml:space="preserve"> </w:t>
            </w:r>
            <w:r>
              <w:rPr>
                <w:sz w:val="18"/>
              </w:rPr>
              <w:t>controls</w:t>
            </w:r>
            <w:r>
              <w:rPr>
                <w:spacing w:val="-6"/>
                <w:sz w:val="18"/>
              </w:rPr>
              <w:t xml:space="preserve"> </w:t>
            </w:r>
            <w:r>
              <w:rPr>
                <w:sz w:val="18"/>
              </w:rPr>
              <w:t>effectively;</w:t>
            </w:r>
          </w:p>
          <w:p w14:paraId="0DFDAF96" w14:textId="77777777" w:rsidR="00046465" w:rsidRDefault="008134EB">
            <w:pPr>
              <w:pStyle w:val="TableParagraph"/>
              <w:numPr>
                <w:ilvl w:val="0"/>
                <w:numId w:val="213"/>
              </w:numPr>
              <w:tabs>
                <w:tab w:val="left" w:pos="585"/>
              </w:tabs>
              <w:spacing w:before="113" w:line="206" w:lineRule="exact"/>
              <w:ind w:right="173"/>
              <w:rPr>
                <w:sz w:val="18"/>
              </w:rPr>
            </w:pPr>
            <w:r>
              <w:rPr>
                <w:sz w:val="18"/>
              </w:rPr>
              <w:t>evaluating the adequacy of the time period covered by the test of controls</w:t>
            </w:r>
            <w:r>
              <w:rPr>
                <w:spacing w:val="-3"/>
                <w:sz w:val="18"/>
              </w:rPr>
              <w:t xml:space="preserve"> </w:t>
            </w:r>
            <w:r>
              <w:rPr>
                <w:sz w:val="18"/>
              </w:rPr>
              <w:t>and</w:t>
            </w:r>
            <w:r>
              <w:rPr>
                <w:spacing w:val="-4"/>
                <w:sz w:val="18"/>
              </w:rPr>
              <w:t xml:space="preserve"> </w:t>
            </w:r>
            <w:r>
              <w:rPr>
                <w:sz w:val="18"/>
              </w:rPr>
              <w:t>the</w:t>
            </w:r>
            <w:r>
              <w:rPr>
                <w:spacing w:val="-4"/>
                <w:sz w:val="18"/>
              </w:rPr>
              <w:t xml:space="preserve"> </w:t>
            </w:r>
            <w:r>
              <w:rPr>
                <w:sz w:val="18"/>
              </w:rPr>
              <w:t>time</w:t>
            </w:r>
            <w:r>
              <w:rPr>
                <w:spacing w:val="-4"/>
                <w:sz w:val="18"/>
              </w:rPr>
              <w:t xml:space="preserve"> </w:t>
            </w:r>
            <w:r>
              <w:rPr>
                <w:sz w:val="18"/>
              </w:rPr>
              <w:t>elapsed</w:t>
            </w:r>
            <w:r>
              <w:rPr>
                <w:spacing w:val="-4"/>
                <w:sz w:val="18"/>
              </w:rPr>
              <w:t xml:space="preserve"> </w:t>
            </w:r>
            <w:r>
              <w:rPr>
                <w:sz w:val="18"/>
              </w:rPr>
              <w:t>since</w:t>
            </w:r>
            <w:r>
              <w:rPr>
                <w:spacing w:val="-4"/>
                <w:sz w:val="18"/>
              </w:rPr>
              <w:t xml:space="preserve"> </w:t>
            </w:r>
            <w:r>
              <w:rPr>
                <w:sz w:val="18"/>
              </w:rPr>
              <w:t>the</w:t>
            </w:r>
            <w:r>
              <w:rPr>
                <w:spacing w:val="-4"/>
                <w:sz w:val="18"/>
              </w:rPr>
              <w:t xml:space="preserve"> </w:t>
            </w:r>
            <w:r>
              <w:rPr>
                <w:sz w:val="18"/>
              </w:rPr>
              <w:t>performance</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tests</w:t>
            </w:r>
            <w:r>
              <w:rPr>
                <w:spacing w:val="-3"/>
                <w:sz w:val="18"/>
              </w:rPr>
              <w:t xml:space="preserve"> </w:t>
            </w:r>
            <w:r>
              <w:rPr>
                <w:sz w:val="18"/>
              </w:rPr>
              <w:t>of</w:t>
            </w:r>
          </w:p>
        </w:tc>
        <w:tc>
          <w:tcPr>
            <w:tcW w:w="720" w:type="dxa"/>
            <w:tcBorders>
              <w:top w:val="single" w:sz="4" w:space="0" w:color="000000"/>
              <w:left w:val="single" w:sz="4" w:space="0" w:color="000000"/>
              <w:right w:val="single" w:sz="4" w:space="0" w:color="000000"/>
            </w:tcBorders>
          </w:tcPr>
          <w:p w14:paraId="0DFDAF97" w14:textId="77777777" w:rsidR="00046465" w:rsidRDefault="00046465">
            <w:pPr>
              <w:pStyle w:val="TableParagraph"/>
              <w:rPr>
                <w:rFonts w:ascii="Times New Roman"/>
                <w:sz w:val="18"/>
              </w:rPr>
            </w:pPr>
          </w:p>
        </w:tc>
        <w:tc>
          <w:tcPr>
            <w:tcW w:w="1080" w:type="dxa"/>
            <w:tcBorders>
              <w:top w:val="single" w:sz="4" w:space="0" w:color="000000"/>
              <w:left w:val="single" w:sz="4" w:space="0" w:color="000000"/>
              <w:right w:val="single" w:sz="4" w:space="0" w:color="000000"/>
            </w:tcBorders>
          </w:tcPr>
          <w:p w14:paraId="0DFDAF98" w14:textId="77777777" w:rsidR="00046465" w:rsidRDefault="00046465">
            <w:pPr>
              <w:pStyle w:val="TableParagraph"/>
              <w:rPr>
                <w:rFonts w:ascii="Times New Roman"/>
                <w:sz w:val="18"/>
              </w:rPr>
            </w:pPr>
          </w:p>
        </w:tc>
        <w:tc>
          <w:tcPr>
            <w:tcW w:w="1379" w:type="dxa"/>
            <w:tcBorders>
              <w:top w:val="single" w:sz="4" w:space="0" w:color="000000"/>
              <w:left w:val="single" w:sz="4" w:space="0" w:color="000000"/>
            </w:tcBorders>
          </w:tcPr>
          <w:p w14:paraId="0DFDAF99" w14:textId="77777777" w:rsidR="00046465" w:rsidRDefault="00046465">
            <w:pPr>
              <w:pStyle w:val="TableParagraph"/>
              <w:rPr>
                <w:rFonts w:ascii="Times New Roman"/>
                <w:sz w:val="18"/>
              </w:rPr>
            </w:pPr>
          </w:p>
        </w:tc>
      </w:tr>
    </w:tbl>
    <w:p w14:paraId="0DFDAF9B" w14:textId="77777777" w:rsidR="00046465" w:rsidRDefault="00046465">
      <w:pPr>
        <w:pStyle w:val="TableParagraph"/>
        <w:rPr>
          <w:rFonts w:ascii="Times New Roman"/>
          <w:sz w:val="18"/>
        </w:rPr>
        <w:sectPr w:rsidR="00046465">
          <w:pgSz w:w="12240" w:h="15840"/>
          <w:pgMar w:top="1340" w:right="720" w:bottom="940" w:left="1080" w:header="721" w:footer="757" w:gutter="0"/>
          <w:cols w:space="720"/>
        </w:sectPr>
      </w:pPr>
    </w:p>
    <w:p w14:paraId="0DFDAF9C" w14:textId="77777777" w:rsidR="00046465" w:rsidRDefault="00046465">
      <w:pPr>
        <w:pStyle w:val="BodyText"/>
        <w:spacing w:before="4"/>
        <w:rPr>
          <w:sz w:val="11"/>
        </w:rPr>
      </w:pPr>
    </w:p>
    <w:tbl>
      <w:tblPr>
        <w:tblW w:w="0" w:type="auto"/>
        <w:tblInd w:w="40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091"/>
        <w:gridCol w:w="720"/>
        <w:gridCol w:w="1080"/>
        <w:gridCol w:w="1379"/>
      </w:tblGrid>
      <w:tr w:rsidR="00046465" w14:paraId="0DFDAFA3" w14:textId="77777777">
        <w:trPr>
          <w:trHeight w:val="740"/>
        </w:trPr>
        <w:tc>
          <w:tcPr>
            <w:tcW w:w="6091" w:type="dxa"/>
            <w:tcBorders>
              <w:right w:val="single" w:sz="4" w:space="0" w:color="000000"/>
            </w:tcBorders>
          </w:tcPr>
          <w:p w14:paraId="0DFDAF9D" w14:textId="77777777" w:rsidR="00046465" w:rsidRDefault="00046465">
            <w:pPr>
              <w:pStyle w:val="TableParagraph"/>
              <w:rPr>
                <w:sz w:val="18"/>
              </w:rPr>
            </w:pPr>
          </w:p>
          <w:p w14:paraId="0DFDAF9E" w14:textId="77777777" w:rsidR="00046465" w:rsidRDefault="00046465">
            <w:pPr>
              <w:pStyle w:val="TableParagraph"/>
              <w:spacing w:before="1"/>
              <w:rPr>
                <w:sz w:val="18"/>
              </w:rPr>
            </w:pPr>
          </w:p>
          <w:p w14:paraId="0DFDAF9F" w14:textId="77777777" w:rsidR="00046465" w:rsidRDefault="008134EB">
            <w:pPr>
              <w:pStyle w:val="TableParagraph"/>
              <w:ind w:left="105"/>
              <w:rPr>
                <w:b/>
                <w:sz w:val="18"/>
              </w:rPr>
            </w:pPr>
            <w:r>
              <w:rPr>
                <w:b/>
                <w:spacing w:val="-2"/>
                <w:sz w:val="18"/>
              </w:rPr>
              <w:t>Questions</w:t>
            </w:r>
          </w:p>
        </w:tc>
        <w:tc>
          <w:tcPr>
            <w:tcW w:w="720" w:type="dxa"/>
            <w:tcBorders>
              <w:left w:val="single" w:sz="4" w:space="0" w:color="000000"/>
              <w:right w:val="single" w:sz="4" w:space="0" w:color="000000"/>
            </w:tcBorders>
          </w:tcPr>
          <w:p w14:paraId="0DFDAFA0" w14:textId="77777777" w:rsidR="00046465" w:rsidRDefault="008134EB">
            <w:pPr>
              <w:pStyle w:val="TableParagraph"/>
              <w:ind w:left="205" w:right="164" w:hanging="31"/>
              <w:jc w:val="both"/>
              <w:rPr>
                <w:b/>
                <w:sz w:val="18"/>
              </w:rPr>
            </w:pPr>
            <w:r>
              <w:rPr>
                <w:b/>
                <w:spacing w:val="-4"/>
                <w:sz w:val="18"/>
              </w:rPr>
              <w:t xml:space="preserve">Yes, No, </w:t>
            </w:r>
            <w:r>
              <w:rPr>
                <w:b/>
                <w:spacing w:val="-5"/>
                <w:sz w:val="18"/>
              </w:rPr>
              <w:t>N/A</w:t>
            </w:r>
          </w:p>
        </w:tc>
        <w:tc>
          <w:tcPr>
            <w:tcW w:w="1080" w:type="dxa"/>
            <w:tcBorders>
              <w:left w:val="single" w:sz="4" w:space="0" w:color="000000"/>
              <w:right w:val="single" w:sz="4" w:space="0" w:color="000000"/>
            </w:tcBorders>
          </w:tcPr>
          <w:p w14:paraId="0DFDAFA1" w14:textId="77777777" w:rsidR="00046465" w:rsidRDefault="008134EB">
            <w:pPr>
              <w:pStyle w:val="TableParagraph"/>
              <w:spacing w:before="206"/>
              <w:ind w:left="169" w:firstLine="85"/>
              <w:rPr>
                <w:b/>
                <w:sz w:val="18"/>
              </w:rPr>
            </w:pPr>
            <w:r>
              <w:rPr>
                <w:b/>
                <w:spacing w:val="-2"/>
                <w:sz w:val="18"/>
              </w:rPr>
              <w:t xml:space="preserve">Initials </w:t>
            </w:r>
            <w:r>
              <w:rPr>
                <w:b/>
                <w:sz w:val="18"/>
              </w:rPr>
              <w:t>and</w:t>
            </w:r>
            <w:r>
              <w:rPr>
                <w:b/>
                <w:spacing w:val="-1"/>
                <w:sz w:val="18"/>
              </w:rPr>
              <w:t xml:space="preserve"> </w:t>
            </w:r>
            <w:r>
              <w:rPr>
                <w:b/>
                <w:spacing w:val="-4"/>
                <w:sz w:val="18"/>
              </w:rPr>
              <w:t>date</w:t>
            </w:r>
          </w:p>
        </w:tc>
        <w:tc>
          <w:tcPr>
            <w:tcW w:w="1379" w:type="dxa"/>
            <w:tcBorders>
              <w:left w:val="single" w:sz="4" w:space="0" w:color="000000"/>
            </w:tcBorders>
          </w:tcPr>
          <w:p w14:paraId="0DFDAFA2" w14:textId="77777777" w:rsidR="00046465" w:rsidRDefault="008134EB">
            <w:pPr>
              <w:pStyle w:val="TableParagraph"/>
              <w:spacing w:before="206"/>
              <w:ind w:left="234" w:firstLine="14"/>
              <w:rPr>
                <w:b/>
                <w:sz w:val="18"/>
              </w:rPr>
            </w:pPr>
            <w:r>
              <w:rPr>
                <w:b/>
                <w:sz w:val="18"/>
              </w:rPr>
              <w:t>Audit</w:t>
            </w:r>
            <w:r>
              <w:rPr>
                <w:b/>
                <w:spacing w:val="-13"/>
                <w:sz w:val="18"/>
              </w:rPr>
              <w:t xml:space="preserve"> </w:t>
            </w:r>
            <w:r>
              <w:rPr>
                <w:b/>
                <w:sz w:val="18"/>
              </w:rPr>
              <w:t xml:space="preserve">doc. </w:t>
            </w:r>
            <w:r>
              <w:rPr>
                <w:b/>
                <w:spacing w:val="-2"/>
                <w:sz w:val="18"/>
              </w:rPr>
              <w:t>references</w:t>
            </w:r>
          </w:p>
        </w:tc>
      </w:tr>
      <w:tr w:rsidR="00046465" w14:paraId="0DFDAFA9" w14:textId="77777777">
        <w:trPr>
          <w:trHeight w:val="1494"/>
        </w:trPr>
        <w:tc>
          <w:tcPr>
            <w:tcW w:w="6091" w:type="dxa"/>
            <w:tcBorders>
              <w:bottom w:val="single" w:sz="4" w:space="0" w:color="000000"/>
              <w:right w:val="single" w:sz="4" w:space="0" w:color="000000"/>
            </w:tcBorders>
          </w:tcPr>
          <w:p w14:paraId="0DFDAFA4" w14:textId="77777777" w:rsidR="00046465" w:rsidRDefault="008134EB">
            <w:pPr>
              <w:pStyle w:val="TableParagraph"/>
              <w:spacing w:before="1"/>
              <w:ind w:left="585"/>
              <w:rPr>
                <w:sz w:val="18"/>
              </w:rPr>
            </w:pPr>
            <w:r>
              <w:rPr>
                <w:sz w:val="18"/>
              </w:rPr>
              <w:t>controls;</w:t>
            </w:r>
            <w:r>
              <w:rPr>
                <w:spacing w:val="-4"/>
                <w:sz w:val="18"/>
              </w:rPr>
              <w:t xml:space="preserve"> </w:t>
            </w:r>
            <w:r>
              <w:rPr>
                <w:spacing w:val="-5"/>
                <w:sz w:val="18"/>
              </w:rPr>
              <w:t>and</w:t>
            </w:r>
          </w:p>
          <w:p w14:paraId="0DFDAFA5" w14:textId="77777777" w:rsidR="00046465" w:rsidRDefault="008134EB">
            <w:pPr>
              <w:pStyle w:val="TableParagraph"/>
              <w:numPr>
                <w:ilvl w:val="0"/>
                <w:numId w:val="212"/>
              </w:numPr>
              <w:tabs>
                <w:tab w:val="left" w:pos="585"/>
              </w:tabs>
              <w:spacing w:before="119"/>
              <w:ind w:right="481"/>
              <w:rPr>
                <w:sz w:val="18"/>
              </w:rPr>
            </w:pPr>
            <w:r>
              <w:rPr>
                <w:sz w:val="18"/>
              </w:rPr>
              <w:t>evaluating</w:t>
            </w:r>
            <w:r>
              <w:rPr>
                <w:spacing w:val="-4"/>
                <w:sz w:val="18"/>
              </w:rPr>
              <w:t xml:space="preserve"> </w:t>
            </w:r>
            <w:r>
              <w:rPr>
                <w:sz w:val="18"/>
              </w:rPr>
              <w:t>whether</w:t>
            </w:r>
            <w:r>
              <w:rPr>
                <w:spacing w:val="-3"/>
                <w:sz w:val="18"/>
              </w:rPr>
              <w:t xml:space="preserve"> </w:t>
            </w:r>
            <w:r>
              <w:rPr>
                <w:sz w:val="18"/>
              </w:rPr>
              <w:t>the</w:t>
            </w:r>
            <w:r>
              <w:rPr>
                <w:spacing w:val="-4"/>
                <w:sz w:val="18"/>
              </w:rPr>
              <w:t xml:space="preserve"> </w:t>
            </w:r>
            <w:r>
              <w:rPr>
                <w:sz w:val="18"/>
              </w:rPr>
              <w:t>tests</w:t>
            </w:r>
            <w:r>
              <w:rPr>
                <w:spacing w:val="-3"/>
                <w:sz w:val="18"/>
              </w:rPr>
              <w:t xml:space="preserve"> </w:t>
            </w:r>
            <w:r>
              <w:rPr>
                <w:sz w:val="18"/>
              </w:rPr>
              <w:t>of</w:t>
            </w:r>
            <w:r>
              <w:rPr>
                <w:spacing w:val="-3"/>
                <w:sz w:val="18"/>
              </w:rPr>
              <w:t xml:space="preserve"> </w:t>
            </w:r>
            <w:r>
              <w:rPr>
                <w:sz w:val="18"/>
              </w:rPr>
              <w:t>controls</w:t>
            </w:r>
            <w:r>
              <w:rPr>
                <w:spacing w:val="-3"/>
                <w:sz w:val="18"/>
              </w:rPr>
              <w:t xml:space="preserve"> </w:t>
            </w:r>
            <w:r>
              <w:rPr>
                <w:sz w:val="18"/>
              </w:rPr>
              <w:t>that</w:t>
            </w:r>
            <w:r>
              <w:rPr>
                <w:spacing w:val="-3"/>
                <w:sz w:val="18"/>
              </w:rPr>
              <w:t xml:space="preserve"> </w:t>
            </w:r>
            <w:r>
              <w:rPr>
                <w:sz w:val="18"/>
              </w:rPr>
              <w:t>the</w:t>
            </w:r>
            <w:r>
              <w:rPr>
                <w:spacing w:val="-4"/>
                <w:sz w:val="18"/>
              </w:rPr>
              <w:t xml:space="preserve"> </w:t>
            </w:r>
            <w:r>
              <w:rPr>
                <w:sz w:val="18"/>
              </w:rPr>
              <w:t>service</w:t>
            </w:r>
            <w:r>
              <w:rPr>
                <w:spacing w:val="-4"/>
                <w:sz w:val="18"/>
              </w:rPr>
              <w:t xml:space="preserve"> </w:t>
            </w:r>
            <w:r>
              <w:rPr>
                <w:sz w:val="18"/>
              </w:rPr>
              <w:t>auditor performed and the results thereof, as described in the type 2 report, are relevant to the assertions in the entity’s financial statements</w:t>
            </w:r>
            <w:r>
              <w:rPr>
                <w:spacing w:val="-5"/>
                <w:sz w:val="18"/>
              </w:rPr>
              <w:t xml:space="preserve"> </w:t>
            </w:r>
            <w:r>
              <w:rPr>
                <w:sz w:val="18"/>
              </w:rPr>
              <w:t>and</w:t>
            </w:r>
            <w:r>
              <w:rPr>
                <w:spacing w:val="-6"/>
                <w:sz w:val="18"/>
              </w:rPr>
              <w:t xml:space="preserve"> </w:t>
            </w:r>
            <w:r>
              <w:rPr>
                <w:sz w:val="18"/>
              </w:rPr>
              <w:t>provide</w:t>
            </w:r>
            <w:r>
              <w:rPr>
                <w:spacing w:val="-6"/>
                <w:sz w:val="18"/>
              </w:rPr>
              <w:t xml:space="preserve"> </w:t>
            </w:r>
            <w:r>
              <w:rPr>
                <w:sz w:val="18"/>
              </w:rPr>
              <w:t>sufficient</w:t>
            </w:r>
            <w:r>
              <w:rPr>
                <w:spacing w:val="-5"/>
                <w:sz w:val="18"/>
              </w:rPr>
              <w:t xml:space="preserve"> </w:t>
            </w:r>
            <w:r>
              <w:rPr>
                <w:sz w:val="18"/>
              </w:rPr>
              <w:t>appropriate</w:t>
            </w:r>
            <w:r>
              <w:rPr>
                <w:spacing w:val="-6"/>
                <w:sz w:val="18"/>
              </w:rPr>
              <w:t xml:space="preserve"> </w:t>
            </w:r>
            <w:r>
              <w:rPr>
                <w:sz w:val="18"/>
              </w:rPr>
              <w:t>audit</w:t>
            </w:r>
            <w:r>
              <w:rPr>
                <w:spacing w:val="-5"/>
                <w:sz w:val="18"/>
              </w:rPr>
              <w:t xml:space="preserve"> </w:t>
            </w:r>
            <w:r>
              <w:rPr>
                <w:sz w:val="18"/>
              </w:rPr>
              <w:t>evidence</w:t>
            </w:r>
            <w:r>
              <w:rPr>
                <w:spacing w:val="-6"/>
                <w:sz w:val="18"/>
              </w:rPr>
              <w:t xml:space="preserve"> </w:t>
            </w:r>
            <w:r>
              <w:rPr>
                <w:sz w:val="18"/>
              </w:rPr>
              <w:t>to support the auditor’s risk assessment.</w:t>
            </w:r>
          </w:p>
        </w:tc>
        <w:tc>
          <w:tcPr>
            <w:tcW w:w="720" w:type="dxa"/>
            <w:tcBorders>
              <w:left w:val="single" w:sz="4" w:space="0" w:color="000000"/>
              <w:bottom w:val="single" w:sz="4" w:space="0" w:color="000000"/>
              <w:right w:val="single" w:sz="4" w:space="0" w:color="000000"/>
            </w:tcBorders>
          </w:tcPr>
          <w:p w14:paraId="0DFDAFA6" w14:textId="77777777" w:rsidR="00046465" w:rsidRDefault="00046465">
            <w:pPr>
              <w:pStyle w:val="TableParagraph"/>
              <w:rPr>
                <w:rFonts w:ascii="Times New Roman"/>
                <w:sz w:val="18"/>
              </w:rPr>
            </w:pPr>
          </w:p>
        </w:tc>
        <w:tc>
          <w:tcPr>
            <w:tcW w:w="1080" w:type="dxa"/>
            <w:tcBorders>
              <w:left w:val="single" w:sz="4" w:space="0" w:color="000000"/>
              <w:bottom w:val="single" w:sz="4" w:space="0" w:color="000000"/>
              <w:right w:val="single" w:sz="4" w:space="0" w:color="000000"/>
            </w:tcBorders>
          </w:tcPr>
          <w:p w14:paraId="0DFDAFA7" w14:textId="77777777" w:rsidR="00046465" w:rsidRDefault="00046465">
            <w:pPr>
              <w:pStyle w:val="TableParagraph"/>
              <w:rPr>
                <w:rFonts w:ascii="Times New Roman"/>
                <w:sz w:val="18"/>
              </w:rPr>
            </w:pPr>
          </w:p>
        </w:tc>
        <w:tc>
          <w:tcPr>
            <w:tcW w:w="1379" w:type="dxa"/>
            <w:tcBorders>
              <w:left w:val="single" w:sz="4" w:space="0" w:color="000000"/>
              <w:bottom w:val="single" w:sz="4" w:space="0" w:color="000000"/>
            </w:tcBorders>
          </w:tcPr>
          <w:p w14:paraId="0DFDAFA8" w14:textId="77777777" w:rsidR="00046465" w:rsidRDefault="00046465">
            <w:pPr>
              <w:pStyle w:val="TableParagraph"/>
              <w:rPr>
                <w:rFonts w:ascii="Times New Roman"/>
                <w:sz w:val="18"/>
              </w:rPr>
            </w:pPr>
          </w:p>
        </w:tc>
      </w:tr>
      <w:tr w:rsidR="00046465" w14:paraId="0DFDAFB2" w14:textId="77777777">
        <w:trPr>
          <w:trHeight w:val="2793"/>
        </w:trPr>
        <w:tc>
          <w:tcPr>
            <w:tcW w:w="6091" w:type="dxa"/>
            <w:tcBorders>
              <w:top w:val="single" w:sz="4" w:space="0" w:color="000000"/>
              <w:bottom w:val="single" w:sz="4" w:space="0" w:color="000000"/>
              <w:right w:val="single" w:sz="4" w:space="0" w:color="000000"/>
            </w:tcBorders>
          </w:tcPr>
          <w:p w14:paraId="0DFDAFAA" w14:textId="77777777" w:rsidR="00046465" w:rsidRDefault="008134EB">
            <w:pPr>
              <w:pStyle w:val="TableParagraph"/>
              <w:spacing w:line="207" w:lineRule="exact"/>
              <w:ind w:left="105"/>
              <w:rPr>
                <w:b/>
                <w:sz w:val="18"/>
              </w:rPr>
            </w:pPr>
            <w:r>
              <w:rPr>
                <w:sz w:val="18"/>
              </w:rPr>
              <w:t>14)</w:t>
            </w:r>
            <w:r>
              <w:rPr>
                <w:spacing w:val="-24"/>
                <w:sz w:val="18"/>
              </w:rPr>
              <w:t xml:space="preserve"> </w:t>
            </w:r>
            <w:r>
              <w:rPr>
                <w:b/>
                <w:sz w:val="18"/>
              </w:rPr>
              <w:t>[For</w:t>
            </w:r>
            <w:r>
              <w:rPr>
                <w:b/>
                <w:spacing w:val="-5"/>
                <w:sz w:val="18"/>
              </w:rPr>
              <w:t xml:space="preserve"> </w:t>
            </w:r>
            <w:r>
              <w:rPr>
                <w:b/>
                <w:sz w:val="18"/>
              </w:rPr>
              <w:t>audits</w:t>
            </w:r>
            <w:r>
              <w:rPr>
                <w:b/>
                <w:spacing w:val="-4"/>
                <w:sz w:val="18"/>
              </w:rPr>
              <w:t xml:space="preserve"> </w:t>
            </w:r>
            <w:r>
              <w:rPr>
                <w:b/>
                <w:sz w:val="18"/>
              </w:rPr>
              <w:t>of</w:t>
            </w:r>
            <w:r>
              <w:rPr>
                <w:b/>
                <w:spacing w:val="-2"/>
                <w:sz w:val="18"/>
              </w:rPr>
              <w:t xml:space="preserve"> </w:t>
            </w:r>
            <w:r>
              <w:rPr>
                <w:b/>
                <w:sz w:val="18"/>
              </w:rPr>
              <w:t>internal</w:t>
            </w:r>
            <w:r>
              <w:rPr>
                <w:b/>
                <w:spacing w:val="-2"/>
                <w:sz w:val="18"/>
              </w:rPr>
              <w:t xml:space="preserve"> </w:t>
            </w:r>
            <w:r>
              <w:rPr>
                <w:b/>
                <w:sz w:val="18"/>
              </w:rPr>
              <w:t>control</w:t>
            </w:r>
            <w:r>
              <w:rPr>
                <w:b/>
                <w:spacing w:val="-3"/>
                <w:sz w:val="18"/>
              </w:rPr>
              <w:t xml:space="preserve"> </w:t>
            </w:r>
            <w:r>
              <w:rPr>
                <w:b/>
                <w:sz w:val="18"/>
              </w:rPr>
              <w:t>over</w:t>
            </w:r>
            <w:r>
              <w:rPr>
                <w:b/>
                <w:spacing w:val="-2"/>
                <w:sz w:val="18"/>
              </w:rPr>
              <w:t xml:space="preserve"> </w:t>
            </w:r>
            <w:r>
              <w:rPr>
                <w:b/>
                <w:sz w:val="18"/>
              </w:rPr>
              <w:t>financial</w:t>
            </w:r>
            <w:r>
              <w:rPr>
                <w:b/>
                <w:spacing w:val="-2"/>
                <w:sz w:val="18"/>
              </w:rPr>
              <w:t xml:space="preserve"> reporting]</w:t>
            </w:r>
          </w:p>
          <w:p w14:paraId="0DFDAFAB" w14:textId="77777777" w:rsidR="00046465" w:rsidRDefault="008134EB">
            <w:pPr>
              <w:pStyle w:val="TableParagraph"/>
              <w:ind w:left="393" w:right="165" w:hanging="1"/>
              <w:rPr>
                <w:sz w:val="18"/>
              </w:rPr>
            </w:pPr>
            <w:r>
              <w:rPr>
                <w:sz w:val="18"/>
              </w:rPr>
              <w:t>Did the auditor determine that the report provides sufficient appropriate</w:t>
            </w:r>
            <w:r>
              <w:rPr>
                <w:spacing w:val="-6"/>
                <w:sz w:val="18"/>
              </w:rPr>
              <w:t xml:space="preserve"> </w:t>
            </w:r>
            <w:r>
              <w:rPr>
                <w:sz w:val="18"/>
              </w:rPr>
              <w:t>audit</w:t>
            </w:r>
            <w:r>
              <w:rPr>
                <w:spacing w:val="-5"/>
                <w:sz w:val="18"/>
              </w:rPr>
              <w:t xml:space="preserve"> </w:t>
            </w:r>
            <w:r>
              <w:rPr>
                <w:sz w:val="18"/>
              </w:rPr>
              <w:t>evidence</w:t>
            </w:r>
            <w:r>
              <w:rPr>
                <w:spacing w:val="-6"/>
                <w:sz w:val="18"/>
              </w:rPr>
              <w:t xml:space="preserve"> </w:t>
            </w:r>
            <w:r>
              <w:rPr>
                <w:sz w:val="18"/>
              </w:rPr>
              <w:t>about</w:t>
            </w:r>
            <w:r>
              <w:rPr>
                <w:spacing w:val="-5"/>
                <w:sz w:val="18"/>
              </w:rPr>
              <w:t xml:space="preserve"> </w:t>
            </w:r>
            <w:r>
              <w:rPr>
                <w:sz w:val="18"/>
              </w:rPr>
              <w:t>the</w:t>
            </w:r>
            <w:r>
              <w:rPr>
                <w:spacing w:val="-6"/>
                <w:sz w:val="18"/>
              </w:rPr>
              <w:t xml:space="preserve"> </w:t>
            </w:r>
            <w:r>
              <w:rPr>
                <w:sz w:val="18"/>
              </w:rPr>
              <w:t>effectiveness</w:t>
            </w:r>
            <w:r>
              <w:rPr>
                <w:spacing w:val="-5"/>
                <w:sz w:val="18"/>
              </w:rPr>
              <w:t xml:space="preserve"> </w:t>
            </w:r>
            <w:r>
              <w:rPr>
                <w:sz w:val="18"/>
              </w:rPr>
              <w:t>of</w:t>
            </w:r>
            <w:r>
              <w:rPr>
                <w:spacing w:val="-5"/>
                <w:sz w:val="18"/>
              </w:rPr>
              <w:t xml:space="preserve"> </w:t>
            </w:r>
            <w:r>
              <w:rPr>
                <w:sz w:val="18"/>
              </w:rPr>
              <w:t>controls</w:t>
            </w:r>
            <w:r>
              <w:rPr>
                <w:spacing w:val="-5"/>
                <w:sz w:val="18"/>
              </w:rPr>
              <w:t xml:space="preserve"> </w:t>
            </w:r>
            <w:r>
              <w:rPr>
                <w:sz w:val="18"/>
              </w:rPr>
              <w:t>to support the auditor’s opinion by evaluating the</w:t>
            </w:r>
          </w:p>
          <w:p w14:paraId="0DFDAFAC" w14:textId="77777777" w:rsidR="00046465" w:rsidRDefault="008134EB">
            <w:pPr>
              <w:pStyle w:val="TableParagraph"/>
              <w:numPr>
                <w:ilvl w:val="0"/>
                <w:numId w:val="211"/>
              </w:numPr>
              <w:tabs>
                <w:tab w:val="left" w:pos="583"/>
              </w:tabs>
              <w:spacing w:before="120"/>
              <w:ind w:right="336"/>
              <w:rPr>
                <w:sz w:val="18"/>
              </w:rPr>
            </w:pPr>
            <w:r>
              <w:rPr>
                <w:sz w:val="18"/>
              </w:rPr>
              <w:t>time</w:t>
            </w:r>
            <w:r>
              <w:rPr>
                <w:spacing w:val="-4"/>
                <w:sz w:val="18"/>
              </w:rPr>
              <w:t xml:space="preserve"> </w:t>
            </w:r>
            <w:r>
              <w:rPr>
                <w:sz w:val="18"/>
              </w:rPr>
              <w:t>period</w:t>
            </w:r>
            <w:r>
              <w:rPr>
                <w:spacing w:val="-4"/>
                <w:sz w:val="18"/>
              </w:rPr>
              <w:t xml:space="preserve"> </w:t>
            </w:r>
            <w:r>
              <w:rPr>
                <w:sz w:val="18"/>
              </w:rPr>
              <w:t>covered</w:t>
            </w:r>
            <w:r>
              <w:rPr>
                <w:spacing w:val="-4"/>
                <w:sz w:val="18"/>
              </w:rPr>
              <w:t xml:space="preserve"> </w:t>
            </w:r>
            <w:r>
              <w:rPr>
                <w:sz w:val="18"/>
              </w:rPr>
              <w:t>by</w:t>
            </w:r>
            <w:r>
              <w:rPr>
                <w:spacing w:val="-3"/>
                <w:sz w:val="18"/>
              </w:rPr>
              <w:t xml:space="preserve"> </w:t>
            </w:r>
            <w:r>
              <w:rPr>
                <w:sz w:val="18"/>
              </w:rPr>
              <w:t>the</w:t>
            </w:r>
            <w:r>
              <w:rPr>
                <w:spacing w:val="-4"/>
                <w:sz w:val="18"/>
              </w:rPr>
              <w:t xml:space="preserve"> </w:t>
            </w:r>
            <w:r>
              <w:rPr>
                <w:sz w:val="18"/>
              </w:rPr>
              <w:t>tests</w:t>
            </w:r>
            <w:r>
              <w:rPr>
                <w:spacing w:val="-3"/>
                <w:sz w:val="18"/>
              </w:rPr>
              <w:t xml:space="preserve"> </w:t>
            </w:r>
            <w:r>
              <w:rPr>
                <w:sz w:val="18"/>
              </w:rPr>
              <w:t>of</w:t>
            </w:r>
            <w:r>
              <w:rPr>
                <w:spacing w:val="-3"/>
                <w:sz w:val="18"/>
              </w:rPr>
              <w:t xml:space="preserve"> </w:t>
            </w:r>
            <w:r>
              <w:rPr>
                <w:sz w:val="18"/>
              </w:rPr>
              <w:t>controls</w:t>
            </w:r>
            <w:r>
              <w:rPr>
                <w:spacing w:val="-3"/>
                <w:sz w:val="18"/>
              </w:rPr>
              <w:t xml:space="preserve"> </w:t>
            </w:r>
            <w:r>
              <w:rPr>
                <w:sz w:val="18"/>
              </w:rPr>
              <w:t>and</w:t>
            </w:r>
            <w:r>
              <w:rPr>
                <w:spacing w:val="-4"/>
                <w:sz w:val="18"/>
              </w:rPr>
              <w:t xml:space="preserve"> </w:t>
            </w:r>
            <w:r>
              <w:rPr>
                <w:sz w:val="18"/>
              </w:rPr>
              <w:t>its</w:t>
            </w:r>
            <w:r>
              <w:rPr>
                <w:spacing w:val="-3"/>
                <w:sz w:val="18"/>
              </w:rPr>
              <w:t xml:space="preserve"> </w:t>
            </w:r>
            <w:r>
              <w:rPr>
                <w:sz w:val="18"/>
              </w:rPr>
              <w:t>relation</w:t>
            </w:r>
            <w:r>
              <w:rPr>
                <w:spacing w:val="-4"/>
                <w:sz w:val="18"/>
              </w:rPr>
              <w:t xml:space="preserve"> </w:t>
            </w:r>
            <w:r>
              <w:rPr>
                <w:sz w:val="18"/>
              </w:rPr>
              <w:t>to</w:t>
            </w:r>
            <w:r>
              <w:rPr>
                <w:spacing w:val="-4"/>
                <w:sz w:val="18"/>
              </w:rPr>
              <w:t xml:space="preserve"> </w:t>
            </w:r>
            <w:r>
              <w:rPr>
                <w:sz w:val="18"/>
              </w:rPr>
              <w:t>the balance sheet date;</w:t>
            </w:r>
          </w:p>
          <w:p w14:paraId="0DFDAFAD" w14:textId="77777777" w:rsidR="00046465" w:rsidRDefault="008134EB">
            <w:pPr>
              <w:pStyle w:val="TableParagraph"/>
              <w:numPr>
                <w:ilvl w:val="0"/>
                <w:numId w:val="211"/>
              </w:numPr>
              <w:tabs>
                <w:tab w:val="left" w:pos="583"/>
              </w:tabs>
              <w:spacing w:before="119"/>
              <w:ind w:right="133"/>
              <w:jc w:val="both"/>
              <w:rPr>
                <w:sz w:val="18"/>
              </w:rPr>
            </w:pPr>
            <w:r>
              <w:rPr>
                <w:sz w:val="18"/>
              </w:rPr>
              <w:t>scope</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service</w:t>
            </w:r>
            <w:r>
              <w:rPr>
                <w:spacing w:val="-4"/>
                <w:sz w:val="18"/>
              </w:rPr>
              <w:t xml:space="preserve"> </w:t>
            </w:r>
            <w:r>
              <w:rPr>
                <w:sz w:val="18"/>
              </w:rPr>
              <w:t>auditor’s</w:t>
            </w:r>
            <w:r>
              <w:rPr>
                <w:spacing w:val="-2"/>
                <w:sz w:val="18"/>
              </w:rPr>
              <w:t xml:space="preserve"> </w:t>
            </w:r>
            <w:r>
              <w:rPr>
                <w:sz w:val="18"/>
              </w:rPr>
              <w:t>work</w:t>
            </w:r>
            <w:r>
              <w:rPr>
                <w:spacing w:val="-3"/>
                <w:sz w:val="18"/>
              </w:rPr>
              <w:t xml:space="preserve"> </w:t>
            </w:r>
            <w:r>
              <w:rPr>
                <w:sz w:val="18"/>
              </w:rPr>
              <w:t>and</w:t>
            </w:r>
            <w:r>
              <w:rPr>
                <w:spacing w:val="-4"/>
                <w:sz w:val="18"/>
              </w:rPr>
              <w:t xml:space="preserve"> </w:t>
            </w:r>
            <w:r>
              <w:rPr>
                <w:sz w:val="18"/>
              </w:rPr>
              <w:t>the</w:t>
            </w:r>
            <w:r>
              <w:rPr>
                <w:spacing w:val="-4"/>
                <w:sz w:val="18"/>
              </w:rPr>
              <w:t xml:space="preserve"> </w:t>
            </w:r>
            <w:r>
              <w:rPr>
                <w:sz w:val="18"/>
              </w:rPr>
              <w:t>services</w:t>
            </w:r>
            <w:r>
              <w:rPr>
                <w:spacing w:val="-3"/>
                <w:sz w:val="18"/>
              </w:rPr>
              <w:t xml:space="preserve"> </w:t>
            </w:r>
            <w:r>
              <w:rPr>
                <w:sz w:val="18"/>
              </w:rPr>
              <w:t>and</w:t>
            </w:r>
            <w:r>
              <w:rPr>
                <w:spacing w:val="-4"/>
                <w:sz w:val="18"/>
              </w:rPr>
              <w:t xml:space="preserve"> </w:t>
            </w:r>
            <w:r>
              <w:rPr>
                <w:sz w:val="18"/>
              </w:rPr>
              <w:t>processes covered,</w:t>
            </w:r>
            <w:r>
              <w:rPr>
                <w:spacing w:val="-4"/>
                <w:sz w:val="18"/>
              </w:rPr>
              <w:t xml:space="preserve"> </w:t>
            </w:r>
            <w:r>
              <w:rPr>
                <w:sz w:val="18"/>
              </w:rPr>
              <w:t>the</w:t>
            </w:r>
            <w:r>
              <w:rPr>
                <w:spacing w:val="-5"/>
                <w:sz w:val="18"/>
              </w:rPr>
              <w:t xml:space="preserve"> </w:t>
            </w:r>
            <w:r>
              <w:rPr>
                <w:sz w:val="18"/>
              </w:rPr>
              <w:t>controls</w:t>
            </w:r>
            <w:r>
              <w:rPr>
                <w:spacing w:val="-4"/>
                <w:sz w:val="18"/>
              </w:rPr>
              <w:t xml:space="preserve"> </w:t>
            </w:r>
            <w:r>
              <w:rPr>
                <w:sz w:val="18"/>
              </w:rPr>
              <w:t>tested,</w:t>
            </w:r>
            <w:r>
              <w:rPr>
                <w:spacing w:val="-3"/>
                <w:sz w:val="18"/>
              </w:rPr>
              <w:t xml:space="preserve"> </w:t>
            </w:r>
            <w:r>
              <w:rPr>
                <w:sz w:val="18"/>
              </w:rPr>
              <w:t>and</w:t>
            </w:r>
            <w:r>
              <w:rPr>
                <w:spacing w:val="-5"/>
                <w:sz w:val="18"/>
              </w:rPr>
              <w:t xml:space="preserve"> </w:t>
            </w:r>
            <w:r>
              <w:rPr>
                <w:sz w:val="18"/>
              </w:rPr>
              <w:t>the</w:t>
            </w:r>
            <w:r>
              <w:rPr>
                <w:spacing w:val="-5"/>
                <w:sz w:val="18"/>
              </w:rPr>
              <w:t xml:space="preserve"> </w:t>
            </w:r>
            <w:r>
              <w:rPr>
                <w:sz w:val="18"/>
              </w:rPr>
              <w:t>tests</w:t>
            </w:r>
            <w:r>
              <w:rPr>
                <w:spacing w:val="-4"/>
                <w:sz w:val="18"/>
              </w:rPr>
              <w:t xml:space="preserve"> </w:t>
            </w:r>
            <w:r>
              <w:rPr>
                <w:sz w:val="18"/>
              </w:rPr>
              <w:t>that</w:t>
            </w:r>
            <w:r>
              <w:rPr>
                <w:spacing w:val="-4"/>
                <w:sz w:val="18"/>
              </w:rPr>
              <w:t xml:space="preserve"> </w:t>
            </w:r>
            <w:r>
              <w:rPr>
                <w:sz w:val="18"/>
              </w:rPr>
              <w:t>were</w:t>
            </w:r>
            <w:r>
              <w:rPr>
                <w:spacing w:val="-5"/>
                <w:sz w:val="18"/>
              </w:rPr>
              <w:t xml:space="preserve"> </w:t>
            </w:r>
            <w:r>
              <w:rPr>
                <w:sz w:val="18"/>
              </w:rPr>
              <w:t>performed</w:t>
            </w:r>
            <w:r>
              <w:rPr>
                <w:spacing w:val="-5"/>
                <w:sz w:val="18"/>
              </w:rPr>
              <w:t xml:space="preserve"> </w:t>
            </w:r>
            <w:r>
              <w:rPr>
                <w:sz w:val="18"/>
              </w:rPr>
              <w:t>and the way in which tested controls relate to the entity’s controls; and</w:t>
            </w:r>
          </w:p>
          <w:p w14:paraId="0DFDAFAE" w14:textId="77777777" w:rsidR="00046465" w:rsidRDefault="008134EB">
            <w:pPr>
              <w:pStyle w:val="TableParagraph"/>
              <w:numPr>
                <w:ilvl w:val="0"/>
                <w:numId w:val="211"/>
              </w:numPr>
              <w:tabs>
                <w:tab w:val="left" w:pos="583"/>
              </w:tabs>
              <w:spacing w:before="119"/>
              <w:ind w:right="324"/>
              <w:rPr>
                <w:sz w:val="18"/>
              </w:rPr>
            </w:pPr>
            <w:r>
              <w:rPr>
                <w:sz w:val="18"/>
              </w:rPr>
              <w:t>results</w:t>
            </w:r>
            <w:r>
              <w:rPr>
                <w:spacing w:val="-4"/>
                <w:sz w:val="18"/>
              </w:rPr>
              <w:t xml:space="preserve"> </w:t>
            </w:r>
            <w:r>
              <w:rPr>
                <w:sz w:val="18"/>
              </w:rPr>
              <w:t>of</w:t>
            </w:r>
            <w:r>
              <w:rPr>
                <w:spacing w:val="-4"/>
                <w:sz w:val="18"/>
              </w:rPr>
              <w:t xml:space="preserve"> </w:t>
            </w:r>
            <w:r>
              <w:rPr>
                <w:sz w:val="18"/>
              </w:rPr>
              <w:t>those</w:t>
            </w:r>
            <w:r>
              <w:rPr>
                <w:spacing w:val="-3"/>
                <w:sz w:val="18"/>
              </w:rPr>
              <w:t xml:space="preserve"> </w:t>
            </w:r>
            <w:r>
              <w:rPr>
                <w:sz w:val="18"/>
              </w:rPr>
              <w:t>tests</w:t>
            </w:r>
            <w:r>
              <w:rPr>
                <w:spacing w:val="-4"/>
                <w:sz w:val="18"/>
              </w:rPr>
              <w:t xml:space="preserve"> </w:t>
            </w:r>
            <w:r>
              <w:rPr>
                <w:sz w:val="18"/>
              </w:rPr>
              <w:t>of</w:t>
            </w:r>
            <w:r>
              <w:rPr>
                <w:spacing w:val="-4"/>
                <w:sz w:val="18"/>
              </w:rPr>
              <w:t xml:space="preserve"> </w:t>
            </w:r>
            <w:r>
              <w:rPr>
                <w:sz w:val="18"/>
              </w:rPr>
              <w:t>controls</w:t>
            </w:r>
            <w:r>
              <w:rPr>
                <w:spacing w:val="-4"/>
                <w:sz w:val="18"/>
              </w:rPr>
              <w:t xml:space="preserve"> </w:t>
            </w:r>
            <w:r>
              <w:rPr>
                <w:sz w:val="18"/>
              </w:rPr>
              <w:t>and</w:t>
            </w:r>
            <w:r>
              <w:rPr>
                <w:spacing w:val="-5"/>
                <w:sz w:val="18"/>
              </w:rPr>
              <w:t xml:space="preserve"> </w:t>
            </w:r>
            <w:r>
              <w:rPr>
                <w:sz w:val="18"/>
              </w:rPr>
              <w:t>the</w:t>
            </w:r>
            <w:r>
              <w:rPr>
                <w:spacing w:val="-5"/>
                <w:sz w:val="18"/>
              </w:rPr>
              <w:t xml:space="preserve"> </w:t>
            </w:r>
            <w:r>
              <w:rPr>
                <w:sz w:val="18"/>
              </w:rPr>
              <w:t>service</w:t>
            </w:r>
            <w:r>
              <w:rPr>
                <w:spacing w:val="-5"/>
                <w:sz w:val="18"/>
              </w:rPr>
              <w:t xml:space="preserve"> </w:t>
            </w:r>
            <w:r>
              <w:rPr>
                <w:sz w:val="18"/>
              </w:rPr>
              <w:t>auditor’s</w:t>
            </w:r>
            <w:r>
              <w:rPr>
                <w:spacing w:val="-4"/>
                <w:sz w:val="18"/>
              </w:rPr>
              <w:t xml:space="preserve"> </w:t>
            </w:r>
            <w:r>
              <w:rPr>
                <w:sz w:val="18"/>
              </w:rPr>
              <w:t>opinion on the operating effectiveness of controls?</w:t>
            </w:r>
          </w:p>
        </w:tc>
        <w:tc>
          <w:tcPr>
            <w:tcW w:w="720" w:type="dxa"/>
            <w:tcBorders>
              <w:top w:val="single" w:sz="4" w:space="0" w:color="000000"/>
              <w:left w:val="single" w:sz="4" w:space="0" w:color="000000"/>
              <w:bottom w:val="single" w:sz="4" w:space="0" w:color="000000"/>
              <w:right w:val="single" w:sz="4" w:space="0" w:color="000000"/>
            </w:tcBorders>
          </w:tcPr>
          <w:p w14:paraId="0DFDAFAF"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B0"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B1" w14:textId="77777777" w:rsidR="00046465" w:rsidRDefault="00046465">
            <w:pPr>
              <w:pStyle w:val="TableParagraph"/>
              <w:rPr>
                <w:rFonts w:ascii="Times New Roman"/>
                <w:sz w:val="18"/>
              </w:rPr>
            </w:pPr>
          </w:p>
        </w:tc>
      </w:tr>
      <w:tr w:rsidR="00046465" w14:paraId="0DFDAFB4" w14:textId="77777777">
        <w:trPr>
          <w:trHeight w:val="327"/>
        </w:trPr>
        <w:tc>
          <w:tcPr>
            <w:tcW w:w="9270" w:type="dxa"/>
            <w:gridSpan w:val="4"/>
            <w:tcBorders>
              <w:top w:val="single" w:sz="4" w:space="0" w:color="000000"/>
              <w:bottom w:val="single" w:sz="4" w:space="0" w:color="000000"/>
            </w:tcBorders>
            <w:shd w:val="clear" w:color="auto" w:fill="D9D9D9"/>
          </w:tcPr>
          <w:p w14:paraId="0DFDAFB3" w14:textId="77777777" w:rsidR="00046465" w:rsidRDefault="008134EB">
            <w:pPr>
              <w:pStyle w:val="TableParagraph"/>
              <w:spacing w:before="1"/>
              <w:ind w:left="105"/>
              <w:rPr>
                <w:b/>
                <w:sz w:val="18"/>
              </w:rPr>
            </w:pPr>
            <w:r>
              <w:rPr>
                <w:b/>
                <w:sz w:val="18"/>
              </w:rPr>
              <w:t>Consider</w:t>
            </w:r>
            <w:r>
              <w:rPr>
                <w:b/>
                <w:spacing w:val="-6"/>
                <w:sz w:val="18"/>
              </w:rPr>
              <w:t xml:space="preserve"> </w:t>
            </w:r>
            <w:r>
              <w:rPr>
                <w:b/>
                <w:sz w:val="18"/>
              </w:rPr>
              <w:t>management’s</w:t>
            </w:r>
            <w:r>
              <w:rPr>
                <w:b/>
                <w:spacing w:val="-2"/>
                <w:sz w:val="18"/>
              </w:rPr>
              <w:t xml:space="preserve"> </w:t>
            </w:r>
            <w:r>
              <w:rPr>
                <w:b/>
                <w:sz w:val="18"/>
              </w:rPr>
              <w:t>evaluation</w:t>
            </w:r>
            <w:r>
              <w:rPr>
                <w:b/>
                <w:spacing w:val="-3"/>
                <w:sz w:val="18"/>
              </w:rPr>
              <w:t xml:space="preserve"> </w:t>
            </w:r>
            <w:r>
              <w:rPr>
                <w:b/>
                <w:sz w:val="18"/>
              </w:rPr>
              <w:t>of</w:t>
            </w:r>
            <w:r>
              <w:rPr>
                <w:b/>
                <w:spacing w:val="-3"/>
                <w:sz w:val="18"/>
              </w:rPr>
              <w:t xml:space="preserve"> </w:t>
            </w:r>
            <w:r>
              <w:rPr>
                <w:b/>
                <w:sz w:val="18"/>
              </w:rPr>
              <w:t>the</w:t>
            </w:r>
            <w:r>
              <w:rPr>
                <w:b/>
                <w:spacing w:val="-3"/>
                <w:sz w:val="18"/>
              </w:rPr>
              <w:t xml:space="preserve"> </w:t>
            </w:r>
            <w:r>
              <w:rPr>
                <w:b/>
                <w:sz w:val="18"/>
              </w:rPr>
              <w:t>type</w:t>
            </w:r>
            <w:r>
              <w:rPr>
                <w:b/>
                <w:spacing w:val="-3"/>
                <w:sz w:val="18"/>
              </w:rPr>
              <w:t xml:space="preserve"> </w:t>
            </w:r>
            <w:r>
              <w:rPr>
                <w:b/>
                <w:sz w:val="18"/>
              </w:rPr>
              <w:t>2</w:t>
            </w:r>
            <w:r>
              <w:rPr>
                <w:b/>
                <w:spacing w:val="-3"/>
                <w:sz w:val="18"/>
              </w:rPr>
              <w:t xml:space="preserve"> </w:t>
            </w:r>
            <w:r>
              <w:rPr>
                <w:b/>
                <w:spacing w:val="-2"/>
                <w:sz w:val="18"/>
              </w:rPr>
              <w:t>report</w:t>
            </w:r>
          </w:p>
        </w:tc>
      </w:tr>
      <w:tr w:rsidR="00046465" w14:paraId="0DFDAFB9" w14:textId="77777777">
        <w:trPr>
          <w:trHeight w:val="1155"/>
        </w:trPr>
        <w:tc>
          <w:tcPr>
            <w:tcW w:w="6091" w:type="dxa"/>
            <w:tcBorders>
              <w:top w:val="single" w:sz="4" w:space="0" w:color="000000"/>
              <w:bottom w:val="single" w:sz="4" w:space="0" w:color="000000"/>
              <w:right w:val="single" w:sz="4" w:space="0" w:color="000000"/>
            </w:tcBorders>
          </w:tcPr>
          <w:p w14:paraId="0DFDAFB5" w14:textId="77777777" w:rsidR="00046465" w:rsidRDefault="008134EB">
            <w:pPr>
              <w:pStyle w:val="TableParagraph"/>
              <w:ind w:left="392" w:hanging="288"/>
              <w:rPr>
                <w:sz w:val="18"/>
              </w:rPr>
            </w:pPr>
            <w:r>
              <w:rPr>
                <w:sz w:val="18"/>
              </w:rPr>
              <w:t>15)</w:t>
            </w:r>
            <w:r>
              <w:rPr>
                <w:spacing w:val="-22"/>
                <w:sz w:val="18"/>
              </w:rPr>
              <w:t xml:space="preserve"> </w:t>
            </w:r>
            <w:r>
              <w:rPr>
                <w:sz w:val="18"/>
              </w:rPr>
              <w:t>Did</w:t>
            </w:r>
            <w:r>
              <w:rPr>
                <w:spacing w:val="-8"/>
                <w:sz w:val="18"/>
              </w:rPr>
              <w:t xml:space="preserve"> </w:t>
            </w:r>
            <w:r>
              <w:rPr>
                <w:sz w:val="18"/>
              </w:rPr>
              <w:t>management</w:t>
            </w:r>
            <w:r>
              <w:rPr>
                <w:spacing w:val="-5"/>
                <w:sz w:val="18"/>
              </w:rPr>
              <w:t xml:space="preserve"> </w:t>
            </w:r>
            <w:r>
              <w:rPr>
                <w:sz w:val="18"/>
              </w:rPr>
              <w:t>appropriately</w:t>
            </w:r>
            <w:r>
              <w:rPr>
                <w:spacing w:val="-5"/>
                <w:sz w:val="18"/>
              </w:rPr>
              <w:t xml:space="preserve"> </w:t>
            </w:r>
            <w:r>
              <w:rPr>
                <w:sz w:val="18"/>
              </w:rPr>
              <w:t>assess</w:t>
            </w:r>
            <w:r>
              <w:rPr>
                <w:spacing w:val="-5"/>
                <w:sz w:val="18"/>
              </w:rPr>
              <w:t xml:space="preserve"> </w:t>
            </w:r>
            <w:r>
              <w:rPr>
                <w:sz w:val="18"/>
              </w:rPr>
              <w:t>the</w:t>
            </w:r>
            <w:r>
              <w:rPr>
                <w:spacing w:val="-6"/>
                <w:sz w:val="18"/>
              </w:rPr>
              <w:t xml:space="preserve"> </w:t>
            </w:r>
            <w:r>
              <w:rPr>
                <w:sz w:val="18"/>
              </w:rPr>
              <w:t>report</w:t>
            </w:r>
            <w:r>
              <w:rPr>
                <w:spacing w:val="-4"/>
                <w:sz w:val="18"/>
              </w:rPr>
              <w:t xml:space="preserve"> </w:t>
            </w:r>
            <w:r>
              <w:rPr>
                <w:sz w:val="18"/>
              </w:rPr>
              <w:t>(including</w:t>
            </w:r>
            <w:r>
              <w:rPr>
                <w:spacing w:val="-6"/>
                <w:sz w:val="18"/>
              </w:rPr>
              <w:t xml:space="preserve"> </w:t>
            </w:r>
            <w:r>
              <w:rPr>
                <w:sz w:val="18"/>
              </w:rPr>
              <w:t>its</w:t>
            </w:r>
            <w:r>
              <w:rPr>
                <w:spacing w:val="-5"/>
                <w:sz w:val="18"/>
              </w:rPr>
              <w:t xml:space="preserve"> </w:t>
            </w:r>
            <w:r>
              <w:rPr>
                <w:sz w:val="18"/>
              </w:rPr>
              <w:t>timing, scope, methodology, and any exceptions identified) to determine if it provides management with reasonable assurance that the service organization controls relevant to the entity’s financial reporting were operating effectively?</w:t>
            </w:r>
          </w:p>
        </w:tc>
        <w:tc>
          <w:tcPr>
            <w:tcW w:w="720" w:type="dxa"/>
            <w:tcBorders>
              <w:top w:val="single" w:sz="4" w:space="0" w:color="000000"/>
              <w:left w:val="single" w:sz="4" w:space="0" w:color="000000"/>
              <w:bottom w:val="single" w:sz="4" w:space="0" w:color="000000"/>
              <w:right w:val="single" w:sz="4" w:space="0" w:color="000000"/>
            </w:tcBorders>
          </w:tcPr>
          <w:p w14:paraId="0DFDAFB6"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B7"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B8" w14:textId="77777777" w:rsidR="00046465" w:rsidRDefault="00046465">
            <w:pPr>
              <w:pStyle w:val="TableParagraph"/>
              <w:rPr>
                <w:rFonts w:ascii="Times New Roman"/>
                <w:sz w:val="18"/>
              </w:rPr>
            </w:pPr>
          </w:p>
        </w:tc>
      </w:tr>
      <w:tr w:rsidR="00046465" w14:paraId="0DFDAFBF" w14:textId="77777777">
        <w:trPr>
          <w:trHeight w:val="2103"/>
        </w:trPr>
        <w:tc>
          <w:tcPr>
            <w:tcW w:w="6091" w:type="dxa"/>
            <w:tcBorders>
              <w:top w:val="single" w:sz="4" w:space="0" w:color="000000"/>
              <w:bottom w:val="single" w:sz="4" w:space="0" w:color="000000"/>
              <w:right w:val="single" w:sz="4" w:space="0" w:color="000000"/>
            </w:tcBorders>
          </w:tcPr>
          <w:p w14:paraId="0DFDAFBA" w14:textId="77777777" w:rsidR="00046465" w:rsidRDefault="008134EB">
            <w:pPr>
              <w:pStyle w:val="TableParagraph"/>
              <w:ind w:left="675" w:right="165" w:hanging="282"/>
              <w:rPr>
                <w:sz w:val="18"/>
              </w:rPr>
            </w:pPr>
            <w:r>
              <w:rPr>
                <w:sz w:val="18"/>
              </w:rPr>
              <w:t>a)</w:t>
            </w:r>
            <w:r>
              <w:rPr>
                <w:spacing w:val="40"/>
                <w:sz w:val="18"/>
              </w:rPr>
              <w:t xml:space="preserve"> </w:t>
            </w:r>
            <w:r>
              <w:rPr>
                <w:sz w:val="18"/>
              </w:rPr>
              <w:t>If</w:t>
            </w:r>
            <w:r>
              <w:rPr>
                <w:spacing w:val="-4"/>
                <w:sz w:val="18"/>
              </w:rPr>
              <w:t xml:space="preserve"> </w:t>
            </w:r>
            <w:r>
              <w:rPr>
                <w:sz w:val="18"/>
              </w:rPr>
              <w:t>management</w:t>
            </w:r>
            <w:r>
              <w:rPr>
                <w:spacing w:val="-3"/>
                <w:sz w:val="18"/>
              </w:rPr>
              <w:t xml:space="preserve"> </w:t>
            </w:r>
            <w:r>
              <w:rPr>
                <w:sz w:val="18"/>
              </w:rPr>
              <w:t>determined</w:t>
            </w:r>
            <w:r>
              <w:rPr>
                <w:spacing w:val="-5"/>
                <w:sz w:val="18"/>
              </w:rPr>
              <w:t xml:space="preserve"> </w:t>
            </w:r>
            <w:r>
              <w:rPr>
                <w:sz w:val="18"/>
              </w:rPr>
              <w:t>that</w:t>
            </w:r>
            <w:r>
              <w:rPr>
                <w:spacing w:val="-4"/>
                <w:sz w:val="18"/>
              </w:rPr>
              <w:t xml:space="preserve"> </w:t>
            </w:r>
            <w:r>
              <w:rPr>
                <w:sz w:val="18"/>
              </w:rPr>
              <w:t>the</w:t>
            </w:r>
            <w:r>
              <w:rPr>
                <w:spacing w:val="-5"/>
                <w:sz w:val="18"/>
              </w:rPr>
              <w:t xml:space="preserve"> </w:t>
            </w:r>
            <w:r>
              <w:rPr>
                <w:sz w:val="18"/>
              </w:rPr>
              <w:t>report</w:t>
            </w:r>
            <w:r>
              <w:rPr>
                <w:spacing w:val="-4"/>
                <w:sz w:val="18"/>
              </w:rPr>
              <w:t xml:space="preserve"> </w:t>
            </w:r>
            <w:r>
              <w:rPr>
                <w:sz w:val="18"/>
              </w:rPr>
              <w:t>does</w:t>
            </w:r>
            <w:r>
              <w:rPr>
                <w:spacing w:val="-4"/>
                <w:sz w:val="18"/>
              </w:rPr>
              <w:t xml:space="preserve"> </w:t>
            </w:r>
            <w:r>
              <w:rPr>
                <w:sz w:val="18"/>
              </w:rPr>
              <w:t>not</w:t>
            </w:r>
            <w:r>
              <w:rPr>
                <w:spacing w:val="-4"/>
                <w:sz w:val="18"/>
              </w:rPr>
              <w:t xml:space="preserve"> </w:t>
            </w:r>
            <w:r>
              <w:rPr>
                <w:sz w:val="18"/>
              </w:rPr>
              <w:t>provide</w:t>
            </w:r>
            <w:r>
              <w:rPr>
                <w:spacing w:val="-3"/>
                <w:sz w:val="18"/>
              </w:rPr>
              <w:t xml:space="preserve"> </w:t>
            </w:r>
            <w:r>
              <w:rPr>
                <w:sz w:val="18"/>
              </w:rPr>
              <w:t>such assurance, did management perform additional procedures to obtain the assurance needed?</w:t>
            </w:r>
          </w:p>
          <w:p w14:paraId="0DFDAFBB" w14:textId="77777777" w:rsidR="00046465" w:rsidRDefault="008134EB">
            <w:pPr>
              <w:pStyle w:val="TableParagraph"/>
              <w:spacing w:before="119"/>
              <w:ind w:left="674" w:right="165"/>
              <w:rPr>
                <w:sz w:val="18"/>
              </w:rPr>
            </w:pPr>
            <w:r>
              <w:rPr>
                <w:sz w:val="18"/>
              </w:rPr>
              <w:t>Additional procedures may include (1) contacting the service organization to obtain specific information, (2) performing procedures at the service organization that will provide the necessary</w:t>
            </w:r>
            <w:r>
              <w:rPr>
                <w:spacing w:val="-6"/>
                <w:sz w:val="18"/>
              </w:rPr>
              <w:t xml:space="preserve"> </w:t>
            </w:r>
            <w:r>
              <w:rPr>
                <w:sz w:val="18"/>
              </w:rPr>
              <w:t>information</w:t>
            </w:r>
            <w:r>
              <w:rPr>
                <w:spacing w:val="-7"/>
                <w:sz w:val="18"/>
              </w:rPr>
              <w:t xml:space="preserve"> </w:t>
            </w:r>
            <w:r>
              <w:rPr>
                <w:sz w:val="18"/>
              </w:rPr>
              <w:t>about</w:t>
            </w:r>
            <w:r>
              <w:rPr>
                <w:spacing w:val="-6"/>
                <w:sz w:val="18"/>
              </w:rPr>
              <w:t xml:space="preserve"> </w:t>
            </w:r>
            <w:r>
              <w:rPr>
                <w:sz w:val="18"/>
              </w:rPr>
              <w:t>controls</w:t>
            </w:r>
            <w:r>
              <w:rPr>
                <w:spacing w:val="-6"/>
                <w:sz w:val="18"/>
              </w:rPr>
              <w:t xml:space="preserve"> </w:t>
            </w:r>
            <w:r>
              <w:rPr>
                <w:sz w:val="18"/>
              </w:rPr>
              <w:t>at</w:t>
            </w:r>
            <w:r>
              <w:rPr>
                <w:spacing w:val="-6"/>
                <w:sz w:val="18"/>
              </w:rPr>
              <w:t xml:space="preserve"> </w:t>
            </w:r>
            <w:r>
              <w:rPr>
                <w:sz w:val="18"/>
              </w:rPr>
              <w:t>the</w:t>
            </w:r>
            <w:r>
              <w:rPr>
                <w:spacing w:val="-7"/>
                <w:sz w:val="18"/>
              </w:rPr>
              <w:t xml:space="preserve"> </w:t>
            </w:r>
            <w:r>
              <w:rPr>
                <w:sz w:val="18"/>
              </w:rPr>
              <w:t>service</w:t>
            </w:r>
            <w:r>
              <w:rPr>
                <w:spacing w:val="-7"/>
                <w:sz w:val="18"/>
              </w:rPr>
              <w:t xml:space="preserve"> </w:t>
            </w:r>
            <w:r>
              <w:rPr>
                <w:sz w:val="18"/>
              </w:rPr>
              <w:t>organization, or (3) obtaining an</w:t>
            </w:r>
            <w:r>
              <w:rPr>
                <w:spacing w:val="-1"/>
                <w:sz w:val="18"/>
              </w:rPr>
              <w:t xml:space="preserve"> </w:t>
            </w:r>
            <w:r>
              <w:rPr>
                <w:sz w:val="18"/>
              </w:rPr>
              <w:t>additional service</w:t>
            </w:r>
            <w:r>
              <w:rPr>
                <w:spacing w:val="-1"/>
                <w:sz w:val="18"/>
              </w:rPr>
              <w:t xml:space="preserve"> </w:t>
            </w:r>
            <w:r>
              <w:rPr>
                <w:sz w:val="18"/>
              </w:rPr>
              <w:t>organization</w:t>
            </w:r>
            <w:r>
              <w:rPr>
                <w:spacing w:val="-1"/>
                <w:sz w:val="18"/>
              </w:rPr>
              <w:t xml:space="preserve"> </w:t>
            </w:r>
            <w:r>
              <w:rPr>
                <w:sz w:val="18"/>
              </w:rPr>
              <w:t>report that will provide the necessary information.</w:t>
            </w:r>
          </w:p>
        </w:tc>
        <w:tc>
          <w:tcPr>
            <w:tcW w:w="720" w:type="dxa"/>
            <w:tcBorders>
              <w:top w:val="single" w:sz="4" w:space="0" w:color="000000"/>
              <w:left w:val="single" w:sz="4" w:space="0" w:color="000000"/>
              <w:bottom w:val="single" w:sz="4" w:space="0" w:color="000000"/>
              <w:right w:val="single" w:sz="4" w:space="0" w:color="000000"/>
            </w:tcBorders>
          </w:tcPr>
          <w:p w14:paraId="0DFDAFBC"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BD"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BE" w14:textId="77777777" w:rsidR="00046465" w:rsidRDefault="00046465">
            <w:pPr>
              <w:pStyle w:val="TableParagraph"/>
              <w:rPr>
                <w:rFonts w:ascii="Times New Roman"/>
                <w:sz w:val="18"/>
              </w:rPr>
            </w:pPr>
          </w:p>
        </w:tc>
      </w:tr>
      <w:tr w:rsidR="00046465" w14:paraId="0DFDAFC4" w14:textId="77777777">
        <w:trPr>
          <w:trHeight w:val="947"/>
        </w:trPr>
        <w:tc>
          <w:tcPr>
            <w:tcW w:w="6091" w:type="dxa"/>
            <w:tcBorders>
              <w:top w:val="single" w:sz="4" w:space="0" w:color="000000"/>
              <w:bottom w:val="single" w:sz="4" w:space="0" w:color="000000"/>
              <w:right w:val="single" w:sz="4" w:space="0" w:color="000000"/>
            </w:tcBorders>
          </w:tcPr>
          <w:p w14:paraId="0DFDAFC0" w14:textId="77777777" w:rsidR="00046465" w:rsidRDefault="008134EB">
            <w:pPr>
              <w:pStyle w:val="TableParagraph"/>
              <w:ind w:left="675" w:right="165" w:hanging="282"/>
              <w:rPr>
                <w:sz w:val="18"/>
              </w:rPr>
            </w:pPr>
            <w:r>
              <w:rPr>
                <w:sz w:val="18"/>
              </w:rPr>
              <w:t>b)</w:t>
            </w:r>
            <w:r>
              <w:rPr>
                <w:spacing w:val="40"/>
                <w:sz w:val="18"/>
              </w:rPr>
              <w:t xml:space="preserve"> </w:t>
            </w:r>
            <w:r>
              <w:rPr>
                <w:sz w:val="18"/>
              </w:rPr>
              <w:t>Did</w:t>
            </w:r>
            <w:r>
              <w:rPr>
                <w:spacing w:val="-5"/>
                <w:sz w:val="18"/>
              </w:rPr>
              <w:t xml:space="preserve"> </w:t>
            </w:r>
            <w:r>
              <w:rPr>
                <w:sz w:val="18"/>
              </w:rPr>
              <w:t>management</w:t>
            </w:r>
            <w:r>
              <w:rPr>
                <w:spacing w:val="-5"/>
                <w:sz w:val="18"/>
              </w:rPr>
              <w:t xml:space="preserve"> </w:t>
            </w:r>
            <w:r>
              <w:rPr>
                <w:sz w:val="18"/>
              </w:rPr>
              <w:t>assess</w:t>
            </w:r>
            <w:r>
              <w:rPr>
                <w:spacing w:val="-5"/>
                <w:sz w:val="18"/>
              </w:rPr>
              <w:t xml:space="preserve"> </w:t>
            </w:r>
            <w:r>
              <w:rPr>
                <w:sz w:val="18"/>
              </w:rPr>
              <w:t>whether</w:t>
            </w:r>
            <w:r>
              <w:rPr>
                <w:spacing w:val="-5"/>
                <w:sz w:val="18"/>
              </w:rPr>
              <w:t xml:space="preserve"> </w:t>
            </w:r>
            <w:r>
              <w:rPr>
                <w:sz w:val="18"/>
              </w:rPr>
              <w:t>the</w:t>
            </w:r>
            <w:r>
              <w:rPr>
                <w:spacing w:val="-5"/>
                <w:sz w:val="18"/>
              </w:rPr>
              <w:t xml:space="preserve"> </w:t>
            </w:r>
            <w:r>
              <w:rPr>
                <w:sz w:val="18"/>
              </w:rPr>
              <w:t>complementary</w:t>
            </w:r>
            <w:r>
              <w:rPr>
                <w:spacing w:val="-5"/>
                <w:sz w:val="18"/>
              </w:rPr>
              <w:t xml:space="preserve"> </w:t>
            </w:r>
            <w:r>
              <w:rPr>
                <w:sz w:val="18"/>
              </w:rPr>
              <w:t>user</w:t>
            </w:r>
            <w:r>
              <w:rPr>
                <w:spacing w:val="-5"/>
                <w:sz w:val="18"/>
              </w:rPr>
              <w:t xml:space="preserve"> </w:t>
            </w:r>
            <w:r>
              <w:rPr>
                <w:sz w:val="18"/>
              </w:rPr>
              <w:t>entity and</w:t>
            </w:r>
            <w:r>
              <w:rPr>
                <w:spacing w:val="-2"/>
                <w:sz w:val="18"/>
              </w:rPr>
              <w:t xml:space="preserve"> </w:t>
            </w:r>
            <w:r>
              <w:rPr>
                <w:sz w:val="18"/>
              </w:rPr>
              <w:t>subservice organization</w:t>
            </w:r>
            <w:r>
              <w:rPr>
                <w:spacing w:val="-2"/>
                <w:sz w:val="18"/>
              </w:rPr>
              <w:t xml:space="preserve"> </w:t>
            </w:r>
            <w:r>
              <w:rPr>
                <w:sz w:val="18"/>
              </w:rPr>
              <w:t>controls,</w:t>
            </w:r>
            <w:r>
              <w:rPr>
                <w:spacing w:val="-1"/>
                <w:sz w:val="18"/>
              </w:rPr>
              <w:t xml:space="preserve"> </w:t>
            </w:r>
            <w:r>
              <w:rPr>
                <w:sz w:val="18"/>
              </w:rPr>
              <w:t>identified</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 xml:space="preserve">report and relevant to the entity’s financial reporting, were operating </w:t>
            </w:r>
            <w:r>
              <w:rPr>
                <w:spacing w:val="-2"/>
                <w:sz w:val="18"/>
              </w:rPr>
              <w:t>effectively?</w:t>
            </w:r>
          </w:p>
        </w:tc>
        <w:tc>
          <w:tcPr>
            <w:tcW w:w="720" w:type="dxa"/>
            <w:tcBorders>
              <w:top w:val="single" w:sz="4" w:space="0" w:color="000000"/>
              <w:left w:val="single" w:sz="4" w:space="0" w:color="000000"/>
              <w:bottom w:val="single" w:sz="4" w:space="0" w:color="000000"/>
              <w:right w:val="single" w:sz="4" w:space="0" w:color="000000"/>
            </w:tcBorders>
          </w:tcPr>
          <w:p w14:paraId="0DFDAFC1"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C2"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C3" w14:textId="77777777" w:rsidR="00046465" w:rsidRDefault="00046465">
            <w:pPr>
              <w:pStyle w:val="TableParagraph"/>
              <w:rPr>
                <w:rFonts w:ascii="Times New Roman"/>
                <w:sz w:val="18"/>
              </w:rPr>
            </w:pPr>
          </w:p>
        </w:tc>
      </w:tr>
      <w:tr w:rsidR="00046465" w14:paraId="0DFDAFC9" w14:textId="77777777">
        <w:trPr>
          <w:trHeight w:val="741"/>
        </w:trPr>
        <w:tc>
          <w:tcPr>
            <w:tcW w:w="6091" w:type="dxa"/>
            <w:tcBorders>
              <w:top w:val="single" w:sz="4" w:space="0" w:color="000000"/>
              <w:bottom w:val="single" w:sz="4" w:space="0" w:color="000000"/>
              <w:right w:val="single" w:sz="4" w:space="0" w:color="000000"/>
            </w:tcBorders>
          </w:tcPr>
          <w:p w14:paraId="0DFDAFC5" w14:textId="77777777" w:rsidR="00046465" w:rsidRDefault="008134EB">
            <w:pPr>
              <w:pStyle w:val="TableParagraph"/>
              <w:ind w:left="392" w:right="165" w:hanging="288"/>
              <w:rPr>
                <w:sz w:val="18"/>
              </w:rPr>
            </w:pPr>
            <w:r>
              <w:rPr>
                <w:sz w:val="18"/>
              </w:rPr>
              <w:t>16)</w:t>
            </w:r>
            <w:r>
              <w:rPr>
                <w:spacing w:val="-22"/>
                <w:sz w:val="18"/>
              </w:rPr>
              <w:t xml:space="preserve"> </w:t>
            </w:r>
            <w:r>
              <w:rPr>
                <w:sz w:val="18"/>
              </w:rPr>
              <w:t>Did</w:t>
            </w:r>
            <w:r>
              <w:rPr>
                <w:spacing w:val="-8"/>
                <w:sz w:val="18"/>
              </w:rPr>
              <w:t xml:space="preserve"> </w:t>
            </w:r>
            <w:r>
              <w:rPr>
                <w:sz w:val="18"/>
              </w:rPr>
              <w:t>management</w:t>
            </w:r>
            <w:r>
              <w:rPr>
                <w:spacing w:val="-4"/>
                <w:sz w:val="18"/>
              </w:rPr>
              <w:t xml:space="preserve"> </w:t>
            </w:r>
            <w:r>
              <w:rPr>
                <w:sz w:val="18"/>
              </w:rPr>
              <w:t>appropriately</w:t>
            </w:r>
            <w:r>
              <w:rPr>
                <w:spacing w:val="-4"/>
                <w:sz w:val="18"/>
              </w:rPr>
              <w:t xml:space="preserve"> </w:t>
            </w:r>
            <w:r>
              <w:rPr>
                <w:sz w:val="18"/>
              </w:rPr>
              <w:t>document</w:t>
            </w:r>
            <w:r>
              <w:rPr>
                <w:spacing w:val="-4"/>
                <w:sz w:val="18"/>
              </w:rPr>
              <w:t xml:space="preserve"> </w:t>
            </w:r>
            <w:r>
              <w:rPr>
                <w:sz w:val="18"/>
              </w:rPr>
              <w:t>the</w:t>
            </w:r>
            <w:r>
              <w:rPr>
                <w:spacing w:val="-5"/>
                <w:sz w:val="18"/>
              </w:rPr>
              <w:t xml:space="preserve"> </w:t>
            </w:r>
            <w:r>
              <w:rPr>
                <w:sz w:val="18"/>
              </w:rPr>
              <w:t>results</w:t>
            </w:r>
            <w:r>
              <w:rPr>
                <w:spacing w:val="-4"/>
                <w:sz w:val="18"/>
              </w:rPr>
              <w:t xml:space="preserve"> </w:t>
            </w:r>
            <w:r>
              <w:rPr>
                <w:sz w:val="18"/>
              </w:rPr>
              <w:t>of</w:t>
            </w:r>
            <w:r>
              <w:rPr>
                <w:spacing w:val="-4"/>
                <w:sz w:val="18"/>
              </w:rPr>
              <w:t xml:space="preserve"> </w:t>
            </w:r>
            <w:r>
              <w:rPr>
                <w:sz w:val="18"/>
              </w:rPr>
              <w:t>its</w:t>
            </w:r>
            <w:r>
              <w:rPr>
                <w:spacing w:val="-4"/>
                <w:sz w:val="18"/>
              </w:rPr>
              <w:t xml:space="preserve"> </w:t>
            </w:r>
            <w:r>
              <w:rPr>
                <w:sz w:val="18"/>
              </w:rPr>
              <w:t>review</w:t>
            </w:r>
            <w:r>
              <w:rPr>
                <w:spacing w:val="-4"/>
                <w:sz w:val="18"/>
              </w:rPr>
              <w:t xml:space="preserve"> </w:t>
            </w:r>
            <w:r>
              <w:rPr>
                <w:sz w:val="18"/>
              </w:rPr>
              <w:t>of the report and its assessment of the relevant complementary user entity and subservice organization controls?</w:t>
            </w:r>
          </w:p>
        </w:tc>
        <w:tc>
          <w:tcPr>
            <w:tcW w:w="720" w:type="dxa"/>
            <w:tcBorders>
              <w:top w:val="single" w:sz="4" w:space="0" w:color="000000"/>
              <w:left w:val="single" w:sz="4" w:space="0" w:color="000000"/>
              <w:bottom w:val="single" w:sz="4" w:space="0" w:color="000000"/>
              <w:right w:val="single" w:sz="4" w:space="0" w:color="000000"/>
            </w:tcBorders>
          </w:tcPr>
          <w:p w14:paraId="0DFDAFC6"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C7"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C8" w14:textId="77777777" w:rsidR="00046465" w:rsidRDefault="00046465">
            <w:pPr>
              <w:pStyle w:val="TableParagraph"/>
              <w:rPr>
                <w:rFonts w:ascii="Times New Roman"/>
                <w:sz w:val="18"/>
              </w:rPr>
            </w:pPr>
          </w:p>
        </w:tc>
      </w:tr>
      <w:tr w:rsidR="00046465" w14:paraId="0DFDAFCE" w14:textId="77777777">
        <w:trPr>
          <w:trHeight w:val="533"/>
        </w:trPr>
        <w:tc>
          <w:tcPr>
            <w:tcW w:w="6091" w:type="dxa"/>
            <w:tcBorders>
              <w:top w:val="single" w:sz="4" w:space="0" w:color="000000"/>
              <w:bottom w:val="single" w:sz="4" w:space="0" w:color="000000"/>
              <w:right w:val="single" w:sz="4" w:space="0" w:color="000000"/>
            </w:tcBorders>
          </w:tcPr>
          <w:p w14:paraId="0DFDAFCA" w14:textId="77777777" w:rsidR="00046465" w:rsidRDefault="008134EB">
            <w:pPr>
              <w:pStyle w:val="TableParagraph"/>
              <w:ind w:left="392" w:hanging="288"/>
              <w:rPr>
                <w:sz w:val="18"/>
              </w:rPr>
            </w:pPr>
            <w:r>
              <w:rPr>
                <w:sz w:val="18"/>
              </w:rPr>
              <w:t>17)</w:t>
            </w:r>
            <w:r>
              <w:rPr>
                <w:spacing w:val="-22"/>
                <w:sz w:val="18"/>
              </w:rPr>
              <w:t xml:space="preserve"> </w:t>
            </w:r>
            <w:r>
              <w:rPr>
                <w:sz w:val="18"/>
              </w:rPr>
              <w:t>Are</w:t>
            </w:r>
            <w:r>
              <w:rPr>
                <w:spacing w:val="-11"/>
                <w:sz w:val="18"/>
              </w:rPr>
              <w:t xml:space="preserve"> </w:t>
            </w:r>
            <w:r>
              <w:rPr>
                <w:sz w:val="18"/>
              </w:rPr>
              <w:t>management’s</w:t>
            </w:r>
            <w:r>
              <w:rPr>
                <w:spacing w:val="-6"/>
                <w:sz w:val="18"/>
              </w:rPr>
              <w:t xml:space="preserve"> </w:t>
            </w:r>
            <w:r>
              <w:rPr>
                <w:sz w:val="18"/>
              </w:rPr>
              <w:t>conclusions</w:t>
            </w:r>
            <w:r>
              <w:rPr>
                <w:spacing w:val="-6"/>
                <w:sz w:val="18"/>
              </w:rPr>
              <w:t xml:space="preserve"> </w:t>
            </w:r>
            <w:r>
              <w:rPr>
                <w:sz w:val="18"/>
              </w:rPr>
              <w:t>reasonable</w:t>
            </w:r>
            <w:r>
              <w:rPr>
                <w:spacing w:val="-5"/>
                <w:sz w:val="18"/>
              </w:rPr>
              <w:t xml:space="preserve"> </w:t>
            </w:r>
            <w:r>
              <w:rPr>
                <w:sz w:val="18"/>
              </w:rPr>
              <w:t>and</w:t>
            </w:r>
            <w:r>
              <w:rPr>
                <w:spacing w:val="-7"/>
                <w:sz w:val="18"/>
              </w:rPr>
              <w:t xml:space="preserve"> </w:t>
            </w:r>
            <w:r>
              <w:rPr>
                <w:sz w:val="18"/>
              </w:rPr>
              <w:t>materially</w:t>
            </w:r>
            <w:r>
              <w:rPr>
                <w:spacing w:val="-6"/>
                <w:sz w:val="18"/>
              </w:rPr>
              <w:t xml:space="preserve"> </w:t>
            </w:r>
            <w:r>
              <w:rPr>
                <w:sz w:val="18"/>
              </w:rPr>
              <w:t>consistent with the auditor’s conclusions?</w:t>
            </w:r>
          </w:p>
        </w:tc>
        <w:tc>
          <w:tcPr>
            <w:tcW w:w="720" w:type="dxa"/>
            <w:tcBorders>
              <w:top w:val="single" w:sz="4" w:space="0" w:color="000000"/>
              <w:left w:val="single" w:sz="4" w:space="0" w:color="000000"/>
              <w:bottom w:val="single" w:sz="4" w:space="0" w:color="000000"/>
              <w:right w:val="single" w:sz="4" w:space="0" w:color="000000"/>
            </w:tcBorders>
          </w:tcPr>
          <w:p w14:paraId="0DFDAFCB"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CC"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CD" w14:textId="77777777" w:rsidR="00046465" w:rsidRDefault="00046465">
            <w:pPr>
              <w:pStyle w:val="TableParagraph"/>
              <w:rPr>
                <w:rFonts w:ascii="Times New Roman"/>
                <w:sz w:val="18"/>
              </w:rPr>
            </w:pPr>
          </w:p>
        </w:tc>
      </w:tr>
      <w:tr w:rsidR="00046465" w14:paraId="0DFDAFD3" w14:textId="77777777">
        <w:trPr>
          <w:trHeight w:val="1930"/>
        </w:trPr>
        <w:tc>
          <w:tcPr>
            <w:tcW w:w="6091" w:type="dxa"/>
            <w:tcBorders>
              <w:top w:val="single" w:sz="4" w:space="0" w:color="000000"/>
              <w:right w:val="single" w:sz="4" w:space="0" w:color="000000"/>
            </w:tcBorders>
          </w:tcPr>
          <w:p w14:paraId="0DFDAFCF" w14:textId="77777777" w:rsidR="00046465" w:rsidRDefault="008134EB">
            <w:pPr>
              <w:pStyle w:val="TableParagraph"/>
              <w:ind w:left="392" w:hanging="288"/>
              <w:rPr>
                <w:sz w:val="18"/>
              </w:rPr>
            </w:pPr>
            <w:r>
              <w:rPr>
                <w:sz w:val="18"/>
              </w:rPr>
              <w:t>18)</w:t>
            </w:r>
            <w:r>
              <w:rPr>
                <w:spacing w:val="-14"/>
                <w:sz w:val="18"/>
              </w:rPr>
              <w:t xml:space="preserve"> </w:t>
            </w:r>
            <w:r>
              <w:rPr>
                <w:sz w:val="18"/>
              </w:rPr>
              <w:t>Did management take appropriate actions to address any control objectives not adequately addressed in the type 2 report and any exceptions</w:t>
            </w:r>
            <w:r>
              <w:rPr>
                <w:spacing w:val="-4"/>
                <w:sz w:val="18"/>
              </w:rPr>
              <w:t xml:space="preserve"> </w:t>
            </w:r>
            <w:r>
              <w:rPr>
                <w:sz w:val="18"/>
              </w:rPr>
              <w:t>identified</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report</w:t>
            </w:r>
            <w:r>
              <w:rPr>
                <w:spacing w:val="-4"/>
                <w:sz w:val="18"/>
              </w:rPr>
              <w:t xml:space="preserve"> </w:t>
            </w:r>
            <w:r>
              <w:rPr>
                <w:sz w:val="18"/>
              </w:rPr>
              <w:t>that</w:t>
            </w:r>
            <w:r>
              <w:rPr>
                <w:spacing w:val="-4"/>
                <w:sz w:val="18"/>
              </w:rPr>
              <w:t xml:space="preserve"> </w:t>
            </w:r>
            <w:r>
              <w:rPr>
                <w:sz w:val="18"/>
              </w:rPr>
              <w:t>have</w:t>
            </w:r>
            <w:r>
              <w:rPr>
                <w:spacing w:val="-3"/>
                <w:sz w:val="18"/>
              </w:rPr>
              <w:t xml:space="preserve"> </w:t>
            </w:r>
            <w:r>
              <w:rPr>
                <w:sz w:val="18"/>
              </w:rPr>
              <w:t>an</w:t>
            </w:r>
            <w:r>
              <w:rPr>
                <w:spacing w:val="-5"/>
                <w:sz w:val="18"/>
              </w:rPr>
              <w:t xml:space="preserve"> </w:t>
            </w:r>
            <w:r>
              <w:rPr>
                <w:sz w:val="18"/>
              </w:rPr>
              <w:t>impact</w:t>
            </w:r>
            <w:r>
              <w:rPr>
                <w:spacing w:val="-4"/>
                <w:sz w:val="18"/>
              </w:rPr>
              <w:t xml:space="preserve"> </w:t>
            </w:r>
            <w:r>
              <w:rPr>
                <w:sz w:val="18"/>
              </w:rPr>
              <w:t>on</w:t>
            </w:r>
            <w:r>
              <w:rPr>
                <w:spacing w:val="-5"/>
                <w:sz w:val="18"/>
              </w:rPr>
              <w:t xml:space="preserve"> </w:t>
            </w:r>
            <w:r>
              <w:rPr>
                <w:sz w:val="18"/>
              </w:rPr>
              <w:t>the</w:t>
            </w:r>
            <w:r>
              <w:rPr>
                <w:spacing w:val="-5"/>
                <w:sz w:val="18"/>
              </w:rPr>
              <w:t xml:space="preserve"> </w:t>
            </w:r>
            <w:r>
              <w:rPr>
                <w:sz w:val="18"/>
              </w:rPr>
              <w:t>control activities listed in section VII?</w:t>
            </w:r>
          </w:p>
        </w:tc>
        <w:tc>
          <w:tcPr>
            <w:tcW w:w="720" w:type="dxa"/>
            <w:tcBorders>
              <w:top w:val="single" w:sz="4" w:space="0" w:color="000000"/>
              <w:left w:val="single" w:sz="4" w:space="0" w:color="000000"/>
              <w:right w:val="single" w:sz="4" w:space="0" w:color="000000"/>
            </w:tcBorders>
          </w:tcPr>
          <w:p w14:paraId="0DFDAFD0" w14:textId="77777777" w:rsidR="00046465" w:rsidRDefault="00046465">
            <w:pPr>
              <w:pStyle w:val="TableParagraph"/>
              <w:rPr>
                <w:rFonts w:ascii="Times New Roman"/>
                <w:sz w:val="18"/>
              </w:rPr>
            </w:pPr>
          </w:p>
        </w:tc>
        <w:tc>
          <w:tcPr>
            <w:tcW w:w="1080" w:type="dxa"/>
            <w:tcBorders>
              <w:top w:val="single" w:sz="4" w:space="0" w:color="000000"/>
              <w:left w:val="single" w:sz="4" w:space="0" w:color="000000"/>
              <w:right w:val="single" w:sz="4" w:space="0" w:color="000000"/>
            </w:tcBorders>
          </w:tcPr>
          <w:p w14:paraId="0DFDAFD1" w14:textId="77777777" w:rsidR="00046465" w:rsidRDefault="00046465">
            <w:pPr>
              <w:pStyle w:val="TableParagraph"/>
              <w:rPr>
                <w:rFonts w:ascii="Times New Roman"/>
                <w:sz w:val="18"/>
              </w:rPr>
            </w:pPr>
          </w:p>
        </w:tc>
        <w:tc>
          <w:tcPr>
            <w:tcW w:w="1379" w:type="dxa"/>
            <w:tcBorders>
              <w:top w:val="single" w:sz="4" w:space="0" w:color="000000"/>
              <w:left w:val="single" w:sz="4" w:space="0" w:color="000000"/>
            </w:tcBorders>
          </w:tcPr>
          <w:p w14:paraId="0DFDAFD2" w14:textId="77777777" w:rsidR="00046465" w:rsidRDefault="00046465">
            <w:pPr>
              <w:pStyle w:val="TableParagraph"/>
              <w:rPr>
                <w:rFonts w:ascii="Times New Roman"/>
                <w:sz w:val="18"/>
              </w:rPr>
            </w:pPr>
          </w:p>
        </w:tc>
      </w:tr>
    </w:tbl>
    <w:p w14:paraId="0DFDAFD4" w14:textId="77777777" w:rsidR="00046465" w:rsidRDefault="00046465">
      <w:pPr>
        <w:pStyle w:val="TableParagraph"/>
        <w:rPr>
          <w:rFonts w:ascii="Times New Roman"/>
          <w:sz w:val="18"/>
        </w:rPr>
        <w:sectPr w:rsidR="00046465">
          <w:pgSz w:w="12240" w:h="15840"/>
          <w:pgMar w:top="1340" w:right="720" w:bottom="940" w:left="1080" w:header="721" w:footer="757" w:gutter="0"/>
          <w:cols w:space="720"/>
        </w:sectPr>
      </w:pPr>
    </w:p>
    <w:p w14:paraId="0DFDAFD5" w14:textId="77777777" w:rsidR="00046465" w:rsidRDefault="00046465">
      <w:pPr>
        <w:pStyle w:val="BodyText"/>
        <w:spacing w:before="4"/>
        <w:rPr>
          <w:sz w:val="11"/>
        </w:rPr>
      </w:pPr>
    </w:p>
    <w:tbl>
      <w:tblPr>
        <w:tblW w:w="0" w:type="auto"/>
        <w:tblInd w:w="404"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6091"/>
        <w:gridCol w:w="720"/>
        <w:gridCol w:w="1080"/>
        <w:gridCol w:w="1379"/>
      </w:tblGrid>
      <w:tr w:rsidR="00046465" w14:paraId="0DFDAFDC" w14:textId="77777777">
        <w:trPr>
          <w:trHeight w:val="740"/>
        </w:trPr>
        <w:tc>
          <w:tcPr>
            <w:tcW w:w="6091" w:type="dxa"/>
            <w:tcBorders>
              <w:right w:val="single" w:sz="4" w:space="0" w:color="000000"/>
            </w:tcBorders>
          </w:tcPr>
          <w:p w14:paraId="0DFDAFD6" w14:textId="77777777" w:rsidR="00046465" w:rsidRDefault="00046465">
            <w:pPr>
              <w:pStyle w:val="TableParagraph"/>
              <w:rPr>
                <w:sz w:val="18"/>
              </w:rPr>
            </w:pPr>
          </w:p>
          <w:p w14:paraId="0DFDAFD7" w14:textId="77777777" w:rsidR="00046465" w:rsidRDefault="00046465">
            <w:pPr>
              <w:pStyle w:val="TableParagraph"/>
              <w:spacing w:before="1"/>
              <w:rPr>
                <w:sz w:val="18"/>
              </w:rPr>
            </w:pPr>
          </w:p>
          <w:p w14:paraId="0DFDAFD8" w14:textId="77777777" w:rsidR="00046465" w:rsidRDefault="008134EB">
            <w:pPr>
              <w:pStyle w:val="TableParagraph"/>
              <w:ind w:left="105"/>
              <w:rPr>
                <w:b/>
                <w:sz w:val="18"/>
              </w:rPr>
            </w:pPr>
            <w:r>
              <w:rPr>
                <w:b/>
                <w:spacing w:val="-2"/>
                <w:sz w:val="18"/>
              </w:rPr>
              <w:t>Questions</w:t>
            </w:r>
          </w:p>
        </w:tc>
        <w:tc>
          <w:tcPr>
            <w:tcW w:w="720" w:type="dxa"/>
            <w:tcBorders>
              <w:left w:val="single" w:sz="4" w:space="0" w:color="000000"/>
              <w:right w:val="single" w:sz="4" w:space="0" w:color="000000"/>
            </w:tcBorders>
          </w:tcPr>
          <w:p w14:paraId="0DFDAFD9" w14:textId="77777777" w:rsidR="00046465" w:rsidRDefault="008134EB">
            <w:pPr>
              <w:pStyle w:val="TableParagraph"/>
              <w:ind w:left="205" w:right="164" w:hanging="31"/>
              <w:jc w:val="both"/>
              <w:rPr>
                <w:b/>
                <w:sz w:val="18"/>
              </w:rPr>
            </w:pPr>
            <w:r>
              <w:rPr>
                <w:b/>
                <w:spacing w:val="-4"/>
                <w:sz w:val="18"/>
              </w:rPr>
              <w:t xml:space="preserve">Yes, No, </w:t>
            </w:r>
            <w:r>
              <w:rPr>
                <w:b/>
                <w:spacing w:val="-5"/>
                <w:sz w:val="18"/>
              </w:rPr>
              <w:t>N/A</w:t>
            </w:r>
          </w:p>
        </w:tc>
        <w:tc>
          <w:tcPr>
            <w:tcW w:w="1080" w:type="dxa"/>
            <w:tcBorders>
              <w:left w:val="single" w:sz="4" w:space="0" w:color="000000"/>
              <w:right w:val="single" w:sz="4" w:space="0" w:color="000000"/>
            </w:tcBorders>
          </w:tcPr>
          <w:p w14:paraId="0DFDAFDA" w14:textId="77777777" w:rsidR="00046465" w:rsidRDefault="008134EB">
            <w:pPr>
              <w:pStyle w:val="TableParagraph"/>
              <w:spacing w:before="206"/>
              <w:ind w:left="169" w:firstLine="85"/>
              <w:rPr>
                <w:b/>
                <w:sz w:val="18"/>
              </w:rPr>
            </w:pPr>
            <w:r>
              <w:rPr>
                <w:b/>
                <w:spacing w:val="-2"/>
                <w:sz w:val="18"/>
              </w:rPr>
              <w:t xml:space="preserve">Initials </w:t>
            </w:r>
            <w:r>
              <w:rPr>
                <w:b/>
                <w:sz w:val="18"/>
              </w:rPr>
              <w:t>and</w:t>
            </w:r>
            <w:r>
              <w:rPr>
                <w:b/>
                <w:spacing w:val="-1"/>
                <w:sz w:val="18"/>
              </w:rPr>
              <w:t xml:space="preserve"> </w:t>
            </w:r>
            <w:r>
              <w:rPr>
                <w:b/>
                <w:spacing w:val="-4"/>
                <w:sz w:val="18"/>
              </w:rPr>
              <w:t>date</w:t>
            </w:r>
          </w:p>
        </w:tc>
        <w:tc>
          <w:tcPr>
            <w:tcW w:w="1379" w:type="dxa"/>
            <w:tcBorders>
              <w:left w:val="single" w:sz="4" w:space="0" w:color="000000"/>
            </w:tcBorders>
          </w:tcPr>
          <w:p w14:paraId="0DFDAFDB" w14:textId="77777777" w:rsidR="00046465" w:rsidRDefault="008134EB">
            <w:pPr>
              <w:pStyle w:val="TableParagraph"/>
              <w:spacing w:before="206"/>
              <w:ind w:left="234" w:firstLine="14"/>
              <w:rPr>
                <w:b/>
                <w:sz w:val="18"/>
              </w:rPr>
            </w:pPr>
            <w:r>
              <w:rPr>
                <w:b/>
                <w:sz w:val="18"/>
              </w:rPr>
              <w:t>Audit</w:t>
            </w:r>
            <w:r>
              <w:rPr>
                <w:b/>
                <w:spacing w:val="-13"/>
                <w:sz w:val="18"/>
              </w:rPr>
              <w:t xml:space="preserve"> </w:t>
            </w:r>
            <w:r>
              <w:rPr>
                <w:b/>
                <w:sz w:val="18"/>
              </w:rPr>
              <w:t xml:space="preserve">doc. </w:t>
            </w:r>
            <w:r>
              <w:rPr>
                <w:b/>
                <w:spacing w:val="-2"/>
                <w:sz w:val="18"/>
              </w:rPr>
              <w:t>references</w:t>
            </w:r>
          </w:p>
        </w:tc>
      </w:tr>
      <w:tr w:rsidR="00046465" w14:paraId="0DFDAFE1" w14:textId="77777777">
        <w:trPr>
          <w:trHeight w:val="1570"/>
        </w:trPr>
        <w:tc>
          <w:tcPr>
            <w:tcW w:w="6091" w:type="dxa"/>
            <w:tcBorders>
              <w:bottom w:val="single" w:sz="4" w:space="0" w:color="000000"/>
              <w:right w:val="single" w:sz="4" w:space="0" w:color="000000"/>
            </w:tcBorders>
          </w:tcPr>
          <w:p w14:paraId="0DFDAFDD" w14:textId="77777777" w:rsidR="00046465" w:rsidRDefault="008134EB">
            <w:pPr>
              <w:pStyle w:val="TableParagraph"/>
              <w:ind w:left="392" w:right="165" w:hanging="288"/>
              <w:rPr>
                <w:sz w:val="18"/>
              </w:rPr>
            </w:pPr>
            <w:r>
              <w:rPr>
                <w:sz w:val="18"/>
              </w:rPr>
              <w:t>19)</w:t>
            </w:r>
            <w:r>
              <w:rPr>
                <w:spacing w:val="-17"/>
                <w:sz w:val="18"/>
              </w:rPr>
              <w:t xml:space="preserve"> </w:t>
            </w:r>
            <w:r>
              <w:rPr>
                <w:sz w:val="18"/>
              </w:rPr>
              <w:t>If any of the responses to questions 15 through 18 is “no,” did the auditor</w:t>
            </w:r>
            <w:r>
              <w:rPr>
                <w:spacing w:val="-4"/>
                <w:sz w:val="18"/>
              </w:rPr>
              <w:t xml:space="preserve"> </w:t>
            </w:r>
            <w:r>
              <w:rPr>
                <w:sz w:val="18"/>
              </w:rPr>
              <w:t>determine</w:t>
            </w:r>
            <w:r>
              <w:rPr>
                <w:spacing w:val="-5"/>
                <w:sz w:val="18"/>
              </w:rPr>
              <w:t xml:space="preserve"> </w:t>
            </w:r>
            <w:r>
              <w:rPr>
                <w:sz w:val="18"/>
              </w:rPr>
              <w:t>the</w:t>
            </w:r>
            <w:r>
              <w:rPr>
                <w:spacing w:val="-5"/>
                <w:sz w:val="18"/>
              </w:rPr>
              <w:t xml:space="preserve"> </w:t>
            </w:r>
            <w:r>
              <w:rPr>
                <w:sz w:val="18"/>
              </w:rPr>
              <w:t>effect</w:t>
            </w:r>
            <w:r>
              <w:rPr>
                <w:spacing w:val="-4"/>
                <w:sz w:val="18"/>
              </w:rPr>
              <w:t xml:space="preserve"> </w:t>
            </w:r>
            <w:r>
              <w:rPr>
                <w:sz w:val="18"/>
              </w:rPr>
              <w:t>on</w:t>
            </w:r>
            <w:r>
              <w:rPr>
                <w:spacing w:val="-5"/>
                <w:sz w:val="18"/>
              </w:rPr>
              <w:t xml:space="preserve"> </w:t>
            </w:r>
            <w:r>
              <w:rPr>
                <w:sz w:val="18"/>
              </w:rPr>
              <w:t>the</w:t>
            </w:r>
            <w:r>
              <w:rPr>
                <w:spacing w:val="-5"/>
                <w:sz w:val="18"/>
              </w:rPr>
              <w:t xml:space="preserve"> </w:t>
            </w:r>
            <w:r>
              <w:rPr>
                <w:sz w:val="18"/>
              </w:rPr>
              <w:t>auditor’s</w:t>
            </w:r>
            <w:r>
              <w:rPr>
                <w:spacing w:val="-3"/>
                <w:sz w:val="18"/>
              </w:rPr>
              <w:t xml:space="preserve"> </w:t>
            </w:r>
            <w:r>
              <w:rPr>
                <w:sz w:val="18"/>
              </w:rPr>
              <w:t>(a)</w:t>
            </w:r>
            <w:r>
              <w:rPr>
                <w:spacing w:val="-4"/>
                <w:sz w:val="18"/>
              </w:rPr>
              <w:t xml:space="preserve"> </w:t>
            </w:r>
            <w:r>
              <w:rPr>
                <w:sz w:val="18"/>
              </w:rPr>
              <w:t>understanding</w:t>
            </w:r>
            <w:r>
              <w:rPr>
                <w:spacing w:val="-5"/>
                <w:sz w:val="18"/>
              </w:rPr>
              <w:t xml:space="preserve"> </w:t>
            </w:r>
            <w:r>
              <w:rPr>
                <w:sz w:val="18"/>
              </w:rPr>
              <w:t>of</w:t>
            </w:r>
            <w:r>
              <w:rPr>
                <w:spacing w:val="-4"/>
                <w:sz w:val="18"/>
              </w:rPr>
              <w:t xml:space="preserve"> </w:t>
            </w:r>
            <w:r>
              <w:rPr>
                <w:sz w:val="18"/>
              </w:rPr>
              <w:t>the entity’s process for assessing and reporting on the effectiveness of internal control based on criteria established under the Federal Managers’ Financial Integrity Act of 1982 (FMFIA), (b) risk assessment, and (c) assessment of internal control over financial reporting (see FAM 260 and 265)?</w:t>
            </w:r>
          </w:p>
        </w:tc>
        <w:tc>
          <w:tcPr>
            <w:tcW w:w="720" w:type="dxa"/>
            <w:tcBorders>
              <w:left w:val="single" w:sz="4" w:space="0" w:color="000000"/>
              <w:bottom w:val="single" w:sz="4" w:space="0" w:color="000000"/>
              <w:right w:val="single" w:sz="4" w:space="0" w:color="000000"/>
            </w:tcBorders>
          </w:tcPr>
          <w:p w14:paraId="0DFDAFDE" w14:textId="77777777" w:rsidR="00046465" w:rsidRDefault="00046465">
            <w:pPr>
              <w:pStyle w:val="TableParagraph"/>
              <w:rPr>
                <w:rFonts w:ascii="Times New Roman"/>
                <w:sz w:val="18"/>
              </w:rPr>
            </w:pPr>
          </w:p>
        </w:tc>
        <w:tc>
          <w:tcPr>
            <w:tcW w:w="1080" w:type="dxa"/>
            <w:tcBorders>
              <w:left w:val="single" w:sz="4" w:space="0" w:color="000000"/>
              <w:bottom w:val="single" w:sz="4" w:space="0" w:color="000000"/>
              <w:right w:val="single" w:sz="4" w:space="0" w:color="000000"/>
            </w:tcBorders>
          </w:tcPr>
          <w:p w14:paraId="0DFDAFDF" w14:textId="77777777" w:rsidR="00046465" w:rsidRDefault="00046465">
            <w:pPr>
              <w:pStyle w:val="TableParagraph"/>
              <w:rPr>
                <w:rFonts w:ascii="Times New Roman"/>
                <w:sz w:val="18"/>
              </w:rPr>
            </w:pPr>
          </w:p>
        </w:tc>
        <w:tc>
          <w:tcPr>
            <w:tcW w:w="1379" w:type="dxa"/>
            <w:tcBorders>
              <w:left w:val="single" w:sz="4" w:space="0" w:color="000000"/>
              <w:bottom w:val="single" w:sz="4" w:space="0" w:color="000000"/>
            </w:tcBorders>
          </w:tcPr>
          <w:p w14:paraId="0DFDAFE0" w14:textId="77777777" w:rsidR="00046465" w:rsidRDefault="00046465">
            <w:pPr>
              <w:pStyle w:val="TableParagraph"/>
              <w:rPr>
                <w:rFonts w:ascii="Times New Roman"/>
                <w:sz w:val="18"/>
              </w:rPr>
            </w:pPr>
          </w:p>
        </w:tc>
      </w:tr>
      <w:tr w:rsidR="00046465" w14:paraId="0DFDAFE3" w14:textId="77777777">
        <w:trPr>
          <w:trHeight w:val="327"/>
        </w:trPr>
        <w:tc>
          <w:tcPr>
            <w:tcW w:w="9270" w:type="dxa"/>
            <w:gridSpan w:val="4"/>
            <w:tcBorders>
              <w:top w:val="single" w:sz="4" w:space="0" w:color="000000"/>
              <w:bottom w:val="single" w:sz="4" w:space="0" w:color="000000"/>
            </w:tcBorders>
            <w:shd w:val="clear" w:color="auto" w:fill="D9D9D9"/>
          </w:tcPr>
          <w:p w14:paraId="0DFDAFE2" w14:textId="77777777" w:rsidR="00046465" w:rsidRDefault="008134EB">
            <w:pPr>
              <w:pStyle w:val="TableParagraph"/>
              <w:ind w:left="105"/>
              <w:rPr>
                <w:b/>
                <w:sz w:val="18"/>
              </w:rPr>
            </w:pPr>
            <w:r>
              <w:rPr>
                <w:b/>
                <w:sz w:val="18"/>
              </w:rPr>
              <w:t>Determine</w:t>
            </w:r>
            <w:r>
              <w:rPr>
                <w:b/>
                <w:spacing w:val="-6"/>
                <w:sz w:val="18"/>
              </w:rPr>
              <w:t xml:space="preserve"> </w:t>
            </w:r>
            <w:r>
              <w:rPr>
                <w:b/>
                <w:sz w:val="18"/>
              </w:rPr>
              <w:t>whether</w:t>
            </w:r>
            <w:r>
              <w:rPr>
                <w:b/>
                <w:spacing w:val="-3"/>
                <w:sz w:val="18"/>
              </w:rPr>
              <w:t xml:space="preserve"> </w:t>
            </w:r>
            <w:r>
              <w:rPr>
                <w:b/>
                <w:sz w:val="18"/>
              </w:rPr>
              <w:t>sufficient</w:t>
            </w:r>
            <w:r>
              <w:rPr>
                <w:b/>
                <w:spacing w:val="-2"/>
                <w:sz w:val="18"/>
              </w:rPr>
              <w:t xml:space="preserve"> </w:t>
            </w:r>
            <w:r>
              <w:rPr>
                <w:b/>
                <w:sz w:val="18"/>
              </w:rPr>
              <w:t>appropriate</w:t>
            </w:r>
            <w:r>
              <w:rPr>
                <w:b/>
                <w:spacing w:val="-5"/>
                <w:sz w:val="18"/>
              </w:rPr>
              <w:t xml:space="preserve"> </w:t>
            </w:r>
            <w:r>
              <w:rPr>
                <w:b/>
                <w:sz w:val="18"/>
              </w:rPr>
              <w:t>audit</w:t>
            </w:r>
            <w:r>
              <w:rPr>
                <w:b/>
                <w:spacing w:val="-3"/>
                <w:sz w:val="18"/>
              </w:rPr>
              <w:t xml:space="preserve"> </w:t>
            </w:r>
            <w:r>
              <w:rPr>
                <w:b/>
                <w:sz w:val="18"/>
              </w:rPr>
              <w:t>evidence</w:t>
            </w:r>
            <w:r>
              <w:rPr>
                <w:b/>
                <w:spacing w:val="-3"/>
                <w:sz w:val="18"/>
              </w:rPr>
              <w:t xml:space="preserve"> </w:t>
            </w:r>
            <w:r>
              <w:rPr>
                <w:b/>
                <w:sz w:val="18"/>
              </w:rPr>
              <w:t>has</w:t>
            </w:r>
            <w:r>
              <w:rPr>
                <w:b/>
                <w:spacing w:val="-4"/>
                <w:sz w:val="18"/>
              </w:rPr>
              <w:t xml:space="preserve"> </w:t>
            </w:r>
            <w:r>
              <w:rPr>
                <w:b/>
                <w:sz w:val="18"/>
              </w:rPr>
              <w:t>been</w:t>
            </w:r>
            <w:r>
              <w:rPr>
                <w:b/>
                <w:spacing w:val="-1"/>
                <w:sz w:val="18"/>
              </w:rPr>
              <w:t xml:space="preserve"> </w:t>
            </w:r>
            <w:r>
              <w:rPr>
                <w:b/>
                <w:spacing w:val="-2"/>
                <w:sz w:val="18"/>
              </w:rPr>
              <w:t>obtained</w:t>
            </w:r>
          </w:p>
        </w:tc>
      </w:tr>
      <w:tr w:rsidR="00046465" w14:paraId="0DFDAFEE" w14:textId="77777777">
        <w:trPr>
          <w:trHeight w:val="4079"/>
        </w:trPr>
        <w:tc>
          <w:tcPr>
            <w:tcW w:w="6091" w:type="dxa"/>
            <w:tcBorders>
              <w:top w:val="single" w:sz="4" w:space="0" w:color="000000"/>
              <w:bottom w:val="single" w:sz="4" w:space="0" w:color="000000"/>
              <w:right w:val="single" w:sz="4" w:space="0" w:color="000000"/>
            </w:tcBorders>
          </w:tcPr>
          <w:p w14:paraId="0DFDAFE4" w14:textId="77777777" w:rsidR="00046465" w:rsidRDefault="008134EB">
            <w:pPr>
              <w:pStyle w:val="TableParagraph"/>
              <w:spacing w:line="206" w:lineRule="exact"/>
              <w:ind w:left="105"/>
              <w:rPr>
                <w:b/>
                <w:sz w:val="18"/>
              </w:rPr>
            </w:pPr>
            <w:r>
              <w:rPr>
                <w:sz w:val="18"/>
              </w:rPr>
              <w:t>20)</w:t>
            </w:r>
            <w:r>
              <w:rPr>
                <w:spacing w:val="-24"/>
                <w:sz w:val="18"/>
              </w:rPr>
              <w:t xml:space="preserve"> </w:t>
            </w:r>
            <w:r>
              <w:rPr>
                <w:b/>
                <w:sz w:val="18"/>
              </w:rPr>
              <w:t>[For</w:t>
            </w:r>
            <w:r>
              <w:rPr>
                <w:b/>
                <w:spacing w:val="-5"/>
                <w:sz w:val="18"/>
              </w:rPr>
              <w:t xml:space="preserve"> </w:t>
            </w:r>
            <w:r>
              <w:rPr>
                <w:b/>
                <w:sz w:val="18"/>
              </w:rPr>
              <w:t>audits</w:t>
            </w:r>
            <w:r>
              <w:rPr>
                <w:b/>
                <w:spacing w:val="-4"/>
                <w:sz w:val="18"/>
              </w:rPr>
              <w:t xml:space="preserve"> </w:t>
            </w:r>
            <w:r>
              <w:rPr>
                <w:b/>
                <w:sz w:val="18"/>
              </w:rPr>
              <w:t>of</w:t>
            </w:r>
            <w:r>
              <w:rPr>
                <w:b/>
                <w:spacing w:val="-2"/>
                <w:sz w:val="18"/>
              </w:rPr>
              <w:t xml:space="preserve"> </w:t>
            </w:r>
            <w:r>
              <w:rPr>
                <w:b/>
                <w:sz w:val="18"/>
              </w:rPr>
              <w:t>internal</w:t>
            </w:r>
            <w:r>
              <w:rPr>
                <w:b/>
                <w:spacing w:val="-2"/>
                <w:sz w:val="18"/>
              </w:rPr>
              <w:t xml:space="preserve"> </w:t>
            </w:r>
            <w:r>
              <w:rPr>
                <w:b/>
                <w:sz w:val="18"/>
              </w:rPr>
              <w:t>control</w:t>
            </w:r>
            <w:r>
              <w:rPr>
                <w:b/>
                <w:spacing w:val="-3"/>
                <w:sz w:val="18"/>
              </w:rPr>
              <w:t xml:space="preserve"> </w:t>
            </w:r>
            <w:r>
              <w:rPr>
                <w:b/>
                <w:sz w:val="18"/>
              </w:rPr>
              <w:t>over</w:t>
            </w:r>
            <w:r>
              <w:rPr>
                <w:b/>
                <w:spacing w:val="-2"/>
                <w:sz w:val="18"/>
              </w:rPr>
              <w:t xml:space="preserve"> </w:t>
            </w:r>
            <w:r>
              <w:rPr>
                <w:b/>
                <w:sz w:val="18"/>
              </w:rPr>
              <w:t>financial</w:t>
            </w:r>
            <w:r>
              <w:rPr>
                <w:b/>
                <w:spacing w:val="-2"/>
                <w:sz w:val="18"/>
              </w:rPr>
              <w:t xml:space="preserve"> reporting]</w:t>
            </w:r>
          </w:p>
          <w:p w14:paraId="0DFDAFE5" w14:textId="77777777" w:rsidR="00046465" w:rsidRDefault="008134EB">
            <w:pPr>
              <w:pStyle w:val="TableParagraph"/>
              <w:ind w:left="393" w:right="153"/>
              <w:rPr>
                <w:sz w:val="18"/>
              </w:rPr>
            </w:pPr>
            <w:r>
              <w:rPr>
                <w:sz w:val="18"/>
              </w:rPr>
              <w:t>Based</w:t>
            </w:r>
            <w:r>
              <w:rPr>
                <w:spacing w:val="-5"/>
                <w:sz w:val="18"/>
              </w:rPr>
              <w:t xml:space="preserve"> </w:t>
            </w:r>
            <w:r>
              <w:rPr>
                <w:sz w:val="18"/>
              </w:rPr>
              <w:t>on</w:t>
            </w:r>
            <w:r>
              <w:rPr>
                <w:spacing w:val="-5"/>
                <w:sz w:val="18"/>
              </w:rPr>
              <w:t xml:space="preserve"> </w:t>
            </w:r>
            <w:r>
              <w:rPr>
                <w:sz w:val="18"/>
              </w:rPr>
              <w:t>the</w:t>
            </w:r>
            <w:r>
              <w:rPr>
                <w:spacing w:val="-5"/>
                <w:sz w:val="18"/>
              </w:rPr>
              <w:t xml:space="preserve"> </w:t>
            </w:r>
            <w:r>
              <w:rPr>
                <w:sz w:val="18"/>
              </w:rPr>
              <w:t>procedures</w:t>
            </w:r>
            <w:r>
              <w:rPr>
                <w:spacing w:val="-4"/>
                <w:sz w:val="18"/>
              </w:rPr>
              <w:t xml:space="preserve"> </w:t>
            </w:r>
            <w:r>
              <w:rPr>
                <w:sz w:val="18"/>
              </w:rPr>
              <w:t>performed</w:t>
            </w:r>
            <w:r>
              <w:rPr>
                <w:spacing w:val="-4"/>
                <w:sz w:val="18"/>
              </w:rPr>
              <w:t xml:space="preserve"> </w:t>
            </w:r>
            <w:r>
              <w:rPr>
                <w:sz w:val="18"/>
              </w:rPr>
              <w:t>by</w:t>
            </w:r>
            <w:r>
              <w:rPr>
                <w:spacing w:val="-4"/>
                <w:sz w:val="18"/>
              </w:rPr>
              <w:t xml:space="preserve"> </w:t>
            </w:r>
            <w:r>
              <w:rPr>
                <w:sz w:val="18"/>
              </w:rPr>
              <w:t>the</w:t>
            </w:r>
            <w:r>
              <w:rPr>
                <w:spacing w:val="-4"/>
                <w:sz w:val="18"/>
              </w:rPr>
              <w:t xml:space="preserve"> </w:t>
            </w:r>
            <w:r>
              <w:rPr>
                <w:sz w:val="18"/>
              </w:rPr>
              <w:t>auditor</w:t>
            </w:r>
            <w:r>
              <w:rPr>
                <w:spacing w:val="-4"/>
                <w:sz w:val="18"/>
              </w:rPr>
              <w:t xml:space="preserve"> </w:t>
            </w:r>
            <w:r>
              <w:rPr>
                <w:sz w:val="18"/>
              </w:rPr>
              <w:t>and</w:t>
            </w:r>
            <w:r>
              <w:rPr>
                <w:spacing w:val="-5"/>
                <w:sz w:val="18"/>
              </w:rPr>
              <w:t xml:space="preserve"> </w:t>
            </w:r>
            <w:r>
              <w:rPr>
                <w:sz w:val="18"/>
              </w:rPr>
              <w:t>management, the results of those procedures, and an evaluation of the risk factors listed below, did the auditor determine whether sufficient appropriate audit evidence has been obtained about the operating effectiveness of</w:t>
            </w:r>
            <w:r>
              <w:rPr>
                <w:spacing w:val="-1"/>
                <w:sz w:val="18"/>
              </w:rPr>
              <w:t xml:space="preserve"> </w:t>
            </w:r>
            <w:r>
              <w:rPr>
                <w:sz w:val="18"/>
              </w:rPr>
              <w:t>controls</w:t>
            </w:r>
            <w:r>
              <w:rPr>
                <w:spacing w:val="-1"/>
                <w:sz w:val="18"/>
              </w:rPr>
              <w:t xml:space="preserve"> </w:t>
            </w:r>
            <w:r>
              <w:rPr>
                <w:sz w:val="18"/>
              </w:rPr>
              <w:t>at</w:t>
            </w:r>
            <w:r>
              <w:rPr>
                <w:spacing w:val="-1"/>
                <w:sz w:val="18"/>
              </w:rPr>
              <w:t xml:space="preserve"> </w:t>
            </w:r>
            <w:r>
              <w:rPr>
                <w:sz w:val="18"/>
              </w:rPr>
              <w:t>the</w:t>
            </w:r>
            <w:r>
              <w:rPr>
                <w:spacing w:val="-2"/>
                <w:sz w:val="18"/>
              </w:rPr>
              <w:t xml:space="preserve"> </w:t>
            </w:r>
            <w:r>
              <w:rPr>
                <w:sz w:val="18"/>
              </w:rPr>
              <w:t>service</w:t>
            </w:r>
            <w:r>
              <w:rPr>
                <w:spacing w:val="-2"/>
                <w:sz w:val="18"/>
              </w:rPr>
              <w:t xml:space="preserve"> </w:t>
            </w:r>
            <w:r>
              <w:rPr>
                <w:sz w:val="18"/>
              </w:rPr>
              <w:t>organization</w:t>
            </w:r>
            <w:r>
              <w:rPr>
                <w:spacing w:val="-2"/>
                <w:sz w:val="18"/>
              </w:rPr>
              <w:t xml:space="preserve"> </w:t>
            </w:r>
            <w:r>
              <w:rPr>
                <w:sz w:val="18"/>
              </w:rPr>
              <w:t>to</w:t>
            </w:r>
            <w:r>
              <w:rPr>
                <w:spacing w:val="-2"/>
                <w:sz w:val="18"/>
              </w:rPr>
              <w:t xml:space="preserve"> </w:t>
            </w:r>
            <w:r>
              <w:rPr>
                <w:sz w:val="18"/>
              </w:rPr>
              <w:t>support</w:t>
            </w:r>
            <w:r>
              <w:rPr>
                <w:spacing w:val="-1"/>
                <w:sz w:val="18"/>
              </w:rPr>
              <w:t xml:space="preserve"> </w:t>
            </w:r>
            <w:r>
              <w:rPr>
                <w:sz w:val="18"/>
              </w:rPr>
              <w:t>the</w:t>
            </w:r>
            <w:r>
              <w:rPr>
                <w:spacing w:val="-2"/>
                <w:sz w:val="18"/>
              </w:rPr>
              <w:t xml:space="preserve"> </w:t>
            </w:r>
            <w:r>
              <w:rPr>
                <w:sz w:val="18"/>
              </w:rPr>
              <w:t>auditor’s</w:t>
            </w:r>
            <w:r>
              <w:rPr>
                <w:spacing w:val="-1"/>
                <w:sz w:val="18"/>
              </w:rPr>
              <w:t xml:space="preserve"> </w:t>
            </w:r>
            <w:r>
              <w:rPr>
                <w:sz w:val="18"/>
              </w:rPr>
              <w:t>opinion on internal control over financial reporting?</w:t>
            </w:r>
          </w:p>
          <w:p w14:paraId="0DFDAFE6" w14:textId="77777777" w:rsidR="00046465" w:rsidRDefault="008134EB">
            <w:pPr>
              <w:pStyle w:val="TableParagraph"/>
              <w:numPr>
                <w:ilvl w:val="0"/>
                <w:numId w:val="210"/>
              </w:numPr>
              <w:tabs>
                <w:tab w:val="left" w:pos="585"/>
              </w:tabs>
              <w:spacing w:before="121"/>
              <w:ind w:right="273"/>
              <w:rPr>
                <w:sz w:val="18"/>
              </w:rPr>
            </w:pPr>
            <w:r>
              <w:rPr>
                <w:sz w:val="18"/>
              </w:rPr>
              <w:t>The</w:t>
            </w:r>
            <w:r>
              <w:rPr>
                <w:spacing w:val="-4"/>
                <w:sz w:val="18"/>
              </w:rPr>
              <w:t xml:space="preserve"> </w:t>
            </w:r>
            <w:r>
              <w:rPr>
                <w:sz w:val="18"/>
              </w:rPr>
              <w:t>elapsed</w:t>
            </w:r>
            <w:r>
              <w:rPr>
                <w:spacing w:val="-4"/>
                <w:sz w:val="18"/>
              </w:rPr>
              <w:t xml:space="preserve"> </w:t>
            </w:r>
            <w:r>
              <w:rPr>
                <w:sz w:val="18"/>
              </w:rPr>
              <w:t>time</w:t>
            </w:r>
            <w:r>
              <w:rPr>
                <w:spacing w:val="-4"/>
                <w:sz w:val="18"/>
              </w:rPr>
              <w:t xml:space="preserve"> </w:t>
            </w:r>
            <w:r>
              <w:rPr>
                <w:sz w:val="18"/>
              </w:rPr>
              <w:t>between</w:t>
            </w:r>
            <w:r>
              <w:rPr>
                <w:spacing w:val="-4"/>
                <w:sz w:val="18"/>
              </w:rPr>
              <w:t xml:space="preserve"> </w:t>
            </w:r>
            <w:r>
              <w:rPr>
                <w:sz w:val="18"/>
              </w:rPr>
              <w:t>the</w:t>
            </w:r>
            <w:r>
              <w:rPr>
                <w:spacing w:val="-4"/>
                <w:sz w:val="18"/>
              </w:rPr>
              <w:t xml:space="preserve"> </w:t>
            </w:r>
            <w:r>
              <w:rPr>
                <w:sz w:val="18"/>
              </w:rPr>
              <w:t>time</w:t>
            </w:r>
            <w:r>
              <w:rPr>
                <w:spacing w:val="-4"/>
                <w:sz w:val="18"/>
              </w:rPr>
              <w:t xml:space="preserve"> </w:t>
            </w:r>
            <w:r>
              <w:rPr>
                <w:sz w:val="18"/>
              </w:rPr>
              <w:t>period</w:t>
            </w:r>
            <w:r>
              <w:rPr>
                <w:spacing w:val="-4"/>
                <w:sz w:val="18"/>
              </w:rPr>
              <w:t xml:space="preserve"> </w:t>
            </w:r>
            <w:r>
              <w:rPr>
                <w:sz w:val="18"/>
              </w:rPr>
              <w:t>covered</w:t>
            </w:r>
            <w:r>
              <w:rPr>
                <w:spacing w:val="-4"/>
                <w:sz w:val="18"/>
              </w:rPr>
              <w:t xml:space="preserve"> </w:t>
            </w:r>
            <w:r>
              <w:rPr>
                <w:sz w:val="18"/>
              </w:rPr>
              <w:t>by</w:t>
            </w:r>
            <w:r>
              <w:rPr>
                <w:spacing w:val="-3"/>
                <w:sz w:val="18"/>
              </w:rPr>
              <w:t xml:space="preserve"> </w:t>
            </w:r>
            <w:r>
              <w:rPr>
                <w:sz w:val="18"/>
              </w:rPr>
              <w:t>the</w:t>
            </w:r>
            <w:r>
              <w:rPr>
                <w:spacing w:val="-4"/>
                <w:sz w:val="18"/>
              </w:rPr>
              <w:t xml:space="preserve"> </w:t>
            </w:r>
            <w:r>
              <w:rPr>
                <w:sz w:val="18"/>
              </w:rPr>
              <w:t>tests</w:t>
            </w:r>
            <w:r>
              <w:rPr>
                <w:spacing w:val="-3"/>
                <w:sz w:val="18"/>
              </w:rPr>
              <w:t xml:space="preserve"> </w:t>
            </w:r>
            <w:r>
              <w:rPr>
                <w:sz w:val="18"/>
              </w:rPr>
              <w:t>of controls in the type 2 report and the balance sheet date.</w:t>
            </w:r>
          </w:p>
          <w:p w14:paraId="0DFDAFE7" w14:textId="77777777" w:rsidR="00046465" w:rsidRDefault="008134EB">
            <w:pPr>
              <w:pStyle w:val="TableParagraph"/>
              <w:numPr>
                <w:ilvl w:val="0"/>
                <w:numId w:val="210"/>
              </w:numPr>
              <w:tabs>
                <w:tab w:val="left" w:pos="584"/>
              </w:tabs>
              <w:spacing w:before="118"/>
              <w:ind w:left="584" w:hanging="179"/>
              <w:rPr>
                <w:sz w:val="18"/>
              </w:rPr>
            </w:pPr>
            <w:r>
              <w:rPr>
                <w:sz w:val="18"/>
              </w:rPr>
              <w:t>The</w:t>
            </w:r>
            <w:r>
              <w:rPr>
                <w:spacing w:val="-3"/>
                <w:sz w:val="18"/>
              </w:rPr>
              <w:t xml:space="preserve"> </w:t>
            </w:r>
            <w:r>
              <w:rPr>
                <w:sz w:val="18"/>
              </w:rPr>
              <w:t>significance</w:t>
            </w:r>
            <w:r>
              <w:rPr>
                <w:spacing w:val="-3"/>
                <w:sz w:val="18"/>
              </w:rPr>
              <w:t xml:space="preserve"> </w:t>
            </w:r>
            <w:r>
              <w:rPr>
                <w:sz w:val="18"/>
              </w:rPr>
              <w:t>of</w:t>
            </w:r>
            <w:r>
              <w:rPr>
                <w:spacing w:val="-2"/>
                <w:sz w:val="18"/>
              </w:rPr>
              <w:t xml:space="preserve"> </w:t>
            </w:r>
            <w:r>
              <w:rPr>
                <w:sz w:val="18"/>
              </w:rPr>
              <w:t>the</w:t>
            </w:r>
            <w:r>
              <w:rPr>
                <w:spacing w:val="-2"/>
                <w:sz w:val="18"/>
              </w:rPr>
              <w:t xml:space="preserve"> </w:t>
            </w:r>
            <w:r>
              <w:rPr>
                <w:sz w:val="18"/>
              </w:rPr>
              <w:t>activities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service</w:t>
            </w:r>
            <w:r>
              <w:rPr>
                <w:spacing w:val="-2"/>
                <w:sz w:val="18"/>
              </w:rPr>
              <w:t xml:space="preserve"> organization.</w:t>
            </w:r>
          </w:p>
          <w:p w14:paraId="0DFDAFE8" w14:textId="77777777" w:rsidR="00046465" w:rsidRDefault="008134EB">
            <w:pPr>
              <w:pStyle w:val="TableParagraph"/>
              <w:numPr>
                <w:ilvl w:val="0"/>
                <w:numId w:val="210"/>
              </w:numPr>
              <w:tabs>
                <w:tab w:val="left" w:pos="584"/>
              </w:tabs>
              <w:spacing w:before="119"/>
              <w:ind w:left="584" w:right="392"/>
              <w:rPr>
                <w:sz w:val="18"/>
              </w:rPr>
            </w:pPr>
            <w:r>
              <w:rPr>
                <w:sz w:val="18"/>
              </w:rPr>
              <w:t>Whether</w:t>
            </w:r>
            <w:r>
              <w:rPr>
                <w:spacing w:val="-4"/>
                <w:sz w:val="18"/>
              </w:rPr>
              <w:t xml:space="preserve"> </w:t>
            </w:r>
            <w:r>
              <w:rPr>
                <w:sz w:val="18"/>
              </w:rPr>
              <w:t>there</w:t>
            </w:r>
            <w:r>
              <w:rPr>
                <w:spacing w:val="-3"/>
                <w:sz w:val="18"/>
              </w:rPr>
              <w:t xml:space="preserve"> </w:t>
            </w:r>
            <w:r>
              <w:rPr>
                <w:sz w:val="18"/>
              </w:rPr>
              <w:t>are</w:t>
            </w:r>
            <w:r>
              <w:rPr>
                <w:spacing w:val="-5"/>
                <w:sz w:val="18"/>
              </w:rPr>
              <w:t xml:space="preserve"> </w:t>
            </w:r>
            <w:r>
              <w:rPr>
                <w:sz w:val="18"/>
              </w:rPr>
              <w:t>errors</w:t>
            </w:r>
            <w:r>
              <w:rPr>
                <w:spacing w:val="-4"/>
                <w:sz w:val="18"/>
              </w:rPr>
              <w:t xml:space="preserve"> </w:t>
            </w:r>
            <w:r>
              <w:rPr>
                <w:sz w:val="18"/>
              </w:rPr>
              <w:t>that</w:t>
            </w:r>
            <w:r>
              <w:rPr>
                <w:spacing w:val="-3"/>
                <w:sz w:val="18"/>
              </w:rPr>
              <w:t xml:space="preserve"> </w:t>
            </w:r>
            <w:r>
              <w:rPr>
                <w:sz w:val="18"/>
              </w:rPr>
              <w:t>have</w:t>
            </w:r>
            <w:r>
              <w:rPr>
                <w:spacing w:val="-5"/>
                <w:sz w:val="18"/>
              </w:rPr>
              <w:t xml:space="preserve"> </w:t>
            </w:r>
            <w:r>
              <w:rPr>
                <w:sz w:val="18"/>
              </w:rPr>
              <w:t>been</w:t>
            </w:r>
            <w:r>
              <w:rPr>
                <w:spacing w:val="-5"/>
                <w:sz w:val="18"/>
              </w:rPr>
              <w:t xml:space="preserve"> </w:t>
            </w:r>
            <w:r>
              <w:rPr>
                <w:sz w:val="18"/>
              </w:rPr>
              <w:t>identified</w:t>
            </w:r>
            <w:r>
              <w:rPr>
                <w:spacing w:val="-5"/>
                <w:sz w:val="18"/>
              </w:rPr>
              <w:t xml:space="preserve"> </w:t>
            </w:r>
            <w:r>
              <w:rPr>
                <w:sz w:val="18"/>
              </w:rPr>
              <w:t>in</w:t>
            </w:r>
            <w:r>
              <w:rPr>
                <w:spacing w:val="-5"/>
                <w:sz w:val="18"/>
              </w:rPr>
              <w:t xml:space="preserve"> </w:t>
            </w:r>
            <w:r>
              <w:rPr>
                <w:sz w:val="18"/>
              </w:rPr>
              <w:t>the</w:t>
            </w:r>
            <w:r>
              <w:rPr>
                <w:spacing w:val="-5"/>
                <w:sz w:val="18"/>
              </w:rPr>
              <w:t xml:space="preserve"> </w:t>
            </w:r>
            <w:r>
              <w:rPr>
                <w:sz w:val="18"/>
              </w:rPr>
              <w:t>service organization’s process.</w:t>
            </w:r>
          </w:p>
          <w:p w14:paraId="0DFDAFE9" w14:textId="77777777" w:rsidR="00046465" w:rsidRDefault="008134EB">
            <w:pPr>
              <w:pStyle w:val="TableParagraph"/>
              <w:numPr>
                <w:ilvl w:val="0"/>
                <w:numId w:val="210"/>
              </w:numPr>
              <w:tabs>
                <w:tab w:val="left" w:pos="584"/>
              </w:tabs>
              <w:spacing w:before="119"/>
              <w:ind w:left="584" w:right="422"/>
              <w:rPr>
                <w:sz w:val="18"/>
              </w:rPr>
            </w:pPr>
            <w:r>
              <w:rPr>
                <w:sz w:val="18"/>
              </w:rPr>
              <w:t>The nature and significance of any changes in the service organization’s</w:t>
            </w:r>
            <w:r>
              <w:rPr>
                <w:spacing w:val="-6"/>
                <w:sz w:val="18"/>
              </w:rPr>
              <w:t xml:space="preserve"> </w:t>
            </w:r>
            <w:r>
              <w:rPr>
                <w:sz w:val="18"/>
              </w:rPr>
              <w:t>controls</w:t>
            </w:r>
            <w:r>
              <w:rPr>
                <w:spacing w:val="-6"/>
                <w:sz w:val="18"/>
              </w:rPr>
              <w:t xml:space="preserve"> </w:t>
            </w:r>
            <w:r>
              <w:rPr>
                <w:sz w:val="18"/>
              </w:rPr>
              <w:t>identified</w:t>
            </w:r>
            <w:r>
              <w:rPr>
                <w:spacing w:val="-7"/>
                <w:sz w:val="18"/>
              </w:rPr>
              <w:t xml:space="preserve"> </w:t>
            </w:r>
            <w:r>
              <w:rPr>
                <w:sz w:val="18"/>
              </w:rPr>
              <w:t>by</w:t>
            </w:r>
            <w:r>
              <w:rPr>
                <w:spacing w:val="-6"/>
                <w:sz w:val="18"/>
              </w:rPr>
              <w:t xml:space="preserve"> </w:t>
            </w:r>
            <w:r>
              <w:rPr>
                <w:sz w:val="18"/>
              </w:rPr>
              <w:t>management</w:t>
            </w:r>
            <w:r>
              <w:rPr>
                <w:spacing w:val="-6"/>
                <w:sz w:val="18"/>
              </w:rPr>
              <w:t xml:space="preserve"> </w:t>
            </w:r>
            <w:r>
              <w:rPr>
                <w:sz w:val="18"/>
              </w:rPr>
              <w:t>or</w:t>
            </w:r>
            <w:r>
              <w:rPr>
                <w:spacing w:val="-6"/>
                <w:sz w:val="18"/>
              </w:rPr>
              <w:t xml:space="preserve"> </w:t>
            </w:r>
            <w:r>
              <w:rPr>
                <w:sz w:val="18"/>
              </w:rPr>
              <w:t>the</w:t>
            </w:r>
            <w:r>
              <w:rPr>
                <w:spacing w:val="-7"/>
                <w:sz w:val="18"/>
              </w:rPr>
              <w:t xml:space="preserve"> </w:t>
            </w:r>
            <w:r>
              <w:rPr>
                <w:sz w:val="18"/>
              </w:rPr>
              <w:t>auditor.</w:t>
            </w:r>
          </w:p>
          <w:p w14:paraId="0DFDAFEA" w14:textId="77777777" w:rsidR="00046465" w:rsidRDefault="008134EB">
            <w:pPr>
              <w:pStyle w:val="TableParagraph"/>
              <w:spacing w:before="117"/>
              <w:ind w:left="392"/>
              <w:rPr>
                <w:sz w:val="18"/>
              </w:rPr>
            </w:pPr>
            <w:r>
              <w:rPr>
                <w:sz w:val="18"/>
              </w:rPr>
              <w:t>If</w:t>
            </w:r>
            <w:r>
              <w:rPr>
                <w:spacing w:val="-4"/>
                <w:sz w:val="18"/>
              </w:rPr>
              <w:t xml:space="preserve"> </w:t>
            </w:r>
            <w:r>
              <w:rPr>
                <w:sz w:val="18"/>
              </w:rPr>
              <w:t>the</w:t>
            </w:r>
            <w:r>
              <w:rPr>
                <w:spacing w:val="-5"/>
                <w:sz w:val="18"/>
              </w:rPr>
              <w:t xml:space="preserve"> </w:t>
            </w:r>
            <w:r>
              <w:rPr>
                <w:sz w:val="18"/>
              </w:rPr>
              <w:t>auditor</w:t>
            </w:r>
            <w:r>
              <w:rPr>
                <w:spacing w:val="-4"/>
                <w:sz w:val="18"/>
              </w:rPr>
              <w:t xml:space="preserve"> </w:t>
            </w:r>
            <w:r>
              <w:rPr>
                <w:sz w:val="18"/>
              </w:rPr>
              <w:t>determined</w:t>
            </w:r>
            <w:r>
              <w:rPr>
                <w:spacing w:val="-5"/>
                <w:sz w:val="18"/>
              </w:rPr>
              <w:t xml:space="preserve"> </w:t>
            </w:r>
            <w:r>
              <w:rPr>
                <w:sz w:val="18"/>
              </w:rPr>
              <w:t>that</w:t>
            </w:r>
            <w:r>
              <w:rPr>
                <w:spacing w:val="-3"/>
                <w:sz w:val="18"/>
              </w:rPr>
              <w:t xml:space="preserve"> </w:t>
            </w:r>
            <w:r>
              <w:rPr>
                <w:sz w:val="18"/>
              </w:rPr>
              <w:t>additional</w:t>
            </w:r>
            <w:r>
              <w:rPr>
                <w:spacing w:val="-4"/>
                <w:sz w:val="18"/>
              </w:rPr>
              <w:t xml:space="preserve"> </w:t>
            </w:r>
            <w:r>
              <w:rPr>
                <w:sz w:val="18"/>
              </w:rPr>
              <w:t>audit</w:t>
            </w:r>
            <w:r>
              <w:rPr>
                <w:spacing w:val="-2"/>
                <w:sz w:val="18"/>
              </w:rPr>
              <w:t xml:space="preserve"> </w:t>
            </w:r>
            <w:r>
              <w:rPr>
                <w:sz w:val="18"/>
              </w:rPr>
              <w:t>evidence</w:t>
            </w:r>
            <w:r>
              <w:rPr>
                <w:spacing w:val="-5"/>
                <w:sz w:val="18"/>
              </w:rPr>
              <w:t xml:space="preserve"> </w:t>
            </w:r>
            <w:r>
              <w:rPr>
                <w:sz w:val="18"/>
              </w:rPr>
              <w:t>is</w:t>
            </w:r>
            <w:r>
              <w:rPr>
                <w:spacing w:val="-4"/>
                <w:sz w:val="18"/>
              </w:rPr>
              <w:t xml:space="preserve"> </w:t>
            </w:r>
            <w:r>
              <w:rPr>
                <w:sz w:val="18"/>
              </w:rPr>
              <w:t>needed,</w:t>
            </w:r>
            <w:r>
              <w:rPr>
                <w:spacing w:val="-4"/>
                <w:sz w:val="18"/>
              </w:rPr>
              <w:t xml:space="preserve"> </w:t>
            </w:r>
            <w:r>
              <w:rPr>
                <w:sz w:val="18"/>
              </w:rPr>
              <w:t>see FAM 640.15 for guidance.</w:t>
            </w:r>
          </w:p>
        </w:tc>
        <w:tc>
          <w:tcPr>
            <w:tcW w:w="720" w:type="dxa"/>
            <w:tcBorders>
              <w:top w:val="single" w:sz="4" w:space="0" w:color="000000"/>
              <w:left w:val="single" w:sz="4" w:space="0" w:color="000000"/>
              <w:bottom w:val="single" w:sz="4" w:space="0" w:color="000000"/>
              <w:right w:val="single" w:sz="4" w:space="0" w:color="000000"/>
            </w:tcBorders>
          </w:tcPr>
          <w:p w14:paraId="0DFDAFEB" w14:textId="77777777" w:rsidR="00046465" w:rsidRDefault="00046465">
            <w:pPr>
              <w:pStyle w:val="TableParagraph"/>
              <w:rPr>
                <w:rFonts w:ascii="Times New Roman"/>
                <w:sz w:val="18"/>
              </w:rPr>
            </w:pPr>
          </w:p>
        </w:tc>
        <w:tc>
          <w:tcPr>
            <w:tcW w:w="1080" w:type="dxa"/>
            <w:tcBorders>
              <w:top w:val="single" w:sz="4" w:space="0" w:color="000000"/>
              <w:left w:val="single" w:sz="4" w:space="0" w:color="000000"/>
              <w:bottom w:val="single" w:sz="4" w:space="0" w:color="000000"/>
              <w:right w:val="single" w:sz="4" w:space="0" w:color="000000"/>
            </w:tcBorders>
          </w:tcPr>
          <w:p w14:paraId="0DFDAFEC" w14:textId="77777777" w:rsidR="00046465" w:rsidRDefault="00046465">
            <w:pPr>
              <w:pStyle w:val="TableParagraph"/>
              <w:rPr>
                <w:rFonts w:ascii="Times New Roman"/>
                <w:sz w:val="18"/>
              </w:rPr>
            </w:pPr>
          </w:p>
        </w:tc>
        <w:tc>
          <w:tcPr>
            <w:tcW w:w="1379" w:type="dxa"/>
            <w:tcBorders>
              <w:top w:val="single" w:sz="4" w:space="0" w:color="000000"/>
              <w:left w:val="single" w:sz="4" w:space="0" w:color="000000"/>
              <w:bottom w:val="single" w:sz="4" w:space="0" w:color="000000"/>
            </w:tcBorders>
          </w:tcPr>
          <w:p w14:paraId="0DFDAFED" w14:textId="77777777" w:rsidR="00046465" w:rsidRDefault="00046465">
            <w:pPr>
              <w:pStyle w:val="TableParagraph"/>
              <w:rPr>
                <w:rFonts w:ascii="Times New Roman"/>
                <w:sz w:val="18"/>
              </w:rPr>
            </w:pPr>
          </w:p>
        </w:tc>
      </w:tr>
      <w:tr w:rsidR="00046465" w14:paraId="0DFDAFF0" w14:textId="77777777">
        <w:trPr>
          <w:trHeight w:val="327"/>
        </w:trPr>
        <w:tc>
          <w:tcPr>
            <w:tcW w:w="9270" w:type="dxa"/>
            <w:gridSpan w:val="4"/>
            <w:tcBorders>
              <w:top w:val="single" w:sz="4" w:space="0" w:color="000000"/>
              <w:bottom w:val="single" w:sz="4" w:space="0" w:color="000000"/>
            </w:tcBorders>
            <w:shd w:val="clear" w:color="auto" w:fill="D9D9D9"/>
          </w:tcPr>
          <w:p w14:paraId="0DFDAFEF" w14:textId="77777777" w:rsidR="00046465" w:rsidRDefault="008134EB">
            <w:pPr>
              <w:pStyle w:val="TableParagraph"/>
              <w:ind w:left="105"/>
              <w:rPr>
                <w:b/>
                <w:sz w:val="18"/>
              </w:rPr>
            </w:pPr>
            <w:r>
              <w:rPr>
                <w:b/>
                <w:sz w:val="18"/>
              </w:rPr>
              <w:t>Explanations</w:t>
            </w:r>
            <w:r>
              <w:rPr>
                <w:b/>
                <w:spacing w:val="-4"/>
                <w:sz w:val="18"/>
              </w:rPr>
              <w:t xml:space="preserve"> </w:t>
            </w:r>
            <w:r>
              <w:rPr>
                <w:b/>
                <w:sz w:val="18"/>
              </w:rPr>
              <w:t>for</w:t>
            </w:r>
            <w:r>
              <w:rPr>
                <w:b/>
                <w:spacing w:val="-2"/>
                <w:sz w:val="18"/>
              </w:rPr>
              <w:t xml:space="preserve"> </w:t>
            </w:r>
            <w:r>
              <w:rPr>
                <w:b/>
                <w:sz w:val="18"/>
              </w:rPr>
              <w:t>“no”</w:t>
            </w:r>
            <w:r>
              <w:rPr>
                <w:b/>
                <w:spacing w:val="-1"/>
                <w:sz w:val="18"/>
              </w:rPr>
              <w:t xml:space="preserve"> </w:t>
            </w:r>
            <w:r>
              <w:rPr>
                <w:b/>
                <w:spacing w:val="-2"/>
                <w:sz w:val="18"/>
              </w:rPr>
              <w:t>responses</w:t>
            </w:r>
          </w:p>
        </w:tc>
      </w:tr>
      <w:tr w:rsidR="00046465" w14:paraId="0DFDAFF2" w14:textId="77777777">
        <w:trPr>
          <w:trHeight w:val="653"/>
        </w:trPr>
        <w:tc>
          <w:tcPr>
            <w:tcW w:w="9270" w:type="dxa"/>
            <w:gridSpan w:val="4"/>
            <w:tcBorders>
              <w:top w:val="single" w:sz="4" w:space="0" w:color="000000"/>
              <w:bottom w:val="single" w:sz="4" w:space="0" w:color="000000"/>
            </w:tcBorders>
          </w:tcPr>
          <w:p w14:paraId="0DFDAFF1" w14:textId="77777777" w:rsidR="00046465" w:rsidRDefault="00046465">
            <w:pPr>
              <w:pStyle w:val="TableParagraph"/>
              <w:rPr>
                <w:rFonts w:ascii="Times New Roman"/>
                <w:sz w:val="18"/>
              </w:rPr>
            </w:pPr>
          </w:p>
        </w:tc>
      </w:tr>
      <w:tr w:rsidR="00046465" w14:paraId="0DFDAFF4" w14:textId="77777777">
        <w:trPr>
          <w:trHeight w:val="327"/>
        </w:trPr>
        <w:tc>
          <w:tcPr>
            <w:tcW w:w="9270" w:type="dxa"/>
            <w:gridSpan w:val="4"/>
            <w:tcBorders>
              <w:top w:val="single" w:sz="4" w:space="0" w:color="000000"/>
              <w:bottom w:val="single" w:sz="4" w:space="0" w:color="000000"/>
            </w:tcBorders>
            <w:shd w:val="clear" w:color="auto" w:fill="D9D9D9"/>
          </w:tcPr>
          <w:p w14:paraId="0DFDAFF3" w14:textId="77777777" w:rsidR="00046465" w:rsidRDefault="008134EB">
            <w:pPr>
              <w:pStyle w:val="TableParagraph"/>
              <w:spacing w:before="1"/>
              <w:ind w:left="105"/>
              <w:rPr>
                <w:b/>
                <w:sz w:val="18"/>
              </w:rPr>
            </w:pPr>
            <w:r>
              <w:rPr>
                <w:b/>
                <w:sz w:val="18"/>
              </w:rPr>
              <w:t>Additional</w:t>
            </w:r>
            <w:r>
              <w:rPr>
                <w:b/>
                <w:spacing w:val="-4"/>
                <w:sz w:val="18"/>
              </w:rPr>
              <w:t xml:space="preserve"> </w:t>
            </w:r>
            <w:r>
              <w:rPr>
                <w:b/>
                <w:sz w:val="18"/>
              </w:rPr>
              <w:t>observations,</w:t>
            </w:r>
            <w:r>
              <w:rPr>
                <w:b/>
                <w:spacing w:val="-4"/>
                <w:sz w:val="18"/>
              </w:rPr>
              <w:t xml:space="preserve"> </w:t>
            </w:r>
            <w:r>
              <w:rPr>
                <w:b/>
                <w:sz w:val="18"/>
              </w:rPr>
              <w:t>if</w:t>
            </w:r>
            <w:r>
              <w:rPr>
                <w:b/>
                <w:spacing w:val="-3"/>
                <w:sz w:val="18"/>
              </w:rPr>
              <w:t xml:space="preserve"> </w:t>
            </w:r>
            <w:r>
              <w:rPr>
                <w:b/>
                <w:spacing w:val="-5"/>
                <w:sz w:val="18"/>
              </w:rPr>
              <w:t>any</w:t>
            </w:r>
          </w:p>
        </w:tc>
      </w:tr>
      <w:tr w:rsidR="00046465" w14:paraId="0DFDAFF6" w14:textId="77777777">
        <w:trPr>
          <w:trHeight w:val="654"/>
        </w:trPr>
        <w:tc>
          <w:tcPr>
            <w:tcW w:w="9270" w:type="dxa"/>
            <w:gridSpan w:val="4"/>
            <w:tcBorders>
              <w:top w:val="single" w:sz="4" w:space="0" w:color="000000"/>
            </w:tcBorders>
          </w:tcPr>
          <w:p w14:paraId="0DFDAFF5" w14:textId="77777777" w:rsidR="00046465" w:rsidRDefault="00046465">
            <w:pPr>
              <w:pStyle w:val="TableParagraph"/>
              <w:rPr>
                <w:rFonts w:ascii="Times New Roman"/>
                <w:sz w:val="18"/>
              </w:rPr>
            </w:pPr>
          </w:p>
        </w:tc>
      </w:tr>
    </w:tbl>
    <w:p w14:paraId="0DFDAFF7" w14:textId="77777777" w:rsidR="00046465" w:rsidRDefault="00046465">
      <w:pPr>
        <w:pStyle w:val="TableParagraph"/>
        <w:rPr>
          <w:rFonts w:ascii="Times New Roman"/>
          <w:sz w:val="18"/>
        </w:rPr>
        <w:sectPr w:rsidR="00046465">
          <w:pgSz w:w="12240" w:h="15840"/>
          <w:pgMar w:top="1340" w:right="720" w:bottom="940" w:left="1080" w:header="721" w:footer="757" w:gutter="0"/>
          <w:cols w:space="720"/>
        </w:sectPr>
      </w:pPr>
    </w:p>
    <w:p w14:paraId="0DFDAFF8" w14:textId="77777777" w:rsidR="00046465" w:rsidRDefault="008134EB">
      <w:pPr>
        <w:pStyle w:val="Heading3"/>
        <w:rPr>
          <w:u w:val="none"/>
        </w:rPr>
      </w:pPr>
      <w:bookmarkStart w:id="85" w:name="645_–_Using_the_Work_of_an_Internal_Audi"/>
      <w:bookmarkStart w:id="86" w:name="_bookmark24"/>
      <w:bookmarkEnd w:id="85"/>
      <w:bookmarkEnd w:id="86"/>
      <w:r>
        <w:lastRenderedPageBreak/>
        <w:t>645</w:t>
      </w:r>
      <w:r>
        <w:rPr>
          <w:spacing w:val="-6"/>
        </w:rPr>
        <w:t xml:space="preserve"> </w:t>
      </w:r>
      <w:r>
        <w:t>–</w:t>
      </w:r>
      <w:r>
        <w:rPr>
          <w:spacing w:val="-3"/>
        </w:rPr>
        <w:t xml:space="preserve"> </w:t>
      </w:r>
      <w:r>
        <w:t>Using</w:t>
      </w:r>
      <w:r>
        <w:rPr>
          <w:spacing w:val="-4"/>
        </w:rPr>
        <w:t xml:space="preserve"> </w:t>
      </w:r>
      <w:r>
        <w:t>the</w:t>
      </w:r>
      <w:r>
        <w:rPr>
          <w:spacing w:val="-4"/>
        </w:rPr>
        <w:t xml:space="preserve"> </w:t>
      </w:r>
      <w:r>
        <w:t>Work</w:t>
      </w:r>
      <w:r>
        <w:rPr>
          <w:spacing w:val="-3"/>
        </w:rPr>
        <w:t xml:space="preserve"> </w:t>
      </w:r>
      <w:r>
        <w:t>of</w:t>
      </w:r>
      <w:r>
        <w:rPr>
          <w:spacing w:val="-3"/>
        </w:rPr>
        <w:t xml:space="preserve"> </w:t>
      </w:r>
      <w:r>
        <w:t>an</w:t>
      </w:r>
      <w:r>
        <w:rPr>
          <w:spacing w:val="-4"/>
        </w:rPr>
        <w:t xml:space="preserve"> </w:t>
      </w:r>
      <w:r>
        <w:t>Internal</w:t>
      </w:r>
      <w:r>
        <w:rPr>
          <w:spacing w:val="-15"/>
        </w:rPr>
        <w:t xml:space="preserve"> </w:t>
      </w:r>
      <w:r>
        <w:rPr>
          <w:spacing w:val="-2"/>
        </w:rPr>
        <w:t>Auditor</w:t>
      </w:r>
    </w:p>
    <w:p w14:paraId="0DFDAFF9" w14:textId="77777777" w:rsidR="00046465" w:rsidRDefault="00046465">
      <w:pPr>
        <w:pStyle w:val="BodyText"/>
        <w:spacing w:before="38"/>
        <w:rPr>
          <w:b/>
          <w:sz w:val="28"/>
        </w:rPr>
      </w:pPr>
    </w:p>
    <w:p w14:paraId="0DFDAFFA" w14:textId="77777777" w:rsidR="00046465" w:rsidRDefault="008134EB">
      <w:pPr>
        <w:pStyle w:val="Heading4"/>
        <w:spacing w:before="1"/>
      </w:pPr>
      <w:r>
        <w:rPr>
          <w:spacing w:val="-2"/>
        </w:rPr>
        <w:t>Overview</w:t>
      </w:r>
    </w:p>
    <w:p w14:paraId="0DFDAFFB" w14:textId="77777777" w:rsidR="00046465" w:rsidRDefault="008134EB">
      <w:pPr>
        <w:pStyle w:val="ListParagraph"/>
        <w:numPr>
          <w:ilvl w:val="0"/>
          <w:numId w:val="14"/>
        </w:numPr>
        <w:tabs>
          <w:tab w:val="left" w:pos="1799"/>
        </w:tabs>
        <w:spacing w:before="119"/>
        <w:ind w:right="859" w:hanging="720"/>
      </w:pPr>
      <w:r>
        <w:t>Certain entities employ auditors to work for entity management. These auditors may be subject to administrative direction from persons involved in the entity management process. Such audit organizations are internal auditors. FAM 645 addresses</w:t>
      </w:r>
      <w:r>
        <w:rPr>
          <w:spacing w:val="-4"/>
        </w:rPr>
        <w:t xml:space="preserve"> </w:t>
      </w:r>
      <w:r>
        <w:t>the</w:t>
      </w:r>
      <w:r>
        <w:rPr>
          <w:spacing w:val="-4"/>
        </w:rPr>
        <w:t xml:space="preserve"> </w:t>
      </w:r>
      <w:r>
        <w:t>auditor’s</w:t>
      </w:r>
      <w:r>
        <w:rPr>
          <w:spacing w:val="-4"/>
        </w:rPr>
        <w:t xml:space="preserve"> </w:t>
      </w:r>
      <w:r>
        <w:t>responsibilities</w:t>
      </w:r>
      <w:r>
        <w:rPr>
          <w:spacing w:val="-4"/>
        </w:rPr>
        <w:t xml:space="preserve"> </w:t>
      </w:r>
      <w:r>
        <w:t>when</w:t>
      </w:r>
      <w:r>
        <w:rPr>
          <w:spacing w:val="-4"/>
        </w:rPr>
        <w:t xml:space="preserve"> </w:t>
      </w:r>
      <w:r>
        <w:t>using</w:t>
      </w:r>
      <w:r>
        <w:rPr>
          <w:spacing w:val="-4"/>
        </w:rPr>
        <w:t xml:space="preserve"> </w:t>
      </w:r>
      <w:r>
        <w:t>the</w:t>
      </w:r>
      <w:r>
        <w:rPr>
          <w:spacing w:val="-4"/>
        </w:rPr>
        <w:t xml:space="preserve"> </w:t>
      </w:r>
      <w:r>
        <w:t>work</w:t>
      </w:r>
      <w:r>
        <w:rPr>
          <w:spacing w:val="-4"/>
        </w:rPr>
        <w:t xml:space="preserve"> </w:t>
      </w:r>
      <w:r>
        <w:t>of</w:t>
      </w:r>
      <w:r>
        <w:rPr>
          <w:spacing w:val="-4"/>
        </w:rPr>
        <w:t xml:space="preserve"> </w:t>
      </w:r>
      <w:r>
        <w:t>internal</w:t>
      </w:r>
      <w:r>
        <w:rPr>
          <w:spacing w:val="-4"/>
        </w:rPr>
        <w:t xml:space="preserve"> </w:t>
      </w:r>
      <w:r>
        <w:t>auditors. Using the work of internal auditors includes (a) using the work of the internal audit function in obtaining audit evidence and (b) using internal auditors to provide direct assistance under the direction, supervision, and review of the auditor (AU-C 610.01).</w:t>
      </w:r>
    </w:p>
    <w:p w14:paraId="0DFDAFFC" w14:textId="77777777" w:rsidR="00046465" w:rsidRDefault="008134EB">
      <w:pPr>
        <w:pStyle w:val="BodyText"/>
        <w:spacing w:before="119"/>
        <w:ind w:left="1800" w:right="946"/>
      </w:pPr>
      <w:r>
        <w:t>For</w:t>
      </w:r>
      <w:r>
        <w:rPr>
          <w:spacing w:val="-3"/>
        </w:rPr>
        <w:t xml:space="preserve"> </w:t>
      </w:r>
      <w:r>
        <w:t>purposes</w:t>
      </w:r>
      <w:r>
        <w:rPr>
          <w:spacing w:val="-3"/>
        </w:rPr>
        <w:t xml:space="preserve"> </w:t>
      </w:r>
      <w:r>
        <w:t>of</w:t>
      </w:r>
      <w:r>
        <w:rPr>
          <w:spacing w:val="-3"/>
        </w:rPr>
        <w:t xml:space="preserve"> </w:t>
      </w:r>
      <w:r>
        <w:t>U.S.</w:t>
      </w:r>
      <w:r>
        <w:rPr>
          <w:spacing w:val="-3"/>
        </w:rPr>
        <w:t xml:space="preserve"> </w:t>
      </w:r>
      <w:r>
        <w:t>GAAS,</w:t>
      </w:r>
      <w:r>
        <w:rPr>
          <w:spacing w:val="-4"/>
        </w:rPr>
        <w:t xml:space="preserve"> </w:t>
      </w:r>
      <w:r>
        <w:t>the</w:t>
      </w:r>
      <w:r>
        <w:rPr>
          <w:spacing w:val="-3"/>
        </w:rPr>
        <w:t xml:space="preserve"> </w:t>
      </w:r>
      <w:r>
        <w:t>meanings</w:t>
      </w:r>
      <w:r>
        <w:rPr>
          <w:spacing w:val="-3"/>
        </w:rPr>
        <w:t xml:space="preserve"> </w:t>
      </w:r>
      <w:r>
        <w:t>of</w:t>
      </w:r>
      <w:r>
        <w:rPr>
          <w:spacing w:val="-3"/>
        </w:rPr>
        <w:t xml:space="preserve"> </w:t>
      </w:r>
      <w:r>
        <w:t>the</w:t>
      </w:r>
      <w:r>
        <w:rPr>
          <w:spacing w:val="-4"/>
        </w:rPr>
        <w:t xml:space="preserve"> </w:t>
      </w:r>
      <w:r>
        <w:t>following</w:t>
      </w:r>
      <w:r>
        <w:rPr>
          <w:spacing w:val="-3"/>
        </w:rPr>
        <w:t xml:space="preserve"> </w:t>
      </w:r>
      <w:r>
        <w:t>terms</w:t>
      </w:r>
      <w:r>
        <w:rPr>
          <w:spacing w:val="-3"/>
        </w:rPr>
        <w:t xml:space="preserve"> </w:t>
      </w:r>
      <w:r>
        <w:t>are</w:t>
      </w:r>
      <w:r>
        <w:rPr>
          <w:spacing w:val="-3"/>
        </w:rPr>
        <w:t xml:space="preserve"> </w:t>
      </w:r>
      <w:r>
        <w:t>as</w:t>
      </w:r>
      <w:r>
        <w:rPr>
          <w:spacing w:val="-3"/>
        </w:rPr>
        <w:t xml:space="preserve"> </w:t>
      </w:r>
      <w:r>
        <w:t>follows (AU-C 610.12):</w:t>
      </w:r>
    </w:p>
    <w:p w14:paraId="0DFDAFFD" w14:textId="77777777" w:rsidR="00046465" w:rsidRDefault="008134EB">
      <w:pPr>
        <w:pStyle w:val="ListParagraph"/>
        <w:numPr>
          <w:ilvl w:val="1"/>
          <w:numId w:val="14"/>
        </w:numPr>
        <w:tabs>
          <w:tab w:val="left" w:pos="2159"/>
        </w:tabs>
        <w:spacing w:before="121"/>
        <w:ind w:left="2159" w:right="820"/>
      </w:pPr>
      <w:r>
        <w:rPr>
          <w:b/>
        </w:rPr>
        <w:t>Internal</w:t>
      </w:r>
      <w:r>
        <w:rPr>
          <w:b/>
          <w:spacing w:val="-3"/>
        </w:rPr>
        <w:t xml:space="preserve"> </w:t>
      </w:r>
      <w:r>
        <w:rPr>
          <w:b/>
        </w:rPr>
        <w:t>audit</w:t>
      </w:r>
      <w:r>
        <w:rPr>
          <w:b/>
          <w:spacing w:val="-3"/>
        </w:rPr>
        <w:t xml:space="preserve"> </w:t>
      </w:r>
      <w:r>
        <w:rPr>
          <w:b/>
        </w:rPr>
        <w:t>function</w:t>
      </w:r>
      <w:r>
        <w:rPr>
          <w:b/>
          <w:spacing w:val="-3"/>
        </w:rPr>
        <w:t xml:space="preserve"> </w:t>
      </w:r>
      <w:r>
        <w:t>-</w:t>
      </w:r>
      <w:r>
        <w:rPr>
          <w:spacing w:val="-3"/>
        </w:rPr>
        <w:t xml:space="preserve"> </w:t>
      </w:r>
      <w:r>
        <w:t>a</w:t>
      </w:r>
      <w:r>
        <w:rPr>
          <w:spacing w:val="-3"/>
        </w:rPr>
        <w:t xml:space="preserve"> </w:t>
      </w:r>
      <w:r>
        <w:t>function</w:t>
      </w:r>
      <w:r>
        <w:rPr>
          <w:spacing w:val="-4"/>
        </w:rPr>
        <w:t xml:space="preserve"> </w:t>
      </w:r>
      <w:r>
        <w:t>of</w:t>
      </w:r>
      <w:r>
        <w:rPr>
          <w:spacing w:val="-3"/>
        </w:rPr>
        <w:t xml:space="preserve"> </w:t>
      </w:r>
      <w:r>
        <w:t>an</w:t>
      </w:r>
      <w:r>
        <w:rPr>
          <w:spacing w:val="-3"/>
        </w:rPr>
        <w:t xml:space="preserve"> </w:t>
      </w:r>
      <w:r>
        <w:t>entity</w:t>
      </w:r>
      <w:r>
        <w:rPr>
          <w:spacing w:val="-3"/>
        </w:rPr>
        <w:t xml:space="preserve"> </w:t>
      </w:r>
      <w:r>
        <w:t>that</w:t>
      </w:r>
      <w:r>
        <w:rPr>
          <w:spacing w:val="-3"/>
        </w:rPr>
        <w:t xml:space="preserve"> </w:t>
      </w:r>
      <w:r>
        <w:t>performs</w:t>
      </w:r>
      <w:r>
        <w:rPr>
          <w:spacing w:val="-3"/>
        </w:rPr>
        <w:t xml:space="preserve"> </w:t>
      </w:r>
      <w:r>
        <w:t>assurance</w:t>
      </w:r>
      <w:r>
        <w:rPr>
          <w:spacing w:val="-4"/>
        </w:rPr>
        <w:t xml:space="preserve"> </w:t>
      </w:r>
      <w:r>
        <w:t>and consulting activities designed to evaluate and improve the effectiveness of the entity’s governance, risk management, and internal control processes.</w:t>
      </w:r>
    </w:p>
    <w:p w14:paraId="0DFDAFFE" w14:textId="77777777" w:rsidR="00046465" w:rsidRDefault="008134EB">
      <w:pPr>
        <w:pStyle w:val="ListParagraph"/>
        <w:numPr>
          <w:ilvl w:val="1"/>
          <w:numId w:val="14"/>
        </w:numPr>
        <w:tabs>
          <w:tab w:val="left" w:pos="2159"/>
        </w:tabs>
        <w:spacing w:before="118"/>
        <w:ind w:left="2159" w:right="917"/>
      </w:pPr>
      <w:r>
        <w:rPr>
          <w:b/>
        </w:rPr>
        <w:t>Direct</w:t>
      </w:r>
      <w:r>
        <w:rPr>
          <w:b/>
          <w:spacing w:val="-4"/>
        </w:rPr>
        <w:t xml:space="preserve"> </w:t>
      </w:r>
      <w:r>
        <w:rPr>
          <w:b/>
        </w:rPr>
        <w:t>assistance</w:t>
      </w:r>
      <w:r>
        <w:rPr>
          <w:b/>
          <w:spacing w:val="-4"/>
        </w:rPr>
        <w:t xml:space="preserve"> </w:t>
      </w:r>
      <w:r>
        <w:t>-</w:t>
      </w:r>
      <w:r>
        <w:rPr>
          <w:spacing w:val="-4"/>
        </w:rPr>
        <w:t xml:space="preserve"> </w:t>
      </w:r>
      <w:r>
        <w:t>the</w:t>
      </w:r>
      <w:r>
        <w:rPr>
          <w:spacing w:val="-4"/>
        </w:rPr>
        <w:t xml:space="preserve"> </w:t>
      </w:r>
      <w:r>
        <w:t>use</w:t>
      </w:r>
      <w:r>
        <w:rPr>
          <w:spacing w:val="-4"/>
        </w:rPr>
        <w:t xml:space="preserve"> </w:t>
      </w:r>
      <w:r>
        <w:t>of</w:t>
      </w:r>
      <w:r>
        <w:rPr>
          <w:spacing w:val="-4"/>
        </w:rPr>
        <w:t xml:space="preserve"> </w:t>
      </w:r>
      <w:r>
        <w:t>internal</w:t>
      </w:r>
      <w:r>
        <w:rPr>
          <w:spacing w:val="-4"/>
        </w:rPr>
        <w:t xml:space="preserve"> </w:t>
      </w:r>
      <w:r>
        <w:t>auditors</w:t>
      </w:r>
      <w:r>
        <w:rPr>
          <w:spacing w:val="-5"/>
        </w:rPr>
        <w:t xml:space="preserve"> </w:t>
      </w:r>
      <w:r>
        <w:t>to</w:t>
      </w:r>
      <w:r>
        <w:rPr>
          <w:spacing w:val="-4"/>
        </w:rPr>
        <w:t xml:space="preserve"> </w:t>
      </w:r>
      <w:r>
        <w:t>perform</w:t>
      </w:r>
      <w:r>
        <w:rPr>
          <w:spacing w:val="-5"/>
        </w:rPr>
        <w:t xml:space="preserve"> </w:t>
      </w:r>
      <w:r>
        <w:t>audit</w:t>
      </w:r>
      <w:r>
        <w:rPr>
          <w:spacing w:val="-4"/>
        </w:rPr>
        <w:t xml:space="preserve"> </w:t>
      </w:r>
      <w:r>
        <w:t>procedures under the direction, supervision, and review of the auditor.</w:t>
      </w:r>
    </w:p>
    <w:p w14:paraId="0DFDAFFF" w14:textId="77777777" w:rsidR="00046465" w:rsidRDefault="008134EB">
      <w:pPr>
        <w:pStyle w:val="ListParagraph"/>
        <w:numPr>
          <w:ilvl w:val="0"/>
          <w:numId w:val="14"/>
        </w:numPr>
        <w:tabs>
          <w:tab w:val="left" w:pos="1799"/>
        </w:tabs>
        <w:spacing w:before="119"/>
        <w:ind w:right="763"/>
      </w:pPr>
      <w:r>
        <w:t>The</w:t>
      </w:r>
      <w:r>
        <w:rPr>
          <w:spacing w:val="-3"/>
        </w:rPr>
        <w:t xml:space="preserve"> </w:t>
      </w:r>
      <w:r>
        <w:t>auditor</w:t>
      </w:r>
      <w:r>
        <w:rPr>
          <w:spacing w:val="-5"/>
        </w:rPr>
        <w:t xml:space="preserve"> </w:t>
      </w:r>
      <w:r>
        <w:t>may</w:t>
      </w:r>
      <w:r>
        <w:rPr>
          <w:spacing w:val="-3"/>
        </w:rPr>
        <w:t xml:space="preserve"> </w:t>
      </w:r>
      <w:r>
        <w:t>be</w:t>
      </w:r>
      <w:r>
        <w:rPr>
          <w:spacing w:val="-3"/>
        </w:rPr>
        <w:t xml:space="preserve"> </w:t>
      </w:r>
      <w:r>
        <w:t>able</w:t>
      </w:r>
      <w:r>
        <w:rPr>
          <w:spacing w:val="-3"/>
        </w:rPr>
        <w:t xml:space="preserve"> </w:t>
      </w:r>
      <w:r>
        <w:t>to</w:t>
      </w:r>
      <w:r>
        <w:rPr>
          <w:spacing w:val="-3"/>
        </w:rPr>
        <w:t xml:space="preserve"> </w:t>
      </w:r>
      <w:r>
        <w:t>use</w:t>
      </w:r>
      <w:r>
        <w:rPr>
          <w:spacing w:val="-3"/>
        </w:rPr>
        <w:t xml:space="preserve"> </w:t>
      </w:r>
      <w:r>
        <w:t>the</w:t>
      </w:r>
      <w:r>
        <w:rPr>
          <w:spacing w:val="-4"/>
        </w:rPr>
        <w:t xml:space="preserve"> </w:t>
      </w:r>
      <w:r>
        <w:t>work</w:t>
      </w:r>
      <w:r>
        <w:rPr>
          <w:spacing w:val="-3"/>
        </w:rPr>
        <w:t xml:space="preserve"> </w:t>
      </w:r>
      <w:r>
        <w:t>of</w:t>
      </w:r>
      <w:r>
        <w:rPr>
          <w:spacing w:val="-3"/>
        </w:rPr>
        <w:t xml:space="preserve"> </w:t>
      </w:r>
      <w:r>
        <w:t>the</w:t>
      </w:r>
      <w:r>
        <w:rPr>
          <w:spacing w:val="-3"/>
        </w:rPr>
        <w:t xml:space="preserve"> </w:t>
      </w:r>
      <w:r>
        <w:t>internal</w:t>
      </w:r>
      <w:r>
        <w:rPr>
          <w:spacing w:val="-3"/>
        </w:rPr>
        <w:t xml:space="preserve"> </w:t>
      </w:r>
      <w:r>
        <w:t>audit</w:t>
      </w:r>
      <w:r>
        <w:rPr>
          <w:spacing w:val="-4"/>
        </w:rPr>
        <w:t xml:space="preserve"> </w:t>
      </w:r>
      <w:r>
        <w:t>function</w:t>
      </w:r>
      <w:r>
        <w:rPr>
          <w:spacing w:val="-3"/>
        </w:rPr>
        <w:t xml:space="preserve"> </w:t>
      </w:r>
      <w:r>
        <w:t>in</w:t>
      </w:r>
      <w:r>
        <w:rPr>
          <w:spacing w:val="-4"/>
        </w:rPr>
        <w:t xml:space="preserve"> </w:t>
      </w:r>
      <w:r>
        <w:t>obtaining audit evidence in a constructive and complementary manner depending on</w:t>
      </w:r>
    </w:p>
    <w:p w14:paraId="0DFDB000" w14:textId="77777777" w:rsidR="00046465" w:rsidRDefault="008134EB">
      <w:pPr>
        <w:pStyle w:val="ListParagraph"/>
        <w:numPr>
          <w:ilvl w:val="0"/>
          <w:numId w:val="209"/>
        </w:numPr>
        <w:tabs>
          <w:tab w:val="left" w:pos="2158"/>
        </w:tabs>
        <w:spacing w:before="119"/>
        <w:ind w:left="2158" w:hanging="359"/>
      </w:pPr>
      <w:r>
        <w:t>the</w:t>
      </w:r>
      <w:r>
        <w:rPr>
          <w:spacing w:val="-6"/>
        </w:rPr>
        <w:t xml:space="preserve"> </w:t>
      </w:r>
      <w:r>
        <w:t>level</w:t>
      </w:r>
      <w:r>
        <w:rPr>
          <w:spacing w:val="-5"/>
        </w:rPr>
        <w:t xml:space="preserve"> </w:t>
      </w:r>
      <w:r>
        <w:t>of</w:t>
      </w:r>
      <w:r>
        <w:rPr>
          <w:spacing w:val="-6"/>
        </w:rPr>
        <w:t xml:space="preserve"> </w:t>
      </w:r>
      <w:r>
        <w:t>competency</w:t>
      </w:r>
      <w:r>
        <w:rPr>
          <w:spacing w:val="-5"/>
        </w:rPr>
        <w:t xml:space="preserve"> </w:t>
      </w:r>
      <w:r>
        <w:t>of</w:t>
      </w:r>
      <w:r>
        <w:rPr>
          <w:spacing w:val="-6"/>
        </w:rPr>
        <w:t xml:space="preserve"> </w:t>
      </w:r>
      <w:r>
        <w:t>the</w:t>
      </w:r>
      <w:r>
        <w:rPr>
          <w:spacing w:val="-5"/>
        </w:rPr>
        <w:t xml:space="preserve"> </w:t>
      </w:r>
      <w:r>
        <w:t>internal</w:t>
      </w:r>
      <w:r>
        <w:rPr>
          <w:spacing w:val="-5"/>
        </w:rPr>
        <w:t xml:space="preserve"> </w:t>
      </w:r>
      <w:r>
        <w:t>audit</w:t>
      </w:r>
      <w:r>
        <w:rPr>
          <w:spacing w:val="-5"/>
        </w:rPr>
        <w:t xml:space="preserve"> </w:t>
      </w:r>
      <w:r>
        <w:rPr>
          <w:spacing w:val="-2"/>
        </w:rPr>
        <w:t>function;</w:t>
      </w:r>
    </w:p>
    <w:p w14:paraId="0DFDB001" w14:textId="77777777" w:rsidR="00046465" w:rsidRDefault="008134EB">
      <w:pPr>
        <w:pStyle w:val="ListParagraph"/>
        <w:numPr>
          <w:ilvl w:val="0"/>
          <w:numId w:val="209"/>
        </w:numPr>
        <w:tabs>
          <w:tab w:val="left" w:pos="2159"/>
        </w:tabs>
        <w:ind w:right="1235"/>
      </w:pPr>
      <w:r>
        <w:t>whether the internal audit function’s organizational status and relevant policies</w:t>
      </w:r>
      <w:r>
        <w:rPr>
          <w:spacing w:val="-4"/>
        </w:rPr>
        <w:t xml:space="preserve"> </w:t>
      </w:r>
      <w:r>
        <w:t>and</w:t>
      </w:r>
      <w:r>
        <w:rPr>
          <w:spacing w:val="-5"/>
        </w:rPr>
        <w:t xml:space="preserve"> </w:t>
      </w:r>
      <w:r>
        <w:t>procedures</w:t>
      </w:r>
      <w:r>
        <w:rPr>
          <w:spacing w:val="-5"/>
        </w:rPr>
        <w:t xml:space="preserve"> </w:t>
      </w:r>
      <w:r>
        <w:t>adequately</w:t>
      </w:r>
      <w:r>
        <w:rPr>
          <w:spacing w:val="-5"/>
        </w:rPr>
        <w:t xml:space="preserve"> </w:t>
      </w:r>
      <w:r>
        <w:t>support</w:t>
      </w:r>
      <w:r>
        <w:rPr>
          <w:spacing w:val="-4"/>
        </w:rPr>
        <w:t xml:space="preserve"> </w:t>
      </w:r>
      <w:r>
        <w:t>the</w:t>
      </w:r>
      <w:r>
        <w:rPr>
          <w:spacing w:val="-5"/>
        </w:rPr>
        <w:t xml:space="preserve"> </w:t>
      </w:r>
      <w:r>
        <w:t>objectivity</w:t>
      </w:r>
      <w:r>
        <w:rPr>
          <w:spacing w:val="-4"/>
        </w:rPr>
        <w:t xml:space="preserve"> </w:t>
      </w:r>
      <w:r>
        <w:t>of</w:t>
      </w:r>
      <w:r>
        <w:rPr>
          <w:spacing w:val="-5"/>
        </w:rPr>
        <w:t xml:space="preserve"> </w:t>
      </w:r>
      <w:r>
        <w:t>the</w:t>
      </w:r>
      <w:r>
        <w:rPr>
          <w:spacing w:val="-4"/>
        </w:rPr>
        <w:t xml:space="preserve"> </w:t>
      </w:r>
      <w:r>
        <w:t>internal auditors; and</w:t>
      </w:r>
    </w:p>
    <w:p w14:paraId="0DFDB002" w14:textId="77777777" w:rsidR="00046465" w:rsidRDefault="008134EB">
      <w:pPr>
        <w:pStyle w:val="ListParagraph"/>
        <w:numPr>
          <w:ilvl w:val="0"/>
          <w:numId w:val="209"/>
        </w:numPr>
        <w:tabs>
          <w:tab w:val="left" w:pos="2159"/>
        </w:tabs>
        <w:spacing w:before="121"/>
        <w:ind w:right="770"/>
      </w:pPr>
      <w:r>
        <w:t>whether</w:t>
      </w:r>
      <w:r>
        <w:rPr>
          <w:spacing w:val="-5"/>
        </w:rPr>
        <w:t xml:space="preserve"> </w:t>
      </w:r>
      <w:r>
        <w:t>the</w:t>
      </w:r>
      <w:r>
        <w:rPr>
          <w:spacing w:val="-5"/>
        </w:rPr>
        <w:t xml:space="preserve"> </w:t>
      </w:r>
      <w:r>
        <w:t>function</w:t>
      </w:r>
      <w:r>
        <w:rPr>
          <w:spacing w:val="-5"/>
        </w:rPr>
        <w:t xml:space="preserve"> </w:t>
      </w:r>
      <w:r>
        <w:t>applies</w:t>
      </w:r>
      <w:r>
        <w:rPr>
          <w:spacing w:val="-5"/>
        </w:rPr>
        <w:t xml:space="preserve"> </w:t>
      </w:r>
      <w:r>
        <w:t>a</w:t>
      </w:r>
      <w:r>
        <w:rPr>
          <w:spacing w:val="-5"/>
        </w:rPr>
        <w:t xml:space="preserve"> </w:t>
      </w:r>
      <w:r>
        <w:t>systematic</w:t>
      </w:r>
      <w:r>
        <w:rPr>
          <w:spacing w:val="-5"/>
        </w:rPr>
        <w:t xml:space="preserve"> </w:t>
      </w:r>
      <w:r>
        <w:t>and</w:t>
      </w:r>
      <w:r>
        <w:rPr>
          <w:spacing w:val="-5"/>
        </w:rPr>
        <w:t xml:space="preserve"> </w:t>
      </w:r>
      <w:r>
        <w:t>disciplined</w:t>
      </w:r>
      <w:r>
        <w:rPr>
          <w:spacing w:val="-5"/>
        </w:rPr>
        <w:t xml:space="preserve"> </w:t>
      </w:r>
      <w:r>
        <w:t>approach,</w:t>
      </w:r>
      <w:r>
        <w:rPr>
          <w:spacing w:val="-5"/>
        </w:rPr>
        <w:t xml:space="preserve"> </w:t>
      </w:r>
      <w:r>
        <w:t>including quality control (AU-C 610.06).</w:t>
      </w:r>
    </w:p>
    <w:p w14:paraId="0DFDB003" w14:textId="77777777" w:rsidR="00046465" w:rsidRDefault="008134EB">
      <w:pPr>
        <w:pStyle w:val="BodyText"/>
        <w:spacing w:before="119"/>
        <w:ind w:left="1799" w:right="749"/>
      </w:pPr>
      <w:r>
        <w:t>This</w:t>
      </w:r>
      <w:r>
        <w:rPr>
          <w:spacing w:val="-4"/>
        </w:rPr>
        <w:t xml:space="preserve"> </w:t>
      </w:r>
      <w:r>
        <w:t>section</w:t>
      </w:r>
      <w:r>
        <w:rPr>
          <w:spacing w:val="-5"/>
        </w:rPr>
        <w:t xml:space="preserve"> </w:t>
      </w:r>
      <w:r>
        <w:t>addresses</w:t>
      </w:r>
      <w:r>
        <w:rPr>
          <w:spacing w:val="-4"/>
        </w:rPr>
        <w:t xml:space="preserve"> </w:t>
      </w:r>
      <w:r>
        <w:t>the</w:t>
      </w:r>
      <w:r>
        <w:rPr>
          <w:spacing w:val="-4"/>
        </w:rPr>
        <w:t xml:space="preserve"> </w:t>
      </w:r>
      <w:r>
        <w:t>auditor’s</w:t>
      </w:r>
      <w:r>
        <w:rPr>
          <w:spacing w:val="-4"/>
        </w:rPr>
        <w:t xml:space="preserve"> </w:t>
      </w:r>
      <w:r>
        <w:t>responsibilities</w:t>
      </w:r>
      <w:r>
        <w:rPr>
          <w:spacing w:val="-4"/>
        </w:rPr>
        <w:t xml:space="preserve"> </w:t>
      </w:r>
      <w:r>
        <w:t>when,</w:t>
      </w:r>
      <w:r>
        <w:rPr>
          <w:spacing w:val="-4"/>
        </w:rPr>
        <w:t xml:space="preserve"> </w:t>
      </w:r>
      <w:r>
        <w:t>based</w:t>
      </w:r>
      <w:r>
        <w:rPr>
          <w:spacing w:val="-4"/>
        </w:rPr>
        <w:t xml:space="preserve"> </w:t>
      </w:r>
      <w:r>
        <w:t>on</w:t>
      </w:r>
      <w:r>
        <w:rPr>
          <w:spacing w:val="-4"/>
        </w:rPr>
        <w:t xml:space="preserve"> </w:t>
      </w:r>
      <w:r>
        <w:t>the</w:t>
      </w:r>
      <w:r>
        <w:rPr>
          <w:spacing w:val="-4"/>
        </w:rPr>
        <w:t xml:space="preserve"> </w:t>
      </w:r>
      <w:r>
        <w:t>auditor’s understanding of the internal audit function obtained as a result of procedures performed in accordance with FAM 220 and 260, the auditor expects to use the work of the internal audit function in obtaining audit evidence. Such use of that work modifies the nature or timing, or reduces the extent, of audit procedures to be performed directly by the auditor (AU-C 610.06).</w:t>
      </w:r>
    </w:p>
    <w:p w14:paraId="0DFDB004" w14:textId="77777777" w:rsidR="00046465" w:rsidRDefault="008134EB">
      <w:pPr>
        <w:pStyle w:val="ListParagraph"/>
        <w:numPr>
          <w:ilvl w:val="0"/>
          <w:numId w:val="14"/>
        </w:numPr>
        <w:tabs>
          <w:tab w:val="left" w:pos="1799"/>
        </w:tabs>
        <w:ind w:right="1581"/>
      </w:pPr>
      <w:r>
        <w:t>This section also addresses the auditor’s responsibilities if the auditor is considering</w:t>
      </w:r>
      <w:r>
        <w:rPr>
          <w:spacing w:val="-5"/>
        </w:rPr>
        <w:t xml:space="preserve"> </w:t>
      </w:r>
      <w:r>
        <w:t>using</w:t>
      </w:r>
      <w:r>
        <w:rPr>
          <w:spacing w:val="-4"/>
        </w:rPr>
        <w:t xml:space="preserve"> </w:t>
      </w:r>
      <w:r>
        <w:t>internal</w:t>
      </w:r>
      <w:r>
        <w:rPr>
          <w:spacing w:val="-4"/>
        </w:rPr>
        <w:t xml:space="preserve"> </w:t>
      </w:r>
      <w:r>
        <w:t>auditors</w:t>
      </w:r>
      <w:r>
        <w:rPr>
          <w:spacing w:val="-4"/>
        </w:rPr>
        <w:t xml:space="preserve"> </w:t>
      </w:r>
      <w:r>
        <w:t>to</w:t>
      </w:r>
      <w:r>
        <w:rPr>
          <w:spacing w:val="-4"/>
        </w:rPr>
        <w:t xml:space="preserve"> </w:t>
      </w:r>
      <w:r>
        <w:t>provide</w:t>
      </w:r>
      <w:r>
        <w:rPr>
          <w:spacing w:val="-4"/>
        </w:rPr>
        <w:t xml:space="preserve"> </w:t>
      </w:r>
      <w:r>
        <w:t>direct</w:t>
      </w:r>
      <w:r>
        <w:rPr>
          <w:spacing w:val="-4"/>
        </w:rPr>
        <w:t xml:space="preserve"> </w:t>
      </w:r>
      <w:r>
        <w:t>assistance</w:t>
      </w:r>
      <w:r>
        <w:rPr>
          <w:spacing w:val="-4"/>
        </w:rPr>
        <w:t xml:space="preserve"> </w:t>
      </w:r>
      <w:r>
        <w:t>under</w:t>
      </w:r>
      <w:r>
        <w:rPr>
          <w:spacing w:val="-4"/>
        </w:rPr>
        <w:t xml:space="preserve"> </w:t>
      </w:r>
      <w:r>
        <w:t>the direction, supervision, and review of the auditor (AU-C 610.07).</w:t>
      </w:r>
    </w:p>
    <w:p w14:paraId="0DFDB005" w14:textId="77777777" w:rsidR="00046465" w:rsidRDefault="008134EB">
      <w:pPr>
        <w:pStyle w:val="ListParagraph"/>
        <w:numPr>
          <w:ilvl w:val="0"/>
          <w:numId w:val="14"/>
        </w:numPr>
        <w:tabs>
          <w:tab w:val="left" w:pos="1799"/>
        </w:tabs>
        <w:spacing w:before="121"/>
        <w:ind w:right="848"/>
      </w:pPr>
      <w:r>
        <w:t>There may be individuals in an entity who perform procedures similar to those performed by an internal audit function. However, unless such procedures are performed</w:t>
      </w:r>
      <w:r>
        <w:rPr>
          <w:spacing w:val="-3"/>
        </w:rPr>
        <w:t xml:space="preserve"> </w:t>
      </w:r>
      <w:r>
        <w:t>by</w:t>
      </w:r>
      <w:r>
        <w:rPr>
          <w:spacing w:val="-3"/>
        </w:rPr>
        <w:t xml:space="preserve"> </w:t>
      </w:r>
      <w:r>
        <w:t>an</w:t>
      </w:r>
      <w:r>
        <w:rPr>
          <w:spacing w:val="-3"/>
        </w:rPr>
        <w:t xml:space="preserve"> </w:t>
      </w:r>
      <w:r>
        <w:t>objective</w:t>
      </w:r>
      <w:r>
        <w:rPr>
          <w:spacing w:val="-3"/>
        </w:rPr>
        <w:t xml:space="preserve"> </w:t>
      </w:r>
      <w:r>
        <w:t>and</w:t>
      </w:r>
      <w:r>
        <w:rPr>
          <w:spacing w:val="-3"/>
        </w:rPr>
        <w:t xml:space="preserve"> </w:t>
      </w:r>
      <w:r>
        <w:t>competent</w:t>
      </w:r>
      <w:r>
        <w:rPr>
          <w:spacing w:val="-3"/>
        </w:rPr>
        <w:t xml:space="preserve"> </w:t>
      </w:r>
      <w:r>
        <w:t>function</w:t>
      </w:r>
      <w:r>
        <w:rPr>
          <w:spacing w:val="-3"/>
        </w:rPr>
        <w:t xml:space="preserve"> </w:t>
      </w:r>
      <w:r>
        <w:t>that</w:t>
      </w:r>
      <w:r>
        <w:rPr>
          <w:spacing w:val="-3"/>
        </w:rPr>
        <w:t xml:space="preserve"> </w:t>
      </w:r>
      <w:r>
        <w:t>applies</w:t>
      </w:r>
      <w:r>
        <w:rPr>
          <w:spacing w:val="-3"/>
        </w:rPr>
        <w:t xml:space="preserve"> </w:t>
      </w:r>
      <w:r>
        <w:t>a</w:t>
      </w:r>
      <w:r>
        <w:rPr>
          <w:spacing w:val="-3"/>
        </w:rPr>
        <w:t xml:space="preserve"> </w:t>
      </w:r>
      <w:r>
        <w:t>systematic</w:t>
      </w:r>
      <w:r>
        <w:rPr>
          <w:spacing w:val="-3"/>
        </w:rPr>
        <w:t xml:space="preserve"> </w:t>
      </w:r>
      <w:r>
        <w:t>and disciplined approach, including quality control, such procedures would be considered</w:t>
      </w:r>
      <w:r>
        <w:rPr>
          <w:spacing w:val="-6"/>
        </w:rPr>
        <w:t xml:space="preserve"> </w:t>
      </w:r>
      <w:r>
        <w:t>control</w:t>
      </w:r>
      <w:r>
        <w:rPr>
          <w:spacing w:val="-5"/>
        </w:rPr>
        <w:t xml:space="preserve"> </w:t>
      </w:r>
      <w:r>
        <w:t>activities,</w:t>
      </w:r>
      <w:r>
        <w:rPr>
          <w:spacing w:val="-5"/>
        </w:rPr>
        <w:t xml:space="preserve"> </w:t>
      </w:r>
      <w:r>
        <w:t>and</w:t>
      </w:r>
      <w:r>
        <w:rPr>
          <w:spacing w:val="-5"/>
        </w:rPr>
        <w:t xml:space="preserve"> </w:t>
      </w:r>
      <w:r>
        <w:t>obtaining</w:t>
      </w:r>
      <w:r>
        <w:rPr>
          <w:spacing w:val="-5"/>
        </w:rPr>
        <w:t xml:space="preserve"> </w:t>
      </w:r>
      <w:r>
        <w:t>evidence</w:t>
      </w:r>
      <w:r>
        <w:rPr>
          <w:spacing w:val="-5"/>
        </w:rPr>
        <w:t xml:space="preserve"> </w:t>
      </w:r>
      <w:r>
        <w:t>regarding</w:t>
      </w:r>
      <w:r>
        <w:rPr>
          <w:spacing w:val="-5"/>
        </w:rPr>
        <w:t xml:space="preserve"> </w:t>
      </w:r>
      <w:r>
        <w:t>the</w:t>
      </w:r>
      <w:r>
        <w:rPr>
          <w:spacing w:val="-5"/>
        </w:rPr>
        <w:t xml:space="preserve"> </w:t>
      </w:r>
      <w:r>
        <w:t>effectiveness of such controls would be part of the auditor’s responses to assessed risks in accordance with FAM 300 (AU-C 610.08).</w:t>
      </w:r>
    </w:p>
    <w:p w14:paraId="0DFDB006" w14:textId="77777777" w:rsidR="00046465" w:rsidRDefault="008134EB">
      <w:pPr>
        <w:pStyle w:val="ListParagraph"/>
        <w:numPr>
          <w:ilvl w:val="0"/>
          <w:numId w:val="14"/>
        </w:numPr>
        <w:tabs>
          <w:tab w:val="left" w:pos="1799"/>
        </w:tabs>
        <w:spacing w:before="119"/>
        <w:ind w:right="884"/>
      </w:pPr>
      <w:r>
        <w:t>The auditor has sole responsibility for the audit opinion expressed, and that responsibility</w:t>
      </w:r>
      <w:r>
        <w:rPr>
          <w:spacing w:val="-3"/>
        </w:rPr>
        <w:t xml:space="preserve"> </w:t>
      </w:r>
      <w:r>
        <w:t>is</w:t>
      </w:r>
      <w:r>
        <w:rPr>
          <w:spacing w:val="-3"/>
        </w:rPr>
        <w:t xml:space="preserve"> </w:t>
      </w:r>
      <w:r>
        <w:t>not</w:t>
      </w:r>
      <w:r>
        <w:rPr>
          <w:spacing w:val="-3"/>
        </w:rPr>
        <w:t xml:space="preserve"> </w:t>
      </w:r>
      <w:r>
        <w:t>reduced</w:t>
      </w:r>
      <w:r>
        <w:rPr>
          <w:spacing w:val="-3"/>
        </w:rPr>
        <w:t xml:space="preserve"> </w:t>
      </w:r>
      <w:r>
        <w:t>by</w:t>
      </w:r>
      <w:r>
        <w:rPr>
          <w:spacing w:val="-3"/>
        </w:rPr>
        <w:t xml:space="preserve"> </w:t>
      </w:r>
      <w:r>
        <w:t>the</w:t>
      </w:r>
      <w:r>
        <w:rPr>
          <w:spacing w:val="-3"/>
        </w:rPr>
        <w:t xml:space="preserve"> </w:t>
      </w:r>
      <w:r>
        <w:t>auditor’s</w:t>
      </w:r>
      <w:r>
        <w:rPr>
          <w:spacing w:val="-3"/>
        </w:rPr>
        <w:t xml:space="preserve"> </w:t>
      </w:r>
      <w:r>
        <w:t>use</w:t>
      </w:r>
      <w:r>
        <w:rPr>
          <w:spacing w:val="-4"/>
        </w:rPr>
        <w:t xml:space="preserve"> </w:t>
      </w:r>
      <w:r>
        <w:t>of</w:t>
      </w:r>
      <w:r>
        <w:rPr>
          <w:spacing w:val="-3"/>
        </w:rPr>
        <w:t xml:space="preserve"> </w:t>
      </w:r>
      <w:r>
        <w:t>the</w:t>
      </w:r>
      <w:r>
        <w:rPr>
          <w:spacing w:val="-3"/>
        </w:rPr>
        <w:t xml:space="preserve"> </w:t>
      </w:r>
      <w:r>
        <w:t>work</w:t>
      </w:r>
      <w:r>
        <w:rPr>
          <w:spacing w:val="-3"/>
        </w:rPr>
        <w:t xml:space="preserve"> </w:t>
      </w:r>
      <w:r>
        <w:t>of</w:t>
      </w:r>
      <w:r>
        <w:rPr>
          <w:spacing w:val="-3"/>
        </w:rPr>
        <w:t xml:space="preserve"> </w:t>
      </w:r>
      <w:r>
        <w:t>the</w:t>
      </w:r>
      <w:r>
        <w:rPr>
          <w:spacing w:val="-3"/>
        </w:rPr>
        <w:t xml:space="preserve"> </w:t>
      </w:r>
      <w:r>
        <w:t>internal</w:t>
      </w:r>
      <w:r>
        <w:rPr>
          <w:spacing w:val="-3"/>
        </w:rPr>
        <w:t xml:space="preserve"> </w:t>
      </w:r>
      <w:r>
        <w:t>audit</w:t>
      </w:r>
    </w:p>
    <w:p w14:paraId="0DFDB007" w14:textId="77777777" w:rsidR="00046465" w:rsidRDefault="00046465">
      <w:pPr>
        <w:pStyle w:val="ListParagraph"/>
        <w:sectPr w:rsidR="00046465">
          <w:headerReference w:type="default" r:id="rId61"/>
          <w:footerReference w:type="default" r:id="rId62"/>
          <w:pgSz w:w="12240" w:h="15840"/>
          <w:pgMar w:top="1340" w:right="720" w:bottom="940" w:left="1080" w:header="721" w:footer="757" w:gutter="0"/>
          <w:pgNumType w:start="1"/>
          <w:cols w:space="720"/>
        </w:sectPr>
      </w:pPr>
    </w:p>
    <w:p w14:paraId="0DFDB008" w14:textId="77777777" w:rsidR="00046465" w:rsidRDefault="008134EB">
      <w:pPr>
        <w:pStyle w:val="BodyText"/>
        <w:spacing w:before="121"/>
        <w:ind w:left="1799" w:right="844"/>
      </w:pPr>
      <w:r>
        <w:lastRenderedPageBreak/>
        <w:t xml:space="preserve">function in obtaining audit evidence or use of internal auditors to provide direct assistance on the engagement. Although the function may perform audit procedures similar to those performed by the auditor, neither the internal audit function nor the internal auditors are independent of the entity as is required of the auditor in an audit of financial statements in accordance with AU-C 200, </w:t>
      </w:r>
      <w:r>
        <w:rPr>
          <w:i/>
        </w:rPr>
        <w:t>Overall Objectives of the Independent Auditor and the Conduct of an Audit in Accordance With Generally Accepted Auditing Standards</w:t>
      </w:r>
      <w:r>
        <w:t>. This section, therefore,</w:t>
      </w:r>
      <w:r>
        <w:rPr>
          <w:spacing w:val="-3"/>
        </w:rPr>
        <w:t xml:space="preserve"> </w:t>
      </w:r>
      <w:r>
        <w:t>defines</w:t>
      </w:r>
      <w:r>
        <w:rPr>
          <w:spacing w:val="-3"/>
        </w:rPr>
        <w:t xml:space="preserve"> </w:t>
      </w:r>
      <w:r>
        <w:t>the</w:t>
      </w:r>
      <w:r>
        <w:rPr>
          <w:spacing w:val="-3"/>
        </w:rPr>
        <w:t xml:space="preserve"> </w:t>
      </w:r>
      <w:r>
        <w:t>conditions</w:t>
      </w:r>
      <w:r>
        <w:rPr>
          <w:spacing w:val="-3"/>
        </w:rPr>
        <w:t xml:space="preserve"> </w:t>
      </w:r>
      <w:r>
        <w:t>that</w:t>
      </w:r>
      <w:r>
        <w:rPr>
          <w:spacing w:val="-3"/>
        </w:rPr>
        <w:t xml:space="preserve"> </w:t>
      </w:r>
      <w:r>
        <w:t>are</w:t>
      </w:r>
      <w:r>
        <w:rPr>
          <w:spacing w:val="-3"/>
        </w:rPr>
        <w:t xml:space="preserve"> </w:t>
      </w:r>
      <w:r>
        <w:t>necessary</w:t>
      </w:r>
      <w:r>
        <w:rPr>
          <w:spacing w:val="-3"/>
        </w:rPr>
        <w:t xml:space="preserve"> </w:t>
      </w:r>
      <w:r>
        <w:t>for</w:t>
      </w:r>
      <w:r>
        <w:rPr>
          <w:spacing w:val="-3"/>
        </w:rPr>
        <w:t xml:space="preserve"> </w:t>
      </w:r>
      <w:r>
        <w:t>the</w:t>
      </w:r>
      <w:r>
        <w:rPr>
          <w:spacing w:val="-4"/>
        </w:rPr>
        <w:t xml:space="preserve"> </w:t>
      </w:r>
      <w:r>
        <w:t>auditor</w:t>
      </w:r>
      <w:r>
        <w:rPr>
          <w:spacing w:val="-3"/>
        </w:rPr>
        <w:t xml:space="preserve"> </w:t>
      </w:r>
      <w:r>
        <w:t>to</w:t>
      </w:r>
      <w:r>
        <w:rPr>
          <w:spacing w:val="-3"/>
        </w:rPr>
        <w:t xml:space="preserve"> </w:t>
      </w:r>
      <w:r>
        <w:t>be</w:t>
      </w:r>
      <w:r>
        <w:rPr>
          <w:spacing w:val="-4"/>
        </w:rPr>
        <w:t xml:space="preserve"> </w:t>
      </w:r>
      <w:r>
        <w:t>able</w:t>
      </w:r>
      <w:r>
        <w:rPr>
          <w:spacing w:val="-3"/>
        </w:rPr>
        <w:t xml:space="preserve"> </w:t>
      </w:r>
      <w:r>
        <w:t>to use the work of internal auditors. It also defines the effort necessary to obtain sufficient appropriate evidence that the work of the internal audit function or internal</w:t>
      </w:r>
      <w:r>
        <w:rPr>
          <w:spacing w:val="-3"/>
        </w:rPr>
        <w:t xml:space="preserve"> </w:t>
      </w:r>
      <w:r>
        <w:t>auditors</w:t>
      </w:r>
      <w:r>
        <w:rPr>
          <w:spacing w:val="-3"/>
        </w:rPr>
        <w:t xml:space="preserve"> </w:t>
      </w:r>
      <w:r>
        <w:t>providing</w:t>
      </w:r>
      <w:r>
        <w:rPr>
          <w:spacing w:val="-3"/>
        </w:rPr>
        <w:t xml:space="preserve"> </w:t>
      </w:r>
      <w:r>
        <w:t>direct</w:t>
      </w:r>
      <w:r>
        <w:rPr>
          <w:spacing w:val="-3"/>
        </w:rPr>
        <w:t xml:space="preserve"> </w:t>
      </w:r>
      <w:r>
        <w:t>assistance</w:t>
      </w:r>
      <w:r>
        <w:rPr>
          <w:spacing w:val="-3"/>
        </w:rPr>
        <w:t xml:space="preserve"> </w:t>
      </w:r>
      <w:r>
        <w:t>is</w:t>
      </w:r>
      <w:r>
        <w:rPr>
          <w:spacing w:val="-3"/>
        </w:rPr>
        <w:t xml:space="preserve"> </w:t>
      </w:r>
      <w:r>
        <w:t>adequate</w:t>
      </w:r>
      <w:r>
        <w:rPr>
          <w:spacing w:val="-3"/>
        </w:rPr>
        <w:t xml:space="preserve"> </w:t>
      </w:r>
      <w:r>
        <w:t>for</w:t>
      </w:r>
      <w:r>
        <w:rPr>
          <w:spacing w:val="-3"/>
        </w:rPr>
        <w:t xml:space="preserve"> </w:t>
      </w:r>
      <w:r>
        <w:t>the</w:t>
      </w:r>
      <w:r>
        <w:rPr>
          <w:spacing w:val="-3"/>
        </w:rPr>
        <w:t xml:space="preserve"> </w:t>
      </w:r>
      <w:r>
        <w:t>purposes</w:t>
      </w:r>
      <w:r>
        <w:rPr>
          <w:spacing w:val="-4"/>
        </w:rPr>
        <w:t xml:space="preserve"> </w:t>
      </w:r>
      <w:r>
        <w:t>of</w:t>
      </w:r>
      <w:r>
        <w:rPr>
          <w:spacing w:val="-3"/>
        </w:rPr>
        <w:t xml:space="preserve"> </w:t>
      </w:r>
      <w:r>
        <w:t>the audit. The requirements are designed to provide a framework for the auditor’s judgments</w:t>
      </w:r>
      <w:r>
        <w:rPr>
          <w:spacing w:val="-2"/>
        </w:rPr>
        <w:t xml:space="preserve"> </w:t>
      </w:r>
      <w:r>
        <w:t>regarding</w:t>
      </w:r>
      <w:r>
        <w:rPr>
          <w:spacing w:val="-2"/>
        </w:rPr>
        <w:t xml:space="preserve"> </w:t>
      </w:r>
      <w:r>
        <w:t>the</w:t>
      </w:r>
      <w:r>
        <w:rPr>
          <w:spacing w:val="-3"/>
        </w:rPr>
        <w:t xml:space="preserve"> </w:t>
      </w:r>
      <w:r>
        <w:t>use</w:t>
      </w:r>
      <w:r>
        <w:rPr>
          <w:spacing w:val="-2"/>
        </w:rPr>
        <w:t xml:space="preserve"> </w:t>
      </w:r>
      <w:r>
        <w:t>of</w:t>
      </w:r>
      <w:r>
        <w:rPr>
          <w:spacing w:val="-2"/>
        </w:rPr>
        <w:t xml:space="preserve"> </w:t>
      </w:r>
      <w:r>
        <w:t>the</w:t>
      </w:r>
      <w:r>
        <w:rPr>
          <w:spacing w:val="-3"/>
        </w:rPr>
        <w:t xml:space="preserve"> </w:t>
      </w:r>
      <w:r>
        <w:t>work</w:t>
      </w:r>
      <w:r>
        <w:rPr>
          <w:spacing w:val="-2"/>
        </w:rPr>
        <w:t xml:space="preserve"> </w:t>
      </w:r>
      <w:r>
        <w:t>of</w:t>
      </w:r>
      <w:r>
        <w:rPr>
          <w:spacing w:val="-2"/>
        </w:rPr>
        <w:t xml:space="preserve"> </w:t>
      </w:r>
      <w:r>
        <w:t>internal</w:t>
      </w:r>
      <w:r>
        <w:rPr>
          <w:spacing w:val="-2"/>
        </w:rPr>
        <w:t xml:space="preserve"> </w:t>
      </w:r>
      <w:r>
        <w:t>auditors</w:t>
      </w:r>
      <w:r>
        <w:rPr>
          <w:spacing w:val="-3"/>
        </w:rPr>
        <w:t xml:space="preserve"> </w:t>
      </w:r>
      <w:r>
        <w:t>to</w:t>
      </w:r>
      <w:r>
        <w:rPr>
          <w:spacing w:val="-2"/>
        </w:rPr>
        <w:t xml:space="preserve"> </w:t>
      </w:r>
      <w:r>
        <w:t>prevent</w:t>
      </w:r>
      <w:r>
        <w:rPr>
          <w:spacing w:val="-1"/>
        </w:rPr>
        <w:t xml:space="preserve"> </w:t>
      </w:r>
      <w:r>
        <w:t>overuse or undue use of such work (AU-C 610.09).</w:t>
      </w:r>
    </w:p>
    <w:p w14:paraId="0DFDB009" w14:textId="77777777" w:rsidR="00046465" w:rsidRDefault="008134EB">
      <w:pPr>
        <w:pStyle w:val="Heading4"/>
        <w:spacing w:before="240"/>
      </w:pPr>
      <w:bookmarkStart w:id="87" w:name="Internal_Audit_Function"/>
      <w:bookmarkEnd w:id="87"/>
      <w:r>
        <w:t>Internal</w:t>
      </w:r>
      <w:r>
        <w:rPr>
          <w:spacing w:val="-11"/>
        </w:rPr>
        <w:t xml:space="preserve"> </w:t>
      </w:r>
      <w:r>
        <w:t>Audit</w:t>
      </w:r>
      <w:r>
        <w:rPr>
          <w:spacing w:val="-11"/>
        </w:rPr>
        <w:t xml:space="preserve"> </w:t>
      </w:r>
      <w:r>
        <w:rPr>
          <w:spacing w:val="-2"/>
        </w:rPr>
        <w:t>Function</w:t>
      </w:r>
    </w:p>
    <w:p w14:paraId="0DFDB00A" w14:textId="77777777" w:rsidR="00046465" w:rsidRDefault="008134EB">
      <w:pPr>
        <w:pStyle w:val="Heading5"/>
        <w:rPr>
          <w:u w:val="none"/>
        </w:rPr>
      </w:pPr>
      <w:bookmarkStart w:id="88" w:name="Planning_for_Using_the_Work_of_the_Inter"/>
      <w:bookmarkEnd w:id="88"/>
      <w:r>
        <w:t>Planning</w:t>
      </w:r>
      <w:r>
        <w:rPr>
          <w:spacing w:val="-3"/>
        </w:rPr>
        <w:t xml:space="preserve"> </w:t>
      </w:r>
      <w:r>
        <w:t>for</w:t>
      </w:r>
      <w:r>
        <w:rPr>
          <w:spacing w:val="-2"/>
        </w:rPr>
        <w:t xml:space="preserve"> </w:t>
      </w:r>
      <w:r>
        <w:t>Using</w:t>
      </w:r>
      <w:r>
        <w:rPr>
          <w:spacing w:val="-3"/>
        </w:rPr>
        <w:t xml:space="preserve"> </w:t>
      </w:r>
      <w:r>
        <w:t>the</w:t>
      </w:r>
      <w:r>
        <w:rPr>
          <w:spacing w:val="-2"/>
        </w:rPr>
        <w:t xml:space="preserve"> </w:t>
      </w:r>
      <w:r>
        <w:t>Work</w:t>
      </w:r>
      <w:r>
        <w:rPr>
          <w:spacing w:val="-3"/>
        </w:rPr>
        <w:t xml:space="preserve"> </w:t>
      </w:r>
      <w:r>
        <w:t>of</w:t>
      </w:r>
      <w:r>
        <w:rPr>
          <w:spacing w:val="-1"/>
        </w:rPr>
        <w:t xml:space="preserve"> </w:t>
      </w:r>
      <w:r>
        <w:t>the</w:t>
      </w:r>
      <w:r>
        <w:rPr>
          <w:spacing w:val="-4"/>
        </w:rPr>
        <w:t xml:space="preserve"> </w:t>
      </w:r>
      <w:r>
        <w:t>Internal</w:t>
      </w:r>
      <w:r>
        <w:rPr>
          <w:spacing w:val="-1"/>
        </w:rPr>
        <w:t xml:space="preserve"> </w:t>
      </w:r>
      <w:r>
        <w:t>Audit</w:t>
      </w:r>
      <w:r>
        <w:rPr>
          <w:spacing w:val="-3"/>
        </w:rPr>
        <w:t xml:space="preserve"> </w:t>
      </w:r>
      <w:r>
        <w:rPr>
          <w:spacing w:val="-2"/>
        </w:rPr>
        <w:t>Function</w:t>
      </w:r>
    </w:p>
    <w:p w14:paraId="0DFDB00B" w14:textId="77777777" w:rsidR="00046465" w:rsidRDefault="008134EB">
      <w:pPr>
        <w:pStyle w:val="ListParagraph"/>
        <w:numPr>
          <w:ilvl w:val="0"/>
          <w:numId w:val="14"/>
        </w:numPr>
        <w:tabs>
          <w:tab w:val="left" w:pos="1800"/>
        </w:tabs>
        <w:spacing w:before="118"/>
        <w:ind w:left="1800" w:right="861"/>
      </w:pPr>
      <w:r>
        <w:t>The</w:t>
      </w:r>
      <w:r>
        <w:rPr>
          <w:spacing w:val="-4"/>
        </w:rPr>
        <w:t xml:space="preserve"> </w:t>
      </w:r>
      <w:r>
        <w:t>auditor</w:t>
      </w:r>
      <w:r>
        <w:rPr>
          <w:spacing w:val="-5"/>
        </w:rPr>
        <w:t xml:space="preserve"> </w:t>
      </w:r>
      <w:r>
        <w:t>should</w:t>
      </w:r>
      <w:r>
        <w:rPr>
          <w:spacing w:val="-4"/>
        </w:rPr>
        <w:t xml:space="preserve"> </w:t>
      </w:r>
      <w:r>
        <w:t>determine</w:t>
      </w:r>
      <w:r>
        <w:rPr>
          <w:spacing w:val="-4"/>
        </w:rPr>
        <w:t xml:space="preserve"> </w:t>
      </w:r>
      <w:r>
        <w:t>whether</w:t>
      </w:r>
      <w:r>
        <w:rPr>
          <w:spacing w:val="-4"/>
        </w:rPr>
        <w:t xml:space="preserve"> </w:t>
      </w:r>
      <w:r>
        <w:t>the</w:t>
      </w:r>
      <w:r>
        <w:rPr>
          <w:spacing w:val="-4"/>
        </w:rPr>
        <w:t xml:space="preserve"> </w:t>
      </w:r>
      <w:r>
        <w:t>work</w:t>
      </w:r>
      <w:r>
        <w:rPr>
          <w:spacing w:val="-4"/>
        </w:rPr>
        <w:t xml:space="preserve"> </w:t>
      </w:r>
      <w:r>
        <w:t>of</w:t>
      </w:r>
      <w:r>
        <w:rPr>
          <w:spacing w:val="-4"/>
        </w:rPr>
        <w:t xml:space="preserve"> </w:t>
      </w:r>
      <w:r>
        <w:t>the</w:t>
      </w:r>
      <w:r>
        <w:rPr>
          <w:spacing w:val="-4"/>
        </w:rPr>
        <w:t xml:space="preserve"> </w:t>
      </w:r>
      <w:r>
        <w:t>internal</w:t>
      </w:r>
      <w:r>
        <w:rPr>
          <w:spacing w:val="-4"/>
        </w:rPr>
        <w:t xml:space="preserve"> </w:t>
      </w:r>
      <w:r>
        <w:t>audit</w:t>
      </w:r>
      <w:r>
        <w:rPr>
          <w:spacing w:val="-4"/>
        </w:rPr>
        <w:t xml:space="preserve"> </w:t>
      </w:r>
      <w:r>
        <w:t>function</w:t>
      </w:r>
      <w:r>
        <w:rPr>
          <w:spacing w:val="-4"/>
        </w:rPr>
        <w:t xml:space="preserve"> </w:t>
      </w:r>
      <w:r>
        <w:t>can be used in obtaining audit evidence by evaluating the following (AU-C 610.13):</w:t>
      </w:r>
    </w:p>
    <w:p w14:paraId="0DFDB00C" w14:textId="77777777" w:rsidR="00046465" w:rsidRDefault="008134EB">
      <w:pPr>
        <w:pStyle w:val="ListParagraph"/>
        <w:numPr>
          <w:ilvl w:val="0"/>
          <w:numId w:val="208"/>
        </w:numPr>
        <w:tabs>
          <w:tab w:val="left" w:pos="2159"/>
        </w:tabs>
        <w:ind w:right="1184"/>
      </w:pPr>
      <w:r>
        <w:t>The</w:t>
      </w:r>
      <w:r>
        <w:rPr>
          <w:spacing w:val="-4"/>
        </w:rPr>
        <w:t xml:space="preserve"> </w:t>
      </w:r>
      <w:r>
        <w:t>extent</w:t>
      </w:r>
      <w:r>
        <w:rPr>
          <w:spacing w:val="-4"/>
        </w:rPr>
        <w:t xml:space="preserve"> </w:t>
      </w:r>
      <w:r>
        <w:t>to</w:t>
      </w:r>
      <w:r>
        <w:rPr>
          <w:spacing w:val="-4"/>
        </w:rPr>
        <w:t xml:space="preserve"> </w:t>
      </w:r>
      <w:r>
        <w:t>which</w:t>
      </w:r>
      <w:r>
        <w:rPr>
          <w:spacing w:val="-4"/>
        </w:rPr>
        <w:t xml:space="preserve"> </w:t>
      </w:r>
      <w:r>
        <w:t>the</w:t>
      </w:r>
      <w:r>
        <w:rPr>
          <w:spacing w:val="-4"/>
        </w:rPr>
        <w:t xml:space="preserve"> </w:t>
      </w:r>
      <w:r>
        <w:t>internal</w:t>
      </w:r>
      <w:r>
        <w:rPr>
          <w:spacing w:val="-4"/>
        </w:rPr>
        <w:t xml:space="preserve"> </w:t>
      </w:r>
      <w:r>
        <w:t>audit</w:t>
      </w:r>
      <w:r>
        <w:rPr>
          <w:spacing w:val="-5"/>
        </w:rPr>
        <w:t xml:space="preserve"> </w:t>
      </w:r>
      <w:r>
        <w:t>function’s</w:t>
      </w:r>
      <w:r>
        <w:rPr>
          <w:spacing w:val="-3"/>
        </w:rPr>
        <w:t xml:space="preserve"> </w:t>
      </w:r>
      <w:r>
        <w:t>organizational</w:t>
      </w:r>
      <w:r>
        <w:rPr>
          <w:spacing w:val="-4"/>
        </w:rPr>
        <w:t xml:space="preserve"> </w:t>
      </w:r>
      <w:r>
        <w:t>status</w:t>
      </w:r>
      <w:r>
        <w:rPr>
          <w:spacing w:val="-4"/>
        </w:rPr>
        <w:t xml:space="preserve"> </w:t>
      </w:r>
      <w:r>
        <w:t xml:space="preserve">and relevant policies and procedures support the objectivity of the internal </w:t>
      </w:r>
      <w:r>
        <w:rPr>
          <w:spacing w:val="-2"/>
        </w:rPr>
        <w:t>auditors.</w:t>
      </w:r>
    </w:p>
    <w:p w14:paraId="0DFDB00D" w14:textId="77777777" w:rsidR="00046465" w:rsidRDefault="008134EB">
      <w:pPr>
        <w:pStyle w:val="ListParagraph"/>
        <w:numPr>
          <w:ilvl w:val="0"/>
          <w:numId w:val="208"/>
        </w:numPr>
        <w:tabs>
          <w:tab w:val="left" w:pos="2158"/>
        </w:tabs>
        <w:spacing w:before="121"/>
        <w:ind w:left="2158" w:hanging="359"/>
      </w:pPr>
      <w:r>
        <w:t>The</w:t>
      </w:r>
      <w:r>
        <w:rPr>
          <w:spacing w:val="-6"/>
        </w:rPr>
        <w:t xml:space="preserve"> </w:t>
      </w:r>
      <w:r>
        <w:t>level</w:t>
      </w:r>
      <w:r>
        <w:rPr>
          <w:spacing w:val="-5"/>
        </w:rPr>
        <w:t xml:space="preserve"> </w:t>
      </w:r>
      <w:r>
        <w:t>of</w:t>
      </w:r>
      <w:r>
        <w:rPr>
          <w:spacing w:val="-6"/>
        </w:rPr>
        <w:t xml:space="preserve"> </w:t>
      </w:r>
      <w:r>
        <w:t>competence</w:t>
      </w:r>
      <w:r>
        <w:rPr>
          <w:spacing w:val="-5"/>
        </w:rPr>
        <w:t xml:space="preserve"> </w:t>
      </w:r>
      <w:r>
        <w:t>of</w:t>
      </w:r>
      <w:r>
        <w:rPr>
          <w:spacing w:val="-5"/>
        </w:rPr>
        <w:t xml:space="preserve"> </w:t>
      </w:r>
      <w:r>
        <w:t>the</w:t>
      </w:r>
      <w:r>
        <w:rPr>
          <w:spacing w:val="-5"/>
        </w:rPr>
        <w:t xml:space="preserve"> </w:t>
      </w:r>
      <w:r>
        <w:t>internal</w:t>
      </w:r>
      <w:r>
        <w:rPr>
          <w:spacing w:val="-5"/>
        </w:rPr>
        <w:t xml:space="preserve"> </w:t>
      </w:r>
      <w:r>
        <w:t>audit</w:t>
      </w:r>
      <w:r>
        <w:rPr>
          <w:spacing w:val="-6"/>
        </w:rPr>
        <w:t xml:space="preserve"> </w:t>
      </w:r>
      <w:r>
        <w:rPr>
          <w:spacing w:val="-2"/>
        </w:rPr>
        <w:t>function.</w:t>
      </w:r>
    </w:p>
    <w:p w14:paraId="0DFDB00E" w14:textId="77777777" w:rsidR="00046465" w:rsidRDefault="008134EB">
      <w:pPr>
        <w:pStyle w:val="ListParagraph"/>
        <w:numPr>
          <w:ilvl w:val="0"/>
          <w:numId w:val="208"/>
        </w:numPr>
        <w:tabs>
          <w:tab w:val="left" w:pos="2159"/>
        </w:tabs>
        <w:spacing w:before="119"/>
        <w:ind w:right="793"/>
      </w:pPr>
      <w:r>
        <w:t>The internal audit function’s application of a systematic and disciplined approach,</w:t>
      </w:r>
      <w:r>
        <w:rPr>
          <w:spacing w:val="-4"/>
        </w:rPr>
        <w:t xml:space="preserve"> </w:t>
      </w:r>
      <w:r>
        <w:t>including</w:t>
      </w:r>
      <w:r>
        <w:rPr>
          <w:spacing w:val="-4"/>
        </w:rPr>
        <w:t xml:space="preserve"> </w:t>
      </w:r>
      <w:r>
        <w:t>quality</w:t>
      </w:r>
      <w:r>
        <w:rPr>
          <w:spacing w:val="-4"/>
        </w:rPr>
        <w:t xml:space="preserve"> </w:t>
      </w:r>
      <w:r>
        <w:t>control.</w:t>
      </w:r>
      <w:r>
        <w:rPr>
          <w:spacing w:val="-4"/>
        </w:rPr>
        <w:t xml:space="preserve"> </w:t>
      </w:r>
      <w:r>
        <w:t>Factors</w:t>
      </w:r>
      <w:r>
        <w:rPr>
          <w:spacing w:val="-4"/>
        </w:rPr>
        <w:t xml:space="preserve"> </w:t>
      </w:r>
      <w:r>
        <w:t>that</w:t>
      </w:r>
      <w:r>
        <w:rPr>
          <w:spacing w:val="-5"/>
        </w:rPr>
        <w:t xml:space="preserve"> </w:t>
      </w:r>
      <w:r>
        <w:t>may</w:t>
      </w:r>
      <w:r>
        <w:rPr>
          <w:spacing w:val="-4"/>
        </w:rPr>
        <w:t xml:space="preserve"> </w:t>
      </w:r>
      <w:r>
        <w:t>affect</w:t>
      </w:r>
      <w:r>
        <w:rPr>
          <w:spacing w:val="-4"/>
        </w:rPr>
        <w:t xml:space="preserve"> </w:t>
      </w:r>
      <w:r>
        <w:t>this</w:t>
      </w:r>
      <w:r>
        <w:rPr>
          <w:spacing w:val="-4"/>
        </w:rPr>
        <w:t xml:space="preserve"> </w:t>
      </w:r>
      <w:r>
        <w:t>determination can include whether internal audit procedures include areas such as risk assessments, work programs, documentation, and reporting. Another factor includes whether the internal audit function has appropriate quality control requirements in standards set by relevant professional bodies for internal auditors (AU-C 610.A13).</w:t>
      </w:r>
    </w:p>
    <w:p w14:paraId="0DFDB00F" w14:textId="77777777" w:rsidR="00046465" w:rsidRDefault="008134EB">
      <w:pPr>
        <w:pStyle w:val="BodyText"/>
        <w:spacing w:before="120"/>
        <w:ind w:left="1799" w:right="749"/>
      </w:pPr>
      <w:r>
        <w:t>See</w:t>
      </w:r>
      <w:r>
        <w:rPr>
          <w:spacing w:val="-4"/>
        </w:rPr>
        <w:t xml:space="preserve"> </w:t>
      </w:r>
      <w:r>
        <w:t>FAM</w:t>
      </w:r>
      <w:r>
        <w:rPr>
          <w:spacing w:val="-5"/>
        </w:rPr>
        <w:t xml:space="preserve"> </w:t>
      </w:r>
      <w:r>
        <w:t>615</w:t>
      </w:r>
      <w:r>
        <w:rPr>
          <w:spacing w:val="-4"/>
        </w:rPr>
        <w:t xml:space="preserve"> </w:t>
      </w:r>
      <w:r>
        <w:t>for</w:t>
      </w:r>
      <w:r>
        <w:rPr>
          <w:spacing w:val="-4"/>
        </w:rPr>
        <w:t xml:space="preserve"> </w:t>
      </w:r>
      <w:r>
        <w:t>guidance</w:t>
      </w:r>
      <w:r>
        <w:rPr>
          <w:spacing w:val="-4"/>
        </w:rPr>
        <w:t xml:space="preserve"> </w:t>
      </w:r>
      <w:r>
        <w:t>on</w:t>
      </w:r>
      <w:r>
        <w:rPr>
          <w:spacing w:val="-4"/>
        </w:rPr>
        <w:t xml:space="preserve"> </w:t>
      </w:r>
      <w:r>
        <w:t>evaluating</w:t>
      </w:r>
      <w:r>
        <w:rPr>
          <w:spacing w:val="-4"/>
        </w:rPr>
        <w:t xml:space="preserve"> </w:t>
      </w:r>
      <w:r>
        <w:t>the</w:t>
      </w:r>
      <w:r>
        <w:rPr>
          <w:spacing w:val="-4"/>
        </w:rPr>
        <w:t xml:space="preserve"> </w:t>
      </w:r>
      <w:r>
        <w:t>objectivity</w:t>
      </w:r>
      <w:r>
        <w:rPr>
          <w:spacing w:val="-4"/>
        </w:rPr>
        <w:t xml:space="preserve"> </w:t>
      </w:r>
      <w:r>
        <w:t>and</w:t>
      </w:r>
      <w:r>
        <w:rPr>
          <w:spacing w:val="-5"/>
        </w:rPr>
        <w:t xml:space="preserve"> </w:t>
      </w:r>
      <w:r>
        <w:t>competence</w:t>
      </w:r>
      <w:r>
        <w:rPr>
          <w:spacing w:val="-4"/>
        </w:rPr>
        <w:t xml:space="preserve"> </w:t>
      </w:r>
      <w:r>
        <w:t>of</w:t>
      </w:r>
      <w:r>
        <w:rPr>
          <w:spacing w:val="-4"/>
        </w:rPr>
        <w:t xml:space="preserve"> </w:t>
      </w:r>
      <w:r>
        <w:t>the internal audit function.</w:t>
      </w:r>
    </w:p>
    <w:p w14:paraId="0DFDB010" w14:textId="77777777" w:rsidR="00046465" w:rsidRDefault="008134EB">
      <w:pPr>
        <w:pStyle w:val="ListParagraph"/>
        <w:numPr>
          <w:ilvl w:val="0"/>
          <w:numId w:val="14"/>
        </w:numPr>
        <w:tabs>
          <w:tab w:val="left" w:pos="1799"/>
        </w:tabs>
        <w:spacing w:before="121"/>
        <w:ind w:right="1192"/>
      </w:pPr>
      <w:r>
        <w:t>The</w:t>
      </w:r>
      <w:r>
        <w:rPr>
          <w:spacing w:val="-3"/>
        </w:rPr>
        <w:t xml:space="preserve"> </w:t>
      </w:r>
      <w:r>
        <w:t>auditor</w:t>
      </w:r>
      <w:r>
        <w:rPr>
          <w:spacing w:val="-5"/>
        </w:rPr>
        <w:t xml:space="preserve"> </w:t>
      </w:r>
      <w:r>
        <w:t>should</w:t>
      </w:r>
      <w:r>
        <w:rPr>
          <w:spacing w:val="-3"/>
        </w:rPr>
        <w:t xml:space="preserve"> </w:t>
      </w:r>
      <w:r>
        <w:t>not</w:t>
      </w:r>
      <w:r>
        <w:rPr>
          <w:spacing w:val="-3"/>
        </w:rPr>
        <w:t xml:space="preserve"> </w:t>
      </w:r>
      <w:r>
        <w:t>use</w:t>
      </w:r>
      <w:r>
        <w:rPr>
          <w:spacing w:val="-3"/>
        </w:rPr>
        <w:t xml:space="preserve"> </w:t>
      </w:r>
      <w:r>
        <w:t>the</w:t>
      </w:r>
      <w:r>
        <w:rPr>
          <w:spacing w:val="-3"/>
        </w:rPr>
        <w:t xml:space="preserve"> </w:t>
      </w:r>
      <w:r>
        <w:t>work</w:t>
      </w:r>
      <w:r>
        <w:rPr>
          <w:spacing w:val="-4"/>
        </w:rPr>
        <w:t xml:space="preserve"> </w:t>
      </w:r>
      <w:r>
        <w:t>of</w:t>
      </w:r>
      <w:r>
        <w:rPr>
          <w:spacing w:val="-3"/>
        </w:rPr>
        <w:t xml:space="preserve"> </w:t>
      </w:r>
      <w:r>
        <w:t>the</w:t>
      </w:r>
      <w:r>
        <w:rPr>
          <w:spacing w:val="-3"/>
        </w:rPr>
        <w:t xml:space="preserve"> </w:t>
      </w:r>
      <w:r>
        <w:t>internal</w:t>
      </w:r>
      <w:r>
        <w:rPr>
          <w:spacing w:val="-3"/>
        </w:rPr>
        <w:t xml:space="preserve"> </w:t>
      </w:r>
      <w:r>
        <w:t>audit</w:t>
      </w:r>
      <w:r>
        <w:rPr>
          <w:spacing w:val="-3"/>
        </w:rPr>
        <w:t xml:space="preserve"> </w:t>
      </w:r>
      <w:r>
        <w:t>function</w:t>
      </w:r>
      <w:r>
        <w:rPr>
          <w:spacing w:val="-3"/>
        </w:rPr>
        <w:t xml:space="preserve"> </w:t>
      </w:r>
      <w:r>
        <w:t>in</w:t>
      </w:r>
      <w:r>
        <w:rPr>
          <w:spacing w:val="-3"/>
        </w:rPr>
        <w:t xml:space="preserve"> </w:t>
      </w:r>
      <w:r>
        <w:t>obtaining audit evidence if the external auditor determines that</w:t>
      </w:r>
    </w:p>
    <w:p w14:paraId="0DFDB011" w14:textId="77777777" w:rsidR="00046465" w:rsidRDefault="008134EB">
      <w:pPr>
        <w:pStyle w:val="ListParagraph"/>
        <w:numPr>
          <w:ilvl w:val="0"/>
          <w:numId w:val="207"/>
        </w:numPr>
        <w:tabs>
          <w:tab w:val="left" w:pos="2159"/>
        </w:tabs>
        <w:spacing w:before="119"/>
        <w:ind w:right="942"/>
      </w:pPr>
      <w:r>
        <w:t>the</w:t>
      </w:r>
      <w:r>
        <w:rPr>
          <w:spacing w:val="-4"/>
        </w:rPr>
        <w:t xml:space="preserve"> </w:t>
      </w:r>
      <w:r>
        <w:t>function’s</w:t>
      </w:r>
      <w:r>
        <w:rPr>
          <w:spacing w:val="-4"/>
        </w:rPr>
        <w:t xml:space="preserve"> </w:t>
      </w:r>
      <w:r>
        <w:t>organizational</w:t>
      </w:r>
      <w:r>
        <w:rPr>
          <w:spacing w:val="-4"/>
        </w:rPr>
        <w:t xml:space="preserve"> </w:t>
      </w:r>
      <w:r>
        <w:t>status</w:t>
      </w:r>
      <w:r>
        <w:rPr>
          <w:spacing w:val="-5"/>
        </w:rPr>
        <w:t xml:space="preserve"> </w:t>
      </w:r>
      <w:r>
        <w:t>and</w:t>
      </w:r>
      <w:r>
        <w:rPr>
          <w:spacing w:val="-4"/>
        </w:rPr>
        <w:t xml:space="preserve"> </w:t>
      </w:r>
      <w:r>
        <w:t>relevant</w:t>
      </w:r>
      <w:r>
        <w:rPr>
          <w:spacing w:val="-5"/>
        </w:rPr>
        <w:t xml:space="preserve"> </w:t>
      </w:r>
      <w:r>
        <w:t>policies</w:t>
      </w:r>
      <w:r>
        <w:rPr>
          <w:spacing w:val="-4"/>
        </w:rPr>
        <w:t xml:space="preserve"> </w:t>
      </w:r>
      <w:r>
        <w:t>and</w:t>
      </w:r>
      <w:r>
        <w:rPr>
          <w:spacing w:val="-5"/>
        </w:rPr>
        <w:t xml:space="preserve"> </w:t>
      </w:r>
      <w:r>
        <w:t>procedures</w:t>
      </w:r>
      <w:r>
        <w:rPr>
          <w:spacing w:val="-5"/>
        </w:rPr>
        <w:t xml:space="preserve"> </w:t>
      </w:r>
      <w:r>
        <w:t>do not adequately support the objectivity of internal auditors;</w:t>
      </w:r>
    </w:p>
    <w:p w14:paraId="0DFDB012" w14:textId="77777777" w:rsidR="00046465" w:rsidRDefault="008134EB">
      <w:pPr>
        <w:pStyle w:val="ListParagraph"/>
        <w:numPr>
          <w:ilvl w:val="0"/>
          <w:numId w:val="207"/>
        </w:numPr>
        <w:tabs>
          <w:tab w:val="left" w:pos="2158"/>
        </w:tabs>
        <w:ind w:left="2158" w:hanging="359"/>
      </w:pPr>
      <w:r>
        <w:t>the</w:t>
      </w:r>
      <w:r>
        <w:rPr>
          <w:spacing w:val="-9"/>
        </w:rPr>
        <w:t xml:space="preserve"> </w:t>
      </w:r>
      <w:r>
        <w:t>function</w:t>
      </w:r>
      <w:r>
        <w:rPr>
          <w:spacing w:val="-8"/>
        </w:rPr>
        <w:t xml:space="preserve"> </w:t>
      </w:r>
      <w:r>
        <w:t>lacks</w:t>
      </w:r>
      <w:r>
        <w:rPr>
          <w:spacing w:val="-9"/>
        </w:rPr>
        <w:t xml:space="preserve"> </w:t>
      </w:r>
      <w:r>
        <w:t>sufficient</w:t>
      </w:r>
      <w:r>
        <w:rPr>
          <w:spacing w:val="-8"/>
        </w:rPr>
        <w:t xml:space="preserve"> </w:t>
      </w:r>
      <w:r>
        <w:t>competence;</w:t>
      </w:r>
      <w:r>
        <w:rPr>
          <w:spacing w:val="-9"/>
        </w:rPr>
        <w:t xml:space="preserve"> </w:t>
      </w:r>
      <w:r>
        <w:rPr>
          <w:spacing w:val="-5"/>
        </w:rPr>
        <w:t>or</w:t>
      </w:r>
    </w:p>
    <w:p w14:paraId="0DFDB013" w14:textId="77777777" w:rsidR="00046465" w:rsidRDefault="008134EB">
      <w:pPr>
        <w:pStyle w:val="ListParagraph"/>
        <w:numPr>
          <w:ilvl w:val="0"/>
          <w:numId w:val="207"/>
        </w:numPr>
        <w:tabs>
          <w:tab w:val="left" w:pos="2159"/>
        </w:tabs>
        <w:ind w:right="880"/>
      </w:pPr>
      <w:r>
        <w:t>the</w:t>
      </w:r>
      <w:r>
        <w:rPr>
          <w:spacing w:val="-4"/>
        </w:rPr>
        <w:t xml:space="preserve"> </w:t>
      </w:r>
      <w:r>
        <w:t>function</w:t>
      </w:r>
      <w:r>
        <w:rPr>
          <w:spacing w:val="-5"/>
        </w:rPr>
        <w:t xml:space="preserve"> </w:t>
      </w:r>
      <w:r>
        <w:t>does</w:t>
      </w:r>
      <w:r>
        <w:rPr>
          <w:spacing w:val="-4"/>
        </w:rPr>
        <w:t xml:space="preserve"> </w:t>
      </w:r>
      <w:r>
        <w:t>not</w:t>
      </w:r>
      <w:r>
        <w:rPr>
          <w:spacing w:val="-4"/>
        </w:rPr>
        <w:t xml:space="preserve"> </w:t>
      </w:r>
      <w:r>
        <w:t>apply</w:t>
      </w:r>
      <w:r>
        <w:rPr>
          <w:spacing w:val="-4"/>
        </w:rPr>
        <w:t xml:space="preserve"> </w:t>
      </w:r>
      <w:r>
        <w:t>a</w:t>
      </w:r>
      <w:r>
        <w:rPr>
          <w:spacing w:val="-4"/>
        </w:rPr>
        <w:t xml:space="preserve"> </w:t>
      </w:r>
      <w:r>
        <w:t>systematic</w:t>
      </w:r>
      <w:r>
        <w:rPr>
          <w:spacing w:val="-4"/>
        </w:rPr>
        <w:t xml:space="preserve"> </w:t>
      </w:r>
      <w:r>
        <w:t>and</w:t>
      </w:r>
      <w:r>
        <w:rPr>
          <w:spacing w:val="-4"/>
        </w:rPr>
        <w:t xml:space="preserve"> </w:t>
      </w:r>
      <w:r>
        <w:t>disciplined</w:t>
      </w:r>
      <w:r>
        <w:rPr>
          <w:spacing w:val="-4"/>
        </w:rPr>
        <w:t xml:space="preserve"> </w:t>
      </w:r>
      <w:r>
        <w:t>approach,</w:t>
      </w:r>
      <w:r>
        <w:rPr>
          <w:spacing w:val="-4"/>
        </w:rPr>
        <w:t xml:space="preserve"> </w:t>
      </w:r>
      <w:r>
        <w:t>including quality control (AU-C 610.14).</w:t>
      </w:r>
    </w:p>
    <w:p w14:paraId="0DFDB014" w14:textId="77777777" w:rsidR="00046465" w:rsidRDefault="008134EB">
      <w:pPr>
        <w:pStyle w:val="ListParagraph"/>
        <w:numPr>
          <w:ilvl w:val="0"/>
          <w:numId w:val="14"/>
        </w:numPr>
        <w:tabs>
          <w:tab w:val="left" w:pos="1799"/>
        </w:tabs>
        <w:ind w:right="822"/>
      </w:pPr>
      <w:r>
        <w:t>As a basis for determining the areas and the extent to which the work of the internal audit function can be used, the auditor should consider the nature, timing, and extent of the work that has been performed, or is planned to be performed,</w:t>
      </w:r>
      <w:r>
        <w:rPr>
          <w:spacing w:val="-3"/>
        </w:rPr>
        <w:t xml:space="preserve"> </w:t>
      </w:r>
      <w:r>
        <w:t>by</w:t>
      </w:r>
      <w:r>
        <w:rPr>
          <w:spacing w:val="-3"/>
        </w:rPr>
        <w:t xml:space="preserve"> </w:t>
      </w:r>
      <w:r>
        <w:t>the</w:t>
      </w:r>
      <w:r>
        <w:rPr>
          <w:spacing w:val="-3"/>
        </w:rPr>
        <w:t xml:space="preserve"> </w:t>
      </w:r>
      <w:r>
        <w:t>internal</w:t>
      </w:r>
      <w:r>
        <w:rPr>
          <w:spacing w:val="-3"/>
        </w:rPr>
        <w:t xml:space="preserve"> </w:t>
      </w:r>
      <w:r>
        <w:t>audit</w:t>
      </w:r>
      <w:r>
        <w:rPr>
          <w:spacing w:val="-3"/>
        </w:rPr>
        <w:t xml:space="preserve"> </w:t>
      </w:r>
      <w:r>
        <w:t>function</w:t>
      </w:r>
      <w:r>
        <w:rPr>
          <w:spacing w:val="-3"/>
        </w:rPr>
        <w:t xml:space="preserve"> </w:t>
      </w:r>
      <w:r>
        <w:t>and</w:t>
      </w:r>
      <w:r>
        <w:rPr>
          <w:spacing w:val="-3"/>
        </w:rPr>
        <w:t xml:space="preserve"> </w:t>
      </w:r>
      <w:r>
        <w:t>its</w:t>
      </w:r>
      <w:r>
        <w:rPr>
          <w:spacing w:val="-3"/>
        </w:rPr>
        <w:t xml:space="preserve"> </w:t>
      </w:r>
      <w:r>
        <w:t>relevance</w:t>
      </w:r>
      <w:r>
        <w:rPr>
          <w:spacing w:val="-3"/>
        </w:rPr>
        <w:t xml:space="preserve"> </w:t>
      </w:r>
      <w:r>
        <w:t>to</w:t>
      </w:r>
      <w:r>
        <w:rPr>
          <w:spacing w:val="-4"/>
        </w:rPr>
        <w:t xml:space="preserve"> </w:t>
      </w:r>
      <w:r>
        <w:t>the</w:t>
      </w:r>
      <w:r>
        <w:rPr>
          <w:spacing w:val="-3"/>
        </w:rPr>
        <w:t xml:space="preserve"> </w:t>
      </w:r>
      <w:r>
        <w:t>auditor’s</w:t>
      </w:r>
      <w:r>
        <w:rPr>
          <w:spacing w:val="-3"/>
        </w:rPr>
        <w:t xml:space="preserve"> </w:t>
      </w:r>
      <w:r>
        <w:t>overall audit strategy and audit plan (AU-C 610.15). For example, internal auditors may be performing tests of relevant controls that address a material misstatement related to the completeness of accounts payable. Alternatively, the internal</w:t>
      </w:r>
    </w:p>
    <w:p w14:paraId="0DFDB015" w14:textId="77777777" w:rsidR="00046465" w:rsidRDefault="00046465">
      <w:pPr>
        <w:pStyle w:val="ListParagraph"/>
        <w:sectPr w:rsidR="00046465">
          <w:pgSz w:w="12240" w:h="15840"/>
          <w:pgMar w:top="1340" w:right="720" w:bottom="1020" w:left="1080" w:header="721" w:footer="757" w:gutter="0"/>
          <w:cols w:space="720"/>
        </w:sectPr>
      </w:pPr>
    </w:p>
    <w:p w14:paraId="0DFDB016" w14:textId="77777777" w:rsidR="00046465" w:rsidRDefault="008134EB">
      <w:pPr>
        <w:pStyle w:val="BodyText"/>
        <w:spacing w:before="121"/>
        <w:ind w:left="1800" w:right="749"/>
      </w:pPr>
      <w:r>
        <w:lastRenderedPageBreak/>
        <w:t>auditors</w:t>
      </w:r>
      <w:r>
        <w:rPr>
          <w:spacing w:val="-4"/>
        </w:rPr>
        <w:t xml:space="preserve"> </w:t>
      </w:r>
      <w:r>
        <w:t>may</w:t>
      </w:r>
      <w:r>
        <w:rPr>
          <w:spacing w:val="-4"/>
        </w:rPr>
        <w:t xml:space="preserve"> </w:t>
      </w:r>
      <w:r>
        <w:t>be</w:t>
      </w:r>
      <w:r>
        <w:rPr>
          <w:spacing w:val="-4"/>
        </w:rPr>
        <w:t xml:space="preserve"> </w:t>
      </w:r>
      <w:r>
        <w:t>observing</w:t>
      </w:r>
      <w:r>
        <w:rPr>
          <w:spacing w:val="-4"/>
        </w:rPr>
        <w:t xml:space="preserve"> </w:t>
      </w:r>
      <w:r>
        <w:t>physical</w:t>
      </w:r>
      <w:r>
        <w:rPr>
          <w:spacing w:val="-4"/>
        </w:rPr>
        <w:t xml:space="preserve"> </w:t>
      </w:r>
      <w:r>
        <w:t>inventories.</w:t>
      </w:r>
      <w:r>
        <w:rPr>
          <w:spacing w:val="-4"/>
        </w:rPr>
        <w:t xml:space="preserve"> </w:t>
      </w:r>
      <w:r>
        <w:t>In</w:t>
      </w:r>
      <w:r>
        <w:rPr>
          <w:spacing w:val="-4"/>
        </w:rPr>
        <w:t xml:space="preserve"> </w:t>
      </w:r>
      <w:r>
        <w:t>either</w:t>
      </w:r>
      <w:r>
        <w:rPr>
          <w:spacing w:val="-4"/>
        </w:rPr>
        <w:t xml:space="preserve"> </w:t>
      </w:r>
      <w:r>
        <w:t>case,</w:t>
      </w:r>
      <w:r>
        <w:rPr>
          <w:spacing w:val="-4"/>
        </w:rPr>
        <w:t xml:space="preserve"> </w:t>
      </w:r>
      <w:r>
        <w:t>the</w:t>
      </w:r>
      <w:r>
        <w:rPr>
          <w:spacing w:val="-4"/>
        </w:rPr>
        <w:t xml:space="preserve"> </w:t>
      </w:r>
      <w:r>
        <w:t>auditor</w:t>
      </w:r>
      <w:r>
        <w:rPr>
          <w:spacing w:val="-4"/>
        </w:rPr>
        <w:t xml:space="preserve"> </w:t>
      </w:r>
      <w:r>
        <w:t>may change the timing or scope of its own testing when using the work of internal auditors (AU-C 610.A20).</w:t>
      </w:r>
    </w:p>
    <w:p w14:paraId="0DFDB017" w14:textId="77777777" w:rsidR="00046465" w:rsidRDefault="008134EB">
      <w:pPr>
        <w:pStyle w:val="ListParagraph"/>
        <w:numPr>
          <w:ilvl w:val="0"/>
          <w:numId w:val="14"/>
        </w:numPr>
        <w:tabs>
          <w:tab w:val="left" w:pos="1800"/>
        </w:tabs>
        <w:spacing w:before="119"/>
        <w:ind w:left="1800" w:right="1214"/>
      </w:pPr>
      <w:r>
        <w:t>The auditor should make all significant judgments in the audit engagement, including</w:t>
      </w:r>
      <w:r>
        <w:rPr>
          <w:spacing w:val="-3"/>
        </w:rPr>
        <w:t xml:space="preserve"> </w:t>
      </w:r>
      <w:r>
        <w:t>when</w:t>
      </w:r>
      <w:r>
        <w:rPr>
          <w:spacing w:val="-4"/>
        </w:rPr>
        <w:t xml:space="preserve"> </w:t>
      </w:r>
      <w:r>
        <w:t>using</w:t>
      </w:r>
      <w:r>
        <w:rPr>
          <w:spacing w:val="-3"/>
        </w:rPr>
        <w:t xml:space="preserve"> </w:t>
      </w:r>
      <w:r>
        <w:t>the</w:t>
      </w:r>
      <w:r>
        <w:rPr>
          <w:spacing w:val="-4"/>
        </w:rPr>
        <w:t xml:space="preserve"> </w:t>
      </w:r>
      <w:r>
        <w:t>work</w:t>
      </w:r>
      <w:r>
        <w:rPr>
          <w:spacing w:val="-3"/>
        </w:rPr>
        <w:t xml:space="preserve"> </w:t>
      </w:r>
      <w:r>
        <w:t>of</w:t>
      </w:r>
      <w:r>
        <w:rPr>
          <w:spacing w:val="-4"/>
        </w:rPr>
        <w:t xml:space="preserve"> </w:t>
      </w:r>
      <w:r>
        <w:t>the</w:t>
      </w:r>
      <w:r>
        <w:rPr>
          <w:spacing w:val="-3"/>
        </w:rPr>
        <w:t xml:space="preserve"> </w:t>
      </w:r>
      <w:r>
        <w:t>internal</w:t>
      </w:r>
      <w:r>
        <w:rPr>
          <w:spacing w:val="-4"/>
        </w:rPr>
        <w:t xml:space="preserve"> </w:t>
      </w:r>
      <w:r>
        <w:t>audit</w:t>
      </w:r>
      <w:r>
        <w:rPr>
          <w:spacing w:val="-3"/>
        </w:rPr>
        <w:t xml:space="preserve"> </w:t>
      </w:r>
      <w:r>
        <w:t>function</w:t>
      </w:r>
      <w:r>
        <w:rPr>
          <w:spacing w:val="-4"/>
        </w:rPr>
        <w:t xml:space="preserve"> </w:t>
      </w:r>
      <w:r>
        <w:t>in</w:t>
      </w:r>
      <w:r>
        <w:rPr>
          <w:spacing w:val="-4"/>
        </w:rPr>
        <w:t xml:space="preserve"> </w:t>
      </w:r>
      <w:r>
        <w:t>obtaining</w:t>
      </w:r>
      <w:r>
        <w:rPr>
          <w:spacing w:val="-3"/>
        </w:rPr>
        <w:t xml:space="preserve"> </w:t>
      </w:r>
      <w:r>
        <w:t>audit evidence (AU-C 610.16).</w:t>
      </w:r>
    </w:p>
    <w:p w14:paraId="0DFDB018" w14:textId="77777777" w:rsidR="00046465" w:rsidRDefault="008134EB">
      <w:pPr>
        <w:pStyle w:val="ListParagraph"/>
        <w:numPr>
          <w:ilvl w:val="0"/>
          <w:numId w:val="206"/>
        </w:numPr>
        <w:tabs>
          <w:tab w:val="left" w:pos="1800"/>
        </w:tabs>
        <w:spacing w:before="121"/>
        <w:ind w:right="911"/>
      </w:pPr>
      <w:r>
        <w:t>To prevent undue use of the internal audit function in obtaining audit evidence, the</w:t>
      </w:r>
      <w:r>
        <w:rPr>
          <w:spacing w:val="-3"/>
        </w:rPr>
        <w:t xml:space="preserve"> </w:t>
      </w:r>
      <w:r>
        <w:t>auditor</w:t>
      </w:r>
      <w:r>
        <w:rPr>
          <w:spacing w:val="-3"/>
        </w:rPr>
        <w:t xml:space="preserve"> </w:t>
      </w:r>
      <w:r>
        <w:t>should</w:t>
      </w:r>
      <w:r>
        <w:rPr>
          <w:spacing w:val="-3"/>
        </w:rPr>
        <w:t xml:space="preserve"> </w:t>
      </w:r>
      <w:r>
        <w:t>plan</w:t>
      </w:r>
      <w:r>
        <w:rPr>
          <w:spacing w:val="-3"/>
        </w:rPr>
        <w:t xml:space="preserve"> </w:t>
      </w:r>
      <w:r>
        <w:t>to</w:t>
      </w:r>
      <w:r>
        <w:rPr>
          <w:spacing w:val="-3"/>
        </w:rPr>
        <w:t xml:space="preserve"> </w:t>
      </w:r>
      <w:r>
        <w:t>use</w:t>
      </w:r>
      <w:r>
        <w:rPr>
          <w:spacing w:val="-3"/>
        </w:rPr>
        <w:t xml:space="preserve"> </w:t>
      </w:r>
      <w:r>
        <w:t>less</w:t>
      </w:r>
      <w:r>
        <w:rPr>
          <w:spacing w:val="-3"/>
        </w:rPr>
        <w:t xml:space="preserve"> </w:t>
      </w:r>
      <w:r>
        <w:t>of</w:t>
      </w:r>
      <w:r>
        <w:rPr>
          <w:spacing w:val="-3"/>
        </w:rPr>
        <w:t xml:space="preserve"> </w:t>
      </w:r>
      <w:r>
        <w:t>the</w:t>
      </w:r>
      <w:r>
        <w:rPr>
          <w:spacing w:val="-3"/>
        </w:rPr>
        <w:t xml:space="preserve"> </w:t>
      </w:r>
      <w:r>
        <w:t>work</w:t>
      </w:r>
      <w:r>
        <w:rPr>
          <w:spacing w:val="-3"/>
        </w:rPr>
        <w:t xml:space="preserve"> </w:t>
      </w:r>
      <w:r>
        <w:t>of</w:t>
      </w:r>
      <w:r>
        <w:rPr>
          <w:spacing w:val="-3"/>
        </w:rPr>
        <w:t xml:space="preserve"> </w:t>
      </w:r>
      <w:r>
        <w:t>the</w:t>
      </w:r>
      <w:r>
        <w:rPr>
          <w:spacing w:val="-3"/>
        </w:rPr>
        <w:t xml:space="preserve"> </w:t>
      </w:r>
      <w:r>
        <w:t>function</w:t>
      </w:r>
      <w:r>
        <w:rPr>
          <w:spacing w:val="-4"/>
        </w:rPr>
        <w:t xml:space="preserve"> </w:t>
      </w:r>
      <w:r>
        <w:t>and</w:t>
      </w:r>
      <w:r>
        <w:rPr>
          <w:spacing w:val="-3"/>
        </w:rPr>
        <w:t xml:space="preserve"> </w:t>
      </w:r>
      <w:r>
        <w:t>perform</w:t>
      </w:r>
      <w:r>
        <w:rPr>
          <w:spacing w:val="-4"/>
        </w:rPr>
        <w:t xml:space="preserve"> </w:t>
      </w:r>
      <w:r>
        <w:t>more of the work directly</w:t>
      </w:r>
    </w:p>
    <w:p w14:paraId="0DFDB019" w14:textId="77777777" w:rsidR="00046465" w:rsidRDefault="008134EB">
      <w:pPr>
        <w:pStyle w:val="ListParagraph"/>
        <w:numPr>
          <w:ilvl w:val="1"/>
          <w:numId w:val="206"/>
        </w:numPr>
        <w:tabs>
          <w:tab w:val="left" w:pos="2159"/>
        </w:tabs>
        <w:spacing w:before="119"/>
        <w:ind w:left="2159" w:hanging="359"/>
      </w:pPr>
      <w:r>
        <w:t>when</w:t>
      </w:r>
      <w:r>
        <w:rPr>
          <w:spacing w:val="-9"/>
        </w:rPr>
        <w:t xml:space="preserve"> </w:t>
      </w:r>
      <w:r>
        <w:t>there</w:t>
      </w:r>
      <w:r>
        <w:rPr>
          <w:spacing w:val="-6"/>
        </w:rPr>
        <w:t xml:space="preserve"> </w:t>
      </w:r>
      <w:r>
        <w:t>are</w:t>
      </w:r>
      <w:r>
        <w:rPr>
          <w:spacing w:val="-6"/>
        </w:rPr>
        <w:t xml:space="preserve"> </w:t>
      </w:r>
      <w:r>
        <w:t>greater</w:t>
      </w:r>
      <w:r>
        <w:rPr>
          <w:spacing w:val="-7"/>
        </w:rPr>
        <w:t xml:space="preserve"> </w:t>
      </w:r>
      <w:r>
        <w:t>levels</w:t>
      </w:r>
      <w:r>
        <w:rPr>
          <w:spacing w:val="-6"/>
        </w:rPr>
        <w:t xml:space="preserve"> </w:t>
      </w:r>
      <w:r>
        <w:t>of</w:t>
      </w:r>
      <w:r>
        <w:rPr>
          <w:spacing w:val="-7"/>
        </w:rPr>
        <w:t xml:space="preserve"> </w:t>
      </w:r>
      <w:r>
        <w:t>judgment</w:t>
      </w:r>
      <w:r>
        <w:rPr>
          <w:spacing w:val="-6"/>
        </w:rPr>
        <w:t xml:space="preserve"> </w:t>
      </w:r>
      <w:r>
        <w:t>involved</w:t>
      </w:r>
      <w:r>
        <w:rPr>
          <w:spacing w:val="-6"/>
        </w:rPr>
        <w:t xml:space="preserve"> </w:t>
      </w:r>
      <w:r>
        <w:rPr>
          <w:spacing w:val="-5"/>
        </w:rPr>
        <w:t>in</w:t>
      </w:r>
    </w:p>
    <w:p w14:paraId="0DFDB01A" w14:textId="77777777" w:rsidR="00046465" w:rsidRDefault="008134EB">
      <w:pPr>
        <w:pStyle w:val="ListParagraph"/>
        <w:numPr>
          <w:ilvl w:val="2"/>
          <w:numId w:val="206"/>
        </w:numPr>
        <w:tabs>
          <w:tab w:val="left" w:pos="2520"/>
        </w:tabs>
      </w:pPr>
      <w:r>
        <w:t>planning</w:t>
      </w:r>
      <w:r>
        <w:rPr>
          <w:spacing w:val="-9"/>
        </w:rPr>
        <w:t xml:space="preserve"> </w:t>
      </w:r>
      <w:r>
        <w:t>and</w:t>
      </w:r>
      <w:r>
        <w:rPr>
          <w:spacing w:val="-8"/>
        </w:rPr>
        <w:t xml:space="preserve"> </w:t>
      </w:r>
      <w:r>
        <w:t>performing</w:t>
      </w:r>
      <w:r>
        <w:rPr>
          <w:spacing w:val="-9"/>
        </w:rPr>
        <w:t xml:space="preserve"> </w:t>
      </w:r>
      <w:r>
        <w:t>relevant</w:t>
      </w:r>
      <w:r>
        <w:rPr>
          <w:spacing w:val="-8"/>
        </w:rPr>
        <w:t xml:space="preserve"> </w:t>
      </w:r>
      <w:r>
        <w:t>audit</w:t>
      </w:r>
      <w:r>
        <w:rPr>
          <w:spacing w:val="-8"/>
        </w:rPr>
        <w:t xml:space="preserve"> </w:t>
      </w:r>
      <w:r>
        <w:t>procedures</w:t>
      </w:r>
      <w:r>
        <w:rPr>
          <w:spacing w:val="-9"/>
        </w:rPr>
        <w:t xml:space="preserve"> </w:t>
      </w:r>
      <w:r>
        <w:rPr>
          <w:spacing w:val="-7"/>
        </w:rPr>
        <w:t>or</w:t>
      </w:r>
    </w:p>
    <w:p w14:paraId="0DFDB01B" w14:textId="77777777" w:rsidR="00046465" w:rsidRDefault="008134EB">
      <w:pPr>
        <w:pStyle w:val="ListParagraph"/>
        <w:numPr>
          <w:ilvl w:val="2"/>
          <w:numId w:val="206"/>
        </w:numPr>
        <w:tabs>
          <w:tab w:val="left" w:pos="2519"/>
        </w:tabs>
        <w:spacing w:before="118"/>
        <w:ind w:left="2519" w:hanging="359"/>
      </w:pPr>
      <w:r>
        <w:t>evaluating</w:t>
      </w:r>
      <w:r>
        <w:rPr>
          <w:spacing w:val="-8"/>
        </w:rPr>
        <w:t xml:space="preserve"> </w:t>
      </w:r>
      <w:r>
        <w:t>the</w:t>
      </w:r>
      <w:r>
        <w:rPr>
          <w:spacing w:val="-7"/>
        </w:rPr>
        <w:t xml:space="preserve"> </w:t>
      </w:r>
      <w:r>
        <w:t>audit</w:t>
      </w:r>
      <w:r>
        <w:rPr>
          <w:spacing w:val="-8"/>
        </w:rPr>
        <w:t xml:space="preserve"> </w:t>
      </w:r>
      <w:r>
        <w:t>evidence</w:t>
      </w:r>
      <w:r>
        <w:rPr>
          <w:spacing w:val="-7"/>
        </w:rPr>
        <w:t xml:space="preserve"> </w:t>
      </w:r>
      <w:r>
        <w:rPr>
          <w:spacing w:val="-2"/>
        </w:rPr>
        <w:t>obtained;</w:t>
      </w:r>
    </w:p>
    <w:p w14:paraId="0DFDB01C" w14:textId="77777777" w:rsidR="00046465" w:rsidRDefault="008134EB">
      <w:pPr>
        <w:pStyle w:val="ListParagraph"/>
        <w:numPr>
          <w:ilvl w:val="1"/>
          <w:numId w:val="206"/>
        </w:numPr>
        <w:tabs>
          <w:tab w:val="left" w:pos="2159"/>
        </w:tabs>
        <w:spacing w:before="119"/>
        <w:ind w:left="2159" w:right="943"/>
      </w:pPr>
      <w:r>
        <w:t>the</w:t>
      </w:r>
      <w:r>
        <w:rPr>
          <w:spacing w:val="-4"/>
        </w:rPr>
        <w:t xml:space="preserve"> </w:t>
      </w:r>
      <w:r>
        <w:t>higher</w:t>
      </w:r>
      <w:r>
        <w:rPr>
          <w:spacing w:val="-4"/>
        </w:rPr>
        <w:t xml:space="preserve"> </w:t>
      </w:r>
      <w:r>
        <w:t>the</w:t>
      </w:r>
      <w:r>
        <w:rPr>
          <w:spacing w:val="-4"/>
        </w:rPr>
        <w:t xml:space="preserve"> </w:t>
      </w:r>
      <w:r>
        <w:t>assessed</w:t>
      </w:r>
      <w:r>
        <w:rPr>
          <w:spacing w:val="-5"/>
        </w:rPr>
        <w:t xml:space="preserve"> </w:t>
      </w:r>
      <w:r>
        <w:t>risk</w:t>
      </w:r>
      <w:r>
        <w:rPr>
          <w:spacing w:val="-4"/>
        </w:rPr>
        <w:t xml:space="preserve"> </w:t>
      </w:r>
      <w:r>
        <w:t>of</w:t>
      </w:r>
      <w:r>
        <w:rPr>
          <w:spacing w:val="-4"/>
        </w:rPr>
        <w:t xml:space="preserve"> </w:t>
      </w:r>
      <w:r>
        <w:t>material</w:t>
      </w:r>
      <w:r>
        <w:rPr>
          <w:spacing w:val="-4"/>
        </w:rPr>
        <w:t xml:space="preserve"> </w:t>
      </w:r>
      <w:r>
        <w:t>misstatement</w:t>
      </w:r>
      <w:r>
        <w:rPr>
          <w:spacing w:val="-4"/>
        </w:rPr>
        <w:t xml:space="preserve"> </w:t>
      </w:r>
      <w:r>
        <w:t>at</w:t>
      </w:r>
      <w:r>
        <w:rPr>
          <w:spacing w:val="-4"/>
        </w:rPr>
        <w:t xml:space="preserve"> </w:t>
      </w:r>
      <w:r>
        <w:t>the</w:t>
      </w:r>
      <w:r>
        <w:rPr>
          <w:spacing w:val="-4"/>
        </w:rPr>
        <w:t xml:space="preserve"> </w:t>
      </w:r>
      <w:r>
        <w:t>assertion</w:t>
      </w:r>
      <w:r>
        <w:rPr>
          <w:spacing w:val="-4"/>
        </w:rPr>
        <w:t xml:space="preserve"> </w:t>
      </w:r>
      <w:r>
        <w:t>level, with special consideration given to significant risks;</w:t>
      </w:r>
    </w:p>
    <w:p w14:paraId="0DFDB01D" w14:textId="77777777" w:rsidR="00046465" w:rsidRDefault="008134EB">
      <w:pPr>
        <w:pStyle w:val="ListParagraph"/>
        <w:numPr>
          <w:ilvl w:val="1"/>
          <w:numId w:val="206"/>
        </w:numPr>
        <w:tabs>
          <w:tab w:val="left" w:pos="2159"/>
        </w:tabs>
        <w:ind w:left="2159" w:right="1235"/>
      </w:pPr>
      <w:r>
        <w:t>the less the internal audit function’s organizational status and relevant policies</w:t>
      </w:r>
      <w:r>
        <w:rPr>
          <w:spacing w:val="-4"/>
        </w:rPr>
        <w:t xml:space="preserve"> </w:t>
      </w:r>
      <w:r>
        <w:t>and</w:t>
      </w:r>
      <w:r>
        <w:rPr>
          <w:spacing w:val="-5"/>
        </w:rPr>
        <w:t xml:space="preserve"> </w:t>
      </w:r>
      <w:r>
        <w:t>procedures</w:t>
      </w:r>
      <w:r>
        <w:rPr>
          <w:spacing w:val="-5"/>
        </w:rPr>
        <w:t xml:space="preserve"> </w:t>
      </w:r>
      <w:r>
        <w:t>adequately</w:t>
      </w:r>
      <w:r>
        <w:rPr>
          <w:spacing w:val="-5"/>
        </w:rPr>
        <w:t xml:space="preserve"> </w:t>
      </w:r>
      <w:r>
        <w:t>support</w:t>
      </w:r>
      <w:r>
        <w:rPr>
          <w:spacing w:val="-4"/>
        </w:rPr>
        <w:t xml:space="preserve"> </w:t>
      </w:r>
      <w:r>
        <w:t>the</w:t>
      </w:r>
      <w:r>
        <w:rPr>
          <w:spacing w:val="-5"/>
        </w:rPr>
        <w:t xml:space="preserve"> </w:t>
      </w:r>
      <w:r>
        <w:t>objectivity</w:t>
      </w:r>
      <w:r>
        <w:rPr>
          <w:spacing w:val="-4"/>
        </w:rPr>
        <w:t xml:space="preserve"> </w:t>
      </w:r>
      <w:r>
        <w:t>of</w:t>
      </w:r>
      <w:r>
        <w:rPr>
          <w:spacing w:val="-5"/>
        </w:rPr>
        <w:t xml:space="preserve"> </w:t>
      </w:r>
      <w:r>
        <w:t>the</w:t>
      </w:r>
      <w:r>
        <w:rPr>
          <w:spacing w:val="-4"/>
        </w:rPr>
        <w:t xml:space="preserve"> </w:t>
      </w:r>
      <w:r>
        <w:t>internal auditors; and</w:t>
      </w:r>
    </w:p>
    <w:p w14:paraId="0DFDB01E" w14:textId="77777777" w:rsidR="00046465" w:rsidRDefault="008134EB">
      <w:pPr>
        <w:pStyle w:val="ListParagraph"/>
        <w:numPr>
          <w:ilvl w:val="1"/>
          <w:numId w:val="206"/>
        </w:numPr>
        <w:tabs>
          <w:tab w:val="left" w:pos="2159"/>
        </w:tabs>
        <w:ind w:left="2159" w:right="2237"/>
      </w:pPr>
      <w:r>
        <w:t>the</w:t>
      </w:r>
      <w:r>
        <w:rPr>
          <w:spacing w:val="-4"/>
        </w:rPr>
        <w:t xml:space="preserve"> </w:t>
      </w:r>
      <w:r>
        <w:t>lower</w:t>
      </w:r>
      <w:r>
        <w:rPr>
          <w:spacing w:val="-4"/>
        </w:rPr>
        <w:t xml:space="preserve"> </w:t>
      </w:r>
      <w:r>
        <w:t>the</w:t>
      </w:r>
      <w:r>
        <w:rPr>
          <w:spacing w:val="-4"/>
        </w:rPr>
        <w:t xml:space="preserve"> </w:t>
      </w:r>
      <w:r>
        <w:t>level</w:t>
      </w:r>
      <w:r>
        <w:rPr>
          <w:spacing w:val="-4"/>
        </w:rPr>
        <w:t xml:space="preserve"> </w:t>
      </w:r>
      <w:r>
        <w:t>of</w:t>
      </w:r>
      <w:r>
        <w:rPr>
          <w:spacing w:val="-5"/>
        </w:rPr>
        <w:t xml:space="preserve"> </w:t>
      </w:r>
      <w:r>
        <w:t>competence</w:t>
      </w:r>
      <w:r>
        <w:rPr>
          <w:spacing w:val="-4"/>
        </w:rPr>
        <w:t xml:space="preserve"> </w:t>
      </w:r>
      <w:r>
        <w:t>of</w:t>
      </w:r>
      <w:r>
        <w:rPr>
          <w:spacing w:val="-4"/>
        </w:rPr>
        <w:t xml:space="preserve"> </w:t>
      </w:r>
      <w:r>
        <w:t>the</w:t>
      </w:r>
      <w:r>
        <w:rPr>
          <w:spacing w:val="-4"/>
        </w:rPr>
        <w:t xml:space="preserve"> </w:t>
      </w:r>
      <w:r>
        <w:t>internal</w:t>
      </w:r>
      <w:r>
        <w:rPr>
          <w:spacing w:val="-5"/>
        </w:rPr>
        <w:t xml:space="preserve"> </w:t>
      </w:r>
      <w:r>
        <w:t>audit</w:t>
      </w:r>
      <w:r>
        <w:rPr>
          <w:spacing w:val="-4"/>
        </w:rPr>
        <w:t xml:space="preserve"> </w:t>
      </w:r>
      <w:r>
        <w:t>function (AU-C 610.17).</w:t>
      </w:r>
    </w:p>
    <w:p w14:paraId="0DFDB01F" w14:textId="77777777" w:rsidR="00046465" w:rsidRDefault="008134EB">
      <w:pPr>
        <w:pStyle w:val="ListParagraph"/>
        <w:numPr>
          <w:ilvl w:val="0"/>
          <w:numId w:val="206"/>
        </w:numPr>
        <w:tabs>
          <w:tab w:val="left" w:pos="1799"/>
        </w:tabs>
        <w:ind w:left="1799" w:right="774"/>
      </w:pPr>
      <w:r>
        <w:t>The auditor should also evaluate whether, in aggregate, using the work of the internal audit function in obtaining audit evidence to the extent planned, together with any planned use of internal auditors to provide direct assistance, would result</w:t>
      </w:r>
      <w:r>
        <w:rPr>
          <w:spacing w:val="-2"/>
        </w:rPr>
        <w:t xml:space="preserve"> </w:t>
      </w:r>
      <w:r>
        <w:t>in</w:t>
      </w:r>
      <w:r>
        <w:rPr>
          <w:spacing w:val="-2"/>
        </w:rPr>
        <w:t xml:space="preserve"> </w:t>
      </w:r>
      <w:r>
        <w:t>the</w:t>
      </w:r>
      <w:r>
        <w:rPr>
          <w:spacing w:val="-3"/>
        </w:rPr>
        <w:t xml:space="preserve"> </w:t>
      </w:r>
      <w:r>
        <w:t>auditor</w:t>
      </w:r>
      <w:r>
        <w:rPr>
          <w:spacing w:val="-2"/>
        </w:rPr>
        <w:t xml:space="preserve"> </w:t>
      </w:r>
      <w:r>
        <w:t>still</w:t>
      </w:r>
      <w:r>
        <w:rPr>
          <w:spacing w:val="-3"/>
        </w:rPr>
        <w:t xml:space="preserve"> </w:t>
      </w:r>
      <w:r>
        <w:t>being</w:t>
      </w:r>
      <w:r>
        <w:rPr>
          <w:spacing w:val="-2"/>
        </w:rPr>
        <w:t xml:space="preserve"> </w:t>
      </w:r>
      <w:r>
        <w:t>sufficiently</w:t>
      </w:r>
      <w:r>
        <w:rPr>
          <w:spacing w:val="-2"/>
        </w:rPr>
        <w:t xml:space="preserve"> </w:t>
      </w:r>
      <w:r>
        <w:t>involved</w:t>
      </w:r>
      <w:r>
        <w:rPr>
          <w:spacing w:val="-2"/>
        </w:rPr>
        <w:t xml:space="preserve"> </w:t>
      </w:r>
      <w:r>
        <w:t>in</w:t>
      </w:r>
      <w:r>
        <w:rPr>
          <w:spacing w:val="-2"/>
        </w:rPr>
        <w:t xml:space="preserve"> </w:t>
      </w:r>
      <w:r>
        <w:t>the</w:t>
      </w:r>
      <w:r>
        <w:rPr>
          <w:spacing w:val="-2"/>
        </w:rPr>
        <w:t xml:space="preserve"> </w:t>
      </w:r>
      <w:r>
        <w:t>audit,</w:t>
      </w:r>
      <w:r>
        <w:rPr>
          <w:spacing w:val="-2"/>
        </w:rPr>
        <w:t xml:space="preserve"> </w:t>
      </w:r>
      <w:r>
        <w:t>given</w:t>
      </w:r>
      <w:r>
        <w:rPr>
          <w:spacing w:val="-2"/>
        </w:rPr>
        <w:t xml:space="preserve"> </w:t>
      </w:r>
      <w:r>
        <w:t>the</w:t>
      </w:r>
      <w:r>
        <w:rPr>
          <w:spacing w:val="-2"/>
        </w:rPr>
        <w:t xml:space="preserve"> </w:t>
      </w:r>
      <w:r>
        <w:t>auditor’s sole responsibility for the audit opinion expressed (AU-C 610.18). It is not anticipated that the auditor’s evaluation of using work of the internal audit function would be based on a quantitative analysis, such as percentage of hours spent</w:t>
      </w:r>
      <w:r>
        <w:rPr>
          <w:spacing w:val="-3"/>
        </w:rPr>
        <w:t xml:space="preserve"> </w:t>
      </w:r>
      <w:r>
        <w:t>by</w:t>
      </w:r>
      <w:r>
        <w:rPr>
          <w:spacing w:val="-3"/>
        </w:rPr>
        <w:t xml:space="preserve"> </w:t>
      </w:r>
      <w:r>
        <w:t>internal</w:t>
      </w:r>
      <w:r>
        <w:rPr>
          <w:spacing w:val="-3"/>
        </w:rPr>
        <w:t xml:space="preserve"> </w:t>
      </w:r>
      <w:r>
        <w:t>audit</w:t>
      </w:r>
      <w:r>
        <w:rPr>
          <w:spacing w:val="-3"/>
        </w:rPr>
        <w:t xml:space="preserve"> </w:t>
      </w:r>
      <w:r>
        <w:t>personnel</w:t>
      </w:r>
      <w:r>
        <w:rPr>
          <w:spacing w:val="-3"/>
        </w:rPr>
        <w:t xml:space="preserve"> </w:t>
      </w:r>
      <w:r>
        <w:t>in</w:t>
      </w:r>
      <w:r>
        <w:rPr>
          <w:spacing w:val="-3"/>
        </w:rPr>
        <w:t xml:space="preserve"> </w:t>
      </w:r>
      <w:r>
        <w:t>respect</w:t>
      </w:r>
      <w:r>
        <w:rPr>
          <w:spacing w:val="-3"/>
        </w:rPr>
        <w:t xml:space="preserve"> </w:t>
      </w:r>
      <w:r>
        <w:t>of</w:t>
      </w:r>
      <w:r>
        <w:rPr>
          <w:spacing w:val="-3"/>
        </w:rPr>
        <w:t xml:space="preserve"> </w:t>
      </w:r>
      <w:r>
        <w:t>the</w:t>
      </w:r>
      <w:r>
        <w:rPr>
          <w:spacing w:val="-3"/>
        </w:rPr>
        <w:t xml:space="preserve"> </w:t>
      </w:r>
      <w:r>
        <w:t>work</w:t>
      </w:r>
      <w:r>
        <w:rPr>
          <w:spacing w:val="-3"/>
        </w:rPr>
        <w:t xml:space="preserve"> </w:t>
      </w:r>
      <w:r>
        <w:t>being</w:t>
      </w:r>
      <w:r>
        <w:rPr>
          <w:spacing w:val="-3"/>
        </w:rPr>
        <w:t xml:space="preserve"> </w:t>
      </w:r>
      <w:r>
        <w:t>used</w:t>
      </w:r>
      <w:r>
        <w:rPr>
          <w:spacing w:val="-3"/>
        </w:rPr>
        <w:t xml:space="preserve"> </w:t>
      </w:r>
      <w:r>
        <w:t>by</w:t>
      </w:r>
      <w:r>
        <w:rPr>
          <w:spacing w:val="-3"/>
        </w:rPr>
        <w:t xml:space="preserve"> </w:t>
      </w:r>
      <w:r>
        <w:t>the</w:t>
      </w:r>
      <w:r>
        <w:rPr>
          <w:spacing w:val="-3"/>
        </w:rPr>
        <w:t xml:space="preserve"> </w:t>
      </w:r>
      <w:r>
        <w:t>auditor relative to total engagement hours. (AU-C 610.A23)</w:t>
      </w:r>
    </w:p>
    <w:p w14:paraId="0DFDB020" w14:textId="77777777" w:rsidR="00046465" w:rsidRDefault="008134EB">
      <w:pPr>
        <w:pStyle w:val="ListParagraph"/>
        <w:numPr>
          <w:ilvl w:val="0"/>
          <w:numId w:val="206"/>
        </w:numPr>
        <w:tabs>
          <w:tab w:val="left" w:pos="1800"/>
        </w:tabs>
        <w:ind w:right="1019" w:hanging="720"/>
      </w:pPr>
      <w:r>
        <w:t xml:space="preserve">In communicating an overview of the planned scope and timing of the audit to those charged with governance in accordance with AU-C 260, </w:t>
      </w:r>
      <w:r>
        <w:rPr>
          <w:i/>
        </w:rPr>
        <w:t>The Auditor’s Communication With Those Charged With Governance</w:t>
      </w:r>
      <w:r>
        <w:t>, the auditor should communicate</w:t>
      </w:r>
      <w:r>
        <w:rPr>
          <w:spacing w:val="-3"/>
        </w:rPr>
        <w:t xml:space="preserve"> </w:t>
      </w:r>
      <w:r>
        <w:t>how</w:t>
      </w:r>
      <w:r>
        <w:rPr>
          <w:spacing w:val="-4"/>
        </w:rPr>
        <w:t xml:space="preserve"> </w:t>
      </w:r>
      <w:r>
        <w:t>the</w:t>
      </w:r>
      <w:r>
        <w:rPr>
          <w:spacing w:val="-3"/>
        </w:rPr>
        <w:t xml:space="preserve"> </w:t>
      </w:r>
      <w:r>
        <w:t>auditor</w:t>
      </w:r>
      <w:r>
        <w:rPr>
          <w:spacing w:val="-3"/>
        </w:rPr>
        <w:t xml:space="preserve"> </w:t>
      </w:r>
      <w:r>
        <w:t>has</w:t>
      </w:r>
      <w:r>
        <w:rPr>
          <w:spacing w:val="-3"/>
        </w:rPr>
        <w:t xml:space="preserve"> </w:t>
      </w:r>
      <w:r>
        <w:t>planned</w:t>
      </w:r>
      <w:r>
        <w:rPr>
          <w:spacing w:val="-3"/>
        </w:rPr>
        <w:t xml:space="preserve"> </w:t>
      </w:r>
      <w:r>
        <w:t>to</w:t>
      </w:r>
      <w:r>
        <w:rPr>
          <w:spacing w:val="-3"/>
        </w:rPr>
        <w:t xml:space="preserve"> </w:t>
      </w:r>
      <w:r>
        <w:t>use</w:t>
      </w:r>
      <w:r>
        <w:rPr>
          <w:spacing w:val="-3"/>
        </w:rPr>
        <w:t xml:space="preserve"> </w:t>
      </w:r>
      <w:r>
        <w:t>the</w:t>
      </w:r>
      <w:r>
        <w:rPr>
          <w:spacing w:val="-3"/>
        </w:rPr>
        <w:t xml:space="preserve"> </w:t>
      </w:r>
      <w:r>
        <w:t>work</w:t>
      </w:r>
      <w:r>
        <w:rPr>
          <w:spacing w:val="-3"/>
        </w:rPr>
        <w:t xml:space="preserve"> </w:t>
      </w:r>
      <w:r>
        <w:t>of</w:t>
      </w:r>
      <w:r>
        <w:rPr>
          <w:spacing w:val="-3"/>
        </w:rPr>
        <w:t xml:space="preserve"> </w:t>
      </w:r>
      <w:r>
        <w:t>the</w:t>
      </w:r>
      <w:r>
        <w:rPr>
          <w:spacing w:val="-3"/>
        </w:rPr>
        <w:t xml:space="preserve"> </w:t>
      </w:r>
      <w:r>
        <w:t>internal</w:t>
      </w:r>
      <w:r>
        <w:rPr>
          <w:spacing w:val="-4"/>
        </w:rPr>
        <w:t xml:space="preserve"> </w:t>
      </w:r>
      <w:r>
        <w:t>audit function in obtaining audit evidence (AU-C 610.19). See FAM 215 for general guidance on communicating with those charged with governance.</w:t>
      </w:r>
    </w:p>
    <w:p w14:paraId="0DFDB021" w14:textId="77777777" w:rsidR="00046465" w:rsidRDefault="008134EB">
      <w:pPr>
        <w:pStyle w:val="ListParagraph"/>
        <w:numPr>
          <w:ilvl w:val="0"/>
          <w:numId w:val="206"/>
        </w:numPr>
        <w:tabs>
          <w:tab w:val="left" w:pos="1798"/>
          <w:tab w:val="left" w:pos="1800"/>
        </w:tabs>
        <w:ind w:right="725"/>
        <w:jc w:val="both"/>
      </w:pPr>
      <w:r>
        <w:t>If the auditor plans to use the work of the internal audit function in obtaining audit evidence,</w:t>
      </w:r>
      <w:r>
        <w:rPr>
          <w:spacing w:val="-3"/>
        </w:rPr>
        <w:t xml:space="preserve"> </w:t>
      </w:r>
      <w:r>
        <w:t>the</w:t>
      </w:r>
      <w:r>
        <w:rPr>
          <w:spacing w:val="-3"/>
        </w:rPr>
        <w:t xml:space="preserve"> </w:t>
      </w:r>
      <w:r>
        <w:t>auditor</w:t>
      </w:r>
      <w:r>
        <w:rPr>
          <w:spacing w:val="-3"/>
        </w:rPr>
        <w:t xml:space="preserve"> </w:t>
      </w:r>
      <w:r>
        <w:t>should</w:t>
      </w:r>
      <w:r>
        <w:rPr>
          <w:spacing w:val="-3"/>
        </w:rPr>
        <w:t xml:space="preserve"> </w:t>
      </w:r>
      <w:r>
        <w:t>discuss</w:t>
      </w:r>
      <w:r>
        <w:rPr>
          <w:spacing w:val="-4"/>
        </w:rPr>
        <w:t xml:space="preserve"> </w:t>
      </w:r>
      <w:r>
        <w:t>the</w:t>
      </w:r>
      <w:r>
        <w:rPr>
          <w:spacing w:val="-3"/>
        </w:rPr>
        <w:t xml:space="preserve"> </w:t>
      </w:r>
      <w:r>
        <w:t>planned</w:t>
      </w:r>
      <w:r>
        <w:rPr>
          <w:spacing w:val="-4"/>
        </w:rPr>
        <w:t xml:space="preserve"> </w:t>
      </w:r>
      <w:r>
        <w:t>use</w:t>
      </w:r>
      <w:r>
        <w:rPr>
          <w:spacing w:val="-3"/>
        </w:rPr>
        <w:t xml:space="preserve"> </w:t>
      </w:r>
      <w:r>
        <w:t>of</w:t>
      </w:r>
      <w:r>
        <w:rPr>
          <w:spacing w:val="-3"/>
        </w:rPr>
        <w:t xml:space="preserve"> </w:t>
      </w:r>
      <w:r>
        <w:t>the</w:t>
      </w:r>
      <w:r>
        <w:rPr>
          <w:spacing w:val="-4"/>
        </w:rPr>
        <w:t xml:space="preserve"> </w:t>
      </w:r>
      <w:r>
        <w:t>work</w:t>
      </w:r>
      <w:r>
        <w:rPr>
          <w:spacing w:val="-3"/>
        </w:rPr>
        <w:t xml:space="preserve"> </w:t>
      </w:r>
      <w:r>
        <w:t>with</w:t>
      </w:r>
      <w:r>
        <w:rPr>
          <w:spacing w:val="-3"/>
        </w:rPr>
        <w:t xml:space="preserve"> </w:t>
      </w:r>
      <w:r>
        <w:t>the</w:t>
      </w:r>
      <w:r>
        <w:rPr>
          <w:spacing w:val="-3"/>
        </w:rPr>
        <w:t xml:space="preserve"> </w:t>
      </w:r>
      <w:r>
        <w:t>internal audit function as a basis for coordinating their respective activities</w:t>
      </w:r>
    </w:p>
    <w:p w14:paraId="0DFDB022" w14:textId="77777777" w:rsidR="00046465" w:rsidRDefault="008134EB">
      <w:pPr>
        <w:pStyle w:val="BodyText"/>
        <w:ind w:left="1800"/>
        <w:jc w:val="both"/>
      </w:pPr>
      <w:r>
        <w:t>(AU-C</w:t>
      </w:r>
      <w:r>
        <w:rPr>
          <w:spacing w:val="-10"/>
        </w:rPr>
        <w:t xml:space="preserve"> </w:t>
      </w:r>
      <w:r>
        <w:rPr>
          <w:spacing w:val="-2"/>
        </w:rPr>
        <w:t>610.20).</w:t>
      </w:r>
    </w:p>
    <w:p w14:paraId="0DFDB023" w14:textId="77777777" w:rsidR="00046465" w:rsidRDefault="008134EB">
      <w:pPr>
        <w:pStyle w:val="ListParagraph"/>
        <w:numPr>
          <w:ilvl w:val="0"/>
          <w:numId w:val="206"/>
        </w:numPr>
        <w:tabs>
          <w:tab w:val="left" w:pos="1800"/>
        </w:tabs>
        <w:spacing w:before="119"/>
        <w:ind w:right="786"/>
      </w:pPr>
      <w:r>
        <w:t>The</w:t>
      </w:r>
      <w:r>
        <w:rPr>
          <w:spacing w:val="-3"/>
        </w:rPr>
        <w:t xml:space="preserve"> </w:t>
      </w:r>
      <w:r>
        <w:t>auditor</w:t>
      </w:r>
      <w:r>
        <w:rPr>
          <w:spacing w:val="-5"/>
        </w:rPr>
        <w:t xml:space="preserve"> </w:t>
      </w:r>
      <w:r>
        <w:t>should</w:t>
      </w:r>
      <w:r>
        <w:rPr>
          <w:spacing w:val="-3"/>
        </w:rPr>
        <w:t xml:space="preserve"> </w:t>
      </w:r>
      <w:r>
        <w:t>read</w:t>
      </w:r>
      <w:r>
        <w:rPr>
          <w:spacing w:val="-4"/>
        </w:rPr>
        <w:t xml:space="preserve"> </w:t>
      </w:r>
      <w:r>
        <w:t>the</w:t>
      </w:r>
      <w:r>
        <w:rPr>
          <w:spacing w:val="-3"/>
        </w:rPr>
        <w:t xml:space="preserve"> </w:t>
      </w:r>
      <w:r>
        <w:t>reports</w:t>
      </w:r>
      <w:r>
        <w:rPr>
          <w:spacing w:val="-4"/>
        </w:rPr>
        <w:t xml:space="preserve"> </w:t>
      </w:r>
      <w:r>
        <w:t>of</w:t>
      </w:r>
      <w:r>
        <w:rPr>
          <w:spacing w:val="-3"/>
        </w:rPr>
        <w:t xml:space="preserve"> </w:t>
      </w:r>
      <w:r>
        <w:t>the</w:t>
      </w:r>
      <w:r>
        <w:rPr>
          <w:spacing w:val="-3"/>
        </w:rPr>
        <w:t xml:space="preserve"> </w:t>
      </w:r>
      <w:r>
        <w:t>internal</w:t>
      </w:r>
      <w:r>
        <w:rPr>
          <w:spacing w:val="-3"/>
        </w:rPr>
        <w:t xml:space="preserve"> </w:t>
      </w:r>
      <w:r>
        <w:t>audit</w:t>
      </w:r>
      <w:r>
        <w:rPr>
          <w:spacing w:val="-3"/>
        </w:rPr>
        <w:t xml:space="preserve"> </w:t>
      </w:r>
      <w:r>
        <w:t>function</w:t>
      </w:r>
      <w:r>
        <w:rPr>
          <w:spacing w:val="-2"/>
        </w:rPr>
        <w:t xml:space="preserve"> </w:t>
      </w:r>
      <w:r>
        <w:t>that</w:t>
      </w:r>
      <w:r>
        <w:rPr>
          <w:spacing w:val="-3"/>
        </w:rPr>
        <w:t xml:space="preserve"> </w:t>
      </w:r>
      <w:r>
        <w:t>relate</w:t>
      </w:r>
      <w:r>
        <w:rPr>
          <w:spacing w:val="-3"/>
        </w:rPr>
        <w:t xml:space="preserve"> </w:t>
      </w:r>
      <w:r>
        <w:t>to</w:t>
      </w:r>
      <w:r>
        <w:rPr>
          <w:spacing w:val="-3"/>
        </w:rPr>
        <w:t xml:space="preserve"> </w:t>
      </w:r>
      <w:r>
        <w:t>the work of the function that the auditor plans to use to obtain an understanding of the nature and extent of audit procedures the internal audit function performed and the related findings (AU-C 610.21).</w:t>
      </w:r>
    </w:p>
    <w:p w14:paraId="0DFDB024" w14:textId="77777777" w:rsidR="00046465" w:rsidRDefault="00046465">
      <w:pPr>
        <w:pStyle w:val="ListParagraph"/>
        <w:sectPr w:rsidR="00046465">
          <w:pgSz w:w="12240" w:h="15840"/>
          <w:pgMar w:top="1340" w:right="720" w:bottom="940" w:left="1080" w:header="721" w:footer="757" w:gutter="0"/>
          <w:cols w:space="720"/>
        </w:sectPr>
      </w:pPr>
    </w:p>
    <w:p w14:paraId="0DFDB025" w14:textId="77777777" w:rsidR="00046465" w:rsidRDefault="008134EB">
      <w:pPr>
        <w:pStyle w:val="Heading5"/>
        <w:spacing w:before="121"/>
        <w:rPr>
          <w:u w:val="none"/>
        </w:rPr>
      </w:pPr>
      <w:bookmarkStart w:id="89" w:name="Evaluating_the_Work_of_the_Internal_Audi"/>
      <w:bookmarkEnd w:id="89"/>
      <w:r>
        <w:lastRenderedPageBreak/>
        <w:t>Evaluating</w:t>
      </w:r>
      <w:r>
        <w:rPr>
          <w:spacing w:val="-3"/>
        </w:rPr>
        <w:t xml:space="preserve"> </w:t>
      </w:r>
      <w:r>
        <w:t>the</w:t>
      </w:r>
      <w:r>
        <w:rPr>
          <w:spacing w:val="-3"/>
        </w:rPr>
        <w:t xml:space="preserve"> </w:t>
      </w:r>
      <w:r>
        <w:t>Work</w:t>
      </w:r>
      <w:r>
        <w:rPr>
          <w:spacing w:val="-3"/>
        </w:rPr>
        <w:t xml:space="preserve"> </w:t>
      </w:r>
      <w:r>
        <w:t>of</w:t>
      </w:r>
      <w:r>
        <w:rPr>
          <w:spacing w:val="-2"/>
        </w:rPr>
        <w:t xml:space="preserve"> </w:t>
      </w:r>
      <w:r>
        <w:t>the</w:t>
      </w:r>
      <w:r>
        <w:rPr>
          <w:spacing w:val="-3"/>
        </w:rPr>
        <w:t xml:space="preserve"> </w:t>
      </w:r>
      <w:r>
        <w:t>Internal</w:t>
      </w:r>
      <w:r>
        <w:rPr>
          <w:spacing w:val="-2"/>
        </w:rPr>
        <w:t xml:space="preserve"> </w:t>
      </w:r>
      <w:r>
        <w:t>Audit</w:t>
      </w:r>
      <w:r>
        <w:rPr>
          <w:spacing w:val="-3"/>
        </w:rPr>
        <w:t xml:space="preserve"> </w:t>
      </w:r>
      <w:r>
        <w:rPr>
          <w:spacing w:val="-2"/>
        </w:rPr>
        <w:t>Function</w:t>
      </w:r>
    </w:p>
    <w:p w14:paraId="0DFDB026" w14:textId="77777777" w:rsidR="00046465" w:rsidRDefault="008134EB">
      <w:pPr>
        <w:pStyle w:val="ListParagraph"/>
        <w:numPr>
          <w:ilvl w:val="0"/>
          <w:numId w:val="206"/>
        </w:numPr>
        <w:tabs>
          <w:tab w:val="left" w:pos="1800"/>
        </w:tabs>
        <w:ind w:right="775"/>
      </w:pPr>
      <w:r>
        <w:t>The</w:t>
      </w:r>
      <w:r>
        <w:rPr>
          <w:spacing w:val="-3"/>
        </w:rPr>
        <w:t xml:space="preserve"> </w:t>
      </w:r>
      <w:r>
        <w:t>auditor</w:t>
      </w:r>
      <w:r>
        <w:rPr>
          <w:spacing w:val="-5"/>
        </w:rPr>
        <w:t xml:space="preserve"> </w:t>
      </w:r>
      <w:r>
        <w:t>should</w:t>
      </w:r>
      <w:r>
        <w:rPr>
          <w:spacing w:val="-3"/>
        </w:rPr>
        <w:t xml:space="preserve"> </w:t>
      </w:r>
      <w:r>
        <w:t>perform</w:t>
      </w:r>
      <w:r>
        <w:rPr>
          <w:spacing w:val="-4"/>
        </w:rPr>
        <w:t xml:space="preserve"> </w:t>
      </w:r>
      <w:r>
        <w:t>sufficient</w:t>
      </w:r>
      <w:r>
        <w:rPr>
          <w:spacing w:val="-4"/>
        </w:rPr>
        <w:t xml:space="preserve"> </w:t>
      </w:r>
      <w:r>
        <w:t>audit</w:t>
      </w:r>
      <w:r>
        <w:rPr>
          <w:spacing w:val="-3"/>
        </w:rPr>
        <w:t xml:space="preserve"> </w:t>
      </w:r>
      <w:r>
        <w:t>procedures</w:t>
      </w:r>
      <w:r>
        <w:rPr>
          <w:spacing w:val="-3"/>
        </w:rPr>
        <w:t xml:space="preserve"> </w:t>
      </w:r>
      <w:r>
        <w:t>on</w:t>
      </w:r>
      <w:r>
        <w:rPr>
          <w:spacing w:val="-3"/>
        </w:rPr>
        <w:t xml:space="preserve"> </w:t>
      </w:r>
      <w:r>
        <w:t>the</w:t>
      </w:r>
      <w:r>
        <w:rPr>
          <w:spacing w:val="-4"/>
        </w:rPr>
        <w:t xml:space="preserve"> </w:t>
      </w:r>
      <w:r>
        <w:t>body</w:t>
      </w:r>
      <w:r>
        <w:rPr>
          <w:spacing w:val="-3"/>
        </w:rPr>
        <w:t xml:space="preserve"> </w:t>
      </w:r>
      <w:r>
        <w:t>of</w:t>
      </w:r>
      <w:r>
        <w:rPr>
          <w:spacing w:val="-3"/>
        </w:rPr>
        <w:t xml:space="preserve"> </w:t>
      </w:r>
      <w:r>
        <w:t>work</w:t>
      </w:r>
      <w:r>
        <w:rPr>
          <w:spacing w:val="-3"/>
        </w:rPr>
        <w:t xml:space="preserve"> </w:t>
      </w:r>
      <w:r>
        <w:t>of</w:t>
      </w:r>
      <w:r>
        <w:rPr>
          <w:spacing w:val="-3"/>
        </w:rPr>
        <w:t xml:space="preserve"> </w:t>
      </w:r>
      <w:r>
        <w:t>the internal audit function as a whole that the auditor plans to use to determine its adequacy for purposes of the audit, including evaluating whether</w:t>
      </w:r>
    </w:p>
    <w:p w14:paraId="0DFDB027" w14:textId="77777777" w:rsidR="00046465" w:rsidRDefault="008134EB">
      <w:pPr>
        <w:pStyle w:val="ListParagraph"/>
        <w:numPr>
          <w:ilvl w:val="1"/>
          <w:numId w:val="206"/>
        </w:numPr>
        <w:tabs>
          <w:tab w:val="left" w:pos="2159"/>
        </w:tabs>
        <w:spacing w:before="119"/>
        <w:ind w:left="2159" w:right="1477"/>
      </w:pPr>
      <w:r>
        <w:t>the</w:t>
      </w:r>
      <w:r>
        <w:rPr>
          <w:spacing w:val="-4"/>
        </w:rPr>
        <w:t xml:space="preserve"> </w:t>
      </w:r>
      <w:r>
        <w:t>work</w:t>
      </w:r>
      <w:r>
        <w:rPr>
          <w:spacing w:val="-4"/>
        </w:rPr>
        <w:t xml:space="preserve"> </w:t>
      </w:r>
      <w:r>
        <w:t>of</w:t>
      </w:r>
      <w:r>
        <w:rPr>
          <w:spacing w:val="-4"/>
        </w:rPr>
        <w:t xml:space="preserve"> </w:t>
      </w:r>
      <w:r>
        <w:t>the</w:t>
      </w:r>
      <w:r>
        <w:rPr>
          <w:spacing w:val="-4"/>
        </w:rPr>
        <w:t xml:space="preserve"> </w:t>
      </w:r>
      <w:r>
        <w:t>function</w:t>
      </w:r>
      <w:r>
        <w:rPr>
          <w:spacing w:val="-5"/>
        </w:rPr>
        <w:t xml:space="preserve"> </w:t>
      </w:r>
      <w:r>
        <w:t>was</w:t>
      </w:r>
      <w:r>
        <w:rPr>
          <w:spacing w:val="-4"/>
        </w:rPr>
        <w:t xml:space="preserve"> </w:t>
      </w:r>
      <w:r>
        <w:t>properly</w:t>
      </w:r>
      <w:r>
        <w:rPr>
          <w:spacing w:val="-4"/>
        </w:rPr>
        <w:t xml:space="preserve"> </w:t>
      </w:r>
      <w:r>
        <w:t>planned,</w:t>
      </w:r>
      <w:r>
        <w:rPr>
          <w:spacing w:val="-4"/>
        </w:rPr>
        <w:t xml:space="preserve"> </w:t>
      </w:r>
      <w:r>
        <w:t>performed,</w:t>
      </w:r>
      <w:r>
        <w:rPr>
          <w:spacing w:val="-4"/>
        </w:rPr>
        <w:t xml:space="preserve"> </w:t>
      </w:r>
      <w:r>
        <w:t>supervised, reviewed, and documented;</w:t>
      </w:r>
    </w:p>
    <w:p w14:paraId="0DFDB028" w14:textId="77777777" w:rsidR="00046465" w:rsidRDefault="008134EB">
      <w:pPr>
        <w:pStyle w:val="ListParagraph"/>
        <w:numPr>
          <w:ilvl w:val="1"/>
          <w:numId w:val="206"/>
        </w:numPr>
        <w:tabs>
          <w:tab w:val="left" w:pos="2159"/>
        </w:tabs>
        <w:spacing w:before="121"/>
        <w:ind w:left="2159" w:right="992"/>
      </w:pPr>
      <w:r>
        <w:t>sufficient</w:t>
      </w:r>
      <w:r>
        <w:rPr>
          <w:spacing w:val="-4"/>
        </w:rPr>
        <w:t xml:space="preserve"> </w:t>
      </w:r>
      <w:r>
        <w:t>appropriate</w:t>
      </w:r>
      <w:r>
        <w:rPr>
          <w:spacing w:val="-4"/>
        </w:rPr>
        <w:t xml:space="preserve"> </w:t>
      </w:r>
      <w:r>
        <w:t>evidence</w:t>
      </w:r>
      <w:r>
        <w:rPr>
          <w:spacing w:val="-4"/>
        </w:rPr>
        <w:t xml:space="preserve"> </w:t>
      </w:r>
      <w:r>
        <w:t>was</w:t>
      </w:r>
      <w:r>
        <w:rPr>
          <w:spacing w:val="-5"/>
        </w:rPr>
        <w:t xml:space="preserve"> </w:t>
      </w:r>
      <w:r>
        <w:t>obtained</w:t>
      </w:r>
      <w:r>
        <w:rPr>
          <w:spacing w:val="-4"/>
        </w:rPr>
        <w:t xml:space="preserve"> </w:t>
      </w:r>
      <w:r>
        <w:t>to</w:t>
      </w:r>
      <w:r>
        <w:rPr>
          <w:spacing w:val="-5"/>
        </w:rPr>
        <w:t xml:space="preserve"> </w:t>
      </w:r>
      <w:r>
        <w:t>enable</w:t>
      </w:r>
      <w:r>
        <w:rPr>
          <w:spacing w:val="-4"/>
        </w:rPr>
        <w:t xml:space="preserve"> </w:t>
      </w:r>
      <w:r>
        <w:t>the</w:t>
      </w:r>
      <w:r>
        <w:rPr>
          <w:spacing w:val="-4"/>
        </w:rPr>
        <w:t xml:space="preserve"> </w:t>
      </w:r>
      <w:r>
        <w:t>function</w:t>
      </w:r>
      <w:r>
        <w:rPr>
          <w:spacing w:val="-4"/>
        </w:rPr>
        <w:t xml:space="preserve"> </w:t>
      </w:r>
      <w:r>
        <w:t>to</w:t>
      </w:r>
      <w:r>
        <w:rPr>
          <w:spacing w:val="-4"/>
        </w:rPr>
        <w:t xml:space="preserve"> </w:t>
      </w:r>
      <w:r>
        <w:t>draw reasonable conclusions; and</w:t>
      </w:r>
    </w:p>
    <w:p w14:paraId="0DFDB029" w14:textId="77777777" w:rsidR="00046465" w:rsidRDefault="008134EB">
      <w:pPr>
        <w:pStyle w:val="ListParagraph"/>
        <w:numPr>
          <w:ilvl w:val="1"/>
          <w:numId w:val="206"/>
        </w:numPr>
        <w:tabs>
          <w:tab w:val="left" w:pos="2159"/>
        </w:tabs>
        <w:spacing w:before="119"/>
        <w:ind w:left="2159" w:right="746"/>
      </w:pPr>
      <w:r>
        <w:t>conclusions reached are appropriate in the circumstances, and the reports prepared</w:t>
      </w:r>
      <w:r>
        <w:rPr>
          <w:spacing w:val="-4"/>
        </w:rPr>
        <w:t xml:space="preserve"> </w:t>
      </w:r>
      <w:r>
        <w:t>by</w:t>
      </w:r>
      <w:r>
        <w:rPr>
          <w:spacing w:val="-4"/>
        </w:rPr>
        <w:t xml:space="preserve"> </w:t>
      </w:r>
      <w:r>
        <w:t>the</w:t>
      </w:r>
      <w:r>
        <w:rPr>
          <w:spacing w:val="-4"/>
        </w:rPr>
        <w:t xml:space="preserve"> </w:t>
      </w:r>
      <w:r>
        <w:t>function</w:t>
      </w:r>
      <w:r>
        <w:rPr>
          <w:spacing w:val="-4"/>
        </w:rPr>
        <w:t xml:space="preserve"> </w:t>
      </w:r>
      <w:r>
        <w:t>are</w:t>
      </w:r>
      <w:r>
        <w:rPr>
          <w:spacing w:val="-4"/>
        </w:rPr>
        <w:t xml:space="preserve"> </w:t>
      </w:r>
      <w:r>
        <w:t>consistent</w:t>
      </w:r>
      <w:r>
        <w:rPr>
          <w:spacing w:val="-4"/>
        </w:rPr>
        <w:t xml:space="preserve"> </w:t>
      </w:r>
      <w:r>
        <w:t>with</w:t>
      </w:r>
      <w:r>
        <w:rPr>
          <w:spacing w:val="-4"/>
        </w:rPr>
        <w:t xml:space="preserve"> </w:t>
      </w:r>
      <w:r>
        <w:t>the</w:t>
      </w:r>
      <w:r>
        <w:rPr>
          <w:spacing w:val="-4"/>
        </w:rPr>
        <w:t xml:space="preserve"> </w:t>
      </w:r>
      <w:r>
        <w:t>results</w:t>
      </w:r>
      <w:r>
        <w:rPr>
          <w:spacing w:val="-4"/>
        </w:rPr>
        <w:t xml:space="preserve"> </w:t>
      </w:r>
      <w:r>
        <w:t>of</w:t>
      </w:r>
      <w:r>
        <w:rPr>
          <w:spacing w:val="-4"/>
        </w:rPr>
        <w:t xml:space="preserve"> </w:t>
      </w:r>
      <w:r>
        <w:t>the</w:t>
      </w:r>
      <w:r>
        <w:rPr>
          <w:spacing w:val="-4"/>
        </w:rPr>
        <w:t xml:space="preserve"> </w:t>
      </w:r>
      <w:r>
        <w:t>work</w:t>
      </w:r>
      <w:r>
        <w:rPr>
          <w:spacing w:val="-4"/>
        </w:rPr>
        <w:t xml:space="preserve"> </w:t>
      </w:r>
      <w:r>
        <w:t>performed (AU-C 610.22).</w:t>
      </w:r>
    </w:p>
    <w:p w14:paraId="0DFDB02A" w14:textId="77777777" w:rsidR="00046465" w:rsidRDefault="008134EB">
      <w:pPr>
        <w:pStyle w:val="ListParagraph"/>
        <w:numPr>
          <w:ilvl w:val="0"/>
          <w:numId w:val="206"/>
        </w:numPr>
        <w:tabs>
          <w:tab w:val="left" w:pos="1799"/>
        </w:tabs>
        <w:spacing w:before="121"/>
        <w:ind w:left="1799" w:right="1103" w:hanging="720"/>
      </w:pPr>
      <w:r>
        <w:t>The</w:t>
      </w:r>
      <w:r>
        <w:rPr>
          <w:spacing w:val="-4"/>
        </w:rPr>
        <w:t xml:space="preserve"> </w:t>
      </w:r>
      <w:r>
        <w:t>nature</w:t>
      </w:r>
      <w:r>
        <w:rPr>
          <w:spacing w:val="-4"/>
        </w:rPr>
        <w:t xml:space="preserve"> </w:t>
      </w:r>
      <w:r>
        <w:t>and</w:t>
      </w:r>
      <w:r>
        <w:rPr>
          <w:spacing w:val="-4"/>
        </w:rPr>
        <w:t xml:space="preserve"> </w:t>
      </w:r>
      <w:r>
        <w:t>extent</w:t>
      </w:r>
      <w:r>
        <w:rPr>
          <w:spacing w:val="-4"/>
        </w:rPr>
        <w:t xml:space="preserve"> </w:t>
      </w:r>
      <w:r>
        <w:t>of</w:t>
      </w:r>
      <w:r>
        <w:rPr>
          <w:spacing w:val="-4"/>
        </w:rPr>
        <w:t xml:space="preserve"> </w:t>
      </w:r>
      <w:r>
        <w:t>the</w:t>
      </w:r>
      <w:r>
        <w:rPr>
          <w:spacing w:val="-4"/>
        </w:rPr>
        <w:t xml:space="preserve"> </w:t>
      </w:r>
      <w:r>
        <w:t>auditor’s</w:t>
      </w:r>
      <w:r>
        <w:rPr>
          <w:spacing w:val="-3"/>
        </w:rPr>
        <w:t xml:space="preserve"> </w:t>
      </w:r>
      <w:r>
        <w:t>audit</w:t>
      </w:r>
      <w:r>
        <w:rPr>
          <w:spacing w:val="-4"/>
        </w:rPr>
        <w:t xml:space="preserve"> </w:t>
      </w:r>
      <w:r>
        <w:t>procedures</w:t>
      </w:r>
      <w:r>
        <w:rPr>
          <w:spacing w:val="-4"/>
        </w:rPr>
        <w:t xml:space="preserve"> </w:t>
      </w:r>
      <w:r>
        <w:t>should</w:t>
      </w:r>
      <w:r>
        <w:rPr>
          <w:spacing w:val="-4"/>
        </w:rPr>
        <w:t xml:space="preserve"> </w:t>
      </w:r>
      <w:r>
        <w:t>respond</w:t>
      </w:r>
      <w:r>
        <w:rPr>
          <w:spacing w:val="-3"/>
        </w:rPr>
        <w:t xml:space="preserve"> </w:t>
      </w:r>
      <w:r>
        <w:t>to</w:t>
      </w:r>
      <w:r>
        <w:rPr>
          <w:spacing w:val="-4"/>
        </w:rPr>
        <w:t xml:space="preserve"> </w:t>
      </w:r>
      <w:r>
        <w:t>the auditor’s evaluation of</w:t>
      </w:r>
    </w:p>
    <w:p w14:paraId="0DFDB02B" w14:textId="77777777" w:rsidR="00046465" w:rsidRDefault="008134EB">
      <w:pPr>
        <w:pStyle w:val="ListParagraph"/>
        <w:numPr>
          <w:ilvl w:val="1"/>
          <w:numId w:val="206"/>
        </w:numPr>
        <w:tabs>
          <w:tab w:val="left" w:pos="2158"/>
        </w:tabs>
        <w:ind w:left="2158" w:hanging="359"/>
      </w:pPr>
      <w:r>
        <w:t>the</w:t>
      </w:r>
      <w:r>
        <w:rPr>
          <w:spacing w:val="-7"/>
        </w:rPr>
        <w:t xml:space="preserve"> </w:t>
      </w:r>
      <w:r>
        <w:t>amount</w:t>
      </w:r>
      <w:r>
        <w:rPr>
          <w:spacing w:val="-6"/>
        </w:rPr>
        <w:t xml:space="preserve"> </w:t>
      </w:r>
      <w:r>
        <w:t>of</w:t>
      </w:r>
      <w:r>
        <w:rPr>
          <w:spacing w:val="-6"/>
        </w:rPr>
        <w:t xml:space="preserve"> </w:t>
      </w:r>
      <w:r>
        <w:t>judgment</w:t>
      </w:r>
      <w:r>
        <w:rPr>
          <w:spacing w:val="-7"/>
        </w:rPr>
        <w:t xml:space="preserve"> </w:t>
      </w:r>
      <w:r>
        <w:t>involved</w:t>
      </w:r>
      <w:r>
        <w:rPr>
          <w:spacing w:val="-7"/>
        </w:rPr>
        <w:t xml:space="preserve"> </w:t>
      </w:r>
      <w:r>
        <w:rPr>
          <w:spacing w:val="-5"/>
        </w:rPr>
        <w:t>in</w:t>
      </w:r>
    </w:p>
    <w:p w14:paraId="0DFDB02C" w14:textId="77777777" w:rsidR="00046465" w:rsidRDefault="008134EB">
      <w:pPr>
        <w:pStyle w:val="ListParagraph"/>
        <w:numPr>
          <w:ilvl w:val="2"/>
          <w:numId w:val="206"/>
        </w:numPr>
        <w:tabs>
          <w:tab w:val="left" w:pos="2519"/>
        </w:tabs>
        <w:ind w:left="2519"/>
      </w:pPr>
      <w:r>
        <w:t>planning</w:t>
      </w:r>
      <w:r>
        <w:rPr>
          <w:spacing w:val="-9"/>
        </w:rPr>
        <w:t xml:space="preserve"> </w:t>
      </w:r>
      <w:r>
        <w:t>and</w:t>
      </w:r>
      <w:r>
        <w:rPr>
          <w:spacing w:val="-8"/>
        </w:rPr>
        <w:t xml:space="preserve"> </w:t>
      </w:r>
      <w:r>
        <w:t>performing</w:t>
      </w:r>
      <w:r>
        <w:rPr>
          <w:spacing w:val="-9"/>
        </w:rPr>
        <w:t xml:space="preserve"> </w:t>
      </w:r>
      <w:r>
        <w:t>relevant</w:t>
      </w:r>
      <w:r>
        <w:rPr>
          <w:spacing w:val="-8"/>
        </w:rPr>
        <w:t xml:space="preserve"> </w:t>
      </w:r>
      <w:r>
        <w:t>audit</w:t>
      </w:r>
      <w:r>
        <w:rPr>
          <w:spacing w:val="-8"/>
        </w:rPr>
        <w:t xml:space="preserve"> </w:t>
      </w:r>
      <w:r>
        <w:t>procedures</w:t>
      </w:r>
      <w:r>
        <w:rPr>
          <w:spacing w:val="-9"/>
        </w:rPr>
        <w:t xml:space="preserve"> </w:t>
      </w:r>
      <w:r>
        <w:rPr>
          <w:spacing w:val="-5"/>
        </w:rPr>
        <w:t>and</w:t>
      </w:r>
    </w:p>
    <w:p w14:paraId="0DFDB02D" w14:textId="77777777" w:rsidR="00046465" w:rsidRDefault="008134EB">
      <w:pPr>
        <w:pStyle w:val="ListParagraph"/>
        <w:numPr>
          <w:ilvl w:val="2"/>
          <w:numId w:val="206"/>
        </w:numPr>
        <w:tabs>
          <w:tab w:val="left" w:pos="2519"/>
        </w:tabs>
        <w:spacing w:before="118"/>
        <w:ind w:left="2519"/>
      </w:pPr>
      <w:r>
        <w:t>evaluating</w:t>
      </w:r>
      <w:r>
        <w:rPr>
          <w:spacing w:val="-8"/>
        </w:rPr>
        <w:t xml:space="preserve"> </w:t>
      </w:r>
      <w:r>
        <w:t>the</w:t>
      </w:r>
      <w:r>
        <w:rPr>
          <w:spacing w:val="-7"/>
        </w:rPr>
        <w:t xml:space="preserve"> </w:t>
      </w:r>
      <w:r>
        <w:t>audit</w:t>
      </w:r>
      <w:r>
        <w:rPr>
          <w:spacing w:val="-8"/>
        </w:rPr>
        <w:t xml:space="preserve"> </w:t>
      </w:r>
      <w:r>
        <w:t>evidence</w:t>
      </w:r>
      <w:r>
        <w:rPr>
          <w:spacing w:val="-7"/>
        </w:rPr>
        <w:t xml:space="preserve"> </w:t>
      </w:r>
      <w:r>
        <w:rPr>
          <w:spacing w:val="-2"/>
        </w:rPr>
        <w:t>obtained;</w:t>
      </w:r>
    </w:p>
    <w:p w14:paraId="0DFDB02E" w14:textId="77777777" w:rsidR="00046465" w:rsidRDefault="008134EB">
      <w:pPr>
        <w:pStyle w:val="ListParagraph"/>
        <w:numPr>
          <w:ilvl w:val="1"/>
          <w:numId w:val="206"/>
        </w:numPr>
        <w:tabs>
          <w:tab w:val="left" w:pos="2158"/>
        </w:tabs>
        <w:spacing w:before="118"/>
        <w:ind w:left="2158" w:hanging="359"/>
      </w:pPr>
      <w:r>
        <w:t>the</w:t>
      </w:r>
      <w:r>
        <w:rPr>
          <w:spacing w:val="-7"/>
        </w:rPr>
        <w:t xml:space="preserve"> </w:t>
      </w:r>
      <w:r>
        <w:t>assessed</w:t>
      </w:r>
      <w:r>
        <w:rPr>
          <w:spacing w:val="-6"/>
        </w:rPr>
        <w:t xml:space="preserve"> </w:t>
      </w:r>
      <w:r>
        <w:t>risk</w:t>
      </w:r>
      <w:r>
        <w:rPr>
          <w:spacing w:val="-6"/>
        </w:rPr>
        <w:t xml:space="preserve"> </w:t>
      </w:r>
      <w:r>
        <w:t>of</w:t>
      </w:r>
      <w:r>
        <w:rPr>
          <w:spacing w:val="-6"/>
        </w:rPr>
        <w:t xml:space="preserve"> </w:t>
      </w:r>
      <w:r>
        <w:t>material</w:t>
      </w:r>
      <w:r>
        <w:rPr>
          <w:spacing w:val="-6"/>
        </w:rPr>
        <w:t xml:space="preserve"> </w:t>
      </w:r>
      <w:r>
        <w:rPr>
          <w:spacing w:val="-2"/>
        </w:rPr>
        <w:t>misstatement;</w:t>
      </w:r>
    </w:p>
    <w:p w14:paraId="0DFDB02F" w14:textId="77777777" w:rsidR="00046465" w:rsidRDefault="008134EB">
      <w:pPr>
        <w:pStyle w:val="ListParagraph"/>
        <w:numPr>
          <w:ilvl w:val="1"/>
          <w:numId w:val="206"/>
        </w:numPr>
        <w:tabs>
          <w:tab w:val="left" w:pos="2159"/>
        </w:tabs>
        <w:ind w:left="2159" w:right="1259"/>
      </w:pPr>
      <w:r>
        <w:t>the</w:t>
      </w:r>
      <w:r>
        <w:rPr>
          <w:spacing w:val="-4"/>
        </w:rPr>
        <w:t xml:space="preserve"> </w:t>
      </w:r>
      <w:r>
        <w:t>extent</w:t>
      </w:r>
      <w:r>
        <w:rPr>
          <w:spacing w:val="-4"/>
        </w:rPr>
        <w:t xml:space="preserve"> </w:t>
      </w:r>
      <w:r>
        <w:t>to</w:t>
      </w:r>
      <w:r>
        <w:rPr>
          <w:spacing w:val="-5"/>
        </w:rPr>
        <w:t xml:space="preserve"> </w:t>
      </w:r>
      <w:r>
        <w:t>which</w:t>
      </w:r>
      <w:r>
        <w:rPr>
          <w:spacing w:val="-4"/>
        </w:rPr>
        <w:t xml:space="preserve"> </w:t>
      </w:r>
      <w:r>
        <w:t>the</w:t>
      </w:r>
      <w:r>
        <w:rPr>
          <w:spacing w:val="-4"/>
        </w:rPr>
        <w:t xml:space="preserve"> </w:t>
      </w:r>
      <w:r>
        <w:t>internal</w:t>
      </w:r>
      <w:r>
        <w:rPr>
          <w:spacing w:val="-4"/>
        </w:rPr>
        <w:t xml:space="preserve"> </w:t>
      </w:r>
      <w:r>
        <w:t>audit</w:t>
      </w:r>
      <w:r>
        <w:rPr>
          <w:spacing w:val="-4"/>
        </w:rPr>
        <w:t xml:space="preserve"> </w:t>
      </w:r>
      <w:r>
        <w:t>function’s</w:t>
      </w:r>
      <w:r>
        <w:rPr>
          <w:spacing w:val="-4"/>
        </w:rPr>
        <w:t xml:space="preserve"> </w:t>
      </w:r>
      <w:r>
        <w:t>organizational</w:t>
      </w:r>
      <w:r>
        <w:rPr>
          <w:spacing w:val="-5"/>
        </w:rPr>
        <w:t xml:space="preserve"> </w:t>
      </w:r>
      <w:r>
        <w:t>status</w:t>
      </w:r>
      <w:r>
        <w:rPr>
          <w:spacing w:val="-4"/>
        </w:rPr>
        <w:t xml:space="preserve"> </w:t>
      </w:r>
      <w:r>
        <w:t>and relevant policies and procedures support the objectivity of the internal auditors; and</w:t>
      </w:r>
    </w:p>
    <w:p w14:paraId="0DFDB030" w14:textId="77777777" w:rsidR="00046465" w:rsidRDefault="008134EB">
      <w:pPr>
        <w:pStyle w:val="ListParagraph"/>
        <w:numPr>
          <w:ilvl w:val="1"/>
          <w:numId w:val="206"/>
        </w:numPr>
        <w:tabs>
          <w:tab w:val="left" w:pos="2158"/>
        </w:tabs>
        <w:ind w:left="2158" w:hanging="359"/>
      </w:pPr>
      <w:r>
        <w:t>the</w:t>
      </w:r>
      <w:r>
        <w:rPr>
          <w:spacing w:val="-8"/>
        </w:rPr>
        <w:t xml:space="preserve"> </w:t>
      </w:r>
      <w:r>
        <w:t>function’s</w:t>
      </w:r>
      <w:r>
        <w:rPr>
          <w:spacing w:val="-7"/>
        </w:rPr>
        <w:t xml:space="preserve"> </w:t>
      </w:r>
      <w:r>
        <w:t>level</w:t>
      </w:r>
      <w:r>
        <w:rPr>
          <w:spacing w:val="-7"/>
        </w:rPr>
        <w:t xml:space="preserve"> </w:t>
      </w:r>
      <w:r>
        <w:t>of</w:t>
      </w:r>
      <w:r>
        <w:rPr>
          <w:spacing w:val="-7"/>
        </w:rPr>
        <w:t xml:space="preserve"> </w:t>
      </w:r>
      <w:r>
        <w:t>competence</w:t>
      </w:r>
      <w:r>
        <w:rPr>
          <w:spacing w:val="-7"/>
        </w:rPr>
        <w:t xml:space="preserve"> </w:t>
      </w:r>
      <w:r>
        <w:t>(AU-C</w:t>
      </w:r>
      <w:r>
        <w:rPr>
          <w:spacing w:val="-8"/>
        </w:rPr>
        <w:t xml:space="preserve"> </w:t>
      </w:r>
      <w:r>
        <w:rPr>
          <w:spacing w:val="-2"/>
        </w:rPr>
        <w:t>610.23).</w:t>
      </w:r>
    </w:p>
    <w:p w14:paraId="0DFDB031" w14:textId="77777777" w:rsidR="00046465" w:rsidRDefault="008134EB">
      <w:pPr>
        <w:pStyle w:val="ListParagraph"/>
        <w:numPr>
          <w:ilvl w:val="0"/>
          <w:numId w:val="206"/>
        </w:numPr>
        <w:tabs>
          <w:tab w:val="left" w:pos="1799"/>
        </w:tabs>
        <w:ind w:left="1799" w:right="888"/>
      </w:pPr>
      <w:r>
        <w:t>The</w:t>
      </w:r>
      <w:r>
        <w:rPr>
          <w:spacing w:val="-3"/>
        </w:rPr>
        <w:t xml:space="preserve"> </w:t>
      </w:r>
      <w:r>
        <w:t>auditor</w:t>
      </w:r>
      <w:r>
        <w:rPr>
          <w:spacing w:val="-5"/>
        </w:rPr>
        <w:t xml:space="preserve"> </w:t>
      </w:r>
      <w:r>
        <w:t>should</w:t>
      </w:r>
      <w:r>
        <w:rPr>
          <w:spacing w:val="-3"/>
        </w:rPr>
        <w:t xml:space="preserve"> </w:t>
      </w:r>
      <w:r>
        <w:t>also</w:t>
      </w:r>
      <w:r>
        <w:rPr>
          <w:spacing w:val="-4"/>
        </w:rPr>
        <w:t xml:space="preserve"> </w:t>
      </w:r>
      <w:r>
        <w:t>reperform</w:t>
      </w:r>
      <w:r>
        <w:rPr>
          <w:spacing w:val="-4"/>
        </w:rPr>
        <w:t xml:space="preserve"> </w:t>
      </w:r>
      <w:r>
        <w:t>some</w:t>
      </w:r>
      <w:r>
        <w:rPr>
          <w:spacing w:val="-3"/>
        </w:rPr>
        <w:t xml:space="preserve"> </w:t>
      </w:r>
      <w:r>
        <w:t>of</w:t>
      </w:r>
      <w:r>
        <w:rPr>
          <w:spacing w:val="-3"/>
        </w:rPr>
        <w:t xml:space="preserve"> </w:t>
      </w:r>
      <w:r>
        <w:t>the</w:t>
      </w:r>
      <w:r>
        <w:rPr>
          <w:spacing w:val="-3"/>
        </w:rPr>
        <w:t xml:space="preserve"> </w:t>
      </w:r>
      <w:r>
        <w:t>body</w:t>
      </w:r>
      <w:r>
        <w:rPr>
          <w:spacing w:val="-3"/>
        </w:rPr>
        <w:t xml:space="preserve"> </w:t>
      </w:r>
      <w:r>
        <w:t>of</w:t>
      </w:r>
      <w:r>
        <w:rPr>
          <w:spacing w:val="-3"/>
        </w:rPr>
        <w:t xml:space="preserve"> </w:t>
      </w:r>
      <w:r>
        <w:t>work</w:t>
      </w:r>
      <w:r>
        <w:rPr>
          <w:spacing w:val="-4"/>
        </w:rPr>
        <w:t xml:space="preserve"> </w:t>
      </w:r>
      <w:r>
        <w:t>of</w:t>
      </w:r>
      <w:r>
        <w:rPr>
          <w:spacing w:val="-3"/>
        </w:rPr>
        <w:t xml:space="preserve"> </w:t>
      </w:r>
      <w:r>
        <w:t>the</w:t>
      </w:r>
      <w:r>
        <w:rPr>
          <w:spacing w:val="-3"/>
        </w:rPr>
        <w:t xml:space="preserve"> </w:t>
      </w:r>
      <w:r>
        <w:t>internal</w:t>
      </w:r>
      <w:r>
        <w:rPr>
          <w:spacing w:val="-3"/>
        </w:rPr>
        <w:t xml:space="preserve"> </w:t>
      </w:r>
      <w:r>
        <w:t>audit function that the auditor intends to use in obtaining audit evidence</w:t>
      </w:r>
    </w:p>
    <w:p w14:paraId="0DFDB032" w14:textId="77777777" w:rsidR="00046465" w:rsidRDefault="008134EB">
      <w:pPr>
        <w:pStyle w:val="BodyText"/>
        <w:ind w:left="1799" w:right="749" w:hanging="1"/>
      </w:pPr>
      <w:r>
        <w:t>(AU-C</w:t>
      </w:r>
      <w:r>
        <w:rPr>
          <w:spacing w:val="-4"/>
        </w:rPr>
        <w:t xml:space="preserve"> </w:t>
      </w:r>
      <w:r>
        <w:t>610.23).</w:t>
      </w:r>
      <w:r>
        <w:rPr>
          <w:spacing w:val="-4"/>
        </w:rPr>
        <w:t xml:space="preserve"> </w:t>
      </w:r>
      <w:r>
        <w:t>The</w:t>
      </w:r>
      <w:r>
        <w:rPr>
          <w:spacing w:val="-4"/>
        </w:rPr>
        <w:t xml:space="preserve"> </w:t>
      </w:r>
      <w:r>
        <w:t>auditor</w:t>
      </w:r>
      <w:r>
        <w:rPr>
          <w:spacing w:val="-4"/>
        </w:rPr>
        <w:t xml:space="preserve"> </w:t>
      </w:r>
      <w:r>
        <w:t>may</w:t>
      </w:r>
      <w:r>
        <w:rPr>
          <w:spacing w:val="-4"/>
        </w:rPr>
        <w:t xml:space="preserve"> </w:t>
      </w:r>
      <w:r>
        <w:t>focus</w:t>
      </w:r>
      <w:r>
        <w:rPr>
          <w:spacing w:val="-4"/>
        </w:rPr>
        <w:t xml:space="preserve"> </w:t>
      </w:r>
      <w:r>
        <w:t>this</w:t>
      </w:r>
      <w:r>
        <w:rPr>
          <w:spacing w:val="-4"/>
        </w:rPr>
        <w:t xml:space="preserve"> </w:t>
      </w:r>
      <w:r>
        <w:t>reperforming</w:t>
      </w:r>
      <w:r>
        <w:rPr>
          <w:spacing w:val="-4"/>
        </w:rPr>
        <w:t xml:space="preserve"> </w:t>
      </w:r>
      <w:r>
        <w:t>on</w:t>
      </w:r>
      <w:r>
        <w:rPr>
          <w:spacing w:val="-3"/>
        </w:rPr>
        <w:t xml:space="preserve"> </w:t>
      </w:r>
      <w:r>
        <w:t>areas</w:t>
      </w:r>
      <w:r>
        <w:rPr>
          <w:spacing w:val="-4"/>
        </w:rPr>
        <w:t xml:space="preserve"> </w:t>
      </w:r>
      <w:r>
        <w:t>where</w:t>
      </w:r>
      <w:r>
        <w:rPr>
          <w:spacing w:val="-4"/>
        </w:rPr>
        <w:t xml:space="preserve"> </w:t>
      </w:r>
      <w:r>
        <w:t>more judgment was used by the internal audit function in planning, performing, and evaluating the results of the audit procedures and in areas at higher risk of material misstatement (AU-C 610.A36).</w:t>
      </w:r>
    </w:p>
    <w:p w14:paraId="0DFDB033" w14:textId="77777777" w:rsidR="00046465" w:rsidRDefault="008134EB">
      <w:pPr>
        <w:pStyle w:val="ListParagraph"/>
        <w:numPr>
          <w:ilvl w:val="0"/>
          <w:numId w:val="206"/>
        </w:numPr>
        <w:tabs>
          <w:tab w:val="left" w:pos="1799"/>
        </w:tabs>
        <w:ind w:left="1799" w:right="861"/>
      </w:pPr>
      <w:r>
        <w:t>Before the conclusion of the audit, the auditor should evaluate whether the auditor’s</w:t>
      </w:r>
      <w:r>
        <w:rPr>
          <w:spacing w:val="-4"/>
        </w:rPr>
        <w:t xml:space="preserve"> </w:t>
      </w:r>
      <w:r>
        <w:t>conclusions</w:t>
      </w:r>
      <w:r>
        <w:rPr>
          <w:spacing w:val="-4"/>
        </w:rPr>
        <w:t xml:space="preserve"> </w:t>
      </w:r>
      <w:r>
        <w:t>regarding</w:t>
      </w:r>
      <w:r>
        <w:rPr>
          <w:spacing w:val="-4"/>
        </w:rPr>
        <w:t xml:space="preserve"> </w:t>
      </w:r>
      <w:r>
        <w:t>the</w:t>
      </w:r>
      <w:r>
        <w:rPr>
          <w:spacing w:val="-4"/>
        </w:rPr>
        <w:t xml:space="preserve"> </w:t>
      </w:r>
      <w:r>
        <w:t>internal</w:t>
      </w:r>
      <w:r>
        <w:rPr>
          <w:spacing w:val="-4"/>
        </w:rPr>
        <w:t xml:space="preserve"> </w:t>
      </w:r>
      <w:r>
        <w:t>audit</w:t>
      </w:r>
      <w:r>
        <w:rPr>
          <w:spacing w:val="-5"/>
        </w:rPr>
        <w:t xml:space="preserve"> </w:t>
      </w:r>
      <w:r>
        <w:t>function</w:t>
      </w:r>
      <w:r>
        <w:rPr>
          <w:spacing w:val="-4"/>
        </w:rPr>
        <w:t xml:space="preserve"> </w:t>
      </w:r>
      <w:r>
        <w:t>based</w:t>
      </w:r>
      <w:r>
        <w:rPr>
          <w:spacing w:val="-4"/>
        </w:rPr>
        <w:t xml:space="preserve"> </w:t>
      </w:r>
      <w:r>
        <w:t>on</w:t>
      </w:r>
      <w:r>
        <w:rPr>
          <w:spacing w:val="-3"/>
        </w:rPr>
        <w:t xml:space="preserve"> </w:t>
      </w:r>
      <w:hyperlink r:id="rId63">
        <w:r>
          <w:t>FAM</w:t>
        </w:r>
      </w:hyperlink>
      <w:r>
        <w:rPr>
          <w:spacing w:val="-5"/>
        </w:rPr>
        <w:t xml:space="preserve"> </w:t>
      </w:r>
      <w:r>
        <w:t>645.06 and</w:t>
      </w:r>
      <w:r>
        <w:rPr>
          <w:spacing w:val="-1"/>
        </w:rPr>
        <w:t xml:space="preserve"> </w:t>
      </w:r>
      <w:r>
        <w:t>the</w:t>
      </w:r>
      <w:r>
        <w:rPr>
          <w:spacing w:val="-1"/>
        </w:rPr>
        <w:t xml:space="preserve"> </w:t>
      </w:r>
      <w:r>
        <w:t>determination</w:t>
      </w:r>
      <w:r>
        <w:rPr>
          <w:spacing w:val="-1"/>
        </w:rPr>
        <w:t xml:space="preserve"> </w:t>
      </w:r>
      <w:r>
        <w:t>of</w:t>
      </w:r>
      <w:r>
        <w:rPr>
          <w:spacing w:val="-1"/>
        </w:rPr>
        <w:t xml:space="preserve"> </w:t>
      </w:r>
      <w:r>
        <w:t>the</w:t>
      </w:r>
      <w:r>
        <w:rPr>
          <w:spacing w:val="-1"/>
        </w:rPr>
        <w:t xml:space="preserve"> </w:t>
      </w:r>
      <w:r>
        <w:t>nature</w:t>
      </w:r>
      <w:r>
        <w:rPr>
          <w:spacing w:val="-1"/>
        </w:rPr>
        <w:t xml:space="preserve"> </w:t>
      </w:r>
      <w:r>
        <w:t>and</w:t>
      </w:r>
      <w:r>
        <w:rPr>
          <w:spacing w:val="-1"/>
        </w:rPr>
        <w:t xml:space="preserve"> </w:t>
      </w:r>
      <w:r>
        <w:t>extent</w:t>
      </w:r>
      <w:r>
        <w:rPr>
          <w:spacing w:val="-1"/>
        </w:rPr>
        <w:t xml:space="preserve"> </w:t>
      </w:r>
      <w:r>
        <w:t>of</w:t>
      </w:r>
      <w:r>
        <w:rPr>
          <w:spacing w:val="-2"/>
        </w:rPr>
        <w:t xml:space="preserve"> </w:t>
      </w:r>
      <w:r>
        <w:t>use</w:t>
      </w:r>
      <w:r>
        <w:rPr>
          <w:spacing w:val="-1"/>
        </w:rPr>
        <w:t xml:space="preserve"> </w:t>
      </w:r>
      <w:r>
        <w:t>of</w:t>
      </w:r>
      <w:r>
        <w:rPr>
          <w:spacing w:val="-1"/>
        </w:rPr>
        <w:t xml:space="preserve"> </w:t>
      </w:r>
      <w:r>
        <w:t>the</w:t>
      </w:r>
      <w:r>
        <w:rPr>
          <w:spacing w:val="-1"/>
        </w:rPr>
        <w:t xml:space="preserve"> </w:t>
      </w:r>
      <w:r>
        <w:t>work</w:t>
      </w:r>
      <w:r>
        <w:rPr>
          <w:spacing w:val="-1"/>
        </w:rPr>
        <w:t xml:space="preserve"> </w:t>
      </w:r>
      <w:r>
        <w:t>of</w:t>
      </w:r>
      <w:r>
        <w:rPr>
          <w:spacing w:val="-1"/>
        </w:rPr>
        <w:t xml:space="preserve"> </w:t>
      </w:r>
      <w:r>
        <w:t>the</w:t>
      </w:r>
      <w:r>
        <w:rPr>
          <w:spacing w:val="-1"/>
        </w:rPr>
        <w:t xml:space="preserve"> </w:t>
      </w:r>
      <w:r>
        <w:t xml:space="preserve">function for purposes of the audit in </w:t>
      </w:r>
      <w:hyperlink r:id="rId64">
        <w:r>
          <w:t>FAM</w:t>
        </w:r>
      </w:hyperlink>
      <w:r>
        <w:t xml:space="preserve"> 645.09 through .11 remain appropriate (AU-C </w:t>
      </w:r>
      <w:r>
        <w:rPr>
          <w:spacing w:val="-2"/>
        </w:rPr>
        <w:t>610.24).</w:t>
      </w:r>
    </w:p>
    <w:p w14:paraId="0DFDB034" w14:textId="77777777" w:rsidR="00046465" w:rsidRDefault="008134EB">
      <w:pPr>
        <w:pStyle w:val="Heading4"/>
      </w:pPr>
      <w:bookmarkStart w:id="90" w:name="Direct_Assistance"/>
      <w:bookmarkEnd w:id="90"/>
      <w:r>
        <w:t>Direct</w:t>
      </w:r>
      <w:r>
        <w:rPr>
          <w:spacing w:val="-9"/>
        </w:rPr>
        <w:t xml:space="preserve"> </w:t>
      </w:r>
      <w:r>
        <w:rPr>
          <w:spacing w:val="-2"/>
        </w:rPr>
        <w:t>Assistance</w:t>
      </w:r>
    </w:p>
    <w:p w14:paraId="0DFDB035" w14:textId="77777777" w:rsidR="00046465" w:rsidRDefault="008134EB">
      <w:pPr>
        <w:pStyle w:val="Heading5"/>
        <w:spacing w:before="240"/>
        <w:rPr>
          <w:u w:val="none"/>
        </w:rPr>
      </w:pPr>
      <w:bookmarkStart w:id="91" w:name="Planning_for_Internal_Auditors_to_Provid"/>
      <w:bookmarkEnd w:id="91"/>
      <w:r>
        <w:t>Planning</w:t>
      </w:r>
      <w:r>
        <w:rPr>
          <w:spacing w:val="-6"/>
        </w:rPr>
        <w:t xml:space="preserve"> </w:t>
      </w:r>
      <w:r>
        <w:t>for</w:t>
      </w:r>
      <w:r>
        <w:rPr>
          <w:spacing w:val="-3"/>
        </w:rPr>
        <w:t xml:space="preserve"> </w:t>
      </w:r>
      <w:r>
        <w:t>Internal</w:t>
      </w:r>
      <w:r>
        <w:rPr>
          <w:spacing w:val="-4"/>
        </w:rPr>
        <w:t xml:space="preserve"> </w:t>
      </w:r>
      <w:r>
        <w:t>Auditors</w:t>
      </w:r>
      <w:r>
        <w:rPr>
          <w:spacing w:val="-3"/>
        </w:rPr>
        <w:t xml:space="preserve"> </w:t>
      </w:r>
      <w:r>
        <w:t>to</w:t>
      </w:r>
      <w:r>
        <w:rPr>
          <w:spacing w:val="-3"/>
        </w:rPr>
        <w:t xml:space="preserve"> </w:t>
      </w:r>
      <w:r>
        <w:t>Provide</w:t>
      </w:r>
      <w:r>
        <w:rPr>
          <w:spacing w:val="-3"/>
        </w:rPr>
        <w:t xml:space="preserve"> </w:t>
      </w:r>
      <w:r>
        <w:t>Direct</w:t>
      </w:r>
      <w:r>
        <w:rPr>
          <w:spacing w:val="-2"/>
        </w:rPr>
        <w:t xml:space="preserve"> Assistance</w:t>
      </w:r>
    </w:p>
    <w:p w14:paraId="0DFDB036" w14:textId="77777777" w:rsidR="00046465" w:rsidRDefault="008134EB">
      <w:pPr>
        <w:pStyle w:val="ListParagraph"/>
        <w:numPr>
          <w:ilvl w:val="0"/>
          <w:numId w:val="206"/>
        </w:numPr>
        <w:tabs>
          <w:tab w:val="left" w:pos="1800"/>
        </w:tabs>
        <w:spacing w:before="119"/>
        <w:ind w:right="811"/>
      </w:pPr>
      <w:r>
        <w:t>If the auditor plans to use internal auditors to provide direct assistance on the audit,</w:t>
      </w:r>
      <w:r>
        <w:rPr>
          <w:spacing w:val="-3"/>
        </w:rPr>
        <w:t xml:space="preserve"> </w:t>
      </w:r>
      <w:r>
        <w:t>the</w:t>
      </w:r>
      <w:r>
        <w:rPr>
          <w:spacing w:val="-3"/>
        </w:rPr>
        <w:t xml:space="preserve"> </w:t>
      </w:r>
      <w:r>
        <w:t>auditor</w:t>
      </w:r>
      <w:r>
        <w:rPr>
          <w:spacing w:val="-3"/>
        </w:rPr>
        <w:t xml:space="preserve"> </w:t>
      </w:r>
      <w:r>
        <w:t>should</w:t>
      </w:r>
      <w:r>
        <w:rPr>
          <w:spacing w:val="-4"/>
        </w:rPr>
        <w:t xml:space="preserve"> </w:t>
      </w:r>
      <w:r>
        <w:t>evaluate</w:t>
      </w:r>
      <w:r>
        <w:rPr>
          <w:spacing w:val="-3"/>
        </w:rPr>
        <w:t xml:space="preserve"> </w:t>
      </w:r>
      <w:r>
        <w:t>the</w:t>
      </w:r>
      <w:r>
        <w:rPr>
          <w:spacing w:val="-4"/>
        </w:rPr>
        <w:t xml:space="preserve"> </w:t>
      </w:r>
      <w:r>
        <w:t>existence</w:t>
      </w:r>
      <w:r>
        <w:rPr>
          <w:spacing w:val="-3"/>
        </w:rPr>
        <w:t xml:space="preserve"> </w:t>
      </w:r>
      <w:r>
        <w:t>and</w:t>
      </w:r>
      <w:r>
        <w:rPr>
          <w:spacing w:val="-3"/>
        </w:rPr>
        <w:t xml:space="preserve"> </w:t>
      </w:r>
      <w:r>
        <w:t>significance</w:t>
      </w:r>
      <w:r>
        <w:rPr>
          <w:spacing w:val="-3"/>
        </w:rPr>
        <w:t xml:space="preserve"> </w:t>
      </w:r>
      <w:r>
        <w:t>of</w:t>
      </w:r>
      <w:r>
        <w:rPr>
          <w:spacing w:val="-3"/>
        </w:rPr>
        <w:t xml:space="preserve"> </w:t>
      </w:r>
      <w:r>
        <w:t>threats</w:t>
      </w:r>
      <w:r>
        <w:rPr>
          <w:spacing w:val="-4"/>
        </w:rPr>
        <w:t xml:space="preserve"> </w:t>
      </w:r>
      <w:r>
        <w:t>to</w:t>
      </w:r>
      <w:r>
        <w:rPr>
          <w:spacing w:val="-3"/>
        </w:rPr>
        <w:t xml:space="preserve"> </w:t>
      </w:r>
      <w:r>
        <w:t>the objectivity of</w:t>
      </w:r>
      <w:r>
        <w:rPr>
          <w:spacing w:val="-1"/>
        </w:rPr>
        <w:t xml:space="preserve"> </w:t>
      </w:r>
      <w:r>
        <w:t>the internal</w:t>
      </w:r>
      <w:r>
        <w:rPr>
          <w:spacing w:val="-1"/>
        </w:rPr>
        <w:t xml:space="preserve"> </w:t>
      </w:r>
      <w:r>
        <w:t>auditors who will be providing direct</w:t>
      </w:r>
      <w:r>
        <w:rPr>
          <w:spacing w:val="-1"/>
        </w:rPr>
        <w:t xml:space="preserve"> </w:t>
      </w:r>
      <w:r>
        <w:t>assistance,</w:t>
      </w:r>
      <w:r>
        <w:rPr>
          <w:spacing w:val="-1"/>
        </w:rPr>
        <w:t xml:space="preserve"> </w:t>
      </w:r>
      <w:r>
        <w:t>as well as any safeguards applied to reduce or eliminate the threats, and the level of competence of the internal auditors who will be providing such assistance.</w:t>
      </w:r>
    </w:p>
    <w:p w14:paraId="0DFDB037" w14:textId="77777777" w:rsidR="00046465" w:rsidRDefault="008134EB">
      <w:pPr>
        <w:pStyle w:val="BodyText"/>
        <w:ind w:left="1800" w:right="749"/>
      </w:pPr>
      <w:r>
        <w:t>(AU-C</w:t>
      </w:r>
      <w:r>
        <w:rPr>
          <w:spacing w:val="-4"/>
        </w:rPr>
        <w:t xml:space="preserve"> </w:t>
      </w:r>
      <w:r>
        <w:t>610.25)</w:t>
      </w:r>
      <w:r>
        <w:rPr>
          <w:spacing w:val="-4"/>
        </w:rPr>
        <w:t xml:space="preserve"> </w:t>
      </w:r>
      <w:r>
        <w:t>See</w:t>
      </w:r>
      <w:r>
        <w:rPr>
          <w:spacing w:val="-4"/>
        </w:rPr>
        <w:t xml:space="preserve"> </w:t>
      </w:r>
      <w:r>
        <w:t>FAM</w:t>
      </w:r>
      <w:r>
        <w:rPr>
          <w:spacing w:val="-4"/>
        </w:rPr>
        <w:t xml:space="preserve"> </w:t>
      </w:r>
      <w:r>
        <w:t>615</w:t>
      </w:r>
      <w:r>
        <w:rPr>
          <w:spacing w:val="-4"/>
        </w:rPr>
        <w:t xml:space="preserve"> </w:t>
      </w:r>
      <w:r>
        <w:t>for</w:t>
      </w:r>
      <w:r>
        <w:rPr>
          <w:spacing w:val="-4"/>
        </w:rPr>
        <w:t xml:space="preserve"> </w:t>
      </w:r>
      <w:r>
        <w:t>guidance</w:t>
      </w:r>
      <w:r>
        <w:rPr>
          <w:spacing w:val="-4"/>
        </w:rPr>
        <w:t xml:space="preserve"> </w:t>
      </w:r>
      <w:r>
        <w:t>on</w:t>
      </w:r>
      <w:r>
        <w:rPr>
          <w:spacing w:val="-4"/>
        </w:rPr>
        <w:t xml:space="preserve"> </w:t>
      </w:r>
      <w:r>
        <w:t>evaluating</w:t>
      </w:r>
      <w:r>
        <w:rPr>
          <w:spacing w:val="-4"/>
        </w:rPr>
        <w:t xml:space="preserve"> </w:t>
      </w:r>
      <w:r>
        <w:t>the</w:t>
      </w:r>
      <w:r>
        <w:rPr>
          <w:spacing w:val="-4"/>
        </w:rPr>
        <w:t xml:space="preserve"> </w:t>
      </w:r>
      <w:r>
        <w:t>objectivity</w:t>
      </w:r>
      <w:r>
        <w:rPr>
          <w:spacing w:val="-4"/>
        </w:rPr>
        <w:t xml:space="preserve"> </w:t>
      </w:r>
      <w:r>
        <w:t>and competence of internal auditors providing direct assistance.</w:t>
      </w:r>
    </w:p>
    <w:p w14:paraId="0DFDB038" w14:textId="77777777" w:rsidR="00046465" w:rsidRDefault="008134EB">
      <w:pPr>
        <w:pStyle w:val="ListParagraph"/>
        <w:numPr>
          <w:ilvl w:val="0"/>
          <w:numId w:val="206"/>
        </w:numPr>
        <w:tabs>
          <w:tab w:val="left" w:pos="1800"/>
        </w:tabs>
        <w:spacing w:before="121"/>
        <w:ind w:hanging="720"/>
      </w:pPr>
      <w:r>
        <w:t>The</w:t>
      </w:r>
      <w:r>
        <w:rPr>
          <w:spacing w:val="-6"/>
        </w:rPr>
        <w:t xml:space="preserve"> </w:t>
      </w:r>
      <w:r>
        <w:t>auditor</w:t>
      </w:r>
      <w:r>
        <w:rPr>
          <w:spacing w:val="-8"/>
        </w:rPr>
        <w:t xml:space="preserve"> </w:t>
      </w:r>
      <w:r>
        <w:t>should</w:t>
      </w:r>
      <w:r>
        <w:rPr>
          <w:spacing w:val="-6"/>
        </w:rPr>
        <w:t xml:space="preserve"> </w:t>
      </w:r>
      <w:r>
        <w:t>not</w:t>
      </w:r>
      <w:r>
        <w:rPr>
          <w:spacing w:val="-6"/>
        </w:rPr>
        <w:t xml:space="preserve"> </w:t>
      </w:r>
      <w:r>
        <w:t>use</w:t>
      </w:r>
      <w:r>
        <w:rPr>
          <w:spacing w:val="-6"/>
        </w:rPr>
        <w:t xml:space="preserve"> </w:t>
      </w:r>
      <w:r>
        <w:t>an</w:t>
      </w:r>
      <w:r>
        <w:rPr>
          <w:spacing w:val="-5"/>
        </w:rPr>
        <w:t xml:space="preserve"> </w:t>
      </w:r>
      <w:r>
        <w:t>internal</w:t>
      </w:r>
      <w:r>
        <w:rPr>
          <w:spacing w:val="-6"/>
        </w:rPr>
        <w:t xml:space="preserve"> </w:t>
      </w:r>
      <w:r>
        <w:t>auditor</w:t>
      </w:r>
      <w:r>
        <w:rPr>
          <w:spacing w:val="-6"/>
        </w:rPr>
        <w:t xml:space="preserve"> </w:t>
      </w:r>
      <w:r>
        <w:t>to</w:t>
      </w:r>
      <w:r>
        <w:rPr>
          <w:spacing w:val="-7"/>
        </w:rPr>
        <w:t xml:space="preserve"> </w:t>
      </w:r>
      <w:r>
        <w:t>provide</w:t>
      </w:r>
      <w:r>
        <w:rPr>
          <w:spacing w:val="-6"/>
        </w:rPr>
        <w:t xml:space="preserve"> </w:t>
      </w:r>
      <w:r>
        <w:t>direct</w:t>
      </w:r>
      <w:r>
        <w:rPr>
          <w:spacing w:val="-5"/>
        </w:rPr>
        <w:t xml:space="preserve"> </w:t>
      </w:r>
      <w:r>
        <w:t>assistance</w:t>
      </w:r>
      <w:r>
        <w:rPr>
          <w:spacing w:val="-6"/>
        </w:rPr>
        <w:t xml:space="preserve"> </w:t>
      </w:r>
      <w:r>
        <w:rPr>
          <w:spacing w:val="-5"/>
        </w:rPr>
        <w:t>if</w:t>
      </w:r>
    </w:p>
    <w:p w14:paraId="0DFDB039" w14:textId="77777777" w:rsidR="00046465" w:rsidRDefault="00046465">
      <w:pPr>
        <w:pStyle w:val="ListParagraph"/>
        <w:sectPr w:rsidR="00046465">
          <w:pgSz w:w="12240" w:h="15840"/>
          <w:pgMar w:top="1340" w:right="720" w:bottom="940" w:left="1080" w:header="721" w:footer="757" w:gutter="0"/>
          <w:cols w:space="720"/>
        </w:sectPr>
      </w:pPr>
    </w:p>
    <w:p w14:paraId="0DFDB03A" w14:textId="77777777" w:rsidR="00046465" w:rsidRDefault="008134EB">
      <w:pPr>
        <w:pStyle w:val="ListParagraph"/>
        <w:numPr>
          <w:ilvl w:val="1"/>
          <w:numId w:val="206"/>
        </w:numPr>
        <w:tabs>
          <w:tab w:val="left" w:pos="2159"/>
        </w:tabs>
        <w:spacing w:before="121"/>
        <w:ind w:left="2159" w:right="1027"/>
      </w:pPr>
      <w:r>
        <w:lastRenderedPageBreak/>
        <w:t>the</w:t>
      </w:r>
      <w:r>
        <w:rPr>
          <w:spacing w:val="-4"/>
        </w:rPr>
        <w:t xml:space="preserve"> </w:t>
      </w:r>
      <w:r>
        <w:t>internal</w:t>
      </w:r>
      <w:r>
        <w:rPr>
          <w:spacing w:val="-5"/>
        </w:rPr>
        <w:t xml:space="preserve"> </w:t>
      </w:r>
      <w:r>
        <w:t>auditor</w:t>
      </w:r>
      <w:r>
        <w:rPr>
          <w:spacing w:val="-4"/>
        </w:rPr>
        <w:t xml:space="preserve"> </w:t>
      </w:r>
      <w:r>
        <w:t>lacks</w:t>
      </w:r>
      <w:r>
        <w:rPr>
          <w:spacing w:val="-4"/>
        </w:rPr>
        <w:t xml:space="preserve"> </w:t>
      </w:r>
      <w:r>
        <w:t>the</w:t>
      </w:r>
      <w:r>
        <w:rPr>
          <w:spacing w:val="-4"/>
        </w:rPr>
        <w:t xml:space="preserve"> </w:t>
      </w:r>
      <w:r>
        <w:t>necessary</w:t>
      </w:r>
      <w:r>
        <w:rPr>
          <w:spacing w:val="-4"/>
        </w:rPr>
        <w:t xml:space="preserve"> </w:t>
      </w:r>
      <w:r>
        <w:t>objectivity</w:t>
      </w:r>
      <w:r>
        <w:rPr>
          <w:spacing w:val="-4"/>
        </w:rPr>
        <w:t xml:space="preserve"> </w:t>
      </w:r>
      <w:r>
        <w:t>to</w:t>
      </w:r>
      <w:r>
        <w:rPr>
          <w:spacing w:val="-4"/>
        </w:rPr>
        <w:t xml:space="preserve"> </w:t>
      </w:r>
      <w:r>
        <w:t>perform</w:t>
      </w:r>
      <w:r>
        <w:rPr>
          <w:spacing w:val="-5"/>
        </w:rPr>
        <w:t xml:space="preserve"> </w:t>
      </w:r>
      <w:r>
        <w:t>the</w:t>
      </w:r>
      <w:r>
        <w:rPr>
          <w:spacing w:val="-4"/>
        </w:rPr>
        <w:t xml:space="preserve"> </w:t>
      </w:r>
      <w:r>
        <w:t>proposed work or</w:t>
      </w:r>
    </w:p>
    <w:p w14:paraId="0DFDB03B" w14:textId="77777777" w:rsidR="00046465" w:rsidRDefault="008134EB">
      <w:pPr>
        <w:pStyle w:val="ListParagraph"/>
        <w:numPr>
          <w:ilvl w:val="1"/>
          <w:numId w:val="206"/>
        </w:numPr>
        <w:tabs>
          <w:tab w:val="left" w:pos="2159"/>
        </w:tabs>
        <w:spacing w:before="119"/>
        <w:ind w:left="2159" w:right="796"/>
      </w:pPr>
      <w:r>
        <w:t>the</w:t>
      </w:r>
      <w:r>
        <w:rPr>
          <w:spacing w:val="-4"/>
        </w:rPr>
        <w:t xml:space="preserve"> </w:t>
      </w:r>
      <w:r>
        <w:t>internal</w:t>
      </w:r>
      <w:r>
        <w:rPr>
          <w:spacing w:val="-5"/>
        </w:rPr>
        <w:t xml:space="preserve"> </w:t>
      </w:r>
      <w:r>
        <w:t>auditor</w:t>
      </w:r>
      <w:r>
        <w:rPr>
          <w:spacing w:val="-4"/>
        </w:rPr>
        <w:t xml:space="preserve"> </w:t>
      </w:r>
      <w:r>
        <w:t>lacks</w:t>
      </w:r>
      <w:r>
        <w:rPr>
          <w:spacing w:val="-4"/>
        </w:rPr>
        <w:t xml:space="preserve"> </w:t>
      </w:r>
      <w:r>
        <w:t>the</w:t>
      </w:r>
      <w:r>
        <w:rPr>
          <w:spacing w:val="-4"/>
        </w:rPr>
        <w:t xml:space="preserve"> </w:t>
      </w:r>
      <w:r>
        <w:t>necessary</w:t>
      </w:r>
      <w:r>
        <w:rPr>
          <w:spacing w:val="-4"/>
        </w:rPr>
        <w:t xml:space="preserve"> </w:t>
      </w:r>
      <w:r>
        <w:t>competence</w:t>
      </w:r>
      <w:r>
        <w:rPr>
          <w:spacing w:val="-4"/>
        </w:rPr>
        <w:t xml:space="preserve"> </w:t>
      </w:r>
      <w:r>
        <w:t>to</w:t>
      </w:r>
      <w:r>
        <w:rPr>
          <w:spacing w:val="-4"/>
        </w:rPr>
        <w:t xml:space="preserve"> </w:t>
      </w:r>
      <w:r>
        <w:t>perform</w:t>
      </w:r>
      <w:r>
        <w:rPr>
          <w:spacing w:val="-5"/>
        </w:rPr>
        <w:t xml:space="preserve"> </w:t>
      </w:r>
      <w:r>
        <w:t>the</w:t>
      </w:r>
      <w:r>
        <w:rPr>
          <w:spacing w:val="-4"/>
        </w:rPr>
        <w:t xml:space="preserve"> </w:t>
      </w:r>
      <w:r>
        <w:t>proposed work (AU-C 610.26).</w:t>
      </w:r>
    </w:p>
    <w:p w14:paraId="0DFDB03C" w14:textId="77777777" w:rsidR="00046465" w:rsidRDefault="008134EB">
      <w:pPr>
        <w:pStyle w:val="ListParagraph"/>
        <w:numPr>
          <w:ilvl w:val="0"/>
          <w:numId w:val="206"/>
        </w:numPr>
        <w:tabs>
          <w:tab w:val="left" w:pos="1800"/>
        </w:tabs>
        <w:spacing w:before="121"/>
        <w:ind w:right="1070"/>
      </w:pPr>
      <w:r>
        <w:t>In determining the nature and extent of work that may be assigned to internal auditors providing direct assistance and the nature, timing, and extent of direction,</w:t>
      </w:r>
      <w:r>
        <w:rPr>
          <w:spacing w:val="-5"/>
        </w:rPr>
        <w:t xml:space="preserve"> </w:t>
      </w:r>
      <w:r>
        <w:t>supervision,</w:t>
      </w:r>
      <w:r>
        <w:rPr>
          <w:spacing w:val="-5"/>
        </w:rPr>
        <w:t xml:space="preserve"> </w:t>
      </w:r>
      <w:r>
        <w:t>and</w:t>
      </w:r>
      <w:r>
        <w:rPr>
          <w:spacing w:val="-4"/>
        </w:rPr>
        <w:t xml:space="preserve"> </w:t>
      </w:r>
      <w:r>
        <w:t>review</w:t>
      </w:r>
      <w:r>
        <w:rPr>
          <w:spacing w:val="-5"/>
        </w:rPr>
        <w:t xml:space="preserve"> </w:t>
      </w:r>
      <w:r>
        <w:t>that</w:t>
      </w:r>
      <w:r>
        <w:rPr>
          <w:spacing w:val="-4"/>
        </w:rPr>
        <w:t xml:space="preserve"> </w:t>
      </w:r>
      <w:r>
        <w:t>is</w:t>
      </w:r>
      <w:r>
        <w:rPr>
          <w:spacing w:val="-4"/>
        </w:rPr>
        <w:t xml:space="preserve"> </w:t>
      </w:r>
      <w:r>
        <w:t>appropriate</w:t>
      </w:r>
      <w:r>
        <w:rPr>
          <w:spacing w:val="-4"/>
        </w:rPr>
        <w:t xml:space="preserve"> </w:t>
      </w:r>
      <w:r>
        <w:t>in</w:t>
      </w:r>
      <w:r>
        <w:rPr>
          <w:spacing w:val="-4"/>
        </w:rPr>
        <w:t xml:space="preserve"> </w:t>
      </w:r>
      <w:r>
        <w:t>the</w:t>
      </w:r>
      <w:r>
        <w:rPr>
          <w:spacing w:val="-4"/>
        </w:rPr>
        <w:t xml:space="preserve"> </w:t>
      </w:r>
      <w:r>
        <w:t>circumstances,</w:t>
      </w:r>
      <w:r>
        <w:rPr>
          <w:spacing w:val="-4"/>
        </w:rPr>
        <w:t xml:space="preserve"> </w:t>
      </w:r>
      <w:r>
        <w:t>the auditor should consider</w:t>
      </w:r>
    </w:p>
    <w:p w14:paraId="0DFDB03D" w14:textId="77777777" w:rsidR="00046465" w:rsidRDefault="008134EB">
      <w:pPr>
        <w:pStyle w:val="ListParagraph"/>
        <w:numPr>
          <w:ilvl w:val="1"/>
          <w:numId w:val="206"/>
        </w:numPr>
        <w:tabs>
          <w:tab w:val="left" w:pos="2160"/>
        </w:tabs>
        <w:spacing w:before="119"/>
        <w:ind w:right="1039"/>
      </w:pPr>
      <w:r>
        <w:t>the auditor’s evaluation of the existence and significance of threats to the internal auditors’ objectivity, the effectiveness of the safeguards applied to reduce</w:t>
      </w:r>
      <w:r>
        <w:rPr>
          <w:spacing w:val="-4"/>
        </w:rPr>
        <w:t xml:space="preserve"> </w:t>
      </w:r>
      <w:r>
        <w:t>or</w:t>
      </w:r>
      <w:r>
        <w:rPr>
          <w:spacing w:val="-4"/>
        </w:rPr>
        <w:t xml:space="preserve"> </w:t>
      </w:r>
      <w:r>
        <w:t>eliminate</w:t>
      </w:r>
      <w:r>
        <w:rPr>
          <w:spacing w:val="-4"/>
        </w:rPr>
        <w:t xml:space="preserve"> </w:t>
      </w:r>
      <w:r>
        <w:t>the</w:t>
      </w:r>
      <w:r>
        <w:rPr>
          <w:spacing w:val="-4"/>
        </w:rPr>
        <w:t xml:space="preserve"> </w:t>
      </w:r>
      <w:r>
        <w:t>threats,</w:t>
      </w:r>
      <w:r>
        <w:rPr>
          <w:spacing w:val="-4"/>
        </w:rPr>
        <w:t xml:space="preserve"> </w:t>
      </w:r>
      <w:r>
        <w:t>and</w:t>
      </w:r>
      <w:r>
        <w:rPr>
          <w:spacing w:val="-4"/>
        </w:rPr>
        <w:t xml:space="preserve"> </w:t>
      </w:r>
      <w:r>
        <w:t>the</w:t>
      </w:r>
      <w:r>
        <w:rPr>
          <w:spacing w:val="-4"/>
        </w:rPr>
        <w:t xml:space="preserve"> </w:t>
      </w:r>
      <w:r>
        <w:t>level</w:t>
      </w:r>
      <w:r>
        <w:rPr>
          <w:spacing w:val="-4"/>
        </w:rPr>
        <w:t xml:space="preserve"> </w:t>
      </w:r>
      <w:r>
        <w:t>of</w:t>
      </w:r>
      <w:r>
        <w:rPr>
          <w:spacing w:val="-5"/>
        </w:rPr>
        <w:t xml:space="preserve"> </w:t>
      </w:r>
      <w:r>
        <w:t>competence</w:t>
      </w:r>
      <w:r>
        <w:rPr>
          <w:spacing w:val="-4"/>
        </w:rPr>
        <w:t xml:space="preserve"> </w:t>
      </w:r>
      <w:r>
        <w:t>of</w:t>
      </w:r>
      <w:r>
        <w:rPr>
          <w:spacing w:val="-4"/>
        </w:rPr>
        <w:t xml:space="preserve"> </w:t>
      </w:r>
      <w:r>
        <w:t>the</w:t>
      </w:r>
      <w:r>
        <w:rPr>
          <w:spacing w:val="-4"/>
        </w:rPr>
        <w:t xml:space="preserve"> </w:t>
      </w:r>
      <w:r>
        <w:t>internal auditors who will be providing such assistance;</w:t>
      </w:r>
    </w:p>
    <w:p w14:paraId="0DFDB03E" w14:textId="77777777" w:rsidR="00046465" w:rsidRDefault="008134EB">
      <w:pPr>
        <w:pStyle w:val="ListParagraph"/>
        <w:numPr>
          <w:ilvl w:val="1"/>
          <w:numId w:val="206"/>
        </w:numPr>
        <w:tabs>
          <w:tab w:val="left" w:pos="2159"/>
        </w:tabs>
        <w:spacing w:before="121"/>
        <w:ind w:left="2159" w:hanging="359"/>
      </w:pPr>
      <w:r>
        <w:t>the</w:t>
      </w:r>
      <w:r>
        <w:rPr>
          <w:spacing w:val="-9"/>
        </w:rPr>
        <w:t xml:space="preserve"> </w:t>
      </w:r>
      <w:r>
        <w:t>assessed</w:t>
      </w:r>
      <w:r>
        <w:rPr>
          <w:spacing w:val="-8"/>
        </w:rPr>
        <w:t xml:space="preserve"> </w:t>
      </w:r>
      <w:r>
        <w:t>risk</w:t>
      </w:r>
      <w:r>
        <w:rPr>
          <w:spacing w:val="-8"/>
        </w:rPr>
        <w:t xml:space="preserve"> </w:t>
      </w:r>
      <w:r>
        <w:t>of</w:t>
      </w:r>
      <w:r>
        <w:rPr>
          <w:spacing w:val="-8"/>
        </w:rPr>
        <w:t xml:space="preserve"> </w:t>
      </w:r>
      <w:r>
        <w:t>material</w:t>
      </w:r>
      <w:r>
        <w:rPr>
          <w:spacing w:val="-8"/>
        </w:rPr>
        <w:t xml:space="preserve"> </w:t>
      </w:r>
      <w:r>
        <w:t>misstatement;</w:t>
      </w:r>
      <w:r>
        <w:rPr>
          <w:spacing w:val="-8"/>
        </w:rPr>
        <w:t xml:space="preserve"> </w:t>
      </w:r>
      <w:r>
        <w:rPr>
          <w:spacing w:val="-5"/>
        </w:rPr>
        <w:t>and</w:t>
      </w:r>
    </w:p>
    <w:p w14:paraId="0DFDB03F" w14:textId="77777777" w:rsidR="00046465" w:rsidRDefault="008134EB">
      <w:pPr>
        <w:pStyle w:val="ListParagraph"/>
        <w:numPr>
          <w:ilvl w:val="1"/>
          <w:numId w:val="206"/>
        </w:numPr>
        <w:tabs>
          <w:tab w:val="left" w:pos="2159"/>
        </w:tabs>
        <w:ind w:left="2159" w:hanging="359"/>
      </w:pPr>
      <w:r>
        <w:t>the</w:t>
      </w:r>
      <w:r>
        <w:rPr>
          <w:spacing w:val="-7"/>
        </w:rPr>
        <w:t xml:space="preserve"> </w:t>
      </w:r>
      <w:r>
        <w:t>amount</w:t>
      </w:r>
      <w:r>
        <w:rPr>
          <w:spacing w:val="-6"/>
        </w:rPr>
        <w:t xml:space="preserve"> </w:t>
      </w:r>
      <w:r>
        <w:t>of</w:t>
      </w:r>
      <w:r>
        <w:rPr>
          <w:spacing w:val="-6"/>
        </w:rPr>
        <w:t xml:space="preserve"> </w:t>
      </w:r>
      <w:r>
        <w:t>judgment</w:t>
      </w:r>
      <w:r>
        <w:rPr>
          <w:spacing w:val="-7"/>
        </w:rPr>
        <w:t xml:space="preserve"> </w:t>
      </w:r>
      <w:r>
        <w:t>involved</w:t>
      </w:r>
      <w:r>
        <w:rPr>
          <w:spacing w:val="-7"/>
        </w:rPr>
        <w:t xml:space="preserve"> </w:t>
      </w:r>
      <w:r>
        <w:rPr>
          <w:spacing w:val="-5"/>
        </w:rPr>
        <w:t>in</w:t>
      </w:r>
    </w:p>
    <w:p w14:paraId="0DFDB040" w14:textId="77777777" w:rsidR="00046465" w:rsidRDefault="008134EB">
      <w:pPr>
        <w:pStyle w:val="ListParagraph"/>
        <w:numPr>
          <w:ilvl w:val="2"/>
          <w:numId w:val="206"/>
        </w:numPr>
        <w:tabs>
          <w:tab w:val="left" w:pos="2519"/>
        </w:tabs>
        <w:spacing w:before="119"/>
        <w:ind w:left="2519" w:hanging="359"/>
      </w:pPr>
      <w:r>
        <w:t>planning</w:t>
      </w:r>
      <w:r>
        <w:rPr>
          <w:spacing w:val="-9"/>
        </w:rPr>
        <w:t xml:space="preserve"> </w:t>
      </w:r>
      <w:r>
        <w:t>and</w:t>
      </w:r>
      <w:r>
        <w:rPr>
          <w:spacing w:val="-8"/>
        </w:rPr>
        <w:t xml:space="preserve"> </w:t>
      </w:r>
      <w:r>
        <w:t>performing</w:t>
      </w:r>
      <w:r>
        <w:rPr>
          <w:spacing w:val="-9"/>
        </w:rPr>
        <w:t xml:space="preserve"> </w:t>
      </w:r>
      <w:r>
        <w:t>relevant</w:t>
      </w:r>
      <w:r>
        <w:rPr>
          <w:spacing w:val="-8"/>
        </w:rPr>
        <w:t xml:space="preserve"> </w:t>
      </w:r>
      <w:r>
        <w:t>audit</w:t>
      </w:r>
      <w:r>
        <w:rPr>
          <w:spacing w:val="-8"/>
        </w:rPr>
        <w:t xml:space="preserve"> </w:t>
      </w:r>
      <w:r>
        <w:t>procedures</w:t>
      </w:r>
      <w:r>
        <w:rPr>
          <w:spacing w:val="-9"/>
        </w:rPr>
        <w:t xml:space="preserve"> </w:t>
      </w:r>
      <w:r>
        <w:rPr>
          <w:spacing w:val="-5"/>
        </w:rPr>
        <w:t>and</w:t>
      </w:r>
    </w:p>
    <w:p w14:paraId="0DFDB041" w14:textId="77777777" w:rsidR="00046465" w:rsidRDefault="008134EB">
      <w:pPr>
        <w:pStyle w:val="ListParagraph"/>
        <w:numPr>
          <w:ilvl w:val="2"/>
          <w:numId w:val="206"/>
        </w:numPr>
        <w:tabs>
          <w:tab w:val="left" w:pos="2519"/>
        </w:tabs>
        <w:spacing w:before="119"/>
        <w:ind w:left="2519"/>
      </w:pPr>
      <w:r>
        <w:t>evaluating</w:t>
      </w:r>
      <w:r>
        <w:rPr>
          <w:spacing w:val="-8"/>
        </w:rPr>
        <w:t xml:space="preserve"> </w:t>
      </w:r>
      <w:r>
        <w:t>the</w:t>
      </w:r>
      <w:r>
        <w:rPr>
          <w:spacing w:val="-8"/>
        </w:rPr>
        <w:t xml:space="preserve"> </w:t>
      </w:r>
      <w:r>
        <w:t>audit</w:t>
      </w:r>
      <w:r>
        <w:rPr>
          <w:spacing w:val="-7"/>
        </w:rPr>
        <w:t xml:space="preserve"> </w:t>
      </w:r>
      <w:r>
        <w:t>evidence</w:t>
      </w:r>
      <w:r>
        <w:rPr>
          <w:spacing w:val="-8"/>
        </w:rPr>
        <w:t xml:space="preserve"> </w:t>
      </w:r>
      <w:r>
        <w:t>obtained</w:t>
      </w:r>
      <w:r>
        <w:rPr>
          <w:spacing w:val="-7"/>
        </w:rPr>
        <w:t xml:space="preserve"> </w:t>
      </w:r>
      <w:r>
        <w:t>(AU-C</w:t>
      </w:r>
      <w:r>
        <w:rPr>
          <w:spacing w:val="-9"/>
        </w:rPr>
        <w:t xml:space="preserve"> </w:t>
      </w:r>
      <w:r>
        <w:rPr>
          <w:spacing w:val="-2"/>
        </w:rPr>
        <w:t>610.27).</w:t>
      </w:r>
    </w:p>
    <w:p w14:paraId="0DFDB042" w14:textId="77777777" w:rsidR="00046465" w:rsidRDefault="008134EB">
      <w:pPr>
        <w:pStyle w:val="ListParagraph"/>
        <w:numPr>
          <w:ilvl w:val="0"/>
          <w:numId w:val="206"/>
        </w:numPr>
        <w:tabs>
          <w:tab w:val="left" w:pos="1800"/>
        </w:tabs>
        <w:spacing w:before="118"/>
        <w:ind w:right="1227"/>
      </w:pPr>
      <w:r>
        <w:t>Examples</w:t>
      </w:r>
      <w:r>
        <w:rPr>
          <w:spacing w:val="-4"/>
        </w:rPr>
        <w:t xml:space="preserve"> </w:t>
      </w:r>
      <w:r>
        <w:t>of</w:t>
      </w:r>
      <w:r>
        <w:rPr>
          <w:spacing w:val="-4"/>
        </w:rPr>
        <w:t xml:space="preserve"> </w:t>
      </w:r>
      <w:r>
        <w:t>work</w:t>
      </w:r>
      <w:r>
        <w:rPr>
          <w:spacing w:val="-4"/>
        </w:rPr>
        <w:t xml:space="preserve"> </w:t>
      </w:r>
      <w:r>
        <w:t>not</w:t>
      </w:r>
      <w:r>
        <w:rPr>
          <w:spacing w:val="-4"/>
        </w:rPr>
        <w:t xml:space="preserve"> </w:t>
      </w:r>
      <w:r>
        <w:t>appropriate</w:t>
      </w:r>
      <w:r>
        <w:rPr>
          <w:spacing w:val="-4"/>
        </w:rPr>
        <w:t xml:space="preserve"> </w:t>
      </w:r>
      <w:r>
        <w:t>for</w:t>
      </w:r>
      <w:r>
        <w:rPr>
          <w:spacing w:val="-5"/>
        </w:rPr>
        <w:t xml:space="preserve"> </w:t>
      </w:r>
      <w:r>
        <w:t>assigning</w:t>
      </w:r>
      <w:r>
        <w:rPr>
          <w:spacing w:val="-5"/>
        </w:rPr>
        <w:t xml:space="preserve"> </w:t>
      </w:r>
      <w:r>
        <w:t>to</w:t>
      </w:r>
      <w:r>
        <w:rPr>
          <w:spacing w:val="-4"/>
        </w:rPr>
        <w:t xml:space="preserve"> </w:t>
      </w:r>
      <w:r>
        <w:t>internal</w:t>
      </w:r>
      <w:r>
        <w:rPr>
          <w:spacing w:val="-4"/>
        </w:rPr>
        <w:t xml:space="preserve"> </w:t>
      </w:r>
      <w:r>
        <w:t>auditors</w:t>
      </w:r>
      <w:r>
        <w:rPr>
          <w:spacing w:val="-4"/>
        </w:rPr>
        <w:t xml:space="preserve"> </w:t>
      </w:r>
      <w:r>
        <w:t>providing direct assistance include fraud risk inquiries to management and the determination of unpredictable audit procedures as addressed in FAM 265 (AU-C 610.A43).</w:t>
      </w:r>
    </w:p>
    <w:p w14:paraId="0DFDB043" w14:textId="77777777" w:rsidR="00046465" w:rsidRDefault="008134EB">
      <w:pPr>
        <w:pStyle w:val="ListParagraph"/>
        <w:numPr>
          <w:ilvl w:val="0"/>
          <w:numId w:val="206"/>
        </w:numPr>
        <w:tabs>
          <w:tab w:val="left" w:pos="1800"/>
        </w:tabs>
        <w:ind w:right="797"/>
      </w:pPr>
      <w:r>
        <w:t>The auditor should evaluate whether, in aggregate, using internal auditors to provide</w:t>
      </w:r>
      <w:r>
        <w:rPr>
          <w:spacing w:val="-4"/>
        </w:rPr>
        <w:t xml:space="preserve"> </w:t>
      </w:r>
      <w:r>
        <w:t>direct</w:t>
      </w:r>
      <w:r>
        <w:rPr>
          <w:spacing w:val="-4"/>
        </w:rPr>
        <w:t xml:space="preserve"> </w:t>
      </w:r>
      <w:r>
        <w:t>assistance</w:t>
      </w:r>
      <w:r>
        <w:rPr>
          <w:spacing w:val="-4"/>
        </w:rPr>
        <w:t xml:space="preserve"> </w:t>
      </w:r>
      <w:r>
        <w:t>to</w:t>
      </w:r>
      <w:r>
        <w:rPr>
          <w:spacing w:val="-4"/>
        </w:rPr>
        <w:t xml:space="preserve"> </w:t>
      </w:r>
      <w:r>
        <w:t>the</w:t>
      </w:r>
      <w:r>
        <w:rPr>
          <w:spacing w:val="-4"/>
        </w:rPr>
        <w:t xml:space="preserve"> </w:t>
      </w:r>
      <w:r>
        <w:t>extent</w:t>
      </w:r>
      <w:r>
        <w:rPr>
          <w:spacing w:val="-4"/>
        </w:rPr>
        <w:t xml:space="preserve"> </w:t>
      </w:r>
      <w:r>
        <w:t>planned,</w:t>
      </w:r>
      <w:r>
        <w:rPr>
          <w:spacing w:val="-4"/>
        </w:rPr>
        <w:t xml:space="preserve"> </w:t>
      </w:r>
      <w:r>
        <w:t>together</w:t>
      </w:r>
      <w:r>
        <w:rPr>
          <w:spacing w:val="-4"/>
        </w:rPr>
        <w:t xml:space="preserve"> </w:t>
      </w:r>
      <w:r>
        <w:t>with</w:t>
      </w:r>
      <w:r>
        <w:rPr>
          <w:spacing w:val="-4"/>
        </w:rPr>
        <w:t xml:space="preserve"> </w:t>
      </w:r>
      <w:r>
        <w:t>any</w:t>
      </w:r>
      <w:r>
        <w:rPr>
          <w:spacing w:val="-4"/>
        </w:rPr>
        <w:t xml:space="preserve"> </w:t>
      </w:r>
      <w:r>
        <w:t>planned</w:t>
      </w:r>
      <w:r>
        <w:rPr>
          <w:spacing w:val="-4"/>
        </w:rPr>
        <w:t xml:space="preserve"> </w:t>
      </w:r>
      <w:r>
        <w:t>use</w:t>
      </w:r>
      <w:r>
        <w:rPr>
          <w:spacing w:val="-4"/>
        </w:rPr>
        <w:t xml:space="preserve"> </w:t>
      </w:r>
      <w:r>
        <w:t>of the work of the internal audit function in obtaining audit evidence, would result in the auditor still being sufficiently involved in the audit, given the auditor’s sole responsibility for the audit opinion expressed (AU-C 610.29).</w:t>
      </w:r>
    </w:p>
    <w:p w14:paraId="0DFDB044" w14:textId="77777777" w:rsidR="00046465" w:rsidRDefault="008134EB">
      <w:pPr>
        <w:pStyle w:val="ListParagraph"/>
        <w:numPr>
          <w:ilvl w:val="0"/>
          <w:numId w:val="206"/>
        </w:numPr>
        <w:tabs>
          <w:tab w:val="left" w:pos="1800"/>
        </w:tabs>
        <w:ind w:right="739"/>
      </w:pPr>
      <w:r>
        <w:t>In communicating an overview of the planned scope and timing of the audit with those charged with governance in accordance with AU-C 260, the auditor should communicate how the auditor plans to use internal auditors to provide direct assistance</w:t>
      </w:r>
      <w:r>
        <w:rPr>
          <w:spacing w:val="-4"/>
        </w:rPr>
        <w:t xml:space="preserve"> </w:t>
      </w:r>
      <w:r>
        <w:t>(AU-C</w:t>
      </w:r>
      <w:r>
        <w:rPr>
          <w:spacing w:val="-5"/>
        </w:rPr>
        <w:t xml:space="preserve"> </w:t>
      </w:r>
      <w:r>
        <w:t>610.28).</w:t>
      </w:r>
      <w:r>
        <w:rPr>
          <w:spacing w:val="-4"/>
        </w:rPr>
        <w:t xml:space="preserve"> </w:t>
      </w:r>
      <w:r>
        <w:t>See</w:t>
      </w:r>
      <w:r>
        <w:rPr>
          <w:spacing w:val="-4"/>
        </w:rPr>
        <w:t xml:space="preserve"> </w:t>
      </w:r>
      <w:r>
        <w:t>FAM</w:t>
      </w:r>
      <w:r>
        <w:rPr>
          <w:spacing w:val="-5"/>
        </w:rPr>
        <w:t xml:space="preserve"> </w:t>
      </w:r>
      <w:r>
        <w:t>215</w:t>
      </w:r>
      <w:r>
        <w:rPr>
          <w:spacing w:val="-4"/>
        </w:rPr>
        <w:t xml:space="preserve"> </w:t>
      </w:r>
      <w:r>
        <w:t>for</w:t>
      </w:r>
      <w:r>
        <w:rPr>
          <w:spacing w:val="-4"/>
        </w:rPr>
        <w:t xml:space="preserve"> </w:t>
      </w:r>
      <w:r>
        <w:t>general</w:t>
      </w:r>
      <w:r>
        <w:rPr>
          <w:spacing w:val="-4"/>
        </w:rPr>
        <w:t xml:space="preserve"> </w:t>
      </w:r>
      <w:r>
        <w:t>guidance</w:t>
      </w:r>
      <w:r>
        <w:rPr>
          <w:spacing w:val="-4"/>
        </w:rPr>
        <w:t xml:space="preserve"> </w:t>
      </w:r>
      <w:r>
        <w:t>on</w:t>
      </w:r>
      <w:r>
        <w:rPr>
          <w:spacing w:val="-4"/>
        </w:rPr>
        <w:t xml:space="preserve"> </w:t>
      </w:r>
      <w:r>
        <w:t>communicating with those charged with governance.</w:t>
      </w:r>
    </w:p>
    <w:p w14:paraId="0DFDB045" w14:textId="77777777" w:rsidR="00046465" w:rsidRDefault="008134EB">
      <w:pPr>
        <w:pStyle w:val="ListParagraph"/>
        <w:numPr>
          <w:ilvl w:val="0"/>
          <w:numId w:val="206"/>
        </w:numPr>
        <w:tabs>
          <w:tab w:val="left" w:pos="1800"/>
        </w:tabs>
        <w:ind w:right="945"/>
      </w:pPr>
      <w:r>
        <w:t>Prior to using internal auditors to provide direct assistance, the auditor should obtain written acknowledgment from management or those charged with governance,</w:t>
      </w:r>
      <w:r>
        <w:rPr>
          <w:spacing w:val="-5"/>
        </w:rPr>
        <w:t xml:space="preserve"> </w:t>
      </w:r>
      <w:r>
        <w:t>as</w:t>
      </w:r>
      <w:r>
        <w:rPr>
          <w:spacing w:val="-4"/>
        </w:rPr>
        <w:t xml:space="preserve"> </w:t>
      </w:r>
      <w:r>
        <w:t>appropriate,</w:t>
      </w:r>
      <w:r>
        <w:rPr>
          <w:spacing w:val="-4"/>
        </w:rPr>
        <w:t xml:space="preserve"> </w:t>
      </w:r>
      <w:r>
        <w:t>that</w:t>
      </w:r>
      <w:r>
        <w:rPr>
          <w:spacing w:val="-4"/>
        </w:rPr>
        <w:t xml:space="preserve"> </w:t>
      </w:r>
      <w:r>
        <w:t>internal</w:t>
      </w:r>
      <w:r>
        <w:rPr>
          <w:spacing w:val="-4"/>
        </w:rPr>
        <w:t xml:space="preserve"> </w:t>
      </w:r>
      <w:r>
        <w:t>auditors</w:t>
      </w:r>
      <w:r>
        <w:rPr>
          <w:spacing w:val="-5"/>
        </w:rPr>
        <w:t xml:space="preserve"> </w:t>
      </w:r>
      <w:r>
        <w:t>providing</w:t>
      </w:r>
      <w:r>
        <w:rPr>
          <w:spacing w:val="-4"/>
        </w:rPr>
        <w:t xml:space="preserve"> </w:t>
      </w:r>
      <w:r>
        <w:t>direct</w:t>
      </w:r>
      <w:r>
        <w:rPr>
          <w:spacing w:val="-4"/>
        </w:rPr>
        <w:t xml:space="preserve"> </w:t>
      </w:r>
      <w:r>
        <w:t>assistance</w:t>
      </w:r>
      <w:r>
        <w:rPr>
          <w:spacing w:val="-4"/>
        </w:rPr>
        <w:t xml:space="preserve"> </w:t>
      </w:r>
      <w:r>
        <w:t>to the</w:t>
      </w:r>
      <w:r>
        <w:rPr>
          <w:spacing w:val="-2"/>
        </w:rPr>
        <w:t xml:space="preserve"> </w:t>
      </w:r>
      <w:r>
        <w:t>auditor</w:t>
      </w:r>
      <w:r>
        <w:rPr>
          <w:spacing w:val="-4"/>
        </w:rPr>
        <w:t xml:space="preserve"> </w:t>
      </w:r>
      <w:r>
        <w:t>will</w:t>
      </w:r>
      <w:r>
        <w:rPr>
          <w:spacing w:val="-2"/>
        </w:rPr>
        <w:t xml:space="preserve"> </w:t>
      </w:r>
      <w:r>
        <w:t>be</w:t>
      </w:r>
      <w:r>
        <w:rPr>
          <w:spacing w:val="-2"/>
        </w:rPr>
        <w:t xml:space="preserve"> </w:t>
      </w:r>
      <w:r>
        <w:t>allowed</w:t>
      </w:r>
      <w:r>
        <w:rPr>
          <w:spacing w:val="-2"/>
        </w:rPr>
        <w:t xml:space="preserve"> </w:t>
      </w:r>
      <w:r>
        <w:t>to</w:t>
      </w:r>
      <w:r>
        <w:rPr>
          <w:spacing w:val="-2"/>
        </w:rPr>
        <w:t xml:space="preserve"> </w:t>
      </w:r>
      <w:r>
        <w:t>follow</w:t>
      </w:r>
      <w:r>
        <w:rPr>
          <w:spacing w:val="-4"/>
        </w:rPr>
        <w:t xml:space="preserve"> </w:t>
      </w:r>
      <w:r>
        <w:t>the</w:t>
      </w:r>
      <w:r>
        <w:rPr>
          <w:spacing w:val="-2"/>
        </w:rPr>
        <w:t xml:space="preserve"> </w:t>
      </w:r>
      <w:r>
        <w:t>auditor's</w:t>
      </w:r>
      <w:r>
        <w:rPr>
          <w:spacing w:val="-3"/>
        </w:rPr>
        <w:t xml:space="preserve"> </w:t>
      </w:r>
      <w:r>
        <w:t>instructions,</w:t>
      </w:r>
      <w:r>
        <w:rPr>
          <w:spacing w:val="-2"/>
        </w:rPr>
        <w:t xml:space="preserve"> </w:t>
      </w:r>
      <w:r>
        <w:t>and</w:t>
      </w:r>
      <w:r>
        <w:rPr>
          <w:spacing w:val="-2"/>
        </w:rPr>
        <w:t xml:space="preserve"> </w:t>
      </w:r>
      <w:r>
        <w:t>that</w:t>
      </w:r>
      <w:r>
        <w:rPr>
          <w:spacing w:val="-2"/>
        </w:rPr>
        <w:t xml:space="preserve"> </w:t>
      </w:r>
      <w:r>
        <w:t>the</w:t>
      </w:r>
      <w:r>
        <w:rPr>
          <w:spacing w:val="-2"/>
        </w:rPr>
        <w:t xml:space="preserve"> </w:t>
      </w:r>
      <w:r>
        <w:t>entity will not intervene in the work the internal auditor performs for the auditor</w:t>
      </w:r>
    </w:p>
    <w:p w14:paraId="0DFDB046" w14:textId="77777777" w:rsidR="00046465" w:rsidRDefault="008134EB">
      <w:pPr>
        <w:pStyle w:val="BodyText"/>
        <w:ind w:left="1800"/>
      </w:pPr>
      <w:r>
        <w:t>(AU-C</w:t>
      </w:r>
      <w:r>
        <w:rPr>
          <w:spacing w:val="-10"/>
        </w:rPr>
        <w:t xml:space="preserve"> </w:t>
      </w:r>
      <w:r>
        <w:rPr>
          <w:spacing w:val="-2"/>
        </w:rPr>
        <w:t>610.30).</w:t>
      </w:r>
    </w:p>
    <w:p w14:paraId="0DFDB047" w14:textId="77777777" w:rsidR="00046465" w:rsidRDefault="008134EB">
      <w:pPr>
        <w:pStyle w:val="ListParagraph"/>
        <w:numPr>
          <w:ilvl w:val="0"/>
          <w:numId w:val="206"/>
        </w:numPr>
        <w:tabs>
          <w:tab w:val="left" w:pos="1800"/>
        </w:tabs>
        <w:ind w:right="750"/>
      </w:pPr>
      <w:r>
        <w:t>This</w:t>
      </w:r>
      <w:r>
        <w:rPr>
          <w:spacing w:val="-2"/>
        </w:rPr>
        <w:t xml:space="preserve"> </w:t>
      </w:r>
      <w:r>
        <w:t>written</w:t>
      </w:r>
      <w:r>
        <w:rPr>
          <w:spacing w:val="-3"/>
        </w:rPr>
        <w:t xml:space="preserve"> </w:t>
      </w:r>
      <w:r>
        <w:t>acknowledgment</w:t>
      </w:r>
      <w:r>
        <w:rPr>
          <w:spacing w:val="-2"/>
        </w:rPr>
        <w:t xml:space="preserve"> </w:t>
      </w:r>
      <w:r>
        <w:t>may</w:t>
      </w:r>
      <w:r>
        <w:rPr>
          <w:spacing w:val="-2"/>
        </w:rPr>
        <w:t xml:space="preserve"> </w:t>
      </w:r>
      <w:r>
        <w:t>be</w:t>
      </w:r>
      <w:r>
        <w:rPr>
          <w:spacing w:val="-2"/>
        </w:rPr>
        <w:t xml:space="preserve"> </w:t>
      </w:r>
      <w:r>
        <w:t>included</w:t>
      </w:r>
      <w:r>
        <w:rPr>
          <w:spacing w:val="-2"/>
        </w:rPr>
        <w:t xml:space="preserve"> </w:t>
      </w:r>
      <w:r>
        <w:t>within</w:t>
      </w:r>
      <w:r>
        <w:rPr>
          <w:spacing w:val="-2"/>
        </w:rPr>
        <w:t xml:space="preserve"> </w:t>
      </w:r>
      <w:r>
        <w:t>the</w:t>
      </w:r>
      <w:r>
        <w:rPr>
          <w:spacing w:val="-2"/>
        </w:rPr>
        <w:t xml:space="preserve"> </w:t>
      </w:r>
      <w:r>
        <w:t>audit</w:t>
      </w:r>
      <w:r>
        <w:rPr>
          <w:spacing w:val="-2"/>
        </w:rPr>
        <w:t xml:space="preserve"> </w:t>
      </w:r>
      <w:r>
        <w:t>engagement</w:t>
      </w:r>
      <w:r>
        <w:rPr>
          <w:spacing w:val="-2"/>
        </w:rPr>
        <w:t xml:space="preserve"> </w:t>
      </w:r>
      <w:r>
        <w:t>letter (or</w:t>
      </w:r>
      <w:r>
        <w:rPr>
          <w:spacing w:val="-3"/>
        </w:rPr>
        <w:t xml:space="preserve"> </w:t>
      </w:r>
      <w:r>
        <w:t>other</w:t>
      </w:r>
      <w:r>
        <w:rPr>
          <w:spacing w:val="-3"/>
        </w:rPr>
        <w:t xml:space="preserve"> </w:t>
      </w:r>
      <w:r>
        <w:t>suitable</w:t>
      </w:r>
      <w:r>
        <w:rPr>
          <w:spacing w:val="-3"/>
        </w:rPr>
        <w:t xml:space="preserve"> </w:t>
      </w:r>
      <w:r>
        <w:t>form</w:t>
      </w:r>
      <w:r>
        <w:rPr>
          <w:spacing w:val="-4"/>
        </w:rPr>
        <w:t xml:space="preserve"> </w:t>
      </w:r>
      <w:r>
        <w:t>of</w:t>
      </w:r>
      <w:r>
        <w:rPr>
          <w:spacing w:val="-3"/>
        </w:rPr>
        <w:t xml:space="preserve"> </w:t>
      </w:r>
      <w:r>
        <w:t>written</w:t>
      </w:r>
      <w:r>
        <w:rPr>
          <w:spacing w:val="-3"/>
        </w:rPr>
        <w:t xml:space="preserve"> </w:t>
      </w:r>
      <w:r>
        <w:t>agreement</w:t>
      </w:r>
      <w:r>
        <w:rPr>
          <w:spacing w:val="-3"/>
        </w:rPr>
        <w:t xml:space="preserve"> </w:t>
      </w:r>
      <w:r>
        <w:t>of</w:t>
      </w:r>
      <w:r>
        <w:rPr>
          <w:spacing w:val="-3"/>
        </w:rPr>
        <w:t xml:space="preserve"> </w:t>
      </w:r>
      <w:r>
        <w:t>the</w:t>
      </w:r>
      <w:r>
        <w:rPr>
          <w:spacing w:val="-3"/>
        </w:rPr>
        <w:t xml:space="preserve"> </w:t>
      </w:r>
      <w:r>
        <w:t>terms</w:t>
      </w:r>
      <w:r>
        <w:rPr>
          <w:spacing w:val="-3"/>
        </w:rPr>
        <w:t xml:space="preserve"> </w:t>
      </w:r>
      <w:r>
        <w:t>of</w:t>
      </w:r>
      <w:r>
        <w:rPr>
          <w:spacing w:val="-3"/>
        </w:rPr>
        <w:t xml:space="preserve"> </w:t>
      </w:r>
      <w:r>
        <w:t>engagement)</w:t>
      </w:r>
      <w:r>
        <w:rPr>
          <w:spacing w:val="-3"/>
        </w:rPr>
        <w:t xml:space="preserve"> </w:t>
      </w:r>
      <w:r>
        <w:t>or</w:t>
      </w:r>
      <w:r>
        <w:rPr>
          <w:spacing w:val="-3"/>
        </w:rPr>
        <w:t xml:space="preserve"> </w:t>
      </w:r>
      <w:r>
        <w:t>could be included in a separate document prepared by the auditor and acknowledged in writing by management or those charged with governance, as appropriate</w:t>
      </w:r>
    </w:p>
    <w:p w14:paraId="0DFDB048" w14:textId="77777777" w:rsidR="00046465" w:rsidRDefault="008134EB">
      <w:pPr>
        <w:pStyle w:val="BodyText"/>
        <w:spacing w:line="253" w:lineRule="exact"/>
        <w:ind w:left="1800"/>
      </w:pPr>
      <w:r>
        <w:t>(AU-C</w:t>
      </w:r>
      <w:r>
        <w:rPr>
          <w:spacing w:val="-11"/>
        </w:rPr>
        <w:t xml:space="preserve"> </w:t>
      </w:r>
      <w:r>
        <w:rPr>
          <w:spacing w:val="-2"/>
        </w:rPr>
        <w:t>610.A45).</w:t>
      </w:r>
    </w:p>
    <w:p w14:paraId="0DFDB049" w14:textId="77777777" w:rsidR="00046465" w:rsidRDefault="008134EB">
      <w:pPr>
        <w:pStyle w:val="Heading5"/>
        <w:rPr>
          <w:u w:val="none"/>
        </w:rPr>
      </w:pPr>
      <w:bookmarkStart w:id="92" w:name="Evaluating_the_Use_of_Internal_Auditors_"/>
      <w:bookmarkEnd w:id="92"/>
      <w:r>
        <w:t>Evaluating</w:t>
      </w:r>
      <w:r>
        <w:rPr>
          <w:spacing w:val="-6"/>
        </w:rPr>
        <w:t xml:space="preserve"> </w:t>
      </w:r>
      <w:r>
        <w:t>the</w:t>
      </w:r>
      <w:r>
        <w:rPr>
          <w:spacing w:val="-3"/>
        </w:rPr>
        <w:t xml:space="preserve"> </w:t>
      </w:r>
      <w:r>
        <w:t>Use</w:t>
      </w:r>
      <w:r>
        <w:rPr>
          <w:spacing w:val="-4"/>
        </w:rPr>
        <w:t xml:space="preserve"> </w:t>
      </w:r>
      <w:r>
        <w:t>of</w:t>
      </w:r>
      <w:r>
        <w:rPr>
          <w:spacing w:val="-4"/>
        </w:rPr>
        <w:t xml:space="preserve"> </w:t>
      </w:r>
      <w:r>
        <w:t>Internal</w:t>
      </w:r>
      <w:r>
        <w:rPr>
          <w:spacing w:val="-4"/>
        </w:rPr>
        <w:t xml:space="preserve"> </w:t>
      </w:r>
      <w:r>
        <w:t>Auditors</w:t>
      </w:r>
      <w:r>
        <w:rPr>
          <w:spacing w:val="-4"/>
        </w:rPr>
        <w:t xml:space="preserve"> </w:t>
      </w:r>
      <w:r>
        <w:t>Providing</w:t>
      </w:r>
      <w:r>
        <w:rPr>
          <w:spacing w:val="-3"/>
        </w:rPr>
        <w:t xml:space="preserve"> </w:t>
      </w:r>
      <w:r>
        <w:t>Direct</w:t>
      </w:r>
      <w:r>
        <w:rPr>
          <w:spacing w:val="-2"/>
        </w:rPr>
        <w:t xml:space="preserve"> Assistance</w:t>
      </w:r>
    </w:p>
    <w:p w14:paraId="0DFDB04A" w14:textId="77777777" w:rsidR="00046465" w:rsidRDefault="008134EB">
      <w:pPr>
        <w:pStyle w:val="ListParagraph"/>
        <w:numPr>
          <w:ilvl w:val="0"/>
          <w:numId w:val="206"/>
        </w:numPr>
        <w:tabs>
          <w:tab w:val="left" w:pos="1800"/>
        </w:tabs>
        <w:ind w:right="935"/>
      </w:pPr>
      <w:r>
        <w:t>The</w:t>
      </w:r>
      <w:r>
        <w:rPr>
          <w:spacing w:val="-4"/>
        </w:rPr>
        <w:t xml:space="preserve"> </w:t>
      </w:r>
      <w:r>
        <w:t>auditor</w:t>
      </w:r>
      <w:r>
        <w:rPr>
          <w:spacing w:val="-6"/>
        </w:rPr>
        <w:t xml:space="preserve"> </w:t>
      </w:r>
      <w:r>
        <w:t>should</w:t>
      </w:r>
      <w:r>
        <w:rPr>
          <w:spacing w:val="-4"/>
        </w:rPr>
        <w:t xml:space="preserve"> </w:t>
      </w:r>
      <w:r>
        <w:t>direct,</w:t>
      </w:r>
      <w:r>
        <w:rPr>
          <w:spacing w:val="-4"/>
        </w:rPr>
        <w:t xml:space="preserve"> </w:t>
      </w:r>
      <w:r>
        <w:t>supervise,</w:t>
      </w:r>
      <w:r>
        <w:rPr>
          <w:spacing w:val="-5"/>
        </w:rPr>
        <w:t xml:space="preserve"> </w:t>
      </w:r>
      <w:r>
        <w:t>and</w:t>
      </w:r>
      <w:r>
        <w:rPr>
          <w:spacing w:val="-4"/>
        </w:rPr>
        <w:t xml:space="preserve"> </w:t>
      </w:r>
      <w:r>
        <w:t>review</w:t>
      </w:r>
      <w:r>
        <w:rPr>
          <w:spacing w:val="-6"/>
        </w:rPr>
        <w:t xml:space="preserve"> </w:t>
      </w:r>
      <w:r>
        <w:t>the</w:t>
      </w:r>
      <w:r>
        <w:rPr>
          <w:spacing w:val="-4"/>
        </w:rPr>
        <w:t xml:space="preserve"> </w:t>
      </w:r>
      <w:r>
        <w:t>work</w:t>
      </w:r>
      <w:r>
        <w:rPr>
          <w:spacing w:val="-4"/>
        </w:rPr>
        <w:t xml:space="preserve"> </w:t>
      </w:r>
      <w:r>
        <w:t>performed</w:t>
      </w:r>
      <w:r>
        <w:rPr>
          <w:spacing w:val="-4"/>
        </w:rPr>
        <w:t xml:space="preserve"> </w:t>
      </w:r>
      <w:r>
        <w:t>by</w:t>
      </w:r>
      <w:r>
        <w:rPr>
          <w:spacing w:val="-4"/>
        </w:rPr>
        <w:t xml:space="preserve"> </w:t>
      </w:r>
      <w:r>
        <w:t>internal auditors on the engagement in accordance with FAM 215. In so doing,</w:t>
      </w:r>
    </w:p>
    <w:p w14:paraId="0DFDB04B" w14:textId="77777777" w:rsidR="00046465" w:rsidRDefault="00046465">
      <w:pPr>
        <w:pStyle w:val="ListParagraph"/>
        <w:sectPr w:rsidR="00046465">
          <w:pgSz w:w="12240" w:h="15840"/>
          <w:pgMar w:top="1340" w:right="720" w:bottom="940" w:left="1080" w:header="721" w:footer="757" w:gutter="0"/>
          <w:cols w:space="720"/>
        </w:sectPr>
      </w:pPr>
    </w:p>
    <w:p w14:paraId="0DFDB04C" w14:textId="77777777" w:rsidR="00046465" w:rsidRDefault="008134EB">
      <w:pPr>
        <w:pStyle w:val="ListParagraph"/>
        <w:numPr>
          <w:ilvl w:val="1"/>
          <w:numId w:val="206"/>
        </w:numPr>
        <w:tabs>
          <w:tab w:val="left" w:pos="2159"/>
        </w:tabs>
        <w:spacing w:before="121"/>
        <w:ind w:left="2159" w:right="855"/>
      </w:pPr>
      <w:r>
        <w:lastRenderedPageBreak/>
        <w:t>the</w:t>
      </w:r>
      <w:r>
        <w:rPr>
          <w:spacing w:val="-4"/>
        </w:rPr>
        <w:t xml:space="preserve"> </w:t>
      </w:r>
      <w:r>
        <w:t>nature,</w:t>
      </w:r>
      <w:r>
        <w:rPr>
          <w:spacing w:val="-4"/>
        </w:rPr>
        <w:t xml:space="preserve"> </w:t>
      </w:r>
      <w:r>
        <w:t>timing,</w:t>
      </w:r>
      <w:r>
        <w:rPr>
          <w:spacing w:val="-4"/>
        </w:rPr>
        <w:t xml:space="preserve"> </w:t>
      </w:r>
      <w:r>
        <w:t>and</w:t>
      </w:r>
      <w:r>
        <w:rPr>
          <w:spacing w:val="-4"/>
        </w:rPr>
        <w:t xml:space="preserve"> </w:t>
      </w:r>
      <w:r>
        <w:t>extent</w:t>
      </w:r>
      <w:r>
        <w:rPr>
          <w:spacing w:val="-4"/>
        </w:rPr>
        <w:t xml:space="preserve"> </w:t>
      </w:r>
      <w:r>
        <w:t>of</w:t>
      </w:r>
      <w:r>
        <w:rPr>
          <w:spacing w:val="-4"/>
        </w:rPr>
        <w:t xml:space="preserve"> </w:t>
      </w:r>
      <w:r>
        <w:t>direction,</w:t>
      </w:r>
      <w:r>
        <w:rPr>
          <w:spacing w:val="-4"/>
        </w:rPr>
        <w:t xml:space="preserve"> </w:t>
      </w:r>
      <w:r>
        <w:t>supervision,</w:t>
      </w:r>
      <w:r>
        <w:rPr>
          <w:spacing w:val="-4"/>
        </w:rPr>
        <w:t xml:space="preserve"> </w:t>
      </w:r>
      <w:r>
        <w:t>and</w:t>
      </w:r>
      <w:r>
        <w:rPr>
          <w:spacing w:val="-4"/>
        </w:rPr>
        <w:t xml:space="preserve"> </w:t>
      </w:r>
      <w:r>
        <w:t>review</w:t>
      </w:r>
      <w:r>
        <w:rPr>
          <w:spacing w:val="-5"/>
        </w:rPr>
        <w:t xml:space="preserve"> </w:t>
      </w:r>
      <w:r>
        <w:t>should</w:t>
      </w:r>
      <w:r>
        <w:rPr>
          <w:spacing w:val="-4"/>
        </w:rPr>
        <w:t xml:space="preserve"> </w:t>
      </w:r>
      <w:r>
        <w:t xml:space="preserve">be responsive to the outcome of the evaluation of the factors in </w:t>
      </w:r>
      <w:hyperlink r:id="rId65">
        <w:r>
          <w:t>FAM 645.20</w:t>
        </w:r>
      </w:hyperlink>
      <w:r>
        <w:t>;</w:t>
      </w:r>
    </w:p>
    <w:p w14:paraId="0DFDB04D" w14:textId="77777777" w:rsidR="00046465" w:rsidRDefault="008134EB">
      <w:pPr>
        <w:pStyle w:val="ListParagraph"/>
        <w:numPr>
          <w:ilvl w:val="1"/>
          <w:numId w:val="206"/>
        </w:numPr>
        <w:tabs>
          <w:tab w:val="left" w:pos="2159"/>
        </w:tabs>
        <w:spacing w:before="119"/>
        <w:ind w:left="2159" w:right="955"/>
      </w:pPr>
      <w:r>
        <w:t>the auditor should instruct the internal auditors to bring accounting and auditing</w:t>
      </w:r>
      <w:r>
        <w:rPr>
          <w:spacing w:val="-4"/>
        </w:rPr>
        <w:t xml:space="preserve"> </w:t>
      </w:r>
      <w:r>
        <w:t>issues</w:t>
      </w:r>
      <w:r>
        <w:rPr>
          <w:spacing w:val="-4"/>
        </w:rPr>
        <w:t xml:space="preserve"> </w:t>
      </w:r>
      <w:r>
        <w:t>identified</w:t>
      </w:r>
      <w:r>
        <w:rPr>
          <w:spacing w:val="-5"/>
        </w:rPr>
        <w:t xml:space="preserve"> </w:t>
      </w:r>
      <w:r>
        <w:t>during</w:t>
      </w:r>
      <w:r>
        <w:rPr>
          <w:spacing w:val="-4"/>
        </w:rPr>
        <w:t xml:space="preserve"> </w:t>
      </w:r>
      <w:r>
        <w:t>the</w:t>
      </w:r>
      <w:r>
        <w:rPr>
          <w:spacing w:val="-4"/>
        </w:rPr>
        <w:t xml:space="preserve"> </w:t>
      </w:r>
      <w:r>
        <w:t>audit</w:t>
      </w:r>
      <w:r>
        <w:rPr>
          <w:spacing w:val="-4"/>
        </w:rPr>
        <w:t xml:space="preserve"> </w:t>
      </w:r>
      <w:r>
        <w:t>to</w:t>
      </w:r>
      <w:r>
        <w:rPr>
          <w:spacing w:val="-4"/>
        </w:rPr>
        <w:t xml:space="preserve"> </w:t>
      </w:r>
      <w:r>
        <w:t>the</w:t>
      </w:r>
      <w:r>
        <w:rPr>
          <w:spacing w:val="-4"/>
        </w:rPr>
        <w:t xml:space="preserve"> </w:t>
      </w:r>
      <w:r>
        <w:t>attention</w:t>
      </w:r>
      <w:r>
        <w:rPr>
          <w:spacing w:val="-4"/>
        </w:rPr>
        <w:t xml:space="preserve"> </w:t>
      </w:r>
      <w:r>
        <w:t>of</w:t>
      </w:r>
      <w:r>
        <w:rPr>
          <w:spacing w:val="-4"/>
        </w:rPr>
        <w:t xml:space="preserve"> </w:t>
      </w:r>
      <w:r>
        <w:t>the</w:t>
      </w:r>
      <w:r>
        <w:rPr>
          <w:spacing w:val="-4"/>
        </w:rPr>
        <w:t xml:space="preserve"> </w:t>
      </w:r>
      <w:r>
        <w:t>auditor;</w:t>
      </w:r>
      <w:r>
        <w:rPr>
          <w:spacing w:val="-4"/>
        </w:rPr>
        <w:t xml:space="preserve"> </w:t>
      </w:r>
      <w:r>
        <w:t>and</w:t>
      </w:r>
    </w:p>
    <w:p w14:paraId="0DFDB04E" w14:textId="77777777" w:rsidR="00046465" w:rsidRDefault="008134EB">
      <w:pPr>
        <w:pStyle w:val="ListParagraph"/>
        <w:numPr>
          <w:ilvl w:val="1"/>
          <w:numId w:val="206"/>
        </w:numPr>
        <w:tabs>
          <w:tab w:val="left" w:pos="2159"/>
        </w:tabs>
        <w:spacing w:before="121"/>
        <w:ind w:left="2159" w:right="1102"/>
      </w:pPr>
      <w:r>
        <w:t>the</w:t>
      </w:r>
      <w:r>
        <w:rPr>
          <w:spacing w:val="-4"/>
        </w:rPr>
        <w:t xml:space="preserve"> </w:t>
      </w:r>
      <w:r>
        <w:t>review</w:t>
      </w:r>
      <w:r>
        <w:rPr>
          <w:spacing w:val="-5"/>
        </w:rPr>
        <w:t xml:space="preserve"> </w:t>
      </w:r>
      <w:r>
        <w:t>procedures</w:t>
      </w:r>
      <w:r>
        <w:rPr>
          <w:spacing w:val="-4"/>
        </w:rPr>
        <w:t xml:space="preserve"> </w:t>
      </w:r>
      <w:r>
        <w:t>should</w:t>
      </w:r>
      <w:r>
        <w:rPr>
          <w:spacing w:val="-4"/>
        </w:rPr>
        <w:t xml:space="preserve"> </w:t>
      </w:r>
      <w:r>
        <w:t>include</w:t>
      </w:r>
      <w:r>
        <w:rPr>
          <w:spacing w:val="-4"/>
        </w:rPr>
        <w:t xml:space="preserve"> </w:t>
      </w:r>
      <w:r>
        <w:t>the</w:t>
      </w:r>
      <w:r>
        <w:rPr>
          <w:spacing w:val="-4"/>
        </w:rPr>
        <w:t xml:space="preserve"> </w:t>
      </w:r>
      <w:r>
        <w:t>auditor</w:t>
      </w:r>
      <w:r>
        <w:rPr>
          <w:spacing w:val="-5"/>
        </w:rPr>
        <w:t xml:space="preserve"> </w:t>
      </w:r>
      <w:r>
        <w:t>testing</w:t>
      </w:r>
      <w:r>
        <w:rPr>
          <w:spacing w:val="-4"/>
        </w:rPr>
        <w:t xml:space="preserve"> </w:t>
      </w:r>
      <w:r>
        <w:t>some</w:t>
      </w:r>
      <w:r>
        <w:rPr>
          <w:spacing w:val="-4"/>
        </w:rPr>
        <w:t xml:space="preserve"> </w:t>
      </w:r>
      <w:r>
        <w:t>of</w:t>
      </w:r>
      <w:r>
        <w:rPr>
          <w:spacing w:val="-4"/>
        </w:rPr>
        <w:t xml:space="preserve"> </w:t>
      </w:r>
      <w:r>
        <w:t>the</w:t>
      </w:r>
      <w:r>
        <w:rPr>
          <w:spacing w:val="-4"/>
        </w:rPr>
        <w:t xml:space="preserve"> </w:t>
      </w:r>
      <w:r>
        <w:t>work performed by the internal auditors (AU-C 610.31).</w:t>
      </w:r>
    </w:p>
    <w:p w14:paraId="0DFDB04F" w14:textId="77777777" w:rsidR="00046465" w:rsidRDefault="008134EB">
      <w:pPr>
        <w:pStyle w:val="ListParagraph"/>
        <w:numPr>
          <w:ilvl w:val="0"/>
          <w:numId w:val="206"/>
        </w:numPr>
        <w:tabs>
          <w:tab w:val="left" w:pos="1799"/>
        </w:tabs>
        <w:ind w:left="1799" w:right="810"/>
      </w:pPr>
      <w:r>
        <w:t>When directing, supervising, and reviewing the work performed by internal auditors, the auditor should remain alert for indications that the auditor’s evaluations</w:t>
      </w:r>
      <w:r>
        <w:rPr>
          <w:spacing w:val="-5"/>
        </w:rPr>
        <w:t xml:space="preserve"> </w:t>
      </w:r>
      <w:r>
        <w:t>of</w:t>
      </w:r>
      <w:r>
        <w:rPr>
          <w:spacing w:val="-4"/>
        </w:rPr>
        <w:t xml:space="preserve"> </w:t>
      </w:r>
      <w:r>
        <w:t>internal</w:t>
      </w:r>
      <w:r>
        <w:rPr>
          <w:spacing w:val="-4"/>
        </w:rPr>
        <w:t xml:space="preserve"> </w:t>
      </w:r>
      <w:r>
        <w:t>auditors’</w:t>
      </w:r>
      <w:r>
        <w:rPr>
          <w:spacing w:val="-4"/>
        </w:rPr>
        <w:t xml:space="preserve"> </w:t>
      </w:r>
      <w:r>
        <w:t>objectivity</w:t>
      </w:r>
      <w:r>
        <w:rPr>
          <w:spacing w:val="-4"/>
        </w:rPr>
        <w:t xml:space="preserve"> </w:t>
      </w:r>
      <w:r>
        <w:t>and</w:t>
      </w:r>
      <w:r>
        <w:rPr>
          <w:spacing w:val="-4"/>
        </w:rPr>
        <w:t xml:space="preserve"> </w:t>
      </w:r>
      <w:r>
        <w:t>competence</w:t>
      </w:r>
      <w:r>
        <w:rPr>
          <w:spacing w:val="-4"/>
        </w:rPr>
        <w:t xml:space="preserve"> </w:t>
      </w:r>
      <w:r>
        <w:t>(FAM</w:t>
      </w:r>
      <w:r>
        <w:rPr>
          <w:spacing w:val="-5"/>
        </w:rPr>
        <w:t xml:space="preserve"> </w:t>
      </w:r>
      <w:r>
        <w:t>645.19)</w:t>
      </w:r>
      <w:r>
        <w:rPr>
          <w:spacing w:val="-4"/>
        </w:rPr>
        <w:t xml:space="preserve"> </w:t>
      </w:r>
      <w:r>
        <w:t>and</w:t>
      </w:r>
      <w:r>
        <w:rPr>
          <w:spacing w:val="-4"/>
        </w:rPr>
        <w:t xml:space="preserve"> </w:t>
      </w:r>
      <w:r>
        <w:t>of the auditor’s level of involvement in the audit (FAM 645.23) are no longer appropriate (AU-C 610.32).</w:t>
      </w:r>
    </w:p>
    <w:p w14:paraId="0DFDB050" w14:textId="77777777" w:rsidR="00046465" w:rsidRDefault="008134EB">
      <w:pPr>
        <w:pStyle w:val="Heading4"/>
        <w:spacing w:before="240"/>
      </w:pPr>
      <w:r>
        <w:rPr>
          <w:spacing w:val="-2"/>
        </w:rPr>
        <w:t>Documentation</w:t>
      </w:r>
    </w:p>
    <w:p w14:paraId="0DFDB051" w14:textId="77777777" w:rsidR="00046465" w:rsidRDefault="008134EB">
      <w:pPr>
        <w:pStyle w:val="ListParagraph"/>
        <w:numPr>
          <w:ilvl w:val="0"/>
          <w:numId w:val="206"/>
        </w:numPr>
        <w:tabs>
          <w:tab w:val="left" w:pos="1800"/>
        </w:tabs>
        <w:ind w:right="1509"/>
      </w:pPr>
      <w:r>
        <w:t>If</w:t>
      </w:r>
      <w:r>
        <w:rPr>
          <w:spacing w:val="-3"/>
        </w:rPr>
        <w:t xml:space="preserve"> </w:t>
      </w:r>
      <w:r>
        <w:t>the</w:t>
      </w:r>
      <w:r>
        <w:rPr>
          <w:spacing w:val="-3"/>
        </w:rPr>
        <w:t xml:space="preserve"> </w:t>
      </w:r>
      <w:r>
        <w:t>auditor</w:t>
      </w:r>
      <w:r>
        <w:rPr>
          <w:spacing w:val="-4"/>
        </w:rPr>
        <w:t xml:space="preserve"> </w:t>
      </w:r>
      <w:r>
        <w:t>uses</w:t>
      </w:r>
      <w:r>
        <w:rPr>
          <w:spacing w:val="-3"/>
        </w:rPr>
        <w:t xml:space="preserve"> </w:t>
      </w:r>
      <w:r>
        <w:t>the</w:t>
      </w:r>
      <w:r>
        <w:rPr>
          <w:spacing w:val="-3"/>
        </w:rPr>
        <w:t xml:space="preserve"> </w:t>
      </w:r>
      <w:r>
        <w:t>work</w:t>
      </w:r>
      <w:r>
        <w:rPr>
          <w:spacing w:val="-3"/>
        </w:rPr>
        <w:t xml:space="preserve"> </w:t>
      </w:r>
      <w:r>
        <w:t>of</w:t>
      </w:r>
      <w:r>
        <w:rPr>
          <w:spacing w:val="-3"/>
        </w:rPr>
        <w:t xml:space="preserve"> </w:t>
      </w:r>
      <w:r>
        <w:t>the</w:t>
      </w:r>
      <w:r>
        <w:rPr>
          <w:spacing w:val="-3"/>
        </w:rPr>
        <w:t xml:space="preserve"> </w:t>
      </w:r>
      <w:r>
        <w:t>internal</w:t>
      </w:r>
      <w:r>
        <w:rPr>
          <w:spacing w:val="-3"/>
        </w:rPr>
        <w:t xml:space="preserve"> </w:t>
      </w:r>
      <w:r>
        <w:t>audit</w:t>
      </w:r>
      <w:r>
        <w:rPr>
          <w:spacing w:val="-3"/>
        </w:rPr>
        <w:t xml:space="preserve"> </w:t>
      </w:r>
      <w:r>
        <w:t>function</w:t>
      </w:r>
      <w:r>
        <w:rPr>
          <w:spacing w:val="-3"/>
        </w:rPr>
        <w:t xml:space="preserve"> </w:t>
      </w:r>
      <w:r>
        <w:t>in</w:t>
      </w:r>
      <w:r>
        <w:rPr>
          <w:spacing w:val="-3"/>
        </w:rPr>
        <w:t xml:space="preserve"> </w:t>
      </w:r>
      <w:r>
        <w:t>obtaining</w:t>
      </w:r>
      <w:r>
        <w:rPr>
          <w:spacing w:val="-3"/>
        </w:rPr>
        <w:t xml:space="preserve"> </w:t>
      </w:r>
      <w:r>
        <w:t>audit evidence, the auditor should include the following in the audit summary memorandum (AU-C 610.33):</w:t>
      </w:r>
    </w:p>
    <w:p w14:paraId="0DFDB052" w14:textId="77777777" w:rsidR="00046465" w:rsidRDefault="008134EB">
      <w:pPr>
        <w:pStyle w:val="ListParagraph"/>
        <w:numPr>
          <w:ilvl w:val="1"/>
          <w:numId w:val="206"/>
        </w:numPr>
        <w:tabs>
          <w:tab w:val="left" w:pos="2159"/>
        </w:tabs>
        <w:ind w:left="2159" w:hanging="359"/>
      </w:pPr>
      <w:r>
        <w:t>the</w:t>
      </w:r>
      <w:r>
        <w:rPr>
          <w:spacing w:val="-6"/>
        </w:rPr>
        <w:t xml:space="preserve"> </w:t>
      </w:r>
      <w:r>
        <w:t>results</w:t>
      </w:r>
      <w:r>
        <w:rPr>
          <w:spacing w:val="-5"/>
        </w:rPr>
        <w:t xml:space="preserve"> </w:t>
      </w:r>
      <w:r>
        <w:t>of</w:t>
      </w:r>
      <w:r>
        <w:rPr>
          <w:spacing w:val="-6"/>
        </w:rPr>
        <w:t xml:space="preserve"> </w:t>
      </w:r>
      <w:r>
        <w:t>the</w:t>
      </w:r>
      <w:r>
        <w:rPr>
          <w:spacing w:val="-5"/>
        </w:rPr>
        <w:t xml:space="preserve"> </w:t>
      </w:r>
      <w:r>
        <w:t>evaluation</w:t>
      </w:r>
      <w:r>
        <w:rPr>
          <w:spacing w:val="-6"/>
        </w:rPr>
        <w:t xml:space="preserve"> </w:t>
      </w:r>
      <w:r>
        <w:rPr>
          <w:spacing w:val="-5"/>
        </w:rPr>
        <w:t>of</w:t>
      </w:r>
    </w:p>
    <w:p w14:paraId="0DFDB053" w14:textId="77777777" w:rsidR="00046465" w:rsidRDefault="008134EB">
      <w:pPr>
        <w:pStyle w:val="ListParagraph"/>
        <w:numPr>
          <w:ilvl w:val="2"/>
          <w:numId w:val="206"/>
        </w:numPr>
        <w:tabs>
          <w:tab w:val="left" w:pos="2519"/>
        </w:tabs>
        <w:ind w:left="2519" w:right="886"/>
      </w:pPr>
      <w:r>
        <w:t>the</w:t>
      </w:r>
      <w:r>
        <w:rPr>
          <w:spacing w:val="-5"/>
        </w:rPr>
        <w:t xml:space="preserve"> </w:t>
      </w:r>
      <w:r>
        <w:t>function’s</w:t>
      </w:r>
      <w:r>
        <w:rPr>
          <w:spacing w:val="-5"/>
        </w:rPr>
        <w:t xml:space="preserve"> </w:t>
      </w:r>
      <w:r>
        <w:t>organizational</w:t>
      </w:r>
      <w:r>
        <w:rPr>
          <w:spacing w:val="-5"/>
        </w:rPr>
        <w:t xml:space="preserve"> </w:t>
      </w:r>
      <w:r>
        <w:t>status</w:t>
      </w:r>
      <w:r>
        <w:rPr>
          <w:spacing w:val="-6"/>
        </w:rPr>
        <w:t xml:space="preserve"> </w:t>
      </w:r>
      <w:r>
        <w:t>and</w:t>
      </w:r>
      <w:r>
        <w:rPr>
          <w:spacing w:val="-5"/>
        </w:rPr>
        <w:t xml:space="preserve"> </w:t>
      </w:r>
      <w:r>
        <w:t>relevant</w:t>
      </w:r>
      <w:r>
        <w:rPr>
          <w:spacing w:val="-6"/>
        </w:rPr>
        <w:t xml:space="preserve"> </w:t>
      </w:r>
      <w:r>
        <w:t>policies</w:t>
      </w:r>
      <w:r>
        <w:rPr>
          <w:spacing w:val="-5"/>
        </w:rPr>
        <w:t xml:space="preserve"> </w:t>
      </w:r>
      <w:r>
        <w:t>and</w:t>
      </w:r>
      <w:r>
        <w:rPr>
          <w:spacing w:val="-6"/>
        </w:rPr>
        <w:t xml:space="preserve"> </w:t>
      </w:r>
      <w:r>
        <w:t>procedures to adequately support the objectivity of the internal auditors;</w:t>
      </w:r>
    </w:p>
    <w:p w14:paraId="0DFDB054" w14:textId="77777777" w:rsidR="00046465" w:rsidRDefault="008134EB">
      <w:pPr>
        <w:pStyle w:val="ListParagraph"/>
        <w:numPr>
          <w:ilvl w:val="2"/>
          <w:numId w:val="206"/>
        </w:numPr>
        <w:tabs>
          <w:tab w:val="left" w:pos="2519"/>
        </w:tabs>
        <w:spacing w:before="117"/>
        <w:ind w:left="2519"/>
      </w:pPr>
      <w:r>
        <w:t>the</w:t>
      </w:r>
      <w:r>
        <w:rPr>
          <w:spacing w:val="-6"/>
        </w:rPr>
        <w:t xml:space="preserve"> </w:t>
      </w:r>
      <w:r>
        <w:t>level</w:t>
      </w:r>
      <w:r>
        <w:rPr>
          <w:spacing w:val="-5"/>
        </w:rPr>
        <w:t xml:space="preserve"> </w:t>
      </w:r>
      <w:r>
        <w:t>of</w:t>
      </w:r>
      <w:r>
        <w:rPr>
          <w:spacing w:val="-6"/>
        </w:rPr>
        <w:t xml:space="preserve"> </w:t>
      </w:r>
      <w:r>
        <w:t>competence</w:t>
      </w:r>
      <w:r>
        <w:rPr>
          <w:spacing w:val="-5"/>
        </w:rPr>
        <w:t xml:space="preserve"> </w:t>
      </w:r>
      <w:r>
        <w:t>of</w:t>
      </w:r>
      <w:r>
        <w:rPr>
          <w:spacing w:val="-6"/>
        </w:rPr>
        <w:t xml:space="preserve"> </w:t>
      </w:r>
      <w:r>
        <w:t>the</w:t>
      </w:r>
      <w:r>
        <w:rPr>
          <w:spacing w:val="-5"/>
        </w:rPr>
        <w:t xml:space="preserve"> </w:t>
      </w:r>
      <w:r>
        <w:t>function;</w:t>
      </w:r>
      <w:r>
        <w:rPr>
          <w:spacing w:val="-5"/>
        </w:rPr>
        <w:t xml:space="preserve"> and</w:t>
      </w:r>
    </w:p>
    <w:p w14:paraId="0DFDB055" w14:textId="77777777" w:rsidR="00046465" w:rsidRDefault="008134EB">
      <w:pPr>
        <w:pStyle w:val="ListParagraph"/>
        <w:numPr>
          <w:ilvl w:val="2"/>
          <w:numId w:val="206"/>
        </w:numPr>
        <w:tabs>
          <w:tab w:val="left" w:pos="2519"/>
        </w:tabs>
        <w:spacing w:before="119"/>
        <w:ind w:left="2519" w:right="1424"/>
      </w:pPr>
      <w:r>
        <w:t>the</w:t>
      </w:r>
      <w:r>
        <w:rPr>
          <w:spacing w:val="-5"/>
        </w:rPr>
        <w:t xml:space="preserve"> </w:t>
      </w:r>
      <w:r>
        <w:t>function’s</w:t>
      </w:r>
      <w:r>
        <w:rPr>
          <w:spacing w:val="-5"/>
        </w:rPr>
        <w:t xml:space="preserve"> </w:t>
      </w:r>
      <w:r>
        <w:t>application</w:t>
      </w:r>
      <w:r>
        <w:rPr>
          <w:spacing w:val="-6"/>
        </w:rPr>
        <w:t xml:space="preserve"> </w:t>
      </w:r>
      <w:r>
        <w:t>of</w:t>
      </w:r>
      <w:r>
        <w:rPr>
          <w:spacing w:val="-5"/>
        </w:rPr>
        <w:t xml:space="preserve"> </w:t>
      </w:r>
      <w:r>
        <w:t>a</w:t>
      </w:r>
      <w:r>
        <w:rPr>
          <w:spacing w:val="-5"/>
        </w:rPr>
        <w:t xml:space="preserve"> </w:t>
      </w:r>
      <w:r>
        <w:t>systematic</w:t>
      </w:r>
      <w:r>
        <w:rPr>
          <w:spacing w:val="-5"/>
        </w:rPr>
        <w:t xml:space="preserve"> </w:t>
      </w:r>
      <w:r>
        <w:t>and</w:t>
      </w:r>
      <w:r>
        <w:rPr>
          <w:spacing w:val="-5"/>
        </w:rPr>
        <w:t xml:space="preserve"> </w:t>
      </w:r>
      <w:r>
        <w:t>disciplined</w:t>
      </w:r>
      <w:r>
        <w:rPr>
          <w:spacing w:val="-5"/>
        </w:rPr>
        <w:t xml:space="preserve"> </w:t>
      </w:r>
      <w:r>
        <w:t>approach, including quality control;</w:t>
      </w:r>
    </w:p>
    <w:p w14:paraId="0DFDB056" w14:textId="77777777" w:rsidR="00046465" w:rsidRDefault="008134EB">
      <w:pPr>
        <w:pStyle w:val="ListParagraph"/>
        <w:numPr>
          <w:ilvl w:val="1"/>
          <w:numId w:val="206"/>
        </w:numPr>
        <w:tabs>
          <w:tab w:val="left" w:pos="2159"/>
        </w:tabs>
        <w:spacing w:before="118"/>
        <w:ind w:left="2159" w:right="856"/>
      </w:pPr>
      <w:r>
        <w:t>the</w:t>
      </w:r>
      <w:r>
        <w:rPr>
          <w:spacing w:val="-3"/>
        </w:rPr>
        <w:t xml:space="preserve"> </w:t>
      </w:r>
      <w:r>
        <w:t>nature</w:t>
      </w:r>
      <w:r>
        <w:rPr>
          <w:spacing w:val="-3"/>
        </w:rPr>
        <w:t xml:space="preserve"> </w:t>
      </w:r>
      <w:r>
        <w:t>and</w:t>
      </w:r>
      <w:r>
        <w:rPr>
          <w:spacing w:val="-3"/>
        </w:rPr>
        <w:t xml:space="preserve"> </w:t>
      </w:r>
      <w:r>
        <w:t>extent</w:t>
      </w:r>
      <w:r>
        <w:rPr>
          <w:spacing w:val="-3"/>
        </w:rPr>
        <w:t xml:space="preserve"> </w:t>
      </w:r>
      <w:r>
        <w:t>of</w:t>
      </w:r>
      <w:r>
        <w:rPr>
          <w:spacing w:val="-4"/>
        </w:rPr>
        <w:t xml:space="preserve"> </w:t>
      </w:r>
      <w:r>
        <w:t>the</w:t>
      </w:r>
      <w:r>
        <w:rPr>
          <w:spacing w:val="-3"/>
        </w:rPr>
        <w:t xml:space="preserve"> </w:t>
      </w:r>
      <w:r>
        <w:t>work</w:t>
      </w:r>
      <w:r>
        <w:rPr>
          <w:spacing w:val="-3"/>
        </w:rPr>
        <w:t xml:space="preserve"> </w:t>
      </w:r>
      <w:r>
        <w:t>used</w:t>
      </w:r>
      <w:r>
        <w:rPr>
          <w:spacing w:val="-3"/>
        </w:rPr>
        <w:t xml:space="preserve"> </w:t>
      </w:r>
      <w:r>
        <w:t>(including</w:t>
      </w:r>
      <w:r>
        <w:rPr>
          <w:spacing w:val="-3"/>
        </w:rPr>
        <w:t xml:space="preserve"> </w:t>
      </w:r>
      <w:r>
        <w:t>the</w:t>
      </w:r>
      <w:r>
        <w:rPr>
          <w:spacing w:val="-3"/>
        </w:rPr>
        <w:t xml:space="preserve"> </w:t>
      </w:r>
      <w:r>
        <w:t>period</w:t>
      </w:r>
      <w:r>
        <w:rPr>
          <w:spacing w:val="-4"/>
        </w:rPr>
        <w:t xml:space="preserve"> </w:t>
      </w:r>
      <w:r>
        <w:t>covered</w:t>
      </w:r>
      <w:r>
        <w:rPr>
          <w:spacing w:val="-3"/>
        </w:rPr>
        <w:t xml:space="preserve"> </w:t>
      </w:r>
      <w:r>
        <w:t>by,</w:t>
      </w:r>
      <w:r>
        <w:rPr>
          <w:spacing w:val="-4"/>
        </w:rPr>
        <w:t xml:space="preserve"> </w:t>
      </w:r>
      <w:r>
        <w:t>and the results of, such work) and the basis for that decision; and</w:t>
      </w:r>
    </w:p>
    <w:p w14:paraId="0DFDB057" w14:textId="77777777" w:rsidR="00046465" w:rsidRDefault="008134EB">
      <w:pPr>
        <w:pStyle w:val="ListParagraph"/>
        <w:numPr>
          <w:ilvl w:val="1"/>
          <w:numId w:val="206"/>
        </w:numPr>
        <w:tabs>
          <w:tab w:val="left" w:pos="2159"/>
        </w:tabs>
        <w:ind w:left="2159" w:right="856"/>
      </w:pPr>
      <w:r>
        <w:t>the audit procedures performed by the auditor to evaluate the adequacy of the work used, including the procedures performed by the auditor to reperform</w:t>
      </w:r>
      <w:r>
        <w:rPr>
          <w:spacing w:val="-4"/>
        </w:rPr>
        <w:t xml:space="preserve"> </w:t>
      </w:r>
      <w:r>
        <w:t>some</w:t>
      </w:r>
      <w:r>
        <w:rPr>
          <w:spacing w:val="-3"/>
        </w:rPr>
        <w:t xml:space="preserve"> </w:t>
      </w:r>
      <w:r>
        <w:t>of</w:t>
      </w:r>
      <w:r>
        <w:rPr>
          <w:spacing w:val="-3"/>
        </w:rPr>
        <w:t xml:space="preserve"> </w:t>
      </w:r>
      <w:r>
        <w:t>the</w:t>
      </w:r>
      <w:r>
        <w:rPr>
          <w:spacing w:val="-3"/>
        </w:rPr>
        <w:t xml:space="preserve"> </w:t>
      </w:r>
      <w:r>
        <w:t>body</w:t>
      </w:r>
      <w:r>
        <w:rPr>
          <w:spacing w:val="-3"/>
        </w:rPr>
        <w:t xml:space="preserve"> </w:t>
      </w:r>
      <w:r>
        <w:t>of</w:t>
      </w:r>
      <w:r>
        <w:rPr>
          <w:spacing w:val="-3"/>
        </w:rPr>
        <w:t xml:space="preserve"> </w:t>
      </w:r>
      <w:r>
        <w:t>work</w:t>
      </w:r>
      <w:r>
        <w:rPr>
          <w:spacing w:val="-4"/>
        </w:rPr>
        <w:t xml:space="preserve"> </w:t>
      </w:r>
      <w:r>
        <w:t>of</w:t>
      </w:r>
      <w:r>
        <w:rPr>
          <w:spacing w:val="-3"/>
        </w:rPr>
        <w:t xml:space="preserve"> </w:t>
      </w:r>
      <w:r>
        <w:t>the</w:t>
      </w:r>
      <w:r>
        <w:rPr>
          <w:spacing w:val="-3"/>
        </w:rPr>
        <w:t xml:space="preserve"> </w:t>
      </w:r>
      <w:r>
        <w:t>internal</w:t>
      </w:r>
      <w:r>
        <w:rPr>
          <w:spacing w:val="-3"/>
        </w:rPr>
        <w:t xml:space="preserve"> </w:t>
      </w:r>
      <w:r>
        <w:t>audit</w:t>
      </w:r>
      <w:r>
        <w:rPr>
          <w:spacing w:val="-3"/>
        </w:rPr>
        <w:t xml:space="preserve"> </w:t>
      </w:r>
      <w:r>
        <w:t>function</w:t>
      </w:r>
      <w:r>
        <w:rPr>
          <w:spacing w:val="-3"/>
        </w:rPr>
        <w:t xml:space="preserve"> </w:t>
      </w:r>
      <w:r>
        <w:t>in</w:t>
      </w:r>
      <w:r>
        <w:rPr>
          <w:spacing w:val="-3"/>
        </w:rPr>
        <w:t xml:space="preserve"> </w:t>
      </w:r>
      <w:r>
        <w:t>obtaining audit evidence.</w:t>
      </w:r>
    </w:p>
    <w:p w14:paraId="0DFDB058" w14:textId="77777777" w:rsidR="00046465" w:rsidRDefault="008134EB">
      <w:pPr>
        <w:pStyle w:val="ListParagraph"/>
        <w:numPr>
          <w:ilvl w:val="0"/>
          <w:numId w:val="206"/>
        </w:numPr>
        <w:tabs>
          <w:tab w:val="left" w:pos="1799"/>
        </w:tabs>
        <w:ind w:left="1799" w:right="896"/>
      </w:pPr>
      <w:r>
        <w:t>If</w:t>
      </w:r>
      <w:r>
        <w:rPr>
          <w:spacing w:val="-3"/>
        </w:rPr>
        <w:t xml:space="preserve"> </w:t>
      </w:r>
      <w:r>
        <w:t>the</w:t>
      </w:r>
      <w:r>
        <w:rPr>
          <w:spacing w:val="-3"/>
        </w:rPr>
        <w:t xml:space="preserve"> </w:t>
      </w:r>
      <w:r>
        <w:t>auditor</w:t>
      </w:r>
      <w:r>
        <w:rPr>
          <w:spacing w:val="-4"/>
        </w:rPr>
        <w:t xml:space="preserve"> </w:t>
      </w:r>
      <w:r>
        <w:t>uses</w:t>
      </w:r>
      <w:r>
        <w:rPr>
          <w:spacing w:val="-3"/>
        </w:rPr>
        <w:t xml:space="preserve"> </w:t>
      </w:r>
      <w:r>
        <w:t>internal</w:t>
      </w:r>
      <w:r>
        <w:rPr>
          <w:spacing w:val="-3"/>
        </w:rPr>
        <w:t xml:space="preserve"> </w:t>
      </w:r>
      <w:r>
        <w:t>auditors</w:t>
      </w:r>
      <w:r>
        <w:rPr>
          <w:spacing w:val="-3"/>
        </w:rPr>
        <w:t xml:space="preserve"> </w:t>
      </w:r>
      <w:r>
        <w:t>to</w:t>
      </w:r>
      <w:r>
        <w:rPr>
          <w:spacing w:val="-3"/>
        </w:rPr>
        <w:t xml:space="preserve"> </w:t>
      </w:r>
      <w:r>
        <w:t>provide</w:t>
      </w:r>
      <w:r>
        <w:rPr>
          <w:spacing w:val="-3"/>
        </w:rPr>
        <w:t xml:space="preserve"> </w:t>
      </w:r>
      <w:r>
        <w:t>direct</w:t>
      </w:r>
      <w:r>
        <w:rPr>
          <w:spacing w:val="-3"/>
        </w:rPr>
        <w:t xml:space="preserve"> </w:t>
      </w:r>
      <w:r>
        <w:t>assistance</w:t>
      </w:r>
      <w:r>
        <w:rPr>
          <w:spacing w:val="-3"/>
        </w:rPr>
        <w:t xml:space="preserve"> </w:t>
      </w:r>
      <w:r>
        <w:t>on</w:t>
      </w:r>
      <w:r>
        <w:rPr>
          <w:spacing w:val="-3"/>
        </w:rPr>
        <w:t xml:space="preserve"> </w:t>
      </w:r>
      <w:r>
        <w:t>the</w:t>
      </w:r>
      <w:r>
        <w:rPr>
          <w:spacing w:val="-3"/>
        </w:rPr>
        <w:t xml:space="preserve"> </w:t>
      </w:r>
      <w:r>
        <w:t>audit,</w:t>
      </w:r>
      <w:r>
        <w:rPr>
          <w:spacing w:val="-3"/>
        </w:rPr>
        <w:t xml:space="preserve"> </w:t>
      </w:r>
      <w:r>
        <w:t xml:space="preserve">the auditor should include the following in the audit summary memorandum (AU-C </w:t>
      </w:r>
      <w:r>
        <w:rPr>
          <w:spacing w:val="-2"/>
        </w:rPr>
        <w:t>610.34):</w:t>
      </w:r>
    </w:p>
    <w:p w14:paraId="0DFDB059" w14:textId="77777777" w:rsidR="00046465" w:rsidRDefault="008134EB">
      <w:pPr>
        <w:pStyle w:val="ListParagraph"/>
        <w:numPr>
          <w:ilvl w:val="1"/>
          <w:numId w:val="206"/>
        </w:numPr>
        <w:tabs>
          <w:tab w:val="left" w:pos="2159"/>
        </w:tabs>
        <w:ind w:left="2159" w:right="746"/>
        <w:jc w:val="both"/>
      </w:pPr>
      <w:r>
        <w:t>the evaluation of the existence and significance of threats to the objectivity of the</w:t>
      </w:r>
      <w:r>
        <w:rPr>
          <w:spacing w:val="-3"/>
        </w:rPr>
        <w:t xml:space="preserve"> </w:t>
      </w:r>
      <w:r>
        <w:t>internal</w:t>
      </w:r>
      <w:r>
        <w:rPr>
          <w:spacing w:val="-4"/>
        </w:rPr>
        <w:t xml:space="preserve"> </w:t>
      </w:r>
      <w:r>
        <w:t>auditors,</w:t>
      </w:r>
      <w:r>
        <w:rPr>
          <w:spacing w:val="-3"/>
        </w:rPr>
        <w:t xml:space="preserve"> </w:t>
      </w:r>
      <w:r>
        <w:t>as</w:t>
      </w:r>
      <w:r>
        <w:rPr>
          <w:spacing w:val="-4"/>
        </w:rPr>
        <w:t xml:space="preserve"> </w:t>
      </w:r>
      <w:r>
        <w:t>well</w:t>
      </w:r>
      <w:r>
        <w:rPr>
          <w:spacing w:val="-3"/>
        </w:rPr>
        <w:t xml:space="preserve"> </w:t>
      </w:r>
      <w:r>
        <w:t>as</w:t>
      </w:r>
      <w:r>
        <w:rPr>
          <w:spacing w:val="-3"/>
        </w:rPr>
        <w:t xml:space="preserve"> </w:t>
      </w:r>
      <w:r>
        <w:t>any</w:t>
      </w:r>
      <w:r>
        <w:rPr>
          <w:spacing w:val="-4"/>
        </w:rPr>
        <w:t xml:space="preserve"> </w:t>
      </w:r>
      <w:r>
        <w:t>safeguards</w:t>
      </w:r>
      <w:r>
        <w:rPr>
          <w:spacing w:val="-4"/>
        </w:rPr>
        <w:t xml:space="preserve"> </w:t>
      </w:r>
      <w:r>
        <w:t>applied</w:t>
      </w:r>
      <w:r>
        <w:rPr>
          <w:spacing w:val="-3"/>
        </w:rPr>
        <w:t xml:space="preserve"> </w:t>
      </w:r>
      <w:r>
        <w:t>to</w:t>
      </w:r>
      <w:r>
        <w:rPr>
          <w:spacing w:val="-3"/>
        </w:rPr>
        <w:t xml:space="preserve"> </w:t>
      </w:r>
      <w:r>
        <w:t>reduce</w:t>
      </w:r>
      <w:r>
        <w:rPr>
          <w:spacing w:val="-3"/>
        </w:rPr>
        <w:t xml:space="preserve"> </w:t>
      </w:r>
      <w:r>
        <w:t>or</w:t>
      </w:r>
      <w:r>
        <w:rPr>
          <w:spacing w:val="-3"/>
        </w:rPr>
        <w:t xml:space="preserve"> </w:t>
      </w:r>
      <w:r>
        <w:t>eliminate the</w:t>
      </w:r>
      <w:r>
        <w:rPr>
          <w:spacing w:val="-3"/>
        </w:rPr>
        <w:t xml:space="preserve"> </w:t>
      </w:r>
      <w:r>
        <w:t>threats,</w:t>
      </w:r>
      <w:r>
        <w:rPr>
          <w:spacing w:val="-4"/>
        </w:rPr>
        <w:t xml:space="preserve"> </w:t>
      </w:r>
      <w:r>
        <w:t>and</w:t>
      </w:r>
      <w:r>
        <w:rPr>
          <w:spacing w:val="-3"/>
        </w:rPr>
        <w:t xml:space="preserve"> </w:t>
      </w:r>
      <w:r>
        <w:t>the</w:t>
      </w:r>
      <w:r>
        <w:rPr>
          <w:spacing w:val="-3"/>
        </w:rPr>
        <w:t xml:space="preserve"> </w:t>
      </w:r>
      <w:r>
        <w:t>level</w:t>
      </w:r>
      <w:r>
        <w:rPr>
          <w:spacing w:val="-3"/>
        </w:rPr>
        <w:t xml:space="preserve"> </w:t>
      </w:r>
      <w:r>
        <w:t>of</w:t>
      </w:r>
      <w:r>
        <w:rPr>
          <w:spacing w:val="-3"/>
        </w:rPr>
        <w:t xml:space="preserve"> </w:t>
      </w:r>
      <w:r>
        <w:t>competence</w:t>
      </w:r>
      <w:r>
        <w:rPr>
          <w:spacing w:val="-3"/>
        </w:rPr>
        <w:t xml:space="preserve"> </w:t>
      </w:r>
      <w:r>
        <w:t>of</w:t>
      </w:r>
      <w:r>
        <w:rPr>
          <w:spacing w:val="-3"/>
        </w:rPr>
        <w:t xml:space="preserve"> </w:t>
      </w:r>
      <w:r>
        <w:t>the</w:t>
      </w:r>
      <w:r>
        <w:rPr>
          <w:spacing w:val="-3"/>
        </w:rPr>
        <w:t xml:space="preserve"> </w:t>
      </w:r>
      <w:r>
        <w:t>internal</w:t>
      </w:r>
      <w:r>
        <w:rPr>
          <w:spacing w:val="-3"/>
        </w:rPr>
        <w:t xml:space="preserve"> </w:t>
      </w:r>
      <w:r>
        <w:t>auditors</w:t>
      </w:r>
      <w:r>
        <w:rPr>
          <w:spacing w:val="-3"/>
        </w:rPr>
        <w:t xml:space="preserve"> </w:t>
      </w:r>
      <w:r>
        <w:t>who</w:t>
      </w:r>
      <w:r>
        <w:rPr>
          <w:spacing w:val="-2"/>
        </w:rPr>
        <w:t xml:space="preserve"> </w:t>
      </w:r>
      <w:r>
        <w:t>provided direct assistance;</w:t>
      </w:r>
    </w:p>
    <w:p w14:paraId="0DFDB05A" w14:textId="77777777" w:rsidR="00046465" w:rsidRDefault="008134EB">
      <w:pPr>
        <w:pStyle w:val="ListParagraph"/>
        <w:numPr>
          <w:ilvl w:val="1"/>
          <w:numId w:val="206"/>
        </w:numPr>
        <w:tabs>
          <w:tab w:val="left" w:pos="2160"/>
        </w:tabs>
        <w:ind w:right="1578"/>
        <w:jc w:val="both"/>
      </w:pPr>
      <w:r>
        <w:t>the</w:t>
      </w:r>
      <w:r>
        <w:rPr>
          <w:spacing w:val="-4"/>
        </w:rPr>
        <w:t xml:space="preserve"> </w:t>
      </w:r>
      <w:r>
        <w:t>basis</w:t>
      </w:r>
      <w:r>
        <w:rPr>
          <w:spacing w:val="-4"/>
        </w:rPr>
        <w:t xml:space="preserve"> </w:t>
      </w:r>
      <w:r>
        <w:t>for</w:t>
      </w:r>
      <w:r>
        <w:rPr>
          <w:spacing w:val="-5"/>
        </w:rPr>
        <w:t xml:space="preserve"> </w:t>
      </w:r>
      <w:r>
        <w:t>the</w:t>
      </w:r>
      <w:r>
        <w:rPr>
          <w:spacing w:val="-4"/>
        </w:rPr>
        <w:t xml:space="preserve"> </w:t>
      </w:r>
      <w:r>
        <w:t>decision</w:t>
      </w:r>
      <w:r>
        <w:rPr>
          <w:spacing w:val="-4"/>
        </w:rPr>
        <w:t xml:space="preserve"> </w:t>
      </w:r>
      <w:r>
        <w:t>regarding</w:t>
      </w:r>
      <w:r>
        <w:rPr>
          <w:spacing w:val="-5"/>
        </w:rPr>
        <w:t xml:space="preserve"> </w:t>
      </w:r>
      <w:r>
        <w:t>the</w:t>
      </w:r>
      <w:r>
        <w:rPr>
          <w:spacing w:val="-4"/>
        </w:rPr>
        <w:t xml:space="preserve"> </w:t>
      </w:r>
      <w:r>
        <w:t>nature</w:t>
      </w:r>
      <w:r>
        <w:rPr>
          <w:spacing w:val="-4"/>
        </w:rPr>
        <w:t xml:space="preserve"> </w:t>
      </w:r>
      <w:r>
        <w:t>and</w:t>
      </w:r>
      <w:r>
        <w:rPr>
          <w:spacing w:val="-4"/>
        </w:rPr>
        <w:t xml:space="preserve"> </w:t>
      </w:r>
      <w:r>
        <w:t>extent</w:t>
      </w:r>
      <w:r>
        <w:rPr>
          <w:spacing w:val="-4"/>
        </w:rPr>
        <w:t xml:space="preserve"> </w:t>
      </w:r>
      <w:r>
        <w:t>of</w:t>
      </w:r>
      <w:r>
        <w:rPr>
          <w:spacing w:val="-5"/>
        </w:rPr>
        <w:t xml:space="preserve"> </w:t>
      </w:r>
      <w:r>
        <w:t>the</w:t>
      </w:r>
      <w:r>
        <w:rPr>
          <w:spacing w:val="-4"/>
        </w:rPr>
        <w:t xml:space="preserve"> </w:t>
      </w:r>
      <w:r>
        <w:t>work performed by the internal auditors; and</w:t>
      </w:r>
    </w:p>
    <w:p w14:paraId="0DFDB05B" w14:textId="77777777" w:rsidR="00046465" w:rsidRDefault="008134EB">
      <w:pPr>
        <w:pStyle w:val="ListParagraph"/>
        <w:numPr>
          <w:ilvl w:val="1"/>
          <w:numId w:val="206"/>
        </w:numPr>
        <w:tabs>
          <w:tab w:val="left" w:pos="2160"/>
        </w:tabs>
        <w:ind w:right="1182"/>
        <w:jc w:val="both"/>
      </w:pPr>
      <w:r>
        <w:t>the</w:t>
      </w:r>
      <w:r>
        <w:rPr>
          <w:spacing w:val="-3"/>
        </w:rPr>
        <w:t xml:space="preserve"> </w:t>
      </w:r>
      <w:r>
        <w:t>nature</w:t>
      </w:r>
      <w:r>
        <w:rPr>
          <w:spacing w:val="-3"/>
        </w:rPr>
        <w:t xml:space="preserve"> </w:t>
      </w:r>
      <w:r>
        <w:t>and</w:t>
      </w:r>
      <w:r>
        <w:rPr>
          <w:spacing w:val="-3"/>
        </w:rPr>
        <w:t xml:space="preserve"> </w:t>
      </w:r>
      <w:r>
        <w:t>extent</w:t>
      </w:r>
      <w:r>
        <w:rPr>
          <w:spacing w:val="-3"/>
        </w:rPr>
        <w:t xml:space="preserve"> </w:t>
      </w:r>
      <w:r>
        <w:t>of</w:t>
      </w:r>
      <w:r>
        <w:rPr>
          <w:spacing w:val="-4"/>
        </w:rPr>
        <w:t xml:space="preserve"> </w:t>
      </w:r>
      <w:r>
        <w:t>the</w:t>
      </w:r>
      <w:r>
        <w:rPr>
          <w:spacing w:val="-3"/>
        </w:rPr>
        <w:t xml:space="preserve"> </w:t>
      </w:r>
      <w:r>
        <w:t>auditor’s</w:t>
      </w:r>
      <w:r>
        <w:rPr>
          <w:spacing w:val="-3"/>
        </w:rPr>
        <w:t xml:space="preserve"> </w:t>
      </w:r>
      <w:r>
        <w:t>review</w:t>
      </w:r>
      <w:r>
        <w:rPr>
          <w:spacing w:val="-4"/>
        </w:rPr>
        <w:t xml:space="preserve"> </w:t>
      </w:r>
      <w:r>
        <w:t>of</w:t>
      </w:r>
      <w:r>
        <w:rPr>
          <w:spacing w:val="-3"/>
        </w:rPr>
        <w:t xml:space="preserve"> </w:t>
      </w:r>
      <w:r>
        <w:t>the</w:t>
      </w:r>
      <w:r>
        <w:rPr>
          <w:spacing w:val="-3"/>
        </w:rPr>
        <w:t xml:space="preserve"> </w:t>
      </w:r>
      <w:r>
        <w:t>internal</w:t>
      </w:r>
      <w:r>
        <w:rPr>
          <w:spacing w:val="-3"/>
        </w:rPr>
        <w:t xml:space="preserve"> </w:t>
      </w:r>
      <w:r>
        <w:t>auditors’</w:t>
      </w:r>
      <w:r>
        <w:rPr>
          <w:spacing w:val="-3"/>
        </w:rPr>
        <w:t xml:space="preserve"> </w:t>
      </w:r>
      <w:r>
        <w:t>work (including</w:t>
      </w:r>
      <w:r>
        <w:rPr>
          <w:spacing w:val="-3"/>
        </w:rPr>
        <w:t xml:space="preserve"> </w:t>
      </w:r>
      <w:r>
        <w:t>the</w:t>
      </w:r>
      <w:r>
        <w:rPr>
          <w:spacing w:val="-3"/>
        </w:rPr>
        <w:t xml:space="preserve"> </w:t>
      </w:r>
      <w:r>
        <w:t>testing,</w:t>
      </w:r>
      <w:r>
        <w:rPr>
          <w:spacing w:val="-3"/>
        </w:rPr>
        <w:t xml:space="preserve"> </w:t>
      </w:r>
      <w:r>
        <w:t>by</w:t>
      </w:r>
      <w:r>
        <w:rPr>
          <w:spacing w:val="-4"/>
        </w:rPr>
        <w:t xml:space="preserve"> </w:t>
      </w:r>
      <w:r>
        <w:t>the</w:t>
      </w:r>
      <w:r>
        <w:rPr>
          <w:spacing w:val="-3"/>
        </w:rPr>
        <w:t xml:space="preserve"> </w:t>
      </w:r>
      <w:r>
        <w:t>auditor,</w:t>
      </w:r>
      <w:r>
        <w:rPr>
          <w:spacing w:val="-4"/>
        </w:rPr>
        <w:t xml:space="preserve"> </w:t>
      </w:r>
      <w:r>
        <w:t>of</w:t>
      </w:r>
      <w:r>
        <w:rPr>
          <w:spacing w:val="-3"/>
        </w:rPr>
        <w:t xml:space="preserve"> </w:t>
      </w:r>
      <w:r>
        <w:t>some</w:t>
      </w:r>
      <w:r>
        <w:rPr>
          <w:spacing w:val="-3"/>
        </w:rPr>
        <w:t xml:space="preserve"> </w:t>
      </w:r>
      <w:r>
        <w:t>of</w:t>
      </w:r>
      <w:r>
        <w:rPr>
          <w:spacing w:val="-3"/>
        </w:rPr>
        <w:t xml:space="preserve"> </w:t>
      </w:r>
      <w:r>
        <w:t>the</w:t>
      </w:r>
      <w:r>
        <w:rPr>
          <w:spacing w:val="-3"/>
        </w:rPr>
        <w:t xml:space="preserve"> </w:t>
      </w:r>
      <w:r>
        <w:t>work</w:t>
      </w:r>
      <w:r>
        <w:rPr>
          <w:spacing w:val="-3"/>
        </w:rPr>
        <w:t xml:space="preserve"> </w:t>
      </w:r>
      <w:r>
        <w:t>that</w:t>
      </w:r>
      <w:r>
        <w:rPr>
          <w:spacing w:val="-3"/>
        </w:rPr>
        <w:t xml:space="preserve"> </w:t>
      </w:r>
      <w:r>
        <w:t>the</w:t>
      </w:r>
      <w:r>
        <w:rPr>
          <w:spacing w:val="-3"/>
        </w:rPr>
        <w:t xml:space="preserve"> </w:t>
      </w:r>
      <w:r>
        <w:t>internal auditors performed).</w:t>
      </w:r>
    </w:p>
    <w:p w14:paraId="0DFDB05C" w14:textId="77777777" w:rsidR="00046465" w:rsidRDefault="008134EB">
      <w:pPr>
        <w:pStyle w:val="BodyText"/>
        <w:spacing w:before="120"/>
        <w:ind w:left="1800" w:right="749"/>
      </w:pPr>
      <w:r>
        <w:t>The</w:t>
      </w:r>
      <w:r>
        <w:rPr>
          <w:spacing w:val="-4"/>
        </w:rPr>
        <w:t xml:space="preserve"> </w:t>
      </w:r>
      <w:r>
        <w:t>auditor</w:t>
      </w:r>
      <w:r>
        <w:rPr>
          <w:spacing w:val="-6"/>
        </w:rPr>
        <w:t xml:space="preserve"> </w:t>
      </w:r>
      <w:r>
        <w:t>should</w:t>
      </w:r>
      <w:r>
        <w:rPr>
          <w:spacing w:val="-4"/>
        </w:rPr>
        <w:t xml:space="preserve"> </w:t>
      </w:r>
      <w:r>
        <w:t>also</w:t>
      </w:r>
      <w:r>
        <w:rPr>
          <w:spacing w:val="-4"/>
        </w:rPr>
        <w:t xml:space="preserve"> </w:t>
      </w:r>
      <w:r>
        <w:t>include</w:t>
      </w:r>
      <w:r>
        <w:rPr>
          <w:spacing w:val="-4"/>
        </w:rPr>
        <w:t xml:space="preserve"> </w:t>
      </w:r>
      <w:r>
        <w:t>in</w:t>
      </w:r>
      <w:r>
        <w:rPr>
          <w:spacing w:val="-4"/>
        </w:rPr>
        <w:t xml:space="preserve"> </w:t>
      </w:r>
      <w:r>
        <w:t>the</w:t>
      </w:r>
      <w:r>
        <w:rPr>
          <w:spacing w:val="-4"/>
        </w:rPr>
        <w:t xml:space="preserve"> </w:t>
      </w:r>
      <w:r>
        <w:t>audit</w:t>
      </w:r>
      <w:r>
        <w:rPr>
          <w:spacing w:val="-4"/>
        </w:rPr>
        <w:t xml:space="preserve"> </w:t>
      </w:r>
      <w:r>
        <w:t>documentation</w:t>
      </w:r>
      <w:r>
        <w:rPr>
          <w:spacing w:val="-4"/>
        </w:rPr>
        <w:t xml:space="preserve"> </w:t>
      </w:r>
      <w:r>
        <w:t>the</w:t>
      </w:r>
      <w:r>
        <w:rPr>
          <w:spacing w:val="-4"/>
        </w:rPr>
        <w:t xml:space="preserve"> </w:t>
      </w:r>
      <w:r>
        <w:t>working</w:t>
      </w:r>
      <w:r>
        <w:rPr>
          <w:spacing w:val="-4"/>
        </w:rPr>
        <w:t xml:space="preserve"> </w:t>
      </w:r>
      <w:r>
        <w:t>papers prepared by the internal auditors who provided direct assistance on the audit engagement (AU-C 610.34).</w:t>
      </w:r>
    </w:p>
    <w:p w14:paraId="0DFDB05D" w14:textId="77777777" w:rsidR="00046465" w:rsidRDefault="008134EB">
      <w:pPr>
        <w:pStyle w:val="BodyText"/>
        <w:spacing w:before="120"/>
        <w:ind w:left="1800"/>
      </w:pPr>
      <w:r>
        <w:t>If</w:t>
      </w:r>
      <w:r>
        <w:rPr>
          <w:spacing w:val="-5"/>
        </w:rPr>
        <w:t xml:space="preserve"> </w:t>
      </w:r>
      <w:r>
        <w:t>the</w:t>
      </w:r>
      <w:r>
        <w:rPr>
          <w:spacing w:val="-5"/>
        </w:rPr>
        <w:t xml:space="preserve"> </w:t>
      </w:r>
      <w:r>
        <w:t>auditor</w:t>
      </w:r>
      <w:r>
        <w:rPr>
          <w:spacing w:val="-6"/>
        </w:rPr>
        <w:t xml:space="preserve"> </w:t>
      </w:r>
      <w:r>
        <w:t>uses</w:t>
      </w:r>
      <w:r>
        <w:rPr>
          <w:spacing w:val="-5"/>
        </w:rPr>
        <w:t xml:space="preserve"> </w:t>
      </w:r>
      <w:r>
        <w:t>the</w:t>
      </w:r>
      <w:r>
        <w:rPr>
          <w:spacing w:val="-5"/>
        </w:rPr>
        <w:t xml:space="preserve"> </w:t>
      </w:r>
      <w:r>
        <w:t>work</w:t>
      </w:r>
      <w:r>
        <w:rPr>
          <w:spacing w:val="-5"/>
        </w:rPr>
        <w:t xml:space="preserve"> </w:t>
      </w:r>
      <w:r>
        <w:t>of</w:t>
      </w:r>
      <w:r>
        <w:rPr>
          <w:spacing w:val="-5"/>
        </w:rPr>
        <w:t xml:space="preserve"> </w:t>
      </w:r>
      <w:r>
        <w:t>the</w:t>
      </w:r>
      <w:r>
        <w:rPr>
          <w:spacing w:val="-5"/>
        </w:rPr>
        <w:t xml:space="preserve"> </w:t>
      </w:r>
      <w:r>
        <w:t>internal</w:t>
      </w:r>
      <w:r>
        <w:rPr>
          <w:spacing w:val="-5"/>
        </w:rPr>
        <w:t xml:space="preserve"> </w:t>
      </w:r>
      <w:r>
        <w:t>audit</w:t>
      </w:r>
      <w:r>
        <w:rPr>
          <w:spacing w:val="-5"/>
        </w:rPr>
        <w:t xml:space="preserve"> </w:t>
      </w:r>
      <w:r>
        <w:t>function</w:t>
      </w:r>
      <w:r>
        <w:rPr>
          <w:spacing w:val="-5"/>
        </w:rPr>
        <w:t xml:space="preserve"> </w:t>
      </w:r>
      <w:r>
        <w:t>in</w:t>
      </w:r>
      <w:r>
        <w:rPr>
          <w:spacing w:val="-5"/>
        </w:rPr>
        <w:t xml:space="preserve"> </w:t>
      </w:r>
      <w:r>
        <w:t>obtaining</w:t>
      </w:r>
      <w:r>
        <w:rPr>
          <w:spacing w:val="-5"/>
        </w:rPr>
        <w:t xml:space="preserve"> </w:t>
      </w:r>
      <w:r>
        <w:rPr>
          <w:spacing w:val="-2"/>
        </w:rPr>
        <w:t>audit</w:t>
      </w:r>
    </w:p>
    <w:p w14:paraId="0DFDB05E" w14:textId="77777777" w:rsidR="00046465" w:rsidRDefault="00046465">
      <w:pPr>
        <w:pStyle w:val="BodyText"/>
        <w:sectPr w:rsidR="00046465">
          <w:pgSz w:w="12240" w:h="15840"/>
          <w:pgMar w:top="1340" w:right="720" w:bottom="1020" w:left="1080" w:header="721" w:footer="757" w:gutter="0"/>
          <w:cols w:space="720"/>
        </w:sectPr>
      </w:pPr>
    </w:p>
    <w:p w14:paraId="0DFDB05F" w14:textId="77777777" w:rsidR="00046465" w:rsidRDefault="008134EB">
      <w:pPr>
        <w:pStyle w:val="BodyText"/>
        <w:spacing w:before="121"/>
        <w:ind w:left="1800" w:right="773"/>
      </w:pPr>
      <w:r>
        <w:lastRenderedPageBreak/>
        <w:t>evidence, internal auditors to provide direct assistance, or both, the auditor should include in the audit summary memorandum the auditor’s evaluation of (see FAM 645.11 and .23) whether, either individually or in aggregate as applicable, using the work of the internal audit function in obtaining audit evidence</w:t>
      </w:r>
      <w:r>
        <w:rPr>
          <w:spacing w:val="-3"/>
        </w:rPr>
        <w:t xml:space="preserve"> </w:t>
      </w:r>
      <w:r>
        <w:t>and</w:t>
      </w:r>
      <w:r>
        <w:rPr>
          <w:spacing w:val="-3"/>
        </w:rPr>
        <w:t xml:space="preserve"> </w:t>
      </w:r>
      <w:r>
        <w:t>use</w:t>
      </w:r>
      <w:r>
        <w:rPr>
          <w:spacing w:val="-3"/>
        </w:rPr>
        <w:t xml:space="preserve"> </w:t>
      </w:r>
      <w:r>
        <w:t>of</w:t>
      </w:r>
      <w:r>
        <w:rPr>
          <w:spacing w:val="-3"/>
        </w:rPr>
        <w:t xml:space="preserve"> </w:t>
      </w:r>
      <w:r>
        <w:t>internal</w:t>
      </w:r>
      <w:r>
        <w:rPr>
          <w:spacing w:val="-3"/>
        </w:rPr>
        <w:t xml:space="preserve"> </w:t>
      </w:r>
      <w:r>
        <w:t>auditors</w:t>
      </w:r>
      <w:r>
        <w:rPr>
          <w:spacing w:val="-4"/>
        </w:rPr>
        <w:t xml:space="preserve"> </w:t>
      </w:r>
      <w:r>
        <w:t>to</w:t>
      </w:r>
      <w:r>
        <w:rPr>
          <w:spacing w:val="-3"/>
        </w:rPr>
        <w:t xml:space="preserve"> </w:t>
      </w:r>
      <w:r>
        <w:t>provide</w:t>
      </w:r>
      <w:r>
        <w:rPr>
          <w:spacing w:val="-3"/>
        </w:rPr>
        <w:t xml:space="preserve"> </w:t>
      </w:r>
      <w:r>
        <w:t>direct</w:t>
      </w:r>
      <w:r>
        <w:rPr>
          <w:spacing w:val="-3"/>
        </w:rPr>
        <w:t xml:space="preserve"> </w:t>
      </w:r>
      <w:r>
        <w:t>assistance</w:t>
      </w:r>
      <w:r>
        <w:rPr>
          <w:spacing w:val="-3"/>
        </w:rPr>
        <w:t xml:space="preserve"> </w:t>
      </w:r>
      <w:r>
        <w:t>resulted</w:t>
      </w:r>
      <w:r>
        <w:rPr>
          <w:spacing w:val="-4"/>
        </w:rPr>
        <w:t xml:space="preserve"> </w:t>
      </w:r>
      <w:r>
        <w:t>in</w:t>
      </w:r>
      <w:r>
        <w:rPr>
          <w:spacing w:val="-3"/>
        </w:rPr>
        <w:t xml:space="preserve"> </w:t>
      </w:r>
      <w:r>
        <w:t>the auditor still being sufficiently involved in the audit, given the auditor’s sole responsibility for the audit opinion expressed (AU-C 610.35).</w:t>
      </w:r>
    </w:p>
    <w:p w14:paraId="0DFDB060" w14:textId="77777777" w:rsidR="00046465" w:rsidRDefault="00046465">
      <w:pPr>
        <w:pStyle w:val="BodyText"/>
        <w:sectPr w:rsidR="00046465">
          <w:pgSz w:w="12240" w:h="15840"/>
          <w:pgMar w:top="1340" w:right="720" w:bottom="940" w:left="1080" w:header="721" w:footer="757" w:gutter="0"/>
          <w:cols w:space="720"/>
        </w:sectPr>
      </w:pPr>
    </w:p>
    <w:p w14:paraId="0DFDB061" w14:textId="77777777" w:rsidR="00046465" w:rsidRDefault="008134EB">
      <w:pPr>
        <w:pStyle w:val="Heading3"/>
        <w:spacing w:before="240"/>
        <w:ind w:right="749"/>
        <w:rPr>
          <w:u w:val="none"/>
        </w:rPr>
      </w:pPr>
      <w:bookmarkStart w:id="93" w:name="670_–_IG_Oversight_of_Financial_Statemen"/>
      <w:bookmarkStart w:id="94" w:name="_bookmark25"/>
      <w:bookmarkEnd w:id="93"/>
      <w:bookmarkEnd w:id="94"/>
      <w:r>
        <w:lastRenderedPageBreak/>
        <w:t>670</w:t>
      </w:r>
      <w:r>
        <w:rPr>
          <w:spacing w:val="-5"/>
        </w:rPr>
        <w:t xml:space="preserve"> </w:t>
      </w:r>
      <w:r>
        <w:t>–</w:t>
      </w:r>
      <w:r>
        <w:rPr>
          <w:spacing w:val="-4"/>
        </w:rPr>
        <w:t xml:space="preserve"> </w:t>
      </w:r>
      <w:r>
        <w:t>IG</w:t>
      </w:r>
      <w:r>
        <w:rPr>
          <w:spacing w:val="-5"/>
        </w:rPr>
        <w:t xml:space="preserve"> </w:t>
      </w:r>
      <w:r>
        <w:t>Oversight</w:t>
      </w:r>
      <w:r>
        <w:rPr>
          <w:spacing w:val="-5"/>
        </w:rPr>
        <w:t xml:space="preserve"> </w:t>
      </w:r>
      <w:r>
        <w:t>of</w:t>
      </w:r>
      <w:r>
        <w:rPr>
          <w:spacing w:val="-5"/>
        </w:rPr>
        <w:t xml:space="preserve"> </w:t>
      </w:r>
      <w:r>
        <w:t>Financial</w:t>
      </w:r>
      <w:r>
        <w:rPr>
          <w:spacing w:val="-6"/>
        </w:rPr>
        <w:t xml:space="preserve"> </w:t>
      </w:r>
      <w:r>
        <w:t>Statement</w:t>
      </w:r>
      <w:r>
        <w:rPr>
          <w:spacing w:val="-16"/>
        </w:rPr>
        <w:t xml:space="preserve"> </w:t>
      </w:r>
      <w:r>
        <w:t>Audits</w:t>
      </w:r>
      <w:r>
        <w:rPr>
          <w:spacing w:val="-4"/>
        </w:rPr>
        <w:t xml:space="preserve"> </w:t>
      </w:r>
      <w:r>
        <w:t>Performed</w:t>
      </w:r>
      <w:r>
        <w:rPr>
          <w:u w:val="none"/>
        </w:rPr>
        <w:t xml:space="preserve"> </w:t>
      </w:r>
      <w:r>
        <w:t>by Independent Public Accounting (IPA) Firms</w:t>
      </w:r>
    </w:p>
    <w:p w14:paraId="0DFDB062" w14:textId="77777777" w:rsidR="00046465" w:rsidRDefault="008134EB">
      <w:pPr>
        <w:pStyle w:val="ListParagraph"/>
        <w:numPr>
          <w:ilvl w:val="0"/>
          <w:numId w:val="13"/>
        </w:numPr>
        <w:tabs>
          <w:tab w:val="left" w:pos="1799"/>
        </w:tabs>
        <w:spacing w:before="241"/>
        <w:ind w:right="728" w:hanging="720"/>
      </w:pPr>
      <w:r>
        <w:t>Except in cases where the Comptroller General performs the audit of a federal entity’s financial statements,</w:t>
      </w:r>
      <w:hyperlink w:anchor="_bookmark26" w:history="1">
        <w:r>
          <w:rPr>
            <w:position w:val="7"/>
            <w:sz w:val="14"/>
          </w:rPr>
          <w:t>17</w:t>
        </w:r>
      </w:hyperlink>
      <w:r>
        <w:rPr>
          <w:spacing w:val="33"/>
          <w:position w:val="7"/>
          <w:sz w:val="14"/>
        </w:rPr>
        <w:t xml:space="preserve"> </w:t>
      </w:r>
      <w:r>
        <w:t>for those entities with an IG, the IG has the responsibility to audit the entity’s financial statements or determine that the audit will be performed by an independent public accounting (IPA) firm.</w:t>
      </w:r>
      <w:hyperlink w:anchor="_bookmark27" w:history="1">
        <w:r>
          <w:rPr>
            <w:position w:val="7"/>
            <w:sz w:val="14"/>
          </w:rPr>
          <w:t>18</w:t>
        </w:r>
      </w:hyperlink>
      <w:r>
        <w:rPr>
          <w:spacing w:val="23"/>
          <w:position w:val="7"/>
          <w:sz w:val="14"/>
        </w:rPr>
        <w:t xml:space="preserve"> </w:t>
      </w:r>
      <w:r>
        <w:t>If an IPA firm performs</w:t>
      </w:r>
      <w:r>
        <w:rPr>
          <w:spacing w:val="-3"/>
        </w:rPr>
        <w:t xml:space="preserve"> </w:t>
      </w:r>
      <w:r>
        <w:t>the</w:t>
      </w:r>
      <w:r>
        <w:rPr>
          <w:spacing w:val="-3"/>
        </w:rPr>
        <w:t xml:space="preserve"> </w:t>
      </w:r>
      <w:r>
        <w:t>audit,</w:t>
      </w:r>
      <w:r>
        <w:rPr>
          <w:spacing w:val="-3"/>
        </w:rPr>
        <w:t xml:space="preserve"> </w:t>
      </w:r>
      <w:r>
        <w:t>the</w:t>
      </w:r>
      <w:r>
        <w:rPr>
          <w:spacing w:val="-3"/>
        </w:rPr>
        <w:t xml:space="preserve"> </w:t>
      </w:r>
      <w:r>
        <w:t>IG</w:t>
      </w:r>
      <w:r>
        <w:rPr>
          <w:spacing w:val="-4"/>
        </w:rPr>
        <w:t xml:space="preserve"> </w:t>
      </w:r>
      <w:r>
        <w:t>is</w:t>
      </w:r>
      <w:r>
        <w:rPr>
          <w:spacing w:val="-3"/>
        </w:rPr>
        <w:t xml:space="preserve"> </w:t>
      </w:r>
      <w:r>
        <w:t>responsible</w:t>
      </w:r>
      <w:r>
        <w:rPr>
          <w:spacing w:val="-3"/>
        </w:rPr>
        <w:t xml:space="preserve"> </w:t>
      </w:r>
      <w:r>
        <w:t>for</w:t>
      </w:r>
      <w:r>
        <w:rPr>
          <w:spacing w:val="-3"/>
        </w:rPr>
        <w:t xml:space="preserve"> </w:t>
      </w:r>
      <w:r>
        <w:t>overseeing</w:t>
      </w:r>
      <w:r>
        <w:rPr>
          <w:spacing w:val="-3"/>
        </w:rPr>
        <w:t xml:space="preserve"> </w:t>
      </w:r>
      <w:r>
        <w:t>and</w:t>
      </w:r>
      <w:r>
        <w:rPr>
          <w:spacing w:val="-4"/>
        </w:rPr>
        <w:t xml:space="preserve"> </w:t>
      </w:r>
      <w:r>
        <w:t>monitoring</w:t>
      </w:r>
      <w:r>
        <w:rPr>
          <w:spacing w:val="-3"/>
        </w:rPr>
        <w:t xml:space="preserve"> </w:t>
      </w:r>
      <w:r>
        <w:t>the</w:t>
      </w:r>
      <w:r>
        <w:rPr>
          <w:spacing w:val="-3"/>
        </w:rPr>
        <w:t xml:space="preserve"> </w:t>
      </w:r>
      <w:r>
        <w:t>firm</w:t>
      </w:r>
      <w:r>
        <w:rPr>
          <w:spacing w:val="-4"/>
        </w:rPr>
        <w:t xml:space="preserve"> </w:t>
      </w:r>
      <w:r>
        <w:t>to ensure compliance with generally accepted government auditing standards established by the Comptroller General of the United States (GAGAS). In addition, the IG generally should communicate written results of its oversight and monitoring to management or those charged with governance. Note that the IG’s oversight is not part of the financial statement audit and does not constitute an audit performed under GAGAS.</w:t>
      </w:r>
    </w:p>
    <w:p w14:paraId="0DFDB063" w14:textId="77777777" w:rsidR="00046465" w:rsidRDefault="008134EB">
      <w:pPr>
        <w:pStyle w:val="ListParagraph"/>
        <w:numPr>
          <w:ilvl w:val="0"/>
          <w:numId w:val="13"/>
        </w:numPr>
        <w:tabs>
          <w:tab w:val="left" w:pos="1800"/>
        </w:tabs>
        <w:ind w:left="1800" w:right="1312"/>
      </w:pPr>
      <w:r>
        <w:t>This</w:t>
      </w:r>
      <w:r>
        <w:rPr>
          <w:spacing w:val="-4"/>
        </w:rPr>
        <w:t xml:space="preserve"> </w:t>
      </w:r>
      <w:r>
        <w:t>section</w:t>
      </w:r>
      <w:r>
        <w:rPr>
          <w:spacing w:val="-5"/>
        </w:rPr>
        <w:t xml:space="preserve"> </w:t>
      </w:r>
      <w:r>
        <w:t>provides</w:t>
      </w:r>
      <w:r>
        <w:rPr>
          <w:spacing w:val="-4"/>
        </w:rPr>
        <w:t xml:space="preserve"> </w:t>
      </w:r>
      <w:r>
        <w:t>guidance</w:t>
      </w:r>
      <w:r>
        <w:rPr>
          <w:spacing w:val="-4"/>
        </w:rPr>
        <w:t xml:space="preserve"> </w:t>
      </w:r>
      <w:r>
        <w:t>to</w:t>
      </w:r>
      <w:r>
        <w:rPr>
          <w:spacing w:val="-4"/>
        </w:rPr>
        <w:t xml:space="preserve"> </w:t>
      </w:r>
      <w:r>
        <w:t>IGs</w:t>
      </w:r>
      <w:r>
        <w:rPr>
          <w:spacing w:val="-3"/>
        </w:rPr>
        <w:t xml:space="preserve"> </w:t>
      </w:r>
      <w:r>
        <w:t>for</w:t>
      </w:r>
      <w:r>
        <w:rPr>
          <w:spacing w:val="-4"/>
        </w:rPr>
        <w:t xml:space="preserve"> </w:t>
      </w:r>
      <w:r>
        <w:t>overseeing</w:t>
      </w:r>
      <w:r>
        <w:rPr>
          <w:spacing w:val="-4"/>
        </w:rPr>
        <w:t xml:space="preserve"> </w:t>
      </w:r>
      <w:r>
        <w:t>IPA</w:t>
      </w:r>
      <w:r>
        <w:rPr>
          <w:spacing w:val="-4"/>
        </w:rPr>
        <w:t xml:space="preserve"> </w:t>
      </w:r>
      <w:r>
        <w:t>firms</w:t>
      </w:r>
      <w:r>
        <w:rPr>
          <w:spacing w:val="-4"/>
        </w:rPr>
        <w:t xml:space="preserve"> </w:t>
      </w:r>
      <w:r>
        <w:t>that</w:t>
      </w:r>
      <w:r>
        <w:rPr>
          <w:spacing w:val="-4"/>
        </w:rPr>
        <w:t xml:space="preserve"> </w:t>
      </w:r>
      <w:r>
        <w:t>perform financial statement audits in their entirety to ensure that they comply with GAGAS. This guidance assists IGs in fulfilling</w:t>
      </w:r>
    </w:p>
    <w:p w14:paraId="0DFDB064" w14:textId="77777777" w:rsidR="00046465" w:rsidRDefault="008134EB">
      <w:pPr>
        <w:pStyle w:val="ListParagraph"/>
        <w:numPr>
          <w:ilvl w:val="1"/>
          <w:numId w:val="13"/>
        </w:numPr>
        <w:tabs>
          <w:tab w:val="left" w:pos="2160"/>
        </w:tabs>
        <w:spacing w:before="119"/>
        <w:ind w:right="725"/>
      </w:pPr>
      <w:r>
        <w:t>the requirement that financial statement audits for federal executive agencies and</w:t>
      </w:r>
      <w:r>
        <w:rPr>
          <w:spacing w:val="-3"/>
        </w:rPr>
        <w:t xml:space="preserve"> </w:t>
      </w:r>
      <w:r>
        <w:t>government</w:t>
      </w:r>
      <w:r>
        <w:rPr>
          <w:spacing w:val="-3"/>
        </w:rPr>
        <w:t xml:space="preserve"> </w:t>
      </w:r>
      <w:r>
        <w:t>corporations</w:t>
      </w:r>
      <w:r>
        <w:rPr>
          <w:spacing w:val="-2"/>
        </w:rPr>
        <w:t xml:space="preserve"> </w:t>
      </w:r>
      <w:r>
        <w:t>be</w:t>
      </w:r>
      <w:r>
        <w:rPr>
          <w:spacing w:val="-3"/>
        </w:rPr>
        <w:t xml:space="preserve"> </w:t>
      </w:r>
      <w:r>
        <w:t>performed</w:t>
      </w:r>
      <w:r>
        <w:rPr>
          <w:spacing w:val="-3"/>
        </w:rPr>
        <w:t xml:space="preserve"> </w:t>
      </w:r>
      <w:r>
        <w:t>in</w:t>
      </w:r>
      <w:r>
        <w:rPr>
          <w:spacing w:val="-3"/>
        </w:rPr>
        <w:t xml:space="preserve"> </w:t>
      </w:r>
      <w:r>
        <w:t>accordance</w:t>
      </w:r>
      <w:r>
        <w:rPr>
          <w:spacing w:val="-4"/>
        </w:rPr>
        <w:t xml:space="preserve"> </w:t>
      </w:r>
      <w:r>
        <w:t>with</w:t>
      </w:r>
      <w:r>
        <w:rPr>
          <w:spacing w:val="-3"/>
        </w:rPr>
        <w:t xml:space="preserve"> </w:t>
      </w:r>
      <w:r>
        <w:t>GAGAS</w:t>
      </w:r>
      <w:hyperlink w:anchor="_bookmark28" w:history="1">
        <w:r>
          <w:rPr>
            <w:position w:val="7"/>
            <w:sz w:val="14"/>
          </w:rPr>
          <w:t>19</w:t>
        </w:r>
      </w:hyperlink>
      <w:r>
        <w:rPr>
          <w:spacing w:val="18"/>
          <w:position w:val="7"/>
          <w:sz w:val="14"/>
        </w:rPr>
        <w:t xml:space="preserve"> </w:t>
      </w:r>
      <w:r>
        <w:t>and</w:t>
      </w:r>
    </w:p>
    <w:p w14:paraId="0DFDB065" w14:textId="77777777" w:rsidR="00046465" w:rsidRDefault="008134EB">
      <w:pPr>
        <w:pStyle w:val="ListParagraph"/>
        <w:numPr>
          <w:ilvl w:val="1"/>
          <w:numId w:val="13"/>
        </w:numPr>
        <w:tabs>
          <w:tab w:val="left" w:pos="2160"/>
        </w:tabs>
        <w:ind w:right="1148"/>
        <w:rPr>
          <w:position w:val="7"/>
          <w:sz w:val="14"/>
        </w:rPr>
      </w:pPr>
      <w:r>
        <w:t>the requirement of the Inspector General Act of 1978, as amended and restated (now codified in 5 U.S.C. chapter 4), (IG Act) that the IG take appropriate steps to ensure that any work nonfederal auditors perform complies</w:t>
      </w:r>
      <w:r>
        <w:rPr>
          <w:spacing w:val="-5"/>
        </w:rPr>
        <w:t xml:space="preserve"> </w:t>
      </w:r>
      <w:r>
        <w:t>with</w:t>
      </w:r>
      <w:r>
        <w:rPr>
          <w:spacing w:val="-5"/>
        </w:rPr>
        <w:t xml:space="preserve"> </w:t>
      </w:r>
      <w:r>
        <w:t>GAGAS</w:t>
      </w:r>
      <w:r>
        <w:rPr>
          <w:spacing w:val="-5"/>
        </w:rPr>
        <w:t xml:space="preserve"> </w:t>
      </w:r>
      <w:r>
        <w:t>for</w:t>
      </w:r>
      <w:r>
        <w:rPr>
          <w:spacing w:val="-5"/>
        </w:rPr>
        <w:t xml:space="preserve"> </w:t>
      </w:r>
      <w:r>
        <w:t>audits</w:t>
      </w:r>
      <w:r>
        <w:rPr>
          <w:spacing w:val="-5"/>
        </w:rPr>
        <w:t xml:space="preserve"> </w:t>
      </w:r>
      <w:r>
        <w:t>of</w:t>
      </w:r>
      <w:r>
        <w:rPr>
          <w:spacing w:val="-5"/>
        </w:rPr>
        <w:t xml:space="preserve"> </w:t>
      </w:r>
      <w:r>
        <w:t>federal</w:t>
      </w:r>
      <w:r>
        <w:rPr>
          <w:spacing w:val="-5"/>
        </w:rPr>
        <w:t xml:space="preserve"> </w:t>
      </w:r>
      <w:r>
        <w:t>establishments,</w:t>
      </w:r>
      <w:r>
        <w:rPr>
          <w:spacing w:val="-5"/>
        </w:rPr>
        <w:t xml:space="preserve"> </w:t>
      </w:r>
      <w:r>
        <w:t>organizations, programs, activities, and functions.</w:t>
      </w:r>
      <w:hyperlink w:anchor="_bookmark29" w:history="1">
        <w:r>
          <w:rPr>
            <w:position w:val="7"/>
            <w:sz w:val="14"/>
          </w:rPr>
          <w:t>20</w:t>
        </w:r>
      </w:hyperlink>
    </w:p>
    <w:p w14:paraId="0DFDB066" w14:textId="77777777" w:rsidR="00046465" w:rsidRDefault="008134EB">
      <w:pPr>
        <w:pStyle w:val="BodyText"/>
        <w:spacing w:before="120"/>
        <w:ind w:left="1800" w:right="749"/>
      </w:pPr>
      <w:r>
        <w:t>The</w:t>
      </w:r>
      <w:r>
        <w:rPr>
          <w:spacing w:val="-2"/>
        </w:rPr>
        <w:t xml:space="preserve"> </w:t>
      </w:r>
      <w:r>
        <w:t>guidance</w:t>
      </w:r>
      <w:r>
        <w:rPr>
          <w:spacing w:val="-2"/>
        </w:rPr>
        <w:t xml:space="preserve"> </w:t>
      </w:r>
      <w:r>
        <w:t>in</w:t>
      </w:r>
      <w:r>
        <w:rPr>
          <w:spacing w:val="-2"/>
        </w:rPr>
        <w:t xml:space="preserve"> </w:t>
      </w:r>
      <w:r>
        <w:t>this</w:t>
      </w:r>
      <w:r>
        <w:rPr>
          <w:spacing w:val="-3"/>
        </w:rPr>
        <w:t xml:space="preserve"> </w:t>
      </w:r>
      <w:r>
        <w:t>section</w:t>
      </w:r>
      <w:r>
        <w:rPr>
          <w:spacing w:val="-2"/>
        </w:rPr>
        <w:t xml:space="preserve"> </w:t>
      </w:r>
      <w:r>
        <w:t>is</w:t>
      </w:r>
      <w:r>
        <w:rPr>
          <w:spacing w:val="-2"/>
        </w:rPr>
        <w:t xml:space="preserve"> </w:t>
      </w:r>
      <w:r>
        <w:rPr>
          <w:u w:val="single"/>
        </w:rPr>
        <w:t>not</w:t>
      </w:r>
      <w:r>
        <w:rPr>
          <w:spacing w:val="-2"/>
        </w:rPr>
        <w:t xml:space="preserve"> </w:t>
      </w:r>
      <w:r>
        <w:t>to</w:t>
      </w:r>
      <w:r>
        <w:rPr>
          <w:spacing w:val="-3"/>
        </w:rPr>
        <w:t xml:space="preserve"> </w:t>
      </w:r>
      <w:r>
        <w:t>be</w:t>
      </w:r>
      <w:r>
        <w:rPr>
          <w:spacing w:val="-2"/>
        </w:rPr>
        <w:t xml:space="preserve"> </w:t>
      </w:r>
      <w:r>
        <w:t>used</w:t>
      </w:r>
      <w:r>
        <w:rPr>
          <w:spacing w:val="-2"/>
        </w:rPr>
        <w:t xml:space="preserve"> </w:t>
      </w:r>
      <w:r>
        <w:t>by</w:t>
      </w:r>
      <w:r>
        <w:rPr>
          <w:spacing w:val="-3"/>
        </w:rPr>
        <w:t xml:space="preserve"> </w:t>
      </w:r>
      <w:r>
        <w:t>a</w:t>
      </w:r>
      <w:r>
        <w:rPr>
          <w:spacing w:val="-2"/>
        </w:rPr>
        <w:t xml:space="preserve"> </w:t>
      </w:r>
      <w:r>
        <w:t>group</w:t>
      </w:r>
      <w:r>
        <w:rPr>
          <w:spacing w:val="-2"/>
        </w:rPr>
        <w:t xml:space="preserve"> </w:t>
      </w:r>
      <w:r>
        <w:t>engagement</w:t>
      </w:r>
      <w:r>
        <w:rPr>
          <w:spacing w:val="-2"/>
        </w:rPr>
        <w:t xml:space="preserve"> </w:t>
      </w:r>
      <w:r>
        <w:t>team</w:t>
      </w:r>
      <w:r>
        <w:rPr>
          <w:spacing w:val="-3"/>
        </w:rPr>
        <w:t xml:space="preserve"> </w:t>
      </w:r>
      <w:r>
        <w:t>in</w:t>
      </w:r>
      <w:r>
        <w:rPr>
          <w:spacing w:val="-2"/>
        </w:rPr>
        <w:t xml:space="preserve"> </w:t>
      </w:r>
      <w:r>
        <w:t>its assessment of the work of a component auditor or specialist (FAM 630), management’s</w:t>
      </w:r>
      <w:r>
        <w:rPr>
          <w:spacing w:val="-3"/>
        </w:rPr>
        <w:t xml:space="preserve"> </w:t>
      </w:r>
      <w:r>
        <w:t>specialists</w:t>
      </w:r>
      <w:r>
        <w:rPr>
          <w:spacing w:val="-4"/>
        </w:rPr>
        <w:t xml:space="preserve"> </w:t>
      </w:r>
      <w:r>
        <w:t>(FAM</w:t>
      </w:r>
      <w:r>
        <w:rPr>
          <w:spacing w:val="-5"/>
        </w:rPr>
        <w:t xml:space="preserve"> </w:t>
      </w:r>
      <w:r>
        <w:t>625),</w:t>
      </w:r>
      <w:r>
        <w:rPr>
          <w:spacing w:val="-4"/>
        </w:rPr>
        <w:t xml:space="preserve"> </w:t>
      </w:r>
      <w:r>
        <w:t>a</w:t>
      </w:r>
      <w:r>
        <w:rPr>
          <w:spacing w:val="-4"/>
        </w:rPr>
        <w:t xml:space="preserve"> </w:t>
      </w:r>
      <w:r>
        <w:t>service</w:t>
      </w:r>
      <w:r>
        <w:rPr>
          <w:spacing w:val="-4"/>
        </w:rPr>
        <w:t xml:space="preserve"> </w:t>
      </w:r>
      <w:r>
        <w:t>auditor</w:t>
      </w:r>
      <w:r>
        <w:rPr>
          <w:spacing w:val="-4"/>
        </w:rPr>
        <w:t xml:space="preserve"> </w:t>
      </w:r>
      <w:r>
        <w:t>(FAM</w:t>
      </w:r>
      <w:r>
        <w:rPr>
          <w:spacing w:val="-5"/>
        </w:rPr>
        <w:t xml:space="preserve"> </w:t>
      </w:r>
      <w:r>
        <w:t>640),</w:t>
      </w:r>
      <w:r>
        <w:rPr>
          <w:spacing w:val="-4"/>
        </w:rPr>
        <w:t xml:space="preserve"> </w:t>
      </w:r>
      <w:r>
        <w:t>or</w:t>
      </w:r>
      <w:r>
        <w:rPr>
          <w:spacing w:val="-4"/>
        </w:rPr>
        <w:t xml:space="preserve"> </w:t>
      </w:r>
      <w:r>
        <w:t>an</w:t>
      </w:r>
      <w:r>
        <w:rPr>
          <w:spacing w:val="-4"/>
        </w:rPr>
        <w:t xml:space="preserve"> </w:t>
      </w:r>
      <w:r>
        <w:t>internal auditor (FAM 645).</w:t>
      </w:r>
    </w:p>
    <w:p w14:paraId="0DFDB067" w14:textId="77777777" w:rsidR="00046465" w:rsidRDefault="008134EB">
      <w:pPr>
        <w:pStyle w:val="ListParagraph"/>
        <w:numPr>
          <w:ilvl w:val="0"/>
          <w:numId w:val="13"/>
        </w:numPr>
        <w:tabs>
          <w:tab w:val="left" w:pos="1800"/>
        </w:tabs>
        <w:ind w:left="1800" w:right="1302"/>
      </w:pPr>
      <w:r>
        <w:t>IGs</w:t>
      </w:r>
      <w:r>
        <w:rPr>
          <w:spacing w:val="-5"/>
        </w:rPr>
        <w:t xml:space="preserve"> </w:t>
      </w:r>
      <w:r>
        <w:t>should</w:t>
      </w:r>
      <w:r>
        <w:rPr>
          <w:spacing w:val="-6"/>
        </w:rPr>
        <w:t xml:space="preserve"> </w:t>
      </w:r>
      <w:r>
        <w:t>develop</w:t>
      </w:r>
      <w:r>
        <w:rPr>
          <w:spacing w:val="-5"/>
        </w:rPr>
        <w:t xml:space="preserve"> </w:t>
      </w:r>
      <w:r>
        <w:t>comprehensive</w:t>
      </w:r>
      <w:r>
        <w:rPr>
          <w:spacing w:val="-5"/>
        </w:rPr>
        <w:t xml:space="preserve"> </w:t>
      </w:r>
      <w:r>
        <w:t>policies</w:t>
      </w:r>
      <w:r>
        <w:rPr>
          <w:spacing w:val="-5"/>
        </w:rPr>
        <w:t xml:space="preserve"> </w:t>
      </w:r>
      <w:r>
        <w:t>and</w:t>
      </w:r>
      <w:r>
        <w:rPr>
          <w:spacing w:val="-5"/>
        </w:rPr>
        <w:t xml:space="preserve"> </w:t>
      </w:r>
      <w:r>
        <w:t>procedures</w:t>
      </w:r>
      <w:r>
        <w:rPr>
          <w:spacing w:val="-5"/>
        </w:rPr>
        <w:t xml:space="preserve"> </w:t>
      </w:r>
      <w:r>
        <w:t>in</w:t>
      </w:r>
      <w:r>
        <w:rPr>
          <w:spacing w:val="-5"/>
        </w:rPr>
        <w:t xml:space="preserve"> </w:t>
      </w:r>
      <w:r>
        <w:t>the</w:t>
      </w:r>
      <w:r>
        <w:rPr>
          <w:spacing w:val="-5"/>
        </w:rPr>
        <w:t xml:space="preserve"> </w:t>
      </w:r>
      <w:r>
        <w:t>following areas, as applicable, when overseeing the work of IPA firms:</w:t>
      </w:r>
    </w:p>
    <w:p w14:paraId="0DFDB068" w14:textId="77777777" w:rsidR="00046465" w:rsidRDefault="008134EB">
      <w:pPr>
        <w:pStyle w:val="ListParagraph"/>
        <w:numPr>
          <w:ilvl w:val="1"/>
          <w:numId w:val="13"/>
        </w:numPr>
        <w:tabs>
          <w:tab w:val="left" w:pos="2159"/>
        </w:tabs>
        <w:ind w:left="2159" w:hanging="359"/>
      </w:pPr>
      <w:r>
        <w:t>obtaining</w:t>
      </w:r>
      <w:r>
        <w:rPr>
          <w:spacing w:val="-6"/>
        </w:rPr>
        <w:t xml:space="preserve"> </w:t>
      </w:r>
      <w:r>
        <w:t>and</w:t>
      </w:r>
      <w:r>
        <w:rPr>
          <w:spacing w:val="-6"/>
        </w:rPr>
        <w:t xml:space="preserve"> </w:t>
      </w:r>
      <w:r>
        <w:t>monitoring</w:t>
      </w:r>
      <w:r>
        <w:rPr>
          <w:spacing w:val="-6"/>
        </w:rPr>
        <w:t xml:space="preserve"> </w:t>
      </w:r>
      <w:r>
        <w:t>the</w:t>
      </w:r>
      <w:r>
        <w:rPr>
          <w:spacing w:val="-6"/>
        </w:rPr>
        <w:t xml:space="preserve"> </w:t>
      </w:r>
      <w:r>
        <w:t>services</w:t>
      </w:r>
      <w:r>
        <w:rPr>
          <w:spacing w:val="-5"/>
        </w:rPr>
        <w:t xml:space="preserve"> </w:t>
      </w:r>
      <w:r>
        <w:t>of</w:t>
      </w:r>
      <w:r>
        <w:rPr>
          <w:spacing w:val="-6"/>
        </w:rPr>
        <w:t xml:space="preserve"> </w:t>
      </w:r>
      <w:r>
        <w:t>the</w:t>
      </w:r>
      <w:r>
        <w:rPr>
          <w:spacing w:val="-5"/>
        </w:rPr>
        <w:t xml:space="preserve"> </w:t>
      </w:r>
      <w:r>
        <w:t>IPA</w:t>
      </w:r>
      <w:r>
        <w:rPr>
          <w:spacing w:val="-6"/>
        </w:rPr>
        <w:t xml:space="preserve"> </w:t>
      </w:r>
      <w:r>
        <w:rPr>
          <w:spacing w:val="-2"/>
        </w:rPr>
        <w:t>firm;</w:t>
      </w:r>
    </w:p>
    <w:p w14:paraId="0DFDB069" w14:textId="77777777" w:rsidR="00046465" w:rsidRDefault="008134EB">
      <w:pPr>
        <w:pStyle w:val="ListParagraph"/>
        <w:numPr>
          <w:ilvl w:val="1"/>
          <w:numId w:val="13"/>
        </w:numPr>
        <w:tabs>
          <w:tab w:val="left" w:pos="2159"/>
        </w:tabs>
        <w:spacing w:before="121"/>
        <w:ind w:left="2159" w:hanging="359"/>
      </w:pPr>
      <w:r>
        <w:t>determining</w:t>
      </w:r>
      <w:r>
        <w:rPr>
          <w:spacing w:val="-6"/>
        </w:rPr>
        <w:t xml:space="preserve"> </w:t>
      </w:r>
      <w:r>
        <w:t>the</w:t>
      </w:r>
      <w:r>
        <w:rPr>
          <w:spacing w:val="-6"/>
        </w:rPr>
        <w:t xml:space="preserve"> </w:t>
      </w:r>
      <w:r>
        <w:t>appropriate</w:t>
      </w:r>
      <w:r>
        <w:rPr>
          <w:spacing w:val="-6"/>
        </w:rPr>
        <w:t xml:space="preserve"> </w:t>
      </w:r>
      <w:r>
        <w:t>level</w:t>
      </w:r>
      <w:r>
        <w:rPr>
          <w:spacing w:val="-6"/>
        </w:rPr>
        <w:t xml:space="preserve"> </w:t>
      </w:r>
      <w:r>
        <w:t>of</w:t>
      </w:r>
      <w:r>
        <w:rPr>
          <w:spacing w:val="-7"/>
        </w:rPr>
        <w:t xml:space="preserve"> </w:t>
      </w:r>
      <w:r>
        <w:t>oversight</w:t>
      </w:r>
      <w:r>
        <w:rPr>
          <w:spacing w:val="-5"/>
        </w:rPr>
        <w:t xml:space="preserve"> </w:t>
      </w:r>
      <w:r>
        <w:t>of</w:t>
      </w:r>
      <w:r>
        <w:rPr>
          <w:spacing w:val="-7"/>
        </w:rPr>
        <w:t xml:space="preserve"> </w:t>
      </w:r>
      <w:r>
        <w:t>the</w:t>
      </w:r>
      <w:r>
        <w:rPr>
          <w:spacing w:val="-6"/>
        </w:rPr>
        <w:t xml:space="preserve"> </w:t>
      </w:r>
      <w:r>
        <w:t>IPA</w:t>
      </w:r>
      <w:r>
        <w:rPr>
          <w:spacing w:val="-6"/>
        </w:rPr>
        <w:t xml:space="preserve"> </w:t>
      </w:r>
      <w:r>
        <w:rPr>
          <w:spacing w:val="-2"/>
        </w:rPr>
        <w:t>firm;</w:t>
      </w:r>
    </w:p>
    <w:p w14:paraId="0DFDB06A" w14:textId="77777777" w:rsidR="00046465" w:rsidRDefault="008134EB">
      <w:pPr>
        <w:pStyle w:val="BodyText"/>
        <w:spacing w:before="73"/>
        <w:rPr>
          <w:sz w:val="20"/>
        </w:rPr>
      </w:pPr>
      <w:r>
        <w:rPr>
          <w:noProof/>
          <w:sz w:val="20"/>
        </w:rPr>
        <mc:AlternateContent>
          <mc:Choice Requires="wps">
            <w:drawing>
              <wp:anchor distT="0" distB="0" distL="0" distR="0" simplePos="0" relativeHeight="487611392" behindDoc="1" locked="0" layoutInCell="1" allowOverlap="1" wp14:anchorId="0DFDD56F" wp14:editId="0DFDD570">
                <wp:simplePos x="0" y="0"/>
                <wp:positionH relativeFrom="page">
                  <wp:posOffset>914400</wp:posOffset>
                </wp:positionH>
                <wp:positionV relativeFrom="paragraph">
                  <wp:posOffset>208207</wp:posOffset>
                </wp:positionV>
                <wp:extent cx="1828800" cy="5715"/>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9E4AF2" id="Graphic 243" o:spid="_x0000_s1026" style="position:absolute;margin-left:1in;margin-top:16.4pt;width:2in;height:.45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" path="m1828800,l,,,5333r1828800,l1828800,xe" fillcolor="black" stroked="f">
                <v:path arrowok="t"/>
                <w10:wrap type="topAndBottom" anchorx="page"/>
              </v:shape>
            </w:pict>
          </mc:Fallback>
        </mc:AlternateContent>
      </w:r>
    </w:p>
    <w:p w14:paraId="0DFDB06B" w14:textId="77777777" w:rsidR="00046465" w:rsidRDefault="008134EB">
      <w:pPr>
        <w:spacing w:before="202" w:line="244" w:lineRule="auto"/>
        <w:ind w:left="359" w:right="844"/>
        <w:rPr>
          <w:sz w:val="18"/>
        </w:rPr>
      </w:pPr>
      <w:bookmarkStart w:id="95" w:name="_bookmark26"/>
      <w:bookmarkEnd w:id="95"/>
      <w:r>
        <w:rPr>
          <w:position w:val="7"/>
          <w:sz w:val="14"/>
        </w:rPr>
        <w:t>17</w:t>
      </w:r>
      <w:r>
        <w:rPr>
          <w:sz w:val="18"/>
        </w:rPr>
        <w:t>The Comptroller General may perform an executive agency’s or a government corporation’s financial statement audit</w:t>
      </w:r>
      <w:r>
        <w:rPr>
          <w:spacing w:val="-2"/>
          <w:sz w:val="18"/>
        </w:rPr>
        <w:t xml:space="preserve"> </w:t>
      </w:r>
      <w:r>
        <w:rPr>
          <w:sz w:val="18"/>
        </w:rPr>
        <w:t>at</w:t>
      </w:r>
      <w:r>
        <w:rPr>
          <w:spacing w:val="-2"/>
          <w:sz w:val="18"/>
        </w:rPr>
        <w:t xml:space="preserve"> </w:t>
      </w:r>
      <w:r>
        <w:rPr>
          <w:sz w:val="18"/>
        </w:rPr>
        <w:t>his</w:t>
      </w:r>
      <w:r>
        <w:rPr>
          <w:spacing w:val="-2"/>
          <w:sz w:val="18"/>
        </w:rPr>
        <w:t xml:space="preserve"> </w:t>
      </w:r>
      <w:r>
        <w:rPr>
          <w:sz w:val="18"/>
        </w:rPr>
        <w:t>or</w:t>
      </w:r>
      <w:r>
        <w:rPr>
          <w:spacing w:val="-2"/>
          <w:sz w:val="18"/>
        </w:rPr>
        <w:t xml:space="preserve"> </w:t>
      </w:r>
      <w:r>
        <w:rPr>
          <w:sz w:val="18"/>
        </w:rPr>
        <w:t>her</w:t>
      </w:r>
      <w:r>
        <w:rPr>
          <w:spacing w:val="-2"/>
          <w:sz w:val="18"/>
        </w:rPr>
        <w:t xml:space="preserve"> </w:t>
      </w:r>
      <w:r>
        <w:rPr>
          <w:sz w:val="18"/>
        </w:rPr>
        <w:t>discretion</w:t>
      </w:r>
      <w:r>
        <w:rPr>
          <w:spacing w:val="-1"/>
          <w:sz w:val="18"/>
        </w:rPr>
        <w:t xml:space="preserve"> </w:t>
      </w:r>
      <w:r>
        <w:rPr>
          <w:sz w:val="18"/>
        </w:rPr>
        <w:t>or</w:t>
      </w:r>
      <w:r>
        <w:rPr>
          <w:spacing w:val="-2"/>
          <w:sz w:val="18"/>
        </w:rPr>
        <w:t xml:space="preserve"> </w:t>
      </w:r>
      <w:r>
        <w:rPr>
          <w:sz w:val="18"/>
        </w:rPr>
        <w:t>at</w:t>
      </w:r>
      <w:r>
        <w:rPr>
          <w:spacing w:val="-2"/>
          <w:sz w:val="18"/>
        </w:rPr>
        <w:t xml:space="preserve"> </w:t>
      </w:r>
      <w:r>
        <w:rPr>
          <w:sz w:val="18"/>
        </w:rPr>
        <w:t>the</w:t>
      </w:r>
      <w:r>
        <w:rPr>
          <w:spacing w:val="-3"/>
          <w:sz w:val="18"/>
        </w:rPr>
        <w:t xml:space="preserve"> </w:t>
      </w:r>
      <w:r>
        <w:rPr>
          <w:sz w:val="18"/>
        </w:rPr>
        <w:t>request</w:t>
      </w:r>
      <w:r>
        <w:rPr>
          <w:spacing w:val="-2"/>
          <w:sz w:val="18"/>
        </w:rPr>
        <w:t xml:space="preserve"> </w:t>
      </w:r>
      <w:r>
        <w:rPr>
          <w:sz w:val="18"/>
        </w:rPr>
        <w:t>of</w:t>
      </w:r>
      <w:r>
        <w:rPr>
          <w:spacing w:val="-2"/>
          <w:sz w:val="18"/>
        </w:rPr>
        <w:t xml:space="preserve"> </w:t>
      </w:r>
      <w:r>
        <w:rPr>
          <w:sz w:val="18"/>
        </w:rPr>
        <w:t>a</w:t>
      </w:r>
      <w:r>
        <w:rPr>
          <w:spacing w:val="-3"/>
          <w:sz w:val="18"/>
        </w:rPr>
        <w:t xml:space="preserve"> </w:t>
      </w:r>
      <w:r>
        <w:rPr>
          <w:sz w:val="18"/>
        </w:rPr>
        <w:t>committee</w:t>
      </w:r>
      <w:r>
        <w:rPr>
          <w:spacing w:val="-3"/>
          <w:sz w:val="18"/>
        </w:rPr>
        <w:t xml:space="preserve"> </w:t>
      </w:r>
      <w:r>
        <w:rPr>
          <w:sz w:val="18"/>
        </w:rPr>
        <w:t>of</w:t>
      </w:r>
      <w:r>
        <w:rPr>
          <w:spacing w:val="-2"/>
          <w:sz w:val="18"/>
        </w:rPr>
        <w:t xml:space="preserve"> </w:t>
      </w:r>
      <w:r>
        <w:rPr>
          <w:sz w:val="18"/>
        </w:rPr>
        <w:t>Congress</w:t>
      </w:r>
      <w:r>
        <w:rPr>
          <w:spacing w:val="-1"/>
          <w:sz w:val="18"/>
        </w:rPr>
        <w:t xml:space="preserve"> </w:t>
      </w:r>
      <w:r>
        <w:rPr>
          <w:sz w:val="18"/>
        </w:rPr>
        <w:t>(31</w:t>
      </w:r>
      <w:r>
        <w:rPr>
          <w:spacing w:val="-3"/>
          <w:sz w:val="18"/>
        </w:rPr>
        <w:t xml:space="preserve"> </w:t>
      </w:r>
      <w:r>
        <w:rPr>
          <w:sz w:val="18"/>
        </w:rPr>
        <w:t>U.S.C.</w:t>
      </w:r>
      <w:r>
        <w:rPr>
          <w:spacing w:val="-2"/>
          <w:sz w:val="18"/>
        </w:rPr>
        <w:t xml:space="preserve"> </w:t>
      </w:r>
      <w:r>
        <w:rPr>
          <w:sz w:val="18"/>
        </w:rPr>
        <w:t>§§</w:t>
      </w:r>
      <w:r>
        <w:rPr>
          <w:spacing w:val="-3"/>
          <w:sz w:val="18"/>
        </w:rPr>
        <w:t xml:space="preserve"> </w:t>
      </w:r>
      <w:r>
        <w:rPr>
          <w:sz w:val="18"/>
        </w:rPr>
        <w:t>3521(g)(3),</w:t>
      </w:r>
      <w:r>
        <w:rPr>
          <w:spacing w:val="-2"/>
          <w:sz w:val="18"/>
        </w:rPr>
        <w:t xml:space="preserve"> </w:t>
      </w:r>
      <w:r>
        <w:rPr>
          <w:sz w:val="18"/>
        </w:rPr>
        <w:t>9105(a)(4)(C)), or as otherwise required by law.</w:t>
      </w:r>
    </w:p>
    <w:p w14:paraId="0DFDB06C" w14:textId="77777777" w:rsidR="00046465" w:rsidRDefault="008134EB">
      <w:pPr>
        <w:spacing w:before="120" w:line="249" w:lineRule="auto"/>
        <w:ind w:left="359" w:right="749"/>
        <w:rPr>
          <w:sz w:val="18"/>
        </w:rPr>
      </w:pPr>
      <w:bookmarkStart w:id="96" w:name="_bookmark27"/>
      <w:bookmarkEnd w:id="96"/>
      <w:r>
        <w:rPr>
          <w:position w:val="7"/>
          <w:sz w:val="14"/>
        </w:rPr>
        <w:t>18</w:t>
      </w:r>
      <w:r>
        <w:rPr>
          <w:sz w:val="18"/>
        </w:rPr>
        <w:t>In</w:t>
      </w:r>
      <w:r>
        <w:rPr>
          <w:spacing w:val="-3"/>
          <w:sz w:val="18"/>
        </w:rPr>
        <w:t xml:space="preserve"> </w:t>
      </w:r>
      <w:r>
        <w:rPr>
          <w:sz w:val="18"/>
        </w:rPr>
        <w:t>this</w:t>
      </w:r>
      <w:r>
        <w:rPr>
          <w:spacing w:val="-2"/>
          <w:sz w:val="18"/>
        </w:rPr>
        <w:t xml:space="preserve"> </w:t>
      </w:r>
      <w:r>
        <w:rPr>
          <w:sz w:val="18"/>
        </w:rPr>
        <w:t>section,</w:t>
      </w:r>
      <w:r>
        <w:rPr>
          <w:spacing w:val="-2"/>
          <w:sz w:val="18"/>
        </w:rPr>
        <w:t xml:space="preserve"> </w:t>
      </w:r>
      <w:r>
        <w:rPr>
          <w:sz w:val="18"/>
        </w:rPr>
        <w:t>use</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terms</w:t>
      </w:r>
      <w:r>
        <w:rPr>
          <w:spacing w:val="-2"/>
          <w:sz w:val="18"/>
        </w:rPr>
        <w:t xml:space="preserve"> </w:t>
      </w:r>
      <w:r>
        <w:rPr>
          <w:sz w:val="18"/>
        </w:rPr>
        <w:t>“auditor”</w:t>
      </w:r>
      <w:r>
        <w:rPr>
          <w:spacing w:val="-2"/>
          <w:sz w:val="18"/>
        </w:rPr>
        <w:t xml:space="preserve"> </w:t>
      </w:r>
      <w:r>
        <w:rPr>
          <w:sz w:val="18"/>
        </w:rPr>
        <w:t>or</w:t>
      </w:r>
      <w:r>
        <w:rPr>
          <w:spacing w:val="-2"/>
          <w:sz w:val="18"/>
        </w:rPr>
        <w:t xml:space="preserve"> </w:t>
      </w:r>
      <w:r>
        <w:rPr>
          <w:sz w:val="18"/>
        </w:rPr>
        <w:t>“IG”</w:t>
      </w:r>
      <w:r>
        <w:rPr>
          <w:spacing w:val="-2"/>
          <w:sz w:val="18"/>
        </w:rPr>
        <w:t xml:space="preserve"> </w:t>
      </w:r>
      <w:r>
        <w:rPr>
          <w:sz w:val="18"/>
        </w:rPr>
        <w:t>refers</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individual</w:t>
      </w:r>
      <w:r>
        <w:rPr>
          <w:spacing w:val="-2"/>
          <w:sz w:val="18"/>
        </w:rPr>
        <w:t xml:space="preserve"> </w:t>
      </w:r>
      <w:r>
        <w:rPr>
          <w:sz w:val="18"/>
        </w:rPr>
        <w:t>or</w:t>
      </w:r>
      <w:r>
        <w:rPr>
          <w:spacing w:val="-2"/>
          <w:sz w:val="18"/>
        </w:rPr>
        <w:t xml:space="preserve"> </w:t>
      </w:r>
      <w:r>
        <w:rPr>
          <w:sz w:val="18"/>
        </w:rPr>
        <w:t>entity</w:t>
      </w:r>
      <w:r>
        <w:rPr>
          <w:spacing w:val="-2"/>
          <w:sz w:val="18"/>
        </w:rPr>
        <w:t xml:space="preserve"> </w:t>
      </w:r>
      <w:r>
        <w:rPr>
          <w:sz w:val="18"/>
        </w:rPr>
        <w:t>overseeing</w:t>
      </w:r>
      <w:r>
        <w:rPr>
          <w:spacing w:val="-3"/>
          <w:sz w:val="18"/>
        </w:rPr>
        <w:t xml:space="preserve"> </w:t>
      </w:r>
      <w:r>
        <w:rPr>
          <w:sz w:val="18"/>
        </w:rPr>
        <w:t>an</w:t>
      </w:r>
      <w:r>
        <w:rPr>
          <w:spacing w:val="-3"/>
          <w:sz w:val="18"/>
        </w:rPr>
        <w:t xml:space="preserve"> </w:t>
      </w:r>
      <w:r>
        <w:rPr>
          <w:sz w:val="18"/>
        </w:rPr>
        <w:t>IPA</w:t>
      </w:r>
      <w:r>
        <w:rPr>
          <w:spacing w:val="-2"/>
          <w:sz w:val="18"/>
        </w:rPr>
        <w:t xml:space="preserve"> </w:t>
      </w:r>
      <w:r>
        <w:rPr>
          <w:sz w:val="18"/>
        </w:rPr>
        <w:t>firm’s</w:t>
      </w:r>
      <w:r>
        <w:rPr>
          <w:spacing w:val="-2"/>
          <w:sz w:val="18"/>
        </w:rPr>
        <w:t xml:space="preserve"> </w:t>
      </w:r>
      <w:r>
        <w:rPr>
          <w:sz w:val="18"/>
        </w:rPr>
        <w:t>work</w:t>
      </w:r>
      <w:r>
        <w:rPr>
          <w:spacing w:val="-2"/>
          <w:sz w:val="18"/>
        </w:rPr>
        <w:t xml:space="preserve"> </w:t>
      </w:r>
      <w:r>
        <w:rPr>
          <w:sz w:val="18"/>
        </w:rPr>
        <w:t>and not to a group or component auditor.</w:t>
      </w:r>
    </w:p>
    <w:p w14:paraId="0DFDB06D" w14:textId="77777777" w:rsidR="00046465" w:rsidRDefault="008134EB">
      <w:pPr>
        <w:spacing w:before="118" w:line="242" w:lineRule="auto"/>
        <w:ind w:left="360" w:right="728" w:hanging="1"/>
        <w:rPr>
          <w:sz w:val="18"/>
        </w:rPr>
      </w:pPr>
      <w:bookmarkStart w:id="97" w:name="_bookmark28"/>
      <w:bookmarkEnd w:id="97"/>
      <w:r>
        <w:rPr>
          <w:position w:val="7"/>
          <w:sz w:val="14"/>
        </w:rPr>
        <w:t>19</w:t>
      </w:r>
      <w:r>
        <w:rPr>
          <w:sz w:val="18"/>
        </w:rPr>
        <w:t>31</w:t>
      </w:r>
      <w:r>
        <w:rPr>
          <w:spacing w:val="-3"/>
          <w:sz w:val="18"/>
        </w:rPr>
        <w:t xml:space="preserve"> </w:t>
      </w:r>
      <w:r>
        <w:rPr>
          <w:sz w:val="18"/>
        </w:rPr>
        <w:t>U.S.C.</w:t>
      </w:r>
      <w:r>
        <w:rPr>
          <w:spacing w:val="-2"/>
          <w:sz w:val="18"/>
        </w:rPr>
        <w:t xml:space="preserve"> </w:t>
      </w:r>
      <w:r>
        <w:rPr>
          <w:sz w:val="18"/>
        </w:rPr>
        <w:t>§§</w:t>
      </w:r>
      <w:r>
        <w:rPr>
          <w:spacing w:val="-2"/>
          <w:sz w:val="18"/>
        </w:rPr>
        <w:t xml:space="preserve"> </w:t>
      </w:r>
      <w:r>
        <w:rPr>
          <w:sz w:val="18"/>
        </w:rPr>
        <w:t>3521(e)-(i),</w:t>
      </w:r>
      <w:r>
        <w:rPr>
          <w:spacing w:val="-2"/>
          <w:sz w:val="18"/>
        </w:rPr>
        <w:t xml:space="preserve"> </w:t>
      </w:r>
      <w:r>
        <w:rPr>
          <w:sz w:val="18"/>
        </w:rPr>
        <w:t>9105.</w:t>
      </w:r>
      <w:r>
        <w:rPr>
          <w:spacing w:val="-2"/>
          <w:sz w:val="18"/>
        </w:rPr>
        <w:t xml:space="preserve"> </w:t>
      </w:r>
      <w:r>
        <w:rPr>
          <w:sz w:val="18"/>
        </w:rPr>
        <w:t>See</w:t>
      </w:r>
      <w:r>
        <w:rPr>
          <w:spacing w:val="-3"/>
          <w:sz w:val="18"/>
        </w:rPr>
        <w:t xml:space="preserve"> </w:t>
      </w:r>
      <w:r>
        <w:rPr>
          <w:sz w:val="18"/>
        </w:rPr>
        <w:t>also</w:t>
      </w:r>
      <w:r>
        <w:rPr>
          <w:spacing w:val="-3"/>
          <w:sz w:val="18"/>
        </w:rPr>
        <w:t xml:space="preserve"> </w:t>
      </w:r>
      <w:r>
        <w:rPr>
          <w:sz w:val="18"/>
        </w:rPr>
        <w:t>implementing</w:t>
      </w:r>
      <w:r>
        <w:rPr>
          <w:spacing w:val="-3"/>
          <w:sz w:val="18"/>
        </w:rPr>
        <w:t xml:space="preserve"> </w:t>
      </w:r>
      <w:r>
        <w:rPr>
          <w:sz w:val="18"/>
        </w:rPr>
        <w:t>guidance</w:t>
      </w:r>
      <w:r>
        <w:rPr>
          <w:spacing w:val="-3"/>
          <w:sz w:val="18"/>
        </w:rPr>
        <w:t xml:space="preserve"> </w:t>
      </w:r>
      <w:r>
        <w:rPr>
          <w:sz w:val="18"/>
        </w:rPr>
        <w:t>in</w:t>
      </w:r>
      <w:r>
        <w:rPr>
          <w:spacing w:val="-3"/>
          <w:sz w:val="18"/>
        </w:rPr>
        <w:t xml:space="preserve"> </w:t>
      </w:r>
      <w:r>
        <w:rPr>
          <w:sz w:val="18"/>
        </w:rPr>
        <w:t>OMB</w:t>
      </w:r>
      <w:r>
        <w:rPr>
          <w:spacing w:val="-2"/>
          <w:sz w:val="18"/>
        </w:rPr>
        <w:t xml:space="preserve"> </w:t>
      </w:r>
      <w:r>
        <w:rPr>
          <w:sz w:val="18"/>
        </w:rPr>
        <w:t>Bulletin</w:t>
      </w:r>
      <w:r>
        <w:rPr>
          <w:spacing w:val="-3"/>
          <w:sz w:val="18"/>
        </w:rPr>
        <w:t xml:space="preserve"> </w:t>
      </w:r>
      <w:r>
        <w:rPr>
          <w:sz w:val="18"/>
        </w:rPr>
        <w:t>No.</w:t>
      </w:r>
      <w:r>
        <w:rPr>
          <w:spacing w:val="-2"/>
          <w:sz w:val="18"/>
        </w:rPr>
        <w:t xml:space="preserve"> </w:t>
      </w:r>
      <w:r>
        <w:rPr>
          <w:sz w:val="18"/>
        </w:rPr>
        <w:t>24-02,</w:t>
      </w:r>
      <w:r>
        <w:rPr>
          <w:spacing w:val="-2"/>
          <w:sz w:val="18"/>
        </w:rPr>
        <w:t xml:space="preserve"> </w:t>
      </w:r>
      <w:r>
        <w:rPr>
          <w:i/>
          <w:sz w:val="18"/>
        </w:rPr>
        <w:t>Audit</w:t>
      </w:r>
      <w:r>
        <w:rPr>
          <w:i/>
          <w:spacing w:val="-2"/>
          <w:sz w:val="18"/>
        </w:rPr>
        <w:t xml:space="preserve"> </w:t>
      </w:r>
      <w:r>
        <w:rPr>
          <w:i/>
          <w:sz w:val="18"/>
        </w:rPr>
        <w:t>Requirements</w:t>
      </w:r>
      <w:r>
        <w:rPr>
          <w:i/>
          <w:spacing w:val="-2"/>
          <w:sz w:val="18"/>
        </w:rPr>
        <w:t xml:space="preserve"> </w:t>
      </w:r>
      <w:r>
        <w:rPr>
          <w:i/>
          <w:sz w:val="18"/>
        </w:rPr>
        <w:t>for Federal Financial Statements</w:t>
      </w:r>
      <w:r>
        <w:rPr>
          <w:sz w:val="18"/>
        </w:rPr>
        <w:t xml:space="preserve">, issued on July 29, 2024, which, among other things, provides that selected components of certain federal executive agencies must also have their financial statement audits performed in accordance with GAGAS. This bulletin can be found at </w:t>
      </w:r>
      <w:hyperlink r:id="rId66">
        <w:r>
          <w:rPr>
            <w:color w:val="0000FF"/>
            <w:sz w:val="18"/>
          </w:rPr>
          <w:t>https://www.whitehouse.gov/wp-</w:t>
        </w:r>
      </w:hyperlink>
      <w:hyperlink r:id="rId67">
        <w:r>
          <w:rPr>
            <w:color w:val="0000FF"/>
            <w:sz w:val="18"/>
          </w:rPr>
          <w:t>content/uploads/2024/07/OMB-Bulletin-No.-24-02.pdf</w:t>
        </w:r>
      </w:hyperlink>
      <w:r>
        <w:rPr>
          <w:color w:val="0000FF"/>
          <w:sz w:val="18"/>
        </w:rPr>
        <w:t xml:space="preserve"> </w:t>
      </w:r>
      <w:r>
        <w:rPr>
          <w:sz w:val="18"/>
        </w:rPr>
        <w:t>(accessed May 29, 2026). OMB audit guidance is updated periodically. Users should refer to the OMB audit guidance applicable to the current financial audit.</w:t>
      </w:r>
    </w:p>
    <w:p w14:paraId="0DFDB06E" w14:textId="77777777" w:rsidR="00046465" w:rsidRDefault="008134EB">
      <w:pPr>
        <w:spacing w:before="120"/>
        <w:ind w:left="360"/>
        <w:rPr>
          <w:sz w:val="18"/>
        </w:rPr>
      </w:pPr>
      <w:bookmarkStart w:id="98" w:name="_bookmark29"/>
      <w:bookmarkEnd w:id="98"/>
      <w:r>
        <w:rPr>
          <w:position w:val="7"/>
          <w:sz w:val="14"/>
        </w:rPr>
        <w:t>20</w:t>
      </w:r>
      <w:r>
        <w:rPr>
          <w:sz w:val="18"/>
        </w:rPr>
        <w:t>5</w:t>
      </w:r>
      <w:r>
        <w:rPr>
          <w:spacing w:val="-3"/>
          <w:sz w:val="18"/>
        </w:rPr>
        <w:t xml:space="preserve"> </w:t>
      </w:r>
      <w:r>
        <w:rPr>
          <w:sz w:val="18"/>
        </w:rPr>
        <w:t>U.S.C.</w:t>
      </w:r>
      <w:r>
        <w:rPr>
          <w:spacing w:val="-2"/>
          <w:sz w:val="18"/>
        </w:rPr>
        <w:t xml:space="preserve"> </w:t>
      </w:r>
      <w:r>
        <w:rPr>
          <w:sz w:val="18"/>
        </w:rPr>
        <w:t>§</w:t>
      </w:r>
      <w:r>
        <w:rPr>
          <w:spacing w:val="-2"/>
          <w:sz w:val="18"/>
        </w:rPr>
        <w:t xml:space="preserve"> 404(b).</w:t>
      </w:r>
    </w:p>
    <w:p w14:paraId="0DFDB06F" w14:textId="77777777" w:rsidR="00046465" w:rsidRDefault="00046465">
      <w:pPr>
        <w:rPr>
          <w:sz w:val="18"/>
        </w:rPr>
        <w:sectPr w:rsidR="00046465">
          <w:headerReference w:type="default" r:id="rId68"/>
          <w:footerReference w:type="default" r:id="rId69"/>
          <w:pgSz w:w="12240" w:h="15840"/>
          <w:pgMar w:top="1600" w:right="720" w:bottom="940" w:left="1080" w:header="721" w:footer="757" w:gutter="0"/>
          <w:cols w:space="720"/>
        </w:sectPr>
      </w:pPr>
    </w:p>
    <w:p w14:paraId="0DFDB070" w14:textId="77777777" w:rsidR="00046465" w:rsidRDefault="008134EB">
      <w:pPr>
        <w:pStyle w:val="ListParagraph"/>
        <w:numPr>
          <w:ilvl w:val="1"/>
          <w:numId w:val="13"/>
        </w:numPr>
        <w:tabs>
          <w:tab w:val="left" w:pos="2159"/>
        </w:tabs>
        <w:spacing w:before="121"/>
        <w:ind w:left="2159" w:right="1148"/>
      </w:pPr>
      <w:r>
        <w:lastRenderedPageBreak/>
        <w:t>complying</w:t>
      </w:r>
      <w:r>
        <w:rPr>
          <w:spacing w:val="-4"/>
        </w:rPr>
        <w:t xml:space="preserve"> </w:t>
      </w:r>
      <w:r>
        <w:t>with</w:t>
      </w:r>
      <w:r>
        <w:rPr>
          <w:spacing w:val="-4"/>
        </w:rPr>
        <w:t xml:space="preserve"> </w:t>
      </w:r>
      <w:r>
        <w:t>the</w:t>
      </w:r>
      <w:r>
        <w:rPr>
          <w:spacing w:val="-4"/>
        </w:rPr>
        <w:t xml:space="preserve"> </w:t>
      </w:r>
      <w:r>
        <w:t>requirements</w:t>
      </w:r>
      <w:r>
        <w:rPr>
          <w:spacing w:val="-4"/>
        </w:rPr>
        <w:t xml:space="preserve"> </w:t>
      </w:r>
      <w:r>
        <w:t>of</w:t>
      </w:r>
      <w:r>
        <w:rPr>
          <w:spacing w:val="-4"/>
        </w:rPr>
        <w:t xml:space="preserve"> </w:t>
      </w:r>
      <w:r>
        <w:t>the</w:t>
      </w:r>
      <w:r>
        <w:rPr>
          <w:spacing w:val="-4"/>
        </w:rPr>
        <w:t xml:space="preserve"> </w:t>
      </w:r>
      <w:r>
        <w:t>IG</w:t>
      </w:r>
      <w:r>
        <w:rPr>
          <w:spacing w:val="-5"/>
        </w:rPr>
        <w:t xml:space="preserve"> </w:t>
      </w:r>
      <w:r>
        <w:t>Act,</w:t>
      </w:r>
      <w:r>
        <w:rPr>
          <w:spacing w:val="-4"/>
        </w:rPr>
        <w:t xml:space="preserve"> </w:t>
      </w:r>
      <w:r>
        <w:t>federal</w:t>
      </w:r>
      <w:r>
        <w:rPr>
          <w:spacing w:val="-4"/>
        </w:rPr>
        <w:t xml:space="preserve"> </w:t>
      </w:r>
      <w:r>
        <w:t>financial</w:t>
      </w:r>
      <w:r>
        <w:rPr>
          <w:spacing w:val="-4"/>
        </w:rPr>
        <w:t xml:space="preserve"> </w:t>
      </w:r>
      <w:r>
        <w:t>statement audit requirements, and related guidance from OMB and Treasury;</w:t>
      </w:r>
    </w:p>
    <w:p w14:paraId="0DFDB071" w14:textId="77777777" w:rsidR="00046465" w:rsidRDefault="008134EB">
      <w:pPr>
        <w:pStyle w:val="ListParagraph"/>
        <w:numPr>
          <w:ilvl w:val="1"/>
          <w:numId w:val="13"/>
        </w:numPr>
        <w:tabs>
          <w:tab w:val="left" w:pos="2159"/>
        </w:tabs>
        <w:spacing w:before="119"/>
        <w:ind w:left="2159" w:right="941"/>
      </w:pPr>
      <w:r>
        <w:t>implementing</w:t>
      </w:r>
      <w:r>
        <w:rPr>
          <w:spacing w:val="-4"/>
        </w:rPr>
        <w:t xml:space="preserve"> </w:t>
      </w:r>
      <w:r>
        <w:t>the</w:t>
      </w:r>
      <w:r>
        <w:rPr>
          <w:spacing w:val="-4"/>
        </w:rPr>
        <w:t xml:space="preserve"> </w:t>
      </w:r>
      <w:r>
        <w:t>guidance</w:t>
      </w:r>
      <w:r>
        <w:rPr>
          <w:spacing w:val="-4"/>
        </w:rPr>
        <w:t xml:space="preserve"> </w:t>
      </w:r>
      <w:r>
        <w:t>in</w:t>
      </w:r>
      <w:r>
        <w:rPr>
          <w:spacing w:val="-4"/>
        </w:rPr>
        <w:t xml:space="preserve"> </w:t>
      </w:r>
      <w:r>
        <w:t>FAM</w:t>
      </w:r>
      <w:r>
        <w:rPr>
          <w:spacing w:val="-5"/>
        </w:rPr>
        <w:t xml:space="preserve"> </w:t>
      </w:r>
      <w:r>
        <w:t>670</w:t>
      </w:r>
      <w:r>
        <w:rPr>
          <w:spacing w:val="-4"/>
        </w:rPr>
        <w:t xml:space="preserve"> </w:t>
      </w:r>
      <w:r>
        <w:t>to</w:t>
      </w:r>
      <w:r>
        <w:rPr>
          <w:spacing w:val="-4"/>
        </w:rPr>
        <w:t xml:space="preserve"> </w:t>
      </w:r>
      <w:r>
        <w:t>ensure</w:t>
      </w:r>
      <w:r>
        <w:rPr>
          <w:spacing w:val="-4"/>
        </w:rPr>
        <w:t xml:space="preserve"> </w:t>
      </w:r>
      <w:r>
        <w:t>the</w:t>
      </w:r>
      <w:r>
        <w:rPr>
          <w:spacing w:val="-4"/>
        </w:rPr>
        <w:t xml:space="preserve"> </w:t>
      </w:r>
      <w:r>
        <w:t>IPA</w:t>
      </w:r>
      <w:r>
        <w:rPr>
          <w:spacing w:val="-4"/>
        </w:rPr>
        <w:t xml:space="preserve"> </w:t>
      </w:r>
      <w:r>
        <w:t>firm’s</w:t>
      </w:r>
      <w:r>
        <w:rPr>
          <w:spacing w:val="-4"/>
        </w:rPr>
        <w:t xml:space="preserve"> </w:t>
      </w:r>
      <w:r>
        <w:t>compliance with GAGAS; and</w:t>
      </w:r>
    </w:p>
    <w:p w14:paraId="0DFDB072" w14:textId="77777777" w:rsidR="00046465" w:rsidRDefault="008134EB">
      <w:pPr>
        <w:pStyle w:val="ListParagraph"/>
        <w:numPr>
          <w:ilvl w:val="1"/>
          <w:numId w:val="13"/>
        </w:numPr>
        <w:tabs>
          <w:tab w:val="left" w:pos="2158"/>
        </w:tabs>
        <w:spacing w:before="121"/>
        <w:ind w:left="2158" w:hanging="359"/>
      </w:pPr>
      <w:r>
        <w:t>coordinating</w:t>
      </w:r>
      <w:r>
        <w:rPr>
          <w:spacing w:val="-8"/>
        </w:rPr>
        <w:t xml:space="preserve"> </w:t>
      </w:r>
      <w:r>
        <w:t>with</w:t>
      </w:r>
      <w:r>
        <w:rPr>
          <w:spacing w:val="-6"/>
        </w:rPr>
        <w:t xml:space="preserve"> </w:t>
      </w:r>
      <w:r>
        <w:t>the</w:t>
      </w:r>
      <w:r>
        <w:rPr>
          <w:spacing w:val="-6"/>
        </w:rPr>
        <w:t xml:space="preserve"> </w:t>
      </w:r>
      <w:r>
        <w:t>group</w:t>
      </w:r>
      <w:r>
        <w:rPr>
          <w:spacing w:val="-6"/>
        </w:rPr>
        <w:t xml:space="preserve"> </w:t>
      </w:r>
      <w:r>
        <w:t>auditor</w:t>
      </w:r>
      <w:r>
        <w:rPr>
          <w:spacing w:val="-6"/>
        </w:rPr>
        <w:t xml:space="preserve"> </w:t>
      </w:r>
      <w:r>
        <w:t>(see</w:t>
      </w:r>
      <w:r>
        <w:rPr>
          <w:spacing w:val="-7"/>
        </w:rPr>
        <w:t xml:space="preserve"> </w:t>
      </w:r>
      <w:r>
        <w:t>FAM</w:t>
      </w:r>
      <w:r>
        <w:rPr>
          <w:spacing w:val="-7"/>
        </w:rPr>
        <w:t xml:space="preserve"> </w:t>
      </w:r>
      <w:r>
        <w:rPr>
          <w:spacing w:val="-4"/>
        </w:rPr>
        <w:t>630).</w:t>
      </w:r>
    </w:p>
    <w:p w14:paraId="0DFDB073" w14:textId="77777777" w:rsidR="00046465" w:rsidRDefault="008134EB">
      <w:pPr>
        <w:pStyle w:val="ListParagraph"/>
        <w:numPr>
          <w:ilvl w:val="0"/>
          <w:numId w:val="13"/>
        </w:numPr>
        <w:tabs>
          <w:tab w:val="left" w:pos="1799"/>
        </w:tabs>
        <w:ind w:right="858"/>
      </w:pPr>
      <w:r>
        <w:t>When the IG determines that an IPA firm will audit its entity’s financial statements,</w:t>
      </w:r>
      <w:r>
        <w:rPr>
          <w:spacing w:val="-3"/>
        </w:rPr>
        <w:t xml:space="preserve"> </w:t>
      </w:r>
      <w:r>
        <w:t>the</w:t>
      </w:r>
      <w:r>
        <w:rPr>
          <w:spacing w:val="-3"/>
        </w:rPr>
        <w:t xml:space="preserve"> </w:t>
      </w:r>
      <w:r>
        <w:t>IG</w:t>
      </w:r>
      <w:r>
        <w:rPr>
          <w:spacing w:val="-4"/>
        </w:rPr>
        <w:t xml:space="preserve"> </w:t>
      </w:r>
      <w:r>
        <w:t>may</w:t>
      </w:r>
      <w:r>
        <w:rPr>
          <w:spacing w:val="-2"/>
        </w:rPr>
        <w:t xml:space="preserve"> </w:t>
      </w:r>
      <w:r>
        <w:t>use</w:t>
      </w:r>
      <w:r>
        <w:rPr>
          <w:spacing w:val="-3"/>
        </w:rPr>
        <w:t xml:space="preserve"> </w:t>
      </w:r>
      <w:r>
        <w:t>a</w:t>
      </w:r>
      <w:r>
        <w:rPr>
          <w:spacing w:val="-3"/>
        </w:rPr>
        <w:t xml:space="preserve"> </w:t>
      </w:r>
      <w:r>
        <w:t>contracting</w:t>
      </w:r>
      <w:r>
        <w:rPr>
          <w:spacing w:val="-3"/>
        </w:rPr>
        <w:t xml:space="preserve"> </w:t>
      </w:r>
      <w:r>
        <w:t>process</w:t>
      </w:r>
      <w:r>
        <w:rPr>
          <w:spacing w:val="-3"/>
        </w:rPr>
        <w:t xml:space="preserve"> </w:t>
      </w:r>
      <w:r>
        <w:t>that</w:t>
      </w:r>
      <w:r>
        <w:rPr>
          <w:spacing w:val="-3"/>
        </w:rPr>
        <w:t xml:space="preserve"> </w:t>
      </w:r>
      <w:r>
        <w:t>is</w:t>
      </w:r>
      <w:r>
        <w:rPr>
          <w:spacing w:val="-3"/>
        </w:rPr>
        <w:t xml:space="preserve"> </w:t>
      </w:r>
      <w:r>
        <w:t>part</w:t>
      </w:r>
      <w:r>
        <w:rPr>
          <w:spacing w:val="-4"/>
        </w:rPr>
        <w:t xml:space="preserve"> </w:t>
      </w:r>
      <w:r>
        <w:t>of</w:t>
      </w:r>
      <w:r>
        <w:rPr>
          <w:spacing w:val="-3"/>
        </w:rPr>
        <w:t xml:space="preserve"> </w:t>
      </w:r>
      <w:r>
        <w:t>its</w:t>
      </w:r>
      <w:r>
        <w:rPr>
          <w:spacing w:val="-3"/>
        </w:rPr>
        <w:t xml:space="preserve"> </w:t>
      </w:r>
      <w:r>
        <w:t>organization, a procurement function within the entity to be audited, or a third party’s (e.g., another government agency) procurement function. However, to fulfill its statutory responsibility, the IG plays an important role in activities leading up to and following contract award, even if the contract is awarded by a contracting office of the entity being audited or another agency. The IG generally should</w:t>
      </w:r>
    </w:p>
    <w:p w14:paraId="0DFDB074" w14:textId="77777777" w:rsidR="00046465" w:rsidRDefault="008134EB">
      <w:pPr>
        <w:pStyle w:val="ListParagraph"/>
        <w:numPr>
          <w:ilvl w:val="1"/>
          <w:numId w:val="13"/>
        </w:numPr>
        <w:tabs>
          <w:tab w:val="left" w:pos="2159"/>
        </w:tabs>
        <w:spacing w:before="119"/>
        <w:ind w:left="2159" w:right="770"/>
      </w:pPr>
      <w:r>
        <w:t>ensure</w:t>
      </w:r>
      <w:r>
        <w:rPr>
          <w:spacing w:val="-3"/>
        </w:rPr>
        <w:t xml:space="preserve"> </w:t>
      </w:r>
      <w:r>
        <w:t>that</w:t>
      </w:r>
      <w:r>
        <w:rPr>
          <w:spacing w:val="-3"/>
        </w:rPr>
        <w:t xml:space="preserve"> </w:t>
      </w:r>
      <w:r>
        <w:t>the</w:t>
      </w:r>
      <w:r>
        <w:rPr>
          <w:spacing w:val="-3"/>
        </w:rPr>
        <w:t xml:space="preserve"> </w:t>
      </w:r>
      <w:r>
        <w:t>contract</w:t>
      </w:r>
      <w:r>
        <w:rPr>
          <w:spacing w:val="-4"/>
        </w:rPr>
        <w:t xml:space="preserve"> </w:t>
      </w:r>
      <w:r>
        <w:t>provides</w:t>
      </w:r>
      <w:r>
        <w:rPr>
          <w:spacing w:val="-3"/>
        </w:rPr>
        <w:t xml:space="preserve"> </w:t>
      </w:r>
      <w:r>
        <w:t>for</w:t>
      </w:r>
      <w:r>
        <w:rPr>
          <w:spacing w:val="-5"/>
        </w:rPr>
        <w:t xml:space="preserve"> </w:t>
      </w:r>
      <w:r>
        <w:t>full</w:t>
      </w:r>
      <w:r>
        <w:rPr>
          <w:spacing w:val="-3"/>
        </w:rPr>
        <w:t xml:space="preserve"> </w:t>
      </w:r>
      <w:r>
        <w:t>and</w:t>
      </w:r>
      <w:r>
        <w:rPr>
          <w:spacing w:val="-3"/>
        </w:rPr>
        <w:t xml:space="preserve"> </w:t>
      </w:r>
      <w:r>
        <w:t>timely</w:t>
      </w:r>
      <w:r>
        <w:rPr>
          <w:spacing w:val="-3"/>
        </w:rPr>
        <w:t xml:space="preserve"> </w:t>
      </w:r>
      <w:r>
        <w:t>access</w:t>
      </w:r>
      <w:r>
        <w:rPr>
          <w:spacing w:val="-3"/>
        </w:rPr>
        <w:t xml:space="preserve"> </w:t>
      </w:r>
      <w:r>
        <w:t>to</w:t>
      </w:r>
      <w:r>
        <w:rPr>
          <w:spacing w:val="-4"/>
        </w:rPr>
        <w:t xml:space="preserve"> </w:t>
      </w:r>
      <w:r>
        <w:t>appropriate</w:t>
      </w:r>
      <w:r>
        <w:rPr>
          <w:spacing w:val="-3"/>
        </w:rPr>
        <w:t xml:space="preserve"> </w:t>
      </w:r>
      <w:r>
        <w:t>IPA firm individuals and audit documentation for IG review;</w:t>
      </w:r>
    </w:p>
    <w:p w14:paraId="0DFDB075" w14:textId="77777777" w:rsidR="00046465" w:rsidRDefault="008134EB">
      <w:pPr>
        <w:pStyle w:val="ListParagraph"/>
        <w:numPr>
          <w:ilvl w:val="1"/>
          <w:numId w:val="13"/>
        </w:numPr>
        <w:tabs>
          <w:tab w:val="left" w:pos="2159"/>
        </w:tabs>
        <w:ind w:left="2159" w:right="1087"/>
      </w:pPr>
      <w:r>
        <w:t>coordinate</w:t>
      </w:r>
      <w:r>
        <w:rPr>
          <w:spacing w:val="-4"/>
        </w:rPr>
        <w:t xml:space="preserve"> </w:t>
      </w:r>
      <w:r>
        <w:t>closely</w:t>
      </w:r>
      <w:r>
        <w:rPr>
          <w:spacing w:val="-4"/>
        </w:rPr>
        <w:t xml:space="preserve"> </w:t>
      </w:r>
      <w:r>
        <w:t>with</w:t>
      </w:r>
      <w:r>
        <w:rPr>
          <w:spacing w:val="-4"/>
        </w:rPr>
        <w:t xml:space="preserve"> </w:t>
      </w:r>
      <w:r>
        <w:t>the</w:t>
      </w:r>
      <w:r>
        <w:rPr>
          <w:spacing w:val="-4"/>
        </w:rPr>
        <w:t xml:space="preserve"> </w:t>
      </w:r>
      <w:r>
        <w:t>contracting</w:t>
      </w:r>
      <w:r>
        <w:rPr>
          <w:spacing w:val="-4"/>
        </w:rPr>
        <w:t xml:space="preserve"> </w:t>
      </w:r>
      <w:r>
        <w:t>office</w:t>
      </w:r>
      <w:r>
        <w:rPr>
          <w:spacing w:val="-4"/>
        </w:rPr>
        <w:t xml:space="preserve"> </w:t>
      </w:r>
      <w:r>
        <w:t>to</w:t>
      </w:r>
      <w:r>
        <w:rPr>
          <w:spacing w:val="-5"/>
        </w:rPr>
        <w:t xml:space="preserve"> </w:t>
      </w:r>
      <w:r>
        <w:t>ensure</w:t>
      </w:r>
      <w:r>
        <w:rPr>
          <w:spacing w:val="-4"/>
        </w:rPr>
        <w:t xml:space="preserve"> </w:t>
      </w:r>
      <w:r>
        <w:t>a</w:t>
      </w:r>
      <w:r>
        <w:rPr>
          <w:spacing w:val="-4"/>
        </w:rPr>
        <w:t xml:space="preserve"> </w:t>
      </w:r>
      <w:r>
        <w:t>timely</w:t>
      </w:r>
      <w:r>
        <w:rPr>
          <w:spacing w:val="-4"/>
        </w:rPr>
        <w:t xml:space="preserve"> </w:t>
      </w:r>
      <w:r>
        <w:t>solicitation and award for the IPA firm’s services;</w:t>
      </w:r>
    </w:p>
    <w:p w14:paraId="0DFDB076" w14:textId="77777777" w:rsidR="00046465" w:rsidRDefault="008134EB">
      <w:pPr>
        <w:pStyle w:val="ListParagraph"/>
        <w:numPr>
          <w:ilvl w:val="1"/>
          <w:numId w:val="13"/>
        </w:numPr>
        <w:tabs>
          <w:tab w:val="left" w:pos="2157"/>
          <w:tab w:val="left" w:pos="2159"/>
        </w:tabs>
        <w:spacing w:before="121"/>
        <w:ind w:left="2159" w:right="1076" w:hanging="361"/>
      </w:pPr>
      <w:r>
        <w:t>serve</w:t>
      </w:r>
      <w:r>
        <w:rPr>
          <w:spacing w:val="-4"/>
        </w:rPr>
        <w:t xml:space="preserve"> </w:t>
      </w:r>
      <w:r>
        <w:t>as</w:t>
      </w:r>
      <w:r>
        <w:rPr>
          <w:spacing w:val="-4"/>
        </w:rPr>
        <w:t xml:space="preserve"> </w:t>
      </w:r>
      <w:r>
        <w:t>a</w:t>
      </w:r>
      <w:r>
        <w:rPr>
          <w:spacing w:val="-5"/>
        </w:rPr>
        <w:t xml:space="preserve"> </w:t>
      </w:r>
      <w:r>
        <w:t>subject</w:t>
      </w:r>
      <w:r>
        <w:rPr>
          <w:spacing w:val="-4"/>
        </w:rPr>
        <w:t xml:space="preserve"> </w:t>
      </w:r>
      <w:r>
        <w:t>matter</w:t>
      </w:r>
      <w:r>
        <w:rPr>
          <w:spacing w:val="-4"/>
        </w:rPr>
        <w:t xml:space="preserve"> </w:t>
      </w:r>
      <w:r>
        <w:t>expert</w:t>
      </w:r>
      <w:r>
        <w:rPr>
          <w:spacing w:val="-4"/>
        </w:rPr>
        <w:t xml:space="preserve"> </w:t>
      </w:r>
      <w:r>
        <w:t>in</w:t>
      </w:r>
      <w:r>
        <w:rPr>
          <w:spacing w:val="-4"/>
        </w:rPr>
        <w:t xml:space="preserve"> </w:t>
      </w:r>
      <w:r>
        <w:t>developing</w:t>
      </w:r>
      <w:r>
        <w:rPr>
          <w:spacing w:val="-5"/>
        </w:rPr>
        <w:t xml:space="preserve"> </w:t>
      </w:r>
      <w:r>
        <w:t>contract</w:t>
      </w:r>
      <w:r>
        <w:rPr>
          <w:spacing w:val="-4"/>
        </w:rPr>
        <w:t xml:space="preserve"> </w:t>
      </w:r>
      <w:r>
        <w:t>requirements,</w:t>
      </w:r>
      <w:r>
        <w:rPr>
          <w:spacing w:val="-4"/>
        </w:rPr>
        <w:t xml:space="preserve"> </w:t>
      </w:r>
      <w:r>
        <w:t>task orders if applicable, and the statement of work;</w:t>
      </w:r>
    </w:p>
    <w:p w14:paraId="0DFDB077" w14:textId="77777777" w:rsidR="00046465" w:rsidRDefault="008134EB">
      <w:pPr>
        <w:pStyle w:val="ListParagraph"/>
        <w:numPr>
          <w:ilvl w:val="1"/>
          <w:numId w:val="13"/>
        </w:numPr>
        <w:tabs>
          <w:tab w:val="left" w:pos="2159"/>
        </w:tabs>
        <w:spacing w:before="119"/>
        <w:ind w:left="2159" w:right="1342"/>
      </w:pPr>
      <w:r>
        <w:t>ensure that the contract clearly establishes the scope for a financial statement audit in accordance with GAGAS, other relevant federal requirements,</w:t>
      </w:r>
      <w:r>
        <w:rPr>
          <w:spacing w:val="-4"/>
        </w:rPr>
        <w:t xml:space="preserve"> </w:t>
      </w:r>
      <w:r>
        <w:t>and</w:t>
      </w:r>
      <w:r>
        <w:rPr>
          <w:spacing w:val="-4"/>
        </w:rPr>
        <w:t xml:space="preserve"> </w:t>
      </w:r>
      <w:r>
        <w:t>any</w:t>
      </w:r>
      <w:r>
        <w:rPr>
          <w:spacing w:val="-4"/>
        </w:rPr>
        <w:t xml:space="preserve"> </w:t>
      </w:r>
      <w:r>
        <w:t>other</w:t>
      </w:r>
      <w:r>
        <w:rPr>
          <w:spacing w:val="-4"/>
        </w:rPr>
        <w:t xml:space="preserve"> </w:t>
      </w:r>
      <w:r>
        <w:t>scope</w:t>
      </w:r>
      <w:r>
        <w:rPr>
          <w:spacing w:val="-4"/>
        </w:rPr>
        <w:t xml:space="preserve"> </w:t>
      </w:r>
      <w:r>
        <w:t>issues</w:t>
      </w:r>
      <w:r>
        <w:rPr>
          <w:spacing w:val="-4"/>
        </w:rPr>
        <w:t xml:space="preserve"> </w:t>
      </w:r>
      <w:r>
        <w:t>specific</w:t>
      </w:r>
      <w:r>
        <w:rPr>
          <w:spacing w:val="-4"/>
        </w:rPr>
        <w:t xml:space="preserve"> </w:t>
      </w:r>
      <w:r>
        <w:t>to</w:t>
      </w:r>
      <w:r>
        <w:rPr>
          <w:spacing w:val="-4"/>
        </w:rPr>
        <w:t xml:space="preserve"> </w:t>
      </w:r>
      <w:r>
        <w:t>the</w:t>
      </w:r>
      <w:r>
        <w:rPr>
          <w:spacing w:val="-4"/>
        </w:rPr>
        <w:t xml:space="preserve"> </w:t>
      </w:r>
      <w:r>
        <w:t>entity</w:t>
      </w:r>
      <w:r>
        <w:rPr>
          <w:spacing w:val="-3"/>
        </w:rPr>
        <w:t xml:space="preserve"> </w:t>
      </w:r>
      <w:r>
        <w:t>(internal control, FFMIA, etc.);</w:t>
      </w:r>
    </w:p>
    <w:p w14:paraId="0DFDB078" w14:textId="77777777" w:rsidR="00046465" w:rsidRDefault="008134EB">
      <w:pPr>
        <w:pStyle w:val="ListParagraph"/>
        <w:numPr>
          <w:ilvl w:val="1"/>
          <w:numId w:val="13"/>
        </w:numPr>
        <w:tabs>
          <w:tab w:val="left" w:pos="2159"/>
        </w:tabs>
        <w:spacing w:before="121"/>
        <w:ind w:left="2159" w:right="844"/>
      </w:pPr>
      <w:r>
        <w:t>chair</w:t>
      </w:r>
      <w:r>
        <w:rPr>
          <w:spacing w:val="-4"/>
        </w:rPr>
        <w:t xml:space="preserve"> </w:t>
      </w:r>
      <w:r>
        <w:t>the</w:t>
      </w:r>
      <w:r>
        <w:rPr>
          <w:spacing w:val="-4"/>
        </w:rPr>
        <w:t xml:space="preserve"> </w:t>
      </w:r>
      <w:r>
        <w:t>technical</w:t>
      </w:r>
      <w:r>
        <w:rPr>
          <w:spacing w:val="-4"/>
        </w:rPr>
        <w:t xml:space="preserve"> </w:t>
      </w:r>
      <w:r>
        <w:t>evaluation</w:t>
      </w:r>
      <w:r>
        <w:rPr>
          <w:spacing w:val="-4"/>
        </w:rPr>
        <w:t xml:space="preserve"> </w:t>
      </w:r>
      <w:r>
        <w:t>panel</w:t>
      </w:r>
      <w:r>
        <w:rPr>
          <w:spacing w:val="-4"/>
        </w:rPr>
        <w:t xml:space="preserve"> </w:t>
      </w:r>
      <w:r>
        <w:t>for</w:t>
      </w:r>
      <w:r>
        <w:rPr>
          <w:spacing w:val="-4"/>
        </w:rPr>
        <w:t xml:space="preserve"> </w:t>
      </w:r>
      <w:r>
        <w:t>the</w:t>
      </w:r>
      <w:r>
        <w:rPr>
          <w:spacing w:val="-4"/>
        </w:rPr>
        <w:t xml:space="preserve"> </w:t>
      </w:r>
      <w:r>
        <w:t>acquisition,</w:t>
      </w:r>
      <w:r>
        <w:rPr>
          <w:spacing w:val="-4"/>
        </w:rPr>
        <w:t xml:space="preserve"> </w:t>
      </w:r>
      <w:r>
        <w:t>assist</w:t>
      </w:r>
      <w:r>
        <w:rPr>
          <w:spacing w:val="-5"/>
        </w:rPr>
        <w:t xml:space="preserve"> </w:t>
      </w:r>
      <w:r>
        <w:t>in</w:t>
      </w:r>
      <w:r>
        <w:rPr>
          <w:spacing w:val="-4"/>
        </w:rPr>
        <w:t xml:space="preserve"> </w:t>
      </w:r>
      <w:r>
        <w:t>selecting</w:t>
      </w:r>
      <w:r>
        <w:rPr>
          <w:spacing w:val="-5"/>
        </w:rPr>
        <w:t xml:space="preserve"> </w:t>
      </w:r>
      <w:r>
        <w:t>the members in the panel, and make a recommendation for award to the contracting officer; and</w:t>
      </w:r>
    </w:p>
    <w:p w14:paraId="0DFDB079" w14:textId="77777777" w:rsidR="00046465" w:rsidRDefault="008134EB">
      <w:pPr>
        <w:pStyle w:val="ListParagraph"/>
        <w:numPr>
          <w:ilvl w:val="1"/>
          <w:numId w:val="13"/>
        </w:numPr>
        <w:tabs>
          <w:tab w:val="left" w:pos="2159"/>
        </w:tabs>
        <w:spacing w:before="119"/>
        <w:ind w:left="2159" w:right="854"/>
      </w:pPr>
      <w:r>
        <w:t>to the extent authorized by the contracting officer, act as the contracting officer’s</w:t>
      </w:r>
      <w:r>
        <w:rPr>
          <w:spacing w:val="-4"/>
        </w:rPr>
        <w:t xml:space="preserve"> </w:t>
      </w:r>
      <w:r>
        <w:t>representative</w:t>
      </w:r>
      <w:r>
        <w:rPr>
          <w:spacing w:val="-4"/>
        </w:rPr>
        <w:t xml:space="preserve"> </w:t>
      </w:r>
      <w:r>
        <w:t>to</w:t>
      </w:r>
      <w:r>
        <w:rPr>
          <w:spacing w:val="-4"/>
        </w:rPr>
        <w:t xml:space="preserve"> </w:t>
      </w:r>
      <w:r>
        <w:t>assist</w:t>
      </w:r>
      <w:r>
        <w:rPr>
          <w:spacing w:val="-5"/>
        </w:rPr>
        <w:t xml:space="preserve"> </w:t>
      </w:r>
      <w:r>
        <w:t>in</w:t>
      </w:r>
      <w:r>
        <w:rPr>
          <w:spacing w:val="-4"/>
        </w:rPr>
        <w:t xml:space="preserve"> </w:t>
      </w:r>
      <w:r>
        <w:t>the</w:t>
      </w:r>
      <w:r>
        <w:rPr>
          <w:spacing w:val="-4"/>
        </w:rPr>
        <w:t xml:space="preserve"> </w:t>
      </w:r>
      <w:r>
        <w:t>administration</w:t>
      </w:r>
      <w:r>
        <w:rPr>
          <w:spacing w:val="-4"/>
        </w:rPr>
        <w:t xml:space="preserve"> </w:t>
      </w:r>
      <w:r>
        <w:t>of</w:t>
      </w:r>
      <w:r>
        <w:rPr>
          <w:spacing w:val="-4"/>
        </w:rPr>
        <w:t xml:space="preserve"> </w:t>
      </w:r>
      <w:r>
        <w:t>the</w:t>
      </w:r>
      <w:r>
        <w:rPr>
          <w:spacing w:val="-4"/>
        </w:rPr>
        <w:t xml:space="preserve"> </w:t>
      </w:r>
      <w:r>
        <w:t>contract,</w:t>
      </w:r>
      <w:r>
        <w:rPr>
          <w:spacing w:val="-4"/>
        </w:rPr>
        <w:t xml:space="preserve"> </w:t>
      </w:r>
      <w:r>
        <w:t>monitor technical compliance, and assist the contracting officer to ensure contractor compliance with the terms and conditions of the contract.</w:t>
      </w:r>
    </w:p>
    <w:p w14:paraId="0DFDB07A" w14:textId="77777777" w:rsidR="00046465" w:rsidRDefault="008134EB">
      <w:pPr>
        <w:pStyle w:val="ListParagraph"/>
        <w:numPr>
          <w:ilvl w:val="0"/>
          <w:numId w:val="13"/>
        </w:numPr>
        <w:tabs>
          <w:tab w:val="left" w:pos="1799"/>
        </w:tabs>
        <w:ind w:right="1216" w:hanging="720"/>
      </w:pPr>
      <w:r>
        <w:t>When</w:t>
      </w:r>
      <w:r>
        <w:rPr>
          <w:spacing w:val="-4"/>
        </w:rPr>
        <w:t xml:space="preserve"> </w:t>
      </w:r>
      <w:r>
        <w:t>overseeing</w:t>
      </w:r>
      <w:r>
        <w:rPr>
          <w:spacing w:val="-4"/>
        </w:rPr>
        <w:t xml:space="preserve"> </w:t>
      </w:r>
      <w:r>
        <w:t>an</w:t>
      </w:r>
      <w:r>
        <w:rPr>
          <w:spacing w:val="-4"/>
        </w:rPr>
        <w:t xml:space="preserve"> </w:t>
      </w:r>
      <w:r>
        <w:t>audit</w:t>
      </w:r>
      <w:r>
        <w:rPr>
          <w:spacing w:val="-4"/>
        </w:rPr>
        <w:t xml:space="preserve"> </w:t>
      </w:r>
      <w:r>
        <w:t>performed</w:t>
      </w:r>
      <w:r>
        <w:rPr>
          <w:spacing w:val="-4"/>
        </w:rPr>
        <w:t xml:space="preserve"> </w:t>
      </w:r>
      <w:r>
        <w:t>by</w:t>
      </w:r>
      <w:r>
        <w:rPr>
          <w:spacing w:val="-4"/>
        </w:rPr>
        <w:t xml:space="preserve"> </w:t>
      </w:r>
      <w:r>
        <w:t>an</w:t>
      </w:r>
      <w:r>
        <w:rPr>
          <w:spacing w:val="-4"/>
        </w:rPr>
        <w:t xml:space="preserve"> </w:t>
      </w:r>
      <w:r>
        <w:t>IPA</w:t>
      </w:r>
      <w:r>
        <w:rPr>
          <w:spacing w:val="-4"/>
        </w:rPr>
        <w:t xml:space="preserve"> </w:t>
      </w:r>
      <w:r>
        <w:t>firm,</w:t>
      </w:r>
      <w:r>
        <w:rPr>
          <w:spacing w:val="-4"/>
        </w:rPr>
        <w:t xml:space="preserve"> </w:t>
      </w:r>
      <w:r>
        <w:t>the</w:t>
      </w:r>
      <w:r>
        <w:rPr>
          <w:spacing w:val="-4"/>
        </w:rPr>
        <w:t xml:space="preserve"> </w:t>
      </w:r>
      <w:r>
        <w:t>IG’s</w:t>
      </w:r>
      <w:r>
        <w:rPr>
          <w:spacing w:val="-4"/>
        </w:rPr>
        <w:t xml:space="preserve"> </w:t>
      </w:r>
      <w:r>
        <w:t>considerations should include</w:t>
      </w:r>
    </w:p>
    <w:p w14:paraId="0DFDB07B" w14:textId="77777777" w:rsidR="00046465" w:rsidRDefault="008134EB">
      <w:pPr>
        <w:pStyle w:val="ListParagraph"/>
        <w:numPr>
          <w:ilvl w:val="1"/>
          <w:numId w:val="13"/>
        </w:numPr>
        <w:tabs>
          <w:tab w:val="left" w:pos="2158"/>
        </w:tabs>
        <w:ind w:left="2158" w:hanging="359"/>
      </w:pPr>
      <w:r>
        <w:t>evaluating</w:t>
      </w:r>
      <w:r>
        <w:rPr>
          <w:spacing w:val="-9"/>
        </w:rPr>
        <w:t xml:space="preserve"> </w:t>
      </w:r>
      <w:r>
        <w:t>the</w:t>
      </w:r>
      <w:r>
        <w:rPr>
          <w:spacing w:val="-8"/>
        </w:rPr>
        <w:t xml:space="preserve"> </w:t>
      </w:r>
      <w:r>
        <w:t>IPA</w:t>
      </w:r>
      <w:r>
        <w:rPr>
          <w:spacing w:val="-8"/>
        </w:rPr>
        <w:t xml:space="preserve"> </w:t>
      </w:r>
      <w:r>
        <w:t>firm’s</w:t>
      </w:r>
      <w:r>
        <w:rPr>
          <w:spacing w:val="-8"/>
        </w:rPr>
        <w:t xml:space="preserve"> </w:t>
      </w:r>
      <w:r>
        <w:t>independence,</w:t>
      </w:r>
      <w:r>
        <w:rPr>
          <w:spacing w:val="-8"/>
        </w:rPr>
        <w:t xml:space="preserve"> </w:t>
      </w:r>
      <w:r>
        <w:t>objectivity,</w:t>
      </w:r>
      <w:r>
        <w:rPr>
          <w:spacing w:val="-9"/>
        </w:rPr>
        <w:t xml:space="preserve"> </w:t>
      </w:r>
      <w:r>
        <w:t>and</w:t>
      </w:r>
      <w:r>
        <w:rPr>
          <w:spacing w:val="-8"/>
        </w:rPr>
        <w:t xml:space="preserve"> </w:t>
      </w:r>
      <w:r>
        <w:rPr>
          <w:spacing w:val="-2"/>
        </w:rPr>
        <w:t>competence;</w:t>
      </w:r>
    </w:p>
    <w:p w14:paraId="0DFDB07C" w14:textId="77777777" w:rsidR="00046465" w:rsidRDefault="008134EB">
      <w:pPr>
        <w:pStyle w:val="ListParagraph"/>
        <w:numPr>
          <w:ilvl w:val="1"/>
          <w:numId w:val="13"/>
        </w:numPr>
        <w:tabs>
          <w:tab w:val="left" w:pos="2159"/>
        </w:tabs>
        <w:ind w:left="2159" w:right="906"/>
      </w:pPr>
      <w:r>
        <w:t>determining</w:t>
      </w:r>
      <w:r>
        <w:rPr>
          <w:spacing w:val="-4"/>
        </w:rPr>
        <w:t xml:space="preserve"> </w:t>
      </w:r>
      <w:r>
        <w:t>the</w:t>
      </w:r>
      <w:r>
        <w:rPr>
          <w:spacing w:val="-4"/>
        </w:rPr>
        <w:t xml:space="preserve"> </w:t>
      </w:r>
      <w:r>
        <w:t>type</w:t>
      </w:r>
      <w:r>
        <w:rPr>
          <w:spacing w:val="-4"/>
        </w:rPr>
        <w:t xml:space="preserve"> </w:t>
      </w:r>
      <w:r>
        <w:t>of</w:t>
      </w:r>
      <w:r>
        <w:rPr>
          <w:spacing w:val="-5"/>
        </w:rPr>
        <w:t xml:space="preserve"> </w:t>
      </w:r>
      <w:r>
        <w:t>written</w:t>
      </w:r>
      <w:r>
        <w:rPr>
          <w:spacing w:val="-4"/>
        </w:rPr>
        <w:t xml:space="preserve"> </w:t>
      </w:r>
      <w:r>
        <w:t>communication</w:t>
      </w:r>
      <w:r>
        <w:rPr>
          <w:spacing w:val="-4"/>
        </w:rPr>
        <w:t xml:space="preserve"> </w:t>
      </w:r>
      <w:r>
        <w:t>that</w:t>
      </w:r>
      <w:r>
        <w:rPr>
          <w:spacing w:val="-4"/>
        </w:rPr>
        <w:t xml:space="preserve"> </w:t>
      </w:r>
      <w:r>
        <w:t>the</w:t>
      </w:r>
      <w:r>
        <w:rPr>
          <w:spacing w:val="-4"/>
        </w:rPr>
        <w:t xml:space="preserve"> </w:t>
      </w:r>
      <w:r>
        <w:t>IG</w:t>
      </w:r>
      <w:r>
        <w:rPr>
          <w:spacing w:val="-5"/>
        </w:rPr>
        <w:t xml:space="preserve"> </w:t>
      </w:r>
      <w:r>
        <w:t>will</w:t>
      </w:r>
      <w:r>
        <w:rPr>
          <w:spacing w:val="-4"/>
        </w:rPr>
        <w:t xml:space="preserve"> </w:t>
      </w:r>
      <w:r>
        <w:t>issue,</w:t>
      </w:r>
      <w:r>
        <w:rPr>
          <w:spacing w:val="-4"/>
        </w:rPr>
        <w:t xml:space="preserve"> </w:t>
      </w:r>
      <w:r>
        <w:t>general level of oversight to perform, and scope of review of the IPA firm’s audit documentation; and</w:t>
      </w:r>
    </w:p>
    <w:p w14:paraId="0DFDB07D" w14:textId="77777777" w:rsidR="00046465" w:rsidRDefault="008134EB">
      <w:pPr>
        <w:pStyle w:val="ListParagraph"/>
        <w:numPr>
          <w:ilvl w:val="1"/>
          <w:numId w:val="13"/>
        </w:numPr>
        <w:tabs>
          <w:tab w:val="left" w:pos="2159"/>
        </w:tabs>
        <w:ind w:left="2159" w:right="1042"/>
      </w:pPr>
      <w:r>
        <w:t>communicating</w:t>
      </w:r>
      <w:r>
        <w:rPr>
          <w:spacing w:val="-5"/>
        </w:rPr>
        <w:t xml:space="preserve"> </w:t>
      </w:r>
      <w:r>
        <w:t>in</w:t>
      </w:r>
      <w:r>
        <w:rPr>
          <w:spacing w:val="-5"/>
        </w:rPr>
        <w:t xml:space="preserve"> </w:t>
      </w:r>
      <w:r>
        <w:t>writing</w:t>
      </w:r>
      <w:r>
        <w:rPr>
          <w:spacing w:val="-6"/>
        </w:rPr>
        <w:t xml:space="preserve"> </w:t>
      </w:r>
      <w:r>
        <w:t>to</w:t>
      </w:r>
      <w:r>
        <w:rPr>
          <w:spacing w:val="-5"/>
        </w:rPr>
        <w:t xml:space="preserve"> </w:t>
      </w:r>
      <w:r>
        <w:t>management,</w:t>
      </w:r>
      <w:r>
        <w:rPr>
          <w:spacing w:val="-5"/>
        </w:rPr>
        <w:t xml:space="preserve"> </w:t>
      </w:r>
      <w:r>
        <w:t>those</w:t>
      </w:r>
      <w:r>
        <w:rPr>
          <w:spacing w:val="-5"/>
        </w:rPr>
        <w:t xml:space="preserve"> </w:t>
      </w:r>
      <w:r>
        <w:t>charged</w:t>
      </w:r>
      <w:r>
        <w:rPr>
          <w:spacing w:val="-5"/>
        </w:rPr>
        <w:t xml:space="preserve"> </w:t>
      </w:r>
      <w:r>
        <w:t>with</w:t>
      </w:r>
      <w:r>
        <w:rPr>
          <w:spacing w:val="-5"/>
        </w:rPr>
        <w:t xml:space="preserve"> </w:t>
      </w:r>
      <w:r>
        <w:t>governance, and other interest parties the results of the IG’s oversight of the IPA firm.</w:t>
      </w:r>
    </w:p>
    <w:p w14:paraId="0DFDB07E" w14:textId="77777777" w:rsidR="00046465" w:rsidRDefault="008134EB">
      <w:pPr>
        <w:pStyle w:val="ListParagraph"/>
        <w:numPr>
          <w:ilvl w:val="0"/>
          <w:numId w:val="13"/>
        </w:numPr>
        <w:tabs>
          <w:tab w:val="left" w:pos="1798"/>
        </w:tabs>
        <w:ind w:left="1798" w:right="825" w:hanging="720"/>
      </w:pPr>
      <w:r>
        <w:t>The IG, relevant contracting office (if different from the IG), and IPA firm generally should coordinate throughout the audit to ensure that statutory, regulatory,</w:t>
      </w:r>
      <w:r>
        <w:rPr>
          <w:spacing w:val="-5"/>
        </w:rPr>
        <w:t xml:space="preserve"> </w:t>
      </w:r>
      <w:r>
        <w:t>contractual,</w:t>
      </w:r>
      <w:r>
        <w:rPr>
          <w:spacing w:val="-5"/>
        </w:rPr>
        <w:t xml:space="preserve"> </w:t>
      </w:r>
      <w:r>
        <w:t>and</w:t>
      </w:r>
      <w:r>
        <w:rPr>
          <w:spacing w:val="-5"/>
        </w:rPr>
        <w:t xml:space="preserve"> </w:t>
      </w:r>
      <w:r>
        <w:t>other</w:t>
      </w:r>
      <w:r>
        <w:rPr>
          <w:spacing w:val="-5"/>
        </w:rPr>
        <w:t xml:space="preserve"> </w:t>
      </w:r>
      <w:r>
        <w:t>requirements</w:t>
      </w:r>
      <w:r>
        <w:rPr>
          <w:spacing w:val="-5"/>
        </w:rPr>
        <w:t xml:space="preserve"> </w:t>
      </w:r>
      <w:r>
        <w:t>related</w:t>
      </w:r>
      <w:r>
        <w:rPr>
          <w:spacing w:val="-5"/>
        </w:rPr>
        <w:t xml:space="preserve"> </w:t>
      </w:r>
      <w:r>
        <w:t>to</w:t>
      </w:r>
      <w:r>
        <w:rPr>
          <w:spacing w:val="-5"/>
        </w:rPr>
        <w:t xml:space="preserve"> </w:t>
      </w:r>
      <w:r>
        <w:t>the</w:t>
      </w:r>
      <w:r>
        <w:rPr>
          <w:spacing w:val="-5"/>
        </w:rPr>
        <w:t xml:space="preserve"> </w:t>
      </w:r>
      <w:r>
        <w:t>financial</w:t>
      </w:r>
      <w:r>
        <w:rPr>
          <w:spacing w:val="-5"/>
        </w:rPr>
        <w:t xml:space="preserve"> </w:t>
      </w:r>
      <w:r>
        <w:t>statement audit are met. The IPA firm should also provide the IG full and timely access to appropriate engagement team members and audit documentation for review (GAGAS (2018) 6.34). This may occur on an ongoing basis during the audit,</w:t>
      </w:r>
    </w:p>
    <w:p w14:paraId="0DFDB07F" w14:textId="77777777" w:rsidR="00046465" w:rsidRDefault="00046465">
      <w:pPr>
        <w:pStyle w:val="ListParagraph"/>
        <w:sectPr w:rsidR="00046465">
          <w:headerReference w:type="default" r:id="rId70"/>
          <w:footerReference w:type="default" r:id="rId71"/>
          <w:pgSz w:w="12240" w:h="15840"/>
          <w:pgMar w:top="1600" w:right="720" w:bottom="940" w:left="1080" w:header="721" w:footer="757" w:gutter="0"/>
          <w:pgNumType w:start="2"/>
          <w:cols w:space="720"/>
        </w:sectPr>
      </w:pPr>
    </w:p>
    <w:p w14:paraId="0DFDB080" w14:textId="77777777" w:rsidR="00046465" w:rsidRDefault="008134EB">
      <w:pPr>
        <w:pStyle w:val="BodyText"/>
        <w:spacing w:before="121"/>
        <w:ind w:left="1800" w:right="749"/>
      </w:pPr>
      <w:r>
        <w:lastRenderedPageBreak/>
        <w:t>although</w:t>
      </w:r>
      <w:r>
        <w:rPr>
          <w:spacing w:val="-4"/>
        </w:rPr>
        <w:t xml:space="preserve"> </w:t>
      </w:r>
      <w:r>
        <w:t>supervisory</w:t>
      </w:r>
      <w:r>
        <w:rPr>
          <w:spacing w:val="-4"/>
        </w:rPr>
        <w:t xml:space="preserve"> </w:t>
      </w:r>
      <w:r>
        <w:t>review</w:t>
      </w:r>
      <w:r>
        <w:rPr>
          <w:spacing w:val="-5"/>
        </w:rPr>
        <w:t xml:space="preserve"> </w:t>
      </w:r>
      <w:r>
        <w:t>within</w:t>
      </w:r>
      <w:r>
        <w:rPr>
          <w:spacing w:val="-4"/>
        </w:rPr>
        <w:t xml:space="preserve"> </w:t>
      </w:r>
      <w:r>
        <w:t>the</w:t>
      </w:r>
      <w:r>
        <w:rPr>
          <w:spacing w:val="-4"/>
        </w:rPr>
        <w:t xml:space="preserve"> </w:t>
      </w:r>
      <w:r>
        <w:t>IPA</w:t>
      </w:r>
      <w:r>
        <w:rPr>
          <w:spacing w:val="-4"/>
        </w:rPr>
        <w:t xml:space="preserve"> </w:t>
      </w:r>
      <w:r>
        <w:t>firm</w:t>
      </w:r>
      <w:r>
        <w:rPr>
          <w:spacing w:val="-4"/>
        </w:rPr>
        <w:t xml:space="preserve"> </w:t>
      </w:r>
      <w:r>
        <w:t>may</w:t>
      </w:r>
      <w:r>
        <w:rPr>
          <w:spacing w:val="-4"/>
        </w:rPr>
        <w:t xml:space="preserve"> </w:t>
      </w:r>
      <w:r>
        <w:t>not</w:t>
      </w:r>
      <w:r>
        <w:rPr>
          <w:spacing w:val="-4"/>
        </w:rPr>
        <w:t xml:space="preserve"> </w:t>
      </w:r>
      <w:r>
        <w:t>have</w:t>
      </w:r>
      <w:r>
        <w:rPr>
          <w:spacing w:val="-4"/>
        </w:rPr>
        <w:t xml:space="preserve"> </w:t>
      </w:r>
      <w:r>
        <w:t>been</w:t>
      </w:r>
      <w:r>
        <w:rPr>
          <w:spacing w:val="-4"/>
        </w:rPr>
        <w:t xml:space="preserve"> </w:t>
      </w:r>
      <w:r>
        <w:t xml:space="preserve">fully </w:t>
      </w:r>
      <w:r>
        <w:rPr>
          <w:spacing w:val="-2"/>
        </w:rPr>
        <w:t>completed.</w:t>
      </w:r>
    </w:p>
    <w:p w14:paraId="0DFDB081" w14:textId="77777777" w:rsidR="00046465" w:rsidRDefault="008134EB">
      <w:pPr>
        <w:pStyle w:val="Heading4"/>
        <w:spacing w:before="239"/>
      </w:pPr>
      <w:bookmarkStart w:id="99" w:name="The_Independence,_Objectivity,_and_Compe"/>
      <w:bookmarkEnd w:id="99"/>
      <w:r>
        <w:t>The</w:t>
      </w:r>
      <w:r>
        <w:rPr>
          <w:spacing w:val="-12"/>
        </w:rPr>
        <w:t xml:space="preserve"> </w:t>
      </w:r>
      <w:r>
        <w:t>Independence,</w:t>
      </w:r>
      <w:r>
        <w:rPr>
          <w:spacing w:val="-11"/>
        </w:rPr>
        <w:t xml:space="preserve"> </w:t>
      </w:r>
      <w:r>
        <w:t>Objectivity,</w:t>
      </w:r>
      <w:r>
        <w:rPr>
          <w:spacing w:val="-13"/>
        </w:rPr>
        <w:t xml:space="preserve"> </w:t>
      </w:r>
      <w:r>
        <w:t>and</w:t>
      </w:r>
      <w:r>
        <w:rPr>
          <w:spacing w:val="-12"/>
        </w:rPr>
        <w:t xml:space="preserve"> </w:t>
      </w:r>
      <w:r>
        <w:t>Competence</w:t>
      </w:r>
      <w:r>
        <w:rPr>
          <w:spacing w:val="-11"/>
        </w:rPr>
        <w:t xml:space="preserve"> </w:t>
      </w:r>
      <w:r>
        <w:t>of</w:t>
      </w:r>
      <w:r>
        <w:rPr>
          <w:spacing w:val="-12"/>
        </w:rPr>
        <w:t xml:space="preserve"> </w:t>
      </w:r>
      <w:r>
        <w:t>the</w:t>
      </w:r>
      <w:r>
        <w:rPr>
          <w:spacing w:val="-11"/>
        </w:rPr>
        <w:t xml:space="preserve"> </w:t>
      </w:r>
      <w:r>
        <w:t>IPA</w:t>
      </w:r>
      <w:r>
        <w:rPr>
          <w:spacing w:val="-12"/>
        </w:rPr>
        <w:t xml:space="preserve"> </w:t>
      </w:r>
      <w:r>
        <w:rPr>
          <w:spacing w:val="-4"/>
        </w:rPr>
        <w:t>Firm</w:t>
      </w:r>
    </w:p>
    <w:p w14:paraId="0DFDB082" w14:textId="77777777" w:rsidR="00046465" w:rsidRDefault="008134EB">
      <w:pPr>
        <w:pStyle w:val="ListParagraph"/>
        <w:numPr>
          <w:ilvl w:val="0"/>
          <w:numId w:val="13"/>
        </w:numPr>
        <w:tabs>
          <w:tab w:val="left" w:pos="1799"/>
        </w:tabs>
        <w:spacing w:before="121"/>
        <w:ind w:right="994" w:hanging="720"/>
      </w:pPr>
      <w:r>
        <w:t>Before an IPA firm is awarded a contract for the audit, the IG should evaluate whether the IPA firm is independent and objective with respect to the audited entity in accordance with FAM 615. The IG should also evaluate the IPA firm’s competence</w:t>
      </w:r>
      <w:r>
        <w:rPr>
          <w:spacing w:val="-4"/>
        </w:rPr>
        <w:t xml:space="preserve"> </w:t>
      </w:r>
      <w:r>
        <w:t>and</w:t>
      </w:r>
      <w:r>
        <w:rPr>
          <w:spacing w:val="-4"/>
        </w:rPr>
        <w:t xml:space="preserve"> </w:t>
      </w:r>
      <w:r>
        <w:t>capabilities</w:t>
      </w:r>
      <w:r>
        <w:rPr>
          <w:spacing w:val="-4"/>
        </w:rPr>
        <w:t xml:space="preserve"> </w:t>
      </w:r>
      <w:r>
        <w:t>to</w:t>
      </w:r>
      <w:r>
        <w:rPr>
          <w:spacing w:val="-4"/>
        </w:rPr>
        <w:t xml:space="preserve"> </w:t>
      </w:r>
      <w:r>
        <w:t>perform</w:t>
      </w:r>
      <w:r>
        <w:rPr>
          <w:spacing w:val="-5"/>
        </w:rPr>
        <w:t xml:space="preserve"> </w:t>
      </w:r>
      <w:r>
        <w:t>the</w:t>
      </w:r>
      <w:r>
        <w:rPr>
          <w:spacing w:val="-4"/>
        </w:rPr>
        <w:t xml:space="preserve"> </w:t>
      </w:r>
      <w:r>
        <w:t>audit</w:t>
      </w:r>
      <w:r>
        <w:rPr>
          <w:spacing w:val="-3"/>
        </w:rPr>
        <w:t xml:space="preserve"> </w:t>
      </w:r>
      <w:r>
        <w:t>in</w:t>
      </w:r>
      <w:r>
        <w:rPr>
          <w:spacing w:val="-4"/>
        </w:rPr>
        <w:t xml:space="preserve"> </w:t>
      </w:r>
      <w:r>
        <w:t>accordance</w:t>
      </w:r>
      <w:r>
        <w:rPr>
          <w:spacing w:val="-4"/>
        </w:rPr>
        <w:t xml:space="preserve"> </w:t>
      </w:r>
      <w:r>
        <w:t>with</w:t>
      </w:r>
      <w:r>
        <w:rPr>
          <w:spacing w:val="-4"/>
        </w:rPr>
        <w:t xml:space="preserve"> </w:t>
      </w:r>
      <w:r>
        <w:t>FAM</w:t>
      </w:r>
      <w:r>
        <w:rPr>
          <w:spacing w:val="-5"/>
        </w:rPr>
        <w:t xml:space="preserve"> </w:t>
      </w:r>
      <w:r>
        <w:t>615.</w:t>
      </w:r>
    </w:p>
    <w:p w14:paraId="0DFDB083" w14:textId="77777777" w:rsidR="00046465" w:rsidRDefault="008134EB">
      <w:pPr>
        <w:pStyle w:val="Heading4"/>
        <w:spacing w:before="240"/>
      </w:pPr>
      <w:bookmarkStart w:id="100" w:name="Planning_the_Review_of_the_IPA_Firm’s_Au"/>
      <w:bookmarkEnd w:id="100"/>
      <w:r>
        <w:t>Planning</w:t>
      </w:r>
      <w:r>
        <w:rPr>
          <w:spacing w:val="-8"/>
        </w:rPr>
        <w:t xml:space="preserve"> </w:t>
      </w:r>
      <w:r>
        <w:t>the</w:t>
      </w:r>
      <w:r>
        <w:rPr>
          <w:spacing w:val="-8"/>
        </w:rPr>
        <w:t xml:space="preserve"> </w:t>
      </w:r>
      <w:r>
        <w:t>Review</w:t>
      </w:r>
      <w:r>
        <w:rPr>
          <w:spacing w:val="-9"/>
        </w:rPr>
        <w:t xml:space="preserve"> </w:t>
      </w:r>
      <w:r>
        <w:t>of</w:t>
      </w:r>
      <w:r>
        <w:rPr>
          <w:spacing w:val="-8"/>
        </w:rPr>
        <w:t xml:space="preserve"> </w:t>
      </w:r>
      <w:r>
        <w:t>the</w:t>
      </w:r>
      <w:r>
        <w:rPr>
          <w:spacing w:val="-8"/>
        </w:rPr>
        <w:t xml:space="preserve"> </w:t>
      </w:r>
      <w:r>
        <w:t>IPA</w:t>
      </w:r>
      <w:r>
        <w:rPr>
          <w:spacing w:val="-9"/>
        </w:rPr>
        <w:t xml:space="preserve"> </w:t>
      </w:r>
      <w:r>
        <w:t>Firm’s</w:t>
      </w:r>
      <w:r>
        <w:rPr>
          <w:spacing w:val="-8"/>
        </w:rPr>
        <w:t xml:space="preserve"> </w:t>
      </w:r>
      <w:r>
        <w:t>Audit</w:t>
      </w:r>
      <w:r>
        <w:rPr>
          <w:spacing w:val="-8"/>
        </w:rPr>
        <w:t xml:space="preserve"> </w:t>
      </w:r>
      <w:r>
        <w:rPr>
          <w:spacing w:val="-4"/>
        </w:rPr>
        <w:t>Work</w:t>
      </w:r>
    </w:p>
    <w:p w14:paraId="0DFDB084" w14:textId="77777777" w:rsidR="00046465" w:rsidRDefault="008134EB">
      <w:pPr>
        <w:pStyle w:val="ListParagraph"/>
        <w:numPr>
          <w:ilvl w:val="0"/>
          <w:numId w:val="13"/>
        </w:numPr>
        <w:tabs>
          <w:tab w:val="left" w:pos="1800"/>
        </w:tabs>
        <w:spacing w:before="119"/>
        <w:ind w:left="1800" w:right="848"/>
      </w:pPr>
      <w:r>
        <w:t>The</w:t>
      </w:r>
      <w:r>
        <w:rPr>
          <w:spacing w:val="-3"/>
        </w:rPr>
        <w:t xml:space="preserve"> </w:t>
      </w:r>
      <w:r>
        <w:t>IG</w:t>
      </w:r>
      <w:r>
        <w:rPr>
          <w:spacing w:val="-4"/>
        </w:rPr>
        <w:t xml:space="preserve"> </w:t>
      </w:r>
      <w:r>
        <w:t>should</w:t>
      </w:r>
      <w:r>
        <w:rPr>
          <w:spacing w:val="-3"/>
        </w:rPr>
        <w:t xml:space="preserve"> </w:t>
      </w:r>
      <w:r>
        <w:t>determine</w:t>
      </w:r>
      <w:r>
        <w:rPr>
          <w:spacing w:val="-3"/>
        </w:rPr>
        <w:t xml:space="preserve"> </w:t>
      </w:r>
      <w:r>
        <w:t>the</w:t>
      </w:r>
      <w:r>
        <w:rPr>
          <w:spacing w:val="-3"/>
        </w:rPr>
        <w:t xml:space="preserve"> </w:t>
      </w:r>
      <w:r>
        <w:t>type</w:t>
      </w:r>
      <w:r>
        <w:rPr>
          <w:spacing w:val="-3"/>
        </w:rPr>
        <w:t xml:space="preserve"> </w:t>
      </w:r>
      <w:r>
        <w:t>of</w:t>
      </w:r>
      <w:r>
        <w:rPr>
          <w:spacing w:val="-4"/>
        </w:rPr>
        <w:t xml:space="preserve"> </w:t>
      </w:r>
      <w:r>
        <w:t>written</w:t>
      </w:r>
      <w:r>
        <w:rPr>
          <w:spacing w:val="-3"/>
        </w:rPr>
        <w:t xml:space="preserve"> </w:t>
      </w:r>
      <w:r>
        <w:t>communication</w:t>
      </w:r>
      <w:r>
        <w:rPr>
          <w:spacing w:val="-3"/>
        </w:rPr>
        <w:t xml:space="preserve"> </w:t>
      </w:r>
      <w:r>
        <w:t>it</w:t>
      </w:r>
      <w:r>
        <w:rPr>
          <w:spacing w:val="-3"/>
        </w:rPr>
        <w:t xml:space="preserve"> </w:t>
      </w:r>
      <w:r>
        <w:t>will</w:t>
      </w:r>
      <w:r>
        <w:rPr>
          <w:spacing w:val="-3"/>
        </w:rPr>
        <w:t xml:space="preserve"> </w:t>
      </w:r>
      <w:r>
        <w:t>issue</w:t>
      </w:r>
      <w:r>
        <w:rPr>
          <w:spacing w:val="-3"/>
        </w:rPr>
        <w:t xml:space="preserve"> </w:t>
      </w:r>
      <w:r>
        <w:t>and</w:t>
      </w:r>
      <w:r>
        <w:rPr>
          <w:spacing w:val="-3"/>
        </w:rPr>
        <w:t xml:space="preserve"> </w:t>
      </w:r>
      <w:r>
        <w:t>then develop a strategy and plan for overseeing the IPA firm’s work. The strategy should be driven by a risk-based approach, which depends on the type of communication the IG plans to issue. The IG should document in an oversight plan the strategy and plan for overseeing the IPA firm’s work, including the planned level of review. The IG should reevaluate the strategy and plan as the work progresses.</w:t>
      </w:r>
    </w:p>
    <w:p w14:paraId="0DFDB085" w14:textId="77777777" w:rsidR="00046465" w:rsidRDefault="008134EB">
      <w:pPr>
        <w:pStyle w:val="BodyText"/>
        <w:spacing w:before="121"/>
        <w:ind w:left="1800" w:right="909" w:hanging="1"/>
        <w:jc w:val="both"/>
      </w:pPr>
      <w:r>
        <w:t>The</w:t>
      </w:r>
      <w:r>
        <w:rPr>
          <w:spacing w:val="-3"/>
        </w:rPr>
        <w:t xml:space="preserve"> </w:t>
      </w:r>
      <w:r>
        <w:t>table</w:t>
      </w:r>
      <w:r>
        <w:rPr>
          <w:spacing w:val="-3"/>
        </w:rPr>
        <w:t xml:space="preserve"> </w:t>
      </w:r>
      <w:r>
        <w:t>below</w:t>
      </w:r>
      <w:r>
        <w:rPr>
          <w:spacing w:val="-3"/>
        </w:rPr>
        <w:t xml:space="preserve"> </w:t>
      </w:r>
      <w:r>
        <w:t>provides</w:t>
      </w:r>
      <w:r>
        <w:rPr>
          <w:spacing w:val="-4"/>
        </w:rPr>
        <w:t xml:space="preserve"> </w:t>
      </w:r>
      <w:r>
        <w:t>the</w:t>
      </w:r>
      <w:r>
        <w:rPr>
          <w:spacing w:val="-3"/>
        </w:rPr>
        <w:t xml:space="preserve"> </w:t>
      </w:r>
      <w:r>
        <w:t>minimum</w:t>
      </w:r>
      <w:r>
        <w:rPr>
          <w:spacing w:val="-4"/>
        </w:rPr>
        <w:t xml:space="preserve"> </w:t>
      </w:r>
      <w:r>
        <w:t>level</w:t>
      </w:r>
      <w:r>
        <w:rPr>
          <w:spacing w:val="-3"/>
        </w:rPr>
        <w:t xml:space="preserve"> </w:t>
      </w:r>
      <w:r>
        <w:t>of</w:t>
      </w:r>
      <w:r>
        <w:rPr>
          <w:spacing w:val="-3"/>
        </w:rPr>
        <w:t xml:space="preserve"> </w:t>
      </w:r>
      <w:r>
        <w:t>review</w:t>
      </w:r>
      <w:r>
        <w:rPr>
          <w:spacing w:val="-4"/>
        </w:rPr>
        <w:t xml:space="preserve"> </w:t>
      </w:r>
      <w:r>
        <w:t>the</w:t>
      </w:r>
      <w:r>
        <w:rPr>
          <w:spacing w:val="-3"/>
        </w:rPr>
        <w:t xml:space="preserve"> </w:t>
      </w:r>
      <w:r>
        <w:t>IG</w:t>
      </w:r>
      <w:r>
        <w:rPr>
          <w:spacing w:val="-4"/>
        </w:rPr>
        <w:t xml:space="preserve"> </w:t>
      </w:r>
      <w:r>
        <w:t>should</w:t>
      </w:r>
      <w:r>
        <w:rPr>
          <w:spacing w:val="-3"/>
        </w:rPr>
        <w:t xml:space="preserve"> </w:t>
      </w:r>
      <w:r>
        <w:t>perform</w:t>
      </w:r>
      <w:r>
        <w:rPr>
          <w:spacing w:val="-4"/>
        </w:rPr>
        <w:t xml:space="preserve"> </w:t>
      </w:r>
      <w:r>
        <w:t>for each</w:t>
      </w:r>
      <w:r>
        <w:rPr>
          <w:spacing w:val="-3"/>
        </w:rPr>
        <w:t xml:space="preserve"> </w:t>
      </w:r>
      <w:r>
        <w:t>type</w:t>
      </w:r>
      <w:r>
        <w:rPr>
          <w:spacing w:val="-3"/>
        </w:rPr>
        <w:t xml:space="preserve"> </w:t>
      </w:r>
      <w:r>
        <w:t>of</w:t>
      </w:r>
      <w:r>
        <w:rPr>
          <w:spacing w:val="-4"/>
        </w:rPr>
        <w:t xml:space="preserve"> </w:t>
      </w:r>
      <w:r>
        <w:t>communication.</w:t>
      </w:r>
      <w:r>
        <w:rPr>
          <w:spacing w:val="-3"/>
        </w:rPr>
        <w:t xml:space="preserve"> </w:t>
      </w:r>
      <w:r>
        <w:t>The</w:t>
      </w:r>
      <w:r>
        <w:rPr>
          <w:spacing w:val="-3"/>
        </w:rPr>
        <w:t xml:space="preserve"> </w:t>
      </w:r>
      <w:r>
        <w:t>IG</w:t>
      </w:r>
      <w:r>
        <w:rPr>
          <w:spacing w:val="-4"/>
        </w:rPr>
        <w:t xml:space="preserve"> </w:t>
      </w:r>
      <w:r>
        <w:t>uses</w:t>
      </w:r>
      <w:r>
        <w:rPr>
          <w:spacing w:val="-3"/>
        </w:rPr>
        <w:t xml:space="preserve"> </w:t>
      </w:r>
      <w:r>
        <w:t>professional</w:t>
      </w:r>
      <w:r>
        <w:rPr>
          <w:spacing w:val="-3"/>
        </w:rPr>
        <w:t xml:space="preserve"> </w:t>
      </w:r>
      <w:r>
        <w:t>judgment</w:t>
      </w:r>
      <w:r>
        <w:rPr>
          <w:spacing w:val="-3"/>
        </w:rPr>
        <w:t xml:space="preserve"> </w:t>
      </w:r>
      <w:r>
        <w:t>in</w:t>
      </w:r>
      <w:r>
        <w:rPr>
          <w:spacing w:val="-3"/>
        </w:rPr>
        <w:t xml:space="preserve"> </w:t>
      </w:r>
      <w:r>
        <w:t>determining the</w:t>
      </w:r>
      <w:r>
        <w:rPr>
          <w:spacing w:val="-3"/>
        </w:rPr>
        <w:t xml:space="preserve"> </w:t>
      </w:r>
      <w:r>
        <w:t>level</w:t>
      </w:r>
      <w:r>
        <w:rPr>
          <w:spacing w:val="-3"/>
        </w:rPr>
        <w:t xml:space="preserve"> </w:t>
      </w:r>
      <w:r>
        <w:t>of</w:t>
      </w:r>
      <w:r>
        <w:rPr>
          <w:spacing w:val="-3"/>
        </w:rPr>
        <w:t xml:space="preserve"> </w:t>
      </w:r>
      <w:r>
        <w:t>review</w:t>
      </w:r>
      <w:r>
        <w:rPr>
          <w:spacing w:val="-4"/>
        </w:rPr>
        <w:t xml:space="preserve"> </w:t>
      </w:r>
      <w:r>
        <w:t>to</w:t>
      </w:r>
      <w:r>
        <w:rPr>
          <w:spacing w:val="-3"/>
        </w:rPr>
        <w:t xml:space="preserve"> </w:t>
      </w:r>
      <w:r>
        <w:t>perform.</w:t>
      </w:r>
      <w:r>
        <w:rPr>
          <w:spacing w:val="-3"/>
        </w:rPr>
        <w:t xml:space="preserve"> </w:t>
      </w:r>
      <w:r>
        <w:t>The</w:t>
      </w:r>
      <w:r>
        <w:rPr>
          <w:spacing w:val="-3"/>
        </w:rPr>
        <w:t xml:space="preserve"> </w:t>
      </w:r>
      <w:r>
        <w:t>IG</w:t>
      </w:r>
      <w:r>
        <w:rPr>
          <w:spacing w:val="-4"/>
        </w:rPr>
        <w:t xml:space="preserve"> </w:t>
      </w:r>
      <w:r>
        <w:t>may</w:t>
      </w:r>
      <w:r>
        <w:rPr>
          <w:spacing w:val="-3"/>
        </w:rPr>
        <w:t xml:space="preserve"> </w:t>
      </w:r>
      <w:r>
        <w:t>determine</w:t>
      </w:r>
      <w:r>
        <w:rPr>
          <w:spacing w:val="-3"/>
        </w:rPr>
        <w:t xml:space="preserve"> </w:t>
      </w:r>
      <w:r>
        <w:t>that</w:t>
      </w:r>
      <w:r>
        <w:rPr>
          <w:spacing w:val="-3"/>
        </w:rPr>
        <w:t xml:space="preserve"> </w:t>
      </w:r>
      <w:r>
        <w:t>additional</w:t>
      </w:r>
      <w:r>
        <w:rPr>
          <w:spacing w:val="-3"/>
        </w:rPr>
        <w:t xml:space="preserve"> </w:t>
      </w:r>
      <w:r>
        <w:t>procedures are appropriate under each type of communication.</w:t>
      </w:r>
    </w:p>
    <w:p w14:paraId="0DFDB086" w14:textId="77777777" w:rsidR="00046465" w:rsidRDefault="008134EB">
      <w:pPr>
        <w:spacing w:before="119"/>
        <w:ind w:left="1800"/>
        <w:jc w:val="both"/>
        <w:rPr>
          <w:b/>
        </w:rPr>
      </w:pPr>
      <w:r>
        <w:rPr>
          <w:b/>
        </w:rPr>
        <w:t>Table</w:t>
      </w:r>
      <w:r>
        <w:rPr>
          <w:b/>
          <w:spacing w:val="-6"/>
        </w:rPr>
        <w:t xml:space="preserve"> </w:t>
      </w:r>
      <w:r>
        <w:rPr>
          <w:b/>
        </w:rPr>
        <w:t>670.1:</w:t>
      </w:r>
      <w:r>
        <w:rPr>
          <w:b/>
          <w:spacing w:val="-5"/>
        </w:rPr>
        <w:t xml:space="preserve"> </w:t>
      </w:r>
      <w:r>
        <w:rPr>
          <w:b/>
        </w:rPr>
        <w:t>Minimum</w:t>
      </w:r>
      <w:r>
        <w:rPr>
          <w:b/>
          <w:spacing w:val="-6"/>
        </w:rPr>
        <w:t xml:space="preserve"> </w:t>
      </w:r>
      <w:r>
        <w:rPr>
          <w:b/>
        </w:rPr>
        <w:t>Level</w:t>
      </w:r>
      <w:r>
        <w:rPr>
          <w:b/>
          <w:spacing w:val="-6"/>
        </w:rPr>
        <w:t xml:space="preserve"> </w:t>
      </w:r>
      <w:r>
        <w:rPr>
          <w:b/>
        </w:rPr>
        <w:t>of</w:t>
      </w:r>
      <w:r>
        <w:rPr>
          <w:b/>
          <w:spacing w:val="-5"/>
        </w:rPr>
        <w:t xml:space="preserve"> </w:t>
      </w:r>
      <w:r>
        <w:rPr>
          <w:b/>
        </w:rPr>
        <w:t>Review</w:t>
      </w:r>
      <w:r>
        <w:rPr>
          <w:b/>
          <w:spacing w:val="-6"/>
        </w:rPr>
        <w:t xml:space="preserve"> </w:t>
      </w:r>
      <w:r>
        <w:rPr>
          <w:b/>
        </w:rPr>
        <w:t>for</w:t>
      </w:r>
      <w:r>
        <w:rPr>
          <w:b/>
          <w:spacing w:val="-6"/>
        </w:rPr>
        <w:t xml:space="preserve"> </w:t>
      </w:r>
      <w:r>
        <w:rPr>
          <w:b/>
        </w:rPr>
        <w:t>Each</w:t>
      </w:r>
      <w:r>
        <w:rPr>
          <w:b/>
          <w:spacing w:val="-5"/>
        </w:rPr>
        <w:t xml:space="preserve"> </w:t>
      </w:r>
      <w:r>
        <w:rPr>
          <w:b/>
        </w:rPr>
        <w:t>Type</w:t>
      </w:r>
      <w:r>
        <w:rPr>
          <w:b/>
          <w:spacing w:val="-6"/>
        </w:rPr>
        <w:t xml:space="preserve"> </w:t>
      </w:r>
      <w:r>
        <w:rPr>
          <w:b/>
        </w:rPr>
        <w:t>of</w:t>
      </w:r>
      <w:r>
        <w:rPr>
          <w:b/>
          <w:spacing w:val="-7"/>
        </w:rPr>
        <w:t xml:space="preserve"> </w:t>
      </w:r>
      <w:r>
        <w:rPr>
          <w:b/>
          <w:spacing w:val="-2"/>
        </w:rPr>
        <w:t>Communication</w:t>
      </w:r>
    </w:p>
    <w:p w14:paraId="0DFDB087" w14:textId="77777777" w:rsidR="00046465" w:rsidRDefault="00046465">
      <w:pPr>
        <w:pStyle w:val="BodyText"/>
        <w:spacing w:before="5" w:after="1"/>
        <w:rPr>
          <w:b/>
          <w:sz w:val="10"/>
        </w:rPr>
      </w:pPr>
    </w:p>
    <w:tbl>
      <w:tblPr>
        <w:tblW w:w="0" w:type="auto"/>
        <w:tblInd w:w="1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860"/>
        <w:gridCol w:w="3060"/>
      </w:tblGrid>
      <w:tr w:rsidR="00046465" w14:paraId="0DFDB08A" w14:textId="77777777">
        <w:trPr>
          <w:trHeight w:val="601"/>
        </w:trPr>
        <w:tc>
          <w:tcPr>
            <w:tcW w:w="4860" w:type="dxa"/>
          </w:tcPr>
          <w:p w14:paraId="0DFDB088" w14:textId="77777777" w:rsidR="00046465" w:rsidRDefault="008134EB">
            <w:pPr>
              <w:pStyle w:val="TableParagraph"/>
              <w:spacing w:before="76" w:line="250" w:lineRule="atLeast"/>
              <w:ind w:left="107" w:right="1774" w:firstLine="1"/>
              <w:rPr>
                <w:b/>
              </w:rPr>
            </w:pPr>
            <w:r>
              <w:rPr>
                <w:b/>
              </w:rPr>
              <w:t>Type</w:t>
            </w:r>
            <w:r>
              <w:rPr>
                <w:b/>
                <w:spacing w:val="-16"/>
              </w:rPr>
              <w:t xml:space="preserve"> </w:t>
            </w:r>
            <w:r>
              <w:rPr>
                <w:b/>
              </w:rPr>
              <w:t>of</w:t>
            </w:r>
            <w:r>
              <w:rPr>
                <w:b/>
                <w:spacing w:val="-15"/>
              </w:rPr>
              <w:t xml:space="preserve"> </w:t>
            </w:r>
            <w:r>
              <w:rPr>
                <w:b/>
              </w:rPr>
              <w:t>communication (FAM 670.23)</w:t>
            </w:r>
          </w:p>
        </w:tc>
        <w:tc>
          <w:tcPr>
            <w:tcW w:w="3060" w:type="dxa"/>
          </w:tcPr>
          <w:p w14:paraId="0DFDB089" w14:textId="77777777" w:rsidR="00046465" w:rsidRDefault="008134EB">
            <w:pPr>
              <w:pStyle w:val="TableParagraph"/>
              <w:spacing w:before="76" w:line="250" w:lineRule="atLeast"/>
              <w:ind w:left="107"/>
              <w:rPr>
                <w:b/>
              </w:rPr>
            </w:pPr>
            <w:r>
              <w:rPr>
                <w:b/>
              </w:rPr>
              <w:t>Minimum</w:t>
            </w:r>
            <w:r>
              <w:rPr>
                <w:b/>
                <w:spacing w:val="-13"/>
              </w:rPr>
              <w:t xml:space="preserve"> </w:t>
            </w:r>
            <w:r>
              <w:rPr>
                <w:b/>
              </w:rPr>
              <w:t>level</w:t>
            </w:r>
            <w:r>
              <w:rPr>
                <w:b/>
                <w:spacing w:val="-13"/>
              </w:rPr>
              <w:t xml:space="preserve"> </w:t>
            </w:r>
            <w:r>
              <w:rPr>
                <w:b/>
              </w:rPr>
              <w:t>of</w:t>
            </w:r>
            <w:r>
              <w:rPr>
                <w:b/>
                <w:spacing w:val="-13"/>
              </w:rPr>
              <w:t xml:space="preserve"> </w:t>
            </w:r>
            <w:r>
              <w:rPr>
                <w:b/>
              </w:rPr>
              <w:t>review (FAM 670.10)</w:t>
            </w:r>
          </w:p>
        </w:tc>
      </w:tr>
      <w:tr w:rsidR="00046465" w14:paraId="0DFDB08D" w14:textId="77777777">
        <w:trPr>
          <w:trHeight w:val="587"/>
        </w:trPr>
        <w:tc>
          <w:tcPr>
            <w:tcW w:w="4860" w:type="dxa"/>
          </w:tcPr>
          <w:p w14:paraId="0DFDB08B" w14:textId="77777777" w:rsidR="00046465" w:rsidRDefault="008134EB">
            <w:pPr>
              <w:pStyle w:val="TableParagraph"/>
              <w:ind w:left="107"/>
            </w:pPr>
            <w:r>
              <w:t>Expresses</w:t>
            </w:r>
            <w:r>
              <w:rPr>
                <w:spacing w:val="-8"/>
              </w:rPr>
              <w:t xml:space="preserve"> </w:t>
            </w:r>
            <w:r>
              <w:t>no</w:t>
            </w:r>
            <w:r>
              <w:rPr>
                <w:spacing w:val="-7"/>
              </w:rPr>
              <w:t xml:space="preserve"> </w:t>
            </w:r>
            <w:r>
              <w:rPr>
                <w:spacing w:val="-2"/>
              </w:rPr>
              <w:t>assurance</w:t>
            </w:r>
          </w:p>
        </w:tc>
        <w:tc>
          <w:tcPr>
            <w:tcW w:w="3060" w:type="dxa"/>
          </w:tcPr>
          <w:p w14:paraId="0DFDB08C" w14:textId="77777777" w:rsidR="00046465" w:rsidRDefault="008134EB">
            <w:pPr>
              <w:pStyle w:val="TableParagraph"/>
              <w:ind w:left="107"/>
            </w:pPr>
            <w:r>
              <w:rPr>
                <w:spacing w:val="-5"/>
              </w:rPr>
              <w:t>Low</w:t>
            </w:r>
          </w:p>
        </w:tc>
      </w:tr>
      <w:tr w:rsidR="00046465" w14:paraId="0DFDB090" w14:textId="77777777">
        <w:trPr>
          <w:trHeight w:val="796"/>
        </w:trPr>
        <w:tc>
          <w:tcPr>
            <w:tcW w:w="4860" w:type="dxa"/>
          </w:tcPr>
          <w:p w14:paraId="0DFDB08E" w14:textId="77777777" w:rsidR="00046465" w:rsidRDefault="008134EB">
            <w:pPr>
              <w:pStyle w:val="TableParagraph"/>
              <w:spacing w:before="1"/>
              <w:ind w:left="107" w:right="192"/>
            </w:pPr>
            <w:r>
              <w:t>Expresses</w:t>
            </w:r>
            <w:r>
              <w:rPr>
                <w:spacing w:val="-8"/>
              </w:rPr>
              <w:t xml:space="preserve"> </w:t>
            </w:r>
            <w:r>
              <w:t>negative</w:t>
            </w:r>
            <w:r>
              <w:rPr>
                <w:spacing w:val="-8"/>
              </w:rPr>
              <w:t xml:space="preserve"> </w:t>
            </w:r>
            <w:r>
              <w:t>assurance</w:t>
            </w:r>
            <w:r>
              <w:rPr>
                <w:spacing w:val="-8"/>
              </w:rPr>
              <w:t xml:space="preserve"> </w:t>
            </w:r>
            <w:r>
              <w:t>on</w:t>
            </w:r>
            <w:r>
              <w:rPr>
                <w:spacing w:val="-7"/>
              </w:rPr>
              <w:t xml:space="preserve"> </w:t>
            </w:r>
            <w:r>
              <w:t>the</w:t>
            </w:r>
            <w:r>
              <w:rPr>
                <w:spacing w:val="-8"/>
              </w:rPr>
              <w:t xml:space="preserve"> </w:t>
            </w:r>
            <w:r>
              <w:t>IPA firm’s compliance with GAGAS</w:t>
            </w:r>
          </w:p>
        </w:tc>
        <w:tc>
          <w:tcPr>
            <w:tcW w:w="3060" w:type="dxa"/>
          </w:tcPr>
          <w:p w14:paraId="0DFDB08F" w14:textId="77777777" w:rsidR="00046465" w:rsidRDefault="008134EB">
            <w:pPr>
              <w:pStyle w:val="TableParagraph"/>
              <w:spacing w:before="1"/>
              <w:ind w:left="107"/>
            </w:pPr>
            <w:r>
              <w:rPr>
                <w:spacing w:val="-2"/>
              </w:rPr>
              <w:t>Moderate</w:t>
            </w:r>
          </w:p>
        </w:tc>
      </w:tr>
    </w:tbl>
    <w:p w14:paraId="0DFDB091" w14:textId="77777777" w:rsidR="00046465" w:rsidRDefault="008134EB">
      <w:pPr>
        <w:pStyle w:val="BodyText"/>
        <w:spacing w:before="120"/>
        <w:ind w:left="1800" w:right="773"/>
      </w:pPr>
      <w:r>
        <w:t>The IG generally should also consider the extent to which the IPA firm has completed its work when determining the timing of the IG’s review. Prior to the IG’s</w:t>
      </w:r>
      <w:r>
        <w:rPr>
          <w:spacing w:val="-3"/>
        </w:rPr>
        <w:t xml:space="preserve"> </w:t>
      </w:r>
      <w:r>
        <w:t>review,</w:t>
      </w:r>
      <w:r>
        <w:rPr>
          <w:spacing w:val="-4"/>
        </w:rPr>
        <w:t xml:space="preserve"> </w:t>
      </w:r>
      <w:r>
        <w:t>the</w:t>
      </w:r>
      <w:r>
        <w:rPr>
          <w:spacing w:val="-3"/>
        </w:rPr>
        <w:t xml:space="preserve"> </w:t>
      </w:r>
      <w:r>
        <w:t>IPA</w:t>
      </w:r>
      <w:r>
        <w:rPr>
          <w:spacing w:val="-3"/>
        </w:rPr>
        <w:t xml:space="preserve"> </w:t>
      </w:r>
      <w:r>
        <w:t>firm</w:t>
      </w:r>
      <w:r>
        <w:rPr>
          <w:spacing w:val="-3"/>
        </w:rPr>
        <w:t xml:space="preserve"> </w:t>
      </w:r>
      <w:r>
        <w:t>should</w:t>
      </w:r>
      <w:r>
        <w:rPr>
          <w:spacing w:val="-3"/>
        </w:rPr>
        <w:t xml:space="preserve"> </w:t>
      </w:r>
      <w:r>
        <w:t>have</w:t>
      </w:r>
      <w:r>
        <w:rPr>
          <w:spacing w:val="-4"/>
        </w:rPr>
        <w:t xml:space="preserve"> </w:t>
      </w:r>
      <w:r>
        <w:t>performed</w:t>
      </w:r>
      <w:r>
        <w:rPr>
          <w:spacing w:val="-3"/>
        </w:rPr>
        <w:t xml:space="preserve"> </w:t>
      </w:r>
      <w:r>
        <w:t>at</w:t>
      </w:r>
      <w:r>
        <w:rPr>
          <w:spacing w:val="-3"/>
        </w:rPr>
        <w:t xml:space="preserve"> </w:t>
      </w:r>
      <w:r>
        <w:t>least</w:t>
      </w:r>
      <w:r>
        <w:rPr>
          <w:spacing w:val="-3"/>
        </w:rPr>
        <w:t xml:space="preserve"> </w:t>
      </w:r>
      <w:r>
        <w:t>one</w:t>
      </w:r>
      <w:r>
        <w:rPr>
          <w:spacing w:val="-4"/>
        </w:rPr>
        <w:t xml:space="preserve"> </w:t>
      </w:r>
      <w:r>
        <w:t>level</w:t>
      </w:r>
      <w:r>
        <w:rPr>
          <w:spacing w:val="-3"/>
        </w:rPr>
        <w:t xml:space="preserve"> </w:t>
      </w:r>
      <w:r>
        <w:t>of</w:t>
      </w:r>
      <w:r>
        <w:rPr>
          <w:spacing w:val="-4"/>
        </w:rPr>
        <w:t xml:space="preserve"> </w:t>
      </w:r>
      <w:r>
        <w:t>supervisory review of the evidence that supports the findings and conclusions contained in the audit report.</w:t>
      </w:r>
    </w:p>
    <w:p w14:paraId="0DFDB092" w14:textId="77777777" w:rsidR="00046465" w:rsidRDefault="008134EB">
      <w:pPr>
        <w:pStyle w:val="ListParagraph"/>
        <w:numPr>
          <w:ilvl w:val="0"/>
          <w:numId w:val="13"/>
        </w:numPr>
        <w:tabs>
          <w:tab w:val="left" w:pos="1800"/>
        </w:tabs>
        <w:ind w:left="1800" w:right="883"/>
      </w:pPr>
      <w:r>
        <w:t>The</w:t>
      </w:r>
      <w:r>
        <w:rPr>
          <w:spacing w:val="-4"/>
        </w:rPr>
        <w:t xml:space="preserve"> </w:t>
      </w:r>
      <w:r>
        <w:t>IG</w:t>
      </w:r>
      <w:r>
        <w:rPr>
          <w:spacing w:val="-5"/>
        </w:rPr>
        <w:t xml:space="preserve"> </w:t>
      </w:r>
      <w:r>
        <w:t>should</w:t>
      </w:r>
      <w:r>
        <w:rPr>
          <w:spacing w:val="-4"/>
        </w:rPr>
        <w:t xml:space="preserve"> </w:t>
      </w:r>
      <w:r>
        <w:t>use</w:t>
      </w:r>
      <w:r>
        <w:rPr>
          <w:spacing w:val="-4"/>
        </w:rPr>
        <w:t xml:space="preserve"> </w:t>
      </w:r>
      <w:r>
        <w:t>professional</w:t>
      </w:r>
      <w:r>
        <w:rPr>
          <w:spacing w:val="-5"/>
        </w:rPr>
        <w:t xml:space="preserve"> </w:t>
      </w:r>
      <w:r>
        <w:t>judgment</w:t>
      </w:r>
      <w:r>
        <w:rPr>
          <w:spacing w:val="-3"/>
        </w:rPr>
        <w:t xml:space="preserve"> </w:t>
      </w:r>
      <w:r>
        <w:t>in</w:t>
      </w:r>
      <w:r>
        <w:rPr>
          <w:spacing w:val="-4"/>
        </w:rPr>
        <w:t xml:space="preserve"> </w:t>
      </w:r>
      <w:r>
        <w:t>determining</w:t>
      </w:r>
      <w:r>
        <w:rPr>
          <w:spacing w:val="-4"/>
        </w:rPr>
        <w:t xml:space="preserve"> </w:t>
      </w:r>
      <w:r>
        <w:t>the</w:t>
      </w:r>
      <w:r>
        <w:rPr>
          <w:spacing w:val="-4"/>
        </w:rPr>
        <w:t xml:space="preserve"> </w:t>
      </w:r>
      <w:r>
        <w:t>appropriate</w:t>
      </w:r>
      <w:r>
        <w:rPr>
          <w:spacing w:val="-4"/>
        </w:rPr>
        <w:t xml:space="preserve"> </w:t>
      </w:r>
      <w:r>
        <w:t>level</w:t>
      </w:r>
      <w:r>
        <w:rPr>
          <w:spacing w:val="-4"/>
        </w:rPr>
        <w:t xml:space="preserve"> </w:t>
      </w:r>
      <w:r>
        <w:t>of review, considering the following factors:</w:t>
      </w:r>
    </w:p>
    <w:p w14:paraId="0DFDB093" w14:textId="77777777" w:rsidR="00046465" w:rsidRDefault="008134EB">
      <w:pPr>
        <w:pStyle w:val="ListParagraph"/>
        <w:numPr>
          <w:ilvl w:val="1"/>
          <w:numId w:val="13"/>
        </w:numPr>
        <w:tabs>
          <w:tab w:val="left" w:pos="2160"/>
        </w:tabs>
        <w:ind w:right="1381"/>
      </w:pPr>
      <w:r>
        <w:rPr>
          <w:b/>
        </w:rPr>
        <w:t xml:space="preserve">The type of communication the IG will issue. </w:t>
      </w:r>
      <w:r>
        <w:t>More review will be necessary when the IG issues a transmittal letter expressing negative assurance</w:t>
      </w:r>
      <w:r>
        <w:rPr>
          <w:spacing w:val="-4"/>
        </w:rPr>
        <w:t xml:space="preserve"> </w:t>
      </w:r>
      <w:r>
        <w:t>on</w:t>
      </w:r>
      <w:r>
        <w:rPr>
          <w:spacing w:val="-4"/>
        </w:rPr>
        <w:t xml:space="preserve"> </w:t>
      </w:r>
      <w:r>
        <w:t>the</w:t>
      </w:r>
      <w:r>
        <w:rPr>
          <w:spacing w:val="-4"/>
        </w:rPr>
        <w:t xml:space="preserve"> </w:t>
      </w:r>
      <w:r>
        <w:t>IPA</w:t>
      </w:r>
      <w:r>
        <w:rPr>
          <w:spacing w:val="-4"/>
        </w:rPr>
        <w:t xml:space="preserve"> </w:t>
      </w:r>
      <w:r>
        <w:t>firm’s</w:t>
      </w:r>
      <w:r>
        <w:rPr>
          <w:spacing w:val="-4"/>
        </w:rPr>
        <w:t xml:space="preserve"> </w:t>
      </w:r>
      <w:r>
        <w:t>compliance</w:t>
      </w:r>
      <w:r>
        <w:rPr>
          <w:spacing w:val="-4"/>
        </w:rPr>
        <w:t xml:space="preserve"> </w:t>
      </w:r>
      <w:r>
        <w:t>with</w:t>
      </w:r>
      <w:r>
        <w:rPr>
          <w:spacing w:val="-4"/>
        </w:rPr>
        <w:t xml:space="preserve"> </w:t>
      </w:r>
      <w:r>
        <w:t>GAGAS</w:t>
      </w:r>
      <w:r>
        <w:rPr>
          <w:spacing w:val="-4"/>
        </w:rPr>
        <w:t xml:space="preserve"> </w:t>
      </w:r>
      <w:r>
        <w:t>than</w:t>
      </w:r>
      <w:r>
        <w:rPr>
          <w:spacing w:val="-4"/>
        </w:rPr>
        <w:t xml:space="preserve"> </w:t>
      </w:r>
      <w:r>
        <w:t>when</w:t>
      </w:r>
      <w:r>
        <w:rPr>
          <w:spacing w:val="-4"/>
        </w:rPr>
        <w:t xml:space="preserve"> </w:t>
      </w:r>
      <w:r>
        <w:t>the</w:t>
      </w:r>
      <w:r>
        <w:rPr>
          <w:spacing w:val="-4"/>
        </w:rPr>
        <w:t xml:space="preserve"> </w:t>
      </w:r>
      <w:r>
        <w:t>IG provides no assurance (see FAM 670.23).</w:t>
      </w:r>
    </w:p>
    <w:p w14:paraId="0DFDB094" w14:textId="77777777" w:rsidR="00046465" w:rsidRDefault="008134EB">
      <w:pPr>
        <w:pStyle w:val="ListParagraph"/>
        <w:numPr>
          <w:ilvl w:val="1"/>
          <w:numId w:val="13"/>
        </w:numPr>
        <w:tabs>
          <w:tab w:val="left" w:pos="2160"/>
        </w:tabs>
        <w:ind w:right="942"/>
      </w:pPr>
      <w:r>
        <w:rPr>
          <w:b/>
        </w:rPr>
        <w:t>The IPA firm’s independence and objectivity (both for the audit organization</w:t>
      </w:r>
      <w:r>
        <w:rPr>
          <w:b/>
          <w:spacing w:val="-4"/>
        </w:rPr>
        <w:t xml:space="preserve"> </w:t>
      </w:r>
      <w:r>
        <w:rPr>
          <w:b/>
        </w:rPr>
        <w:t>and</w:t>
      </w:r>
      <w:r>
        <w:rPr>
          <w:b/>
          <w:spacing w:val="-4"/>
        </w:rPr>
        <w:t xml:space="preserve"> </w:t>
      </w:r>
      <w:r>
        <w:rPr>
          <w:b/>
        </w:rPr>
        <w:t>its</w:t>
      </w:r>
      <w:r>
        <w:rPr>
          <w:b/>
          <w:spacing w:val="-4"/>
        </w:rPr>
        <w:t xml:space="preserve"> </w:t>
      </w:r>
      <w:r>
        <w:rPr>
          <w:b/>
        </w:rPr>
        <w:t>engagement</w:t>
      </w:r>
      <w:r>
        <w:rPr>
          <w:b/>
          <w:spacing w:val="-4"/>
        </w:rPr>
        <w:t xml:space="preserve"> </w:t>
      </w:r>
      <w:r>
        <w:rPr>
          <w:b/>
        </w:rPr>
        <w:t>team).</w:t>
      </w:r>
      <w:r>
        <w:rPr>
          <w:b/>
          <w:spacing w:val="-4"/>
        </w:rPr>
        <w:t xml:space="preserve"> </w:t>
      </w:r>
      <w:r>
        <w:t>The</w:t>
      </w:r>
      <w:r>
        <w:rPr>
          <w:spacing w:val="-4"/>
        </w:rPr>
        <w:t xml:space="preserve"> </w:t>
      </w:r>
      <w:r>
        <w:t>level</w:t>
      </w:r>
      <w:r>
        <w:rPr>
          <w:spacing w:val="-4"/>
        </w:rPr>
        <w:t xml:space="preserve"> </w:t>
      </w:r>
      <w:r>
        <w:t>of</w:t>
      </w:r>
      <w:r>
        <w:rPr>
          <w:spacing w:val="-4"/>
        </w:rPr>
        <w:t xml:space="preserve"> </w:t>
      </w:r>
      <w:r>
        <w:t>review</w:t>
      </w:r>
      <w:r>
        <w:rPr>
          <w:spacing w:val="-5"/>
        </w:rPr>
        <w:t xml:space="preserve"> </w:t>
      </w:r>
      <w:r>
        <w:t>increases</w:t>
      </w:r>
      <w:r>
        <w:rPr>
          <w:spacing w:val="-5"/>
        </w:rPr>
        <w:t xml:space="preserve"> </w:t>
      </w:r>
      <w:r>
        <w:t>as threats to independence and objectivity increase.</w:t>
      </w:r>
    </w:p>
    <w:p w14:paraId="0DFDB095" w14:textId="77777777" w:rsidR="00046465" w:rsidRDefault="00046465">
      <w:pPr>
        <w:pStyle w:val="ListParagraph"/>
        <w:sectPr w:rsidR="00046465">
          <w:pgSz w:w="12240" w:h="15840"/>
          <w:pgMar w:top="1600" w:right="720" w:bottom="940" w:left="1080" w:header="721" w:footer="757" w:gutter="0"/>
          <w:cols w:space="720"/>
        </w:sectPr>
      </w:pPr>
    </w:p>
    <w:p w14:paraId="0DFDB096" w14:textId="77777777" w:rsidR="00046465" w:rsidRDefault="008134EB">
      <w:pPr>
        <w:pStyle w:val="ListParagraph"/>
        <w:numPr>
          <w:ilvl w:val="1"/>
          <w:numId w:val="13"/>
        </w:numPr>
        <w:tabs>
          <w:tab w:val="left" w:pos="2159"/>
        </w:tabs>
        <w:spacing w:before="121"/>
        <w:ind w:left="2159" w:right="943"/>
      </w:pPr>
      <w:r>
        <w:rPr>
          <w:b/>
        </w:rPr>
        <w:lastRenderedPageBreak/>
        <w:t>The IPA firm’s qualifications to perform the work (both for the audit organization</w:t>
      </w:r>
      <w:r>
        <w:rPr>
          <w:b/>
          <w:spacing w:val="-4"/>
        </w:rPr>
        <w:t xml:space="preserve"> </w:t>
      </w:r>
      <w:r>
        <w:rPr>
          <w:b/>
        </w:rPr>
        <w:t>and</w:t>
      </w:r>
      <w:r>
        <w:rPr>
          <w:b/>
          <w:spacing w:val="-4"/>
        </w:rPr>
        <w:t xml:space="preserve"> </w:t>
      </w:r>
      <w:r>
        <w:rPr>
          <w:b/>
        </w:rPr>
        <w:t>its</w:t>
      </w:r>
      <w:r>
        <w:rPr>
          <w:b/>
          <w:spacing w:val="-4"/>
        </w:rPr>
        <w:t xml:space="preserve"> </w:t>
      </w:r>
      <w:r>
        <w:rPr>
          <w:b/>
        </w:rPr>
        <w:t>engagement</w:t>
      </w:r>
      <w:r>
        <w:rPr>
          <w:b/>
          <w:spacing w:val="-4"/>
        </w:rPr>
        <w:t xml:space="preserve"> </w:t>
      </w:r>
      <w:r>
        <w:rPr>
          <w:b/>
        </w:rPr>
        <w:t>team).</w:t>
      </w:r>
      <w:r>
        <w:rPr>
          <w:b/>
          <w:spacing w:val="-4"/>
        </w:rPr>
        <w:t xml:space="preserve"> </w:t>
      </w:r>
      <w:r>
        <w:t>The</w:t>
      </w:r>
      <w:r>
        <w:rPr>
          <w:spacing w:val="-4"/>
        </w:rPr>
        <w:t xml:space="preserve"> </w:t>
      </w:r>
      <w:r>
        <w:t>level</w:t>
      </w:r>
      <w:r>
        <w:rPr>
          <w:spacing w:val="-4"/>
        </w:rPr>
        <w:t xml:space="preserve"> </w:t>
      </w:r>
      <w:r>
        <w:t>of</w:t>
      </w:r>
      <w:r>
        <w:rPr>
          <w:spacing w:val="-4"/>
        </w:rPr>
        <w:t xml:space="preserve"> </w:t>
      </w:r>
      <w:r>
        <w:t>review</w:t>
      </w:r>
      <w:r>
        <w:rPr>
          <w:spacing w:val="-5"/>
        </w:rPr>
        <w:t xml:space="preserve"> </w:t>
      </w:r>
      <w:r>
        <w:t>increases</w:t>
      </w:r>
      <w:r>
        <w:rPr>
          <w:spacing w:val="-5"/>
        </w:rPr>
        <w:t xml:space="preserve"> </w:t>
      </w:r>
      <w:r>
        <w:t>as the IPA firm’s qualifications decrease.</w:t>
      </w:r>
    </w:p>
    <w:p w14:paraId="0DFDB097" w14:textId="77777777" w:rsidR="00046465" w:rsidRDefault="008134EB">
      <w:pPr>
        <w:pStyle w:val="ListParagraph"/>
        <w:numPr>
          <w:ilvl w:val="1"/>
          <w:numId w:val="13"/>
        </w:numPr>
        <w:tabs>
          <w:tab w:val="left" w:pos="2160"/>
        </w:tabs>
        <w:spacing w:before="119"/>
        <w:ind w:right="1087"/>
      </w:pPr>
      <w:r>
        <w:rPr>
          <w:b/>
        </w:rPr>
        <w:t xml:space="preserve">The IG’s prior experience with the IPA firm (both for its audit organization and its engagement team). </w:t>
      </w:r>
      <w:r>
        <w:t>The level of review tends to decrease</w:t>
      </w:r>
      <w:r>
        <w:rPr>
          <w:spacing w:val="-4"/>
        </w:rPr>
        <w:t xml:space="preserve"> </w:t>
      </w:r>
      <w:r>
        <w:t>as</w:t>
      </w:r>
      <w:r>
        <w:rPr>
          <w:spacing w:val="-5"/>
        </w:rPr>
        <w:t xml:space="preserve"> </w:t>
      </w:r>
      <w:r>
        <w:t>the</w:t>
      </w:r>
      <w:r>
        <w:rPr>
          <w:spacing w:val="-4"/>
        </w:rPr>
        <w:t xml:space="preserve"> </w:t>
      </w:r>
      <w:r>
        <w:t>IG’s</w:t>
      </w:r>
      <w:r>
        <w:rPr>
          <w:spacing w:val="-4"/>
        </w:rPr>
        <w:t xml:space="preserve"> </w:t>
      </w:r>
      <w:r>
        <w:t>confidence</w:t>
      </w:r>
      <w:r>
        <w:rPr>
          <w:spacing w:val="-4"/>
        </w:rPr>
        <w:t xml:space="preserve"> </w:t>
      </w:r>
      <w:r>
        <w:t>increases</w:t>
      </w:r>
      <w:r>
        <w:rPr>
          <w:spacing w:val="-4"/>
        </w:rPr>
        <w:t xml:space="preserve"> </w:t>
      </w:r>
      <w:r>
        <w:t>from</w:t>
      </w:r>
      <w:r>
        <w:rPr>
          <w:spacing w:val="-5"/>
        </w:rPr>
        <w:t xml:space="preserve"> </w:t>
      </w:r>
      <w:r>
        <w:t>working</w:t>
      </w:r>
      <w:r>
        <w:rPr>
          <w:spacing w:val="-4"/>
        </w:rPr>
        <w:t xml:space="preserve"> </w:t>
      </w:r>
      <w:r>
        <w:t>with</w:t>
      </w:r>
      <w:r>
        <w:rPr>
          <w:spacing w:val="-4"/>
        </w:rPr>
        <w:t xml:space="preserve"> </w:t>
      </w:r>
      <w:r>
        <w:t>the</w:t>
      </w:r>
      <w:r>
        <w:rPr>
          <w:spacing w:val="-4"/>
        </w:rPr>
        <w:t xml:space="preserve"> </w:t>
      </w:r>
      <w:r>
        <w:t>IPA</w:t>
      </w:r>
      <w:r>
        <w:rPr>
          <w:spacing w:val="-4"/>
        </w:rPr>
        <w:t xml:space="preserve"> </w:t>
      </w:r>
      <w:r>
        <w:t>firm.</w:t>
      </w:r>
    </w:p>
    <w:p w14:paraId="0DFDB098" w14:textId="77777777" w:rsidR="00046465" w:rsidRDefault="008134EB">
      <w:pPr>
        <w:pStyle w:val="ListParagraph"/>
        <w:numPr>
          <w:ilvl w:val="1"/>
          <w:numId w:val="13"/>
        </w:numPr>
        <w:tabs>
          <w:tab w:val="left" w:pos="2160"/>
        </w:tabs>
        <w:ind w:right="784"/>
      </w:pPr>
      <w:r>
        <w:rPr>
          <w:b/>
        </w:rPr>
        <w:t>The</w:t>
      </w:r>
      <w:r>
        <w:rPr>
          <w:b/>
          <w:spacing w:val="-4"/>
        </w:rPr>
        <w:t xml:space="preserve"> </w:t>
      </w:r>
      <w:r>
        <w:rPr>
          <w:b/>
        </w:rPr>
        <w:t>materiality</w:t>
      </w:r>
      <w:r>
        <w:rPr>
          <w:b/>
          <w:spacing w:val="-4"/>
        </w:rPr>
        <w:t xml:space="preserve"> </w:t>
      </w:r>
      <w:r>
        <w:rPr>
          <w:b/>
        </w:rPr>
        <w:t>of</w:t>
      </w:r>
      <w:r>
        <w:rPr>
          <w:b/>
          <w:spacing w:val="-4"/>
        </w:rPr>
        <w:t xml:space="preserve"> </w:t>
      </w:r>
      <w:r>
        <w:rPr>
          <w:b/>
        </w:rPr>
        <w:t>line</w:t>
      </w:r>
      <w:r>
        <w:rPr>
          <w:b/>
          <w:spacing w:val="-5"/>
        </w:rPr>
        <w:t xml:space="preserve"> </w:t>
      </w:r>
      <w:r>
        <w:rPr>
          <w:b/>
        </w:rPr>
        <w:t>items,</w:t>
      </w:r>
      <w:r>
        <w:rPr>
          <w:b/>
          <w:spacing w:val="-4"/>
        </w:rPr>
        <w:t xml:space="preserve"> </w:t>
      </w:r>
      <w:r>
        <w:rPr>
          <w:b/>
        </w:rPr>
        <w:t>accounts,</w:t>
      </w:r>
      <w:r>
        <w:rPr>
          <w:b/>
          <w:spacing w:val="-4"/>
        </w:rPr>
        <w:t xml:space="preserve"> </w:t>
      </w:r>
      <w:r>
        <w:rPr>
          <w:b/>
        </w:rPr>
        <w:t>note</w:t>
      </w:r>
      <w:r>
        <w:rPr>
          <w:b/>
          <w:spacing w:val="-4"/>
        </w:rPr>
        <w:t xml:space="preserve"> </w:t>
      </w:r>
      <w:r>
        <w:rPr>
          <w:b/>
        </w:rPr>
        <w:t>disclosures,</w:t>
      </w:r>
      <w:r>
        <w:rPr>
          <w:b/>
          <w:spacing w:val="-4"/>
        </w:rPr>
        <w:t xml:space="preserve"> </w:t>
      </w:r>
      <w:r>
        <w:rPr>
          <w:b/>
        </w:rPr>
        <w:t>and</w:t>
      </w:r>
      <w:r>
        <w:rPr>
          <w:b/>
          <w:spacing w:val="-4"/>
        </w:rPr>
        <w:t xml:space="preserve"> </w:t>
      </w:r>
      <w:r>
        <w:rPr>
          <w:b/>
        </w:rPr>
        <w:t>classes</w:t>
      </w:r>
      <w:r>
        <w:rPr>
          <w:b/>
          <w:spacing w:val="-4"/>
        </w:rPr>
        <w:t xml:space="preserve"> </w:t>
      </w:r>
      <w:r>
        <w:rPr>
          <w:b/>
        </w:rPr>
        <w:t xml:space="preserve">of transactions. </w:t>
      </w:r>
      <w:r>
        <w:t xml:space="preserve">The level of review increases as the materiality of these items </w:t>
      </w:r>
      <w:r>
        <w:rPr>
          <w:spacing w:val="-2"/>
        </w:rPr>
        <w:t>increases.</w:t>
      </w:r>
    </w:p>
    <w:p w14:paraId="0DFDB099" w14:textId="77777777" w:rsidR="00046465" w:rsidRDefault="008134EB">
      <w:pPr>
        <w:pStyle w:val="ListParagraph"/>
        <w:numPr>
          <w:ilvl w:val="1"/>
          <w:numId w:val="13"/>
        </w:numPr>
        <w:tabs>
          <w:tab w:val="left" w:pos="2159"/>
        </w:tabs>
        <w:ind w:left="2159" w:right="793"/>
      </w:pPr>
      <w:r>
        <w:rPr>
          <w:b/>
        </w:rPr>
        <w:t>The risk of material misstatement due to error or fraud for the material line</w:t>
      </w:r>
      <w:r>
        <w:rPr>
          <w:b/>
          <w:spacing w:val="-4"/>
        </w:rPr>
        <w:t xml:space="preserve"> </w:t>
      </w:r>
      <w:r>
        <w:rPr>
          <w:b/>
        </w:rPr>
        <w:t>items,</w:t>
      </w:r>
      <w:r>
        <w:rPr>
          <w:b/>
          <w:spacing w:val="-4"/>
        </w:rPr>
        <w:t xml:space="preserve"> </w:t>
      </w:r>
      <w:r>
        <w:rPr>
          <w:b/>
        </w:rPr>
        <w:t>accounts,</w:t>
      </w:r>
      <w:r>
        <w:rPr>
          <w:b/>
          <w:spacing w:val="-4"/>
        </w:rPr>
        <w:t xml:space="preserve"> </w:t>
      </w:r>
      <w:r>
        <w:rPr>
          <w:b/>
        </w:rPr>
        <w:t>note</w:t>
      </w:r>
      <w:r>
        <w:rPr>
          <w:b/>
          <w:spacing w:val="-4"/>
        </w:rPr>
        <w:t xml:space="preserve"> </w:t>
      </w:r>
      <w:r>
        <w:rPr>
          <w:b/>
        </w:rPr>
        <w:t>disclosures,</w:t>
      </w:r>
      <w:r>
        <w:rPr>
          <w:b/>
          <w:spacing w:val="-4"/>
        </w:rPr>
        <w:t xml:space="preserve"> </w:t>
      </w:r>
      <w:r>
        <w:rPr>
          <w:b/>
        </w:rPr>
        <w:t>and</w:t>
      </w:r>
      <w:r>
        <w:rPr>
          <w:b/>
          <w:spacing w:val="-4"/>
        </w:rPr>
        <w:t xml:space="preserve"> </w:t>
      </w:r>
      <w:r>
        <w:rPr>
          <w:b/>
        </w:rPr>
        <w:t>classes</w:t>
      </w:r>
      <w:r>
        <w:rPr>
          <w:b/>
          <w:spacing w:val="-4"/>
        </w:rPr>
        <w:t xml:space="preserve"> </w:t>
      </w:r>
      <w:r>
        <w:rPr>
          <w:b/>
        </w:rPr>
        <w:t>of</w:t>
      </w:r>
      <w:r>
        <w:rPr>
          <w:b/>
          <w:spacing w:val="-4"/>
        </w:rPr>
        <w:t xml:space="preserve"> </w:t>
      </w:r>
      <w:r>
        <w:rPr>
          <w:b/>
        </w:rPr>
        <w:t>transactions.</w:t>
      </w:r>
      <w:r>
        <w:rPr>
          <w:b/>
          <w:spacing w:val="-4"/>
        </w:rPr>
        <w:t xml:space="preserve"> </w:t>
      </w:r>
      <w:r>
        <w:t>The level of review increases as the risk of material misstatement increases.</w:t>
      </w:r>
    </w:p>
    <w:p w14:paraId="0DFDB09A" w14:textId="77777777" w:rsidR="00046465" w:rsidRDefault="008134EB">
      <w:pPr>
        <w:pStyle w:val="ListParagraph"/>
        <w:numPr>
          <w:ilvl w:val="0"/>
          <w:numId w:val="205"/>
        </w:numPr>
        <w:tabs>
          <w:tab w:val="left" w:pos="1800"/>
        </w:tabs>
        <w:ind w:right="970"/>
      </w:pPr>
      <w:r>
        <w:t>The</w:t>
      </w:r>
      <w:r>
        <w:rPr>
          <w:spacing w:val="-3"/>
        </w:rPr>
        <w:t xml:space="preserve"> </w:t>
      </w:r>
      <w:r>
        <w:t>extent</w:t>
      </w:r>
      <w:r>
        <w:rPr>
          <w:spacing w:val="-3"/>
        </w:rPr>
        <w:t xml:space="preserve"> </w:t>
      </w:r>
      <w:r>
        <w:t>of</w:t>
      </w:r>
      <w:r>
        <w:rPr>
          <w:spacing w:val="-3"/>
        </w:rPr>
        <w:t xml:space="preserve"> </w:t>
      </w:r>
      <w:r>
        <w:t>the</w:t>
      </w:r>
      <w:r>
        <w:rPr>
          <w:spacing w:val="-3"/>
        </w:rPr>
        <w:t xml:space="preserve"> </w:t>
      </w:r>
      <w:r>
        <w:t>IG’s</w:t>
      </w:r>
      <w:r>
        <w:rPr>
          <w:spacing w:val="-3"/>
        </w:rPr>
        <w:t xml:space="preserve"> </w:t>
      </w:r>
      <w:r>
        <w:t>review</w:t>
      </w:r>
      <w:r>
        <w:rPr>
          <w:spacing w:val="-4"/>
        </w:rPr>
        <w:t xml:space="preserve"> </w:t>
      </w:r>
      <w:r>
        <w:t>of</w:t>
      </w:r>
      <w:r>
        <w:rPr>
          <w:spacing w:val="-3"/>
        </w:rPr>
        <w:t xml:space="preserve"> </w:t>
      </w:r>
      <w:r>
        <w:t>the</w:t>
      </w:r>
      <w:r>
        <w:rPr>
          <w:spacing w:val="-3"/>
        </w:rPr>
        <w:t xml:space="preserve"> </w:t>
      </w:r>
      <w:r>
        <w:t>IPA</w:t>
      </w:r>
      <w:r>
        <w:rPr>
          <w:spacing w:val="-3"/>
        </w:rPr>
        <w:t xml:space="preserve"> </w:t>
      </w:r>
      <w:r>
        <w:t>firm’s</w:t>
      </w:r>
      <w:r>
        <w:rPr>
          <w:spacing w:val="-3"/>
        </w:rPr>
        <w:t xml:space="preserve"> </w:t>
      </w:r>
      <w:r>
        <w:t>audit</w:t>
      </w:r>
      <w:r>
        <w:rPr>
          <w:spacing w:val="-3"/>
        </w:rPr>
        <w:t xml:space="preserve"> </w:t>
      </w:r>
      <w:r>
        <w:t>documentation</w:t>
      </w:r>
      <w:r>
        <w:rPr>
          <w:spacing w:val="-3"/>
        </w:rPr>
        <w:t xml:space="preserve"> </w:t>
      </w:r>
      <w:r>
        <w:t>depends</w:t>
      </w:r>
      <w:r>
        <w:rPr>
          <w:spacing w:val="-3"/>
        </w:rPr>
        <w:t xml:space="preserve"> </w:t>
      </w:r>
      <w:r>
        <w:t>on the level of review determined by the IG.</w:t>
      </w:r>
    </w:p>
    <w:p w14:paraId="0DFDB09B" w14:textId="77777777" w:rsidR="00046465" w:rsidRDefault="008134EB">
      <w:pPr>
        <w:pStyle w:val="ListParagraph"/>
        <w:numPr>
          <w:ilvl w:val="1"/>
          <w:numId w:val="205"/>
        </w:numPr>
        <w:tabs>
          <w:tab w:val="left" w:pos="2159"/>
        </w:tabs>
        <w:ind w:right="748"/>
      </w:pPr>
      <w:r>
        <w:t xml:space="preserve">For a </w:t>
      </w:r>
      <w:r>
        <w:rPr>
          <w:b/>
        </w:rPr>
        <w:t>low level of review</w:t>
      </w:r>
      <w:r>
        <w:t>, the IG should review, at a minimum, documentation</w:t>
      </w:r>
      <w:r>
        <w:rPr>
          <w:spacing w:val="-5"/>
        </w:rPr>
        <w:t xml:space="preserve"> </w:t>
      </w:r>
      <w:r>
        <w:t>at</w:t>
      </w:r>
      <w:r>
        <w:rPr>
          <w:spacing w:val="-5"/>
        </w:rPr>
        <w:t xml:space="preserve"> </w:t>
      </w:r>
      <w:r>
        <w:t>the</w:t>
      </w:r>
      <w:r>
        <w:rPr>
          <w:spacing w:val="-5"/>
        </w:rPr>
        <w:t xml:space="preserve"> </w:t>
      </w:r>
      <w:r>
        <w:t>entity</w:t>
      </w:r>
      <w:r>
        <w:rPr>
          <w:spacing w:val="-5"/>
        </w:rPr>
        <w:t xml:space="preserve"> </w:t>
      </w:r>
      <w:r>
        <w:t>level</w:t>
      </w:r>
      <w:r>
        <w:rPr>
          <w:spacing w:val="-5"/>
        </w:rPr>
        <w:t xml:space="preserve"> </w:t>
      </w:r>
      <w:r>
        <w:t>(e.g.,</w:t>
      </w:r>
      <w:r>
        <w:rPr>
          <w:spacing w:val="-5"/>
        </w:rPr>
        <w:t xml:space="preserve"> </w:t>
      </w:r>
      <w:r>
        <w:t>key</w:t>
      </w:r>
      <w:r>
        <w:rPr>
          <w:spacing w:val="-5"/>
        </w:rPr>
        <w:t xml:space="preserve"> </w:t>
      </w:r>
      <w:r>
        <w:t>planning</w:t>
      </w:r>
      <w:r>
        <w:rPr>
          <w:spacing w:val="-5"/>
        </w:rPr>
        <w:t xml:space="preserve"> </w:t>
      </w:r>
      <w:r>
        <w:t>and</w:t>
      </w:r>
      <w:r>
        <w:rPr>
          <w:spacing w:val="-5"/>
        </w:rPr>
        <w:t xml:space="preserve"> </w:t>
      </w:r>
      <w:r>
        <w:t>completion</w:t>
      </w:r>
      <w:r>
        <w:rPr>
          <w:spacing w:val="-5"/>
        </w:rPr>
        <w:t xml:space="preserve"> </w:t>
      </w:r>
      <w:r>
        <w:t>summary documentation). This includes the audit strategy, the audit completion checklist, the audit summary memorandum, and documentation of significant findings or issues.</w:t>
      </w:r>
    </w:p>
    <w:p w14:paraId="0DFDB09C" w14:textId="77777777" w:rsidR="00046465" w:rsidRDefault="008134EB">
      <w:pPr>
        <w:pStyle w:val="ListParagraph"/>
        <w:numPr>
          <w:ilvl w:val="1"/>
          <w:numId w:val="205"/>
        </w:numPr>
        <w:tabs>
          <w:tab w:val="left" w:pos="2159"/>
        </w:tabs>
        <w:ind w:right="879"/>
      </w:pPr>
      <w:r>
        <w:t>For</w:t>
      </w:r>
      <w:r>
        <w:rPr>
          <w:spacing w:val="-1"/>
        </w:rPr>
        <w:t xml:space="preserve"> </w:t>
      </w:r>
      <w:r>
        <w:t>a</w:t>
      </w:r>
      <w:r>
        <w:rPr>
          <w:spacing w:val="-1"/>
        </w:rPr>
        <w:t xml:space="preserve"> </w:t>
      </w:r>
      <w:r>
        <w:rPr>
          <w:b/>
        </w:rPr>
        <w:t>moderate</w:t>
      </w:r>
      <w:r>
        <w:rPr>
          <w:b/>
          <w:spacing w:val="-1"/>
        </w:rPr>
        <w:t xml:space="preserve"> </w:t>
      </w:r>
      <w:r>
        <w:rPr>
          <w:b/>
        </w:rPr>
        <w:t>level</w:t>
      </w:r>
      <w:r>
        <w:rPr>
          <w:b/>
          <w:spacing w:val="-1"/>
        </w:rPr>
        <w:t xml:space="preserve"> </w:t>
      </w:r>
      <w:r>
        <w:rPr>
          <w:b/>
        </w:rPr>
        <w:t>of</w:t>
      </w:r>
      <w:r>
        <w:rPr>
          <w:b/>
          <w:spacing w:val="-1"/>
        </w:rPr>
        <w:t xml:space="preserve"> </w:t>
      </w:r>
      <w:r>
        <w:rPr>
          <w:b/>
        </w:rPr>
        <w:t>review</w:t>
      </w:r>
      <w:r>
        <w:t>,</w:t>
      </w:r>
      <w:r>
        <w:rPr>
          <w:spacing w:val="-1"/>
        </w:rPr>
        <w:t xml:space="preserve"> </w:t>
      </w:r>
      <w:r>
        <w:t>the</w:t>
      </w:r>
      <w:r>
        <w:rPr>
          <w:spacing w:val="-1"/>
        </w:rPr>
        <w:t xml:space="preserve"> </w:t>
      </w:r>
      <w:r>
        <w:t>IG</w:t>
      </w:r>
      <w:r>
        <w:rPr>
          <w:spacing w:val="-2"/>
        </w:rPr>
        <w:t xml:space="preserve"> </w:t>
      </w:r>
      <w:r>
        <w:t>should</w:t>
      </w:r>
      <w:r>
        <w:rPr>
          <w:spacing w:val="-1"/>
        </w:rPr>
        <w:t xml:space="preserve"> </w:t>
      </w:r>
      <w:r>
        <w:t>review</w:t>
      </w:r>
      <w:r>
        <w:rPr>
          <w:spacing w:val="-2"/>
        </w:rPr>
        <w:t xml:space="preserve"> </w:t>
      </w:r>
      <w:r>
        <w:t>documentation</w:t>
      </w:r>
      <w:r>
        <w:rPr>
          <w:spacing w:val="-1"/>
        </w:rPr>
        <w:t xml:space="preserve"> </w:t>
      </w:r>
      <w:r>
        <w:t>at</w:t>
      </w:r>
      <w:r>
        <w:rPr>
          <w:spacing w:val="-1"/>
        </w:rPr>
        <w:t xml:space="preserve"> </w:t>
      </w:r>
      <w:r>
        <w:t>the entity level and documentation for material line items, accounts, note disclosures,</w:t>
      </w:r>
      <w:r>
        <w:rPr>
          <w:spacing w:val="-5"/>
        </w:rPr>
        <w:t xml:space="preserve"> </w:t>
      </w:r>
      <w:r>
        <w:t>and</w:t>
      </w:r>
      <w:r>
        <w:rPr>
          <w:spacing w:val="-4"/>
        </w:rPr>
        <w:t xml:space="preserve"> </w:t>
      </w:r>
      <w:r>
        <w:t>classes</w:t>
      </w:r>
      <w:r>
        <w:rPr>
          <w:spacing w:val="-5"/>
        </w:rPr>
        <w:t xml:space="preserve"> </w:t>
      </w:r>
      <w:r>
        <w:t>of</w:t>
      </w:r>
      <w:r>
        <w:rPr>
          <w:spacing w:val="-4"/>
        </w:rPr>
        <w:t xml:space="preserve"> </w:t>
      </w:r>
      <w:r>
        <w:t>transactions.</w:t>
      </w:r>
      <w:r>
        <w:rPr>
          <w:spacing w:val="-3"/>
        </w:rPr>
        <w:t xml:space="preserve"> </w:t>
      </w:r>
      <w:r>
        <w:t>This</w:t>
      </w:r>
      <w:r>
        <w:rPr>
          <w:spacing w:val="-5"/>
        </w:rPr>
        <w:t xml:space="preserve"> </w:t>
      </w:r>
      <w:r>
        <w:t>includes</w:t>
      </w:r>
      <w:r>
        <w:rPr>
          <w:spacing w:val="-4"/>
        </w:rPr>
        <w:t xml:space="preserve"> </w:t>
      </w:r>
      <w:r>
        <w:t>the</w:t>
      </w:r>
      <w:r>
        <w:rPr>
          <w:spacing w:val="-4"/>
        </w:rPr>
        <w:t xml:space="preserve"> </w:t>
      </w:r>
      <w:r>
        <w:t>audit</w:t>
      </w:r>
      <w:r>
        <w:rPr>
          <w:spacing w:val="-4"/>
        </w:rPr>
        <w:t xml:space="preserve"> </w:t>
      </w:r>
      <w:r>
        <w:t>plans,</w:t>
      </w:r>
      <w:r>
        <w:rPr>
          <w:spacing w:val="-5"/>
        </w:rPr>
        <w:t xml:space="preserve"> </w:t>
      </w:r>
      <w:r>
        <w:t>cycle summary memorandums, LIRA forms, and SCE worksheets.</w:t>
      </w:r>
    </w:p>
    <w:p w14:paraId="0DFDB09D" w14:textId="77777777" w:rsidR="00046465" w:rsidRDefault="008134EB">
      <w:pPr>
        <w:pStyle w:val="BodyText"/>
        <w:spacing w:before="120"/>
        <w:ind w:left="1799" w:right="749"/>
      </w:pPr>
      <w:r>
        <w:t>For each level of review, FAM 670 A provides a summary of procedures the IG generally</w:t>
      </w:r>
      <w:r>
        <w:rPr>
          <w:spacing w:val="-4"/>
        </w:rPr>
        <w:t xml:space="preserve"> </w:t>
      </w:r>
      <w:r>
        <w:t>should</w:t>
      </w:r>
      <w:r>
        <w:rPr>
          <w:spacing w:val="-4"/>
        </w:rPr>
        <w:t xml:space="preserve"> </w:t>
      </w:r>
      <w:r>
        <w:t>perform</w:t>
      </w:r>
      <w:r>
        <w:rPr>
          <w:spacing w:val="-5"/>
        </w:rPr>
        <w:t xml:space="preserve"> </w:t>
      </w:r>
      <w:r>
        <w:t>and</w:t>
      </w:r>
      <w:r>
        <w:rPr>
          <w:spacing w:val="-4"/>
        </w:rPr>
        <w:t xml:space="preserve"> </w:t>
      </w:r>
      <w:r>
        <w:t>the</w:t>
      </w:r>
      <w:r>
        <w:rPr>
          <w:spacing w:val="-4"/>
        </w:rPr>
        <w:t xml:space="preserve"> </w:t>
      </w:r>
      <w:r>
        <w:t>documentation</w:t>
      </w:r>
      <w:r>
        <w:rPr>
          <w:spacing w:val="-3"/>
        </w:rPr>
        <w:t xml:space="preserve"> </w:t>
      </w:r>
      <w:r>
        <w:t>the</w:t>
      </w:r>
      <w:r>
        <w:rPr>
          <w:spacing w:val="-4"/>
        </w:rPr>
        <w:t xml:space="preserve"> </w:t>
      </w:r>
      <w:r>
        <w:t>IG</w:t>
      </w:r>
      <w:r>
        <w:rPr>
          <w:spacing w:val="-5"/>
        </w:rPr>
        <w:t xml:space="preserve"> </w:t>
      </w:r>
      <w:r>
        <w:t>generally</w:t>
      </w:r>
      <w:r>
        <w:rPr>
          <w:spacing w:val="-3"/>
        </w:rPr>
        <w:t xml:space="preserve"> </w:t>
      </w:r>
      <w:r>
        <w:t>should</w:t>
      </w:r>
      <w:r>
        <w:rPr>
          <w:spacing w:val="-4"/>
        </w:rPr>
        <w:t xml:space="preserve"> </w:t>
      </w:r>
      <w:r>
        <w:t>retain.</w:t>
      </w:r>
    </w:p>
    <w:p w14:paraId="0DFDB09E" w14:textId="77777777" w:rsidR="00046465" w:rsidRDefault="008134EB">
      <w:pPr>
        <w:pStyle w:val="Heading4"/>
      </w:pPr>
      <w:bookmarkStart w:id="101" w:name="Staffing_the_Review_of_the_IPA_Firm’s_Au"/>
      <w:bookmarkEnd w:id="101"/>
      <w:r>
        <w:t>Staffing</w:t>
      </w:r>
      <w:r>
        <w:rPr>
          <w:spacing w:val="-9"/>
        </w:rPr>
        <w:t xml:space="preserve"> </w:t>
      </w:r>
      <w:r>
        <w:t>the</w:t>
      </w:r>
      <w:r>
        <w:rPr>
          <w:spacing w:val="-8"/>
        </w:rPr>
        <w:t xml:space="preserve"> </w:t>
      </w:r>
      <w:r>
        <w:t>Review</w:t>
      </w:r>
      <w:r>
        <w:rPr>
          <w:spacing w:val="-9"/>
        </w:rPr>
        <w:t xml:space="preserve"> </w:t>
      </w:r>
      <w:r>
        <w:t>of</w:t>
      </w:r>
      <w:r>
        <w:rPr>
          <w:spacing w:val="-8"/>
        </w:rPr>
        <w:t xml:space="preserve"> </w:t>
      </w:r>
      <w:r>
        <w:t>the</w:t>
      </w:r>
      <w:r>
        <w:rPr>
          <w:spacing w:val="-7"/>
        </w:rPr>
        <w:t xml:space="preserve"> </w:t>
      </w:r>
      <w:r>
        <w:t>IPA</w:t>
      </w:r>
      <w:r>
        <w:rPr>
          <w:spacing w:val="-9"/>
        </w:rPr>
        <w:t xml:space="preserve"> </w:t>
      </w:r>
      <w:r>
        <w:t>Firm’s</w:t>
      </w:r>
      <w:r>
        <w:rPr>
          <w:spacing w:val="-8"/>
        </w:rPr>
        <w:t xml:space="preserve"> </w:t>
      </w:r>
      <w:r>
        <w:t>Audit</w:t>
      </w:r>
      <w:r>
        <w:rPr>
          <w:spacing w:val="-8"/>
        </w:rPr>
        <w:t xml:space="preserve"> </w:t>
      </w:r>
      <w:r>
        <w:rPr>
          <w:spacing w:val="-4"/>
        </w:rPr>
        <w:t>Work</w:t>
      </w:r>
    </w:p>
    <w:p w14:paraId="0DFDB09F" w14:textId="77777777" w:rsidR="00046465" w:rsidRDefault="008134EB">
      <w:pPr>
        <w:pStyle w:val="ListParagraph"/>
        <w:numPr>
          <w:ilvl w:val="0"/>
          <w:numId w:val="205"/>
        </w:numPr>
        <w:tabs>
          <w:tab w:val="left" w:pos="1800"/>
        </w:tabs>
        <w:spacing w:before="119"/>
        <w:ind w:right="935"/>
      </w:pPr>
      <w:r>
        <w:t>The</w:t>
      </w:r>
      <w:r>
        <w:rPr>
          <w:spacing w:val="-4"/>
        </w:rPr>
        <w:t xml:space="preserve"> </w:t>
      </w:r>
      <w:r>
        <w:t>IG</w:t>
      </w:r>
      <w:r>
        <w:rPr>
          <w:spacing w:val="-5"/>
        </w:rPr>
        <w:t xml:space="preserve"> </w:t>
      </w:r>
      <w:r>
        <w:t>staff</w:t>
      </w:r>
      <w:r>
        <w:rPr>
          <w:spacing w:val="-4"/>
        </w:rPr>
        <w:t xml:space="preserve"> </w:t>
      </w:r>
      <w:r>
        <w:t>reviewing</w:t>
      </w:r>
      <w:r>
        <w:rPr>
          <w:spacing w:val="-4"/>
        </w:rPr>
        <w:t xml:space="preserve"> </w:t>
      </w:r>
      <w:r>
        <w:t>the</w:t>
      </w:r>
      <w:r>
        <w:rPr>
          <w:spacing w:val="-4"/>
        </w:rPr>
        <w:t xml:space="preserve"> </w:t>
      </w:r>
      <w:r>
        <w:t>audit</w:t>
      </w:r>
      <w:r>
        <w:rPr>
          <w:spacing w:val="-4"/>
        </w:rPr>
        <w:t xml:space="preserve"> </w:t>
      </w:r>
      <w:r>
        <w:t>work</w:t>
      </w:r>
      <w:r>
        <w:rPr>
          <w:spacing w:val="-5"/>
        </w:rPr>
        <w:t xml:space="preserve"> </w:t>
      </w:r>
      <w:r>
        <w:t>generally</w:t>
      </w:r>
      <w:r>
        <w:rPr>
          <w:spacing w:val="-5"/>
        </w:rPr>
        <w:t xml:space="preserve"> </w:t>
      </w:r>
      <w:r>
        <w:t>should</w:t>
      </w:r>
      <w:r>
        <w:rPr>
          <w:spacing w:val="-4"/>
        </w:rPr>
        <w:t xml:space="preserve"> </w:t>
      </w:r>
      <w:r>
        <w:t>have</w:t>
      </w:r>
      <w:r>
        <w:rPr>
          <w:spacing w:val="-5"/>
        </w:rPr>
        <w:t xml:space="preserve"> </w:t>
      </w:r>
      <w:r>
        <w:t>enough</w:t>
      </w:r>
      <w:r>
        <w:rPr>
          <w:spacing w:val="-4"/>
        </w:rPr>
        <w:t xml:space="preserve"> </w:t>
      </w:r>
      <w:r>
        <w:t>experience in financial statement auditing to understand the professional judgments that need to be made and to interact with the higher levels of the IPA firm. An assistant director or a senior manager who has significant experience in performing or reviewing financial statement audit work should supervise or perform most of the review. Less qualified staff members may perform reviews when supervised by more qualified auditors.</w:t>
      </w:r>
    </w:p>
    <w:p w14:paraId="0DFDB0A0" w14:textId="77777777" w:rsidR="00046465" w:rsidRDefault="008134EB">
      <w:pPr>
        <w:pStyle w:val="ListParagraph"/>
        <w:numPr>
          <w:ilvl w:val="0"/>
          <w:numId w:val="205"/>
        </w:numPr>
        <w:tabs>
          <w:tab w:val="left" w:pos="1800"/>
        </w:tabs>
        <w:ind w:right="739"/>
      </w:pPr>
      <w:r>
        <w:t>When</w:t>
      </w:r>
      <w:r>
        <w:rPr>
          <w:spacing w:val="-3"/>
        </w:rPr>
        <w:t xml:space="preserve"> </w:t>
      </w:r>
      <w:r>
        <w:t>the</w:t>
      </w:r>
      <w:r>
        <w:rPr>
          <w:spacing w:val="-3"/>
        </w:rPr>
        <w:t xml:space="preserve"> </w:t>
      </w:r>
      <w:r>
        <w:t>IPA</w:t>
      </w:r>
      <w:r>
        <w:rPr>
          <w:spacing w:val="-3"/>
        </w:rPr>
        <w:t xml:space="preserve"> </w:t>
      </w:r>
      <w:r>
        <w:t>firm’s</w:t>
      </w:r>
      <w:r>
        <w:rPr>
          <w:spacing w:val="-3"/>
        </w:rPr>
        <w:t xml:space="preserve"> </w:t>
      </w:r>
      <w:r>
        <w:t>work</w:t>
      </w:r>
      <w:r>
        <w:rPr>
          <w:spacing w:val="-3"/>
        </w:rPr>
        <w:t xml:space="preserve"> </w:t>
      </w:r>
      <w:r>
        <w:t>involves</w:t>
      </w:r>
      <w:r>
        <w:rPr>
          <w:spacing w:val="-3"/>
        </w:rPr>
        <w:t xml:space="preserve"> </w:t>
      </w:r>
      <w:r>
        <w:t>the</w:t>
      </w:r>
      <w:r>
        <w:rPr>
          <w:spacing w:val="-3"/>
        </w:rPr>
        <w:t xml:space="preserve"> </w:t>
      </w:r>
      <w:r>
        <w:t>review</w:t>
      </w:r>
      <w:r>
        <w:rPr>
          <w:spacing w:val="-4"/>
        </w:rPr>
        <w:t xml:space="preserve"> </w:t>
      </w:r>
      <w:r>
        <w:t>of</w:t>
      </w:r>
      <w:r>
        <w:rPr>
          <w:spacing w:val="-3"/>
        </w:rPr>
        <w:t xml:space="preserve"> </w:t>
      </w:r>
      <w:r>
        <w:t>IS</w:t>
      </w:r>
      <w:r>
        <w:rPr>
          <w:spacing w:val="-3"/>
        </w:rPr>
        <w:t xml:space="preserve"> </w:t>
      </w:r>
      <w:r>
        <w:t>controls,</w:t>
      </w:r>
      <w:r>
        <w:rPr>
          <w:spacing w:val="-3"/>
        </w:rPr>
        <w:t xml:space="preserve"> </w:t>
      </w:r>
      <w:r>
        <w:t>the</w:t>
      </w:r>
      <w:r>
        <w:rPr>
          <w:spacing w:val="-3"/>
        </w:rPr>
        <w:t xml:space="preserve"> </w:t>
      </w:r>
      <w:r>
        <w:t>IG</w:t>
      </w:r>
      <w:r>
        <w:rPr>
          <w:spacing w:val="-4"/>
        </w:rPr>
        <w:t xml:space="preserve"> </w:t>
      </w:r>
      <w:r>
        <w:t>should</w:t>
      </w:r>
      <w:r>
        <w:rPr>
          <w:spacing w:val="-3"/>
        </w:rPr>
        <w:t xml:space="preserve"> </w:t>
      </w:r>
      <w:r>
        <w:t>ensure that its staff have the requisite IS knowledge to review the firm’s work to determine whether IS controls were adequate, audit work was properly documented, and related audit objectives were achieved.</w:t>
      </w:r>
    </w:p>
    <w:p w14:paraId="0DFDB0A1" w14:textId="77777777" w:rsidR="00046465" w:rsidRDefault="008134EB">
      <w:pPr>
        <w:pStyle w:val="Heading4"/>
        <w:spacing w:before="240"/>
      </w:pPr>
      <w:bookmarkStart w:id="102" w:name="Evaluating_the_Audit_Work_of_the_IPA_Fir"/>
      <w:bookmarkEnd w:id="102"/>
      <w:r>
        <w:t>Evaluating</w:t>
      </w:r>
      <w:r>
        <w:rPr>
          <w:spacing w:val="-9"/>
        </w:rPr>
        <w:t xml:space="preserve"> </w:t>
      </w:r>
      <w:r>
        <w:t>the</w:t>
      </w:r>
      <w:r>
        <w:rPr>
          <w:spacing w:val="-8"/>
        </w:rPr>
        <w:t xml:space="preserve"> </w:t>
      </w:r>
      <w:r>
        <w:t>Audit</w:t>
      </w:r>
      <w:r>
        <w:rPr>
          <w:spacing w:val="-8"/>
        </w:rPr>
        <w:t xml:space="preserve"> </w:t>
      </w:r>
      <w:r>
        <w:t>Work</w:t>
      </w:r>
      <w:r>
        <w:rPr>
          <w:spacing w:val="-7"/>
        </w:rPr>
        <w:t xml:space="preserve"> </w:t>
      </w:r>
      <w:r>
        <w:t>of</w:t>
      </w:r>
      <w:r>
        <w:rPr>
          <w:spacing w:val="-8"/>
        </w:rPr>
        <w:t xml:space="preserve"> </w:t>
      </w:r>
      <w:r>
        <w:t>the</w:t>
      </w:r>
      <w:r>
        <w:rPr>
          <w:spacing w:val="-8"/>
        </w:rPr>
        <w:t xml:space="preserve"> </w:t>
      </w:r>
      <w:r>
        <w:t>IPA</w:t>
      </w:r>
      <w:r>
        <w:rPr>
          <w:spacing w:val="-9"/>
        </w:rPr>
        <w:t xml:space="preserve"> </w:t>
      </w:r>
      <w:r>
        <w:rPr>
          <w:spacing w:val="-4"/>
        </w:rPr>
        <w:t>Firm</w:t>
      </w:r>
    </w:p>
    <w:p w14:paraId="0DFDB0A2" w14:textId="77777777" w:rsidR="00046465" w:rsidRDefault="008134EB">
      <w:pPr>
        <w:pStyle w:val="ListParagraph"/>
        <w:numPr>
          <w:ilvl w:val="0"/>
          <w:numId w:val="205"/>
        </w:numPr>
        <w:tabs>
          <w:tab w:val="left" w:pos="1800"/>
        </w:tabs>
        <w:spacing w:before="121"/>
        <w:ind w:right="932"/>
      </w:pPr>
      <w:r>
        <w:t>The IG should determine whether the work is sufficient and appropriate and whether the IPA firm’s levels of internal review for the audit work were appropriate.</w:t>
      </w:r>
      <w:r>
        <w:rPr>
          <w:spacing w:val="-5"/>
        </w:rPr>
        <w:t xml:space="preserve"> </w:t>
      </w:r>
      <w:r>
        <w:t>In</w:t>
      </w:r>
      <w:r>
        <w:rPr>
          <w:spacing w:val="-4"/>
        </w:rPr>
        <w:t xml:space="preserve"> </w:t>
      </w:r>
      <w:r>
        <w:t>addition,</w:t>
      </w:r>
      <w:r>
        <w:rPr>
          <w:spacing w:val="-5"/>
        </w:rPr>
        <w:t xml:space="preserve"> </w:t>
      </w:r>
      <w:r>
        <w:t>the</w:t>
      </w:r>
      <w:r>
        <w:rPr>
          <w:spacing w:val="-4"/>
        </w:rPr>
        <w:t xml:space="preserve"> </w:t>
      </w:r>
      <w:r>
        <w:t>IG</w:t>
      </w:r>
      <w:r>
        <w:rPr>
          <w:spacing w:val="-5"/>
        </w:rPr>
        <w:t xml:space="preserve"> </w:t>
      </w:r>
      <w:r>
        <w:t>should</w:t>
      </w:r>
      <w:r>
        <w:rPr>
          <w:spacing w:val="-4"/>
        </w:rPr>
        <w:t xml:space="preserve"> </w:t>
      </w:r>
      <w:r>
        <w:t>determine</w:t>
      </w:r>
      <w:r>
        <w:rPr>
          <w:spacing w:val="-4"/>
        </w:rPr>
        <w:t xml:space="preserve"> </w:t>
      </w:r>
      <w:r>
        <w:t>whether</w:t>
      </w:r>
      <w:r>
        <w:rPr>
          <w:spacing w:val="-4"/>
        </w:rPr>
        <w:t xml:space="preserve"> </w:t>
      </w:r>
      <w:r>
        <w:t>any</w:t>
      </w:r>
      <w:r>
        <w:rPr>
          <w:spacing w:val="-4"/>
        </w:rPr>
        <w:t xml:space="preserve"> </w:t>
      </w:r>
      <w:r>
        <w:t>significant</w:t>
      </w:r>
      <w:r>
        <w:rPr>
          <w:spacing w:val="-4"/>
        </w:rPr>
        <w:t xml:space="preserve"> </w:t>
      </w:r>
      <w:r>
        <w:t>issues related to the audit were identified or whether substantial deviations from GAGAS, if applicable, were identified but not documented and explained in the audit. The IG should document this evaluation.</w:t>
      </w:r>
    </w:p>
    <w:p w14:paraId="0DFDB0A3" w14:textId="77777777" w:rsidR="00046465" w:rsidRDefault="00046465">
      <w:pPr>
        <w:pStyle w:val="ListParagraph"/>
        <w:sectPr w:rsidR="00046465">
          <w:pgSz w:w="12240" w:h="15840"/>
          <w:pgMar w:top="1600" w:right="720" w:bottom="1020" w:left="1080" w:header="721" w:footer="757" w:gutter="0"/>
          <w:cols w:space="720"/>
        </w:sectPr>
      </w:pPr>
    </w:p>
    <w:p w14:paraId="0DFDB0A4" w14:textId="77777777" w:rsidR="00046465" w:rsidRDefault="008134EB">
      <w:pPr>
        <w:pStyle w:val="ListParagraph"/>
        <w:numPr>
          <w:ilvl w:val="0"/>
          <w:numId w:val="205"/>
        </w:numPr>
        <w:tabs>
          <w:tab w:val="left" w:pos="1800"/>
        </w:tabs>
        <w:spacing w:before="121"/>
        <w:ind w:right="738"/>
      </w:pPr>
      <w:r>
        <w:lastRenderedPageBreak/>
        <w:t>Sometimes, IPA firms use methodologies or audit approaches that are different from</w:t>
      </w:r>
      <w:r>
        <w:rPr>
          <w:spacing w:val="-4"/>
        </w:rPr>
        <w:t xml:space="preserve"> </w:t>
      </w:r>
      <w:r>
        <w:t>those</w:t>
      </w:r>
      <w:r>
        <w:rPr>
          <w:spacing w:val="-3"/>
        </w:rPr>
        <w:t xml:space="preserve"> </w:t>
      </w:r>
      <w:r>
        <w:t>the</w:t>
      </w:r>
      <w:r>
        <w:rPr>
          <w:spacing w:val="-3"/>
        </w:rPr>
        <w:t xml:space="preserve"> </w:t>
      </w:r>
      <w:r>
        <w:t>IG</w:t>
      </w:r>
      <w:r>
        <w:rPr>
          <w:spacing w:val="-4"/>
        </w:rPr>
        <w:t xml:space="preserve"> </w:t>
      </w:r>
      <w:r>
        <w:t>would</w:t>
      </w:r>
      <w:r>
        <w:rPr>
          <w:spacing w:val="-3"/>
        </w:rPr>
        <w:t xml:space="preserve"> </w:t>
      </w:r>
      <w:r>
        <w:t>have</w:t>
      </w:r>
      <w:r>
        <w:rPr>
          <w:spacing w:val="-3"/>
        </w:rPr>
        <w:t xml:space="preserve"> </w:t>
      </w:r>
      <w:r>
        <w:t>used.</w:t>
      </w:r>
      <w:r>
        <w:rPr>
          <w:spacing w:val="-4"/>
        </w:rPr>
        <w:t xml:space="preserve"> </w:t>
      </w:r>
      <w:r>
        <w:t>Auditing</w:t>
      </w:r>
      <w:r>
        <w:rPr>
          <w:spacing w:val="-3"/>
        </w:rPr>
        <w:t xml:space="preserve"> </w:t>
      </w:r>
      <w:r>
        <w:t>requires</w:t>
      </w:r>
      <w:r>
        <w:rPr>
          <w:spacing w:val="-3"/>
        </w:rPr>
        <w:t xml:space="preserve"> </w:t>
      </w:r>
      <w:r>
        <w:t>a</w:t>
      </w:r>
      <w:r>
        <w:rPr>
          <w:spacing w:val="-3"/>
        </w:rPr>
        <w:t xml:space="preserve"> </w:t>
      </w:r>
      <w:r>
        <w:t>great</w:t>
      </w:r>
      <w:r>
        <w:rPr>
          <w:spacing w:val="-4"/>
        </w:rPr>
        <w:t xml:space="preserve"> </w:t>
      </w:r>
      <w:r>
        <w:t>deal</w:t>
      </w:r>
      <w:r>
        <w:rPr>
          <w:spacing w:val="-3"/>
        </w:rPr>
        <w:t xml:space="preserve"> </w:t>
      </w:r>
      <w:r>
        <w:t>of</w:t>
      </w:r>
      <w:r>
        <w:rPr>
          <w:spacing w:val="-3"/>
        </w:rPr>
        <w:t xml:space="preserve"> </w:t>
      </w:r>
      <w:r>
        <w:t>professional judgment, and there are often alternative ways to achieve audit objectives. Many IPA firms have developed, at considerable expense, proprietary audit methodologies to use on a wide range of public and private sector clients. Thus, the IG should understand the IPA firm’s audit methodology and basis for the nature, timing, and extent of audit procedures. This may require obtaining permission to use proprietary software to review the audit documentation.</w:t>
      </w:r>
    </w:p>
    <w:p w14:paraId="0DFDB0A5" w14:textId="77777777" w:rsidR="00046465" w:rsidRDefault="008134EB">
      <w:pPr>
        <w:pStyle w:val="BodyText"/>
        <w:ind w:left="1800" w:right="749" w:hanging="1"/>
      </w:pPr>
      <w:r>
        <w:t>Additionally, where the IPA firm’s software is retained, the IG should develop a process to maintain the operability of the software to access the audit documentation</w:t>
      </w:r>
      <w:r>
        <w:rPr>
          <w:spacing w:val="-2"/>
        </w:rPr>
        <w:t xml:space="preserve"> </w:t>
      </w:r>
      <w:r>
        <w:t>in</w:t>
      </w:r>
      <w:r>
        <w:rPr>
          <w:spacing w:val="-2"/>
        </w:rPr>
        <w:t xml:space="preserve"> </w:t>
      </w:r>
      <w:r>
        <w:t>the</w:t>
      </w:r>
      <w:r>
        <w:rPr>
          <w:spacing w:val="-2"/>
        </w:rPr>
        <w:t xml:space="preserve"> </w:t>
      </w:r>
      <w:r>
        <w:t>future.</w:t>
      </w:r>
      <w:r>
        <w:rPr>
          <w:spacing w:val="-2"/>
        </w:rPr>
        <w:t xml:space="preserve"> </w:t>
      </w:r>
      <w:r>
        <w:t>If</w:t>
      </w:r>
      <w:r>
        <w:rPr>
          <w:spacing w:val="-2"/>
        </w:rPr>
        <w:t xml:space="preserve"> </w:t>
      </w:r>
      <w:r>
        <w:t>the</w:t>
      </w:r>
      <w:r>
        <w:rPr>
          <w:spacing w:val="-2"/>
        </w:rPr>
        <w:t xml:space="preserve"> </w:t>
      </w:r>
      <w:r>
        <w:t>IPA</w:t>
      </w:r>
      <w:r>
        <w:rPr>
          <w:spacing w:val="-2"/>
        </w:rPr>
        <w:t xml:space="preserve"> </w:t>
      </w:r>
      <w:r>
        <w:t>firm’s</w:t>
      </w:r>
      <w:r>
        <w:rPr>
          <w:spacing w:val="-2"/>
        </w:rPr>
        <w:t xml:space="preserve"> </w:t>
      </w:r>
      <w:r>
        <w:t>methodology</w:t>
      </w:r>
      <w:r>
        <w:rPr>
          <w:spacing w:val="-2"/>
        </w:rPr>
        <w:t xml:space="preserve"> </w:t>
      </w:r>
      <w:r>
        <w:t>differs</w:t>
      </w:r>
      <w:r>
        <w:rPr>
          <w:spacing w:val="-2"/>
        </w:rPr>
        <w:t xml:space="preserve"> </w:t>
      </w:r>
      <w:r>
        <w:t>from</w:t>
      </w:r>
      <w:r>
        <w:rPr>
          <w:spacing w:val="-3"/>
        </w:rPr>
        <w:t xml:space="preserve"> </w:t>
      </w:r>
      <w:r>
        <w:t>the</w:t>
      </w:r>
      <w:r>
        <w:rPr>
          <w:spacing w:val="-2"/>
        </w:rPr>
        <w:t xml:space="preserve"> </w:t>
      </w:r>
      <w:r>
        <w:t>FAM, the</w:t>
      </w:r>
      <w:r>
        <w:rPr>
          <w:spacing w:val="-3"/>
        </w:rPr>
        <w:t xml:space="preserve"> </w:t>
      </w:r>
      <w:r>
        <w:t>IPA</w:t>
      </w:r>
      <w:r>
        <w:rPr>
          <w:spacing w:val="-3"/>
        </w:rPr>
        <w:t xml:space="preserve"> </w:t>
      </w:r>
      <w:r>
        <w:t>firm</w:t>
      </w:r>
      <w:r>
        <w:rPr>
          <w:spacing w:val="-3"/>
        </w:rPr>
        <w:t xml:space="preserve"> </w:t>
      </w:r>
      <w:r>
        <w:t>should</w:t>
      </w:r>
      <w:r>
        <w:rPr>
          <w:spacing w:val="-3"/>
        </w:rPr>
        <w:t xml:space="preserve"> </w:t>
      </w:r>
      <w:r>
        <w:t>discuss</w:t>
      </w:r>
      <w:r>
        <w:rPr>
          <w:spacing w:val="-3"/>
        </w:rPr>
        <w:t xml:space="preserve"> </w:t>
      </w:r>
      <w:r>
        <w:t>the</w:t>
      </w:r>
      <w:r>
        <w:rPr>
          <w:spacing w:val="-3"/>
        </w:rPr>
        <w:t xml:space="preserve"> </w:t>
      </w:r>
      <w:r>
        <w:t>matter</w:t>
      </w:r>
      <w:r>
        <w:rPr>
          <w:spacing w:val="-3"/>
        </w:rPr>
        <w:t xml:space="preserve"> </w:t>
      </w:r>
      <w:r>
        <w:t>and</w:t>
      </w:r>
      <w:r>
        <w:rPr>
          <w:spacing w:val="-3"/>
        </w:rPr>
        <w:t xml:space="preserve"> </w:t>
      </w:r>
      <w:r>
        <w:t>obtain</w:t>
      </w:r>
      <w:r>
        <w:rPr>
          <w:spacing w:val="-4"/>
        </w:rPr>
        <w:t xml:space="preserve"> </w:t>
      </w:r>
      <w:r>
        <w:t>the</w:t>
      </w:r>
      <w:r>
        <w:rPr>
          <w:spacing w:val="-3"/>
        </w:rPr>
        <w:t xml:space="preserve"> </w:t>
      </w:r>
      <w:r>
        <w:t>IG’s</w:t>
      </w:r>
      <w:r>
        <w:rPr>
          <w:spacing w:val="-3"/>
        </w:rPr>
        <w:t xml:space="preserve"> </w:t>
      </w:r>
      <w:r>
        <w:t>advance</w:t>
      </w:r>
      <w:r>
        <w:rPr>
          <w:spacing w:val="-3"/>
        </w:rPr>
        <w:t xml:space="preserve"> </w:t>
      </w:r>
      <w:r>
        <w:t>approval</w:t>
      </w:r>
      <w:r>
        <w:rPr>
          <w:spacing w:val="-3"/>
        </w:rPr>
        <w:t xml:space="preserve"> </w:t>
      </w:r>
      <w:r>
        <w:t>for alternative audit methodologies, in accordance with the terms of the contract.</w:t>
      </w:r>
    </w:p>
    <w:p w14:paraId="0DFDB0A6" w14:textId="77777777" w:rsidR="00046465" w:rsidRDefault="008134EB">
      <w:pPr>
        <w:pStyle w:val="ListParagraph"/>
        <w:numPr>
          <w:ilvl w:val="0"/>
          <w:numId w:val="205"/>
        </w:numPr>
        <w:tabs>
          <w:tab w:val="left" w:pos="1800"/>
        </w:tabs>
        <w:spacing w:before="119"/>
        <w:ind w:right="738" w:hanging="720"/>
      </w:pPr>
      <w:r>
        <w:t>The IG should evaluate whether sufficient appropriate evidence has been obtained to meet the audit objectives,</w:t>
      </w:r>
      <w:hyperlink w:anchor="_bookmark30" w:history="1">
        <w:r>
          <w:rPr>
            <w:position w:val="7"/>
            <w:sz w:val="14"/>
          </w:rPr>
          <w:t>21</w:t>
        </w:r>
      </w:hyperlink>
      <w:r>
        <w:rPr>
          <w:spacing w:val="35"/>
          <w:position w:val="7"/>
          <w:sz w:val="14"/>
        </w:rPr>
        <w:t xml:space="preserve"> </w:t>
      </w:r>
      <w:r>
        <w:t>particularly for significant assertions in material</w:t>
      </w:r>
      <w:r>
        <w:rPr>
          <w:spacing w:val="-4"/>
        </w:rPr>
        <w:t xml:space="preserve"> </w:t>
      </w:r>
      <w:r>
        <w:t>line</w:t>
      </w:r>
      <w:r>
        <w:rPr>
          <w:spacing w:val="-5"/>
        </w:rPr>
        <w:t xml:space="preserve"> </w:t>
      </w:r>
      <w:r>
        <w:t>items,</w:t>
      </w:r>
      <w:r>
        <w:rPr>
          <w:spacing w:val="-4"/>
        </w:rPr>
        <w:t xml:space="preserve"> </w:t>
      </w:r>
      <w:r>
        <w:t>accounts,</w:t>
      </w:r>
      <w:r>
        <w:rPr>
          <w:spacing w:val="-4"/>
        </w:rPr>
        <w:t xml:space="preserve"> </w:t>
      </w:r>
      <w:r>
        <w:t>note</w:t>
      </w:r>
      <w:r>
        <w:rPr>
          <w:spacing w:val="-4"/>
        </w:rPr>
        <w:t xml:space="preserve"> </w:t>
      </w:r>
      <w:r>
        <w:t>disclosures,</w:t>
      </w:r>
      <w:r>
        <w:rPr>
          <w:spacing w:val="-4"/>
        </w:rPr>
        <w:t xml:space="preserve"> </w:t>
      </w:r>
      <w:r>
        <w:t>and</w:t>
      </w:r>
      <w:r>
        <w:rPr>
          <w:spacing w:val="-4"/>
        </w:rPr>
        <w:t xml:space="preserve"> </w:t>
      </w:r>
      <w:r>
        <w:t>classes</w:t>
      </w:r>
      <w:r>
        <w:rPr>
          <w:spacing w:val="-4"/>
        </w:rPr>
        <w:t xml:space="preserve"> </w:t>
      </w:r>
      <w:r>
        <w:t>of</w:t>
      </w:r>
      <w:r>
        <w:rPr>
          <w:spacing w:val="-4"/>
        </w:rPr>
        <w:t xml:space="preserve"> </w:t>
      </w:r>
      <w:r>
        <w:t>transactions</w:t>
      </w:r>
      <w:r>
        <w:rPr>
          <w:spacing w:val="-4"/>
        </w:rPr>
        <w:t xml:space="preserve"> </w:t>
      </w:r>
      <w:r>
        <w:t>with</w:t>
      </w:r>
      <w:r>
        <w:rPr>
          <w:spacing w:val="-4"/>
        </w:rPr>
        <w:t xml:space="preserve"> </w:t>
      </w:r>
      <w:r>
        <w:t>a high risk of material misstatement. If IG staff have concerns about the sufficiency of the IPA’s work, the staff should discuss those concerns with the appropriate level of IG management before formally discussing them with the IPA firm.</w:t>
      </w:r>
    </w:p>
    <w:p w14:paraId="0DFDB0A7" w14:textId="77777777" w:rsidR="00046465" w:rsidRDefault="008134EB">
      <w:pPr>
        <w:pStyle w:val="BodyText"/>
        <w:ind w:left="1800" w:right="749"/>
      </w:pPr>
      <w:r>
        <w:t>Sometimes,</w:t>
      </w:r>
      <w:r>
        <w:rPr>
          <w:spacing w:val="-3"/>
        </w:rPr>
        <w:t xml:space="preserve"> </w:t>
      </w:r>
      <w:r>
        <w:t>the</w:t>
      </w:r>
      <w:r>
        <w:rPr>
          <w:spacing w:val="-4"/>
        </w:rPr>
        <w:t xml:space="preserve"> </w:t>
      </w:r>
      <w:r>
        <w:t>IG</w:t>
      </w:r>
      <w:r>
        <w:rPr>
          <w:spacing w:val="-5"/>
        </w:rPr>
        <w:t xml:space="preserve"> </w:t>
      </w:r>
      <w:r>
        <w:t>may</w:t>
      </w:r>
      <w:r>
        <w:rPr>
          <w:spacing w:val="-3"/>
        </w:rPr>
        <w:t xml:space="preserve"> </w:t>
      </w:r>
      <w:r>
        <w:t>disagree</w:t>
      </w:r>
      <w:r>
        <w:rPr>
          <w:spacing w:val="-4"/>
        </w:rPr>
        <w:t xml:space="preserve"> </w:t>
      </w:r>
      <w:r>
        <w:t>with</w:t>
      </w:r>
      <w:r>
        <w:rPr>
          <w:spacing w:val="-4"/>
        </w:rPr>
        <w:t xml:space="preserve"> </w:t>
      </w:r>
      <w:r>
        <w:t>the</w:t>
      </w:r>
      <w:r>
        <w:rPr>
          <w:spacing w:val="-4"/>
        </w:rPr>
        <w:t xml:space="preserve"> </w:t>
      </w:r>
      <w:r>
        <w:t>IPA</w:t>
      </w:r>
      <w:r>
        <w:rPr>
          <w:spacing w:val="-4"/>
        </w:rPr>
        <w:t xml:space="preserve"> </w:t>
      </w:r>
      <w:r>
        <w:t>firm’s</w:t>
      </w:r>
      <w:r>
        <w:rPr>
          <w:spacing w:val="-4"/>
        </w:rPr>
        <w:t xml:space="preserve"> </w:t>
      </w:r>
      <w:r>
        <w:t>conclusions</w:t>
      </w:r>
      <w:r>
        <w:rPr>
          <w:spacing w:val="-4"/>
        </w:rPr>
        <w:t xml:space="preserve"> </w:t>
      </w:r>
      <w:r>
        <w:t>or</w:t>
      </w:r>
      <w:r>
        <w:rPr>
          <w:spacing w:val="-4"/>
        </w:rPr>
        <w:t xml:space="preserve"> </w:t>
      </w:r>
      <w:r>
        <w:t>judgments.</w:t>
      </w:r>
      <w:r>
        <w:rPr>
          <w:spacing w:val="-4"/>
        </w:rPr>
        <w:t xml:space="preserve"> </w:t>
      </w:r>
      <w:r>
        <w:t>In such a case, the IG should evaluate the IPA firm’s work as well as any other evidence or testing necessary to determine the appropriate conclusion.</w:t>
      </w:r>
    </w:p>
    <w:p w14:paraId="0DFDB0A8" w14:textId="77777777" w:rsidR="00046465" w:rsidRDefault="008134EB">
      <w:pPr>
        <w:pStyle w:val="BodyText"/>
        <w:spacing w:before="121"/>
        <w:ind w:left="1800" w:right="736" w:hanging="1"/>
      </w:pPr>
      <w:r>
        <w:t>After</w:t>
      </w:r>
      <w:r>
        <w:rPr>
          <w:spacing w:val="-3"/>
        </w:rPr>
        <w:t xml:space="preserve"> </w:t>
      </w:r>
      <w:r>
        <w:t>discussions</w:t>
      </w:r>
      <w:r>
        <w:rPr>
          <w:spacing w:val="-3"/>
        </w:rPr>
        <w:t xml:space="preserve"> </w:t>
      </w:r>
      <w:r>
        <w:t>with</w:t>
      </w:r>
      <w:r>
        <w:rPr>
          <w:spacing w:val="-3"/>
        </w:rPr>
        <w:t xml:space="preserve"> </w:t>
      </w:r>
      <w:r>
        <w:t>the</w:t>
      </w:r>
      <w:r>
        <w:rPr>
          <w:spacing w:val="-3"/>
        </w:rPr>
        <w:t xml:space="preserve"> </w:t>
      </w:r>
      <w:r>
        <w:t>IPA</w:t>
      </w:r>
      <w:r>
        <w:rPr>
          <w:spacing w:val="-3"/>
        </w:rPr>
        <w:t xml:space="preserve"> </w:t>
      </w:r>
      <w:r>
        <w:t>firm,</w:t>
      </w:r>
      <w:r>
        <w:rPr>
          <w:spacing w:val="-3"/>
        </w:rPr>
        <w:t xml:space="preserve"> </w:t>
      </w:r>
      <w:r>
        <w:t>if</w:t>
      </w:r>
      <w:r>
        <w:rPr>
          <w:spacing w:val="-3"/>
        </w:rPr>
        <w:t xml:space="preserve"> </w:t>
      </w:r>
      <w:r>
        <w:t>IG</w:t>
      </w:r>
      <w:r>
        <w:rPr>
          <w:spacing w:val="-4"/>
        </w:rPr>
        <w:t xml:space="preserve"> </w:t>
      </w:r>
      <w:r>
        <w:t>staff</w:t>
      </w:r>
      <w:r>
        <w:rPr>
          <w:spacing w:val="-3"/>
        </w:rPr>
        <w:t xml:space="preserve"> </w:t>
      </w:r>
      <w:r>
        <w:t>determine</w:t>
      </w:r>
      <w:r>
        <w:rPr>
          <w:spacing w:val="-3"/>
        </w:rPr>
        <w:t xml:space="preserve"> </w:t>
      </w:r>
      <w:r>
        <w:t>that</w:t>
      </w:r>
      <w:r>
        <w:rPr>
          <w:spacing w:val="-3"/>
        </w:rPr>
        <w:t xml:space="preserve"> </w:t>
      </w:r>
      <w:r>
        <w:t>sufficient</w:t>
      </w:r>
      <w:r>
        <w:rPr>
          <w:spacing w:val="-3"/>
        </w:rPr>
        <w:t xml:space="preserve"> </w:t>
      </w:r>
      <w:r>
        <w:t>appropriate evidence</w:t>
      </w:r>
      <w:r>
        <w:rPr>
          <w:spacing w:val="-3"/>
        </w:rPr>
        <w:t xml:space="preserve"> </w:t>
      </w:r>
      <w:r>
        <w:t>has</w:t>
      </w:r>
      <w:r>
        <w:rPr>
          <w:spacing w:val="-3"/>
        </w:rPr>
        <w:t xml:space="preserve"> </w:t>
      </w:r>
      <w:r>
        <w:t>not</w:t>
      </w:r>
      <w:r>
        <w:rPr>
          <w:spacing w:val="-3"/>
        </w:rPr>
        <w:t xml:space="preserve"> </w:t>
      </w:r>
      <w:r>
        <w:t>been</w:t>
      </w:r>
      <w:r>
        <w:rPr>
          <w:spacing w:val="-3"/>
        </w:rPr>
        <w:t xml:space="preserve"> </w:t>
      </w:r>
      <w:r>
        <w:t>obtained,</w:t>
      </w:r>
      <w:r>
        <w:rPr>
          <w:spacing w:val="-2"/>
        </w:rPr>
        <w:t xml:space="preserve"> </w:t>
      </w:r>
      <w:r>
        <w:t>the</w:t>
      </w:r>
      <w:r>
        <w:rPr>
          <w:spacing w:val="-4"/>
        </w:rPr>
        <w:t xml:space="preserve"> </w:t>
      </w:r>
      <w:r>
        <w:t>staff</w:t>
      </w:r>
      <w:r>
        <w:rPr>
          <w:spacing w:val="-3"/>
        </w:rPr>
        <w:t xml:space="preserve"> </w:t>
      </w:r>
      <w:r>
        <w:t>should</w:t>
      </w:r>
      <w:r>
        <w:rPr>
          <w:spacing w:val="-4"/>
        </w:rPr>
        <w:t xml:space="preserve"> </w:t>
      </w:r>
      <w:r>
        <w:t>discuss</w:t>
      </w:r>
      <w:r>
        <w:rPr>
          <w:spacing w:val="-3"/>
        </w:rPr>
        <w:t xml:space="preserve"> </w:t>
      </w:r>
      <w:r>
        <w:t>those</w:t>
      </w:r>
      <w:r>
        <w:rPr>
          <w:spacing w:val="-3"/>
        </w:rPr>
        <w:t xml:space="preserve"> </w:t>
      </w:r>
      <w:r>
        <w:t>concerns</w:t>
      </w:r>
      <w:r>
        <w:rPr>
          <w:spacing w:val="-4"/>
        </w:rPr>
        <w:t xml:space="preserve"> </w:t>
      </w:r>
      <w:r>
        <w:t>with</w:t>
      </w:r>
      <w:r>
        <w:rPr>
          <w:spacing w:val="-3"/>
        </w:rPr>
        <w:t xml:space="preserve"> </w:t>
      </w:r>
      <w:r>
        <w:t xml:space="preserve">the appropriate level of IG management and, if applicable, with appropriate contacts of a group auditor. For unresolved matters that are material to the financial statements or significantly affect the auditor’s report, the IG should discuss these with management and consider how to communicate to those charged with governance the IG’s concern about compliance with GAGAS. At a minimum, the IG should include in the oversight files a description of the matter giving rise to the IG’s concern about the audit evidence and its potential impact on the IG’s </w:t>
      </w:r>
      <w:r>
        <w:rPr>
          <w:spacing w:val="-2"/>
        </w:rPr>
        <w:t>transmittal.</w:t>
      </w:r>
    </w:p>
    <w:p w14:paraId="0DFDB0A9" w14:textId="77777777" w:rsidR="00046465" w:rsidRDefault="008134EB">
      <w:pPr>
        <w:pStyle w:val="Heading4"/>
        <w:spacing w:before="240"/>
      </w:pPr>
      <w:bookmarkStart w:id="103" w:name="Documenting_the_Review_of_the_IPA_Firm’s"/>
      <w:bookmarkEnd w:id="103"/>
      <w:r>
        <w:t>Documenting</w:t>
      </w:r>
      <w:r>
        <w:rPr>
          <w:spacing w:val="-10"/>
        </w:rPr>
        <w:t xml:space="preserve"> </w:t>
      </w:r>
      <w:r>
        <w:t>the</w:t>
      </w:r>
      <w:r>
        <w:rPr>
          <w:spacing w:val="-8"/>
        </w:rPr>
        <w:t xml:space="preserve"> </w:t>
      </w:r>
      <w:r>
        <w:t>Review</w:t>
      </w:r>
      <w:r>
        <w:rPr>
          <w:spacing w:val="-10"/>
        </w:rPr>
        <w:t xml:space="preserve"> </w:t>
      </w:r>
      <w:r>
        <w:t>of</w:t>
      </w:r>
      <w:r>
        <w:rPr>
          <w:spacing w:val="-9"/>
        </w:rPr>
        <w:t xml:space="preserve"> </w:t>
      </w:r>
      <w:r>
        <w:t>the</w:t>
      </w:r>
      <w:r>
        <w:rPr>
          <w:spacing w:val="-9"/>
        </w:rPr>
        <w:t xml:space="preserve"> </w:t>
      </w:r>
      <w:r>
        <w:t>IPA</w:t>
      </w:r>
      <w:r>
        <w:rPr>
          <w:spacing w:val="-10"/>
        </w:rPr>
        <w:t xml:space="preserve"> </w:t>
      </w:r>
      <w:r>
        <w:t>Firm’s</w:t>
      </w:r>
      <w:r>
        <w:rPr>
          <w:spacing w:val="-9"/>
        </w:rPr>
        <w:t xml:space="preserve"> </w:t>
      </w:r>
      <w:r>
        <w:t>Audit</w:t>
      </w:r>
      <w:r>
        <w:rPr>
          <w:spacing w:val="-9"/>
        </w:rPr>
        <w:t xml:space="preserve"> </w:t>
      </w:r>
      <w:r>
        <w:rPr>
          <w:spacing w:val="-4"/>
        </w:rPr>
        <w:t>Work</w:t>
      </w:r>
    </w:p>
    <w:p w14:paraId="0DFDB0AA" w14:textId="77777777" w:rsidR="00046465" w:rsidRDefault="008134EB">
      <w:pPr>
        <w:pStyle w:val="ListParagraph"/>
        <w:numPr>
          <w:ilvl w:val="0"/>
          <w:numId w:val="205"/>
        </w:numPr>
        <w:tabs>
          <w:tab w:val="left" w:pos="1800"/>
        </w:tabs>
        <w:spacing w:before="119"/>
        <w:ind w:right="1056"/>
      </w:pPr>
      <w:r>
        <w:t>There is a difference between the IG’s responsibilities to review the documentation of the IPA firm and what the IG may copy and retain from that documentation.</w:t>
      </w:r>
      <w:r>
        <w:rPr>
          <w:spacing w:val="-4"/>
        </w:rPr>
        <w:t xml:space="preserve"> </w:t>
      </w:r>
      <w:r>
        <w:t>The</w:t>
      </w:r>
      <w:r>
        <w:rPr>
          <w:spacing w:val="-4"/>
        </w:rPr>
        <w:t xml:space="preserve"> </w:t>
      </w:r>
      <w:r>
        <w:t>IG</w:t>
      </w:r>
      <w:r>
        <w:rPr>
          <w:spacing w:val="-4"/>
        </w:rPr>
        <w:t xml:space="preserve"> </w:t>
      </w:r>
      <w:r>
        <w:t>generally</w:t>
      </w:r>
      <w:r>
        <w:rPr>
          <w:spacing w:val="-4"/>
        </w:rPr>
        <w:t xml:space="preserve"> </w:t>
      </w:r>
      <w:r>
        <w:t>should</w:t>
      </w:r>
      <w:r>
        <w:rPr>
          <w:spacing w:val="-4"/>
        </w:rPr>
        <w:t xml:space="preserve"> </w:t>
      </w:r>
      <w:r>
        <w:t>review</w:t>
      </w:r>
      <w:r>
        <w:rPr>
          <w:spacing w:val="-5"/>
        </w:rPr>
        <w:t xml:space="preserve"> </w:t>
      </w:r>
      <w:r>
        <w:t>the</w:t>
      </w:r>
      <w:r>
        <w:rPr>
          <w:spacing w:val="-4"/>
        </w:rPr>
        <w:t xml:space="preserve"> </w:t>
      </w:r>
      <w:r>
        <w:t>items</w:t>
      </w:r>
      <w:r>
        <w:rPr>
          <w:spacing w:val="-4"/>
        </w:rPr>
        <w:t xml:space="preserve"> </w:t>
      </w:r>
      <w:r>
        <w:t>listed</w:t>
      </w:r>
      <w:r>
        <w:rPr>
          <w:spacing w:val="-4"/>
        </w:rPr>
        <w:t xml:space="preserve"> </w:t>
      </w:r>
      <w:r>
        <w:t>in</w:t>
      </w:r>
      <w:r>
        <w:rPr>
          <w:spacing w:val="-4"/>
        </w:rPr>
        <w:t xml:space="preserve"> </w:t>
      </w:r>
      <w:r>
        <w:t>FAM</w:t>
      </w:r>
      <w:r>
        <w:rPr>
          <w:spacing w:val="-5"/>
        </w:rPr>
        <w:t xml:space="preserve"> </w:t>
      </w:r>
      <w:r>
        <w:t>670</w:t>
      </w:r>
      <w:r>
        <w:rPr>
          <w:spacing w:val="-3"/>
        </w:rPr>
        <w:t xml:space="preserve"> </w:t>
      </w:r>
      <w:r>
        <w:t>A, table 1.</w:t>
      </w:r>
    </w:p>
    <w:p w14:paraId="0DFDB0AB" w14:textId="77777777" w:rsidR="00046465" w:rsidRDefault="008134EB">
      <w:pPr>
        <w:pStyle w:val="ListParagraph"/>
        <w:numPr>
          <w:ilvl w:val="0"/>
          <w:numId w:val="205"/>
        </w:numPr>
        <w:tabs>
          <w:tab w:val="left" w:pos="1799"/>
        </w:tabs>
        <w:ind w:left="1799" w:right="739" w:hanging="720"/>
      </w:pPr>
      <w:r>
        <w:t>The</w:t>
      </w:r>
      <w:r>
        <w:rPr>
          <w:spacing w:val="-4"/>
        </w:rPr>
        <w:t xml:space="preserve"> </w:t>
      </w:r>
      <w:r>
        <w:t>IG</w:t>
      </w:r>
      <w:r>
        <w:rPr>
          <w:spacing w:val="-5"/>
        </w:rPr>
        <w:t xml:space="preserve"> </w:t>
      </w:r>
      <w:r>
        <w:t>uses</w:t>
      </w:r>
      <w:r>
        <w:rPr>
          <w:spacing w:val="-4"/>
        </w:rPr>
        <w:t xml:space="preserve"> </w:t>
      </w:r>
      <w:r>
        <w:t>professional</w:t>
      </w:r>
      <w:r>
        <w:rPr>
          <w:spacing w:val="-4"/>
        </w:rPr>
        <w:t xml:space="preserve"> </w:t>
      </w:r>
      <w:r>
        <w:t>judgment</w:t>
      </w:r>
      <w:r>
        <w:rPr>
          <w:spacing w:val="-4"/>
        </w:rPr>
        <w:t xml:space="preserve"> </w:t>
      </w:r>
      <w:r>
        <w:t>in</w:t>
      </w:r>
      <w:r>
        <w:rPr>
          <w:spacing w:val="-4"/>
        </w:rPr>
        <w:t xml:space="preserve"> </w:t>
      </w:r>
      <w:r>
        <w:t>deciding</w:t>
      </w:r>
      <w:r>
        <w:rPr>
          <w:spacing w:val="-4"/>
        </w:rPr>
        <w:t xml:space="preserve"> </w:t>
      </w:r>
      <w:r>
        <w:t>which</w:t>
      </w:r>
      <w:r>
        <w:rPr>
          <w:spacing w:val="-4"/>
        </w:rPr>
        <w:t xml:space="preserve"> </w:t>
      </w:r>
      <w:r>
        <w:t>of</w:t>
      </w:r>
      <w:r>
        <w:rPr>
          <w:spacing w:val="-4"/>
        </w:rPr>
        <w:t xml:space="preserve"> </w:t>
      </w:r>
      <w:r>
        <w:t>the</w:t>
      </w:r>
      <w:r>
        <w:rPr>
          <w:spacing w:val="-4"/>
        </w:rPr>
        <w:t xml:space="preserve"> </w:t>
      </w:r>
      <w:r>
        <w:t>IPA</w:t>
      </w:r>
      <w:r>
        <w:rPr>
          <w:spacing w:val="-4"/>
        </w:rPr>
        <w:t xml:space="preserve"> </w:t>
      </w:r>
      <w:r>
        <w:t>firm’s</w:t>
      </w:r>
      <w:r>
        <w:rPr>
          <w:spacing w:val="-4"/>
        </w:rPr>
        <w:t xml:space="preserve"> </w:t>
      </w:r>
      <w:r>
        <w:t xml:space="preserve">documents to copy and retain. The IG’s documentation generally should contain the items listed in FAM 670 A, table 2, either electronically or in hard copy. Many IPA firms use electronic technology to retain documentation for the entire audit. The IG may cite this documentation as part of the review and print any documents as </w:t>
      </w:r>
      <w:r>
        <w:rPr>
          <w:spacing w:val="-2"/>
        </w:rPr>
        <w:t>necessary.</w:t>
      </w:r>
    </w:p>
    <w:p w14:paraId="0DFDB0AC" w14:textId="77777777" w:rsidR="00046465" w:rsidRDefault="008134EB">
      <w:pPr>
        <w:pStyle w:val="BodyText"/>
        <w:spacing w:before="41"/>
        <w:rPr>
          <w:sz w:val="20"/>
        </w:rPr>
      </w:pPr>
      <w:r>
        <w:rPr>
          <w:noProof/>
          <w:sz w:val="20"/>
        </w:rPr>
        <mc:AlternateContent>
          <mc:Choice Requires="wps">
            <w:drawing>
              <wp:anchor distT="0" distB="0" distL="0" distR="0" simplePos="0" relativeHeight="487611904" behindDoc="1" locked="0" layoutInCell="1" allowOverlap="1" wp14:anchorId="0DFDD571" wp14:editId="0DFDD572">
                <wp:simplePos x="0" y="0"/>
                <wp:positionH relativeFrom="page">
                  <wp:posOffset>914400</wp:posOffset>
                </wp:positionH>
                <wp:positionV relativeFrom="paragraph">
                  <wp:posOffset>187788</wp:posOffset>
                </wp:positionV>
                <wp:extent cx="1828800" cy="5715"/>
                <wp:effectExtent l="0" t="0" r="0" b="0"/>
                <wp:wrapTopAndBottom/>
                <wp:docPr id="251" name="Graphic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CF3A91" id="Graphic 251" o:spid="_x0000_s1026" style="position:absolute;margin-left:1in;margin-top:14.8pt;width:2in;height:.45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" path="m1828800,l,,,5334r1828800,l1828800,xe" fillcolor="black" stroked="f">
                <v:path arrowok="t"/>
                <w10:wrap type="topAndBottom" anchorx="page"/>
              </v:shape>
            </w:pict>
          </mc:Fallback>
        </mc:AlternateContent>
      </w:r>
    </w:p>
    <w:p w14:paraId="0DFDB0AD" w14:textId="77777777" w:rsidR="00046465" w:rsidRDefault="008134EB">
      <w:pPr>
        <w:spacing w:before="200" w:line="244" w:lineRule="auto"/>
        <w:ind w:left="359" w:right="749"/>
        <w:rPr>
          <w:sz w:val="18"/>
        </w:rPr>
      </w:pPr>
      <w:bookmarkStart w:id="104" w:name="_bookmark30"/>
      <w:bookmarkEnd w:id="104"/>
      <w:r>
        <w:rPr>
          <w:position w:val="7"/>
          <w:sz w:val="14"/>
        </w:rPr>
        <w:t>21</w:t>
      </w:r>
      <w:r>
        <w:rPr>
          <w:sz w:val="18"/>
        </w:rPr>
        <w:t>Sufficiency is the measure of the quantity of evidence. Appropriateness is the measure of the quality of audit evidence,</w:t>
      </w:r>
      <w:r>
        <w:rPr>
          <w:spacing w:val="-3"/>
          <w:sz w:val="18"/>
        </w:rPr>
        <w:t xml:space="preserve"> </w:t>
      </w:r>
      <w:r>
        <w:rPr>
          <w:sz w:val="18"/>
        </w:rPr>
        <w:t>that</w:t>
      </w:r>
      <w:r>
        <w:rPr>
          <w:spacing w:val="-3"/>
          <w:sz w:val="18"/>
        </w:rPr>
        <w:t xml:space="preserve"> </w:t>
      </w:r>
      <w:r>
        <w:rPr>
          <w:sz w:val="18"/>
        </w:rPr>
        <w:t>is,</w:t>
      </w:r>
      <w:r>
        <w:rPr>
          <w:spacing w:val="-3"/>
          <w:sz w:val="18"/>
        </w:rPr>
        <w:t xml:space="preserve"> </w:t>
      </w:r>
      <w:r>
        <w:rPr>
          <w:sz w:val="18"/>
        </w:rPr>
        <w:t>its</w:t>
      </w:r>
      <w:r>
        <w:rPr>
          <w:spacing w:val="-3"/>
          <w:sz w:val="18"/>
        </w:rPr>
        <w:t xml:space="preserve"> </w:t>
      </w:r>
      <w:r>
        <w:rPr>
          <w:sz w:val="18"/>
        </w:rPr>
        <w:t>relevance</w:t>
      </w:r>
      <w:r>
        <w:rPr>
          <w:spacing w:val="-2"/>
          <w:sz w:val="18"/>
        </w:rPr>
        <w:t xml:space="preserve"> </w:t>
      </w:r>
      <w:r>
        <w:rPr>
          <w:sz w:val="18"/>
        </w:rPr>
        <w:t>and</w:t>
      </w:r>
      <w:r>
        <w:rPr>
          <w:spacing w:val="-3"/>
          <w:sz w:val="18"/>
        </w:rPr>
        <w:t xml:space="preserve"> </w:t>
      </w:r>
      <w:r>
        <w:rPr>
          <w:sz w:val="18"/>
        </w:rPr>
        <w:t>reliability</w:t>
      </w:r>
      <w:r>
        <w:rPr>
          <w:spacing w:val="-3"/>
          <w:sz w:val="18"/>
        </w:rPr>
        <w:t xml:space="preserve"> </w:t>
      </w:r>
      <w:r>
        <w:rPr>
          <w:sz w:val="18"/>
        </w:rPr>
        <w:t>in</w:t>
      </w:r>
      <w:r>
        <w:rPr>
          <w:spacing w:val="-3"/>
          <w:sz w:val="18"/>
        </w:rPr>
        <w:t xml:space="preserve"> </w:t>
      </w:r>
      <w:r>
        <w:rPr>
          <w:sz w:val="18"/>
        </w:rPr>
        <w:t>providing</w:t>
      </w:r>
      <w:r>
        <w:rPr>
          <w:spacing w:val="-3"/>
          <w:sz w:val="18"/>
        </w:rPr>
        <w:t xml:space="preserve"> </w:t>
      </w:r>
      <w:r>
        <w:rPr>
          <w:sz w:val="18"/>
        </w:rPr>
        <w:t>support</w:t>
      </w:r>
      <w:r>
        <w:rPr>
          <w:spacing w:val="-3"/>
          <w:sz w:val="18"/>
        </w:rPr>
        <w:t xml:space="preserve"> </w:t>
      </w:r>
      <w:r>
        <w:rPr>
          <w:sz w:val="18"/>
        </w:rPr>
        <w:t>for</w:t>
      </w:r>
      <w:r>
        <w:rPr>
          <w:spacing w:val="-3"/>
          <w:sz w:val="18"/>
        </w:rPr>
        <w:t xml:space="preserve"> </w:t>
      </w:r>
      <w:r>
        <w:rPr>
          <w:sz w:val="18"/>
        </w:rPr>
        <w:t>the</w:t>
      </w:r>
      <w:r>
        <w:rPr>
          <w:spacing w:val="-3"/>
          <w:sz w:val="18"/>
        </w:rPr>
        <w:t xml:space="preserve"> </w:t>
      </w:r>
      <w:r>
        <w:rPr>
          <w:sz w:val="18"/>
        </w:rPr>
        <w:t>conclusions</w:t>
      </w:r>
      <w:r>
        <w:rPr>
          <w:spacing w:val="-3"/>
          <w:sz w:val="18"/>
        </w:rPr>
        <w:t xml:space="preserve"> </w:t>
      </w:r>
      <w:r>
        <w:rPr>
          <w:sz w:val="18"/>
        </w:rPr>
        <w:t>on</w:t>
      </w:r>
      <w:r>
        <w:rPr>
          <w:spacing w:val="-3"/>
          <w:sz w:val="18"/>
        </w:rPr>
        <w:t xml:space="preserve"> </w:t>
      </w:r>
      <w:r>
        <w:rPr>
          <w:sz w:val="18"/>
        </w:rPr>
        <w:t>which</w:t>
      </w:r>
      <w:r>
        <w:rPr>
          <w:spacing w:val="-3"/>
          <w:sz w:val="18"/>
        </w:rPr>
        <w:t xml:space="preserve"> </w:t>
      </w:r>
      <w:r>
        <w:rPr>
          <w:sz w:val="18"/>
        </w:rPr>
        <w:t>the</w:t>
      </w:r>
      <w:r>
        <w:rPr>
          <w:spacing w:val="-3"/>
          <w:sz w:val="18"/>
        </w:rPr>
        <w:t xml:space="preserve"> </w:t>
      </w:r>
      <w:r>
        <w:rPr>
          <w:sz w:val="18"/>
        </w:rPr>
        <w:t>auditor’s</w:t>
      </w:r>
      <w:r>
        <w:rPr>
          <w:spacing w:val="-2"/>
          <w:sz w:val="18"/>
        </w:rPr>
        <w:t xml:space="preserve"> </w:t>
      </w:r>
      <w:r>
        <w:rPr>
          <w:sz w:val="18"/>
        </w:rPr>
        <w:t>opinion</w:t>
      </w:r>
      <w:r>
        <w:rPr>
          <w:spacing w:val="-3"/>
          <w:sz w:val="18"/>
        </w:rPr>
        <w:t xml:space="preserve"> </w:t>
      </w:r>
      <w:r>
        <w:rPr>
          <w:sz w:val="18"/>
        </w:rPr>
        <w:t>is based. See AU-C 500.06.</w:t>
      </w:r>
    </w:p>
    <w:p w14:paraId="0DFDB0AE" w14:textId="77777777" w:rsidR="00046465" w:rsidRDefault="00046465">
      <w:pPr>
        <w:spacing w:line="244" w:lineRule="auto"/>
        <w:rPr>
          <w:sz w:val="18"/>
        </w:rPr>
        <w:sectPr w:rsidR="00046465">
          <w:pgSz w:w="12240" w:h="15840"/>
          <w:pgMar w:top="1600" w:right="720" w:bottom="940" w:left="1080" w:header="721" w:footer="757" w:gutter="0"/>
          <w:cols w:space="720"/>
        </w:sectPr>
      </w:pPr>
    </w:p>
    <w:p w14:paraId="0DFDB0AF" w14:textId="77777777" w:rsidR="00046465" w:rsidRDefault="008134EB">
      <w:pPr>
        <w:pStyle w:val="ListParagraph"/>
        <w:numPr>
          <w:ilvl w:val="0"/>
          <w:numId w:val="205"/>
        </w:numPr>
        <w:tabs>
          <w:tab w:val="left" w:pos="1800"/>
        </w:tabs>
        <w:spacing w:before="121"/>
        <w:ind w:right="761"/>
      </w:pPr>
      <w:r>
        <w:lastRenderedPageBreak/>
        <w:t>The IG may retain other documentation reviewed if it might be useful in understanding the entity, training staff members, planning future audits, reviewing</w:t>
      </w:r>
      <w:r>
        <w:rPr>
          <w:spacing w:val="-4"/>
        </w:rPr>
        <w:t xml:space="preserve"> </w:t>
      </w:r>
      <w:r>
        <w:t>the</w:t>
      </w:r>
      <w:r>
        <w:rPr>
          <w:spacing w:val="-4"/>
        </w:rPr>
        <w:t xml:space="preserve"> </w:t>
      </w:r>
      <w:r>
        <w:t>documentation,</w:t>
      </w:r>
      <w:r>
        <w:rPr>
          <w:spacing w:val="-4"/>
        </w:rPr>
        <w:t xml:space="preserve"> </w:t>
      </w:r>
      <w:r>
        <w:t>or</w:t>
      </w:r>
      <w:r>
        <w:rPr>
          <w:spacing w:val="-4"/>
        </w:rPr>
        <w:t xml:space="preserve"> </w:t>
      </w:r>
      <w:r>
        <w:t>writing</w:t>
      </w:r>
      <w:r>
        <w:rPr>
          <w:spacing w:val="-4"/>
        </w:rPr>
        <w:t xml:space="preserve"> </w:t>
      </w:r>
      <w:r>
        <w:t>the</w:t>
      </w:r>
      <w:r>
        <w:rPr>
          <w:spacing w:val="-4"/>
        </w:rPr>
        <w:t xml:space="preserve"> </w:t>
      </w:r>
      <w:r>
        <w:t>transmittal</w:t>
      </w:r>
      <w:r>
        <w:rPr>
          <w:spacing w:val="-4"/>
        </w:rPr>
        <w:t xml:space="preserve"> </w:t>
      </w:r>
      <w:r>
        <w:t>letter.</w:t>
      </w:r>
      <w:r>
        <w:rPr>
          <w:spacing w:val="-5"/>
        </w:rPr>
        <w:t xml:space="preserve"> </w:t>
      </w:r>
      <w:r>
        <w:t>Auditors</w:t>
      </w:r>
      <w:r>
        <w:rPr>
          <w:spacing w:val="-4"/>
        </w:rPr>
        <w:t xml:space="preserve"> </w:t>
      </w:r>
      <w:r>
        <w:t>often</w:t>
      </w:r>
      <w:r>
        <w:rPr>
          <w:spacing w:val="-4"/>
        </w:rPr>
        <w:t xml:space="preserve"> </w:t>
      </w:r>
      <w:r>
        <w:t>find</w:t>
      </w:r>
      <w:r>
        <w:rPr>
          <w:spacing w:val="-4"/>
        </w:rPr>
        <w:t xml:space="preserve"> </w:t>
      </w:r>
      <w:r>
        <w:t>it helpful</w:t>
      </w:r>
      <w:r>
        <w:rPr>
          <w:spacing w:val="-3"/>
        </w:rPr>
        <w:t xml:space="preserve"> </w:t>
      </w:r>
      <w:r>
        <w:t>to</w:t>
      </w:r>
      <w:r>
        <w:rPr>
          <w:spacing w:val="-3"/>
        </w:rPr>
        <w:t xml:space="preserve"> </w:t>
      </w:r>
      <w:r>
        <w:t>keep</w:t>
      </w:r>
      <w:r>
        <w:rPr>
          <w:spacing w:val="-3"/>
        </w:rPr>
        <w:t xml:space="preserve"> </w:t>
      </w:r>
      <w:r>
        <w:t>copies</w:t>
      </w:r>
      <w:r>
        <w:rPr>
          <w:spacing w:val="-3"/>
        </w:rPr>
        <w:t xml:space="preserve"> </w:t>
      </w:r>
      <w:r>
        <w:t>of</w:t>
      </w:r>
      <w:r>
        <w:rPr>
          <w:spacing w:val="-4"/>
        </w:rPr>
        <w:t xml:space="preserve"> </w:t>
      </w:r>
      <w:r>
        <w:t>documents</w:t>
      </w:r>
      <w:r>
        <w:rPr>
          <w:spacing w:val="-3"/>
        </w:rPr>
        <w:t xml:space="preserve"> </w:t>
      </w:r>
      <w:r>
        <w:t>(either</w:t>
      </w:r>
      <w:r>
        <w:rPr>
          <w:spacing w:val="-3"/>
        </w:rPr>
        <w:t xml:space="preserve"> </w:t>
      </w:r>
      <w:r>
        <w:t>electronically</w:t>
      </w:r>
      <w:r>
        <w:rPr>
          <w:spacing w:val="-3"/>
        </w:rPr>
        <w:t xml:space="preserve"> </w:t>
      </w:r>
      <w:r>
        <w:t>or</w:t>
      </w:r>
      <w:r>
        <w:rPr>
          <w:spacing w:val="-3"/>
        </w:rPr>
        <w:t xml:space="preserve"> </w:t>
      </w:r>
      <w:r>
        <w:t>in</w:t>
      </w:r>
      <w:r>
        <w:rPr>
          <w:spacing w:val="-4"/>
        </w:rPr>
        <w:t xml:space="preserve"> </w:t>
      </w:r>
      <w:r>
        <w:t>hard</w:t>
      </w:r>
      <w:r>
        <w:rPr>
          <w:spacing w:val="-3"/>
        </w:rPr>
        <w:t xml:space="preserve"> </w:t>
      </w:r>
      <w:r>
        <w:t>copy)</w:t>
      </w:r>
      <w:r>
        <w:rPr>
          <w:spacing w:val="-3"/>
        </w:rPr>
        <w:t xml:space="preserve"> </w:t>
      </w:r>
      <w:r>
        <w:t>in</w:t>
      </w:r>
      <w:r>
        <w:rPr>
          <w:spacing w:val="-3"/>
        </w:rPr>
        <w:t xml:space="preserve"> </w:t>
      </w:r>
      <w:r>
        <w:t>case questions arise during review. However, the IG may decide not to include those copies in the oversight documentation unless they are considered necessary to document the IG’s review of the IPA work performed.</w:t>
      </w:r>
    </w:p>
    <w:p w14:paraId="0DFDB0B0" w14:textId="77777777" w:rsidR="00046465" w:rsidRDefault="008134EB">
      <w:pPr>
        <w:pStyle w:val="ListParagraph"/>
        <w:numPr>
          <w:ilvl w:val="0"/>
          <w:numId w:val="205"/>
        </w:numPr>
        <w:tabs>
          <w:tab w:val="left" w:pos="1800"/>
        </w:tabs>
        <w:spacing w:before="119"/>
        <w:ind w:right="739"/>
      </w:pPr>
      <w:r>
        <w:t>The</w:t>
      </w:r>
      <w:r>
        <w:rPr>
          <w:spacing w:val="-4"/>
        </w:rPr>
        <w:t xml:space="preserve"> </w:t>
      </w:r>
      <w:r>
        <w:t>IG</w:t>
      </w:r>
      <w:r>
        <w:rPr>
          <w:spacing w:val="-5"/>
        </w:rPr>
        <w:t xml:space="preserve"> </w:t>
      </w:r>
      <w:r>
        <w:t>should</w:t>
      </w:r>
      <w:r>
        <w:rPr>
          <w:spacing w:val="-4"/>
        </w:rPr>
        <w:t xml:space="preserve"> </w:t>
      </w:r>
      <w:r>
        <w:t>retain</w:t>
      </w:r>
      <w:r>
        <w:rPr>
          <w:spacing w:val="-4"/>
        </w:rPr>
        <w:t xml:space="preserve"> </w:t>
      </w:r>
      <w:r>
        <w:t>oversight</w:t>
      </w:r>
      <w:r>
        <w:rPr>
          <w:spacing w:val="-4"/>
        </w:rPr>
        <w:t xml:space="preserve"> </w:t>
      </w:r>
      <w:r>
        <w:t>documents</w:t>
      </w:r>
      <w:r>
        <w:rPr>
          <w:spacing w:val="-4"/>
        </w:rPr>
        <w:t xml:space="preserve"> </w:t>
      </w:r>
      <w:r>
        <w:t>in</w:t>
      </w:r>
      <w:r>
        <w:rPr>
          <w:spacing w:val="-4"/>
        </w:rPr>
        <w:t xml:space="preserve"> </w:t>
      </w:r>
      <w:r>
        <w:t>accordance</w:t>
      </w:r>
      <w:r>
        <w:rPr>
          <w:spacing w:val="-4"/>
        </w:rPr>
        <w:t xml:space="preserve"> </w:t>
      </w:r>
      <w:r>
        <w:t>with</w:t>
      </w:r>
      <w:r>
        <w:rPr>
          <w:spacing w:val="-4"/>
        </w:rPr>
        <w:t xml:space="preserve"> </w:t>
      </w:r>
      <w:r>
        <w:t>legal</w:t>
      </w:r>
      <w:r>
        <w:rPr>
          <w:spacing w:val="-4"/>
        </w:rPr>
        <w:t xml:space="preserve"> </w:t>
      </w:r>
      <w:r>
        <w:t>requirements, but not less than 5 years from the report release date, similar to the audit documentation retention requirements of the audit standards (AU-C 230.17). In documenting the review, the IG may indicate the document number or index number that IPA firm used to locate the document at a later date.</w:t>
      </w:r>
    </w:p>
    <w:p w14:paraId="0DFDB0B1" w14:textId="77777777" w:rsidR="00046465" w:rsidRDefault="008134EB">
      <w:pPr>
        <w:pStyle w:val="BodyText"/>
        <w:spacing w:before="120"/>
        <w:ind w:left="1800" w:right="749"/>
      </w:pPr>
      <w:r>
        <w:t>Ownership</w:t>
      </w:r>
      <w:r>
        <w:rPr>
          <w:spacing w:val="-5"/>
        </w:rPr>
        <w:t xml:space="preserve"> </w:t>
      </w:r>
      <w:r>
        <w:t>and</w:t>
      </w:r>
      <w:r>
        <w:rPr>
          <w:spacing w:val="-5"/>
        </w:rPr>
        <w:t xml:space="preserve"> </w:t>
      </w:r>
      <w:r>
        <w:t>confidentiality</w:t>
      </w:r>
      <w:r>
        <w:rPr>
          <w:spacing w:val="-5"/>
        </w:rPr>
        <w:t xml:space="preserve"> </w:t>
      </w:r>
      <w:r>
        <w:t>of</w:t>
      </w:r>
      <w:r>
        <w:rPr>
          <w:spacing w:val="-5"/>
        </w:rPr>
        <w:t xml:space="preserve"> </w:t>
      </w:r>
      <w:r>
        <w:t>audit</w:t>
      </w:r>
      <w:r>
        <w:rPr>
          <w:spacing w:val="-5"/>
        </w:rPr>
        <w:t xml:space="preserve"> </w:t>
      </w:r>
      <w:r>
        <w:t>documentation</w:t>
      </w:r>
      <w:r>
        <w:rPr>
          <w:spacing w:val="-5"/>
        </w:rPr>
        <w:t xml:space="preserve"> </w:t>
      </w:r>
      <w:r>
        <w:t>are</w:t>
      </w:r>
      <w:r>
        <w:rPr>
          <w:spacing w:val="-4"/>
        </w:rPr>
        <w:t xml:space="preserve"> </w:t>
      </w:r>
      <w:r>
        <w:t>determined</w:t>
      </w:r>
      <w:r>
        <w:rPr>
          <w:spacing w:val="-5"/>
        </w:rPr>
        <w:t xml:space="preserve"> </w:t>
      </w:r>
      <w:r>
        <w:t>by</w:t>
      </w:r>
      <w:r>
        <w:rPr>
          <w:spacing w:val="-5"/>
        </w:rPr>
        <w:t xml:space="preserve"> </w:t>
      </w:r>
      <w:r>
        <w:t>contract and other legal requirements (see AU-C 230.A29). The IG should consult legal counsel when determining ownership of audit documentation if questions arise.</w:t>
      </w:r>
    </w:p>
    <w:p w14:paraId="0DFDB0B2" w14:textId="77777777" w:rsidR="00046465" w:rsidRDefault="008134EB">
      <w:pPr>
        <w:pStyle w:val="Heading4"/>
      </w:pPr>
      <w:bookmarkStart w:id="105" w:name="Communicating_the_Results_of_the_Audit_P"/>
      <w:bookmarkEnd w:id="105"/>
      <w:r>
        <w:t>Communicating</w:t>
      </w:r>
      <w:r>
        <w:rPr>
          <w:spacing w:val="-11"/>
        </w:rPr>
        <w:t xml:space="preserve"> </w:t>
      </w:r>
      <w:r>
        <w:t>the</w:t>
      </w:r>
      <w:r>
        <w:rPr>
          <w:spacing w:val="-9"/>
        </w:rPr>
        <w:t xml:space="preserve"> </w:t>
      </w:r>
      <w:r>
        <w:t>Results</w:t>
      </w:r>
      <w:r>
        <w:rPr>
          <w:spacing w:val="-10"/>
        </w:rPr>
        <w:t xml:space="preserve"> </w:t>
      </w:r>
      <w:r>
        <w:t>of</w:t>
      </w:r>
      <w:r>
        <w:rPr>
          <w:spacing w:val="-9"/>
        </w:rPr>
        <w:t xml:space="preserve"> </w:t>
      </w:r>
      <w:r>
        <w:t>the</w:t>
      </w:r>
      <w:r>
        <w:rPr>
          <w:spacing w:val="-10"/>
        </w:rPr>
        <w:t xml:space="preserve"> </w:t>
      </w:r>
      <w:r>
        <w:t>Audit</w:t>
      </w:r>
      <w:r>
        <w:rPr>
          <w:spacing w:val="-10"/>
        </w:rPr>
        <w:t xml:space="preserve"> </w:t>
      </w:r>
      <w:r>
        <w:t>Performed</w:t>
      </w:r>
      <w:r>
        <w:rPr>
          <w:spacing w:val="-10"/>
        </w:rPr>
        <w:t xml:space="preserve"> </w:t>
      </w:r>
      <w:r>
        <w:t>by</w:t>
      </w:r>
      <w:r>
        <w:rPr>
          <w:spacing w:val="-9"/>
        </w:rPr>
        <w:t xml:space="preserve"> </w:t>
      </w:r>
      <w:r>
        <w:t>the</w:t>
      </w:r>
      <w:r>
        <w:rPr>
          <w:spacing w:val="-10"/>
        </w:rPr>
        <w:t xml:space="preserve"> </w:t>
      </w:r>
      <w:r>
        <w:t>IPA</w:t>
      </w:r>
      <w:r>
        <w:rPr>
          <w:spacing w:val="-10"/>
        </w:rPr>
        <w:t xml:space="preserve"> </w:t>
      </w:r>
      <w:r>
        <w:rPr>
          <w:spacing w:val="-4"/>
        </w:rPr>
        <w:t>Firm</w:t>
      </w:r>
    </w:p>
    <w:p w14:paraId="0DFDB0B3" w14:textId="77777777" w:rsidR="00046465" w:rsidRDefault="008134EB">
      <w:pPr>
        <w:pStyle w:val="ListParagraph"/>
        <w:numPr>
          <w:ilvl w:val="0"/>
          <w:numId w:val="205"/>
        </w:numPr>
        <w:tabs>
          <w:tab w:val="left" w:pos="1799"/>
        </w:tabs>
        <w:spacing w:before="119"/>
        <w:ind w:left="1799" w:right="848" w:hanging="720"/>
      </w:pPr>
      <w:r>
        <w:t>For an IG overseeing an IPA firm’s work, applying the guidance in FAM 670 or the oversight requirements of the IG Act and related guidance from Council of Inspectors</w:t>
      </w:r>
      <w:r>
        <w:rPr>
          <w:spacing w:val="-5"/>
        </w:rPr>
        <w:t xml:space="preserve"> </w:t>
      </w:r>
      <w:r>
        <w:t>General</w:t>
      </w:r>
      <w:r>
        <w:rPr>
          <w:spacing w:val="-4"/>
        </w:rPr>
        <w:t xml:space="preserve"> </w:t>
      </w:r>
      <w:r>
        <w:t>on</w:t>
      </w:r>
      <w:r>
        <w:rPr>
          <w:spacing w:val="-4"/>
        </w:rPr>
        <w:t xml:space="preserve"> </w:t>
      </w:r>
      <w:r>
        <w:t>Integrity</w:t>
      </w:r>
      <w:r>
        <w:rPr>
          <w:spacing w:val="-4"/>
        </w:rPr>
        <w:t xml:space="preserve"> </w:t>
      </w:r>
      <w:r>
        <w:t>and</w:t>
      </w:r>
      <w:r>
        <w:rPr>
          <w:spacing w:val="-5"/>
        </w:rPr>
        <w:t xml:space="preserve"> </w:t>
      </w:r>
      <w:r>
        <w:t>Efficiency</w:t>
      </w:r>
      <w:r>
        <w:rPr>
          <w:spacing w:val="-4"/>
        </w:rPr>
        <w:t xml:space="preserve"> </w:t>
      </w:r>
      <w:r>
        <w:t>applicable</w:t>
      </w:r>
      <w:r>
        <w:rPr>
          <w:spacing w:val="-4"/>
        </w:rPr>
        <w:t xml:space="preserve"> </w:t>
      </w:r>
      <w:r>
        <w:t>to</w:t>
      </w:r>
      <w:r>
        <w:rPr>
          <w:spacing w:val="-5"/>
        </w:rPr>
        <w:t xml:space="preserve"> </w:t>
      </w:r>
      <w:r>
        <w:t>IGs</w:t>
      </w:r>
      <w:r>
        <w:rPr>
          <w:spacing w:val="-4"/>
        </w:rPr>
        <w:t xml:space="preserve"> </w:t>
      </w:r>
      <w:r>
        <w:t>are</w:t>
      </w:r>
      <w:r>
        <w:rPr>
          <w:spacing w:val="-4"/>
        </w:rPr>
        <w:t xml:space="preserve"> </w:t>
      </w:r>
      <w:r>
        <w:t>not</w:t>
      </w:r>
      <w:r>
        <w:rPr>
          <w:spacing w:val="-4"/>
        </w:rPr>
        <w:t xml:space="preserve"> </w:t>
      </w:r>
      <w:r>
        <w:t>intended to and do not create an association for the IG with the financial statements (see AU-C 200.03).</w:t>
      </w:r>
    </w:p>
    <w:p w14:paraId="0DFDB0B4" w14:textId="77777777" w:rsidR="00046465" w:rsidRDefault="008134EB">
      <w:pPr>
        <w:pStyle w:val="BodyText"/>
        <w:spacing w:before="120"/>
        <w:ind w:left="1799" w:right="741"/>
      </w:pPr>
      <w:r>
        <w:t>The IG must ensure that any communication with those charged with governance,</w:t>
      </w:r>
      <w:r>
        <w:rPr>
          <w:spacing w:val="-5"/>
        </w:rPr>
        <w:t xml:space="preserve"> </w:t>
      </w:r>
      <w:r>
        <w:t>management,</w:t>
      </w:r>
      <w:r>
        <w:rPr>
          <w:spacing w:val="-4"/>
        </w:rPr>
        <w:t xml:space="preserve"> </w:t>
      </w:r>
      <w:r>
        <w:t>or</w:t>
      </w:r>
      <w:r>
        <w:rPr>
          <w:spacing w:val="-4"/>
        </w:rPr>
        <w:t xml:space="preserve"> </w:t>
      </w:r>
      <w:r>
        <w:t>other</w:t>
      </w:r>
      <w:r>
        <w:rPr>
          <w:spacing w:val="-4"/>
        </w:rPr>
        <w:t xml:space="preserve"> </w:t>
      </w:r>
      <w:r>
        <w:t>interested</w:t>
      </w:r>
      <w:r>
        <w:rPr>
          <w:spacing w:val="-4"/>
        </w:rPr>
        <w:t xml:space="preserve"> </w:t>
      </w:r>
      <w:r>
        <w:t>parties</w:t>
      </w:r>
      <w:r>
        <w:rPr>
          <w:spacing w:val="-4"/>
        </w:rPr>
        <w:t xml:space="preserve"> </w:t>
      </w:r>
      <w:r>
        <w:t>about</w:t>
      </w:r>
      <w:r>
        <w:rPr>
          <w:spacing w:val="-4"/>
        </w:rPr>
        <w:t xml:space="preserve"> </w:t>
      </w:r>
      <w:r>
        <w:t>the</w:t>
      </w:r>
      <w:r>
        <w:rPr>
          <w:spacing w:val="-4"/>
        </w:rPr>
        <w:t xml:space="preserve"> </w:t>
      </w:r>
      <w:r>
        <w:t>results</w:t>
      </w:r>
      <w:r>
        <w:rPr>
          <w:spacing w:val="-4"/>
        </w:rPr>
        <w:t xml:space="preserve"> </w:t>
      </w:r>
      <w:r>
        <w:t>of</w:t>
      </w:r>
      <w:r>
        <w:rPr>
          <w:spacing w:val="-5"/>
        </w:rPr>
        <w:t xml:space="preserve"> </w:t>
      </w:r>
      <w:r>
        <w:t>the</w:t>
      </w:r>
      <w:r>
        <w:rPr>
          <w:spacing w:val="-4"/>
        </w:rPr>
        <w:t xml:space="preserve"> </w:t>
      </w:r>
      <w:r>
        <w:t>IPA firm’s audit, or the IG’s oversight of the audit, does not create the appearance of the IG having applied procedures sufficient to permit the IG to (1) express an opinion on the financial statements or (2) draw conclusions on the effectiveness of internal control over financial reporting; whether financial management systems comply substantially with the three FFMIA requirements; compliance with significant provisions of applicable laws, regulations, contracts, and grant agreements;</w:t>
      </w:r>
      <w:hyperlink w:anchor="_bookmark31" w:history="1">
        <w:r>
          <w:rPr>
            <w:position w:val="7"/>
            <w:sz w:val="14"/>
          </w:rPr>
          <w:t>22</w:t>
        </w:r>
      </w:hyperlink>
      <w:r>
        <w:rPr>
          <w:spacing w:val="39"/>
          <w:position w:val="7"/>
          <w:sz w:val="14"/>
        </w:rPr>
        <w:t xml:space="preserve"> </w:t>
      </w:r>
      <w:r>
        <w:t>or other matters. Consequently, communication about audit and oversight results must contain a disclaimer of an opinion and should not express concurrence with the IPA firm’s opinion or other conclusions. These communications generally should be made in writing.</w:t>
      </w:r>
    </w:p>
    <w:p w14:paraId="0DFDB0B5" w14:textId="77777777" w:rsidR="00046465" w:rsidRDefault="008134EB">
      <w:pPr>
        <w:pStyle w:val="ListParagraph"/>
        <w:numPr>
          <w:ilvl w:val="0"/>
          <w:numId w:val="205"/>
        </w:numPr>
        <w:tabs>
          <w:tab w:val="left" w:pos="1800"/>
        </w:tabs>
        <w:ind w:right="1180"/>
      </w:pPr>
      <w:r>
        <w:t>While the IG does not have an association with the financial statements, it is appropriate for the IG to transmit the IPA firm’s report to the entity or other interested</w:t>
      </w:r>
      <w:r>
        <w:rPr>
          <w:spacing w:val="-5"/>
        </w:rPr>
        <w:t xml:space="preserve"> </w:t>
      </w:r>
      <w:r>
        <w:t>parties</w:t>
      </w:r>
      <w:r>
        <w:rPr>
          <w:spacing w:val="-5"/>
        </w:rPr>
        <w:t xml:space="preserve"> </w:t>
      </w:r>
      <w:r>
        <w:t>summarizing</w:t>
      </w:r>
      <w:r>
        <w:rPr>
          <w:spacing w:val="-5"/>
        </w:rPr>
        <w:t xml:space="preserve"> </w:t>
      </w:r>
      <w:r>
        <w:t>the</w:t>
      </w:r>
      <w:r>
        <w:rPr>
          <w:spacing w:val="-5"/>
        </w:rPr>
        <w:t xml:space="preserve"> </w:t>
      </w:r>
      <w:r>
        <w:t>results,</w:t>
      </w:r>
      <w:r>
        <w:rPr>
          <w:spacing w:val="-5"/>
        </w:rPr>
        <w:t xml:space="preserve"> </w:t>
      </w:r>
      <w:r>
        <w:t>providing</w:t>
      </w:r>
      <w:r>
        <w:rPr>
          <w:spacing w:val="-5"/>
        </w:rPr>
        <w:t xml:space="preserve"> </w:t>
      </w:r>
      <w:r>
        <w:t>appropriate</w:t>
      </w:r>
      <w:r>
        <w:rPr>
          <w:spacing w:val="-5"/>
        </w:rPr>
        <w:t xml:space="preserve"> </w:t>
      </w:r>
      <w:r>
        <w:t>context</w:t>
      </w:r>
      <w:r>
        <w:rPr>
          <w:spacing w:val="-6"/>
        </w:rPr>
        <w:t xml:space="preserve"> </w:t>
      </w:r>
      <w:r>
        <w:t>and disclaimers, and describing the IG’s oversight procedures and results. The considerations the IG should address when deciding the type of written communication include</w:t>
      </w:r>
    </w:p>
    <w:p w14:paraId="0DFDB0B6" w14:textId="77777777" w:rsidR="00046465" w:rsidRDefault="008134EB">
      <w:pPr>
        <w:pStyle w:val="ListParagraph"/>
        <w:numPr>
          <w:ilvl w:val="0"/>
          <w:numId w:val="204"/>
        </w:numPr>
        <w:tabs>
          <w:tab w:val="left" w:pos="2160"/>
        </w:tabs>
      </w:pPr>
      <w:r>
        <w:t>the</w:t>
      </w:r>
      <w:r>
        <w:rPr>
          <w:spacing w:val="-5"/>
        </w:rPr>
        <w:t xml:space="preserve"> </w:t>
      </w:r>
      <w:r>
        <w:t>level</w:t>
      </w:r>
      <w:r>
        <w:rPr>
          <w:spacing w:val="-5"/>
        </w:rPr>
        <w:t xml:space="preserve"> </w:t>
      </w:r>
      <w:r>
        <w:t>of</w:t>
      </w:r>
      <w:r>
        <w:rPr>
          <w:spacing w:val="-5"/>
        </w:rPr>
        <w:t xml:space="preserve"> </w:t>
      </w:r>
      <w:r>
        <w:t>oversight</w:t>
      </w:r>
      <w:r>
        <w:rPr>
          <w:spacing w:val="-6"/>
        </w:rPr>
        <w:t xml:space="preserve"> </w:t>
      </w:r>
      <w:r>
        <w:rPr>
          <w:spacing w:val="-2"/>
        </w:rPr>
        <w:t>conducted,</w:t>
      </w:r>
    </w:p>
    <w:p w14:paraId="0DFDB0B7" w14:textId="77777777" w:rsidR="00046465" w:rsidRDefault="008134EB">
      <w:pPr>
        <w:pStyle w:val="ListParagraph"/>
        <w:numPr>
          <w:ilvl w:val="0"/>
          <w:numId w:val="204"/>
        </w:numPr>
        <w:tabs>
          <w:tab w:val="left" w:pos="2160"/>
        </w:tabs>
        <w:spacing w:before="118"/>
      </w:pPr>
      <w:r>
        <w:t>resource</w:t>
      </w:r>
      <w:r>
        <w:rPr>
          <w:spacing w:val="-10"/>
        </w:rPr>
        <w:t xml:space="preserve"> </w:t>
      </w:r>
      <w:r>
        <w:t>requirements</w:t>
      </w:r>
      <w:r>
        <w:rPr>
          <w:spacing w:val="-10"/>
        </w:rPr>
        <w:t xml:space="preserve"> </w:t>
      </w:r>
      <w:r>
        <w:t>and</w:t>
      </w:r>
      <w:r>
        <w:rPr>
          <w:spacing w:val="-10"/>
        </w:rPr>
        <w:t xml:space="preserve"> </w:t>
      </w:r>
      <w:r>
        <w:t>cost-benefit</w:t>
      </w:r>
      <w:r>
        <w:rPr>
          <w:spacing w:val="-10"/>
        </w:rPr>
        <w:t xml:space="preserve"> </w:t>
      </w:r>
      <w:r>
        <w:rPr>
          <w:spacing w:val="-2"/>
        </w:rPr>
        <w:t>considerations,</w:t>
      </w:r>
    </w:p>
    <w:p w14:paraId="0DFDB0B8" w14:textId="77777777" w:rsidR="00046465" w:rsidRDefault="00046465">
      <w:pPr>
        <w:pStyle w:val="BodyText"/>
        <w:rPr>
          <w:sz w:val="20"/>
        </w:rPr>
      </w:pPr>
    </w:p>
    <w:p w14:paraId="0DFDB0B9" w14:textId="77777777" w:rsidR="00046465" w:rsidRDefault="008134EB">
      <w:pPr>
        <w:pStyle w:val="BodyText"/>
        <w:spacing w:before="133"/>
        <w:rPr>
          <w:sz w:val="20"/>
        </w:rPr>
      </w:pPr>
      <w:r>
        <w:rPr>
          <w:noProof/>
          <w:sz w:val="20"/>
        </w:rPr>
        <mc:AlternateContent>
          <mc:Choice Requires="wps">
            <w:drawing>
              <wp:anchor distT="0" distB="0" distL="0" distR="0" simplePos="0" relativeHeight="487612416" behindDoc="1" locked="0" layoutInCell="1" allowOverlap="1" wp14:anchorId="0DFDD573" wp14:editId="0DFDD574">
                <wp:simplePos x="0" y="0"/>
                <wp:positionH relativeFrom="page">
                  <wp:posOffset>914400</wp:posOffset>
                </wp:positionH>
                <wp:positionV relativeFrom="paragraph">
                  <wp:posOffset>245770</wp:posOffset>
                </wp:positionV>
                <wp:extent cx="1828800" cy="5715"/>
                <wp:effectExtent l="0" t="0" r="0" b="0"/>
                <wp:wrapTopAndBottom/>
                <wp:docPr id="252" name="Graphic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140BE5" id="Graphic 252" o:spid="_x0000_s1026" style="position:absolute;margin-left:1in;margin-top:19.35pt;width:2in;height:.45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" path="m1828800,l,,,5321r1828800,l1828800,xe" fillcolor="black" stroked="f">
                <v:path arrowok="t"/>
                <w10:wrap type="topAndBottom" anchorx="page"/>
              </v:shape>
            </w:pict>
          </mc:Fallback>
        </mc:AlternateContent>
      </w:r>
    </w:p>
    <w:p w14:paraId="0DFDB0BA" w14:textId="77777777" w:rsidR="00046465" w:rsidRDefault="008134EB">
      <w:pPr>
        <w:spacing w:before="202" w:line="249" w:lineRule="auto"/>
        <w:ind w:left="359" w:right="749"/>
        <w:rPr>
          <w:sz w:val="18"/>
        </w:rPr>
      </w:pPr>
      <w:bookmarkStart w:id="106" w:name="_bookmark31"/>
      <w:bookmarkEnd w:id="106"/>
      <w:r>
        <w:rPr>
          <w:position w:val="7"/>
          <w:sz w:val="14"/>
        </w:rPr>
        <w:t>22</w:t>
      </w:r>
      <w:r>
        <w:rPr>
          <w:sz w:val="18"/>
        </w:rPr>
        <w:t>In</w:t>
      </w:r>
      <w:r>
        <w:rPr>
          <w:spacing w:val="-4"/>
          <w:sz w:val="18"/>
        </w:rPr>
        <w:t xml:space="preserve"> </w:t>
      </w:r>
      <w:r>
        <w:rPr>
          <w:sz w:val="18"/>
        </w:rPr>
        <w:t>the</w:t>
      </w:r>
      <w:r>
        <w:rPr>
          <w:spacing w:val="-4"/>
          <w:sz w:val="18"/>
        </w:rPr>
        <w:t xml:space="preserve"> </w:t>
      </w:r>
      <w:r>
        <w:rPr>
          <w:sz w:val="18"/>
        </w:rPr>
        <w:t>FAM,</w:t>
      </w:r>
      <w:r>
        <w:rPr>
          <w:spacing w:val="-3"/>
          <w:sz w:val="18"/>
        </w:rPr>
        <w:t xml:space="preserve"> </w:t>
      </w:r>
      <w:r>
        <w:rPr>
          <w:sz w:val="18"/>
        </w:rPr>
        <w:t>“applicable</w:t>
      </w:r>
      <w:r>
        <w:rPr>
          <w:spacing w:val="-4"/>
          <w:sz w:val="18"/>
        </w:rPr>
        <w:t xml:space="preserve"> </w:t>
      </w:r>
      <w:r>
        <w:rPr>
          <w:sz w:val="18"/>
        </w:rPr>
        <w:t>laws,</w:t>
      </w:r>
      <w:r>
        <w:rPr>
          <w:spacing w:val="-3"/>
          <w:sz w:val="18"/>
        </w:rPr>
        <w:t xml:space="preserve"> </w:t>
      </w:r>
      <w:r>
        <w:rPr>
          <w:sz w:val="18"/>
        </w:rPr>
        <w:t>regulations,</w:t>
      </w:r>
      <w:r>
        <w:rPr>
          <w:spacing w:val="-3"/>
          <w:sz w:val="18"/>
        </w:rPr>
        <w:t xml:space="preserve"> </w:t>
      </w:r>
      <w:r>
        <w:rPr>
          <w:sz w:val="18"/>
        </w:rPr>
        <w:t>contracts,</w:t>
      </w:r>
      <w:r>
        <w:rPr>
          <w:spacing w:val="-3"/>
          <w:sz w:val="18"/>
        </w:rPr>
        <w:t xml:space="preserve"> </w:t>
      </w:r>
      <w:r>
        <w:rPr>
          <w:sz w:val="18"/>
        </w:rPr>
        <w:t>and</w:t>
      </w:r>
      <w:r>
        <w:rPr>
          <w:spacing w:val="-4"/>
          <w:sz w:val="18"/>
        </w:rPr>
        <w:t xml:space="preserve"> </w:t>
      </w:r>
      <w:r>
        <w:rPr>
          <w:sz w:val="18"/>
        </w:rPr>
        <w:t>grant</w:t>
      </w:r>
      <w:r>
        <w:rPr>
          <w:spacing w:val="-3"/>
          <w:sz w:val="18"/>
        </w:rPr>
        <w:t xml:space="preserve"> </w:t>
      </w:r>
      <w:r>
        <w:rPr>
          <w:sz w:val="18"/>
        </w:rPr>
        <w:t>agreements”</w:t>
      </w:r>
      <w:r>
        <w:rPr>
          <w:spacing w:val="-3"/>
          <w:sz w:val="18"/>
        </w:rPr>
        <w:t xml:space="preserve"> </w:t>
      </w:r>
      <w:r>
        <w:rPr>
          <w:sz w:val="18"/>
        </w:rPr>
        <w:t>refer</w:t>
      </w:r>
      <w:r>
        <w:rPr>
          <w:spacing w:val="-3"/>
          <w:sz w:val="18"/>
        </w:rPr>
        <w:t xml:space="preserve"> </w:t>
      </w:r>
      <w:r>
        <w:rPr>
          <w:sz w:val="18"/>
        </w:rPr>
        <w:t>to</w:t>
      </w:r>
      <w:r>
        <w:rPr>
          <w:spacing w:val="-4"/>
          <w:sz w:val="18"/>
        </w:rPr>
        <w:t xml:space="preserve"> </w:t>
      </w:r>
      <w:r>
        <w:rPr>
          <w:sz w:val="18"/>
        </w:rPr>
        <w:t>those</w:t>
      </w:r>
      <w:r>
        <w:rPr>
          <w:spacing w:val="-4"/>
          <w:sz w:val="18"/>
        </w:rPr>
        <w:t xml:space="preserve"> </w:t>
      </w:r>
      <w:r>
        <w:rPr>
          <w:sz w:val="18"/>
        </w:rPr>
        <w:t>laws,</w:t>
      </w:r>
      <w:r>
        <w:rPr>
          <w:spacing w:val="-3"/>
          <w:sz w:val="18"/>
        </w:rPr>
        <w:t xml:space="preserve"> </w:t>
      </w:r>
      <w:r>
        <w:rPr>
          <w:sz w:val="18"/>
        </w:rPr>
        <w:t>regulations, contracts, and grant agreements that are applicable to the audited entity.</w:t>
      </w:r>
    </w:p>
    <w:p w14:paraId="0DFDB0BB" w14:textId="77777777" w:rsidR="00046465" w:rsidRDefault="00046465">
      <w:pPr>
        <w:spacing w:line="249" w:lineRule="auto"/>
        <w:rPr>
          <w:sz w:val="18"/>
        </w:rPr>
        <w:sectPr w:rsidR="00046465">
          <w:pgSz w:w="12240" w:h="15840"/>
          <w:pgMar w:top="1600" w:right="720" w:bottom="940" w:left="1080" w:header="721" w:footer="757" w:gutter="0"/>
          <w:cols w:space="720"/>
        </w:sectPr>
      </w:pPr>
    </w:p>
    <w:p w14:paraId="0DFDB0BC" w14:textId="77777777" w:rsidR="00046465" w:rsidRDefault="008134EB">
      <w:pPr>
        <w:pStyle w:val="ListParagraph"/>
        <w:numPr>
          <w:ilvl w:val="0"/>
          <w:numId w:val="204"/>
        </w:numPr>
        <w:tabs>
          <w:tab w:val="left" w:pos="2159"/>
        </w:tabs>
        <w:spacing w:before="121"/>
        <w:ind w:left="2159" w:hanging="359"/>
      </w:pPr>
      <w:r>
        <w:lastRenderedPageBreak/>
        <w:t>the</w:t>
      </w:r>
      <w:r>
        <w:rPr>
          <w:spacing w:val="-7"/>
        </w:rPr>
        <w:t xml:space="preserve"> </w:t>
      </w:r>
      <w:r>
        <w:t>timing</w:t>
      </w:r>
      <w:r>
        <w:rPr>
          <w:spacing w:val="-7"/>
        </w:rPr>
        <w:t xml:space="preserve"> </w:t>
      </w:r>
      <w:r>
        <w:t>of</w:t>
      </w:r>
      <w:r>
        <w:rPr>
          <w:spacing w:val="-7"/>
        </w:rPr>
        <w:t xml:space="preserve"> </w:t>
      </w:r>
      <w:r>
        <w:t>oversight</w:t>
      </w:r>
      <w:r>
        <w:rPr>
          <w:spacing w:val="-7"/>
        </w:rPr>
        <w:t xml:space="preserve"> </w:t>
      </w:r>
      <w:r>
        <w:t>procedures,</w:t>
      </w:r>
      <w:r>
        <w:rPr>
          <w:spacing w:val="-7"/>
        </w:rPr>
        <w:t xml:space="preserve"> </w:t>
      </w:r>
      <w:r>
        <w:rPr>
          <w:spacing w:val="-5"/>
        </w:rPr>
        <w:t>and</w:t>
      </w:r>
    </w:p>
    <w:p w14:paraId="0DFDB0BD" w14:textId="77777777" w:rsidR="00046465" w:rsidRDefault="008134EB">
      <w:pPr>
        <w:pStyle w:val="ListParagraph"/>
        <w:numPr>
          <w:ilvl w:val="0"/>
          <w:numId w:val="204"/>
        </w:numPr>
        <w:tabs>
          <w:tab w:val="left" w:pos="2159"/>
        </w:tabs>
        <w:spacing w:before="118"/>
        <w:ind w:left="2159"/>
      </w:pPr>
      <w:r>
        <w:t>legal</w:t>
      </w:r>
      <w:r>
        <w:rPr>
          <w:spacing w:val="-5"/>
        </w:rPr>
        <w:t xml:space="preserve"> </w:t>
      </w:r>
      <w:r>
        <w:rPr>
          <w:spacing w:val="-2"/>
        </w:rPr>
        <w:t>requirements.</w:t>
      </w:r>
    </w:p>
    <w:p w14:paraId="0DFDB0BE" w14:textId="77777777" w:rsidR="00046465" w:rsidRDefault="008134EB">
      <w:pPr>
        <w:pStyle w:val="ListParagraph"/>
        <w:numPr>
          <w:ilvl w:val="0"/>
          <w:numId w:val="205"/>
        </w:numPr>
        <w:tabs>
          <w:tab w:val="left" w:pos="1799"/>
        </w:tabs>
        <w:spacing w:before="118"/>
        <w:ind w:left="1799" w:right="728"/>
      </w:pPr>
      <w:r>
        <w:t>The IG generally should decide the type of written communication when planning the engagement. Decisions about the type and when it may communicate the results</w:t>
      </w:r>
      <w:r>
        <w:rPr>
          <w:spacing w:val="-3"/>
        </w:rPr>
        <w:t xml:space="preserve"> </w:t>
      </w:r>
      <w:r>
        <w:t>of</w:t>
      </w:r>
      <w:r>
        <w:rPr>
          <w:spacing w:val="-3"/>
        </w:rPr>
        <w:t xml:space="preserve"> </w:t>
      </w:r>
      <w:r>
        <w:t>oversight</w:t>
      </w:r>
      <w:r>
        <w:rPr>
          <w:spacing w:val="-3"/>
        </w:rPr>
        <w:t xml:space="preserve"> </w:t>
      </w:r>
      <w:r>
        <w:t>of</w:t>
      </w:r>
      <w:r>
        <w:rPr>
          <w:spacing w:val="-3"/>
        </w:rPr>
        <w:t xml:space="preserve"> </w:t>
      </w:r>
      <w:r>
        <w:t>the</w:t>
      </w:r>
      <w:r>
        <w:rPr>
          <w:spacing w:val="-3"/>
        </w:rPr>
        <w:t xml:space="preserve"> </w:t>
      </w:r>
      <w:r>
        <w:t>IPA</w:t>
      </w:r>
      <w:r>
        <w:rPr>
          <w:spacing w:val="-3"/>
        </w:rPr>
        <w:t xml:space="preserve"> </w:t>
      </w:r>
      <w:r>
        <w:t>firm’s</w:t>
      </w:r>
      <w:r>
        <w:rPr>
          <w:spacing w:val="-3"/>
        </w:rPr>
        <w:t xml:space="preserve"> </w:t>
      </w:r>
      <w:r>
        <w:t>work</w:t>
      </w:r>
      <w:r>
        <w:rPr>
          <w:spacing w:val="-3"/>
        </w:rPr>
        <w:t xml:space="preserve"> </w:t>
      </w:r>
      <w:r>
        <w:t>to</w:t>
      </w:r>
      <w:r>
        <w:rPr>
          <w:spacing w:val="-3"/>
        </w:rPr>
        <w:t xml:space="preserve"> </w:t>
      </w:r>
      <w:r>
        <w:t>management</w:t>
      </w:r>
      <w:r>
        <w:rPr>
          <w:spacing w:val="-3"/>
        </w:rPr>
        <w:t xml:space="preserve"> </w:t>
      </w:r>
      <w:r>
        <w:t>and</w:t>
      </w:r>
      <w:r>
        <w:rPr>
          <w:spacing w:val="-3"/>
        </w:rPr>
        <w:t xml:space="preserve"> </w:t>
      </w:r>
      <w:r>
        <w:t>those</w:t>
      </w:r>
      <w:r>
        <w:rPr>
          <w:spacing w:val="-3"/>
        </w:rPr>
        <w:t xml:space="preserve"> </w:t>
      </w:r>
      <w:r>
        <w:t>charged</w:t>
      </w:r>
      <w:r>
        <w:rPr>
          <w:spacing w:val="-3"/>
        </w:rPr>
        <w:t xml:space="preserve"> </w:t>
      </w:r>
      <w:r>
        <w:t>with governance generally should be discussed with the IPA firm during the planning stages of the audit. The IG exercises professional judgment in making these decisions and should document the basis for the decisions. The type of communication will depend on legal requirements, as applicable, and the IG’s level of review (see FAM 670.08 through .10).</w:t>
      </w:r>
    </w:p>
    <w:p w14:paraId="0DFDB0BF" w14:textId="77777777" w:rsidR="00046465" w:rsidRDefault="008134EB">
      <w:pPr>
        <w:pStyle w:val="ListParagraph"/>
        <w:numPr>
          <w:ilvl w:val="0"/>
          <w:numId w:val="205"/>
        </w:numPr>
        <w:tabs>
          <w:tab w:val="left" w:pos="1800"/>
        </w:tabs>
        <w:spacing w:before="119"/>
        <w:ind w:right="750"/>
      </w:pPr>
      <w:r>
        <w:t>The IG generally should issue communication in writing. There are two possible types of transmittal letters based on the IG’s oversight of the IPA firm’s work—one expressing no assurance and one expressing negative assurance related to the IPA firm’s compliance with GAGAS. Because the IG did not perform the</w:t>
      </w:r>
      <w:r>
        <w:rPr>
          <w:spacing w:val="40"/>
        </w:rPr>
        <w:t xml:space="preserve"> </w:t>
      </w:r>
      <w:r>
        <w:t>audit, the IG should disclaim an opinion and should not express its concurrence with the IPA firm’s opinion or other conclusions. The IG may also expand the letter</w:t>
      </w:r>
      <w:r>
        <w:rPr>
          <w:spacing w:val="-4"/>
        </w:rPr>
        <w:t xml:space="preserve"> </w:t>
      </w:r>
      <w:r>
        <w:t>to</w:t>
      </w:r>
      <w:r>
        <w:rPr>
          <w:spacing w:val="-4"/>
        </w:rPr>
        <w:t xml:space="preserve"> </w:t>
      </w:r>
      <w:r>
        <w:t>highlight</w:t>
      </w:r>
      <w:r>
        <w:rPr>
          <w:spacing w:val="-4"/>
        </w:rPr>
        <w:t xml:space="preserve"> </w:t>
      </w:r>
      <w:r>
        <w:t>audit</w:t>
      </w:r>
      <w:r>
        <w:rPr>
          <w:spacing w:val="-4"/>
        </w:rPr>
        <w:t xml:space="preserve"> </w:t>
      </w:r>
      <w:r>
        <w:t>findings</w:t>
      </w:r>
      <w:r>
        <w:rPr>
          <w:spacing w:val="-4"/>
        </w:rPr>
        <w:t xml:space="preserve"> </w:t>
      </w:r>
      <w:r>
        <w:t>or</w:t>
      </w:r>
      <w:r>
        <w:rPr>
          <w:spacing w:val="-4"/>
        </w:rPr>
        <w:t xml:space="preserve"> </w:t>
      </w:r>
      <w:r>
        <w:t>information</w:t>
      </w:r>
      <w:r>
        <w:rPr>
          <w:spacing w:val="-4"/>
        </w:rPr>
        <w:t xml:space="preserve"> </w:t>
      </w:r>
      <w:r>
        <w:t>or</w:t>
      </w:r>
      <w:r>
        <w:rPr>
          <w:spacing w:val="-4"/>
        </w:rPr>
        <w:t xml:space="preserve"> </w:t>
      </w:r>
      <w:r>
        <w:t>to</w:t>
      </w:r>
      <w:r>
        <w:rPr>
          <w:spacing w:val="-4"/>
        </w:rPr>
        <w:t xml:space="preserve"> </w:t>
      </w:r>
      <w:r>
        <w:t>describe</w:t>
      </w:r>
      <w:r>
        <w:rPr>
          <w:spacing w:val="-5"/>
        </w:rPr>
        <w:t xml:space="preserve"> </w:t>
      </w:r>
      <w:r>
        <w:t>oversight</w:t>
      </w:r>
      <w:r>
        <w:rPr>
          <w:spacing w:val="-4"/>
        </w:rPr>
        <w:t xml:space="preserve"> </w:t>
      </w:r>
      <w:r>
        <w:t>procedures that the IG performed. See examples in FAM 670 B for wording for the two types of transmittal letters.</w:t>
      </w:r>
    </w:p>
    <w:p w14:paraId="0DFDB0C0" w14:textId="77777777" w:rsidR="00046465" w:rsidRDefault="008134EB">
      <w:pPr>
        <w:pStyle w:val="ListParagraph"/>
        <w:numPr>
          <w:ilvl w:val="1"/>
          <w:numId w:val="205"/>
        </w:numPr>
        <w:tabs>
          <w:tab w:val="left" w:pos="2160"/>
        </w:tabs>
        <w:spacing w:before="121"/>
        <w:ind w:left="2160" w:right="735"/>
      </w:pPr>
      <w:r>
        <w:rPr>
          <w:b/>
        </w:rPr>
        <w:t xml:space="preserve">Express no assurance. </w:t>
      </w:r>
      <w:r>
        <w:t>For this communication, the IG issues a transmittal based on procedures described in FAM 670 A for a low level of review. In these</w:t>
      </w:r>
      <w:r>
        <w:rPr>
          <w:spacing w:val="-5"/>
        </w:rPr>
        <w:t xml:space="preserve"> </w:t>
      </w:r>
      <w:r>
        <w:t>situations,</w:t>
      </w:r>
      <w:r>
        <w:rPr>
          <w:spacing w:val="-5"/>
        </w:rPr>
        <w:t xml:space="preserve"> </w:t>
      </w:r>
      <w:r>
        <w:t>the</w:t>
      </w:r>
      <w:r>
        <w:rPr>
          <w:spacing w:val="-5"/>
        </w:rPr>
        <w:t xml:space="preserve"> </w:t>
      </w:r>
      <w:r>
        <w:t>transmittal</w:t>
      </w:r>
      <w:r>
        <w:rPr>
          <w:spacing w:val="-5"/>
        </w:rPr>
        <w:t xml:space="preserve"> </w:t>
      </w:r>
      <w:r>
        <w:t>should</w:t>
      </w:r>
      <w:r>
        <w:rPr>
          <w:spacing w:val="-5"/>
        </w:rPr>
        <w:t xml:space="preserve"> </w:t>
      </w:r>
      <w:r>
        <w:t>not</w:t>
      </w:r>
      <w:r>
        <w:rPr>
          <w:spacing w:val="-5"/>
        </w:rPr>
        <w:t xml:space="preserve"> </w:t>
      </w:r>
      <w:r>
        <w:t>discuss</w:t>
      </w:r>
      <w:r>
        <w:rPr>
          <w:spacing w:val="-5"/>
        </w:rPr>
        <w:t xml:space="preserve"> </w:t>
      </w:r>
      <w:r>
        <w:t>any</w:t>
      </w:r>
      <w:r>
        <w:rPr>
          <w:spacing w:val="-5"/>
        </w:rPr>
        <w:t xml:space="preserve"> </w:t>
      </w:r>
      <w:r>
        <w:t>procedures</w:t>
      </w:r>
      <w:r>
        <w:rPr>
          <w:spacing w:val="-5"/>
        </w:rPr>
        <w:t xml:space="preserve"> </w:t>
      </w:r>
      <w:r>
        <w:t>performed as</w:t>
      </w:r>
      <w:r>
        <w:rPr>
          <w:spacing w:val="-2"/>
        </w:rPr>
        <w:t xml:space="preserve"> </w:t>
      </w:r>
      <w:r>
        <w:t>part</w:t>
      </w:r>
      <w:r>
        <w:rPr>
          <w:spacing w:val="-2"/>
        </w:rPr>
        <w:t xml:space="preserve"> </w:t>
      </w:r>
      <w:r>
        <w:t>of</w:t>
      </w:r>
      <w:r>
        <w:rPr>
          <w:spacing w:val="-2"/>
        </w:rPr>
        <w:t xml:space="preserve"> </w:t>
      </w:r>
      <w:r>
        <w:t>the</w:t>
      </w:r>
      <w:r>
        <w:rPr>
          <w:spacing w:val="-2"/>
        </w:rPr>
        <w:t xml:space="preserve"> </w:t>
      </w:r>
      <w:r>
        <w:t>low</w:t>
      </w:r>
      <w:r>
        <w:rPr>
          <w:spacing w:val="-3"/>
        </w:rPr>
        <w:t xml:space="preserve"> </w:t>
      </w:r>
      <w:r>
        <w:t>level</w:t>
      </w:r>
      <w:r>
        <w:rPr>
          <w:spacing w:val="-2"/>
        </w:rPr>
        <w:t xml:space="preserve"> </w:t>
      </w:r>
      <w:r>
        <w:t>of</w:t>
      </w:r>
      <w:r>
        <w:rPr>
          <w:spacing w:val="-2"/>
        </w:rPr>
        <w:t xml:space="preserve"> </w:t>
      </w:r>
      <w:r>
        <w:t>review,</w:t>
      </w:r>
      <w:r>
        <w:rPr>
          <w:spacing w:val="-2"/>
        </w:rPr>
        <w:t xml:space="preserve"> </w:t>
      </w:r>
      <w:r>
        <w:t>to</w:t>
      </w:r>
      <w:r>
        <w:rPr>
          <w:spacing w:val="-3"/>
        </w:rPr>
        <w:t xml:space="preserve"> </w:t>
      </w:r>
      <w:r>
        <w:t>avoid</w:t>
      </w:r>
      <w:r>
        <w:rPr>
          <w:spacing w:val="-2"/>
        </w:rPr>
        <w:t xml:space="preserve"> </w:t>
      </w:r>
      <w:r>
        <w:t>the</w:t>
      </w:r>
      <w:r>
        <w:rPr>
          <w:spacing w:val="-2"/>
        </w:rPr>
        <w:t xml:space="preserve"> </w:t>
      </w:r>
      <w:r>
        <w:t>appearance</w:t>
      </w:r>
      <w:r>
        <w:rPr>
          <w:spacing w:val="-2"/>
        </w:rPr>
        <w:t xml:space="preserve"> </w:t>
      </w:r>
      <w:r>
        <w:t>that</w:t>
      </w:r>
      <w:r>
        <w:rPr>
          <w:spacing w:val="-2"/>
        </w:rPr>
        <w:t xml:space="preserve"> </w:t>
      </w:r>
      <w:r>
        <w:t>any</w:t>
      </w:r>
      <w:r>
        <w:rPr>
          <w:spacing w:val="-2"/>
        </w:rPr>
        <w:t xml:space="preserve"> </w:t>
      </w:r>
      <w:r>
        <w:t>assurance is given.</w:t>
      </w:r>
    </w:p>
    <w:p w14:paraId="0DFDB0C1" w14:textId="77777777" w:rsidR="00046465" w:rsidRDefault="008134EB">
      <w:pPr>
        <w:pStyle w:val="ListParagraph"/>
        <w:numPr>
          <w:ilvl w:val="1"/>
          <w:numId w:val="205"/>
        </w:numPr>
        <w:tabs>
          <w:tab w:val="left" w:pos="2159"/>
        </w:tabs>
        <w:ind w:right="1159"/>
      </w:pPr>
      <w:r>
        <w:rPr>
          <w:b/>
        </w:rPr>
        <w:t xml:space="preserve">Express negative assurance on compliance with GAGAS. </w:t>
      </w:r>
      <w:r>
        <w:t>This communication indicates that the IG reviewed the IPA firm’s report and related</w:t>
      </w:r>
      <w:r>
        <w:rPr>
          <w:spacing w:val="-4"/>
        </w:rPr>
        <w:t xml:space="preserve"> </w:t>
      </w:r>
      <w:r>
        <w:t>audit</w:t>
      </w:r>
      <w:r>
        <w:rPr>
          <w:spacing w:val="-5"/>
        </w:rPr>
        <w:t xml:space="preserve"> </w:t>
      </w:r>
      <w:r>
        <w:t>documentation,</w:t>
      </w:r>
      <w:r>
        <w:rPr>
          <w:spacing w:val="-4"/>
        </w:rPr>
        <w:t xml:space="preserve"> </w:t>
      </w:r>
      <w:r>
        <w:t>inquired</w:t>
      </w:r>
      <w:r>
        <w:rPr>
          <w:spacing w:val="-5"/>
        </w:rPr>
        <w:t xml:space="preserve"> </w:t>
      </w:r>
      <w:r>
        <w:t>of</w:t>
      </w:r>
      <w:r>
        <w:rPr>
          <w:spacing w:val="-4"/>
        </w:rPr>
        <w:t xml:space="preserve"> </w:t>
      </w:r>
      <w:r>
        <w:t>its</w:t>
      </w:r>
      <w:r>
        <w:rPr>
          <w:spacing w:val="-3"/>
        </w:rPr>
        <w:t xml:space="preserve"> </w:t>
      </w:r>
      <w:r>
        <w:t>representatives,</w:t>
      </w:r>
      <w:r>
        <w:rPr>
          <w:spacing w:val="-4"/>
        </w:rPr>
        <w:t xml:space="preserve"> </w:t>
      </w:r>
      <w:r>
        <w:t>and</w:t>
      </w:r>
      <w:r>
        <w:rPr>
          <w:spacing w:val="-4"/>
        </w:rPr>
        <w:t xml:space="preserve"> </w:t>
      </w:r>
      <w:r>
        <w:t>found</w:t>
      </w:r>
      <w:r>
        <w:rPr>
          <w:spacing w:val="-4"/>
        </w:rPr>
        <w:t xml:space="preserve"> </w:t>
      </w:r>
      <w:r>
        <w:t>no instances</w:t>
      </w:r>
      <w:r>
        <w:rPr>
          <w:spacing w:val="-2"/>
        </w:rPr>
        <w:t xml:space="preserve"> </w:t>
      </w:r>
      <w:r>
        <w:t>where</w:t>
      </w:r>
      <w:r>
        <w:rPr>
          <w:spacing w:val="-2"/>
        </w:rPr>
        <w:t xml:space="preserve"> </w:t>
      </w:r>
      <w:r>
        <w:t>the</w:t>
      </w:r>
      <w:r>
        <w:rPr>
          <w:spacing w:val="-2"/>
        </w:rPr>
        <w:t xml:space="preserve"> </w:t>
      </w:r>
      <w:r>
        <w:t>IPA</w:t>
      </w:r>
      <w:r>
        <w:rPr>
          <w:spacing w:val="-2"/>
        </w:rPr>
        <w:t xml:space="preserve"> </w:t>
      </w:r>
      <w:r>
        <w:t>firm</w:t>
      </w:r>
      <w:r>
        <w:rPr>
          <w:spacing w:val="-3"/>
        </w:rPr>
        <w:t xml:space="preserve"> </w:t>
      </w:r>
      <w:r>
        <w:t>did</w:t>
      </w:r>
      <w:r>
        <w:rPr>
          <w:spacing w:val="-2"/>
        </w:rPr>
        <w:t xml:space="preserve"> </w:t>
      </w:r>
      <w:r>
        <w:t>not</w:t>
      </w:r>
      <w:r>
        <w:rPr>
          <w:spacing w:val="-2"/>
        </w:rPr>
        <w:t xml:space="preserve"> </w:t>
      </w:r>
      <w:r>
        <w:t>comply,</w:t>
      </w:r>
      <w:r>
        <w:rPr>
          <w:spacing w:val="-2"/>
        </w:rPr>
        <w:t xml:space="preserve"> </w:t>
      </w:r>
      <w:r>
        <w:t>in</w:t>
      </w:r>
      <w:r>
        <w:rPr>
          <w:spacing w:val="-2"/>
        </w:rPr>
        <w:t xml:space="preserve"> </w:t>
      </w:r>
      <w:r>
        <w:t>all</w:t>
      </w:r>
      <w:r>
        <w:rPr>
          <w:spacing w:val="-2"/>
        </w:rPr>
        <w:t xml:space="preserve"> </w:t>
      </w:r>
      <w:r>
        <w:t>material</w:t>
      </w:r>
      <w:r>
        <w:rPr>
          <w:spacing w:val="-2"/>
        </w:rPr>
        <w:t xml:space="preserve"> </w:t>
      </w:r>
      <w:r>
        <w:t>respects,</w:t>
      </w:r>
      <w:r>
        <w:rPr>
          <w:spacing w:val="-2"/>
        </w:rPr>
        <w:t xml:space="preserve"> </w:t>
      </w:r>
      <w:r>
        <w:t xml:space="preserve">with </w:t>
      </w:r>
      <w:r>
        <w:rPr>
          <w:spacing w:val="-2"/>
        </w:rPr>
        <w:t>GAGAS.</w:t>
      </w:r>
    </w:p>
    <w:p w14:paraId="0DFDB0C2" w14:textId="77777777" w:rsidR="00046465" w:rsidRDefault="00046465">
      <w:pPr>
        <w:pStyle w:val="ListParagraph"/>
        <w:sectPr w:rsidR="00046465">
          <w:pgSz w:w="12240" w:h="15840"/>
          <w:pgMar w:top="1600" w:right="720" w:bottom="940" w:left="1080" w:header="721" w:footer="757" w:gutter="0"/>
          <w:cols w:space="720"/>
        </w:sectPr>
      </w:pPr>
    </w:p>
    <w:p w14:paraId="0DFDB0C3" w14:textId="77777777" w:rsidR="00046465" w:rsidRDefault="008134EB">
      <w:pPr>
        <w:pStyle w:val="Heading3"/>
        <w:spacing w:before="120"/>
        <w:ind w:right="749"/>
        <w:rPr>
          <w:u w:val="none"/>
        </w:rPr>
      </w:pPr>
      <w:bookmarkStart w:id="107" w:name="670_A_–_Summary_of_Procedures_and_Docume"/>
      <w:bookmarkStart w:id="108" w:name="_bookmark32"/>
      <w:bookmarkEnd w:id="107"/>
      <w:bookmarkEnd w:id="108"/>
      <w:r>
        <w:lastRenderedPageBreak/>
        <w:t>670</w:t>
      </w:r>
      <w:r>
        <w:rPr>
          <w:spacing w:val="-15"/>
        </w:rPr>
        <w:t xml:space="preserve"> </w:t>
      </w:r>
      <w:r>
        <w:t>A</w:t>
      </w:r>
      <w:r>
        <w:rPr>
          <w:spacing w:val="-17"/>
        </w:rPr>
        <w:t xml:space="preserve"> </w:t>
      </w:r>
      <w:r>
        <w:t>–</w:t>
      </w:r>
      <w:r>
        <w:rPr>
          <w:spacing w:val="-5"/>
        </w:rPr>
        <w:t xml:space="preserve"> </w:t>
      </w:r>
      <w:r>
        <w:t>Summary</w:t>
      </w:r>
      <w:r>
        <w:rPr>
          <w:spacing w:val="-4"/>
        </w:rPr>
        <w:t xml:space="preserve"> </w:t>
      </w:r>
      <w:r>
        <w:t>of</w:t>
      </w:r>
      <w:r>
        <w:rPr>
          <w:spacing w:val="-5"/>
        </w:rPr>
        <w:t xml:space="preserve"> </w:t>
      </w:r>
      <w:r>
        <w:t>Procedures</w:t>
      </w:r>
      <w:r>
        <w:rPr>
          <w:spacing w:val="-5"/>
        </w:rPr>
        <w:t xml:space="preserve"> </w:t>
      </w:r>
      <w:r>
        <w:t>and</w:t>
      </w:r>
      <w:r>
        <w:rPr>
          <w:spacing w:val="-6"/>
        </w:rPr>
        <w:t xml:space="preserve"> </w:t>
      </w:r>
      <w:r>
        <w:t>Documentation</w:t>
      </w:r>
      <w:r>
        <w:rPr>
          <w:spacing w:val="-5"/>
        </w:rPr>
        <w:t xml:space="preserve"> </w:t>
      </w:r>
      <w:r>
        <w:t>for</w:t>
      </w:r>
      <w:r>
        <w:rPr>
          <w:spacing w:val="-5"/>
        </w:rPr>
        <w:t xml:space="preserve"> </w:t>
      </w:r>
      <w:r>
        <w:t>IG</w:t>
      </w:r>
      <w:r>
        <w:rPr>
          <w:u w:val="none"/>
        </w:rPr>
        <w:t xml:space="preserve"> </w:t>
      </w:r>
      <w:r>
        <w:t>Oversight of Financial Statement</w:t>
      </w:r>
      <w:r>
        <w:rPr>
          <w:spacing w:val="-9"/>
        </w:rPr>
        <w:t xml:space="preserve"> </w:t>
      </w:r>
      <w:r>
        <w:t>Audits Performed by IPA</w:t>
      </w:r>
      <w:r>
        <w:rPr>
          <w:u w:val="none"/>
        </w:rPr>
        <w:t xml:space="preserve"> </w:t>
      </w:r>
      <w:r>
        <w:rPr>
          <w:spacing w:val="-2"/>
        </w:rPr>
        <w:t>Firms</w:t>
      </w:r>
    </w:p>
    <w:p w14:paraId="0DFDB0C4" w14:textId="77777777" w:rsidR="00046465" w:rsidRDefault="008134EB">
      <w:pPr>
        <w:pStyle w:val="BodyText"/>
        <w:tabs>
          <w:tab w:val="left" w:pos="1799"/>
        </w:tabs>
        <w:spacing w:before="121"/>
        <w:ind w:left="1800" w:right="875" w:hanging="721"/>
      </w:pPr>
      <w:r>
        <w:rPr>
          <w:spacing w:val="-4"/>
        </w:rPr>
        <w:t>.01</w:t>
      </w:r>
      <w:r>
        <w:tab/>
        <w:t>Table 1 presents a summary of procedures the IG generally should perform for each</w:t>
      </w:r>
      <w:r>
        <w:rPr>
          <w:spacing w:val="-4"/>
        </w:rPr>
        <w:t xml:space="preserve"> </w:t>
      </w:r>
      <w:r>
        <w:t>level</w:t>
      </w:r>
      <w:r>
        <w:rPr>
          <w:spacing w:val="-5"/>
        </w:rPr>
        <w:t xml:space="preserve"> </w:t>
      </w:r>
      <w:r>
        <w:t>of</w:t>
      </w:r>
      <w:r>
        <w:rPr>
          <w:spacing w:val="-4"/>
        </w:rPr>
        <w:t xml:space="preserve"> </w:t>
      </w:r>
      <w:r>
        <w:t>review</w:t>
      </w:r>
      <w:r>
        <w:rPr>
          <w:spacing w:val="-5"/>
        </w:rPr>
        <w:t xml:space="preserve"> </w:t>
      </w:r>
      <w:r>
        <w:t>(i.e.,</w:t>
      </w:r>
      <w:r>
        <w:rPr>
          <w:spacing w:val="-4"/>
        </w:rPr>
        <w:t xml:space="preserve"> </w:t>
      </w:r>
      <w:r>
        <w:t>moderate</w:t>
      </w:r>
      <w:r>
        <w:rPr>
          <w:spacing w:val="-4"/>
        </w:rPr>
        <w:t xml:space="preserve"> </w:t>
      </w:r>
      <w:r>
        <w:t>or</w:t>
      </w:r>
      <w:r>
        <w:rPr>
          <w:spacing w:val="-4"/>
        </w:rPr>
        <w:t xml:space="preserve"> </w:t>
      </w:r>
      <w:r>
        <w:t>low)</w:t>
      </w:r>
      <w:r>
        <w:rPr>
          <w:spacing w:val="-4"/>
        </w:rPr>
        <w:t xml:space="preserve"> </w:t>
      </w:r>
      <w:r>
        <w:t>when</w:t>
      </w:r>
      <w:r>
        <w:rPr>
          <w:spacing w:val="-4"/>
        </w:rPr>
        <w:t xml:space="preserve"> </w:t>
      </w:r>
      <w:r>
        <w:t>overseeing</w:t>
      </w:r>
      <w:r>
        <w:rPr>
          <w:spacing w:val="-4"/>
        </w:rPr>
        <w:t xml:space="preserve"> </w:t>
      </w:r>
      <w:r>
        <w:t>an</w:t>
      </w:r>
      <w:r>
        <w:rPr>
          <w:spacing w:val="-4"/>
        </w:rPr>
        <w:t xml:space="preserve"> </w:t>
      </w:r>
      <w:r>
        <w:t>audit</w:t>
      </w:r>
      <w:r>
        <w:rPr>
          <w:spacing w:val="-4"/>
        </w:rPr>
        <w:t xml:space="preserve"> </w:t>
      </w:r>
      <w:r>
        <w:t>performed by</w:t>
      </w:r>
      <w:r>
        <w:rPr>
          <w:spacing w:val="-2"/>
        </w:rPr>
        <w:t xml:space="preserve"> </w:t>
      </w:r>
      <w:r>
        <w:t>an</w:t>
      </w:r>
      <w:r>
        <w:rPr>
          <w:spacing w:val="-2"/>
        </w:rPr>
        <w:t xml:space="preserve"> </w:t>
      </w:r>
      <w:r>
        <w:t>IPA</w:t>
      </w:r>
      <w:r>
        <w:rPr>
          <w:spacing w:val="-2"/>
        </w:rPr>
        <w:t xml:space="preserve"> </w:t>
      </w:r>
      <w:r>
        <w:t>firm.</w:t>
      </w:r>
      <w:r>
        <w:rPr>
          <w:spacing w:val="-2"/>
        </w:rPr>
        <w:t xml:space="preserve"> </w:t>
      </w:r>
      <w:r>
        <w:t>As</w:t>
      </w:r>
      <w:r>
        <w:rPr>
          <w:spacing w:val="-2"/>
        </w:rPr>
        <w:t xml:space="preserve"> </w:t>
      </w:r>
      <w:r>
        <w:t>discussed</w:t>
      </w:r>
      <w:r>
        <w:rPr>
          <w:spacing w:val="-2"/>
        </w:rPr>
        <w:t xml:space="preserve"> </w:t>
      </w:r>
      <w:r>
        <w:t>in</w:t>
      </w:r>
      <w:r>
        <w:rPr>
          <w:spacing w:val="-2"/>
        </w:rPr>
        <w:t xml:space="preserve"> </w:t>
      </w:r>
      <w:r>
        <w:t>FAM</w:t>
      </w:r>
      <w:r>
        <w:rPr>
          <w:spacing w:val="-3"/>
        </w:rPr>
        <w:t xml:space="preserve"> </w:t>
      </w:r>
      <w:r>
        <w:t>670.09,</w:t>
      </w:r>
      <w:r>
        <w:rPr>
          <w:spacing w:val="-2"/>
        </w:rPr>
        <w:t xml:space="preserve"> </w:t>
      </w:r>
      <w:r>
        <w:t>the</w:t>
      </w:r>
      <w:r>
        <w:rPr>
          <w:spacing w:val="-3"/>
        </w:rPr>
        <w:t xml:space="preserve"> </w:t>
      </w:r>
      <w:r>
        <w:t>IG</w:t>
      </w:r>
      <w:r>
        <w:rPr>
          <w:spacing w:val="-3"/>
        </w:rPr>
        <w:t xml:space="preserve"> </w:t>
      </w:r>
      <w:r>
        <w:t>uses</w:t>
      </w:r>
      <w:r>
        <w:rPr>
          <w:spacing w:val="-2"/>
        </w:rPr>
        <w:t xml:space="preserve"> </w:t>
      </w:r>
      <w:r>
        <w:t>professional</w:t>
      </w:r>
      <w:r>
        <w:rPr>
          <w:spacing w:val="-3"/>
        </w:rPr>
        <w:t xml:space="preserve"> </w:t>
      </w:r>
      <w:r>
        <w:t>judgment in determining the appropriate level of review.</w:t>
      </w:r>
    </w:p>
    <w:p w14:paraId="0DFDB0C5" w14:textId="77777777" w:rsidR="00046465" w:rsidRDefault="008134EB">
      <w:pPr>
        <w:pStyle w:val="BodyText"/>
        <w:spacing w:before="120"/>
        <w:ind w:left="1800" w:right="749" w:hanging="1"/>
      </w:pPr>
      <w:r>
        <w:t>Table 2 presents a summary of documentation the IG generally should retain from the review of the IPA firm’s work. However, the summary does not include procedures to determine the IPA firm’s independence, objectivity, and competence</w:t>
      </w:r>
      <w:r>
        <w:rPr>
          <w:spacing w:val="-4"/>
        </w:rPr>
        <w:t xml:space="preserve"> </w:t>
      </w:r>
      <w:r>
        <w:t>(see</w:t>
      </w:r>
      <w:r>
        <w:rPr>
          <w:spacing w:val="-4"/>
        </w:rPr>
        <w:t xml:space="preserve"> </w:t>
      </w:r>
      <w:r>
        <w:t>FAM</w:t>
      </w:r>
      <w:r>
        <w:rPr>
          <w:spacing w:val="-5"/>
        </w:rPr>
        <w:t xml:space="preserve"> </w:t>
      </w:r>
      <w:r>
        <w:t>670.07).</w:t>
      </w:r>
      <w:r>
        <w:rPr>
          <w:spacing w:val="-4"/>
        </w:rPr>
        <w:t xml:space="preserve"> </w:t>
      </w:r>
      <w:r>
        <w:t>Where</w:t>
      </w:r>
      <w:r>
        <w:rPr>
          <w:spacing w:val="-4"/>
        </w:rPr>
        <w:t xml:space="preserve"> </w:t>
      </w:r>
      <w:r>
        <w:t>the</w:t>
      </w:r>
      <w:r>
        <w:rPr>
          <w:spacing w:val="-4"/>
        </w:rPr>
        <w:t xml:space="preserve"> </w:t>
      </w:r>
      <w:r>
        <w:t>IPA</w:t>
      </w:r>
      <w:r>
        <w:rPr>
          <w:spacing w:val="-4"/>
        </w:rPr>
        <w:t xml:space="preserve"> </w:t>
      </w:r>
      <w:r>
        <w:t>firm</w:t>
      </w:r>
      <w:r>
        <w:rPr>
          <w:spacing w:val="-5"/>
        </w:rPr>
        <w:t xml:space="preserve"> </w:t>
      </w:r>
      <w:r>
        <w:t>uses</w:t>
      </w:r>
      <w:r>
        <w:rPr>
          <w:spacing w:val="-4"/>
        </w:rPr>
        <w:t xml:space="preserve"> </w:t>
      </w:r>
      <w:r>
        <w:t>equivalent</w:t>
      </w:r>
      <w:r>
        <w:rPr>
          <w:spacing w:val="-4"/>
        </w:rPr>
        <w:t xml:space="preserve"> </w:t>
      </w:r>
      <w:r>
        <w:t>documents, the IG should review those documents.</w:t>
      </w:r>
    </w:p>
    <w:p w14:paraId="0DFDB0C6" w14:textId="77777777" w:rsidR="00046465" w:rsidRDefault="00046465">
      <w:pPr>
        <w:pStyle w:val="BodyText"/>
        <w:sectPr w:rsidR="00046465">
          <w:headerReference w:type="default" r:id="rId72"/>
          <w:footerReference w:type="default" r:id="rId73"/>
          <w:pgSz w:w="12240" w:h="15840"/>
          <w:pgMar w:top="1600" w:right="720" w:bottom="940" w:left="1080" w:header="721" w:footer="757" w:gutter="0"/>
          <w:cols w:space="720"/>
        </w:sectPr>
      </w:pPr>
    </w:p>
    <w:p w14:paraId="0DFDB0C7" w14:textId="77777777" w:rsidR="00046465" w:rsidRDefault="008134EB">
      <w:pPr>
        <w:spacing w:before="121"/>
        <w:ind w:left="360" w:right="749"/>
        <w:rPr>
          <w:b/>
        </w:rPr>
      </w:pPr>
      <w:r>
        <w:rPr>
          <w:b/>
          <w:u w:val="single"/>
        </w:rPr>
        <w:lastRenderedPageBreak/>
        <w:t>Table</w:t>
      </w:r>
      <w:r>
        <w:rPr>
          <w:b/>
          <w:spacing w:val="-4"/>
          <w:u w:val="single"/>
        </w:rPr>
        <w:t xml:space="preserve"> </w:t>
      </w:r>
      <w:r>
        <w:rPr>
          <w:b/>
          <w:u w:val="single"/>
        </w:rPr>
        <w:t>1:</w:t>
      </w:r>
      <w:r>
        <w:rPr>
          <w:b/>
          <w:spacing w:val="-4"/>
          <w:u w:val="single"/>
        </w:rPr>
        <w:t xml:space="preserve"> </w:t>
      </w:r>
      <w:r>
        <w:rPr>
          <w:b/>
          <w:u w:val="single"/>
        </w:rPr>
        <w:t>Summary</w:t>
      </w:r>
      <w:r>
        <w:rPr>
          <w:b/>
          <w:spacing w:val="-4"/>
          <w:u w:val="single"/>
        </w:rPr>
        <w:t xml:space="preserve"> </w:t>
      </w:r>
      <w:r>
        <w:rPr>
          <w:b/>
          <w:u w:val="single"/>
        </w:rPr>
        <w:t>of</w:t>
      </w:r>
      <w:r>
        <w:rPr>
          <w:b/>
          <w:spacing w:val="-4"/>
          <w:u w:val="single"/>
        </w:rPr>
        <w:t xml:space="preserve"> </w:t>
      </w:r>
      <w:r>
        <w:rPr>
          <w:b/>
          <w:u w:val="single"/>
        </w:rPr>
        <w:t>Procedures</w:t>
      </w:r>
      <w:r>
        <w:rPr>
          <w:b/>
          <w:spacing w:val="-4"/>
          <w:u w:val="single"/>
        </w:rPr>
        <w:t xml:space="preserve"> </w:t>
      </w:r>
      <w:r>
        <w:rPr>
          <w:b/>
          <w:u w:val="single"/>
        </w:rPr>
        <w:t>for</w:t>
      </w:r>
      <w:r>
        <w:rPr>
          <w:b/>
          <w:spacing w:val="-5"/>
          <w:u w:val="single"/>
        </w:rPr>
        <w:t xml:space="preserve"> </w:t>
      </w:r>
      <w:r>
        <w:rPr>
          <w:b/>
          <w:u w:val="single"/>
        </w:rPr>
        <w:t>IG</w:t>
      </w:r>
      <w:r>
        <w:rPr>
          <w:b/>
          <w:spacing w:val="-4"/>
          <w:u w:val="single"/>
        </w:rPr>
        <w:t xml:space="preserve"> </w:t>
      </w:r>
      <w:r>
        <w:rPr>
          <w:b/>
          <w:u w:val="single"/>
        </w:rPr>
        <w:t>Oversight</w:t>
      </w:r>
      <w:r>
        <w:rPr>
          <w:b/>
          <w:spacing w:val="-4"/>
          <w:u w:val="single"/>
        </w:rPr>
        <w:t xml:space="preserve"> </w:t>
      </w:r>
      <w:r>
        <w:rPr>
          <w:b/>
          <w:u w:val="single"/>
        </w:rPr>
        <w:t>of</w:t>
      </w:r>
      <w:r>
        <w:rPr>
          <w:b/>
          <w:spacing w:val="-4"/>
          <w:u w:val="single"/>
        </w:rPr>
        <w:t xml:space="preserve"> </w:t>
      </w:r>
      <w:r>
        <w:rPr>
          <w:b/>
          <w:u w:val="single"/>
        </w:rPr>
        <w:t>Financial</w:t>
      </w:r>
      <w:r>
        <w:rPr>
          <w:b/>
          <w:spacing w:val="-4"/>
          <w:u w:val="single"/>
        </w:rPr>
        <w:t xml:space="preserve"> </w:t>
      </w:r>
      <w:r>
        <w:rPr>
          <w:b/>
          <w:u w:val="single"/>
        </w:rPr>
        <w:t>Statement</w:t>
      </w:r>
      <w:r>
        <w:rPr>
          <w:b/>
          <w:spacing w:val="-4"/>
          <w:u w:val="single"/>
        </w:rPr>
        <w:t xml:space="preserve"> </w:t>
      </w:r>
      <w:r>
        <w:rPr>
          <w:b/>
          <w:u w:val="single"/>
        </w:rPr>
        <w:t>Audits</w:t>
      </w:r>
      <w:r>
        <w:rPr>
          <w:b/>
        </w:rPr>
        <w:t xml:space="preserve"> </w:t>
      </w:r>
      <w:r>
        <w:rPr>
          <w:b/>
          <w:u w:val="single"/>
        </w:rPr>
        <w:t>Performed by IPA Firms</w:t>
      </w:r>
    </w:p>
    <w:p w14:paraId="0DFDB0C8" w14:textId="77777777" w:rsidR="00046465" w:rsidRDefault="00046465">
      <w:pPr>
        <w:pStyle w:val="BodyText"/>
        <w:spacing w:before="2"/>
        <w:rPr>
          <w:b/>
          <w:sz w:val="11"/>
        </w:rPr>
      </w:pPr>
    </w:p>
    <w:tbl>
      <w:tblPr>
        <w:tblW w:w="0" w:type="auto"/>
        <w:tblInd w:w="447"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811"/>
        <w:gridCol w:w="4405"/>
      </w:tblGrid>
      <w:tr w:rsidR="00046465" w14:paraId="0DFDB0CA" w14:textId="77777777">
        <w:trPr>
          <w:trHeight w:val="366"/>
        </w:trPr>
        <w:tc>
          <w:tcPr>
            <w:tcW w:w="9216" w:type="dxa"/>
            <w:gridSpan w:val="2"/>
            <w:tcBorders>
              <w:bottom w:val="single" w:sz="6" w:space="0" w:color="000000"/>
            </w:tcBorders>
          </w:tcPr>
          <w:p w14:paraId="0DFDB0C9" w14:textId="77777777" w:rsidR="00046465" w:rsidRDefault="008134EB">
            <w:pPr>
              <w:pStyle w:val="TableParagraph"/>
              <w:spacing w:before="137" w:line="209" w:lineRule="exact"/>
              <w:ind w:left="9"/>
              <w:jc w:val="center"/>
              <w:rPr>
                <w:b/>
                <w:sz w:val="20"/>
              </w:rPr>
            </w:pPr>
            <w:r>
              <w:rPr>
                <w:b/>
                <w:spacing w:val="-2"/>
                <w:sz w:val="20"/>
              </w:rPr>
              <w:t>PROCEDURES</w:t>
            </w:r>
          </w:p>
        </w:tc>
      </w:tr>
      <w:tr w:rsidR="00046465" w14:paraId="0DFDB0CF" w14:textId="77777777">
        <w:trPr>
          <w:trHeight w:val="689"/>
        </w:trPr>
        <w:tc>
          <w:tcPr>
            <w:tcW w:w="4811" w:type="dxa"/>
            <w:tcBorders>
              <w:top w:val="single" w:sz="6" w:space="0" w:color="000000"/>
              <w:right w:val="single" w:sz="6" w:space="0" w:color="000000"/>
            </w:tcBorders>
          </w:tcPr>
          <w:p w14:paraId="0DFDB0CB" w14:textId="77777777" w:rsidR="00046465" w:rsidRDefault="008134EB">
            <w:pPr>
              <w:pStyle w:val="TableParagraph"/>
              <w:spacing w:line="230" w:lineRule="exact"/>
              <w:ind w:left="3"/>
              <w:jc w:val="center"/>
              <w:rPr>
                <w:b/>
                <w:sz w:val="20"/>
              </w:rPr>
            </w:pPr>
            <w:r>
              <w:rPr>
                <w:b/>
                <w:sz w:val="20"/>
              </w:rPr>
              <w:t>Low</w:t>
            </w:r>
            <w:r>
              <w:rPr>
                <w:b/>
                <w:spacing w:val="-3"/>
                <w:sz w:val="20"/>
              </w:rPr>
              <w:t xml:space="preserve"> </w:t>
            </w:r>
            <w:r>
              <w:rPr>
                <w:b/>
                <w:sz w:val="20"/>
              </w:rPr>
              <w:t>and</w:t>
            </w:r>
            <w:r>
              <w:rPr>
                <w:b/>
                <w:spacing w:val="-2"/>
                <w:sz w:val="20"/>
              </w:rPr>
              <w:t xml:space="preserve"> </w:t>
            </w:r>
            <w:r>
              <w:rPr>
                <w:b/>
                <w:sz w:val="20"/>
              </w:rPr>
              <w:t>Moderate</w:t>
            </w:r>
            <w:r>
              <w:rPr>
                <w:b/>
                <w:spacing w:val="-3"/>
                <w:sz w:val="20"/>
              </w:rPr>
              <w:t xml:space="preserve"> </w:t>
            </w:r>
            <w:r>
              <w:rPr>
                <w:b/>
                <w:sz w:val="20"/>
              </w:rPr>
              <w:t>Levels</w:t>
            </w:r>
            <w:r>
              <w:rPr>
                <w:b/>
                <w:spacing w:val="-2"/>
                <w:sz w:val="20"/>
              </w:rPr>
              <w:t xml:space="preserve"> </w:t>
            </w:r>
            <w:r>
              <w:rPr>
                <w:b/>
                <w:sz w:val="20"/>
              </w:rPr>
              <w:t>of</w:t>
            </w:r>
            <w:r>
              <w:rPr>
                <w:b/>
                <w:spacing w:val="-1"/>
                <w:sz w:val="20"/>
              </w:rPr>
              <w:t xml:space="preserve"> </w:t>
            </w:r>
            <w:r>
              <w:rPr>
                <w:b/>
                <w:spacing w:val="-2"/>
                <w:sz w:val="20"/>
              </w:rPr>
              <w:t>Review</w:t>
            </w:r>
          </w:p>
          <w:p w14:paraId="0DFDB0CC" w14:textId="77777777" w:rsidR="00046465" w:rsidRDefault="008134EB">
            <w:pPr>
              <w:pStyle w:val="TableParagraph"/>
              <w:spacing w:line="230" w:lineRule="exact"/>
              <w:ind w:left="3" w:right="3"/>
              <w:jc w:val="center"/>
              <w:rPr>
                <w:sz w:val="20"/>
              </w:rPr>
            </w:pPr>
            <w:r>
              <w:rPr>
                <w:sz w:val="20"/>
              </w:rPr>
              <w:t>(at</w:t>
            </w:r>
            <w:r>
              <w:rPr>
                <w:spacing w:val="-5"/>
                <w:sz w:val="20"/>
              </w:rPr>
              <w:t xml:space="preserve"> </w:t>
            </w:r>
            <w:r>
              <w:rPr>
                <w:sz w:val="20"/>
              </w:rPr>
              <w:t>entity</w:t>
            </w:r>
            <w:r>
              <w:rPr>
                <w:spacing w:val="-1"/>
                <w:sz w:val="20"/>
              </w:rPr>
              <w:t xml:space="preserve"> </w:t>
            </w:r>
            <w:r>
              <w:rPr>
                <w:spacing w:val="-2"/>
                <w:sz w:val="20"/>
              </w:rPr>
              <w:t>level)</w:t>
            </w:r>
          </w:p>
        </w:tc>
        <w:tc>
          <w:tcPr>
            <w:tcW w:w="4405" w:type="dxa"/>
            <w:tcBorders>
              <w:top w:val="single" w:sz="6" w:space="0" w:color="000000"/>
              <w:left w:val="single" w:sz="6" w:space="0" w:color="000000"/>
            </w:tcBorders>
          </w:tcPr>
          <w:p w14:paraId="0DFDB0CD" w14:textId="77777777" w:rsidR="00046465" w:rsidRDefault="008134EB">
            <w:pPr>
              <w:pStyle w:val="TableParagraph"/>
              <w:spacing w:line="230" w:lineRule="exact"/>
              <w:ind w:left="18" w:right="3"/>
              <w:jc w:val="center"/>
              <w:rPr>
                <w:b/>
                <w:sz w:val="20"/>
              </w:rPr>
            </w:pPr>
            <w:r>
              <w:rPr>
                <w:b/>
                <w:sz w:val="20"/>
              </w:rPr>
              <w:t>Moderate</w:t>
            </w:r>
            <w:r>
              <w:rPr>
                <w:b/>
                <w:spacing w:val="-4"/>
                <w:sz w:val="20"/>
              </w:rPr>
              <w:t xml:space="preserve"> </w:t>
            </w:r>
            <w:r>
              <w:rPr>
                <w:b/>
                <w:sz w:val="20"/>
              </w:rPr>
              <w:t>Level</w:t>
            </w:r>
            <w:r>
              <w:rPr>
                <w:b/>
                <w:spacing w:val="-4"/>
                <w:sz w:val="20"/>
              </w:rPr>
              <w:t xml:space="preserve"> </w:t>
            </w:r>
            <w:r>
              <w:rPr>
                <w:b/>
                <w:sz w:val="20"/>
              </w:rPr>
              <w:t>of</w:t>
            </w:r>
            <w:r>
              <w:rPr>
                <w:b/>
                <w:spacing w:val="-3"/>
                <w:sz w:val="20"/>
              </w:rPr>
              <w:t xml:space="preserve"> </w:t>
            </w:r>
            <w:r>
              <w:rPr>
                <w:b/>
                <w:spacing w:val="-2"/>
                <w:sz w:val="20"/>
              </w:rPr>
              <w:t>Review</w:t>
            </w:r>
          </w:p>
          <w:p w14:paraId="0DFDB0CE" w14:textId="77777777" w:rsidR="00046465" w:rsidRDefault="008134EB">
            <w:pPr>
              <w:pStyle w:val="TableParagraph"/>
              <w:spacing w:line="230" w:lineRule="exact"/>
              <w:ind w:left="18"/>
              <w:jc w:val="center"/>
              <w:rPr>
                <w:sz w:val="20"/>
              </w:rPr>
            </w:pPr>
            <w:r>
              <w:rPr>
                <w:sz w:val="20"/>
              </w:rPr>
              <w:t>(for material line items, accounts, note disclosures,</w:t>
            </w:r>
            <w:r>
              <w:rPr>
                <w:spacing w:val="-10"/>
                <w:sz w:val="20"/>
              </w:rPr>
              <w:t xml:space="preserve"> </w:t>
            </w:r>
            <w:r>
              <w:rPr>
                <w:sz w:val="20"/>
              </w:rPr>
              <w:t>and</w:t>
            </w:r>
            <w:r>
              <w:rPr>
                <w:spacing w:val="-10"/>
                <w:sz w:val="20"/>
              </w:rPr>
              <w:t xml:space="preserve"> </w:t>
            </w:r>
            <w:r>
              <w:rPr>
                <w:sz w:val="20"/>
              </w:rPr>
              <w:t>classes</w:t>
            </w:r>
            <w:r>
              <w:rPr>
                <w:spacing w:val="-9"/>
                <w:sz w:val="20"/>
              </w:rPr>
              <w:t xml:space="preserve"> </w:t>
            </w:r>
            <w:r>
              <w:rPr>
                <w:sz w:val="20"/>
              </w:rPr>
              <w:t>of</w:t>
            </w:r>
            <w:r>
              <w:rPr>
                <w:spacing w:val="-10"/>
                <w:sz w:val="20"/>
              </w:rPr>
              <w:t xml:space="preserve"> </w:t>
            </w:r>
            <w:r>
              <w:rPr>
                <w:sz w:val="20"/>
              </w:rPr>
              <w:t>transactions)</w:t>
            </w:r>
          </w:p>
        </w:tc>
      </w:tr>
      <w:tr w:rsidR="00046465" w14:paraId="0DFDB0ED" w14:textId="77777777">
        <w:trPr>
          <w:trHeight w:val="10424"/>
        </w:trPr>
        <w:tc>
          <w:tcPr>
            <w:tcW w:w="4811" w:type="dxa"/>
            <w:tcBorders>
              <w:right w:val="single" w:sz="6" w:space="0" w:color="000000"/>
            </w:tcBorders>
          </w:tcPr>
          <w:p w14:paraId="0DFDB0D0" w14:textId="77777777" w:rsidR="00046465" w:rsidRDefault="008134EB">
            <w:pPr>
              <w:pStyle w:val="TableParagraph"/>
              <w:numPr>
                <w:ilvl w:val="0"/>
                <w:numId w:val="203"/>
              </w:numPr>
              <w:tabs>
                <w:tab w:val="left" w:pos="455"/>
                <w:tab w:val="left" w:pos="457"/>
              </w:tabs>
              <w:spacing w:before="100"/>
              <w:ind w:right="616"/>
              <w:rPr>
                <w:sz w:val="20"/>
              </w:rPr>
            </w:pPr>
            <w:r>
              <w:rPr>
                <w:sz w:val="20"/>
              </w:rPr>
              <w:t>Communicate</w:t>
            </w:r>
            <w:r>
              <w:rPr>
                <w:spacing w:val="-10"/>
                <w:sz w:val="20"/>
              </w:rPr>
              <w:t xml:space="preserve"> </w:t>
            </w:r>
            <w:r>
              <w:rPr>
                <w:sz w:val="20"/>
              </w:rPr>
              <w:t>with</w:t>
            </w:r>
            <w:r>
              <w:rPr>
                <w:spacing w:val="-10"/>
                <w:sz w:val="20"/>
              </w:rPr>
              <w:t xml:space="preserve"> </w:t>
            </w:r>
            <w:r>
              <w:rPr>
                <w:sz w:val="20"/>
              </w:rPr>
              <w:t>the</w:t>
            </w:r>
            <w:r>
              <w:rPr>
                <w:spacing w:val="-10"/>
                <w:sz w:val="20"/>
              </w:rPr>
              <w:t xml:space="preserve"> </w:t>
            </w:r>
            <w:r>
              <w:rPr>
                <w:sz w:val="20"/>
              </w:rPr>
              <w:t>independent</w:t>
            </w:r>
            <w:r>
              <w:rPr>
                <w:spacing w:val="-10"/>
                <w:sz w:val="20"/>
              </w:rPr>
              <w:t xml:space="preserve"> </w:t>
            </w:r>
            <w:r>
              <w:rPr>
                <w:sz w:val="20"/>
              </w:rPr>
              <w:t>public accounting (IPA) firm</w:t>
            </w:r>
          </w:p>
          <w:p w14:paraId="0DFDB0D1" w14:textId="77777777" w:rsidR="00046465" w:rsidRDefault="008134EB">
            <w:pPr>
              <w:pStyle w:val="TableParagraph"/>
              <w:numPr>
                <w:ilvl w:val="1"/>
                <w:numId w:val="203"/>
              </w:numPr>
              <w:tabs>
                <w:tab w:val="left" w:pos="817"/>
              </w:tabs>
              <w:spacing w:before="61"/>
              <w:rPr>
                <w:sz w:val="20"/>
              </w:rPr>
            </w:pPr>
            <w:r>
              <w:rPr>
                <w:sz w:val="20"/>
              </w:rPr>
              <w:t>as</w:t>
            </w:r>
            <w:r>
              <w:rPr>
                <w:spacing w:val="-2"/>
                <w:sz w:val="20"/>
              </w:rPr>
              <w:t xml:space="preserve"> </w:t>
            </w:r>
            <w:r>
              <w:rPr>
                <w:sz w:val="20"/>
              </w:rPr>
              <w:t>to</w:t>
            </w:r>
            <w:r>
              <w:rPr>
                <w:spacing w:val="-3"/>
                <w:sz w:val="20"/>
              </w:rPr>
              <w:t xml:space="preserve"> </w:t>
            </w:r>
            <w:r>
              <w:rPr>
                <w:sz w:val="20"/>
              </w:rPr>
              <w:t>the</w:t>
            </w:r>
            <w:r>
              <w:rPr>
                <w:spacing w:val="-2"/>
                <w:sz w:val="20"/>
              </w:rPr>
              <w:t xml:space="preserve"> </w:t>
            </w:r>
            <w:r>
              <w:rPr>
                <w:sz w:val="20"/>
              </w:rPr>
              <w:t>objectives</w:t>
            </w:r>
            <w:r>
              <w:rPr>
                <w:spacing w:val="-2"/>
                <w:sz w:val="20"/>
              </w:rPr>
              <w:t xml:space="preserve"> </w:t>
            </w:r>
            <w:r>
              <w:rPr>
                <w:sz w:val="20"/>
              </w:rPr>
              <w:t>of</w:t>
            </w:r>
            <w:r>
              <w:rPr>
                <w:spacing w:val="-3"/>
                <w:sz w:val="20"/>
              </w:rPr>
              <w:t xml:space="preserve"> </w:t>
            </w:r>
            <w:r>
              <w:rPr>
                <w:sz w:val="20"/>
              </w:rPr>
              <w:t>the</w:t>
            </w:r>
            <w:r>
              <w:rPr>
                <w:spacing w:val="-2"/>
                <w:sz w:val="20"/>
              </w:rPr>
              <w:t xml:space="preserve"> </w:t>
            </w:r>
            <w:r>
              <w:rPr>
                <w:spacing w:val="-4"/>
                <w:sz w:val="20"/>
              </w:rPr>
              <w:t>work</w:t>
            </w:r>
          </w:p>
          <w:p w14:paraId="0DFDB0D2" w14:textId="77777777" w:rsidR="00046465" w:rsidRDefault="008134EB">
            <w:pPr>
              <w:pStyle w:val="TableParagraph"/>
              <w:numPr>
                <w:ilvl w:val="1"/>
                <w:numId w:val="203"/>
              </w:numPr>
              <w:tabs>
                <w:tab w:val="left" w:pos="817"/>
              </w:tabs>
              <w:spacing w:before="57"/>
              <w:ind w:right="475"/>
              <w:rPr>
                <w:sz w:val="20"/>
              </w:rPr>
            </w:pPr>
            <w:r>
              <w:rPr>
                <w:sz w:val="20"/>
              </w:rPr>
              <w:t>through</w:t>
            </w:r>
            <w:r>
              <w:rPr>
                <w:spacing w:val="-10"/>
                <w:sz w:val="20"/>
              </w:rPr>
              <w:t xml:space="preserve"> </w:t>
            </w:r>
            <w:r>
              <w:rPr>
                <w:sz w:val="20"/>
              </w:rPr>
              <w:t>discussions</w:t>
            </w:r>
            <w:r>
              <w:rPr>
                <w:spacing w:val="-9"/>
                <w:sz w:val="20"/>
              </w:rPr>
              <w:t xml:space="preserve"> </w:t>
            </w:r>
            <w:r>
              <w:rPr>
                <w:sz w:val="20"/>
              </w:rPr>
              <w:t>of</w:t>
            </w:r>
            <w:r>
              <w:rPr>
                <w:spacing w:val="-10"/>
                <w:sz w:val="20"/>
              </w:rPr>
              <w:t xml:space="preserve"> </w:t>
            </w:r>
            <w:r>
              <w:rPr>
                <w:sz w:val="20"/>
              </w:rPr>
              <w:t>their</w:t>
            </w:r>
            <w:r>
              <w:rPr>
                <w:spacing w:val="-9"/>
                <w:sz w:val="20"/>
              </w:rPr>
              <w:t xml:space="preserve"> </w:t>
            </w:r>
            <w:r>
              <w:rPr>
                <w:sz w:val="20"/>
              </w:rPr>
              <w:t>procedures and results</w:t>
            </w:r>
          </w:p>
          <w:p w14:paraId="0DFDB0D3" w14:textId="77777777" w:rsidR="00046465" w:rsidRDefault="008134EB">
            <w:pPr>
              <w:pStyle w:val="TableParagraph"/>
              <w:numPr>
                <w:ilvl w:val="1"/>
                <w:numId w:val="203"/>
              </w:numPr>
              <w:tabs>
                <w:tab w:val="left" w:pos="817"/>
              </w:tabs>
              <w:spacing w:before="59"/>
              <w:ind w:right="299"/>
              <w:rPr>
                <w:sz w:val="20"/>
              </w:rPr>
            </w:pPr>
            <w:r>
              <w:rPr>
                <w:sz w:val="20"/>
              </w:rPr>
              <w:t>by</w:t>
            </w:r>
            <w:r>
              <w:rPr>
                <w:spacing w:val="-7"/>
                <w:sz w:val="20"/>
              </w:rPr>
              <w:t xml:space="preserve"> </w:t>
            </w:r>
            <w:r>
              <w:rPr>
                <w:sz w:val="20"/>
              </w:rPr>
              <w:t>attending</w:t>
            </w:r>
            <w:r>
              <w:rPr>
                <w:spacing w:val="-9"/>
                <w:sz w:val="20"/>
              </w:rPr>
              <w:t xml:space="preserve"> </w:t>
            </w:r>
            <w:r>
              <w:rPr>
                <w:sz w:val="20"/>
              </w:rPr>
              <w:t>key</w:t>
            </w:r>
            <w:r>
              <w:rPr>
                <w:spacing w:val="-7"/>
                <w:sz w:val="20"/>
              </w:rPr>
              <w:t xml:space="preserve"> </w:t>
            </w:r>
            <w:r>
              <w:rPr>
                <w:sz w:val="20"/>
              </w:rPr>
              <w:t>meetings</w:t>
            </w:r>
            <w:r>
              <w:rPr>
                <w:spacing w:val="-8"/>
                <w:sz w:val="20"/>
              </w:rPr>
              <w:t xml:space="preserve"> </w:t>
            </w:r>
            <w:r>
              <w:rPr>
                <w:sz w:val="20"/>
              </w:rPr>
              <w:t>(e.g.,</w:t>
            </w:r>
            <w:r>
              <w:rPr>
                <w:spacing w:val="-9"/>
                <w:sz w:val="20"/>
              </w:rPr>
              <w:t xml:space="preserve"> </w:t>
            </w:r>
            <w:r>
              <w:rPr>
                <w:sz w:val="20"/>
              </w:rPr>
              <w:t>entrance and exit conferences)</w:t>
            </w:r>
          </w:p>
          <w:p w14:paraId="0DFDB0D4" w14:textId="77777777" w:rsidR="00046465" w:rsidRDefault="008134EB">
            <w:pPr>
              <w:pStyle w:val="TableParagraph"/>
              <w:numPr>
                <w:ilvl w:val="0"/>
                <w:numId w:val="203"/>
              </w:numPr>
              <w:tabs>
                <w:tab w:val="left" w:pos="454"/>
              </w:tabs>
              <w:spacing w:before="60"/>
              <w:ind w:left="454" w:hanging="358"/>
              <w:rPr>
                <w:sz w:val="20"/>
              </w:rPr>
            </w:pPr>
            <w:r>
              <w:rPr>
                <w:sz w:val="20"/>
              </w:rPr>
              <w:t>Review</w:t>
            </w:r>
            <w:r>
              <w:rPr>
                <w:spacing w:val="-4"/>
                <w:sz w:val="20"/>
              </w:rPr>
              <w:t xml:space="preserve"> </w:t>
            </w:r>
            <w:r>
              <w:rPr>
                <w:sz w:val="20"/>
              </w:rPr>
              <w:t>the</w:t>
            </w:r>
            <w:r>
              <w:rPr>
                <w:spacing w:val="-3"/>
                <w:sz w:val="20"/>
              </w:rPr>
              <w:t xml:space="preserve"> </w:t>
            </w:r>
            <w:r>
              <w:rPr>
                <w:spacing w:val="-2"/>
                <w:sz w:val="20"/>
              </w:rPr>
              <w:t>following:</w:t>
            </w:r>
          </w:p>
          <w:p w14:paraId="0DFDB0D5" w14:textId="77777777" w:rsidR="00046465" w:rsidRDefault="008134EB">
            <w:pPr>
              <w:pStyle w:val="TableParagraph"/>
              <w:numPr>
                <w:ilvl w:val="1"/>
                <w:numId w:val="203"/>
              </w:numPr>
              <w:tabs>
                <w:tab w:val="left" w:pos="816"/>
              </w:tabs>
              <w:spacing w:before="59"/>
              <w:ind w:left="816" w:right="500"/>
              <w:rPr>
                <w:sz w:val="20"/>
              </w:rPr>
            </w:pPr>
            <w:r>
              <w:rPr>
                <w:sz w:val="20"/>
              </w:rPr>
              <w:t>audit strategy, including materiality determinations, risk assessments, and preliminary</w:t>
            </w:r>
            <w:r>
              <w:rPr>
                <w:spacing w:val="-12"/>
                <w:sz w:val="20"/>
              </w:rPr>
              <w:t xml:space="preserve"> </w:t>
            </w:r>
            <w:r>
              <w:rPr>
                <w:sz w:val="20"/>
              </w:rPr>
              <w:t>analytical</w:t>
            </w:r>
            <w:r>
              <w:rPr>
                <w:spacing w:val="-12"/>
                <w:sz w:val="20"/>
              </w:rPr>
              <w:t xml:space="preserve"> </w:t>
            </w:r>
            <w:r>
              <w:rPr>
                <w:sz w:val="20"/>
              </w:rPr>
              <w:t>procedures</w:t>
            </w:r>
            <w:r>
              <w:rPr>
                <w:spacing w:val="-13"/>
                <w:sz w:val="20"/>
              </w:rPr>
              <w:t xml:space="preserve"> </w:t>
            </w:r>
            <w:r>
              <w:rPr>
                <w:sz w:val="20"/>
              </w:rPr>
              <w:t xml:space="preserve">(FAM </w:t>
            </w:r>
            <w:r>
              <w:rPr>
                <w:spacing w:val="-2"/>
                <w:sz w:val="20"/>
              </w:rPr>
              <w:t>290.07)</w:t>
            </w:r>
          </w:p>
          <w:p w14:paraId="0DFDB0D6" w14:textId="77777777" w:rsidR="00046465" w:rsidRDefault="008134EB">
            <w:pPr>
              <w:pStyle w:val="TableParagraph"/>
              <w:numPr>
                <w:ilvl w:val="1"/>
                <w:numId w:val="203"/>
              </w:numPr>
              <w:tabs>
                <w:tab w:val="left" w:pos="816"/>
              </w:tabs>
              <w:spacing w:before="58"/>
              <w:ind w:left="816" w:right="154"/>
              <w:rPr>
                <w:sz w:val="20"/>
              </w:rPr>
            </w:pPr>
            <w:r>
              <w:rPr>
                <w:sz w:val="20"/>
              </w:rPr>
              <w:t>identification of, and results of tests for compliance with, significant provisions of applicable</w:t>
            </w:r>
            <w:r>
              <w:rPr>
                <w:spacing w:val="-9"/>
                <w:sz w:val="20"/>
              </w:rPr>
              <w:t xml:space="preserve"> </w:t>
            </w:r>
            <w:r>
              <w:rPr>
                <w:sz w:val="20"/>
              </w:rPr>
              <w:t>laws,</w:t>
            </w:r>
            <w:r>
              <w:rPr>
                <w:spacing w:val="-9"/>
                <w:sz w:val="20"/>
              </w:rPr>
              <w:t xml:space="preserve"> </w:t>
            </w:r>
            <w:r>
              <w:rPr>
                <w:sz w:val="20"/>
              </w:rPr>
              <w:t>regulations,</w:t>
            </w:r>
            <w:r>
              <w:rPr>
                <w:spacing w:val="-9"/>
                <w:sz w:val="20"/>
              </w:rPr>
              <w:t xml:space="preserve"> </w:t>
            </w:r>
            <w:r>
              <w:rPr>
                <w:sz w:val="20"/>
              </w:rPr>
              <w:t>contracts,</w:t>
            </w:r>
            <w:r>
              <w:rPr>
                <w:spacing w:val="-11"/>
                <w:sz w:val="20"/>
              </w:rPr>
              <w:t xml:space="preserve"> </w:t>
            </w:r>
            <w:r>
              <w:rPr>
                <w:sz w:val="20"/>
              </w:rPr>
              <w:t>and grant agreements (FAM 245, 460)</w:t>
            </w:r>
          </w:p>
          <w:p w14:paraId="0DFDB0D7" w14:textId="77777777" w:rsidR="00046465" w:rsidRDefault="008134EB">
            <w:pPr>
              <w:pStyle w:val="TableParagraph"/>
              <w:numPr>
                <w:ilvl w:val="1"/>
                <w:numId w:val="203"/>
              </w:numPr>
              <w:tabs>
                <w:tab w:val="left" w:pos="816"/>
              </w:tabs>
              <w:spacing w:before="59"/>
              <w:ind w:left="816" w:right="468"/>
              <w:rPr>
                <w:sz w:val="20"/>
              </w:rPr>
            </w:pPr>
            <w:r>
              <w:rPr>
                <w:sz w:val="20"/>
              </w:rPr>
              <w:t>summary</w:t>
            </w:r>
            <w:r>
              <w:rPr>
                <w:spacing w:val="-12"/>
                <w:sz w:val="20"/>
              </w:rPr>
              <w:t xml:space="preserve"> </w:t>
            </w:r>
            <w:r>
              <w:rPr>
                <w:sz w:val="20"/>
              </w:rPr>
              <w:t>of</w:t>
            </w:r>
            <w:r>
              <w:rPr>
                <w:spacing w:val="-13"/>
                <w:sz w:val="20"/>
              </w:rPr>
              <w:t xml:space="preserve"> </w:t>
            </w:r>
            <w:r>
              <w:rPr>
                <w:sz w:val="20"/>
              </w:rPr>
              <w:t>uncorrected</w:t>
            </w:r>
            <w:r>
              <w:rPr>
                <w:spacing w:val="-13"/>
                <w:sz w:val="20"/>
              </w:rPr>
              <w:t xml:space="preserve"> </w:t>
            </w:r>
            <w:r>
              <w:rPr>
                <w:sz w:val="20"/>
              </w:rPr>
              <w:t>misstatements (FAM 540, 595 C)</w:t>
            </w:r>
          </w:p>
          <w:p w14:paraId="0DFDB0D8" w14:textId="77777777" w:rsidR="00046465" w:rsidRDefault="008134EB">
            <w:pPr>
              <w:pStyle w:val="TableParagraph"/>
              <w:numPr>
                <w:ilvl w:val="1"/>
                <w:numId w:val="203"/>
              </w:numPr>
              <w:tabs>
                <w:tab w:val="left" w:pos="816"/>
              </w:tabs>
              <w:spacing w:before="58"/>
              <w:ind w:left="816"/>
              <w:rPr>
                <w:sz w:val="20"/>
              </w:rPr>
            </w:pPr>
            <w:r>
              <w:rPr>
                <w:sz w:val="20"/>
              </w:rPr>
              <w:t>audit</w:t>
            </w:r>
            <w:r>
              <w:rPr>
                <w:spacing w:val="-4"/>
                <w:sz w:val="20"/>
              </w:rPr>
              <w:t xml:space="preserve"> </w:t>
            </w:r>
            <w:r>
              <w:rPr>
                <w:sz w:val="20"/>
              </w:rPr>
              <w:t>exposure</w:t>
            </w:r>
            <w:r>
              <w:rPr>
                <w:spacing w:val="-4"/>
                <w:sz w:val="20"/>
              </w:rPr>
              <w:t xml:space="preserve"> </w:t>
            </w:r>
            <w:r>
              <w:rPr>
                <w:sz w:val="20"/>
              </w:rPr>
              <w:t>evaluation</w:t>
            </w:r>
            <w:r>
              <w:rPr>
                <w:spacing w:val="-4"/>
                <w:sz w:val="20"/>
              </w:rPr>
              <w:t xml:space="preserve"> </w:t>
            </w:r>
            <w:r>
              <w:rPr>
                <w:sz w:val="20"/>
              </w:rPr>
              <w:t>(FAM</w:t>
            </w:r>
            <w:r>
              <w:rPr>
                <w:spacing w:val="-4"/>
                <w:sz w:val="20"/>
              </w:rPr>
              <w:t xml:space="preserve"> 545)</w:t>
            </w:r>
          </w:p>
          <w:p w14:paraId="0DFDB0D9" w14:textId="77777777" w:rsidR="00046465" w:rsidRDefault="008134EB">
            <w:pPr>
              <w:pStyle w:val="TableParagraph"/>
              <w:numPr>
                <w:ilvl w:val="1"/>
                <w:numId w:val="203"/>
              </w:numPr>
              <w:tabs>
                <w:tab w:val="left" w:pos="816"/>
              </w:tabs>
              <w:spacing w:before="59"/>
              <w:ind w:left="816" w:right="824"/>
              <w:rPr>
                <w:sz w:val="20"/>
              </w:rPr>
            </w:pPr>
            <w:r>
              <w:rPr>
                <w:sz w:val="20"/>
              </w:rPr>
              <w:t>audit</w:t>
            </w:r>
            <w:r>
              <w:rPr>
                <w:spacing w:val="-13"/>
                <w:sz w:val="20"/>
              </w:rPr>
              <w:t xml:space="preserve"> </w:t>
            </w:r>
            <w:r>
              <w:rPr>
                <w:sz w:val="20"/>
              </w:rPr>
              <w:t>summary</w:t>
            </w:r>
            <w:r>
              <w:rPr>
                <w:spacing w:val="-12"/>
                <w:sz w:val="20"/>
              </w:rPr>
              <w:t xml:space="preserve"> </w:t>
            </w:r>
            <w:r>
              <w:rPr>
                <w:sz w:val="20"/>
              </w:rPr>
              <w:t>memorandum</w:t>
            </w:r>
            <w:r>
              <w:rPr>
                <w:spacing w:val="-13"/>
                <w:sz w:val="20"/>
              </w:rPr>
              <w:t xml:space="preserve"> </w:t>
            </w:r>
            <w:r>
              <w:rPr>
                <w:sz w:val="20"/>
              </w:rPr>
              <w:t xml:space="preserve">(FAM </w:t>
            </w:r>
            <w:r>
              <w:rPr>
                <w:spacing w:val="-2"/>
                <w:sz w:val="20"/>
              </w:rPr>
              <w:t>590.07)</w:t>
            </w:r>
          </w:p>
          <w:p w14:paraId="0DFDB0DA" w14:textId="77777777" w:rsidR="00046465" w:rsidRDefault="008134EB">
            <w:pPr>
              <w:pStyle w:val="TableParagraph"/>
              <w:numPr>
                <w:ilvl w:val="1"/>
                <w:numId w:val="203"/>
              </w:numPr>
              <w:tabs>
                <w:tab w:val="left" w:pos="816"/>
              </w:tabs>
              <w:spacing w:before="59"/>
              <w:ind w:left="816" w:right="143"/>
              <w:rPr>
                <w:sz w:val="20"/>
              </w:rPr>
            </w:pPr>
            <w:r>
              <w:rPr>
                <w:sz w:val="20"/>
              </w:rPr>
              <w:t>significant findings or issues; conclusions reached</w:t>
            </w:r>
            <w:r>
              <w:rPr>
                <w:spacing w:val="-9"/>
                <w:sz w:val="20"/>
              </w:rPr>
              <w:t xml:space="preserve"> </w:t>
            </w:r>
            <w:r>
              <w:rPr>
                <w:sz w:val="20"/>
              </w:rPr>
              <w:t>thereon;</w:t>
            </w:r>
            <w:r>
              <w:rPr>
                <w:spacing w:val="-9"/>
                <w:sz w:val="20"/>
              </w:rPr>
              <w:t xml:space="preserve"> </w:t>
            </w:r>
            <w:r>
              <w:rPr>
                <w:sz w:val="20"/>
              </w:rPr>
              <w:t>and</w:t>
            </w:r>
            <w:r>
              <w:rPr>
                <w:spacing w:val="-10"/>
                <w:sz w:val="20"/>
              </w:rPr>
              <w:t xml:space="preserve"> </w:t>
            </w:r>
            <w:r>
              <w:rPr>
                <w:sz w:val="20"/>
              </w:rPr>
              <w:t>significant</w:t>
            </w:r>
            <w:r>
              <w:rPr>
                <w:spacing w:val="-9"/>
                <w:sz w:val="20"/>
              </w:rPr>
              <w:t xml:space="preserve"> </w:t>
            </w:r>
            <w:r>
              <w:rPr>
                <w:sz w:val="20"/>
              </w:rPr>
              <w:t xml:space="preserve">judgments made in reaching those conclusions (FAM </w:t>
            </w:r>
            <w:r>
              <w:rPr>
                <w:spacing w:val="-2"/>
                <w:sz w:val="20"/>
              </w:rPr>
              <w:t>590.07)</w:t>
            </w:r>
          </w:p>
          <w:p w14:paraId="0DFDB0DB" w14:textId="77777777" w:rsidR="00046465" w:rsidRDefault="008134EB">
            <w:pPr>
              <w:pStyle w:val="TableParagraph"/>
              <w:numPr>
                <w:ilvl w:val="1"/>
                <w:numId w:val="203"/>
              </w:numPr>
              <w:tabs>
                <w:tab w:val="left" w:pos="816"/>
              </w:tabs>
              <w:spacing w:before="59"/>
              <w:ind w:left="816"/>
              <w:rPr>
                <w:sz w:val="20"/>
              </w:rPr>
            </w:pPr>
            <w:r>
              <w:rPr>
                <w:sz w:val="20"/>
              </w:rPr>
              <w:t>overall</w:t>
            </w:r>
            <w:r>
              <w:rPr>
                <w:spacing w:val="-6"/>
                <w:sz w:val="20"/>
              </w:rPr>
              <w:t xml:space="preserve"> </w:t>
            </w:r>
            <w:r>
              <w:rPr>
                <w:sz w:val="20"/>
              </w:rPr>
              <w:t>analytical</w:t>
            </w:r>
            <w:r>
              <w:rPr>
                <w:spacing w:val="-5"/>
                <w:sz w:val="20"/>
              </w:rPr>
              <w:t xml:space="preserve"> </w:t>
            </w:r>
            <w:r>
              <w:rPr>
                <w:sz w:val="20"/>
              </w:rPr>
              <w:t>procedures</w:t>
            </w:r>
            <w:r>
              <w:rPr>
                <w:spacing w:val="-4"/>
                <w:sz w:val="20"/>
              </w:rPr>
              <w:t xml:space="preserve"> </w:t>
            </w:r>
            <w:r>
              <w:rPr>
                <w:sz w:val="20"/>
              </w:rPr>
              <w:t>(FAM</w:t>
            </w:r>
            <w:r>
              <w:rPr>
                <w:spacing w:val="-5"/>
                <w:sz w:val="20"/>
              </w:rPr>
              <w:t xml:space="preserve"> </w:t>
            </w:r>
            <w:r>
              <w:rPr>
                <w:spacing w:val="-2"/>
                <w:sz w:val="20"/>
              </w:rPr>
              <w:t>590.08)</w:t>
            </w:r>
          </w:p>
          <w:p w14:paraId="0DFDB0DC" w14:textId="77777777" w:rsidR="00046465" w:rsidRDefault="008134EB">
            <w:pPr>
              <w:pStyle w:val="TableParagraph"/>
              <w:numPr>
                <w:ilvl w:val="1"/>
                <w:numId w:val="203"/>
              </w:numPr>
              <w:tabs>
                <w:tab w:val="left" w:pos="816"/>
              </w:tabs>
              <w:spacing w:before="57"/>
              <w:ind w:left="816" w:right="422"/>
              <w:rPr>
                <w:sz w:val="20"/>
              </w:rPr>
            </w:pPr>
            <w:r>
              <w:rPr>
                <w:sz w:val="20"/>
              </w:rPr>
              <w:t>management</w:t>
            </w:r>
            <w:r>
              <w:rPr>
                <w:spacing w:val="-13"/>
                <w:sz w:val="20"/>
              </w:rPr>
              <w:t xml:space="preserve"> </w:t>
            </w:r>
            <w:r>
              <w:rPr>
                <w:sz w:val="20"/>
              </w:rPr>
              <w:t>representation</w:t>
            </w:r>
            <w:r>
              <w:rPr>
                <w:spacing w:val="-13"/>
                <w:sz w:val="20"/>
              </w:rPr>
              <w:t xml:space="preserve"> </w:t>
            </w:r>
            <w:r>
              <w:rPr>
                <w:sz w:val="20"/>
              </w:rPr>
              <w:t>letter</w:t>
            </w:r>
            <w:r>
              <w:rPr>
                <w:spacing w:val="-12"/>
                <w:sz w:val="20"/>
              </w:rPr>
              <w:t xml:space="preserve"> </w:t>
            </w:r>
            <w:r>
              <w:rPr>
                <w:sz w:val="20"/>
              </w:rPr>
              <w:t xml:space="preserve">(FAM </w:t>
            </w:r>
            <w:r>
              <w:rPr>
                <w:spacing w:val="-2"/>
                <w:sz w:val="20"/>
              </w:rPr>
              <w:t>1001)</w:t>
            </w:r>
          </w:p>
          <w:p w14:paraId="0DFDB0DD" w14:textId="77777777" w:rsidR="00046465" w:rsidRDefault="008134EB">
            <w:pPr>
              <w:pStyle w:val="TableParagraph"/>
              <w:numPr>
                <w:ilvl w:val="1"/>
                <w:numId w:val="203"/>
              </w:numPr>
              <w:tabs>
                <w:tab w:val="left" w:pos="815"/>
              </w:tabs>
              <w:spacing w:before="59"/>
              <w:ind w:left="815" w:hanging="359"/>
              <w:rPr>
                <w:sz w:val="20"/>
              </w:rPr>
            </w:pPr>
            <w:r>
              <w:rPr>
                <w:sz w:val="20"/>
              </w:rPr>
              <w:t>legal</w:t>
            </w:r>
            <w:r>
              <w:rPr>
                <w:spacing w:val="-4"/>
                <w:sz w:val="20"/>
              </w:rPr>
              <w:t xml:space="preserve"> </w:t>
            </w:r>
            <w:r>
              <w:rPr>
                <w:sz w:val="20"/>
              </w:rPr>
              <w:t>counsel</w:t>
            </w:r>
            <w:r>
              <w:rPr>
                <w:spacing w:val="-4"/>
                <w:sz w:val="20"/>
              </w:rPr>
              <w:t xml:space="preserve"> </w:t>
            </w:r>
            <w:r>
              <w:rPr>
                <w:sz w:val="20"/>
              </w:rPr>
              <w:t>response</w:t>
            </w:r>
            <w:r>
              <w:rPr>
                <w:spacing w:val="-4"/>
                <w:sz w:val="20"/>
              </w:rPr>
              <w:t xml:space="preserve"> </w:t>
            </w:r>
            <w:r>
              <w:rPr>
                <w:sz w:val="20"/>
              </w:rPr>
              <w:t>(FAM</w:t>
            </w:r>
            <w:r>
              <w:rPr>
                <w:spacing w:val="-3"/>
                <w:sz w:val="20"/>
              </w:rPr>
              <w:t xml:space="preserve"> </w:t>
            </w:r>
            <w:r>
              <w:rPr>
                <w:spacing w:val="-2"/>
                <w:sz w:val="20"/>
              </w:rPr>
              <w:t>1002)</w:t>
            </w:r>
          </w:p>
          <w:p w14:paraId="0DFDB0DE" w14:textId="77777777" w:rsidR="00046465" w:rsidRDefault="008134EB">
            <w:pPr>
              <w:pStyle w:val="TableParagraph"/>
              <w:numPr>
                <w:ilvl w:val="1"/>
                <w:numId w:val="203"/>
              </w:numPr>
              <w:tabs>
                <w:tab w:val="left" w:pos="815"/>
              </w:tabs>
              <w:spacing w:before="59"/>
              <w:ind w:left="815" w:hanging="359"/>
              <w:rPr>
                <w:sz w:val="20"/>
              </w:rPr>
            </w:pPr>
            <w:r>
              <w:rPr>
                <w:sz w:val="20"/>
              </w:rPr>
              <w:t>audit</w:t>
            </w:r>
            <w:r>
              <w:rPr>
                <w:spacing w:val="-5"/>
                <w:sz w:val="20"/>
              </w:rPr>
              <w:t xml:space="preserve"> </w:t>
            </w:r>
            <w:r>
              <w:rPr>
                <w:sz w:val="20"/>
              </w:rPr>
              <w:t>completion</w:t>
            </w:r>
            <w:r>
              <w:rPr>
                <w:spacing w:val="-5"/>
                <w:sz w:val="20"/>
              </w:rPr>
              <w:t xml:space="preserve"> </w:t>
            </w:r>
            <w:r>
              <w:rPr>
                <w:sz w:val="20"/>
              </w:rPr>
              <w:t>checklist</w:t>
            </w:r>
            <w:r>
              <w:rPr>
                <w:spacing w:val="-5"/>
                <w:sz w:val="20"/>
              </w:rPr>
              <w:t xml:space="preserve"> </w:t>
            </w:r>
            <w:r>
              <w:rPr>
                <w:sz w:val="20"/>
              </w:rPr>
              <w:t>(FAM</w:t>
            </w:r>
            <w:r>
              <w:rPr>
                <w:spacing w:val="-4"/>
                <w:sz w:val="20"/>
              </w:rPr>
              <w:t xml:space="preserve"> </w:t>
            </w:r>
            <w:r>
              <w:rPr>
                <w:spacing w:val="-2"/>
                <w:sz w:val="20"/>
              </w:rPr>
              <w:t>1003)</w:t>
            </w:r>
          </w:p>
          <w:p w14:paraId="0DFDB0DF" w14:textId="77777777" w:rsidR="00046465" w:rsidRDefault="008134EB">
            <w:pPr>
              <w:pStyle w:val="TableParagraph"/>
              <w:numPr>
                <w:ilvl w:val="0"/>
                <w:numId w:val="203"/>
              </w:numPr>
              <w:tabs>
                <w:tab w:val="left" w:pos="453"/>
              </w:tabs>
              <w:spacing w:before="58"/>
              <w:ind w:left="453" w:hanging="358"/>
              <w:rPr>
                <w:sz w:val="20"/>
              </w:rPr>
            </w:pPr>
            <w:r>
              <w:rPr>
                <w:sz w:val="20"/>
              </w:rPr>
              <w:t>Read</w:t>
            </w:r>
            <w:r>
              <w:rPr>
                <w:spacing w:val="-4"/>
                <w:sz w:val="20"/>
              </w:rPr>
              <w:t xml:space="preserve"> </w:t>
            </w:r>
            <w:r>
              <w:rPr>
                <w:sz w:val="20"/>
              </w:rPr>
              <w:t>the</w:t>
            </w:r>
            <w:r>
              <w:rPr>
                <w:spacing w:val="-4"/>
                <w:sz w:val="20"/>
              </w:rPr>
              <w:t xml:space="preserve"> </w:t>
            </w:r>
            <w:r>
              <w:rPr>
                <w:sz w:val="20"/>
              </w:rPr>
              <w:t>following</w:t>
            </w:r>
            <w:r>
              <w:rPr>
                <w:spacing w:val="-3"/>
                <w:sz w:val="20"/>
              </w:rPr>
              <w:t xml:space="preserve"> </w:t>
            </w:r>
            <w:r>
              <w:rPr>
                <w:sz w:val="20"/>
              </w:rPr>
              <w:t>(FAM</w:t>
            </w:r>
            <w:r>
              <w:rPr>
                <w:spacing w:val="-4"/>
                <w:sz w:val="20"/>
              </w:rPr>
              <w:t xml:space="preserve"> </w:t>
            </w:r>
            <w:r>
              <w:rPr>
                <w:spacing w:val="-2"/>
                <w:sz w:val="20"/>
              </w:rPr>
              <w:t>580):</w:t>
            </w:r>
          </w:p>
          <w:p w14:paraId="0DFDB0E0" w14:textId="77777777" w:rsidR="00046465" w:rsidRDefault="008134EB">
            <w:pPr>
              <w:pStyle w:val="TableParagraph"/>
              <w:numPr>
                <w:ilvl w:val="1"/>
                <w:numId w:val="203"/>
              </w:numPr>
              <w:tabs>
                <w:tab w:val="left" w:pos="815"/>
              </w:tabs>
              <w:spacing w:before="59"/>
              <w:ind w:left="815" w:right="1323"/>
              <w:rPr>
                <w:sz w:val="20"/>
              </w:rPr>
            </w:pPr>
            <w:r>
              <w:rPr>
                <w:sz w:val="20"/>
              </w:rPr>
              <w:t>the</w:t>
            </w:r>
            <w:r>
              <w:rPr>
                <w:spacing w:val="-8"/>
                <w:sz w:val="20"/>
              </w:rPr>
              <w:t xml:space="preserve"> </w:t>
            </w:r>
            <w:r>
              <w:rPr>
                <w:sz w:val="20"/>
              </w:rPr>
              <w:t>IPA</w:t>
            </w:r>
            <w:r>
              <w:rPr>
                <w:spacing w:val="-8"/>
                <w:sz w:val="20"/>
              </w:rPr>
              <w:t xml:space="preserve"> </w:t>
            </w:r>
            <w:r>
              <w:rPr>
                <w:sz w:val="20"/>
              </w:rPr>
              <w:t>firm’s</w:t>
            </w:r>
            <w:r>
              <w:rPr>
                <w:spacing w:val="-7"/>
                <w:sz w:val="20"/>
              </w:rPr>
              <w:t xml:space="preserve"> </w:t>
            </w:r>
            <w:r>
              <w:rPr>
                <w:sz w:val="20"/>
              </w:rPr>
              <w:t>audit</w:t>
            </w:r>
            <w:r>
              <w:rPr>
                <w:spacing w:val="-8"/>
                <w:sz w:val="20"/>
              </w:rPr>
              <w:t xml:space="preserve"> </w:t>
            </w:r>
            <w:r>
              <w:rPr>
                <w:sz w:val="20"/>
              </w:rPr>
              <w:t>report</w:t>
            </w:r>
            <w:r>
              <w:rPr>
                <w:spacing w:val="-8"/>
                <w:sz w:val="20"/>
              </w:rPr>
              <w:t xml:space="preserve"> </w:t>
            </w:r>
            <w:r>
              <w:rPr>
                <w:sz w:val="20"/>
              </w:rPr>
              <w:t>and management’s response</w:t>
            </w:r>
          </w:p>
          <w:p w14:paraId="0DFDB0E1" w14:textId="77777777" w:rsidR="00046465" w:rsidRDefault="008134EB">
            <w:pPr>
              <w:pStyle w:val="TableParagraph"/>
              <w:numPr>
                <w:ilvl w:val="1"/>
                <w:numId w:val="203"/>
              </w:numPr>
              <w:tabs>
                <w:tab w:val="left" w:pos="815"/>
              </w:tabs>
              <w:spacing w:before="59"/>
              <w:ind w:left="815" w:right="378"/>
              <w:rPr>
                <w:sz w:val="20"/>
              </w:rPr>
            </w:pPr>
            <w:r>
              <w:rPr>
                <w:sz w:val="20"/>
              </w:rPr>
              <w:t>entity financial statements and notes, required</w:t>
            </w:r>
            <w:r>
              <w:rPr>
                <w:spacing w:val="-13"/>
                <w:sz w:val="20"/>
              </w:rPr>
              <w:t xml:space="preserve"> </w:t>
            </w:r>
            <w:r>
              <w:rPr>
                <w:sz w:val="20"/>
              </w:rPr>
              <w:t>supplementary</w:t>
            </w:r>
            <w:r>
              <w:rPr>
                <w:spacing w:val="-12"/>
                <w:sz w:val="20"/>
              </w:rPr>
              <w:t xml:space="preserve"> </w:t>
            </w:r>
            <w:r>
              <w:rPr>
                <w:sz w:val="20"/>
              </w:rPr>
              <w:t>information,</w:t>
            </w:r>
            <w:r>
              <w:rPr>
                <w:spacing w:val="-13"/>
                <w:sz w:val="20"/>
              </w:rPr>
              <w:t xml:space="preserve"> </w:t>
            </w:r>
            <w:r>
              <w:rPr>
                <w:sz w:val="20"/>
              </w:rPr>
              <w:t>and other information</w:t>
            </w:r>
          </w:p>
          <w:p w14:paraId="0DFDB0E2" w14:textId="77777777" w:rsidR="00046465" w:rsidRDefault="008134EB">
            <w:pPr>
              <w:pStyle w:val="TableParagraph"/>
              <w:numPr>
                <w:ilvl w:val="1"/>
                <w:numId w:val="203"/>
              </w:numPr>
              <w:tabs>
                <w:tab w:val="left" w:pos="815"/>
              </w:tabs>
              <w:spacing w:before="59"/>
              <w:ind w:left="815" w:right="178"/>
              <w:rPr>
                <w:sz w:val="20"/>
              </w:rPr>
            </w:pPr>
            <w:r>
              <w:rPr>
                <w:sz w:val="20"/>
              </w:rPr>
              <w:t>if</w:t>
            </w:r>
            <w:r>
              <w:rPr>
                <w:spacing w:val="-8"/>
                <w:sz w:val="20"/>
              </w:rPr>
              <w:t xml:space="preserve"> </w:t>
            </w:r>
            <w:r>
              <w:rPr>
                <w:sz w:val="20"/>
              </w:rPr>
              <w:t>applicable,</w:t>
            </w:r>
            <w:r>
              <w:rPr>
                <w:spacing w:val="-8"/>
                <w:sz w:val="20"/>
              </w:rPr>
              <w:t xml:space="preserve"> </w:t>
            </w:r>
            <w:r>
              <w:rPr>
                <w:sz w:val="20"/>
              </w:rPr>
              <w:t>separately</w:t>
            </w:r>
            <w:r>
              <w:rPr>
                <w:spacing w:val="-7"/>
                <w:sz w:val="20"/>
              </w:rPr>
              <w:t xml:space="preserve"> </w:t>
            </w:r>
            <w:r>
              <w:rPr>
                <w:sz w:val="20"/>
              </w:rPr>
              <w:t>issued</w:t>
            </w:r>
            <w:r>
              <w:rPr>
                <w:spacing w:val="-8"/>
                <w:sz w:val="20"/>
              </w:rPr>
              <w:t xml:space="preserve"> </w:t>
            </w:r>
            <w:r>
              <w:rPr>
                <w:sz w:val="20"/>
              </w:rPr>
              <w:t>reports</w:t>
            </w:r>
            <w:r>
              <w:rPr>
                <w:spacing w:val="-8"/>
                <w:sz w:val="20"/>
              </w:rPr>
              <w:t xml:space="preserve"> </w:t>
            </w:r>
            <w:r>
              <w:rPr>
                <w:sz w:val="20"/>
              </w:rPr>
              <w:t>that provide additional information on findings and recommendations</w:t>
            </w:r>
          </w:p>
        </w:tc>
        <w:tc>
          <w:tcPr>
            <w:tcW w:w="4405" w:type="dxa"/>
            <w:tcBorders>
              <w:left w:val="single" w:sz="6" w:space="0" w:color="000000"/>
            </w:tcBorders>
          </w:tcPr>
          <w:p w14:paraId="0DFDB0E3" w14:textId="77777777" w:rsidR="00046465" w:rsidRDefault="008134EB">
            <w:pPr>
              <w:pStyle w:val="TableParagraph"/>
              <w:numPr>
                <w:ilvl w:val="0"/>
                <w:numId w:val="202"/>
              </w:numPr>
              <w:tabs>
                <w:tab w:val="left" w:pos="460"/>
              </w:tabs>
              <w:spacing w:before="101"/>
              <w:ind w:left="460" w:hanging="358"/>
              <w:rPr>
                <w:sz w:val="20"/>
              </w:rPr>
            </w:pPr>
            <w:r>
              <w:rPr>
                <w:sz w:val="20"/>
              </w:rPr>
              <w:t>Review</w:t>
            </w:r>
            <w:r>
              <w:rPr>
                <w:spacing w:val="-4"/>
                <w:sz w:val="20"/>
              </w:rPr>
              <w:t xml:space="preserve"> </w:t>
            </w:r>
            <w:r>
              <w:rPr>
                <w:sz w:val="20"/>
              </w:rPr>
              <w:t>the</w:t>
            </w:r>
            <w:r>
              <w:rPr>
                <w:spacing w:val="-3"/>
                <w:sz w:val="20"/>
              </w:rPr>
              <w:t xml:space="preserve"> </w:t>
            </w:r>
            <w:r>
              <w:rPr>
                <w:spacing w:val="-2"/>
                <w:sz w:val="20"/>
              </w:rPr>
              <w:t>following:</w:t>
            </w:r>
          </w:p>
          <w:p w14:paraId="0DFDB0E4" w14:textId="77777777" w:rsidR="00046465" w:rsidRDefault="008134EB">
            <w:pPr>
              <w:pStyle w:val="TableParagraph"/>
              <w:numPr>
                <w:ilvl w:val="1"/>
                <w:numId w:val="202"/>
              </w:numPr>
              <w:tabs>
                <w:tab w:val="left" w:pos="822"/>
              </w:tabs>
              <w:spacing w:before="61"/>
              <w:ind w:left="822"/>
              <w:rPr>
                <w:sz w:val="20"/>
              </w:rPr>
            </w:pPr>
            <w:r>
              <w:rPr>
                <w:sz w:val="20"/>
              </w:rPr>
              <w:t>audit</w:t>
            </w:r>
            <w:r>
              <w:rPr>
                <w:spacing w:val="-4"/>
                <w:sz w:val="20"/>
              </w:rPr>
              <w:t xml:space="preserve"> </w:t>
            </w:r>
            <w:r>
              <w:rPr>
                <w:sz w:val="20"/>
              </w:rPr>
              <w:t>plans</w:t>
            </w:r>
            <w:r>
              <w:rPr>
                <w:spacing w:val="-2"/>
                <w:sz w:val="20"/>
              </w:rPr>
              <w:t xml:space="preserve"> </w:t>
            </w:r>
            <w:r>
              <w:rPr>
                <w:sz w:val="20"/>
              </w:rPr>
              <w:t>(FAM</w:t>
            </w:r>
            <w:r>
              <w:rPr>
                <w:spacing w:val="-3"/>
                <w:sz w:val="20"/>
              </w:rPr>
              <w:t xml:space="preserve"> </w:t>
            </w:r>
            <w:r>
              <w:rPr>
                <w:spacing w:val="-2"/>
                <w:sz w:val="20"/>
              </w:rPr>
              <w:t>290.10)</w:t>
            </w:r>
          </w:p>
          <w:p w14:paraId="0DFDB0E5" w14:textId="77777777" w:rsidR="00046465" w:rsidRDefault="008134EB">
            <w:pPr>
              <w:pStyle w:val="TableParagraph"/>
              <w:numPr>
                <w:ilvl w:val="1"/>
                <w:numId w:val="202"/>
              </w:numPr>
              <w:tabs>
                <w:tab w:val="left" w:pos="821"/>
              </w:tabs>
              <w:spacing w:before="58"/>
              <w:ind w:hanging="359"/>
              <w:rPr>
                <w:sz w:val="20"/>
              </w:rPr>
            </w:pPr>
            <w:r>
              <w:rPr>
                <w:sz w:val="20"/>
              </w:rPr>
              <w:t>cycle</w:t>
            </w:r>
            <w:r>
              <w:rPr>
                <w:spacing w:val="-5"/>
                <w:sz w:val="20"/>
              </w:rPr>
              <w:t xml:space="preserve"> </w:t>
            </w:r>
            <w:r>
              <w:rPr>
                <w:sz w:val="20"/>
              </w:rPr>
              <w:t>memorandums</w:t>
            </w:r>
            <w:r>
              <w:rPr>
                <w:spacing w:val="-4"/>
                <w:sz w:val="20"/>
              </w:rPr>
              <w:t xml:space="preserve"> </w:t>
            </w:r>
            <w:r>
              <w:rPr>
                <w:sz w:val="20"/>
              </w:rPr>
              <w:t>(FAM</w:t>
            </w:r>
            <w:r>
              <w:rPr>
                <w:spacing w:val="-4"/>
                <w:sz w:val="20"/>
              </w:rPr>
              <w:t xml:space="preserve"> </w:t>
            </w:r>
            <w:r>
              <w:rPr>
                <w:spacing w:val="-2"/>
                <w:sz w:val="20"/>
              </w:rPr>
              <w:t>390.06)</w:t>
            </w:r>
          </w:p>
          <w:p w14:paraId="0DFDB0E6" w14:textId="77777777" w:rsidR="00046465" w:rsidRDefault="008134EB">
            <w:pPr>
              <w:pStyle w:val="TableParagraph"/>
              <w:numPr>
                <w:ilvl w:val="1"/>
                <w:numId w:val="202"/>
              </w:numPr>
              <w:tabs>
                <w:tab w:val="left" w:pos="821"/>
              </w:tabs>
              <w:spacing w:before="59"/>
              <w:ind w:right="532"/>
              <w:rPr>
                <w:sz w:val="20"/>
              </w:rPr>
            </w:pPr>
            <w:r>
              <w:rPr>
                <w:sz w:val="20"/>
              </w:rPr>
              <w:t>assessment</w:t>
            </w:r>
            <w:r>
              <w:rPr>
                <w:spacing w:val="-12"/>
                <w:sz w:val="20"/>
              </w:rPr>
              <w:t xml:space="preserve"> </w:t>
            </w:r>
            <w:r>
              <w:rPr>
                <w:sz w:val="20"/>
              </w:rPr>
              <w:t>of</w:t>
            </w:r>
            <w:r>
              <w:rPr>
                <w:spacing w:val="-12"/>
                <w:sz w:val="20"/>
              </w:rPr>
              <w:t xml:space="preserve"> </w:t>
            </w:r>
            <w:r>
              <w:rPr>
                <w:sz w:val="20"/>
              </w:rPr>
              <w:t>information</w:t>
            </w:r>
            <w:r>
              <w:rPr>
                <w:spacing w:val="-12"/>
                <w:sz w:val="20"/>
              </w:rPr>
              <w:t xml:space="preserve"> </w:t>
            </w:r>
            <w:r>
              <w:rPr>
                <w:sz w:val="20"/>
              </w:rPr>
              <w:t>system controls (FAM 390.10)</w:t>
            </w:r>
          </w:p>
          <w:p w14:paraId="0DFDB0E7" w14:textId="77777777" w:rsidR="00046465" w:rsidRDefault="008134EB">
            <w:pPr>
              <w:pStyle w:val="TableParagraph"/>
              <w:numPr>
                <w:ilvl w:val="1"/>
                <w:numId w:val="202"/>
              </w:numPr>
              <w:tabs>
                <w:tab w:val="left" w:pos="821"/>
              </w:tabs>
              <w:spacing w:before="58"/>
              <w:ind w:right="479"/>
              <w:rPr>
                <w:sz w:val="20"/>
              </w:rPr>
            </w:pPr>
            <w:r>
              <w:rPr>
                <w:sz w:val="20"/>
              </w:rPr>
              <w:t>line</w:t>
            </w:r>
            <w:r>
              <w:rPr>
                <w:spacing w:val="-8"/>
                <w:sz w:val="20"/>
              </w:rPr>
              <w:t xml:space="preserve"> </w:t>
            </w:r>
            <w:r>
              <w:rPr>
                <w:sz w:val="20"/>
              </w:rPr>
              <w:t>item</w:t>
            </w:r>
            <w:r>
              <w:rPr>
                <w:spacing w:val="-8"/>
                <w:sz w:val="20"/>
              </w:rPr>
              <w:t xml:space="preserve"> </w:t>
            </w:r>
            <w:r>
              <w:rPr>
                <w:sz w:val="20"/>
              </w:rPr>
              <w:t>risk</w:t>
            </w:r>
            <w:r>
              <w:rPr>
                <w:spacing w:val="-8"/>
                <w:sz w:val="20"/>
              </w:rPr>
              <w:t xml:space="preserve"> </w:t>
            </w:r>
            <w:r>
              <w:rPr>
                <w:sz w:val="20"/>
              </w:rPr>
              <w:t>analysis</w:t>
            </w:r>
            <w:r>
              <w:rPr>
                <w:spacing w:val="-7"/>
                <w:sz w:val="20"/>
              </w:rPr>
              <w:t xml:space="preserve"> </w:t>
            </w:r>
            <w:r>
              <w:rPr>
                <w:sz w:val="20"/>
              </w:rPr>
              <w:t>(LIRA)</w:t>
            </w:r>
            <w:r>
              <w:rPr>
                <w:spacing w:val="-7"/>
                <w:sz w:val="20"/>
              </w:rPr>
              <w:t xml:space="preserve"> </w:t>
            </w:r>
            <w:r>
              <w:rPr>
                <w:sz w:val="20"/>
              </w:rPr>
              <w:t>forms (FAM 395 H)</w:t>
            </w:r>
          </w:p>
          <w:p w14:paraId="0DFDB0E8" w14:textId="77777777" w:rsidR="00046465" w:rsidRDefault="008134EB">
            <w:pPr>
              <w:pStyle w:val="TableParagraph"/>
              <w:numPr>
                <w:ilvl w:val="1"/>
                <w:numId w:val="202"/>
              </w:numPr>
              <w:tabs>
                <w:tab w:val="left" w:pos="821"/>
              </w:tabs>
              <w:spacing w:before="59"/>
              <w:ind w:right="666"/>
              <w:rPr>
                <w:sz w:val="20"/>
              </w:rPr>
            </w:pPr>
            <w:r>
              <w:rPr>
                <w:sz w:val="20"/>
              </w:rPr>
              <w:t>specific</w:t>
            </w:r>
            <w:r>
              <w:rPr>
                <w:spacing w:val="-12"/>
                <w:sz w:val="20"/>
              </w:rPr>
              <w:t xml:space="preserve"> </w:t>
            </w:r>
            <w:r>
              <w:rPr>
                <w:sz w:val="20"/>
              </w:rPr>
              <w:t>control</w:t>
            </w:r>
            <w:r>
              <w:rPr>
                <w:spacing w:val="-12"/>
                <w:sz w:val="20"/>
              </w:rPr>
              <w:t xml:space="preserve"> </w:t>
            </w:r>
            <w:r>
              <w:rPr>
                <w:sz w:val="20"/>
              </w:rPr>
              <w:t>evaluation</w:t>
            </w:r>
            <w:r>
              <w:rPr>
                <w:spacing w:val="-13"/>
                <w:sz w:val="20"/>
              </w:rPr>
              <w:t xml:space="preserve"> </w:t>
            </w:r>
            <w:r>
              <w:rPr>
                <w:sz w:val="20"/>
              </w:rPr>
              <w:t>(SCE) worksheets (FAM 395 G)</w:t>
            </w:r>
          </w:p>
          <w:p w14:paraId="0DFDB0E9" w14:textId="77777777" w:rsidR="00046465" w:rsidRDefault="008134EB">
            <w:pPr>
              <w:pStyle w:val="TableParagraph"/>
              <w:numPr>
                <w:ilvl w:val="1"/>
                <w:numId w:val="202"/>
              </w:numPr>
              <w:tabs>
                <w:tab w:val="left" w:pos="821"/>
              </w:tabs>
              <w:spacing w:before="58"/>
              <w:ind w:right="500" w:hanging="361"/>
              <w:rPr>
                <w:sz w:val="20"/>
              </w:rPr>
            </w:pPr>
            <w:r>
              <w:rPr>
                <w:sz w:val="20"/>
              </w:rPr>
              <w:t>sampling</w:t>
            </w:r>
            <w:r>
              <w:rPr>
                <w:spacing w:val="-13"/>
                <w:sz w:val="20"/>
              </w:rPr>
              <w:t xml:space="preserve"> </w:t>
            </w:r>
            <w:r>
              <w:rPr>
                <w:sz w:val="20"/>
              </w:rPr>
              <w:t>plans,</w:t>
            </w:r>
            <w:r>
              <w:rPr>
                <w:spacing w:val="-13"/>
                <w:sz w:val="20"/>
              </w:rPr>
              <w:t xml:space="preserve"> </w:t>
            </w:r>
            <w:r>
              <w:rPr>
                <w:sz w:val="20"/>
              </w:rPr>
              <w:t>including</w:t>
            </w:r>
            <w:r>
              <w:rPr>
                <w:spacing w:val="-13"/>
                <w:sz w:val="20"/>
              </w:rPr>
              <w:t xml:space="preserve"> </w:t>
            </w:r>
            <w:r>
              <w:rPr>
                <w:sz w:val="20"/>
              </w:rPr>
              <w:t>tolerable misstatement, and evaluation of sample results (FAM 490.06)</w:t>
            </w:r>
          </w:p>
          <w:p w14:paraId="0DFDB0EA" w14:textId="77777777" w:rsidR="00046465" w:rsidRDefault="008134EB">
            <w:pPr>
              <w:pStyle w:val="TableParagraph"/>
              <w:numPr>
                <w:ilvl w:val="1"/>
                <w:numId w:val="202"/>
              </w:numPr>
              <w:tabs>
                <w:tab w:val="left" w:pos="821"/>
              </w:tabs>
              <w:spacing w:before="58"/>
              <w:ind w:right="300"/>
              <w:rPr>
                <w:sz w:val="20"/>
              </w:rPr>
            </w:pPr>
            <w:r>
              <w:rPr>
                <w:sz w:val="20"/>
              </w:rPr>
              <w:t>documentation</w:t>
            </w:r>
            <w:r>
              <w:rPr>
                <w:spacing w:val="-13"/>
                <w:sz w:val="20"/>
              </w:rPr>
              <w:t xml:space="preserve"> </w:t>
            </w:r>
            <w:r>
              <w:rPr>
                <w:sz w:val="20"/>
              </w:rPr>
              <w:t>detailing</w:t>
            </w:r>
            <w:r>
              <w:rPr>
                <w:spacing w:val="-13"/>
                <w:sz w:val="20"/>
              </w:rPr>
              <w:t xml:space="preserve"> </w:t>
            </w:r>
            <w:r>
              <w:rPr>
                <w:sz w:val="20"/>
              </w:rPr>
              <w:t>the</w:t>
            </w:r>
            <w:r>
              <w:rPr>
                <w:spacing w:val="-13"/>
                <w:sz w:val="20"/>
              </w:rPr>
              <w:t xml:space="preserve"> </w:t>
            </w:r>
            <w:r>
              <w:rPr>
                <w:sz w:val="20"/>
              </w:rPr>
              <w:t xml:space="preserve">auditor’s response to significant risks (FAM </w:t>
            </w:r>
            <w:r>
              <w:rPr>
                <w:spacing w:val="-2"/>
                <w:sz w:val="20"/>
              </w:rPr>
              <w:t>470.03)</w:t>
            </w:r>
          </w:p>
          <w:p w14:paraId="0DFDB0EB" w14:textId="77777777" w:rsidR="00046465" w:rsidRDefault="008134EB">
            <w:pPr>
              <w:pStyle w:val="TableParagraph"/>
              <w:numPr>
                <w:ilvl w:val="1"/>
                <w:numId w:val="202"/>
              </w:numPr>
              <w:tabs>
                <w:tab w:val="left" w:pos="821"/>
              </w:tabs>
              <w:spacing w:before="59"/>
              <w:ind w:right="179"/>
              <w:jc w:val="both"/>
              <w:rPr>
                <w:sz w:val="20"/>
              </w:rPr>
            </w:pPr>
            <w:r>
              <w:rPr>
                <w:sz w:val="20"/>
              </w:rPr>
              <w:t>cycle summary memorandums on the results</w:t>
            </w:r>
            <w:r>
              <w:rPr>
                <w:spacing w:val="-9"/>
                <w:sz w:val="20"/>
              </w:rPr>
              <w:t xml:space="preserve"> </w:t>
            </w:r>
            <w:r>
              <w:rPr>
                <w:sz w:val="20"/>
              </w:rPr>
              <w:t>of</w:t>
            </w:r>
            <w:r>
              <w:rPr>
                <w:spacing w:val="-10"/>
                <w:sz w:val="20"/>
              </w:rPr>
              <w:t xml:space="preserve"> </w:t>
            </w:r>
            <w:r>
              <w:rPr>
                <w:sz w:val="20"/>
              </w:rPr>
              <w:t>procedures</w:t>
            </w:r>
            <w:r>
              <w:rPr>
                <w:spacing w:val="-9"/>
                <w:sz w:val="20"/>
              </w:rPr>
              <w:t xml:space="preserve"> </w:t>
            </w:r>
            <w:r>
              <w:rPr>
                <w:sz w:val="20"/>
              </w:rPr>
              <w:t>performed</w:t>
            </w:r>
            <w:r>
              <w:rPr>
                <w:spacing w:val="-10"/>
                <w:sz w:val="20"/>
              </w:rPr>
              <w:t xml:space="preserve"> </w:t>
            </w:r>
            <w:r>
              <w:rPr>
                <w:sz w:val="20"/>
              </w:rPr>
              <w:t xml:space="preserve">(FAM </w:t>
            </w:r>
            <w:r>
              <w:rPr>
                <w:spacing w:val="-2"/>
                <w:sz w:val="20"/>
              </w:rPr>
              <w:t>490.01c)</w:t>
            </w:r>
          </w:p>
          <w:p w14:paraId="0DFDB0EC" w14:textId="77777777" w:rsidR="00046465" w:rsidRDefault="008134EB">
            <w:pPr>
              <w:pStyle w:val="TableParagraph"/>
              <w:numPr>
                <w:ilvl w:val="1"/>
                <w:numId w:val="202"/>
              </w:numPr>
              <w:tabs>
                <w:tab w:val="left" w:pos="821"/>
              </w:tabs>
              <w:spacing w:before="59"/>
              <w:ind w:right="445"/>
              <w:rPr>
                <w:sz w:val="20"/>
              </w:rPr>
            </w:pPr>
            <w:r>
              <w:rPr>
                <w:sz w:val="20"/>
              </w:rPr>
              <w:t>written</w:t>
            </w:r>
            <w:r>
              <w:rPr>
                <w:spacing w:val="-13"/>
                <w:sz w:val="20"/>
              </w:rPr>
              <w:t xml:space="preserve"> </w:t>
            </w:r>
            <w:r>
              <w:rPr>
                <w:sz w:val="20"/>
              </w:rPr>
              <w:t>communications</w:t>
            </w:r>
            <w:r>
              <w:rPr>
                <w:spacing w:val="-12"/>
                <w:sz w:val="20"/>
              </w:rPr>
              <w:t xml:space="preserve"> </w:t>
            </w:r>
            <w:r>
              <w:rPr>
                <w:sz w:val="20"/>
              </w:rPr>
              <w:t>on</w:t>
            </w:r>
            <w:r>
              <w:rPr>
                <w:spacing w:val="-13"/>
                <w:sz w:val="20"/>
              </w:rPr>
              <w:t xml:space="preserve"> </w:t>
            </w:r>
            <w:r>
              <w:rPr>
                <w:sz w:val="20"/>
              </w:rPr>
              <w:t>findings (e.g., notifications of findings and recommendations) (FAM 550.20)</w:t>
            </w:r>
          </w:p>
        </w:tc>
      </w:tr>
    </w:tbl>
    <w:p w14:paraId="0DFDB0EE" w14:textId="77777777" w:rsidR="00046465" w:rsidRDefault="00046465">
      <w:pPr>
        <w:pStyle w:val="TableParagraph"/>
        <w:rPr>
          <w:sz w:val="20"/>
        </w:rPr>
        <w:sectPr w:rsidR="00046465">
          <w:headerReference w:type="default" r:id="rId74"/>
          <w:footerReference w:type="default" r:id="rId75"/>
          <w:pgSz w:w="12240" w:h="15840"/>
          <w:pgMar w:top="1600" w:right="720" w:bottom="940" w:left="1080" w:header="721" w:footer="757" w:gutter="0"/>
          <w:pgNumType w:start="2"/>
          <w:cols w:space="720"/>
        </w:sectPr>
      </w:pPr>
    </w:p>
    <w:p w14:paraId="0DFDB0EF" w14:textId="77777777" w:rsidR="00046465" w:rsidRDefault="008134EB">
      <w:pPr>
        <w:spacing w:before="121"/>
        <w:ind w:left="360" w:right="749"/>
        <w:rPr>
          <w:b/>
        </w:rPr>
      </w:pPr>
      <w:r>
        <w:rPr>
          <w:b/>
          <w:u w:val="single"/>
        </w:rPr>
        <w:lastRenderedPageBreak/>
        <w:t>Table</w:t>
      </w:r>
      <w:r>
        <w:rPr>
          <w:b/>
          <w:spacing w:val="-4"/>
          <w:u w:val="single"/>
        </w:rPr>
        <w:t xml:space="preserve"> </w:t>
      </w:r>
      <w:r>
        <w:rPr>
          <w:b/>
          <w:u w:val="single"/>
        </w:rPr>
        <w:t>2:</w:t>
      </w:r>
      <w:r>
        <w:rPr>
          <w:b/>
          <w:spacing w:val="-4"/>
          <w:u w:val="single"/>
        </w:rPr>
        <w:t xml:space="preserve"> </w:t>
      </w:r>
      <w:r>
        <w:rPr>
          <w:b/>
          <w:u w:val="single"/>
        </w:rPr>
        <w:t>Summary</w:t>
      </w:r>
      <w:r>
        <w:rPr>
          <w:b/>
          <w:spacing w:val="-4"/>
          <w:u w:val="single"/>
        </w:rPr>
        <w:t xml:space="preserve"> </w:t>
      </w:r>
      <w:r>
        <w:rPr>
          <w:b/>
          <w:u w:val="single"/>
        </w:rPr>
        <w:t>of</w:t>
      </w:r>
      <w:r>
        <w:rPr>
          <w:b/>
          <w:spacing w:val="-4"/>
          <w:u w:val="single"/>
        </w:rPr>
        <w:t xml:space="preserve"> </w:t>
      </w:r>
      <w:r>
        <w:rPr>
          <w:b/>
          <w:u w:val="single"/>
        </w:rPr>
        <w:t>Documentation</w:t>
      </w:r>
      <w:r>
        <w:rPr>
          <w:b/>
          <w:spacing w:val="-4"/>
          <w:u w:val="single"/>
        </w:rPr>
        <w:t xml:space="preserve"> </w:t>
      </w:r>
      <w:r>
        <w:rPr>
          <w:b/>
          <w:u w:val="single"/>
        </w:rPr>
        <w:t>for</w:t>
      </w:r>
      <w:r>
        <w:rPr>
          <w:b/>
          <w:spacing w:val="-4"/>
          <w:u w:val="single"/>
        </w:rPr>
        <w:t xml:space="preserve"> </w:t>
      </w:r>
      <w:r>
        <w:rPr>
          <w:b/>
          <w:u w:val="single"/>
        </w:rPr>
        <w:t>IG</w:t>
      </w:r>
      <w:r>
        <w:rPr>
          <w:b/>
          <w:spacing w:val="-5"/>
          <w:u w:val="single"/>
        </w:rPr>
        <w:t xml:space="preserve"> </w:t>
      </w:r>
      <w:r>
        <w:rPr>
          <w:b/>
          <w:u w:val="single"/>
        </w:rPr>
        <w:t>Oversight</w:t>
      </w:r>
      <w:r>
        <w:rPr>
          <w:b/>
          <w:spacing w:val="-4"/>
          <w:u w:val="single"/>
        </w:rPr>
        <w:t xml:space="preserve"> </w:t>
      </w:r>
      <w:r>
        <w:rPr>
          <w:b/>
          <w:u w:val="single"/>
        </w:rPr>
        <w:t>of</w:t>
      </w:r>
      <w:r>
        <w:rPr>
          <w:b/>
          <w:spacing w:val="-4"/>
          <w:u w:val="single"/>
        </w:rPr>
        <w:t xml:space="preserve"> </w:t>
      </w:r>
      <w:r>
        <w:rPr>
          <w:b/>
          <w:u w:val="single"/>
        </w:rPr>
        <w:t>Financial</w:t>
      </w:r>
      <w:r>
        <w:rPr>
          <w:b/>
          <w:spacing w:val="-4"/>
          <w:u w:val="single"/>
        </w:rPr>
        <w:t xml:space="preserve"> </w:t>
      </w:r>
      <w:r>
        <w:rPr>
          <w:b/>
          <w:u w:val="single"/>
        </w:rPr>
        <w:t>Statement</w:t>
      </w:r>
      <w:r>
        <w:rPr>
          <w:b/>
          <w:spacing w:val="-4"/>
          <w:u w:val="single"/>
        </w:rPr>
        <w:t xml:space="preserve"> </w:t>
      </w:r>
      <w:r>
        <w:rPr>
          <w:b/>
          <w:u w:val="single"/>
        </w:rPr>
        <w:t>Audits</w:t>
      </w:r>
      <w:r>
        <w:rPr>
          <w:b/>
        </w:rPr>
        <w:t xml:space="preserve"> </w:t>
      </w:r>
      <w:r>
        <w:rPr>
          <w:b/>
          <w:u w:val="single"/>
        </w:rPr>
        <w:t>Performed by IPA Firms</w:t>
      </w:r>
    </w:p>
    <w:p w14:paraId="0DFDB0F0" w14:textId="77777777" w:rsidR="00046465" w:rsidRDefault="00046465">
      <w:pPr>
        <w:pStyle w:val="BodyText"/>
        <w:rPr>
          <w:b/>
          <w:sz w:val="20"/>
        </w:rPr>
      </w:pPr>
    </w:p>
    <w:p w14:paraId="0DFDB0F1" w14:textId="77777777" w:rsidR="00046465" w:rsidRDefault="00046465">
      <w:pPr>
        <w:pStyle w:val="BodyText"/>
        <w:spacing w:before="33" w:after="1"/>
        <w:rPr>
          <w:b/>
          <w:sz w:val="20"/>
        </w:rPr>
      </w:pPr>
    </w:p>
    <w:tbl>
      <w:tblPr>
        <w:tblW w:w="0" w:type="auto"/>
        <w:tblInd w:w="522"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8568"/>
      </w:tblGrid>
      <w:tr w:rsidR="00046465" w14:paraId="0DFDB0F3" w14:textId="77777777">
        <w:trPr>
          <w:trHeight w:val="469"/>
        </w:trPr>
        <w:tc>
          <w:tcPr>
            <w:tcW w:w="8568" w:type="dxa"/>
            <w:tcBorders>
              <w:bottom w:val="single" w:sz="4" w:space="0" w:color="000000"/>
            </w:tcBorders>
          </w:tcPr>
          <w:p w14:paraId="0DFDB0F2" w14:textId="77777777" w:rsidR="00046465" w:rsidRDefault="008134EB">
            <w:pPr>
              <w:pStyle w:val="TableParagraph"/>
              <w:spacing w:before="121"/>
              <w:ind w:left="9"/>
              <w:jc w:val="center"/>
              <w:rPr>
                <w:b/>
                <w:sz w:val="20"/>
              </w:rPr>
            </w:pPr>
            <w:r>
              <w:rPr>
                <w:b/>
                <w:spacing w:val="-2"/>
                <w:sz w:val="20"/>
              </w:rPr>
              <w:t>DOCUMENTATION</w:t>
            </w:r>
          </w:p>
        </w:tc>
      </w:tr>
      <w:tr w:rsidR="00046465" w14:paraId="0DFDB0F5" w14:textId="77777777">
        <w:trPr>
          <w:trHeight w:val="409"/>
        </w:trPr>
        <w:tc>
          <w:tcPr>
            <w:tcW w:w="8568" w:type="dxa"/>
            <w:tcBorders>
              <w:top w:val="single" w:sz="4" w:space="0" w:color="000000"/>
            </w:tcBorders>
          </w:tcPr>
          <w:p w14:paraId="0DFDB0F4" w14:textId="77777777" w:rsidR="00046465" w:rsidRDefault="008134EB">
            <w:pPr>
              <w:pStyle w:val="TableParagraph"/>
              <w:spacing w:before="122"/>
              <w:ind w:left="97"/>
              <w:rPr>
                <w:b/>
                <w:sz w:val="20"/>
              </w:rPr>
            </w:pPr>
            <w:r>
              <w:rPr>
                <w:b/>
                <w:sz w:val="20"/>
              </w:rPr>
              <w:t>Low</w:t>
            </w:r>
            <w:r>
              <w:rPr>
                <w:b/>
                <w:spacing w:val="-3"/>
                <w:sz w:val="20"/>
              </w:rPr>
              <w:t xml:space="preserve"> </w:t>
            </w:r>
            <w:r>
              <w:rPr>
                <w:b/>
                <w:sz w:val="20"/>
              </w:rPr>
              <w:t>and</w:t>
            </w:r>
            <w:r>
              <w:rPr>
                <w:b/>
                <w:spacing w:val="-2"/>
                <w:sz w:val="20"/>
              </w:rPr>
              <w:t xml:space="preserve"> </w:t>
            </w:r>
            <w:r>
              <w:rPr>
                <w:b/>
                <w:sz w:val="20"/>
              </w:rPr>
              <w:t>Moderate</w:t>
            </w:r>
            <w:r>
              <w:rPr>
                <w:b/>
                <w:spacing w:val="-3"/>
                <w:sz w:val="20"/>
              </w:rPr>
              <w:t xml:space="preserve"> </w:t>
            </w:r>
            <w:r>
              <w:rPr>
                <w:b/>
                <w:sz w:val="20"/>
              </w:rPr>
              <w:t>Levels</w:t>
            </w:r>
            <w:r>
              <w:rPr>
                <w:b/>
                <w:spacing w:val="-2"/>
                <w:sz w:val="20"/>
              </w:rPr>
              <w:t xml:space="preserve"> </w:t>
            </w:r>
            <w:r>
              <w:rPr>
                <w:b/>
                <w:sz w:val="20"/>
              </w:rPr>
              <w:t>of</w:t>
            </w:r>
            <w:r>
              <w:rPr>
                <w:b/>
                <w:spacing w:val="-1"/>
                <w:sz w:val="20"/>
              </w:rPr>
              <w:t xml:space="preserve"> </w:t>
            </w:r>
            <w:r>
              <w:rPr>
                <w:b/>
                <w:spacing w:val="-2"/>
                <w:sz w:val="20"/>
              </w:rPr>
              <w:t>Review</w:t>
            </w:r>
          </w:p>
        </w:tc>
      </w:tr>
      <w:tr w:rsidR="00046465" w14:paraId="0DFDB105" w14:textId="77777777">
        <w:trPr>
          <w:trHeight w:val="5902"/>
        </w:trPr>
        <w:tc>
          <w:tcPr>
            <w:tcW w:w="8568" w:type="dxa"/>
          </w:tcPr>
          <w:p w14:paraId="0DFDB0F6" w14:textId="77777777" w:rsidR="00046465" w:rsidRDefault="008134EB">
            <w:pPr>
              <w:pStyle w:val="TableParagraph"/>
              <w:numPr>
                <w:ilvl w:val="0"/>
                <w:numId w:val="201"/>
              </w:numPr>
              <w:tabs>
                <w:tab w:val="left" w:pos="455"/>
              </w:tabs>
              <w:spacing w:before="121"/>
              <w:ind w:left="455" w:hanging="358"/>
              <w:rPr>
                <w:sz w:val="20"/>
              </w:rPr>
            </w:pPr>
            <w:r>
              <w:rPr>
                <w:spacing w:val="-2"/>
                <w:sz w:val="20"/>
              </w:rPr>
              <w:t>IG-prepared:</w:t>
            </w:r>
          </w:p>
          <w:p w14:paraId="0DFDB0F7" w14:textId="77777777" w:rsidR="00046465" w:rsidRDefault="008134EB">
            <w:pPr>
              <w:pStyle w:val="TableParagraph"/>
              <w:numPr>
                <w:ilvl w:val="1"/>
                <w:numId w:val="201"/>
              </w:numPr>
              <w:tabs>
                <w:tab w:val="left" w:pos="817"/>
              </w:tabs>
              <w:spacing w:before="60"/>
              <w:rPr>
                <w:sz w:val="20"/>
              </w:rPr>
            </w:pPr>
            <w:r>
              <w:rPr>
                <w:sz w:val="20"/>
              </w:rPr>
              <w:t>oversight</w:t>
            </w:r>
            <w:r>
              <w:rPr>
                <w:spacing w:val="-7"/>
                <w:sz w:val="20"/>
              </w:rPr>
              <w:t xml:space="preserve"> </w:t>
            </w:r>
            <w:r>
              <w:rPr>
                <w:spacing w:val="-4"/>
                <w:sz w:val="20"/>
              </w:rPr>
              <w:t>plan</w:t>
            </w:r>
          </w:p>
          <w:p w14:paraId="0DFDB0F8" w14:textId="77777777" w:rsidR="00046465" w:rsidRDefault="008134EB">
            <w:pPr>
              <w:pStyle w:val="TableParagraph"/>
              <w:numPr>
                <w:ilvl w:val="1"/>
                <w:numId w:val="201"/>
              </w:numPr>
              <w:tabs>
                <w:tab w:val="left" w:pos="817"/>
              </w:tabs>
              <w:spacing w:before="59"/>
              <w:rPr>
                <w:sz w:val="20"/>
              </w:rPr>
            </w:pPr>
            <w:r>
              <w:rPr>
                <w:sz w:val="20"/>
              </w:rPr>
              <w:t>results</w:t>
            </w:r>
            <w:r>
              <w:rPr>
                <w:spacing w:val="-4"/>
                <w:sz w:val="20"/>
              </w:rPr>
              <w:t xml:space="preserve"> </w:t>
            </w:r>
            <w:r>
              <w:rPr>
                <w:sz w:val="20"/>
              </w:rPr>
              <w:t>of</w:t>
            </w:r>
            <w:r>
              <w:rPr>
                <w:spacing w:val="-2"/>
                <w:sz w:val="20"/>
              </w:rPr>
              <w:t xml:space="preserve"> review</w:t>
            </w:r>
          </w:p>
          <w:p w14:paraId="0DFDB0F9" w14:textId="77777777" w:rsidR="00046465" w:rsidRDefault="008134EB">
            <w:pPr>
              <w:pStyle w:val="TableParagraph"/>
              <w:numPr>
                <w:ilvl w:val="1"/>
                <w:numId w:val="201"/>
              </w:numPr>
              <w:tabs>
                <w:tab w:val="left" w:pos="817"/>
              </w:tabs>
              <w:spacing w:before="58"/>
              <w:rPr>
                <w:sz w:val="20"/>
              </w:rPr>
            </w:pPr>
            <w:r>
              <w:rPr>
                <w:sz w:val="20"/>
              </w:rPr>
              <w:t>key</w:t>
            </w:r>
            <w:r>
              <w:rPr>
                <w:spacing w:val="-3"/>
                <w:sz w:val="20"/>
              </w:rPr>
              <w:t xml:space="preserve"> </w:t>
            </w:r>
            <w:r>
              <w:rPr>
                <w:sz w:val="20"/>
              </w:rPr>
              <w:t>meetings</w:t>
            </w:r>
            <w:r>
              <w:rPr>
                <w:spacing w:val="-4"/>
                <w:sz w:val="20"/>
              </w:rPr>
              <w:t xml:space="preserve"> </w:t>
            </w:r>
            <w:r>
              <w:rPr>
                <w:sz w:val="20"/>
              </w:rPr>
              <w:t>(e.g.,</w:t>
            </w:r>
            <w:r>
              <w:rPr>
                <w:spacing w:val="-3"/>
                <w:sz w:val="20"/>
              </w:rPr>
              <w:t xml:space="preserve"> </w:t>
            </w:r>
            <w:r>
              <w:rPr>
                <w:sz w:val="20"/>
              </w:rPr>
              <w:t>entrance</w:t>
            </w:r>
            <w:r>
              <w:rPr>
                <w:spacing w:val="-4"/>
                <w:sz w:val="20"/>
              </w:rPr>
              <w:t xml:space="preserve"> </w:t>
            </w:r>
            <w:r>
              <w:rPr>
                <w:sz w:val="20"/>
              </w:rPr>
              <w:t>and</w:t>
            </w:r>
            <w:r>
              <w:rPr>
                <w:spacing w:val="-3"/>
                <w:sz w:val="20"/>
              </w:rPr>
              <w:t xml:space="preserve"> </w:t>
            </w:r>
            <w:r>
              <w:rPr>
                <w:sz w:val="20"/>
              </w:rPr>
              <w:t>exit</w:t>
            </w:r>
            <w:r>
              <w:rPr>
                <w:spacing w:val="-3"/>
                <w:sz w:val="20"/>
              </w:rPr>
              <w:t xml:space="preserve"> </w:t>
            </w:r>
            <w:r>
              <w:rPr>
                <w:spacing w:val="-2"/>
                <w:sz w:val="20"/>
              </w:rPr>
              <w:t>conferences)</w:t>
            </w:r>
          </w:p>
          <w:p w14:paraId="0DFDB0FA" w14:textId="77777777" w:rsidR="00046465" w:rsidRDefault="00046465">
            <w:pPr>
              <w:pStyle w:val="TableParagraph"/>
              <w:spacing w:before="118"/>
              <w:rPr>
                <w:b/>
                <w:sz w:val="20"/>
              </w:rPr>
            </w:pPr>
          </w:p>
          <w:p w14:paraId="0DFDB0FB" w14:textId="77777777" w:rsidR="00046465" w:rsidRDefault="008134EB">
            <w:pPr>
              <w:pStyle w:val="TableParagraph"/>
              <w:numPr>
                <w:ilvl w:val="0"/>
                <w:numId w:val="201"/>
              </w:numPr>
              <w:tabs>
                <w:tab w:val="left" w:pos="455"/>
              </w:tabs>
              <w:ind w:left="455" w:hanging="358"/>
              <w:rPr>
                <w:sz w:val="20"/>
              </w:rPr>
            </w:pPr>
            <w:r>
              <w:rPr>
                <w:sz w:val="20"/>
              </w:rPr>
              <w:t>Independent</w:t>
            </w:r>
            <w:r>
              <w:rPr>
                <w:spacing w:val="-5"/>
                <w:sz w:val="20"/>
              </w:rPr>
              <w:t xml:space="preserve"> </w:t>
            </w:r>
            <w:r>
              <w:rPr>
                <w:sz w:val="20"/>
              </w:rPr>
              <w:t>public</w:t>
            </w:r>
            <w:r>
              <w:rPr>
                <w:spacing w:val="-5"/>
                <w:sz w:val="20"/>
              </w:rPr>
              <w:t xml:space="preserve"> </w:t>
            </w:r>
            <w:r>
              <w:rPr>
                <w:sz w:val="20"/>
              </w:rPr>
              <w:t>accounting</w:t>
            </w:r>
            <w:r>
              <w:rPr>
                <w:spacing w:val="-4"/>
                <w:sz w:val="20"/>
              </w:rPr>
              <w:t xml:space="preserve"> </w:t>
            </w:r>
            <w:r>
              <w:rPr>
                <w:sz w:val="20"/>
              </w:rPr>
              <w:t>(IPA)</w:t>
            </w:r>
            <w:r>
              <w:rPr>
                <w:spacing w:val="-5"/>
                <w:sz w:val="20"/>
              </w:rPr>
              <w:t xml:space="preserve"> </w:t>
            </w:r>
            <w:r>
              <w:rPr>
                <w:sz w:val="20"/>
              </w:rPr>
              <w:t>firm</w:t>
            </w:r>
            <w:r>
              <w:rPr>
                <w:spacing w:val="-4"/>
                <w:sz w:val="20"/>
              </w:rPr>
              <w:t xml:space="preserve"> </w:t>
            </w:r>
            <w:r>
              <w:rPr>
                <w:spacing w:val="-2"/>
                <w:sz w:val="20"/>
              </w:rPr>
              <w:t>prepared:</w:t>
            </w:r>
          </w:p>
          <w:p w14:paraId="0DFDB0FC" w14:textId="77777777" w:rsidR="00046465" w:rsidRDefault="008134EB">
            <w:pPr>
              <w:pStyle w:val="TableParagraph"/>
              <w:numPr>
                <w:ilvl w:val="1"/>
                <w:numId w:val="201"/>
              </w:numPr>
              <w:tabs>
                <w:tab w:val="left" w:pos="816"/>
              </w:tabs>
              <w:spacing w:before="61"/>
              <w:ind w:left="816" w:hanging="359"/>
              <w:rPr>
                <w:sz w:val="20"/>
              </w:rPr>
            </w:pPr>
            <w:r>
              <w:rPr>
                <w:sz w:val="20"/>
              </w:rPr>
              <w:t>audit</w:t>
            </w:r>
            <w:r>
              <w:rPr>
                <w:spacing w:val="-4"/>
                <w:sz w:val="20"/>
              </w:rPr>
              <w:t xml:space="preserve"> </w:t>
            </w:r>
            <w:r>
              <w:rPr>
                <w:spacing w:val="-2"/>
                <w:sz w:val="20"/>
              </w:rPr>
              <w:t>strategy</w:t>
            </w:r>
          </w:p>
          <w:p w14:paraId="0DFDB0FD" w14:textId="77777777" w:rsidR="00046465" w:rsidRDefault="008134EB">
            <w:pPr>
              <w:pStyle w:val="TableParagraph"/>
              <w:numPr>
                <w:ilvl w:val="1"/>
                <w:numId w:val="201"/>
              </w:numPr>
              <w:tabs>
                <w:tab w:val="left" w:pos="816"/>
              </w:tabs>
              <w:spacing w:before="58"/>
              <w:ind w:left="816" w:hanging="359"/>
              <w:rPr>
                <w:sz w:val="20"/>
              </w:rPr>
            </w:pPr>
            <w:r>
              <w:rPr>
                <w:sz w:val="20"/>
              </w:rPr>
              <w:t>summary</w:t>
            </w:r>
            <w:r>
              <w:rPr>
                <w:spacing w:val="-5"/>
                <w:sz w:val="20"/>
              </w:rPr>
              <w:t xml:space="preserve"> </w:t>
            </w:r>
            <w:r>
              <w:rPr>
                <w:sz w:val="20"/>
              </w:rPr>
              <w:t>of</w:t>
            </w:r>
            <w:r>
              <w:rPr>
                <w:spacing w:val="-5"/>
                <w:sz w:val="20"/>
              </w:rPr>
              <w:t xml:space="preserve"> </w:t>
            </w:r>
            <w:r>
              <w:rPr>
                <w:sz w:val="20"/>
              </w:rPr>
              <w:t>uncorrected</w:t>
            </w:r>
            <w:r>
              <w:rPr>
                <w:spacing w:val="-4"/>
                <w:sz w:val="20"/>
              </w:rPr>
              <w:t xml:space="preserve"> </w:t>
            </w:r>
            <w:r>
              <w:rPr>
                <w:spacing w:val="-2"/>
                <w:sz w:val="20"/>
              </w:rPr>
              <w:t>misstatements</w:t>
            </w:r>
          </w:p>
          <w:p w14:paraId="0DFDB0FE" w14:textId="77777777" w:rsidR="00046465" w:rsidRDefault="008134EB">
            <w:pPr>
              <w:pStyle w:val="TableParagraph"/>
              <w:numPr>
                <w:ilvl w:val="1"/>
                <w:numId w:val="201"/>
              </w:numPr>
              <w:tabs>
                <w:tab w:val="left" w:pos="816"/>
              </w:tabs>
              <w:spacing w:before="59"/>
              <w:ind w:left="816"/>
              <w:rPr>
                <w:sz w:val="20"/>
              </w:rPr>
            </w:pPr>
            <w:r>
              <w:rPr>
                <w:sz w:val="20"/>
              </w:rPr>
              <w:t>audit</w:t>
            </w:r>
            <w:r>
              <w:rPr>
                <w:spacing w:val="-4"/>
                <w:sz w:val="20"/>
              </w:rPr>
              <w:t xml:space="preserve"> </w:t>
            </w:r>
            <w:r>
              <w:rPr>
                <w:sz w:val="20"/>
              </w:rPr>
              <w:t>exposure</w:t>
            </w:r>
            <w:r>
              <w:rPr>
                <w:spacing w:val="-3"/>
                <w:sz w:val="20"/>
              </w:rPr>
              <w:t xml:space="preserve"> </w:t>
            </w:r>
            <w:r>
              <w:rPr>
                <w:spacing w:val="-2"/>
                <w:sz w:val="20"/>
              </w:rPr>
              <w:t>evaluation</w:t>
            </w:r>
          </w:p>
          <w:p w14:paraId="0DFDB0FF" w14:textId="77777777" w:rsidR="00046465" w:rsidRDefault="008134EB">
            <w:pPr>
              <w:pStyle w:val="TableParagraph"/>
              <w:numPr>
                <w:ilvl w:val="1"/>
                <w:numId w:val="201"/>
              </w:numPr>
              <w:tabs>
                <w:tab w:val="left" w:pos="816"/>
              </w:tabs>
              <w:spacing w:before="58"/>
              <w:ind w:left="816"/>
              <w:rPr>
                <w:sz w:val="20"/>
              </w:rPr>
            </w:pPr>
            <w:r>
              <w:rPr>
                <w:sz w:val="20"/>
              </w:rPr>
              <w:t>audit</w:t>
            </w:r>
            <w:r>
              <w:rPr>
                <w:spacing w:val="-4"/>
                <w:sz w:val="20"/>
              </w:rPr>
              <w:t xml:space="preserve"> </w:t>
            </w:r>
            <w:r>
              <w:rPr>
                <w:sz w:val="20"/>
              </w:rPr>
              <w:t>summary</w:t>
            </w:r>
            <w:r>
              <w:rPr>
                <w:spacing w:val="-2"/>
                <w:sz w:val="20"/>
              </w:rPr>
              <w:t xml:space="preserve"> memorandum</w:t>
            </w:r>
          </w:p>
          <w:p w14:paraId="0DFDB100" w14:textId="77777777" w:rsidR="00046465" w:rsidRDefault="008134EB">
            <w:pPr>
              <w:pStyle w:val="TableParagraph"/>
              <w:numPr>
                <w:ilvl w:val="1"/>
                <w:numId w:val="201"/>
              </w:numPr>
              <w:tabs>
                <w:tab w:val="left" w:pos="816"/>
              </w:tabs>
              <w:spacing w:before="58"/>
              <w:ind w:left="816" w:right="191"/>
              <w:rPr>
                <w:sz w:val="20"/>
              </w:rPr>
            </w:pPr>
            <w:r>
              <w:rPr>
                <w:sz w:val="20"/>
              </w:rPr>
              <w:t>significant</w:t>
            </w:r>
            <w:r>
              <w:rPr>
                <w:spacing w:val="-5"/>
                <w:sz w:val="20"/>
              </w:rPr>
              <w:t xml:space="preserve"> </w:t>
            </w:r>
            <w:r>
              <w:rPr>
                <w:sz w:val="20"/>
              </w:rPr>
              <w:t>findings</w:t>
            </w:r>
            <w:r>
              <w:rPr>
                <w:spacing w:val="-4"/>
                <w:sz w:val="20"/>
              </w:rPr>
              <w:t xml:space="preserve"> </w:t>
            </w:r>
            <w:r>
              <w:rPr>
                <w:sz w:val="20"/>
              </w:rPr>
              <w:t>or</w:t>
            </w:r>
            <w:r>
              <w:rPr>
                <w:spacing w:val="-4"/>
                <w:sz w:val="20"/>
              </w:rPr>
              <w:t xml:space="preserve"> </w:t>
            </w:r>
            <w:r>
              <w:rPr>
                <w:sz w:val="20"/>
              </w:rPr>
              <w:t>issues;</w:t>
            </w:r>
            <w:r>
              <w:rPr>
                <w:spacing w:val="-5"/>
                <w:sz w:val="20"/>
              </w:rPr>
              <w:t xml:space="preserve"> </w:t>
            </w:r>
            <w:r>
              <w:rPr>
                <w:sz w:val="20"/>
              </w:rPr>
              <w:t>conclusions</w:t>
            </w:r>
            <w:r>
              <w:rPr>
                <w:spacing w:val="-4"/>
                <w:sz w:val="20"/>
              </w:rPr>
              <w:t xml:space="preserve"> </w:t>
            </w:r>
            <w:r>
              <w:rPr>
                <w:sz w:val="20"/>
              </w:rPr>
              <w:t>reached</w:t>
            </w:r>
            <w:r>
              <w:rPr>
                <w:spacing w:val="-5"/>
                <w:sz w:val="20"/>
              </w:rPr>
              <w:t xml:space="preserve"> </w:t>
            </w:r>
            <w:r>
              <w:rPr>
                <w:sz w:val="20"/>
              </w:rPr>
              <w:t>thereon;</w:t>
            </w:r>
            <w:r>
              <w:rPr>
                <w:spacing w:val="-5"/>
                <w:sz w:val="20"/>
              </w:rPr>
              <w:t xml:space="preserve"> </w:t>
            </w:r>
            <w:r>
              <w:rPr>
                <w:sz w:val="20"/>
              </w:rPr>
              <w:t>and</w:t>
            </w:r>
            <w:r>
              <w:rPr>
                <w:spacing w:val="-5"/>
                <w:sz w:val="20"/>
              </w:rPr>
              <w:t xml:space="preserve"> </w:t>
            </w:r>
            <w:r>
              <w:rPr>
                <w:sz w:val="20"/>
              </w:rPr>
              <w:t>significant</w:t>
            </w:r>
            <w:r>
              <w:rPr>
                <w:spacing w:val="-5"/>
                <w:sz w:val="20"/>
              </w:rPr>
              <w:t xml:space="preserve"> </w:t>
            </w:r>
            <w:r>
              <w:rPr>
                <w:sz w:val="20"/>
              </w:rPr>
              <w:t>judgments made in reaching those conclusions</w:t>
            </w:r>
          </w:p>
          <w:p w14:paraId="0DFDB101" w14:textId="77777777" w:rsidR="00046465" w:rsidRDefault="008134EB">
            <w:pPr>
              <w:pStyle w:val="TableParagraph"/>
              <w:numPr>
                <w:ilvl w:val="1"/>
                <w:numId w:val="201"/>
              </w:numPr>
              <w:tabs>
                <w:tab w:val="left" w:pos="816"/>
              </w:tabs>
              <w:spacing w:before="59"/>
              <w:ind w:left="816"/>
              <w:rPr>
                <w:sz w:val="20"/>
              </w:rPr>
            </w:pPr>
            <w:r>
              <w:rPr>
                <w:sz w:val="20"/>
              </w:rPr>
              <w:t>audit</w:t>
            </w:r>
            <w:r>
              <w:rPr>
                <w:spacing w:val="-5"/>
                <w:sz w:val="20"/>
              </w:rPr>
              <w:t xml:space="preserve"> </w:t>
            </w:r>
            <w:r>
              <w:rPr>
                <w:sz w:val="20"/>
              </w:rPr>
              <w:t>completion</w:t>
            </w:r>
            <w:r>
              <w:rPr>
                <w:spacing w:val="-4"/>
                <w:sz w:val="20"/>
              </w:rPr>
              <w:t xml:space="preserve"> </w:t>
            </w:r>
            <w:r>
              <w:rPr>
                <w:spacing w:val="-2"/>
                <w:sz w:val="20"/>
              </w:rPr>
              <w:t>checklist</w:t>
            </w:r>
          </w:p>
          <w:p w14:paraId="0DFDB102" w14:textId="77777777" w:rsidR="00046465" w:rsidRDefault="008134EB">
            <w:pPr>
              <w:pStyle w:val="TableParagraph"/>
              <w:numPr>
                <w:ilvl w:val="1"/>
                <w:numId w:val="201"/>
              </w:numPr>
              <w:tabs>
                <w:tab w:val="left" w:pos="816"/>
              </w:tabs>
              <w:spacing w:before="58"/>
              <w:ind w:left="816"/>
              <w:rPr>
                <w:sz w:val="20"/>
              </w:rPr>
            </w:pPr>
            <w:r>
              <w:rPr>
                <w:sz w:val="20"/>
              </w:rPr>
              <w:t>IPA</w:t>
            </w:r>
            <w:r>
              <w:rPr>
                <w:spacing w:val="-4"/>
                <w:sz w:val="20"/>
              </w:rPr>
              <w:t xml:space="preserve"> </w:t>
            </w:r>
            <w:r>
              <w:rPr>
                <w:sz w:val="20"/>
              </w:rPr>
              <w:t>firm’s</w:t>
            </w:r>
            <w:r>
              <w:rPr>
                <w:spacing w:val="-3"/>
                <w:sz w:val="20"/>
              </w:rPr>
              <w:t xml:space="preserve"> </w:t>
            </w:r>
            <w:r>
              <w:rPr>
                <w:sz w:val="20"/>
              </w:rPr>
              <w:t>audit</w:t>
            </w:r>
            <w:r>
              <w:rPr>
                <w:spacing w:val="-4"/>
                <w:sz w:val="20"/>
              </w:rPr>
              <w:t xml:space="preserve"> </w:t>
            </w:r>
            <w:r>
              <w:rPr>
                <w:sz w:val="20"/>
              </w:rPr>
              <w:t>report</w:t>
            </w:r>
            <w:r>
              <w:rPr>
                <w:spacing w:val="-3"/>
                <w:sz w:val="20"/>
              </w:rPr>
              <w:t xml:space="preserve"> </w:t>
            </w:r>
            <w:r>
              <w:rPr>
                <w:sz w:val="20"/>
              </w:rPr>
              <w:t>and</w:t>
            </w:r>
            <w:r>
              <w:rPr>
                <w:spacing w:val="-5"/>
                <w:sz w:val="20"/>
              </w:rPr>
              <w:t xml:space="preserve"> </w:t>
            </w:r>
            <w:r>
              <w:rPr>
                <w:sz w:val="20"/>
              </w:rPr>
              <w:t>management’s</w:t>
            </w:r>
            <w:r>
              <w:rPr>
                <w:spacing w:val="-2"/>
                <w:sz w:val="20"/>
              </w:rPr>
              <w:t xml:space="preserve"> response</w:t>
            </w:r>
          </w:p>
          <w:p w14:paraId="0DFDB103" w14:textId="77777777" w:rsidR="00046465" w:rsidRDefault="008134EB">
            <w:pPr>
              <w:pStyle w:val="TableParagraph"/>
              <w:numPr>
                <w:ilvl w:val="1"/>
                <w:numId w:val="201"/>
              </w:numPr>
              <w:tabs>
                <w:tab w:val="left" w:pos="816"/>
              </w:tabs>
              <w:spacing w:before="59"/>
              <w:ind w:left="816" w:right="267"/>
              <w:rPr>
                <w:sz w:val="20"/>
              </w:rPr>
            </w:pPr>
            <w:r>
              <w:rPr>
                <w:sz w:val="20"/>
              </w:rPr>
              <w:t>entity</w:t>
            </w:r>
            <w:r>
              <w:rPr>
                <w:spacing w:val="-4"/>
                <w:sz w:val="20"/>
              </w:rPr>
              <w:t xml:space="preserve"> </w:t>
            </w:r>
            <w:r>
              <w:rPr>
                <w:sz w:val="20"/>
              </w:rPr>
              <w:t>financial</w:t>
            </w:r>
            <w:r>
              <w:rPr>
                <w:spacing w:val="-5"/>
                <w:sz w:val="20"/>
              </w:rPr>
              <w:t xml:space="preserve"> </w:t>
            </w:r>
            <w:r>
              <w:rPr>
                <w:sz w:val="20"/>
              </w:rPr>
              <w:t>statements</w:t>
            </w:r>
            <w:r>
              <w:rPr>
                <w:spacing w:val="-4"/>
                <w:sz w:val="20"/>
              </w:rPr>
              <w:t xml:space="preserve"> </w:t>
            </w:r>
            <w:r>
              <w:rPr>
                <w:sz w:val="20"/>
              </w:rPr>
              <w:t>and</w:t>
            </w:r>
            <w:r>
              <w:rPr>
                <w:spacing w:val="-5"/>
                <w:sz w:val="20"/>
              </w:rPr>
              <w:t xml:space="preserve"> </w:t>
            </w:r>
            <w:r>
              <w:rPr>
                <w:sz w:val="20"/>
              </w:rPr>
              <w:t>notes,</w:t>
            </w:r>
            <w:r>
              <w:rPr>
                <w:spacing w:val="-5"/>
                <w:sz w:val="20"/>
              </w:rPr>
              <w:t xml:space="preserve"> </w:t>
            </w:r>
            <w:r>
              <w:rPr>
                <w:sz w:val="20"/>
              </w:rPr>
              <w:t>required</w:t>
            </w:r>
            <w:r>
              <w:rPr>
                <w:spacing w:val="-5"/>
                <w:sz w:val="20"/>
              </w:rPr>
              <w:t xml:space="preserve"> </w:t>
            </w:r>
            <w:r>
              <w:rPr>
                <w:sz w:val="20"/>
              </w:rPr>
              <w:t>supplementary</w:t>
            </w:r>
            <w:r>
              <w:rPr>
                <w:spacing w:val="-4"/>
                <w:sz w:val="20"/>
              </w:rPr>
              <w:t xml:space="preserve"> </w:t>
            </w:r>
            <w:r>
              <w:rPr>
                <w:sz w:val="20"/>
              </w:rPr>
              <w:t>information,</w:t>
            </w:r>
            <w:r>
              <w:rPr>
                <w:spacing w:val="-5"/>
                <w:sz w:val="20"/>
              </w:rPr>
              <w:t xml:space="preserve"> </w:t>
            </w:r>
            <w:r>
              <w:rPr>
                <w:sz w:val="20"/>
              </w:rPr>
              <w:t>and</w:t>
            </w:r>
            <w:r>
              <w:rPr>
                <w:spacing w:val="-5"/>
                <w:sz w:val="20"/>
              </w:rPr>
              <w:t xml:space="preserve"> </w:t>
            </w:r>
            <w:r>
              <w:rPr>
                <w:sz w:val="20"/>
              </w:rPr>
              <w:t xml:space="preserve">other </w:t>
            </w:r>
            <w:r>
              <w:rPr>
                <w:spacing w:val="-2"/>
                <w:sz w:val="20"/>
              </w:rPr>
              <w:t>information</w:t>
            </w:r>
          </w:p>
          <w:p w14:paraId="0DFDB104" w14:textId="77777777" w:rsidR="00046465" w:rsidRDefault="008134EB">
            <w:pPr>
              <w:pStyle w:val="TableParagraph"/>
              <w:numPr>
                <w:ilvl w:val="1"/>
                <w:numId w:val="201"/>
              </w:numPr>
              <w:tabs>
                <w:tab w:val="left" w:pos="816"/>
              </w:tabs>
              <w:spacing w:before="58"/>
              <w:ind w:left="816" w:right="236"/>
              <w:rPr>
                <w:sz w:val="20"/>
              </w:rPr>
            </w:pPr>
            <w:r>
              <w:rPr>
                <w:sz w:val="20"/>
              </w:rPr>
              <w:t>if</w:t>
            </w:r>
            <w:r>
              <w:rPr>
                <w:spacing w:val="-4"/>
                <w:sz w:val="20"/>
              </w:rPr>
              <w:t xml:space="preserve"> </w:t>
            </w:r>
            <w:r>
              <w:rPr>
                <w:sz w:val="20"/>
              </w:rPr>
              <w:t>applicable,</w:t>
            </w:r>
            <w:r>
              <w:rPr>
                <w:spacing w:val="-4"/>
                <w:sz w:val="20"/>
              </w:rPr>
              <w:t xml:space="preserve"> </w:t>
            </w:r>
            <w:r>
              <w:rPr>
                <w:sz w:val="20"/>
              </w:rPr>
              <w:t>separately</w:t>
            </w:r>
            <w:r>
              <w:rPr>
                <w:spacing w:val="-3"/>
                <w:sz w:val="20"/>
              </w:rPr>
              <w:t xml:space="preserve"> </w:t>
            </w:r>
            <w:r>
              <w:rPr>
                <w:sz w:val="20"/>
              </w:rPr>
              <w:t>issued</w:t>
            </w:r>
            <w:r>
              <w:rPr>
                <w:spacing w:val="-4"/>
                <w:sz w:val="20"/>
              </w:rPr>
              <w:t xml:space="preserve"> </w:t>
            </w:r>
            <w:r>
              <w:rPr>
                <w:sz w:val="20"/>
              </w:rPr>
              <w:t>reports</w:t>
            </w:r>
            <w:r>
              <w:rPr>
                <w:spacing w:val="-4"/>
                <w:sz w:val="20"/>
              </w:rPr>
              <w:t xml:space="preserve"> </w:t>
            </w:r>
            <w:r>
              <w:rPr>
                <w:sz w:val="20"/>
              </w:rPr>
              <w:t>that</w:t>
            </w:r>
            <w:r>
              <w:rPr>
                <w:spacing w:val="-5"/>
                <w:sz w:val="20"/>
              </w:rPr>
              <w:t xml:space="preserve"> </w:t>
            </w:r>
            <w:r>
              <w:rPr>
                <w:sz w:val="20"/>
              </w:rPr>
              <w:t>provide</w:t>
            </w:r>
            <w:r>
              <w:rPr>
                <w:spacing w:val="-4"/>
                <w:sz w:val="20"/>
              </w:rPr>
              <w:t xml:space="preserve"> </w:t>
            </w:r>
            <w:r>
              <w:rPr>
                <w:sz w:val="20"/>
              </w:rPr>
              <w:t>additional</w:t>
            </w:r>
            <w:r>
              <w:rPr>
                <w:spacing w:val="-4"/>
                <w:sz w:val="20"/>
              </w:rPr>
              <w:t xml:space="preserve"> </w:t>
            </w:r>
            <w:r>
              <w:rPr>
                <w:sz w:val="20"/>
              </w:rPr>
              <w:t>information</w:t>
            </w:r>
            <w:r>
              <w:rPr>
                <w:spacing w:val="-4"/>
                <w:sz w:val="20"/>
              </w:rPr>
              <w:t xml:space="preserve"> </w:t>
            </w:r>
            <w:r>
              <w:rPr>
                <w:sz w:val="20"/>
              </w:rPr>
              <w:t>on</w:t>
            </w:r>
            <w:r>
              <w:rPr>
                <w:spacing w:val="-4"/>
                <w:sz w:val="20"/>
              </w:rPr>
              <w:t xml:space="preserve"> </w:t>
            </w:r>
            <w:r>
              <w:rPr>
                <w:sz w:val="20"/>
              </w:rPr>
              <w:t>findings and recommendations</w:t>
            </w:r>
          </w:p>
        </w:tc>
      </w:tr>
    </w:tbl>
    <w:p w14:paraId="0DFDB106" w14:textId="77777777" w:rsidR="00046465" w:rsidRDefault="00046465">
      <w:pPr>
        <w:pStyle w:val="TableParagraph"/>
        <w:rPr>
          <w:sz w:val="20"/>
        </w:rPr>
        <w:sectPr w:rsidR="00046465">
          <w:pgSz w:w="12240" w:h="15840"/>
          <w:pgMar w:top="1600" w:right="720" w:bottom="940" w:left="1080" w:header="721" w:footer="757" w:gutter="0"/>
          <w:cols w:space="720"/>
        </w:sectPr>
      </w:pPr>
    </w:p>
    <w:p w14:paraId="0DFDB107" w14:textId="77777777" w:rsidR="00046465" w:rsidRDefault="008134EB">
      <w:pPr>
        <w:pStyle w:val="Heading3"/>
        <w:spacing w:before="240"/>
        <w:ind w:right="749"/>
        <w:rPr>
          <w:u w:val="none"/>
        </w:rPr>
      </w:pPr>
      <w:bookmarkStart w:id="109" w:name="670_B_–_Example_Transmittal_Letter_for_I"/>
      <w:bookmarkStart w:id="110" w:name="_bookmark33"/>
      <w:bookmarkEnd w:id="109"/>
      <w:bookmarkEnd w:id="110"/>
      <w:r>
        <w:lastRenderedPageBreak/>
        <w:t>670</w:t>
      </w:r>
      <w:r>
        <w:rPr>
          <w:spacing w:val="-6"/>
        </w:rPr>
        <w:t xml:space="preserve"> </w:t>
      </w:r>
      <w:r>
        <w:t>B</w:t>
      </w:r>
      <w:r>
        <w:rPr>
          <w:spacing w:val="-7"/>
        </w:rPr>
        <w:t xml:space="preserve"> </w:t>
      </w:r>
      <w:r>
        <w:t>–</w:t>
      </w:r>
      <w:r>
        <w:rPr>
          <w:spacing w:val="-7"/>
        </w:rPr>
        <w:t xml:space="preserve"> </w:t>
      </w:r>
      <w:r>
        <w:t>Example</w:t>
      </w:r>
      <w:r>
        <w:rPr>
          <w:spacing w:val="-6"/>
        </w:rPr>
        <w:t xml:space="preserve"> </w:t>
      </w:r>
      <w:r>
        <w:t>Transmittal</w:t>
      </w:r>
      <w:r>
        <w:rPr>
          <w:spacing w:val="-7"/>
        </w:rPr>
        <w:t xml:space="preserve"> </w:t>
      </w:r>
      <w:r>
        <w:t>Letter</w:t>
      </w:r>
      <w:r>
        <w:rPr>
          <w:spacing w:val="-7"/>
        </w:rPr>
        <w:t xml:space="preserve"> </w:t>
      </w:r>
      <w:r>
        <w:t>for</w:t>
      </w:r>
      <w:r>
        <w:rPr>
          <w:spacing w:val="-7"/>
        </w:rPr>
        <w:t xml:space="preserve"> </w:t>
      </w:r>
      <w:r>
        <w:t>IG</w:t>
      </w:r>
      <w:r>
        <w:rPr>
          <w:spacing w:val="-6"/>
        </w:rPr>
        <w:t xml:space="preserve"> </w:t>
      </w:r>
      <w:r>
        <w:t>Oversight</w:t>
      </w:r>
      <w:r>
        <w:rPr>
          <w:spacing w:val="-7"/>
        </w:rPr>
        <w:t xml:space="preserve"> </w:t>
      </w:r>
      <w:r>
        <w:t>of</w:t>
      </w:r>
      <w:r>
        <w:rPr>
          <w:u w:val="none"/>
        </w:rPr>
        <w:t xml:space="preserve"> </w:t>
      </w:r>
      <w:r>
        <w:t>Financial Statement Audits Performed by IPA Firms</w:t>
      </w:r>
    </w:p>
    <w:p w14:paraId="0DFDB108" w14:textId="77777777" w:rsidR="00046465" w:rsidRDefault="008134EB">
      <w:pPr>
        <w:pStyle w:val="BodyText"/>
        <w:tabs>
          <w:tab w:val="left" w:pos="1709"/>
        </w:tabs>
        <w:spacing w:before="241"/>
        <w:ind w:left="1709" w:right="915" w:hanging="720"/>
      </w:pPr>
      <w:r>
        <w:rPr>
          <w:spacing w:val="-4"/>
        </w:rPr>
        <w:t>.01</w:t>
      </w:r>
      <w:r>
        <w:tab/>
        <w:t>As discussed in FAM 670.23, the IG issues one of two types of communication depending on the IG’s level of review</w:t>
      </w:r>
      <w:r>
        <w:rPr>
          <w:spacing w:val="-1"/>
        </w:rPr>
        <w:t xml:space="preserve"> </w:t>
      </w:r>
      <w:r>
        <w:t>of the IPA firm’s work—one expressing no assurance</w:t>
      </w:r>
      <w:r>
        <w:rPr>
          <w:spacing w:val="-4"/>
        </w:rPr>
        <w:t xml:space="preserve"> </w:t>
      </w:r>
      <w:r>
        <w:t>and</w:t>
      </w:r>
      <w:r>
        <w:rPr>
          <w:spacing w:val="-4"/>
        </w:rPr>
        <w:t xml:space="preserve"> </w:t>
      </w:r>
      <w:r>
        <w:t>one</w:t>
      </w:r>
      <w:r>
        <w:rPr>
          <w:spacing w:val="-4"/>
        </w:rPr>
        <w:t xml:space="preserve"> </w:t>
      </w:r>
      <w:r>
        <w:t>expressing</w:t>
      </w:r>
      <w:r>
        <w:rPr>
          <w:spacing w:val="-4"/>
        </w:rPr>
        <w:t xml:space="preserve"> </w:t>
      </w:r>
      <w:r>
        <w:t>negative</w:t>
      </w:r>
      <w:r>
        <w:rPr>
          <w:spacing w:val="-4"/>
        </w:rPr>
        <w:t xml:space="preserve"> </w:t>
      </w:r>
      <w:r>
        <w:t>assurance</w:t>
      </w:r>
      <w:r>
        <w:rPr>
          <w:spacing w:val="-4"/>
        </w:rPr>
        <w:t xml:space="preserve"> </w:t>
      </w:r>
      <w:r>
        <w:t>on</w:t>
      </w:r>
      <w:r>
        <w:rPr>
          <w:spacing w:val="-4"/>
        </w:rPr>
        <w:t xml:space="preserve"> </w:t>
      </w:r>
      <w:r>
        <w:t>the</w:t>
      </w:r>
      <w:r>
        <w:rPr>
          <w:spacing w:val="-4"/>
        </w:rPr>
        <w:t xml:space="preserve"> </w:t>
      </w:r>
      <w:r>
        <w:t>IPA</w:t>
      </w:r>
      <w:r>
        <w:rPr>
          <w:spacing w:val="-4"/>
        </w:rPr>
        <w:t xml:space="preserve"> </w:t>
      </w:r>
      <w:r>
        <w:t>firm’s</w:t>
      </w:r>
      <w:r>
        <w:rPr>
          <w:spacing w:val="-4"/>
        </w:rPr>
        <w:t xml:space="preserve"> </w:t>
      </w:r>
      <w:r>
        <w:t>compliance with GAGAS. Below is an example transmittal letter in which an IPA firm performed a financial statement audit and the IG either expresses no assurance or expresses negative assurance on the IPA firm’s compliance with GAGAS.</w:t>
      </w:r>
    </w:p>
    <w:p w14:paraId="0DFDB109" w14:textId="77777777" w:rsidR="00046465" w:rsidRDefault="00046465">
      <w:pPr>
        <w:pStyle w:val="BodyText"/>
        <w:sectPr w:rsidR="00046465">
          <w:headerReference w:type="default" r:id="rId76"/>
          <w:footerReference w:type="default" r:id="rId77"/>
          <w:pgSz w:w="12240" w:h="15840"/>
          <w:pgMar w:top="1600" w:right="720" w:bottom="940" w:left="1080" w:header="721" w:footer="757" w:gutter="0"/>
          <w:pgNumType w:start="1"/>
          <w:cols w:space="720"/>
        </w:sectPr>
      </w:pPr>
    </w:p>
    <w:p w14:paraId="0DFDB10A" w14:textId="77777777" w:rsidR="00046465" w:rsidRDefault="008134EB">
      <w:pPr>
        <w:spacing w:before="121"/>
        <w:ind w:left="360" w:right="749"/>
        <w:rPr>
          <w:b/>
        </w:rPr>
      </w:pPr>
      <w:r>
        <w:rPr>
          <w:b/>
        </w:rPr>
        <w:lastRenderedPageBreak/>
        <w:t>Example</w:t>
      </w:r>
      <w:r>
        <w:rPr>
          <w:b/>
          <w:spacing w:val="-4"/>
        </w:rPr>
        <w:t xml:space="preserve"> </w:t>
      </w:r>
      <w:r>
        <w:rPr>
          <w:b/>
        </w:rPr>
        <w:t>Transmittal</w:t>
      </w:r>
      <w:r>
        <w:rPr>
          <w:b/>
          <w:spacing w:val="-4"/>
        </w:rPr>
        <w:t xml:space="preserve"> </w:t>
      </w:r>
      <w:r>
        <w:rPr>
          <w:b/>
        </w:rPr>
        <w:t>Letter</w:t>
      </w:r>
      <w:r>
        <w:rPr>
          <w:b/>
          <w:spacing w:val="-5"/>
        </w:rPr>
        <w:t xml:space="preserve"> </w:t>
      </w:r>
      <w:r>
        <w:rPr>
          <w:b/>
        </w:rPr>
        <w:t>for</w:t>
      </w:r>
      <w:r>
        <w:rPr>
          <w:b/>
          <w:spacing w:val="-5"/>
        </w:rPr>
        <w:t xml:space="preserve"> </w:t>
      </w:r>
      <w:r>
        <w:rPr>
          <w:b/>
        </w:rPr>
        <w:t>IGs</w:t>
      </w:r>
      <w:r>
        <w:rPr>
          <w:b/>
          <w:spacing w:val="-4"/>
        </w:rPr>
        <w:t xml:space="preserve"> </w:t>
      </w:r>
      <w:r>
        <w:rPr>
          <w:b/>
        </w:rPr>
        <w:t>Expressing</w:t>
      </w:r>
      <w:r>
        <w:rPr>
          <w:b/>
          <w:spacing w:val="-4"/>
        </w:rPr>
        <w:t xml:space="preserve"> </w:t>
      </w:r>
      <w:r>
        <w:rPr>
          <w:b/>
        </w:rPr>
        <w:t>No</w:t>
      </w:r>
      <w:r>
        <w:rPr>
          <w:b/>
          <w:spacing w:val="-4"/>
        </w:rPr>
        <w:t xml:space="preserve"> </w:t>
      </w:r>
      <w:r>
        <w:rPr>
          <w:b/>
        </w:rPr>
        <w:t>Assurance</w:t>
      </w:r>
      <w:r>
        <w:rPr>
          <w:b/>
          <w:spacing w:val="-4"/>
        </w:rPr>
        <w:t xml:space="preserve"> </w:t>
      </w:r>
      <w:r>
        <w:rPr>
          <w:b/>
        </w:rPr>
        <w:t>or</w:t>
      </w:r>
      <w:r>
        <w:rPr>
          <w:b/>
          <w:spacing w:val="-5"/>
        </w:rPr>
        <w:t xml:space="preserve"> </w:t>
      </w:r>
      <w:r>
        <w:rPr>
          <w:b/>
        </w:rPr>
        <w:t>Negative</w:t>
      </w:r>
      <w:r>
        <w:rPr>
          <w:b/>
          <w:spacing w:val="-4"/>
        </w:rPr>
        <w:t xml:space="preserve"> </w:t>
      </w:r>
      <w:r>
        <w:rPr>
          <w:b/>
        </w:rPr>
        <w:t>Assurance</w:t>
      </w:r>
      <w:r>
        <w:rPr>
          <w:b/>
          <w:spacing w:val="-4"/>
        </w:rPr>
        <w:t xml:space="preserve"> </w:t>
      </w:r>
      <w:r>
        <w:rPr>
          <w:b/>
        </w:rPr>
        <w:t>on an IPA Firm’s Compliance with GAGAS</w:t>
      </w:r>
    </w:p>
    <w:p w14:paraId="0DFDB10B" w14:textId="77777777" w:rsidR="00046465" w:rsidRDefault="008134EB">
      <w:pPr>
        <w:spacing w:before="119"/>
        <w:ind w:left="360"/>
        <w:rPr>
          <w:b/>
        </w:rPr>
      </w:pPr>
      <w:r>
        <w:t>To</w:t>
      </w:r>
      <w:r>
        <w:rPr>
          <w:spacing w:val="-9"/>
        </w:rPr>
        <w:t xml:space="preserve"> </w:t>
      </w:r>
      <w:r>
        <w:rPr>
          <w:b/>
        </w:rPr>
        <w:t>[appropriate</w:t>
      </w:r>
      <w:r>
        <w:rPr>
          <w:b/>
          <w:spacing w:val="-9"/>
        </w:rPr>
        <w:t xml:space="preserve"> </w:t>
      </w:r>
      <w:r>
        <w:rPr>
          <w:b/>
          <w:spacing w:val="-2"/>
        </w:rPr>
        <w:t>addressee]</w:t>
      </w:r>
    </w:p>
    <w:p w14:paraId="0DFDB10C" w14:textId="77777777" w:rsidR="00046465" w:rsidRDefault="008134EB">
      <w:pPr>
        <w:pStyle w:val="BodyText"/>
        <w:spacing w:before="120"/>
        <w:ind w:left="359" w:right="773"/>
      </w:pPr>
      <w:r>
        <w:t xml:space="preserve">The independent public accounting firm of </w:t>
      </w:r>
      <w:r>
        <w:rPr>
          <w:b/>
        </w:rPr>
        <w:t xml:space="preserve">[IPA firm] </w:t>
      </w:r>
      <w:r>
        <w:t>was awarded a contract to audit the financial</w:t>
      </w:r>
      <w:r>
        <w:rPr>
          <w:spacing w:val="-4"/>
        </w:rPr>
        <w:t xml:space="preserve"> </w:t>
      </w:r>
      <w:r>
        <w:t>statements</w:t>
      </w:r>
      <w:r>
        <w:rPr>
          <w:spacing w:val="-3"/>
        </w:rPr>
        <w:t xml:space="preserve"> </w:t>
      </w:r>
      <w:r>
        <w:t>of</w:t>
      </w:r>
      <w:r>
        <w:rPr>
          <w:spacing w:val="-3"/>
        </w:rPr>
        <w:t xml:space="preserve"> </w:t>
      </w:r>
      <w:r>
        <w:rPr>
          <w:b/>
        </w:rPr>
        <w:t>[entity]</w:t>
      </w:r>
      <w:r>
        <w:rPr>
          <w:b/>
          <w:spacing w:val="-3"/>
        </w:rPr>
        <w:t xml:space="preserve"> </w:t>
      </w:r>
      <w:r>
        <w:t>as</w:t>
      </w:r>
      <w:r>
        <w:rPr>
          <w:spacing w:val="-3"/>
        </w:rPr>
        <w:t xml:space="preserve"> </w:t>
      </w:r>
      <w:r>
        <w:t>of</w:t>
      </w:r>
      <w:r>
        <w:rPr>
          <w:spacing w:val="-4"/>
        </w:rPr>
        <w:t xml:space="preserve"> </w:t>
      </w:r>
      <w:r>
        <w:t>and</w:t>
      </w:r>
      <w:r>
        <w:rPr>
          <w:spacing w:val="-3"/>
        </w:rPr>
        <w:t xml:space="preserve"> </w:t>
      </w:r>
      <w:r>
        <w:t>for</w:t>
      </w:r>
      <w:r>
        <w:rPr>
          <w:spacing w:val="-3"/>
        </w:rPr>
        <w:t xml:space="preserve"> </w:t>
      </w:r>
      <w:r>
        <w:t>the</w:t>
      </w:r>
      <w:r>
        <w:rPr>
          <w:spacing w:val="-3"/>
        </w:rPr>
        <w:t xml:space="preserve"> </w:t>
      </w:r>
      <w:r>
        <w:t>fiscal</w:t>
      </w:r>
      <w:r>
        <w:rPr>
          <w:spacing w:val="-3"/>
        </w:rPr>
        <w:t xml:space="preserve"> </w:t>
      </w:r>
      <w:r>
        <w:t>years</w:t>
      </w:r>
      <w:r>
        <w:rPr>
          <w:spacing w:val="-3"/>
        </w:rPr>
        <w:t xml:space="preserve"> </w:t>
      </w:r>
      <w:r>
        <w:t>ended</w:t>
      </w:r>
      <w:r>
        <w:rPr>
          <w:spacing w:val="-3"/>
        </w:rPr>
        <w:t xml:space="preserve"> </w:t>
      </w:r>
      <w:r>
        <w:rPr>
          <w:b/>
        </w:rPr>
        <w:t>[September</w:t>
      </w:r>
      <w:r>
        <w:rPr>
          <w:b/>
          <w:spacing w:val="-4"/>
        </w:rPr>
        <w:t xml:space="preserve"> </w:t>
      </w:r>
      <w:r>
        <w:rPr>
          <w:b/>
        </w:rPr>
        <w:t>30,</w:t>
      </w:r>
      <w:r>
        <w:rPr>
          <w:b/>
          <w:spacing w:val="-3"/>
        </w:rPr>
        <w:t xml:space="preserve"> </w:t>
      </w:r>
      <w:r>
        <w:rPr>
          <w:b/>
        </w:rPr>
        <w:t>20XX,</w:t>
      </w:r>
      <w:r>
        <w:rPr>
          <w:b/>
          <w:spacing w:val="-3"/>
        </w:rPr>
        <w:t xml:space="preserve"> </w:t>
      </w:r>
      <w:r>
        <w:rPr>
          <w:b/>
        </w:rPr>
        <w:t>and 20XX]</w:t>
      </w:r>
      <w:r>
        <w:t xml:space="preserve">; provide an opinion </w:t>
      </w:r>
      <w:r>
        <w:rPr>
          <w:b/>
        </w:rPr>
        <w:t xml:space="preserve">[or report] </w:t>
      </w:r>
      <w:r>
        <w:t>on internal control over financial reporting; report on compliance</w:t>
      </w:r>
      <w:r>
        <w:rPr>
          <w:spacing w:val="-4"/>
        </w:rPr>
        <w:t xml:space="preserve"> </w:t>
      </w:r>
      <w:r>
        <w:t>with</w:t>
      </w:r>
      <w:r>
        <w:rPr>
          <w:spacing w:val="-3"/>
        </w:rPr>
        <w:t xml:space="preserve"> </w:t>
      </w:r>
      <w:r>
        <w:t>laws,</w:t>
      </w:r>
      <w:r>
        <w:rPr>
          <w:spacing w:val="-3"/>
        </w:rPr>
        <w:t xml:space="preserve"> </w:t>
      </w:r>
      <w:r>
        <w:t>regulations,</w:t>
      </w:r>
      <w:r>
        <w:rPr>
          <w:spacing w:val="-4"/>
        </w:rPr>
        <w:t xml:space="preserve"> </w:t>
      </w:r>
      <w:r>
        <w:t>contracts,</w:t>
      </w:r>
      <w:r>
        <w:rPr>
          <w:spacing w:val="-3"/>
        </w:rPr>
        <w:t xml:space="preserve"> </w:t>
      </w:r>
      <w:r>
        <w:t>and</w:t>
      </w:r>
      <w:r>
        <w:rPr>
          <w:spacing w:val="-3"/>
        </w:rPr>
        <w:t xml:space="preserve"> </w:t>
      </w:r>
      <w:r>
        <w:t>grant</w:t>
      </w:r>
      <w:r>
        <w:rPr>
          <w:spacing w:val="-3"/>
        </w:rPr>
        <w:t xml:space="preserve"> </w:t>
      </w:r>
      <w:r>
        <w:t>agreements;</w:t>
      </w:r>
      <w:r>
        <w:rPr>
          <w:spacing w:val="-3"/>
        </w:rPr>
        <w:t xml:space="preserve"> </w:t>
      </w:r>
      <w:r>
        <w:t>and</w:t>
      </w:r>
      <w:r>
        <w:rPr>
          <w:spacing w:val="-3"/>
        </w:rPr>
        <w:t xml:space="preserve"> </w:t>
      </w:r>
      <w:r>
        <w:t>provide</w:t>
      </w:r>
      <w:r>
        <w:rPr>
          <w:spacing w:val="-3"/>
        </w:rPr>
        <w:t xml:space="preserve"> </w:t>
      </w:r>
      <w:r>
        <w:t>an</w:t>
      </w:r>
      <w:r>
        <w:rPr>
          <w:spacing w:val="-4"/>
        </w:rPr>
        <w:t xml:space="preserve"> </w:t>
      </w:r>
      <w:r>
        <w:t>opinion</w:t>
      </w:r>
      <w:r>
        <w:rPr>
          <w:spacing w:val="-2"/>
        </w:rPr>
        <w:t xml:space="preserve"> </w:t>
      </w:r>
      <w:r>
        <w:t xml:space="preserve">on whether </w:t>
      </w:r>
      <w:r>
        <w:rPr>
          <w:b/>
        </w:rPr>
        <w:t xml:space="preserve">[entity’s] </w:t>
      </w:r>
      <w:r>
        <w:t>financial management systems complied substantially</w:t>
      </w:r>
      <w:hyperlink w:anchor="_bookmark34" w:history="1">
        <w:r>
          <w:rPr>
            <w:position w:val="7"/>
            <w:sz w:val="14"/>
          </w:rPr>
          <w:t>23</w:t>
        </w:r>
      </w:hyperlink>
      <w:r>
        <w:rPr>
          <w:spacing w:val="38"/>
          <w:position w:val="7"/>
          <w:sz w:val="14"/>
        </w:rPr>
        <w:t xml:space="preserve"> </w:t>
      </w:r>
      <w:r>
        <w:t>with the requirements of the Federal Financial Management Improvement Act of 1996 (FFMIA).</w:t>
      </w:r>
      <w:hyperlink w:anchor="_bookmark35" w:history="1">
        <w:r>
          <w:rPr>
            <w:position w:val="7"/>
            <w:sz w:val="14"/>
          </w:rPr>
          <w:t>24</w:t>
        </w:r>
      </w:hyperlink>
      <w:r>
        <w:rPr>
          <w:spacing w:val="34"/>
          <w:position w:val="7"/>
          <w:sz w:val="14"/>
        </w:rPr>
        <w:t xml:space="preserve"> </w:t>
      </w:r>
      <w:r>
        <w:t xml:space="preserve">The contract required that the audit be performed in accordance with U.S. generally accepted government auditing standards, Office of Management and Budget audit guidance, and the GAO/CIGIE </w:t>
      </w:r>
      <w:r>
        <w:rPr>
          <w:i/>
        </w:rPr>
        <w:t xml:space="preserve">Financial Audit Manual </w:t>
      </w:r>
      <w:r>
        <w:rPr>
          <w:b/>
        </w:rPr>
        <w:t>[if required by the contract]</w:t>
      </w:r>
      <w:r>
        <w:t>.</w:t>
      </w:r>
    </w:p>
    <w:p w14:paraId="0DFDB10D" w14:textId="77777777" w:rsidR="00046465" w:rsidRDefault="008134EB">
      <w:pPr>
        <w:spacing w:before="121"/>
        <w:ind w:left="359"/>
      </w:pPr>
      <w:r>
        <w:t>In</w:t>
      </w:r>
      <w:r>
        <w:rPr>
          <w:spacing w:val="-5"/>
        </w:rPr>
        <w:t xml:space="preserve"> </w:t>
      </w:r>
      <w:r>
        <w:t>its</w:t>
      </w:r>
      <w:r>
        <w:rPr>
          <w:spacing w:val="-4"/>
        </w:rPr>
        <w:t xml:space="preserve"> </w:t>
      </w:r>
      <w:r>
        <w:t>audit</w:t>
      </w:r>
      <w:r>
        <w:rPr>
          <w:spacing w:val="-5"/>
        </w:rPr>
        <w:t xml:space="preserve"> </w:t>
      </w:r>
      <w:r>
        <w:t>of</w:t>
      </w:r>
      <w:r>
        <w:rPr>
          <w:spacing w:val="-4"/>
        </w:rPr>
        <w:t xml:space="preserve"> </w:t>
      </w:r>
      <w:r>
        <w:rPr>
          <w:b/>
        </w:rPr>
        <w:t>[entity]</w:t>
      </w:r>
      <w:r>
        <w:t>,</w:t>
      </w:r>
      <w:r>
        <w:rPr>
          <w:spacing w:val="-5"/>
        </w:rPr>
        <w:t xml:space="preserve"> </w:t>
      </w:r>
      <w:r>
        <w:rPr>
          <w:b/>
        </w:rPr>
        <w:t>[IPA</w:t>
      </w:r>
      <w:r>
        <w:rPr>
          <w:b/>
          <w:spacing w:val="-5"/>
        </w:rPr>
        <w:t xml:space="preserve"> </w:t>
      </w:r>
      <w:r>
        <w:rPr>
          <w:b/>
        </w:rPr>
        <w:t>firm]</w:t>
      </w:r>
      <w:r>
        <w:rPr>
          <w:b/>
          <w:spacing w:val="-4"/>
        </w:rPr>
        <w:t xml:space="preserve"> </w:t>
      </w:r>
      <w:r>
        <w:rPr>
          <w:spacing w:val="-2"/>
        </w:rPr>
        <w:t>reported</w:t>
      </w:r>
    </w:p>
    <w:p w14:paraId="0DFDB10E" w14:textId="77777777" w:rsidR="00046465" w:rsidRDefault="008134EB">
      <w:pPr>
        <w:pStyle w:val="ListParagraph"/>
        <w:numPr>
          <w:ilvl w:val="0"/>
          <w:numId w:val="200"/>
        </w:numPr>
        <w:tabs>
          <w:tab w:val="left" w:pos="1079"/>
        </w:tabs>
        <w:spacing w:before="119" w:line="269" w:lineRule="exact"/>
      </w:pPr>
      <w:r>
        <w:t>the</w:t>
      </w:r>
      <w:r>
        <w:rPr>
          <w:spacing w:val="-7"/>
        </w:rPr>
        <w:t xml:space="preserve"> </w:t>
      </w:r>
      <w:r>
        <w:t>financial</w:t>
      </w:r>
      <w:r>
        <w:rPr>
          <w:spacing w:val="-8"/>
        </w:rPr>
        <w:t xml:space="preserve"> </w:t>
      </w:r>
      <w:r>
        <w:t>statements</w:t>
      </w:r>
      <w:r>
        <w:rPr>
          <w:spacing w:val="-7"/>
        </w:rPr>
        <w:t xml:space="preserve"> </w:t>
      </w:r>
      <w:r>
        <w:t>are</w:t>
      </w:r>
      <w:r>
        <w:rPr>
          <w:spacing w:val="-7"/>
        </w:rPr>
        <w:t xml:space="preserve"> </w:t>
      </w:r>
      <w:r>
        <w:t>presented</w:t>
      </w:r>
      <w:r>
        <w:rPr>
          <w:spacing w:val="-6"/>
        </w:rPr>
        <w:t xml:space="preserve"> </w:t>
      </w:r>
      <w:r>
        <w:t>fairly,</w:t>
      </w:r>
      <w:r>
        <w:rPr>
          <w:spacing w:val="-7"/>
        </w:rPr>
        <w:t xml:space="preserve"> </w:t>
      </w:r>
      <w:r>
        <w:t>in</w:t>
      </w:r>
      <w:r>
        <w:rPr>
          <w:spacing w:val="-8"/>
        </w:rPr>
        <w:t xml:space="preserve"> </w:t>
      </w:r>
      <w:r>
        <w:t>all</w:t>
      </w:r>
      <w:r>
        <w:rPr>
          <w:spacing w:val="-7"/>
        </w:rPr>
        <w:t xml:space="preserve"> </w:t>
      </w:r>
      <w:r>
        <w:t>material</w:t>
      </w:r>
      <w:r>
        <w:rPr>
          <w:spacing w:val="-6"/>
        </w:rPr>
        <w:t xml:space="preserve"> </w:t>
      </w:r>
      <w:r>
        <w:t>respects,</w:t>
      </w:r>
      <w:r>
        <w:rPr>
          <w:spacing w:val="-8"/>
        </w:rPr>
        <w:t xml:space="preserve"> </w:t>
      </w:r>
      <w:r>
        <w:t>in</w:t>
      </w:r>
      <w:r>
        <w:rPr>
          <w:spacing w:val="-8"/>
        </w:rPr>
        <w:t xml:space="preserve"> </w:t>
      </w:r>
      <w:r>
        <w:t>accordance</w:t>
      </w:r>
      <w:r>
        <w:rPr>
          <w:spacing w:val="-7"/>
        </w:rPr>
        <w:t xml:space="preserve"> </w:t>
      </w:r>
      <w:r>
        <w:rPr>
          <w:spacing w:val="-4"/>
        </w:rPr>
        <w:t>with</w:t>
      </w:r>
    </w:p>
    <w:p w14:paraId="0DFDB10F" w14:textId="77777777" w:rsidR="00046465" w:rsidRDefault="008134EB">
      <w:pPr>
        <w:pStyle w:val="BodyText"/>
        <w:spacing w:line="253" w:lineRule="exact"/>
        <w:ind w:left="1079"/>
      </w:pPr>
      <w:r>
        <w:t>U.S.</w:t>
      </w:r>
      <w:r>
        <w:rPr>
          <w:spacing w:val="-10"/>
        </w:rPr>
        <w:t xml:space="preserve"> </w:t>
      </w:r>
      <w:r>
        <w:t>generally</w:t>
      </w:r>
      <w:r>
        <w:rPr>
          <w:spacing w:val="-9"/>
        </w:rPr>
        <w:t xml:space="preserve"> </w:t>
      </w:r>
      <w:r>
        <w:t>accepted</w:t>
      </w:r>
      <w:r>
        <w:rPr>
          <w:spacing w:val="-9"/>
        </w:rPr>
        <w:t xml:space="preserve"> </w:t>
      </w:r>
      <w:r>
        <w:t>accounting</w:t>
      </w:r>
      <w:r>
        <w:rPr>
          <w:spacing w:val="-10"/>
        </w:rPr>
        <w:t xml:space="preserve"> </w:t>
      </w:r>
      <w:r>
        <w:rPr>
          <w:spacing w:val="-2"/>
        </w:rPr>
        <w:t>principles;</w:t>
      </w:r>
    </w:p>
    <w:p w14:paraId="0DFDB110" w14:textId="77777777" w:rsidR="00046465" w:rsidRDefault="008134EB">
      <w:pPr>
        <w:pStyle w:val="ListParagraph"/>
        <w:numPr>
          <w:ilvl w:val="0"/>
          <w:numId w:val="200"/>
        </w:numPr>
        <w:tabs>
          <w:tab w:val="left" w:pos="1079"/>
        </w:tabs>
        <w:spacing w:before="118"/>
        <w:ind w:right="1375" w:hanging="361"/>
        <w:rPr>
          <w:position w:val="7"/>
          <w:sz w:val="14"/>
        </w:rPr>
      </w:pPr>
      <w:r>
        <w:rPr>
          <w:b/>
        </w:rPr>
        <w:t>[entity]</w:t>
      </w:r>
      <w:r>
        <w:rPr>
          <w:b/>
          <w:spacing w:val="-4"/>
        </w:rPr>
        <w:t xml:space="preserve"> </w:t>
      </w:r>
      <w:r>
        <w:t>maintained,</w:t>
      </w:r>
      <w:r>
        <w:rPr>
          <w:spacing w:val="-4"/>
        </w:rPr>
        <w:t xml:space="preserve"> </w:t>
      </w:r>
      <w:r>
        <w:t>in</w:t>
      </w:r>
      <w:r>
        <w:rPr>
          <w:spacing w:val="-4"/>
        </w:rPr>
        <w:t xml:space="preserve"> </w:t>
      </w:r>
      <w:r>
        <w:t>all</w:t>
      </w:r>
      <w:r>
        <w:rPr>
          <w:spacing w:val="-4"/>
        </w:rPr>
        <w:t xml:space="preserve"> </w:t>
      </w:r>
      <w:r>
        <w:t>material</w:t>
      </w:r>
      <w:r>
        <w:rPr>
          <w:spacing w:val="-4"/>
        </w:rPr>
        <w:t xml:space="preserve"> </w:t>
      </w:r>
      <w:r>
        <w:t>respects,</w:t>
      </w:r>
      <w:r>
        <w:rPr>
          <w:spacing w:val="-4"/>
        </w:rPr>
        <w:t xml:space="preserve"> </w:t>
      </w:r>
      <w:r>
        <w:t>effective</w:t>
      </w:r>
      <w:r>
        <w:rPr>
          <w:spacing w:val="-4"/>
        </w:rPr>
        <w:t xml:space="preserve"> </w:t>
      </w:r>
      <w:r>
        <w:t>internal</w:t>
      </w:r>
      <w:r>
        <w:rPr>
          <w:spacing w:val="-4"/>
        </w:rPr>
        <w:t xml:space="preserve"> </w:t>
      </w:r>
      <w:r>
        <w:t>control</w:t>
      </w:r>
      <w:r>
        <w:rPr>
          <w:spacing w:val="-4"/>
        </w:rPr>
        <w:t xml:space="preserve"> </w:t>
      </w:r>
      <w:r>
        <w:t>over</w:t>
      </w:r>
      <w:r>
        <w:rPr>
          <w:spacing w:val="-4"/>
        </w:rPr>
        <w:t xml:space="preserve"> </w:t>
      </w:r>
      <w:r>
        <w:t xml:space="preserve">financial </w:t>
      </w:r>
      <w:r>
        <w:rPr>
          <w:spacing w:val="-2"/>
        </w:rPr>
        <w:t>reporting;</w:t>
      </w:r>
      <w:hyperlink w:anchor="_bookmark36" w:history="1">
        <w:r>
          <w:rPr>
            <w:spacing w:val="-2"/>
            <w:position w:val="7"/>
            <w:sz w:val="14"/>
          </w:rPr>
          <w:t>25</w:t>
        </w:r>
      </w:hyperlink>
    </w:p>
    <w:p w14:paraId="0DFDB111" w14:textId="77777777" w:rsidR="00046465" w:rsidRDefault="008134EB">
      <w:pPr>
        <w:pStyle w:val="ListParagraph"/>
        <w:numPr>
          <w:ilvl w:val="0"/>
          <w:numId w:val="200"/>
        </w:numPr>
        <w:tabs>
          <w:tab w:val="left" w:pos="1080"/>
        </w:tabs>
        <w:spacing w:before="119"/>
        <w:ind w:left="1080" w:right="737" w:hanging="361"/>
      </w:pPr>
      <w:r>
        <w:rPr>
          <w:b/>
        </w:rPr>
        <w:t>[entity’s]</w:t>
      </w:r>
      <w:r>
        <w:rPr>
          <w:b/>
          <w:spacing w:val="-5"/>
        </w:rPr>
        <w:t xml:space="preserve"> </w:t>
      </w:r>
      <w:r>
        <w:t>financial</w:t>
      </w:r>
      <w:r>
        <w:rPr>
          <w:spacing w:val="-5"/>
        </w:rPr>
        <w:t xml:space="preserve"> </w:t>
      </w:r>
      <w:r>
        <w:t>management</w:t>
      </w:r>
      <w:r>
        <w:rPr>
          <w:spacing w:val="-5"/>
        </w:rPr>
        <w:t xml:space="preserve"> </w:t>
      </w:r>
      <w:r>
        <w:t>systems</w:t>
      </w:r>
      <w:r>
        <w:rPr>
          <w:spacing w:val="-5"/>
        </w:rPr>
        <w:t xml:space="preserve"> </w:t>
      </w:r>
      <w:r>
        <w:t>complied</w:t>
      </w:r>
      <w:r>
        <w:rPr>
          <w:spacing w:val="-5"/>
        </w:rPr>
        <w:t xml:space="preserve"> </w:t>
      </w:r>
      <w:r>
        <w:t>substantially</w:t>
      </w:r>
      <w:r>
        <w:rPr>
          <w:spacing w:val="-4"/>
        </w:rPr>
        <w:t xml:space="preserve"> </w:t>
      </w:r>
      <w:r>
        <w:t>with</w:t>
      </w:r>
      <w:r>
        <w:rPr>
          <w:spacing w:val="-5"/>
        </w:rPr>
        <w:t xml:space="preserve"> </w:t>
      </w:r>
      <w:r>
        <w:t>the</w:t>
      </w:r>
      <w:r>
        <w:rPr>
          <w:spacing w:val="-6"/>
        </w:rPr>
        <w:t xml:space="preserve"> </w:t>
      </w:r>
      <w:r>
        <w:t>requirements</w:t>
      </w:r>
      <w:r>
        <w:rPr>
          <w:spacing w:val="-5"/>
        </w:rPr>
        <w:t xml:space="preserve"> </w:t>
      </w:r>
      <w:r>
        <w:t>of FFMIA;</w:t>
      </w:r>
      <w:hyperlink w:anchor="_bookmark37" w:history="1">
        <w:r>
          <w:rPr>
            <w:position w:val="7"/>
            <w:sz w:val="14"/>
          </w:rPr>
          <w:t>26</w:t>
        </w:r>
      </w:hyperlink>
      <w:r>
        <w:rPr>
          <w:spacing w:val="40"/>
          <w:position w:val="7"/>
          <w:sz w:val="14"/>
        </w:rPr>
        <w:t xml:space="preserve"> </w:t>
      </w:r>
      <w:r>
        <w:t>and</w:t>
      </w:r>
    </w:p>
    <w:p w14:paraId="0DFDB112" w14:textId="77777777" w:rsidR="00046465" w:rsidRDefault="008134EB">
      <w:pPr>
        <w:pStyle w:val="ListParagraph"/>
        <w:numPr>
          <w:ilvl w:val="0"/>
          <w:numId w:val="200"/>
        </w:numPr>
        <w:tabs>
          <w:tab w:val="left" w:pos="1080"/>
        </w:tabs>
        <w:spacing w:before="118"/>
        <w:ind w:left="1080" w:right="945"/>
      </w:pPr>
      <w:r>
        <w:t>no</w:t>
      </w:r>
      <w:r>
        <w:rPr>
          <w:spacing w:val="-5"/>
        </w:rPr>
        <w:t xml:space="preserve"> </w:t>
      </w:r>
      <w:r>
        <w:t>reportable</w:t>
      </w:r>
      <w:r>
        <w:rPr>
          <w:spacing w:val="-5"/>
        </w:rPr>
        <w:t xml:space="preserve"> </w:t>
      </w:r>
      <w:r>
        <w:t>noncompliance</w:t>
      </w:r>
      <w:r>
        <w:rPr>
          <w:spacing w:val="-5"/>
        </w:rPr>
        <w:t xml:space="preserve"> </w:t>
      </w:r>
      <w:r>
        <w:t>with</w:t>
      </w:r>
      <w:r>
        <w:rPr>
          <w:spacing w:val="-5"/>
        </w:rPr>
        <w:t xml:space="preserve"> </w:t>
      </w:r>
      <w:r>
        <w:t>provisions</w:t>
      </w:r>
      <w:r>
        <w:rPr>
          <w:spacing w:val="-5"/>
        </w:rPr>
        <w:t xml:space="preserve"> </w:t>
      </w:r>
      <w:r>
        <w:t>of</w:t>
      </w:r>
      <w:r>
        <w:rPr>
          <w:spacing w:val="-5"/>
        </w:rPr>
        <w:t xml:space="preserve"> </w:t>
      </w:r>
      <w:r>
        <w:t>applicable</w:t>
      </w:r>
      <w:r>
        <w:rPr>
          <w:spacing w:val="-5"/>
        </w:rPr>
        <w:t xml:space="preserve"> </w:t>
      </w:r>
      <w:r>
        <w:t>laws,</w:t>
      </w:r>
      <w:r>
        <w:rPr>
          <w:spacing w:val="-5"/>
        </w:rPr>
        <w:t xml:space="preserve"> </w:t>
      </w:r>
      <w:r>
        <w:t>regulations,</w:t>
      </w:r>
      <w:r>
        <w:rPr>
          <w:spacing w:val="-5"/>
        </w:rPr>
        <w:t xml:space="preserve"> </w:t>
      </w:r>
      <w:r>
        <w:t>contracts, and grant agreements tested.</w:t>
      </w:r>
    </w:p>
    <w:p w14:paraId="0DFDB113" w14:textId="77777777" w:rsidR="00046465" w:rsidRDefault="008134EB">
      <w:pPr>
        <w:spacing w:before="119"/>
        <w:ind w:left="359"/>
      </w:pPr>
      <w:r>
        <w:rPr>
          <w:b/>
        </w:rPr>
        <w:t>[IPA</w:t>
      </w:r>
      <w:r>
        <w:rPr>
          <w:b/>
          <w:spacing w:val="-8"/>
        </w:rPr>
        <w:t xml:space="preserve"> </w:t>
      </w:r>
      <w:r>
        <w:rPr>
          <w:b/>
        </w:rPr>
        <w:t>firm]</w:t>
      </w:r>
      <w:r>
        <w:rPr>
          <w:b/>
          <w:spacing w:val="-7"/>
        </w:rPr>
        <w:t xml:space="preserve"> </w:t>
      </w:r>
      <w:r>
        <w:t>also</w:t>
      </w:r>
      <w:r>
        <w:rPr>
          <w:spacing w:val="-7"/>
        </w:rPr>
        <w:t xml:space="preserve"> </w:t>
      </w:r>
      <w:r>
        <w:t>described</w:t>
      </w:r>
      <w:r>
        <w:rPr>
          <w:spacing w:val="-7"/>
        </w:rPr>
        <w:t xml:space="preserve"> </w:t>
      </w:r>
      <w:r>
        <w:t>the</w:t>
      </w:r>
      <w:r>
        <w:rPr>
          <w:spacing w:val="-7"/>
        </w:rPr>
        <w:t xml:space="preserve"> </w:t>
      </w:r>
      <w:r>
        <w:t>following</w:t>
      </w:r>
      <w:r>
        <w:rPr>
          <w:spacing w:val="-7"/>
        </w:rPr>
        <w:t xml:space="preserve"> </w:t>
      </w:r>
      <w:r>
        <w:t>significant</w:t>
      </w:r>
      <w:r>
        <w:rPr>
          <w:spacing w:val="-6"/>
        </w:rPr>
        <w:t xml:space="preserve"> </w:t>
      </w:r>
      <w:r>
        <w:t>matters</w:t>
      </w:r>
      <w:r>
        <w:rPr>
          <w:spacing w:val="-7"/>
        </w:rPr>
        <w:t xml:space="preserve"> </w:t>
      </w:r>
      <w:r>
        <w:rPr>
          <w:b/>
        </w:rPr>
        <w:t>[if</w:t>
      </w:r>
      <w:r>
        <w:rPr>
          <w:b/>
          <w:spacing w:val="-7"/>
        </w:rPr>
        <w:t xml:space="preserve"> </w:t>
      </w:r>
      <w:r>
        <w:rPr>
          <w:b/>
          <w:spacing w:val="-2"/>
        </w:rPr>
        <w:t>any]</w:t>
      </w:r>
      <w:r>
        <w:rPr>
          <w:spacing w:val="-2"/>
        </w:rPr>
        <w:t>:</w:t>
      </w:r>
    </w:p>
    <w:p w14:paraId="0DFDB114" w14:textId="77777777" w:rsidR="00046465" w:rsidRDefault="008134EB">
      <w:pPr>
        <w:pStyle w:val="ListParagraph"/>
        <w:numPr>
          <w:ilvl w:val="0"/>
          <w:numId w:val="200"/>
        </w:numPr>
        <w:tabs>
          <w:tab w:val="left" w:pos="1079"/>
        </w:tabs>
        <w:rPr>
          <w:b/>
        </w:rPr>
      </w:pPr>
      <w:r>
        <w:rPr>
          <w:b/>
        </w:rPr>
        <w:t>[Discuss</w:t>
      </w:r>
      <w:r>
        <w:rPr>
          <w:b/>
          <w:spacing w:val="-9"/>
        </w:rPr>
        <w:t xml:space="preserve"> </w:t>
      </w:r>
      <w:r>
        <w:rPr>
          <w:b/>
        </w:rPr>
        <w:t>any</w:t>
      </w:r>
      <w:r>
        <w:rPr>
          <w:b/>
          <w:spacing w:val="-8"/>
        </w:rPr>
        <w:t xml:space="preserve"> </w:t>
      </w:r>
      <w:r>
        <w:rPr>
          <w:b/>
        </w:rPr>
        <w:t>significant</w:t>
      </w:r>
      <w:r>
        <w:rPr>
          <w:b/>
          <w:spacing w:val="-8"/>
        </w:rPr>
        <w:t xml:space="preserve"> </w:t>
      </w:r>
      <w:r>
        <w:rPr>
          <w:b/>
          <w:spacing w:val="-2"/>
        </w:rPr>
        <w:t>matters]</w:t>
      </w:r>
    </w:p>
    <w:p w14:paraId="0DFDB115" w14:textId="77777777" w:rsidR="00046465" w:rsidRDefault="008134EB">
      <w:pPr>
        <w:spacing w:before="118"/>
        <w:ind w:left="359"/>
        <w:rPr>
          <w:b/>
        </w:rPr>
      </w:pPr>
      <w:r>
        <w:rPr>
          <w:b/>
        </w:rPr>
        <w:t>[For</w:t>
      </w:r>
      <w:r>
        <w:rPr>
          <w:b/>
          <w:spacing w:val="-9"/>
        </w:rPr>
        <w:t xml:space="preserve"> </w:t>
      </w:r>
      <w:r>
        <w:rPr>
          <w:b/>
        </w:rPr>
        <w:t>transmittal</w:t>
      </w:r>
      <w:r>
        <w:rPr>
          <w:b/>
          <w:spacing w:val="-8"/>
        </w:rPr>
        <w:t xml:space="preserve"> </w:t>
      </w:r>
      <w:r>
        <w:rPr>
          <w:b/>
        </w:rPr>
        <w:t>letters</w:t>
      </w:r>
      <w:r>
        <w:rPr>
          <w:b/>
          <w:spacing w:val="-7"/>
        </w:rPr>
        <w:t xml:space="preserve"> </w:t>
      </w:r>
      <w:r>
        <w:rPr>
          <w:b/>
        </w:rPr>
        <w:t>expressing</w:t>
      </w:r>
      <w:r>
        <w:rPr>
          <w:b/>
          <w:spacing w:val="-8"/>
        </w:rPr>
        <w:t xml:space="preserve"> </w:t>
      </w:r>
      <w:r>
        <w:rPr>
          <w:b/>
        </w:rPr>
        <w:t>no</w:t>
      </w:r>
      <w:r>
        <w:rPr>
          <w:b/>
          <w:spacing w:val="-8"/>
        </w:rPr>
        <w:t xml:space="preserve"> </w:t>
      </w:r>
      <w:r>
        <w:rPr>
          <w:b/>
        </w:rPr>
        <w:t>assurance,</w:t>
      </w:r>
      <w:r>
        <w:rPr>
          <w:b/>
          <w:spacing w:val="-7"/>
        </w:rPr>
        <w:t xml:space="preserve"> </w:t>
      </w:r>
      <w:r>
        <w:rPr>
          <w:b/>
        </w:rPr>
        <w:t>use</w:t>
      </w:r>
      <w:r>
        <w:rPr>
          <w:b/>
          <w:spacing w:val="-8"/>
        </w:rPr>
        <w:t xml:space="preserve"> </w:t>
      </w:r>
      <w:r>
        <w:rPr>
          <w:b/>
        </w:rPr>
        <w:t>the</w:t>
      </w:r>
      <w:r>
        <w:rPr>
          <w:b/>
          <w:spacing w:val="-8"/>
        </w:rPr>
        <w:t xml:space="preserve"> </w:t>
      </w:r>
      <w:r>
        <w:rPr>
          <w:b/>
        </w:rPr>
        <w:t>following</w:t>
      </w:r>
      <w:r>
        <w:rPr>
          <w:b/>
          <w:spacing w:val="-7"/>
        </w:rPr>
        <w:t xml:space="preserve"> </w:t>
      </w:r>
      <w:r>
        <w:rPr>
          <w:b/>
          <w:spacing w:val="-2"/>
        </w:rPr>
        <w:t>paragraph.]</w:t>
      </w:r>
    </w:p>
    <w:p w14:paraId="0DFDB116" w14:textId="77777777" w:rsidR="00046465" w:rsidRDefault="008134EB">
      <w:pPr>
        <w:pStyle w:val="BodyText"/>
        <w:spacing w:before="120"/>
        <w:ind w:left="359" w:right="749"/>
      </w:pPr>
      <w:r>
        <w:rPr>
          <w:b/>
        </w:rPr>
        <w:t xml:space="preserve">[IPA firm] </w:t>
      </w:r>
      <w:r>
        <w:t xml:space="preserve">is responsible for the attached auditor’s report dated </w:t>
      </w:r>
      <w:r>
        <w:rPr>
          <w:b/>
        </w:rPr>
        <w:t xml:space="preserve">[date] </w:t>
      </w:r>
      <w:r>
        <w:t xml:space="preserve">and the conclusions expressed therein. We do not express opinions on </w:t>
      </w:r>
      <w:r>
        <w:rPr>
          <w:b/>
        </w:rPr>
        <w:t xml:space="preserve">[entity’s] </w:t>
      </w:r>
      <w:r>
        <w:t>financial statements, internal control</w:t>
      </w:r>
      <w:r>
        <w:rPr>
          <w:spacing w:val="-4"/>
        </w:rPr>
        <w:t xml:space="preserve"> </w:t>
      </w:r>
      <w:r>
        <w:t>over</w:t>
      </w:r>
      <w:r>
        <w:rPr>
          <w:spacing w:val="-6"/>
        </w:rPr>
        <w:t xml:space="preserve"> </w:t>
      </w:r>
      <w:r>
        <w:t>financial</w:t>
      </w:r>
      <w:r>
        <w:rPr>
          <w:spacing w:val="-4"/>
        </w:rPr>
        <w:t xml:space="preserve"> </w:t>
      </w:r>
      <w:r>
        <w:t>reporting,</w:t>
      </w:r>
      <w:r>
        <w:rPr>
          <w:spacing w:val="-4"/>
        </w:rPr>
        <w:t xml:space="preserve"> </w:t>
      </w:r>
      <w:r>
        <w:t>or</w:t>
      </w:r>
      <w:r>
        <w:rPr>
          <w:spacing w:val="-4"/>
        </w:rPr>
        <w:t xml:space="preserve"> </w:t>
      </w:r>
      <w:r>
        <w:t>whether</w:t>
      </w:r>
      <w:r>
        <w:rPr>
          <w:spacing w:val="-4"/>
        </w:rPr>
        <w:t xml:space="preserve"> </w:t>
      </w:r>
      <w:r>
        <w:rPr>
          <w:b/>
        </w:rPr>
        <w:t>[entity’s]</w:t>
      </w:r>
      <w:r>
        <w:rPr>
          <w:b/>
          <w:spacing w:val="-4"/>
        </w:rPr>
        <w:t xml:space="preserve"> </w:t>
      </w:r>
      <w:r>
        <w:t>financial</w:t>
      </w:r>
      <w:r>
        <w:rPr>
          <w:spacing w:val="-5"/>
        </w:rPr>
        <w:t xml:space="preserve"> </w:t>
      </w:r>
      <w:r>
        <w:t>management</w:t>
      </w:r>
      <w:r>
        <w:rPr>
          <w:spacing w:val="-4"/>
        </w:rPr>
        <w:t xml:space="preserve"> </w:t>
      </w:r>
      <w:r>
        <w:t>systems</w:t>
      </w:r>
      <w:r>
        <w:rPr>
          <w:spacing w:val="-4"/>
        </w:rPr>
        <w:t xml:space="preserve"> </w:t>
      </w:r>
      <w:r>
        <w:t>complied substantially with the three requirements of FFMIA; or conclusions on compliance.</w:t>
      </w:r>
    </w:p>
    <w:p w14:paraId="0DFDB117" w14:textId="77777777" w:rsidR="00046465" w:rsidRDefault="008134EB">
      <w:pPr>
        <w:spacing w:before="120"/>
        <w:ind w:left="360" w:right="749"/>
        <w:rPr>
          <w:b/>
        </w:rPr>
      </w:pPr>
      <w:r>
        <w:rPr>
          <w:b/>
        </w:rPr>
        <w:t>[For</w:t>
      </w:r>
      <w:r>
        <w:rPr>
          <w:b/>
          <w:spacing w:val="-5"/>
        </w:rPr>
        <w:t xml:space="preserve"> </w:t>
      </w:r>
      <w:r>
        <w:rPr>
          <w:b/>
        </w:rPr>
        <w:t>transmittal</w:t>
      </w:r>
      <w:r>
        <w:rPr>
          <w:b/>
          <w:spacing w:val="-4"/>
        </w:rPr>
        <w:t xml:space="preserve"> </w:t>
      </w:r>
      <w:r>
        <w:rPr>
          <w:b/>
        </w:rPr>
        <w:t>letters</w:t>
      </w:r>
      <w:r>
        <w:rPr>
          <w:b/>
          <w:spacing w:val="-4"/>
        </w:rPr>
        <w:t xml:space="preserve"> </w:t>
      </w:r>
      <w:r>
        <w:rPr>
          <w:b/>
        </w:rPr>
        <w:t>expressing</w:t>
      </w:r>
      <w:r>
        <w:rPr>
          <w:b/>
          <w:spacing w:val="-4"/>
        </w:rPr>
        <w:t xml:space="preserve"> </w:t>
      </w:r>
      <w:r>
        <w:rPr>
          <w:b/>
        </w:rPr>
        <w:t>negative</w:t>
      </w:r>
      <w:r>
        <w:rPr>
          <w:b/>
          <w:spacing w:val="-4"/>
        </w:rPr>
        <w:t xml:space="preserve"> </w:t>
      </w:r>
      <w:r>
        <w:rPr>
          <w:b/>
        </w:rPr>
        <w:t>assurance</w:t>
      </w:r>
      <w:r>
        <w:rPr>
          <w:b/>
          <w:spacing w:val="-4"/>
        </w:rPr>
        <w:t xml:space="preserve"> </w:t>
      </w:r>
      <w:r>
        <w:rPr>
          <w:b/>
        </w:rPr>
        <w:t>on</w:t>
      </w:r>
      <w:r>
        <w:rPr>
          <w:b/>
          <w:spacing w:val="-3"/>
        </w:rPr>
        <w:t xml:space="preserve"> </w:t>
      </w:r>
      <w:r>
        <w:rPr>
          <w:b/>
        </w:rPr>
        <w:t>an</w:t>
      </w:r>
      <w:r>
        <w:rPr>
          <w:b/>
          <w:spacing w:val="-4"/>
        </w:rPr>
        <w:t xml:space="preserve"> </w:t>
      </w:r>
      <w:r>
        <w:rPr>
          <w:b/>
        </w:rPr>
        <w:t>IPA</w:t>
      </w:r>
      <w:r>
        <w:rPr>
          <w:b/>
          <w:spacing w:val="-5"/>
        </w:rPr>
        <w:t xml:space="preserve"> </w:t>
      </w:r>
      <w:r>
        <w:rPr>
          <w:b/>
        </w:rPr>
        <w:t>firm’s</w:t>
      </w:r>
      <w:r>
        <w:rPr>
          <w:b/>
          <w:spacing w:val="-4"/>
        </w:rPr>
        <w:t xml:space="preserve"> </w:t>
      </w:r>
      <w:r>
        <w:rPr>
          <w:b/>
        </w:rPr>
        <w:t>compliance</w:t>
      </w:r>
      <w:r>
        <w:rPr>
          <w:b/>
          <w:spacing w:val="-4"/>
        </w:rPr>
        <w:t xml:space="preserve"> </w:t>
      </w:r>
      <w:r>
        <w:rPr>
          <w:b/>
        </w:rPr>
        <w:t>with GAGAS, use the following paragraph.]</w:t>
      </w:r>
    </w:p>
    <w:p w14:paraId="0DFDB118" w14:textId="77777777" w:rsidR="00046465" w:rsidRDefault="008134EB">
      <w:pPr>
        <w:pStyle w:val="BodyText"/>
        <w:spacing w:before="120"/>
        <w:ind w:left="360" w:right="749"/>
      </w:pPr>
      <w:r>
        <w:t>In</w:t>
      </w:r>
      <w:r>
        <w:rPr>
          <w:spacing w:val="-3"/>
        </w:rPr>
        <w:t xml:space="preserve"> </w:t>
      </w:r>
      <w:r>
        <w:t>connection</w:t>
      </w:r>
      <w:r>
        <w:rPr>
          <w:spacing w:val="-3"/>
        </w:rPr>
        <w:t xml:space="preserve"> </w:t>
      </w:r>
      <w:r>
        <w:t>with</w:t>
      </w:r>
      <w:r>
        <w:rPr>
          <w:spacing w:val="-3"/>
        </w:rPr>
        <w:t xml:space="preserve"> </w:t>
      </w:r>
      <w:r>
        <w:t>the</w:t>
      </w:r>
      <w:r>
        <w:rPr>
          <w:spacing w:val="-3"/>
        </w:rPr>
        <w:t xml:space="preserve"> </w:t>
      </w:r>
      <w:r>
        <w:t>contract,</w:t>
      </w:r>
      <w:r>
        <w:rPr>
          <w:spacing w:val="-3"/>
        </w:rPr>
        <w:t xml:space="preserve"> </w:t>
      </w:r>
      <w:r>
        <w:t>we</w:t>
      </w:r>
      <w:r>
        <w:rPr>
          <w:spacing w:val="-3"/>
        </w:rPr>
        <w:t xml:space="preserve"> </w:t>
      </w:r>
      <w:r>
        <w:t>reviewed</w:t>
      </w:r>
      <w:r>
        <w:rPr>
          <w:spacing w:val="-3"/>
        </w:rPr>
        <w:t xml:space="preserve"> </w:t>
      </w:r>
      <w:r>
        <w:rPr>
          <w:b/>
        </w:rPr>
        <w:t>[IPA</w:t>
      </w:r>
      <w:r>
        <w:rPr>
          <w:b/>
          <w:spacing w:val="-4"/>
        </w:rPr>
        <w:t xml:space="preserve"> </w:t>
      </w:r>
      <w:r>
        <w:rPr>
          <w:b/>
        </w:rPr>
        <w:t>firm’s]</w:t>
      </w:r>
      <w:r>
        <w:rPr>
          <w:b/>
          <w:spacing w:val="-3"/>
        </w:rPr>
        <w:t xml:space="preserve"> </w:t>
      </w:r>
      <w:r>
        <w:t>report</w:t>
      </w:r>
      <w:r>
        <w:rPr>
          <w:spacing w:val="-3"/>
        </w:rPr>
        <w:t xml:space="preserve"> </w:t>
      </w:r>
      <w:r>
        <w:t>and</w:t>
      </w:r>
      <w:r>
        <w:rPr>
          <w:spacing w:val="-3"/>
        </w:rPr>
        <w:t xml:space="preserve"> </w:t>
      </w:r>
      <w:r>
        <w:t>related</w:t>
      </w:r>
      <w:r>
        <w:rPr>
          <w:spacing w:val="-3"/>
        </w:rPr>
        <w:t xml:space="preserve"> </w:t>
      </w:r>
      <w:r>
        <w:t>documentation</w:t>
      </w:r>
      <w:r>
        <w:rPr>
          <w:spacing w:val="-3"/>
        </w:rPr>
        <w:t xml:space="preserve"> </w:t>
      </w:r>
      <w:r>
        <w:t>and inquired of its representatives. Our review, as differentiated from an audit of the financial</w:t>
      </w:r>
    </w:p>
    <w:p w14:paraId="0DFDB119" w14:textId="77777777" w:rsidR="00046465" w:rsidRDefault="008134EB">
      <w:pPr>
        <w:pStyle w:val="BodyText"/>
        <w:spacing w:before="31"/>
        <w:rPr>
          <w:sz w:val="20"/>
        </w:rPr>
      </w:pPr>
      <w:r>
        <w:rPr>
          <w:noProof/>
          <w:sz w:val="20"/>
        </w:rPr>
        <mc:AlternateContent>
          <mc:Choice Requires="wps">
            <w:drawing>
              <wp:anchor distT="0" distB="0" distL="0" distR="0" simplePos="0" relativeHeight="487612928" behindDoc="1" locked="0" layoutInCell="1" allowOverlap="1" wp14:anchorId="0DFDD575" wp14:editId="0DFDD576">
                <wp:simplePos x="0" y="0"/>
                <wp:positionH relativeFrom="page">
                  <wp:posOffset>914400</wp:posOffset>
                </wp:positionH>
                <wp:positionV relativeFrom="paragraph">
                  <wp:posOffset>181338</wp:posOffset>
                </wp:positionV>
                <wp:extent cx="1828800" cy="5715"/>
                <wp:effectExtent l="0" t="0" r="0" b="0"/>
                <wp:wrapTopAndBottom/>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90F0E6" id="Graphic 274" o:spid="_x0000_s1026" style="position:absolute;margin-left:1in;margin-top:14.3pt;width:2in;height:.45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" path="m1828800,l,,,5333r1828800,l1828800,xe" fillcolor="black" stroked="f">
                <v:path arrowok="t"/>
                <w10:wrap type="topAndBottom" anchorx="page"/>
              </v:shape>
            </w:pict>
          </mc:Fallback>
        </mc:AlternateContent>
      </w:r>
    </w:p>
    <w:p w14:paraId="0DFDB11A" w14:textId="77777777" w:rsidR="00046465" w:rsidRDefault="008134EB">
      <w:pPr>
        <w:spacing w:before="202" w:line="244" w:lineRule="auto"/>
        <w:ind w:left="359" w:right="749"/>
        <w:rPr>
          <w:sz w:val="18"/>
        </w:rPr>
      </w:pPr>
      <w:bookmarkStart w:id="111" w:name="_bookmark34"/>
      <w:bookmarkEnd w:id="111"/>
      <w:r>
        <w:rPr>
          <w:position w:val="7"/>
          <w:sz w:val="14"/>
        </w:rPr>
        <w:t>23</w:t>
      </w:r>
      <w:r>
        <w:rPr>
          <w:sz w:val="18"/>
        </w:rPr>
        <w:t>If the IPA firm did not provide an opinion (i.e., did not give positive assurance) on whether the entity’s systems complied</w:t>
      </w:r>
      <w:r>
        <w:rPr>
          <w:spacing w:val="-4"/>
          <w:sz w:val="18"/>
        </w:rPr>
        <w:t xml:space="preserve"> </w:t>
      </w:r>
      <w:r>
        <w:rPr>
          <w:sz w:val="18"/>
        </w:rPr>
        <w:t>substantially</w:t>
      </w:r>
      <w:r>
        <w:rPr>
          <w:spacing w:val="-3"/>
          <w:sz w:val="18"/>
        </w:rPr>
        <w:t xml:space="preserve"> </w:t>
      </w:r>
      <w:r>
        <w:rPr>
          <w:sz w:val="18"/>
        </w:rPr>
        <w:t>with</w:t>
      </w:r>
      <w:r>
        <w:rPr>
          <w:spacing w:val="-4"/>
          <w:sz w:val="18"/>
        </w:rPr>
        <w:t xml:space="preserve"> </w:t>
      </w:r>
      <w:r>
        <w:rPr>
          <w:sz w:val="18"/>
        </w:rPr>
        <w:t>the</w:t>
      </w:r>
      <w:r>
        <w:rPr>
          <w:spacing w:val="-4"/>
          <w:sz w:val="18"/>
        </w:rPr>
        <w:t xml:space="preserve"> </w:t>
      </w:r>
      <w:r>
        <w:rPr>
          <w:sz w:val="18"/>
        </w:rPr>
        <w:t>three</w:t>
      </w:r>
      <w:r>
        <w:rPr>
          <w:spacing w:val="-4"/>
          <w:sz w:val="18"/>
        </w:rPr>
        <w:t xml:space="preserve"> </w:t>
      </w:r>
      <w:r>
        <w:rPr>
          <w:sz w:val="18"/>
        </w:rPr>
        <w:t>FFMIA</w:t>
      </w:r>
      <w:r>
        <w:rPr>
          <w:spacing w:val="-4"/>
          <w:sz w:val="18"/>
        </w:rPr>
        <w:t xml:space="preserve"> </w:t>
      </w:r>
      <w:r>
        <w:rPr>
          <w:sz w:val="18"/>
        </w:rPr>
        <w:t>requirements,</w:t>
      </w:r>
      <w:r>
        <w:rPr>
          <w:spacing w:val="-3"/>
          <w:sz w:val="18"/>
        </w:rPr>
        <w:t xml:space="preserve"> </w:t>
      </w:r>
      <w:r>
        <w:rPr>
          <w:sz w:val="18"/>
        </w:rPr>
        <w:t>change</w:t>
      </w:r>
      <w:r>
        <w:rPr>
          <w:spacing w:val="-4"/>
          <w:sz w:val="18"/>
        </w:rPr>
        <w:t xml:space="preserve"> </w:t>
      </w:r>
      <w:r>
        <w:rPr>
          <w:sz w:val="18"/>
        </w:rPr>
        <w:t>this</w:t>
      </w:r>
      <w:r>
        <w:rPr>
          <w:spacing w:val="-3"/>
          <w:sz w:val="18"/>
        </w:rPr>
        <w:t xml:space="preserve"> </w:t>
      </w:r>
      <w:r>
        <w:rPr>
          <w:sz w:val="18"/>
        </w:rPr>
        <w:t>to</w:t>
      </w:r>
      <w:r>
        <w:rPr>
          <w:spacing w:val="-2"/>
          <w:sz w:val="18"/>
        </w:rPr>
        <w:t xml:space="preserve"> </w:t>
      </w:r>
      <w:r>
        <w:rPr>
          <w:sz w:val="18"/>
        </w:rPr>
        <w:t>“to</w:t>
      </w:r>
      <w:r>
        <w:rPr>
          <w:spacing w:val="-4"/>
          <w:sz w:val="18"/>
        </w:rPr>
        <w:t xml:space="preserve"> </w:t>
      </w:r>
      <w:r>
        <w:rPr>
          <w:sz w:val="18"/>
        </w:rPr>
        <w:t>report</w:t>
      </w:r>
      <w:r>
        <w:rPr>
          <w:spacing w:val="-3"/>
          <w:sz w:val="18"/>
        </w:rPr>
        <w:t xml:space="preserve"> </w:t>
      </w:r>
      <w:r>
        <w:rPr>
          <w:sz w:val="18"/>
        </w:rPr>
        <w:t>on</w:t>
      </w:r>
      <w:r>
        <w:rPr>
          <w:spacing w:val="-4"/>
          <w:sz w:val="18"/>
        </w:rPr>
        <w:t xml:space="preserve"> </w:t>
      </w:r>
      <w:r>
        <w:rPr>
          <w:sz w:val="18"/>
        </w:rPr>
        <w:t>whether</w:t>
      </w:r>
      <w:r>
        <w:rPr>
          <w:spacing w:val="-3"/>
          <w:sz w:val="18"/>
        </w:rPr>
        <w:t xml:space="preserve"> </w:t>
      </w:r>
      <w:r>
        <w:rPr>
          <w:sz w:val="18"/>
        </w:rPr>
        <w:t>[</w:t>
      </w:r>
      <w:r>
        <w:rPr>
          <w:b/>
          <w:sz w:val="18"/>
        </w:rPr>
        <w:t>entity’s</w:t>
      </w:r>
      <w:r>
        <w:rPr>
          <w:sz w:val="18"/>
        </w:rPr>
        <w:t>]</w:t>
      </w:r>
      <w:r>
        <w:rPr>
          <w:spacing w:val="-3"/>
          <w:sz w:val="18"/>
        </w:rPr>
        <w:t xml:space="preserve"> </w:t>
      </w:r>
      <w:r>
        <w:rPr>
          <w:sz w:val="18"/>
        </w:rPr>
        <w:t>financial management systems did not comply substantially” (negative assurance).</w:t>
      </w:r>
    </w:p>
    <w:p w14:paraId="0DFDB11B" w14:textId="77777777" w:rsidR="00046465" w:rsidRDefault="008134EB">
      <w:pPr>
        <w:spacing w:before="120" w:line="249" w:lineRule="auto"/>
        <w:ind w:left="359" w:right="844"/>
        <w:rPr>
          <w:sz w:val="18"/>
        </w:rPr>
      </w:pPr>
      <w:bookmarkStart w:id="112" w:name="_bookmark35"/>
      <w:bookmarkEnd w:id="112"/>
      <w:r>
        <w:rPr>
          <w:position w:val="7"/>
          <w:sz w:val="14"/>
        </w:rPr>
        <w:t>24</w:t>
      </w:r>
      <w:r>
        <w:rPr>
          <w:sz w:val="18"/>
        </w:rPr>
        <w:t>For</w:t>
      </w:r>
      <w:r>
        <w:rPr>
          <w:spacing w:val="-3"/>
          <w:sz w:val="18"/>
        </w:rPr>
        <w:t xml:space="preserve"> </w:t>
      </w:r>
      <w:r>
        <w:rPr>
          <w:sz w:val="18"/>
        </w:rPr>
        <w:t>non-Chief</w:t>
      </w:r>
      <w:r>
        <w:rPr>
          <w:spacing w:val="-2"/>
          <w:sz w:val="18"/>
        </w:rPr>
        <w:t xml:space="preserve"> </w:t>
      </w:r>
      <w:r>
        <w:rPr>
          <w:sz w:val="18"/>
        </w:rPr>
        <w:t>Financial</w:t>
      </w:r>
      <w:r>
        <w:rPr>
          <w:spacing w:val="-3"/>
          <w:sz w:val="18"/>
        </w:rPr>
        <w:t xml:space="preserve"> </w:t>
      </w:r>
      <w:r>
        <w:rPr>
          <w:sz w:val="18"/>
        </w:rPr>
        <w:t>Officers</w:t>
      </w:r>
      <w:r>
        <w:rPr>
          <w:spacing w:val="-3"/>
          <w:sz w:val="18"/>
        </w:rPr>
        <w:t xml:space="preserve"> </w:t>
      </w:r>
      <w:r>
        <w:rPr>
          <w:sz w:val="18"/>
        </w:rPr>
        <w:t>Act</w:t>
      </w:r>
      <w:r>
        <w:rPr>
          <w:spacing w:val="-3"/>
          <w:sz w:val="18"/>
        </w:rPr>
        <w:t xml:space="preserve"> </w:t>
      </w:r>
      <w:r>
        <w:rPr>
          <w:sz w:val="18"/>
        </w:rPr>
        <w:t>of</w:t>
      </w:r>
      <w:r>
        <w:rPr>
          <w:spacing w:val="-3"/>
          <w:sz w:val="18"/>
        </w:rPr>
        <w:t xml:space="preserve"> </w:t>
      </w:r>
      <w:r>
        <w:rPr>
          <w:sz w:val="18"/>
        </w:rPr>
        <w:t>1990</w:t>
      </w:r>
      <w:r>
        <w:rPr>
          <w:spacing w:val="-2"/>
          <w:sz w:val="18"/>
        </w:rPr>
        <w:t xml:space="preserve"> </w:t>
      </w:r>
      <w:r>
        <w:rPr>
          <w:sz w:val="18"/>
        </w:rPr>
        <w:t>agencies,</w:t>
      </w:r>
      <w:r>
        <w:rPr>
          <w:spacing w:val="-3"/>
          <w:sz w:val="18"/>
        </w:rPr>
        <w:t xml:space="preserve"> </w:t>
      </w:r>
      <w:r>
        <w:rPr>
          <w:sz w:val="18"/>
        </w:rPr>
        <w:t>delete</w:t>
      </w:r>
      <w:r>
        <w:rPr>
          <w:spacing w:val="-4"/>
          <w:sz w:val="18"/>
        </w:rPr>
        <w:t xml:space="preserve"> </w:t>
      </w:r>
      <w:r>
        <w:rPr>
          <w:sz w:val="18"/>
        </w:rPr>
        <w:t>references</w:t>
      </w:r>
      <w:r>
        <w:rPr>
          <w:spacing w:val="-3"/>
          <w:sz w:val="18"/>
        </w:rPr>
        <w:t xml:space="preserve"> </w:t>
      </w:r>
      <w:r>
        <w:rPr>
          <w:sz w:val="18"/>
        </w:rPr>
        <w:t>to</w:t>
      </w:r>
      <w:r>
        <w:rPr>
          <w:spacing w:val="-4"/>
          <w:sz w:val="18"/>
        </w:rPr>
        <w:t xml:space="preserve"> </w:t>
      </w:r>
      <w:r>
        <w:rPr>
          <w:sz w:val="18"/>
        </w:rPr>
        <w:t>FFMIA</w:t>
      </w:r>
      <w:r>
        <w:rPr>
          <w:spacing w:val="-3"/>
          <w:sz w:val="18"/>
        </w:rPr>
        <w:t xml:space="preserve"> </w:t>
      </w:r>
      <w:r>
        <w:rPr>
          <w:sz w:val="18"/>
        </w:rPr>
        <w:t>in</w:t>
      </w:r>
      <w:r>
        <w:rPr>
          <w:spacing w:val="-4"/>
          <w:sz w:val="18"/>
        </w:rPr>
        <w:t xml:space="preserve"> </w:t>
      </w:r>
      <w:r>
        <w:rPr>
          <w:sz w:val="18"/>
        </w:rPr>
        <w:t>this</w:t>
      </w:r>
      <w:r>
        <w:rPr>
          <w:spacing w:val="-3"/>
          <w:sz w:val="18"/>
        </w:rPr>
        <w:t xml:space="preserve"> </w:t>
      </w:r>
      <w:r>
        <w:rPr>
          <w:sz w:val="18"/>
        </w:rPr>
        <w:t>paragraph</w:t>
      </w:r>
      <w:r>
        <w:rPr>
          <w:spacing w:val="-4"/>
          <w:sz w:val="18"/>
        </w:rPr>
        <w:t xml:space="preserve"> </w:t>
      </w:r>
      <w:r>
        <w:rPr>
          <w:sz w:val="18"/>
        </w:rPr>
        <w:t>and</w:t>
      </w:r>
      <w:r>
        <w:rPr>
          <w:spacing w:val="-2"/>
          <w:sz w:val="18"/>
        </w:rPr>
        <w:t xml:space="preserve"> </w:t>
      </w:r>
      <w:r>
        <w:rPr>
          <w:sz w:val="18"/>
        </w:rPr>
        <w:t>in</w:t>
      </w:r>
      <w:r>
        <w:rPr>
          <w:spacing w:val="-4"/>
          <w:sz w:val="18"/>
        </w:rPr>
        <w:t xml:space="preserve"> </w:t>
      </w:r>
      <w:r>
        <w:rPr>
          <w:sz w:val="18"/>
        </w:rPr>
        <w:t>the bullet below.</w:t>
      </w:r>
    </w:p>
    <w:p w14:paraId="0DFDB11C" w14:textId="77777777" w:rsidR="00046465" w:rsidRDefault="008134EB">
      <w:pPr>
        <w:spacing w:before="118" w:line="249" w:lineRule="auto"/>
        <w:ind w:left="359" w:right="749"/>
        <w:rPr>
          <w:sz w:val="18"/>
        </w:rPr>
      </w:pPr>
      <w:bookmarkStart w:id="113" w:name="_bookmark36"/>
      <w:bookmarkEnd w:id="113"/>
      <w:r>
        <w:rPr>
          <w:position w:val="7"/>
          <w:sz w:val="14"/>
        </w:rPr>
        <w:t>25</w:t>
      </w:r>
      <w:r>
        <w:rPr>
          <w:sz w:val="18"/>
        </w:rPr>
        <w:t>If the IPA firm did not provide an opinion on internal control over financial reporting, change this to “no material weaknesses</w:t>
      </w:r>
      <w:r>
        <w:rPr>
          <w:spacing w:val="-3"/>
          <w:sz w:val="18"/>
        </w:rPr>
        <w:t xml:space="preserve"> </w:t>
      </w:r>
      <w:r>
        <w:rPr>
          <w:sz w:val="18"/>
        </w:rPr>
        <w:t>in</w:t>
      </w:r>
      <w:r>
        <w:rPr>
          <w:spacing w:val="-2"/>
          <w:sz w:val="18"/>
        </w:rPr>
        <w:t xml:space="preserve"> </w:t>
      </w:r>
      <w:r>
        <w:rPr>
          <w:sz w:val="18"/>
        </w:rPr>
        <w:t>internal</w:t>
      </w:r>
      <w:r>
        <w:rPr>
          <w:spacing w:val="-3"/>
          <w:sz w:val="18"/>
        </w:rPr>
        <w:t xml:space="preserve"> </w:t>
      </w:r>
      <w:r>
        <w:rPr>
          <w:sz w:val="18"/>
        </w:rPr>
        <w:t>control</w:t>
      </w:r>
      <w:r>
        <w:rPr>
          <w:spacing w:val="-3"/>
          <w:sz w:val="18"/>
        </w:rPr>
        <w:t xml:space="preserve"> </w:t>
      </w:r>
      <w:r>
        <w:rPr>
          <w:sz w:val="18"/>
        </w:rPr>
        <w:t>over</w:t>
      </w:r>
      <w:r>
        <w:rPr>
          <w:spacing w:val="-3"/>
          <w:sz w:val="18"/>
        </w:rPr>
        <w:t xml:space="preserve"> </w:t>
      </w:r>
      <w:r>
        <w:rPr>
          <w:sz w:val="18"/>
        </w:rPr>
        <w:t>financial</w:t>
      </w:r>
      <w:r>
        <w:rPr>
          <w:spacing w:val="-3"/>
          <w:sz w:val="18"/>
        </w:rPr>
        <w:t xml:space="preserve"> </w:t>
      </w:r>
      <w:r>
        <w:rPr>
          <w:sz w:val="18"/>
        </w:rPr>
        <w:t>reporting”</w:t>
      </w:r>
      <w:r>
        <w:rPr>
          <w:spacing w:val="-3"/>
          <w:sz w:val="18"/>
        </w:rPr>
        <w:t xml:space="preserve"> </w:t>
      </w:r>
      <w:r>
        <w:rPr>
          <w:sz w:val="18"/>
        </w:rPr>
        <w:t>(and</w:t>
      </w:r>
      <w:r>
        <w:rPr>
          <w:spacing w:val="-2"/>
          <w:sz w:val="18"/>
        </w:rPr>
        <w:t xml:space="preserve"> </w:t>
      </w:r>
      <w:r>
        <w:rPr>
          <w:sz w:val="18"/>
        </w:rPr>
        <w:t>include</w:t>
      </w:r>
      <w:r>
        <w:rPr>
          <w:spacing w:val="-4"/>
          <w:sz w:val="18"/>
        </w:rPr>
        <w:t xml:space="preserve"> </w:t>
      </w:r>
      <w:r>
        <w:rPr>
          <w:sz w:val="18"/>
        </w:rPr>
        <w:t>a</w:t>
      </w:r>
      <w:r>
        <w:rPr>
          <w:spacing w:val="-4"/>
          <w:sz w:val="18"/>
        </w:rPr>
        <w:t xml:space="preserve"> </w:t>
      </w:r>
      <w:r>
        <w:rPr>
          <w:sz w:val="18"/>
        </w:rPr>
        <w:t>definition</w:t>
      </w:r>
      <w:r>
        <w:rPr>
          <w:spacing w:val="-4"/>
          <w:sz w:val="18"/>
        </w:rPr>
        <w:t xml:space="preserve"> </w:t>
      </w:r>
      <w:r>
        <w:rPr>
          <w:sz w:val="18"/>
        </w:rPr>
        <w:t>of</w:t>
      </w:r>
      <w:r>
        <w:rPr>
          <w:spacing w:val="-3"/>
          <w:sz w:val="18"/>
        </w:rPr>
        <w:t xml:space="preserve"> </w:t>
      </w:r>
      <w:r>
        <w:rPr>
          <w:sz w:val="18"/>
        </w:rPr>
        <w:t>material</w:t>
      </w:r>
      <w:r>
        <w:rPr>
          <w:spacing w:val="-2"/>
          <w:sz w:val="18"/>
        </w:rPr>
        <w:t xml:space="preserve"> </w:t>
      </w:r>
      <w:r>
        <w:rPr>
          <w:sz w:val="18"/>
        </w:rPr>
        <w:t>weakness</w:t>
      </w:r>
      <w:r>
        <w:rPr>
          <w:spacing w:val="-3"/>
          <w:sz w:val="18"/>
        </w:rPr>
        <w:t xml:space="preserve"> </w:t>
      </w:r>
      <w:r>
        <w:rPr>
          <w:sz w:val="18"/>
        </w:rPr>
        <w:t>in</w:t>
      </w:r>
      <w:r>
        <w:rPr>
          <w:spacing w:val="-4"/>
          <w:sz w:val="18"/>
        </w:rPr>
        <w:t xml:space="preserve"> </w:t>
      </w:r>
      <w:r>
        <w:rPr>
          <w:sz w:val="18"/>
        </w:rPr>
        <w:t>a</w:t>
      </w:r>
      <w:r>
        <w:rPr>
          <w:spacing w:val="-2"/>
          <w:sz w:val="18"/>
        </w:rPr>
        <w:t xml:space="preserve"> </w:t>
      </w:r>
      <w:r>
        <w:rPr>
          <w:sz w:val="18"/>
        </w:rPr>
        <w:t>footnote).</w:t>
      </w:r>
    </w:p>
    <w:p w14:paraId="0DFDB11D" w14:textId="77777777" w:rsidR="00046465" w:rsidRDefault="008134EB">
      <w:pPr>
        <w:spacing w:before="116" w:line="244" w:lineRule="auto"/>
        <w:ind w:left="359" w:right="749"/>
        <w:rPr>
          <w:sz w:val="18"/>
        </w:rPr>
      </w:pPr>
      <w:bookmarkStart w:id="114" w:name="_bookmark37"/>
      <w:bookmarkEnd w:id="114"/>
      <w:r>
        <w:rPr>
          <w:position w:val="7"/>
          <w:sz w:val="14"/>
        </w:rPr>
        <w:t>26</w:t>
      </w:r>
      <w:r>
        <w:rPr>
          <w:sz w:val="18"/>
        </w:rPr>
        <w:t>If the IPA firm did not provide an opinion (i.e., did not give positive assurance) on whether the entity’s systems complied</w:t>
      </w:r>
      <w:r>
        <w:rPr>
          <w:spacing w:val="-4"/>
          <w:sz w:val="18"/>
        </w:rPr>
        <w:t xml:space="preserve"> </w:t>
      </w:r>
      <w:r>
        <w:rPr>
          <w:sz w:val="18"/>
        </w:rPr>
        <w:t>substantially</w:t>
      </w:r>
      <w:r>
        <w:rPr>
          <w:spacing w:val="-3"/>
          <w:sz w:val="18"/>
        </w:rPr>
        <w:t xml:space="preserve"> </w:t>
      </w:r>
      <w:r>
        <w:rPr>
          <w:sz w:val="18"/>
        </w:rPr>
        <w:t>with</w:t>
      </w:r>
      <w:r>
        <w:rPr>
          <w:spacing w:val="-4"/>
          <w:sz w:val="18"/>
        </w:rPr>
        <w:t xml:space="preserve"> </w:t>
      </w:r>
      <w:r>
        <w:rPr>
          <w:sz w:val="18"/>
        </w:rPr>
        <w:t>the</w:t>
      </w:r>
      <w:r>
        <w:rPr>
          <w:spacing w:val="-4"/>
          <w:sz w:val="18"/>
        </w:rPr>
        <w:t xml:space="preserve"> </w:t>
      </w:r>
      <w:r>
        <w:rPr>
          <w:sz w:val="18"/>
        </w:rPr>
        <w:t>three</w:t>
      </w:r>
      <w:r>
        <w:rPr>
          <w:spacing w:val="-4"/>
          <w:sz w:val="18"/>
        </w:rPr>
        <w:t xml:space="preserve"> </w:t>
      </w:r>
      <w:r>
        <w:rPr>
          <w:sz w:val="18"/>
        </w:rPr>
        <w:t>FFMIA</w:t>
      </w:r>
      <w:r>
        <w:rPr>
          <w:spacing w:val="-4"/>
          <w:sz w:val="18"/>
        </w:rPr>
        <w:t xml:space="preserve"> </w:t>
      </w:r>
      <w:r>
        <w:rPr>
          <w:sz w:val="18"/>
        </w:rPr>
        <w:t>requirements,</w:t>
      </w:r>
      <w:r>
        <w:rPr>
          <w:spacing w:val="-3"/>
          <w:sz w:val="18"/>
        </w:rPr>
        <w:t xml:space="preserve"> </w:t>
      </w:r>
      <w:r>
        <w:rPr>
          <w:sz w:val="18"/>
        </w:rPr>
        <w:t>change</w:t>
      </w:r>
      <w:r>
        <w:rPr>
          <w:spacing w:val="-4"/>
          <w:sz w:val="18"/>
        </w:rPr>
        <w:t xml:space="preserve"> </w:t>
      </w:r>
      <w:r>
        <w:rPr>
          <w:sz w:val="18"/>
        </w:rPr>
        <w:t>this</w:t>
      </w:r>
      <w:r>
        <w:rPr>
          <w:spacing w:val="-3"/>
          <w:sz w:val="18"/>
        </w:rPr>
        <w:t xml:space="preserve"> </w:t>
      </w:r>
      <w:r>
        <w:rPr>
          <w:sz w:val="18"/>
        </w:rPr>
        <w:t>to</w:t>
      </w:r>
      <w:r>
        <w:rPr>
          <w:spacing w:val="-2"/>
          <w:sz w:val="18"/>
        </w:rPr>
        <w:t xml:space="preserve"> </w:t>
      </w:r>
      <w:r>
        <w:rPr>
          <w:sz w:val="18"/>
        </w:rPr>
        <w:t>“no</w:t>
      </w:r>
      <w:r>
        <w:rPr>
          <w:spacing w:val="-4"/>
          <w:sz w:val="18"/>
        </w:rPr>
        <w:t xml:space="preserve"> </w:t>
      </w:r>
      <w:r>
        <w:rPr>
          <w:sz w:val="18"/>
        </w:rPr>
        <w:t>instances</w:t>
      </w:r>
      <w:r>
        <w:rPr>
          <w:spacing w:val="-3"/>
          <w:sz w:val="18"/>
        </w:rPr>
        <w:t xml:space="preserve"> </w:t>
      </w:r>
      <w:r>
        <w:rPr>
          <w:sz w:val="18"/>
        </w:rPr>
        <w:t>in</w:t>
      </w:r>
      <w:r>
        <w:rPr>
          <w:spacing w:val="-4"/>
          <w:sz w:val="18"/>
        </w:rPr>
        <w:t xml:space="preserve"> </w:t>
      </w:r>
      <w:r>
        <w:rPr>
          <w:sz w:val="18"/>
        </w:rPr>
        <w:t>which</w:t>
      </w:r>
      <w:r>
        <w:rPr>
          <w:spacing w:val="-4"/>
          <w:sz w:val="18"/>
        </w:rPr>
        <w:t xml:space="preserve"> </w:t>
      </w:r>
      <w:r>
        <w:rPr>
          <w:b/>
          <w:sz w:val="18"/>
        </w:rPr>
        <w:t>[entity’s]</w:t>
      </w:r>
      <w:r>
        <w:rPr>
          <w:b/>
          <w:spacing w:val="-2"/>
          <w:sz w:val="18"/>
        </w:rPr>
        <w:t xml:space="preserve"> </w:t>
      </w:r>
      <w:r>
        <w:rPr>
          <w:sz w:val="18"/>
        </w:rPr>
        <w:t>financial management systems did not comply substantially with the requirements of FFMIA” (negative assurance).</w:t>
      </w:r>
    </w:p>
    <w:p w14:paraId="0DFDB11E" w14:textId="77777777" w:rsidR="00046465" w:rsidRDefault="00046465">
      <w:pPr>
        <w:spacing w:line="244" w:lineRule="auto"/>
        <w:rPr>
          <w:sz w:val="18"/>
        </w:rPr>
        <w:sectPr w:rsidR="00046465">
          <w:pgSz w:w="12240" w:h="15840"/>
          <w:pgMar w:top="1600" w:right="720" w:bottom="940" w:left="1080" w:header="721" w:footer="757" w:gutter="0"/>
          <w:cols w:space="720"/>
        </w:sectPr>
      </w:pPr>
    </w:p>
    <w:p w14:paraId="0DFDB11F" w14:textId="77777777" w:rsidR="00046465" w:rsidRDefault="008134EB">
      <w:pPr>
        <w:pStyle w:val="BodyText"/>
        <w:spacing w:before="121"/>
        <w:ind w:left="359" w:right="749"/>
        <w:rPr>
          <w:position w:val="7"/>
          <w:sz w:val="14"/>
        </w:rPr>
      </w:pPr>
      <w:r>
        <w:lastRenderedPageBreak/>
        <w:t>statements</w:t>
      </w:r>
      <w:r>
        <w:rPr>
          <w:spacing w:val="-4"/>
        </w:rPr>
        <w:t xml:space="preserve"> </w:t>
      </w:r>
      <w:r>
        <w:t>in</w:t>
      </w:r>
      <w:r>
        <w:rPr>
          <w:spacing w:val="-4"/>
        </w:rPr>
        <w:t xml:space="preserve"> </w:t>
      </w:r>
      <w:r>
        <w:t>accordance</w:t>
      </w:r>
      <w:r>
        <w:rPr>
          <w:spacing w:val="-4"/>
        </w:rPr>
        <w:t xml:space="preserve"> </w:t>
      </w:r>
      <w:r>
        <w:t>with</w:t>
      </w:r>
      <w:r>
        <w:rPr>
          <w:spacing w:val="-4"/>
        </w:rPr>
        <w:t xml:space="preserve"> </w:t>
      </w:r>
      <w:r>
        <w:t>U.S.</w:t>
      </w:r>
      <w:r>
        <w:rPr>
          <w:spacing w:val="-4"/>
        </w:rPr>
        <w:t xml:space="preserve"> </w:t>
      </w:r>
      <w:r>
        <w:t>generally</w:t>
      </w:r>
      <w:r>
        <w:rPr>
          <w:spacing w:val="-4"/>
        </w:rPr>
        <w:t xml:space="preserve"> </w:t>
      </w:r>
      <w:r>
        <w:t>accepted</w:t>
      </w:r>
      <w:r>
        <w:rPr>
          <w:spacing w:val="-4"/>
        </w:rPr>
        <w:t xml:space="preserve"> </w:t>
      </w:r>
      <w:r>
        <w:t>government</w:t>
      </w:r>
      <w:r>
        <w:rPr>
          <w:spacing w:val="-4"/>
        </w:rPr>
        <w:t xml:space="preserve"> </w:t>
      </w:r>
      <w:r>
        <w:t>auditing</w:t>
      </w:r>
      <w:r>
        <w:rPr>
          <w:spacing w:val="-4"/>
        </w:rPr>
        <w:t xml:space="preserve"> </w:t>
      </w:r>
      <w:r>
        <w:t>standards,</w:t>
      </w:r>
      <w:r>
        <w:rPr>
          <w:spacing w:val="-4"/>
        </w:rPr>
        <w:t xml:space="preserve"> </w:t>
      </w:r>
      <w:r>
        <w:t>was</w:t>
      </w:r>
      <w:r>
        <w:rPr>
          <w:spacing w:val="-4"/>
        </w:rPr>
        <w:t xml:space="preserve"> </w:t>
      </w:r>
      <w:r>
        <w:t xml:space="preserve">not intended to enable us to express, and we do not express, opinions on </w:t>
      </w:r>
      <w:r>
        <w:rPr>
          <w:b/>
        </w:rPr>
        <w:t xml:space="preserve">[entity’s] </w:t>
      </w:r>
      <w:r>
        <w:t>financial statements, internal control over financial reporting,</w:t>
      </w:r>
      <w:hyperlink w:anchor="_bookmark38" w:history="1">
        <w:r>
          <w:rPr>
            <w:position w:val="7"/>
            <w:sz w:val="14"/>
          </w:rPr>
          <w:t>27</w:t>
        </w:r>
      </w:hyperlink>
      <w:r>
        <w:rPr>
          <w:spacing w:val="37"/>
          <w:position w:val="7"/>
          <w:sz w:val="14"/>
        </w:rPr>
        <w:t xml:space="preserve"> </w:t>
      </w:r>
      <w:r>
        <w:t xml:space="preserve">or whether </w:t>
      </w:r>
      <w:r>
        <w:rPr>
          <w:b/>
        </w:rPr>
        <w:t xml:space="preserve">[entity’s] </w:t>
      </w:r>
      <w:r>
        <w:t>financial management systems complied substantially with the three FFMIA requirements,</w:t>
      </w:r>
      <w:hyperlink w:anchor="_bookmark39" w:history="1">
        <w:r>
          <w:rPr>
            <w:position w:val="7"/>
            <w:sz w:val="14"/>
          </w:rPr>
          <w:t>28</w:t>
        </w:r>
      </w:hyperlink>
      <w:r>
        <w:rPr>
          <w:spacing w:val="37"/>
          <w:position w:val="7"/>
          <w:sz w:val="14"/>
        </w:rPr>
        <w:t xml:space="preserve"> </w:t>
      </w:r>
      <w:r>
        <w:t xml:space="preserve">or conclusions on compliance. </w:t>
      </w:r>
      <w:r>
        <w:rPr>
          <w:b/>
        </w:rPr>
        <w:t xml:space="preserve">[IPA firm] </w:t>
      </w:r>
      <w:r>
        <w:t xml:space="preserve">is responsible for the attached auditor’s report dated </w:t>
      </w:r>
      <w:r>
        <w:rPr>
          <w:b/>
        </w:rPr>
        <w:t xml:space="preserve">[date] </w:t>
      </w:r>
      <w:r>
        <w:t xml:space="preserve">and the conclusions expressed therein. However, our review disclosed no instances where </w:t>
      </w:r>
      <w:r>
        <w:rPr>
          <w:b/>
        </w:rPr>
        <w:t xml:space="preserve">[IPA firm] </w:t>
      </w:r>
      <w:r>
        <w:t>did not comply, in all material respects, with U.S. generally accepted government auditing standards.</w:t>
      </w:r>
      <w:hyperlink w:anchor="_bookmark40" w:history="1">
        <w:r>
          <w:rPr>
            <w:position w:val="7"/>
            <w:sz w:val="14"/>
          </w:rPr>
          <w:t>29</w:t>
        </w:r>
      </w:hyperlink>
    </w:p>
    <w:p w14:paraId="0DFDB120" w14:textId="77777777" w:rsidR="00046465" w:rsidRDefault="00046465">
      <w:pPr>
        <w:pStyle w:val="BodyText"/>
        <w:rPr>
          <w:sz w:val="20"/>
        </w:rPr>
      </w:pPr>
    </w:p>
    <w:p w14:paraId="0DFDB121" w14:textId="77777777" w:rsidR="00046465" w:rsidRDefault="00046465">
      <w:pPr>
        <w:pStyle w:val="BodyText"/>
        <w:rPr>
          <w:sz w:val="20"/>
        </w:rPr>
      </w:pPr>
    </w:p>
    <w:p w14:paraId="0DFDB122" w14:textId="77777777" w:rsidR="00046465" w:rsidRDefault="00046465">
      <w:pPr>
        <w:pStyle w:val="BodyText"/>
        <w:rPr>
          <w:sz w:val="20"/>
        </w:rPr>
      </w:pPr>
    </w:p>
    <w:p w14:paraId="0DFDB123" w14:textId="77777777" w:rsidR="00046465" w:rsidRDefault="00046465">
      <w:pPr>
        <w:pStyle w:val="BodyText"/>
        <w:rPr>
          <w:sz w:val="20"/>
        </w:rPr>
      </w:pPr>
    </w:p>
    <w:p w14:paraId="0DFDB124" w14:textId="77777777" w:rsidR="00046465" w:rsidRDefault="00046465">
      <w:pPr>
        <w:pStyle w:val="BodyText"/>
        <w:rPr>
          <w:sz w:val="20"/>
        </w:rPr>
      </w:pPr>
    </w:p>
    <w:p w14:paraId="0DFDB125" w14:textId="77777777" w:rsidR="00046465" w:rsidRDefault="00046465">
      <w:pPr>
        <w:pStyle w:val="BodyText"/>
        <w:rPr>
          <w:sz w:val="20"/>
        </w:rPr>
      </w:pPr>
    </w:p>
    <w:p w14:paraId="0DFDB126" w14:textId="77777777" w:rsidR="00046465" w:rsidRDefault="00046465">
      <w:pPr>
        <w:pStyle w:val="BodyText"/>
        <w:rPr>
          <w:sz w:val="20"/>
        </w:rPr>
      </w:pPr>
    </w:p>
    <w:p w14:paraId="0DFDB127" w14:textId="77777777" w:rsidR="00046465" w:rsidRDefault="00046465">
      <w:pPr>
        <w:pStyle w:val="BodyText"/>
        <w:rPr>
          <w:sz w:val="20"/>
        </w:rPr>
      </w:pPr>
    </w:p>
    <w:p w14:paraId="0DFDB128" w14:textId="77777777" w:rsidR="00046465" w:rsidRDefault="00046465">
      <w:pPr>
        <w:pStyle w:val="BodyText"/>
        <w:rPr>
          <w:sz w:val="20"/>
        </w:rPr>
      </w:pPr>
    </w:p>
    <w:p w14:paraId="0DFDB129" w14:textId="77777777" w:rsidR="00046465" w:rsidRDefault="00046465">
      <w:pPr>
        <w:pStyle w:val="BodyText"/>
        <w:rPr>
          <w:sz w:val="20"/>
        </w:rPr>
      </w:pPr>
    </w:p>
    <w:p w14:paraId="0DFDB12A" w14:textId="77777777" w:rsidR="00046465" w:rsidRDefault="00046465">
      <w:pPr>
        <w:pStyle w:val="BodyText"/>
        <w:rPr>
          <w:sz w:val="20"/>
        </w:rPr>
      </w:pPr>
    </w:p>
    <w:p w14:paraId="0DFDB12B" w14:textId="77777777" w:rsidR="00046465" w:rsidRDefault="00046465">
      <w:pPr>
        <w:pStyle w:val="BodyText"/>
        <w:rPr>
          <w:sz w:val="20"/>
        </w:rPr>
      </w:pPr>
    </w:p>
    <w:p w14:paraId="0DFDB12C" w14:textId="77777777" w:rsidR="00046465" w:rsidRDefault="00046465">
      <w:pPr>
        <w:pStyle w:val="BodyText"/>
        <w:rPr>
          <w:sz w:val="20"/>
        </w:rPr>
      </w:pPr>
    </w:p>
    <w:p w14:paraId="0DFDB12D" w14:textId="77777777" w:rsidR="00046465" w:rsidRDefault="00046465">
      <w:pPr>
        <w:pStyle w:val="BodyText"/>
        <w:rPr>
          <w:sz w:val="20"/>
        </w:rPr>
      </w:pPr>
    </w:p>
    <w:p w14:paraId="0DFDB12E" w14:textId="77777777" w:rsidR="00046465" w:rsidRDefault="00046465">
      <w:pPr>
        <w:pStyle w:val="BodyText"/>
        <w:rPr>
          <w:sz w:val="20"/>
        </w:rPr>
      </w:pPr>
    </w:p>
    <w:p w14:paraId="0DFDB12F" w14:textId="77777777" w:rsidR="00046465" w:rsidRDefault="00046465">
      <w:pPr>
        <w:pStyle w:val="BodyText"/>
        <w:rPr>
          <w:sz w:val="20"/>
        </w:rPr>
      </w:pPr>
    </w:p>
    <w:p w14:paraId="0DFDB130" w14:textId="77777777" w:rsidR="00046465" w:rsidRDefault="00046465">
      <w:pPr>
        <w:pStyle w:val="BodyText"/>
        <w:rPr>
          <w:sz w:val="20"/>
        </w:rPr>
      </w:pPr>
    </w:p>
    <w:p w14:paraId="0DFDB131" w14:textId="77777777" w:rsidR="00046465" w:rsidRDefault="00046465">
      <w:pPr>
        <w:pStyle w:val="BodyText"/>
        <w:rPr>
          <w:sz w:val="20"/>
        </w:rPr>
      </w:pPr>
    </w:p>
    <w:p w14:paraId="0DFDB132" w14:textId="77777777" w:rsidR="00046465" w:rsidRDefault="00046465">
      <w:pPr>
        <w:pStyle w:val="BodyText"/>
        <w:rPr>
          <w:sz w:val="20"/>
        </w:rPr>
      </w:pPr>
    </w:p>
    <w:p w14:paraId="0DFDB133" w14:textId="77777777" w:rsidR="00046465" w:rsidRDefault="00046465">
      <w:pPr>
        <w:pStyle w:val="BodyText"/>
        <w:rPr>
          <w:sz w:val="20"/>
        </w:rPr>
      </w:pPr>
    </w:p>
    <w:p w14:paraId="0DFDB134" w14:textId="77777777" w:rsidR="00046465" w:rsidRDefault="00046465">
      <w:pPr>
        <w:pStyle w:val="BodyText"/>
        <w:rPr>
          <w:sz w:val="20"/>
        </w:rPr>
      </w:pPr>
    </w:p>
    <w:p w14:paraId="0DFDB135" w14:textId="77777777" w:rsidR="00046465" w:rsidRDefault="00046465">
      <w:pPr>
        <w:pStyle w:val="BodyText"/>
        <w:rPr>
          <w:sz w:val="20"/>
        </w:rPr>
      </w:pPr>
    </w:p>
    <w:p w14:paraId="0DFDB136" w14:textId="77777777" w:rsidR="00046465" w:rsidRDefault="00046465">
      <w:pPr>
        <w:pStyle w:val="BodyText"/>
        <w:rPr>
          <w:sz w:val="20"/>
        </w:rPr>
      </w:pPr>
    </w:p>
    <w:p w14:paraId="0DFDB137" w14:textId="77777777" w:rsidR="00046465" w:rsidRDefault="00046465">
      <w:pPr>
        <w:pStyle w:val="BodyText"/>
        <w:rPr>
          <w:sz w:val="20"/>
        </w:rPr>
      </w:pPr>
    </w:p>
    <w:p w14:paraId="0DFDB138" w14:textId="77777777" w:rsidR="00046465" w:rsidRDefault="00046465">
      <w:pPr>
        <w:pStyle w:val="BodyText"/>
        <w:rPr>
          <w:sz w:val="20"/>
        </w:rPr>
      </w:pPr>
    </w:p>
    <w:p w14:paraId="0DFDB139" w14:textId="77777777" w:rsidR="00046465" w:rsidRDefault="00046465">
      <w:pPr>
        <w:pStyle w:val="BodyText"/>
        <w:rPr>
          <w:sz w:val="20"/>
        </w:rPr>
      </w:pPr>
    </w:p>
    <w:p w14:paraId="0DFDB13A" w14:textId="77777777" w:rsidR="00046465" w:rsidRDefault="00046465">
      <w:pPr>
        <w:pStyle w:val="BodyText"/>
        <w:rPr>
          <w:sz w:val="20"/>
        </w:rPr>
      </w:pPr>
    </w:p>
    <w:p w14:paraId="0DFDB13B" w14:textId="77777777" w:rsidR="00046465" w:rsidRDefault="00046465">
      <w:pPr>
        <w:pStyle w:val="BodyText"/>
        <w:rPr>
          <w:sz w:val="20"/>
        </w:rPr>
      </w:pPr>
    </w:p>
    <w:p w14:paraId="0DFDB13C" w14:textId="77777777" w:rsidR="00046465" w:rsidRDefault="00046465">
      <w:pPr>
        <w:pStyle w:val="BodyText"/>
        <w:rPr>
          <w:sz w:val="20"/>
        </w:rPr>
      </w:pPr>
    </w:p>
    <w:p w14:paraId="0DFDB13D" w14:textId="77777777" w:rsidR="00046465" w:rsidRDefault="00046465">
      <w:pPr>
        <w:pStyle w:val="BodyText"/>
        <w:rPr>
          <w:sz w:val="20"/>
        </w:rPr>
      </w:pPr>
    </w:p>
    <w:p w14:paraId="0DFDB13E" w14:textId="77777777" w:rsidR="00046465" w:rsidRDefault="00046465">
      <w:pPr>
        <w:pStyle w:val="BodyText"/>
        <w:rPr>
          <w:sz w:val="20"/>
        </w:rPr>
      </w:pPr>
    </w:p>
    <w:p w14:paraId="0DFDB13F" w14:textId="77777777" w:rsidR="00046465" w:rsidRDefault="00046465">
      <w:pPr>
        <w:pStyle w:val="BodyText"/>
        <w:rPr>
          <w:sz w:val="20"/>
        </w:rPr>
      </w:pPr>
    </w:p>
    <w:p w14:paraId="0DFDB140" w14:textId="77777777" w:rsidR="00046465" w:rsidRDefault="00046465">
      <w:pPr>
        <w:pStyle w:val="BodyText"/>
        <w:rPr>
          <w:sz w:val="20"/>
        </w:rPr>
      </w:pPr>
    </w:p>
    <w:p w14:paraId="0DFDB141" w14:textId="77777777" w:rsidR="00046465" w:rsidRDefault="00046465">
      <w:pPr>
        <w:pStyle w:val="BodyText"/>
        <w:rPr>
          <w:sz w:val="20"/>
        </w:rPr>
      </w:pPr>
    </w:p>
    <w:p w14:paraId="0DFDB142" w14:textId="77777777" w:rsidR="00046465" w:rsidRDefault="00046465">
      <w:pPr>
        <w:pStyle w:val="BodyText"/>
        <w:rPr>
          <w:sz w:val="20"/>
        </w:rPr>
      </w:pPr>
    </w:p>
    <w:p w14:paraId="0DFDB143" w14:textId="77777777" w:rsidR="00046465" w:rsidRDefault="00046465">
      <w:pPr>
        <w:pStyle w:val="BodyText"/>
        <w:rPr>
          <w:sz w:val="20"/>
        </w:rPr>
      </w:pPr>
    </w:p>
    <w:p w14:paraId="0DFDB144" w14:textId="77777777" w:rsidR="00046465" w:rsidRDefault="00046465">
      <w:pPr>
        <w:pStyle w:val="BodyText"/>
        <w:rPr>
          <w:sz w:val="20"/>
        </w:rPr>
      </w:pPr>
    </w:p>
    <w:p w14:paraId="0DFDB145" w14:textId="77777777" w:rsidR="00046465" w:rsidRDefault="00046465">
      <w:pPr>
        <w:pStyle w:val="BodyText"/>
        <w:rPr>
          <w:sz w:val="20"/>
        </w:rPr>
      </w:pPr>
    </w:p>
    <w:p w14:paraId="0DFDB146" w14:textId="77777777" w:rsidR="00046465" w:rsidRDefault="008134EB">
      <w:pPr>
        <w:pStyle w:val="BodyText"/>
        <w:spacing w:before="198"/>
        <w:rPr>
          <w:sz w:val="20"/>
        </w:rPr>
      </w:pPr>
      <w:r>
        <w:rPr>
          <w:noProof/>
          <w:sz w:val="20"/>
        </w:rPr>
        <mc:AlternateContent>
          <mc:Choice Requires="wps">
            <w:drawing>
              <wp:anchor distT="0" distB="0" distL="0" distR="0" simplePos="0" relativeHeight="487613440" behindDoc="1" locked="0" layoutInCell="1" allowOverlap="1" wp14:anchorId="0DFDD577" wp14:editId="0DFDD578">
                <wp:simplePos x="0" y="0"/>
                <wp:positionH relativeFrom="page">
                  <wp:posOffset>914400</wp:posOffset>
                </wp:positionH>
                <wp:positionV relativeFrom="paragraph">
                  <wp:posOffset>287219</wp:posOffset>
                </wp:positionV>
                <wp:extent cx="1828800" cy="5715"/>
                <wp:effectExtent l="0" t="0" r="0" b="0"/>
                <wp:wrapTopAndBottom/>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A74B2B" id="Graphic 275" o:spid="_x0000_s1026" style="position:absolute;margin-left:1in;margin-top:22.6pt;width:2in;height:.45pt;z-index:-1570304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" path="m1828800,l,,,5333r1828800,l1828800,xe" fillcolor="black" stroked="f">
                <v:path arrowok="t"/>
                <w10:wrap type="topAndBottom" anchorx="page"/>
              </v:shape>
            </w:pict>
          </mc:Fallback>
        </mc:AlternateContent>
      </w:r>
    </w:p>
    <w:p w14:paraId="0DFDB147" w14:textId="77777777" w:rsidR="00046465" w:rsidRDefault="008134EB">
      <w:pPr>
        <w:spacing w:before="200" w:line="249" w:lineRule="auto"/>
        <w:ind w:left="359" w:right="749"/>
        <w:rPr>
          <w:sz w:val="18"/>
        </w:rPr>
      </w:pPr>
      <w:bookmarkStart w:id="115" w:name="_bookmark38"/>
      <w:bookmarkEnd w:id="115"/>
      <w:r>
        <w:rPr>
          <w:position w:val="7"/>
          <w:sz w:val="14"/>
        </w:rPr>
        <w:t>27</w:t>
      </w:r>
      <w:r>
        <w:rPr>
          <w:sz w:val="18"/>
        </w:rPr>
        <w:t>If</w:t>
      </w:r>
      <w:r>
        <w:rPr>
          <w:spacing w:val="-2"/>
          <w:sz w:val="18"/>
        </w:rPr>
        <w:t xml:space="preserve"> </w:t>
      </w:r>
      <w:r>
        <w:rPr>
          <w:sz w:val="18"/>
        </w:rPr>
        <w:t>the</w:t>
      </w:r>
      <w:r>
        <w:rPr>
          <w:spacing w:val="-3"/>
          <w:sz w:val="18"/>
        </w:rPr>
        <w:t xml:space="preserve"> </w:t>
      </w:r>
      <w:r>
        <w:rPr>
          <w:sz w:val="18"/>
        </w:rPr>
        <w:t>IPA</w:t>
      </w:r>
      <w:r>
        <w:rPr>
          <w:spacing w:val="-3"/>
          <w:sz w:val="18"/>
        </w:rPr>
        <w:t xml:space="preserve"> </w:t>
      </w:r>
      <w:r>
        <w:rPr>
          <w:sz w:val="18"/>
        </w:rPr>
        <w:t>firm</w:t>
      </w:r>
      <w:r>
        <w:rPr>
          <w:spacing w:val="-3"/>
          <w:sz w:val="18"/>
        </w:rPr>
        <w:t xml:space="preserve"> </w:t>
      </w:r>
      <w:r>
        <w:rPr>
          <w:sz w:val="18"/>
        </w:rPr>
        <w:t>did</w:t>
      </w:r>
      <w:r>
        <w:rPr>
          <w:spacing w:val="-3"/>
          <w:sz w:val="18"/>
        </w:rPr>
        <w:t xml:space="preserve"> </w:t>
      </w:r>
      <w:r>
        <w:rPr>
          <w:sz w:val="18"/>
        </w:rPr>
        <w:t>not</w:t>
      </w:r>
      <w:r>
        <w:rPr>
          <w:spacing w:val="-2"/>
          <w:sz w:val="18"/>
        </w:rPr>
        <w:t xml:space="preserve"> </w:t>
      </w:r>
      <w:r>
        <w:rPr>
          <w:sz w:val="18"/>
        </w:rPr>
        <w:t>provide</w:t>
      </w:r>
      <w:r>
        <w:rPr>
          <w:spacing w:val="-1"/>
          <w:sz w:val="18"/>
        </w:rPr>
        <w:t xml:space="preserve"> </w:t>
      </w:r>
      <w:r>
        <w:rPr>
          <w:sz w:val="18"/>
        </w:rPr>
        <w:t>an</w:t>
      </w:r>
      <w:r>
        <w:rPr>
          <w:spacing w:val="-3"/>
          <w:sz w:val="18"/>
        </w:rPr>
        <w:t xml:space="preserve"> </w:t>
      </w:r>
      <w:r>
        <w:rPr>
          <w:sz w:val="18"/>
        </w:rPr>
        <w:t>opinion</w:t>
      </w:r>
      <w:r>
        <w:rPr>
          <w:spacing w:val="-3"/>
          <w:sz w:val="18"/>
        </w:rPr>
        <w:t xml:space="preserve"> </w:t>
      </w:r>
      <w:r>
        <w:rPr>
          <w:sz w:val="18"/>
        </w:rPr>
        <w:t>on</w:t>
      </w:r>
      <w:r>
        <w:rPr>
          <w:spacing w:val="-3"/>
          <w:sz w:val="18"/>
        </w:rPr>
        <w:t xml:space="preserve"> </w:t>
      </w:r>
      <w:r>
        <w:rPr>
          <w:sz w:val="18"/>
        </w:rPr>
        <w:t>internal</w:t>
      </w:r>
      <w:r>
        <w:rPr>
          <w:spacing w:val="-2"/>
          <w:sz w:val="18"/>
        </w:rPr>
        <w:t xml:space="preserve"> </w:t>
      </w:r>
      <w:r>
        <w:rPr>
          <w:sz w:val="18"/>
        </w:rPr>
        <w:t>control</w:t>
      </w:r>
      <w:r>
        <w:rPr>
          <w:spacing w:val="-1"/>
          <w:sz w:val="18"/>
        </w:rPr>
        <w:t xml:space="preserve"> </w:t>
      </w:r>
      <w:r>
        <w:rPr>
          <w:sz w:val="18"/>
        </w:rPr>
        <w:t>over</w:t>
      </w:r>
      <w:r>
        <w:rPr>
          <w:spacing w:val="-2"/>
          <w:sz w:val="18"/>
        </w:rPr>
        <w:t xml:space="preserve"> </w:t>
      </w:r>
      <w:r>
        <w:rPr>
          <w:sz w:val="18"/>
        </w:rPr>
        <w:t>financial</w:t>
      </w:r>
      <w:r>
        <w:rPr>
          <w:spacing w:val="-2"/>
          <w:sz w:val="18"/>
        </w:rPr>
        <w:t xml:space="preserve"> </w:t>
      </w:r>
      <w:r>
        <w:rPr>
          <w:sz w:val="18"/>
        </w:rPr>
        <w:t>reporting,</w:t>
      </w:r>
      <w:r>
        <w:rPr>
          <w:spacing w:val="-2"/>
          <w:sz w:val="18"/>
        </w:rPr>
        <w:t xml:space="preserve"> </w:t>
      </w:r>
      <w:r>
        <w:rPr>
          <w:sz w:val="18"/>
        </w:rPr>
        <w:t>change</w:t>
      </w:r>
      <w:r>
        <w:rPr>
          <w:spacing w:val="-3"/>
          <w:sz w:val="18"/>
        </w:rPr>
        <w:t xml:space="preserve"> </w:t>
      </w:r>
      <w:r>
        <w:rPr>
          <w:sz w:val="18"/>
        </w:rPr>
        <w:t>this</w:t>
      </w:r>
      <w:r>
        <w:rPr>
          <w:spacing w:val="-2"/>
          <w:sz w:val="18"/>
        </w:rPr>
        <w:t xml:space="preserve"> </w:t>
      </w:r>
      <w:r>
        <w:rPr>
          <w:sz w:val="18"/>
        </w:rPr>
        <w:t>to</w:t>
      </w:r>
      <w:r>
        <w:rPr>
          <w:spacing w:val="-3"/>
          <w:sz w:val="18"/>
        </w:rPr>
        <w:t xml:space="preserve"> </w:t>
      </w:r>
      <w:r>
        <w:rPr>
          <w:sz w:val="18"/>
        </w:rPr>
        <w:t>“conclusions about the effectiveness of internal control over financial reporting.”</w:t>
      </w:r>
    </w:p>
    <w:p w14:paraId="0DFDB148" w14:textId="77777777" w:rsidR="00046465" w:rsidRDefault="008134EB">
      <w:pPr>
        <w:spacing w:before="118"/>
        <w:ind w:left="360"/>
        <w:rPr>
          <w:sz w:val="18"/>
        </w:rPr>
      </w:pPr>
      <w:bookmarkStart w:id="116" w:name="_bookmark39"/>
      <w:bookmarkEnd w:id="116"/>
      <w:r>
        <w:rPr>
          <w:position w:val="7"/>
          <w:sz w:val="14"/>
        </w:rPr>
        <w:t>28</w:t>
      </w:r>
      <w:r>
        <w:rPr>
          <w:sz w:val="18"/>
        </w:rPr>
        <w:t>If</w:t>
      </w:r>
      <w:r>
        <w:rPr>
          <w:spacing w:val="-4"/>
          <w:sz w:val="18"/>
        </w:rPr>
        <w:t xml:space="preserve"> </w:t>
      </w:r>
      <w:r>
        <w:rPr>
          <w:sz w:val="18"/>
        </w:rPr>
        <w:t>the</w:t>
      </w:r>
      <w:r>
        <w:rPr>
          <w:spacing w:val="-3"/>
          <w:sz w:val="18"/>
        </w:rPr>
        <w:t xml:space="preserve"> </w:t>
      </w:r>
      <w:r>
        <w:rPr>
          <w:sz w:val="18"/>
        </w:rPr>
        <w:t>IPA</w:t>
      </w:r>
      <w:r>
        <w:rPr>
          <w:spacing w:val="-3"/>
          <w:sz w:val="18"/>
        </w:rPr>
        <w:t xml:space="preserve"> </w:t>
      </w:r>
      <w:r>
        <w:rPr>
          <w:sz w:val="18"/>
        </w:rPr>
        <w:t>firm</w:t>
      </w:r>
      <w:r>
        <w:rPr>
          <w:spacing w:val="-3"/>
          <w:sz w:val="18"/>
        </w:rPr>
        <w:t xml:space="preserve"> </w:t>
      </w:r>
      <w:r>
        <w:rPr>
          <w:sz w:val="18"/>
        </w:rPr>
        <w:t>did</w:t>
      </w:r>
      <w:r>
        <w:rPr>
          <w:spacing w:val="-3"/>
          <w:sz w:val="18"/>
        </w:rPr>
        <w:t xml:space="preserve"> </w:t>
      </w:r>
      <w:r>
        <w:rPr>
          <w:sz w:val="18"/>
        </w:rPr>
        <w:t>not</w:t>
      </w:r>
      <w:r>
        <w:rPr>
          <w:spacing w:val="-2"/>
          <w:sz w:val="18"/>
        </w:rPr>
        <w:t xml:space="preserve"> </w:t>
      </w:r>
      <w:r>
        <w:rPr>
          <w:sz w:val="18"/>
        </w:rPr>
        <w:t>provide</w:t>
      </w:r>
      <w:r>
        <w:rPr>
          <w:spacing w:val="-1"/>
          <w:sz w:val="18"/>
        </w:rPr>
        <w:t xml:space="preserve"> </w:t>
      </w:r>
      <w:r>
        <w:rPr>
          <w:sz w:val="18"/>
        </w:rPr>
        <w:t>an</w:t>
      </w:r>
      <w:r>
        <w:rPr>
          <w:spacing w:val="-2"/>
          <w:sz w:val="18"/>
        </w:rPr>
        <w:t xml:space="preserve"> </w:t>
      </w:r>
      <w:r>
        <w:rPr>
          <w:sz w:val="18"/>
        </w:rPr>
        <w:t>opinion</w:t>
      </w:r>
      <w:r>
        <w:rPr>
          <w:spacing w:val="-3"/>
          <w:sz w:val="18"/>
        </w:rPr>
        <w:t xml:space="preserve"> </w:t>
      </w:r>
      <w:r>
        <w:rPr>
          <w:sz w:val="18"/>
        </w:rPr>
        <w:t>on</w:t>
      </w:r>
      <w:r>
        <w:rPr>
          <w:spacing w:val="-1"/>
          <w:sz w:val="18"/>
        </w:rPr>
        <w:t xml:space="preserve"> </w:t>
      </w:r>
      <w:r>
        <w:rPr>
          <w:sz w:val="18"/>
        </w:rPr>
        <w:t>FFMIA,</w:t>
      </w:r>
      <w:r>
        <w:rPr>
          <w:spacing w:val="-3"/>
          <w:sz w:val="18"/>
        </w:rPr>
        <w:t xml:space="preserve"> </w:t>
      </w:r>
      <w:r>
        <w:rPr>
          <w:sz w:val="18"/>
        </w:rPr>
        <w:t>change</w:t>
      </w:r>
      <w:r>
        <w:rPr>
          <w:spacing w:val="-3"/>
          <w:sz w:val="18"/>
        </w:rPr>
        <w:t xml:space="preserve"> </w:t>
      </w:r>
      <w:r>
        <w:rPr>
          <w:sz w:val="18"/>
        </w:rPr>
        <w:t>“opinion”</w:t>
      </w:r>
      <w:r>
        <w:rPr>
          <w:spacing w:val="-2"/>
          <w:sz w:val="18"/>
        </w:rPr>
        <w:t xml:space="preserve"> </w:t>
      </w:r>
      <w:r>
        <w:rPr>
          <w:sz w:val="18"/>
        </w:rPr>
        <w:t>to</w:t>
      </w:r>
      <w:r>
        <w:rPr>
          <w:spacing w:val="-2"/>
          <w:sz w:val="18"/>
        </w:rPr>
        <w:t xml:space="preserve"> “conclusions.”</w:t>
      </w:r>
    </w:p>
    <w:p w14:paraId="0DFDB149" w14:textId="77777777" w:rsidR="00046465" w:rsidRDefault="008134EB">
      <w:pPr>
        <w:spacing w:before="134" w:line="249" w:lineRule="auto"/>
        <w:ind w:left="359" w:right="749"/>
        <w:rPr>
          <w:sz w:val="18"/>
        </w:rPr>
      </w:pPr>
      <w:bookmarkStart w:id="117" w:name="_bookmark40"/>
      <w:bookmarkEnd w:id="117"/>
      <w:r>
        <w:rPr>
          <w:position w:val="7"/>
          <w:sz w:val="14"/>
        </w:rPr>
        <w:t>29</w:t>
      </w:r>
      <w:r>
        <w:rPr>
          <w:sz w:val="18"/>
        </w:rPr>
        <w:t>If</w:t>
      </w:r>
      <w:r>
        <w:rPr>
          <w:spacing w:val="-2"/>
          <w:sz w:val="18"/>
        </w:rPr>
        <w:t xml:space="preserve"> </w:t>
      </w:r>
      <w:r>
        <w:rPr>
          <w:sz w:val="18"/>
        </w:rPr>
        <w:t>the</w:t>
      </w:r>
      <w:r>
        <w:rPr>
          <w:spacing w:val="-3"/>
          <w:sz w:val="18"/>
        </w:rPr>
        <w:t xml:space="preserve"> </w:t>
      </w:r>
      <w:r>
        <w:rPr>
          <w:sz w:val="18"/>
        </w:rPr>
        <w:t>auditor</w:t>
      </w:r>
      <w:r>
        <w:rPr>
          <w:spacing w:val="-2"/>
          <w:sz w:val="18"/>
        </w:rPr>
        <w:t xml:space="preserve"> </w:t>
      </w:r>
      <w:r>
        <w:rPr>
          <w:sz w:val="18"/>
        </w:rPr>
        <w:t>found</w:t>
      </w:r>
      <w:r>
        <w:rPr>
          <w:spacing w:val="-3"/>
          <w:sz w:val="18"/>
        </w:rPr>
        <w:t xml:space="preserve"> </w:t>
      </w:r>
      <w:r>
        <w:rPr>
          <w:sz w:val="18"/>
        </w:rPr>
        <w:t>that</w:t>
      </w:r>
      <w:r>
        <w:rPr>
          <w:spacing w:val="-2"/>
          <w:sz w:val="18"/>
        </w:rPr>
        <w:t xml:space="preserve"> </w:t>
      </w:r>
      <w:r>
        <w:rPr>
          <w:sz w:val="18"/>
        </w:rPr>
        <w:t>the</w:t>
      </w:r>
      <w:r>
        <w:rPr>
          <w:spacing w:val="-3"/>
          <w:sz w:val="18"/>
        </w:rPr>
        <w:t xml:space="preserve"> </w:t>
      </w:r>
      <w:r>
        <w:rPr>
          <w:sz w:val="18"/>
        </w:rPr>
        <w:t>IPA</w:t>
      </w:r>
      <w:r>
        <w:rPr>
          <w:spacing w:val="-2"/>
          <w:sz w:val="18"/>
        </w:rPr>
        <w:t xml:space="preserve"> </w:t>
      </w:r>
      <w:r>
        <w:rPr>
          <w:sz w:val="18"/>
        </w:rPr>
        <w:t>firm</w:t>
      </w:r>
      <w:r>
        <w:rPr>
          <w:spacing w:val="-2"/>
          <w:sz w:val="18"/>
        </w:rPr>
        <w:t xml:space="preserve"> </w:t>
      </w:r>
      <w:r>
        <w:rPr>
          <w:sz w:val="18"/>
        </w:rPr>
        <w:t>did</w:t>
      </w:r>
      <w:r>
        <w:rPr>
          <w:spacing w:val="-3"/>
          <w:sz w:val="18"/>
        </w:rPr>
        <w:t xml:space="preserve"> </w:t>
      </w:r>
      <w:r>
        <w:rPr>
          <w:sz w:val="18"/>
        </w:rPr>
        <w:t>not</w:t>
      </w:r>
      <w:r>
        <w:rPr>
          <w:spacing w:val="-2"/>
          <w:sz w:val="18"/>
        </w:rPr>
        <w:t xml:space="preserve"> </w:t>
      </w:r>
      <w:r>
        <w:rPr>
          <w:sz w:val="18"/>
        </w:rPr>
        <w:t>comply</w:t>
      </w:r>
      <w:r>
        <w:rPr>
          <w:spacing w:val="-2"/>
          <w:sz w:val="18"/>
        </w:rPr>
        <w:t xml:space="preserve"> </w:t>
      </w:r>
      <w:r>
        <w:rPr>
          <w:sz w:val="18"/>
        </w:rPr>
        <w:t>with</w:t>
      </w:r>
      <w:r>
        <w:rPr>
          <w:spacing w:val="-3"/>
          <w:sz w:val="18"/>
        </w:rPr>
        <w:t xml:space="preserve"> </w:t>
      </w:r>
      <w:r>
        <w:rPr>
          <w:sz w:val="18"/>
        </w:rPr>
        <w:t>GAGAS,</w:t>
      </w:r>
      <w:r>
        <w:rPr>
          <w:spacing w:val="-2"/>
          <w:sz w:val="18"/>
        </w:rPr>
        <w:t xml:space="preserve"> </w:t>
      </w:r>
      <w:r>
        <w:rPr>
          <w:sz w:val="18"/>
        </w:rPr>
        <w:t>or</w:t>
      </w:r>
      <w:r>
        <w:rPr>
          <w:spacing w:val="-2"/>
          <w:sz w:val="18"/>
        </w:rPr>
        <w:t xml:space="preserve"> </w:t>
      </w:r>
      <w:r>
        <w:rPr>
          <w:sz w:val="18"/>
        </w:rPr>
        <w:t>if</w:t>
      </w:r>
      <w:r>
        <w:rPr>
          <w:spacing w:val="-3"/>
          <w:sz w:val="18"/>
        </w:rPr>
        <w:t xml:space="preserve"> </w:t>
      </w:r>
      <w:r>
        <w:rPr>
          <w:sz w:val="18"/>
        </w:rPr>
        <w:t>the</w:t>
      </w:r>
      <w:r>
        <w:rPr>
          <w:spacing w:val="-3"/>
          <w:sz w:val="18"/>
        </w:rPr>
        <w:t xml:space="preserve"> </w:t>
      </w:r>
      <w:r>
        <w:rPr>
          <w:sz w:val="18"/>
        </w:rPr>
        <w:t>auditor</w:t>
      </w:r>
      <w:r>
        <w:rPr>
          <w:spacing w:val="-2"/>
          <w:sz w:val="18"/>
        </w:rPr>
        <w:t xml:space="preserve"> </w:t>
      </w:r>
      <w:r>
        <w:rPr>
          <w:sz w:val="18"/>
        </w:rPr>
        <w:t>disagrees</w:t>
      </w:r>
      <w:r>
        <w:rPr>
          <w:spacing w:val="-2"/>
          <w:sz w:val="18"/>
        </w:rPr>
        <w:t xml:space="preserve"> </w:t>
      </w:r>
      <w:r>
        <w:rPr>
          <w:sz w:val="18"/>
        </w:rPr>
        <w:t>with</w:t>
      </w:r>
      <w:r>
        <w:rPr>
          <w:spacing w:val="-3"/>
          <w:sz w:val="18"/>
        </w:rPr>
        <w:t xml:space="preserve"> </w:t>
      </w:r>
      <w:r>
        <w:rPr>
          <w:sz w:val="18"/>
        </w:rPr>
        <w:t>the</w:t>
      </w:r>
      <w:r>
        <w:rPr>
          <w:spacing w:val="-3"/>
          <w:sz w:val="18"/>
        </w:rPr>
        <w:t xml:space="preserve"> </w:t>
      </w:r>
      <w:r>
        <w:rPr>
          <w:sz w:val="18"/>
        </w:rPr>
        <w:t>IPA</w:t>
      </w:r>
      <w:r>
        <w:rPr>
          <w:spacing w:val="-2"/>
          <w:sz w:val="18"/>
        </w:rPr>
        <w:t xml:space="preserve"> </w:t>
      </w:r>
      <w:r>
        <w:rPr>
          <w:sz w:val="18"/>
        </w:rPr>
        <w:t>firm’s conclusions, see FAM 670.15.</w:t>
      </w:r>
    </w:p>
    <w:p w14:paraId="0DFDB14A" w14:textId="77777777" w:rsidR="00046465" w:rsidRDefault="00046465">
      <w:pPr>
        <w:spacing w:line="249" w:lineRule="auto"/>
        <w:rPr>
          <w:sz w:val="18"/>
        </w:rPr>
        <w:sectPr w:rsidR="00046465">
          <w:pgSz w:w="12240" w:h="15840"/>
          <w:pgMar w:top="1600" w:right="720" w:bottom="940" w:left="1080" w:header="721" w:footer="757" w:gutter="0"/>
          <w:cols w:space="720"/>
        </w:sectPr>
      </w:pPr>
    </w:p>
    <w:p w14:paraId="0DFDB14B" w14:textId="77777777" w:rsidR="00046465" w:rsidRDefault="008134EB">
      <w:pPr>
        <w:spacing w:line="20" w:lineRule="exact"/>
        <w:ind w:left="330"/>
        <w:rPr>
          <w:sz w:val="2"/>
        </w:rPr>
      </w:pPr>
      <w:r>
        <w:rPr>
          <w:noProof/>
          <w:sz w:val="2"/>
        </w:rPr>
        <w:lastRenderedPageBreak/>
        <mc:AlternateContent>
          <mc:Choice Requires="wpg">
            <w:drawing>
              <wp:inline distT="0" distB="0" distL="0" distR="0" wp14:anchorId="0DFDD579" wp14:editId="0DFDD57A">
                <wp:extent cx="5982335" cy="6350"/>
                <wp:effectExtent l="0" t="0" r="0" b="0"/>
                <wp:docPr id="276"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2335" cy="6350"/>
                          <a:chOff x="0" y="0"/>
                          <a:chExt cx="5982335" cy="6350"/>
                        </a:xfrm>
                      </wpg:grpSpPr>
                      <wps:wsp>
                        <wps:cNvPr id="277" name="Graphic 277"/>
                        <wps:cNvSpPr/>
                        <wps:spPr>
                          <a:xfrm>
                            <a:off x="0" y="0"/>
                            <a:ext cx="5982335" cy="6350"/>
                          </a:xfrm>
                          <a:custGeom>
                            <a:avLst/>
                            <a:gdLst/>
                            <a:ahLst/>
                            <a:cxnLst/>
                            <a:rect l="l" t="t" r="r" b="b"/>
                            <a:pathLst>
                              <a:path w="5982335" h="6350">
                                <a:moveTo>
                                  <a:pt x="5981712" y="0"/>
                                </a:moveTo>
                                <a:lnTo>
                                  <a:pt x="0" y="0"/>
                                </a:lnTo>
                                <a:lnTo>
                                  <a:pt x="0" y="6108"/>
                                </a:lnTo>
                                <a:lnTo>
                                  <a:pt x="5981712" y="6108"/>
                                </a:lnTo>
                                <a:lnTo>
                                  <a:pt x="598171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5A34BC" id="Group 276" o:spid="_x0000_s1026" style="width:471.05pt;height:.5pt;mso-position-horizontal-relative:char;mso-position-vertical-relative:line" coordsize="5982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">
                <v:shape id="Graphic 277" o:spid="_x0000_s1027" style="position:absolute;width:59823;height:63;visibility:visible;mso-wrap-style:square;v-text-anchor:top" coordsize="59823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" path="m5981712,l,,,6108r5981712,l5981712,xe" fillcolor="black" stroked="f">
                  <v:path arrowok="t"/>
                </v:shape>
                <w10:anchorlock/>
              </v:group>
            </w:pict>
          </mc:Fallback>
        </mc:AlternateContent>
      </w:r>
    </w:p>
    <w:p w14:paraId="0DFDB14C" w14:textId="77777777" w:rsidR="00046465" w:rsidRDefault="00046465">
      <w:pPr>
        <w:pStyle w:val="BodyText"/>
        <w:spacing w:before="26"/>
        <w:rPr>
          <w:sz w:val="60"/>
        </w:rPr>
      </w:pPr>
    </w:p>
    <w:p w14:paraId="0DFDB14D" w14:textId="77777777" w:rsidR="00046465" w:rsidRDefault="008134EB">
      <w:pPr>
        <w:pStyle w:val="Heading1"/>
        <w:ind w:left="5859"/>
      </w:pPr>
      <w:bookmarkStart w:id="118" w:name="Section_700_-_FFMIA_and_AUP"/>
      <w:bookmarkEnd w:id="118"/>
      <w:r>
        <w:t>SECTION</w:t>
      </w:r>
      <w:r>
        <w:rPr>
          <w:spacing w:val="-4"/>
        </w:rPr>
        <w:t xml:space="preserve"> </w:t>
      </w:r>
      <w:r>
        <w:rPr>
          <w:spacing w:val="-5"/>
        </w:rPr>
        <w:t>700</w:t>
      </w:r>
    </w:p>
    <w:p w14:paraId="0DFDB14E" w14:textId="77777777" w:rsidR="00046465" w:rsidRDefault="00046465">
      <w:pPr>
        <w:pStyle w:val="BodyText"/>
        <w:rPr>
          <w:sz w:val="20"/>
        </w:rPr>
      </w:pPr>
    </w:p>
    <w:p w14:paraId="0DFDB14F" w14:textId="77777777" w:rsidR="00046465" w:rsidRDefault="008134EB">
      <w:pPr>
        <w:pStyle w:val="BodyText"/>
        <w:spacing w:before="120"/>
        <w:rPr>
          <w:sz w:val="20"/>
        </w:rPr>
      </w:pPr>
      <w:r>
        <w:rPr>
          <w:noProof/>
          <w:sz w:val="20"/>
        </w:rPr>
        <mc:AlternateContent>
          <mc:Choice Requires="wps">
            <w:drawing>
              <wp:anchor distT="0" distB="0" distL="0" distR="0" simplePos="0" relativeHeight="487614464" behindDoc="1" locked="0" layoutInCell="1" allowOverlap="1" wp14:anchorId="0DFDD57B" wp14:editId="0DFDD57C">
                <wp:simplePos x="0" y="0"/>
                <wp:positionH relativeFrom="page">
                  <wp:posOffset>941069</wp:posOffset>
                </wp:positionH>
                <wp:positionV relativeFrom="paragraph">
                  <wp:posOffset>237513</wp:posOffset>
                </wp:positionV>
                <wp:extent cx="5922010" cy="91440"/>
                <wp:effectExtent l="0" t="0" r="0" b="0"/>
                <wp:wrapTopAndBottom/>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2010" cy="91440"/>
                        </a:xfrm>
                        <a:custGeom>
                          <a:avLst/>
                          <a:gdLst/>
                          <a:ahLst/>
                          <a:cxnLst/>
                          <a:rect l="l" t="t" r="r" b="b"/>
                          <a:pathLst>
                            <a:path w="5922010" h="91440">
                              <a:moveTo>
                                <a:pt x="5922009" y="0"/>
                              </a:moveTo>
                              <a:lnTo>
                                <a:pt x="0" y="0"/>
                              </a:lnTo>
                              <a:lnTo>
                                <a:pt x="0" y="91440"/>
                              </a:lnTo>
                              <a:lnTo>
                                <a:pt x="5922009" y="91440"/>
                              </a:lnTo>
                              <a:lnTo>
                                <a:pt x="592200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AD3195" id="Graphic 278" o:spid="_x0000_s1026" style="position:absolute;margin-left:74.1pt;margin-top:18.7pt;width:466.3pt;height:7.2pt;z-index:-15702016;visibility:visible;mso-wrap-style:square;mso-wrap-distance-left:0;mso-wrap-distance-top:0;mso-wrap-distance-right:0;mso-wrap-distance-bottom:0;mso-position-horizontal:absolute;mso-position-horizontal-relative:page;mso-position-vertical:absolute;mso-position-vertical-relative:text;v-text-anchor:top" coordsize="592201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" path="m5922009,l,,,91440r5922009,l5922009,xe" fillcolor="black" stroked="f">
                <v:path arrowok="t"/>
                <w10:wrap type="topAndBottom" anchorx="page"/>
              </v:shape>
            </w:pict>
          </mc:Fallback>
        </mc:AlternateContent>
      </w:r>
    </w:p>
    <w:p w14:paraId="0DFDB150" w14:textId="77777777" w:rsidR="00046465" w:rsidRDefault="008134EB">
      <w:pPr>
        <w:pStyle w:val="Heading2"/>
        <w:spacing w:before="368"/>
      </w:pPr>
      <w:r>
        <w:t>FFMIA</w:t>
      </w:r>
      <w:r>
        <w:rPr>
          <w:spacing w:val="-4"/>
        </w:rPr>
        <w:t xml:space="preserve"> </w:t>
      </w:r>
      <w:r>
        <w:t>Guidance</w:t>
      </w:r>
      <w:r>
        <w:rPr>
          <w:spacing w:val="-3"/>
        </w:rPr>
        <w:t xml:space="preserve"> </w:t>
      </w:r>
      <w:r>
        <w:t>and</w:t>
      </w:r>
      <w:r>
        <w:rPr>
          <w:spacing w:val="-4"/>
        </w:rPr>
        <w:t xml:space="preserve"> </w:t>
      </w:r>
      <w:r>
        <w:t>Agreed-</w:t>
      </w:r>
      <w:r>
        <w:rPr>
          <w:spacing w:val="-4"/>
        </w:rPr>
        <w:t>Upon</w:t>
      </w:r>
    </w:p>
    <w:p w14:paraId="0DFDB151" w14:textId="77777777" w:rsidR="00046465" w:rsidRDefault="008134EB">
      <w:pPr>
        <w:ind w:right="718"/>
        <w:jc w:val="right"/>
        <w:rPr>
          <w:sz w:val="48"/>
        </w:rPr>
      </w:pPr>
      <w:r>
        <w:rPr>
          <w:sz w:val="48"/>
        </w:rPr>
        <w:t>Procedures</w:t>
      </w:r>
      <w:r>
        <w:rPr>
          <w:spacing w:val="-7"/>
          <w:sz w:val="48"/>
        </w:rPr>
        <w:t xml:space="preserve"> </w:t>
      </w:r>
      <w:r>
        <w:rPr>
          <w:spacing w:val="-2"/>
          <w:sz w:val="48"/>
        </w:rPr>
        <w:t>Guidance</w:t>
      </w:r>
    </w:p>
    <w:p w14:paraId="0DFDB152" w14:textId="77777777" w:rsidR="00046465" w:rsidRDefault="00046465">
      <w:pPr>
        <w:pStyle w:val="BodyText"/>
        <w:rPr>
          <w:sz w:val="20"/>
        </w:rPr>
      </w:pPr>
    </w:p>
    <w:p w14:paraId="0DFDB153" w14:textId="77777777" w:rsidR="00046465" w:rsidRDefault="00046465">
      <w:pPr>
        <w:pStyle w:val="BodyText"/>
        <w:rPr>
          <w:sz w:val="20"/>
        </w:rPr>
      </w:pPr>
    </w:p>
    <w:p w14:paraId="0DFDB154" w14:textId="77777777" w:rsidR="00046465" w:rsidRDefault="00046465">
      <w:pPr>
        <w:pStyle w:val="BodyText"/>
        <w:rPr>
          <w:sz w:val="20"/>
        </w:rPr>
      </w:pPr>
    </w:p>
    <w:p w14:paraId="0DFDB155" w14:textId="77777777" w:rsidR="00046465" w:rsidRDefault="00046465">
      <w:pPr>
        <w:pStyle w:val="BodyText"/>
        <w:rPr>
          <w:sz w:val="20"/>
        </w:rPr>
      </w:pPr>
    </w:p>
    <w:p w14:paraId="0DFDB156" w14:textId="77777777" w:rsidR="00046465" w:rsidRDefault="00046465">
      <w:pPr>
        <w:pStyle w:val="BodyText"/>
        <w:rPr>
          <w:sz w:val="20"/>
        </w:rPr>
      </w:pPr>
    </w:p>
    <w:p w14:paraId="0DFDB157" w14:textId="77777777" w:rsidR="00046465" w:rsidRDefault="00046465">
      <w:pPr>
        <w:pStyle w:val="BodyText"/>
        <w:rPr>
          <w:sz w:val="20"/>
        </w:rPr>
      </w:pPr>
    </w:p>
    <w:p w14:paraId="0DFDB158" w14:textId="77777777" w:rsidR="00046465" w:rsidRDefault="00046465">
      <w:pPr>
        <w:pStyle w:val="BodyText"/>
        <w:rPr>
          <w:sz w:val="20"/>
        </w:rPr>
      </w:pPr>
    </w:p>
    <w:p w14:paraId="0DFDB159" w14:textId="77777777" w:rsidR="00046465" w:rsidRDefault="00046465">
      <w:pPr>
        <w:pStyle w:val="BodyText"/>
        <w:rPr>
          <w:sz w:val="20"/>
        </w:rPr>
      </w:pPr>
    </w:p>
    <w:p w14:paraId="0DFDB15A" w14:textId="77777777" w:rsidR="00046465" w:rsidRDefault="00046465">
      <w:pPr>
        <w:pStyle w:val="BodyText"/>
        <w:rPr>
          <w:sz w:val="20"/>
        </w:rPr>
      </w:pPr>
    </w:p>
    <w:p w14:paraId="0DFDB15B" w14:textId="77777777" w:rsidR="00046465" w:rsidRDefault="00046465">
      <w:pPr>
        <w:pStyle w:val="BodyText"/>
        <w:rPr>
          <w:sz w:val="20"/>
        </w:rPr>
      </w:pPr>
    </w:p>
    <w:p w14:paraId="0DFDB15C" w14:textId="77777777" w:rsidR="00046465" w:rsidRDefault="00046465">
      <w:pPr>
        <w:pStyle w:val="BodyText"/>
        <w:rPr>
          <w:sz w:val="20"/>
        </w:rPr>
      </w:pPr>
    </w:p>
    <w:p w14:paraId="0DFDB15D" w14:textId="77777777" w:rsidR="00046465" w:rsidRDefault="00046465">
      <w:pPr>
        <w:pStyle w:val="BodyText"/>
        <w:rPr>
          <w:sz w:val="20"/>
        </w:rPr>
      </w:pPr>
    </w:p>
    <w:p w14:paraId="0DFDB15E" w14:textId="77777777" w:rsidR="00046465" w:rsidRDefault="00046465">
      <w:pPr>
        <w:pStyle w:val="BodyText"/>
        <w:rPr>
          <w:sz w:val="20"/>
        </w:rPr>
      </w:pPr>
    </w:p>
    <w:p w14:paraId="0DFDB15F" w14:textId="77777777" w:rsidR="00046465" w:rsidRDefault="00046465">
      <w:pPr>
        <w:pStyle w:val="BodyText"/>
        <w:rPr>
          <w:sz w:val="20"/>
        </w:rPr>
      </w:pPr>
    </w:p>
    <w:p w14:paraId="0DFDB160" w14:textId="77777777" w:rsidR="00046465" w:rsidRDefault="00046465">
      <w:pPr>
        <w:pStyle w:val="BodyText"/>
        <w:rPr>
          <w:sz w:val="20"/>
        </w:rPr>
      </w:pPr>
    </w:p>
    <w:p w14:paraId="0DFDB161" w14:textId="77777777" w:rsidR="00046465" w:rsidRDefault="00046465">
      <w:pPr>
        <w:pStyle w:val="BodyText"/>
        <w:rPr>
          <w:sz w:val="20"/>
        </w:rPr>
      </w:pPr>
    </w:p>
    <w:p w14:paraId="0DFDB162" w14:textId="77777777" w:rsidR="00046465" w:rsidRDefault="00046465">
      <w:pPr>
        <w:pStyle w:val="BodyText"/>
        <w:rPr>
          <w:sz w:val="20"/>
        </w:rPr>
      </w:pPr>
    </w:p>
    <w:p w14:paraId="0DFDB163" w14:textId="77777777" w:rsidR="00046465" w:rsidRDefault="00046465">
      <w:pPr>
        <w:pStyle w:val="BodyText"/>
        <w:rPr>
          <w:sz w:val="20"/>
        </w:rPr>
      </w:pPr>
    </w:p>
    <w:p w14:paraId="0DFDB164" w14:textId="77777777" w:rsidR="00046465" w:rsidRDefault="00046465">
      <w:pPr>
        <w:pStyle w:val="BodyText"/>
        <w:rPr>
          <w:sz w:val="20"/>
        </w:rPr>
      </w:pPr>
    </w:p>
    <w:p w14:paraId="0DFDB165" w14:textId="77777777" w:rsidR="00046465" w:rsidRDefault="00046465">
      <w:pPr>
        <w:pStyle w:val="BodyText"/>
        <w:rPr>
          <w:sz w:val="20"/>
        </w:rPr>
      </w:pPr>
    </w:p>
    <w:p w14:paraId="0DFDB166" w14:textId="77777777" w:rsidR="00046465" w:rsidRDefault="00046465">
      <w:pPr>
        <w:pStyle w:val="BodyText"/>
        <w:rPr>
          <w:sz w:val="20"/>
        </w:rPr>
      </w:pPr>
    </w:p>
    <w:p w14:paraId="0DFDB167" w14:textId="77777777" w:rsidR="00046465" w:rsidRDefault="00046465">
      <w:pPr>
        <w:pStyle w:val="BodyText"/>
        <w:rPr>
          <w:sz w:val="20"/>
        </w:rPr>
      </w:pPr>
    </w:p>
    <w:p w14:paraId="0DFDB168" w14:textId="77777777" w:rsidR="00046465" w:rsidRDefault="00046465">
      <w:pPr>
        <w:pStyle w:val="BodyText"/>
        <w:rPr>
          <w:sz w:val="20"/>
        </w:rPr>
      </w:pPr>
    </w:p>
    <w:p w14:paraId="0DFDB169" w14:textId="77777777" w:rsidR="00046465" w:rsidRDefault="00046465">
      <w:pPr>
        <w:pStyle w:val="BodyText"/>
        <w:rPr>
          <w:sz w:val="20"/>
        </w:rPr>
      </w:pPr>
    </w:p>
    <w:p w14:paraId="0DFDB16A" w14:textId="77777777" w:rsidR="00046465" w:rsidRDefault="00046465">
      <w:pPr>
        <w:pStyle w:val="BodyText"/>
        <w:rPr>
          <w:sz w:val="20"/>
        </w:rPr>
      </w:pPr>
    </w:p>
    <w:p w14:paraId="0DFDB16B" w14:textId="77777777" w:rsidR="00046465" w:rsidRDefault="00046465">
      <w:pPr>
        <w:pStyle w:val="BodyText"/>
        <w:rPr>
          <w:sz w:val="20"/>
        </w:rPr>
      </w:pPr>
    </w:p>
    <w:p w14:paraId="0DFDB16C" w14:textId="77777777" w:rsidR="00046465" w:rsidRDefault="00046465">
      <w:pPr>
        <w:pStyle w:val="BodyText"/>
        <w:rPr>
          <w:sz w:val="20"/>
        </w:rPr>
      </w:pPr>
    </w:p>
    <w:p w14:paraId="0DFDB16D" w14:textId="77777777" w:rsidR="00046465" w:rsidRDefault="00046465">
      <w:pPr>
        <w:pStyle w:val="BodyText"/>
        <w:rPr>
          <w:sz w:val="20"/>
        </w:rPr>
      </w:pPr>
    </w:p>
    <w:p w14:paraId="0DFDB16E" w14:textId="77777777" w:rsidR="00046465" w:rsidRDefault="00046465">
      <w:pPr>
        <w:pStyle w:val="BodyText"/>
        <w:rPr>
          <w:sz w:val="20"/>
        </w:rPr>
      </w:pPr>
    </w:p>
    <w:p w14:paraId="0DFDB16F" w14:textId="77777777" w:rsidR="00046465" w:rsidRDefault="00046465">
      <w:pPr>
        <w:pStyle w:val="BodyText"/>
        <w:rPr>
          <w:sz w:val="20"/>
        </w:rPr>
      </w:pPr>
    </w:p>
    <w:p w14:paraId="0DFDB170" w14:textId="77777777" w:rsidR="00046465" w:rsidRDefault="00046465">
      <w:pPr>
        <w:pStyle w:val="BodyText"/>
        <w:rPr>
          <w:sz w:val="20"/>
        </w:rPr>
      </w:pPr>
    </w:p>
    <w:p w14:paraId="0DFDB171" w14:textId="77777777" w:rsidR="00046465" w:rsidRDefault="00046465">
      <w:pPr>
        <w:pStyle w:val="BodyText"/>
        <w:rPr>
          <w:sz w:val="20"/>
        </w:rPr>
      </w:pPr>
    </w:p>
    <w:p w14:paraId="0DFDB172" w14:textId="77777777" w:rsidR="00046465" w:rsidRDefault="00046465">
      <w:pPr>
        <w:pStyle w:val="BodyText"/>
        <w:rPr>
          <w:sz w:val="20"/>
        </w:rPr>
      </w:pPr>
    </w:p>
    <w:p w14:paraId="0DFDB173" w14:textId="77777777" w:rsidR="00046465" w:rsidRDefault="00046465">
      <w:pPr>
        <w:pStyle w:val="BodyText"/>
        <w:rPr>
          <w:sz w:val="20"/>
        </w:rPr>
      </w:pPr>
    </w:p>
    <w:p w14:paraId="0DFDB174" w14:textId="77777777" w:rsidR="00046465" w:rsidRDefault="00046465">
      <w:pPr>
        <w:pStyle w:val="BodyText"/>
        <w:rPr>
          <w:sz w:val="20"/>
        </w:rPr>
      </w:pPr>
    </w:p>
    <w:p w14:paraId="0DFDB175" w14:textId="77777777" w:rsidR="00046465" w:rsidRDefault="00046465">
      <w:pPr>
        <w:pStyle w:val="BodyText"/>
        <w:rPr>
          <w:sz w:val="20"/>
        </w:rPr>
      </w:pPr>
    </w:p>
    <w:p w14:paraId="0DFDB176" w14:textId="77777777" w:rsidR="00046465" w:rsidRDefault="00046465">
      <w:pPr>
        <w:pStyle w:val="BodyText"/>
        <w:rPr>
          <w:sz w:val="20"/>
        </w:rPr>
      </w:pPr>
    </w:p>
    <w:p w14:paraId="0DFDB177" w14:textId="77777777" w:rsidR="00046465" w:rsidRDefault="00046465">
      <w:pPr>
        <w:pStyle w:val="BodyText"/>
        <w:rPr>
          <w:sz w:val="20"/>
        </w:rPr>
      </w:pPr>
    </w:p>
    <w:p w14:paraId="0DFDB178" w14:textId="77777777" w:rsidR="00046465" w:rsidRDefault="00046465">
      <w:pPr>
        <w:pStyle w:val="BodyText"/>
        <w:rPr>
          <w:sz w:val="20"/>
        </w:rPr>
      </w:pPr>
    </w:p>
    <w:p w14:paraId="0DFDB179" w14:textId="77777777" w:rsidR="00046465" w:rsidRDefault="00046465">
      <w:pPr>
        <w:pStyle w:val="BodyText"/>
        <w:rPr>
          <w:sz w:val="20"/>
        </w:rPr>
      </w:pPr>
    </w:p>
    <w:p w14:paraId="0DFDB17A" w14:textId="77777777" w:rsidR="00046465" w:rsidRDefault="00046465">
      <w:pPr>
        <w:pStyle w:val="BodyText"/>
        <w:rPr>
          <w:sz w:val="20"/>
        </w:rPr>
      </w:pPr>
    </w:p>
    <w:p w14:paraId="0DFDB17B" w14:textId="77777777" w:rsidR="00046465" w:rsidRDefault="00046465">
      <w:pPr>
        <w:pStyle w:val="BodyText"/>
        <w:rPr>
          <w:sz w:val="20"/>
        </w:rPr>
      </w:pPr>
    </w:p>
    <w:p w14:paraId="0DFDB17C" w14:textId="77777777" w:rsidR="00046465" w:rsidRDefault="008134EB">
      <w:pPr>
        <w:pStyle w:val="BodyText"/>
        <w:spacing w:before="225"/>
        <w:rPr>
          <w:sz w:val="20"/>
        </w:rPr>
      </w:pPr>
      <w:r>
        <w:rPr>
          <w:noProof/>
          <w:sz w:val="20"/>
        </w:rPr>
        <mc:AlternateContent>
          <mc:Choice Requires="wps">
            <w:drawing>
              <wp:anchor distT="0" distB="0" distL="0" distR="0" simplePos="0" relativeHeight="487614976" behindDoc="1" locked="0" layoutInCell="1" allowOverlap="1" wp14:anchorId="0DFDD57D" wp14:editId="0DFDD57E">
                <wp:simplePos x="0" y="0"/>
                <wp:positionH relativeFrom="page">
                  <wp:posOffset>895350</wp:posOffset>
                </wp:positionH>
                <wp:positionV relativeFrom="paragraph">
                  <wp:posOffset>304173</wp:posOffset>
                </wp:positionV>
                <wp:extent cx="5981700" cy="28575"/>
                <wp:effectExtent l="0" t="0" r="0" b="0"/>
                <wp:wrapTopAndBottom/>
                <wp:docPr id="279" name="Graphic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3"/>
                              </a:lnTo>
                              <a:lnTo>
                                <a:pt x="5981700" y="28193"/>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DE7BE7" id="Graphic 279" o:spid="_x0000_s1026" style="position:absolute;margin-left:70.5pt;margin-top:23.95pt;width:471pt;height:2.25pt;z-index:-15701504;visibility:visible;mso-wrap-style:square;mso-wrap-distance-left:0;mso-wrap-distance-top:0;mso-wrap-distance-right:0;mso-wrap-distance-bottom:0;mso-position-horizontal:absolute;mso-position-horizontal-relative:page;mso-position-vertical:absolute;mso-position-vertical-relative:text;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HRoIAIAAMEEAAAOAAAAZHJzL2Uyb0RvYy54bWysVMFu2zAMvQ/YPwi6L04yZE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" path="m5981700,l,,,28193r5981700,l5981700,xe" fillcolor="black" stroked="f">
                <v:path arrowok="t"/>
                <w10:wrap type="topAndBottom" anchorx="page"/>
              </v:shape>
            </w:pict>
          </mc:Fallback>
        </mc:AlternateContent>
      </w:r>
    </w:p>
    <w:p w14:paraId="0DFDB17D" w14:textId="77777777" w:rsidR="00046465" w:rsidRDefault="00046465">
      <w:pPr>
        <w:pStyle w:val="BodyText"/>
        <w:rPr>
          <w:sz w:val="20"/>
        </w:rPr>
        <w:sectPr w:rsidR="00046465">
          <w:headerReference w:type="default" r:id="rId78"/>
          <w:footerReference w:type="default" r:id="rId79"/>
          <w:pgSz w:w="12240" w:h="15840"/>
          <w:pgMar w:top="1000" w:right="720" w:bottom="280" w:left="1080" w:header="0" w:footer="0" w:gutter="0"/>
          <w:cols w:space="720"/>
        </w:sectPr>
      </w:pPr>
    </w:p>
    <w:p w14:paraId="0DFDB17E" w14:textId="77777777" w:rsidR="00046465" w:rsidRDefault="008134EB">
      <w:pPr>
        <w:pStyle w:val="Heading3"/>
        <w:rPr>
          <w:u w:val="none"/>
        </w:rPr>
      </w:pPr>
      <w:bookmarkStart w:id="119" w:name="Contents_of_FFMIA_Guidance_and_Agreed-Up"/>
      <w:bookmarkEnd w:id="119"/>
      <w:r>
        <w:lastRenderedPageBreak/>
        <w:t>Contents</w:t>
      </w:r>
      <w:r>
        <w:rPr>
          <w:spacing w:val="-8"/>
        </w:rPr>
        <w:t xml:space="preserve"> </w:t>
      </w:r>
      <w:r>
        <w:t>of</w:t>
      </w:r>
      <w:r>
        <w:rPr>
          <w:spacing w:val="-7"/>
        </w:rPr>
        <w:t xml:space="preserve"> </w:t>
      </w:r>
      <w:r>
        <w:t>FFMIA</w:t>
      </w:r>
      <w:r>
        <w:rPr>
          <w:spacing w:val="-18"/>
        </w:rPr>
        <w:t xml:space="preserve"> </w:t>
      </w:r>
      <w:r>
        <w:t>Guidance</w:t>
      </w:r>
      <w:r>
        <w:rPr>
          <w:spacing w:val="-8"/>
        </w:rPr>
        <w:t xml:space="preserve"> </w:t>
      </w:r>
      <w:r>
        <w:t>and</w:t>
      </w:r>
      <w:r>
        <w:rPr>
          <w:spacing w:val="-19"/>
        </w:rPr>
        <w:t xml:space="preserve"> </w:t>
      </w:r>
      <w:r>
        <w:t>Agreed-Upon</w:t>
      </w:r>
      <w:r>
        <w:rPr>
          <w:spacing w:val="-8"/>
        </w:rPr>
        <w:t xml:space="preserve"> </w:t>
      </w:r>
      <w:r>
        <w:t>Procedures</w:t>
      </w:r>
      <w:r>
        <w:rPr>
          <w:u w:val="none"/>
        </w:rPr>
        <w:t xml:space="preserve"> </w:t>
      </w:r>
      <w:r>
        <w:rPr>
          <w:spacing w:val="-2"/>
        </w:rPr>
        <w:t>Guidance</w:t>
      </w:r>
    </w:p>
    <w:p w14:paraId="0DFDB17F" w14:textId="77777777" w:rsidR="00046465" w:rsidRDefault="00046465">
      <w:pPr>
        <w:pStyle w:val="BodyText"/>
        <w:spacing w:before="137"/>
        <w:rPr>
          <w:b/>
          <w:sz w:val="20"/>
        </w:rPr>
      </w:pPr>
    </w:p>
    <w:tbl>
      <w:tblPr>
        <w:tblW w:w="0" w:type="auto"/>
        <w:tblInd w:w="816" w:type="dxa"/>
        <w:tblLayout w:type="fixed"/>
        <w:tblCellMar>
          <w:left w:w="0" w:type="dxa"/>
          <w:right w:w="0" w:type="dxa"/>
        </w:tblCellMar>
        <w:tblLook w:val="01E0" w:firstRow="1" w:lastRow="1" w:firstColumn="1" w:lastColumn="1" w:noHBand="0" w:noVBand="0"/>
      </w:tblPr>
      <w:tblGrid>
        <w:gridCol w:w="7463"/>
        <w:gridCol w:w="786"/>
      </w:tblGrid>
      <w:tr w:rsidR="00046465" w14:paraId="0DFDB182" w14:textId="77777777">
        <w:trPr>
          <w:trHeight w:val="339"/>
        </w:trPr>
        <w:tc>
          <w:tcPr>
            <w:tcW w:w="7463" w:type="dxa"/>
          </w:tcPr>
          <w:p w14:paraId="0DFDB180" w14:textId="77777777" w:rsidR="00046465" w:rsidRDefault="00046465">
            <w:pPr>
              <w:pStyle w:val="TableParagraph"/>
              <w:rPr>
                <w:rFonts w:ascii="Times New Roman"/>
              </w:rPr>
            </w:pPr>
          </w:p>
        </w:tc>
        <w:tc>
          <w:tcPr>
            <w:tcW w:w="786" w:type="dxa"/>
          </w:tcPr>
          <w:p w14:paraId="0DFDB181" w14:textId="77777777" w:rsidR="00046465" w:rsidRDefault="008134EB">
            <w:pPr>
              <w:pStyle w:val="TableParagraph"/>
              <w:spacing w:line="245" w:lineRule="exact"/>
              <w:ind w:left="148"/>
              <w:rPr>
                <w:b/>
              </w:rPr>
            </w:pPr>
            <w:r>
              <w:rPr>
                <w:b/>
                <w:spacing w:val="-5"/>
              </w:rPr>
              <w:t>FAM</w:t>
            </w:r>
          </w:p>
        </w:tc>
      </w:tr>
      <w:tr w:rsidR="00046465" w14:paraId="0DFDB185" w14:textId="77777777">
        <w:trPr>
          <w:trHeight w:val="686"/>
        </w:trPr>
        <w:tc>
          <w:tcPr>
            <w:tcW w:w="7463" w:type="dxa"/>
          </w:tcPr>
          <w:p w14:paraId="0DFDB183" w14:textId="77777777" w:rsidR="00046465" w:rsidRDefault="008134EB">
            <w:pPr>
              <w:pStyle w:val="TableParagraph"/>
              <w:spacing w:before="86"/>
              <w:ind w:left="50"/>
            </w:pPr>
            <w:r>
              <w:t>Assessing</w:t>
            </w:r>
            <w:r>
              <w:rPr>
                <w:spacing w:val="-7"/>
              </w:rPr>
              <w:t xml:space="preserve"> </w:t>
            </w:r>
            <w:r>
              <w:t>Financial</w:t>
            </w:r>
            <w:r>
              <w:rPr>
                <w:spacing w:val="-6"/>
              </w:rPr>
              <w:t xml:space="preserve"> </w:t>
            </w:r>
            <w:r>
              <w:t>Management</w:t>
            </w:r>
            <w:r>
              <w:rPr>
                <w:spacing w:val="-6"/>
              </w:rPr>
              <w:t xml:space="preserve"> </w:t>
            </w:r>
            <w:r>
              <w:t>Systems’</w:t>
            </w:r>
            <w:r>
              <w:rPr>
                <w:spacing w:val="-6"/>
              </w:rPr>
              <w:t xml:space="preserve"> </w:t>
            </w:r>
            <w:r>
              <w:t>Compliance</w:t>
            </w:r>
            <w:r>
              <w:rPr>
                <w:spacing w:val="-6"/>
              </w:rPr>
              <w:t xml:space="preserve"> </w:t>
            </w:r>
            <w:r>
              <w:t>under</w:t>
            </w:r>
            <w:r>
              <w:rPr>
                <w:spacing w:val="-6"/>
              </w:rPr>
              <w:t xml:space="preserve"> </w:t>
            </w:r>
            <w:r>
              <w:t>the</w:t>
            </w:r>
            <w:r>
              <w:rPr>
                <w:spacing w:val="-6"/>
              </w:rPr>
              <w:t xml:space="preserve"> </w:t>
            </w:r>
            <w:r>
              <w:t>Federal Financial Management Improvement Act of 1996 (FFMIA)</w:t>
            </w:r>
          </w:p>
        </w:tc>
        <w:tc>
          <w:tcPr>
            <w:tcW w:w="786" w:type="dxa"/>
          </w:tcPr>
          <w:p w14:paraId="0DFDB184" w14:textId="77777777" w:rsidR="00046465" w:rsidRDefault="008134EB">
            <w:pPr>
              <w:pStyle w:val="TableParagraph"/>
              <w:spacing w:before="86"/>
              <w:ind w:left="148"/>
            </w:pPr>
            <w:r>
              <w:rPr>
                <w:spacing w:val="-5"/>
              </w:rPr>
              <w:t>701</w:t>
            </w:r>
          </w:p>
        </w:tc>
      </w:tr>
      <w:tr w:rsidR="00046465" w14:paraId="0DFDB188" w14:textId="77777777">
        <w:trPr>
          <w:trHeight w:val="685"/>
        </w:trPr>
        <w:tc>
          <w:tcPr>
            <w:tcW w:w="7463" w:type="dxa"/>
          </w:tcPr>
          <w:p w14:paraId="0DFDB186" w14:textId="77777777" w:rsidR="00046465" w:rsidRDefault="008134EB">
            <w:pPr>
              <w:pStyle w:val="TableParagraph"/>
              <w:spacing w:before="86"/>
              <w:ind w:left="50" w:hanging="1"/>
            </w:pPr>
            <w:r>
              <w:t>Example</w:t>
            </w:r>
            <w:r>
              <w:rPr>
                <w:spacing w:val="-6"/>
              </w:rPr>
              <w:t xml:space="preserve"> </w:t>
            </w:r>
            <w:r>
              <w:t>Audit</w:t>
            </w:r>
            <w:r>
              <w:rPr>
                <w:spacing w:val="-6"/>
              </w:rPr>
              <w:t xml:space="preserve"> </w:t>
            </w:r>
            <w:r>
              <w:t>Plan</w:t>
            </w:r>
            <w:r>
              <w:rPr>
                <w:spacing w:val="-6"/>
              </w:rPr>
              <w:t xml:space="preserve"> </w:t>
            </w:r>
            <w:r>
              <w:t>for</w:t>
            </w:r>
            <w:r>
              <w:rPr>
                <w:spacing w:val="-7"/>
              </w:rPr>
              <w:t xml:space="preserve"> </w:t>
            </w:r>
            <w:r>
              <w:t>Assessing</w:t>
            </w:r>
            <w:r>
              <w:rPr>
                <w:spacing w:val="-7"/>
              </w:rPr>
              <w:t xml:space="preserve"> </w:t>
            </w:r>
            <w:r>
              <w:t>Financial</w:t>
            </w:r>
            <w:r>
              <w:rPr>
                <w:spacing w:val="-6"/>
              </w:rPr>
              <w:t xml:space="preserve"> </w:t>
            </w:r>
            <w:r>
              <w:t>Management</w:t>
            </w:r>
            <w:r>
              <w:rPr>
                <w:spacing w:val="-6"/>
              </w:rPr>
              <w:t xml:space="preserve"> </w:t>
            </w:r>
            <w:r>
              <w:t>Systems’ Compliance under FFMIA</w:t>
            </w:r>
          </w:p>
        </w:tc>
        <w:tc>
          <w:tcPr>
            <w:tcW w:w="786" w:type="dxa"/>
          </w:tcPr>
          <w:p w14:paraId="0DFDB187" w14:textId="77777777" w:rsidR="00046465" w:rsidRDefault="008134EB">
            <w:pPr>
              <w:pStyle w:val="TableParagraph"/>
              <w:spacing w:before="86"/>
              <w:ind w:left="148"/>
            </w:pPr>
            <w:r>
              <w:t>701</w:t>
            </w:r>
            <w:r>
              <w:rPr>
                <w:spacing w:val="-4"/>
              </w:rPr>
              <w:t xml:space="preserve"> </w:t>
            </w:r>
            <w:r>
              <w:rPr>
                <w:spacing w:val="-10"/>
              </w:rPr>
              <w:t>A</w:t>
            </w:r>
          </w:p>
        </w:tc>
      </w:tr>
      <w:tr w:rsidR="00046465" w14:paraId="0DFDB18B" w14:textId="77777777">
        <w:trPr>
          <w:trHeight w:val="432"/>
        </w:trPr>
        <w:tc>
          <w:tcPr>
            <w:tcW w:w="7463" w:type="dxa"/>
          </w:tcPr>
          <w:p w14:paraId="0DFDB189" w14:textId="77777777" w:rsidR="00046465" w:rsidRDefault="008134EB">
            <w:pPr>
              <w:pStyle w:val="TableParagraph"/>
              <w:spacing w:before="85"/>
              <w:ind w:left="50"/>
            </w:pPr>
            <w:r>
              <w:t>Agreed-Upon</w:t>
            </w:r>
            <w:r>
              <w:rPr>
                <w:spacing w:val="-15"/>
              </w:rPr>
              <w:t xml:space="preserve"> </w:t>
            </w:r>
            <w:r>
              <w:rPr>
                <w:spacing w:val="-2"/>
              </w:rPr>
              <w:t>Procedures</w:t>
            </w:r>
          </w:p>
        </w:tc>
        <w:tc>
          <w:tcPr>
            <w:tcW w:w="786" w:type="dxa"/>
          </w:tcPr>
          <w:p w14:paraId="0DFDB18A" w14:textId="77777777" w:rsidR="00046465" w:rsidRDefault="008134EB">
            <w:pPr>
              <w:pStyle w:val="TableParagraph"/>
              <w:spacing w:before="85"/>
              <w:ind w:left="148"/>
            </w:pPr>
            <w:r>
              <w:rPr>
                <w:spacing w:val="-5"/>
              </w:rPr>
              <w:t>710</w:t>
            </w:r>
          </w:p>
        </w:tc>
      </w:tr>
      <w:tr w:rsidR="00046465" w14:paraId="0DFDB18E" w14:textId="77777777">
        <w:trPr>
          <w:trHeight w:val="433"/>
        </w:trPr>
        <w:tc>
          <w:tcPr>
            <w:tcW w:w="7463" w:type="dxa"/>
          </w:tcPr>
          <w:p w14:paraId="0DFDB18C" w14:textId="77777777" w:rsidR="00046465" w:rsidRDefault="008134EB">
            <w:pPr>
              <w:pStyle w:val="TableParagraph"/>
              <w:spacing w:before="86"/>
              <w:ind w:left="50"/>
            </w:pPr>
            <w:r>
              <w:t>Example</w:t>
            </w:r>
            <w:r>
              <w:rPr>
                <w:spacing w:val="-13"/>
              </w:rPr>
              <w:t xml:space="preserve"> </w:t>
            </w:r>
            <w:r>
              <w:t>Agreed-Upon</w:t>
            </w:r>
            <w:r>
              <w:rPr>
                <w:spacing w:val="-13"/>
              </w:rPr>
              <w:t xml:space="preserve"> </w:t>
            </w:r>
            <w:r>
              <w:t>Procedures</w:t>
            </w:r>
            <w:r>
              <w:rPr>
                <w:spacing w:val="-14"/>
              </w:rPr>
              <w:t xml:space="preserve"> </w:t>
            </w:r>
            <w:r>
              <w:t>Engagement</w:t>
            </w:r>
            <w:r>
              <w:rPr>
                <w:spacing w:val="-13"/>
              </w:rPr>
              <w:t xml:space="preserve"> </w:t>
            </w:r>
            <w:r>
              <w:rPr>
                <w:spacing w:val="-2"/>
              </w:rPr>
              <w:t>Letter</w:t>
            </w:r>
          </w:p>
        </w:tc>
        <w:tc>
          <w:tcPr>
            <w:tcW w:w="786" w:type="dxa"/>
          </w:tcPr>
          <w:p w14:paraId="0DFDB18D" w14:textId="77777777" w:rsidR="00046465" w:rsidRDefault="008134EB">
            <w:pPr>
              <w:pStyle w:val="TableParagraph"/>
              <w:spacing w:before="86"/>
              <w:ind w:left="148"/>
            </w:pPr>
            <w:r>
              <w:t>710</w:t>
            </w:r>
            <w:r>
              <w:rPr>
                <w:spacing w:val="-4"/>
              </w:rPr>
              <w:t xml:space="preserve"> </w:t>
            </w:r>
            <w:r>
              <w:rPr>
                <w:spacing w:val="-10"/>
              </w:rPr>
              <w:t>A</w:t>
            </w:r>
          </w:p>
        </w:tc>
      </w:tr>
      <w:tr w:rsidR="00046465" w14:paraId="0DFDB191" w14:textId="77777777">
        <w:trPr>
          <w:trHeight w:val="685"/>
        </w:trPr>
        <w:tc>
          <w:tcPr>
            <w:tcW w:w="7463" w:type="dxa"/>
          </w:tcPr>
          <w:p w14:paraId="0DFDB18F" w14:textId="77777777" w:rsidR="00046465" w:rsidRDefault="008134EB">
            <w:pPr>
              <w:pStyle w:val="TableParagraph"/>
              <w:spacing w:before="86"/>
              <w:ind w:left="50"/>
            </w:pPr>
            <w:r>
              <w:t>Example</w:t>
            </w:r>
            <w:r>
              <w:rPr>
                <w:spacing w:val="-6"/>
              </w:rPr>
              <w:t xml:space="preserve"> </w:t>
            </w:r>
            <w:r>
              <w:t>Representation</w:t>
            </w:r>
            <w:r>
              <w:rPr>
                <w:spacing w:val="-7"/>
              </w:rPr>
              <w:t xml:space="preserve"> </w:t>
            </w:r>
            <w:r>
              <w:t>Letter</w:t>
            </w:r>
            <w:r>
              <w:rPr>
                <w:spacing w:val="-6"/>
              </w:rPr>
              <w:t xml:space="preserve"> </w:t>
            </w:r>
            <w:r>
              <w:t>from</w:t>
            </w:r>
            <w:r>
              <w:rPr>
                <w:spacing w:val="-7"/>
              </w:rPr>
              <w:t xml:space="preserve"> </w:t>
            </w:r>
            <w:r>
              <w:t>Engaging</w:t>
            </w:r>
            <w:r>
              <w:rPr>
                <w:spacing w:val="-5"/>
              </w:rPr>
              <w:t xml:space="preserve"> </w:t>
            </w:r>
            <w:r>
              <w:t>Party</w:t>
            </w:r>
            <w:r>
              <w:rPr>
                <w:spacing w:val="-6"/>
              </w:rPr>
              <w:t xml:space="preserve"> </w:t>
            </w:r>
            <w:r>
              <w:t>on</w:t>
            </w:r>
            <w:r>
              <w:rPr>
                <w:spacing w:val="-6"/>
              </w:rPr>
              <w:t xml:space="preserve"> </w:t>
            </w:r>
            <w:r>
              <w:t>Agreed-Upon Procedures Engagement</w:t>
            </w:r>
          </w:p>
        </w:tc>
        <w:tc>
          <w:tcPr>
            <w:tcW w:w="786" w:type="dxa"/>
          </w:tcPr>
          <w:p w14:paraId="0DFDB190" w14:textId="77777777" w:rsidR="00046465" w:rsidRDefault="008134EB">
            <w:pPr>
              <w:pStyle w:val="TableParagraph"/>
              <w:spacing w:before="86"/>
              <w:ind w:left="148"/>
            </w:pPr>
            <w:r>
              <w:t>710</w:t>
            </w:r>
            <w:r>
              <w:rPr>
                <w:spacing w:val="-4"/>
              </w:rPr>
              <w:t xml:space="preserve"> </w:t>
            </w:r>
            <w:r>
              <w:rPr>
                <w:spacing w:val="-10"/>
              </w:rPr>
              <w:t>B</w:t>
            </w:r>
          </w:p>
        </w:tc>
      </w:tr>
      <w:tr w:rsidR="00046465" w14:paraId="0DFDB194" w14:textId="77777777">
        <w:trPr>
          <w:trHeight w:val="685"/>
        </w:trPr>
        <w:tc>
          <w:tcPr>
            <w:tcW w:w="7463" w:type="dxa"/>
          </w:tcPr>
          <w:p w14:paraId="0DFDB192" w14:textId="77777777" w:rsidR="00046465" w:rsidRDefault="008134EB">
            <w:pPr>
              <w:pStyle w:val="TableParagraph"/>
              <w:spacing w:before="85"/>
              <w:ind w:left="50" w:right="529"/>
            </w:pPr>
            <w:r>
              <w:t>Example</w:t>
            </w:r>
            <w:r>
              <w:rPr>
                <w:spacing w:val="-6"/>
              </w:rPr>
              <w:t xml:space="preserve"> </w:t>
            </w:r>
            <w:r>
              <w:t>Representation</w:t>
            </w:r>
            <w:r>
              <w:rPr>
                <w:spacing w:val="-6"/>
              </w:rPr>
              <w:t xml:space="preserve"> </w:t>
            </w:r>
            <w:r>
              <w:t>Letter</w:t>
            </w:r>
            <w:r>
              <w:rPr>
                <w:spacing w:val="-6"/>
              </w:rPr>
              <w:t xml:space="preserve"> </w:t>
            </w:r>
            <w:r>
              <w:t>from</w:t>
            </w:r>
            <w:r>
              <w:rPr>
                <w:spacing w:val="-6"/>
              </w:rPr>
              <w:t xml:space="preserve"> </w:t>
            </w:r>
            <w:r>
              <w:t>Responsible</w:t>
            </w:r>
            <w:r>
              <w:rPr>
                <w:spacing w:val="-6"/>
              </w:rPr>
              <w:t xml:space="preserve"> </w:t>
            </w:r>
            <w:r>
              <w:t>Party</w:t>
            </w:r>
            <w:r>
              <w:rPr>
                <w:spacing w:val="-6"/>
              </w:rPr>
              <w:t xml:space="preserve"> </w:t>
            </w:r>
            <w:r>
              <w:t>on</w:t>
            </w:r>
            <w:r>
              <w:rPr>
                <w:spacing w:val="-6"/>
              </w:rPr>
              <w:t xml:space="preserve"> </w:t>
            </w:r>
            <w:r>
              <w:t>Agreed-Upon Procedures Engagement</w:t>
            </w:r>
          </w:p>
        </w:tc>
        <w:tc>
          <w:tcPr>
            <w:tcW w:w="786" w:type="dxa"/>
          </w:tcPr>
          <w:p w14:paraId="0DFDB193" w14:textId="77777777" w:rsidR="00046465" w:rsidRDefault="008134EB">
            <w:pPr>
              <w:pStyle w:val="TableParagraph"/>
              <w:spacing w:before="85"/>
              <w:ind w:left="148"/>
            </w:pPr>
            <w:r>
              <w:t>710</w:t>
            </w:r>
            <w:r>
              <w:rPr>
                <w:spacing w:val="-4"/>
              </w:rPr>
              <w:t xml:space="preserve"> </w:t>
            </w:r>
            <w:r>
              <w:rPr>
                <w:spacing w:val="-10"/>
              </w:rPr>
              <w:t>C</w:t>
            </w:r>
          </w:p>
        </w:tc>
      </w:tr>
      <w:tr w:rsidR="00046465" w14:paraId="0DFDB197" w14:textId="77777777">
        <w:trPr>
          <w:trHeight w:val="686"/>
        </w:trPr>
        <w:tc>
          <w:tcPr>
            <w:tcW w:w="7463" w:type="dxa"/>
          </w:tcPr>
          <w:p w14:paraId="0DFDB195" w14:textId="77777777" w:rsidR="00046465" w:rsidRDefault="008134EB">
            <w:pPr>
              <w:pStyle w:val="TableParagraph"/>
              <w:spacing w:before="86"/>
              <w:ind w:left="50" w:right="529"/>
            </w:pPr>
            <w:r>
              <w:t>Example</w:t>
            </w:r>
            <w:r>
              <w:rPr>
                <w:spacing w:val="-6"/>
              </w:rPr>
              <w:t xml:space="preserve"> </w:t>
            </w:r>
            <w:r>
              <w:t>Agreed-Upon</w:t>
            </w:r>
            <w:r>
              <w:rPr>
                <w:spacing w:val="-6"/>
              </w:rPr>
              <w:t xml:space="preserve"> </w:t>
            </w:r>
            <w:r>
              <w:t>Procedures</w:t>
            </w:r>
            <w:r>
              <w:rPr>
                <w:spacing w:val="-7"/>
              </w:rPr>
              <w:t xml:space="preserve"> </w:t>
            </w:r>
            <w:r>
              <w:t>Report</w:t>
            </w:r>
            <w:r>
              <w:rPr>
                <w:spacing w:val="-5"/>
              </w:rPr>
              <w:t xml:space="preserve"> </w:t>
            </w:r>
            <w:r>
              <w:t>Where</w:t>
            </w:r>
            <w:r>
              <w:rPr>
                <w:spacing w:val="-6"/>
              </w:rPr>
              <w:t xml:space="preserve"> </w:t>
            </w:r>
            <w:r>
              <w:t>the</w:t>
            </w:r>
            <w:r>
              <w:rPr>
                <w:spacing w:val="-6"/>
              </w:rPr>
              <w:t xml:space="preserve"> </w:t>
            </w:r>
            <w:r>
              <w:t>Engaging</w:t>
            </w:r>
            <w:r>
              <w:rPr>
                <w:spacing w:val="-6"/>
              </w:rPr>
              <w:t xml:space="preserve"> </w:t>
            </w:r>
            <w:r>
              <w:t>Party Is Not the Responsible Party</w:t>
            </w:r>
          </w:p>
        </w:tc>
        <w:tc>
          <w:tcPr>
            <w:tcW w:w="786" w:type="dxa"/>
          </w:tcPr>
          <w:p w14:paraId="0DFDB196" w14:textId="77777777" w:rsidR="00046465" w:rsidRDefault="008134EB">
            <w:pPr>
              <w:pStyle w:val="TableParagraph"/>
              <w:spacing w:before="86"/>
              <w:ind w:left="148"/>
            </w:pPr>
            <w:r>
              <w:t>710</w:t>
            </w:r>
            <w:r>
              <w:rPr>
                <w:spacing w:val="-4"/>
              </w:rPr>
              <w:t xml:space="preserve"> </w:t>
            </w:r>
            <w:r>
              <w:rPr>
                <w:spacing w:val="-10"/>
              </w:rPr>
              <w:t>D</w:t>
            </w:r>
          </w:p>
        </w:tc>
      </w:tr>
      <w:tr w:rsidR="00046465" w14:paraId="0DFDB19A" w14:textId="77777777">
        <w:trPr>
          <w:trHeight w:val="339"/>
        </w:trPr>
        <w:tc>
          <w:tcPr>
            <w:tcW w:w="7463" w:type="dxa"/>
          </w:tcPr>
          <w:p w14:paraId="0DFDB198" w14:textId="77777777" w:rsidR="00046465" w:rsidRDefault="008134EB">
            <w:pPr>
              <w:pStyle w:val="TableParagraph"/>
              <w:spacing w:before="86" w:line="233" w:lineRule="exact"/>
              <w:ind w:left="50"/>
            </w:pPr>
            <w:r>
              <w:t>Agreed-Upon</w:t>
            </w:r>
            <w:r>
              <w:rPr>
                <w:spacing w:val="-14"/>
              </w:rPr>
              <w:t xml:space="preserve"> </w:t>
            </w:r>
            <w:r>
              <w:t>Procedures</w:t>
            </w:r>
            <w:r>
              <w:rPr>
                <w:spacing w:val="-13"/>
              </w:rPr>
              <w:t xml:space="preserve"> </w:t>
            </w:r>
            <w:r>
              <w:t>Engagement</w:t>
            </w:r>
            <w:r>
              <w:rPr>
                <w:spacing w:val="-14"/>
              </w:rPr>
              <w:t xml:space="preserve"> </w:t>
            </w:r>
            <w:r>
              <w:t>Completion</w:t>
            </w:r>
            <w:r>
              <w:rPr>
                <w:spacing w:val="-13"/>
              </w:rPr>
              <w:t xml:space="preserve"> </w:t>
            </w:r>
            <w:r>
              <w:rPr>
                <w:spacing w:val="-2"/>
              </w:rPr>
              <w:t>Checklist</w:t>
            </w:r>
          </w:p>
        </w:tc>
        <w:tc>
          <w:tcPr>
            <w:tcW w:w="786" w:type="dxa"/>
          </w:tcPr>
          <w:p w14:paraId="0DFDB199" w14:textId="77777777" w:rsidR="00046465" w:rsidRDefault="008134EB">
            <w:pPr>
              <w:pStyle w:val="TableParagraph"/>
              <w:spacing w:before="86" w:line="233" w:lineRule="exact"/>
              <w:ind w:left="148"/>
            </w:pPr>
            <w:r>
              <w:t>710</w:t>
            </w:r>
            <w:r>
              <w:rPr>
                <w:spacing w:val="-4"/>
              </w:rPr>
              <w:t xml:space="preserve"> </w:t>
            </w:r>
            <w:r>
              <w:rPr>
                <w:spacing w:val="-10"/>
              </w:rPr>
              <w:t>E</w:t>
            </w:r>
          </w:p>
        </w:tc>
      </w:tr>
    </w:tbl>
    <w:p w14:paraId="0DFDB19B" w14:textId="77777777" w:rsidR="00046465" w:rsidRDefault="00046465">
      <w:pPr>
        <w:pStyle w:val="TableParagraph"/>
        <w:spacing w:line="233" w:lineRule="exact"/>
        <w:sectPr w:rsidR="00046465">
          <w:headerReference w:type="default" r:id="rId80"/>
          <w:footerReference w:type="default" r:id="rId81"/>
          <w:pgSz w:w="12240" w:h="15840"/>
          <w:pgMar w:top="1340" w:right="720" w:bottom="940" w:left="1080" w:header="721" w:footer="757" w:gutter="0"/>
          <w:pgNumType w:start="700"/>
          <w:cols w:space="720"/>
        </w:sectPr>
      </w:pPr>
    </w:p>
    <w:p w14:paraId="0DFDB19C" w14:textId="77777777" w:rsidR="00046465" w:rsidRDefault="008134EB" w:rsidP="0035680C">
      <w:pPr>
        <w:pStyle w:val="Heading3"/>
        <w:ind w:right="630"/>
      </w:pPr>
      <w:bookmarkStart w:id="120" w:name="701_–_Assessing_Financial_Management_Sys"/>
      <w:bookmarkStart w:id="121" w:name="_bookmark41"/>
      <w:bookmarkEnd w:id="120"/>
      <w:bookmarkEnd w:id="121"/>
      <w:r>
        <w:lastRenderedPageBreak/>
        <w:t>701 – Assessing Financial Management Systems’</w:t>
      </w:r>
      <w:r>
        <w:rPr>
          <w:u w:val="none"/>
        </w:rPr>
        <w:t xml:space="preserve"> </w:t>
      </w:r>
      <w:r>
        <w:t>Compliance</w:t>
      </w:r>
      <w:r>
        <w:rPr>
          <w:spacing w:val="-8"/>
        </w:rPr>
        <w:t xml:space="preserve"> </w:t>
      </w:r>
      <w:r>
        <w:t>under</w:t>
      </w:r>
      <w:r>
        <w:rPr>
          <w:spacing w:val="-9"/>
        </w:rPr>
        <w:t xml:space="preserve"> </w:t>
      </w:r>
      <w:r>
        <w:t>the</w:t>
      </w:r>
      <w:r>
        <w:rPr>
          <w:spacing w:val="-9"/>
        </w:rPr>
        <w:t xml:space="preserve"> </w:t>
      </w:r>
      <w:r>
        <w:t>Federal</w:t>
      </w:r>
      <w:r>
        <w:rPr>
          <w:spacing w:val="-8"/>
        </w:rPr>
        <w:t xml:space="preserve"> </w:t>
      </w:r>
      <w:r>
        <w:t>Financial</w:t>
      </w:r>
      <w:r>
        <w:rPr>
          <w:spacing w:val="-9"/>
        </w:rPr>
        <w:t xml:space="preserve"> </w:t>
      </w:r>
      <w:r>
        <w:t>Management</w:t>
      </w:r>
      <w:r>
        <w:rPr>
          <w:u w:val="none"/>
        </w:rPr>
        <w:t xml:space="preserve"> </w:t>
      </w:r>
      <w:r>
        <w:t>Improvement Act of 1996 (FFMIA)</w:t>
      </w:r>
    </w:p>
    <w:p w14:paraId="0DFDB19D" w14:textId="77777777" w:rsidR="00046465" w:rsidRDefault="00046465">
      <w:pPr>
        <w:pStyle w:val="BodyText"/>
        <w:spacing w:before="47"/>
        <w:rPr>
          <w:b/>
        </w:rPr>
      </w:pPr>
    </w:p>
    <w:p w14:paraId="0DFDB19E" w14:textId="77777777" w:rsidR="00046465" w:rsidRDefault="008134EB">
      <w:pPr>
        <w:pStyle w:val="ListParagraph"/>
        <w:numPr>
          <w:ilvl w:val="0"/>
          <w:numId w:val="12"/>
        </w:numPr>
        <w:tabs>
          <w:tab w:val="left" w:pos="1800"/>
        </w:tabs>
        <w:spacing w:before="0"/>
        <w:ind w:right="886"/>
      </w:pPr>
      <w:r>
        <w:t>FFMIA</w:t>
      </w:r>
      <w:r>
        <w:rPr>
          <w:spacing w:val="-4"/>
        </w:rPr>
        <w:t xml:space="preserve"> </w:t>
      </w:r>
      <w:r>
        <w:t>section</w:t>
      </w:r>
      <w:r>
        <w:rPr>
          <w:spacing w:val="-4"/>
        </w:rPr>
        <w:t xml:space="preserve"> </w:t>
      </w:r>
      <w:r>
        <w:t>803(a)</w:t>
      </w:r>
      <w:r>
        <w:rPr>
          <w:spacing w:val="-4"/>
        </w:rPr>
        <w:t xml:space="preserve"> </w:t>
      </w:r>
      <w:r>
        <w:t>requires</w:t>
      </w:r>
      <w:r>
        <w:rPr>
          <w:spacing w:val="-4"/>
        </w:rPr>
        <w:t xml:space="preserve"> </w:t>
      </w:r>
      <w:r>
        <w:t>the</w:t>
      </w:r>
      <w:r>
        <w:rPr>
          <w:spacing w:val="-4"/>
        </w:rPr>
        <w:t xml:space="preserve"> </w:t>
      </w:r>
      <w:r>
        <w:t>24</w:t>
      </w:r>
      <w:r>
        <w:rPr>
          <w:spacing w:val="-4"/>
        </w:rPr>
        <w:t xml:space="preserve"> </w:t>
      </w:r>
      <w:r>
        <w:t>Chief</w:t>
      </w:r>
      <w:r>
        <w:rPr>
          <w:spacing w:val="-4"/>
        </w:rPr>
        <w:t xml:space="preserve"> </w:t>
      </w:r>
      <w:r>
        <w:t>Financial</w:t>
      </w:r>
      <w:r>
        <w:rPr>
          <w:spacing w:val="-4"/>
        </w:rPr>
        <w:t xml:space="preserve"> </w:t>
      </w:r>
      <w:r>
        <w:t>Officers</w:t>
      </w:r>
      <w:r>
        <w:rPr>
          <w:spacing w:val="-4"/>
        </w:rPr>
        <w:t xml:space="preserve"> </w:t>
      </w:r>
      <w:r>
        <w:t>Act</w:t>
      </w:r>
      <w:r>
        <w:rPr>
          <w:spacing w:val="-4"/>
        </w:rPr>
        <w:t xml:space="preserve"> </w:t>
      </w:r>
      <w:r>
        <w:t>of</w:t>
      </w:r>
      <w:r>
        <w:rPr>
          <w:spacing w:val="-4"/>
        </w:rPr>
        <w:t xml:space="preserve"> </w:t>
      </w:r>
      <w:r>
        <w:t>1990</w:t>
      </w:r>
      <w:r>
        <w:rPr>
          <w:spacing w:val="-4"/>
        </w:rPr>
        <w:t xml:space="preserve"> </w:t>
      </w:r>
      <w:r>
        <w:t>(CFO Act) agencies to implement and maintain financial management systems that comply substantially with</w:t>
      </w:r>
    </w:p>
    <w:p w14:paraId="0DFDB19F" w14:textId="77777777" w:rsidR="00046465" w:rsidRDefault="008134EB">
      <w:pPr>
        <w:pStyle w:val="ListParagraph"/>
        <w:numPr>
          <w:ilvl w:val="1"/>
          <w:numId w:val="12"/>
        </w:numPr>
        <w:tabs>
          <w:tab w:val="left" w:pos="2159"/>
        </w:tabs>
        <w:ind w:left="2159" w:hanging="359"/>
      </w:pPr>
      <w:r>
        <w:t>federal</w:t>
      </w:r>
      <w:r>
        <w:rPr>
          <w:spacing w:val="-11"/>
        </w:rPr>
        <w:t xml:space="preserve"> </w:t>
      </w:r>
      <w:r>
        <w:t>financial</w:t>
      </w:r>
      <w:r>
        <w:rPr>
          <w:spacing w:val="-10"/>
        </w:rPr>
        <w:t xml:space="preserve"> </w:t>
      </w:r>
      <w:r>
        <w:t>management</w:t>
      </w:r>
      <w:r>
        <w:rPr>
          <w:spacing w:val="-10"/>
        </w:rPr>
        <w:t xml:space="preserve"> </w:t>
      </w:r>
      <w:r>
        <w:t>systems</w:t>
      </w:r>
      <w:r>
        <w:rPr>
          <w:spacing w:val="-10"/>
        </w:rPr>
        <w:t xml:space="preserve"> </w:t>
      </w:r>
      <w:r>
        <w:rPr>
          <w:spacing w:val="-2"/>
        </w:rPr>
        <w:t>requirements,</w:t>
      </w:r>
    </w:p>
    <w:p w14:paraId="0DFDB1A0" w14:textId="77777777" w:rsidR="00046465" w:rsidRDefault="008134EB">
      <w:pPr>
        <w:pStyle w:val="ListParagraph"/>
        <w:numPr>
          <w:ilvl w:val="1"/>
          <w:numId w:val="12"/>
        </w:numPr>
        <w:tabs>
          <w:tab w:val="left" w:pos="2159"/>
        </w:tabs>
        <w:ind w:left="2159" w:hanging="359"/>
      </w:pPr>
      <w:r>
        <w:t>applicable</w:t>
      </w:r>
      <w:r>
        <w:rPr>
          <w:spacing w:val="-12"/>
        </w:rPr>
        <w:t xml:space="preserve"> </w:t>
      </w:r>
      <w:r>
        <w:t>federal</w:t>
      </w:r>
      <w:r>
        <w:rPr>
          <w:spacing w:val="-10"/>
        </w:rPr>
        <w:t xml:space="preserve"> </w:t>
      </w:r>
      <w:r>
        <w:t>accounting</w:t>
      </w:r>
      <w:r>
        <w:rPr>
          <w:spacing w:val="-11"/>
        </w:rPr>
        <w:t xml:space="preserve"> </w:t>
      </w:r>
      <w:r>
        <w:t>standards,</w:t>
      </w:r>
      <w:r>
        <w:rPr>
          <w:spacing w:val="-10"/>
        </w:rPr>
        <w:t xml:space="preserve"> </w:t>
      </w:r>
      <w:r>
        <w:rPr>
          <w:spacing w:val="-5"/>
        </w:rPr>
        <w:t>and</w:t>
      </w:r>
    </w:p>
    <w:p w14:paraId="0DFDB1A1" w14:textId="77777777" w:rsidR="00046465" w:rsidRDefault="008134EB">
      <w:pPr>
        <w:pStyle w:val="ListParagraph"/>
        <w:numPr>
          <w:ilvl w:val="1"/>
          <w:numId w:val="12"/>
        </w:numPr>
        <w:tabs>
          <w:tab w:val="left" w:pos="2158"/>
        </w:tabs>
        <w:ind w:left="2158" w:hanging="359"/>
      </w:pPr>
      <w:r>
        <w:t>the</w:t>
      </w:r>
      <w:r>
        <w:rPr>
          <w:spacing w:val="-8"/>
        </w:rPr>
        <w:t xml:space="preserve"> </w:t>
      </w:r>
      <w:r>
        <w:rPr>
          <w:i/>
        </w:rPr>
        <w:t>U.S.</w:t>
      </w:r>
      <w:r>
        <w:rPr>
          <w:i/>
          <w:spacing w:val="-7"/>
        </w:rPr>
        <w:t xml:space="preserve"> </w:t>
      </w:r>
      <w:r>
        <w:rPr>
          <w:i/>
        </w:rPr>
        <w:t>Standard</w:t>
      </w:r>
      <w:r>
        <w:rPr>
          <w:i/>
          <w:spacing w:val="-7"/>
        </w:rPr>
        <w:t xml:space="preserve"> </w:t>
      </w:r>
      <w:r>
        <w:rPr>
          <w:i/>
        </w:rPr>
        <w:t>General</w:t>
      </w:r>
      <w:r>
        <w:rPr>
          <w:i/>
          <w:spacing w:val="-7"/>
        </w:rPr>
        <w:t xml:space="preserve"> </w:t>
      </w:r>
      <w:r>
        <w:rPr>
          <w:i/>
        </w:rPr>
        <w:t>Ledger</w:t>
      </w:r>
      <w:r>
        <w:rPr>
          <w:i/>
          <w:spacing w:val="-7"/>
        </w:rPr>
        <w:t xml:space="preserve"> </w:t>
      </w:r>
      <w:r>
        <w:t>(USSGL)</w:t>
      </w:r>
      <w:r>
        <w:rPr>
          <w:spacing w:val="-8"/>
        </w:rPr>
        <w:t xml:space="preserve"> </w:t>
      </w:r>
      <w:r>
        <w:t>at</w:t>
      </w:r>
      <w:r>
        <w:rPr>
          <w:spacing w:val="-7"/>
        </w:rPr>
        <w:t xml:space="preserve"> </w:t>
      </w:r>
      <w:r>
        <w:t>the</w:t>
      </w:r>
      <w:r>
        <w:rPr>
          <w:spacing w:val="-7"/>
        </w:rPr>
        <w:t xml:space="preserve"> </w:t>
      </w:r>
      <w:r>
        <w:t>transaction</w:t>
      </w:r>
      <w:r>
        <w:rPr>
          <w:spacing w:val="-7"/>
        </w:rPr>
        <w:t xml:space="preserve"> </w:t>
      </w:r>
      <w:r>
        <w:rPr>
          <w:spacing w:val="-2"/>
        </w:rPr>
        <w:t>level.</w:t>
      </w:r>
    </w:p>
    <w:p w14:paraId="0DFDB1A2" w14:textId="77777777" w:rsidR="00046465" w:rsidRDefault="008134EB">
      <w:pPr>
        <w:pStyle w:val="ListParagraph"/>
        <w:numPr>
          <w:ilvl w:val="0"/>
          <w:numId w:val="12"/>
        </w:numPr>
        <w:tabs>
          <w:tab w:val="left" w:pos="1799"/>
        </w:tabs>
        <w:ind w:left="1799" w:right="799"/>
      </w:pPr>
      <w:r>
        <w:t>The law also requires the heads of CFO Act agencies and the auditors of their financial</w:t>
      </w:r>
      <w:r>
        <w:rPr>
          <w:spacing w:val="-5"/>
        </w:rPr>
        <w:t xml:space="preserve"> </w:t>
      </w:r>
      <w:r>
        <w:t>statements</w:t>
      </w:r>
      <w:r>
        <w:rPr>
          <w:spacing w:val="-5"/>
        </w:rPr>
        <w:t xml:space="preserve"> </w:t>
      </w:r>
      <w:r>
        <w:t>to</w:t>
      </w:r>
      <w:r>
        <w:rPr>
          <w:spacing w:val="-5"/>
        </w:rPr>
        <w:t xml:space="preserve"> </w:t>
      </w:r>
      <w:r>
        <w:t>report</w:t>
      </w:r>
      <w:r>
        <w:rPr>
          <w:spacing w:val="-5"/>
        </w:rPr>
        <w:t xml:space="preserve"> </w:t>
      </w:r>
      <w:r>
        <w:t>annually</w:t>
      </w:r>
      <w:r>
        <w:rPr>
          <w:spacing w:val="-5"/>
        </w:rPr>
        <w:t xml:space="preserve"> </w:t>
      </w:r>
      <w:r>
        <w:t>on</w:t>
      </w:r>
      <w:r>
        <w:rPr>
          <w:spacing w:val="-5"/>
        </w:rPr>
        <w:t xml:space="preserve"> </w:t>
      </w:r>
      <w:r>
        <w:t>whether</w:t>
      </w:r>
      <w:r>
        <w:rPr>
          <w:spacing w:val="-5"/>
        </w:rPr>
        <w:t xml:space="preserve"> </w:t>
      </w:r>
      <w:r>
        <w:t>agency</w:t>
      </w:r>
      <w:r>
        <w:rPr>
          <w:spacing w:val="-5"/>
        </w:rPr>
        <w:t xml:space="preserve"> </w:t>
      </w:r>
      <w:r>
        <w:t>financial</w:t>
      </w:r>
      <w:r>
        <w:rPr>
          <w:spacing w:val="-5"/>
        </w:rPr>
        <w:t xml:space="preserve"> </w:t>
      </w:r>
      <w:r>
        <w:t>management systems complied substantially with these three requirements.</w:t>
      </w:r>
    </w:p>
    <w:p w14:paraId="0DFDB1A3" w14:textId="77777777" w:rsidR="00046465" w:rsidRDefault="008134EB">
      <w:pPr>
        <w:pStyle w:val="ListParagraph"/>
        <w:numPr>
          <w:ilvl w:val="0"/>
          <w:numId w:val="12"/>
        </w:numPr>
        <w:tabs>
          <w:tab w:val="left" w:pos="1800"/>
        </w:tabs>
        <w:spacing w:before="119"/>
        <w:ind w:right="752"/>
      </w:pPr>
      <w:r>
        <w:t xml:space="preserve">The current guidance for federal financial management systems is Office of Management and Budget (OMB) Circular No. A-123, appendix D, </w:t>
      </w:r>
      <w:r>
        <w:rPr>
          <w:i/>
        </w:rPr>
        <w:t>Management of</w:t>
      </w:r>
      <w:r>
        <w:rPr>
          <w:i/>
          <w:spacing w:val="-4"/>
        </w:rPr>
        <w:t xml:space="preserve"> </w:t>
      </w:r>
      <w:r>
        <w:rPr>
          <w:i/>
        </w:rPr>
        <w:t>Financial</w:t>
      </w:r>
      <w:r>
        <w:rPr>
          <w:i/>
          <w:spacing w:val="-5"/>
        </w:rPr>
        <w:t xml:space="preserve"> </w:t>
      </w:r>
      <w:r>
        <w:rPr>
          <w:i/>
        </w:rPr>
        <w:t>Management</w:t>
      </w:r>
      <w:r>
        <w:rPr>
          <w:i/>
          <w:spacing w:val="-4"/>
        </w:rPr>
        <w:t xml:space="preserve"> </w:t>
      </w:r>
      <w:r>
        <w:rPr>
          <w:i/>
        </w:rPr>
        <w:t>Systems</w:t>
      </w:r>
      <w:r>
        <w:rPr>
          <w:i/>
          <w:spacing w:val="-4"/>
        </w:rPr>
        <w:t xml:space="preserve"> </w:t>
      </w:r>
      <w:r>
        <w:rPr>
          <w:i/>
        </w:rPr>
        <w:t>–</w:t>
      </w:r>
      <w:r>
        <w:rPr>
          <w:i/>
          <w:spacing w:val="-4"/>
        </w:rPr>
        <w:t xml:space="preserve"> </w:t>
      </w:r>
      <w:r>
        <w:rPr>
          <w:i/>
        </w:rPr>
        <w:t>Risk</w:t>
      </w:r>
      <w:r>
        <w:rPr>
          <w:i/>
          <w:spacing w:val="-4"/>
        </w:rPr>
        <w:t xml:space="preserve"> </w:t>
      </w:r>
      <w:r>
        <w:rPr>
          <w:i/>
        </w:rPr>
        <w:t>and</w:t>
      </w:r>
      <w:r>
        <w:rPr>
          <w:i/>
          <w:spacing w:val="-4"/>
        </w:rPr>
        <w:t xml:space="preserve"> </w:t>
      </w:r>
      <w:r>
        <w:rPr>
          <w:i/>
        </w:rPr>
        <w:t>Compliance</w:t>
      </w:r>
      <w:r>
        <w:t>.</w:t>
      </w:r>
      <w:r>
        <w:rPr>
          <w:spacing w:val="-4"/>
        </w:rPr>
        <w:t xml:space="preserve"> </w:t>
      </w:r>
      <w:r>
        <w:t>OMB</w:t>
      </w:r>
      <w:r>
        <w:rPr>
          <w:spacing w:val="-4"/>
        </w:rPr>
        <w:t xml:space="preserve"> </w:t>
      </w:r>
      <w:r>
        <w:t>Bulletin</w:t>
      </w:r>
      <w:r>
        <w:rPr>
          <w:spacing w:val="-4"/>
        </w:rPr>
        <w:t xml:space="preserve"> </w:t>
      </w:r>
      <w:r>
        <w:t>No.</w:t>
      </w:r>
      <w:r>
        <w:rPr>
          <w:spacing w:val="-4"/>
        </w:rPr>
        <w:t xml:space="preserve"> </w:t>
      </w:r>
      <w:r>
        <w:t xml:space="preserve">24-02, </w:t>
      </w:r>
      <w:r>
        <w:rPr>
          <w:i/>
        </w:rPr>
        <w:t>Audit Requirements for Federal Financial Statements</w:t>
      </w:r>
      <w:r>
        <w:t>,</w:t>
      </w:r>
      <w:hyperlink w:anchor="_bookmark42" w:history="1">
        <w:r>
          <w:rPr>
            <w:position w:val="7"/>
            <w:sz w:val="14"/>
          </w:rPr>
          <w:t>1</w:t>
        </w:r>
      </w:hyperlink>
      <w:r>
        <w:rPr>
          <w:spacing w:val="39"/>
          <w:position w:val="7"/>
          <w:sz w:val="14"/>
        </w:rPr>
        <w:t xml:space="preserve"> </w:t>
      </w:r>
      <w:r>
        <w:t>provides additional information regarding FFMIA audit requirements.</w:t>
      </w:r>
    </w:p>
    <w:p w14:paraId="0DFDB1A4" w14:textId="77777777" w:rsidR="00046465" w:rsidRDefault="008134EB">
      <w:pPr>
        <w:pStyle w:val="ListParagraph"/>
        <w:numPr>
          <w:ilvl w:val="0"/>
          <w:numId w:val="12"/>
        </w:numPr>
        <w:tabs>
          <w:tab w:val="left" w:pos="1800"/>
        </w:tabs>
        <w:ind w:right="726"/>
      </w:pPr>
      <w:r>
        <w:t>This section provides guidance to help the auditor determine whether the agency’s</w:t>
      </w:r>
      <w:r>
        <w:rPr>
          <w:spacing w:val="-6"/>
        </w:rPr>
        <w:t xml:space="preserve"> </w:t>
      </w:r>
      <w:r>
        <w:t>financial</w:t>
      </w:r>
      <w:r>
        <w:rPr>
          <w:spacing w:val="-5"/>
        </w:rPr>
        <w:t xml:space="preserve"> </w:t>
      </w:r>
      <w:r>
        <w:t>management</w:t>
      </w:r>
      <w:r>
        <w:rPr>
          <w:spacing w:val="-5"/>
        </w:rPr>
        <w:t xml:space="preserve"> </w:t>
      </w:r>
      <w:r>
        <w:t>systems</w:t>
      </w:r>
      <w:r>
        <w:rPr>
          <w:spacing w:val="-5"/>
        </w:rPr>
        <w:t xml:space="preserve"> </w:t>
      </w:r>
      <w:r>
        <w:t>comply</w:t>
      </w:r>
      <w:r>
        <w:rPr>
          <w:spacing w:val="-5"/>
        </w:rPr>
        <w:t xml:space="preserve"> </w:t>
      </w:r>
      <w:r>
        <w:t>substantially</w:t>
      </w:r>
      <w:r>
        <w:rPr>
          <w:spacing w:val="-5"/>
        </w:rPr>
        <w:t xml:space="preserve"> </w:t>
      </w:r>
      <w:r>
        <w:t>with</w:t>
      </w:r>
      <w:r>
        <w:rPr>
          <w:spacing w:val="-5"/>
        </w:rPr>
        <w:t xml:space="preserve"> </w:t>
      </w:r>
      <w:r>
        <w:t>FFMIA</w:t>
      </w:r>
      <w:r>
        <w:rPr>
          <w:spacing w:val="-5"/>
        </w:rPr>
        <w:t xml:space="preserve"> </w:t>
      </w:r>
      <w:r>
        <w:t>section 803(a) requirements. It provides definitions, explains the requirements, and discusses related guidance as well as audit issues related to testing for such compliance. An example audit plan is included in FAM 701 A.</w:t>
      </w:r>
    </w:p>
    <w:p w14:paraId="0DFDB1A5" w14:textId="77777777" w:rsidR="00046465" w:rsidRDefault="008134EB">
      <w:pPr>
        <w:pStyle w:val="Heading4"/>
        <w:spacing w:before="121"/>
      </w:pPr>
      <w:bookmarkStart w:id="122" w:name="FFMIA_Definitions"/>
      <w:bookmarkEnd w:id="122"/>
      <w:r>
        <w:t>FFMIA</w:t>
      </w:r>
      <w:r>
        <w:rPr>
          <w:spacing w:val="-12"/>
        </w:rPr>
        <w:t xml:space="preserve"> </w:t>
      </w:r>
      <w:r>
        <w:rPr>
          <w:spacing w:val="-2"/>
        </w:rPr>
        <w:t>Definitions</w:t>
      </w:r>
    </w:p>
    <w:p w14:paraId="0DFDB1A6" w14:textId="77777777" w:rsidR="00046465" w:rsidRDefault="008134EB">
      <w:pPr>
        <w:pStyle w:val="ListParagraph"/>
        <w:numPr>
          <w:ilvl w:val="0"/>
          <w:numId w:val="12"/>
        </w:numPr>
        <w:tabs>
          <w:tab w:val="left" w:pos="1799"/>
        </w:tabs>
        <w:ind w:left="1799" w:hanging="719"/>
      </w:pPr>
      <w:r>
        <w:t>FFMIA</w:t>
      </w:r>
      <w:r>
        <w:rPr>
          <w:spacing w:val="-8"/>
        </w:rPr>
        <w:t xml:space="preserve"> </w:t>
      </w:r>
      <w:r>
        <w:t>includes</w:t>
      </w:r>
      <w:r>
        <w:rPr>
          <w:spacing w:val="-7"/>
        </w:rPr>
        <w:t xml:space="preserve"> </w:t>
      </w:r>
      <w:r>
        <w:t>the</w:t>
      </w:r>
      <w:r>
        <w:rPr>
          <w:spacing w:val="-7"/>
        </w:rPr>
        <w:t xml:space="preserve"> </w:t>
      </w:r>
      <w:r>
        <w:t>following</w:t>
      </w:r>
      <w:r>
        <w:rPr>
          <w:spacing w:val="-8"/>
        </w:rPr>
        <w:t xml:space="preserve"> </w:t>
      </w:r>
      <w:r>
        <w:rPr>
          <w:spacing w:val="-2"/>
        </w:rPr>
        <w:t>definitions:</w:t>
      </w:r>
    </w:p>
    <w:p w14:paraId="0DFDB1A7" w14:textId="77777777" w:rsidR="00046465" w:rsidRDefault="008134EB">
      <w:pPr>
        <w:pStyle w:val="ListParagraph"/>
        <w:numPr>
          <w:ilvl w:val="1"/>
          <w:numId w:val="12"/>
        </w:numPr>
        <w:tabs>
          <w:tab w:val="left" w:pos="2160"/>
        </w:tabs>
        <w:spacing w:before="119"/>
        <w:ind w:right="1026"/>
        <w:rPr>
          <w:position w:val="7"/>
          <w:sz w:val="14"/>
        </w:rPr>
      </w:pPr>
      <w:r>
        <w:t>Financial management systems include the financial systems and the financial portions of mixed systems necessary to support financial management, including automated and manual processes, procedures, controls,</w:t>
      </w:r>
      <w:r>
        <w:rPr>
          <w:spacing w:val="-5"/>
        </w:rPr>
        <w:t xml:space="preserve"> </w:t>
      </w:r>
      <w:r>
        <w:t>data,</w:t>
      </w:r>
      <w:r>
        <w:rPr>
          <w:spacing w:val="-5"/>
        </w:rPr>
        <w:t xml:space="preserve"> </w:t>
      </w:r>
      <w:r>
        <w:t>hardware,</w:t>
      </w:r>
      <w:r>
        <w:rPr>
          <w:spacing w:val="-5"/>
        </w:rPr>
        <w:t xml:space="preserve"> </w:t>
      </w:r>
      <w:r>
        <w:t>software,</w:t>
      </w:r>
      <w:r>
        <w:rPr>
          <w:spacing w:val="-5"/>
        </w:rPr>
        <w:t xml:space="preserve"> </w:t>
      </w:r>
      <w:r>
        <w:t>and</w:t>
      </w:r>
      <w:r>
        <w:rPr>
          <w:spacing w:val="-5"/>
        </w:rPr>
        <w:t xml:space="preserve"> </w:t>
      </w:r>
      <w:r>
        <w:t>support</w:t>
      </w:r>
      <w:r>
        <w:rPr>
          <w:spacing w:val="-5"/>
        </w:rPr>
        <w:t xml:space="preserve"> </w:t>
      </w:r>
      <w:r>
        <w:t>personnel</w:t>
      </w:r>
      <w:r>
        <w:rPr>
          <w:spacing w:val="-5"/>
        </w:rPr>
        <w:t xml:space="preserve"> </w:t>
      </w:r>
      <w:r>
        <w:t>dedicated</w:t>
      </w:r>
      <w:r>
        <w:rPr>
          <w:spacing w:val="-5"/>
        </w:rPr>
        <w:t xml:space="preserve"> </w:t>
      </w:r>
      <w:r>
        <w:t>to</w:t>
      </w:r>
      <w:r>
        <w:rPr>
          <w:spacing w:val="-5"/>
        </w:rPr>
        <w:t xml:space="preserve"> </w:t>
      </w:r>
      <w:r>
        <w:t>the operation and maintenance of system functions.</w:t>
      </w:r>
      <w:hyperlink w:anchor="_bookmark43" w:history="1">
        <w:r>
          <w:rPr>
            <w:position w:val="7"/>
            <w:sz w:val="14"/>
          </w:rPr>
          <w:t>2</w:t>
        </w:r>
      </w:hyperlink>
    </w:p>
    <w:p w14:paraId="0DFDB1A8" w14:textId="77777777" w:rsidR="00046465" w:rsidRDefault="008134EB">
      <w:pPr>
        <w:pStyle w:val="ListParagraph"/>
        <w:numPr>
          <w:ilvl w:val="1"/>
          <w:numId w:val="12"/>
        </w:numPr>
        <w:tabs>
          <w:tab w:val="left" w:pos="2160"/>
        </w:tabs>
        <w:ind w:right="953"/>
      </w:pPr>
      <w:r>
        <w:t>Financial</w:t>
      </w:r>
      <w:r>
        <w:rPr>
          <w:spacing w:val="-8"/>
        </w:rPr>
        <w:t xml:space="preserve"> </w:t>
      </w:r>
      <w:r>
        <w:t>system</w:t>
      </w:r>
      <w:r>
        <w:rPr>
          <w:spacing w:val="-5"/>
        </w:rPr>
        <w:t xml:space="preserve"> </w:t>
      </w:r>
      <w:r>
        <w:t>includes</w:t>
      </w:r>
      <w:r>
        <w:rPr>
          <w:spacing w:val="-4"/>
        </w:rPr>
        <w:t xml:space="preserve"> </w:t>
      </w:r>
      <w:r>
        <w:t>an</w:t>
      </w:r>
      <w:r>
        <w:rPr>
          <w:spacing w:val="-4"/>
        </w:rPr>
        <w:t xml:space="preserve"> </w:t>
      </w:r>
      <w:r>
        <w:t>information</w:t>
      </w:r>
      <w:r>
        <w:rPr>
          <w:spacing w:val="-4"/>
        </w:rPr>
        <w:t xml:space="preserve"> </w:t>
      </w:r>
      <w:r>
        <w:t>system,</w:t>
      </w:r>
      <w:r>
        <w:rPr>
          <w:spacing w:val="-21"/>
        </w:rPr>
        <w:t xml:space="preserve"> </w:t>
      </w:r>
      <w:r>
        <w:t>comprised</w:t>
      </w:r>
      <w:r>
        <w:rPr>
          <w:spacing w:val="-4"/>
        </w:rPr>
        <w:t xml:space="preserve"> </w:t>
      </w:r>
      <w:r>
        <w:t>of</w:t>
      </w:r>
      <w:r>
        <w:rPr>
          <w:spacing w:val="-4"/>
        </w:rPr>
        <w:t xml:space="preserve"> </w:t>
      </w:r>
      <w:r>
        <w:t>one</w:t>
      </w:r>
      <w:r>
        <w:rPr>
          <w:spacing w:val="-4"/>
        </w:rPr>
        <w:t xml:space="preserve"> </w:t>
      </w:r>
      <w:r>
        <w:t>or</w:t>
      </w:r>
      <w:r>
        <w:rPr>
          <w:spacing w:val="-6"/>
        </w:rPr>
        <w:t xml:space="preserve"> </w:t>
      </w:r>
      <w:r>
        <w:t>more applications, that is used for</w:t>
      </w:r>
    </w:p>
    <w:p w14:paraId="0DFDB1A9" w14:textId="77777777" w:rsidR="00046465" w:rsidRDefault="008134EB">
      <w:pPr>
        <w:pStyle w:val="ListParagraph"/>
        <w:numPr>
          <w:ilvl w:val="2"/>
          <w:numId w:val="12"/>
        </w:numPr>
        <w:tabs>
          <w:tab w:val="left" w:pos="2520"/>
        </w:tabs>
        <w:ind w:right="961"/>
      </w:pPr>
      <w:r>
        <w:t>collecting,</w:t>
      </w:r>
      <w:r>
        <w:rPr>
          <w:spacing w:val="-6"/>
        </w:rPr>
        <w:t xml:space="preserve"> </w:t>
      </w:r>
      <w:r>
        <w:t>processing,</w:t>
      </w:r>
      <w:r>
        <w:rPr>
          <w:spacing w:val="-8"/>
        </w:rPr>
        <w:t xml:space="preserve"> </w:t>
      </w:r>
      <w:r>
        <w:t>maintaining,</w:t>
      </w:r>
      <w:r>
        <w:rPr>
          <w:spacing w:val="-6"/>
        </w:rPr>
        <w:t xml:space="preserve"> </w:t>
      </w:r>
      <w:r>
        <w:t>transmitting,</w:t>
      </w:r>
      <w:r>
        <w:rPr>
          <w:spacing w:val="-6"/>
        </w:rPr>
        <w:t xml:space="preserve"> </w:t>
      </w:r>
      <w:r>
        <w:t>or</w:t>
      </w:r>
      <w:r>
        <w:rPr>
          <w:spacing w:val="-6"/>
        </w:rPr>
        <w:t xml:space="preserve"> </w:t>
      </w:r>
      <w:r>
        <w:t>reporting</w:t>
      </w:r>
      <w:r>
        <w:rPr>
          <w:spacing w:val="-6"/>
        </w:rPr>
        <w:t xml:space="preserve"> </w:t>
      </w:r>
      <w:r>
        <w:t>data</w:t>
      </w:r>
      <w:r>
        <w:rPr>
          <w:spacing w:val="-6"/>
        </w:rPr>
        <w:t xml:space="preserve"> </w:t>
      </w:r>
      <w:r>
        <w:t>about financial events;</w:t>
      </w:r>
    </w:p>
    <w:p w14:paraId="0DFDB1AA" w14:textId="77777777" w:rsidR="00046465" w:rsidRDefault="00046465">
      <w:pPr>
        <w:pStyle w:val="BodyText"/>
        <w:rPr>
          <w:sz w:val="20"/>
        </w:rPr>
      </w:pPr>
    </w:p>
    <w:p w14:paraId="0DFDB1AB" w14:textId="77777777" w:rsidR="00046465" w:rsidRDefault="008134EB">
      <w:pPr>
        <w:pStyle w:val="BodyText"/>
        <w:spacing w:before="12"/>
        <w:rPr>
          <w:sz w:val="20"/>
        </w:rPr>
      </w:pPr>
      <w:r>
        <w:rPr>
          <w:noProof/>
          <w:sz w:val="20"/>
        </w:rPr>
        <mc:AlternateContent>
          <mc:Choice Requires="wps">
            <w:drawing>
              <wp:anchor distT="0" distB="0" distL="0" distR="0" simplePos="0" relativeHeight="487615488" behindDoc="1" locked="0" layoutInCell="1" allowOverlap="1" wp14:anchorId="0DFDD57F" wp14:editId="0DFDD580">
                <wp:simplePos x="0" y="0"/>
                <wp:positionH relativeFrom="page">
                  <wp:posOffset>914400</wp:posOffset>
                </wp:positionH>
                <wp:positionV relativeFrom="paragraph">
                  <wp:posOffset>168949</wp:posOffset>
                </wp:positionV>
                <wp:extent cx="1828800" cy="5715"/>
                <wp:effectExtent l="0" t="0" r="0" b="0"/>
                <wp:wrapTopAndBottom/>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09952B" id="Graphic 294" o:spid="_x0000_s1026" style="position:absolute;margin-left:1in;margin-top:13.3pt;width:2in;height:.45pt;z-index:-1570099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" path="m1828800,l,,,5321r1828800,l1828800,xe" fillcolor="black" stroked="f">
                <v:path arrowok="t"/>
                <w10:wrap type="topAndBottom" anchorx="page"/>
              </v:shape>
            </w:pict>
          </mc:Fallback>
        </mc:AlternateContent>
      </w:r>
    </w:p>
    <w:p w14:paraId="0DFDB1AC" w14:textId="77777777" w:rsidR="00046465" w:rsidRDefault="00046465">
      <w:pPr>
        <w:pStyle w:val="BodyText"/>
        <w:spacing w:before="53"/>
        <w:rPr>
          <w:sz w:val="18"/>
        </w:rPr>
      </w:pPr>
    </w:p>
    <w:p w14:paraId="0DFDB1AD" w14:textId="77777777" w:rsidR="00046465" w:rsidRDefault="008134EB">
      <w:pPr>
        <w:spacing w:line="244" w:lineRule="auto"/>
        <w:ind w:left="360" w:right="1155" w:hanging="1"/>
        <w:rPr>
          <w:sz w:val="18"/>
        </w:rPr>
      </w:pPr>
      <w:bookmarkStart w:id="123" w:name="_bookmark42"/>
      <w:bookmarkEnd w:id="123"/>
      <w:r>
        <w:rPr>
          <w:position w:val="7"/>
          <w:sz w:val="14"/>
        </w:rPr>
        <w:t>1</w:t>
      </w:r>
      <w:r>
        <w:rPr>
          <w:sz w:val="18"/>
        </w:rPr>
        <w:t xml:space="preserve">This bulletin, issued on July 29, 2024, can be found at </w:t>
      </w:r>
      <w:hyperlink r:id="rId82">
        <w:r>
          <w:rPr>
            <w:color w:val="0000FF"/>
            <w:sz w:val="18"/>
          </w:rPr>
          <w:t>https://www.whitehouse.gov/wp-</w:t>
        </w:r>
      </w:hyperlink>
      <w:hyperlink r:id="rId83">
        <w:r>
          <w:rPr>
            <w:color w:val="0000FF"/>
            <w:sz w:val="18"/>
          </w:rPr>
          <w:t>content/uploads/2024/07/OMB-Bulletin-No.-24-02.pdf</w:t>
        </w:r>
      </w:hyperlink>
      <w:r>
        <w:rPr>
          <w:color w:val="0000FF"/>
          <w:spacing w:val="-5"/>
          <w:sz w:val="18"/>
        </w:rPr>
        <w:t xml:space="preserve"> </w:t>
      </w:r>
      <w:r>
        <w:rPr>
          <w:sz w:val="18"/>
        </w:rPr>
        <w:t>(accessed</w:t>
      </w:r>
      <w:r>
        <w:rPr>
          <w:spacing w:val="-6"/>
          <w:sz w:val="18"/>
        </w:rPr>
        <w:t xml:space="preserve"> </w:t>
      </w:r>
      <w:r>
        <w:rPr>
          <w:sz w:val="18"/>
        </w:rPr>
        <w:t>May</w:t>
      </w:r>
      <w:r>
        <w:rPr>
          <w:spacing w:val="-5"/>
          <w:sz w:val="18"/>
        </w:rPr>
        <w:t xml:space="preserve"> </w:t>
      </w:r>
      <w:r>
        <w:rPr>
          <w:sz w:val="18"/>
        </w:rPr>
        <w:t>29,</w:t>
      </w:r>
      <w:r>
        <w:rPr>
          <w:spacing w:val="-5"/>
          <w:sz w:val="18"/>
        </w:rPr>
        <w:t xml:space="preserve"> </w:t>
      </w:r>
      <w:r>
        <w:rPr>
          <w:sz w:val="18"/>
        </w:rPr>
        <w:t>2026).</w:t>
      </w:r>
      <w:r>
        <w:rPr>
          <w:spacing w:val="-5"/>
          <w:sz w:val="18"/>
        </w:rPr>
        <w:t xml:space="preserve"> </w:t>
      </w:r>
      <w:r>
        <w:rPr>
          <w:sz w:val="18"/>
        </w:rPr>
        <w:t>OMB</w:t>
      </w:r>
      <w:r>
        <w:rPr>
          <w:spacing w:val="-5"/>
          <w:sz w:val="18"/>
        </w:rPr>
        <w:t xml:space="preserve"> </w:t>
      </w:r>
      <w:r>
        <w:rPr>
          <w:sz w:val="18"/>
        </w:rPr>
        <w:t>audit</w:t>
      </w:r>
      <w:r>
        <w:rPr>
          <w:spacing w:val="-5"/>
          <w:sz w:val="18"/>
        </w:rPr>
        <w:t xml:space="preserve"> </w:t>
      </w:r>
      <w:r>
        <w:rPr>
          <w:sz w:val="18"/>
        </w:rPr>
        <w:t>guidance</w:t>
      </w:r>
      <w:r>
        <w:rPr>
          <w:spacing w:val="-6"/>
          <w:sz w:val="18"/>
        </w:rPr>
        <w:t xml:space="preserve"> </w:t>
      </w:r>
      <w:r>
        <w:rPr>
          <w:sz w:val="18"/>
        </w:rPr>
        <w:t>is</w:t>
      </w:r>
      <w:r>
        <w:rPr>
          <w:spacing w:val="-4"/>
          <w:sz w:val="18"/>
        </w:rPr>
        <w:t xml:space="preserve"> </w:t>
      </w:r>
      <w:r>
        <w:rPr>
          <w:sz w:val="18"/>
        </w:rPr>
        <w:t>updated periodically. Users should refer to the OMB audit guidance applicable to the current financial audit.</w:t>
      </w:r>
    </w:p>
    <w:p w14:paraId="0DFDB1AE" w14:textId="77777777" w:rsidR="00046465" w:rsidRDefault="008134EB">
      <w:pPr>
        <w:spacing w:before="122" w:line="242" w:lineRule="auto"/>
        <w:ind w:left="360" w:right="726" w:hanging="1"/>
        <w:rPr>
          <w:sz w:val="18"/>
        </w:rPr>
      </w:pPr>
      <w:bookmarkStart w:id="124" w:name="_bookmark43"/>
      <w:bookmarkEnd w:id="124"/>
      <w:r>
        <w:rPr>
          <w:position w:val="7"/>
          <w:sz w:val="14"/>
        </w:rPr>
        <w:t>2</w:t>
      </w:r>
      <w:r>
        <w:rPr>
          <w:sz w:val="18"/>
        </w:rPr>
        <w:t>This definition is from the Federal Financial Management Improvement Act of 1996, Pub. L. No. 104-208, div. A., § 101(f),</w:t>
      </w:r>
      <w:r>
        <w:rPr>
          <w:spacing w:val="-2"/>
          <w:sz w:val="18"/>
        </w:rPr>
        <w:t xml:space="preserve"> </w:t>
      </w:r>
      <w:r>
        <w:rPr>
          <w:sz w:val="18"/>
        </w:rPr>
        <w:t>title</w:t>
      </w:r>
      <w:r>
        <w:rPr>
          <w:spacing w:val="-3"/>
          <w:sz w:val="18"/>
        </w:rPr>
        <w:t xml:space="preserve"> </w:t>
      </w:r>
      <w:r>
        <w:rPr>
          <w:sz w:val="18"/>
        </w:rPr>
        <w:t>VIII,</w:t>
      </w:r>
      <w:r>
        <w:rPr>
          <w:spacing w:val="-3"/>
          <w:sz w:val="18"/>
        </w:rPr>
        <w:t xml:space="preserve"> </w:t>
      </w:r>
      <w:r>
        <w:rPr>
          <w:sz w:val="18"/>
        </w:rPr>
        <w:t>110</w:t>
      </w:r>
      <w:r>
        <w:rPr>
          <w:spacing w:val="-3"/>
          <w:sz w:val="18"/>
        </w:rPr>
        <w:t xml:space="preserve"> </w:t>
      </w:r>
      <w:r>
        <w:rPr>
          <w:sz w:val="18"/>
        </w:rPr>
        <w:t>Stat.</w:t>
      </w:r>
      <w:r>
        <w:rPr>
          <w:spacing w:val="-2"/>
          <w:sz w:val="18"/>
        </w:rPr>
        <w:t xml:space="preserve"> </w:t>
      </w:r>
      <w:r>
        <w:rPr>
          <w:sz w:val="18"/>
        </w:rPr>
        <w:t>3009,</w:t>
      </w:r>
      <w:r>
        <w:rPr>
          <w:spacing w:val="-2"/>
          <w:sz w:val="18"/>
        </w:rPr>
        <w:t xml:space="preserve"> </w:t>
      </w:r>
      <w:r>
        <w:rPr>
          <w:sz w:val="18"/>
        </w:rPr>
        <w:t>3009-389</w:t>
      </w:r>
      <w:r>
        <w:rPr>
          <w:spacing w:val="-3"/>
          <w:sz w:val="18"/>
        </w:rPr>
        <w:t xml:space="preserve"> </w:t>
      </w:r>
      <w:r>
        <w:rPr>
          <w:sz w:val="18"/>
        </w:rPr>
        <w:t>(Sept.</w:t>
      </w:r>
      <w:r>
        <w:rPr>
          <w:spacing w:val="-2"/>
          <w:sz w:val="18"/>
        </w:rPr>
        <w:t xml:space="preserve"> </w:t>
      </w:r>
      <w:r>
        <w:rPr>
          <w:sz w:val="18"/>
        </w:rPr>
        <w:t>30,</w:t>
      </w:r>
      <w:r>
        <w:rPr>
          <w:spacing w:val="-2"/>
          <w:sz w:val="18"/>
        </w:rPr>
        <w:t xml:space="preserve"> </w:t>
      </w:r>
      <w:r>
        <w:rPr>
          <w:sz w:val="18"/>
        </w:rPr>
        <w:t>1996),</w:t>
      </w:r>
      <w:r>
        <w:rPr>
          <w:spacing w:val="-1"/>
          <w:sz w:val="18"/>
        </w:rPr>
        <w:t xml:space="preserve"> </w:t>
      </w:r>
      <w:r>
        <w:rPr>
          <w:sz w:val="18"/>
        </w:rPr>
        <w:t>which</w:t>
      </w:r>
      <w:r>
        <w:rPr>
          <w:spacing w:val="-3"/>
          <w:sz w:val="18"/>
        </w:rPr>
        <w:t xml:space="preserve"> </w:t>
      </w:r>
      <w:r>
        <w:rPr>
          <w:sz w:val="18"/>
        </w:rPr>
        <w:t>is</w:t>
      </w:r>
      <w:r>
        <w:rPr>
          <w:spacing w:val="-2"/>
          <w:sz w:val="18"/>
        </w:rPr>
        <w:t xml:space="preserve"> </w:t>
      </w:r>
      <w:r>
        <w:rPr>
          <w:sz w:val="18"/>
        </w:rPr>
        <w:t>reprinted</w:t>
      </w:r>
      <w:r>
        <w:rPr>
          <w:spacing w:val="-3"/>
          <w:sz w:val="18"/>
        </w:rPr>
        <w:t xml:space="preserve"> </w:t>
      </w:r>
      <w:r>
        <w:rPr>
          <w:sz w:val="18"/>
        </w:rPr>
        <w:t>in</w:t>
      </w:r>
      <w:r>
        <w:rPr>
          <w:spacing w:val="-3"/>
          <w:sz w:val="18"/>
        </w:rPr>
        <w:t xml:space="preserve"> </w:t>
      </w:r>
      <w:r>
        <w:rPr>
          <w:sz w:val="18"/>
        </w:rPr>
        <w:t>31</w:t>
      </w:r>
      <w:r>
        <w:rPr>
          <w:spacing w:val="-3"/>
          <w:sz w:val="18"/>
        </w:rPr>
        <w:t xml:space="preserve"> </w:t>
      </w:r>
      <w:r>
        <w:rPr>
          <w:sz w:val="18"/>
        </w:rPr>
        <w:t>U.S.C.</w:t>
      </w:r>
      <w:r>
        <w:rPr>
          <w:spacing w:val="-2"/>
          <w:sz w:val="18"/>
        </w:rPr>
        <w:t xml:space="preserve"> </w:t>
      </w:r>
      <w:r>
        <w:rPr>
          <w:sz w:val="18"/>
        </w:rPr>
        <w:t>§</w:t>
      </w:r>
      <w:r>
        <w:rPr>
          <w:spacing w:val="-3"/>
          <w:sz w:val="18"/>
        </w:rPr>
        <w:t xml:space="preserve"> </w:t>
      </w:r>
      <w:r>
        <w:rPr>
          <w:sz w:val="18"/>
        </w:rPr>
        <w:t>3512</w:t>
      </w:r>
      <w:r>
        <w:rPr>
          <w:spacing w:val="-1"/>
          <w:sz w:val="18"/>
        </w:rPr>
        <w:t xml:space="preserve"> </w:t>
      </w:r>
      <w:r>
        <w:rPr>
          <w:sz w:val="18"/>
        </w:rPr>
        <w:t>note.</w:t>
      </w:r>
      <w:r>
        <w:rPr>
          <w:spacing w:val="-2"/>
          <w:sz w:val="18"/>
        </w:rPr>
        <w:t xml:space="preserve"> </w:t>
      </w:r>
      <w:r>
        <w:rPr>
          <w:sz w:val="18"/>
        </w:rPr>
        <w:t>OMB</w:t>
      </w:r>
      <w:r>
        <w:rPr>
          <w:spacing w:val="-2"/>
          <w:sz w:val="18"/>
        </w:rPr>
        <w:t xml:space="preserve"> </w:t>
      </w:r>
      <w:r>
        <w:rPr>
          <w:sz w:val="18"/>
        </w:rPr>
        <w:t>Circular No. A-123, appendix D, defines a federal financial management system as the organized collection of software, hardware, processes, procedures, and</w:t>
      </w:r>
      <w:r>
        <w:rPr>
          <w:spacing w:val="-1"/>
          <w:sz w:val="18"/>
        </w:rPr>
        <w:t xml:space="preserve"> </w:t>
      </w:r>
      <w:r>
        <w:rPr>
          <w:sz w:val="18"/>
        </w:rPr>
        <w:t>controls necessary to</w:t>
      </w:r>
      <w:r>
        <w:rPr>
          <w:spacing w:val="-1"/>
          <w:sz w:val="18"/>
        </w:rPr>
        <w:t xml:space="preserve"> </w:t>
      </w:r>
      <w:r>
        <w:rPr>
          <w:sz w:val="18"/>
        </w:rPr>
        <w:t>inform and</w:t>
      </w:r>
      <w:r>
        <w:rPr>
          <w:spacing w:val="-1"/>
          <w:sz w:val="18"/>
        </w:rPr>
        <w:t xml:space="preserve"> </w:t>
      </w:r>
      <w:r>
        <w:rPr>
          <w:sz w:val="18"/>
        </w:rPr>
        <w:t>support the</w:t>
      </w:r>
      <w:r>
        <w:rPr>
          <w:spacing w:val="-1"/>
          <w:sz w:val="18"/>
        </w:rPr>
        <w:t xml:space="preserve"> </w:t>
      </w:r>
      <w:r>
        <w:rPr>
          <w:sz w:val="18"/>
        </w:rPr>
        <w:t>core</w:t>
      </w:r>
      <w:r>
        <w:rPr>
          <w:spacing w:val="-1"/>
          <w:sz w:val="18"/>
        </w:rPr>
        <w:t xml:space="preserve"> </w:t>
      </w:r>
      <w:r>
        <w:rPr>
          <w:sz w:val="18"/>
        </w:rPr>
        <w:t>financial systems; including systems necessary to achieve financial management, operational, performance, and reporting objectives.</w:t>
      </w:r>
    </w:p>
    <w:p w14:paraId="0DFDB1AF" w14:textId="77777777" w:rsidR="00046465" w:rsidRDefault="00046465">
      <w:pPr>
        <w:spacing w:line="242" w:lineRule="auto"/>
        <w:rPr>
          <w:sz w:val="18"/>
        </w:rPr>
        <w:sectPr w:rsidR="00046465">
          <w:headerReference w:type="default" r:id="rId84"/>
          <w:footerReference w:type="default" r:id="rId85"/>
          <w:pgSz w:w="12240" w:h="15840"/>
          <w:pgMar w:top="1340" w:right="720" w:bottom="940" w:left="1080" w:header="721" w:footer="757" w:gutter="0"/>
          <w:cols w:space="720"/>
        </w:sectPr>
      </w:pPr>
    </w:p>
    <w:p w14:paraId="0DFDB1B0" w14:textId="77777777" w:rsidR="00046465" w:rsidRDefault="008134EB">
      <w:pPr>
        <w:pStyle w:val="ListParagraph"/>
        <w:numPr>
          <w:ilvl w:val="2"/>
          <w:numId w:val="12"/>
        </w:numPr>
        <w:tabs>
          <w:tab w:val="left" w:pos="2519"/>
        </w:tabs>
        <w:spacing w:before="121"/>
        <w:ind w:left="2519" w:hanging="359"/>
      </w:pPr>
      <w:r>
        <w:lastRenderedPageBreak/>
        <w:t>supporting</w:t>
      </w:r>
      <w:r>
        <w:rPr>
          <w:spacing w:val="-9"/>
        </w:rPr>
        <w:t xml:space="preserve"> </w:t>
      </w:r>
      <w:r>
        <w:t>financial</w:t>
      </w:r>
      <w:r>
        <w:rPr>
          <w:spacing w:val="-8"/>
        </w:rPr>
        <w:t xml:space="preserve"> </w:t>
      </w:r>
      <w:r>
        <w:t>planning</w:t>
      </w:r>
      <w:r>
        <w:rPr>
          <w:spacing w:val="-9"/>
        </w:rPr>
        <w:t xml:space="preserve"> </w:t>
      </w:r>
      <w:r>
        <w:t>or</w:t>
      </w:r>
      <w:r>
        <w:rPr>
          <w:spacing w:val="-8"/>
        </w:rPr>
        <w:t xml:space="preserve"> </w:t>
      </w:r>
      <w:r>
        <w:t>budgeting</w:t>
      </w:r>
      <w:r>
        <w:rPr>
          <w:spacing w:val="-9"/>
        </w:rPr>
        <w:t xml:space="preserve"> </w:t>
      </w:r>
      <w:r>
        <w:rPr>
          <w:spacing w:val="-2"/>
        </w:rPr>
        <w:t>activities;</w:t>
      </w:r>
    </w:p>
    <w:p w14:paraId="0DFDB1B1" w14:textId="77777777" w:rsidR="00046465" w:rsidRDefault="008134EB">
      <w:pPr>
        <w:pStyle w:val="ListParagraph"/>
        <w:numPr>
          <w:ilvl w:val="2"/>
          <w:numId w:val="12"/>
        </w:numPr>
        <w:tabs>
          <w:tab w:val="left" w:pos="2519"/>
        </w:tabs>
        <w:spacing w:before="118"/>
        <w:ind w:left="2519" w:hanging="359"/>
      </w:pPr>
      <w:r>
        <w:t>accumulating</w:t>
      </w:r>
      <w:r>
        <w:rPr>
          <w:spacing w:val="-10"/>
        </w:rPr>
        <w:t xml:space="preserve"> </w:t>
      </w:r>
      <w:r>
        <w:t>and</w:t>
      </w:r>
      <w:r>
        <w:rPr>
          <w:spacing w:val="-10"/>
        </w:rPr>
        <w:t xml:space="preserve"> </w:t>
      </w:r>
      <w:r>
        <w:t>reporting</w:t>
      </w:r>
      <w:r>
        <w:rPr>
          <w:spacing w:val="-10"/>
        </w:rPr>
        <w:t xml:space="preserve"> </w:t>
      </w:r>
      <w:r>
        <w:t>costs</w:t>
      </w:r>
      <w:r>
        <w:rPr>
          <w:spacing w:val="-10"/>
        </w:rPr>
        <w:t xml:space="preserve"> </w:t>
      </w:r>
      <w:r>
        <w:t>information;</w:t>
      </w:r>
      <w:r>
        <w:rPr>
          <w:spacing w:val="-9"/>
        </w:rPr>
        <w:t xml:space="preserve"> </w:t>
      </w:r>
      <w:r>
        <w:rPr>
          <w:spacing w:val="-5"/>
        </w:rPr>
        <w:t>or</w:t>
      </w:r>
    </w:p>
    <w:p w14:paraId="0DFDB1B2" w14:textId="77777777" w:rsidR="00046465" w:rsidRDefault="008134EB">
      <w:pPr>
        <w:pStyle w:val="ListParagraph"/>
        <w:numPr>
          <w:ilvl w:val="2"/>
          <w:numId w:val="12"/>
        </w:numPr>
        <w:tabs>
          <w:tab w:val="left" w:pos="2519"/>
        </w:tabs>
        <w:spacing w:before="118"/>
        <w:ind w:left="2519" w:hanging="359"/>
        <w:rPr>
          <w:position w:val="7"/>
          <w:sz w:val="14"/>
        </w:rPr>
      </w:pPr>
      <w:r>
        <w:t>supporting</w:t>
      </w:r>
      <w:r>
        <w:rPr>
          <w:spacing w:val="-8"/>
        </w:rPr>
        <w:t xml:space="preserve"> </w:t>
      </w:r>
      <w:r>
        <w:t>the</w:t>
      </w:r>
      <w:r>
        <w:rPr>
          <w:spacing w:val="-8"/>
        </w:rPr>
        <w:t xml:space="preserve"> </w:t>
      </w:r>
      <w:r>
        <w:t>preparation</w:t>
      </w:r>
      <w:r>
        <w:rPr>
          <w:spacing w:val="-8"/>
        </w:rPr>
        <w:t xml:space="preserve"> </w:t>
      </w:r>
      <w:r>
        <w:t>of</w:t>
      </w:r>
      <w:r>
        <w:rPr>
          <w:spacing w:val="-7"/>
        </w:rPr>
        <w:t xml:space="preserve"> </w:t>
      </w:r>
      <w:r>
        <w:t>financial</w:t>
      </w:r>
      <w:r>
        <w:rPr>
          <w:spacing w:val="-8"/>
        </w:rPr>
        <w:t xml:space="preserve"> </w:t>
      </w:r>
      <w:r>
        <w:rPr>
          <w:spacing w:val="-2"/>
        </w:rPr>
        <w:t>statements.</w:t>
      </w:r>
      <w:hyperlink w:anchor="_bookmark44" w:history="1">
        <w:r>
          <w:rPr>
            <w:spacing w:val="-2"/>
            <w:position w:val="7"/>
            <w:sz w:val="14"/>
          </w:rPr>
          <w:t>3</w:t>
        </w:r>
      </w:hyperlink>
    </w:p>
    <w:p w14:paraId="0DFDB1B3" w14:textId="77777777" w:rsidR="00046465" w:rsidRDefault="008134EB">
      <w:pPr>
        <w:pStyle w:val="ListParagraph"/>
        <w:numPr>
          <w:ilvl w:val="1"/>
          <w:numId w:val="12"/>
        </w:numPr>
        <w:tabs>
          <w:tab w:val="left" w:pos="2159"/>
        </w:tabs>
        <w:spacing w:before="118"/>
        <w:ind w:left="2159" w:right="1173"/>
      </w:pPr>
      <w:r>
        <w:t>A</w:t>
      </w:r>
      <w:r>
        <w:rPr>
          <w:spacing w:val="-4"/>
        </w:rPr>
        <w:t xml:space="preserve"> </w:t>
      </w:r>
      <w:r>
        <w:t>mixed</w:t>
      </w:r>
      <w:r>
        <w:rPr>
          <w:spacing w:val="-4"/>
        </w:rPr>
        <w:t xml:space="preserve"> </w:t>
      </w:r>
      <w:r>
        <w:t>system</w:t>
      </w:r>
      <w:r>
        <w:rPr>
          <w:spacing w:val="-5"/>
        </w:rPr>
        <w:t xml:space="preserve"> </w:t>
      </w:r>
      <w:r>
        <w:t>is</w:t>
      </w:r>
      <w:r>
        <w:rPr>
          <w:spacing w:val="-4"/>
        </w:rPr>
        <w:t xml:space="preserve"> </w:t>
      </w:r>
      <w:r>
        <w:t>an</w:t>
      </w:r>
      <w:r>
        <w:rPr>
          <w:spacing w:val="-4"/>
        </w:rPr>
        <w:t xml:space="preserve"> </w:t>
      </w:r>
      <w:r>
        <w:t>information</w:t>
      </w:r>
      <w:r>
        <w:rPr>
          <w:spacing w:val="-4"/>
        </w:rPr>
        <w:t xml:space="preserve"> </w:t>
      </w:r>
      <w:r>
        <w:t>system</w:t>
      </w:r>
      <w:r>
        <w:rPr>
          <w:spacing w:val="-5"/>
        </w:rPr>
        <w:t xml:space="preserve"> </w:t>
      </w:r>
      <w:r>
        <w:t>that</w:t>
      </w:r>
      <w:r>
        <w:rPr>
          <w:spacing w:val="-4"/>
        </w:rPr>
        <w:t xml:space="preserve"> </w:t>
      </w:r>
      <w:r>
        <w:t>supports</w:t>
      </w:r>
      <w:r>
        <w:rPr>
          <w:spacing w:val="-4"/>
        </w:rPr>
        <w:t xml:space="preserve"> </w:t>
      </w:r>
      <w:r>
        <w:t>both</w:t>
      </w:r>
      <w:r>
        <w:rPr>
          <w:spacing w:val="-4"/>
        </w:rPr>
        <w:t xml:space="preserve"> </w:t>
      </w:r>
      <w:r>
        <w:t>financial</w:t>
      </w:r>
      <w:r>
        <w:rPr>
          <w:spacing w:val="-4"/>
        </w:rPr>
        <w:t xml:space="preserve"> </w:t>
      </w:r>
      <w:r>
        <w:t>and nonfinancial functions of the federal government or components thereof.</w:t>
      </w:r>
    </w:p>
    <w:p w14:paraId="0DFDB1B4" w14:textId="77777777" w:rsidR="00046465" w:rsidRDefault="008134EB">
      <w:pPr>
        <w:pStyle w:val="Heading4"/>
        <w:spacing w:before="121"/>
      </w:pPr>
      <w:bookmarkStart w:id="125" w:name="FFMIA_System_Requirements_(FFMIA_Section"/>
      <w:bookmarkEnd w:id="125"/>
      <w:r>
        <w:t>FFMIA</w:t>
      </w:r>
      <w:r>
        <w:rPr>
          <w:spacing w:val="-15"/>
        </w:rPr>
        <w:t xml:space="preserve"> </w:t>
      </w:r>
      <w:r>
        <w:t>System</w:t>
      </w:r>
      <w:r>
        <w:rPr>
          <w:spacing w:val="-14"/>
        </w:rPr>
        <w:t xml:space="preserve"> </w:t>
      </w:r>
      <w:r>
        <w:t>Requirements</w:t>
      </w:r>
      <w:r>
        <w:rPr>
          <w:spacing w:val="-13"/>
        </w:rPr>
        <w:t xml:space="preserve"> </w:t>
      </w:r>
      <w:r>
        <w:t>(FFMIA</w:t>
      </w:r>
      <w:r>
        <w:rPr>
          <w:spacing w:val="-15"/>
        </w:rPr>
        <w:t xml:space="preserve"> </w:t>
      </w:r>
      <w:r>
        <w:t>Section</w:t>
      </w:r>
      <w:r>
        <w:rPr>
          <w:spacing w:val="-14"/>
        </w:rPr>
        <w:t xml:space="preserve"> </w:t>
      </w:r>
      <w:r>
        <w:rPr>
          <w:spacing w:val="-2"/>
        </w:rPr>
        <w:t>803(a))</w:t>
      </w:r>
    </w:p>
    <w:p w14:paraId="0DFDB1B5" w14:textId="77777777" w:rsidR="00046465" w:rsidRDefault="008134EB">
      <w:pPr>
        <w:pStyle w:val="ListParagraph"/>
        <w:numPr>
          <w:ilvl w:val="0"/>
          <w:numId w:val="12"/>
        </w:numPr>
        <w:tabs>
          <w:tab w:val="left" w:pos="1800"/>
        </w:tabs>
        <w:spacing w:before="119"/>
        <w:ind w:right="762"/>
      </w:pPr>
      <w:r>
        <w:t xml:space="preserve">The first FFMIA system requirement is the implementation and maintenance of financial management systems that comply substantially with federal financial management systems requirements. The Department of the Treasury develops and maintains, in coordination with OMB and federal agencies, federal financial management systems requirements. </w:t>
      </w:r>
      <w:r>
        <w:rPr>
          <w:i/>
        </w:rPr>
        <w:t xml:space="preserve">Revised Federal Financial Management System Requirements for Fiscal Reporting </w:t>
      </w:r>
      <w:r>
        <w:t xml:space="preserve">is published in the </w:t>
      </w:r>
      <w:r>
        <w:rPr>
          <w:i/>
        </w:rPr>
        <w:t xml:space="preserve">Treasury Financial Manual </w:t>
      </w:r>
      <w:r>
        <w:t>(TFM), volume I, part 6, chapter 9500.</w:t>
      </w:r>
      <w:hyperlink w:anchor="_bookmark45" w:history="1">
        <w:r>
          <w:rPr>
            <w:position w:val="7"/>
            <w:sz w:val="14"/>
          </w:rPr>
          <w:t>4</w:t>
        </w:r>
      </w:hyperlink>
      <w:r>
        <w:rPr>
          <w:spacing w:val="35"/>
          <w:position w:val="7"/>
          <w:sz w:val="14"/>
        </w:rPr>
        <w:t xml:space="preserve"> </w:t>
      </w:r>
      <w:r>
        <w:t>Federal financial management systems requirements (FFMSR) are currently published as part of the Financial Management Capability Framework (FMCF). Specifically, the FFMSRs comprise the business capabilities component of the FMCF. FFMSRs are presented as business capability statements, which are organized by FFMSR goal groups aligned</w:t>
      </w:r>
      <w:r>
        <w:rPr>
          <w:spacing w:val="-4"/>
        </w:rPr>
        <w:t xml:space="preserve"> </w:t>
      </w:r>
      <w:r>
        <w:t>with</w:t>
      </w:r>
      <w:r>
        <w:rPr>
          <w:spacing w:val="-5"/>
        </w:rPr>
        <w:t xml:space="preserve"> </w:t>
      </w:r>
      <w:r>
        <w:t>the</w:t>
      </w:r>
      <w:r>
        <w:rPr>
          <w:spacing w:val="-4"/>
        </w:rPr>
        <w:t xml:space="preserve"> </w:t>
      </w:r>
      <w:r>
        <w:t>federal</w:t>
      </w:r>
      <w:r>
        <w:rPr>
          <w:spacing w:val="-4"/>
        </w:rPr>
        <w:t xml:space="preserve"> </w:t>
      </w:r>
      <w:r>
        <w:t>financial</w:t>
      </w:r>
      <w:r>
        <w:rPr>
          <w:spacing w:val="-4"/>
        </w:rPr>
        <w:t xml:space="preserve"> </w:t>
      </w:r>
      <w:r>
        <w:t>management</w:t>
      </w:r>
      <w:r>
        <w:rPr>
          <w:spacing w:val="-4"/>
        </w:rPr>
        <w:t xml:space="preserve"> </w:t>
      </w:r>
      <w:r>
        <w:t>goals</w:t>
      </w:r>
      <w:r>
        <w:rPr>
          <w:spacing w:val="-4"/>
        </w:rPr>
        <w:t xml:space="preserve"> </w:t>
      </w:r>
      <w:r>
        <w:t>from</w:t>
      </w:r>
      <w:r>
        <w:rPr>
          <w:spacing w:val="-5"/>
        </w:rPr>
        <w:t xml:space="preserve"> </w:t>
      </w:r>
      <w:r>
        <w:t>the</w:t>
      </w:r>
      <w:r>
        <w:rPr>
          <w:spacing w:val="-4"/>
        </w:rPr>
        <w:t xml:space="preserve"> </w:t>
      </w:r>
      <w:r>
        <w:t>FFMIA</w:t>
      </w:r>
      <w:r>
        <w:rPr>
          <w:spacing w:val="-4"/>
        </w:rPr>
        <w:t xml:space="preserve"> </w:t>
      </w:r>
      <w:r>
        <w:t>Compliance Determination Framework included in OMB Circular No. A-123, appendix D. FFMSRs apply to financial systems as well as administrative systems and programmatic systems that support financial management business outcomes (i.e., mixed systems).</w:t>
      </w:r>
    </w:p>
    <w:p w14:paraId="0DFDB1B6" w14:textId="77777777" w:rsidR="00046465" w:rsidRDefault="008134EB">
      <w:pPr>
        <w:pStyle w:val="ListParagraph"/>
        <w:numPr>
          <w:ilvl w:val="0"/>
          <w:numId w:val="12"/>
        </w:numPr>
        <w:tabs>
          <w:tab w:val="left" w:pos="1799"/>
        </w:tabs>
        <w:ind w:left="1799" w:right="722" w:hanging="720"/>
      </w:pPr>
      <w:r>
        <w:t>The second FFMIA system requirement is the implementation and maintenance of financial management systems that comply substantially with applicable federal</w:t>
      </w:r>
      <w:r>
        <w:rPr>
          <w:spacing w:val="-3"/>
        </w:rPr>
        <w:t xml:space="preserve"> </w:t>
      </w:r>
      <w:r>
        <w:t>accounting</w:t>
      </w:r>
      <w:r>
        <w:rPr>
          <w:spacing w:val="-3"/>
        </w:rPr>
        <w:t xml:space="preserve"> </w:t>
      </w:r>
      <w:r>
        <w:t>standards.</w:t>
      </w:r>
      <w:r>
        <w:rPr>
          <w:spacing w:val="-3"/>
        </w:rPr>
        <w:t xml:space="preserve"> </w:t>
      </w:r>
      <w:r>
        <w:t>The</w:t>
      </w:r>
      <w:r>
        <w:rPr>
          <w:spacing w:val="-3"/>
        </w:rPr>
        <w:t xml:space="preserve"> </w:t>
      </w:r>
      <w:r>
        <w:t>Federal</w:t>
      </w:r>
      <w:r>
        <w:rPr>
          <w:spacing w:val="-3"/>
        </w:rPr>
        <w:t xml:space="preserve"> </w:t>
      </w:r>
      <w:r>
        <w:t>Accounting</w:t>
      </w:r>
      <w:r>
        <w:rPr>
          <w:spacing w:val="-3"/>
        </w:rPr>
        <w:t xml:space="preserve"> </w:t>
      </w:r>
      <w:r>
        <w:t>Standards</w:t>
      </w:r>
      <w:r>
        <w:rPr>
          <w:spacing w:val="-3"/>
        </w:rPr>
        <w:t xml:space="preserve"> </w:t>
      </w:r>
      <w:r>
        <w:t>Advisory</w:t>
      </w:r>
      <w:r>
        <w:rPr>
          <w:spacing w:val="-3"/>
        </w:rPr>
        <w:t xml:space="preserve"> </w:t>
      </w:r>
      <w:r>
        <w:t>Board (FASAB) promulgates federal accounting standards after considering the</w:t>
      </w:r>
      <w:r>
        <w:rPr>
          <w:spacing w:val="40"/>
        </w:rPr>
        <w:t xml:space="preserve"> </w:t>
      </w:r>
      <w:r>
        <w:t>financial and budgetary information needs of Congress, executive agencies, and other</w:t>
      </w:r>
      <w:r>
        <w:rPr>
          <w:spacing w:val="-2"/>
        </w:rPr>
        <w:t xml:space="preserve"> </w:t>
      </w:r>
      <w:r>
        <w:t>users</w:t>
      </w:r>
      <w:r>
        <w:rPr>
          <w:spacing w:val="-3"/>
        </w:rPr>
        <w:t xml:space="preserve"> </w:t>
      </w:r>
      <w:r>
        <w:t>of</w:t>
      </w:r>
      <w:r>
        <w:rPr>
          <w:spacing w:val="-2"/>
        </w:rPr>
        <w:t xml:space="preserve"> </w:t>
      </w:r>
      <w:r>
        <w:t>federal</w:t>
      </w:r>
      <w:r>
        <w:rPr>
          <w:spacing w:val="-2"/>
        </w:rPr>
        <w:t xml:space="preserve"> </w:t>
      </w:r>
      <w:r>
        <w:t>financial</w:t>
      </w:r>
      <w:r>
        <w:rPr>
          <w:spacing w:val="-2"/>
        </w:rPr>
        <w:t xml:space="preserve"> </w:t>
      </w:r>
      <w:r>
        <w:t>information,</w:t>
      </w:r>
      <w:r>
        <w:rPr>
          <w:spacing w:val="-2"/>
        </w:rPr>
        <w:t xml:space="preserve"> </w:t>
      </w:r>
      <w:r>
        <w:t>as</w:t>
      </w:r>
      <w:r>
        <w:rPr>
          <w:spacing w:val="-2"/>
        </w:rPr>
        <w:t xml:space="preserve"> </w:t>
      </w:r>
      <w:r>
        <w:t>well</w:t>
      </w:r>
      <w:r>
        <w:rPr>
          <w:spacing w:val="-2"/>
        </w:rPr>
        <w:t xml:space="preserve"> </w:t>
      </w:r>
      <w:r>
        <w:t>as</w:t>
      </w:r>
      <w:r>
        <w:rPr>
          <w:spacing w:val="-2"/>
        </w:rPr>
        <w:t xml:space="preserve"> </w:t>
      </w:r>
      <w:r>
        <w:t>comments</w:t>
      </w:r>
      <w:r>
        <w:rPr>
          <w:spacing w:val="-2"/>
        </w:rPr>
        <w:t xml:space="preserve"> </w:t>
      </w:r>
      <w:r>
        <w:t>from</w:t>
      </w:r>
      <w:r>
        <w:rPr>
          <w:spacing w:val="-3"/>
        </w:rPr>
        <w:t xml:space="preserve"> </w:t>
      </w:r>
      <w:r>
        <w:t>the</w:t>
      </w:r>
      <w:r>
        <w:rPr>
          <w:spacing w:val="-2"/>
        </w:rPr>
        <w:t xml:space="preserve"> </w:t>
      </w:r>
      <w:r>
        <w:t>public.</w:t>
      </w:r>
      <w:hyperlink w:anchor="_bookmark46" w:history="1">
        <w:r>
          <w:rPr>
            <w:position w:val="7"/>
            <w:sz w:val="14"/>
          </w:rPr>
          <w:t>5</w:t>
        </w:r>
      </w:hyperlink>
      <w:r>
        <w:rPr>
          <w:spacing w:val="40"/>
          <w:position w:val="7"/>
          <w:sz w:val="14"/>
        </w:rPr>
        <w:t xml:space="preserve"> </w:t>
      </w:r>
      <w:r>
        <w:t>FAM 560 describes the relationship of the FASAB standards to the hierarchy of</w:t>
      </w:r>
    </w:p>
    <w:p w14:paraId="0DFDB1B7" w14:textId="77777777" w:rsidR="00046465" w:rsidRDefault="008134EB">
      <w:pPr>
        <w:pStyle w:val="BodyText"/>
        <w:spacing w:before="1"/>
        <w:ind w:left="1799" w:right="749"/>
      </w:pPr>
      <w:r>
        <w:t>U.S. generally accepted accounting principles (U.S. GAAP). The FFMSRs incorporate applicable federal accounting standards by including authoritative references to FASAB standards. Each business capability statement within the FFMSRs</w:t>
      </w:r>
      <w:r>
        <w:rPr>
          <w:spacing w:val="-5"/>
        </w:rPr>
        <w:t xml:space="preserve"> </w:t>
      </w:r>
      <w:r>
        <w:t>is</w:t>
      </w:r>
      <w:r>
        <w:rPr>
          <w:spacing w:val="-5"/>
        </w:rPr>
        <w:t xml:space="preserve"> </w:t>
      </w:r>
      <w:r>
        <w:t>linked</w:t>
      </w:r>
      <w:r>
        <w:rPr>
          <w:spacing w:val="-5"/>
        </w:rPr>
        <w:t xml:space="preserve"> </w:t>
      </w:r>
      <w:r>
        <w:t>to</w:t>
      </w:r>
      <w:r>
        <w:rPr>
          <w:spacing w:val="-5"/>
        </w:rPr>
        <w:t xml:space="preserve"> </w:t>
      </w:r>
      <w:r>
        <w:t>authoritative</w:t>
      </w:r>
      <w:r>
        <w:rPr>
          <w:spacing w:val="-5"/>
        </w:rPr>
        <w:t xml:space="preserve"> </w:t>
      </w:r>
      <w:r>
        <w:t>references,</w:t>
      </w:r>
      <w:r>
        <w:rPr>
          <w:spacing w:val="-5"/>
        </w:rPr>
        <w:t xml:space="preserve"> </w:t>
      </w:r>
      <w:r>
        <w:t>including</w:t>
      </w:r>
      <w:r>
        <w:rPr>
          <w:spacing w:val="-4"/>
        </w:rPr>
        <w:t xml:space="preserve"> </w:t>
      </w:r>
      <w:r>
        <w:t>applicable</w:t>
      </w:r>
      <w:r>
        <w:rPr>
          <w:spacing w:val="-5"/>
        </w:rPr>
        <w:t xml:space="preserve"> </w:t>
      </w:r>
      <w:r>
        <w:t>Statements</w:t>
      </w:r>
      <w:r>
        <w:rPr>
          <w:spacing w:val="-5"/>
        </w:rPr>
        <w:t xml:space="preserve"> </w:t>
      </w:r>
      <w:r>
        <w:t>of Federal Financial Accounting Concepts (SFFAC) and Statements of Federal Financial Accounting Standards (SFFAS).</w:t>
      </w:r>
    </w:p>
    <w:p w14:paraId="0DFDB1B8" w14:textId="77777777" w:rsidR="00046465" w:rsidRDefault="008134EB">
      <w:pPr>
        <w:pStyle w:val="ListParagraph"/>
        <w:numPr>
          <w:ilvl w:val="0"/>
          <w:numId w:val="12"/>
        </w:numPr>
        <w:tabs>
          <w:tab w:val="left" w:pos="1800"/>
        </w:tabs>
        <w:ind w:right="751"/>
      </w:pPr>
      <w:r>
        <w:t>The third FFMIA system requirement is the implementation and maintenance of financial management systems that comply substantially with the USSGL at the transaction</w:t>
      </w:r>
      <w:r>
        <w:rPr>
          <w:spacing w:val="-5"/>
        </w:rPr>
        <w:t xml:space="preserve"> </w:t>
      </w:r>
      <w:r>
        <w:t>level.</w:t>
      </w:r>
      <w:r>
        <w:rPr>
          <w:spacing w:val="-4"/>
        </w:rPr>
        <w:t xml:space="preserve"> </w:t>
      </w:r>
      <w:r>
        <w:t>The</w:t>
      </w:r>
      <w:r>
        <w:rPr>
          <w:spacing w:val="-4"/>
        </w:rPr>
        <w:t xml:space="preserve"> </w:t>
      </w:r>
      <w:r>
        <w:t>USSGL</w:t>
      </w:r>
      <w:r>
        <w:rPr>
          <w:spacing w:val="-4"/>
        </w:rPr>
        <w:t xml:space="preserve"> </w:t>
      </w:r>
      <w:r>
        <w:t>provides</w:t>
      </w:r>
      <w:r>
        <w:rPr>
          <w:spacing w:val="-4"/>
        </w:rPr>
        <w:t xml:space="preserve"> </w:t>
      </w:r>
      <w:r>
        <w:t>a</w:t>
      </w:r>
      <w:r>
        <w:rPr>
          <w:spacing w:val="-4"/>
        </w:rPr>
        <w:t xml:space="preserve"> </w:t>
      </w:r>
      <w:r>
        <w:t>uniform</w:t>
      </w:r>
      <w:r>
        <w:rPr>
          <w:spacing w:val="-5"/>
        </w:rPr>
        <w:t xml:space="preserve"> </w:t>
      </w:r>
      <w:r>
        <w:t>chart</w:t>
      </w:r>
      <w:r>
        <w:rPr>
          <w:spacing w:val="-4"/>
        </w:rPr>
        <w:t xml:space="preserve"> </w:t>
      </w:r>
      <w:r>
        <w:t>of</w:t>
      </w:r>
      <w:r>
        <w:rPr>
          <w:spacing w:val="-4"/>
        </w:rPr>
        <w:t xml:space="preserve"> </w:t>
      </w:r>
      <w:r>
        <w:t>accounts</w:t>
      </w:r>
      <w:r>
        <w:rPr>
          <w:spacing w:val="-4"/>
        </w:rPr>
        <w:t xml:space="preserve"> </w:t>
      </w:r>
      <w:r>
        <w:t>and</w:t>
      </w:r>
      <w:r>
        <w:rPr>
          <w:spacing w:val="-5"/>
        </w:rPr>
        <w:t xml:space="preserve"> </w:t>
      </w:r>
      <w:r>
        <w:t>guidance</w:t>
      </w:r>
    </w:p>
    <w:p w14:paraId="0DFDB1B9" w14:textId="77777777" w:rsidR="00046465" w:rsidRDefault="00046465">
      <w:pPr>
        <w:pStyle w:val="BodyText"/>
        <w:rPr>
          <w:sz w:val="20"/>
        </w:rPr>
      </w:pPr>
    </w:p>
    <w:p w14:paraId="0DFDB1BA" w14:textId="77777777" w:rsidR="00046465" w:rsidRDefault="008134EB">
      <w:pPr>
        <w:pStyle w:val="BodyText"/>
        <w:spacing w:before="3"/>
        <w:rPr>
          <w:sz w:val="20"/>
        </w:rPr>
      </w:pPr>
      <w:r>
        <w:rPr>
          <w:noProof/>
          <w:sz w:val="20"/>
        </w:rPr>
        <mc:AlternateContent>
          <mc:Choice Requires="wps">
            <w:drawing>
              <wp:anchor distT="0" distB="0" distL="0" distR="0" simplePos="0" relativeHeight="487616000" behindDoc="1" locked="0" layoutInCell="1" allowOverlap="1" wp14:anchorId="0DFDD581" wp14:editId="0DFDD582">
                <wp:simplePos x="0" y="0"/>
                <wp:positionH relativeFrom="page">
                  <wp:posOffset>914400</wp:posOffset>
                </wp:positionH>
                <wp:positionV relativeFrom="paragraph">
                  <wp:posOffset>163711</wp:posOffset>
                </wp:positionV>
                <wp:extent cx="1828800" cy="5715"/>
                <wp:effectExtent l="0" t="0" r="0" b="0"/>
                <wp:wrapTopAndBottom/>
                <wp:docPr id="302" name="Graphic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312683" id="Graphic 302" o:spid="_x0000_s1026" style="position:absolute;margin-left:1in;margin-top:12.9pt;width:2in;height:.45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" path="m1828800,l,,,5334r1828800,l1828800,xe" fillcolor="black" stroked="f">
                <v:path arrowok="t"/>
                <w10:wrap type="topAndBottom" anchorx="page"/>
              </v:shape>
            </w:pict>
          </mc:Fallback>
        </mc:AlternateContent>
      </w:r>
    </w:p>
    <w:p w14:paraId="0DFDB1BB" w14:textId="77777777" w:rsidR="00046465" w:rsidRDefault="00046465">
      <w:pPr>
        <w:pStyle w:val="BodyText"/>
        <w:spacing w:before="53"/>
        <w:rPr>
          <w:sz w:val="18"/>
        </w:rPr>
      </w:pPr>
    </w:p>
    <w:p w14:paraId="0DFDB1BC" w14:textId="77777777" w:rsidR="00046465" w:rsidRDefault="008134EB">
      <w:pPr>
        <w:spacing w:line="244" w:lineRule="auto"/>
        <w:ind w:left="360" w:right="835" w:hanging="1"/>
        <w:jc w:val="both"/>
        <w:rPr>
          <w:sz w:val="18"/>
        </w:rPr>
      </w:pPr>
      <w:bookmarkStart w:id="126" w:name="_bookmark44"/>
      <w:bookmarkEnd w:id="126"/>
      <w:r>
        <w:rPr>
          <w:position w:val="7"/>
          <w:sz w:val="14"/>
        </w:rPr>
        <w:t>3</w:t>
      </w:r>
      <w:r>
        <w:rPr>
          <w:sz w:val="18"/>
        </w:rPr>
        <w:t>OMB</w:t>
      </w:r>
      <w:r>
        <w:rPr>
          <w:spacing w:val="-1"/>
          <w:sz w:val="18"/>
        </w:rPr>
        <w:t xml:space="preserve"> </w:t>
      </w:r>
      <w:r>
        <w:rPr>
          <w:sz w:val="18"/>
        </w:rPr>
        <w:t>Circular No.</w:t>
      </w:r>
      <w:r>
        <w:rPr>
          <w:spacing w:val="-1"/>
          <w:sz w:val="18"/>
        </w:rPr>
        <w:t xml:space="preserve"> </w:t>
      </w:r>
      <w:r>
        <w:rPr>
          <w:sz w:val="18"/>
        </w:rPr>
        <w:t>A-123,</w:t>
      </w:r>
      <w:r>
        <w:rPr>
          <w:spacing w:val="-1"/>
          <w:sz w:val="18"/>
        </w:rPr>
        <w:t xml:space="preserve"> </w:t>
      </w:r>
      <w:r>
        <w:rPr>
          <w:sz w:val="18"/>
        </w:rPr>
        <w:t>appendix</w:t>
      </w:r>
      <w:r>
        <w:rPr>
          <w:spacing w:val="-1"/>
          <w:sz w:val="18"/>
        </w:rPr>
        <w:t xml:space="preserve"> </w:t>
      </w:r>
      <w:r>
        <w:rPr>
          <w:sz w:val="18"/>
        </w:rPr>
        <w:t>D,</w:t>
      </w:r>
      <w:r>
        <w:rPr>
          <w:spacing w:val="-1"/>
          <w:sz w:val="18"/>
        </w:rPr>
        <w:t xml:space="preserve"> </w:t>
      </w:r>
      <w:r>
        <w:rPr>
          <w:sz w:val="18"/>
        </w:rPr>
        <w:t>states</w:t>
      </w:r>
      <w:r>
        <w:rPr>
          <w:spacing w:val="-1"/>
          <w:sz w:val="18"/>
        </w:rPr>
        <w:t xml:space="preserve"> </w:t>
      </w:r>
      <w:r>
        <w:rPr>
          <w:sz w:val="18"/>
        </w:rPr>
        <w:t>that</w:t>
      </w:r>
      <w:r>
        <w:rPr>
          <w:spacing w:val="-1"/>
          <w:sz w:val="18"/>
        </w:rPr>
        <w:t xml:space="preserve"> </w:t>
      </w:r>
      <w:r>
        <w:rPr>
          <w:sz w:val="18"/>
        </w:rPr>
        <w:t>“financial</w:t>
      </w:r>
      <w:r>
        <w:rPr>
          <w:spacing w:val="-1"/>
          <w:sz w:val="18"/>
        </w:rPr>
        <w:t xml:space="preserve"> </w:t>
      </w:r>
      <w:r>
        <w:rPr>
          <w:sz w:val="18"/>
        </w:rPr>
        <w:t>system”</w:t>
      </w:r>
      <w:r>
        <w:rPr>
          <w:spacing w:val="-1"/>
          <w:sz w:val="18"/>
        </w:rPr>
        <w:t xml:space="preserve"> </w:t>
      </w:r>
      <w:r>
        <w:rPr>
          <w:sz w:val="18"/>
        </w:rPr>
        <w:t>is</w:t>
      </w:r>
      <w:r>
        <w:rPr>
          <w:spacing w:val="-1"/>
          <w:sz w:val="18"/>
        </w:rPr>
        <w:t xml:space="preserve"> </w:t>
      </w:r>
      <w:r>
        <w:rPr>
          <w:sz w:val="18"/>
        </w:rPr>
        <w:t>synonymous</w:t>
      </w:r>
      <w:r>
        <w:rPr>
          <w:spacing w:val="-1"/>
          <w:sz w:val="18"/>
        </w:rPr>
        <w:t xml:space="preserve"> </w:t>
      </w:r>
      <w:r>
        <w:rPr>
          <w:sz w:val="18"/>
        </w:rPr>
        <w:t>with</w:t>
      </w:r>
      <w:r>
        <w:rPr>
          <w:spacing w:val="-2"/>
          <w:sz w:val="18"/>
        </w:rPr>
        <w:t xml:space="preserve"> </w:t>
      </w:r>
      <w:r>
        <w:rPr>
          <w:sz w:val="18"/>
        </w:rPr>
        <w:t>“core</w:t>
      </w:r>
      <w:r>
        <w:rPr>
          <w:spacing w:val="-2"/>
          <w:sz w:val="18"/>
        </w:rPr>
        <w:t xml:space="preserve"> </w:t>
      </w:r>
      <w:r>
        <w:rPr>
          <w:sz w:val="18"/>
        </w:rPr>
        <w:t>financial</w:t>
      </w:r>
      <w:r>
        <w:rPr>
          <w:spacing w:val="-1"/>
          <w:sz w:val="18"/>
        </w:rPr>
        <w:t xml:space="preserve"> </w:t>
      </w:r>
      <w:r>
        <w:rPr>
          <w:sz w:val="18"/>
        </w:rPr>
        <w:t>system”</w:t>
      </w:r>
      <w:r>
        <w:rPr>
          <w:spacing w:val="-1"/>
          <w:sz w:val="18"/>
        </w:rPr>
        <w:t xml:space="preserve"> </w:t>
      </w:r>
      <w:r>
        <w:rPr>
          <w:sz w:val="18"/>
        </w:rPr>
        <w:t>and consists</w:t>
      </w:r>
      <w:r>
        <w:rPr>
          <w:spacing w:val="-4"/>
          <w:sz w:val="18"/>
        </w:rPr>
        <w:t xml:space="preserve"> </w:t>
      </w:r>
      <w:r>
        <w:rPr>
          <w:sz w:val="18"/>
        </w:rPr>
        <w:t>of</w:t>
      </w:r>
      <w:r>
        <w:rPr>
          <w:spacing w:val="-4"/>
          <w:sz w:val="18"/>
        </w:rPr>
        <w:t xml:space="preserve"> </w:t>
      </w:r>
      <w:r>
        <w:rPr>
          <w:sz w:val="18"/>
        </w:rPr>
        <w:t>six</w:t>
      </w:r>
      <w:r>
        <w:rPr>
          <w:spacing w:val="-4"/>
          <w:sz w:val="18"/>
        </w:rPr>
        <w:t xml:space="preserve"> </w:t>
      </w:r>
      <w:r>
        <w:rPr>
          <w:sz w:val="18"/>
        </w:rPr>
        <w:t>functional</w:t>
      </w:r>
      <w:r>
        <w:rPr>
          <w:spacing w:val="-3"/>
          <w:sz w:val="18"/>
        </w:rPr>
        <w:t xml:space="preserve"> </w:t>
      </w:r>
      <w:r>
        <w:rPr>
          <w:sz w:val="18"/>
        </w:rPr>
        <w:t>areas:</w:t>
      </w:r>
      <w:r>
        <w:rPr>
          <w:spacing w:val="-4"/>
          <w:sz w:val="18"/>
        </w:rPr>
        <w:t xml:space="preserve"> </w:t>
      </w:r>
      <w:r>
        <w:rPr>
          <w:sz w:val="18"/>
        </w:rPr>
        <w:t>general</w:t>
      </w:r>
      <w:r>
        <w:rPr>
          <w:spacing w:val="-4"/>
          <w:sz w:val="18"/>
        </w:rPr>
        <w:t xml:space="preserve"> </w:t>
      </w:r>
      <w:r>
        <w:rPr>
          <w:sz w:val="18"/>
        </w:rPr>
        <w:t>ledger</w:t>
      </w:r>
      <w:r>
        <w:rPr>
          <w:spacing w:val="-4"/>
          <w:sz w:val="18"/>
        </w:rPr>
        <w:t xml:space="preserve"> </w:t>
      </w:r>
      <w:r>
        <w:rPr>
          <w:sz w:val="18"/>
        </w:rPr>
        <w:t>management,</w:t>
      </w:r>
      <w:r>
        <w:rPr>
          <w:spacing w:val="-3"/>
          <w:sz w:val="18"/>
        </w:rPr>
        <w:t xml:space="preserve"> </w:t>
      </w:r>
      <w:r>
        <w:rPr>
          <w:sz w:val="18"/>
        </w:rPr>
        <w:t>funds</w:t>
      </w:r>
      <w:r>
        <w:rPr>
          <w:spacing w:val="-4"/>
          <w:sz w:val="18"/>
        </w:rPr>
        <w:t xml:space="preserve"> </w:t>
      </w:r>
      <w:r>
        <w:rPr>
          <w:sz w:val="18"/>
        </w:rPr>
        <w:t>management,</w:t>
      </w:r>
      <w:r>
        <w:rPr>
          <w:spacing w:val="-4"/>
          <w:sz w:val="18"/>
        </w:rPr>
        <w:t xml:space="preserve"> </w:t>
      </w:r>
      <w:r>
        <w:rPr>
          <w:sz w:val="18"/>
        </w:rPr>
        <w:t>payment</w:t>
      </w:r>
      <w:r>
        <w:rPr>
          <w:spacing w:val="-3"/>
          <w:sz w:val="18"/>
        </w:rPr>
        <w:t xml:space="preserve"> </w:t>
      </w:r>
      <w:r>
        <w:rPr>
          <w:sz w:val="18"/>
        </w:rPr>
        <w:t>management,</w:t>
      </w:r>
      <w:r>
        <w:rPr>
          <w:spacing w:val="-4"/>
          <w:sz w:val="18"/>
        </w:rPr>
        <w:t xml:space="preserve"> </w:t>
      </w:r>
      <w:r>
        <w:rPr>
          <w:sz w:val="18"/>
        </w:rPr>
        <w:t>receivable management, cost management, and reporting.</w:t>
      </w:r>
    </w:p>
    <w:p w14:paraId="0DFDB1BD" w14:textId="77777777" w:rsidR="00046465" w:rsidRDefault="008134EB">
      <w:pPr>
        <w:spacing w:before="122" w:line="244" w:lineRule="auto"/>
        <w:ind w:left="360" w:right="824" w:hanging="1"/>
        <w:rPr>
          <w:sz w:val="18"/>
        </w:rPr>
      </w:pPr>
      <w:bookmarkStart w:id="127" w:name="_bookmark45"/>
      <w:bookmarkEnd w:id="127"/>
      <w:r>
        <w:rPr>
          <w:position w:val="7"/>
          <w:sz w:val="14"/>
        </w:rPr>
        <w:t>4</w:t>
      </w:r>
      <w:r>
        <w:rPr>
          <w:sz w:val="18"/>
        </w:rPr>
        <w:t xml:space="preserve">Federal financial management systems requirements, as revised, can be found at </w:t>
      </w:r>
      <w:hyperlink r:id="rId86">
        <w:r>
          <w:rPr>
            <w:color w:val="0000FF"/>
            <w:spacing w:val="-2"/>
            <w:sz w:val="18"/>
          </w:rPr>
          <w:t>https://tfx.treasury.gov/tfm/volume1/part6/chapter-9500-revised-federal-financial-management-system-requirements-</w:t>
        </w:r>
      </w:hyperlink>
      <w:hyperlink r:id="rId87">
        <w:r>
          <w:rPr>
            <w:color w:val="0000FF"/>
            <w:sz w:val="18"/>
          </w:rPr>
          <w:t>fiscal</w:t>
        </w:r>
      </w:hyperlink>
      <w:r>
        <w:rPr>
          <w:color w:val="0000FF"/>
          <w:sz w:val="18"/>
        </w:rPr>
        <w:t xml:space="preserve"> </w:t>
      </w:r>
      <w:r>
        <w:rPr>
          <w:sz w:val="18"/>
        </w:rPr>
        <w:t>(accessed May 29, 2026).</w:t>
      </w:r>
    </w:p>
    <w:p w14:paraId="0DFDB1BE" w14:textId="77777777" w:rsidR="00046465" w:rsidRDefault="008134EB">
      <w:pPr>
        <w:spacing w:before="121"/>
        <w:ind w:left="360"/>
        <w:rPr>
          <w:sz w:val="18"/>
        </w:rPr>
      </w:pPr>
      <w:bookmarkStart w:id="128" w:name="_bookmark46"/>
      <w:bookmarkEnd w:id="128"/>
      <w:r>
        <w:rPr>
          <w:position w:val="7"/>
          <w:sz w:val="14"/>
        </w:rPr>
        <w:t>5</w:t>
      </w:r>
      <w:r>
        <w:rPr>
          <w:sz w:val="18"/>
        </w:rPr>
        <w:t>FASAB</w:t>
      </w:r>
      <w:r>
        <w:rPr>
          <w:spacing w:val="-3"/>
          <w:sz w:val="18"/>
        </w:rPr>
        <w:t xml:space="preserve"> </w:t>
      </w:r>
      <w:r>
        <w:rPr>
          <w:sz w:val="18"/>
        </w:rPr>
        <w:t>standards</w:t>
      </w:r>
      <w:r>
        <w:rPr>
          <w:spacing w:val="-3"/>
          <w:sz w:val="18"/>
        </w:rPr>
        <w:t xml:space="preserve"> </w:t>
      </w:r>
      <w:r>
        <w:rPr>
          <w:sz w:val="18"/>
        </w:rPr>
        <w:t>can</w:t>
      </w:r>
      <w:r>
        <w:rPr>
          <w:spacing w:val="-4"/>
          <w:sz w:val="18"/>
        </w:rPr>
        <w:t xml:space="preserve"> </w:t>
      </w:r>
      <w:r>
        <w:rPr>
          <w:sz w:val="18"/>
        </w:rPr>
        <w:t>be</w:t>
      </w:r>
      <w:r>
        <w:rPr>
          <w:spacing w:val="-4"/>
          <w:sz w:val="18"/>
        </w:rPr>
        <w:t xml:space="preserve"> </w:t>
      </w:r>
      <w:r>
        <w:rPr>
          <w:sz w:val="18"/>
        </w:rPr>
        <w:t>found</w:t>
      </w:r>
      <w:r>
        <w:rPr>
          <w:spacing w:val="-4"/>
          <w:sz w:val="18"/>
        </w:rPr>
        <w:t xml:space="preserve"> </w:t>
      </w:r>
      <w:r>
        <w:rPr>
          <w:sz w:val="18"/>
        </w:rPr>
        <w:t>at</w:t>
      </w:r>
      <w:r>
        <w:rPr>
          <w:spacing w:val="-3"/>
          <w:sz w:val="18"/>
        </w:rPr>
        <w:t xml:space="preserve"> </w:t>
      </w:r>
      <w:hyperlink r:id="rId88">
        <w:r>
          <w:rPr>
            <w:color w:val="0000FF"/>
            <w:sz w:val="18"/>
          </w:rPr>
          <w:t>https://fasab.gov/</w:t>
        </w:r>
      </w:hyperlink>
      <w:r>
        <w:rPr>
          <w:color w:val="0000FF"/>
          <w:spacing w:val="-2"/>
          <w:sz w:val="18"/>
        </w:rPr>
        <w:t xml:space="preserve"> </w:t>
      </w:r>
      <w:r>
        <w:rPr>
          <w:sz w:val="18"/>
        </w:rPr>
        <w:t>(accessed</w:t>
      </w:r>
      <w:r>
        <w:rPr>
          <w:spacing w:val="-3"/>
          <w:sz w:val="18"/>
        </w:rPr>
        <w:t xml:space="preserve"> </w:t>
      </w:r>
      <w:r>
        <w:rPr>
          <w:sz w:val="18"/>
        </w:rPr>
        <w:t>May</w:t>
      </w:r>
      <w:r>
        <w:rPr>
          <w:spacing w:val="-3"/>
          <w:sz w:val="18"/>
        </w:rPr>
        <w:t xml:space="preserve"> </w:t>
      </w:r>
      <w:r>
        <w:rPr>
          <w:sz w:val="18"/>
        </w:rPr>
        <w:t>29,</w:t>
      </w:r>
      <w:r>
        <w:rPr>
          <w:spacing w:val="-2"/>
          <w:sz w:val="18"/>
        </w:rPr>
        <w:t xml:space="preserve"> 2026).</w:t>
      </w:r>
    </w:p>
    <w:p w14:paraId="0DFDB1BF" w14:textId="77777777" w:rsidR="00046465" w:rsidRDefault="00046465">
      <w:pPr>
        <w:rPr>
          <w:sz w:val="18"/>
        </w:rPr>
        <w:sectPr w:rsidR="00046465">
          <w:headerReference w:type="default" r:id="rId89"/>
          <w:footerReference w:type="default" r:id="rId90"/>
          <w:pgSz w:w="12240" w:h="15840"/>
          <w:pgMar w:top="1340" w:right="720" w:bottom="940" w:left="1080" w:header="721" w:footer="757" w:gutter="0"/>
          <w:pgNumType w:start="2"/>
          <w:cols w:space="720"/>
        </w:sectPr>
      </w:pPr>
    </w:p>
    <w:p w14:paraId="0DFDB1C0" w14:textId="77777777" w:rsidR="00046465" w:rsidRDefault="008134EB">
      <w:pPr>
        <w:pStyle w:val="BodyText"/>
        <w:spacing w:before="121"/>
        <w:ind w:left="1800" w:right="749"/>
      </w:pPr>
      <w:r>
        <w:lastRenderedPageBreak/>
        <w:t>for standardizing federal agency accounting and supports the preparation of standard</w:t>
      </w:r>
      <w:r>
        <w:rPr>
          <w:spacing w:val="-4"/>
        </w:rPr>
        <w:t xml:space="preserve"> </w:t>
      </w:r>
      <w:r>
        <w:t>external</w:t>
      </w:r>
      <w:r>
        <w:rPr>
          <w:spacing w:val="-4"/>
        </w:rPr>
        <w:t xml:space="preserve"> </w:t>
      </w:r>
      <w:r>
        <w:t>reports</w:t>
      </w:r>
      <w:r>
        <w:rPr>
          <w:spacing w:val="-4"/>
        </w:rPr>
        <w:t xml:space="preserve"> </w:t>
      </w:r>
      <w:r>
        <w:t>required</w:t>
      </w:r>
      <w:r>
        <w:rPr>
          <w:spacing w:val="-4"/>
        </w:rPr>
        <w:t xml:space="preserve"> </w:t>
      </w:r>
      <w:r>
        <w:t>by</w:t>
      </w:r>
      <w:r>
        <w:rPr>
          <w:spacing w:val="-4"/>
        </w:rPr>
        <w:t xml:space="preserve"> </w:t>
      </w:r>
      <w:r>
        <w:t>OMB</w:t>
      </w:r>
      <w:r>
        <w:rPr>
          <w:spacing w:val="-4"/>
        </w:rPr>
        <w:t xml:space="preserve"> </w:t>
      </w:r>
      <w:r>
        <w:t>and</w:t>
      </w:r>
      <w:r>
        <w:rPr>
          <w:spacing w:val="-3"/>
        </w:rPr>
        <w:t xml:space="preserve"> </w:t>
      </w:r>
      <w:r>
        <w:t>Treasury.</w:t>
      </w:r>
      <w:r>
        <w:rPr>
          <w:spacing w:val="-4"/>
        </w:rPr>
        <w:t xml:space="preserve"> </w:t>
      </w:r>
      <w:r>
        <w:t>The</w:t>
      </w:r>
      <w:r>
        <w:rPr>
          <w:spacing w:val="-4"/>
        </w:rPr>
        <w:t xml:space="preserve"> </w:t>
      </w:r>
      <w:r>
        <w:t>USSGL</w:t>
      </w:r>
      <w:r>
        <w:rPr>
          <w:spacing w:val="-4"/>
        </w:rPr>
        <w:t xml:space="preserve"> </w:t>
      </w:r>
      <w:r>
        <w:t>is</w:t>
      </w:r>
      <w:r>
        <w:rPr>
          <w:spacing w:val="-4"/>
        </w:rPr>
        <w:t xml:space="preserve"> </w:t>
      </w:r>
      <w:r>
        <w:t>defined in the latest supplement, which is released annually in Treasury’s TFM.</w:t>
      </w:r>
      <w:hyperlink w:anchor="_bookmark47" w:history="1">
        <w:r>
          <w:rPr>
            <w:position w:val="7"/>
            <w:sz w:val="14"/>
          </w:rPr>
          <w:t>6</w:t>
        </w:r>
      </w:hyperlink>
      <w:r>
        <w:rPr>
          <w:spacing w:val="34"/>
          <w:position w:val="7"/>
          <w:sz w:val="14"/>
        </w:rPr>
        <w:t xml:space="preserve"> </w:t>
      </w:r>
      <w:r>
        <w:t>The supplement is composed of the following major sections:</w:t>
      </w:r>
    </w:p>
    <w:p w14:paraId="0DFDB1C1" w14:textId="77777777" w:rsidR="00046465" w:rsidRDefault="008134EB">
      <w:pPr>
        <w:pStyle w:val="ListParagraph"/>
        <w:numPr>
          <w:ilvl w:val="0"/>
          <w:numId w:val="199"/>
        </w:numPr>
        <w:tabs>
          <w:tab w:val="left" w:pos="2159"/>
        </w:tabs>
        <w:spacing w:before="119"/>
        <w:ind w:hanging="359"/>
      </w:pPr>
      <w:r>
        <w:t>chart</w:t>
      </w:r>
      <w:r>
        <w:rPr>
          <w:spacing w:val="-4"/>
        </w:rPr>
        <w:t xml:space="preserve"> </w:t>
      </w:r>
      <w:r>
        <w:t>of</w:t>
      </w:r>
      <w:r>
        <w:rPr>
          <w:spacing w:val="-3"/>
        </w:rPr>
        <w:t xml:space="preserve"> </w:t>
      </w:r>
      <w:r>
        <w:rPr>
          <w:spacing w:val="-2"/>
        </w:rPr>
        <w:t>accounts,</w:t>
      </w:r>
    </w:p>
    <w:p w14:paraId="0DFDB1C2" w14:textId="77777777" w:rsidR="00046465" w:rsidRDefault="008134EB">
      <w:pPr>
        <w:pStyle w:val="ListParagraph"/>
        <w:numPr>
          <w:ilvl w:val="0"/>
          <w:numId w:val="199"/>
        </w:numPr>
        <w:tabs>
          <w:tab w:val="left" w:pos="2159"/>
        </w:tabs>
        <w:spacing w:before="118"/>
        <w:ind w:hanging="359"/>
      </w:pPr>
      <w:r>
        <w:t>accounts</w:t>
      </w:r>
      <w:r>
        <w:rPr>
          <w:spacing w:val="-7"/>
        </w:rPr>
        <w:t xml:space="preserve"> </w:t>
      </w:r>
      <w:r>
        <w:t>and</w:t>
      </w:r>
      <w:r>
        <w:rPr>
          <w:spacing w:val="-7"/>
        </w:rPr>
        <w:t xml:space="preserve"> </w:t>
      </w:r>
      <w:r>
        <w:rPr>
          <w:spacing w:val="-2"/>
        </w:rPr>
        <w:t>definitions,</w:t>
      </w:r>
    </w:p>
    <w:p w14:paraId="0DFDB1C3" w14:textId="77777777" w:rsidR="00046465" w:rsidRDefault="008134EB">
      <w:pPr>
        <w:pStyle w:val="ListParagraph"/>
        <w:numPr>
          <w:ilvl w:val="0"/>
          <w:numId w:val="199"/>
        </w:numPr>
        <w:tabs>
          <w:tab w:val="left" w:pos="2159"/>
        </w:tabs>
        <w:spacing w:before="119"/>
        <w:ind w:hanging="359"/>
      </w:pPr>
      <w:r>
        <w:t>account</w:t>
      </w:r>
      <w:r>
        <w:rPr>
          <w:spacing w:val="-8"/>
        </w:rPr>
        <w:t xml:space="preserve"> </w:t>
      </w:r>
      <w:r>
        <w:rPr>
          <w:spacing w:val="-2"/>
        </w:rPr>
        <w:t>transactions,</w:t>
      </w:r>
    </w:p>
    <w:p w14:paraId="0DFDB1C4" w14:textId="77777777" w:rsidR="00046465" w:rsidRDefault="008134EB">
      <w:pPr>
        <w:pStyle w:val="ListParagraph"/>
        <w:numPr>
          <w:ilvl w:val="0"/>
          <w:numId w:val="199"/>
        </w:numPr>
        <w:tabs>
          <w:tab w:val="left" w:pos="2159"/>
        </w:tabs>
        <w:spacing w:before="119"/>
      </w:pPr>
      <w:r>
        <w:t>USSGL</w:t>
      </w:r>
      <w:r>
        <w:rPr>
          <w:spacing w:val="-9"/>
        </w:rPr>
        <w:t xml:space="preserve"> </w:t>
      </w:r>
      <w:r>
        <w:t>account</w:t>
      </w:r>
      <w:r>
        <w:rPr>
          <w:spacing w:val="-9"/>
        </w:rPr>
        <w:t xml:space="preserve"> </w:t>
      </w:r>
      <w:r>
        <w:rPr>
          <w:spacing w:val="-2"/>
        </w:rPr>
        <w:t>attributes,</w:t>
      </w:r>
    </w:p>
    <w:p w14:paraId="0DFDB1C5" w14:textId="77777777" w:rsidR="00046465" w:rsidRDefault="008134EB">
      <w:pPr>
        <w:pStyle w:val="ListParagraph"/>
        <w:numPr>
          <w:ilvl w:val="0"/>
          <w:numId w:val="199"/>
        </w:numPr>
        <w:tabs>
          <w:tab w:val="left" w:pos="2159"/>
        </w:tabs>
        <w:spacing w:before="118"/>
      </w:pPr>
      <w:r>
        <w:t>crosswalks</w:t>
      </w:r>
      <w:r>
        <w:rPr>
          <w:spacing w:val="-9"/>
        </w:rPr>
        <w:t xml:space="preserve"> </w:t>
      </w:r>
      <w:r>
        <w:t>to</w:t>
      </w:r>
      <w:r>
        <w:rPr>
          <w:spacing w:val="-9"/>
        </w:rPr>
        <w:t xml:space="preserve"> </w:t>
      </w:r>
      <w:r>
        <w:t>standard</w:t>
      </w:r>
      <w:r>
        <w:rPr>
          <w:spacing w:val="-9"/>
        </w:rPr>
        <w:t xml:space="preserve"> </w:t>
      </w:r>
      <w:r>
        <w:t>external</w:t>
      </w:r>
      <w:r>
        <w:rPr>
          <w:spacing w:val="-8"/>
        </w:rPr>
        <w:t xml:space="preserve"> </w:t>
      </w:r>
      <w:r>
        <w:t>reports</w:t>
      </w:r>
      <w:r>
        <w:rPr>
          <w:spacing w:val="-9"/>
        </w:rPr>
        <w:t xml:space="preserve"> </w:t>
      </w:r>
      <w:r>
        <w:t>and</w:t>
      </w:r>
      <w:r>
        <w:rPr>
          <w:spacing w:val="-9"/>
        </w:rPr>
        <w:t xml:space="preserve"> </w:t>
      </w:r>
      <w:r>
        <w:t>reclassified</w:t>
      </w:r>
      <w:r>
        <w:rPr>
          <w:spacing w:val="-10"/>
        </w:rPr>
        <w:t xml:space="preserve"> </w:t>
      </w:r>
      <w:r>
        <w:t>statements,</w:t>
      </w:r>
      <w:r>
        <w:rPr>
          <w:spacing w:val="-8"/>
        </w:rPr>
        <w:t xml:space="preserve"> </w:t>
      </w:r>
      <w:r>
        <w:rPr>
          <w:spacing w:val="-5"/>
        </w:rPr>
        <w:t>and</w:t>
      </w:r>
    </w:p>
    <w:p w14:paraId="0DFDB1C6" w14:textId="77777777" w:rsidR="00046465" w:rsidRDefault="008134EB">
      <w:pPr>
        <w:pStyle w:val="ListParagraph"/>
        <w:numPr>
          <w:ilvl w:val="0"/>
          <w:numId w:val="199"/>
        </w:numPr>
        <w:tabs>
          <w:tab w:val="left" w:pos="2159"/>
        </w:tabs>
        <w:spacing w:before="58"/>
        <w:ind w:right="978"/>
        <w:rPr>
          <w:position w:val="7"/>
          <w:sz w:val="14"/>
        </w:rPr>
      </w:pPr>
      <w:r>
        <w:t>Governmentwide</w:t>
      </w:r>
      <w:r>
        <w:rPr>
          <w:spacing w:val="-6"/>
        </w:rPr>
        <w:t xml:space="preserve"> </w:t>
      </w:r>
      <w:r>
        <w:t>Treasury</w:t>
      </w:r>
      <w:r>
        <w:rPr>
          <w:spacing w:val="-6"/>
        </w:rPr>
        <w:t xml:space="preserve"> </w:t>
      </w:r>
      <w:r>
        <w:t>Account</w:t>
      </w:r>
      <w:r>
        <w:rPr>
          <w:spacing w:val="-6"/>
        </w:rPr>
        <w:t xml:space="preserve"> </w:t>
      </w:r>
      <w:r>
        <w:t>Symbol</w:t>
      </w:r>
      <w:r>
        <w:rPr>
          <w:spacing w:val="-6"/>
        </w:rPr>
        <w:t xml:space="preserve"> </w:t>
      </w:r>
      <w:r>
        <w:t>Adjusted</w:t>
      </w:r>
      <w:r>
        <w:rPr>
          <w:spacing w:val="-6"/>
        </w:rPr>
        <w:t xml:space="preserve"> </w:t>
      </w:r>
      <w:r>
        <w:t>Trial</w:t>
      </w:r>
      <w:r>
        <w:rPr>
          <w:spacing w:val="-6"/>
        </w:rPr>
        <w:t xml:space="preserve"> </w:t>
      </w:r>
      <w:r>
        <w:t>Balance</w:t>
      </w:r>
      <w:r>
        <w:rPr>
          <w:spacing w:val="-6"/>
        </w:rPr>
        <w:t xml:space="preserve"> </w:t>
      </w:r>
      <w:r>
        <w:t>System (GTAS) validations and edits.</w:t>
      </w:r>
      <w:hyperlink w:anchor="_bookmark48" w:history="1">
        <w:r>
          <w:rPr>
            <w:position w:val="7"/>
            <w:sz w:val="14"/>
          </w:rPr>
          <w:t>7</w:t>
        </w:r>
      </w:hyperlink>
    </w:p>
    <w:p w14:paraId="0DFDB1C7" w14:textId="77777777" w:rsidR="00046465" w:rsidRDefault="008134EB">
      <w:pPr>
        <w:pStyle w:val="BodyText"/>
        <w:spacing w:before="118"/>
        <w:ind w:left="1800" w:right="749"/>
      </w:pPr>
      <w:r>
        <w:t>The FFMSRs incorporate USSGL requirements by including authoritative references.</w:t>
      </w:r>
      <w:r>
        <w:rPr>
          <w:spacing w:val="-5"/>
        </w:rPr>
        <w:t xml:space="preserve"> </w:t>
      </w:r>
      <w:r>
        <w:t>Each</w:t>
      </w:r>
      <w:r>
        <w:rPr>
          <w:spacing w:val="-4"/>
        </w:rPr>
        <w:t xml:space="preserve"> </w:t>
      </w:r>
      <w:r>
        <w:t>business</w:t>
      </w:r>
      <w:r>
        <w:rPr>
          <w:spacing w:val="-4"/>
        </w:rPr>
        <w:t xml:space="preserve"> </w:t>
      </w:r>
      <w:r>
        <w:t>capability</w:t>
      </w:r>
      <w:r>
        <w:rPr>
          <w:spacing w:val="-5"/>
        </w:rPr>
        <w:t xml:space="preserve"> </w:t>
      </w:r>
      <w:r>
        <w:t>statement</w:t>
      </w:r>
      <w:r>
        <w:rPr>
          <w:spacing w:val="-4"/>
        </w:rPr>
        <w:t xml:space="preserve"> </w:t>
      </w:r>
      <w:r>
        <w:t>within</w:t>
      </w:r>
      <w:r>
        <w:rPr>
          <w:spacing w:val="-4"/>
        </w:rPr>
        <w:t xml:space="preserve"> </w:t>
      </w:r>
      <w:r>
        <w:t>the</w:t>
      </w:r>
      <w:r>
        <w:rPr>
          <w:spacing w:val="-4"/>
        </w:rPr>
        <w:t xml:space="preserve"> </w:t>
      </w:r>
      <w:r>
        <w:t>FFMSRs</w:t>
      </w:r>
      <w:r>
        <w:rPr>
          <w:spacing w:val="-4"/>
        </w:rPr>
        <w:t xml:space="preserve"> </w:t>
      </w:r>
      <w:r>
        <w:t>is</w:t>
      </w:r>
      <w:r>
        <w:rPr>
          <w:spacing w:val="-4"/>
        </w:rPr>
        <w:t xml:space="preserve"> </w:t>
      </w:r>
      <w:r>
        <w:t>linked</w:t>
      </w:r>
      <w:r>
        <w:rPr>
          <w:spacing w:val="-4"/>
        </w:rPr>
        <w:t xml:space="preserve"> </w:t>
      </w:r>
      <w:r>
        <w:t>to authoritative references, including applicable USSGL sections.</w:t>
      </w:r>
    </w:p>
    <w:p w14:paraId="0DFDB1C8" w14:textId="77777777" w:rsidR="00046465" w:rsidRDefault="008134EB">
      <w:pPr>
        <w:pStyle w:val="Heading4"/>
        <w:spacing w:before="181"/>
      </w:pPr>
      <w:bookmarkStart w:id="129" w:name="Management’s_FFMIA_Reporting_Requirement"/>
      <w:bookmarkEnd w:id="129"/>
      <w:r>
        <w:t>Management’s</w:t>
      </w:r>
      <w:r>
        <w:rPr>
          <w:spacing w:val="-17"/>
        </w:rPr>
        <w:t xml:space="preserve"> </w:t>
      </w:r>
      <w:r>
        <w:t>FFMIA</w:t>
      </w:r>
      <w:r>
        <w:rPr>
          <w:spacing w:val="-16"/>
        </w:rPr>
        <w:t xml:space="preserve"> </w:t>
      </w:r>
      <w:r>
        <w:t>Reporting</w:t>
      </w:r>
      <w:r>
        <w:rPr>
          <w:spacing w:val="-15"/>
        </w:rPr>
        <w:t xml:space="preserve"> </w:t>
      </w:r>
      <w:r>
        <w:t>Requirements</w:t>
      </w:r>
      <w:r>
        <w:rPr>
          <w:spacing w:val="-17"/>
        </w:rPr>
        <w:t xml:space="preserve"> </w:t>
      </w:r>
      <w:r>
        <w:t>(FFMIA</w:t>
      </w:r>
      <w:r>
        <w:rPr>
          <w:spacing w:val="-16"/>
        </w:rPr>
        <w:t xml:space="preserve"> </w:t>
      </w:r>
      <w:r>
        <w:t>Section</w:t>
      </w:r>
      <w:r>
        <w:rPr>
          <w:spacing w:val="-17"/>
        </w:rPr>
        <w:t xml:space="preserve"> </w:t>
      </w:r>
      <w:r>
        <w:rPr>
          <w:spacing w:val="-2"/>
        </w:rPr>
        <w:t>803(c))</w:t>
      </w:r>
    </w:p>
    <w:p w14:paraId="0DFDB1C9" w14:textId="77777777" w:rsidR="00046465" w:rsidRDefault="008134EB">
      <w:pPr>
        <w:pStyle w:val="ListParagraph"/>
        <w:numPr>
          <w:ilvl w:val="0"/>
          <w:numId w:val="12"/>
        </w:numPr>
        <w:tabs>
          <w:tab w:val="left" w:pos="1800"/>
        </w:tabs>
        <w:ind w:right="775"/>
      </w:pPr>
      <w:r>
        <w:t>CFO</w:t>
      </w:r>
      <w:r>
        <w:rPr>
          <w:spacing w:val="-5"/>
        </w:rPr>
        <w:t xml:space="preserve"> </w:t>
      </w:r>
      <w:r>
        <w:t>Act</w:t>
      </w:r>
      <w:r>
        <w:rPr>
          <w:spacing w:val="-4"/>
        </w:rPr>
        <w:t xml:space="preserve"> </w:t>
      </w:r>
      <w:r>
        <w:t>agencies</w:t>
      </w:r>
      <w:r>
        <w:rPr>
          <w:spacing w:val="-4"/>
        </w:rPr>
        <w:t xml:space="preserve"> </w:t>
      </w:r>
      <w:r>
        <w:t>are</w:t>
      </w:r>
      <w:r>
        <w:rPr>
          <w:spacing w:val="-4"/>
        </w:rPr>
        <w:t xml:space="preserve"> </w:t>
      </w:r>
      <w:r>
        <w:t>required</w:t>
      </w:r>
      <w:r>
        <w:rPr>
          <w:spacing w:val="-4"/>
        </w:rPr>
        <w:t xml:space="preserve"> </w:t>
      </w:r>
      <w:r>
        <w:t>to</w:t>
      </w:r>
      <w:r>
        <w:rPr>
          <w:spacing w:val="-4"/>
        </w:rPr>
        <w:t xml:space="preserve"> </w:t>
      </w:r>
      <w:r>
        <w:t>determine</w:t>
      </w:r>
      <w:r>
        <w:rPr>
          <w:spacing w:val="-4"/>
        </w:rPr>
        <w:t xml:space="preserve"> </w:t>
      </w:r>
      <w:r>
        <w:t>whether</w:t>
      </w:r>
      <w:r>
        <w:rPr>
          <w:spacing w:val="-4"/>
        </w:rPr>
        <w:t xml:space="preserve"> </w:t>
      </w:r>
      <w:r>
        <w:t>their</w:t>
      </w:r>
      <w:r>
        <w:rPr>
          <w:spacing w:val="-4"/>
        </w:rPr>
        <w:t xml:space="preserve"> </w:t>
      </w:r>
      <w:r>
        <w:t>financial</w:t>
      </w:r>
      <w:r>
        <w:rPr>
          <w:spacing w:val="-4"/>
        </w:rPr>
        <w:t xml:space="preserve"> </w:t>
      </w:r>
      <w:r>
        <w:t>management systems comply substantially with the three FFMIA requirements.</w:t>
      </w:r>
    </w:p>
    <w:p w14:paraId="0DFDB1CA" w14:textId="77777777" w:rsidR="00046465" w:rsidRDefault="008134EB">
      <w:pPr>
        <w:pStyle w:val="ListParagraph"/>
        <w:numPr>
          <w:ilvl w:val="0"/>
          <w:numId w:val="198"/>
        </w:numPr>
        <w:tabs>
          <w:tab w:val="left" w:pos="1799"/>
        </w:tabs>
        <w:spacing w:before="119"/>
        <w:ind w:right="1068" w:hanging="720"/>
      </w:pPr>
      <w:r>
        <w:t>If</w:t>
      </w:r>
      <w:r>
        <w:rPr>
          <w:spacing w:val="-4"/>
        </w:rPr>
        <w:t xml:space="preserve"> </w:t>
      </w:r>
      <w:r>
        <w:t>an</w:t>
      </w:r>
      <w:r>
        <w:rPr>
          <w:spacing w:val="-4"/>
        </w:rPr>
        <w:t xml:space="preserve"> </w:t>
      </w:r>
      <w:r>
        <w:t>agency</w:t>
      </w:r>
      <w:r>
        <w:rPr>
          <w:spacing w:val="-5"/>
        </w:rPr>
        <w:t xml:space="preserve"> </w:t>
      </w:r>
      <w:r>
        <w:t>determines</w:t>
      </w:r>
      <w:r>
        <w:rPr>
          <w:spacing w:val="-4"/>
        </w:rPr>
        <w:t xml:space="preserve"> </w:t>
      </w:r>
      <w:r>
        <w:t>that</w:t>
      </w:r>
      <w:r>
        <w:rPr>
          <w:spacing w:val="-4"/>
        </w:rPr>
        <w:t xml:space="preserve"> </w:t>
      </w:r>
      <w:r>
        <w:t>its</w:t>
      </w:r>
      <w:r>
        <w:rPr>
          <w:spacing w:val="-4"/>
        </w:rPr>
        <w:t xml:space="preserve"> </w:t>
      </w:r>
      <w:r>
        <w:t>financial</w:t>
      </w:r>
      <w:r>
        <w:rPr>
          <w:spacing w:val="-4"/>
        </w:rPr>
        <w:t xml:space="preserve"> </w:t>
      </w:r>
      <w:r>
        <w:t>management</w:t>
      </w:r>
      <w:r>
        <w:rPr>
          <w:spacing w:val="-4"/>
        </w:rPr>
        <w:t xml:space="preserve"> </w:t>
      </w:r>
      <w:r>
        <w:t>systems</w:t>
      </w:r>
      <w:r>
        <w:rPr>
          <w:spacing w:val="-4"/>
        </w:rPr>
        <w:t xml:space="preserve"> </w:t>
      </w:r>
      <w:r>
        <w:t>do</w:t>
      </w:r>
      <w:r>
        <w:rPr>
          <w:spacing w:val="-4"/>
        </w:rPr>
        <w:t xml:space="preserve"> </w:t>
      </w:r>
      <w:r>
        <w:t>not</w:t>
      </w:r>
      <w:r>
        <w:rPr>
          <w:spacing w:val="-4"/>
        </w:rPr>
        <w:t xml:space="preserve"> </w:t>
      </w:r>
      <w:r>
        <w:t>comply substantially with the three FFMIA requirements, the agency is required to establish a remediation plan.</w:t>
      </w:r>
    </w:p>
    <w:p w14:paraId="0DFDB1CB" w14:textId="77777777" w:rsidR="00046465" w:rsidRDefault="008134EB">
      <w:pPr>
        <w:pStyle w:val="ListParagraph"/>
        <w:numPr>
          <w:ilvl w:val="0"/>
          <w:numId w:val="198"/>
        </w:numPr>
        <w:tabs>
          <w:tab w:val="left" w:pos="1799"/>
        </w:tabs>
        <w:spacing w:before="121"/>
        <w:ind w:right="776"/>
      </w:pPr>
      <w:r>
        <w:t xml:space="preserve">OMB Circular No. A-136, </w:t>
      </w:r>
      <w:r>
        <w:rPr>
          <w:i/>
        </w:rPr>
        <w:t>Financial Reporting Requirements</w:t>
      </w:r>
      <w:r>
        <w:t>,</w:t>
      </w:r>
      <w:hyperlink w:anchor="_bookmark49" w:history="1">
        <w:r>
          <w:rPr>
            <w:position w:val="7"/>
            <w:sz w:val="14"/>
          </w:rPr>
          <w:t>8</w:t>
        </w:r>
      </w:hyperlink>
      <w:r>
        <w:rPr>
          <w:spacing w:val="37"/>
          <w:position w:val="7"/>
          <w:sz w:val="14"/>
        </w:rPr>
        <w:t xml:space="preserve"> </w:t>
      </w:r>
      <w:r>
        <w:t>specifies that the Analysis of Systems, Controls, and Legal Compliance section of management’s discussion</w:t>
      </w:r>
      <w:r>
        <w:rPr>
          <w:spacing w:val="-4"/>
        </w:rPr>
        <w:t xml:space="preserve"> </w:t>
      </w:r>
      <w:r>
        <w:t>and</w:t>
      </w:r>
      <w:r>
        <w:rPr>
          <w:spacing w:val="-4"/>
        </w:rPr>
        <w:t xml:space="preserve"> </w:t>
      </w:r>
      <w:r>
        <w:t>analysis,</w:t>
      </w:r>
      <w:r>
        <w:rPr>
          <w:spacing w:val="-5"/>
        </w:rPr>
        <w:t xml:space="preserve"> </w:t>
      </w:r>
      <w:r>
        <w:t>as</w:t>
      </w:r>
      <w:r>
        <w:rPr>
          <w:spacing w:val="-4"/>
        </w:rPr>
        <w:t xml:space="preserve"> </w:t>
      </w:r>
      <w:r>
        <w:t>included</w:t>
      </w:r>
      <w:r>
        <w:rPr>
          <w:spacing w:val="-4"/>
        </w:rPr>
        <w:t xml:space="preserve"> </w:t>
      </w:r>
      <w:r>
        <w:t>in</w:t>
      </w:r>
      <w:r>
        <w:rPr>
          <w:spacing w:val="-4"/>
        </w:rPr>
        <w:t xml:space="preserve"> </w:t>
      </w:r>
      <w:r>
        <w:t>the</w:t>
      </w:r>
      <w:r>
        <w:rPr>
          <w:spacing w:val="-4"/>
        </w:rPr>
        <w:t xml:space="preserve"> </w:t>
      </w:r>
      <w:r>
        <w:t>agency’s</w:t>
      </w:r>
      <w:r>
        <w:rPr>
          <w:spacing w:val="-4"/>
        </w:rPr>
        <w:t xml:space="preserve"> </w:t>
      </w:r>
      <w:r>
        <w:t>annual</w:t>
      </w:r>
      <w:r>
        <w:rPr>
          <w:spacing w:val="-5"/>
        </w:rPr>
        <w:t xml:space="preserve"> </w:t>
      </w:r>
      <w:r>
        <w:t>report</w:t>
      </w:r>
      <w:r>
        <w:rPr>
          <w:spacing w:val="-4"/>
        </w:rPr>
        <w:t xml:space="preserve"> </w:t>
      </w:r>
      <w:r>
        <w:t>containing</w:t>
      </w:r>
      <w:r>
        <w:rPr>
          <w:spacing w:val="-4"/>
        </w:rPr>
        <w:t xml:space="preserve"> </w:t>
      </w:r>
      <w:r>
        <w:t>the audited financial statements and the auditor’s report, includes</w:t>
      </w:r>
    </w:p>
    <w:p w14:paraId="0DFDB1CC" w14:textId="77777777" w:rsidR="00046465" w:rsidRDefault="008134EB">
      <w:pPr>
        <w:pStyle w:val="ListParagraph"/>
        <w:numPr>
          <w:ilvl w:val="1"/>
          <w:numId w:val="198"/>
        </w:numPr>
        <w:tabs>
          <w:tab w:val="left" w:pos="2159"/>
        </w:tabs>
        <w:spacing w:before="119"/>
        <w:ind w:right="1575"/>
      </w:pPr>
      <w:r>
        <w:t>a</w:t>
      </w:r>
      <w:r>
        <w:rPr>
          <w:spacing w:val="-5"/>
        </w:rPr>
        <w:t xml:space="preserve"> </w:t>
      </w:r>
      <w:r>
        <w:t>summary</w:t>
      </w:r>
      <w:r>
        <w:rPr>
          <w:spacing w:val="-4"/>
        </w:rPr>
        <w:t xml:space="preserve"> </w:t>
      </w:r>
      <w:r>
        <w:t>of</w:t>
      </w:r>
      <w:r>
        <w:rPr>
          <w:spacing w:val="-5"/>
        </w:rPr>
        <w:t xml:space="preserve"> </w:t>
      </w:r>
      <w:r>
        <w:t>the</w:t>
      </w:r>
      <w:r>
        <w:rPr>
          <w:spacing w:val="-5"/>
        </w:rPr>
        <w:t xml:space="preserve"> </w:t>
      </w:r>
      <w:r>
        <w:t>agency’s</w:t>
      </w:r>
      <w:r>
        <w:rPr>
          <w:spacing w:val="-5"/>
        </w:rPr>
        <w:t xml:space="preserve"> </w:t>
      </w:r>
      <w:r>
        <w:t>financial</w:t>
      </w:r>
      <w:r>
        <w:rPr>
          <w:spacing w:val="-6"/>
        </w:rPr>
        <w:t xml:space="preserve"> </w:t>
      </w:r>
      <w:r>
        <w:t>management</w:t>
      </w:r>
      <w:r>
        <w:rPr>
          <w:spacing w:val="-5"/>
        </w:rPr>
        <w:t xml:space="preserve"> </w:t>
      </w:r>
      <w:r>
        <w:t>systems,</w:t>
      </w:r>
      <w:r>
        <w:rPr>
          <w:spacing w:val="-5"/>
        </w:rPr>
        <w:t xml:space="preserve"> </w:t>
      </w:r>
      <w:r>
        <w:t>including systems critical to financial reporting and financial control; and</w:t>
      </w:r>
    </w:p>
    <w:p w14:paraId="0DFDB1CD" w14:textId="77777777" w:rsidR="00046465" w:rsidRDefault="008134EB">
      <w:pPr>
        <w:pStyle w:val="ListParagraph"/>
        <w:numPr>
          <w:ilvl w:val="1"/>
          <w:numId w:val="198"/>
        </w:numPr>
        <w:tabs>
          <w:tab w:val="left" w:pos="2159"/>
        </w:tabs>
        <w:spacing w:before="121"/>
        <w:ind w:right="1236"/>
      </w:pPr>
      <w:r>
        <w:t>a</w:t>
      </w:r>
      <w:r>
        <w:rPr>
          <w:spacing w:val="-5"/>
        </w:rPr>
        <w:t xml:space="preserve"> </w:t>
      </w:r>
      <w:r>
        <w:t>summary</w:t>
      </w:r>
      <w:r>
        <w:rPr>
          <w:spacing w:val="-4"/>
        </w:rPr>
        <w:t xml:space="preserve"> </w:t>
      </w:r>
      <w:r>
        <w:t>of</w:t>
      </w:r>
      <w:r>
        <w:rPr>
          <w:spacing w:val="-5"/>
        </w:rPr>
        <w:t xml:space="preserve"> </w:t>
      </w:r>
      <w:r>
        <w:t>the</w:t>
      </w:r>
      <w:r>
        <w:rPr>
          <w:spacing w:val="-5"/>
        </w:rPr>
        <w:t xml:space="preserve"> </w:t>
      </w:r>
      <w:r>
        <w:t>agency’s</w:t>
      </w:r>
      <w:r>
        <w:rPr>
          <w:spacing w:val="-5"/>
        </w:rPr>
        <w:t xml:space="preserve"> </w:t>
      </w:r>
      <w:r>
        <w:t>financial</w:t>
      </w:r>
      <w:r>
        <w:rPr>
          <w:spacing w:val="-6"/>
        </w:rPr>
        <w:t xml:space="preserve"> </w:t>
      </w:r>
      <w:r>
        <w:t>management</w:t>
      </w:r>
      <w:r>
        <w:rPr>
          <w:spacing w:val="-5"/>
        </w:rPr>
        <w:t xml:space="preserve"> </w:t>
      </w:r>
      <w:r>
        <w:t>systems</w:t>
      </w:r>
      <w:r>
        <w:rPr>
          <w:spacing w:val="-5"/>
        </w:rPr>
        <w:t xml:space="preserve"> </w:t>
      </w:r>
      <w:r>
        <w:t xml:space="preserve">improvement </w:t>
      </w:r>
      <w:r>
        <w:rPr>
          <w:spacing w:val="-2"/>
        </w:rPr>
        <w:t>strategy.</w:t>
      </w:r>
    </w:p>
    <w:p w14:paraId="0DFDB1CE" w14:textId="77777777" w:rsidR="00046465" w:rsidRDefault="008134EB">
      <w:pPr>
        <w:pStyle w:val="ListParagraph"/>
        <w:numPr>
          <w:ilvl w:val="0"/>
          <w:numId w:val="198"/>
        </w:numPr>
        <w:tabs>
          <w:tab w:val="left" w:pos="1799"/>
        </w:tabs>
        <w:spacing w:before="119"/>
        <w:ind w:right="839"/>
      </w:pPr>
      <w:r>
        <w:t>OMB</w:t>
      </w:r>
      <w:r>
        <w:rPr>
          <w:spacing w:val="-4"/>
        </w:rPr>
        <w:t xml:space="preserve"> </w:t>
      </w:r>
      <w:r>
        <w:t>Circular</w:t>
      </w:r>
      <w:r>
        <w:rPr>
          <w:spacing w:val="-4"/>
        </w:rPr>
        <w:t xml:space="preserve"> </w:t>
      </w:r>
      <w:r>
        <w:t>No.</w:t>
      </w:r>
      <w:r>
        <w:rPr>
          <w:spacing w:val="-4"/>
        </w:rPr>
        <w:t xml:space="preserve"> </w:t>
      </w:r>
      <w:r>
        <w:t>A-136</w:t>
      </w:r>
      <w:r>
        <w:rPr>
          <w:spacing w:val="-4"/>
        </w:rPr>
        <w:t xml:space="preserve"> </w:t>
      </w:r>
      <w:r>
        <w:t>also</w:t>
      </w:r>
      <w:r>
        <w:rPr>
          <w:spacing w:val="-4"/>
        </w:rPr>
        <w:t xml:space="preserve"> </w:t>
      </w:r>
      <w:r>
        <w:t>requires</w:t>
      </w:r>
      <w:r>
        <w:rPr>
          <w:spacing w:val="-4"/>
        </w:rPr>
        <w:t xml:space="preserve"> </w:t>
      </w:r>
      <w:r>
        <w:t>agencies</w:t>
      </w:r>
      <w:r>
        <w:rPr>
          <w:spacing w:val="-5"/>
        </w:rPr>
        <w:t xml:space="preserve"> </w:t>
      </w:r>
      <w:r>
        <w:t>to</w:t>
      </w:r>
      <w:r>
        <w:rPr>
          <w:spacing w:val="-4"/>
        </w:rPr>
        <w:t xml:space="preserve"> </w:t>
      </w:r>
      <w:r>
        <w:t>provide,</w:t>
      </w:r>
      <w:r>
        <w:rPr>
          <w:spacing w:val="-4"/>
        </w:rPr>
        <w:t xml:space="preserve"> </w:t>
      </w:r>
      <w:r>
        <w:t>in</w:t>
      </w:r>
      <w:r>
        <w:rPr>
          <w:spacing w:val="-4"/>
        </w:rPr>
        <w:t xml:space="preserve"> </w:t>
      </w:r>
      <w:r>
        <w:t>a</w:t>
      </w:r>
      <w:r>
        <w:rPr>
          <w:spacing w:val="-4"/>
        </w:rPr>
        <w:t xml:space="preserve"> </w:t>
      </w:r>
      <w:r>
        <w:t>single</w:t>
      </w:r>
      <w:r>
        <w:rPr>
          <w:spacing w:val="-5"/>
        </w:rPr>
        <w:t xml:space="preserve"> </w:t>
      </w:r>
      <w:r>
        <w:t>statement or two separate statements signed by the agency head, management assurances related to the Federal Managers’ Financial Integrity Act of 1982 (FMFIA) and FFMIA. The assurances must be provided in a single report in the agency financial report, performance and accountability report, or other management report labeled “Analysis of Entity’s Systems, Controls, and Legal Compliance.” The assurances may, but are not required to, be included in management’s discussion and analysis. If not included in management’s discussion and analysis, the assurances must be provided (1) elsewhere in the</w:t>
      </w:r>
    </w:p>
    <w:p w14:paraId="0DFDB1CF" w14:textId="77777777" w:rsidR="00046465" w:rsidRDefault="008134EB">
      <w:pPr>
        <w:pStyle w:val="BodyText"/>
        <w:spacing w:before="17"/>
        <w:rPr>
          <w:sz w:val="20"/>
        </w:rPr>
      </w:pPr>
      <w:r>
        <w:rPr>
          <w:noProof/>
          <w:sz w:val="20"/>
        </w:rPr>
        <mc:AlternateContent>
          <mc:Choice Requires="wps">
            <w:drawing>
              <wp:anchor distT="0" distB="0" distL="0" distR="0" simplePos="0" relativeHeight="487616512" behindDoc="1" locked="0" layoutInCell="1" allowOverlap="1" wp14:anchorId="0DFDD583" wp14:editId="0DFDD584">
                <wp:simplePos x="0" y="0"/>
                <wp:positionH relativeFrom="page">
                  <wp:posOffset>914400</wp:posOffset>
                </wp:positionH>
                <wp:positionV relativeFrom="paragraph">
                  <wp:posOffset>172175</wp:posOffset>
                </wp:positionV>
                <wp:extent cx="1828800" cy="5715"/>
                <wp:effectExtent l="0" t="0" r="0" b="0"/>
                <wp:wrapTopAndBottom/>
                <wp:docPr id="303" name="Graphic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88E80C" id="Graphic 303" o:spid="_x0000_s1026" style="position:absolute;margin-left:1in;margin-top:13.55pt;width:2in;height:.45pt;z-index:-1569996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" path="m1828800,l,,,5333r1828800,l1828800,xe" fillcolor="black" stroked="f">
                <v:path arrowok="t"/>
                <w10:wrap type="topAndBottom" anchorx="page"/>
              </v:shape>
            </w:pict>
          </mc:Fallback>
        </mc:AlternateContent>
      </w:r>
    </w:p>
    <w:p w14:paraId="0DFDB1D0" w14:textId="77777777" w:rsidR="00046465" w:rsidRDefault="00046465">
      <w:pPr>
        <w:pStyle w:val="BodyText"/>
        <w:spacing w:before="54"/>
        <w:rPr>
          <w:sz w:val="18"/>
        </w:rPr>
      </w:pPr>
    </w:p>
    <w:p w14:paraId="0DFDB1D1" w14:textId="77777777" w:rsidR="00046465" w:rsidRDefault="008134EB">
      <w:pPr>
        <w:spacing w:before="1"/>
        <w:ind w:left="360"/>
        <w:rPr>
          <w:sz w:val="18"/>
        </w:rPr>
      </w:pPr>
      <w:bookmarkStart w:id="130" w:name="_bookmark47"/>
      <w:bookmarkEnd w:id="130"/>
      <w:r>
        <w:rPr>
          <w:position w:val="7"/>
          <w:sz w:val="14"/>
        </w:rPr>
        <w:t>6</w:t>
      </w:r>
      <w:r>
        <w:rPr>
          <w:sz w:val="18"/>
        </w:rPr>
        <w:t>The</w:t>
      </w:r>
      <w:r>
        <w:rPr>
          <w:spacing w:val="-7"/>
          <w:sz w:val="18"/>
        </w:rPr>
        <w:t xml:space="preserve"> </w:t>
      </w:r>
      <w:r>
        <w:rPr>
          <w:sz w:val="18"/>
        </w:rPr>
        <w:t>USSGL</w:t>
      </w:r>
      <w:r>
        <w:rPr>
          <w:spacing w:val="-4"/>
          <w:sz w:val="18"/>
        </w:rPr>
        <w:t xml:space="preserve"> </w:t>
      </w:r>
      <w:r>
        <w:rPr>
          <w:sz w:val="18"/>
        </w:rPr>
        <w:t>can</w:t>
      </w:r>
      <w:r>
        <w:rPr>
          <w:spacing w:val="-5"/>
          <w:sz w:val="18"/>
        </w:rPr>
        <w:t xml:space="preserve"> </w:t>
      </w:r>
      <w:r>
        <w:rPr>
          <w:sz w:val="18"/>
        </w:rPr>
        <w:t>be</w:t>
      </w:r>
      <w:r>
        <w:rPr>
          <w:spacing w:val="-4"/>
          <w:sz w:val="18"/>
        </w:rPr>
        <w:t xml:space="preserve"> </w:t>
      </w:r>
      <w:r>
        <w:rPr>
          <w:sz w:val="18"/>
        </w:rPr>
        <w:t>found</w:t>
      </w:r>
      <w:r>
        <w:rPr>
          <w:spacing w:val="-5"/>
          <w:sz w:val="18"/>
        </w:rPr>
        <w:t xml:space="preserve"> </w:t>
      </w:r>
      <w:r>
        <w:rPr>
          <w:sz w:val="18"/>
        </w:rPr>
        <w:t>at</w:t>
      </w:r>
      <w:r>
        <w:rPr>
          <w:spacing w:val="-3"/>
          <w:sz w:val="18"/>
        </w:rPr>
        <w:t xml:space="preserve"> </w:t>
      </w:r>
      <w:hyperlink r:id="rId91">
        <w:r>
          <w:rPr>
            <w:color w:val="0000FF"/>
            <w:sz w:val="18"/>
          </w:rPr>
          <w:t>https://tfx.treasury.gov/tfm/supplements/ussgl</w:t>
        </w:r>
      </w:hyperlink>
      <w:r>
        <w:rPr>
          <w:color w:val="0000FF"/>
          <w:spacing w:val="-2"/>
          <w:sz w:val="18"/>
        </w:rPr>
        <w:t xml:space="preserve"> </w:t>
      </w:r>
      <w:r>
        <w:rPr>
          <w:sz w:val="18"/>
        </w:rPr>
        <w:t>(accessed</w:t>
      </w:r>
      <w:r>
        <w:rPr>
          <w:spacing w:val="-3"/>
          <w:sz w:val="18"/>
        </w:rPr>
        <w:t xml:space="preserve"> </w:t>
      </w:r>
      <w:r>
        <w:rPr>
          <w:sz w:val="18"/>
        </w:rPr>
        <w:t>May</w:t>
      </w:r>
      <w:r>
        <w:rPr>
          <w:spacing w:val="-4"/>
          <w:sz w:val="18"/>
        </w:rPr>
        <w:t xml:space="preserve"> </w:t>
      </w:r>
      <w:r>
        <w:rPr>
          <w:sz w:val="18"/>
        </w:rPr>
        <w:t>29,</w:t>
      </w:r>
      <w:r>
        <w:rPr>
          <w:spacing w:val="-3"/>
          <w:sz w:val="18"/>
        </w:rPr>
        <w:t xml:space="preserve"> </w:t>
      </w:r>
      <w:r>
        <w:rPr>
          <w:spacing w:val="-2"/>
          <w:sz w:val="18"/>
        </w:rPr>
        <w:t>2026).</w:t>
      </w:r>
    </w:p>
    <w:p w14:paraId="0DFDB1D2" w14:textId="77777777" w:rsidR="00046465" w:rsidRDefault="008134EB">
      <w:pPr>
        <w:spacing w:before="132" w:line="249" w:lineRule="auto"/>
        <w:ind w:left="360" w:right="749" w:hanging="1"/>
        <w:rPr>
          <w:sz w:val="18"/>
        </w:rPr>
      </w:pPr>
      <w:bookmarkStart w:id="131" w:name="_bookmark48"/>
      <w:bookmarkEnd w:id="131"/>
      <w:r>
        <w:rPr>
          <w:position w:val="7"/>
          <w:sz w:val="14"/>
        </w:rPr>
        <w:t>7</w:t>
      </w:r>
      <w:r>
        <w:rPr>
          <w:sz w:val="18"/>
        </w:rPr>
        <w:t>GTAS</w:t>
      </w:r>
      <w:r>
        <w:rPr>
          <w:spacing w:val="-3"/>
          <w:sz w:val="18"/>
        </w:rPr>
        <w:t xml:space="preserve"> </w:t>
      </w:r>
      <w:r>
        <w:rPr>
          <w:sz w:val="18"/>
        </w:rPr>
        <w:t>is</w:t>
      </w:r>
      <w:r>
        <w:rPr>
          <w:spacing w:val="-3"/>
          <w:sz w:val="18"/>
        </w:rPr>
        <w:t xml:space="preserve"> </w:t>
      </w:r>
      <w:r>
        <w:rPr>
          <w:sz w:val="18"/>
        </w:rPr>
        <w:t>used</w:t>
      </w:r>
      <w:r>
        <w:rPr>
          <w:spacing w:val="-4"/>
          <w:sz w:val="18"/>
        </w:rPr>
        <w:t xml:space="preserve"> </w:t>
      </w:r>
      <w:r>
        <w:rPr>
          <w:sz w:val="18"/>
        </w:rPr>
        <w:t>by</w:t>
      </w:r>
      <w:r>
        <w:rPr>
          <w:spacing w:val="-3"/>
          <w:sz w:val="18"/>
        </w:rPr>
        <w:t xml:space="preserve"> </w:t>
      </w:r>
      <w:r>
        <w:rPr>
          <w:sz w:val="18"/>
        </w:rPr>
        <w:t>agencies</w:t>
      </w:r>
      <w:r>
        <w:rPr>
          <w:spacing w:val="-3"/>
          <w:sz w:val="18"/>
        </w:rPr>
        <w:t xml:space="preserve"> </w:t>
      </w:r>
      <w:r>
        <w:rPr>
          <w:sz w:val="18"/>
        </w:rPr>
        <w:t>to</w:t>
      </w:r>
      <w:r>
        <w:rPr>
          <w:spacing w:val="-4"/>
          <w:sz w:val="18"/>
        </w:rPr>
        <w:t xml:space="preserve"> </w:t>
      </w:r>
      <w:r>
        <w:rPr>
          <w:sz w:val="18"/>
        </w:rPr>
        <w:t>provide</w:t>
      </w:r>
      <w:r>
        <w:rPr>
          <w:spacing w:val="-4"/>
          <w:sz w:val="18"/>
        </w:rPr>
        <w:t xml:space="preserve"> </w:t>
      </w:r>
      <w:r>
        <w:rPr>
          <w:sz w:val="18"/>
        </w:rPr>
        <w:t>proprietary</w:t>
      </w:r>
      <w:r>
        <w:rPr>
          <w:spacing w:val="-3"/>
          <w:sz w:val="18"/>
        </w:rPr>
        <w:t xml:space="preserve"> </w:t>
      </w:r>
      <w:r>
        <w:rPr>
          <w:sz w:val="18"/>
        </w:rPr>
        <w:t>financial</w:t>
      </w:r>
      <w:r>
        <w:rPr>
          <w:spacing w:val="-3"/>
          <w:sz w:val="18"/>
        </w:rPr>
        <w:t xml:space="preserve"> </w:t>
      </w:r>
      <w:r>
        <w:rPr>
          <w:sz w:val="18"/>
        </w:rPr>
        <w:t>reporting</w:t>
      </w:r>
      <w:r>
        <w:rPr>
          <w:spacing w:val="-4"/>
          <w:sz w:val="18"/>
        </w:rPr>
        <w:t xml:space="preserve"> </w:t>
      </w:r>
      <w:r>
        <w:rPr>
          <w:sz w:val="18"/>
        </w:rPr>
        <w:t>information</w:t>
      </w:r>
      <w:r>
        <w:rPr>
          <w:spacing w:val="-4"/>
          <w:sz w:val="18"/>
        </w:rPr>
        <w:t xml:space="preserve"> </w:t>
      </w:r>
      <w:r>
        <w:rPr>
          <w:sz w:val="18"/>
        </w:rPr>
        <w:t>and</w:t>
      </w:r>
      <w:r>
        <w:rPr>
          <w:spacing w:val="-4"/>
          <w:sz w:val="18"/>
        </w:rPr>
        <w:t xml:space="preserve"> </w:t>
      </w:r>
      <w:r>
        <w:rPr>
          <w:sz w:val="18"/>
        </w:rPr>
        <w:t>information</w:t>
      </w:r>
      <w:r>
        <w:rPr>
          <w:spacing w:val="-4"/>
          <w:sz w:val="18"/>
        </w:rPr>
        <w:t xml:space="preserve"> </w:t>
      </w:r>
      <w:r>
        <w:rPr>
          <w:sz w:val="18"/>
        </w:rPr>
        <w:t>about</w:t>
      </w:r>
      <w:r>
        <w:rPr>
          <w:spacing w:val="-3"/>
          <w:sz w:val="18"/>
        </w:rPr>
        <w:t xml:space="preserve"> </w:t>
      </w:r>
      <w:r>
        <w:rPr>
          <w:sz w:val="18"/>
        </w:rPr>
        <w:t>budget execution to Treasury.</w:t>
      </w:r>
    </w:p>
    <w:p w14:paraId="0DFDB1D3" w14:textId="77777777" w:rsidR="00046465" w:rsidRDefault="008134EB">
      <w:pPr>
        <w:spacing w:before="118" w:line="249" w:lineRule="auto"/>
        <w:ind w:left="359" w:right="749"/>
        <w:rPr>
          <w:sz w:val="18"/>
        </w:rPr>
      </w:pPr>
      <w:bookmarkStart w:id="132" w:name="_bookmark49"/>
      <w:bookmarkEnd w:id="132"/>
      <w:r>
        <w:rPr>
          <w:position w:val="7"/>
          <w:sz w:val="14"/>
        </w:rPr>
        <w:t>8</w:t>
      </w:r>
      <w:r>
        <w:rPr>
          <w:sz w:val="18"/>
        </w:rPr>
        <w:t>OMB</w:t>
      </w:r>
      <w:r>
        <w:rPr>
          <w:spacing w:val="-3"/>
          <w:sz w:val="18"/>
        </w:rPr>
        <w:t xml:space="preserve"> </w:t>
      </w:r>
      <w:r>
        <w:rPr>
          <w:sz w:val="18"/>
        </w:rPr>
        <w:t>reporting</w:t>
      </w:r>
      <w:r>
        <w:rPr>
          <w:spacing w:val="-2"/>
          <w:sz w:val="18"/>
        </w:rPr>
        <w:t xml:space="preserve"> </w:t>
      </w:r>
      <w:r>
        <w:rPr>
          <w:sz w:val="18"/>
        </w:rPr>
        <w:t>guidance</w:t>
      </w:r>
      <w:r>
        <w:rPr>
          <w:spacing w:val="-4"/>
          <w:sz w:val="18"/>
        </w:rPr>
        <w:t xml:space="preserve"> </w:t>
      </w:r>
      <w:r>
        <w:rPr>
          <w:sz w:val="18"/>
        </w:rPr>
        <w:t>in</w:t>
      </w:r>
      <w:r>
        <w:rPr>
          <w:spacing w:val="-4"/>
          <w:sz w:val="18"/>
        </w:rPr>
        <w:t xml:space="preserve"> </w:t>
      </w:r>
      <w:r>
        <w:rPr>
          <w:sz w:val="18"/>
        </w:rPr>
        <w:t>OMB</w:t>
      </w:r>
      <w:r>
        <w:rPr>
          <w:spacing w:val="-3"/>
          <w:sz w:val="18"/>
        </w:rPr>
        <w:t xml:space="preserve"> </w:t>
      </w:r>
      <w:r>
        <w:rPr>
          <w:sz w:val="18"/>
        </w:rPr>
        <w:t>Circular</w:t>
      </w:r>
      <w:r>
        <w:rPr>
          <w:spacing w:val="-3"/>
          <w:sz w:val="18"/>
        </w:rPr>
        <w:t xml:space="preserve"> </w:t>
      </w:r>
      <w:r>
        <w:rPr>
          <w:sz w:val="18"/>
        </w:rPr>
        <w:t>No.</w:t>
      </w:r>
      <w:r>
        <w:rPr>
          <w:spacing w:val="-3"/>
          <w:sz w:val="18"/>
        </w:rPr>
        <w:t xml:space="preserve"> </w:t>
      </w:r>
      <w:r>
        <w:rPr>
          <w:sz w:val="18"/>
        </w:rPr>
        <w:t>A-136,</w:t>
      </w:r>
      <w:r>
        <w:rPr>
          <w:spacing w:val="-3"/>
          <w:sz w:val="18"/>
        </w:rPr>
        <w:t xml:space="preserve"> </w:t>
      </w:r>
      <w:r>
        <w:rPr>
          <w:i/>
          <w:sz w:val="18"/>
        </w:rPr>
        <w:t>Financial</w:t>
      </w:r>
      <w:r>
        <w:rPr>
          <w:i/>
          <w:spacing w:val="-3"/>
          <w:sz w:val="18"/>
        </w:rPr>
        <w:t xml:space="preserve"> </w:t>
      </w:r>
      <w:r>
        <w:rPr>
          <w:i/>
          <w:sz w:val="18"/>
        </w:rPr>
        <w:t>Reporting</w:t>
      </w:r>
      <w:r>
        <w:rPr>
          <w:i/>
          <w:spacing w:val="-4"/>
          <w:sz w:val="18"/>
        </w:rPr>
        <w:t xml:space="preserve"> </w:t>
      </w:r>
      <w:r>
        <w:rPr>
          <w:i/>
          <w:sz w:val="18"/>
        </w:rPr>
        <w:t>Requirements</w:t>
      </w:r>
      <w:r>
        <w:rPr>
          <w:sz w:val="18"/>
        </w:rPr>
        <w:t>,</w:t>
      </w:r>
      <w:r>
        <w:rPr>
          <w:spacing w:val="-3"/>
          <w:sz w:val="18"/>
        </w:rPr>
        <w:t xml:space="preserve"> </w:t>
      </w:r>
      <w:r>
        <w:rPr>
          <w:sz w:val="18"/>
        </w:rPr>
        <w:t>is</w:t>
      </w:r>
      <w:r>
        <w:rPr>
          <w:spacing w:val="-3"/>
          <w:sz w:val="18"/>
        </w:rPr>
        <w:t xml:space="preserve"> </w:t>
      </w:r>
      <w:r>
        <w:rPr>
          <w:sz w:val="18"/>
        </w:rPr>
        <w:t>updated</w:t>
      </w:r>
      <w:r>
        <w:rPr>
          <w:spacing w:val="-4"/>
          <w:sz w:val="18"/>
        </w:rPr>
        <w:t xml:space="preserve"> </w:t>
      </w:r>
      <w:r>
        <w:rPr>
          <w:sz w:val="18"/>
        </w:rPr>
        <w:t>annually.</w:t>
      </w:r>
      <w:r>
        <w:rPr>
          <w:spacing w:val="-3"/>
          <w:sz w:val="18"/>
        </w:rPr>
        <w:t xml:space="preserve"> </w:t>
      </w:r>
      <w:r>
        <w:rPr>
          <w:sz w:val="18"/>
        </w:rPr>
        <w:t>Users should refer to the OMB reporting guidance applicable to the current financial audit.</w:t>
      </w:r>
    </w:p>
    <w:p w14:paraId="0DFDB1D4" w14:textId="77777777" w:rsidR="00046465" w:rsidRDefault="00046465">
      <w:pPr>
        <w:spacing w:line="249" w:lineRule="auto"/>
        <w:rPr>
          <w:sz w:val="18"/>
        </w:rPr>
        <w:sectPr w:rsidR="00046465">
          <w:pgSz w:w="12240" w:h="15840"/>
          <w:pgMar w:top="1340" w:right="720" w:bottom="940" w:left="1080" w:header="721" w:footer="757" w:gutter="0"/>
          <w:cols w:space="720"/>
        </w:sectPr>
      </w:pPr>
    </w:p>
    <w:p w14:paraId="0DFDB1D5" w14:textId="77777777" w:rsidR="00046465" w:rsidRDefault="008134EB">
      <w:pPr>
        <w:pStyle w:val="BodyText"/>
        <w:spacing w:before="121"/>
        <w:ind w:left="1800" w:right="726" w:hanging="1"/>
        <w:rPr>
          <w:position w:val="7"/>
          <w:sz w:val="14"/>
        </w:rPr>
      </w:pPr>
      <w:r>
        <w:lastRenderedPageBreak/>
        <w:t>agency</w:t>
      </w:r>
      <w:r>
        <w:rPr>
          <w:spacing w:val="-4"/>
        </w:rPr>
        <w:t xml:space="preserve"> </w:t>
      </w:r>
      <w:r>
        <w:t>financial</w:t>
      </w:r>
      <w:r>
        <w:rPr>
          <w:spacing w:val="-4"/>
        </w:rPr>
        <w:t xml:space="preserve"> </w:t>
      </w:r>
      <w:r>
        <w:t>report</w:t>
      </w:r>
      <w:r>
        <w:rPr>
          <w:spacing w:val="-5"/>
        </w:rPr>
        <w:t xml:space="preserve"> </w:t>
      </w:r>
      <w:r>
        <w:t>or</w:t>
      </w:r>
      <w:r>
        <w:rPr>
          <w:spacing w:val="-4"/>
        </w:rPr>
        <w:t xml:space="preserve"> </w:t>
      </w:r>
      <w:r>
        <w:t>performance</w:t>
      </w:r>
      <w:r>
        <w:rPr>
          <w:spacing w:val="-4"/>
        </w:rPr>
        <w:t xml:space="preserve"> </w:t>
      </w:r>
      <w:r>
        <w:t>and</w:t>
      </w:r>
      <w:r>
        <w:rPr>
          <w:spacing w:val="-4"/>
        </w:rPr>
        <w:t xml:space="preserve"> </w:t>
      </w:r>
      <w:r>
        <w:t>accountability</w:t>
      </w:r>
      <w:r>
        <w:rPr>
          <w:spacing w:val="-5"/>
        </w:rPr>
        <w:t xml:space="preserve"> </w:t>
      </w:r>
      <w:r>
        <w:t>report,</w:t>
      </w:r>
      <w:r>
        <w:rPr>
          <w:spacing w:val="-3"/>
        </w:rPr>
        <w:t xml:space="preserve"> </w:t>
      </w:r>
      <w:r>
        <w:t>or</w:t>
      </w:r>
      <w:r>
        <w:rPr>
          <w:spacing w:val="-4"/>
        </w:rPr>
        <w:t xml:space="preserve"> </w:t>
      </w:r>
      <w:r>
        <w:t>(2)</w:t>
      </w:r>
      <w:r>
        <w:rPr>
          <w:spacing w:val="-4"/>
        </w:rPr>
        <w:t xml:space="preserve"> </w:t>
      </w:r>
      <w:r>
        <w:t>in</w:t>
      </w:r>
      <w:r>
        <w:rPr>
          <w:spacing w:val="-4"/>
        </w:rPr>
        <w:t xml:space="preserve"> </w:t>
      </w:r>
      <w:r>
        <w:t>another report management provides to the President and Congress.</w:t>
      </w:r>
      <w:hyperlink w:anchor="_bookmark50" w:history="1">
        <w:r>
          <w:rPr>
            <w:position w:val="7"/>
            <w:sz w:val="14"/>
          </w:rPr>
          <w:t>9</w:t>
        </w:r>
      </w:hyperlink>
    </w:p>
    <w:p w14:paraId="0DFDB1D6" w14:textId="77777777" w:rsidR="00046465" w:rsidRDefault="008134EB">
      <w:pPr>
        <w:pStyle w:val="Heading4"/>
        <w:spacing w:before="121"/>
      </w:pPr>
      <w:bookmarkStart w:id="133" w:name="Auditor’s_FFMIA_Reporting_Requirements_("/>
      <w:bookmarkEnd w:id="133"/>
      <w:r>
        <w:t>Auditor’s</w:t>
      </w:r>
      <w:r>
        <w:rPr>
          <w:spacing w:val="-15"/>
        </w:rPr>
        <w:t xml:space="preserve"> </w:t>
      </w:r>
      <w:r>
        <w:t>FFMIA</w:t>
      </w:r>
      <w:r>
        <w:rPr>
          <w:spacing w:val="-14"/>
        </w:rPr>
        <w:t xml:space="preserve"> </w:t>
      </w:r>
      <w:r>
        <w:t>Reporting</w:t>
      </w:r>
      <w:r>
        <w:rPr>
          <w:spacing w:val="-16"/>
        </w:rPr>
        <w:t xml:space="preserve"> </w:t>
      </w:r>
      <w:r>
        <w:t>Requirements</w:t>
      </w:r>
      <w:r>
        <w:rPr>
          <w:spacing w:val="-15"/>
        </w:rPr>
        <w:t xml:space="preserve"> </w:t>
      </w:r>
      <w:r>
        <w:t>(FFMIA</w:t>
      </w:r>
      <w:r>
        <w:rPr>
          <w:spacing w:val="-15"/>
        </w:rPr>
        <w:t xml:space="preserve"> </w:t>
      </w:r>
      <w:r>
        <w:t>Section</w:t>
      </w:r>
      <w:r>
        <w:rPr>
          <w:spacing w:val="-16"/>
        </w:rPr>
        <w:t xml:space="preserve"> </w:t>
      </w:r>
      <w:r>
        <w:rPr>
          <w:spacing w:val="-2"/>
        </w:rPr>
        <w:t>803(b))</w:t>
      </w:r>
    </w:p>
    <w:p w14:paraId="0DFDB1D7" w14:textId="77777777" w:rsidR="00046465" w:rsidRDefault="008134EB">
      <w:pPr>
        <w:pStyle w:val="ListParagraph"/>
        <w:numPr>
          <w:ilvl w:val="0"/>
          <w:numId w:val="198"/>
        </w:numPr>
        <w:tabs>
          <w:tab w:val="left" w:pos="1800"/>
        </w:tabs>
        <w:spacing w:before="119"/>
        <w:ind w:left="1800" w:right="763"/>
      </w:pPr>
      <w:r>
        <w:t>Auditors</w:t>
      </w:r>
      <w:r>
        <w:rPr>
          <w:spacing w:val="-4"/>
        </w:rPr>
        <w:t xml:space="preserve"> </w:t>
      </w:r>
      <w:r>
        <w:t>of</w:t>
      </w:r>
      <w:r>
        <w:rPr>
          <w:spacing w:val="-4"/>
        </w:rPr>
        <w:t xml:space="preserve"> </w:t>
      </w:r>
      <w:r>
        <w:t>CFO</w:t>
      </w:r>
      <w:r>
        <w:rPr>
          <w:spacing w:val="-4"/>
        </w:rPr>
        <w:t xml:space="preserve"> </w:t>
      </w:r>
      <w:r>
        <w:t>Act</w:t>
      </w:r>
      <w:r>
        <w:rPr>
          <w:spacing w:val="-4"/>
        </w:rPr>
        <w:t xml:space="preserve"> </w:t>
      </w:r>
      <w:r>
        <w:t>agencies</w:t>
      </w:r>
      <w:r>
        <w:rPr>
          <w:spacing w:val="-4"/>
        </w:rPr>
        <w:t xml:space="preserve"> </w:t>
      </w:r>
      <w:r>
        <w:t>are</w:t>
      </w:r>
      <w:r>
        <w:rPr>
          <w:spacing w:val="-4"/>
        </w:rPr>
        <w:t xml:space="preserve"> </w:t>
      </w:r>
      <w:r>
        <w:t>required</w:t>
      </w:r>
      <w:r>
        <w:rPr>
          <w:spacing w:val="-4"/>
        </w:rPr>
        <w:t xml:space="preserve"> </w:t>
      </w:r>
      <w:r>
        <w:t>to</w:t>
      </w:r>
      <w:r>
        <w:rPr>
          <w:spacing w:val="-4"/>
        </w:rPr>
        <w:t xml:space="preserve"> </w:t>
      </w:r>
      <w:r>
        <w:t>report</w:t>
      </w:r>
      <w:r>
        <w:rPr>
          <w:spacing w:val="-4"/>
        </w:rPr>
        <w:t xml:space="preserve"> </w:t>
      </w:r>
      <w:r>
        <w:t>whether</w:t>
      </w:r>
      <w:r>
        <w:rPr>
          <w:spacing w:val="-4"/>
        </w:rPr>
        <w:t xml:space="preserve"> </w:t>
      </w:r>
      <w:r>
        <w:t>the</w:t>
      </w:r>
      <w:r>
        <w:rPr>
          <w:spacing w:val="-4"/>
        </w:rPr>
        <w:t xml:space="preserve"> </w:t>
      </w:r>
      <w:r>
        <w:t>agency</w:t>
      </w:r>
      <w:r>
        <w:rPr>
          <w:spacing w:val="-4"/>
        </w:rPr>
        <w:t xml:space="preserve"> </w:t>
      </w:r>
      <w:r>
        <w:t xml:space="preserve">financial management systems comply substantially with the three FFMIA requirements. OMB Bulletin No. 24-02, </w:t>
      </w:r>
      <w:r>
        <w:rPr>
          <w:i/>
        </w:rPr>
        <w:t>Audit Requirements for Federal Financial Statements</w:t>
      </w:r>
      <w:r>
        <w:t>, refers auditors to OMB Circular No. A-123, appendix D, for guidance on assessing a CFO Act agency’s compliance with FFMIA.</w:t>
      </w:r>
    </w:p>
    <w:p w14:paraId="0DFDB1D8" w14:textId="77777777" w:rsidR="00046465" w:rsidRDefault="008134EB">
      <w:pPr>
        <w:pStyle w:val="ListParagraph"/>
        <w:numPr>
          <w:ilvl w:val="0"/>
          <w:numId w:val="198"/>
        </w:numPr>
        <w:tabs>
          <w:tab w:val="left" w:pos="1800"/>
        </w:tabs>
        <w:ind w:left="1800" w:right="1520"/>
      </w:pPr>
      <w:r>
        <w:t>When an auditor of a CFO Act agency reports that the agency financial management systems do not comply substantially with the three FFMIA requirements,</w:t>
      </w:r>
      <w:r>
        <w:rPr>
          <w:spacing w:val="-4"/>
        </w:rPr>
        <w:t xml:space="preserve"> </w:t>
      </w:r>
      <w:r>
        <w:t>the</w:t>
      </w:r>
      <w:r>
        <w:rPr>
          <w:spacing w:val="-4"/>
        </w:rPr>
        <w:t xml:space="preserve"> </w:t>
      </w:r>
      <w:r>
        <w:t>auditor</w:t>
      </w:r>
      <w:r>
        <w:rPr>
          <w:spacing w:val="-4"/>
        </w:rPr>
        <w:t xml:space="preserve"> </w:t>
      </w:r>
      <w:r>
        <w:t>is</w:t>
      </w:r>
      <w:r>
        <w:rPr>
          <w:spacing w:val="-4"/>
        </w:rPr>
        <w:t xml:space="preserve"> </w:t>
      </w:r>
      <w:r>
        <w:t>required</w:t>
      </w:r>
      <w:r>
        <w:rPr>
          <w:spacing w:val="-5"/>
        </w:rPr>
        <w:t xml:space="preserve"> </w:t>
      </w:r>
      <w:r>
        <w:t>to</w:t>
      </w:r>
      <w:r>
        <w:rPr>
          <w:spacing w:val="-4"/>
        </w:rPr>
        <w:t xml:space="preserve"> </w:t>
      </w:r>
      <w:r>
        <w:t>include</w:t>
      </w:r>
      <w:r>
        <w:rPr>
          <w:spacing w:val="-4"/>
        </w:rPr>
        <w:t xml:space="preserve"> </w:t>
      </w:r>
      <w:r>
        <w:t>the</w:t>
      </w:r>
      <w:r>
        <w:rPr>
          <w:spacing w:val="-4"/>
        </w:rPr>
        <w:t xml:space="preserve"> </w:t>
      </w:r>
      <w:r>
        <w:t>following</w:t>
      </w:r>
      <w:r>
        <w:rPr>
          <w:spacing w:val="-4"/>
        </w:rPr>
        <w:t xml:space="preserve"> </w:t>
      </w:r>
      <w:r>
        <w:t>in</w:t>
      </w:r>
      <w:r>
        <w:rPr>
          <w:spacing w:val="-4"/>
        </w:rPr>
        <w:t xml:space="preserve"> </w:t>
      </w:r>
      <w:r>
        <w:t>the</w:t>
      </w:r>
      <w:r>
        <w:rPr>
          <w:spacing w:val="-4"/>
        </w:rPr>
        <w:t xml:space="preserve"> </w:t>
      </w:r>
      <w:r>
        <w:t>report:</w:t>
      </w:r>
    </w:p>
    <w:p w14:paraId="0DFDB1D9" w14:textId="77777777" w:rsidR="00046465" w:rsidRDefault="008134EB">
      <w:pPr>
        <w:pStyle w:val="ListParagraph"/>
        <w:numPr>
          <w:ilvl w:val="1"/>
          <w:numId w:val="198"/>
        </w:numPr>
        <w:tabs>
          <w:tab w:val="left" w:pos="2160"/>
        </w:tabs>
        <w:spacing w:before="119"/>
        <w:ind w:left="2160" w:right="844"/>
      </w:pPr>
      <w:r>
        <w:t>The</w:t>
      </w:r>
      <w:r>
        <w:rPr>
          <w:spacing w:val="-5"/>
        </w:rPr>
        <w:t xml:space="preserve"> </w:t>
      </w:r>
      <w:r>
        <w:t>entity</w:t>
      </w:r>
      <w:r>
        <w:rPr>
          <w:spacing w:val="-5"/>
        </w:rPr>
        <w:t xml:space="preserve"> </w:t>
      </w:r>
      <w:r>
        <w:t>or</w:t>
      </w:r>
      <w:r>
        <w:rPr>
          <w:spacing w:val="-6"/>
        </w:rPr>
        <w:t xml:space="preserve"> </w:t>
      </w:r>
      <w:r>
        <w:t>organization</w:t>
      </w:r>
      <w:r>
        <w:rPr>
          <w:spacing w:val="-5"/>
        </w:rPr>
        <w:t xml:space="preserve"> </w:t>
      </w:r>
      <w:r>
        <w:t>responsible</w:t>
      </w:r>
      <w:r>
        <w:rPr>
          <w:spacing w:val="-5"/>
        </w:rPr>
        <w:t xml:space="preserve"> </w:t>
      </w:r>
      <w:r>
        <w:t>for</w:t>
      </w:r>
      <w:r>
        <w:rPr>
          <w:spacing w:val="-5"/>
        </w:rPr>
        <w:t xml:space="preserve"> </w:t>
      </w:r>
      <w:r>
        <w:t>the</w:t>
      </w:r>
      <w:r>
        <w:rPr>
          <w:spacing w:val="-5"/>
        </w:rPr>
        <w:t xml:space="preserve"> </w:t>
      </w:r>
      <w:r>
        <w:t>financial</w:t>
      </w:r>
      <w:r>
        <w:rPr>
          <w:spacing w:val="-5"/>
        </w:rPr>
        <w:t xml:space="preserve"> </w:t>
      </w:r>
      <w:r>
        <w:t>management</w:t>
      </w:r>
      <w:r>
        <w:rPr>
          <w:spacing w:val="-5"/>
        </w:rPr>
        <w:t xml:space="preserve"> </w:t>
      </w:r>
      <w:r>
        <w:t xml:space="preserve">systems that have been found to not comply substantially with the three FFMIA </w:t>
      </w:r>
      <w:r>
        <w:rPr>
          <w:spacing w:val="-2"/>
        </w:rPr>
        <w:t>requirements.</w:t>
      </w:r>
    </w:p>
    <w:p w14:paraId="0DFDB1DA" w14:textId="77777777" w:rsidR="00046465" w:rsidRDefault="008134EB">
      <w:pPr>
        <w:pStyle w:val="ListParagraph"/>
        <w:numPr>
          <w:ilvl w:val="1"/>
          <w:numId w:val="198"/>
        </w:numPr>
        <w:tabs>
          <w:tab w:val="left" w:pos="2159"/>
        </w:tabs>
        <w:spacing w:before="121"/>
        <w:ind w:right="831"/>
      </w:pPr>
      <w:r>
        <w:t>All</w:t>
      </w:r>
      <w:r>
        <w:rPr>
          <w:spacing w:val="-3"/>
        </w:rPr>
        <w:t xml:space="preserve"> </w:t>
      </w:r>
      <w:r>
        <w:t>facts</w:t>
      </w:r>
      <w:r>
        <w:rPr>
          <w:spacing w:val="-3"/>
        </w:rPr>
        <w:t xml:space="preserve"> </w:t>
      </w:r>
      <w:r>
        <w:t>pertaining</w:t>
      </w:r>
      <w:r>
        <w:rPr>
          <w:spacing w:val="-3"/>
        </w:rPr>
        <w:t xml:space="preserve"> </w:t>
      </w:r>
      <w:r>
        <w:t>to</w:t>
      </w:r>
      <w:r>
        <w:rPr>
          <w:spacing w:val="-3"/>
        </w:rPr>
        <w:t xml:space="preserve"> </w:t>
      </w:r>
      <w:r>
        <w:t>the</w:t>
      </w:r>
      <w:r>
        <w:rPr>
          <w:spacing w:val="-4"/>
        </w:rPr>
        <w:t xml:space="preserve"> </w:t>
      </w:r>
      <w:r>
        <w:t>failure</w:t>
      </w:r>
      <w:r>
        <w:rPr>
          <w:spacing w:val="-3"/>
        </w:rPr>
        <w:t xml:space="preserve"> </w:t>
      </w:r>
      <w:r>
        <w:t>to</w:t>
      </w:r>
      <w:r>
        <w:rPr>
          <w:spacing w:val="-3"/>
        </w:rPr>
        <w:t xml:space="preserve"> </w:t>
      </w:r>
      <w:r>
        <w:t>comply</w:t>
      </w:r>
      <w:r>
        <w:rPr>
          <w:spacing w:val="-3"/>
        </w:rPr>
        <w:t xml:space="preserve"> </w:t>
      </w:r>
      <w:r>
        <w:t>substantially</w:t>
      </w:r>
      <w:r>
        <w:rPr>
          <w:spacing w:val="-3"/>
        </w:rPr>
        <w:t xml:space="preserve"> </w:t>
      </w:r>
      <w:r>
        <w:t>with</w:t>
      </w:r>
      <w:r>
        <w:rPr>
          <w:spacing w:val="-3"/>
        </w:rPr>
        <w:t xml:space="preserve"> </w:t>
      </w:r>
      <w:r>
        <w:t>the</w:t>
      </w:r>
      <w:r>
        <w:rPr>
          <w:spacing w:val="-3"/>
        </w:rPr>
        <w:t xml:space="preserve"> </w:t>
      </w:r>
      <w:r>
        <w:t>three</w:t>
      </w:r>
      <w:r>
        <w:rPr>
          <w:spacing w:val="-3"/>
        </w:rPr>
        <w:t xml:space="preserve"> </w:t>
      </w:r>
      <w:r>
        <w:t>FFMIA requirements, including</w:t>
      </w:r>
    </w:p>
    <w:p w14:paraId="0DFDB1DB" w14:textId="77777777" w:rsidR="00046465" w:rsidRDefault="008134EB">
      <w:pPr>
        <w:pStyle w:val="ListParagraph"/>
        <w:numPr>
          <w:ilvl w:val="2"/>
          <w:numId w:val="198"/>
        </w:numPr>
        <w:tabs>
          <w:tab w:val="left" w:pos="2519"/>
        </w:tabs>
        <w:ind w:right="1229"/>
      </w:pPr>
      <w:r>
        <w:t>the</w:t>
      </w:r>
      <w:r>
        <w:rPr>
          <w:spacing w:val="-4"/>
        </w:rPr>
        <w:t xml:space="preserve"> </w:t>
      </w:r>
      <w:r>
        <w:t>nature</w:t>
      </w:r>
      <w:r>
        <w:rPr>
          <w:spacing w:val="-4"/>
        </w:rPr>
        <w:t xml:space="preserve"> </w:t>
      </w:r>
      <w:r>
        <w:t>and</w:t>
      </w:r>
      <w:r>
        <w:rPr>
          <w:spacing w:val="-4"/>
        </w:rPr>
        <w:t xml:space="preserve"> </w:t>
      </w:r>
      <w:r>
        <w:t>extent</w:t>
      </w:r>
      <w:r>
        <w:rPr>
          <w:spacing w:val="-4"/>
        </w:rPr>
        <w:t xml:space="preserve"> </w:t>
      </w:r>
      <w:r>
        <w:t>of</w:t>
      </w:r>
      <w:r>
        <w:rPr>
          <w:spacing w:val="-5"/>
        </w:rPr>
        <w:t xml:space="preserve"> </w:t>
      </w:r>
      <w:r>
        <w:t>the</w:t>
      </w:r>
      <w:r>
        <w:rPr>
          <w:spacing w:val="-4"/>
        </w:rPr>
        <w:t xml:space="preserve"> </w:t>
      </w:r>
      <w:r>
        <w:t>noncompliance,</w:t>
      </w:r>
      <w:r>
        <w:rPr>
          <w:spacing w:val="-4"/>
        </w:rPr>
        <w:t xml:space="preserve"> </w:t>
      </w:r>
      <w:r>
        <w:t>including</w:t>
      </w:r>
      <w:r>
        <w:rPr>
          <w:spacing w:val="-4"/>
        </w:rPr>
        <w:t xml:space="preserve"> </w:t>
      </w:r>
      <w:r>
        <w:t>areas</w:t>
      </w:r>
      <w:r>
        <w:rPr>
          <w:spacing w:val="-5"/>
        </w:rPr>
        <w:t xml:space="preserve"> </w:t>
      </w:r>
      <w:r>
        <w:t>in</w:t>
      </w:r>
      <w:r>
        <w:rPr>
          <w:spacing w:val="-4"/>
        </w:rPr>
        <w:t xml:space="preserve"> </w:t>
      </w:r>
      <w:r>
        <w:t>which there is substantial but not full compliance;</w:t>
      </w:r>
    </w:p>
    <w:p w14:paraId="0DFDB1DC" w14:textId="77777777" w:rsidR="00046465" w:rsidRDefault="008134EB">
      <w:pPr>
        <w:pStyle w:val="ListParagraph"/>
        <w:numPr>
          <w:ilvl w:val="2"/>
          <w:numId w:val="198"/>
        </w:numPr>
        <w:tabs>
          <w:tab w:val="left" w:pos="2519"/>
        </w:tabs>
        <w:spacing w:before="117"/>
      </w:pPr>
      <w:r>
        <w:t>the</w:t>
      </w:r>
      <w:r>
        <w:rPr>
          <w:spacing w:val="-5"/>
        </w:rPr>
        <w:t xml:space="preserve"> </w:t>
      </w:r>
      <w:r>
        <w:t>primary</w:t>
      </w:r>
      <w:r>
        <w:rPr>
          <w:spacing w:val="-5"/>
        </w:rPr>
        <w:t xml:space="preserve"> </w:t>
      </w:r>
      <w:r>
        <w:t>reason</w:t>
      </w:r>
      <w:r>
        <w:rPr>
          <w:spacing w:val="-4"/>
        </w:rPr>
        <w:t xml:space="preserve"> </w:t>
      </w:r>
      <w:r>
        <w:t>or</w:t>
      </w:r>
      <w:r>
        <w:rPr>
          <w:spacing w:val="-5"/>
        </w:rPr>
        <w:t xml:space="preserve"> </w:t>
      </w:r>
      <w:r>
        <w:t>cause</w:t>
      </w:r>
      <w:r>
        <w:rPr>
          <w:spacing w:val="-4"/>
        </w:rPr>
        <w:t xml:space="preserve"> </w:t>
      </w:r>
      <w:r>
        <w:t>of</w:t>
      </w:r>
      <w:r>
        <w:rPr>
          <w:spacing w:val="-5"/>
        </w:rPr>
        <w:t xml:space="preserve"> </w:t>
      </w:r>
      <w:r>
        <w:t>the</w:t>
      </w:r>
      <w:r>
        <w:rPr>
          <w:spacing w:val="-4"/>
        </w:rPr>
        <w:t xml:space="preserve"> </w:t>
      </w:r>
      <w:r>
        <w:rPr>
          <w:spacing w:val="-2"/>
        </w:rPr>
        <w:t>noncompliance;</w:t>
      </w:r>
    </w:p>
    <w:p w14:paraId="0DFDB1DD" w14:textId="77777777" w:rsidR="00046465" w:rsidRDefault="008134EB">
      <w:pPr>
        <w:pStyle w:val="ListParagraph"/>
        <w:numPr>
          <w:ilvl w:val="2"/>
          <w:numId w:val="198"/>
        </w:numPr>
        <w:tabs>
          <w:tab w:val="left" w:pos="2519"/>
        </w:tabs>
        <w:spacing w:before="119"/>
      </w:pPr>
      <w:r>
        <w:t>the</w:t>
      </w:r>
      <w:r>
        <w:rPr>
          <w:spacing w:val="-8"/>
        </w:rPr>
        <w:t xml:space="preserve"> </w:t>
      </w:r>
      <w:r>
        <w:t>entity</w:t>
      </w:r>
      <w:r>
        <w:rPr>
          <w:spacing w:val="-7"/>
        </w:rPr>
        <w:t xml:space="preserve"> </w:t>
      </w:r>
      <w:r>
        <w:t>or</w:t>
      </w:r>
      <w:r>
        <w:rPr>
          <w:spacing w:val="-9"/>
        </w:rPr>
        <w:t xml:space="preserve"> </w:t>
      </w:r>
      <w:r>
        <w:t>organization</w:t>
      </w:r>
      <w:r>
        <w:rPr>
          <w:spacing w:val="-8"/>
        </w:rPr>
        <w:t xml:space="preserve"> </w:t>
      </w:r>
      <w:r>
        <w:t>responsible</w:t>
      </w:r>
      <w:r>
        <w:rPr>
          <w:spacing w:val="-8"/>
        </w:rPr>
        <w:t xml:space="preserve"> </w:t>
      </w:r>
      <w:r>
        <w:t>for</w:t>
      </w:r>
      <w:r>
        <w:rPr>
          <w:spacing w:val="-7"/>
        </w:rPr>
        <w:t xml:space="preserve"> </w:t>
      </w:r>
      <w:r>
        <w:t>the</w:t>
      </w:r>
      <w:r>
        <w:rPr>
          <w:spacing w:val="-7"/>
        </w:rPr>
        <w:t xml:space="preserve"> </w:t>
      </w:r>
      <w:r>
        <w:t>noncompliance;</w:t>
      </w:r>
      <w:r>
        <w:rPr>
          <w:spacing w:val="-8"/>
        </w:rPr>
        <w:t xml:space="preserve"> </w:t>
      </w:r>
      <w:r>
        <w:rPr>
          <w:spacing w:val="-5"/>
        </w:rPr>
        <w:t>and</w:t>
      </w:r>
    </w:p>
    <w:p w14:paraId="0DFDB1DE" w14:textId="77777777" w:rsidR="00046465" w:rsidRDefault="008134EB">
      <w:pPr>
        <w:pStyle w:val="ListParagraph"/>
        <w:numPr>
          <w:ilvl w:val="2"/>
          <w:numId w:val="198"/>
        </w:numPr>
        <w:tabs>
          <w:tab w:val="left" w:pos="2519"/>
        </w:tabs>
        <w:spacing w:before="118"/>
      </w:pPr>
      <w:r>
        <w:t>any</w:t>
      </w:r>
      <w:r>
        <w:rPr>
          <w:spacing w:val="-7"/>
        </w:rPr>
        <w:t xml:space="preserve"> </w:t>
      </w:r>
      <w:r>
        <w:t>relevant</w:t>
      </w:r>
      <w:r>
        <w:rPr>
          <w:spacing w:val="-8"/>
        </w:rPr>
        <w:t xml:space="preserve"> </w:t>
      </w:r>
      <w:r>
        <w:t>comments</w:t>
      </w:r>
      <w:r>
        <w:rPr>
          <w:spacing w:val="-7"/>
        </w:rPr>
        <w:t xml:space="preserve"> </w:t>
      </w:r>
      <w:r>
        <w:t>from</w:t>
      </w:r>
      <w:r>
        <w:rPr>
          <w:spacing w:val="-7"/>
        </w:rPr>
        <w:t xml:space="preserve"> </w:t>
      </w:r>
      <w:r>
        <w:t>any</w:t>
      </w:r>
      <w:r>
        <w:rPr>
          <w:spacing w:val="-7"/>
        </w:rPr>
        <w:t xml:space="preserve"> </w:t>
      </w:r>
      <w:r>
        <w:t>responsible</w:t>
      </w:r>
      <w:r>
        <w:rPr>
          <w:spacing w:val="-7"/>
        </w:rPr>
        <w:t xml:space="preserve"> </w:t>
      </w:r>
      <w:r>
        <w:t>officer</w:t>
      </w:r>
      <w:r>
        <w:rPr>
          <w:spacing w:val="-6"/>
        </w:rPr>
        <w:t xml:space="preserve"> </w:t>
      </w:r>
      <w:r>
        <w:t>or</w:t>
      </w:r>
      <w:r>
        <w:rPr>
          <w:spacing w:val="-7"/>
        </w:rPr>
        <w:t xml:space="preserve"> </w:t>
      </w:r>
      <w:r>
        <w:rPr>
          <w:spacing w:val="-2"/>
        </w:rPr>
        <w:t>employee.</w:t>
      </w:r>
    </w:p>
    <w:p w14:paraId="0DFDB1DF" w14:textId="77777777" w:rsidR="00046465" w:rsidRDefault="008134EB">
      <w:pPr>
        <w:pStyle w:val="ListParagraph"/>
        <w:numPr>
          <w:ilvl w:val="1"/>
          <w:numId w:val="198"/>
        </w:numPr>
        <w:tabs>
          <w:tab w:val="left" w:pos="2159"/>
        </w:tabs>
        <w:spacing w:before="119"/>
        <w:ind w:right="858"/>
      </w:pPr>
      <w:r>
        <w:t>A</w:t>
      </w:r>
      <w:r>
        <w:rPr>
          <w:spacing w:val="-4"/>
        </w:rPr>
        <w:t xml:space="preserve"> </w:t>
      </w:r>
      <w:r>
        <w:t>statement</w:t>
      </w:r>
      <w:r>
        <w:rPr>
          <w:spacing w:val="-4"/>
        </w:rPr>
        <w:t xml:space="preserve"> </w:t>
      </w:r>
      <w:r>
        <w:t>with</w:t>
      </w:r>
      <w:r>
        <w:rPr>
          <w:spacing w:val="-4"/>
        </w:rPr>
        <w:t xml:space="preserve"> </w:t>
      </w:r>
      <w:r>
        <w:t>respect</w:t>
      </w:r>
      <w:r>
        <w:rPr>
          <w:spacing w:val="-4"/>
        </w:rPr>
        <w:t xml:space="preserve"> </w:t>
      </w:r>
      <w:r>
        <w:t>to</w:t>
      </w:r>
      <w:r>
        <w:rPr>
          <w:spacing w:val="-4"/>
        </w:rPr>
        <w:t xml:space="preserve"> </w:t>
      </w:r>
      <w:r>
        <w:t>the</w:t>
      </w:r>
      <w:r>
        <w:rPr>
          <w:spacing w:val="-4"/>
        </w:rPr>
        <w:t xml:space="preserve"> </w:t>
      </w:r>
      <w:r>
        <w:t>recommended</w:t>
      </w:r>
      <w:r>
        <w:rPr>
          <w:spacing w:val="-4"/>
        </w:rPr>
        <w:t xml:space="preserve"> </w:t>
      </w:r>
      <w:r>
        <w:t>remedial</w:t>
      </w:r>
      <w:r>
        <w:rPr>
          <w:spacing w:val="-4"/>
        </w:rPr>
        <w:t xml:space="preserve"> </w:t>
      </w:r>
      <w:r>
        <w:t>actions</w:t>
      </w:r>
      <w:r>
        <w:rPr>
          <w:spacing w:val="-4"/>
        </w:rPr>
        <w:t xml:space="preserve"> </w:t>
      </w:r>
      <w:r>
        <w:t>and</w:t>
      </w:r>
      <w:r>
        <w:rPr>
          <w:spacing w:val="-4"/>
        </w:rPr>
        <w:t xml:space="preserve"> </w:t>
      </w:r>
      <w:r>
        <w:t>the</w:t>
      </w:r>
      <w:r>
        <w:rPr>
          <w:spacing w:val="-5"/>
        </w:rPr>
        <w:t xml:space="preserve"> </w:t>
      </w:r>
      <w:r>
        <w:t>time frames for implementing such actions.</w:t>
      </w:r>
    </w:p>
    <w:p w14:paraId="0DFDB1E0" w14:textId="77777777" w:rsidR="00046465" w:rsidRDefault="008134EB">
      <w:pPr>
        <w:pStyle w:val="BodyText"/>
        <w:spacing w:before="120"/>
        <w:ind w:left="1799"/>
      </w:pPr>
      <w:r>
        <w:t>See</w:t>
      </w:r>
      <w:r>
        <w:rPr>
          <w:spacing w:val="-9"/>
        </w:rPr>
        <w:t xml:space="preserve"> </w:t>
      </w:r>
      <w:r>
        <w:t>FAM</w:t>
      </w:r>
      <w:r>
        <w:rPr>
          <w:spacing w:val="-10"/>
        </w:rPr>
        <w:t xml:space="preserve"> </w:t>
      </w:r>
      <w:r>
        <w:t>580.87–</w:t>
      </w:r>
      <w:r>
        <w:rPr>
          <w:spacing w:val="-4"/>
        </w:rPr>
        <w:t>.91.</w:t>
      </w:r>
    </w:p>
    <w:p w14:paraId="0DFDB1E1" w14:textId="77777777" w:rsidR="00046465" w:rsidRDefault="008134EB">
      <w:pPr>
        <w:pStyle w:val="Heading4"/>
        <w:spacing w:before="120"/>
      </w:pPr>
      <w:bookmarkStart w:id="134" w:name="OMB_Guidance"/>
      <w:bookmarkEnd w:id="134"/>
      <w:r>
        <w:t>OMB</w:t>
      </w:r>
      <w:r>
        <w:rPr>
          <w:spacing w:val="-8"/>
        </w:rPr>
        <w:t xml:space="preserve"> </w:t>
      </w:r>
      <w:r>
        <w:rPr>
          <w:spacing w:val="-2"/>
        </w:rPr>
        <w:t>Guidance</w:t>
      </w:r>
    </w:p>
    <w:p w14:paraId="0DFDB1E2" w14:textId="77777777" w:rsidR="00046465" w:rsidRDefault="008134EB">
      <w:pPr>
        <w:pStyle w:val="ListParagraph"/>
        <w:numPr>
          <w:ilvl w:val="0"/>
          <w:numId w:val="198"/>
        </w:numPr>
        <w:tabs>
          <w:tab w:val="left" w:pos="1800"/>
        </w:tabs>
        <w:ind w:left="1800" w:right="776"/>
      </w:pPr>
      <w:r>
        <w:t>OMB Circular No. A-123, appendix D, provides the FFMIA Compliance Determination Framework that CFO Act agencies should use (and the auditor may use) in determining whether the agency’s financial management systems comply</w:t>
      </w:r>
      <w:r>
        <w:rPr>
          <w:spacing w:val="-5"/>
        </w:rPr>
        <w:t xml:space="preserve"> </w:t>
      </w:r>
      <w:r>
        <w:t>substantially</w:t>
      </w:r>
      <w:r>
        <w:rPr>
          <w:spacing w:val="-5"/>
        </w:rPr>
        <w:t xml:space="preserve"> </w:t>
      </w:r>
      <w:r>
        <w:t>with</w:t>
      </w:r>
      <w:r>
        <w:rPr>
          <w:spacing w:val="-6"/>
        </w:rPr>
        <w:t xml:space="preserve"> </w:t>
      </w:r>
      <w:r>
        <w:t>the</w:t>
      </w:r>
      <w:r>
        <w:rPr>
          <w:spacing w:val="-5"/>
        </w:rPr>
        <w:t xml:space="preserve"> </w:t>
      </w:r>
      <w:r>
        <w:t>three</w:t>
      </w:r>
      <w:r>
        <w:rPr>
          <w:spacing w:val="-5"/>
        </w:rPr>
        <w:t xml:space="preserve"> </w:t>
      </w:r>
      <w:r>
        <w:t>FFMIA</w:t>
      </w:r>
      <w:r>
        <w:rPr>
          <w:spacing w:val="-5"/>
        </w:rPr>
        <w:t xml:space="preserve"> </w:t>
      </w:r>
      <w:r>
        <w:t>requirements.</w:t>
      </w:r>
      <w:r>
        <w:rPr>
          <w:spacing w:val="-5"/>
        </w:rPr>
        <w:t xml:space="preserve"> </w:t>
      </w:r>
      <w:r>
        <w:t>The</w:t>
      </w:r>
      <w:r>
        <w:rPr>
          <w:spacing w:val="-5"/>
        </w:rPr>
        <w:t xml:space="preserve"> </w:t>
      </w:r>
      <w:r>
        <w:t>FFMIA</w:t>
      </w:r>
      <w:r>
        <w:rPr>
          <w:spacing w:val="-5"/>
        </w:rPr>
        <w:t xml:space="preserve"> </w:t>
      </w:r>
      <w:r>
        <w:t>Compliance Determination</w:t>
      </w:r>
      <w:r>
        <w:rPr>
          <w:spacing w:val="-6"/>
        </w:rPr>
        <w:t xml:space="preserve"> </w:t>
      </w:r>
      <w:r>
        <w:t>Framework</w:t>
      </w:r>
      <w:r>
        <w:rPr>
          <w:spacing w:val="-6"/>
        </w:rPr>
        <w:t xml:space="preserve"> </w:t>
      </w:r>
      <w:r>
        <w:t>identifies</w:t>
      </w:r>
      <w:r>
        <w:rPr>
          <w:spacing w:val="-7"/>
        </w:rPr>
        <w:t xml:space="preserve"> </w:t>
      </w:r>
      <w:r>
        <w:t>federal</w:t>
      </w:r>
      <w:r>
        <w:rPr>
          <w:spacing w:val="-6"/>
        </w:rPr>
        <w:t xml:space="preserve"> </w:t>
      </w:r>
      <w:r>
        <w:t>financial</w:t>
      </w:r>
      <w:r>
        <w:rPr>
          <w:spacing w:val="-6"/>
        </w:rPr>
        <w:t xml:space="preserve"> </w:t>
      </w:r>
      <w:r>
        <w:t>management</w:t>
      </w:r>
      <w:r>
        <w:rPr>
          <w:spacing w:val="-6"/>
        </w:rPr>
        <w:t xml:space="preserve"> </w:t>
      </w:r>
      <w:r>
        <w:t>goals</w:t>
      </w:r>
      <w:r>
        <w:rPr>
          <w:spacing w:val="-6"/>
        </w:rPr>
        <w:t xml:space="preserve"> </w:t>
      </w:r>
      <w:r>
        <w:t xml:space="preserve">grouped into the following two categories: (1) federal financial information management and reporting and (2) financial management and internal controls. The federal financial management goals within these two categories are aligned with the FFMSR goal groups and corresponding business capability statements presented in the FFMSRs. See the </w:t>
      </w:r>
      <w:r>
        <w:rPr>
          <w:i/>
        </w:rPr>
        <w:t xml:space="preserve">Revised Federal Financial Management System Requirements for Fiscal Reporting </w:t>
      </w:r>
      <w:r>
        <w:t>published in the TFM, volume I, part 6, chapter 9500, for more information on the FFMSRs.</w:t>
      </w:r>
    </w:p>
    <w:p w14:paraId="0DFDB1E3" w14:textId="77777777" w:rsidR="00046465" w:rsidRDefault="008134EB">
      <w:pPr>
        <w:pStyle w:val="ListParagraph"/>
        <w:numPr>
          <w:ilvl w:val="0"/>
          <w:numId w:val="198"/>
        </w:numPr>
        <w:tabs>
          <w:tab w:val="left" w:pos="1800"/>
        </w:tabs>
        <w:ind w:left="1800" w:right="800"/>
      </w:pPr>
      <w:r>
        <w:t>OMB Circular No. A-123, appendix D, requires agencies to use the FFMIA Compliance</w:t>
      </w:r>
      <w:r>
        <w:rPr>
          <w:spacing w:val="-5"/>
        </w:rPr>
        <w:t xml:space="preserve"> </w:t>
      </w:r>
      <w:r>
        <w:t>Determination</w:t>
      </w:r>
      <w:r>
        <w:rPr>
          <w:spacing w:val="-5"/>
        </w:rPr>
        <w:t xml:space="preserve"> </w:t>
      </w:r>
      <w:r>
        <w:t>Framework</w:t>
      </w:r>
      <w:r>
        <w:rPr>
          <w:spacing w:val="-5"/>
        </w:rPr>
        <w:t xml:space="preserve"> </w:t>
      </w:r>
      <w:r>
        <w:t>to</w:t>
      </w:r>
      <w:r>
        <w:rPr>
          <w:spacing w:val="-5"/>
        </w:rPr>
        <w:t xml:space="preserve"> </w:t>
      </w:r>
      <w:r>
        <w:t>provide</w:t>
      </w:r>
      <w:r>
        <w:rPr>
          <w:spacing w:val="-6"/>
        </w:rPr>
        <w:t xml:space="preserve"> </w:t>
      </w:r>
      <w:r>
        <w:t>documentation</w:t>
      </w:r>
      <w:r>
        <w:rPr>
          <w:spacing w:val="-5"/>
        </w:rPr>
        <w:t xml:space="preserve"> </w:t>
      </w:r>
      <w:r>
        <w:t>of</w:t>
      </w:r>
      <w:r>
        <w:rPr>
          <w:spacing w:val="-5"/>
        </w:rPr>
        <w:t xml:space="preserve"> </w:t>
      </w:r>
      <w:r>
        <w:t>the</w:t>
      </w:r>
      <w:r>
        <w:rPr>
          <w:spacing w:val="-5"/>
        </w:rPr>
        <w:t xml:space="preserve"> </w:t>
      </w:r>
      <w:r>
        <w:t>evidence</w:t>
      </w:r>
    </w:p>
    <w:p w14:paraId="0DFDB1E4" w14:textId="77777777" w:rsidR="00046465" w:rsidRDefault="008134EB">
      <w:pPr>
        <w:pStyle w:val="BodyText"/>
        <w:spacing w:before="217"/>
        <w:rPr>
          <w:sz w:val="20"/>
        </w:rPr>
      </w:pPr>
      <w:r>
        <w:rPr>
          <w:noProof/>
          <w:sz w:val="20"/>
        </w:rPr>
        <mc:AlternateContent>
          <mc:Choice Requires="wps">
            <w:drawing>
              <wp:anchor distT="0" distB="0" distL="0" distR="0" simplePos="0" relativeHeight="487617024" behindDoc="1" locked="0" layoutInCell="1" allowOverlap="1" wp14:anchorId="0DFDD585" wp14:editId="0DFDD586">
                <wp:simplePos x="0" y="0"/>
                <wp:positionH relativeFrom="page">
                  <wp:posOffset>914400</wp:posOffset>
                </wp:positionH>
                <wp:positionV relativeFrom="paragraph">
                  <wp:posOffset>299515</wp:posOffset>
                </wp:positionV>
                <wp:extent cx="1828800" cy="5715"/>
                <wp:effectExtent l="0" t="0" r="0" b="0"/>
                <wp:wrapTopAndBottom/>
                <wp:docPr id="304" name="Graphic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1E03CB" id="Graphic 304" o:spid="_x0000_s1026" style="position:absolute;margin-left:1in;margin-top:23.6pt;width:2in;height:.45pt;z-index:-1569945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" path="m1828800,l,,,5334r1828800,l1828800,xe" fillcolor="black" stroked="f">
                <v:path arrowok="t"/>
                <w10:wrap type="topAndBottom" anchorx="page"/>
              </v:shape>
            </w:pict>
          </mc:Fallback>
        </mc:AlternateContent>
      </w:r>
    </w:p>
    <w:p w14:paraId="0DFDB1E5" w14:textId="77777777" w:rsidR="00046465" w:rsidRDefault="00046465">
      <w:pPr>
        <w:pStyle w:val="BodyText"/>
        <w:spacing w:before="53"/>
        <w:rPr>
          <w:sz w:val="18"/>
        </w:rPr>
      </w:pPr>
    </w:p>
    <w:p w14:paraId="0DFDB1E6" w14:textId="77777777" w:rsidR="00046465" w:rsidRDefault="008134EB">
      <w:pPr>
        <w:spacing w:line="244" w:lineRule="auto"/>
        <w:ind w:left="360" w:right="749" w:hanging="1"/>
        <w:rPr>
          <w:sz w:val="18"/>
        </w:rPr>
      </w:pPr>
      <w:bookmarkStart w:id="135" w:name="_bookmark50"/>
      <w:bookmarkEnd w:id="135"/>
      <w:r>
        <w:rPr>
          <w:position w:val="7"/>
          <w:sz w:val="14"/>
        </w:rPr>
        <w:t>9</w:t>
      </w:r>
      <w:r>
        <w:rPr>
          <w:sz w:val="18"/>
        </w:rPr>
        <w:t>In</w:t>
      </w:r>
      <w:r>
        <w:rPr>
          <w:spacing w:val="-4"/>
          <w:sz w:val="18"/>
        </w:rPr>
        <w:t xml:space="preserve"> </w:t>
      </w:r>
      <w:r>
        <w:rPr>
          <w:sz w:val="18"/>
        </w:rPr>
        <w:t>addition,</w:t>
      </w:r>
      <w:r>
        <w:rPr>
          <w:spacing w:val="-3"/>
          <w:sz w:val="18"/>
        </w:rPr>
        <w:t xml:space="preserve"> </w:t>
      </w:r>
      <w:r>
        <w:rPr>
          <w:sz w:val="18"/>
        </w:rPr>
        <w:t>SFFAS</w:t>
      </w:r>
      <w:r>
        <w:rPr>
          <w:spacing w:val="-3"/>
          <w:sz w:val="18"/>
        </w:rPr>
        <w:t xml:space="preserve"> </w:t>
      </w:r>
      <w:r>
        <w:rPr>
          <w:sz w:val="18"/>
        </w:rPr>
        <w:t>64,</w:t>
      </w:r>
      <w:r>
        <w:rPr>
          <w:spacing w:val="-2"/>
          <w:sz w:val="18"/>
        </w:rPr>
        <w:t xml:space="preserve"> </w:t>
      </w:r>
      <w:r>
        <w:rPr>
          <w:sz w:val="18"/>
        </w:rPr>
        <w:t>paragraph</w:t>
      </w:r>
      <w:r>
        <w:rPr>
          <w:spacing w:val="-4"/>
          <w:sz w:val="18"/>
        </w:rPr>
        <w:t xml:space="preserve"> </w:t>
      </w:r>
      <w:r>
        <w:rPr>
          <w:sz w:val="18"/>
        </w:rPr>
        <w:t>13,</w:t>
      </w:r>
      <w:r>
        <w:rPr>
          <w:spacing w:val="-2"/>
          <w:sz w:val="18"/>
        </w:rPr>
        <w:t xml:space="preserve"> </w:t>
      </w:r>
      <w:r>
        <w:rPr>
          <w:sz w:val="18"/>
        </w:rPr>
        <w:t>requires</w:t>
      </w:r>
      <w:r>
        <w:rPr>
          <w:spacing w:val="-3"/>
          <w:sz w:val="18"/>
        </w:rPr>
        <w:t xml:space="preserve"> </w:t>
      </w:r>
      <w:r>
        <w:rPr>
          <w:sz w:val="18"/>
        </w:rPr>
        <w:t>the</w:t>
      </w:r>
      <w:r>
        <w:rPr>
          <w:spacing w:val="-3"/>
          <w:sz w:val="18"/>
        </w:rPr>
        <w:t xml:space="preserve"> </w:t>
      </w:r>
      <w:r>
        <w:rPr>
          <w:sz w:val="18"/>
        </w:rPr>
        <w:t>management’s</w:t>
      </w:r>
      <w:r>
        <w:rPr>
          <w:spacing w:val="-3"/>
          <w:sz w:val="18"/>
        </w:rPr>
        <w:t xml:space="preserve"> </w:t>
      </w:r>
      <w:r>
        <w:rPr>
          <w:sz w:val="18"/>
        </w:rPr>
        <w:t>discussion</w:t>
      </w:r>
      <w:r>
        <w:rPr>
          <w:spacing w:val="-4"/>
          <w:sz w:val="18"/>
        </w:rPr>
        <w:t xml:space="preserve"> </w:t>
      </w:r>
      <w:r>
        <w:rPr>
          <w:sz w:val="18"/>
        </w:rPr>
        <w:t>and</w:t>
      </w:r>
      <w:r>
        <w:rPr>
          <w:spacing w:val="-4"/>
          <w:sz w:val="18"/>
        </w:rPr>
        <w:t xml:space="preserve"> </w:t>
      </w:r>
      <w:r>
        <w:rPr>
          <w:sz w:val="18"/>
        </w:rPr>
        <w:t>analysis</w:t>
      </w:r>
      <w:r>
        <w:rPr>
          <w:spacing w:val="-2"/>
          <w:sz w:val="18"/>
        </w:rPr>
        <w:t xml:space="preserve"> </w:t>
      </w:r>
      <w:r>
        <w:rPr>
          <w:sz w:val="18"/>
        </w:rPr>
        <w:t>to</w:t>
      </w:r>
      <w:r>
        <w:rPr>
          <w:spacing w:val="-4"/>
          <w:sz w:val="18"/>
        </w:rPr>
        <w:t xml:space="preserve"> </w:t>
      </w:r>
      <w:r>
        <w:rPr>
          <w:sz w:val="18"/>
        </w:rPr>
        <w:t>provide</w:t>
      </w:r>
      <w:r>
        <w:rPr>
          <w:spacing w:val="-4"/>
          <w:sz w:val="18"/>
        </w:rPr>
        <w:t xml:space="preserve"> </w:t>
      </w:r>
      <w:r>
        <w:rPr>
          <w:sz w:val="18"/>
        </w:rPr>
        <w:t xml:space="preserve">management’s summary assessment of the effectiveness of the entity’s financial management systems and to address systems </w:t>
      </w:r>
      <w:r>
        <w:rPr>
          <w:spacing w:val="-2"/>
          <w:sz w:val="18"/>
        </w:rPr>
        <w:t>deficiencies.</w:t>
      </w:r>
    </w:p>
    <w:p w14:paraId="0DFDB1E7" w14:textId="77777777" w:rsidR="00046465" w:rsidRDefault="00046465">
      <w:pPr>
        <w:spacing w:line="244" w:lineRule="auto"/>
        <w:rPr>
          <w:sz w:val="18"/>
        </w:rPr>
        <w:sectPr w:rsidR="00046465">
          <w:pgSz w:w="12240" w:h="15840"/>
          <w:pgMar w:top="1340" w:right="720" w:bottom="940" w:left="1080" w:header="721" w:footer="757" w:gutter="0"/>
          <w:cols w:space="720"/>
        </w:sectPr>
      </w:pPr>
    </w:p>
    <w:p w14:paraId="0DFDB1E8" w14:textId="77777777" w:rsidR="00046465" w:rsidRDefault="008134EB">
      <w:pPr>
        <w:pStyle w:val="BodyText"/>
        <w:spacing w:before="121"/>
        <w:ind w:left="1799" w:right="797"/>
      </w:pPr>
      <w:r>
        <w:lastRenderedPageBreak/>
        <w:t>utilized in determining whether the agency’s financial management systems comply substantially with the three FFMIA requirements. Appendix D also requires agencies to develop a risk-based approach with documented methods to determine whether financial management systems comply substantially with the</w:t>
      </w:r>
      <w:r>
        <w:rPr>
          <w:spacing w:val="-3"/>
        </w:rPr>
        <w:t xml:space="preserve"> </w:t>
      </w:r>
      <w:r>
        <w:t>three</w:t>
      </w:r>
      <w:r>
        <w:rPr>
          <w:spacing w:val="-3"/>
        </w:rPr>
        <w:t xml:space="preserve"> </w:t>
      </w:r>
      <w:r>
        <w:t>FFMIA</w:t>
      </w:r>
      <w:r>
        <w:rPr>
          <w:spacing w:val="-3"/>
        </w:rPr>
        <w:t xml:space="preserve"> </w:t>
      </w:r>
      <w:r>
        <w:t>requirements.</w:t>
      </w:r>
      <w:r>
        <w:rPr>
          <w:spacing w:val="-3"/>
        </w:rPr>
        <w:t xml:space="preserve"> </w:t>
      </w:r>
      <w:r>
        <w:t>For</w:t>
      </w:r>
      <w:r>
        <w:rPr>
          <w:spacing w:val="-3"/>
        </w:rPr>
        <w:t xml:space="preserve"> </w:t>
      </w:r>
      <w:r>
        <w:t>agencies</w:t>
      </w:r>
      <w:r>
        <w:rPr>
          <w:spacing w:val="-3"/>
        </w:rPr>
        <w:t xml:space="preserve"> </w:t>
      </w:r>
      <w:r>
        <w:t>using</w:t>
      </w:r>
      <w:r>
        <w:rPr>
          <w:spacing w:val="-3"/>
        </w:rPr>
        <w:t xml:space="preserve"> </w:t>
      </w:r>
      <w:r>
        <w:t>service</w:t>
      </w:r>
      <w:r>
        <w:rPr>
          <w:spacing w:val="-4"/>
        </w:rPr>
        <w:t xml:space="preserve"> </w:t>
      </w:r>
      <w:r>
        <w:t>providers</w:t>
      </w:r>
      <w:r>
        <w:rPr>
          <w:spacing w:val="-3"/>
        </w:rPr>
        <w:t xml:space="preserve"> </w:t>
      </w:r>
      <w:r>
        <w:t>for</w:t>
      </w:r>
      <w:r>
        <w:rPr>
          <w:spacing w:val="-3"/>
        </w:rPr>
        <w:t xml:space="preserve"> </w:t>
      </w:r>
      <w:r>
        <w:t>financial management systems, documented methods may include the use of service organization</w:t>
      </w:r>
      <w:r>
        <w:rPr>
          <w:spacing w:val="-6"/>
        </w:rPr>
        <w:t xml:space="preserve"> </w:t>
      </w:r>
      <w:r>
        <w:t>reports,</w:t>
      </w:r>
      <w:r>
        <w:rPr>
          <w:spacing w:val="-5"/>
        </w:rPr>
        <w:t xml:space="preserve"> </w:t>
      </w:r>
      <w:r>
        <w:t>ongoing</w:t>
      </w:r>
      <w:r>
        <w:rPr>
          <w:spacing w:val="-5"/>
        </w:rPr>
        <w:t xml:space="preserve"> </w:t>
      </w:r>
      <w:r>
        <w:t>monitoring,</w:t>
      </w:r>
      <w:r>
        <w:rPr>
          <w:spacing w:val="-5"/>
        </w:rPr>
        <w:t xml:space="preserve"> </w:t>
      </w:r>
      <w:r>
        <w:t>separate</w:t>
      </w:r>
      <w:r>
        <w:rPr>
          <w:spacing w:val="-5"/>
        </w:rPr>
        <w:t xml:space="preserve"> </w:t>
      </w:r>
      <w:r>
        <w:t>evaluations,</w:t>
      </w:r>
      <w:r>
        <w:rPr>
          <w:spacing w:val="-5"/>
        </w:rPr>
        <w:t xml:space="preserve"> </w:t>
      </w:r>
      <w:r>
        <w:t>or</w:t>
      </w:r>
      <w:r>
        <w:rPr>
          <w:spacing w:val="-5"/>
        </w:rPr>
        <w:t xml:space="preserve"> </w:t>
      </w:r>
      <w:r>
        <w:t>a</w:t>
      </w:r>
      <w:r>
        <w:rPr>
          <w:spacing w:val="-5"/>
        </w:rPr>
        <w:t xml:space="preserve"> </w:t>
      </w:r>
      <w:r>
        <w:t>combination thereof. Appendix D specifies that agencies provide documentation of the evidence relied on when determining whether the agency’s financial management systems comply substantially with the three FFMIA requirements. Appendix D also specifies that agency documentation must include an explanation for any noncompliant system presenting increased risks to accomplishing the agency’s mission.</w:t>
      </w:r>
    </w:p>
    <w:p w14:paraId="0DFDB1E9" w14:textId="77777777" w:rsidR="00046465" w:rsidRDefault="008134EB">
      <w:pPr>
        <w:pStyle w:val="Heading4"/>
        <w:spacing w:before="121"/>
      </w:pPr>
      <w:r>
        <w:t>Audit</w:t>
      </w:r>
      <w:r>
        <w:rPr>
          <w:spacing w:val="-10"/>
        </w:rPr>
        <w:t xml:space="preserve"> </w:t>
      </w:r>
      <w:r>
        <w:rPr>
          <w:spacing w:val="-2"/>
        </w:rPr>
        <w:t>Procedures</w:t>
      </w:r>
    </w:p>
    <w:p w14:paraId="0DFDB1EA" w14:textId="77777777" w:rsidR="00046465" w:rsidRDefault="008134EB">
      <w:pPr>
        <w:pStyle w:val="ListParagraph"/>
        <w:numPr>
          <w:ilvl w:val="0"/>
          <w:numId w:val="198"/>
        </w:numPr>
        <w:tabs>
          <w:tab w:val="left" w:pos="1800"/>
        </w:tabs>
        <w:spacing w:before="119"/>
        <w:ind w:left="1800" w:right="910"/>
      </w:pPr>
      <w:r>
        <w:t>To meet FFMIA’s reporting requirements, the auditor should plan audit procedures</w:t>
      </w:r>
      <w:r>
        <w:rPr>
          <w:spacing w:val="-5"/>
        </w:rPr>
        <w:t xml:space="preserve"> </w:t>
      </w:r>
      <w:r>
        <w:t>sufficient</w:t>
      </w:r>
      <w:r>
        <w:rPr>
          <w:spacing w:val="-4"/>
        </w:rPr>
        <w:t xml:space="preserve"> </w:t>
      </w:r>
      <w:r>
        <w:t>to</w:t>
      </w:r>
      <w:r>
        <w:rPr>
          <w:spacing w:val="-5"/>
        </w:rPr>
        <w:t xml:space="preserve"> </w:t>
      </w:r>
      <w:r>
        <w:t>enable</w:t>
      </w:r>
      <w:r>
        <w:rPr>
          <w:spacing w:val="-4"/>
        </w:rPr>
        <w:t xml:space="preserve"> </w:t>
      </w:r>
      <w:r>
        <w:t>the</w:t>
      </w:r>
      <w:r>
        <w:rPr>
          <w:spacing w:val="-4"/>
        </w:rPr>
        <w:t xml:space="preserve"> </w:t>
      </w:r>
      <w:r>
        <w:t>auditor</w:t>
      </w:r>
      <w:r>
        <w:rPr>
          <w:spacing w:val="-4"/>
        </w:rPr>
        <w:t xml:space="preserve"> </w:t>
      </w:r>
      <w:r>
        <w:t>to</w:t>
      </w:r>
      <w:r>
        <w:rPr>
          <w:spacing w:val="-4"/>
        </w:rPr>
        <w:t xml:space="preserve"> </w:t>
      </w:r>
      <w:r>
        <w:t>determine</w:t>
      </w:r>
      <w:r>
        <w:rPr>
          <w:spacing w:val="-4"/>
        </w:rPr>
        <w:t xml:space="preserve"> </w:t>
      </w:r>
      <w:r>
        <w:t>the</w:t>
      </w:r>
      <w:r>
        <w:rPr>
          <w:spacing w:val="-4"/>
        </w:rPr>
        <w:t xml:space="preserve"> </w:t>
      </w:r>
      <w:r>
        <w:t>degree</w:t>
      </w:r>
      <w:r>
        <w:rPr>
          <w:spacing w:val="-4"/>
        </w:rPr>
        <w:t xml:space="preserve"> </w:t>
      </w:r>
      <w:r>
        <w:t>to</w:t>
      </w:r>
      <w:r>
        <w:rPr>
          <w:spacing w:val="-4"/>
        </w:rPr>
        <w:t xml:space="preserve"> </w:t>
      </w:r>
      <w:r>
        <w:t>which</w:t>
      </w:r>
      <w:r>
        <w:rPr>
          <w:spacing w:val="-4"/>
        </w:rPr>
        <w:t xml:space="preserve"> </w:t>
      </w:r>
      <w:r>
        <w:t>the agency’s financial management systems comply with the three FFMIA requirements and whether that degree of compliance is substantial.</w:t>
      </w:r>
    </w:p>
    <w:p w14:paraId="0DFDB1EB" w14:textId="77777777" w:rsidR="00046465" w:rsidRDefault="008134EB">
      <w:pPr>
        <w:pStyle w:val="ListParagraph"/>
        <w:numPr>
          <w:ilvl w:val="0"/>
          <w:numId w:val="198"/>
        </w:numPr>
        <w:tabs>
          <w:tab w:val="left" w:pos="1800"/>
        </w:tabs>
        <w:ind w:left="1800" w:right="885"/>
      </w:pPr>
      <w:r>
        <w:t>FAM 701 A provides an example audit plan to assist the auditor in determining whether the agency’s financial management systems comply substantially with the three FFMIA requirements. This example audit plan provides audit procedures intended to satisfy the audit requirements below. The auditor may tailor the audit procedures to satisfy the objectives or intent of each step. The auditor may use evidence obtained through performing other audit procedures (e.g., in connection with control and substantive tests performed in a financial statement audit) to satisfy the audit procedures presented in FAM 701 A. However,</w:t>
      </w:r>
      <w:r>
        <w:rPr>
          <w:spacing w:val="-5"/>
        </w:rPr>
        <w:t xml:space="preserve"> </w:t>
      </w:r>
      <w:r>
        <w:t>certain</w:t>
      </w:r>
      <w:r>
        <w:rPr>
          <w:spacing w:val="-5"/>
        </w:rPr>
        <w:t xml:space="preserve"> </w:t>
      </w:r>
      <w:r>
        <w:t>audit</w:t>
      </w:r>
      <w:r>
        <w:rPr>
          <w:spacing w:val="-5"/>
        </w:rPr>
        <w:t xml:space="preserve"> </w:t>
      </w:r>
      <w:r>
        <w:t>procedures</w:t>
      </w:r>
      <w:r>
        <w:rPr>
          <w:spacing w:val="-5"/>
        </w:rPr>
        <w:t xml:space="preserve"> </w:t>
      </w:r>
      <w:r>
        <w:t>may</w:t>
      </w:r>
      <w:r>
        <w:rPr>
          <w:spacing w:val="-5"/>
        </w:rPr>
        <w:t xml:space="preserve"> </w:t>
      </w:r>
      <w:r>
        <w:t>require</w:t>
      </w:r>
      <w:r>
        <w:rPr>
          <w:spacing w:val="-5"/>
        </w:rPr>
        <w:t xml:space="preserve"> </w:t>
      </w:r>
      <w:r>
        <w:t>collecting</w:t>
      </w:r>
      <w:r>
        <w:rPr>
          <w:spacing w:val="-4"/>
        </w:rPr>
        <w:t xml:space="preserve"> </w:t>
      </w:r>
      <w:r>
        <w:t>evidence</w:t>
      </w:r>
      <w:r>
        <w:rPr>
          <w:spacing w:val="-5"/>
        </w:rPr>
        <w:t xml:space="preserve"> </w:t>
      </w:r>
      <w:r>
        <w:t>not</w:t>
      </w:r>
      <w:r>
        <w:rPr>
          <w:spacing w:val="-5"/>
        </w:rPr>
        <w:t xml:space="preserve"> </w:t>
      </w:r>
      <w:r>
        <w:t>normally obtained</w:t>
      </w:r>
      <w:r>
        <w:rPr>
          <w:spacing w:val="-2"/>
        </w:rPr>
        <w:t xml:space="preserve"> </w:t>
      </w:r>
      <w:r>
        <w:t>in</w:t>
      </w:r>
      <w:r>
        <w:rPr>
          <w:spacing w:val="-3"/>
        </w:rPr>
        <w:t xml:space="preserve"> </w:t>
      </w:r>
      <w:r>
        <w:t>a</w:t>
      </w:r>
      <w:r>
        <w:rPr>
          <w:spacing w:val="-2"/>
        </w:rPr>
        <w:t xml:space="preserve"> </w:t>
      </w:r>
      <w:r>
        <w:t>financial</w:t>
      </w:r>
      <w:r>
        <w:rPr>
          <w:spacing w:val="-3"/>
        </w:rPr>
        <w:t xml:space="preserve"> </w:t>
      </w:r>
      <w:r>
        <w:t>statement</w:t>
      </w:r>
      <w:r>
        <w:rPr>
          <w:spacing w:val="-2"/>
        </w:rPr>
        <w:t xml:space="preserve"> </w:t>
      </w:r>
      <w:r>
        <w:t>audit</w:t>
      </w:r>
      <w:r>
        <w:rPr>
          <w:spacing w:val="-1"/>
        </w:rPr>
        <w:t xml:space="preserve"> </w:t>
      </w:r>
      <w:r>
        <w:t>(e.g.,</w:t>
      </w:r>
      <w:r>
        <w:rPr>
          <w:spacing w:val="-2"/>
        </w:rPr>
        <w:t xml:space="preserve"> </w:t>
      </w:r>
      <w:r>
        <w:t>audit</w:t>
      </w:r>
      <w:r>
        <w:rPr>
          <w:spacing w:val="-3"/>
        </w:rPr>
        <w:t xml:space="preserve"> </w:t>
      </w:r>
      <w:r>
        <w:t>procedures</w:t>
      </w:r>
      <w:r>
        <w:rPr>
          <w:spacing w:val="-3"/>
        </w:rPr>
        <w:t xml:space="preserve"> </w:t>
      </w:r>
      <w:r>
        <w:t>related</w:t>
      </w:r>
      <w:r>
        <w:rPr>
          <w:spacing w:val="-2"/>
        </w:rPr>
        <w:t xml:space="preserve"> </w:t>
      </w:r>
      <w:r>
        <w:t>to</w:t>
      </w:r>
      <w:r>
        <w:rPr>
          <w:spacing w:val="-2"/>
        </w:rPr>
        <w:t xml:space="preserve"> </w:t>
      </w:r>
      <w:r>
        <w:t>general ledger setup and maintenance to determine whether proprietary and budgetary account attributes are consistent with the USSGL).</w:t>
      </w:r>
    </w:p>
    <w:p w14:paraId="0DFDB1EC" w14:textId="77777777" w:rsidR="00046465" w:rsidRDefault="008134EB">
      <w:pPr>
        <w:pStyle w:val="ListParagraph"/>
        <w:numPr>
          <w:ilvl w:val="0"/>
          <w:numId w:val="198"/>
        </w:numPr>
        <w:tabs>
          <w:tab w:val="left" w:pos="1800"/>
        </w:tabs>
        <w:ind w:left="1800" w:right="800"/>
      </w:pPr>
      <w:r>
        <w:t>The auditor should obtain an understanding of the agency’s financial management systems. In doing so, the auditor should read management’s most recent summaries of the agency’s financial management systems and financial management systems improvement strategy, as well as management assurances related to FMFIA and FFMIA. Obtaining an understanding of the agency’s</w:t>
      </w:r>
      <w:r>
        <w:rPr>
          <w:spacing w:val="-6"/>
        </w:rPr>
        <w:t xml:space="preserve"> </w:t>
      </w:r>
      <w:r>
        <w:t>financial</w:t>
      </w:r>
      <w:r>
        <w:rPr>
          <w:spacing w:val="-5"/>
        </w:rPr>
        <w:t xml:space="preserve"> </w:t>
      </w:r>
      <w:r>
        <w:t>management</w:t>
      </w:r>
      <w:r>
        <w:rPr>
          <w:spacing w:val="-5"/>
        </w:rPr>
        <w:t xml:space="preserve"> </w:t>
      </w:r>
      <w:r>
        <w:t>systems</w:t>
      </w:r>
      <w:r>
        <w:rPr>
          <w:spacing w:val="-5"/>
        </w:rPr>
        <w:t xml:space="preserve"> </w:t>
      </w:r>
      <w:r>
        <w:t>is</w:t>
      </w:r>
      <w:r>
        <w:rPr>
          <w:spacing w:val="-5"/>
        </w:rPr>
        <w:t xml:space="preserve"> </w:t>
      </w:r>
      <w:r>
        <w:t>efficiently</w:t>
      </w:r>
      <w:r>
        <w:rPr>
          <w:spacing w:val="-5"/>
        </w:rPr>
        <w:t xml:space="preserve"> </w:t>
      </w:r>
      <w:r>
        <w:t>accomplished,</w:t>
      </w:r>
      <w:r>
        <w:rPr>
          <w:spacing w:val="-5"/>
        </w:rPr>
        <w:t xml:space="preserve"> </w:t>
      </w:r>
      <w:r>
        <w:t>for</w:t>
      </w:r>
      <w:r>
        <w:rPr>
          <w:spacing w:val="-5"/>
        </w:rPr>
        <w:t xml:space="preserve"> </w:t>
      </w:r>
      <w:r>
        <w:t>the</w:t>
      </w:r>
      <w:r>
        <w:rPr>
          <w:spacing w:val="-5"/>
        </w:rPr>
        <w:t xml:space="preserve"> </w:t>
      </w:r>
      <w:r>
        <w:t>most part, in conjunction with the audit procedures performed to understand the entity’s significant business process applications and significant manual processes</w:t>
      </w:r>
      <w:r>
        <w:rPr>
          <w:spacing w:val="-1"/>
        </w:rPr>
        <w:t xml:space="preserve"> </w:t>
      </w:r>
      <w:r>
        <w:t>during the planning and internal control phases of the audit. Financial management systems covered by FFMIA may also include those that support financial planning; management reporting; budgeting; cost accumulation; and other business processes, such as benefit payments, logistics, personnel management, and acquisition. The auditor should identify any financial management systems covered by FFMIA that are not involved in processing financial transactions or preparing financial statements. These systems may require special consideration when assessing compliance with FFMIA as they may not otherwise be evaluated as part of the financial statement audit.</w:t>
      </w:r>
    </w:p>
    <w:p w14:paraId="0DFDB1ED" w14:textId="77777777" w:rsidR="00046465" w:rsidRDefault="008134EB">
      <w:pPr>
        <w:pStyle w:val="ListParagraph"/>
        <w:numPr>
          <w:ilvl w:val="0"/>
          <w:numId w:val="198"/>
        </w:numPr>
        <w:tabs>
          <w:tab w:val="left" w:pos="1800"/>
        </w:tabs>
        <w:spacing w:before="181"/>
        <w:ind w:left="1800" w:right="834"/>
      </w:pPr>
      <w:r>
        <w:t>The auditor should obtain an understanding of the status of any corrective actions</w:t>
      </w:r>
      <w:r>
        <w:rPr>
          <w:spacing w:val="-4"/>
        </w:rPr>
        <w:t xml:space="preserve"> </w:t>
      </w:r>
      <w:r>
        <w:t>planned</w:t>
      </w:r>
      <w:r>
        <w:rPr>
          <w:spacing w:val="-4"/>
        </w:rPr>
        <w:t xml:space="preserve"> </w:t>
      </w:r>
      <w:r>
        <w:t>or</w:t>
      </w:r>
      <w:r>
        <w:rPr>
          <w:spacing w:val="-4"/>
        </w:rPr>
        <w:t xml:space="preserve"> </w:t>
      </w:r>
      <w:r>
        <w:t>under</w:t>
      </w:r>
      <w:r>
        <w:rPr>
          <w:spacing w:val="-4"/>
        </w:rPr>
        <w:t xml:space="preserve"> </w:t>
      </w:r>
      <w:r>
        <w:t>way</w:t>
      </w:r>
      <w:r>
        <w:rPr>
          <w:spacing w:val="-4"/>
        </w:rPr>
        <w:t xml:space="preserve"> </w:t>
      </w:r>
      <w:r>
        <w:t>to</w:t>
      </w:r>
      <w:r>
        <w:rPr>
          <w:spacing w:val="-4"/>
        </w:rPr>
        <w:t xml:space="preserve"> </w:t>
      </w:r>
      <w:r>
        <w:t>address</w:t>
      </w:r>
      <w:r>
        <w:rPr>
          <w:spacing w:val="-4"/>
        </w:rPr>
        <w:t xml:space="preserve"> </w:t>
      </w:r>
      <w:r>
        <w:t>previously</w:t>
      </w:r>
      <w:r>
        <w:rPr>
          <w:spacing w:val="-4"/>
        </w:rPr>
        <w:t xml:space="preserve"> </w:t>
      </w:r>
      <w:r>
        <w:t>identified</w:t>
      </w:r>
      <w:r>
        <w:rPr>
          <w:spacing w:val="-5"/>
        </w:rPr>
        <w:t xml:space="preserve"> </w:t>
      </w:r>
      <w:r>
        <w:t>instances</w:t>
      </w:r>
      <w:r>
        <w:rPr>
          <w:spacing w:val="-4"/>
        </w:rPr>
        <w:t xml:space="preserve"> </w:t>
      </w:r>
      <w:r>
        <w:t>in</w:t>
      </w:r>
      <w:r>
        <w:rPr>
          <w:spacing w:val="-5"/>
        </w:rPr>
        <w:t xml:space="preserve"> </w:t>
      </w:r>
      <w:r>
        <w:t>which</w:t>
      </w:r>
    </w:p>
    <w:p w14:paraId="0DFDB1EE" w14:textId="77777777" w:rsidR="00046465" w:rsidRDefault="00046465">
      <w:pPr>
        <w:pStyle w:val="ListParagraph"/>
        <w:sectPr w:rsidR="00046465">
          <w:pgSz w:w="12240" w:h="15840"/>
          <w:pgMar w:top="1340" w:right="720" w:bottom="1020" w:left="1080" w:header="721" w:footer="757" w:gutter="0"/>
          <w:cols w:space="720"/>
        </w:sectPr>
      </w:pPr>
    </w:p>
    <w:p w14:paraId="0DFDB1EF" w14:textId="77777777" w:rsidR="00046465" w:rsidRDefault="008134EB">
      <w:pPr>
        <w:pStyle w:val="BodyText"/>
        <w:spacing w:before="121"/>
        <w:ind w:left="1800" w:right="773"/>
      </w:pPr>
      <w:r>
        <w:lastRenderedPageBreak/>
        <w:t>the agency’s financial management systems do not comply substantially with FFMIA</w:t>
      </w:r>
      <w:r>
        <w:rPr>
          <w:spacing w:val="-5"/>
        </w:rPr>
        <w:t xml:space="preserve"> </w:t>
      </w:r>
      <w:r>
        <w:t>requirements</w:t>
      </w:r>
      <w:r>
        <w:rPr>
          <w:spacing w:val="-4"/>
        </w:rPr>
        <w:t xml:space="preserve"> </w:t>
      </w:r>
      <w:r>
        <w:t>or</w:t>
      </w:r>
      <w:r>
        <w:rPr>
          <w:spacing w:val="-5"/>
        </w:rPr>
        <w:t xml:space="preserve"> </w:t>
      </w:r>
      <w:r>
        <w:t>internal</w:t>
      </w:r>
      <w:r>
        <w:rPr>
          <w:spacing w:val="-5"/>
        </w:rPr>
        <w:t xml:space="preserve"> </w:t>
      </w:r>
      <w:r>
        <w:t>control</w:t>
      </w:r>
      <w:r>
        <w:rPr>
          <w:spacing w:val="-5"/>
        </w:rPr>
        <w:t xml:space="preserve"> </w:t>
      </w:r>
      <w:r>
        <w:t>weaknesses</w:t>
      </w:r>
      <w:r>
        <w:rPr>
          <w:spacing w:val="-5"/>
        </w:rPr>
        <w:t xml:space="preserve"> </w:t>
      </w:r>
      <w:r>
        <w:t>related</w:t>
      </w:r>
      <w:r>
        <w:rPr>
          <w:spacing w:val="-5"/>
        </w:rPr>
        <w:t xml:space="preserve"> </w:t>
      </w:r>
      <w:r>
        <w:t>to</w:t>
      </w:r>
      <w:r>
        <w:rPr>
          <w:spacing w:val="-6"/>
        </w:rPr>
        <w:t xml:space="preserve"> </w:t>
      </w:r>
      <w:r>
        <w:t>these</w:t>
      </w:r>
      <w:r>
        <w:rPr>
          <w:spacing w:val="-4"/>
        </w:rPr>
        <w:t xml:space="preserve"> </w:t>
      </w:r>
      <w:r>
        <w:t>systems. See FAM</w:t>
      </w:r>
      <w:r>
        <w:rPr>
          <w:spacing w:val="-1"/>
        </w:rPr>
        <w:t xml:space="preserve"> </w:t>
      </w:r>
      <w:r>
        <w:t xml:space="preserve">220.18 through .20 for more information on sources of the auditor’s </w:t>
      </w:r>
      <w:r>
        <w:rPr>
          <w:spacing w:val="-2"/>
        </w:rPr>
        <w:t>understanding.</w:t>
      </w:r>
    </w:p>
    <w:p w14:paraId="0DFDB1F0" w14:textId="77777777" w:rsidR="00046465" w:rsidRDefault="008134EB">
      <w:pPr>
        <w:pStyle w:val="BodyText"/>
        <w:spacing w:before="180"/>
        <w:ind w:left="1800" w:right="749"/>
      </w:pPr>
      <w:r>
        <w:t>Deficiencies</w:t>
      </w:r>
      <w:r>
        <w:rPr>
          <w:spacing w:val="-5"/>
        </w:rPr>
        <w:t xml:space="preserve"> </w:t>
      </w:r>
      <w:r>
        <w:t>identified</w:t>
      </w:r>
      <w:r>
        <w:rPr>
          <w:spacing w:val="-5"/>
        </w:rPr>
        <w:t xml:space="preserve"> </w:t>
      </w:r>
      <w:r>
        <w:t>in</w:t>
      </w:r>
      <w:r>
        <w:rPr>
          <w:spacing w:val="-5"/>
        </w:rPr>
        <w:t xml:space="preserve"> </w:t>
      </w:r>
      <w:r>
        <w:t>Federal</w:t>
      </w:r>
      <w:r>
        <w:rPr>
          <w:spacing w:val="-4"/>
        </w:rPr>
        <w:t xml:space="preserve"> </w:t>
      </w:r>
      <w:r>
        <w:t>Information</w:t>
      </w:r>
      <w:r>
        <w:rPr>
          <w:spacing w:val="-4"/>
        </w:rPr>
        <w:t xml:space="preserve"> </w:t>
      </w:r>
      <w:r>
        <w:t>Security</w:t>
      </w:r>
      <w:r>
        <w:rPr>
          <w:spacing w:val="-4"/>
        </w:rPr>
        <w:t xml:space="preserve"> </w:t>
      </w:r>
      <w:r>
        <w:t>Modernization</w:t>
      </w:r>
      <w:r>
        <w:rPr>
          <w:spacing w:val="-4"/>
        </w:rPr>
        <w:t xml:space="preserve"> </w:t>
      </w:r>
      <w:r>
        <w:t>Act</w:t>
      </w:r>
      <w:r>
        <w:rPr>
          <w:spacing w:val="-5"/>
        </w:rPr>
        <w:t xml:space="preserve"> </w:t>
      </w:r>
      <w:r>
        <w:t>of</w:t>
      </w:r>
      <w:r>
        <w:rPr>
          <w:spacing w:val="-4"/>
        </w:rPr>
        <w:t xml:space="preserve"> </w:t>
      </w:r>
      <w:r>
        <w:t>2014 (FISMA) reports could indicate that the agency is unable to minimize federal financial management systems’ security risks to an acceptable level. For considerations related to FISMA, see the FISMA subsection in FAM 260.</w:t>
      </w:r>
    </w:p>
    <w:p w14:paraId="0DFDB1F1" w14:textId="77777777" w:rsidR="00046465" w:rsidRDefault="008134EB">
      <w:pPr>
        <w:pStyle w:val="ListParagraph"/>
        <w:numPr>
          <w:ilvl w:val="0"/>
          <w:numId w:val="198"/>
        </w:numPr>
        <w:tabs>
          <w:tab w:val="left" w:pos="1800"/>
        </w:tabs>
        <w:spacing w:before="119"/>
        <w:ind w:left="1800" w:right="787" w:hanging="720"/>
      </w:pPr>
      <w:r>
        <w:t>The auditor should obtain an understanding of management’s process for determining whether the agency’s financial management systems comply substantially with the three FFMIA requirements, including any compliance indicators management used. OMB Circular No. A-123, appendix D, identifies financial</w:t>
      </w:r>
      <w:r>
        <w:rPr>
          <w:spacing w:val="-5"/>
        </w:rPr>
        <w:t xml:space="preserve"> </w:t>
      </w:r>
      <w:r>
        <w:t>statement</w:t>
      </w:r>
      <w:r>
        <w:rPr>
          <w:spacing w:val="-4"/>
        </w:rPr>
        <w:t xml:space="preserve"> </w:t>
      </w:r>
      <w:r>
        <w:t>audit</w:t>
      </w:r>
      <w:r>
        <w:rPr>
          <w:spacing w:val="-4"/>
        </w:rPr>
        <w:t xml:space="preserve"> </w:t>
      </w:r>
      <w:r>
        <w:t>results,</w:t>
      </w:r>
      <w:r>
        <w:rPr>
          <w:spacing w:val="-4"/>
        </w:rPr>
        <w:t xml:space="preserve"> </w:t>
      </w:r>
      <w:r>
        <w:t>as</w:t>
      </w:r>
      <w:r>
        <w:rPr>
          <w:spacing w:val="-4"/>
        </w:rPr>
        <w:t xml:space="preserve"> </w:t>
      </w:r>
      <w:r>
        <w:t>well</w:t>
      </w:r>
      <w:r>
        <w:rPr>
          <w:spacing w:val="-4"/>
        </w:rPr>
        <w:t xml:space="preserve"> </w:t>
      </w:r>
      <w:r>
        <w:t>as</w:t>
      </w:r>
      <w:r>
        <w:rPr>
          <w:spacing w:val="-4"/>
        </w:rPr>
        <w:t xml:space="preserve"> </w:t>
      </w:r>
      <w:r>
        <w:t>risk</w:t>
      </w:r>
      <w:r>
        <w:rPr>
          <w:spacing w:val="-4"/>
        </w:rPr>
        <w:t xml:space="preserve"> </w:t>
      </w:r>
      <w:r>
        <w:t>management</w:t>
      </w:r>
      <w:r>
        <w:rPr>
          <w:spacing w:val="-4"/>
        </w:rPr>
        <w:t xml:space="preserve"> </w:t>
      </w:r>
      <w:r>
        <w:t>and</w:t>
      </w:r>
      <w:r>
        <w:rPr>
          <w:spacing w:val="-4"/>
        </w:rPr>
        <w:t xml:space="preserve"> </w:t>
      </w:r>
      <w:r>
        <w:t>internal</w:t>
      </w:r>
      <w:r>
        <w:rPr>
          <w:spacing w:val="-5"/>
        </w:rPr>
        <w:t xml:space="preserve"> </w:t>
      </w:r>
      <w:r>
        <w:t xml:space="preserve">control reviews performed in connection with OMB Circular No. A-123, appendix A, </w:t>
      </w:r>
      <w:r>
        <w:rPr>
          <w:i/>
        </w:rPr>
        <w:t>Management of Reporting and Data Integrity Risk</w:t>
      </w:r>
      <w:r>
        <w:t>, as compliance indicators.</w:t>
      </w:r>
    </w:p>
    <w:p w14:paraId="0DFDB1F2" w14:textId="77777777" w:rsidR="00046465" w:rsidRDefault="008134EB">
      <w:pPr>
        <w:pStyle w:val="BodyText"/>
        <w:spacing w:before="1"/>
        <w:ind w:left="1800" w:right="749"/>
      </w:pPr>
      <w:r>
        <w:t>However, management may identify other compliance indicators. The auditor should read any management-developed documentation to determine whether the</w:t>
      </w:r>
      <w:r>
        <w:rPr>
          <w:spacing w:val="-5"/>
        </w:rPr>
        <w:t xml:space="preserve"> </w:t>
      </w:r>
      <w:r>
        <w:t>agency’s</w:t>
      </w:r>
      <w:r>
        <w:rPr>
          <w:spacing w:val="-5"/>
        </w:rPr>
        <w:t xml:space="preserve"> </w:t>
      </w:r>
      <w:r>
        <w:t>financial</w:t>
      </w:r>
      <w:r>
        <w:rPr>
          <w:spacing w:val="-5"/>
        </w:rPr>
        <w:t xml:space="preserve"> </w:t>
      </w:r>
      <w:r>
        <w:t>management</w:t>
      </w:r>
      <w:r>
        <w:rPr>
          <w:spacing w:val="-5"/>
        </w:rPr>
        <w:t xml:space="preserve"> </w:t>
      </w:r>
      <w:r>
        <w:t>systems</w:t>
      </w:r>
      <w:r>
        <w:rPr>
          <w:spacing w:val="-5"/>
        </w:rPr>
        <w:t xml:space="preserve"> </w:t>
      </w:r>
      <w:r>
        <w:t>comply</w:t>
      </w:r>
      <w:r>
        <w:rPr>
          <w:spacing w:val="-5"/>
        </w:rPr>
        <w:t xml:space="preserve"> </w:t>
      </w:r>
      <w:r>
        <w:t>substantially</w:t>
      </w:r>
      <w:r>
        <w:rPr>
          <w:spacing w:val="-4"/>
        </w:rPr>
        <w:t xml:space="preserve"> </w:t>
      </w:r>
      <w:r>
        <w:t>with</w:t>
      </w:r>
      <w:r>
        <w:rPr>
          <w:spacing w:val="-5"/>
        </w:rPr>
        <w:t xml:space="preserve"> </w:t>
      </w:r>
      <w:r>
        <w:t>the</w:t>
      </w:r>
      <w:r>
        <w:rPr>
          <w:spacing w:val="-5"/>
        </w:rPr>
        <w:t xml:space="preserve"> </w:t>
      </w:r>
      <w:r>
        <w:t>three FFMIA requirements, including management’s risk-based approach with documented methods.</w:t>
      </w:r>
    </w:p>
    <w:p w14:paraId="0DFDB1F3" w14:textId="77777777" w:rsidR="00046465" w:rsidRDefault="008134EB">
      <w:pPr>
        <w:pStyle w:val="ListParagraph"/>
        <w:numPr>
          <w:ilvl w:val="0"/>
          <w:numId w:val="198"/>
        </w:numPr>
        <w:tabs>
          <w:tab w:val="left" w:pos="1800"/>
        </w:tabs>
        <w:ind w:left="1800" w:right="788" w:hanging="720"/>
      </w:pPr>
      <w:r>
        <w:t>The auditor should perform audit procedures sufficient to determine whether the agency’s financial management systems comply substantially with the three FFMIA requirements. The auditor may use management’s documentation as the basis for tests of compliance with FFMIA. If management is unable to provide documentation, the auditor should ask for the reasons why and how management has determined whether the agency’s financial management systems comply substantially with the three FFMIA requirements. A lack of documentation</w:t>
      </w:r>
      <w:r>
        <w:rPr>
          <w:spacing w:val="-5"/>
        </w:rPr>
        <w:t xml:space="preserve"> </w:t>
      </w:r>
      <w:r>
        <w:t>may</w:t>
      </w:r>
      <w:r>
        <w:rPr>
          <w:spacing w:val="-5"/>
        </w:rPr>
        <w:t xml:space="preserve"> </w:t>
      </w:r>
      <w:r>
        <w:t>indicate</w:t>
      </w:r>
      <w:r>
        <w:rPr>
          <w:spacing w:val="-5"/>
        </w:rPr>
        <w:t xml:space="preserve"> </w:t>
      </w:r>
      <w:r>
        <w:t>that</w:t>
      </w:r>
      <w:r>
        <w:rPr>
          <w:spacing w:val="-5"/>
        </w:rPr>
        <w:t xml:space="preserve"> </w:t>
      </w:r>
      <w:r>
        <w:t>the</w:t>
      </w:r>
      <w:r>
        <w:rPr>
          <w:spacing w:val="-6"/>
        </w:rPr>
        <w:t xml:space="preserve"> </w:t>
      </w:r>
      <w:r>
        <w:t>agency’s</w:t>
      </w:r>
      <w:r>
        <w:rPr>
          <w:spacing w:val="-5"/>
        </w:rPr>
        <w:t xml:space="preserve"> </w:t>
      </w:r>
      <w:r>
        <w:t>financial</w:t>
      </w:r>
      <w:r>
        <w:rPr>
          <w:spacing w:val="-5"/>
        </w:rPr>
        <w:t xml:space="preserve"> </w:t>
      </w:r>
      <w:r>
        <w:t>management</w:t>
      </w:r>
      <w:r>
        <w:rPr>
          <w:spacing w:val="-5"/>
        </w:rPr>
        <w:t xml:space="preserve"> </w:t>
      </w:r>
      <w:r>
        <w:t>systems</w:t>
      </w:r>
      <w:r>
        <w:rPr>
          <w:spacing w:val="-5"/>
        </w:rPr>
        <w:t xml:space="preserve"> </w:t>
      </w:r>
      <w:r>
        <w:t>do not comply substantially with the three FFMIA requirements.</w:t>
      </w:r>
    </w:p>
    <w:p w14:paraId="0DFDB1F4" w14:textId="77777777" w:rsidR="00046465" w:rsidRDefault="008134EB">
      <w:pPr>
        <w:pStyle w:val="ListParagraph"/>
        <w:numPr>
          <w:ilvl w:val="0"/>
          <w:numId w:val="198"/>
        </w:numPr>
        <w:tabs>
          <w:tab w:val="left" w:pos="1800"/>
        </w:tabs>
        <w:ind w:left="1800" w:right="870"/>
      </w:pPr>
      <w:r>
        <w:t>The auditor may limit the scope of work performed to support the FFMIA assessment with respect to those requirements for which there is sufficient evidence that the agency’s financial management systems do not comply substantially</w:t>
      </w:r>
      <w:r>
        <w:rPr>
          <w:spacing w:val="-5"/>
        </w:rPr>
        <w:t xml:space="preserve"> </w:t>
      </w:r>
      <w:r>
        <w:t>with</w:t>
      </w:r>
      <w:r>
        <w:rPr>
          <w:spacing w:val="-4"/>
        </w:rPr>
        <w:t xml:space="preserve"> </w:t>
      </w:r>
      <w:r>
        <w:t>the</w:t>
      </w:r>
      <w:r>
        <w:rPr>
          <w:spacing w:val="-4"/>
        </w:rPr>
        <w:t xml:space="preserve"> </w:t>
      </w:r>
      <w:r>
        <w:t>three</w:t>
      </w:r>
      <w:r>
        <w:rPr>
          <w:spacing w:val="-4"/>
        </w:rPr>
        <w:t xml:space="preserve"> </w:t>
      </w:r>
      <w:r>
        <w:t>FFMIA</w:t>
      </w:r>
      <w:r>
        <w:rPr>
          <w:spacing w:val="-4"/>
        </w:rPr>
        <w:t xml:space="preserve"> </w:t>
      </w:r>
      <w:r>
        <w:t>requirements</w:t>
      </w:r>
      <w:r>
        <w:rPr>
          <w:spacing w:val="-4"/>
        </w:rPr>
        <w:t xml:space="preserve"> </w:t>
      </w:r>
      <w:r>
        <w:t>(e.g.,</w:t>
      </w:r>
      <w:r>
        <w:rPr>
          <w:spacing w:val="-4"/>
        </w:rPr>
        <w:t xml:space="preserve"> </w:t>
      </w:r>
      <w:r>
        <w:t>continuation</w:t>
      </w:r>
      <w:r>
        <w:rPr>
          <w:spacing w:val="-4"/>
        </w:rPr>
        <w:t xml:space="preserve"> </w:t>
      </w:r>
      <w:r>
        <w:t>of</w:t>
      </w:r>
      <w:r>
        <w:rPr>
          <w:spacing w:val="-4"/>
        </w:rPr>
        <w:t xml:space="preserve"> </w:t>
      </w:r>
      <w:r>
        <w:t>previously reported instances of such noncompliance). When limiting the scope of work performed,</w:t>
      </w:r>
      <w:r>
        <w:rPr>
          <w:spacing w:val="-2"/>
        </w:rPr>
        <w:t xml:space="preserve"> </w:t>
      </w:r>
      <w:r>
        <w:t>the</w:t>
      </w:r>
      <w:r>
        <w:rPr>
          <w:spacing w:val="-2"/>
        </w:rPr>
        <w:t xml:space="preserve"> </w:t>
      </w:r>
      <w:r>
        <w:t>auditor</w:t>
      </w:r>
      <w:r>
        <w:rPr>
          <w:spacing w:val="-2"/>
        </w:rPr>
        <w:t xml:space="preserve"> </w:t>
      </w:r>
      <w:r>
        <w:t>may</w:t>
      </w:r>
      <w:r>
        <w:rPr>
          <w:spacing w:val="-2"/>
        </w:rPr>
        <w:t xml:space="preserve"> </w:t>
      </w:r>
      <w:r>
        <w:t>obtain</w:t>
      </w:r>
      <w:r>
        <w:rPr>
          <w:spacing w:val="-2"/>
        </w:rPr>
        <w:t xml:space="preserve"> </w:t>
      </w:r>
      <w:r>
        <w:t>sufficient</w:t>
      </w:r>
      <w:r>
        <w:rPr>
          <w:spacing w:val="-2"/>
        </w:rPr>
        <w:t xml:space="preserve"> </w:t>
      </w:r>
      <w:r>
        <w:t>information</w:t>
      </w:r>
      <w:r>
        <w:rPr>
          <w:spacing w:val="-2"/>
        </w:rPr>
        <w:t xml:space="preserve"> </w:t>
      </w:r>
      <w:r>
        <w:t>to</w:t>
      </w:r>
      <w:r>
        <w:rPr>
          <w:spacing w:val="-2"/>
        </w:rPr>
        <w:t xml:space="preserve"> </w:t>
      </w:r>
      <w:r>
        <w:t>describe</w:t>
      </w:r>
      <w:r>
        <w:rPr>
          <w:spacing w:val="-2"/>
        </w:rPr>
        <w:t xml:space="preserve"> </w:t>
      </w:r>
      <w:r>
        <w:t>instances</w:t>
      </w:r>
      <w:r>
        <w:rPr>
          <w:spacing w:val="-2"/>
        </w:rPr>
        <w:t xml:space="preserve"> </w:t>
      </w:r>
      <w:r>
        <w:t>in which systems do not comply substantially with the three FFMIA requirements and recommend remedial actions, as required by FFMIA, by (1) obtaining an understanding of the design of the financial management systems and related controls, (2) performing control and substantive testing as part of the financial statement audit, and (3) reading management-developed documentation about whether financial management systems comply substantially with the three FFMIA requirements. However, the auditor may determine that additional evidence is needed to convince management that the agency’s financial management systems do not comply substantially with the three FFMIA requirements. In such cases, the auditor generally should perform the testing needed to gather sufficient evidence to demonstrate this.</w:t>
      </w:r>
    </w:p>
    <w:p w14:paraId="0DFDB1F5" w14:textId="77777777" w:rsidR="00046465" w:rsidRDefault="008134EB">
      <w:pPr>
        <w:pStyle w:val="ListParagraph"/>
        <w:numPr>
          <w:ilvl w:val="0"/>
          <w:numId w:val="198"/>
        </w:numPr>
        <w:tabs>
          <w:tab w:val="left" w:pos="1800"/>
        </w:tabs>
        <w:ind w:left="1800" w:hanging="720"/>
      </w:pPr>
      <w:r>
        <w:t>The</w:t>
      </w:r>
      <w:r>
        <w:rPr>
          <w:spacing w:val="-9"/>
        </w:rPr>
        <w:t xml:space="preserve"> </w:t>
      </w:r>
      <w:r>
        <w:t>auditor</w:t>
      </w:r>
      <w:r>
        <w:rPr>
          <w:spacing w:val="-10"/>
        </w:rPr>
        <w:t xml:space="preserve"> </w:t>
      </w:r>
      <w:r>
        <w:t>should</w:t>
      </w:r>
      <w:r>
        <w:rPr>
          <w:spacing w:val="-8"/>
        </w:rPr>
        <w:t xml:space="preserve"> </w:t>
      </w:r>
      <w:r>
        <w:t>document</w:t>
      </w:r>
      <w:r>
        <w:rPr>
          <w:spacing w:val="-9"/>
        </w:rPr>
        <w:t xml:space="preserve"> </w:t>
      </w:r>
      <w:r>
        <w:t>conclusions</w:t>
      </w:r>
      <w:r>
        <w:rPr>
          <w:spacing w:val="-8"/>
        </w:rPr>
        <w:t xml:space="preserve"> </w:t>
      </w:r>
      <w:r>
        <w:t>regarding</w:t>
      </w:r>
      <w:r>
        <w:rPr>
          <w:spacing w:val="-9"/>
        </w:rPr>
        <w:t xml:space="preserve"> </w:t>
      </w:r>
      <w:r>
        <w:rPr>
          <w:spacing w:val="-2"/>
        </w:rPr>
        <w:t>whether</w:t>
      </w:r>
    </w:p>
    <w:p w14:paraId="0DFDB1F6" w14:textId="77777777" w:rsidR="00046465" w:rsidRDefault="008134EB">
      <w:pPr>
        <w:pStyle w:val="ListParagraph"/>
        <w:numPr>
          <w:ilvl w:val="1"/>
          <w:numId w:val="198"/>
        </w:numPr>
        <w:tabs>
          <w:tab w:val="left" w:pos="2160"/>
        </w:tabs>
        <w:ind w:left="2160" w:right="1111"/>
      </w:pPr>
      <w:r>
        <w:t>the</w:t>
      </w:r>
      <w:r>
        <w:rPr>
          <w:spacing w:val="-5"/>
        </w:rPr>
        <w:t xml:space="preserve"> </w:t>
      </w:r>
      <w:r>
        <w:t>agency’s</w:t>
      </w:r>
      <w:r>
        <w:rPr>
          <w:spacing w:val="-5"/>
        </w:rPr>
        <w:t xml:space="preserve"> </w:t>
      </w:r>
      <w:r>
        <w:t>financial</w:t>
      </w:r>
      <w:r>
        <w:rPr>
          <w:spacing w:val="-5"/>
        </w:rPr>
        <w:t xml:space="preserve"> </w:t>
      </w:r>
      <w:r>
        <w:t>management</w:t>
      </w:r>
      <w:r>
        <w:rPr>
          <w:spacing w:val="-5"/>
        </w:rPr>
        <w:t xml:space="preserve"> </w:t>
      </w:r>
      <w:r>
        <w:t>systems</w:t>
      </w:r>
      <w:r>
        <w:rPr>
          <w:spacing w:val="-5"/>
        </w:rPr>
        <w:t xml:space="preserve"> </w:t>
      </w:r>
      <w:r>
        <w:t>comply</w:t>
      </w:r>
      <w:r>
        <w:rPr>
          <w:spacing w:val="-5"/>
        </w:rPr>
        <w:t xml:space="preserve"> </w:t>
      </w:r>
      <w:r>
        <w:t>substantially</w:t>
      </w:r>
      <w:r>
        <w:rPr>
          <w:spacing w:val="-5"/>
        </w:rPr>
        <w:t xml:space="preserve"> </w:t>
      </w:r>
      <w:r>
        <w:t>with</w:t>
      </w:r>
      <w:r>
        <w:rPr>
          <w:spacing w:val="-5"/>
        </w:rPr>
        <w:t xml:space="preserve"> </w:t>
      </w:r>
      <w:r>
        <w:t>the three FFMIA requirements;</w:t>
      </w:r>
    </w:p>
    <w:p w14:paraId="0DFDB1F7" w14:textId="77777777" w:rsidR="00046465" w:rsidRDefault="00046465">
      <w:pPr>
        <w:pStyle w:val="ListParagraph"/>
        <w:sectPr w:rsidR="00046465">
          <w:pgSz w:w="12240" w:h="15840"/>
          <w:pgMar w:top="1340" w:right="720" w:bottom="1020" w:left="1080" w:header="721" w:footer="757" w:gutter="0"/>
          <w:cols w:space="720"/>
        </w:sectPr>
      </w:pPr>
    </w:p>
    <w:p w14:paraId="0DFDB1F8" w14:textId="77777777" w:rsidR="00046465" w:rsidRDefault="008134EB">
      <w:pPr>
        <w:pStyle w:val="ListParagraph"/>
        <w:numPr>
          <w:ilvl w:val="1"/>
          <w:numId w:val="198"/>
        </w:numPr>
        <w:tabs>
          <w:tab w:val="left" w:pos="2159"/>
        </w:tabs>
        <w:spacing w:before="121"/>
        <w:ind w:right="831"/>
      </w:pPr>
      <w:r>
        <w:lastRenderedPageBreak/>
        <w:t>management’s process for determining whether the agency’s financial management systems comply substantially with the three FFMIA requirements</w:t>
      </w:r>
      <w:r>
        <w:rPr>
          <w:spacing w:val="-5"/>
        </w:rPr>
        <w:t xml:space="preserve"> </w:t>
      </w:r>
      <w:r>
        <w:t>is</w:t>
      </w:r>
      <w:r>
        <w:rPr>
          <w:spacing w:val="-5"/>
        </w:rPr>
        <w:t xml:space="preserve"> </w:t>
      </w:r>
      <w:r>
        <w:t>designed,</w:t>
      </w:r>
      <w:r>
        <w:rPr>
          <w:spacing w:val="-5"/>
        </w:rPr>
        <w:t xml:space="preserve"> </w:t>
      </w:r>
      <w:r>
        <w:t>implemented,</w:t>
      </w:r>
      <w:r>
        <w:rPr>
          <w:spacing w:val="-5"/>
        </w:rPr>
        <w:t xml:space="preserve"> </w:t>
      </w:r>
      <w:r>
        <w:t>and</w:t>
      </w:r>
      <w:r>
        <w:rPr>
          <w:spacing w:val="-5"/>
        </w:rPr>
        <w:t xml:space="preserve"> </w:t>
      </w:r>
      <w:r>
        <w:t>operating</w:t>
      </w:r>
      <w:r>
        <w:rPr>
          <w:spacing w:val="-5"/>
        </w:rPr>
        <w:t xml:space="preserve"> </w:t>
      </w:r>
      <w:r>
        <w:t>effectively</w:t>
      </w:r>
      <w:r>
        <w:rPr>
          <w:spacing w:val="-5"/>
        </w:rPr>
        <w:t xml:space="preserve"> </w:t>
      </w:r>
      <w:r>
        <w:t>to</w:t>
      </w:r>
      <w:r>
        <w:rPr>
          <w:spacing w:val="-5"/>
        </w:rPr>
        <w:t xml:space="preserve"> </w:t>
      </w:r>
      <w:r>
        <w:t>produce sufficient evidence for management’s conclusions; and</w:t>
      </w:r>
    </w:p>
    <w:p w14:paraId="0DFDB1F9" w14:textId="77777777" w:rsidR="00046465" w:rsidRDefault="008134EB">
      <w:pPr>
        <w:pStyle w:val="ListParagraph"/>
        <w:numPr>
          <w:ilvl w:val="1"/>
          <w:numId w:val="198"/>
        </w:numPr>
        <w:tabs>
          <w:tab w:val="left" w:pos="2159"/>
        </w:tabs>
        <w:ind w:hanging="359"/>
      </w:pPr>
      <w:r>
        <w:t>management’s</w:t>
      </w:r>
      <w:r>
        <w:rPr>
          <w:spacing w:val="-11"/>
        </w:rPr>
        <w:t xml:space="preserve"> </w:t>
      </w:r>
      <w:r>
        <w:t>conclusions</w:t>
      </w:r>
      <w:r>
        <w:rPr>
          <w:spacing w:val="-11"/>
        </w:rPr>
        <w:t xml:space="preserve"> </w:t>
      </w:r>
      <w:r>
        <w:t>are</w:t>
      </w:r>
      <w:r>
        <w:rPr>
          <w:spacing w:val="-11"/>
        </w:rPr>
        <w:t xml:space="preserve"> </w:t>
      </w:r>
      <w:r>
        <w:t>adequately</w:t>
      </w:r>
      <w:r>
        <w:rPr>
          <w:spacing w:val="-11"/>
        </w:rPr>
        <w:t xml:space="preserve"> </w:t>
      </w:r>
      <w:r>
        <w:rPr>
          <w:spacing w:val="-2"/>
        </w:rPr>
        <w:t>supported.</w:t>
      </w:r>
    </w:p>
    <w:p w14:paraId="0DFDB1FA" w14:textId="77777777" w:rsidR="00046465" w:rsidRDefault="008134EB">
      <w:pPr>
        <w:pStyle w:val="ListParagraph"/>
        <w:numPr>
          <w:ilvl w:val="0"/>
          <w:numId w:val="198"/>
        </w:numPr>
        <w:tabs>
          <w:tab w:val="left" w:pos="1800"/>
        </w:tabs>
        <w:ind w:left="1800" w:right="1217"/>
      </w:pPr>
      <w:r>
        <w:t>If</w:t>
      </w:r>
      <w:r>
        <w:rPr>
          <w:spacing w:val="-4"/>
        </w:rPr>
        <w:t xml:space="preserve"> </w:t>
      </w:r>
      <w:r>
        <w:t>one</w:t>
      </w:r>
      <w:r>
        <w:rPr>
          <w:spacing w:val="-4"/>
        </w:rPr>
        <w:t xml:space="preserve"> </w:t>
      </w:r>
      <w:r>
        <w:t>or</w:t>
      </w:r>
      <w:r>
        <w:rPr>
          <w:spacing w:val="-4"/>
        </w:rPr>
        <w:t xml:space="preserve"> </w:t>
      </w:r>
      <w:r>
        <w:t>more</w:t>
      </w:r>
      <w:r>
        <w:rPr>
          <w:spacing w:val="-4"/>
        </w:rPr>
        <w:t xml:space="preserve"> </w:t>
      </w:r>
      <w:r>
        <w:t>of</w:t>
      </w:r>
      <w:r>
        <w:rPr>
          <w:spacing w:val="-4"/>
        </w:rPr>
        <w:t xml:space="preserve"> </w:t>
      </w:r>
      <w:r>
        <w:t>the</w:t>
      </w:r>
      <w:r>
        <w:rPr>
          <w:spacing w:val="-4"/>
        </w:rPr>
        <w:t xml:space="preserve"> </w:t>
      </w:r>
      <w:r>
        <w:t>agency’s</w:t>
      </w:r>
      <w:r>
        <w:rPr>
          <w:spacing w:val="-4"/>
        </w:rPr>
        <w:t xml:space="preserve"> </w:t>
      </w:r>
      <w:r>
        <w:t>financial</w:t>
      </w:r>
      <w:r>
        <w:rPr>
          <w:spacing w:val="-4"/>
        </w:rPr>
        <w:t xml:space="preserve"> </w:t>
      </w:r>
      <w:r>
        <w:t>management</w:t>
      </w:r>
      <w:r>
        <w:rPr>
          <w:spacing w:val="-4"/>
        </w:rPr>
        <w:t xml:space="preserve"> </w:t>
      </w:r>
      <w:r>
        <w:t>systems</w:t>
      </w:r>
      <w:r>
        <w:rPr>
          <w:spacing w:val="-4"/>
        </w:rPr>
        <w:t xml:space="preserve"> </w:t>
      </w:r>
      <w:r>
        <w:t>do</w:t>
      </w:r>
      <w:r>
        <w:rPr>
          <w:spacing w:val="-4"/>
        </w:rPr>
        <w:t xml:space="preserve"> </w:t>
      </w:r>
      <w:r>
        <w:t>not</w:t>
      </w:r>
      <w:r>
        <w:rPr>
          <w:spacing w:val="-4"/>
        </w:rPr>
        <w:t xml:space="preserve"> </w:t>
      </w:r>
      <w:r>
        <w:t>comply substantially with one or more of the three FFMIA requirements, the auditor should prepare the FFMIA section of the audit report to include all required elements. See FAM 701.13 through .14 and FAM 580.87 through .91.</w:t>
      </w:r>
    </w:p>
    <w:p w14:paraId="0DFDB1FB" w14:textId="77777777" w:rsidR="00046465" w:rsidRDefault="00046465">
      <w:pPr>
        <w:pStyle w:val="ListParagraph"/>
        <w:sectPr w:rsidR="00046465">
          <w:pgSz w:w="12240" w:h="15840"/>
          <w:pgMar w:top="1340" w:right="720" w:bottom="940" w:left="1080" w:header="721" w:footer="757" w:gutter="0"/>
          <w:cols w:space="720"/>
        </w:sectPr>
      </w:pPr>
    </w:p>
    <w:p w14:paraId="0DFDB1FC" w14:textId="77777777" w:rsidR="00046465" w:rsidRDefault="008134EB">
      <w:pPr>
        <w:pStyle w:val="Heading3"/>
        <w:spacing w:before="240"/>
        <w:ind w:right="749"/>
        <w:rPr>
          <w:u w:val="none"/>
        </w:rPr>
      </w:pPr>
      <w:bookmarkStart w:id="136" w:name="701_A_–_Example_Audit_Plan_for_Assessing"/>
      <w:bookmarkStart w:id="137" w:name="_bookmark51"/>
      <w:bookmarkEnd w:id="136"/>
      <w:bookmarkEnd w:id="137"/>
      <w:r>
        <w:lastRenderedPageBreak/>
        <w:t>701</w:t>
      </w:r>
      <w:r>
        <w:rPr>
          <w:spacing w:val="-17"/>
        </w:rPr>
        <w:t xml:space="preserve"> </w:t>
      </w:r>
      <w:r>
        <w:t>A</w:t>
      </w:r>
      <w:r>
        <w:rPr>
          <w:spacing w:val="-16"/>
        </w:rPr>
        <w:t xml:space="preserve"> </w:t>
      </w:r>
      <w:r>
        <w:t>–</w:t>
      </w:r>
      <w:r>
        <w:rPr>
          <w:spacing w:val="-5"/>
        </w:rPr>
        <w:t xml:space="preserve"> </w:t>
      </w:r>
      <w:r>
        <w:t>Example</w:t>
      </w:r>
      <w:r>
        <w:rPr>
          <w:spacing w:val="-17"/>
        </w:rPr>
        <w:t xml:space="preserve"> </w:t>
      </w:r>
      <w:r>
        <w:t>Audit</w:t>
      </w:r>
      <w:r>
        <w:rPr>
          <w:spacing w:val="-6"/>
        </w:rPr>
        <w:t xml:space="preserve"> </w:t>
      </w:r>
      <w:r>
        <w:t>Plan</w:t>
      </w:r>
      <w:r>
        <w:rPr>
          <w:spacing w:val="-6"/>
        </w:rPr>
        <w:t xml:space="preserve"> </w:t>
      </w:r>
      <w:r>
        <w:t>for</w:t>
      </w:r>
      <w:r>
        <w:rPr>
          <w:spacing w:val="-16"/>
        </w:rPr>
        <w:t xml:space="preserve"> </w:t>
      </w:r>
      <w:r>
        <w:t>Assessing</w:t>
      </w:r>
      <w:r>
        <w:rPr>
          <w:spacing w:val="-5"/>
        </w:rPr>
        <w:t xml:space="preserve"> </w:t>
      </w:r>
      <w:r>
        <w:t>Financial</w:t>
      </w:r>
      <w:r>
        <w:rPr>
          <w:u w:val="none"/>
        </w:rPr>
        <w:t xml:space="preserve"> </w:t>
      </w:r>
      <w:r>
        <w:t>Management Systems’ Compliance under FFMIA</w:t>
      </w:r>
    </w:p>
    <w:p w14:paraId="0DFDB1FD" w14:textId="77777777" w:rsidR="00046465" w:rsidRDefault="008134EB">
      <w:pPr>
        <w:pStyle w:val="BodyText"/>
        <w:tabs>
          <w:tab w:val="left" w:pos="9685"/>
        </w:tabs>
        <w:spacing w:before="241" w:line="352" w:lineRule="auto"/>
        <w:ind w:left="359" w:right="752"/>
        <w:jc w:val="both"/>
      </w:pPr>
      <w:r>
        <w:t>Agency</w:t>
      </w:r>
      <w:r>
        <w:rPr>
          <w:spacing w:val="90"/>
        </w:rPr>
        <w:t xml:space="preserve"> </w:t>
      </w:r>
      <w:r>
        <w:rPr>
          <w:u w:val="single"/>
        </w:rPr>
        <w:tab/>
      </w:r>
      <w:r>
        <w:t xml:space="preserve"> Date of review</w:t>
      </w:r>
      <w:r>
        <w:rPr>
          <w:spacing w:val="31"/>
        </w:rPr>
        <w:t xml:space="preserve"> </w:t>
      </w:r>
      <w:r>
        <w:rPr>
          <w:u w:val="single"/>
        </w:rPr>
        <w:tab/>
      </w:r>
      <w:r>
        <w:t xml:space="preserve"> Job code</w:t>
      </w:r>
      <w:r>
        <w:rPr>
          <w:spacing w:val="53"/>
        </w:rPr>
        <w:t xml:space="preserve"> </w:t>
      </w:r>
      <w:r>
        <w:rPr>
          <w:u w:val="single"/>
        </w:rPr>
        <w:tab/>
      </w:r>
    </w:p>
    <w:p w14:paraId="0DFDB1FE" w14:textId="77777777" w:rsidR="00046465" w:rsidRDefault="008134EB">
      <w:pPr>
        <w:pStyle w:val="BodyText"/>
        <w:spacing w:before="2"/>
        <w:ind w:left="360" w:right="749" w:hanging="1"/>
      </w:pPr>
      <w:r>
        <w:t>Objective: Section 803(a) of the Federal Financial Management Improvement Act of 1996 (FFMIA)</w:t>
      </w:r>
      <w:r>
        <w:rPr>
          <w:spacing w:val="-3"/>
        </w:rPr>
        <w:t xml:space="preserve"> </w:t>
      </w:r>
      <w:r>
        <w:t>requires</w:t>
      </w:r>
      <w:r>
        <w:rPr>
          <w:spacing w:val="-3"/>
        </w:rPr>
        <w:t xml:space="preserve"> </w:t>
      </w:r>
      <w:r>
        <w:t>the</w:t>
      </w:r>
      <w:r>
        <w:rPr>
          <w:spacing w:val="-3"/>
        </w:rPr>
        <w:t xml:space="preserve"> </w:t>
      </w:r>
      <w:r>
        <w:t>24</w:t>
      </w:r>
      <w:r>
        <w:rPr>
          <w:spacing w:val="-4"/>
        </w:rPr>
        <w:t xml:space="preserve"> </w:t>
      </w:r>
      <w:r>
        <w:t>agencies</w:t>
      </w:r>
      <w:r>
        <w:rPr>
          <w:spacing w:val="-4"/>
        </w:rPr>
        <w:t xml:space="preserve"> </w:t>
      </w:r>
      <w:r>
        <w:t>covered</w:t>
      </w:r>
      <w:r>
        <w:rPr>
          <w:spacing w:val="-3"/>
        </w:rPr>
        <w:t xml:space="preserve"> </w:t>
      </w:r>
      <w:r>
        <w:t>by</w:t>
      </w:r>
      <w:r>
        <w:rPr>
          <w:spacing w:val="-3"/>
        </w:rPr>
        <w:t xml:space="preserve"> </w:t>
      </w:r>
      <w:r>
        <w:t>the</w:t>
      </w:r>
      <w:r>
        <w:rPr>
          <w:spacing w:val="-4"/>
        </w:rPr>
        <w:t xml:space="preserve"> </w:t>
      </w:r>
      <w:r>
        <w:t>Chief</w:t>
      </w:r>
      <w:r>
        <w:rPr>
          <w:spacing w:val="-3"/>
        </w:rPr>
        <w:t xml:space="preserve"> </w:t>
      </w:r>
      <w:r>
        <w:t>Financial</w:t>
      </w:r>
      <w:r>
        <w:rPr>
          <w:spacing w:val="-3"/>
        </w:rPr>
        <w:t xml:space="preserve"> </w:t>
      </w:r>
      <w:r>
        <w:t>Officers</w:t>
      </w:r>
      <w:r>
        <w:rPr>
          <w:spacing w:val="-4"/>
        </w:rPr>
        <w:t xml:space="preserve"> </w:t>
      </w:r>
      <w:r>
        <w:t>Act</w:t>
      </w:r>
      <w:r>
        <w:rPr>
          <w:spacing w:val="-3"/>
        </w:rPr>
        <w:t xml:space="preserve"> </w:t>
      </w:r>
      <w:r>
        <w:t>of</w:t>
      </w:r>
      <w:r>
        <w:rPr>
          <w:spacing w:val="-3"/>
        </w:rPr>
        <w:t xml:space="preserve"> </w:t>
      </w:r>
      <w:r>
        <w:t>1990</w:t>
      </w:r>
      <w:r>
        <w:rPr>
          <w:spacing w:val="-4"/>
        </w:rPr>
        <w:t xml:space="preserve"> </w:t>
      </w:r>
      <w:r>
        <w:t>(CFO</w:t>
      </w:r>
      <w:r>
        <w:rPr>
          <w:spacing w:val="-4"/>
        </w:rPr>
        <w:t xml:space="preserve"> </w:t>
      </w:r>
      <w:r>
        <w:t xml:space="preserve">Act) to implement and maintain financial management systems that comply substantially with (1) federal financial management systems requirements, (2) applicable federal accounting standards, and (3) the </w:t>
      </w:r>
      <w:r>
        <w:rPr>
          <w:i/>
        </w:rPr>
        <w:t xml:space="preserve">U.S. Standard General Ledger </w:t>
      </w:r>
      <w:r>
        <w:t>(USSGL) at the transaction level (i.e., the three FFMIA requirements).</w:t>
      </w:r>
    </w:p>
    <w:p w14:paraId="0DFDB1FF" w14:textId="77777777" w:rsidR="00046465" w:rsidRDefault="008134EB">
      <w:pPr>
        <w:pStyle w:val="BodyText"/>
        <w:spacing w:before="120"/>
        <w:ind w:left="360" w:right="749"/>
      </w:pPr>
      <w:r>
        <w:t>The</w:t>
      </w:r>
      <w:r>
        <w:rPr>
          <w:spacing w:val="-3"/>
        </w:rPr>
        <w:t xml:space="preserve"> </w:t>
      </w:r>
      <w:r>
        <w:t>objective</w:t>
      </w:r>
      <w:r>
        <w:rPr>
          <w:spacing w:val="-3"/>
        </w:rPr>
        <w:t xml:space="preserve"> </w:t>
      </w:r>
      <w:r>
        <w:t>of</w:t>
      </w:r>
      <w:r>
        <w:rPr>
          <w:spacing w:val="-3"/>
        </w:rPr>
        <w:t xml:space="preserve"> </w:t>
      </w:r>
      <w:r>
        <w:t>these</w:t>
      </w:r>
      <w:r>
        <w:rPr>
          <w:spacing w:val="-3"/>
        </w:rPr>
        <w:t xml:space="preserve"> </w:t>
      </w:r>
      <w:r>
        <w:t>audit</w:t>
      </w:r>
      <w:r>
        <w:rPr>
          <w:spacing w:val="-3"/>
        </w:rPr>
        <w:t xml:space="preserve"> </w:t>
      </w:r>
      <w:r>
        <w:t>procedures</w:t>
      </w:r>
      <w:r>
        <w:rPr>
          <w:spacing w:val="-3"/>
        </w:rPr>
        <w:t xml:space="preserve"> </w:t>
      </w:r>
      <w:r>
        <w:t>is</w:t>
      </w:r>
      <w:r>
        <w:rPr>
          <w:spacing w:val="-3"/>
        </w:rPr>
        <w:t xml:space="preserve"> </w:t>
      </w:r>
      <w:r>
        <w:t>to</w:t>
      </w:r>
      <w:r>
        <w:rPr>
          <w:spacing w:val="-3"/>
        </w:rPr>
        <w:t xml:space="preserve"> </w:t>
      </w:r>
      <w:r>
        <w:t>assist</w:t>
      </w:r>
      <w:r>
        <w:rPr>
          <w:spacing w:val="-3"/>
        </w:rPr>
        <w:t xml:space="preserve"> </w:t>
      </w:r>
      <w:r>
        <w:t>the</w:t>
      </w:r>
      <w:r>
        <w:rPr>
          <w:spacing w:val="-3"/>
        </w:rPr>
        <w:t xml:space="preserve"> </w:t>
      </w:r>
      <w:r>
        <w:t>auditor</w:t>
      </w:r>
      <w:r>
        <w:rPr>
          <w:spacing w:val="-3"/>
        </w:rPr>
        <w:t xml:space="preserve"> </w:t>
      </w:r>
      <w:r>
        <w:t>in</w:t>
      </w:r>
      <w:r>
        <w:rPr>
          <w:spacing w:val="-3"/>
        </w:rPr>
        <w:t xml:space="preserve"> </w:t>
      </w:r>
      <w:r>
        <w:t>(1)</w:t>
      </w:r>
      <w:r>
        <w:rPr>
          <w:spacing w:val="-3"/>
        </w:rPr>
        <w:t xml:space="preserve"> </w:t>
      </w:r>
      <w:r>
        <w:t>assessing</w:t>
      </w:r>
      <w:r>
        <w:rPr>
          <w:spacing w:val="-3"/>
        </w:rPr>
        <w:t xml:space="preserve"> </w:t>
      </w:r>
      <w:r>
        <w:t>whether</w:t>
      </w:r>
      <w:r>
        <w:rPr>
          <w:spacing w:val="-3"/>
        </w:rPr>
        <w:t xml:space="preserve"> </w:t>
      </w:r>
      <w:r>
        <w:t>a</w:t>
      </w:r>
      <w:r>
        <w:rPr>
          <w:spacing w:val="-3"/>
        </w:rPr>
        <w:t xml:space="preserve"> </w:t>
      </w:r>
      <w:r>
        <w:t xml:space="preserve">CFO Act agency’s financial management systems comply substantially with the three FFMIA requirements and (2) satisfying the auditor’s reporting requirements under FFMIA Section </w:t>
      </w:r>
      <w:r>
        <w:rPr>
          <w:spacing w:val="-2"/>
        </w:rPr>
        <w:t>803(b).</w:t>
      </w:r>
    </w:p>
    <w:p w14:paraId="0DFDB200" w14:textId="77777777" w:rsidR="00046465" w:rsidRDefault="00046465">
      <w:pPr>
        <w:pStyle w:val="BodyText"/>
        <w:spacing w:before="4"/>
        <w:rPr>
          <w:sz w:val="11"/>
        </w:rPr>
      </w:pPr>
    </w:p>
    <w:tbl>
      <w:tblPr>
        <w:tblW w:w="0" w:type="auto"/>
        <w:tblInd w:w="37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060"/>
        <w:gridCol w:w="1170"/>
        <w:gridCol w:w="1249"/>
      </w:tblGrid>
      <w:tr w:rsidR="00046465" w14:paraId="0DFDB206" w14:textId="77777777">
        <w:trPr>
          <w:trHeight w:val="745"/>
        </w:trPr>
        <w:tc>
          <w:tcPr>
            <w:tcW w:w="7060" w:type="dxa"/>
            <w:tcBorders>
              <w:right w:val="single" w:sz="4" w:space="0" w:color="000000"/>
            </w:tcBorders>
          </w:tcPr>
          <w:p w14:paraId="0DFDB201" w14:textId="77777777" w:rsidR="00046465" w:rsidRDefault="00046465">
            <w:pPr>
              <w:pStyle w:val="TableParagraph"/>
              <w:spacing w:before="119"/>
            </w:pPr>
          </w:p>
          <w:p w14:paraId="0DFDB202" w14:textId="77777777" w:rsidR="00046465" w:rsidRDefault="008134EB">
            <w:pPr>
              <w:pStyle w:val="TableParagraph"/>
              <w:ind w:left="98"/>
              <w:rPr>
                <w:b/>
              </w:rPr>
            </w:pPr>
            <w:r>
              <w:rPr>
                <w:b/>
                <w:spacing w:val="-2"/>
              </w:rPr>
              <w:t>Procedure</w:t>
            </w:r>
          </w:p>
        </w:tc>
        <w:tc>
          <w:tcPr>
            <w:tcW w:w="1170" w:type="dxa"/>
            <w:tcBorders>
              <w:left w:val="single" w:sz="4" w:space="0" w:color="000000"/>
              <w:right w:val="single" w:sz="4" w:space="0" w:color="000000"/>
            </w:tcBorders>
          </w:tcPr>
          <w:p w14:paraId="0DFDB203" w14:textId="77777777" w:rsidR="00046465" w:rsidRDefault="008134EB">
            <w:pPr>
              <w:pStyle w:val="TableParagraph"/>
              <w:spacing w:before="119"/>
              <w:ind w:left="107" w:right="144"/>
              <w:rPr>
                <w:b/>
              </w:rPr>
            </w:pPr>
            <w:r>
              <w:rPr>
                <w:b/>
                <w:spacing w:val="-2"/>
              </w:rPr>
              <w:t xml:space="preserve">Initials/ </w:t>
            </w:r>
            <w:r>
              <w:rPr>
                <w:b/>
                <w:spacing w:val="-4"/>
              </w:rPr>
              <w:t>date</w:t>
            </w:r>
          </w:p>
        </w:tc>
        <w:tc>
          <w:tcPr>
            <w:tcW w:w="1249" w:type="dxa"/>
            <w:tcBorders>
              <w:left w:val="single" w:sz="4" w:space="0" w:color="000000"/>
            </w:tcBorders>
          </w:tcPr>
          <w:p w14:paraId="0DFDB204" w14:textId="77777777" w:rsidR="00046465" w:rsidRDefault="00046465">
            <w:pPr>
              <w:pStyle w:val="TableParagraph"/>
              <w:spacing w:before="119"/>
            </w:pPr>
          </w:p>
          <w:p w14:paraId="0DFDB205" w14:textId="77777777" w:rsidR="00046465" w:rsidRDefault="008134EB">
            <w:pPr>
              <w:pStyle w:val="TableParagraph"/>
              <w:ind w:left="107"/>
              <w:rPr>
                <w:b/>
              </w:rPr>
            </w:pPr>
            <w:r>
              <w:rPr>
                <w:b/>
              </w:rPr>
              <w:t>Doc.</w:t>
            </w:r>
            <w:r>
              <w:rPr>
                <w:b/>
                <w:spacing w:val="-6"/>
              </w:rPr>
              <w:t xml:space="preserve"> </w:t>
            </w:r>
            <w:r>
              <w:rPr>
                <w:b/>
                <w:spacing w:val="-4"/>
              </w:rPr>
              <w:t>ref.</w:t>
            </w:r>
          </w:p>
        </w:tc>
      </w:tr>
      <w:tr w:rsidR="00046465" w14:paraId="0DFDB20A" w14:textId="77777777">
        <w:trPr>
          <w:trHeight w:val="516"/>
        </w:trPr>
        <w:tc>
          <w:tcPr>
            <w:tcW w:w="7060" w:type="dxa"/>
            <w:tcBorders>
              <w:bottom w:val="single" w:sz="4" w:space="0" w:color="000000"/>
              <w:right w:val="single" w:sz="4" w:space="0" w:color="000000"/>
            </w:tcBorders>
            <w:shd w:val="clear" w:color="auto" w:fill="D9D9D9"/>
          </w:tcPr>
          <w:p w14:paraId="0DFDB207" w14:textId="77777777" w:rsidR="00046465" w:rsidRDefault="008134EB">
            <w:pPr>
              <w:pStyle w:val="TableParagraph"/>
              <w:tabs>
                <w:tab w:val="left" w:pos="509"/>
              </w:tabs>
              <w:spacing w:before="120"/>
              <w:ind w:left="117"/>
              <w:rPr>
                <w:b/>
              </w:rPr>
            </w:pPr>
            <w:r>
              <w:rPr>
                <w:b/>
                <w:spacing w:val="-5"/>
              </w:rPr>
              <w:t>I.</w:t>
            </w:r>
            <w:r>
              <w:rPr>
                <w:b/>
              </w:rPr>
              <w:tab/>
            </w:r>
            <w:r>
              <w:rPr>
                <w:b/>
                <w:spacing w:val="-2"/>
              </w:rPr>
              <w:t>Planning</w:t>
            </w:r>
          </w:p>
        </w:tc>
        <w:tc>
          <w:tcPr>
            <w:tcW w:w="1170" w:type="dxa"/>
            <w:tcBorders>
              <w:left w:val="single" w:sz="4" w:space="0" w:color="000000"/>
              <w:bottom w:val="single" w:sz="4" w:space="0" w:color="000000"/>
              <w:right w:val="single" w:sz="4" w:space="0" w:color="000000"/>
            </w:tcBorders>
            <w:shd w:val="clear" w:color="auto" w:fill="D9D9D9"/>
          </w:tcPr>
          <w:p w14:paraId="0DFDB208" w14:textId="77777777" w:rsidR="00046465" w:rsidRDefault="00046465">
            <w:pPr>
              <w:pStyle w:val="TableParagraph"/>
              <w:rPr>
                <w:rFonts w:ascii="Times New Roman"/>
              </w:rPr>
            </w:pPr>
          </w:p>
        </w:tc>
        <w:tc>
          <w:tcPr>
            <w:tcW w:w="1249" w:type="dxa"/>
            <w:tcBorders>
              <w:left w:val="single" w:sz="4" w:space="0" w:color="000000"/>
              <w:bottom w:val="single" w:sz="4" w:space="0" w:color="000000"/>
            </w:tcBorders>
            <w:shd w:val="clear" w:color="auto" w:fill="D9D9D9"/>
          </w:tcPr>
          <w:p w14:paraId="0DFDB209" w14:textId="77777777" w:rsidR="00046465" w:rsidRDefault="00046465">
            <w:pPr>
              <w:pStyle w:val="TableParagraph"/>
              <w:rPr>
                <w:rFonts w:ascii="Times New Roman"/>
              </w:rPr>
            </w:pPr>
          </w:p>
        </w:tc>
      </w:tr>
      <w:tr w:rsidR="00046465" w14:paraId="0DFDB20E" w14:textId="77777777">
        <w:trPr>
          <w:trHeight w:val="3155"/>
        </w:trPr>
        <w:tc>
          <w:tcPr>
            <w:tcW w:w="7060" w:type="dxa"/>
            <w:tcBorders>
              <w:top w:val="single" w:sz="4" w:space="0" w:color="000000"/>
              <w:bottom w:val="single" w:sz="4" w:space="0" w:color="000000"/>
              <w:right w:val="single" w:sz="4" w:space="0" w:color="000000"/>
            </w:tcBorders>
          </w:tcPr>
          <w:p w14:paraId="0DFDB20B" w14:textId="77777777" w:rsidR="00046465" w:rsidRDefault="008134EB">
            <w:pPr>
              <w:pStyle w:val="TableParagraph"/>
              <w:spacing w:before="60"/>
              <w:ind w:left="983" w:right="181" w:hanging="360"/>
            </w:pPr>
            <w:r>
              <w:t>A.</w:t>
            </w:r>
            <w:r>
              <w:rPr>
                <w:spacing w:val="80"/>
              </w:rPr>
              <w:t xml:space="preserve"> </w:t>
            </w:r>
            <w:r>
              <w:t>Inspect relevant documentation to obtain an understanding of the agency’s financial management systems, as well as any instances in which the systems do not comply substantially with the three FFMIA requirements or internal control</w:t>
            </w:r>
            <w:r>
              <w:rPr>
                <w:spacing w:val="-3"/>
              </w:rPr>
              <w:t xml:space="preserve"> </w:t>
            </w:r>
            <w:r>
              <w:t>weaknesses</w:t>
            </w:r>
            <w:r>
              <w:rPr>
                <w:spacing w:val="-4"/>
              </w:rPr>
              <w:t xml:space="preserve"> </w:t>
            </w:r>
            <w:r>
              <w:t>identified</w:t>
            </w:r>
            <w:r>
              <w:rPr>
                <w:spacing w:val="-3"/>
              </w:rPr>
              <w:t xml:space="preserve"> </w:t>
            </w:r>
            <w:r>
              <w:t>in</w:t>
            </w:r>
            <w:r>
              <w:rPr>
                <w:spacing w:val="-3"/>
              </w:rPr>
              <w:t xml:space="preserve"> </w:t>
            </w:r>
            <w:r>
              <w:t>the</w:t>
            </w:r>
            <w:r>
              <w:rPr>
                <w:spacing w:val="-4"/>
              </w:rPr>
              <w:t xml:space="preserve"> </w:t>
            </w:r>
            <w:r>
              <w:t>prior</w:t>
            </w:r>
            <w:r>
              <w:rPr>
                <w:spacing w:val="-3"/>
              </w:rPr>
              <w:t xml:space="preserve"> </w:t>
            </w:r>
            <w:r>
              <w:t>year.</w:t>
            </w:r>
            <w:r>
              <w:rPr>
                <w:spacing w:val="-4"/>
              </w:rPr>
              <w:t xml:space="preserve"> </w:t>
            </w:r>
            <w:r>
              <w:t>FAM</w:t>
            </w:r>
            <w:r>
              <w:rPr>
                <w:spacing w:val="-4"/>
              </w:rPr>
              <w:t xml:space="preserve"> </w:t>
            </w:r>
            <w:r>
              <w:t>220.18 identifies</w:t>
            </w:r>
            <w:r>
              <w:rPr>
                <w:spacing w:val="-6"/>
              </w:rPr>
              <w:t xml:space="preserve"> </w:t>
            </w:r>
            <w:r>
              <w:t>sources</w:t>
            </w:r>
            <w:r>
              <w:rPr>
                <w:spacing w:val="-5"/>
              </w:rPr>
              <w:t xml:space="preserve"> </w:t>
            </w:r>
            <w:r>
              <w:t>of</w:t>
            </w:r>
            <w:r>
              <w:rPr>
                <w:spacing w:val="-5"/>
              </w:rPr>
              <w:t xml:space="preserve"> </w:t>
            </w:r>
            <w:r>
              <w:t>information</w:t>
            </w:r>
            <w:r>
              <w:rPr>
                <w:spacing w:val="-5"/>
              </w:rPr>
              <w:t xml:space="preserve"> </w:t>
            </w:r>
            <w:r>
              <w:t>from</w:t>
            </w:r>
            <w:r>
              <w:rPr>
                <w:spacing w:val="-6"/>
              </w:rPr>
              <w:t xml:space="preserve"> </w:t>
            </w:r>
            <w:r>
              <w:t>which</w:t>
            </w:r>
            <w:r>
              <w:rPr>
                <w:spacing w:val="-5"/>
              </w:rPr>
              <w:t xml:space="preserve"> </w:t>
            </w:r>
            <w:r>
              <w:t>the</w:t>
            </w:r>
            <w:r>
              <w:rPr>
                <w:spacing w:val="-5"/>
              </w:rPr>
              <w:t xml:space="preserve"> </w:t>
            </w:r>
            <w:r>
              <w:t>auditor</w:t>
            </w:r>
            <w:r>
              <w:rPr>
                <w:spacing w:val="-5"/>
              </w:rPr>
              <w:t xml:space="preserve"> </w:t>
            </w:r>
            <w:r>
              <w:t>may obtain</w:t>
            </w:r>
            <w:r>
              <w:rPr>
                <w:spacing w:val="-4"/>
              </w:rPr>
              <w:t xml:space="preserve"> </w:t>
            </w:r>
            <w:r>
              <w:t>information</w:t>
            </w:r>
            <w:r>
              <w:rPr>
                <w:spacing w:val="-4"/>
              </w:rPr>
              <w:t xml:space="preserve"> </w:t>
            </w:r>
            <w:r>
              <w:t>about</w:t>
            </w:r>
            <w:r>
              <w:rPr>
                <w:spacing w:val="-4"/>
              </w:rPr>
              <w:t xml:space="preserve"> </w:t>
            </w:r>
            <w:r>
              <w:t>the</w:t>
            </w:r>
            <w:r>
              <w:rPr>
                <w:spacing w:val="-4"/>
              </w:rPr>
              <w:t xml:space="preserve"> </w:t>
            </w:r>
            <w:r>
              <w:t>agency,</w:t>
            </w:r>
            <w:r>
              <w:rPr>
                <w:spacing w:val="-4"/>
              </w:rPr>
              <w:t xml:space="preserve"> </w:t>
            </w:r>
            <w:r>
              <w:t>including</w:t>
            </w:r>
            <w:r>
              <w:rPr>
                <w:spacing w:val="-5"/>
              </w:rPr>
              <w:t xml:space="preserve"> </w:t>
            </w:r>
            <w:r>
              <w:t>the</w:t>
            </w:r>
            <w:r>
              <w:rPr>
                <w:spacing w:val="-4"/>
              </w:rPr>
              <w:t xml:space="preserve"> </w:t>
            </w:r>
            <w:r>
              <w:t>agency’s prior annual report (performance and accountability report, agency financial report, or annual management report); management</w:t>
            </w:r>
            <w:r>
              <w:rPr>
                <w:spacing w:val="-6"/>
              </w:rPr>
              <w:t xml:space="preserve"> </w:t>
            </w:r>
            <w:r>
              <w:t>or</w:t>
            </w:r>
            <w:r>
              <w:rPr>
                <w:spacing w:val="-6"/>
              </w:rPr>
              <w:t xml:space="preserve"> </w:t>
            </w:r>
            <w:r>
              <w:t>auditor</w:t>
            </w:r>
            <w:r>
              <w:rPr>
                <w:spacing w:val="-6"/>
              </w:rPr>
              <w:t xml:space="preserve"> </w:t>
            </w:r>
            <w:r>
              <w:t>reports</w:t>
            </w:r>
            <w:r>
              <w:rPr>
                <w:spacing w:val="-6"/>
              </w:rPr>
              <w:t xml:space="preserve"> </w:t>
            </w:r>
            <w:r>
              <w:t>on</w:t>
            </w:r>
            <w:r>
              <w:rPr>
                <w:spacing w:val="-6"/>
              </w:rPr>
              <w:t xml:space="preserve"> </w:t>
            </w:r>
            <w:r>
              <w:t>the</w:t>
            </w:r>
            <w:r>
              <w:rPr>
                <w:spacing w:val="-6"/>
              </w:rPr>
              <w:t xml:space="preserve"> </w:t>
            </w:r>
            <w:r>
              <w:t>agency’s</w:t>
            </w:r>
            <w:r>
              <w:rPr>
                <w:spacing w:val="-6"/>
              </w:rPr>
              <w:t xml:space="preserve"> </w:t>
            </w:r>
            <w:r>
              <w:t>compliance with FFMIA; inspector general and internal audit reports; service organization reports; and GAO reports.</w:t>
            </w:r>
          </w:p>
        </w:tc>
        <w:tc>
          <w:tcPr>
            <w:tcW w:w="1170" w:type="dxa"/>
            <w:tcBorders>
              <w:top w:val="single" w:sz="4" w:space="0" w:color="000000"/>
              <w:left w:val="single" w:sz="4" w:space="0" w:color="000000"/>
              <w:bottom w:val="single" w:sz="4" w:space="0" w:color="000000"/>
              <w:right w:val="single" w:sz="4" w:space="0" w:color="000000"/>
            </w:tcBorders>
          </w:tcPr>
          <w:p w14:paraId="0DFDB20C" w14:textId="77777777" w:rsidR="00046465" w:rsidRDefault="00046465">
            <w:pPr>
              <w:pStyle w:val="TableParagraph"/>
              <w:rPr>
                <w:rFonts w:ascii="Times New Roman"/>
              </w:rPr>
            </w:pPr>
          </w:p>
        </w:tc>
        <w:tc>
          <w:tcPr>
            <w:tcW w:w="1249" w:type="dxa"/>
            <w:tcBorders>
              <w:top w:val="single" w:sz="4" w:space="0" w:color="000000"/>
              <w:left w:val="single" w:sz="4" w:space="0" w:color="000000"/>
              <w:bottom w:val="single" w:sz="4" w:space="0" w:color="000000"/>
            </w:tcBorders>
          </w:tcPr>
          <w:p w14:paraId="0DFDB20D" w14:textId="77777777" w:rsidR="00046465" w:rsidRDefault="00046465">
            <w:pPr>
              <w:pStyle w:val="TableParagraph"/>
              <w:rPr>
                <w:rFonts w:ascii="Times New Roman"/>
              </w:rPr>
            </w:pPr>
          </w:p>
        </w:tc>
      </w:tr>
      <w:tr w:rsidR="00046465" w14:paraId="0DFDB212" w14:textId="77777777">
        <w:trPr>
          <w:trHeight w:val="2143"/>
        </w:trPr>
        <w:tc>
          <w:tcPr>
            <w:tcW w:w="7060" w:type="dxa"/>
            <w:tcBorders>
              <w:top w:val="single" w:sz="4" w:space="0" w:color="000000"/>
              <w:bottom w:val="single" w:sz="4" w:space="0" w:color="000000"/>
              <w:right w:val="single" w:sz="4" w:space="0" w:color="000000"/>
            </w:tcBorders>
          </w:tcPr>
          <w:p w14:paraId="0DFDB20F" w14:textId="77777777" w:rsidR="00046465" w:rsidRDefault="008134EB">
            <w:pPr>
              <w:pStyle w:val="TableParagraph"/>
              <w:spacing w:before="61"/>
              <w:ind w:left="983" w:right="181" w:hanging="360"/>
            </w:pPr>
            <w:r>
              <w:t>B.</w:t>
            </w:r>
            <w:r>
              <w:rPr>
                <w:spacing w:val="80"/>
              </w:rPr>
              <w:t xml:space="preserve"> </w:t>
            </w:r>
            <w:r>
              <w:t>Through inquiry and inspection of relevant documentation, identify any financial management systems covered by FFMIA that are not involved in processing financial transactions or preparing financial statements. These systems</w:t>
            </w:r>
            <w:r>
              <w:rPr>
                <w:spacing w:val="-6"/>
              </w:rPr>
              <w:t xml:space="preserve"> </w:t>
            </w:r>
            <w:r>
              <w:t>may</w:t>
            </w:r>
            <w:r>
              <w:rPr>
                <w:spacing w:val="-6"/>
              </w:rPr>
              <w:t xml:space="preserve"> </w:t>
            </w:r>
            <w:r>
              <w:t>require</w:t>
            </w:r>
            <w:r>
              <w:rPr>
                <w:spacing w:val="-6"/>
              </w:rPr>
              <w:t xml:space="preserve"> </w:t>
            </w:r>
            <w:r>
              <w:t>special</w:t>
            </w:r>
            <w:r>
              <w:rPr>
                <w:spacing w:val="-6"/>
              </w:rPr>
              <w:t xml:space="preserve"> </w:t>
            </w:r>
            <w:r>
              <w:t>consideration</w:t>
            </w:r>
            <w:r>
              <w:rPr>
                <w:spacing w:val="-6"/>
              </w:rPr>
              <w:t xml:space="preserve"> </w:t>
            </w:r>
            <w:r>
              <w:t>when</w:t>
            </w:r>
            <w:r>
              <w:rPr>
                <w:spacing w:val="-6"/>
              </w:rPr>
              <w:t xml:space="preserve"> </w:t>
            </w:r>
            <w:r>
              <w:t>the</w:t>
            </w:r>
            <w:r>
              <w:rPr>
                <w:spacing w:val="-6"/>
              </w:rPr>
              <w:t xml:space="preserve"> </w:t>
            </w:r>
            <w:r>
              <w:t>auditor assesses whether they comply substantially with the three FFMIA requirements, as they may not otherwise be evaluated as part of the financial statement audit.</w:t>
            </w:r>
          </w:p>
        </w:tc>
        <w:tc>
          <w:tcPr>
            <w:tcW w:w="1170" w:type="dxa"/>
            <w:tcBorders>
              <w:top w:val="single" w:sz="4" w:space="0" w:color="000000"/>
              <w:left w:val="single" w:sz="4" w:space="0" w:color="000000"/>
              <w:bottom w:val="single" w:sz="4" w:space="0" w:color="000000"/>
              <w:right w:val="single" w:sz="4" w:space="0" w:color="000000"/>
            </w:tcBorders>
          </w:tcPr>
          <w:p w14:paraId="0DFDB210" w14:textId="77777777" w:rsidR="00046465" w:rsidRDefault="00046465">
            <w:pPr>
              <w:pStyle w:val="TableParagraph"/>
              <w:rPr>
                <w:rFonts w:ascii="Times New Roman"/>
              </w:rPr>
            </w:pPr>
          </w:p>
        </w:tc>
        <w:tc>
          <w:tcPr>
            <w:tcW w:w="1249" w:type="dxa"/>
            <w:tcBorders>
              <w:top w:val="single" w:sz="4" w:space="0" w:color="000000"/>
              <w:left w:val="single" w:sz="4" w:space="0" w:color="000000"/>
              <w:bottom w:val="single" w:sz="4" w:space="0" w:color="000000"/>
            </w:tcBorders>
          </w:tcPr>
          <w:p w14:paraId="0DFDB211" w14:textId="77777777" w:rsidR="00046465" w:rsidRDefault="00046465">
            <w:pPr>
              <w:pStyle w:val="TableParagraph"/>
              <w:rPr>
                <w:rFonts w:ascii="Times New Roman"/>
              </w:rPr>
            </w:pPr>
          </w:p>
        </w:tc>
      </w:tr>
      <w:tr w:rsidR="00046465" w14:paraId="0DFDB216" w14:textId="77777777">
        <w:trPr>
          <w:trHeight w:val="1073"/>
        </w:trPr>
        <w:tc>
          <w:tcPr>
            <w:tcW w:w="7060" w:type="dxa"/>
            <w:tcBorders>
              <w:top w:val="single" w:sz="4" w:space="0" w:color="000000"/>
              <w:right w:val="single" w:sz="4" w:space="0" w:color="000000"/>
            </w:tcBorders>
          </w:tcPr>
          <w:p w14:paraId="0DFDB213" w14:textId="77777777" w:rsidR="00046465" w:rsidRDefault="008134EB">
            <w:pPr>
              <w:pStyle w:val="TableParagraph"/>
              <w:spacing w:before="41" w:line="250" w:lineRule="atLeast"/>
              <w:ind w:left="983" w:right="84" w:hanging="360"/>
            </w:pPr>
            <w:r>
              <w:t>C.</w:t>
            </w:r>
            <w:r>
              <w:rPr>
                <w:spacing w:val="80"/>
              </w:rPr>
              <w:t xml:space="preserve"> </w:t>
            </w:r>
            <w:r>
              <w:t>Through inquiry and inspection of relevant documentation, obtain an understanding of the status of any corrective actions</w:t>
            </w:r>
            <w:r>
              <w:rPr>
                <w:spacing w:val="-5"/>
              </w:rPr>
              <w:t xml:space="preserve"> </w:t>
            </w:r>
            <w:r>
              <w:t>planned</w:t>
            </w:r>
            <w:r>
              <w:rPr>
                <w:spacing w:val="-5"/>
              </w:rPr>
              <w:t xml:space="preserve"> </w:t>
            </w:r>
            <w:r>
              <w:t>or</w:t>
            </w:r>
            <w:r>
              <w:rPr>
                <w:spacing w:val="-5"/>
              </w:rPr>
              <w:t xml:space="preserve"> </w:t>
            </w:r>
            <w:r>
              <w:t>under</w:t>
            </w:r>
            <w:r>
              <w:rPr>
                <w:spacing w:val="-5"/>
              </w:rPr>
              <w:t xml:space="preserve"> </w:t>
            </w:r>
            <w:r>
              <w:t>way</w:t>
            </w:r>
            <w:r>
              <w:rPr>
                <w:spacing w:val="-5"/>
              </w:rPr>
              <w:t xml:space="preserve"> </w:t>
            </w:r>
            <w:r>
              <w:t>to</w:t>
            </w:r>
            <w:r>
              <w:rPr>
                <w:spacing w:val="-5"/>
              </w:rPr>
              <w:t xml:space="preserve"> </w:t>
            </w:r>
            <w:r>
              <w:t>address</w:t>
            </w:r>
            <w:r>
              <w:rPr>
                <w:spacing w:val="-5"/>
              </w:rPr>
              <w:t xml:space="preserve"> </w:t>
            </w:r>
            <w:r>
              <w:t>previously</w:t>
            </w:r>
            <w:r>
              <w:rPr>
                <w:spacing w:val="-5"/>
              </w:rPr>
              <w:t xml:space="preserve"> </w:t>
            </w:r>
            <w:r>
              <w:t>identified instances in which the agency’s financial management</w:t>
            </w:r>
          </w:p>
        </w:tc>
        <w:tc>
          <w:tcPr>
            <w:tcW w:w="1170" w:type="dxa"/>
            <w:tcBorders>
              <w:top w:val="single" w:sz="4" w:space="0" w:color="000000"/>
              <w:left w:val="single" w:sz="4" w:space="0" w:color="000000"/>
              <w:right w:val="single" w:sz="4" w:space="0" w:color="000000"/>
            </w:tcBorders>
          </w:tcPr>
          <w:p w14:paraId="0DFDB214" w14:textId="77777777" w:rsidR="00046465" w:rsidRDefault="00046465">
            <w:pPr>
              <w:pStyle w:val="TableParagraph"/>
              <w:rPr>
                <w:rFonts w:ascii="Times New Roman"/>
              </w:rPr>
            </w:pPr>
          </w:p>
        </w:tc>
        <w:tc>
          <w:tcPr>
            <w:tcW w:w="1249" w:type="dxa"/>
            <w:tcBorders>
              <w:top w:val="single" w:sz="4" w:space="0" w:color="000000"/>
              <w:left w:val="single" w:sz="4" w:space="0" w:color="000000"/>
            </w:tcBorders>
          </w:tcPr>
          <w:p w14:paraId="0DFDB215" w14:textId="77777777" w:rsidR="00046465" w:rsidRDefault="00046465">
            <w:pPr>
              <w:pStyle w:val="TableParagraph"/>
              <w:rPr>
                <w:rFonts w:ascii="Times New Roman"/>
              </w:rPr>
            </w:pPr>
          </w:p>
        </w:tc>
      </w:tr>
    </w:tbl>
    <w:p w14:paraId="0DFDB217" w14:textId="77777777" w:rsidR="00046465" w:rsidRDefault="00046465">
      <w:pPr>
        <w:pStyle w:val="TableParagraph"/>
        <w:rPr>
          <w:rFonts w:ascii="Times New Roman"/>
        </w:rPr>
        <w:sectPr w:rsidR="00046465">
          <w:headerReference w:type="default" r:id="rId92"/>
          <w:footerReference w:type="default" r:id="rId93"/>
          <w:pgSz w:w="12240" w:h="15840"/>
          <w:pgMar w:top="1600" w:right="720" w:bottom="940" w:left="1080" w:header="721" w:footer="757" w:gutter="0"/>
          <w:pgNumType w:start="1"/>
          <w:cols w:space="720"/>
        </w:sectPr>
      </w:pPr>
    </w:p>
    <w:p w14:paraId="0DFDB218" w14:textId="77777777" w:rsidR="00046465" w:rsidRDefault="00046465">
      <w:pPr>
        <w:pStyle w:val="BodyText"/>
        <w:spacing w:before="4"/>
        <w:rPr>
          <w:sz w:val="11"/>
        </w:rPr>
      </w:pPr>
    </w:p>
    <w:tbl>
      <w:tblPr>
        <w:tblW w:w="0" w:type="auto"/>
        <w:tblInd w:w="37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060"/>
        <w:gridCol w:w="1170"/>
        <w:gridCol w:w="1249"/>
      </w:tblGrid>
      <w:tr w:rsidR="00046465" w14:paraId="0DFDB21E" w14:textId="77777777">
        <w:trPr>
          <w:trHeight w:val="745"/>
        </w:trPr>
        <w:tc>
          <w:tcPr>
            <w:tcW w:w="7060" w:type="dxa"/>
            <w:tcBorders>
              <w:right w:val="single" w:sz="4" w:space="0" w:color="000000"/>
            </w:tcBorders>
          </w:tcPr>
          <w:p w14:paraId="0DFDB219" w14:textId="77777777" w:rsidR="00046465" w:rsidRDefault="00046465">
            <w:pPr>
              <w:pStyle w:val="TableParagraph"/>
              <w:spacing w:before="120"/>
            </w:pPr>
          </w:p>
          <w:p w14:paraId="0DFDB21A" w14:textId="77777777" w:rsidR="00046465" w:rsidRDefault="008134EB">
            <w:pPr>
              <w:pStyle w:val="TableParagraph"/>
              <w:spacing w:before="1"/>
              <w:ind w:left="97"/>
              <w:rPr>
                <w:b/>
              </w:rPr>
            </w:pPr>
            <w:r>
              <w:rPr>
                <w:b/>
                <w:spacing w:val="-2"/>
              </w:rPr>
              <w:t>Procedure</w:t>
            </w:r>
          </w:p>
        </w:tc>
        <w:tc>
          <w:tcPr>
            <w:tcW w:w="1170" w:type="dxa"/>
            <w:tcBorders>
              <w:left w:val="single" w:sz="4" w:space="0" w:color="000000"/>
              <w:right w:val="single" w:sz="4" w:space="0" w:color="000000"/>
            </w:tcBorders>
          </w:tcPr>
          <w:p w14:paraId="0DFDB21B" w14:textId="77777777" w:rsidR="00046465" w:rsidRDefault="008134EB">
            <w:pPr>
              <w:pStyle w:val="TableParagraph"/>
              <w:spacing w:before="120"/>
              <w:ind w:left="107" w:right="144"/>
              <w:rPr>
                <w:b/>
              </w:rPr>
            </w:pPr>
            <w:r>
              <w:rPr>
                <w:b/>
                <w:spacing w:val="-2"/>
              </w:rPr>
              <w:t xml:space="preserve">Initials/ </w:t>
            </w:r>
            <w:r>
              <w:rPr>
                <w:b/>
                <w:spacing w:val="-4"/>
              </w:rPr>
              <w:t>date</w:t>
            </w:r>
          </w:p>
        </w:tc>
        <w:tc>
          <w:tcPr>
            <w:tcW w:w="1249" w:type="dxa"/>
            <w:tcBorders>
              <w:left w:val="single" w:sz="4" w:space="0" w:color="000000"/>
            </w:tcBorders>
          </w:tcPr>
          <w:p w14:paraId="0DFDB21C" w14:textId="77777777" w:rsidR="00046465" w:rsidRDefault="00046465">
            <w:pPr>
              <w:pStyle w:val="TableParagraph"/>
              <w:spacing w:before="120"/>
            </w:pPr>
          </w:p>
          <w:p w14:paraId="0DFDB21D" w14:textId="77777777" w:rsidR="00046465" w:rsidRDefault="008134EB">
            <w:pPr>
              <w:pStyle w:val="TableParagraph"/>
              <w:spacing w:before="1"/>
              <w:ind w:left="107"/>
              <w:rPr>
                <w:b/>
              </w:rPr>
            </w:pPr>
            <w:r>
              <w:rPr>
                <w:b/>
              </w:rPr>
              <w:t>Doc.</w:t>
            </w:r>
            <w:r>
              <w:rPr>
                <w:b/>
                <w:spacing w:val="-6"/>
              </w:rPr>
              <w:t xml:space="preserve"> </w:t>
            </w:r>
            <w:r>
              <w:rPr>
                <w:b/>
                <w:spacing w:val="-4"/>
              </w:rPr>
              <w:t>ref.</w:t>
            </w:r>
          </w:p>
        </w:tc>
      </w:tr>
      <w:tr w:rsidR="00046465" w14:paraId="0DFDB222" w14:textId="77777777">
        <w:trPr>
          <w:trHeight w:val="2591"/>
        </w:trPr>
        <w:tc>
          <w:tcPr>
            <w:tcW w:w="7060" w:type="dxa"/>
            <w:tcBorders>
              <w:bottom w:val="single" w:sz="4" w:space="0" w:color="000000"/>
              <w:right w:val="single" w:sz="4" w:space="0" w:color="000000"/>
            </w:tcBorders>
          </w:tcPr>
          <w:p w14:paraId="0DFDB21F" w14:textId="77777777" w:rsidR="00046465" w:rsidRDefault="008134EB">
            <w:pPr>
              <w:pStyle w:val="TableParagraph"/>
              <w:ind w:left="983" w:right="133"/>
            </w:pPr>
            <w:r>
              <w:t>systems do not comply substantially with the three FFMIA requirements</w:t>
            </w:r>
            <w:r>
              <w:rPr>
                <w:spacing w:val="-5"/>
              </w:rPr>
              <w:t xml:space="preserve"> </w:t>
            </w:r>
            <w:r>
              <w:t>or</w:t>
            </w:r>
            <w:r>
              <w:rPr>
                <w:spacing w:val="-6"/>
              </w:rPr>
              <w:t xml:space="preserve"> </w:t>
            </w:r>
            <w:r>
              <w:t>internal</w:t>
            </w:r>
            <w:r>
              <w:rPr>
                <w:spacing w:val="-7"/>
              </w:rPr>
              <w:t xml:space="preserve"> </w:t>
            </w:r>
            <w:r>
              <w:t>control</w:t>
            </w:r>
            <w:r>
              <w:rPr>
                <w:spacing w:val="-6"/>
              </w:rPr>
              <w:t xml:space="preserve"> </w:t>
            </w:r>
            <w:r>
              <w:t>weaknesses</w:t>
            </w:r>
            <w:r>
              <w:rPr>
                <w:spacing w:val="-7"/>
              </w:rPr>
              <w:t xml:space="preserve"> </w:t>
            </w:r>
            <w:r>
              <w:t>related</w:t>
            </w:r>
            <w:r>
              <w:rPr>
                <w:spacing w:val="-6"/>
              </w:rPr>
              <w:t xml:space="preserve"> </w:t>
            </w:r>
            <w:r>
              <w:t>to</w:t>
            </w:r>
            <w:r>
              <w:rPr>
                <w:spacing w:val="-6"/>
              </w:rPr>
              <w:t xml:space="preserve"> </w:t>
            </w:r>
            <w:r>
              <w:t>these systems. FAM 280.12 requires auditors to ask entity management to identify previous audits, attestation engagements, and other studies that directly relate to the objectives of the audit, including whether related recommendations have been implemented. Relevant documentation may include remediation plans for bringing the agency’s financial management systems into substantial compliance with FFMIA, if applicable.</w:t>
            </w:r>
          </w:p>
        </w:tc>
        <w:tc>
          <w:tcPr>
            <w:tcW w:w="1170" w:type="dxa"/>
            <w:tcBorders>
              <w:left w:val="single" w:sz="4" w:space="0" w:color="000000"/>
              <w:bottom w:val="single" w:sz="4" w:space="0" w:color="000000"/>
              <w:right w:val="single" w:sz="4" w:space="0" w:color="000000"/>
            </w:tcBorders>
          </w:tcPr>
          <w:p w14:paraId="0DFDB220" w14:textId="77777777" w:rsidR="00046465" w:rsidRDefault="00046465">
            <w:pPr>
              <w:pStyle w:val="TableParagraph"/>
              <w:rPr>
                <w:rFonts w:ascii="Times New Roman"/>
                <w:sz w:val="20"/>
              </w:rPr>
            </w:pPr>
          </w:p>
        </w:tc>
        <w:tc>
          <w:tcPr>
            <w:tcW w:w="1249" w:type="dxa"/>
            <w:tcBorders>
              <w:left w:val="single" w:sz="4" w:space="0" w:color="000000"/>
              <w:bottom w:val="single" w:sz="4" w:space="0" w:color="000000"/>
            </w:tcBorders>
          </w:tcPr>
          <w:p w14:paraId="0DFDB221" w14:textId="77777777" w:rsidR="00046465" w:rsidRDefault="00046465">
            <w:pPr>
              <w:pStyle w:val="TableParagraph"/>
              <w:rPr>
                <w:rFonts w:ascii="Times New Roman"/>
                <w:sz w:val="20"/>
              </w:rPr>
            </w:pPr>
          </w:p>
        </w:tc>
      </w:tr>
      <w:tr w:rsidR="00046465" w14:paraId="0DFDB228" w14:textId="77777777">
        <w:trPr>
          <w:trHeight w:val="3444"/>
        </w:trPr>
        <w:tc>
          <w:tcPr>
            <w:tcW w:w="7060" w:type="dxa"/>
            <w:tcBorders>
              <w:top w:val="single" w:sz="4" w:space="0" w:color="000000"/>
              <w:bottom w:val="single" w:sz="4" w:space="0" w:color="000000"/>
              <w:right w:val="single" w:sz="4" w:space="0" w:color="000000"/>
            </w:tcBorders>
          </w:tcPr>
          <w:p w14:paraId="0DFDB223" w14:textId="77777777" w:rsidR="00046465" w:rsidRDefault="008134EB">
            <w:pPr>
              <w:pStyle w:val="TableParagraph"/>
              <w:spacing w:before="60"/>
              <w:ind w:left="983" w:hanging="360"/>
            </w:pPr>
            <w:r>
              <w:t>D.</w:t>
            </w:r>
            <w:r>
              <w:rPr>
                <w:spacing w:val="68"/>
              </w:rPr>
              <w:t xml:space="preserve"> </w:t>
            </w:r>
            <w:r>
              <w:t>Through</w:t>
            </w:r>
            <w:r>
              <w:rPr>
                <w:spacing w:val="-5"/>
              </w:rPr>
              <w:t xml:space="preserve"> </w:t>
            </w:r>
            <w:r>
              <w:t>inquiry</w:t>
            </w:r>
            <w:r>
              <w:rPr>
                <w:spacing w:val="-5"/>
              </w:rPr>
              <w:t xml:space="preserve"> </w:t>
            </w:r>
            <w:r>
              <w:t>and</w:t>
            </w:r>
            <w:r>
              <w:rPr>
                <w:spacing w:val="-5"/>
              </w:rPr>
              <w:t xml:space="preserve"> </w:t>
            </w:r>
            <w:r>
              <w:t>inspection</w:t>
            </w:r>
            <w:r>
              <w:rPr>
                <w:spacing w:val="-5"/>
              </w:rPr>
              <w:t xml:space="preserve"> </w:t>
            </w:r>
            <w:r>
              <w:t>of</w:t>
            </w:r>
            <w:r>
              <w:rPr>
                <w:spacing w:val="-5"/>
              </w:rPr>
              <w:t xml:space="preserve"> </w:t>
            </w:r>
            <w:r>
              <w:t>relevant</w:t>
            </w:r>
            <w:r>
              <w:rPr>
                <w:spacing w:val="-5"/>
              </w:rPr>
              <w:t xml:space="preserve"> </w:t>
            </w:r>
            <w:r>
              <w:t>documentation, obtain an understanding of management’s process for determining whether the agency’s financial management systems comply substantially with the three FFMIA requirements. Relevant documentation may include</w:t>
            </w:r>
          </w:p>
          <w:p w14:paraId="0DFDB224" w14:textId="77777777" w:rsidR="00046465" w:rsidRDefault="008134EB">
            <w:pPr>
              <w:pStyle w:val="TableParagraph"/>
              <w:numPr>
                <w:ilvl w:val="0"/>
                <w:numId w:val="197"/>
              </w:numPr>
              <w:tabs>
                <w:tab w:val="left" w:pos="1337"/>
              </w:tabs>
              <w:spacing w:before="119"/>
              <w:ind w:right="130"/>
              <w:rPr>
                <w:rFonts w:ascii="Symbol" w:hAnsi="Symbol"/>
              </w:rPr>
            </w:pPr>
            <w:r>
              <w:t>policies and procedures detailing management’s risk-based approach for assessing compliance with FFMIA, including</w:t>
            </w:r>
            <w:r>
              <w:rPr>
                <w:spacing w:val="-6"/>
              </w:rPr>
              <w:t xml:space="preserve"> </w:t>
            </w:r>
            <w:r>
              <w:t>any</w:t>
            </w:r>
            <w:r>
              <w:rPr>
                <w:spacing w:val="-6"/>
              </w:rPr>
              <w:t xml:space="preserve"> </w:t>
            </w:r>
            <w:r>
              <w:t>compliance</w:t>
            </w:r>
            <w:r>
              <w:rPr>
                <w:spacing w:val="-6"/>
              </w:rPr>
              <w:t xml:space="preserve"> </w:t>
            </w:r>
            <w:r>
              <w:t>indicators</w:t>
            </w:r>
            <w:r>
              <w:rPr>
                <w:spacing w:val="-7"/>
              </w:rPr>
              <w:t xml:space="preserve"> </w:t>
            </w:r>
            <w:r>
              <w:t>management</w:t>
            </w:r>
            <w:r>
              <w:rPr>
                <w:spacing w:val="-5"/>
              </w:rPr>
              <w:t xml:space="preserve"> </w:t>
            </w:r>
            <w:r>
              <w:t>used,</w:t>
            </w:r>
            <w:hyperlink w:anchor="_bookmark52" w:history="1">
              <w:r>
                <w:rPr>
                  <w:position w:val="7"/>
                  <w:sz w:val="14"/>
                </w:rPr>
                <w:t>10</w:t>
              </w:r>
            </w:hyperlink>
            <w:r>
              <w:rPr>
                <w:spacing w:val="40"/>
                <w:position w:val="7"/>
                <w:sz w:val="14"/>
              </w:rPr>
              <w:t xml:space="preserve"> </w:t>
            </w:r>
            <w:r>
              <w:rPr>
                <w:spacing w:val="-4"/>
              </w:rPr>
              <w:t>and</w:t>
            </w:r>
          </w:p>
          <w:p w14:paraId="0DFDB225" w14:textId="77777777" w:rsidR="00046465" w:rsidRDefault="008134EB">
            <w:pPr>
              <w:pStyle w:val="TableParagraph"/>
              <w:numPr>
                <w:ilvl w:val="0"/>
                <w:numId w:val="197"/>
              </w:numPr>
              <w:tabs>
                <w:tab w:val="left" w:pos="1337"/>
              </w:tabs>
              <w:spacing w:before="121" w:line="237" w:lineRule="auto"/>
              <w:ind w:right="504"/>
              <w:rPr>
                <w:rFonts w:ascii="Symbol" w:hAnsi="Symbol"/>
                <w:sz w:val="24"/>
              </w:rPr>
            </w:pPr>
            <w:r>
              <w:t>the</w:t>
            </w:r>
            <w:r>
              <w:rPr>
                <w:spacing w:val="-8"/>
              </w:rPr>
              <w:t xml:space="preserve"> </w:t>
            </w:r>
            <w:r>
              <w:t>FFMIA</w:t>
            </w:r>
            <w:r>
              <w:rPr>
                <w:spacing w:val="-7"/>
              </w:rPr>
              <w:t xml:space="preserve"> </w:t>
            </w:r>
            <w:r>
              <w:t>Compliance</w:t>
            </w:r>
            <w:r>
              <w:rPr>
                <w:spacing w:val="-8"/>
              </w:rPr>
              <w:t xml:space="preserve"> </w:t>
            </w:r>
            <w:r>
              <w:t>Determination</w:t>
            </w:r>
            <w:r>
              <w:rPr>
                <w:spacing w:val="-8"/>
              </w:rPr>
              <w:t xml:space="preserve"> </w:t>
            </w:r>
            <w:r>
              <w:t>Framework,</w:t>
            </w:r>
            <w:r>
              <w:rPr>
                <w:spacing w:val="-8"/>
              </w:rPr>
              <w:t xml:space="preserve"> </w:t>
            </w:r>
            <w:r>
              <w:t xml:space="preserve">as completed by management in the prior year’s </w:t>
            </w:r>
            <w:r>
              <w:rPr>
                <w:spacing w:val="-2"/>
              </w:rPr>
              <w:t>assessment.</w:t>
            </w:r>
          </w:p>
        </w:tc>
        <w:tc>
          <w:tcPr>
            <w:tcW w:w="1170" w:type="dxa"/>
            <w:tcBorders>
              <w:top w:val="single" w:sz="4" w:space="0" w:color="000000"/>
              <w:left w:val="single" w:sz="4" w:space="0" w:color="000000"/>
              <w:bottom w:val="single" w:sz="4" w:space="0" w:color="000000"/>
              <w:right w:val="single" w:sz="4" w:space="0" w:color="000000"/>
            </w:tcBorders>
          </w:tcPr>
          <w:p w14:paraId="0DFDB226" w14:textId="77777777" w:rsidR="00046465" w:rsidRDefault="00046465">
            <w:pPr>
              <w:pStyle w:val="TableParagraph"/>
              <w:rPr>
                <w:rFonts w:ascii="Times New Roman"/>
                <w:sz w:val="20"/>
              </w:rPr>
            </w:pPr>
          </w:p>
        </w:tc>
        <w:tc>
          <w:tcPr>
            <w:tcW w:w="1249" w:type="dxa"/>
            <w:tcBorders>
              <w:top w:val="single" w:sz="4" w:space="0" w:color="000000"/>
              <w:left w:val="single" w:sz="4" w:space="0" w:color="000000"/>
              <w:bottom w:val="single" w:sz="4" w:space="0" w:color="000000"/>
            </w:tcBorders>
          </w:tcPr>
          <w:p w14:paraId="0DFDB227" w14:textId="77777777" w:rsidR="00046465" w:rsidRDefault="00046465">
            <w:pPr>
              <w:pStyle w:val="TableParagraph"/>
              <w:rPr>
                <w:rFonts w:ascii="Times New Roman"/>
                <w:sz w:val="20"/>
              </w:rPr>
            </w:pPr>
          </w:p>
        </w:tc>
      </w:tr>
      <w:tr w:rsidR="00046465" w14:paraId="0DFDB22C" w14:textId="77777777">
        <w:trPr>
          <w:trHeight w:val="395"/>
        </w:trPr>
        <w:tc>
          <w:tcPr>
            <w:tcW w:w="7060" w:type="dxa"/>
            <w:tcBorders>
              <w:top w:val="single" w:sz="4" w:space="0" w:color="000000"/>
              <w:bottom w:val="single" w:sz="4" w:space="0" w:color="000000"/>
              <w:right w:val="single" w:sz="4" w:space="0" w:color="000000"/>
            </w:tcBorders>
            <w:shd w:val="clear" w:color="auto" w:fill="D9D9D9"/>
          </w:tcPr>
          <w:p w14:paraId="0DFDB229" w14:textId="77777777" w:rsidR="00046465" w:rsidRDefault="008134EB">
            <w:pPr>
              <w:pStyle w:val="TableParagraph"/>
              <w:tabs>
                <w:tab w:val="left" w:pos="529"/>
              </w:tabs>
              <w:spacing w:before="60"/>
              <w:ind w:left="97"/>
              <w:rPr>
                <w:b/>
              </w:rPr>
            </w:pPr>
            <w:r>
              <w:rPr>
                <w:b/>
                <w:spacing w:val="-5"/>
              </w:rPr>
              <w:t>II.</w:t>
            </w:r>
            <w:r>
              <w:rPr>
                <w:b/>
              </w:rPr>
              <w:tab/>
            </w:r>
            <w:r>
              <w:rPr>
                <w:b/>
                <w:spacing w:val="-2"/>
              </w:rPr>
              <w:t>Testing</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cPr>
          <w:p w14:paraId="0DFDB22A" w14:textId="77777777" w:rsidR="00046465" w:rsidRDefault="00046465">
            <w:pPr>
              <w:pStyle w:val="TableParagraph"/>
              <w:rPr>
                <w:rFonts w:ascii="Times New Roman"/>
                <w:sz w:val="20"/>
              </w:rPr>
            </w:pPr>
          </w:p>
        </w:tc>
        <w:tc>
          <w:tcPr>
            <w:tcW w:w="1249" w:type="dxa"/>
            <w:tcBorders>
              <w:top w:val="single" w:sz="4" w:space="0" w:color="000000"/>
              <w:left w:val="single" w:sz="4" w:space="0" w:color="000000"/>
              <w:bottom w:val="single" w:sz="4" w:space="0" w:color="000000"/>
            </w:tcBorders>
            <w:shd w:val="clear" w:color="auto" w:fill="D9D9D9"/>
          </w:tcPr>
          <w:p w14:paraId="0DFDB22B" w14:textId="77777777" w:rsidR="00046465" w:rsidRDefault="00046465">
            <w:pPr>
              <w:pStyle w:val="TableParagraph"/>
              <w:rPr>
                <w:rFonts w:ascii="Times New Roman"/>
                <w:sz w:val="20"/>
              </w:rPr>
            </w:pPr>
          </w:p>
        </w:tc>
      </w:tr>
      <w:tr w:rsidR="00046465" w14:paraId="0DFDB230" w14:textId="77777777">
        <w:trPr>
          <w:trHeight w:val="3156"/>
        </w:trPr>
        <w:tc>
          <w:tcPr>
            <w:tcW w:w="7060" w:type="dxa"/>
            <w:tcBorders>
              <w:top w:val="single" w:sz="4" w:space="0" w:color="000000"/>
              <w:bottom w:val="single" w:sz="4" w:space="0" w:color="000000"/>
              <w:right w:val="single" w:sz="4" w:space="0" w:color="000000"/>
            </w:tcBorders>
          </w:tcPr>
          <w:p w14:paraId="0DFDB22D" w14:textId="77777777" w:rsidR="00046465" w:rsidRDefault="008134EB">
            <w:pPr>
              <w:pStyle w:val="TableParagraph"/>
              <w:spacing w:before="61"/>
              <w:ind w:left="974" w:right="181" w:hanging="360"/>
            </w:pPr>
            <w:r>
              <w:t>A.</w:t>
            </w:r>
            <w:r>
              <w:rPr>
                <w:spacing w:val="80"/>
              </w:rPr>
              <w:t xml:space="preserve"> </w:t>
            </w:r>
            <w:r>
              <w:t>Perform tests to assess whether the agency’s financial management systems comply substantially with the three FFMIA requirements. If planning to use management’s documentation as the basis for tests of compliance with FFMIA, consider whether management’s process for determining whether the agency’s financial management systems comply substantially with the three FFMIA requirements</w:t>
            </w:r>
            <w:r>
              <w:rPr>
                <w:spacing w:val="-4"/>
              </w:rPr>
              <w:t xml:space="preserve"> </w:t>
            </w:r>
            <w:r>
              <w:t>is</w:t>
            </w:r>
            <w:r>
              <w:rPr>
                <w:spacing w:val="-5"/>
              </w:rPr>
              <w:t xml:space="preserve"> </w:t>
            </w:r>
            <w:r>
              <w:t>(1)</w:t>
            </w:r>
            <w:r>
              <w:rPr>
                <w:spacing w:val="-5"/>
              </w:rPr>
              <w:t xml:space="preserve"> </w:t>
            </w:r>
            <w:r>
              <w:t>consistent</w:t>
            </w:r>
            <w:r>
              <w:rPr>
                <w:spacing w:val="-5"/>
              </w:rPr>
              <w:t xml:space="preserve"> </w:t>
            </w:r>
            <w:r>
              <w:t>with</w:t>
            </w:r>
            <w:r>
              <w:rPr>
                <w:spacing w:val="-5"/>
              </w:rPr>
              <w:t xml:space="preserve"> </w:t>
            </w:r>
            <w:r>
              <w:t>the</w:t>
            </w:r>
            <w:r>
              <w:rPr>
                <w:spacing w:val="-5"/>
              </w:rPr>
              <w:t xml:space="preserve"> </w:t>
            </w:r>
            <w:r>
              <w:t>guidance</w:t>
            </w:r>
            <w:r>
              <w:rPr>
                <w:spacing w:val="-5"/>
              </w:rPr>
              <w:t xml:space="preserve"> </w:t>
            </w:r>
            <w:r>
              <w:t>set</w:t>
            </w:r>
            <w:r>
              <w:rPr>
                <w:spacing w:val="-5"/>
              </w:rPr>
              <w:t xml:space="preserve"> </w:t>
            </w:r>
            <w:r>
              <w:t>forth</w:t>
            </w:r>
            <w:r>
              <w:rPr>
                <w:spacing w:val="-5"/>
              </w:rPr>
              <w:t xml:space="preserve"> </w:t>
            </w:r>
            <w:r>
              <w:t xml:space="preserve">in Office of Management and Budget (OMB) Circular No. A-123, appendix D, </w:t>
            </w:r>
            <w:r>
              <w:rPr>
                <w:i/>
              </w:rPr>
              <w:t>Management of Financial Management Systems – Risk and Compliance</w:t>
            </w:r>
            <w:r>
              <w:t>, and (2) likely to produce sufficient evidence for management’s conclusions.</w:t>
            </w:r>
          </w:p>
        </w:tc>
        <w:tc>
          <w:tcPr>
            <w:tcW w:w="1170" w:type="dxa"/>
            <w:tcBorders>
              <w:top w:val="single" w:sz="4" w:space="0" w:color="000000"/>
              <w:left w:val="single" w:sz="4" w:space="0" w:color="000000"/>
              <w:bottom w:val="single" w:sz="4" w:space="0" w:color="000000"/>
              <w:right w:val="single" w:sz="4" w:space="0" w:color="000000"/>
            </w:tcBorders>
          </w:tcPr>
          <w:p w14:paraId="0DFDB22E" w14:textId="77777777" w:rsidR="00046465" w:rsidRDefault="00046465">
            <w:pPr>
              <w:pStyle w:val="TableParagraph"/>
              <w:rPr>
                <w:rFonts w:ascii="Times New Roman"/>
                <w:sz w:val="20"/>
              </w:rPr>
            </w:pPr>
          </w:p>
        </w:tc>
        <w:tc>
          <w:tcPr>
            <w:tcW w:w="1249" w:type="dxa"/>
            <w:tcBorders>
              <w:top w:val="single" w:sz="4" w:space="0" w:color="000000"/>
              <w:left w:val="single" w:sz="4" w:space="0" w:color="000000"/>
              <w:bottom w:val="single" w:sz="4" w:space="0" w:color="000000"/>
            </w:tcBorders>
          </w:tcPr>
          <w:p w14:paraId="0DFDB22F" w14:textId="77777777" w:rsidR="00046465" w:rsidRDefault="00046465">
            <w:pPr>
              <w:pStyle w:val="TableParagraph"/>
              <w:rPr>
                <w:rFonts w:ascii="Times New Roman"/>
                <w:sz w:val="20"/>
              </w:rPr>
            </w:pPr>
          </w:p>
        </w:tc>
      </w:tr>
      <w:tr w:rsidR="00046465" w14:paraId="0DFDB235" w14:textId="77777777">
        <w:trPr>
          <w:trHeight w:val="1072"/>
        </w:trPr>
        <w:tc>
          <w:tcPr>
            <w:tcW w:w="7060" w:type="dxa"/>
            <w:tcBorders>
              <w:top w:val="single" w:sz="4" w:space="0" w:color="000000"/>
              <w:right w:val="single" w:sz="4" w:space="0" w:color="000000"/>
            </w:tcBorders>
          </w:tcPr>
          <w:p w14:paraId="0DFDB231" w14:textId="77777777" w:rsidR="00046465" w:rsidRDefault="008134EB">
            <w:pPr>
              <w:pStyle w:val="TableParagraph"/>
              <w:spacing w:before="60"/>
              <w:ind w:left="1336" w:hanging="360"/>
            </w:pPr>
            <w:r>
              <w:t>1.</w:t>
            </w:r>
            <w:r>
              <w:rPr>
                <w:spacing w:val="80"/>
              </w:rPr>
              <w:t xml:space="preserve"> </w:t>
            </w:r>
            <w:r>
              <w:t>Inspect system documentation or other management-developed evidence to demonstrate whether the</w:t>
            </w:r>
          </w:p>
          <w:p w14:paraId="0DFDB232" w14:textId="77777777" w:rsidR="00046465" w:rsidRDefault="008134EB">
            <w:pPr>
              <w:pStyle w:val="TableParagraph"/>
              <w:spacing w:line="254" w:lineRule="exact"/>
              <w:ind w:left="1336" w:hanging="1"/>
            </w:pPr>
            <w:r>
              <w:t>agency’s financial management systems satisfy federal financial</w:t>
            </w:r>
            <w:r>
              <w:rPr>
                <w:spacing w:val="-9"/>
              </w:rPr>
              <w:t xml:space="preserve"> </w:t>
            </w:r>
            <w:r>
              <w:t>management</w:t>
            </w:r>
            <w:r>
              <w:rPr>
                <w:spacing w:val="-9"/>
              </w:rPr>
              <w:t xml:space="preserve"> </w:t>
            </w:r>
            <w:r>
              <w:t>systems</w:t>
            </w:r>
            <w:r>
              <w:rPr>
                <w:spacing w:val="-9"/>
              </w:rPr>
              <w:t xml:space="preserve"> </w:t>
            </w:r>
            <w:r>
              <w:t>requirements</w:t>
            </w:r>
            <w:r>
              <w:rPr>
                <w:spacing w:val="-9"/>
              </w:rPr>
              <w:t xml:space="preserve"> </w:t>
            </w:r>
            <w:r>
              <w:t>(FFMSR).</w:t>
            </w:r>
            <w:r>
              <w:rPr>
                <w:spacing w:val="-9"/>
              </w:rPr>
              <w:t xml:space="preserve"> </w:t>
            </w:r>
            <w:r>
              <w:t>If</w:t>
            </w:r>
          </w:p>
        </w:tc>
        <w:tc>
          <w:tcPr>
            <w:tcW w:w="1170" w:type="dxa"/>
            <w:tcBorders>
              <w:top w:val="single" w:sz="4" w:space="0" w:color="000000"/>
              <w:left w:val="single" w:sz="4" w:space="0" w:color="000000"/>
              <w:right w:val="single" w:sz="4" w:space="0" w:color="000000"/>
            </w:tcBorders>
          </w:tcPr>
          <w:p w14:paraId="0DFDB233" w14:textId="77777777" w:rsidR="00046465" w:rsidRDefault="00046465">
            <w:pPr>
              <w:pStyle w:val="TableParagraph"/>
              <w:rPr>
                <w:rFonts w:ascii="Times New Roman"/>
                <w:sz w:val="20"/>
              </w:rPr>
            </w:pPr>
          </w:p>
        </w:tc>
        <w:tc>
          <w:tcPr>
            <w:tcW w:w="1249" w:type="dxa"/>
            <w:tcBorders>
              <w:top w:val="single" w:sz="4" w:space="0" w:color="000000"/>
              <w:left w:val="single" w:sz="4" w:space="0" w:color="000000"/>
            </w:tcBorders>
          </w:tcPr>
          <w:p w14:paraId="0DFDB234" w14:textId="77777777" w:rsidR="00046465" w:rsidRDefault="00046465">
            <w:pPr>
              <w:pStyle w:val="TableParagraph"/>
              <w:rPr>
                <w:rFonts w:ascii="Times New Roman"/>
                <w:sz w:val="20"/>
              </w:rPr>
            </w:pPr>
          </w:p>
        </w:tc>
      </w:tr>
    </w:tbl>
    <w:p w14:paraId="0DFDB236" w14:textId="77777777" w:rsidR="00046465" w:rsidRDefault="008134EB">
      <w:pPr>
        <w:pStyle w:val="BodyText"/>
        <w:spacing w:before="210"/>
        <w:rPr>
          <w:sz w:val="20"/>
        </w:rPr>
      </w:pPr>
      <w:r>
        <w:rPr>
          <w:noProof/>
          <w:sz w:val="20"/>
        </w:rPr>
        <mc:AlternateContent>
          <mc:Choice Requires="wps">
            <w:drawing>
              <wp:anchor distT="0" distB="0" distL="0" distR="0" simplePos="0" relativeHeight="487617536" behindDoc="1" locked="0" layoutInCell="1" allowOverlap="1" wp14:anchorId="0DFDD587" wp14:editId="0DFDD588">
                <wp:simplePos x="0" y="0"/>
                <wp:positionH relativeFrom="page">
                  <wp:posOffset>914400</wp:posOffset>
                </wp:positionH>
                <wp:positionV relativeFrom="paragraph">
                  <wp:posOffset>295027</wp:posOffset>
                </wp:positionV>
                <wp:extent cx="1828800" cy="5715"/>
                <wp:effectExtent l="0" t="0" r="0" b="0"/>
                <wp:wrapTopAndBottom/>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910CBC" id="Graphic 312" o:spid="_x0000_s1026" style="position:absolute;margin-left:1in;margin-top:23.25pt;width:2in;height:.45pt;z-index:-1569894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" path="m1828800,l,,,5334r1828800,l1828800,xe" fillcolor="black" stroked="f">
                <v:path arrowok="t"/>
                <w10:wrap type="topAndBottom" anchorx="page"/>
              </v:shape>
            </w:pict>
          </mc:Fallback>
        </mc:AlternateContent>
      </w:r>
    </w:p>
    <w:p w14:paraId="0DFDB237" w14:textId="77777777" w:rsidR="00046465" w:rsidRDefault="00046465">
      <w:pPr>
        <w:pStyle w:val="BodyText"/>
        <w:spacing w:before="45"/>
        <w:rPr>
          <w:sz w:val="18"/>
        </w:rPr>
      </w:pPr>
    </w:p>
    <w:p w14:paraId="0DFDB238" w14:textId="77777777" w:rsidR="00046465" w:rsidRDefault="008134EB">
      <w:pPr>
        <w:ind w:left="359" w:right="749"/>
        <w:rPr>
          <w:sz w:val="18"/>
        </w:rPr>
      </w:pPr>
      <w:bookmarkStart w:id="138" w:name="_bookmark52"/>
      <w:bookmarkEnd w:id="138"/>
      <w:r>
        <w:rPr>
          <w:position w:val="6"/>
          <w:sz w:val="12"/>
        </w:rPr>
        <w:t>10</w:t>
      </w:r>
      <w:r>
        <w:rPr>
          <w:sz w:val="18"/>
        </w:rPr>
        <w:t>OMB Circular No. A-123, appendix D</w:t>
      </w:r>
      <w:r>
        <w:rPr>
          <w:i/>
          <w:sz w:val="18"/>
        </w:rPr>
        <w:t>, Management of Financial Management Systems – Risk and Compliance</w:t>
      </w:r>
      <w:r>
        <w:rPr>
          <w:sz w:val="18"/>
        </w:rPr>
        <w:t>, requires</w:t>
      </w:r>
      <w:r>
        <w:rPr>
          <w:spacing w:val="-3"/>
          <w:sz w:val="18"/>
        </w:rPr>
        <w:t xml:space="preserve"> </w:t>
      </w:r>
      <w:r>
        <w:rPr>
          <w:sz w:val="18"/>
        </w:rPr>
        <w:t>agencies</w:t>
      </w:r>
      <w:r>
        <w:rPr>
          <w:spacing w:val="-3"/>
          <w:sz w:val="18"/>
        </w:rPr>
        <w:t xml:space="preserve"> </w:t>
      </w:r>
      <w:r>
        <w:rPr>
          <w:sz w:val="18"/>
        </w:rPr>
        <w:t>to</w:t>
      </w:r>
      <w:r>
        <w:rPr>
          <w:spacing w:val="-4"/>
          <w:sz w:val="18"/>
        </w:rPr>
        <w:t xml:space="preserve"> </w:t>
      </w:r>
      <w:r>
        <w:rPr>
          <w:sz w:val="18"/>
        </w:rPr>
        <w:t>develop</w:t>
      </w:r>
      <w:r>
        <w:rPr>
          <w:spacing w:val="-4"/>
          <w:sz w:val="18"/>
        </w:rPr>
        <w:t xml:space="preserve"> </w:t>
      </w:r>
      <w:r>
        <w:rPr>
          <w:sz w:val="18"/>
        </w:rPr>
        <w:t>a</w:t>
      </w:r>
      <w:r>
        <w:rPr>
          <w:spacing w:val="-4"/>
          <w:sz w:val="18"/>
        </w:rPr>
        <w:t xml:space="preserve"> </w:t>
      </w:r>
      <w:r>
        <w:rPr>
          <w:sz w:val="18"/>
        </w:rPr>
        <w:t>risk-based</w:t>
      </w:r>
      <w:r>
        <w:rPr>
          <w:spacing w:val="-4"/>
          <w:sz w:val="18"/>
        </w:rPr>
        <w:t xml:space="preserve"> </w:t>
      </w:r>
      <w:r>
        <w:rPr>
          <w:sz w:val="18"/>
        </w:rPr>
        <w:t>approach</w:t>
      </w:r>
      <w:r>
        <w:rPr>
          <w:spacing w:val="-4"/>
          <w:sz w:val="18"/>
        </w:rPr>
        <w:t xml:space="preserve"> </w:t>
      </w:r>
      <w:r>
        <w:rPr>
          <w:sz w:val="18"/>
        </w:rPr>
        <w:t>with</w:t>
      </w:r>
      <w:r>
        <w:rPr>
          <w:spacing w:val="-2"/>
          <w:sz w:val="18"/>
        </w:rPr>
        <w:t xml:space="preserve"> </w:t>
      </w:r>
      <w:r>
        <w:rPr>
          <w:sz w:val="18"/>
        </w:rPr>
        <w:t>documented</w:t>
      </w:r>
      <w:r>
        <w:rPr>
          <w:spacing w:val="-4"/>
          <w:sz w:val="18"/>
        </w:rPr>
        <w:t xml:space="preserve"> </w:t>
      </w:r>
      <w:r>
        <w:rPr>
          <w:sz w:val="18"/>
        </w:rPr>
        <w:t>methods</w:t>
      </w:r>
      <w:r>
        <w:rPr>
          <w:spacing w:val="-3"/>
          <w:sz w:val="18"/>
        </w:rPr>
        <w:t xml:space="preserve"> </w:t>
      </w:r>
      <w:r>
        <w:rPr>
          <w:sz w:val="18"/>
        </w:rPr>
        <w:t>to</w:t>
      </w:r>
      <w:r>
        <w:rPr>
          <w:spacing w:val="-4"/>
          <w:sz w:val="18"/>
        </w:rPr>
        <w:t xml:space="preserve"> </w:t>
      </w:r>
      <w:r>
        <w:rPr>
          <w:sz w:val="18"/>
        </w:rPr>
        <w:t>determine</w:t>
      </w:r>
      <w:r>
        <w:rPr>
          <w:spacing w:val="-4"/>
          <w:sz w:val="18"/>
        </w:rPr>
        <w:t xml:space="preserve"> </w:t>
      </w:r>
      <w:r>
        <w:rPr>
          <w:sz w:val="18"/>
        </w:rPr>
        <w:t>if</w:t>
      </w:r>
      <w:r>
        <w:rPr>
          <w:spacing w:val="-3"/>
          <w:sz w:val="18"/>
        </w:rPr>
        <w:t xml:space="preserve"> </w:t>
      </w:r>
      <w:r>
        <w:rPr>
          <w:sz w:val="18"/>
        </w:rPr>
        <w:t>financial</w:t>
      </w:r>
      <w:r>
        <w:rPr>
          <w:spacing w:val="-3"/>
          <w:sz w:val="18"/>
        </w:rPr>
        <w:t xml:space="preserve"> </w:t>
      </w:r>
      <w:r>
        <w:rPr>
          <w:sz w:val="18"/>
        </w:rPr>
        <w:t>management systems comply substantially with FFMIA requirements.</w:t>
      </w:r>
    </w:p>
    <w:p w14:paraId="0DFDB239" w14:textId="77777777" w:rsidR="00046465" w:rsidRDefault="00046465">
      <w:pPr>
        <w:rPr>
          <w:sz w:val="18"/>
        </w:rPr>
        <w:sectPr w:rsidR="00046465">
          <w:pgSz w:w="12240" w:h="15840"/>
          <w:pgMar w:top="1600" w:right="720" w:bottom="940" w:left="1080" w:header="721" w:footer="757" w:gutter="0"/>
          <w:cols w:space="720"/>
        </w:sectPr>
      </w:pPr>
    </w:p>
    <w:p w14:paraId="0DFDB23A" w14:textId="77777777" w:rsidR="00046465" w:rsidRDefault="00046465">
      <w:pPr>
        <w:pStyle w:val="BodyText"/>
        <w:spacing w:before="4"/>
        <w:rPr>
          <w:sz w:val="11"/>
        </w:rPr>
      </w:pPr>
    </w:p>
    <w:tbl>
      <w:tblPr>
        <w:tblW w:w="0" w:type="auto"/>
        <w:tblInd w:w="37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060"/>
        <w:gridCol w:w="1170"/>
        <w:gridCol w:w="1249"/>
      </w:tblGrid>
      <w:tr w:rsidR="00046465" w14:paraId="0DFDB240" w14:textId="77777777">
        <w:trPr>
          <w:trHeight w:val="745"/>
        </w:trPr>
        <w:tc>
          <w:tcPr>
            <w:tcW w:w="7060" w:type="dxa"/>
            <w:tcBorders>
              <w:right w:val="single" w:sz="4" w:space="0" w:color="000000"/>
            </w:tcBorders>
          </w:tcPr>
          <w:p w14:paraId="0DFDB23B" w14:textId="77777777" w:rsidR="00046465" w:rsidRDefault="00046465">
            <w:pPr>
              <w:pStyle w:val="TableParagraph"/>
              <w:spacing w:before="120"/>
            </w:pPr>
          </w:p>
          <w:p w14:paraId="0DFDB23C" w14:textId="77777777" w:rsidR="00046465" w:rsidRDefault="008134EB">
            <w:pPr>
              <w:pStyle w:val="TableParagraph"/>
              <w:spacing w:before="1"/>
              <w:ind w:left="97"/>
              <w:rPr>
                <w:b/>
              </w:rPr>
            </w:pPr>
            <w:r>
              <w:rPr>
                <w:b/>
                <w:spacing w:val="-2"/>
              </w:rPr>
              <w:t>Procedure</w:t>
            </w:r>
          </w:p>
        </w:tc>
        <w:tc>
          <w:tcPr>
            <w:tcW w:w="1170" w:type="dxa"/>
            <w:tcBorders>
              <w:left w:val="single" w:sz="4" w:space="0" w:color="000000"/>
              <w:right w:val="single" w:sz="4" w:space="0" w:color="000000"/>
            </w:tcBorders>
          </w:tcPr>
          <w:p w14:paraId="0DFDB23D" w14:textId="77777777" w:rsidR="00046465" w:rsidRDefault="008134EB">
            <w:pPr>
              <w:pStyle w:val="TableParagraph"/>
              <w:spacing w:before="120"/>
              <w:ind w:left="107" w:right="144"/>
              <w:rPr>
                <w:b/>
              </w:rPr>
            </w:pPr>
            <w:r>
              <w:rPr>
                <w:b/>
                <w:spacing w:val="-2"/>
              </w:rPr>
              <w:t xml:space="preserve">Initials/ </w:t>
            </w:r>
            <w:r>
              <w:rPr>
                <w:b/>
                <w:spacing w:val="-4"/>
              </w:rPr>
              <w:t>date</w:t>
            </w:r>
          </w:p>
        </w:tc>
        <w:tc>
          <w:tcPr>
            <w:tcW w:w="1249" w:type="dxa"/>
            <w:tcBorders>
              <w:left w:val="single" w:sz="4" w:space="0" w:color="000000"/>
            </w:tcBorders>
          </w:tcPr>
          <w:p w14:paraId="0DFDB23E" w14:textId="77777777" w:rsidR="00046465" w:rsidRDefault="00046465">
            <w:pPr>
              <w:pStyle w:val="TableParagraph"/>
              <w:spacing w:before="120"/>
            </w:pPr>
          </w:p>
          <w:p w14:paraId="0DFDB23F" w14:textId="77777777" w:rsidR="00046465" w:rsidRDefault="008134EB">
            <w:pPr>
              <w:pStyle w:val="TableParagraph"/>
              <w:spacing w:before="1"/>
              <w:ind w:left="107"/>
              <w:rPr>
                <w:b/>
              </w:rPr>
            </w:pPr>
            <w:r>
              <w:rPr>
                <w:b/>
              </w:rPr>
              <w:t>Doc.</w:t>
            </w:r>
            <w:r>
              <w:rPr>
                <w:b/>
                <w:spacing w:val="-6"/>
              </w:rPr>
              <w:t xml:space="preserve"> </w:t>
            </w:r>
            <w:r>
              <w:rPr>
                <w:b/>
                <w:spacing w:val="-4"/>
              </w:rPr>
              <w:t>ref.</w:t>
            </w:r>
          </w:p>
        </w:tc>
      </w:tr>
      <w:tr w:rsidR="00046465" w14:paraId="0DFDB24C" w14:textId="77777777">
        <w:trPr>
          <w:trHeight w:val="11749"/>
        </w:trPr>
        <w:tc>
          <w:tcPr>
            <w:tcW w:w="7060" w:type="dxa"/>
            <w:tcBorders>
              <w:right w:val="single" w:sz="4" w:space="0" w:color="000000"/>
            </w:tcBorders>
          </w:tcPr>
          <w:p w14:paraId="0DFDB241" w14:textId="77777777" w:rsidR="00046465" w:rsidRDefault="008134EB">
            <w:pPr>
              <w:pStyle w:val="TableParagraph"/>
              <w:spacing w:line="224" w:lineRule="exact"/>
              <w:ind w:left="1336"/>
            </w:pPr>
            <w:r>
              <w:t>management’s</w:t>
            </w:r>
            <w:r>
              <w:rPr>
                <w:spacing w:val="-9"/>
              </w:rPr>
              <w:t xml:space="preserve"> </w:t>
            </w:r>
            <w:r>
              <w:t>documentation</w:t>
            </w:r>
            <w:r>
              <w:rPr>
                <w:spacing w:val="-9"/>
              </w:rPr>
              <w:t xml:space="preserve"> </w:t>
            </w:r>
            <w:r>
              <w:t>is</w:t>
            </w:r>
            <w:r>
              <w:rPr>
                <w:spacing w:val="-9"/>
              </w:rPr>
              <w:t xml:space="preserve"> </w:t>
            </w:r>
            <w:r>
              <w:t>inadequate</w:t>
            </w:r>
            <w:r>
              <w:rPr>
                <w:spacing w:val="-9"/>
              </w:rPr>
              <w:t xml:space="preserve"> </w:t>
            </w:r>
            <w:r>
              <w:t>or</w:t>
            </w:r>
            <w:r>
              <w:rPr>
                <w:spacing w:val="-9"/>
              </w:rPr>
              <w:t xml:space="preserve"> </w:t>
            </w:r>
            <w:r>
              <w:t>does</w:t>
            </w:r>
            <w:r>
              <w:rPr>
                <w:spacing w:val="-9"/>
              </w:rPr>
              <w:t xml:space="preserve"> </w:t>
            </w:r>
            <w:r>
              <w:rPr>
                <w:spacing w:val="-5"/>
              </w:rPr>
              <w:t>not</w:t>
            </w:r>
          </w:p>
          <w:p w14:paraId="0DFDB242" w14:textId="77777777" w:rsidR="00046465" w:rsidRDefault="008134EB">
            <w:pPr>
              <w:pStyle w:val="TableParagraph"/>
              <w:ind w:left="1336" w:right="181"/>
            </w:pPr>
            <w:r>
              <w:t>exist, perform tests to determine whether the agency’s financial</w:t>
            </w:r>
            <w:r>
              <w:rPr>
                <w:spacing w:val="-7"/>
              </w:rPr>
              <w:t xml:space="preserve"> </w:t>
            </w:r>
            <w:r>
              <w:t>management</w:t>
            </w:r>
            <w:r>
              <w:rPr>
                <w:spacing w:val="-7"/>
              </w:rPr>
              <w:t xml:space="preserve"> </w:t>
            </w:r>
            <w:r>
              <w:t>systems</w:t>
            </w:r>
            <w:r>
              <w:rPr>
                <w:spacing w:val="-7"/>
              </w:rPr>
              <w:t xml:space="preserve"> </w:t>
            </w:r>
            <w:r>
              <w:t>satisfy</w:t>
            </w:r>
            <w:r>
              <w:rPr>
                <w:spacing w:val="-7"/>
              </w:rPr>
              <w:t xml:space="preserve"> </w:t>
            </w:r>
            <w:r>
              <w:t>the</w:t>
            </w:r>
            <w:r>
              <w:rPr>
                <w:spacing w:val="-7"/>
              </w:rPr>
              <w:t xml:space="preserve"> </w:t>
            </w:r>
            <w:r>
              <w:t>FFMSRs.</w:t>
            </w:r>
            <w:r>
              <w:rPr>
                <w:spacing w:val="-7"/>
              </w:rPr>
              <w:t xml:space="preserve"> </w:t>
            </w:r>
            <w:r>
              <w:t>To the extent possible, coordinate such tests with control and</w:t>
            </w:r>
            <w:r>
              <w:rPr>
                <w:spacing w:val="-1"/>
              </w:rPr>
              <w:t xml:space="preserve"> </w:t>
            </w:r>
            <w:r>
              <w:t>substantive</w:t>
            </w:r>
            <w:r>
              <w:rPr>
                <w:spacing w:val="-1"/>
              </w:rPr>
              <w:t xml:space="preserve"> </w:t>
            </w:r>
            <w:r>
              <w:t>tests</w:t>
            </w:r>
            <w:r>
              <w:rPr>
                <w:spacing w:val="-1"/>
              </w:rPr>
              <w:t xml:space="preserve"> </w:t>
            </w:r>
            <w:r>
              <w:t>performed</w:t>
            </w:r>
            <w:r>
              <w:rPr>
                <w:spacing w:val="-1"/>
              </w:rPr>
              <w:t xml:space="preserve"> </w:t>
            </w:r>
            <w:r>
              <w:t>as</w:t>
            </w:r>
            <w:r>
              <w:rPr>
                <w:spacing w:val="-1"/>
              </w:rPr>
              <w:t xml:space="preserve"> </w:t>
            </w:r>
            <w:r>
              <w:t>part</w:t>
            </w:r>
            <w:r>
              <w:rPr>
                <w:spacing w:val="-1"/>
              </w:rPr>
              <w:t xml:space="preserve"> </w:t>
            </w:r>
            <w:r>
              <w:t>of</w:t>
            </w:r>
            <w:r>
              <w:rPr>
                <w:spacing w:val="-1"/>
              </w:rPr>
              <w:t xml:space="preserve"> </w:t>
            </w:r>
            <w:r>
              <w:t>the</w:t>
            </w:r>
            <w:r>
              <w:rPr>
                <w:spacing w:val="-1"/>
              </w:rPr>
              <w:t xml:space="preserve"> </w:t>
            </w:r>
            <w:r>
              <w:t>financial statement audit.</w:t>
            </w:r>
          </w:p>
          <w:p w14:paraId="0DFDB243" w14:textId="77777777" w:rsidR="00046465" w:rsidRDefault="008134EB">
            <w:pPr>
              <w:pStyle w:val="TableParagraph"/>
              <w:numPr>
                <w:ilvl w:val="0"/>
                <w:numId w:val="196"/>
              </w:numPr>
              <w:tabs>
                <w:tab w:val="left" w:pos="1336"/>
              </w:tabs>
              <w:spacing w:before="120"/>
              <w:ind w:right="136"/>
            </w:pPr>
            <w:r>
              <w:t>For agencies using service providers for financial management systems, inspect the results of management’s documented methods of assessment, which may include the use of service organization reports, ongoing monitoring, separate evaluations, or a combination thereof. If management’s documentation is inadequate or does not exist, perform tests to determine whether the financial management systems operated or maintained by the agency’s service organization satisfy FFMSRs (e.g., inspect system documentation or other evidence developed by the agency’s service organizations). To the extent possible, coordinate such tests</w:t>
            </w:r>
            <w:r>
              <w:rPr>
                <w:spacing w:val="-5"/>
              </w:rPr>
              <w:t xml:space="preserve"> </w:t>
            </w:r>
            <w:r>
              <w:t>with</w:t>
            </w:r>
            <w:r>
              <w:rPr>
                <w:spacing w:val="-5"/>
              </w:rPr>
              <w:t xml:space="preserve"> </w:t>
            </w:r>
            <w:r>
              <w:t>control</w:t>
            </w:r>
            <w:r>
              <w:rPr>
                <w:spacing w:val="-5"/>
              </w:rPr>
              <w:t xml:space="preserve"> </w:t>
            </w:r>
            <w:r>
              <w:t>and</w:t>
            </w:r>
            <w:r>
              <w:rPr>
                <w:spacing w:val="-5"/>
              </w:rPr>
              <w:t xml:space="preserve"> </w:t>
            </w:r>
            <w:r>
              <w:t>substantive</w:t>
            </w:r>
            <w:r>
              <w:rPr>
                <w:spacing w:val="-5"/>
              </w:rPr>
              <w:t xml:space="preserve"> </w:t>
            </w:r>
            <w:r>
              <w:t>tests</w:t>
            </w:r>
            <w:r>
              <w:rPr>
                <w:spacing w:val="-5"/>
              </w:rPr>
              <w:t xml:space="preserve"> </w:t>
            </w:r>
            <w:r>
              <w:t>performed</w:t>
            </w:r>
            <w:r>
              <w:rPr>
                <w:spacing w:val="-5"/>
              </w:rPr>
              <w:t xml:space="preserve"> </w:t>
            </w:r>
            <w:r>
              <w:t>as</w:t>
            </w:r>
            <w:r>
              <w:rPr>
                <w:spacing w:val="-5"/>
              </w:rPr>
              <w:t xml:space="preserve"> </w:t>
            </w:r>
            <w:r>
              <w:t>part of the financial statement audit.</w:t>
            </w:r>
          </w:p>
          <w:p w14:paraId="0DFDB244" w14:textId="77777777" w:rsidR="00046465" w:rsidRDefault="008134EB">
            <w:pPr>
              <w:pStyle w:val="TableParagraph"/>
              <w:numPr>
                <w:ilvl w:val="0"/>
                <w:numId w:val="196"/>
              </w:numPr>
              <w:tabs>
                <w:tab w:val="left" w:pos="1336"/>
              </w:tabs>
              <w:spacing w:before="121"/>
              <w:ind w:right="211"/>
            </w:pPr>
            <w:r>
              <w:t>Inquire about changes to the agency’s financial management</w:t>
            </w:r>
            <w:r>
              <w:rPr>
                <w:spacing w:val="-6"/>
              </w:rPr>
              <w:t xml:space="preserve"> </w:t>
            </w:r>
            <w:r>
              <w:t>systems,</w:t>
            </w:r>
            <w:r>
              <w:rPr>
                <w:spacing w:val="-6"/>
              </w:rPr>
              <w:t xml:space="preserve"> </w:t>
            </w:r>
            <w:r>
              <w:t>including</w:t>
            </w:r>
            <w:r>
              <w:rPr>
                <w:spacing w:val="-6"/>
              </w:rPr>
              <w:t xml:space="preserve"> </w:t>
            </w:r>
            <w:r>
              <w:t>any</w:t>
            </w:r>
            <w:r>
              <w:rPr>
                <w:spacing w:val="-7"/>
              </w:rPr>
              <w:t xml:space="preserve"> </w:t>
            </w:r>
            <w:r>
              <w:t>new</w:t>
            </w:r>
            <w:r>
              <w:rPr>
                <w:spacing w:val="-7"/>
              </w:rPr>
              <w:t xml:space="preserve"> </w:t>
            </w:r>
            <w:r>
              <w:t>functionality.</w:t>
            </w:r>
            <w:r>
              <w:rPr>
                <w:spacing w:val="-6"/>
              </w:rPr>
              <w:t xml:space="preserve"> </w:t>
            </w:r>
            <w:r>
              <w:t>If applicable,</w:t>
            </w:r>
            <w:r>
              <w:rPr>
                <w:spacing w:val="-1"/>
              </w:rPr>
              <w:t xml:space="preserve"> </w:t>
            </w:r>
            <w:r>
              <w:t>determine whether such changes have been incorporated into the system documentation or other management-developed evidence or the agency’s service organizations to demonstrate that the systems satisfy FFMSRs.</w:t>
            </w:r>
          </w:p>
          <w:p w14:paraId="0DFDB245" w14:textId="77777777" w:rsidR="00046465" w:rsidRDefault="008134EB">
            <w:pPr>
              <w:pStyle w:val="TableParagraph"/>
              <w:numPr>
                <w:ilvl w:val="0"/>
                <w:numId w:val="196"/>
              </w:numPr>
              <w:tabs>
                <w:tab w:val="left" w:pos="1336"/>
              </w:tabs>
              <w:spacing w:before="119"/>
              <w:ind w:right="541"/>
            </w:pPr>
            <w:r>
              <w:t>Inspect the FFMIA Compliance Determination Framework</w:t>
            </w:r>
            <w:r>
              <w:rPr>
                <w:spacing w:val="-6"/>
              </w:rPr>
              <w:t xml:space="preserve"> </w:t>
            </w:r>
            <w:r>
              <w:t>completed</w:t>
            </w:r>
            <w:r>
              <w:rPr>
                <w:spacing w:val="-7"/>
              </w:rPr>
              <w:t xml:space="preserve"> </w:t>
            </w:r>
            <w:r>
              <w:t>by</w:t>
            </w:r>
            <w:r>
              <w:rPr>
                <w:spacing w:val="-7"/>
              </w:rPr>
              <w:t xml:space="preserve"> </w:t>
            </w:r>
            <w:r>
              <w:t>management</w:t>
            </w:r>
            <w:r>
              <w:rPr>
                <w:spacing w:val="-7"/>
              </w:rPr>
              <w:t xml:space="preserve"> </w:t>
            </w:r>
            <w:r>
              <w:t>in</w:t>
            </w:r>
            <w:r>
              <w:rPr>
                <w:spacing w:val="-7"/>
              </w:rPr>
              <w:t xml:space="preserve"> </w:t>
            </w:r>
            <w:r>
              <w:t>the</w:t>
            </w:r>
            <w:r>
              <w:rPr>
                <w:spacing w:val="-7"/>
              </w:rPr>
              <w:t xml:space="preserve"> </w:t>
            </w:r>
            <w:r>
              <w:t>current year’s assessment.</w:t>
            </w:r>
          </w:p>
          <w:p w14:paraId="0DFDB246" w14:textId="77777777" w:rsidR="00046465" w:rsidRDefault="008134EB">
            <w:pPr>
              <w:pStyle w:val="TableParagraph"/>
              <w:numPr>
                <w:ilvl w:val="0"/>
                <w:numId w:val="196"/>
              </w:numPr>
              <w:tabs>
                <w:tab w:val="left" w:pos="1336"/>
              </w:tabs>
              <w:spacing w:before="120"/>
              <w:ind w:right="296"/>
              <w:jc w:val="both"/>
            </w:pPr>
            <w:r>
              <w:t>Determine whether</w:t>
            </w:r>
            <w:r>
              <w:rPr>
                <w:spacing w:val="-1"/>
              </w:rPr>
              <w:t xml:space="preserve"> </w:t>
            </w:r>
            <w:r>
              <w:t>the</w:t>
            </w:r>
            <w:r>
              <w:rPr>
                <w:spacing w:val="-1"/>
              </w:rPr>
              <w:t xml:space="preserve"> </w:t>
            </w:r>
            <w:r>
              <w:t>agency’s</w:t>
            </w:r>
            <w:r>
              <w:rPr>
                <w:spacing w:val="-2"/>
              </w:rPr>
              <w:t xml:space="preserve"> </w:t>
            </w:r>
            <w:r>
              <w:t>financial</w:t>
            </w:r>
            <w:r>
              <w:rPr>
                <w:spacing w:val="-1"/>
              </w:rPr>
              <w:t xml:space="preserve"> </w:t>
            </w:r>
            <w:r>
              <w:t>management systems</w:t>
            </w:r>
            <w:r>
              <w:rPr>
                <w:spacing w:val="-4"/>
              </w:rPr>
              <w:t xml:space="preserve"> </w:t>
            </w:r>
            <w:r>
              <w:t>use</w:t>
            </w:r>
            <w:r>
              <w:rPr>
                <w:spacing w:val="-5"/>
              </w:rPr>
              <w:t xml:space="preserve"> </w:t>
            </w:r>
            <w:r>
              <w:t>financial</w:t>
            </w:r>
            <w:r>
              <w:rPr>
                <w:spacing w:val="-5"/>
              </w:rPr>
              <w:t xml:space="preserve"> </w:t>
            </w:r>
            <w:r>
              <w:t>data</w:t>
            </w:r>
            <w:r>
              <w:rPr>
                <w:spacing w:val="-4"/>
              </w:rPr>
              <w:t xml:space="preserve"> </w:t>
            </w:r>
            <w:r>
              <w:t>that</w:t>
            </w:r>
            <w:r>
              <w:rPr>
                <w:spacing w:val="-4"/>
              </w:rPr>
              <w:t xml:space="preserve"> </w:t>
            </w:r>
            <w:r>
              <w:t>can</w:t>
            </w:r>
            <w:r>
              <w:rPr>
                <w:spacing w:val="-4"/>
              </w:rPr>
              <w:t xml:space="preserve"> </w:t>
            </w:r>
            <w:r>
              <w:t>be</w:t>
            </w:r>
            <w:r>
              <w:rPr>
                <w:spacing w:val="-4"/>
              </w:rPr>
              <w:t xml:space="preserve"> </w:t>
            </w:r>
            <w:r>
              <w:t>traced</w:t>
            </w:r>
            <w:r>
              <w:rPr>
                <w:spacing w:val="-4"/>
              </w:rPr>
              <w:t xml:space="preserve"> </w:t>
            </w:r>
            <w:r>
              <w:t>directly</w:t>
            </w:r>
            <w:r>
              <w:rPr>
                <w:spacing w:val="-4"/>
              </w:rPr>
              <w:t xml:space="preserve"> </w:t>
            </w:r>
            <w:r>
              <w:t>to USSGL accounts to produce reports providing financial information for both internal and external reporting.</w:t>
            </w:r>
          </w:p>
          <w:p w14:paraId="0DFDB247" w14:textId="77777777" w:rsidR="00046465" w:rsidRDefault="008134EB">
            <w:pPr>
              <w:pStyle w:val="TableParagraph"/>
              <w:numPr>
                <w:ilvl w:val="1"/>
                <w:numId w:val="196"/>
              </w:numPr>
              <w:tabs>
                <w:tab w:val="left" w:pos="1695"/>
                <w:tab w:val="left" w:pos="1697"/>
              </w:tabs>
              <w:spacing w:before="120"/>
              <w:ind w:right="205"/>
            </w:pPr>
            <w:r>
              <w:t>If</w:t>
            </w:r>
            <w:r>
              <w:rPr>
                <w:spacing w:val="-5"/>
              </w:rPr>
              <w:t xml:space="preserve"> </w:t>
            </w:r>
            <w:r>
              <w:t>available,</w:t>
            </w:r>
            <w:r>
              <w:rPr>
                <w:spacing w:val="-5"/>
              </w:rPr>
              <w:t xml:space="preserve"> </w:t>
            </w:r>
            <w:r>
              <w:t>inspect</w:t>
            </w:r>
            <w:r>
              <w:rPr>
                <w:spacing w:val="-5"/>
              </w:rPr>
              <w:t xml:space="preserve"> </w:t>
            </w:r>
            <w:r>
              <w:t>the</w:t>
            </w:r>
            <w:r>
              <w:rPr>
                <w:spacing w:val="-5"/>
              </w:rPr>
              <w:t xml:space="preserve"> </w:t>
            </w:r>
            <w:r>
              <w:t>agency-developed</w:t>
            </w:r>
            <w:r>
              <w:rPr>
                <w:spacing w:val="-5"/>
              </w:rPr>
              <w:t xml:space="preserve"> </w:t>
            </w:r>
            <w:r>
              <w:t>crosswalk from its chart of accounts for the financial system to the</w:t>
            </w:r>
            <w:r>
              <w:rPr>
                <w:spacing w:val="-6"/>
              </w:rPr>
              <w:t xml:space="preserve"> </w:t>
            </w:r>
            <w:r>
              <w:t>USSGL.</w:t>
            </w:r>
            <w:r>
              <w:rPr>
                <w:spacing w:val="-5"/>
              </w:rPr>
              <w:t xml:space="preserve"> </w:t>
            </w:r>
            <w:r>
              <w:t>Perform</w:t>
            </w:r>
            <w:r>
              <w:rPr>
                <w:spacing w:val="-7"/>
              </w:rPr>
              <w:t xml:space="preserve"> </w:t>
            </w:r>
            <w:r>
              <w:t>tests</w:t>
            </w:r>
            <w:r>
              <w:rPr>
                <w:spacing w:val="-6"/>
              </w:rPr>
              <w:t xml:space="preserve"> </w:t>
            </w:r>
            <w:r>
              <w:t>to</w:t>
            </w:r>
            <w:r>
              <w:rPr>
                <w:spacing w:val="-6"/>
              </w:rPr>
              <w:t xml:space="preserve"> </w:t>
            </w:r>
            <w:r>
              <w:t>determine</w:t>
            </w:r>
            <w:r>
              <w:rPr>
                <w:spacing w:val="-6"/>
              </w:rPr>
              <w:t xml:space="preserve"> </w:t>
            </w:r>
            <w:r>
              <w:t>the</w:t>
            </w:r>
            <w:r>
              <w:rPr>
                <w:spacing w:val="-6"/>
              </w:rPr>
              <w:t xml:space="preserve"> </w:t>
            </w:r>
            <w:r>
              <w:t>accuracy of the crosswalk.</w:t>
            </w:r>
          </w:p>
          <w:p w14:paraId="0DFDB248" w14:textId="77777777" w:rsidR="00046465" w:rsidRDefault="008134EB">
            <w:pPr>
              <w:pStyle w:val="TableParagraph"/>
              <w:numPr>
                <w:ilvl w:val="2"/>
                <w:numId w:val="196"/>
              </w:numPr>
              <w:tabs>
                <w:tab w:val="left" w:pos="2146"/>
              </w:tabs>
              <w:spacing w:before="120"/>
              <w:ind w:left="2146" w:hanging="288"/>
            </w:pPr>
            <w:r>
              <w:t>Trace</w:t>
            </w:r>
            <w:r>
              <w:rPr>
                <w:spacing w:val="-6"/>
              </w:rPr>
              <w:t xml:space="preserve"> </w:t>
            </w:r>
            <w:r>
              <w:t>all</w:t>
            </w:r>
            <w:r>
              <w:rPr>
                <w:spacing w:val="-5"/>
              </w:rPr>
              <w:t xml:space="preserve"> </w:t>
            </w:r>
            <w:r>
              <w:t>USSGL</w:t>
            </w:r>
            <w:r>
              <w:rPr>
                <w:spacing w:val="-6"/>
              </w:rPr>
              <w:t xml:space="preserve"> </w:t>
            </w:r>
            <w:r>
              <w:t>accounts</w:t>
            </w:r>
            <w:r>
              <w:rPr>
                <w:spacing w:val="-5"/>
              </w:rPr>
              <w:t xml:space="preserve"> </w:t>
            </w:r>
            <w:r>
              <w:t>to</w:t>
            </w:r>
            <w:r>
              <w:rPr>
                <w:spacing w:val="-6"/>
              </w:rPr>
              <w:t xml:space="preserve"> </w:t>
            </w:r>
            <w:r>
              <w:t>the</w:t>
            </w:r>
            <w:r>
              <w:rPr>
                <w:spacing w:val="-5"/>
              </w:rPr>
              <w:t xml:space="preserve"> </w:t>
            </w:r>
            <w:r>
              <w:rPr>
                <w:spacing w:val="-2"/>
              </w:rPr>
              <w:t>crosswalk.</w:t>
            </w:r>
          </w:p>
          <w:p w14:paraId="0DFDB249" w14:textId="77777777" w:rsidR="00046465" w:rsidRDefault="008134EB">
            <w:pPr>
              <w:pStyle w:val="TableParagraph"/>
              <w:numPr>
                <w:ilvl w:val="2"/>
                <w:numId w:val="196"/>
              </w:numPr>
              <w:tabs>
                <w:tab w:val="left" w:pos="2144"/>
                <w:tab w:val="left" w:pos="2147"/>
              </w:tabs>
              <w:spacing w:before="120"/>
              <w:ind w:right="255" w:hanging="339"/>
            </w:pPr>
            <w:r>
              <w:t>Identify any USSGL accounts that are not included in the crosswalk. Identify any agency accounts</w:t>
            </w:r>
            <w:r>
              <w:rPr>
                <w:spacing w:val="-7"/>
              </w:rPr>
              <w:t xml:space="preserve"> </w:t>
            </w:r>
            <w:r>
              <w:t>not</w:t>
            </w:r>
            <w:r>
              <w:rPr>
                <w:spacing w:val="-7"/>
              </w:rPr>
              <w:t xml:space="preserve"> </w:t>
            </w:r>
            <w:r>
              <w:t>associated</w:t>
            </w:r>
            <w:r>
              <w:rPr>
                <w:spacing w:val="-7"/>
              </w:rPr>
              <w:t xml:space="preserve"> </w:t>
            </w:r>
            <w:r>
              <w:t>with</w:t>
            </w:r>
            <w:r>
              <w:rPr>
                <w:spacing w:val="-7"/>
              </w:rPr>
              <w:t xml:space="preserve"> </w:t>
            </w:r>
            <w:r>
              <w:t>a</w:t>
            </w:r>
            <w:r>
              <w:rPr>
                <w:spacing w:val="-7"/>
              </w:rPr>
              <w:t xml:space="preserve"> </w:t>
            </w:r>
            <w:r>
              <w:t>USSGL</w:t>
            </w:r>
            <w:r>
              <w:rPr>
                <w:spacing w:val="-7"/>
              </w:rPr>
              <w:t xml:space="preserve"> </w:t>
            </w:r>
            <w:r>
              <w:t>account in the crosswalk.</w:t>
            </w:r>
          </w:p>
        </w:tc>
        <w:tc>
          <w:tcPr>
            <w:tcW w:w="1170" w:type="dxa"/>
            <w:tcBorders>
              <w:left w:val="single" w:sz="4" w:space="0" w:color="000000"/>
              <w:right w:val="single" w:sz="4" w:space="0" w:color="000000"/>
            </w:tcBorders>
          </w:tcPr>
          <w:p w14:paraId="0DFDB24A" w14:textId="77777777" w:rsidR="00046465" w:rsidRDefault="00046465">
            <w:pPr>
              <w:pStyle w:val="TableParagraph"/>
              <w:rPr>
                <w:rFonts w:ascii="Times New Roman"/>
                <w:sz w:val="20"/>
              </w:rPr>
            </w:pPr>
          </w:p>
        </w:tc>
        <w:tc>
          <w:tcPr>
            <w:tcW w:w="1249" w:type="dxa"/>
            <w:tcBorders>
              <w:left w:val="single" w:sz="4" w:space="0" w:color="000000"/>
            </w:tcBorders>
          </w:tcPr>
          <w:p w14:paraId="0DFDB24B" w14:textId="77777777" w:rsidR="00046465" w:rsidRDefault="00046465">
            <w:pPr>
              <w:pStyle w:val="TableParagraph"/>
              <w:rPr>
                <w:rFonts w:ascii="Times New Roman"/>
                <w:sz w:val="20"/>
              </w:rPr>
            </w:pPr>
          </w:p>
        </w:tc>
      </w:tr>
    </w:tbl>
    <w:p w14:paraId="0DFDB24D" w14:textId="77777777" w:rsidR="00046465" w:rsidRDefault="00046465">
      <w:pPr>
        <w:pStyle w:val="TableParagraph"/>
        <w:rPr>
          <w:rFonts w:ascii="Times New Roman"/>
          <w:sz w:val="20"/>
        </w:rPr>
        <w:sectPr w:rsidR="00046465">
          <w:pgSz w:w="12240" w:h="15840"/>
          <w:pgMar w:top="1600" w:right="720" w:bottom="940" w:left="1080" w:header="721" w:footer="757" w:gutter="0"/>
          <w:cols w:space="720"/>
        </w:sectPr>
      </w:pPr>
    </w:p>
    <w:p w14:paraId="0DFDB24E" w14:textId="77777777" w:rsidR="00046465" w:rsidRDefault="00046465">
      <w:pPr>
        <w:pStyle w:val="BodyText"/>
        <w:spacing w:before="4"/>
        <w:rPr>
          <w:sz w:val="11"/>
        </w:rPr>
      </w:pPr>
    </w:p>
    <w:tbl>
      <w:tblPr>
        <w:tblW w:w="0" w:type="auto"/>
        <w:tblInd w:w="37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060"/>
        <w:gridCol w:w="1170"/>
        <w:gridCol w:w="1249"/>
      </w:tblGrid>
      <w:tr w:rsidR="00046465" w14:paraId="0DFDB254" w14:textId="77777777">
        <w:trPr>
          <w:trHeight w:val="745"/>
        </w:trPr>
        <w:tc>
          <w:tcPr>
            <w:tcW w:w="7060" w:type="dxa"/>
            <w:tcBorders>
              <w:right w:val="single" w:sz="4" w:space="0" w:color="000000"/>
            </w:tcBorders>
          </w:tcPr>
          <w:p w14:paraId="0DFDB24F" w14:textId="77777777" w:rsidR="00046465" w:rsidRDefault="00046465">
            <w:pPr>
              <w:pStyle w:val="TableParagraph"/>
              <w:spacing w:before="120"/>
            </w:pPr>
          </w:p>
          <w:p w14:paraId="0DFDB250" w14:textId="77777777" w:rsidR="00046465" w:rsidRDefault="008134EB">
            <w:pPr>
              <w:pStyle w:val="TableParagraph"/>
              <w:spacing w:before="1"/>
              <w:ind w:left="97"/>
              <w:rPr>
                <w:b/>
              </w:rPr>
            </w:pPr>
            <w:r>
              <w:rPr>
                <w:b/>
                <w:spacing w:val="-2"/>
              </w:rPr>
              <w:t>Procedure</w:t>
            </w:r>
          </w:p>
        </w:tc>
        <w:tc>
          <w:tcPr>
            <w:tcW w:w="1170" w:type="dxa"/>
            <w:tcBorders>
              <w:left w:val="single" w:sz="4" w:space="0" w:color="000000"/>
              <w:right w:val="single" w:sz="4" w:space="0" w:color="000000"/>
            </w:tcBorders>
          </w:tcPr>
          <w:p w14:paraId="0DFDB251" w14:textId="77777777" w:rsidR="00046465" w:rsidRDefault="008134EB">
            <w:pPr>
              <w:pStyle w:val="TableParagraph"/>
              <w:spacing w:before="120"/>
              <w:ind w:left="107" w:right="144"/>
              <w:rPr>
                <w:b/>
              </w:rPr>
            </w:pPr>
            <w:r>
              <w:rPr>
                <w:b/>
                <w:spacing w:val="-2"/>
              </w:rPr>
              <w:t xml:space="preserve">Initials/ </w:t>
            </w:r>
            <w:r>
              <w:rPr>
                <w:b/>
                <w:spacing w:val="-4"/>
              </w:rPr>
              <w:t>date</w:t>
            </w:r>
          </w:p>
        </w:tc>
        <w:tc>
          <w:tcPr>
            <w:tcW w:w="1249" w:type="dxa"/>
            <w:tcBorders>
              <w:left w:val="single" w:sz="4" w:space="0" w:color="000000"/>
            </w:tcBorders>
          </w:tcPr>
          <w:p w14:paraId="0DFDB252" w14:textId="77777777" w:rsidR="00046465" w:rsidRDefault="00046465">
            <w:pPr>
              <w:pStyle w:val="TableParagraph"/>
              <w:spacing w:before="120"/>
            </w:pPr>
          </w:p>
          <w:p w14:paraId="0DFDB253" w14:textId="77777777" w:rsidR="00046465" w:rsidRDefault="008134EB">
            <w:pPr>
              <w:pStyle w:val="TableParagraph"/>
              <w:spacing w:before="1"/>
              <w:ind w:left="107"/>
              <w:rPr>
                <w:b/>
              </w:rPr>
            </w:pPr>
            <w:r>
              <w:rPr>
                <w:b/>
              </w:rPr>
              <w:t>Doc.</w:t>
            </w:r>
            <w:r>
              <w:rPr>
                <w:b/>
                <w:spacing w:val="-6"/>
              </w:rPr>
              <w:t xml:space="preserve"> </w:t>
            </w:r>
            <w:r>
              <w:rPr>
                <w:b/>
                <w:spacing w:val="-4"/>
              </w:rPr>
              <w:t>ref.</w:t>
            </w:r>
          </w:p>
        </w:tc>
      </w:tr>
      <w:tr w:rsidR="00046465" w14:paraId="0DFDB25A" w14:textId="77777777">
        <w:trPr>
          <w:trHeight w:val="4146"/>
        </w:trPr>
        <w:tc>
          <w:tcPr>
            <w:tcW w:w="7060" w:type="dxa"/>
            <w:tcBorders>
              <w:bottom w:val="single" w:sz="4" w:space="0" w:color="000000"/>
              <w:right w:val="single" w:sz="4" w:space="0" w:color="000000"/>
            </w:tcBorders>
          </w:tcPr>
          <w:p w14:paraId="0DFDB255" w14:textId="77777777" w:rsidR="00046465" w:rsidRDefault="008134EB">
            <w:pPr>
              <w:pStyle w:val="TableParagraph"/>
              <w:numPr>
                <w:ilvl w:val="0"/>
                <w:numId w:val="195"/>
              </w:numPr>
              <w:tabs>
                <w:tab w:val="left" w:pos="1695"/>
                <w:tab w:val="left" w:pos="1697"/>
              </w:tabs>
              <w:spacing w:before="30"/>
              <w:ind w:right="190"/>
            </w:pPr>
            <w:r>
              <w:t>If an agency-developed crosswalk is not available, compare the chart of accounts for the agency’s financial</w:t>
            </w:r>
            <w:r>
              <w:rPr>
                <w:spacing w:val="-6"/>
              </w:rPr>
              <w:t xml:space="preserve"> </w:t>
            </w:r>
            <w:r>
              <w:t>system</w:t>
            </w:r>
            <w:r>
              <w:rPr>
                <w:spacing w:val="-6"/>
              </w:rPr>
              <w:t xml:space="preserve"> </w:t>
            </w:r>
            <w:r>
              <w:t>to</w:t>
            </w:r>
            <w:r>
              <w:rPr>
                <w:spacing w:val="-5"/>
              </w:rPr>
              <w:t xml:space="preserve"> </w:t>
            </w:r>
            <w:r>
              <w:t>the</w:t>
            </w:r>
            <w:r>
              <w:rPr>
                <w:spacing w:val="-5"/>
              </w:rPr>
              <w:t xml:space="preserve"> </w:t>
            </w:r>
            <w:r>
              <w:t>USSGL</w:t>
            </w:r>
            <w:r>
              <w:rPr>
                <w:spacing w:val="-5"/>
              </w:rPr>
              <w:t xml:space="preserve"> </w:t>
            </w:r>
            <w:r>
              <w:t>chart</w:t>
            </w:r>
            <w:r>
              <w:rPr>
                <w:spacing w:val="-4"/>
              </w:rPr>
              <w:t xml:space="preserve"> </w:t>
            </w:r>
            <w:r>
              <w:t>of</w:t>
            </w:r>
            <w:r>
              <w:rPr>
                <w:spacing w:val="-5"/>
              </w:rPr>
              <w:t xml:space="preserve"> </w:t>
            </w:r>
            <w:r>
              <w:t>accounts</w:t>
            </w:r>
            <w:r>
              <w:rPr>
                <w:spacing w:val="-6"/>
              </w:rPr>
              <w:t xml:space="preserve"> </w:t>
            </w:r>
            <w:r>
              <w:t>and follow up on any exceptions.</w:t>
            </w:r>
          </w:p>
          <w:p w14:paraId="0DFDB256" w14:textId="77777777" w:rsidR="00046465" w:rsidRDefault="008134EB">
            <w:pPr>
              <w:pStyle w:val="TableParagraph"/>
              <w:numPr>
                <w:ilvl w:val="0"/>
                <w:numId w:val="195"/>
              </w:numPr>
              <w:tabs>
                <w:tab w:val="left" w:pos="1695"/>
                <w:tab w:val="left" w:pos="1697"/>
              </w:tabs>
              <w:spacing w:before="127" w:line="247" w:lineRule="auto"/>
              <w:ind w:right="131" w:hanging="351"/>
            </w:pPr>
            <w:r>
              <w:t>Compare</w:t>
            </w:r>
            <w:r>
              <w:rPr>
                <w:spacing w:val="-5"/>
              </w:rPr>
              <w:t xml:space="preserve"> </w:t>
            </w:r>
            <w:r>
              <w:t>the</w:t>
            </w:r>
            <w:r>
              <w:rPr>
                <w:spacing w:val="-5"/>
              </w:rPr>
              <w:t xml:space="preserve"> </w:t>
            </w:r>
            <w:r>
              <w:t>financial</w:t>
            </w:r>
            <w:r>
              <w:rPr>
                <w:spacing w:val="-6"/>
              </w:rPr>
              <w:t xml:space="preserve"> </w:t>
            </w:r>
            <w:r>
              <w:t>system’s</w:t>
            </w:r>
            <w:r>
              <w:rPr>
                <w:spacing w:val="-5"/>
              </w:rPr>
              <w:t xml:space="preserve"> </w:t>
            </w:r>
            <w:r>
              <w:t>posting</w:t>
            </w:r>
            <w:r>
              <w:rPr>
                <w:spacing w:val="-5"/>
              </w:rPr>
              <w:t xml:space="preserve"> </w:t>
            </w:r>
            <w:r>
              <w:t>rules</w:t>
            </w:r>
            <w:r>
              <w:rPr>
                <w:spacing w:val="-5"/>
              </w:rPr>
              <w:t xml:space="preserve"> </w:t>
            </w:r>
            <w:r>
              <w:t>to</w:t>
            </w:r>
            <w:r>
              <w:rPr>
                <w:spacing w:val="-5"/>
              </w:rPr>
              <w:t xml:space="preserve"> </w:t>
            </w:r>
            <w:r>
              <w:t>those included in the USSGL to determine whether they conform to the USSGL.</w:t>
            </w:r>
          </w:p>
          <w:p w14:paraId="0DFDB257" w14:textId="77777777" w:rsidR="00046465" w:rsidRDefault="008134EB">
            <w:pPr>
              <w:pStyle w:val="TableParagraph"/>
              <w:spacing w:before="111"/>
              <w:ind w:left="1336" w:right="181" w:hanging="360"/>
            </w:pPr>
            <w:r>
              <w:t>6.</w:t>
            </w:r>
            <w:r>
              <w:rPr>
                <w:spacing w:val="80"/>
              </w:rPr>
              <w:t xml:space="preserve"> </w:t>
            </w:r>
            <w:r>
              <w:t>Perform</w:t>
            </w:r>
            <w:r>
              <w:rPr>
                <w:spacing w:val="-5"/>
              </w:rPr>
              <w:t xml:space="preserve"> </w:t>
            </w:r>
            <w:r>
              <w:t>additional</w:t>
            </w:r>
            <w:r>
              <w:rPr>
                <w:spacing w:val="-5"/>
              </w:rPr>
              <w:t xml:space="preserve"> </w:t>
            </w:r>
            <w:r>
              <w:t>audit</w:t>
            </w:r>
            <w:r>
              <w:rPr>
                <w:spacing w:val="-5"/>
              </w:rPr>
              <w:t xml:space="preserve"> </w:t>
            </w:r>
            <w:r>
              <w:t>procedures,</w:t>
            </w:r>
            <w:r>
              <w:rPr>
                <w:spacing w:val="-5"/>
              </w:rPr>
              <w:t xml:space="preserve"> </w:t>
            </w:r>
            <w:r>
              <w:t>as</w:t>
            </w:r>
            <w:r>
              <w:rPr>
                <w:spacing w:val="-5"/>
              </w:rPr>
              <w:t xml:space="preserve"> </w:t>
            </w:r>
            <w:r>
              <w:t>appropriate,</w:t>
            </w:r>
            <w:r>
              <w:rPr>
                <w:spacing w:val="-5"/>
              </w:rPr>
              <w:t xml:space="preserve"> </w:t>
            </w:r>
            <w:r>
              <w:t>to obtain sufficient evidence to determine whether the agency’s financial management systems comply substantially with the three FFMIA requirements. For example, the auditor may determine that additional evidence is needed to assess systems covered by FFMIA that are not involved in processing financial transactions or preparing financial statements.</w:t>
            </w:r>
          </w:p>
        </w:tc>
        <w:tc>
          <w:tcPr>
            <w:tcW w:w="1170" w:type="dxa"/>
            <w:tcBorders>
              <w:left w:val="single" w:sz="4" w:space="0" w:color="000000"/>
              <w:bottom w:val="single" w:sz="4" w:space="0" w:color="000000"/>
              <w:right w:val="single" w:sz="4" w:space="0" w:color="000000"/>
            </w:tcBorders>
          </w:tcPr>
          <w:p w14:paraId="0DFDB258" w14:textId="77777777" w:rsidR="00046465" w:rsidRDefault="00046465">
            <w:pPr>
              <w:pStyle w:val="TableParagraph"/>
              <w:rPr>
                <w:rFonts w:ascii="Times New Roman"/>
                <w:sz w:val="20"/>
              </w:rPr>
            </w:pPr>
          </w:p>
        </w:tc>
        <w:tc>
          <w:tcPr>
            <w:tcW w:w="1249" w:type="dxa"/>
            <w:tcBorders>
              <w:left w:val="single" w:sz="4" w:space="0" w:color="000000"/>
              <w:bottom w:val="single" w:sz="4" w:space="0" w:color="000000"/>
            </w:tcBorders>
          </w:tcPr>
          <w:p w14:paraId="0DFDB259" w14:textId="77777777" w:rsidR="00046465" w:rsidRDefault="00046465">
            <w:pPr>
              <w:pStyle w:val="TableParagraph"/>
              <w:rPr>
                <w:rFonts w:ascii="Times New Roman"/>
                <w:sz w:val="20"/>
              </w:rPr>
            </w:pPr>
          </w:p>
        </w:tc>
      </w:tr>
      <w:tr w:rsidR="00046465" w14:paraId="0DFDB25E" w14:textId="77777777">
        <w:trPr>
          <w:trHeight w:val="1385"/>
        </w:trPr>
        <w:tc>
          <w:tcPr>
            <w:tcW w:w="7060" w:type="dxa"/>
            <w:tcBorders>
              <w:top w:val="single" w:sz="4" w:space="0" w:color="000000"/>
              <w:bottom w:val="single" w:sz="4" w:space="0" w:color="000000"/>
              <w:right w:val="single" w:sz="4" w:space="0" w:color="000000"/>
            </w:tcBorders>
          </w:tcPr>
          <w:p w14:paraId="0DFDB25B" w14:textId="77777777" w:rsidR="00046465" w:rsidRDefault="008134EB">
            <w:pPr>
              <w:pStyle w:val="TableParagraph"/>
              <w:spacing w:before="60"/>
              <w:ind w:left="974" w:right="181" w:hanging="360"/>
            </w:pPr>
            <w:r>
              <w:t>B.</w:t>
            </w:r>
            <w:r>
              <w:rPr>
                <w:spacing w:val="80"/>
              </w:rPr>
              <w:t xml:space="preserve"> </w:t>
            </w:r>
            <w:r>
              <w:t>Summarize results to determine whether the agency’s financial</w:t>
            </w:r>
            <w:r>
              <w:rPr>
                <w:spacing w:val="-7"/>
              </w:rPr>
              <w:t xml:space="preserve"> </w:t>
            </w:r>
            <w:r>
              <w:t>management</w:t>
            </w:r>
            <w:r>
              <w:rPr>
                <w:spacing w:val="-7"/>
              </w:rPr>
              <w:t xml:space="preserve"> </w:t>
            </w:r>
            <w:r>
              <w:t>systems</w:t>
            </w:r>
            <w:r>
              <w:rPr>
                <w:spacing w:val="-7"/>
              </w:rPr>
              <w:t xml:space="preserve"> </w:t>
            </w:r>
            <w:r>
              <w:t>comply</w:t>
            </w:r>
            <w:r>
              <w:rPr>
                <w:spacing w:val="-7"/>
              </w:rPr>
              <w:t xml:space="preserve"> </w:t>
            </w:r>
            <w:r>
              <w:t>substantially</w:t>
            </w:r>
            <w:r>
              <w:rPr>
                <w:spacing w:val="-7"/>
              </w:rPr>
              <w:t xml:space="preserve"> </w:t>
            </w:r>
            <w:r>
              <w:t>with</w:t>
            </w:r>
            <w:r>
              <w:rPr>
                <w:spacing w:val="-7"/>
              </w:rPr>
              <w:t xml:space="preserve"> </w:t>
            </w:r>
            <w:r>
              <w:t>the three FFMIA requirements. Where applicable, include the results of other audit procedures performed as part of the financial statement audit.</w:t>
            </w:r>
          </w:p>
        </w:tc>
        <w:tc>
          <w:tcPr>
            <w:tcW w:w="1170" w:type="dxa"/>
            <w:tcBorders>
              <w:top w:val="single" w:sz="4" w:space="0" w:color="000000"/>
              <w:left w:val="single" w:sz="4" w:space="0" w:color="000000"/>
              <w:bottom w:val="single" w:sz="4" w:space="0" w:color="000000"/>
              <w:right w:val="single" w:sz="4" w:space="0" w:color="000000"/>
            </w:tcBorders>
          </w:tcPr>
          <w:p w14:paraId="0DFDB25C" w14:textId="77777777" w:rsidR="00046465" w:rsidRDefault="00046465">
            <w:pPr>
              <w:pStyle w:val="TableParagraph"/>
              <w:rPr>
                <w:rFonts w:ascii="Times New Roman"/>
                <w:sz w:val="20"/>
              </w:rPr>
            </w:pPr>
          </w:p>
        </w:tc>
        <w:tc>
          <w:tcPr>
            <w:tcW w:w="1249" w:type="dxa"/>
            <w:tcBorders>
              <w:top w:val="single" w:sz="4" w:space="0" w:color="000000"/>
              <w:left w:val="single" w:sz="4" w:space="0" w:color="000000"/>
              <w:bottom w:val="single" w:sz="4" w:space="0" w:color="000000"/>
            </w:tcBorders>
          </w:tcPr>
          <w:p w14:paraId="0DFDB25D" w14:textId="77777777" w:rsidR="00046465" w:rsidRDefault="00046465">
            <w:pPr>
              <w:pStyle w:val="TableParagraph"/>
              <w:rPr>
                <w:rFonts w:ascii="Times New Roman"/>
                <w:sz w:val="20"/>
              </w:rPr>
            </w:pPr>
          </w:p>
        </w:tc>
      </w:tr>
      <w:tr w:rsidR="00046465" w14:paraId="0DFDB262" w14:textId="77777777">
        <w:trPr>
          <w:trHeight w:val="1131"/>
        </w:trPr>
        <w:tc>
          <w:tcPr>
            <w:tcW w:w="7060" w:type="dxa"/>
            <w:tcBorders>
              <w:top w:val="single" w:sz="4" w:space="0" w:color="000000"/>
              <w:bottom w:val="single" w:sz="4" w:space="0" w:color="000000"/>
              <w:right w:val="single" w:sz="4" w:space="0" w:color="000000"/>
            </w:tcBorders>
          </w:tcPr>
          <w:p w14:paraId="0DFDB25F" w14:textId="77777777" w:rsidR="00046465" w:rsidRDefault="008134EB">
            <w:pPr>
              <w:pStyle w:val="TableParagraph"/>
              <w:spacing w:before="60"/>
              <w:ind w:left="1337" w:hanging="360"/>
            </w:pPr>
            <w:r>
              <w:t>1.</w:t>
            </w:r>
            <w:r>
              <w:rPr>
                <w:spacing w:val="80"/>
              </w:rPr>
              <w:t xml:space="preserve"> </w:t>
            </w:r>
            <w:r>
              <w:t>Consider the results of the tests performed to assess whether the agency’s financial management systems comply</w:t>
            </w:r>
            <w:r>
              <w:rPr>
                <w:spacing w:val="-7"/>
              </w:rPr>
              <w:t xml:space="preserve"> </w:t>
            </w:r>
            <w:r>
              <w:t>substantially</w:t>
            </w:r>
            <w:r>
              <w:rPr>
                <w:spacing w:val="-7"/>
              </w:rPr>
              <w:t xml:space="preserve"> </w:t>
            </w:r>
            <w:r>
              <w:t>with</w:t>
            </w:r>
            <w:r>
              <w:rPr>
                <w:spacing w:val="-8"/>
              </w:rPr>
              <w:t xml:space="preserve"> </w:t>
            </w:r>
            <w:r>
              <w:t>the</w:t>
            </w:r>
            <w:r>
              <w:rPr>
                <w:spacing w:val="-7"/>
              </w:rPr>
              <w:t xml:space="preserve"> </w:t>
            </w:r>
            <w:r>
              <w:t>three</w:t>
            </w:r>
            <w:r>
              <w:rPr>
                <w:spacing w:val="-7"/>
              </w:rPr>
              <w:t xml:space="preserve"> </w:t>
            </w:r>
            <w:r>
              <w:t>FFMIA</w:t>
            </w:r>
            <w:r>
              <w:rPr>
                <w:spacing w:val="-7"/>
              </w:rPr>
              <w:t xml:space="preserve"> </w:t>
            </w:r>
            <w:r>
              <w:t>requirements. See step II.A above.</w:t>
            </w:r>
          </w:p>
        </w:tc>
        <w:tc>
          <w:tcPr>
            <w:tcW w:w="1170" w:type="dxa"/>
            <w:tcBorders>
              <w:top w:val="single" w:sz="4" w:space="0" w:color="000000"/>
              <w:left w:val="single" w:sz="4" w:space="0" w:color="000000"/>
              <w:bottom w:val="single" w:sz="4" w:space="0" w:color="000000"/>
              <w:right w:val="single" w:sz="4" w:space="0" w:color="000000"/>
            </w:tcBorders>
          </w:tcPr>
          <w:p w14:paraId="0DFDB260" w14:textId="77777777" w:rsidR="00046465" w:rsidRDefault="00046465">
            <w:pPr>
              <w:pStyle w:val="TableParagraph"/>
              <w:rPr>
                <w:rFonts w:ascii="Times New Roman"/>
                <w:sz w:val="20"/>
              </w:rPr>
            </w:pPr>
          </w:p>
        </w:tc>
        <w:tc>
          <w:tcPr>
            <w:tcW w:w="1249" w:type="dxa"/>
            <w:tcBorders>
              <w:top w:val="single" w:sz="4" w:space="0" w:color="000000"/>
              <w:left w:val="single" w:sz="4" w:space="0" w:color="000000"/>
              <w:bottom w:val="single" w:sz="4" w:space="0" w:color="000000"/>
            </w:tcBorders>
          </w:tcPr>
          <w:p w14:paraId="0DFDB261" w14:textId="77777777" w:rsidR="00046465" w:rsidRDefault="00046465">
            <w:pPr>
              <w:pStyle w:val="TableParagraph"/>
              <w:rPr>
                <w:rFonts w:ascii="Times New Roman"/>
                <w:sz w:val="20"/>
              </w:rPr>
            </w:pPr>
          </w:p>
        </w:tc>
      </w:tr>
      <w:tr w:rsidR="00046465" w14:paraId="0DFDB267" w14:textId="77777777">
        <w:trPr>
          <w:trHeight w:val="3155"/>
        </w:trPr>
        <w:tc>
          <w:tcPr>
            <w:tcW w:w="7060" w:type="dxa"/>
            <w:tcBorders>
              <w:top w:val="single" w:sz="4" w:space="0" w:color="000000"/>
              <w:bottom w:val="single" w:sz="4" w:space="0" w:color="000000"/>
              <w:right w:val="single" w:sz="4" w:space="0" w:color="000000"/>
            </w:tcBorders>
          </w:tcPr>
          <w:p w14:paraId="0DFDB263" w14:textId="77777777" w:rsidR="00046465" w:rsidRDefault="008134EB">
            <w:pPr>
              <w:pStyle w:val="TableParagraph"/>
              <w:spacing w:before="60"/>
              <w:ind w:left="1337" w:right="181" w:hanging="360"/>
            </w:pPr>
            <w:r>
              <w:t>2.</w:t>
            </w:r>
            <w:r>
              <w:rPr>
                <w:spacing w:val="80"/>
              </w:rPr>
              <w:t xml:space="preserve"> </w:t>
            </w:r>
            <w:r>
              <w:t>Consider</w:t>
            </w:r>
            <w:r>
              <w:rPr>
                <w:spacing w:val="-4"/>
              </w:rPr>
              <w:t xml:space="preserve"> </w:t>
            </w:r>
            <w:r>
              <w:t>whether</w:t>
            </w:r>
            <w:r>
              <w:rPr>
                <w:spacing w:val="-4"/>
              </w:rPr>
              <w:t xml:space="preserve"> </w:t>
            </w:r>
            <w:r>
              <w:t>the</w:t>
            </w:r>
            <w:r>
              <w:rPr>
                <w:spacing w:val="-4"/>
              </w:rPr>
              <w:t xml:space="preserve"> </w:t>
            </w:r>
            <w:r>
              <w:t>agency’s</w:t>
            </w:r>
            <w:r>
              <w:rPr>
                <w:spacing w:val="-4"/>
              </w:rPr>
              <w:t xml:space="preserve"> </w:t>
            </w:r>
            <w:r>
              <w:t>financial</w:t>
            </w:r>
            <w:r>
              <w:rPr>
                <w:spacing w:val="-4"/>
              </w:rPr>
              <w:t xml:space="preserve"> </w:t>
            </w:r>
            <w:r>
              <w:t>management systems maintain accounting data to permit the preparation</w:t>
            </w:r>
            <w:r>
              <w:rPr>
                <w:spacing w:val="-8"/>
              </w:rPr>
              <w:t xml:space="preserve"> </w:t>
            </w:r>
            <w:r>
              <w:t>of</w:t>
            </w:r>
            <w:r>
              <w:rPr>
                <w:spacing w:val="-7"/>
              </w:rPr>
              <w:t xml:space="preserve"> </w:t>
            </w:r>
            <w:r>
              <w:t>financial</w:t>
            </w:r>
            <w:r>
              <w:rPr>
                <w:spacing w:val="-7"/>
              </w:rPr>
              <w:t xml:space="preserve"> </w:t>
            </w:r>
            <w:r>
              <w:t>statements</w:t>
            </w:r>
            <w:r>
              <w:rPr>
                <w:spacing w:val="-7"/>
              </w:rPr>
              <w:t xml:space="preserve"> </w:t>
            </w:r>
            <w:r>
              <w:t>in</w:t>
            </w:r>
            <w:r>
              <w:rPr>
                <w:spacing w:val="-7"/>
              </w:rPr>
              <w:t xml:space="preserve"> </w:t>
            </w:r>
            <w:r>
              <w:t>accordance</w:t>
            </w:r>
            <w:r>
              <w:rPr>
                <w:spacing w:val="-8"/>
              </w:rPr>
              <w:t xml:space="preserve"> </w:t>
            </w:r>
            <w:r>
              <w:t>with</w:t>
            </w:r>
          </w:p>
          <w:p w14:paraId="0DFDB264" w14:textId="77777777" w:rsidR="00046465" w:rsidRDefault="008134EB">
            <w:pPr>
              <w:pStyle w:val="TableParagraph"/>
              <w:ind w:left="1337"/>
            </w:pPr>
            <w:r>
              <w:t>U.S. GAAP. Inspect documentation that the financial statement</w:t>
            </w:r>
            <w:r>
              <w:rPr>
                <w:spacing w:val="-6"/>
              </w:rPr>
              <w:t xml:space="preserve"> </w:t>
            </w:r>
            <w:r>
              <w:t>audit</w:t>
            </w:r>
            <w:r>
              <w:rPr>
                <w:spacing w:val="-6"/>
              </w:rPr>
              <w:t xml:space="preserve"> </w:t>
            </w:r>
            <w:r>
              <w:t>team</w:t>
            </w:r>
            <w:r>
              <w:rPr>
                <w:spacing w:val="-7"/>
              </w:rPr>
              <w:t xml:space="preserve"> </w:t>
            </w:r>
            <w:r>
              <w:t>prepared</w:t>
            </w:r>
            <w:r>
              <w:rPr>
                <w:spacing w:val="-6"/>
              </w:rPr>
              <w:t xml:space="preserve"> </w:t>
            </w:r>
            <w:r>
              <w:t>to</w:t>
            </w:r>
            <w:r>
              <w:rPr>
                <w:spacing w:val="-6"/>
              </w:rPr>
              <w:t xml:space="preserve"> </w:t>
            </w:r>
            <w:r>
              <w:t>summarize</w:t>
            </w:r>
            <w:r>
              <w:rPr>
                <w:spacing w:val="-6"/>
              </w:rPr>
              <w:t xml:space="preserve"> </w:t>
            </w:r>
            <w:r>
              <w:t>uncorrected misstatements; summarize corrected misstatements; communicate misstatements to management and those charged with governance; and conclude on whether uncorrected misstatements are material, individually or in the aggregate. Inspect the Federal Financial Reporting Checklist prepared by the financial statement audit team and management, if applicable.</w:t>
            </w:r>
          </w:p>
        </w:tc>
        <w:tc>
          <w:tcPr>
            <w:tcW w:w="1170" w:type="dxa"/>
            <w:tcBorders>
              <w:top w:val="single" w:sz="4" w:space="0" w:color="000000"/>
              <w:left w:val="single" w:sz="4" w:space="0" w:color="000000"/>
              <w:bottom w:val="single" w:sz="4" w:space="0" w:color="000000"/>
              <w:right w:val="single" w:sz="4" w:space="0" w:color="000000"/>
            </w:tcBorders>
          </w:tcPr>
          <w:p w14:paraId="0DFDB265" w14:textId="77777777" w:rsidR="00046465" w:rsidRDefault="00046465">
            <w:pPr>
              <w:pStyle w:val="TableParagraph"/>
              <w:rPr>
                <w:rFonts w:ascii="Times New Roman"/>
                <w:sz w:val="20"/>
              </w:rPr>
            </w:pPr>
          </w:p>
        </w:tc>
        <w:tc>
          <w:tcPr>
            <w:tcW w:w="1249" w:type="dxa"/>
            <w:tcBorders>
              <w:top w:val="single" w:sz="4" w:space="0" w:color="000000"/>
              <w:left w:val="single" w:sz="4" w:space="0" w:color="000000"/>
              <w:bottom w:val="single" w:sz="4" w:space="0" w:color="000000"/>
            </w:tcBorders>
          </w:tcPr>
          <w:p w14:paraId="0DFDB266" w14:textId="77777777" w:rsidR="00046465" w:rsidRDefault="00046465">
            <w:pPr>
              <w:pStyle w:val="TableParagraph"/>
              <w:rPr>
                <w:rFonts w:ascii="Times New Roman"/>
                <w:sz w:val="20"/>
              </w:rPr>
            </w:pPr>
          </w:p>
        </w:tc>
      </w:tr>
      <w:tr w:rsidR="00046465" w14:paraId="0DFDB26C" w14:textId="77777777">
        <w:trPr>
          <w:trHeight w:val="2141"/>
        </w:trPr>
        <w:tc>
          <w:tcPr>
            <w:tcW w:w="7060" w:type="dxa"/>
            <w:tcBorders>
              <w:top w:val="single" w:sz="4" w:space="0" w:color="000000"/>
              <w:right w:val="single" w:sz="4" w:space="0" w:color="000000"/>
            </w:tcBorders>
          </w:tcPr>
          <w:p w14:paraId="0DFDB268" w14:textId="77777777" w:rsidR="00046465" w:rsidRDefault="008134EB">
            <w:pPr>
              <w:pStyle w:val="TableParagraph"/>
              <w:spacing w:before="67" w:line="247" w:lineRule="auto"/>
              <w:ind w:left="1337" w:right="181" w:hanging="360"/>
            </w:pPr>
            <w:r>
              <w:t>3.</w:t>
            </w:r>
            <w:r>
              <w:rPr>
                <w:spacing w:val="80"/>
              </w:rPr>
              <w:t xml:space="preserve"> </w:t>
            </w:r>
            <w:r>
              <w:t>Consider internal control weaknesses identified during the financial statement audit. Inspect documentation prepared by the financial statement audit team to summarize and classify internal control weaknesses identified</w:t>
            </w:r>
            <w:r>
              <w:rPr>
                <w:spacing w:val="-6"/>
              </w:rPr>
              <w:t xml:space="preserve"> </w:t>
            </w:r>
            <w:r>
              <w:t>during</w:t>
            </w:r>
            <w:r>
              <w:rPr>
                <w:spacing w:val="-6"/>
              </w:rPr>
              <w:t xml:space="preserve"> </w:t>
            </w:r>
            <w:r>
              <w:t>the</w:t>
            </w:r>
            <w:r>
              <w:rPr>
                <w:spacing w:val="-6"/>
              </w:rPr>
              <w:t xml:space="preserve"> </w:t>
            </w:r>
            <w:r>
              <w:t>financial</w:t>
            </w:r>
            <w:r>
              <w:rPr>
                <w:spacing w:val="-6"/>
              </w:rPr>
              <w:t xml:space="preserve"> </w:t>
            </w:r>
            <w:r>
              <w:t>statement</w:t>
            </w:r>
            <w:r>
              <w:rPr>
                <w:spacing w:val="-6"/>
              </w:rPr>
              <w:t xml:space="preserve"> </w:t>
            </w:r>
            <w:r>
              <w:t>audit</w:t>
            </w:r>
            <w:r>
              <w:rPr>
                <w:spacing w:val="-5"/>
              </w:rPr>
              <w:t xml:space="preserve"> </w:t>
            </w:r>
            <w:r>
              <w:t>as</w:t>
            </w:r>
            <w:r>
              <w:rPr>
                <w:spacing w:val="-7"/>
              </w:rPr>
              <w:t xml:space="preserve"> </w:t>
            </w:r>
            <w:r>
              <w:t>material weaknesses, significant deficiencies, or other control deficiencies. Such documentation should include any</w:t>
            </w:r>
          </w:p>
          <w:p w14:paraId="0DFDB269" w14:textId="77777777" w:rsidR="00046465" w:rsidRDefault="008134EB">
            <w:pPr>
              <w:pStyle w:val="TableParagraph"/>
              <w:spacing w:line="230" w:lineRule="exact"/>
              <w:ind w:left="1337"/>
            </w:pPr>
            <w:r>
              <w:t>weaknesses</w:t>
            </w:r>
            <w:r>
              <w:rPr>
                <w:spacing w:val="-9"/>
              </w:rPr>
              <w:t xml:space="preserve"> </w:t>
            </w:r>
            <w:r>
              <w:t>identified</w:t>
            </w:r>
            <w:r>
              <w:rPr>
                <w:spacing w:val="-9"/>
              </w:rPr>
              <w:t xml:space="preserve"> </w:t>
            </w:r>
            <w:r>
              <w:t>through</w:t>
            </w:r>
            <w:r>
              <w:rPr>
                <w:spacing w:val="-8"/>
              </w:rPr>
              <w:t xml:space="preserve"> </w:t>
            </w:r>
            <w:r>
              <w:t>the</w:t>
            </w:r>
            <w:r>
              <w:rPr>
                <w:spacing w:val="-8"/>
              </w:rPr>
              <w:t xml:space="preserve"> </w:t>
            </w:r>
            <w:r>
              <w:t>performance</w:t>
            </w:r>
            <w:r>
              <w:rPr>
                <w:spacing w:val="-8"/>
              </w:rPr>
              <w:t xml:space="preserve"> </w:t>
            </w:r>
            <w:r>
              <w:t>of</w:t>
            </w:r>
            <w:r>
              <w:rPr>
                <w:spacing w:val="-8"/>
              </w:rPr>
              <w:t xml:space="preserve"> </w:t>
            </w:r>
            <w:r>
              <w:rPr>
                <w:spacing w:val="-5"/>
              </w:rPr>
              <w:t>the</w:t>
            </w:r>
          </w:p>
        </w:tc>
        <w:tc>
          <w:tcPr>
            <w:tcW w:w="1170" w:type="dxa"/>
            <w:tcBorders>
              <w:top w:val="single" w:sz="4" w:space="0" w:color="000000"/>
              <w:left w:val="single" w:sz="4" w:space="0" w:color="000000"/>
              <w:right w:val="single" w:sz="4" w:space="0" w:color="000000"/>
            </w:tcBorders>
          </w:tcPr>
          <w:p w14:paraId="0DFDB26A" w14:textId="77777777" w:rsidR="00046465" w:rsidRDefault="00046465">
            <w:pPr>
              <w:pStyle w:val="TableParagraph"/>
              <w:rPr>
                <w:rFonts w:ascii="Times New Roman"/>
                <w:sz w:val="20"/>
              </w:rPr>
            </w:pPr>
          </w:p>
        </w:tc>
        <w:tc>
          <w:tcPr>
            <w:tcW w:w="1249" w:type="dxa"/>
            <w:tcBorders>
              <w:top w:val="single" w:sz="4" w:space="0" w:color="000000"/>
              <w:left w:val="single" w:sz="4" w:space="0" w:color="000000"/>
            </w:tcBorders>
          </w:tcPr>
          <w:p w14:paraId="0DFDB26B" w14:textId="77777777" w:rsidR="00046465" w:rsidRDefault="00046465">
            <w:pPr>
              <w:pStyle w:val="TableParagraph"/>
              <w:rPr>
                <w:rFonts w:ascii="Times New Roman"/>
                <w:sz w:val="20"/>
              </w:rPr>
            </w:pPr>
          </w:p>
        </w:tc>
      </w:tr>
    </w:tbl>
    <w:p w14:paraId="0DFDB26D" w14:textId="77777777" w:rsidR="00046465" w:rsidRDefault="00046465">
      <w:pPr>
        <w:pStyle w:val="TableParagraph"/>
        <w:rPr>
          <w:rFonts w:ascii="Times New Roman"/>
          <w:sz w:val="20"/>
        </w:rPr>
        <w:sectPr w:rsidR="00046465">
          <w:pgSz w:w="12240" w:h="15840"/>
          <w:pgMar w:top="1600" w:right="720" w:bottom="940" w:left="1080" w:header="721" w:footer="757" w:gutter="0"/>
          <w:cols w:space="720"/>
        </w:sectPr>
      </w:pPr>
    </w:p>
    <w:p w14:paraId="0DFDB26E" w14:textId="77777777" w:rsidR="00046465" w:rsidRDefault="00046465">
      <w:pPr>
        <w:pStyle w:val="BodyText"/>
        <w:spacing w:before="4"/>
        <w:rPr>
          <w:sz w:val="11"/>
        </w:rPr>
      </w:pPr>
    </w:p>
    <w:tbl>
      <w:tblPr>
        <w:tblW w:w="0" w:type="auto"/>
        <w:tblInd w:w="37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060"/>
        <w:gridCol w:w="1170"/>
        <w:gridCol w:w="1249"/>
      </w:tblGrid>
      <w:tr w:rsidR="00046465" w14:paraId="0DFDB274" w14:textId="77777777">
        <w:trPr>
          <w:trHeight w:val="745"/>
        </w:trPr>
        <w:tc>
          <w:tcPr>
            <w:tcW w:w="7060" w:type="dxa"/>
            <w:tcBorders>
              <w:right w:val="single" w:sz="4" w:space="0" w:color="000000"/>
            </w:tcBorders>
          </w:tcPr>
          <w:p w14:paraId="0DFDB26F" w14:textId="77777777" w:rsidR="00046465" w:rsidRDefault="00046465">
            <w:pPr>
              <w:pStyle w:val="TableParagraph"/>
              <w:spacing w:before="120"/>
            </w:pPr>
          </w:p>
          <w:p w14:paraId="0DFDB270" w14:textId="77777777" w:rsidR="00046465" w:rsidRDefault="008134EB">
            <w:pPr>
              <w:pStyle w:val="TableParagraph"/>
              <w:spacing w:before="1"/>
              <w:ind w:left="97"/>
              <w:rPr>
                <w:b/>
              </w:rPr>
            </w:pPr>
            <w:r>
              <w:rPr>
                <w:b/>
                <w:spacing w:val="-2"/>
              </w:rPr>
              <w:t>Procedure</w:t>
            </w:r>
          </w:p>
        </w:tc>
        <w:tc>
          <w:tcPr>
            <w:tcW w:w="1170" w:type="dxa"/>
            <w:tcBorders>
              <w:left w:val="single" w:sz="4" w:space="0" w:color="000000"/>
              <w:right w:val="single" w:sz="4" w:space="0" w:color="000000"/>
            </w:tcBorders>
          </w:tcPr>
          <w:p w14:paraId="0DFDB271" w14:textId="77777777" w:rsidR="00046465" w:rsidRDefault="008134EB">
            <w:pPr>
              <w:pStyle w:val="TableParagraph"/>
              <w:spacing w:before="120"/>
              <w:ind w:left="107" w:right="144"/>
              <w:rPr>
                <w:b/>
              </w:rPr>
            </w:pPr>
            <w:r>
              <w:rPr>
                <w:b/>
                <w:spacing w:val="-2"/>
              </w:rPr>
              <w:t xml:space="preserve">Initials/ </w:t>
            </w:r>
            <w:r>
              <w:rPr>
                <w:b/>
                <w:spacing w:val="-4"/>
              </w:rPr>
              <w:t>date</w:t>
            </w:r>
          </w:p>
        </w:tc>
        <w:tc>
          <w:tcPr>
            <w:tcW w:w="1249" w:type="dxa"/>
            <w:tcBorders>
              <w:left w:val="single" w:sz="4" w:space="0" w:color="000000"/>
            </w:tcBorders>
          </w:tcPr>
          <w:p w14:paraId="0DFDB272" w14:textId="77777777" w:rsidR="00046465" w:rsidRDefault="00046465">
            <w:pPr>
              <w:pStyle w:val="TableParagraph"/>
              <w:spacing w:before="120"/>
            </w:pPr>
          </w:p>
          <w:p w14:paraId="0DFDB273" w14:textId="77777777" w:rsidR="00046465" w:rsidRDefault="008134EB">
            <w:pPr>
              <w:pStyle w:val="TableParagraph"/>
              <w:spacing w:before="1"/>
              <w:ind w:left="107"/>
              <w:rPr>
                <w:b/>
              </w:rPr>
            </w:pPr>
            <w:r>
              <w:rPr>
                <w:b/>
              </w:rPr>
              <w:t>Doc.</w:t>
            </w:r>
            <w:r>
              <w:rPr>
                <w:b/>
                <w:spacing w:val="-6"/>
              </w:rPr>
              <w:t xml:space="preserve"> </w:t>
            </w:r>
            <w:r>
              <w:rPr>
                <w:b/>
                <w:spacing w:val="-4"/>
              </w:rPr>
              <w:t>ref.</w:t>
            </w:r>
          </w:p>
        </w:tc>
      </w:tr>
      <w:tr w:rsidR="00046465" w14:paraId="0DFDB278" w14:textId="77777777">
        <w:trPr>
          <w:trHeight w:val="1620"/>
        </w:trPr>
        <w:tc>
          <w:tcPr>
            <w:tcW w:w="7060" w:type="dxa"/>
            <w:tcBorders>
              <w:bottom w:val="single" w:sz="4" w:space="0" w:color="000000"/>
              <w:right w:val="single" w:sz="4" w:space="0" w:color="000000"/>
            </w:tcBorders>
          </w:tcPr>
          <w:p w14:paraId="0DFDB275" w14:textId="77777777" w:rsidR="00046465" w:rsidRDefault="008134EB">
            <w:pPr>
              <w:pStyle w:val="TableParagraph"/>
              <w:spacing w:before="8" w:line="247" w:lineRule="auto"/>
              <w:ind w:left="1337" w:right="181"/>
            </w:pPr>
            <w:r>
              <w:t>audit procedures in step II.A above. Consider the nature and</w:t>
            </w:r>
            <w:r>
              <w:rPr>
                <w:spacing w:val="-6"/>
              </w:rPr>
              <w:t xml:space="preserve"> </w:t>
            </w:r>
            <w:r>
              <w:t>severity</w:t>
            </w:r>
            <w:r>
              <w:rPr>
                <w:spacing w:val="-7"/>
              </w:rPr>
              <w:t xml:space="preserve"> </w:t>
            </w:r>
            <w:r>
              <w:t>of</w:t>
            </w:r>
            <w:r>
              <w:rPr>
                <w:spacing w:val="-6"/>
              </w:rPr>
              <w:t xml:space="preserve"> </w:t>
            </w:r>
            <w:r>
              <w:t>the</w:t>
            </w:r>
            <w:r>
              <w:rPr>
                <w:spacing w:val="-6"/>
              </w:rPr>
              <w:t xml:space="preserve"> </w:t>
            </w:r>
            <w:r>
              <w:t>internal</w:t>
            </w:r>
            <w:r>
              <w:rPr>
                <w:spacing w:val="-6"/>
              </w:rPr>
              <w:t xml:space="preserve"> </w:t>
            </w:r>
            <w:r>
              <w:t>control</w:t>
            </w:r>
            <w:r>
              <w:rPr>
                <w:spacing w:val="-6"/>
              </w:rPr>
              <w:t xml:space="preserve"> </w:t>
            </w:r>
            <w:r>
              <w:t>weaknesses</w:t>
            </w:r>
            <w:r>
              <w:rPr>
                <w:spacing w:val="-6"/>
              </w:rPr>
              <w:t xml:space="preserve"> </w:t>
            </w:r>
            <w:r>
              <w:t>identified during the financial statement audit and whether they constitute instances in which the agency’s financial management systems do not comply substantially with the three FFMIA requirements.</w:t>
            </w:r>
          </w:p>
        </w:tc>
        <w:tc>
          <w:tcPr>
            <w:tcW w:w="1170" w:type="dxa"/>
            <w:tcBorders>
              <w:left w:val="single" w:sz="4" w:space="0" w:color="000000"/>
              <w:bottom w:val="single" w:sz="4" w:space="0" w:color="000000"/>
              <w:right w:val="single" w:sz="4" w:space="0" w:color="000000"/>
            </w:tcBorders>
          </w:tcPr>
          <w:p w14:paraId="0DFDB276" w14:textId="77777777" w:rsidR="00046465" w:rsidRDefault="00046465">
            <w:pPr>
              <w:pStyle w:val="TableParagraph"/>
              <w:rPr>
                <w:rFonts w:ascii="Times New Roman"/>
                <w:sz w:val="20"/>
              </w:rPr>
            </w:pPr>
          </w:p>
        </w:tc>
        <w:tc>
          <w:tcPr>
            <w:tcW w:w="1249" w:type="dxa"/>
            <w:tcBorders>
              <w:left w:val="single" w:sz="4" w:space="0" w:color="000000"/>
              <w:bottom w:val="single" w:sz="4" w:space="0" w:color="000000"/>
            </w:tcBorders>
          </w:tcPr>
          <w:p w14:paraId="0DFDB277" w14:textId="77777777" w:rsidR="00046465" w:rsidRDefault="00046465">
            <w:pPr>
              <w:pStyle w:val="TableParagraph"/>
              <w:rPr>
                <w:rFonts w:ascii="Times New Roman"/>
                <w:sz w:val="20"/>
              </w:rPr>
            </w:pPr>
          </w:p>
        </w:tc>
      </w:tr>
      <w:tr w:rsidR="00046465" w14:paraId="0DFDB27C" w14:textId="77777777">
        <w:trPr>
          <w:trHeight w:val="3661"/>
        </w:trPr>
        <w:tc>
          <w:tcPr>
            <w:tcW w:w="7060" w:type="dxa"/>
            <w:tcBorders>
              <w:top w:val="single" w:sz="4" w:space="0" w:color="000000"/>
              <w:bottom w:val="single" w:sz="4" w:space="0" w:color="000000"/>
              <w:right w:val="single" w:sz="4" w:space="0" w:color="000000"/>
            </w:tcBorders>
          </w:tcPr>
          <w:p w14:paraId="0DFDB279" w14:textId="77777777" w:rsidR="00046465" w:rsidRDefault="008134EB">
            <w:pPr>
              <w:pStyle w:val="TableParagraph"/>
              <w:spacing w:before="61"/>
              <w:ind w:left="1337" w:right="171" w:hanging="360"/>
            </w:pPr>
            <w:r>
              <w:t>4.</w:t>
            </w:r>
            <w:r>
              <w:rPr>
                <w:spacing w:val="80"/>
              </w:rPr>
              <w:t xml:space="preserve"> </w:t>
            </w:r>
            <w:r>
              <w:t>Consider whether the evidence obtained during the financial</w:t>
            </w:r>
            <w:r>
              <w:rPr>
                <w:spacing w:val="-1"/>
              </w:rPr>
              <w:t xml:space="preserve"> </w:t>
            </w:r>
            <w:r>
              <w:t>statement audit demonstrates that the agency’s financial management systems include effective internal controls. Effective internal controls provide reasonable assurance that (1) transactions are properly recorded, processed, and summarized to permit the preparation of the financial statements in accordance with U.S. generally</w:t>
            </w:r>
            <w:r>
              <w:rPr>
                <w:spacing w:val="-6"/>
              </w:rPr>
              <w:t xml:space="preserve"> </w:t>
            </w:r>
            <w:r>
              <w:t>accepted</w:t>
            </w:r>
            <w:r>
              <w:rPr>
                <w:spacing w:val="-6"/>
              </w:rPr>
              <w:t xml:space="preserve"> </w:t>
            </w:r>
            <w:r>
              <w:t>accounting</w:t>
            </w:r>
            <w:r>
              <w:rPr>
                <w:spacing w:val="-7"/>
              </w:rPr>
              <w:t xml:space="preserve"> </w:t>
            </w:r>
            <w:r>
              <w:t>principles,</w:t>
            </w:r>
            <w:r>
              <w:rPr>
                <w:spacing w:val="-6"/>
              </w:rPr>
              <w:t xml:space="preserve"> </w:t>
            </w:r>
            <w:r>
              <w:t>and</w:t>
            </w:r>
            <w:r>
              <w:rPr>
                <w:spacing w:val="-6"/>
              </w:rPr>
              <w:t xml:space="preserve"> </w:t>
            </w:r>
            <w:r>
              <w:t>assets</w:t>
            </w:r>
            <w:r>
              <w:rPr>
                <w:spacing w:val="-7"/>
              </w:rPr>
              <w:t xml:space="preserve"> </w:t>
            </w:r>
            <w:r>
              <w:t>are safeguarded against loss from unauthorized acquisition, use, or disposition, and (2) transactions are executed in accordance with provisions of applicable laws, regulations, contracts, and grant agreements, noncompliance with which could have a material effect on the financial statements.</w:t>
            </w:r>
          </w:p>
        </w:tc>
        <w:tc>
          <w:tcPr>
            <w:tcW w:w="1170" w:type="dxa"/>
            <w:tcBorders>
              <w:top w:val="single" w:sz="4" w:space="0" w:color="000000"/>
              <w:left w:val="single" w:sz="4" w:space="0" w:color="000000"/>
              <w:bottom w:val="single" w:sz="4" w:space="0" w:color="000000"/>
              <w:right w:val="single" w:sz="4" w:space="0" w:color="000000"/>
            </w:tcBorders>
          </w:tcPr>
          <w:p w14:paraId="0DFDB27A" w14:textId="77777777" w:rsidR="00046465" w:rsidRDefault="00046465">
            <w:pPr>
              <w:pStyle w:val="TableParagraph"/>
              <w:rPr>
                <w:rFonts w:ascii="Times New Roman"/>
                <w:sz w:val="20"/>
              </w:rPr>
            </w:pPr>
          </w:p>
        </w:tc>
        <w:tc>
          <w:tcPr>
            <w:tcW w:w="1249" w:type="dxa"/>
            <w:tcBorders>
              <w:top w:val="single" w:sz="4" w:space="0" w:color="000000"/>
              <w:left w:val="single" w:sz="4" w:space="0" w:color="000000"/>
              <w:bottom w:val="single" w:sz="4" w:space="0" w:color="000000"/>
            </w:tcBorders>
          </w:tcPr>
          <w:p w14:paraId="0DFDB27B" w14:textId="77777777" w:rsidR="00046465" w:rsidRDefault="00046465">
            <w:pPr>
              <w:pStyle w:val="TableParagraph"/>
              <w:rPr>
                <w:rFonts w:ascii="Times New Roman"/>
                <w:sz w:val="20"/>
              </w:rPr>
            </w:pPr>
          </w:p>
        </w:tc>
      </w:tr>
      <w:tr w:rsidR="00046465" w14:paraId="0DFDB280" w14:textId="77777777">
        <w:trPr>
          <w:trHeight w:val="1637"/>
        </w:trPr>
        <w:tc>
          <w:tcPr>
            <w:tcW w:w="7060" w:type="dxa"/>
            <w:tcBorders>
              <w:top w:val="single" w:sz="4" w:space="0" w:color="000000"/>
              <w:bottom w:val="single" w:sz="4" w:space="0" w:color="000000"/>
              <w:right w:val="single" w:sz="4" w:space="0" w:color="000000"/>
            </w:tcBorders>
          </w:tcPr>
          <w:p w14:paraId="0DFDB27D" w14:textId="77777777" w:rsidR="00046465" w:rsidRDefault="008134EB">
            <w:pPr>
              <w:pStyle w:val="TableParagraph"/>
              <w:spacing w:before="60"/>
              <w:ind w:left="1337" w:hanging="360"/>
            </w:pPr>
            <w:r>
              <w:t>5.</w:t>
            </w:r>
            <w:r>
              <w:rPr>
                <w:spacing w:val="80"/>
              </w:rPr>
              <w:t xml:space="preserve"> </w:t>
            </w:r>
            <w:r>
              <w:t>Consider whether the evidence obtained during the financial</w:t>
            </w:r>
            <w:r>
              <w:rPr>
                <w:spacing w:val="-1"/>
              </w:rPr>
              <w:t xml:space="preserve"> </w:t>
            </w:r>
            <w:r>
              <w:t>statement audit demonstrates that the agency’s financial management systems enable the agency to prepare,</w:t>
            </w:r>
            <w:r>
              <w:rPr>
                <w:spacing w:val="-5"/>
              </w:rPr>
              <w:t xml:space="preserve"> </w:t>
            </w:r>
            <w:r>
              <w:t>execute,</w:t>
            </w:r>
            <w:r>
              <w:rPr>
                <w:spacing w:val="-5"/>
              </w:rPr>
              <w:t xml:space="preserve"> </w:t>
            </w:r>
            <w:r>
              <w:t>and</w:t>
            </w:r>
            <w:r>
              <w:rPr>
                <w:spacing w:val="-5"/>
              </w:rPr>
              <w:t xml:space="preserve"> </w:t>
            </w:r>
            <w:r>
              <w:t>report</w:t>
            </w:r>
            <w:r>
              <w:rPr>
                <w:spacing w:val="-5"/>
              </w:rPr>
              <w:t xml:space="preserve"> </w:t>
            </w:r>
            <w:r>
              <w:t>on</w:t>
            </w:r>
            <w:r>
              <w:rPr>
                <w:spacing w:val="-5"/>
              </w:rPr>
              <w:t xml:space="preserve"> </w:t>
            </w:r>
            <w:r>
              <w:t>its</w:t>
            </w:r>
            <w:r>
              <w:rPr>
                <w:spacing w:val="-6"/>
              </w:rPr>
              <w:t xml:space="preserve"> </w:t>
            </w:r>
            <w:r>
              <w:t>budget</w:t>
            </w:r>
            <w:r>
              <w:rPr>
                <w:spacing w:val="-5"/>
              </w:rPr>
              <w:t xml:space="preserve"> </w:t>
            </w:r>
            <w:r>
              <w:t>in</w:t>
            </w:r>
            <w:r>
              <w:rPr>
                <w:spacing w:val="-5"/>
              </w:rPr>
              <w:t xml:space="preserve"> </w:t>
            </w:r>
            <w:r>
              <w:t xml:space="preserve">accordance with the requirements of OMB Circular No. A-11, </w:t>
            </w:r>
            <w:r>
              <w:rPr>
                <w:i/>
              </w:rPr>
              <w:t>Preparation, Submission and Execution of the Budget</w:t>
            </w:r>
            <w:r>
              <w:t>.</w:t>
            </w:r>
          </w:p>
        </w:tc>
        <w:tc>
          <w:tcPr>
            <w:tcW w:w="1170" w:type="dxa"/>
            <w:tcBorders>
              <w:top w:val="single" w:sz="4" w:space="0" w:color="000000"/>
              <w:left w:val="single" w:sz="4" w:space="0" w:color="000000"/>
              <w:bottom w:val="single" w:sz="4" w:space="0" w:color="000000"/>
              <w:right w:val="single" w:sz="4" w:space="0" w:color="000000"/>
            </w:tcBorders>
          </w:tcPr>
          <w:p w14:paraId="0DFDB27E" w14:textId="77777777" w:rsidR="00046465" w:rsidRDefault="00046465">
            <w:pPr>
              <w:pStyle w:val="TableParagraph"/>
              <w:rPr>
                <w:rFonts w:ascii="Times New Roman"/>
                <w:sz w:val="20"/>
              </w:rPr>
            </w:pPr>
          </w:p>
        </w:tc>
        <w:tc>
          <w:tcPr>
            <w:tcW w:w="1249" w:type="dxa"/>
            <w:tcBorders>
              <w:top w:val="single" w:sz="4" w:space="0" w:color="000000"/>
              <w:left w:val="single" w:sz="4" w:space="0" w:color="000000"/>
              <w:bottom w:val="single" w:sz="4" w:space="0" w:color="000000"/>
            </w:tcBorders>
          </w:tcPr>
          <w:p w14:paraId="0DFDB27F" w14:textId="77777777" w:rsidR="00046465" w:rsidRDefault="00046465">
            <w:pPr>
              <w:pStyle w:val="TableParagraph"/>
              <w:rPr>
                <w:rFonts w:ascii="Times New Roman"/>
                <w:sz w:val="20"/>
              </w:rPr>
            </w:pPr>
          </w:p>
        </w:tc>
      </w:tr>
      <w:tr w:rsidR="00046465" w14:paraId="0DFDB284" w14:textId="77777777">
        <w:trPr>
          <w:trHeight w:val="1890"/>
        </w:trPr>
        <w:tc>
          <w:tcPr>
            <w:tcW w:w="7060" w:type="dxa"/>
            <w:tcBorders>
              <w:top w:val="single" w:sz="4" w:space="0" w:color="000000"/>
              <w:bottom w:val="single" w:sz="4" w:space="0" w:color="000000"/>
              <w:right w:val="single" w:sz="4" w:space="0" w:color="000000"/>
            </w:tcBorders>
          </w:tcPr>
          <w:p w14:paraId="0DFDB281" w14:textId="77777777" w:rsidR="00046465" w:rsidRDefault="008134EB">
            <w:pPr>
              <w:pStyle w:val="TableParagraph"/>
              <w:spacing w:before="61"/>
              <w:ind w:left="1337" w:right="84" w:hanging="360"/>
            </w:pPr>
            <w:r>
              <w:t>6.</w:t>
            </w:r>
            <w:r>
              <w:rPr>
                <w:spacing w:val="80"/>
              </w:rPr>
              <w:t xml:space="preserve"> </w:t>
            </w:r>
            <w:r>
              <w:t>Consider whether the evidence obtained during the financial statement audit demonstrates that the agency’s financial management systems enable the agency to prepare</w:t>
            </w:r>
            <w:r>
              <w:rPr>
                <w:spacing w:val="-5"/>
              </w:rPr>
              <w:t xml:space="preserve"> </w:t>
            </w:r>
            <w:r>
              <w:t>financial</w:t>
            </w:r>
            <w:r>
              <w:rPr>
                <w:spacing w:val="-5"/>
              </w:rPr>
              <w:t xml:space="preserve"> </w:t>
            </w:r>
            <w:r>
              <w:t>management</w:t>
            </w:r>
            <w:r>
              <w:rPr>
                <w:spacing w:val="-5"/>
              </w:rPr>
              <w:t xml:space="preserve"> </w:t>
            </w:r>
            <w:r>
              <w:t>information</w:t>
            </w:r>
            <w:r>
              <w:rPr>
                <w:spacing w:val="-5"/>
              </w:rPr>
              <w:t xml:space="preserve"> </w:t>
            </w:r>
            <w:r>
              <w:t>in</w:t>
            </w:r>
            <w:r>
              <w:rPr>
                <w:spacing w:val="-5"/>
              </w:rPr>
              <w:t xml:space="preserve"> </w:t>
            </w:r>
            <w:r>
              <w:t xml:space="preserve">accordance with the requirements of OMB Circular No. A-136, </w:t>
            </w:r>
            <w:r>
              <w:rPr>
                <w:i/>
              </w:rPr>
              <w:t>Financial</w:t>
            </w:r>
            <w:r>
              <w:rPr>
                <w:i/>
                <w:spacing w:val="-6"/>
              </w:rPr>
              <w:t xml:space="preserve"> </w:t>
            </w:r>
            <w:r>
              <w:rPr>
                <w:i/>
              </w:rPr>
              <w:t>Reporting</w:t>
            </w:r>
            <w:r>
              <w:rPr>
                <w:i/>
                <w:spacing w:val="-6"/>
              </w:rPr>
              <w:t xml:space="preserve"> </w:t>
            </w:r>
            <w:r>
              <w:rPr>
                <w:i/>
              </w:rPr>
              <w:t>Requirements</w:t>
            </w:r>
            <w:r>
              <w:t>,</w:t>
            </w:r>
            <w:r>
              <w:rPr>
                <w:spacing w:val="-6"/>
              </w:rPr>
              <w:t xml:space="preserve"> </w:t>
            </w:r>
            <w:r>
              <w:t>and</w:t>
            </w:r>
            <w:r>
              <w:rPr>
                <w:spacing w:val="-6"/>
              </w:rPr>
              <w:t xml:space="preserve"> </w:t>
            </w:r>
            <w:r>
              <w:t>align</w:t>
            </w:r>
            <w:r>
              <w:rPr>
                <w:spacing w:val="-6"/>
              </w:rPr>
              <w:t xml:space="preserve"> </w:t>
            </w:r>
            <w:r>
              <w:t>with</w:t>
            </w:r>
            <w:r>
              <w:rPr>
                <w:spacing w:val="-7"/>
              </w:rPr>
              <w:t xml:space="preserve"> </w:t>
            </w:r>
            <w:r>
              <w:t>agency strategic goals and performance information.</w:t>
            </w:r>
          </w:p>
        </w:tc>
        <w:tc>
          <w:tcPr>
            <w:tcW w:w="1170" w:type="dxa"/>
            <w:tcBorders>
              <w:top w:val="single" w:sz="4" w:space="0" w:color="000000"/>
              <w:left w:val="single" w:sz="4" w:space="0" w:color="000000"/>
              <w:bottom w:val="single" w:sz="4" w:space="0" w:color="000000"/>
              <w:right w:val="single" w:sz="4" w:space="0" w:color="000000"/>
            </w:tcBorders>
          </w:tcPr>
          <w:p w14:paraId="0DFDB282" w14:textId="77777777" w:rsidR="00046465" w:rsidRDefault="00046465">
            <w:pPr>
              <w:pStyle w:val="TableParagraph"/>
              <w:rPr>
                <w:rFonts w:ascii="Times New Roman"/>
                <w:sz w:val="20"/>
              </w:rPr>
            </w:pPr>
          </w:p>
        </w:tc>
        <w:tc>
          <w:tcPr>
            <w:tcW w:w="1249" w:type="dxa"/>
            <w:tcBorders>
              <w:top w:val="single" w:sz="4" w:space="0" w:color="000000"/>
              <w:left w:val="single" w:sz="4" w:space="0" w:color="000000"/>
              <w:bottom w:val="single" w:sz="4" w:space="0" w:color="000000"/>
            </w:tcBorders>
          </w:tcPr>
          <w:p w14:paraId="0DFDB283" w14:textId="77777777" w:rsidR="00046465" w:rsidRDefault="00046465">
            <w:pPr>
              <w:pStyle w:val="TableParagraph"/>
              <w:rPr>
                <w:rFonts w:ascii="Times New Roman"/>
                <w:sz w:val="20"/>
              </w:rPr>
            </w:pPr>
          </w:p>
        </w:tc>
      </w:tr>
      <w:tr w:rsidR="00046465" w14:paraId="0DFDB288" w14:textId="77777777">
        <w:trPr>
          <w:trHeight w:val="1132"/>
        </w:trPr>
        <w:tc>
          <w:tcPr>
            <w:tcW w:w="7060" w:type="dxa"/>
            <w:tcBorders>
              <w:top w:val="single" w:sz="4" w:space="0" w:color="000000"/>
              <w:bottom w:val="single" w:sz="4" w:space="0" w:color="000000"/>
              <w:right w:val="single" w:sz="4" w:space="0" w:color="000000"/>
            </w:tcBorders>
          </w:tcPr>
          <w:p w14:paraId="0DFDB285" w14:textId="77777777" w:rsidR="00046465" w:rsidRDefault="008134EB">
            <w:pPr>
              <w:pStyle w:val="TableParagraph"/>
              <w:spacing w:before="61"/>
              <w:ind w:left="1337" w:hanging="360"/>
            </w:pPr>
            <w:r>
              <w:t>7.</w:t>
            </w:r>
            <w:r>
              <w:rPr>
                <w:spacing w:val="80"/>
              </w:rPr>
              <w:t xml:space="preserve"> </w:t>
            </w:r>
            <w:r>
              <w:t>Consider</w:t>
            </w:r>
            <w:r>
              <w:rPr>
                <w:spacing w:val="-4"/>
              </w:rPr>
              <w:t xml:space="preserve"> </w:t>
            </w:r>
            <w:r>
              <w:t>the</w:t>
            </w:r>
            <w:r>
              <w:rPr>
                <w:spacing w:val="-4"/>
              </w:rPr>
              <w:t xml:space="preserve"> </w:t>
            </w:r>
            <w:r>
              <w:t>effect</w:t>
            </w:r>
            <w:r>
              <w:rPr>
                <w:spacing w:val="-4"/>
              </w:rPr>
              <w:t xml:space="preserve"> </w:t>
            </w:r>
            <w:r>
              <w:t>of</w:t>
            </w:r>
            <w:r>
              <w:rPr>
                <w:spacing w:val="-4"/>
              </w:rPr>
              <w:t xml:space="preserve"> </w:t>
            </w:r>
            <w:r>
              <w:t>any</w:t>
            </w:r>
            <w:r>
              <w:rPr>
                <w:spacing w:val="-4"/>
              </w:rPr>
              <w:t xml:space="preserve"> </w:t>
            </w:r>
            <w:r>
              <w:t>additional</w:t>
            </w:r>
            <w:r>
              <w:rPr>
                <w:spacing w:val="-4"/>
              </w:rPr>
              <w:t xml:space="preserve"> </w:t>
            </w:r>
            <w:r>
              <w:t>evidence</w:t>
            </w:r>
            <w:r>
              <w:rPr>
                <w:spacing w:val="-5"/>
              </w:rPr>
              <w:t xml:space="preserve"> </w:t>
            </w:r>
            <w:r>
              <w:t>obtained</w:t>
            </w:r>
            <w:r>
              <w:rPr>
                <w:spacing w:val="-4"/>
              </w:rPr>
              <w:t xml:space="preserve"> </w:t>
            </w:r>
            <w:r>
              <w:t>in step II.A.6 above on the auditor’s assessment of whether the agency’s financial management systems comply substantially with the three FFMIA requirements.</w:t>
            </w:r>
          </w:p>
        </w:tc>
        <w:tc>
          <w:tcPr>
            <w:tcW w:w="1170" w:type="dxa"/>
            <w:tcBorders>
              <w:top w:val="single" w:sz="4" w:space="0" w:color="000000"/>
              <w:left w:val="single" w:sz="4" w:space="0" w:color="000000"/>
              <w:bottom w:val="single" w:sz="4" w:space="0" w:color="000000"/>
              <w:right w:val="single" w:sz="4" w:space="0" w:color="000000"/>
            </w:tcBorders>
          </w:tcPr>
          <w:p w14:paraId="0DFDB286" w14:textId="77777777" w:rsidR="00046465" w:rsidRDefault="00046465">
            <w:pPr>
              <w:pStyle w:val="TableParagraph"/>
              <w:rPr>
                <w:rFonts w:ascii="Times New Roman"/>
                <w:sz w:val="20"/>
              </w:rPr>
            </w:pPr>
          </w:p>
        </w:tc>
        <w:tc>
          <w:tcPr>
            <w:tcW w:w="1249" w:type="dxa"/>
            <w:tcBorders>
              <w:top w:val="single" w:sz="4" w:space="0" w:color="000000"/>
              <w:left w:val="single" w:sz="4" w:space="0" w:color="000000"/>
              <w:bottom w:val="single" w:sz="4" w:space="0" w:color="000000"/>
            </w:tcBorders>
          </w:tcPr>
          <w:p w14:paraId="0DFDB287" w14:textId="77777777" w:rsidR="00046465" w:rsidRDefault="00046465">
            <w:pPr>
              <w:pStyle w:val="TableParagraph"/>
              <w:rPr>
                <w:rFonts w:ascii="Times New Roman"/>
                <w:sz w:val="20"/>
              </w:rPr>
            </w:pPr>
          </w:p>
        </w:tc>
      </w:tr>
      <w:tr w:rsidR="00046465" w14:paraId="0DFDB28C" w14:textId="77777777">
        <w:trPr>
          <w:trHeight w:val="492"/>
        </w:trPr>
        <w:tc>
          <w:tcPr>
            <w:tcW w:w="7060" w:type="dxa"/>
            <w:tcBorders>
              <w:top w:val="single" w:sz="4" w:space="0" w:color="000000"/>
              <w:bottom w:val="single" w:sz="4" w:space="0" w:color="000000"/>
              <w:right w:val="single" w:sz="4" w:space="0" w:color="000000"/>
            </w:tcBorders>
            <w:shd w:val="clear" w:color="auto" w:fill="D9D9D9"/>
          </w:tcPr>
          <w:p w14:paraId="0DFDB289" w14:textId="77777777" w:rsidR="00046465" w:rsidRDefault="008134EB">
            <w:pPr>
              <w:pStyle w:val="TableParagraph"/>
              <w:spacing w:before="120"/>
              <w:ind w:left="97"/>
              <w:rPr>
                <w:b/>
              </w:rPr>
            </w:pPr>
            <w:r>
              <w:rPr>
                <w:b/>
              </w:rPr>
              <w:t>III.</w:t>
            </w:r>
            <w:r>
              <w:rPr>
                <w:b/>
                <w:spacing w:val="-3"/>
              </w:rPr>
              <w:t xml:space="preserve"> </w:t>
            </w:r>
            <w:r>
              <w:rPr>
                <w:b/>
                <w:spacing w:val="-2"/>
              </w:rPr>
              <w:t>Reporting</w:t>
            </w:r>
          </w:p>
        </w:tc>
        <w:tc>
          <w:tcPr>
            <w:tcW w:w="1170" w:type="dxa"/>
            <w:tcBorders>
              <w:top w:val="single" w:sz="4" w:space="0" w:color="000000"/>
              <w:left w:val="single" w:sz="4" w:space="0" w:color="000000"/>
              <w:bottom w:val="single" w:sz="4" w:space="0" w:color="000000"/>
              <w:right w:val="single" w:sz="4" w:space="0" w:color="000000"/>
            </w:tcBorders>
            <w:shd w:val="clear" w:color="auto" w:fill="D9D9D9"/>
          </w:tcPr>
          <w:p w14:paraId="0DFDB28A" w14:textId="77777777" w:rsidR="00046465" w:rsidRDefault="00046465">
            <w:pPr>
              <w:pStyle w:val="TableParagraph"/>
              <w:rPr>
                <w:rFonts w:ascii="Times New Roman"/>
                <w:sz w:val="20"/>
              </w:rPr>
            </w:pPr>
          </w:p>
        </w:tc>
        <w:tc>
          <w:tcPr>
            <w:tcW w:w="1249" w:type="dxa"/>
            <w:tcBorders>
              <w:top w:val="single" w:sz="4" w:space="0" w:color="000000"/>
              <w:left w:val="single" w:sz="4" w:space="0" w:color="000000"/>
              <w:bottom w:val="single" w:sz="4" w:space="0" w:color="000000"/>
            </w:tcBorders>
            <w:shd w:val="clear" w:color="auto" w:fill="D9D9D9"/>
          </w:tcPr>
          <w:p w14:paraId="0DFDB28B" w14:textId="77777777" w:rsidR="00046465" w:rsidRDefault="00046465">
            <w:pPr>
              <w:pStyle w:val="TableParagraph"/>
              <w:rPr>
                <w:rFonts w:ascii="Times New Roman"/>
                <w:sz w:val="20"/>
              </w:rPr>
            </w:pPr>
          </w:p>
        </w:tc>
      </w:tr>
      <w:tr w:rsidR="00046465" w14:paraId="0DFDB292" w14:textId="77777777">
        <w:trPr>
          <w:trHeight w:val="1601"/>
        </w:trPr>
        <w:tc>
          <w:tcPr>
            <w:tcW w:w="7060" w:type="dxa"/>
            <w:tcBorders>
              <w:top w:val="single" w:sz="4" w:space="0" w:color="000000"/>
              <w:right w:val="single" w:sz="4" w:space="0" w:color="000000"/>
            </w:tcBorders>
          </w:tcPr>
          <w:p w14:paraId="0DFDB28D" w14:textId="77777777" w:rsidR="00046465" w:rsidRDefault="008134EB">
            <w:pPr>
              <w:pStyle w:val="TableParagraph"/>
              <w:spacing w:before="68"/>
              <w:ind w:left="617"/>
            </w:pPr>
            <w:r>
              <w:t>A.</w:t>
            </w:r>
            <w:r>
              <w:rPr>
                <w:spacing w:val="73"/>
              </w:rPr>
              <w:t xml:space="preserve"> </w:t>
            </w:r>
            <w:r>
              <w:t>Document</w:t>
            </w:r>
            <w:r>
              <w:rPr>
                <w:spacing w:val="-7"/>
              </w:rPr>
              <w:t xml:space="preserve"> </w:t>
            </w:r>
            <w:r>
              <w:t>conclusions</w:t>
            </w:r>
            <w:r>
              <w:rPr>
                <w:spacing w:val="-6"/>
              </w:rPr>
              <w:t xml:space="preserve"> </w:t>
            </w:r>
            <w:r>
              <w:t>regarding</w:t>
            </w:r>
            <w:r>
              <w:rPr>
                <w:spacing w:val="-7"/>
              </w:rPr>
              <w:t xml:space="preserve"> </w:t>
            </w:r>
            <w:r>
              <w:rPr>
                <w:spacing w:val="-2"/>
              </w:rPr>
              <w:t>whether</w:t>
            </w:r>
          </w:p>
          <w:p w14:paraId="0DFDB28E" w14:textId="77777777" w:rsidR="00046465" w:rsidRDefault="008134EB">
            <w:pPr>
              <w:pStyle w:val="TableParagraph"/>
              <w:numPr>
                <w:ilvl w:val="0"/>
                <w:numId w:val="194"/>
              </w:numPr>
              <w:tabs>
                <w:tab w:val="left" w:pos="1337"/>
              </w:tabs>
              <w:spacing w:before="126" w:line="247" w:lineRule="auto"/>
              <w:ind w:right="627"/>
            </w:pPr>
            <w:r>
              <w:t>the</w:t>
            </w:r>
            <w:r>
              <w:rPr>
                <w:spacing w:val="-8"/>
              </w:rPr>
              <w:t xml:space="preserve"> </w:t>
            </w:r>
            <w:r>
              <w:t>agency’s</w:t>
            </w:r>
            <w:r>
              <w:rPr>
                <w:spacing w:val="-8"/>
              </w:rPr>
              <w:t xml:space="preserve"> </w:t>
            </w:r>
            <w:r>
              <w:t>financial</w:t>
            </w:r>
            <w:r>
              <w:rPr>
                <w:spacing w:val="-8"/>
              </w:rPr>
              <w:t xml:space="preserve"> </w:t>
            </w:r>
            <w:r>
              <w:t>management</w:t>
            </w:r>
            <w:r>
              <w:rPr>
                <w:spacing w:val="-8"/>
              </w:rPr>
              <w:t xml:space="preserve"> </w:t>
            </w:r>
            <w:r>
              <w:t>systems</w:t>
            </w:r>
            <w:r>
              <w:rPr>
                <w:spacing w:val="-8"/>
              </w:rPr>
              <w:t xml:space="preserve"> </w:t>
            </w:r>
            <w:r>
              <w:t>comply substantially with the three FFMIA requirements;</w:t>
            </w:r>
          </w:p>
          <w:p w14:paraId="0DFDB28F" w14:textId="77777777" w:rsidR="00046465" w:rsidRDefault="008134EB">
            <w:pPr>
              <w:pStyle w:val="TableParagraph"/>
              <w:numPr>
                <w:ilvl w:val="0"/>
                <w:numId w:val="194"/>
              </w:numPr>
              <w:tabs>
                <w:tab w:val="left" w:pos="1337"/>
              </w:tabs>
              <w:spacing w:before="93" w:line="260" w:lineRule="atLeast"/>
              <w:ind w:right="687"/>
            </w:pPr>
            <w:r>
              <w:t>management’s</w:t>
            </w:r>
            <w:r>
              <w:rPr>
                <w:spacing w:val="-8"/>
              </w:rPr>
              <w:t xml:space="preserve"> </w:t>
            </w:r>
            <w:r>
              <w:t>process</w:t>
            </w:r>
            <w:r>
              <w:rPr>
                <w:spacing w:val="-8"/>
              </w:rPr>
              <w:t xml:space="preserve"> </w:t>
            </w:r>
            <w:r>
              <w:t>for</w:t>
            </w:r>
            <w:r>
              <w:rPr>
                <w:spacing w:val="-8"/>
              </w:rPr>
              <w:t xml:space="preserve"> </w:t>
            </w:r>
            <w:r>
              <w:t>determining</w:t>
            </w:r>
            <w:r>
              <w:rPr>
                <w:spacing w:val="-8"/>
              </w:rPr>
              <w:t xml:space="preserve"> </w:t>
            </w:r>
            <w:r>
              <w:t>whether</w:t>
            </w:r>
            <w:r>
              <w:rPr>
                <w:spacing w:val="-8"/>
              </w:rPr>
              <w:t xml:space="preserve"> </w:t>
            </w:r>
            <w:r>
              <w:t>the agency’s financial management systems comply</w:t>
            </w:r>
          </w:p>
        </w:tc>
        <w:tc>
          <w:tcPr>
            <w:tcW w:w="1170" w:type="dxa"/>
            <w:tcBorders>
              <w:top w:val="single" w:sz="4" w:space="0" w:color="000000"/>
              <w:left w:val="single" w:sz="4" w:space="0" w:color="000000"/>
              <w:right w:val="single" w:sz="4" w:space="0" w:color="000000"/>
            </w:tcBorders>
          </w:tcPr>
          <w:p w14:paraId="0DFDB290" w14:textId="77777777" w:rsidR="00046465" w:rsidRDefault="00046465">
            <w:pPr>
              <w:pStyle w:val="TableParagraph"/>
              <w:rPr>
                <w:rFonts w:ascii="Times New Roman"/>
                <w:sz w:val="20"/>
              </w:rPr>
            </w:pPr>
          </w:p>
        </w:tc>
        <w:tc>
          <w:tcPr>
            <w:tcW w:w="1249" w:type="dxa"/>
            <w:tcBorders>
              <w:top w:val="single" w:sz="4" w:space="0" w:color="000000"/>
              <w:left w:val="single" w:sz="4" w:space="0" w:color="000000"/>
            </w:tcBorders>
          </w:tcPr>
          <w:p w14:paraId="0DFDB291" w14:textId="77777777" w:rsidR="00046465" w:rsidRDefault="00046465">
            <w:pPr>
              <w:pStyle w:val="TableParagraph"/>
              <w:rPr>
                <w:rFonts w:ascii="Times New Roman"/>
                <w:sz w:val="20"/>
              </w:rPr>
            </w:pPr>
          </w:p>
        </w:tc>
      </w:tr>
    </w:tbl>
    <w:p w14:paraId="0DFDB293" w14:textId="77777777" w:rsidR="00046465" w:rsidRDefault="00046465">
      <w:pPr>
        <w:pStyle w:val="TableParagraph"/>
        <w:rPr>
          <w:rFonts w:ascii="Times New Roman"/>
          <w:sz w:val="20"/>
        </w:rPr>
        <w:sectPr w:rsidR="00046465">
          <w:pgSz w:w="12240" w:h="15840"/>
          <w:pgMar w:top="1600" w:right="720" w:bottom="940" w:left="1080" w:header="721" w:footer="757" w:gutter="0"/>
          <w:cols w:space="720"/>
        </w:sectPr>
      </w:pPr>
    </w:p>
    <w:p w14:paraId="0DFDB294" w14:textId="77777777" w:rsidR="00046465" w:rsidRDefault="00046465">
      <w:pPr>
        <w:pStyle w:val="BodyText"/>
        <w:spacing w:before="4"/>
        <w:rPr>
          <w:sz w:val="11"/>
        </w:rPr>
      </w:pPr>
    </w:p>
    <w:tbl>
      <w:tblPr>
        <w:tblW w:w="0" w:type="auto"/>
        <w:tblInd w:w="37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060"/>
        <w:gridCol w:w="1170"/>
        <w:gridCol w:w="1249"/>
      </w:tblGrid>
      <w:tr w:rsidR="00046465" w14:paraId="0DFDB29A" w14:textId="77777777">
        <w:trPr>
          <w:trHeight w:val="745"/>
        </w:trPr>
        <w:tc>
          <w:tcPr>
            <w:tcW w:w="7060" w:type="dxa"/>
            <w:tcBorders>
              <w:right w:val="single" w:sz="4" w:space="0" w:color="000000"/>
            </w:tcBorders>
          </w:tcPr>
          <w:p w14:paraId="0DFDB295" w14:textId="77777777" w:rsidR="00046465" w:rsidRDefault="00046465">
            <w:pPr>
              <w:pStyle w:val="TableParagraph"/>
              <w:spacing w:before="120"/>
            </w:pPr>
          </w:p>
          <w:p w14:paraId="0DFDB296" w14:textId="77777777" w:rsidR="00046465" w:rsidRDefault="008134EB">
            <w:pPr>
              <w:pStyle w:val="TableParagraph"/>
              <w:spacing w:before="1"/>
              <w:ind w:left="97"/>
              <w:rPr>
                <w:b/>
              </w:rPr>
            </w:pPr>
            <w:r>
              <w:rPr>
                <w:b/>
                <w:spacing w:val="-2"/>
              </w:rPr>
              <w:t>Procedure</w:t>
            </w:r>
          </w:p>
        </w:tc>
        <w:tc>
          <w:tcPr>
            <w:tcW w:w="1170" w:type="dxa"/>
            <w:tcBorders>
              <w:left w:val="single" w:sz="4" w:space="0" w:color="000000"/>
              <w:right w:val="single" w:sz="4" w:space="0" w:color="000000"/>
            </w:tcBorders>
          </w:tcPr>
          <w:p w14:paraId="0DFDB297" w14:textId="77777777" w:rsidR="00046465" w:rsidRDefault="008134EB">
            <w:pPr>
              <w:pStyle w:val="TableParagraph"/>
              <w:spacing w:before="120"/>
              <w:ind w:left="107" w:right="144"/>
              <w:rPr>
                <w:b/>
              </w:rPr>
            </w:pPr>
            <w:r>
              <w:rPr>
                <w:b/>
                <w:spacing w:val="-2"/>
              </w:rPr>
              <w:t xml:space="preserve">Initials/ </w:t>
            </w:r>
            <w:r>
              <w:rPr>
                <w:b/>
                <w:spacing w:val="-4"/>
              </w:rPr>
              <w:t>date</w:t>
            </w:r>
          </w:p>
        </w:tc>
        <w:tc>
          <w:tcPr>
            <w:tcW w:w="1249" w:type="dxa"/>
            <w:tcBorders>
              <w:left w:val="single" w:sz="4" w:space="0" w:color="000000"/>
            </w:tcBorders>
          </w:tcPr>
          <w:p w14:paraId="0DFDB298" w14:textId="77777777" w:rsidR="00046465" w:rsidRDefault="00046465">
            <w:pPr>
              <w:pStyle w:val="TableParagraph"/>
              <w:spacing w:before="120"/>
            </w:pPr>
          </w:p>
          <w:p w14:paraId="0DFDB299" w14:textId="77777777" w:rsidR="00046465" w:rsidRDefault="008134EB">
            <w:pPr>
              <w:pStyle w:val="TableParagraph"/>
              <w:spacing w:before="1"/>
              <w:ind w:left="107"/>
              <w:rPr>
                <w:b/>
              </w:rPr>
            </w:pPr>
            <w:r>
              <w:rPr>
                <w:b/>
              </w:rPr>
              <w:t>Doc.</w:t>
            </w:r>
            <w:r>
              <w:rPr>
                <w:b/>
                <w:spacing w:val="-6"/>
              </w:rPr>
              <w:t xml:space="preserve"> </w:t>
            </w:r>
            <w:r>
              <w:rPr>
                <w:b/>
                <w:spacing w:val="-4"/>
              </w:rPr>
              <w:t>ref.</w:t>
            </w:r>
          </w:p>
        </w:tc>
      </w:tr>
      <w:tr w:rsidR="00046465" w14:paraId="0DFDB29F" w14:textId="77777777">
        <w:trPr>
          <w:trHeight w:val="1220"/>
        </w:trPr>
        <w:tc>
          <w:tcPr>
            <w:tcW w:w="7060" w:type="dxa"/>
            <w:tcBorders>
              <w:bottom w:val="single" w:sz="4" w:space="0" w:color="000000"/>
              <w:right w:val="single" w:sz="4" w:space="0" w:color="000000"/>
            </w:tcBorders>
          </w:tcPr>
          <w:p w14:paraId="0DFDB29B" w14:textId="77777777" w:rsidR="00046465" w:rsidRDefault="008134EB">
            <w:pPr>
              <w:pStyle w:val="TableParagraph"/>
              <w:spacing w:before="8" w:line="247" w:lineRule="auto"/>
              <w:ind w:left="1337"/>
            </w:pPr>
            <w:r>
              <w:t>substantially with these requirements is designed, implemented, and operating effectively to produce sufficient</w:t>
            </w:r>
            <w:r>
              <w:rPr>
                <w:spacing w:val="-8"/>
              </w:rPr>
              <w:t xml:space="preserve"> </w:t>
            </w:r>
            <w:r>
              <w:t>evidence</w:t>
            </w:r>
            <w:r>
              <w:rPr>
                <w:spacing w:val="-8"/>
              </w:rPr>
              <w:t xml:space="preserve"> </w:t>
            </w:r>
            <w:r>
              <w:t>for</w:t>
            </w:r>
            <w:r>
              <w:rPr>
                <w:spacing w:val="-8"/>
              </w:rPr>
              <w:t xml:space="preserve"> </w:t>
            </w:r>
            <w:r>
              <w:t>management’s</w:t>
            </w:r>
            <w:r>
              <w:rPr>
                <w:spacing w:val="-8"/>
              </w:rPr>
              <w:t xml:space="preserve"> </w:t>
            </w:r>
            <w:r>
              <w:t>conclusions;</w:t>
            </w:r>
            <w:r>
              <w:rPr>
                <w:spacing w:val="-8"/>
              </w:rPr>
              <w:t xml:space="preserve"> </w:t>
            </w:r>
            <w:r>
              <w:t>and</w:t>
            </w:r>
          </w:p>
          <w:p w14:paraId="0DFDB29C" w14:textId="77777777" w:rsidR="00046465" w:rsidRDefault="008134EB">
            <w:pPr>
              <w:pStyle w:val="TableParagraph"/>
              <w:spacing w:before="118"/>
              <w:ind w:left="977"/>
            </w:pPr>
            <w:r>
              <w:t>3.</w:t>
            </w:r>
            <w:r>
              <w:rPr>
                <w:spacing w:val="65"/>
                <w:w w:val="150"/>
              </w:rPr>
              <w:t xml:space="preserve"> </w:t>
            </w:r>
            <w:r>
              <w:t>management’s</w:t>
            </w:r>
            <w:r>
              <w:rPr>
                <w:spacing w:val="-7"/>
              </w:rPr>
              <w:t xml:space="preserve"> </w:t>
            </w:r>
            <w:r>
              <w:t>conclusions</w:t>
            </w:r>
            <w:r>
              <w:rPr>
                <w:spacing w:val="-6"/>
              </w:rPr>
              <w:t xml:space="preserve"> </w:t>
            </w:r>
            <w:r>
              <w:t>are</w:t>
            </w:r>
            <w:r>
              <w:rPr>
                <w:spacing w:val="-7"/>
              </w:rPr>
              <w:t xml:space="preserve"> </w:t>
            </w:r>
            <w:r>
              <w:t>adequately</w:t>
            </w:r>
            <w:r>
              <w:rPr>
                <w:spacing w:val="-7"/>
              </w:rPr>
              <w:t xml:space="preserve"> </w:t>
            </w:r>
            <w:r>
              <w:rPr>
                <w:spacing w:val="-2"/>
              </w:rPr>
              <w:t>supported.</w:t>
            </w:r>
          </w:p>
        </w:tc>
        <w:tc>
          <w:tcPr>
            <w:tcW w:w="1170" w:type="dxa"/>
            <w:tcBorders>
              <w:left w:val="single" w:sz="4" w:space="0" w:color="000000"/>
              <w:bottom w:val="single" w:sz="4" w:space="0" w:color="000000"/>
              <w:right w:val="single" w:sz="4" w:space="0" w:color="000000"/>
            </w:tcBorders>
          </w:tcPr>
          <w:p w14:paraId="0DFDB29D" w14:textId="77777777" w:rsidR="00046465" w:rsidRDefault="00046465">
            <w:pPr>
              <w:pStyle w:val="TableParagraph"/>
              <w:rPr>
                <w:rFonts w:ascii="Times New Roman"/>
                <w:sz w:val="20"/>
              </w:rPr>
            </w:pPr>
          </w:p>
        </w:tc>
        <w:tc>
          <w:tcPr>
            <w:tcW w:w="1249" w:type="dxa"/>
            <w:tcBorders>
              <w:left w:val="single" w:sz="4" w:space="0" w:color="000000"/>
              <w:bottom w:val="single" w:sz="4" w:space="0" w:color="000000"/>
            </w:tcBorders>
          </w:tcPr>
          <w:p w14:paraId="0DFDB29E" w14:textId="77777777" w:rsidR="00046465" w:rsidRDefault="00046465">
            <w:pPr>
              <w:pStyle w:val="TableParagraph"/>
              <w:rPr>
                <w:rFonts w:ascii="Times New Roman"/>
                <w:sz w:val="20"/>
              </w:rPr>
            </w:pPr>
          </w:p>
        </w:tc>
      </w:tr>
      <w:tr w:rsidR="00046465" w14:paraId="0DFDB2AA" w14:textId="77777777">
        <w:trPr>
          <w:trHeight w:val="6419"/>
        </w:trPr>
        <w:tc>
          <w:tcPr>
            <w:tcW w:w="7060" w:type="dxa"/>
            <w:tcBorders>
              <w:top w:val="single" w:sz="4" w:space="0" w:color="000000"/>
              <w:bottom w:val="single" w:sz="4" w:space="0" w:color="000000"/>
              <w:right w:val="single" w:sz="4" w:space="0" w:color="000000"/>
            </w:tcBorders>
          </w:tcPr>
          <w:p w14:paraId="0DFDB2A0" w14:textId="77777777" w:rsidR="00046465" w:rsidRDefault="008134EB">
            <w:pPr>
              <w:pStyle w:val="TableParagraph"/>
              <w:spacing w:before="67" w:line="247" w:lineRule="auto"/>
              <w:ind w:left="977" w:right="181" w:hanging="360"/>
            </w:pPr>
            <w:r>
              <w:t>B.</w:t>
            </w:r>
            <w:r>
              <w:rPr>
                <w:spacing w:val="80"/>
              </w:rPr>
              <w:t xml:space="preserve"> </w:t>
            </w:r>
            <w:r>
              <w:t>If one or more of the agency’s financial management systems</w:t>
            </w:r>
            <w:r>
              <w:rPr>
                <w:spacing w:val="-4"/>
              </w:rPr>
              <w:t xml:space="preserve"> </w:t>
            </w:r>
            <w:r>
              <w:t>do</w:t>
            </w:r>
            <w:r>
              <w:rPr>
                <w:spacing w:val="-5"/>
              </w:rPr>
              <w:t xml:space="preserve"> </w:t>
            </w:r>
            <w:r>
              <w:t>not</w:t>
            </w:r>
            <w:r>
              <w:rPr>
                <w:spacing w:val="-4"/>
              </w:rPr>
              <w:t xml:space="preserve"> </w:t>
            </w:r>
            <w:r>
              <w:t>comply</w:t>
            </w:r>
            <w:r>
              <w:rPr>
                <w:spacing w:val="-5"/>
              </w:rPr>
              <w:t xml:space="preserve"> </w:t>
            </w:r>
            <w:r>
              <w:t>substantially</w:t>
            </w:r>
            <w:r>
              <w:rPr>
                <w:spacing w:val="-5"/>
              </w:rPr>
              <w:t xml:space="preserve"> </w:t>
            </w:r>
            <w:r>
              <w:t>with</w:t>
            </w:r>
            <w:r>
              <w:rPr>
                <w:spacing w:val="-4"/>
              </w:rPr>
              <w:t xml:space="preserve"> </w:t>
            </w:r>
            <w:r>
              <w:t>one</w:t>
            </w:r>
            <w:r>
              <w:rPr>
                <w:spacing w:val="-4"/>
              </w:rPr>
              <w:t xml:space="preserve"> </w:t>
            </w:r>
            <w:r>
              <w:t>or</w:t>
            </w:r>
            <w:r>
              <w:rPr>
                <w:spacing w:val="-4"/>
              </w:rPr>
              <w:t xml:space="preserve"> </w:t>
            </w:r>
            <w:r>
              <w:t>more</w:t>
            </w:r>
            <w:r>
              <w:rPr>
                <w:spacing w:val="-4"/>
              </w:rPr>
              <w:t xml:space="preserve"> </w:t>
            </w:r>
            <w:r>
              <w:t>of</w:t>
            </w:r>
            <w:r>
              <w:rPr>
                <w:spacing w:val="-4"/>
              </w:rPr>
              <w:t xml:space="preserve"> </w:t>
            </w:r>
            <w:r>
              <w:t>the three FFMIA requirements, perform the following:</w:t>
            </w:r>
          </w:p>
          <w:p w14:paraId="0DFDB2A1" w14:textId="77777777" w:rsidR="00046465" w:rsidRDefault="008134EB">
            <w:pPr>
              <w:pStyle w:val="TableParagraph"/>
              <w:numPr>
                <w:ilvl w:val="0"/>
                <w:numId w:val="193"/>
              </w:numPr>
              <w:tabs>
                <w:tab w:val="left" w:pos="1337"/>
              </w:tabs>
              <w:spacing w:before="118" w:line="247" w:lineRule="auto"/>
              <w:ind w:right="308"/>
            </w:pPr>
            <w:r>
              <w:t>Document the entity or organization responsible for the financial</w:t>
            </w:r>
            <w:r>
              <w:rPr>
                <w:spacing w:val="-6"/>
              </w:rPr>
              <w:t xml:space="preserve"> </w:t>
            </w:r>
            <w:r>
              <w:t>management</w:t>
            </w:r>
            <w:r>
              <w:rPr>
                <w:spacing w:val="-6"/>
              </w:rPr>
              <w:t xml:space="preserve"> </w:t>
            </w:r>
            <w:r>
              <w:t>systems</w:t>
            </w:r>
            <w:r>
              <w:rPr>
                <w:spacing w:val="-6"/>
              </w:rPr>
              <w:t xml:space="preserve"> </w:t>
            </w:r>
            <w:r>
              <w:t>that</w:t>
            </w:r>
            <w:r>
              <w:rPr>
                <w:spacing w:val="-7"/>
              </w:rPr>
              <w:t xml:space="preserve"> </w:t>
            </w:r>
            <w:r>
              <w:t>have</w:t>
            </w:r>
            <w:r>
              <w:rPr>
                <w:spacing w:val="-6"/>
              </w:rPr>
              <w:t xml:space="preserve"> </w:t>
            </w:r>
            <w:r>
              <w:t>been</w:t>
            </w:r>
            <w:r>
              <w:rPr>
                <w:spacing w:val="-6"/>
              </w:rPr>
              <w:t xml:space="preserve"> </w:t>
            </w:r>
            <w:r>
              <w:t>found</w:t>
            </w:r>
            <w:r>
              <w:rPr>
                <w:spacing w:val="-6"/>
              </w:rPr>
              <w:t xml:space="preserve"> </w:t>
            </w:r>
            <w:r>
              <w:t xml:space="preserve">to not comply substantially with the three FFMIA </w:t>
            </w:r>
            <w:r>
              <w:rPr>
                <w:spacing w:val="-2"/>
              </w:rPr>
              <w:t>requirements.</w:t>
            </w:r>
          </w:p>
          <w:p w14:paraId="0DFDB2A2" w14:textId="77777777" w:rsidR="00046465" w:rsidRDefault="008134EB">
            <w:pPr>
              <w:pStyle w:val="TableParagraph"/>
              <w:numPr>
                <w:ilvl w:val="0"/>
                <w:numId w:val="193"/>
              </w:numPr>
              <w:tabs>
                <w:tab w:val="left" w:pos="1337"/>
              </w:tabs>
              <w:spacing w:before="118" w:line="247" w:lineRule="auto"/>
              <w:ind w:right="591"/>
            </w:pPr>
            <w:r>
              <w:t>Document</w:t>
            </w:r>
            <w:r>
              <w:rPr>
                <w:spacing w:val="-5"/>
              </w:rPr>
              <w:t xml:space="preserve"> </w:t>
            </w:r>
            <w:r>
              <w:t>all</w:t>
            </w:r>
            <w:r>
              <w:rPr>
                <w:spacing w:val="-5"/>
              </w:rPr>
              <w:t xml:space="preserve"> </w:t>
            </w:r>
            <w:r>
              <w:t>facts</w:t>
            </w:r>
            <w:r>
              <w:rPr>
                <w:spacing w:val="-6"/>
              </w:rPr>
              <w:t xml:space="preserve"> </w:t>
            </w:r>
            <w:r>
              <w:t>pertaining</w:t>
            </w:r>
            <w:r>
              <w:rPr>
                <w:spacing w:val="-5"/>
              </w:rPr>
              <w:t xml:space="preserve"> </w:t>
            </w:r>
            <w:r>
              <w:t>to</w:t>
            </w:r>
            <w:r>
              <w:rPr>
                <w:spacing w:val="-5"/>
              </w:rPr>
              <w:t xml:space="preserve"> </w:t>
            </w:r>
            <w:r>
              <w:t>the</w:t>
            </w:r>
            <w:r>
              <w:rPr>
                <w:spacing w:val="-5"/>
              </w:rPr>
              <w:t xml:space="preserve"> </w:t>
            </w:r>
            <w:r>
              <w:t>failure</w:t>
            </w:r>
            <w:r>
              <w:rPr>
                <w:spacing w:val="-5"/>
              </w:rPr>
              <w:t xml:space="preserve"> </w:t>
            </w:r>
            <w:r>
              <w:t>to</w:t>
            </w:r>
            <w:r>
              <w:rPr>
                <w:spacing w:val="-5"/>
              </w:rPr>
              <w:t xml:space="preserve"> </w:t>
            </w:r>
            <w:r>
              <w:t xml:space="preserve">comply substantially with the three FFMIA requirements, </w:t>
            </w:r>
            <w:r>
              <w:rPr>
                <w:spacing w:val="-2"/>
              </w:rPr>
              <w:t>including</w:t>
            </w:r>
          </w:p>
          <w:p w14:paraId="0DFDB2A3" w14:textId="77777777" w:rsidR="00046465" w:rsidRDefault="008134EB">
            <w:pPr>
              <w:pStyle w:val="TableParagraph"/>
              <w:numPr>
                <w:ilvl w:val="1"/>
                <w:numId w:val="193"/>
              </w:numPr>
              <w:tabs>
                <w:tab w:val="left" w:pos="1697"/>
              </w:tabs>
              <w:spacing w:before="118" w:line="247" w:lineRule="auto"/>
              <w:ind w:right="119"/>
            </w:pPr>
            <w:r>
              <w:t>the</w:t>
            </w:r>
            <w:r>
              <w:rPr>
                <w:spacing w:val="-6"/>
              </w:rPr>
              <w:t xml:space="preserve"> </w:t>
            </w:r>
            <w:r>
              <w:t>nature</w:t>
            </w:r>
            <w:r>
              <w:rPr>
                <w:spacing w:val="-6"/>
              </w:rPr>
              <w:t xml:space="preserve"> </w:t>
            </w:r>
            <w:r>
              <w:t>and</w:t>
            </w:r>
            <w:r>
              <w:rPr>
                <w:spacing w:val="-6"/>
              </w:rPr>
              <w:t xml:space="preserve"> </w:t>
            </w:r>
            <w:r>
              <w:t>extent</w:t>
            </w:r>
            <w:r>
              <w:rPr>
                <w:spacing w:val="-6"/>
              </w:rPr>
              <w:t xml:space="preserve"> </w:t>
            </w:r>
            <w:r>
              <w:t>of</w:t>
            </w:r>
            <w:r>
              <w:rPr>
                <w:spacing w:val="-7"/>
              </w:rPr>
              <w:t xml:space="preserve"> </w:t>
            </w:r>
            <w:r>
              <w:t>the</w:t>
            </w:r>
            <w:r>
              <w:rPr>
                <w:spacing w:val="-6"/>
              </w:rPr>
              <w:t xml:space="preserve"> </w:t>
            </w:r>
            <w:r>
              <w:t>noncompliance,</w:t>
            </w:r>
            <w:r>
              <w:rPr>
                <w:spacing w:val="-6"/>
              </w:rPr>
              <w:t xml:space="preserve"> </w:t>
            </w:r>
            <w:r>
              <w:t xml:space="preserve">including areas in which there is substantial but not full </w:t>
            </w:r>
            <w:r>
              <w:rPr>
                <w:spacing w:val="-2"/>
              </w:rPr>
              <w:t>compliance;</w:t>
            </w:r>
          </w:p>
          <w:p w14:paraId="0DFDB2A4" w14:textId="77777777" w:rsidR="00046465" w:rsidRDefault="008134EB">
            <w:pPr>
              <w:pStyle w:val="TableParagraph"/>
              <w:numPr>
                <w:ilvl w:val="1"/>
                <w:numId w:val="193"/>
              </w:numPr>
              <w:tabs>
                <w:tab w:val="left" w:pos="1696"/>
              </w:tabs>
              <w:spacing w:before="119"/>
              <w:ind w:left="1696" w:hanging="359"/>
            </w:pPr>
            <w:r>
              <w:t>the</w:t>
            </w:r>
            <w:r>
              <w:rPr>
                <w:spacing w:val="-5"/>
              </w:rPr>
              <w:t xml:space="preserve"> </w:t>
            </w:r>
            <w:r>
              <w:t>primary</w:t>
            </w:r>
            <w:r>
              <w:rPr>
                <w:spacing w:val="-5"/>
              </w:rPr>
              <w:t xml:space="preserve"> </w:t>
            </w:r>
            <w:r>
              <w:t>reason</w:t>
            </w:r>
            <w:r>
              <w:rPr>
                <w:spacing w:val="-4"/>
              </w:rPr>
              <w:t xml:space="preserve"> </w:t>
            </w:r>
            <w:r>
              <w:t>or</w:t>
            </w:r>
            <w:r>
              <w:rPr>
                <w:spacing w:val="-5"/>
              </w:rPr>
              <w:t xml:space="preserve"> </w:t>
            </w:r>
            <w:r>
              <w:t>cause</w:t>
            </w:r>
            <w:r>
              <w:rPr>
                <w:spacing w:val="-4"/>
              </w:rPr>
              <w:t xml:space="preserve"> </w:t>
            </w:r>
            <w:r>
              <w:t>of</w:t>
            </w:r>
            <w:r>
              <w:rPr>
                <w:spacing w:val="-5"/>
              </w:rPr>
              <w:t xml:space="preserve"> </w:t>
            </w:r>
            <w:r>
              <w:t>the</w:t>
            </w:r>
            <w:r>
              <w:rPr>
                <w:spacing w:val="-4"/>
              </w:rPr>
              <w:t xml:space="preserve"> </w:t>
            </w:r>
            <w:r>
              <w:rPr>
                <w:spacing w:val="-2"/>
              </w:rPr>
              <w:t>noncompliance;</w:t>
            </w:r>
          </w:p>
          <w:p w14:paraId="0DFDB2A5" w14:textId="77777777" w:rsidR="00046465" w:rsidRDefault="008134EB">
            <w:pPr>
              <w:pStyle w:val="TableParagraph"/>
              <w:numPr>
                <w:ilvl w:val="1"/>
                <w:numId w:val="193"/>
              </w:numPr>
              <w:tabs>
                <w:tab w:val="left" w:pos="1696"/>
              </w:tabs>
              <w:spacing w:before="126" w:line="247" w:lineRule="auto"/>
              <w:ind w:left="1696" w:right="1060"/>
            </w:pPr>
            <w:r>
              <w:t>the</w:t>
            </w:r>
            <w:r>
              <w:rPr>
                <w:spacing w:val="-6"/>
              </w:rPr>
              <w:t xml:space="preserve"> </w:t>
            </w:r>
            <w:r>
              <w:t>entity</w:t>
            </w:r>
            <w:r>
              <w:rPr>
                <w:spacing w:val="-6"/>
              </w:rPr>
              <w:t xml:space="preserve"> </w:t>
            </w:r>
            <w:r>
              <w:t>or</w:t>
            </w:r>
            <w:r>
              <w:rPr>
                <w:spacing w:val="-8"/>
              </w:rPr>
              <w:t xml:space="preserve"> </w:t>
            </w:r>
            <w:r>
              <w:t>organization</w:t>
            </w:r>
            <w:r>
              <w:rPr>
                <w:spacing w:val="-7"/>
              </w:rPr>
              <w:t xml:space="preserve"> </w:t>
            </w:r>
            <w:r>
              <w:t>responsible</w:t>
            </w:r>
            <w:r>
              <w:rPr>
                <w:spacing w:val="-7"/>
              </w:rPr>
              <w:t xml:space="preserve"> </w:t>
            </w:r>
            <w:r>
              <w:t>for</w:t>
            </w:r>
            <w:r>
              <w:rPr>
                <w:spacing w:val="-6"/>
              </w:rPr>
              <w:t xml:space="preserve"> </w:t>
            </w:r>
            <w:r>
              <w:t>the noncompliance; and</w:t>
            </w:r>
          </w:p>
          <w:p w14:paraId="0DFDB2A6" w14:textId="77777777" w:rsidR="00046465" w:rsidRDefault="008134EB">
            <w:pPr>
              <w:pStyle w:val="TableParagraph"/>
              <w:numPr>
                <w:ilvl w:val="1"/>
                <w:numId w:val="193"/>
              </w:numPr>
              <w:tabs>
                <w:tab w:val="left" w:pos="1696"/>
              </w:tabs>
              <w:spacing w:before="120" w:line="247" w:lineRule="auto"/>
              <w:ind w:left="1696" w:right="303"/>
            </w:pPr>
            <w:r>
              <w:t>any</w:t>
            </w:r>
            <w:r>
              <w:rPr>
                <w:spacing w:val="-6"/>
              </w:rPr>
              <w:t xml:space="preserve"> </w:t>
            </w:r>
            <w:r>
              <w:t>relevant</w:t>
            </w:r>
            <w:r>
              <w:rPr>
                <w:spacing w:val="-7"/>
              </w:rPr>
              <w:t xml:space="preserve"> </w:t>
            </w:r>
            <w:r>
              <w:t>comments</w:t>
            </w:r>
            <w:r>
              <w:rPr>
                <w:spacing w:val="-6"/>
              </w:rPr>
              <w:t xml:space="preserve"> </w:t>
            </w:r>
            <w:r>
              <w:t>from</w:t>
            </w:r>
            <w:r>
              <w:rPr>
                <w:spacing w:val="-7"/>
              </w:rPr>
              <w:t xml:space="preserve"> </w:t>
            </w:r>
            <w:r>
              <w:t>any</w:t>
            </w:r>
            <w:r>
              <w:rPr>
                <w:spacing w:val="-6"/>
              </w:rPr>
              <w:t xml:space="preserve"> </w:t>
            </w:r>
            <w:r>
              <w:t>responsible</w:t>
            </w:r>
            <w:r>
              <w:rPr>
                <w:spacing w:val="-6"/>
              </w:rPr>
              <w:t xml:space="preserve"> </w:t>
            </w:r>
            <w:r>
              <w:t>officer or employee.</w:t>
            </w:r>
          </w:p>
          <w:p w14:paraId="0DFDB2A7" w14:textId="77777777" w:rsidR="00046465" w:rsidRDefault="008134EB">
            <w:pPr>
              <w:pStyle w:val="TableParagraph"/>
              <w:numPr>
                <w:ilvl w:val="0"/>
                <w:numId w:val="193"/>
              </w:numPr>
              <w:tabs>
                <w:tab w:val="left" w:pos="1336"/>
              </w:tabs>
              <w:spacing w:before="118" w:line="247" w:lineRule="auto"/>
              <w:ind w:left="1336" w:right="370"/>
              <w:jc w:val="both"/>
            </w:pPr>
            <w:r>
              <w:t>Develop</w:t>
            </w:r>
            <w:r>
              <w:rPr>
                <w:spacing w:val="-6"/>
              </w:rPr>
              <w:t xml:space="preserve"> </w:t>
            </w:r>
            <w:r>
              <w:t>a</w:t>
            </w:r>
            <w:r>
              <w:rPr>
                <w:spacing w:val="-6"/>
              </w:rPr>
              <w:t xml:space="preserve"> </w:t>
            </w:r>
            <w:r>
              <w:t>statement</w:t>
            </w:r>
            <w:r>
              <w:rPr>
                <w:spacing w:val="-6"/>
              </w:rPr>
              <w:t xml:space="preserve"> </w:t>
            </w:r>
            <w:r>
              <w:t>with</w:t>
            </w:r>
            <w:r>
              <w:rPr>
                <w:spacing w:val="-6"/>
              </w:rPr>
              <w:t xml:space="preserve"> </w:t>
            </w:r>
            <w:r>
              <w:t>respect</w:t>
            </w:r>
            <w:r>
              <w:rPr>
                <w:spacing w:val="-6"/>
              </w:rPr>
              <w:t xml:space="preserve"> </w:t>
            </w:r>
            <w:r>
              <w:t>to</w:t>
            </w:r>
            <w:r>
              <w:rPr>
                <w:spacing w:val="-7"/>
              </w:rPr>
              <w:t xml:space="preserve"> </w:t>
            </w:r>
            <w:r>
              <w:t>the</w:t>
            </w:r>
            <w:r>
              <w:rPr>
                <w:spacing w:val="-6"/>
              </w:rPr>
              <w:t xml:space="preserve"> </w:t>
            </w:r>
            <w:r>
              <w:t>recommended remedial actions and the</w:t>
            </w:r>
            <w:r>
              <w:rPr>
                <w:spacing w:val="-1"/>
              </w:rPr>
              <w:t xml:space="preserve"> </w:t>
            </w:r>
            <w:r>
              <w:t>time frames for implementing such actions for inclusion in the auditor’s report.</w:t>
            </w:r>
          </w:p>
        </w:tc>
        <w:tc>
          <w:tcPr>
            <w:tcW w:w="1170" w:type="dxa"/>
            <w:tcBorders>
              <w:top w:val="single" w:sz="4" w:space="0" w:color="000000"/>
              <w:left w:val="single" w:sz="4" w:space="0" w:color="000000"/>
              <w:bottom w:val="single" w:sz="4" w:space="0" w:color="000000"/>
              <w:right w:val="single" w:sz="4" w:space="0" w:color="000000"/>
            </w:tcBorders>
          </w:tcPr>
          <w:p w14:paraId="0DFDB2A8" w14:textId="77777777" w:rsidR="00046465" w:rsidRDefault="00046465">
            <w:pPr>
              <w:pStyle w:val="TableParagraph"/>
              <w:rPr>
                <w:rFonts w:ascii="Times New Roman"/>
                <w:sz w:val="20"/>
              </w:rPr>
            </w:pPr>
          </w:p>
        </w:tc>
        <w:tc>
          <w:tcPr>
            <w:tcW w:w="1249" w:type="dxa"/>
            <w:tcBorders>
              <w:top w:val="single" w:sz="4" w:space="0" w:color="000000"/>
              <w:left w:val="single" w:sz="4" w:space="0" w:color="000000"/>
              <w:bottom w:val="single" w:sz="4" w:space="0" w:color="000000"/>
            </w:tcBorders>
          </w:tcPr>
          <w:p w14:paraId="0DFDB2A9" w14:textId="77777777" w:rsidR="00046465" w:rsidRDefault="00046465">
            <w:pPr>
              <w:pStyle w:val="TableParagraph"/>
              <w:rPr>
                <w:rFonts w:ascii="Times New Roman"/>
                <w:sz w:val="20"/>
              </w:rPr>
            </w:pPr>
          </w:p>
        </w:tc>
      </w:tr>
      <w:tr w:rsidR="00046465" w14:paraId="0DFDB2AE" w14:textId="77777777">
        <w:trPr>
          <w:trHeight w:val="1132"/>
        </w:trPr>
        <w:tc>
          <w:tcPr>
            <w:tcW w:w="7060" w:type="dxa"/>
            <w:tcBorders>
              <w:top w:val="single" w:sz="4" w:space="0" w:color="000000"/>
              <w:bottom w:val="single" w:sz="4" w:space="0" w:color="000000"/>
              <w:right w:val="single" w:sz="4" w:space="0" w:color="000000"/>
            </w:tcBorders>
          </w:tcPr>
          <w:p w14:paraId="0DFDB2AB" w14:textId="77777777" w:rsidR="00046465" w:rsidRDefault="008134EB">
            <w:pPr>
              <w:pStyle w:val="TableParagraph"/>
              <w:spacing w:before="61"/>
              <w:ind w:left="977" w:hanging="360"/>
            </w:pPr>
            <w:r>
              <w:t>C.</w:t>
            </w:r>
            <w:r>
              <w:rPr>
                <w:spacing w:val="68"/>
              </w:rPr>
              <w:t xml:space="preserve"> </w:t>
            </w:r>
            <w:r>
              <w:t>Read</w:t>
            </w:r>
            <w:r>
              <w:rPr>
                <w:spacing w:val="-5"/>
              </w:rPr>
              <w:t xml:space="preserve"> </w:t>
            </w:r>
            <w:r>
              <w:t>the</w:t>
            </w:r>
            <w:r>
              <w:rPr>
                <w:spacing w:val="-5"/>
              </w:rPr>
              <w:t xml:space="preserve"> </w:t>
            </w:r>
            <w:r>
              <w:t>agency’s</w:t>
            </w:r>
            <w:r>
              <w:rPr>
                <w:spacing w:val="-5"/>
              </w:rPr>
              <w:t xml:space="preserve"> </w:t>
            </w:r>
            <w:r>
              <w:t>management</w:t>
            </w:r>
            <w:r>
              <w:rPr>
                <w:spacing w:val="-5"/>
              </w:rPr>
              <w:t xml:space="preserve"> </w:t>
            </w:r>
            <w:r>
              <w:t>representation</w:t>
            </w:r>
            <w:r>
              <w:rPr>
                <w:spacing w:val="-6"/>
              </w:rPr>
              <w:t xml:space="preserve"> </w:t>
            </w:r>
            <w:r>
              <w:t>letter</w:t>
            </w:r>
            <w:r>
              <w:rPr>
                <w:spacing w:val="-5"/>
              </w:rPr>
              <w:t xml:space="preserve"> </w:t>
            </w:r>
            <w:r>
              <w:t xml:space="preserve">and management’s discussion and analysis covering the year under audit to obtain agency management’s FFMIA </w:t>
            </w:r>
            <w:r>
              <w:rPr>
                <w:spacing w:val="-2"/>
              </w:rPr>
              <w:t>determination.</w:t>
            </w:r>
          </w:p>
        </w:tc>
        <w:tc>
          <w:tcPr>
            <w:tcW w:w="1170" w:type="dxa"/>
            <w:tcBorders>
              <w:top w:val="single" w:sz="4" w:space="0" w:color="000000"/>
              <w:left w:val="single" w:sz="4" w:space="0" w:color="000000"/>
              <w:bottom w:val="single" w:sz="4" w:space="0" w:color="000000"/>
              <w:right w:val="single" w:sz="4" w:space="0" w:color="000000"/>
            </w:tcBorders>
          </w:tcPr>
          <w:p w14:paraId="0DFDB2AC" w14:textId="77777777" w:rsidR="00046465" w:rsidRDefault="00046465">
            <w:pPr>
              <w:pStyle w:val="TableParagraph"/>
              <w:rPr>
                <w:rFonts w:ascii="Times New Roman"/>
                <w:sz w:val="20"/>
              </w:rPr>
            </w:pPr>
          </w:p>
        </w:tc>
        <w:tc>
          <w:tcPr>
            <w:tcW w:w="1249" w:type="dxa"/>
            <w:tcBorders>
              <w:top w:val="single" w:sz="4" w:space="0" w:color="000000"/>
              <w:left w:val="single" w:sz="4" w:space="0" w:color="000000"/>
              <w:bottom w:val="single" w:sz="4" w:space="0" w:color="000000"/>
            </w:tcBorders>
          </w:tcPr>
          <w:p w14:paraId="0DFDB2AD" w14:textId="77777777" w:rsidR="00046465" w:rsidRDefault="00046465">
            <w:pPr>
              <w:pStyle w:val="TableParagraph"/>
              <w:rPr>
                <w:rFonts w:ascii="Times New Roman"/>
                <w:sz w:val="20"/>
              </w:rPr>
            </w:pPr>
          </w:p>
        </w:tc>
      </w:tr>
      <w:tr w:rsidR="00046465" w14:paraId="0DFDB2B3" w14:textId="77777777">
        <w:trPr>
          <w:trHeight w:val="626"/>
        </w:trPr>
        <w:tc>
          <w:tcPr>
            <w:tcW w:w="7060" w:type="dxa"/>
            <w:tcBorders>
              <w:top w:val="single" w:sz="4" w:space="0" w:color="000000"/>
              <w:right w:val="single" w:sz="4" w:space="0" w:color="000000"/>
            </w:tcBorders>
          </w:tcPr>
          <w:p w14:paraId="0DFDB2AF" w14:textId="77777777" w:rsidR="00046465" w:rsidRDefault="008134EB">
            <w:pPr>
              <w:pStyle w:val="TableParagraph"/>
              <w:spacing w:before="60"/>
              <w:ind w:left="617"/>
            </w:pPr>
            <w:r>
              <w:t>D.</w:t>
            </w:r>
            <w:r>
              <w:rPr>
                <w:spacing w:val="68"/>
              </w:rPr>
              <w:t xml:space="preserve"> </w:t>
            </w:r>
            <w:r>
              <w:t>Prepare</w:t>
            </w:r>
            <w:r>
              <w:rPr>
                <w:spacing w:val="-5"/>
              </w:rPr>
              <w:t xml:space="preserve"> </w:t>
            </w:r>
            <w:r>
              <w:t>the</w:t>
            </w:r>
            <w:r>
              <w:rPr>
                <w:spacing w:val="-4"/>
              </w:rPr>
              <w:t xml:space="preserve"> </w:t>
            </w:r>
            <w:r>
              <w:t>FFMIA</w:t>
            </w:r>
            <w:r>
              <w:rPr>
                <w:spacing w:val="-5"/>
              </w:rPr>
              <w:t xml:space="preserve"> </w:t>
            </w:r>
            <w:r>
              <w:t>section</w:t>
            </w:r>
            <w:r>
              <w:rPr>
                <w:spacing w:val="-4"/>
              </w:rPr>
              <w:t xml:space="preserve"> </w:t>
            </w:r>
            <w:r>
              <w:t>of</w:t>
            </w:r>
            <w:r>
              <w:rPr>
                <w:spacing w:val="-5"/>
              </w:rPr>
              <w:t xml:space="preserve"> </w:t>
            </w:r>
            <w:r>
              <w:t>the</w:t>
            </w:r>
            <w:r>
              <w:rPr>
                <w:spacing w:val="-4"/>
              </w:rPr>
              <w:t xml:space="preserve"> </w:t>
            </w:r>
            <w:r>
              <w:t>audit</w:t>
            </w:r>
            <w:r>
              <w:rPr>
                <w:spacing w:val="-5"/>
              </w:rPr>
              <w:t xml:space="preserve"> </w:t>
            </w:r>
            <w:r>
              <w:t>report.</w:t>
            </w:r>
            <w:r>
              <w:rPr>
                <w:spacing w:val="-5"/>
              </w:rPr>
              <w:t xml:space="preserve"> </w:t>
            </w:r>
            <w:r>
              <w:t>See</w:t>
            </w:r>
            <w:r>
              <w:rPr>
                <w:spacing w:val="-4"/>
              </w:rPr>
              <w:t xml:space="preserve"> </w:t>
            </w:r>
            <w:r>
              <w:rPr>
                <w:spacing w:val="-5"/>
              </w:rPr>
              <w:t>FAM</w:t>
            </w:r>
          </w:p>
          <w:p w14:paraId="0DFDB2B0" w14:textId="77777777" w:rsidR="00046465" w:rsidRDefault="008134EB">
            <w:pPr>
              <w:pStyle w:val="TableParagraph"/>
              <w:ind w:left="977"/>
            </w:pPr>
            <w:r>
              <w:t>580.87</w:t>
            </w:r>
            <w:r>
              <w:rPr>
                <w:spacing w:val="-5"/>
              </w:rPr>
              <w:t xml:space="preserve"> </w:t>
            </w:r>
            <w:r>
              <w:t>through</w:t>
            </w:r>
            <w:r>
              <w:rPr>
                <w:spacing w:val="-5"/>
              </w:rPr>
              <w:t xml:space="preserve"> </w:t>
            </w:r>
            <w:r>
              <w:t>.91</w:t>
            </w:r>
            <w:r>
              <w:rPr>
                <w:spacing w:val="-5"/>
              </w:rPr>
              <w:t xml:space="preserve"> </w:t>
            </w:r>
            <w:r>
              <w:t>for</w:t>
            </w:r>
            <w:r>
              <w:rPr>
                <w:spacing w:val="-7"/>
              </w:rPr>
              <w:t xml:space="preserve"> </w:t>
            </w:r>
            <w:r>
              <w:rPr>
                <w:spacing w:val="-2"/>
              </w:rPr>
              <w:t>guidance.</w:t>
            </w:r>
          </w:p>
        </w:tc>
        <w:tc>
          <w:tcPr>
            <w:tcW w:w="1170" w:type="dxa"/>
            <w:tcBorders>
              <w:top w:val="single" w:sz="4" w:space="0" w:color="000000"/>
              <w:left w:val="single" w:sz="4" w:space="0" w:color="000000"/>
              <w:right w:val="single" w:sz="4" w:space="0" w:color="000000"/>
            </w:tcBorders>
          </w:tcPr>
          <w:p w14:paraId="0DFDB2B1" w14:textId="77777777" w:rsidR="00046465" w:rsidRDefault="00046465">
            <w:pPr>
              <w:pStyle w:val="TableParagraph"/>
              <w:rPr>
                <w:rFonts w:ascii="Times New Roman"/>
                <w:sz w:val="20"/>
              </w:rPr>
            </w:pPr>
          </w:p>
        </w:tc>
        <w:tc>
          <w:tcPr>
            <w:tcW w:w="1249" w:type="dxa"/>
            <w:tcBorders>
              <w:top w:val="single" w:sz="4" w:space="0" w:color="000000"/>
              <w:left w:val="single" w:sz="4" w:space="0" w:color="000000"/>
            </w:tcBorders>
          </w:tcPr>
          <w:p w14:paraId="0DFDB2B2" w14:textId="77777777" w:rsidR="00046465" w:rsidRDefault="00046465">
            <w:pPr>
              <w:pStyle w:val="TableParagraph"/>
              <w:rPr>
                <w:rFonts w:ascii="Times New Roman"/>
                <w:sz w:val="20"/>
              </w:rPr>
            </w:pPr>
          </w:p>
        </w:tc>
      </w:tr>
    </w:tbl>
    <w:p w14:paraId="0DFDB2B4" w14:textId="77777777" w:rsidR="00046465" w:rsidRDefault="00046465">
      <w:pPr>
        <w:pStyle w:val="TableParagraph"/>
        <w:rPr>
          <w:rFonts w:ascii="Times New Roman"/>
          <w:sz w:val="20"/>
        </w:rPr>
        <w:sectPr w:rsidR="00046465">
          <w:pgSz w:w="12240" w:h="15840"/>
          <w:pgMar w:top="1600" w:right="720" w:bottom="940" w:left="1080" w:header="721" w:footer="757" w:gutter="0"/>
          <w:cols w:space="720"/>
        </w:sectPr>
      </w:pPr>
    </w:p>
    <w:p w14:paraId="0DFDB2B5" w14:textId="77777777" w:rsidR="00046465" w:rsidRDefault="008134EB">
      <w:pPr>
        <w:pStyle w:val="Heading3"/>
        <w:rPr>
          <w:u w:val="none"/>
        </w:rPr>
      </w:pPr>
      <w:bookmarkStart w:id="139" w:name="710_–_Agreed-Upon_Procedures"/>
      <w:bookmarkStart w:id="140" w:name="_bookmark53"/>
      <w:bookmarkEnd w:id="139"/>
      <w:bookmarkEnd w:id="140"/>
      <w:r>
        <w:lastRenderedPageBreak/>
        <w:t>710</w:t>
      </w:r>
      <w:r>
        <w:rPr>
          <w:spacing w:val="-4"/>
        </w:rPr>
        <w:t xml:space="preserve"> </w:t>
      </w:r>
      <w:r>
        <w:t>–</w:t>
      </w:r>
      <w:r>
        <w:rPr>
          <w:spacing w:val="-15"/>
        </w:rPr>
        <w:t xml:space="preserve"> </w:t>
      </w:r>
      <w:r>
        <w:t>Agreed-Upon</w:t>
      </w:r>
      <w:r>
        <w:rPr>
          <w:spacing w:val="-3"/>
        </w:rPr>
        <w:t xml:space="preserve"> </w:t>
      </w:r>
      <w:r>
        <w:rPr>
          <w:spacing w:val="-2"/>
        </w:rPr>
        <w:t>Procedures</w:t>
      </w:r>
    </w:p>
    <w:p w14:paraId="0DFDB2B6" w14:textId="77777777" w:rsidR="00046465" w:rsidRDefault="008134EB">
      <w:pPr>
        <w:pStyle w:val="ListParagraph"/>
        <w:numPr>
          <w:ilvl w:val="0"/>
          <w:numId w:val="11"/>
        </w:numPr>
        <w:tabs>
          <w:tab w:val="left" w:pos="1799"/>
        </w:tabs>
        <w:spacing w:before="239"/>
        <w:ind w:right="727" w:hanging="720"/>
      </w:pPr>
      <w:r>
        <w:t xml:space="preserve">In an agreed-upon procedures engagement, the auditor performs specific procedures on a subject matter and reports on the results to assist the intended users in evaluating the subject matter. Agreed-upon procedures should be performed in accordance with GAGAS, which incorporate the AICPA’s financial audit and attestation standards. AT-C 105, </w:t>
      </w:r>
      <w:r>
        <w:rPr>
          <w:i/>
        </w:rPr>
        <w:t>Concepts Common to All Attestation Engagements</w:t>
      </w:r>
      <w:r>
        <w:t xml:space="preserve">, applies to all attestation engagements. AT-C 215, </w:t>
      </w:r>
      <w:r>
        <w:rPr>
          <w:i/>
        </w:rPr>
        <w:t>Agreed-Upon Procedures</w:t>
      </w:r>
      <w:r>
        <w:rPr>
          <w:i/>
          <w:spacing w:val="-5"/>
        </w:rPr>
        <w:t xml:space="preserve"> </w:t>
      </w:r>
      <w:r>
        <w:rPr>
          <w:i/>
        </w:rPr>
        <w:t>Engagements</w:t>
      </w:r>
      <w:r>
        <w:t>,</w:t>
      </w:r>
      <w:r>
        <w:rPr>
          <w:spacing w:val="-23"/>
        </w:rPr>
        <w:t xml:space="preserve"> </w:t>
      </w:r>
      <w:r>
        <w:t>contains</w:t>
      </w:r>
      <w:r>
        <w:rPr>
          <w:spacing w:val="-4"/>
        </w:rPr>
        <w:t xml:space="preserve"> </w:t>
      </w:r>
      <w:r>
        <w:t>performance</w:t>
      </w:r>
      <w:r>
        <w:rPr>
          <w:spacing w:val="-3"/>
        </w:rPr>
        <w:t xml:space="preserve"> </w:t>
      </w:r>
      <w:r>
        <w:t>and</w:t>
      </w:r>
      <w:r>
        <w:rPr>
          <w:spacing w:val="-3"/>
        </w:rPr>
        <w:t xml:space="preserve"> </w:t>
      </w:r>
      <w:r>
        <w:t>reporting</w:t>
      </w:r>
      <w:r>
        <w:rPr>
          <w:spacing w:val="-3"/>
        </w:rPr>
        <w:t xml:space="preserve"> </w:t>
      </w:r>
      <w:r>
        <w:t>requirements</w:t>
      </w:r>
      <w:r>
        <w:rPr>
          <w:spacing w:val="-3"/>
        </w:rPr>
        <w:t xml:space="preserve"> </w:t>
      </w:r>
      <w:r>
        <w:t>and application guidance specific to agreed-upon procedures engagements. When performing an agreed-upon procedures engagement, the auditor should comply with AT-C 105, AT-C 215, and any subject-matter AT-C section relevant to the engagement</w:t>
      </w:r>
      <w:r>
        <w:rPr>
          <w:spacing w:val="-4"/>
        </w:rPr>
        <w:t xml:space="preserve"> </w:t>
      </w:r>
      <w:r>
        <w:t>when</w:t>
      </w:r>
      <w:r>
        <w:rPr>
          <w:spacing w:val="-4"/>
        </w:rPr>
        <w:t xml:space="preserve"> </w:t>
      </w:r>
      <w:r>
        <w:t>the</w:t>
      </w:r>
      <w:r>
        <w:rPr>
          <w:spacing w:val="-4"/>
        </w:rPr>
        <w:t xml:space="preserve"> </w:t>
      </w:r>
      <w:r>
        <w:t>AT-C</w:t>
      </w:r>
      <w:r>
        <w:rPr>
          <w:spacing w:val="-5"/>
        </w:rPr>
        <w:t xml:space="preserve"> </w:t>
      </w:r>
      <w:r>
        <w:t>section</w:t>
      </w:r>
      <w:r>
        <w:rPr>
          <w:spacing w:val="-5"/>
        </w:rPr>
        <w:t xml:space="preserve"> </w:t>
      </w:r>
      <w:r>
        <w:t>is</w:t>
      </w:r>
      <w:r>
        <w:rPr>
          <w:spacing w:val="-4"/>
        </w:rPr>
        <w:t xml:space="preserve"> </w:t>
      </w:r>
      <w:r>
        <w:t>in</w:t>
      </w:r>
      <w:r>
        <w:rPr>
          <w:spacing w:val="-4"/>
        </w:rPr>
        <w:t xml:space="preserve"> </w:t>
      </w:r>
      <w:r>
        <w:t>effect</w:t>
      </w:r>
      <w:r>
        <w:rPr>
          <w:spacing w:val="-4"/>
        </w:rPr>
        <w:t xml:space="preserve"> </w:t>
      </w:r>
      <w:r>
        <w:t>and</w:t>
      </w:r>
      <w:r>
        <w:rPr>
          <w:spacing w:val="-4"/>
        </w:rPr>
        <w:t xml:space="preserve"> </w:t>
      </w:r>
      <w:r>
        <w:t>the</w:t>
      </w:r>
      <w:r>
        <w:rPr>
          <w:spacing w:val="-4"/>
        </w:rPr>
        <w:t xml:space="preserve"> </w:t>
      </w:r>
      <w:r>
        <w:t>circumstances</w:t>
      </w:r>
      <w:r>
        <w:rPr>
          <w:spacing w:val="-4"/>
        </w:rPr>
        <w:t xml:space="preserve"> </w:t>
      </w:r>
      <w:r>
        <w:t>addressed by the AT-C section exist (AT-C 105.14).</w:t>
      </w:r>
    </w:p>
    <w:p w14:paraId="0DFDB2B7" w14:textId="77777777" w:rsidR="00046465" w:rsidRDefault="008134EB">
      <w:pPr>
        <w:pStyle w:val="ListParagraph"/>
        <w:numPr>
          <w:ilvl w:val="0"/>
          <w:numId w:val="11"/>
        </w:numPr>
        <w:tabs>
          <w:tab w:val="left" w:pos="1799"/>
        </w:tabs>
        <w:ind w:right="728"/>
      </w:pPr>
      <w:r>
        <w:t>The</w:t>
      </w:r>
      <w:r>
        <w:rPr>
          <w:spacing w:val="-4"/>
        </w:rPr>
        <w:t xml:space="preserve"> </w:t>
      </w:r>
      <w:r>
        <w:t>auditor</w:t>
      </w:r>
      <w:r>
        <w:rPr>
          <w:spacing w:val="-6"/>
        </w:rPr>
        <w:t xml:space="preserve"> </w:t>
      </w:r>
      <w:r>
        <w:t>may</w:t>
      </w:r>
      <w:r>
        <w:rPr>
          <w:spacing w:val="-4"/>
        </w:rPr>
        <w:t xml:space="preserve"> </w:t>
      </w:r>
      <w:r>
        <w:t>perform</w:t>
      </w:r>
      <w:r>
        <w:rPr>
          <w:spacing w:val="-5"/>
        </w:rPr>
        <w:t xml:space="preserve"> </w:t>
      </w:r>
      <w:r>
        <w:t>an</w:t>
      </w:r>
      <w:r>
        <w:rPr>
          <w:spacing w:val="-4"/>
        </w:rPr>
        <w:t xml:space="preserve"> </w:t>
      </w:r>
      <w:r>
        <w:t>agreed-upon</w:t>
      </w:r>
      <w:r>
        <w:rPr>
          <w:spacing w:val="-4"/>
        </w:rPr>
        <w:t xml:space="preserve"> </w:t>
      </w:r>
      <w:r>
        <w:t>procedures</w:t>
      </w:r>
      <w:r>
        <w:rPr>
          <w:spacing w:val="-4"/>
        </w:rPr>
        <w:t xml:space="preserve"> </w:t>
      </w:r>
      <w:r>
        <w:t>engagement</w:t>
      </w:r>
      <w:r>
        <w:rPr>
          <w:spacing w:val="-4"/>
        </w:rPr>
        <w:t xml:space="preserve"> </w:t>
      </w:r>
      <w:r>
        <w:t>on</w:t>
      </w:r>
      <w:r>
        <w:rPr>
          <w:spacing w:val="-4"/>
        </w:rPr>
        <w:t xml:space="preserve"> </w:t>
      </w:r>
      <w:r>
        <w:t>a</w:t>
      </w:r>
      <w:r>
        <w:rPr>
          <w:spacing w:val="-4"/>
        </w:rPr>
        <w:t xml:space="preserve"> </w:t>
      </w:r>
      <w:r>
        <w:t>variety</w:t>
      </w:r>
      <w:r>
        <w:rPr>
          <w:spacing w:val="-4"/>
        </w:rPr>
        <w:t xml:space="preserve"> </w:t>
      </w:r>
      <w:r>
        <w:t>of subject matters.</w:t>
      </w:r>
      <w:hyperlink w:anchor="_bookmark54" w:history="1">
        <w:r>
          <w:rPr>
            <w:position w:val="7"/>
            <w:sz w:val="14"/>
          </w:rPr>
          <w:t>11</w:t>
        </w:r>
      </w:hyperlink>
      <w:r>
        <w:rPr>
          <w:spacing w:val="34"/>
          <w:position w:val="7"/>
          <w:sz w:val="14"/>
        </w:rPr>
        <w:t xml:space="preserve"> </w:t>
      </w:r>
      <w:r>
        <w:t>The engagement will vary depending on the needs of the engaging party. Examples of agreed-upon procedures include the following:</w:t>
      </w:r>
    </w:p>
    <w:p w14:paraId="0DFDB2B8" w14:textId="77777777" w:rsidR="00046465" w:rsidRDefault="008134EB">
      <w:pPr>
        <w:pStyle w:val="ListParagraph"/>
        <w:numPr>
          <w:ilvl w:val="1"/>
          <w:numId w:val="11"/>
        </w:numPr>
        <w:tabs>
          <w:tab w:val="left" w:pos="2159"/>
        </w:tabs>
        <w:spacing w:before="121"/>
        <w:ind w:right="748"/>
      </w:pPr>
      <w:r>
        <w:t>Compare</w:t>
      </w:r>
      <w:r>
        <w:rPr>
          <w:spacing w:val="-5"/>
        </w:rPr>
        <w:t xml:space="preserve"> </w:t>
      </w:r>
      <w:r>
        <w:t>payroll</w:t>
      </w:r>
      <w:r>
        <w:rPr>
          <w:spacing w:val="-5"/>
        </w:rPr>
        <w:t xml:space="preserve"> </w:t>
      </w:r>
      <w:r>
        <w:t>information</w:t>
      </w:r>
      <w:r>
        <w:rPr>
          <w:spacing w:val="-5"/>
        </w:rPr>
        <w:t xml:space="preserve"> </w:t>
      </w:r>
      <w:r>
        <w:t>reported</w:t>
      </w:r>
      <w:r>
        <w:rPr>
          <w:spacing w:val="-5"/>
        </w:rPr>
        <w:t xml:space="preserve"> </w:t>
      </w:r>
      <w:r>
        <w:t>to</w:t>
      </w:r>
      <w:r>
        <w:rPr>
          <w:spacing w:val="-5"/>
        </w:rPr>
        <w:t xml:space="preserve"> </w:t>
      </w:r>
      <w:r>
        <w:t>the</w:t>
      </w:r>
      <w:r>
        <w:rPr>
          <w:spacing w:val="-5"/>
        </w:rPr>
        <w:t xml:space="preserve"> </w:t>
      </w:r>
      <w:r>
        <w:t>Office</w:t>
      </w:r>
      <w:r>
        <w:rPr>
          <w:spacing w:val="-5"/>
        </w:rPr>
        <w:t xml:space="preserve"> </w:t>
      </w:r>
      <w:r>
        <w:t>of</w:t>
      </w:r>
      <w:r>
        <w:rPr>
          <w:spacing w:val="-5"/>
        </w:rPr>
        <w:t xml:space="preserve"> </w:t>
      </w:r>
      <w:r>
        <w:t>Personnel</w:t>
      </w:r>
      <w:r>
        <w:rPr>
          <w:spacing w:val="-5"/>
        </w:rPr>
        <w:t xml:space="preserve"> </w:t>
      </w:r>
      <w:r>
        <w:t>Management with the entity’s payroll records and general ledger (refer to OMB audit guidance for additional information).</w:t>
      </w:r>
    </w:p>
    <w:p w14:paraId="0DFDB2B9" w14:textId="77777777" w:rsidR="00046465" w:rsidRDefault="008134EB">
      <w:pPr>
        <w:pStyle w:val="ListParagraph"/>
        <w:numPr>
          <w:ilvl w:val="1"/>
          <w:numId w:val="11"/>
        </w:numPr>
        <w:tabs>
          <w:tab w:val="left" w:pos="2159"/>
        </w:tabs>
        <w:spacing w:before="119"/>
        <w:ind w:right="1160"/>
      </w:pPr>
      <w:r>
        <w:t>Compare</w:t>
      </w:r>
      <w:r>
        <w:rPr>
          <w:spacing w:val="-6"/>
        </w:rPr>
        <w:t xml:space="preserve"> </w:t>
      </w:r>
      <w:r>
        <w:t>entity</w:t>
      </w:r>
      <w:r>
        <w:rPr>
          <w:spacing w:val="-6"/>
        </w:rPr>
        <w:t xml:space="preserve"> </w:t>
      </w:r>
      <w:r>
        <w:t>reconciliations</w:t>
      </w:r>
      <w:r>
        <w:rPr>
          <w:spacing w:val="-6"/>
        </w:rPr>
        <w:t xml:space="preserve"> </w:t>
      </w:r>
      <w:r>
        <w:t>of</w:t>
      </w:r>
      <w:r>
        <w:rPr>
          <w:spacing w:val="-6"/>
        </w:rPr>
        <w:t xml:space="preserve"> </w:t>
      </w:r>
      <w:r>
        <w:t>intragovernmental</w:t>
      </w:r>
      <w:r>
        <w:rPr>
          <w:spacing w:val="-6"/>
        </w:rPr>
        <w:t xml:space="preserve"> </w:t>
      </w:r>
      <w:r>
        <w:t>activity</w:t>
      </w:r>
      <w:r>
        <w:rPr>
          <w:spacing w:val="-6"/>
        </w:rPr>
        <w:t xml:space="preserve"> </w:t>
      </w:r>
      <w:r>
        <w:t>and</w:t>
      </w:r>
      <w:r>
        <w:rPr>
          <w:spacing w:val="-6"/>
        </w:rPr>
        <w:t xml:space="preserve"> </w:t>
      </w:r>
      <w:r>
        <w:t>balances with supporting documentation and compare amounts with the financial statements</w:t>
      </w:r>
      <w:r>
        <w:rPr>
          <w:spacing w:val="-1"/>
        </w:rPr>
        <w:t xml:space="preserve"> </w:t>
      </w:r>
      <w:r>
        <w:t>and</w:t>
      </w:r>
      <w:r>
        <w:rPr>
          <w:spacing w:val="-1"/>
        </w:rPr>
        <w:t xml:space="preserve"> </w:t>
      </w:r>
      <w:r>
        <w:t>with</w:t>
      </w:r>
      <w:r>
        <w:rPr>
          <w:spacing w:val="-1"/>
        </w:rPr>
        <w:t xml:space="preserve"> </w:t>
      </w:r>
      <w:r>
        <w:t>reports</w:t>
      </w:r>
      <w:r>
        <w:rPr>
          <w:spacing w:val="-1"/>
        </w:rPr>
        <w:t xml:space="preserve"> </w:t>
      </w:r>
      <w:r>
        <w:t>to</w:t>
      </w:r>
      <w:r>
        <w:rPr>
          <w:spacing w:val="-1"/>
        </w:rPr>
        <w:t xml:space="preserve"> </w:t>
      </w:r>
      <w:r>
        <w:t>Treasury (refer</w:t>
      </w:r>
      <w:r>
        <w:rPr>
          <w:spacing w:val="-1"/>
        </w:rPr>
        <w:t xml:space="preserve"> </w:t>
      </w:r>
      <w:r>
        <w:t>to</w:t>
      </w:r>
      <w:r>
        <w:rPr>
          <w:spacing w:val="-1"/>
        </w:rPr>
        <w:t xml:space="preserve"> </w:t>
      </w:r>
      <w:r>
        <w:t>OMB</w:t>
      </w:r>
      <w:r>
        <w:rPr>
          <w:spacing w:val="-1"/>
        </w:rPr>
        <w:t xml:space="preserve"> </w:t>
      </w:r>
      <w:r>
        <w:t>audit guidance</w:t>
      </w:r>
      <w:r>
        <w:rPr>
          <w:spacing w:val="-1"/>
        </w:rPr>
        <w:t xml:space="preserve"> </w:t>
      </w:r>
      <w:r>
        <w:t>for additional information).</w:t>
      </w:r>
    </w:p>
    <w:p w14:paraId="0DFDB2BA" w14:textId="77777777" w:rsidR="00046465" w:rsidRDefault="008134EB">
      <w:pPr>
        <w:pStyle w:val="ListParagraph"/>
        <w:numPr>
          <w:ilvl w:val="1"/>
          <w:numId w:val="11"/>
        </w:numPr>
        <w:tabs>
          <w:tab w:val="left" w:pos="2159"/>
        </w:tabs>
        <w:ind w:right="1040"/>
      </w:pPr>
      <w:r>
        <w:t>Trace tax collections from the master file to deposit confirmations and determine</w:t>
      </w:r>
      <w:r>
        <w:rPr>
          <w:spacing w:val="-4"/>
        </w:rPr>
        <w:t xml:space="preserve"> </w:t>
      </w:r>
      <w:r>
        <w:t>whether</w:t>
      </w:r>
      <w:r>
        <w:rPr>
          <w:spacing w:val="-4"/>
        </w:rPr>
        <w:t xml:space="preserve"> </w:t>
      </w:r>
      <w:r>
        <w:t>they</w:t>
      </w:r>
      <w:r>
        <w:rPr>
          <w:spacing w:val="-5"/>
        </w:rPr>
        <w:t xml:space="preserve"> </w:t>
      </w:r>
      <w:r>
        <w:t>were</w:t>
      </w:r>
      <w:r>
        <w:rPr>
          <w:spacing w:val="-4"/>
        </w:rPr>
        <w:t xml:space="preserve"> </w:t>
      </w:r>
      <w:r>
        <w:t>recorded</w:t>
      </w:r>
      <w:r>
        <w:rPr>
          <w:spacing w:val="-4"/>
        </w:rPr>
        <w:t xml:space="preserve"> </w:t>
      </w:r>
      <w:r>
        <w:t>in</w:t>
      </w:r>
      <w:r>
        <w:rPr>
          <w:spacing w:val="-4"/>
        </w:rPr>
        <w:t xml:space="preserve"> </w:t>
      </w:r>
      <w:r>
        <w:t>the</w:t>
      </w:r>
      <w:r>
        <w:rPr>
          <w:spacing w:val="-4"/>
        </w:rPr>
        <w:t xml:space="preserve"> </w:t>
      </w:r>
      <w:r>
        <w:t>appropriate</w:t>
      </w:r>
      <w:r>
        <w:rPr>
          <w:spacing w:val="-4"/>
        </w:rPr>
        <w:t xml:space="preserve"> </w:t>
      </w:r>
      <w:r>
        <w:t>period</w:t>
      </w:r>
      <w:r>
        <w:rPr>
          <w:spacing w:val="-4"/>
        </w:rPr>
        <w:t xml:space="preserve"> </w:t>
      </w:r>
      <w:r>
        <w:t>and</w:t>
      </w:r>
      <w:r>
        <w:rPr>
          <w:spacing w:val="-4"/>
        </w:rPr>
        <w:t xml:space="preserve"> </w:t>
      </w:r>
      <w:r>
        <w:t>in</w:t>
      </w:r>
      <w:r>
        <w:rPr>
          <w:spacing w:val="-4"/>
        </w:rPr>
        <w:t xml:space="preserve"> </w:t>
      </w:r>
      <w:r>
        <w:t>the correct tax class.</w:t>
      </w:r>
    </w:p>
    <w:p w14:paraId="0DFDB2BB" w14:textId="77777777" w:rsidR="00046465" w:rsidRDefault="008134EB">
      <w:pPr>
        <w:pStyle w:val="ListParagraph"/>
        <w:numPr>
          <w:ilvl w:val="1"/>
          <w:numId w:val="11"/>
        </w:numPr>
        <w:tabs>
          <w:tab w:val="left" w:pos="2159"/>
        </w:tabs>
        <w:spacing w:before="121"/>
        <w:ind w:right="782"/>
      </w:pPr>
      <w:r>
        <w:t>Trace amounts on the entity’s financial statements to an account grouping worksheet, foot the worksheet, read the chief financial officer’s (CFO) explanation</w:t>
      </w:r>
      <w:r>
        <w:rPr>
          <w:spacing w:val="-5"/>
        </w:rPr>
        <w:t xml:space="preserve"> </w:t>
      </w:r>
      <w:r>
        <w:t>for</w:t>
      </w:r>
      <w:r>
        <w:rPr>
          <w:spacing w:val="-4"/>
        </w:rPr>
        <w:t xml:space="preserve"> </w:t>
      </w:r>
      <w:r>
        <w:t>any</w:t>
      </w:r>
      <w:r>
        <w:rPr>
          <w:spacing w:val="-4"/>
        </w:rPr>
        <w:t xml:space="preserve"> </w:t>
      </w:r>
      <w:r>
        <w:t>differences,</w:t>
      </w:r>
      <w:r>
        <w:rPr>
          <w:spacing w:val="-4"/>
        </w:rPr>
        <w:t xml:space="preserve"> </w:t>
      </w:r>
      <w:r>
        <w:t>and</w:t>
      </w:r>
      <w:r>
        <w:rPr>
          <w:spacing w:val="-5"/>
        </w:rPr>
        <w:t xml:space="preserve"> </w:t>
      </w:r>
      <w:r>
        <w:t>compare</w:t>
      </w:r>
      <w:r>
        <w:rPr>
          <w:spacing w:val="-4"/>
        </w:rPr>
        <w:t xml:space="preserve"> </w:t>
      </w:r>
      <w:r>
        <w:t>the</w:t>
      </w:r>
      <w:r>
        <w:rPr>
          <w:spacing w:val="-4"/>
        </w:rPr>
        <w:t xml:space="preserve"> </w:t>
      </w:r>
      <w:r>
        <w:t>explanation</w:t>
      </w:r>
      <w:r>
        <w:rPr>
          <w:spacing w:val="-5"/>
        </w:rPr>
        <w:t xml:space="preserve"> </w:t>
      </w:r>
      <w:r>
        <w:t>with</w:t>
      </w:r>
      <w:r>
        <w:rPr>
          <w:spacing w:val="-4"/>
        </w:rPr>
        <w:t xml:space="preserve"> </w:t>
      </w:r>
      <w:r>
        <w:t xml:space="preserve">supporting </w:t>
      </w:r>
      <w:r>
        <w:rPr>
          <w:spacing w:val="-2"/>
        </w:rPr>
        <w:t>documentation.</w:t>
      </w:r>
    </w:p>
    <w:p w14:paraId="0DFDB2BC" w14:textId="77777777" w:rsidR="00046465" w:rsidRDefault="008134EB">
      <w:pPr>
        <w:pStyle w:val="ListParagraph"/>
        <w:numPr>
          <w:ilvl w:val="1"/>
          <w:numId w:val="11"/>
        </w:numPr>
        <w:tabs>
          <w:tab w:val="left" w:pos="2159"/>
        </w:tabs>
        <w:spacing w:before="119"/>
        <w:ind w:right="856"/>
        <w:jc w:val="both"/>
      </w:pPr>
      <w:r>
        <w:t>Examine</w:t>
      </w:r>
      <w:r>
        <w:rPr>
          <w:spacing w:val="-5"/>
        </w:rPr>
        <w:t xml:space="preserve"> </w:t>
      </w:r>
      <w:r>
        <w:t>official</w:t>
      </w:r>
      <w:r>
        <w:rPr>
          <w:spacing w:val="-5"/>
        </w:rPr>
        <w:t xml:space="preserve"> </w:t>
      </w:r>
      <w:r>
        <w:t>receipt</w:t>
      </w:r>
      <w:r>
        <w:rPr>
          <w:spacing w:val="-6"/>
        </w:rPr>
        <w:t xml:space="preserve"> </w:t>
      </w:r>
      <w:r>
        <w:t>documents</w:t>
      </w:r>
      <w:r>
        <w:rPr>
          <w:spacing w:val="-5"/>
        </w:rPr>
        <w:t xml:space="preserve"> </w:t>
      </w:r>
      <w:r>
        <w:t>to</w:t>
      </w:r>
      <w:r>
        <w:rPr>
          <w:spacing w:val="-5"/>
        </w:rPr>
        <w:t xml:space="preserve"> </w:t>
      </w:r>
      <w:r>
        <w:t>determine</w:t>
      </w:r>
      <w:r>
        <w:rPr>
          <w:spacing w:val="-5"/>
        </w:rPr>
        <w:t xml:space="preserve"> </w:t>
      </w:r>
      <w:r>
        <w:t>whether</w:t>
      </w:r>
      <w:r>
        <w:rPr>
          <w:spacing w:val="-5"/>
        </w:rPr>
        <w:t xml:space="preserve"> </w:t>
      </w:r>
      <w:r>
        <w:t>they</w:t>
      </w:r>
      <w:r>
        <w:rPr>
          <w:spacing w:val="-5"/>
        </w:rPr>
        <w:t xml:space="preserve"> </w:t>
      </w:r>
      <w:r>
        <w:t>were</w:t>
      </w:r>
      <w:r>
        <w:rPr>
          <w:spacing w:val="-5"/>
        </w:rPr>
        <w:t xml:space="preserve"> </w:t>
      </w:r>
      <w:r>
        <w:t>included in</w:t>
      </w:r>
      <w:r>
        <w:rPr>
          <w:spacing w:val="-2"/>
        </w:rPr>
        <w:t xml:space="preserve"> </w:t>
      </w:r>
      <w:r>
        <w:t>the</w:t>
      </w:r>
      <w:r>
        <w:rPr>
          <w:spacing w:val="-2"/>
        </w:rPr>
        <w:t xml:space="preserve"> </w:t>
      </w:r>
      <w:r>
        <w:t>weekly</w:t>
      </w:r>
      <w:r>
        <w:rPr>
          <w:spacing w:val="-2"/>
        </w:rPr>
        <w:t xml:space="preserve"> </w:t>
      </w:r>
      <w:r>
        <w:t>deposit</w:t>
      </w:r>
      <w:r>
        <w:rPr>
          <w:spacing w:val="-2"/>
        </w:rPr>
        <w:t xml:space="preserve"> </w:t>
      </w:r>
      <w:r>
        <w:t>and</w:t>
      </w:r>
      <w:r>
        <w:rPr>
          <w:spacing w:val="-2"/>
        </w:rPr>
        <w:t xml:space="preserve"> </w:t>
      </w:r>
      <w:r>
        <w:t>compare</w:t>
      </w:r>
      <w:r>
        <w:rPr>
          <w:spacing w:val="-2"/>
        </w:rPr>
        <w:t xml:space="preserve"> </w:t>
      </w:r>
      <w:r>
        <w:t>deposit</w:t>
      </w:r>
      <w:r>
        <w:rPr>
          <w:spacing w:val="-2"/>
        </w:rPr>
        <w:t xml:space="preserve"> </w:t>
      </w:r>
      <w:r>
        <w:t>amounts</w:t>
      </w:r>
      <w:r>
        <w:rPr>
          <w:spacing w:val="-2"/>
        </w:rPr>
        <w:t xml:space="preserve"> </w:t>
      </w:r>
      <w:r>
        <w:t>to</w:t>
      </w:r>
      <w:r>
        <w:rPr>
          <w:spacing w:val="-2"/>
        </w:rPr>
        <w:t xml:space="preserve"> </w:t>
      </w:r>
      <w:r>
        <w:t>amounts</w:t>
      </w:r>
      <w:r>
        <w:rPr>
          <w:spacing w:val="-2"/>
        </w:rPr>
        <w:t xml:space="preserve"> </w:t>
      </w:r>
      <w:r>
        <w:t>reported</w:t>
      </w:r>
      <w:r>
        <w:rPr>
          <w:spacing w:val="-3"/>
        </w:rPr>
        <w:t xml:space="preserve"> </w:t>
      </w:r>
      <w:r>
        <w:t>on the statement of funding.</w:t>
      </w:r>
    </w:p>
    <w:p w14:paraId="0DFDB2BD" w14:textId="77777777" w:rsidR="00046465" w:rsidRDefault="008134EB">
      <w:pPr>
        <w:pStyle w:val="ListParagraph"/>
        <w:numPr>
          <w:ilvl w:val="1"/>
          <w:numId w:val="11"/>
        </w:numPr>
        <w:tabs>
          <w:tab w:val="left" w:pos="2157"/>
          <w:tab w:val="left" w:pos="2159"/>
        </w:tabs>
        <w:spacing w:before="121"/>
        <w:ind w:right="1124" w:hanging="361"/>
        <w:jc w:val="both"/>
      </w:pPr>
      <w:r>
        <w:t>Inspect</w:t>
      </w:r>
      <w:r>
        <w:rPr>
          <w:spacing w:val="-5"/>
        </w:rPr>
        <w:t xml:space="preserve"> </w:t>
      </w:r>
      <w:r>
        <w:t>vendor</w:t>
      </w:r>
      <w:r>
        <w:rPr>
          <w:spacing w:val="-5"/>
        </w:rPr>
        <w:t xml:space="preserve"> </w:t>
      </w:r>
      <w:r>
        <w:t>invoices</w:t>
      </w:r>
      <w:r>
        <w:rPr>
          <w:spacing w:val="-6"/>
        </w:rPr>
        <w:t xml:space="preserve"> </w:t>
      </w:r>
      <w:r>
        <w:t>and</w:t>
      </w:r>
      <w:r>
        <w:rPr>
          <w:spacing w:val="-5"/>
        </w:rPr>
        <w:t xml:space="preserve"> </w:t>
      </w:r>
      <w:r>
        <w:t>related</w:t>
      </w:r>
      <w:r>
        <w:rPr>
          <w:spacing w:val="-6"/>
        </w:rPr>
        <w:t xml:space="preserve"> </w:t>
      </w:r>
      <w:r>
        <w:t>payment</w:t>
      </w:r>
      <w:r>
        <w:rPr>
          <w:spacing w:val="-5"/>
        </w:rPr>
        <w:t xml:space="preserve"> </w:t>
      </w:r>
      <w:r>
        <w:t>documentation</w:t>
      </w:r>
      <w:r>
        <w:rPr>
          <w:spacing w:val="-5"/>
        </w:rPr>
        <w:t xml:space="preserve"> </w:t>
      </w:r>
      <w:r>
        <w:t>to</w:t>
      </w:r>
      <w:r>
        <w:rPr>
          <w:spacing w:val="-5"/>
        </w:rPr>
        <w:t xml:space="preserve"> </w:t>
      </w:r>
      <w:r>
        <w:t>determine whether payment was made within 30 days.</w:t>
      </w:r>
    </w:p>
    <w:p w14:paraId="0DFDB2BE" w14:textId="77777777" w:rsidR="00046465" w:rsidRDefault="008134EB">
      <w:pPr>
        <w:pStyle w:val="ListParagraph"/>
        <w:numPr>
          <w:ilvl w:val="0"/>
          <w:numId w:val="11"/>
        </w:numPr>
        <w:tabs>
          <w:tab w:val="left" w:pos="1799"/>
        </w:tabs>
        <w:spacing w:before="119"/>
        <w:ind w:hanging="719"/>
        <w:jc w:val="both"/>
      </w:pPr>
      <w:r>
        <w:t>Parties</w:t>
      </w:r>
      <w:r>
        <w:rPr>
          <w:spacing w:val="-10"/>
        </w:rPr>
        <w:t xml:space="preserve"> </w:t>
      </w:r>
      <w:r>
        <w:t>involved</w:t>
      </w:r>
      <w:r>
        <w:rPr>
          <w:spacing w:val="-10"/>
        </w:rPr>
        <w:t xml:space="preserve"> </w:t>
      </w:r>
      <w:r>
        <w:t>in</w:t>
      </w:r>
      <w:r>
        <w:rPr>
          <w:spacing w:val="-10"/>
        </w:rPr>
        <w:t xml:space="preserve"> </w:t>
      </w:r>
      <w:r>
        <w:t>agreed-upon</w:t>
      </w:r>
      <w:r>
        <w:rPr>
          <w:spacing w:val="-10"/>
        </w:rPr>
        <w:t xml:space="preserve"> </w:t>
      </w:r>
      <w:r>
        <w:t>procedures</w:t>
      </w:r>
      <w:r>
        <w:rPr>
          <w:spacing w:val="-8"/>
        </w:rPr>
        <w:t xml:space="preserve"> </w:t>
      </w:r>
      <w:r>
        <w:t>engagements</w:t>
      </w:r>
      <w:r>
        <w:rPr>
          <w:spacing w:val="-10"/>
        </w:rPr>
        <w:t xml:space="preserve"> </w:t>
      </w:r>
      <w:r>
        <w:rPr>
          <w:spacing w:val="-2"/>
        </w:rPr>
        <w:t>include</w:t>
      </w:r>
    </w:p>
    <w:p w14:paraId="0DFDB2BF" w14:textId="77777777" w:rsidR="00046465" w:rsidRDefault="008134EB">
      <w:pPr>
        <w:pStyle w:val="ListParagraph"/>
        <w:numPr>
          <w:ilvl w:val="1"/>
          <w:numId w:val="11"/>
        </w:numPr>
        <w:tabs>
          <w:tab w:val="left" w:pos="2160"/>
        </w:tabs>
        <w:ind w:left="2160" w:right="770"/>
      </w:pPr>
      <w:r>
        <w:t>the</w:t>
      </w:r>
      <w:r>
        <w:rPr>
          <w:spacing w:val="-3"/>
        </w:rPr>
        <w:t xml:space="preserve"> </w:t>
      </w:r>
      <w:r>
        <w:t>engaging</w:t>
      </w:r>
      <w:r>
        <w:rPr>
          <w:spacing w:val="-3"/>
        </w:rPr>
        <w:t xml:space="preserve"> </w:t>
      </w:r>
      <w:r>
        <w:t>party,</w:t>
      </w:r>
      <w:r>
        <w:rPr>
          <w:spacing w:val="-3"/>
        </w:rPr>
        <w:t xml:space="preserve"> </w:t>
      </w:r>
      <w:r>
        <w:t>which</w:t>
      </w:r>
      <w:r>
        <w:rPr>
          <w:spacing w:val="-3"/>
        </w:rPr>
        <w:t xml:space="preserve"> </w:t>
      </w:r>
      <w:r>
        <w:t>is</w:t>
      </w:r>
      <w:r>
        <w:rPr>
          <w:spacing w:val="-3"/>
        </w:rPr>
        <w:t xml:space="preserve"> </w:t>
      </w:r>
      <w:r>
        <w:t>the</w:t>
      </w:r>
      <w:r>
        <w:rPr>
          <w:spacing w:val="-3"/>
        </w:rPr>
        <w:t xml:space="preserve"> </w:t>
      </w:r>
      <w:r>
        <w:t>party</w:t>
      </w:r>
      <w:r>
        <w:rPr>
          <w:spacing w:val="-3"/>
        </w:rPr>
        <w:t xml:space="preserve"> </w:t>
      </w:r>
      <w:r>
        <w:t>that</w:t>
      </w:r>
      <w:r>
        <w:rPr>
          <w:spacing w:val="-3"/>
        </w:rPr>
        <w:t xml:space="preserve"> </w:t>
      </w:r>
      <w:r>
        <w:t>engages</w:t>
      </w:r>
      <w:r>
        <w:rPr>
          <w:spacing w:val="-3"/>
        </w:rPr>
        <w:t xml:space="preserve"> </w:t>
      </w:r>
      <w:r>
        <w:t>the</w:t>
      </w:r>
      <w:r>
        <w:rPr>
          <w:spacing w:val="-3"/>
        </w:rPr>
        <w:t xml:space="preserve"> </w:t>
      </w:r>
      <w:r>
        <w:t>auditor</w:t>
      </w:r>
      <w:r>
        <w:rPr>
          <w:spacing w:val="-3"/>
        </w:rPr>
        <w:t xml:space="preserve"> </w:t>
      </w:r>
      <w:r>
        <w:t>to</w:t>
      </w:r>
      <w:r>
        <w:rPr>
          <w:spacing w:val="-3"/>
        </w:rPr>
        <w:t xml:space="preserve"> </w:t>
      </w:r>
      <w:r>
        <w:t>perform</w:t>
      </w:r>
      <w:r>
        <w:rPr>
          <w:spacing w:val="-4"/>
        </w:rPr>
        <w:t xml:space="preserve"> </w:t>
      </w:r>
      <w:r>
        <w:t>the attestation engagement;</w:t>
      </w:r>
    </w:p>
    <w:p w14:paraId="0DFDB2C0" w14:textId="77777777" w:rsidR="00046465" w:rsidRDefault="008134EB">
      <w:pPr>
        <w:pStyle w:val="ListParagraph"/>
        <w:numPr>
          <w:ilvl w:val="1"/>
          <w:numId w:val="11"/>
        </w:numPr>
        <w:tabs>
          <w:tab w:val="left" w:pos="2160"/>
        </w:tabs>
        <w:spacing w:before="121"/>
        <w:ind w:left="2160" w:right="1466"/>
      </w:pPr>
      <w:r>
        <w:t>the</w:t>
      </w:r>
      <w:r>
        <w:rPr>
          <w:spacing w:val="-4"/>
        </w:rPr>
        <w:t xml:space="preserve"> </w:t>
      </w:r>
      <w:r>
        <w:t>responsible</w:t>
      </w:r>
      <w:r>
        <w:rPr>
          <w:spacing w:val="-4"/>
        </w:rPr>
        <w:t xml:space="preserve"> </w:t>
      </w:r>
      <w:r>
        <w:t>party,</w:t>
      </w:r>
      <w:r>
        <w:rPr>
          <w:spacing w:val="-4"/>
        </w:rPr>
        <w:t xml:space="preserve"> </w:t>
      </w:r>
      <w:r>
        <w:t>which</w:t>
      </w:r>
      <w:r>
        <w:rPr>
          <w:spacing w:val="-4"/>
        </w:rPr>
        <w:t xml:space="preserve"> </w:t>
      </w:r>
      <w:r>
        <w:t>is</w:t>
      </w:r>
      <w:r>
        <w:rPr>
          <w:spacing w:val="-4"/>
        </w:rPr>
        <w:t xml:space="preserve"> </w:t>
      </w:r>
      <w:r>
        <w:t>the</w:t>
      </w:r>
      <w:r>
        <w:rPr>
          <w:spacing w:val="-4"/>
        </w:rPr>
        <w:t xml:space="preserve"> </w:t>
      </w:r>
      <w:r>
        <w:t>party</w:t>
      </w:r>
      <w:r>
        <w:rPr>
          <w:spacing w:val="-4"/>
        </w:rPr>
        <w:t xml:space="preserve"> </w:t>
      </w:r>
      <w:r>
        <w:t>responsible</w:t>
      </w:r>
      <w:r>
        <w:rPr>
          <w:spacing w:val="-4"/>
        </w:rPr>
        <w:t xml:space="preserve"> </w:t>
      </w:r>
      <w:r>
        <w:t>for</w:t>
      </w:r>
      <w:r>
        <w:rPr>
          <w:spacing w:val="-4"/>
        </w:rPr>
        <w:t xml:space="preserve"> </w:t>
      </w:r>
      <w:r>
        <w:t>the</w:t>
      </w:r>
      <w:r>
        <w:rPr>
          <w:spacing w:val="-4"/>
        </w:rPr>
        <w:t xml:space="preserve"> </w:t>
      </w:r>
      <w:r>
        <w:t>underlying subject matter (which can be the same as the engaging party);</w:t>
      </w:r>
    </w:p>
    <w:p w14:paraId="0DFDB2C1" w14:textId="77777777" w:rsidR="00046465" w:rsidRDefault="008134EB">
      <w:pPr>
        <w:pStyle w:val="ListParagraph"/>
        <w:numPr>
          <w:ilvl w:val="1"/>
          <w:numId w:val="11"/>
        </w:numPr>
        <w:tabs>
          <w:tab w:val="left" w:pos="2159"/>
        </w:tabs>
        <w:spacing w:before="119"/>
        <w:ind w:hanging="359"/>
      </w:pPr>
      <w:r>
        <w:t>the</w:t>
      </w:r>
      <w:r>
        <w:rPr>
          <w:spacing w:val="-6"/>
        </w:rPr>
        <w:t xml:space="preserve"> </w:t>
      </w:r>
      <w:r>
        <w:t>intended</w:t>
      </w:r>
      <w:r>
        <w:rPr>
          <w:spacing w:val="-6"/>
        </w:rPr>
        <w:t xml:space="preserve"> </w:t>
      </w:r>
      <w:r>
        <w:t>user(s)</w:t>
      </w:r>
      <w:r>
        <w:rPr>
          <w:spacing w:val="-5"/>
        </w:rPr>
        <w:t xml:space="preserve"> </w:t>
      </w:r>
      <w:r>
        <w:t>(which</w:t>
      </w:r>
      <w:r>
        <w:rPr>
          <w:spacing w:val="-6"/>
        </w:rPr>
        <w:t xml:space="preserve"> </w:t>
      </w:r>
      <w:r>
        <w:t>can</w:t>
      </w:r>
      <w:r>
        <w:rPr>
          <w:spacing w:val="-5"/>
        </w:rPr>
        <w:t xml:space="preserve"> </w:t>
      </w:r>
      <w:r>
        <w:t>be</w:t>
      </w:r>
      <w:r>
        <w:rPr>
          <w:spacing w:val="-5"/>
        </w:rPr>
        <w:t xml:space="preserve"> </w:t>
      </w:r>
      <w:r>
        <w:t>the</w:t>
      </w:r>
      <w:r>
        <w:rPr>
          <w:spacing w:val="-6"/>
        </w:rPr>
        <w:t xml:space="preserve"> </w:t>
      </w:r>
      <w:r>
        <w:t>same</w:t>
      </w:r>
      <w:r>
        <w:rPr>
          <w:spacing w:val="-5"/>
        </w:rPr>
        <w:t xml:space="preserve"> </w:t>
      </w:r>
      <w:r>
        <w:t>as</w:t>
      </w:r>
      <w:r>
        <w:rPr>
          <w:spacing w:val="-5"/>
        </w:rPr>
        <w:t xml:space="preserve"> </w:t>
      </w:r>
      <w:r>
        <w:t>the</w:t>
      </w:r>
      <w:r>
        <w:rPr>
          <w:spacing w:val="-6"/>
        </w:rPr>
        <w:t xml:space="preserve"> </w:t>
      </w:r>
      <w:r>
        <w:t>engaging</w:t>
      </w:r>
      <w:r>
        <w:rPr>
          <w:spacing w:val="-6"/>
        </w:rPr>
        <w:t xml:space="preserve"> </w:t>
      </w:r>
      <w:r>
        <w:t>party);</w:t>
      </w:r>
      <w:r>
        <w:rPr>
          <w:spacing w:val="-5"/>
        </w:rPr>
        <w:t xml:space="preserve"> and</w:t>
      </w:r>
    </w:p>
    <w:p w14:paraId="0DFDB2C2" w14:textId="77777777" w:rsidR="00046465" w:rsidRDefault="008134EB">
      <w:pPr>
        <w:pStyle w:val="BodyText"/>
        <w:spacing w:before="208"/>
        <w:rPr>
          <w:sz w:val="20"/>
        </w:rPr>
      </w:pPr>
      <w:r>
        <w:rPr>
          <w:noProof/>
          <w:sz w:val="20"/>
        </w:rPr>
        <mc:AlternateContent>
          <mc:Choice Requires="wps">
            <w:drawing>
              <wp:anchor distT="0" distB="0" distL="0" distR="0" simplePos="0" relativeHeight="487618048" behindDoc="1" locked="0" layoutInCell="1" allowOverlap="1" wp14:anchorId="0DFDD589" wp14:editId="0DFDD58A">
                <wp:simplePos x="0" y="0"/>
                <wp:positionH relativeFrom="page">
                  <wp:posOffset>914400</wp:posOffset>
                </wp:positionH>
                <wp:positionV relativeFrom="paragraph">
                  <wp:posOffset>293935</wp:posOffset>
                </wp:positionV>
                <wp:extent cx="1828800" cy="5715"/>
                <wp:effectExtent l="0" t="0" r="0" b="0"/>
                <wp:wrapTopAndBottom/>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5A6DF8" id="Graphic 320" o:spid="_x0000_s1026" style="position:absolute;margin-left:1in;margin-top:23.15pt;width:2in;height:.45pt;z-index:-1569843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" path="m1828800,l,,,5333r1828800,l1828800,xe" fillcolor="black" stroked="f">
                <v:path arrowok="t"/>
                <w10:wrap type="topAndBottom" anchorx="page"/>
              </v:shape>
            </w:pict>
          </mc:Fallback>
        </mc:AlternateContent>
      </w:r>
    </w:p>
    <w:p w14:paraId="0DFDB2C3" w14:textId="77777777" w:rsidR="00046465" w:rsidRDefault="008134EB">
      <w:pPr>
        <w:spacing w:before="200"/>
        <w:ind w:left="360"/>
        <w:rPr>
          <w:sz w:val="18"/>
        </w:rPr>
      </w:pPr>
      <w:bookmarkStart w:id="141" w:name="_bookmark54"/>
      <w:bookmarkEnd w:id="141"/>
      <w:r>
        <w:rPr>
          <w:position w:val="7"/>
          <w:sz w:val="14"/>
        </w:rPr>
        <w:t>11</w:t>
      </w:r>
      <w:r>
        <w:rPr>
          <w:sz w:val="18"/>
        </w:rPr>
        <w:t>The</w:t>
      </w:r>
      <w:r>
        <w:rPr>
          <w:spacing w:val="-3"/>
          <w:sz w:val="18"/>
        </w:rPr>
        <w:t xml:space="preserve"> </w:t>
      </w:r>
      <w:r>
        <w:rPr>
          <w:sz w:val="18"/>
        </w:rPr>
        <w:t>“practitioner”</w:t>
      </w:r>
      <w:r>
        <w:rPr>
          <w:spacing w:val="-2"/>
          <w:sz w:val="18"/>
        </w:rPr>
        <w:t xml:space="preserve"> </w:t>
      </w:r>
      <w:r>
        <w:rPr>
          <w:sz w:val="18"/>
        </w:rPr>
        <w:t>as</w:t>
      </w:r>
      <w:r>
        <w:rPr>
          <w:spacing w:val="-1"/>
          <w:sz w:val="18"/>
        </w:rPr>
        <w:t xml:space="preserve"> </w:t>
      </w:r>
      <w:r>
        <w:rPr>
          <w:sz w:val="18"/>
        </w:rPr>
        <w:t>used</w:t>
      </w:r>
      <w:r>
        <w:rPr>
          <w:spacing w:val="-3"/>
          <w:sz w:val="18"/>
        </w:rPr>
        <w:t xml:space="preserve"> </w:t>
      </w:r>
      <w:r>
        <w:rPr>
          <w:sz w:val="18"/>
        </w:rPr>
        <w:t>in</w:t>
      </w:r>
      <w:r>
        <w:rPr>
          <w:spacing w:val="-2"/>
          <w:sz w:val="18"/>
        </w:rPr>
        <w:t xml:space="preserve"> </w:t>
      </w:r>
      <w:r>
        <w:rPr>
          <w:sz w:val="18"/>
        </w:rPr>
        <w:t>AT-C</w:t>
      </w:r>
      <w:r>
        <w:rPr>
          <w:spacing w:val="-2"/>
          <w:sz w:val="18"/>
        </w:rPr>
        <w:t xml:space="preserve"> </w:t>
      </w:r>
      <w:r>
        <w:rPr>
          <w:sz w:val="18"/>
        </w:rPr>
        <w:t>215</w:t>
      </w:r>
      <w:r>
        <w:rPr>
          <w:spacing w:val="-2"/>
          <w:sz w:val="18"/>
        </w:rPr>
        <w:t xml:space="preserve"> </w:t>
      </w:r>
      <w:r>
        <w:rPr>
          <w:sz w:val="18"/>
        </w:rPr>
        <w:t>is</w:t>
      </w:r>
      <w:r>
        <w:rPr>
          <w:spacing w:val="-1"/>
          <w:sz w:val="18"/>
        </w:rPr>
        <w:t xml:space="preserve"> </w:t>
      </w:r>
      <w:r>
        <w:rPr>
          <w:sz w:val="18"/>
        </w:rPr>
        <w:t>referred</w:t>
      </w:r>
      <w:r>
        <w:rPr>
          <w:spacing w:val="-3"/>
          <w:sz w:val="18"/>
        </w:rPr>
        <w:t xml:space="preserve"> </w:t>
      </w:r>
      <w:r>
        <w:rPr>
          <w:sz w:val="18"/>
        </w:rPr>
        <w:t>to</w:t>
      </w:r>
      <w:r>
        <w:rPr>
          <w:spacing w:val="-2"/>
          <w:sz w:val="18"/>
        </w:rPr>
        <w:t xml:space="preserve"> </w:t>
      </w:r>
      <w:r>
        <w:rPr>
          <w:sz w:val="18"/>
        </w:rPr>
        <w:t>as</w:t>
      </w:r>
      <w:r>
        <w:rPr>
          <w:spacing w:val="-2"/>
          <w:sz w:val="18"/>
        </w:rPr>
        <w:t xml:space="preserve"> </w:t>
      </w:r>
      <w:r>
        <w:rPr>
          <w:sz w:val="18"/>
        </w:rPr>
        <w:t>the</w:t>
      </w:r>
      <w:r>
        <w:rPr>
          <w:spacing w:val="-1"/>
          <w:sz w:val="18"/>
        </w:rPr>
        <w:t xml:space="preserve"> </w:t>
      </w:r>
      <w:r>
        <w:rPr>
          <w:sz w:val="18"/>
        </w:rPr>
        <w:t>auditor</w:t>
      </w:r>
      <w:r>
        <w:rPr>
          <w:spacing w:val="-1"/>
          <w:sz w:val="18"/>
        </w:rPr>
        <w:t xml:space="preserve"> </w:t>
      </w:r>
      <w:r>
        <w:rPr>
          <w:sz w:val="18"/>
        </w:rPr>
        <w:t>in</w:t>
      </w:r>
      <w:r>
        <w:rPr>
          <w:spacing w:val="-3"/>
          <w:sz w:val="18"/>
        </w:rPr>
        <w:t xml:space="preserve"> </w:t>
      </w:r>
      <w:r>
        <w:rPr>
          <w:sz w:val="18"/>
        </w:rPr>
        <w:t>the</w:t>
      </w:r>
      <w:r>
        <w:rPr>
          <w:spacing w:val="-2"/>
          <w:sz w:val="18"/>
        </w:rPr>
        <w:t xml:space="preserve"> </w:t>
      </w:r>
      <w:r>
        <w:rPr>
          <w:spacing w:val="-4"/>
          <w:sz w:val="18"/>
        </w:rPr>
        <w:t>FAM.</w:t>
      </w:r>
    </w:p>
    <w:p w14:paraId="0DFDB2C4" w14:textId="77777777" w:rsidR="00046465" w:rsidRDefault="00046465">
      <w:pPr>
        <w:rPr>
          <w:sz w:val="18"/>
        </w:rPr>
        <w:sectPr w:rsidR="00046465">
          <w:headerReference w:type="default" r:id="rId94"/>
          <w:footerReference w:type="default" r:id="rId95"/>
          <w:pgSz w:w="12240" w:h="15840"/>
          <w:pgMar w:top="1340" w:right="720" w:bottom="940" w:left="1080" w:header="721" w:footer="757" w:gutter="0"/>
          <w:pgNumType w:start="1"/>
          <w:cols w:space="720"/>
        </w:sectPr>
      </w:pPr>
    </w:p>
    <w:p w14:paraId="0DFDB2C5" w14:textId="77777777" w:rsidR="00046465" w:rsidRDefault="008134EB">
      <w:pPr>
        <w:pStyle w:val="ListParagraph"/>
        <w:numPr>
          <w:ilvl w:val="1"/>
          <w:numId w:val="11"/>
        </w:numPr>
        <w:tabs>
          <w:tab w:val="left" w:pos="2159"/>
        </w:tabs>
        <w:spacing w:before="121"/>
        <w:ind w:hanging="359"/>
      </w:pPr>
      <w:r>
        <w:lastRenderedPageBreak/>
        <w:t>the</w:t>
      </w:r>
      <w:r>
        <w:rPr>
          <w:spacing w:val="-4"/>
        </w:rPr>
        <w:t xml:space="preserve"> </w:t>
      </w:r>
      <w:r>
        <w:rPr>
          <w:spacing w:val="-2"/>
        </w:rPr>
        <w:t>auditor.</w:t>
      </w:r>
    </w:p>
    <w:p w14:paraId="0DFDB2C6" w14:textId="77777777" w:rsidR="00046465" w:rsidRDefault="008134EB">
      <w:pPr>
        <w:pStyle w:val="BodyText"/>
        <w:spacing w:before="120"/>
        <w:ind w:left="1799" w:right="749"/>
      </w:pPr>
      <w:r>
        <w:t>All parties should clearly understand the procedures to be applied. The nature, timing, and extent of agreed-upon procedures depend on the needs of the engaging</w:t>
      </w:r>
      <w:r>
        <w:rPr>
          <w:spacing w:val="-4"/>
        </w:rPr>
        <w:t xml:space="preserve"> </w:t>
      </w:r>
      <w:r>
        <w:t>party.</w:t>
      </w:r>
      <w:r>
        <w:rPr>
          <w:spacing w:val="-4"/>
        </w:rPr>
        <w:t xml:space="preserve"> </w:t>
      </w:r>
      <w:r>
        <w:t>Although</w:t>
      </w:r>
      <w:r>
        <w:rPr>
          <w:spacing w:val="-4"/>
        </w:rPr>
        <w:t xml:space="preserve"> </w:t>
      </w:r>
      <w:r>
        <w:t>the</w:t>
      </w:r>
      <w:r>
        <w:rPr>
          <w:spacing w:val="-4"/>
        </w:rPr>
        <w:t xml:space="preserve"> </w:t>
      </w:r>
      <w:r>
        <w:t>auditor</w:t>
      </w:r>
      <w:r>
        <w:rPr>
          <w:spacing w:val="-5"/>
        </w:rPr>
        <w:t xml:space="preserve"> </w:t>
      </w:r>
      <w:r>
        <w:t>may</w:t>
      </w:r>
      <w:r>
        <w:rPr>
          <w:spacing w:val="-4"/>
        </w:rPr>
        <w:t xml:space="preserve"> </w:t>
      </w:r>
      <w:r>
        <w:t>assist</w:t>
      </w:r>
      <w:r>
        <w:rPr>
          <w:spacing w:val="-4"/>
        </w:rPr>
        <w:t xml:space="preserve"> </w:t>
      </w:r>
      <w:r>
        <w:t>the</w:t>
      </w:r>
      <w:r>
        <w:rPr>
          <w:spacing w:val="-4"/>
        </w:rPr>
        <w:t xml:space="preserve"> </w:t>
      </w:r>
      <w:r>
        <w:t>engaging</w:t>
      </w:r>
      <w:r>
        <w:rPr>
          <w:spacing w:val="-5"/>
        </w:rPr>
        <w:t xml:space="preserve"> </w:t>
      </w:r>
      <w:r>
        <w:t>party</w:t>
      </w:r>
      <w:r>
        <w:rPr>
          <w:spacing w:val="-4"/>
        </w:rPr>
        <w:t xml:space="preserve"> </w:t>
      </w:r>
      <w:r>
        <w:t>in</w:t>
      </w:r>
      <w:r>
        <w:rPr>
          <w:spacing w:val="-4"/>
        </w:rPr>
        <w:t xml:space="preserve"> </w:t>
      </w:r>
      <w:r>
        <w:t>designing the procedures, the engaging party assumes responsibility for the appropriateness of the design and extent of the procedures.</w:t>
      </w:r>
    </w:p>
    <w:p w14:paraId="0DFDB2C7" w14:textId="77777777" w:rsidR="00046465" w:rsidRDefault="008134EB">
      <w:pPr>
        <w:pStyle w:val="ListParagraph"/>
        <w:numPr>
          <w:ilvl w:val="0"/>
          <w:numId w:val="11"/>
        </w:numPr>
        <w:tabs>
          <w:tab w:val="left" w:pos="1799"/>
        </w:tabs>
        <w:ind w:right="1082"/>
      </w:pPr>
      <w:r>
        <w:t>The auditor should establish that the preconditions for an agreed-upon procedures</w:t>
      </w:r>
      <w:r>
        <w:rPr>
          <w:spacing w:val="-5"/>
        </w:rPr>
        <w:t xml:space="preserve"> </w:t>
      </w:r>
      <w:r>
        <w:t>engagement</w:t>
      </w:r>
      <w:r>
        <w:rPr>
          <w:spacing w:val="-5"/>
        </w:rPr>
        <w:t xml:space="preserve"> </w:t>
      </w:r>
      <w:r>
        <w:t>are</w:t>
      </w:r>
      <w:r>
        <w:rPr>
          <w:spacing w:val="-5"/>
        </w:rPr>
        <w:t xml:space="preserve"> </w:t>
      </w:r>
      <w:r>
        <w:t>present</w:t>
      </w:r>
      <w:r>
        <w:rPr>
          <w:spacing w:val="-5"/>
        </w:rPr>
        <w:t xml:space="preserve"> </w:t>
      </w:r>
      <w:r>
        <w:t>in</w:t>
      </w:r>
      <w:r>
        <w:rPr>
          <w:spacing w:val="-5"/>
        </w:rPr>
        <w:t xml:space="preserve"> </w:t>
      </w:r>
      <w:r>
        <w:t>accordance</w:t>
      </w:r>
      <w:r>
        <w:rPr>
          <w:spacing w:val="-5"/>
        </w:rPr>
        <w:t xml:space="preserve"> </w:t>
      </w:r>
      <w:r>
        <w:t>with</w:t>
      </w:r>
      <w:r>
        <w:rPr>
          <w:spacing w:val="-5"/>
        </w:rPr>
        <w:t xml:space="preserve"> </w:t>
      </w:r>
      <w:r>
        <w:t>AT-C</w:t>
      </w:r>
      <w:r>
        <w:rPr>
          <w:spacing w:val="-5"/>
        </w:rPr>
        <w:t xml:space="preserve"> </w:t>
      </w:r>
      <w:r>
        <w:t>215.10</w:t>
      </w:r>
      <w:r>
        <w:rPr>
          <w:spacing w:val="-5"/>
        </w:rPr>
        <w:t xml:space="preserve"> </w:t>
      </w:r>
      <w:r>
        <w:t>through</w:t>
      </w:r>
    </w:p>
    <w:p w14:paraId="0DFDB2C8" w14:textId="77777777" w:rsidR="00046465" w:rsidRDefault="008134EB">
      <w:pPr>
        <w:pStyle w:val="BodyText"/>
        <w:ind w:left="1800" w:right="919" w:hanging="1"/>
      </w:pPr>
      <w:r>
        <w:t>.13. The auditor should also agree upon the terms of the engagement with the engaging</w:t>
      </w:r>
      <w:r>
        <w:rPr>
          <w:spacing w:val="-4"/>
        </w:rPr>
        <w:t xml:space="preserve"> </w:t>
      </w:r>
      <w:r>
        <w:t>party.</w:t>
      </w:r>
      <w:r>
        <w:rPr>
          <w:spacing w:val="-4"/>
        </w:rPr>
        <w:t xml:space="preserve"> </w:t>
      </w:r>
      <w:r>
        <w:t>The</w:t>
      </w:r>
      <w:r>
        <w:rPr>
          <w:spacing w:val="-4"/>
        </w:rPr>
        <w:t xml:space="preserve"> </w:t>
      </w:r>
      <w:r>
        <w:t>agreed-upon</w:t>
      </w:r>
      <w:r>
        <w:rPr>
          <w:spacing w:val="-4"/>
        </w:rPr>
        <w:t xml:space="preserve"> </w:t>
      </w:r>
      <w:r>
        <w:t>terms</w:t>
      </w:r>
      <w:r>
        <w:rPr>
          <w:spacing w:val="-4"/>
        </w:rPr>
        <w:t xml:space="preserve"> </w:t>
      </w:r>
      <w:r>
        <w:t>of</w:t>
      </w:r>
      <w:r>
        <w:rPr>
          <w:spacing w:val="-4"/>
        </w:rPr>
        <w:t xml:space="preserve"> </w:t>
      </w:r>
      <w:r>
        <w:t>the</w:t>
      </w:r>
      <w:r>
        <w:rPr>
          <w:spacing w:val="-4"/>
        </w:rPr>
        <w:t xml:space="preserve"> </w:t>
      </w:r>
      <w:r>
        <w:t>engagement</w:t>
      </w:r>
      <w:r>
        <w:rPr>
          <w:spacing w:val="-4"/>
        </w:rPr>
        <w:t xml:space="preserve"> </w:t>
      </w:r>
      <w:r>
        <w:t>should</w:t>
      </w:r>
      <w:r>
        <w:rPr>
          <w:spacing w:val="-3"/>
        </w:rPr>
        <w:t xml:space="preserve"> </w:t>
      </w:r>
      <w:r>
        <w:t>be</w:t>
      </w:r>
      <w:r>
        <w:rPr>
          <w:spacing w:val="-4"/>
        </w:rPr>
        <w:t xml:space="preserve"> </w:t>
      </w:r>
      <w:r>
        <w:t xml:space="preserve">specified in sufficient detail in an engagement letter, an example of which is provided in FAM 710 A, or other suitable form of written agreement. (AT-C 215.14) The agreed-upon terms of the engagement should include the following (AT-C </w:t>
      </w:r>
      <w:r>
        <w:rPr>
          <w:spacing w:val="-2"/>
        </w:rPr>
        <w:t>215.15):</w:t>
      </w:r>
    </w:p>
    <w:p w14:paraId="0DFDB2C9" w14:textId="77777777" w:rsidR="00046465" w:rsidRDefault="008134EB">
      <w:pPr>
        <w:pStyle w:val="ListParagraph"/>
        <w:numPr>
          <w:ilvl w:val="1"/>
          <w:numId w:val="11"/>
        </w:numPr>
        <w:tabs>
          <w:tab w:val="left" w:pos="2159"/>
        </w:tabs>
        <w:spacing w:before="119"/>
        <w:ind w:hanging="359"/>
      </w:pPr>
      <w:r>
        <w:t>The</w:t>
      </w:r>
      <w:r>
        <w:rPr>
          <w:spacing w:val="-7"/>
        </w:rPr>
        <w:t xml:space="preserve"> </w:t>
      </w:r>
      <w:r>
        <w:t>nature</w:t>
      </w:r>
      <w:r>
        <w:rPr>
          <w:spacing w:val="-6"/>
        </w:rPr>
        <w:t xml:space="preserve"> </w:t>
      </w:r>
      <w:r>
        <w:t>of</w:t>
      </w:r>
      <w:r>
        <w:rPr>
          <w:spacing w:val="-7"/>
        </w:rPr>
        <w:t xml:space="preserve"> </w:t>
      </w:r>
      <w:r>
        <w:t>the</w:t>
      </w:r>
      <w:r>
        <w:rPr>
          <w:spacing w:val="-6"/>
        </w:rPr>
        <w:t xml:space="preserve"> </w:t>
      </w:r>
      <w:r>
        <w:t>engagement</w:t>
      </w:r>
      <w:r>
        <w:rPr>
          <w:spacing w:val="-7"/>
        </w:rPr>
        <w:t xml:space="preserve"> </w:t>
      </w:r>
      <w:r>
        <w:t>established</w:t>
      </w:r>
      <w:r>
        <w:rPr>
          <w:spacing w:val="-6"/>
        </w:rPr>
        <w:t xml:space="preserve"> </w:t>
      </w:r>
      <w:r>
        <w:t>pursuant</w:t>
      </w:r>
      <w:r>
        <w:rPr>
          <w:spacing w:val="-7"/>
        </w:rPr>
        <w:t xml:space="preserve"> </w:t>
      </w:r>
      <w:r>
        <w:t>to</w:t>
      </w:r>
      <w:r>
        <w:rPr>
          <w:spacing w:val="-6"/>
        </w:rPr>
        <w:t xml:space="preserve"> </w:t>
      </w:r>
      <w:r>
        <w:t>AT-C</w:t>
      </w:r>
      <w:r>
        <w:rPr>
          <w:spacing w:val="-7"/>
        </w:rPr>
        <w:t xml:space="preserve"> </w:t>
      </w:r>
      <w:r>
        <w:rPr>
          <w:spacing w:val="-2"/>
        </w:rPr>
        <w:t>215.12.</w:t>
      </w:r>
    </w:p>
    <w:p w14:paraId="0DFDB2CA" w14:textId="77777777" w:rsidR="00046465" w:rsidRDefault="008134EB">
      <w:pPr>
        <w:pStyle w:val="ListParagraph"/>
        <w:numPr>
          <w:ilvl w:val="1"/>
          <w:numId w:val="11"/>
        </w:numPr>
        <w:tabs>
          <w:tab w:val="left" w:pos="2159"/>
        </w:tabs>
        <w:spacing w:before="121"/>
        <w:ind w:hanging="359"/>
      </w:pPr>
      <w:r>
        <w:t>Identification</w:t>
      </w:r>
      <w:r>
        <w:rPr>
          <w:spacing w:val="-8"/>
        </w:rPr>
        <w:t xml:space="preserve"> </w:t>
      </w:r>
      <w:r>
        <w:t>of</w:t>
      </w:r>
      <w:r>
        <w:rPr>
          <w:spacing w:val="-7"/>
        </w:rPr>
        <w:t xml:space="preserve"> </w:t>
      </w:r>
      <w:r>
        <w:t>the</w:t>
      </w:r>
      <w:r>
        <w:rPr>
          <w:spacing w:val="-8"/>
        </w:rPr>
        <w:t xml:space="preserve"> </w:t>
      </w:r>
      <w:r>
        <w:t>subject</w:t>
      </w:r>
      <w:r>
        <w:rPr>
          <w:spacing w:val="-7"/>
        </w:rPr>
        <w:t xml:space="preserve"> </w:t>
      </w:r>
      <w:r>
        <w:t>matter</w:t>
      </w:r>
      <w:r>
        <w:rPr>
          <w:spacing w:val="-7"/>
        </w:rPr>
        <w:t xml:space="preserve"> </w:t>
      </w:r>
      <w:r>
        <w:t>and</w:t>
      </w:r>
      <w:r>
        <w:rPr>
          <w:spacing w:val="-8"/>
        </w:rPr>
        <w:t xml:space="preserve"> </w:t>
      </w:r>
      <w:r>
        <w:t>responsible</w:t>
      </w:r>
      <w:r>
        <w:rPr>
          <w:spacing w:val="-7"/>
        </w:rPr>
        <w:t xml:space="preserve"> </w:t>
      </w:r>
      <w:r>
        <w:rPr>
          <w:spacing w:val="-2"/>
        </w:rPr>
        <w:t>party.</w:t>
      </w:r>
    </w:p>
    <w:p w14:paraId="0DFDB2CB" w14:textId="77777777" w:rsidR="00046465" w:rsidRDefault="008134EB">
      <w:pPr>
        <w:pStyle w:val="ListParagraph"/>
        <w:numPr>
          <w:ilvl w:val="1"/>
          <w:numId w:val="11"/>
        </w:numPr>
        <w:tabs>
          <w:tab w:val="left" w:pos="2159"/>
        </w:tabs>
        <w:ind w:hanging="359"/>
      </w:pPr>
      <w:r>
        <w:t>The</w:t>
      </w:r>
      <w:r>
        <w:rPr>
          <w:spacing w:val="-7"/>
        </w:rPr>
        <w:t xml:space="preserve"> </w:t>
      </w:r>
      <w:r>
        <w:t>responsibilities</w:t>
      </w:r>
      <w:r>
        <w:rPr>
          <w:spacing w:val="-7"/>
        </w:rPr>
        <w:t xml:space="preserve"> </w:t>
      </w:r>
      <w:r>
        <w:t>of</w:t>
      </w:r>
      <w:r>
        <w:rPr>
          <w:spacing w:val="-6"/>
        </w:rPr>
        <w:t xml:space="preserve"> </w:t>
      </w:r>
      <w:r>
        <w:t>the</w:t>
      </w:r>
      <w:r>
        <w:rPr>
          <w:spacing w:val="-7"/>
        </w:rPr>
        <w:t xml:space="preserve"> </w:t>
      </w:r>
      <w:r>
        <w:rPr>
          <w:spacing w:val="-2"/>
        </w:rPr>
        <w:t>auditor.</w:t>
      </w:r>
    </w:p>
    <w:p w14:paraId="0DFDB2CC" w14:textId="77777777" w:rsidR="00046465" w:rsidRDefault="008134EB">
      <w:pPr>
        <w:pStyle w:val="ListParagraph"/>
        <w:numPr>
          <w:ilvl w:val="1"/>
          <w:numId w:val="11"/>
        </w:numPr>
        <w:tabs>
          <w:tab w:val="left" w:pos="2160"/>
        </w:tabs>
        <w:ind w:left="2160" w:right="1027"/>
      </w:pPr>
      <w:r>
        <w:t>A</w:t>
      </w:r>
      <w:r>
        <w:rPr>
          <w:spacing w:val="-5"/>
        </w:rPr>
        <w:t xml:space="preserve"> </w:t>
      </w:r>
      <w:r>
        <w:t>statement</w:t>
      </w:r>
      <w:r>
        <w:rPr>
          <w:spacing w:val="-4"/>
        </w:rPr>
        <w:t xml:space="preserve"> </w:t>
      </w:r>
      <w:r>
        <w:t>that</w:t>
      </w:r>
      <w:r>
        <w:rPr>
          <w:spacing w:val="-4"/>
        </w:rPr>
        <w:t xml:space="preserve"> </w:t>
      </w:r>
      <w:r>
        <w:t>the</w:t>
      </w:r>
      <w:r>
        <w:rPr>
          <w:spacing w:val="-4"/>
        </w:rPr>
        <w:t xml:space="preserve"> </w:t>
      </w:r>
      <w:r>
        <w:t>engagement</w:t>
      </w:r>
      <w:r>
        <w:rPr>
          <w:spacing w:val="-4"/>
        </w:rPr>
        <w:t xml:space="preserve"> </w:t>
      </w:r>
      <w:r>
        <w:t>will</w:t>
      </w:r>
      <w:r>
        <w:rPr>
          <w:spacing w:val="-4"/>
        </w:rPr>
        <w:t xml:space="preserve"> </w:t>
      </w:r>
      <w:r>
        <w:t>be</w:t>
      </w:r>
      <w:r>
        <w:rPr>
          <w:spacing w:val="-4"/>
        </w:rPr>
        <w:t xml:space="preserve"> </w:t>
      </w:r>
      <w:r>
        <w:t>conducted</w:t>
      </w:r>
      <w:r>
        <w:rPr>
          <w:spacing w:val="-4"/>
        </w:rPr>
        <w:t xml:space="preserve"> </w:t>
      </w:r>
      <w:r>
        <w:t>in</w:t>
      </w:r>
      <w:r>
        <w:rPr>
          <w:spacing w:val="-4"/>
        </w:rPr>
        <w:t xml:space="preserve"> </w:t>
      </w:r>
      <w:r>
        <w:t>accordance</w:t>
      </w:r>
      <w:r>
        <w:rPr>
          <w:spacing w:val="-4"/>
        </w:rPr>
        <w:t xml:space="preserve"> </w:t>
      </w:r>
      <w:r>
        <w:t>with</w:t>
      </w:r>
      <w:r>
        <w:rPr>
          <w:spacing w:val="-4"/>
        </w:rPr>
        <w:t xml:space="preserve"> </w:t>
      </w:r>
      <w:r>
        <w:t>the AICPA’s attestation standards.</w:t>
      </w:r>
    </w:p>
    <w:p w14:paraId="0DFDB2CD" w14:textId="77777777" w:rsidR="00046465" w:rsidRDefault="008134EB">
      <w:pPr>
        <w:pStyle w:val="ListParagraph"/>
        <w:numPr>
          <w:ilvl w:val="1"/>
          <w:numId w:val="11"/>
        </w:numPr>
        <w:tabs>
          <w:tab w:val="left" w:pos="2159"/>
        </w:tabs>
        <w:spacing w:before="119"/>
        <w:ind w:hanging="359"/>
      </w:pPr>
      <w:r>
        <w:t>A</w:t>
      </w:r>
      <w:r>
        <w:rPr>
          <w:spacing w:val="-7"/>
        </w:rPr>
        <w:t xml:space="preserve"> </w:t>
      </w:r>
      <w:r>
        <w:t>statement</w:t>
      </w:r>
      <w:r>
        <w:rPr>
          <w:spacing w:val="-6"/>
        </w:rPr>
        <w:t xml:space="preserve"> </w:t>
      </w:r>
      <w:r>
        <w:t>that</w:t>
      </w:r>
      <w:r>
        <w:rPr>
          <w:spacing w:val="-6"/>
        </w:rPr>
        <w:t xml:space="preserve"> </w:t>
      </w:r>
      <w:r>
        <w:t>the</w:t>
      </w:r>
      <w:r>
        <w:rPr>
          <w:spacing w:val="-6"/>
        </w:rPr>
        <w:t xml:space="preserve"> </w:t>
      </w:r>
      <w:r>
        <w:t>responsible</w:t>
      </w:r>
      <w:r>
        <w:rPr>
          <w:spacing w:val="-6"/>
        </w:rPr>
        <w:t xml:space="preserve"> </w:t>
      </w:r>
      <w:r>
        <w:t>party</w:t>
      </w:r>
      <w:r>
        <w:rPr>
          <w:spacing w:val="-6"/>
        </w:rPr>
        <w:t xml:space="preserve"> </w:t>
      </w:r>
      <w:r>
        <w:t>is</w:t>
      </w:r>
      <w:r>
        <w:rPr>
          <w:spacing w:val="-6"/>
        </w:rPr>
        <w:t xml:space="preserve"> </w:t>
      </w:r>
      <w:r>
        <w:t>responsible</w:t>
      </w:r>
      <w:r>
        <w:rPr>
          <w:spacing w:val="-6"/>
        </w:rPr>
        <w:t xml:space="preserve"> </w:t>
      </w:r>
      <w:r>
        <w:t>for</w:t>
      </w:r>
      <w:r>
        <w:rPr>
          <w:spacing w:val="-6"/>
        </w:rPr>
        <w:t xml:space="preserve"> </w:t>
      </w:r>
      <w:r>
        <w:t>the</w:t>
      </w:r>
      <w:r>
        <w:rPr>
          <w:spacing w:val="-7"/>
        </w:rPr>
        <w:t xml:space="preserve"> </w:t>
      </w:r>
      <w:r>
        <w:t>subject</w:t>
      </w:r>
      <w:r>
        <w:rPr>
          <w:spacing w:val="-6"/>
        </w:rPr>
        <w:t xml:space="preserve"> </w:t>
      </w:r>
      <w:r>
        <w:rPr>
          <w:spacing w:val="-2"/>
        </w:rPr>
        <w:t>matter.</w:t>
      </w:r>
    </w:p>
    <w:p w14:paraId="0DFDB2CE" w14:textId="77777777" w:rsidR="00046465" w:rsidRDefault="008134EB">
      <w:pPr>
        <w:pStyle w:val="ListParagraph"/>
        <w:numPr>
          <w:ilvl w:val="1"/>
          <w:numId w:val="11"/>
        </w:numPr>
        <w:tabs>
          <w:tab w:val="left" w:pos="2159"/>
        </w:tabs>
        <w:ind w:right="906"/>
      </w:pPr>
      <w:r>
        <w:t>A statement that the engaging party agrees to provide the auditor, before completing</w:t>
      </w:r>
      <w:r>
        <w:rPr>
          <w:spacing w:val="-5"/>
        </w:rPr>
        <w:t xml:space="preserve"> </w:t>
      </w:r>
      <w:r>
        <w:t>the</w:t>
      </w:r>
      <w:r>
        <w:rPr>
          <w:spacing w:val="-5"/>
        </w:rPr>
        <w:t xml:space="preserve"> </w:t>
      </w:r>
      <w:r>
        <w:t>engagement,</w:t>
      </w:r>
      <w:r>
        <w:rPr>
          <w:spacing w:val="-5"/>
        </w:rPr>
        <w:t xml:space="preserve"> </w:t>
      </w:r>
      <w:r>
        <w:t>with</w:t>
      </w:r>
      <w:r>
        <w:rPr>
          <w:spacing w:val="-5"/>
        </w:rPr>
        <w:t xml:space="preserve"> </w:t>
      </w:r>
      <w:r>
        <w:t>a</w:t>
      </w:r>
      <w:r>
        <w:rPr>
          <w:spacing w:val="-5"/>
        </w:rPr>
        <w:t xml:space="preserve"> </w:t>
      </w:r>
      <w:r>
        <w:t>written</w:t>
      </w:r>
      <w:r>
        <w:rPr>
          <w:spacing w:val="-5"/>
        </w:rPr>
        <w:t xml:space="preserve"> </w:t>
      </w:r>
      <w:r>
        <w:t>agreement</w:t>
      </w:r>
      <w:r>
        <w:rPr>
          <w:spacing w:val="-5"/>
        </w:rPr>
        <w:t xml:space="preserve"> </w:t>
      </w:r>
      <w:r>
        <w:t>and</w:t>
      </w:r>
      <w:r>
        <w:rPr>
          <w:spacing w:val="-5"/>
        </w:rPr>
        <w:t xml:space="preserve"> </w:t>
      </w:r>
      <w:r>
        <w:t>acknowledgment that the procedures performed are appropriate for the intended purpose of the engagement.</w:t>
      </w:r>
    </w:p>
    <w:p w14:paraId="0DFDB2CF" w14:textId="77777777" w:rsidR="00046465" w:rsidRDefault="008134EB">
      <w:pPr>
        <w:pStyle w:val="ListParagraph"/>
        <w:numPr>
          <w:ilvl w:val="1"/>
          <w:numId w:val="11"/>
        </w:numPr>
        <w:tabs>
          <w:tab w:val="left" w:pos="2159"/>
        </w:tabs>
        <w:ind w:right="1015"/>
      </w:pPr>
      <w:r>
        <w:t>A</w:t>
      </w:r>
      <w:r>
        <w:rPr>
          <w:spacing w:val="-4"/>
        </w:rPr>
        <w:t xml:space="preserve"> </w:t>
      </w:r>
      <w:r>
        <w:t>statement</w:t>
      </w:r>
      <w:r>
        <w:rPr>
          <w:spacing w:val="-3"/>
        </w:rPr>
        <w:t xml:space="preserve"> </w:t>
      </w:r>
      <w:r>
        <w:t>that</w:t>
      </w:r>
      <w:r>
        <w:rPr>
          <w:spacing w:val="-3"/>
        </w:rPr>
        <w:t xml:space="preserve"> </w:t>
      </w:r>
      <w:r>
        <w:t>the</w:t>
      </w:r>
      <w:r>
        <w:rPr>
          <w:spacing w:val="-3"/>
        </w:rPr>
        <w:t xml:space="preserve"> </w:t>
      </w:r>
      <w:r>
        <w:t>engaging</w:t>
      </w:r>
      <w:r>
        <w:rPr>
          <w:spacing w:val="-3"/>
        </w:rPr>
        <w:t xml:space="preserve"> </w:t>
      </w:r>
      <w:r>
        <w:t>party</w:t>
      </w:r>
      <w:r>
        <w:rPr>
          <w:spacing w:val="-4"/>
        </w:rPr>
        <w:t xml:space="preserve"> </w:t>
      </w:r>
      <w:r>
        <w:t>agrees</w:t>
      </w:r>
      <w:r>
        <w:rPr>
          <w:spacing w:val="-3"/>
        </w:rPr>
        <w:t xml:space="preserve"> </w:t>
      </w:r>
      <w:r>
        <w:t>to</w:t>
      </w:r>
      <w:r>
        <w:rPr>
          <w:spacing w:val="-3"/>
        </w:rPr>
        <w:t xml:space="preserve"> </w:t>
      </w:r>
      <w:r>
        <w:t>provide,</w:t>
      </w:r>
      <w:r>
        <w:rPr>
          <w:spacing w:val="-3"/>
        </w:rPr>
        <w:t xml:space="preserve"> </w:t>
      </w:r>
      <w:r>
        <w:t>at</w:t>
      </w:r>
      <w:r>
        <w:rPr>
          <w:spacing w:val="-3"/>
        </w:rPr>
        <w:t xml:space="preserve"> </w:t>
      </w:r>
      <w:r>
        <w:t>the</w:t>
      </w:r>
      <w:r>
        <w:rPr>
          <w:spacing w:val="-4"/>
        </w:rPr>
        <w:t xml:space="preserve"> </w:t>
      </w:r>
      <w:r>
        <w:t>conclusion</w:t>
      </w:r>
      <w:r>
        <w:rPr>
          <w:spacing w:val="-4"/>
        </w:rPr>
        <w:t xml:space="preserve"> </w:t>
      </w:r>
      <w:r>
        <w:t>of the engagement, a representation letter.</w:t>
      </w:r>
    </w:p>
    <w:p w14:paraId="0DFDB2D0" w14:textId="77777777" w:rsidR="00046465" w:rsidRDefault="008134EB">
      <w:pPr>
        <w:pStyle w:val="ListParagraph"/>
        <w:numPr>
          <w:ilvl w:val="1"/>
          <w:numId w:val="11"/>
        </w:numPr>
        <w:tabs>
          <w:tab w:val="left" w:pos="2159"/>
        </w:tabs>
        <w:ind w:right="770"/>
      </w:pPr>
      <w:r>
        <w:t>If</w:t>
      </w:r>
      <w:r>
        <w:rPr>
          <w:spacing w:val="-3"/>
        </w:rPr>
        <w:t xml:space="preserve"> </w:t>
      </w:r>
      <w:r>
        <w:t>known</w:t>
      </w:r>
      <w:r>
        <w:rPr>
          <w:spacing w:val="-3"/>
        </w:rPr>
        <w:t xml:space="preserve"> </w:t>
      </w:r>
      <w:r>
        <w:t>at</w:t>
      </w:r>
      <w:r>
        <w:rPr>
          <w:spacing w:val="-3"/>
        </w:rPr>
        <w:t xml:space="preserve"> </w:t>
      </w:r>
      <w:r>
        <w:t>the</w:t>
      </w:r>
      <w:r>
        <w:rPr>
          <w:spacing w:val="-3"/>
        </w:rPr>
        <w:t xml:space="preserve"> </w:t>
      </w:r>
      <w:r>
        <w:t>onset</w:t>
      </w:r>
      <w:r>
        <w:rPr>
          <w:spacing w:val="-3"/>
        </w:rPr>
        <w:t xml:space="preserve"> </w:t>
      </w:r>
      <w:r>
        <w:t>of</w:t>
      </w:r>
      <w:r>
        <w:rPr>
          <w:spacing w:val="-3"/>
        </w:rPr>
        <w:t xml:space="preserve"> </w:t>
      </w:r>
      <w:r>
        <w:t>the</w:t>
      </w:r>
      <w:r>
        <w:rPr>
          <w:spacing w:val="-3"/>
        </w:rPr>
        <w:t xml:space="preserve"> </w:t>
      </w:r>
      <w:r>
        <w:t>engagement,</w:t>
      </w:r>
      <w:r>
        <w:rPr>
          <w:spacing w:val="-3"/>
        </w:rPr>
        <w:t xml:space="preserve"> </w:t>
      </w:r>
      <w:r>
        <w:t>identification</w:t>
      </w:r>
      <w:r>
        <w:rPr>
          <w:spacing w:val="-3"/>
        </w:rPr>
        <w:t xml:space="preserve"> </w:t>
      </w:r>
      <w:r>
        <w:t>of</w:t>
      </w:r>
      <w:r>
        <w:rPr>
          <w:spacing w:val="-3"/>
        </w:rPr>
        <w:t xml:space="preserve"> </w:t>
      </w:r>
      <w:r>
        <w:t>any</w:t>
      </w:r>
      <w:r>
        <w:rPr>
          <w:spacing w:val="-4"/>
        </w:rPr>
        <w:t xml:space="preserve"> </w:t>
      </w:r>
      <w:r>
        <w:t>other</w:t>
      </w:r>
      <w:r>
        <w:rPr>
          <w:spacing w:val="-3"/>
        </w:rPr>
        <w:t xml:space="preserve"> </w:t>
      </w:r>
      <w:r>
        <w:t>parties,</w:t>
      </w:r>
      <w:r>
        <w:rPr>
          <w:spacing w:val="-3"/>
        </w:rPr>
        <w:t xml:space="preserve"> </w:t>
      </w:r>
      <w:r>
        <w:t>in addition to the engaging party, that will be requested to agree to the procedures and acknowledge that the procedures performed are appropriate for their purposes. If the request is expected to be made by the engaging party, a statement that the engaging party agrees to provide, at the conclusion of the engagement, a written representation that the engaging party has obtained from all necessary other parties agreement to the procedures and acknowledgment that the procedures performed are appropriate for their purposes.</w:t>
      </w:r>
    </w:p>
    <w:p w14:paraId="0DFDB2D1" w14:textId="77777777" w:rsidR="00046465" w:rsidRDefault="008134EB">
      <w:pPr>
        <w:pStyle w:val="ListParagraph"/>
        <w:numPr>
          <w:ilvl w:val="1"/>
          <w:numId w:val="11"/>
        </w:numPr>
        <w:tabs>
          <w:tab w:val="left" w:pos="2159"/>
        </w:tabs>
        <w:ind w:right="1173" w:hanging="361"/>
      </w:pPr>
      <w:r>
        <w:t>If</w:t>
      </w:r>
      <w:r>
        <w:rPr>
          <w:spacing w:val="-4"/>
        </w:rPr>
        <w:t xml:space="preserve"> </w:t>
      </w:r>
      <w:r>
        <w:t>the</w:t>
      </w:r>
      <w:r>
        <w:rPr>
          <w:spacing w:val="-4"/>
        </w:rPr>
        <w:t xml:space="preserve"> </w:t>
      </w:r>
      <w:r>
        <w:t>engaging</w:t>
      </w:r>
      <w:r>
        <w:rPr>
          <w:spacing w:val="-4"/>
        </w:rPr>
        <w:t xml:space="preserve"> </w:t>
      </w:r>
      <w:r>
        <w:t>party</w:t>
      </w:r>
      <w:r>
        <w:rPr>
          <w:spacing w:val="-4"/>
        </w:rPr>
        <w:t xml:space="preserve"> </w:t>
      </w:r>
      <w:r>
        <w:t>is</w:t>
      </w:r>
      <w:r>
        <w:rPr>
          <w:spacing w:val="-4"/>
        </w:rPr>
        <w:t xml:space="preserve"> </w:t>
      </w:r>
      <w:r>
        <w:t>not</w:t>
      </w:r>
      <w:r>
        <w:rPr>
          <w:spacing w:val="-4"/>
        </w:rPr>
        <w:t xml:space="preserve"> </w:t>
      </w:r>
      <w:r>
        <w:t>the</w:t>
      </w:r>
      <w:r>
        <w:rPr>
          <w:spacing w:val="-4"/>
        </w:rPr>
        <w:t xml:space="preserve"> </w:t>
      </w:r>
      <w:r>
        <w:t>responsible</w:t>
      </w:r>
      <w:r>
        <w:rPr>
          <w:spacing w:val="-4"/>
        </w:rPr>
        <w:t xml:space="preserve"> </w:t>
      </w:r>
      <w:r>
        <w:t>party,</w:t>
      </w:r>
      <w:r>
        <w:rPr>
          <w:spacing w:val="-4"/>
        </w:rPr>
        <w:t xml:space="preserve"> </w:t>
      </w:r>
      <w:r>
        <w:t>a</w:t>
      </w:r>
      <w:r>
        <w:rPr>
          <w:spacing w:val="-4"/>
        </w:rPr>
        <w:t xml:space="preserve"> </w:t>
      </w:r>
      <w:r>
        <w:t>statement</w:t>
      </w:r>
      <w:r>
        <w:rPr>
          <w:spacing w:val="-4"/>
        </w:rPr>
        <w:t xml:space="preserve"> </w:t>
      </w:r>
      <w:r>
        <w:t>that</w:t>
      </w:r>
      <w:r>
        <w:rPr>
          <w:spacing w:val="-4"/>
        </w:rPr>
        <w:t xml:space="preserve"> </w:t>
      </w:r>
      <w:r>
        <w:t>written representations may be requested from the responsible party.</w:t>
      </w:r>
    </w:p>
    <w:p w14:paraId="0DFDB2D2" w14:textId="77777777" w:rsidR="00046465" w:rsidRDefault="008134EB">
      <w:pPr>
        <w:pStyle w:val="ListParagraph"/>
        <w:numPr>
          <w:ilvl w:val="1"/>
          <w:numId w:val="11"/>
        </w:numPr>
        <w:tabs>
          <w:tab w:val="left" w:pos="2159"/>
        </w:tabs>
        <w:ind w:right="904" w:hanging="361"/>
      </w:pPr>
      <w:r>
        <w:t>Reference</w:t>
      </w:r>
      <w:r>
        <w:rPr>
          <w:spacing w:val="-4"/>
        </w:rPr>
        <w:t xml:space="preserve"> </w:t>
      </w:r>
      <w:r>
        <w:t>to</w:t>
      </w:r>
      <w:r>
        <w:rPr>
          <w:spacing w:val="-4"/>
        </w:rPr>
        <w:t xml:space="preserve"> </w:t>
      </w:r>
      <w:r>
        <w:t>the</w:t>
      </w:r>
      <w:r>
        <w:rPr>
          <w:spacing w:val="-4"/>
        </w:rPr>
        <w:t xml:space="preserve"> </w:t>
      </w:r>
      <w:r>
        <w:t>expected</w:t>
      </w:r>
      <w:r>
        <w:rPr>
          <w:spacing w:val="-4"/>
        </w:rPr>
        <w:t xml:space="preserve"> </w:t>
      </w:r>
      <w:r>
        <w:t>form</w:t>
      </w:r>
      <w:r>
        <w:rPr>
          <w:spacing w:val="-5"/>
        </w:rPr>
        <w:t xml:space="preserve"> </w:t>
      </w:r>
      <w:r>
        <w:t>and</w:t>
      </w:r>
      <w:r>
        <w:rPr>
          <w:spacing w:val="-4"/>
        </w:rPr>
        <w:t xml:space="preserve"> </w:t>
      </w:r>
      <w:r>
        <w:t>content</w:t>
      </w:r>
      <w:r>
        <w:rPr>
          <w:spacing w:val="-4"/>
        </w:rPr>
        <w:t xml:space="preserve"> </w:t>
      </w:r>
      <w:r>
        <w:t>of</w:t>
      </w:r>
      <w:r>
        <w:rPr>
          <w:spacing w:val="-4"/>
        </w:rPr>
        <w:t xml:space="preserve"> </w:t>
      </w:r>
      <w:r>
        <w:t>the</w:t>
      </w:r>
      <w:r>
        <w:rPr>
          <w:spacing w:val="-4"/>
        </w:rPr>
        <w:t xml:space="preserve"> </w:t>
      </w:r>
      <w:r>
        <w:t>agreed-upon</w:t>
      </w:r>
      <w:r>
        <w:rPr>
          <w:spacing w:val="-4"/>
        </w:rPr>
        <w:t xml:space="preserve"> </w:t>
      </w:r>
      <w:r>
        <w:t>procedures report, including any use restrictions, if applicable.</w:t>
      </w:r>
    </w:p>
    <w:p w14:paraId="0DFDB2D3" w14:textId="77777777" w:rsidR="00046465" w:rsidRDefault="008134EB">
      <w:pPr>
        <w:pStyle w:val="ListParagraph"/>
        <w:numPr>
          <w:ilvl w:val="1"/>
          <w:numId w:val="11"/>
        </w:numPr>
        <w:tabs>
          <w:tab w:val="left" w:pos="2159"/>
        </w:tabs>
        <w:spacing w:before="121"/>
        <w:ind w:right="819"/>
      </w:pPr>
      <w:r>
        <w:t>Disclaimers</w:t>
      </w:r>
      <w:r>
        <w:rPr>
          <w:spacing w:val="-5"/>
        </w:rPr>
        <w:t xml:space="preserve"> </w:t>
      </w:r>
      <w:r>
        <w:t>expected</w:t>
      </w:r>
      <w:r>
        <w:rPr>
          <w:spacing w:val="-4"/>
        </w:rPr>
        <w:t xml:space="preserve"> </w:t>
      </w:r>
      <w:r>
        <w:t>to</w:t>
      </w:r>
      <w:r>
        <w:rPr>
          <w:spacing w:val="-5"/>
        </w:rPr>
        <w:t xml:space="preserve"> </w:t>
      </w:r>
      <w:r>
        <w:t>be</w:t>
      </w:r>
      <w:r>
        <w:rPr>
          <w:spacing w:val="-4"/>
        </w:rPr>
        <w:t xml:space="preserve"> </w:t>
      </w:r>
      <w:r>
        <w:t>included</w:t>
      </w:r>
      <w:r>
        <w:rPr>
          <w:spacing w:val="-5"/>
        </w:rPr>
        <w:t xml:space="preserve"> </w:t>
      </w:r>
      <w:r>
        <w:t>in</w:t>
      </w:r>
      <w:r>
        <w:rPr>
          <w:spacing w:val="-4"/>
        </w:rPr>
        <w:t xml:space="preserve"> </w:t>
      </w:r>
      <w:r>
        <w:t>the</w:t>
      </w:r>
      <w:r>
        <w:rPr>
          <w:spacing w:val="-3"/>
        </w:rPr>
        <w:t xml:space="preserve"> </w:t>
      </w:r>
      <w:r>
        <w:t>agreed-upon</w:t>
      </w:r>
      <w:r>
        <w:rPr>
          <w:spacing w:val="-4"/>
        </w:rPr>
        <w:t xml:space="preserve"> </w:t>
      </w:r>
      <w:r>
        <w:t>procedures</w:t>
      </w:r>
      <w:r>
        <w:rPr>
          <w:spacing w:val="-4"/>
        </w:rPr>
        <w:t xml:space="preserve"> </w:t>
      </w:r>
      <w:r>
        <w:t>report,</w:t>
      </w:r>
      <w:r>
        <w:rPr>
          <w:spacing w:val="-4"/>
        </w:rPr>
        <w:t xml:space="preserve"> </w:t>
      </w:r>
      <w:r>
        <w:t xml:space="preserve">if </w:t>
      </w:r>
      <w:r>
        <w:rPr>
          <w:spacing w:val="-2"/>
        </w:rPr>
        <w:t>applicable.</w:t>
      </w:r>
    </w:p>
    <w:p w14:paraId="0DFDB2D4" w14:textId="77777777" w:rsidR="00046465" w:rsidRDefault="008134EB">
      <w:pPr>
        <w:pStyle w:val="ListParagraph"/>
        <w:numPr>
          <w:ilvl w:val="1"/>
          <w:numId w:val="11"/>
        </w:numPr>
        <w:tabs>
          <w:tab w:val="left" w:pos="2159"/>
        </w:tabs>
        <w:spacing w:before="119"/>
      </w:pPr>
      <w:r>
        <w:t>Assistance</w:t>
      </w:r>
      <w:r>
        <w:rPr>
          <w:spacing w:val="-6"/>
        </w:rPr>
        <w:t xml:space="preserve"> </w:t>
      </w:r>
      <w:r>
        <w:t>to</w:t>
      </w:r>
      <w:r>
        <w:rPr>
          <w:spacing w:val="-5"/>
        </w:rPr>
        <w:t xml:space="preserve"> </w:t>
      </w:r>
      <w:r>
        <w:t>be</w:t>
      </w:r>
      <w:r>
        <w:rPr>
          <w:spacing w:val="-5"/>
        </w:rPr>
        <w:t xml:space="preserve"> </w:t>
      </w:r>
      <w:r>
        <w:t>provided</w:t>
      </w:r>
      <w:r>
        <w:rPr>
          <w:spacing w:val="-5"/>
        </w:rPr>
        <w:t xml:space="preserve"> </w:t>
      </w:r>
      <w:r>
        <w:t>to</w:t>
      </w:r>
      <w:r>
        <w:rPr>
          <w:spacing w:val="-6"/>
        </w:rPr>
        <w:t xml:space="preserve"> </w:t>
      </w:r>
      <w:r>
        <w:t>the</w:t>
      </w:r>
      <w:r>
        <w:rPr>
          <w:spacing w:val="-5"/>
        </w:rPr>
        <w:t xml:space="preserve"> </w:t>
      </w:r>
      <w:r>
        <w:t>auditor,</w:t>
      </w:r>
      <w:r>
        <w:rPr>
          <w:spacing w:val="-5"/>
        </w:rPr>
        <w:t xml:space="preserve"> </w:t>
      </w:r>
      <w:r>
        <w:t>if</w:t>
      </w:r>
      <w:r>
        <w:rPr>
          <w:spacing w:val="-5"/>
        </w:rPr>
        <w:t xml:space="preserve"> </w:t>
      </w:r>
      <w:r>
        <w:rPr>
          <w:spacing w:val="-2"/>
        </w:rPr>
        <w:t>applicable.</w:t>
      </w:r>
    </w:p>
    <w:p w14:paraId="0DFDB2D5" w14:textId="77777777" w:rsidR="00046465" w:rsidRDefault="008134EB">
      <w:pPr>
        <w:pStyle w:val="ListParagraph"/>
        <w:numPr>
          <w:ilvl w:val="1"/>
          <w:numId w:val="11"/>
        </w:numPr>
        <w:tabs>
          <w:tab w:val="left" w:pos="2158"/>
          <w:tab w:val="left" w:pos="2160"/>
        </w:tabs>
        <w:ind w:left="2160" w:right="1491" w:hanging="361"/>
      </w:pPr>
      <w:r>
        <w:t>Involvement</w:t>
      </w:r>
      <w:r>
        <w:rPr>
          <w:spacing w:val="-5"/>
        </w:rPr>
        <w:t xml:space="preserve"> </w:t>
      </w:r>
      <w:r>
        <w:t>of</w:t>
      </w:r>
      <w:r>
        <w:rPr>
          <w:spacing w:val="-4"/>
        </w:rPr>
        <w:t xml:space="preserve"> </w:t>
      </w:r>
      <w:r>
        <w:t>an</w:t>
      </w:r>
      <w:r>
        <w:rPr>
          <w:spacing w:val="-4"/>
        </w:rPr>
        <w:t xml:space="preserve"> </w:t>
      </w:r>
      <w:r>
        <w:t>auditor’s</w:t>
      </w:r>
      <w:r>
        <w:rPr>
          <w:spacing w:val="-4"/>
        </w:rPr>
        <w:t xml:space="preserve"> </w:t>
      </w:r>
      <w:r>
        <w:t>external</w:t>
      </w:r>
      <w:r>
        <w:rPr>
          <w:spacing w:val="-5"/>
        </w:rPr>
        <w:t xml:space="preserve"> </w:t>
      </w:r>
      <w:r>
        <w:t>specialist,</w:t>
      </w:r>
      <w:r>
        <w:rPr>
          <w:spacing w:val="-4"/>
        </w:rPr>
        <w:t xml:space="preserve"> </w:t>
      </w:r>
      <w:r>
        <w:t>if</w:t>
      </w:r>
      <w:r>
        <w:rPr>
          <w:spacing w:val="-7"/>
        </w:rPr>
        <w:t xml:space="preserve"> </w:t>
      </w:r>
      <w:r>
        <w:t>applicable</w:t>
      </w:r>
      <w:r>
        <w:rPr>
          <w:spacing w:val="-3"/>
        </w:rPr>
        <w:t xml:space="preserve"> </w:t>
      </w:r>
      <w:r>
        <w:t>(see</w:t>
      </w:r>
      <w:r>
        <w:rPr>
          <w:spacing w:val="-4"/>
        </w:rPr>
        <w:t xml:space="preserve"> </w:t>
      </w:r>
      <w:r>
        <w:t xml:space="preserve">AT-C </w:t>
      </w:r>
      <w:r>
        <w:rPr>
          <w:spacing w:val="-2"/>
        </w:rPr>
        <w:t>215.19).</w:t>
      </w:r>
    </w:p>
    <w:p w14:paraId="0DFDB2D6" w14:textId="77777777" w:rsidR="00046465" w:rsidRDefault="00046465">
      <w:pPr>
        <w:pStyle w:val="ListParagraph"/>
        <w:sectPr w:rsidR="00046465">
          <w:pgSz w:w="12240" w:h="15840"/>
          <w:pgMar w:top="1340" w:right="720" w:bottom="940" w:left="1080" w:header="721" w:footer="757" w:gutter="0"/>
          <w:cols w:space="720"/>
        </w:sectPr>
      </w:pPr>
    </w:p>
    <w:p w14:paraId="0DFDB2D7" w14:textId="77777777" w:rsidR="00046465" w:rsidRDefault="008134EB">
      <w:pPr>
        <w:pStyle w:val="ListParagraph"/>
        <w:numPr>
          <w:ilvl w:val="1"/>
          <w:numId w:val="11"/>
        </w:numPr>
        <w:tabs>
          <w:tab w:val="left" w:pos="2159"/>
        </w:tabs>
        <w:spacing w:before="121"/>
        <w:ind w:hanging="359"/>
      </w:pPr>
      <w:r>
        <w:lastRenderedPageBreak/>
        <w:t>Specified</w:t>
      </w:r>
      <w:r>
        <w:rPr>
          <w:spacing w:val="-8"/>
        </w:rPr>
        <w:t xml:space="preserve"> </w:t>
      </w:r>
      <w:r>
        <w:t>thresholds</w:t>
      </w:r>
      <w:r>
        <w:rPr>
          <w:spacing w:val="-8"/>
        </w:rPr>
        <w:t xml:space="preserve"> </w:t>
      </w:r>
      <w:r>
        <w:t>for</w:t>
      </w:r>
      <w:r>
        <w:rPr>
          <w:spacing w:val="-8"/>
        </w:rPr>
        <w:t xml:space="preserve"> </w:t>
      </w:r>
      <w:r>
        <w:t>reporting</w:t>
      </w:r>
      <w:r>
        <w:rPr>
          <w:spacing w:val="-8"/>
        </w:rPr>
        <w:t xml:space="preserve"> </w:t>
      </w:r>
      <w:r>
        <w:t>exceptions,</w:t>
      </w:r>
      <w:r>
        <w:rPr>
          <w:spacing w:val="-8"/>
        </w:rPr>
        <w:t xml:space="preserve"> </w:t>
      </w:r>
      <w:r>
        <w:t>if</w:t>
      </w:r>
      <w:r>
        <w:rPr>
          <w:spacing w:val="-8"/>
        </w:rPr>
        <w:t xml:space="preserve"> </w:t>
      </w:r>
      <w:r>
        <w:rPr>
          <w:spacing w:val="-2"/>
        </w:rPr>
        <w:t>applicable.</w:t>
      </w:r>
    </w:p>
    <w:p w14:paraId="0DFDB2D8" w14:textId="77777777" w:rsidR="00046465" w:rsidRDefault="008134EB">
      <w:pPr>
        <w:pStyle w:val="ListParagraph"/>
        <w:numPr>
          <w:ilvl w:val="0"/>
          <w:numId w:val="11"/>
        </w:numPr>
        <w:tabs>
          <w:tab w:val="left" w:pos="1800"/>
        </w:tabs>
        <w:ind w:left="1800" w:right="911"/>
      </w:pPr>
      <w:r>
        <w:t>The</w:t>
      </w:r>
      <w:r>
        <w:rPr>
          <w:spacing w:val="-4"/>
        </w:rPr>
        <w:t xml:space="preserve"> </w:t>
      </w:r>
      <w:r>
        <w:t>procedures</w:t>
      </w:r>
      <w:r>
        <w:rPr>
          <w:spacing w:val="-4"/>
        </w:rPr>
        <w:t xml:space="preserve"> </w:t>
      </w:r>
      <w:r>
        <w:t>to</w:t>
      </w:r>
      <w:r>
        <w:rPr>
          <w:spacing w:val="-4"/>
        </w:rPr>
        <w:t xml:space="preserve"> </w:t>
      </w:r>
      <w:r>
        <w:t>be</w:t>
      </w:r>
      <w:r>
        <w:rPr>
          <w:spacing w:val="-4"/>
        </w:rPr>
        <w:t xml:space="preserve"> </w:t>
      </w:r>
      <w:r>
        <w:t>enumerated</w:t>
      </w:r>
      <w:r>
        <w:rPr>
          <w:spacing w:val="-4"/>
        </w:rPr>
        <w:t xml:space="preserve"> </w:t>
      </w:r>
      <w:r>
        <w:t>or</w:t>
      </w:r>
      <w:r>
        <w:rPr>
          <w:spacing w:val="-4"/>
        </w:rPr>
        <w:t xml:space="preserve"> </w:t>
      </w:r>
      <w:r>
        <w:t>referred</w:t>
      </w:r>
      <w:r>
        <w:rPr>
          <w:spacing w:val="-4"/>
        </w:rPr>
        <w:t xml:space="preserve"> </w:t>
      </w:r>
      <w:r>
        <w:t>to</w:t>
      </w:r>
      <w:r>
        <w:rPr>
          <w:spacing w:val="-4"/>
        </w:rPr>
        <w:t xml:space="preserve"> </w:t>
      </w:r>
      <w:r>
        <w:t>in</w:t>
      </w:r>
      <w:r>
        <w:rPr>
          <w:spacing w:val="-4"/>
        </w:rPr>
        <w:t xml:space="preserve"> </w:t>
      </w:r>
      <w:r>
        <w:t>the</w:t>
      </w:r>
      <w:r>
        <w:rPr>
          <w:spacing w:val="-4"/>
        </w:rPr>
        <w:t xml:space="preserve"> </w:t>
      </w:r>
      <w:r>
        <w:t>agreed-upon</w:t>
      </w:r>
      <w:r>
        <w:rPr>
          <w:spacing w:val="-4"/>
        </w:rPr>
        <w:t xml:space="preserve"> </w:t>
      </w:r>
      <w:r>
        <w:t>procedures report should be performed by the engagement team, which may include participating practitioners,</w:t>
      </w:r>
      <w:hyperlink w:anchor="_bookmark55" w:history="1">
        <w:r>
          <w:rPr>
            <w:position w:val="7"/>
            <w:sz w:val="14"/>
          </w:rPr>
          <w:t>12</w:t>
        </w:r>
      </w:hyperlink>
      <w:r>
        <w:rPr>
          <w:spacing w:val="37"/>
          <w:position w:val="7"/>
          <w:sz w:val="14"/>
        </w:rPr>
        <w:t xml:space="preserve"> </w:t>
      </w:r>
      <w:r>
        <w:t>and not by internal auditors (AT-C 215.21).</w:t>
      </w:r>
    </w:p>
    <w:p w14:paraId="0DFDB2D9" w14:textId="77777777" w:rsidR="00046465" w:rsidRDefault="008134EB">
      <w:pPr>
        <w:pStyle w:val="ListParagraph"/>
        <w:numPr>
          <w:ilvl w:val="0"/>
          <w:numId w:val="11"/>
        </w:numPr>
        <w:tabs>
          <w:tab w:val="left" w:pos="1800"/>
        </w:tabs>
        <w:ind w:left="1800" w:right="739"/>
      </w:pPr>
      <w:r>
        <w:t>The auditor should perform procedures agreed to and acknowledged by the engaging</w:t>
      </w:r>
      <w:r>
        <w:rPr>
          <w:spacing w:val="-4"/>
        </w:rPr>
        <w:t xml:space="preserve"> </w:t>
      </w:r>
      <w:r>
        <w:t>party</w:t>
      </w:r>
      <w:r>
        <w:rPr>
          <w:spacing w:val="-4"/>
        </w:rPr>
        <w:t xml:space="preserve"> </w:t>
      </w:r>
      <w:r>
        <w:t>to</w:t>
      </w:r>
      <w:r>
        <w:rPr>
          <w:spacing w:val="-4"/>
        </w:rPr>
        <w:t xml:space="preserve"> </w:t>
      </w:r>
      <w:r>
        <w:t>meet</w:t>
      </w:r>
      <w:r>
        <w:rPr>
          <w:spacing w:val="-4"/>
        </w:rPr>
        <w:t xml:space="preserve"> </w:t>
      </w:r>
      <w:r>
        <w:t>the</w:t>
      </w:r>
      <w:r>
        <w:rPr>
          <w:spacing w:val="-4"/>
        </w:rPr>
        <w:t xml:space="preserve"> </w:t>
      </w:r>
      <w:r>
        <w:t>intended</w:t>
      </w:r>
      <w:r>
        <w:rPr>
          <w:spacing w:val="-5"/>
        </w:rPr>
        <w:t xml:space="preserve"> </w:t>
      </w:r>
      <w:r>
        <w:t>purpose</w:t>
      </w:r>
      <w:r>
        <w:rPr>
          <w:spacing w:val="-4"/>
        </w:rPr>
        <w:t xml:space="preserve"> </w:t>
      </w:r>
      <w:r>
        <w:t>of</w:t>
      </w:r>
      <w:r>
        <w:rPr>
          <w:spacing w:val="-4"/>
        </w:rPr>
        <w:t xml:space="preserve"> </w:t>
      </w:r>
      <w:r>
        <w:t>the</w:t>
      </w:r>
      <w:r>
        <w:rPr>
          <w:spacing w:val="-4"/>
        </w:rPr>
        <w:t xml:space="preserve"> </w:t>
      </w:r>
      <w:r>
        <w:t>engagement</w:t>
      </w:r>
      <w:r>
        <w:rPr>
          <w:spacing w:val="-4"/>
        </w:rPr>
        <w:t xml:space="preserve"> </w:t>
      </w:r>
      <w:r>
        <w:t>established</w:t>
      </w:r>
      <w:r>
        <w:rPr>
          <w:spacing w:val="-4"/>
        </w:rPr>
        <w:t xml:space="preserve"> </w:t>
      </w:r>
      <w:r>
        <w:t>with the engaging party (AT-C 215.16). The auditor should not perform procedures that are open to varying interpretations or use vague or ambiguous language.</w:t>
      </w:r>
    </w:p>
    <w:p w14:paraId="0DFDB2DA" w14:textId="77777777" w:rsidR="00046465" w:rsidRDefault="008134EB">
      <w:pPr>
        <w:pStyle w:val="BodyText"/>
        <w:ind w:left="1800" w:right="749"/>
      </w:pPr>
      <w:r>
        <w:t>Terms</w:t>
      </w:r>
      <w:r>
        <w:rPr>
          <w:spacing w:val="-4"/>
        </w:rPr>
        <w:t xml:space="preserve"> </w:t>
      </w:r>
      <w:r>
        <w:t>of</w:t>
      </w:r>
      <w:r>
        <w:rPr>
          <w:spacing w:val="-4"/>
        </w:rPr>
        <w:t xml:space="preserve"> </w:t>
      </w:r>
      <w:r>
        <w:t>uncertain</w:t>
      </w:r>
      <w:r>
        <w:rPr>
          <w:spacing w:val="-4"/>
        </w:rPr>
        <w:t xml:space="preserve"> </w:t>
      </w:r>
      <w:r>
        <w:t>meaning</w:t>
      </w:r>
      <w:r>
        <w:rPr>
          <w:spacing w:val="-4"/>
        </w:rPr>
        <w:t xml:space="preserve"> </w:t>
      </w:r>
      <w:r>
        <w:t>(such</w:t>
      </w:r>
      <w:r>
        <w:rPr>
          <w:spacing w:val="-4"/>
        </w:rPr>
        <w:t xml:space="preserve"> </w:t>
      </w:r>
      <w:r>
        <w:t>as</w:t>
      </w:r>
      <w:r>
        <w:rPr>
          <w:spacing w:val="-4"/>
        </w:rPr>
        <w:t xml:space="preserve"> </w:t>
      </w:r>
      <w:r>
        <w:t>general</w:t>
      </w:r>
      <w:r>
        <w:rPr>
          <w:spacing w:val="-4"/>
        </w:rPr>
        <w:t xml:space="preserve"> </w:t>
      </w:r>
      <w:r>
        <w:t>review,</w:t>
      </w:r>
      <w:r>
        <w:rPr>
          <w:spacing w:val="-4"/>
        </w:rPr>
        <w:t xml:space="preserve"> </w:t>
      </w:r>
      <w:r>
        <w:t>limited</w:t>
      </w:r>
      <w:r>
        <w:rPr>
          <w:spacing w:val="-5"/>
        </w:rPr>
        <w:t xml:space="preserve"> </w:t>
      </w:r>
      <w:r>
        <w:t>review,</w:t>
      </w:r>
      <w:r>
        <w:rPr>
          <w:spacing w:val="-4"/>
        </w:rPr>
        <w:t xml:space="preserve"> </w:t>
      </w:r>
      <w:r>
        <w:t>check,</w:t>
      </w:r>
      <w:r>
        <w:rPr>
          <w:spacing w:val="-4"/>
        </w:rPr>
        <w:t xml:space="preserve"> </w:t>
      </w:r>
      <w:r>
        <w:t>or test) should not be used in describing the procedures unless such terms are defined within the procedures (AT-C 215.17).</w:t>
      </w:r>
    </w:p>
    <w:p w14:paraId="0DFDB2DB" w14:textId="77777777" w:rsidR="00046465" w:rsidRDefault="008134EB">
      <w:pPr>
        <w:pStyle w:val="ListParagraph"/>
        <w:numPr>
          <w:ilvl w:val="0"/>
          <w:numId w:val="11"/>
        </w:numPr>
        <w:tabs>
          <w:tab w:val="left" w:pos="1800"/>
        </w:tabs>
        <w:ind w:left="1800" w:right="750"/>
      </w:pPr>
      <w:r>
        <w:t>The</w:t>
      </w:r>
      <w:r>
        <w:rPr>
          <w:spacing w:val="-4"/>
        </w:rPr>
        <w:t xml:space="preserve"> </w:t>
      </w:r>
      <w:r>
        <w:t>auditor</w:t>
      </w:r>
      <w:r>
        <w:rPr>
          <w:spacing w:val="-6"/>
        </w:rPr>
        <w:t xml:space="preserve"> </w:t>
      </w:r>
      <w:r>
        <w:t>should</w:t>
      </w:r>
      <w:r>
        <w:rPr>
          <w:spacing w:val="-4"/>
        </w:rPr>
        <w:t xml:space="preserve"> </w:t>
      </w:r>
      <w:r>
        <w:t>obtain</w:t>
      </w:r>
      <w:r>
        <w:rPr>
          <w:spacing w:val="-4"/>
        </w:rPr>
        <w:t xml:space="preserve"> </w:t>
      </w:r>
      <w:r>
        <w:t>evidence</w:t>
      </w:r>
      <w:r>
        <w:rPr>
          <w:spacing w:val="-4"/>
        </w:rPr>
        <w:t xml:space="preserve"> </w:t>
      </w:r>
      <w:r>
        <w:t>from</w:t>
      </w:r>
      <w:r>
        <w:rPr>
          <w:spacing w:val="-5"/>
        </w:rPr>
        <w:t xml:space="preserve"> </w:t>
      </w:r>
      <w:r>
        <w:t>applying</w:t>
      </w:r>
      <w:r>
        <w:rPr>
          <w:spacing w:val="-4"/>
        </w:rPr>
        <w:t xml:space="preserve"> </w:t>
      </w:r>
      <w:r>
        <w:t>the</w:t>
      </w:r>
      <w:r>
        <w:rPr>
          <w:spacing w:val="-4"/>
        </w:rPr>
        <w:t xml:space="preserve"> </w:t>
      </w:r>
      <w:r>
        <w:t>agreed-upon</w:t>
      </w:r>
      <w:r>
        <w:rPr>
          <w:spacing w:val="-4"/>
        </w:rPr>
        <w:t xml:space="preserve"> </w:t>
      </w:r>
      <w:r>
        <w:t>procedures</w:t>
      </w:r>
      <w:r>
        <w:rPr>
          <w:spacing w:val="-4"/>
        </w:rPr>
        <w:t xml:space="preserve"> </w:t>
      </w:r>
      <w:r>
        <w:t>to provide a reasonable basis for the finding(s) expressed in the agreed-upon procedures report but need not perform additional procedures outside the scope of the engagement to gather additional evidence (AT-C 215.18). If matters come to the auditor’s attention by other means that significantly contradict the subject matter, the auditor should discuss the matter with the engaging party and take appropriate action, including determining whether the agreed-upon procedures report should be revised to disclose the matter (AT-C 215.40). For example, if during the course of applying agreed-upon procedures regarding an entity’s internal control, the auditor becomes aware of a material weakness by means other than performance of the agreed-upon procedures, the auditor may include this matter in the report (AT-C 215.A72). The auditor may do this by mentioning the material weakness with a footnote reference to another report where it is described in detail.</w:t>
      </w:r>
    </w:p>
    <w:p w14:paraId="0DFDB2DC" w14:textId="77777777" w:rsidR="00046465" w:rsidRDefault="008134EB">
      <w:pPr>
        <w:pStyle w:val="ListParagraph"/>
        <w:numPr>
          <w:ilvl w:val="0"/>
          <w:numId w:val="11"/>
        </w:numPr>
        <w:tabs>
          <w:tab w:val="left" w:pos="1801"/>
        </w:tabs>
        <w:ind w:left="1801" w:right="748"/>
      </w:pPr>
      <w:r>
        <w:t>In the event the auditor encounters known or suspected fraud or noncompliance with laws, regulations, contracts, or grant agreements in connection with the engagement, the auditor should consider responsibilities under the AICPA Code of Professional Conduct and applicable law prior to communicating such information either to the responsible party or to the engaging party (AT-C 215.41 and</w:t>
      </w:r>
      <w:r>
        <w:rPr>
          <w:spacing w:val="-2"/>
        </w:rPr>
        <w:t xml:space="preserve"> </w:t>
      </w:r>
      <w:r>
        <w:t>GAGAS</w:t>
      </w:r>
      <w:r>
        <w:rPr>
          <w:spacing w:val="-1"/>
        </w:rPr>
        <w:t xml:space="preserve"> </w:t>
      </w:r>
      <w:r>
        <w:t>(2018)</w:t>
      </w:r>
      <w:r>
        <w:rPr>
          <w:spacing w:val="-2"/>
        </w:rPr>
        <w:t xml:space="preserve"> </w:t>
      </w:r>
      <w:r>
        <w:t>7.17).</w:t>
      </w:r>
      <w:r>
        <w:rPr>
          <w:spacing w:val="-2"/>
        </w:rPr>
        <w:t xml:space="preserve"> </w:t>
      </w:r>
      <w:r>
        <w:t>Disclosure</w:t>
      </w:r>
      <w:r>
        <w:rPr>
          <w:spacing w:val="-3"/>
        </w:rPr>
        <w:t xml:space="preserve"> </w:t>
      </w:r>
      <w:r>
        <w:t>of</w:t>
      </w:r>
      <w:r>
        <w:rPr>
          <w:spacing w:val="-2"/>
        </w:rPr>
        <w:t xml:space="preserve"> </w:t>
      </w:r>
      <w:r>
        <w:t>confidential</w:t>
      </w:r>
      <w:r>
        <w:rPr>
          <w:spacing w:val="-2"/>
        </w:rPr>
        <w:t xml:space="preserve"> </w:t>
      </w:r>
      <w:r>
        <w:t>information</w:t>
      </w:r>
      <w:r>
        <w:rPr>
          <w:spacing w:val="-2"/>
        </w:rPr>
        <w:t xml:space="preserve"> </w:t>
      </w:r>
      <w:r>
        <w:t>as</w:t>
      </w:r>
      <w:r>
        <w:rPr>
          <w:spacing w:val="-2"/>
        </w:rPr>
        <w:t xml:space="preserve"> </w:t>
      </w:r>
      <w:r>
        <w:t>defined</w:t>
      </w:r>
      <w:r>
        <w:rPr>
          <w:spacing w:val="-2"/>
        </w:rPr>
        <w:t xml:space="preserve"> </w:t>
      </w:r>
      <w:r>
        <w:t>in</w:t>
      </w:r>
      <w:r>
        <w:rPr>
          <w:spacing w:val="-2"/>
        </w:rPr>
        <w:t xml:space="preserve"> </w:t>
      </w:r>
      <w:r>
        <w:t>the AICPA Code of Professional Conduct requires the explicit consent of the engaging party or the responsible party, as appropriate. In circumstances in which such matters are identified, the auditor may consider discussing with legal counsel</w:t>
      </w:r>
      <w:r>
        <w:rPr>
          <w:spacing w:val="-4"/>
        </w:rPr>
        <w:t xml:space="preserve"> </w:t>
      </w:r>
      <w:r>
        <w:t>or</w:t>
      </w:r>
      <w:r>
        <w:rPr>
          <w:spacing w:val="-4"/>
        </w:rPr>
        <w:t xml:space="preserve"> </w:t>
      </w:r>
      <w:r>
        <w:t>others</w:t>
      </w:r>
      <w:r>
        <w:rPr>
          <w:spacing w:val="-4"/>
        </w:rPr>
        <w:t xml:space="preserve"> </w:t>
      </w:r>
      <w:r>
        <w:t>prior</w:t>
      </w:r>
      <w:r>
        <w:rPr>
          <w:spacing w:val="-4"/>
        </w:rPr>
        <w:t xml:space="preserve"> </w:t>
      </w:r>
      <w:r>
        <w:t>to</w:t>
      </w:r>
      <w:r>
        <w:rPr>
          <w:spacing w:val="-4"/>
        </w:rPr>
        <w:t xml:space="preserve"> </w:t>
      </w:r>
      <w:r>
        <w:t>communicating</w:t>
      </w:r>
      <w:r>
        <w:rPr>
          <w:spacing w:val="-4"/>
        </w:rPr>
        <w:t xml:space="preserve"> </w:t>
      </w:r>
      <w:r>
        <w:t>or</w:t>
      </w:r>
      <w:r>
        <w:rPr>
          <w:spacing w:val="-4"/>
        </w:rPr>
        <w:t xml:space="preserve"> </w:t>
      </w:r>
      <w:r>
        <w:t>taking</w:t>
      </w:r>
      <w:r>
        <w:rPr>
          <w:spacing w:val="-4"/>
        </w:rPr>
        <w:t xml:space="preserve"> </w:t>
      </w:r>
      <w:r>
        <w:t>further</w:t>
      </w:r>
      <w:r>
        <w:rPr>
          <w:spacing w:val="-4"/>
        </w:rPr>
        <w:t xml:space="preserve"> </w:t>
      </w:r>
      <w:r>
        <w:t>action</w:t>
      </w:r>
      <w:r>
        <w:rPr>
          <w:spacing w:val="-4"/>
        </w:rPr>
        <w:t xml:space="preserve"> </w:t>
      </w:r>
      <w:r>
        <w:t>(AT-C</w:t>
      </w:r>
      <w:r>
        <w:rPr>
          <w:spacing w:val="-5"/>
        </w:rPr>
        <w:t xml:space="preserve"> </w:t>
      </w:r>
      <w:r>
        <w:t>215.A74).</w:t>
      </w:r>
    </w:p>
    <w:p w14:paraId="0DFDB2DD" w14:textId="77777777" w:rsidR="00046465" w:rsidRDefault="008134EB">
      <w:pPr>
        <w:pStyle w:val="ListParagraph"/>
        <w:numPr>
          <w:ilvl w:val="0"/>
          <w:numId w:val="11"/>
        </w:numPr>
        <w:tabs>
          <w:tab w:val="left" w:pos="1801"/>
        </w:tabs>
        <w:spacing w:before="119"/>
        <w:ind w:left="1801" w:right="1092" w:hanging="720"/>
      </w:pPr>
      <w:r>
        <w:t>When circumstances impose restrictions on performing the agreed-upon procedures,</w:t>
      </w:r>
      <w:r>
        <w:rPr>
          <w:spacing w:val="-5"/>
        </w:rPr>
        <w:t xml:space="preserve"> </w:t>
      </w:r>
      <w:r>
        <w:t>the</w:t>
      </w:r>
      <w:r>
        <w:rPr>
          <w:spacing w:val="-4"/>
        </w:rPr>
        <w:t xml:space="preserve"> </w:t>
      </w:r>
      <w:r>
        <w:t>auditor</w:t>
      </w:r>
      <w:r>
        <w:rPr>
          <w:spacing w:val="-4"/>
        </w:rPr>
        <w:t xml:space="preserve"> </w:t>
      </w:r>
      <w:r>
        <w:t>should</w:t>
      </w:r>
      <w:r>
        <w:rPr>
          <w:spacing w:val="-4"/>
        </w:rPr>
        <w:t xml:space="preserve"> </w:t>
      </w:r>
      <w:r>
        <w:t>discuss</w:t>
      </w:r>
      <w:r>
        <w:rPr>
          <w:spacing w:val="-4"/>
        </w:rPr>
        <w:t xml:space="preserve"> </w:t>
      </w:r>
      <w:r>
        <w:t>with</w:t>
      </w:r>
      <w:r>
        <w:rPr>
          <w:spacing w:val="-4"/>
        </w:rPr>
        <w:t xml:space="preserve"> </w:t>
      </w:r>
      <w:r>
        <w:t>the</w:t>
      </w:r>
      <w:r>
        <w:rPr>
          <w:spacing w:val="-4"/>
        </w:rPr>
        <w:t xml:space="preserve"> </w:t>
      </w:r>
      <w:r>
        <w:t>engaging</w:t>
      </w:r>
      <w:r>
        <w:rPr>
          <w:spacing w:val="-4"/>
        </w:rPr>
        <w:t xml:space="preserve"> </w:t>
      </w:r>
      <w:r>
        <w:t>party</w:t>
      </w:r>
      <w:r>
        <w:rPr>
          <w:spacing w:val="-4"/>
        </w:rPr>
        <w:t xml:space="preserve"> </w:t>
      </w:r>
      <w:r>
        <w:t>whether</w:t>
      </w:r>
      <w:r>
        <w:rPr>
          <w:spacing w:val="-4"/>
        </w:rPr>
        <w:t xml:space="preserve"> </w:t>
      </w:r>
      <w:r>
        <w:t>those restrictions are appropriate and, if so, describe them in the agreed-upon procedures report (AT-C 215.39).</w:t>
      </w:r>
    </w:p>
    <w:p w14:paraId="0DFDB2DE" w14:textId="77777777" w:rsidR="00046465" w:rsidRDefault="008134EB">
      <w:pPr>
        <w:pStyle w:val="Heading4"/>
        <w:spacing w:before="121"/>
      </w:pPr>
      <w:bookmarkStart w:id="142" w:name="Written_Representations"/>
      <w:bookmarkEnd w:id="142"/>
      <w:r>
        <w:t>Written</w:t>
      </w:r>
      <w:r>
        <w:rPr>
          <w:spacing w:val="-12"/>
        </w:rPr>
        <w:t xml:space="preserve"> </w:t>
      </w:r>
      <w:r>
        <w:rPr>
          <w:spacing w:val="-2"/>
        </w:rPr>
        <w:t>Representations</w:t>
      </w:r>
    </w:p>
    <w:p w14:paraId="0DFDB2DF" w14:textId="77777777" w:rsidR="00046465" w:rsidRDefault="008134EB">
      <w:pPr>
        <w:pStyle w:val="ListParagraph"/>
        <w:numPr>
          <w:ilvl w:val="0"/>
          <w:numId w:val="192"/>
        </w:numPr>
        <w:tabs>
          <w:tab w:val="left" w:pos="1800"/>
        </w:tabs>
        <w:ind w:right="750"/>
      </w:pPr>
      <w:r>
        <w:t>The</w:t>
      </w:r>
      <w:r>
        <w:rPr>
          <w:spacing w:val="-4"/>
        </w:rPr>
        <w:t xml:space="preserve"> </w:t>
      </w:r>
      <w:r>
        <w:t>auditor</w:t>
      </w:r>
      <w:r>
        <w:rPr>
          <w:spacing w:val="-6"/>
        </w:rPr>
        <w:t xml:space="preserve"> </w:t>
      </w:r>
      <w:r>
        <w:t>should</w:t>
      </w:r>
      <w:r>
        <w:rPr>
          <w:spacing w:val="-4"/>
        </w:rPr>
        <w:t xml:space="preserve"> </w:t>
      </w:r>
      <w:r>
        <w:t>request</w:t>
      </w:r>
      <w:r>
        <w:rPr>
          <w:spacing w:val="-4"/>
        </w:rPr>
        <w:t xml:space="preserve"> </w:t>
      </w:r>
      <w:r>
        <w:t>from</w:t>
      </w:r>
      <w:r>
        <w:rPr>
          <w:spacing w:val="-5"/>
        </w:rPr>
        <w:t xml:space="preserve"> </w:t>
      </w:r>
      <w:r>
        <w:t>the</w:t>
      </w:r>
      <w:r>
        <w:rPr>
          <w:spacing w:val="-4"/>
        </w:rPr>
        <w:t xml:space="preserve"> </w:t>
      </w:r>
      <w:r>
        <w:t>engaging</w:t>
      </w:r>
      <w:r>
        <w:rPr>
          <w:spacing w:val="-4"/>
        </w:rPr>
        <w:t xml:space="preserve"> </w:t>
      </w:r>
      <w:r>
        <w:t>party</w:t>
      </w:r>
      <w:r>
        <w:rPr>
          <w:spacing w:val="-4"/>
        </w:rPr>
        <w:t xml:space="preserve"> </w:t>
      </w:r>
      <w:r>
        <w:t>written</w:t>
      </w:r>
      <w:r>
        <w:rPr>
          <w:spacing w:val="-4"/>
        </w:rPr>
        <w:t xml:space="preserve"> </w:t>
      </w:r>
      <w:r>
        <w:t>representations</w:t>
      </w:r>
      <w:r>
        <w:rPr>
          <w:spacing w:val="-4"/>
        </w:rPr>
        <w:t xml:space="preserve"> </w:t>
      </w:r>
      <w:r>
        <w:t>in</w:t>
      </w:r>
      <w:r>
        <w:rPr>
          <w:spacing w:val="-2"/>
        </w:rPr>
        <w:t xml:space="preserve"> </w:t>
      </w:r>
      <w:r>
        <w:t>the form of a letter addressed to the auditor (AT-C 215.27). The date of the written representations should be as of the date of the agreed-upon procedures report.</w:t>
      </w:r>
    </w:p>
    <w:p w14:paraId="0DFDB2E0" w14:textId="77777777" w:rsidR="00046465" w:rsidRDefault="008134EB">
      <w:pPr>
        <w:pStyle w:val="BodyText"/>
        <w:spacing w:before="173"/>
        <w:rPr>
          <w:sz w:val="20"/>
        </w:rPr>
      </w:pPr>
      <w:r>
        <w:rPr>
          <w:noProof/>
          <w:sz w:val="20"/>
        </w:rPr>
        <mc:AlternateContent>
          <mc:Choice Requires="wps">
            <w:drawing>
              <wp:anchor distT="0" distB="0" distL="0" distR="0" simplePos="0" relativeHeight="487618560" behindDoc="1" locked="0" layoutInCell="1" allowOverlap="1" wp14:anchorId="0DFDD58B" wp14:editId="0DFDD58C">
                <wp:simplePos x="0" y="0"/>
                <wp:positionH relativeFrom="page">
                  <wp:posOffset>914400</wp:posOffset>
                </wp:positionH>
                <wp:positionV relativeFrom="paragraph">
                  <wp:posOffset>271735</wp:posOffset>
                </wp:positionV>
                <wp:extent cx="1828800" cy="5715"/>
                <wp:effectExtent l="0" t="0" r="0" b="0"/>
                <wp:wrapTopAndBottom/>
                <wp:docPr id="321" name="Graphic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36EF65" id="Graphic 321" o:spid="_x0000_s1026" style="position:absolute;margin-left:1in;margin-top:21.4pt;width:2in;height:.45pt;z-index:-1569792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" path="m1828800,l,,,5334r1828800,l1828800,xe" fillcolor="black" stroked="f">
                <v:path arrowok="t"/>
                <w10:wrap type="topAndBottom" anchorx="page"/>
              </v:shape>
            </w:pict>
          </mc:Fallback>
        </mc:AlternateContent>
      </w:r>
    </w:p>
    <w:p w14:paraId="0DFDB2E1" w14:textId="77777777" w:rsidR="00046465" w:rsidRDefault="00046465">
      <w:pPr>
        <w:pStyle w:val="BodyText"/>
        <w:spacing w:before="53"/>
        <w:rPr>
          <w:sz w:val="18"/>
        </w:rPr>
      </w:pPr>
    </w:p>
    <w:p w14:paraId="0DFDB2E2" w14:textId="77777777" w:rsidR="00046465" w:rsidRDefault="008134EB">
      <w:pPr>
        <w:spacing w:line="244" w:lineRule="auto"/>
        <w:ind w:left="359" w:right="749"/>
        <w:rPr>
          <w:sz w:val="18"/>
        </w:rPr>
      </w:pPr>
      <w:bookmarkStart w:id="143" w:name="_bookmark55"/>
      <w:bookmarkEnd w:id="143"/>
      <w:r>
        <w:rPr>
          <w:position w:val="7"/>
          <w:sz w:val="14"/>
        </w:rPr>
        <w:t>12</w:t>
      </w:r>
      <w:r>
        <w:rPr>
          <w:sz w:val="18"/>
        </w:rPr>
        <w:t>A</w:t>
      </w:r>
      <w:r>
        <w:rPr>
          <w:spacing w:val="-2"/>
          <w:sz w:val="18"/>
        </w:rPr>
        <w:t xml:space="preserve"> </w:t>
      </w:r>
      <w:r>
        <w:rPr>
          <w:sz w:val="18"/>
        </w:rPr>
        <w:t>participating</w:t>
      </w:r>
      <w:r>
        <w:rPr>
          <w:spacing w:val="-1"/>
          <w:sz w:val="18"/>
        </w:rPr>
        <w:t xml:space="preserve"> </w:t>
      </w:r>
      <w:r>
        <w:rPr>
          <w:sz w:val="18"/>
        </w:rPr>
        <w:t>practitioner</w:t>
      </w:r>
      <w:r>
        <w:rPr>
          <w:spacing w:val="-2"/>
          <w:sz w:val="18"/>
        </w:rPr>
        <w:t xml:space="preserve"> </w:t>
      </w:r>
      <w:r>
        <w:rPr>
          <w:sz w:val="18"/>
        </w:rPr>
        <w:t>is</w:t>
      </w:r>
      <w:r>
        <w:rPr>
          <w:spacing w:val="-2"/>
          <w:sz w:val="18"/>
        </w:rPr>
        <w:t xml:space="preserve"> </w:t>
      </w:r>
      <w:r>
        <w:rPr>
          <w:sz w:val="18"/>
        </w:rPr>
        <w:t>part</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engagement</w:t>
      </w:r>
      <w:r>
        <w:rPr>
          <w:spacing w:val="-2"/>
          <w:sz w:val="18"/>
        </w:rPr>
        <w:t xml:space="preserve"> </w:t>
      </w:r>
      <w:r>
        <w:rPr>
          <w:sz w:val="18"/>
        </w:rPr>
        <w:t>team</w:t>
      </w:r>
      <w:r>
        <w:rPr>
          <w:spacing w:val="-2"/>
          <w:sz w:val="18"/>
        </w:rPr>
        <w:t xml:space="preserve"> </w:t>
      </w:r>
      <w:r>
        <w:rPr>
          <w:sz w:val="18"/>
        </w:rPr>
        <w:t>and</w:t>
      </w:r>
      <w:r>
        <w:rPr>
          <w:spacing w:val="-3"/>
          <w:sz w:val="18"/>
        </w:rPr>
        <w:t xml:space="preserve"> </w:t>
      </w:r>
      <w:r>
        <w:rPr>
          <w:sz w:val="18"/>
        </w:rPr>
        <w:t>performs</w:t>
      </w:r>
      <w:r>
        <w:rPr>
          <w:spacing w:val="-2"/>
          <w:sz w:val="18"/>
        </w:rPr>
        <w:t xml:space="preserve"> </w:t>
      </w:r>
      <w:r>
        <w:rPr>
          <w:sz w:val="18"/>
        </w:rPr>
        <w:t>attestation</w:t>
      </w:r>
      <w:r>
        <w:rPr>
          <w:spacing w:val="-3"/>
          <w:sz w:val="18"/>
        </w:rPr>
        <w:t xml:space="preserve"> </w:t>
      </w:r>
      <w:r>
        <w:rPr>
          <w:sz w:val="18"/>
        </w:rPr>
        <w:t>work</w:t>
      </w:r>
      <w:r>
        <w:rPr>
          <w:spacing w:val="-2"/>
          <w:sz w:val="18"/>
        </w:rPr>
        <w:t xml:space="preserve"> </w:t>
      </w:r>
      <w:r>
        <w:rPr>
          <w:sz w:val="18"/>
        </w:rPr>
        <w:t>related</w:t>
      </w:r>
      <w:r>
        <w:rPr>
          <w:spacing w:val="-3"/>
          <w:sz w:val="18"/>
        </w:rPr>
        <w:t xml:space="preserve"> </w:t>
      </w:r>
      <w:r>
        <w:rPr>
          <w:sz w:val="18"/>
        </w:rPr>
        <w:t>to</w:t>
      </w:r>
      <w:r>
        <w:rPr>
          <w:spacing w:val="-3"/>
          <w:sz w:val="18"/>
        </w:rPr>
        <w:t xml:space="preserve"> </w:t>
      </w:r>
      <w:r>
        <w:rPr>
          <w:sz w:val="18"/>
        </w:rPr>
        <w:t>a</w:t>
      </w:r>
      <w:r>
        <w:rPr>
          <w:spacing w:val="-3"/>
          <w:sz w:val="18"/>
        </w:rPr>
        <w:t xml:space="preserve"> </w:t>
      </w:r>
      <w:r>
        <w:rPr>
          <w:sz w:val="18"/>
        </w:rPr>
        <w:t>portion</w:t>
      </w:r>
      <w:r>
        <w:rPr>
          <w:spacing w:val="-3"/>
          <w:sz w:val="18"/>
        </w:rPr>
        <w:t xml:space="preserve"> </w:t>
      </w:r>
      <w:r>
        <w:rPr>
          <w:sz w:val="18"/>
        </w:rPr>
        <w:t>of</w:t>
      </w:r>
      <w:r>
        <w:rPr>
          <w:spacing w:val="-2"/>
          <w:sz w:val="18"/>
        </w:rPr>
        <w:t xml:space="preserve"> </w:t>
      </w:r>
      <w:r>
        <w:rPr>
          <w:sz w:val="18"/>
        </w:rPr>
        <w:t>the subject matter for purposes of the attestation engagement (AT-C 105.12). A participating practitioner may be part of the auditor’s organization or another organization (AT-C 100.A68).</w:t>
      </w:r>
    </w:p>
    <w:p w14:paraId="0DFDB2E3" w14:textId="77777777" w:rsidR="00046465" w:rsidRDefault="00046465">
      <w:pPr>
        <w:spacing w:line="244" w:lineRule="auto"/>
        <w:rPr>
          <w:sz w:val="18"/>
        </w:rPr>
        <w:sectPr w:rsidR="00046465">
          <w:pgSz w:w="12240" w:h="15840"/>
          <w:pgMar w:top="1340" w:right="720" w:bottom="940" w:left="1080" w:header="721" w:footer="757" w:gutter="0"/>
          <w:cols w:space="720"/>
        </w:sectPr>
      </w:pPr>
    </w:p>
    <w:p w14:paraId="0DFDB2E4" w14:textId="77777777" w:rsidR="00046465" w:rsidRDefault="008134EB">
      <w:pPr>
        <w:pStyle w:val="BodyText"/>
        <w:spacing w:before="121"/>
        <w:ind w:left="1800" w:right="749" w:hanging="1"/>
      </w:pPr>
      <w:r>
        <w:lastRenderedPageBreak/>
        <w:t>The</w:t>
      </w:r>
      <w:r>
        <w:rPr>
          <w:spacing w:val="-4"/>
        </w:rPr>
        <w:t xml:space="preserve"> </w:t>
      </w:r>
      <w:r>
        <w:t>representations</w:t>
      </w:r>
      <w:r>
        <w:rPr>
          <w:spacing w:val="-3"/>
        </w:rPr>
        <w:t xml:space="preserve"> </w:t>
      </w:r>
      <w:r>
        <w:t>should</w:t>
      </w:r>
      <w:r>
        <w:rPr>
          <w:spacing w:val="-4"/>
        </w:rPr>
        <w:t xml:space="preserve"> </w:t>
      </w:r>
      <w:r>
        <w:t>address</w:t>
      </w:r>
      <w:r>
        <w:rPr>
          <w:spacing w:val="-5"/>
        </w:rPr>
        <w:t xml:space="preserve"> </w:t>
      </w:r>
      <w:r>
        <w:t>the</w:t>
      </w:r>
      <w:r>
        <w:rPr>
          <w:spacing w:val="-4"/>
        </w:rPr>
        <w:t xml:space="preserve"> </w:t>
      </w:r>
      <w:r>
        <w:t>subject</w:t>
      </w:r>
      <w:r>
        <w:rPr>
          <w:spacing w:val="-5"/>
        </w:rPr>
        <w:t xml:space="preserve"> </w:t>
      </w:r>
      <w:r>
        <w:t>matter</w:t>
      </w:r>
      <w:r>
        <w:rPr>
          <w:spacing w:val="-4"/>
        </w:rPr>
        <w:t xml:space="preserve"> </w:t>
      </w:r>
      <w:r>
        <w:t>and</w:t>
      </w:r>
      <w:r>
        <w:rPr>
          <w:spacing w:val="-4"/>
        </w:rPr>
        <w:t xml:space="preserve"> </w:t>
      </w:r>
      <w:r>
        <w:t>periods</w:t>
      </w:r>
      <w:r>
        <w:rPr>
          <w:spacing w:val="-4"/>
        </w:rPr>
        <w:t xml:space="preserve"> </w:t>
      </w:r>
      <w:r>
        <w:t>covered</w:t>
      </w:r>
      <w:r>
        <w:rPr>
          <w:spacing w:val="-4"/>
        </w:rPr>
        <w:t xml:space="preserve"> </w:t>
      </w:r>
      <w:r>
        <w:t>by the auditor’s findings. (AT-C 215.29) The representations should include the following (AT-C 215.27):</w:t>
      </w:r>
    </w:p>
    <w:p w14:paraId="0DFDB2E5" w14:textId="77777777" w:rsidR="00046465" w:rsidRDefault="008134EB">
      <w:pPr>
        <w:pStyle w:val="ListParagraph"/>
        <w:numPr>
          <w:ilvl w:val="1"/>
          <w:numId w:val="192"/>
        </w:numPr>
        <w:tabs>
          <w:tab w:val="left" w:pos="2159"/>
        </w:tabs>
        <w:spacing w:before="119"/>
        <w:ind w:left="2159" w:hanging="359"/>
      </w:pPr>
      <w:r>
        <w:t>A</w:t>
      </w:r>
      <w:r>
        <w:rPr>
          <w:spacing w:val="-7"/>
        </w:rPr>
        <w:t xml:space="preserve"> </w:t>
      </w:r>
      <w:r>
        <w:t>statement</w:t>
      </w:r>
      <w:r>
        <w:rPr>
          <w:spacing w:val="-6"/>
        </w:rPr>
        <w:t xml:space="preserve"> </w:t>
      </w:r>
      <w:r>
        <w:t>that</w:t>
      </w:r>
      <w:r>
        <w:rPr>
          <w:spacing w:val="-6"/>
        </w:rPr>
        <w:t xml:space="preserve"> </w:t>
      </w:r>
      <w:r>
        <w:t>the</w:t>
      </w:r>
      <w:r>
        <w:rPr>
          <w:spacing w:val="-6"/>
        </w:rPr>
        <w:t xml:space="preserve"> </w:t>
      </w:r>
      <w:r>
        <w:t>responsible</w:t>
      </w:r>
      <w:r>
        <w:rPr>
          <w:spacing w:val="-6"/>
        </w:rPr>
        <w:t xml:space="preserve"> </w:t>
      </w:r>
      <w:r>
        <w:t>party</w:t>
      </w:r>
      <w:r>
        <w:rPr>
          <w:spacing w:val="-6"/>
        </w:rPr>
        <w:t xml:space="preserve"> </w:t>
      </w:r>
      <w:r>
        <w:t>is</w:t>
      </w:r>
      <w:r>
        <w:rPr>
          <w:spacing w:val="-6"/>
        </w:rPr>
        <w:t xml:space="preserve"> </w:t>
      </w:r>
      <w:r>
        <w:t>responsible</w:t>
      </w:r>
      <w:r>
        <w:rPr>
          <w:spacing w:val="-6"/>
        </w:rPr>
        <w:t xml:space="preserve"> </w:t>
      </w:r>
      <w:r>
        <w:t>for</w:t>
      </w:r>
      <w:r>
        <w:rPr>
          <w:spacing w:val="-6"/>
        </w:rPr>
        <w:t xml:space="preserve"> </w:t>
      </w:r>
      <w:r>
        <w:t>the</w:t>
      </w:r>
      <w:r>
        <w:rPr>
          <w:spacing w:val="-7"/>
        </w:rPr>
        <w:t xml:space="preserve"> </w:t>
      </w:r>
      <w:r>
        <w:t>subject</w:t>
      </w:r>
      <w:r>
        <w:rPr>
          <w:spacing w:val="-6"/>
        </w:rPr>
        <w:t xml:space="preserve"> </w:t>
      </w:r>
      <w:r>
        <w:rPr>
          <w:spacing w:val="-2"/>
        </w:rPr>
        <w:t>matter.</w:t>
      </w:r>
    </w:p>
    <w:p w14:paraId="0DFDB2E6" w14:textId="77777777" w:rsidR="00046465" w:rsidRDefault="008134EB">
      <w:pPr>
        <w:pStyle w:val="ListParagraph"/>
        <w:numPr>
          <w:ilvl w:val="1"/>
          <w:numId w:val="192"/>
        </w:numPr>
        <w:tabs>
          <w:tab w:val="left" w:pos="2158"/>
          <w:tab w:val="left" w:pos="2160"/>
        </w:tabs>
        <w:spacing w:before="121"/>
        <w:ind w:right="734" w:hanging="361"/>
      </w:pPr>
      <w:r>
        <w:t>If applicable, a statement that the engaging party has obtained from all necessary</w:t>
      </w:r>
      <w:r>
        <w:rPr>
          <w:spacing w:val="-6"/>
        </w:rPr>
        <w:t xml:space="preserve"> </w:t>
      </w:r>
      <w:r>
        <w:t>parties</w:t>
      </w:r>
      <w:r>
        <w:rPr>
          <w:spacing w:val="-5"/>
        </w:rPr>
        <w:t xml:space="preserve"> </w:t>
      </w:r>
      <w:r>
        <w:t>agreement</w:t>
      </w:r>
      <w:r>
        <w:rPr>
          <w:spacing w:val="-5"/>
        </w:rPr>
        <w:t xml:space="preserve"> </w:t>
      </w:r>
      <w:r>
        <w:t>to</w:t>
      </w:r>
      <w:r>
        <w:rPr>
          <w:spacing w:val="-5"/>
        </w:rPr>
        <w:t xml:space="preserve"> </w:t>
      </w:r>
      <w:r>
        <w:t>the</w:t>
      </w:r>
      <w:r>
        <w:rPr>
          <w:spacing w:val="-5"/>
        </w:rPr>
        <w:t xml:space="preserve"> </w:t>
      </w:r>
      <w:r>
        <w:t>procedures</w:t>
      </w:r>
      <w:r>
        <w:rPr>
          <w:spacing w:val="-6"/>
        </w:rPr>
        <w:t xml:space="preserve"> </w:t>
      </w:r>
      <w:r>
        <w:t>and</w:t>
      </w:r>
      <w:r>
        <w:rPr>
          <w:spacing w:val="-5"/>
        </w:rPr>
        <w:t xml:space="preserve"> </w:t>
      </w:r>
      <w:r>
        <w:t>acknowledgment</w:t>
      </w:r>
      <w:r>
        <w:rPr>
          <w:spacing w:val="-5"/>
        </w:rPr>
        <w:t xml:space="preserve"> </w:t>
      </w:r>
      <w:r>
        <w:t>that</w:t>
      </w:r>
      <w:r>
        <w:rPr>
          <w:spacing w:val="-5"/>
        </w:rPr>
        <w:t xml:space="preserve"> </w:t>
      </w:r>
      <w:r>
        <w:t>the procedures are appropriate for their purposes.</w:t>
      </w:r>
    </w:p>
    <w:p w14:paraId="0DFDB2E7" w14:textId="77777777" w:rsidR="00046465" w:rsidRDefault="008134EB">
      <w:pPr>
        <w:pStyle w:val="ListParagraph"/>
        <w:numPr>
          <w:ilvl w:val="1"/>
          <w:numId w:val="192"/>
        </w:numPr>
        <w:tabs>
          <w:tab w:val="left" w:pos="2160"/>
        </w:tabs>
        <w:spacing w:before="119"/>
        <w:ind w:right="871"/>
      </w:pPr>
      <w:r>
        <w:t>A</w:t>
      </w:r>
      <w:r>
        <w:rPr>
          <w:spacing w:val="-11"/>
        </w:rPr>
        <w:t xml:space="preserve"> </w:t>
      </w:r>
      <w:r>
        <w:t>statement</w:t>
      </w:r>
      <w:r>
        <w:rPr>
          <w:spacing w:val="-10"/>
        </w:rPr>
        <w:t xml:space="preserve"> </w:t>
      </w:r>
      <w:r>
        <w:t>that</w:t>
      </w:r>
      <w:r>
        <w:rPr>
          <w:spacing w:val="-11"/>
        </w:rPr>
        <w:t xml:space="preserve"> </w:t>
      </w:r>
      <w:r>
        <w:t>the</w:t>
      </w:r>
      <w:r>
        <w:rPr>
          <w:spacing w:val="-11"/>
        </w:rPr>
        <w:t xml:space="preserve"> </w:t>
      </w:r>
      <w:r>
        <w:t>engaging</w:t>
      </w:r>
      <w:r>
        <w:rPr>
          <w:spacing w:val="-11"/>
        </w:rPr>
        <w:t xml:space="preserve"> </w:t>
      </w:r>
      <w:r>
        <w:t>party</w:t>
      </w:r>
      <w:r>
        <w:rPr>
          <w:spacing w:val="-9"/>
        </w:rPr>
        <w:t xml:space="preserve"> </w:t>
      </w:r>
      <w:r>
        <w:t>has</w:t>
      </w:r>
      <w:r>
        <w:rPr>
          <w:spacing w:val="-10"/>
        </w:rPr>
        <w:t xml:space="preserve"> </w:t>
      </w:r>
      <w:r>
        <w:t>provided</w:t>
      </w:r>
      <w:r>
        <w:rPr>
          <w:spacing w:val="-11"/>
        </w:rPr>
        <w:t xml:space="preserve"> </w:t>
      </w:r>
      <w:r>
        <w:t>the</w:t>
      </w:r>
      <w:r>
        <w:rPr>
          <w:spacing w:val="-11"/>
        </w:rPr>
        <w:t xml:space="preserve"> </w:t>
      </w:r>
      <w:r>
        <w:t>auditor</w:t>
      </w:r>
      <w:r>
        <w:rPr>
          <w:spacing w:val="-10"/>
        </w:rPr>
        <w:t xml:space="preserve"> </w:t>
      </w:r>
      <w:r>
        <w:t>with</w:t>
      </w:r>
      <w:r>
        <w:rPr>
          <w:spacing w:val="-11"/>
        </w:rPr>
        <w:t xml:space="preserve"> </w:t>
      </w:r>
      <w:r>
        <w:t>all</w:t>
      </w:r>
      <w:r>
        <w:rPr>
          <w:spacing w:val="-10"/>
        </w:rPr>
        <w:t xml:space="preserve"> </w:t>
      </w:r>
      <w:r>
        <w:t xml:space="preserve">relevant information and access, as applicable, as agreed upon in the terms of the </w:t>
      </w:r>
      <w:r>
        <w:rPr>
          <w:spacing w:val="-2"/>
        </w:rPr>
        <w:t>engagement.</w:t>
      </w:r>
    </w:p>
    <w:p w14:paraId="0DFDB2E8" w14:textId="77777777" w:rsidR="00046465" w:rsidRDefault="008134EB">
      <w:pPr>
        <w:pStyle w:val="ListParagraph"/>
        <w:numPr>
          <w:ilvl w:val="1"/>
          <w:numId w:val="192"/>
        </w:numPr>
        <w:tabs>
          <w:tab w:val="left" w:pos="2160"/>
        </w:tabs>
        <w:spacing w:before="121"/>
        <w:ind w:right="854"/>
      </w:pPr>
      <w:r>
        <w:t>A statement that all known matters contradicting the subject matter and any communication from regulatory agencies or others affecting the subject matter have been disclosed to the auditor, including communications received</w:t>
      </w:r>
      <w:r>
        <w:rPr>
          <w:spacing w:val="-4"/>
        </w:rPr>
        <w:t xml:space="preserve"> </w:t>
      </w:r>
      <w:r>
        <w:t>between</w:t>
      </w:r>
      <w:r>
        <w:rPr>
          <w:spacing w:val="-4"/>
        </w:rPr>
        <w:t xml:space="preserve"> </w:t>
      </w:r>
      <w:r>
        <w:t>the</w:t>
      </w:r>
      <w:r>
        <w:rPr>
          <w:spacing w:val="-4"/>
        </w:rPr>
        <w:t xml:space="preserve"> </w:t>
      </w:r>
      <w:r>
        <w:t>end</w:t>
      </w:r>
      <w:r>
        <w:rPr>
          <w:spacing w:val="-4"/>
        </w:rPr>
        <w:t xml:space="preserve"> </w:t>
      </w:r>
      <w:r>
        <w:t>of</w:t>
      </w:r>
      <w:r>
        <w:rPr>
          <w:spacing w:val="-4"/>
        </w:rPr>
        <w:t xml:space="preserve"> </w:t>
      </w:r>
      <w:r>
        <w:t>the</w:t>
      </w:r>
      <w:r>
        <w:rPr>
          <w:spacing w:val="-4"/>
        </w:rPr>
        <w:t xml:space="preserve"> </w:t>
      </w:r>
      <w:r>
        <w:t>period</w:t>
      </w:r>
      <w:r>
        <w:rPr>
          <w:spacing w:val="-4"/>
        </w:rPr>
        <w:t xml:space="preserve"> </w:t>
      </w:r>
      <w:r>
        <w:t>addressed</w:t>
      </w:r>
      <w:r>
        <w:rPr>
          <w:spacing w:val="-4"/>
        </w:rPr>
        <w:t xml:space="preserve"> </w:t>
      </w:r>
      <w:r>
        <w:t>by</w:t>
      </w:r>
      <w:r>
        <w:rPr>
          <w:spacing w:val="-4"/>
        </w:rPr>
        <w:t xml:space="preserve"> </w:t>
      </w:r>
      <w:r>
        <w:t>the</w:t>
      </w:r>
      <w:r>
        <w:rPr>
          <w:spacing w:val="-4"/>
        </w:rPr>
        <w:t xml:space="preserve"> </w:t>
      </w:r>
      <w:r>
        <w:t>subject</w:t>
      </w:r>
      <w:r>
        <w:rPr>
          <w:spacing w:val="-4"/>
        </w:rPr>
        <w:t xml:space="preserve"> </w:t>
      </w:r>
      <w:r>
        <w:t>matter</w:t>
      </w:r>
      <w:r>
        <w:rPr>
          <w:spacing w:val="-4"/>
        </w:rPr>
        <w:t xml:space="preserve"> </w:t>
      </w:r>
      <w:r>
        <w:t>and the date of the agreed-upon procedures report.</w:t>
      </w:r>
    </w:p>
    <w:p w14:paraId="0DFDB2E9" w14:textId="77777777" w:rsidR="00046465" w:rsidRDefault="008134EB">
      <w:pPr>
        <w:pStyle w:val="ListParagraph"/>
        <w:numPr>
          <w:ilvl w:val="1"/>
          <w:numId w:val="192"/>
        </w:numPr>
        <w:tabs>
          <w:tab w:val="left" w:pos="2160"/>
        </w:tabs>
        <w:spacing w:before="119"/>
        <w:ind w:right="2040"/>
      </w:pPr>
      <w:r>
        <w:t>A</w:t>
      </w:r>
      <w:r>
        <w:rPr>
          <w:spacing w:val="-5"/>
        </w:rPr>
        <w:t xml:space="preserve"> </w:t>
      </w:r>
      <w:r>
        <w:t>statement</w:t>
      </w:r>
      <w:r>
        <w:rPr>
          <w:spacing w:val="-4"/>
        </w:rPr>
        <w:t xml:space="preserve"> </w:t>
      </w:r>
      <w:r>
        <w:t>that</w:t>
      </w:r>
      <w:r>
        <w:rPr>
          <w:spacing w:val="-4"/>
        </w:rPr>
        <w:t xml:space="preserve"> </w:t>
      </w:r>
      <w:r>
        <w:t>the</w:t>
      </w:r>
      <w:r>
        <w:rPr>
          <w:spacing w:val="-4"/>
        </w:rPr>
        <w:t xml:space="preserve"> </w:t>
      </w:r>
      <w:r>
        <w:t>engaging</w:t>
      </w:r>
      <w:r>
        <w:rPr>
          <w:spacing w:val="-4"/>
        </w:rPr>
        <w:t xml:space="preserve"> </w:t>
      </w:r>
      <w:r>
        <w:t>party</w:t>
      </w:r>
      <w:r>
        <w:rPr>
          <w:spacing w:val="-3"/>
        </w:rPr>
        <w:t xml:space="preserve"> </w:t>
      </w:r>
      <w:r>
        <w:t>is</w:t>
      </w:r>
      <w:r>
        <w:rPr>
          <w:spacing w:val="-4"/>
        </w:rPr>
        <w:t xml:space="preserve"> </w:t>
      </w:r>
      <w:r>
        <w:t>not</w:t>
      </w:r>
      <w:r>
        <w:rPr>
          <w:spacing w:val="-4"/>
        </w:rPr>
        <w:t xml:space="preserve"> </w:t>
      </w:r>
      <w:r>
        <w:t>aware</w:t>
      </w:r>
      <w:r>
        <w:rPr>
          <w:spacing w:val="-4"/>
        </w:rPr>
        <w:t xml:space="preserve"> </w:t>
      </w:r>
      <w:r>
        <w:t>of</w:t>
      </w:r>
      <w:r>
        <w:rPr>
          <w:spacing w:val="-4"/>
        </w:rPr>
        <w:t xml:space="preserve"> </w:t>
      </w:r>
      <w:r>
        <w:t>any</w:t>
      </w:r>
      <w:r>
        <w:rPr>
          <w:spacing w:val="-4"/>
        </w:rPr>
        <w:t xml:space="preserve"> </w:t>
      </w:r>
      <w:r>
        <w:t>material misstatements in the subject matter.</w:t>
      </w:r>
    </w:p>
    <w:p w14:paraId="0DFDB2EA" w14:textId="77777777" w:rsidR="00046465" w:rsidRDefault="008134EB">
      <w:pPr>
        <w:pStyle w:val="ListParagraph"/>
        <w:numPr>
          <w:ilvl w:val="1"/>
          <w:numId w:val="192"/>
        </w:numPr>
        <w:tabs>
          <w:tab w:val="left" w:pos="2160"/>
        </w:tabs>
        <w:spacing w:before="121"/>
        <w:ind w:right="844"/>
      </w:pPr>
      <w:r>
        <w:t>A statement that the engaging party has disclosed to the auditor all known events</w:t>
      </w:r>
      <w:r>
        <w:rPr>
          <w:spacing w:val="-3"/>
        </w:rPr>
        <w:t xml:space="preserve"> </w:t>
      </w:r>
      <w:r>
        <w:t>subsequent</w:t>
      </w:r>
      <w:r>
        <w:rPr>
          <w:spacing w:val="-3"/>
        </w:rPr>
        <w:t xml:space="preserve"> </w:t>
      </w:r>
      <w:r>
        <w:t>to</w:t>
      </w:r>
      <w:r>
        <w:rPr>
          <w:spacing w:val="-3"/>
        </w:rPr>
        <w:t xml:space="preserve"> </w:t>
      </w:r>
      <w:r>
        <w:t>the</w:t>
      </w:r>
      <w:r>
        <w:rPr>
          <w:spacing w:val="-3"/>
        </w:rPr>
        <w:t xml:space="preserve"> </w:t>
      </w:r>
      <w:r>
        <w:t>period</w:t>
      </w:r>
      <w:r>
        <w:rPr>
          <w:spacing w:val="-3"/>
        </w:rPr>
        <w:t xml:space="preserve"> </w:t>
      </w:r>
      <w:r>
        <w:t>(or</w:t>
      </w:r>
      <w:r>
        <w:rPr>
          <w:spacing w:val="-5"/>
        </w:rPr>
        <w:t xml:space="preserve"> </w:t>
      </w:r>
      <w:r>
        <w:t>point</w:t>
      </w:r>
      <w:r>
        <w:rPr>
          <w:spacing w:val="-3"/>
        </w:rPr>
        <w:t xml:space="preserve"> </w:t>
      </w:r>
      <w:r>
        <w:t>in</w:t>
      </w:r>
      <w:r>
        <w:rPr>
          <w:spacing w:val="-3"/>
        </w:rPr>
        <w:t xml:space="preserve"> </w:t>
      </w:r>
      <w:r>
        <w:t>time)</w:t>
      </w:r>
      <w:r>
        <w:rPr>
          <w:spacing w:val="-3"/>
        </w:rPr>
        <w:t xml:space="preserve"> </w:t>
      </w:r>
      <w:r>
        <w:t>of</w:t>
      </w:r>
      <w:r>
        <w:rPr>
          <w:spacing w:val="-3"/>
        </w:rPr>
        <w:t xml:space="preserve"> </w:t>
      </w:r>
      <w:r>
        <w:t>the</w:t>
      </w:r>
      <w:r>
        <w:rPr>
          <w:spacing w:val="-3"/>
        </w:rPr>
        <w:t xml:space="preserve"> </w:t>
      </w:r>
      <w:r>
        <w:t>subject</w:t>
      </w:r>
      <w:r>
        <w:rPr>
          <w:spacing w:val="-3"/>
        </w:rPr>
        <w:t xml:space="preserve"> </w:t>
      </w:r>
      <w:r>
        <w:t>matter</w:t>
      </w:r>
      <w:r>
        <w:rPr>
          <w:spacing w:val="-3"/>
        </w:rPr>
        <w:t xml:space="preserve"> </w:t>
      </w:r>
      <w:r>
        <w:t>being reported on that would have a material effect on the subject matter.</w:t>
      </w:r>
    </w:p>
    <w:p w14:paraId="0DFDB2EB" w14:textId="77777777" w:rsidR="00046465" w:rsidRDefault="008134EB">
      <w:pPr>
        <w:pStyle w:val="ListParagraph"/>
        <w:numPr>
          <w:ilvl w:val="1"/>
          <w:numId w:val="192"/>
        </w:numPr>
        <w:tabs>
          <w:tab w:val="left" w:pos="2159"/>
        </w:tabs>
        <w:spacing w:before="119"/>
        <w:ind w:left="2159" w:hanging="359"/>
      </w:pPr>
      <w:r>
        <w:t>Any</w:t>
      </w:r>
      <w:r>
        <w:rPr>
          <w:spacing w:val="-8"/>
        </w:rPr>
        <w:t xml:space="preserve"> </w:t>
      </w:r>
      <w:r>
        <w:t>additional</w:t>
      </w:r>
      <w:r>
        <w:rPr>
          <w:spacing w:val="-8"/>
        </w:rPr>
        <w:t xml:space="preserve"> </w:t>
      </w:r>
      <w:r>
        <w:t>representations</w:t>
      </w:r>
      <w:r>
        <w:rPr>
          <w:spacing w:val="-8"/>
        </w:rPr>
        <w:t xml:space="preserve"> </w:t>
      </w:r>
      <w:r>
        <w:t>that</w:t>
      </w:r>
      <w:r>
        <w:rPr>
          <w:spacing w:val="-7"/>
        </w:rPr>
        <w:t xml:space="preserve"> </w:t>
      </w:r>
      <w:r>
        <w:t>the</w:t>
      </w:r>
      <w:r>
        <w:rPr>
          <w:spacing w:val="-8"/>
        </w:rPr>
        <w:t xml:space="preserve"> </w:t>
      </w:r>
      <w:r>
        <w:t>auditor</w:t>
      </w:r>
      <w:r>
        <w:rPr>
          <w:spacing w:val="-8"/>
        </w:rPr>
        <w:t xml:space="preserve"> </w:t>
      </w:r>
      <w:r>
        <w:t>determines</w:t>
      </w:r>
      <w:r>
        <w:rPr>
          <w:spacing w:val="-8"/>
        </w:rPr>
        <w:t xml:space="preserve"> </w:t>
      </w:r>
      <w:r>
        <w:t>are</w:t>
      </w:r>
      <w:r>
        <w:rPr>
          <w:spacing w:val="-7"/>
        </w:rPr>
        <w:t xml:space="preserve"> </w:t>
      </w:r>
      <w:r>
        <w:rPr>
          <w:spacing w:val="-2"/>
        </w:rPr>
        <w:t>appropriate.</w:t>
      </w:r>
    </w:p>
    <w:p w14:paraId="0DFDB2EC" w14:textId="77777777" w:rsidR="00046465" w:rsidRDefault="008134EB">
      <w:pPr>
        <w:pStyle w:val="BodyText"/>
        <w:spacing w:before="120"/>
        <w:ind w:left="1800" w:right="749" w:hanging="1"/>
      </w:pPr>
      <w:r>
        <w:t>FAM</w:t>
      </w:r>
      <w:r>
        <w:rPr>
          <w:spacing w:val="-4"/>
        </w:rPr>
        <w:t xml:space="preserve"> </w:t>
      </w:r>
      <w:r>
        <w:t>710</w:t>
      </w:r>
      <w:r>
        <w:rPr>
          <w:spacing w:val="-3"/>
        </w:rPr>
        <w:t xml:space="preserve"> </w:t>
      </w:r>
      <w:r>
        <w:t>B</w:t>
      </w:r>
      <w:r>
        <w:rPr>
          <w:spacing w:val="-2"/>
        </w:rPr>
        <w:t xml:space="preserve"> </w:t>
      </w:r>
      <w:r>
        <w:t>provides</w:t>
      </w:r>
      <w:r>
        <w:rPr>
          <w:spacing w:val="-3"/>
        </w:rPr>
        <w:t xml:space="preserve"> </w:t>
      </w:r>
      <w:r>
        <w:t>an</w:t>
      </w:r>
      <w:r>
        <w:rPr>
          <w:spacing w:val="-4"/>
        </w:rPr>
        <w:t xml:space="preserve"> </w:t>
      </w:r>
      <w:r>
        <w:t>example</w:t>
      </w:r>
      <w:r>
        <w:rPr>
          <w:spacing w:val="-3"/>
        </w:rPr>
        <w:t xml:space="preserve"> </w:t>
      </w:r>
      <w:r>
        <w:t>of</w:t>
      </w:r>
      <w:r>
        <w:rPr>
          <w:spacing w:val="-3"/>
        </w:rPr>
        <w:t xml:space="preserve"> </w:t>
      </w:r>
      <w:r>
        <w:t>an</w:t>
      </w:r>
      <w:r>
        <w:rPr>
          <w:spacing w:val="-3"/>
        </w:rPr>
        <w:t xml:space="preserve"> </w:t>
      </w:r>
      <w:r>
        <w:t>engaging</w:t>
      </w:r>
      <w:r>
        <w:rPr>
          <w:spacing w:val="-4"/>
        </w:rPr>
        <w:t xml:space="preserve"> </w:t>
      </w:r>
      <w:r>
        <w:t>party’s</w:t>
      </w:r>
      <w:r>
        <w:rPr>
          <w:spacing w:val="-3"/>
        </w:rPr>
        <w:t xml:space="preserve"> </w:t>
      </w:r>
      <w:r>
        <w:t>representation</w:t>
      </w:r>
      <w:r>
        <w:rPr>
          <w:spacing w:val="-3"/>
        </w:rPr>
        <w:t xml:space="preserve"> </w:t>
      </w:r>
      <w:r>
        <w:t>letter</w:t>
      </w:r>
      <w:r>
        <w:rPr>
          <w:spacing w:val="-3"/>
        </w:rPr>
        <w:t xml:space="preserve"> </w:t>
      </w:r>
      <w:r>
        <w:t>for an agreed-upon procedures engagement.</w:t>
      </w:r>
    </w:p>
    <w:p w14:paraId="0DFDB2ED" w14:textId="77777777" w:rsidR="00046465" w:rsidRDefault="008134EB">
      <w:pPr>
        <w:pStyle w:val="ListParagraph"/>
        <w:numPr>
          <w:ilvl w:val="0"/>
          <w:numId w:val="192"/>
        </w:numPr>
        <w:tabs>
          <w:tab w:val="left" w:pos="1799"/>
        </w:tabs>
        <w:spacing w:before="121"/>
        <w:ind w:left="1799" w:right="723" w:hanging="720"/>
      </w:pPr>
      <w:r>
        <w:t>When</w:t>
      </w:r>
      <w:r>
        <w:rPr>
          <w:spacing w:val="-3"/>
        </w:rPr>
        <w:t xml:space="preserve"> </w:t>
      </w:r>
      <w:r>
        <w:t>the</w:t>
      </w:r>
      <w:r>
        <w:rPr>
          <w:spacing w:val="-3"/>
        </w:rPr>
        <w:t xml:space="preserve"> </w:t>
      </w:r>
      <w:r>
        <w:t>engaging</w:t>
      </w:r>
      <w:r>
        <w:rPr>
          <w:spacing w:val="-3"/>
        </w:rPr>
        <w:t xml:space="preserve"> </w:t>
      </w:r>
      <w:r>
        <w:t>party</w:t>
      </w:r>
      <w:r>
        <w:rPr>
          <w:spacing w:val="-3"/>
        </w:rPr>
        <w:t xml:space="preserve"> </w:t>
      </w:r>
      <w:r>
        <w:t>is</w:t>
      </w:r>
      <w:r>
        <w:rPr>
          <w:spacing w:val="-3"/>
        </w:rPr>
        <w:t xml:space="preserve"> </w:t>
      </w:r>
      <w:r>
        <w:t>not</w:t>
      </w:r>
      <w:r>
        <w:rPr>
          <w:spacing w:val="-2"/>
        </w:rPr>
        <w:t xml:space="preserve"> </w:t>
      </w:r>
      <w:r>
        <w:t>the</w:t>
      </w:r>
      <w:r>
        <w:rPr>
          <w:spacing w:val="-4"/>
        </w:rPr>
        <w:t xml:space="preserve"> </w:t>
      </w:r>
      <w:r>
        <w:t>responsible</w:t>
      </w:r>
      <w:r>
        <w:rPr>
          <w:spacing w:val="-6"/>
        </w:rPr>
        <w:t xml:space="preserve"> </w:t>
      </w:r>
      <w:r>
        <w:t>party,</w:t>
      </w:r>
      <w:r>
        <w:rPr>
          <w:spacing w:val="-3"/>
        </w:rPr>
        <w:t xml:space="preserve"> </w:t>
      </w:r>
      <w:r>
        <w:t>the</w:t>
      </w:r>
      <w:r>
        <w:rPr>
          <w:spacing w:val="-3"/>
        </w:rPr>
        <w:t xml:space="preserve"> </w:t>
      </w:r>
      <w:r>
        <w:t>auditor</w:t>
      </w:r>
      <w:r>
        <w:rPr>
          <w:spacing w:val="-3"/>
        </w:rPr>
        <w:t xml:space="preserve"> </w:t>
      </w:r>
      <w:r>
        <w:t>should</w:t>
      </w:r>
      <w:r>
        <w:rPr>
          <w:spacing w:val="-4"/>
        </w:rPr>
        <w:t xml:space="preserve"> </w:t>
      </w:r>
      <w:r>
        <w:t>consider requesting the relevant written representations from the responsible party in the form of a letter addressed to the auditor (AT-C 215.28). FAM 710 C provides an example of a responsible party’s representation letter for an agreed-upon procedures engagement.</w:t>
      </w:r>
    </w:p>
    <w:p w14:paraId="0DFDB2EE" w14:textId="77777777" w:rsidR="00046465" w:rsidRDefault="008134EB">
      <w:pPr>
        <w:pStyle w:val="ListParagraph"/>
        <w:numPr>
          <w:ilvl w:val="0"/>
          <w:numId w:val="192"/>
        </w:numPr>
        <w:tabs>
          <w:tab w:val="left" w:pos="1799"/>
        </w:tabs>
        <w:ind w:left="1799" w:right="836"/>
      </w:pPr>
      <w:r>
        <w:t>When one or more of the requested written representations are not provided, or the auditor concludes either that there is sufficient doubt about the competence, integrity, ethical values, or diligence of those providing the written representations</w:t>
      </w:r>
      <w:r>
        <w:rPr>
          <w:spacing w:val="-3"/>
        </w:rPr>
        <w:t xml:space="preserve"> </w:t>
      </w:r>
      <w:r>
        <w:t>or</w:t>
      </w:r>
      <w:r>
        <w:rPr>
          <w:spacing w:val="-4"/>
        </w:rPr>
        <w:t xml:space="preserve"> </w:t>
      </w:r>
      <w:r>
        <w:t>that</w:t>
      </w:r>
      <w:r>
        <w:rPr>
          <w:spacing w:val="-4"/>
        </w:rPr>
        <w:t xml:space="preserve"> </w:t>
      </w:r>
      <w:r>
        <w:t>the</w:t>
      </w:r>
      <w:r>
        <w:rPr>
          <w:spacing w:val="-4"/>
        </w:rPr>
        <w:t xml:space="preserve"> </w:t>
      </w:r>
      <w:r>
        <w:t>written</w:t>
      </w:r>
      <w:r>
        <w:rPr>
          <w:spacing w:val="-4"/>
        </w:rPr>
        <w:t xml:space="preserve"> </w:t>
      </w:r>
      <w:r>
        <w:t>representations</w:t>
      </w:r>
      <w:r>
        <w:rPr>
          <w:spacing w:val="-4"/>
        </w:rPr>
        <w:t xml:space="preserve"> </w:t>
      </w:r>
      <w:r>
        <w:t>are</w:t>
      </w:r>
      <w:r>
        <w:rPr>
          <w:spacing w:val="-4"/>
        </w:rPr>
        <w:t xml:space="preserve"> </w:t>
      </w:r>
      <w:r>
        <w:t>otherwise</w:t>
      </w:r>
      <w:r>
        <w:rPr>
          <w:spacing w:val="-4"/>
        </w:rPr>
        <w:t xml:space="preserve"> </w:t>
      </w:r>
      <w:r>
        <w:t>not</w:t>
      </w:r>
      <w:r>
        <w:rPr>
          <w:spacing w:val="-4"/>
        </w:rPr>
        <w:t xml:space="preserve"> </w:t>
      </w:r>
      <w:r>
        <w:t>reliable,</w:t>
      </w:r>
      <w:r>
        <w:rPr>
          <w:spacing w:val="-4"/>
        </w:rPr>
        <w:t xml:space="preserve"> </w:t>
      </w:r>
      <w:r>
        <w:t>the auditor should</w:t>
      </w:r>
    </w:p>
    <w:p w14:paraId="0DFDB2EF" w14:textId="77777777" w:rsidR="00046465" w:rsidRDefault="008134EB">
      <w:pPr>
        <w:pStyle w:val="ListParagraph"/>
        <w:numPr>
          <w:ilvl w:val="1"/>
          <w:numId w:val="192"/>
        </w:numPr>
        <w:tabs>
          <w:tab w:val="left" w:pos="2159"/>
        </w:tabs>
        <w:ind w:left="2159" w:hanging="359"/>
      </w:pPr>
      <w:r>
        <w:t>discuss</w:t>
      </w:r>
      <w:r>
        <w:rPr>
          <w:spacing w:val="-6"/>
        </w:rPr>
        <w:t xml:space="preserve"> </w:t>
      </w:r>
      <w:r>
        <w:t>the</w:t>
      </w:r>
      <w:r>
        <w:rPr>
          <w:spacing w:val="-7"/>
        </w:rPr>
        <w:t xml:space="preserve"> </w:t>
      </w:r>
      <w:r>
        <w:t>matter</w:t>
      </w:r>
      <w:r>
        <w:rPr>
          <w:spacing w:val="-6"/>
        </w:rPr>
        <w:t xml:space="preserve"> </w:t>
      </w:r>
      <w:r>
        <w:t>with</w:t>
      </w:r>
      <w:r>
        <w:rPr>
          <w:spacing w:val="-6"/>
        </w:rPr>
        <w:t xml:space="preserve"> </w:t>
      </w:r>
      <w:r>
        <w:t>the</w:t>
      </w:r>
      <w:r>
        <w:rPr>
          <w:spacing w:val="-5"/>
        </w:rPr>
        <w:t xml:space="preserve"> </w:t>
      </w:r>
      <w:r>
        <w:t>engaging</w:t>
      </w:r>
      <w:r>
        <w:rPr>
          <w:spacing w:val="-7"/>
        </w:rPr>
        <w:t xml:space="preserve"> </w:t>
      </w:r>
      <w:r>
        <w:t>or</w:t>
      </w:r>
      <w:r>
        <w:rPr>
          <w:spacing w:val="-6"/>
        </w:rPr>
        <w:t xml:space="preserve"> </w:t>
      </w:r>
      <w:r>
        <w:t>responsible</w:t>
      </w:r>
      <w:r>
        <w:rPr>
          <w:spacing w:val="-6"/>
        </w:rPr>
        <w:t xml:space="preserve"> </w:t>
      </w:r>
      <w:r>
        <w:t>party,</w:t>
      </w:r>
      <w:r>
        <w:rPr>
          <w:spacing w:val="-5"/>
        </w:rPr>
        <w:t xml:space="preserve"> </w:t>
      </w:r>
      <w:r>
        <w:t>as</w:t>
      </w:r>
      <w:r>
        <w:rPr>
          <w:spacing w:val="-7"/>
        </w:rPr>
        <w:t xml:space="preserve"> </w:t>
      </w:r>
      <w:r>
        <w:rPr>
          <w:spacing w:val="-2"/>
        </w:rPr>
        <w:t>appropriate;</w:t>
      </w:r>
    </w:p>
    <w:p w14:paraId="0DFDB2F0" w14:textId="77777777" w:rsidR="00046465" w:rsidRDefault="008134EB">
      <w:pPr>
        <w:pStyle w:val="ListParagraph"/>
        <w:numPr>
          <w:ilvl w:val="1"/>
          <w:numId w:val="192"/>
        </w:numPr>
        <w:tabs>
          <w:tab w:val="left" w:pos="2160"/>
        </w:tabs>
        <w:ind w:right="1343"/>
      </w:pPr>
      <w:r>
        <w:t>reevaluate the integrity of those from whom the representations were requested</w:t>
      </w:r>
      <w:r>
        <w:rPr>
          <w:spacing w:val="-4"/>
        </w:rPr>
        <w:t xml:space="preserve"> </w:t>
      </w:r>
      <w:r>
        <w:t>or</w:t>
      </w:r>
      <w:r>
        <w:rPr>
          <w:spacing w:val="-4"/>
        </w:rPr>
        <w:t xml:space="preserve"> </w:t>
      </w:r>
      <w:r>
        <w:t>received</w:t>
      </w:r>
      <w:r>
        <w:rPr>
          <w:spacing w:val="-4"/>
        </w:rPr>
        <w:t xml:space="preserve"> </w:t>
      </w:r>
      <w:r>
        <w:t>and</w:t>
      </w:r>
      <w:r>
        <w:rPr>
          <w:spacing w:val="-4"/>
        </w:rPr>
        <w:t xml:space="preserve"> </w:t>
      </w:r>
      <w:r>
        <w:t>evaluate</w:t>
      </w:r>
      <w:r>
        <w:rPr>
          <w:spacing w:val="-4"/>
        </w:rPr>
        <w:t xml:space="preserve"> </w:t>
      </w:r>
      <w:r>
        <w:t>the</w:t>
      </w:r>
      <w:r>
        <w:rPr>
          <w:spacing w:val="-4"/>
        </w:rPr>
        <w:t xml:space="preserve"> </w:t>
      </w:r>
      <w:r>
        <w:t>effect</w:t>
      </w:r>
      <w:r>
        <w:rPr>
          <w:spacing w:val="-3"/>
        </w:rPr>
        <w:t xml:space="preserve"> </w:t>
      </w:r>
      <w:r>
        <w:t>that</w:t>
      </w:r>
      <w:r>
        <w:rPr>
          <w:spacing w:val="-4"/>
        </w:rPr>
        <w:t xml:space="preserve"> </w:t>
      </w:r>
      <w:r>
        <w:t>this</w:t>
      </w:r>
      <w:r>
        <w:rPr>
          <w:spacing w:val="-4"/>
        </w:rPr>
        <w:t xml:space="preserve"> </w:t>
      </w:r>
      <w:r>
        <w:t>may</w:t>
      </w:r>
      <w:r>
        <w:rPr>
          <w:spacing w:val="-4"/>
        </w:rPr>
        <w:t xml:space="preserve"> </w:t>
      </w:r>
      <w:r>
        <w:t>have</w:t>
      </w:r>
      <w:r>
        <w:rPr>
          <w:spacing w:val="-4"/>
        </w:rPr>
        <w:t xml:space="preserve"> </w:t>
      </w:r>
      <w:r>
        <w:t>on</w:t>
      </w:r>
      <w:r>
        <w:rPr>
          <w:spacing w:val="-4"/>
        </w:rPr>
        <w:t xml:space="preserve"> </w:t>
      </w:r>
      <w:r>
        <w:t>the reliability of representations and evidence in general; and</w:t>
      </w:r>
    </w:p>
    <w:p w14:paraId="0DFDB2F1" w14:textId="77777777" w:rsidR="00046465" w:rsidRDefault="008134EB">
      <w:pPr>
        <w:pStyle w:val="ListParagraph"/>
        <w:numPr>
          <w:ilvl w:val="1"/>
          <w:numId w:val="192"/>
        </w:numPr>
        <w:tabs>
          <w:tab w:val="left" w:pos="2160"/>
        </w:tabs>
        <w:spacing w:before="119"/>
        <w:ind w:right="991"/>
      </w:pPr>
      <w:r>
        <w:t>if any of the matters are not resolved to the auditor’s satisfaction, take appropriate</w:t>
      </w:r>
      <w:r>
        <w:rPr>
          <w:spacing w:val="-6"/>
        </w:rPr>
        <w:t xml:space="preserve"> </w:t>
      </w:r>
      <w:r>
        <w:t>action,</w:t>
      </w:r>
      <w:r>
        <w:rPr>
          <w:spacing w:val="-5"/>
        </w:rPr>
        <w:t xml:space="preserve"> </w:t>
      </w:r>
      <w:r>
        <w:t>including</w:t>
      </w:r>
      <w:r>
        <w:rPr>
          <w:spacing w:val="-5"/>
        </w:rPr>
        <w:t xml:space="preserve"> </w:t>
      </w:r>
      <w:r>
        <w:t>determining</w:t>
      </w:r>
      <w:r>
        <w:rPr>
          <w:spacing w:val="-5"/>
        </w:rPr>
        <w:t xml:space="preserve"> </w:t>
      </w:r>
      <w:r>
        <w:t>the</w:t>
      </w:r>
      <w:r>
        <w:rPr>
          <w:spacing w:val="-5"/>
        </w:rPr>
        <w:t xml:space="preserve"> </w:t>
      </w:r>
      <w:r>
        <w:t>possible</w:t>
      </w:r>
      <w:r>
        <w:rPr>
          <w:spacing w:val="-5"/>
        </w:rPr>
        <w:t xml:space="preserve"> </w:t>
      </w:r>
      <w:r>
        <w:t>effect</w:t>
      </w:r>
      <w:r>
        <w:rPr>
          <w:spacing w:val="-6"/>
        </w:rPr>
        <w:t xml:space="preserve"> </w:t>
      </w:r>
      <w:r>
        <w:t>on</w:t>
      </w:r>
      <w:r>
        <w:rPr>
          <w:spacing w:val="-5"/>
        </w:rPr>
        <w:t xml:space="preserve"> </w:t>
      </w:r>
      <w:r>
        <w:t>the</w:t>
      </w:r>
      <w:r>
        <w:rPr>
          <w:spacing w:val="-5"/>
        </w:rPr>
        <w:t xml:space="preserve"> </w:t>
      </w:r>
      <w:r>
        <w:t>agreed-upon procedures report (AT-C 215.30).</w:t>
      </w:r>
    </w:p>
    <w:p w14:paraId="0DFDB2F2" w14:textId="77777777" w:rsidR="00046465" w:rsidRDefault="008134EB">
      <w:pPr>
        <w:pStyle w:val="Heading4"/>
        <w:spacing w:before="122"/>
      </w:pPr>
      <w:bookmarkStart w:id="144" w:name="Reporting"/>
      <w:bookmarkEnd w:id="144"/>
      <w:r>
        <w:rPr>
          <w:spacing w:val="-2"/>
        </w:rPr>
        <w:t>Reporting</w:t>
      </w:r>
    </w:p>
    <w:p w14:paraId="0DFDB2F3" w14:textId="77777777" w:rsidR="00046465" w:rsidRDefault="008134EB">
      <w:pPr>
        <w:pStyle w:val="ListParagraph"/>
        <w:numPr>
          <w:ilvl w:val="0"/>
          <w:numId w:val="192"/>
        </w:numPr>
        <w:tabs>
          <w:tab w:val="left" w:pos="1800"/>
        </w:tabs>
        <w:spacing w:before="119"/>
        <w:ind w:right="933"/>
      </w:pPr>
      <w:r>
        <w:t>The agreed-upon procedures report should be in writing and in the form of procedures</w:t>
      </w:r>
      <w:r>
        <w:rPr>
          <w:spacing w:val="-4"/>
        </w:rPr>
        <w:t xml:space="preserve"> </w:t>
      </w:r>
      <w:r>
        <w:t>and</w:t>
      </w:r>
      <w:r>
        <w:rPr>
          <w:spacing w:val="-3"/>
        </w:rPr>
        <w:t xml:space="preserve"> </w:t>
      </w:r>
      <w:r>
        <w:t>findings</w:t>
      </w:r>
      <w:r>
        <w:rPr>
          <w:spacing w:val="-4"/>
        </w:rPr>
        <w:t xml:space="preserve"> </w:t>
      </w:r>
      <w:r>
        <w:t>(AT-C</w:t>
      </w:r>
      <w:r>
        <w:rPr>
          <w:spacing w:val="-3"/>
        </w:rPr>
        <w:t xml:space="preserve"> </w:t>
      </w:r>
      <w:r>
        <w:t>215.31</w:t>
      </w:r>
      <w:r>
        <w:rPr>
          <w:spacing w:val="-3"/>
        </w:rPr>
        <w:t xml:space="preserve"> </w:t>
      </w:r>
      <w:r>
        <w:t>and</w:t>
      </w:r>
      <w:r>
        <w:rPr>
          <w:spacing w:val="-3"/>
        </w:rPr>
        <w:t xml:space="preserve"> </w:t>
      </w:r>
      <w:r>
        <w:t>.32).</w:t>
      </w:r>
      <w:r>
        <w:rPr>
          <w:spacing w:val="-4"/>
        </w:rPr>
        <w:t xml:space="preserve"> </w:t>
      </w:r>
      <w:r>
        <w:t>If,</w:t>
      </w:r>
      <w:r>
        <w:rPr>
          <w:spacing w:val="-3"/>
        </w:rPr>
        <w:t xml:space="preserve"> </w:t>
      </w:r>
      <w:r>
        <w:t>as</w:t>
      </w:r>
      <w:r>
        <w:rPr>
          <w:spacing w:val="-3"/>
        </w:rPr>
        <w:t xml:space="preserve"> </w:t>
      </w:r>
      <w:r>
        <w:t>a</w:t>
      </w:r>
      <w:r>
        <w:rPr>
          <w:spacing w:val="-3"/>
        </w:rPr>
        <w:t xml:space="preserve"> </w:t>
      </w:r>
      <w:r>
        <w:t>result</w:t>
      </w:r>
      <w:r>
        <w:rPr>
          <w:spacing w:val="-3"/>
        </w:rPr>
        <w:t xml:space="preserve"> </w:t>
      </w:r>
      <w:r>
        <w:t>of</w:t>
      </w:r>
      <w:r>
        <w:rPr>
          <w:spacing w:val="-3"/>
        </w:rPr>
        <w:t xml:space="preserve"> </w:t>
      </w:r>
      <w:r>
        <w:t>performing</w:t>
      </w:r>
      <w:r>
        <w:rPr>
          <w:spacing w:val="-3"/>
        </w:rPr>
        <w:t xml:space="preserve"> </w:t>
      </w:r>
      <w:r>
        <w:t>the procedures, the auditor determines that the description of the procedures</w:t>
      </w:r>
    </w:p>
    <w:p w14:paraId="0DFDB2F4" w14:textId="77777777" w:rsidR="00046465" w:rsidRDefault="00046465">
      <w:pPr>
        <w:pStyle w:val="ListParagraph"/>
        <w:sectPr w:rsidR="00046465">
          <w:pgSz w:w="12240" w:h="15840"/>
          <w:pgMar w:top="1340" w:right="720" w:bottom="940" w:left="1080" w:header="721" w:footer="757" w:gutter="0"/>
          <w:cols w:space="720"/>
        </w:sectPr>
      </w:pPr>
    </w:p>
    <w:p w14:paraId="0DFDB2F5" w14:textId="77777777" w:rsidR="00046465" w:rsidRDefault="008134EB">
      <w:pPr>
        <w:pStyle w:val="BodyText"/>
        <w:spacing w:before="121"/>
        <w:ind w:left="1800" w:right="749"/>
      </w:pPr>
      <w:r>
        <w:lastRenderedPageBreak/>
        <w:t>performed</w:t>
      </w:r>
      <w:r>
        <w:rPr>
          <w:spacing w:val="-5"/>
        </w:rPr>
        <w:t xml:space="preserve"> </w:t>
      </w:r>
      <w:r>
        <w:t>or</w:t>
      </w:r>
      <w:r>
        <w:rPr>
          <w:spacing w:val="-5"/>
        </w:rPr>
        <w:t xml:space="preserve"> </w:t>
      </w:r>
      <w:r>
        <w:t>the</w:t>
      </w:r>
      <w:r>
        <w:rPr>
          <w:spacing w:val="-5"/>
        </w:rPr>
        <w:t xml:space="preserve"> </w:t>
      </w:r>
      <w:r>
        <w:t>corresponding</w:t>
      </w:r>
      <w:r>
        <w:rPr>
          <w:spacing w:val="-5"/>
        </w:rPr>
        <w:t xml:space="preserve"> </w:t>
      </w:r>
      <w:r>
        <w:t>findings,</w:t>
      </w:r>
      <w:r>
        <w:rPr>
          <w:spacing w:val="-5"/>
        </w:rPr>
        <w:t xml:space="preserve"> </w:t>
      </w:r>
      <w:r>
        <w:t>in</w:t>
      </w:r>
      <w:r>
        <w:rPr>
          <w:spacing w:val="-5"/>
        </w:rPr>
        <w:t xml:space="preserve"> </w:t>
      </w:r>
      <w:r>
        <w:t>the</w:t>
      </w:r>
      <w:r>
        <w:rPr>
          <w:spacing w:val="-6"/>
        </w:rPr>
        <w:t xml:space="preserve"> </w:t>
      </w:r>
      <w:r>
        <w:t>auditor’s</w:t>
      </w:r>
      <w:r>
        <w:rPr>
          <w:spacing w:val="-5"/>
        </w:rPr>
        <w:t xml:space="preserve"> </w:t>
      </w:r>
      <w:r>
        <w:t>professional</w:t>
      </w:r>
      <w:r>
        <w:rPr>
          <w:spacing w:val="-6"/>
        </w:rPr>
        <w:t xml:space="preserve"> </w:t>
      </w:r>
      <w:r>
        <w:t xml:space="preserve">judgment, are misleading in the circumstances of the engagement, the auditor should discuss the matter with the engaging party and take appropriate action (AT-C </w:t>
      </w:r>
      <w:r>
        <w:rPr>
          <w:spacing w:val="-2"/>
        </w:rPr>
        <w:t>215.33).</w:t>
      </w:r>
    </w:p>
    <w:p w14:paraId="0DFDB2F6" w14:textId="77777777" w:rsidR="00046465" w:rsidRDefault="008134EB">
      <w:pPr>
        <w:pStyle w:val="ListParagraph"/>
        <w:numPr>
          <w:ilvl w:val="0"/>
          <w:numId w:val="192"/>
        </w:numPr>
        <w:tabs>
          <w:tab w:val="left" w:pos="1800"/>
        </w:tabs>
        <w:ind w:right="885"/>
      </w:pPr>
      <w:r>
        <w:t>The</w:t>
      </w:r>
      <w:r>
        <w:rPr>
          <w:spacing w:val="-5"/>
        </w:rPr>
        <w:t xml:space="preserve"> </w:t>
      </w:r>
      <w:r>
        <w:t>agreed-upon</w:t>
      </w:r>
      <w:r>
        <w:rPr>
          <w:spacing w:val="-5"/>
        </w:rPr>
        <w:t xml:space="preserve"> </w:t>
      </w:r>
      <w:r>
        <w:t>procedures</w:t>
      </w:r>
      <w:r>
        <w:rPr>
          <w:spacing w:val="-5"/>
        </w:rPr>
        <w:t xml:space="preserve"> </w:t>
      </w:r>
      <w:r>
        <w:t>report</w:t>
      </w:r>
      <w:r>
        <w:rPr>
          <w:spacing w:val="-5"/>
        </w:rPr>
        <w:t xml:space="preserve"> </w:t>
      </w:r>
      <w:r>
        <w:t>should</w:t>
      </w:r>
      <w:r>
        <w:rPr>
          <w:spacing w:val="-5"/>
        </w:rPr>
        <w:t xml:space="preserve"> </w:t>
      </w:r>
      <w:r>
        <w:t>include</w:t>
      </w:r>
      <w:r>
        <w:rPr>
          <w:spacing w:val="-5"/>
        </w:rPr>
        <w:t xml:space="preserve"> </w:t>
      </w:r>
      <w:r>
        <w:t>the</w:t>
      </w:r>
      <w:r>
        <w:rPr>
          <w:spacing w:val="-5"/>
        </w:rPr>
        <w:t xml:space="preserve"> </w:t>
      </w:r>
      <w:r>
        <w:t>following</w:t>
      </w:r>
      <w:r>
        <w:rPr>
          <w:spacing w:val="-5"/>
        </w:rPr>
        <w:t xml:space="preserve"> </w:t>
      </w:r>
      <w:r>
        <w:t>(AT-C</w:t>
      </w:r>
      <w:r>
        <w:rPr>
          <w:spacing w:val="-4"/>
        </w:rPr>
        <w:t xml:space="preserve"> </w:t>
      </w:r>
      <w:r>
        <w:t>215.34), as shown in the example report in FAM 710 D:</w:t>
      </w:r>
    </w:p>
    <w:p w14:paraId="0DFDB2F7" w14:textId="77777777" w:rsidR="00046465" w:rsidRDefault="008134EB">
      <w:pPr>
        <w:pStyle w:val="ListParagraph"/>
        <w:numPr>
          <w:ilvl w:val="1"/>
          <w:numId w:val="192"/>
        </w:numPr>
        <w:tabs>
          <w:tab w:val="left" w:pos="2159"/>
        </w:tabs>
        <w:ind w:left="2159" w:right="1161"/>
      </w:pPr>
      <w:r>
        <w:t>A</w:t>
      </w:r>
      <w:r>
        <w:rPr>
          <w:spacing w:val="-4"/>
        </w:rPr>
        <w:t xml:space="preserve"> </w:t>
      </w:r>
      <w:r>
        <w:t>title</w:t>
      </w:r>
      <w:r>
        <w:rPr>
          <w:spacing w:val="-3"/>
        </w:rPr>
        <w:t xml:space="preserve"> </w:t>
      </w:r>
      <w:r>
        <w:t>that</w:t>
      </w:r>
      <w:r>
        <w:rPr>
          <w:spacing w:val="-3"/>
        </w:rPr>
        <w:t xml:space="preserve"> </w:t>
      </w:r>
      <w:r>
        <w:t>includes</w:t>
      </w:r>
      <w:r>
        <w:rPr>
          <w:spacing w:val="-3"/>
        </w:rPr>
        <w:t xml:space="preserve"> </w:t>
      </w:r>
      <w:r>
        <w:t>the</w:t>
      </w:r>
      <w:r>
        <w:rPr>
          <w:spacing w:val="-3"/>
        </w:rPr>
        <w:t xml:space="preserve"> </w:t>
      </w:r>
      <w:r>
        <w:t>word</w:t>
      </w:r>
      <w:r>
        <w:rPr>
          <w:spacing w:val="-3"/>
        </w:rPr>
        <w:t xml:space="preserve"> </w:t>
      </w:r>
      <w:r>
        <w:t>“independent”</w:t>
      </w:r>
      <w:r>
        <w:rPr>
          <w:spacing w:val="-3"/>
        </w:rPr>
        <w:t xml:space="preserve"> </w:t>
      </w:r>
      <w:r>
        <w:t>to</w:t>
      </w:r>
      <w:r>
        <w:rPr>
          <w:spacing w:val="-3"/>
        </w:rPr>
        <w:t xml:space="preserve"> </w:t>
      </w:r>
      <w:r>
        <w:t>clearly</w:t>
      </w:r>
      <w:r>
        <w:rPr>
          <w:spacing w:val="-3"/>
        </w:rPr>
        <w:t xml:space="preserve"> </w:t>
      </w:r>
      <w:r>
        <w:t>indicate</w:t>
      </w:r>
      <w:r>
        <w:rPr>
          <w:spacing w:val="-4"/>
        </w:rPr>
        <w:t xml:space="preserve"> </w:t>
      </w:r>
      <w:r>
        <w:t>that</w:t>
      </w:r>
      <w:r>
        <w:rPr>
          <w:spacing w:val="-3"/>
        </w:rPr>
        <w:t xml:space="preserve"> </w:t>
      </w:r>
      <w:r>
        <w:t>it</w:t>
      </w:r>
      <w:r>
        <w:rPr>
          <w:spacing w:val="-3"/>
        </w:rPr>
        <w:t xml:space="preserve"> </w:t>
      </w:r>
      <w:r>
        <w:t>is</w:t>
      </w:r>
      <w:r>
        <w:rPr>
          <w:spacing w:val="-3"/>
        </w:rPr>
        <w:t xml:space="preserve"> </w:t>
      </w:r>
      <w:r>
        <w:t>the report of an independent accountant.</w:t>
      </w:r>
    </w:p>
    <w:p w14:paraId="0DFDB2F8" w14:textId="77777777" w:rsidR="00046465" w:rsidRDefault="008134EB">
      <w:pPr>
        <w:pStyle w:val="ListParagraph"/>
        <w:numPr>
          <w:ilvl w:val="1"/>
          <w:numId w:val="192"/>
        </w:numPr>
        <w:tabs>
          <w:tab w:val="left" w:pos="2159"/>
        </w:tabs>
        <w:spacing w:before="119"/>
        <w:ind w:left="2159" w:right="1846"/>
      </w:pPr>
      <w:r>
        <w:t>An</w:t>
      </w:r>
      <w:r>
        <w:rPr>
          <w:spacing w:val="-5"/>
        </w:rPr>
        <w:t xml:space="preserve"> </w:t>
      </w:r>
      <w:r>
        <w:t>appropriate</w:t>
      </w:r>
      <w:r>
        <w:rPr>
          <w:spacing w:val="-5"/>
        </w:rPr>
        <w:t xml:space="preserve"> </w:t>
      </w:r>
      <w:r>
        <w:t>addressee</w:t>
      </w:r>
      <w:r>
        <w:rPr>
          <w:spacing w:val="-5"/>
        </w:rPr>
        <w:t xml:space="preserve"> </w:t>
      </w:r>
      <w:r>
        <w:t>as</w:t>
      </w:r>
      <w:r>
        <w:rPr>
          <w:spacing w:val="-5"/>
        </w:rPr>
        <w:t xml:space="preserve"> </w:t>
      </w:r>
      <w:r>
        <w:t>required</w:t>
      </w:r>
      <w:r>
        <w:rPr>
          <w:spacing w:val="-5"/>
        </w:rPr>
        <w:t xml:space="preserve"> </w:t>
      </w:r>
      <w:r>
        <w:t>by</w:t>
      </w:r>
      <w:r>
        <w:rPr>
          <w:spacing w:val="-5"/>
        </w:rPr>
        <w:t xml:space="preserve"> </w:t>
      </w:r>
      <w:r>
        <w:t>the</w:t>
      </w:r>
      <w:r>
        <w:rPr>
          <w:spacing w:val="-5"/>
        </w:rPr>
        <w:t xml:space="preserve"> </w:t>
      </w:r>
      <w:r>
        <w:t>circumstances</w:t>
      </w:r>
      <w:r>
        <w:rPr>
          <w:spacing w:val="-6"/>
        </w:rPr>
        <w:t xml:space="preserve"> </w:t>
      </w:r>
      <w:r>
        <w:t>of</w:t>
      </w:r>
      <w:r>
        <w:rPr>
          <w:spacing w:val="-5"/>
        </w:rPr>
        <w:t xml:space="preserve"> </w:t>
      </w:r>
      <w:r>
        <w:t xml:space="preserve">the </w:t>
      </w:r>
      <w:r>
        <w:rPr>
          <w:spacing w:val="-2"/>
        </w:rPr>
        <w:t>engagement.</w:t>
      </w:r>
    </w:p>
    <w:p w14:paraId="0DFDB2F9" w14:textId="77777777" w:rsidR="00046465" w:rsidRDefault="008134EB">
      <w:pPr>
        <w:pStyle w:val="ListParagraph"/>
        <w:numPr>
          <w:ilvl w:val="1"/>
          <w:numId w:val="192"/>
        </w:numPr>
        <w:tabs>
          <w:tab w:val="left" w:pos="2158"/>
        </w:tabs>
        <w:spacing w:before="121"/>
        <w:ind w:left="2158" w:hanging="359"/>
      </w:pPr>
      <w:r>
        <w:rPr>
          <w:spacing w:val="-2"/>
        </w:rPr>
        <w:t>Identification</w:t>
      </w:r>
      <w:r>
        <w:rPr>
          <w:spacing w:val="-1"/>
        </w:rPr>
        <w:t xml:space="preserve"> </w:t>
      </w:r>
      <w:r>
        <w:rPr>
          <w:spacing w:val="-2"/>
        </w:rPr>
        <w:t>of</w:t>
      </w:r>
      <w:r>
        <w:rPr>
          <w:spacing w:val="-3"/>
        </w:rPr>
        <w:t xml:space="preserve"> </w:t>
      </w:r>
      <w:r>
        <w:rPr>
          <w:spacing w:val="-2"/>
        </w:rPr>
        <w:t>the engaging</w:t>
      </w:r>
      <w:r>
        <w:rPr>
          <w:spacing w:val="-3"/>
        </w:rPr>
        <w:t xml:space="preserve"> </w:t>
      </w:r>
      <w:r>
        <w:rPr>
          <w:spacing w:val="-2"/>
        </w:rPr>
        <w:t>party.</w:t>
      </w:r>
    </w:p>
    <w:p w14:paraId="0DFDB2FA" w14:textId="77777777" w:rsidR="00046465" w:rsidRDefault="008134EB">
      <w:pPr>
        <w:pStyle w:val="ListParagraph"/>
        <w:numPr>
          <w:ilvl w:val="1"/>
          <w:numId w:val="192"/>
        </w:numPr>
        <w:tabs>
          <w:tab w:val="left" w:pos="2159"/>
        </w:tabs>
        <w:ind w:left="2159" w:right="1510"/>
      </w:pPr>
      <w:r>
        <w:t>Identification</w:t>
      </w:r>
      <w:r>
        <w:rPr>
          <w:spacing w:val="-5"/>
        </w:rPr>
        <w:t xml:space="preserve"> </w:t>
      </w:r>
      <w:r>
        <w:t>of</w:t>
      </w:r>
      <w:r>
        <w:rPr>
          <w:spacing w:val="-5"/>
        </w:rPr>
        <w:t xml:space="preserve"> </w:t>
      </w:r>
      <w:r>
        <w:t>the</w:t>
      </w:r>
      <w:r>
        <w:rPr>
          <w:spacing w:val="-5"/>
        </w:rPr>
        <w:t xml:space="preserve"> </w:t>
      </w:r>
      <w:r>
        <w:t>subject</w:t>
      </w:r>
      <w:r>
        <w:rPr>
          <w:spacing w:val="-5"/>
        </w:rPr>
        <w:t xml:space="preserve"> </w:t>
      </w:r>
      <w:r>
        <w:t>matter</w:t>
      </w:r>
      <w:r>
        <w:rPr>
          <w:spacing w:val="-6"/>
        </w:rPr>
        <w:t xml:space="preserve"> </w:t>
      </w:r>
      <w:r>
        <w:t>to</w:t>
      </w:r>
      <w:r>
        <w:rPr>
          <w:spacing w:val="-4"/>
        </w:rPr>
        <w:t xml:space="preserve"> </w:t>
      </w:r>
      <w:r>
        <w:t>which</w:t>
      </w:r>
      <w:r>
        <w:rPr>
          <w:spacing w:val="-5"/>
        </w:rPr>
        <w:t xml:space="preserve"> </w:t>
      </w:r>
      <w:r>
        <w:t>the</w:t>
      </w:r>
      <w:r>
        <w:rPr>
          <w:spacing w:val="-5"/>
        </w:rPr>
        <w:t xml:space="preserve"> </w:t>
      </w:r>
      <w:r>
        <w:t>procedures</w:t>
      </w:r>
      <w:r>
        <w:rPr>
          <w:spacing w:val="-5"/>
        </w:rPr>
        <w:t xml:space="preserve"> </w:t>
      </w:r>
      <w:r>
        <w:t>have</w:t>
      </w:r>
      <w:r>
        <w:rPr>
          <w:spacing w:val="-5"/>
        </w:rPr>
        <w:t xml:space="preserve"> </w:t>
      </w:r>
      <w:r>
        <w:t xml:space="preserve">been </w:t>
      </w:r>
      <w:r>
        <w:rPr>
          <w:spacing w:val="-2"/>
        </w:rPr>
        <w:t>applied.</w:t>
      </w:r>
    </w:p>
    <w:p w14:paraId="0DFDB2FB" w14:textId="77777777" w:rsidR="00046465" w:rsidRDefault="008134EB">
      <w:pPr>
        <w:pStyle w:val="ListParagraph"/>
        <w:numPr>
          <w:ilvl w:val="1"/>
          <w:numId w:val="192"/>
        </w:numPr>
        <w:tabs>
          <w:tab w:val="left" w:pos="2159"/>
        </w:tabs>
        <w:spacing w:before="119"/>
        <w:ind w:left="2159" w:right="782"/>
      </w:pPr>
      <w:r>
        <w:t>Identification of the responsible party, including a statement that the responsible party is responsible for the subject matter. When the engaging party is not the responsible party and identification of the responsible party and</w:t>
      </w:r>
      <w:r>
        <w:rPr>
          <w:spacing w:val="-4"/>
        </w:rPr>
        <w:t xml:space="preserve"> </w:t>
      </w:r>
      <w:r>
        <w:t>its</w:t>
      </w:r>
      <w:r>
        <w:rPr>
          <w:spacing w:val="-4"/>
        </w:rPr>
        <w:t xml:space="preserve"> </w:t>
      </w:r>
      <w:r>
        <w:t>responsibility</w:t>
      </w:r>
      <w:r>
        <w:rPr>
          <w:spacing w:val="-4"/>
        </w:rPr>
        <w:t xml:space="preserve"> </w:t>
      </w:r>
      <w:r>
        <w:t>for</w:t>
      </w:r>
      <w:r>
        <w:rPr>
          <w:spacing w:val="-6"/>
        </w:rPr>
        <w:t xml:space="preserve"> </w:t>
      </w:r>
      <w:r>
        <w:t>the</w:t>
      </w:r>
      <w:r>
        <w:rPr>
          <w:spacing w:val="-4"/>
        </w:rPr>
        <w:t xml:space="preserve"> </w:t>
      </w:r>
      <w:r>
        <w:t>subject</w:t>
      </w:r>
      <w:r>
        <w:rPr>
          <w:spacing w:val="-5"/>
        </w:rPr>
        <w:t xml:space="preserve"> </w:t>
      </w:r>
      <w:r>
        <w:t>matter</w:t>
      </w:r>
      <w:r>
        <w:rPr>
          <w:spacing w:val="-4"/>
        </w:rPr>
        <w:t xml:space="preserve"> </w:t>
      </w:r>
      <w:r>
        <w:t>is</w:t>
      </w:r>
      <w:r>
        <w:rPr>
          <w:spacing w:val="-4"/>
        </w:rPr>
        <w:t xml:space="preserve"> </w:t>
      </w:r>
      <w:r>
        <w:t>based</w:t>
      </w:r>
      <w:r>
        <w:rPr>
          <w:spacing w:val="-4"/>
        </w:rPr>
        <w:t xml:space="preserve"> </w:t>
      </w:r>
      <w:r>
        <w:t>solely</w:t>
      </w:r>
      <w:r>
        <w:rPr>
          <w:spacing w:val="-4"/>
        </w:rPr>
        <w:t xml:space="preserve"> </w:t>
      </w:r>
      <w:r>
        <w:t>on</w:t>
      </w:r>
      <w:r>
        <w:rPr>
          <w:spacing w:val="-4"/>
        </w:rPr>
        <w:t xml:space="preserve"> </w:t>
      </w:r>
      <w:r>
        <w:t>representations received</w:t>
      </w:r>
      <w:r>
        <w:rPr>
          <w:spacing w:val="-1"/>
        </w:rPr>
        <w:t xml:space="preserve"> </w:t>
      </w:r>
      <w:r>
        <w:t>from</w:t>
      </w:r>
      <w:r>
        <w:rPr>
          <w:spacing w:val="-2"/>
        </w:rPr>
        <w:t xml:space="preserve"> </w:t>
      </w:r>
      <w:r>
        <w:t>the</w:t>
      </w:r>
      <w:r>
        <w:rPr>
          <w:spacing w:val="-1"/>
        </w:rPr>
        <w:t xml:space="preserve"> </w:t>
      </w:r>
      <w:r>
        <w:t>engaging</w:t>
      </w:r>
      <w:r>
        <w:rPr>
          <w:spacing w:val="-1"/>
        </w:rPr>
        <w:t xml:space="preserve"> </w:t>
      </w:r>
      <w:r>
        <w:t>party,</w:t>
      </w:r>
      <w:r>
        <w:rPr>
          <w:spacing w:val="-1"/>
        </w:rPr>
        <w:t xml:space="preserve"> </w:t>
      </w:r>
      <w:r>
        <w:t>the</w:t>
      </w:r>
      <w:r>
        <w:rPr>
          <w:spacing w:val="-1"/>
        </w:rPr>
        <w:t xml:space="preserve"> </w:t>
      </w:r>
      <w:r>
        <w:t>agreed-upon</w:t>
      </w:r>
      <w:r>
        <w:rPr>
          <w:spacing w:val="-1"/>
        </w:rPr>
        <w:t xml:space="preserve"> </w:t>
      </w:r>
      <w:r>
        <w:t>procedures</w:t>
      </w:r>
      <w:r>
        <w:rPr>
          <w:spacing w:val="-1"/>
        </w:rPr>
        <w:t xml:space="preserve"> </w:t>
      </w:r>
      <w:r>
        <w:t>report</w:t>
      </w:r>
      <w:r>
        <w:rPr>
          <w:spacing w:val="-1"/>
        </w:rPr>
        <w:t xml:space="preserve"> </w:t>
      </w:r>
      <w:r>
        <w:t>should include a statement to that effect.</w:t>
      </w:r>
    </w:p>
    <w:p w14:paraId="0DFDB2FC" w14:textId="77777777" w:rsidR="00046465" w:rsidRDefault="008134EB">
      <w:pPr>
        <w:pStyle w:val="ListParagraph"/>
        <w:numPr>
          <w:ilvl w:val="1"/>
          <w:numId w:val="192"/>
        </w:numPr>
        <w:tabs>
          <w:tab w:val="left" w:pos="2159"/>
        </w:tabs>
        <w:ind w:left="2159" w:right="845"/>
      </w:pPr>
      <w:r>
        <w:t>A statement that the engaging party acknowledged that the procedures performed</w:t>
      </w:r>
      <w:r>
        <w:rPr>
          <w:spacing w:val="-5"/>
        </w:rPr>
        <w:t xml:space="preserve"> </w:t>
      </w:r>
      <w:r>
        <w:t>are</w:t>
      </w:r>
      <w:r>
        <w:rPr>
          <w:spacing w:val="-5"/>
        </w:rPr>
        <w:t xml:space="preserve"> </w:t>
      </w:r>
      <w:r>
        <w:t>appropriate</w:t>
      </w:r>
      <w:r>
        <w:rPr>
          <w:spacing w:val="-5"/>
        </w:rPr>
        <w:t xml:space="preserve"> </w:t>
      </w:r>
      <w:r>
        <w:t>to</w:t>
      </w:r>
      <w:r>
        <w:rPr>
          <w:spacing w:val="-5"/>
        </w:rPr>
        <w:t xml:space="preserve"> </w:t>
      </w:r>
      <w:r>
        <w:t>meet</w:t>
      </w:r>
      <w:r>
        <w:rPr>
          <w:spacing w:val="-5"/>
        </w:rPr>
        <w:t xml:space="preserve"> </w:t>
      </w:r>
      <w:r>
        <w:t>the</w:t>
      </w:r>
      <w:r>
        <w:rPr>
          <w:spacing w:val="-5"/>
        </w:rPr>
        <w:t xml:space="preserve"> </w:t>
      </w:r>
      <w:r>
        <w:t>intended</w:t>
      </w:r>
      <w:r>
        <w:rPr>
          <w:spacing w:val="-5"/>
        </w:rPr>
        <w:t xml:space="preserve"> </w:t>
      </w:r>
      <w:r>
        <w:t>purpose</w:t>
      </w:r>
      <w:r>
        <w:rPr>
          <w:spacing w:val="-5"/>
        </w:rPr>
        <w:t xml:space="preserve"> </w:t>
      </w:r>
      <w:r>
        <w:t>of</w:t>
      </w:r>
      <w:r>
        <w:rPr>
          <w:spacing w:val="-5"/>
        </w:rPr>
        <w:t xml:space="preserve"> </w:t>
      </w:r>
      <w:r>
        <w:t>the</w:t>
      </w:r>
      <w:r>
        <w:rPr>
          <w:spacing w:val="-5"/>
        </w:rPr>
        <w:t xml:space="preserve"> </w:t>
      </w:r>
      <w:r>
        <w:t>engagement.</w:t>
      </w:r>
    </w:p>
    <w:p w14:paraId="0DFDB2FD" w14:textId="77777777" w:rsidR="00046465" w:rsidRDefault="008134EB">
      <w:pPr>
        <w:pStyle w:val="ListParagraph"/>
        <w:numPr>
          <w:ilvl w:val="1"/>
          <w:numId w:val="192"/>
        </w:numPr>
        <w:tabs>
          <w:tab w:val="left" w:pos="2159"/>
        </w:tabs>
        <w:ind w:left="2159" w:right="1212"/>
      </w:pPr>
      <w:r>
        <w:t>An identification of the intended purpose of the engagement in sufficient detail</w:t>
      </w:r>
      <w:r>
        <w:rPr>
          <w:spacing w:val="-4"/>
        </w:rPr>
        <w:t xml:space="preserve"> </w:t>
      </w:r>
      <w:r>
        <w:t>to</w:t>
      </w:r>
      <w:r>
        <w:rPr>
          <w:spacing w:val="-4"/>
        </w:rPr>
        <w:t xml:space="preserve"> </w:t>
      </w:r>
      <w:r>
        <w:t>enable</w:t>
      </w:r>
      <w:r>
        <w:rPr>
          <w:spacing w:val="-4"/>
        </w:rPr>
        <w:t xml:space="preserve"> </w:t>
      </w:r>
      <w:r>
        <w:t>the</w:t>
      </w:r>
      <w:r>
        <w:rPr>
          <w:spacing w:val="-4"/>
        </w:rPr>
        <w:t xml:space="preserve"> </w:t>
      </w:r>
      <w:r>
        <w:t>user</w:t>
      </w:r>
      <w:r>
        <w:rPr>
          <w:spacing w:val="-5"/>
        </w:rPr>
        <w:t xml:space="preserve"> </w:t>
      </w:r>
      <w:r>
        <w:t>to</w:t>
      </w:r>
      <w:r>
        <w:rPr>
          <w:spacing w:val="-4"/>
        </w:rPr>
        <w:t xml:space="preserve"> </w:t>
      </w:r>
      <w:r>
        <w:t>understand</w:t>
      </w:r>
      <w:r>
        <w:rPr>
          <w:spacing w:val="-4"/>
        </w:rPr>
        <w:t xml:space="preserve"> </w:t>
      </w:r>
      <w:r>
        <w:t>the</w:t>
      </w:r>
      <w:r>
        <w:rPr>
          <w:spacing w:val="-4"/>
        </w:rPr>
        <w:t xml:space="preserve"> </w:t>
      </w:r>
      <w:r>
        <w:t>nature</w:t>
      </w:r>
      <w:r>
        <w:rPr>
          <w:spacing w:val="-5"/>
        </w:rPr>
        <w:t xml:space="preserve"> </w:t>
      </w:r>
      <w:r>
        <w:t>of</w:t>
      </w:r>
      <w:r>
        <w:rPr>
          <w:spacing w:val="-4"/>
        </w:rPr>
        <w:t xml:space="preserve"> </w:t>
      </w:r>
      <w:r>
        <w:t>the</w:t>
      </w:r>
      <w:r>
        <w:rPr>
          <w:spacing w:val="-4"/>
        </w:rPr>
        <w:t xml:space="preserve"> </w:t>
      </w:r>
      <w:r>
        <w:t>work</w:t>
      </w:r>
      <w:r>
        <w:rPr>
          <w:spacing w:val="-4"/>
        </w:rPr>
        <w:t xml:space="preserve"> </w:t>
      </w:r>
      <w:r>
        <w:t>performed.</w:t>
      </w:r>
    </w:p>
    <w:p w14:paraId="0DFDB2FE" w14:textId="77777777" w:rsidR="00046465" w:rsidRDefault="008134EB">
      <w:pPr>
        <w:pStyle w:val="ListParagraph"/>
        <w:numPr>
          <w:ilvl w:val="1"/>
          <w:numId w:val="192"/>
        </w:numPr>
        <w:tabs>
          <w:tab w:val="left" w:pos="2159"/>
        </w:tabs>
        <w:spacing w:before="121"/>
        <w:ind w:left="2159" w:right="917"/>
      </w:pPr>
      <w:r>
        <w:t>A</w:t>
      </w:r>
      <w:r>
        <w:rPr>
          <w:spacing w:val="-5"/>
        </w:rPr>
        <w:t xml:space="preserve"> </w:t>
      </w:r>
      <w:r>
        <w:t>statement</w:t>
      </w:r>
      <w:r>
        <w:rPr>
          <w:spacing w:val="-4"/>
        </w:rPr>
        <w:t xml:space="preserve"> </w:t>
      </w:r>
      <w:r>
        <w:t>that</w:t>
      </w:r>
      <w:r>
        <w:rPr>
          <w:spacing w:val="-4"/>
        </w:rPr>
        <w:t xml:space="preserve"> </w:t>
      </w:r>
      <w:r>
        <w:t>the</w:t>
      </w:r>
      <w:r>
        <w:rPr>
          <w:spacing w:val="-4"/>
        </w:rPr>
        <w:t xml:space="preserve"> </w:t>
      </w:r>
      <w:r>
        <w:t>agreed-upon</w:t>
      </w:r>
      <w:r>
        <w:rPr>
          <w:spacing w:val="-4"/>
        </w:rPr>
        <w:t xml:space="preserve"> </w:t>
      </w:r>
      <w:r>
        <w:t>procedures</w:t>
      </w:r>
      <w:r>
        <w:rPr>
          <w:spacing w:val="-4"/>
        </w:rPr>
        <w:t xml:space="preserve"> </w:t>
      </w:r>
      <w:r>
        <w:t>report</w:t>
      </w:r>
      <w:r>
        <w:rPr>
          <w:spacing w:val="-4"/>
        </w:rPr>
        <w:t xml:space="preserve"> </w:t>
      </w:r>
      <w:r>
        <w:t>may</w:t>
      </w:r>
      <w:r>
        <w:rPr>
          <w:spacing w:val="-4"/>
        </w:rPr>
        <w:t xml:space="preserve"> </w:t>
      </w:r>
      <w:r>
        <w:t>not</w:t>
      </w:r>
      <w:r>
        <w:rPr>
          <w:spacing w:val="-4"/>
        </w:rPr>
        <w:t xml:space="preserve"> </w:t>
      </w:r>
      <w:r>
        <w:t>be</w:t>
      </w:r>
      <w:r>
        <w:rPr>
          <w:spacing w:val="-4"/>
        </w:rPr>
        <w:t xml:space="preserve"> </w:t>
      </w:r>
      <w:r>
        <w:t>suitable</w:t>
      </w:r>
      <w:r>
        <w:rPr>
          <w:spacing w:val="-5"/>
        </w:rPr>
        <w:t xml:space="preserve"> </w:t>
      </w:r>
      <w:r>
        <w:t>for any other purpose.</w:t>
      </w:r>
    </w:p>
    <w:p w14:paraId="0DFDB2FF" w14:textId="77777777" w:rsidR="00046465" w:rsidRDefault="008134EB">
      <w:pPr>
        <w:pStyle w:val="ListParagraph"/>
        <w:numPr>
          <w:ilvl w:val="1"/>
          <w:numId w:val="192"/>
        </w:numPr>
        <w:tabs>
          <w:tab w:val="left" w:pos="2159"/>
        </w:tabs>
        <w:spacing w:before="119"/>
        <w:ind w:left="2159" w:right="808" w:hanging="361"/>
      </w:pPr>
      <w:r>
        <w:t>A statement that the procedures performed may not address all the items of interest</w:t>
      </w:r>
      <w:r>
        <w:rPr>
          <w:spacing w:val="-3"/>
        </w:rPr>
        <w:t xml:space="preserve"> </w:t>
      </w:r>
      <w:r>
        <w:t>to</w:t>
      </w:r>
      <w:r>
        <w:rPr>
          <w:spacing w:val="-3"/>
        </w:rPr>
        <w:t xml:space="preserve"> </w:t>
      </w:r>
      <w:r>
        <w:t>a</w:t>
      </w:r>
      <w:r>
        <w:rPr>
          <w:spacing w:val="-4"/>
        </w:rPr>
        <w:t xml:space="preserve"> </w:t>
      </w:r>
      <w:r>
        <w:t>user</w:t>
      </w:r>
      <w:r>
        <w:rPr>
          <w:spacing w:val="-3"/>
        </w:rPr>
        <w:t xml:space="preserve"> </w:t>
      </w:r>
      <w:r>
        <w:t>of</w:t>
      </w:r>
      <w:r>
        <w:rPr>
          <w:spacing w:val="-3"/>
        </w:rPr>
        <w:t xml:space="preserve"> </w:t>
      </w:r>
      <w:r>
        <w:t>the</w:t>
      </w:r>
      <w:r>
        <w:rPr>
          <w:spacing w:val="-3"/>
        </w:rPr>
        <w:t xml:space="preserve"> </w:t>
      </w:r>
      <w:r>
        <w:t>report</w:t>
      </w:r>
      <w:r>
        <w:rPr>
          <w:spacing w:val="-3"/>
        </w:rPr>
        <w:t xml:space="preserve"> </w:t>
      </w:r>
      <w:r>
        <w:t>and</w:t>
      </w:r>
      <w:r>
        <w:rPr>
          <w:spacing w:val="-3"/>
        </w:rPr>
        <w:t xml:space="preserve"> </w:t>
      </w:r>
      <w:r>
        <w:t>may</w:t>
      </w:r>
      <w:r>
        <w:rPr>
          <w:spacing w:val="-3"/>
        </w:rPr>
        <w:t xml:space="preserve"> </w:t>
      </w:r>
      <w:r>
        <w:t>not</w:t>
      </w:r>
      <w:r>
        <w:rPr>
          <w:spacing w:val="-3"/>
        </w:rPr>
        <w:t xml:space="preserve"> </w:t>
      </w:r>
      <w:r>
        <w:t>meet</w:t>
      </w:r>
      <w:r>
        <w:rPr>
          <w:spacing w:val="-3"/>
        </w:rPr>
        <w:t xml:space="preserve"> </w:t>
      </w:r>
      <w:r>
        <w:t>the</w:t>
      </w:r>
      <w:r>
        <w:rPr>
          <w:spacing w:val="-3"/>
        </w:rPr>
        <w:t xml:space="preserve"> </w:t>
      </w:r>
      <w:r>
        <w:t>needs</w:t>
      </w:r>
      <w:r>
        <w:rPr>
          <w:spacing w:val="-3"/>
        </w:rPr>
        <w:t xml:space="preserve"> </w:t>
      </w:r>
      <w:r>
        <w:t>of</w:t>
      </w:r>
      <w:r>
        <w:rPr>
          <w:spacing w:val="-4"/>
        </w:rPr>
        <w:t xml:space="preserve"> </w:t>
      </w:r>
      <w:r>
        <w:t>all</w:t>
      </w:r>
      <w:r>
        <w:rPr>
          <w:spacing w:val="-3"/>
        </w:rPr>
        <w:t xml:space="preserve"> </w:t>
      </w:r>
      <w:r>
        <w:t>users</w:t>
      </w:r>
      <w:r>
        <w:rPr>
          <w:spacing w:val="-4"/>
        </w:rPr>
        <w:t xml:space="preserve"> </w:t>
      </w:r>
      <w:r>
        <w:t>of</w:t>
      </w:r>
      <w:r>
        <w:rPr>
          <w:spacing w:val="-4"/>
        </w:rPr>
        <w:t xml:space="preserve"> </w:t>
      </w:r>
      <w:r>
        <w:t>the report and, as such, users are responsible for determining whether the procedures performed are appropriate for their purposes.</w:t>
      </w:r>
    </w:p>
    <w:p w14:paraId="0DFDB300" w14:textId="77777777" w:rsidR="00046465" w:rsidRDefault="008134EB">
      <w:pPr>
        <w:pStyle w:val="ListParagraph"/>
        <w:numPr>
          <w:ilvl w:val="1"/>
          <w:numId w:val="192"/>
        </w:numPr>
        <w:tabs>
          <w:tab w:val="left" w:pos="2159"/>
        </w:tabs>
        <w:ind w:left="2159" w:right="819" w:hanging="361"/>
      </w:pPr>
      <w:r>
        <w:t>A statement that an agreed-upon procedures engagement involves the auditor</w:t>
      </w:r>
      <w:r>
        <w:rPr>
          <w:spacing w:val="-4"/>
        </w:rPr>
        <w:t xml:space="preserve"> </w:t>
      </w:r>
      <w:r>
        <w:t>performing</w:t>
      </w:r>
      <w:r>
        <w:rPr>
          <w:spacing w:val="-4"/>
        </w:rPr>
        <w:t xml:space="preserve"> </w:t>
      </w:r>
      <w:r>
        <w:t>specific</w:t>
      </w:r>
      <w:r>
        <w:rPr>
          <w:spacing w:val="-4"/>
        </w:rPr>
        <w:t xml:space="preserve"> </w:t>
      </w:r>
      <w:r>
        <w:t>procedures</w:t>
      </w:r>
      <w:r>
        <w:rPr>
          <w:spacing w:val="-4"/>
        </w:rPr>
        <w:t xml:space="preserve"> </w:t>
      </w:r>
      <w:r>
        <w:t>that</w:t>
      </w:r>
      <w:r>
        <w:rPr>
          <w:spacing w:val="-4"/>
        </w:rPr>
        <w:t xml:space="preserve"> </w:t>
      </w:r>
      <w:r>
        <w:t>the</w:t>
      </w:r>
      <w:r>
        <w:rPr>
          <w:spacing w:val="-4"/>
        </w:rPr>
        <w:t xml:space="preserve"> </w:t>
      </w:r>
      <w:r>
        <w:t>engaging</w:t>
      </w:r>
      <w:r>
        <w:rPr>
          <w:spacing w:val="-4"/>
        </w:rPr>
        <w:t xml:space="preserve"> </w:t>
      </w:r>
      <w:r>
        <w:t>party</w:t>
      </w:r>
      <w:r>
        <w:rPr>
          <w:spacing w:val="-4"/>
        </w:rPr>
        <w:t xml:space="preserve"> </w:t>
      </w:r>
      <w:r>
        <w:t>has</w:t>
      </w:r>
      <w:r>
        <w:rPr>
          <w:spacing w:val="-4"/>
        </w:rPr>
        <w:t xml:space="preserve"> </w:t>
      </w:r>
      <w:r>
        <w:t>agreed</w:t>
      </w:r>
      <w:r>
        <w:rPr>
          <w:spacing w:val="-4"/>
        </w:rPr>
        <w:t xml:space="preserve"> </w:t>
      </w:r>
      <w:r>
        <w:t>to and acknowledged to be appropriate for the intended purpose of the engagement and reporting on findings based on the procedures performed.</w:t>
      </w:r>
    </w:p>
    <w:p w14:paraId="0DFDB301" w14:textId="77777777" w:rsidR="00046465" w:rsidRDefault="008134EB">
      <w:pPr>
        <w:pStyle w:val="ListParagraph"/>
        <w:numPr>
          <w:ilvl w:val="1"/>
          <w:numId w:val="192"/>
        </w:numPr>
        <w:tabs>
          <w:tab w:val="left" w:pos="2159"/>
        </w:tabs>
        <w:ind w:left="2159" w:right="737"/>
      </w:pPr>
      <w:r>
        <w:t>A</w:t>
      </w:r>
      <w:r>
        <w:rPr>
          <w:spacing w:val="-11"/>
        </w:rPr>
        <w:t xml:space="preserve"> </w:t>
      </w:r>
      <w:r>
        <w:t>description</w:t>
      </w:r>
      <w:r>
        <w:rPr>
          <w:spacing w:val="-11"/>
        </w:rPr>
        <w:t xml:space="preserve"> </w:t>
      </w:r>
      <w:r>
        <w:t>of</w:t>
      </w:r>
      <w:r>
        <w:rPr>
          <w:spacing w:val="-11"/>
        </w:rPr>
        <w:t xml:space="preserve"> </w:t>
      </w:r>
      <w:r>
        <w:t>the</w:t>
      </w:r>
      <w:r>
        <w:rPr>
          <w:spacing w:val="-11"/>
        </w:rPr>
        <w:t xml:space="preserve"> </w:t>
      </w:r>
      <w:r>
        <w:t>procedures</w:t>
      </w:r>
      <w:r>
        <w:rPr>
          <w:spacing w:val="-10"/>
        </w:rPr>
        <w:t xml:space="preserve"> </w:t>
      </w:r>
      <w:r>
        <w:t>performed</w:t>
      </w:r>
      <w:r>
        <w:rPr>
          <w:spacing w:val="-10"/>
        </w:rPr>
        <w:t xml:space="preserve"> </w:t>
      </w:r>
      <w:r>
        <w:t>detailing</w:t>
      </w:r>
      <w:r>
        <w:rPr>
          <w:spacing w:val="-11"/>
        </w:rPr>
        <w:t xml:space="preserve"> </w:t>
      </w:r>
      <w:r>
        <w:t>the</w:t>
      </w:r>
      <w:r>
        <w:rPr>
          <w:spacing w:val="-11"/>
        </w:rPr>
        <w:t xml:space="preserve"> </w:t>
      </w:r>
      <w:r>
        <w:t>nature</w:t>
      </w:r>
      <w:r>
        <w:rPr>
          <w:spacing w:val="-11"/>
        </w:rPr>
        <w:t xml:space="preserve"> </w:t>
      </w:r>
      <w:r>
        <w:t>and</w:t>
      </w:r>
      <w:r>
        <w:rPr>
          <w:spacing w:val="-11"/>
        </w:rPr>
        <w:t xml:space="preserve"> </w:t>
      </w:r>
      <w:r>
        <w:t>extent</w:t>
      </w:r>
      <w:r>
        <w:rPr>
          <w:spacing w:val="-10"/>
        </w:rPr>
        <w:t xml:space="preserve"> </w:t>
      </w:r>
      <w:r>
        <w:t>and, if applicable, the timing of each procedure.</w:t>
      </w:r>
    </w:p>
    <w:p w14:paraId="0DFDB302" w14:textId="77777777" w:rsidR="00046465" w:rsidRDefault="008134EB">
      <w:pPr>
        <w:pStyle w:val="ListParagraph"/>
        <w:numPr>
          <w:ilvl w:val="1"/>
          <w:numId w:val="192"/>
        </w:numPr>
        <w:tabs>
          <w:tab w:val="left" w:pos="2159"/>
        </w:tabs>
        <w:ind w:left="2159" w:right="1430" w:hanging="361"/>
      </w:pPr>
      <w:r>
        <w:t>A</w:t>
      </w:r>
      <w:r>
        <w:rPr>
          <w:spacing w:val="-5"/>
        </w:rPr>
        <w:t xml:space="preserve"> </w:t>
      </w:r>
      <w:r>
        <w:t>description</w:t>
      </w:r>
      <w:r>
        <w:rPr>
          <w:spacing w:val="-4"/>
        </w:rPr>
        <w:t xml:space="preserve"> </w:t>
      </w:r>
      <w:r>
        <w:t>of</w:t>
      </w:r>
      <w:r>
        <w:rPr>
          <w:spacing w:val="-4"/>
        </w:rPr>
        <w:t xml:space="preserve"> </w:t>
      </w:r>
      <w:r>
        <w:t>the</w:t>
      </w:r>
      <w:r>
        <w:rPr>
          <w:spacing w:val="-4"/>
        </w:rPr>
        <w:t xml:space="preserve"> </w:t>
      </w:r>
      <w:r>
        <w:t>findings</w:t>
      </w:r>
      <w:r>
        <w:rPr>
          <w:spacing w:val="-4"/>
        </w:rPr>
        <w:t xml:space="preserve"> </w:t>
      </w:r>
      <w:r>
        <w:t>from</w:t>
      </w:r>
      <w:r>
        <w:rPr>
          <w:spacing w:val="-5"/>
        </w:rPr>
        <w:t xml:space="preserve"> </w:t>
      </w:r>
      <w:r>
        <w:t>each</w:t>
      </w:r>
      <w:r>
        <w:rPr>
          <w:spacing w:val="-4"/>
        </w:rPr>
        <w:t xml:space="preserve"> </w:t>
      </w:r>
      <w:r>
        <w:t>procedure</w:t>
      </w:r>
      <w:r>
        <w:rPr>
          <w:spacing w:val="-4"/>
        </w:rPr>
        <w:t xml:space="preserve"> </w:t>
      </w:r>
      <w:r>
        <w:t>performed,</w:t>
      </w:r>
      <w:r>
        <w:rPr>
          <w:spacing w:val="-4"/>
        </w:rPr>
        <w:t xml:space="preserve"> </w:t>
      </w:r>
      <w:r>
        <w:t>including sufficient details on exceptions found.</w:t>
      </w:r>
    </w:p>
    <w:p w14:paraId="0DFDB303" w14:textId="77777777" w:rsidR="00046465" w:rsidRDefault="008134EB">
      <w:pPr>
        <w:pStyle w:val="ListParagraph"/>
        <w:numPr>
          <w:ilvl w:val="1"/>
          <w:numId w:val="192"/>
        </w:numPr>
        <w:tabs>
          <w:tab w:val="left" w:pos="2159"/>
        </w:tabs>
        <w:ind w:left="2159" w:right="944"/>
      </w:pPr>
      <w:r>
        <w:t>If</w:t>
      </w:r>
      <w:r>
        <w:rPr>
          <w:spacing w:val="-11"/>
        </w:rPr>
        <w:t xml:space="preserve"> </w:t>
      </w:r>
      <w:r>
        <w:t>applicable,</w:t>
      </w:r>
      <w:r>
        <w:rPr>
          <w:spacing w:val="-10"/>
        </w:rPr>
        <w:t xml:space="preserve"> </w:t>
      </w:r>
      <w:r>
        <w:t>a</w:t>
      </w:r>
      <w:r>
        <w:rPr>
          <w:spacing w:val="-11"/>
        </w:rPr>
        <w:t xml:space="preserve"> </w:t>
      </w:r>
      <w:r>
        <w:t>description</w:t>
      </w:r>
      <w:r>
        <w:rPr>
          <w:spacing w:val="-11"/>
        </w:rPr>
        <w:t xml:space="preserve"> </w:t>
      </w:r>
      <w:r>
        <w:t>of</w:t>
      </w:r>
      <w:r>
        <w:rPr>
          <w:spacing w:val="-11"/>
        </w:rPr>
        <w:t xml:space="preserve"> </w:t>
      </w:r>
      <w:r>
        <w:t>any</w:t>
      </w:r>
      <w:r>
        <w:rPr>
          <w:spacing w:val="-10"/>
        </w:rPr>
        <w:t xml:space="preserve"> </w:t>
      </w:r>
      <w:r>
        <w:t>specified</w:t>
      </w:r>
      <w:r>
        <w:rPr>
          <w:spacing w:val="-11"/>
        </w:rPr>
        <w:t xml:space="preserve"> </w:t>
      </w:r>
      <w:r>
        <w:t>threshold</w:t>
      </w:r>
      <w:r>
        <w:rPr>
          <w:spacing w:val="-11"/>
        </w:rPr>
        <w:t xml:space="preserve"> </w:t>
      </w:r>
      <w:r>
        <w:t>that</w:t>
      </w:r>
      <w:r>
        <w:rPr>
          <w:spacing w:val="-11"/>
        </w:rPr>
        <w:t xml:space="preserve"> </w:t>
      </w:r>
      <w:r>
        <w:t>the</w:t>
      </w:r>
      <w:r>
        <w:rPr>
          <w:spacing w:val="-10"/>
        </w:rPr>
        <w:t xml:space="preserve"> </w:t>
      </w:r>
      <w:r>
        <w:t>engaging</w:t>
      </w:r>
      <w:r>
        <w:rPr>
          <w:spacing w:val="-11"/>
        </w:rPr>
        <w:t xml:space="preserve"> </w:t>
      </w:r>
      <w:r>
        <w:t>party established for reporting exceptions.</w:t>
      </w:r>
    </w:p>
    <w:p w14:paraId="0DFDB304" w14:textId="77777777" w:rsidR="00046465" w:rsidRDefault="008134EB">
      <w:pPr>
        <w:pStyle w:val="ListParagraph"/>
        <w:numPr>
          <w:ilvl w:val="1"/>
          <w:numId w:val="192"/>
        </w:numPr>
        <w:tabs>
          <w:tab w:val="left" w:pos="2159"/>
        </w:tabs>
        <w:ind w:left="2159" w:right="805"/>
      </w:pPr>
      <w:r>
        <w:t>A</w:t>
      </w:r>
      <w:r>
        <w:rPr>
          <w:spacing w:val="-8"/>
        </w:rPr>
        <w:t xml:space="preserve"> </w:t>
      </w:r>
      <w:r>
        <w:t>statement</w:t>
      </w:r>
      <w:r>
        <w:rPr>
          <w:spacing w:val="-6"/>
        </w:rPr>
        <w:t xml:space="preserve"> </w:t>
      </w:r>
      <w:r>
        <w:t>that</w:t>
      </w:r>
      <w:r>
        <w:rPr>
          <w:spacing w:val="-6"/>
        </w:rPr>
        <w:t xml:space="preserve"> </w:t>
      </w:r>
      <w:r>
        <w:t>the</w:t>
      </w:r>
      <w:r>
        <w:rPr>
          <w:spacing w:val="-6"/>
        </w:rPr>
        <w:t xml:space="preserve"> </w:t>
      </w:r>
      <w:r>
        <w:t>agreed-upon</w:t>
      </w:r>
      <w:r>
        <w:rPr>
          <w:spacing w:val="-6"/>
        </w:rPr>
        <w:t xml:space="preserve"> </w:t>
      </w:r>
      <w:r>
        <w:t>procedures</w:t>
      </w:r>
      <w:r>
        <w:rPr>
          <w:spacing w:val="-6"/>
        </w:rPr>
        <w:t xml:space="preserve"> </w:t>
      </w:r>
      <w:r>
        <w:t>engagement</w:t>
      </w:r>
      <w:r>
        <w:rPr>
          <w:spacing w:val="-6"/>
        </w:rPr>
        <w:t xml:space="preserve"> </w:t>
      </w:r>
      <w:r>
        <w:t>was</w:t>
      </w:r>
      <w:r>
        <w:rPr>
          <w:spacing w:val="-6"/>
        </w:rPr>
        <w:t xml:space="preserve"> </w:t>
      </w:r>
      <w:r>
        <w:t>conducted</w:t>
      </w:r>
      <w:r>
        <w:rPr>
          <w:spacing w:val="-6"/>
        </w:rPr>
        <w:t xml:space="preserve"> </w:t>
      </w:r>
      <w:r>
        <w:t>in accordance with the AICPA’s attestation standards.</w:t>
      </w:r>
    </w:p>
    <w:p w14:paraId="0DFDB305" w14:textId="77777777" w:rsidR="00046465" w:rsidRDefault="008134EB">
      <w:pPr>
        <w:pStyle w:val="ListParagraph"/>
        <w:numPr>
          <w:ilvl w:val="1"/>
          <w:numId w:val="192"/>
        </w:numPr>
        <w:tabs>
          <w:tab w:val="left" w:pos="2159"/>
        </w:tabs>
        <w:ind w:left="2159" w:right="818"/>
      </w:pPr>
      <w:r>
        <w:t>A statement that the auditor was not engaged to and did not conduct an examination</w:t>
      </w:r>
      <w:r>
        <w:rPr>
          <w:spacing w:val="-4"/>
        </w:rPr>
        <w:t xml:space="preserve"> </w:t>
      </w:r>
      <w:r>
        <w:t>or</w:t>
      </w:r>
      <w:r>
        <w:rPr>
          <w:spacing w:val="-4"/>
        </w:rPr>
        <w:t xml:space="preserve"> </w:t>
      </w:r>
      <w:r>
        <w:t>review,</w:t>
      </w:r>
      <w:r>
        <w:rPr>
          <w:spacing w:val="-4"/>
        </w:rPr>
        <w:t xml:space="preserve"> </w:t>
      </w:r>
      <w:r>
        <w:t>the</w:t>
      </w:r>
      <w:r>
        <w:rPr>
          <w:spacing w:val="-4"/>
        </w:rPr>
        <w:t xml:space="preserve"> </w:t>
      </w:r>
      <w:r>
        <w:t>objective</w:t>
      </w:r>
      <w:r>
        <w:rPr>
          <w:spacing w:val="-5"/>
        </w:rPr>
        <w:t xml:space="preserve"> </w:t>
      </w:r>
      <w:r>
        <w:t>of</w:t>
      </w:r>
      <w:r>
        <w:rPr>
          <w:spacing w:val="-4"/>
        </w:rPr>
        <w:t xml:space="preserve"> </w:t>
      </w:r>
      <w:r>
        <w:t>which</w:t>
      </w:r>
      <w:r>
        <w:rPr>
          <w:spacing w:val="-4"/>
        </w:rPr>
        <w:t xml:space="preserve"> </w:t>
      </w:r>
      <w:r>
        <w:t>would</w:t>
      </w:r>
      <w:r>
        <w:rPr>
          <w:spacing w:val="-4"/>
        </w:rPr>
        <w:t xml:space="preserve"> </w:t>
      </w:r>
      <w:r>
        <w:t>be</w:t>
      </w:r>
      <w:r>
        <w:rPr>
          <w:spacing w:val="-4"/>
        </w:rPr>
        <w:t xml:space="preserve"> </w:t>
      </w:r>
      <w:r>
        <w:t>to</w:t>
      </w:r>
      <w:r>
        <w:rPr>
          <w:spacing w:val="-3"/>
        </w:rPr>
        <w:t xml:space="preserve"> </w:t>
      </w:r>
      <w:r>
        <w:t>express</w:t>
      </w:r>
      <w:r>
        <w:rPr>
          <w:spacing w:val="-4"/>
        </w:rPr>
        <w:t xml:space="preserve"> </w:t>
      </w:r>
      <w:r>
        <w:t>an</w:t>
      </w:r>
      <w:r>
        <w:rPr>
          <w:spacing w:val="-4"/>
        </w:rPr>
        <w:t xml:space="preserve"> </w:t>
      </w:r>
      <w:r>
        <w:t>opinion or conclusion, respectively, on the subject matter.</w:t>
      </w:r>
    </w:p>
    <w:p w14:paraId="0DFDB306" w14:textId="77777777" w:rsidR="00046465" w:rsidRDefault="00046465">
      <w:pPr>
        <w:pStyle w:val="ListParagraph"/>
        <w:sectPr w:rsidR="00046465">
          <w:pgSz w:w="12240" w:h="15840"/>
          <w:pgMar w:top="1340" w:right="720" w:bottom="940" w:left="1080" w:header="721" w:footer="757" w:gutter="0"/>
          <w:cols w:space="720"/>
        </w:sectPr>
      </w:pPr>
    </w:p>
    <w:p w14:paraId="0DFDB307" w14:textId="77777777" w:rsidR="00046465" w:rsidRDefault="008134EB">
      <w:pPr>
        <w:pStyle w:val="ListParagraph"/>
        <w:numPr>
          <w:ilvl w:val="1"/>
          <w:numId w:val="192"/>
        </w:numPr>
        <w:tabs>
          <w:tab w:val="left" w:pos="2159"/>
        </w:tabs>
        <w:spacing w:before="121"/>
        <w:ind w:left="2159" w:hanging="359"/>
        <w:jc w:val="both"/>
      </w:pPr>
      <w:r>
        <w:lastRenderedPageBreak/>
        <w:t>A</w:t>
      </w:r>
      <w:r>
        <w:rPr>
          <w:spacing w:val="-6"/>
        </w:rPr>
        <w:t xml:space="preserve"> </w:t>
      </w:r>
      <w:r>
        <w:t>statement</w:t>
      </w:r>
      <w:r>
        <w:rPr>
          <w:spacing w:val="-5"/>
        </w:rPr>
        <w:t xml:space="preserve"> </w:t>
      </w:r>
      <w:r>
        <w:t>that</w:t>
      </w:r>
      <w:r>
        <w:rPr>
          <w:spacing w:val="-6"/>
        </w:rPr>
        <w:t xml:space="preserve"> </w:t>
      </w:r>
      <w:r>
        <w:t>the</w:t>
      </w:r>
      <w:r>
        <w:rPr>
          <w:spacing w:val="-5"/>
        </w:rPr>
        <w:t xml:space="preserve"> </w:t>
      </w:r>
      <w:r>
        <w:t>auditor</w:t>
      </w:r>
      <w:r>
        <w:rPr>
          <w:spacing w:val="-5"/>
        </w:rPr>
        <w:t xml:space="preserve"> </w:t>
      </w:r>
      <w:r>
        <w:t>does</w:t>
      </w:r>
      <w:r>
        <w:rPr>
          <w:spacing w:val="-5"/>
        </w:rPr>
        <w:t xml:space="preserve"> </w:t>
      </w:r>
      <w:r>
        <w:t>not</w:t>
      </w:r>
      <w:r>
        <w:rPr>
          <w:spacing w:val="-6"/>
        </w:rPr>
        <w:t xml:space="preserve"> </w:t>
      </w:r>
      <w:r>
        <w:t>express</w:t>
      </w:r>
      <w:r>
        <w:rPr>
          <w:spacing w:val="-6"/>
        </w:rPr>
        <w:t xml:space="preserve"> </w:t>
      </w:r>
      <w:r>
        <w:t>such</w:t>
      </w:r>
      <w:r>
        <w:rPr>
          <w:spacing w:val="-5"/>
        </w:rPr>
        <w:t xml:space="preserve"> </w:t>
      </w:r>
      <w:r>
        <w:t>an</w:t>
      </w:r>
      <w:r>
        <w:rPr>
          <w:spacing w:val="-5"/>
        </w:rPr>
        <w:t xml:space="preserve"> </w:t>
      </w:r>
      <w:r>
        <w:t>opinion</w:t>
      </w:r>
      <w:r>
        <w:rPr>
          <w:spacing w:val="-5"/>
        </w:rPr>
        <w:t xml:space="preserve"> </w:t>
      </w:r>
      <w:r>
        <w:t>or</w:t>
      </w:r>
      <w:r>
        <w:rPr>
          <w:spacing w:val="-5"/>
        </w:rPr>
        <w:t xml:space="preserve"> </w:t>
      </w:r>
      <w:r>
        <w:rPr>
          <w:spacing w:val="-2"/>
        </w:rPr>
        <w:t>conclusion.</w:t>
      </w:r>
    </w:p>
    <w:p w14:paraId="0DFDB308" w14:textId="77777777" w:rsidR="00046465" w:rsidRDefault="008134EB">
      <w:pPr>
        <w:pStyle w:val="ListParagraph"/>
        <w:numPr>
          <w:ilvl w:val="1"/>
          <w:numId w:val="192"/>
        </w:numPr>
        <w:tabs>
          <w:tab w:val="left" w:pos="2159"/>
        </w:tabs>
        <w:ind w:left="2159" w:right="1245"/>
        <w:jc w:val="both"/>
      </w:pPr>
      <w:r>
        <w:t>A statement that had the auditor performed additional procedures, other matters</w:t>
      </w:r>
      <w:r>
        <w:rPr>
          <w:spacing w:val="-4"/>
        </w:rPr>
        <w:t xml:space="preserve"> </w:t>
      </w:r>
      <w:r>
        <w:t>might</w:t>
      </w:r>
      <w:r>
        <w:rPr>
          <w:spacing w:val="-4"/>
        </w:rPr>
        <w:t xml:space="preserve"> </w:t>
      </w:r>
      <w:r>
        <w:t>have</w:t>
      </w:r>
      <w:r>
        <w:rPr>
          <w:spacing w:val="-4"/>
        </w:rPr>
        <w:t xml:space="preserve"> </w:t>
      </w:r>
      <w:r>
        <w:t>come</w:t>
      </w:r>
      <w:r>
        <w:rPr>
          <w:spacing w:val="-4"/>
        </w:rPr>
        <w:t xml:space="preserve"> </w:t>
      </w:r>
      <w:r>
        <w:t>to</w:t>
      </w:r>
      <w:r>
        <w:rPr>
          <w:spacing w:val="-4"/>
        </w:rPr>
        <w:t xml:space="preserve"> </w:t>
      </w:r>
      <w:r>
        <w:t>the</w:t>
      </w:r>
      <w:r>
        <w:rPr>
          <w:spacing w:val="-4"/>
        </w:rPr>
        <w:t xml:space="preserve"> </w:t>
      </w:r>
      <w:r>
        <w:t>auditor’s</w:t>
      </w:r>
      <w:r>
        <w:rPr>
          <w:spacing w:val="-4"/>
        </w:rPr>
        <w:t xml:space="preserve"> </w:t>
      </w:r>
      <w:r>
        <w:t>attention</w:t>
      </w:r>
      <w:r>
        <w:rPr>
          <w:spacing w:val="-4"/>
        </w:rPr>
        <w:t xml:space="preserve"> </w:t>
      </w:r>
      <w:r>
        <w:t>that</w:t>
      </w:r>
      <w:r>
        <w:rPr>
          <w:spacing w:val="-4"/>
        </w:rPr>
        <w:t xml:space="preserve"> </w:t>
      </w:r>
      <w:r>
        <w:t>would</w:t>
      </w:r>
      <w:r>
        <w:rPr>
          <w:spacing w:val="-4"/>
        </w:rPr>
        <w:t xml:space="preserve"> </w:t>
      </w:r>
      <w:r>
        <w:t>have</w:t>
      </w:r>
      <w:r>
        <w:rPr>
          <w:spacing w:val="-4"/>
        </w:rPr>
        <w:t xml:space="preserve"> </w:t>
      </w:r>
      <w:r>
        <w:t xml:space="preserve">been </w:t>
      </w:r>
      <w:r>
        <w:rPr>
          <w:spacing w:val="-2"/>
        </w:rPr>
        <w:t>reported.</w:t>
      </w:r>
    </w:p>
    <w:p w14:paraId="0DFDB309" w14:textId="77777777" w:rsidR="00046465" w:rsidRDefault="008134EB">
      <w:pPr>
        <w:pStyle w:val="ListParagraph"/>
        <w:numPr>
          <w:ilvl w:val="1"/>
          <w:numId w:val="192"/>
        </w:numPr>
        <w:tabs>
          <w:tab w:val="left" w:pos="2159"/>
        </w:tabs>
        <w:ind w:left="2159" w:right="772"/>
      </w:pPr>
      <w:r>
        <w:t>A statement that the auditor is required to be independent of the responsible party and to meet the auditor’s other ethical responsibilities, in accordance with</w:t>
      </w:r>
      <w:r>
        <w:rPr>
          <w:spacing w:val="-5"/>
        </w:rPr>
        <w:t xml:space="preserve"> </w:t>
      </w:r>
      <w:r>
        <w:t>the</w:t>
      </w:r>
      <w:r>
        <w:rPr>
          <w:spacing w:val="-5"/>
        </w:rPr>
        <w:t xml:space="preserve"> </w:t>
      </w:r>
      <w:r>
        <w:t>relevant</w:t>
      </w:r>
      <w:r>
        <w:rPr>
          <w:spacing w:val="-5"/>
        </w:rPr>
        <w:t xml:space="preserve"> </w:t>
      </w:r>
      <w:r>
        <w:t>ethical</w:t>
      </w:r>
      <w:r>
        <w:rPr>
          <w:spacing w:val="-6"/>
        </w:rPr>
        <w:t xml:space="preserve"> </w:t>
      </w:r>
      <w:r>
        <w:t>requirements</w:t>
      </w:r>
      <w:r>
        <w:rPr>
          <w:spacing w:val="-5"/>
        </w:rPr>
        <w:t xml:space="preserve"> </w:t>
      </w:r>
      <w:r>
        <w:t>relating</w:t>
      </w:r>
      <w:r>
        <w:rPr>
          <w:spacing w:val="-5"/>
        </w:rPr>
        <w:t xml:space="preserve"> </w:t>
      </w:r>
      <w:r>
        <w:t>to</w:t>
      </w:r>
      <w:r>
        <w:rPr>
          <w:spacing w:val="-6"/>
        </w:rPr>
        <w:t xml:space="preserve"> </w:t>
      </w:r>
      <w:r>
        <w:t>the</w:t>
      </w:r>
      <w:r>
        <w:rPr>
          <w:spacing w:val="-5"/>
        </w:rPr>
        <w:t xml:space="preserve"> </w:t>
      </w:r>
      <w:r>
        <w:t>agreed-upon</w:t>
      </w:r>
      <w:r>
        <w:rPr>
          <w:spacing w:val="-5"/>
        </w:rPr>
        <w:t xml:space="preserve"> </w:t>
      </w:r>
      <w:r>
        <w:t xml:space="preserve">procedures </w:t>
      </w:r>
      <w:r>
        <w:rPr>
          <w:spacing w:val="-2"/>
        </w:rPr>
        <w:t>engagement.</w:t>
      </w:r>
    </w:p>
    <w:p w14:paraId="0DFDB30A" w14:textId="77777777" w:rsidR="00046465" w:rsidRDefault="008134EB">
      <w:pPr>
        <w:pStyle w:val="ListParagraph"/>
        <w:numPr>
          <w:ilvl w:val="1"/>
          <w:numId w:val="192"/>
        </w:numPr>
        <w:tabs>
          <w:tab w:val="left" w:pos="2159"/>
        </w:tabs>
        <w:spacing w:before="119"/>
        <w:ind w:left="2159" w:right="1166"/>
      </w:pPr>
      <w:r>
        <w:t>If</w:t>
      </w:r>
      <w:r>
        <w:rPr>
          <w:spacing w:val="-7"/>
        </w:rPr>
        <w:t xml:space="preserve"> </w:t>
      </w:r>
      <w:r>
        <w:t>applicable,</w:t>
      </w:r>
      <w:r>
        <w:rPr>
          <w:spacing w:val="-9"/>
        </w:rPr>
        <w:t xml:space="preserve"> </w:t>
      </w:r>
      <w:r>
        <w:t>a</w:t>
      </w:r>
      <w:r>
        <w:rPr>
          <w:spacing w:val="-9"/>
        </w:rPr>
        <w:t xml:space="preserve"> </w:t>
      </w:r>
      <w:r>
        <w:t>description</w:t>
      </w:r>
      <w:r>
        <w:rPr>
          <w:spacing w:val="-9"/>
        </w:rPr>
        <w:t xml:space="preserve"> </w:t>
      </w:r>
      <w:r>
        <w:t>of</w:t>
      </w:r>
      <w:r>
        <w:rPr>
          <w:spacing w:val="-9"/>
        </w:rPr>
        <w:t xml:space="preserve"> </w:t>
      </w:r>
      <w:r>
        <w:t>the</w:t>
      </w:r>
      <w:r>
        <w:rPr>
          <w:spacing w:val="-9"/>
        </w:rPr>
        <w:t xml:space="preserve"> </w:t>
      </w:r>
      <w:r>
        <w:t>nature</w:t>
      </w:r>
      <w:r>
        <w:rPr>
          <w:spacing w:val="-9"/>
        </w:rPr>
        <w:t xml:space="preserve"> </w:t>
      </w:r>
      <w:r>
        <w:t>of</w:t>
      </w:r>
      <w:r>
        <w:rPr>
          <w:spacing w:val="-9"/>
        </w:rPr>
        <w:t xml:space="preserve"> </w:t>
      </w:r>
      <w:r>
        <w:t>the</w:t>
      </w:r>
      <w:r>
        <w:rPr>
          <w:spacing w:val="-9"/>
        </w:rPr>
        <w:t xml:space="preserve"> </w:t>
      </w:r>
      <w:r>
        <w:t>assistance</w:t>
      </w:r>
      <w:r>
        <w:rPr>
          <w:spacing w:val="-9"/>
        </w:rPr>
        <w:t xml:space="preserve"> </w:t>
      </w:r>
      <w:r>
        <w:t>that</w:t>
      </w:r>
      <w:r>
        <w:rPr>
          <w:spacing w:val="-9"/>
        </w:rPr>
        <w:t xml:space="preserve"> </w:t>
      </w:r>
      <w:r>
        <w:t>an</w:t>
      </w:r>
      <w:r>
        <w:rPr>
          <w:spacing w:val="-9"/>
        </w:rPr>
        <w:t xml:space="preserve"> </w:t>
      </w:r>
      <w:r>
        <w:t>auditor’s external specialist provided (see AT-C 215.20).</w:t>
      </w:r>
    </w:p>
    <w:p w14:paraId="0DFDB30B" w14:textId="77777777" w:rsidR="00046465" w:rsidRDefault="008134EB">
      <w:pPr>
        <w:pStyle w:val="ListParagraph"/>
        <w:numPr>
          <w:ilvl w:val="1"/>
          <w:numId w:val="192"/>
        </w:numPr>
        <w:tabs>
          <w:tab w:val="left" w:pos="2159"/>
        </w:tabs>
        <w:spacing w:before="121"/>
        <w:ind w:left="2159" w:right="1463"/>
      </w:pPr>
      <w:r>
        <w:t>When</w:t>
      </w:r>
      <w:r>
        <w:rPr>
          <w:spacing w:val="-16"/>
        </w:rPr>
        <w:t xml:space="preserve"> </w:t>
      </w:r>
      <w:r>
        <w:t>applicable,</w:t>
      </w:r>
      <w:r>
        <w:rPr>
          <w:spacing w:val="-15"/>
        </w:rPr>
        <w:t xml:space="preserve"> </w:t>
      </w:r>
      <w:r>
        <w:t>reservations</w:t>
      </w:r>
      <w:r>
        <w:rPr>
          <w:spacing w:val="-15"/>
        </w:rPr>
        <w:t xml:space="preserve"> </w:t>
      </w:r>
      <w:r>
        <w:t>or</w:t>
      </w:r>
      <w:r>
        <w:rPr>
          <w:spacing w:val="-16"/>
        </w:rPr>
        <w:t xml:space="preserve"> </w:t>
      </w:r>
      <w:r>
        <w:t>restrictions</w:t>
      </w:r>
      <w:r>
        <w:rPr>
          <w:spacing w:val="-15"/>
        </w:rPr>
        <w:t xml:space="preserve"> </w:t>
      </w:r>
      <w:r>
        <w:t>concerning</w:t>
      </w:r>
      <w:r>
        <w:rPr>
          <w:spacing w:val="-15"/>
        </w:rPr>
        <w:t xml:space="preserve"> </w:t>
      </w:r>
      <w:r>
        <w:t>procedures</w:t>
      </w:r>
      <w:r>
        <w:rPr>
          <w:spacing w:val="-15"/>
        </w:rPr>
        <w:t xml:space="preserve"> </w:t>
      </w:r>
      <w:r>
        <w:t>or findings (see FAM 710.18).</w:t>
      </w:r>
    </w:p>
    <w:p w14:paraId="0DFDB30C" w14:textId="77777777" w:rsidR="00046465" w:rsidRDefault="008134EB">
      <w:pPr>
        <w:pStyle w:val="ListParagraph"/>
        <w:numPr>
          <w:ilvl w:val="1"/>
          <w:numId w:val="192"/>
        </w:numPr>
        <w:tabs>
          <w:tab w:val="left" w:pos="2158"/>
        </w:tabs>
        <w:ind w:left="2158" w:hanging="359"/>
      </w:pPr>
      <w:r>
        <w:t>The</w:t>
      </w:r>
      <w:r>
        <w:rPr>
          <w:spacing w:val="-12"/>
        </w:rPr>
        <w:t xml:space="preserve"> </w:t>
      </w:r>
      <w:r>
        <w:t>manual</w:t>
      </w:r>
      <w:r>
        <w:rPr>
          <w:spacing w:val="-10"/>
        </w:rPr>
        <w:t xml:space="preserve"> </w:t>
      </w:r>
      <w:r>
        <w:t>or</w:t>
      </w:r>
      <w:r>
        <w:rPr>
          <w:spacing w:val="-11"/>
        </w:rPr>
        <w:t xml:space="preserve"> </w:t>
      </w:r>
      <w:r>
        <w:t>printed</w:t>
      </w:r>
      <w:r>
        <w:rPr>
          <w:spacing w:val="-12"/>
        </w:rPr>
        <w:t xml:space="preserve"> </w:t>
      </w:r>
      <w:r>
        <w:t>signature</w:t>
      </w:r>
      <w:r>
        <w:rPr>
          <w:spacing w:val="-11"/>
        </w:rPr>
        <w:t xml:space="preserve"> </w:t>
      </w:r>
      <w:r>
        <w:t>of</w:t>
      </w:r>
      <w:r>
        <w:rPr>
          <w:spacing w:val="-12"/>
        </w:rPr>
        <w:t xml:space="preserve"> </w:t>
      </w:r>
      <w:r>
        <w:t>the</w:t>
      </w:r>
      <w:r>
        <w:rPr>
          <w:spacing w:val="-11"/>
        </w:rPr>
        <w:t xml:space="preserve"> </w:t>
      </w:r>
      <w:r>
        <w:t>audit</w:t>
      </w:r>
      <w:r>
        <w:rPr>
          <w:spacing w:val="-12"/>
        </w:rPr>
        <w:t xml:space="preserve"> </w:t>
      </w:r>
      <w:r>
        <w:rPr>
          <w:spacing w:val="-2"/>
        </w:rPr>
        <w:t>organization.</w:t>
      </w:r>
    </w:p>
    <w:p w14:paraId="0DFDB30D" w14:textId="77777777" w:rsidR="00046465" w:rsidRDefault="008134EB">
      <w:pPr>
        <w:pStyle w:val="ListParagraph"/>
        <w:numPr>
          <w:ilvl w:val="1"/>
          <w:numId w:val="192"/>
        </w:numPr>
        <w:tabs>
          <w:tab w:val="left" w:pos="2158"/>
        </w:tabs>
        <w:ind w:left="2158" w:hanging="359"/>
      </w:pPr>
      <w:r>
        <w:t>The</w:t>
      </w:r>
      <w:r>
        <w:rPr>
          <w:spacing w:val="-5"/>
        </w:rPr>
        <w:t xml:space="preserve"> </w:t>
      </w:r>
      <w:r>
        <w:t>city</w:t>
      </w:r>
      <w:r>
        <w:rPr>
          <w:spacing w:val="-4"/>
        </w:rPr>
        <w:t xml:space="preserve"> </w:t>
      </w:r>
      <w:r>
        <w:t>and</w:t>
      </w:r>
      <w:r>
        <w:rPr>
          <w:spacing w:val="-5"/>
        </w:rPr>
        <w:t xml:space="preserve"> </w:t>
      </w:r>
      <w:r>
        <w:t>state</w:t>
      </w:r>
      <w:r>
        <w:rPr>
          <w:spacing w:val="-4"/>
        </w:rPr>
        <w:t xml:space="preserve"> </w:t>
      </w:r>
      <w:r>
        <w:t>where</w:t>
      </w:r>
      <w:r>
        <w:rPr>
          <w:spacing w:val="-4"/>
        </w:rPr>
        <w:t xml:space="preserve"> </w:t>
      </w:r>
      <w:r>
        <w:t>the</w:t>
      </w:r>
      <w:r>
        <w:rPr>
          <w:spacing w:val="-4"/>
        </w:rPr>
        <w:t xml:space="preserve"> </w:t>
      </w:r>
      <w:r>
        <w:t>report</w:t>
      </w:r>
      <w:r>
        <w:rPr>
          <w:spacing w:val="-4"/>
        </w:rPr>
        <w:t xml:space="preserve"> </w:t>
      </w:r>
      <w:r>
        <w:t>is</w:t>
      </w:r>
      <w:r>
        <w:rPr>
          <w:spacing w:val="-5"/>
        </w:rPr>
        <w:t xml:space="preserve"> </w:t>
      </w:r>
      <w:r>
        <w:rPr>
          <w:spacing w:val="-2"/>
        </w:rPr>
        <w:t>issued.</w:t>
      </w:r>
    </w:p>
    <w:p w14:paraId="0DFDB30E" w14:textId="77777777" w:rsidR="00046465" w:rsidRDefault="008134EB">
      <w:pPr>
        <w:pStyle w:val="ListParagraph"/>
        <w:numPr>
          <w:ilvl w:val="1"/>
          <w:numId w:val="192"/>
        </w:numPr>
        <w:tabs>
          <w:tab w:val="left" w:pos="2157"/>
          <w:tab w:val="left" w:pos="2159"/>
        </w:tabs>
        <w:spacing w:before="119"/>
        <w:ind w:left="2159" w:right="848"/>
      </w:pPr>
      <w:r>
        <w:t>The</w:t>
      </w:r>
      <w:r>
        <w:rPr>
          <w:spacing w:val="-8"/>
        </w:rPr>
        <w:t xml:space="preserve"> </w:t>
      </w:r>
      <w:r>
        <w:t>date</w:t>
      </w:r>
      <w:r>
        <w:rPr>
          <w:spacing w:val="-8"/>
        </w:rPr>
        <w:t xml:space="preserve"> </w:t>
      </w:r>
      <w:r>
        <w:t>of</w:t>
      </w:r>
      <w:r>
        <w:rPr>
          <w:spacing w:val="-8"/>
        </w:rPr>
        <w:t xml:space="preserve"> </w:t>
      </w:r>
      <w:r>
        <w:t>the</w:t>
      </w:r>
      <w:r>
        <w:rPr>
          <w:spacing w:val="-8"/>
        </w:rPr>
        <w:t xml:space="preserve"> </w:t>
      </w:r>
      <w:r>
        <w:t>report.</w:t>
      </w:r>
      <w:r>
        <w:rPr>
          <w:spacing w:val="-7"/>
        </w:rPr>
        <w:t xml:space="preserve"> </w:t>
      </w:r>
      <w:r>
        <w:t>The</w:t>
      </w:r>
      <w:r>
        <w:rPr>
          <w:spacing w:val="-8"/>
        </w:rPr>
        <w:t xml:space="preserve"> </w:t>
      </w:r>
      <w:r>
        <w:t>report</w:t>
      </w:r>
      <w:r>
        <w:rPr>
          <w:spacing w:val="-8"/>
        </w:rPr>
        <w:t xml:space="preserve"> </w:t>
      </w:r>
      <w:r>
        <w:t>should</w:t>
      </w:r>
      <w:r>
        <w:rPr>
          <w:spacing w:val="-8"/>
        </w:rPr>
        <w:t xml:space="preserve"> </w:t>
      </w:r>
      <w:r>
        <w:t>be</w:t>
      </w:r>
      <w:r>
        <w:rPr>
          <w:spacing w:val="-8"/>
        </w:rPr>
        <w:t xml:space="preserve"> </w:t>
      </w:r>
      <w:r>
        <w:t>dated</w:t>
      </w:r>
      <w:r>
        <w:rPr>
          <w:spacing w:val="-8"/>
        </w:rPr>
        <w:t xml:space="preserve"> </w:t>
      </w:r>
      <w:r>
        <w:t>no</w:t>
      </w:r>
      <w:r>
        <w:rPr>
          <w:spacing w:val="-8"/>
        </w:rPr>
        <w:t xml:space="preserve"> </w:t>
      </w:r>
      <w:r>
        <w:t>earlier</w:t>
      </w:r>
      <w:r>
        <w:rPr>
          <w:spacing w:val="-8"/>
        </w:rPr>
        <w:t xml:space="preserve"> </w:t>
      </w:r>
      <w:r>
        <w:t>than</w:t>
      </w:r>
      <w:r>
        <w:rPr>
          <w:spacing w:val="-8"/>
        </w:rPr>
        <w:t xml:space="preserve"> </w:t>
      </w:r>
      <w:r>
        <w:t>the</w:t>
      </w:r>
      <w:r>
        <w:rPr>
          <w:spacing w:val="-8"/>
        </w:rPr>
        <w:t xml:space="preserve"> </w:t>
      </w:r>
      <w:r>
        <w:t>date</w:t>
      </w:r>
      <w:r>
        <w:rPr>
          <w:spacing w:val="-7"/>
        </w:rPr>
        <w:t xml:space="preserve"> </w:t>
      </w:r>
      <w:r>
        <w:t>on which the auditor completed the procedures and determined the results, including that the attestation documentation has been reviewed and if applicable,</w:t>
      </w:r>
      <w:r>
        <w:rPr>
          <w:spacing w:val="-4"/>
        </w:rPr>
        <w:t xml:space="preserve"> </w:t>
      </w:r>
      <w:r>
        <w:t>the</w:t>
      </w:r>
      <w:r>
        <w:rPr>
          <w:spacing w:val="-3"/>
        </w:rPr>
        <w:t xml:space="preserve"> </w:t>
      </w:r>
      <w:r>
        <w:t>written</w:t>
      </w:r>
      <w:r>
        <w:rPr>
          <w:spacing w:val="-3"/>
        </w:rPr>
        <w:t xml:space="preserve"> </w:t>
      </w:r>
      <w:r>
        <w:t>presentation</w:t>
      </w:r>
      <w:r>
        <w:rPr>
          <w:spacing w:val="-3"/>
        </w:rPr>
        <w:t xml:space="preserve"> </w:t>
      </w:r>
      <w:r>
        <w:t>of</w:t>
      </w:r>
      <w:r>
        <w:rPr>
          <w:spacing w:val="-3"/>
        </w:rPr>
        <w:t xml:space="preserve"> </w:t>
      </w:r>
      <w:r>
        <w:t>the</w:t>
      </w:r>
      <w:r>
        <w:rPr>
          <w:spacing w:val="-3"/>
        </w:rPr>
        <w:t xml:space="preserve"> </w:t>
      </w:r>
      <w:r>
        <w:t>subject</w:t>
      </w:r>
      <w:r>
        <w:rPr>
          <w:spacing w:val="-4"/>
        </w:rPr>
        <w:t xml:space="preserve"> </w:t>
      </w:r>
      <w:r>
        <w:t>matter</w:t>
      </w:r>
      <w:r>
        <w:rPr>
          <w:spacing w:val="-3"/>
        </w:rPr>
        <w:t xml:space="preserve"> </w:t>
      </w:r>
      <w:r>
        <w:t>has</w:t>
      </w:r>
      <w:r>
        <w:rPr>
          <w:spacing w:val="-3"/>
        </w:rPr>
        <w:t xml:space="preserve"> </w:t>
      </w:r>
      <w:r>
        <w:t>been</w:t>
      </w:r>
      <w:r>
        <w:rPr>
          <w:spacing w:val="-3"/>
        </w:rPr>
        <w:t xml:space="preserve"> </w:t>
      </w:r>
      <w:r>
        <w:t>prepared.</w:t>
      </w:r>
    </w:p>
    <w:p w14:paraId="0DFDB30F" w14:textId="77777777" w:rsidR="00046465" w:rsidRDefault="008134EB">
      <w:pPr>
        <w:pStyle w:val="ListParagraph"/>
        <w:numPr>
          <w:ilvl w:val="0"/>
          <w:numId w:val="192"/>
        </w:numPr>
        <w:tabs>
          <w:tab w:val="left" w:pos="1799"/>
        </w:tabs>
        <w:ind w:left="1799" w:right="1106"/>
      </w:pPr>
      <w:r>
        <w:t>The</w:t>
      </w:r>
      <w:r>
        <w:rPr>
          <w:spacing w:val="-4"/>
        </w:rPr>
        <w:t xml:space="preserve"> </w:t>
      </w:r>
      <w:r>
        <w:t>auditor</w:t>
      </w:r>
      <w:r>
        <w:rPr>
          <w:spacing w:val="-6"/>
        </w:rPr>
        <w:t xml:space="preserve"> </w:t>
      </w:r>
      <w:r>
        <w:t>should</w:t>
      </w:r>
      <w:r>
        <w:rPr>
          <w:spacing w:val="-3"/>
        </w:rPr>
        <w:t xml:space="preserve"> </w:t>
      </w:r>
      <w:r>
        <w:t>present</w:t>
      </w:r>
      <w:r>
        <w:rPr>
          <w:spacing w:val="-4"/>
        </w:rPr>
        <w:t xml:space="preserve"> </w:t>
      </w:r>
      <w:r>
        <w:t>the</w:t>
      </w:r>
      <w:r>
        <w:rPr>
          <w:spacing w:val="-4"/>
        </w:rPr>
        <w:t xml:space="preserve"> </w:t>
      </w:r>
      <w:r>
        <w:t>results</w:t>
      </w:r>
      <w:r>
        <w:rPr>
          <w:spacing w:val="-4"/>
        </w:rPr>
        <w:t xml:space="preserve"> </w:t>
      </w:r>
      <w:r>
        <w:t>of</w:t>
      </w:r>
      <w:r>
        <w:rPr>
          <w:spacing w:val="-4"/>
        </w:rPr>
        <w:t xml:space="preserve"> </w:t>
      </w:r>
      <w:r>
        <w:t>applying</w:t>
      </w:r>
      <w:r>
        <w:rPr>
          <w:spacing w:val="-4"/>
        </w:rPr>
        <w:t xml:space="preserve"> </w:t>
      </w:r>
      <w:r>
        <w:t>agreed-upon</w:t>
      </w:r>
      <w:r>
        <w:rPr>
          <w:spacing w:val="-4"/>
        </w:rPr>
        <w:t xml:space="preserve"> </w:t>
      </w:r>
      <w:r>
        <w:t>procedures</w:t>
      </w:r>
      <w:r>
        <w:rPr>
          <w:spacing w:val="-4"/>
        </w:rPr>
        <w:t xml:space="preserve"> </w:t>
      </w:r>
      <w:r>
        <w:t>to specific subject matter in the form of findings and should report all findings arising</w:t>
      </w:r>
      <w:r>
        <w:rPr>
          <w:spacing w:val="-3"/>
        </w:rPr>
        <w:t xml:space="preserve"> </w:t>
      </w:r>
      <w:r>
        <w:t>from</w:t>
      </w:r>
      <w:r>
        <w:rPr>
          <w:spacing w:val="-4"/>
        </w:rPr>
        <w:t xml:space="preserve"> </w:t>
      </w:r>
      <w:r>
        <w:t>such</w:t>
      </w:r>
      <w:r>
        <w:rPr>
          <w:spacing w:val="-3"/>
        </w:rPr>
        <w:t xml:space="preserve"> </w:t>
      </w:r>
      <w:r>
        <w:t>application</w:t>
      </w:r>
      <w:r>
        <w:rPr>
          <w:spacing w:val="-3"/>
        </w:rPr>
        <w:t xml:space="preserve"> </w:t>
      </w:r>
      <w:r>
        <w:t>(AT-C</w:t>
      </w:r>
      <w:r>
        <w:rPr>
          <w:spacing w:val="-4"/>
        </w:rPr>
        <w:t xml:space="preserve"> </w:t>
      </w:r>
      <w:r>
        <w:t>215.24</w:t>
      </w:r>
      <w:r>
        <w:rPr>
          <w:spacing w:val="-3"/>
        </w:rPr>
        <w:t xml:space="preserve"> </w:t>
      </w:r>
      <w:r>
        <w:t>and</w:t>
      </w:r>
      <w:r>
        <w:rPr>
          <w:spacing w:val="-3"/>
        </w:rPr>
        <w:t xml:space="preserve"> </w:t>
      </w:r>
      <w:r>
        <w:t>.25).</w:t>
      </w:r>
      <w:r>
        <w:rPr>
          <w:spacing w:val="-3"/>
        </w:rPr>
        <w:t xml:space="preserve"> </w:t>
      </w:r>
      <w:r>
        <w:t>A</w:t>
      </w:r>
      <w:r>
        <w:rPr>
          <w:spacing w:val="-3"/>
        </w:rPr>
        <w:t xml:space="preserve"> </w:t>
      </w:r>
      <w:r>
        <w:t>threshold</w:t>
      </w:r>
      <w:r>
        <w:rPr>
          <w:spacing w:val="-3"/>
        </w:rPr>
        <w:t xml:space="preserve"> </w:t>
      </w:r>
      <w:r>
        <w:t>for</w:t>
      </w:r>
      <w:r>
        <w:rPr>
          <w:spacing w:val="-3"/>
        </w:rPr>
        <w:t xml:space="preserve"> </w:t>
      </w:r>
      <w:r>
        <w:t>reporting exceptions</w:t>
      </w:r>
      <w:r>
        <w:rPr>
          <w:spacing w:val="-2"/>
        </w:rPr>
        <w:t xml:space="preserve"> </w:t>
      </w:r>
      <w:r>
        <w:t>does</w:t>
      </w:r>
      <w:r>
        <w:rPr>
          <w:spacing w:val="-1"/>
        </w:rPr>
        <w:t xml:space="preserve"> </w:t>
      </w:r>
      <w:r>
        <w:t>not</w:t>
      </w:r>
      <w:r>
        <w:rPr>
          <w:spacing w:val="-1"/>
        </w:rPr>
        <w:t xml:space="preserve"> </w:t>
      </w:r>
      <w:r>
        <w:t>apply</w:t>
      </w:r>
      <w:r>
        <w:rPr>
          <w:spacing w:val="-1"/>
        </w:rPr>
        <w:t xml:space="preserve"> </w:t>
      </w:r>
      <w:r>
        <w:t>to</w:t>
      </w:r>
      <w:r>
        <w:rPr>
          <w:spacing w:val="-1"/>
        </w:rPr>
        <w:t xml:space="preserve"> </w:t>
      </w:r>
      <w:r>
        <w:t>findings</w:t>
      </w:r>
      <w:r>
        <w:rPr>
          <w:spacing w:val="-1"/>
        </w:rPr>
        <w:t xml:space="preserve"> </w:t>
      </w:r>
      <w:r>
        <w:t>reported</w:t>
      </w:r>
      <w:r>
        <w:rPr>
          <w:spacing w:val="-1"/>
        </w:rPr>
        <w:t xml:space="preserve"> </w:t>
      </w:r>
      <w:r>
        <w:t>in</w:t>
      </w:r>
      <w:r>
        <w:rPr>
          <w:spacing w:val="-1"/>
        </w:rPr>
        <w:t xml:space="preserve"> </w:t>
      </w:r>
      <w:r>
        <w:t>an</w:t>
      </w:r>
      <w:r>
        <w:rPr>
          <w:spacing w:val="-1"/>
        </w:rPr>
        <w:t xml:space="preserve"> </w:t>
      </w:r>
      <w:r>
        <w:t>agreed-upon</w:t>
      </w:r>
      <w:r>
        <w:rPr>
          <w:spacing w:val="-1"/>
        </w:rPr>
        <w:t xml:space="preserve"> </w:t>
      </w:r>
      <w:r>
        <w:t>procedures engagement unless the engaging party establishes such a threshold (AT-C 215.A37). If the engaging party has established such a threshold, the auditor should describe it in the agreed-upon procedures report (AT-C 215.25).</w:t>
      </w:r>
    </w:p>
    <w:p w14:paraId="0DFDB310" w14:textId="77777777" w:rsidR="00046465" w:rsidRDefault="008134EB">
      <w:pPr>
        <w:pStyle w:val="ListParagraph"/>
        <w:numPr>
          <w:ilvl w:val="0"/>
          <w:numId w:val="192"/>
        </w:numPr>
        <w:tabs>
          <w:tab w:val="left" w:pos="1800"/>
        </w:tabs>
        <w:ind w:right="762"/>
      </w:pPr>
      <w:r>
        <w:t>The</w:t>
      </w:r>
      <w:r>
        <w:rPr>
          <w:spacing w:val="-4"/>
        </w:rPr>
        <w:t xml:space="preserve"> </w:t>
      </w:r>
      <w:r>
        <w:t>auditor</w:t>
      </w:r>
      <w:r>
        <w:rPr>
          <w:spacing w:val="-5"/>
        </w:rPr>
        <w:t xml:space="preserve"> </w:t>
      </w:r>
      <w:r>
        <w:t>should</w:t>
      </w:r>
      <w:r>
        <w:rPr>
          <w:spacing w:val="-3"/>
        </w:rPr>
        <w:t xml:space="preserve"> </w:t>
      </w:r>
      <w:r>
        <w:t>consider</w:t>
      </w:r>
      <w:r>
        <w:rPr>
          <w:spacing w:val="-4"/>
        </w:rPr>
        <w:t xml:space="preserve"> </w:t>
      </w:r>
      <w:r>
        <w:t>whether</w:t>
      </w:r>
      <w:r>
        <w:rPr>
          <w:spacing w:val="-4"/>
        </w:rPr>
        <w:t xml:space="preserve"> </w:t>
      </w:r>
      <w:r>
        <w:t>to</w:t>
      </w:r>
      <w:r>
        <w:rPr>
          <w:spacing w:val="-4"/>
        </w:rPr>
        <w:t xml:space="preserve"> </w:t>
      </w:r>
      <w:r>
        <w:t>include</w:t>
      </w:r>
      <w:r>
        <w:rPr>
          <w:spacing w:val="-4"/>
        </w:rPr>
        <w:t xml:space="preserve"> </w:t>
      </w:r>
      <w:r>
        <w:t>an</w:t>
      </w:r>
      <w:r>
        <w:rPr>
          <w:spacing w:val="-4"/>
        </w:rPr>
        <w:t xml:space="preserve"> </w:t>
      </w:r>
      <w:r>
        <w:t>alert,</w:t>
      </w:r>
      <w:r>
        <w:rPr>
          <w:spacing w:val="-4"/>
        </w:rPr>
        <w:t xml:space="preserve"> </w:t>
      </w:r>
      <w:r>
        <w:t>in</w:t>
      </w:r>
      <w:r>
        <w:rPr>
          <w:spacing w:val="-4"/>
        </w:rPr>
        <w:t xml:space="preserve"> </w:t>
      </w:r>
      <w:r>
        <w:t>a</w:t>
      </w:r>
      <w:r>
        <w:rPr>
          <w:spacing w:val="-4"/>
        </w:rPr>
        <w:t xml:space="preserve"> </w:t>
      </w:r>
      <w:r>
        <w:t>separate</w:t>
      </w:r>
      <w:r>
        <w:rPr>
          <w:spacing w:val="-4"/>
        </w:rPr>
        <w:t xml:space="preserve"> </w:t>
      </w:r>
      <w:r>
        <w:t>paragraph, that restricts the use of the auditor’s agreed-upon procedures report, taking into account the understanding with the engaging party regarding the nature of the engagement (AT-C 215.35). Although use of the report may be restricted to specified parties for its intended purpose(s), governmental reports are generally a matter of public record. Therefore, generally the distribution of the report is not limited, and the audit organization may provide copies upon request. However, contractual, legal, or other restrictions may limit distribution. See AT-C 215.35 through .38 for additional guidance on restricting the use of the report.</w:t>
      </w:r>
    </w:p>
    <w:p w14:paraId="0DFDB311" w14:textId="77777777" w:rsidR="00046465" w:rsidRDefault="008134EB">
      <w:pPr>
        <w:pStyle w:val="ListParagraph"/>
        <w:numPr>
          <w:ilvl w:val="0"/>
          <w:numId w:val="192"/>
        </w:numPr>
        <w:tabs>
          <w:tab w:val="left" w:pos="1801"/>
        </w:tabs>
        <w:spacing w:before="121"/>
        <w:ind w:left="1801" w:right="726"/>
      </w:pPr>
      <w:r>
        <w:t>The auditor may have performed agreed-upon procedures on an element, account, or item of the financial statements and also audited the same financial statements. If the audit report on the financial statements includes a departure from</w:t>
      </w:r>
      <w:r>
        <w:rPr>
          <w:spacing w:val="-4"/>
        </w:rPr>
        <w:t xml:space="preserve"> </w:t>
      </w:r>
      <w:r>
        <w:t>a</w:t>
      </w:r>
      <w:r>
        <w:rPr>
          <w:spacing w:val="-3"/>
        </w:rPr>
        <w:t xml:space="preserve"> </w:t>
      </w:r>
      <w:r>
        <w:t>standard</w:t>
      </w:r>
      <w:r>
        <w:rPr>
          <w:spacing w:val="-3"/>
        </w:rPr>
        <w:t xml:space="preserve"> </w:t>
      </w:r>
      <w:r>
        <w:t>report,</w:t>
      </w:r>
      <w:r>
        <w:rPr>
          <w:spacing w:val="-3"/>
        </w:rPr>
        <w:t xml:space="preserve"> </w:t>
      </w:r>
      <w:r>
        <w:t>the</w:t>
      </w:r>
      <w:r>
        <w:rPr>
          <w:spacing w:val="-3"/>
        </w:rPr>
        <w:t xml:space="preserve"> </w:t>
      </w:r>
      <w:r>
        <w:t>auditor</w:t>
      </w:r>
      <w:r>
        <w:rPr>
          <w:spacing w:val="-3"/>
        </w:rPr>
        <w:t xml:space="preserve"> </w:t>
      </w:r>
      <w:r>
        <w:t>may</w:t>
      </w:r>
      <w:r>
        <w:rPr>
          <w:spacing w:val="-3"/>
        </w:rPr>
        <w:t xml:space="preserve"> </w:t>
      </w:r>
      <w:r>
        <w:t>refer</w:t>
      </w:r>
      <w:r>
        <w:rPr>
          <w:spacing w:val="-3"/>
        </w:rPr>
        <w:t xml:space="preserve"> </w:t>
      </w:r>
      <w:r>
        <w:t>to</w:t>
      </w:r>
      <w:r>
        <w:rPr>
          <w:spacing w:val="-3"/>
        </w:rPr>
        <w:t xml:space="preserve"> </w:t>
      </w:r>
      <w:r>
        <w:t>the</w:t>
      </w:r>
      <w:r>
        <w:rPr>
          <w:spacing w:val="-3"/>
        </w:rPr>
        <w:t xml:space="preserve"> </w:t>
      </w:r>
      <w:r>
        <w:t>audit</w:t>
      </w:r>
      <w:r>
        <w:rPr>
          <w:spacing w:val="-3"/>
        </w:rPr>
        <w:t xml:space="preserve"> </w:t>
      </w:r>
      <w:r>
        <w:t>report</w:t>
      </w:r>
      <w:r>
        <w:rPr>
          <w:spacing w:val="-3"/>
        </w:rPr>
        <w:t xml:space="preserve"> </w:t>
      </w:r>
      <w:r>
        <w:t>and</w:t>
      </w:r>
      <w:r>
        <w:rPr>
          <w:spacing w:val="-3"/>
        </w:rPr>
        <w:t xml:space="preserve"> </w:t>
      </w:r>
      <w:r>
        <w:t>the</w:t>
      </w:r>
      <w:r>
        <w:rPr>
          <w:spacing w:val="-4"/>
        </w:rPr>
        <w:t xml:space="preserve"> </w:t>
      </w:r>
      <w:r>
        <w:t>departure from the standard report in the agreed-upon procedures report. (AT-C 215.A73)</w:t>
      </w:r>
    </w:p>
    <w:p w14:paraId="0DFDB312" w14:textId="77777777" w:rsidR="00046465" w:rsidRDefault="008134EB">
      <w:pPr>
        <w:pStyle w:val="ListParagraph"/>
        <w:numPr>
          <w:ilvl w:val="0"/>
          <w:numId w:val="192"/>
        </w:numPr>
        <w:tabs>
          <w:tab w:val="left" w:pos="1801"/>
        </w:tabs>
        <w:ind w:left="1801" w:right="1069"/>
      </w:pPr>
      <w:r>
        <w:t>The</w:t>
      </w:r>
      <w:r>
        <w:rPr>
          <w:spacing w:val="-4"/>
        </w:rPr>
        <w:t xml:space="preserve"> </w:t>
      </w:r>
      <w:r>
        <w:t>auditor</w:t>
      </w:r>
      <w:r>
        <w:rPr>
          <w:spacing w:val="-6"/>
        </w:rPr>
        <w:t xml:space="preserve"> </w:t>
      </w:r>
      <w:r>
        <w:t>may</w:t>
      </w:r>
      <w:r>
        <w:rPr>
          <w:spacing w:val="-4"/>
        </w:rPr>
        <w:t xml:space="preserve"> </w:t>
      </w:r>
      <w:r>
        <w:t>include</w:t>
      </w:r>
      <w:r>
        <w:rPr>
          <w:spacing w:val="-5"/>
        </w:rPr>
        <w:t xml:space="preserve"> </w:t>
      </w:r>
      <w:r>
        <w:t>in</w:t>
      </w:r>
      <w:r>
        <w:rPr>
          <w:spacing w:val="-4"/>
        </w:rPr>
        <w:t xml:space="preserve"> </w:t>
      </w:r>
      <w:r>
        <w:t>the</w:t>
      </w:r>
      <w:r>
        <w:rPr>
          <w:spacing w:val="-4"/>
        </w:rPr>
        <w:t xml:space="preserve"> </w:t>
      </w:r>
      <w:r>
        <w:t>agreed-upon</w:t>
      </w:r>
      <w:r>
        <w:rPr>
          <w:spacing w:val="-4"/>
        </w:rPr>
        <w:t xml:space="preserve"> </w:t>
      </w:r>
      <w:r>
        <w:t>procedures</w:t>
      </w:r>
      <w:r>
        <w:rPr>
          <w:spacing w:val="-4"/>
        </w:rPr>
        <w:t xml:space="preserve"> </w:t>
      </w:r>
      <w:r>
        <w:t>report</w:t>
      </w:r>
      <w:r>
        <w:rPr>
          <w:spacing w:val="-4"/>
        </w:rPr>
        <w:t xml:space="preserve"> </w:t>
      </w:r>
      <w:r>
        <w:t>reservations</w:t>
      </w:r>
      <w:r>
        <w:rPr>
          <w:spacing w:val="-4"/>
        </w:rPr>
        <w:t xml:space="preserve"> </w:t>
      </w:r>
      <w:r>
        <w:t xml:space="preserve">or restrictions concerning procedures or findings, such as the following (AT-C </w:t>
      </w:r>
      <w:r>
        <w:rPr>
          <w:spacing w:val="-2"/>
        </w:rPr>
        <w:t>215.A60):</w:t>
      </w:r>
    </w:p>
    <w:p w14:paraId="0DFDB313" w14:textId="77777777" w:rsidR="00046465" w:rsidRDefault="008134EB">
      <w:pPr>
        <w:pStyle w:val="ListParagraph"/>
        <w:numPr>
          <w:ilvl w:val="1"/>
          <w:numId w:val="192"/>
        </w:numPr>
        <w:tabs>
          <w:tab w:val="left" w:pos="2161"/>
        </w:tabs>
        <w:spacing w:before="119"/>
        <w:ind w:left="2161" w:right="1012"/>
      </w:pPr>
      <w:r>
        <w:t>disclosure</w:t>
      </w:r>
      <w:r>
        <w:rPr>
          <w:spacing w:val="-5"/>
        </w:rPr>
        <w:t xml:space="preserve"> </w:t>
      </w:r>
      <w:r>
        <w:t>of</w:t>
      </w:r>
      <w:r>
        <w:rPr>
          <w:spacing w:val="-5"/>
        </w:rPr>
        <w:t xml:space="preserve"> </w:t>
      </w:r>
      <w:r>
        <w:t>stipulated</w:t>
      </w:r>
      <w:r>
        <w:rPr>
          <w:spacing w:val="-5"/>
        </w:rPr>
        <w:t xml:space="preserve"> </w:t>
      </w:r>
      <w:r>
        <w:t>facts,</w:t>
      </w:r>
      <w:r>
        <w:rPr>
          <w:spacing w:val="-5"/>
        </w:rPr>
        <w:t xml:space="preserve"> </w:t>
      </w:r>
      <w:r>
        <w:t>assumptions,</w:t>
      </w:r>
      <w:r>
        <w:rPr>
          <w:spacing w:val="-5"/>
        </w:rPr>
        <w:t xml:space="preserve"> </w:t>
      </w:r>
      <w:r>
        <w:t>or</w:t>
      </w:r>
      <w:r>
        <w:rPr>
          <w:spacing w:val="-5"/>
        </w:rPr>
        <w:t xml:space="preserve"> </w:t>
      </w:r>
      <w:r>
        <w:t>interpretations</w:t>
      </w:r>
      <w:r>
        <w:rPr>
          <w:spacing w:val="-6"/>
        </w:rPr>
        <w:t xml:space="preserve"> </w:t>
      </w:r>
      <w:r>
        <w:t>(including</w:t>
      </w:r>
      <w:r>
        <w:rPr>
          <w:spacing w:val="-5"/>
        </w:rPr>
        <w:t xml:space="preserve"> </w:t>
      </w:r>
      <w:r>
        <w:t>the source thereof) used in the application of procedures;</w:t>
      </w:r>
    </w:p>
    <w:p w14:paraId="0DFDB314" w14:textId="77777777" w:rsidR="00046465" w:rsidRDefault="008134EB">
      <w:pPr>
        <w:pStyle w:val="ListParagraph"/>
        <w:numPr>
          <w:ilvl w:val="1"/>
          <w:numId w:val="192"/>
        </w:numPr>
        <w:tabs>
          <w:tab w:val="left" w:pos="2161"/>
        </w:tabs>
        <w:spacing w:before="121"/>
        <w:ind w:left="2161" w:right="1685"/>
      </w:pPr>
      <w:r>
        <w:t>description</w:t>
      </w:r>
      <w:r>
        <w:rPr>
          <w:spacing w:val="-6"/>
        </w:rPr>
        <w:t xml:space="preserve"> </w:t>
      </w:r>
      <w:r>
        <w:t>of</w:t>
      </w:r>
      <w:r>
        <w:rPr>
          <w:spacing w:val="-4"/>
        </w:rPr>
        <w:t xml:space="preserve"> </w:t>
      </w:r>
      <w:r>
        <w:t>the</w:t>
      </w:r>
      <w:r>
        <w:rPr>
          <w:spacing w:val="-4"/>
        </w:rPr>
        <w:t xml:space="preserve"> </w:t>
      </w:r>
      <w:r>
        <w:t>condition</w:t>
      </w:r>
      <w:r>
        <w:rPr>
          <w:spacing w:val="-4"/>
        </w:rPr>
        <w:t xml:space="preserve"> </w:t>
      </w:r>
      <w:r>
        <w:t>of</w:t>
      </w:r>
      <w:r>
        <w:rPr>
          <w:spacing w:val="-4"/>
        </w:rPr>
        <w:t xml:space="preserve"> </w:t>
      </w:r>
      <w:r>
        <w:t>records,</w:t>
      </w:r>
      <w:r>
        <w:rPr>
          <w:spacing w:val="-4"/>
        </w:rPr>
        <w:t xml:space="preserve"> </w:t>
      </w:r>
      <w:r>
        <w:t>controls,</w:t>
      </w:r>
      <w:r>
        <w:rPr>
          <w:spacing w:val="-5"/>
        </w:rPr>
        <w:t xml:space="preserve"> </w:t>
      </w:r>
      <w:r>
        <w:t>or</w:t>
      </w:r>
      <w:r>
        <w:rPr>
          <w:spacing w:val="-4"/>
        </w:rPr>
        <w:t xml:space="preserve"> </w:t>
      </w:r>
      <w:r>
        <w:t>data</w:t>
      </w:r>
      <w:r>
        <w:rPr>
          <w:spacing w:val="-4"/>
        </w:rPr>
        <w:t xml:space="preserve"> </w:t>
      </w:r>
      <w:r>
        <w:t>to</w:t>
      </w:r>
      <w:r>
        <w:rPr>
          <w:spacing w:val="-4"/>
        </w:rPr>
        <w:t xml:space="preserve"> </w:t>
      </w:r>
      <w:r>
        <w:t>which</w:t>
      </w:r>
      <w:r>
        <w:rPr>
          <w:spacing w:val="-4"/>
        </w:rPr>
        <w:t xml:space="preserve"> </w:t>
      </w:r>
      <w:r>
        <w:t>the procedures were applied;</w:t>
      </w:r>
    </w:p>
    <w:p w14:paraId="0DFDB315" w14:textId="77777777" w:rsidR="00046465" w:rsidRDefault="00046465">
      <w:pPr>
        <w:pStyle w:val="ListParagraph"/>
        <w:sectPr w:rsidR="00046465">
          <w:pgSz w:w="12240" w:h="15840"/>
          <w:pgMar w:top="1340" w:right="720" w:bottom="1020" w:left="1080" w:header="721" w:footer="757" w:gutter="0"/>
          <w:cols w:space="720"/>
        </w:sectPr>
      </w:pPr>
    </w:p>
    <w:p w14:paraId="0DFDB316" w14:textId="77777777" w:rsidR="00046465" w:rsidRDefault="008134EB">
      <w:pPr>
        <w:pStyle w:val="ListParagraph"/>
        <w:numPr>
          <w:ilvl w:val="1"/>
          <w:numId w:val="192"/>
        </w:numPr>
        <w:tabs>
          <w:tab w:val="left" w:pos="2159"/>
        </w:tabs>
        <w:spacing w:before="121"/>
        <w:ind w:left="2159" w:hanging="359"/>
      </w:pPr>
      <w:r>
        <w:lastRenderedPageBreak/>
        <w:t>explanation</w:t>
      </w:r>
      <w:r>
        <w:rPr>
          <w:spacing w:val="-7"/>
        </w:rPr>
        <w:t xml:space="preserve"> </w:t>
      </w:r>
      <w:r>
        <w:t>that</w:t>
      </w:r>
      <w:r>
        <w:rPr>
          <w:spacing w:val="-6"/>
        </w:rPr>
        <w:t xml:space="preserve"> </w:t>
      </w:r>
      <w:r>
        <w:t>the</w:t>
      </w:r>
      <w:r>
        <w:rPr>
          <w:spacing w:val="-7"/>
        </w:rPr>
        <w:t xml:space="preserve"> </w:t>
      </w:r>
      <w:r>
        <w:t>auditor</w:t>
      </w:r>
      <w:r>
        <w:rPr>
          <w:spacing w:val="-6"/>
        </w:rPr>
        <w:t xml:space="preserve"> </w:t>
      </w:r>
      <w:r>
        <w:t>has</w:t>
      </w:r>
      <w:r>
        <w:rPr>
          <w:spacing w:val="-6"/>
        </w:rPr>
        <w:t xml:space="preserve"> </w:t>
      </w:r>
      <w:r>
        <w:t>no</w:t>
      </w:r>
      <w:r>
        <w:rPr>
          <w:spacing w:val="-6"/>
        </w:rPr>
        <w:t xml:space="preserve"> </w:t>
      </w:r>
      <w:r>
        <w:t>responsibility</w:t>
      </w:r>
      <w:r>
        <w:rPr>
          <w:spacing w:val="-7"/>
        </w:rPr>
        <w:t xml:space="preserve"> </w:t>
      </w:r>
      <w:r>
        <w:t>to</w:t>
      </w:r>
      <w:r>
        <w:rPr>
          <w:spacing w:val="-6"/>
        </w:rPr>
        <w:t xml:space="preserve"> </w:t>
      </w:r>
      <w:r>
        <w:t>update</w:t>
      </w:r>
      <w:r>
        <w:rPr>
          <w:spacing w:val="-6"/>
        </w:rPr>
        <w:t xml:space="preserve"> </w:t>
      </w:r>
      <w:r>
        <w:t>the</w:t>
      </w:r>
      <w:r>
        <w:rPr>
          <w:spacing w:val="-6"/>
        </w:rPr>
        <w:t xml:space="preserve"> </w:t>
      </w:r>
      <w:r>
        <w:t>report;</w:t>
      </w:r>
      <w:r>
        <w:rPr>
          <w:spacing w:val="-6"/>
        </w:rPr>
        <w:t xml:space="preserve"> </w:t>
      </w:r>
      <w:r>
        <w:rPr>
          <w:spacing w:val="-5"/>
        </w:rPr>
        <w:t>and</w:t>
      </w:r>
    </w:p>
    <w:p w14:paraId="0DFDB317" w14:textId="77777777" w:rsidR="00046465" w:rsidRDefault="008134EB">
      <w:pPr>
        <w:pStyle w:val="ListParagraph"/>
        <w:numPr>
          <w:ilvl w:val="1"/>
          <w:numId w:val="192"/>
        </w:numPr>
        <w:tabs>
          <w:tab w:val="left" w:pos="2159"/>
        </w:tabs>
        <w:ind w:left="2159" w:hanging="359"/>
      </w:pPr>
      <w:r>
        <w:t>explanation</w:t>
      </w:r>
      <w:r>
        <w:rPr>
          <w:spacing w:val="-7"/>
        </w:rPr>
        <w:t xml:space="preserve"> </w:t>
      </w:r>
      <w:r>
        <w:t>that</w:t>
      </w:r>
      <w:r>
        <w:rPr>
          <w:spacing w:val="-6"/>
        </w:rPr>
        <w:t xml:space="preserve"> </w:t>
      </w:r>
      <w:r>
        <w:t>the</w:t>
      </w:r>
      <w:r>
        <w:rPr>
          <w:spacing w:val="-5"/>
        </w:rPr>
        <w:t xml:space="preserve"> </w:t>
      </w:r>
      <w:r>
        <w:t>sample</w:t>
      </w:r>
      <w:r>
        <w:rPr>
          <w:spacing w:val="-6"/>
        </w:rPr>
        <w:t xml:space="preserve"> </w:t>
      </w:r>
      <w:r>
        <w:t>may</w:t>
      </w:r>
      <w:r>
        <w:rPr>
          <w:spacing w:val="-6"/>
        </w:rPr>
        <w:t xml:space="preserve"> </w:t>
      </w:r>
      <w:r>
        <w:t>not</w:t>
      </w:r>
      <w:r>
        <w:rPr>
          <w:spacing w:val="-5"/>
        </w:rPr>
        <w:t xml:space="preserve"> </w:t>
      </w:r>
      <w:r>
        <w:t>be</w:t>
      </w:r>
      <w:r>
        <w:rPr>
          <w:spacing w:val="-6"/>
        </w:rPr>
        <w:t xml:space="preserve"> </w:t>
      </w:r>
      <w:r>
        <w:t>representative</w:t>
      </w:r>
      <w:r>
        <w:rPr>
          <w:spacing w:val="-6"/>
        </w:rPr>
        <w:t xml:space="preserve"> </w:t>
      </w:r>
      <w:r>
        <w:t>of</w:t>
      </w:r>
      <w:r>
        <w:rPr>
          <w:spacing w:val="-5"/>
        </w:rPr>
        <w:t xml:space="preserve"> </w:t>
      </w:r>
      <w:r>
        <w:t>the</w:t>
      </w:r>
      <w:r>
        <w:rPr>
          <w:spacing w:val="-7"/>
        </w:rPr>
        <w:t xml:space="preserve"> </w:t>
      </w:r>
      <w:r>
        <w:rPr>
          <w:spacing w:val="-2"/>
        </w:rPr>
        <w:t>population.</w:t>
      </w:r>
    </w:p>
    <w:p w14:paraId="0DFDB318" w14:textId="77777777" w:rsidR="00046465" w:rsidRDefault="008134EB">
      <w:pPr>
        <w:pStyle w:val="ListParagraph"/>
        <w:numPr>
          <w:ilvl w:val="0"/>
          <w:numId w:val="192"/>
        </w:numPr>
        <w:tabs>
          <w:tab w:val="left" w:pos="1799"/>
        </w:tabs>
        <w:ind w:left="1799" w:hanging="720"/>
      </w:pPr>
      <w:r>
        <w:t>When</w:t>
      </w:r>
      <w:r>
        <w:rPr>
          <w:spacing w:val="-7"/>
        </w:rPr>
        <w:t xml:space="preserve"> </w:t>
      </w:r>
      <w:r>
        <w:t>reporting</w:t>
      </w:r>
      <w:r>
        <w:rPr>
          <w:spacing w:val="-7"/>
        </w:rPr>
        <w:t xml:space="preserve"> </w:t>
      </w:r>
      <w:r>
        <w:t>findings,</w:t>
      </w:r>
      <w:r>
        <w:rPr>
          <w:spacing w:val="-7"/>
        </w:rPr>
        <w:t xml:space="preserve"> </w:t>
      </w:r>
      <w:r>
        <w:t>the</w:t>
      </w:r>
      <w:r>
        <w:rPr>
          <w:spacing w:val="-7"/>
        </w:rPr>
        <w:t xml:space="preserve"> </w:t>
      </w:r>
      <w:r>
        <w:t>auditor</w:t>
      </w:r>
      <w:r>
        <w:rPr>
          <w:spacing w:val="-7"/>
        </w:rPr>
        <w:t xml:space="preserve"> </w:t>
      </w:r>
      <w:r>
        <w:t>should</w:t>
      </w:r>
      <w:r>
        <w:rPr>
          <w:spacing w:val="-6"/>
        </w:rPr>
        <w:t xml:space="preserve"> </w:t>
      </w:r>
      <w:r>
        <w:rPr>
          <w:spacing w:val="-5"/>
        </w:rPr>
        <w:t>not</w:t>
      </w:r>
    </w:p>
    <w:p w14:paraId="0DFDB319" w14:textId="77777777" w:rsidR="00046465" w:rsidRDefault="008134EB">
      <w:pPr>
        <w:pStyle w:val="ListParagraph"/>
        <w:numPr>
          <w:ilvl w:val="1"/>
          <w:numId w:val="192"/>
        </w:numPr>
        <w:tabs>
          <w:tab w:val="left" w:pos="2159"/>
        </w:tabs>
        <w:spacing w:before="119"/>
        <w:ind w:left="2159" w:hanging="359"/>
      </w:pPr>
      <w:r>
        <w:t>use</w:t>
      </w:r>
      <w:r>
        <w:rPr>
          <w:spacing w:val="-7"/>
        </w:rPr>
        <w:t xml:space="preserve"> </w:t>
      </w:r>
      <w:r>
        <w:t>vague</w:t>
      </w:r>
      <w:r>
        <w:rPr>
          <w:spacing w:val="-6"/>
        </w:rPr>
        <w:t xml:space="preserve"> </w:t>
      </w:r>
      <w:r>
        <w:t>or</w:t>
      </w:r>
      <w:r>
        <w:rPr>
          <w:spacing w:val="-6"/>
        </w:rPr>
        <w:t xml:space="preserve"> </w:t>
      </w:r>
      <w:r>
        <w:t>ambiguous</w:t>
      </w:r>
      <w:r>
        <w:rPr>
          <w:spacing w:val="-6"/>
        </w:rPr>
        <w:t xml:space="preserve"> </w:t>
      </w:r>
      <w:r>
        <w:rPr>
          <w:spacing w:val="-2"/>
        </w:rPr>
        <w:t>language,</w:t>
      </w:r>
    </w:p>
    <w:p w14:paraId="0DFDB31A" w14:textId="77777777" w:rsidR="00046465" w:rsidRDefault="008134EB">
      <w:pPr>
        <w:pStyle w:val="ListParagraph"/>
        <w:numPr>
          <w:ilvl w:val="1"/>
          <w:numId w:val="192"/>
        </w:numPr>
        <w:tabs>
          <w:tab w:val="left" w:pos="2159"/>
        </w:tabs>
        <w:ind w:left="2159" w:hanging="359"/>
      </w:pPr>
      <w:r>
        <w:t>include</w:t>
      </w:r>
      <w:r>
        <w:rPr>
          <w:spacing w:val="-8"/>
        </w:rPr>
        <w:t xml:space="preserve"> </w:t>
      </w:r>
      <w:r>
        <w:t>terms</w:t>
      </w:r>
      <w:r>
        <w:rPr>
          <w:spacing w:val="-7"/>
        </w:rPr>
        <w:t xml:space="preserve"> </w:t>
      </w:r>
      <w:r>
        <w:t>of</w:t>
      </w:r>
      <w:r>
        <w:rPr>
          <w:spacing w:val="-7"/>
        </w:rPr>
        <w:t xml:space="preserve"> </w:t>
      </w:r>
      <w:r>
        <w:t>uncertain</w:t>
      </w:r>
      <w:r>
        <w:rPr>
          <w:spacing w:val="-7"/>
        </w:rPr>
        <w:t xml:space="preserve"> </w:t>
      </w:r>
      <w:r>
        <w:t>meaning,</w:t>
      </w:r>
      <w:r>
        <w:rPr>
          <w:spacing w:val="-6"/>
        </w:rPr>
        <w:t xml:space="preserve"> </w:t>
      </w:r>
      <w:r>
        <w:rPr>
          <w:spacing w:val="-5"/>
        </w:rPr>
        <w:t>and</w:t>
      </w:r>
    </w:p>
    <w:p w14:paraId="0DFDB31B" w14:textId="77777777" w:rsidR="00046465" w:rsidRDefault="008134EB">
      <w:pPr>
        <w:pStyle w:val="ListParagraph"/>
        <w:numPr>
          <w:ilvl w:val="1"/>
          <w:numId w:val="192"/>
        </w:numPr>
        <w:tabs>
          <w:tab w:val="left" w:pos="2160"/>
        </w:tabs>
        <w:ind w:right="821"/>
      </w:pPr>
      <w:r>
        <w:t>express an opinion or conclusion on the subject matter or about whether the subject</w:t>
      </w:r>
      <w:r>
        <w:rPr>
          <w:spacing w:val="-4"/>
        </w:rPr>
        <w:t xml:space="preserve"> </w:t>
      </w:r>
      <w:r>
        <w:t>matter</w:t>
      </w:r>
      <w:r>
        <w:rPr>
          <w:spacing w:val="-4"/>
        </w:rPr>
        <w:t xml:space="preserve"> </w:t>
      </w:r>
      <w:r>
        <w:t>is</w:t>
      </w:r>
      <w:r>
        <w:rPr>
          <w:spacing w:val="-4"/>
        </w:rPr>
        <w:t xml:space="preserve"> </w:t>
      </w:r>
      <w:r>
        <w:t>in</w:t>
      </w:r>
      <w:r>
        <w:rPr>
          <w:spacing w:val="-4"/>
        </w:rPr>
        <w:t xml:space="preserve"> </w:t>
      </w:r>
      <w:r>
        <w:t>accordance</w:t>
      </w:r>
      <w:r>
        <w:rPr>
          <w:spacing w:val="-4"/>
        </w:rPr>
        <w:t xml:space="preserve"> </w:t>
      </w:r>
      <w:r>
        <w:t>with</w:t>
      </w:r>
      <w:r>
        <w:rPr>
          <w:spacing w:val="-5"/>
        </w:rPr>
        <w:t xml:space="preserve"> </w:t>
      </w:r>
      <w:r>
        <w:t>(or</w:t>
      </w:r>
      <w:r>
        <w:rPr>
          <w:spacing w:val="-4"/>
        </w:rPr>
        <w:t xml:space="preserve"> </w:t>
      </w:r>
      <w:r>
        <w:t>based</w:t>
      </w:r>
      <w:r>
        <w:rPr>
          <w:spacing w:val="-4"/>
        </w:rPr>
        <w:t xml:space="preserve"> </w:t>
      </w:r>
      <w:r>
        <w:t>on)</w:t>
      </w:r>
      <w:r>
        <w:rPr>
          <w:spacing w:val="-4"/>
        </w:rPr>
        <w:t xml:space="preserve"> </w:t>
      </w:r>
      <w:r>
        <w:t>the</w:t>
      </w:r>
      <w:r>
        <w:rPr>
          <w:spacing w:val="-4"/>
        </w:rPr>
        <w:t xml:space="preserve"> </w:t>
      </w:r>
      <w:r>
        <w:t>criteria</w:t>
      </w:r>
      <w:r>
        <w:rPr>
          <w:spacing w:val="-4"/>
        </w:rPr>
        <w:t xml:space="preserve"> </w:t>
      </w:r>
      <w:r>
        <w:t>(AT-C</w:t>
      </w:r>
      <w:r>
        <w:rPr>
          <w:spacing w:val="-4"/>
        </w:rPr>
        <w:t xml:space="preserve"> </w:t>
      </w:r>
      <w:r>
        <w:t>215.26).</w:t>
      </w:r>
    </w:p>
    <w:p w14:paraId="0DFDB31C" w14:textId="77777777" w:rsidR="00046465" w:rsidRDefault="008134EB">
      <w:pPr>
        <w:pStyle w:val="BodyText"/>
        <w:spacing w:before="120"/>
        <w:ind w:left="1800" w:right="749"/>
      </w:pPr>
      <w:r>
        <w:t>The</w:t>
      </w:r>
      <w:r>
        <w:rPr>
          <w:spacing w:val="-5"/>
        </w:rPr>
        <w:t xml:space="preserve"> </w:t>
      </w:r>
      <w:r>
        <w:t>following</w:t>
      </w:r>
      <w:r>
        <w:rPr>
          <w:spacing w:val="-5"/>
        </w:rPr>
        <w:t xml:space="preserve"> </w:t>
      </w:r>
      <w:r>
        <w:t>table</w:t>
      </w:r>
      <w:r>
        <w:rPr>
          <w:spacing w:val="-5"/>
        </w:rPr>
        <w:t xml:space="preserve"> </w:t>
      </w:r>
      <w:r>
        <w:t>provides</w:t>
      </w:r>
      <w:r>
        <w:rPr>
          <w:spacing w:val="-5"/>
        </w:rPr>
        <w:t xml:space="preserve"> </w:t>
      </w:r>
      <w:r>
        <w:t>examples</w:t>
      </w:r>
      <w:r>
        <w:rPr>
          <w:spacing w:val="-5"/>
        </w:rPr>
        <w:t xml:space="preserve"> </w:t>
      </w:r>
      <w:r>
        <w:t>of</w:t>
      </w:r>
      <w:r>
        <w:rPr>
          <w:spacing w:val="-5"/>
        </w:rPr>
        <w:t xml:space="preserve"> </w:t>
      </w:r>
      <w:r>
        <w:t>appropriate</w:t>
      </w:r>
      <w:r>
        <w:rPr>
          <w:spacing w:val="-5"/>
        </w:rPr>
        <w:t xml:space="preserve"> </w:t>
      </w:r>
      <w:r>
        <w:t>and</w:t>
      </w:r>
      <w:r>
        <w:rPr>
          <w:spacing w:val="-5"/>
        </w:rPr>
        <w:t xml:space="preserve"> </w:t>
      </w:r>
      <w:r>
        <w:t>inappropriate descriptions of findings.</w:t>
      </w:r>
    </w:p>
    <w:p w14:paraId="0DFDB31D" w14:textId="77777777" w:rsidR="00046465" w:rsidRDefault="008134EB">
      <w:pPr>
        <w:spacing w:before="241"/>
        <w:ind w:left="360" w:right="749"/>
        <w:rPr>
          <w:b/>
          <w:sz w:val="20"/>
        </w:rPr>
      </w:pPr>
      <w:r>
        <w:rPr>
          <w:b/>
          <w:sz w:val="20"/>
          <w:u w:val="single"/>
        </w:rPr>
        <w:t>Table</w:t>
      </w:r>
      <w:r>
        <w:rPr>
          <w:b/>
          <w:spacing w:val="-4"/>
          <w:sz w:val="20"/>
          <w:u w:val="single"/>
        </w:rPr>
        <w:t xml:space="preserve"> </w:t>
      </w:r>
      <w:r>
        <w:rPr>
          <w:b/>
          <w:sz w:val="20"/>
          <w:u w:val="single"/>
        </w:rPr>
        <w:t>710.1:</w:t>
      </w:r>
      <w:r>
        <w:rPr>
          <w:b/>
          <w:spacing w:val="-4"/>
          <w:sz w:val="20"/>
          <w:u w:val="single"/>
        </w:rPr>
        <w:t xml:space="preserve"> </w:t>
      </w:r>
      <w:r>
        <w:rPr>
          <w:b/>
          <w:sz w:val="20"/>
          <w:u w:val="single"/>
        </w:rPr>
        <w:t>Examples</w:t>
      </w:r>
      <w:r>
        <w:rPr>
          <w:b/>
          <w:spacing w:val="-4"/>
          <w:sz w:val="20"/>
          <w:u w:val="single"/>
        </w:rPr>
        <w:t xml:space="preserve"> </w:t>
      </w:r>
      <w:r>
        <w:rPr>
          <w:b/>
          <w:sz w:val="20"/>
          <w:u w:val="single"/>
        </w:rPr>
        <w:t>of</w:t>
      </w:r>
      <w:r>
        <w:rPr>
          <w:b/>
          <w:spacing w:val="-4"/>
          <w:sz w:val="20"/>
          <w:u w:val="single"/>
        </w:rPr>
        <w:t xml:space="preserve"> </w:t>
      </w:r>
      <w:r>
        <w:rPr>
          <w:b/>
          <w:sz w:val="20"/>
          <w:u w:val="single"/>
        </w:rPr>
        <w:t>Appropriate</w:t>
      </w:r>
      <w:r>
        <w:rPr>
          <w:b/>
          <w:spacing w:val="-5"/>
          <w:sz w:val="20"/>
          <w:u w:val="single"/>
        </w:rPr>
        <w:t xml:space="preserve"> </w:t>
      </w:r>
      <w:r>
        <w:rPr>
          <w:b/>
          <w:sz w:val="20"/>
          <w:u w:val="single"/>
        </w:rPr>
        <w:t>and</w:t>
      </w:r>
      <w:r>
        <w:rPr>
          <w:b/>
          <w:spacing w:val="-4"/>
          <w:sz w:val="20"/>
          <w:u w:val="single"/>
        </w:rPr>
        <w:t xml:space="preserve"> </w:t>
      </w:r>
      <w:r>
        <w:rPr>
          <w:b/>
          <w:sz w:val="20"/>
          <w:u w:val="single"/>
        </w:rPr>
        <w:t>Inappropriate</w:t>
      </w:r>
      <w:r>
        <w:rPr>
          <w:b/>
          <w:spacing w:val="-4"/>
          <w:sz w:val="20"/>
          <w:u w:val="single"/>
        </w:rPr>
        <w:t xml:space="preserve"> </w:t>
      </w:r>
      <w:r>
        <w:rPr>
          <w:b/>
          <w:sz w:val="20"/>
          <w:u w:val="single"/>
        </w:rPr>
        <w:t>Descriptions</w:t>
      </w:r>
      <w:r>
        <w:rPr>
          <w:b/>
          <w:spacing w:val="-4"/>
          <w:sz w:val="20"/>
          <w:u w:val="single"/>
        </w:rPr>
        <w:t xml:space="preserve"> </w:t>
      </w:r>
      <w:r>
        <w:rPr>
          <w:b/>
          <w:sz w:val="20"/>
          <w:u w:val="single"/>
        </w:rPr>
        <w:t>of</w:t>
      </w:r>
      <w:r>
        <w:rPr>
          <w:b/>
          <w:spacing w:val="-3"/>
          <w:sz w:val="20"/>
          <w:u w:val="single"/>
        </w:rPr>
        <w:t xml:space="preserve"> </w:t>
      </w:r>
      <w:r>
        <w:rPr>
          <w:b/>
          <w:sz w:val="20"/>
          <w:u w:val="single"/>
        </w:rPr>
        <w:t>Findings</w:t>
      </w:r>
      <w:r>
        <w:rPr>
          <w:b/>
          <w:spacing w:val="-4"/>
          <w:sz w:val="20"/>
          <w:u w:val="single"/>
        </w:rPr>
        <w:t xml:space="preserve"> </w:t>
      </w:r>
      <w:r>
        <w:rPr>
          <w:b/>
          <w:sz w:val="20"/>
          <w:u w:val="single"/>
        </w:rPr>
        <w:t>Resulting</w:t>
      </w:r>
      <w:r>
        <w:rPr>
          <w:b/>
          <w:spacing w:val="-4"/>
          <w:sz w:val="20"/>
          <w:u w:val="single"/>
        </w:rPr>
        <w:t xml:space="preserve"> </w:t>
      </w:r>
      <w:r>
        <w:rPr>
          <w:b/>
          <w:sz w:val="20"/>
          <w:u w:val="single"/>
        </w:rPr>
        <w:t>from</w:t>
      </w:r>
      <w:r>
        <w:rPr>
          <w:b/>
          <w:sz w:val="20"/>
        </w:rPr>
        <w:t xml:space="preserve"> </w:t>
      </w:r>
      <w:r>
        <w:rPr>
          <w:b/>
          <w:sz w:val="20"/>
          <w:u w:val="single"/>
        </w:rPr>
        <w:t>Applying Certain Agreed-Procedures</w:t>
      </w:r>
    </w:p>
    <w:p w14:paraId="0DFDB31E" w14:textId="77777777" w:rsidR="00046465" w:rsidRDefault="00046465">
      <w:pPr>
        <w:pStyle w:val="BodyText"/>
        <w:spacing w:before="8"/>
        <w:rPr>
          <w:b/>
          <w:sz w:val="11"/>
        </w:rPr>
      </w:pPr>
    </w:p>
    <w:tbl>
      <w:tblPr>
        <w:tblW w:w="0" w:type="auto"/>
        <w:tblInd w:w="40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3229"/>
        <w:gridCol w:w="3859"/>
        <w:gridCol w:w="2228"/>
      </w:tblGrid>
      <w:tr w:rsidR="00046465" w14:paraId="0DFDB322" w14:textId="77777777">
        <w:trPr>
          <w:trHeight w:val="335"/>
        </w:trPr>
        <w:tc>
          <w:tcPr>
            <w:tcW w:w="3229" w:type="dxa"/>
            <w:vMerge w:val="restart"/>
            <w:tcBorders>
              <w:right w:val="single" w:sz="6" w:space="0" w:color="000000"/>
            </w:tcBorders>
          </w:tcPr>
          <w:p w14:paraId="0DFDB31F" w14:textId="77777777" w:rsidR="00046465" w:rsidRDefault="00046465">
            <w:pPr>
              <w:pStyle w:val="TableParagraph"/>
              <w:spacing w:before="195"/>
              <w:rPr>
                <w:b/>
                <w:sz w:val="20"/>
              </w:rPr>
            </w:pPr>
          </w:p>
          <w:p w14:paraId="0DFDB320" w14:textId="77777777" w:rsidR="00046465" w:rsidRDefault="008134EB">
            <w:pPr>
              <w:pStyle w:val="TableParagraph"/>
              <w:spacing w:before="1"/>
              <w:ind w:left="120"/>
              <w:rPr>
                <w:b/>
                <w:sz w:val="20"/>
              </w:rPr>
            </w:pPr>
            <w:r>
              <w:rPr>
                <w:b/>
                <w:sz w:val="20"/>
              </w:rPr>
              <w:t>Agreed-upon</w:t>
            </w:r>
            <w:r>
              <w:rPr>
                <w:b/>
                <w:spacing w:val="-8"/>
                <w:sz w:val="20"/>
              </w:rPr>
              <w:t xml:space="preserve"> </w:t>
            </w:r>
            <w:r>
              <w:rPr>
                <w:b/>
                <w:spacing w:val="-2"/>
                <w:sz w:val="20"/>
              </w:rPr>
              <w:t>procedures</w:t>
            </w:r>
          </w:p>
        </w:tc>
        <w:tc>
          <w:tcPr>
            <w:tcW w:w="6087" w:type="dxa"/>
            <w:gridSpan w:val="2"/>
            <w:tcBorders>
              <w:left w:val="single" w:sz="6" w:space="0" w:color="000000"/>
              <w:bottom w:val="single" w:sz="6" w:space="0" w:color="000000"/>
            </w:tcBorders>
          </w:tcPr>
          <w:p w14:paraId="0DFDB321" w14:textId="77777777" w:rsidR="00046465" w:rsidRDefault="008134EB">
            <w:pPr>
              <w:pStyle w:val="TableParagraph"/>
              <w:spacing w:before="61"/>
              <w:ind w:left="1953"/>
              <w:rPr>
                <w:b/>
                <w:sz w:val="20"/>
              </w:rPr>
            </w:pPr>
            <w:r>
              <w:rPr>
                <w:b/>
                <w:sz w:val="20"/>
              </w:rPr>
              <w:t>Description</w:t>
            </w:r>
            <w:r>
              <w:rPr>
                <w:b/>
                <w:spacing w:val="-4"/>
                <w:sz w:val="20"/>
              </w:rPr>
              <w:t xml:space="preserve"> </w:t>
            </w:r>
            <w:r>
              <w:rPr>
                <w:b/>
                <w:sz w:val="20"/>
              </w:rPr>
              <w:t>of</w:t>
            </w:r>
            <w:r>
              <w:rPr>
                <w:b/>
                <w:spacing w:val="-2"/>
                <w:sz w:val="20"/>
              </w:rPr>
              <w:t xml:space="preserve"> findings</w:t>
            </w:r>
          </w:p>
        </w:tc>
      </w:tr>
      <w:tr w:rsidR="00046465" w14:paraId="0DFDB326" w14:textId="77777777">
        <w:trPr>
          <w:trHeight w:val="334"/>
        </w:trPr>
        <w:tc>
          <w:tcPr>
            <w:tcW w:w="3229" w:type="dxa"/>
            <w:vMerge/>
            <w:tcBorders>
              <w:top w:val="nil"/>
              <w:right w:val="single" w:sz="6" w:space="0" w:color="000000"/>
            </w:tcBorders>
          </w:tcPr>
          <w:p w14:paraId="0DFDB323" w14:textId="77777777" w:rsidR="00046465" w:rsidRDefault="00046465">
            <w:pPr>
              <w:rPr>
                <w:sz w:val="2"/>
                <w:szCs w:val="2"/>
              </w:rPr>
            </w:pPr>
          </w:p>
        </w:tc>
        <w:tc>
          <w:tcPr>
            <w:tcW w:w="3859" w:type="dxa"/>
            <w:tcBorders>
              <w:top w:val="single" w:sz="6" w:space="0" w:color="000000"/>
              <w:left w:val="single" w:sz="6" w:space="0" w:color="000000"/>
              <w:right w:val="single" w:sz="6" w:space="0" w:color="000000"/>
            </w:tcBorders>
          </w:tcPr>
          <w:p w14:paraId="0DFDB324" w14:textId="77777777" w:rsidR="00046465" w:rsidRDefault="008134EB">
            <w:pPr>
              <w:pStyle w:val="TableParagraph"/>
              <w:spacing w:before="45"/>
              <w:ind w:left="135"/>
              <w:rPr>
                <w:b/>
                <w:sz w:val="20"/>
              </w:rPr>
            </w:pPr>
            <w:r>
              <w:rPr>
                <w:b/>
                <w:spacing w:val="-2"/>
                <w:sz w:val="20"/>
              </w:rPr>
              <w:t>Appropriate</w:t>
            </w:r>
          </w:p>
        </w:tc>
        <w:tc>
          <w:tcPr>
            <w:tcW w:w="2228" w:type="dxa"/>
            <w:tcBorders>
              <w:top w:val="single" w:sz="6" w:space="0" w:color="000000"/>
              <w:left w:val="single" w:sz="6" w:space="0" w:color="000000"/>
            </w:tcBorders>
          </w:tcPr>
          <w:p w14:paraId="0DFDB325" w14:textId="77777777" w:rsidR="00046465" w:rsidRDefault="008134EB">
            <w:pPr>
              <w:pStyle w:val="TableParagraph"/>
              <w:spacing w:before="45"/>
              <w:ind w:left="135"/>
              <w:rPr>
                <w:b/>
                <w:sz w:val="20"/>
              </w:rPr>
            </w:pPr>
            <w:r>
              <w:rPr>
                <w:b/>
                <w:spacing w:val="-2"/>
                <w:sz w:val="20"/>
              </w:rPr>
              <w:t>Inappropriate</w:t>
            </w:r>
          </w:p>
        </w:tc>
      </w:tr>
      <w:tr w:rsidR="00046465" w14:paraId="0DFDB32B" w14:textId="77777777">
        <w:trPr>
          <w:trHeight w:val="1730"/>
        </w:trPr>
        <w:tc>
          <w:tcPr>
            <w:tcW w:w="3229" w:type="dxa"/>
            <w:tcBorders>
              <w:bottom w:val="single" w:sz="4" w:space="0" w:color="000000"/>
              <w:right w:val="single" w:sz="4" w:space="0" w:color="000000"/>
            </w:tcBorders>
          </w:tcPr>
          <w:p w14:paraId="0DFDB327" w14:textId="77777777" w:rsidR="00046465" w:rsidRDefault="008134EB">
            <w:pPr>
              <w:pStyle w:val="TableParagraph"/>
              <w:spacing w:before="61"/>
              <w:ind w:left="120" w:right="189"/>
              <w:rPr>
                <w:sz w:val="20"/>
              </w:rPr>
            </w:pPr>
            <w:r>
              <w:rPr>
                <w:sz w:val="20"/>
              </w:rPr>
              <w:t>Based</w:t>
            </w:r>
            <w:r>
              <w:rPr>
                <w:spacing w:val="-1"/>
                <w:sz w:val="20"/>
              </w:rPr>
              <w:t xml:space="preserve"> </w:t>
            </w:r>
            <w:r>
              <w:rPr>
                <w:sz w:val="20"/>
              </w:rPr>
              <w:t>on</w:t>
            </w:r>
            <w:r>
              <w:rPr>
                <w:spacing w:val="-1"/>
                <w:sz w:val="20"/>
              </w:rPr>
              <w:t xml:space="preserve"> </w:t>
            </w:r>
            <w:r>
              <w:rPr>
                <w:sz w:val="20"/>
              </w:rPr>
              <w:t>the</w:t>
            </w:r>
            <w:r>
              <w:rPr>
                <w:spacing w:val="-2"/>
                <w:sz w:val="20"/>
              </w:rPr>
              <w:t xml:space="preserve"> </w:t>
            </w:r>
            <w:r>
              <w:rPr>
                <w:sz w:val="20"/>
              </w:rPr>
              <w:t>total</w:t>
            </w:r>
            <w:r>
              <w:rPr>
                <w:spacing w:val="-1"/>
                <w:sz w:val="20"/>
              </w:rPr>
              <w:t xml:space="preserve"> </w:t>
            </w:r>
            <w:r>
              <w:rPr>
                <w:sz w:val="20"/>
              </w:rPr>
              <w:t>tax liability, select and recalculate the 50 largest</w:t>
            </w:r>
            <w:r>
              <w:rPr>
                <w:spacing w:val="-10"/>
                <w:sz w:val="20"/>
              </w:rPr>
              <w:t xml:space="preserve"> </w:t>
            </w:r>
            <w:r>
              <w:rPr>
                <w:sz w:val="20"/>
              </w:rPr>
              <w:t>excise</w:t>
            </w:r>
            <w:r>
              <w:rPr>
                <w:spacing w:val="-10"/>
                <w:sz w:val="20"/>
              </w:rPr>
              <w:t xml:space="preserve"> </w:t>
            </w:r>
            <w:r>
              <w:rPr>
                <w:sz w:val="20"/>
              </w:rPr>
              <w:t>tax</w:t>
            </w:r>
            <w:r>
              <w:rPr>
                <w:spacing w:val="-9"/>
                <w:sz w:val="20"/>
              </w:rPr>
              <w:t xml:space="preserve"> </w:t>
            </w:r>
            <w:r>
              <w:rPr>
                <w:sz w:val="20"/>
              </w:rPr>
              <w:t>returns</w:t>
            </w:r>
            <w:r>
              <w:rPr>
                <w:spacing w:val="-9"/>
                <w:sz w:val="20"/>
              </w:rPr>
              <w:t xml:space="preserve"> </w:t>
            </w:r>
            <w:r>
              <w:rPr>
                <w:sz w:val="20"/>
              </w:rPr>
              <w:t>from the quarter ended</w:t>
            </w:r>
          </w:p>
          <w:p w14:paraId="0DFDB328" w14:textId="77777777" w:rsidR="00046465" w:rsidRDefault="008134EB">
            <w:pPr>
              <w:pStyle w:val="TableParagraph"/>
              <w:spacing w:before="1"/>
              <w:ind w:left="120" w:right="189"/>
              <w:rPr>
                <w:sz w:val="20"/>
              </w:rPr>
            </w:pPr>
            <w:r>
              <w:rPr>
                <w:sz w:val="20"/>
              </w:rPr>
              <w:t>September 30, 20XX, and compare these amounts with those</w:t>
            </w:r>
            <w:r>
              <w:rPr>
                <w:spacing w:val="-7"/>
                <w:sz w:val="20"/>
              </w:rPr>
              <w:t xml:space="preserve"> </w:t>
            </w:r>
            <w:r>
              <w:rPr>
                <w:sz w:val="20"/>
              </w:rPr>
              <w:t>in</w:t>
            </w:r>
            <w:r>
              <w:rPr>
                <w:spacing w:val="-7"/>
                <w:sz w:val="20"/>
              </w:rPr>
              <w:t xml:space="preserve"> </w:t>
            </w:r>
            <w:r>
              <w:rPr>
                <w:sz w:val="20"/>
              </w:rPr>
              <w:t>the</w:t>
            </w:r>
            <w:r>
              <w:rPr>
                <w:spacing w:val="-8"/>
                <w:sz w:val="20"/>
              </w:rPr>
              <w:t xml:space="preserve"> </w:t>
            </w:r>
            <w:r>
              <w:rPr>
                <w:sz w:val="20"/>
              </w:rPr>
              <w:t>certified</w:t>
            </w:r>
            <w:r>
              <w:rPr>
                <w:spacing w:val="-7"/>
                <w:sz w:val="20"/>
              </w:rPr>
              <w:t xml:space="preserve"> </w:t>
            </w:r>
            <w:r>
              <w:rPr>
                <w:sz w:val="20"/>
              </w:rPr>
              <w:t>audit</w:t>
            </w:r>
            <w:r>
              <w:rPr>
                <w:spacing w:val="-7"/>
                <w:sz w:val="20"/>
              </w:rPr>
              <w:t xml:space="preserve"> </w:t>
            </w:r>
            <w:r>
              <w:rPr>
                <w:sz w:val="20"/>
              </w:rPr>
              <w:t>file.</w:t>
            </w:r>
          </w:p>
        </w:tc>
        <w:tc>
          <w:tcPr>
            <w:tcW w:w="3859" w:type="dxa"/>
            <w:tcBorders>
              <w:left w:val="single" w:sz="4" w:space="0" w:color="000000"/>
              <w:bottom w:val="single" w:sz="4" w:space="0" w:color="000000"/>
              <w:right w:val="single" w:sz="4" w:space="0" w:color="000000"/>
            </w:tcBorders>
          </w:tcPr>
          <w:p w14:paraId="0DFDB329" w14:textId="77777777" w:rsidR="00046465" w:rsidRDefault="008134EB">
            <w:pPr>
              <w:pStyle w:val="TableParagraph"/>
              <w:spacing w:before="61"/>
              <w:ind w:left="138" w:right="95"/>
              <w:rPr>
                <w:sz w:val="20"/>
              </w:rPr>
            </w:pPr>
            <w:r>
              <w:rPr>
                <w:sz w:val="20"/>
              </w:rPr>
              <w:t>Recalculated</w:t>
            </w:r>
            <w:r>
              <w:rPr>
                <w:spacing w:val="-11"/>
                <w:sz w:val="20"/>
              </w:rPr>
              <w:t xml:space="preserve"> </w:t>
            </w:r>
            <w:r>
              <w:rPr>
                <w:sz w:val="20"/>
              </w:rPr>
              <w:t>amounts</w:t>
            </w:r>
            <w:r>
              <w:rPr>
                <w:spacing w:val="-9"/>
                <w:sz w:val="20"/>
              </w:rPr>
              <w:t xml:space="preserve"> </w:t>
            </w:r>
            <w:r>
              <w:rPr>
                <w:sz w:val="20"/>
              </w:rPr>
              <w:t>for</w:t>
            </w:r>
            <w:r>
              <w:rPr>
                <w:spacing w:val="-9"/>
                <w:sz w:val="20"/>
              </w:rPr>
              <w:t xml:space="preserve"> </w:t>
            </w:r>
            <w:r>
              <w:rPr>
                <w:sz w:val="20"/>
              </w:rPr>
              <w:t>the</w:t>
            </w:r>
            <w:r>
              <w:rPr>
                <w:spacing w:val="-10"/>
                <w:sz w:val="20"/>
              </w:rPr>
              <w:t xml:space="preserve"> </w:t>
            </w:r>
            <w:r>
              <w:rPr>
                <w:sz w:val="20"/>
              </w:rPr>
              <w:t>selected excise tax returns agreed with the amounts in the certified audit file.</w:t>
            </w:r>
          </w:p>
        </w:tc>
        <w:tc>
          <w:tcPr>
            <w:tcW w:w="2228" w:type="dxa"/>
            <w:tcBorders>
              <w:left w:val="single" w:sz="4" w:space="0" w:color="000000"/>
              <w:bottom w:val="single" w:sz="4" w:space="0" w:color="000000"/>
            </w:tcBorders>
          </w:tcPr>
          <w:p w14:paraId="0DFDB32A" w14:textId="77777777" w:rsidR="00046465" w:rsidRDefault="008134EB">
            <w:pPr>
              <w:pStyle w:val="TableParagraph"/>
              <w:spacing w:before="61"/>
              <w:ind w:left="138" w:right="170"/>
              <w:rPr>
                <w:sz w:val="20"/>
              </w:rPr>
            </w:pPr>
            <w:r>
              <w:rPr>
                <w:sz w:val="20"/>
              </w:rPr>
              <w:t>Nothing</w:t>
            </w:r>
            <w:r>
              <w:rPr>
                <w:spacing w:val="-12"/>
                <w:sz w:val="20"/>
              </w:rPr>
              <w:t xml:space="preserve"> </w:t>
            </w:r>
            <w:r>
              <w:rPr>
                <w:sz w:val="20"/>
              </w:rPr>
              <w:t>came</w:t>
            </w:r>
            <w:r>
              <w:rPr>
                <w:spacing w:val="-12"/>
                <w:sz w:val="20"/>
              </w:rPr>
              <w:t xml:space="preserve"> </w:t>
            </w:r>
            <w:r>
              <w:rPr>
                <w:sz w:val="20"/>
              </w:rPr>
              <w:t>to</w:t>
            </w:r>
            <w:r>
              <w:rPr>
                <w:spacing w:val="-12"/>
                <w:sz w:val="20"/>
              </w:rPr>
              <w:t xml:space="preserve"> </w:t>
            </w:r>
            <w:r>
              <w:rPr>
                <w:sz w:val="20"/>
              </w:rPr>
              <w:t xml:space="preserve">our attention as a result of applying this </w:t>
            </w:r>
            <w:r>
              <w:rPr>
                <w:spacing w:val="-2"/>
                <w:sz w:val="20"/>
              </w:rPr>
              <w:t>procedure.</w:t>
            </w:r>
          </w:p>
        </w:tc>
      </w:tr>
      <w:tr w:rsidR="00046465" w14:paraId="0DFDB32F" w14:textId="77777777">
        <w:trPr>
          <w:trHeight w:val="1959"/>
        </w:trPr>
        <w:tc>
          <w:tcPr>
            <w:tcW w:w="3229" w:type="dxa"/>
            <w:tcBorders>
              <w:top w:val="single" w:sz="4" w:space="0" w:color="000000"/>
              <w:bottom w:val="single" w:sz="4" w:space="0" w:color="000000"/>
              <w:right w:val="single" w:sz="4" w:space="0" w:color="000000"/>
            </w:tcBorders>
          </w:tcPr>
          <w:p w14:paraId="0DFDB32C" w14:textId="77777777" w:rsidR="00046465" w:rsidRDefault="008134EB">
            <w:pPr>
              <w:pStyle w:val="TableParagraph"/>
              <w:spacing w:before="60"/>
              <w:ind w:left="120" w:right="189"/>
              <w:rPr>
                <w:sz w:val="20"/>
              </w:rPr>
            </w:pPr>
            <w:r>
              <w:rPr>
                <w:sz w:val="20"/>
              </w:rPr>
              <w:t>Select a random sample of 45 general ledger postings of revenue receipts for the year; compare with supporting documentation to determine whether reported revenue receipts</w:t>
            </w:r>
            <w:r>
              <w:rPr>
                <w:spacing w:val="-12"/>
                <w:sz w:val="20"/>
              </w:rPr>
              <w:t xml:space="preserve"> </w:t>
            </w:r>
            <w:r>
              <w:rPr>
                <w:sz w:val="20"/>
              </w:rPr>
              <w:t>were</w:t>
            </w:r>
            <w:r>
              <w:rPr>
                <w:spacing w:val="-13"/>
                <w:sz w:val="20"/>
              </w:rPr>
              <w:t xml:space="preserve"> </w:t>
            </w:r>
            <w:r>
              <w:rPr>
                <w:sz w:val="20"/>
              </w:rPr>
              <w:t>properly</w:t>
            </w:r>
            <w:r>
              <w:rPr>
                <w:spacing w:val="-11"/>
                <w:sz w:val="20"/>
              </w:rPr>
              <w:t xml:space="preserve"> </w:t>
            </w:r>
            <w:r>
              <w:rPr>
                <w:sz w:val="20"/>
              </w:rPr>
              <w:t>recorded as</w:t>
            </w:r>
            <w:r>
              <w:rPr>
                <w:spacing w:val="-2"/>
                <w:sz w:val="20"/>
              </w:rPr>
              <w:t xml:space="preserve"> </w:t>
            </w:r>
            <w:r>
              <w:rPr>
                <w:sz w:val="20"/>
              </w:rPr>
              <w:t>to</w:t>
            </w:r>
            <w:r>
              <w:rPr>
                <w:spacing w:val="-1"/>
                <w:sz w:val="20"/>
              </w:rPr>
              <w:t xml:space="preserve"> </w:t>
            </w:r>
            <w:r>
              <w:rPr>
                <w:sz w:val="20"/>
              </w:rPr>
              <w:t>amount</w:t>
            </w:r>
            <w:r>
              <w:rPr>
                <w:spacing w:val="-2"/>
                <w:sz w:val="20"/>
              </w:rPr>
              <w:t xml:space="preserve"> </w:t>
            </w:r>
            <w:r>
              <w:rPr>
                <w:sz w:val="20"/>
              </w:rPr>
              <w:t>and</w:t>
            </w:r>
            <w:r>
              <w:rPr>
                <w:spacing w:val="-2"/>
                <w:sz w:val="20"/>
              </w:rPr>
              <w:t xml:space="preserve"> classification.</w:t>
            </w:r>
          </w:p>
        </w:tc>
        <w:tc>
          <w:tcPr>
            <w:tcW w:w="3859" w:type="dxa"/>
            <w:tcBorders>
              <w:top w:val="single" w:sz="4" w:space="0" w:color="000000"/>
              <w:left w:val="single" w:sz="4" w:space="0" w:color="000000"/>
              <w:bottom w:val="single" w:sz="4" w:space="0" w:color="000000"/>
              <w:right w:val="single" w:sz="4" w:space="0" w:color="000000"/>
            </w:tcBorders>
          </w:tcPr>
          <w:p w14:paraId="0DFDB32D" w14:textId="77777777" w:rsidR="00046465" w:rsidRDefault="008134EB">
            <w:pPr>
              <w:pStyle w:val="TableParagraph"/>
              <w:spacing w:before="61"/>
              <w:ind w:left="138" w:right="95"/>
              <w:rPr>
                <w:sz w:val="20"/>
              </w:rPr>
            </w:pPr>
            <w:r>
              <w:rPr>
                <w:sz w:val="20"/>
              </w:rPr>
              <w:t>Revenue receipts selected randomly from</w:t>
            </w:r>
            <w:r>
              <w:rPr>
                <w:spacing w:val="-8"/>
                <w:sz w:val="20"/>
              </w:rPr>
              <w:t xml:space="preserve"> </w:t>
            </w:r>
            <w:r>
              <w:rPr>
                <w:sz w:val="20"/>
              </w:rPr>
              <w:t>the</w:t>
            </w:r>
            <w:r>
              <w:rPr>
                <w:spacing w:val="-8"/>
                <w:sz w:val="20"/>
              </w:rPr>
              <w:t xml:space="preserve"> </w:t>
            </w:r>
            <w:r>
              <w:rPr>
                <w:sz w:val="20"/>
              </w:rPr>
              <w:t>year’s</w:t>
            </w:r>
            <w:r>
              <w:rPr>
                <w:spacing w:val="-7"/>
                <w:sz w:val="20"/>
              </w:rPr>
              <w:t xml:space="preserve"> </w:t>
            </w:r>
            <w:r>
              <w:rPr>
                <w:sz w:val="20"/>
              </w:rPr>
              <w:t>general</w:t>
            </w:r>
            <w:r>
              <w:rPr>
                <w:spacing w:val="-8"/>
                <w:sz w:val="20"/>
              </w:rPr>
              <w:t xml:space="preserve"> </w:t>
            </w:r>
            <w:r>
              <w:rPr>
                <w:sz w:val="20"/>
              </w:rPr>
              <w:t>ledger</w:t>
            </w:r>
            <w:r>
              <w:rPr>
                <w:spacing w:val="-7"/>
                <w:sz w:val="20"/>
              </w:rPr>
              <w:t xml:space="preserve"> </w:t>
            </w:r>
            <w:r>
              <w:rPr>
                <w:sz w:val="20"/>
              </w:rPr>
              <w:t xml:space="preserve">postings were properly classified and in agreement with supporting </w:t>
            </w:r>
            <w:r>
              <w:rPr>
                <w:spacing w:val="-2"/>
                <w:sz w:val="20"/>
              </w:rPr>
              <w:t>documentation.</w:t>
            </w:r>
          </w:p>
        </w:tc>
        <w:tc>
          <w:tcPr>
            <w:tcW w:w="2228" w:type="dxa"/>
            <w:tcBorders>
              <w:top w:val="single" w:sz="4" w:space="0" w:color="000000"/>
              <w:left w:val="single" w:sz="4" w:space="0" w:color="000000"/>
              <w:bottom w:val="single" w:sz="4" w:space="0" w:color="000000"/>
            </w:tcBorders>
          </w:tcPr>
          <w:p w14:paraId="0DFDB32E" w14:textId="77777777" w:rsidR="00046465" w:rsidRDefault="008134EB">
            <w:pPr>
              <w:pStyle w:val="TableParagraph"/>
              <w:spacing w:before="61"/>
              <w:ind w:left="138" w:right="170"/>
              <w:rPr>
                <w:sz w:val="20"/>
              </w:rPr>
            </w:pPr>
            <w:r>
              <w:rPr>
                <w:sz w:val="20"/>
              </w:rPr>
              <w:t>The</w:t>
            </w:r>
            <w:r>
              <w:rPr>
                <w:spacing w:val="-14"/>
                <w:sz w:val="20"/>
              </w:rPr>
              <w:t xml:space="preserve"> </w:t>
            </w:r>
            <w:r>
              <w:rPr>
                <w:sz w:val="20"/>
              </w:rPr>
              <w:t>revenue</w:t>
            </w:r>
            <w:r>
              <w:rPr>
                <w:spacing w:val="-14"/>
                <w:sz w:val="20"/>
              </w:rPr>
              <w:t xml:space="preserve"> </w:t>
            </w:r>
            <w:r>
              <w:rPr>
                <w:sz w:val="20"/>
              </w:rPr>
              <w:t xml:space="preserve">receipts approximated the amount indicated by </w:t>
            </w:r>
            <w:r>
              <w:rPr>
                <w:spacing w:val="-2"/>
                <w:sz w:val="20"/>
              </w:rPr>
              <w:t>supporting documentation.</w:t>
            </w:r>
          </w:p>
        </w:tc>
      </w:tr>
      <w:tr w:rsidR="00046465" w14:paraId="0DFDB333" w14:textId="77777777">
        <w:trPr>
          <w:trHeight w:val="1962"/>
        </w:trPr>
        <w:tc>
          <w:tcPr>
            <w:tcW w:w="3229" w:type="dxa"/>
            <w:tcBorders>
              <w:top w:val="single" w:sz="4" w:space="0" w:color="000000"/>
              <w:right w:val="single" w:sz="4" w:space="0" w:color="000000"/>
            </w:tcBorders>
          </w:tcPr>
          <w:p w14:paraId="0DFDB330" w14:textId="77777777" w:rsidR="00046465" w:rsidRDefault="008134EB">
            <w:pPr>
              <w:pStyle w:val="TableParagraph"/>
              <w:spacing w:before="60"/>
              <w:ind w:left="120" w:right="189"/>
              <w:rPr>
                <w:sz w:val="20"/>
              </w:rPr>
            </w:pPr>
            <w:r>
              <w:rPr>
                <w:sz w:val="20"/>
              </w:rPr>
              <w:t>Examine personnel files of 40 individuals randomly selected from</w:t>
            </w:r>
            <w:r>
              <w:rPr>
                <w:spacing w:val="-10"/>
                <w:sz w:val="20"/>
              </w:rPr>
              <w:t xml:space="preserve"> </w:t>
            </w:r>
            <w:r>
              <w:rPr>
                <w:sz w:val="20"/>
              </w:rPr>
              <w:t>the</w:t>
            </w:r>
            <w:r>
              <w:rPr>
                <w:spacing w:val="-10"/>
                <w:sz w:val="20"/>
              </w:rPr>
              <w:t xml:space="preserve"> </w:t>
            </w:r>
            <w:r>
              <w:rPr>
                <w:sz w:val="20"/>
              </w:rPr>
              <w:t>timekeeping</w:t>
            </w:r>
            <w:r>
              <w:rPr>
                <w:spacing w:val="-10"/>
                <w:sz w:val="20"/>
              </w:rPr>
              <w:t xml:space="preserve"> </w:t>
            </w:r>
            <w:r>
              <w:rPr>
                <w:sz w:val="20"/>
              </w:rPr>
              <w:t>records</w:t>
            </w:r>
            <w:r>
              <w:rPr>
                <w:spacing w:val="-9"/>
                <w:sz w:val="20"/>
              </w:rPr>
              <w:t xml:space="preserve"> </w:t>
            </w:r>
            <w:r>
              <w:rPr>
                <w:sz w:val="20"/>
              </w:rPr>
              <w:t>for the year; determine whether the selected files contain a current and approved Notification of Personnel Action (Standard Form 50).</w:t>
            </w:r>
          </w:p>
        </w:tc>
        <w:tc>
          <w:tcPr>
            <w:tcW w:w="3859" w:type="dxa"/>
            <w:tcBorders>
              <w:top w:val="single" w:sz="4" w:space="0" w:color="000000"/>
              <w:left w:val="single" w:sz="4" w:space="0" w:color="000000"/>
              <w:right w:val="single" w:sz="4" w:space="0" w:color="000000"/>
            </w:tcBorders>
          </w:tcPr>
          <w:p w14:paraId="0DFDB331" w14:textId="77777777" w:rsidR="00046465" w:rsidRDefault="008134EB">
            <w:pPr>
              <w:pStyle w:val="TableParagraph"/>
              <w:spacing w:before="61"/>
              <w:ind w:left="138" w:right="95"/>
              <w:rPr>
                <w:sz w:val="20"/>
              </w:rPr>
            </w:pPr>
            <w:r>
              <w:rPr>
                <w:sz w:val="20"/>
              </w:rPr>
              <w:t>Thirty of the selected files contained a current and approved Notification of Personnel Action. Ten files did not contain a current and approved Notification</w:t>
            </w:r>
            <w:r>
              <w:rPr>
                <w:spacing w:val="-8"/>
                <w:sz w:val="20"/>
              </w:rPr>
              <w:t xml:space="preserve"> </w:t>
            </w:r>
            <w:r>
              <w:rPr>
                <w:sz w:val="20"/>
              </w:rPr>
              <w:t>of</w:t>
            </w:r>
            <w:r>
              <w:rPr>
                <w:spacing w:val="-8"/>
                <w:sz w:val="20"/>
              </w:rPr>
              <w:t xml:space="preserve"> </w:t>
            </w:r>
            <w:r>
              <w:rPr>
                <w:sz w:val="20"/>
              </w:rPr>
              <w:t>Personnel</w:t>
            </w:r>
            <w:r>
              <w:rPr>
                <w:spacing w:val="-8"/>
                <w:sz w:val="20"/>
              </w:rPr>
              <w:t xml:space="preserve"> </w:t>
            </w:r>
            <w:r>
              <w:rPr>
                <w:sz w:val="20"/>
              </w:rPr>
              <w:t>Action</w:t>
            </w:r>
            <w:r>
              <w:rPr>
                <w:spacing w:val="-8"/>
                <w:sz w:val="20"/>
              </w:rPr>
              <w:t xml:space="preserve"> </w:t>
            </w:r>
            <w:r>
              <w:rPr>
                <w:i/>
                <w:sz w:val="20"/>
              </w:rPr>
              <w:t>(list</w:t>
            </w:r>
            <w:r>
              <w:rPr>
                <w:i/>
                <w:spacing w:val="-8"/>
                <w:sz w:val="20"/>
              </w:rPr>
              <w:t xml:space="preserve"> </w:t>
            </w:r>
            <w:r>
              <w:rPr>
                <w:i/>
                <w:sz w:val="20"/>
              </w:rPr>
              <w:t>and identify exceptions)</w:t>
            </w:r>
            <w:r>
              <w:rPr>
                <w:sz w:val="20"/>
              </w:rPr>
              <w:t>.</w:t>
            </w:r>
          </w:p>
        </w:tc>
        <w:tc>
          <w:tcPr>
            <w:tcW w:w="2228" w:type="dxa"/>
            <w:tcBorders>
              <w:top w:val="single" w:sz="4" w:space="0" w:color="000000"/>
              <w:left w:val="single" w:sz="4" w:space="0" w:color="000000"/>
            </w:tcBorders>
          </w:tcPr>
          <w:p w14:paraId="0DFDB332" w14:textId="77777777" w:rsidR="00046465" w:rsidRDefault="008134EB">
            <w:pPr>
              <w:pStyle w:val="TableParagraph"/>
              <w:spacing w:before="61"/>
              <w:ind w:left="138" w:right="112"/>
              <w:rPr>
                <w:sz w:val="20"/>
              </w:rPr>
            </w:pPr>
            <w:r>
              <w:rPr>
                <w:sz w:val="20"/>
              </w:rPr>
              <w:t>Some of the personnel</w:t>
            </w:r>
            <w:r>
              <w:rPr>
                <w:spacing w:val="-13"/>
                <w:sz w:val="20"/>
              </w:rPr>
              <w:t xml:space="preserve"> </w:t>
            </w:r>
            <w:r>
              <w:rPr>
                <w:sz w:val="20"/>
              </w:rPr>
              <w:t>files</w:t>
            </w:r>
            <w:r>
              <w:rPr>
                <w:spacing w:val="-12"/>
                <w:sz w:val="20"/>
              </w:rPr>
              <w:t xml:space="preserve"> </w:t>
            </w:r>
            <w:r>
              <w:rPr>
                <w:sz w:val="20"/>
              </w:rPr>
              <w:t>did</w:t>
            </w:r>
            <w:r>
              <w:rPr>
                <w:spacing w:val="-13"/>
                <w:sz w:val="20"/>
              </w:rPr>
              <w:t xml:space="preserve"> </w:t>
            </w:r>
            <w:r>
              <w:rPr>
                <w:sz w:val="20"/>
              </w:rPr>
              <w:t>not contain a current and approved Notification of Personnel Action.</w:t>
            </w:r>
          </w:p>
        </w:tc>
      </w:tr>
    </w:tbl>
    <w:p w14:paraId="0DFDB334" w14:textId="77777777" w:rsidR="00046465" w:rsidRDefault="008134EB">
      <w:pPr>
        <w:pStyle w:val="ListParagraph"/>
        <w:numPr>
          <w:ilvl w:val="0"/>
          <w:numId w:val="192"/>
        </w:numPr>
        <w:tabs>
          <w:tab w:val="left" w:pos="1800"/>
        </w:tabs>
        <w:spacing w:before="104"/>
        <w:ind w:right="1007"/>
      </w:pPr>
      <w:r>
        <w:t>If the audit organization’s procedure is to date reports with the issue date, the auditor</w:t>
      </w:r>
      <w:r>
        <w:rPr>
          <w:spacing w:val="-3"/>
        </w:rPr>
        <w:t xml:space="preserve"> </w:t>
      </w:r>
      <w:r>
        <w:t>may</w:t>
      </w:r>
      <w:r>
        <w:rPr>
          <w:spacing w:val="-3"/>
        </w:rPr>
        <w:t xml:space="preserve"> </w:t>
      </w:r>
      <w:r>
        <w:t>state</w:t>
      </w:r>
      <w:r>
        <w:rPr>
          <w:spacing w:val="-3"/>
        </w:rPr>
        <w:t xml:space="preserve"> </w:t>
      </w:r>
      <w:r>
        <w:t>the</w:t>
      </w:r>
      <w:r>
        <w:rPr>
          <w:spacing w:val="-3"/>
        </w:rPr>
        <w:t xml:space="preserve"> </w:t>
      </w:r>
      <w:r>
        <w:t>date</w:t>
      </w:r>
      <w:r>
        <w:rPr>
          <w:spacing w:val="-3"/>
        </w:rPr>
        <w:t xml:space="preserve"> </w:t>
      </w:r>
      <w:r>
        <w:t>of</w:t>
      </w:r>
      <w:r>
        <w:rPr>
          <w:spacing w:val="-3"/>
        </w:rPr>
        <w:t xml:space="preserve"> </w:t>
      </w:r>
      <w:r>
        <w:t>completion</w:t>
      </w:r>
      <w:r>
        <w:rPr>
          <w:spacing w:val="-3"/>
        </w:rPr>
        <w:t xml:space="preserve"> </w:t>
      </w:r>
      <w:r>
        <w:t>of</w:t>
      </w:r>
      <w:r>
        <w:rPr>
          <w:spacing w:val="-3"/>
        </w:rPr>
        <w:t xml:space="preserve"> </w:t>
      </w:r>
      <w:r>
        <w:t>the</w:t>
      </w:r>
      <w:r>
        <w:rPr>
          <w:spacing w:val="-3"/>
        </w:rPr>
        <w:t xml:space="preserve"> </w:t>
      </w:r>
      <w:r>
        <w:t>engagement</w:t>
      </w:r>
      <w:r>
        <w:rPr>
          <w:spacing w:val="-3"/>
        </w:rPr>
        <w:t xml:space="preserve"> </w:t>
      </w:r>
      <w:r>
        <w:t>in</w:t>
      </w:r>
      <w:r>
        <w:rPr>
          <w:spacing w:val="-3"/>
        </w:rPr>
        <w:t xml:space="preserve"> </w:t>
      </w:r>
      <w:r>
        <w:t>the</w:t>
      </w:r>
      <w:r>
        <w:rPr>
          <w:spacing w:val="-3"/>
        </w:rPr>
        <w:t xml:space="preserve"> </w:t>
      </w:r>
      <w:r>
        <w:t>report,</w:t>
      </w:r>
      <w:r>
        <w:rPr>
          <w:spacing w:val="-4"/>
        </w:rPr>
        <w:t xml:space="preserve"> </w:t>
      </w:r>
      <w:r>
        <w:t>such as “We completed the agreed-upon procedures on [date].”</w:t>
      </w:r>
    </w:p>
    <w:p w14:paraId="0DFDB335" w14:textId="77777777" w:rsidR="00046465" w:rsidRDefault="008134EB">
      <w:pPr>
        <w:pStyle w:val="ListParagraph"/>
        <w:numPr>
          <w:ilvl w:val="0"/>
          <w:numId w:val="192"/>
        </w:numPr>
        <w:tabs>
          <w:tab w:val="left" w:pos="1799"/>
        </w:tabs>
        <w:ind w:left="1799" w:right="973" w:hanging="720"/>
      </w:pPr>
      <w:r>
        <w:t>The auditor should obtain report comments from the party responsible for the subject</w:t>
      </w:r>
      <w:r>
        <w:rPr>
          <w:spacing w:val="-4"/>
        </w:rPr>
        <w:t xml:space="preserve"> </w:t>
      </w:r>
      <w:r>
        <w:t>matter.</w:t>
      </w:r>
      <w:r>
        <w:rPr>
          <w:spacing w:val="-4"/>
        </w:rPr>
        <w:t xml:space="preserve"> </w:t>
      </w:r>
      <w:r>
        <w:t>These</w:t>
      </w:r>
      <w:r>
        <w:rPr>
          <w:spacing w:val="-4"/>
        </w:rPr>
        <w:t xml:space="preserve"> </w:t>
      </w:r>
      <w:r>
        <w:t>comments</w:t>
      </w:r>
      <w:r>
        <w:rPr>
          <w:spacing w:val="-4"/>
        </w:rPr>
        <w:t xml:space="preserve"> </w:t>
      </w:r>
      <w:r>
        <w:t>can</w:t>
      </w:r>
      <w:r>
        <w:rPr>
          <w:spacing w:val="-4"/>
        </w:rPr>
        <w:t xml:space="preserve"> </w:t>
      </w:r>
      <w:r>
        <w:t>be</w:t>
      </w:r>
      <w:r>
        <w:rPr>
          <w:spacing w:val="-4"/>
        </w:rPr>
        <w:t xml:space="preserve"> </w:t>
      </w:r>
      <w:r>
        <w:t>either</w:t>
      </w:r>
      <w:r>
        <w:rPr>
          <w:spacing w:val="-4"/>
        </w:rPr>
        <w:t xml:space="preserve"> </w:t>
      </w:r>
      <w:r>
        <w:t>written</w:t>
      </w:r>
      <w:r>
        <w:rPr>
          <w:spacing w:val="-4"/>
        </w:rPr>
        <w:t xml:space="preserve"> </w:t>
      </w:r>
      <w:r>
        <w:t>or</w:t>
      </w:r>
      <w:r>
        <w:rPr>
          <w:spacing w:val="-4"/>
        </w:rPr>
        <w:t xml:space="preserve"> </w:t>
      </w:r>
      <w:r>
        <w:t>oral.</w:t>
      </w:r>
      <w:r>
        <w:rPr>
          <w:spacing w:val="-5"/>
        </w:rPr>
        <w:t xml:space="preserve"> </w:t>
      </w:r>
      <w:r>
        <w:t>If</w:t>
      </w:r>
      <w:r>
        <w:rPr>
          <w:spacing w:val="-4"/>
        </w:rPr>
        <w:t xml:space="preserve"> </w:t>
      </w:r>
      <w:r>
        <w:t>oral</w:t>
      </w:r>
      <w:r>
        <w:rPr>
          <w:spacing w:val="-4"/>
        </w:rPr>
        <w:t xml:space="preserve"> </w:t>
      </w:r>
      <w:r>
        <w:t>comments are obtained, the auditor should document them in a memorandum.</w:t>
      </w:r>
    </w:p>
    <w:p w14:paraId="0DFDB336" w14:textId="77777777" w:rsidR="00046465" w:rsidRDefault="008134EB">
      <w:pPr>
        <w:pStyle w:val="ListParagraph"/>
        <w:numPr>
          <w:ilvl w:val="0"/>
          <w:numId w:val="192"/>
        </w:numPr>
        <w:tabs>
          <w:tab w:val="left" w:pos="1799"/>
        </w:tabs>
        <w:ind w:left="1799" w:right="885"/>
      </w:pPr>
      <w:r>
        <w:t>Prior to issuing the agreed-upon procedures report, the auditor should obtain a written agreement on the procedures and acknowledgment from the engaging party</w:t>
      </w:r>
      <w:r>
        <w:rPr>
          <w:spacing w:val="-4"/>
        </w:rPr>
        <w:t xml:space="preserve"> </w:t>
      </w:r>
      <w:r>
        <w:t>that</w:t>
      </w:r>
      <w:r>
        <w:rPr>
          <w:spacing w:val="-4"/>
        </w:rPr>
        <w:t xml:space="preserve"> </w:t>
      </w:r>
      <w:r>
        <w:t>the</w:t>
      </w:r>
      <w:r>
        <w:rPr>
          <w:spacing w:val="-4"/>
        </w:rPr>
        <w:t xml:space="preserve"> </w:t>
      </w:r>
      <w:r>
        <w:t>procedures</w:t>
      </w:r>
      <w:r>
        <w:rPr>
          <w:spacing w:val="-4"/>
        </w:rPr>
        <w:t xml:space="preserve"> </w:t>
      </w:r>
      <w:r>
        <w:t>performed</w:t>
      </w:r>
      <w:r>
        <w:rPr>
          <w:spacing w:val="-4"/>
        </w:rPr>
        <w:t xml:space="preserve"> </w:t>
      </w:r>
      <w:r>
        <w:t>are</w:t>
      </w:r>
      <w:r>
        <w:rPr>
          <w:spacing w:val="-4"/>
        </w:rPr>
        <w:t xml:space="preserve"> </w:t>
      </w:r>
      <w:r>
        <w:t>appropriate</w:t>
      </w:r>
      <w:r>
        <w:rPr>
          <w:spacing w:val="-4"/>
        </w:rPr>
        <w:t xml:space="preserve"> </w:t>
      </w:r>
      <w:r>
        <w:t>for</w:t>
      </w:r>
      <w:r>
        <w:rPr>
          <w:spacing w:val="-4"/>
        </w:rPr>
        <w:t xml:space="preserve"> </w:t>
      </w:r>
      <w:r>
        <w:t>the</w:t>
      </w:r>
      <w:r>
        <w:rPr>
          <w:spacing w:val="-4"/>
        </w:rPr>
        <w:t xml:space="preserve"> </w:t>
      </w:r>
      <w:r>
        <w:t>intended</w:t>
      </w:r>
      <w:r>
        <w:rPr>
          <w:spacing w:val="-4"/>
        </w:rPr>
        <w:t xml:space="preserve"> </w:t>
      </w:r>
      <w:r>
        <w:t>purpose</w:t>
      </w:r>
      <w:r>
        <w:rPr>
          <w:spacing w:val="-4"/>
        </w:rPr>
        <w:t xml:space="preserve"> </w:t>
      </w:r>
      <w:r>
        <w:t>of</w:t>
      </w:r>
    </w:p>
    <w:p w14:paraId="0DFDB337" w14:textId="77777777" w:rsidR="00046465" w:rsidRDefault="00046465">
      <w:pPr>
        <w:pStyle w:val="ListParagraph"/>
        <w:sectPr w:rsidR="00046465">
          <w:pgSz w:w="12240" w:h="15840"/>
          <w:pgMar w:top="1340" w:right="720" w:bottom="940" w:left="1080" w:header="721" w:footer="757" w:gutter="0"/>
          <w:cols w:space="720"/>
        </w:sectPr>
      </w:pPr>
    </w:p>
    <w:p w14:paraId="0DFDB338" w14:textId="77777777" w:rsidR="00046465" w:rsidRDefault="008134EB">
      <w:pPr>
        <w:pStyle w:val="BodyText"/>
        <w:spacing w:before="121"/>
        <w:ind w:left="1799" w:right="749"/>
      </w:pPr>
      <w:r>
        <w:lastRenderedPageBreak/>
        <w:t>the engagement (AT-C 215.22). The written agreement and acknowledgment may be documented in the engagement letter, an addendum to the engagement letter,</w:t>
      </w:r>
      <w:r>
        <w:rPr>
          <w:spacing w:val="-4"/>
        </w:rPr>
        <w:t xml:space="preserve"> </w:t>
      </w:r>
      <w:r>
        <w:t>a</w:t>
      </w:r>
      <w:r>
        <w:rPr>
          <w:spacing w:val="-4"/>
        </w:rPr>
        <w:t xml:space="preserve"> </w:t>
      </w:r>
      <w:r>
        <w:t>representation</w:t>
      </w:r>
      <w:r>
        <w:rPr>
          <w:spacing w:val="-4"/>
        </w:rPr>
        <w:t xml:space="preserve"> </w:t>
      </w:r>
      <w:r>
        <w:t>letter,</w:t>
      </w:r>
      <w:r>
        <w:rPr>
          <w:spacing w:val="-4"/>
        </w:rPr>
        <w:t xml:space="preserve"> </w:t>
      </w:r>
      <w:r>
        <w:t>or</w:t>
      </w:r>
      <w:r>
        <w:rPr>
          <w:spacing w:val="-4"/>
        </w:rPr>
        <w:t xml:space="preserve"> </w:t>
      </w:r>
      <w:r>
        <w:t>some</w:t>
      </w:r>
      <w:r>
        <w:rPr>
          <w:spacing w:val="-4"/>
        </w:rPr>
        <w:t xml:space="preserve"> </w:t>
      </w:r>
      <w:r>
        <w:t>other</w:t>
      </w:r>
      <w:r>
        <w:rPr>
          <w:spacing w:val="-4"/>
        </w:rPr>
        <w:t xml:space="preserve"> </w:t>
      </w:r>
      <w:r>
        <w:t>form</w:t>
      </w:r>
      <w:r>
        <w:rPr>
          <w:spacing w:val="-5"/>
        </w:rPr>
        <w:t xml:space="preserve"> </w:t>
      </w:r>
      <w:r>
        <w:t>of</w:t>
      </w:r>
      <w:r>
        <w:rPr>
          <w:spacing w:val="-4"/>
        </w:rPr>
        <w:t xml:space="preserve"> </w:t>
      </w:r>
      <w:r>
        <w:t>written</w:t>
      </w:r>
      <w:r>
        <w:rPr>
          <w:spacing w:val="-4"/>
        </w:rPr>
        <w:t xml:space="preserve"> </w:t>
      </w:r>
      <w:r>
        <w:t>communication</w:t>
      </w:r>
      <w:r>
        <w:rPr>
          <w:spacing w:val="-4"/>
        </w:rPr>
        <w:t xml:space="preserve"> </w:t>
      </w:r>
      <w:r>
        <w:t>(AT-C 215.A35). If the engaging party refuses to provide the written agreement and acknowledgment, the auditor should withdraw from the engagement (AT-</w:t>
      </w:r>
    </w:p>
    <w:p w14:paraId="0DFDB339" w14:textId="77777777" w:rsidR="00046465" w:rsidRDefault="008134EB">
      <w:pPr>
        <w:pStyle w:val="BodyText"/>
        <w:ind w:left="1800"/>
      </w:pPr>
      <w:r>
        <w:t>C</w:t>
      </w:r>
      <w:r>
        <w:rPr>
          <w:spacing w:val="-3"/>
        </w:rPr>
        <w:t xml:space="preserve"> </w:t>
      </w:r>
      <w:r>
        <w:rPr>
          <w:spacing w:val="-2"/>
        </w:rPr>
        <w:t>215.23).</w:t>
      </w:r>
    </w:p>
    <w:p w14:paraId="0DFDB33A" w14:textId="77777777" w:rsidR="00046465" w:rsidRDefault="008134EB">
      <w:pPr>
        <w:pStyle w:val="Heading4"/>
        <w:spacing w:before="120"/>
      </w:pPr>
      <w:bookmarkStart w:id="145" w:name="Documentation"/>
      <w:bookmarkEnd w:id="145"/>
      <w:r>
        <w:rPr>
          <w:spacing w:val="-2"/>
        </w:rPr>
        <w:t>Documentation</w:t>
      </w:r>
    </w:p>
    <w:p w14:paraId="0DFDB33B" w14:textId="77777777" w:rsidR="00046465" w:rsidRDefault="008134EB">
      <w:pPr>
        <w:pStyle w:val="ListParagraph"/>
        <w:numPr>
          <w:ilvl w:val="0"/>
          <w:numId w:val="192"/>
        </w:numPr>
        <w:tabs>
          <w:tab w:val="left" w:pos="1800"/>
        </w:tabs>
        <w:spacing w:before="240"/>
        <w:ind w:right="726"/>
      </w:pPr>
      <w:r>
        <w:t>Although the quantity, type, and content of documentation varies with the circumstances,</w:t>
      </w:r>
      <w:r>
        <w:rPr>
          <w:spacing w:val="-5"/>
        </w:rPr>
        <w:t xml:space="preserve"> </w:t>
      </w:r>
      <w:r>
        <w:t>the</w:t>
      </w:r>
      <w:r>
        <w:rPr>
          <w:spacing w:val="-5"/>
        </w:rPr>
        <w:t xml:space="preserve"> </w:t>
      </w:r>
      <w:r>
        <w:t>auditor</w:t>
      </w:r>
      <w:r>
        <w:rPr>
          <w:spacing w:val="-5"/>
        </w:rPr>
        <w:t xml:space="preserve"> </w:t>
      </w:r>
      <w:r>
        <w:t>should</w:t>
      </w:r>
      <w:r>
        <w:rPr>
          <w:spacing w:val="-5"/>
        </w:rPr>
        <w:t xml:space="preserve"> </w:t>
      </w:r>
      <w:r>
        <w:t>document</w:t>
      </w:r>
      <w:r>
        <w:rPr>
          <w:spacing w:val="-5"/>
        </w:rPr>
        <w:t xml:space="preserve"> </w:t>
      </w:r>
      <w:r>
        <w:t>sufficient</w:t>
      </w:r>
      <w:r>
        <w:rPr>
          <w:spacing w:val="-5"/>
        </w:rPr>
        <w:t xml:space="preserve"> </w:t>
      </w:r>
      <w:r>
        <w:t>information</w:t>
      </w:r>
      <w:r>
        <w:rPr>
          <w:spacing w:val="-5"/>
        </w:rPr>
        <w:t xml:space="preserve"> </w:t>
      </w:r>
      <w:r>
        <w:t>to</w:t>
      </w:r>
      <w:r>
        <w:rPr>
          <w:spacing w:val="-5"/>
        </w:rPr>
        <w:t xml:space="preserve"> </w:t>
      </w:r>
      <w:r>
        <w:t>demonstrate that the work was adequately planned and supervised and that the evidence provides a reasonable basis for the report as discussed in GAGAS.</w:t>
      </w:r>
    </w:p>
    <w:p w14:paraId="0DFDB33C" w14:textId="77777777" w:rsidR="00046465" w:rsidRDefault="008134EB">
      <w:pPr>
        <w:pStyle w:val="ListParagraph"/>
        <w:numPr>
          <w:ilvl w:val="0"/>
          <w:numId w:val="192"/>
        </w:numPr>
        <w:tabs>
          <w:tab w:val="left" w:pos="1800"/>
        </w:tabs>
        <w:spacing w:before="119"/>
        <w:ind w:right="763"/>
      </w:pPr>
      <w:r>
        <w:t>The auditor should document sufficient information to enable an experienced auditor</w:t>
      </w:r>
      <w:r>
        <w:rPr>
          <w:spacing w:val="-4"/>
        </w:rPr>
        <w:t xml:space="preserve"> </w:t>
      </w:r>
      <w:r>
        <w:t>having</w:t>
      </w:r>
      <w:r>
        <w:rPr>
          <w:spacing w:val="-4"/>
        </w:rPr>
        <w:t xml:space="preserve"> </w:t>
      </w:r>
      <w:r>
        <w:t>no</w:t>
      </w:r>
      <w:r>
        <w:rPr>
          <w:spacing w:val="-4"/>
        </w:rPr>
        <w:t xml:space="preserve"> </w:t>
      </w:r>
      <w:r>
        <w:t>previous</w:t>
      </w:r>
      <w:r>
        <w:rPr>
          <w:spacing w:val="-4"/>
        </w:rPr>
        <w:t xml:space="preserve"> </w:t>
      </w:r>
      <w:r>
        <w:t>connection</w:t>
      </w:r>
      <w:r>
        <w:rPr>
          <w:spacing w:val="-4"/>
        </w:rPr>
        <w:t xml:space="preserve"> </w:t>
      </w:r>
      <w:r>
        <w:t>with</w:t>
      </w:r>
      <w:r>
        <w:rPr>
          <w:spacing w:val="-4"/>
        </w:rPr>
        <w:t xml:space="preserve"> </w:t>
      </w:r>
      <w:r>
        <w:t>the</w:t>
      </w:r>
      <w:r>
        <w:rPr>
          <w:spacing w:val="-4"/>
        </w:rPr>
        <w:t xml:space="preserve"> </w:t>
      </w:r>
      <w:r>
        <w:t>engagement</w:t>
      </w:r>
      <w:r>
        <w:rPr>
          <w:spacing w:val="-4"/>
        </w:rPr>
        <w:t xml:space="preserve"> </w:t>
      </w:r>
      <w:r>
        <w:t>to</w:t>
      </w:r>
      <w:r>
        <w:rPr>
          <w:spacing w:val="-4"/>
        </w:rPr>
        <w:t xml:space="preserve"> </w:t>
      </w:r>
      <w:r>
        <w:t>ascertain</w:t>
      </w:r>
      <w:r>
        <w:rPr>
          <w:spacing w:val="-5"/>
        </w:rPr>
        <w:t xml:space="preserve"> </w:t>
      </w:r>
      <w:r>
        <w:t>from</w:t>
      </w:r>
      <w:r>
        <w:rPr>
          <w:spacing w:val="-5"/>
        </w:rPr>
        <w:t xml:space="preserve"> </w:t>
      </w:r>
      <w:r>
        <w:t>the documentation the nature, timing, extent, and results of procedures performed and the evidence that supports the report, including its sources.</w:t>
      </w:r>
    </w:p>
    <w:p w14:paraId="0DFDB33D" w14:textId="77777777" w:rsidR="00046465" w:rsidRDefault="008134EB">
      <w:pPr>
        <w:pStyle w:val="ListParagraph"/>
        <w:numPr>
          <w:ilvl w:val="0"/>
          <w:numId w:val="192"/>
        </w:numPr>
        <w:tabs>
          <w:tab w:val="left" w:pos="1800"/>
        </w:tabs>
        <w:spacing w:before="121"/>
        <w:ind w:right="1079"/>
      </w:pPr>
      <w:r>
        <w:t>The</w:t>
      </w:r>
      <w:r>
        <w:rPr>
          <w:spacing w:val="-4"/>
        </w:rPr>
        <w:t xml:space="preserve"> </w:t>
      </w:r>
      <w:r>
        <w:t>auditor</w:t>
      </w:r>
      <w:r>
        <w:rPr>
          <w:spacing w:val="-6"/>
        </w:rPr>
        <w:t xml:space="preserve"> </w:t>
      </w:r>
      <w:r>
        <w:t>should</w:t>
      </w:r>
      <w:r>
        <w:rPr>
          <w:spacing w:val="-4"/>
        </w:rPr>
        <w:t xml:space="preserve"> </w:t>
      </w:r>
      <w:r>
        <w:t>prepare</w:t>
      </w:r>
      <w:r>
        <w:rPr>
          <w:spacing w:val="-3"/>
        </w:rPr>
        <w:t xml:space="preserve"> </w:t>
      </w:r>
      <w:r>
        <w:t>engagement</w:t>
      </w:r>
      <w:r>
        <w:rPr>
          <w:spacing w:val="-4"/>
        </w:rPr>
        <w:t xml:space="preserve"> </w:t>
      </w:r>
      <w:r>
        <w:t>documentation</w:t>
      </w:r>
      <w:r>
        <w:rPr>
          <w:spacing w:val="-4"/>
        </w:rPr>
        <w:t xml:space="preserve"> </w:t>
      </w:r>
      <w:r>
        <w:t>on</w:t>
      </w:r>
      <w:r>
        <w:rPr>
          <w:spacing w:val="-5"/>
        </w:rPr>
        <w:t xml:space="preserve"> </w:t>
      </w:r>
      <w:r>
        <w:t>a</w:t>
      </w:r>
      <w:r>
        <w:rPr>
          <w:spacing w:val="-4"/>
        </w:rPr>
        <w:t xml:space="preserve"> </w:t>
      </w:r>
      <w:r>
        <w:t>timely</w:t>
      </w:r>
      <w:r>
        <w:rPr>
          <w:spacing w:val="-4"/>
        </w:rPr>
        <w:t xml:space="preserve"> </w:t>
      </w:r>
      <w:r>
        <w:t>basis</w:t>
      </w:r>
      <w:r>
        <w:rPr>
          <w:spacing w:val="-4"/>
        </w:rPr>
        <w:t xml:space="preserve"> </w:t>
      </w:r>
      <w:r>
        <w:t>that includes the following (AT-C 215.42):</w:t>
      </w:r>
    </w:p>
    <w:p w14:paraId="0DFDB33E" w14:textId="77777777" w:rsidR="00046465" w:rsidRDefault="008134EB">
      <w:pPr>
        <w:pStyle w:val="ListParagraph"/>
        <w:numPr>
          <w:ilvl w:val="1"/>
          <w:numId w:val="192"/>
        </w:numPr>
        <w:tabs>
          <w:tab w:val="left" w:pos="2160"/>
        </w:tabs>
        <w:spacing w:before="119"/>
        <w:ind w:right="918"/>
      </w:pPr>
      <w:r>
        <w:t>The written agreement and acknowledgment from the engaging party regarding</w:t>
      </w:r>
      <w:r>
        <w:rPr>
          <w:spacing w:val="-5"/>
        </w:rPr>
        <w:t xml:space="preserve"> </w:t>
      </w:r>
      <w:r>
        <w:t>the</w:t>
      </w:r>
      <w:r>
        <w:rPr>
          <w:spacing w:val="-5"/>
        </w:rPr>
        <w:t xml:space="preserve"> </w:t>
      </w:r>
      <w:r>
        <w:t>appropriateness</w:t>
      </w:r>
      <w:r>
        <w:rPr>
          <w:spacing w:val="-5"/>
        </w:rPr>
        <w:t xml:space="preserve"> </w:t>
      </w:r>
      <w:r>
        <w:t>of</w:t>
      </w:r>
      <w:r>
        <w:rPr>
          <w:spacing w:val="-5"/>
        </w:rPr>
        <w:t xml:space="preserve"> </w:t>
      </w:r>
      <w:r>
        <w:t>the</w:t>
      </w:r>
      <w:r>
        <w:rPr>
          <w:spacing w:val="-6"/>
        </w:rPr>
        <w:t xml:space="preserve"> </w:t>
      </w:r>
      <w:r>
        <w:t>procedures</w:t>
      </w:r>
      <w:r>
        <w:rPr>
          <w:spacing w:val="-6"/>
        </w:rPr>
        <w:t xml:space="preserve"> </w:t>
      </w:r>
      <w:r>
        <w:t>performed</w:t>
      </w:r>
      <w:r>
        <w:rPr>
          <w:spacing w:val="-5"/>
        </w:rPr>
        <w:t xml:space="preserve"> </w:t>
      </w:r>
      <w:r>
        <w:t>for</w:t>
      </w:r>
      <w:r>
        <w:rPr>
          <w:spacing w:val="-5"/>
        </w:rPr>
        <w:t xml:space="preserve"> </w:t>
      </w:r>
      <w:r>
        <w:t>the</w:t>
      </w:r>
      <w:r>
        <w:rPr>
          <w:spacing w:val="-5"/>
        </w:rPr>
        <w:t xml:space="preserve"> </w:t>
      </w:r>
      <w:r>
        <w:t>intended purpose of the engagement.</w:t>
      </w:r>
    </w:p>
    <w:p w14:paraId="0DFDB33F" w14:textId="77777777" w:rsidR="00046465" w:rsidRDefault="008134EB">
      <w:pPr>
        <w:pStyle w:val="ListParagraph"/>
        <w:numPr>
          <w:ilvl w:val="1"/>
          <w:numId w:val="192"/>
        </w:numPr>
        <w:tabs>
          <w:tab w:val="left" w:pos="2160"/>
        </w:tabs>
        <w:spacing w:before="121"/>
        <w:ind w:right="759"/>
      </w:pPr>
      <w:r>
        <w:t>The nature, timing, and extent of the procedures performed to comply with relevant</w:t>
      </w:r>
      <w:r>
        <w:rPr>
          <w:spacing w:val="-4"/>
        </w:rPr>
        <w:t xml:space="preserve"> </w:t>
      </w:r>
      <w:r>
        <w:t>AT-C</w:t>
      </w:r>
      <w:r>
        <w:rPr>
          <w:spacing w:val="-5"/>
        </w:rPr>
        <w:t xml:space="preserve"> </w:t>
      </w:r>
      <w:r>
        <w:t>sections</w:t>
      </w:r>
      <w:r>
        <w:rPr>
          <w:spacing w:val="-4"/>
        </w:rPr>
        <w:t xml:space="preserve"> </w:t>
      </w:r>
      <w:r>
        <w:t>(see</w:t>
      </w:r>
      <w:r>
        <w:rPr>
          <w:spacing w:val="-4"/>
        </w:rPr>
        <w:t xml:space="preserve"> </w:t>
      </w:r>
      <w:r>
        <w:t>FAM</w:t>
      </w:r>
      <w:r>
        <w:rPr>
          <w:spacing w:val="-5"/>
        </w:rPr>
        <w:t xml:space="preserve"> </w:t>
      </w:r>
      <w:r>
        <w:t>710.01)</w:t>
      </w:r>
      <w:r>
        <w:rPr>
          <w:spacing w:val="-4"/>
        </w:rPr>
        <w:t xml:space="preserve"> </w:t>
      </w:r>
      <w:r>
        <w:t>and</w:t>
      </w:r>
      <w:r>
        <w:rPr>
          <w:spacing w:val="-4"/>
        </w:rPr>
        <w:t xml:space="preserve"> </w:t>
      </w:r>
      <w:r>
        <w:t>applicable</w:t>
      </w:r>
      <w:r>
        <w:rPr>
          <w:spacing w:val="-5"/>
        </w:rPr>
        <w:t xml:space="preserve"> </w:t>
      </w:r>
      <w:r>
        <w:t>legal</w:t>
      </w:r>
      <w:r>
        <w:rPr>
          <w:spacing w:val="-4"/>
        </w:rPr>
        <w:t xml:space="preserve"> </w:t>
      </w:r>
      <w:r>
        <w:t>and</w:t>
      </w:r>
      <w:r>
        <w:rPr>
          <w:spacing w:val="-4"/>
        </w:rPr>
        <w:t xml:space="preserve"> </w:t>
      </w:r>
      <w:r>
        <w:t>regulatory requirements, including</w:t>
      </w:r>
    </w:p>
    <w:p w14:paraId="0DFDB340" w14:textId="77777777" w:rsidR="00046465" w:rsidRDefault="008134EB">
      <w:pPr>
        <w:pStyle w:val="ListParagraph"/>
        <w:numPr>
          <w:ilvl w:val="2"/>
          <w:numId w:val="192"/>
        </w:numPr>
        <w:tabs>
          <w:tab w:val="left" w:pos="2520"/>
        </w:tabs>
        <w:spacing w:before="119"/>
      </w:pPr>
      <w:r>
        <w:t>the</w:t>
      </w:r>
      <w:r>
        <w:rPr>
          <w:spacing w:val="-7"/>
        </w:rPr>
        <w:t xml:space="preserve"> </w:t>
      </w:r>
      <w:r>
        <w:t>identifying</w:t>
      </w:r>
      <w:r>
        <w:rPr>
          <w:spacing w:val="-7"/>
        </w:rPr>
        <w:t xml:space="preserve"> </w:t>
      </w:r>
      <w:r>
        <w:t>characteristics</w:t>
      </w:r>
      <w:r>
        <w:rPr>
          <w:spacing w:val="-7"/>
        </w:rPr>
        <w:t xml:space="preserve"> </w:t>
      </w:r>
      <w:r>
        <w:t>of</w:t>
      </w:r>
      <w:r>
        <w:rPr>
          <w:spacing w:val="-7"/>
        </w:rPr>
        <w:t xml:space="preserve"> </w:t>
      </w:r>
      <w:r>
        <w:t>the</w:t>
      </w:r>
      <w:r>
        <w:rPr>
          <w:spacing w:val="-8"/>
        </w:rPr>
        <w:t xml:space="preserve"> </w:t>
      </w:r>
      <w:r>
        <w:t>specific</w:t>
      </w:r>
      <w:r>
        <w:rPr>
          <w:spacing w:val="-7"/>
        </w:rPr>
        <w:t xml:space="preserve"> </w:t>
      </w:r>
      <w:r>
        <w:t>items</w:t>
      </w:r>
      <w:r>
        <w:rPr>
          <w:spacing w:val="-7"/>
        </w:rPr>
        <w:t xml:space="preserve"> </w:t>
      </w:r>
      <w:r>
        <w:t>or</w:t>
      </w:r>
      <w:r>
        <w:rPr>
          <w:spacing w:val="-6"/>
        </w:rPr>
        <w:t xml:space="preserve"> </w:t>
      </w:r>
      <w:r>
        <w:t>matters</w:t>
      </w:r>
      <w:r>
        <w:rPr>
          <w:spacing w:val="-7"/>
        </w:rPr>
        <w:t xml:space="preserve"> </w:t>
      </w:r>
      <w:r>
        <w:rPr>
          <w:spacing w:val="-2"/>
        </w:rPr>
        <w:t>tested;</w:t>
      </w:r>
    </w:p>
    <w:p w14:paraId="0DFDB341" w14:textId="77777777" w:rsidR="00046465" w:rsidRDefault="008134EB">
      <w:pPr>
        <w:pStyle w:val="ListParagraph"/>
        <w:numPr>
          <w:ilvl w:val="2"/>
          <w:numId w:val="192"/>
        </w:numPr>
        <w:tabs>
          <w:tab w:val="left" w:pos="2520"/>
        </w:tabs>
        <w:spacing w:before="118"/>
        <w:ind w:right="1487"/>
      </w:pPr>
      <w:r>
        <w:t>who</w:t>
      </w:r>
      <w:r>
        <w:rPr>
          <w:spacing w:val="-4"/>
        </w:rPr>
        <w:t xml:space="preserve"> </w:t>
      </w:r>
      <w:r>
        <w:t>performed</w:t>
      </w:r>
      <w:r>
        <w:rPr>
          <w:spacing w:val="-4"/>
        </w:rPr>
        <w:t xml:space="preserve"> </w:t>
      </w:r>
      <w:r>
        <w:t>the</w:t>
      </w:r>
      <w:r>
        <w:rPr>
          <w:spacing w:val="-4"/>
        </w:rPr>
        <w:t xml:space="preserve"> </w:t>
      </w:r>
      <w:r>
        <w:t>engagement</w:t>
      </w:r>
      <w:r>
        <w:rPr>
          <w:spacing w:val="-4"/>
        </w:rPr>
        <w:t xml:space="preserve"> </w:t>
      </w:r>
      <w:r>
        <w:t>work</w:t>
      </w:r>
      <w:r>
        <w:rPr>
          <w:spacing w:val="-4"/>
        </w:rPr>
        <w:t xml:space="preserve"> </w:t>
      </w:r>
      <w:r>
        <w:t>and</w:t>
      </w:r>
      <w:r>
        <w:rPr>
          <w:spacing w:val="-4"/>
        </w:rPr>
        <w:t xml:space="preserve"> </w:t>
      </w:r>
      <w:r>
        <w:t>the</w:t>
      </w:r>
      <w:r>
        <w:rPr>
          <w:spacing w:val="-4"/>
        </w:rPr>
        <w:t xml:space="preserve"> </w:t>
      </w:r>
      <w:r>
        <w:t>date</w:t>
      </w:r>
      <w:r>
        <w:rPr>
          <w:spacing w:val="-4"/>
        </w:rPr>
        <w:t xml:space="preserve"> </w:t>
      </w:r>
      <w:r>
        <w:t>such</w:t>
      </w:r>
      <w:r>
        <w:rPr>
          <w:spacing w:val="-4"/>
        </w:rPr>
        <w:t xml:space="preserve"> </w:t>
      </w:r>
      <w:r>
        <w:t>work</w:t>
      </w:r>
      <w:r>
        <w:rPr>
          <w:spacing w:val="-4"/>
        </w:rPr>
        <w:t xml:space="preserve"> </w:t>
      </w:r>
      <w:r>
        <w:t xml:space="preserve">was </w:t>
      </w:r>
      <w:r>
        <w:rPr>
          <w:spacing w:val="-2"/>
        </w:rPr>
        <w:t>completed;</w:t>
      </w:r>
    </w:p>
    <w:p w14:paraId="0DFDB342" w14:textId="77777777" w:rsidR="00046465" w:rsidRDefault="008134EB">
      <w:pPr>
        <w:pStyle w:val="ListParagraph"/>
        <w:numPr>
          <w:ilvl w:val="2"/>
          <w:numId w:val="192"/>
        </w:numPr>
        <w:tabs>
          <w:tab w:val="left" w:pos="2520"/>
        </w:tabs>
        <w:spacing w:before="118"/>
        <w:ind w:right="840"/>
      </w:pPr>
      <w:r>
        <w:t>when the appropriate party will not provide one or more of the requested written representations or the auditor concludes either that there is sufficient doubt about the competence, integrity, ethical values, or diligence</w:t>
      </w:r>
      <w:r>
        <w:rPr>
          <w:spacing w:val="-4"/>
        </w:rPr>
        <w:t xml:space="preserve"> </w:t>
      </w:r>
      <w:r>
        <w:t>of</w:t>
      </w:r>
      <w:r>
        <w:rPr>
          <w:spacing w:val="-5"/>
        </w:rPr>
        <w:t xml:space="preserve"> </w:t>
      </w:r>
      <w:r>
        <w:t>those</w:t>
      </w:r>
      <w:r>
        <w:rPr>
          <w:spacing w:val="-4"/>
        </w:rPr>
        <w:t xml:space="preserve"> </w:t>
      </w:r>
      <w:r>
        <w:t>providing</w:t>
      </w:r>
      <w:r>
        <w:rPr>
          <w:spacing w:val="-4"/>
        </w:rPr>
        <w:t xml:space="preserve"> </w:t>
      </w:r>
      <w:r>
        <w:t>the</w:t>
      </w:r>
      <w:r>
        <w:rPr>
          <w:spacing w:val="-4"/>
        </w:rPr>
        <w:t xml:space="preserve"> </w:t>
      </w:r>
      <w:r>
        <w:t>written</w:t>
      </w:r>
      <w:r>
        <w:rPr>
          <w:spacing w:val="-4"/>
        </w:rPr>
        <w:t xml:space="preserve"> </w:t>
      </w:r>
      <w:r>
        <w:t>representations</w:t>
      </w:r>
      <w:r>
        <w:rPr>
          <w:spacing w:val="-4"/>
        </w:rPr>
        <w:t xml:space="preserve"> </w:t>
      </w:r>
      <w:r>
        <w:t>or</w:t>
      </w:r>
      <w:r>
        <w:rPr>
          <w:spacing w:val="-4"/>
        </w:rPr>
        <w:t xml:space="preserve"> </w:t>
      </w:r>
      <w:r>
        <w:t>that</w:t>
      </w:r>
      <w:r>
        <w:rPr>
          <w:spacing w:val="-4"/>
        </w:rPr>
        <w:t xml:space="preserve"> </w:t>
      </w:r>
      <w:r>
        <w:t>the</w:t>
      </w:r>
      <w:r>
        <w:rPr>
          <w:spacing w:val="-4"/>
        </w:rPr>
        <w:t xml:space="preserve"> </w:t>
      </w:r>
      <w:r>
        <w:t xml:space="preserve">written representations are otherwise not reliable, the matters in FAM 710.12; </w:t>
      </w:r>
      <w:r>
        <w:rPr>
          <w:spacing w:val="-4"/>
        </w:rPr>
        <w:t>and</w:t>
      </w:r>
    </w:p>
    <w:p w14:paraId="0DFDB343" w14:textId="77777777" w:rsidR="00046465" w:rsidRDefault="008134EB">
      <w:pPr>
        <w:pStyle w:val="ListParagraph"/>
        <w:numPr>
          <w:ilvl w:val="2"/>
          <w:numId w:val="192"/>
        </w:numPr>
        <w:tabs>
          <w:tab w:val="left" w:pos="2520"/>
        </w:tabs>
        <w:ind w:right="961"/>
      </w:pPr>
      <w:r>
        <w:t>who</w:t>
      </w:r>
      <w:r>
        <w:rPr>
          <w:spacing w:val="-4"/>
        </w:rPr>
        <w:t xml:space="preserve"> </w:t>
      </w:r>
      <w:r>
        <w:t>reviewed</w:t>
      </w:r>
      <w:r>
        <w:rPr>
          <w:spacing w:val="-4"/>
        </w:rPr>
        <w:t xml:space="preserve"> </w:t>
      </w:r>
      <w:r>
        <w:t>the</w:t>
      </w:r>
      <w:r>
        <w:rPr>
          <w:spacing w:val="-4"/>
        </w:rPr>
        <w:t xml:space="preserve"> </w:t>
      </w:r>
      <w:r>
        <w:t>engagement</w:t>
      </w:r>
      <w:r>
        <w:rPr>
          <w:spacing w:val="-4"/>
        </w:rPr>
        <w:t xml:space="preserve"> </w:t>
      </w:r>
      <w:r>
        <w:t>work</w:t>
      </w:r>
      <w:r>
        <w:rPr>
          <w:spacing w:val="-4"/>
        </w:rPr>
        <w:t xml:space="preserve"> </w:t>
      </w:r>
      <w:r>
        <w:t>performed</w:t>
      </w:r>
      <w:r>
        <w:rPr>
          <w:spacing w:val="-4"/>
        </w:rPr>
        <w:t xml:space="preserve"> </w:t>
      </w:r>
      <w:r>
        <w:t>and</w:t>
      </w:r>
      <w:r>
        <w:rPr>
          <w:spacing w:val="-4"/>
        </w:rPr>
        <w:t xml:space="preserve"> </w:t>
      </w:r>
      <w:r>
        <w:t>the</w:t>
      </w:r>
      <w:r>
        <w:rPr>
          <w:spacing w:val="-4"/>
        </w:rPr>
        <w:t xml:space="preserve"> </w:t>
      </w:r>
      <w:r>
        <w:t>date</w:t>
      </w:r>
      <w:r>
        <w:rPr>
          <w:spacing w:val="-5"/>
        </w:rPr>
        <w:t xml:space="preserve"> </w:t>
      </w:r>
      <w:r>
        <w:t>and</w:t>
      </w:r>
      <w:r>
        <w:rPr>
          <w:spacing w:val="-4"/>
        </w:rPr>
        <w:t xml:space="preserve"> </w:t>
      </w:r>
      <w:r>
        <w:t>extent of such review.</w:t>
      </w:r>
    </w:p>
    <w:p w14:paraId="0DFDB344" w14:textId="77777777" w:rsidR="00046465" w:rsidRDefault="008134EB">
      <w:pPr>
        <w:pStyle w:val="ListParagraph"/>
        <w:numPr>
          <w:ilvl w:val="1"/>
          <w:numId w:val="192"/>
        </w:numPr>
        <w:tabs>
          <w:tab w:val="left" w:pos="2159"/>
        </w:tabs>
        <w:spacing w:before="118"/>
        <w:ind w:left="2159" w:hanging="359"/>
      </w:pPr>
      <w:r>
        <w:t>The</w:t>
      </w:r>
      <w:r>
        <w:rPr>
          <w:spacing w:val="-14"/>
        </w:rPr>
        <w:t xml:space="preserve"> </w:t>
      </w:r>
      <w:r>
        <w:t>results</w:t>
      </w:r>
      <w:r>
        <w:rPr>
          <w:spacing w:val="-12"/>
        </w:rPr>
        <w:t xml:space="preserve"> </w:t>
      </w:r>
      <w:r>
        <w:t>of</w:t>
      </w:r>
      <w:r>
        <w:rPr>
          <w:spacing w:val="-13"/>
        </w:rPr>
        <w:t xml:space="preserve"> </w:t>
      </w:r>
      <w:r>
        <w:t>the</w:t>
      </w:r>
      <w:r>
        <w:rPr>
          <w:spacing w:val="-14"/>
        </w:rPr>
        <w:t xml:space="preserve"> </w:t>
      </w:r>
      <w:r>
        <w:t>procedures</w:t>
      </w:r>
      <w:r>
        <w:rPr>
          <w:spacing w:val="-12"/>
        </w:rPr>
        <w:t xml:space="preserve"> </w:t>
      </w:r>
      <w:r>
        <w:t>performed</w:t>
      </w:r>
      <w:r>
        <w:rPr>
          <w:spacing w:val="-14"/>
        </w:rPr>
        <w:t xml:space="preserve"> </w:t>
      </w:r>
      <w:r>
        <w:t>and</w:t>
      </w:r>
      <w:r>
        <w:rPr>
          <w:spacing w:val="-13"/>
        </w:rPr>
        <w:t xml:space="preserve"> </w:t>
      </w:r>
      <w:r>
        <w:t>the</w:t>
      </w:r>
      <w:r>
        <w:rPr>
          <w:spacing w:val="-12"/>
        </w:rPr>
        <w:t xml:space="preserve"> </w:t>
      </w:r>
      <w:r>
        <w:t>evidence</w:t>
      </w:r>
      <w:r>
        <w:rPr>
          <w:spacing w:val="-13"/>
        </w:rPr>
        <w:t xml:space="preserve"> </w:t>
      </w:r>
      <w:r>
        <w:rPr>
          <w:spacing w:val="-2"/>
        </w:rPr>
        <w:t>obtained.</w:t>
      </w:r>
    </w:p>
    <w:p w14:paraId="0DFDB345" w14:textId="77777777" w:rsidR="00046465" w:rsidRDefault="008134EB">
      <w:pPr>
        <w:pStyle w:val="ListParagraph"/>
        <w:numPr>
          <w:ilvl w:val="1"/>
          <w:numId w:val="192"/>
        </w:numPr>
        <w:tabs>
          <w:tab w:val="left" w:pos="2159"/>
        </w:tabs>
        <w:spacing w:before="119"/>
        <w:ind w:left="2159" w:hanging="359"/>
      </w:pPr>
      <w:r>
        <w:t>If</w:t>
      </w:r>
      <w:r>
        <w:rPr>
          <w:spacing w:val="-13"/>
        </w:rPr>
        <w:t xml:space="preserve"> </w:t>
      </w:r>
      <w:r>
        <w:t>the</w:t>
      </w:r>
      <w:r>
        <w:rPr>
          <w:spacing w:val="-12"/>
        </w:rPr>
        <w:t xml:space="preserve"> </w:t>
      </w:r>
      <w:r>
        <w:t>engagement</w:t>
      </w:r>
      <w:r>
        <w:rPr>
          <w:spacing w:val="-13"/>
        </w:rPr>
        <w:t xml:space="preserve"> </w:t>
      </w:r>
      <w:r>
        <w:t>is</w:t>
      </w:r>
      <w:r>
        <w:rPr>
          <w:spacing w:val="-12"/>
        </w:rPr>
        <w:t xml:space="preserve"> </w:t>
      </w:r>
      <w:r>
        <w:t>subject</w:t>
      </w:r>
      <w:r>
        <w:rPr>
          <w:spacing w:val="-12"/>
        </w:rPr>
        <w:t xml:space="preserve"> </w:t>
      </w:r>
      <w:r>
        <w:t>to</w:t>
      </w:r>
      <w:r>
        <w:rPr>
          <w:spacing w:val="-13"/>
        </w:rPr>
        <w:t xml:space="preserve"> </w:t>
      </w:r>
      <w:r>
        <w:t>an</w:t>
      </w:r>
      <w:r>
        <w:rPr>
          <w:spacing w:val="-12"/>
        </w:rPr>
        <w:t xml:space="preserve"> </w:t>
      </w:r>
      <w:r>
        <w:t>engagement</w:t>
      </w:r>
      <w:r>
        <w:rPr>
          <w:spacing w:val="-11"/>
        </w:rPr>
        <w:t xml:space="preserve"> </w:t>
      </w:r>
      <w:r>
        <w:t>quality</w:t>
      </w:r>
      <w:r>
        <w:rPr>
          <w:spacing w:val="-11"/>
        </w:rPr>
        <w:t xml:space="preserve"> </w:t>
      </w:r>
      <w:r>
        <w:rPr>
          <w:spacing w:val="-2"/>
        </w:rPr>
        <w:t>review,</w:t>
      </w:r>
    </w:p>
    <w:p w14:paraId="0DFDB346" w14:textId="77777777" w:rsidR="00046465" w:rsidRDefault="008134EB">
      <w:pPr>
        <w:pStyle w:val="ListParagraph"/>
        <w:numPr>
          <w:ilvl w:val="2"/>
          <w:numId w:val="192"/>
        </w:numPr>
        <w:tabs>
          <w:tab w:val="left" w:pos="2520"/>
        </w:tabs>
        <w:ind w:right="1042" w:hanging="361"/>
      </w:pPr>
      <w:r>
        <w:t>the</w:t>
      </w:r>
      <w:r>
        <w:rPr>
          <w:spacing w:val="-12"/>
        </w:rPr>
        <w:t xml:space="preserve"> </w:t>
      </w:r>
      <w:r>
        <w:t>identity</w:t>
      </w:r>
      <w:r>
        <w:rPr>
          <w:spacing w:val="-10"/>
        </w:rPr>
        <w:t xml:space="preserve"> </w:t>
      </w:r>
      <w:r>
        <w:t>of</w:t>
      </w:r>
      <w:r>
        <w:rPr>
          <w:spacing w:val="-12"/>
        </w:rPr>
        <w:t xml:space="preserve"> </w:t>
      </w:r>
      <w:r>
        <w:t>the</w:t>
      </w:r>
      <w:r>
        <w:rPr>
          <w:spacing w:val="-12"/>
        </w:rPr>
        <w:t xml:space="preserve"> </w:t>
      </w:r>
      <w:r>
        <w:t>engagement</w:t>
      </w:r>
      <w:r>
        <w:rPr>
          <w:spacing w:val="-10"/>
        </w:rPr>
        <w:t xml:space="preserve"> </w:t>
      </w:r>
      <w:r>
        <w:t>quality</w:t>
      </w:r>
      <w:r>
        <w:rPr>
          <w:spacing w:val="-11"/>
        </w:rPr>
        <w:t xml:space="preserve"> </w:t>
      </w:r>
      <w:r>
        <w:t>reviewer</w:t>
      </w:r>
      <w:r>
        <w:rPr>
          <w:spacing w:val="-12"/>
        </w:rPr>
        <w:t xml:space="preserve"> </w:t>
      </w:r>
      <w:r>
        <w:t>for</w:t>
      </w:r>
      <w:r>
        <w:rPr>
          <w:spacing w:val="-12"/>
        </w:rPr>
        <w:t xml:space="preserve"> </w:t>
      </w:r>
      <w:r>
        <w:t>the</w:t>
      </w:r>
      <w:r>
        <w:rPr>
          <w:spacing w:val="-12"/>
        </w:rPr>
        <w:t xml:space="preserve"> </w:t>
      </w:r>
      <w:r>
        <w:t>engagement</w:t>
      </w:r>
      <w:r>
        <w:rPr>
          <w:spacing w:val="-10"/>
        </w:rPr>
        <w:t xml:space="preserve"> </w:t>
      </w:r>
      <w:r>
        <w:t>and the date and extent of such review and</w:t>
      </w:r>
    </w:p>
    <w:p w14:paraId="0DFDB347" w14:textId="77777777" w:rsidR="00046465" w:rsidRDefault="008134EB">
      <w:pPr>
        <w:pStyle w:val="ListParagraph"/>
        <w:numPr>
          <w:ilvl w:val="2"/>
          <w:numId w:val="192"/>
        </w:numPr>
        <w:tabs>
          <w:tab w:val="left" w:pos="2520"/>
        </w:tabs>
        <w:spacing w:before="118"/>
        <w:ind w:right="1475" w:hanging="361"/>
      </w:pPr>
      <w:r>
        <w:t>that</w:t>
      </w:r>
      <w:r>
        <w:rPr>
          <w:spacing w:val="-12"/>
        </w:rPr>
        <w:t xml:space="preserve"> </w:t>
      </w:r>
      <w:r>
        <w:t>the</w:t>
      </w:r>
      <w:r>
        <w:rPr>
          <w:spacing w:val="-12"/>
        </w:rPr>
        <w:t xml:space="preserve"> </w:t>
      </w:r>
      <w:r>
        <w:t>engagement</w:t>
      </w:r>
      <w:r>
        <w:rPr>
          <w:spacing w:val="-12"/>
        </w:rPr>
        <w:t xml:space="preserve"> </w:t>
      </w:r>
      <w:r>
        <w:t>quality</w:t>
      </w:r>
      <w:r>
        <w:rPr>
          <w:spacing w:val="-11"/>
        </w:rPr>
        <w:t xml:space="preserve"> </w:t>
      </w:r>
      <w:r>
        <w:t>review</w:t>
      </w:r>
      <w:r>
        <w:rPr>
          <w:spacing w:val="-11"/>
        </w:rPr>
        <w:t xml:space="preserve"> </w:t>
      </w:r>
      <w:r>
        <w:t>has</w:t>
      </w:r>
      <w:r>
        <w:rPr>
          <w:spacing w:val="-11"/>
        </w:rPr>
        <w:t xml:space="preserve"> </w:t>
      </w:r>
      <w:r>
        <w:t>been</w:t>
      </w:r>
      <w:r>
        <w:rPr>
          <w:spacing w:val="-12"/>
        </w:rPr>
        <w:t xml:space="preserve"> </w:t>
      </w:r>
      <w:r>
        <w:t>completed</w:t>
      </w:r>
      <w:r>
        <w:rPr>
          <w:spacing w:val="-11"/>
        </w:rPr>
        <w:t xml:space="preserve"> </w:t>
      </w:r>
      <w:r>
        <w:t>before</w:t>
      </w:r>
      <w:r>
        <w:rPr>
          <w:spacing w:val="-12"/>
        </w:rPr>
        <w:t xml:space="preserve"> </w:t>
      </w:r>
      <w:r>
        <w:t>the release of the agreed-upon procedures report.</w:t>
      </w:r>
    </w:p>
    <w:p w14:paraId="0DFDB348" w14:textId="77777777" w:rsidR="00046465" w:rsidRDefault="008134EB">
      <w:pPr>
        <w:pStyle w:val="ListParagraph"/>
        <w:numPr>
          <w:ilvl w:val="0"/>
          <w:numId w:val="192"/>
        </w:numPr>
        <w:tabs>
          <w:tab w:val="left" w:pos="1800"/>
        </w:tabs>
        <w:spacing w:before="119"/>
        <w:ind w:right="1350"/>
      </w:pPr>
      <w:r>
        <w:t>The</w:t>
      </w:r>
      <w:r>
        <w:rPr>
          <w:spacing w:val="-5"/>
        </w:rPr>
        <w:t xml:space="preserve"> </w:t>
      </w:r>
      <w:r>
        <w:t>auditor</w:t>
      </w:r>
      <w:r>
        <w:rPr>
          <w:spacing w:val="-6"/>
        </w:rPr>
        <w:t xml:space="preserve"> </w:t>
      </w:r>
      <w:r>
        <w:t>generally</w:t>
      </w:r>
      <w:r>
        <w:rPr>
          <w:spacing w:val="-5"/>
        </w:rPr>
        <w:t xml:space="preserve"> </w:t>
      </w:r>
      <w:r>
        <w:t>should</w:t>
      </w:r>
      <w:r>
        <w:rPr>
          <w:spacing w:val="-5"/>
        </w:rPr>
        <w:t xml:space="preserve"> </w:t>
      </w:r>
      <w:r>
        <w:t>include</w:t>
      </w:r>
      <w:r>
        <w:rPr>
          <w:spacing w:val="-6"/>
        </w:rPr>
        <w:t xml:space="preserve"> </w:t>
      </w:r>
      <w:r>
        <w:t>in</w:t>
      </w:r>
      <w:r>
        <w:rPr>
          <w:spacing w:val="-5"/>
        </w:rPr>
        <w:t xml:space="preserve"> </w:t>
      </w:r>
      <w:r>
        <w:t>the</w:t>
      </w:r>
      <w:r>
        <w:rPr>
          <w:spacing w:val="-5"/>
        </w:rPr>
        <w:t xml:space="preserve"> </w:t>
      </w:r>
      <w:r>
        <w:t>engagement</w:t>
      </w:r>
      <w:r>
        <w:rPr>
          <w:spacing w:val="-5"/>
        </w:rPr>
        <w:t xml:space="preserve"> </w:t>
      </w:r>
      <w:r>
        <w:t>documentation</w:t>
      </w:r>
      <w:r>
        <w:rPr>
          <w:spacing w:val="-5"/>
        </w:rPr>
        <w:t xml:space="preserve"> </w:t>
      </w:r>
      <w:r>
        <w:t xml:space="preserve">the </w:t>
      </w:r>
      <w:r>
        <w:rPr>
          <w:spacing w:val="-2"/>
        </w:rPr>
        <w:t>following:</w:t>
      </w:r>
    </w:p>
    <w:p w14:paraId="0DFDB349" w14:textId="77777777" w:rsidR="00046465" w:rsidRDefault="00046465">
      <w:pPr>
        <w:pStyle w:val="ListParagraph"/>
        <w:sectPr w:rsidR="00046465">
          <w:pgSz w:w="12240" w:h="15840"/>
          <w:pgMar w:top="1340" w:right="720" w:bottom="940" w:left="1080" w:header="721" w:footer="757" w:gutter="0"/>
          <w:cols w:space="720"/>
        </w:sectPr>
      </w:pPr>
    </w:p>
    <w:p w14:paraId="0DFDB34A" w14:textId="77777777" w:rsidR="00046465" w:rsidRDefault="008134EB">
      <w:pPr>
        <w:pStyle w:val="ListParagraph"/>
        <w:numPr>
          <w:ilvl w:val="1"/>
          <w:numId w:val="192"/>
        </w:numPr>
        <w:tabs>
          <w:tab w:val="left" w:pos="2159"/>
        </w:tabs>
        <w:spacing w:before="121"/>
        <w:ind w:left="2159" w:right="1295"/>
      </w:pPr>
      <w:r>
        <w:lastRenderedPageBreak/>
        <w:t>Consideration of the results of any identified relevant agreed-upon procedures</w:t>
      </w:r>
      <w:r>
        <w:rPr>
          <w:spacing w:val="-5"/>
        </w:rPr>
        <w:t xml:space="preserve"> </w:t>
      </w:r>
      <w:r>
        <w:t>reports</w:t>
      </w:r>
      <w:r>
        <w:rPr>
          <w:spacing w:val="-4"/>
        </w:rPr>
        <w:t xml:space="preserve"> </w:t>
      </w:r>
      <w:r>
        <w:t>and</w:t>
      </w:r>
      <w:r>
        <w:rPr>
          <w:spacing w:val="-5"/>
        </w:rPr>
        <w:t xml:space="preserve"> </w:t>
      </w:r>
      <w:r>
        <w:t>follow-up</w:t>
      </w:r>
      <w:r>
        <w:rPr>
          <w:spacing w:val="-4"/>
        </w:rPr>
        <w:t xml:space="preserve"> </w:t>
      </w:r>
      <w:r>
        <w:t>on</w:t>
      </w:r>
      <w:r>
        <w:rPr>
          <w:spacing w:val="-4"/>
        </w:rPr>
        <w:t xml:space="preserve"> </w:t>
      </w:r>
      <w:r>
        <w:t>any</w:t>
      </w:r>
      <w:r>
        <w:rPr>
          <w:spacing w:val="-4"/>
        </w:rPr>
        <w:t xml:space="preserve"> </w:t>
      </w:r>
      <w:r>
        <w:t>significant</w:t>
      </w:r>
      <w:r>
        <w:rPr>
          <w:spacing w:val="-4"/>
        </w:rPr>
        <w:t xml:space="preserve"> </w:t>
      </w:r>
      <w:r>
        <w:t>findings</w:t>
      </w:r>
      <w:r>
        <w:rPr>
          <w:spacing w:val="-5"/>
        </w:rPr>
        <w:t xml:space="preserve"> </w:t>
      </w:r>
      <w:r>
        <w:t>that</w:t>
      </w:r>
      <w:r>
        <w:rPr>
          <w:spacing w:val="-4"/>
        </w:rPr>
        <w:t xml:space="preserve"> </w:t>
      </w:r>
      <w:r>
        <w:t>directly relate to the agreed-upon procedures engagement.</w:t>
      </w:r>
    </w:p>
    <w:p w14:paraId="0DFDB34B" w14:textId="77777777" w:rsidR="00046465" w:rsidRDefault="008134EB">
      <w:pPr>
        <w:pStyle w:val="ListParagraph"/>
        <w:numPr>
          <w:ilvl w:val="1"/>
          <w:numId w:val="192"/>
        </w:numPr>
        <w:tabs>
          <w:tab w:val="left" w:pos="2159"/>
        </w:tabs>
        <w:spacing w:before="119"/>
        <w:ind w:left="2159" w:right="1418"/>
      </w:pPr>
      <w:r>
        <w:t>Any</w:t>
      </w:r>
      <w:r>
        <w:rPr>
          <w:spacing w:val="-4"/>
        </w:rPr>
        <w:t xml:space="preserve"> </w:t>
      </w:r>
      <w:r>
        <w:t>laws,</w:t>
      </w:r>
      <w:r>
        <w:rPr>
          <w:spacing w:val="-4"/>
        </w:rPr>
        <w:t xml:space="preserve"> </w:t>
      </w:r>
      <w:r>
        <w:t>regulations,</w:t>
      </w:r>
      <w:r>
        <w:rPr>
          <w:spacing w:val="-5"/>
        </w:rPr>
        <w:t xml:space="preserve"> </w:t>
      </w:r>
      <w:r>
        <w:t>contracts,</w:t>
      </w:r>
      <w:r>
        <w:rPr>
          <w:spacing w:val="-4"/>
        </w:rPr>
        <w:t xml:space="preserve"> </w:t>
      </w:r>
      <w:r>
        <w:t>or</w:t>
      </w:r>
      <w:r>
        <w:rPr>
          <w:spacing w:val="-6"/>
        </w:rPr>
        <w:t xml:space="preserve"> </w:t>
      </w:r>
      <w:r>
        <w:t>grant</w:t>
      </w:r>
      <w:r>
        <w:rPr>
          <w:spacing w:val="-4"/>
        </w:rPr>
        <w:t xml:space="preserve"> </w:t>
      </w:r>
      <w:r>
        <w:t>agreements</w:t>
      </w:r>
      <w:r>
        <w:rPr>
          <w:spacing w:val="-4"/>
        </w:rPr>
        <w:t xml:space="preserve"> </w:t>
      </w:r>
      <w:r>
        <w:t>applicable</w:t>
      </w:r>
      <w:r>
        <w:rPr>
          <w:spacing w:val="-4"/>
        </w:rPr>
        <w:t xml:space="preserve"> </w:t>
      </w:r>
      <w:r>
        <w:t>to</w:t>
      </w:r>
      <w:r>
        <w:rPr>
          <w:spacing w:val="-4"/>
        </w:rPr>
        <w:t xml:space="preserve"> </w:t>
      </w:r>
      <w:r>
        <w:t>the agreed-upon procedures.</w:t>
      </w:r>
    </w:p>
    <w:p w14:paraId="0DFDB34C" w14:textId="77777777" w:rsidR="00046465" w:rsidRDefault="008134EB">
      <w:pPr>
        <w:pStyle w:val="ListParagraph"/>
        <w:numPr>
          <w:ilvl w:val="1"/>
          <w:numId w:val="192"/>
        </w:numPr>
        <w:tabs>
          <w:tab w:val="left" w:pos="2159"/>
        </w:tabs>
        <w:spacing w:before="121"/>
        <w:ind w:left="2159" w:right="1196"/>
      </w:pPr>
      <w:r>
        <w:t>Any indication of fraud, abuse, or noncompliance with laws, regulations, contracts,</w:t>
      </w:r>
      <w:r>
        <w:rPr>
          <w:spacing w:val="-4"/>
        </w:rPr>
        <w:t xml:space="preserve"> </w:t>
      </w:r>
      <w:r>
        <w:t>or</w:t>
      </w:r>
      <w:r>
        <w:rPr>
          <w:spacing w:val="-5"/>
        </w:rPr>
        <w:t xml:space="preserve"> </w:t>
      </w:r>
      <w:r>
        <w:t>grant</w:t>
      </w:r>
      <w:r>
        <w:rPr>
          <w:spacing w:val="-4"/>
        </w:rPr>
        <w:t xml:space="preserve"> </w:t>
      </w:r>
      <w:r>
        <w:t>agreements;</w:t>
      </w:r>
      <w:r>
        <w:rPr>
          <w:spacing w:val="-4"/>
        </w:rPr>
        <w:t xml:space="preserve"> </w:t>
      </w:r>
      <w:r>
        <w:t>if</w:t>
      </w:r>
      <w:r>
        <w:rPr>
          <w:spacing w:val="-4"/>
        </w:rPr>
        <w:t xml:space="preserve"> </w:t>
      </w:r>
      <w:r>
        <w:t>there</w:t>
      </w:r>
      <w:r>
        <w:rPr>
          <w:spacing w:val="-4"/>
        </w:rPr>
        <w:t xml:space="preserve"> </w:t>
      </w:r>
      <w:r>
        <w:t>was</w:t>
      </w:r>
      <w:r>
        <w:rPr>
          <w:spacing w:val="-4"/>
        </w:rPr>
        <w:t xml:space="preserve"> </w:t>
      </w:r>
      <w:r>
        <w:t>such</w:t>
      </w:r>
      <w:r>
        <w:rPr>
          <w:spacing w:val="-5"/>
        </w:rPr>
        <w:t xml:space="preserve"> </w:t>
      </w:r>
      <w:r>
        <w:t>indication,</w:t>
      </w:r>
      <w:r>
        <w:rPr>
          <w:spacing w:val="-4"/>
        </w:rPr>
        <w:t xml:space="preserve"> </w:t>
      </w:r>
      <w:r>
        <w:t>the</w:t>
      </w:r>
      <w:r>
        <w:rPr>
          <w:spacing w:val="-4"/>
        </w:rPr>
        <w:t xml:space="preserve"> </w:t>
      </w:r>
      <w:r>
        <w:t>auditor’s response, including any related communications.</w:t>
      </w:r>
    </w:p>
    <w:p w14:paraId="0DFDB34D" w14:textId="77777777" w:rsidR="00046465" w:rsidRDefault="008134EB">
      <w:pPr>
        <w:pStyle w:val="ListParagraph"/>
        <w:numPr>
          <w:ilvl w:val="0"/>
          <w:numId w:val="192"/>
        </w:numPr>
        <w:tabs>
          <w:tab w:val="left" w:pos="1799"/>
        </w:tabs>
        <w:spacing w:before="119"/>
        <w:ind w:left="1799" w:right="801"/>
      </w:pPr>
      <w:r>
        <w:t>The</w:t>
      </w:r>
      <w:r>
        <w:rPr>
          <w:spacing w:val="-4"/>
        </w:rPr>
        <w:t xml:space="preserve"> </w:t>
      </w:r>
      <w:r>
        <w:t>auditor</w:t>
      </w:r>
      <w:r>
        <w:rPr>
          <w:spacing w:val="-6"/>
        </w:rPr>
        <w:t xml:space="preserve"> </w:t>
      </w:r>
      <w:r>
        <w:t>generally</w:t>
      </w:r>
      <w:r>
        <w:rPr>
          <w:spacing w:val="-4"/>
        </w:rPr>
        <w:t xml:space="preserve"> </w:t>
      </w:r>
      <w:r>
        <w:t>should</w:t>
      </w:r>
      <w:r>
        <w:rPr>
          <w:spacing w:val="-4"/>
        </w:rPr>
        <w:t xml:space="preserve"> </w:t>
      </w:r>
      <w:r>
        <w:t>prepare</w:t>
      </w:r>
      <w:r>
        <w:rPr>
          <w:spacing w:val="-4"/>
        </w:rPr>
        <w:t xml:space="preserve"> </w:t>
      </w:r>
      <w:r>
        <w:t>a</w:t>
      </w:r>
      <w:r>
        <w:rPr>
          <w:spacing w:val="-4"/>
        </w:rPr>
        <w:t xml:space="preserve"> </w:t>
      </w:r>
      <w:r>
        <w:t>summary</w:t>
      </w:r>
      <w:r>
        <w:rPr>
          <w:spacing w:val="-4"/>
        </w:rPr>
        <w:t xml:space="preserve"> </w:t>
      </w:r>
      <w:r>
        <w:t>memorandum</w:t>
      </w:r>
      <w:r>
        <w:rPr>
          <w:spacing w:val="-5"/>
        </w:rPr>
        <w:t xml:space="preserve"> </w:t>
      </w:r>
      <w:r>
        <w:t>that</w:t>
      </w:r>
      <w:r>
        <w:rPr>
          <w:spacing w:val="-4"/>
        </w:rPr>
        <w:t xml:space="preserve"> </w:t>
      </w:r>
      <w:r>
        <w:t>summarizes the work performed and results; refers to the detailed documentation; and includes the auditor’s conclusion on whether the work was performed in accordance with GAGAS, the AICPA attestation standards, and the FAM and whether the report is appropriate. FAM 710 E provides an agreed-upon procedures engagement completion checklist.</w:t>
      </w:r>
    </w:p>
    <w:p w14:paraId="0DFDB34E" w14:textId="77777777" w:rsidR="00046465" w:rsidRDefault="00046465">
      <w:pPr>
        <w:pStyle w:val="ListParagraph"/>
        <w:sectPr w:rsidR="00046465">
          <w:pgSz w:w="12240" w:h="15840"/>
          <w:pgMar w:top="1340" w:right="720" w:bottom="940" w:left="1080" w:header="721" w:footer="757" w:gutter="0"/>
          <w:cols w:space="720"/>
        </w:sectPr>
      </w:pPr>
    </w:p>
    <w:p w14:paraId="0DFDB34F" w14:textId="77777777" w:rsidR="00046465" w:rsidRDefault="008134EB">
      <w:pPr>
        <w:pStyle w:val="Heading3"/>
        <w:ind w:right="844"/>
        <w:rPr>
          <w:u w:val="none"/>
        </w:rPr>
      </w:pPr>
      <w:bookmarkStart w:id="146" w:name="710_A_–_Example_Agreed-Upon_Procedures_E"/>
      <w:bookmarkStart w:id="147" w:name="_bookmark56"/>
      <w:bookmarkEnd w:id="146"/>
      <w:bookmarkEnd w:id="147"/>
      <w:r>
        <w:lastRenderedPageBreak/>
        <w:t>710</w:t>
      </w:r>
      <w:r>
        <w:rPr>
          <w:spacing w:val="-19"/>
        </w:rPr>
        <w:t xml:space="preserve"> </w:t>
      </w:r>
      <w:r>
        <w:t>A</w:t>
      </w:r>
      <w:r>
        <w:rPr>
          <w:spacing w:val="-18"/>
        </w:rPr>
        <w:t xml:space="preserve"> </w:t>
      </w:r>
      <w:r>
        <w:t>–</w:t>
      </w:r>
      <w:r>
        <w:rPr>
          <w:spacing w:val="-6"/>
        </w:rPr>
        <w:t xml:space="preserve"> </w:t>
      </w:r>
      <w:r>
        <w:t>Example</w:t>
      </w:r>
      <w:r>
        <w:rPr>
          <w:spacing w:val="-19"/>
        </w:rPr>
        <w:t xml:space="preserve"> </w:t>
      </w:r>
      <w:r>
        <w:t>Agreed-Upon</w:t>
      </w:r>
      <w:r>
        <w:rPr>
          <w:spacing w:val="-8"/>
        </w:rPr>
        <w:t xml:space="preserve"> </w:t>
      </w:r>
      <w:r>
        <w:t>Procedures</w:t>
      </w:r>
      <w:r>
        <w:rPr>
          <w:spacing w:val="-7"/>
        </w:rPr>
        <w:t xml:space="preserve"> </w:t>
      </w:r>
      <w:r>
        <w:t>Engagement</w:t>
      </w:r>
      <w:r>
        <w:rPr>
          <w:u w:val="none"/>
        </w:rPr>
        <w:t xml:space="preserve"> </w:t>
      </w:r>
      <w:r>
        <w:rPr>
          <w:spacing w:val="-2"/>
        </w:rPr>
        <w:t>Letter</w:t>
      </w:r>
    </w:p>
    <w:p w14:paraId="0DFDB350" w14:textId="77777777" w:rsidR="00046465" w:rsidRDefault="00046465">
      <w:pPr>
        <w:pStyle w:val="BodyText"/>
        <w:spacing w:before="106"/>
        <w:rPr>
          <w:b/>
        </w:rPr>
      </w:pPr>
    </w:p>
    <w:p w14:paraId="0DFDB351" w14:textId="77777777" w:rsidR="00046465" w:rsidRDefault="008134EB">
      <w:pPr>
        <w:pStyle w:val="BodyText"/>
        <w:spacing w:before="1"/>
        <w:ind w:left="359"/>
      </w:pPr>
      <w:r>
        <w:t>(The</w:t>
      </w:r>
      <w:r>
        <w:rPr>
          <w:spacing w:val="-3"/>
        </w:rPr>
        <w:t xml:space="preserve"> </w:t>
      </w:r>
      <w:r>
        <w:t>examples</w:t>
      </w:r>
      <w:r>
        <w:rPr>
          <w:spacing w:val="-3"/>
        </w:rPr>
        <w:t xml:space="preserve"> </w:t>
      </w:r>
      <w:r>
        <w:t>in</w:t>
      </w:r>
      <w:r>
        <w:rPr>
          <w:spacing w:val="-3"/>
        </w:rPr>
        <w:t xml:space="preserve"> </w:t>
      </w:r>
      <w:r>
        <w:t>710</w:t>
      </w:r>
      <w:r>
        <w:rPr>
          <w:spacing w:val="-3"/>
        </w:rPr>
        <w:t xml:space="preserve"> </w:t>
      </w:r>
      <w:r>
        <w:t>A</w:t>
      </w:r>
      <w:r>
        <w:rPr>
          <w:spacing w:val="-3"/>
        </w:rPr>
        <w:t xml:space="preserve"> </w:t>
      </w:r>
      <w:r>
        <w:t>through</w:t>
      </w:r>
      <w:r>
        <w:rPr>
          <w:spacing w:val="-3"/>
        </w:rPr>
        <w:t xml:space="preserve"> </w:t>
      </w:r>
      <w:r>
        <w:t>710</w:t>
      </w:r>
      <w:r>
        <w:rPr>
          <w:spacing w:val="-3"/>
        </w:rPr>
        <w:t xml:space="preserve"> </w:t>
      </w:r>
      <w:r>
        <w:t>D</w:t>
      </w:r>
      <w:r>
        <w:rPr>
          <w:spacing w:val="-4"/>
        </w:rPr>
        <w:t xml:space="preserve"> </w:t>
      </w:r>
      <w:r>
        <w:t>assume</w:t>
      </w:r>
      <w:r>
        <w:rPr>
          <w:spacing w:val="-3"/>
        </w:rPr>
        <w:t xml:space="preserve"> </w:t>
      </w:r>
      <w:r>
        <w:t>that</w:t>
      </w:r>
      <w:r>
        <w:rPr>
          <w:spacing w:val="-3"/>
        </w:rPr>
        <w:t xml:space="preserve"> </w:t>
      </w:r>
      <w:r>
        <w:t>the</w:t>
      </w:r>
      <w:r>
        <w:rPr>
          <w:spacing w:val="-3"/>
        </w:rPr>
        <w:t xml:space="preserve"> </w:t>
      </w:r>
      <w:r>
        <w:t>engaging</w:t>
      </w:r>
      <w:r>
        <w:rPr>
          <w:spacing w:val="-3"/>
        </w:rPr>
        <w:t xml:space="preserve"> </w:t>
      </w:r>
      <w:r>
        <w:t>party</w:t>
      </w:r>
      <w:r>
        <w:rPr>
          <w:spacing w:val="-3"/>
        </w:rPr>
        <w:t xml:space="preserve"> </w:t>
      </w:r>
      <w:r>
        <w:t>is</w:t>
      </w:r>
      <w:r>
        <w:rPr>
          <w:spacing w:val="-4"/>
        </w:rPr>
        <w:t xml:space="preserve"> </w:t>
      </w:r>
      <w:r>
        <w:t>ABC</w:t>
      </w:r>
      <w:r>
        <w:rPr>
          <w:spacing w:val="-4"/>
        </w:rPr>
        <w:t xml:space="preserve"> </w:t>
      </w:r>
      <w:r>
        <w:t>Entity</w:t>
      </w:r>
      <w:r>
        <w:rPr>
          <w:spacing w:val="-3"/>
        </w:rPr>
        <w:t xml:space="preserve"> </w:t>
      </w:r>
      <w:r>
        <w:t>and</w:t>
      </w:r>
      <w:r>
        <w:rPr>
          <w:spacing w:val="-3"/>
        </w:rPr>
        <w:t xml:space="preserve"> </w:t>
      </w:r>
      <w:r>
        <w:t>the responsible party is XYZ Entity.)</w:t>
      </w:r>
    </w:p>
    <w:p w14:paraId="0DFDB352" w14:textId="77777777" w:rsidR="00046465" w:rsidRDefault="00046465">
      <w:pPr>
        <w:pStyle w:val="BodyText"/>
      </w:pPr>
    </w:p>
    <w:p w14:paraId="0DFDB353" w14:textId="77777777" w:rsidR="00046465" w:rsidRDefault="00046465">
      <w:pPr>
        <w:pStyle w:val="BodyText"/>
        <w:spacing w:before="227"/>
      </w:pPr>
    </w:p>
    <w:p w14:paraId="0DFDB354" w14:textId="77777777" w:rsidR="00046465" w:rsidRDefault="008134EB">
      <w:pPr>
        <w:ind w:left="359"/>
        <w:rPr>
          <w:b/>
        </w:rPr>
      </w:pPr>
      <w:r>
        <w:rPr>
          <w:b/>
          <w:spacing w:val="-2"/>
        </w:rPr>
        <w:t>[Date]</w:t>
      </w:r>
    </w:p>
    <w:p w14:paraId="0DFDB355" w14:textId="77777777" w:rsidR="00046465" w:rsidRDefault="008134EB">
      <w:pPr>
        <w:pStyle w:val="BodyText"/>
        <w:spacing w:before="241"/>
        <w:ind w:left="359"/>
      </w:pPr>
      <w:r>
        <w:t>Management</w:t>
      </w:r>
      <w:r>
        <w:rPr>
          <w:spacing w:val="-8"/>
        </w:rPr>
        <w:t xml:space="preserve"> </w:t>
      </w:r>
      <w:r>
        <w:t>of</w:t>
      </w:r>
      <w:r>
        <w:rPr>
          <w:spacing w:val="-7"/>
        </w:rPr>
        <w:t xml:space="preserve"> </w:t>
      </w:r>
      <w:r>
        <w:t>ABC</w:t>
      </w:r>
      <w:r>
        <w:rPr>
          <w:spacing w:val="-9"/>
        </w:rPr>
        <w:t xml:space="preserve"> </w:t>
      </w:r>
      <w:r>
        <w:rPr>
          <w:spacing w:val="-2"/>
        </w:rPr>
        <w:t>Entity</w:t>
      </w:r>
    </w:p>
    <w:p w14:paraId="0DFDB356" w14:textId="77777777" w:rsidR="00046465" w:rsidRDefault="008134EB">
      <w:pPr>
        <w:pStyle w:val="BodyText"/>
        <w:spacing w:before="239" w:line="468" w:lineRule="auto"/>
        <w:ind w:left="359" w:right="2673"/>
      </w:pPr>
      <w:r>
        <w:t>Subject:</w:t>
      </w:r>
      <w:r>
        <w:rPr>
          <w:spacing w:val="-4"/>
        </w:rPr>
        <w:t xml:space="preserve"> </w:t>
      </w:r>
      <w:r>
        <w:t>Fiscal</w:t>
      </w:r>
      <w:r>
        <w:rPr>
          <w:spacing w:val="-4"/>
        </w:rPr>
        <w:t xml:space="preserve"> </w:t>
      </w:r>
      <w:r>
        <w:t>Year</w:t>
      </w:r>
      <w:r>
        <w:rPr>
          <w:spacing w:val="-4"/>
        </w:rPr>
        <w:t xml:space="preserve"> </w:t>
      </w:r>
      <w:r>
        <w:t>20XX</w:t>
      </w:r>
      <w:r>
        <w:rPr>
          <w:spacing w:val="-4"/>
        </w:rPr>
        <w:t xml:space="preserve"> </w:t>
      </w:r>
      <w:r>
        <w:t>Agreed-Upon</w:t>
      </w:r>
      <w:r>
        <w:rPr>
          <w:spacing w:val="-4"/>
        </w:rPr>
        <w:t xml:space="preserve"> </w:t>
      </w:r>
      <w:r>
        <w:t>Procedures</w:t>
      </w:r>
      <w:r>
        <w:rPr>
          <w:spacing w:val="-4"/>
        </w:rPr>
        <w:t xml:space="preserve"> </w:t>
      </w:r>
      <w:r>
        <w:t>for</w:t>
      </w:r>
      <w:r>
        <w:rPr>
          <w:spacing w:val="-4"/>
        </w:rPr>
        <w:t xml:space="preserve"> </w:t>
      </w:r>
      <w:r>
        <w:t>the</w:t>
      </w:r>
      <w:r>
        <w:rPr>
          <w:spacing w:val="-4"/>
        </w:rPr>
        <w:t xml:space="preserve"> </w:t>
      </w:r>
      <w:r>
        <w:t>Tax</w:t>
      </w:r>
      <w:r>
        <w:rPr>
          <w:spacing w:val="-4"/>
        </w:rPr>
        <w:t xml:space="preserve"> </w:t>
      </w:r>
      <w:r>
        <w:t>Trust</w:t>
      </w:r>
      <w:r>
        <w:rPr>
          <w:spacing w:val="-5"/>
        </w:rPr>
        <w:t xml:space="preserve"> </w:t>
      </w:r>
      <w:r>
        <w:t>Fund Dear Management Official:</w:t>
      </w:r>
    </w:p>
    <w:p w14:paraId="0DFDB357" w14:textId="77777777" w:rsidR="00046465" w:rsidRDefault="008134EB">
      <w:pPr>
        <w:pStyle w:val="BodyText"/>
        <w:ind w:left="359" w:right="749"/>
      </w:pPr>
      <w:r>
        <w:t>This letter responds to your letter of</w:t>
      </w:r>
      <w:r>
        <w:rPr>
          <w:spacing w:val="-1"/>
        </w:rPr>
        <w:t xml:space="preserve"> </w:t>
      </w:r>
      <w:r>
        <w:rPr>
          <w:b/>
        </w:rPr>
        <w:t xml:space="preserve">[date] </w:t>
      </w:r>
      <w:r>
        <w:t>requesting that we assist</w:t>
      </w:r>
      <w:r>
        <w:rPr>
          <w:spacing w:val="-1"/>
        </w:rPr>
        <w:t xml:space="preserve"> </w:t>
      </w:r>
      <w:r>
        <w:t>ABC</w:t>
      </w:r>
      <w:r>
        <w:rPr>
          <w:spacing w:val="-1"/>
        </w:rPr>
        <w:t xml:space="preserve"> </w:t>
      </w:r>
      <w:r>
        <w:t>Entity in determining the</w:t>
      </w:r>
      <w:r>
        <w:rPr>
          <w:spacing w:val="-3"/>
        </w:rPr>
        <w:t xml:space="preserve"> </w:t>
      </w:r>
      <w:r>
        <w:t>completeness</w:t>
      </w:r>
      <w:r>
        <w:rPr>
          <w:spacing w:val="-3"/>
        </w:rPr>
        <w:t xml:space="preserve"> </w:t>
      </w:r>
      <w:r>
        <w:t>and</w:t>
      </w:r>
      <w:r>
        <w:rPr>
          <w:spacing w:val="-3"/>
        </w:rPr>
        <w:t xml:space="preserve"> </w:t>
      </w:r>
      <w:r>
        <w:t>accuracy</w:t>
      </w:r>
      <w:r>
        <w:rPr>
          <w:spacing w:val="-3"/>
        </w:rPr>
        <w:t xml:space="preserve"> </w:t>
      </w:r>
      <w:r>
        <w:t>of</w:t>
      </w:r>
      <w:r>
        <w:rPr>
          <w:spacing w:val="-3"/>
        </w:rPr>
        <w:t xml:space="preserve"> </w:t>
      </w:r>
      <w:r>
        <w:t>receipts</w:t>
      </w:r>
      <w:r>
        <w:rPr>
          <w:spacing w:val="-3"/>
        </w:rPr>
        <w:t xml:space="preserve"> </w:t>
      </w:r>
      <w:r>
        <w:t>transferred</w:t>
      </w:r>
      <w:r>
        <w:rPr>
          <w:spacing w:val="-3"/>
        </w:rPr>
        <w:t xml:space="preserve"> </w:t>
      </w:r>
      <w:r>
        <w:t>to</w:t>
      </w:r>
      <w:r>
        <w:rPr>
          <w:spacing w:val="-3"/>
        </w:rPr>
        <w:t xml:space="preserve"> </w:t>
      </w:r>
      <w:r>
        <w:t>the</w:t>
      </w:r>
      <w:r>
        <w:rPr>
          <w:spacing w:val="-3"/>
        </w:rPr>
        <w:t xml:space="preserve"> </w:t>
      </w:r>
      <w:r>
        <w:t>ABC</w:t>
      </w:r>
      <w:r>
        <w:rPr>
          <w:spacing w:val="-3"/>
        </w:rPr>
        <w:t xml:space="preserve"> </w:t>
      </w:r>
      <w:r>
        <w:t>tax</w:t>
      </w:r>
      <w:r>
        <w:rPr>
          <w:spacing w:val="-3"/>
        </w:rPr>
        <w:t xml:space="preserve"> </w:t>
      </w:r>
      <w:r>
        <w:t>trust</w:t>
      </w:r>
      <w:r>
        <w:rPr>
          <w:spacing w:val="-3"/>
        </w:rPr>
        <w:t xml:space="preserve"> </w:t>
      </w:r>
      <w:r>
        <w:t>fund</w:t>
      </w:r>
      <w:r>
        <w:rPr>
          <w:spacing w:val="-3"/>
        </w:rPr>
        <w:t xml:space="preserve"> </w:t>
      </w:r>
      <w:r>
        <w:t>by</w:t>
      </w:r>
      <w:r>
        <w:rPr>
          <w:spacing w:val="-4"/>
        </w:rPr>
        <w:t xml:space="preserve"> </w:t>
      </w:r>
      <w:r>
        <w:t>XYZ</w:t>
      </w:r>
      <w:r>
        <w:rPr>
          <w:spacing w:val="-3"/>
        </w:rPr>
        <w:t xml:space="preserve"> </w:t>
      </w:r>
      <w:r>
        <w:t xml:space="preserve">Entity. On </w:t>
      </w:r>
      <w:r>
        <w:rPr>
          <w:b/>
        </w:rPr>
        <w:t>[date]</w:t>
      </w:r>
      <w:r>
        <w:t xml:space="preserve">, we met with you to discuss the scope and timing of our work. The detailed procedures we agree to perform are enclosed. We plan to perform these procedures on </w:t>
      </w:r>
      <w:r>
        <w:rPr>
          <w:b/>
        </w:rPr>
        <w:t>[provide date(s)]</w:t>
      </w:r>
      <w:r>
        <w:t>.</w:t>
      </w:r>
    </w:p>
    <w:p w14:paraId="0DFDB358" w14:textId="77777777" w:rsidR="00046465" w:rsidRDefault="008134EB">
      <w:pPr>
        <w:pStyle w:val="BodyText"/>
        <w:spacing w:before="239"/>
        <w:ind w:left="360" w:right="749"/>
      </w:pPr>
      <w:r>
        <w:t>This</w:t>
      </w:r>
      <w:r>
        <w:rPr>
          <w:spacing w:val="-4"/>
        </w:rPr>
        <w:t xml:space="preserve"> </w:t>
      </w:r>
      <w:r>
        <w:t>letter</w:t>
      </w:r>
      <w:r>
        <w:rPr>
          <w:spacing w:val="-4"/>
        </w:rPr>
        <w:t xml:space="preserve"> </w:t>
      </w:r>
      <w:r>
        <w:t>documents</w:t>
      </w:r>
      <w:r>
        <w:rPr>
          <w:spacing w:val="-4"/>
        </w:rPr>
        <w:t xml:space="preserve"> </w:t>
      </w:r>
      <w:r>
        <w:t>our</w:t>
      </w:r>
      <w:r>
        <w:rPr>
          <w:spacing w:val="-4"/>
        </w:rPr>
        <w:t xml:space="preserve"> </w:t>
      </w:r>
      <w:r>
        <w:t>agreement</w:t>
      </w:r>
      <w:r>
        <w:rPr>
          <w:spacing w:val="-4"/>
        </w:rPr>
        <w:t xml:space="preserve"> </w:t>
      </w:r>
      <w:r>
        <w:t>to</w:t>
      </w:r>
      <w:r>
        <w:rPr>
          <w:spacing w:val="-4"/>
        </w:rPr>
        <w:t xml:space="preserve"> </w:t>
      </w:r>
      <w:r>
        <w:t>perform</w:t>
      </w:r>
      <w:r>
        <w:rPr>
          <w:spacing w:val="-4"/>
        </w:rPr>
        <w:t xml:space="preserve"> </w:t>
      </w:r>
      <w:r>
        <w:t>these</w:t>
      </w:r>
      <w:r>
        <w:rPr>
          <w:spacing w:val="-4"/>
        </w:rPr>
        <w:t xml:space="preserve"> </w:t>
      </w:r>
      <w:r>
        <w:t>agreed-upon</w:t>
      </w:r>
      <w:r>
        <w:rPr>
          <w:spacing w:val="-4"/>
        </w:rPr>
        <w:t xml:space="preserve"> </w:t>
      </w:r>
      <w:r>
        <w:t>procedures</w:t>
      </w:r>
      <w:r>
        <w:rPr>
          <w:spacing w:val="-4"/>
        </w:rPr>
        <w:t xml:space="preserve"> </w:t>
      </w:r>
      <w:r>
        <w:t>related</w:t>
      </w:r>
      <w:r>
        <w:rPr>
          <w:spacing w:val="-4"/>
        </w:rPr>
        <w:t xml:space="preserve"> </w:t>
      </w:r>
      <w:r>
        <w:t>to</w:t>
      </w:r>
      <w:r>
        <w:rPr>
          <w:spacing w:val="-4"/>
        </w:rPr>
        <w:t xml:space="preserve"> </w:t>
      </w:r>
      <w:r>
        <w:t>fiscal year 20XX. We will perform these procedures in accordance with U.S. generally accepted government auditing standards, which incorporate the attestation standards established by the American Institute of Certified Public Accountants.</w:t>
      </w:r>
    </w:p>
    <w:p w14:paraId="0DFDB359" w14:textId="77777777" w:rsidR="00046465" w:rsidRDefault="008134EB">
      <w:pPr>
        <w:pStyle w:val="BodyText"/>
        <w:spacing w:before="240"/>
        <w:ind w:left="360" w:right="726" w:hanging="1"/>
      </w:pPr>
      <w:r>
        <w:t>We</w:t>
      </w:r>
      <w:r>
        <w:rPr>
          <w:spacing w:val="-2"/>
        </w:rPr>
        <w:t xml:space="preserve"> </w:t>
      </w:r>
      <w:r>
        <w:t>will</w:t>
      </w:r>
      <w:r>
        <w:rPr>
          <w:spacing w:val="-2"/>
        </w:rPr>
        <w:t xml:space="preserve"> </w:t>
      </w:r>
      <w:r>
        <w:t>provide</w:t>
      </w:r>
      <w:r>
        <w:rPr>
          <w:spacing w:val="-2"/>
        </w:rPr>
        <w:t xml:space="preserve"> </w:t>
      </w:r>
      <w:r>
        <w:t>XYZ</w:t>
      </w:r>
      <w:r>
        <w:rPr>
          <w:spacing w:val="-2"/>
        </w:rPr>
        <w:t xml:space="preserve"> </w:t>
      </w:r>
      <w:r>
        <w:t>Entity</w:t>
      </w:r>
      <w:r>
        <w:rPr>
          <w:spacing w:val="-1"/>
        </w:rPr>
        <w:t xml:space="preserve"> </w:t>
      </w:r>
      <w:r>
        <w:t>with</w:t>
      </w:r>
      <w:r>
        <w:rPr>
          <w:spacing w:val="-2"/>
        </w:rPr>
        <w:t xml:space="preserve"> </w:t>
      </w:r>
      <w:r>
        <w:t>a</w:t>
      </w:r>
      <w:r>
        <w:rPr>
          <w:spacing w:val="-2"/>
        </w:rPr>
        <w:t xml:space="preserve"> </w:t>
      </w:r>
      <w:r>
        <w:t>draft</w:t>
      </w:r>
      <w:r>
        <w:rPr>
          <w:spacing w:val="-2"/>
        </w:rPr>
        <w:t xml:space="preserve"> </w:t>
      </w:r>
      <w:r>
        <w:t>copy</w:t>
      </w:r>
      <w:r>
        <w:rPr>
          <w:spacing w:val="-2"/>
        </w:rPr>
        <w:t xml:space="preserve"> </w:t>
      </w:r>
      <w:r>
        <w:t>of</w:t>
      </w:r>
      <w:r>
        <w:rPr>
          <w:spacing w:val="-2"/>
        </w:rPr>
        <w:t xml:space="preserve"> </w:t>
      </w:r>
      <w:r>
        <w:t>our</w:t>
      </w:r>
      <w:r>
        <w:rPr>
          <w:spacing w:val="-2"/>
        </w:rPr>
        <w:t xml:space="preserve"> </w:t>
      </w:r>
      <w:r>
        <w:t>report</w:t>
      </w:r>
      <w:r>
        <w:rPr>
          <w:spacing w:val="-2"/>
        </w:rPr>
        <w:t xml:space="preserve"> </w:t>
      </w:r>
      <w:r>
        <w:t>for</w:t>
      </w:r>
      <w:r>
        <w:rPr>
          <w:spacing w:val="-2"/>
        </w:rPr>
        <w:t xml:space="preserve"> </w:t>
      </w:r>
      <w:r>
        <w:t>its</w:t>
      </w:r>
      <w:r>
        <w:rPr>
          <w:spacing w:val="-2"/>
        </w:rPr>
        <w:t xml:space="preserve"> </w:t>
      </w:r>
      <w:r>
        <w:t>review</w:t>
      </w:r>
      <w:r>
        <w:rPr>
          <w:spacing w:val="-3"/>
        </w:rPr>
        <w:t xml:space="preserve"> </w:t>
      </w:r>
      <w:r>
        <w:t>and</w:t>
      </w:r>
      <w:r>
        <w:rPr>
          <w:spacing w:val="-2"/>
        </w:rPr>
        <w:t xml:space="preserve"> </w:t>
      </w:r>
      <w:r>
        <w:t>comment</w:t>
      </w:r>
      <w:r>
        <w:rPr>
          <w:spacing w:val="-1"/>
        </w:rPr>
        <w:t xml:space="preserve"> </w:t>
      </w:r>
      <w:r>
        <w:t>and</w:t>
      </w:r>
      <w:r>
        <w:rPr>
          <w:spacing w:val="-2"/>
        </w:rPr>
        <w:t xml:space="preserve"> </w:t>
      </w:r>
      <w:r>
        <w:t>plan</w:t>
      </w:r>
      <w:r>
        <w:rPr>
          <w:spacing w:val="-2"/>
        </w:rPr>
        <w:t xml:space="preserve"> </w:t>
      </w:r>
      <w:r>
        <w:t xml:space="preserve">to issue the report by </w:t>
      </w:r>
      <w:r>
        <w:rPr>
          <w:b/>
        </w:rPr>
        <w:t>[date]</w:t>
      </w:r>
      <w:r>
        <w:t>. At the conclusion of the engagement, management of ABC Entity acknowledges its responsibility to provide to us a representation letter. Written representations may also be requested from XYZ Entity. We will meet with you as needed to discuss the</w:t>
      </w:r>
    </w:p>
    <w:p w14:paraId="0DFDB35A" w14:textId="77777777" w:rsidR="00046465" w:rsidRDefault="008134EB">
      <w:pPr>
        <w:pStyle w:val="BodyText"/>
        <w:spacing w:before="1"/>
        <w:ind w:left="360"/>
      </w:pPr>
      <w:r>
        <w:t>agreed-upon</w:t>
      </w:r>
      <w:r>
        <w:rPr>
          <w:spacing w:val="-8"/>
        </w:rPr>
        <w:t xml:space="preserve"> </w:t>
      </w:r>
      <w:r>
        <w:t>procedures,</w:t>
      </w:r>
      <w:r>
        <w:rPr>
          <w:spacing w:val="-7"/>
        </w:rPr>
        <w:t xml:space="preserve"> </w:t>
      </w:r>
      <w:r>
        <w:t>results,</w:t>
      </w:r>
      <w:r>
        <w:rPr>
          <w:spacing w:val="-8"/>
        </w:rPr>
        <w:t xml:space="preserve"> </w:t>
      </w:r>
      <w:r>
        <w:t>and</w:t>
      </w:r>
      <w:r>
        <w:rPr>
          <w:spacing w:val="-7"/>
        </w:rPr>
        <w:t xml:space="preserve"> </w:t>
      </w:r>
      <w:r>
        <w:t>other</w:t>
      </w:r>
      <w:r>
        <w:rPr>
          <w:spacing w:val="-8"/>
        </w:rPr>
        <w:t xml:space="preserve"> </w:t>
      </w:r>
      <w:r>
        <w:t>issues</w:t>
      </w:r>
      <w:r>
        <w:rPr>
          <w:spacing w:val="-7"/>
        </w:rPr>
        <w:t xml:space="preserve"> </w:t>
      </w:r>
      <w:r>
        <w:t>that</w:t>
      </w:r>
      <w:r>
        <w:rPr>
          <w:spacing w:val="-8"/>
        </w:rPr>
        <w:t xml:space="preserve"> </w:t>
      </w:r>
      <w:r>
        <w:t>may</w:t>
      </w:r>
      <w:r>
        <w:rPr>
          <w:spacing w:val="-7"/>
        </w:rPr>
        <w:t xml:space="preserve"> </w:t>
      </w:r>
      <w:r>
        <w:rPr>
          <w:spacing w:val="-2"/>
        </w:rPr>
        <w:t>arise.</w:t>
      </w:r>
    </w:p>
    <w:p w14:paraId="0DFDB35B" w14:textId="77777777" w:rsidR="00046465" w:rsidRDefault="008134EB">
      <w:pPr>
        <w:pStyle w:val="BodyText"/>
        <w:spacing w:before="239"/>
        <w:ind w:left="360" w:right="773"/>
      </w:pPr>
      <w:r>
        <w:t>The appropriateness of the agreed-upon procedures to meet the objectives of ABC Entity is solely your responsibility. Accordingly, we make no representation regarding their appropriateness to meet your needs or for any other purpose. Prior to the completion of the engagement, management of ABC Entity acknowledges its responsibility to provide us with a written agreement and acknowledgment that the</w:t>
      </w:r>
      <w:r>
        <w:rPr>
          <w:spacing w:val="-1"/>
        </w:rPr>
        <w:t xml:space="preserve"> </w:t>
      </w:r>
      <w:r>
        <w:t>procedures</w:t>
      </w:r>
      <w:r>
        <w:rPr>
          <w:spacing w:val="-1"/>
        </w:rPr>
        <w:t xml:space="preserve"> </w:t>
      </w:r>
      <w:r>
        <w:t>performed are appropriate for the intended purpose of this engagement. In addition, because of the nature of agreed-upon procedures, the results we obtain will only be applicable to the period for which they are performed. We are not engaged to perform, and will not perform, an examination or audit, the objective of which would be to express an opinion on the amount of receipts transferred to the tax</w:t>
      </w:r>
      <w:r>
        <w:rPr>
          <w:spacing w:val="-2"/>
        </w:rPr>
        <w:t xml:space="preserve"> </w:t>
      </w:r>
      <w:r>
        <w:t>trust</w:t>
      </w:r>
      <w:r>
        <w:rPr>
          <w:spacing w:val="-2"/>
        </w:rPr>
        <w:t xml:space="preserve"> </w:t>
      </w:r>
      <w:r>
        <w:t>fund</w:t>
      </w:r>
      <w:r>
        <w:rPr>
          <w:spacing w:val="-2"/>
        </w:rPr>
        <w:t xml:space="preserve"> </w:t>
      </w:r>
      <w:r>
        <w:t>for</w:t>
      </w:r>
      <w:r>
        <w:rPr>
          <w:spacing w:val="-2"/>
        </w:rPr>
        <w:t xml:space="preserve"> </w:t>
      </w:r>
      <w:r>
        <w:t>fiscal</w:t>
      </w:r>
      <w:r>
        <w:rPr>
          <w:spacing w:val="-2"/>
        </w:rPr>
        <w:t xml:space="preserve"> </w:t>
      </w:r>
      <w:r>
        <w:t>year</w:t>
      </w:r>
      <w:r>
        <w:rPr>
          <w:spacing w:val="-2"/>
        </w:rPr>
        <w:t xml:space="preserve"> </w:t>
      </w:r>
      <w:r>
        <w:t>20XX.</w:t>
      </w:r>
      <w:r>
        <w:rPr>
          <w:spacing w:val="-2"/>
        </w:rPr>
        <w:t xml:space="preserve"> </w:t>
      </w:r>
      <w:r>
        <w:t>Accordingly,</w:t>
      </w:r>
      <w:r>
        <w:rPr>
          <w:spacing w:val="-3"/>
        </w:rPr>
        <w:t xml:space="preserve"> </w:t>
      </w:r>
      <w:r>
        <w:t>we</w:t>
      </w:r>
      <w:r>
        <w:rPr>
          <w:spacing w:val="-2"/>
        </w:rPr>
        <w:t xml:space="preserve"> </w:t>
      </w:r>
      <w:r>
        <w:t>will</w:t>
      </w:r>
      <w:r>
        <w:rPr>
          <w:spacing w:val="-2"/>
        </w:rPr>
        <w:t xml:space="preserve"> </w:t>
      </w:r>
      <w:r>
        <w:t>not</w:t>
      </w:r>
      <w:r>
        <w:rPr>
          <w:spacing w:val="-2"/>
        </w:rPr>
        <w:t xml:space="preserve"> </w:t>
      </w:r>
      <w:r>
        <w:t>express</w:t>
      </w:r>
      <w:r>
        <w:rPr>
          <w:spacing w:val="-2"/>
        </w:rPr>
        <w:t xml:space="preserve"> </w:t>
      </w:r>
      <w:r>
        <w:t>such</w:t>
      </w:r>
      <w:r>
        <w:rPr>
          <w:spacing w:val="-3"/>
        </w:rPr>
        <w:t xml:space="preserve"> </w:t>
      </w:r>
      <w:r>
        <w:t>an</w:t>
      </w:r>
      <w:r>
        <w:rPr>
          <w:spacing w:val="-2"/>
        </w:rPr>
        <w:t xml:space="preserve"> </w:t>
      </w:r>
      <w:r>
        <w:t>opinion.</w:t>
      </w:r>
      <w:r>
        <w:rPr>
          <w:spacing w:val="-3"/>
        </w:rPr>
        <w:t xml:space="preserve"> </w:t>
      </w:r>
      <w:r>
        <w:t>If</w:t>
      </w:r>
      <w:r>
        <w:rPr>
          <w:spacing w:val="-2"/>
        </w:rPr>
        <w:t xml:space="preserve"> </w:t>
      </w:r>
      <w:r>
        <w:t>we</w:t>
      </w:r>
      <w:r>
        <w:rPr>
          <w:spacing w:val="-2"/>
        </w:rPr>
        <w:t xml:space="preserve"> </w:t>
      </w:r>
      <w:r>
        <w:t>were to perform an examination or audit, other matters beyond the scope of the agreed-upon procedures might come to our attention.</w:t>
      </w:r>
    </w:p>
    <w:p w14:paraId="0DFDB35C" w14:textId="77777777" w:rsidR="00046465" w:rsidRDefault="008134EB">
      <w:pPr>
        <w:pStyle w:val="BodyText"/>
        <w:spacing w:before="240"/>
        <w:ind w:left="360" w:right="749"/>
      </w:pPr>
      <w:r>
        <w:t>The</w:t>
      </w:r>
      <w:r>
        <w:rPr>
          <w:spacing w:val="-2"/>
        </w:rPr>
        <w:t xml:space="preserve"> </w:t>
      </w:r>
      <w:r>
        <w:t>report</w:t>
      </w:r>
      <w:r>
        <w:rPr>
          <w:spacing w:val="-2"/>
        </w:rPr>
        <w:t xml:space="preserve"> </w:t>
      </w:r>
      <w:r>
        <w:t>we</w:t>
      </w:r>
      <w:r>
        <w:rPr>
          <w:spacing w:val="-2"/>
        </w:rPr>
        <w:t xml:space="preserve"> </w:t>
      </w:r>
      <w:r>
        <w:t>will</w:t>
      </w:r>
      <w:r>
        <w:rPr>
          <w:spacing w:val="-2"/>
        </w:rPr>
        <w:t xml:space="preserve"> </w:t>
      </w:r>
      <w:r>
        <w:t>prepare</w:t>
      </w:r>
      <w:r>
        <w:rPr>
          <w:spacing w:val="-2"/>
        </w:rPr>
        <w:t xml:space="preserve"> </w:t>
      </w:r>
      <w:r>
        <w:t>is</w:t>
      </w:r>
      <w:r>
        <w:rPr>
          <w:spacing w:val="-2"/>
        </w:rPr>
        <w:t xml:space="preserve"> </w:t>
      </w:r>
      <w:r>
        <w:t>intended</w:t>
      </w:r>
      <w:r>
        <w:rPr>
          <w:spacing w:val="-2"/>
        </w:rPr>
        <w:t xml:space="preserve"> </w:t>
      </w:r>
      <w:r>
        <w:t>solely</w:t>
      </w:r>
      <w:r>
        <w:rPr>
          <w:spacing w:val="-3"/>
        </w:rPr>
        <w:t xml:space="preserve"> </w:t>
      </w:r>
      <w:r>
        <w:t>for</w:t>
      </w:r>
      <w:r>
        <w:rPr>
          <w:spacing w:val="-3"/>
        </w:rPr>
        <w:t xml:space="preserve"> </w:t>
      </w:r>
      <w:r>
        <w:t>your</w:t>
      </w:r>
      <w:r>
        <w:rPr>
          <w:spacing w:val="-2"/>
        </w:rPr>
        <w:t xml:space="preserve"> </w:t>
      </w:r>
      <w:r>
        <w:t>information</w:t>
      </w:r>
      <w:r>
        <w:rPr>
          <w:spacing w:val="-2"/>
        </w:rPr>
        <w:t xml:space="preserve"> </w:t>
      </w:r>
      <w:r>
        <w:t>and</w:t>
      </w:r>
      <w:r>
        <w:rPr>
          <w:spacing w:val="-2"/>
        </w:rPr>
        <w:t xml:space="preserve"> </w:t>
      </w:r>
      <w:r>
        <w:t>use</w:t>
      </w:r>
      <w:r>
        <w:rPr>
          <w:spacing w:val="-2"/>
        </w:rPr>
        <w:t xml:space="preserve"> </w:t>
      </w:r>
      <w:r>
        <w:t>and</w:t>
      </w:r>
      <w:r>
        <w:rPr>
          <w:spacing w:val="-2"/>
        </w:rPr>
        <w:t xml:space="preserve"> </w:t>
      </w:r>
      <w:r>
        <w:t>is</w:t>
      </w:r>
      <w:r>
        <w:rPr>
          <w:spacing w:val="-2"/>
        </w:rPr>
        <w:t xml:space="preserve"> </w:t>
      </w:r>
      <w:r>
        <w:t>not</w:t>
      </w:r>
      <w:r>
        <w:rPr>
          <w:spacing w:val="-3"/>
        </w:rPr>
        <w:t xml:space="preserve"> </w:t>
      </w:r>
      <w:r>
        <w:t>intended</w:t>
      </w:r>
      <w:r>
        <w:rPr>
          <w:spacing w:val="-2"/>
        </w:rPr>
        <w:t xml:space="preserve"> </w:t>
      </w:r>
      <w:r>
        <w:t>to be, and should not be, used by any other party. However, our report will be a matter of public record and will be provided to others upon request. Unless we hear from you, we will assume</w:t>
      </w:r>
    </w:p>
    <w:p w14:paraId="0DFDB35D" w14:textId="77777777" w:rsidR="00046465" w:rsidRDefault="00046465">
      <w:pPr>
        <w:pStyle w:val="BodyText"/>
        <w:sectPr w:rsidR="00046465">
          <w:headerReference w:type="default" r:id="rId96"/>
          <w:footerReference w:type="default" r:id="rId97"/>
          <w:pgSz w:w="12240" w:h="15840"/>
          <w:pgMar w:top="1340" w:right="720" w:bottom="940" w:left="1080" w:header="721" w:footer="757" w:gutter="0"/>
          <w:pgNumType w:start="1"/>
          <w:cols w:space="720"/>
        </w:sectPr>
      </w:pPr>
    </w:p>
    <w:p w14:paraId="0DFDB35E" w14:textId="77777777" w:rsidR="00046465" w:rsidRDefault="008134EB">
      <w:pPr>
        <w:spacing w:before="121"/>
        <w:ind w:left="360" w:right="844" w:hanging="1"/>
      </w:pPr>
      <w:r>
        <w:lastRenderedPageBreak/>
        <w:t>that</w:t>
      </w:r>
      <w:r>
        <w:rPr>
          <w:spacing w:val="-2"/>
        </w:rPr>
        <w:t xml:space="preserve"> </w:t>
      </w:r>
      <w:r>
        <w:t>you</w:t>
      </w:r>
      <w:r>
        <w:rPr>
          <w:spacing w:val="-2"/>
        </w:rPr>
        <w:t xml:space="preserve"> </w:t>
      </w:r>
      <w:r>
        <w:t>concur</w:t>
      </w:r>
      <w:r>
        <w:rPr>
          <w:spacing w:val="-2"/>
        </w:rPr>
        <w:t xml:space="preserve"> </w:t>
      </w:r>
      <w:r>
        <w:t>with</w:t>
      </w:r>
      <w:r>
        <w:rPr>
          <w:spacing w:val="-2"/>
        </w:rPr>
        <w:t xml:space="preserve"> </w:t>
      </w:r>
      <w:r>
        <w:t>these</w:t>
      </w:r>
      <w:r>
        <w:rPr>
          <w:spacing w:val="-2"/>
        </w:rPr>
        <w:t xml:space="preserve"> </w:t>
      </w:r>
      <w:r>
        <w:t>procedures</w:t>
      </w:r>
      <w:r>
        <w:rPr>
          <w:spacing w:val="-2"/>
        </w:rPr>
        <w:t xml:space="preserve"> </w:t>
      </w:r>
      <w:r>
        <w:t>and</w:t>
      </w:r>
      <w:r>
        <w:rPr>
          <w:spacing w:val="-2"/>
        </w:rPr>
        <w:t xml:space="preserve"> </w:t>
      </w:r>
      <w:r>
        <w:t>their</w:t>
      </w:r>
      <w:r>
        <w:rPr>
          <w:spacing w:val="-3"/>
        </w:rPr>
        <w:t xml:space="preserve"> </w:t>
      </w:r>
      <w:r>
        <w:t>appropriateness</w:t>
      </w:r>
      <w:r>
        <w:rPr>
          <w:spacing w:val="-1"/>
        </w:rPr>
        <w:t xml:space="preserve"> </w:t>
      </w:r>
      <w:r>
        <w:t>for</w:t>
      </w:r>
      <w:r>
        <w:rPr>
          <w:spacing w:val="-2"/>
        </w:rPr>
        <w:t xml:space="preserve"> </w:t>
      </w:r>
      <w:r>
        <w:t>your</w:t>
      </w:r>
      <w:r>
        <w:rPr>
          <w:spacing w:val="-2"/>
        </w:rPr>
        <w:t xml:space="preserve"> </w:t>
      </w:r>
      <w:r>
        <w:t>purposes.</w:t>
      </w:r>
      <w:hyperlink w:anchor="_bookmark57" w:history="1">
        <w:r>
          <w:rPr>
            <w:position w:val="7"/>
            <w:sz w:val="14"/>
          </w:rPr>
          <w:t>13</w:t>
        </w:r>
      </w:hyperlink>
      <w:r>
        <w:rPr>
          <w:spacing w:val="19"/>
          <w:position w:val="7"/>
          <w:sz w:val="14"/>
        </w:rPr>
        <w:t xml:space="preserve"> </w:t>
      </w:r>
      <w:r>
        <w:t>If</w:t>
      </w:r>
      <w:r>
        <w:rPr>
          <w:spacing w:val="-2"/>
        </w:rPr>
        <w:t xml:space="preserve"> </w:t>
      </w:r>
      <w:r>
        <w:t xml:space="preserve">you have any questions, please contact me at </w:t>
      </w:r>
      <w:r>
        <w:rPr>
          <w:b/>
        </w:rPr>
        <w:t xml:space="preserve">[telephone number and email address] </w:t>
      </w:r>
      <w:r>
        <w:t xml:space="preserve">or </w:t>
      </w:r>
      <w:r>
        <w:rPr>
          <w:b/>
        </w:rPr>
        <w:t xml:space="preserve">[alternative contact] </w:t>
      </w:r>
      <w:r>
        <w:t xml:space="preserve">at </w:t>
      </w:r>
      <w:r>
        <w:rPr>
          <w:b/>
        </w:rPr>
        <w:t>[telephone number and email address]</w:t>
      </w:r>
      <w:r>
        <w:t>.</w:t>
      </w:r>
    </w:p>
    <w:p w14:paraId="0DFDB35F" w14:textId="77777777" w:rsidR="00046465" w:rsidRDefault="008134EB">
      <w:pPr>
        <w:pStyle w:val="BodyText"/>
        <w:spacing w:before="239"/>
        <w:ind w:left="360"/>
      </w:pPr>
      <w:r>
        <w:rPr>
          <w:spacing w:val="-2"/>
        </w:rPr>
        <w:t>Sincerely,</w:t>
      </w:r>
    </w:p>
    <w:p w14:paraId="0DFDB360" w14:textId="77777777" w:rsidR="00046465" w:rsidRDefault="008134EB">
      <w:pPr>
        <w:spacing w:before="241"/>
        <w:ind w:left="360"/>
        <w:rPr>
          <w:b/>
        </w:rPr>
      </w:pPr>
      <w:r>
        <w:rPr>
          <w:b/>
          <w:spacing w:val="-2"/>
        </w:rPr>
        <w:t>[Signed]</w:t>
      </w:r>
    </w:p>
    <w:p w14:paraId="0DFDB361" w14:textId="77777777" w:rsidR="00046465" w:rsidRDefault="008134EB">
      <w:pPr>
        <w:spacing w:before="240"/>
        <w:ind w:left="360" w:right="7962"/>
        <w:rPr>
          <w:b/>
        </w:rPr>
      </w:pPr>
      <w:r>
        <w:rPr>
          <w:b/>
        </w:rPr>
        <w:t>[Name</w:t>
      </w:r>
      <w:r>
        <w:rPr>
          <w:b/>
          <w:spacing w:val="-16"/>
        </w:rPr>
        <w:t xml:space="preserve"> </w:t>
      </w:r>
      <w:r>
        <w:rPr>
          <w:b/>
        </w:rPr>
        <w:t>of</w:t>
      </w:r>
      <w:r>
        <w:rPr>
          <w:b/>
          <w:spacing w:val="-15"/>
        </w:rPr>
        <w:t xml:space="preserve"> </w:t>
      </w:r>
      <w:r>
        <w:rPr>
          <w:b/>
        </w:rPr>
        <w:t xml:space="preserve">Director] </w:t>
      </w:r>
      <w:r>
        <w:rPr>
          <w:b/>
          <w:spacing w:val="-2"/>
        </w:rPr>
        <w:t>[Title]</w:t>
      </w:r>
    </w:p>
    <w:p w14:paraId="0DFDB362" w14:textId="77777777" w:rsidR="00046465" w:rsidRDefault="008134EB">
      <w:pPr>
        <w:ind w:left="360"/>
        <w:rPr>
          <w:b/>
        </w:rPr>
      </w:pPr>
      <w:r>
        <w:rPr>
          <w:b/>
        </w:rPr>
        <w:t>[Audit</w:t>
      </w:r>
      <w:r>
        <w:rPr>
          <w:b/>
          <w:spacing w:val="-8"/>
        </w:rPr>
        <w:t xml:space="preserve"> </w:t>
      </w:r>
      <w:r>
        <w:rPr>
          <w:b/>
          <w:spacing w:val="-2"/>
        </w:rPr>
        <w:t>Organization]</w:t>
      </w:r>
    </w:p>
    <w:p w14:paraId="0DFDB363" w14:textId="77777777" w:rsidR="00046465" w:rsidRDefault="008134EB">
      <w:pPr>
        <w:pStyle w:val="BodyText"/>
        <w:spacing w:before="239"/>
        <w:ind w:left="360"/>
      </w:pPr>
      <w:r>
        <w:rPr>
          <w:spacing w:val="-2"/>
        </w:rPr>
        <w:t>Enclosure</w:t>
      </w:r>
    </w:p>
    <w:p w14:paraId="0DFDB364" w14:textId="77777777" w:rsidR="00046465" w:rsidRDefault="008134EB">
      <w:pPr>
        <w:pStyle w:val="BodyText"/>
        <w:spacing w:before="240"/>
        <w:ind w:left="360"/>
      </w:pPr>
      <w:r>
        <w:t>cc:</w:t>
      </w:r>
      <w:r>
        <w:rPr>
          <w:spacing w:val="-5"/>
        </w:rPr>
        <w:t xml:space="preserve"> </w:t>
      </w:r>
      <w:r>
        <w:t>XYZ</w:t>
      </w:r>
      <w:r>
        <w:rPr>
          <w:spacing w:val="-5"/>
        </w:rPr>
        <w:t xml:space="preserve"> </w:t>
      </w:r>
      <w:r>
        <w:rPr>
          <w:spacing w:val="-2"/>
        </w:rPr>
        <w:t>Entity</w:t>
      </w:r>
    </w:p>
    <w:p w14:paraId="0DFDB365" w14:textId="77777777" w:rsidR="00046465" w:rsidRDefault="00046465">
      <w:pPr>
        <w:pStyle w:val="BodyText"/>
        <w:rPr>
          <w:sz w:val="20"/>
        </w:rPr>
      </w:pPr>
    </w:p>
    <w:p w14:paraId="0DFDB366" w14:textId="77777777" w:rsidR="00046465" w:rsidRDefault="00046465">
      <w:pPr>
        <w:pStyle w:val="BodyText"/>
        <w:rPr>
          <w:sz w:val="20"/>
        </w:rPr>
      </w:pPr>
    </w:p>
    <w:p w14:paraId="0DFDB367" w14:textId="77777777" w:rsidR="00046465" w:rsidRDefault="00046465">
      <w:pPr>
        <w:pStyle w:val="BodyText"/>
        <w:rPr>
          <w:sz w:val="20"/>
        </w:rPr>
      </w:pPr>
    </w:p>
    <w:p w14:paraId="0DFDB368" w14:textId="77777777" w:rsidR="00046465" w:rsidRDefault="00046465">
      <w:pPr>
        <w:pStyle w:val="BodyText"/>
        <w:rPr>
          <w:sz w:val="20"/>
        </w:rPr>
      </w:pPr>
    </w:p>
    <w:p w14:paraId="0DFDB369" w14:textId="77777777" w:rsidR="00046465" w:rsidRDefault="00046465">
      <w:pPr>
        <w:pStyle w:val="BodyText"/>
        <w:rPr>
          <w:sz w:val="20"/>
        </w:rPr>
      </w:pPr>
    </w:p>
    <w:p w14:paraId="0DFDB36A" w14:textId="77777777" w:rsidR="00046465" w:rsidRDefault="00046465">
      <w:pPr>
        <w:pStyle w:val="BodyText"/>
        <w:rPr>
          <w:sz w:val="20"/>
        </w:rPr>
      </w:pPr>
    </w:p>
    <w:p w14:paraId="0DFDB36B" w14:textId="77777777" w:rsidR="00046465" w:rsidRDefault="00046465">
      <w:pPr>
        <w:pStyle w:val="BodyText"/>
        <w:rPr>
          <w:sz w:val="20"/>
        </w:rPr>
      </w:pPr>
    </w:p>
    <w:p w14:paraId="0DFDB36C" w14:textId="77777777" w:rsidR="00046465" w:rsidRDefault="00046465">
      <w:pPr>
        <w:pStyle w:val="BodyText"/>
        <w:rPr>
          <w:sz w:val="20"/>
        </w:rPr>
      </w:pPr>
    </w:p>
    <w:p w14:paraId="0DFDB36D" w14:textId="77777777" w:rsidR="00046465" w:rsidRDefault="00046465">
      <w:pPr>
        <w:pStyle w:val="BodyText"/>
        <w:rPr>
          <w:sz w:val="20"/>
        </w:rPr>
      </w:pPr>
    </w:p>
    <w:p w14:paraId="0DFDB36E" w14:textId="77777777" w:rsidR="00046465" w:rsidRDefault="00046465">
      <w:pPr>
        <w:pStyle w:val="BodyText"/>
        <w:rPr>
          <w:sz w:val="20"/>
        </w:rPr>
      </w:pPr>
    </w:p>
    <w:p w14:paraId="0DFDB36F" w14:textId="77777777" w:rsidR="00046465" w:rsidRDefault="00046465">
      <w:pPr>
        <w:pStyle w:val="BodyText"/>
        <w:rPr>
          <w:sz w:val="20"/>
        </w:rPr>
      </w:pPr>
    </w:p>
    <w:p w14:paraId="0DFDB370" w14:textId="77777777" w:rsidR="00046465" w:rsidRDefault="00046465">
      <w:pPr>
        <w:pStyle w:val="BodyText"/>
        <w:rPr>
          <w:sz w:val="20"/>
        </w:rPr>
      </w:pPr>
    </w:p>
    <w:p w14:paraId="0DFDB371" w14:textId="77777777" w:rsidR="00046465" w:rsidRDefault="00046465">
      <w:pPr>
        <w:pStyle w:val="BodyText"/>
        <w:rPr>
          <w:sz w:val="20"/>
        </w:rPr>
      </w:pPr>
    </w:p>
    <w:p w14:paraId="0DFDB372" w14:textId="77777777" w:rsidR="00046465" w:rsidRDefault="00046465">
      <w:pPr>
        <w:pStyle w:val="BodyText"/>
        <w:rPr>
          <w:sz w:val="20"/>
        </w:rPr>
      </w:pPr>
    </w:p>
    <w:p w14:paraId="0DFDB373" w14:textId="77777777" w:rsidR="00046465" w:rsidRDefault="00046465">
      <w:pPr>
        <w:pStyle w:val="BodyText"/>
        <w:rPr>
          <w:sz w:val="20"/>
        </w:rPr>
      </w:pPr>
    </w:p>
    <w:p w14:paraId="0DFDB374" w14:textId="77777777" w:rsidR="00046465" w:rsidRDefault="00046465">
      <w:pPr>
        <w:pStyle w:val="BodyText"/>
        <w:rPr>
          <w:sz w:val="20"/>
        </w:rPr>
      </w:pPr>
    </w:p>
    <w:p w14:paraId="0DFDB375" w14:textId="77777777" w:rsidR="00046465" w:rsidRDefault="00046465">
      <w:pPr>
        <w:pStyle w:val="BodyText"/>
        <w:rPr>
          <w:sz w:val="20"/>
        </w:rPr>
      </w:pPr>
    </w:p>
    <w:p w14:paraId="0DFDB376" w14:textId="77777777" w:rsidR="00046465" w:rsidRDefault="00046465">
      <w:pPr>
        <w:pStyle w:val="BodyText"/>
        <w:rPr>
          <w:sz w:val="20"/>
        </w:rPr>
      </w:pPr>
    </w:p>
    <w:p w14:paraId="0DFDB377" w14:textId="77777777" w:rsidR="00046465" w:rsidRDefault="00046465">
      <w:pPr>
        <w:pStyle w:val="BodyText"/>
        <w:rPr>
          <w:sz w:val="20"/>
        </w:rPr>
      </w:pPr>
    </w:p>
    <w:p w14:paraId="0DFDB378" w14:textId="77777777" w:rsidR="00046465" w:rsidRDefault="00046465">
      <w:pPr>
        <w:pStyle w:val="BodyText"/>
        <w:rPr>
          <w:sz w:val="20"/>
        </w:rPr>
      </w:pPr>
    </w:p>
    <w:p w14:paraId="0DFDB379" w14:textId="77777777" w:rsidR="00046465" w:rsidRDefault="00046465">
      <w:pPr>
        <w:pStyle w:val="BodyText"/>
        <w:rPr>
          <w:sz w:val="20"/>
        </w:rPr>
      </w:pPr>
    </w:p>
    <w:p w14:paraId="0DFDB37A" w14:textId="77777777" w:rsidR="00046465" w:rsidRDefault="00046465">
      <w:pPr>
        <w:pStyle w:val="BodyText"/>
        <w:rPr>
          <w:sz w:val="20"/>
        </w:rPr>
      </w:pPr>
    </w:p>
    <w:p w14:paraId="0DFDB37B" w14:textId="77777777" w:rsidR="00046465" w:rsidRDefault="00046465">
      <w:pPr>
        <w:pStyle w:val="BodyText"/>
        <w:rPr>
          <w:sz w:val="20"/>
        </w:rPr>
      </w:pPr>
    </w:p>
    <w:p w14:paraId="0DFDB37C" w14:textId="77777777" w:rsidR="00046465" w:rsidRDefault="00046465">
      <w:pPr>
        <w:pStyle w:val="BodyText"/>
        <w:rPr>
          <w:sz w:val="20"/>
        </w:rPr>
      </w:pPr>
    </w:p>
    <w:p w14:paraId="0DFDB37D" w14:textId="77777777" w:rsidR="00046465" w:rsidRDefault="00046465">
      <w:pPr>
        <w:pStyle w:val="BodyText"/>
        <w:rPr>
          <w:sz w:val="20"/>
        </w:rPr>
      </w:pPr>
    </w:p>
    <w:p w14:paraId="0DFDB37E" w14:textId="77777777" w:rsidR="00046465" w:rsidRDefault="00046465">
      <w:pPr>
        <w:pStyle w:val="BodyText"/>
        <w:rPr>
          <w:sz w:val="20"/>
        </w:rPr>
      </w:pPr>
    </w:p>
    <w:p w14:paraId="0DFDB37F" w14:textId="77777777" w:rsidR="00046465" w:rsidRDefault="00046465">
      <w:pPr>
        <w:pStyle w:val="BodyText"/>
        <w:rPr>
          <w:sz w:val="20"/>
        </w:rPr>
      </w:pPr>
    </w:p>
    <w:p w14:paraId="0DFDB380" w14:textId="77777777" w:rsidR="00046465" w:rsidRDefault="00046465">
      <w:pPr>
        <w:pStyle w:val="BodyText"/>
        <w:rPr>
          <w:sz w:val="20"/>
        </w:rPr>
      </w:pPr>
    </w:p>
    <w:p w14:paraId="0DFDB381" w14:textId="77777777" w:rsidR="00046465" w:rsidRDefault="00046465">
      <w:pPr>
        <w:pStyle w:val="BodyText"/>
        <w:rPr>
          <w:sz w:val="20"/>
        </w:rPr>
      </w:pPr>
    </w:p>
    <w:p w14:paraId="0DFDB382" w14:textId="77777777" w:rsidR="00046465" w:rsidRDefault="00046465">
      <w:pPr>
        <w:pStyle w:val="BodyText"/>
        <w:rPr>
          <w:sz w:val="20"/>
        </w:rPr>
      </w:pPr>
    </w:p>
    <w:p w14:paraId="0DFDB383" w14:textId="77777777" w:rsidR="00046465" w:rsidRDefault="00046465">
      <w:pPr>
        <w:pStyle w:val="BodyText"/>
        <w:rPr>
          <w:sz w:val="20"/>
        </w:rPr>
      </w:pPr>
    </w:p>
    <w:p w14:paraId="0DFDB384" w14:textId="77777777" w:rsidR="00046465" w:rsidRDefault="00046465">
      <w:pPr>
        <w:pStyle w:val="BodyText"/>
        <w:rPr>
          <w:sz w:val="20"/>
        </w:rPr>
      </w:pPr>
    </w:p>
    <w:p w14:paraId="0DFDB385" w14:textId="77777777" w:rsidR="00046465" w:rsidRDefault="00046465">
      <w:pPr>
        <w:pStyle w:val="BodyText"/>
        <w:rPr>
          <w:sz w:val="20"/>
        </w:rPr>
      </w:pPr>
    </w:p>
    <w:p w14:paraId="0DFDB386" w14:textId="77777777" w:rsidR="00046465" w:rsidRDefault="00046465">
      <w:pPr>
        <w:pStyle w:val="BodyText"/>
        <w:rPr>
          <w:sz w:val="20"/>
        </w:rPr>
      </w:pPr>
    </w:p>
    <w:p w14:paraId="0DFDB387" w14:textId="77777777" w:rsidR="00046465" w:rsidRDefault="00046465">
      <w:pPr>
        <w:pStyle w:val="BodyText"/>
        <w:rPr>
          <w:sz w:val="20"/>
        </w:rPr>
      </w:pPr>
    </w:p>
    <w:p w14:paraId="0DFDB388" w14:textId="77777777" w:rsidR="00046465" w:rsidRDefault="00046465">
      <w:pPr>
        <w:pStyle w:val="BodyText"/>
        <w:rPr>
          <w:sz w:val="20"/>
        </w:rPr>
      </w:pPr>
    </w:p>
    <w:p w14:paraId="0DFDB389" w14:textId="77777777" w:rsidR="00046465" w:rsidRDefault="008134EB">
      <w:pPr>
        <w:pStyle w:val="BodyText"/>
        <w:spacing w:before="159"/>
        <w:rPr>
          <w:sz w:val="20"/>
        </w:rPr>
      </w:pPr>
      <w:r>
        <w:rPr>
          <w:noProof/>
          <w:sz w:val="20"/>
        </w:rPr>
        <mc:AlternateContent>
          <mc:Choice Requires="wps">
            <w:drawing>
              <wp:anchor distT="0" distB="0" distL="0" distR="0" simplePos="0" relativeHeight="487619072" behindDoc="1" locked="0" layoutInCell="1" allowOverlap="1" wp14:anchorId="0DFDD58D" wp14:editId="0DFDD58E">
                <wp:simplePos x="0" y="0"/>
                <wp:positionH relativeFrom="page">
                  <wp:posOffset>914400</wp:posOffset>
                </wp:positionH>
                <wp:positionV relativeFrom="paragraph">
                  <wp:posOffset>262469</wp:posOffset>
                </wp:positionV>
                <wp:extent cx="1828800" cy="5715"/>
                <wp:effectExtent l="0" t="0" r="0" b="0"/>
                <wp:wrapTopAndBottom/>
                <wp:docPr id="329" name="Graphic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22754A" id="Graphic 329" o:spid="_x0000_s1026" style="position:absolute;margin-left:1in;margin-top:20.65pt;width:2in;height:.45pt;z-index:-1569740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" path="m1828800,l,,,5321r1828800,l1828800,xe" fillcolor="black" stroked="f">
                <v:path arrowok="t"/>
                <w10:wrap type="topAndBottom" anchorx="page"/>
              </v:shape>
            </w:pict>
          </mc:Fallback>
        </mc:AlternateContent>
      </w:r>
    </w:p>
    <w:p w14:paraId="0DFDB38A" w14:textId="77777777" w:rsidR="00046465" w:rsidRDefault="008134EB">
      <w:pPr>
        <w:spacing w:before="202" w:line="249" w:lineRule="auto"/>
        <w:ind w:left="359" w:right="844"/>
        <w:rPr>
          <w:sz w:val="18"/>
        </w:rPr>
      </w:pPr>
      <w:bookmarkStart w:id="148" w:name="_bookmark57"/>
      <w:bookmarkEnd w:id="148"/>
      <w:r>
        <w:rPr>
          <w:position w:val="7"/>
          <w:sz w:val="14"/>
        </w:rPr>
        <w:t>13</w:t>
      </w:r>
      <w:r>
        <w:rPr>
          <w:sz w:val="18"/>
        </w:rPr>
        <w:t>The</w:t>
      </w:r>
      <w:r>
        <w:rPr>
          <w:spacing w:val="-4"/>
          <w:sz w:val="18"/>
        </w:rPr>
        <w:t xml:space="preserve"> </w:t>
      </w:r>
      <w:r>
        <w:rPr>
          <w:sz w:val="18"/>
        </w:rPr>
        <w:t>auditor</w:t>
      </w:r>
      <w:r>
        <w:rPr>
          <w:spacing w:val="-3"/>
          <w:sz w:val="18"/>
        </w:rPr>
        <w:t xml:space="preserve"> </w:t>
      </w:r>
      <w:r>
        <w:rPr>
          <w:sz w:val="18"/>
        </w:rPr>
        <w:t>may</w:t>
      </w:r>
      <w:r>
        <w:rPr>
          <w:spacing w:val="-3"/>
          <w:sz w:val="18"/>
        </w:rPr>
        <w:t xml:space="preserve"> </w:t>
      </w:r>
      <w:r>
        <w:rPr>
          <w:sz w:val="18"/>
        </w:rPr>
        <w:t>request</w:t>
      </w:r>
      <w:r>
        <w:rPr>
          <w:spacing w:val="-3"/>
          <w:sz w:val="18"/>
        </w:rPr>
        <w:t xml:space="preserve"> </w:t>
      </w:r>
      <w:r>
        <w:rPr>
          <w:sz w:val="18"/>
        </w:rPr>
        <w:t>that</w:t>
      </w:r>
      <w:r>
        <w:rPr>
          <w:spacing w:val="-3"/>
          <w:sz w:val="18"/>
        </w:rPr>
        <w:t xml:space="preserve"> </w:t>
      </w:r>
      <w:r>
        <w:rPr>
          <w:sz w:val="18"/>
        </w:rPr>
        <w:t>the</w:t>
      </w:r>
      <w:r>
        <w:rPr>
          <w:spacing w:val="-4"/>
          <w:sz w:val="18"/>
        </w:rPr>
        <w:t xml:space="preserve"> </w:t>
      </w:r>
      <w:r>
        <w:rPr>
          <w:sz w:val="18"/>
        </w:rPr>
        <w:t>users</w:t>
      </w:r>
      <w:r>
        <w:rPr>
          <w:spacing w:val="-3"/>
          <w:sz w:val="18"/>
        </w:rPr>
        <w:t xml:space="preserve"> </w:t>
      </w:r>
      <w:r>
        <w:rPr>
          <w:sz w:val="18"/>
        </w:rPr>
        <w:t>document</w:t>
      </w:r>
      <w:r>
        <w:rPr>
          <w:spacing w:val="-3"/>
          <w:sz w:val="18"/>
        </w:rPr>
        <w:t xml:space="preserve"> </w:t>
      </w:r>
      <w:r>
        <w:rPr>
          <w:sz w:val="18"/>
        </w:rPr>
        <w:t>their</w:t>
      </w:r>
      <w:r>
        <w:rPr>
          <w:spacing w:val="-3"/>
          <w:sz w:val="18"/>
        </w:rPr>
        <w:t xml:space="preserve"> </w:t>
      </w:r>
      <w:r>
        <w:rPr>
          <w:sz w:val="18"/>
        </w:rPr>
        <w:t>agreement</w:t>
      </w:r>
      <w:r>
        <w:rPr>
          <w:spacing w:val="-3"/>
          <w:sz w:val="18"/>
        </w:rPr>
        <w:t xml:space="preserve"> </w:t>
      </w:r>
      <w:r>
        <w:rPr>
          <w:sz w:val="18"/>
        </w:rPr>
        <w:t>with</w:t>
      </w:r>
      <w:r>
        <w:rPr>
          <w:spacing w:val="-4"/>
          <w:sz w:val="18"/>
        </w:rPr>
        <w:t xml:space="preserve"> </w:t>
      </w:r>
      <w:r>
        <w:rPr>
          <w:sz w:val="18"/>
        </w:rPr>
        <w:t>the</w:t>
      </w:r>
      <w:r>
        <w:rPr>
          <w:spacing w:val="-2"/>
          <w:sz w:val="18"/>
        </w:rPr>
        <w:t xml:space="preserve"> </w:t>
      </w:r>
      <w:r>
        <w:rPr>
          <w:sz w:val="18"/>
        </w:rPr>
        <w:t>procedures</w:t>
      </w:r>
      <w:r>
        <w:rPr>
          <w:spacing w:val="-2"/>
          <w:sz w:val="18"/>
        </w:rPr>
        <w:t xml:space="preserve"> </w:t>
      </w:r>
      <w:r>
        <w:rPr>
          <w:sz w:val="18"/>
        </w:rPr>
        <w:t>and</w:t>
      </w:r>
      <w:r>
        <w:rPr>
          <w:spacing w:val="-4"/>
          <w:sz w:val="18"/>
        </w:rPr>
        <w:t xml:space="preserve"> </w:t>
      </w:r>
      <w:r>
        <w:rPr>
          <w:sz w:val="18"/>
        </w:rPr>
        <w:t>their</w:t>
      </w:r>
      <w:r>
        <w:rPr>
          <w:spacing w:val="-3"/>
          <w:sz w:val="18"/>
        </w:rPr>
        <w:t xml:space="preserve"> </w:t>
      </w:r>
      <w:r>
        <w:rPr>
          <w:sz w:val="18"/>
        </w:rPr>
        <w:t>appropriateness for their purposes by signing the engagement letter and returning it to the auditor.</w:t>
      </w:r>
    </w:p>
    <w:p w14:paraId="0DFDB38B" w14:textId="77777777" w:rsidR="00046465" w:rsidRDefault="00046465">
      <w:pPr>
        <w:spacing w:line="249" w:lineRule="auto"/>
        <w:rPr>
          <w:sz w:val="18"/>
        </w:rPr>
        <w:sectPr w:rsidR="00046465">
          <w:pgSz w:w="12240" w:h="15840"/>
          <w:pgMar w:top="1340" w:right="720" w:bottom="940" w:left="1080" w:header="721" w:footer="757" w:gutter="0"/>
          <w:cols w:space="720"/>
        </w:sectPr>
      </w:pPr>
    </w:p>
    <w:p w14:paraId="0DFDB38C" w14:textId="77777777" w:rsidR="00046465" w:rsidRDefault="008134EB">
      <w:pPr>
        <w:pStyle w:val="Heading3"/>
        <w:spacing w:before="240"/>
        <w:ind w:right="749"/>
        <w:rPr>
          <w:u w:val="none"/>
        </w:rPr>
      </w:pPr>
      <w:bookmarkStart w:id="149" w:name="710_B_–_Example_Representation_Letter_fr"/>
      <w:bookmarkStart w:id="150" w:name="_bookmark58"/>
      <w:bookmarkEnd w:id="149"/>
      <w:bookmarkEnd w:id="150"/>
      <w:r>
        <w:lastRenderedPageBreak/>
        <w:t>710</w:t>
      </w:r>
      <w:r>
        <w:rPr>
          <w:spacing w:val="-6"/>
        </w:rPr>
        <w:t xml:space="preserve"> </w:t>
      </w:r>
      <w:r>
        <w:t>B</w:t>
      </w:r>
      <w:r>
        <w:rPr>
          <w:spacing w:val="-5"/>
        </w:rPr>
        <w:t xml:space="preserve"> </w:t>
      </w:r>
      <w:r>
        <w:t>–</w:t>
      </w:r>
      <w:r>
        <w:rPr>
          <w:spacing w:val="-5"/>
        </w:rPr>
        <w:t xml:space="preserve"> </w:t>
      </w:r>
      <w:r>
        <w:t>Example</w:t>
      </w:r>
      <w:r>
        <w:rPr>
          <w:spacing w:val="-6"/>
        </w:rPr>
        <w:t xml:space="preserve"> </w:t>
      </w:r>
      <w:r>
        <w:t>Representation</w:t>
      </w:r>
      <w:r>
        <w:rPr>
          <w:spacing w:val="-6"/>
        </w:rPr>
        <w:t xml:space="preserve"> </w:t>
      </w:r>
      <w:r>
        <w:t>Letter</w:t>
      </w:r>
      <w:r>
        <w:rPr>
          <w:spacing w:val="-6"/>
        </w:rPr>
        <w:t xml:space="preserve"> </w:t>
      </w:r>
      <w:r>
        <w:t>from</w:t>
      </w:r>
      <w:r>
        <w:rPr>
          <w:spacing w:val="-6"/>
        </w:rPr>
        <w:t xml:space="preserve"> </w:t>
      </w:r>
      <w:r>
        <w:t>Engaging</w:t>
      </w:r>
      <w:r>
        <w:rPr>
          <w:spacing w:val="-5"/>
        </w:rPr>
        <w:t xml:space="preserve"> </w:t>
      </w:r>
      <w:r>
        <w:t>Party</w:t>
      </w:r>
      <w:r>
        <w:rPr>
          <w:u w:val="none"/>
        </w:rPr>
        <w:t xml:space="preserve"> </w:t>
      </w:r>
      <w:r>
        <w:t>on Agreed-Upon Procedures Engagement</w:t>
      </w:r>
    </w:p>
    <w:p w14:paraId="0DFDB38D" w14:textId="77777777" w:rsidR="00046465" w:rsidRDefault="00046465">
      <w:pPr>
        <w:pStyle w:val="BodyText"/>
        <w:spacing w:before="107"/>
        <w:rPr>
          <w:b/>
        </w:rPr>
      </w:pPr>
    </w:p>
    <w:p w14:paraId="0DFDB38E" w14:textId="77777777" w:rsidR="00046465" w:rsidRDefault="008134EB">
      <w:pPr>
        <w:spacing w:before="1"/>
        <w:ind w:left="360"/>
        <w:rPr>
          <w:b/>
        </w:rPr>
      </w:pPr>
      <w:r>
        <w:rPr>
          <w:b/>
        </w:rPr>
        <w:t>[ABC</w:t>
      </w:r>
      <w:r>
        <w:rPr>
          <w:b/>
          <w:spacing w:val="-8"/>
        </w:rPr>
        <w:t xml:space="preserve"> </w:t>
      </w:r>
      <w:r>
        <w:rPr>
          <w:b/>
        </w:rPr>
        <w:t>Entity</w:t>
      </w:r>
      <w:r>
        <w:rPr>
          <w:b/>
          <w:spacing w:val="-6"/>
        </w:rPr>
        <w:t xml:space="preserve"> </w:t>
      </w:r>
      <w:r>
        <w:rPr>
          <w:b/>
          <w:spacing w:val="-2"/>
        </w:rPr>
        <w:t>letterhead]</w:t>
      </w:r>
    </w:p>
    <w:p w14:paraId="0DFDB38F" w14:textId="77777777" w:rsidR="00046465" w:rsidRDefault="008134EB">
      <w:pPr>
        <w:spacing w:before="240"/>
        <w:ind w:left="360"/>
        <w:rPr>
          <w:b/>
        </w:rPr>
      </w:pPr>
      <w:r>
        <w:rPr>
          <w:b/>
        </w:rPr>
        <w:t>[Date</w:t>
      </w:r>
      <w:r>
        <w:rPr>
          <w:b/>
          <w:spacing w:val="-6"/>
        </w:rPr>
        <w:t xml:space="preserve"> </w:t>
      </w:r>
      <w:r>
        <w:rPr>
          <w:b/>
        </w:rPr>
        <w:t>(as</w:t>
      </w:r>
      <w:r>
        <w:rPr>
          <w:b/>
          <w:spacing w:val="-6"/>
        </w:rPr>
        <w:t xml:space="preserve"> </w:t>
      </w:r>
      <w:r>
        <w:rPr>
          <w:b/>
        </w:rPr>
        <w:t>of</w:t>
      </w:r>
      <w:r>
        <w:rPr>
          <w:b/>
          <w:spacing w:val="-6"/>
        </w:rPr>
        <w:t xml:space="preserve"> </w:t>
      </w:r>
      <w:r>
        <w:rPr>
          <w:b/>
        </w:rPr>
        <w:t>the</w:t>
      </w:r>
      <w:r>
        <w:rPr>
          <w:b/>
          <w:spacing w:val="-6"/>
        </w:rPr>
        <w:t xml:space="preserve"> </w:t>
      </w:r>
      <w:r>
        <w:rPr>
          <w:b/>
        </w:rPr>
        <w:t>date</w:t>
      </w:r>
      <w:r>
        <w:rPr>
          <w:b/>
          <w:spacing w:val="-6"/>
        </w:rPr>
        <w:t xml:space="preserve"> </w:t>
      </w:r>
      <w:r>
        <w:rPr>
          <w:b/>
        </w:rPr>
        <w:t>of</w:t>
      </w:r>
      <w:r>
        <w:rPr>
          <w:b/>
          <w:spacing w:val="-6"/>
        </w:rPr>
        <w:t xml:space="preserve"> </w:t>
      </w:r>
      <w:r>
        <w:rPr>
          <w:b/>
        </w:rPr>
        <w:t>the</w:t>
      </w:r>
      <w:r>
        <w:rPr>
          <w:b/>
          <w:spacing w:val="-6"/>
        </w:rPr>
        <w:t xml:space="preserve"> </w:t>
      </w:r>
      <w:r>
        <w:rPr>
          <w:b/>
        </w:rPr>
        <w:t>agreed-upon</w:t>
      </w:r>
      <w:r>
        <w:rPr>
          <w:b/>
          <w:spacing w:val="-6"/>
        </w:rPr>
        <w:t xml:space="preserve"> </w:t>
      </w:r>
      <w:r>
        <w:rPr>
          <w:b/>
        </w:rPr>
        <w:t>procedures</w:t>
      </w:r>
      <w:r>
        <w:rPr>
          <w:b/>
          <w:spacing w:val="-6"/>
        </w:rPr>
        <w:t xml:space="preserve"> </w:t>
      </w:r>
      <w:r>
        <w:rPr>
          <w:b/>
          <w:spacing w:val="-2"/>
        </w:rPr>
        <w:t>report)]</w:t>
      </w:r>
    </w:p>
    <w:p w14:paraId="0DFDB390" w14:textId="77777777" w:rsidR="00046465" w:rsidRDefault="008134EB">
      <w:pPr>
        <w:pStyle w:val="BodyText"/>
        <w:spacing w:before="240"/>
        <w:ind w:left="360"/>
      </w:pPr>
      <w:r>
        <w:t>Dear</w:t>
      </w:r>
      <w:r>
        <w:rPr>
          <w:spacing w:val="-6"/>
        </w:rPr>
        <w:t xml:space="preserve"> </w:t>
      </w:r>
      <w:r>
        <w:rPr>
          <w:spacing w:val="-2"/>
        </w:rPr>
        <w:t>Auditor:</w:t>
      </w:r>
    </w:p>
    <w:p w14:paraId="0DFDB391" w14:textId="77777777" w:rsidR="00046465" w:rsidRDefault="008134EB">
      <w:pPr>
        <w:pStyle w:val="BodyText"/>
        <w:spacing w:before="239"/>
        <w:ind w:left="360" w:right="772"/>
      </w:pPr>
      <w:r>
        <w:t>In connection with the agreed-upon procedures engagement for XYZ Entity’s budget execution process for the period from October 1, 20XX, through September 30, 20XX, we confirm to the best</w:t>
      </w:r>
      <w:r>
        <w:rPr>
          <w:spacing w:val="-3"/>
        </w:rPr>
        <w:t xml:space="preserve"> </w:t>
      </w:r>
      <w:r>
        <w:t>of</w:t>
      </w:r>
      <w:r>
        <w:rPr>
          <w:spacing w:val="-3"/>
        </w:rPr>
        <w:t xml:space="preserve"> </w:t>
      </w:r>
      <w:r>
        <w:t>our</w:t>
      </w:r>
      <w:r>
        <w:rPr>
          <w:spacing w:val="-3"/>
        </w:rPr>
        <w:t xml:space="preserve"> </w:t>
      </w:r>
      <w:r>
        <w:t>knowledge</w:t>
      </w:r>
      <w:r>
        <w:rPr>
          <w:spacing w:val="-3"/>
        </w:rPr>
        <w:t xml:space="preserve"> </w:t>
      </w:r>
      <w:r>
        <w:t>and</w:t>
      </w:r>
      <w:r>
        <w:rPr>
          <w:spacing w:val="-3"/>
        </w:rPr>
        <w:t xml:space="preserve"> </w:t>
      </w:r>
      <w:r>
        <w:t>belief,</w:t>
      </w:r>
      <w:r>
        <w:rPr>
          <w:spacing w:val="-3"/>
        </w:rPr>
        <w:t xml:space="preserve"> </w:t>
      </w:r>
      <w:r>
        <w:t>the</w:t>
      </w:r>
      <w:r>
        <w:rPr>
          <w:spacing w:val="-3"/>
        </w:rPr>
        <w:t xml:space="preserve"> </w:t>
      </w:r>
      <w:r>
        <w:t>following</w:t>
      </w:r>
      <w:r>
        <w:rPr>
          <w:spacing w:val="-3"/>
        </w:rPr>
        <w:t xml:space="preserve"> </w:t>
      </w:r>
      <w:r>
        <w:t>representations</w:t>
      </w:r>
      <w:r>
        <w:rPr>
          <w:spacing w:val="-3"/>
        </w:rPr>
        <w:t xml:space="preserve"> </w:t>
      </w:r>
      <w:r>
        <w:t>made</w:t>
      </w:r>
      <w:r>
        <w:rPr>
          <w:spacing w:val="-3"/>
        </w:rPr>
        <w:t xml:space="preserve"> </w:t>
      </w:r>
      <w:r>
        <w:t>to</w:t>
      </w:r>
      <w:r>
        <w:rPr>
          <w:spacing w:val="-3"/>
        </w:rPr>
        <w:t xml:space="preserve"> </w:t>
      </w:r>
      <w:r>
        <w:t>you</w:t>
      </w:r>
      <w:r>
        <w:rPr>
          <w:spacing w:val="-3"/>
        </w:rPr>
        <w:t xml:space="preserve"> </w:t>
      </w:r>
      <w:r>
        <w:t>in</w:t>
      </w:r>
      <w:r>
        <w:rPr>
          <w:spacing w:val="-3"/>
        </w:rPr>
        <w:t xml:space="preserve"> </w:t>
      </w:r>
      <w:r>
        <w:t>performing</w:t>
      </w:r>
      <w:r>
        <w:rPr>
          <w:spacing w:val="-3"/>
        </w:rPr>
        <w:t xml:space="preserve"> </w:t>
      </w:r>
      <w:r>
        <w:t>these agreed-upon procedures.</w:t>
      </w:r>
    </w:p>
    <w:p w14:paraId="0DFDB392" w14:textId="77777777" w:rsidR="00046465" w:rsidRDefault="008134EB">
      <w:pPr>
        <w:pStyle w:val="ListParagraph"/>
        <w:numPr>
          <w:ilvl w:val="0"/>
          <w:numId w:val="10"/>
        </w:numPr>
        <w:tabs>
          <w:tab w:val="left" w:pos="719"/>
        </w:tabs>
        <w:spacing w:before="240"/>
        <w:ind w:hanging="269"/>
      </w:pPr>
      <w:r>
        <w:t>We</w:t>
      </w:r>
      <w:r>
        <w:rPr>
          <w:spacing w:val="-7"/>
        </w:rPr>
        <w:t xml:space="preserve"> </w:t>
      </w:r>
      <w:r>
        <w:t>acknowledge</w:t>
      </w:r>
      <w:r>
        <w:rPr>
          <w:spacing w:val="-6"/>
        </w:rPr>
        <w:t xml:space="preserve"> </w:t>
      </w:r>
      <w:r>
        <w:t>that</w:t>
      </w:r>
      <w:r>
        <w:rPr>
          <w:spacing w:val="-7"/>
        </w:rPr>
        <w:t xml:space="preserve"> </w:t>
      </w:r>
      <w:r>
        <w:t>XYZ</w:t>
      </w:r>
      <w:r>
        <w:rPr>
          <w:spacing w:val="-6"/>
        </w:rPr>
        <w:t xml:space="preserve"> </w:t>
      </w:r>
      <w:r>
        <w:t>Entity</w:t>
      </w:r>
      <w:r>
        <w:rPr>
          <w:spacing w:val="-7"/>
        </w:rPr>
        <w:t xml:space="preserve"> </w:t>
      </w:r>
      <w:r>
        <w:t>is</w:t>
      </w:r>
      <w:r>
        <w:rPr>
          <w:spacing w:val="-7"/>
        </w:rPr>
        <w:t xml:space="preserve"> </w:t>
      </w:r>
      <w:r>
        <w:t>responsible</w:t>
      </w:r>
      <w:r>
        <w:rPr>
          <w:spacing w:val="-7"/>
        </w:rPr>
        <w:t xml:space="preserve"> </w:t>
      </w:r>
      <w:r>
        <w:t>for</w:t>
      </w:r>
      <w:r>
        <w:rPr>
          <w:spacing w:val="-7"/>
        </w:rPr>
        <w:t xml:space="preserve"> </w:t>
      </w:r>
      <w:r>
        <w:t>the</w:t>
      </w:r>
      <w:r>
        <w:rPr>
          <w:spacing w:val="-6"/>
        </w:rPr>
        <w:t xml:space="preserve"> </w:t>
      </w:r>
      <w:r>
        <w:t>budget</w:t>
      </w:r>
      <w:r>
        <w:rPr>
          <w:spacing w:val="-6"/>
        </w:rPr>
        <w:t xml:space="preserve"> </w:t>
      </w:r>
      <w:r>
        <w:t>execution</w:t>
      </w:r>
      <w:r>
        <w:rPr>
          <w:spacing w:val="-8"/>
        </w:rPr>
        <w:t xml:space="preserve"> </w:t>
      </w:r>
      <w:r>
        <w:rPr>
          <w:spacing w:val="-2"/>
        </w:rPr>
        <w:t>process.</w:t>
      </w:r>
    </w:p>
    <w:p w14:paraId="0DFDB393" w14:textId="77777777" w:rsidR="00046465" w:rsidRDefault="008134EB">
      <w:pPr>
        <w:pStyle w:val="ListParagraph"/>
        <w:numPr>
          <w:ilvl w:val="0"/>
          <w:numId w:val="10"/>
        </w:numPr>
        <w:tabs>
          <w:tab w:val="left" w:pos="719"/>
        </w:tabs>
        <w:spacing w:before="238"/>
        <w:ind w:right="2064"/>
      </w:pPr>
      <w:r>
        <w:t>We</w:t>
      </w:r>
      <w:r>
        <w:rPr>
          <w:spacing w:val="-4"/>
        </w:rPr>
        <w:t xml:space="preserve"> </w:t>
      </w:r>
      <w:r>
        <w:t>have</w:t>
      </w:r>
      <w:r>
        <w:rPr>
          <w:spacing w:val="-4"/>
        </w:rPr>
        <w:t xml:space="preserve"> </w:t>
      </w:r>
      <w:r>
        <w:t>obtained</w:t>
      </w:r>
      <w:r>
        <w:rPr>
          <w:spacing w:val="-4"/>
        </w:rPr>
        <w:t xml:space="preserve"> </w:t>
      </w:r>
      <w:r>
        <w:t>from</w:t>
      </w:r>
      <w:r>
        <w:rPr>
          <w:spacing w:val="-5"/>
        </w:rPr>
        <w:t xml:space="preserve"> </w:t>
      </w:r>
      <w:r>
        <w:t>all</w:t>
      </w:r>
      <w:r>
        <w:rPr>
          <w:spacing w:val="-4"/>
        </w:rPr>
        <w:t xml:space="preserve"> </w:t>
      </w:r>
      <w:r>
        <w:t>necessary</w:t>
      </w:r>
      <w:r>
        <w:rPr>
          <w:spacing w:val="-4"/>
        </w:rPr>
        <w:t xml:space="preserve"> </w:t>
      </w:r>
      <w:r>
        <w:t>parties</w:t>
      </w:r>
      <w:r>
        <w:rPr>
          <w:spacing w:val="-4"/>
        </w:rPr>
        <w:t xml:space="preserve"> </w:t>
      </w:r>
      <w:r>
        <w:t>agreement</w:t>
      </w:r>
      <w:r>
        <w:rPr>
          <w:spacing w:val="-4"/>
        </w:rPr>
        <w:t xml:space="preserve"> </w:t>
      </w:r>
      <w:r>
        <w:t>to</w:t>
      </w:r>
      <w:r>
        <w:rPr>
          <w:spacing w:val="-4"/>
        </w:rPr>
        <w:t xml:space="preserve"> </w:t>
      </w:r>
      <w:r>
        <w:t>the</w:t>
      </w:r>
      <w:r>
        <w:rPr>
          <w:spacing w:val="-4"/>
        </w:rPr>
        <w:t xml:space="preserve"> </w:t>
      </w:r>
      <w:r>
        <w:t>procedures</w:t>
      </w:r>
      <w:r>
        <w:rPr>
          <w:spacing w:val="-4"/>
        </w:rPr>
        <w:t xml:space="preserve"> </w:t>
      </w:r>
      <w:r>
        <w:t>and acknowledgment that the procedures are appropriate for their purposes.</w:t>
      </w:r>
    </w:p>
    <w:p w14:paraId="0DFDB394" w14:textId="77777777" w:rsidR="00046465" w:rsidRDefault="008134EB">
      <w:pPr>
        <w:pStyle w:val="ListParagraph"/>
        <w:numPr>
          <w:ilvl w:val="0"/>
          <w:numId w:val="10"/>
        </w:numPr>
        <w:tabs>
          <w:tab w:val="left" w:pos="719"/>
        </w:tabs>
        <w:spacing w:before="239"/>
        <w:ind w:right="851"/>
      </w:pPr>
      <w:r>
        <w:t>We know of no matters that would contradict our understanding of XYZ Entity’s budget execution</w:t>
      </w:r>
      <w:r>
        <w:rPr>
          <w:spacing w:val="-4"/>
        </w:rPr>
        <w:t xml:space="preserve"> </w:t>
      </w:r>
      <w:r>
        <w:t>process,</w:t>
      </w:r>
      <w:r>
        <w:rPr>
          <w:spacing w:val="-4"/>
        </w:rPr>
        <w:t xml:space="preserve"> </w:t>
      </w:r>
      <w:r>
        <w:t>including</w:t>
      </w:r>
      <w:r>
        <w:rPr>
          <w:spacing w:val="-4"/>
        </w:rPr>
        <w:t xml:space="preserve"> </w:t>
      </w:r>
      <w:r>
        <w:t>matters</w:t>
      </w:r>
      <w:r>
        <w:rPr>
          <w:spacing w:val="-4"/>
        </w:rPr>
        <w:t xml:space="preserve"> </w:t>
      </w:r>
      <w:r>
        <w:t>occurring</w:t>
      </w:r>
      <w:r>
        <w:rPr>
          <w:spacing w:val="-4"/>
        </w:rPr>
        <w:t xml:space="preserve"> </w:t>
      </w:r>
      <w:r>
        <w:t>between</w:t>
      </w:r>
      <w:r>
        <w:rPr>
          <w:spacing w:val="-4"/>
        </w:rPr>
        <w:t xml:space="preserve"> </w:t>
      </w:r>
      <w:r>
        <w:t>September</w:t>
      </w:r>
      <w:r>
        <w:rPr>
          <w:spacing w:val="-4"/>
        </w:rPr>
        <w:t xml:space="preserve"> </w:t>
      </w:r>
      <w:r>
        <w:t>30,</w:t>
      </w:r>
      <w:r>
        <w:rPr>
          <w:spacing w:val="-4"/>
        </w:rPr>
        <w:t xml:space="preserve"> </w:t>
      </w:r>
      <w:r>
        <w:t>20XX,</w:t>
      </w:r>
      <w:r>
        <w:rPr>
          <w:spacing w:val="-4"/>
        </w:rPr>
        <w:t xml:space="preserve"> </w:t>
      </w:r>
      <w:r>
        <w:t>and</w:t>
      </w:r>
      <w:r>
        <w:rPr>
          <w:spacing w:val="-4"/>
        </w:rPr>
        <w:t xml:space="preserve"> </w:t>
      </w:r>
      <w:r>
        <w:t>the</w:t>
      </w:r>
      <w:r>
        <w:rPr>
          <w:spacing w:val="-4"/>
        </w:rPr>
        <w:t xml:space="preserve"> </w:t>
      </w:r>
      <w:r>
        <w:t>date of the agreed-upon procedures report.</w:t>
      </w:r>
    </w:p>
    <w:p w14:paraId="0DFDB395" w14:textId="77777777" w:rsidR="00046465" w:rsidRDefault="008134EB">
      <w:pPr>
        <w:pStyle w:val="ListParagraph"/>
        <w:numPr>
          <w:ilvl w:val="0"/>
          <w:numId w:val="10"/>
        </w:numPr>
        <w:tabs>
          <w:tab w:val="left" w:pos="719"/>
        </w:tabs>
        <w:spacing w:before="238"/>
        <w:ind w:right="782"/>
      </w:pPr>
      <w:r>
        <w:t>There</w:t>
      </w:r>
      <w:r>
        <w:rPr>
          <w:spacing w:val="-4"/>
        </w:rPr>
        <w:t xml:space="preserve"> </w:t>
      </w:r>
      <w:r>
        <w:t>have</w:t>
      </w:r>
      <w:r>
        <w:rPr>
          <w:spacing w:val="-5"/>
        </w:rPr>
        <w:t xml:space="preserve"> </w:t>
      </w:r>
      <w:r>
        <w:t>been</w:t>
      </w:r>
      <w:r>
        <w:rPr>
          <w:spacing w:val="-4"/>
        </w:rPr>
        <w:t xml:space="preserve"> </w:t>
      </w:r>
      <w:r>
        <w:t>no</w:t>
      </w:r>
      <w:r>
        <w:rPr>
          <w:spacing w:val="-4"/>
        </w:rPr>
        <w:t xml:space="preserve"> </w:t>
      </w:r>
      <w:r>
        <w:t>communications</w:t>
      </w:r>
      <w:r>
        <w:rPr>
          <w:spacing w:val="-4"/>
        </w:rPr>
        <w:t xml:space="preserve"> </w:t>
      </w:r>
      <w:r>
        <w:t>from</w:t>
      </w:r>
      <w:r>
        <w:rPr>
          <w:spacing w:val="-5"/>
        </w:rPr>
        <w:t xml:space="preserve"> </w:t>
      </w:r>
      <w:r>
        <w:t>regulatory</w:t>
      </w:r>
      <w:r>
        <w:rPr>
          <w:spacing w:val="-4"/>
        </w:rPr>
        <w:t xml:space="preserve"> </w:t>
      </w:r>
      <w:r>
        <w:t>or</w:t>
      </w:r>
      <w:r>
        <w:rPr>
          <w:spacing w:val="-4"/>
        </w:rPr>
        <w:t xml:space="preserve"> </w:t>
      </w:r>
      <w:r>
        <w:t>oversight</w:t>
      </w:r>
      <w:r>
        <w:rPr>
          <w:spacing w:val="-4"/>
        </w:rPr>
        <w:t xml:space="preserve"> </w:t>
      </w:r>
      <w:r>
        <w:t>agencies</w:t>
      </w:r>
      <w:r>
        <w:rPr>
          <w:spacing w:val="-4"/>
        </w:rPr>
        <w:t xml:space="preserve"> </w:t>
      </w:r>
      <w:r>
        <w:t>concerning</w:t>
      </w:r>
      <w:r>
        <w:rPr>
          <w:spacing w:val="-4"/>
        </w:rPr>
        <w:t xml:space="preserve"> </w:t>
      </w:r>
      <w:r>
        <w:t>XYZ Entity’s budget execution process or noncompliance with budgetary laws or the Antideficiency Act, including communications received between September 30, 20XX, and the date of the agreed-upon procedures report.</w:t>
      </w:r>
    </w:p>
    <w:p w14:paraId="0DFDB396" w14:textId="77777777" w:rsidR="00046465" w:rsidRDefault="008134EB">
      <w:pPr>
        <w:pStyle w:val="ListParagraph"/>
        <w:numPr>
          <w:ilvl w:val="0"/>
          <w:numId w:val="10"/>
        </w:numPr>
        <w:tabs>
          <w:tab w:val="left" w:pos="719"/>
        </w:tabs>
        <w:spacing w:before="238"/>
        <w:ind w:right="1439"/>
      </w:pPr>
      <w:r>
        <w:t>We</w:t>
      </w:r>
      <w:r>
        <w:rPr>
          <w:spacing w:val="-3"/>
        </w:rPr>
        <w:t xml:space="preserve"> </w:t>
      </w:r>
      <w:r>
        <w:t>have</w:t>
      </w:r>
      <w:r>
        <w:rPr>
          <w:spacing w:val="-3"/>
        </w:rPr>
        <w:t xml:space="preserve"> </w:t>
      </w:r>
      <w:r>
        <w:t>made</w:t>
      </w:r>
      <w:r>
        <w:rPr>
          <w:spacing w:val="-3"/>
        </w:rPr>
        <w:t xml:space="preserve"> </w:t>
      </w:r>
      <w:r>
        <w:t>available</w:t>
      </w:r>
      <w:r>
        <w:rPr>
          <w:spacing w:val="-3"/>
        </w:rPr>
        <w:t xml:space="preserve"> </w:t>
      </w:r>
      <w:r>
        <w:t>to</w:t>
      </w:r>
      <w:r>
        <w:rPr>
          <w:spacing w:val="-3"/>
        </w:rPr>
        <w:t xml:space="preserve"> </w:t>
      </w:r>
      <w:r>
        <w:t>you</w:t>
      </w:r>
      <w:r>
        <w:rPr>
          <w:spacing w:val="-3"/>
        </w:rPr>
        <w:t xml:space="preserve"> </w:t>
      </w:r>
      <w:r>
        <w:t>all</w:t>
      </w:r>
      <w:r>
        <w:rPr>
          <w:spacing w:val="-3"/>
        </w:rPr>
        <w:t xml:space="preserve"> </w:t>
      </w:r>
      <w:r>
        <w:t>relevant</w:t>
      </w:r>
      <w:r>
        <w:rPr>
          <w:spacing w:val="-3"/>
        </w:rPr>
        <w:t xml:space="preserve"> </w:t>
      </w:r>
      <w:r>
        <w:t>information</w:t>
      </w:r>
      <w:r>
        <w:rPr>
          <w:spacing w:val="-3"/>
        </w:rPr>
        <w:t xml:space="preserve"> </w:t>
      </w:r>
      <w:r>
        <w:t>and</w:t>
      </w:r>
      <w:r>
        <w:rPr>
          <w:spacing w:val="-3"/>
        </w:rPr>
        <w:t xml:space="preserve"> </w:t>
      </w:r>
      <w:r>
        <w:t>access</w:t>
      </w:r>
      <w:r>
        <w:rPr>
          <w:spacing w:val="-2"/>
        </w:rPr>
        <w:t xml:space="preserve"> </w:t>
      </w:r>
      <w:r>
        <w:t>pertaining</w:t>
      </w:r>
      <w:r>
        <w:rPr>
          <w:spacing w:val="-3"/>
        </w:rPr>
        <w:t xml:space="preserve"> </w:t>
      </w:r>
      <w:r>
        <w:t>to</w:t>
      </w:r>
      <w:r>
        <w:rPr>
          <w:spacing w:val="-3"/>
        </w:rPr>
        <w:t xml:space="preserve"> </w:t>
      </w:r>
      <w:r>
        <w:t>XYZ Entity’s budget execution process during the period from October 1, 20XX, through September 30, 20XX, as agreed upon in the terms of the engagement.</w:t>
      </w:r>
    </w:p>
    <w:p w14:paraId="0DFDB397" w14:textId="77777777" w:rsidR="00046465" w:rsidRDefault="008134EB">
      <w:pPr>
        <w:pStyle w:val="ListParagraph"/>
        <w:numPr>
          <w:ilvl w:val="0"/>
          <w:numId w:val="10"/>
        </w:numPr>
        <w:tabs>
          <w:tab w:val="left" w:pos="720"/>
        </w:tabs>
        <w:spacing w:before="238"/>
        <w:ind w:left="720" w:right="1121"/>
      </w:pPr>
      <w:r>
        <w:t>We</w:t>
      </w:r>
      <w:r>
        <w:rPr>
          <w:spacing w:val="-3"/>
        </w:rPr>
        <w:t xml:space="preserve"> </w:t>
      </w:r>
      <w:r>
        <w:t>are</w:t>
      </w:r>
      <w:r>
        <w:rPr>
          <w:spacing w:val="-3"/>
        </w:rPr>
        <w:t xml:space="preserve"> </w:t>
      </w:r>
      <w:r>
        <w:t>not</w:t>
      </w:r>
      <w:r>
        <w:rPr>
          <w:spacing w:val="-3"/>
        </w:rPr>
        <w:t xml:space="preserve"> </w:t>
      </w:r>
      <w:r>
        <w:t>aware</w:t>
      </w:r>
      <w:r>
        <w:rPr>
          <w:spacing w:val="-3"/>
        </w:rPr>
        <w:t xml:space="preserve"> </w:t>
      </w:r>
      <w:r>
        <w:t>of</w:t>
      </w:r>
      <w:r>
        <w:rPr>
          <w:spacing w:val="-3"/>
        </w:rPr>
        <w:t xml:space="preserve"> </w:t>
      </w:r>
      <w:r>
        <w:t>any</w:t>
      </w:r>
      <w:r>
        <w:rPr>
          <w:spacing w:val="-3"/>
        </w:rPr>
        <w:t xml:space="preserve"> </w:t>
      </w:r>
      <w:r>
        <w:t>material</w:t>
      </w:r>
      <w:r>
        <w:rPr>
          <w:spacing w:val="-3"/>
        </w:rPr>
        <w:t xml:space="preserve"> </w:t>
      </w:r>
      <w:r>
        <w:t>misstatement</w:t>
      </w:r>
      <w:r>
        <w:rPr>
          <w:spacing w:val="-4"/>
        </w:rPr>
        <w:t xml:space="preserve"> </w:t>
      </w:r>
      <w:r>
        <w:t>regarding</w:t>
      </w:r>
      <w:r>
        <w:rPr>
          <w:spacing w:val="-3"/>
        </w:rPr>
        <w:t xml:space="preserve"> </w:t>
      </w:r>
      <w:r>
        <w:t>XYZ</w:t>
      </w:r>
      <w:r>
        <w:rPr>
          <w:spacing w:val="-3"/>
        </w:rPr>
        <w:t xml:space="preserve"> </w:t>
      </w:r>
      <w:r>
        <w:t>Entity’s</w:t>
      </w:r>
      <w:r>
        <w:rPr>
          <w:spacing w:val="-4"/>
        </w:rPr>
        <w:t xml:space="preserve"> </w:t>
      </w:r>
      <w:r>
        <w:t>budget</w:t>
      </w:r>
      <w:r>
        <w:rPr>
          <w:spacing w:val="-3"/>
        </w:rPr>
        <w:t xml:space="preserve"> </w:t>
      </w:r>
      <w:r>
        <w:t xml:space="preserve">execution </w:t>
      </w:r>
      <w:r>
        <w:rPr>
          <w:spacing w:val="-2"/>
        </w:rPr>
        <w:t>process.</w:t>
      </w:r>
    </w:p>
    <w:p w14:paraId="0DFDB398" w14:textId="77777777" w:rsidR="00046465" w:rsidRDefault="008134EB">
      <w:pPr>
        <w:pStyle w:val="ListParagraph"/>
        <w:numPr>
          <w:ilvl w:val="0"/>
          <w:numId w:val="10"/>
        </w:numPr>
        <w:tabs>
          <w:tab w:val="left" w:pos="720"/>
        </w:tabs>
        <w:spacing w:before="238"/>
        <w:ind w:left="720" w:right="827"/>
      </w:pPr>
      <w:r>
        <w:t>We</w:t>
      </w:r>
      <w:r>
        <w:rPr>
          <w:spacing w:val="-3"/>
        </w:rPr>
        <w:t xml:space="preserve"> </w:t>
      </w:r>
      <w:r>
        <w:t>have</w:t>
      </w:r>
      <w:r>
        <w:rPr>
          <w:spacing w:val="-3"/>
        </w:rPr>
        <w:t xml:space="preserve"> </w:t>
      </w:r>
      <w:r>
        <w:t>disclosed</w:t>
      </w:r>
      <w:r>
        <w:rPr>
          <w:spacing w:val="-3"/>
        </w:rPr>
        <w:t xml:space="preserve"> </w:t>
      </w:r>
      <w:r>
        <w:t>to</w:t>
      </w:r>
      <w:r>
        <w:rPr>
          <w:spacing w:val="-4"/>
        </w:rPr>
        <w:t xml:space="preserve"> </w:t>
      </w:r>
      <w:r>
        <w:t>you</w:t>
      </w:r>
      <w:r>
        <w:rPr>
          <w:spacing w:val="-3"/>
        </w:rPr>
        <w:t xml:space="preserve"> </w:t>
      </w:r>
      <w:r>
        <w:t>all</w:t>
      </w:r>
      <w:r>
        <w:rPr>
          <w:spacing w:val="-3"/>
        </w:rPr>
        <w:t xml:space="preserve"> </w:t>
      </w:r>
      <w:r>
        <w:t>known</w:t>
      </w:r>
      <w:r>
        <w:rPr>
          <w:spacing w:val="-4"/>
        </w:rPr>
        <w:t xml:space="preserve"> </w:t>
      </w:r>
      <w:r>
        <w:t>events</w:t>
      </w:r>
      <w:r>
        <w:rPr>
          <w:spacing w:val="-3"/>
        </w:rPr>
        <w:t xml:space="preserve"> </w:t>
      </w:r>
      <w:r>
        <w:t>subsequent</w:t>
      </w:r>
      <w:r>
        <w:rPr>
          <w:spacing w:val="-3"/>
        </w:rPr>
        <w:t xml:space="preserve"> </w:t>
      </w:r>
      <w:r>
        <w:t>to</w:t>
      </w:r>
      <w:r>
        <w:rPr>
          <w:spacing w:val="-3"/>
        </w:rPr>
        <w:t xml:space="preserve"> </w:t>
      </w:r>
      <w:r>
        <w:t>the</w:t>
      </w:r>
      <w:r>
        <w:rPr>
          <w:spacing w:val="-3"/>
        </w:rPr>
        <w:t xml:space="preserve"> </w:t>
      </w:r>
      <w:r>
        <w:t>period</w:t>
      </w:r>
      <w:r>
        <w:rPr>
          <w:spacing w:val="-3"/>
        </w:rPr>
        <w:t xml:space="preserve"> </w:t>
      </w:r>
      <w:r>
        <w:t>being</w:t>
      </w:r>
      <w:r>
        <w:rPr>
          <w:spacing w:val="-2"/>
        </w:rPr>
        <w:t xml:space="preserve"> </w:t>
      </w:r>
      <w:r>
        <w:t>reported</w:t>
      </w:r>
      <w:r>
        <w:rPr>
          <w:spacing w:val="-3"/>
        </w:rPr>
        <w:t xml:space="preserve"> </w:t>
      </w:r>
      <w:r>
        <w:t>on</w:t>
      </w:r>
      <w:r>
        <w:rPr>
          <w:spacing w:val="-3"/>
        </w:rPr>
        <w:t xml:space="preserve"> </w:t>
      </w:r>
      <w:r>
        <w:t>that would have a material effect on XYZ Entity’s budget execution process.</w:t>
      </w:r>
    </w:p>
    <w:p w14:paraId="0DFDB399" w14:textId="77777777" w:rsidR="00046465" w:rsidRDefault="008134EB">
      <w:pPr>
        <w:pStyle w:val="BodyText"/>
        <w:spacing w:before="239"/>
        <w:ind w:left="360"/>
      </w:pPr>
      <w:r>
        <w:rPr>
          <w:spacing w:val="-2"/>
        </w:rPr>
        <w:t>Sincerely,</w:t>
      </w:r>
    </w:p>
    <w:p w14:paraId="0DFDB39A" w14:textId="77777777" w:rsidR="00046465" w:rsidRDefault="008134EB">
      <w:pPr>
        <w:spacing w:before="240"/>
        <w:ind w:left="360"/>
        <w:rPr>
          <w:b/>
        </w:rPr>
      </w:pPr>
      <w:r>
        <w:rPr>
          <w:b/>
          <w:spacing w:val="-2"/>
        </w:rPr>
        <w:t>[signed]</w:t>
      </w:r>
    </w:p>
    <w:p w14:paraId="0DFDB39B" w14:textId="77777777" w:rsidR="00046465" w:rsidRDefault="008134EB">
      <w:pPr>
        <w:spacing w:before="240"/>
        <w:ind w:left="360" w:right="8340" w:hanging="1"/>
      </w:pPr>
      <w:r>
        <w:rPr>
          <w:b/>
        </w:rPr>
        <w:t>[Official’s</w:t>
      </w:r>
      <w:r>
        <w:rPr>
          <w:b/>
          <w:spacing w:val="-16"/>
        </w:rPr>
        <w:t xml:space="preserve"> </w:t>
      </w:r>
      <w:r>
        <w:rPr>
          <w:b/>
        </w:rPr>
        <w:t xml:space="preserve">Name] [Official’s Title] </w:t>
      </w:r>
      <w:r>
        <w:t>ABC Entity</w:t>
      </w:r>
    </w:p>
    <w:p w14:paraId="0DFDB39C" w14:textId="77777777" w:rsidR="00046465" w:rsidRDefault="00046465">
      <w:pPr>
        <w:sectPr w:rsidR="00046465">
          <w:headerReference w:type="default" r:id="rId98"/>
          <w:footerReference w:type="default" r:id="rId99"/>
          <w:pgSz w:w="12240" w:h="15840"/>
          <w:pgMar w:top="1600" w:right="720" w:bottom="940" w:left="1080" w:header="721" w:footer="757" w:gutter="0"/>
          <w:cols w:space="720"/>
        </w:sectPr>
      </w:pPr>
    </w:p>
    <w:p w14:paraId="0DFDB39D" w14:textId="77777777" w:rsidR="00046465" w:rsidRDefault="008134EB">
      <w:pPr>
        <w:pStyle w:val="Heading3"/>
        <w:spacing w:before="240"/>
        <w:ind w:right="749"/>
        <w:rPr>
          <w:u w:val="none"/>
        </w:rPr>
      </w:pPr>
      <w:bookmarkStart w:id="151" w:name="710_C_–_Example_Representation_Letter_fr"/>
      <w:bookmarkStart w:id="152" w:name="_bookmark59"/>
      <w:bookmarkEnd w:id="151"/>
      <w:bookmarkEnd w:id="152"/>
      <w:r>
        <w:lastRenderedPageBreak/>
        <w:t>710</w:t>
      </w:r>
      <w:r>
        <w:rPr>
          <w:spacing w:val="-6"/>
        </w:rPr>
        <w:t xml:space="preserve"> </w:t>
      </w:r>
      <w:r>
        <w:t>C</w:t>
      </w:r>
      <w:r>
        <w:rPr>
          <w:spacing w:val="-5"/>
        </w:rPr>
        <w:t xml:space="preserve"> </w:t>
      </w:r>
      <w:r>
        <w:t>–</w:t>
      </w:r>
      <w:r>
        <w:rPr>
          <w:spacing w:val="-5"/>
        </w:rPr>
        <w:t xml:space="preserve"> </w:t>
      </w:r>
      <w:r>
        <w:t>Example</w:t>
      </w:r>
      <w:r>
        <w:rPr>
          <w:spacing w:val="-6"/>
        </w:rPr>
        <w:t xml:space="preserve"> </w:t>
      </w:r>
      <w:r>
        <w:t>Representation</w:t>
      </w:r>
      <w:r>
        <w:rPr>
          <w:spacing w:val="-6"/>
        </w:rPr>
        <w:t xml:space="preserve"> </w:t>
      </w:r>
      <w:r>
        <w:t>Letter</w:t>
      </w:r>
      <w:r>
        <w:rPr>
          <w:spacing w:val="-6"/>
        </w:rPr>
        <w:t xml:space="preserve"> </w:t>
      </w:r>
      <w:r>
        <w:t>from</w:t>
      </w:r>
      <w:r>
        <w:rPr>
          <w:spacing w:val="-6"/>
        </w:rPr>
        <w:t xml:space="preserve"> </w:t>
      </w:r>
      <w:r>
        <w:t>Responsible</w:t>
      </w:r>
      <w:r>
        <w:rPr>
          <w:u w:val="none"/>
        </w:rPr>
        <w:t xml:space="preserve"> </w:t>
      </w:r>
      <w:r>
        <w:t>Party on Agreed-Upon Procedures Engagement</w:t>
      </w:r>
    </w:p>
    <w:p w14:paraId="0DFDB39E" w14:textId="77777777" w:rsidR="00046465" w:rsidRDefault="00046465">
      <w:pPr>
        <w:pStyle w:val="BodyText"/>
        <w:spacing w:before="87"/>
        <w:rPr>
          <w:b/>
        </w:rPr>
      </w:pPr>
    </w:p>
    <w:p w14:paraId="0DFDB39F" w14:textId="77777777" w:rsidR="00046465" w:rsidRDefault="008134EB">
      <w:pPr>
        <w:ind w:left="360"/>
        <w:rPr>
          <w:b/>
        </w:rPr>
      </w:pPr>
      <w:r>
        <w:rPr>
          <w:b/>
        </w:rPr>
        <w:t>[XYZ</w:t>
      </w:r>
      <w:r>
        <w:rPr>
          <w:b/>
          <w:spacing w:val="-7"/>
        </w:rPr>
        <w:t xml:space="preserve"> </w:t>
      </w:r>
      <w:r>
        <w:rPr>
          <w:b/>
        </w:rPr>
        <w:t>Entity</w:t>
      </w:r>
      <w:r>
        <w:rPr>
          <w:b/>
          <w:spacing w:val="-7"/>
        </w:rPr>
        <w:t xml:space="preserve"> </w:t>
      </w:r>
      <w:r>
        <w:rPr>
          <w:b/>
          <w:spacing w:val="-2"/>
        </w:rPr>
        <w:t>letterhead]</w:t>
      </w:r>
    </w:p>
    <w:p w14:paraId="0DFDB3A0" w14:textId="77777777" w:rsidR="00046465" w:rsidRDefault="008134EB">
      <w:pPr>
        <w:spacing w:before="201"/>
        <w:ind w:left="360"/>
        <w:rPr>
          <w:b/>
        </w:rPr>
      </w:pPr>
      <w:r>
        <w:rPr>
          <w:b/>
        </w:rPr>
        <w:t>[Date</w:t>
      </w:r>
      <w:r>
        <w:rPr>
          <w:b/>
          <w:spacing w:val="-6"/>
        </w:rPr>
        <w:t xml:space="preserve"> </w:t>
      </w:r>
      <w:r>
        <w:rPr>
          <w:b/>
        </w:rPr>
        <w:t>(as</w:t>
      </w:r>
      <w:r>
        <w:rPr>
          <w:b/>
          <w:spacing w:val="-6"/>
        </w:rPr>
        <w:t xml:space="preserve"> </w:t>
      </w:r>
      <w:r>
        <w:rPr>
          <w:b/>
        </w:rPr>
        <w:t>of</w:t>
      </w:r>
      <w:r>
        <w:rPr>
          <w:b/>
          <w:spacing w:val="-6"/>
        </w:rPr>
        <w:t xml:space="preserve"> </w:t>
      </w:r>
      <w:r>
        <w:rPr>
          <w:b/>
        </w:rPr>
        <w:t>the</w:t>
      </w:r>
      <w:r>
        <w:rPr>
          <w:b/>
          <w:spacing w:val="-6"/>
        </w:rPr>
        <w:t xml:space="preserve"> </w:t>
      </w:r>
      <w:r>
        <w:rPr>
          <w:b/>
        </w:rPr>
        <w:t>date</w:t>
      </w:r>
      <w:r>
        <w:rPr>
          <w:b/>
          <w:spacing w:val="-6"/>
        </w:rPr>
        <w:t xml:space="preserve"> </w:t>
      </w:r>
      <w:r>
        <w:rPr>
          <w:b/>
        </w:rPr>
        <w:t>of</w:t>
      </w:r>
      <w:r>
        <w:rPr>
          <w:b/>
          <w:spacing w:val="-6"/>
        </w:rPr>
        <w:t xml:space="preserve"> </w:t>
      </w:r>
      <w:r>
        <w:rPr>
          <w:b/>
        </w:rPr>
        <w:t>the</w:t>
      </w:r>
      <w:r>
        <w:rPr>
          <w:b/>
          <w:spacing w:val="-6"/>
        </w:rPr>
        <w:t xml:space="preserve"> </w:t>
      </w:r>
      <w:r>
        <w:rPr>
          <w:b/>
        </w:rPr>
        <w:t>agreed-upon</w:t>
      </w:r>
      <w:r>
        <w:rPr>
          <w:b/>
          <w:spacing w:val="-6"/>
        </w:rPr>
        <w:t xml:space="preserve"> </w:t>
      </w:r>
      <w:r>
        <w:rPr>
          <w:b/>
        </w:rPr>
        <w:t>procedures</w:t>
      </w:r>
      <w:r>
        <w:rPr>
          <w:b/>
          <w:spacing w:val="-6"/>
        </w:rPr>
        <w:t xml:space="preserve"> </w:t>
      </w:r>
      <w:r>
        <w:rPr>
          <w:b/>
          <w:spacing w:val="-2"/>
        </w:rPr>
        <w:t>report)]</w:t>
      </w:r>
    </w:p>
    <w:p w14:paraId="0DFDB3A1" w14:textId="77777777" w:rsidR="00046465" w:rsidRDefault="008134EB">
      <w:pPr>
        <w:pStyle w:val="BodyText"/>
        <w:spacing w:before="199"/>
        <w:ind w:left="360"/>
      </w:pPr>
      <w:r>
        <w:t>Dear</w:t>
      </w:r>
      <w:r>
        <w:rPr>
          <w:spacing w:val="-6"/>
        </w:rPr>
        <w:t xml:space="preserve"> </w:t>
      </w:r>
      <w:r>
        <w:rPr>
          <w:spacing w:val="-2"/>
        </w:rPr>
        <w:t>Auditor:</w:t>
      </w:r>
    </w:p>
    <w:p w14:paraId="0DFDB3A2" w14:textId="77777777" w:rsidR="00046465" w:rsidRDefault="008134EB">
      <w:pPr>
        <w:pStyle w:val="BodyText"/>
        <w:spacing w:before="201"/>
        <w:ind w:left="359" w:right="834"/>
      </w:pPr>
      <w:r>
        <w:t>In</w:t>
      </w:r>
      <w:r>
        <w:rPr>
          <w:spacing w:val="-2"/>
        </w:rPr>
        <w:t xml:space="preserve"> </w:t>
      </w:r>
      <w:r>
        <w:t>connection</w:t>
      </w:r>
      <w:r>
        <w:rPr>
          <w:spacing w:val="-2"/>
        </w:rPr>
        <w:t xml:space="preserve"> </w:t>
      </w:r>
      <w:r>
        <w:t>with</w:t>
      </w:r>
      <w:r>
        <w:rPr>
          <w:spacing w:val="-2"/>
        </w:rPr>
        <w:t xml:space="preserve"> </w:t>
      </w:r>
      <w:r>
        <w:t>the</w:t>
      </w:r>
      <w:r>
        <w:rPr>
          <w:spacing w:val="-2"/>
        </w:rPr>
        <w:t xml:space="preserve"> </w:t>
      </w:r>
      <w:r>
        <w:t>agreed-upon</w:t>
      </w:r>
      <w:r>
        <w:rPr>
          <w:spacing w:val="-2"/>
        </w:rPr>
        <w:t xml:space="preserve"> </w:t>
      </w:r>
      <w:r>
        <w:t>procedures</w:t>
      </w:r>
      <w:r>
        <w:rPr>
          <w:spacing w:val="-3"/>
        </w:rPr>
        <w:t xml:space="preserve"> </w:t>
      </w:r>
      <w:r>
        <w:t>engagement</w:t>
      </w:r>
      <w:r>
        <w:rPr>
          <w:spacing w:val="-2"/>
        </w:rPr>
        <w:t xml:space="preserve"> </w:t>
      </w:r>
      <w:r>
        <w:t>for</w:t>
      </w:r>
      <w:r>
        <w:rPr>
          <w:spacing w:val="-2"/>
        </w:rPr>
        <w:t xml:space="preserve"> </w:t>
      </w:r>
      <w:r>
        <w:t>ABC</w:t>
      </w:r>
      <w:r>
        <w:rPr>
          <w:spacing w:val="-3"/>
        </w:rPr>
        <w:t xml:space="preserve"> </w:t>
      </w:r>
      <w:r>
        <w:t>Entity’s</w:t>
      </w:r>
      <w:r>
        <w:rPr>
          <w:spacing w:val="-2"/>
        </w:rPr>
        <w:t xml:space="preserve"> </w:t>
      </w:r>
      <w:r>
        <w:t>budget</w:t>
      </w:r>
      <w:r>
        <w:rPr>
          <w:spacing w:val="-3"/>
        </w:rPr>
        <w:t xml:space="preserve"> </w:t>
      </w:r>
      <w:r>
        <w:t>execution process for the period from October 1, 20XX, through September 30, 20XX, we confirm to the best</w:t>
      </w:r>
      <w:r>
        <w:rPr>
          <w:spacing w:val="-3"/>
        </w:rPr>
        <w:t xml:space="preserve"> </w:t>
      </w:r>
      <w:r>
        <w:t>of</w:t>
      </w:r>
      <w:r>
        <w:rPr>
          <w:spacing w:val="-3"/>
        </w:rPr>
        <w:t xml:space="preserve"> </w:t>
      </w:r>
      <w:r>
        <w:t>our</w:t>
      </w:r>
      <w:r>
        <w:rPr>
          <w:spacing w:val="-3"/>
        </w:rPr>
        <w:t xml:space="preserve"> </w:t>
      </w:r>
      <w:r>
        <w:t>knowledge</w:t>
      </w:r>
      <w:r>
        <w:rPr>
          <w:spacing w:val="-3"/>
        </w:rPr>
        <w:t xml:space="preserve"> </w:t>
      </w:r>
      <w:r>
        <w:t>and</w:t>
      </w:r>
      <w:r>
        <w:rPr>
          <w:spacing w:val="-3"/>
        </w:rPr>
        <w:t xml:space="preserve"> </w:t>
      </w:r>
      <w:r>
        <w:t>belief</w:t>
      </w:r>
      <w:r>
        <w:rPr>
          <w:spacing w:val="-3"/>
        </w:rPr>
        <w:t xml:space="preserve"> </w:t>
      </w:r>
      <w:r>
        <w:t>the</w:t>
      </w:r>
      <w:r>
        <w:rPr>
          <w:spacing w:val="-4"/>
        </w:rPr>
        <w:t xml:space="preserve"> </w:t>
      </w:r>
      <w:r>
        <w:t>following</w:t>
      </w:r>
      <w:r>
        <w:rPr>
          <w:spacing w:val="-3"/>
        </w:rPr>
        <w:t xml:space="preserve"> </w:t>
      </w:r>
      <w:r>
        <w:t>representations</w:t>
      </w:r>
      <w:r>
        <w:rPr>
          <w:spacing w:val="-3"/>
        </w:rPr>
        <w:t xml:space="preserve"> </w:t>
      </w:r>
      <w:r>
        <w:t>made</w:t>
      </w:r>
      <w:r>
        <w:rPr>
          <w:spacing w:val="-3"/>
        </w:rPr>
        <w:t xml:space="preserve"> </w:t>
      </w:r>
      <w:r>
        <w:t>to</w:t>
      </w:r>
      <w:r>
        <w:rPr>
          <w:spacing w:val="-3"/>
        </w:rPr>
        <w:t xml:space="preserve"> </w:t>
      </w:r>
      <w:r>
        <w:t>you</w:t>
      </w:r>
      <w:r>
        <w:rPr>
          <w:spacing w:val="-3"/>
        </w:rPr>
        <w:t xml:space="preserve"> </w:t>
      </w:r>
      <w:r>
        <w:t>in</w:t>
      </w:r>
      <w:r>
        <w:rPr>
          <w:spacing w:val="-3"/>
        </w:rPr>
        <w:t xml:space="preserve"> </w:t>
      </w:r>
      <w:r>
        <w:t>performing</w:t>
      </w:r>
      <w:r>
        <w:rPr>
          <w:spacing w:val="-3"/>
        </w:rPr>
        <w:t xml:space="preserve"> </w:t>
      </w:r>
      <w:r>
        <w:t>these agreed-upon procedures.</w:t>
      </w:r>
    </w:p>
    <w:p w14:paraId="0DFDB3A3" w14:textId="77777777" w:rsidR="00046465" w:rsidRDefault="008134EB">
      <w:pPr>
        <w:pStyle w:val="ListParagraph"/>
        <w:numPr>
          <w:ilvl w:val="0"/>
          <w:numId w:val="10"/>
        </w:numPr>
        <w:tabs>
          <w:tab w:val="left" w:pos="719"/>
        </w:tabs>
        <w:spacing w:before="99"/>
        <w:ind w:hanging="273"/>
      </w:pPr>
      <w:r>
        <w:t>We</w:t>
      </w:r>
      <w:r>
        <w:rPr>
          <w:spacing w:val="-9"/>
        </w:rPr>
        <w:t xml:space="preserve"> </w:t>
      </w:r>
      <w:r>
        <w:t>acknowledge</w:t>
      </w:r>
      <w:r>
        <w:rPr>
          <w:spacing w:val="-8"/>
        </w:rPr>
        <w:t xml:space="preserve"> </w:t>
      </w:r>
      <w:r>
        <w:t>responsibility</w:t>
      </w:r>
      <w:r>
        <w:rPr>
          <w:spacing w:val="-8"/>
        </w:rPr>
        <w:t xml:space="preserve"> </w:t>
      </w:r>
      <w:r>
        <w:t>for</w:t>
      </w:r>
      <w:r>
        <w:rPr>
          <w:spacing w:val="-8"/>
        </w:rPr>
        <w:t xml:space="preserve"> </w:t>
      </w:r>
      <w:r>
        <w:t>our</w:t>
      </w:r>
      <w:r>
        <w:rPr>
          <w:spacing w:val="-8"/>
        </w:rPr>
        <w:t xml:space="preserve"> </w:t>
      </w:r>
      <w:r>
        <w:t>budget</w:t>
      </w:r>
      <w:r>
        <w:rPr>
          <w:spacing w:val="-8"/>
        </w:rPr>
        <w:t xml:space="preserve"> </w:t>
      </w:r>
      <w:r>
        <w:t>execution</w:t>
      </w:r>
      <w:r>
        <w:rPr>
          <w:spacing w:val="-8"/>
        </w:rPr>
        <w:t xml:space="preserve"> </w:t>
      </w:r>
      <w:r>
        <w:rPr>
          <w:spacing w:val="-2"/>
        </w:rPr>
        <w:t>process.</w:t>
      </w:r>
    </w:p>
    <w:p w14:paraId="0DFDB3A4" w14:textId="77777777" w:rsidR="00046465" w:rsidRDefault="008134EB">
      <w:pPr>
        <w:pStyle w:val="ListParagraph"/>
        <w:numPr>
          <w:ilvl w:val="0"/>
          <w:numId w:val="10"/>
        </w:numPr>
        <w:tabs>
          <w:tab w:val="left" w:pos="719"/>
        </w:tabs>
        <w:spacing w:before="119"/>
        <w:ind w:hanging="273"/>
      </w:pPr>
      <w:r>
        <w:t>We</w:t>
      </w:r>
      <w:r>
        <w:rPr>
          <w:spacing w:val="-7"/>
        </w:rPr>
        <w:t xml:space="preserve"> </w:t>
      </w:r>
      <w:r>
        <w:t>are</w:t>
      </w:r>
      <w:r>
        <w:rPr>
          <w:spacing w:val="-6"/>
        </w:rPr>
        <w:t xml:space="preserve"> </w:t>
      </w:r>
      <w:r>
        <w:t>not</w:t>
      </w:r>
      <w:r>
        <w:rPr>
          <w:spacing w:val="-7"/>
        </w:rPr>
        <w:t xml:space="preserve"> </w:t>
      </w:r>
      <w:r>
        <w:t>aware</w:t>
      </w:r>
      <w:r>
        <w:rPr>
          <w:spacing w:val="-6"/>
        </w:rPr>
        <w:t xml:space="preserve"> </w:t>
      </w:r>
      <w:r>
        <w:t>of</w:t>
      </w:r>
      <w:r>
        <w:rPr>
          <w:spacing w:val="-6"/>
        </w:rPr>
        <w:t xml:space="preserve"> </w:t>
      </w:r>
      <w:r>
        <w:t>any</w:t>
      </w:r>
      <w:r>
        <w:rPr>
          <w:spacing w:val="-7"/>
        </w:rPr>
        <w:t xml:space="preserve"> </w:t>
      </w:r>
      <w:r>
        <w:t>material</w:t>
      </w:r>
      <w:r>
        <w:rPr>
          <w:spacing w:val="-6"/>
        </w:rPr>
        <w:t xml:space="preserve"> </w:t>
      </w:r>
      <w:r>
        <w:t>misstatement</w:t>
      </w:r>
      <w:r>
        <w:rPr>
          <w:spacing w:val="-7"/>
        </w:rPr>
        <w:t xml:space="preserve"> </w:t>
      </w:r>
      <w:r>
        <w:t>regarding</w:t>
      </w:r>
      <w:r>
        <w:rPr>
          <w:spacing w:val="-7"/>
        </w:rPr>
        <w:t xml:space="preserve"> </w:t>
      </w:r>
      <w:r>
        <w:t>our</w:t>
      </w:r>
      <w:r>
        <w:rPr>
          <w:spacing w:val="-6"/>
        </w:rPr>
        <w:t xml:space="preserve"> </w:t>
      </w:r>
      <w:r>
        <w:t>budget</w:t>
      </w:r>
      <w:r>
        <w:rPr>
          <w:spacing w:val="-7"/>
        </w:rPr>
        <w:t xml:space="preserve"> </w:t>
      </w:r>
      <w:r>
        <w:t>execution</w:t>
      </w:r>
      <w:r>
        <w:rPr>
          <w:spacing w:val="-6"/>
        </w:rPr>
        <w:t xml:space="preserve"> </w:t>
      </w:r>
      <w:r>
        <w:rPr>
          <w:spacing w:val="-2"/>
        </w:rPr>
        <w:t>process.</w:t>
      </w:r>
    </w:p>
    <w:p w14:paraId="0DFDB3A5" w14:textId="77777777" w:rsidR="00046465" w:rsidRDefault="008134EB">
      <w:pPr>
        <w:pStyle w:val="ListParagraph"/>
        <w:numPr>
          <w:ilvl w:val="0"/>
          <w:numId w:val="10"/>
        </w:numPr>
        <w:tabs>
          <w:tab w:val="left" w:pos="720"/>
        </w:tabs>
        <w:spacing w:before="118"/>
        <w:ind w:left="720" w:right="1013" w:hanging="274"/>
      </w:pPr>
      <w:r>
        <w:t>We have made available to you all records and related data pertaining to our budget execution</w:t>
      </w:r>
      <w:r>
        <w:rPr>
          <w:spacing w:val="-4"/>
        </w:rPr>
        <w:t xml:space="preserve"> </w:t>
      </w:r>
      <w:r>
        <w:t>process</w:t>
      </w:r>
      <w:r>
        <w:rPr>
          <w:spacing w:val="-4"/>
        </w:rPr>
        <w:t xml:space="preserve"> </w:t>
      </w:r>
      <w:r>
        <w:t>during</w:t>
      </w:r>
      <w:r>
        <w:rPr>
          <w:spacing w:val="-4"/>
        </w:rPr>
        <w:t xml:space="preserve"> </w:t>
      </w:r>
      <w:r>
        <w:t>the</w:t>
      </w:r>
      <w:r>
        <w:rPr>
          <w:spacing w:val="-4"/>
        </w:rPr>
        <w:t xml:space="preserve"> </w:t>
      </w:r>
      <w:r>
        <w:t>period</w:t>
      </w:r>
      <w:r>
        <w:rPr>
          <w:spacing w:val="-5"/>
        </w:rPr>
        <w:t xml:space="preserve"> </w:t>
      </w:r>
      <w:r>
        <w:t>from</w:t>
      </w:r>
      <w:r>
        <w:rPr>
          <w:spacing w:val="-5"/>
        </w:rPr>
        <w:t xml:space="preserve"> </w:t>
      </w:r>
      <w:r>
        <w:t>October</w:t>
      </w:r>
      <w:r>
        <w:rPr>
          <w:spacing w:val="-4"/>
        </w:rPr>
        <w:t xml:space="preserve"> </w:t>
      </w:r>
      <w:r>
        <w:t>1,</w:t>
      </w:r>
      <w:r>
        <w:rPr>
          <w:spacing w:val="-4"/>
        </w:rPr>
        <w:t xml:space="preserve"> </w:t>
      </w:r>
      <w:r>
        <w:t>20XX,</w:t>
      </w:r>
      <w:r>
        <w:rPr>
          <w:spacing w:val="-4"/>
        </w:rPr>
        <w:t xml:space="preserve"> </w:t>
      </w:r>
      <w:r>
        <w:t>through</w:t>
      </w:r>
      <w:r>
        <w:rPr>
          <w:spacing w:val="-4"/>
        </w:rPr>
        <w:t xml:space="preserve"> </w:t>
      </w:r>
      <w:r>
        <w:t>September</w:t>
      </w:r>
      <w:r>
        <w:rPr>
          <w:spacing w:val="-4"/>
        </w:rPr>
        <w:t xml:space="preserve"> </w:t>
      </w:r>
      <w:r>
        <w:t>30,</w:t>
      </w:r>
      <w:r>
        <w:rPr>
          <w:spacing w:val="-4"/>
        </w:rPr>
        <w:t xml:space="preserve"> </w:t>
      </w:r>
      <w:r>
        <w:t>20XX.</w:t>
      </w:r>
    </w:p>
    <w:p w14:paraId="0DFDB3A6" w14:textId="77777777" w:rsidR="00046465" w:rsidRDefault="008134EB">
      <w:pPr>
        <w:pStyle w:val="ListParagraph"/>
        <w:numPr>
          <w:ilvl w:val="0"/>
          <w:numId w:val="10"/>
        </w:numPr>
        <w:tabs>
          <w:tab w:val="left" w:pos="720"/>
        </w:tabs>
        <w:spacing w:before="119"/>
        <w:ind w:left="720" w:right="793" w:hanging="274"/>
      </w:pPr>
      <w:r>
        <w:t>We</w:t>
      </w:r>
      <w:r>
        <w:rPr>
          <w:spacing w:val="-3"/>
        </w:rPr>
        <w:t xml:space="preserve"> </w:t>
      </w:r>
      <w:r>
        <w:t>have</w:t>
      </w:r>
      <w:r>
        <w:rPr>
          <w:spacing w:val="-3"/>
        </w:rPr>
        <w:t xml:space="preserve"> </w:t>
      </w:r>
      <w:r>
        <w:t>disclosed</w:t>
      </w:r>
      <w:r>
        <w:rPr>
          <w:spacing w:val="-3"/>
        </w:rPr>
        <w:t xml:space="preserve"> </w:t>
      </w:r>
      <w:r>
        <w:t>to</w:t>
      </w:r>
      <w:r>
        <w:rPr>
          <w:spacing w:val="-4"/>
        </w:rPr>
        <w:t xml:space="preserve"> </w:t>
      </w:r>
      <w:r>
        <w:t>you</w:t>
      </w:r>
      <w:r>
        <w:rPr>
          <w:spacing w:val="-3"/>
        </w:rPr>
        <w:t xml:space="preserve"> </w:t>
      </w:r>
      <w:r>
        <w:t>all</w:t>
      </w:r>
      <w:r>
        <w:rPr>
          <w:spacing w:val="-3"/>
        </w:rPr>
        <w:t xml:space="preserve"> </w:t>
      </w:r>
      <w:r>
        <w:t>known</w:t>
      </w:r>
      <w:r>
        <w:rPr>
          <w:spacing w:val="-4"/>
        </w:rPr>
        <w:t xml:space="preserve"> </w:t>
      </w:r>
      <w:r>
        <w:t>events</w:t>
      </w:r>
      <w:r>
        <w:rPr>
          <w:spacing w:val="-3"/>
        </w:rPr>
        <w:t xml:space="preserve"> </w:t>
      </w:r>
      <w:r>
        <w:t>subsequent</w:t>
      </w:r>
      <w:r>
        <w:rPr>
          <w:spacing w:val="-3"/>
        </w:rPr>
        <w:t xml:space="preserve"> </w:t>
      </w:r>
      <w:r>
        <w:t>to</w:t>
      </w:r>
      <w:r>
        <w:rPr>
          <w:spacing w:val="-3"/>
        </w:rPr>
        <w:t xml:space="preserve"> </w:t>
      </w:r>
      <w:r>
        <w:t>the</w:t>
      </w:r>
      <w:r>
        <w:rPr>
          <w:spacing w:val="-3"/>
        </w:rPr>
        <w:t xml:space="preserve"> </w:t>
      </w:r>
      <w:r>
        <w:t>period</w:t>
      </w:r>
      <w:r>
        <w:rPr>
          <w:spacing w:val="-3"/>
        </w:rPr>
        <w:t xml:space="preserve"> </w:t>
      </w:r>
      <w:r>
        <w:t>(or</w:t>
      </w:r>
      <w:r>
        <w:rPr>
          <w:spacing w:val="-5"/>
        </w:rPr>
        <w:t xml:space="preserve"> </w:t>
      </w:r>
      <w:r>
        <w:t>point</w:t>
      </w:r>
      <w:r>
        <w:rPr>
          <w:spacing w:val="-3"/>
        </w:rPr>
        <w:t xml:space="preserve"> </w:t>
      </w:r>
      <w:r>
        <w:t>in</w:t>
      </w:r>
      <w:r>
        <w:rPr>
          <w:spacing w:val="-3"/>
        </w:rPr>
        <w:t xml:space="preserve"> </w:t>
      </w:r>
      <w:r>
        <w:t>time)</w:t>
      </w:r>
      <w:r>
        <w:rPr>
          <w:spacing w:val="-3"/>
        </w:rPr>
        <w:t xml:space="preserve"> </w:t>
      </w:r>
      <w:r>
        <w:t>being reported on that would have a material effect on our budget execution process.</w:t>
      </w:r>
    </w:p>
    <w:p w14:paraId="0DFDB3A7" w14:textId="77777777" w:rsidR="00046465" w:rsidRDefault="008134EB">
      <w:pPr>
        <w:pStyle w:val="ListParagraph"/>
        <w:numPr>
          <w:ilvl w:val="0"/>
          <w:numId w:val="10"/>
        </w:numPr>
        <w:tabs>
          <w:tab w:val="left" w:pos="720"/>
        </w:tabs>
        <w:spacing w:before="118"/>
        <w:ind w:left="720" w:right="1659" w:hanging="274"/>
      </w:pPr>
      <w:r>
        <w:t>XYZ</w:t>
      </w:r>
      <w:r>
        <w:rPr>
          <w:spacing w:val="-4"/>
        </w:rPr>
        <w:t xml:space="preserve"> </w:t>
      </w:r>
      <w:r>
        <w:t>Entity’s</w:t>
      </w:r>
      <w:r>
        <w:rPr>
          <w:spacing w:val="-5"/>
        </w:rPr>
        <w:t xml:space="preserve"> </w:t>
      </w:r>
      <w:r>
        <w:t>budget</w:t>
      </w:r>
      <w:r>
        <w:rPr>
          <w:spacing w:val="-4"/>
        </w:rPr>
        <w:t xml:space="preserve"> </w:t>
      </w:r>
      <w:r>
        <w:t>execution</w:t>
      </w:r>
      <w:r>
        <w:rPr>
          <w:spacing w:val="-4"/>
        </w:rPr>
        <w:t xml:space="preserve"> </w:t>
      </w:r>
      <w:r>
        <w:t>process</w:t>
      </w:r>
      <w:r>
        <w:rPr>
          <w:spacing w:val="-4"/>
        </w:rPr>
        <w:t xml:space="preserve"> </w:t>
      </w:r>
      <w:r>
        <w:t>is</w:t>
      </w:r>
      <w:r>
        <w:rPr>
          <w:spacing w:val="-4"/>
        </w:rPr>
        <w:t xml:space="preserve"> </w:t>
      </w:r>
      <w:r>
        <w:t>designed</w:t>
      </w:r>
      <w:r>
        <w:rPr>
          <w:spacing w:val="-4"/>
        </w:rPr>
        <w:t xml:space="preserve"> </w:t>
      </w:r>
      <w:r>
        <w:t>to</w:t>
      </w:r>
      <w:r>
        <w:rPr>
          <w:spacing w:val="-4"/>
        </w:rPr>
        <w:t xml:space="preserve"> </w:t>
      </w:r>
      <w:r>
        <w:t>meet</w:t>
      </w:r>
      <w:r>
        <w:rPr>
          <w:spacing w:val="-4"/>
        </w:rPr>
        <w:t xml:space="preserve"> </w:t>
      </w:r>
      <w:r>
        <w:t>the</w:t>
      </w:r>
      <w:r>
        <w:rPr>
          <w:spacing w:val="-4"/>
        </w:rPr>
        <w:t xml:space="preserve"> </w:t>
      </w:r>
      <w:r>
        <w:t>requirements</w:t>
      </w:r>
      <w:r>
        <w:rPr>
          <w:spacing w:val="-4"/>
        </w:rPr>
        <w:t xml:space="preserve"> </w:t>
      </w:r>
      <w:r>
        <w:t>of</w:t>
      </w:r>
      <w:r>
        <w:rPr>
          <w:spacing w:val="-4"/>
        </w:rPr>
        <w:t xml:space="preserve"> </w:t>
      </w:r>
      <w:r>
        <w:t>the Antideficiency Act.</w:t>
      </w:r>
    </w:p>
    <w:p w14:paraId="0DFDB3A8" w14:textId="77777777" w:rsidR="00046465" w:rsidRDefault="008134EB">
      <w:pPr>
        <w:pStyle w:val="ListParagraph"/>
        <w:numPr>
          <w:ilvl w:val="0"/>
          <w:numId w:val="10"/>
        </w:numPr>
        <w:tabs>
          <w:tab w:val="left" w:pos="720"/>
        </w:tabs>
        <w:spacing w:before="118"/>
        <w:ind w:left="720" w:right="729" w:hanging="274"/>
      </w:pPr>
      <w:r>
        <w:t>XYZ Entity’s employees check the accounting records and fund status reports quarterly to determine</w:t>
      </w:r>
      <w:r>
        <w:rPr>
          <w:spacing w:val="-4"/>
        </w:rPr>
        <w:t xml:space="preserve"> </w:t>
      </w:r>
      <w:r>
        <w:t>whether</w:t>
      </w:r>
      <w:r>
        <w:rPr>
          <w:spacing w:val="-4"/>
        </w:rPr>
        <w:t xml:space="preserve"> </w:t>
      </w:r>
      <w:r>
        <w:t>all</w:t>
      </w:r>
      <w:r>
        <w:rPr>
          <w:spacing w:val="-4"/>
        </w:rPr>
        <w:t xml:space="preserve"> </w:t>
      </w:r>
      <w:r>
        <w:t>source</w:t>
      </w:r>
      <w:r>
        <w:rPr>
          <w:spacing w:val="-4"/>
        </w:rPr>
        <w:t xml:space="preserve"> </w:t>
      </w:r>
      <w:r>
        <w:t>documents</w:t>
      </w:r>
      <w:r>
        <w:rPr>
          <w:spacing w:val="-4"/>
        </w:rPr>
        <w:t xml:space="preserve"> </w:t>
      </w:r>
      <w:r>
        <w:t>that</w:t>
      </w:r>
      <w:r>
        <w:rPr>
          <w:spacing w:val="-4"/>
        </w:rPr>
        <w:t xml:space="preserve"> </w:t>
      </w:r>
      <w:r>
        <w:t>affect</w:t>
      </w:r>
      <w:r>
        <w:rPr>
          <w:spacing w:val="-4"/>
        </w:rPr>
        <w:t xml:space="preserve"> </w:t>
      </w:r>
      <w:r>
        <w:t>the</w:t>
      </w:r>
      <w:r>
        <w:rPr>
          <w:spacing w:val="-4"/>
        </w:rPr>
        <w:t xml:space="preserve"> </w:t>
      </w:r>
      <w:r>
        <w:t>appropriation</w:t>
      </w:r>
      <w:r>
        <w:rPr>
          <w:spacing w:val="-4"/>
        </w:rPr>
        <w:t xml:space="preserve"> </w:t>
      </w:r>
      <w:r>
        <w:t>and</w:t>
      </w:r>
      <w:r>
        <w:rPr>
          <w:spacing w:val="-4"/>
        </w:rPr>
        <w:t xml:space="preserve"> </w:t>
      </w:r>
      <w:r>
        <w:t>fund</w:t>
      </w:r>
      <w:r>
        <w:rPr>
          <w:spacing w:val="-4"/>
        </w:rPr>
        <w:t xml:space="preserve"> </w:t>
      </w:r>
      <w:r>
        <w:t>balance</w:t>
      </w:r>
      <w:r>
        <w:rPr>
          <w:spacing w:val="-4"/>
        </w:rPr>
        <w:t xml:space="preserve"> </w:t>
      </w:r>
      <w:r>
        <w:t>have been recorded properly, accurately, and timely.</w:t>
      </w:r>
    </w:p>
    <w:p w14:paraId="0DFDB3A9" w14:textId="77777777" w:rsidR="00046465" w:rsidRDefault="008134EB">
      <w:pPr>
        <w:pStyle w:val="ListParagraph"/>
        <w:numPr>
          <w:ilvl w:val="0"/>
          <w:numId w:val="10"/>
        </w:numPr>
        <w:tabs>
          <w:tab w:val="left" w:pos="720"/>
        </w:tabs>
        <w:spacing w:before="119"/>
        <w:ind w:left="720" w:right="1233" w:hanging="274"/>
      </w:pPr>
      <w:r>
        <w:t>XYZ Entity’s financial management system provides timely disclosure of total valid obligations</w:t>
      </w:r>
      <w:r>
        <w:rPr>
          <w:spacing w:val="-5"/>
        </w:rPr>
        <w:t xml:space="preserve"> </w:t>
      </w:r>
      <w:r>
        <w:t>incurred</w:t>
      </w:r>
      <w:r>
        <w:rPr>
          <w:spacing w:val="-4"/>
        </w:rPr>
        <w:t xml:space="preserve"> </w:t>
      </w:r>
      <w:r>
        <w:t>to</w:t>
      </w:r>
      <w:r>
        <w:rPr>
          <w:spacing w:val="-4"/>
        </w:rPr>
        <w:t xml:space="preserve"> </w:t>
      </w:r>
      <w:r>
        <w:t>date</w:t>
      </w:r>
      <w:r>
        <w:rPr>
          <w:spacing w:val="-4"/>
        </w:rPr>
        <w:t xml:space="preserve"> </w:t>
      </w:r>
      <w:r>
        <w:t>and</w:t>
      </w:r>
      <w:r>
        <w:rPr>
          <w:spacing w:val="-4"/>
        </w:rPr>
        <w:t xml:space="preserve"> </w:t>
      </w:r>
      <w:r>
        <w:t>total</w:t>
      </w:r>
      <w:r>
        <w:rPr>
          <w:spacing w:val="-5"/>
        </w:rPr>
        <w:t xml:space="preserve"> </w:t>
      </w:r>
      <w:r>
        <w:t>budgetary</w:t>
      </w:r>
      <w:r>
        <w:rPr>
          <w:spacing w:val="-4"/>
        </w:rPr>
        <w:t xml:space="preserve"> </w:t>
      </w:r>
      <w:r>
        <w:t>resources</w:t>
      </w:r>
      <w:r>
        <w:rPr>
          <w:spacing w:val="-4"/>
        </w:rPr>
        <w:t xml:space="preserve"> </w:t>
      </w:r>
      <w:r>
        <w:t>available</w:t>
      </w:r>
      <w:r>
        <w:rPr>
          <w:spacing w:val="-4"/>
        </w:rPr>
        <w:t xml:space="preserve"> </w:t>
      </w:r>
      <w:r>
        <w:t>for</w:t>
      </w:r>
      <w:r>
        <w:rPr>
          <w:spacing w:val="-4"/>
        </w:rPr>
        <w:t xml:space="preserve"> </w:t>
      </w:r>
      <w:r>
        <w:t>obligation</w:t>
      </w:r>
      <w:r>
        <w:rPr>
          <w:spacing w:val="-4"/>
        </w:rPr>
        <w:t xml:space="preserve"> </w:t>
      </w:r>
      <w:r>
        <w:t>within each apportionment.</w:t>
      </w:r>
    </w:p>
    <w:p w14:paraId="0DFDB3AA" w14:textId="77777777" w:rsidR="00046465" w:rsidRDefault="008134EB">
      <w:pPr>
        <w:pStyle w:val="ListParagraph"/>
        <w:numPr>
          <w:ilvl w:val="0"/>
          <w:numId w:val="10"/>
        </w:numPr>
        <w:tabs>
          <w:tab w:val="left" w:pos="720"/>
        </w:tabs>
        <w:spacing w:before="117"/>
        <w:ind w:left="720" w:right="829" w:hanging="274"/>
      </w:pPr>
      <w:r>
        <w:t>The</w:t>
      </w:r>
      <w:r>
        <w:rPr>
          <w:spacing w:val="-3"/>
        </w:rPr>
        <w:t xml:space="preserve"> </w:t>
      </w:r>
      <w:r>
        <w:t>system</w:t>
      </w:r>
      <w:r>
        <w:rPr>
          <w:spacing w:val="-5"/>
        </w:rPr>
        <w:t xml:space="preserve"> </w:t>
      </w:r>
      <w:r>
        <w:t>also</w:t>
      </w:r>
      <w:r>
        <w:rPr>
          <w:spacing w:val="-3"/>
        </w:rPr>
        <w:t xml:space="preserve"> </w:t>
      </w:r>
      <w:r>
        <w:t>provides</w:t>
      </w:r>
      <w:r>
        <w:rPr>
          <w:spacing w:val="-3"/>
        </w:rPr>
        <w:t xml:space="preserve"> </w:t>
      </w:r>
      <w:r>
        <w:t>timely</w:t>
      </w:r>
      <w:r>
        <w:rPr>
          <w:spacing w:val="-3"/>
        </w:rPr>
        <w:t xml:space="preserve"> </w:t>
      </w:r>
      <w:r>
        <w:t>disclosure</w:t>
      </w:r>
      <w:r>
        <w:rPr>
          <w:spacing w:val="-3"/>
        </w:rPr>
        <w:t xml:space="preserve"> </w:t>
      </w:r>
      <w:r>
        <w:t>of</w:t>
      </w:r>
      <w:r>
        <w:rPr>
          <w:spacing w:val="-3"/>
        </w:rPr>
        <w:t xml:space="preserve"> </w:t>
      </w:r>
      <w:r>
        <w:t>the</w:t>
      </w:r>
      <w:r>
        <w:rPr>
          <w:spacing w:val="-4"/>
        </w:rPr>
        <w:t xml:space="preserve"> </w:t>
      </w:r>
      <w:r>
        <w:t>authorization</w:t>
      </w:r>
      <w:r>
        <w:rPr>
          <w:spacing w:val="-3"/>
        </w:rPr>
        <w:t xml:space="preserve"> </w:t>
      </w:r>
      <w:r>
        <w:t>or</w:t>
      </w:r>
      <w:r>
        <w:rPr>
          <w:spacing w:val="-3"/>
        </w:rPr>
        <w:t xml:space="preserve"> </w:t>
      </w:r>
      <w:r>
        <w:t>creation</w:t>
      </w:r>
      <w:r>
        <w:rPr>
          <w:spacing w:val="-4"/>
        </w:rPr>
        <w:t xml:space="preserve"> </w:t>
      </w:r>
      <w:r>
        <w:t>of</w:t>
      </w:r>
      <w:r>
        <w:rPr>
          <w:spacing w:val="-3"/>
        </w:rPr>
        <w:t xml:space="preserve"> </w:t>
      </w:r>
      <w:r>
        <w:t>commitments, obligations, or expenditures that exceed apportionments and allotments.</w:t>
      </w:r>
    </w:p>
    <w:p w14:paraId="0DFDB3AB" w14:textId="77777777" w:rsidR="00046465" w:rsidRDefault="008134EB">
      <w:pPr>
        <w:pStyle w:val="ListParagraph"/>
        <w:numPr>
          <w:ilvl w:val="0"/>
          <w:numId w:val="10"/>
        </w:numPr>
        <w:tabs>
          <w:tab w:val="left" w:pos="719"/>
        </w:tabs>
        <w:spacing w:before="118"/>
        <w:ind w:hanging="273"/>
      </w:pPr>
      <w:r>
        <w:t>We</w:t>
      </w:r>
      <w:r>
        <w:rPr>
          <w:spacing w:val="-7"/>
        </w:rPr>
        <w:t xml:space="preserve"> </w:t>
      </w:r>
      <w:r>
        <w:t>are</w:t>
      </w:r>
      <w:r>
        <w:rPr>
          <w:spacing w:val="-6"/>
        </w:rPr>
        <w:t xml:space="preserve"> </w:t>
      </w:r>
      <w:r>
        <w:t>not</w:t>
      </w:r>
      <w:r>
        <w:rPr>
          <w:spacing w:val="-6"/>
        </w:rPr>
        <w:t xml:space="preserve"> </w:t>
      </w:r>
      <w:r>
        <w:t>aware</w:t>
      </w:r>
      <w:r>
        <w:rPr>
          <w:spacing w:val="-7"/>
        </w:rPr>
        <w:t xml:space="preserve"> </w:t>
      </w:r>
      <w:r>
        <w:t>of</w:t>
      </w:r>
      <w:r>
        <w:rPr>
          <w:spacing w:val="-6"/>
        </w:rPr>
        <w:t xml:space="preserve"> </w:t>
      </w:r>
      <w:r>
        <w:t>instances</w:t>
      </w:r>
      <w:r>
        <w:rPr>
          <w:spacing w:val="-6"/>
        </w:rPr>
        <w:t xml:space="preserve"> </w:t>
      </w:r>
      <w:r>
        <w:t>of</w:t>
      </w:r>
      <w:r>
        <w:rPr>
          <w:spacing w:val="-6"/>
        </w:rPr>
        <w:t xml:space="preserve"> </w:t>
      </w:r>
      <w:r>
        <w:t>noncompliance</w:t>
      </w:r>
      <w:r>
        <w:rPr>
          <w:spacing w:val="-7"/>
        </w:rPr>
        <w:t xml:space="preserve"> </w:t>
      </w:r>
      <w:r>
        <w:t>with</w:t>
      </w:r>
      <w:r>
        <w:rPr>
          <w:spacing w:val="-6"/>
        </w:rPr>
        <w:t xml:space="preserve"> </w:t>
      </w:r>
      <w:r>
        <w:t>the</w:t>
      </w:r>
      <w:r>
        <w:rPr>
          <w:spacing w:val="-6"/>
        </w:rPr>
        <w:t xml:space="preserve"> </w:t>
      </w:r>
      <w:r>
        <w:t>above-stated</w:t>
      </w:r>
      <w:r>
        <w:rPr>
          <w:spacing w:val="-7"/>
        </w:rPr>
        <w:t xml:space="preserve"> </w:t>
      </w:r>
      <w:r>
        <w:rPr>
          <w:spacing w:val="-2"/>
        </w:rPr>
        <w:t>procedures.</w:t>
      </w:r>
    </w:p>
    <w:p w14:paraId="0DFDB3AC" w14:textId="77777777" w:rsidR="00046465" w:rsidRDefault="008134EB">
      <w:pPr>
        <w:pStyle w:val="ListParagraph"/>
        <w:numPr>
          <w:ilvl w:val="0"/>
          <w:numId w:val="10"/>
        </w:numPr>
        <w:tabs>
          <w:tab w:val="left" w:pos="720"/>
        </w:tabs>
        <w:spacing w:before="118"/>
        <w:ind w:left="720" w:right="1133" w:hanging="274"/>
      </w:pPr>
      <w:r>
        <w:t>We</w:t>
      </w:r>
      <w:r>
        <w:rPr>
          <w:spacing w:val="-4"/>
        </w:rPr>
        <w:t xml:space="preserve"> </w:t>
      </w:r>
      <w:r>
        <w:t>are</w:t>
      </w:r>
      <w:r>
        <w:rPr>
          <w:spacing w:val="-4"/>
        </w:rPr>
        <w:t xml:space="preserve"> </w:t>
      </w:r>
      <w:r>
        <w:t>not</w:t>
      </w:r>
      <w:r>
        <w:rPr>
          <w:spacing w:val="-4"/>
        </w:rPr>
        <w:t xml:space="preserve"> </w:t>
      </w:r>
      <w:r>
        <w:t>aware</w:t>
      </w:r>
      <w:r>
        <w:rPr>
          <w:spacing w:val="-4"/>
        </w:rPr>
        <w:t xml:space="preserve"> </w:t>
      </w:r>
      <w:r>
        <w:t>of</w:t>
      </w:r>
      <w:r>
        <w:rPr>
          <w:spacing w:val="-4"/>
        </w:rPr>
        <w:t xml:space="preserve"> </w:t>
      </w:r>
      <w:r>
        <w:t>instances</w:t>
      </w:r>
      <w:r>
        <w:rPr>
          <w:spacing w:val="-4"/>
        </w:rPr>
        <w:t xml:space="preserve"> </w:t>
      </w:r>
      <w:r>
        <w:t>of</w:t>
      </w:r>
      <w:r>
        <w:rPr>
          <w:spacing w:val="-4"/>
        </w:rPr>
        <w:t xml:space="preserve"> </w:t>
      </w:r>
      <w:r>
        <w:t>fraud</w:t>
      </w:r>
      <w:r>
        <w:rPr>
          <w:spacing w:val="-4"/>
        </w:rPr>
        <w:t xml:space="preserve"> </w:t>
      </w:r>
      <w:r>
        <w:t>involving</w:t>
      </w:r>
      <w:r>
        <w:rPr>
          <w:spacing w:val="-4"/>
        </w:rPr>
        <w:t xml:space="preserve"> </w:t>
      </w:r>
      <w:r>
        <w:t>management,</w:t>
      </w:r>
      <w:r>
        <w:rPr>
          <w:spacing w:val="-4"/>
        </w:rPr>
        <w:t xml:space="preserve"> </w:t>
      </w:r>
      <w:r>
        <w:t>employees,</w:t>
      </w:r>
      <w:r>
        <w:rPr>
          <w:spacing w:val="-4"/>
        </w:rPr>
        <w:t xml:space="preserve"> </w:t>
      </w:r>
      <w:r>
        <w:t>or</w:t>
      </w:r>
      <w:r>
        <w:rPr>
          <w:spacing w:val="-4"/>
        </w:rPr>
        <w:t xml:space="preserve"> </w:t>
      </w:r>
      <w:r>
        <w:t>contractor staff who have significant roles in the operation of our budget execution process.</w:t>
      </w:r>
    </w:p>
    <w:p w14:paraId="0DFDB3AD" w14:textId="77777777" w:rsidR="00046465" w:rsidRDefault="008134EB">
      <w:pPr>
        <w:pStyle w:val="ListParagraph"/>
        <w:numPr>
          <w:ilvl w:val="0"/>
          <w:numId w:val="10"/>
        </w:numPr>
        <w:tabs>
          <w:tab w:val="left" w:pos="720"/>
        </w:tabs>
        <w:spacing w:before="119"/>
        <w:ind w:left="720" w:right="1524" w:hanging="274"/>
      </w:pPr>
      <w:r>
        <w:t>We</w:t>
      </w:r>
      <w:r>
        <w:rPr>
          <w:spacing w:val="-3"/>
        </w:rPr>
        <w:t xml:space="preserve"> </w:t>
      </w:r>
      <w:r>
        <w:t>have</w:t>
      </w:r>
      <w:r>
        <w:rPr>
          <w:spacing w:val="-3"/>
        </w:rPr>
        <w:t xml:space="preserve"> </w:t>
      </w:r>
      <w:r>
        <w:t>no</w:t>
      </w:r>
      <w:r>
        <w:rPr>
          <w:spacing w:val="-4"/>
        </w:rPr>
        <w:t xml:space="preserve"> </w:t>
      </w:r>
      <w:r>
        <w:t>plans</w:t>
      </w:r>
      <w:r>
        <w:rPr>
          <w:spacing w:val="-3"/>
        </w:rPr>
        <w:t xml:space="preserve"> </w:t>
      </w:r>
      <w:r>
        <w:t>or</w:t>
      </w:r>
      <w:r>
        <w:rPr>
          <w:spacing w:val="-3"/>
        </w:rPr>
        <w:t xml:space="preserve"> </w:t>
      </w:r>
      <w:r>
        <w:t>intentions</w:t>
      </w:r>
      <w:r>
        <w:rPr>
          <w:spacing w:val="-3"/>
        </w:rPr>
        <w:t xml:space="preserve"> </w:t>
      </w:r>
      <w:r>
        <w:t>that</w:t>
      </w:r>
      <w:r>
        <w:rPr>
          <w:spacing w:val="-4"/>
        </w:rPr>
        <w:t xml:space="preserve"> </w:t>
      </w:r>
      <w:r>
        <w:t>would</w:t>
      </w:r>
      <w:r>
        <w:rPr>
          <w:spacing w:val="-3"/>
        </w:rPr>
        <w:t xml:space="preserve"> </w:t>
      </w:r>
      <w:r>
        <w:t>materially</w:t>
      </w:r>
      <w:r>
        <w:rPr>
          <w:spacing w:val="-3"/>
        </w:rPr>
        <w:t xml:space="preserve"> </w:t>
      </w:r>
      <w:r>
        <w:t>affect</w:t>
      </w:r>
      <w:r>
        <w:rPr>
          <w:spacing w:val="-3"/>
        </w:rPr>
        <w:t xml:space="preserve"> </w:t>
      </w:r>
      <w:r>
        <w:t>our</w:t>
      </w:r>
      <w:r>
        <w:rPr>
          <w:spacing w:val="-3"/>
        </w:rPr>
        <w:t xml:space="preserve"> </w:t>
      </w:r>
      <w:r>
        <w:t>budgetary</w:t>
      </w:r>
      <w:r>
        <w:rPr>
          <w:spacing w:val="-3"/>
        </w:rPr>
        <w:t xml:space="preserve"> </w:t>
      </w:r>
      <w:r>
        <w:t>process</w:t>
      </w:r>
      <w:r>
        <w:rPr>
          <w:spacing w:val="-4"/>
        </w:rPr>
        <w:t xml:space="preserve"> </w:t>
      </w:r>
      <w:r>
        <w:t xml:space="preserve">or </w:t>
      </w:r>
      <w:r>
        <w:rPr>
          <w:spacing w:val="-2"/>
        </w:rPr>
        <w:t>operations.</w:t>
      </w:r>
    </w:p>
    <w:p w14:paraId="0DFDB3AE" w14:textId="77777777" w:rsidR="00046465" w:rsidRDefault="008134EB">
      <w:pPr>
        <w:pStyle w:val="BodyText"/>
        <w:spacing w:before="218"/>
        <w:ind w:left="360"/>
      </w:pPr>
      <w:r>
        <w:rPr>
          <w:spacing w:val="-2"/>
        </w:rPr>
        <w:t>Sincerely,</w:t>
      </w:r>
    </w:p>
    <w:p w14:paraId="0DFDB3AF" w14:textId="77777777" w:rsidR="00046465" w:rsidRDefault="008134EB">
      <w:pPr>
        <w:spacing w:before="201"/>
        <w:ind w:left="360"/>
        <w:rPr>
          <w:b/>
        </w:rPr>
      </w:pPr>
      <w:r>
        <w:rPr>
          <w:b/>
          <w:spacing w:val="-2"/>
        </w:rPr>
        <w:t>[signed]</w:t>
      </w:r>
    </w:p>
    <w:p w14:paraId="0DFDB3B0" w14:textId="77777777" w:rsidR="00046465" w:rsidRDefault="008134EB">
      <w:pPr>
        <w:spacing w:before="199"/>
        <w:ind w:left="360" w:right="8364"/>
      </w:pPr>
      <w:r>
        <w:rPr>
          <w:b/>
        </w:rPr>
        <w:t>[Official’s</w:t>
      </w:r>
      <w:r>
        <w:rPr>
          <w:b/>
          <w:spacing w:val="-16"/>
        </w:rPr>
        <w:t xml:space="preserve"> </w:t>
      </w:r>
      <w:r>
        <w:rPr>
          <w:b/>
        </w:rPr>
        <w:t xml:space="preserve">name] [Official’s title] </w:t>
      </w:r>
      <w:r>
        <w:t>XYZ Entity</w:t>
      </w:r>
    </w:p>
    <w:p w14:paraId="0DFDB3B1" w14:textId="77777777" w:rsidR="00046465" w:rsidRDefault="00046465">
      <w:pPr>
        <w:sectPr w:rsidR="00046465">
          <w:headerReference w:type="default" r:id="rId100"/>
          <w:footerReference w:type="default" r:id="rId101"/>
          <w:pgSz w:w="12240" w:h="15840"/>
          <w:pgMar w:top="1600" w:right="720" w:bottom="940" w:left="1080" w:header="721" w:footer="757" w:gutter="0"/>
          <w:cols w:space="720"/>
        </w:sectPr>
      </w:pPr>
    </w:p>
    <w:p w14:paraId="0DFDB3B2" w14:textId="77777777" w:rsidR="00046465" w:rsidRDefault="008134EB">
      <w:pPr>
        <w:pStyle w:val="Heading3"/>
        <w:spacing w:before="240"/>
        <w:rPr>
          <w:u w:val="none"/>
        </w:rPr>
      </w:pPr>
      <w:bookmarkStart w:id="153" w:name="710_D_–_Example_Agreed-Upon_Procedures_R"/>
      <w:bookmarkStart w:id="154" w:name="_bookmark60"/>
      <w:bookmarkEnd w:id="153"/>
      <w:bookmarkEnd w:id="154"/>
      <w:r>
        <w:lastRenderedPageBreak/>
        <w:t>710</w:t>
      </w:r>
      <w:r>
        <w:rPr>
          <w:spacing w:val="-6"/>
        </w:rPr>
        <w:t xml:space="preserve"> </w:t>
      </w:r>
      <w:r>
        <w:t>D</w:t>
      </w:r>
      <w:r>
        <w:rPr>
          <w:spacing w:val="-5"/>
        </w:rPr>
        <w:t xml:space="preserve"> </w:t>
      </w:r>
      <w:r>
        <w:t>–</w:t>
      </w:r>
      <w:r>
        <w:rPr>
          <w:spacing w:val="-5"/>
        </w:rPr>
        <w:t xml:space="preserve"> </w:t>
      </w:r>
      <w:r>
        <w:t>Example</w:t>
      </w:r>
      <w:r>
        <w:rPr>
          <w:spacing w:val="-17"/>
        </w:rPr>
        <w:t xml:space="preserve"> </w:t>
      </w:r>
      <w:r>
        <w:t>Agreed-Upon</w:t>
      </w:r>
      <w:r>
        <w:rPr>
          <w:spacing w:val="-7"/>
        </w:rPr>
        <w:t xml:space="preserve"> </w:t>
      </w:r>
      <w:r>
        <w:t>Procedures</w:t>
      </w:r>
      <w:r>
        <w:rPr>
          <w:spacing w:val="-6"/>
        </w:rPr>
        <w:t xml:space="preserve"> </w:t>
      </w:r>
      <w:r>
        <w:t>Report</w:t>
      </w:r>
      <w:r>
        <w:rPr>
          <w:spacing w:val="-5"/>
        </w:rPr>
        <w:t xml:space="preserve"> </w:t>
      </w:r>
      <w:r>
        <w:t>Where</w:t>
      </w:r>
      <w:r>
        <w:rPr>
          <w:spacing w:val="-6"/>
        </w:rPr>
        <w:t xml:space="preserve"> </w:t>
      </w:r>
      <w:r>
        <w:t>the</w:t>
      </w:r>
      <w:r>
        <w:rPr>
          <w:u w:val="none"/>
        </w:rPr>
        <w:t xml:space="preserve"> </w:t>
      </w:r>
      <w:r>
        <w:t>Engaging Party Is Not the Responsible Party</w:t>
      </w:r>
    </w:p>
    <w:p w14:paraId="0DFDB3B3" w14:textId="77777777" w:rsidR="00046465" w:rsidRDefault="00046465">
      <w:pPr>
        <w:pStyle w:val="BodyText"/>
        <w:spacing w:before="107"/>
        <w:rPr>
          <w:b/>
        </w:rPr>
      </w:pPr>
    </w:p>
    <w:p w14:paraId="0DFDB3B4" w14:textId="77777777" w:rsidR="00046465" w:rsidRDefault="008134EB">
      <w:pPr>
        <w:spacing w:before="1"/>
        <w:ind w:left="360"/>
        <w:rPr>
          <w:b/>
        </w:rPr>
      </w:pPr>
      <w:r>
        <w:rPr>
          <w:b/>
          <w:spacing w:val="-2"/>
        </w:rPr>
        <w:t>[Date]</w:t>
      </w:r>
    </w:p>
    <w:p w14:paraId="0DFDB3B5" w14:textId="77777777" w:rsidR="00046465" w:rsidRDefault="008134EB">
      <w:pPr>
        <w:pStyle w:val="BodyText"/>
        <w:spacing w:before="240"/>
        <w:ind w:left="360"/>
      </w:pPr>
      <w:r>
        <w:t>Management</w:t>
      </w:r>
      <w:r>
        <w:rPr>
          <w:spacing w:val="-8"/>
        </w:rPr>
        <w:t xml:space="preserve"> </w:t>
      </w:r>
      <w:r>
        <w:t>of</w:t>
      </w:r>
      <w:r>
        <w:rPr>
          <w:spacing w:val="-7"/>
        </w:rPr>
        <w:t xml:space="preserve"> </w:t>
      </w:r>
      <w:r>
        <w:t>ABC</w:t>
      </w:r>
      <w:r>
        <w:rPr>
          <w:spacing w:val="-9"/>
        </w:rPr>
        <w:t xml:space="preserve"> </w:t>
      </w:r>
      <w:r>
        <w:rPr>
          <w:spacing w:val="-2"/>
        </w:rPr>
        <w:t>Entity</w:t>
      </w:r>
    </w:p>
    <w:p w14:paraId="0DFDB3B6" w14:textId="77777777" w:rsidR="00046465" w:rsidRDefault="008134EB">
      <w:pPr>
        <w:pStyle w:val="BodyText"/>
        <w:spacing w:before="240"/>
        <w:ind w:left="360" w:right="844"/>
      </w:pPr>
      <w:r>
        <w:t>Subject:</w:t>
      </w:r>
      <w:r>
        <w:rPr>
          <w:spacing w:val="-5"/>
        </w:rPr>
        <w:t xml:space="preserve"> </w:t>
      </w:r>
      <w:r>
        <w:t>Independent</w:t>
      </w:r>
      <w:r>
        <w:rPr>
          <w:spacing w:val="-5"/>
        </w:rPr>
        <w:t xml:space="preserve"> </w:t>
      </w:r>
      <w:r>
        <w:t>Accountant’s</w:t>
      </w:r>
      <w:r>
        <w:rPr>
          <w:spacing w:val="-5"/>
        </w:rPr>
        <w:t xml:space="preserve"> </w:t>
      </w:r>
      <w:r>
        <w:t>Report</w:t>
      </w:r>
      <w:r>
        <w:rPr>
          <w:spacing w:val="-5"/>
        </w:rPr>
        <w:t xml:space="preserve"> </w:t>
      </w:r>
      <w:r>
        <w:t>on</w:t>
      </w:r>
      <w:r>
        <w:rPr>
          <w:spacing w:val="-5"/>
        </w:rPr>
        <w:t xml:space="preserve"> </w:t>
      </w:r>
      <w:r>
        <w:t>Applying</w:t>
      </w:r>
      <w:r>
        <w:rPr>
          <w:spacing w:val="-5"/>
        </w:rPr>
        <w:t xml:space="preserve"> </w:t>
      </w:r>
      <w:r>
        <w:t>Agreed-Upon</w:t>
      </w:r>
      <w:r>
        <w:rPr>
          <w:spacing w:val="-5"/>
        </w:rPr>
        <w:t xml:space="preserve"> </w:t>
      </w:r>
      <w:r>
        <w:t>Procedures:</w:t>
      </w:r>
      <w:r>
        <w:rPr>
          <w:spacing w:val="-5"/>
        </w:rPr>
        <w:t xml:space="preserve"> </w:t>
      </w:r>
      <w:r>
        <w:t>Count</w:t>
      </w:r>
      <w:r>
        <w:rPr>
          <w:spacing w:val="-5"/>
        </w:rPr>
        <w:t xml:space="preserve"> </w:t>
      </w:r>
      <w:r>
        <w:t>of Cash and Related Items of XYZ Entity</w:t>
      </w:r>
    </w:p>
    <w:p w14:paraId="0DFDB3B7" w14:textId="77777777" w:rsidR="00046465" w:rsidRDefault="008134EB">
      <w:pPr>
        <w:pStyle w:val="BodyText"/>
        <w:spacing w:before="239"/>
        <w:ind w:left="360"/>
      </w:pPr>
      <w:r>
        <w:t>Dear</w:t>
      </w:r>
      <w:r>
        <w:rPr>
          <w:spacing w:val="-10"/>
        </w:rPr>
        <w:t xml:space="preserve"> </w:t>
      </w:r>
      <w:r>
        <w:t>Management</w:t>
      </w:r>
      <w:r>
        <w:rPr>
          <w:spacing w:val="-10"/>
        </w:rPr>
        <w:t xml:space="preserve"> </w:t>
      </w:r>
      <w:r>
        <w:rPr>
          <w:spacing w:val="-2"/>
        </w:rPr>
        <w:t>Official:</w:t>
      </w:r>
    </w:p>
    <w:p w14:paraId="0DFDB3B8" w14:textId="77777777" w:rsidR="00046465" w:rsidRDefault="008134EB">
      <w:pPr>
        <w:pStyle w:val="BodyText"/>
        <w:spacing w:before="241"/>
        <w:ind w:left="359" w:right="785"/>
      </w:pPr>
      <w:r>
        <w:t>We have performed the procedures described in the enclosure to this report on the count of cash</w:t>
      </w:r>
      <w:r>
        <w:rPr>
          <w:spacing w:val="-3"/>
        </w:rPr>
        <w:t xml:space="preserve"> </w:t>
      </w:r>
      <w:r>
        <w:t>and</w:t>
      </w:r>
      <w:r>
        <w:rPr>
          <w:spacing w:val="-3"/>
        </w:rPr>
        <w:t xml:space="preserve"> </w:t>
      </w:r>
      <w:r>
        <w:t>cash-related</w:t>
      </w:r>
      <w:r>
        <w:rPr>
          <w:spacing w:val="-3"/>
        </w:rPr>
        <w:t xml:space="preserve"> </w:t>
      </w:r>
      <w:r>
        <w:t>items</w:t>
      </w:r>
      <w:r>
        <w:rPr>
          <w:spacing w:val="-3"/>
        </w:rPr>
        <w:t xml:space="preserve"> </w:t>
      </w:r>
      <w:r>
        <w:t>of</w:t>
      </w:r>
      <w:r>
        <w:rPr>
          <w:spacing w:val="-3"/>
        </w:rPr>
        <w:t xml:space="preserve"> </w:t>
      </w:r>
      <w:r>
        <w:t>XYZ</w:t>
      </w:r>
      <w:r>
        <w:rPr>
          <w:spacing w:val="-2"/>
        </w:rPr>
        <w:t xml:space="preserve"> </w:t>
      </w:r>
      <w:r>
        <w:t>Entity</w:t>
      </w:r>
      <w:r>
        <w:rPr>
          <w:spacing w:val="-3"/>
        </w:rPr>
        <w:t xml:space="preserve"> </w:t>
      </w:r>
      <w:r>
        <w:t>at</w:t>
      </w:r>
      <w:r>
        <w:rPr>
          <w:spacing w:val="-3"/>
        </w:rPr>
        <w:t xml:space="preserve"> </w:t>
      </w:r>
      <w:r>
        <w:t>September</w:t>
      </w:r>
      <w:r>
        <w:rPr>
          <w:spacing w:val="-3"/>
        </w:rPr>
        <w:t xml:space="preserve"> </w:t>
      </w:r>
      <w:r>
        <w:t>30,</w:t>
      </w:r>
      <w:r>
        <w:rPr>
          <w:spacing w:val="-3"/>
        </w:rPr>
        <w:t xml:space="preserve"> </w:t>
      </w:r>
      <w:r>
        <w:t>20XX,</w:t>
      </w:r>
      <w:r>
        <w:rPr>
          <w:spacing w:val="-3"/>
        </w:rPr>
        <w:t xml:space="preserve"> </w:t>
      </w:r>
      <w:r>
        <w:t>with</w:t>
      </w:r>
      <w:r>
        <w:rPr>
          <w:spacing w:val="-3"/>
        </w:rPr>
        <w:t xml:space="preserve"> </w:t>
      </w:r>
      <w:r>
        <w:t>which</w:t>
      </w:r>
      <w:r>
        <w:rPr>
          <w:spacing w:val="-3"/>
        </w:rPr>
        <w:t xml:space="preserve"> </w:t>
      </w:r>
      <w:r>
        <w:t>you</w:t>
      </w:r>
      <w:r>
        <w:rPr>
          <w:spacing w:val="-3"/>
        </w:rPr>
        <w:t xml:space="preserve"> </w:t>
      </w:r>
      <w:r>
        <w:t>agreed.</w:t>
      </w:r>
      <w:r>
        <w:rPr>
          <w:spacing w:val="-3"/>
        </w:rPr>
        <w:t xml:space="preserve"> </w:t>
      </w:r>
      <w:r>
        <w:t>XYZ Entity management is responsible for the count of its cash and cash-related items at</w:t>
      </w:r>
      <w:r>
        <w:rPr>
          <w:spacing w:val="40"/>
        </w:rPr>
        <w:t xml:space="preserve"> </w:t>
      </w:r>
      <w:r>
        <w:t>September</w:t>
      </w:r>
      <w:r>
        <w:rPr>
          <w:spacing w:val="-1"/>
        </w:rPr>
        <w:t xml:space="preserve"> </w:t>
      </w:r>
      <w:r>
        <w:t>30,</w:t>
      </w:r>
      <w:r>
        <w:rPr>
          <w:spacing w:val="-2"/>
        </w:rPr>
        <w:t xml:space="preserve"> </w:t>
      </w:r>
      <w:r>
        <w:t>20XX.</w:t>
      </w:r>
      <w:r>
        <w:rPr>
          <w:spacing w:val="-2"/>
        </w:rPr>
        <w:t xml:space="preserve"> </w:t>
      </w:r>
      <w:r>
        <w:t>ABC</w:t>
      </w:r>
      <w:r>
        <w:rPr>
          <w:spacing w:val="-3"/>
        </w:rPr>
        <w:t xml:space="preserve"> </w:t>
      </w:r>
      <w:r>
        <w:t>Entity</w:t>
      </w:r>
      <w:r>
        <w:rPr>
          <w:spacing w:val="-2"/>
        </w:rPr>
        <w:t xml:space="preserve"> </w:t>
      </w:r>
      <w:r>
        <w:t>acknowledged</w:t>
      </w:r>
      <w:r>
        <w:rPr>
          <w:spacing w:val="-3"/>
        </w:rPr>
        <w:t xml:space="preserve"> </w:t>
      </w:r>
      <w:r>
        <w:t>that</w:t>
      </w:r>
      <w:r>
        <w:rPr>
          <w:spacing w:val="-2"/>
        </w:rPr>
        <w:t xml:space="preserve"> </w:t>
      </w:r>
      <w:r>
        <w:t>the</w:t>
      </w:r>
      <w:r>
        <w:rPr>
          <w:spacing w:val="-2"/>
        </w:rPr>
        <w:t xml:space="preserve"> </w:t>
      </w:r>
      <w:r>
        <w:t>procedures</w:t>
      </w:r>
      <w:r>
        <w:rPr>
          <w:spacing w:val="-2"/>
        </w:rPr>
        <w:t xml:space="preserve"> </w:t>
      </w:r>
      <w:r>
        <w:t>performed</w:t>
      </w:r>
      <w:r>
        <w:rPr>
          <w:spacing w:val="-2"/>
        </w:rPr>
        <w:t xml:space="preserve"> </w:t>
      </w:r>
      <w:r>
        <w:t>are</w:t>
      </w:r>
      <w:r>
        <w:rPr>
          <w:spacing w:val="-2"/>
        </w:rPr>
        <w:t xml:space="preserve"> </w:t>
      </w:r>
      <w:r>
        <w:t>appropriate to meet the intended purpose of the engagement. We performed these procedures solely to meet your needs for an independent count of cash and cash-related items of XYZ Entity at September</w:t>
      </w:r>
      <w:r>
        <w:rPr>
          <w:spacing w:val="-2"/>
        </w:rPr>
        <w:t xml:space="preserve"> </w:t>
      </w:r>
      <w:r>
        <w:t>30,</w:t>
      </w:r>
      <w:r>
        <w:rPr>
          <w:spacing w:val="-3"/>
        </w:rPr>
        <w:t xml:space="preserve"> </w:t>
      </w:r>
      <w:r>
        <w:t>20XX.</w:t>
      </w:r>
      <w:r>
        <w:rPr>
          <w:spacing w:val="-3"/>
        </w:rPr>
        <w:t xml:space="preserve"> </w:t>
      </w:r>
      <w:r>
        <w:t>Consequently,</w:t>
      </w:r>
      <w:r>
        <w:rPr>
          <w:spacing w:val="-3"/>
        </w:rPr>
        <w:t xml:space="preserve"> </w:t>
      </w:r>
      <w:r>
        <w:t>we</w:t>
      </w:r>
      <w:r>
        <w:rPr>
          <w:spacing w:val="-3"/>
        </w:rPr>
        <w:t xml:space="preserve"> </w:t>
      </w:r>
      <w:r>
        <w:t>make</w:t>
      </w:r>
      <w:r>
        <w:rPr>
          <w:spacing w:val="-3"/>
        </w:rPr>
        <w:t xml:space="preserve"> </w:t>
      </w:r>
      <w:r>
        <w:t>no</w:t>
      </w:r>
      <w:r>
        <w:rPr>
          <w:spacing w:val="-3"/>
        </w:rPr>
        <w:t xml:space="preserve"> </w:t>
      </w:r>
      <w:r>
        <w:t>representation</w:t>
      </w:r>
      <w:r>
        <w:rPr>
          <w:spacing w:val="-3"/>
        </w:rPr>
        <w:t xml:space="preserve"> </w:t>
      </w:r>
      <w:r>
        <w:t>regarding</w:t>
      </w:r>
      <w:r>
        <w:rPr>
          <w:spacing w:val="-3"/>
        </w:rPr>
        <w:t xml:space="preserve"> </w:t>
      </w:r>
      <w:r>
        <w:t>the</w:t>
      </w:r>
      <w:r>
        <w:rPr>
          <w:spacing w:val="-3"/>
        </w:rPr>
        <w:t xml:space="preserve"> </w:t>
      </w:r>
      <w:r>
        <w:t>appropriateness of the procedures described in this report either for the purpose for which this report has been requested or for any other purpose.</w:t>
      </w:r>
    </w:p>
    <w:p w14:paraId="0DFDB3B9" w14:textId="77777777" w:rsidR="00046465" w:rsidRDefault="008134EB">
      <w:pPr>
        <w:pStyle w:val="BodyText"/>
        <w:spacing w:before="239"/>
        <w:ind w:left="359" w:right="749"/>
      </w:pPr>
      <w:r>
        <w:t>We</w:t>
      </w:r>
      <w:r>
        <w:rPr>
          <w:spacing w:val="-4"/>
        </w:rPr>
        <w:t xml:space="preserve"> </w:t>
      </w:r>
      <w:r>
        <w:t>conducted</w:t>
      </w:r>
      <w:r>
        <w:rPr>
          <w:spacing w:val="-4"/>
        </w:rPr>
        <w:t xml:space="preserve"> </w:t>
      </w:r>
      <w:r>
        <w:t>the</w:t>
      </w:r>
      <w:r>
        <w:rPr>
          <w:spacing w:val="-4"/>
        </w:rPr>
        <w:t xml:space="preserve"> </w:t>
      </w:r>
      <w:r>
        <w:t>engagement</w:t>
      </w:r>
      <w:r>
        <w:rPr>
          <w:spacing w:val="-4"/>
        </w:rPr>
        <w:t xml:space="preserve"> </w:t>
      </w:r>
      <w:r>
        <w:t>in</w:t>
      </w:r>
      <w:r>
        <w:rPr>
          <w:spacing w:val="-4"/>
        </w:rPr>
        <w:t xml:space="preserve"> </w:t>
      </w:r>
      <w:r>
        <w:t>accordance</w:t>
      </w:r>
      <w:r>
        <w:rPr>
          <w:spacing w:val="-5"/>
        </w:rPr>
        <w:t xml:space="preserve"> </w:t>
      </w:r>
      <w:r>
        <w:t>with</w:t>
      </w:r>
      <w:r>
        <w:rPr>
          <w:spacing w:val="-4"/>
        </w:rPr>
        <w:t xml:space="preserve"> </w:t>
      </w:r>
      <w:r>
        <w:t>U.S</w:t>
      </w:r>
      <w:r>
        <w:rPr>
          <w:spacing w:val="-4"/>
        </w:rPr>
        <w:t xml:space="preserve"> </w:t>
      </w:r>
      <w:r>
        <w:t>generally</w:t>
      </w:r>
      <w:r>
        <w:rPr>
          <w:spacing w:val="-4"/>
        </w:rPr>
        <w:t xml:space="preserve"> </w:t>
      </w:r>
      <w:r>
        <w:t>accepted</w:t>
      </w:r>
      <w:r>
        <w:rPr>
          <w:spacing w:val="-4"/>
        </w:rPr>
        <w:t xml:space="preserve"> </w:t>
      </w:r>
      <w:r>
        <w:t>government</w:t>
      </w:r>
      <w:r>
        <w:rPr>
          <w:spacing w:val="-4"/>
        </w:rPr>
        <w:t xml:space="preserve"> </w:t>
      </w:r>
      <w:r>
        <w:t>auditing standards, which incorporate attestation standards established by the American Institute of Certified Public Accountants. We were not engaged to perform, and did not perform, an examination or review, the objective of which would have been to express an opinion or conclusion, respectively, on the amount of cash on hand. Accordingly, we do not express such an opinion or conclusion. Had we performed additional procedures, other matters might have come to our attention that we would have reported to you.</w:t>
      </w:r>
    </w:p>
    <w:p w14:paraId="0DFDB3BA" w14:textId="77777777" w:rsidR="00046465" w:rsidRDefault="008134EB">
      <w:pPr>
        <w:pStyle w:val="BodyText"/>
        <w:spacing w:before="241"/>
        <w:ind w:left="359" w:right="762"/>
      </w:pPr>
      <w:r>
        <w:t>The</w:t>
      </w:r>
      <w:r>
        <w:rPr>
          <w:spacing w:val="-3"/>
        </w:rPr>
        <w:t xml:space="preserve"> </w:t>
      </w:r>
      <w:r>
        <w:t>procedures</w:t>
      </w:r>
      <w:r>
        <w:rPr>
          <w:spacing w:val="-3"/>
        </w:rPr>
        <w:t xml:space="preserve"> </w:t>
      </w:r>
      <w:r>
        <w:t>we</w:t>
      </w:r>
      <w:r>
        <w:rPr>
          <w:spacing w:val="-3"/>
        </w:rPr>
        <w:t xml:space="preserve"> </w:t>
      </w:r>
      <w:r>
        <w:t>agreed</w:t>
      </w:r>
      <w:r>
        <w:rPr>
          <w:spacing w:val="-3"/>
        </w:rPr>
        <w:t xml:space="preserve"> </w:t>
      </w:r>
      <w:r>
        <w:t>to</w:t>
      </w:r>
      <w:r>
        <w:rPr>
          <w:spacing w:val="-3"/>
        </w:rPr>
        <w:t xml:space="preserve"> </w:t>
      </w:r>
      <w:r>
        <w:t>perform</w:t>
      </w:r>
      <w:r>
        <w:rPr>
          <w:spacing w:val="-4"/>
        </w:rPr>
        <w:t xml:space="preserve"> </w:t>
      </w:r>
      <w:r>
        <w:t>consist</w:t>
      </w:r>
      <w:r>
        <w:rPr>
          <w:spacing w:val="-3"/>
        </w:rPr>
        <w:t xml:space="preserve"> </w:t>
      </w:r>
      <w:r>
        <w:t>of</w:t>
      </w:r>
      <w:r>
        <w:rPr>
          <w:spacing w:val="-3"/>
        </w:rPr>
        <w:t xml:space="preserve"> </w:t>
      </w:r>
      <w:r>
        <w:t>counting</w:t>
      </w:r>
      <w:r>
        <w:rPr>
          <w:spacing w:val="-3"/>
        </w:rPr>
        <w:t xml:space="preserve"> </w:t>
      </w:r>
      <w:r>
        <w:t>amounts</w:t>
      </w:r>
      <w:r>
        <w:rPr>
          <w:spacing w:val="-3"/>
        </w:rPr>
        <w:t xml:space="preserve"> </w:t>
      </w:r>
      <w:r>
        <w:t>for</w:t>
      </w:r>
      <w:r>
        <w:rPr>
          <w:spacing w:val="-3"/>
        </w:rPr>
        <w:t xml:space="preserve"> </w:t>
      </w:r>
      <w:r>
        <w:t>cash</w:t>
      </w:r>
      <w:r>
        <w:rPr>
          <w:spacing w:val="-3"/>
        </w:rPr>
        <w:t xml:space="preserve"> </w:t>
      </w:r>
      <w:r>
        <w:t>and</w:t>
      </w:r>
      <w:r>
        <w:rPr>
          <w:spacing w:val="-3"/>
        </w:rPr>
        <w:t xml:space="preserve"> </w:t>
      </w:r>
      <w:r>
        <w:t>related</w:t>
      </w:r>
      <w:r>
        <w:rPr>
          <w:spacing w:val="-3"/>
        </w:rPr>
        <w:t xml:space="preserve"> </w:t>
      </w:r>
      <w:r>
        <w:t>receipts and comparing combined totals to the authorized amounts. These procedures may not address all the items of interest to a user of the report and may not meet the needs of all users of the report. As such, users are responsible for determining whether these procedures are appropriate for their purposes. The enclosure describes the agreed-upon procedures and our findings. We completed our agreed-upon procedures on [date of completion].</w:t>
      </w:r>
    </w:p>
    <w:p w14:paraId="0DFDB3BB" w14:textId="77777777" w:rsidR="00046465" w:rsidRDefault="008134EB">
      <w:pPr>
        <w:pStyle w:val="BodyText"/>
        <w:spacing w:before="240"/>
        <w:ind w:left="359" w:right="844"/>
      </w:pPr>
      <w:r>
        <w:t>We</w:t>
      </w:r>
      <w:r>
        <w:rPr>
          <w:spacing w:val="-3"/>
        </w:rPr>
        <w:t xml:space="preserve"> </w:t>
      </w:r>
      <w:r>
        <w:t>are</w:t>
      </w:r>
      <w:r>
        <w:rPr>
          <w:spacing w:val="-3"/>
        </w:rPr>
        <w:t xml:space="preserve"> </w:t>
      </w:r>
      <w:r>
        <w:t>required</w:t>
      </w:r>
      <w:r>
        <w:rPr>
          <w:spacing w:val="-3"/>
        </w:rPr>
        <w:t xml:space="preserve"> </w:t>
      </w:r>
      <w:r>
        <w:t>to</w:t>
      </w:r>
      <w:r>
        <w:rPr>
          <w:spacing w:val="-3"/>
        </w:rPr>
        <w:t xml:space="preserve"> </w:t>
      </w:r>
      <w:r>
        <w:t>be</w:t>
      </w:r>
      <w:r>
        <w:rPr>
          <w:spacing w:val="-3"/>
        </w:rPr>
        <w:t xml:space="preserve"> </w:t>
      </w:r>
      <w:r>
        <w:t>independent</w:t>
      </w:r>
      <w:r>
        <w:rPr>
          <w:spacing w:val="-3"/>
        </w:rPr>
        <w:t xml:space="preserve"> </w:t>
      </w:r>
      <w:r>
        <w:t>of</w:t>
      </w:r>
      <w:r>
        <w:rPr>
          <w:spacing w:val="-3"/>
        </w:rPr>
        <w:t xml:space="preserve"> </w:t>
      </w:r>
      <w:r>
        <w:t>XYZ</w:t>
      </w:r>
      <w:r>
        <w:rPr>
          <w:spacing w:val="-3"/>
        </w:rPr>
        <w:t xml:space="preserve"> </w:t>
      </w:r>
      <w:r>
        <w:t>Entity</w:t>
      </w:r>
      <w:r>
        <w:rPr>
          <w:spacing w:val="-3"/>
        </w:rPr>
        <w:t xml:space="preserve"> </w:t>
      </w:r>
      <w:r>
        <w:t>and</w:t>
      </w:r>
      <w:r>
        <w:rPr>
          <w:spacing w:val="-3"/>
        </w:rPr>
        <w:t xml:space="preserve"> </w:t>
      </w:r>
      <w:r>
        <w:t>to</w:t>
      </w:r>
      <w:r>
        <w:rPr>
          <w:spacing w:val="-3"/>
        </w:rPr>
        <w:t xml:space="preserve"> </w:t>
      </w:r>
      <w:r>
        <w:t>meet</w:t>
      </w:r>
      <w:r>
        <w:rPr>
          <w:spacing w:val="-3"/>
        </w:rPr>
        <w:t xml:space="preserve"> </w:t>
      </w:r>
      <w:r>
        <w:t>our</w:t>
      </w:r>
      <w:r>
        <w:rPr>
          <w:spacing w:val="-3"/>
        </w:rPr>
        <w:t xml:space="preserve"> </w:t>
      </w:r>
      <w:r>
        <w:t>other</w:t>
      </w:r>
      <w:r>
        <w:rPr>
          <w:spacing w:val="-3"/>
        </w:rPr>
        <w:t xml:space="preserve"> </w:t>
      </w:r>
      <w:r>
        <w:t>ethical</w:t>
      </w:r>
      <w:r>
        <w:rPr>
          <w:spacing w:val="-3"/>
        </w:rPr>
        <w:t xml:space="preserve"> </w:t>
      </w:r>
      <w:r>
        <w:t xml:space="preserve">responsibilities, in accordance with the relevant ethical requirements related to our agreed-upon procedures </w:t>
      </w:r>
      <w:r>
        <w:rPr>
          <w:spacing w:val="-2"/>
        </w:rPr>
        <w:t>engagement.</w:t>
      </w:r>
    </w:p>
    <w:p w14:paraId="0DFDB3BC" w14:textId="77777777" w:rsidR="00046465" w:rsidRDefault="008134EB">
      <w:pPr>
        <w:pStyle w:val="BodyText"/>
        <w:spacing w:before="239"/>
        <w:ind w:left="359" w:right="749"/>
      </w:pPr>
      <w:r>
        <w:t>We</w:t>
      </w:r>
      <w:r>
        <w:rPr>
          <w:spacing w:val="-3"/>
        </w:rPr>
        <w:t xml:space="preserve"> </w:t>
      </w:r>
      <w:r>
        <w:t>requested</w:t>
      </w:r>
      <w:r>
        <w:rPr>
          <w:spacing w:val="-3"/>
        </w:rPr>
        <w:t xml:space="preserve"> </w:t>
      </w:r>
      <w:r>
        <w:t>comments</w:t>
      </w:r>
      <w:r>
        <w:rPr>
          <w:spacing w:val="-3"/>
        </w:rPr>
        <w:t xml:space="preserve"> </w:t>
      </w:r>
      <w:r>
        <w:t>on</w:t>
      </w:r>
      <w:r>
        <w:rPr>
          <w:spacing w:val="-3"/>
        </w:rPr>
        <w:t xml:space="preserve"> </w:t>
      </w:r>
      <w:r>
        <w:t>a</w:t>
      </w:r>
      <w:r>
        <w:rPr>
          <w:spacing w:val="-3"/>
        </w:rPr>
        <w:t xml:space="preserve"> </w:t>
      </w:r>
      <w:r>
        <w:t>draft</w:t>
      </w:r>
      <w:r>
        <w:rPr>
          <w:spacing w:val="-4"/>
        </w:rPr>
        <w:t xml:space="preserve"> </w:t>
      </w:r>
      <w:r>
        <w:t>of</w:t>
      </w:r>
      <w:r>
        <w:rPr>
          <w:spacing w:val="-3"/>
        </w:rPr>
        <w:t xml:space="preserve"> </w:t>
      </w:r>
      <w:r>
        <w:t>this</w:t>
      </w:r>
      <w:r>
        <w:rPr>
          <w:spacing w:val="-3"/>
        </w:rPr>
        <w:t xml:space="preserve"> </w:t>
      </w:r>
      <w:r>
        <w:t>report</w:t>
      </w:r>
      <w:r>
        <w:rPr>
          <w:spacing w:val="-4"/>
        </w:rPr>
        <w:t xml:space="preserve"> </w:t>
      </w:r>
      <w:r>
        <w:t>from</w:t>
      </w:r>
      <w:r>
        <w:rPr>
          <w:spacing w:val="-4"/>
        </w:rPr>
        <w:t xml:space="preserve"> </w:t>
      </w:r>
      <w:r>
        <w:t>XYZ</w:t>
      </w:r>
      <w:r>
        <w:rPr>
          <w:spacing w:val="-3"/>
        </w:rPr>
        <w:t xml:space="preserve"> </w:t>
      </w:r>
      <w:r>
        <w:t>Entity</w:t>
      </w:r>
      <w:r>
        <w:rPr>
          <w:spacing w:val="-2"/>
        </w:rPr>
        <w:t xml:space="preserve"> </w:t>
      </w:r>
      <w:r>
        <w:t>representatives.</w:t>
      </w:r>
      <w:r>
        <w:rPr>
          <w:spacing w:val="-3"/>
        </w:rPr>
        <w:t xml:space="preserve"> </w:t>
      </w:r>
      <w:r>
        <w:t>They</w:t>
      </w:r>
      <w:r>
        <w:rPr>
          <w:spacing w:val="-3"/>
        </w:rPr>
        <w:t xml:space="preserve"> </w:t>
      </w:r>
      <w:r>
        <w:t>agreed with the results presented in this report and had no comments.</w:t>
      </w:r>
    </w:p>
    <w:p w14:paraId="0DFDB3BD" w14:textId="77777777" w:rsidR="00046465" w:rsidRDefault="008134EB">
      <w:pPr>
        <w:pStyle w:val="BodyText"/>
        <w:spacing w:before="241"/>
        <w:ind w:left="360" w:right="844"/>
      </w:pPr>
      <w:r>
        <w:t>The purpose of this report is solely to describe agreed-upon procedures related to an independent</w:t>
      </w:r>
      <w:r>
        <w:rPr>
          <w:spacing w:val="-4"/>
        </w:rPr>
        <w:t xml:space="preserve"> </w:t>
      </w:r>
      <w:r>
        <w:t>count</w:t>
      </w:r>
      <w:r>
        <w:rPr>
          <w:spacing w:val="-3"/>
        </w:rPr>
        <w:t xml:space="preserve"> </w:t>
      </w:r>
      <w:r>
        <w:t>of</w:t>
      </w:r>
      <w:r>
        <w:rPr>
          <w:spacing w:val="-3"/>
        </w:rPr>
        <w:t xml:space="preserve"> </w:t>
      </w:r>
      <w:r>
        <w:t>the</w:t>
      </w:r>
      <w:r>
        <w:rPr>
          <w:spacing w:val="-4"/>
        </w:rPr>
        <w:t xml:space="preserve"> </w:t>
      </w:r>
      <w:r>
        <w:t>cash</w:t>
      </w:r>
      <w:r>
        <w:rPr>
          <w:spacing w:val="-3"/>
        </w:rPr>
        <w:t xml:space="preserve"> </w:t>
      </w:r>
      <w:r>
        <w:t>and</w:t>
      </w:r>
      <w:r>
        <w:rPr>
          <w:spacing w:val="-3"/>
        </w:rPr>
        <w:t xml:space="preserve"> </w:t>
      </w:r>
      <w:r>
        <w:t>cash-related</w:t>
      </w:r>
      <w:r>
        <w:rPr>
          <w:spacing w:val="-3"/>
        </w:rPr>
        <w:t xml:space="preserve"> </w:t>
      </w:r>
      <w:r>
        <w:t>items</w:t>
      </w:r>
      <w:r>
        <w:rPr>
          <w:spacing w:val="-3"/>
        </w:rPr>
        <w:t xml:space="preserve"> </w:t>
      </w:r>
      <w:r>
        <w:t>of</w:t>
      </w:r>
      <w:r>
        <w:rPr>
          <w:spacing w:val="-3"/>
        </w:rPr>
        <w:t xml:space="preserve"> </w:t>
      </w:r>
      <w:r>
        <w:t>XYZ</w:t>
      </w:r>
      <w:r>
        <w:rPr>
          <w:spacing w:val="-2"/>
        </w:rPr>
        <w:t xml:space="preserve"> </w:t>
      </w:r>
      <w:r>
        <w:t>Entity</w:t>
      </w:r>
      <w:r>
        <w:rPr>
          <w:spacing w:val="-3"/>
        </w:rPr>
        <w:t xml:space="preserve"> </w:t>
      </w:r>
      <w:r>
        <w:t>at</w:t>
      </w:r>
      <w:r>
        <w:rPr>
          <w:spacing w:val="-3"/>
        </w:rPr>
        <w:t xml:space="preserve"> </w:t>
      </w:r>
      <w:r>
        <w:t>September</w:t>
      </w:r>
      <w:r>
        <w:rPr>
          <w:spacing w:val="-3"/>
        </w:rPr>
        <w:t xml:space="preserve"> </w:t>
      </w:r>
      <w:r>
        <w:t>30,</w:t>
      </w:r>
      <w:r>
        <w:rPr>
          <w:spacing w:val="-3"/>
        </w:rPr>
        <w:t xml:space="preserve"> </w:t>
      </w:r>
      <w:r>
        <w:t>20XX, and</w:t>
      </w:r>
      <w:r>
        <w:rPr>
          <w:spacing w:val="-3"/>
        </w:rPr>
        <w:t xml:space="preserve"> </w:t>
      </w:r>
      <w:r>
        <w:t>the</w:t>
      </w:r>
      <w:r>
        <w:rPr>
          <w:spacing w:val="-3"/>
        </w:rPr>
        <w:t xml:space="preserve"> </w:t>
      </w:r>
      <w:r>
        <w:t>report</w:t>
      </w:r>
      <w:r>
        <w:rPr>
          <w:spacing w:val="-3"/>
        </w:rPr>
        <w:t xml:space="preserve"> </w:t>
      </w:r>
      <w:r>
        <w:t>is</w:t>
      </w:r>
      <w:r>
        <w:rPr>
          <w:spacing w:val="-3"/>
        </w:rPr>
        <w:t xml:space="preserve"> </w:t>
      </w:r>
      <w:r>
        <w:t>not</w:t>
      </w:r>
      <w:r>
        <w:rPr>
          <w:spacing w:val="-3"/>
        </w:rPr>
        <w:t xml:space="preserve"> </w:t>
      </w:r>
      <w:r>
        <w:t>suitable</w:t>
      </w:r>
      <w:r>
        <w:rPr>
          <w:spacing w:val="-3"/>
        </w:rPr>
        <w:t xml:space="preserve"> </w:t>
      </w:r>
      <w:r>
        <w:t>for</w:t>
      </w:r>
      <w:r>
        <w:rPr>
          <w:spacing w:val="-3"/>
        </w:rPr>
        <w:t xml:space="preserve"> </w:t>
      </w:r>
      <w:r>
        <w:t>any</w:t>
      </w:r>
      <w:r>
        <w:rPr>
          <w:spacing w:val="-4"/>
        </w:rPr>
        <w:t xml:space="preserve"> </w:t>
      </w:r>
      <w:r>
        <w:t>other</w:t>
      </w:r>
      <w:r>
        <w:rPr>
          <w:spacing w:val="-3"/>
        </w:rPr>
        <w:t xml:space="preserve"> </w:t>
      </w:r>
      <w:r>
        <w:t>purpose.</w:t>
      </w:r>
      <w:r>
        <w:rPr>
          <w:spacing w:val="-3"/>
        </w:rPr>
        <w:t xml:space="preserve"> </w:t>
      </w:r>
      <w:r>
        <w:t>However,</w:t>
      </w:r>
      <w:r>
        <w:rPr>
          <w:spacing w:val="-3"/>
        </w:rPr>
        <w:t xml:space="preserve"> </w:t>
      </w:r>
      <w:r>
        <w:t>this</w:t>
      </w:r>
      <w:r>
        <w:rPr>
          <w:spacing w:val="-3"/>
        </w:rPr>
        <w:t xml:space="preserve"> </w:t>
      </w:r>
      <w:r>
        <w:t>report</w:t>
      </w:r>
      <w:r>
        <w:rPr>
          <w:spacing w:val="-3"/>
        </w:rPr>
        <w:t xml:space="preserve"> </w:t>
      </w:r>
      <w:r>
        <w:t>is</w:t>
      </w:r>
      <w:r>
        <w:rPr>
          <w:spacing w:val="-3"/>
        </w:rPr>
        <w:t xml:space="preserve"> </w:t>
      </w:r>
      <w:r>
        <w:t>a</w:t>
      </w:r>
      <w:r>
        <w:rPr>
          <w:spacing w:val="-3"/>
        </w:rPr>
        <w:t xml:space="preserve"> </w:t>
      </w:r>
      <w:r>
        <w:t>matter</w:t>
      </w:r>
      <w:r>
        <w:rPr>
          <w:spacing w:val="-3"/>
        </w:rPr>
        <w:t xml:space="preserve"> </w:t>
      </w:r>
      <w:r>
        <w:t>of</w:t>
      </w:r>
      <w:r>
        <w:rPr>
          <w:spacing w:val="-3"/>
        </w:rPr>
        <w:t xml:space="preserve"> </w:t>
      </w:r>
      <w:r>
        <w:t xml:space="preserve">public record, and its distribution is not limited. The report is available at no charge at </w:t>
      </w:r>
      <w:r>
        <w:rPr>
          <w:b/>
        </w:rPr>
        <w:t>[website]</w:t>
      </w:r>
      <w:r>
        <w:t>.</w:t>
      </w:r>
    </w:p>
    <w:p w14:paraId="0DFDB3BE" w14:textId="77777777" w:rsidR="00046465" w:rsidRDefault="00046465">
      <w:pPr>
        <w:pStyle w:val="BodyText"/>
        <w:sectPr w:rsidR="00046465">
          <w:headerReference w:type="default" r:id="rId102"/>
          <w:footerReference w:type="default" r:id="rId103"/>
          <w:pgSz w:w="12240" w:h="15840"/>
          <w:pgMar w:top="1600" w:right="720" w:bottom="940" w:left="1080" w:header="721" w:footer="757" w:gutter="0"/>
          <w:cols w:space="720"/>
        </w:sectPr>
      </w:pPr>
    </w:p>
    <w:p w14:paraId="0DFDB3BF" w14:textId="77777777" w:rsidR="00046465" w:rsidRDefault="008134EB">
      <w:pPr>
        <w:spacing w:before="121" w:line="468" w:lineRule="auto"/>
        <w:ind w:left="359" w:right="1917"/>
      </w:pPr>
      <w:r>
        <w:lastRenderedPageBreak/>
        <w:t>If</w:t>
      </w:r>
      <w:r>
        <w:rPr>
          <w:spacing w:val="-4"/>
        </w:rPr>
        <w:t xml:space="preserve"> </w:t>
      </w:r>
      <w:r>
        <w:t>you</w:t>
      </w:r>
      <w:r>
        <w:rPr>
          <w:spacing w:val="-4"/>
        </w:rPr>
        <w:t xml:space="preserve"> </w:t>
      </w:r>
      <w:r>
        <w:t>have</w:t>
      </w:r>
      <w:r>
        <w:rPr>
          <w:spacing w:val="-5"/>
        </w:rPr>
        <w:t xml:space="preserve"> </w:t>
      </w:r>
      <w:r>
        <w:t>any</w:t>
      </w:r>
      <w:r>
        <w:rPr>
          <w:spacing w:val="-4"/>
        </w:rPr>
        <w:t xml:space="preserve"> </w:t>
      </w:r>
      <w:r>
        <w:t>questions,</w:t>
      </w:r>
      <w:r>
        <w:rPr>
          <w:spacing w:val="-4"/>
        </w:rPr>
        <w:t xml:space="preserve"> </w:t>
      </w:r>
      <w:r>
        <w:t>please</w:t>
      </w:r>
      <w:r>
        <w:rPr>
          <w:spacing w:val="-5"/>
        </w:rPr>
        <w:t xml:space="preserve"> </w:t>
      </w:r>
      <w:r>
        <w:t>call</w:t>
      </w:r>
      <w:r>
        <w:rPr>
          <w:spacing w:val="-4"/>
        </w:rPr>
        <w:t xml:space="preserve"> </w:t>
      </w:r>
      <w:r>
        <w:rPr>
          <w:b/>
        </w:rPr>
        <w:t>[name,</w:t>
      </w:r>
      <w:r>
        <w:rPr>
          <w:b/>
          <w:spacing w:val="-4"/>
        </w:rPr>
        <w:t xml:space="preserve"> </w:t>
      </w:r>
      <w:r>
        <w:rPr>
          <w:b/>
        </w:rPr>
        <w:t>title,</w:t>
      </w:r>
      <w:r>
        <w:rPr>
          <w:b/>
          <w:spacing w:val="-4"/>
        </w:rPr>
        <w:t xml:space="preserve"> </w:t>
      </w:r>
      <w:r>
        <w:rPr>
          <w:b/>
        </w:rPr>
        <w:t>and</w:t>
      </w:r>
      <w:r>
        <w:rPr>
          <w:b/>
          <w:spacing w:val="-4"/>
        </w:rPr>
        <w:t xml:space="preserve"> </w:t>
      </w:r>
      <w:r>
        <w:rPr>
          <w:b/>
        </w:rPr>
        <w:t>telephone</w:t>
      </w:r>
      <w:r>
        <w:rPr>
          <w:b/>
          <w:spacing w:val="-4"/>
        </w:rPr>
        <w:t xml:space="preserve"> </w:t>
      </w:r>
      <w:r>
        <w:rPr>
          <w:b/>
        </w:rPr>
        <w:t>number]</w:t>
      </w:r>
      <w:r>
        <w:t xml:space="preserve">. </w:t>
      </w:r>
      <w:r>
        <w:rPr>
          <w:spacing w:val="-2"/>
        </w:rPr>
        <w:t>Sincerely,</w:t>
      </w:r>
    </w:p>
    <w:p w14:paraId="0DFDB3C0" w14:textId="77777777" w:rsidR="00046465" w:rsidRDefault="008134EB">
      <w:pPr>
        <w:spacing w:line="251" w:lineRule="exact"/>
        <w:ind w:left="359"/>
        <w:rPr>
          <w:b/>
        </w:rPr>
      </w:pPr>
      <w:r>
        <w:rPr>
          <w:b/>
          <w:spacing w:val="-2"/>
        </w:rPr>
        <w:t>[Signed]</w:t>
      </w:r>
    </w:p>
    <w:p w14:paraId="0DFDB3C1" w14:textId="77777777" w:rsidR="00046465" w:rsidRDefault="008134EB">
      <w:pPr>
        <w:spacing w:before="240"/>
        <w:ind w:left="359"/>
      </w:pPr>
      <w:r>
        <w:rPr>
          <w:b/>
        </w:rPr>
        <w:t>[Name</w:t>
      </w:r>
      <w:r>
        <w:rPr>
          <w:b/>
          <w:spacing w:val="-8"/>
        </w:rPr>
        <w:t xml:space="preserve"> </w:t>
      </w:r>
      <w:r>
        <w:rPr>
          <w:b/>
        </w:rPr>
        <w:t>of</w:t>
      </w:r>
      <w:r>
        <w:rPr>
          <w:b/>
          <w:spacing w:val="-7"/>
        </w:rPr>
        <w:t xml:space="preserve"> </w:t>
      </w:r>
      <w:r>
        <w:rPr>
          <w:b/>
        </w:rPr>
        <w:t>Director]</w:t>
      </w:r>
      <w:r>
        <w:t>,</w:t>
      </w:r>
      <w:r>
        <w:rPr>
          <w:spacing w:val="-7"/>
        </w:rPr>
        <w:t xml:space="preserve"> </w:t>
      </w:r>
      <w:r>
        <w:rPr>
          <w:spacing w:val="-2"/>
        </w:rPr>
        <w:t>Director</w:t>
      </w:r>
    </w:p>
    <w:p w14:paraId="0DFDB3C2" w14:textId="77777777" w:rsidR="00046465" w:rsidRDefault="008134EB">
      <w:pPr>
        <w:ind w:left="359" w:right="7962"/>
        <w:rPr>
          <w:b/>
        </w:rPr>
      </w:pPr>
      <w:r>
        <w:rPr>
          <w:b/>
        </w:rPr>
        <w:t>[Audit</w:t>
      </w:r>
      <w:r>
        <w:rPr>
          <w:b/>
          <w:spacing w:val="-16"/>
        </w:rPr>
        <w:t xml:space="preserve"> </w:t>
      </w:r>
      <w:r>
        <w:rPr>
          <w:b/>
        </w:rPr>
        <w:t>Organization] [City, State]</w:t>
      </w:r>
    </w:p>
    <w:p w14:paraId="0DFDB3C3" w14:textId="77777777" w:rsidR="00046465" w:rsidRDefault="008134EB">
      <w:pPr>
        <w:pStyle w:val="BodyText"/>
        <w:spacing w:before="241"/>
        <w:ind w:left="359"/>
      </w:pPr>
      <w:r>
        <w:rPr>
          <w:spacing w:val="-2"/>
        </w:rPr>
        <w:t>Enclosure</w:t>
      </w:r>
    </w:p>
    <w:p w14:paraId="0DFDB3C4" w14:textId="77777777" w:rsidR="00046465" w:rsidRDefault="008134EB">
      <w:pPr>
        <w:pStyle w:val="BodyText"/>
        <w:spacing w:before="239"/>
        <w:ind w:left="359"/>
      </w:pPr>
      <w:r>
        <w:t>cc:</w:t>
      </w:r>
      <w:r>
        <w:rPr>
          <w:spacing w:val="-5"/>
        </w:rPr>
        <w:t xml:space="preserve"> </w:t>
      </w:r>
      <w:r>
        <w:t>XYZ</w:t>
      </w:r>
      <w:r>
        <w:rPr>
          <w:spacing w:val="-5"/>
        </w:rPr>
        <w:t xml:space="preserve"> </w:t>
      </w:r>
      <w:r>
        <w:rPr>
          <w:spacing w:val="-2"/>
        </w:rPr>
        <w:t>Entity</w:t>
      </w:r>
    </w:p>
    <w:p w14:paraId="0DFDB3C5" w14:textId="77777777" w:rsidR="00046465" w:rsidRDefault="00046465">
      <w:pPr>
        <w:pStyle w:val="BodyText"/>
        <w:sectPr w:rsidR="00046465">
          <w:headerReference w:type="default" r:id="rId104"/>
          <w:footerReference w:type="default" r:id="rId105"/>
          <w:pgSz w:w="12240" w:h="15840"/>
          <w:pgMar w:top="1600" w:right="720" w:bottom="940" w:left="1080" w:header="721" w:footer="757" w:gutter="0"/>
          <w:pgNumType w:start="2"/>
          <w:cols w:space="720"/>
        </w:sectPr>
      </w:pPr>
    </w:p>
    <w:p w14:paraId="0DFDB3C6" w14:textId="77777777" w:rsidR="00046465" w:rsidRDefault="008134EB">
      <w:pPr>
        <w:spacing w:before="121"/>
        <w:ind w:left="360"/>
        <w:rPr>
          <w:b/>
          <w:sz w:val="24"/>
        </w:rPr>
      </w:pPr>
      <w:r>
        <w:rPr>
          <w:b/>
          <w:spacing w:val="-2"/>
          <w:sz w:val="24"/>
        </w:rPr>
        <w:lastRenderedPageBreak/>
        <w:t>Enclosure</w:t>
      </w:r>
    </w:p>
    <w:p w14:paraId="0DFDB3C7" w14:textId="77777777" w:rsidR="00046465" w:rsidRDefault="008134EB">
      <w:pPr>
        <w:spacing w:before="120"/>
        <w:ind w:left="3960"/>
        <w:rPr>
          <w:b/>
          <w:sz w:val="32"/>
        </w:rPr>
      </w:pPr>
      <w:r>
        <w:rPr>
          <w:b/>
          <w:sz w:val="32"/>
        </w:rPr>
        <w:t>Results</w:t>
      </w:r>
      <w:r>
        <w:rPr>
          <w:b/>
          <w:spacing w:val="-4"/>
          <w:sz w:val="32"/>
        </w:rPr>
        <w:t xml:space="preserve"> </w:t>
      </w:r>
      <w:r>
        <w:rPr>
          <w:b/>
          <w:sz w:val="32"/>
        </w:rPr>
        <w:t>of</w:t>
      </w:r>
      <w:r>
        <w:rPr>
          <w:b/>
          <w:spacing w:val="-4"/>
          <w:sz w:val="32"/>
        </w:rPr>
        <w:t xml:space="preserve"> </w:t>
      </w:r>
      <w:r>
        <w:rPr>
          <w:b/>
          <w:sz w:val="32"/>
        </w:rPr>
        <w:t>Cash</w:t>
      </w:r>
      <w:r>
        <w:rPr>
          <w:b/>
          <w:spacing w:val="-3"/>
          <w:sz w:val="32"/>
        </w:rPr>
        <w:t xml:space="preserve"> </w:t>
      </w:r>
      <w:r>
        <w:rPr>
          <w:b/>
          <w:spacing w:val="-2"/>
          <w:sz w:val="32"/>
        </w:rPr>
        <w:t>Counts</w:t>
      </w:r>
    </w:p>
    <w:p w14:paraId="0DFDB3C8" w14:textId="77777777" w:rsidR="00046465" w:rsidRDefault="00046465">
      <w:pPr>
        <w:pStyle w:val="BodyText"/>
        <w:spacing w:before="9"/>
        <w:rPr>
          <w:b/>
          <w:sz w:val="12"/>
        </w:rPr>
      </w:pPr>
    </w:p>
    <w:p w14:paraId="0DFDB3C9" w14:textId="77777777" w:rsidR="00046465" w:rsidRDefault="00046465">
      <w:pPr>
        <w:pStyle w:val="BodyText"/>
        <w:rPr>
          <w:b/>
          <w:sz w:val="12"/>
        </w:rPr>
        <w:sectPr w:rsidR="00046465">
          <w:pgSz w:w="12240" w:h="15840"/>
          <w:pgMar w:top="1600" w:right="720" w:bottom="940" w:left="1080" w:header="721" w:footer="757" w:gutter="0"/>
          <w:cols w:space="720"/>
        </w:sectPr>
      </w:pPr>
    </w:p>
    <w:p w14:paraId="0DFDB3CA" w14:textId="77777777" w:rsidR="00046465" w:rsidRDefault="008134EB">
      <w:pPr>
        <w:pStyle w:val="BodyText"/>
        <w:spacing w:before="92"/>
        <w:ind w:left="360"/>
      </w:pPr>
      <w:r>
        <w:rPr>
          <w:spacing w:val="-2"/>
          <w:u w:val="single"/>
        </w:rPr>
        <w:t>Procedures</w:t>
      </w:r>
    </w:p>
    <w:p w14:paraId="0DFDB3CB" w14:textId="77777777" w:rsidR="00046465" w:rsidRDefault="008134EB">
      <w:pPr>
        <w:pStyle w:val="BodyText"/>
        <w:spacing w:before="212"/>
      </w:pPr>
      <w:r>
        <w:br w:type="column"/>
      </w:r>
    </w:p>
    <w:p w14:paraId="0DFDB3CC" w14:textId="77777777" w:rsidR="00046465" w:rsidRDefault="008134EB">
      <w:pPr>
        <w:pStyle w:val="BodyText"/>
        <w:ind w:left="275" w:right="787"/>
      </w:pPr>
      <w:r>
        <w:t>We counted and totaled cash on hand for the petty cash fund of XYZ Entity at September</w:t>
      </w:r>
      <w:r>
        <w:rPr>
          <w:spacing w:val="-3"/>
        </w:rPr>
        <w:t xml:space="preserve"> </w:t>
      </w:r>
      <w:r>
        <w:t>30,</w:t>
      </w:r>
      <w:r>
        <w:rPr>
          <w:spacing w:val="-4"/>
        </w:rPr>
        <w:t xml:space="preserve"> </w:t>
      </w:r>
      <w:r>
        <w:t>20XX.</w:t>
      </w:r>
      <w:r>
        <w:rPr>
          <w:spacing w:val="-4"/>
        </w:rPr>
        <w:t xml:space="preserve"> </w:t>
      </w:r>
      <w:r>
        <w:t>We</w:t>
      </w:r>
      <w:r>
        <w:rPr>
          <w:spacing w:val="-4"/>
        </w:rPr>
        <w:t xml:space="preserve"> </w:t>
      </w:r>
      <w:r>
        <w:t>also</w:t>
      </w:r>
      <w:r>
        <w:rPr>
          <w:spacing w:val="-4"/>
        </w:rPr>
        <w:t xml:space="preserve"> </w:t>
      </w:r>
      <w:r>
        <w:t>listed</w:t>
      </w:r>
      <w:r>
        <w:rPr>
          <w:spacing w:val="-4"/>
        </w:rPr>
        <w:t xml:space="preserve"> </w:t>
      </w:r>
      <w:r>
        <w:t>and</w:t>
      </w:r>
      <w:r>
        <w:rPr>
          <w:spacing w:val="-4"/>
        </w:rPr>
        <w:t xml:space="preserve"> </w:t>
      </w:r>
      <w:r>
        <w:t>totaled</w:t>
      </w:r>
      <w:r>
        <w:rPr>
          <w:spacing w:val="-4"/>
        </w:rPr>
        <w:t xml:space="preserve"> </w:t>
      </w:r>
      <w:r>
        <w:t>the</w:t>
      </w:r>
      <w:r>
        <w:rPr>
          <w:spacing w:val="-4"/>
        </w:rPr>
        <w:t xml:space="preserve"> </w:t>
      </w:r>
      <w:r>
        <w:t>receipts</w:t>
      </w:r>
      <w:r>
        <w:rPr>
          <w:spacing w:val="-4"/>
        </w:rPr>
        <w:t xml:space="preserve"> </w:t>
      </w:r>
      <w:r>
        <w:t>on</w:t>
      </w:r>
      <w:r>
        <w:rPr>
          <w:spacing w:val="-4"/>
        </w:rPr>
        <w:t xml:space="preserve"> </w:t>
      </w:r>
      <w:r>
        <w:t>hand</w:t>
      </w:r>
      <w:r>
        <w:rPr>
          <w:spacing w:val="-5"/>
        </w:rPr>
        <w:t xml:space="preserve"> </w:t>
      </w:r>
      <w:r>
        <w:t>evidencing disbursements from the fund. Finally, we compared the combined total of cash and receipts available to the amount authorized for the fund of $500.</w:t>
      </w:r>
    </w:p>
    <w:p w14:paraId="0DFDB3CD" w14:textId="77777777" w:rsidR="00046465" w:rsidRDefault="00046465">
      <w:pPr>
        <w:pStyle w:val="BodyText"/>
        <w:sectPr w:rsidR="00046465">
          <w:type w:val="continuous"/>
          <w:pgSz w:w="12240" w:h="15840"/>
          <w:pgMar w:top="1020" w:right="720" w:bottom="280" w:left="1080" w:header="721" w:footer="757" w:gutter="0"/>
          <w:cols w:num="2" w:space="720" w:equalWidth="0">
            <w:col w:w="1485" w:space="40"/>
            <w:col w:w="8915"/>
          </w:cols>
        </w:sectPr>
      </w:pPr>
    </w:p>
    <w:p w14:paraId="0DFDB3CE" w14:textId="77777777" w:rsidR="00046465" w:rsidRDefault="00046465">
      <w:pPr>
        <w:pStyle w:val="BodyText"/>
        <w:spacing w:before="9"/>
        <w:rPr>
          <w:sz w:val="12"/>
        </w:rPr>
      </w:pPr>
    </w:p>
    <w:p w14:paraId="0DFDB3CF" w14:textId="77777777" w:rsidR="00046465" w:rsidRDefault="00046465">
      <w:pPr>
        <w:pStyle w:val="BodyText"/>
        <w:rPr>
          <w:sz w:val="12"/>
        </w:rPr>
        <w:sectPr w:rsidR="00046465">
          <w:type w:val="continuous"/>
          <w:pgSz w:w="12240" w:h="15840"/>
          <w:pgMar w:top="1020" w:right="720" w:bottom="280" w:left="1080" w:header="721" w:footer="757" w:gutter="0"/>
          <w:cols w:space="720"/>
        </w:sectPr>
      </w:pPr>
    </w:p>
    <w:p w14:paraId="0DFDB3D0" w14:textId="77777777" w:rsidR="00046465" w:rsidRDefault="008134EB">
      <w:pPr>
        <w:pStyle w:val="BodyText"/>
        <w:spacing w:before="93"/>
        <w:ind w:left="360"/>
      </w:pPr>
      <w:r>
        <w:rPr>
          <w:spacing w:val="-2"/>
          <w:u w:val="single"/>
        </w:rPr>
        <w:t>Results</w:t>
      </w:r>
    </w:p>
    <w:p w14:paraId="0DFDB3D1" w14:textId="77777777" w:rsidR="00046465" w:rsidRDefault="008134EB">
      <w:pPr>
        <w:pStyle w:val="BodyText"/>
        <w:spacing w:before="213"/>
      </w:pPr>
      <w:r>
        <w:br w:type="column"/>
      </w:r>
    </w:p>
    <w:p w14:paraId="0DFDB3D2" w14:textId="77777777" w:rsidR="00046465" w:rsidRDefault="008134EB">
      <w:pPr>
        <w:pStyle w:val="BodyText"/>
        <w:ind w:left="360" w:right="710"/>
      </w:pPr>
      <w:r>
        <w:t>We counted cash totaling $258.96 and scheduled 14 receipts totaling $174.85, which accounted for $433.81 of the $500 in authorized petty cash funds. In addition,</w:t>
      </w:r>
      <w:r>
        <w:rPr>
          <w:spacing w:val="-4"/>
        </w:rPr>
        <w:t xml:space="preserve"> </w:t>
      </w:r>
      <w:r>
        <w:t>the</w:t>
      </w:r>
      <w:r>
        <w:rPr>
          <w:spacing w:val="-5"/>
        </w:rPr>
        <w:t xml:space="preserve"> </w:t>
      </w:r>
      <w:r>
        <w:t>XYZ</w:t>
      </w:r>
      <w:r>
        <w:rPr>
          <w:spacing w:val="-4"/>
        </w:rPr>
        <w:t xml:space="preserve"> </w:t>
      </w:r>
      <w:r>
        <w:t>Entity</w:t>
      </w:r>
      <w:r>
        <w:rPr>
          <w:spacing w:val="-4"/>
        </w:rPr>
        <w:t xml:space="preserve"> </w:t>
      </w:r>
      <w:r>
        <w:t>custodian</w:t>
      </w:r>
      <w:r>
        <w:rPr>
          <w:spacing w:val="-4"/>
        </w:rPr>
        <w:t xml:space="preserve"> </w:t>
      </w:r>
      <w:r>
        <w:t>provided</w:t>
      </w:r>
      <w:r>
        <w:rPr>
          <w:spacing w:val="-4"/>
        </w:rPr>
        <w:t xml:space="preserve"> </w:t>
      </w:r>
      <w:r>
        <w:t>us</w:t>
      </w:r>
      <w:r>
        <w:rPr>
          <w:spacing w:val="-4"/>
        </w:rPr>
        <w:t xml:space="preserve"> </w:t>
      </w:r>
      <w:r>
        <w:t>two</w:t>
      </w:r>
      <w:r>
        <w:rPr>
          <w:spacing w:val="-4"/>
        </w:rPr>
        <w:t xml:space="preserve"> </w:t>
      </w:r>
      <w:r>
        <w:t>separate</w:t>
      </w:r>
      <w:r>
        <w:rPr>
          <w:spacing w:val="-5"/>
        </w:rPr>
        <w:t xml:space="preserve"> </w:t>
      </w:r>
      <w:r>
        <w:t>Expense</w:t>
      </w:r>
      <w:r>
        <w:rPr>
          <w:spacing w:val="-4"/>
        </w:rPr>
        <w:t xml:space="preserve"> </w:t>
      </w:r>
      <w:r>
        <w:t>Summary Report</w:t>
      </w:r>
      <w:r>
        <w:rPr>
          <w:spacing w:val="-7"/>
        </w:rPr>
        <w:t xml:space="preserve"> </w:t>
      </w:r>
      <w:r>
        <w:t>and</w:t>
      </w:r>
      <w:r>
        <w:rPr>
          <w:spacing w:val="-6"/>
        </w:rPr>
        <w:t xml:space="preserve"> </w:t>
      </w:r>
      <w:r>
        <w:t>Petty</w:t>
      </w:r>
      <w:r>
        <w:rPr>
          <w:spacing w:val="-6"/>
        </w:rPr>
        <w:t xml:space="preserve"> </w:t>
      </w:r>
      <w:r>
        <w:t>Cash</w:t>
      </w:r>
      <w:r>
        <w:rPr>
          <w:spacing w:val="-6"/>
        </w:rPr>
        <w:t xml:space="preserve"> </w:t>
      </w:r>
      <w:r>
        <w:t>Itemization</w:t>
      </w:r>
      <w:r>
        <w:rPr>
          <w:spacing w:val="-6"/>
        </w:rPr>
        <w:t xml:space="preserve"> </w:t>
      </w:r>
      <w:r>
        <w:t>Sheets</w:t>
      </w:r>
      <w:r>
        <w:rPr>
          <w:spacing w:val="-7"/>
        </w:rPr>
        <w:t xml:space="preserve"> </w:t>
      </w:r>
      <w:r>
        <w:t>and</w:t>
      </w:r>
      <w:r>
        <w:rPr>
          <w:spacing w:val="-6"/>
        </w:rPr>
        <w:t xml:space="preserve"> </w:t>
      </w:r>
      <w:r>
        <w:t>related</w:t>
      </w:r>
      <w:r>
        <w:rPr>
          <w:spacing w:val="-6"/>
        </w:rPr>
        <w:t xml:space="preserve"> </w:t>
      </w:r>
      <w:r>
        <w:t>receipts</w:t>
      </w:r>
      <w:r>
        <w:rPr>
          <w:spacing w:val="-6"/>
        </w:rPr>
        <w:t xml:space="preserve"> </w:t>
      </w:r>
      <w:r>
        <w:t>for</w:t>
      </w:r>
      <w:r>
        <w:rPr>
          <w:spacing w:val="-6"/>
        </w:rPr>
        <w:t xml:space="preserve"> </w:t>
      </w:r>
      <w:r>
        <w:t>an</w:t>
      </w:r>
      <w:r>
        <w:rPr>
          <w:spacing w:val="-7"/>
        </w:rPr>
        <w:t xml:space="preserve"> </w:t>
      </w:r>
      <w:r>
        <w:rPr>
          <w:spacing w:val="-2"/>
        </w:rPr>
        <w:t>additional</w:t>
      </w:r>
    </w:p>
    <w:p w14:paraId="0DFDB3D3" w14:textId="77777777" w:rsidR="00046465" w:rsidRDefault="008134EB">
      <w:pPr>
        <w:pStyle w:val="BodyText"/>
        <w:ind w:left="360" w:right="710"/>
      </w:pPr>
      <w:r>
        <w:t>$65.09,</w:t>
      </w:r>
      <w:r>
        <w:rPr>
          <w:spacing w:val="-4"/>
        </w:rPr>
        <w:t xml:space="preserve"> </w:t>
      </w:r>
      <w:r>
        <w:t>which</w:t>
      </w:r>
      <w:r>
        <w:rPr>
          <w:spacing w:val="-4"/>
        </w:rPr>
        <w:t xml:space="preserve"> </w:t>
      </w:r>
      <w:r>
        <w:t>had</w:t>
      </w:r>
      <w:r>
        <w:rPr>
          <w:spacing w:val="-4"/>
        </w:rPr>
        <w:t xml:space="preserve"> </w:t>
      </w:r>
      <w:r>
        <w:t>been</w:t>
      </w:r>
      <w:r>
        <w:rPr>
          <w:spacing w:val="-5"/>
        </w:rPr>
        <w:t xml:space="preserve"> </w:t>
      </w:r>
      <w:r>
        <w:t>submitted</w:t>
      </w:r>
      <w:r>
        <w:rPr>
          <w:spacing w:val="-4"/>
        </w:rPr>
        <w:t xml:space="preserve"> </w:t>
      </w:r>
      <w:r>
        <w:t>for</w:t>
      </w:r>
      <w:r>
        <w:rPr>
          <w:spacing w:val="-4"/>
        </w:rPr>
        <w:t xml:space="preserve"> </w:t>
      </w:r>
      <w:r>
        <w:t>reimbursement</w:t>
      </w:r>
      <w:r>
        <w:rPr>
          <w:spacing w:val="-4"/>
        </w:rPr>
        <w:t xml:space="preserve"> </w:t>
      </w:r>
      <w:r>
        <w:t>to</w:t>
      </w:r>
      <w:r>
        <w:rPr>
          <w:spacing w:val="-4"/>
        </w:rPr>
        <w:t xml:space="preserve"> </w:t>
      </w:r>
      <w:r>
        <w:t>the</w:t>
      </w:r>
      <w:r>
        <w:rPr>
          <w:spacing w:val="-4"/>
        </w:rPr>
        <w:t xml:space="preserve"> </w:t>
      </w:r>
      <w:r>
        <w:t>fund.</w:t>
      </w:r>
      <w:r>
        <w:rPr>
          <w:spacing w:val="-4"/>
        </w:rPr>
        <w:t xml:space="preserve"> </w:t>
      </w:r>
      <w:r>
        <w:t>There</w:t>
      </w:r>
      <w:r>
        <w:rPr>
          <w:spacing w:val="-4"/>
        </w:rPr>
        <w:t xml:space="preserve"> </w:t>
      </w:r>
      <w:r>
        <w:t>remains an unexplained difference (shortage) of $1.10 between the authorized amount and the total cash and receipts evidencing petty cash fund disbursements.</w:t>
      </w:r>
    </w:p>
    <w:p w14:paraId="0DFDB3D4" w14:textId="77777777" w:rsidR="00046465" w:rsidRDefault="00046465">
      <w:pPr>
        <w:pStyle w:val="BodyText"/>
        <w:sectPr w:rsidR="00046465">
          <w:type w:val="continuous"/>
          <w:pgSz w:w="12240" w:h="15840"/>
          <w:pgMar w:top="1020" w:right="720" w:bottom="280" w:left="1080" w:header="721" w:footer="757" w:gutter="0"/>
          <w:cols w:num="2" w:space="720" w:equalWidth="0">
            <w:col w:w="1134" w:space="305"/>
            <w:col w:w="9001"/>
          </w:cols>
        </w:sectPr>
      </w:pPr>
    </w:p>
    <w:p w14:paraId="0DFDB3D5" w14:textId="77777777" w:rsidR="00046465" w:rsidRDefault="008134EB">
      <w:pPr>
        <w:pStyle w:val="Heading3"/>
        <w:rPr>
          <w:u w:val="none"/>
        </w:rPr>
      </w:pPr>
      <w:bookmarkStart w:id="155" w:name="710_E_–_Agreed-Upon_Procedures_Engagemen"/>
      <w:bookmarkStart w:id="156" w:name="_bookmark61"/>
      <w:bookmarkEnd w:id="155"/>
      <w:bookmarkEnd w:id="156"/>
      <w:r>
        <w:lastRenderedPageBreak/>
        <w:t>710</w:t>
      </w:r>
      <w:r>
        <w:rPr>
          <w:spacing w:val="-7"/>
        </w:rPr>
        <w:t xml:space="preserve"> </w:t>
      </w:r>
      <w:r>
        <w:t>E</w:t>
      </w:r>
      <w:r>
        <w:rPr>
          <w:spacing w:val="-7"/>
        </w:rPr>
        <w:t xml:space="preserve"> </w:t>
      </w:r>
      <w:r>
        <w:t>–</w:t>
      </w:r>
      <w:r>
        <w:rPr>
          <w:spacing w:val="-17"/>
        </w:rPr>
        <w:t xml:space="preserve"> </w:t>
      </w:r>
      <w:r>
        <w:t>Agreed-Upon</w:t>
      </w:r>
      <w:r>
        <w:rPr>
          <w:spacing w:val="-7"/>
        </w:rPr>
        <w:t xml:space="preserve"> </w:t>
      </w:r>
      <w:r>
        <w:t>Procedures</w:t>
      </w:r>
      <w:r>
        <w:rPr>
          <w:spacing w:val="-7"/>
        </w:rPr>
        <w:t xml:space="preserve"> </w:t>
      </w:r>
      <w:r>
        <w:t>Engagement</w:t>
      </w:r>
      <w:r>
        <w:rPr>
          <w:spacing w:val="-7"/>
        </w:rPr>
        <w:t xml:space="preserve"> </w:t>
      </w:r>
      <w:r>
        <w:t>Completion</w:t>
      </w:r>
      <w:r>
        <w:rPr>
          <w:u w:val="none"/>
        </w:rPr>
        <w:t xml:space="preserve"> </w:t>
      </w:r>
      <w:r>
        <w:rPr>
          <w:spacing w:val="-2"/>
        </w:rPr>
        <w:t>Checklist</w:t>
      </w:r>
    </w:p>
    <w:p w14:paraId="0DFDB3D6" w14:textId="77777777" w:rsidR="00046465" w:rsidRDefault="008134EB">
      <w:pPr>
        <w:pStyle w:val="BodyText"/>
        <w:tabs>
          <w:tab w:val="left" w:pos="9685"/>
        </w:tabs>
        <w:spacing w:before="240" w:line="352" w:lineRule="auto"/>
        <w:ind w:left="360" w:right="751" w:hanging="1"/>
        <w:jc w:val="both"/>
      </w:pPr>
      <w:r>
        <w:t xml:space="preserve">Engaging party: </w:t>
      </w:r>
      <w:r>
        <w:rPr>
          <w:u w:val="single"/>
        </w:rPr>
        <w:tab/>
      </w:r>
      <w:r>
        <w:t xml:space="preserve"> Job code:</w:t>
      </w:r>
      <w:r>
        <w:rPr>
          <w:spacing w:val="114"/>
        </w:rPr>
        <w:t xml:space="preserve"> </w:t>
      </w:r>
      <w:r>
        <w:rPr>
          <w:u w:val="single"/>
        </w:rPr>
        <w:tab/>
      </w:r>
      <w:r>
        <w:t xml:space="preserve"> Principal report: </w:t>
      </w:r>
      <w:r>
        <w:rPr>
          <w:u w:val="single"/>
        </w:rPr>
        <w:tab/>
      </w:r>
    </w:p>
    <w:p w14:paraId="0DFDB3D7" w14:textId="77777777" w:rsidR="00046465" w:rsidRDefault="008134EB">
      <w:pPr>
        <w:pStyle w:val="ListParagraph"/>
        <w:numPr>
          <w:ilvl w:val="0"/>
          <w:numId w:val="9"/>
        </w:numPr>
        <w:tabs>
          <w:tab w:val="left" w:pos="1800"/>
        </w:tabs>
        <w:spacing w:before="123"/>
        <w:ind w:right="1448" w:hanging="720"/>
      </w:pPr>
      <w:r>
        <w:t>This</w:t>
      </w:r>
      <w:r>
        <w:rPr>
          <w:spacing w:val="-4"/>
        </w:rPr>
        <w:t xml:space="preserve"> </w:t>
      </w:r>
      <w:r>
        <w:t>checklist</w:t>
      </w:r>
      <w:r>
        <w:rPr>
          <w:spacing w:val="-4"/>
        </w:rPr>
        <w:t xml:space="preserve"> </w:t>
      </w:r>
      <w:r>
        <w:t>is</w:t>
      </w:r>
      <w:r>
        <w:rPr>
          <w:spacing w:val="-4"/>
        </w:rPr>
        <w:t xml:space="preserve"> </w:t>
      </w:r>
      <w:r>
        <w:t>intended</w:t>
      </w:r>
      <w:r>
        <w:rPr>
          <w:spacing w:val="-4"/>
        </w:rPr>
        <w:t xml:space="preserve"> </w:t>
      </w:r>
      <w:r>
        <w:t>to</w:t>
      </w:r>
      <w:r>
        <w:rPr>
          <w:spacing w:val="-4"/>
        </w:rPr>
        <w:t xml:space="preserve"> </w:t>
      </w:r>
      <w:r>
        <w:t>help</w:t>
      </w:r>
      <w:r>
        <w:rPr>
          <w:spacing w:val="-4"/>
        </w:rPr>
        <w:t xml:space="preserve"> </w:t>
      </w:r>
      <w:r>
        <w:t>the</w:t>
      </w:r>
      <w:r>
        <w:rPr>
          <w:spacing w:val="-4"/>
        </w:rPr>
        <w:t xml:space="preserve"> </w:t>
      </w:r>
      <w:r>
        <w:t>auditor</w:t>
      </w:r>
      <w:r>
        <w:rPr>
          <w:spacing w:val="-4"/>
        </w:rPr>
        <w:t xml:space="preserve"> </w:t>
      </w:r>
      <w:r>
        <w:t>comply</w:t>
      </w:r>
      <w:r>
        <w:rPr>
          <w:spacing w:val="-4"/>
        </w:rPr>
        <w:t xml:space="preserve"> </w:t>
      </w:r>
      <w:r>
        <w:t>with</w:t>
      </w:r>
      <w:r>
        <w:rPr>
          <w:spacing w:val="-4"/>
        </w:rPr>
        <w:t xml:space="preserve"> </w:t>
      </w:r>
      <w:r>
        <w:t>the</w:t>
      </w:r>
      <w:r>
        <w:rPr>
          <w:spacing w:val="-4"/>
        </w:rPr>
        <w:t xml:space="preserve"> </w:t>
      </w:r>
      <w:r>
        <w:t>standards</w:t>
      </w:r>
      <w:r>
        <w:rPr>
          <w:spacing w:val="-4"/>
        </w:rPr>
        <w:t xml:space="preserve"> </w:t>
      </w:r>
      <w:r>
        <w:t>for agreed-upon procedures engagements.</w:t>
      </w:r>
    </w:p>
    <w:p w14:paraId="0DFDB3D8" w14:textId="77777777" w:rsidR="00046465" w:rsidRDefault="008134EB">
      <w:pPr>
        <w:pStyle w:val="ListParagraph"/>
        <w:numPr>
          <w:ilvl w:val="0"/>
          <w:numId w:val="9"/>
        </w:numPr>
        <w:tabs>
          <w:tab w:val="left" w:pos="1800"/>
        </w:tabs>
        <w:ind w:right="1043"/>
      </w:pPr>
      <w:r>
        <w:t>Several of the last steps are specific to GAO’s quality control. GAO auditors should</w:t>
      </w:r>
      <w:r>
        <w:rPr>
          <w:spacing w:val="-4"/>
        </w:rPr>
        <w:t xml:space="preserve"> </w:t>
      </w:r>
      <w:r>
        <w:t>complete</w:t>
      </w:r>
      <w:r>
        <w:rPr>
          <w:spacing w:val="-4"/>
        </w:rPr>
        <w:t xml:space="preserve"> </w:t>
      </w:r>
      <w:r>
        <w:t>those</w:t>
      </w:r>
      <w:r>
        <w:rPr>
          <w:spacing w:val="-5"/>
        </w:rPr>
        <w:t xml:space="preserve"> </w:t>
      </w:r>
      <w:r>
        <w:t>steps.</w:t>
      </w:r>
      <w:r>
        <w:rPr>
          <w:spacing w:val="-4"/>
        </w:rPr>
        <w:t xml:space="preserve"> </w:t>
      </w:r>
      <w:r>
        <w:t>Non-GAO</w:t>
      </w:r>
      <w:r>
        <w:rPr>
          <w:spacing w:val="-5"/>
        </w:rPr>
        <w:t xml:space="preserve"> </w:t>
      </w:r>
      <w:r>
        <w:t>auditors</w:t>
      </w:r>
      <w:r>
        <w:rPr>
          <w:spacing w:val="-4"/>
        </w:rPr>
        <w:t xml:space="preserve"> </w:t>
      </w:r>
      <w:r>
        <w:t>may</w:t>
      </w:r>
      <w:r>
        <w:rPr>
          <w:spacing w:val="-4"/>
        </w:rPr>
        <w:t xml:space="preserve"> </w:t>
      </w:r>
      <w:r>
        <w:t>use</w:t>
      </w:r>
      <w:r>
        <w:rPr>
          <w:spacing w:val="-4"/>
        </w:rPr>
        <w:t xml:space="preserve"> </w:t>
      </w:r>
      <w:r>
        <w:t>those</w:t>
      </w:r>
      <w:r>
        <w:rPr>
          <w:spacing w:val="-4"/>
        </w:rPr>
        <w:t xml:space="preserve"> </w:t>
      </w:r>
      <w:r>
        <w:t>steps</w:t>
      </w:r>
      <w:r>
        <w:rPr>
          <w:spacing w:val="-5"/>
        </w:rPr>
        <w:t xml:space="preserve"> </w:t>
      </w:r>
      <w:r>
        <w:t>or</w:t>
      </w:r>
      <w:r>
        <w:rPr>
          <w:spacing w:val="-4"/>
        </w:rPr>
        <w:t xml:space="preserve"> </w:t>
      </w:r>
      <w:r>
        <w:t>tailor them as appropriate.</w:t>
      </w:r>
    </w:p>
    <w:p w14:paraId="0DFDB3D9" w14:textId="77777777" w:rsidR="00046465" w:rsidRDefault="00046465">
      <w:pPr>
        <w:pStyle w:val="BodyText"/>
        <w:spacing w:before="8"/>
        <w:rPr>
          <w:sz w:val="11"/>
        </w:rPr>
      </w:pPr>
    </w:p>
    <w:tbl>
      <w:tblPr>
        <w:tblW w:w="0" w:type="auto"/>
        <w:tblInd w:w="614"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898"/>
        <w:gridCol w:w="1052"/>
        <w:gridCol w:w="949"/>
      </w:tblGrid>
      <w:tr w:rsidR="00046465" w14:paraId="0DFDB3DF" w14:textId="77777777">
        <w:trPr>
          <w:trHeight w:val="759"/>
        </w:trPr>
        <w:tc>
          <w:tcPr>
            <w:tcW w:w="6898" w:type="dxa"/>
            <w:tcBorders>
              <w:right w:val="single" w:sz="2" w:space="0" w:color="000000"/>
            </w:tcBorders>
          </w:tcPr>
          <w:p w14:paraId="0DFDB3DA" w14:textId="77777777" w:rsidR="00046465" w:rsidRDefault="00046465">
            <w:pPr>
              <w:pStyle w:val="TableParagraph"/>
            </w:pPr>
          </w:p>
          <w:p w14:paraId="0DFDB3DB" w14:textId="77777777" w:rsidR="00046465" w:rsidRDefault="00046465">
            <w:pPr>
              <w:pStyle w:val="TableParagraph"/>
            </w:pPr>
          </w:p>
          <w:p w14:paraId="0DFDB3DC" w14:textId="77777777" w:rsidR="00046465" w:rsidRDefault="008134EB">
            <w:pPr>
              <w:pStyle w:val="TableParagraph"/>
              <w:spacing w:line="232" w:lineRule="exact"/>
              <w:ind w:right="6"/>
              <w:jc w:val="center"/>
              <w:rPr>
                <w:b/>
              </w:rPr>
            </w:pPr>
            <w:r>
              <w:rPr>
                <w:b/>
                <w:spacing w:val="-4"/>
              </w:rPr>
              <w:t>Steps</w:t>
            </w:r>
          </w:p>
        </w:tc>
        <w:tc>
          <w:tcPr>
            <w:tcW w:w="1052" w:type="dxa"/>
            <w:tcBorders>
              <w:left w:val="single" w:sz="2" w:space="0" w:color="000000"/>
              <w:right w:val="single" w:sz="2" w:space="0" w:color="000000"/>
            </w:tcBorders>
          </w:tcPr>
          <w:p w14:paraId="0DFDB3DD" w14:textId="77777777" w:rsidR="00046465" w:rsidRDefault="008134EB">
            <w:pPr>
              <w:pStyle w:val="TableParagraph"/>
              <w:spacing w:line="250" w:lineRule="atLeast"/>
              <w:ind w:left="223" w:right="209" w:hanging="1"/>
              <w:jc w:val="center"/>
              <w:rPr>
                <w:b/>
              </w:rPr>
            </w:pPr>
            <w:r>
              <w:rPr>
                <w:b/>
                <w:spacing w:val="-4"/>
              </w:rPr>
              <w:t xml:space="preserve">Yes, </w:t>
            </w:r>
            <w:r>
              <w:rPr>
                <w:b/>
              </w:rPr>
              <w:t>no,</w:t>
            </w:r>
            <w:r>
              <w:rPr>
                <w:b/>
                <w:spacing w:val="-16"/>
              </w:rPr>
              <w:t xml:space="preserve"> </w:t>
            </w:r>
            <w:r>
              <w:rPr>
                <w:b/>
              </w:rPr>
              <w:t xml:space="preserve">or </w:t>
            </w:r>
            <w:r>
              <w:rPr>
                <w:b/>
                <w:spacing w:val="-4"/>
              </w:rPr>
              <w:t>N/A</w:t>
            </w:r>
          </w:p>
        </w:tc>
        <w:tc>
          <w:tcPr>
            <w:tcW w:w="949" w:type="dxa"/>
            <w:tcBorders>
              <w:left w:val="single" w:sz="2" w:space="0" w:color="000000"/>
            </w:tcBorders>
          </w:tcPr>
          <w:p w14:paraId="0DFDB3DE" w14:textId="77777777" w:rsidR="00046465" w:rsidRDefault="008134EB">
            <w:pPr>
              <w:pStyle w:val="TableParagraph"/>
              <w:spacing w:before="233" w:line="250" w:lineRule="atLeast"/>
              <w:ind w:left="269" w:right="204" w:hanging="30"/>
              <w:rPr>
                <w:b/>
              </w:rPr>
            </w:pPr>
            <w:r>
              <w:rPr>
                <w:b/>
                <w:spacing w:val="-4"/>
              </w:rPr>
              <w:t>Doc. Ref.</w:t>
            </w:r>
          </w:p>
        </w:tc>
      </w:tr>
      <w:tr w:rsidR="00046465" w14:paraId="0DFDB3E3" w14:textId="77777777">
        <w:trPr>
          <w:trHeight w:val="746"/>
        </w:trPr>
        <w:tc>
          <w:tcPr>
            <w:tcW w:w="6898" w:type="dxa"/>
            <w:tcBorders>
              <w:bottom w:val="single" w:sz="2" w:space="0" w:color="000000"/>
              <w:right w:val="single" w:sz="2" w:space="0" w:color="000000"/>
            </w:tcBorders>
          </w:tcPr>
          <w:p w14:paraId="0DFDB3E0" w14:textId="77777777" w:rsidR="00046465" w:rsidRDefault="008134EB">
            <w:pPr>
              <w:pStyle w:val="TableParagraph"/>
              <w:spacing w:before="120"/>
              <w:ind w:left="485" w:right="200" w:hanging="360"/>
            </w:pPr>
            <w:r>
              <w:t>1.</w:t>
            </w:r>
            <w:r>
              <w:rPr>
                <w:spacing w:val="80"/>
              </w:rPr>
              <w:t xml:space="preserve"> </w:t>
            </w:r>
            <w:r>
              <w:t>Are</w:t>
            </w:r>
            <w:r>
              <w:rPr>
                <w:spacing w:val="-4"/>
              </w:rPr>
              <w:t xml:space="preserve"> </w:t>
            </w:r>
            <w:r>
              <w:t>all</w:t>
            </w:r>
            <w:r>
              <w:rPr>
                <w:spacing w:val="-4"/>
              </w:rPr>
              <w:t xml:space="preserve"> </w:t>
            </w:r>
            <w:r>
              <w:t>the</w:t>
            </w:r>
            <w:r>
              <w:rPr>
                <w:spacing w:val="-4"/>
              </w:rPr>
              <w:t xml:space="preserve"> </w:t>
            </w:r>
            <w:r>
              <w:t>preconditions</w:t>
            </w:r>
            <w:r>
              <w:rPr>
                <w:spacing w:val="-5"/>
              </w:rPr>
              <w:t xml:space="preserve"> </w:t>
            </w:r>
            <w:r>
              <w:t>for</w:t>
            </w:r>
            <w:r>
              <w:rPr>
                <w:spacing w:val="-4"/>
              </w:rPr>
              <w:t xml:space="preserve"> </w:t>
            </w:r>
            <w:r>
              <w:t>an</w:t>
            </w:r>
            <w:r>
              <w:rPr>
                <w:spacing w:val="-4"/>
              </w:rPr>
              <w:t xml:space="preserve"> </w:t>
            </w:r>
            <w:r>
              <w:t>agreed-upon</w:t>
            </w:r>
            <w:r>
              <w:rPr>
                <w:spacing w:val="-4"/>
              </w:rPr>
              <w:t xml:space="preserve"> </w:t>
            </w:r>
            <w:r>
              <w:t>procedures engagement present?</w:t>
            </w:r>
          </w:p>
        </w:tc>
        <w:tc>
          <w:tcPr>
            <w:tcW w:w="1052" w:type="dxa"/>
            <w:tcBorders>
              <w:left w:val="single" w:sz="2" w:space="0" w:color="000000"/>
              <w:bottom w:val="single" w:sz="2" w:space="0" w:color="000000"/>
              <w:right w:val="single" w:sz="2" w:space="0" w:color="000000"/>
            </w:tcBorders>
          </w:tcPr>
          <w:p w14:paraId="0DFDB3E1" w14:textId="77777777" w:rsidR="00046465" w:rsidRDefault="00046465">
            <w:pPr>
              <w:pStyle w:val="TableParagraph"/>
              <w:rPr>
                <w:rFonts w:ascii="Times New Roman"/>
              </w:rPr>
            </w:pPr>
          </w:p>
        </w:tc>
        <w:tc>
          <w:tcPr>
            <w:tcW w:w="949" w:type="dxa"/>
            <w:tcBorders>
              <w:left w:val="single" w:sz="2" w:space="0" w:color="000000"/>
              <w:bottom w:val="single" w:sz="2" w:space="0" w:color="000000"/>
            </w:tcBorders>
          </w:tcPr>
          <w:p w14:paraId="0DFDB3E2" w14:textId="77777777" w:rsidR="00046465" w:rsidRDefault="00046465">
            <w:pPr>
              <w:pStyle w:val="TableParagraph"/>
              <w:rPr>
                <w:rFonts w:ascii="Times New Roman"/>
              </w:rPr>
            </w:pPr>
          </w:p>
        </w:tc>
      </w:tr>
      <w:tr w:rsidR="00046465" w14:paraId="0DFDB3E7" w14:textId="77777777">
        <w:trPr>
          <w:trHeight w:val="998"/>
        </w:trPr>
        <w:tc>
          <w:tcPr>
            <w:tcW w:w="6898" w:type="dxa"/>
            <w:tcBorders>
              <w:top w:val="single" w:sz="2" w:space="0" w:color="000000"/>
              <w:bottom w:val="single" w:sz="2" w:space="0" w:color="000000"/>
              <w:right w:val="single" w:sz="2" w:space="0" w:color="000000"/>
            </w:tcBorders>
          </w:tcPr>
          <w:p w14:paraId="0DFDB3E4" w14:textId="77777777" w:rsidR="00046465" w:rsidRDefault="008134EB">
            <w:pPr>
              <w:pStyle w:val="TableParagraph"/>
              <w:spacing w:before="120"/>
              <w:ind w:left="485" w:right="200" w:hanging="360"/>
            </w:pPr>
            <w:r>
              <w:t>2.</w:t>
            </w:r>
            <w:r>
              <w:rPr>
                <w:spacing w:val="80"/>
              </w:rPr>
              <w:t xml:space="preserve"> </w:t>
            </w:r>
            <w:r>
              <w:t>Has</w:t>
            </w:r>
            <w:r>
              <w:rPr>
                <w:spacing w:val="-4"/>
              </w:rPr>
              <w:t xml:space="preserve"> </w:t>
            </w:r>
            <w:r>
              <w:t>the</w:t>
            </w:r>
            <w:r>
              <w:rPr>
                <w:spacing w:val="-4"/>
              </w:rPr>
              <w:t xml:space="preserve"> </w:t>
            </w:r>
            <w:r>
              <w:t>engagement</w:t>
            </w:r>
            <w:r>
              <w:rPr>
                <w:spacing w:val="-4"/>
              </w:rPr>
              <w:t xml:space="preserve"> </w:t>
            </w:r>
            <w:r>
              <w:t>team</w:t>
            </w:r>
            <w:r>
              <w:rPr>
                <w:spacing w:val="-5"/>
              </w:rPr>
              <w:t xml:space="preserve"> </w:t>
            </w:r>
            <w:r>
              <w:t>documented</w:t>
            </w:r>
            <w:r>
              <w:rPr>
                <w:spacing w:val="-4"/>
              </w:rPr>
              <w:t xml:space="preserve"> </w:t>
            </w:r>
            <w:r>
              <w:t>an</w:t>
            </w:r>
            <w:r>
              <w:rPr>
                <w:spacing w:val="-4"/>
              </w:rPr>
              <w:t xml:space="preserve"> </w:t>
            </w:r>
            <w:r>
              <w:t>understanding</w:t>
            </w:r>
            <w:r>
              <w:rPr>
                <w:spacing w:val="-4"/>
              </w:rPr>
              <w:t xml:space="preserve"> </w:t>
            </w:r>
            <w:r>
              <w:t>with the individuals requesting the agreed-upon procedures in an engagement letter?</w:t>
            </w:r>
          </w:p>
        </w:tc>
        <w:tc>
          <w:tcPr>
            <w:tcW w:w="1052" w:type="dxa"/>
            <w:tcBorders>
              <w:top w:val="single" w:sz="2" w:space="0" w:color="000000"/>
              <w:left w:val="single" w:sz="2" w:space="0" w:color="000000"/>
              <w:bottom w:val="single" w:sz="2" w:space="0" w:color="000000"/>
              <w:right w:val="single" w:sz="2" w:space="0" w:color="000000"/>
            </w:tcBorders>
          </w:tcPr>
          <w:p w14:paraId="0DFDB3E5" w14:textId="77777777" w:rsidR="00046465" w:rsidRDefault="00046465">
            <w:pPr>
              <w:pStyle w:val="TableParagraph"/>
              <w:rPr>
                <w:rFonts w:ascii="Times New Roman"/>
              </w:rPr>
            </w:pPr>
          </w:p>
        </w:tc>
        <w:tc>
          <w:tcPr>
            <w:tcW w:w="949" w:type="dxa"/>
            <w:tcBorders>
              <w:top w:val="single" w:sz="2" w:space="0" w:color="000000"/>
              <w:left w:val="single" w:sz="2" w:space="0" w:color="000000"/>
              <w:bottom w:val="single" w:sz="2" w:space="0" w:color="000000"/>
            </w:tcBorders>
          </w:tcPr>
          <w:p w14:paraId="0DFDB3E6" w14:textId="77777777" w:rsidR="00046465" w:rsidRDefault="00046465">
            <w:pPr>
              <w:pStyle w:val="TableParagraph"/>
              <w:rPr>
                <w:rFonts w:ascii="Times New Roman"/>
              </w:rPr>
            </w:pPr>
          </w:p>
        </w:tc>
      </w:tr>
      <w:tr w:rsidR="00046465" w14:paraId="0DFDB3F4" w14:textId="77777777">
        <w:trPr>
          <w:trHeight w:val="6732"/>
        </w:trPr>
        <w:tc>
          <w:tcPr>
            <w:tcW w:w="6898" w:type="dxa"/>
            <w:tcBorders>
              <w:top w:val="single" w:sz="2" w:space="0" w:color="000000"/>
              <w:bottom w:val="single" w:sz="2" w:space="0" w:color="000000"/>
              <w:right w:val="single" w:sz="2" w:space="0" w:color="000000"/>
            </w:tcBorders>
          </w:tcPr>
          <w:p w14:paraId="0DFDB3E8" w14:textId="77777777" w:rsidR="00046465" w:rsidRDefault="008134EB">
            <w:pPr>
              <w:pStyle w:val="TableParagraph"/>
              <w:numPr>
                <w:ilvl w:val="0"/>
                <w:numId w:val="191"/>
              </w:numPr>
              <w:tabs>
                <w:tab w:val="left" w:pos="484"/>
              </w:tabs>
              <w:spacing w:before="121"/>
              <w:ind w:left="484" w:hanging="359"/>
            </w:pPr>
            <w:r>
              <w:t>Does</w:t>
            </w:r>
            <w:r>
              <w:rPr>
                <w:spacing w:val="-7"/>
              </w:rPr>
              <w:t xml:space="preserve"> </w:t>
            </w:r>
            <w:r>
              <w:t>the</w:t>
            </w:r>
            <w:r>
              <w:rPr>
                <w:spacing w:val="-7"/>
              </w:rPr>
              <w:t xml:space="preserve"> </w:t>
            </w:r>
            <w:r>
              <w:t>engagement</w:t>
            </w:r>
            <w:r>
              <w:rPr>
                <w:spacing w:val="-6"/>
              </w:rPr>
              <w:t xml:space="preserve"> </w:t>
            </w:r>
            <w:r>
              <w:t>letter</w:t>
            </w:r>
            <w:r>
              <w:rPr>
                <w:spacing w:val="-7"/>
              </w:rPr>
              <w:t xml:space="preserve"> </w:t>
            </w:r>
            <w:r>
              <w:t>include</w:t>
            </w:r>
            <w:r>
              <w:rPr>
                <w:spacing w:val="-6"/>
              </w:rPr>
              <w:t xml:space="preserve"> </w:t>
            </w:r>
            <w:r>
              <w:t>the</w:t>
            </w:r>
            <w:r>
              <w:rPr>
                <w:spacing w:val="-7"/>
              </w:rPr>
              <w:t xml:space="preserve"> </w:t>
            </w:r>
            <w:r>
              <w:rPr>
                <w:spacing w:val="-2"/>
              </w:rPr>
              <w:t>following?</w:t>
            </w:r>
          </w:p>
          <w:p w14:paraId="0DFDB3E9" w14:textId="77777777" w:rsidR="00046465" w:rsidRDefault="008134EB">
            <w:pPr>
              <w:pStyle w:val="TableParagraph"/>
              <w:numPr>
                <w:ilvl w:val="1"/>
                <w:numId w:val="191"/>
              </w:numPr>
              <w:tabs>
                <w:tab w:val="left" w:pos="859"/>
              </w:tabs>
              <w:spacing w:before="119"/>
            </w:pPr>
            <w:r>
              <w:t>The</w:t>
            </w:r>
            <w:r>
              <w:rPr>
                <w:spacing w:val="-4"/>
              </w:rPr>
              <w:t xml:space="preserve"> </w:t>
            </w:r>
            <w:r>
              <w:t>nature</w:t>
            </w:r>
            <w:r>
              <w:rPr>
                <w:spacing w:val="-4"/>
              </w:rPr>
              <w:t xml:space="preserve"> </w:t>
            </w:r>
            <w:r>
              <w:t>of</w:t>
            </w:r>
            <w:r>
              <w:rPr>
                <w:spacing w:val="-4"/>
              </w:rPr>
              <w:t xml:space="preserve"> </w:t>
            </w:r>
            <w:r>
              <w:t>the</w:t>
            </w:r>
            <w:r>
              <w:rPr>
                <w:spacing w:val="-3"/>
              </w:rPr>
              <w:t xml:space="preserve"> </w:t>
            </w:r>
            <w:r>
              <w:rPr>
                <w:spacing w:val="-2"/>
              </w:rPr>
              <w:t>engagement.</w:t>
            </w:r>
          </w:p>
          <w:p w14:paraId="0DFDB3EA" w14:textId="77777777" w:rsidR="00046465" w:rsidRDefault="008134EB">
            <w:pPr>
              <w:pStyle w:val="TableParagraph"/>
              <w:numPr>
                <w:ilvl w:val="1"/>
                <w:numId w:val="191"/>
              </w:numPr>
              <w:tabs>
                <w:tab w:val="left" w:pos="859"/>
              </w:tabs>
              <w:spacing w:before="59"/>
              <w:ind w:right="740"/>
            </w:pPr>
            <w:r>
              <w:t>Identification</w:t>
            </w:r>
            <w:r>
              <w:rPr>
                <w:spacing w:val="-6"/>
              </w:rPr>
              <w:t xml:space="preserve"> </w:t>
            </w:r>
            <w:r>
              <w:t>of</w:t>
            </w:r>
            <w:r>
              <w:rPr>
                <w:spacing w:val="-6"/>
              </w:rPr>
              <w:t xml:space="preserve"> </w:t>
            </w:r>
            <w:r>
              <w:t>the</w:t>
            </w:r>
            <w:r>
              <w:rPr>
                <w:spacing w:val="-6"/>
              </w:rPr>
              <w:t xml:space="preserve"> </w:t>
            </w:r>
            <w:r>
              <w:t>subject</w:t>
            </w:r>
            <w:r>
              <w:rPr>
                <w:spacing w:val="-6"/>
              </w:rPr>
              <w:t xml:space="preserve"> </w:t>
            </w:r>
            <w:r>
              <w:t>matter</w:t>
            </w:r>
            <w:r>
              <w:rPr>
                <w:spacing w:val="-6"/>
              </w:rPr>
              <w:t xml:space="preserve"> </w:t>
            </w:r>
            <w:r>
              <w:t>and</w:t>
            </w:r>
            <w:r>
              <w:rPr>
                <w:spacing w:val="-6"/>
              </w:rPr>
              <w:t xml:space="preserve"> </w:t>
            </w:r>
            <w:r>
              <w:t>the</w:t>
            </w:r>
            <w:r>
              <w:rPr>
                <w:spacing w:val="-6"/>
              </w:rPr>
              <w:t xml:space="preserve"> </w:t>
            </w:r>
            <w:r>
              <w:t xml:space="preserve">responsible </w:t>
            </w:r>
            <w:r>
              <w:rPr>
                <w:spacing w:val="-2"/>
              </w:rPr>
              <w:t>entity.</w:t>
            </w:r>
          </w:p>
          <w:p w14:paraId="0DFDB3EB" w14:textId="77777777" w:rsidR="00046465" w:rsidRDefault="008134EB">
            <w:pPr>
              <w:pStyle w:val="TableParagraph"/>
              <w:numPr>
                <w:ilvl w:val="1"/>
                <w:numId w:val="191"/>
              </w:numPr>
              <w:tabs>
                <w:tab w:val="left" w:pos="859"/>
              </w:tabs>
              <w:spacing w:before="58"/>
            </w:pPr>
            <w:r>
              <w:t>Auditor’s</w:t>
            </w:r>
            <w:r>
              <w:rPr>
                <w:spacing w:val="-10"/>
              </w:rPr>
              <w:t xml:space="preserve"> </w:t>
            </w:r>
            <w:r>
              <w:rPr>
                <w:spacing w:val="-2"/>
              </w:rPr>
              <w:t>responsibilities.</w:t>
            </w:r>
          </w:p>
          <w:p w14:paraId="0DFDB3EC" w14:textId="77777777" w:rsidR="00046465" w:rsidRDefault="008134EB">
            <w:pPr>
              <w:pStyle w:val="TableParagraph"/>
              <w:numPr>
                <w:ilvl w:val="1"/>
                <w:numId w:val="191"/>
              </w:numPr>
              <w:tabs>
                <w:tab w:val="left" w:pos="859"/>
              </w:tabs>
              <w:spacing w:before="58"/>
              <w:ind w:right="192"/>
            </w:pPr>
            <w:r>
              <w:t>Reference</w:t>
            </w:r>
            <w:r>
              <w:rPr>
                <w:spacing w:val="-5"/>
              </w:rPr>
              <w:t xml:space="preserve"> </w:t>
            </w:r>
            <w:r>
              <w:t>to</w:t>
            </w:r>
            <w:r>
              <w:rPr>
                <w:spacing w:val="-5"/>
              </w:rPr>
              <w:t xml:space="preserve"> </w:t>
            </w:r>
            <w:r>
              <w:t>GAGAS</w:t>
            </w:r>
            <w:r>
              <w:rPr>
                <w:spacing w:val="-5"/>
              </w:rPr>
              <w:t xml:space="preserve"> </w:t>
            </w:r>
            <w:r>
              <w:t>and</w:t>
            </w:r>
            <w:r>
              <w:rPr>
                <w:spacing w:val="-5"/>
              </w:rPr>
              <w:t xml:space="preserve"> </w:t>
            </w:r>
            <w:r>
              <w:t>a</w:t>
            </w:r>
            <w:r>
              <w:rPr>
                <w:spacing w:val="-5"/>
              </w:rPr>
              <w:t xml:space="preserve"> </w:t>
            </w:r>
            <w:r>
              <w:t>statement</w:t>
            </w:r>
            <w:r>
              <w:rPr>
                <w:spacing w:val="-5"/>
              </w:rPr>
              <w:t xml:space="preserve"> </w:t>
            </w:r>
            <w:r>
              <w:t>that</w:t>
            </w:r>
            <w:r>
              <w:rPr>
                <w:spacing w:val="-5"/>
              </w:rPr>
              <w:t xml:space="preserve"> </w:t>
            </w:r>
            <w:r>
              <w:t>the</w:t>
            </w:r>
            <w:r>
              <w:rPr>
                <w:spacing w:val="-6"/>
              </w:rPr>
              <w:t xml:space="preserve"> </w:t>
            </w:r>
            <w:r>
              <w:t>engagement will be conducted in accordance with the AICPA’s attestation standards.</w:t>
            </w:r>
          </w:p>
          <w:p w14:paraId="0DFDB3ED" w14:textId="77777777" w:rsidR="00046465" w:rsidRDefault="008134EB">
            <w:pPr>
              <w:pStyle w:val="TableParagraph"/>
              <w:numPr>
                <w:ilvl w:val="1"/>
                <w:numId w:val="191"/>
              </w:numPr>
              <w:tabs>
                <w:tab w:val="left" w:pos="859"/>
              </w:tabs>
              <w:spacing w:before="59"/>
              <w:ind w:right="215"/>
            </w:pPr>
            <w:r>
              <w:t>A</w:t>
            </w:r>
            <w:r>
              <w:rPr>
                <w:spacing w:val="-5"/>
              </w:rPr>
              <w:t xml:space="preserve"> </w:t>
            </w:r>
            <w:r>
              <w:t>statement</w:t>
            </w:r>
            <w:r>
              <w:rPr>
                <w:spacing w:val="-5"/>
              </w:rPr>
              <w:t xml:space="preserve"> </w:t>
            </w:r>
            <w:r>
              <w:t>that</w:t>
            </w:r>
            <w:r>
              <w:rPr>
                <w:spacing w:val="-5"/>
              </w:rPr>
              <w:t xml:space="preserve"> </w:t>
            </w:r>
            <w:r>
              <w:t>the</w:t>
            </w:r>
            <w:r>
              <w:rPr>
                <w:spacing w:val="-5"/>
              </w:rPr>
              <w:t xml:space="preserve"> </w:t>
            </w:r>
            <w:r>
              <w:t>responsible</w:t>
            </w:r>
            <w:r>
              <w:rPr>
                <w:spacing w:val="-5"/>
              </w:rPr>
              <w:t xml:space="preserve"> </w:t>
            </w:r>
            <w:r>
              <w:t>party</w:t>
            </w:r>
            <w:r>
              <w:rPr>
                <w:spacing w:val="-5"/>
              </w:rPr>
              <w:t xml:space="preserve"> </w:t>
            </w:r>
            <w:r>
              <w:t>is</w:t>
            </w:r>
            <w:r>
              <w:rPr>
                <w:spacing w:val="-5"/>
              </w:rPr>
              <w:t xml:space="preserve"> </w:t>
            </w:r>
            <w:r>
              <w:t>responsible</w:t>
            </w:r>
            <w:r>
              <w:rPr>
                <w:spacing w:val="-5"/>
              </w:rPr>
              <w:t xml:space="preserve"> </w:t>
            </w:r>
            <w:r>
              <w:t>for</w:t>
            </w:r>
            <w:r>
              <w:rPr>
                <w:spacing w:val="-5"/>
              </w:rPr>
              <w:t xml:space="preserve"> </w:t>
            </w:r>
            <w:r>
              <w:t>the subject matter.</w:t>
            </w:r>
          </w:p>
          <w:p w14:paraId="0DFDB3EE" w14:textId="77777777" w:rsidR="00046465" w:rsidRDefault="008134EB">
            <w:pPr>
              <w:pStyle w:val="TableParagraph"/>
              <w:numPr>
                <w:ilvl w:val="1"/>
                <w:numId w:val="191"/>
              </w:numPr>
              <w:tabs>
                <w:tab w:val="left" w:pos="859"/>
              </w:tabs>
              <w:spacing w:before="58"/>
              <w:ind w:right="168" w:hanging="361"/>
            </w:pPr>
            <w:r>
              <w:t>A statement that the engaging party agrees to provide the auditor,</w:t>
            </w:r>
            <w:r>
              <w:rPr>
                <w:spacing w:val="-2"/>
              </w:rPr>
              <w:t xml:space="preserve"> </w:t>
            </w:r>
            <w:r>
              <w:t>prior</w:t>
            </w:r>
            <w:r>
              <w:rPr>
                <w:spacing w:val="-2"/>
              </w:rPr>
              <w:t xml:space="preserve"> </w:t>
            </w:r>
            <w:r>
              <w:t>to</w:t>
            </w:r>
            <w:r>
              <w:rPr>
                <w:spacing w:val="-2"/>
              </w:rPr>
              <w:t xml:space="preserve"> </w:t>
            </w:r>
            <w:r>
              <w:t>the</w:t>
            </w:r>
            <w:r>
              <w:rPr>
                <w:spacing w:val="-2"/>
              </w:rPr>
              <w:t xml:space="preserve"> </w:t>
            </w:r>
            <w:r>
              <w:t>completion</w:t>
            </w:r>
            <w:r>
              <w:rPr>
                <w:spacing w:val="-2"/>
              </w:rPr>
              <w:t xml:space="preserve"> </w:t>
            </w:r>
            <w:r>
              <w:t>of</w:t>
            </w:r>
            <w:r>
              <w:rPr>
                <w:spacing w:val="-2"/>
              </w:rPr>
              <w:t xml:space="preserve"> </w:t>
            </w:r>
            <w:r>
              <w:t>the</w:t>
            </w:r>
            <w:r>
              <w:rPr>
                <w:spacing w:val="-2"/>
              </w:rPr>
              <w:t xml:space="preserve"> </w:t>
            </w:r>
            <w:r>
              <w:t>engagement,</w:t>
            </w:r>
            <w:r>
              <w:rPr>
                <w:spacing w:val="-2"/>
              </w:rPr>
              <w:t xml:space="preserve"> </w:t>
            </w:r>
            <w:r>
              <w:t>a</w:t>
            </w:r>
            <w:r>
              <w:rPr>
                <w:spacing w:val="-2"/>
              </w:rPr>
              <w:t xml:space="preserve"> </w:t>
            </w:r>
            <w:r>
              <w:t>written agreement</w:t>
            </w:r>
            <w:r>
              <w:rPr>
                <w:spacing w:val="-8"/>
              </w:rPr>
              <w:t xml:space="preserve"> </w:t>
            </w:r>
            <w:r>
              <w:t>and</w:t>
            </w:r>
            <w:r>
              <w:rPr>
                <w:spacing w:val="-8"/>
              </w:rPr>
              <w:t xml:space="preserve"> </w:t>
            </w:r>
            <w:r>
              <w:t>acknowledgment</w:t>
            </w:r>
            <w:r>
              <w:rPr>
                <w:spacing w:val="-8"/>
              </w:rPr>
              <w:t xml:space="preserve"> </w:t>
            </w:r>
            <w:r>
              <w:t>that</w:t>
            </w:r>
            <w:r>
              <w:rPr>
                <w:spacing w:val="-8"/>
              </w:rPr>
              <w:t xml:space="preserve"> </w:t>
            </w:r>
            <w:r>
              <w:t>procedures</w:t>
            </w:r>
            <w:r>
              <w:rPr>
                <w:spacing w:val="-9"/>
              </w:rPr>
              <w:t xml:space="preserve"> </w:t>
            </w:r>
            <w:r>
              <w:t>performed are appropriate for the intended purpose of the</w:t>
            </w:r>
            <w:r>
              <w:rPr>
                <w:spacing w:val="40"/>
              </w:rPr>
              <w:t xml:space="preserve"> </w:t>
            </w:r>
            <w:r>
              <w:rPr>
                <w:spacing w:val="-2"/>
              </w:rPr>
              <w:t>engagement.</w:t>
            </w:r>
          </w:p>
          <w:p w14:paraId="0DFDB3EF" w14:textId="77777777" w:rsidR="00046465" w:rsidRDefault="008134EB">
            <w:pPr>
              <w:pStyle w:val="TableParagraph"/>
              <w:numPr>
                <w:ilvl w:val="1"/>
                <w:numId w:val="191"/>
              </w:numPr>
              <w:tabs>
                <w:tab w:val="left" w:pos="859"/>
              </w:tabs>
              <w:spacing w:before="58"/>
              <w:ind w:right="387"/>
            </w:pPr>
            <w:r>
              <w:t>A statement that the engaging party agrees to provide a representation</w:t>
            </w:r>
            <w:r>
              <w:rPr>
                <w:spacing w:val="-6"/>
              </w:rPr>
              <w:t xml:space="preserve"> </w:t>
            </w:r>
            <w:r>
              <w:t>letter</w:t>
            </w:r>
            <w:r>
              <w:rPr>
                <w:spacing w:val="-6"/>
              </w:rPr>
              <w:t xml:space="preserve"> </w:t>
            </w:r>
            <w:r>
              <w:t>at</w:t>
            </w:r>
            <w:r>
              <w:rPr>
                <w:spacing w:val="-6"/>
              </w:rPr>
              <w:t xml:space="preserve"> </w:t>
            </w:r>
            <w:r>
              <w:t>the</w:t>
            </w:r>
            <w:r>
              <w:rPr>
                <w:spacing w:val="-6"/>
              </w:rPr>
              <w:t xml:space="preserve"> </w:t>
            </w:r>
            <w:r>
              <w:t>conclusion</w:t>
            </w:r>
            <w:r>
              <w:rPr>
                <w:spacing w:val="-6"/>
              </w:rPr>
              <w:t xml:space="preserve"> </w:t>
            </w:r>
            <w:r>
              <w:t>of</w:t>
            </w:r>
            <w:r>
              <w:rPr>
                <w:spacing w:val="-6"/>
              </w:rPr>
              <w:t xml:space="preserve"> </w:t>
            </w:r>
            <w:r>
              <w:t>the</w:t>
            </w:r>
            <w:r>
              <w:rPr>
                <w:spacing w:val="-6"/>
              </w:rPr>
              <w:t xml:space="preserve"> </w:t>
            </w:r>
            <w:r>
              <w:t>engagement.</w:t>
            </w:r>
          </w:p>
          <w:p w14:paraId="0DFDB3F0" w14:textId="77777777" w:rsidR="00046465" w:rsidRDefault="008134EB">
            <w:pPr>
              <w:pStyle w:val="TableParagraph"/>
              <w:numPr>
                <w:ilvl w:val="1"/>
                <w:numId w:val="191"/>
              </w:numPr>
              <w:tabs>
                <w:tab w:val="left" w:pos="859"/>
              </w:tabs>
              <w:spacing w:before="58"/>
              <w:ind w:right="508"/>
            </w:pPr>
            <w:r>
              <w:t>If the engaging party is not the responsible party, a statement</w:t>
            </w:r>
            <w:r>
              <w:rPr>
                <w:spacing w:val="-7"/>
              </w:rPr>
              <w:t xml:space="preserve"> </w:t>
            </w:r>
            <w:r>
              <w:t>that</w:t>
            </w:r>
            <w:r>
              <w:rPr>
                <w:spacing w:val="-7"/>
              </w:rPr>
              <w:t xml:space="preserve"> </w:t>
            </w:r>
            <w:r>
              <w:t>written</w:t>
            </w:r>
            <w:r>
              <w:rPr>
                <w:spacing w:val="-7"/>
              </w:rPr>
              <w:t xml:space="preserve"> </w:t>
            </w:r>
            <w:r>
              <w:t>representations</w:t>
            </w:r>
            <w:r>
              <w:rPr>
                <w:spacing w:val="-7"/>
              </w:rPr>
              <w:t xml:space="preserve"> </w:t>
            </w:r>
            <w:r>
              <w:t>may</w:t>
            </w:r>
            <w:r>
              <w:rPr>
                <w:spacing w:val="-7"/>
              </w:rPr>
              <w:t xml:space="preserve"> </w:t>
            </w:r>
            <w:r>
              <w:t>be</w:t>
            </w:r>
            <w:r>
              <w:rPr>
                <w:spacing w:val="-7"/>
              </w:rPr>
              <w:t xml:space="preserve"> </w:t>
            </w:r>
            <w:r>
              <w:t>requested from the responsible party.</w:t>
            </w:r>
          </w:p>
          <w:p w14:paraId="0DFDB3F1" w14:textId="77777777" w:rsidR="00046465" w:rsidRDefault="008134EB">
            <w:pPr>
              <w:pStyle w:val="TableParagraph"/>
              <w:numPr>
                <w:ilvl w:val="1"/>
                <w:numId w:val="191"/>
              </w:numPr>
              <w:tabs>
                <w:tab w:val="left" w:pos="859"/>
              </w:tabs>
              <w:spacing w:before="59"/>
              <w:ind w:right="410"/>
            </w:pPr>
            <w:r>
              <w:t>Reference</w:t>
            </w:r>
            <w:r>
              <w:rPr>
                <w:spacing w:val="-5"/>
              </w:rPr>
              <w:t xml:space="preserve"> </w:t>
            </w:r>
            <w:r>
              <w:t>to</w:t>
            </w:r>
            <w:r>
              <w:rPr>
                <w:spacing w:val="-5"/>
              </w:rPr>
              <w:t xml:space="preserve"> </w:t>
            </w:r>
            <w:r>
              <w:t>the</w:t>
            </w:r>
            <w:r>
              <w:rPr>
                <w:spacing w:val="-5"/>
              </w:rPr>
              <w:t xml:space="preserve"> </w:t>
            </w:r>
            <w:r>
              <w:t>expected</w:t>
            </w:r>
            <w:r>
              <w:rPr>
                <w:spacing w:val="-5"/>
              </w:rPr>
              <w:t xml:space="preserve"> </w:t>
            </w:r>
            <w:r>
              <w:t>form</w:t>
            </w:r>
            <w:r>
              <w:rPr>
                <w:spacing w:val="-5"/>
              </w:rPr>
              <w:t xml:space="preserve"> </w:t>
            </w:r>
            <w:r>
              <w:t>and</w:t>
            </w:r>
            <w:r>
              <w:rPr>
                <w:spacing w:val="-5"/>
              </w:rPr>
              <w:t xml:space="preserve"> </w:t>
            </w:r>
            <w:r>
              <w:t>content</w:t>
            </w:r>
            <w:r>
              <w:rPr>
                <w:spacing w:val="-5"/>
              </w:rPr>
              <w:t xml:space="preserve"> </w:t>
            </w:r>
            <w:r>
              <w:t>of</w:t>
            </w:r>
            <w:r>
              <w:rPr>
                <w:spacing w:val="-5"/>
              </w:rPr>
              <w:t xml:space="preserve"> </w:t>
            </w:r>
            <w:r>
              <w:t>the</w:t>
            </w:r>
            <w:r>
              <w:rPr>
                <w:spacing w:val="-5"/>
              </w:rPr>
              <w:t xml:space="preserve"> </w:t>
            </w:r>
            <w:r>
              <w:t xml:space="preserve">report, including expected disclaimers and use restrictions, if </w:t>
            </w:r>
            <w:r>
              <w:rPr>
                <w:spacing w:val="-2"/>
              </w:rPr>
              <w:t>applicable.</w:t>
            </w:r>
          </w:p>
        </w:tc>
        <w:tc>
          <w:tcPr>
            <w:tcW w:w="1052" w:type="dxa"/>
            <w:tcBorders>
              <w:top w:val="single" w:sz="2" w:space="0" w:color="000000"/>
              <w:left w:val="single" w:sz="2" w:space="0" w:color="000000"/>
              <w:bottom w:val="single" w:sz="2" w:space="0" w:color="000000"/>
              <w:right w:val="single" w:sz="2" w:space="0" w:color="000000"/>
            </w:tcBorders>
          </w:tcPr>
          <w:p w14:paraId="0DFDB3F2" w14:textId="77777777" w:rsidR="00046465" w:rsidRDefault="00046465">
            <w:pPr>
              <w:pStyle w:val="TableParagraph"/>
              <w:rPr>
                <w:rFonts w:ascii="Times New Roman"/>
              </w:rPr>
            </w:pPr>
          </w:p>
        </w:tc>
        <w:tc>
          <w:tcPr>
            <w:tcW w:w="949" w:type="dxa"/>
            <w:tcBorders>
              <w:top w:val="single" w:sz="2" w:space="0" w:color="000000"/>
              <w:left w:val="single" w:sz="2" w:space="0" w:color="000000"/>
              <w:bottom w:val="single" w:sz="2" w:space="0" w:color="000000"/>
            </w:tcBorders>
          </w:tcPr>
          <w:p w14:paraId="0DFDB3F3" w14:textId="77777777" w:rsidR="00046465" w:rsidRDefault="00046465">
            <w:pPr>
              <w:pStyle w:val="TableParagraph"/>
              <w:rPr>
                <w:rFonts w:ascii="Times New Roman"/>
              </w:rPr>
            </w:pPr>
          </w:p>
        </w:tc>
      </w:tr>
    </w:tbl>
    <w:p w14:paraId="0DFDB3F5" w14:textId="77777777" w:rsidR="00046465" w:rsidRDefault="00046465">
      <w:pPr>
        <w:pStyle w:val="TableParagraph"/>
        <w:rPr>
          <w:rFonts w:ascii="Times New Roman"/>
        </w:rPr>
        <w:sectPr w:rsidR="00046465">
          <w:headerReference w:type="default" r:id="rId106"/>
          <w:footerReference w:type="default" r:id="rId107"/>
          <w:pgSz w:w="12240" w:h="15840"/>
          <w:pgMar w:top="1340" w:right="720" w:bottom="940" w:left="1080" w:header="721" w:footer="757" w:gutter="0"/>
          <w:pgNumType w:start="1"/>
          <w:cols w:space="720"/>
        </w:sectPr>
      </w:pPr>
    </w:p>
    <w:p w14:paraId="0DFDB3F6" w14:textId="77777777" w:rsidR="00046465" w:rsidRDefault="00046465">
      <w:pPr>
        <w:pStyle w:val="BodyText"/>
        <w:spacing w:before="9"/>
        <w:rPr>
          <w:sz w:val="11"/>
        </w:rPr>
      </w:pPr>
    </w:p>
    <w:tbl>
      <w:tblPr>
        <w:tblW w:w="0" w:type="auto"/>
        <w:tblInd w:w="614"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898"/>
        <w:gridCol w:w="1052"/>
        <w:gridCol w:w="949"/>
      </w:tblGrid>
      <w:tr w:rsidR="00046465" w14:paraId="0DFDB3FC" w14:textId="77777777">
        <w:trPr>
          <w:trHeight w:val="758"/>
        </w:trPr>
        <w:tc>
          <w:tcPr>
            <w:tcW w:w="6898" w:type="dxa"/>
            <w:tcBorders>
              <w:right w:val="single" w:sz="2" w:space="0" w:color="000000"/>
            </w:tcBorders>
          </w:tcPr>
          <w:p w14:paraId="0DFDB3F7" w14:textId="77777777" w:rsidR="00046465" w:rsidRDefault="00046465">
            <w:pPr>
              <w:pStyle w:val="TableParagraph"/>
            </w:pPr>
          </w:p>
          <w:p w14:paraId="0DFDB3F8" w14:textId="77777777" w:rsidR="00046465" w:rsidRDefault="00046465">
            <w:pPr>
              <w:pStyle w:val="TableParagraph"/>
            </w:pPr>
          </w:p>
          <w:p w14:paraId="0DFDB3F9" w14:textId="77777777" w:rsidR="00046465" w:rsidRDefault="008134EB">
            <w:pPr>
              <w:pStyle w:val="TableParagraph"/>
              <w:spacing w:line="232" w:lineRule="exact"/>
              <w:ind w:right="6"/>
              <w:jc w:val="center"/>
              <w:rPr>
                <w:b/>
              </w:rPr>
            </w:pPr>
            <w:r>
              <w:rPr>
                <w:b/>
                <w:spacing w:val="-4"/>
              </w:rPr>
              <w:t>Steps</w:t>
            </w:r>
          </w:p>
        </w:tc>
        <w:tc>
          <w:tcPr>
            <w:tcW w:w="1052" w:type="dxa"/>
            <w:tcBorders>
              <w:left w:val="single" w:sz="2" w:space="0" w:color="000000"/>
              <w:right w:val="single" w:sz="2" w:space="0" w:color="000000"/>
            </w:tcBorders>
          </w:tcPr>
          <w:p w14:paraId="0DFDB3FA" w14:textId="77777777" w:rsidR="00046465" w:rsidRDefault="008134EB">
            <w:pPr>
              <w:pStyle w:val="TableParagraph"/>
              <w:spacing w:line="250" w:lineRule="atLeast"/>
              <w:ind w:left="223" w:right="209" w:hanging="1"/>
              <w:jc w:val="center"/>
              <w:rPr>
                <w:b/>
              </w:rPr>
            </w:pPr>
            <w:r>
              <w:rPr>
                <w:b/>
                <w:spacing w:val="-4"/>
              </w:rPr>
              <w:t xml:space="preserve">Yes, </w:t>
            </w:r>
            <w:r>
              <w:rPr>
                <w:b/>
              </w:rPr>
              <w:t>no,</w:t>
            </w:r>
            <w:r>
              <w:rPr>
                <w:b/>
                <w:spacing w:val="-16"/>
              </w:rPr>
              <w:t xml:space="preserve"> </w:t>
            </w:r>
            <w:r>
              <w:rPr>
                <w:b/>
              </w:rPr>
              <w:t xml:space="preserve">or </w:t>
            </w:r>
            <w:r>
              <w:rPr>
                <w:b/>
                <w:spacing w:val="-4"/>
              </w:rPr>
              <w:t>N/A</w:t>
            </w:r>
          </w:p>
        </w:tc>
        <w:tc>
          <w:tcPr>
            <w:tcW w:w="949" w:type="dxa"/>
            <w:tcBorders>
              <w:left w:val="single" w:sz="2" w:space="0" w:color="000000"/>
            </w:tcBorders>
          </w:tcPr>
          <w:p w14:paraId="0DFDB3FB" w14:textId="77777777" w:rsidR="00046465" w:rsidRDefault="008134EB">
            <w:pPr>
              <w:pStyle w:val="TableParagraph"/>
              <w:spacing w:before="233" w:line="250" w:lineRule="atLeast"/>
              <w:ind w:left="269" w:right="204" w:hanging="30"/>
              <w:rPr>
                <w:b/>
              </w:rPr>
            </w:pPr>
            <w:r>
              <w:rPr>
                <w:b/>
                <w:spacing w:val="-4"/>
              </w:rPr>
              <w:t>Doc. Ref.</w:t>
            </w:r>
          </w:p>
        </w:tc>
      </w:tr>
      <w:tr w:rsidR="00046465" w14:paraId="0DFDB404" w14:textId="77777777">
        <w:trPr>
          <w:trHeight w:val="2343"/>
        </w:trPr>
        <w:tc>
          <w:tcPr>
            <w:tcW w:w="6898" w:type="dxa"/>
            <w:tcBorders>
              <w:bottom w:val="single" w:sz="2" w:space="0" w:color="000000"/>
              <w:right w:val="single" w:sz="2" w:space="0" w:color="000000"/>
            </w:tcBorders>
          </w:tcPr>
          <w:p w14:paraId="0DFDB3FD" w14:textId="77777777" w:rsidR="00046465" w:rsidRDefault="008134EB">
            <w:pPr>
              <w:pStyle w:val="TableParagraph"/>
              <w:numPr>
                <w:ilvl w:val="0"/>
                <w:numId w:val="190"/>
              </w:numPr>
              <w:tabs>
                <w:tab w:val="left" w:pos="859"/>
              </w:tabs>
              <w:spacing w:line="229" w:lineRule="exact"/>
            </w:pPr>
            <w:r>
              <w:t>If</w:t>
            </w:r>
            <w:r>
              <w:rPr>
                <w:spacing w:val="-7"/>
              </w:rPr>
              <w:t xml:space="preserve"> </w:t>
            </w:r>
            <w:r>
              <w:t>applicable,</w:t>
            </w:r>
            <w:r>
              <w:rPr>
                <w:spacing w:val="-6"/>
              </w:rPr>
              <w:t xml:space="preserve"> </w:t>
            </w:r>
            <w:r>
              <w:t>identification</w:t>
            </w:r>
            <w:r>
              <w:rPr>
                <w:spacing w:val="-6"/>
              </w:rPr>
              <w:t xml:space="preserve"> </w:t>
            </w:r>
            <w:r>
              <w:t>of</w:t>
            </w:r>
            <w:r>
              <w:rPr>
                <w:spacing w:val="-6"/>
              </w:rPr>
              <w:t xml:space="preserve"> </w:t>
            </w:r>
            <w:r>
              <w:t>other</w:t>
            </w:r>
            <w:r>
              <w:rPr>
                <w:spacing w:val="-6"/>
              </w:rPr>
              <w:t xml:space="preserve"> </w:t>
            </w:r>
            <w:r>
              <w:t>parties</w:t>
            </w:r>
            <w:r>
              <w:rPr>
                <w:spacing w:val="-6"/>
              </w:rPr>
              <w:t xml:space="preserve"> </w:t>
            </w:r>
            <w:r>
              <w:t>in</w:t>
            </w:r>
            <w:r>
              <w:rPr>
                <w:spacing w:val="-6"/>
              </w:rPr>
              <w:t xml:space="preserve"> </w:t>
            </w:r>
            <w:r>
              <w:t>addition</w:t>
            </w:r>
            <w:r>
              <w:rPr>
                <w:spacing w:val="-6"/>
              </w:rPr>
              <w:t xml:space="preserve"> </w:t>
            </w:r>
            <w:r>
              <w:t>to</w:t>
            </w:r>
            <w:r>
              <w:rPr>
                <w:spacing w:val="-6"/>
              </w:rPr>
              <w:t xml:space="preserve"> </w:t>
            </w:r>
            <w:r>
              <w:rPr>
                <w:spacing w:val="-5"/>
              </w:rPr>
              <w:t>the</w:t>
            </w:r>
          </w:p>
          <w:p w14:paraId="0DFDB3FE" w14:textId="77777777" w:rsidR="00046465" w:rsidRDefault="008134EB">
            <w:pPr>
              <w:pStyle w:val="TableParagraph"/>
              <w:ind w:left="859" w:right="200"/>
            </w:pPr>
            <w:r>
              <w:t>engaging party that will be requested to agree to the procedures and acknowledge that the procedures performed</w:t>
            </w:r>
            <w:r>
              <w:rPr>
                <w:spacing w:val="-6"/>
              </w:rPr>
              <w:t xml:space="preserve"> </w:t>
            </w:r>
            <w:r>
              <w:t>are</w:t>
            </w:r>
            <w:r>
              <w:rPr>
                <w:spacing w:val="-6"/>
              </w:rPr>
              <w:t xml:space="preserve"> </w:t>
            </w:r>
            <w:r>
              <w:t>appropriate</w:t>
            </w:r>
            <w:r>
              <w:rPr>
                <w:spacing w:val="-6"/>
              </w:rPr>
              <w:t xml:space="preserve"> </w:t>
            </w:r>
            <w:r>
              <w:t>for</w:t>
            </w:r>
            <w:r>
              <w:rPr>
                <w:spacing w:val="-6"/>
              </w:rPr>
              <w:t xml:space="preserve"> </w:t>
            </w:r>
            <w:r>
              <w:t>their</w:t>
            </w:r>
            <w:r>
              <w:rPr>
                <w:spacing w:val="-6"/>
              </w:rPr>
              <w:t xml:space="preserve"> </w:t>
            </w:r>
            <w:r>
              <w:t>purposes</w:t>
            </w:r>
            <w:r>
              <w:rPr>
                <w:spacing w:val="-6"/>
              </w:rPr>
              <w:t xml:space="preserve"> </w:t>
            </w:r>
            <w:r>
              <w:t>(see</w:t>
            </w:r>
            <w:r>
              <w:rPr>
                <w:spacing w:val="-6"/>
              </w:rPr>
              <w:t xml:space="preserve"> </w:t>
            </w:r>
            <w:r>
              <w:t xml:space="preserve">AT-C </w:t>
            </w:r>
            <w:r>
              <w:rPr>
                <w:spacing w:val="-2"/>
              </w:rPr>
              <w:t>215.15h).</w:t>
            </w:r>
          </w:p>
          <w:p w14:paraId="0DFDB3FF" w14:textId="77777777" w:rsidR="00046465" w:rsidRDefault="008134EB">
            <w:pPr>
              <w:pStyle w:val="TableParagraph"/>
              <w:numPr>
                <w:ilvl w:val="0"/>
                <w:numId w:val="190"/>
              </w:numPr>
              <w:tabs>
                <w:tab w:val="left" w:pos="859"/>
              </w:tabs>
              <w:spacing w:before="59"/>
            </w:pPr>
            <w:r>
              <w:t>Assistance</w:t>
            </w:r>
            <w:r>
              <w:rPr>
                <w:spacing w:val="-6"/>
              </w:rPr>
              <w:t xml:space="preserve"> </w:t>
            </w:r>
            <w:r>
              <w:t>to</w:t>
            </w:r>
            <w:r>
              <w:rPr>
                <w:spacing w:val="-5"/>
              </w:rPr>
              <w:t xml:space="preserve"> </w:t>
            </w:r>
            <w:r>
              <w:t>be</w:t>
            </w:r>
            <w:r>
              <w:rPr>
                <w:spacing w:val="-5"/>
              </w:rPr>
              <w:t xml:space="preserve"> </w:t>
            </w:r>
            <w:r>
              <w:t>provided</w:t>
            </w:r>
            <w:r>
              <w:rPr>
                <w:spacing w:val="-6"/>
              </w:rPr>
              <w:t xml:space="preserve"> </w:t>
            </w:r>
            <w:r>
              <w:t>to</w:t>
            </w:r>
            <w:r>
              <w:rPr>
                <w:spacing w:val="-5"/>
              </w:rPr>
              <w:t xml:space="preserve"> </w:t>
            </w:r>
            <w:r>
              <w:t>the</w:t>
            </w:r>
            <w:r>
              <w:rPr>
                <w:spacing w:val="-6"/>
              </w:rPr>
              <w:t xml:space="preserve"> </w:t>
            </w:r>
            <w:r>
              <w:t>auditor,</w:t>
            </w:r>
            <w:r>
              <w:rPr>
                <w:spacing w:val="-5"/>
              </w:rPr>
              <w:t xml:space="preserve"> </w:t>
            </w:r>
            <w:r>
              <w:t>if</w:t>
            </w:r>
            <w:r>
              <w:rPr>
                <w:spacing w:val="-5"/>
              </w:rPr>
              <w:t xml:space="preserve"> </w:t>
            </w:r>
            <w:r>
              <w:rPr>
                <w:spacing w:val="-2"/>
              </w:rPr>
              <w:t>applicable.</w:t>
            </w:r>
          </w:p>
          <w:p w14:paraId="0DFDB400" w14:textId="77777777" w:rsidR="00046465" w:rsidRDefault="008134EB">
            <w:pPr>
              <w:pStyle w:val="TableParagraph"/>
              <w:numPr>
                <w:ilvl w:val="0"/>
                <w:numId w:val="190"/>
              </w:numPr>
              <w:tabs>
                <w:tab w:val="left" w:pos="859"/>
              </w:tabs>
              <w:spacing w:before="59"/>
            </w:pPr>
            <w:r>
              <w:t>Involvement</w:t>
            </w:r>
            <w:r>
              <w:rPr>
                <w:spacing w:val="-8"/>
              </w:rPr>
              <w:t xml:space="preserve"> </w:t>
            </w:r>
            <w:r>
              <w:t>of</w:t>
            </w:r>
            <w:r>
              <w:rPr>
                <w:spacing w:val="-7"/>
              </w:rPr>
              <w:t xml:space="preserve"> </w:t>
            </w:r>
            <w:r>
              <w:t>an</w:t>
            </w:r>
            <w:r>
              <w:rPr>
                <w:spacing w:val="-6"/>
              </w:rPr>
              <w:t xml:space="preserve"> </w:t>
            </w:r>
            <w:r>
              <w:t>auditor’s</w:t>
            </w:r>
            <w:r>
              <w:rPr>
                <w:spacing w:val="-7"/>
              </w:rPr>
              <w:t xml:space="preserve"> </w:t>
            </w:r>
            <w:r>
              <w:t>external</w:t>
            </w:r>
            <w:r>
              <w:rPr>
                <w:spacing w:val="-8"/>
              </w:rPr>
              <w:t xml:space="preserve"> </w:t>
            </w:r>
            <w:r>
              <w:t>specialist,</w:t>
            </w:r>
            <w:r>
              <w:rPr>
                <w:spacing w:val="-6"/>
              </w:rPr>
              <w:t xml:space="preserve"> </w:t>
            </w:r>
            <w:r>
              <w:t>if</w:t>
            </w:r>
            <w:r>
              <w:rPr>
                <w:spacing w:val="-10"/>
              </w:rPr>
              <w:t xml:space="preserve"> </w:t>
            </w:r>
            <w:r>
              <w:rPr>
                <w:spacing w:val="-2"/>
              </w:rPr>
              <w:t>applicable.</w:t>
            </w:r>
          </w:p>
          <w:p w14:paraId="0DFDB401" w14:textId="77777777" w:rsidR="00046465" w:rsidRDefault="008134EB">
            <w:pPr>
              <w:pStyle w:val="TableParagraph"/>
              <w:numPr>
                <w:ilvl w:val="0"/>
                <w:numId w:val="190"/>
              </w:numPr>
              <w:tabs>
                <w:tab w:val="left" w:pos="862"/>
              </w:tabs>
              <w:spacing w:before="58"/>
              <w:ind w:left="862" w:hanging="359"/>
            </w:pPr>
            <w:r>
              <w:t>Specified</w:t>
            </w:r>
            <w:r>
              <w:rPr>
                <w:spacing w:val="-8"/>
              </w:rPr>
              <w:t xml:space="preserve"> </w:t>
            </w:r>
            <w:r>
              <w:t>thresholds</w:t>
            </w:r>
            <w:r>
              <w:rPr>
                <w:spacing w:val="-8"/>
              </w:rPr>
              <w:t xml:space="preserve"> </w:t>
            </w:r>
            <w:r>
              <w:t>for</w:t>
            </w:r>
            <w:r>
              <w:rPr>
                <w:spacing w:val="-8"/>
              </w:rPr>
              <w:t xml:space="preserve"> </w:t>
            </w:r>
            <w:r>
              <w:t>reporting</w:t>
            </w:r>
            <w:r>
              <w:rPr>
                <w:spacing w:val="-8"/>
              </w:rPr>
              <w:t xml:space="preserve"> </w:t>
            </w:r>
            <w:r>
              <w:t>exceptions,</w:t>
            </w:r>
            <w:r>
              <w:rPr>
                <w:spacing w:val="-8"/>
              </w:rPr>
              <w:t xml:space="preserve"> </w:t>
            </w:r>
            <w:r>
              <w:t>if</w:t>
            </w:r>
            <w:r>
              <w:rPr>
                <w:spacing w:val="-8"/>
              </w:rPr>
              <w:t xml:space="preserve"> </w:t>
            </w:r>
            <w:r>
              <w:rPr>
                <w:spacing w:val="-2"/>
              </w:rPr>
              <w:t>applicable.</w:t>
            </w:r>
          </w:p>
        </w:tc>
        <w:tc>
          <w:tcPr>
            <w:tcW w:w="1052" w:type="dxa"/>
            <w:tcBorders>
              <w:left w:val="single" w:sz="2" w:space="0" w:color="000000"/>
              <w:bottom w:val="single" w:sz="2" w:space="0" w:color="000000"/>
              <w:right w:val="single" w:sz="2" w:space="0" w:color="000000"/>
            </w:tcBorders>
          </w:tcPr>
          <w:p w14:paraId="0DFDB402" w14:textId="77777777" w:rsidR="00046465" w:rsidRDefault="00046465">
            <w:pPr>
              <w:pStyle w:val="TableParagraph"/>
              <w:rPr>
                <w:rFonts w:ascii="Times New Roman"/>
                <w:sz w:val="20"/>
              </w:rPr>
            </w:pPr>
          </w:p>
        </w:tc>
        <w:tc>
          <w:tcPr>
            <w:tcW w:w="949" w:type="dxa"/>
            <w:tcBorders>
              <w:left w:val="single" w:sz="2" w:space="0" w:color="000000"/>
              <w:bottom w:val="single" w:sz="2" w:space="0" w:color="000000"/>
            </w:tcBorders>
          </w:tcPr>
          <w:p w14:paraId="0DFDB403" w14:textId="77777777" w:rsidR="00046465" w:rsidRDefault="00046465">
            <w:pPr>
              <w:pStyle w:val="TableParagraph"/>
              <w:rPr>
                <w:rFonts w:ascii="Times New Roman"/>
                <w:sz w:val="20"/>
              </w:rPr>
            </w:pPr>
          </w:p>
        </w:tc>
      </w:tr>
      <w:tr w:rsidR="00046465" w14:paraId="0DFDB408" w14:textId="77777777">
        <w:trPr>
          <w:trHeight w:val="492"/>
        </w:trPr>
        <w:tc>
          <w:tcPr>
            <w:tcW w:w="6898" w:type="dxa"/>
            <w:tcBorders>
              <w:top w:val="single" w:sz="2" w:space="0" w:color="000000"/>
              <w:bottom w:val="single" w:sz="2" w:space="0" w:color="000000"/>
              <w:right w:val="single" w:sz="2" w:space="0" w:color="000000"/>
            </w:tcBorders>
          </w:tcPr>
          <w:p w14:paraId="0DFDB405" w14:textId="77777777" w:rsidR="00046465" w:rsidRDefault="008134EB">
            <w:pPr>
              <w:pStyle w:val="TableParagraph"/>
              <w:spacing w:before="120"/>
              <w:ind w:left="125"/>
            </w:pPr>
            <w:r>
              <w:t>4.</w:t>
            </w:r>
            <w:r>
              <w:rPr>
                <w:spacing w:val="69"/>
                <w:w w:val="150"/>
              </w:rPr>
              <w:t xml:space="preserve"> </w:t>
            </w:r>
            <w:r>
              <w:t>Was</w:t>
            </w:r>
            <w:r>
              <w:rPr>
                <w:spacing w:val="-6"/>
              </w:rPr>
              <w:t xml:space="preserve"> </w:t>
            </w:r>
            <w:r>
              <w:t>an</w:t>
            </w:r>
            <w:r>
              <w:rPr>
                <w:spacing w:val="-5"/>
              </w:rPr>
              <w:t xml:space="preserve"> </w:t>
            </w:r>
            <w:r>
              <w:t>entrance</w:t>
            </w:r>
            <w:r>
              <w:rPr>
                <w:spacing w:val="-5"/>
              </w:rPr>
              <w:t xml:space="preserve"> </w:t>
            </w:r>
            <w:r>
              <w:t>conference</w:t>
            </w:r>
            <w:r>
              <w:rPr>
                <w:spacing w:val="-5"/>
              </w:rPr>
              <w:t xml:space="preserve"> </w:t>
            </w:r>
            <w:r>
              <w:t>held</w:t>
            </w:r>
            <w:r>
              <w:rPr>
                <w:spacing w:val="-6"/>
              </w:rPr>
              <w:t xml:space="preserve"> </w:t>
            </w:r>
            <w:r>
              <w:t>with</w:t>
            </w:r>
            <w:r>
              <w:rPr>
                <w:spacing w:val="-5"/>
              </w:rPr>
              <w:t xml:space="preserve"> </w:t>
            </w:r>
            <w:r>
              <w:t>the</w:t>
            </w:r>
            <w:r>
              <w:rPr>
                <w:spacing w:val="-5"/>
              </w:rPr>
              <w:t xml:space="preserve"> </w:t>
            </w:r>
            <w:r>
              <w:t>responsible</w:t>
            </w:r>
            <w:r>
              <w:rPr>
                <w:spacing w:val="-6"/>
              </w:rPr>
              <w:t xml:space="preserve"> </w:t>
            </w:r>
            <w:r>
              <w:rPr>
                <w:spacing w:val="-2"/>
              </w:rPr>
              <w:t>entity?</w:t>
            </w:r>
          </w:p>
        </w:tc>
        <w:tc>
          <w:tcPr>
            <w:tcW w:w="1052" w:type="dxa"/>
            <w:tcBorders>
              <w:top w:val="single" w:sz="2" w:space="0" w:color="000000"/>
              <w:left w:val="single" w:sz="2" w:space="0" w:color="000000"/>
              <w:bottom w:val="single" w:sz="2" w:space="0" w:color="000000"/>
              <w:right w:val="single" w:sz="2" w:space="0" w:color="000000"/>
            </w:tcBorders>
          </w:tcPr>
          <w:p w14:paraId="0DFDB406" w14:textId="77777777" w:rsidR="00046465" w:rsidRDefault="00046465">
            <w:pPr>
              <w:pStyle w:val="TableParagraph"/>
              <w:rPr>
                <w:rFonts w:ascii="Times New Roman"/>
                <w:sz w:val="20"/>
              </w:rPr>
            </w:pPr>
          </w:p>
        </w:tc>
        <w:tc>
          <w:tcPr>
            <w:tcW w:w="949" w:type="dxa"/>
            <w:tcBorders>
              <w:top w:val="single" w:sz="2" w:space="0" w:color="000000"/>
              <w:left w:val="single" w:sz="2" w:space="0" w:color="000000"/>
              <w:bottom w:val="single" w:sz="2" w:space="0" w:color="000000"/>
            </w:tcBorders>
          </w:tcPr>
          <w:p w14:paraId="0DFDB407" w14:textId="77777777" w:rsidR="00046465" w:rsidRDefault="00046465">
            <w:pPr>
              <w:pStyle w:val="TableParagraph"/>
              <w:rPr>
                <w:rFonts w:ascii="Times New Roman"/>
                <w:sz w:val="20"/>
              </w:rPr>
            </w:pPr>
          </w:p>
        </w:tc>
      </w:tr>
      <w:tr w:rsidR="00046465" w14:paraId="0DFDB40C" w14:textId="77777777">
        <w:trPr>
          <w:trHeight w:val="746"/>
        </w:trPr>
        <w:tc>
          <w:tcPr>
            <w:tcW w:w="6898" w:type="dxa"/>
            <w:tcBorders>
              <w:top w:val="single" w:sz="2" w:space="0" w:color="000000"/>
              <w:bottom w:val="single" w:sz="2" w:space="0" w:color="000000"/>
              <w:right w:val="single" w:sz="2" w:space="0" w:color="000000"/>
            </w:tcBorders>
          </w:tcPr>
          <w:p w14:paraId="0DFDB409" w14:textId="77777777" w:rsidR="00046465" w:rsidRDefault="008134EB">
            <w:pPr>
              <w:pStyle w:val="TableParagraph"/>
              <w:spacing w:before="120"/>
              <w:ind w:left="485" w:right="200" w:hanging="360"/>
            </w:pPr>
            <w:r>
              <w:t>5.</w:t>
            </w:r>
            <w:r>
              <w:rPr>
                <w:spacing w:val="80"/>
              </w:rPr>
              <w:t xml:space="preserve"> </w:t>
            </w:r>
            <w:r>
              <w:t>Did</w:t>
            </w:r>
            <w:r>
              <w:rPr>
                <w:spacing w:val="-4"/>
              </w:rPr>
              <w:t xml:space="preserve"> </w:t>
            </w:r>
            <w:r>
              <w:t>the</w:t>
            </w:r>
            <w:r>
              <w:rPr>
                <w:spacing w:val="-4"/>
              </w:rPr>
              <w:t xml:space="preserve"> </w:t>
            </w:r>
            <w:r>
              <w:t>auditor</w:t>
            </w:r>
            <w:r>
              <w:rPr>
                <w:spacing w:val="-4"/>
              </w:rPr>
              <w:t xml:space="preserve"> </w:t>
            </w:r>
            <w:r>
              <w:t>obtain</w:t>
            </w:r>
            <w:r>
              <w:rPr>
                <w:spacing w:val="-4"/>
              </w:rPr>
              <w:t xml:space="preserve"> </w:t>
            </w:r>
            <w:r>
              <w:t>written</w:t>
            </w:r>
            <w:r>
              <w:rPr>
                <w:spacing w:val="-4"/>
              </w:rPr>
              <w:t xml:space="preserve"> </w:t>
            </w:r>
            <w:r>
              <w:t>representations</w:t>
            </w:r>
            <w:r>
              <w:rPr>
                <w:spacing w:val="-4"/>
              </w:rPr>
              <w:t xml:space="preserve"> </w:t>
            </w:r>
            <w:r>
              <w:t>from</w:t>
            </w:r>
            <w:r>
              <w:rPr>
                <w:spacing w:val="-5"/>
              </w:rPr>
              <w:t xml:space="preserve"> </w:t>
            </w:r>
            <w:r>
              <w:t>the</w:t>
            </w:r>
            <w:r>
              <w:rPr>
                <w:spacing w:val="-4"/>
              </w:rPr>
              <w:t xml:space="preserve"> </w:t>
            </w:r>
            <w:r>
              <w:t xml:space="preserve">engaging </w:t>
            </w:r>
            <w:r>
              <w:rPr>
                <w:spacing w:val="-2"/>
              </w:rPr>
              <w:t>party?</w:t>
            </w:r>
          </w:p>
        </w:tc>
        <w:tc>
          <w:tcPr>
            <w:tcW w:w="1052" w:type="dxa"/>
            <w:tcBorders>
              <w:top w:val="single" w:sz="2" w:space="0" w:color="000000"/>
              <w:left w:val="single" w:sz="2" w:space="0" w:color="000000"/>
              <w:bottom w:val="single" w:sz="2" w:space="0" w:color="000000"/>
              <w:right w:val="single" w:sz="2" w:space="0" w:color="000000"/>
            </w:tcBorders>
          </w:tcPr>
          <w:p w14:paraId="0DFDB40A" w14:textId="77777777" w:rsidR="00046465" w:rsidRDefault="00046465">
            <w:pPr>
              <w:pStyle w:val="TableParagraph"/>
              <w:rPr>
                <w:rFonts w:ascii="Times New Roman"/>
                <w:sz w:val="20"/>
              </w:rPr>
            </w:pPr>
          </w:p>
        </w:tc>
        <w:tc>
          <w:tcPr>
            <w:tcW w:w="949" w:type="dxa"/>
            <w:tcBorders>
              <w:top w:val="single" w:sz="2" w:space="0" w:color="000000"/>
              <w:left w:val="single" w:sz="2" w:space="0" w:color="000000"/>
              <w:bottom w:val="single" w:sz="2" w:space="0" w:color="000000"/>
            </w:tcBorders>
          </w:tcPr>
          <w:p w14:paraId="0DFDB40B" w14:textId="77777777" w:rsidR="00046465" w:rsidRDefault="00046465">
            <w:pPr>
              <w:pStyle w:val="TableParagraph"/>
              <w:rPr>
                <w:rFonts w:ascii="Times New Roman"/>
                <w:sz w:val="20"/>
              </w:rPr>
            </w:pPr>
          </w:p>
        </w:tc>
      </w:tr>
      <w:tr w:rsidR="00046465" w14:paraId="0DFDB410" w14:textId="77777777">
        <w:trPr>
          <w:trHeight w:val="998"/>
        </w:trPr>
        <w:tc>
          <w:tcPr>
            <w:tcW w:w="6898" w:type="dxa"/>
            <w:tcBorders>
              <w:top w:val="single" w:sz="2" w:space="0" w:color="000000"/>
              <w:bottom w:val="single" w:sz="2" w:space="0" w:color="000000"/>
              <w:right w:val="single" w:sz="2" w:space="0" w:color="000000"/>
            </w:tcBorders>
          </w:tcPr>
          <w:p w14:paraId="0DFDB40D" w14:textId="77777777" w:rsidR="00046465" w:rsidRDefault="008134EB">
            <w:pPr>
              <w:pStyle w:val="TableParagraph"/>
              <w:spacing w:before="120"/>
              <w:ind w:left="485" w:right="200" w:hanging="360"/>
            </w:pPr>
            <w:r>
              <w:t>6.</w:t>
            </w:r>
            <w:r>
              <w:rPr>
                <w:spacing w:val="80"/>
              </w:rPr>
              <w:t xml:space="preserve"> </w:t>
            </w:r>
            <w:r>
              <w:t>When the engaging party is not the responsible party, did the auditor</w:t>
            </w:r>
            <w:r>
              <w:rPr>
                <w:spacing w:val="-7"/>
              </w:rPr>
              <w:t xml:space="preserve"> </w:t>
            </w:r>
            <w:r>
              <w:t>consider</w:t>
            </w:r>
            <w:r>
              <w:rPr>
                <w:spacing w:val="-7"/>
              </w:rPr>
              <w:t xml:space="preserve"> </w:t>
            </w:r>
            <w:r>
              <w:t>requesting</w:t>
            </w:r>
            <w:r>
              <w:rPr>
                <w:spacing w:val="-7"/>
              </w:rPr>
              <w:t xml:space="preserve"> </w:t>
            </w:r>
            <w:r>
              <w:t>the</w:t>
            </w:r>
            <w:r>
              <w:rPr>
                <w:spacing w:val="-7"/>
              </w:rPr>
              <w:t xml:space="preserve"> </w:t>
            </w:r>
            <w:r>
              <w:t>relevant</w:t>
            </w:r>
            <w:r>
              <w:rPr>
                <w:spacing w:val="-7"/>
              </w:rPr>
              <w:t xml:space="preserve"> </w:t>
            </w:r>
            <w:r>
              <w:t>written</w:t>
            </w:r>
            <w:r>
              <w:rPr>
                <w:spacing w:val="-7"/>
              </w:rPr>
              <w:t xml:space="preserve"> </w:t>
            </w:r>
            <w:r>
              <w:t>representations from the responsible party?</w:t>
            </w:r>
          </w:p>
        </w:tc>
        <w:tc>
          <w:tcPr>
            <w:tcW w:w="1052" w:type="dxa"/>
            <w:tcBorders>
              <w:top w:val="single" w:sz="2" w:space="0" w:color="000000"/>
              <w:left w:val="single" w:sz="2" w:space="0" w:color="000000"/>
              <w:bottom w:val="single" w:sz="2" w:space="0" w:color="000000"/>
              <w:right w:val="single" w:sz="2" w:space="0" w:color="000000"/>
            </w:tcBorders>
          </w:tcPr>
          <w:p w14:paraId="0DFDB40E" w14:textId="77777777" w:rsidR="00046465" w:rsidRDefault="00046465">
            <w:pPr>
              <w:pStyle w:val="TableParagraph"/>
              <w:rPr>
                <w:rFonts w:ascii="Times New Roman"/>
                <w:sz w:val="20"/>
              </w:rPr>
            </w:pPr>
          </w:p>
        </w:tc>
        <w:tc>
          <w:tcPr>
            <w:tcW w:w="949" w:type="dxa"/>
            <w:tcBorders>
              <w:top w:val="single" w:sz="2" w:space="0" w:color="000000"/>
              <w:left w:val="single" w:sz="2" w:space="0" w:color="000000"/>
              <w:bottom w:val="single" w:sz="2" w:space="0" w:color="000000"/>
            </w:tcBorders>
          </w:tcPr>
          <w:p w14:paraId="0DFDB40F" w14:textId="77777777" w:rsidR="00046465" w:rsidRDefault="00046465">
            <w:pPr>
              <w:pStyle w:val="TableParagraph"/>
              <w:rPr>
                <w:rFonts w:ascii="Times New Roman"/>
                <w:sz w:val="20"/>
              </w:rPr>
            </w:pPr>
          </w:p>
        </w:tc>
      </w:tr>
      <w:tr w:rsidR="00046465" w14:paraId="0DFDB414" w14:textId="77777777">
        <w:trPr>
          <w:trHeight w:val="1505"/>
        </w:trPr>
        <w:tc>
          <w:tcPr>
            <w:tcW w:w="6898" w:type="dxa"/>
            <w:tcBorders>
              <w:top w:val="single" w:sz="2" w:space="0" w:color="000000"/>
              <w:bottom w:val="single" w:sz="2" w:space="0" w:color="000000"/>
              <w:right w:val="single" w:sz="2" w:space="0" w:color="000000"/>
            </w:tcBorders>
          </w:tcPr>
          <w:p w14:paraId="0DFDB411" w14:textId="77777777" w:rsidR="00046465" w:rsidRDefault="008134EB">
            <w:pPr>
              <w:pStyle w:val="TableParagraph"/>
              <w:spacing w:before="120"/>
              <w:ind w:left="485" w:hanging="360"/>
            </w:pPr>
            <w:r>
              <w:t>7.</w:t>
            </w:r>
            <w:r>
              <w:rPr>
                <w:spacing w:val="80"/>
              </w:rPr>
              <w:t xml:space="preserve"> </w:t>
            </w:r>
            <w:r>
              <w:t>Were written representations that the auditor obtained from the engaging</w:t>
            </w:r>
            <w:r>
              <w:rPr>
                <w:spacing w:val="-5"/>
              </w:rPr>
              <w:t xml:space="preserve"> </w:t>
            </w:r>
            <w:r>
              <w:t>party</w:t>
            </w:r>
            <w:r>
              <w:rPr>
                <w:spacing w:val="-4"/>
              </w:rPr>
              <w:t xml:space="preserve"> </w:t>
            </w:r>
            <w:r>
              <w:t>and</w:t>
            </w:r>
            <w:r>
              <w:rPr>
                <w:spacing w:val="-5"/>
              </w:rPr>
              <w:t xml:space="preserve"> </w:t>
            </w:r>
            <w:r>
              <w:t>responsible</w:t>
            </w:r>
            <w:r>
              <w:rPr>
                <w:spacing w:val="-5"/>
              </w:rPr>
              <w:t xml:space="preserve"> </w:t>
            </w:r>
            <w:r>
              <w:t>party,</w:t>
            </w:r>
            <w:r>
              <w:rPr>
                <w:spacing w:val="-5"/>
              </w:rPr>
              <w:t xml:space="preserve"> </w:t>
            </w:r>
            <w:r>
              <w:t>as</w:t>
            </w:r>
            <w:r>
              <w:rPr>
                <w:spacing w:val="-5"/>
              </w:rPr>
              <w:t xml:space="preserve"> </w:t>
            </w:r>
            <w:r>
              <w:t>applicable,</w:t>
            </w:r>
            <w:r>
              <w:rPr>
                <w:spacing w:val="-5"/>
              </w:rPr>
              <w:t xml:space="preserve"> </w:t>
            </w:r>
            <w:r>
              <w:t>dated</w:t>
            </w:r>
            <w:r>
              <w:rPr>
                <w:spacing w:val="-5"/>
              </w:rPr>
              <w:t xml:space="preserve"> </w:t>
            </w:r>
            <w:r>
              <w:t>as</w:t>
            </w:r>
            <w:r>
              <w:rPr>
                <w:spacing w:val="-5"/>
              </w:rPr>
              <w:t xml:space="preserve"> </w:t>
            </w:r>
            <w:r>
              <w:t>of the date of the agreed-upon procedures report, and do these representations</w:t>
            </w:r>
            <w:r>
              <w:rPr>
                <w:spacing w:val="-4"/>
              </w:rPr>
              <w:t xml:space="preserve"> </w:t>
            </w:r>
            <w:r>
              <w:t>address</w:t>
            </w:r>
            <w:r>
              <w:rPr>
                <w:spacing w:val="-5"/>
              </w:rPr>
              <w:t xml:space="preserve"> </w:t>
            </w:r>
            <w:r>
              <w:t>the</w:t>
            </w:r>
            <w:r>
              <w:rPr>
                <w:spacing w:val="-4"/>
              </w:rPr>
              <w:t xml:space="preserve"> </w:t>
            </w:r>
            <w:r>
              <w:t>subject</w:t>
            </w:r>
            <w:r>
              <w:rPr>
                <w:spacing w:val="-5"/>
              </w:rPr>
              <w:t xml:space="preserve"> </w:t>
            </w:r>
            <w:r>
              <w:t>matter</w:t>
            </w:r>
            <w:r>
              <w:rPr>
                <w:spacing w:val="-4"/>
              </w:rPr>
              <w:t xml:space="preserve"> </w:t>
            </w:r>
            <w:r>
              <w:t>and</w:t>
            </w:r>
            <w:r>
              <w:rPr>
                <w:spacing w:val="-4"/>
              </w:rPr>
              <w:t xml:space="preserve"> </w:t>
            </w:r>
            <w:r>
              <w:t>periods</w:t>
            </w:r>
            <w:r>
              <w:rPr>
                <w:spacing w:val="-4"/>
              </w:rPr>
              <w:t xml:space="preserve"> </w:t>
            </w:r>
            <w:r>
              <w:t>covered by the auditor’s findings?</w:t>
            </w:r>
          </w:p>
        </w:tc>
        <w:tc>
          <w:tcPr>
            <w:tcW w:w="1052" w:type="dxa"/>
            <w:tcBorders>
              <w:top w:val="single" w:sz="2" w:space="0" w:color="000000"/>
              <w:left w:val="single" w:sz="2" w:space="0" w:color="000000"/>
              <w:bottom w:val="single" w:sz="2" w:space="0" w:color="000000"/>
              <w:right w:val="single" w:sz="2" w:space="0" w:color="000000"/>
            </w:tcBorders>
          </w:tcPr>
          <w:p w14:paraId="0DFDB412" w14:textId="77777777" w:rsidR="00046465" w:rsidRDefault="00046465">
            <w:pPr>
              <w:pStyle w:val="TableParagraph"/>
              <w:rPr>
                <w:rFonts w:ascii="Times New Roman"/>
                <w:sz w:val="20"/>
              </w:rPr>
            </w:pPr>
          </w:p>
        </w:tc>
        <w:tc>
          <w:tcPr>
            <w:tcW w:w="949" w:type="dxa"/>
            <w:tcBorders>
              <w:top w:val="single" w:sz="2" w:space="0" w:color="000000"/>
              <w:left w:val="single" w:sz="2" w:space="0" w:color="000000"/>
              <w:bottom w:val="single" w:sz="2" w:space="0" w:color="000000"/>
            </w:tcBorders>
          </w:tcPr>
          <w:p w14:paraId="0DFDB413" w14:textId="77777777" w:rsidR="00046465" w:rsidRDefault="00046465">
            <w:pPr>
              <w:pStyle w:val="TableParagraph"/>
              <w:rPr>
                <w:rFonts w:ascii="Times New Roman"/>
                <w:sz w:val="20"/>
              </w:rPr>
            </w:pPr>
          </w:p>
        </w:tc>
      </w:tr>
      <w:tr w:rsidR="00046465" w14:paraId="0DFDB420" w14:textId="77777777">
        <w:trPr>
          <w:trHeight w:val="6092"/>
        </w:trPr>
        <w:tc>
          <w:tcPr>
            <w:tcW w:w="6898" w:type="dxa"/>
            <w:tcBorders>
              <w:top w:val="single" w:sz="2" w:space="0" w:color="000000"/>
              <w:bottom w:val="single" w:sz="2" w:space="0" w:color="000000"/>
              <w:right w:val="single" w:sz="2" w:space="0" w:color="000000"/>
            </w:tcBorders>
          </w:tcPr>
          <w:p w14:paraId="0DFDB415" w14:textId="77777777" w:rsidR="00046465" w:rsidRDefault="008134EB">
            <w:pPr>
              <w:pStyle w:val="TableParagraph"/>
              <w:numPr>
                <w:ilvl w:val="0"/>
                <w:numId w:val="189"/>
              </w:numPr>
              <w:tabs>
                <w:tab w:val="left" w:pos="484"/>
              </w:tabs>
              <w:spacing w:before="120"/>
              <w:ind w:left="484" w:hanging="359"/>
            </w:pPr>
            <w:r>
              <w:t>Does</w:t>
            </w:r>
            <w:r>
              <w:rPr>
                <w:spacing w:val="-7"/>
              </w:rPr>
              <w:t xml:space="preserve"> </w:t>
            </w:r>
            <w:r>
              <w:t>the</w:t>
            </w:r>
            <w:r>
              <w:rPr>
                <w:spacing w:val="-7"/>
              </w:rPr>
              <w:t xml:space="preserve"> </w:t>
            </w:r>
            <w:r>
              <w:t>documentation</w:t>
            </w:r>
            <w:r>
              <w:rPr>
                <w:spacing w:val="-7"/>
              </w:rPr>
              <w:t xml:space="preserve"> </w:t>
            </w:r>
            <w:r>
              <w:t>contain</w:t>
            </w:r>
            <w:r>
              <w:rPr>
                <w:spacing w:val="-7"/>
              </w:rPr>
              <w:t xml:space="preserve"> </w:t>
            </w:r>
            <w:r>
              <w:t>the</w:t>
            </w:r>
            <w:r>
              <w:rPr>
                <w:spacing w:val="-8"/>
              </w:rPr>
              <w:t xml:space="preserve"> </w:t>
            </w:r>
            <w:r>
              <w:rPr>
                <w:spacing w:val="-2"/>
              </w:rPr>
              <w:t>following?</w:t>
            </w:r>
          </w:p>
          <w:p w14:paraId="0DFDB416" w14:textId="77777777" w:rsidR="00046465" w:rsidRDefault="008134EB">
            <w:pPr>
              <w:pStyle w:val="TableParagraph"/>
              <w:numPr>
                <w:ilvl w:val="1"/>
                <w:numId w:val="189"/>
              </w:numPr>
              <w:tabs>
                <w:tab w:val="left" w:pos="862"/>
              </w:tabs>
              <w:spacing w:before="119"/>
              <w:ind w:right="225"/>
            </w:pPr>
            <w:r>
              <w:t>Written</w:t>
            </w:r>
            <w:r>
              <w:rPr>
                <w:spacing w:val="-7"/>
              </w:rPr>
              <w:t xml:space="preserve"> </w:t>
            </w:r>
            <w:r>
              <w:t>agreement</w:t>
            </w:r>
            <w:r>
              <w:rPr>
                <w:spacing w:val="-7"/>
              </w:rPr>
              <w:t xml:space="preserve"> </w:t>
            </w:r>
            <w:r>
              <w:t>and</w:t>
            </w:r>
            <w:r>
              <w:rPr>
                <w:spacing w:val="-7"/>
              </w:rPr>
              <w:t xml:space="preserve"> </w:t>
            </w:r>
            <w:r>
              <w:t>acknowledgment</w:t>
            </w:r>
            <w:r>
              <w:rPr>
                <w:spacing w:val="-7"/>
              </w:rPr>
              <w:t xml:space="preserve"> </w:t>
            </w:r>
            <w:r>
              <w:t>from</w:t>
            </w:r>
            <w:r>
              <w:rPr>
                <w:spacing w:val="-8"/>
              </w:rPr>
              <w:t xml:space="preserve"> </w:t>
            </w:r>
            <w:r>
              <w:t>the</w:t>
            </w:r>
            <w:r>
              <w:rPr>
                <w:spacing w:val="-7"/>
              </w:rPr>
              <w:t xml:space="preserve"> </w:t>
            </w:r>
            <w:r>
              <w:t>engaging party regarding the appropriateness of the procedures performed for the intended purpose of the engagement.</w:t>
            </w:r>
          </w:p>
          <w:p w14:paraId="0DFDB417" w14:textId="77777777" w:rsidR="00046465" w:rsidRDefault="008134EB">
            <w:pPr>
              <w:pStyle w:val="TableParagraph"/>
              <w:numPr>
                <w:ilvl w:val="1"/>
                <w:numId w:val="189"/>
              </w:numPr>
              <w:tabs>
                <w:tab w:val="left" w:pos="862"/>
              </w:tabs>
              <w:spacing w:before="58"/>
              <w:ind w:right="248"/>
            </w:pPr>
            <w:r>
              <w:t>The</w:t>
            </w:r>
            <w:r>
              <w:rPr>
                <w:spacing w:val="-5"/>
              </w:rPr>
              <w:t xml:space="preserve"> </w:t>
            </w:r>
            <w:r>
              <w:t>nature,</w:t>
            </w:r>
            <w:r>
              <w:rPr>
                <w:spacing w:val="-5"/>
              </w:rPr>
              <w:t xml:space="preserve"> </w:t>
            </w:r>
            <w:r>
              <w:t>timing,</w:t>
            </w:r>
            <w:r>
              <w:rPr>
                <w:spacing w:val="-5"/>
              </w:rPr>
              <w:t xml:space="preserve"> </w:t>
            </w:r>
            <w:r>
              <w:t>and</w:t>
            </w:r>
            <w:r>
              <w:rPr>
                <w:spacing w:val="-5"/>
              </w:rPr>
              <w:t xml:space="preserve"> </w:t>
            </w:r>
            <w:r>
              <w:t>extent</w:t>
            </w:r>
            <w:r>
              <w:rPr>
                <w:spacing w:val="-5"/>
              </w:rPr>
              <w:t xml:space="preserve"> </w:t>
            </w:r>
            <w:r>
              <w:t>of</w:t>
            </w:r>
            <w:r>
              <w:rPr>
                <w:spacing w:val="-5"/>
              </w:rPr>
              <w:t xml:space="preserve"> </w:t>
            </w:r>
            <w:r>
              <w:t>the</w:t>
            </w:r>
            <w:r>
              <w:rPr>
                <w:spacing w:val="-6"/>
              </w:rPr>
              <w:t xml:space="preserve"> </w:t>
            </w:r>
            <w:r>
              <w:t>procedures</w:t>
            </w:r>
            <w:r>
              <w:rPr>
                <w:spacing w:val="-6"/>
              </w:rPr>
              <w:t xml:space="preserve"> </w:t>
            </w:r>
            <w:r>
              <w:t>performed to comply with relevant AT-C sections (see FAM 710.01) and</w:t>
            </w:r>
            <w:r>
              <w:rPr>
                <w:spacing w:val="-5"/>
              </w:rPr>
              <w:t xml:space="preserve"> </w:t>
            </w:r>
            <w:r>
              <w:t>applicable</w:t>
            </w:r>
            <w:r>
              <w:rPr>
                <w:spacing w:val="-5"/>
              </w:rPr>
              <w:t xml:space="preserve"> </w:t>
            </w:r>
            <w:r>
              <w:t>legal</w:t>
            </w:r>
            <w:r>
              <w:rPr>
                <w:spacing w:val="-5"/>
              </w:rPr>
              <w:t xml:space="preserve"> </w:t>
            </w:r>
            <w:r>
              <w:t>and</w:t>
            </w:r>
            <w:r>
              <w:rPr>
                <w:spacing w:val="-5"/>
              </w:rPr>
              <w:t xml:space="preserve"> </w:t>
            </w:r>
            <w:r>
              <w:t>regulatory</w:t>
            </w:r>
            <w:r>
              <w:rPr>
                <w:spacing w:val="-5"/>
              </w:rPr>
              <w:t xml:space="preserve"> </w:t>
            </w:r>
            <w:r>
              <w:t>requirements,</w:t>
            </w:r>
            <w:r>
              <w:rPr>
                <w:spacing w:val="-5"/>
              </w:rPr>
              <w:t xml:space="preserve"> </w:t>
            </w:r>
            <w:r>
              <w:t>including the following:</w:t>
            </w:r>
          </w:p>
          <w:p w14:paraId="0DFDB418" w14:textId="77777777" w:rsidR="00046465" w:rsidRDefault="008134EB">
            <w:pPr>
              <w:pStyle w:val="TableParagraph"/>
              <w:numPr>
                <w:ilvl w:val="2"/>
                <w:numId w:val="189"/>
              </w:numPr>
              <w:tabs>
                <w:tab w:val="left" w:pos="1204"/>
              </w:tabs>
              <w:spacing w:before="72" w:line="223" w:lineRule="auto"/>
              <w:ind w:right="153"/>
            </w:pPr>
            <w:r>
              <w:t>Identifying</w:t>
            </w:r>
            <w:r>
              <w:rPr>
                <w:spacing w:val="-7"/>
              </w:rPr>
              <w:t xml:space="preserve"> </w:t>
            </w:r>
            <w:r>
              <w:t>characteristics</w:t>
            </w:r>
            <w:r>
              <w:rPr>
                <w:spacing w:val="-6"/>
              </w:rPr>
              <w:t xml:space="preserve"> </w:t>
            </w:r>
            <w:r>
              <w:t>of</w:t>
            </w:r>
            <w:r>
              <w:rPr>
                <w:spacing w:val="-6"/>
              </w:rPr>
              <w:t xml:space="preserve"> </w:t>
            </w:r>
            <w:r>
              <w:t>the</w:t>
            </w:r>
            <w:r>
              <w:rPr>
                <w:spacing w:val="-6"/>
              </w:rPr>
              <w:t xml:space="preserve"> </w:t>
            </w:r>
            <w:r>
              <w:t>specific</w:t>
            </w:r>
            <w:r>
              <w:rPr>
                <w:spacing w:val="-7"/>
              </w:rPr>
              <w:t xml:space="preserve"> </w:t>
            </w:r>
            <w:r>
              <w:t>items</w:t>
            </w:r>
            <w:r>
              <w:rPr>
                <w:spacing w:val="-6"/>
              </w:rPr>
              <w:t xml:space="preserve"> </w:t>
            </w:r>
            <w:r>
              <w:t>or</w:t>
            </w:r>
            <w:r>
              <w:rPr>
                <w:spacing w:val="-6"/>
              </w:rPr>
              <w:t xml:space="preserve"> </w:t>
            </w:r>
            <w:r>
              <w:t xml:space="preserve">matters </w:t>
            </w:r>
            <w:r>
              <w:rPr>
                <w:spacing w:val="-2"/>
              </w:rPr>
              <w:t>tested.</w:t>
            </w:r>
          </w:p>
          <w:p w14:paraId="0DFDB419" w14:textId="77777777" w:rsidR="00046465" w:rsidRDefault="008134EB">
            <w:pPr>
              <w:pStyle w:val="TableParagraph"/>
              <w:numPr>
                <w:ilvl w:val="2"/>
                <w:numId w:val="189"/>
              </w:numPr>
              <w:tabs>
                <w:tab w:val="left" w:pos="1204"/>
              </w:tabs>
              <w:spacing w:before="75" w:line="223" w:lineRule="auto"/>
              <w:ind w:right="163"/>
            </w:pPr>
            <w:r>
              <w:t>Who</w:t>
            </w:r>
            <w:r>
              <w:rPr>
                <w:spacing w:val="-5"/>
              </w:rPr>
              <w:t xml:space="preserve"> </w:t>
            </w:r>
            <w:r>
              <w:t>performed</w:t>
            </w:r>
            <w:r>
              <w:rPr>
                <w:spacing w:val="-5"/>
              </w:rPr>
              <w:t xml:space="preserve"> </w:t>
            </w:r>
            <w:r>
              <w:t>the</w:t>
            </w:r>
            <w:r>
              <w:rPr>
                <w:spacing w:val="-5"/>
              </w:rPr>
              <w:t xml:space="preserve"> </w:t>
            </w:r>
            <w:r>
              <w:t>engagement</w:t>
            </w:r>
            <w:r>
              <w:rPr>
                <w:spacing w:val="-5"/>
              </w:rPr>
              <w:t xml:space="preserve"> </w:t>
            </w:r>
            <w:r>
              <w:t>work</w:t>
            </w:r>
            <w:r>
              <w:rPr>
                <w:spacing w:val="-5"/>
              </w:rPr>
              <w:t xml:space="preserve"> </w:t>
            </w:r>
            <w:r>
              <w:t>and</w:t>
            </w:r>
            <w:r>
              <w:rPr>
                <w:spacing w:val="-5"/>
              </w:rPr>
              <w:t xml:space="preserve"> </w:t>
            </w:r>
            <w:r>
              <w:t>the</w:t>
            </w:r>
            <w:r>
              <w:rPr>
                <w:spacing w:val="-5"/>
              </w:rPr>
              <w:t xml:space="preserve"> </w:t>
            </w:r>
            <w:r>
              <w:t>date</w:t>
            </w:r>
            <w:r>
              <w:rPr>
                <w:spacing w:val="-5"/>
              </w:rPr>
              <w:t xml:space="preserve"> </w:t>
            </w:r>
            <w:r>
              <w:t>such work was completed.</w:t>
            </w:r>
          </w:p>
          <w:p w14:paraId="0DFDB41A" w14:textId="77777777" w:rsidR="00046465" w:rsidRDefault="008134EB">
            <w:pPr>
              <w:pStyle w:val="TableParagraph"/>
              <w:numPr>
                <w:ilvl w:val="2"/>
                <w:numId w:val="189"/>
              </w:numPr>
              <w:tabs>
                <w:tab w:val="left" w:pos="1204"/>
              </w:tabs>
              <w:spacing w:before="77" w:line="223" w:lineRule="auto"/>
              <w:ind w:right="237"/>
            </w:pPr>
            <w:r>
              <w:t>Who</w:t>
            </w:r>
            <w:r>
              <w:rPr>
                <w:spacing w:val="-6"/>
              </w:rPr>
              <w:t xml:space="preserve"> </w:t>
            </w:r>
            <w:r>
              <w:t>reviewed</w:t>
            </w:r>
            <w:r>
              <w:rPr>
                <w:spacing w:val="-6"/>
              </w:rPr>
              <w:t xml:space="preserve"> </w:t>
            </w:r>
            <w:r>
              <w:t>the</w:t>
            </w:r>
            <w:r>
              <w:rPr>
                <w:spacing w:val="-6"/>
              </w:rPr>
              <w:t xml:space="preserve"> </w:t>
            </w:r>
            <w:r>
              <w:t>engagement</w:t>
            </w:r>
            <w:r>
              <w:rPr>
                <w:spacing w:val="-6"/>
              </w:rPr>
              <w:t xml:space="preserve"> </w:t>
            </w:r>
            <w:r>
              <w:t>work</w:t>
            </w:r>
            <w:r>
              <w:rPr>
                <w:spacing w:val="-6"/>
              </w:rPr>
              <w:t xml:space="preserve"> </w:t>
            </w:r>
            <w:r>
              <w:t>performed</w:t>
            </w:r>
            <w:r>
              <w:rPr>
                <w:spacing w:val="-6"/>
              </w:rPr>
              <w:t xml:space="preserve"> </w:t>
            </w:r>
            <w:r>
              <w:t>and</w:t>
            </w:r>
            <w:r>
              <w:rPr>
                <w:spacing w:val="-6"/>
              </w:rPr>
              <w:t xml:space="preserve"> </w:t>
            </w:r>
            <w:r>
              <w:t>the date and extent of such review.</w:t>
            </w:r>
          </w:p>
          <w:p w14:paraId="0DFDB41B" w14:textId="77777777" w:rsidR="00046465" w:rsidRDefault="008134EB">
            <w:pPr>
              <w:pStyle w:val="TableParagraph"/>
              <w:numPr>
                <w:ilvl w:val="2"/>
                <w:numId w:val="189"/>
              </w:numPr>
              <w:tabs>
                <w:tab w:val="left" w:pos="1203"/>
              </w:tabs>
              <w:spacing w:before="63"/>
              <w:ind w:left="1203" w:hanging="359"/>
            </w:pPr>
            <w:r>
              <w:t>If</w:t>
            </w:r>
            <w:r>
              <w:rPr>
                <w:spacing w:val="-7"/>
              </w:rPr>
              <w:t xml:space="preserve"> </w:t>
            </w:r>
            <w:r>
              <w:t>applicable,</w:t>
            </w:r>
            <w:r>
              <w:rPr>
                <w:spacing w:val="-6"/>
              </w:rPr>
              <w:t xml:space="preserve"> </w:t>
            </w:r>
            <w:r>
              <w:t>the</w:t>
            </w:r>
            <w:r>
              <w:rPr>
                <w:spacing w:val="-6"/>
              </w:rPr>
              <w:t xml:space="preserve"> </w:t>
            </w:r>
            <w:r>
              <w:t>matters</w:t>
            </w:r>
            <w:r>
              <w:rPr>
                <w:spacing w:val="-6"/>
              </w:rPr>
              <w:t xml:space="preserve"> </w:t>
            </w:r>
            <w:r>
              <w:t>described</w:t>
            </w:r>
            <w:r>
              <w:rPr>
                <w:spacing w:val="-7"/>
              </w:rPr>
              <w:t xml:space="preserve"> </w:t>
            </w:r>
            <w:r>
              <w:t>in</w:t>
            </w:r>
            <w:r>
              <w:rPr>
                <w:spacing w:val="-6"/>
              </w:rPr>
              <w:t xml:space="preserve"> </w:t>
            </w:r>
            <w:r>
              <w:t>FAM</w:t>
            </w:r>
            <w:r>
              <w:rPr>
                <w:spacing w:val="-8"/>
              </w:rPr>
              <w:t xml:space="preserve"> </w:t>
            </w:r>
            <w:r>
              <w:rPr>
                <w:spacing w:val="-2"/>
              </w:rPr>
              <w:t>710.12.</w:t>
            </w:r>
          </w:p>
          <w:p w14:paraId="0DFDB41C" w14:textId="77777777" w:rsidR="00046465" w:rsidRDefault="008134EB">
            <w:pPr>
              <w:pStyle w:val="TableParagraph"/>
              <w:numPr>
                <w:ilvl w:val="1"/>
                <w:numId w:val="189"/>
              </w:numPr>
              <w:tabs>
                <w:tab w:val="left" w:pos="862"/>
              </w:tabs>
              <w:spacing w:before="40"/>
              <w:ind w:right="702"/>
            </w:pPr>
            <w:r>
              <w:t>Results</w:t>
            </w:r>
            <w:r>
              <w:rPr>
                <w:spacing w:val="-6"/>
              </w:rPr>
              <w:t xml:space="preserve"> </w:t>
            </w:r>
            <w:r>
              <w:t>of</w:t>
            </w:r>
            <w:r>
              <w:rPr>
                <w:spacing w:val="-6"/>
              </w:rPr>
              <w:t xml:space="preserve"> </w:t>
            </w:r>
            <w:r>
              <w:t>the</w:t>
            </w:r>
            <w:r>
              <w:rPr>
                <w:spacing w:val="-6"/>
              </w:rPr>
              <w:t xml:space="preserve"> </w:t>
            </w:r>
            <w:r>
              <w:t>procedures</w:t>
            </w:r>
            <w:r>
              <w:rPr>
                <w:spacing w:val="-6"/>
              </w:rPr>
              <w:t xml:space="preserve"> </w:t>
            </w:r>
            <w:r>
              <w:t>performed</w:t>
            </w:r>
            <w:r>
              <w:rPr>
                <w:spacing w:val="-6"/>
              </w:rPr>
              <w:t xml:space="preserve"> </w:t>
            </w:r>
            <w:r>
              <w:t>and</w:t>
            </w:r>
            <w:r>
              <w:rPr>
                <w:spacing w:val="-6"/>
              </w:rPr>
              <w:t xml:space="preserve"> </w:t>
            </w:r>
            <w:r>
              <w:t>the</w:t>
            </w:r>
            <w:r>
              <w:rPr>
                <w:spacing w:val="-6"/>
              </w:rPr>
              <w:t xml:space="preserve"> </w:t>
            </w:r>
            <w:r>
              <w:t xml:space="preserve">evidence </w:t>
            </w:r>
            <w:r>
              <w:rPr>
                <w:spacing w:val="-2"/>
              </w:rPr>
              <w:t>obtained.</w:t>
            </w:r>
          </w:p>
          <w:p w14:paraId="0DFDB41D" w14:textId="77777777" w:rsidR="00046465" w:rsidRDefault="008134EB">
            <w:pPr>
              <w:pStyle w:val="TableParagraph"/>
              <w:numPr>
                <w:ilvl w:val="1"/>
                <w:numId w:val="189"/>
              </w:numPr>
              <w:tabs>
                <w:tab w:val="left" w:pos="858"/>
              </w:tabs>
              <w:spacing w:before="59"/>
              <w:ind w:left="858" w:right="498"/>
            </w:pPr>
            <w:r>
              <w:t>Consideration of the results of any identified relevant agreed-upon procedures reports and follow-up on any significant</w:t>
            </w:r>
            <w:r>
              <w:rPr>
                <w:spacing w:val="-6"/>
              </w:rPr>
              <w:t xml:space="preserve"> </w:t>
            </w:r>
            <w:r>
              <w:t>findings</w:t>
            </w:r>
            <w:r>
              <w:rPr>
                <w:spacing w:val="-6"/>
              </w:rPr>
              <w:t xml:space="preserve"> </w:t>
            </w:r>
            <w:r>
              <w:t>that</w:t>
            </w:r>
            <w:r>
              <w:rPr>
                <w:spacing w:val="-7"/>
              </w:rPr>
              <w:t xml:space="preserve"> </w:t>
            </w:r>
            <w:r>
              <w:t>directly</w:t>
            </w:r>
            <w:r>
              <w:rPr>
                <w:spacing w:val="-6"/>
              </w:rPr>
              <w:t xml:space="preserve"> </w:t>
            </w:r>
            <w:r>
              <w:t>relate</w:t>
            </w:r>
            <w:r>
              <w:rPr>
                <w:spacing w:val="-6"/>
              </w:rPr>
              <w:t xml:space="preserve"> </w:t>
            </w:r>
            <w:r>
              <w:t>to</w:t>
            </w:r>
            <w:r>
              <w:rPr>
                <w:spacing w:val="-6"/>
              </w:rPr>
              <w:t xml:space="preserve"> </w:t>
            </w:r>
            <w:r>
              <w:t>the</w:t>
            </w:r>
            <w:r>
              <w:rPr>
                <w:spacing w:val="-6"/>
              </w:rPr>
              <w:t xml:space="preserve"> </w:t>
            </w:r>
            <w:r>
              <w:t>agreed-upon procedures engagement.</w:t>
            </w:r>
          </w:p>
        </w:tc>
        <w:tc>
          <w:tcPr>
            <w:tcW w:w="1052" w:type="dxa"/>
            <w:tcBorders>
              <w:top w:val="single" w:sz="2" w:space="0" w:color="000000"/>
              <w:left w:val="single" w:sz="2" w:space="0" w:color="000000"/>
              <w:bottom w:val="single" w:sz="2" w:space="0" w:color="000000"/>
              <w:right w:val="single" w:sz="2" w:space="0" w:color="000000"/>
            </w:tcBorders>
          </w:tcPr>
          <w:p w14:paraId="0DFDB41E" w14:textId="77777777" w:rsidR="00046465" w:rsidRDefault="00046465">
            <w:pPr>
              <w:pStyle w:val="TableParagraph"/>
              <w:rPr>
                <w:rFonts w:ascii="Times New Roman"/>
                <w:sz w:val="20"/>
              </w:rPr>
            </w:pPr>
          </w:p>
        </w:tc>
        <w:tc>
          <w:tcPr>
            <w:tcW w:w="949" w:type="dxa"/>
            <w:tcBorders>
              <w:top w:val="single" w:sz="2" w:space="0" w:color="000000"/>
              <w:left w:val="single" w:sz="2" w:space="0" w:color="000000"/>
              <w:bottom w:val="single" w:sz="2" w:space="0" w:color="000000"/>
            </w:tcBorders>
          </w:tcPr>
          <w:p w14:paraId="0DFDB41F" w14:textId="77777777" w:rsidR="00046465" w:rsidRDefault="00046465">
            <w:pPr>
              <w:pStyle w:val="TableParagraph"/>
              <w:rPr>
                <w:rFonts w:ascii="Times New Roman"/>
                <w:sz w:val="20"/>
              </w:rPr>
            </w:pPr>
          </w:p>
        </w:tc>
      </w:tr>
    </w:tbl>
    <w:p w14:paraId="0DFDB421" w14:textId="77777777" w:rsidR="00046465" w:rsidRDefault="00046465">
      <w:pPr>
        <w:pStyle w:val="TableParagraph"/>
        <w:rPr>
          <w:rFonts w:ascii="Times New Roman"/>
          <w:sz w:val="20"/>
        </w:rPr>
        <w:sectPr w:rsidR="00046465">
          <w:pgSz w:w="12240" w:h="15840"/>
          <w:pgMar w:top="1340" w:right="720" w:bottom="940" w:left="1080" w:header="721" w:footer="757" w:gutter="0"/>
          <w:cols w:space="720"/>
        </w:sectPr>
      </w:pPr>
    </w:p>
    <w:p w14:paraId="0DFDB422" w14:textId="77777777" w:rsidR="00046465" w:rsidRDefault="00046465">
      <w:pPr>
        <w:pStyle w:val="BodyText"/>
        <w:spacing w:before="9"/>
        <w:rPr>
          <w:sz w:val="11"/>
        </w:rPr>
      </w:pPr>
    </w:p>
    <w:tbl>
      <w:tblPr>
        <w:tblW w:w="0" w:type="auto"/>
        <w:tblInd w:w="614"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898"/>
        <w:gridCol w:w="1052"/>
        <w:gridCol w:w="949"/>
      </w:tblGrid>
      <w:tr w:rsidR="00046465" w14:paraId="0DFDB428" w14:textId="77777777">
        <w:trPr>
          <w:trHeight w:val="758"/>
        </w:trPr>
        <w:tc>
          <w:tcPr>
            <w:tcW w:w="6898" w:type="dxa"/>
            <w:tcBorders>
              <w:right w:val="single" w:sz="2" w:space="0" w:color="000000"/>
            </w:tcBorders>
          </w:tcPr>
          <w:p w14:paraId="0DFDB423" w14:textId="77777777" w:rsidR="00046465" w:rsidRDefault="00046465">
            <w:pPr>
              <w:pStyle w:val="TableParagraph"/>
            </w:pPr>
          </w:p>
          <w:p w14:paraId="0DFDB424" w14:textId="77777777" w:rsidR="00046465" w:rsidRDefault="00046465">
            <w:pPr>
              <w:pStyle w:val="TableParagraph"/>
            </w:pPr>
          </w:p>
          <w:p w14:paraId="0DFDB425" w14:textId="77777777" w:rsidR="00046465" w:rsidRDefault="008134EB">
            <w:pPr>
              <w:pStyle w:val="TableParagraph"/>
              <w:spacing w:line="232" w:lineRule="exact"/>
              <w:ind w:right="6"/>
              <w:jc w:val="center"/>
              <w:rPr>
                <w:b/>
              </w:rPr>
            </w:pPr>
            <w:r>
              <w:rPr>
                <w:b/>
                <w:spacing w:val="-4"/>
              </w:rPr>
              <w:t>Steps</w:t>
            </w:r>
          </w:p>
        </w:tc>
        <w:tc>
          <w:tcPr>
            <w:tcW w:w="1052" w:type="dxa"/>
            <w:tcBorders>
              <w:left w:val="single" w:sz="2" w:space="0" w:color="000000"/>
              <w:right w:val="single" w:sz="2" w:space="0" w:color="000000"/>
            </w:tcBorders>
          </w:tcPr>
          <w:p w14:paraId="0DFDB426" w14:textId="77777777" w:rsidR="00046465" w:rsidRDefault="008134EB">
            <w:pPr>
              <w:pStyle w:val="TableParagraph"/>
              <w:spacing w:line="250" w:lineRule="atLeast"/>
              <w:ind w:left="223" w:right="209" w:hanging="1"/>
              <w:jc w:val="center"/>
              <w:rPr>
                <w:b/>
              </w:rPr>
            </w:pPr>
            <w:r>
              <w:rPr>
                <w:b/>
                <w:spacing w:val="-4"/>
              </w:rPr>
              <w:t xml:space="preserve">Yes, </w:t>
            </w:r>
            <w:r>
              <w:rPr>
                <w:b/>
              </w:rPr>
              <w:t>no,</w:t>
            </w:r>
            <w:r>
              <w:rPr>
                <w:b/>
                <w:spacing w:val="-16"/>
              </w:rPr>
              <w:t xml:space="preserve"> </w:t>
            </w:r>
            <w:r>
              <w:rPr>
                <w:b/>
              </w:rPr>
              <w:t xml:space="preserve">or </w:t>
            </w:r>
            <w:r>
              <w:rPr>
                <w:b/>
                <w:spacing w:val="-4"/>
              </w:rPr>
              <w:t>N/A</w:t>
            </w:r>
          </w:p>
        </w:tc>
        <w:tc>
          <w:tcPr>
            <w:tcW w:w="949" w:type="dxa"/>
            <w:tcBorders>
              <w:left w:val="single" w:sz="2" w:space="0" w:color="000000"/>
            </w:tcBorders>
          </w:tcPr>
          <w:p w14:paraId="0DFDB427" w14:textId="77777777" w:rsidR="00046465" w:rsidRDefault="008134EB">
            <w:pPr>
              <w:pStyle w:val="TableParagraph"/>
              <w:spacing w:before="233" w:line="250" w:lineRule="atLeast"/>
              <w:ind w:left="269" w:right="204" w:hanging="30"/>
              <w:rPr>
                <w:b/>
              </w:rPr>
            </w:pPr>
            <w:r>
              <w:rPr>
                <w:b/>
                <w:spacing w:val="-4"/>
              </w:rPr>
              <w:t>Doc. Ref.</w:t>
            </w:r>
          </w:p>
        </w:tc>
      </w:tr>
      <w:tr w:rsidR="00046465" w14:paraId="0DFDB42E" w14:textId="77777777">
        <w:trPr>
          <w:trHeight w:val="1688"/>
        </w:trPr>
        <w:tc>
          <w:tcPr>
            <w:tcW w:w="6898" w:type="dxa"/>
            <w:tcBorders>
              <w:bottom w:val="single" w:sz="2" w:space="0" w:color="000000"/>
              <w:right w:val="single" w:sz="2" w:space="0" w:color="000000"/>
            </w:tcBorders>
          </w:tcPr>
          <w:p w14:paraId="0DFDB429" w14:textId="77777777" w:rsidR="00046465" w:rsidRDefault="008134EB">
            <w:pPr>
              <w:pStyle w:val="TableParagraph"/>
              <w:numPr>
                <w:ilvl w:val="0"/>
                <w:numId w:val="188"/>
              </w:numPr>
              <w:tabs>
                <w:tab w:val="left" w:pos="859"/>
              </w:tabs>
              <w:spacing w:line="229" w:lineRule="exact"/>
              <w:ind w:left="859"/>
            </w:pPr>
            <w:r>
              <w:t>Any</w:t>
            </w:r>
            <w:r>
              <w:rPr>
                <w:spacing w:val="-7"/>
              </w:rPr>
              <w:t xml:space="preserve"> </w:t>
            </w:r>
            <w:r>
              <w:t>laws,</w:t>
            </w:r>
            <w:r>
              <w:rPr>
                <w:spacing w:val="-7"/>
              </w:rPr>
              <w:t xml:space="preserve"> </w:t>
            </w:r>
            <w:r>
              <w:t>regulations,</w:t>
            </w:r>
            <w:r>
              <w:rPr>
                <w:spacing w:val="-8"/>
              </w:rPr>
              <w:t xml:space="preserve"> </w:t>
            </w:r>
            <w:r>
              <w:t>contracts,</w:t>
            </w:r>
            <w:r>
              <w:rPr>
                <w:spacing w:val="-7"/>
              </w:rPr>
              <w:t xml:space="preserve"> </w:t>
            </w:r>
            <w:r>
              <w:t>or</w:t>
            </w:r>
            <w:r>
              <w:rPr>
                <w:spacing w:val="-8"/>
              </w:rPr>
              <w:t xml:space="preserve"> </w:t>
            </w:r>
            <w:r>
              <w:t>grant</w:t>
            </w:r>
            <w:r>
              <w:rPr>
                <w:spacing w:val="-7"/>
              </w:rPr>
              <w:t xml:space="preserve"> </w:t>
            </w:r>
            <w:r>
              <w:rPr>
                <w:spacing w:val="-2"/>
              </w:rPr>
              <w:t>agreements</w:t>
            </w:r>
          </w:p>
          <w:p w14:paraId="0DFDB42A" w14:textId="77777777" w:rsidR="00046465" w:rsidRDefault="008134EB">
            <w:pPr>
              <w:pStyle w:val="TableParagraph"/>
              <w:spacing w:line="252" w:lineRule="exact"/>
              <w:ind w:left="859"/>
            </w:pPr>
            <w:r>
              <w:t>applicable</w:t>
            </w:r>
            <w:r>
              <w:rPr>
                <w:spacing w:val="-7"/>
              </w:rPr>
              <w:t xml:space="preserve"> </w:t>
            </w:r>
            <w:r>
              <w:t>to</w:t>
            </w:r>
            <w:r>
              <w:rPr>
                <w:spacing w:val="-6"/>
              </w:rPr>
              <w:t xml:space="preserve"> </w:t>
            </w:r>
            <w:r>
              <w:t>the</w:t>
            </w:r>
            <w:r>
              <w:rPr>
                <w:spacing w:val="-5"/>
              </w:rPr>
              <w:t xml:space="preserve"> </w:t>
            </w:r>
            <w:r>
              <w:rPr>
                <w:spacing w:val="-2"/>
              </w:rPr>
              <w:t>procedures.</w:t>
            </w:r>
          </w:p>
          <w:p w14:paraId="0DFDB42B" w14:textId="77777777" w:rsidR="00046465" w:rsidRDefault="008134EB">
            <w:pPr>
              <w:pStyle w:val="TableParagraph"/>
              <w:numPr>
                <w:ilvl w:val="0"/>
                <w:numId w:val="188"/>
              </w:numPr>
              <w:tabs>
                <w:tab w:val="left" w:pos="863"/>
              </w:tabs>
              <w:spacing w:before="59"/>
              <w:ind w:right="239"/>
            </w:pPr>
            <w:r>
              <w:t>Any</w:t>
            </w:r>
            <w:r>
              <w:rPr>
                <w:spacing w:val="-6"/>
              </w:rPr>
              <w:t xml:space="preserve"> </w:t>
            </w:r>
            <w:r>
              <w:t>indication</w:t>
            </w:r>
            <w:r>
              <w:rPr>
                <w:spacing w:val="-6"/>
              </w:rPr>
              <w:t xml:space="preserve"> </w:t>
            </w:r>
            <w:r>
              <w:t>of</w:t>
            </w:r>
            <w:r>
              <w:rPr>
                <w:spacing w:val="-6"/>
              </w:rPr>
              <w:t xml:space="preserve"> </w:t>
            </w:r>
            <w:r>
              <w:t>fraud,</w:t>
            </w:r>
            <w:r>
              <w:rPr>
                <w:spacing w:val="-6"/>
              </w:rPr>
              <w:t xml:space="preserve"> </w:t>
            </w:r>
            <w:r>
              <w:t>abuse,</w:t>
            </w:r>
            <w:r>
              <w:rPr>
                <w:spacing w:val="-6"/>
              </w:rPr>
              <w:t xml:space="preserve"> </w:t>
            </w:r>
            <w:r>
              <w:t>or</w:t>
            </w:r>
            <w:r>
              <w:rPr>
                <w:spacing w:val="-6"/>
              </w:rPr>
              <w:t xml:space="preserve"> </w:t>
            </w:r>
            <w:r>
              <w:t>noncompliance</w:t>
            </w:r>
            <w:r>
              <w:rPr>
                <w:spacing w:val="-6"/>
              </w:rPr>
              <w:t xml:space="preserve"> </w:t>
            </w:r>
            <w:r>
              <w:t>with</w:t>
            </w:r>
            <w:r>
              <w:rPr>
                <w:spacing w:val="-6"/>
              </w:rPr>
              <w:t xml:space="preserve"> </w:t>
            </w:r>
            <w:r>
              <w:t>laws, regulations, contracts, or grant agreements; if there was such indication, the auditor’s response, including any related communications.</w:t>
            </w:r>
          </w:p>
        </w:tc>
        <w:tc>
          <w:tcPr>
            <w:tcW w:w="1052" w:type="dxa"/>
            <w:tcBorders>
              <w:left w:val="single" w:sz="2" w:space="0" w:color="000000"/>
              <w:bottom w:val="single" w:sz="2" w:space="0" w:color="000000"/>
              <w:right w:val="single" w:sz="2" w:space="0" w:color="000000"/>
            </w:tcBorders>
          </w:tcPr>
          <w:p w14:paraId="0DFDB42C" w14:textId="77777777" w:rsidR="00046465" w:rsidRDefault="00046465">
            <w:pPr>
              <w:pStyle w:val="TableParagraph"/>
              <w:rPr>
                <w:rFonts w:ascii="Times New Roman"/>
                <w:sz w:val="20"/>
              </w:rPr>
            </w:pPr>
          </w:p>
        </w:tc>
        <w:tc>
          <w:tcPr>
            <w:tcW w:w="949" w:type="dxa"/>
            <w:tcBorders>
              <w:left w:val="single" w:sz="2" w:space="0" w:color="000000"/>
              <w:bottom w:val="single" w:sz="2" w:space="0" w:color="000000"/>
            </w:tcBorders>
          </w:tcPr>
          <w:p w14:paraId="0DFDB42D" w14:textId="77777777" w:rsidR="00046465" w:rsidRDefault="00046465">
            <w:pPr>
              <w:pStyle w:val="TableParagraph"/>
              <w:rPr>
                <w:rFonts w:ascii="Times New Roman"/>
                <w:sz w:val="20"/>
              </w:rPr>
            </w:pPr>
          </w:p>
        </w:tc>
      </w:tr>
      <w:tr w:rsidR="00046465" w14:paraId="0DFDB432" w14:textId="77777777">
        <w:trPr>
          <w:trHeight w:val="1251"/>
        </w:trPr>
        <w:tc>
          <w:tcPr>
            <w:tcW w:w="6898" w:type="dxa"/>
            <w:tcBorders>
              <w:top w:val="single" w:sz="2" w:space="0" w:color="000000"/>
              <w:bottom w:val="single" w:sz="2" w:space="0" w:color="000000"/>
              <w:right w:val="single" w:sz="2" w:space="0" w:color="000000"/>
            </w:tcBorders>
          </w:tcPr>
          <w:p w14:paraId="0DFDB42F" w14:textId="77777777" w:rsidR="00046465" w:rsidRDefault="008134EB">
            <w:pPr>
              <w:pStyle w:val="TableParagraph"/>
              <w:spacing w:before="120"/>
              <w:ind w:left="485" w:right="200" w:hanging="360"/>
            </w:pPr>
            <w:r>
              <w:t>9.</w:t>
            </w:r>
            <w:r>
              <w:rPr>
                <w:spacing w:val="80"/>
              </w:rPr>
              <w:t xml:space="preserve"> </w:t>
            </w:r>
            <w:r>
              <w:t>Does the documentation demonstrate that the work was adequately planned and supervised and that the evidence provides</w:t>
            </w:r>
            <w:r>
              <w:rPr>
                <w:spacing w:val="-6"/>
              </w:rPr>
              <w:t xml:space="preserve"> </w:t>
            </w:r>
            <w:r>
              <w:t>a</w:t>
            </w:r>
            <w:r>
              <w:rPr>
                <w:spacing w:val="-6"/>
              </w:rPr>
              <w:t xml:space="preserve"> </w:t>
            </w:r>
            <w:r>
              <w:t>reasonable</w:t>
            </w:r>
            <w:r>
              <w:rPr>
                <w:spacing w:val="-6"/>
              </w:rPr>
              <w:t xml:space="preserve"> </w:t>
            </w:r>
            <w:r>
              <w:t>basis</w:t>
            </w:r>
            <w:r>
              <w:rPr>
                <w:spacing w:val="-6"/>
              </w:rPr>
              <w:t xml:space="preserve"> </w:t>
            </w:r>
            <w:r>
              <w:t>for</w:t>
            </w:r>
            <w:r>
              <w:rPr>
                <w:spacing w:val="-6"/>
              </w:rPr>
              <w:t xml:space="preserve"> </w:t>
            </w:r>
            <w:r>
              <w:t>the</w:t>
            </w:r>
            <w:r>
              <w:rPr>
                <w:spacing w:val="-7"/>
              </w:rPr>
              <w:t xml:space="preserve"> </w:t>
            </w:r>
            <w:r>
              <w:t>agreed-upon</w:t>
            </w:r>
            <w:r>
              <w:rPr>
                <w:spacing w:val="-6"/>
              </w:rPr>
              <w:t xml:space="preserve"> </w:t>
            </w:r>
            <w:r>
              <w:t xml:space="preserve">procedures </w:t>
            </w:r>
            <w:r>
              <w:rPr>
                <w:spacing w:val="-2"/>
              </w:rPr>
              <w:t>report?</w:t>
            </w:r>
          </w:p>
        </w:tc>
        <w:tc>
          <w:tcPr>
            <w:tcW w:w="1052" w:type="dxa"/>
            <w:tcBorders>
              <w:top w:val="single" w:sz="2" w:space="0" w:color="000000"/>
              <w:left w:val="single" w:sz="2" w:space="0" w:color="000000"/>
              <w:bottom w:val="single" w:sz="2" w:space="0" w:color="000000"/>
              <w:right w:val="single" w:sz="2" w:space="0" w:color="000000"/>
            </w:tcBorders>
          </w:tcPr>
          <w:p w14:paraId="0DFDB430" w14:textId="77777777" w:rsidR="00046465" w:rsidRDefault="00046465">
            <w:pPr>
              <w:pStyle w:val="TableParagraph"/>
              <w:rPr>
                <w:rFonts w:ascii="Times New Roman"/>
                <w:sz w:val="20"/>
              </w:rPr>
            </w:pPr>
          </w:p>
        </w:tc>
        <w:tc>
          <w:tcPr>
            <w:tcW w:w="949" w:type="dxa"/>
            <w:tcBorders>
              <w:top w:val="single" w:sz="2" w:space="0" w:color="000000"/>
              <w:left w:val="single" w:sz="2" w:space="0" w:color="000000"/>
              <w:bottom w:val="single" w:sz="2" w:space="0" w:color="000000"/>
            </w:tcBorders>
          </w:tcPr>
          <w:p w14:paraId="0DFDB431" w14:textId="77777777" w:rsidR="00046465" w:rsidRDefault="00046465">
            <w:pPr>
              <w:pStyle w:val="TableParagraph"/>
              <w:rPr>
                <w:rFonts w:ascii="Times New Roman"/>
                <w:sz w:val="20"/>
              </w:rPr>
            </w:pPr>
          </w:p>
        </w:tc>
      </w:tr>
      <w:tr w:rsidR="00046465" w14:paraId="0DFDB436" w14:textId="77777777">
        <w:trPr>
          <w:trHeight w:val="1504"/>
        </w:trPr>
        <w:tc>
          <w:tcPr>
            <w:tcW w:w="6898" w:type="dxa"/>
            <w:tcBorders>
              <w:top w:val="single" w:sz="2" w:space="0" w:color="000000"/>
              <w:bottom w:val="single" w:sz="2" w:space="0" w:color="000000"/>
              <w:right w:val="single" w:sz="2" w:space="0" w:color="000000"/>
            </w:tcBorders>
          </w:tcPr>
          <w:p w14:paraId="0DFDB433" w14:textId="77777777" w:rsidR="00046465" w:rsidRDefault="008134EB">
            <w:pPr>
              <w:pStyle w:val="TableParagraph"/>
              <w:spacing w:before="120"/>
              <w:ind w:left="485" w:right="200" w:hanging="360"/>
            </w:pPr>
            <w:r>
              <w:t>10.</w:t>
            </w:r>
            <w:r>
              <w:rPr>
                <w:spacing w:val="-8"/>
              </w:rPr>
              <w:t xml:space="preserve"> </w:t>
            </w:r>
            <w:r>
              <w:t>Does</w:t>
            </w:r>
            <w:r>
              <w:rPr>
                <w:spacing w:val="-1"/>
              </w:rPr>
              <w:t xml:space="preserve"> </w:t>
            </w:r>
            <w:r>
              <w:t>the</w:t>
            </w:r>
            <w:r>
              <w:rPr>
                <w:spacing w:val="-1"/>
              </w:rPr>
              <w:t xml:space="preserve"> </w:t>
            </w:r>
            <w:r>
              <w:t>summary memorandum</w:t>
            </w:r>
            <w:r>
              <w:rPr>
                <w:spacing w:val="-2"/>
              </w:rPr>
              <w:t xml:space="preserve"> </w:t>
            </w:r>
            <w:r>
              <w:t>appropriately</w:t>
            </w:r>
            <w:r>
              <w:rPr>
                <w:spacing w:val="-1"/>
              </w:rPr>
              <w:t xml:space="preserve"> </w:t>
            </w:r>
            <w:r>
              <w:t>summarize</w:t>
            </w:r>
            <w:r>
              <w:rPr>
                <w:spacing w:val="-1"/>
              </w:rPr>
              <w:t xml:space="preserve"> </w:t>
            </w:r>
            <w:r>
              <w:t>the work performed and results; refer to detailed documentation; and include the auditor’s conclusion on whether the work was performed in accordance with GAGAS, the AICPA attestation standards,</w:t>
            </w:r>
            <w:r>
              <w:rPr>
                <w:spacing w:val="-5"/>
              </w:rPr>
              <w:t xml:space="preserve"> </w:t>
            </w:r>
            <w:r>
              <w:t>and</w:t>
            </w:r>
            <w:r>
              <w:rPr>
                <w:spacing w:val="-5"/>
              </w:rPr>
              <w:t xml:space="preserve"> </w:t>
            </w:r>
            <w:r>
              <w:t>the</w:t>
            </w:r>
            <w:r>
              <w:rPr>
                <w:spacing w:val="-5"/>
              </w:rPr>
              <w:t xml:space="preserve"> </w:t>
            </w:r>
            <w:r>
              <w:t>FAM</w:t>
            </w:r>
            <w:r>
              <w:rPr>
                <w:spacing w:val="-5"/>
              </w:rPr>
              <w:t xml:space="preserve"> </w:t>
            </w:r>
            <w:r>
              <w:t>and</w:t>
            </w:r>
            <w:r>
              <w:rPr>
                <w:spacing w:val="-5"/>
              </w:rPr>
              <w:t xml:space="preserve"> </w:t>
            </w:r>
            <w:r>
              <w:t>whether</w:t>
            </w:r>
            <w:r>
              <w:rPr>
                <w:spacing w:val="-5"/>
              </w:rPr>
              <w:t xml:space="preserve"> </w:t>
            </w:r>
            <w:r>
              <w:t>the</w:t>
            </w:r>
            <w:r>
              <w:rPr>
                <w:spacing w:val="-5"/>
              </w:rPr>
              <w:t xml:space="preserve"> </w:t>
            </w:r>
            <w:r>
              <w:t>report</w:t>
            </w:r>
            <w:r>
              <w:rPr>
                <w:spacing w:val="-5"/>
              </w:rPr>
              <w:t xml:space="preserve"> </w:t>
            </w:r>
            <w:r>
              <w:t>is</w:t>
            </w:r>
            <w:r>
              <w:rPr>
                <w:spacing w:val="-6"/>
              </w:rPr>
              <w:t xml:space="preserve"> </w:t>
            </w:r>
            <w:r>
              <w:t>appropriate?</w:t>
            </w:r>
          </w:p>
        </w:tc>
        <w:tc>
          <w:tcPr>
            <w:tcW w:w="1052" w:type="dxa"/>
            <w:tcBorders>
              <w:top w:val="single" w:sz="2" w:space="0" w:color="000000"/>
              <w:left w:val="single" w:sz="2" w:space="0" w:color="000000"/>
              <w:bottom w:val="single" w:sz="2" w:space="0" w:color="000000"/>
              <w:right w:val="single" w:sz="2" w:space="0" w:color="000000"/>
            </w:tcBorders>
          </w:tcPr>
          <w:p w14:paraId="0DFDB434" w14:textId="77777777" w:rsidR="00046465" w:rsidRDefault="00046465">
            <w:pPr>
              <w:pStyle w:val="TableParagraph"/>
              <w:rPr>
                <w:rFonts w:ascii="Times New Roman"/>
                <w:sz w:val="20"/>
              </w:rPr>
            </w:pPr>
          </w:p>
        </w:tc>
        <w:tc>
          <w:tcPr>
            <w:tcW w:w="949" w:type="dxa"/>
            <w:tcBorders>
              <w:top w:val="single" w:sz="2" w:space="0" w:color="000000"/>
              <w:left w:val="single" w:sz="2" w:space="0" w:color="000000"/>
              <w:bottom w:val="single" w:sz="2" w:space="0" w:color="000000"/>
            </w:tcBorders>
          </w:tcPr>
          <w:p w14:paraId="0DFDB435" w14:textId="77777777" w:rsidR="00046465" w:rsidRDefault="00046465">
            <w:pPr>
              <w:pStyle w:val="TableParagraph"/>
              <w:rPr>
                <w:rFonts w:ascii="Times New Roman"/>
                <w:sz w:val="20"/>
              </w:rPr>
            </w:pPr>
          </w:p>
        </w:tc>
      </w:tr>
      <w:tr w:rsidR="00046465" w14:paraId="0DFDB43D" w14:textId="77777777">
        <w:trPr>
          <w:trHeight w:val="2415"/>
        </w:trPr>
        <w:tc>
          <w:tcPr>
            <w:tcW w:w="6898" w:type="dxa"/>
            <w:tcBorders>
              <w:top w:val="single" w:sz="2" w:space="0" w:color="000000"/>
              <w:bottom w:val="single" w:sz="2" w:space="0" w:color="000000"/>
              <w:right w:val="single" w:sz="2" w:space="0" w:color="000000"/>
            </w:tcBorders>
          </w:tcPr>
          <w:p w14:paraId="0DFDB437" w14:textId="77777777" w:rsidR="00046465" w:rsidRDefault="008134EB">
            <w:pPr>
              <w:pStyle w:val="TableParagraph"/>
              <w:numPr>
                <w:ilvl w:val="0"/>
                <w:numId w:val="187"/>
              </w:numPr>
              <w:tabs>
                <w:tab w:val="left" w:pos="485"/>
              </w:tabs>
              <w:spacing w:before="120"/>
              <w:ind w:right="1227"/>
              <w:jc w:val="both"/>
            </w:pPr>
            <w:r>
              <w:t>If</w:t>
            </w:r>
            <w:r>
              <w:rPr>
                <w:spacing w:val="-6"/>
              </w:rPr>
              <w:t xml:space="preserve"> </w:t>
            </w:r>
            <w:r>
              <w:t>there</w:t>
            </w:r>
            <w:r>
              <w:rPr>
                <w:spacing w:val="-6"/>
              </w:rPr>
              <w:t xml:space="preserve"> </w:t>
            </w:r>
            <w:r>
              <w:t>were</w:t>
            </w:r>
            <w:r>
              <w:rPr>
                <w:spacing w:val="-6"/>
              </w:rPr>
              <w:t xml:space="preserve"> </w:t>
            </w:r>
            <w:r>
              <w:t>departures</w:t>
            </w:r>
            <w:r>
              <w:rPr>
                <w:spacing w:val="-7"/>
              </w:rPr>
              <w:t xml:space="preserve"> </w:t>
            </w:r>
            <w:r>
              <w:t>from</w:t>
            </w:r>
            <w:r>
              <w:rPr>
                <w:spacing w:val="-7"/>
              </w:rPr>
              <w:t xml:space="preserve"> </w:t>
            </w:r>
            <w:r>
              <w:t>any</w:t>
            </w:r>
            <w:r>
              <w:rPr>
                <w:spacing w:val="-6"/>
              </w:rPr>
              <w:t xml:space="preserve"> </w:t>
            </w:r>
            <w:r>
              <w:t>applicable</w:t>
            </w:r>
            <w:r>
              <w:rPr>
                <w:spacing w:val="-6"/>
              </w:rPr>
              <w:t xml:space="preserve"> </w:t>
            </w:r>
            <w:r>
              <w:t>“should” procedures in the FAM:</w:t>
            </w:r>
          </w:p>
          <w:p w14:paraId="0DFDB438" w14:textId="77777777" w:rsidR="00046465" w:rsidRDefault="008134EB">
            <w:pPr>
              <w:pStyle w:val="TableParagraph"/>
              <w:numPr>
                <w:ilvl w:val="1"/>
                <w:numId w:val="187"/>
              </w:numPr>
              <w:tabs>
                <w:tab w:val="left" w:pos="862"/>
              </w:tabs>
              <w:spacing w:before="120"/>
              <w:ind w:hanging="359"/>
              <w:jc w:val="both"/>
            </w:pPr>
            <w:r>
              <w:t>Was</w:t>
            </w:r>
            <w:r>
              <w:rPr>
                <w:spacing w:val="-5"/>
              </w:rPr>
              <w:t xml:space="preserve"> </w:t>
            </w:r>
            <w:r>
              <w:t>the</w:t>
            </w:r>
            <w:r>
              <w:rPr>
                <w:spacing w:val="-5"/>
              </w:rPr>
              <w:t xml:space="preserve"> </w:t>
            </w:r>
            <w:r>
              <w:t>basis</w:t>
            </w:r>
            <w:r>
              <w:rPr>
                <w:spacing w:val="-5"/>
              </w:rPr>
              <w:t xml:space="preserve"> </w:t>
            </w:r>
            <w:r>
              <w:t>for</w:t>
            </w:r>
            <w:r>
              <w:rPr>
                <w:spacing w:val="-5"/>
              </w:rPr>
              <w:t xml:space="preserve"> </w:t>
            </w:r>
            <w:r>
              <w:t>the</w:t>
            </w:r>
            <w:r>
              <w:rPr>
                <w:spacing w:val="-5"/>
              </w:rPr>
              <w:t xml:space="preserve"> </w:t>
            </w:r>
            <w:r>
              <w:t>departure</w:t>
            </w:r>
            <w:r>
              <w:rPr>
                <w:spacing w:val="-5"/>
              </w:rPr>
              <w:t xml:space="preserve"> </w:t>
            </w:r>
            <w:r>
              <w:rPr>
                <w:spacing w:val="-2"/>
              </w:rPr>
              <w:t>documented?</w:t>
            </w:r>
          </w:p>
          <w:p w14:paraId="0DFDB439" w14:textId="77777777" w:rsidR="00046465" w:rsidRDefault="008134EB">
            <w:pPr>
              <w:pStyle w:val="TableParagraph"/>
              <w:numPr>
                <w:ilvl w:val="1"/>
                <w:numId w:val="187"/>
              </w:numPr>
              <w:tabs>
                <w:tab w:val="left" w:pos="862"/>
              </w:tabs>
              <w:spacing w:before="118"/>
              <w:ind w:hanging="359"/>
              <w:jc w:val="both"/>
            </w:pPr>
            <w:r>
              <w:t>Did</w:t>
            </w:r>
            <w:r>
              <w:rPr>
                <w:spacing w:val="-6"/>
              </w:rPr>
              <w:t xml:space="preserve"> </w:t>
            </w:r>
            <w:r>
              <w:t>the</w:t>
            </w:r>
            <w:r>
              <w:rPr>
                <w:spacing w:val="-5"/>
              </w:rPr>
              <w:t xml:space="preserve"> </w:t>
            </w:r>
            <w:r>
              <w:t>audit</w:t>
            </w:r>
            <w:r>
              <w:rPr>
                <w:spacing w:val="-6"/>
              </w:rPr>
              <w:t xml:space="preserve"> </w:t>
            </w:r>
            <w:r>
              <w:t>director</w:t>
            </w:r>
            <w:r>
              <w:rPr>
                <w:spacing w:val="-5"/>
              </w:rPr>
              <w:t xml:space="preserve"> </w:t>
            </w:r>
            <w:r>
              <w:t>approve</w:t>
            </w:r>
            <w:r>
              <w:rPr>
                <w:spacing w:val="-6"/>
              </w:rPr>
              <w:t xml:space="preserve"> </w:t>
            </w:r>
            <w:r>
              <w:t>the</w:t>
            </w:r>
            <w:r>
              <w:rPr>
                <w:spacing w:val="-5"/>
              </w:rPr>
              <w:t xml:space="preserve"> </w:t>
            </w:r>
            <w:r>
              <w:rPr>
                <w:spacing w:val="-2"/>
              </w:rPr>
              <w:t>documentation?</w:t>
            </w:r>
          </w:p>
          <w:p w14:paraId="0DFDB43A" w14:textId="77777777" w:rsidR="00046465" w:rsidRDefault="008134EB">
            <w:pPr>
              <w:pStyle w:val="TableParagraph"/>
              <w:numPr>
                <w:ilvl w:val="1"/>
                <w:numId w:val="187"/>
              </w:numPr>
              <w:tabs>
                <w:tab w:val="left" w:pos="862"/>
              </w:tabs>
              <w:spacing w:before="118"/>
              <w:ind w:right="139"/>
              <w:jc w:val="both"/>
            </w:pPr>
            <w:r>
              <w:t>Did the auditor provide the documentation to the reviewer in a</w:t>
            </w:r>
            <w:r>
              <w:rPr>
                <w:spacing w:val="-4"/>
              </w:rPr>
              <w:t xml:space="preserve"> </w:t>
            </w:r>
            <w:r>
              <w:t>timely</w:t>
            </w:r>
            <w:r>
              <w:rPr>
                <w:spacing w:val="-4"/>
              </w:rPr>
              <w:t xml:space="preserve"> </w:t>
            </w:r>
            <w:r>
              <w:t>manner</w:t>
            </w:r>
            <w:r>
              <w:rPr>
                <w:spacing w:val="-4"/>
              </w:rPr>
              <w:t xml:space="preserve"> </w:t>
            </w:r>
            <w:r>
              <w:t>to</w:t>
            </w:r>
            <w:r>
              <w:rPr>
                <w:spacing w:val="-4"/>
              </w:rPr>
              <w:t xml:space="preserve"> </w:t>
            </w:r>
            <w:r>
              <w:t>allow</w:t>
            </w:r>
            <w:r>
              <w:rPr>
                <w:spacing w:val="-5"/>
              </w:rPr>
              <w:t xml:space="preserve"> </w:t>
            </w:r>
            <w:r>
              <w:t>any</w:t>
            </w:r>
            <w:r>
              <w:rPr>
                <w:spacing w:val="-4"/>
              </w:rPr>
              <w:t xml:space="preserve"> </w:t>
            </w:r>
            <w:r>
              <w:t>issues</w:t>
            </w:r>
            <w:r>
              <w:rPr>
                <w:spacing w:val="-4"/>
              </w:rPr>
              <w:t xml:space="preserve"> </w:t>
            </w:r>
            <w:r>
              <w:t>to</w:t>
            </w:r>
            <w:r>
              <w:rPr>
                <w:spacing w:val="-4"/>
              </w:rPr>
              <w:t xml:space="preserve"> </w:t>
            </w:r>
            <w:r>
              <w:t>be</w:t>
            </w:r>
            <w:r>
              <w:rPr>
                <w:spacing w:val="-4"/>
              </w:rPr>
              <w:t xml:space="preserve"> </w:t>
            </w:r>
            <w:r>
              <w:t>promptly</w:t>
            </w:r>
            <w:r>
              <w:rPr>
                <w:spacing w:val="-4"/>
              </w:rPr>
              <w:t xml:space="preserve"> </w:t>
            </w:r>
            <w:r>
              <w:t>identified and resolved?</w:t>
            </w:r>
          </w:p>
        </w:tc>
        <w:tc>
          <w:tcPr>
            <w:tcW w:w="1052" w:type="dxa"/>
            <w:tcBorders>
              <w:top w:val="single" w:sz="2" w:space="0" w:color="000000"/>
              <w:left w:val="single" w:sz="2" w:space="0" w:color="000000"/>
              <w:bottom w:val="single" w:sz="2" w:space="0" w:color="000000"/>
              <w:right w:val="single" w:sz="2" w:space="0" w:color="000000"/>
            </w:tcBorders>
          </w:tcPr>
          <w:p w14:paraId="0DFDB43B" w14:textId="77777777" w:rsidR="00046465" w:rsidRDefault="00046465">
            <w:pPr>
              <w:pStyle w:val="TableParagraph"/>
              <w:rPr>
                <w:rFonts w:ascii="Times New Roman"/>
                <w:sz w:val="20"/>
              </w:rPr>
            </w:pPr>
          </w:p>
        </w:tc>
        <w:tc>
          <w:tcPr>
            <w:tcW w:w="949" w:type="dxa"/>
            <w:tcBorders>
              <w:top w:val="single" w:sz="2" w:space="0" w:color="000000"/>
              <w:left w:val="single" w:sz="2" w:space="0" w:color="000000"/>
              <w:bottom w:val="single" w:sz="2" w:space="0" w:color="000000"/>
            </w:tcBorders>
          </w:tcPr>
          <w:p w14:paraId="0DFDB43C" w14:textId="77777777" w:rsidR="00046465" w:rsidRDefault="00046465">
            <w:pPr>
              <w:pStyle w:val="TableParagraph"/>
              <w:rPr>
                <w:rFonts w:ascii="Times New Roman"/>
                <w:sz w:val="20"/>
              </w:rPr>
            </w:pPr>
          </w:p>
        </w:tc>
      </w:tr>
      <w:tr w:rsidR="00046465" w14:paraId="0DFDB441" w14:textId="77777777">
        <w:trPr>
          <w:trHeight w:val="492"/>
        </w:trPr>
        <w:tc>
          <w:tcPr>
            <w:tcW w:w="6898" w:type="dxa"/>
            <w:tcBorders>
              <w:top w:val="single" w:sz="2" w:space="0" w:color="000000"/>
              <w:bottom w:val="single" w:sz="2" w:space="0" w:color="000000"/>
              <w:right w:val="single" w:sz="2" w:space="0" w:color="000000"/>
            </w:tcBorders>
          </w:tcPr>
          <w:p w14:paraId="0DFDB43E" w14:textId="77777777" w:rsidR="00046465" w:rsidRDefault="008134EB">
            <w:pPr>
              <w:pStyle w:val="TableParagraph"/>
              <w:spacing w:before="120"/>
              <w:ind w:left="125"/>
            </w:pPr>
            <w:r>
              <w:t>12.</w:t>
            </w:r>
            <w:r>
              <w:rPr>
                <w:spacing w:val="-12"/>
              </w:rPr>
              <w:t xml:space="preserve"> </w:t>
            </w:r>
            <w:r>
              <w:t>Was</w:t>
            </w:r>
            <w:r>
              <w:rPr>
                <w:spacing w:val="-6"/>
              </w:rPr>
              <w:t xml:space="preserve"> </w:t>
            </w:r>
            <w:r>
              <w:t>an</w:t>
            </w:r>
            <w:r>
              <w:rPr>
                <w:spacing w:val="-6"/>
              </w:rPr>
              <w:t xml:space="preserve"> </w:t>
            </w:r>
            <w:r>
              <w:t>exit</w:t>
            </w:r>
            <w:r>
              <w:rPr>
                <w:spacing w:val="-6"/>
              </w:rPr>
              <w:t xml:space="preserve"> </w:t>
            </w:r>
            <w:r>
              <w:t>conference</w:t>
            </w:r>
            <w:r>
              <w:rPr>
                <w:spacing w:val="-7"/>
              </w:rPr>
              <w:t xml:space="preserve"> </w:t>
            </w:r>
            <w:r>
              <w:t>held</w:t>
            </w:r>
            <w:r>
              <w:rPr>
                <w:spacing w:val="-5"/>
              </w:rPr>
              <w:t xml:space="preserve"> </w:t>
            </w:r>
            <w:r>
              <w:t>with</w:t>
            </w:r>
            <w:r>
              <w:rPr>
                <w:spacing w:val="-6"/>
              </w:rPr>
              <w:t xml:space="preserve"> </w:t>
            </w:r>
            <w:r>
              <w:t>the</w:t>
            </w:r>
            <w:r>
              <w:rPr>
                <w:spacing w:val="-5"/>
              </w:rPr>
              <w:t xml:space="preserve"> </w:t>
            </w:r>
            <w:r>
              <w:t>responsible</w:t>
            </w:r>
            <w:r>
              <w:rPr>
                <w:spacing w:val="-6"/>
              </w:rPr>
              <w:t xml:space="preserve"> </w:t>
            </w:r>
            <w:r>
              <w:rPr>
                <w:spacing w:val="-2"/>
              </w:rPr>
              <w:t>entity?</w:t>
            </w:r>
          </w:p>
        </w:tc>
        <w:tc>
          <w:tcPr>
            <w:tcW w:w="1052" w:type="dxa"/>
            <w:tcBorders>
              <w:top w:val="single" w:sz="2" w:space="0" w:color="000000"/>
              <w:left w:val="single" w:sz="2" w:space="0" w:color="000000"/>
              <w:bottom w:val="single" w:sz="2" w:space="0" w:color="000000"/>
              <w:right w:val="single" w:sz="2" w:space="0" w:color="000000"/>
            </w:tcBorders>
          </w:tcPr>
          <w:p w14:paraId="0DFDB43F" w14:textId="77777777" w:rsidR="00046465" w:rsidRDefault="00046465">
            <w:pPr>
              <w:pStyle w:val="TableParagraph"/>
              <w:rPr>
                <w:rFonts w:ascii="Times New Roman"/>
                <w:sz w:val="20"/>
              </w:rPr>
            </w:pPr>
          </w:p>
        </w:tc>
        <w:tc>
          <w:tcPr>
            <w:tcW w:w="949" w:type="dxa"/>
            <w:tcBorders>
              <w:top w:val="single" w:sz="2" w:space="0" w:color="000000"/>
              <w:left w:val="single" w:sz="2" w:space="0" w:color="000000"/>
              <w:bottom w:val="single" w:sz="2" w:space="0" w:color="000000"/>
            </w:tcBorders>
          </w:tcPr>
          <w:p w14:paraId="0DFDB440" w14:textId="77777777" w:rsidR="00046465" w:rsidRDefault="00046465">
            <w:pPr>
              <w:pStyle w:val="TableParagraph"/>
              <w:rPr>
                <w:rFonts w:ascii="Times New Roman"/>
                <w:sz w:val="20"/>
              </w:rPr>
            </w:pPr>
          </w:p>
        </w:tc>
      </w:tr>
      <w:tr w:rsidR="00046465" w14:paraId="0DFDB445" w14:textId="77777777">
        <w:trPr>
          <w:trHeight w:val="492"/>
        </w:trPr>
        <w:tc>
          <w:tcPr>
            <w:tcW w:w="6898" w:type="dxa"/>
            <w:tcBorders>
              <w:top w:val="single" w:sz="2" w:space="0" w:color="000000"/>
              <w:bottom w:val="single" w:sz="2" w:space="0" w:color="000000"/>
              <w:right w:val="single" w:sz="2" w:space="0" w:color="000000"/>
            </w:tcBorders>
          </w:tcPr>
          <w:p w14:paraId="0DFDB442" w14:textId="77777777" w:rsidR="00046465" w:rsidRDefault="008134EB">
            <w:pPr>
              <w:pStyle w:val="TableParagraph"/>
              <w:spacing w:before="120"/>
              <w:ind w:left="125"/>
            </w:pPr>
            <w:r>
              <w:t>13.</w:t>
            </w:r>
            <w:r>
              <w:rPr>
                <w:spacing w:val="-13"/>
              </w:rPr>
              <w:t xml:space="preserve"> </w:t>
            </w:r>
            <w:r>
              <w:t>Was</w:t>
            </w:r>
            <w:r>
              <w:rPr>
                <w:spacing w:val="-6"/>
              </w:rPr>
              <w:t xml:space="preserve"> </w:t>
            </w:r>
            <w:r>
              <w:t>the</w:t>
            </w:r>
            <w:r>
              <w:rPr>
                <w:spacing w:val="-6"/>
              </w:rPr>
              <w:t xml:space="preserve"> </w:t>
            </w:r>
            <w:r>
              <w:t>report</w:t>
            </w:r>
            <w:r>
              <w:rPr>
                <w:spacing w:val="-7"/>
              </w:rPr>
              <w:t xml:space="preserve"> </w:t>
            </w:r>
            <w:r>
              <w:t>referenced</w:t>
            </w:r>
            <w:r>
              <w:rPr>
                <w:spacing w:val="-6"/>
              </w:rPr>
              <w:t xml:space="preserve"> </w:t>
            </w:r>
            <w:r>
              <w:t>to</w:t>
            </w:r>
            <w:r>
              <w:rPr>
                <w:spacing w:val="-6"/>
              </w:rPr>
              <w:t xml:space="preserve"> </w:t>
            </w:r>
            <w:r>
              <w:t>supporting</w:t>
            </w:r>
            <w:r>
              <w:rPr>
                <w:spacing w:val="-6"/>
              </w:rPr>
              <w:t xml:space="preserve"> </w:t>
            </w:r>
            <w:r>
              <w:rPr>
                <w:spacing w:val="-2"/>
              </w:rPr>
              <w:t>documentation?</w:t>
            </w:r>
          </w:p>
        </w:tc>
        <w:tc>
          <w:tcPr>
            <w:tcW w:w="1052" w:type="dxa"/>
            <w:tcBorders>
              <w:top w:val="single" w:sz="2" w:space="0" w:color="000000"/>
              <w:left w:val="single" w:sz="2" w:space="0" w:color="000000"/>
              <w:bottom w:val="single" w:sz="2" w:space="0" w:color="000000"/>
              <w:right w:val="single" w:sz="2" w:space="0" w:color="000000"/>
            </w:tcBorders>
          </w:tcPr>
          <w:p w14:paraId="0DFDB443" w14:textId="77777777" w:rsidR="00046465" w:rsidRDefault="00046465">
            <w:pPr>
              <w:pStyle w:val="TableParagraph"/>
              <w:rPr>
                <w:rFonts w:ascii="Times New Roman"/>
                <w:sz w:val="20"/>
              </w:rPr>
            </w:pPr>
          </w:p>
        </w:tc>
        <w:tc>
          <w:tcPr>
            <w:tcW w:w="949" w:type="dxa"/>
            <w:tcBorders>
              <w:top w:val="single" w:sz="2" w:space="0" w:color="000000"/>
              <w:left w:val="single" w:sz="2" w:space="0" w:color="000000"/>
              <w:bottom w:val="single" w:sz="2" w:space="0" w:color="000000"/>
            </w:tcBorders>
          </w:tcPr>
          <w:p w14:paraId="0DFDB444" w14:textId="77777777" w:rsidR="00046465" w:rsidRDefault="00046465">
            <w:pPr>
              <w:pStyle w:val="TableParagraph"/>
              <w:rPr>
                <w:rFonts w:ascii="Times New Roman"/>
                <w:sz w:val="20"/>
              </w:rPr>
            </w:pPr>
          </w:p>
        </w:tc>
      </w:tr>
      <w:tr w:rsidR="00046465" w14:paraId="0DFDB452" w14:textId="77777777">
        <w:trPr>
          <w:trHeight w:val="4202"/>
        </w:trPr>
        <w:tc>
          <w:tcPr>
            <w:tcW w:w="6898" w:type="dxa"/>
            <w:tcBorders>
              <w:top w:val="single" w:sz="2" w:space="0" w:color="000000"/>
              <w:bottom w:val="single" w:sz="2" w:space="0" w:color="000000"/>
              <w:right w:val="single" w:sz="2" w:space="0" w:color="000000"/>
            </w:tcBorders>
          </w:tcPr>
          <w:p w14:paraId="0DFDB446" w14:textId="77777777" w:rsidR="00046465" w:rsidRDefault="008134EB">
            <w:pPr>
              <w:pStyle w:val="TableParagraph"/>
              <w:numPr>
                <w:ilvl w:val="0"/>
                <w:numId w:val="186"/>
              </w:numPr>
              <w:tabs>
                <w:tab w:val="left" w:pos="484"/>
              </w:tabs>
              <w:spacing w:before="120"/>
              <w:ind w:left="484" w:hanging="359"/>
            </w:pPr>
            <w:r>
              <w:t>[GAO</w:t>
            </w:r>
            <w:r>
              <w:rPr>
                <w:spacing w:val="-7"/>
              </w:rPr>
              <w:t xml:space="preserve"> </w:t>
            </w:r>
            <w:r>
              <w:t>only]</w:t>
            </w:r>
            <w:r>
              <w:rPr>
                <w:spacing w:val="-5"/>
              </w:rPr>
              <w:t xml:space="preserve"> </w:t>
            </w:r>
            <w:r>
              <w:t>Did</w:t>
            </w:r>
            <w:r>
              <w:rPr>
                <w:spacing w:val="-6"/>
              </w:rPr>
              <w:t xml:space="preserve"> </w:t>
            </w:r>
            <w:r>
              <w:t>the</w:t>
            </w:r>
            <w:r>
              <w:rPr>
                <w:spacing w:val="-6"/>
              </w:rPr>
              <w:t xml:space="preserve"> </w:t>
            </w:r>
            <w:r>
              <w:t>assistant</w:t>
            </w:r>
            <w:r>
              <w:rPr>
                <w:spacing w:val="-6"/>
              </w:rPr>
              <w:t xml:space="preserve"> </w:t>
            </w:r>
            <w:r>
              <w:t>director</w:t>
            </w:r>
            <w:r>
              <w:rPr>
                <w:spacing w:val="-6"/>
              </w:rPr>
              <w:t xml:space="preserve"> </w:t>
            </w:r>
            <w:r>
              <w:t>review</w:t>
            </w:r>
            <w:r>
              <w:rPr>
                <w:spacing w:val="-7"/>
              </w:rPr>
              <w:t xml:space="preserve"> </w:t>
            </w:r>
            <w:r>
              <w:t>the</w:t>
            </w:r>
            <w:r>
              <w:rPr>
                <w:spacing w:val="-6"/>
              </w:rPr>
              <w:t xml:space="preserve"> </w:t>
            </w:r>
            <w:r>
              <w:rPr>
                <w:spacing w:val="-2"/>
              </w:rPr>
              <w:t>following?</w:t>
            </w:r>
          </w:p>
          <w:p w14:paraId="0DFDB447" w14:textId="77777777" w:rsidR="00046465" w:rsidRDefault="008134EB">
            <w:pPr>
              <w:pStyle w:val="TableParagraph"/>
              <w:numPr>
                <w:ilvl w:val="1"/>
                <w:numId w:val="186"/>
              </w:numPr>
              <w:tabs>
                <w:tab w:val="left" w:pos="859"/>
              </w:tabs>
              <w:spacing w:before="119"/>
              <w:ind w:right="558"/>
            </w:pPr>
            <w:r>
              <w:t>Documentation</w:t>
            </w:r>
            <w:r>
              <w:rPr>
                <w:spacing w:val="-7"/>
              </w:rPr>
              <w:t xml:space="preserve"> </w:t>
            </w:r>
            <w:r>
              <w:t>of</w:t>
            </w:r>
            <w:r>
              <w:rPr>
                <w:spacing w:val="-7"/>
              </w:rPr>
              <w:t xml:space="preserve"> </w:t>
            </w:r>
            <w:r>
              <w:t>the</w:t>
            </w:r>
            <w:r>
              <w:rPr>
                <w:spacing w:val="-7"/>
              </w:rPr>
              <w:t xml:space="preserve"> </w:t>
            </w:r>
            <w:r>
              <w:t>understanding</w:t>
            </w:r>
            <w:r>
              <w:rPr>
                <w:spacing w:val="-8"/>
              </w:rPr>
              <w:t xml:space="preserve"> </w:t>
            </w:r>
            <w:r>
              <w:t>with</w:t>
            </w:r>
            <w:r>
              <w:rPr>
                <w:spacing w:val="-7"/>
              </w:rPr>
              <w:t xml:space="preserve"> </w:t>
            </w:r>
            <w:r>
              <w:t>the</w:t>
            </w:r>
            <w:r>
              <w:rPr>
                <w:spacing w:val="-7"/>
              </w:rPr>
              <w:t xml:space="preserve"> </w:t>
            </w:r>
            <w:r>
              <w:t>individuals requesting the procedures and officials of the entity.</w:t>
            </w:r>
          </w:p>
          <w:p w14:paraId="0DFDB448" w14:textId="77777777" w:rsidR="00046465" w:rsidRDefault="008134EB">
            <w:pPr>
              <w:pStyle w:val="TableParagraph"/>
              <w:numPr>
                <w:ilvl w:val="1"/>
                <w:numId w:val="186"/>
              </w:numPr>
              <w:tabs>
                <w:tab w:val="left" w:pos="859"/>
              </w:tabs>
              <w:spacing w:before="59"/>
              <w:ind w:right="337"/>
            </w:pPr>
            <w:r>
              <w:t>Memorandum</w:t>
            </w:r>
            <w:r>
              <w:rPr>
                <w:spacing w:val="-7"/>
              </w:rPr>
              <w:t xml:space="preserve"> </w:t>
            </w:r>
            <w:r>
              <w:t>of</w:t>
            </w:r>
            <w:r>
              <w:rPr>
                <w:spacing w:val="-7"/>
              </w:rPr>
              <w:t xml:space="preserve"> </w:t>
            </w:r>
            <w:r>
              <w:t>entrance</w:t>
            </w:r>
            <w:r>
              <w:rPr>
                <w:spacing w:val="-7"/>
              </w:rPr>
              <w:t xml:space="preserve"> </w:t>
            </w:r>
            <w:r>
              <w:t>conference</w:t>
            </w:r>
            <w:r>
              <w:rPr>
                <w:spacing w:val="-7"/>
              </w:rPr>
              <w:t xml:space="preserve"> </w:t>
            </w:r>
            <w:r>
              <w:t>with</w:t>
            </w:r>
            <w:r>
              <w:rPr>
                <w:spacing w:val="-7"/>
              </w:rPr>
              <w:t xml:space="preserve"> </w:t>
            </w:r>
            <w:r>
              <w:t>the</w:t>
            </w:r>
            <w:r>
              <w:rPr>
                <w:spacing w:val="-7"/>
              </w:rPr>
              <w:t xml:space="preserve"> </w:t>
            </w:r>
            <w:r>
              <w:t xml:space="preserve">responsible </w:t>
            </w:r>
            <w:r>
              <w:rPr>
                <w:spacing w:val="-2"/>
              </w:rPr>
              <w:t>entity.</w:t>
            </w:r>
          </w:p>
          <w:p w14:paraId="0DFDB449" w14:textId="77777777" w:rsidR="00046465" w:rsidRDefault="008134EB">
            <w:pPr>
              <w:pStyle w:val="TableParagraph"/>
              <w:numPr>
                <w:ilvl w:val="1"/>
                <w:numId w:val="186"/>
              </w:numPr>
              <w:tabs>
                <w:tab w:val="left" w:pos="859"/>
              </w:tabs>
              <w:spacing w:before="58"/>
            </w:pPr>
            <w:r>
              <w:t>Completed</w:t>
            </w:r>
            <w:r>
              <w:rPr>
                <w:spacing w:val="-7"/>
              </w:rPr>
              <w:t xml:space="preserve"> </w:t>
            </w:r>
            <w:r>
              <w:t>work</w:t>
            </w:r>
            <w:r>
              <w:rPr>
                <w:spacing w:val="-7"/>
              </w:rPr>
              <w:t xml:space="preserve"> </w:t>
            </w:r>
            <w:r>
              <w:t>plans</w:t>
            </w:r>
            <w:r>
              <w:rPr>
                <w:spacing w:val="-8"/>
              </w:rPr>
              <w:t xml:space="preserve"> </w:t>
            </w:r>
            <w:r>
              <w:t>and</w:t>
            </w:r>
            <w:r>
              <w:rPr>
                <w:spacing w:val="-7"/>
              </w:rPr>
              <w:t xml:space="preserve"> </w:t>
            </w:r>
            <w:r>
              <w:rPr>
                <w:spacing w:val="-2"/>
              </w:rPr>
              <w:t>procedures.</w:t>
            </w:r>
          </w:p>
          <w:p w14:paraId="0DFDB44A" w14:textId="77777777" w:rsidR="00046465" w:rsidRDefault="008134EB">
            <w:pPr>
              <w:pStyle w:val="TableParagraph"/>
              <w:numPr>
                <w:ilvl w:val="1"/>
                <w:numId w:val="186"/>
              </w:numPr>
              <w:tabs>
                <w:tab w:val="left" w:pos="859"/>
              </w:tabs>
              <w:spacing w:before="58"/>
            </w:pPr>
            <w:r>
              <w:t>Memorandums</w:t>
            </w:r>
            <w:r>
              <w:rPr>
                <w:spacing w:val="-10"/>
              </w:rPr>
              <w:t xml:space="preserve"> </w:t>
            </w:r>
            <w:r>
              <w:t>on</w:t>
            </w:r>
            <w:r>
              <w:rPr>
                <w:spacing w:val="-9"/>
              </w:rPr>
              <w:t xml:space="preserve"> </w:t>
            </w:r>
            <w:r>
              <w:t>key</w:t>
            </w:r>
            <w:r>
              <w:rPr>
                <w:spacing w:val="-9"/>
              </w:rPr>
              <w:t xml:space="preserve"> </w:t>
            </w:r>
            <w:r>
              <w:t>engagement</w:t>
            </w:r>
            <w:r>
              <w:rPr>
                <w:spacing w:val="-9"/>
              </w:rPr>
              <w:t xml:space="preserve"> </w:t>
            </w:r>
            <w:r>
              <w:rPr>
                <w:spacing w:val="-2"/>
              </w:rPr>
              <w:t>issues.</w:t>
            </w:r>
          </w:p>
          <w:p w14:paraId="0DFDB44B" w14:textId="77777777" w:rsidR="00046465" w:rsidRDefault="008134EB">
            <w:pPr>
              <w:pStyle w:val="TableParagraph"/>
              <w:numPr>
                <w:ilvl w:val="1"/>
                <w:numId w:val="186"/>
              </w:numPr>
              <w:tabs>
                <w:tab w:val="left" w:pos="859"/>
              </w:tabs>
              <w:spacing w:before="59"/>
            </w:pPr>
            <w:r>
              <w:t>Summary</w:t>
            </w:r>
            <w:r>
              <w:rPr>
                <w:spacing w:val="-5"/>
              </w:rPr>
              <w:t xml:space="preserve"> </w:t>
            </w:r>
            <w:r>
              <w:t>of</w:t>
            </w:r>
            <w:r>
              <w:rPr>
                <w:spacing w:val="-5"/>
              </w:rPr>
              <w:t xml:space="preserve"> </w:t>
            </w:r>
            <w:r>
              <w:t>the</w:t>
            </w:r>
            <w:r>
              <w:rPr>
                <w:spacing w:val="-4"/>
              </w:rPr>
              <w:t xml:space="preserve"> </w:t>
            </w:r>
            <w:r>
              <w:t>results</w:t>
            </w:r>
            <w:r>
              <w:rPr>
                <w:spacing w:val="-6"/>
              </w:rPr>
              <w:t xml:space="preserve"> </w:t>
            </w:r>
            <w:r>
              <w:t>of</w:t>
            </w:r>
            <w:r>
              <w:rPr>
                <w:spacing w:val="-5"/>
              </w:rPr>
              <w:t xml:space="preserve"> </w:t>
            </w:r>
            <w:r>
              <w:t>the</w:t>
            </w:r>
            <w:r>
              <w:rPr>
                <w:spacing w:val="-4"/>
              </w:rPr>
              <w:t xml:space="preserve"> </w:t>
            </w:r>
            <w:r>
              <w:rPr>
                <w:spacing w:val="-2"/>
              </w:rPr>
              <w:t>procedures.</w:t>
            </w:r>
          </w:p>
          <w:p w14:paraId="0DFDB44C" w14:textId="77777777" w:rsidR="00046465" w:rsidRDefault="008134EB">
            <w:pPr>
              <w:pStyle w:val="TableParagraph"/>
              <w:numPr>
                <w:ilvl w:val="1"/>
                <w:numId w:val="186"/>
              </w:numPr>
              <w:tabs>
                <w:tab w:val="left" w:pos="859"/>
              </w:tabs>
              <w:spacing w:before="59"/>
            </w:pPr>
            <w:r>
              <w:t>Memorandum</w:t>
            </w:r>
            <w:r>
              <w:rPr>
                <w:spacing w:val="-9"/>
              </w:rPr>
              <w:t xml:space="preserve"> </w:t>
            </w:r>
            <w:r>
              <w:t>of</w:t>
            </w:r>
            <w:r>
              <w:rPr>
                <w:spacing w:val="-8"/>
              </w:rPr>
              <w:t xml:space="preserve"> </w:t>
            </w:r>
            <w:r>
              <w:t>exit</w:t>
            </w:r>
            <w:r>
              <w:rPr>
                <w:spacing w:val="-7"/>
              </w:rPr>
              <w:t xml:space="preserve"> </w:t>
            </w:r>
            <w:r>
              <w:t>conference</w:t>
            </w:r>
            <w:r>
              <w:rPr>
                <w:spacing w:val="-8"/>
              </w:rPr>
              <w:t xml:space="preserve"> </w:t>
            </w:r>
            <w:r>
              <w:t>with</w:t>
            </w:r>
            <w:r>
              <w:rPr>
                <w:spacing w:val="-7"/>
              </w:rPr>
              <w:t xml:space="preserve"> </w:t>
            </w:r>
            <w:r>
              <w:t>the</w:t>
            </w:r>
            <w:r>
              <w:rPr>
                <w:spacing w:val="-8"/>
              </w:rPr>
              <w:t xml:space="preserve"> </w:t>
            </w:r>
            <w:r>
              <w:t>responsible</w:t>
            </w:r>
            <w:r>
              <w:rPr>
                <w:spacing w:val="-7"/>
              </w:rPr>
              <w:t xml:space="preserve"> </w:t>
            </w:r>
            <w:r>
              <w:rPr>
                <w:spacing w:val="-2"/>
              </w:rPr>
              <w:t>entity.</w:t>
            </w:r>
          </w:p>
          <w:p w14:paraId="0DFDB44D" w14:textId="77777777" w:rsidR="00046465" w:rsidRDefault="008134EB">
            <w:pPr>
              <w:pStyle w:val="TableParagraph"/>
              <w:numPr>
                <w:ilvl w:val="1"/>
                <w:numId w:val="186"/>
              </w:numPr>
              <w:tabs>
                <w:tab w:val="left" w:pos="859"/>
              </w:tabs>
              <w:spacing w:before="58"/>
            </w:pPr>
            <w:r>
              <w:t>Deviations</w:t>
            </w:r>
            <w:r>
              <w:rPr>
                <w:spacing w:val="-9"/>
              </w:rPr>
              <w:t xml:space="preserve"> </w:t>
            </w:r>
            <w:r>
              <w:t>from</w:t>
            </w:r>
            <w:r>
              <w:rPr>
                <w:spacing w:val="-10"/>
              </w:rPr>
              <w:t xml:space="preserve"> </w:t>
            </w:r>
            <w:r>
              <w:t>standard</w:t>
            </w:r>
            <w:r>
              <w:rPr>
                <w:spacing w:val="-9"/>
              </w:rPr>
              <w:t xml:space="preserve"> </w:t>
            </w:r>
            <w:r>
              <w:t>reporting</w:t>
            </w:r>
            <w:r>
              <w:rPr>
                <w:spacing w:val="-8"/>
              </w:rPr>
              <w:t xml:space="preserve"> </w:t>
            </w:r>
            <w:r>
              <w:rPr>
                <w:spacing w:val="-2"/>
              </w:rPr>
              <w:t>language.</w:t>
            </w:r>
          </w:p>
          <w:p w14:paraId="0DFDB44E" w14:textId="77777777" w:rsidR="00046465" w:rsidRDefault="008134EB">
            <w:pPr>
              <w:pStyle w:val="TableParagraph"/>
              <w:numPr>
                <w:ilvl w:val="1"/>
                <w:numId w:val="186"/>
              </w:numPr>
              <w:tabs>
                <w:tab w:val="left" w:pos="859"/>
              </w:tabs>
              <w:spacing w:before="58"/>
            </w:pPr>
            <w:r>
              <w:t>Financial</w:t>
            </w:r>
            <w:r>
              <w:rPr>
                <w:spacing w:val="-13"/>
              </w:rPr>
              <w:t xml:space="preserve"> </w:t>
            </w:r>
            <w:r>
              <w:t>schedules/statements,</w:t>
            </w:r>
            <w:r>
              <w:rPr>
                <w:spacing w:val="-12"/>
              </w:rPr>
              <w:t xml:space="preserve"> </w:t>
            </w:r>
            <w:r>
              <w:t>if</w:t>
            </w:r>
            <w:r>
              <w:rPr>
                <w:spacing w:val="-12"/>
              </w:rPr>
              <w:t xml:space="preserve"> </w:t>
            </w:r>
            <w:r>
              <w:rPr>
                <w:spacing w:val="-2"/>
              </w:rPr>
              <w:t>applicable.</w:t>
            </w:r>
          </w:p>
          <w:p w14:paraId="0DFDB44F" w14:textId="77777777" w:rsidR="00046465" w:rsidRDefault="008134EB">
            <w:pPr>
              <w:pStyle w:val="TableParagraph"/>
              <w:numPr>
                <w:ilvl w:val="1"/>
                <w:numId w:val="186"/>
              </w:numPr>
              <w:tabs>
                <w:tab w:val="left" w:pos="859"/>
              </w:tabs>
              <w:spacing w:before="58"/>
              <w:ind w:right="900"/>
            </w:pPr>
            <w:r>
              <w:t>Representation</w:t>
            </w:r>
            <w:r>
              <w:rPr>
                <w:spacing w:val="-7"/>
              </w:rPr>
              <w:t xml:space="preserve"> </w:t>
            </w:r>
            <w:r>
              <w:t>letter(s)</w:t>
            </w:r>
            <w:r>
              <w:rPr>
                <w:spacing w:val="-7"/>
              </w:rPr>
              <w:t xml:space="preserve"> </w:t>
            </w:r>
            <w:r>
              <w:t>from</w:t>
            </w:r>
            <w:r>
              <w:rPr>
                <w:spacing w:val="-7"/>
              </w:rPr>
              <w:t xml:space="preserve"> </w:t>
            </w:r>
            <w:r>
              <w:t>the</w:t>
            </w:r>
            <w:r>
              <w:rPr>
                <w:spacing w:val="-7"/>
              </w:rPr>
              <w:t xml:space="preserve"> </w:t>
            </w:r>
            <w:r>
              <w:t>engaging</w:t>
            </w:r>
            <w:r>
              <w:rPr>
                <w:spacing w:val="-7"/>
              </w:rPr>
              <w:t xml:space="preserve"> </w:t>
            </w:r>
            <w:r>
              <w:t>party</w:t>
            </w:r>
            <w:r>
              <w:rPr>
                <w:spacing w:val="-7"/>
              </w:rPr>
              <w:t xml:space="preserve"> </w:t>
            </w:r>
            <w:r>
              <w:t>and responsible party, as appropriate.</w:t>
            </w:r>
          </w:p>
        </w:tc>
        <w:tc>
          <w:tcPr>
            <w:tcW w:w="1052" w:type="dxa"/>
            <w:tcBorders>
              <w:top w:val="single" w:sz="2" w:space="0" w:color="000000"/>
              <w:left w:val="single" w:sz="2" w:space="0" w:color="000000"/>
              <w:bottom w:val="single" w:sz="2" w:space="0" w:color="000000"/>
              <w:right w:val="single" w:sz="2" w:space="0" w:color="000000"/>
            </w:tcBorders>
          </w:tcPr>
          <w:p w14:paraId="0DFDB450" w14:textId="77777777" w:rsidR="00046465" w:rsidRDefault="00046465">
            <w:pPr>
              <w:pStyle w:val="TableParagraph"/>
              <w:rPr>
                <w:rFonts w:ascii="Times New Roman"/>
                <w:sz w:val="20"/>
              </w:rPr>
            </w:pPr>
          </w:p>
        </w:tc>
        <w:tc>
          <w:tcPr>
            <w:tcW w:w="949" w:type="dxa"/>
            <w:tcBorders>
              <w:top w:val="single" w:sz="2" w:space="0" w:color="000000"/>
              <w:left w:val="single" w:sz="2" w:space="0" w:color="000000"/>
              <w:bottom w:val="single" w:sz="2" w:space="0" w:color="000000"/>
            </w:tcBorders>
          </w:tcPr>
          <w:p w14:paraId="0DFDB451" w14:textId="77777777" w:rsidR="00046465" w:rsidRDefault="00046465">
            <w:pPr>
              <w:pStyle w:val="TableParagraph"/>
              <w:rPr>
                <w:rFonts w:ascii="Times New Roman"/>
                <w:sz w:val="20"/>
              </w:rPr>
            </w:pPr>
          </w:p>
        </w:tc>
      </w:tr>
    </w:tbl>
    <w:p w14:paraId="0DFDB453" w14:textId="77777777" w:rsidR="00046465" w:rsidRDefault="00046465">
      <w:pPr>
        <w:pStyle w:val="TableParagraph"/>
        <w:rPr>
          <w:rFonts w:ascii="Times New Roman"/>
          <w:sz w:val="20"/>
        </w:rPr>
        <w:sectPr w:rsidR="00046465">
          <w:pgSz w:w="12240" w:h="15840"/>
          <w:pgMar w:top="1340" w:right="720" w:bottom="940" w:left="1080" w:header="721" w:footer="757" w:gutter="0"/>
          <w:cols w:space="720"/>
        </w:sectPr>
      </w:pPr>
    </w:p>
    <w:p w14:paraId="0DFDB454" w14:textId="77777777" w:rsidR="00046465" w:rsidRDefault="00046465">
      <w:pPr>
        <w:pStyle w:val="BodyText"/>
        <w:spacing w:before="9"/>
        <w:rPr>
          <w:sz w:val="11"/>
        </w:rPr>
      </w:pPr>
    </w:p>
    <w:tbl>
      <w:tblPr>
        <w:tblW w:w="0" w:type="auto"/>
        <w:tblInd w:w="614"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898"/>
        <w:gridCol w:w="1052"/>
        <w:gridCol w:w="949"/>
      </w:tblGrid>
      <w:tr w:rsidR="00046465" w14:paraId="0DFDB45A" w14:textId="77777777">
        <w:trPr>
          <w:trHeight w:val="758"/>
        </w:trPr>
        <w:tc>
          <w:tcPr>
            <w:tcW w:w="6898" w:type="dxa"/>
            <w:tcBorders>
              <w:right w:val="single" w:sz="2" w:space="0" w:color="000000"/>
            </w:tcBorders>
          </w:tcPr>
          <w:p w14:paraId="0DFDB455" w14:textId="77777777" w:rsidR="00046465" w:rsidRDefault="00046465">
            <w:pPr>
              <w:pStyle w:val="TableParagraph"/>
            </w:pPr>
          </w:p>
          <w:p w14:paraId="0DFDB456" w14:textId="77777777" w:rsidR="00046465" w:rsidRDefault="00046465">
            <w:pPr>
              <w:pStyle w:val="TableParagraph"/>
            </w:pPr>
          </w:p>
          <w:p w14:paraId="0DFDB457" w14:textId="77777777" w:rsidR="00046465" w:rsidRDefault="008134EB">
            <w:pPr>
              <w:pStyle w:val="TableParagraph"/>
              <w:spacing w:line="232" w:lineRule="exact"/>
              <w:ind w:right="6"/>
              <w:jc w:val="center"/>
              <w:rPr>
                <w:b/>
              </w:rPr>
            </w:pPr>
            <w:r>
              <w:rPr>
                <w:b/>
                <w:spacing w:val="-4"/>
              </w:rPr>
              <w:t>Steps</w:t>
            </w:r>
          </w:p>
        </w:tc>
        <w:tc>
          <w:tcPr>
            <w:tcW w:w="1052" w:type="dxa"/>
            <w:tcBorders>
              <w:left w:val="single" w:sz="2" w:space="0" w:color="000000"/>
              <w:right w:val="single" w:sz="2" w:space="0" w:color="000000"/>
            </w:tcBorders>
          </w:tcPr>
          <w:p w14:paraId="0DFDB458" w14:textId="77777777" w:rsidR="00046465" w:rsidRDefault="008134EB">
            <w:pPr>
              <w:pStyle w:val="TableParagraph"/>
              <w:spacing w:line="250" w:lineRule="atLeast"/>
              <w:ind w:left="223" w:right="209" w:hanging="1"/>
              <w:jc w:val="center"/>
              <w:rPr>
                <w:b/>
              </w:rPr>
            </w:pPr>
            <w:r>
              <w:rPr>
                <w:b/>
                <w:spacing w:val="-4"/>
              </w:rPr>
              <w:t xml:space="preserve">Yes, </w:t>
            </w:r>
            <w:r>
              <w:rPr>
                <w:b/>
              </w:rPr>
              <w:t>no,</w:t>
            </w:r>
            <w:r>
              <w:rPr>
                <w:b/>
                <w:spacing w:val="-16"/>
              </w:rPr>
              <w:t xml:space="preserve"> </w:t>
            </w:r>
            <w:r>
              <w:rPr>
                <w:b/>
              </w:rPr>
              <w:t xml:space="preserve">or </w:t>
            </w:r>
            <w:r>
              <w:rPr>
                <w:b/>
                <w:spacing w:val="-4"/>
              </w:rPr>
              <w:t>N/A</w:t>
            </w:r>
          </w:p>
        </w:tc>
        <w:tc>
          <w:tcPr>
            <w:tcW w:w="949" w:type="dxa"/>
            <w:tcBorders>
              <w:left w:val="single" w:sz="2" w:space="0" w:color="000000"/>
            </w:tcBorders>
          </w:tcPr>
          <w:p w14:paraId="0DFDB459" w14:textId="77777777" w:rsidR="00046465" w:rsidRDefault="008134EB">
            <w:pPr>
              <w:pStyle w:val="TableParagraph"/>
              <w:spacing w:before="233" w:line="250" w:lineRule="atLeast"/>
              <w:ind w:left="269" w:right="204" w:hanging="30"/>
              <w:rPr>
                <w:b/>
              </w:rPr>
            </w:pPr>
            <w:r>
              <w:rPr>
                <w:b/>
                <w:spacing w:val="-4"/>
              </w:rPr>
              <w:t>Doc. Ref.</w:t>
            </w:r>
          </w:p>
        </w:tc>
      </w:tr>
      <w:tr w:rsidR="00046465" w14:paraId="0DFDB45F" w14:textId="77777777">
        <w:trPr>
          <w:trHeight w:val="675"/>
        </w:trPr>
        <w:tc>
          <w:tcPr>
            <w:tcW w:w="6898" w:type="dxa"/>
            <w:tcBorders>
              <w:bottom w:val="single" w:sz="2" w:space="0" w:color="000000"/>
              <w:right w:val="single" w:sz="2" w:space="0" w:color="000000"/>
            </w:tcBorders>
          </w:tcPr>
          <w:p w14:paraId="0DFDB45B" w14:textId="77777777" w:rsidR="00046465" w:rsidRDefault="008134EB">
            <w:pPr>
              <w:pStyle w:val="TableParagraph"/>
              <w:numPr>
                <w:ilvl w:val="0"/>
                <w:numId w:val="185"/>
              </w:numPr>
              <w:tabs>
                <w:tab w:val="left" w:pos="859"/>
              </w:tabs>
              <w:spacing w:line="230" w:lineRule="exact"/>
            </w:pPr>
            <w:r>
              <w:t>Agreed-upon</w:t>
            </w:r>
            <w:r>
              <w:rPr>
                <w:spacing w:val="-13"/>
              </w:rPr>
              <w:t xml:space="preserve"> </w:t>
            </w:r>
            <w:r>
              <w:t>procedures</w:t>
            </w:r>
            <w:r>
              <w:rPr>
                <w:spacing w:val="-13"/>
              </w:rPr>
              <w:t xml:space="preserve"> </w:t>
            </w:r>
            <w:r>
              <w:rPr>
                <w:spacing w:val="-2"/>
              </w:rPr>
              <w:t>report.</w:t>
            </w:r>
          </w:p>
          <w:p w14:paraId="0DFDB45C" w14:textId="77777777" w:rsidR="00046465" w:rsidRDefault="008134EB">
            <w:pPr>
              <w:pStyle w:val="TableParagraph"/>
              <w:numPr>
                <w:ilvl w:val="0"/>
                <w:numId w:val="185"/>
              </w:numPr>
              <w:tabs>
                <w:tab w:val="left" w:pos="862"/>
              </w:tabs>
              <w:spacing w:before="58"/>
              <w:ind w:left="862" w:hanging="359"/>
            </w:pPr>
            <w:r>
              <w:t>GAO</w:t>
            </w:r>
            <w:r>
              <w:rPr>
                <w:spacing w:val="-10"/>
              </w:rPr>
              <w:t xml:space="preserve"> </w:t>
            </w:r>
            <w:r>
              <w:t>Engagement</w:t>
            </w:r>
            <w:r>
              <w:rPr>
                <w:spacing w:val="-9"/>
              </w:rPr>
              <w:t xml:space="preserve"> </w:t>
            </w:r>
            <w:r>
              <w:t>Management</w:t>
            </w:r>
            <w:r>
              <w:rPr>
                <w:spacing w:val="-9"/>
              </w:rPr>
              <w:t xml:space="preserve"> </w:t>
            </w:r>
            <w:r>
              <w:t>and</w:t>
            </w:r>
            <w:r>
              <w:rPr>
                <w:spacing w:val="-10"/>
              </w:rPr>
              <w:t xml:space="preserve"> </w:t>
            </w:r>
            <w:r>
              <w:t>Product</w:t>
            </w:r>
            <w:r>
              <w:rPr>
                <w:spacing w:val="-9"/>
              </w:rPr>
              <w:t xml:space="preserve"> </w:t>
            </w:r>
            <w:r>
              <w:rPr>
                <w:spacing w:val="-2"/>
              </w:rPr>
              <w:t>File.</w:t>
            </w:r>
          </w:p>
        </w:tc>
        <w:tc>
          <w:tcPr>
            <w:tcW w:w="1052" w:type="dxa"/>
            <w:tcBorders>
              <w:left w:val="single" w:sz="2" w:space="0" w:color="000000"/>
              <w:bottom w:val="single" w:sz="2" w:space="0" w:color="000000"/>
              <w:right w:val="single" w:sz="2" w:space="0" w:color="000000"/>
            </w:tcBorders>
          </w:tcPr>
          <w:p w14:paraId="0DFDB45D" w14:textId="77777777" w:rsidR="00046465" w:rsidRDefault="00046465">
            <w:pPr>
              <w:pStyle w:val="TableParagraph"/>
              <w:rPr>
                <w:rFonts w:ascii="Times New Roman"/>
                <w:sz w:val="20"/>
              </w:rPr>
            </w:pPr>
          </w:p>
        </w:tc>
        <w:tc>
          <w:tcPr>
            <w:tcW w:w="949" w:type="dxa"/>
            <w:tcBorders>
              <w:left w:val="single" w:sz="2" w:space="0" w:color="000000"/>
              <w:bottom w:val="single" w:sz="2" w:space="0" w:color="000000"/>
            </w:tcBorders>
          </w:tcPr>
          <w:p w14:paraId="0DFDB45E" w14:textId="77777777" w:rsidR="00046465" w:rsidRDefault="00046465">
            <w:pPr>
              <w:pStyle w:val="TableParagraph"/>
              <w:rPr>
                <w:rFonts w:ascii="Times New Roman"/>
                <w:sz w:val="20"/>
              </w:rPr>
            </w:pPr>
          </w:p>
        </w:tc>
      </w:tr>
      <w:tr w:rsidR="00046465" w14:paraId="0DFDB46A" w14:textId="77777777">
        <w:trPr>
          <w:trHeight w:val="3353"/>
        </w:trPr>
        <w:tc>
          <w:tcPr>
            <w:tcW w:w="6898" w:type="dxa"/>
            <w:tcBorders>
              <w:top w:val="single" w:sz="2" w:space="0" w:color="000000"/>
              <w:bottom w:val="single" w:sz="2" w:space="0" w:color="000000"/>
              <w:right w:val="single" w:sz="2" w:space="0" w:color="000000"/>
            </w:tcBorders>
          </w:tcPr>
          <w:p w14:paraId="0DFDB460" w14:textId="77777777" w:rsidR="00046465" w:rsidRDefault="008134EB">
            <w:pPr>
              <w:pStyle w:val="TableParagraph"/>
              <w:numPr>
                <w:ilvl w:val="0"/>
                <w:numId w:val="184"/>
              </w:numPr>
              <w:tabs>
                <w:tab w:val="left" w:pos="545"/>
              </w:tabs>
              <w:spacing w:before="121"/>
              <w:ind w:left="545" w:hanging="420"/>
            </w:pPr>
            <w:r>
              <w:t>[GAO</w:t>
            </w:r>
            <w:r>
              <w:rPr>
                <w:spacing w:val="-7"/>
              </w:rPr>
              <w:t xml:space="preserve"> </w:t>
            </w:r>
            <w:r>
              <w:t>only]</w:t>
            </w:r>
            <w:r>
              <w:rPr>
                <w:spacing w:val="-5"/>
              </w:rPr>
              <w:t xml:space="preserve"> </w:t>
            </w:r>
            <w:r>
              <w:t>Did</w:t>
            </w:r>
            <w:r>
              <w:rPr>
                <w:spacing w:val="-6"/>
              </w:rPr>
              <w:t xml:space="preserve"> </w:t>
            </w:r>
            <w:r>
              <w:t>the</w:t>
            </w:r>
            <w:r>
              <w:rPr>
                <w:spacing w:val="-5"/>
              </w:rPr>
              <w:t xml:space="preserve"> </w:t>
            </w:r>
            <w:r>
              <w:t>audit</w:t>
            </w:r>
            <w:r>
              <w:rPr>
                <w:spacing w:val="-5"/>
              </w:rPr>
              <w:t xml:space="preserve"> </w:t>
            </w:r>
            <w:r>
              <w:t>director</w:t>
            </w:r>
            <w:r>
              <w:rPr>
                <w:spacing w:val="-6"/>
              </w:rPr>
              <w:t xml:space="preserve"> </w:t>
            </w:r>
            <w:r>
              <w:t>review</w:t>
            </w:r>
            <w:r>
              <w:rPr>
                <w:spacing w:val="-6"/>
              </w:rPr>
              <w:t xml:space="preserve"> </w:t>
            </w:r>
            <w:r>
              <w:t>the</w:t>
            </w:r>
            <w:r>
              <w:rPr>
                <w:spacing w:val="-6"/>
              </w:rPr>
              <w:t xml:space="preserve"> </w:t>
            </w:r>
            <w:r>
              <w:rPr>
                <w:spacing w:val="-2"/>
              </w:rPr>
              <w:t>following?</w:t>
            </w:r>
          </w:p>
          <w:p w14:paraId="0DFDB461" w14:textId="77777777" w:rsidR="00046465" w:rsidRDefault="008134EB">
            <w:pPr>
              <w:pStyle w:val="TableParagraph"/>
              <w:numPr>
                <w:ilvl w:val="1"/>
                <w:numId w:val="184"/>
              </w:numPr>
              <w:tabs>
                <w:tab w:val="left" w:pos="862"/>
              </w:tabs>
              <w:spacing w:before="119"/>
              <w:ind w:right="555"/>
            </w:pPr>
            <w:r>
              <w:t>Documentation</w:t>
            </w:r>
            <w:r>
              <w:rPr>
                <w:spacing w:val="-7"/>
              </w:rPr>
              <w:t xml:space="preserve"> </w:t>
            </w:r>
            <w:r>
              <w:t>of</w:t>
            </w:r>
            <w:r>
              <w:rPr>
                <w:spacing w:val="-7"/>
              </w:rPr>
              <w:t xml:space="preserve"> </w:t>
            </w:r>
            <w:r>
              <w:t>the</w:t>
            </w:r>
            <w:r>
              <w:rPr>
                <w:spacing w:val="-7"/>
              </w:rPr>
              <w:t xml:space="preserve"> </w:t>
            </w:r>
            <w:r>
              <w:t>understanding</w:t>
            </w:r>
            <w:r>
              <w:rPr>
                <w:spacing w:val="-8"/>
              </w:rPr>
              <w:t xml:space="preserve"> </w:t>
            </w:r>
            <w:r>
              <w:t>with</w:t>
            </w:r>
            <w:r>
              <w:rPr>
                <w:spacing w:val="-7"/>
              </w:rPr>
              <w:t xml:space="preserve"> </w:t>
            </w:r>
            <w:r>
              <w:t>the</w:t>
            </w:r>
            <w:r>
              <w:rPr>
                <w:spacing w:val="-7"/>
              </w:rPr>
              <w:t xml:space="preserve"> </w:t>
            </w:r>
            <w:r>
              <w:t>individuals requesting the procedures and officials of the entity.</w:t>
            </w:r>
          </w:p>
          <w:p w14:paraId="0DFDB462" w14:textId="77777777" w:rsidR="00046465" w:rsidRDefault="008134EB">
            <w:pPr>
              <w:pStyle w:val="TableParagraph"/>
              <w:numPr>
                <w:ilvl w:val="1"/>
                <w:numId w:val="184"/>
              </w:numPr>
              <w:tabs>
                <w:tab w:val="left" w:pos="859"/>
              </w:tabs>
              <w:spacing w:before="58"/>
              <w:ind w:left="859"/>
            </w:pPr>
            <w:r>
              <w:t>Summary</w:t>
            </w:r>
            <w:r>
              <w:rPr>
                <w:spacing w:val="-6"/>
              </w:rPr>
              <w:t xml:space="preserve"> </w:t>
            </w:r>
            <w:r>
              <w:t>of</w:t>
            </w:r>
            <w:r>
              <w:rPr>
                <w:spacing w:val="-5"/>
              </w:rPr>
              <w:t xml:space="preserve"> </w:t>
            </w:r>
            <w:r>
              <w:t>results</w:t>
            </w:r>
            <w:r>
              <w:rPr>
                <w:spacing w:val="-5"/>
              </w:rPr>
              <w:t xml:space="preserve"> </w:t>
            </w:r>
            <w:r>
              <w:t>of</w:t>
            </w:r>
            <w:r>
              <w:rPr>
                <w:spacing w:val="-5"/>
              </w:rPr>
              <w:t xml:space="preserve"> </w:t>
            </w:r>
            <w:r>
              <w:t>the</w:t>
            </w:r>
            <w:r>
              <w:rPr>
                <w:spacing w:val="-5"/>
              </w:rPr>
              <w:t xml:space="preserve"> </w:t>
            </w:r>
            <w:r>
              <w:rPr>
                <w:spacing w:val="-2"/>
              </w:rPr>
              <w:t>procedures.</w:t>
            </w:r>
          </w:p>
          <w:p w14:paraId="0DFDB463" w14:textId="77777777" w:rsidR="00046465" w:rsidRDefault="008134EB">
            <w:pPr>
              <w:pStyle w:val="TableParagraph"/>
              <w:numPr>
                <w:ilvl w:val="1"/>
                <w:numId w:val="184"/>
              </w:numPr>
              <w:tabs>
                <w:tab w:val="left" w:pos="859"/>
              </w:tabs>
              <w:spacing w:before="59"/>
              <w:ind w:left="859"/>
            </w:pPr>
            <w:r>
              <w:t>Memorandum</w:t>
            </w:r>
            <w:r>
              <w:rPr>
                <w:spacing w:val="-10"/>
              </w:rPr>
              <w:t xml:space="preserve"> </w:t>
            </w:r>
            <w:r>
              <w:t>of</w:t>
            </w:r>
            <w:r>
              <w:rPr>
                <w:spacing w:val="-8"/>
              </w:rPr>
              <w:t xml:space="preserve"> </w:t>
            </w:r>
            <w:r>
              <w:t>exit</w:t>
            </w:r>
            <w:r>
              <w:rPr>
                <w:spacing w:val="-8"/>
              </w:rPr>
              <w:t xml:space="preserve"> </w:t>
            </w:r>
            <w:r>
              <w:t>conference</w:t>
            </w:r>
            <w:r>
              <w:rPr>
                <w:spacing w:val="-9"/>
              </w:rPr>
              <w:t xml:space="preserve"> </w:t>
            </w:r>
            <w:r>
              <w:t>with</w:t>
            </w:r>
            <w:r>
              <w:rPr>
                <w:spacing w:val="-8"/>
              </w:rPr>
              <w:t xml:space="preserve"> </w:t>
            </w:r>
            <w:r>
              <w:t>responsible</w:t>
            </w:r>
            <w:r>
              <w:rPr>
                <w:spacing w:val="-8"/>
              </w:rPr>
              <w:t xml:space="preserve"> </w:t>
            </w:r>
            <w:r>
              <w:rPr>
                <w:spacing w:val="-2"/>
              </w:rPr>
              <w:t>entity.</w:t>
            </w:r>
          </w:p>
          <w:p w14:paraId="0DFDB464" w14:textId="77777777" w:rsidR="00046465" w:rsidRDefault="008134EB">
            <w:pPr>
              <w:pStyle w:val="TableParagraph"/>
              <w:numPr>
                <w:ilvl w:val="1"/>
                <w:numId w:val="184"/>
              </w:numPr>
              <w:tabs>
                <w:tab w:val="left" w:pos="859"/>
              </w:tabs>
              <w:spacing w:before="58"/>
              <w:ind w:left="859"/>
            </w:pPr>
            <w:r>
              <w:t>Deviations</w:t>
            </w:r>
            <w:r>
              <w:rPr>
                <w:spacing w:val="-9"/>
              </w:rPr>
              <w:t xml:space="preserve"> </w:t>
            </w:r>
            <w:r>
              <w:t>from</w:t>
            </w:r>
            <w:r>
              <w:rPr>
                <w:spacing w:val="-10"/>
              </w:rPr>
              <w:t xml:space="preserve"> </w:t>
            </w:r>
            <w:r>
              <w:t>standard</w:t>
            </w:r>
            <w:r>
              <w:rPr>
                <w:spacing w:val="-9"/>
              </w:rPr>
              <w:t xml:space="preserve"> </w:t>
            </w:r>
            <w:r>
              <w:t>reporting</w:t>
            </w:r>
            <w:r>
              <w:rPr>
                <w:spacing w:val="-8"/>
              </w:rPr>
              <w:t xml:space="preserve"> </w:t>
            </w:r>
            <w:r>
              <w:rPr>
                <w:spacing w:val="-2"/>
              </w:rPr>
              <w:t>language.</w:t>
            </w:r>
          </w:p>
          <w:p w14:paraId="0DFDB465" w14:textId="77777777" w:rsidR="00046465" w:rsidRDefault="008134EB">
            <w:pPr>
              <w:pStyle w:val="TableParagraph"/>
              <w:numPr>
                <w:ilvl w:val="1"/>
                <w:numId w:val="184"/>
              </w:numPr>
              <w:tabs>
                <w:tab w:val="left" w:pos="859"/>
              </w:tabs>
              <w:spacing w:before="58"/>
              <w:ind w:left="859"/>
            </w:pPr>
            <w:r>
              <w:t>Agreed-upon</w:t>
            </w:r>
            <w:r>
              <w:rPr>
                <w:spacing w:val="-13"/>
              </w:rPr>
              <w:t xml:space="preserve"> </w:t>
            </w:r>
            <w:r>
              <w:t>procedures</w:t>
            </w:r>
            <w:r>
              <w:rPr>
                <w:spacing w:val="-13"/>
              </w:rPr>
              <w:t xml:space="preserve"> </w:t>
            </w:r>
            <w:r>
              <w:rPr>
                <w:spacing w:val="-2"/>
              </w:rPr>
              <w:t>report.</w:t>
            </w:r>
          </w:p>
          <w:p w14:paraId="0DFDB466" w14:textId="77777777" w:rsidR="00046465" w:rsidRDefault="008134EB">
            <w:pPr>
              <w:pStyle w:val="TableParagraph"/>
              <w:numPr>
                <w:ilvl w:val="1"/>
                <w:numId w:val="184"/>
              </w:numPr>
              <w:tabs>
                <w:tab w:val="left" w:pos="858"/>
              </w:tabs>
              <w:spacing w:before="58"/>
              <w:ind w:left="858" w:hanging="359"/>
            </w:pPr>
            <w:r>
              <w:t>Financial</w:t>
            </w:r>
            <w:r>
              <w:rPr>
                <w:spacing w:val="-13"/>
              </w:rPr>
              <w:t xml:space="preserve"> </w:t>
            </w:r>
            <w:r>
              <w:t>schedules/statements,</w:t>
            </w:r>
            <w:r>
              <w:rPr>
                <w:spacing w:val="-12"/>
              </w:rPr>
              <w:t xml:space="preserve"> </w:t>
            </w:r>
            <w:r>
              <w:t>if</w:t>
            </w:r>
            <w:r>
              <w:rPr>
                <w:spacing w:val="-12"/>
              </w:rPr>
              <w:t xml:space="preserve"> </w:t>
            </w:r>
            <w:r>
              <w:rPr>
                <w:spacing w:val="-2"/>
              </w:rPr>
              <w:t>applicable.</w:t>
            </w:r>
          </w:p>
          <w:p w14:paraId="0DFDB467" w14:textId="77777777" w:rsidR="00046465" w:rsidRDefault="008134EB">
            <w:pPr>
              <w:pStyle w:val="TableParagraph"/>
              <w:numPr>
                <w:ilvl w:val="1"/>
                <w:numId w:val="184"/>
              </w:numPr>
              <w:tabs>
                <w:tab w:val="left" w:pos="862"/>
              </w:tabs>
              <w:spacing w:before="58"/>
              <w:ind w:right="896"/>
            </w:pPr>
            <w:r>
              <w:t>Representation</w:t>
            </w:r>
            <w:r>
              <w:rPr>
                <w:spacing w:val="-7"/>
              </w:rPr>
              <w:t xml:space="preserve"> </w:t>
            </w:r>
            <w:r>
              <w:t>letter(s)</w:t>
            </w:r>
            <w:r>
              <w:rPr>
                <w:spacing w:val="-7"/>
              </w:rPr>
              <w:t xml:space="preserve"> </w:t>
            </w:r>
            <w:r>
              <w:t>from</w:t>
            </w:r>
            <w:r>
              <w:rPr>
                <w:spacing w:val="-7"/>
              </w:rPr>
              <w:t xml:space="preserve"> </w:t>
            </w:r>
            <w:r>
              <w:t>the</w:t>
            </w:r>
            <w:r>
              <w:rPr>
                <w:spacing w:val="-7"/>
              </w:rPr>
              <w:t xml:space="preserve"> </w:t>
            </w:r>
            <w:r>
              <w:t>engaging</w:t>
            </w:r>
            <w:r>
              <w:rPr>
                <w:spacing w:val="-7"/>
              </w:rPr>
              <w:t xml:space="preserve"> </w:t>
            </w:r>
            <w:r>
              <w:t>party</w:t>
            </w:r>
            <w:r>
              <w:rPr>
                <w:spacing w:val="-7"/>
              </w:rPr>
              <w:t xml:space="preserve"> </w:t>
            </w:r>
            <w:r>
              <w:t>and responsible party, as appropriate.</w:t>
            </w:r>
          </w:p>
        </w:tc>
        <w:tc>
          <w:tcPr>
            <w:tcW w:w="1052" w:type="dxa"/>
            <w:tcBorders>
              <w:top w:val="single" w:sz="2" w:space="0" w:color="000000"/>
              <w:left w:val="single" w:sz="2" w:space="0" w:color="000000"/>
              <w:bottom w:val="single" w:sz="2" w:space="0" w:color="000000"/>
              <w:right w:val="single" w:sz="2" w:space="0" w:color="000000"/>
            </w:tcBorders>
          </w:tcPr>
          <w:p w14:paraId="0DFDB468" w14:textId="77777777" w:rsidR="00046465" w:rsidRDefault="00046465">
            <w:pPr>
              <w:pStyle w:val="TableParagraph"/>
              <w:rPr>
                <w:rFonts w:ascii="Times New Roman"/>
                <w:sz w:val="20"/>
              </w:rPr>
            </w:pPr>
          </w:p>
        </w:tc>
        <w:tc>
          <w:tcPr>
            <w:tcW w:w="949" w:type="dxa"/>
            <w:tcBorders>
              <w:top w:val="single" w:sz="2" w:space="0" w:color="000000"/>
              <w:left w:val="single" w:sz="2" w:space="0" w:color="000000"/>
              <w:bottom w:val="single" w:sz="2" w:space="0" w:color="000000"/>
            </w:tcBorders>
          </w:tcPr>
          <w:p w14:paraId="0DFDB469" w14:textId="77777777" w:rsidR="00046465" w:rsidRDefault="00046465">
            <w:pPr>
              <w:pStyle w:val="TableParagraph"/>
              <w:rPr>
                <w:rFonts w:ascii="Times New Roman"/>
                <w:sz w:val="20"/>
              </w:rPr>
            </w:pPr>
          </w:p>
        </w:tc>
      </w:tr>
      <w:tr w:rsidR="00046465" w14:paraId="0DFDB46E" w14:textId="77777777">
        <w:trPr>
          <w:trHeight w:val="999"/>
        </w:trPr>
        <w:tc>
          <w:tcPr>
            <w:tcW w:w="6898" w:type="dxa"/>
            <w:tcBorders>
              <w:top w:val="single" w:sz="2" w:space="0" w:color="000000"/>
              <w:bottom w:val="single" w:sz="2" w:space="0" w:color="000000"/>
              <w:right w:val="single" w:sz="2" w:space="0" w:color="000000"/>
            </w:tcBorders>
          </w:tcPr>
          <w:p w14:paraId="0DFDB46B" w14:textId="77777777" w:rsidR="00046465" w:rsidRDefault="008134EB">
            <w:pPr>
              <w:pStyle w:val="TableParagraph"/>
              <w:spacing w:before="120"/>
              <w:ind w:left="485" w:right="200" w:hanging="360"/>
            </w:pPr>
            <w:r>
              <w:t>16.</w:t>
            </w:r>
            <w:r>
              <w:rPr>
                <w:spacing w:val="-11"/>
              </w:rPr>
              <w:t xml:space="preserve"> </w:t>
            </w:r>
            <w:r>
              <w:t>[GAO</w:t>
            </w:r>
            <w:r>
              <w:rPr>
                <w:spacing w:val="-6"/>
              </w:rPr>
              <w:t xml:space="preserve"> </w:t>
            </w:r>
            <w:r>
              <w:t>only]</w:t>
            </w:r>
            <w:r>
              <w:rPr>
                <w:spacing w:val="-4"/>
              </w:rPr>
              <w:t xml:space="preserve"> </w:t>
            </w:r>
            <w:r>
              <w:t>Did</w:t>
            </w:r>
            <w:r>
              <w:rPr>
                <w:spacing w:val="-5"/>
              </w:rPr>
              <w:t xml:space="preserve"> </w:t>
            </w:r>
            <w:r>
              <w:t>the</w:t>
            </w:r>
            <w:r>
              <w:rPr>
                <w:spacing w:val="-5"/>
              </w:rPr>
              <w:t xml:space="preserve"> </w:t>
            </w:r>
            <w:r>
              <w:t>assistant</w:t>
            </w:r>
            <w:r>
              <w:rPr>
                <w:spacing w:val="-5"/>
              </w:rPr>
              <w:t xml:space="preserve"> </w:t>
            </w:r>
            <w:r>
              <w:t>director</w:t>
            </w:r>
            <w:r>
              <w:rPr>
                <w:spacing w:val="-5"/>
              </w:rPr>
              <w:t xml:space="preserve"> </w:t>
            </w:r>
            <w:r>
              <w:t>or</w:t>
            </w:r>
            <w:r>
              <w:rPr>
                <w:spacing w:val="-5"/>
              </w:rPr>
              <w:t xml:space="preserve"> </w:t>
            </w:r>
            <w:r>
              <w:t>the</w:t>
            </w:r>
            <w:r>
              <w:rPr>
                <w:spacing w:val="-5"/>
              </w:rPr>
              <w:t xml:space="preserve"> </w:t>
            </w:r>
            <w:r>
              <w:t xml:space="preserve">auditor-in-charge determine that all significant review notes were resolved </w:t>
            </w:r>
            <w:r>
              <w:rPr>
                <w:spacing w:val="-2"/>
              </w:rPr>
              <w:t>appropriately?</w:t>
            </w:r>
          </w:p>
        </w:tc>
        <w:tc>
          <w:tcPr>
            <w:tcW w:w="1052" w:type="dxa"/>
            <w:tcBorders>
              <w:top w:val="single" w:sz="2" w:space="0" w:color="000000"/>
              <w:left w:val="single" w:sz="2" w:space="0" w:color="000000"/>
              <w:bottom w:val="single" w:sz="2" w:space="0" w:color="000000"/>
              <w:right w:val="single" w:sz="2" w:space="0" w:color="000000"/>
            </w:tcBorders>
          </w:tcPr>
          <w:p w14:paraId="0DFDB46C" w14:textId="77777777" w:rsidR="00046465" w:rsidRDefault="00046465">
            <w:pPr>
              <w:pStyle w:val="TableParagraph"/>
              <w:rPr>
                <w:rFonts w:ascii="Times New Roman"/>
                <w:sz w:val="20"/>
              </w:rPr>
            </w:pPr>
          </w:p>
        </w:tc>
        <w:tc>
          <w:tcPr>
            <w:tcW w:w="949" w:type="dxa"/>
            <w:tcBorders>
              <w:top w:val="single" w:sz="2" w:space="0" w:color="000000"/>
              <w:left w:val="single" w:sz="2" w:space="0" w:color="000000"/>
              <w:bottom w:val="single" w:sz="2" w:space="0" w:color="000000"/>
            </w:tcBorders>
          </w:tcPr>
          <w:p w14:paraId="0DFDB46D" w14:textId="77777777" w:rsidR="00046465" w:rsidRDefault="00046465">
            <w:pPr>
              <w:pStyle w:val="TableParagraph"/>
              <w:rPr>
                <w:rFonts w:ascii="Times New Roman"/>
                <w:sz w:val="20"/>
              </w:rPr>
            </w:pPr>
          </w:p>
        </w:tc>
      </w:tr>
      <w:tr w:rsidR="00046465" w14:paraId="0DFDB476" w14:textId="77777777">
        <w:trPr>
          <w:trHeight w:val="1683"/>
        </w:trPr>
        <w:tc>
          <w:tcPr>
            <w:tcW w:w="6898" w:type="dxa"/>
            <w:tcBorders>
              <w:top w:val="single" w:sz="2" w:space="0" w:color="000000"/>
              <w:bottom w:val="single" w:sz="2" w:space="0" w:color="000000"/>
              <w:right w:val="single" w:sz="2" w:space="0" w:color="000000"/>
            </w:tcBorders>
          </w:tcPr>
          <w:p w14:paraId="0DFDB46F" w14:textId="77777777" w:rsidR="00046465" w:rsidRDefault="008134EB">
            <w:pPr>
              <w:pStyle w:val="TableParagraph"/>
              <w:numPr>
                <w:ilvl w:val="0"/>
                <w:numId w:val="183"/>
              </w:numPr>
              <w:tabs>
                <w:tab w:val="left" w:pos="484"/>
              </w:tabs>
              <w:spacing w:before="60"/>
              <w:ind w:left="484" w:hanging="359"/>
            </w:pPr>
            <w:r>
              <w:t>Is</w:t>
            </w:r>
            <w:r>
              <w:rPr>
                <w:spacing w:val="-5"/>
              </w:rPr>
              <w:t xml:space="preserve"> </w:t>
            </w:r>
            <w:r>
              <w:t>the</w:t>
            </w:r>
            <w:r>
              <w:rPr>
                <w:spacing w:val="-4"/>
              </w:rPr>
              <w:t xml:space="preserve"> </w:t>
            </w:r>
            <w:r>
              <w:t>report</w:t>
            </w:r>
            <w:r>
              <w:rPr>
                <w:spacing w:val="-5"/>
              </w:rPr>
              <w:t xml:space="preserve"> </w:t>
            </w:r>
            <w:r>
              <w:t>appropriate</w:t>
            </w:r>
            <w:r>
              <w:rPr>
                <w:spacing w:val="-5"/>
              </w:rPr>
              <w:t xml:space="preserve"> </w:t>
            </w:r>
            <w:r>
              <w:t>as</w:t>
            </w:r>
            <w:r>
              <w:rPr>
                <w:spacing w:val="-4"/>
              </w:rPr>
              <w:t xml:space="preserve"> </w:t>
            </w:r>
            <w:r>
              <w:t>to</w:t>
            </w:r>
            <w:r>
              <w:rPr>
                <w:spacing w:val="-4"/>
              </w:rPr>
              <w:t xml:space="preserve"> </w:t>
            </w:r>
            <w:r>
              <w:t>the</w:t>
            </w:r>
            <w:r>
              <w:rPr>
                <w:spacing w:val="-4"/>
              </w:rPr>
              <w:t xml:space="preserve"> </w:t>
            </w:r>
            <w:r>
              <w:rPr>
                <w:spacing w:val="-2"/>
              </w:rPr>
              <w:t>following?</w:t>
            </w:r>
          </w:p>
          <w:p w14:paraId="0DFDB470" w14:textId="77777777" w:rsidR="00046465" w:rsidRDefault="008134EB">
            <w:pPr>
              <w:pStyle w:val="TableParagraph"/>
              <w:numPr>
                <w:ilvl w:val="1"/>
                <w:numId w:val="183"/>
              </w:numPr>
              <w:tabs>
                <w:tab w:val="left" w:pos="862"/>
              </w:tabs>
              <w:spacing w:before="59"/>
              <w:ind w:hanging="359"/>
            </w:pPr>
            <w:r>
              <w:rPr>
                <w:spacing w:val="-2"/>
              </w:rPr>
              <w:t>Wording.</w:t>
            </w:r>
          </w:p>
          <w:p w14:paraId="0DFDB471" w14:textId="77777777" w:rsidR="00046465" w:rsidRDefault="008134EB">
            <w:pPr>
              <w:pStyle w:val="TableParagraph"/>
              <w:numPr>
                <w:ilvl w:val="1"/>
                <w:numId w:val="183"/>
              </w:numPr>
              <w:tabs>
                <w:tab w:val="left" w:pos="862"/>
              </w:tabs>
              <w:spacing w:before="59"/>
              <w:ind w:hanging="359"/>
            </w:pPr>
            <w:r>
              <w:t>Scope</w:t>
            </w:r>
            <w:r>
              <w:rPr>
                <w:spacing w:val="-5"/>
              </w:rPr>
              <w:t xml:space="preserve"> </w:t>
            </w:r>
            <w:r>
              <w:t>of</w:t>
            </w:r>
            <w:r>
              <w:rPr>
                <w:spacing w:val="-5"/>
              </w:rPr>
              <w:t xml:space="preserve"> </w:t>
            </w:r>
            <w:r>
              <w:rPr>
                <w:spacing w:val="-2"/>
              </w:rPr>
              <w:t>work.</w:t>
            </w:r>
          </w:p>
          <w:p w14:paraId="0DFDB472" w14:textId="77777777" w:rsidR="00046465" w:rsidRDefault="008134EB">
            <w:pPr>
              <w:pStyle w:val="TableParagraph"/>
              <w:numPr>
                <w:ilvl w:val="1"/>
                <w:numId w:val="183"/>
              </w:numPr>
              <w:tabs>
                <w:tab w:val="left" w:pos="862"/>
              </w:tabs>
              <w:spacing w:before="58"/>
              <w:ind w:hanging="359"/>
            </w:pPr>
            <w:r>
              <w:rPr>
                <w:spacing w:val="-2"/>
              </w:rPr>
              <w:t>GAGAS.</w:t>
            </w:r>
          </w:p>
          <w:p w14:paraId="0DFDB473" w14:textId="77777777" w:rsidR="00046465" w:rsidRDefault="008134EB">
            <w:pPr>
              <w:pStyle w:val="TableParagraph"/>
              <w:numPr>
                <w:ilvl w:val="1"/>
                <w:numId w:val="183"/>
              </w:numPr>
              <w:tabs>
                <w:tab w:val="left" w:pos="859"/>
              </w:tabs>
              <w:spacing w:before="58"/>
              <w:ind w:left="859"/>
            </w:pPr>
            <w:r>
              <w:t>Explanatory</w:t>
            </w:r>
            <w:r>
              <w:rPr>
                <w:spacing w:val="-14"/>
              </w:rPr>
              <w:t xml:space="preserve"> </w:t>
            </w:r>
            <w:r>
              <w:rPr>
                <w:spacing w:val="-2"/>
              </w:rPr>
              <w:t>paragraphs.</w:t>
            </w:r>
          </w:p>
        </w:tc>
        <w:tc>
          <w:tcPr>
            <w:tcW w:w="1052" w:type="dxa"/>
            <w:tcBorders>
              <w:top w:val="single" w:sz="2" w:space="0" w:color="000000"/>
              <w:left w:val="single" w:sz="2" w:space="0" w:color="000000"/>
              <w:bottom w:val="single" w:sz="2" w:space="0" w:color="000000"/>
              <w:right w:val="single" w:sz="2" w:space="0" w:color="000000"/>
            </w:tcBorders>
          </w:tcPr>
          <w:p w14:paraId="0DFDB474" w14:textId="77777777" w:rsidR="00046465" w:rsidRDefault="00046465">
            <w:pPr>
              <w:pStyle w:val="TableParagraph"/>
              <w:rPr>
                <w:rFonts w:ascii="Times New Roman"/>
                <w:sz w:val="20"/>
              </w:rPr>
            </w:pPr>
          </w:p>
        </w:tc>
        <w:tc>
          <w:tcPr>
            <w:tcW w:w="949" w:type="dxa"/>
            <w:tcBorders>
              <w:top w:val="single" w:sz="2" w:space="0" w:color="000000"/>
              <w:left w:val="single" w:sz="2" w:space="0" w:color="000000"/>
              <w:bottom w:val="single" w:sz="2" w:space="0" w:color="000000"/>
            </w:tcBorders>
          </w:tcPr>
          <w:p w14:paraId="0DFDB475" w14:textId="77777777" w:rsidR="00046465" w:rsidRDefault="00046465">
            <w:pPr>
              <w:pStyle w:val="TableParagraph"/>
              <w:rPr>
                <w:rFonts w:ascii="Times New Roman"/>
                <w:sz w:val="20"/>
              </w:rPr>
            </w:pPr>
          </w:p>
        </w:tc>
      </w:tr>
      <w:tr w:rsidR="00046465" w14:paraId="0DFDB47A" w14:textId="77777777">
        <w:trPr>
          <w:trHeight w:val="1000"/>
        </w:trPr>
        <w:tc>
          <w:tcPr>
            <w:tcW w:w="6898" w:type="dxa"/>
            <w:tcBorders>
              <w:top w:val="single" w:sz="2" w:space="0" w:color="000000"/>
              <w:right w:val="single" w:sz="2" w:space="0" w:color="000000"/>
            </w:tcBorders>
          </w:tcPr>
          <w:p w14:paraId="0DFDB477" w14:textId="77777777" w:rsidR="00046465" w:rsidRDefault="008134EB">
            <w:pPr>
              <w:pStyle w:val="TableParagraph"/>
              <w:spacing w:before="120"/>
              <w:ind w:left="485" w:right="200" w:hanging="361"/>
            </w:pPr>
            <w:r>
              <w:t>18.</w:t>
            </w:r>
            <w:r>
              <w:rPr>
                <w:spacing w:val="-12"/>
              </w:rPr>
              <w:t xml:space="preserve"> </w:t>
            </w:r>
            <w:r>
              <w:t>Is</w:t>
            </w:r>
            <w:r>
              <w:rPr>
                <w:spacing w:val="-5"/>
              </w:rPr>
              <w:t xml:space="preserve"> </w:t>
            </w:r>
            <w:r>
              <w:t>the</w:t>
            </w:r>
            <w:r>
              <w:rPr>
                <w:spacing w:val="-5"/>
              </w:rPr>
              <w:t xml:space="preserve"> </w:t>
            </w:r>
            <w:r>
              <w:t>agreed-upon</w:t>
            </w:r>
            <w:r>
              <w:rPr>
                <w:spacing w:val="-5"/>
              </w:rPr>
              <w:t xml:space="preserve"> </w:t>
            </w:r>
            <w:r>
              <w:t>procedures</w:t>
            </w:r>
            <w:r>
              <w:rPr>
                <w:spacing w:val="-5"/>
              </w:rPr>
              <w:t xml:space="preserve"> </w:t>
            </w:r>
            <w:r>
              <w:t>report</w:t>
            </w:r>
            <w:r>
              <w:rPr>
                <w:spacing w:val="-5"/>
              </w:rPr>
              <w:t xml:space="preserve"> </w:t>
            </w:r>
            <w:r>
              <w:t>dated</w:t>
            </w:r>
            <w:r>
              <w:rPr>
                <w:spacing w:val="-5"/>
              </w:rPr>
              <w:t xml:space="preserve"> </w:t>
            </w:r>
            <w:r>
              <w:t>appropriately,</w:t>
            </w:r>
            <w:r>
              <w:rPr>
                <w:spacing w:val="-5"/>
              </w:rPr>
              <w:t xml:space="preserve"> </w:t>
            </w:r>
            <w:r>
              <w:t xml:space="preserve">or does the report indicate when the auditor completed the </w:t>
            </w:r>
            <w:r>
              <w:rPr>
                <w:spacing w:val="-2"/>
              </w:rPr>
              <w:t>engagement?</w:t>
            </w:r>
          </w:p>
        </w:tc>
        <w:tc>
          <w:tcPr>
            <w:tcW w:w="1052" w:type="dxa"/>
            <w:tcBorders>
              <w:top w:val="single" w:sz="2" w:space="0" w:color="000000"/>
              <w:left w:val="single" w:sz="2" w:space="0" w:color="000000"/>
              <w:right w:val="single" w:sz="2" w:space="0" w:color="000000"/>
            </w:tcBorders>
          </w:tcPr>
          <w:p w14:paraId="0DFDB478" w14:textId="77777777" w:rsidR="00046465" w:rsidRDefault="00046465">
            <w:pPr>
              <w:pStyle w:val="TableParagraph"/>
              <w:rPr>
                <w:rFonts w:ascii="Times New Roman"/>
                <w:sz w:val="20"/>
              </w:rPr>
            </w:pPr>
          </w:p>
        </w:tc>
        <w:tc>
          <w:tcPr>
            <w:tcW w:w="949" w:type="dxa"/>
            <w:tcBorders>
              <w:top w:val="single" w:sz="2" w:space="0" w:color="000000"/>
              <w:left w:val="single" w:sz="2" w:space="0" w:color="000000"/>
            </w:tcBorders>
          </w:tcPr>
          <w:p w14:paraId="0DFDB479" w14:textId="77777777" w:rsidR="00046465" w:rsidRDefault="00046465">
            <w:pPr>
              <w:pStyle w:val="TableParagraph"/>
              <w:rPr>
                <w:rFonts w:ascii="Times New Roman"/>
                <w:sz w:val="20"/>
              </w:rPr>
            </w:pPr>
          </w:p>
        </w:tc>
      </w:tr>
    </w:tbl>
    <w:p w14:paraId="0DFDB47B" w14:textId="77777777" w:rsidR="00046465" w:rsidRDefault="008134EB">
      <w:pPr>
        <w:pStyle w:val="BodyText"/>
        <w:spacing w:before="222"/>
        <w:ind w:left="360" w:right="795"/>
        <w:jc w:val="both"/>
      </w:pPr>
      <w:r>
        <w:t>Note:</w:t>
      </w:r>
      <w:r>
        <w:rPr>
          <w:spacing w:val="-2"/>
        </w:rPr>
        <w:t xml:space="preserve"> </w:t>
      </w:r>
      <w:r>
        <w:t>The</w:t>
      </w:r>
      <w:r>
        <w:rPr>
          <w:spacing w:val="-2"/>
        </w:rPr>
        <w:t xml:space="preserve"> </w:t>
      </w:r>
      <w:r>
        <w:t>auditor</w:t>
      </w:r>
      <w:r>
        <w:rPr>
          <w:spacing w:val="-2"/>
        </w:rPr>
        <w:t xml:space="preserve"> </w:t>
      </w:r>
      <w:r>
        <w:t>should</w:t>
      </w:r>
      <w:r>
        <w:rPr>
          <w:spacing w:val="-2"/>
        </w:rPr>
        <w:t xml:space="preserve"> </w:t>
      </w:r>
      <w:r>
        <w:t>discuss</w:t>
      </w:r>
      <w:r>
        <w:rPr>
          <w:spacing w:val="-2"/>
        </w:rPr>
        <w:t xml:space="preserve"> </w:t>
      </w:r>
      <w:r>
        <w:t>all</w:t>
      </w:r>
      <w:r>
        <w:rPr>
          <w:spacing w:val="-3"/>
        </w:rPr>
        <w:t xml:space="preserve"> </w:t>
      </w:r>
      <w:r>
        <w:t>“No”</w:t>
      </w:r>
      <w:r>
        <w:rPr>
          <w:spacing w:val="-2"/>
        </w:rPr>
        <w:t xml:space="preserve"> </w:t>
      </w:r>
      <w:r>
        <w:t>answers</w:t>
      </w:r>
      <w:r>
        <w:rPr>
          <w:spacing w:val="-2"/>
        </w:rPr>
        <w:t xml:space="preserve"> </w:t>
      </w:r>
      <w:r>
        <w:t>in</w:t>
      </w:r>
      <w:r>
        <w:rPr>
          <w:spacing w:val="-2"/>
        </w:rPr>
        <w:t xml:space="preserve"> </w:t>
      </w:r>
      <w:r>
        <w:t>attached</w:t>
      </w:r>
      <w:r>
        <w:rPr>
          <w:spacing w:val="-2"/>
        </w:rPr>
        <w:t xml:space="preserve"> </w:t>
      </w:r>
      <w:r>
        <w:t>documentation.</w:t>
      </w:r>
      <w:r>
        <w:rPr>
          <w:spacing w:val="-2"/>
        </w:rPr>
        <w:t xml:space="preserve"> </w:t>
      </w:r>
      <w:r>
        <w:t>If</w:t>
      </w:r>
      <w:r>
        <w:rPr>
          <w:spacing w:val="-2"/>
        </w:rPr>
        <w:t xml:space="preserve"> </w:t>
      </w:r>
      <w:r>
        <w:t>the</w:t>
      </w:r>
      <w:r>
        <w:rPr>
          <w:spacing w:val="-2"/>
        </w:rPr>
        <w:t xml:space="preserve"> </w:t>
      </w:r>
      <w:r>
        <w:t>reason</w:t>
      </w:r>
      <w:r>
        <w:rPr>
          <w:spacing w:val="-2"/>
        </w:rPr>
        <w:t xml:space="preserve"> </w:t>
      </w:r>
      <w:r>
        <w:t>that a</w:t>
      </w:r>
      <w:r>
        <w:rPr>
          <w:spacing w:val="-3"/>
        </w:rPr>
        <w:t xml:space="preserve"> </w:t>
      </w:r>
      <w:r>
        <w:t>question</w:t>
      </w:r>
      <w:r>
        <w:rPr>
          <w:spacing w:val="-3"/>
        </w:rPr>
        <w:t xml:space="preserve"> </w:t>
      </w:r>
      <w:r>
        <w:t>is</w:t>
      </w:r>
      <w:r>
        <w:rPr>
          <w:spacing w:val="-3"/>
        </w:rPr>
        <w:t xml:space="preserve"> </w:t>
      </w:r>
      <w:r>
        <w:t>“N/A”</w:t>
      </w:r>
      <w:r>
        <w:rPr>
          <w:spacing w:val="-3"/>
        </w:rPr>
        <w:t xml:space="preserve"> </w:t>
      </w:r>
      <w:r>
        <w:t>is</w:t>
      </w:r>
      <w:r>
        <w:rPr>
          <w:spacing w:val="-3"/>
        </w:rPr>
        <w:t xml:space="preserve"> </w:t>
      </w:r>
      <w:r>
        <w:t>not</w:t>
      </w:r>
      <w:r>
        <w:rPr>
          <w:spacing w:val="-3"/>
        </w:rPr>
        <w:t xml:space="preserve"> </w:t>
      </w:r>
      <w:r>
        <w:t>obvious,</w:t>
      </w:r>
      <w:r>
        <w:rPr>
          <w:spacing w:val="-3"/>
        </w:rPr>
        <w:t xml:space="preserve"> </w:t>
      </w:r>
      <w:r>
        <w:t>the</w:t>
      </w:r>
      <w:r>
        <w:rPr>
          <w:spacing w:val="-3"/>
        </w:rPr>
        <w:t xml:space="preserve"> </w:t>
      </w:r>
      <w:r>
        <w:t>auditor</w:t>
      </w:r>
      <w:r>
        <w:rPr>
          <w:spacing w:val="-3"/>
        </w:rPr>
        <w:t xml:space="preserve"> </w:t>
      </w:r>
      <w:r>
        <w:t>should</w:t>
      </w:r>
      <w:r>
        <w:rPr>
          <w:spacing w:val="-3"/>
        </w:rPr>
        <w:t xml:space="preserve"> </w:t>
      </w:r>
      <w:r>
        <w:t>document</w:t>
      </w:r>
      <w:r>
        <w:rPr>
          <w:spacing w:val="-3"/>
        </w:rPr>
        <w:t xml:space="preserve"> </w:t>
      </w:r>
      <w:r>
        <w:t>the</w:t>
      </w:r>
      <w:r>
        <w:rPr>
          <w:spacing w:val="-3"/>
        </w:rPr>
        <w:t xml:space="preserve"> </w:t>
      </w:r>
      <w:r>
        <w:t>reason</w:t>
      </w:r>
      <w:r>
        <w:rPr>
          <w:spacing w:val="-3"/>
        </w:rPr>
        <w:t xml:space="preserve"> </w:t>
      </w:r>
      <w:r>
        <w:t>on</w:t>
      </w:r>
      <w:r>
        <w:rPr>
          <w:spacing w:val="-3"/>
        </w:rPr>
        <w:t xml:space="preserve"> </w:t>
      </w:r>
      <w:r>
        <w:t>the</w:t>
      </w:r>
      <w:r>
        <w:rPr>
          <w:spacing w:val="-3"/>
        </w:rPr>
        <w:t xml:space="preserve"> </w:t>
      </w:r>
      <w:r>
        <w:t>checklist</w:t>
      </w:r>
      <w:r>
        <w:rPr>
          <w:spacing w:val="-3"/>
        </w:rPr>
        <w:t xml:space="preserve"> </w:t>
      </w:r>
      <w:r>
        <w:t>or</w:t>
      </w:r>
      <w:r>
        <w:rPr>
          <w:spacing w:val="-3"/>
        </w:rPr>
        <w:t xml:space="preserve"> </w:t>
      </w:r>
      <w:r>
        <w:t>in an attachment.</w:t>
      </w:r>
    </w:p>
    <w:p w14:paraId="0DFDB47C" w14:textId="77777777" w:rsidR="00046465" w:rsidRDefault="008134EB">
      <w:pPr>
        <w:pStyle w:val="BodyText"/>
        <w:tabs>
          <w:tab w:val="left" w:pos="6228"/>
        </w:tabs>
        <w:spacing w:before="121"/>
        <w:ind w:left="360"/>
        <w:jc w:val="both"/>
      </w:pPr>
      <w:r>
        <w:t>Date</w:t>
      </w:r>
      <w:r>
        <w:rPr>
          <w:spacing w:val="-1"/>
        </w:rPr>
        <w:t xml:space="preserve"> </w:t>
      </w:r>
      <w:r>
        <w:t>of</w:t>
      </w:r>
      <w:r>
        <w:rPr>
          <w:spacing w:val="-1"/>
        </w:rPr>
        <w:t xml:space="preserve"> </w:t>
      </w:r>
      <w:r>
        <w:t>completion</w:t>
      </w:r>
      <w:r>
        <w:rPr>
          <w:spacing w:val="-1"/>
        </w:rPr>
        <w:t xml:space="preserve"> </w:t>
      </w:r>
      <w:r>
        <w:t>of</w:t>
      </w:r>
      <w:r>
        <w:rPr>
          <w:spacing w:val="-1"/>
        </w:rPr>
        <w:t xml:space="preserve"> </w:t>
      </w:r>
      <w:r>
        <w:t>the</w:t>
      </w:r>
      <w:r>
        <w:rPr>
          <w:spacing w:val="-1"/>
        </w:rPr>
        <w:t xml:space="preserve"> </w:t>
      </w:r>
      <w:r>
        <w:t>engagement</w:t>
      </w:r>
      <w:r>
        <w:rPr>
          <w:spacing w:val="-1"/>
        </w:rPr>
        <w:t xml:space="preserve"> </w:t>
      </w:r>
      <w:r>
        <w:rPr>
          <w:u w:val="single"/>
        </w:rPr>
        <w:tab/>
      </w:r>
    </w:p>
    <w:p w14:paraId="0DFDB47D" w14:textId="77777777" w:rsidR="00046465" w:rsidRDefault="008134EB">
      <w:pPr>
        <w:pStyle w:val="BodyText"/>
        <w:tabs>
          <w:tab w:val="left" w:pos="6255"/>
          <w:tab w:val="left" w:pos="6501"/>
          <w:tab w:val="left" w:pos="8861"/>
        </w:tabs>
        <w:spacing w:before="240"/>
        <w:ind w:left="360"/>
      </w:pPr>
      <w:r>
        <w:rPr>
          <w:spacing w:val="-2"/>
        </w:rPr>
        <w:t>Auditor-in-Charge</w:t>
      </w:r>
      <w:r>
        <w:rPr>
          <w:spacing w:val="40"/>
        </w:rPr>
        <w:t xml:space="preserve"> </w:t>
      </w:r>
      <w:r>
        <w:rPr>
          <w:u w:val="single"/>
        </w:rPr>
        <w:tab/>
      </w:r>
      <w:r>
        <w:tab/>
        <w:t xml:space="preserve">Date </w:t>
      </w:r>
      <w:r>
        <w:rPr>
          <w:u w:val="single"/>
        </w:rPr>
        <w:tab/>
      </w:r>
    </w:p>
    <w:p w14:paraId="0DFDB47E" w14:textId="77777777" w:rsidR="00046465" w:rsidRDefault="008134EB">
      <w:pPr>
        <w:pStyle w:val="BodyText"/>
        <w:tabs>
          <w:tab w:val="left" w:pos="6242"/>
          <w:tab w:val="left" w:pos="6488"/>
          <w:tab w:val="left" w:pos="8848"/>
        </w:tabs>
        <w:spacing w:before="239"/>
        <w:ind w:left="360"/>
      </w:pPr>
      <w:r>
        <w:t>Assistant Director</w:t>
      </w:r>
      <w:r>
        <w:rPr>
          <w:spacing w:val="40"/>
        </w:rPr>
        <w:t xml:space="preserve"> </w:t>
      </w:r>
      <w:r>
        <w:rPr>
          <w:u w:val="single"/>
        </w:rPr>
        <w:tab/>
      </w:r>
      <w:r>
        <w:tab/>
        <w:t xml:space="preserve">Date </w:t>
      </w:r>
      <w:r>
        <w:rPr>
          <w:u w:val="single"/>
        </w:rPr>
        <w:tab/>
      </w:r>
    </w:p>
    <w:p w14:paraId="0DFDB47F" w14:textId="77777777" w:rsidR="00046465" w:rsidRDefault="008134EB">
      <w:pPr>
        <w:pStyle w:val="BodyText"/>
        <w:tabs>
          <w:tab w:val="left" w:pos="6280"/>
          <w:tab w:val="left" w:pos="6528"/>
          <w:tab w:val="left" w:pos="8888"/>
        </w:tabs>
        <w:spacing w:before="240"/>
        <w:ind w:left="360"/>
      </w:pPr>
      <w:r>
        <w:t>Audit Director</w:t>
      </w:r>
      <w:r>
        <w:rPr>
          <w:spacing w:val="80"/>
        </w:rPr>
        <w:t xml:space="preserve"> </w:t>
      </w:r>
      <w:r>
        <w:rPr>
          <w:u w:val="single"/>
        </w:rPr>
        <w:tab/>
      </w:r>
      <w:r>
        <w:tab/>
        <w:t xml:space="preserve">Date </w:t>
      </w:r>
      <w:r>
        <w:rPr>
          <w:u w:val="single"/>
        </w:rPr>
        <w:tab/>
      </w:r>
    </w:p>
    <w:p w14:paraId="0DFDB480" w14:textId="77777777" w:rsidR="00046465" w:rsidRDefault="00046465">
      <w:pPr>
        <w:pStyle w:val="BodyText"/>
        <w:sectPr w:rsidR="00046465">
          <w:pgSz w:w="12240" w:h="15840"/>
          <w:pgMar w:top="1340" w:right="720" w:bottom="940" w:left="1080" w:header="721" w:footer="757" w:gutter="0"/>
          <w:cols w:space="720"/>
        </w:sectPr>
      </w:pPr>
    </w:p>
    <w:p w14:paraId="0DFDB481" w14:textId="77777777" w:rsidR="00046465" w:rsidRDefault="00046465">
      <w:pPr>
        <w:pStyle w:val="BodyText"/>
        <w:spacing w:before="9"/>
        <w:rPr>
          <w:sz w:val="11"/>
        </w:rPr>
      </w:pPr>
    </w:p>
    <w:tbl>
      <w:tblPr>
        <w:tblW w:w="0" w:type="auto"/>
        <w:tblInd w:w="47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9270"/>
      </w:tblGrid>
      <w:tr w:rsidR="00046465" w14:paraId="0DFDB483" w14:textId="77777777">
        <w:trPr>
          <w:trHeight w:val="1524"/>
        </w:trPr>
        <w:tc>
          <w:tcPr>
            <w:tcW w:w="9270" w:type="dxa"/>
          </w:tcPr>
          <w:p w14:paraId="0DFDB482" w14:textId="77777777" w:rsidR="00046465" w:rsidRDefault="008134EB">
            <w:pPr>
              <w:pStyle w:val="TableParagraph"/>
              <w:spacing w:before="120" w:line="448" w:lineRule="auto"/>
              <w:ind w:left="2840" w:right="811" w:hanging="2014"/>
              <w:rPr>
                <w:b/>
                <w:sz w:val="24"/>
              </w:rPr>
            </w:pPr>
            <w:r>
              <w:rPr>
                <w:b/>
                <w:sz w:val="24"/>
              </w:rPr>
              <w:t>ENGAGEMENT</w:t>
            </w:r>
            <w:r>
              <w:rPr>
                <w:b/>
                <w:spacing w:val="-8"/>
                <w:sz w:val="24"/>
              </w:rPr>
              <w:t xml:space="preserve"> </w:t>
            </w:r>
            <w:r>
              <w:rPr>
                <w:b/>
                <w:sz w:val="24"/>
              </w:rPr>
              <w:t>QUALITY</w:t>
            </w:r>
            <w:r>
              <w:rPr>
                <w:b/>
                <w:spacing w:val="-8"/>
                <w:sz w:val="24"/>
              </w:rPr>
              <w:t xml:space="preserve"> </w:t>
            </w:r>
            <w:r>
              <w:rPr>
                <w:b/>
                <w:sz w:val="24"/>
              </w:rPr>
              <w:t>CONTROL</w:t>
            </w:r>
            <w:r>
              <w:rPr>
                <w:b/>
                <w:spacing w:val="-8"/>
                <w:sz w:val="24"/>
              </w:rPr>
              <w:t xml:space="preserve"> </w:t>
            </w:r>
            <w:r>
              <w:rPr>
                <w:b/>
                <w:sz w:val="24"/>
              </w:rPr>
              <w:t>REVIEW</w:t>
            </w:r>
            <w:r>
              <w:rPr>
                <w:b/>
                <w:spacing w:val="-8"/>
                <w:sz w:val="24"/>
              </w:rPr>
              <w:t xml:space="preserve"> </w:t>
            </w:r>
            <w:r>
              <w:rPr>
                <w:b/>
                <w:sz w:val="24"/>
              </w:rPr>
              <w:t>(SECOND</w:t>
            </w:r>
            <w:r>
              <w:rPr>
                <w:b/>
                <w:spacing w:val="-8"/>
                <w:sz w:val="24"/>
              </w:rPr>
              <w:t xml:space="preserve"> </w:t>
            </w:r>
            <w:r>
              <w:rPr>
                <w:b/>
                <w:sz w:val="24"/>
              </w:rPr>
              <w:t>PARTNER) AGREED-UPON PROCEDURES</w:t>
            </w:r>
          </w:p>
        </w:tc>
      </w:tr>
      <w:tr w:rsidR="00046465" w14:paraId="0DFDB492" w14:textId="77777777">
        <w:trPr>
          <w:trHeight w:val="8228"/>
        </w:trPr>
        <w:tc>
          <w:tcPr>
            <w:tcW w:w="9270" w:type="dxa"/>
          </w:tcPr>
          <w:p w14:paraId="0DFDB484" w14:textId="77777777" w:rsidR="00046465" w:rsidRDefault="008134EB">
            <w:pPr>
              <w:pStyle w:val="TableParagraph"/>
              <w:spacing w:before="121"/>
              <w:ind w:left="125" w:right="161"/>
            </w:pPr>
            <w:r>
              <w:rPr>
                <w:b/>
              </w:rPr>
              <w:t xml:space="preserve">Objective: </w:t>
            </w:r>
            <w:r>
              <w:t>To objectively review significant engagement matters to conclude, based on all facts the second partner (or equivalent) has knowledge of, that no matters were found that caused the second partner (or equivalent) to believe that (1) the procedures were not performed</w:t>
            </w:r>
            <w:r>
              <w:rPr>
                <w:spacing w:val="-5"/>
              </w:rPr>
              <w:t xml:space="preserve"> </w:t>
            </w:r>
            <w:r>
              <w:t>in</w:t>
            </w:r>
            <w:r>
              <w:rPr>
                <w:spacing w:val="-5"/>
              </w:rPr>
              <w:t xml:space="preserve"> </w:t>
            </w:r>
            <w:r>
              <w:t>accordance</w:t>
            </w:r>
            <w:r>
              <w:rPr>
                <w:spacing w:val="-5"/>
              </w:rPr>
              <w:t xml:space="preserve"> </w:t>
            </w:r>
            <w:r>
              <w:t>with</w:t>
            </w:r>
            <w:r>
              <w:rPr>
                <w:spacing w:val="-5"/>
              </w:rPr>
              <w:t xml:space="preserve"> </w:t>
            </w:r>
            <w:r>
              <w:t>GAGAS,</w:t>
            </w:r>
            <w:r>
              <w:rPr>
                <w:spacing w:val="-5"/>
              </w:rPr>
              <w:t xml:space="preserve"> </w:t>
            </w:r>
            <w:r>
              <w:t>which</w:t>
            </w:r>
            <w:r>
              <w:rPr>
                <w:spacing w:val="-5"/>
              </w:rPr>
              <w:t xml:space="preserve"> </w:t>
            </w:r>
            <w:r>
              <w:t>incorporate</w:t>
            </w:r>
            <w:r>
              <w:rPr>
                <w:spacing w:val="-5"/>
              </w:rPr>
              <w:t xml:space="preserve"> </w:t>
            </w:r>
            <w:r>
              <w:t>attestation</w:t>
            </w:r>
            <w:r>
              <w:rPr>
                <w:spacing w:val="-5"/>
              </w:rPr>
              <w:t xml:space="preserve"> </w:t>
            </w:r>
            <w:r>
              <w:t>standards</w:t>
            </w:r>
            <w:r>
              <w:rPr>
                <w:spacing w:val="-5"/>
              </w:rPr>
              <w:t xml:space="preserve"> </w:t>
            </w:r>
            <w:r>
              <w:t>established by the AICPA, and (2) the report does not meet professional standards and audit organization policies.</w:t>
            </w:r>
          </w:p>
          <w:p w14:paraId="0DFDB485" w14:textId="77777777" w:rsidR="00046465" w:rsidRDefault="008134EB">
            <w:pPr>
              <w:pStyle w:val="TableParagraph"/>
              <w:spacing w:before="240"/>
              <w:ind w:left="125"/>
            </w:pPr>
            <w:r>
              <w:rPr>
                <w:b/>
              </w:rPr>
              <w:t>Procedures:</w:t>
            </w:r>
            <w:r>
              <w:rPr>
                <w:b/>
                <w:spacing w:val="-7"/>
              </w:rPr>
              <w:t xml:space="preserve"> </w:t>
            </w:r>
            <w:r>
              <w:t>Before</w:t>
            </w:r>
            <w:r>
              <w:rPr>
                <w:spacing w:val="-7"/>
              </w:rPr>
              <w:t xml:space="preserve"> </w:t>
            </w:r>
            <w:r>
              <w:t>the</w:t>
            </w:r>
            <w:r>
              <w:rPr>
                <w:spacing w:val="-7"/>
              </w:rPr>
              <w:t xml:space="preserve"> </w:t>
            </w:r>
            <w:r>
              <w:t>report</w:t>
            </w:r>
            <w:r>
              <w:rPr>
                <w:spacing w:val="-7"/>
              </w:rPr>
              <w:t xml:space="preserve"> </w:t>
            </w:r>
            <w:r>
              <w:t>was</w:t>
            </w:r>
            <w:r>
              <w:rPr>
                <w:spacing w:val="-7"/>
              </w:rPr>
              <w:t xml:space="preserve"> </w:t>
            </w:r>
            <w:r>
              <w:t>issued,</w:t>
            </w:r>
            <w:r>
              <w:rPr>
                <w:spacing w:val="-7"/>
              </w:rPr>
              <w:t xml:space="preserve"> </w:t>
            </w:r>
            <w:r>
              <w:t>I</w:t>
            </w:r>
            <w:r>
              <w:rPr>
                <w:spacing w:val="-7"/>
              </w:rPr>
              <w:t xml:space="preserve"> </w:t>
            </w:r>
            <w:r>
              <w:t>performed</w:t>
            </w:r>
            <w:r>
              <w:rPr>
                <w:spacing w:val="-7"/>
              </w:rPr>
              <w:t xml:space="preserve"> </w:t>
            </w:r>
            <w:r>
              <w:t>the</w:t>
            </w:r>
            <w:r>
              <w:rPr>
                <w:spacing w:val="-7"/>
              </w:rPr>
              <w:t xml:space="preserve"> </w:t>
            </w:r>
            <w:r>
              <w:t>following</w:t>
            </w:r>
            <w:r>
              <w:rPr>
                <w:spacing w:val="-7"/>
              </w:rPr>
              <w:t xml:space="preserve"> </w:t>
            </w:r>
            <w:r>
              <w:rPr>
                <w:spacing w:val="-2"/>
              </w:rPr>
              <w:t>procedures:</w:t>
            </w:r>
          </w:p>
          <w:p w14:paraId="0DFDB486" w14:textId="77777777" w:rsidR="00046465" w:rsidRDefault="008134EB">
            <w:pPr>
              <w:pStyle w:val="TableParagraph"/>
              <w:numPr>
                <w:ilvl w:val="0"/>
                <w:numId w:val="182"/>
              </w:numPr>
              <w:tabs>
                <w:tab w:val="left" w:pos="485"/>
              </w:tabs>
              <w:spacing w:before="119" w:line="269" w:lineRule="exact"/>
            </w:pPr>
            <w:r>
              <w:t>as</w:t>
            </w:r>
            <w:r>
              <w:rPr>
                <w:spacing w:val="-9"/>
              </w:rPr>
              <w:t xml:space="preserve"> </w:t>
            </w:r>
            <w:r>
              <w:t>necessary,</w:t>
            </w:r>
            <w:r>
              <w:rPr>
                <w:spacing w:val="-8"/>
              </w:rPr>
              <w:t xml:space="preserve"> </w:t>
            </w:r>
            <w:r>
              <w:t>discussed</w:t>
            </w:r>
            <w:r>
              <w:rPr>
                <w:spacing w:val="-9"/>
              </w:rPr>
              <w:t xml:space="preserve"> </w:t>
            </w:r>
            <w:r>
              <w:t>significant</w:t>
            </w:r>
            <w:r>
              <w:rPr>
                <w:spacing w:val="-8"/>
              </w:rPr>
              <w:t xml:space="preserve"> </w:t>
            </w:r>
            <w:r>
              <w:t>engagement</w:t>
            </w:r>
            <w:r>
              <w:rPr>
                <w:spacing w:val="-8"/>
              </w:rPr>
              <w:t xml:space="preserve"> </w:t>
            </w:r>
            <w:r>
              <w:t>issues</w:t>
            </w:r>
            <w:r>
              <w:rPr>
                <w:spacing w:val="-8"/>
              </w:rPr>
              <w:t xml:space="preserve"> </w:t>
            </w:r>
            <w:r>
              <w:t>with</w:t>
            </w:r>
            <w:r>
              <w:rPr>
                <w:spacing w:val="-8"/>
              </w:rPr>
              <w:t xml:space="preserve"> </w:t>
            </w:r>
            <w:r>
              <w:t>the</w:t>
            </w:r>
            <w:r>
              <w:rPr>
                <w:spacing w:val="-8"/>
              </w:rPr>
              <w:t xml:space="preserve"> </w:t>
            </w:r>
            <w:r>
              <w:t>audit</w:t>
            </w:r>
            <w:r>
              <w:rPr>
                <w:spacing w:val="-8"/>
              </w:rPr>
              <w:t xml:space="preserve"> </w:t>
            </w:r>
            <w:r>
              <w:rPr>
                <w:spacing w:val="-2"/>
              </w:rPr>
              <w:t>director;</w:t>
            </w:r>
          </w:p>
          <w:p w14:paraId="0DFDB487" w14:textId="77777777" w:rsidR="00046465" w:rsidRDefault="008134EB">
            <w:pPr>
              <w:pStyle w:val="TableParagraph"/>
              <w:numPr>
                <w:ilvl w:val="0"/>
                <w:numId w:val="182"/>
              </w:numPr>
              <w:tabs>
                <w:tab w:val="left" w:pos="485"/>
              </w:tabs>
              <w:spacing w:line="268" w:lineRule="exact"/>
            </w:pPr>
            <w:r>
              <w:t>read</w:t>
            </w:r>
            <w:r>
              <w:rPr>
                <w:spacing w:val="-7"/>
              </w:rPr>
              <w:t xml:space="preserve"> </w:t>
            </w:r>
            <w:r>
              <w:t>documentation</w:t>
            </w:r>
            <w:r>
              <w:rPr>
                <w:spacing w:val="-7"/>
              </w:rPr>
              <w:t xml:space="preserve"> </w:t>
            </w:r>
            <w:r>
              <w:t>of</w:t>
            </w:r>
            <w:r>
              <w:rPr>
                <w:spacing w:val="-7"/>
              </w:rPr>
              <w:t xml:space="preserve"> </w:t>
            </w:r>
            <w:r>
              <w:t>key</w:t>
            </w:r>
            <w:r>
              <w:rPr>
                <w:spacing w:val="-6"/>
              </w:rPr>
              <w:t xml:space="preserve"> </w:t>
            </w:r>
            <w:r>
              <w:t>decisions</w:t>
            </w:r>
            <w:r>
              <w:rPr>
                <w:spacing w:val="-8"/>
              </w:rPr>
              <w:t xml:space="preserve"> </w:t>
            </w:r>
            <w:r>
              <w:t>and</w:t>
            </w:r>
            <w:r>
              <w:rPr>
                <w:spacing w:val="-6"/>
              </w:rPr>
              <w:t xml:space="preserve"> </w:t>
            </w:r>
            <w:r>
              <w:rPr>
                <w:spacing w:val="-2"/>
              </w:rPr>
              <w:t>consultations;</w:t>
            </w:r>
          </w:p>
          <w:p w14:paraId="0DFDB488" w14:textId="77777777" w:rsidR="00046465" w:rsidRDefault="008134EB">
            <w:pPr>
              <w:pStyle w:val="TableParagraph"/>
              <w:numPr>
                <w:ilvl w:val="0"/>
                <w:numId w:val="182"/>
              </w:numPr>
              <w:tabs>
                <w:tab w:val="left" w:pos="484"/>
              </w:tabs>
              <w:spacing w:line="268" w:lineRule="exact"/>
              <w:ind w:left="484" w:hanging="359"/>
            </w:pPr>
            <w:r>
              <w:t>read</w:t>
            </w:r>
            <w:r>
              <w:rPr>
                <w:spacing w:val="-8"/>
              </w:rPr>
              <w:t xml:space="preserve"> </w:t>
            </w:r>
            <w:r>
              <w:t>the</w:t>
            </w:r>
            <w:r>
              <w:rPr>
                <w:spacing w:val="-8"/>
              </w:rPr>
              <w:t xml:space="preserve"> </w:t>
            </w:r>
            <w:r>
              <w:t>agreed-upon</w:t>
            </w:r>
            <w:r>
              <w:rPr>
                <w:spacing w:val="-7"/>
              </w:rPr>
              <w:t xml:space="preserve"> </w:t>
            </w:r>
            <w:r>
              <w:t>procedures</w:t>
            </w:r>
            <w:r>
              <w:rPr>
                <w:spacing w:val="-8"/>
              </w:rPr>
              <w:t xml:space="preserve"> </w:t>
            </w:r>
            <w:r>
              <w:t>report;</w:t>
            </w:r>
            <w:r>
              <w:rPr>
                <w:spacing w:val="-8"/>
              </w:rPr>
              <w:t xml:space="preserve"> </w:t>
            </w:r>
            <w:r>
              <w:rPr>
                <w:spacing w:val="-5"/>
              </w:rPr>
              <w:t>and</w:t>
            </w:r>
          </w:p>
          <w:p w14:paraId="0DFDB489" w14:textId="77777777" w:rsidR="00046465" w:rsidRDefault="008134EB">
            <w:pPr>
              <w:pStyle w:val="TableParagraph"/>
              <w:numPr>
                <w:ilvl w:val="0"/>
                <w:numId w:val="182"/>
              </w:numPr>
              <w:tabs>
                <w:tab w:val="left" w:pos="484"/>
              </w:tabs>
              <w:spacing w:line="269" w:lineRule="exact"/>
              <w:ind w:left="484" w:hanging="359"/>
            </w:pPr>
            <w:r>
              <w:t>confirmed</w:t>
            </w:r>
            <w:r>
              <w:rPr>
                <w:spacing w:val="-6"/>
              </w:rPr>
              <w:t xml:space="preserve"> </w:t>
            </w:r>
            <w:r>
              <w:t>with</w:t>
            </w:r>
            <w:r>
              <w:rPr>
                <w:spacing w:val="-6"/>
              </w:rPr>
              <w:t xml:space="preserve"> </w:t>
            </w:r>
            <w:r>
              <w:t>the</w:t>
            </w:r>
            <w:r>
              <w:rPr>
                <w:spacing w:val="-5"/>
              </w:rPr>
              <w:t xml:space="preserve"> </w:t>
            </w:r>
            <w:r>
              <w:t>audit</w:t>
            </w:r>
            <w:r>
              <w:rPr>
                <w:spacing w:val="-7"/>
              </w:rPr>
              <w:t xml:space="preserve"> </w:t>
            </w:r>
            <w:r>
              <w:t>director</w:t>
            </w:r>
            <w:r>
              <w:rPr>
                <w:spacing w:val="-5"/>
              </w:rPr>
              <w:t xml:space="preserve"> </w:t>
            </w:r>
            <w:r>
              <w:t>that</w:t>
            </w:r>
            <w:r>
              <w:rPr>
                <w:spacing w:val="-7"/>
              </w:rPr>
              <w:t xml:space="preserve"> </w:t>
            </w:r>
            <w:r>
              <w:t>there</w:t>
            </w:r>
            <w:r>
              <w:rPr>
                <w:spacing w:val="-6"/>
              </w:rPr>
              <w:t xml:space="preserve"> </w:t>
            </w:r>
            <w:r>
              <w:t>are</w:t>
            </w:r>
            <w:r>
              <w:rPr>
                <w:spacing w:val="-5"/>
              </w:rPr>
              <w:t xml:space="preserve"> </w:t>
            </w:r>
            <w:r>
              <w:t>no</w:t>
            </w:r>
            <w:r>
              <w:rPr>
                <w:spacing w:val="-6"/>
              </w:rPr>
              <w:t xml:space="preserve"> </w:t>
            </w:r>
            <w:r>
              <w:t>unresolved</w:t>
            </w:r>
            <w:r>
              <w:rPr>
                <w:spacing w:val="-6"/>
              </w:rPr>
              <w:t xml:space="preserve"> </w:t>
            </w:r>
            <w:r>
              <w:rPr>
                <w:spacing w:val="-2"/>
              </w:rPr>
              <w:t>issues.</w:t>
            </w:r>
          </w:p>
          <w:p w14:paraId="0DFDB48A" w14:textId="77777777" w:rsidR="00046465" w:rsidRDefault="008134EB">
            <w:pPr>
              <w:pStyle w:val="TableParagraph"/>
              <w:spacing w:before="119"/>
              <w:ind w:left="125" w:right="161"/>
            </w:pPr>
            <w:r>
              <w:rPr>
                <w:b/>
              </w:rPr>
              <w:t>Conclusions:</w:t>
            </w:r>
            <w:r>
              <w:rPr>
                <w:b/>
                <w:spacing w:val="-3"/>
              </w:rPr>
              <w:t xml:space="preserve"> </w:t>
            </w:r>
            <w:r>
              <w:t>Based</w:t>
            </w:r>
            <w:r>
              <w:rPr>
                <w:spacing w:val="-3"/>
              </w:rPr>
              <w:t xml:space="preserve"> </w:t>
            </w:r>
            <w:r>
              <w:t>on</w:t>
            </w:r>
            <w:r>
              <w:rPr>
                <w:spacing w:val="-3"/>
              </w:rPr>
              <w:t xml:space="preserve"> </w:t>
            </w:r>
            <w:r>
              <w:t>all</w:t>
            </w:r>
            <w:r>
              <w:rPr>
                <w:spacing w:val="-3"/>
              </w:rPr>
              <w:t xml:space="preserve"> </w:t>
            </w:r>
            <w:r>
              <w:t>the</w:t>
            </w:r>
            <w:r>
              <w:rPr>
                <w:spacing w:val="-3"/>
              </w:rPr>
              <w:t xml:space="preserve"> </w:t>
            </w:r>
            <w:r>
              <w:t>relevant</w:t>
            </w:r>
            <w:r>
              <w:rPr>
                <w:spacing w:val="-3"/>
              </w:rPr>
              <w:t xml:space="preserve"> </w:t>
            </w:r>
            <w:r>
              <w:t>facts</w:t>
            </w:r>
            <w:r>
              <w:rPr>
                <w:spacing w:val="-3"/>
              </w:rPr>
              <w:t xml:space="preserve"> </w:t>
            </w:r>
            <w:r>
              <w:t>of</w:t>
            </w:r>
            <w:r>
              <w:rPr>
                <w:spacing w:val="-4"/>
              </w:rPr>
              <w:t xml:space="preserve"> </w:t>
            </w:r>
            <w:r>
              <w:t>which</w:t>
            </w:r>
            <w:r>
              <w:rPr>
                <w:spacing w:val="-3"/>
              </w:rPr>
              <w:t xml:space="preserve"> </w:t>
            </w:r>
            <w:r>
              <w:t>I</w:t>
            </w:r>
            <w:r>
              <w:rPr>
                <w:spacing w:val="-3"/>
              </w:rPr>
              <w:t xml:space="preserve"> </w:t>
            </w:r>
            <w:r>
              <w:t>have</w:t>
            </w:r>
            <w:r>
              <w:rPr>
                <w:spacing w:val="-4"/>
              </w:rPr>
              <w:t xml:space="preserve"> </w:t>
            </w:r>
            <w:r>
              <w:t>knowledge,</w:t>
            </w:r>
            <w:r>
              <w:rPr>
                <w:spacing w:val="-4"/>
              </w:rPr>
              <w:t xml:space="preserve"> </w:t>
            </w:r>
            <w:r>
              <w:t>I</w:t>
            </w:r>
            <w:r>
              <w:rPr>
                <w:spacing w:val="-3"/>
              </w:rPr>
              <w:t xml:space="preserve"> </w:t>
            </w:r>
            <w:r>
              <w:t>found</w:t>
            </w:r>
            <w:r>
              <w:rPr>
                <w:spacing w:val="-3"/>
              </w:rPr>
              <w:t xml:space="preserve"> </w:t>
            </w:r>
            <w:r>
              <w:t>no</w:t>
            </w:r>
            <w:r>
              <w:rPr>
                <w:spacing w:val="-4"/>
              </w:rPr>
              <w:t xml:space="preserve"> </w:t>
            </w:r>
            <w:r>
              <w:t>matters that caused me to believe that (1) the agreed-upon procedures were not performed in accordance with GAGAS and the AICPA’s attestation standards related to agreed-upon procedures engagements and (2) the report is not in accordance with professional standards and audit organization policies.</w:t>
            </w:r>
          </w:p>
          <w:p w14:paraId="0DFDB48B" w14:textId="77777777" w:rsidR="00046465" w:rsidRDefault="008134EB">
            <w:pPr>
              <w:pStyle w:val="TableParagraph"/>
              <w:spacing w:before="240"/>
              <w:ind w:left="125" w:right="198"/>
            </w:pPr>
            <w:r>
              <w:t>In</w:t>
            </w:r>
            <w:r>
              <w:rPr>
                <w:spacing w:val="-3"/>
              </w:rPr>
              <w:t xml:space="preserve"> </w:t>
            </w:r>
            <w:r>
              <w:t>signing</w:t>
            </w:r>
            <w:r>
              <w:rPr>
                <w:spacing w:val="-3"/>
              </w:rPr>
              <w:t xml:space="preserve"> </w:t>
            </w:r>
            <w:r>
              <w:t>this</w:t>
            </w:r>
            <w:r>
              <w:rPr>
                <w:spacing w:val="-3"/>
              </w:rPr>
              <w:t xml:space="preserve"> </w:t>
            </w:r>
            <w:r>
              <w:t>form,</w:t>
            </w:r>
            <w:r>
              <w:rPr>
                <w:spacing w:val="-3"/>
              </w:rPr>
              <w:t xml:space="preserve"> </w:t>
            </w:r>
            <w:r>
              <w:t>I</w:t>
            </w:r>
            <w:r>
              <w:rPr>
                <w:spacing w:val="-3"/>
              </w:rPr>
              <w:t xml:space="preserve"> </w:t>
            </w:r>
            <w:r>
              <w:t>acknowledge</w:t>
            </w:r>
            <w:r>
              <w:rPr>
                <w:spacing w:val="-3"/>
              </w:rPr>
              <w:t xml:space="preserve"> </w:t>
            </w:r>
            <w:r>
              <w:t>that</w:t>
            </w:r>
            <w:r>
              <w:rPr>
                <w:spacing w:val="-3"/>
              </w:rPr>
              <w:t xml:space="preserve"> </w:t>
            </w:r>
            <w:r>
              <w:t>there</w:t>
            </w:r>
            <w:r>
              <w:rPr>
                <w:spacing w:val="-3"/>
              </w:rPr>
              <w:t xml:space="preserve"> </w:t>
            </w:r>
            <w:r>
              <w:t>have</w:t>
            </w:r>
            <w:r>
              <w:rPr>
                <w:spacing w:val="-3"/>
              </w:rPr>
              <w:t xml:space="preserve"> </w:t>
            </w:r>
            <w:r>
              <w:t>been</w:t>
            </w:r>
            <w:r>
              <w:rPr>
                <w:spacing w:val="-3"/>
              </w:rPr>
              <w:t xml:space="preserve"> </w:t>
            </w:r>
            <w:r>
              <w:t>no</w:t>
            </w:r>
            <w:r>
              <w:rPr>
                <w:spacing w:val="-4"/>
              </w:rPr>
              <w:t xml:space="preserve"> </w:t>
            </w:r>
            <w:r>
              <w:t>personal</w:t>
            </w:r>
            <w:r>
              <w:rPr>
                <w:spacing w:val="-3"/>
              </w:rPr>
              <w:t xml:space="preserve"> </w:t>
            </w:r>
            <w:r>
              <w:t>or</w:t>
            </w:r>
            <w:r>
              <w:rPr>
                <w:spacing w:val="-5"/>
              </w:rPr>
              <w:t xml:space="preserve"> </w:t>
            </w:r>
            <w:r>
              <w:t>external impairments to independence regarding my work on this engagement.</w:t>
            </w:r>
          </w:p>
          <w:p w14:paraId="0DFDB48C" w14:textId="77777777" w:rsidR="00046465" w:rsidRDefault="00046465">
            <w:pPr>
              <w:pStyle w:val="TableParagraph"/>
              <w:rPr>
                <w:sz w:val="20"/>
              </w:rPr>
            </w:pPr>
          </w:p>
          <w:p w14:paraId="0DFDB48D" w14:textId="77777777" w:rsidR="00046465" w:rsidRDefault="00046465">
            <w:pPr>
              <w:pStyle w:val="TableParagraph"/>
              <w:rPr>
                <w:sz w:val="20"/>
              </w:rPr>
            </w:pPr>
          </w:p>
          <w:p w14:paraId="0DFDB48E" w14:textId="77777777" w:rsidR="00046465" w:rsidRDefault="00046465">
            <w:pPr>
              <w:pStyle w:val="TableParagraph"/>
              <w:rPr>
                <w:sz w:val="20"/>
              </w:rPr>
            </w:pPr>
          </w:p>
          <w:p w14:paraId="0DFDB48F" w14:textId="77777777" w:rsidR="00046465" w:rsidRDefault="00046465">
            <w:pPr>
              <w:pStyle w:val="TableParagraph"/>
              <w:spacing w:before="42"/>
              <w:rPr>
                <w:sz w:val="20"/>
              </w:rPr>
            </w:pPr>
          </w:p>
          <w:p w14:paraId="0DFDB490" w14:textId="77777777" w:rsidR="00046465" w:rsidRDefault="008134EB">
            <w:pPr>
              <w:pStyle w:val="TableParagraph"/>
              <w:spacing w:line="21" w:lineRule="exact"/>
              <w:ind w:left="118"/>
              <w:rPr>
                <w:sz w:val="2"/>
              </w:rPr>
            </w:pPr>
            <w:r>
              <w:rPr>
                <w:noProof/>
                <w:sz w:val="2"/>
              </w:rPr>
              <mc:AlternateContent>
                <mc:Choice Requires="wpg">
                  <w:drawing>
                    <wp:inline distT="0" distB="0" distL="0" distR="0" wp14:anchorId="0DFDD58F" wp14:editId="0DFDD590">
                      <wp:extent cx="5285740" cy="13970"/>
                      <wp:effectExtent l="9525" t="0" r="0" b="5079"/>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5740" cy="13970"/>
                                <a:chOff x="0" y="0"/>
                                <a:chExt cx="5285740" cy="13970"/>
                              </a:xfrm>
                            </wpg:grpSpPr>
                            <wps:wsp>
                              <wps:cNvPr id="366" name="Graphic 366"/>
                              <wps:cNvSpPr/>
                              <wps:spPr>
                                <a:xfrm>
                                  <a:off x="139" y="9165"/>
                                  <a:ext cx="5281930" cy="1270"/>
                                </a:xfrm>
                                <a:custGeom>
                                  <a:avLst/>
                                  <a:gdLst/>
                                  <a:ahLst/>
                                  <a:cxnLst/>
                                  <a:rect l="l" t="t" r="r" b="b"/>
                                  <a:pathLst>
                                    <a:path w="5281930">
                                      <a:moveTo>
                                        <a:pt x="0" y="0"/>
                                      </a:moveTo>
                                      <a:lnTo>
                                        <a:pt x="5281656" y="0"/>
                                      </a:lnTo>
                                    </a:path>
                                  </a:pathLst>
                                </a:custGeom>
                                <a:ln w="8785">
                                  <a:solidFill>
                                    <a:srgbClr val="000000"/>
                                  </a:solidFill>
                                  <a:prstDash val="solid"/>
                                </a:ln>
                              </wps:spPr>
                              <wps:bodyPr wrap="square" lIns="0" tIns="0" rIns="0" bIns="0" rtlCol="0">
                                <a:prstTxWarp prst="textNoShape">
                                  <a:avLst/>
                                </a:prstTxWarp>
                                <a:noAutofit/>
                              </wps:bodyPr>
                            </wps:wsp>
                            <wps:wsp>
                              <wps:cNvPr id="367" name="Graphic 367"/>
                              <wps:cNvSpPr/>
                              <wps:spPr>
                                <a:xfrm>
                                  <a:off x="0" y="0"/>
                                  <a:ext cx="5285740" cy="10160"/>
                                </a:xfrm>
                                <a:custGeom>
                                  <a:avLst/>
                                  <a:gdLst/>
                                  <a:ahLst/>
                                  <a:cxnLst/>
                                  <a:rect l="l" t="t" r="r" b="b"/>
                                  <a:pathLst>
                                    <a:path w="5285740" h="10160">
                                      <a:moveTo>
                                        <a:pt x="5285232" y="0"/>
                                      </a:moveTo>
                                      <a:lnTo>
                                        <a:pt x="0" y="0"/>
                                      </a:lnTo>
                                      <a:lnTo>
                                        <a:pt x="0" y="9905"/>
                                      </a:lnTo>
                                      <a:lnTo>
                                        <a:pt x="5285232" y="9905"/>
                                      </a:lnTo>
                                      <a:lnTo>
                                        <a:pt x="5285232"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62F1DAD" id="Group 365" o:spid="_x0000_s1026" style="width:416.2pt;height:1.1pt;mso-position-horizontal-relative:char;mso-position-vertical-relative:line" coordsize="52857,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">
                      <v:shape id="Graphic 366" o:spid="_x0000_s1027" style="position:absolute;left:1;top:91;width:52819;height:13;visibility:visible;mso-wrap-style:square;v-text-anchor:top" coordsize="5281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" path="m,l5281656,e" filled="f" strokeweight=".24403mm">
                        <v:path arrowok="t"/>
                      </v:shape>
                      <v:shape id="Graphic 367" o:spid="_x0000_s1028" style="position:absolute;width:52857;height:101;visibility:visible;mso-wrap-style:square;v-text-anchor:top" coordsize="52857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" path="m5285232,l,,,9905r5285232,l5285232,xe" fillcolor="black" stroked="f">
                        <v:path arrowok="t"/>
                      </v:shape>
                      <w10:anchorlock/>
                    </v:group>
                  </w:pict>
                </mc:Fallback>
              </mc:AlternateContent>
            </w:r>
          </w:p>
          <w:p w14:paraId="0DFDB491" w14:textId="77777777" w:rsidR="00046465" w:rsidRDefault="008134EB">
            <w:pPr>
              <w:pStyle w:val="TableParagraph"/>
              <w:tabs>
                <w:tab w:val="left" w:pos="3454"/>
                <w:tab w:val="left" w:pos="7400"/>
              </w:tabs>
              <w:spacing w:before="242"/>
              <w:ind w:left="125"/>
              <w:rPr>
                <w:b/>
              </w:rPr>
            </w:pPr>
            <w:r>
              <w:rPr>
                <w:b/>
                <w:spacing w:val="-2"/>
              </w:rPr>
              <w:t>Title</w:t>
            </w:r>
            <w:r>
              <w:rPr>
                <w:b/>
              </w:rPr>
              <w:tab/>
            </w:r>
            <w:r>
              <w:rPr>
                <w:b/>
                <w:spacing w:val="-2"/>
              </w:rPr>
              <w:t>Signature</w:t>
            </w:r>
            <w:r>
              <w:rPr>
                <w:b/>
              </w:rPr>
              <w:tab/>
            </w:r>
            <w:r>
              <w:rPr>
                <w:b/>
                <w:spacing w:val="-4"/>
              </w:rPr>
              <w:t>Date</w:t>
            </w:r>
          </w:p>
        </w:tc>
      </w:tr>
    </w:tbl>
    <w:p w14:paraId="0DFDB493" w14:textId="77777777" w:rsidR="00046465" w:rsidRDefault="00046465">
      <w:pPr>
        <w:pStyle w:val="TableParagraph"/>
        <w:rPr>
          <w:b/>
        </w:rPr>
        <w:sectPr w:rsidR="00046465">
          <w:pgSz w:w="12240" w:h="15840"/>
          <w:pgMar w:top="1340" w:right="720" w:bottom="940" w:left="1080" w:header="721" w:footer="757" w:gutter="0"/>
          <w:cols w:space="720"/>
        </w:sectPr>
      </w:pPr>
    </w:p>
    <w:p w14:paraId="0DFDB494" w14:textId="77777777" w:rsidR="00046465" w:rsidRDefault="008134EB">
      <w:pPr>
        <w:spacing w:line="20" w:lineRule="exact"/>
        <w:ind w:left="410"/>
        <w:rPr>
          <w:sz w:val="2"/>
        </w:rPr>
      </w:pPr>
      <w:r>
        <w:rPr>
          <w:noProof/>
          <w:sz w:val="2"/>
        </w:rPr>
        <w:lastRenderedPageBreak/>
        <mc:AlternateContent>
          <mc:Choice Requires="wpg">
            <w:drawing>
              <wp:inline distT="0" distB="0" distL="0" distR="0" wp14:anchorId="0DFDD591" wp14:editId="0DFDD592">
                <wp:extent cx="5911850" cy="9525"/>
                <wp:effectExtent l="9525" t="0" r="3175" b="0"/>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1850" cy="9525"/>
                          <a:chOff x="0" y="0"/>
                          <a:chExt cx="5911850" cy="9525"/>
                        </a:xfrm>
                      </wpg:grpSpPr>
                      <wps:wsp>
                        <wps:cNvPr id="369" name="Graphic 369"/>
                        <wps:cNvSpPr/>
                        <wps:spPr>
                          <a:xfrm>
                            <a:off x="0" y="4762"/>
                            <a:ext cx="5911850" cy="1270"/>
                          </a:xfrm>
                          <a:custGeom>
                            <a:avLst/>
                            <a:gdLst/>
                            <a:ahLst/>
                            <a:cxnLst/>
                            <a:rect l="l" t="t" r="r" b="b"/>
                            <a:pathLst>
                              <a:path w="5911850">
                                <a:moveTo>
                                  <a:pt x="0" y="0"/>
                                </a:moveTo>
                                <a:lnTo>
                                  <a:pt x="591185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234C90" id="Group 368" o:spid="_x0000_s1026" style="width:465.5pt;height:.75pt;mso-position-horizontal-relative:char;mso-position-vertical-relative:line" coordsize="5911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">
                <v:shape id="Graphic 369" o:spid="_x0000_s1027" style="position:absolute;top:47;width:59118;height:13;visibility:visible;mso-wrap-style:square;v-text-anchor:top" coordsize="5911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" path="m,l5911850,e" filled="f">
                  <v:path arrowok="t"/>
                </v:shape>
                <w10:anchorlock/>
              </v:group>
            </w:pict>
          </mc:Fallback>
        </mc:AlternateContent>
      </w:r>
    </w:p>
    <w:p w14:paraId="0DFDB495" w14:textId="77777777" w:rsidR="00046465" w:rsidRDefault="008134EB">
      <w:pPr>
        <w:pStyle w:val="Heading1"/>
        <w:spacing w:before="677"/>
      </w:pPr>
      <w:bookmarkStart w:id="157" w:name="Section_800_-_Compliance"/>
      <w:bookmarkEnd w:id="157"/>
      <w:r>
        <w:t>SECTION</w:t>
      </w:r>
      <w:r>
        <w:rPr>
          <w:spacing w:val="-4"/>
        </w:rPr>
        <w:t xml:space="preserve"> </w:t>
      </w:r>
      <w:r>
        <w:rPr>
          <w:spacing w:val="-5"/>
        </w:rPr>
        <w:t>800</w:t>
      </w:r>
    </w:p>
    <w:p w14:paraId="0DFDB496" w14:textId="77777777" w:rsidR="00046465" w:rsidRDefault="00046465">
      <w:pPr>
        <w:pStyle w:val="BodyText"/>
        <w:rPr>
          <w:sz w:val="20"/>
        </w:rPr>
      </w:pPr>
    </w:p>
    <w:p w14:paraId="0DFDB497" w14:textId="77777777" w:rsidR="00046465" w:rsidRDefault="008134EB">
      <w:pPr>
        <w:pStyle w:val="BodyText"/>
        <w:spacing w:before="208"/>
        <w:rPr>
          <w:sz w:val="20"/>
        </w:rPr>
      </w:pPr>
      <w:r>
        <w:rPr>
          <w:noProof/>
          <w:sz w:val="20"/>
        </w:rPr>
        <mc:AlternateContent>
          <mc:Choice Requires="wps">
            <w:drawing>
              <wp:anchor distT="0" distB="0" distL="0" distR="0" simplePos="0" relativeHeight="487620608" behindDoc="1" locked="0" layoutInCell="1" allowOverlap="1" wp14:anchorId="0DFDD593" wp14:editId="0DFDD594">
                <wp:simplePos x="0" y="0"/>
                <wp:positionH relativeFrom="page">
                  <wp:posOffset>946150</wp:posOffset>
                </wp:positionH>
                <wp:positionV relativeFrom="paragraph">
                  <wp:posOffset>293419</wp:posOffset>
                </wp:positionV>
                <wp:extent cx="5911850" cy="91440"/>
                <wp:effectExtent l="0" t="0" r="0" b="0"/>
                <wp:wrapTopAndBottom/>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1850" cy="91440"/>
                        </a:xfrm>
                        <a:custGeom>
                          <a:avLst/>
                          <a:gdLst/>
                          <a:ahLst/>
                          <a:cxnLst/>
                          <a:rect l="l" t="t" r="r" b="b"/>
                          <a:pathLst>
                            <a:path w="5911850" h="91440">
                              <a:moveTo>
                                <a:pt x="5911850" y="0"/>
                              </a:moveTo>
                              <a:lnTo>
                                <a:pt x="0" y="0"/>
                              </a:lnTo>
                              <a:lnTo>
                                <a:pt x="0" y="91440"/>
                              </a:lnTo>
                              <a:lnTo>
                                <a:pt x="5911850" y="91440"/>
                              </a:lnTo>
                              <a:lnTo>
                                <a:pt x="5911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D5F13F" id="Graphic 370" o:spid="_x0000_s1026" style="position:absolute;margin-left:74.5pt;margin-top:23.1pt;width:465.5pt;height:7.2pt;z-index:-15695872;visibility:visible;mso-wrap-style:square;mso-wrap-distance-left:0;mso-wrap-distance-top:0;mso-wrap-distance-right:0;mso-wrap-distance-bottom:0;mso-position-horizontal:absolute;mso-position-horizontal-relative:page;mso-position-vertical:absolute;mso-position-vertical-relative:text;v-text-anchor:top" coordsize="591185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" path="m5911850,l,,,91440r5911850,l5911850,xe" fillcolor="black" stroked="f">
                <v:path arrowok="t"/>
                <w10:wrap type="topAndBottom" anchorx="page"/>
              </v:shape>
            </w:pict>
          </mc:Fallback>
        </mc:AlternateContent>
      </w:r>
    </w:p>
    <w:p w14:paraId="0DFDB498" w14:textId="77777777" w:rsidR="00046465" w:rsidRDefault="008134EB">
      <w:pPr>
        <w:pStyle w:val="Heading2"/>
        <w:spacing w:before="293"/>
      </w:pPr>
      <w:r>
        <w:rPr>
          <w:spacing w:val="-2"/>
        </w:rPr>
        <w:t>Compliance</w:t>
      </w:r>
    </w:p>
    <w:p w14:paraId="0DFDB499" w14:textId="77777777" w:rsidR="00046465" w:rsidRDefault="00046465">
      <w:pPr>
        <w:pStyle w:val="BodyText"/>
        <w:rPr>
          <w:sz w:val="20"/>
        </w:rPr>
      </w:pPr>
    </w:p>
    <w:p w14:paraId="0DFDB49A" w14:textId="77777777" w:rsidR="00046465" w:rsidRDefault="00046465">
      <w:pPr>
        <w:pStyle w:val="BodyText"/>
        <w:rPr>
          <w:sz w:val="20"/>
        </w:rPr>
      </w:pPr>
    </w:p>
    <w:p w14:paraId="0DFDB49B" w14:textId="77777777" w:rsidR="00046465" w:rsidRDefault="00046465">
      <w:pPr>
        <w:pStyle w:val="BodyText"/>
        <w:rPr>
          <w:sz w:val="20"/>
        </w:rPr>
      </w:pPr>
    </w:p>
    <w:p w14:paraId="0DFDB49C" w14:textId="77777777" w:rsidR="00046465" w:rsidRDefault="00046465">
      <w:pPr>
        <w:pStyle w:val="BodyText"/>
        <w:rPr>
          <w:sz w:val="20"/>
        </w:rPr>
      </w:pPr>
    </w:p>
    <w:p w14:paraId="0DFDB49D" w14:textId="77777777" w:rsidR="00046465" w:rsidRDefault="00046465">
      <w:pPr>
        <w:pStyle w:val="BodyText"/>
        <w:rPr>
          <w:sz w:val="20"/>
        </w:rPr>
      </w:pPr>
    </w:p>
    <w:p w14:paraId="0DFDB49E" w14:textId="77777777" w:rsidR="00046465" w:rsidRDefault="00046465">
      <w:pPr>
        <w:pStyle w:val="BodyText"/>
        <w:rPr>
          <w:sz w:val="20"/>
        </w:rPr>
      </w:pPr>
    </w:p>
    <w:p w14:paraId="0DFDB49F" w14:textId="77777777" w:rsidR="00046465" w:rsidRDefault="00046465">
      <w:pPr>
        <w:pStyle w:val="BodyText"/>
        <w:rPr>
          <w:sz w:val="20"/>
        </w:rPr>
      </w:pPr>
    </w:p>
    <w:p w14:paraId="0DFDB4A0" w14:textId="77777777" w:rsidR="00046465" w:rsidRDefault="00046465">
      <w:pPr>
        <w:pStyle w:val="BodyText"/>
        <w:rPr>
          <w:sz w:val="20"/>
        </w:rPr>
      </w:pPr>
    </w:p>
    <w:p w14:paraId="0DFDB4A1" w14:textId="77777777" w:rsidR="00046465" w:rsidRDefault="00046465">
      <w:pPr>
        <w:pStyle w:val="BodyText"/>
        <w:rPr>
          <w:sz w:val="20"/>
        </w:rPr>
      </w:pPr>
    </w:p>
    <w:p w14:paraId="0DFDB4A2" w14:textId="77777777" w:rsidR="00046465" w:rsidRDefault="00046465">
      <w:pPr>
        <w:pStyle w:val="BodyText"/>
        <w:rPr>
          <w:sz w:val="20"/>
        </w:rPr>
      </w:pPr>
    </w:p>
    <w:p w14:paraId="0DFDB4A3" w14:textId="77777777" w:rsidR="00046465" w:rsidRDefault="00046465">
      <w:pPr>
        <w:pStyle w:val="BodyText"/>
        <w:rPr>
          <w:sz w:val="20"/>
        </w:rPr>
      </w:pPr>
    </w:p>
    <w:p w14:paraId="0DFDB4A4" w14:textId="77777777" w:rsidR="00046465" w:rsidRDefault="00046465">
      <w:pPr>
        <w:pStyle w:val="BodyText"/>
        <w:rPr>
          <w:sz w:val="20"/>
        </w:rPr>
      </w:pPr>
    </w:p>
    <w:p w14:paraId="0DFDB4A5" w14:textId="77777777" w:rsidR="00046465" w:rsidRDefault="00046465">
      <w:pPr>
        <w:pStyle w:val="BodyText"/>
        <w:rPr>
          <w:sz w:val="20"/>
        </w:rPr>
      </w:pPr>
    </w:p>
    <w:p w14:paraId="0DFDB4A6" w14:textId="77777777" w:rsidR="00046465" w:rsidRDefault="00046465">
      <w:pPr>
        <w:pStyle w:val="BodyText"/>
        <w:rPr>
          <w:sz w:val="20"/>
        </w:rPr>
      </w:pPr>
    </w:p>
    <w:p w14:paraId="0DFDB4A7" w14:textId="77777777" w:rsidR="00046465" w:rsidRDefault="00046465">
      <w:pPr>
        <w:pStyle w:val="BodyText"/>
        <w:rPr>
          <w:sz w:val="20"/>
        </w:rPr>
      </w:pPr>
    </w:p>
    <w:p w14:paraId="0DFDB4A8" w14:textId="77777777" w:rsidR="00046465" w:rsidRDefault="00046465">
      <w:pPr>
        <w:pStyle w:val="BodyText"/>
        <w:rPr>
          <w:sz w:val="20"/>
        </w:rPr>
      </w:pPr>
    </w:p>
    <w:p w14:paraId="0DFDB4A9" w14:textId="77777777" w:rsidR="00046465" w:rsidRDefault="00046465">
      <w:pPr>
        <w:pStyle w:val="BodyText"/>
        <w:rPr>
          <w:sz w:val="20"/>
        </w:rPr>
      </w:pPr>
    </w:p>
    <w:p w14:paraId="0DFDB4AA" w14:textId="77777777" w:rsidR="00046465" w:rsidRDefault="00046465">
      <w:pPr>
        <w:pStyle w:val="BodyText"/>
        <w:rPr>
          <w:sz w:val="20"/>
        </w:rPr>
      </w:pPr>
    </w:p>
    <w:p w14:paraId="0DFDB4AB" w14:textId="77777777" w:rsidR="00046465" w:rsidRDefault="00046465">
      <w:pPr>
        <w:pStyle w:val="BodyText"/>
        <w:rPr>
          <w:sz w:val="20"/>
        </w:rPr>
      </w:pPr>
    </w:p>
    <w:p w14:paraId="0DFDB4AC" w14:textId="77777777" w:rsidR="00046465" w:rsidRDefault="00046465">
      <w:pPr>
        <w:pStyle w:val="BodyText"/>
        <w:rPr>
          <w:sz w:val="20"/>
        </w:rPr>
      </w:pPr>
    </w:p>
    <w:p w14:paraId="0DFDB4AD" w14:textId="77777777" w:rsidR="00046465" w:rsidRDefault="00046465">
      <w:pPr>
        <w:pStyle w:val="BodyText"/>
        <w:rPr>
          <w:sz w:val="20"/>
        </w:rPr>
      </w:pPr>
    </w:p>
    <w:p w14:paraId="0DFDB4AE" w14:textId="77777777" w:rsidR="00046465" w:rsidRDefault="00046465">
      <w:pPr>
        <w:pStyle w:val="BodyText"/>
        <w:rPr>
          <w:sz w:val="20"/>
        </w:rPr>
      </w:pPr>
    </w:p>
    <w:p w14:paraId="0DFDB4AF" w14:textId="77777777" w:rsidR="00046465" w:rsidRDefault="00046465">
      <w:pPr>
        <w:pStyle w:val="BodyText"/>
        <w:rPr>
          <w:sz w:val="20"/>
        </w:rPr>
      </w:pPr>
    </w:p>
    <w:p w14:paraId="0DFDB4B0" w14:textId="77777777" w:rsidR="00046465" w:rsidRDefault="00046465">
      <w:pPr>
        <w:pStyle w:val="BodyText"/>
        <w:rPr>
          <w:sz w:val="20"/>
        </w:rPr>
      </w:pPr>
    </w:p>
    <w:p w14:paraId="0DFDB4B1" w14:textId="77777777" w:rsidR="00046465" w:rsidRDefault="00046465">
      <w:pPr>
        <w:pStyle w:val="BodyText"/>
        <w:rPr>
          <w:sz w:val="20"/>
        </w:rPr>
      </w:pPr>
    </w:p>
    <w:p w14:paraId="0DFDB4B2" w14:textId="77777777" w:rsidR="00046465" w:rsidRDefault="00046465">
      <w:pPr>
        <w:pStyle w:val="BodyText"/>
        <w:rPr>
          <w:sz w:val="20"/>
        </w:rPr>
      </w:pPr>
    </w:p>
    <w:p w14:paraId="0DFDB4B3" w14:textId="77777777" w:rsidR="00046465" w:rsidRDefault="00046465">
      <w:pPr>
        <w:pStyle w:val="BodyText"/>
        <w:rPr>
          <w:sz w:val="20"/>
        </w:rPr>
      </w:pPr>
    </w:p>
    <w:p w14:paraId="0DFDB4B4" w14:textId="77777777" w:rsidR="00046465" w:rsidRDefault="00046465">
      <w:pPr>
        <w:pStyle w:val="BodyText"/>
        <w:rPr>
          <w:sz w:val="20"/>
        </w:rPr>
      </w:pPr>
    </w:p>
    <w:p w14:paraId="0DFDB4B5" w14:textId="77777777" w:rsidR="00046465" w:rsidRDefault="00046465">
      <w:pPr>
        <w:pStyle w:val="BodyText"/>
        <w:rPr>
          <w:sz w:val="20"/>
        </w:rPr>
      </w:pPr>
    </w:p>
    <w:p w14:paraId="0DFDB4B6" w14:textId="77777777" w:rsidR="00046465" w:rsidRDefault="00046465">
      <w:pPr>
        <w:pStyle w:val="BodyText"/>
        <w:rPr>
          <w:sz w:val="20"/>
        </w:rPr>
      </w:pPr>
    </w:p>
    <w:p w14:paraId="0DFDB4B7" w14:textId="77777777" w:rsidR="00046465" w:rsidRDefault="00046465">
      <w:pPr>
        <w:pStyle w:val="BodyText"/>
        <w:rPr>
          <w:sz w:val="20"/>
        </w:rPr>
      </w:pPr>
    </w:p>
    <w:p w14:paraId="0DFDB4B8" w14:textId="77777777" w:rsidR="00046465" w:rsidRDefault="00046465">
      <w:pPr>
        <w:pStyle w:val="BodyText"/>
        <w:rPr>
          <w:sz w:val="20"/>
        </w:rPr>
      </w:pPr>
    </w:p>
    <w:p w14:paraId="0DFDB4B9" w14:textId="77777777" w:rsidR="00046465" w:rsidRDefault="00046465">
      <w:pPr>
        <w:pStyle w:val="BodyText"/>
        <w:rPr>
          <w:sz w:val="20"/>
        </w:rPr>
      </w:pPr>
    </w:p>
    <w:p w14:paraId="0DFDB4BA" w14:textId="77777777" w:rsidR="00046465" w:rsidRDefault="00046465">
      <w:pPr>
        <w:pStyle w:val="BodyText"/>
        <w:rPr>
          <w:sz w:val="20"/>
        </w:rPr>
      </w:pPr>
    </w:p>
    <w:p w14:paraId="0DFDB4BB" w14:textId="77777777" w:rsidR="00046465" w:rsidRDefault="00046465">
      <w:pPr>
        <w:pStyle w:val="BodyText"/>
        <w:rPr>
          <w:sz w:val="20"/>
        </w:rPr>
      </w:pPr>
    </w:p>
    <w:p w14:paraId="0DFDB4BC" w14:textId="77777777" w:rsidR="00046465" w:rsidRDefault="00046465">
      <w:pPr>
        <w:pStyle w:val="BodyText"/>
        <w:rPr>
          <w:sz w:val="20"/>
        </w:rPr>
      </w:pPr>
    </w:p>
    <w:p w14:paraId="0DFDB4BD" w14:textId="77777777" w:rsidR="00046465" w:rsidRDefault="00046465">
      <w:pPr>
        <w:pStyle w:val="BodyText"/>
        <w:rPr>
          <w:sz w:val="20"/>
        </w:rPr>
      </w:pPr>
    </w:p>
    <w:p w14:paraId="0DFDB4BE" w14:textId="77777777" w:rsidR="00046465" w:rsidRDefault="00046465">
      <w:pPr>
        <w:pStyle w:val="BodyText"/>
        <w:rPr>
          <w:sz w:val="20"/>
        </w:rPr>
      </w:pPr>
    </w:p>
    <w:p w14:paraId="0DFDB4BF" w14:textId="77777777" w:rsidR="00046465" w:rsidRDefault="00046465">
      <w:pPr>
        <w:pStyle w:val="BodyText"/>
        <w:rPr>
          <w:sz w:val="20"/>
        </w:rPr>
      </w:pPr>
    </w:p>
    <w:p w14:paraId="0DFDB4C0" w14:textId="77777777" w:rsidR="00046465" w:rsidRDefault="00046465">
      <w:pPr>
        <w:pStyle w:val="BodyText"/>
        <w:rPr>
          <w:sz w:val="20"/>
        </w:rPr>
      </w:pPr>
    </w:p>
    <w:p w14:paraId="0DFDB4C1" w14:textId="77777777" w:rsidR="00046465" w:rsidRDefault="00046465">
      <w:pPr>
        <w:pStyle w:val="BodyText"/>
        <w:rPr>
          <w:sz w:val="20"/>
        </w:rPr>
      </w:pPr>
    </w:p>
    <w:p w14:paraId="0DFDB4C2" w14:textId="77777777" w:rsidR="00046465" w:rsidRDefault="00046465">
      <w:pPr>
        <w:pStyle w:val="BodyText"/>
        <w:rPr>
          <w:sz w:val="20"/>
        </w:rPr>
      </w:pPr>
    </w:p>
    <w:p w14:paraId="0DFDB4C3" w14:textId="77777777" w:rsidR="00046465" w:rsidRDefault="00046465">
      <w:pPr>
        <w:pStyle w:val="BodyText"/>
        <w:rPr>
          <w:sz w:val="20"/>
        </w:rPr>
      </w:pPr>
    </w:p>
    <w:p w14:paraId="0DFDB4C4" w14:textId="77777777" w:rsidR="00046465" w:rsidRDefault="00046465">
      <w:pPr>
        <w:pStyle w:val="BodyText"/>
        <w:rPr>
          <w:sz w:val="20"/>
        </w:rPr>
      </w:pPr>
    </w:p>
    <w:p w14:paraId="0DFDB4C5" w14:textId="77777777" w:rsidR="00046465" w:rsidRDefault="00046465">
      <w:pPr>
        <w:pStyle w:val="BodyText"/>
        <w:rPr>
          <w:sz w:val="20"/>
        </w:rPr>
      </w:pPr>
    </w:p>
    <w:p w14:paraId="0DFDB4C6" w14:textId="77777777" w:rsidR="00046465" w:rsidRDefault="008134EB">
      <w:pPr>
        <w:pStyle w:val="BodyText"/>
        <w:spacing w:before="163"/>
        <w:rPr>
          <w:sz w:val="20"/>
        </w:rPr>
      </w:pPr>
      <w:r>
        <w:rPr>
          <w:noProof/>
          <w:sz w:val="20"/>
        </w:rPr>
        <mc:AlternateContent>
          <mc:Choice Requires="wps">
            <w:drawing>
              <wp:anchor distT="0" distB="0" distL="0" distR="0" simplePos="0" relativeHeight="487621120" behindDoc="1" locked="0" layoutInCell="1" allowOverlap="1" wp14:anchorId="0DFDD595" wp14:editId="0DFDD596">
                <wp:simplePos x="0" y="0"/>
                <wp:positionH relativeFrom="page">
                  <wp:posOffset>895350</wp:posOffset>
                </wp:positionH>
                <wp:positionV relativeFrom="paragraph">
                  <wp:posOffset>264782</wp:posOffset>
                </wp:positionV>
                <wp:extent cx="5981700" cy="19050"/>
                <wp:effectExtent l="0" t="0" r="0" b="0"/>
                <wp:wrapTopAndBottom/>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49"/>
                              </a:lnTo>
                              <a:lnTo>
                                <a:pt x="5981700" y="19049"/>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BA539A" id="Graphic 371" o:spid="_x0000_s1026" style="position:absolute;margin-left:70.5pt;margin-top:20.85pt;width:471pt;height:1.5pt;z-index:-15695360;visibility:visible;mso-wrap-style:square;mso-wrap-distance-left:0;mso-wrap-distance-top:0;mso-wrap-distance-right:0;mso-wrap-distance-bottom:0;mso-position-horizontal:absolute;mso-position-horizontal-relative:page;mso-position-vertical:absolute;mso-position-vertical-relative:text;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" path="m5981700,l,,,19049r5981700,l5981700,xe" fillcolor="black" stroked="f">
                <v:path arrowok="t"/>
                <w10:wrap type="topAndBottom" anchorx="page"/>
              </v:shape>
            </w:pict>
          </mc:Fallback>
        </mc:AlternateContent>
      </w:r>
    </w:p>
    <w:p w14:paraId="0DFDB4C7" w14:textId="77777777" w:rsidR="00046465" w:rsidRDefault="00046465">
      <w:pPr>
        <w:pStyle w:val="BodyText"/>
        <w:rPr>
          <w:sz w:val="20"/>
        </w:rPr>
        <w:sectPr w:rsidR="00046465">
          <w:headerReference w:type="default" r:id="rId108"/>
          <w:footerReference w:type="default" r:id="rId109"/>
          <w:pgSz w:w="12240" w:h="15840"/>
          <w:pgMar w:top="960" w:right="720" w:bottom="280" w:left="1080" w:header="0" w:footer="0" w:gutter="0"/>
          <w:cols w:space="720"/>
        </w:sectPr>
      </w:pPr>
    </w:p>
    <w:p w14:paraId="0DFDB4C8" w14:textId="77777777" w:rsidR="00046465" w:rsidRDefault="008134EB">
      <w:pPr>
        <w:pStyle w:val="Heading3"/>
        <w:spacing w:before="121"/>
        <w:rPr>
          <w:u w:val="none"/>
        </w:rPr>
      </w:pPr>
      <w:bookmarkStart w:id="158" w:name="Contents_of_Compliance"/>
      <w:bookmarkEnd w:id="158"/>
      <w:r>
        <w:lastRenderedPageBreak/>
        <w:t>Contents</w:t>
      </w:r>
      <w:r>
        <w:rPr>
          <w:spacing w:val="-4"/>
        </w:rPr>
        <w:t xml:space="preserve"> </w:t>
      </w:r>
      <w:r>
        <w:t>of</w:t>
      </w:r>
      <w:r>
        <w:rPr>
          <w:spacing w:val="-4"/>
        </w:rPr>
        <w:t xml:space="preserve"> </w:t>
      </w:r>
      <w:r>
        <w:rPr>
          <w:spacing w:val="-2"/>
        </w:rPr>
        <w:t>Compliance</w:t>
      </w:r>
    </w:p>
    <w:p w14:paraId="0DFDB4C9" w14:textId="77777777" w:rsidR="00046465" w:rsidRDefault="00046465">
      <w:pPr>
        <w:pStyle w:val="BodyText"/>
        <w:spacing w:before="138"/>
        <w:rPr>
          <w:b/>
          <w:sz w:val="20"/>
        </w:rPr>
      </w:pPr>
    </w:p>
    <w:tbl>
      <w:tblPr>
        <w:tblW w:w="0" w:type="auto"/>
        <w:tblInd w:w="677" w:type="dxa"/>
        <w:tblLayout w:type="fixed"/>
        <w:tblCellMar>
          <w:left w:w="0" w:type="dxa"/>
          <w:right w:w="0" w:type="dxa"/>
        </w:tblCellMar>
        <w:tblLook w:val="01E0" w:firstRow="1" w:lastRow="1" w:firstColumn="1" w:lastColumn="1" w:noHBand="0" w:noVBand="0"/>
      </w:tblPr>
      <w:tblGrid>
        <w:gridCol w:w="7699"/>
        <w:gridCol w:w="944"/>
      </w:tblGrid>
      <w:tr w:rsidR="00046465" w14:paraId="0DFDB4CC" w14:textId="77777777">
        <w:trPr>
          <w:trHeight w:val="368"/>
        </w:trPr>
        <w:tc>
          <w:tcPr>
            <w:tcW w:w="7699" w:type="dxa"/>
          </w:tcPr>
          <w:p w14:paraId="0DFDB4CA" w14:textId="77777777" w:rsidR="00046465" w:rsidRDefault="00046465">
            <w:pPr>
              <w:pStyle w:val="TableParagraph"/>
              <w:rPr>
                <w:rFonts w:ascii="Times New Roman"/>
              </w:rPr>
            </w:pPr>
          </w:p>
        </w:tc>
        <w:tc>
          <w:tcPr>
            <w:tcW w:w="944" w:type="dxa"/>
          </w:tcPr>
          <w:p w14:paraId="0DFDB4CB" w14:textId="77777777" w:rsidR="00046465" w:rsidRDefault="008134EB">
            <w:pPr>
              <w:pStyle w:val="TableParagraph"/>
              <w:spacing w:line="245" w:lineRule="exact"/>
              <w:ind w:right="49"/>
              <w:jc w:val="right"/>
              <w:rPr>
                <w:b/>
              </w:rPr>
            </w:pPr>
            <w:r>
              <w:rPr>
                <w:b/>
                <w:spacing w:val="-5"/>
              </w:rPr>
              <w:t>FAM</w:t>
            </w:r>
          </w:p>
        </w:tc>
      </w:tr>
      <w:tr w:rsidR="00046465" w14:paraId="0DFDB4CF" w14:textId="77777777">
        <w:trPr>
          <w:trHeight w:val="492"/>
        </w:trPr>
        <w:tc>
          <w:tcPr>
            <w:tcW w:w="7699" w:type="dxa"/>
          </w:tcPr>
          <w:p w14:paraId="0DFDB4CD" w14:textId="77777777" w:rsidR="00046465" w:rsidRDefault="008134EB">
            <w:pPr>
              <w:pStyle w:val="TableParagraph"/>
              <w:spacing w:before="115"/>
              <w:ind w:left="50"/>
            </w:pPr>
            <w:r>
              <w:t>General</w:t>
            </w:r>
            <w:r>
              <w:rPr>
                <w:spacing w:val="-12"/>
              </w:rPr>
              <w:t xml:space="preserve"> </w:t>
            </w:r>
            <w:r>
              <w:t>Compliance</w:t>
            </w:r>
            <w:r>
              <w:rPr>
                <w:spacing w:val="-11"/>
              </w:rPr>
              <w:t xml:space="preserve"> </w:t>
            </w:r>
            <w:r>
              <w:rPr>
                <w:spacing w:val="-2"/>
              </w:rPr>
              <w:t>Checklist</w:t>
            </w:r>
          </w:p>
        </w:tc>
        <w:tc>
          <w:tcPr>
            <w:tcW w:w="944" w:type="dxa"/>
          </w:tcPr>
          <w:p w14:paraId="0DFDB4CE" w14:textId="77777777" w:rsidR="00046465" w:rsidRDefault="008134EB">
            <w:pPr>
              <w:pStyle w:val="TableParagraph"/>
              <w:spacing w:before="115"/>
              <w:ind w:right="103"/>
              <w:jc w:val="right"/>
            </w:pPr>
            <w:r>
              <w:rPr>
                <w:spacing w:val="-5"/>
              </w:rPr>
              <w:t>802</w:t>
            </w:r>
          </w:p>
        </w:tc>
      </w:tr>
      <w:tr w:rsidR="00046465" w14:paraId="0DFDB4D2" w14:textId="77777777">
        <w:trPr>
          <w:trHeight w:val="746"/>
        </w:trPr>
        <w:tc>
          <w:tcPr>
            <w:tcW w:w="7699" w:type="dxa"/>
          </w:tcPr>
          <w:p w14:paraId="0DFDB4D0" w14:textId="77777777" w:rsidR="00046465" w:rsidRDefault="008134EB">
            <w:pPr>
              <w:pStyle w:val="TableParagraph"/>
              <w:spacing w:before="116"/>
              <w:ind w:left="50" w:right="439"/>
            </w:pPr>
            <w:r>
              <w:t>Antideficiency</w:t>
            </w:r>
            <w:r>
              <w:rPr>
                <w:spacing w:val="-4"/>
              </w:rPr>
              <w:t xml:space="preserve"> </w:t>
            </w:r>
            <w:r>
              <w:t>Act</w:t>
            </w:r>
            <w:r>
              <w:rPr>
                <w:spacing w:val="-4"/>
              </w:rPr>
              <w:t xml:space="preserve"> </w:t>
            </w:r>
            <w:r>
              <w:t>(ADA),</w:t>
            </w:r>
            <w:r>
              <w:rPr>
                <w:spacing w:val="-4"/>
              </w:rPr>
              <w:t xml:space="preserve"> </w:t>
            </w:r>
            <w:r>
              <w:t>as</w:t>
            </w:r>
            <w:r>
              <w:rPr>
                <w:spacing w:val="-4"/>
              </w:rPr>
              <w:t xml:space="preserve"> </w:t>
            </w:r>
            <w:r>
              <w:t>Provided</w:t>
            </w:r>
            <w:r>
              <w:rPr>
                <w:spacing w:val="-4"/>
              </w:rPr>
              <w:t xml:space="preserve"> </w:t>
            </w:r>
            <w:r>
              <w:t>Primarily</w:t>
            </w:r>
            <w:r>
              <w:rPr>
                <w:spacing w:val="-4"/>
              </w:rPr>
              <w:t xml:space="preserve"> </w:t>
            </w:r>
            <w:r>
              <w:t>in</w:t>
            </w:r>
            <w:r>
              <w:rPr>
                <w:spacing w:val="-4"/>
              </w:rPr>
              <w:t xml:space="preserve"> </w:t>
            </w:r>
            <w:r>
              <w:t>31</w:t>
            </w:r>
            <w:r>
              <w:rPr>
                <w:spacing w:val="-4"/>
              </w:rPr>
              <w:t xml:space="preserve"> </w:t>
            </w:r>
            <w:r>
              <w:t>U.S.C.</w:t>
            </w:r>
            <w:r>
              <w:rPr>
                <w:spacing w:val="-4"/>
              </w:rPr>
              <w:t xml:space="preserve"> </w:t>
            </w:r>
            <w:r>
              <w:t>Chapters</w:t>
            </w:r>
            <w:r>
              <w:rPr>
                <w:spacing w:val="-4"/>
              </w:rPr>
              <w:t xml:space="preserve"> </w:t>
            </w:r>
            <w:r>
              <w:t xml:space="preserve">13, </w:t>
            </w:r>
            <w:r>
              <w:rPr>
                <w:spacing w:val="-6"/>
              </w:rPr>
              <w:t>15</w:t>
            </w:r>
          </w:p>
        </w:tc>
        <w:tc>
          <w:tcPr>
            <w:tcW w:w="944" w:type="dxa"/>
          </w:tcPr>
          <w:p w14:paraId="0DFDB4D1" w14:textId="77777777" w:rsidR="00046465" w:rsidRDefault="008134EB">
            <w:pPr>
              <w:pStyle w:val="TableParagraph"/>
              <w:spacing w:before="116"/>
              <w:ind w:right="103"/>
              <w:jc w:val="right"/>
            </w:pPr>
            <w:r>
              <w:rPr>
                <w:spacing w:val="-5"/>
              </w:rPr>
              <w:t>803</w:t>
            </w:r>
          </w:p>
        </w:tc>
      </w:tr>
      <w:tr w:rsidR="00046465" w14:paraId="0DFDB4D5" w14:textId="77777777">
        <w:trPr>
          <w:trHeight w:val="745"/>
        </w:trPr>
        <w:tc>
          <w:tcPr>
            <w:tcW w:w="7699" w:type="dxa"/>
          </w:tcPr>
          <w:p w14:paraId="0DFDB4D3" w14:textId="77777777" w:rsidR="00046465" w:rsidRDefault="008134EB">
            <w:pPr>
              <w:pStyle w:val="TableParagraph"/>
              <w:spacing w:before="116"/>
              <w:ind w:left="50" w:right="775"/>
            </w:pPr>
            <w:r>
              <w:t>Federal</w:t>
            </w:r>
            <w:r>
              <w:rPr>
                <w:spacing w:val="-4"/>
              </w:rPr>
              <w:t xml:space="preserve"> </w:t>
            </w:r>
            <w:r>
              <w:t>Credit</w:t>
            </w:r>
            <w:r>
              <w:rPr>
                <w:spacing w:val="-4"/>
              </w:rPr>
              <w:t xml:space="preserve"> </w:t>
            </w:r>
            <w:r>
              <w:t>Reform</w:t>
            </w:r>
            <w:r>
              <w:rPr>
                <w:spacing w:val="-5"/>
              </w:rPr>
              <w:t xml:space="preserve"> </w:t>
            </w:r>
            <w:r>
              <w:t>Act</w:t>
            </w:r>
            <w:r>
              <w:rPr>
                <w:spacing w:val="-4"/>
              </w:rPr>
              <w:t xml:space="preserve"> </w:t>
            </w:r>
            <w:r>
              <w:t>of</w:t>
            </w:r>
            <w:r>
              <w:rPr>
                <w:spacing w:val="-4"/>
              </w:rPr>
              <w:t xml:space="preserve"> </w:t>
            </w:r>
            <w:r>
              <w:t>1990</w:t>
            </w:r>
            <w:r>
              <w:rPr>
                <w:spacing w:val="-4"/>
              </w:rPr>
              <w:t xml:space="preserve"> </w:t>
            </w:r>
            <w:r>
              <w:t>(FCRA),</w:t>
            </w:r>
            <w:r>
              <w:rPr>
                <w:spacing w:val="-4"/>
              </w:rPr>
              <w:t xml:space="preserve"> </w:t>
            </w:r>
            <w:r>
              <w:t>as</w:t>
            </w:r>
            <w:r>
              <w:rPr>
                <w:spacing w:val="-2"/>
              </w:rPr>
              <w:t xml:space="preserve"> </w:t>
            </w:r>
            <w:r>
              <w:t>Provided</w:t>
            </w:r>
            <w:r>
              <w:rPr>
                <w:spacing w:val="-4"/>
              </w:rPr>
              <w:t xml:space="preserve"> </w:t>
            </w:r>
            <w:r>
              <w:t>in</w:t>
            </w:r>
            <w:r>
              <w:rPr>
                <w:spacing w:val="-5"/>
              </w:rPr>
              <w:t xml:space="preserve"> </w:t>
            </w:r>
            <w:r>
              <w:t>2</w:t>
            </w:r>
            <w:r>
              <w:rPr>
                <w:spacing w:val="-4"/>
              </w:rPr>
              <w:t xml:space="preserve"> </w:t>
            </w:r>
            <w:r>
              <w:t>U.S.C.</w:t>
            </w:r>
            <w:r>
              <w:rPr>
                <w:spacing w:val="-4"/>
              </w:rPr>
              <w:t xml:space="preserve"> </w:t>
            </w:r>
            <w:r>
              <w:t xml:space="preserve">§§ </w:t>
            </w:r>
            <w:r>
              <w:rPr>
                <w:spacing w:val="-2"/>
              </w:rPr>
              <w:t>661-661f</w:t>
            </w:r>
          </w:p>
        </w:tc>
        <w:tc>
          <w:tcPr>
            <w:tcW w:w="944" w:type="dxa"/>
          </w:tcPr>
          <w:p w14:paraId="0DFDB4D4" w14:textId="77777777" w:rsidR="00046465" w:rsidRDefault="008134EB">
            <w:pPr>
              <w:pStyle w:val="TableParagraph"/>
              <w:spacing w:before="116"/>
              <w:ind w:right="103"/>
              <w:jc w:val="right"/>
            </w:pPr>
            <w:r>
              <w:rPr>
                <w:spacing w:val="-5"/>
              </w:rPr>
              <w:t>804</w:t>
            </w:r>
          </w:p>
        </w:tc>
      </w:tr>
      <w:tr w:rsidR="00046465" w14:paraId="0DFDB4D8" w14:textId="77777777">
        <w:trPr>
          <w:trHeight w:val="492"/>
        </w:trPr>
        <w:tc>
          <w:tcPr>
            <w:tcW w:w="7699" w:type="dxa"/>
          </w:tcPr>
          <w:p w14:paraId="0DFDB4D6" w14:textId="77777777" w:rsidR="00046465" w:rsidRDefault="008134EB">
            <w:pPr>
              <w:pStyle w:val="TableParagraph"/>
              <w:spacing w:before="115"/>
              <w:ind w:left="50"/>
            </w:pPr>
            <w:r>
              <w:t>Federal</w:t>
            </w:r>
            <w:r>
              <w:rPr>
                <w:spacing w:val="-7"/>
              </w:rPr>
              <w:t xml:space="preserve"> </w:t>
            </w:r>
            <w:r>
              <w:t>Debt</w:t>
            </w:r>
            <w:r>
              <w:rPr>
                <w:spacing w:val="-7"/>
              </w:rPr>
              <w:t xml:space="preserve"> </w:t>
            </w:r>
            <w:r>
              <w:t>Collection</w:t>
            </w:r>
            <w:r>
              <w:rPr>
                <w:spacing w:val="-8"/>
              </w:rPr>
              <w:t xml:space="preserve"> </w:t>
            </w:r>
            <w:r>
              <w:t>Authorities,</w:t>
            </w:r>
            <w:r>
              <w:rPr>
                <w:spacing w:val="-8"/>
              </w:rPr>
              <w:t xml:space="preserve"> </w:t>
            </w:r>
            <w:r>
              <w:t>as</w:t>
            </w:r>
            <w:r>
              <w:rPr>
                <w:spacing w:val="-6"/>
              </w:rPr>
              <w:t xml:space="preserve"> </w:t>
            </w:r>
            <w:r>
              <w:t>Provided</w:t>
            </w:r>
            <w:r>
              <w:rPr>
                <w:spacing w:val="-8"/>
              </w:rPr>
              <w:t xml:space="preserve"> </w:t>
            </w:r>
            <w:r>
              <w:t>in</w:t>
            </w:r>
            <w:r>
              <w:rPr>
                <w:spacing w:val="-7"/>
              </w:rPr>
              <w:t xml:space="preserve"> </w:t>
            </w:r>
            <w:r>
              <w:t>31</w:t>
            </w:r>
            <w:r>
              <w:rPr>
                <w:spacing w:val="-7"/>
              </w:rPr>
              <w:t xml:space="preserve"> </w:t>
            </w:r>
            <w:r>
              <w:t>U.S.C.</w:t>
            </w:r>
            <w:r>
              <w:rPr>
                <w:spacing w:val="-7"/>
              </w:rPr>
              <w:t xml:space="preserve"> </w:t>
            </w:r>
            <w:r>
              <w:t>Chapter</w:t>
            </w:r>
            <w:r>
              <w:rPr>
                <w:spacing w:val="-7"/>
              </w:rPr>
              <w:t xml:space="preserve"> </w:t>
            </w:r>
            <w:r>
              <w:rPr>
                <w:spacing w:val="-5"/>
              </w:rPr>
              <w:t>37</w:t>
            </w:r>
          </w:p>
        </w:tc>
        <w:tc>
          <w:tcPr>
            <w:tcW w:w="944" w:type="dxa"/>
          </w:tcPr>
          <w:p w14:paraId="0DFDB4D7" w14:textId="77777777" w:rsidR="00046465" w:rsidRDefault="008134EB">
            <w:pPr>
              <w:pStyle w:val="TableParagraph"/>
              <w:spacing w:before="115"/>
              <w:ind w:right="103"/>
              <w:jc w:val="right"/>
            </w:pPr>
            <w:r>
              <w:rPr>
                <w:spacing w:val="-5"/>
              </w:rPr>
              <w:t>805</w:t>
            </w:r>
          </w:p>
        </w:tc>
      </w:tr>
      <w:tr w:rsidR="00046465" w14:paraId="0DFDB4DB" w14:textId="77777777">
        <w:trPr>
          <w:trHeight w:val="493"/>
        </w:trPr>
        <w:tc>
          <w:tcPr>
            <w:tcW w:w="7699" w:type="dxa"/>
          </w:tcPr>
          <w:p w14:paraId="0DFDB4D9" w14:textId="77777777" w:rsidR="00046465" w:rsidRDefault="008134EB">
            <w:pPr>
              <w:pStyle w:val="TableParagraph"/>
              <w:spacing w:before="116"/>
              <w:ind w:left="50"/>
            </w:pPr>
            <w:r>
              <w:t>Prompt</w:t>
            </w:r>
            <w:r>
              <w:rPr>
                <w:spacing w:val="-7"/>
              </w:rPr>
              <w:t xml:space="preserve"> </w:t>
            </w:r>
            <w:r>
              <w:t>Payment</w:t>
            </w:r>
            <w:r>
              <w:rPr>
                <w:spacing w:val="-6"/>
              </w:rPr>
              <w:t xml:space="preserve"> </w:t>
            </w:r>
            <w:r>
              <w:t>Act</w:t>
            </w:r>
            <w:r>
              <w:rPr>
                <w:spacing w:val="-6"/>
              </w:rPr>
              <w:t xml:space="preserve"> </w:t>
            </w:r>
            <w:r>
              <w:t>(PPA),</w:t>
            </w:r>
            <w:r>
              <w:rPr>
                <w:spacing w:val="-6"/>
              </w:rPr>
              <w:t xml:space="preserve"> </w:t>
            </w:r>
            <w:r>
              <w:t>as</w:t>
            </w:r>
            <w:r>
              <w:rPr>
                <w:spacing w:val="-6"/>
              </w:rPr>
              <w:t xml:space="preserve"> </w:t>
            </w:r>
            <w:r>
              <w:t>Provided</w:t>
            </w:r>
            <w:r>
              <w:rPr>
                <w:spacing w:val="-6"/>
              </w:rPr>
              <w:t xml:space="preserve"> </w:t>
            </w:r>
            <w:r>
              <w:t>in</w:t>
            </w:r>
            <w:r>
              <w:rPr>
                <w:spacing w:val="-6"/>
              </w:rPr>
              <w:t xml:space="preserve"> </w:t>
            </w:r>
            <w:r>
              <w:t>31</w:t>
            </w:r>
            <w:r>
              <w:rPr>
                <w:spacing w:val="-7"/>
              </w:rPr>
              <w:t xml:space="preserve"> </w:t>
            </w:r>
            <w:r>
              <w:t>U.S.C.</w:t>
            </w:r>
            <w:r>
              <w:rPr>
                <w:spacing w:val="-6"/>
              </w:rPr>
              <w:t xml:space="preserve"> </w:t>
            </w:r>
            <w:r>
              <w:t>Chapter</w:t>
            </w:r>
            <w:r>
              <w:rPr>
                <w:spacing w:val="-6"/>
              </w:rPr>
              <w:t xml:space="preserve"> </w:t>
            </w:r>
            <w:r>
              <w:rPr>
                <w:spacing w:val="-5"/>
              </w:rPr>
              <w:t>39</w:t>
            </w:r>
          </w:p>
        </w:tc>
        <w:tc>
          <w:tcPr>
            <w:tcW w:w="944" w:type="dxa"/>
          </w:tcPr>
          <w:p w14:paraId="0DFDB4DA" w14:textId="77777777" w:rsidR="00046465" w:rsidRDefault="008134EB">
            <w:pPr>
              <w:pStyle w:val="TableParagraph"/>
              <w:spacing w:before="116"/>
              <w:ind w:right="103"/>
              <w:jc w:val="right"/>
            </w:pPr>
            <w:r>
              <w:rPr>
                <w:spacing w:val="-5"/>
              </w:rPr>
              <w:t>806</w:t>
            </w:r>
          </w:p>
        </w:tc>
      </w:tr>
      <w:tr w:rsidR="00046465" w14:paraId="0DFDB4DE" w14:textId="77777777">
        <w:trPr>
          <w:trHeight w:val="746"/>
        </w:trPr>
        <w:tc>
          <w:tcPr>
            <w:tcW w:w="7699" w:type="dxa"/>
          </w:tcPr>
          <w:p w14:paraId="0DFDB4DC" w14:textId="77777777" w:rsidR="00046465" w:rsidRDefault="008134EB">
            <w:pPr>
              <w:pStyle w:val="TableParagraph"/>
              <w:spacing w:before="116"/>
              <w:ind w:left="50" w:right="439"/>
            </w:pPr>
            <w:r>
              <w:t>Pay</w:t>
            </w:r>
            <w:r>
              <w:rPr>
                <w:spacing w:val="-5"/>
              </w:rPr>
              <w:t xml:space="preserve"> </w:t>
            </w:r>
            <w:r>
              <w:t>and</w:t>
            </w:r>
            <w:r>
              <w:rPr>
                <w:spacing w:val="-5"/>
              </w:rPr>
              <w:t xml:space="preserve"> </w:t>
            </w:r>
            <w:r>
              <w:t>Allowance</w:t>
            </w:r>
            <w:r>
              <w:rPr>
                <w:spacing w:val="-5"/>
              </w:rPr>
              <w:t xml:space="preserve"> </w:t>
            </w:r>
            <w:r>
              <w:t>System</w:t>
            </w:r>
            <w:r>
              <w:rPr>
                <w:spacing w:val="-6"/>
              </w:rPr>
              <w:t xml:space="preserve"> </w:t>
            </w:r>
            <w:r>
              <w:t>for</w:t>
            </w:r>
            <w:r>
              <w:rPr>
                <w:spacing w:val="-5"/>
              </w:rPr>
              <w:t xml:space="preserve"> </w:t>
            </w:r>
            <w:r>
              <w:t>Civilian</w:t>
            </w:r>
            <w:r>
              <w:rPr>
                <w:spacing w:val="-5"/>
              </w:rPr>
              <w:t xml:space="preserve"> </w:t>
            </w:r>
            <w:r>
              <w:t>Employees,</w:t>
            </w:r>
            <w:r>
              <w:rPr>
                <w:spacing w:val="-5"/>
              </w:rPr>
              <w:t xml:space="preserve"> </w:t>
            </w:r>
            <w:r>
              <w:t>as</w:t>
            </w:r>
            <w:r>
              <w:rPr>
                <w:spacing w:val="-5"/>
              </w:rPr>
              <w:t xml:space="preserve"> </w:t>
            </w:r>
            <w:r>
              <w:t>Provided</w:t>
            </w:r>
            <w:r>
              <w:rPr>
                <w:spacing w:val="-5"/>
              </w:rPr>
              <w:t xml:space="preserve"> </w:t>
            </w:r>
            <w:r>
              <w:t>Primarily in 5 U.S.C. Chapters 51-59</w:t>
            </w:r>
          </w:p>
        </w:tc>
        <w:tc>
          <w:tcPr>
            <w:tcW w:w="944" w:type="dxa"/>
          </w:tcPr>
          <w:p w14:paraId="0DFDB4DD" w14:textId="77777777" w:rsidR="00046465" w:rsidRDefault="008134EB">
            <w:pPr>
              <w:pStyle w:val="TableParagraph"/>
              <w:spacing w:before="116"/>
              <w:ind w:right="103"/>
              <w:jc w:val="right"/>
            </w:pPr>
            <w:r>
              <w:rPr>
                <w:spacing w:val="-5"/>
              </w:rPr>
              <w:t>807</w:t>
            </w:r>
          </w:p>
        </w:tc>
      </w:tr>
      <w:tr w:rsidR="00046465" w14:paraId="0DFDB4E1" w14:textId="77777777">
        <w:trPr>
          <w:trHeight w:val="492"/>
        </w:trPr>
        <w:tc>
          <w:tcPr>
            <w:tcW w:w="7699" w:type="dxa"/>
          </w:tcPr>
          <w:p w14:paraId="0DFDB4DF" w14:textId="77777777" w:rsidR="00046465" w:rsidRDefault="008134EB">
            <w:pPr>
              <w:pStyle w:val="TableParagraph"/>
              <w:spacing w:before="116"/>
              <w:ind w:left="50"/>
            </w:pPr>
            <w:r>
              <w:t>Civil</w:t>
            </w:r>
            <w:r>
              <w:rPr>
                <w:spacing w:val="-7"/>
              </w:rPr>
              <w:t xml:space="preserve"> </w:t>
            </w:r>
            <w:r>
              <w:t>Service</w:t>
            </w:r>
            <w:r>
              <w:rPr>
                <w:spacing w:val="-8"/>
              </w:rPr>
              <w:t xml:space="preserve"> </w:t>
            </w:r>
            <w:r>
              <w:t>Retirement</w:t>
            </w:r>
            <w:r>
              <w:rPr>
                <w:spacing w:val="-7"/>
              </w:rPr>
              <w:t xml:space="preserve"> </w:t>
            </w:r>
            <w:r>
              <w:t>Act</w:t>
            </w:r>
            <w:r>
              <w:rPr>
                <w:spacing w:val="-7"/>
              </w:rPr>
              <w:t xml:space="preserve"> </w:t>
            </w:r>
            <w:r>
              <w:t>(CSRA),</w:t>
            </w:r>
            <w:r>
              <w:rPr>
                <w:spacing w:val="-6"/>
              </w:rPr>
              <w:t xml:space="preserve"> </w:t>
            </w:r>
            <w:r>
              <w:t>as</w:t>
            </w:r>
            <w:r>
              <w:rPr>
                <w:spacing w:val="-7"/>
              </w:rPr>
              <w:t xml:space="preserve"> </w:t>
            </w:r>
            <w:r>
              <w:t>Provided</w:t>
            </w:r>
            <w:r>
              <w:rPr>
                <w:spacing w:val="-8"/>
              </w:rPr>
              <w:t xml:space="preserve"> </w:t>
            </w:r>
            <w:r>
              <w:t>in</w:t>
            </w:r>
            <w:r>
              <w:rPr>
                <w:spacing w:val="-7"/>
              </w:rPr>
              <w:t xml:space="preserve"> </w:t>
            </w:r>
            <w:r>
              <w:t>5</w:t>
            </w:r>
            <w:r>
              <w:rPr>
                <w:spacing w:val="-7"/>
              </w:rPr>
              <w:t xml:space="preserve"> </w:t>
            </w:r>
            <w:r>
              <w:t>U.S.C.</w:t>
            </w:r>
            <w:r>
              <w:rPr>
                <w:spacing w:val="-6"/>
              </w:rPr>
              <w:t xml:space="preserve"> </w:t>
            </w:r>
            <w:r>
              <w:t>Chapter</w:t>
            </w:r>
            <w:r>
              <w:rPr>
                <w:spacing w:val="-7"/>
              </w:rPr>
              <w:t xml:space="preserve"> </w:t>
            </w:r>
            <w:r>
              <w:rPr>
                <w:spacing w:val="-5"/>
              </w:rPr>
              <w:t>83</w:t>
            </w:r>
          </w:p>
        </w:tc>
        <w:tc>
          <w:tcPr>
            <w:tcW w:w="944" w:type="dxa"/>
          </w:tcPr>
          <w:p w14:paraId="0DFDB4E0" w14:textId="77777777" w:rsidR="00046465" w:rsidRDefault="008134EB">
            <w:pPr>
              <w:pStyle w:val="TableParagraph"/>
              <w:spacing w:before="116"/>
              <w:ind w:right="103"/>
              <w:jc w:val="right"/>
            </w:pPr>
            <w:r>
              <w:rPr>
                <w:spacing w:val="-5"/>
              </w:rPr>
              <w:t>808</w:t>
            </w:r>
          </w:p>
        </w:tc>
      </w:tr>
      <w:tr w:rsidR="00046465" w14:paraId="0DFDB4E4" w14:textId="77777777">
        <w:trPr>
          <w:trHeight w:val="745"/>
        </w:trPr>
        <w:tc>
          <w:tcPr>
            <w:tcW w:w="7699" w:type="dxa"/>
          </w:tcPr>
          <w:p w14:paraId="0DFDB4E2" w14:textId="77777777" w:rsidR="00046465" w:rsidRDefault="008134EB">
            <w:pPr>
              <w:pStyle w:val="TableParagraph"/>
              <w:spacing w:before="115"/>
              <w:ind w:left="50"/>
            </w:pPr>
            <w:r>
              <w:t>Federal</w:t>
            </w:r>
            <w:r>
              <w:rPr>
                <w:spacing w:val="-4"/>
              </w:rPr>
              <w:t xml:space="preserve"> </w:t>
            </w:r>
            <w:r>
              <w:t>Employees</w:t>
            </w:r>
            <w:r>
              <w:rPr>
                <w:spacing w:val="-4"/>
              </w:rPr>
              <w:t xml:space="preserve"> </w:t>
            </w:r>
            <w:r>
              <w:t>Health</w:t>
            </w:r>
            <w:r>
              <w:rPr>
                <w:spacing w:val="-4"/>
              </w:rPr>
              <w:t xml:space="preserve"> </w:t>
            </w:r>
            <w:r>
              <w:t>Benefits</w:t>
            </w:r>
            <w:r>
              <w:rPr>
                <w:spacing w:val="-5"/>
              </w:rPr>
              <w:t xml:space="preserve"> </w:t>
            </w:r>
            <w:r>
              <w:t>Act</w:t>
            </w:r>
            <w:r>
              <w:rPr>
                <w:spacing w:val="-4"/>
              </w:rPr>
              <w:t xml:space="preserve"> </w:t>
            </w:r>
            <w:r>
              <w:t>(FEHBA),</w:t>
            </w:r>
            <w:r>
              <w:rPr>
                <w:spacing w:val="-4"/>
              </w:rPr>
              <w:t xml:space="preserve"> </w:t>
            </w:r>
            <w:r>
              <w:t>as</w:t>
            </w:r>
            <w:r>
              <w:rPr>
                <w:spacing w:val="-4"/>
              </w:rPr>
              <w:t xml:space="preserve"> </w:t>
            </w:r>
            <w:r>
              <w:t>Provided</w:t>
            </w:r>
            <w:r>
              <w:rPr>
                <w:spacing w:val="-4"/>
              </w:rPr>
              <w:t xml:space="preserve"> </w:t>
            </w:r>
            <w:r>
              <w:t>in</w:t>
            </w:r>
            <w:r>
              <w:rPr>
                <w:spacing w:val="-4"/>
              </w:rPr>
              <w:t xml:space="preserve"> </w:t>
            </w:r>
            <w:r>
              <w:t>5</w:t>
            </w:r>
            <w:r>
              <w:rPr>
                <w:spacing w:val="-4"/>
              </w:rPr>
              <w:t xml:space="preserve"> </w:t>
            </w:r>
            <w:r>
              <w:t>U.S.C. Chapter 89</w:t>
            </w:r>
          </w:p>
        </w:tc>
        <w:tc>
          <w:tcPr>
            <w:tcW w:w="944" w:type="dxa"/>
          </w:tcPr>
          <w:p w14:paraId="0DFDB4E3" w14:textId="77777777" w:rsidR="00046465" w:rsidRDefault="008134EB">
            <w:pPr>
              <w:pStyle w:val="TableParagraph"/>
              <w:spacing w:before="117"/>
              <w:ind w:right="103"/>
              <w:jc w:val="right"/>
            </w:pPr>
            <w:r>
              <w:rPr>
                <w:spacing w:val="-5"/>
              </w:rPr>
              <w:t>809</w:t>
            </w:r>
          </w:p>
        </w:tc>
      </w:tr>
      <w:tr w:rsidR="00046465" w14:paraId="0DFDB4E7" w14:textId="77777777">
        <w:trPr>
          <w:trHeight w:val="746"/>
        </w:trPr>
        <w:tc>
          <w:tcPr>
            <w:tcW w:w="7699" w:type="dxa"/>
          </w:tcPr>
          <w:p w14:paraId="0DFDB4E5" w14:textId="77777777" w:rsidR="00046465" w:rsidRDefault="008134EB">
            <w:pPr>
              <w:pStyle w:val="TableParagraph"/>
              <w:spacing w:before="116"/>
              <w:ind w:left="50"/>
            </w:pPr>
            <w:r>
              <w:t>Federal</w:t>
            </w:r>
            <w:r>
              <w:rPr>
                <w:spacing w:val="-5"/>
              </w:rPr>
              <w:t xml:space="preserve"> </w:t>
            </w:r>
            <w:r>
              <w:t>Employees'</w:t>
            </w:r>
            <w:r>
              <w:rPr>
                <w:spacing w:val="-5"/>
              </w:rPr>
              <w:t xml:space="preserve"> </w:t>
            </w:r>
            <w:r>
              <w:t>Compensation</w:t>
            </w:r>
            <w:r>
              <w:rPr>
                <w:spacing w:val="-5"/>
              </w:rPr>
              <w:t xml:space="preserve"> </w:t>
            </w:r>
            <w:r>
              <w:t>Act</w:t>
            </w:r>
            <w:r>
              <w:rPr>
                <w:spacing w:val="-5"/>
              </w:rPr>
              <w:t xml:space="preserve"> </w:t>
            </w:r>
            <w:r>
              <w:t>(FECA),</w:t>
            </w:r>
            <w:r>
              <w:rPr>
                <w:spacing w:val="-4"/>
              </w:rPr>
              <w:t xml:space="preserve"> </w:t>
            </w:r>
            <w:r>
              <w:t>as</w:t>
            </w:r>
            <w:r>
              <w:rPr>
                <w:spacing w:val="-4"/>
              </w:rPr>
              <w:t xml:space="preserve"> </w:t>
            </w:r>
            <w:r>
              <w:t>Provided</w:t>
            </w:r>
            <w:r>
              <w:rPr>
                <w:spacing w:val="-6"/>
              </w:rPr>
              <w:t xml:space="preserve"> </w:t>
            </w:r>
            <w:r>
              <w:t>in</w:t>
            </w:r>
            <w:r>
              <w:rPr>
                <w:spacing w:val="-5"/>
              </w:rPr>
              <w:t xml:space="preserve"> </w:t>
            </w:r>
            <w:r>
              <w:t>5</w:t>
            </w:r>
            <w:r>
              <w:rPr>
                <w:spacing w:val="-5"/>
              </w:rPr>
              <w:t xml:space="preserve"> </w:t>
            </w:r>
            <w:r>
              <w:t>U.S.C. Chapter 81</w:t>
            </w:r>
          </w:p>
        </w:tc>
        <w:tc>
          <w:tcPr>
            <w:tcW w:w="944" w:type="dxa"/>
          </w:tcPr>
          <w:p w14:paraId="0DFDB4E6" w14:textId="77777777" w:rsidR="00046465" w:rsidRDefault="008134EB">
            <w:pPr>
              <w:pStyle w:val="TableParagraph"/>
              <w:spacing w:before="116"/>
              <w:ind w:right="103"/>
              <w:jc w:val="right"/>
            </w:pPr>
            <w:r>
              <w:rPr>
                <w:spacing w:val="-5"/>
              </w:rPr>
              <w:t>810</w:t>
            </w:r>
          </w:p>
        </w:tc>
      </w:tr>
      <w:tr w:rsidR="00046465" w14:paraId="0DFDB4EB" w14:textId="77777777">
        <w:trPr>
          <w:trHeight w:val="622"/>
        </w:trPr>
        <w:tc>
          <w:tcPr>
            <w:tcW w:w="7699" w:type="dxa"/>
          </w:tcPr>
          <w:p w14:paraId="0DFDB4E8" w14:textId="77777777" w:rsidR="00046465" w:rsidRDefault="008134EB">
            <w:pPr>
              <w:pStyle w:val="TableParagraph"/>
              <w:spacing w:before="116"/>
              <w:ind w:left="50"/>
            </w:pPr>
            <w:r>
              <w:t>Federal</w:t>
            </w:r>
            <w:r>
              <w:rPr>
                <w:spacing w:val="-8"/>
              </w:rPr>
              <w:t xml:space="preserve"> </w:t>
            </w:r>
            <w:r>
              <w:t>Employees’</w:t>
            </w:r>
            <w:r>
              <w:rPr>
                <w:spacing w:val="-8"/>
              </w:rPr>
              <w:t xml:space="preserve"> </w:t>
            </w:r>
            <w:r>
              <w:t>Retirement</w:t>
            </w:r>
            <w:r>
              <w:rPr>
                <w:spacing w:val="-7"/>
              </w:rPr>
              <w:t xml:space="preserve"> </w:t>
            </w:r>
            <w:r>
              <w:t>System</w:t>
            </w:r>
            <w:r>
              <w:rPr>
                <w:spacing w:val="-9"/>
              </w:rPr>
              <w:t xml:space="preserve"> </w:t>
            </w:r>
            <w:r>
              <w:t>Act</w:t>
            </w:r>
            <w:r>
              <w:rPr>
                <w:spacing w:val="-7"/>
              </w:rPr>
              <w:t xml:space="preserve"> </w:t>
            </w:r>
            <w:r>
              <w:t>(FERSA),</w:t>
            </w:r>
            <w:r>
              <w:rPr>
                <w:spacing w:val="-8"/>
              </w:rPr>
              <w:t xml:space="preserve"> </w:t>
            </w:r>
            <w:r>
              <w:t>as</w:t>
            </w:r>
            <w:r>
              <w:rPr>
                <w:spacing w:val="-8"/>
              </w:rPr>
              <w:t xml:space="preserve"> </w:t>
            </w:r>
            <w:r>
              <w:t>Provided</w:t>
            </w:r>
            <w:r>
              <w:rPr>
                <w:spacing w:val="-7"/>
              </w:rPr>
              <w:t xml:space="preserve"> </w:t>
            </w:r>
            <w:r>
              <w:t>in</w:t>
            </w:r>
            <w:r>
              <w:rPr>
                <w:spacing w:val="-8"/>
              </w:rPr>
              <w:t xml:space="preserve"> </w:t>
            </w:r>
            <w:r>
              <w:rPr>
                <w:spacing w:val="-10"/>
              </w:rPr>
              <w:t>5</w:t>
            </w:r>
          </w:p>
          <w:p w14:paraId="0DFDB4E9" w14:textId="77777777" w:rsidR="00046465" w:rsidRDefault="008134EB">
            <w:pPr>
              <w:pStyle w:val="TableParagraph"/>
              <w:spacing w:line="233" w:lineRule="exact"/>
              <w:ind w:left="50"/>
            </w:pPr>
            <w:r>
              <w:t>U.S.C.</w:t>
            </w:r>
            <w:r>
              <w:rPr>
                <w:spacing w:val="-9"/>
              </w:rPr>
              <w:t xml:space="preserve"> </w:t>
            </w:r>
            <w:r>
              <w:t>Chapter</w:t>
            </w:r>
            <w:r>
              <w:rPr>
                <w:spacing w:val="-9"/>
              </w:rPr>
              <w:t xml:space="preserve"> </w:t>
            </w:r>
            <w:r>
              <w:rPr>
                <w:spacing w:val="-5"/>
              </w:rPr>
              <w:t>84</w:t>
            </w:r>
          </w:p>
        </w:tc>
        <w:tc>
          <w:tcPr>
            <w:tcW w:w="944" w:type="dxa"/>
          </w:tcPr>
          <w:p w14:paraId="0DFDB4EA" w14:textId="77777777" w:rsidR="00046465" w:rsidRDefault="008134EB">
            <w:pPr>
              <w:pStyle w:val="TableParagraph"/>
              <w:spacing w:before="116"/>
              <w:ind w:right="103"/>
              <w:jc w:val="right"/>
            </w:pPr>
            <w:r>
              <w:rPr>
                <w:spacing w:val="-5"/>
              </w:rPr>
              <w:t>811</w:t>
            </w:r>
          </w:p>
        </w:tc>
      </w:tr>
    </w:tbl>
    <w:p w14:paraId="0DFDB4EC" w14:textId="77777777" w:rsidR="00046465" w:rsidRDefault="00046465">
      <w:pPr>
        <w:pStyle w:val="TableParagraph"/>
        <w:jc w:val="right"/>
        <w:sectPr w:rsidR="00046465">
          <w:headerReference w:type="default" r:id="rId110"/>
          <w:footerReference w:type="default" r:id="rId111"/>
          <w:pgSz w:w="12240" w:h="15840"/>
          <w:pgMar w:top="1340" w:right="720" w:bottom="940" w:left="1080" w:header="721" w:footer="742" w:gutter="0"/>
          <w:cols w:space="720"/>
        </w:sectPr>
      </w:pPr>
    </w:p>
    <w:p w14:paraId="0DFDB4ED" w14:textId="77777777" w:rsidR="00046465" w:rsidRDefault="008134EB" w:rsidP="00C75B49">
      <w:pPr>
        <w:pStyle w:val="Heading3"/>
      </w:pPr>
      <w:bookmarkStart w:id="159" w:name="802_–_General_Compliance_Checklist"/>
      <w:bookmarkStart w:id="160" w:name="_bookmark62"/>
      <w:bookmarkEnd w:id="159"/>
      <w:bookmarkEnd w:id="160"/>
      <w:r>
        <w:lastRenderedPageBreak/>
        <w:t>802</w:t>
      </w:r>
      <w:r>
        <w:rPr>
          <w:spacing w:val="-6"/>
        </w:rPr>
        <w:t xml:space="preserve"> </w:t>
      </w:r>
      <w:r>
        <w:t>–</w:t>
      </w:r>
      <w:r>
        <w:rPr>
          <w:spacing w:val="-3"/>
        </w:rPr>
        <w:t xml:space="preserve"> </w:t>
      </w:r>
      <w:r>
        <w:t>General</w:t>
      </w:r>
      <w:r>
        <w:rPr>
          <w:spacing w:val="-5"/>
        </w:rPr>
        <w:t xml:space="preserve"> </w:t>
      </w:r>
      <w:r>
        <w:t>Compliance</w:t>
      </w:r>
      <w:r>
        <w:rPr>
          <w:spacing w:val="-3"/>
        </w:rPr>
        <w:t xml:space="preserve"> </w:t>
      </w:r>
      <w:r>
        <w:rPr>
          <w:spacing w:val="-2"/>
        </w:rPr>
        <w:t>Checklist</w:t>
      </w:r>
    </w:p>
    <w:p w14:paraId="0DFDB4EE" w14:textId="77777777" w:rsidR="00046465" w:rsidRDefault="008134EB">
      <w:pPr>
        <w:pStyle w:val="ListParagraph"/>
        <w:numPr>
          <w:ilvl w:val="0"/>
          <w:numId w:val="8"/>
        </w:numPr>
        <w:tabs>
          <w:tab w:val="left" w:pos="1710"/>
        </w:tabs>
        <w:spacing w:before="239"/>
        <w:ind w:right="767"/>
      </w:pPr>
      <w:r>
        <w:t>This</w:t>
      </w:r>
      <w:r>
        <w:rPr>
          <w:spacing w:val="-4"/>
        </w:rPr>
        <w:t xml:space="preserve"> </w:t>
      </w:r>
      <w:r>
        <w:t>section</w:t>
      </w:r>
      <w:r>
        <w:rPr>
          <w:spacing w:val="-5"/>
        </w:rPr>
        <w:t xml:space="preserve"> </w:t>
      </w:r>
      <w:r>
        <w:t>contains</w:t>
      </w:r>
      <w:r>
        <w:rPr>
          <w:spacing w:val="-3"/>
        </w:rPr>
        <w:t xml:space="preserve"> </w:t>
      </w:r>
      <w:r>
        <w:t>the</w:t>
      </w:r>
      <w:r>
        <w:rPr>
          <w:spacing w:val="-4"/>
        </w:rPr>
        <w:t xml:space="preserve"> </w:t>
      </w:r>
      <w:r>
        <w:t>General</w:t>
      </w:r>
      <w:r>
        <w:rPr>
          <w:spacing w:val="-4"/>
        </w:rPr>
        <w:t xml:space="preserve"> </w:t>
      </w:r>
      <w:r>
        <w:t>Compliance</w:t>
      </w:r>
      <w:r>
        <w:rPr>
          <w:spacing w:val="-4"/>
        </w:rPr>
        <w:t xml:space="preserve"> </w:t>
      </w:r>
      <w:r>
        <w:t>Checklist</w:t>
      </w:r>
      <w:r>
        <w:rPr>
          <w:spacing w:val="-4"/>
        </w:rPr>
        <w:t xml:space="preserve"> </w:t>
      </w:r>
      <w:r>
        <w:t>(Form</w:t>
      </w:r>
      <w:r>
        <w:rPr>
          <w:spacing w:val="-5"/>
        </w:rPr>
        <w:t xml:space="preserve"> </w:t>
      </w:r>
      <w:r>
        <w:t>802)</w:t>
      </w:r>
      <w:r>
        <w:rPr>
          <w:spacing w:val="-4"/>
        </w:rPr>
        <w:t xml:space="preserve"> </w:t>
      </w:r>
      <w:r>
        <w:t>for</w:t>
      </w:r>
      <w:r>
        <w:rPr>
          <w:spacing w:val="-4"/>
        </w:rPr>
        <w:t xml:space="preserve"> </w:t>
      </w:r>
      <w:r>
        <w:t>identifying laws and regulations for compliance testing (see FAM 245, Identify Significant Provisions of Applicable Laws, Regulations, Contracts, and Grant Agreements</w:t>
      </w:r>
      <w:r>
        <w:rPr>
          <w:i/>
        </w:rPr>
        <w:t xml:space="preserve">, </w:t>
      </w:r>
      <w:r>
        <w:t xml:space="preserve">and FAM 295 H, List of General Laws). This checklist assists the auditor in meeting the requirement in FAM 245.03 to obtain sufficient appropriate audit evidence regarding material amounts and disclosures in the financial statements that are determined by provisions of those laws, regulations, contracts, and grant agreements generally recognized to have a direct effect on their determination and thereby complying with GAGAS and AU-C 250, </w:t>
      </w:r>
      <w:r>
        <w:rPr>
          <w:i/>
        </w:rPr>
        <w:t>Consideration of Laws and Regulations in an Audit of Financial Statements</w:t>
      </w:r>
      <w:r>
        <w:t>.</w:t>
      </w:r>
    </w:p>
    <w:p w14:paraId="0DFDB4EF" w14:textId="77777777" w:rsidR="00046465" w:rsidRDefault="008134EB">
      <w:pPr>
        <w:pStyle w:val="ListParagraph"/>
        <w:numPr>
          <w:ilvl w:val="0"/>
          <w:numId w:val="8"/>
        </w:numPr>
        <w:tabs>
          <w:tab w:val="left" w:pos="1710"/>
        </w:tabs>
        <w:spacing w:before="145"/>
        <w:ind w:right="817"/>
      </w:pPr>
      <w:r>
        <w:t>The checklist contains frequently encountered laws that apply to many federal entities and procedures for identifying other laws and regulations for compliance testing (see</w:t>
      </w:r>
      <w:r>
        <w:rPr>
          <w:spacing w:val="-1"/>
        </w:rPr>
        <w:t xml:space="preserve"> </w:t>
      </w:r>
      <w:r>
        <w:t>FAM</w:t>
      </w:r>
      <w:r>
        <w:rPr>
          <w:spacing w:val="-1"/>
        </w:rPr>
        <w:t xml:space="preserve"> </w:t>
      </w:r>
      <w:r>
        <w:t>802.08). The compliance supplements in FAM</w:t>
      </w:r>
      <w:r>
        <w:rPr>
          <w:spacing w:val="-1"/>
        </w:rPr>
        <w:t xml:space="preserve"> </w:t>
      </w:r>
      <w:r>
        <w:t>803 through 811 provide detailed guidance for assessing the effectiveness of compliance controls and</w:t>
      </w:r>
      <w:r>
        <w:rPr>
          <w:spacing w:val="-5"/>
        </w:rPr>
        <w:t xml:space="preserve"> </w:t>
      </w:r>
      <w:r>
        <w:t>testing</w:t>
      </w:r>
      <w:r>
        <w:rPr>
          <w:spacing w:val="-6"/>
        </w:rPr>
        <w:t xml:space="preserve"> </w:t>
      </w:r>
      <w:r>
        <w:t>compliance</w:t>
      </w:r>
      <w:r>
        <w:rPr>
          <w:spacing w:val="-6"/>
        </w:rPr>
        <w:t xml:space="preserve"> </w:t>
      </w:r>
      <w:r>
        <w:t>with</w:t>
      </w:r>
      <w:r>
        <w:rPr>
          <w:spacing w:val="-5"/>
        </w:rPr>
        <w:t xml:space="preserve"> </w:t>
      </w:r>
      <w:r>
        <w:t>significant</w:t>
      </w:r>
      <w:r>
        <w:rPr>
          <w:spacing w:val="-5"/>
        </w:rPr>
        <w:t xml:space="preserve"> </w:t>
      </w:r>
      <w:r>
        <w:t>provisions</w:t>
      </w:r>
      <w:r>
        <w:rPr>
          <w:spacing w:val="-5"/>
        </w:rPr>
        <w:t xml:space="preserve"> </w:t>
      </w:r>
      <w:r>
        <w:t>of</w:t>
      </w:r>
      <w:r>
        <w:rPr>
          <w:spacing w:val="-5"/>
        </w:rPr>
        <w:t xml:space="preserve"> </w:t>
      </w:r>
      <w:r>
        <w:t>frequently</w:t>
      </w:r>
      <w:r>
        <w:rPr>
          <w:spacing w:val="-5"/>
        </w:rPr>
        <w:t xml:space="preserve"> </w:t>
      </w:r>
      <w:r>
        <w:t>encountered</w:t>
      </w:r>
      <w:r>
        <w:rPr>
          <w:spacing w:val="-5"/>
        </w:rPr>
        <w:t xml:space="preserve"> </w:t>
      </w:r>
      <w:r>
        <w:t>laws. The General Compliance Checklist and compliance supplements do not include guidance</w:t>
      </w:r>
      <w:r>
        <w:rPr>
          <w:spacing w:val="-3"/>
        </w:rPr>
        <w:t xml:space="preserve"> </w:t>
      </w:r>
      <w:r>
        <w:t>related</w:t>
      </w:r>
      <w:r>
        <w:rPr>
          <w:spacing w:val="-3"/>
        </w:rPr>
        <w:t xml:space="preserve"> </w:t>
      </w:r>
      <w:r>
        <w:t>to</w:t>
      </w:r>
      <w:r>
        <w:rPr>
          <w:spacing w:val="-3"/>
        </w:rPr>
        <w:t xml:space="preserve"> </w:t>
      </w:r>
      <w:r>
        <w:t>contracts</w:t>
      </w:r>
      <w:r>
        <w:rPr>
          <w:spacing w:val="-3"/>
        </w:rPr>
        <w:t xml:space="preserve"> </w:t>
      </w:r>
      <w:r>
        <w:t>and</w:t>
      </w:r>
      <w:r>
        <w:rPr>
          <w:spacing w:val="-3"/>
        </w:rPr>
        <w:t xml:space="preserve"> </w:t>
      </w:r>
      <w:r>
        <w:t>grant</w:t>
      </w:r>
      <w:r>
        <w:rPr>
          <w:spacing w:val="-3"/>
        </w:rPr>
        <w:t xml:space="preserve"> </w:t>
      </w:r>
      <w:r>
        <w:t>agreements,</w:t>
      </w:r>
      <w:r>
        <w:rPr>
          <w:spacing w:val="-3"/>
        </w:rPr>
        <w:t xml:space="preserve"> </w:t>
      </w:r>
      <w:r>
        <w:t>which</w:t>
      </w:r>
      <w:r>
        <w:rPr>
          <w:spacing w:val="-3"/>
        </w:rPr>
        <w:t xml:space="preserve"> </w:t>
      </w:r>
      <w:r>
        <w:t>are</w:t>
      </w:r>
      <w:r>
        <w:rPr>
          <w:spacing w:val="-3"/>
        </w:rPr>
        <w:t xml:space="preserve"> </w:t>
      </w:r>
      <w:r>
        <w:t>discussed</w:t>
      </w:r>
      <w:r>
        <w:rPr>
          <w:spacing w:val="-3"/>
        </w:rPr>
        <w:t xml:space="preserve"> </w:t>
      </w:r>
      <w:r>
        <w:t>in</w:t>
      </w:r>
      <w:r>
        <w:rPr>
          <w:spacing w:val="-3"/>
        </w:rPr>
        <w:t xml:space="preserve"> </w:t>
      </w:r>
      <w:r>
        <w:t xml:space="preserve">FAM </w:t>
      </w:r>
      <w:r>
        <w:rPr>
          <w:spacing w:val="-4"/>
        </w:rPr>
        <w:t>245.</w:t>
      </w:r>
    </w:p>
    <w:p w14:paraId="0DFDB4F0" w14:textId="77777777" w:rsidR="00046465" w:rsidRDefault="008134EB">
      <w:pPr>
        <w:pStyle w:val="ListParagraph"/>
        <w:numPr>
          <w:ilvl w:val="0"/>
          <w:numId w:val="8"/>
        </w:numPr>
        <w:tabs>
          <w:tab w:val="left" w:pos="1710"/>
        </w:tabs>
        <w:spacing w:before="144"/>
        <w:ind w:right="1022"/>
      </w:pPr>
      <w:r>
        <w:t>The auditor generally should complete the General Compliance Checklist or its equivalent</w:t>
      </w:r>
      <w:r>
        <w:rPr>
          <w:spacing w:val="-4"/>
        </w:rPr>
        <w:t xml:space="preserve"> </w:t>
      </w:r>
      <w:r>
        <w:t>for</w:t>
      </w:r>
      <w:r>
        <w:rPr>
          <w:spacing w:val="-4"/>
        </w:rPr>
        <w:t xml:space="preserve"> </w:t>
      </w:r>
      <w:r>
        <w:t>federal</w:t>
      </w:r>
      <w:r>
        <w:rPr>
          <w:spacing w:val="-4"/>
        </w:rPr>
        <w:t xml:space="preserve"> </w:t>
      </w:r>
      <w:r>
        <w:t>financial</w:t>
      </w:r>
      <w:r>
        <w:rPr>
          <w:spacing w:val="-4"/>
        </w:rPr>
        <w:t xml:space="preserve"> </w:t>
      </w:r>
      <w:r>
        <w:t>statement</w:t>
      </w:r>
      <w:r>
        <w:rPr>
          <w:spacing w:val="-4"/>
        </w:rPr>
        <w:t xml:space="preserve"> </w:t>
      </w:r>
      <w:r>
        <w:t>audits.</w:t>
      </w:r>
      <w:r>
        <w:rPr>
          <w:spacing w:val="-4"/>
        </w:rPr>
        <w:t xml:space="preserve"> </w:t>
      </w:r>
      <w:r>
        <w:t>If</w:t>
      </w:r>
      <w:r>
        <w:rPr>
          <w:spacing w:val="-4"/>
        </w:rPr>
        <w:t xml:space="preserve"> </w:t>
      </w:r>
      <w:r>
        <w:t>the</w:t>
      </w:r>
      <w:r>
        <w:rPr>
          <w:spacing w:val="-4"/>
        </w:rPr>
        <w:t xml:space="preserve"> </w:t>
      </w:r>
      <w:r>
        <w:t>auditor</w:t>
      </w:r>
      <w:r>
        <w:rPr>
          <w:spacing w:val="-4"/>
        </w:rPr>
        <w:t xml:space="preserve"> </w:t>
      </w:r>
      <w:r>
        <w:t>determines</w:t>
      </w:r>
      <w:r>
        <w:rPr>
          <w:spacing w:val="-4"/>
        </w:rPr>
        <w:t xml:space="preserve"> </w:t>
      </w:r>
      <w:r>
        <w:t>that</w:t>
      </w:r>
      <w:r>
        <w:rPr>
          <w:spacing w:val="-4"/>
        </w:rPr>
        <w:t xml:space="preserve"> </w:t>
      </w:r>
      <w:r>
        <w:t>a frequently encountered law listed on this checklist is significant for purposes of compliance testing, the auditor should also complete the corresponding compliance supplement.</w:t>
      </w:r>
    </w:p>
    <w:p w14:paraId="0DFDB4F1" w14:textId="77777777" w:rsidR="00046465" w:rsidRDefault="008134EB">
      <w:pPr>
        <w:pStyle w:val="ListParagraph"/>
        <w:numPr>
          <w:ilvl w:val="0"/>
          <w:numId w:val="8"/>
        </w:numPr>
        <w:tabs>
          <w:tab w:val="left" w:pos="1710"/>
        </w:tabs>
        <w:spacing w:before="144"/>
        <w:ind w:right="817"/>
      </w:pPr>
      <w:r>
        <w:t>To understand and evaluate compliance controls, the auditor should also follow the</w:t>
      </w:r>
      <w:r>
        <w:rPr>
          <w:spacing w:val="-4"/>
        </w:rPr>
        <w:t xml:space="preserve"> </w:t>
      </w:r>
      <w:r>
        <w:t>guidance</w:t>
      </w:r>
      <w:r>
        <w:rPr>
          <w:spacing w:val="-4"/>
        </w:rPr>
        <w:t xml:space="preserve"> </w:t>
      </w:r>
      <w:r>
        <w:t>in</w:t>
      </w:r>
      <w:r>
        <w:rPr>
          <w:spacing w:val="-4"/>
        </w:rPr>
        <w:t xml:space="preserve"> </w:t>
      </w:r>
      <w:r>
        <w:t>FAM</w:t>
      </w:r>
      <w:r>
        <w:rPr>
          <w:spacing w:val="-4"/>
        </w:rPr>
        <w:t xml:space="preserve"> </w:t>
      </w:r>
      <w:r>
        <w:t>260,</w:t>
      </w:r>
      <w:r>
        <w:rPr>
          <w:spacing w:val="-4"/>
        </w:rPr>
        <w:t xml:space="preserve"> </w:t>
      </w:r>
      <w:r>
        <w:t>Understand</w:t>
      </w:r>
      <w:r>
        <w:rPr>
          <w:spacing w:val="-4"/>
        </w:rPr>
        <w:t xml:space="preserve"> </w:t>
      </w:r>
      <w:r>
        <w:t>the</w:t>
      </w:r>
      <w:r>
        <w:rPr>
          <w:spacing w:val="-4"/>
        </w:rPr>
        <w:t xml:space="preserve"> </w:t>
      </w:r>
      <w:r>
        <w:t>Entity’s</w:t>
      </w:r>
      <w:r>
        <w:rPr>
          <w:spacing w:val="-4"/>
        </w:rPr>
        <w:t xml:space="preserve"> </w:t>
      </w:r>
      <w:r>
        <w:t>Internal</w:t>
      </w:r>
      <w:r>
        <w:rPr>
          <w:spacing w:val="-4"/>
        </w:rPr>
        <w:t xml:space="preserve"> </w:t>
      </w:r>
      <w:r>
        <w:t>Control,</w:t>
      </w:r>
      <w:r>
        <w:rPr>
          <w:spacing w:val="-4"/>
        </w:rPr>
        <w:t xml:space="preserve"> </w:t>
      </w:r>
      <w:r>
        <w:t>and</w:t>
      </w:r>
      <w:r>
        <w:rPr>
          <w:spacing w:val="-4"/>
        </w:rPr>
        <w:t xml:space="preserve"> </w:t>
      </w:r>
      <w:r>
        <w:t>FAM</w:t>
      </w:r>
      <w:r>
        <w:rPr>
          <w:spacing w:val="-4"/>
        </w:rPr>
        <w:t xml:space="preserve"> </w:t>
      </w:r>
      <w:r>
        <w:t>300, Internal Control Phase. The FAM also provides additional guidance on compliance considerations for all audit phases.</w:t>
      </w:r>
    </w:p>
    <w:p w14:paraId="0DFDB4F2" w14:textId="77777777" w:rsidR="00046465" w:rsidRDefault="008134EB">
      <w:pPr>
        <w:pStyle w:val="Heading4"/>
        <w:spacing w:before="144"/>
      </w:pPr>
      <w:bookmarkStart w:id="161" w:name="Instructions_for_General_Compliance_Chec"/>
      <w:bookmarkEnd w:id="161"/>
      <w:r>
        <w:t>Instructions</w:t>
      </w:r>
      <w:r>
        <w:rPr>
          <w:spacing w:val="-16"/>
        </w:rPr>
        <w:t xml:space="preserve"> </w:t>
      </w:r>
      <w:r>
        <w:t>for</w:t>
      </w:r>
      <w:r>
        <w:rPr>
          <w:spacing w:val="-14"/>
        </w:rPr>
        <w:t xml:space="preserve"> </w:t>
      </w:r>
      <w:r>
        <w:t>General</w:t>
      </w:r>
      <w:r>
        <w:rPr>
          <w:spacing w:val="-15"/>
        </w:rPr>
        <w:t xml:space="preserve"> </w:t>
      </w:r>
      <w:r>
        <w:t>Compliance</w:t>
      </w:r>
      <w:r>
        <w:rPr>
          <w:spacing w:val="-15"/>
        </w:rPr>
        <w:t xml:space="preserve"> </w:t>
      </w:r>
      <w:r>
        <w:rPr>
          <w:spacing w:val="-2"/>
        </w:rPr>
        <w:t>Checklist</w:t>
      </w:r>
    </w:p>
    <w:p w14:paraId="0DFDB4F3" w14:textId="77777777" w:rsidR="00046465" w:rsidRDefault="008134EB">
      <w:pPr>
        <w:pStyle w:val="ListParagraph"/>
        <w:numPr>
          <w:ilvl w:val="0"/>
          <w:numId w:val="8"/>
        </w:numPr>
        <w:tabs>
          <w:tab w:val="left" w:pos="1708"/>
          <w:tab w:val="left" w:pos="1710"/>
        </w:tabs>
        <w:spacing w:before="144"/>
        <w:ind w:right="1354"/>
        <w:jc w:val="both"/>
      </w:pPr>
      <w:r>
        <w:t>The</w:t>
      </w:r>
      <w:r>
        <w:rPr>
          <w:spacing w:val="-4"/>
        </w:rPr>
        <w:t xml:space="preserve"> </w:t>
      </w:r>
      <w:r>
        <w:t>checklist</w:t>
      </w:r>
      <w:r>
        <w:rPr>
          <w:spacing w:val="-4"/>
        </w:rPr>
        <w:t xml:space="preserve"> </w:t>
      </w:r>
      <w:r>
        <w:t>contains</w:t>
      </w:r>
      <w:r>
        <w:rPr>
          <w:spacing w:val="-4"/>
        </w:rPr>
        <w:t xml:space="preserve"> </w:t>
      </w:r>
      <w:r>
        <w:t>a</w:t>
      </w:r>
      <w:r>
        <w:rPr>
          <w:spacing w:val="-5"/>
        </w:rPr>
        <w:t xml:space="preserve"> </w:t>
      </w:r>
      <w:r>
        <w:t>summary</w:t>
      </w:r>
      <w:r>
        <w:rPr>
          <w:spacing w:val="-4"/>
        </w:rPr>
        <w:t xml:space="preserve"> </w:t>
      </w:r>
      <w:r>
        <w:t>for</w:t>
      </w:r>
      <w:r>
        <w:rPr>
          <w:spacing w:val="-3"/>
        </w:rPr>
        <w:t xml:space="preserve"> </w:t>
      </w:r>
      <w:r>
        <w:t>each</w:t>
      </w:r>
      <w:r>
        <w:rPr>
          <w:spacing w:val="-4"/>
        </w:rPr>
        <w:t xml:space="preserve"> </w:t>
      </w:r>
      <w:r>
        <w:t>frequently</w:t>
      </w:r>
      <w:r>
        <w:rPr>
          <w:spacing w:val="-4"/>
        </w:rPr>
        <w:t xml:space="preserve"> </w:t>
      </w:r>
      <w:r>
        <w:t>encountered</w:t>
      </w:r>
      <w:r>
        <w:rPr>
          <w:spacing w:val="-4"/>
        </w:rPr>
        <w:t xml:space="preserve"> </w:t>
      </w:r>
      <w:r>
        <w:t>law.</w:t>
      </w:r>
      <w:r>
        <w:rPr>
          <w:spacing w:val="-4"/>
        </w:rPr>
        <w:t xml:space="preserve"> </w:t>
      </w:r>
      <w:r>
        <w:t>The auditor indicates whether each law</w:t>
      </w:r>
      <w:r>
        <w:rPr>
          <w:spacing w:val="-1"/>
        </w:rPr>
        <w:t xml:space="preserve"> </w:t>
      </w:r>
      <w:r>
        <w:t>is</w:t>
      </w:r>
      <w:r>
        <w:rPr>
          <w:spacing w:val="-1"/>
        </w:rPr>
        <w:t xml:space="preserve"> </w:t>
      </w:r>
      <w:r>
        <w:t>significant for purposes</w:t>
      </w:r>
      <w:r>
        <w:rPr>
          <w:spacing w:val="-1"/>
        </w:rPr>
        <w:t xml:space="preserve"> </w:t>
      </w:r>
      <w:r>
        <w:t>of compliance testing by answering yes or no to the question in each summary.</w:t>
      </w:r>
    </w:p>
    <w:p w14:paraId="0DFDB4F4" w14:textId="77777777" w:rsidR="00046465" w:rsidRDefault="008134EB">
      <w:pPr>
        <w:pStyle w:val="ListParagraph"/>
        <w:numPr>
          <w:ilvl w:val="0"/>
          <w:numId w:val="8"/>
        </w:numPr>
        <w:tabs>
          <w:tab w:val="left" w:pos="1709"/>
        </w:tabs>
        <w:spacing w:before="143"/>
        <w:ind w:left="1709" w:hanging="720"/>
      </w:pPr>
      <w:r>
        <w:t>The</w:t>
      </w:r>
      <w:r>
        <w:rPr>
          <w:spacing w:val="-7"/>
        </w:rPr>
        <w:t xml:space="preserve"> </w:t>
      </w:r>
      <w:r>
        <w:t>auditor</w:t>
      </w:r>
      <w:r>
        <w:rPr>
          <w:spacing w:val="-8"/>
        </w:rPr>
        <w:t xml:space="preserve"> </w:t>
      </w:r>
      <w:r>
        <w:t>may</w:t>
      </w:r>
      <w:r>
        <w:rPr>
          <w:spacing w:val="-7"/>
        </w:rPr>
        <w:t xml:space="preserve"> </w:t>
      </w:r>
      <w:r>
        <w:t>use</w:t>
      </w:r>
      <w:r>
        <w:rPr>
          <w:spacing w:val="-6"/>
        </w:rPr>
        <w:t xml:space="preserve"> </w:t>
      </w:r>
      <w:r>
        <w:t>estimates</w:t>
      </w:r>
      <w:r>
        <w:rPr>
          <w:spacing w:val="-7"/>
        </w:rPr>
        <w:t xml:space="preserve"> </w:t>
      </w:r>
      <w:r>
        <w:t>or</w:t>
      </w:r>
      <w:r>
        <w:rPr>
          <w:spacing w:val="-7"/>
        </w:rPr>
        <w:t xml:space="preserve"> </w:t>
      </w:r>
      <w:r>
        <w:t>interim</w:t>
      </w:r>
      <w:r>
        <w:rPr>
          <w:spacing w:val="-7"/>
        </w:rPr>
        <w:t xml:space="preserve"> </w:t>
      </w:r>
      <w:r>
        <w:t>information</w:t>
      </w:r>
      <w:r>
        <w:rPr>
          <w:spacing w:val="-6"/>
        </w:rPr>
        <w:t xml:space="preserve"> </w:t>
      </w:r>
      <w:r>
        <w:t>in</w:t>
      </w:r>
      <w:r>
        <w:rPr>
          <w:spacing w:val="-7"/>
        </w:rPr>
        <w:t xml:space="preserve"> </w:t>
      </w:r>
      <w:r>
        <w:t>the</w:t>
      </w:r>
      <w:r>
        <w:rPr>
          <w:spacing w:val="-7"/>
        </w:rPr>
        <w:t xml:space="preserve"> </w:t>
      </w:r>
      <w:r>
        <w:t>preliminary</w:t>
      </w:r>
      <w:r>
        <w:rPr>
          <w:spacing w:val="-6"/>
        </w:rPr>
        <w:t xml:space="preserve"> </w:t>
      </w:r>
      <w:r>
        <w:rPr>
          <w:spacing w:val="-2"/>
        </w:rPr>
        <w:t>column.</w:t>
      </w:r>
    </w:p>
    <w:p w14:paraId="0DFDB4F5" w14:textId="77777777" w:rsidR="00046465" w:rsidRDefault="008134EB">
      <w:pPr>
        <w:pStyle w:val="BodyText"/>
        <w:spacing w:before="1"/>
        <w:ind w:left="1709" w:right="844"/>
      </w:pPr>
      <w:r>
        <w:t>The final amounts (based on the audited amounts or the final amounts of available</w:t>
      </w:r>
      <w:r>
        <w:rPr>
          <w:spacing w:val="-4"/>
        </w:rPr>
        <w:t xml:space="preserve"> </w:t>
      </w:r>
      <w:r>
        <w:t>budget</w:t>
      </w:r>
      <w:r>
        <w:rPr>
          <w:spacing w:val="-4"/>
        </w:rPr>
        <w:t xml:space="preserve"> </w:t>
      </w:r>
      <w:r>
        <w:t>authority)</w:t>
      </w:r>
      <w:r>
        <w:rPr>
          <w:spacing w:val="-4"/>
        </w:rPr>
        <w:t xml:space="preserve"> </w:t>
      </w:r>
      <w:r>
        <w:t>are</w:t>
      </w:r>
      <w:r>
        <w:rPr>
          <w:spacing w:val="-4"/>
        </w:rPr>
        <w:t xml:space="preserve"> </w:t>
      </w:r>
      <w:r>
        <w:t>used</w:t>
      </w:r>
      <w:r>
        <w:rPr>
          <w:spacing w:val="-4"/>
        </w:rPr>
        <w:t xml:space="preserve"> </w:t>
      </w:r>
      <w:r>
        <w:t>to</w:t>
      </w:r>
      <w:r>
        <w:rPr>
          <w:spacing w:val="-4"/>
        </w:rPr>
        <w:t xml:space="preserve"> </w:t>
      </w:r>
      <w:r>
        <w:t>determine</w:t>
      </w:r>
      <w:r>
        <w:rPr>
          <w:spacing w:val="-4"/>
        </w:rPr>
        <w:t xml:space="preserve"> </w:t>
      </w:r>
      <w:r>
        <w:t>whether</w:t>
      </w:r>
      <w:r>
        <w:rPr>
          <w:spacing w:val="-4"/>
        </w:rPr>
        <w:t xml:space="preserve"> </w:t>
      </w:r>
      <w:r>
        <w:t>all</w:t>
      </w:r>
      <w:r>
        <w:rPr>
          <w:spacing w:val="-4"/>
        </w:rPr>
        <w:t xml:space="preserve"> </w:t>
      </w:r>
      <w:r>
        <w:t>laws</w:t>
      </w:r>
      <w:r>
        <w:rPr>
          <w:spacing w:val="-4"/>
        </w:rPr>
        <w:t xml:space="preserve"> </w:t>
      </w:r>
      <w:r>
        <w:t>that</w:t>
      </w:r>
      <w:r>
        <w:rPr>
          <w:spacing w:val="-4"/>
        </w:rPr>
        <w:t xml:space="preserve"> </w:t>
      </w:r>
      <w:r>
        <w:t>would</w:t>
      </w:r>
      <w:r>
        <w:rPr>
          <w:spacing w:val="-4"/>
        </w:rPr>
        <w:t xml:space="preserve"> </w:t>
      </w:r>
      <w:r>
        <w:t>be significant in quantitative terms have been identified for control and compliance testing.</w:t>
      </w:r>
      <w:r>
        <w:rPr>
          <w:spacing w:val="-2"/>
        </w:rPr>
        <w:t xml:space="preserve"> </w:t>
      </w:r>
      <w:r>
        <w:t>The</w:t>
      </w:r>
      <w:r>
        <w:rPr>
          <w:spacing w:val="-3"/>
        </w:rPr>
        <w:t xml:space="preserve"> </w:t>
      </w:r>
      <w:r>
        <w:t>auditor</w:t>
      </w:r>
      <w:r>
        <w:rPr>
          <w:spacing w:val="-2"/>
        </w:rPr>
        <w:t xml:space="preserve"> </w:t>
      </w:r>
      <w:r>
        <w:t>should</w:t>
      </w:r>
      <w:r>
        <w:rPr>
          <w:spacing w:val="-2"/>
        </w:rPr>
        <w:t xml:space="preserve"> </w:t>
      </w:r>
      <w:r>
        <w:t>document</w:t>
      </w:r>
      <w:r>
        <w:rPr>
          <w:spacing w:val="-2"/>
        </w:rPr>
        <w:t xml:space="preserve"> </w:t>
      </w:r>
      <w:r>
        <w:t>the</w:t>
      </w:r>
      <w:r>
        <w:rPr>
          <w:spacing w:val="-2"/>
        </w:rPr>
        <w:t xml:space="preserve"> </w:t>
      </w:r>
      <w:r>
        <w:t>sources</w:t>
      </w:r>
      <w:r>
        <w:rPr>
          <w:spacing w:val="-3"/>
        </w:rPr>
        <w:t xml:space="preserve"> </w:t>
      </w:r>
      <w:r>
        <w:t>of</w:t>
      </w:r>
      <w:r>
        <w:rPr>
          <w:spacing w:val="-2"/>
        </w:rPr>
        <w:t xml:space="preserve"> </w:t>
      </w:r>
      <w:r>
        <w:t>all</w:t>
      </w:r>
      <w:r>
        <w:rPr>
          <w:spacing w:val="-2"/>
        </w:rPr>
        <w:t xml:space="preserve"> </w:t>
      </w:r>
      <w:r>
        <w:t>amounts</w:t>
      </w:r>
      <w:r>
        <w:rPr>
          <w:spacing w:val="-2"/>
        </w:rPr>
        <w:t xml:space="preserve"> </w:t>
      </w:r>
      <w:r>
        <w:t>included</w:t>
      </w:r>
      <w:r>
        <w:rPr>
          <w:spacing w:val="-3"/>
        </w:rPr>
        <w:t xml:space="preserve"> </w:t>
      </w:r>
      <w:r>
        <w:t>in</w:t>
      </w:r>
      <w:r>
        <w:rPr>
          <w:spacing w:val="-2"/>
        </w:rPr>
        <w:t xml:space="preserve"> </w:t>
      </w:r>
      <w:r>
        <w:t>this checklist. If the auditor determines the law is significant from a qualitative standpoint, then the auditor should document the reasons for this conclusion.</w:t>
      </w:r>
    </w:p>
    <w:p w14:paraId="0DFDB4F6" w14:textId="77777777" w:rsidR="00046465" w:rsidRDefault="008134EB">
      <w:pPr>
        <w:pStyle w:val="ListParagraph"/>
        <w:numPr>
          <w:ilvl w:val="0"/>
          <w:numId w:val="8"/>
        </w:numPr>
        <w:tabs>
          <w:tab w:val="left" w:pos="1709"/>
        </w:tabs>
        <w:spacing w:before="144"/>
        <w:ind w:left="1709" w:right="877"/>
      </w:pPr>
      <w:r>
        <w:t>The</w:t>
      </w:r>
      <w:r>
        <w:rPr>
          <w:spacing w:val="-4"/>
        </w:rPr>
        <w:t xml:space="preserve"> </w:t>
      </w:r>
      <w:r>
        <w:t>checklist</w:t>
      </w:r>
      <w:r>
        <w:rPr>
          <w:spacing w:val="-4"/>
        </w:rPr>
        <w:t xml:space="preserve"> </w:t>
      </w:r>
      <w:r>
        <w:t>also</w:t>
      </w:r>
      <w:r>
        <w:rPr>
          <w:spacing w:val="-4"/>
        </w:rPr>
        <w:t xml:space="preserve"> </w:t>
      </w:r>
      <w:r>
        <w:t>contains</w:t>
      </w:r>
      <w:r>
        <w:rPr>
          <w:spacing w:val="-4"/>
        </w:rPr>
        <w:t xml:space="preserve"> </w:t>
      </w:r>
      <w:r>
        <w:t>procedures</w:t>
      </w:r>
      <w:r>
        <w:rPr>
          <w:spacing w:val="-4"/>
        </w:rPr>
        <w:t xml:space="preserve"> </w:t>
      </w:r>
      <w:r>
        <w:t>that</w:t>
      </w:r>
      <w:r>
        <w:rPr>
          <w:spacing w:val="-4"/>
        </w:rPr>
        <w:t xml:space="preserve"> </w:t>
      </w:r>
      <w:r>
        <w:t>the</w:t>
      </w:r>
      <w:r>
        <w:rPr>
          <w:spacing w:val="-4"/>
        </w:rPr>
        <w:t xml:space="preserve"> </w:t>
      </w:r>
      <w:r>
        <w:t>auditor</w:t>
      </w:r>
      <w:r>
        <w:rPr>
          <w:spacing w:val="-4"/>
        </w:rPr>
        <w:t xml:space="preserve"> </w:t>
      </w:r>
      <w:r>
        <w:t>should</w:t>
      </w:r>
      <w:r>
        <w:rPr>
          <w:spacing w:val="-4"/>
        </w:rPr>
        <w:t xml:space="preserve"> </w:t>
      </w:r>
      <w:r>
        <w:t>perform</w:t>
      </w:r>
      <w:r>
        <w:rPr>
          <w:spacing w:val="-5"/>
        </w:rPr>
        <w:t xml:space="preserve"> </w:t>
      </w:r>
      <w:r>
        <w:t>to</w:t>
      </w:r>
      <w:r>
        <w:rPr>
          <w:spacing w:val="-4"/>
        </w:rPr>
        <w:t xml:space="preserve"> </w:t>
      </w:r>
      <w:r>
        <w:t>identify other laws and regulations for compliance testing.</w:t>
      </w:r>
    </w:p>
    <w:p w14:paraId="0DFDB4F7" w14:textId="77777777" w:rsidR="00046465" w:rsidRDefault="008134EB">
      <w:pPr>
        <w:pStyle w:val="ListParagraph"/>
        <w:numPr>
          <w:ilvl w:val="0"/>
          <w:numId w:val="8"/>
        </w:numPr>
        <w:tabs>
          <w:tab w:val="left" w:pos="1709"/>
        </w:tabs>
        <w:spacing w:before="144"/>
        <w:ind w:left="1709" w:hanging="720"/>
      </w:pPr>
      <w:r>
        <w:t>Frequently</w:t>
      </w:r>
      <w:r>
        <w:rPr>
          <w:spacing w:val="-6"/>
        </w:rPr>
        <w:t xml:space="preserve"> </w:t>
      </w:r>
      <w:r>
        <w:t>encountered</w:t>
      </w:r>
      <w:r>
        <w:rPr>
          <w:spacing w:val="-6"/>
        </w:rPr>
        <w:t xml:space="preserve"> </w:t>
      </w:r>
      <w:r>
        <w:t>laws</w:t>
      </w:r>
      <w:r>
        <w:rPr>
          <w:spacing w:val="-6"/>
        </w:rPr>
        <w:t xml:space="preserve"> </w:t>
      </w:r>
      <w:r>
        <w:t>that</w:t>
      </w:r>
      <w:r>
        <w:rPr>
          <w:spacing w:val="-6"/>
        </w:rPr>
        <w:t xml:space="preserve"> </w:t>
      </w:r>
      <w:r>
        <w:t>the</w:t>
      </w:r>
      <w:r>
        <w:rPr>
          <w:spacing w:val="-5"/>
        </w:rPr>
        <w:t xml:space="preserve"> </w:t>
      </w:r>
      <w:r>
        <w:t>auditor</w:t>
      </w:r>
      <w:r>
        <w:rPr>
          <w:spacing w:val="-6"/>
        </w:rPr>
        <w:t xml:space="preserve"> </w:t>
      </w:r>
      <w:r>
        <w:t>may</w:t>
      </w:r>
      <w:r>
        <w:rPr>
          <w:spacing w:val="-6"/>
        </w:rPr>
        <w:t xml:space="preserve"> </w:t>
      </w:r>
      <w:r>
        <w:t>test</w:t>
      </w:r>
      <w:r>
        <w:rPr>
          <w:spacing w:val="-6"/>
        </w:rPr>
        <w:t xml:space="preserve"> </w:t>
      </w:r>
      <w:r>
        <w:t>are</w:t>
      </w:r>
      <w:r>
        <w:rPr>
          <w:spacing w:val="-4"/>
        </w:rPr>
        <w:t xml:space="preserve"> </w:t>
      </w:r>
      <w:r>
        <w:t>as</w:t>
      </w:r>
      <w:r>
        <w:rPr>
          <w:spacing w:val="-6"/>
        </w:rPr>
        <w:t xml:space="preserve"> </w:t>
      </w:r>
      <w:r>
        <w:rPr>
          <w:spacing w:val="-2"/>
        </w:rPr>
        <w:t>follows:</w:t>
      </w:r>
    </w:p>
    <w:p w14:paraId="0DFDB4F8" w14:textId="77777777" w:rsidR="00046465" w:rsidRDefault="00046465">
      <w:pPr>
        <w:pStyle w:val="ListParagraph"/>
        <w:sectPr w:rsidR="00046465">
          <w:headerReference w:type="default" r:id="rId112"/>
          <w:footerReference w:type="default" r:id="rId113"/>
          <w:pgSz w:w="12240" w:h="15840"/>
          <w:pgMar w:top="1340" w:right="720" w:bottom="940" w:left="1080" w:header="721" w:footer="742" w:gutter="0"/>
          <w:cols w:space="720"/>
        </w:sectPr>
      </w:pPr>
    </w:p>
    <w:p w14:paraId="0DFDB4F9" w14:textId="77777777" w:rsidR="00046465" w:rsidRDefault="00046465">
      <w:pPr>
        <w:pStyle w:val="BodyText"/>
        <w:spacing w:before="4"/>
        <w:rPr>
          <w:sz w:val="11"/>
        </w:rPr>
      </w:pPr>
    </w:p>
    <w:tbl>
      <w:tblPr>
        <w:tblW w:w="0" w:type="auto"/>
        <w:tblInd w:w="465"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7650"/>
        <w:gridCol w:w="1710"/>
      </w:tblGrid>
      <w:tr w:rsidR="00046465" w14:paraId="0DFDB4FD" w14:textId="77777777">
        <w:trPr>
          <w:trHeight w:val="938"/>
        </w:trPr>
        <w:tc>
          <w:tcPr>
            <w:tcW w:w="7650" w:type="dxa"/>
            <w:tcBorders>
              <w:right w:val="single" w:sz="4" w:space="0" w:color="000000"/>
            </w:tcBorders>
          </w:tcPr>
          <w:p w14:paraId="0DFDB4FA" w14:textId="77777777" w:rsidR="00046465" w:rsidRDefault="00046465">
            <w:pPr>
              <w:pStyle w:val="TableParagraph"/>
              <w:spacing w:before="216"/>
            </w:pPr>
          </w:p>
          <w:p w14:paraId="0DFDB4FB" w14:textId="77777777" w:rsidR="00046465" w:rsidRDefault="008134EB">
            <w:pPr>
              <w:pStyle w:val="TableParagraph"/>
              <w:spacing w:before="1"/>
              <w:ind w:left="105"/>
              <w:rPr>
                <w:b/>
              </w:rPr>
            </w:pPr>
            <w:r>
              <w:rPr>
                <w:b/>
                <w:spacing w:val="-5"/>
              </w:rPr>
              <w:t>Law</w:t>
            </w:r>
          </w:p>
        </w:tc>
        <w:tc>
          <w:tcPr>
            <w:tcW w:w="1710" w:type="dxa"/>
            <w:tcBorders>
              <w:left w:val="single" w:sz="4" w:space="0" w:color="000000"/>
            </w:tcBorders>
          </w:tcPr>
          <w:p w14:paraId="0DFDB4FC" w14:textId="77777777" w:rsidR="00046465" w:rsidRDefault="008134EB">
            <w:pPr>
              <w:pStyle w:val="TableParagraph"/>
              <w:spacing w:before="216"/>
              <w:ind w:left="114"/>
              <w:rPr>
                <w:b/>
              </w:rPr>
            </w:pPr>
            <w:r>
              <w:rPr>
                <w:b/>
                <w:spacing w:val="-2"/>
              </w:rPr>
              <w:t>Supplement number</w:t>
            </w:r>
          </w:p>
        </w:tc>
      </w:tr>
      <w:tr w:rsidR="00046465" w14:paraId="0DFDB500" w14:textId="77777777">
        <w:trPr>
          <w:trHeight w:val="684"/>
        </w:trPr>
        <w:tc>
          <w:tcPr>
            <w:tcW w:w="7650" w:type="dxa"/>
            <w:tcBorders>
              <w:bottom w:val="single" w:sz="4" w:space="0" w:color="000000"/>
              <w:right w:val="single" w:sz="4" w:space="0" w:color="000000"/>
            </w:tcBorders>
          </w:tcPr>
          <w:p w14:paraId="0DFDB4FE" w14:textId="77777777" w:rsidR="00046465" w:rsidRDefault="008134EB">
            <w:pPr>
              <w:pStyle w:val="TableParagraph"/>
              <w:spacing w:before="216"/>
              <w:ind w:left="105"/>
            </w:pPr>
            <w:r>
              <w:t>Antideficiency</w:t>
            </w:r>
            <w:r>
              <w:rPr>
                <w:spacing w:val="-7"/>
              </w:rPr>
              <w:t xml:space="preserve"> </w:t>
            </w:r>
            <w:r>
              <w:t>Act</w:t>
            </w:r>
            <w:r>
              <w:rPr>
                <w:spacing w:val="-7"/>
              </w:rPr>
              <w:t xml:space="preserve"> </w:t>
            </w:r>
            <w:r>
              <w:t>(ADA),</w:t>
            </w:r>
            <w:r>
              <w:rPr>
                <w:spacing w:val="-7"/>
              </w:rPr>
              <w:t xml:space="preserve"> </w:t>
            </w:r>
            <w:r>
              <w:t>as</w:t>
            </w:r>
            <w:r>
              <w:rPr>
                <w:spacing w:val="-7"/>
              </w:rPr>
              <w:t xml:space="preserve"> </w:t>
            </w:r>
            <w:r>
              <w:t>provided</w:t>
            </w:r>
            <w:r>
              <w:rPr>
                <w:spacing w:val="-7"/>
              </w:rPr>
              <w:t xml:space="preserve"> </w:t>
            </w:r>
            <w:r>
              <w:t>primarily</w:t>
            </w:r>
            <w:r>
              <w:rPr>
                <w:spacing w:val="-7"/>
              </w:rPr>
              <w:t xml:space="preserve"> </w:t>
            </w:r>
            <w:r>
              <w:t>in</w:t>
            </w:r>
            <w:r>
              <w:rPr>
                <w:spacing w:val="-7"/>
              </w:rPr>
              <w:t xml:space="preserve"> </w:t>
            </w:r>
            <w:r>
              <w:t>31</w:t>
            </w:r>
            <w:r>
              <w:rPr>
                <w:spacing w:val="-7"/>
              </w:rPr>
              <w:t xml:space="preserve"> </w:t>
            </w:r>
            <w:r>
              <w:t>U.S.C.</w:t>
            </w:r>
            <w:r>
              <w:rPr>
                <w:spacing w:val="-6"/>
              </w:rPr>
              <w:t xml:space="preserve"> </w:t>
            </w:r>
            <w:r>
              <w:t>chapters</w:t>
            </w:r>
            <w:r>
              <w:rPr>
                <w:spacing w:val="-7"/>
              </w:rPr>
              <w:t xml:space="preserve"> </w:t>
            </w:r>
            <w:r>
              <w:t>13,</w:t>
            </w:r>
            <w:r>
              <w:rPr>
                <w:spacing w:val="-8"/>
              </w:rPr>
              <w:t xml:space="preserve"> </w:t>
            </w:r>
            <w:r>
              <w:rPr>
                <w:spacing w:val="-5"/>
              </w:rPr>
              <w:t>15</w:t>
            </w:r>
          </w:p>
        </w:tc>
        <w:tc>
          <w:tcPr>
            <w:tcW w:w="1710" w:type="dxa"/>
            <w:tcBorders>
              <w:left w:val="single" w:sz="4" w:space="0" w:color="000000"/>
              <w:bottom w:val="single" w:sz="4" w:space="0" w:color="000000"/>
            </w:tcBorders>
          </w:tcPr>
          <w:p w14:paraId="0DFDB4FF" w14:textId="77777777" w:rsidR="00046465" w:rsidRDefault="008134EB">
            <w:pPr>
              <w:pStyle w:val="TableParagraph"/>
              <w:spacing w:before="216"/>
              <w:ind w:left="114"/>
            </w:pPr>
            <w:r>
              <w:t>FAM</w:t>
            </w:r>
            <w:r>
              <w:rPr>
                <w:spacing w:val="-7"/>
              </w:rPr>
              <w:t xml:space="preserve"> </w:t>
            </w:r>
            <w:r>
              <w:rPr>
                <w:spacing w:val="-5"/>
              </w:rPr>
              <w:t>803</w:t>
            </w:r>
          </w:p>
        </w:tc>
      </w:tr>
      <w:tr w:rsidR="00046465" w14:paraId="0DFDB503" w14:textId="77777777">
        <w:trPr>
          <w:trHeight w:val="937"/>
        </w:trPr>
        <w:tc>
          <w:tcPr>
            <w:tcW w:w="7650" w:type="dxa"/>
            <w:tcBorders>
              <w:top w:val="single" w:sz="4" w:space="0" w:color="000000"/>
              <w:bottom w:val="single" w:sz="4" w:space="0" w:color="000000"/>
              <w:right w:val="single" w:sz="4" w:space="0" w:color="000000"/>
            </w:tcBorders>
          </w:tcPr>
          <w:p w14:paraId="0DFDB501" w14:textId="77777777" w:rsidR="00046465" w:rsidRDefault="008134EB">
            <w:pPr>
              <w:pStyle w:val="TableParagraph"/>
              <w:spacing w:before="217"/>
              <w:ind w:left="105"/>
            </w:pPr>
            <w:r>
              <w:t>Federal</w:t>
            </w:r>
            <w:r>
              <w:rPr>
                <w:spacing w:val="-3"/>
              </w:rPr>
              <w:t xml:space="preserve"> </w:t>
            </w:r>
            <w:r>
              <w:t>Credit</w:t>
            </w:r>
            <w:r>
              <w:rPr>
                <w:spacing w:val="-3"/>
              </w:rPr>
              <w:t xml:space="preserve"> </w:t>
            </w:r>
            <w:r>
              <w:t>Reform</w:t>
            </w:r>
            <w:r>
              <w:rPr>
                <w:spacing w:val="-4"/>
              </w:rPr>
              <w:t xml:space="preserve"> </w:t>
            </w:r>
            <w:r>
              <w:t>Act</w:t>
            </w:r>
            <w:r>
              <w:rPr>
                <w:spacing w:val="-3"/>
              </w:rPr>
              <w:t xml:space="preserve"> </w:t>
            </w:r>
            <w:r>
              <w:t>of</w:t>
            </w:r>
            <w:r>
              <w:rPr>
                <w:spacing w:val="-3"/>
              </w:rPr>
              <w:t xml:space="preserve"> </w:t>
            </w:r>
            <w:r>
              <w:t>1990</w:t>
            </w:r>
            <w:r>
              <w:rPr>
                <w:spacing w:val="-3"/>
              </w:rPr>
              <w:t xml:space="preserve"> </w:t>
            </w:r>
            <w:r>
              <w:t>(FCRA),</w:t>
            </w:r>
            <w:r>
              <w:rPr>
                <w:spacing w:val="-3"/>
              </w:rPr>
              <w:t xml:space="preserve"> </w:t>
            </w:r>
            <w:r>
              <w:t>as</w:t>
            </w:r>
            <w:r>
              <w:rPr>
                <w:spacing w:val="-3"/>
              </w:rPr>
              <w:t xml:space="preserve"> </w:t>
            </w:r>
            <w:r>
              <w:t>provided</w:t>
            </w:r>
            <w:r>
              <w:rPr>
                <w:spacing w:val="-3"/>
              </w:rPr>
              <w:t xml:space="preserve"> </w:t>
            </w:r>
            <w:r>
              <w:t>in</w:t>
            </w:r>
            <w:r>
              <w:rPr>
                <w:spacing w:val="-3"/>
              </w:rPr>
              <w:t xml:space="preserve"> </w:t>
            </w:r>
            <w:r>
              <w:t>2</w:t>
            </w:r>
            <w:r>
              <w:rPr>
                <w:spacing w:val="-4"/>
              </w:rPr>
              <w:t xml:space="preserve"> </w:t>
            </w:r>
            <w:r>
              <w:t>U.S.C.</w:t>
            </w:r>
            <w:r>
              <w:rPr>
                <w:spacing w:val="-3"/>
              </w:rPr>
              <w:t xml:space="preserve"> </w:t>
            </w:r>
            <w:r>
              <w:t>§§</w:t>
            </w:r>
            <w:r>
              <w:rPr>
                <w:spacing w:val="-2"/>
              </w:rPr>
              <w:t xml:space="preserve"> </w:t>
            </w:r>
            <w:r>
              <w:t>661-</w:t>
            </w:r>
            <w:r>
              <w:rPr>
                <w:spacing w:val="-4"/>
              </w:rPr>
              <w:t>661f</w:t>
            </w:r>
          </w:p>
        </w:tc>
        <w:tc>
          <w:tcPr>
            <w:tcW w:w="1710" w:type="dxa"/>
            <w:tcBorders>
              <w:top w:val="single" w:sz="4" w:space="0" w:color="000000"/>
              <w:left w:val="single" w:sz="4" w:space="0" w:color="000000"/>
              <w:bottom w:val="single" w:sz="4" w:space="0" w:color="000000"/>
            </w:tcBorders>
          </w:tcPr>
          <w:p w14:paraId="0DFDB502" w14:textId="77777777" w:rsidR="00046465" w:rsidRDefault="008134EB">
            <w:pPr>
              <w:pStyle w:val="TableParagraph"/>
              <w:spacing w:before="217"/>
              <w:ind w:left="115"/>
            </w:pPr>
            <w:r>
              <w:t>FAM</w:t>
            </w:r>
            <w:r>
              <w:rPr>
                <w:spacing w:val="-7"/>
              </w:rPr>
              <w:t xml:space="preserve"> </w:t>
            </w:r>
            <w:r>
              <w:rPr>
                <w:spacing w:val="-5"/>
              </w:rPr>
              <w:t>804</w:t>
            </w:r>
          </w:p>
        </w:tc>
      </w:tr>
      <w:tr w:rsidR="00046465" w14:paraId="0DFDB506" w14:textId="77777777">
        <w:trPr>
          <w:trHeight w:val="686"/>
        </w:trPr>
        <w:tc>
          <w:tcPr>
            <w:tcW w:w="7650" w:type="dxa"/>
            <w:tcBorders>
              <w:top w:val="single" w:sz="4" w:space="0" w:color="000000"/>
              <w:bottom w:val="single" w:sz="4" w:space="0" w:color="000000"/>
              <w:right w:val="single" w:sz="4" w:space="0" w:color="000000"/>
            </w:tcBorders>
          </w:tcPr>
          <w:p w14:paraId="0DFDB504" w14:textId="77777777" w:rsidR="00046465" w:rsidRDefault="008134EB">
            <w:pPr>
              <w:pStyle w:val="TableParagraph"/>
              <w:spacing w:before="217"/>
              <w:ind w:left="105"/>
            </w:pPr>
            <w:r>
              <w:t>Federal</w:t>
            </w:r>
            <w:r>
              <w:rPr>
                <w:spacing w:val="-7"/>
              </w:rPr>
              <w:t xml:space="preserve"> </w:t>
            </w:r>
            <w:r>
              <w:t>Debt</w:t>
            </w:r>
            <w:r>
              <w:rPr>
                <w:spacing w:val="-7"/>
              </w:rPr>
              <w:t xml:space="preserve"> </w:t>
            </w:r>
            <w:r>
              <w:t>Collection</w:t>
            </w:r>
            <w:r>
              <w:rPr>
                <w:spacing w:val="-7"/>
              </w:rPr>
              <w:t xml:space="preserve"> </w:t>
            </w:r>
            <w:r>
              <w:t>Authorities,</w:t>
            </w:r>
            <w:r>
              <w:rPr>
                <w:spacing w:val="-8"/>
              </w:rPr>
              <w:t xml:space="preserve"> </w:t>
            </w:r>
            <w:r>
              <w:t>as</w:t>
            </w:r>
            <w:r>
              <w:rPr>
                <w:spacing w:val="-7"/>
              </w:rPr>
              <w:t xml:space="preserve"> </w:t>
            </w:r>
            <w:r>
              <w:t>provided</w:t>
            </w:r>
            <w:r>
              <w:rPr>
                <w:spacing w:val="-7"/>
              </w:rPr>
              <w:t xml:space="preserve"> </w:t>
            </w:r>
            <w:r>
              <w:t>in</w:t>
            </w:r>
            <w:r>
              <w:rPr>
                <w:spacing w:val="-7"/>
              </w:rPr>
              <w:t xml:space="preserve"> </w:t>
            </w:r>
            <w:r>
              <w:t>31</w:t>
            </w:r>
            <w:r>
              <w:rPr>
                <w:spacing w:val="-7"/>
              </w:rPr>
              <w:t xml:space="preserve"> </w:t>
            </w:r>
            <w:r>
              <w:t>U.S.C.</w:t>
            </w:r>
            <w:r>
              <w:rPr>
                <w:spacing w:val="-6"/>
              </w:rPr>
              <w:t xml:space="preserve"> </w:t>
            </w:r>
            <w:r>
              <w:t>chapter</w:t>
            </w:r>
            <w:r>
              <w:rPr>
                <w:spacing w:val="-7"/>
              </w:rPr>
              <w:t xml:space="preserve"> </w:t>
            </w:r>
            <w:r>
              <w:rPr>
                <w:spacing w:val="-5"/>
              </w:rPr>
              <w:t>37</w:t>
            </w:r>
          </w:p>
        </w:tc>
        <w:tc>
          <w:tcPr>
            <w:tcW w:w="1710" w:type="dxa"/>
            <w:tcBorders>
              <w:top w:val="single" w:sz="4" w:space="0" w:color="000000"/>
              <w:left w:val="single" w:sz="4" w:space="0" w:color="000000"/>
              <w:bottom w:val="single" w:sz="4" w:space="0" w:color="000000"/>
            </w:tcBorders>
          </w:tcPr>
          <w:p w14:paraId="0DFDB505" w14:textId="77777777" w:rsidR="00046465" w:rsidRDefault="008134EB">
            <w:pPr>
              <w:pStyle w:val="TableParagraph"/>
              <w:spacing w:before="217"/>
              <w:ind w:left="114"/>
            </w:pPr>
            <w:r>
              <w:t>FAM</w:t>
            </w:r>
            <w:r>
              <w:rPr>
                <w:spacing w:val="-7"/>
              </w:rPr>
              <w:t xml:space="preserve"> </w:t>
            </w:r>
            <w:r>
              <w:rPr>
                <w:spacing w:val="-5"/>
              </w:rPr>
              <w:t>805</w:t>
            </w:r>
          </w:p>
        </w:tc>
      </w:tr>
      <w:tr w:rsidR="00046465" w14:paraId="0DFDB509" w14:textId="77777777">
        <w:trPr>
          <w:trHeight w:val="684"/>
        </w:trPr>
        <w:tc>
          <w:tcPr>
            <w:tcW w:w="7650" w:type="dxa"/>
            <w:tcBorders>
              <w:top w:val="single" w:sz="4" w:space="0" w:color="000000"/>
              <w:bottom w:val="single" w:sz="4" w:space="0" w:color="000000"/>
              <w:right w:val="single" w:sz="4" w:space="0" w:color="000000"/>
            </w:tcBorders>
          </w:tcPr>
          <w:p w14:paraId="0DFDB507" w14:textId="77777777" w:rsidR="00046465" w:rsidRDefault="008134EB">
            <w:pPr>
              <w:pStyle w:val="TableParagraph"/>
              <w:spacing w:before="216"/>
              <w:ind w:left="105"/>
            </w:pPr>
            <w:r>
              <w:t>Prompt</w:t>
            </w:r>
            <w:r>
              <w:rPr>
                <w:spacing w:val="-7"/>
              </w:rPr>
              <w:t xml:space="preserve"> </w:t>
            </w:r>
            <w:r>
              <w:t>Payment</w:t>
            </w:r>
            <w:r>
              <w:rPr>
                <w:spacing w:val="-6"/>
              </w:rPr>
              <w:t xml:space="preserve"> </w:t>
            </w:r>
            <w:r>
              <w:t>Act</w:t>
            </w:r>
            <w:r>
              <w:rPr>
                <w:spacing w:val="-6"/>
              </w:rPr>
              <w:t xml:space="preserve"> </w:t>
            </w:r>
            <w:r>
              <w:t>(PPA),</w:t>
            </w:r>
            <w:r>
              <w:rPr>
                <w:spacing w:val="-7"/>
              </w:rPr>
              <w:t xml:space="preserve"> </w:t>
            </w:r>
            <w:r>
              <w:t>as</w:t>
            </w:r>
            <w:r>
              <w:rPr>
                <w:spacing w:val="-6"/>
              </w:rPr>
              <w:t xml:space="preserve"> </w:t>
            </w:r>
            <w:r>
              <w:t>provided</w:t>
            </w:r>
            <w:r>
              <w:rPr>
                <w:spacing w:val="-6"/>
              </w:rPr>
              <w:t xml:space="preserve"> </w:t>
            </w:r>
            <w:r>
              <w:t>in</w:t>
            </w:r>
            <w:r>
              <w:rPr>
                <w:spacing w:val="-7"/>
              </w:rPr>
              <w:t xml:space="preserve"> </w:t>
            </w:r>
            <w:r>
              <w:t>31</w:t>
            </w:r>
            <w:r>
              <w:rPr>
                <w:spacing w:val="-6"/>
              </w:rPr>
              <w:t xml:space="preserve"> </w:t>
            </w:r>
            <w:r>
              <w:t>U.S.C.</w:t>
            </w:r>
            <w:r>
              <w:rPr>
                <w:spacing w:val="-6"/>
              </w:rPr>
              <w:t xml:space="preserve"> </w:t>
            </w:r>
            <w:r>
              <w:t>chapter</w:t>
            </w:r>
            <w:r>
              <w:rPr>
                <w:spacing w:val="-7"/>
              </w:rPr>
              <w:t xml:space="preserve"> </w:t>
            </w:r>
            <w:r>
              <w:rPr>
                <w:spacing w:val="-5"/>
              </w:rPr>
              <w:t>39</w:t>
            </w:r>
          </w:p>
        </w:tc>
        <w:tc>
          <w:tcPr>
            <w:tcW w:w="1710" w:type="dxa"/>
            <w:tcBorders>
              <w:top w:val="single" w:sz="4" w:space="0" w:color="000000"/>
              <w:left w:val="single" w:sz="4" w:space="0" w:color="000000"/>
              <w:bottom w:val="single" w:sz="4" w:space="0" w:color="000000"/>
            </w:tcBorders>
          </w:tcPr>
          <w:p w14:paraId="0DFDB508" w14:textId="77777777" w:rsidR="00046465" w:rsidRDefault="008134EB">
            <w:pPr>
              <w:pStyle w:val="TableParagraph"/>
              <w:spacing w:before="216"/>
              <w:ind w:left="114"/>
            </w:pPr>
            <w:r>
              <w:t>FAM</w:t>
            </w:r>
            <w:r>
              <w:rPr>
                <w:spacing w:val="-7"/>
              </w:rPr>
              <w:t xml:space="preserve"> </w:t>
            </w:r>
            <w:r>
              <w:rPr>
                <w:spacing w:val="-5"/>
              </w:rPr>
              <w:t>806</w:t>
            </w:r>
          </w:p>
        </w:tc>
      </w:tr>
      <w:tr w:rsidR="00046465" w14:paraId="0DFDB50D" w14:textId="77777777">
        <w:trPr>
          <w:trHeight w:val="937"/>
        </w:trPr>
        <w:tc>
          <w:tcPr>
            <w:tcW w:w="7650" w:type="dxa"/>
            <w:tcBorders>
              <w:top w:val="single" w:sz="4" w:space="0" w:color="000000"/>
              <w:bottom w:val="single" w:sz="4" w:space="0" w:color="000000"/>
              <w:right w:val="single" w:sz="4" w:space="0" w:color="000000"/>
            </w:tcBorders>
          </w:tcPr>
          <w:p w14:paraId="0DFDB50A" w14:textId="77777777" w:rsidR="00046465" w:rsidRDefault="008134EB">
            <w:pPr>
              <w:pStyle w:val="TableParagraph"/>
              <w:spacing w:before="216"/>
              <w:ind w:left="105"/>
            </w:pPr>
            <w:r>
              <w:t>Pay</w:t>
            </w:r>
            <w:r>
              <w:rPr>
                <w:spacing w:val="-8"/>
              </w:rPr>
              <w:t xml:space="preserve"> </w:t>
            </w:r>
            <w:r>
              <w:t>and</w:t>
            </w:r>
            <w:r>
              <w:rPr>
                <w:spacing w:val="-7"/>
              </w:rPr>
              <w:t xml:space="preserve"> </w:t>
            </w:r>
            <w:r>
              <w:t>Allowance</w:t>
            </w:r>
            <w:r>
              <w:rPr>
                <w:spacing w:val="-7"/>
              </w:rPr>
              <w:t xml:space="preserve"> </w:t>
            </w:r>
            <w:r>
              <w:t>System</w:t>
            </w:r>
            <w:r>
              <w:rPr>
                <w:spacing w:val="-8"/>
              </w:rPr>
              <w:t xml:space="preserve"> </w:t>
            </w:r>
            <w:r>
              <w:t>for</w:t>
            </w:r>
            <w:r>
              <w:rPr>
                <w:spacing w:val="-7"/>
              </w:rPr>
              <w:t xml:space="preserve"> </w:t>
            </w:r>
            <w:r>
              <w:t>Civilian</w:t>
            </w:r>
            <w:r>
              <w:rPr>
                <w:spacing w:val="-8"/>
              </w:rPr>
              <w:t xml:space="preserve"> </w:t>
            </w:r>
            <w:r>
              <w:t>Employees</w:t>
            </w:r>
            <w:r>
              <w:rPr>
                <w:spacing w:val="-7"/>
              </w:rPr>
              <w:t xml:space="preserve"> </w:t>
            </w:r>
            <w:r>
              <w:t>as</w:t>
            </w:r>
            <w:r>
              <w:rPr>
                <w:spacing w:val="-7"/>
              </w:rPr>
              <w:t xml:space="preserve"> </w:t>
            </w:r>
            <w:r>
              <w:t>provided</w:t>
            </w:r>
            <w:r>
              <w:rPr>
                <w:spacing w:val="-7"/>
              </w:rPr>
              <w:t xml:space="preserve"> </w:t>
            </w:r>
            <w:r>
              <w:t>primarily</w:t>
            </w:r>
            <w:r>
              <w:rPr>
                <w:spacing w:val="-8"/>
              </w:rPr>
              <w:t xml:space="preserve"> </w:t>
            </w:r>
            <w:r>
              <w:t>in</w:t>
            </w:r>
            <w:r>
              <w:rPr>
                <w:spacing w:val="-8"/>
              </w:rPr>
              <w:t xml:space="preserve"> </w:t>
            </w:r>
            <w:r>
              <w:rPr>
                <w:spacing w:val="-10"/>
              </w:rPr>
              <w:t>5</w:t>
            </w:r>
          </w:p>
          <w:p w14:paraId="0DFDB50B" w14:textId="77777777" w:rsidR="00046465" w:rsidRDefault="008134EB">
            <w:pPr>
              <w:pStyle w:val="TableParagraph"/>
              <w:ind w:left="105"/>
            </w:pPr>
            <w:r>
              <w:t>U.S.C.</w:t>
            </w:r>
            <w:r>
              <w:rPr>
                <w:spacing w:val="-11"/>
              </w:rPr>
              <w:t xml:space="preserve"> </w:t>
            </w:r>
            <w:r>
              <w:t>chapters</w:t>
            </w:r>
            <w:r>
              <w:rPr>
                <w:spacing w:val="-11"/>
              </w:rPr>
              <w:t xml:space="preserve"> </w:t>
            </w:r>
            <w:r>
              <w:t>51-</w:t>
            </w:r>
            <w:r>
              <w:rPr>
                <w:spacing w:val="-5"/>
              </w:rPr>
              <w:t>59</w:t>
            </w:r>
          </w:p>
        </w:tc>
        <w:tc>
          <w:tcPr>
            <w:tcW w:w="1710" w:type="dxa"/>
            <w:tcBorders>
              <w:top w:val="single" w:sz="4" w:space="0" w:color="000000"/>
              <w:left w:val="single" w:sz="4" w:space="0" w:color="000000"/>
              <w:bottom w:val="single" w:sz="4" w:space="0" w:color="000000"/>
            </w:tcBorders>
          </w:tcPr>
          <w:p w14:paraId="0DFDB50C" w14:textId="77777777" w:rsidR="00046465" w:rsidRDefault="008134EB">
            <w:pPr>
              <w:pStyle w:val="TableParagraph"/>
              <w:spacing w:before="216"/>
              <w:ind w:left="114"/>
            </w:pPr>
            <w:r>
              <w:t>FAM</w:t>
            </w:r>
            <w:r>
              <w:rPr>
                <w:spacing w:val="-7"/>
              </w:rPr>
              <w:t xml:space="preserve"> </w:t>
            </w:r>
            <w:r>
              <w:rPr>
                <w:spacing w:val="-5"/>
              </w:rPr>
              <w:t>807</w:t>
            </w:r>
          </w:p>
        </w:tc>
      </w:tr>
      <w:tr w:rsidR="00046465" w14:paraId="0DFDB510" w14:textId="77777777">
        <w:trPr>
          <w:trHeight w:val="684"/>
        </w:trPr>
        <w:tc>
          <w:tcPr>
            <w:tcW w:w="7650" w:type="dxa"/>
            <w:tcBorders>
              <w:top w:val="single" w:sz="4" w:space="0" w:color="000000"/>
              <w:bottom w:val="single" w:sz="4" w:space="0" w:color="000000"/>
              <w:right w:val="single" w:sz="4" w:space="0" w:color="000000"/>
            </w:tcBorders>
          </w:tcPr>
          <w:p w14:paraId="0DFDB50E" w14:textId="77777777" w:rsidR="00046465" w:rsidRDefault="008134EB">
            <w:pPr>
              <w:pStyle w:val="TableParagraph"/>
              <w:spacing w:before="216"/>
              <w:ind w:left="105"/>
            </w:pPr>
            <w:r>
              <w:t>Civil</w:t>
            </w:r>
            <w:r>
              <w:rPr>
                <w:spacing w:val="-7"/>
              </w:rPr>
              <w:t xml:space="preserve"> </w:t>
            </w:r>
            <w:r>
              <w:t>Service</w:t>
            </w:r>
            <w:r>
              <w:rPr>
                <w:spacing w:val="-8"/>
              </w:rPr>
              <w:t xml:space="preserve"> </w:t>
            </w:r>
            <w:r>
              <w:t>Retirement</w:t>
            </w:r>
            <w:r>
              <w:rPr>
                <w:spacing w:val="-7"/>
              </w:rPr>
              <w:t xml:space="preserve"> </w:t>
            </w:r>
            <w:r>
              <w:t>Act</w:t>
            </w:r>
            <w:r>
              <w:rPr>
                <w:spacing w:val="-6"/>
              </w:rPr>
              <w:t xml:space="preserve"> </w:t>
            </w:r>
            <w:r>
              <w:t>(CSRA),</w:t>
            </w:r>
            <w:r>
              <w:rPr>
                <w:spacing w:val="-6"/>
              </w:rPr>
              <w:t xml:space="preserve"> </w:t>
            </w:r>
            <w:r>
              <w:t>as</w:t>
            </w:r>
            <w:r>
              <w:rPr>
                <w:spacing w:val="-7"/>
              </w:rPr>
              <w:t xml:space="preserve"> </w:t>
            </w:r>
            <w:r>
              <w:t>provided</w:t>
            </w:r>
            <w:r>
              <w:rPr>
                <w:spacing w:val="-8"/>
              </w:rPr>
              <w:t xml:space="preserve"> </w:t>
            </w:r>
            <w:r>
              <w:t>in</w:t>
            </w:r>
            <w:r>
              <w:rPr>
                <w:spacing w:val="-6"/>
              </w:rPr>
              <w:t xml:space="preserve"> </w:t>
            </w:r>
            <w:r>
              <w:t>5</w:t>
            </w:r>
            <w:r>
              <w:rPr>
                <w:spacing w:val="-7"/>
              </w:rPr>
              <w:t xml:space="preserve"> </w:t>
            </w:r>
            <w:r>
              <w:t>U.S.C.</w:t>
            </w:r>
            <w:r>
              <w:rPr>
                <w:spacing w:val="-7"/>
              </w:rPr>
              <w:t xml:space="preserve"> </w:t>
            </w:r>
            <w:r>
              <w:t>chapter</w:t>
            </w:r>
            <w:r>
              <w:rPr>
                <w:spacing w:val="-7"/>
              </w:rPr>
              <w:t xml:space="preserve"> </w:t>
            </w:r>
            <w:r>
              <w:rPr>
                <w:spacing w:val="-5"/>
              </w:rPr>
              <w:t>83</w:t>
            </w:r>
          </w:p>
        </w:tc>
        <w:tc>
          <w:tcPr>
            <w:tcW w:w="1710" w:type="dxa"/>
            <w:tcBorders>
              <w:top w:val="single" w:sz="4" w:space="0" w:color="000000"/>
              <w:left w:val="single" w:sz="4" w:space="0" w:color="000000"/>
              <w:bottom w:val="single" w:sz="4" w:space="0" w:color="000000"/>
            </w:tcBorders>
          </w:tcPr>
          <w:p w14:paraId="0DFDB50F" w14:textId="77777777" w:rsidR="00046465" w:rsidRDefault="008134EB">
            <w:pPr>
              <w:pStyle w:val="TableParagraph"/>
              <w:spacing w:before="216"/>
              <w:ind w:left="115"/>
            </w:pPr>
            <w:r>
              <w:t>FAM</w:t>
            </w:r>
            <w:r>
              <w:rPr>
                <w:spacing w:val="-7"/>
              </w:rPr>
              <w:t xml:space="preserve"> </w:t>
            </w:r>
            <w:r>
              <w:rPr>
                <w:spacing w:val="-5"/>
              </w:rPr>
              <w:t>808</w:t>
            </w:r>
          </w:p>
        </w:tc>
      </w:tr>
      <w:tr w:rsidR="00046465" w14:paraId="0DFDB513" w14:textId="77777777">
        <w:trPr>
          <w:trHeight w:val="937"/>
        </w:trPr>
        <w:tc>
          <w:tcPr>
            <w:tcW w:w="7650" w:type="dxa"/>
            <w:tcBorders>
              <w:top w:val="single" w:sz="4" w:space="0" w:color="000000"/>
              <w:bottom w:val="single" w:sz="4" w:space="0" w:color="000000"/>
              <w:right w:val="single" w:sz="4" w:space="0" w:color="000000"/>
            </w:tcBorders>
          </w:tcPr>
          <w:p w14:paraId="0DFDB511" w14:textId="77777777" w:rsidR="00046465" w:rsidRDefault="008134EB">
            <w:pPr>
              <w:pStyle w:val="TableParagraph"/>
              <w:spacing w:before="216"/>
              <w:ind w:left="105"/>
            </w:pPr>
            <w:r>
              <w:t>Federal</w:t>
            </w:r>
            <w:r>
              <w:rPr>
                <w:spacing w:val="-4"/>
              </w:rPr>
              <w:t xml:space="preserve"> </w:t>
            </w:r>
            <w:r>
              <w:t>Employees</w:t>
            </w:r>
            <w:r>
              <w:rPr>
                <w:spacing w:val="-4"/>
              </w:rPr>
              <w:t xml:space="preserve"> </w:t>
            </w:r>
            <w:r>
              <w:t>Health</w:t>
            </w:r>
            <w:r>
              <w:rPr>
                <w:spacing w:val="-4"/>
              </w:rPr>
              <w:t xml:space="preserve"> </w:t>
            </w:r>
            <w:r>
              <w:t>Benefits</w:t>
            </w:r>
            <w:r>
              <w:rPr>
                <w:spacing w:val="-5"/>
              </w:rPr>
              <w:t xml:space="preserve"> </w:t>
            </w:r>
            <w:r>
              <w:t>Act</w:t>
            </w:r>
            <w:r>
              <w:rPr>
                <w:spacing w:val="-4"/>
              </w:rPr>
              <w:t xml:space="preserve"> </w:t>
            </w:r>
            <w:r>
              <w:t>(FEHBA),</w:t>
            </w:r>
            <w:r>
              <w:rPr>
                <w:spacing w:val="-4"/>
              </w:rPr>
              <w:t xml:space="preserve"> </w:t>
            </w:r>
            <w:r>
              <w:t>as</w:t>
            </w:r>
            <w:r>
              <w:rPr>
                <w:spacing w:val="-4"/>
              </w:rPr>
              <w:t xml:space="preserve"> </w:t>
            </w:r>
            <w:r>
              <w:t>provided</w:t>
            </w:r>
            <w:r>
              <w:rPr>
                <w:spacing w:val="-4"/>
              </w:rPr>
              <w:t xml:space="preserve"> </w:t>
            </w:r>
            <w:r>
              <w:t>in</w:t>
            </w:r>
            <w:r>
              <w:rPr>
                <w:spacing w:val="-4"/>
              </w:rPr>
              <w:t xml:space="preserve"> </w:t>
            </w:r>
            <w:r>
              <w:t>5</w:t>
            </w:r>
            <w:r>
              <w:rPr>
                <w:spacing w:val="-4"/>
              </w:rPr>
              <w:t xml:space="preserve"> </w:t>
            </w:r>
            <w:r>
              <w:t>U.S.C. chapter 89</w:t>
            </w:r>
          </w:p>
        </w:tc>
        <w:tc>
          <w:tcPr>
            <w:tcW w:w="1710" w:type="dxa"/>
            <w:tcBorders>
              <w:top w:val="single" w:sz="4" w:space="0" w:color="000000"/>
              <w:left w:val="single" w:sz="4" w:space="0" w:color="000000"/>
              <w:bottom w:val="single" w:sz="4" w:space="0" w:color="000000"/>
            </w:tcBorders>
          </w:tcPr>
          <w:p w14:paraId="0DFDB512" w14:textId="77777777" w:rsidR="00046465" w:rsidRDefault="008134EB">
            <w:pPr>
              <w:pStyle w:val="TableParagraph"/>
              <w:spacing w:before="216"/>
              <w:ind w:left="115"/>
            </w:pPr>
            <w:r>
              <w:t>FAM</w:t>
            </w:r>
            <w:r>
              <w:rPr>
                <w:spacing w:val="-7"/>
              </w:rPr>
              <w:t xml:space="preserve"> </w:t>
            </w:r>
            <w:r>
              <w:rPr>
                <w:spacing w:val="-5"/>
              </w:rPr>
              <w:t>809</w:t>
            </w:r>
          </w:p>
        </w:tc>
      </w:tr>
      <w:tr w:rsidR="00046465" w14:paraId="0DFDB516" w14:textId="77777777">
        <w:trPr>
          <w:trHeight w:val="938"/>
        </w:trPr>
        <w:tc>
          <w:tcPr>
            <w:tcW w:w="7650" w:type="dxa"/>
            <w:tcBorders>
              <w:top w:val="single" w:sz="4" w:space="0" w:color="000000"/>
              <w:bottom w:val="single" w:sz="4" w:space="0" w:color="000000"/>
              <w:right w:val="single" w:sz="4" w:space="0" w:color="000000"/>
            </w:tcBorders>
          </w:tcPr>
          <w:p w14:paraId="0DFDB514" w14:textId="77777777" w:rsidR="00046465" w:rsidRDefault="008134EB">
            <w:pPr>
              <w:pStyle w:val="TableParagraph"/>
              <w:spacing w:before="216"/>
              <w:ind w:left="105"/>
            </w:pPr>
            <w:r>
              <w:t>Federal</w:t>
            </w:r>
            <w:r>
              <w:rPr>
                <w:spacing w:val="-5"/>
              </w:rPr>
              <w:t xml:space="preserve"> </w:t>
            </w:r>
            <w:r>
              <w:t>Employees’</w:t>
            </w:r>
            <w:r>
              <w:rPr>
                <w:spacing w:val="-5"/>
              </w:rPr>
              <w:t xml:space="preserve"> </w:t>
            </w:r>
            <w:r>
              <w:t>Compensation</w:t>
            </w:r>
            <w:r>
              <w:rPr>
                <w:spacing w:val="-5"/>
              </w:rPr>
              <w:t xml:space="preserve"> </w:t>
            </w:r>
            <w:r>
              <w:t>Act</w:t>
            </w:r>
            <w:r>
              <w:rPr>
                <w:spacing w:val="-5"/>
              </w:rPr>
              <w:t xml:space="preserve"> </w:t>
            </w:r>
            <w:r>
              <w:t>(FECA),</w:t>
            </w:r>
            <w:r>
              <w:rPr>
                <w:spacing w:val="-4"/>
              </w:rPr>
              <w:t xml:space="preserve"> </w:t>
            </w:r>
            <w:r>
              <w:t>as</w:t>
            </w:r>
            <w:r>
              <w:rPr>
                <w:spacing w:val="-5"/>
              </w:rPr>
              <w:t xml:space="preserve"> </w:t>
            </w:r>
            <w:r>
              <w:t>provided</w:t>
            </w:r>
            <w:r>
              <w:rPr>
                <w:spacing w:val="-6"/>
              </w:rPr>
              <w:t xml:space="preserve"> </w:t>
            </w:r>
            <w:r>
              <w:t>in</w:t>
            </w:r>
            <w:r>
              <w:rPr>
                <w:spacing w:val="-5"/>
              </w:rPr>
              <w:t xml:space="preserve"> </w:t>
            </w:r>
            <w:r>
              <w:t>5</w:t>
            </w:r>
            <w:r>
              <w:rPr>
                <w:spacing w:val="-5"/>
              </w:rPr>
              <w:t xml:space="preserve"> </w:t>
            </w:r>
            <w:r>
              <w:t>U.S.C. chapter 81</w:t>
            </w:r>
          </w:p>
        </w:tc>
        <w:tc>
          <w:tcPr>
            <w:tcW w:w="1710" w:type="dxa"/>
            <w:tcBorders>
              <w:top w:val="single" w:sz="4" w:space="0" w:color="000000"/>
              <w:left w:val="single" w:sz="4" w:space="0" w:color="000000"/>
              <w:bottom w:val="single" w:sz="4" w:space="0" w:color="000000"/>
            </w:tcBorders>
          </w:tcPr>
          <w:p w14:paraId="0DFDB515" w14:textId="77777777" w:rsidR="00046465" w:rsidRDefault="008134EB">
            <w:pPr>
              <w:pStyle w:val="TableParagraph"/>
              <w:spacing w:before="216"/>
              <w:ind w:left="115"/>
            </w:pPr>
            <w:r>
              <w:t>FAM</w:t>
            </w:r>
            <w:r>
              <w:rPr>
                <w:spacing w:val="-7"/>
              </w:rPr>
              <w:t xml:space="preserve"> </w:t>
            </w:r>
            <w:r>
              <w:rPr>
                <w:spacing w:val="-5"/>
              </w:rPr>
              <w:t>810</w:t>
            </w:r>
          </w:p>
        </w:tc>
      </w:tr>
      <w:tr w:rsidR="00046465" w14:paraId="0DFDB51A" w14:textId="77777777">
        <w:trPr>
          <w:trHeight w:val="938"/>
        </w:trPr>
        <w:tc>
          <w:tcPr>
            <w:tcW w:w="7650" w:type="dxa"/>
            <w:tcBorders>
              <w:top w:val="single" w:sz="4" w:space="0" w:color="000000"/>
              <w:right w:val="single" w:sz="4" w:space="0" w:color="000000"/>
            </w:tcBorders>
          </w:tcPr>
          <w:p w14:paraId="0DFDB517" w14:textId="77777777" w:rsidR="00046465" w:rsidRDefault="008134EB">
            <w:pPr>
              <w:pStyle w:val="TableParagraph"/>
              <w:spacing w:before="216"/>
              <w:ind w:left="105"/>
            </w:pPr>
            <w:r>
              <w:t>Federal</w:t>
            </w:r>
            <w:r>
              <w:rPr>
                <w:spacing w:val="-8"/>
              </w:rPr>
              <w:t xml:space="preserve"> </w:t>
            </w:r>
            <w:r>
              <w:t>Employees’</w:t>
            </w:r>
            <w:r>
              <w:rPr>
                <w:spacing w:val="-8"/>
              </w:rPr>
              <w:t xml:space="preserve"> </w:t>
            </w:r>
            <w:r>
              <w:t>Retirement</w:t>
            </w:r>
            <w:r>
              <w:rPr>
                <w:spacing w:val="-8"/>
              </w:rPr>
              <w:t xml:space="preserve"> </w:t>
            </w:r>
            <w:r>
              <w:t>System</w:t>
            </w:r>
            <w:r>
              <w:rPr>
                <w:spacing w:val="-9"/>
              </w:rPr>
              <w:t xml:space="preserve"> </w:t>
            </w:r>
            <w:r>
              <w:t>Act</w:t>
            </w:r>
            <w:r>
              <w:rPr>
                <w:spacing w:val="-8"/>
              </w:rPr>
              <w:t xml:space="preserve"> </w:t>
            </w:r>
            <w:r>
              <w:t>(FERSA),</w:t>
            </w:r>
            <w:r>
              <w:rPr>
                <w:spacing w:val="-8"/>
              </w:rPr>
              <w:t xml:space="preserve"> </w:t>
            </w:r>
            <w:r>
              <w:t>as</w:t>
            </w:r>
            <w:r>
              <w:rPr>
                <w:spacing w:val="-8"/>
              </w:rPr>
              <w:t xml:space="preserve"> </w:t>
            </w:r>
            <w:r>
              <w:t>provided</w:t>
            </w:r>
            <w:r>
              <w:rPr>
                <w:spacing w:val="-8"/>
              </w:rPr>
              <w:t xml:space="preserve"> </w:t>
            </w:r>
            <w:r>
              <w:t>in</w:t>
            </w:r>
            <w:r>
              <w:rPr>
                <w:spacing w:val="-7"/>
              </w:rPr>
              <w:t xml:space="preserve"> </w:t>
            </w:r>
            <w:r>
              <w:rPr>
                <w:spacing w:val="-10"/>
              </w:rPr>
              <w:t>5</w:t>
            </w:r>
          </w:p>
          <w:p w14:paraId="0DFDB518" w14:textId="77777777" w:rsidR="00046465" w:rsidRDefault="008134EB">
            <w:pPr>
              <w:pStyle w:val="TableParagraph"/>
              <w:ind w:left="105"/>
            </w:pPr>
            <w:r>
              <w:t>U.S.C.</w:t>
            </w:r>
            <w:r>
              <w:rPr>
                <w:spacing w:val="-9"/>
              </w:rPr>
              <w:t xml:space="preserve"> </w:t>
            </w:r>
            <w:r>
              <w:t>chapter</w:t>
            </w:r>
            <w:r>
              <w:rPr>
                <w:spacing w:val="-8"/>
              </w:rPr>
              <w:t xml:space="preserve"> </w:t>
            </w:r>
            <w:r>
              <w:rPr>
                <w:spacing w:val="-5"/>
              </w:rPr>
              <w:t>84</w:t>
            </w:r>
          </w:p>
        </w:tc>
        <w:tc>
          <w:tcPr>
            <w:tcW w:w="1710" w:type="dxa"/>
            <w:tcBorders>
              <w:top w:val="single" w:sz="4" w:space="0" w:color="000000"/>
              <w:left w:val="single" w:sz="4" w:space="0" w:color="000000"/>
            </w:tcBorders>
          </w:tcPr>
          <w:p w14:paraId="0DFDB519" w14:textId="77777777" w:rsidR="00046465" w:rsidRDefault="008134EB">
            <w:pPr>
              <w:pStyle w:val="TableParagraph"/>
              <w:spacing w:before="216"/>
              <w:ind w:left="114"/>
            </w:pPr>
            <w:r>
              <w:t>FAM</w:t>
            </w:r>
            <w:r>
              <w:rPr>
                <w:spacing w:val="-7"/>
              </w:rPr>
              <w:t xml:space="preserve"> </w:t>
            </w:r>
            <w:r>
              <w:rPr>
                <w:spacing w:val="-5"/>
              </w:rPr>
              <w:t>811</w:t>
            </w:r>
          </w:p>
        </w:tc>
      </w:tr>
    </w:tbl>
    <w:p w14:paraId="0DFDB51B" w14:textId="77777777" w:rsidR="00046465" w:rsidRDefault="00046465">
      <w:pPr>
        <w:pStyle w:val="TableParagraph"/>
        <w:sectPr w:rsidR="00046465">
          <w:headerReference w:type="default" r:id="rId114"/>
          <w:footerReference w:type="default" r:id="rId115"/>
          <w:pgSz w:w="12240" w:h="15840"/>
          <w:pgMar w:top="1340" w:right="720" w:bottom="940" w:left="1080" w:header="721" w:footer="742" w:gutter="0"/>
          <w:pgNumType w:start="2"/>
          <w:cols w:space="720"/>
        </w:sectPr>
      </w:pPr>
    </w:p>
    <w:p w14:paraId="0DFDB51C" w14:textId="77777777" w:rsidR="00046465" w:rsidRDefault="008134EB">
      <w:pPr>
        <w:pStyle w:val="BodyText"/>
        <w:tabs>
          <w:tab w:val="left" w:pos="9685"/>
        </w:tabs>
        <w:spacing w:before="121" w:after="13" w:line="376" w:lineRule="auto"/>
        <w:ind w:left="360" w:right="750"/>
        <w:jc w:val="both"/>
      </w:pPr>
      <w:r>
        <w:lastRenderedPageBreak/>
        <w:t xml:space="preserve">Entity </w:t>
      </w:r>
      <w:r>
        <w:rPr>
          <w:u w:val="single"/>
        </w:rPr>
        <w:tab/>
      </w:r>
      <w:r>
        <w:t xml:space="preserve"> Period of financial statements</w:t>
      </w:r>
      <w:r>
        <w:rPr>
          <w:spacing w:val="143"/>
        </w:rPr>
        <w:t xml:space="preserve"> </w:t>
      </w:r>
      <w:r>
        <w:rPr>
          <w:u w:val="single"/>
        </w:rPr>
        <w:tab/>
      </w:r>
      <w:r>
        <w:t xml:space="preserve"> Job code</w:t>
      </w:r>
      <w:r>
        <w:rPr>
          <w:spacing w:val="175"/>
        </w:rPr>
        <w:t xml:space="preserve"> </w:t>
      </w:r>
      <w:r>
        <w:rPr>
          <w:u w:val="single"/>
        </w:rPr>
        <w:tab/>
      </w:r>
    </w:p>
    <w:tbl>
      <w:tblPr>
        <w:tblW w:w="0" w:type="auto"/>
        <w:tblInd w:w="38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8042"/>
        <w:gridCol w:w="1317"/>
      </w:tblGrid>
      <w:tr w:rsidR="00046465" w14:paraId="0DFDB51F" w14:textId="77777777">
        <w:trPr>
          <w:trHeight w:val="541"/>
        </w:trPr>
        <w:tc>
          <w:tcPr>
            <w:tcW w:w="8042" w:type="dxa"/>
            <w:tcBorders>
              <w:right w:val="single" w:sz="6" w:space="0" w:color="000000"/>
            </w:tcBorders>
          </w:tcPr>
          <w:p w14:paraId="0DFDB51D" w14:textId="77777777" w:rsidR="00046465" w:rsidRDefault="008134EB">
            <w:pPr>
              <w:pStyle w:val="TableParagraph"/>
              <w:spacing w:before="145"/>
              <w:ind w:left="2445"/>
              <w:rPr>
                <w:b/>
              </w:rPr>
            </w:pPr>
            <w:r>
              <w:rPr>
                <w:b/>
              </w:rPr>
              <w:t>Description</w:t>
            </w:r>
            <w:r>
              <w:rPr>
                <w:b/>
                <w:spacing w:val="-9"/>
              </w:rPr>
              <w:t xml:space="preserve"> </w:t>
            </w:r>
            <w:r>
              <w:rPr>
                <w:b/>
              </w:rPr>
              <w:t>of</w:t>
            </w:r>
            <w:r>
              <w:rPr>
                <w:b/>
                <w:spacing w:val="-8"/>
              </w:rPr>
              <w:t xml:space="preserve"> </w:t>
            </w:r>
            <w:r>
              <w:rPr>
                <w:b/>
                <w:spacing w:val="-5"/>
              </w:rPr>
              <w:t>law</w:t>
            </w:r>
          </w:p>
        </w:tc>
        <w:tc>
          <w:tcPr>
            <w:tcW w:w="1317" w:type="dxa"/>
            <w:tcBorders>
              <w:left w:val="single" w:sz="6" w:space="0" w:color="000000"/>
            </w:tcBorders>
          </w:tcPr>
          <w:p w14:paraId="0DFDB51E" w14:textId="77777777" w:rsidR="00046465" w:rsidRDefault="008134EB">
            <w:pPr>
              <w:pStyle w:val="TableParagraph"/>
              <w:spacing w:before="145"/>
              <w:ind w:left="145"/>
              <w:rPr>
                <w:b/>
              </w:rPr>
            </w:pPr>
            <w:r>
              <w:rPr>
                <w:b/>
              </w:rPr>
              <w:t>Yes</w:t>
            </w:r>
            <w:r>
              <w:rPr>
                <w:b/>
                <w:spacing w:val="-3"/>
              </w:rPr>
              <w:t xml:space="preserve"> </w:t>
            </w:r>
            <w:r>
              <w:rPr>
                <w:b/>
              </w:rPr>
              <w:t>/</w:t>
            </w:r>
            <w:r>
              <w:rPr>
                <w:b/>
                <w:spacing w:val="-3"/>
              </w:rPr>
              <w:t xml:space="preserve"> </w:t>
            </w:r>
            <w:r>
              <w:rPr>
                <w:b/>
                <w:spacing w:val="-5"/>
              </w:rPr>
              <w:t>No</w:t>
            </w:r>
          </w:p>
        </w:tc>
      </w:tr>
      <w:tr w:rsidR="00046465" w14:paraId="0DFDB544" w14:textId="77777777">
        <w:trPr>
          <w:trHeight w:val="8488"/>
        </w:trPr>
        <w:tc>
          <w:tcPr>
            <w:tcW w:w="8042" w:type="dxa"/>
            <w:tcBorders>
              <w:right w:val="single" w:sz="6" w:space="0" w:color="000000"/>
            </w:tcBorders>
          </w:tcPr>
          <w:p w14:paraId="0DFDB520" w14:textId="77777777" w:rsidR="00046465" w:rsidRDefault="008134EB">
            <w:pPr>
              <w:pStyle w:val="TableParagraph"/>
              <w:spacing w:before="144"/>
              <w:ind w:left="129" w:right="255"/>
              <w:rPr>
                <w:b/>
              </w:rPr>
            </w:pPr>
            <w:r>
              <w:rPr>
                <w:b/>
              </w:rPr>
              <w:t>Antideficiency</w:t>
            </w:r>
            <w:r>
              <w:rPr>
                <w:b/>
                <w:spacing w:val="-4"/>
              </w:rPr>
              <w:t xml:space="preserve"> </w:t>
            </w:r>
            <w:r>
              <w:rPr>
                <w:b/>
              </w:rPr>
              <w:t>Act</w:t>
            </w:r>
            <w:r>
              <w:rPr>
                <w:b/>
                <w:spacing w:val="-4"/>
              </w:rPr>
              <w:t xml:space="preserve"> </w:t>
            </w:r>
            <w:r>
              <w:rPr>
                <w:b/>
              </w:rPr>
              <w:t>(ADA),</w:t>
            </w:r>
            <w:r>
              <w:rPr>
                <w:b/>
                <w:spacing w:val="-4"/>
              </w:rPr>
              <w:t xml:space="preserve"> </w:t>
            </w:r>
            <w:r>
              <w:rPr>
                <w:b/>
              </w:rPr>
              <w:t>as</w:t>
            </w:r>
            <w:r>
              <w:rPr>
                <w:b/>
                <w:spacing w:val="-4"/>
              </w:rPr>
              <w:t xml:space="preserve"> </w:t>
            </w:r>
            <w:r>
              <w:rPr>
                <w:b/>
              </w:rPr>
              <w:t>provided</w:t>
            </w:r>
            <w:r>
              <w:rPr>
                <w:b/>
                <w:spacing w:val="-4"/>
              </w:rPr>
              <w:t xml:space="preserve"> </w:t>
            </w:r>
            <w:r>
              <w:rPr>
                <w:b/>
              </w:rPr>
              <w:t>primarily</w:t>
            </w:r>
            <w:r>
              <w:rPr>
                <w:b/>
                <w:spacing w:val="-4"/>
              </w:rPr>
              <w:t xml:space="preserve"> </w:t>
            </w:r>
            <w:r>
              <w:rPr>
                <w:b/>
              </w:rPr>
              <w:t>in</w:t>
            </w:r>
            <w:r>
              <w:rPr>
                <w:b/>
                <w:spacing w:val="-4"/>
              </w:rPr>
              <w:t xml:space="preserve"> </w:t>
            </w:r>
            <w:r>
              <w:rPr>
                <w:b/>
              </w:rPr>
              <w:t>31</w:t>
            </w:r>
            <w:r>
              <w:rPr>
                <w:b/>
                <w:spacing w:val="-4"/>
              </w:rPr>
              <w:t xml:space="preserve"> </w:t>
            </w:r>
            <w:r>
              <w:rPr>
                <w:b/>
              </w:rPr>
              <w:t>U.S.C.</w:t>
            </w:r>
            <w:r>
              <w:rPr>
                <w:b/>
                <w:spacing w:val="-4"/>
              </w:rPr>
              <w:t xml:space="preserve"> </w:t>
            </w:r>
            <w:r>
              <w:rPr>
                <w:b/>
              </w:rPr>
              <w:t>chapters</w:t>
            </w:r>
            <w:r>
              <w:rPr>
                <w:b/>
                <w:spacing w:val="-4"/>
              </w:rPr>
              <w:t xml:space="preserve"> </w:t>
            </w:r>
            <w:r>
              <w:rPr>
                <w:b/>
              </w:rPr>
              <w:t>13, 15 (31 U.S.C. §§ 1341(a)(1)(A), (B); and 31 U.S.C. § 1517(a))</w:t>
            </w:r>
            <w:hyperlink w:anchor="_bookmark63" w:history="1">
              <w:r>
                <w:rPr>
                  <w:b/>
                  <w:vertAlign w:val="superscript"/>
                </w:rPr>
                <w:t>1</w:t>
              </w:r>
            </w:hyperlink>
          </w:p>
          <w:p w14:paraId="0DFDB521" w14:textId="77777777" w:rsidR="00046465" w:rsidRDefault="008134EB">
            <w:pPr>
              <w:pStyle w:val="TableParagraph"/>
              <w:spacing w:before="145"/>
              <w:ind w:left="129" w:right="255"/>
            </w:pPr>
            <w:r>
              <w:t>This</w:t>
            </w:r>
            <w:r>
              <w:rPr>
                <w:spacing w:val="-4"/>
              </w:rPr>
              <w:t xml:space="preserve"> </w:t>
            </w:r>
            <w:r>
              <w:t>law</w:t>
            </w:r>
            <w:r>
              <w:rPr>
                <w:spacing w:val="-5"/>
              </w:rPr>
              <w:t xml:space="preserve"> </w:t>
            </w:r>
            <w:r>
              <w:t>imposes</w:t>
            </w:r>
            <w:r>
              <w:rPr>
                <w:spacing w:val="-4"/>
              </w:rPr>
              <w:t xml:space="preserve"> </w:t>
            </w:r>
            <w:r>
              <w:t>restrictions</w:t>
            </w:r>
            <w:r>
              <w:rPr>
                <w:spacing w:val="-4"/>
              </w:rPr>
              <w:t xml:space="preserve"> </w:t>
            </w:r>
            <w:r>
              <w:t>on</w:t>
            </w:r>
            <w:r>
              <w:rPr>
                <w:spacing w:val="-4"/>
              </w:rPr>
              <w:t xml:space="preserve"> </w:t>
            </w:r>
            <w:r>
              <w:t>the</w:t>
            </w:r>
            <w:r>
              <w:rPr>
                <w:spacing w:val="-5"/>
              </w:rPr>
              <w:t xml:space="preserve"> </w:t>
            </w:r>
            <w:r>
              <w:t>amounts</w:t>
            </w:r>
            <w:r>
              <w:rPr>
                <w:spacing w:val="-4"/>
              </w:rPr>
              <w:t xml:space="preserve"> </w:t>
            </w:r>
            <w:r>
              <w:t>of</w:t>
            </w:r>
            <w:r>
              <w:rPr>
                <w:spacing w:val="-4"/>
              </w:rPr>
              <w:t xml:space="preserve"> </w:t>
            </w:r>
            <w:r>
              <w:t>obligations</w:t>
            </w:r>
            <w:r>
              <w:rPr>
                <w:spacing w:val="-6"/>
              </w:rPr>
              <w:t xml:space="preserve"> </w:t>
            </w:r>
            <w:r>
              <w:t>or</w:t>
            </w:r>
            <w:r>
              <w:rPr>
                <w:spacing w:val="-4"/>
              </w:rPr>
              <w:t xml:space="preserve"> </w:t>
            </w:r>
            <w:r>
              <w:t>expenditures that entities may make. More specifically, this law provides that the entity’s officers or employees, unless authorized by law, shall not:</w:t>
            </w:r>
          </w:p>
          <w:p w14:paraId="0DFDB522" w14:textId="77777777" w:rsidR="00046465" w:rsidRDefault="008134EB">
            <w:pPr>
              <w:pStyle w:val="TableParagraph"/>
              <w:numPr>
                <w:ilvl w:val="0"/>
                <w:numId w:val="181"/>
              </w:numPr>
              <w:tabs>
                <w:tab w:val="left" w:pos="848"/>
                <w:tab w:val="left" w:pos="909"/>
              </w:tabs>
              <w:spacing w:before="143"/>
              <w:ind w:right="350" w:hanging="360"/>
            </w:pPr>
            <w:r>
              <w:t>make</w:t>
            </w:r>
            <w:r>
              <w:rPr>
                <w:spacing w:val="-5"/>
              </w:rPr>
              <w:t xml:space="preserve"> </w:t>
            </w:r>
            <w:r>
              <w:t>or</w:t>
            </w:r>
            <w:r>
              <w:rPr>
                <w:spacing w:val="-5"/>
              </w:rPr>
              <w:t xml:space="preserve"> </w:t>
            </w:r>
            <w:r>
              <w:t>authorize</w:t>
            </w:r>
            <w:r>
              <w:rPr>
                <w:spacing w:val="-5"/>
              </w:rPr>
              <w:t xml:space="preserve"> </w:t>
            </w:r>
            <w:r>
              <w:t>expenditures</w:t>
            </w:r>
            <w:r>
              <w:rPr>
                <w:spacing w:val="-5"/>
              </w:rPr>
              <w:t xml:space="preserve"> </w:t>
            </w:r>
            <w:r>
              <w:t>or</w:t>
            </w:r>
            <w:r>
              <w:rPr>
                <w:spacing w:val="-5"/>
              </w:rPr>
              <w:t xml:space="preserve"> </w:t>
            </w:r>
            <w:r>
              <w:t>obligations</w:t>
            </w:r>
            <w:r>
              <w:rPr>
                <w:spacing w:val="-6"/>
              </w:rPr>
              <w:t xml:space="preserve"> </w:t>
            </w:r>
            <w:r>
              <w:t>that</w:t>
            </w:r>
            <w:r>
              <w:rPr>
                <w:spacing w:val="-5"/>
              </w:rPr>
              <w:t xml:space="preserve"> </w:t>
            </w:r>
            <w:r>
              <w:t>exceed</w:t>
            </w:r>
            <w:r>
              <w:rPr>
                <w:spacing w:val="-5"/>
              </w:rPr>
              <w:t xml:space="preserve"> </w:t>
            </w:r>
            <w:r>
              <w:t>the</w:t>
            </w:r>
            <w:r>
              <w:rPr>
                <w:spacing w:val="-5"/>
              </w:rPr>
              <w:t xml:space="preserve"> </w:t>
            </w:r>
            <w:r>
              <w:t>amount available for expenditure or obligation in an appropriation or a fund;</w:t>
            </w:r>
          </w:p>
          <w:p w14:paraId="0DFDB523" w14:textId="77777777" w:rsidR="00046465" w:rsidRDefault="008134EB">
            <w:pPr>
              <w:pStyle w:val="TableParagraph"/>
              <w:numPr>
                <w:ilvl w:val="0"/>
                <w:numId w:val="181"/>
              </w:numPr>
              <w:tabs>
                <w:tab w:val="left" w:pos="848"/>
                <w:tab w:val="left" w:pos="909"/>
              </w:tabs>
              <w:spacing w:before="145"/>
              <w:ind w:right="520" w:hanging="360"/>
            </w:pPr>
            <w:r>
              <w:t>involve the U.S. government in a contract or an obligation for the payment</w:t>
            </w:r>
            <w:r>
              <w:rPr>
                <w:spacing w:val="-4"/>
              </w:rPr>
              <w:t xml:space="preserve"> </w:t>
            </w:r>
            <w:r>
              <w:t>of</w:t>
            </w:r>
            <w:r>
              <w:rPr>
                <w:spacing w:val="-4"/>
              </w:rPr>
              <w:t xml:space="preserve"> </w:t>
            </w:r>
            <w:r>
              <w:t>money</w:t>
            </w:r>
            <w:r>
              <w:rPr>
                <w:spacing w:val="-4"/>
              </w:rPr>
              <w:t xml:space="preserve"> </w:t>
            </w:r>
            <w:r>
              <w:t>for</w:t>
            </w:r>
            <w:r>
              <w:rPr>
                <w:spacing w:val="-4"/>
              </w:rPr>
              <w:t xml:space="preserve"> </w:t>
            </w:r>
            <w:r>
              <w:t>any</w:t>
            </w:r>
            <w:r>
              <w:rPr>
                <w:spacing w:val="-4"/>
              </w:rPr>
              <w:t xml:space="preserve"> </w:t>
            </w:r>
            <w:r>
              <w:t>purpose</w:t>
            </w:r>
            <w:r>
              <w:rPr>
                <w:spacing w:val="-5"/>
              </w:rPr>
              <w:t xml:space="preserve"> </w:t>
            </w:r>
            <w:r>
              <w:t>before</w:t>
            </w:r>
            <w:r>
              <w:rPr>
                <w:spacing w:val="-4"/>
              </w:rPr>
              <w:t xml:space="preserve"> </w:t>
            </w:r>
            <w:r>
              <w:t>an</w:t>
            </w:r>
            <w:r>
              <w:rPr>
                <w:spacing w:val="-4"/>
              </w:rPr>
              <w:t xml:space="preserve"> </w:t>
            </w:r>
            <w:r>
              <w:t>appropriation</w:t>
            </w:r>
            <w:r>
              <w:rPr>
                <w:spacing w:val="-5"/>
              </w:rPr>
              <w:t xml:space="preserve"> </w:t>
            </w:r>
            <w:r>
              <w:t>for</w:t>
            </w:r>
            <w:r>
              <w:rPr>
                <w:spacing w:val="-4"/>
              </w:rPr>
              <w:t xml:space="preserve"> </w:t>
            </w:r>
            <w:r>
              <w:t>such purpose is made; or</w:t>
            </w:r>
          </w:p>
          <w:p w14:paraId="0DFDB524" w14:textId="77777777" w:rsidR="00046465" w:rsidRDefault="008134EB">
            <w:pPr>
              <w:pStyle w:val="TableParagraph"/>
              <w:numPr>
                <w:ilvl w:val="0"/>
                <w:numId w:val="181"/>
              </w:numPr>
              <w:tabs>
                <w:tab w:val="left" w:pos="848"/>
                <w:tab w:val="left" w:pos="909"/>
              </w:tabs>
              <w:spacing w:before="143"/>
              <w:ind w:right="350" w:hanging="360"/>
            </w:pPr>
            <w:r>
              <w:t>make</w:t>
            </w:r>
            <w:r>
              <w:rPr>
                <w:spacing w:val="-5"/>
              </w:rPr>
              <w:t xml:space="preserve"> </w:t>
            </w:r>
            <w:r>
              <w:t>or</w:t>
            </w:r>
            <w:r>
              <w:rPr>
                <w:spacing w:val="-5"/>
              </w:rPr>
              <w:t xml:space="preserve"> </w:t>
            </w:r>
            <w:r>
              <w:t>authorize</w:t>
            </w:r>
            <w:r>
              <w:rPr>
                <w:spacing w:val="-5"/>
              </w:rPr>
              <w:t xml:space="preserve"> </w:t>
            </w:r>
            <w:r>
              <w:t>expenditures</w:t>
            </w:r>
            <w:r>
              <w:rPr>
                <w:spacing w:val="-5"/>
              </w:rPr>
              <w:t xml:space="preserve"> </w:t>
            </w:r>
            <w:r>
              <w:t>or</w:t>
            </w:r>
            <w:r>
              <w:rPr>
                <w:spacing w:val="-5"/>
              </w:rPr>
              <w:t xml:space="preserve"> </w:t>
            </w:r>
            <w:r>
              <w:t>obligations</w:t>
            </w:r>
            <w:r>
              <w:rPr>
                <w:spacing w:val="-6"/>
              </w:rPr>
              <w:t xml:space="preserve"> </w:t>
            </w:r>
            <w:r>
              <w:t>that</w:t>
            </w:r>
            <w:r>
              <w:rPr>
                <w:spacing w:val="-5"/>
              </w:rPr>
              <w:t xml:space="preserve"> </w:t>
            </w:r>
            <w:r>
              <w:t>exceed</w:t>
            </w:r>
            <w:r>
              <w:rPr>
                <w:spacing w:val="-5"/>
              </w:rPr>
              <w:t xml:space="preserve"> </w:t>
            </w:r>
            <w:r>
              <w:t>the</w:t>
            </w:r>
            <w:r>
              <w:rPr>
                <w:spacing w:val="-5"/>
              </w:rPr>
              <w:t xml:space="preserve"> </w:t>
            </w:r>
            <w:r>
              <w:t>amount of an apportionment (or reapportionment, if applicable) or a lesser amount, if any, established by entity regulations (</w:t>
            </w:r>
            <w:r>
              <w:rPr>
                <w:i/>
              </w:rPr>
              <w:t xml:space="preserve">e.g., </w:t>
            </w:r>
            <w:r>
              <w:t xml:space="preserve">an allotment </w:t>
            </w:r>
            <w:r>
              <w:rPr>
                <w:spacing w:val="-2"/>
              </w:rPr>
              <w:t>level).</w:t>
            </w:r>
          </w:p>
          <w:p w14:paraId="0DFDB525" w14:textId="77777777" w:rsidR="00046465" w:rsidRDefault="008134EB">
            <w:pPr>
              <w:pStyle w:val="TableParagraph"/>
              <w:spacing w:before="144"/>
              <w:ind w:left="129"/>
            </w:pPr>
            <w:r>
              <w:t>As discussed in FAM 250, Identify Relevant Budget Restrictions, the auditor should</w:t>
            </w:r>
            <w:r>
              <w:rPr>
                <w:spacing w:val="-4"/>
              </w:rPr>
              <w:t xml:space="preserve"> </w:t>
            </w:r>
            <w:r>
              <w:t>obtain</w:t>
            </w:r>
            <w:r>
              <w:rPr>
                <w:spacing w:val="-4"/>
              </w:rPr>
              <w:t xml:space="preserve"> </w:t>
            </w:r>
            <w:r>
              <w:t>information</w:t>
            </w:r>
            <w:r>
              <w:rPr>
                <w:spacing w:val="-4"/>
              </w:rPr>
              <w:t xml:space="preserve"> </w:t>
            </w:r>
            <w:r>
              <w:t>on</w:t>
            </w:r>
            <w:r>
              <w:rPr>
                <w:spacing w:val="-4"/>
              </w:rPr>
              <w:t xml:space="preserve"> </w:t>
            </w:r>
            <w:r>
              <w:t>the</w:t>
            </w:r>
            <w:r>
              <w:rPr>
                <w:spacing w:val="-4"/>
              </w:rPr>
              <w:t xml:space="preserve"> </w:t>
            </w:r>
            <w:r>
              <w:t>entity’s</w:t>
            </w:r>
            <w:r>
              <w:rPr>
                <w:spacing w:val="-4"/>
              </w:rPr>
              <w:t xml:space="preserve"> </w:t>
            </w:r>
            <w:r>
              <w:t>budget</w:t>
            </w:r>
            <w:r>
              <w:rPr>
                <w:spacing w:val="-5"/>
              </w:rPr>
              <w:t xml:space="preserve"> </w:t>
            </w:r>
            <w:r>
              <w:t>authority,</w:t>
            </w:r>
            <w:r>
              <w:rPr>
                <w:spacing w:val="-4"/>
              </w:rPr>
              <w:t xml:space="preserve"> </w:t>
            </w:r>
            <w:r>
              <w:t>from</w:t>
            </w:r>
            <w:r>
              <w:rPr>
                <w:spacing w:val="-5"/>
              </w:rPr>
              <w:t xml:space="preserve"> </w:t>
            </w:r>
            <w:r>
              <w:t>sources</w:t>
            </w:r>
            <w:r>
              <w:rPr>
                <w:spacing w:val="-4"/>
              </w:rPr>
              <w:t xml:space="preserve"> </w:t>
            </w:r>
            <w:r>
              <w:t>such</w:t>
            </w:r>
            <w:r>
              <w:rPr>
                <w:spacing w:val="-4"/>
              </w:rPr>
              <w:t xml:space="preserve"> </w:t>
            </w:r>
            <w:r>
              <w:t xml:space="preserve">as appropriation statutes, and identify all legally binding restrictions on budget </w:t>
            </w:r>
            <w:r>
              <w:rPr>
                <w:spacing w:val="-2"/>
              </w:rPr>
              <w:t>execution.</w:t>
            </w:r>
          </w:p>
          <w:p w14:paraId="0DFDB526" w14:textId="77777777" w:rsidR="00046465" w:rsidRDefault="008134EB">
            <w:pPr>
              <w:pStyle w:val="TableParagraph"/>
              <w:spacing w:before="145"/>
              <w:ind w:left="129" w:right="138"/>
              <w:rPr>
                <w:i/>
              </w:rPr>
            </w:pPr>
            <w:r>
              <w:rPr>
                <w:i/>
              </w:rPr>
              <w:t>Does</w:t>
            </w:r>
            <w:r>
              <w:rPr>
                <w:i/>
                <w:spacing w:val="-3"/>
              </w:rPr>
              <w:t xml:space="preserve"> </w:t>
            </w:r>
            <w:r>
              <w:rPr>
                <w:i/>
              </w:rPr>
              <w:t>the</w:t>
            </w:r>
            <w:r>
              <w:rPr>
                <w:i/>
                <w:spacing w:val="-3"/>
              </w:rPr>
              <w:t xml:space="preserve"> </w:t>
            </w:r>
            <w:r>
              <w:rPr>
                <w:i/>
              </w:rPr>
              <w:t>entity</w:t>
            </w:r>
            <w:r>
              <w:rPr>
                <w:i/>
                <w:spacing w:val="-3"/>
              </w:rPr>
              <w:t xml:space="preserve"> </w:t>
            </w:r>
            <w:r>
              <w:rPr>
                <w:i/>
              </w:rPr>
              <w:t>have</w:t>
            </w:r>
            <w:r>
              <w:rPr>
                <w:i/>
                <w:spacing w:val="-3"/>
              </w:rPr>
              <w:t xml:space="preserve"> </w:t>
            </w:r>
            <w:r>
              <w:rPr>
                <w:i/>
              </w:rPr>
              <w:t>appropriations</w:t>
            </w:r>
            <w:r>
              <w:rPr>
                <w:i/>
                <w:spacing w:val="-4"/>
              </w:rPr>
              <w:t xml:space="preserve"> </w:t>
            </w:r>
            <w:r>
              <w:rPr>
                <w:i/>
              </w:rPr>
              <w:t>or</w:t>
            </w:r>
            <w:r>
              <w:rPr>
                <w:i/>
                <w:spacing w:val="-3"/>
              </w:rPr>
              <w:t xml:space="preserve"> </w:t>
            </w:r>
            <w:r>
              <w:rPr>
                <w:i/>
              </w:rPr>
              <w:t>other</w:t>
            </w:r>
            <w:r>
              <w:rPr>
                <w:i/>
                <w:spacing w:val="-3"/>
              </w:rPr>
              <w:t xml:space="preserve"> </w:t>
            </w:r>
            <w:r>
              <w:rPr>
                <w:i/>
              </w:rPr>
              <w:t>funds</w:t>
            </w:r>
            <w:r>
              <w:rPr>
                <w:i/>
                <w:spacing w:val="-3"/>
              </w:rPr>
              <w:t xml:space="preserve"> </w:t>
            </w:r>
            <w:r>
              <w:rPr>
                <w:i/>
              </w:rPr>
              <w:t>that</w:t>
            </w:r>
            <w:r>
              <w:rPr>
                <w:i/>
                <w:spacing w:val="-3"/>
              </w:rPr>
              <w:t xml:space="preserve"> </w:t>
            </w:r>
            <w:r>
              <w:rPr>
                <w:i/>
              </w:rPr>
              <w:t>are</w:t>
            </w:r>
            <w:r>
              <w:rPr>
                <w:i/>
                <w:spacing w:val="-3"/>
              </w:rPr>
              <w:t xml:space="preserve"> </w:t>
            </w:r>
            <w:r>
              <w:rPr>
                <w:i/>
              </w:rPr>
              <w:t>limited</w:t>
            </w:r>
            <w:r>
              <w:rPr>
                <w:i/>
                <w:spacing w:val="-3"/>
              </w:rPr>
              <w:t xml:space="preserve"> </w:t>
            </w:r>
            <w:r>
              <w:rPr>
                <w:i/>
              </w:rPr>
              <w:t>to</w:t>
            </w:r>
            <w:r>
              <w:rPr>
                <w:i/>
                <w:spacing w:val="-3"/>
              </w:rPr>
              <w:t xml:space="preserve"> </w:t>
            </w:r>
            <w:r>
              <w:rPr>
                <w:i/>
              </w:rPr>
              <w:t>an</w:t>
            </w:r>
            <w:r>
              <w:rPr>
                <w:i/>
                <w:spacing w:val="-3"/>
              </w:rPr>
              <w:t xml:space="preserve"> </w:t>
            </w:r>
            <w:r>
              <w:rPr>
                <w:i/>
              </w:rPr>
              <w:t>amount or a specified period of availability?</w:t>
            </w:r>
          </w:p>
          <w:p w14:paraId="0DFDB527" w14:textId="77777777" w:rsidR="00046465" w:rsidRDefault="008134EB">
            <w:pPr>
              <w:pStyle w:val="TableParagraph"/>
              <w:spacing w:before="143"/>
              <w:ind w:left="129"/>
            </w:pPr>
            <w:r>
              <w:t>Because</w:t>
            </w:r>
            <w:r>
              <w:rPr>
                <w:spacing w:val="-4"/>
              </w:rPr>
              <w:t xml:space="preserve"> </w:t>
            </w:r>
            <w:r>
              <w:t>the</w:t>
            </w:r>
            <w:r>
              <w:rPr>
                <w:spacing w:val="-5"/>
              </w:rPr>
              <w:t xml:space="preserve"> </w:t>
            </w:r>
            <w:r>
              <w:t>Antideficiency</w:t>
            </w:r>
            <w:r>
              <w:rPr>
                <w:spacing w:val="-4"/>
              </w:rPr>
              <w:t xml:space="preserve"> </w:t>
            </w:r>
            <w:r>
              <w:t>Act</w:t>
            </w:r>
            <w:r>
              <w:rPr>
                <w:spacing w:val="-4"/>
              </w:rPr>
              <w:t xml:space="preserve"> </w:t>
            </w:r>
            <w:r>
              <w:t>has</w:t>
            </w:r>
            <w:r>
              <w:rPr>
                <w:spacing w:val="-4"/>
              </w:rPr>
              <w:t xml:space="preserve"> </w:t>
            </w:r>
            <w:r>
              <w:t>no</w:t>
            </w:r>
            <w:r>
              <w:rPr>
                <w:spacing w:val="-4"/>
              </w:rPr>
              <w:t xml:space="preserve"> </w:t>
            </w:r>
            <w:r>
              <w:t>materiality</w:t>
            </w:r>
            <w:r>
              <w:rPr>
                <w:spacing w:val="-5"/>
              </w:rPr>
              <w:t xml:space="preserve"> </w:t>
            </w:r>
            <w:r>
              <w:t>limit,</w:t>
            </w:r>
            <w:r>
              <w:rPr>
                <w:spacing w:val="-4"/>
              </w:rPr>
              <w:t xml:space="preserve"> </w:t>
            </w:r>
            <w:r>
              <w:t>the</w:t>
            </w:r>
            <w:r>
              <w:rPr>
                <w:spacing w:val="-4"/>
              </w:rPr>
              <w:t xml:space="preserve"> </w:t>
            </w:r>
            <w:r>
              <w:t>auditor</w:t>
            </w:r>
            <w:r>
              <w:rPr>
                <w:spacing w:val="-4"/>
              </w:rPr>
              <w:t xml:space="preserve"> </w:t>
            </w:r>
            <w:r>
              <w:t>should complete the compliance supplement at FAM 803.</w:t>
            </w:r>
          </w:p>
        </w:tc>
        <w:tc>
          <w:tcPr>
            <w:tcW w:w="1317" w:type="dxa"/>
            <w:tcBorders>
              <w:left w:val="single" w:sz="6" w:space="0" w:color="000000"/>
            </w:tcBorders>
          </w:tcPr>
          <w:p w14:paraId="0DFDB528" w14:textId="77777777" w:rsidR="00046465" w:rsidRDefault="00046465">
            <w:pPr>
              <w:pStyle w:val="TableParagraph"/>
              <w:rPr>
                <w:sz w:val="20"/>
              </w:rPr>
            </w:pPr>
          </w:p>
          <w:p w14:paraId="0DFDB529" w14:textId="77777777" w:rsidR="00046465" w:rsidRDefault="00046465">
            <w:pPr>
              <w:pStyle w:val="TableParagraph"/>
              <w:rPr>
                <w:sz w:val="20"/>
              </w:rPr>
            </w:pPr>
          </w:p>
          <w:p w14:paraId="0DFDB52A" w14:textId="77777777" w:rsidR="00046465" w:rsidRDefault="00046465">
            <w:pPr>
              <w:pStyle w:val="TableParagraph"/>
              <w:rPr>
                <w:sz w:val="20"/>
              </w:rPr>
            </w:pPr>
          </w:p>
          <w:p w14:paraId="0DFDB52B" w14:textId="77777777" w:rsidR="00046465" w:rsidRDefault="00046465">
            <w:pPr>
              <w:pStyle w:val="TableParagraph"/>
              <w:rPr>
                <w:sz w:val="20"/>
              </w:rPr>
            </w:pPr>
          </w:p>
          <w:p w14:paraId="0DFDB52C" w14:textId="77777777" w:rsidR="00046465" w:rsidRDefault="00046465">
            <w:pPr>
              <w:pStyle w:val="TableParagraph"/>
              <w:rPr>
                <w:sz w:val="20"/>
              </w:rPr>
            </w:pPr>
          </w:p>
          <w:p w14:paraId="0DFDB52D" w14:textId="77777777" w:rsidR="00046465" w:rsidRDefault="00046465">
            <w:pPr>
              <w:pStyle w:val="TableParagraph"/>
              <w:rPr>
                <w:sz w:val="20"/>
              </w:rPr>
            </w:pPr>
          </w:p>
          <w:p w14:paraId="0DFDB52E" w14:textId="77777777" w:rsidR="00046465" w:rsidRDefault="00046465">
            <w:pPr>
              <w:pStyle w:val="TableParagraph"/>
              <w:rPr>
                <w:sz w:val="20"/>
              </w:rPr>
            </w:pPr>
          </w:p>
          <w:p w14:paraId="0DFDB52F" w14:textId="77777777" w:rsidR="00046465" w:rsidRDefault="00046465">
            <w:pPr>
              <w:pStyle w:val="TableParagraph"/>
              <w:rPr>
                <w:sz w:val="20"/>
              </w:rPr>
            </w:pPr>
          </w:p>
          <w:p w14:paraId="0DFDB530" w14:textId="77777777" w:rsidR="00046465" w:rsidRDefault="00046465">
            <w:pPr>
              <w:pStyle w:val="TableParagraph"/>
              <w:rPr>
                <w:sz w:val="20"/>
              </w:rPr>
            </w:pPr>
          </w:p>
          <w:p w14:paraId="0DFDB531" w14:textId="77777777" w:rsidR="00046465" w:rsidRDefault="00046465">
            <w:pPr>
              <w:pStyle w:val="TableParagraph"/>
              <w:rPr>
                <w:sz w:val="20"/>
              </w:rPr>
            </w:pPr>
          </w:p>
          <w:p w14:paraId="0DFDB532" w14:textId="77777777" w:rsidR="00046465" w:rsidRDefault="00046465">
            <w:pPr>
              <w:pStyle w:val="TableParagraph"/>
              <w:rPr>
                <w:sz w:val="20"/>
              </w:rPr>
            </w:pPr>
          </w:p>
          <w:p w14:paraId="0DFDB533" w14:textId="77777777" w:rsidR="00046465" w:rsidRDefault="00046465">
            <w:pPr>
              <w:pStyle w:val="TableParagraph"/>
              <w:rPr>
                <w:sz w:val="20"/>
              </w:rPr>
            </w:pPr>
          </w:p>
          <w:p w14:paraId="0DFDB534" w14:textId="77777777" w:rsidR="00046465" w:rsidRDefault="00046465">
            <w:pPr>
              <w:pStyle w:val="TableParagraph"/>
              <w:rPr>
                <w:sz w:val="20"/>
              </w:rPr>
            </w:pPr>
          </w:p>
          <w:p w14:paraId="0DFDB535" w14:textId="77777777" w:rsidR="00046465" w:rsidRDefault="00046465">
            <w:pPr>
              <w:pStyle w:val="TableParagraph"/>
              <w:rPr>
                <w:sz w:val="20"/>
              </w:rPr>
            </w:pPr>
          </w:p>
          <w:p w14:paraId="0DFDB536" w14:textId="77777777" w:rsidR="00046465" w:rsidRDefault="00046465">
            <w:pPr>
              <w:pStyle w:val="TableParagraph"/>
              <w:rPr>
                <w:sz w:val="20"/>
              </w:rPr>
            </w:pPr>
          </w:p>
          <w:p w14:paraId="0DFDB537" w14:textId="77777777" w:rsidR="00046465" w:rsidRDefault="00046465">
            <w:pPr>
              <w:pStyle w:val="TableParagraph"/>
              <w:rPr>
                <w:sz w:val="20"/>
              </w:rPr>
            </w:pPr>
          </w:p>
          <w:p w14:paraId="0DFDB538" w14:textId="77777777" w:rsidR="00046465" w:rsidRDefault="00046465">
            <w:pPr>
              <w:pStyle w:val="TableParagraph"/>
              <w:rPr>
                <w:sz w:val="20"/>
              </w:rPr>
            </w:pPr>
          </w:p>
          <w:p w14:paraId="0DFDB539" w14:textId="77777777" w:rsidR="00046465" w:rsidRDefault="00046465">
            <w:pPr>
              <w:pStyle w:val="TableParagraph"/>
              <w:rPr>
                <w:sz w:val="20"/>
              </w:rPr>
            </w:pPr>
          </w:p>
          <w:p w14:paraId="0DFDB53A" w14:textId="77777777" w:rsidR="00046465" w:rsidRDefault="00046465">
            <w:pPr>
              <w:pStyle w:val="TableParagraph"/>
              <w:rPr>
                <w:sz w:val="20"/>
              </w:rPr>
            </w:pPr>
          </w:p>
          <w:p w14:paraId="0DFDB53B" w14:textId="77777777" w:rsidR="00046465" w:rsidRDefault="00046465">
            <w:pPr>
              <w:pStyle w:val="TableParagraph"/>
              <w:rPr>
                <w:sz w:val="20"/>
              </w:rPr>
            </w:pPr>
          </w:p>
          <w:p w14:paraId="0DFDB53C" w14:textId="77777777" w:rsidR="00046465" w:rsidRDefault="00046465">
            <w:pPr>
              <w:pStyle w:val="TableParagraph"/>
              <w:rPr>
                <w:sz w:val="20"/>
              </w:rPr>
            </w:pPr>
          </w:p>
          <w:p w14:paraId="0DFDB53D" w14:textId="77777777" w:rsidR="00046465" w:rsidRDefault="00046465">
            <w:pPr>
              <w:pStyle w:val="TableParagraph"/>
              <w:rPr>
                <w:sz w:val="20"/>
              </w:rPr>
            </w:pPr>
          </w:p>
          <w:p w14:paraId="0DFDB53E" w14:textId="77777777" w:rsidR="00046465" w:rsidRDefault="00046465">
            <w:pPr>
              <w:pStyle w:val="TableParagraph"/>
              <w:rPr>
                <w:sz w:val="20"/>
              </w:rPr>
            </w:pPr>
          </w:p>
          <w:p w14:paraId="0DFDB53F" w14:textId="77777777" w:rsidR="00046465" w:rsidRDefault="00046465">
            <w:pPr>
              <w:pStyle w:val="TableParagraph"/>
              <w:rPr>
                <w:sz w:val="20"/>
              </w:rPr>
            </w:pPr>
          </w:p>
          <w:p w14:paraId="0DFDB540" w14:textId="77777777" w:rsidR="00046465" w:rsidRDefault="00046465">
            <w:pPr>
              <w:pStyle w:val="TableParagraph"/>
              <w:rPr>
                <w:sz w:val="20"/>
              </w:rPr>
            </w:pPr>
          </w:p>
          <w:p w14:paraId="0DFDB541" w14:textId="77777777" w:rsidR="00046465" w:rsidRDefault="00046465">
            <w:pPr>
              <w:pStyle w:val="TableParagraph"/>
              <w:rPr>
                <w:sz w:val="20"/>
              </w:rPr>
            </w:pPr>
          </w:p>
          <w:p w14:paraId="0DFDB542" w14:textId="77777777" w:rsidR="00046465" w:rsidRDefault="00046465">
            <w:pPr>
              <w:pStyle w:val="TableParagraph"/>
              <w:spacing w:before="133"/>
              <w:rPr>
                <w:sz w:val="20"/>
              </w:rPr>
            </w:pPr>
          </w:p>
          <w:p w14:paraId="0DFDB543" w14:textId="77777777" w:rsidR="00046465" w:rsidRDefault="008134EB">
            <w:pPr>
              <w:pStyle w:val="TableParagraph"/>
              <w:spacing w:line="20" w:lineRule="exact"/>
              <w:ind w:left="188"/>
              <w:rPr>
                <w:sz w:val="2"/>
              </w:rPr>
            </w:pPr>
            <w:r>
              <w:rPr>
                <w:noProof/>
                <w:sz w:val="2"/>
              </w:rPr>
              <mc:AlternateContent>
                <mc:Choice Requires="wpg">
                  <w:drawing>
                    <wp:inline distT="0" distB="0" distL="0" distR="0" wp14:anchorId="0DFDD597" wp14:editId="0DFDD598">
                      <wp:extent cx="621665" cy="8890"/>
                      <wp:effectExtent l="9525" t="0" r="0" b="635"/>
                      <wp:docPr id="39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394" name="Graphic 394"/>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D027BB" id="Group 393"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F6ZPDZwAgAAjwUAAA4AAAAAAAAAAAAAAAAA&#10;LgIAAGRycy9lMm9Eb2MueG1sUEsBAi0AFAAGAAgAAAAhABFF7qTaAAAAAgEAAA8AAAAAAAAAAAAA&#10;AAAAygQAAGRycy9kb3ducmV2LnhtbFBLBQYAAAAABAAEAPMAAADRBQAAAAA=&#10;">
                      <v:shape id="Graphic 394"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" path="m,l621371,e" filled="f" strokeweight=".24403mm">
                        <v:path arrowok="t"/>
                      </v:shape>
                      <w10:anchorlock/>
                    </v:group>
                  </w:pict>
                </mc:Fallback>
              </mc:AlternateContent>
            </w:r>
          </w:p>
        </w:tc>
      </w:tr>
    </w:tbl>
    <w:p w14:paraId="0DFDB545" w14:textId="77777777" w:rsidR="00046465" w:rsidRDefault="00046465">
      <w:pPr>
        <w:pStyle w:val="BodyText"/>
        <w:rPr>
          <w:sz w:val="20"/>
        </w:rPr>
      </w:pPr>
    </w:p>
    <w:p w14:paraId="0DFDB546" w14:textId="77777777" w:rsidR="00046465" w:rsidRDefault="00046465">
      <w:pPr>
        <w:pStyle w:val="BodyText"/>
        <w:rPr>
          <w:sz w:val="20"/>
        </w:rPr>
      </w:pPr>
    </w:p>
    <w:p w14:paraId="0DFDB547" w14:textId="77777777" w:rsidR="00046465" w:rsidRDefault="00046465">
      <w:pPr>
        <w:pStyle w:val="BodyText"/>
        <w:rPr>
          <w:sz w:val="20"/>
        </w:rPr>
      </w:pPr>
    </w:p>
    <w:p w14:paraId="0DFDB548" w14:textId="77777777" w:rsidR="00046465" w:rsidRDefault="00046465">
      <w:pPr>
        <w:pStyle w:val="BodyText"/>
        <w:rPr>
          <w:sz w:val="20"/>
        </w:rPr>
      </w:pPr>
    </w:p>
    <w:p w14:paraId="0DFDB549" w14:textId="77777777" w:rsidR="00046465" w:rsidRDefault="00046465">
      <w:pPr>
        <w:pStyle w:val="BodyText"/>
        <w:rPr>
          <w:sz w:val="20"/>
        </w:rPr>
      </w:pPr>
    </w:p>
    <w:p w14:paraId="0DFDB54A" w14:textId="77777777" w:rsidR="00046465" w:rsidRDefault="008134EB">
      <w:pPr>
        <w:pStyle w:val="BodyText"/>
        <w:spacing w:before="98"/>
        <w:rPr>
          <w:sz w:val="20"/>
        </w:rPr>
      </w:pPr>
      <w:r>
        <w:rPr>
          <w:noProof/>
          <w:sz w:val="20"/>
        </w:rPr>
        <mc:AlternateContent>
          <mc:Choice Requires="wps">
            <w:drawing>
              <wp:anchor distT="0" distB="0" distL="0" distR="0" simplePos="0" relativeHeight="487622144" behindDoc="1" locked="0" layoutInCell="1" allowOverlap="1" wp14:anchorId="0DFDD599" wp14:editId="0DFDD59A">
                <wp:simplePos x="0" y="0"/>
                <wp:positionH relativeFrom="page">
                  <wp:posOffset>914400</wp:posOffset>
                </wp:positionH>
                <wp:positionV relativeFrom="paragraph">
                  <wp:posOffset>224090</wp:posOffset>
                </wp:positionV>
                <wp:extent cx="1828800" cy="6985"/>
                <wp:effectExtent l="0" t="0" r="0" b="0"/>
                <wp:wrapTopAndBottom/>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195176" id="Graphic 395" o:spid="_x0000_s1026" style="position:absolute;margin-left:1in;margin-top:17.65pt;width:2in;height:.55pt;z-index:-1569433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" path="m1828800,l,,,6858r1828800,l1828800,xe" fillcolor="black" stroked="f">
                <v:path arrowok="t"/>
                <w10:wrap type="topAndBottom" anchorx="page"/>
              </v:shape>
            </w:pict>
          </mc:Fallback>
        </mc:AlternateContent>
      </w:r>
    </w:p>
    <w:p w14:paraId="0DFDB54B" w14:textId="77777777" w:rsidR="00046465" w:rsidRDefault="008134EB">
      <w:pPr>
        <w:spacing w:before="216" w:line="242" w:lineRule="auto"/>
        <w:ind w:left="360" w:right="749" w:hanging="1"/>
        <w:rPr>
          <w:sz w:val="18"/>
        </w:rPr>
      </w:pPr>
      <w:bookmarkStart w:id="162" w:name="_bookmark63"/>
      <w:bookmarkEnd w:id="162"/>
      <w:r>
        <w:rPr>
          <w:position w:val="7"/>
          <w:sz w:val="14"/>
        </w:rPr>
        <w:t>1</w:t>
      </w:r>
      <w:r>
        <w:rPr>
          <w:sz w:val="18"/>
        </w:rPr>
        <w:t>See</w:t>
      </w:r>
      <w:r>
        <w:rPr>
          <w:spacing w:val="-3"/>
          <w:sz w:val="18"/>
        </w:rPr>
        <w:t xml:space="preserve"> </w:t>
      </w:r>
      <w:r>
        <w:rPr>
          <w:sz w:val="18"/>
        </w:rPr>
        <w:t>also</w:t>
      </w:r>
      <w:r>
        <w:rPr>
          <w:spacing w:val="-3"/>
          <w:sz w:val="18"/>
        </w:rPr>
        <w:t xml:space="preserve"> </w:t>
      </w:r>
      <w:r>
        <w:rPr>
          <w:sz w:val="18"/>
        </w:rPr>
        <w:t>31</w:t>
      </w:r>
      <w:r>
        <w:rPr>
          <w:spacing w:val="-3"/>
          <w:sz w:val="18"/>
        </w:rPr>
        <w:t xml:space="preserve"> </w:t>
      </w:r>
      <w:r>
        <w:rPr>
          <w:sz w:val="18"/>
        </w:rPr>
        <w:t>U.S.C.</w:t>
      </w:r>
      <w:r>
        <w:rPr>
          <w:spacing w:val="-2"/>
          <w:sz w:val="18"/>
        </w:rPr>
        <w:t xml:space="preserve"> </w:t>
      </w:r>
      <w:r>
        <w:rPr>
          <w:sz w:val="18"/>
        </w:rPr>
        <w:t>§</w:t>
      </w:r>
      <w:r>
        <w:rPr>
          <w:spacing w:val="-2"/>
          <w:sz w:val="18"/>
        </w:rPr>
        <w:t xml:space="preserve"> </w:t>
      </w:r>
      <w:r>
        <w:rPr>
          <w:sz w:val="18"/>
        </w:rPr>
        <w:t>1341(c),</w:t>
      </w:r>
      <w:r>
        <w:rPr>
          <w:spacing w:val="-1"/>
          <w:sz w:val="18"/>
        </w:rPr>
        <w:t xml:space="preserve"> </w:t>
      </w:r>
      <w:r>
        <w:rPr>
          <w:sz w:val="18"/>
        </w:rPr>
        <w:t>which</w:t>
      </w:r>
      <w:r>
        <w:rPr>
          <w:spacing w:val="-3"/>
          <w:sz w:val="18"/>
        </w:rPr>
        <w:t xml:space="preserve"> </w:t>
      </w:r>
      <w:r>
        <w:rPr>
          <w:sz w:val="18"/>
        </w:rPr>
        <w:t>provides</w:t>
      </w:r>
      <w:r>
        <w:rPr>
          <w:spacing w:val="-2"/>
          <w:sz w:val="18"/>
        </w:rPr>
        <w:t xml:space="preserve"> </w:t>
      </w:r>
      <w:r>
        <w:rPr>
          <w:sz w:val="18"/>
        </w:rPr>
        <w:t>that</w:t>
      </w:r>
      <w:r>
        <w:rPr>
          <w:spacing w:val="-2"/>
          <w:sz w:val="18"/>
        </w:rPr>
        <w:t xml:space="preserve"> </w:t>
      </w:r>
      <w:r>
        <w:rPr>
          <w:sz w:val="18"/>
        </w:rPr>
        <w:t>in</w:t>
      </w:r>
      <w:r>
        <w:rPr>
          <w:spacing w:val="-3"/>
          <w:sz w:val="18"/>
        </w:rPr>
        <w:t xml:space="preserve"> </w:t>
      </w:r>
      <w:r>
        <w:rPr>
          <w:sz w:val="18"/>
        </w:rPr>
        <w:t>the</w:t>
      </w:r>
      <w:r>
        <w:rPr>
          <w:spacing w:val="-3"/>
          <w:sz w:val="18"/>
        </w:rPr>
        <w:t xml:space="preserve"> </w:t>
      </w:r>
      <w:r>
        <w:rPr>
          <w:sz w:val="18"/>
        </w:rPr>
        <w:t>event</w:t>
      </w:r>
      <w:r>
        <w:rPr>
          <w:spacing w:val="-2"/>
          <w:sz w:val="18"/>
        </w:rPr>
        <w:t xml:space="preserve"> </w:t>
      </w:r>
      <w:r>
        <w:rPr>
          <w:sz w:val="18"/>
        </w:rPr>
        <w:t>of</w:t>
      </w:r>
      <w:r>
        <w:rPr>
          <w:spacing w:val="-2"/>
          <w:sz w:val="18"/>
        </w:rPr>
        <w:t xml:space="preserve"> </w:t>
      </w:r>
      <w:r>
        <w:rPr>
          <w:sz w:val="18"/>
        </w:rPr>
        <w:t>a</w:t>
      </w:r>
      <w:r>
        <w:rPr>
          <w:spacing w:val="-3"/>
          <w:sz w:val="18"/>
        </w:rPr>
        <w:t xml:space="preserve"> </w:t>
      </w:r>
      <w:r>
        <w:rPr>
          <w:sz w:val="18"/>
        </w:rPr>
        <w:t>lapse</w:t>
      </w:r>
      <w:r>
        <w:rPr>
          <w:spacing w:val="-3"/>
          <w:sz w:val="18"/>
        </w:rPr>
        <w:t xml:space="preserve"> </w:t>
      </w:r>
      <w:r>
        <w:rPr>
          <w:sz w:val="18"/>
        </w:rPr>
        <w:t>in</w:t>
      </w:r>
      <w:r>
        <w:rPr>
          <w:spacing w:val="-3"/>
          <w:sz w:val="18"/>
        </w:rPr>
        <w:t xml:space="preserve"> </w:t>
      </w:r>
      <w:r>
        <w:rPr>
          <w:sz w:val="18"/>
        </w:rPr>
        <w:t>appropriations</w:t>
      </w:r>
      <w:r>
        <w:rPr>
          <w:spacing w:val="-2"/>
          <w:sz w:val="18"/>
        </w:rPr>
        <w:t xml:space="preserve"> </w:t>
      </w:r>
      <w:r>
        <w:rPr>
          <w:sz w:val="18"/>
        </w:rPr>
        <w:t>beginning</w:t>
      </w:r>
      <w:r>
        <w:rPr>
          <w:spacing w:val="-3"/>
          <w:sz w:val="18"/>
        </w:rPr>
        <w:t xml:space="preserve"> </w:t>
      </w:r>
      <w:r>
        <w:rPr>
          <w:sz w:val="18"/>
        </w:rPr>
        <w:t>on</w:t>
      </w:r>
      <w:r>
        <w:rPr>
          <w:spacing w:val="-3"/>
          <w:sz w:val="18"/>
        </w:rPr>
        <w:t xml:space="preserve"> </w:t>
      </w:r>
      <w:r>
        <w:rPr>
          <w:sz w:val="18"/>
        </w:rPr>
        <w:t>or</w:t>
      </w:r>
      <w:r>
        <w:rPr>
          <w:spacing w:val="-2"/>
          <w:sz w:val="18"/>
        </w:rPr>
        <w:t xml:space="preserve"> </w:t>
      </w:r>
      <w:r>
        <w:rPr>
          <w:sz w:val="18"/>
        </w:rPr>
        <w:t>after December 22, 2018, employees of the U.S. government or of a District of Columbia public employer, who are furloughed or required to work during such a lapse, must subsequently be timely compensated after the lapse in appropriations ends.</w:t>
      </w:r>
    </w:p>
    <w:p w14:paraId="0DFDB54C" w14:textId="77777777" w:rsidR="00046465" w:rsidRDefault="00046465">
      <w:pPr>
        <w:spacing w:line="242" w:lineRule="auto"/>
        <w:rPr>
          <w:sz w:val="18"/>
        </w:rPr>
        <w:sectPr w:rsidR="00046465">
          <w:pgSz w:w="12240" w:h="15840"/>
          <w:pgMar w:top="1340" w:right="720" w:bottom="940" w:left="1080" w:header="721" w:footer="742" w:gutter="0"/>
          <w:cols w:space="720"/>
        </w:sectPr>
      </w:pPr>
    </w:p>
    <w:tbl>
      <w:tblPr>
        <w:tblW w:w="0" w:type="auto"/>
        <w:tblInd w:w="3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44"/>
        <w:gridCol w:w="1319"/>
      </w:tblGrid>
      <w:tr w:rsidR="00046465" w14:paraId="0DFDB54F" w14:textId="77777777">
        <w:trPr>
          <w:trHeight w:val="120"/>
        </w:trPr>
        <w:tc>
          <w:tcPr>
            <w:tcW w:w="8044" w:type="dxa"/>
            <w:tcBorders>
              <w:left w:val="nil"/>
              <w:bottom w:val="double" w:sz="6" w:space="0" w:color="000000"/>
              <w:right w:val="nil"/>
            </w:tcBorders>
          </w:tcPr>
          <w:p w14:paraId="0DFDB54D" w14:textId="77777777" w:rsidR="00046465" w:rsidRDefault="00046465">
            <w:pPr>
              <w:pStyle w:val="TableParagraph"/>
              <w:rPr>
                <w:rFonts w:ascii="Times New Roman"/>
                <w:sz w:val="6"/>
              </w:rPr>
            </w:pPr>
          </w:p>
        </w:tc>
        <w:tc>
          <w:tcPr>
            <w:tcW w:w="1319" w:type="dxa"/>
            <w:tcBorders>
              <w:left w:val="nil"/>
              <w:bottom w:val="double" w:sz="6" w:space="0" w:color="000000"/>
              <w:right w:val="nil"/>
            </w:tcBorders>
          </w:tcPr>
          <w:p w14:paraId="0DFDB54E" w14:textId="77777777" w:rsidR="00046465" w:rsidRDefault="00046465">
            <w:pPr>
              <w:pStyle w:val="TableParagraph"/>
              <w:rPr>
                <w:rFonts w:ascii="Times New Roman"/>
                <w:sz w:val="6"/>
              </w:rPr>
            </w:pPr>
          </w:p>
        </w:tc>
      </w:tr>
      <w:tr w:rsidR="00046465" w14:paraId="0DFDB552" w14:textId="77777777">
        <w:trPr>
          <w:trHeight w:val="540"/>
        </w:trPr>
        <w:tc>
          <w:tcPr>
            <w:tcW w:w="8044" w:type="dxa"/>
            <w:tcBorders>
              <w:top w:val="double" w:sz="6" w:space="0" w:color="000000"/>
              <w:left w:val="double" w:sz="6" w:space="0" w:color="000000"/>
              <w:bottom w:val="double" w:sz="6" w:space="0" w:color="000000"/>
              <w:right w:val="single" w:sz="6" w:space="0" w:color="000000"/>
            </w:tcBorders>
          </w:tcPr>
          <w:p w14:paraId="0DFDB550" w14:textId="77777777" w:rsidR="00046465" w:rsidRDefault="008134EB">
            <w:pPr>
              <w:pStyle w:val="TableParagraph"/>
              <w:spacing w:before="144"/>
              <w:ind w:left="2447"/>
              <w:rPr>
                <w:b/>
              </w:rPr>
            </w:pPr>
            <w:r>
              <w:rPr>
                <w:b/>
              </w:rPr>
              <w:t>Description</w:t>
            </w:r>
            <w:r>
              <w:rPr>
                <w:b/>
                <w:spacing w:val="-9"/>
              </w:rPr>
              <w:t xml:space="preserve"> </w:t>
            </w:r>
            <w:r>
              <w:rPr>
                <w:b/>
              </w:rPr>
              <w:t>of</w:t>
            </w:r>
            <w:r>
              <w:rPr>
                <w:b/>
                <w:spacing w:val="-8"/>
              </w:rPr>
              <w:t xml:space="preserve"> </w:t>
            </w:r>
            <w:r>
              <w:rPr>
                <w:b/>
                <w:spacing w:val="-5"/>
              </w:rPr>
              <w:t>law</w:t>
            </w:r>
          </w:p>
        </w:tc>
        <w:tc>
          <w:tcPr>
            <w:tcW w:w="1319" w:type="dxa"/>
            <w:tcBorders>
              <w:top w:val="double" w:sz="6" w:space="0" w:color="000000"/>
              <w:left w:val="single" w:sz="6" w:space="0" w:color="000000"/>
              <w:bottom w:val="double" w:sz="6" w:space="0" w:color="000000"/>
              <w:right w:val="double" w:sz="6" w:space="0" w:color="000000"/>
            </w:tcBorders>
          </w:tcPr>
          <w:p w14:paraId="0DFDB551" w14:textId="77777777" w:rsidR="00046465" w:rsidRDefault="008134EB">
            <w:pPr>
              <w:pStyle w:val="TableParagraph"/>
              <w:spacing w:before="144"/>
              <w:ind w:left="145"/>
              <w:rPr>
                <w:b/>
              </w:rPr>
            </w:pPr>
            <w:r>
              <w:rPr>
                <w:b/>
              </w:rPr>
              <w:t>Yes</w:t>
            </w:r>
            <w:r>
              <w:rPr>
                <w:b/>
                <w:spacing w:val="-3"/>
              </w:rPr>
              <w:t xml:space="preserve"> </w:t>
            </w:r>
            <w:r>
              <w:rPr>
                <w:b/>
              </w:rPr>
              <w:t>/</w:t>
            </w:r>
            <w:r>
              <w:rPr>
                <w:b/>
                <w:spacing w:val="-3"/>
              </w:rPr>
              <w:t xml:space="preserve"> </w:t>
            </w:r>
            <w:r>
              <w:rPr>
                <w:b/>
                <w:spacing w:val="-5"/>
              </w:rPr>
              <w:t>No</w:t>
            </w:r>
          </w:p>
        </w:tc>
      </w:tr>
      <w:tr w:rsidR="00046465" w14:paraId="0DFDB565" w14:textId="77777777">
        <w:trPr>
          <w:trHeight w:val="2437"/>
        </w:trPr>
        <w:tc>
          <w:tcPr>
            <w:tcW w:w="8044" w:type="dxa"/>
            <w:tcBorders>
              <w:top w:val="double" w:sz="6" w:space="0" w:color="000000"/>
              <w:left w:val="double" w:sz="6" w:space="0" w:color="000000"/>
              <w:bottom w:val="nil"/>
              <w:right w:val="single" w:sz="6" w:space="0" w:color="000000"/>
            </w:tcBorders>
          </w:tcPr>
          <w:p w14:paraId="0DFDB553" w14:textId="77777777" w:rsidR="00046465" w:rsidRDefault="008134EB">
            <w:pPr>
              <w:pStyle w:val="TableParagraph"/>
              <w:spacing w:before="145"/>
              <w:ind w:left="131"/>
              <w:rPr>
                <w:b/>
              </w:rPr>
            </w:pPr>
            <w:r>
              <w:rPr>
                <w:b/>
              </w:rPr>
              <w:t>Federal</w:t>
            </w:r>
            <w:r>
              <w:rPr>
                <w:b/>
                <w:spacing w:val="-3"/>
              </w:rPr>
              <w:t xml:space="preserve"> </w:t>
            </w:r>
            <w:r>
              <w:rPr>
                <w:b/>
              </w:rPr>
              <w:t>Credit</w:t>
            </w:r>
            <w:r>
              <w:rPr>
                <w:b/>
                <w:spacing w:val="-3"/>
              </w:rPr>
              <w:t xml:space="preserve"> </w:t>
            </w:r>
            <w:r>
              <w:rPr>
                <w:b/>
              </w:rPr>
              <w:t>Reform</w:t>
            </w:r>
            <w:r>
              <w:rPr>
                <w:b/>
                <w:spacing w:val="-2"/>
              </w:rPr>
              <w:t xml:space="preserve"> </w:t>
            </w:r>
            <w:r>
              <w:rPr>
                <w:b/>
              </w:rPr>
              <w:t>Act</w:t>
            </w:r>
            <w:r>
              <w:rPr>
                <w:b/>
                <w:spacing w:val="-3"/>
              </w:rPr>
              <w:t xml:space="preserve"> </w:t>
            </w:r>
            <w:r>
              <w:rPr>
                <w:b/>
              </w:rPr>
              <w:t>of</w:t>
            </w:r>
            <w:r>
              <w:rPr>
                <w:b/>
                <w:spacing w:val="-3"/>
              </w:rPr>
              <w:t xml:space="preserve"> </w:t>
            </w:r>
            <w:r>
              <w:rPr>
                <w:b/>
              </w:rPr>
              <w:t>1990</w:t>
            </w:r>
            <w:r>
              <w:rPr>
                <w:b/>
                <w:spacing w:val="-3"/>
              </w:rPr>
              <w:t xml:space="preserve"> </w:t>
            </w:r>
            <w:r>
              <w:rPr>
                <w:b/>
              </w:rPr>
              <w:t>(FCRA),</w:t>
            </w:r>
            <w:r>
              <w:rPr>
                <w:b/>
                <w:spacing w:val="-3"/>
              </w:rPr>
              <w:t xml:space="preserve"> </w:t>
            </w:r>
            <w:r>
              <w:rPr>
                <w:b/>
              </w:rPr>
              <w:t>as</w:t>
            </w:r>
            <w:r>
              <w:rPr>
                <w:b/>
                <w:spacing w:val="-2"/>
              </w:rPr>
              <w:t xml:space="preserve"> </w:t>
            </w:r>
            <w:r>
              <w:rPr>
                <w:b/>
              </w:rPr>
              <w:t>provided</w:t>
            </w:r>
            <w:r>
              <w:rPr>
                <w:b/>
                <w:spacing w:val="-3"/>
              </w:rPr>
              <w:t xml:space="preserve"> </w:t>
            </w:r>
            <w:r>
              <w:rPr>
                <w:b/>
              </w:rPr>
              <w:t>in</w:t>
            </w:r>
            <w:r>
              <w:rPr>
                <w:b/>
                <w:spacing w:val="-3"/>
              </w:rPr>
              <w:t xml:space="preserve"> </w:t>
            </w:r>
            <w:r>
              <w:rPr>
                <w:b/>
              </w:rPr>
              <w:t>2</w:t>
            </w:r>
            <w:r>
              <w:rPr>
                <w:b/>
                <w:spacing w:val="-3"/>
              </w:rPr>
              <w:t xml:space="preserve"> </w:t>
            </w:r>
            <w:r>
              <w:rPr>
                <w:b/>
              </w:rPr>
              <w:t>U.S.C.</w:t>
            </w:r>
            <w:r>
              <w:rPr>
                <w:b/>
                <w:spacing w:val="-3"/>
              </w:rPr>
              <w:t xml:space="preserve"> </w:t>
            </w:r>
            <w:r>
              <w:rPr>
                <w:b/>
              </w:rPr>
              <w:t>§§</w:t>
            </w:r>
            <w:r>
              <w:rPr>
                <w:b/>
                <w:spacing w:val="-3"/>
              </w:rPr>
              <w:t xml:space="preserve"> </w:t>
            </w:r>
            <w:r>
              <w:rPr>
                <w:b/>
              </w:rPr>
              <w:t>661-661f (2 U.S.C. § 661c(b), (e))</w:t>
            </w:r>
          </w:p>
          <w:p w14:paraId="0DFDB554" w14:textId="77777777" w:rsidR="00046465" w:rsidRDefault="008134EB">
            <w:pPr>
              <w:pStyle w:val="TableParagraph"/>
              <w:spacing w:before="143"/>
              <w:ind w:left="131" w:right="141"/>
            </w:pPr>
            <w:r>
              <w:t>This law contains numerous provisions relating to the recording of activity related to direct loans, loan guarantees, and related loan modifications for budget</w:t>
            </w:r>
            <w:r>
              <w:rPr>
                <w:spacing w:val="-4"/>
              </w:rPr>
              <w:t xml:space="preserve"> </w:t>
            </w:r>
            <w:r>
              <w:t>accounting</w:t>
            </w:r>
            <w:r>
              <w:rPr>
                <w:spacing w:val="-4"/>
              </w:rPr>
              <w:t xml:space="preserve"> </w:t>
            </w:r>
            <w:r>
              <w:t>purposes.</w:t>
            </w:r>
            <w:r>
              <w:rPr>
                <w:spacing w:val="-4"/>
              </w:rPr>
              <w:t xml:space="preserve"> </w:t>
            </w:r>
            <w:r>
              <w:t>The</w:t>
            </w:r>
            <w:r>
              <w:rPr>
                <w:spacing w:val="-4"/>
              </w:rPr>
              <w:t xml:space="preserve"> </w:t>
            </w:r>
            <w:r>
              <w:t>law</w:t>
            </w:r>
            <w:r>
              <w:rPr>
                <w:spacing w:val="-4"/>
              </w:rPr>
              <w:t xml:space="preserve"> </w:t>
            </w:r>
            <w:r>
              <w:t>provides</w:t>
            </w:r>
            <w:r>
              <w:rPr>
                <w:spacing w:val="-4"/>
              </w:rPr>
              <w:t xml:space="preserve"> </w:t>
            </w:r>
            <w:r>
              <w:t>that</w:t>
            </w:r>
            <w:r>
              <w:rPr>
                <w:spacing w:val="-4"/>
              </w:rPr>
              <w:t xml:space="preserve"> </w:t>
            </w:r>
            <w:r>
              <w:t>on</w:t>
            </w:r>
            <w:r>
              <w:rPr>
                <w:spacing w:val="-4"/>
              </w:rPr>
              <w:t xml:space="preserve"> </w:t>
            </w:r>
            <w:r>
              <w:t>or</w:t>
            </w:r>
            <w:r>
              <w:rPr>
                <w:spacing w:val="-4"/>
              </w:rPr>
              <w:t xml:space="preserve"> </w:t>
            </w:r>
            <w:r>
              <w:t>after</w:t>
            </w:r>
            <w:r>
              <w:rPr>
                <w:spacing w:val="-4"/>
              </w:rPr>
              <w:t xml:space="preserve"> </w:t>
            </w:r>
            <w:r>
              <w:t>October</w:t>
            </w:r>
            <w:r>
              <w:rPr>
                <w:spacing w:val="-4"/>
              </w:rPr>
              <w:t xml:space="preserve"> </w:t>
            </w:r>
            <w:r>
              <w:t>1,</w:t>
            </w:r>
            <w:r>
              <w:rPr>
                <w:spacing w:val="-4"/>
              </w:rPr>
              <w:t xml:space="preserve"> </w:t>
            </w:r>
            <w:r>
              <w:t>1991, an agency may incur new direct loan obligations or make new loan guarantee commitments only to the extent that an appropriation or other budget authority is available to cover the costs of the direct loan or loan guarantee.</w:t>
            </w:r>
          </w:p>
        </w:tc>
        <w:tc>
          <w:tcPr>
            <w:tcW w:w="1319" w:type="dxa"/>
            <w:vMerge w:val="restart"/>
            <w:tcBorders>
              <w:top w:val="double" w:sz="6" w:space="0" w:color="000000"/>
              <w:left w:val="single" w:sz="6" w:space="0" w:color="000000"/>
              <w:bottom w:val="double" w:sz="6" w:space="0" w:color="000000"/>
              <w:right w:val="double" w:sz="6" w:space="0" w:color="000000"/>
            </w:tcBorders>
          </w:tcPr>
          <w:p w14:paraId="0DFDB555" w14:textId="77777777" w:rsidR="00046465" w:rsidRDefault="00046465">
            <w:pPr>
              <w:pStyle w:val="TableParagraph"/>
              <w:rPr>
                <w:sz w:val="20"/>
              </w:rPr>
            </w:pPr>
          </w:p>
          <w:p w14:paraId="0DFDB556" w14:textId="77777777" w:rsidR="00046465" w:rsidRDefault="00046465">
            <w:pPr>
              <w:pStyle w:val="TableParagraph"/>
              <w:rPr>
                <w:sz w:val="20"/>
              </w:rPr>
            </w:pPr>
          </w:p>
          <w:p w14:paraId="0DFDB557" w14:textId="77777777" w:rsidR="00046465" w:rsidRDefault="00046465">
            <w:pPr>
              <w:pStyle w:val="TableParagraph"/>
              <w:rPr>
                <w:sz w:val="20"/>
              </w:rPr>
            </w:pPr>
          </w:p>
          <w:p w14:paraId="0DFDB558" w14:textId="77777777" w:rsidR="00046465" w:rsidRDefault="00046465">
            <w:pPr>
              <w:pStyle w:val="TableParagraph"/>
              <w:rPr>
                <w:sz w:val="20"/>
              </w:rPr>
            </w:pPr>
          </w:p>
          <w:p w14:paraId="0DFDB559" w14:textId="77777777" w:rsidR="00046465" w:rsidRDefault="00046465">
            <w:pPr>
              <w:pStyle w:val="TableParagraph"/>
              <w:rPr>
                <w:sz w:val="20"/>
              </w:rPr>
            </w:pPr>
          </w:p>
          <w:p w14:paraId="0DFDB55A" w14:textId="77777777" w:rsidR="00046465" w:rsidRDefault="00046465">
            <w:pPr>
              <w:pStyle w:val="TableParagraph"/>
              <w:rPr>
                <w:sz w:val="20"/>
              </w:rPr>
            </w:pPr>
          </w:p>
          <w:p w14:paraId="0DFDB55B" w14:textId="77777777" w:rsidR="00046465" w:rsidRDefault="00046465">
            <w:pPr>
              <w:pStyle w:val="TableParagraph"/>
              <w:rPr>
                <w:sz w:val="20"/>
              </w:rPr>
            </w:pPr>
          </w:p>
          <w:p w14:paraId="0DFDB55C" w14:textId="77777777" w:rsidR="00046465" w:rsidRDefault="00046465">
            <w:pPr>
              <w:pStyle w:val="TableParagraph"/>
              <w:rPr>
                <w:sz w:val="20"/>
              </w:rPr>
            </w:pPr>
          </w:p>
          <w:p w14:paraId="0DFDB55D" w14:textId="77777777" w:rsidR="00046465" w:rsidRDefault="00046465">
            <w:pPr>
              <w:pStyle w:val="TableParagraph"/>
              <w:rPr>
                <w:sz w:val="20"/>
              </w:rPr>
            </w:pPr>
          </w:p>
          <w:p w14:paraId="0DFDB55E" w14:textId="77777777" w:rsidR="00046465" w:rsidRDefault="00046465">
            <w:pPr>
              <w:pStyle w:val="TableParagraph"/>
              <w:rPr>
                <w:sz w:val="20"/>
              </w:rPr>
            </w:pPr>
          </w:p>
          <w:p w14:paraId="0DFDB55F" w14:textId="77777777" w:rsidR="00046465" w:rsidRDefault="00046465">
            <w:pPr>
              <w:pStyle w:val="TableParagraph"/>
              <w:rPr>
                <w:sz w:val="20"/>
              </w:rPr>
            </w:pPr>
          </w:p>
          <w:p w14:paraId="0DFDB560" w14:textId="77777777" w:rsidR="00046465" w:rsidRDefault="00046465">
            <w:pPr>
              <w:pStyle w:val="TableParagraph"/>
              <w:rPr>
                <w:sz w:val="20"/>
              </w:rPr>
            </w:pPr>
          </w:p>
          <w:p w14:paraId="0DFDB561" w14:textId="77777777" w:rsidR="00046465" w:rsidRDefault="00046465">
            <w:pPr>
              <w:pStyle w:val="TableParagraph"/>
              <w:rPr>
                <w:sz w:val="20"/>
              </w:rPr>
            </w:pPr>
          </w:p>
          <w:p w14:paraId="0DFDB562" w14:textId="77777777" w:rsidR="00046465" w:rsidRDefault="00046465">
            <w:pPr>
              <w:pStyle w:val="TableParagraph"/>
              <w:rPr>
                <w:sz w:val="20"/>
              </w:rPr>
            </w:pPr>
          </w:p>
          <w:p w14:paraId="0DFDB563" w14:textId="77777777" w:rsidR="00046465" w:rsidRDefault="00046465">
            <w:pPr>
              <w:pStyle w:val="TableParagraph"/>
              <w:spacing w:before="188"/>
              <w:rPr>
                <w:sz w:val="20"/>
              </w:rPr>
            </w:pPr>
          </w:p>
          <w:p w14:paraId="0DFDB564" w14:textId="77777777" w:rsidR="00046465" w:rsidRDefault="008134EB">
            <w:pPr>
              <w:pStyle w:val="TableParagraph"/>
              <w:spacing w:line="20" w:lineRule="exact"/>
              <w:ind w:left="188"/>
              <w:rPr>
                <w:sz w:val="2"/>
              </w:rPr>
            </w:pPr>
            <w:r>
              <w:rPr>
                <w:noProof/>
                <w:sz w:val="2"/>
              </w:rPr>
              <mc:AlternateContent>
                <mc:Choice Requires="wpg">
                  <w:drawing>
                    <wp:inline distT="0" distB="0" distL="0" distR="0" wp14:anchorId="0DFDD59B" wp14:editId="0DFDD59C">
                      <wp:extent cx="621665" cy="8890"/>
                      <wp:effectExtent l="9525" t="0" r="0" b="635"/>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403" name="Graphic 403"/>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6E48A73" id="Group 402"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KiK7rlwAgAAjwUAAA4AAAAAAAAAAAAAAAAA&#10;LgIAAGRycy9lMm9Eb2MueG1sUEsBAi0AFAAGAAgAAAAhABFF7qTaAAAAAgEAAA8AAAAAAAAAAAAA&#10;AAAAygQAAGRycy9kb3ducmV2LnhtbFBLBQYAAAAABAAEAPMAAADRBQAAAAA=&#10;">
                      <v:shape id="Graphic 403"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" path="m,l621371,e" filled="f" strokeweight=".24403mm">
                        <v:path arrowok="t"/>
                      </v:shape>
                      <w10:anchorlock/>
                    </v:group>
                  </w:pict>
                </mc:Fallback>
              </mc:AlternateContent>
            </w:r>
          </w:p>
        </w:tc>
      </w:tr>
      <w:tr w:rsidR="00046465" w14:paraId="0DFDB568" w14:textId="77777777">
        <w:trPr>
          <w:trHeight w:val="1508"/>
        </w:trPr>
        <w:tc>
          <w:tcPr>
            <w:tcW w:w="8044" w:type="dxa"/>
            <w:tcBorders>
              <w:top w:val="nil"/>
              <w:left w:val="double" w:sz="6" w:space="0" w:color="000000"/>
              <w:bottom w:val="nil"/>
              <w:right w:val="single" w:sz="6" w:space="0" w:color="000000"/>
            </w:tcBorders>
          </w:tcPr>
          <w:p w14:paraId="0DFDB566" w14:textId="77777777" w:rsidR="00046465" w:rsidRDefault="008134EB">
            <w:pPr>
              <w:pStyle w:val="TableParagraph"/>
              <w:spacing w:before="118"/>
              <w:ind w:left="131" w:right="186"/>
              <w:rPr>
                <w:i/>
              </w:rPr>
            </w:pPr>
            <w:r>
              <w:rPr>
                <w:i/>
              </w:rPr>
              <w:t>Does the entity’s budget authority available during the audit period for direct loan obligations, loan guarantee commitments, or any related loan modifications</w:t>
            </w:r>
            <w:r>
              <w:rPr>
                <w:i/>
                <w:spacing w:val="-4"/>
              </w:rPr>
              <w:t xml:space="preserve"> </w:t>
            </w:r>
            <w:r>
              <w:rPr>
                <w:i/>
              </w:rPr>
              <w:t>exceed</w:t>
            </w:r>
            <w:r>
              <w:rPr>
                <w:i/>
                <w:spacing w:val="-4"/>
              </w:rPr>
              <w:t xml:space="preserve"> </w:t>
            </w:r>
            <w:r>
              <w:rPr>
                <w:i/>
              </w:rPr>
              <w:t>materiality,</w:t>
            </w:r>
            <w:r>
              <w:rPr>
                <w:i/>
                <w:spacing w:val="-5"/>
              </w:rPr>
              <w:t xml:space="preserve"> </w:t>
            </w:r>
            <w:r>
              <w:rPr>
                <w:i/>
              </w:rPr>
              <w:t>or</w:t>
            </w:r>
            <w:r>
              <w:rPr>
                <w:i/>
                <w:spacing w:val="-6"/>
              </w:rPr>
              <w:t xml:space="preserve"> </w:t>
            </w:r>
            <w:r>
              <w:rPr>
                <w:i/>
              </w:rPr>
              <w:t>did</w:t>
            </w:r>
            <w:r>
              <w:rPr>
                <w:i/>
                <w:spacing w:val="-4"/>
              </w:rPr>
              <w:t xml:space="preserve"> </w:t>
            </w:r>
            <w:r>
              <w:rPr>
                <w:i/>
              </w:rPr>
              <w:t>the</w:t>
            </w:r>
            <w:r>
              <w:rPr>
                <w:i/>
                <w:spacing w:val="-4"/>
              </w:rPr>
              <w:t xml:space="preserve"> </w:t>
            </w:r>
            <w:r>
              <w:rPr>
                <w:i/>
              </w:rPr>
              <w:t>auditor</w:t>
            </w:r>
            <w:r>
              <w:rPr>
                <w:i/>
                <w:spacing w:val="-4"/>
              </w:rPr>
              <w:t xml:space="preserve"> </w:t>
            </w:r>
            <w:r>
              <w:rPr>
                <w:i/>
              </w:rPr>
              <w:t>determine</w:t>
            </w:r>
            <w:r>
              <w:rPr>
                <w:i/>
                <w:spacing w:val="-4"/>
              </w:rPr>
              <w:t xml:space="preserve"> </w:t>
            </w:r>
            <w:r>
              <w:rPr>
                <w:i/>
              </w:rPr>
              <w:t>that</w:t>
            </w:r>
            <w:r>
              <w:rPr>
                <w:i/>
                <w:spacing w:val="-4"/>
              </w:rPr>
              <w:t xml:space="preserve"> </w:t>
            </w:r>
            <w:r>
              <w:rPr>
                <w:i/>
              </w:rPr>
              <w:t>FCRA</w:t>
            </w:r>
            <w:r>
              <w:rPr>
                <w:i/>
                <w:spacing w:val="-3"/>
              </w:rPr>
              <w:t xml:space="preserve"> </w:t>
            </w:r>
            <w:r>
              <w:rPr>
                <w:i/>
              </w:rPr>
              <w:t>has</w:t>
            </w:r>
            <w:r>
              <w:rPr>
                <w:i/>
                <w:spacing w:val="-4"/>
              </w:rPr>
              <w:t xml:space="preserve"> </w:t>
            </w:r>
            <w:r>
              <w:rPr>
                <w:i/>
              </w:rPr>
              <w:t>a direct effect on the determination of material amounts and disclosures in the entity’s financial statements?</w:t>
            </w:r>
          </w:p>
        </w:tc>
        <w:tc>
          <w:tcPr>
            <w:tcW w:w="1319" w:type="dxa"/>
            <w:vMerge/>
            <w:tcBorders>
              <w:top w:val="nil"/>
              <w:left w:val="single" w:sz="6" w:space="0" w:color="000000"/>
              <w:bottom w:val="double" w:sz="6" w:space="0" w:color="000000"/>
              <w:right w:val="double" w:sz="6" w:space="0" w:color="000000"/>
            </w:tcBorders>
          </w:tcPr>
          <w:p w14:paraId="0DFDB567" w14:textId="77777777" w:rsidR="00046465" w:rsidRDefault="00046465">
            <w:pPr>
              <w:rPr>
                <w:sz w:val="2"/>
                <w:szCs w:val="2"/>
              </w:rPr>
            </w:pPr>
          </w:p>
        </w:tc>
      </w:tr>
      <w:tr w:rsidR="00046465" w14:paraId="0DFDB571" w14:textId="77777777">
        <w:trPr>
          <w:trHeight w:val="3099"/>
        </w:trPr>
        <w:tc>
          <w:tcPr>
            <w:tcW w:w="8044" w:type="dxa"/>
            <w:tcBorders>
              <w:top w:val="nil"/>
              <w:left w:val="double" w:sz="6" w:space="0" w:color="000000"/>
              <w:bottom w:val="nil"/>
              <w:right w:val="single" w:sz="6" w:space="0" w:color="000000"/>
            </w:tcBorders>
          </w:tcPr>
          <w:p w14:paraId="0DFDB569" w14:textId="77777777" w:rsidR="00046465" w:rsidRDefault="008134EB">
            <w:pPr>
              <w:pStyle w:val="TableParagraph"/>
              <w:tabs>
                <w:tab w:val="left" w:pos="6807"/>
              </w:tabs>
              <w:spacing w:before="117"/>
              <w:ind w:left="4532"/>
            </w:pPr>
            <w:r>
              <w:rPr>
                <w:spacing w:val="-2"/>
                <w:u w:val="single"/>
              </w:rPr>
              <w:t>Preliminary</w:t>
            </w:r>
            <w:r>
              <w:tab/>
            </w:r>
            <w:r>
              <w:rPr>
                <w:spacing w:val="-2"/>
                <w:u w:val="single"/>
              </w:rPr>
              <w:t>Final</w:t>
            </w:r>
          </w:p>
          <w:p w14:paraId="0DFDB56A" w14:textId="77777777" w:rsidR="00046465" w:rsidRDefault="00046465">
            <w:pPr>
              <w:pStyle w:val="TableParagraph"/>
              <w:spacing w:before="35"/>
            </w:pPr>
          </w:p>
          <w:p w14:paraId="0DFDB56B" w14:textId="77777777" w:rsidR="00046465" w:rsidRDefault="008134EB">
            <w:pPr>
              <w:pStyle w:val="TableParagraph"/>
              <w:ind w:left="299" w:right="4319"/>
            </w:pPr>
            <w:r>
              <w:t>Total appropriations or other budget authority available during the fiscal year for costs of FCRA activities (direct loans, direct loan obligations,</w:t>
            </w:r>
            <w:r>
              <w:rPr>
                <w:spacing w:val="-13"/>
              </w:rPr>
              <w:t xml:space="preserve"> </w:t>
            </w:r>
            <w:r>
              <w:t>loan</w:t>
            </w:r>
            <w:r>
              <w:rPr>
                <w:spacing w:val="-13"/>
              </w:rPr>
              <w:t xml:space="preserve"> </w:t>
            </w:r>
            <w:r>
              <w:t>guarantees,</w:t>
            </w:r>
            <w:r>
              <w:rPr>
                <w:spacing w:val="-13"/>
              </w:rPr>
              <w:t xml:space="preserve"> </w:t>
            </w:r>
            <w:r>
              <w:t>loan</w:t>
            </w:r>
          </w:p>
          <w:p w14:paraId="0DFDB56C" w14:textId="77777777" w:rsidR="00046465" w:rsidRDefault="008134EB">
            <w:pPr>
              <w:pStyle w:val="TableParagraph"/>
              <w:ind w:left="299" w:right="3775"/>
            </w:pPr>
            <w:r>
              <w:t>guarantee</w:t>
            </w:r>
            <w:r>
              <w:rPr>
                <w:spacing w:val="-13"/>
              </w:rPr>
              <w:t xml:space="preserve"> </w:t>
            </w:r>
            <w:r>
              <w:t>commitments,</w:t>
            </w:r>
            <w:r>
              <w:rPr>
                <w:spacing w:val="-13"/>
              </w:rPr>
              <w:t xml:space="preserve"> </w:t>
            </w:r>
            <w:r>
              <w:t>and</w:t>
            </w:r>
            <w:r>
              <w:rPr>
                <w:spacing w:val="-13"/>
              </w:rPr>
              <w:t xml:space="preserve"> </w:t>
            </w:r>
            <w:r>
              <w:t>related loan modifications)</w:t>
            </w:r>
          </w:p>
          <w:p w14:paraId="0DFDB56D" w14:textId="77777777" w:rsidR="00046465" w:rsidRDefault="00046465">
            <w:pPr>
              <w:pStyle w:val="TableParagraph"/>
              <w:spacing w:before="6" w:after="1"/>
              <w:rPr>
                <w:sz w:val="12"/>
              </w:rPr>
            </w:pPr>
          </w:p>
          <w:p w14:paraId="0DFDB56E" w14:textId="77777777" w:rsidR="00046465" w:rsidRDefault="008134EB">
            <w:pPr>
              <w:pStyle w:val="TableParagraph"/>
              <w:spacing w:line="20" w:lineRule="exact"/>
              <w:ind w:left="4062"/>
              <w:rPr>
                <w:sz w:val="2"/>
              </w:rPr>
            </w:pPr>
            <w:r>
              <w:rPr>
                <w:noProof/>
                <w:sz w:val="2"/>
              </w:rPr>
              <mc:AlternateContent>
                <mc:Choice Requires="wpg">
                  <w:drawing>
                    <wp:anchor distT="0" distB="0" distL="0" distR="0" simplePos="0" relativeHeight="476089856" behindDoc="1" locked="0" layoutInCell="1" allowOverlap="1" wp14:anchorId="0DFDD59D" wp14:editId="0DFDD59E">
                      <wp:simplePos x="0" y="0"/>
                      <wp:positionH relativeFrom="column">
                        <wp:posOffset>2588514</wp:posOffset>
                      </wp:positionH>
                      <wp:positionV relativeFrom="paragraph">
                        <wp:posOffset>346709</wp:posOffset>
                      </wp:positionV>
                      <wp:extent cx="1295400" cy="3175"/>
                      <wp:effectExtent l="0" t="0" r="0" b="0"/>
                      <wp:wrapNone/>
                      <wp:docPr id="404"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05" name="Graphic 405"/>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218B84" id="Group 404" o:spid="_x0000_s1026" style="position:absolute;margin-left:203.8pt;margin-top:27.3pt;width:102pt;height:.25pt;z-index:-27226624;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">
                      <v:shape id="Graphic 405"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" path="m1295400,l,,,3048r1295400,l1295400,xe" fillcolor="black" stroked="f">
                        <v:path arrowok="t"/>
                      </v:shape>
                    </v:group>
                  </w:pict>
                </mc:Fallback>
              </mc:AlternateContent>
            </w:r>
            <w:r>
              <w:rPr>
                <w:noProof/>
                <w:sz w:val="2"/>
              </w:rPr>
              <mc:AlternateContent>
                <mc:Choice Requires="wpg">
                  <w:drawing>
                    <wp:anchor distT="0" distB="0" distL="0" distR="0" simplePos="0" relativeHeight="476090368" behindDoc="1" locked="0" layoutInCell="1" allowOverlap="1" wp14:anchorId="0DFDD59F" wp14:editId="0DFDD5A0">
                      <wp:simplePos x="0" y="0"/>
                      <wp:positionH relativeFrom="column">
                        <wp:posOffset>3960114</wp:posOffset>
                      </wp:positionH>
                      <wp:positionV relativeFrom="paragraph">
                        <wp:posOffset>346709</wp:posOffset>
                      </wp:positionV>
                      <wp:extent cx="1045844" cy="3175"/>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407" name="Graphic 407"/>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6BC2D2" id="Group 406" o:spid="_x0000_s1026" style="position:absolute;margin-left:311.8pt;margin-top:27.3pt;width:82.35pt;height:.25pt;z-index:-27226112;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">
                      <v:shape id="Graphic 407"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" path="m1045463,l,,,3048r1045463,l1045463,xe" fillcolor="black" stroked="f">
                        <v:path arrowok="t"/>
                      </v:shape>
                    </v:group>
                  </w:pict>
                </mc:Fallback>
              </mc:AlternateContent>
            </w:r>
            <w:r>
              <w:rPr>
                <w:noProof/>
                <w:sz w:val="2"/>
              </w:rPr>
              <mc:AlternateContent>
                <mc:Choice Requires="wpg">
                  <w:drawing>
                    <wp:inline distT="0" distB="0" distL="0" distR="0" wp14:anchorId="0DFDD5A1" wp14:editId="0DFDD5A2">
                      <wp:extent cx="1295400" cy="3175"/>
                      <wp:effectExtent l="0" t="0" r="0" b="0"/>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09" name="Graphic 409"/>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3D7EA9" id="Group 408" o:spid="_x0000_s1026" style="width:102pt;height:.25pt;mso-position-horizontal-relative:char;mso-position-vertical-relative:line"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">
                      <v:shape id="Graphic 409"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" path="m1295400,l,,,3048r1295400,l1295400,xe" fillcolor="black" stroked="f">
                        <v:path arrowok="t"/>
                      </v:shape>
                      <w10:anchorlock/>
                    </v:group>
                  </w:pict>
                </mc:Fallback>
              </mc:AlternateContent>
            </w:r>
            <w:r>
              <w:rPr>
                <w:rFonts w:ascii="Times New Roman"/>
                <w:spacing w:val="95"/>
                <w:sz w:val="2"/>
              </w:rPr>
              <w:t xml:space="preserve"> </w:t>
            </w:r>
            <w:r>
              <w:rPr>
                <w:noProof/>
                <w:spacing w:val="95"/>
                <w:sz w:val="2"/>
              </w:rPr>
              <mc:AlternateContent>
                <mc:Choice Requires="wpg">
                  <w:drawing>
                    <wp:inline distT="0" distB="0" distL="0" distR="0" wp14:anchorId="0DFDD5A3" wp14:editId="0DFDD5A4">
                      <wp:extent cx="1045844" cy="3175"/>
                      <wp:effectExtent l="0" t="0" r="0" b="0"/>
                      <wp:docPr id="410"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411" name="Graphic 411"/>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DFE4A6A" id="Group 410" o:spid="_x0000_s1026" style="width:82.35pt;height:.25pt;mso-position-horizontal-relative:char;mso-position-vertical-relative:line"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">
                      <v:shape id="Graphic 411"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" path="m1045463,l,,,3048r1045463,l1045463,xe" fillcolor="black" stroked="f">
                        <v:path arrowok="t"/>
                      </v:shape>
                      <w10:anchorlock/>
                    </v:group>
                  </w:pict>
                </mc:Fallback>
              </mc:AlternateContent>
            </w:r>
          </w:p>
          <w:p w14:paraId="0DFDB56F" w14:textId="77777777" w:rsidR="00046465" w:rsidRDefault="008134EB">
            <w:pPr>
              <w:pStyle w:val="TableParagraph"/>
              <w:spacing w:before="129"/>
              <w:ind w:left="299"/>
            </w:pPr>
            <w:r>
              <w:rPr>
                <w:spacing w:val="-2"/>
              </w:rPr>
              <w:t>Materiality</w:t>
            </w:r>
          </w:p>
        </w:tc>
        <w:tc>
          <w:tcPr>
            <w:tcW w:w="1319" w:type="dxa"/>
            <w:vMerge/>
            <w:tcBorders>
              <w:top w:val="nil"/>
              <w:left w:val="single" w:sz="6" w:space="0" w:color="000000"/>
              <w:bottom w:val="double" w:sz="6" w:space="0" w:color="000000"/>
              <w:right w:val="double" w:sz="6" w:space="0" w:color="000000"/>
            </w:tcBorders>
          </w:tcPr>
          <w:p w14:paraId="0DFDB570" w14:textId="77777777" w:rsidR="00046465" w:rsidRDefault="00046465">
            <w:pPr>
              <w:rPr>
                <w:sz w:val="2"/>
                <w:szCs w:val="2"/>
              </w:rPr>
            </w:pPr>
          </w:p>
        </w:tc>
      </w:tr>
      <w:tr w:rsidR="00046465" w14:paraId="0DFDB576" w14:textId="77777777">
        <w:trPr>
          <w:trHeight w:val="1390"/>
        </w:trPr>
        <w:tc>
          <w:tcPr>
            <w:tcW w:w="8044" w:type="dxa"/>
            <w:tcBorders>
              <w:top w:val="nil"/>
              <w:left w:val="double" w:sz="6" w:space="0" w:color="000000"/>
              <w:bottom w:val="double" w:sz="6" w:space="0" w:color="000000"/>
              <w:right w:val="single" w:sz="6" w:space="0" w:color="000000"/>
            </w:tcBorders>
          </w:tcPr>
          <w:p w14:paraId="0DFDB572" w14:textId="77777777" w:rsidR="00046465" w:rsidRDefault="00046465">
            <w:pPr>
              <w:pStyle w:val="TableParagraph"/>
            </w:pPr>
          </w:p>
          <w:p w14:paraId="0DFDB573" w14:textId="77777777" w:rsidR="00046465" w:rsidRDefault="00046465">
            <w:pPr>
              <w:pStyle w:val="TableParagraph"/>
              <w:spacing w:before="89"/>
            </w:pPr>
          </w:p>
          <w:p w14:paraId="0DFDB574" w14:textId="77777777" w:rsidR="00046465" w:rsidRDefault="008134EB">
            <w:pPr>
              <w:pStyle w:val="TableParagraph"/>
              <w:ind w:left="131"/>
            </w:pPr>
            <w:r>
              <w:t>If</w:t>
            </w:r>
            <w:r>
              <w:rPr>
                <w:spacing w:val="-7"/>
              </w:rPr>
              <w:t xml:space="preserve"> </w:t>
            </w:r>
            <w:r>
              <w:t>yes,</w:t>
            </w:r>
            <w:r>
              <w:rPr>
                <w:spacing w:val="-6"/>
              </w:rPr>
              <w:t xml:space="preserve"> </w:t>
            </w:r>
            <w:r>
              <w:t>then</w:t>
            </w:r>
            <w:r>
              <w:rPr>
                <w:spacing w:val="-7"/>
              </w:rPr>
              <w:t xml:space="preserve"> </w:t>
            </w:r>
            <w:r>
              <w:t>complete</w:t>
            </w:r>
            <w:r>
              <w:rPr>
                <w:spacing w:val="-6"/>
              </w:rPr>
              <w:t xml:space="preserve"> </w:t>
            </w:r>
            <w:r>
              <w:t>the</w:t>
            </w:r>
            <w:r>
              <w:rPr>
                <w:spacing w:val="-6"/>
              </w:rPr>
              <w:t xml:space="preserve"> </w:t>
            </w:r>
            <w:r>
              <w:t>compliance</w:t>
            </w:r>
            <w:r>
              <w:rPr>
                <w:spacing w:val="-7"/>
              </w:rPr>
              <w:t xml:space="preserve"> </w:t>
            </w:r>
            <w:r>
              <w:t>supplement</w:t>
            </w:r>
            <w:r>
              <w:rPr>
                <w:spacing w:val="-6"/>
              </w:rPr>
              <w:t xml:space="preserve"> </w:t>
            </w:r>
            <w:r>
              <w:t>at</w:t>
            </w:r>
            <w:r>
              <w:rPr>
                <w:spacing w:val="-6"/>
              </w:rPr>
              <w:t xml:space="preserve"> </w:t>
            </w:r>
            <w:r>
              <w:t>FAM</w:t>
            </w:r>
            <w:r>
              <w:rPr>
                <w:spacing w:val="-7"/>
              </w:rPr>
              <w:t xml:space="preserve"> </w:t>
            </w:r>
            <w:r>
              <w:rPr>
                <w:spacing w:val="-5"/>
              </w:rPr>
              <w:t>804</w:t>
            </w:r>
          </w:p>
        </w:tc>
        <w:tc>
          <w:tcPr>
            <w:tcW w:w="1319" w:type="dxa"/>
            <w:vMerge/>
            <w:tcBorders>
              <w:top w:val="nil"/>
              <w:left w:val="single" w:sz="6" w:space="0" w:color="000000"/>
              <w:bottom w:val="double" w:sz="6" w:space="0" w:color="000000"/>
              <w:right w:val="double" w:sz="6" w:space="0" w:color="000000"/>
            </w:tcBorders>
          </w:tcPr>
          <w:p w14:paraId="0DFDB575" w14:textId="77777777" w:rsidR="00046465" w:rsidRDefault="00046465">
            <w:pPr>
              <w:rPr>
                <w:sz w:val="2"/>
                <w:szCs w:val="2"/>
              </w:rPr>
            </w:pPr>
          </w:p>
        </w:tc>
      </w:tr>
    </w:tbl>
    <w:p w14:paraId="0DFDB577" w14:textId="77777777" w:rsidR="00046465" w:rsidRDefault="00046465">
      <w:pPr>
        <w:rPr>
          <w:sz w:val="2"/>
          <w:szCs w:val="2"/>
        </w:rPr>
        <w:sectPr w:rsidR="00046465">
          <w:headerReference w:type="default" r:id="rId116"/>
          <w:footerReference w:type="default" r:id="rId117"/>
          <w:pgSz w:w="12240" w:h="15840"/>
          <w:pgMar w:top="1300" w:right="720" w:bottom="940" w:left="1080" w:header="721" w:footer="742" w:gutter="0"/>
          <w:cols w:space="720"/>
        </w:sectPr>
      </w:pPr>
    </w:p>
    <w:p w14:paraId="0DFDB578" w14:textId="77777777" w:rsidR="00046465" w:rsidRDefault="00046465">
      <w:pPr>
        <w:pStyle w:val="BodyText"/>
        <w:spacing w:before="158" w:after="1"/>
        <w:rPr>
          <w:sz w:val="20"/>
        </w:rPr>
      </w:pPr>
    </w:p>
    <w:tbl>
      <w:tblPr>
        <w:tblW w:w="0" w:type="auto"/>
        <w:tblInd w:w="38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8042"/>
        <w:gridCol w:w="1317"/>
      </w:tblGrid>
      <w:tr w:rsidR="00046465" w14:paraId="0DFDB57B" w14:textId="77777777">
        <w:trPr>
          <w:trHeight w:val="540"/>
        </w:trPr>
        <w:tc>
          <w:tcPr>
            <w:tcW w:w="8042" w:type="dxa"/>
            <w:tcBorders>
              <w:right w:val="single" w:sz="6" w:space="0" w:color="000000"/>
            </w:tcBorders>
          </w:tcPr>
          <w:p w14:paraId="0DFDB579" w14:textId="77777777" w:rsidR="00046465" w:rsidRDefault="008134EB">
            <w:pPr>
              <w:pStyle w:val="TableParagraph"/>
              <w:spacing w:before="144"/>
              <w:ind w:right="363"/>
              <w:jc w:val="center"/>
              <w:rPr>
                <w:b/>
              </w:rPr>
            </w:pPr>
            <w:r>
              <w:rPr>
                <w:b/>
              </w:rPr>
              <w:t>Description</w:t>
            </w:r>
            <w:r>
              <w:rPr>
                <w:b/>
                <w:spacing w:val="-9"/>
              </w:rPr>
              <w:t xml:space="preserve"> </w:t>
            </w:r>
            <w:r>
              <w:rPr>
                <w:b/>
              </w:rPr>
              <w:t>of</w:t>
            </w:r>
            <w:r>
              <w:rPr>
                <w:b/>
                <w:spacing w:val="-9"/>
              </w:rPr>
              <w:t xml:space="preserve"> </w:t>
            </w:r>
            <w:r>
              <w:rPr>
                <w:b/>
                <w:spacing w:val="-5"/>
              </w:rPr>
              <w:t>law</w:t>
            </w:r>
          </w:p>
        </w:tc>
        <w:tc>
          <w:tcPr>
            <w:tcW w:w="1317" w:type="dxa"/>
            <w:tcBorders>
              <w:left w:val="single" w:sz="6" w:space="0" w:color="000000"/>
            </w:tcBorders>
          </w:tcPr>
          <w:p w14:paraId="0DFDB57A" w14:textId="77777777" w:rsidR="00046465" w:rsidRDefault="008134EB">
            <w:pPr>
              <w:pStyle w:val="TableParagraph"/>
              <w:spacing w:before="144"/>
              <w:ind w:left="145"/>
              <w:rPr>
                <w:b/>
              </w:rPr>
            </w:pPr>
            <w:r>
              <w:rPr>
                <w:b/>
              </w:rPr>
              <w:t>Yes</w:t>
            </w:r>
            <w:r>
              <w:rPr>
                <w:b/>
                <w:spacing w:val="-3"/>
              </w:rPr>
              <w:t xml:space="preserve"> </w:t>
            </w:r>
            <w:r>
              <w:rPr>
                <w:b/>
              </w:rPr>
              <w:t>/</w:t>
            </w:r>
            <w:r>
              <w:rPr>
                <w:b/>
                <w:spacing w:val="-3"/>
              </w:rPr>
              <w:t xml:space="preserve"> </w:t>
            </w:r>
            <w:r>
              <w:rPr>
                <w:b/>
                <w:spacing w:val="-5"/>
              </w:rPr>
              <w:t>No</w:t>
            </w:r>
          </w:p>
        </w:tc>
      </w:tr>
      <w:tr w:rsidR="00046465" w14:paraId="0DFDB59D" w14:textId="77777777">
        <w:trPr>
          <w:trHeight w:val="4858"/>
        </w:trPr>
        <w:tc>
          <w:tcPr>
            <w:tcW w:w="8042" w:type="dxa"/>
            <w:tcBorders>
              <w:bottom w:val="nil"/>
              <w:right w:val="single" w:sz="6" w:space="0" w:color="000000"/>
            </w:tcBorders>
          </w:tcPr>
          <w:p w14:paraId="0DFDB57C" w14:textId="77777777" w:rsidR="00046465" w:rsidRDefault="008134EB">
            <w:pPr>
              <w:pStyle w:val="TableParagraph"/>
              <w:spacing w:before="144"/>
              <w:ind w:left="129" w:right="138"/>
              <w:rPr>
                <w:b/>
              </w:rPr>
            </w:pPr>
            <w:r>
              <w:rPr>
                <w:b/>
              </w:rPr>
              <w:t>Federal Debt Collection Authorities, as provided in 31 U.S.C. chapter 37 (31</w:t>
            </w:r>
            <w:r>
              <w:rPr>
                <w:b/>
                <w:spacing w:val="-3"/>
              </w:rPr>
              <w:t xml:space="preserve"> </w:t>
            </w:r>
            <w:r>
              <w:rPr>
                <w:b/>
              </w:rPr>
              <w:t>U.S.C.</w:t>
            </w:r>
            <w:r>
              <w:rPr>
                <w:b/>
                <w:spacing w:val="-3"/>
              </w:rPr>
              <w:t xml:space="preserve"> </w:t>
            </w:r>
            <w:r>
              <w:rPr>
                <w:b/>
              </w:rPr>
              <w:t>§</w:t>
            </w:r>
            <w:r>
              <w:rPr>
                <w:b/>
                <w:spacing w:val="-2"/>
              </w:rPr>
              <w:t xml:space="preserve"> </w:t>
            </w:r>
            <w:r>
              <w:rPr>
                <w:b/>
              </w:rPr>
              <w:t>3711;</w:t>
            </w:r>
            <w:r>
              <w:rPr>
                <w:b/>
                <w:spacing w:val="-3"/>
              </w:rPr>
              <w:t xml:space="preserve"> </w:t>
            </w:r>
            <w:r>
              <w:rPr>
                <w:b/>
              </w:rPr>
              <w:t>31</w:t>
            </w:r>
            <w:r>
              <w:rPr>
                <w:b/>
                <w:spacing w:val="-3"/>
              </w:rPr>
              <w:t xml:space="preserve"> </w:t>
            </w:r>
            <w:r>
              <w:rPr>
                <w:b/>
              </w:rPr>
              <w:t>U.S.C.</w:t>
            </w:r>
            <w:r>
              <w:rPr>
                <w:b/>
                <w:spacing w:val="-3"/>
              </w:rPr>
              <w:t xml:space="preserve"> </w:t>
            </w:r>
            <w:r>
              <w:rPr>
                <w:b/>
              </w:rPr>
              <w:t>§</w:t>
            </w:r>
            <w:r>
              <w:rPr>
                <w:b/>
                <w:spacing w:val="-3"/>
              </w:rPr>
              <w:t xml:space="preserve"> </w:t>
            </w:r>
            <w:r>
              <w:rPr>
                <w:b/>
              </w:rPr>
              <w:t>3717(a),</w:t>
            </w:r>
            <w:r>
              <w:rPr>
                <w:b/>
                <w:spacing w:val="-3"/>
              </w:rPr>
              <w:t xml:space="preserve"> </w:t>
            </w:r>
            <w:r>
              <w:rPr>
                <w:b/>
              </w:rPr>
              <w:t>(b),</w:t>
            </w:r>
            <w:r>
              <w:rPr>
                <w:b/>
                <w:spacing w:val="-3"/>
              </w:rPr>
              <w:t xml:space="preserve"> </w:t>
            </w:r>
            <w:r>
              <w:rPr>
                <w:b/>
              </w:rPr>
              <w:t>(c),</w:t>
            </w:r>
            <w:r>
              <w:rPr>
                <w:b/>
                <w:spacing w:val="-3"/>
              </w:rPr>
              <w:t xml:space="preserve"> </w:t>
            </w:r>
            <w:r>
              <w:rPr>
                <w:b/>
              </w:rPr>
              <w:t>(e),</w:t>
            </w:r>
            <w:r>
              <w:rPr>
                <w:b/>
                <w:spacing w:val="-3"/>
              </w:rPr>
              <w:t xml:space="preserve"> </w:t>
            </w:r>
            <w:r>
              <w:rPr>
                <w:b/>
              </w:rPr>
              <w:t>(f);</w:t>
            </w:r>
            <w:r>
              <w:rPr>
                <w:b/>
                <w:spacing w:val="-3"/>
              </w:rPr>
              <w:t xml:space="preserve"> </w:t>
            </w:r>
            <w:r>
              <w:rPr>
                <w:b/>
              </w:rPr>
              <w:t>and</w:t>
            </w:r>
            <w:r>
              <w:rPr>
                <w:b/>
                <w:spacing w:val="-3"/>
              </w:rPr>
              <w:t xml:space="preserve"> </w:t>
            </w:r>
            <w:r>
              <w:rPr>
                <w:b/>
              </w:rPr>
              <w:t>31</w:t>
            </w:r>
            <w:r>
              <w:rPr>
                <w:b/>
                <w:spacing w:val="-3"/>
              </w:rPr>
              <w:t xml:space="preserve"> </w:t>
            </w:r>
            <w:r>
              <w:rPr>
                <w:b/>
              </w:rPr>
              <w:t>U.S.C.</w:t>
            </w:r>
            <w:r>
              <w:rPr>
                <w:b/>
                <w:spacing w:val="-3"/>
              </w:rPr>
              <w:t xml:space="preserve"> </w:t>
            </w:r>
            <w:r>
              <w:rPr>
                <w:b/>
              </w:rPr>
              <w:t>§</w:t>
            </w:r>
            <w:r>
              <w:rPr>
                <w:b/>
                <w:spacing w:val="-2"/>
              </w:rPr>
              <w:t xml:space="preserve"> </w:t>
            </w:r>
            <w:r>
              <w:rPr>
                <w:b/>
              </w:rPr>
              <w:t>3719)</w:t>
            </w:r>
          </w:p>
          <w:p w14:paraId="0DFDB57D" w14:textId="77777777" w:rsidR="00046465" w:rsidRDefault="008134EB">
            <w:pPr>
              <w:pStyle w:val="TableParagraph"/>
              <w:spacing w:before="145"/>
              <w:ind w:left="129" w:right="138"/>
            </w:pPr>
            <w:r>
              <w:t>These authorities address the collection of claims of the U.S. government, which involve most nontax amounts (a.k.a., debts) that have been determined by an appropriate federal official to be owed to the U.S. government from nonfederal parties. These authorities generally apply in the absence of more specific legal requirements that directly address claims for particular circumstances.</w:t>
            </w:r>
            <w:r>
              <w:rPr>
                <w:spacing w:val="-3"/>
              </w:rPr>
              <w:t xml:space="preserve"> </w:t>
            </w:r>
            <w:r>
              <w:t>Interest</w:t>
            </w:r>
            <w:r>
              <w:rPr>
                <w:spacing w:val="-4"/>
              </w:rPr>
              <w:t xml:space="preserve"> </w:t>
            </w:r>
            <w:r>
              <w:t>generally</w:t>
            </w:r>
            <w:r>
              <w:rPr>
                <w:spacing w:val="-3"/>
              </w:rPr>
              <w:t xml:space="preserve"> </w:t>
            </w:r>
            <w:r>
              <w:t>accrues</w:t>
            </w:r>
            <w:r>
              <w:rPr>
                <w:spacing w:val="-3"/>
              </w:rPr>
              <w:t xml:space="preserve"> </w:t>
            </w:r>
            <w:r>
              <w:t>from</w:t>
            </w:r>
            <w:r>
              <w:rPr>
                <w:spacing w:val="-4"/>
              </w:rPr>
              <w:t xml:space="preserve"> </w:t>
            </w:r>
            <w:r>
              <w:t>the</w:t>
            </w:r>
            <w:r>
              <w:rPr>
                <w:spacing w:val="-3"/>
              </w:rPr>
              <w:t xml:space="preserve"> </w:t>
            </w:r>
            <w:r>
              <w:t>date</w:t>
            </w:r>
            <w:r>
              <w:rPr>
                <w:spacing w:val="-3"/>
              </w:rPr>
              <w:t xml:space="preserve"> </w:t>
            </w:r>
            <w:r>
              <w:t>that</w:t>
            </w:r>
            <w:r>
              <w:rPr>
                <w:spacing w:val="-4"/>
              </w:rPr>
              <w:t xml:space="preserve"> </w:t>
            </w:r>
            <w:r>
              <w:t>a</w:t>
            </w:r>
            <w:r>
              <w:rPr>
                <w:spacing w:val="-3"/>
              </w:rPr>
              <w:t xml:space="preserve"> </w:t>
            </w:r>
            <w:r>
              <w:t>notice</w:t>
            </w:r>
            <w:r>
              <w:rPr>
                <w:spacing w:val="-3"/>
              </w:rPr>
              <w:t xml:space="preserve"> </w:t>
            </w:r>
            <w:r>
              <w:t>stating</w:t>
            </w:r>
            <w:r>
              <w:rPr>
                <w:spacing w:val="-3"/>
              </w:rPr>
              <w:t xml:space="preserve"> </w:t>
            </w:r>
            <w:r>
              <w:t>the amount due and the interest policies is first mailed to the debtor. Interest generally accrues at a rate established by the Secretary of the Treasury.</w:t>
            </w:r>
          </w:p>
          <w:p w14:paraId="0DFDB57E" w14:textId="77777777" w:rsidR="00046465" w:rsidRDefault="008134EB">
            <w:pPr>
              <w:pStyle w:val="TableParagraph"/>
              <w:ind w:left="129"/>
            </w:pPr>
            <w:r>
              <w:t>Generally,</w:t>
            </w:r>
            <w:r>
              <w:rPr>
                <w:spacing w:val="-8"/>
              </w:rPr>
              <w:t xml:space="preserve"> </w:t>
            </w:r>
            <w:r>
              <w:t>administrative</w:t>
            </w:r>
            <w:r>
              <w:rPr>
                <w:spacing w:val="-7"/>
              </w:rPr>
              <w:t xml:space="preserve"> </w:t>
            </w:r>
            <w:r>
              <w:t>costs</w:t>
            </w:r>
            <w:r>
              <w:rPr>
                <w:spacing w:val="-7"/>
              </w:rPr>
              <w:t xml:space="preserve"> </w:t>
            </w:r>
            <w:r>
              <w:t>and</w:t>
            </w:r>
            <w:r>
              <w:rPr>
                <w:spacing w:val="-8"/>
              </w:rPr>
              <w:t xml:space="preserve"> </w:t>
            </w:r>
            <w:r>
              <w:t>penalties</w:t>
            </w:r>
            <w:r>
              <w:rPr>
                <w:spacing w:val="-8"/>
              </w:rPr>
              <w:t xml:space="preserve"> </w:t>
            </w:r>
            <w:r>
              <w:t>shall</w:t>
            </w:r>
            <w:r>
              <w:rPr>
                <w:spacing w:val="-7"/>
              </w:rPr>
              <w:t xml:space="preserve"> </w:t>
            </w:r>
            <w:r>
              <w:t>also</w:t>
            </w:r>
            <w:r>
              <w:rPr>
                <w:spacing w:val="-8"/>
              </w:rPr>
              <w:t xml:space="preserve"> </w:t>
            </w:r>
            <w:r>
              <w:t>be</w:t>
            </w:r>
            <w:r>
              <w:rPr>
                <w:spacing w:val="-8"/>
              </w:rPr>
              <w:t xml:space="preserve"> </w:t>
            </w:r>
            <w:r>
              <w:rPr>
                <w:spacing w:val="-2"/>
              </w:rPr>
              <w:t>charged.</w:t>
            </w:r>
          </w:p>
          <w:p w14:paraId="0DFDB57F" w14:textId="77777777" w:rsidR="00046465" w:rsidRDefault="008134EB">
            <w:pPr>
              <w:pStyle w:val="TableParagraph"/>
              <w:spacing w:before="143"/>
              <w:ind w:left="129" w:right="174"/>
            </w:pPr>
            <w:r>
              <w:t>The</w:t>
            </w:r>
            <w:r>
              <w:rPr>
                <w:spacing w:val="-3"/>
              </w:rPr>
              <w:t xml:space="preserve"> </w:t>
            </w:r>
            <w:r>
              <w:t>authorities</w:t>
            </w:r>
            <w:r>
              <w:rPr>
                <w:spacing w:val="-3"/>
              </w:rPr>
              <w:t xml:space="preserve"> </w:t>
            </w:r>
            <w:r>
              <w:t>also</w:t>
            </w:r>
            <w:r>
              <w:rPr>
                <w:spacing w:val="-3"/>
              </w:rPr>
              <w:t xml:space="preserve"> </w:t>
            </w:r>
            <w:r>
              <w:t>require</w:t>
            </w:r>
            <w:r>
              <w:rPr>
                <w:spacing w:val="-3"/>
              </w:rPr>
              <w:t xml:space="preserve"> </w:t>
            </w:r>
            <w:r>
              <w:t>the</w:t>
            </w:r>
            <w:r>
              <w:rPr>
                <w:spacing w:val="-3"/>
              </w:rPr>
              <w:t xml:space="preserve"> </w:t>
            </w:r>
            <w:r>
              <w:t>entity</w:t>
            </w:r>
            <w:r>
              <w:rPr>
                <w:spacing w:val="-4"/>
              </w:rPr>
              <w:t xml:space="preserve"> </w:t>
            </w:r>
            <w:r>
              <w:t>to</w:t>
            </w:r>
            <w:r>
              <w:rPr>
                <w:spacing w:val="-3"/>
              </w:rPr>
              <w:t xml:space="preserve"> </w:t>
            </w:r>
            <w:r>
              <w:t>take</w:t>
            </w:r>
            <w:r>
              <w:rPr>
                <w:spacing w:val="-3"/>
              </w:rPr>
              <w:t xml:space="preserve"> </w:t>
            </w:r>
            <w:r>
              <w:t>all</w:t>
            </w:r>
            <w:r>
              <w:rPr>
                <w:spacing w:val="-3"/>
              </w:rPr>
              <w:t xml:space="preserve"> </w:t>
            </w:r>
            <w:r>
              <w:t>appropriate</w:t>
            </w:r>
            <w:r>
              <w:rPr>
                <w:spacing w:val="-3"/>
              </w:rPr>
              <w:t xml:space="preserve"> </w:t>
            </w:r>
            <w:r>
              <w:t>steps</w:t>
            </w:r>
            <w:r>
              <w:rPr>
                <w:spacing w:val="-3"/>
              </w:rPr>
              <w:t xml:space="preserve"> </w:t>
            </w:r>
            <w:r>
              <w:t>to</w:t>
            </w:r>
            <w:r>
              <w:rPr>
                <w:spacing w:val="-3"/>
              </w:rPr>
              <w:t xml:space="preserve"> </w:t>
            </w:r>
            <w:r>
              <w:t>collect</w:t>
            </w:r>
            <w:r>
              <w:rPr>
                <w:spacing w:val="-3"/>
              </w:rPr>
              <w:t xml:space="preserve"> </w:t>
            </w:r>
            <w:r>
              <w:t>the debt before discharging it and to notify Treasury about delinquent debt for the use of certain debt collection tools, such as administrative offset. The authorities also generally require the entity not to make or guarantee loans to persons who owe delinquent debt. Further, in appropriate circumstances, the authorities permit the compromise, termination, or suspension of claims.</w:t>
            </w:r>
          </w:p>
        </w:tc>
        <w:tc>
          <w:tcPr>
            <w:tcW w:w="1317" w:type="dxa"/>
            <w:vMerge w:val="restart"/>
            <w:tcBorders>
              <w:left w:val="single" w:sz="6" w:space="0" w:color="000000"/>
            </w:tcBorders>
          </w:tcPr>
          <w:p w14:paraId="0DFDB580" w14:textId="77777777" w:rsidR="00046465" w:rsidRDefault="00046465">
            <w:pPr>
              <w:pStyle w:val="TableParagraph"/>
              <w:rPr>
                <w:sz w:val="20"/>
              </w:rPr>
            </w:pPr>
          </w:p>
          <w:p w14:paraId="0DFDB581" w14:textId="77777777" w:rsidR="00046465" w:rsidRDefault="00046465">
            <w:pPr>
              <w:pStyle w:val="TableParagraph"/>
              <w:rPr>
                <w:sz w:val="20"/>
              </w:rPr>
            </w:pPr>
          </w:p>
          <w:p w14:paraId="0DFDB582" w14:textId="77777777" w:rsidR="00046465" w:rsidRDefault="00046465">
            <w:pPr>
              <w:pStyle w:val="TableParagraph"/>
              <w:rPr>
                <w:sz w:val="20"/>
              </w:rPr>
            </w:pPr>
          </w:p>
          <w:p w14:paraId="0DFDB583" w14:textId="77777777" w:rsidR="00046465" w:rsidRDefault="00046465">
            <w:pPr>
              <w:pStyle w:val="TableParagraph"/>
              <w:rPr>
                <w:sz w:val="20"/>
              </w:rPr>
            </w:pPr>
          </w:p>
          <w:p w14:paraId="0DFDB584" w14:textId="77777777" w:rsidR="00046465" w:rsidRDefault="00046465">
            <w:pPr>
              <w:pStyle w:val="TableParagraph"/>
              <w:rPr>
                <w:sz w:val="20"/>
              </w:rPr>
            </w:pPr>
          </w:p>
          <w:p w14:paraId="0DFDB585" w14:textId="77777777" w:rsidR="00046465" w:rsidRDefault="00046465">
            <w:pPr>
              <w:pStyle w:val="TableParagraph"/>
              <w:rPr>
                <w:sz w:val="20"/>
              </w:rPr>
            </w:pPr>
          </w:p>
          <w:p w14:paraId="0DFDB586" w14:textId="77777777" w:rsidR="00046465" w:rsidRDefault="00046465">
            <w:pPr>
              <w:pStyle w:val="TableParagraph"/>
              <w:rPr>
                <w:sz w:val="20"/>
              </w:rPr>
            </w:pPr>
          </w:p>
          <w:p w14:paraId="0DFDB587" w14:textId="77777777" w:rsidR="00046465" w:rsidRDefault="00046465">
            <w:pPr>
              <w:pStyle w:val="TableParagraph"/>
              <w:rPr>
                <w:sz w:val="20"/>
              </w:rPr>
            </w:pPr>
          </w:p>
          <w:p w14:paraId="0DFDB588" w14:textId="77777777" w:rsidR="00046465" w:rsidRDefault="00046465">
            <w:pPr>
              <w:pStyle w:val="TableParagraph"/>
              <w:rPr>
                <w:sz w:val="20"/>
              </w:rPr>
            </w:pPr>
          </w:p>
          <w:p w14:paraId="0DFDB589" w14:textId="77777777" w:rsidR="00046465" w:rsidRDefault="00046465">
            <w:pPr>
              <w:pStyle w:val="TableParagraph"/>
              <w:rPr>
                <w:sz w:val="20"/>
              </w:rPr>
            </w:pPr>
          </w:p>
          <w:p w14:paraId="0DFDB58A" w14:textId="77777777" w:rsidR="00046465" w:rsidRDefault="00046465">
            <w:pPr>
              <w:pStyle w:val="TableParagraph"/>
              <w:rPr>
                <w:sz w:val="20"/>
              </w:rPr>
            </w:pPr>
          </w:p>
          <w:p w14:paraId="0DFDB58B" w14:textId="77777777" w:rsidR="00046465" w:rsidRDefault="00046465">
            <w:pPr>
              <w:pStyle w:val="TableParagraph"/>
              <w:rPr>
                <w:sz w:val="20"/>
              </w:rPr>
            </w:pPr>
          </w:p>
          <w:p w14:paraId="0DFDB58C" w14:textId="77777777" w:rsidR="00046465" w:rsidRDefault="00046465">
            <w:pPr>
              <w:pStyle w:val="TableParagraph"/>
              <w:rPr>
                <w:sz w:val="20"/>
              </w:rPr>
            </w:pPr>
          </w:p>
          <w:p w14:paraId="0DFDB58D" w14:textId="77777777" w:rsidR="00046465" w:rsidRDefault="00046465">
            <w:pPr>
              <w:pStyle w:val="TableParagraph"/>
              <w:rPr>
                <w:sz w:val="20"/>
              </w:rPr>
            </w:pPr>
          </w:p>
          <w:p w14:paraId="0DFDB58E" w14:textId="77777777" w:rsidR="00046465" w:rsidRDefault="00046465">
            <w:pPr>
              <w:pStyle w:val="TableParagraph"/>
              <w:rPr>
                <w:sz w:val="20"/>
              </w:rPr>
            </w:pPr>
          </w:p>
          <w:p w14:paraId="0DFDB58F" w14:textId="77777777" w:rsidR="00046465" w:rsidRDefault="00046465">
            <w:pPr>
              <w:pStyle w:val="TableParagraph"/>
              <w:rPr>
                <w:sz w:val="20"/>
              </w:rPr>
            </w:pPr>
          </w:p>
          <w:p w14:paraId="0DFDB590" w14:textId="77777777" w:rsidR="00046465" w:rsidRDefault="00046465">
            <w:pPr>
              <w:pStyle w:val="TableParagraph"/>
              <w:rPr>
                <w:sz w:val="20"/>
              </w:rPr>
            </w:pPr>
          </w:p>
          <w:p w14:paraId="0DFDB591" w14:textId="77777777" w:rsidR="00046465" w:rsidRDefault="00046465">
            <w:pPr>
              <w:pStyle w:val="TableParagraph"/>
              <w:rPr>
                <w:sz w:val="20"/>
              </w:rPr>
            </w:pPr>
          </w:p>
          <w:p w14:paraId="0DFDB592" w14:textId="77777777" w:rsidR="00046465" w:rsidRDefault="00046465">
            <w:pPr>
              <w:pStyle w:val="TableParagraph"/>
              <w:rPr>
                <w:sz w:val="20"/>
              </w:rPr>
            </w:pPr>
          </w:p>
          <w:p w14:paraId="0DFDB593" w14:textId="77777777" w:rsidR="00046465" w:rsidRDefault="00046465">
            <w:pPr>
              <w:pStyle w:val="TableParagraph"/>
              <w:rPr>
                <w:sz w:val="20"/>
              </w:rPr>
            </w:pPr>
          </w:p>
          <w:p w14:paraId="0DFDB594" w14:textId="77777777" w:rsidR="00046465" w:rsidRDefault="00046465">
            <w:pPr>
              <w:pStyle w:val="TableParagraph"/>
              <w:rPr>
                <w:sz w:val="20"/>
              </w:rPr>
            </w:pPr>
          </w:p>
          <w:p w14:paraId="0DFDB595" w14:textId="77777777" w:rsidR="00046465" w:rsidRDefault="00046465">
            <w:pPr>
              <w:pStyle w:val="TableParagraph"/>
              <w:spacing w:before="204" w:after="1"/>
              <w:rPr>
                <w:sz w:val="20"/>
              </w:rPr>
            </w:pPr>
          </w:p>
          <w:p w14:paraId="0DFDB596" w14:textId="77777777" w:rsidR="00046465" w:rsidRDefault="008134EB">
            <w:pPr>
              <w:pStyle w:val="TableParagraph"/>
              <w:spacing w:line="20" w:lineRule="exact"/>
              <w:ind w:left="145"/>
              <w:rPr>
                <w:sz w:val="2"/>
              </w:rPr>
            </w:pPr>
            <w:r>
              <w:rPr>
                <w:noProof/>
                <w:sz w:val="2"/>
              </w:rPr>
              <mc:AlternateContent>
                <mc:Choice Requires="wpg">
                  <w:drawing>
                    <wp:inline distT="0" distB="0" distL="0" distR="0" wp14:anchorId="0DFDD5A5" wp14:editId="0DFDD5A6">
                      <wp:extent cx="621665" cy="8890"/>
                      <wp:effectExtent l="9525" t="0" r="0" b="635"/>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420" name="Graphic 420"/>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0160E4" id="Group 419"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OxAT29wAgAAjwUAAA4AAAAAAAAAAAAAAAAA&#10;LgIAAGRycy9lMm9Eb2MueG1sUEsBAi0AFAAGAAgAAAAhABFF7qTaAAAAAgEAAA8AAAAAAAAAAAAA&#10;AAAAygQAAGRycy9kb3ducmV2LnhtbFBLBQYAAAAABAAEAPMAAADRBQAAAAA=&#10;">
                      <v:shape id="Graphic 420"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" path="m,l621371,e" filled="f" strokeweight=".24403mm">
                        <v:path arrowok="t"/>
                      </v:shape>
                      <w10:anchorlock/>
                    </v:group>
                  </w:pict>
                </mc:Fallback>
              </mc:AlternateContent>
            </w:r>
          </w:p>
          <w:p w14:paraId="0DFDB597" w14:textId="77777777" w:rsidR="00046465" w:rsidRDefault="00046465">
            <w:pPr>
              <w:pStyle w:val="TableParagraph"/>
              <w:rPr>
                <w:sz w:val="20"/>
              </w:rPr>
            </w:pPr>
          </w:p>
          <w:p w14:paraId="0DFDB598" w14:textId="77777777" w:rsidR="00046465" w:rsidRDefault="00046465">
            <w:pPr>
              <w:pStyle w:val="TableParagraph"/>
              <w:spacing w:before="170"/>
              <w:rPr>
                <w:sz w:val="20"/>
              </w:rPr>
            </w:pPr>
          </w:p>
          <w:p w14:paraId="0DFDB599" w14:textId="77777777" w:rsidR="00046465" w:rsidRDefault="008134EB">
            <w:pPr>
              <w:pStyle w:val="TableParagraph"/>
              <w:spacing w:line="20" w:lineRule="exact"/>
              <w:ind w:left="145"/>
              <w:rPr>
                <w:sz w:val="2"/>
              </w:rPr>
            </w:pPr>
            <w:r>
              <w:rPr>
                <w:noProof/>
                <w:sz w:val="2"/>
              </w:rPr>
              <mc:AlternateContent>
                <mc:Choice Requires="wpg">
                  <w:drawing>
                    <wp:inline distT="0" distB="0" distL="0" distR="0" wp14:anchorId="0DFDD5A7" wp14:editId="0DFDD5A8">
                      <wp:extent cx="621665" cy="8890"/>
                      <wp:effectExtent l="9525" t="0" r="0" b="635"/>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422" name="Graphic 422"/>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558325C" id="Group 421"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N4vDHtwAgAAjwUAAA4AAAAAAAAAAAAAAAAA&#10;LgIAAGRycy9lMm9Eb2MueG1sUEsBAi0AFAAGAAgAAAAhABFF7qTaAAAAAgEAAA8AAAAAAAAAAAAA&#10;AAAAygQAAGRycy9kb3ducmV2LnhtbFBLBQYAAAAABAAEAPMAAADRBQAAAAA=&#10;">
                      <v:shape id="Graphic 422"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" path="m,l621371,e" filled="f" strokeweight=".24403mm">
                        <v:path arrowok="t"/>
                      </v:shape>
                      <w10:anchorlock/>
                    </v:group>
                  </w:pict>
                </mc:Fallback>
              </mc:AlternateContent>
            </w:r>
          </w:p>
          <w:p w14:paraId="0DFDB59A" w14:textId="77777777" w:rsidR="00046465" w:rsidRDefault="00046465">
            <w:pPr>
              <w:pStyle w:val="TableParagraph"/>
              <w:rPr>
                <w:sz w:val="20"/>
              </w:rPr>
            </w:pPr>
          </w:p>
          <w:p w14:paraId="0DFDB59B" w14:textId="77777777" w:rsidR="00046465" w:rsidRDefault="00046465">
            <w:pPr>
              <w:pStyle w:val="TableParagraph"/>
              <w:spacing w:before="170"/>
              <w:rPr>
                <w:sz w:val="20"/>
              </w:rPr>
            </w:pPr>
          </w:p>
          <w:p w14:paraId="0DFDB59C" w14:textId="77777777" w:rsidR="00046465" w:rsidRDefault="008134EB">
            <w:pPr>
              <w:pStyle w:val="TableParagraph"/>
              <w:spacing w:line="20" w:lineRule="exact"/>
              <w:ind w:left="145"/>
              <w:rPr>
                <w:sz w:val="2"/>
              </w:rPr>
            </w:pPr>
            <w:r>
              <w:rPr>
                <w:noProof/>
                <w:sz w:val="2"/>
              </w:rPr>
              <mc:AlternateContent>
                <mc:Choice Requires="wpg">
                  <w:drawing>
                    <wp:inline distT="0" distB="0" distL="0" distR="0" wp14:anchorId="0DFDD5A9" wp14:editId="0DFDD5AA">
                      <wp:extent cx="621665" cy="8890"/>
                      <wp:effectExtent l="9525" t="0" r="0" b="635"/>
                      <wp:docPr id="423"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424" name="Graphic 424"/>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FFE9F9" id="Group 423"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IieyUdwAgAAjwUAAA4AAAAAAAAAAAAAAAAA&#10;LgIAAGRycy9lMm9Eb2MueG1sUEsBAi0AFAAGAAgAAAAhABFF7qTaAAAAAgEAAA8AAAAAAAAAAAAA&#10;AAAAygQAAGRycy9kb3ducmV2LnhtbFBLBQYAAAAABAAEAPMAAADRBQAAAAA=&#10;">
                      <v:shape id="Graphic 424"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" path="m,l621371,e" filled="f" strokeweight=".24403mm">
                        <v:path arrowok="t"/>
                      </v:shape>
                      <w10:anchorlock/>
                    </v:group>
                  </w:pict>
                </mc:Fallback>
              </mc:AlternateContent>
            </w:r>
          </w:p>
        </w:tc>
      </w:tr>
      <w:tr w:rsidR="00046465" w14:paraId="0DFDB5A3" w14:textId="77777777">
        <w:trPr>
          <w:trHeight w:val="2717"/>
        </w:trPr>
        <w:tc>
          <w:tcPr>
            <w:tcW w:w="8042" w:type="dxa"/>
            <w:tcBorders>
              <w:top w:val="nil"/>
              <w:right w:val="single" w:sz="6" w:space="0" w:color="000000"/>
            </w:tcBorders>
          </w:tcPr>
          <w:p w14:paraId="0DFDB59E" w14:textId="77777777" w:rsidR="00046465" w:rsidRDefault="008134EB">
            <w:pPr>
              <w:pStyle w:val="TableParagraph"/>
              <w:spacing w:before="117"/>
              <w:ind w:left="129" w:right="138"/>
              <w:rPr>
                <w:i/>
              </w:rPr>
            </w:pPr>
            <w:r>
              <w:rPr>
                <w:i/>
              </w:rPr>
              <w:t>Does</w:t>
            </w:r>
            <w:r>
              <w:rPr>
                <w:i/>
                <w:spacing w:val="-4"/>
              </w:rPr>
              <w:t xml:space="preserve"> </w:t>
            </w:r>
            <w:r>
              <w:rPr>
                <w:i/>
              </w:rPr>
              <w:t>the</w:t>
            </w:r>
            <w:r>
              <w:rPr>
                <w:i/>
                <w:spacing w:val="-4"/>
              </w:rPr>
              <w:t xml:space="preserve"> </w:t>
            </w:r>
            <w:r>
              <w:rPr>
                <w:i/>
              </w:rPr>
              <w:t>cumulative</w:t>
            </w:r>
            <w:r>
              <w:rPr>
                <w:i/>
                <w:spacing w:val="-4"/>
              </w:rPr>
              <w:t xml:space="preserve"> </w:t>
            </w:r>
            <w:r>
              <w:rPr>
                <w:i/>
              </w:rPr>
              <w:t>amount</w:t>
            </w:r>
            <w:r>
              <w:rPr>
                <w:i/>
                <w:spacing w:val="-4"/>
              </w:rPr>
              <w:t xml:space="preserve"> </w:t>
            </w:r>
            <w:r>
              <w:rPr>
                <w:i/>
              </w:rPr>
              <w:t>of</w:t>
            </w:r>
            <w:r>
              <w:rPr>
                <w:i/>
                <w:spacing w:val="-4"/>
              </w:rPr>
              <w:t xml:space="preserve"> </w:t>
            </w:r>
            <w:r>
              <w:rPr>
                <w:i/>
              </w:rPr>
              <w:t>receivables</w:t>
            </w:r>
            <w:r>
              <w:rPr>
                <w:i/>
                <w:spacing w:val="-4"/>
              </w:rPr>
              <w:t xml:space="preserve"> </w:t>
            </w:r>
            <w:r>
              <w:rPr>
                <w:i/>
              </w:rPr>
              <w:t>created</w:t>
            </w:r>
            <w:r>
              <w:rPr>
                <w:i/>
                <w:spacing w:val="-4"/>
              </w:rPr>
              <w:t xml:space="preserve"> </w:t>
            </w:r>
            <w:r>
              <w:rPr>
                <w:i/>
              </w:rPr>
              <w:t>during</w:t>
            </w:r>
            <w:r>
              <w:rPr>
                <w:i/>
                <w:spacing w:val="-4"/>
              </w:rPr>
              <w:t xml:space="preserve"> </w:t>
            </w:r>
            <w:r>
              <w:rPr>
                <w:i/>
              </w:rPr>
              <w:t>the</w:t>
            </w:r>
            <w:r>
              <w:rPr>
                <w:i/>
                <w:spacing w:val="-4"/>
              </w:rPr>
              <w:t xml:space="preserve"> </w:t>
            </w:r>
            <w:r>
              <w:rPr>
                <w:i/>
              </w:rPr>
              <w:t>audit</w:t>
            </w:r>
            <w:r>
              <w:rPr>
                <w:i/>
                <w:spacing w:val="-4"/>
              </w:rPr>
              <w:t xml:space="preserve"> </w:t>
            </w:r>
            <w:r>
              <w:rPr>
                <w:i/>
              </w:rPr>
              <w:t>period</w:t>
            </w:r>
            <w:r>
              <w:rPr>
                <w:i/>
                <w:spacing w:val="-4"/>
              </w:rPr>
              <w:t xml:space="preserve"> </w:t>
            </w:r>
            <w:r>
              <w:rPr>
                <w:i/>
              </w:rPr>
              <w:t>that is subject to the Federal Debt Collection Authorities exceed materiality?</w:t>
            </w:r>
          </w:p>
          <w:p w14:paraId="0DFDB59F" w14:textId="77777777" w:rsidR="00046465" w:rsidRDefault="008134EB">
            <w:pPr>
              <w:pStyle w:val="TableParagraph"/>
              <w:spacing w:before="144"/>
              <w:ind w:left="129" w:right="255"/>
              <w:rPr>
                <w:i/>
              </w:rPr>
            </w:pPr>
            <w:r>
              <w:rPr>
                <w:i/>
              </w:rPr>
              <w:t>Does</w:t>
            </w:r>
            <w:r>
              <w:rPr>
                <w:i/>
                <w:spacing w:val="-3"/>
              </w:rPr>
              <w:t xml:space="preserve"> </w:t>
            </w:r>
            <w:r>
              <w:rPr>
                <w:i/>
              </w:rPr>
              <w:t>the</w:t>
            </w:r>
            <w:r>
              <w:rPr>
                <w:i/>
                <w:spacing w:val="-3"/>
              </w:rPr>
              <w:t xml:space="preserve"> </w:t>
            </w:r>
            <w:r>
              <w:rPr>
                <w:i/>
              </w:rPr>
              <w:t>amount</w:t>
            </w:r>
            <w:r>
              <w:rPr>
                <w:i/>
                <w:spacing w:val="-3"/>
              </w:rPr>
              <w:t xml:space="preserve"> </w:t>
            </w:r>
            <w:r>
              <w:rPr>
                <w:i/>
              </w:rPr>
              <w:t>of</w:t>
            </w:r>
            <w:r>
              <w:rPr>
                <w:i/>
                <w:spacing w:val="-3"/>
              </w:rPr>
              <w:t xml:space="preserve"> </w:t>
            </w:r>
            <w:r>
              <w:rPr>
                <w:i/>
              </w:rPr>
              <w:t>receivables</w:t>
            </w:r>
            <w:r>
              <w:rPr>
                <w:i/>
                <w:spacing w:val="-3"/>
              </w:rPr>
              <w:t xml:space="preserve"> </w:t>
            </w:r>
            <w:r>
              <w:rPr>
                <w:i/>
              </w:rPr>
              <w:t>at</w:t>
            </w:r>
            <w:r>
              <w:rPr>
                <w:i/>
                <w:spacing w:val="-3"/>
              </w:rPr>
              <w:t xml:space="preserve"> </w:t>
            </w:r>
            <w:r>
              <w:rPr>
                <w:i/>
              </w:rPr>
              <w:t>the</w:t>
            </w:r>
            <w:r>
              <w:rPr>
                <w:i/>
                <w:spacing w:val="-3"/>
              </w:rPr>
              <w:t xml:space="preserve"> </w:t>
            </w:r>
            <w:r>
              <w:rPr>
                <w:i/>
              </w:rPr>
              <w:t>end</w:t>
            </w:r>
            <w:r>
              <w:rPr>
                <w:i/>
                <w:spacing w:val="-3"/>
              </w:rPr>
              <w:t xml:space="preserve"> </w:t>
            </w:r>
            <w:r>
              <w:rPr>
                <w:i/>
              </w:rPr>
              <w:t>of</w:t>
            </w:r>
            <w:r>
              <w:rPr>
                <w:i/>
                <w:spacing w:val="-3"/>
              </w:rPr>
              <w:t xml:space="preserve"> </w:t>
            </w:r>
            <w:r>
              <w:rPr>
                <w:i/>
              </w:rPr>
              <w:t>the</w:t>
            </w:r>
            <w:r>
              <w:rPr>
                <w:i/>
                <w:spacing w:val="-3"/>
              </w:rPr>
              <w:t xml:space="preserve"> </w:t>
            </w:r>
            <w:r>
              <w:rPr>
                <w:i/>
              </w:rPr>
              <w:t>audit</w:t>
            </w:r>
            <w:r>
              <w:rPr>
                <w:i/>
                <w:spacing w:val="-3"/>
              </w:rPr>
              <w:t xml:space="preserve"> </w:t>
            </w:r>
            <w:r>
              <w:rPr>
                <w:i/>
              </w:rPr>
              <w:t>period</w:t>
            </w:r>
            <w:r>
              <w:rPr>
                <w:i/>
                <w:spacing w:val="-3"/>
              </w:rPr>
              <w:t xml:space="preserve"> </w:t>
            </w:r>
            <w:r>
              <w:rPr>
                <w:i/>
              </w:rPr>
              <w:t>that</w:t>
            </w:r>
            <w:r>
              <w:rPr>
                <w:i/>
                <w:spacing w:val="-3"/>
              </w:rPr>
              <w:t xml:space="preserve"> </w:t>
            </w:r>
            <w:r>
              <w:rPr>
                <w:i/>
              </w:rPr>
              <w:t>is</w:t>
            </w:r>
            <w:r>
              <w:rPr>
                <w:i/>
                <w:spacing w:val="-3"/>
              </w:rPr>
              <w:t xml:space="preserve"> </w:t>
            </w:r>
            <w:r>
              <w:rPr>
                <w:i/>
              </w:rPr>
              <w:t>subject</w:t>
            </w:r>
            <w:r>
              <w:rPr>
                <w:i/>
                <w:spacing w:val="-3"/>
              </w:rPr>
              <w:t xml:space="preserve"> </w:t>
            </w:r>
            <w:r>
              <w:rPr>
                <w:i/>
              </w:rPr>
              <w:t>to the Federal Debt Collection Authorities exceed materiality?</w:t>
            </w:r>
          </w:p>
          <w:p w14:paraId="0DFDB5A0" w14:textId="77777777" w:rsidR="00046465" w:rsidRDefault="008134EB">
            <w:pPr>
              <w:pStyle w:val="TableParagraph"/>
              <w:spacing w:before="145"/>
              <w:ind w:left="129" w:right="434"/>
              <w:jc w:val="both"/>
              <w:rPr>
                <w:i/>
              </w:rPr>
            </w:pPr>
            <w:r>
              <w:rPr>
                <w:i/>
              </w:rPr>
              <w:t>Did</w:t>
            </w:r>
            <w:r>
              <w:rPr>
                <w:i/>
                <w:spacing w:val="-4"/>
              </w:rPr>
              <w:t xml:space="preserve"> </w:t>
            </w:r>
            <w:r>
              <w:rPr>
                <w:i/>
              </w:rPr>
              <w:t>the</w:t>
            </w:r>
            <w:r>
              <w:rPr>
                <w:i/>
                <w:spacing w:val="-4"/>
              </w:rPr>
              <w:t xml:space="preserve"> </w:t>
            </w:r>
            <w:r>
              <w:rPr>
                <w:i/>
              </w:rPr>
              <w:t>auditor</w:t>
            </w:r>
            <w:r>
              <w:rPr>
                <w:i/>
                <w:spacing w:val="-4"/>
              </w:rPr>
              <w:t xml:space="preserve"> </w:t>
            </w:r>
            <w:r>
              <w:rPr>
                <w:i/>
              </w:rPr>
              <w:t>determine</w:t>
            </w:r>
            <w:r>
              <w:rPr>
                <w:i/>
                <w:spacing w:val="-4"/>
              </w:rPr>
              <w:t xml:space="preserve"> </w:t>
            </w:r>
            <w:r>
              <w:rPr>
                <w:i/>
              </w:rPr>
              <w:t>that</w:t>
            </w:r>
            <w:r>
              <w:rPr>
                <w:i/>
                <w:spacing w:val="-4"/>
              </w:rPr>
              <w:t xml:space="preserve"> </w:t>
            </w:r>
            <w:r>
              <w:rPr>
                <w:i/>
              </w:rPr>
              <w:t>the</w:t>
            </w:r>
            <w:r>
              <w:rPr>
                <w:i/>
                <w:spacing w:val="-4"/>
              </w:rPr>
              <w:t xml:space="preserve"> </w:t>
            </w:r>
            <w:r>
              <w:rPr>
                <w:i/>
              </w:rPr>
              <w:t>Federal</w:t>
            </w:r>
            <w:r>
              <w:rPr>
                <w:i/>
                <w:spacing w:val="-4"/>
              </w:rPr>
              <w:t xml:space="preserve"> </w:t>
            </w:r>
            <w:r>
              <w:rPr>
                <w:i/>
              </w:rPr>
              <w:t>Debt</w:t>
            </w:r>
            <w:r>
              <w:rPr>
                <w:i/>
                <w:spacing w:val="-4"/>
              </w:rPr>
              <w:t xml:space="preserve"> </w:t>
            </w:r>
            <w:r>
              <w:rPr>
                <w:i/>
              </w:rPr>
              <w:t>Collection</w:t>
            </w:r>
            <w:r>
              <w:rPr>
                <w:i/>
                <w:spacing w:val="-4"/>
              </w:rPr>
              <w:t xml:space="preserve"> </w:t>
            </w:r>
            <w:r>
              <w:rPr>
                <w:i/>
              </w:rPr>
              <w:t>Authorities</w:t>
            </w:r>
            <w:r>
              <w:rPr>
                <w:i/>
                <w:spacing w:val="-4"/>
              </w:rPr>
              <w:t xml:space="preserve"> </w:t>
            </w:r>
            <w:r>
              <w:rPr>
                <w:i/>
              </w:rPr>
              <w:t>have</w:t>
            </w:r>
            <w:r>
              <w:rPr>
                <w:i/>
                <w:spacing w:val="-4"/>
              </w:rPr>
              <w:t xml:space="preserve"> </w:t>
            </w:r>
            <w:r>
              <w:rPr>
                <w:i/>
              </w:rPr>
              <w:t>a direct effect on the determination of material amounts and disclosures in the entity’s financial statements?</w:t>
            </w:r>
          </w:p>
          <w:p w14:paraId="0DFDB5A1" w14:textId="77777777" w:rsidR="00046465" w:rsidRDefault="008134EB">
            <w:pPr>
              <w:pStyle w:val="TableParagraph"/>
              <w:spacing w:before="144"/>
              <w:ind w:left="363" w:right="363"/>
              <w:jc w:val="center"/>
            </w:pPr>
            <w:r>
              <w:t>(continue</w:t>
            </w:r>
            <w:r>
              <w:rPr>
                <w:spacing w:val="-6"/>
              </w:rPr>
              <w:t xml:space="preserve"> </w:t>
            </w:r>
            <w:r>
              <w:t>to</w:t>
            </w:r>
            <w:r>
              <w:rPr>
                <w:spacing w:val="-5"/>
              </w:rPr>
              <w:t xml:space="preserve"> </w:t>
            </w:r>
            <w:r>
              <w:t>next</w:t>
            </w:r>
            <w:r>
              <w:rPr>
                <w:spacing w:val="-6"/>
              </w:rPr>
              <w:t xml:space="preserve"> </w:t>
            </w:r>
            <w:r>
              <w:rPr>
                <w:spacing w:val="-2"/>
              </w:rPr>
              <w:t>page)</w:t>
            </w:r>
          </w:p>
        </w:tc>
        <w:tc>
          <w:tcPr>
            <w:tcW w:w="1317" w:type="dxa"/>
            <w:vMerge/>
            <w:tcBorders>
              <w:top w:val="nil"/>
              <w:left w:val="single" w:sz="6" w:space="0" w:color="000000"/>
            </w:tcBorders>
          </w:tcPr>
          <w:p w14:paraId="0DFDB5A2" w14:textId="77777777" w:rsidR="00046465" w:rsidRDefault="00046465">
            <w:pPr>
              <w:rPr>
                <w:sz w:val="2"/>
                <w:szCs w:val="2"/>
              </w:rPr>
            </w:pPr>
          </w:p>
        </w:tc>
      </w:tr>
    </w:tbl>
    <w:p w14:paraId="0DFDB5A4" w14:textId="77777777" w:rsidR="00046465" w:rsidRDefault="00046465">
      <w:pPr>
        <w:rPr>
          <w:sz w:val="2"/>
          <w:szCs w:val="2"/>
        </w:rPr>
        <w:sectPr w:rsidR="00046465">
          <w:headerReference w:type="default" r:id="rId118"/>
          <w:footerReference w:type="default" r:id="rId119"/>
          <w:pgSz w:w="12240" w:h="15840"/>
          <w:pgMar w:top="1340" w:right="720" w:bottom="940" w:left="1080" w:header="721" w:footer="742" w:gutter="0"/>
          <w:cols w:space="720"/>
        </w:sectPr>
      </w:pPr>
    </w:p>
    <w:p w14:paraId="0DFDB5A5" w14:textId="77777777" w:rsidR="00046465" w:rsidRDefault="008134EB">
      <w:pPr>
        <w:pStyle w:val="BodyText"/>
        <w:spacing w:before="9"/>
        <w:rPr>
          <w:sz w:val="11"/>
        </w:rPr>
      </w:pPr>
      <w:r>
        <w:rPr>
          <w:noProof/>
          <w:sz w:val="11"/>
        </w:rPr>
        <w:lastRenderedPageBreak/>
        <mc:AlternateContent>
          <mc:Choice Requires="wps">
            <w:drawing>
              <wp:anchor distT="0" distB="0" distL="0" distR="0" simplePos="0" relativeHeight="15769088" behindDoc="0" locked="0" layoutInCell="1" allowOverlap="1" wp14:anchorId="0DFDD5AB" wp14:editId="0DFDD5AC">
                <wp:simplePos x="0" y="0"/>
                <wp:positionH relativeFrom="page">
                  <wp:posOffset>1042669</wp:posOffset>
                </wp:positionH>
                <wp:positionV relativeFrom="page">
                  <wp:posOffset>2155953</wp:posOffset>
                </wp:positionV>
                <wp:extent cx="4914900" cy="2753995"/>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275399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5853"/>
                              <w:gridCol w:w="120"/>
                              <w:gridCol w:w="1646"/>
                            </w:tblGrid>
                            <w:tr w:rsidR="00046465" w14:paraId="0DFDDD8B" w14:textId="77777777">
                              <w:trPr>
                                <w:trHeight w:val="393"/>
                              </w:trPr>
                              <w:tc>
                                <w:tcPr>
                                  <w:tcW w:w="5853" w:type="dxa"/>
                                </w:tcPr>
                                <w:p w14:paraId="0DFDDD88" w14:textId="77777777" w:rsidR="00046465" w:rsidRDefault="00046465">
                                  <w:pPr>
                                    <w:pStyle w:val="TableParagraph"/>
                                    <w:rPr>
                                      <w:rFonts w:ascii="Times New Roman"/>
                                      <w:sz w:val="20"/>
                                    </w:rPr>
                                  </w:pPr>
                                </w:p>
                              </w:tc>
                              <w:tc>
                                <w:tcPr>
                                  <w:tcW w:w="120" w:type="dxa"/>
                                </w:tcPr>
                                <w:p w14:paraId="0DFDDD89" w14:textId="77777777" w:rsidR="00046465" w:rsidRDefault="00046465">
                                  <w:pPr>
                                    <w:pStyle w:val="TableParagraph"/>
                                    <w:rPr>
                                      <w:rFonts w:ascii="Times New Roman"/>
                                      <w:sz w:val="20"/>
                                    </w:rPr>
                                  </w:pPr>
                                </w:p>
                              </w:tc>
                              <w:tc>
                                <w:tcPr>
                                  <w:tcW w:w="1646" w:type="dxa"/>
                                </w:tcPr>
                                <w:p w14:paraId="0DFDDD8A" w14:textId="77777777" w:rsidR="00046465" w:rsidRDefault="00046465">
                                  <w:pPr>
                                    <w:pStyle w:val="TableParagraph"/>
                                    <w:rPr>
                                      <w:rFonts w:ascii="Times New Roman"/>
                                      <w:sz w:val="20"/>
                                    </w:rPr>
                                  </w:pPr>
                                </w:p>
                              </w:tc>
                            </w:tr>
                            <w:tr w:rsidR="00046465" w14:paraId="0DFDDD8F" w14:textId="77777777">
                              <w:trPr>
                                <w:trHeight w:val="1549"/>
                              </w:trPr>
                              <w:tc>
                                <w:tcPr>
                                  <w:tcW w:w="5853" w:type="dxa"/>
                                </w:tcPr>
                                <w:p w14:paraId="0DFDDD8C" w14:textId="77777777" w:rsidR="00046465" w:rsidRDefault="00046465">
                                  <w:pPr>
                                    <w:pStyle w:val="TableParagraph"/>
                                    <w:rPr>
                                      <w:rFonts w:ascii="Times New Roman"/>
                                      <w:sz w:val="20"/>
                                    </w:rPr>
                                  </w:pPr>
                                </w:p>
                              </w:tc>
                              <w:tc>
                                <w:tcPr>
                                  <w:tcW w:w="120" w:type="dxa"/>
                                </w:tcPr>
                                <w:p w14:paraId="0DFDDD8D" w14:textId="77777777" w:rsidR="00046465" w:rsidRDefault="00046465">
                                  <w:pPr>
                                    <w:pStyle w:val="TableParagraph"/>
                                    <w:rPr>
                                      <w:rFonts w:ascii="Times New Roman"/>
                                      <w:sz w:val="20"/>
                                    </w:rPr>
                                  </w:pPr>
                                </w:p>
                              </w:tc>
                              <w:tc>
                                <w:tcPr>
                                  <w:tcW w:w="1646" w:type="dxa"/>
                                  <w:tcBorders>
                                    <w:bottom w:val="single" w:sz="2" w:space="0" w:color="000000"/>
                                  </w:tcBorders>
                                </w:tcPr>
                                <w:p w14:paraId="0DFDDD8E" w14:textId="77777777" w:rsidR="00046465" w:rsidRDefault="00046465">
                                  <w:pPr>
                                    <w:pStyle w:val="TableParagraph"/>
                                    <w:rPr>
                                      <w:rFonts w:ascii="Times New Roman"/>
                                      <w:sz w:val="20"/>
                                    </w:rPr>
                                  </w:pPr>
                                </w:p>
                              </w:tc>
                            </w:tr>
                            <w:tr w:rsidR="00046465" w14:paraId="0DFDDD93" w14:textId="77777777">
                              <w:trPr>
                                <w:trHeight w:val="544"/>
                              </w:trPr>
                              <w:tc>
                                <w:tcPr>
                                  <w:tcW w:w="5853" w:type="dxa"/>
                                </w:tcPr>
                                <w:p w14:paraId="0DFDDD90" w14:textId="77777777" w:rsidR="00046465" w:rsidRDefault="00046465">
                                  <w:pPr>
                                    <w:pStyle w:val="TableParagraph"/>
                                    <w:rPr>
                                      <w:rFonts w:ascii="Times New Roman"/>
                                      <w:sz w:val="20"/>
                                    </w:rPr>
                                  </w:pPr>
                                </w:p>
                              </w:tc>
                              <w:tc>
                                <w:tcPr>
                                  <w:tcW w:w="120" w:type="dxa"/>
                                </w:tcPr>
                                <w:p w14:paraId="0DFDDD91" w14:textId="77777777" w:rsidR="00046465" w:rsidRDefault="00046465">
                                  <w:pPr>
                                    <w:pStyle w:val="TableParagraph"/>
                                    <w:rPr>
                                      <w:rFonts w:ascii="Times New Roman"/>
                                      <w:sz w:val="20"/>
                                    </w:rPr>
                                  </w:pPr>
                                </w:p>
                              </w:tc>
                              <w:tc>
                                <w:tcPr>
                                  <w:tcW w:w="1646" w:type="dxa"/>
                                  <w:tcBorders>
                                    <w:top w:val="single" w:sz="2" w:space="0" w:color="000000"/>
                                  </w:tcBorders>
                                </w:tcPr>
                                <w:p w14:paraId="0DFDDD92" w14:textId="77777777" w:rsidR="00046465" w:rsidRDefault="00046465">
                                  <w:pPr>
                                    <w:pStyle w:val="TableParagraph"/>
                                    <w:rPr>
                                      <w:rFonts w:ascii="Times New Roman"/>
                                      <w:sz w:val="20"/>
                                    </w:rPr>
                                  </w:pPr>
                                </w:p>
                              </w:tc>
                            </w:tr>
                            <w:tr w:rsidR="00046465" w14:paraId="0DFDDD97" w14:textId="77777777">
                              <w:trPr>
                                <w:trHeight w:val="1295"/>
                              </w:trPr>
                              <w:tc>
                                <w:tcPr>
                                  <w:tcW w:w="5853" w:type="dxa"/>
                                </w:tcPr>
                                <w:p w14:paraId="0DFDDD94" w14:textId="77777777" w:rsidR="00046465" w:rsidRDefault="00046465">
                                  <w:pPr>
                                    <w:pStyle w:val="TableParagraph"/>
                                    <w:rPr>
                                      <w:rFonts w:ascii="Times New Roman"/>
                                      <w:sz w:val="20"/>
                                    </w:rPr>
                                  </w:pPr>
                                </w:p>
                              </w:tc>
                              <w:tc>
                                <w:tcPr>
                                  <w:tcW w:w="120" w:type="dxa"/>
                                </w:tcPr>
                                <w:p w14:paraId="0DFDDD95" w14:textId="77777777" w:rsidR="00046465" w:rsidRDefault="00046465">
                                  <w:pPr>
                                    <w:pStyle w:val="TableParagraph"/>
                                    <w:rPr>
                                      <w:rFonts w:ascii="Times New Roman"/>
                                      <w:sz w:val="20"/>
                                    </w:rPr>
                                  </w:pPr>
                                </w:p>
                              </w:tc>
                              <w:tc>
                                <w:tcPr>
                                  <w:tcW w:w="1646" w:type="dxa"/>
                                  <w:tcBorders>
                                    <w:bottom w:val="single" w:sz="2" w:space="0" w:color="000000"/>
                                  </w:tcBorders>
                                </w:tcPr>
                                <w:p w14:paraId="0DFDDD96" w14:textId="77777777" w:rsidR="00046465" w:rsidRDefault="00046465">
                                  <w:pPr>
                                    <w:pStyle w:val="TableParagraph"/>
                                    <w:rPr>
                                      <w:rFonts w:ascii="Times New Roman"/>
                                      <w:sz w:val="20"/>
                                    </w:rPr>
                                  </w:pPr>
                                </w:p>
                              </w:tc>
                            </w:tr>
                            <w:tr w:rsidR="00046465" w14:paraId="0DFDDD9B" w14:textId="77777777">
                              <w:trPr>
                                <w:trHeight w:val="541"/>
                              </w:trPr>
                              <w:tc>
                                <w:tcPr>
                                  <w:tcW w:w="5853" w:type="dxa"/>
                                </w:tcPr>
                                <w:p w14:paraId="0DFDDD98" w14:textId="77777777" w:rsidR="00046465" w:rsidRDefault="00046465">
                                  <w:pPr>
                                    <w:pStyle w:val="TableParagraph"/>
                                    <w:rPr>
                                      <w:rFonts w:ascii="Times New Roman"/>
                                      <w:sz w:val="20"/>
                                    </w:rPr>
                                  </w:pPr>
                                </w:p>
                              </w:tc>
                              <w:tc>
                                <w:tcPr>
                                  <w:tcW w:w="120" w:type="dxa"/>
                                </w:tcPr>
                                <w:p w14:paraId="0DFDDD99" w14:textId="77777777" w:rsidR="00046465" w:rsidRDefault="00046465">
                                  <w:pPr>
                                    <w:pStyle w:val="TableParagraph"/>
                                    <w:rPr>
                                      <w:rFonts w:ascii="Times New Roman"/>
                                      <w:sz w:val="20"/>
                                    </w:rPr>
                                  </w:pPr>
                                </w:p>
                              </w:tc>
                              <w:tc>
                                <w:tcPr>
                                  <w:tcW w:w="1646" w:type="dxa"/>
                                  <w:tcBorders>
                                    <w:top w:val="single" w:sz="2" w:space="0" w:color="000000"/>
                                    <w:bottom w:val="single" w:sz="2" w:space="0" w:color="000000"/>
                                  </w:tcBorders>
                                </w:tcPr>
                                <w:p w14:paraId="0DFDDD9A" w14:textId="77777777" w:rsidR="00046465" w:rsidRDefault="00046465">
                                  <w:pPr>
                                    <w:pStyle w:val="TableParagraph"/>
                                    <w:rPr>
                                      <w:rFonts w:ascii="Times New Roman"/>
                                      <w:sz w:val="20"/>
                                    </w:rPr>
                                  </w:pPr>
                                </w:p>
                              </w:tc>
                            </w:tr>
                          </w:tbl>
                          <w:p w14:paraId="0DFDDD9C" w14:textId="77777777" w:rsidR="00046465" w:rsidRDefault="00046465">
                            <w:pPr>
                              <w:pStyle w:val="BodyText"/>
                            </w:pPr>
                          </w:p>
                        </w:txbxContent>
                      </wps:txbx>
                      <wps:bodyPr wrap="square" lIns="0" tIns="0" rIns="0" bIns="0" rtlCol="0">
                        <a:noAutofit/>
                      </wps:bodyPr>
                    </wps:wsp>
                  </a:graphicData>
                </a:graphic>
              </wp:anchor>
            </w:drawing>
          </mc:Choice>
          <mc:Fallback>
            <w:pict>
              <v:shape w14:anchorId="0DFDD5AB" id="Textbox 425" o:spid="_x0000_s1044" type="#_x0000_t202" style="position:absolute;margin-left:82.1pt;margin-top:169.75pt;width:387pt;height:216.85pt;z-index:157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5853"/>
                        <w:gridCol w:w="120"/>
                        <w:gridCol w:w="1646"/>
                      </w:tblGrid>
                      <w:tr w:rsidR="00046465" w14:paraId="0DFDDD8B" w14:textId="77777777">
                        <w:trPr>
                          <w:trHeight w:val="393"/>
                        </w:trPr>
                        <w:tc>
                          <w:tcPr>
                            <w:tcW w:w="5853" w:type="dxa"/>
                          </w:tcPr>
                          <w:p w14:paraId="0DFDDD88" w14:textId="77777777" w:rsidR="00046465" w:rsidRDefault="00046465">
                            <w:pPr>
                              <w:pStyle w:val="TableParagraph"/>
                              <w:rPr>
                                <w:rFonts w:ascii="Times New Roman"/>
                                <w:sz w:val="20"/>
                              </w:rPr>
                            </w:pPr>
                          </w:p>
                        </w:tc>
                        <w:tc>
                          <w:tcPr>
                            <w:tcW w:w="120" w:type="dxa"/>
                          </w:tcPr>
                          <w:p w14:paraId="0DFDDD89" w14:textId="77777777" w:rsidR="00046465" w:rsidRDefault="00046465">
                            <w:pPr>
                              <w:pStyle w:val="TableParagraph"/>
                              <w:rPr>
                                <w:rFonts w:ascii="Times New Roman"/>
                                <w:sz w:val="20"/>
                              </w:rPr>
                            </w:pPr>
                          </w:p>
                        </w:tc>
                        <w:tc>
                          <w:tcPr>
                            <w:tcW w:w="1646" w:type="dxa"/>
                          </w:tcPr>
                          <w:p w14:paraId="0DFDDD8A" w14:textId="77777777" w:rsidR="00046465" w:rsidRDefault="00046465">
                            <w:pPr>
                              <w:pStyle w:val="TableParagraph"/>
                              <w:rPr>
                                <w:rFonts w:ascii="Times New Roman"/>
                                <w:sz w:val="20"/>
                              </w:rPr>
                            </w:pPr>
                          </w:p>
                        </w:tc>
                      </w:tr>
                      <w:tr w:rsidR="00046465" w14:paraId="0DFDDD8F" w14:textId="77777777">
                        <w:trPr>
                          <w:trHeight w:val="1549"/>
                        </w:trPr>
                        <w:tc>
                          <w:tcPr>
                            <w:tcW w:w="5853" w:type="dxa"/>
                          </w:tcPr>
                          <w:p w14:paraId="0DFDDD8C" w14:textId="77777777" w:rsidR="00046465" w:rsidRDefault="00046465">
                            <w:pPr>
                              <w:pStyle w:val="TableParagraph"/>
                              <w:rPr>
                                <w:rFonts w:ascii="Times New Roman"/>
                                <w:sz w:val="20"/>
                              </w:rPr>
                            </w:pPr>
                          </w:p>
                        </w:tc>
                        <w:tc>
                          <w:tcPr>
                            <w:tcW w:w="120" w:type="dxa"/>
                          </w:tcPr>
                          <w:p w14:paraId="0DFDDD8D" w14:textId="77777777" w:rsidR="00046465" w:rsidRDefault="00046465">
                            <w:pPr>
                              <w:pStyle w:val="TableParagraph"/>
                              <w:rPr>
                                <w:rFonts w:ascii="Times New Roman"/>
                                <w:sz w:val="20"/>
                              </w:rPr>
                            </w:pPr>
                          </w:p>
                        </w:tc>
                        <w:tc>
                          <w:tcPr>
                            <w:tcW w:w="1646" w:type="dxa"/>
                            <w:tcBorders>
                              <w:bottom w:val="single" w:sz="2" w:space="0" w:color="000000"/>
                            </w:tcBorders>
                          </w:tcPr>
                          <w:p w14:paraId="0DFDDD8E" w14:textId="77777777" w:rsidR="00046465" w:rsidRDefault="00046465">
                            <w:pPr>
                              <w:pStyle w:val="TableParagraph"/>
                              <w:rPr>
                                <w:rFonts w:ascii="Times New Roman"/>
                                <w:sz w:val="20"/>
                              </w:rPr>
                            </w:pPr>
                          </w:p>
                        </w:tc>
                      </w:tr>
                      <w:tr w:rsidR="00046465" w14:paraId="0DFDDD93" w14:textId="77777777">
                        <w:trPr>
                          <w:trHeight w:val="544"/>
                        </w:trPr>
                        <w:tc>
                          <w:tcPr>
                            <w:tcW w:w="5853" w:type="dxa"/>
                          </w:tcPr>
                          <w:p w14:paraId="0DFDDD90" w14:textId="77777777" w:rsidR="00046465" w:rsidRDefault="00046465">
                            <w:pPr>
                              <w:pStyle w:val="TableParagraph"/>
                              <w:rPr>
                                <w:rFonts w:ascii="Times New Roman"/>
                                <w:sz w:val="20"/>
                              </w:rPr>
                            </w:pPr>
                          </w:p>
                        </w:tc>
                        <w:tc>
                          <w:tcPr>
                            <w:tcW w:w="120" w:type="dxa"/>
                          </w:tcPr>
                          <w:p w14:paraId="0DFDDD91" w14:textId="77777777" w:rsidR="00046465" w:rsidRDefault="00046465">
                            <w:pPr>
                              <w:pStyle w:val="TableParagraph"/>
                              <w:rPr>
                                <w:rFonts w:ascii="Times New Roman"/>
                                <w:sz w:val="20"/>
                              </w:rPr>
                            </w:pPr>
                          </w:p>
                        </w:tc>
                        <w:tc>
                          <w:tcPr>
                            <w:tcW w:w="1646" w:type="dxa"/>
                            <w:tcBorders>
                              <w:top w:val="single" w:sz="2" w:space="0" w:color="000000"/>
                            </w:tcBorders>
                          </w:tcPr>
                          <w:p w14:paraId="0DFDDD92" w14:textId="77777777" w:rsidR="00046465" w:rsidRDefault="00046465">
                            <w:pPr>
                              <w:pStyle w:val="TableParagraph"/>
                              <w:rPr>
                                <w:rFonts w:ascii="Times New Roman"/>
                                <w:sz w:val="20"/>
                              </w:rPr>
                            </w:pPr>
                          </w:p>
                        </w:tc>
                      </w:tr>
                      <w:tr w:rsidR="00046465" w14:paraId="0DFDDD97" w14:textId="77777777">
                        <w:trPr>
                          <w:trHeight w:val="1295"/>
                        </w:trPr>
                        <w:tc>
                          <w:tcPr>
                            <w:tcW w:w="5853" w:type="dxa"/>
                          </w:tcPr>
                          <w:p w14:paraId="0DFDDD94" w14:textId="77777777" w:rsidR="00046465" w:rsidRDefault="00046465">
                            <w:pPr>
                              <w:pStyle w:val="TableParagraph"/>
                              <w:rPr>
                                <w:rFonts w:ascii="Times New Roman"/>
                                <w:sz w:val="20"/>
                              </w:rPr>
                            </w:pPr>
                          </w:p>
                        </w:tc>
                        <w:tc>
                          <w:tcPr>
                            <w:tcW w:w="120" w:type="dxa"/>
                          </w:tcPr>
                          <w:p w14:paraId="0DFDDD95" w14:textId="77777777" w:rsidR="00046465" w:rsidRDefault="00046465">
                            <w:pPr>
                              <w:pStyle w:val="TableParagraph"/>
                              <w:rPr>
                                <w:rFonts w:ascii="Times New Roman"/>
                                <w:sz w:val="20"/>
                              </w:rPr>
                            </w:pPr>
                          </w:p>
                        </w:tc>
                        <w:tc>
                          <w:tcPr>
                            <w:tcW w:w="1646" w:type="dxa"/>
                            <w:tcBorders>
                              <w:bottom w:val="single" w:sz="2" w:space="0" w:color="000000"/>
                            </w:tcBorders>
                          </w:tcPr>
                          <w:p w14:paraId="0DFDDD96" w14:textId="77777777" w:rsidR="00046465" w:rsidRDefault="00046465">
                            <w:pPr>
                              <w:pStyle w:val="TableParagraph"/>
                              <w:rPr>
                                <w:rFonts w:ascii="Times New Roman"/>
                                <w:sz w:val="20"/>
                              </w:rPr>
                            </w:pPr>
                          </w:p>
                        </w:tc>
                      </w:tr>
                      <w:tr w:rsidR="00046465" w14:paraId="0DFDDD9B" w14:textId="77777777">
                        <w:trPr>
                          <w:trHeight w:val="541"/>
                        </w:trPr>
                        <w:tc>
                          <w:tcPr>
                            <w:tcW w:w="5853" w:type="dxa"/>
                          </w:tcPr>
                          <w:p w14:paraId="0DFDDD98" w14:textId="77777777" w:rsidR="00046465" w:rsidRDefault="00046465">
                            <w:pPr>
                              <w:pStyle w:val="TableParagraph"/>
                              <w:rPr>
                                <w:rFonts w:ascii="Times New Roman"/>
                                <w:sz w:val="20"/>
                              </w:rPr>
                            </w:pPr>
                          </w:p>
                        </w:tc>
                        <w:tc>
                          <w:tcPr>
                            <w:tcW w:w="120" w:type="dxa"/>
                          </w:tcPr>
                          <w:p w14:paraId="0DFDDD99" w14:textId="77777777" w:rsidR="00046465" w:rsidRDefault="00046465">
                            <w:pPr>
                              <w:pStyle w:val="TableParagraph"/>
                              <w:rPr>
                                <w:rFonts w:ascii="Times New Roman"/>
                                <w:sz w:val="20"/>
                              </w:rPr>
                            </w:pPr>
                          </w:p>
                        </w:tc>
                        <w:tc>
                          <w:tcPr>
                            <w:tcW w:w="1646" w:type="dxa"/>
                            <w:tcBorders>
                              <w:top w:val="single" w:sz="2" w:space="0" w:color="000000"/>
                              <w:bottom w:val="single" w:sz="2" w:space="0" w:color="000000"/>
                            </w:tcBorders>
                          </w:tcPr>
                          <w:p w14:paraId="0DFDDD9A" w14:textId="77777777" w:rsidR="00046465" w:rsidRDefault="00046465">
                            <w:pPr>
                              <w:pStyle w:val="TableParagraph"/>
                              <w:rPr>
                                <w:rFonts w:ascii="Times New Roman"/>
                                <w:sz w:val="20"/>
                              </w:rPr>
                            </w:pPr>
                          </w:p>
                        </w:tc>
                      </w:tr>
                    </w:tbl>
                    <w:p w14:paraId="0DFDDD9C" w14:textId="77777777" w:rsidR="00046465" w:rsidRDefault="00046465">
                      <w:pPr>
                        <w:pStyle w:val="BodyText"/>
                      </w:pPr>
                    </w:p>
                  </w:txbxContent>
                </v:textbox>
                <w10:wrap anchorx="page" anchory="page"/>
              </v:shape>
            </w:pict>
          </mc:Fallback>
        </mc:AlternateContent>
      </w:r>
    </w:p>
    <w:tbl>
      <w:tblPr>
        <w:tblW w:w="0" w:type="auto"/>
        <w:tblInd w:w="38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8042"/>
        <w:gridCol w:w="1317"/>
      </w:tblGrid>
      <w:tr w:rsidR="00046465" w14:paraId="0DFDB5A8" w14:textId="77777777">
        <w:trPr>
          <w:trHeight w:val="540"/>
        </w:trPr>
        <w:tc>
          <w:tcPr>
            <w:tcW w:w="8042" w:type="dxa"/>
            <w:tcBorders>
              <w:right w:val="single" w:sz="6" w:space="0" w:color="000000"/>
            </w:tcBorders>
          </w:tcPr>
          <w:p w14:paraId="0DFDB5A6" w14:textId="77777777" w:rsidR="00046465" w:rsidRDefault="008134EB">
            <w:pPr>
              <w:pStyle w:val="TableParagraph"/>
              <w:spacing w:before="144"/>
              <w:ind w:right="363"/>
              <w:jc w:val="center"/>
              <w:rPr>
                <w:b/>
              </w:rPr>
            </w:pPr>
            <w:r>
              <w:rPr>
                <w:b/>
              </w:rPr>
              <w:t>Description</w:t>
            </w:r>
            <w:r>
              <w:rPr>
                <w:b/>
                <w:spacing w:val="-9"/>
              </w:rPr>
              <w:t xml:space="preserve"> </w:t>
            </w:r>
            <w:r>
              <w:rPr>
                <w:b/>
              </w:rPr>
              <w:t>of</w:t>
            </w:r>
            <w:r>
              <w:rPr>
                <w:b/>
                <w:spacing w:val="-9"/>
              </w:rPr>
              <w:t xml:space="preserve"> </w:t>
            </w:r>
            <w:r>
              <w:rPr>
                <w:b/>
                <w:spacing w:val="-5"/>
              </w:rPr>
              <w:t>law</w:t>
            </w:r>
          </w:p>
        </w:tc>
        <w:tc>
          <w:tcPr>
            <w:tcW w:w="1317" w:type="dxa"/>
            <w:tcBorders>
              <w:left w:val="single" w:sz="6" w:space="0" w:color="000000"/>
            </w:tcBorders>
          </w:tcPr>
          <w:p w14:paraId="0DFDB5A7" w14:textId="77777777" w:rsidR="00046465" w:rsidRDefault="008134EB">
            <w:pPr>
              <w:pStyle w:val="TableParagraph"/>
              <w:spacing w:before="144"/>
              <w:ind w:left="145"/>
              <w:rPr>
                <w:b/>
              </w:rPr>
            </w:pPr>
            <w:r>
              <w:rPr>
                <w:b/>
              </w:rPr>
              <w:t>Yes</w:t>
            </w:r>
            <w:r>
              <w:rPr>
                <w:b/>
                <w:spacing w:val="-3"/>
              </w:rPr>
              <w:t xml:space="preserve"> </w:t>
            </w:r>
            <w:r>
              <w:rPr>
                <w:b/>
              </w:rPr>
              <w:t>/</w:t>
            </w:r>
            <w:r>
              <w:rPr>
                <w:b/>
                <w:spacing w:val="-3"/>
              </w:rPr>
              <w:t xml:space="preserve"> </w:t>
            </w:r>
            <w:r>
              <w:rPr>
                <w:b/>
                <w:spacing w:val="-5"/>
              </w:rPr>
              <w:t>No</w:t>
            </w:r>
          </w:p>
        </w:tc>
      </w:tr>
      <w:tr w:rsidR="00046465" w14:paraId="0DFDB5BF" w14:textId="77777777">
        <w:trPr>
          <w:trHeight w:val="8053"/>
        </w:trPr>
        <w:tc>
          <w:tcPr>
            <w:tcW w:w="8042" w:type="dxa"/>
            <w:tcBorders>
              <w:right w:val="single" w:sz="6" w:space="0" w:color="000000"/>
            </w:tcBorders>
          </w:tcPr>
          <w:p w14:paraId="0DFDB5A9" w14:textId="77777777" w:rsidR="00046465" w:rsidRDefault="008134EB">
            <w:pPr>
              <w:pStyle w:val="TableParagraph"/>
              <w:spacing w:before="145"/>
              <w:ind w:left="129" w:right="138"/>
              <w:rPr>
                <w:b/>
              </w:rPr>
            </w:pPr>
            <w:r>
              <w:rPr>
                <w:b/>
              </w:rPr>
              <w:t>Federal Debt Collection Authorities, as provided in 31 U.S.C. chapter 37 (31</w:t>
            </w:r>
            <w:r>
              <w:rPr>
                <w:b/>
                <w:spacing w:val="-3"/>
              </w:rPr>
              <w:t xml:space="preserve"> </w:t>
            </w:r>
            <w:r>
              <w:rPr>
                <w:b/>
              </w:rPr>
              <w:t>U.S.C.</w:t>
            </w:r>
            <w:r>
              <w:rPr>
                <w:b/>
                <w:spacing w:val="-3"/>
              </w:rPr>
              <w:t xml:space="preserve"> </w:t>
            </w:r>
            <w:r>
              <w:rPr>
                <w:b/>
              </w:rPr>
              <w:t>§</w:t>
            </w:r>
            <w:r>
              <w:rPr>
                <w:b/>
                <w:spacing w:val="-2"/>
              </w:rPr>
              <w:t xml:space="preserve"> </w:t>
            </w:r>
            <w:r>
              <w:rPr>
                <w:b/>
              </w:rPr>
              <w:t>3711;</w:t>
            </w:r>
            <w:r>
              <w:rPr>
                <w:b/>
                <w:spacing w:val="-3"/>
              </w:rPr>
              <w:t xml:space="preserve"> </w:t>
            </w:r>
            <w:r>
              <w:rPr>
                <w:b/>
              </w:rPr>
              <w:t>31</w:t>
            </w:r>
            <w:r>
              <w:rPr>
                <w:b/>
                <w:spacing w:val="-3"/>
              </w:rPr>
              <w:t xml:space="preserve"> </w:t>
            </w:r>
            <w:r>
              <w:rPr>
                <w:b/>
              </w:rPr>
              <w:t>U.S.C.</w:t>
            </w:r>
            <w:r>
              <w:rPr>
                <w:b/>
                <w:spacing w:val="-3"/>
              </w:rPr>
              <w:t xml:space="preserve"> </w:t>
            </w:r>
            <w:r>
              <w:rPr>
                <w:b/>
              </w:rPr>
              <w:t>§</w:t>
            </w:r>
            <w:r>
              <w:rPr>
                <w:b/>
                <w:spacing w:val="-3"/>
              </w:rPr>
              <w:t xml:space="preserve"> </w:t>
            </w:r>
            <w:r>
              <w:rPr>
                <w:b/>
              </w:rPr>
              <w:t>3717(a),</w:t>
            </w:r>
            <w:r>
              <w:rPr>
                <w:b/>
                <w:spacing w:val="-3"/>
              </w:rPr>
              <w:t xml:space="preserve"> </w:t>
            </w:r>
            <w:r>
              <w:rPr>
                <w:b/>
              </w:rPr>
              <w:t>(b),</w:t>
            </w:r>
            <w:r>
              <w:rPr>
                <w:b/>
                <w:spacing w:val="-3"/>
              </w:rPr>
              <w:t xml:space="preserve"> </w:t>
            </w:r>
            <w:r>
              <w:rPr>
                <w:b/>
              </w:rPr>
              <w:t>(c),</w:t>
            </w:r>
            <w:r>
              <w:rPr>
                <w:b/>
                <w:spacing w:val="-3"/>
              </w:rPr>
              <w:t xml:space="preserve"> </w:t>
            </w:r>
            <w:r>
              <w:rPr>
                <w:b/>
              </w:rPr>
              <w:t>(e),</w:t>
            </w:r>
            <w:r>
              <w:rPr>
                <w:b/>
                <w:spacing w:val="-3"/>
              </w:rPr>
              <w:t xml:space="preserve"> </w:t>
            </w:r>
            <w:r>
              <w:rPr>
                <w:b/>
              </w:rPr>
              <w:t>(f);</w:t>
            </w:r>
            <w:r>
              <w:rPr>
                <w:b/>
                <w:spacing w:val="-3"/>
              </w:rPr>
              <w:t xml:space="preserve"> </w:t>
            </w:r>
            <w:r>
              <w:rPr>
                <w:b/>
              </w:rPr>
              <w:t>and</w:t>
            </w:r>
            <w:r>
              <w:rPr>
                <w:b/>
                <w:spacing w:val="-3"/>
              </w:rPr>
              <w:t xml:space="preserve"> </w:t>
            </w:r>
            <w:r>
              <w:rPr>
                <w:b/>
              </w:rPr>
              <w:t>31</w:t>
            </w:r>
            <w:r>
              <w:rPr>
                <w:b/>
                <w:spacing w:val="-3"/>
              </w:rPr>
              <w:t xml:space="preserve"> </w:t>
            </w:r>
            <w:r>
              <w:rPr>
                <w:b/>
              </w:rPr>
              <w:t>U.S.C.</w:t>
            </w:r>
            <w:r>
              <w:rPr>
                <w:b/>
                <w:spacing w:val="-3"/>
              </w:rPr>
              <w:t xml:space="preserve"> </w:t>
            </w:r>
            <w:r>
              <w:rPr>
                <w:b/>
              </w:rPr>
              <w:t>§</w:t>
            </w:r>
            <w:r>
              <w:rPr>
                <w:b/>
                <w:spacing w:val="-2"/>
              </w:rPr>
              <w:t xml:space="preserve"> </w:t>
            </w:r>
            <w:r>
              <w:rPr>
                <w:b/>
              </w:rPr>
              <w:t>3719)</w:t>
            </w:r>
          </w:p>
          <w:p w14:paraId="0DFDB5AA" w14:textId="77777777" w:rsidR="00046465" w:rsidRDefault="008134EB">
            <w:pPr>
              <w:pStyle w:val="TableParagraph"/>
              <w:spacing w:before="98"/>
              <w:ind w:left="2678"/>
            </w:pPr>
            <w:r>
              <w:t>(continued</w:t>
            </w:r>
            <w:r>
              <w:rPr>
                <w:spacing w:val="-8"/>
              </w:rPr>
              <w:t xml:space="preserve"> </w:t>
            </w:r>
            <w:r>
              <w:t>from</w:t>
            </w:r>
            <w:r>
              <w:rPr>
                <w:spacing w:val="-8"/>
              </w:rPr>
              <w:t xml:space="preserve"> </w:t>
            </w:r>
            <w:r>
              <w:t>prior</w:t>
            </w:r>
            <w:r>
              <w:rPr>
                <w:spacing w:val="-7"/>
              </w:rPr>
              <w:t xml:space="preserve"> </w:t>
            </w:r>
            <w:r>
              <w:rPr>
                <w:spacing w:val="-2"/>
              </w:rPr>
              <w:t>page)</w:t>
            </w:r>
          </w:p>
          <w:p w14:paraId="0DFDB5AB" w14:textId="77777777" w:rsidR="00046465" w:rsidRDefault="00046465">
            <w:pPr>
              <w:pStyle w:val="TableParagraph"/>
              <w:spacing w:before="29"/>
            </w:pPr>
          </w:p>
          <w:p w14:paraId="0DFDB5AC" w14:textId="77777777" w:rsidR="00046465" w:rsidRDefault="008134EB">
            <w:pPr>
              <w:pStyle w:val="TableParagraph"/>
              <w:tabs>
                <w:tab w:val="left" w:pos="6805"/>
              </w:tabs>
              <w:ind w:left="4530"/>
            </w:pPr>
            <w:r>
              <w:rPr>
                <w:spacing w:val="-2"/>
                <w:u w:val="single"/>
              </w:rPr>
              <w:t>Preliminary</w:t>
            </w:r>
            <w:r>
              <w:tab/>
            </w:r>
            <w:r>
              <w:rPr>
                <w:spacing w:val="-2"/>
                <w:u w:val="single"/>
              </w:rPr>
              <w:t>Final</w:t>
            </w:r>
          </w:p>
          <w:p w14:paraId="0DFDB5AD" w14:textId="77777777" w:rsidR="00046465" w:rsidRDefault="00046465">
            <w:pPr>
              <w:pStyle w:val="TableParagraph"/>
              <w:spacing w:before="35"/>
            </w:pPr>
          </w:p>
          <w:p w14:paraId="0DFDB5AE" w14:textId="77777777" w:rsidR="00046465" w:rsidRDefault="008134EB">
            <w:pPr>
              <w:pStyle w:val="TableParagraph"/>
              <w:ind w:left="297" w:right="4628"/>
            </w:pPr>
            <w:r>
              <w:t>Cumulative amount of receivables</w:t>
            </w:r>
            <w:r>
              <w:rPr>
                <w:spacing w:val="-14"/>
              </w:rPr>
              <w:t xml:space="preserve"> </w:t>
            </w:r>
            <w:r>
              <w:t>created</w:t>
            </w:r>
            <w:r>
              <w:rPr>
                <w:spacing w:val="-13"/>
              </w:rPr>
              <w:t xml:space="preserve"> </w:t>
            </w:r>
            <w:r>
              <w:t>during</w:t>
            </w:r>
            <w:r>
              <w:rPr>
                <w:spacing w:val="-13"/>
              </w:rPr>
              <w:t xml:space="preserve"> </w:t>
            </w:r>
            <w:r>
              <w:t xml:space="preserve">the audit period that is subject to the Federal Debt Collection </w:t>
            </w:r>
            <w:r>
              <w:rPr>
                <w:spacing w:val="-2"/>
              </w:rPr>
              <w:t>Authorities</w:t>
            </w:r>
          </w:p>
          <w:p w14:paraId="0DFDB5AF" w14:textId="77777777" w:rsidR="00046465" w:rsidRDefault="00046465">
            <w:pPr>
              <w:pStyle w:val="TableParagraph"/>
              <w:spacing w:before="6"/>
              <w:rPr>
                <w:sz w:val="12"/>
              </w:rPr>
            </w:pPr>
          </w:p>
          <w:p w14:paraId="0DFDB5B0" w14:textId="77777777" w:rsidR="00046465" w:rsidRDefault="008134EB">
            <w:pPr>
              <w:pStyle w:val="TableParagraph"/>
              <w:spacing w:line="20" w:lineRule="exact"/>
              <w:ind w:left="4061"/>
              <w:rPr>
                <w:sz w:val="2"/>
              </w:rPr>
            </w:pPr>
            <w:r>
              <w:rPr>
                <w:noProof/>
                <w:sz w:val="2"/>
              </w:rPr>
              <mc:AlternateContent>
                <mc:Choice Requires="wpg">
                  <w:drawing>
                    <wp:inline distT="0" distB="0" distL="0" distR="0" wp14:anchorId="0DFDD5AD" wp14:editId="0DFDD5AE">
                      <wp:extent cx="1295400" cy="3175"/>
                      <wp:effectExtent l="0" t="0" r="0" b="0"/>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27" name="Graphic 427"/>
                              <wps:cNvSpPr/>
                              <wps:spPr>
                                <a:xfrm>
                                  <a:off x="0" y="0"/>
                                  <a:ext cx="1295400" cy="3175"/>
                                </a:xfrm>
                                <a:custGeom>
                                  <a:avLst/>
                                  <a:gdLst/>
                                  <a:ahLst/>
                                  <a:cxnLst/>
                                  <a:rect l="l" t="t" r="r" b="b"/>
                                  <a:pathLst>
                                    <a:path w="1295400" h="3175">
                                      <a:moveTo>
                                        <a:pt x="1295400" y="0"/>
                                      </a:moveTo>
                                      <a:lnTo>
                                        <a:pt x="0" y="0"/>
                                      </a:lnTo>
                                      <a:lnTo>
                                        <a:pt x="0" y="3035"/>
                                      </a:lnTo>
                                      <a:lnTo>
                                        <a:pt x="1295400" y="3035"/>
                                      </a:lnTo>
                                      <a:lnTo>
                                        <a:pt x="129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F991028" id="Group 426" o:spid="_x0000_s1026" style="width:102pt;height:.25pt;mso-position-horizontal-relative:char;mso-position-vertical-relative:line"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">
                      <v:shape id="Graphic 427"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" path="m1295400,l,,,3035r1295400,l1295400,xe" fillcolor="black" stroked="f">
                        <v:path arrowok="t"/>
                      </v:shape>
                      <w10:anchorlock/>
                    </v:group>
                  </w:pict>
                </mc:Fallback>
              </mc:AlternateContent>
            </w:r>
          </w:p>
          <w:p w14:paraId="0DFDB5B1" w14:textId="77777777" w:rsidR="00046465" w:rsidRDefault="008134EB">
            <w:pPr>
              <w:pStyle w:val="TableParagraph"/>
              <w:spacing w:before="129"/>
              <w:ind w:left="297"/>
            </w:pPr>
            <w:r>
              <w:rPr>
                <w:spacing w:val="-5"/>
              </w:rPr>
              <w:t>or</w:t>
            </w:r>
          </w:p>
          <w:p w14:paraId="0DFDB5B2" w14:textId="77777777" w:rsidR="00046465" w:rsidRDefault="00046465">
            <w:pPr>
              <w:pStyle w:val="TableParagraph"/>
              <w:spacing w:before="35"/>
            </w:pPr>
          </w:p>
          <w:p w14:paraId="0DFDB5B3" w14:textId="77777777" w:rsidR="00046465" w:rsidRDefault="008134EB">
            <w:pPr>
              <w:pStyle w:val="TableParagraph"/>
              <w:ind w:left="297" w:right="4628"/>
            </w:pPr>
            <w:r>
              <w:t>Amount of receivables at the end</w:t>
            </w:r>
            <w:r>
              <w:rPr>
                <w:spacing w:val="-7"/>
              </w:rPr>
              <w:t xml:space="preserve"> </w:t>
            </w:r>
            <w:r>
              <w:t>of</w:t>
            </w:r>
            <w:r>
              <w:rPr>
                <w:spacing w:val="-7"/>
              </w:rPr>
              <w:t xml:space="preserve"> </w:t>
            </w:r>
            <w:r>
              <w:t>the</w:t>
            </w:r>
            <w:r>
              <w:rPr>
                <w:spacing w:val="-7"/>
              </w:rPr>
              <w:t xml:space="preserve"> </w:t>
            </w:r>
            <w:r>
              <w:t>audit</w:t>
            </w:r>
            <w:r>
              <w:rPr>
                <w:spacing w:val="-7"/>
              </w:rPr>
              <w:t xml:space="preserve"> </w:t>
            </w:r>
            <w:r>
              <w:t>period</w:t>
            </w:r>
            <w:r>
              <w:rPr>
                <w:spacing w:val="-7"/>
              </w:rPr>
              <w:t xml:space="preserve"> </w:t>
            </w:r>
            <w:r>
              <w:t>that</w:t>
            </w:r>
            <w:r>
              <w:rPr>
                <w:spacing w:val="-7"/>
              </w:rPr>
              <w:t xml:space="preserve"> </w:t>
            </w:r>
            <w:r>
              <w:t>is subject to the Federal Debt Collection Authorities</w:t>
            </w:r>
          </w:p>
          <w:p w14:paraId="0DFDB5B4" w14:textId="77777777" w:rsidR="00046465" w:rsidRDefault="00046465">
            <w:pPr>
              <w:pStyle w:val="TableParagraph"/>
              <w:spacing w:before="5"/>
              <w:rPr>
                <w:sz w:val="12"/>
              </w:rPr>
            </w:pPr>
          </w:p>
          <w:p w14:paraId="0DFDB5B5" w14:textId="77777777" w:rsidR="00046465" w:rsidRDefault="008134EB">
            <w:pPr>
              <w:pStyle w:val="TableParagraph"/>
              <w:spacing w:line="20" w:lineRule="exact"/>
              <w:ind w:left="4061"/>
              <w:rPr>
                <w:sz w:val="2"/>
              </w:rPr>
            </w:pPr>
            <w:r>
              <w:rPr>
                <w:noProof/>
                <w:sz w:val="2"/>
              </w:rPr>
              <mc:AlternateContent>
                <mc:Choice Requires="wpg">
                  <w:drawing>
                    <wp:inline distT="0" distB="0" distL="0" distR="0" wp14:anchorId="0DFDD5AF" wp14:editId="0DFDD5B0">
                      <wp:extent cx="1295400" cy="3175"/>
                      <wp:effectExtent l="0" t="0" r="0" b="0"/>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29" name="Graphic 429"/>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79C7EB" id="Group 428" o:spid="_x0000_s1026" style="width:102pt;height:.25pt;mso-position-horizontal-relative:char;mso-position-vertical-relative:line"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">
                      <v:shape id="Graphic 429"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" path="m1295400,l,,,3048r1295400,l1295400,xe" fillcolor="black" stroked="f">
                        <v:path arrowok="t"/>
                      </v:shape>
                      <w10:anchorlock/>
                    </v:group>
                  </w:pict>
                </mc:Fallback>
              </mc:AlternateContent>
            </w:r>
          </w:p>
          <w:p w14:paraId="0DFDB5B6" w14:textId="77777777" w:rsidR="00046465" w:rsidRDefault="008134EB">
            <w:pPr>
              <w:pStyle w:val="TableParagraph"/>
              <w:spacing w:before="129"/>
              <w:ind w:left="297"/>
            </w:pPr>
            <w:r>
              <w:rPr>
                <w:spacing w:val="-2"/>
              </w:rPr>
              <w:t>Materiality</w:t>
            </w:r>
          </w:p>
          <w:p w14:paraId="0DFDB5B7" w14:textId="77777777" w:rsidR="00046465" w:rsidRDefault="00046465">
            <w:pPr>
              <w:pStyle w:val="TableParagraph"/>
              <w:spacing w:before="6"/>
              <w:rPr>
                <w:sz w:val="12"/>
              </w:rPr>
            </w:pPr>
          </w:p>
          <w:p w14:paraId="0DFDB5B8" w14:textId="77777777" w:rsidR="00046465" w:rsidRDefault="008134EB">
            <w:pPr>
              <w:pStyle w:val="TableParagraph"/>
              <w:spacing w:line="20" w:lineRule="exact"/>
              <w:ind w:left="4061"/>
              <w:rPr>
                <w:sz w:val="2"/>
              </w:rPr>
            </w:pPr>
            <w:r>
              <w:rPr>
                <w:noProof/>
                <w:sz w:val="2"/>
              </w:rPr>
              <mc:AlternateContent>
                <mc:Choice Requires="wpg">
                  <w:drawing>
                    <wp:inline distT="0" distB="0" distL="0" distR="0" wp14:anchorId="0DFDD5B1" wp14:editId="0DFDD5B2">
                      <wp:extent cx="1295400" cy="3175"/>
                      <wp:effectExtent l="0" t="0" r="0" b="0"/>
                      <wp:docPr id="430"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31" name="Graphic 431"/>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D8A24BD" id="Group 430" o:spid="_x0000_s1026" style="width:102pt;height:.25pt;mso-position-horizontal-relative:char;mso-position-vertical-relative:line"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">
                      <v:shape id="Graphic 431"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" path="m1295400,l,,,3048r1295400,l1295400,xe" fillcolor="black" stroked="f">
                        <v:path arrowok="t"/>
                      </v:shape>
                      <w10:anchorlock/>
                    </v:group>
                  </w:pict>
                </mc:Fallback>
              </mc:AlternateContent>
            </w:r>
          </w:p>
          <w:p w14:paraId="0DFDB5B9" w14:textId="77777777" w:rsidR="00046465" w:rsidRDefault="00046465">
            <w:pPr>
              <w:pStyle w:val="TableParagraph"/>
            </w:pPr>
          </w:p>
          <w:p w14:paraId="0DFDB5BA" w14:textId="77777777" w:rsidR="00046465" w:rsidRDefault="00046465">
            <w:pPr>
              <w:pStyle w:val="TableParagraph"/>
              <w:spacing w:before="94"/>
            </w:pPr>
          </w:p>
          <w:p w14:paraId="0DFDB5BB" w14:textId="77777777" w:rsidR="00046465" w:rsidRDefault="008134EB">
            <w:pPr>
              <w:pStyle w:val="TableParagraph"/>
              <w:ind w:left="129"/>
            </w:pPr>
            <w:r>
              <w:t>If</w:t>
            </w:r>
            <w:r>
              <w:rPr>
                <w:spacing w:val="-7"/>
              </w:rPr>
              <w:t xml:space="preserve"> </w:t>
            </w:r>
            <w:r>
              <w:t>yes,</w:t>
            </w:r>
            <w:r>
              <w:rPr>
                <w:spacing w:val="-6"/>
              </w:rPr>
              <w:t xml:space="preserve"> </w:t>
            </w:r>
            <w:r>
              <w:t>then</w:t>
            </w:r>
            <w:r>
              <w:rPr>
                <w:spacing w:val="-7"/>
              </w:rPr>
              <w:t xml:space="preserve"> </w:t>
            </w:r>
            <w:r>
              <w:t>complete</w:t>
            </w:r>
            <w:r>
              <w:rPr>
                <w:spacing w:val="-6"/>
              </w:rPr>
              <w:t xml:space="preserve"> </w:t>
            </w:r>
            <w:r>
              <w:t>the</w:t>
            </w:r>
            <w:r>
              <w:rPr>
                <w:spacing w:val="-6"/>
              </w:rPr>
              <w:t xml:space="preserve"> </w:t>
            </w:r>
            <w:r>
              <w:t>compliance</w:t>
            </w:r>
            <w:r>
              <w:rPr>
                <w:spacing w:val="-7"/>
              </w:rPr>
              <w:t xml:space="preserve"> </w:t>
            </w:r>
            <w:r>
              <w:t>supplement</w:t>
            </w:r>
            <w:r>
              <w:rPr>
                <w:spacing w:val="-6"/>
              </w:rPr>
              <w:t xml:space="preserve"> </w:t>
            </w:r>
            <w:r>
              <w:t>at</w:t>
            </w:r>
            <w:r>
              <w:rPr>
                <w:spacing w:val="-6"/>
              </w:rPr>
              <w:t xml:space="preserve"> </w:t>
            </w:r>
            <w:r>
              <w:t>FAM</w:t>
            </w:r>
            <w:r>
              <w:rPr>
                <w:spacing w:val="-7"/>
              </w:rPr>
              <w:t xml:space="preserve"> </w:t>
            </w:r>
            <w:r>
              <w:rPr>
                <w:spacing w:val="-4"/>
              </w:rPr>
              <w:t>805.</w:t>
            </w:r>
          </w:p>
          <w:p w14:paraId="0DFDB5BC" w14:textId="77777777" w:rsidR="00046465" w:rsidRDefault="00046465">
            <w:pPr>
              <w:pStyle w:val="TableParagraph"/>
              <w:spacing w:before="144"/>
            </w:pPr>
          </w:p>
          <w:p w14:paraId="0DFDB5BD" w14:textId="77777777" w:rsidR="00046465" w:rsidRDefault="008134EB">
            <w:pPr>
              <w:pStyle w:val="TableParagraph"/>
              <w:spacing w:before="1"/>
              <w:ind w:left="129"/>
            </w:pPr>
            <w:r>
              <w:t>Note: These Federal Debt Collection Authorities generally do not apply to amounts payable to the entity under the Internal Revenue Code, the Social Security</w:t>
            </w:r>
            <w:r>
              <w:rPr>
                <w:spacing w:val="-3"/>
              </w:rPr>
              <w:t xml:space="preserve"> </w:t>
            </w:r>
            <w:r>
              <w:t>Act,</w:t>
            </w:r>
            <w:r>
              <w:rPr>
                <w:spacing w:val="-3"/>
              </w:rPr>
              <w:t xml:space="preserve"> </w:t>
            </w:r>
            <w:r>
              <w:t>or</w:t>
            </w:r>
            <w:r>
              <w:rPr>
                <w:spacing w:val="-3"/>
              </w:rPr>
              <w:t xml:space="preserve"> </w:t>
            </w:r>
            <w:r>
              <w:t>the</w:t>
            </w:r>
            <w:r>
              <w:rPr>
                <w:spacing w:val="-3"/>
              </w:rPr>
              <w:t xml:space="preserve"> </w:t>
            </w:r>
            <w:r>
              <w:t>tariff</w:t>
            </w:r>
            <w:r>
              <w:rPr>
                <w:spacing w:val="-4"/>
              </w:rPr>
              <w:t xml:space="preserve"> </w:t>
            </w:r>
            <w:r>
              <w:t>laws.</w:t>
            </w:r>
            <w:r>
              <w:rPr>
                <w:spacing w:val="-3"/>
              </w:rPr>
              <w:t xml:space="preserve"> </w:t>
            </w:r>
            <w:r>
              <w:t>Those</w:t>
            </w:r>
            <w:r>
              <w:rPr>
                <w:spacing w:val="-3"/>
              </w:rPr>
              <w:t xml:space="preserve"> </w:t>
            </w:r>
            <w:r>
              <w:t>laws</w:t>
            </w:r>
            <w:r>
              <w:rPr>
                <w:spacing w:val="-3"/>
              </w:rPr>
              <w:t xml:space="preserve"> </w:t>
            </w:r>
            <w:r>
              <w:t>contain</w:t>
            </w:r>
            <w:r>
              <w:rPr>
                <w:spacing w:val="-3"/>
              </w:rPr>
              <w:t xml:space="preserve"> </w:t>
            </w:r>
            <w:r>
              <w:t>specific</w:t>
            </w:r>
            <w:r>
              <w:rPr>
                <w:spacing w:val="-3"/>
              </w:rPr>
              <w:t xml:space="preserve"> </w:t>
            </w:r>
            <w:r>
              <w:t>provisions</w:t>
            </w:r>
            <w:r>
              <w:rPr>
                <w:spacing w:val="-3"/>
              </w:rPr>
              <w:t xml:space="preserve"> </w:t>
            </w:r>
            <w:r>
              <w:t>for</w:t>
            </w:r>
            <w:r>
              <w:rPr>
                <w:spacing w:val="-5"/>
              </w:rPr>
              <w:t xml:space="preserve"> </w:t>
            </w:r>
            <w:r>
              <w:t xml:space="preserve">these </w:t>
            </w:r>
            <w:r>
              <w:rPr>
                <w:spacing w:val="-2"/>
              </w:rPr>
              <w:t>amounts.</w:t>
            </w:r>
          </w:p>
        </w:tc>
        <w:tc>
          <w:tcPr>
            <w:tcW w:w="1317" w:type="dxa"/>
            <w:tcBorders>
              <w:left w:val="single" w:sz="6" w:space="0" w:color="000000"/>
            </w:tcBorders>
          </w:tcPr>
          <w:p w14:paraId="0DFDB5BE" w14:textId="77777777" w:rsidR="00046465" w:rsidRDefault="00046465">
            <w:pPr>
              <w:pStyle w:val="TableParagraph"/>
              <w:rPr>
                <w:rFonts w:ascii="Times New Roman"/>
                <w:sz w:val="20"/>
              </w:rPr>
            </w:pPr>
          </w:p>
        </w:tc>
      </w:tr>
    </w:tbl>
    <w:p w14:paraId="0DFDB5C0" w14:textId="77777777" w:rsidR="00046465" w:rsidRDefault="00046465">
      <w:pPr>
        <w:pStyle w:val="TableParagraph"/>
        <w:rPr>
          <w:rFonts w:ascii="Times New Roman"/>
          <w:sz w:val="20"/>
        </w:rPr>
        <w:sectPr w:rsidR="00046465">
          <w:pgSz w:w="12240" w:h="15840"/>
          <w:pgMar w:top="1340" w:right="720" w:bottom="940" w:left="1080" w:header="721" w:footer="742" w:gutter="0"/>
          <w:cols w:space="720"/>
        </w:sectPr>
      </w:pPr>
    </w:p>
    <w:tbl>
      <w:tblPr>
        <w:tblW w:w="0" w:type="auto"/>
        <w:tblInd w:w="3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44"/>
        <w:gridCol w:w="1319"/>
      </w:tblGrid>
      <w:tr w:rsidR="00046465" w14:paraId="0DFDB5C3" w14:textId="77777777">
        <w:trPr>
          <w:trHeight w:val="120"/>
        </w:trPr>
        <w:tc>
          <w:tcPr>
            <w:tcW w:w="8044" w:type="dxa"/>
            <w:tcBorders>
              <w:left w:val="nil"/>
              <w:bottom w:val="double" w:sz="6" w:space="0" w:color="000000"/>
              <w:right w:val="nil"/>
            </w:tcBorders>
          </w:tcPr>
          <w:p w14:paraId="0DFDB5C1" w14:textId="77777777" w:rsidR="00046465" w:rsidRDefault="00046465">
            <w:pPr>
              <w:pStyle w:val="TableParagraph"/>
              <w:rPr>
                <w:rFonts w:ascii="Times New Roman"/>
                <w:sz w:val="6"/>
              </w:rPr>
            </w:pPr>
          </w:p>
        </w:tc>
        <w:tc>
          <w:tcPr>
            <w:tcW w:w="1319" w:type="dxa"/>
            <w:tcBorders>
              <w:left w:val="nil"/>
              <w:bottom w:val="double" w:sz="6" w:space="0" w:color="000000"/>
              <w:right w:val="nil"/>
            </w:tcBorders>
          </w:tcPr>
          <w:p w14:paraId="0DFDB5C2" w14:textId="77777777" w:rsidR="00046465" w:rsidRDefault="00046465">
            <w:pPr>
              <w:pStyle w:val="TableParagraph"/>
              <w:rPr>
                <w:rFonts w:ascii="Times New Roman"/>
                <w:sz w:val="6"/>
              </w:rPr>
            </w:pPr>
          </w:p>
        </w:tc>
      </w:tr>
      <w:tr w:rsidR="00046465" w14:paraId="0DFDB5C6" w14:textId="77777777">
        <w:trPr>
          <w:trHeight w:val="540"/>
        </w:trPr>
        <w:tc>
          <w:tcPr>
            <w:tcW w:w="8044" w:type="dxa"/>
            <w:tcBorders>
              <w:top w:val="double" w:sz="6" w:space="0" w:color="000000"/>
              <w:left w:val="double" w:sz="6" w:space="0" w:color="000000"/>
              <w:bottom w:val="double" w:sz="6" w:space="0" w:color="000000"/>
              <w:right w:val="single" w:sz="6" w:space="0" w:color="000000"/>
            </w:tcBorders>
          </w:tcPr>
          <w:p w14:paraId="0DFDB5C4" w14:textId="77777777" w:rsidR="00046465" w:rsidRDefault="008134EB">
            <w:pPr>
              <w:pStyle w:val="TableParagraph"/>
              <w:spacing w:before="144"/>
              <w:ind w:right="362"/>
              <w:jc w:val="center"/>
              <w:rPr>
                <w:b/>
              </w:rPr>
            </w:pPr>
            <w:r>
              <w:rPr>
                <w:b/>
              </w:rPr>
              <w:t>Description</w:t>
            </w:r>
            <w:r>
              <w:rPr>
                <w:b/>
                <w:spacing w:val="-9"/>
              </w:rPr>
              <w:t xml:space="preserve"> </w:t>
            </w:r>
            <w:r>
              <w:rPr>
                <w:b/>
              </w:rPr>
              <w:t>of</w:t>
            </w:r>
            <w:r>
              <w:rPr>
                <w:b/>
                <w:spacing w:val="-9"/>
              </w:rPr>
              <w:t xml:space="preserve"> </w:t>
            </w:r>
            <w:r>
              <w:rPr>
                <w:b/>
                <w:spacing w:val="-5"/>
              </w:rPr>
              <w:t>law</w:t>
            </w:r>
          </w:p>
        </w:tc>
        <w:tc>
          <w:tcPr>
            <w:tcW w:w="1319" w:type="dxa"/>
            <w:tcBorders>
              <w:top w:val="double" w:sz="6" w:space="0" w:color="000000"/>
              <w:left w:val="single" w:sz="6" w:space="0" w:color="000000"/>
              <w:bottom w:val="double" w:sz="6" w:space="0" w:color="000000"/>
              <w:right w:val="double" w:sz="6" w:space="0" w:color="000000"/>
            </w:tcBorders>
          </w:tcPr>
          <w:p w14:paraId="0DFDB5C5" w14:textId="77777777" w:rsidR="00046465" w:rsidRDefault="008134EB">
            <w:pPr>
              <w:pStyle w:val="TableParagraph"/>
              <w:spacing w:before="144"/>
              <w:ind w:left="145"/>
              <w:rPr>
                <w:b/>
              </w:rPr>
            </w:pPr>
            <w:r>
              <w:rPr>
                <w:b/>
              </w:rPr>
              <w:t>Yes</w:t>
            </w:r>
            <w:r>
              <w:rPr>
                <w:b/>
                <w:spacing w:val="-3"/>
              </w:rPr>
              <w:t xml:space="preserve"> </w:t>
            </w:r>
            <w:r>
              <w:rPr>
                <w:b/>
              </w:rPr>
              <w:t>/</w:t>
            </w:r>
            <w:r>
              <w:rPr>
                <w:b/>
                <w:spacing w:val="-3"/>
              </w:rPr>
              <w:t xml:space="preserve"> </w:t>
            </w:r>
            <w:r>
              <w:rPr>
                <w:b/>
                <w:spacing w:val="-5"/>
              </w:rPr>
              <w:t>No</w:t>
            </w:r>
          </w:p>
        </w:tc>
      </w:tr>
      <w:tr w:rsidR="00046465" w14:paraId="0DFDB5DF" w14:textId="77777777">
        <w:trPr>
          <w:trHeight w:val="3450"/>
        </w:trPr>
        <w:tc>
          <w:tcPr>
            <w:tcW w:w="8044" w:type="dxa"/>
            <w:tcBorders>
              <w:top w:val="double" w:sz="6" w:space="0" w:color="000000"/>
              <w:left w:val="double" w:sz="6" w:space="0" w:color="000000"/>
              <w:bottom w:val="nil"/>
              <w:right w:val="single" w:sz="6" w:space="0" w:color="000000"/>
            </w:tcBorders>
          </w:tcPr>
          <w:p w14:paraId="0DFDB5C7" w14:textId="77777777" w:rsidR="00046465" w:rsidRDefault="008134EB">
            <w:pPr>
              <w:pStyle w:val="TableParagraph"/>
              <w:spacing w:before="145"/>
              <w:ind w:left="131"/>
              <w:rPr>
                <w:b/>
              </w:rPr>
            </w:pPr>
            <w:r>
              <w:rPr>
                <w:b/>
              </w:rPr>
              <w:t>Prompt</w:t>
            </w:r>
            <w:r>
              <w:rPr>
                <w:b/>
                <w:spacing w:val="-6"/>
              </w:rPr>
              <w:t xml:space="preserve"> </w:t>
            </w:r>
            <w:r>
              <w:rPr>
                <w:b/>
              </w:rPr>
              <w:t>Payment</w:t>
            </w:r>
            <w:r>
              <w:rPr>
                <w:b/>
                <w:spacing w:val="-6"/>
              </w:rPr>
              <w:t xml:space="preserve"> </w:t>
            </w:r>
            <w:r>
              <w:rPr>
                <w:b/>
              </w:rPr>
              <w:t>Act</w:t>
            </w:r>
            <w:r>
              <w:rPr>
                <w:b/>
                <w:spacing w:val="-6"/>
              </w:rPr>
              <w:t xml:space="preserve"> </w:t>
            </w:r>
            <w:r>
              <w:rPr>
                <w:b/>
              </w:rPr>
              <w:t>(PPA),</w:t>
            </w:r>
            <w:r>
              <w:rPr>
                <w:b/>
                <w:spacing w:val="-6"/>
              </w:rPr>
              <w:t xml:space="preserve"> </w:t>
            </w:r>
            <w:r>
              <w:rPr>
                <w:b/>
              </w:rPr>
              <w:t>as</w:t>
            </w:r>
            <w:r>
              <w:rPr>
                <w:b/>
                <w:spacing w:val="-5"/>
              </w:rPr>
              <w:t xml:space="preserve"> </w:t>
            </w:r>
            <w:r>
              <w:rPr>
                <w:b/>
              </w:rPr>
              <w:t>provided</w:t>
            </w:r>
            <w:r>
              <w:rPr>
                <w:b/>
                <w:spacing w:val="-6"/>
              </w:rPr>
              <w:t xml:space="preserve"> </w:t>
            </w:r>
            <w:r>
              <w:rPr>
                <w:b/>
              </w:rPr>
              <w:t>in</w:t>
            </w:r>
            <w:r>
              <w:rPr>
                <w:b/>
                <w:spacing w:val="-6"/>
              </w:rPr>
              <w:t xml:space="preserve"> </w:t>
            </w:r>
            <w:r>
              <w:rPr>
                <w:b/>
              </w:rPr>
              <w:t>31</w:t>
            </w:r>
            <w:r>
              <w:rPr>
                <w:b/>
                <w:spacing w:val="-7"/>
              </w:rPr>
              <w:t xml:space="preserve"> </w:t>
            </w:r>
            <w:r>
              <w:rPr>
                <w:b/>
              </w:rPr>
              <w:t>U.S.C.</w:t>
            </w:r>
            <w:r>
              <w:rPr>
                <w:b/>
                <w:spacing w:val="-5"/>
              </w:rPr>
              <w:t xml:space="preserve"> </w:t>
            </w:r>
            <w:r>
              <w:rPr>
                <w:b/>
              </w:rPr>
              <w:t>chapter</w:t>
            </w:r>
            <w:r>
              <w:rPr>
                <w:b/>
                <w:spacing w:val="-7"/>
              </w:rPr>
              <w:t xml:space="preserve"> </w:t>
            </w:r>
            <w:r>
              <w:rPr>
                <w:b/>
              </w:rPr>
              <w:t>39</w:t>
            </w:r>
            <w:r>
              <w:rPr>
                <w:b/>
                <w:spacing w:val="-6"/>
              </w:rPr>
              <w:t xml:space="preserve"> </w:t>
            </w:r>
            <w:r>
              <w:rPr>
                <w:b/>
              </w:rPr>
              <w:t>(31</w:t>
            </w:r>
            <w:r>
              <w:rPr>
                <w:b/>
                <w:spacing w:val="-6"/>
              </w:rPr>
              <w:t xml:space="preserve"> </w:t>
            </w:r>
            <w:r>
              <w:rPr>
                <w:b/>
                <w:spacing w:val="-2"/>
              </w:rPr>
              <w:t>U.S.C.</w:t>
            </w:r>
          </w:p>
          <w:p w14:paraId="0DFDB5C8" w14:textId="77777777" w:rsidR="00046465" w:rsidRDefault="008134EB">
            <w:pPr>
              <w:pStyle w:val="TableParagraph"/>
              <w:ind w:left="131"/>
              <w:rPr>
                <w:b/>
              </w:rPr>
            </w:pPr>
            <w:r>
              <w:rPr>
                <w:b/>
              </w:rPr>
              <w:t>§</w:t>
            </w:r>
            <w:r>
              <w:rPr>
                <w:b/>
                <w:spacing w:val="-5"/>
              </w:rPr>
              <w:t xml:space="preserve"> </w:t>
            </w:r>
            <w:r>
              <w:rPr>
                <w:b/>
              </w:rPr>
              <w:t>3902(a),</w:t>
            </w:r>
            <w:r>
              <w:rPr>
                <w:b/>
                <w:spacing w:val="-4"/>
              </w:rPr>
              <w:t xml:space="preserve"> </w:t>
            </w:r>
            <w:r>
              <w:rPr>
                <w:b/>
              </w:rPr>
              <w:t>(b),</w:t>
            </w:r>
            <w:r>
              <w:rPr>
                <w:b/>
                <w:spacing w:val="-4"/>
              </w:rPr>
              <w:t xml:space="preserve"> </w:t>
            </w:r>
            <w:r>
              <w:rPr>
                <w:b/>
              </w:rPr>
              <w:t>(f)</w:t>
            </w:r>
            <w:r>
              <w:rPr>
                <w:b/>
                <w:spacing w:val="-4"/>
              </w:rPr>
              <w:t xml:space="preserve"> </w:t>
            </w:r>
            <w:r>
              <w:rPr>
                <w:b/>
              </w:rPr>
              <w:t>and</w:t>
            </w:r>
            <w:r>
              <w:rPr>
                <w:b/>
                <w:spacing w:val="-4"/>
              </w:rPr>
              <w:t xml:space="preserve"> </w:t>
            </w:r>
            <w:r>
              <w:rPr>
                <w:b/>
              </w:rPr>
              <w:t>31</w:t>
            </w:r>
            <w:r>
              <w:rPr>
                <w:b/>
                <w:spacing w:val="-4"/>
              </w:rPr>
              <w:t xml:space="preserve"> </w:t>
            </w:r>
            <w:r>
              <w:rPr>
                <w:b/>
              </w:rPr>
              <w:t>U.S.C.</w:t>
            </w:r>
            <w:r>
              <w:rPr>
                <w:b/>
                <w:spacing w:val="-4"/>
              </w:rPr>
              <w:t xml:space="preserve"> </w:t>
            </w:r>
            <w:r>
              <w:rPr>
                <w:b/>
              </w:rPr>
              <w:t>§</w:t>
            </w:r>
            <w:r>
              <w:rPr>
                <w:b/>
                <w:spacing w:val="-4"/>
              </w:rPr>
              <w:t xml:space="preserve"> </w:t>
            </w:r>
            <w:r>
              <w:rPr>
                <w:b/>
                <w:spacing w:val="-2"/>
              </w:rPr>
              <w:t>3904)</w:t>
            </w:r>
          </w:p>
          <w:p w14:paraId="0DFDB5C9" w14:textId="77777777" w:rsidR="00046465" w:rsidRDefault="008134EB">
            <w:pPr>
              <w:pStyle w:val="TableParagraph"/>
              <w:spacing w:before="143"/>
              <w:ind w:left="131" w:right="141"/>
            </w:pPr>
            <w:r>
              <w:t>The Prompt Payment Act requires federal entities to make payments for property or services by the due dates specified in the related contracts or, if a payment date is not specified in a contract, generally 30 days after a proper invoice for the amount due is received. If payments are not made within the appropriate</w:t>
            </w:r>
            <w:r>
              <w:rPr>
                <w:spacing w:val="-5"/>
              </w:rPr>
              <w:t xml:space="preserve"> </w:t>
            </w:r>
            <w:r>
              <w:t>period,</w:t>
            </w:r>
            <w:r>
              <w:rPr>
                <w:spacing w:val="-4"/>
              </w:rPr>
              <w:t xml:space="preserve"> </w:t>
            </w:r>
            <w:r>
              <w:t>then</w:t>
            </w:r>
            <w:r>
              <w:rPr>
                <w:spacing w:val="-5"/>
              </w:rPr>
              <w:t xml:space="preserve"> </w:t>
            </w:r>
            <w:r>
              <w:t>the</w:t>
            </w:r>
            <w:r>
              <w:rPr>
                <w:spacing w:val="-4"/>
              </w:rPr>
              <w:t xml:space="preserve"> </w:t>
            </w:r>
            <w:r>
              <w:t>entity</w:t>
            </w:r>
            <w:r>
              <w:rPr>
                <w:spacing w:val="-4"/>
              </w:rPr>
              <w:t xml:space="preserve"> </w:t>
            </w:r>
            <w:r>
              <w:t>shall</w:t>
            </w:r>
            <w:r>
              <w:rPr>
                <w:spacing w:val="-4"/>
              </w:rPr>
              <w:t xml:space="preserve"> </w:t>
            </w:r>
            <w:r>
              <w:t>pay</w:t>
            </w:r>
            <w:r>
              <w:rPr>
                <w:spacing w:val="-4"/>
              </w:rPr>
              <w:t xml:space="preserve"> </w:t>
            </w:r>
            <w:r>
              <w:t>an</w:t>
            </w:r>
            <w:r>
              <w:rPr>
                <w:spacing w:val="-5"/>
              </w:rPr>
              <w:t xml:space="preserve"> </w:t>
            </w:r>
            <w:r>
              <w:t>interest</w:t>
            </w:r>
            <w:r>
              <w:rPr>
                <w:spacing w:val="-4"/>
              </w:rPr>
              <w:t xml:space="preserve"> </w:t>
            </w:r>
            <w:r>
              <w:t>penalty.</w:t>
            </w:r>
            <w:r>
              <w:rPr>
                <w:spacing w:val="-4"/>
              </w:rPr>
              <w:t xml:space="preserve"> </w:t>
            </w:r>
            <w:r>
              <w:t>Also,</w:t>
            </w:r>
            <w:r>
              <w:rPr>
                <w:spacing w:val="-4"/>
              </w:rPr>
              <w:t xml:space="preserve"> </w:t>
            </w:r>
            <w:r>
              <w:t xml:space="preserve">discounts offered by vendors may be taken only during the specified period. If they are taken after the time period has expired, then an interest penalty shall be paid. Further, federal entities may only pay late payment interest penalties out of amounts made available to carry out the programs for which the penalties are </w:t>
            </w:r>
            <w:r>
              <w:rPr>
                <w:spacing w:val="-2"/>
              </w:rPr>
              <w:t>incurred.</w:t>
            </w:r>
          </w:p>
        </w:tc>
        <w:tc>
          <w:tcPr>
            <w:tcW w:w="1319" w:type="dxa"/>
            <w:vMerge w:val="restart"/>
            <w:tcBorders>
              <w:top w:val="double" w:sz="6" w:space="0" w:color="000000"/>
              <w:left w:val="single" w:sz="6" w:space="0" w:color="000000"/>
              <w:bottom w:val="double" w:sz="6" w:space="0" w:color="000000"/>
              <w:right w:val="double" w:sz="6" w:space="0" w:color="000000"/>
            </w:tcBorders>
          </w:tcPr>
          <w:p w14:paraId="0DFDB5CA" w14:textId="77777777" w:rsidR="00046465" w:rsidRDefault="00046465">
            <w:pPr>
              <w:pStyle w:val="TableParagraph"/>
              <w:rPr>
                <w:sz w:val="20"/>
              </w:rPr>
            </w:pPr>
          </w:p>
          <w:p w14:paraId="0DFDB5CB" w14:textId="77777777" w:rsidR="00046465" w:rsidRDefault="00046465">
            <w:pPr>
              <w:pStyle w:val="TableParagraph"/>
              <w:rPr>
                <w:sz w:val="20"/>
              </w:rPr>
            </w:pPr>
          </w:p>
          <w:p w14:paraId="0DFDB5CC" w14:textId="77777777" w:rsidR="00046465" w:rsidRDefault="00046465">
            <w:pPr>
              <w:pStyle w:val="TableParagraph"/>
              <w:rPr>
                <w:sz w:val="20"/>
              </w:rPr>
            </w:pPr>
          </w:p>
          <w:p w14:paraId="0DFDB5CD" w14:textId="77777777" w:rsidR="00046465" w:rsidRDefault="00046465">
            <w:pPr>
              <w:pStyle w:val="TableParagraph"/>
              <w:rPr>
                <w:sz w:val="20"/>
              </w:rPr>
            </w:pPr>
          </w:p>
          <w:p w14:paraId="0DFDB5CE" w14:textId="77777777" w:rsidR="00046465" w:rsidRDefault="00046465">
            <w:pPr>
              <w:pStyle w:val="TableParagraph"/>
              <w:rPr>
                <w:sz w:val="20"/>
              </w:rPr>
            </w:pPr>
          </w:p>
          <w:p w14:paraId="0DFDB5CF" w14:textId="77777777" w:rsidR="00046465" w:rsidRDefault="00046465">
            <w:pPr>
              <w:pStyle w:val="TableParagraph"/>
              <w:rPr>
                <w:sz w:val="20"/>
              </w:rPr>
            </w:pPr>
          </w:p>
          <w:p w14:paraId="0DFDB5D0" w14:textId="77777777" w:rsidR="00046465" w:rsidRDefault="00046465">
            <w:pPr>
              <w:pStyle w:val="TableParagraph"/>
              <w:rPr>
                <w:sz w:val="20"/>
              </w:rPr>
            </w:pPr>
          </w:p>
          <w:p w14:paraId="0DFDB5D1" w14:textId="77777777" w:rsidR="00046465" w:rsidRDefault="00046465">
            <w:pPr>
              <w:pStyle w:val="TableParagraph"/>
              <w:rPr>
                <w:sz w:val="20"/>
              </w:rPr>
            </w:pPr>
          </w:p>
          <w:p w14:paraId="0DFDB5D2" w14:textId="77777777" w:rsidR="00046465" w:rsidRDefault="00046465">
            <w:pPr>
              <w:pStyle w:val="TableParagraph"/>
              <w:rPr>
                <w:sz w:val="20"/>
              </w:rPr>
            </w:pPr>
          </w:p>
          <w:p w14:paraId="0DFDB5D3" w14:textId="77777777" w:rsidR="00046465" w:rsidRDefault="00046465">
            <w:pPr>
              <w:pStyle w:val="TableParagraph"/>
              <w:rPr>
                <w:sz w:val="20"/>
              </w:rPr>
            </w:pPr>
          </w:p>
          <w:p w14:paraId="0DFDB5D4" w14:textId="77777777" w:rsidR="00046465" w:rsidRDefault="00046465">
            <w:pPr>
              <w:pStyle w:val="TableParagraph"/>
              <w:rPr>
                <w:sz w:val="20"/>
              </w:rPr>
            </w:pPr>
          </w:p>
          <w:p w14:paraId="0DFDB5D5" w14:textId="77777777" w:rsidR="00046465" w:rsidRDefault="00046465">
            <w:pPr>
              <w:pStyle w:val="TableParagraph"/>
              <w:rPr>
                <w:sz w:val="20"/>
              </w:rPr>
            </w:pPr>
          </w:p>
          <w:p w14:paraId="0DFDB5D6" w14:textId="77777777" w:rsidR="00046465" w:rsidRDefault="00046465">
            <w:pPr>
              <w:pStyle w:val="TableParagraph"/>
              <w:rPr>
                <w:sz w:val="20"/>
              </w:rPr>
            </w:pPr>
          </w:p>
          <w:p w14:paraId="0DFDB5D7" w14:textId="77777777" w:rsidR="00046465" w:rsidRDefault="00046465">
            <w:pPr>
              <w:pStyle w:val="TableParagraph"/>
              <w:rPr>
                <w:sz w:val="20"/>
              </w:rPr>
            </w:pPr>
          </w:p>
          <w:p w14:paraId="0DFDB5D8" w14:textId="77777777" w:rsidR="00046465" w:rsidRDefault="00046465">
            <w:pPr>
              <w:pStyle w:val="TableParagraph"/>
              <w:rPr>
                <w:sz w:val="20"/>
              </w:rPr>
            </w:pPr>
          </w:p>
          <w:p w14:paraId="0DFDB5D9" w14:textId="77777777" w:rsidR="00046465" w:rsidRDefault="00046465">
            <w:pPr>
              <w:pStyle w:val="TableParagraph"/>
              <w:rPr>
                <w:sz w:val="20"/>
              </w:rPr>
            </w:pPr>
          </w:p>
          <w:p w14:paraId="0DFDB5DA" w14:textId="77777777" w:rsidR="00046465" w:rsidRDefault="00046465">
            <w:pPr>
              <w:pStyle w:val="TableParagraph"/>
              <w:rPr>
                <w:sz w:val="20"/>
              </w:rPr>
            </w:pPr>
          </w:p>
          <w:p w14:paraId="0DFDB5DB" w14:textId="77777777" w:rsidR="00046465" w:rsidRDefault="00046465">
            <w:pPr>
              <w:pStyle w:val="TableParagraph"/>
              <w:rPr>
                <w:sz w:val="20"/>
              </w:rPr>
            </w:pPr>
          </w:p>
          <w:p w14:paraId="0DFDB5DC" w14:textId="77777777" w:rsidR="00046465" w:rsidRDefault="00046465">
            <w:pPr>
              <w:pStyle w:val="TableParagraph"/>
              <w:rPr>
                <w:sz w:val="20"/>
              </w:rPr>
            </w:pPr>
          </w:p>
          <w:p w14:paraId="0DFDB5DD" w14:textId="77777777" w:rsidR="00046465" w:rsidRDefault="00046465">
            <w:pPr>
              <w:pStyle w:val="TableParagraph"/>
              <w:spacing w:before="50"/>
              <w:rPr>
                <w:sz w:val="20"/>
              </w:rPr>
            </w:pPr>
          </w:p>
          <w:p w14:paraId="0DFDB5DE" w14:textId="77777777" w:rsidR="00046465" w:rsidRDefault="008134EB">
            <w:pPr>
              <w:pStyle w:val="TableParagraph"/>
              <w:spacing w:line="20" w:lineRule="exact"/>
              <w:ind w:left="145"/>
              <w:rPr>
                <w:sz w:val="2"/>
              </w:rPr>
            </w:pPr>
            <w:r>
              <w:rPr>
                <w:noProof/>
                <w:sz w:val="2"/>
              </w:rPr>
              <mc:AlternateContent>
                <mc:Choice Requires="wpg">
                  <w:drawing>
                    <wp:inline distT="0" distB="0" distL="0" distR="0" wp14:anchorId="0DFDD5B3" wp14:editId="0DFDD5B4">
                      <wp:extent cx="621665" cy="8890"/>
                      <wp:effectExtent l="9525" t="0" r="0" b="635"/>
                      <wp:docPr id="438"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439" name="Graphic 439"/>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2FDCC62" id="Group 438"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">
                      <v:shape id="Graphic 439"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" path="m,l621371,e" filled="f" strokeweight=".24403mm">
                        <v:path arrowok="t"/>
                      </v:shape>
                      <w10:anchorlock/>
                    </v:group>
                  </w:pict>
                </mc:Fallback>
              </mc:AlternateContent>
            </w:r>
          </w:p>
        </w:tc>
      </w:tr>
      <w:tr w:rsidR="00046465" w14:paraId="0DFDB5E2" w14:textId="77777777">
        <w:trPr>
          <w:trHeight w:val="1132"/>
        </w:trPr>
        <w:tc>
          <w:tcPr>
            <w:tcW w:w="8044" w:type="dxa"/>
            <w:tcBorders>
              <w:top w:val="nil"/>
              <w:left w:val="double" w:sz="6" w:space="0" w:color="000000"/>
              <w:bottom w:val="nil"/>
              <w:right w:val="single" w:sz="6" w:space="0" w:color="000000"/>
            </w:tcBorders>
          </w:tcPr>
          <w:p w14:paraId="0DFDB5E0" w14:textId="77777777" w:rsidR="00046465" w:rsidRDefault="008134EB">
            <w:pPr>
              <w:pStyle w:val="TableParagraph"/>
              <w:spacing w:before="100" w:line="250" w:lineRule="atLeast"/>
              <w:ind w:left="131" w:right="163"/>
              <w:rPr>
                <w:i/>
              </w:rPr>
            </w:pPr>
            <w:r>
              <w:rPr>
                <w:i/>
              </w:rPr>
              <w:t>Do the entity’s payments for property or services subject to the Prompt Payment Act for the audit period exceed materiality, or did the auditor determine</w:t>
            </w:r>
            <w:r>
              <w:rPr>
                <w:i/>
                <w:spacing w:val="-3"/>
              </w:rPr>
              <w:t xml:space="preserve"> </w:t>
            </w:r>
            <w:r>
              <w:rPr>
                <w:i/>
              </w:rPr>
              <w:t>that</w:t>
            </w:r>
            <w:r>
              <w:rPr>
                <w:i/>
                <w:spacing w:val="-3"/>
              </w:rPr>
              <w:t xml:space="preserve"> </w:t>
            </w:r>
            <w:r>
              <w:rPr>
                <w:i/>
              </w:rPr>
              <w:t>the</w:t>
            </w:r>
            <w:r>
              <w:rPr>
                <w:i/>
                <w:spacing w:val="-3"/>
              </w:rPr>
              <w:t xml:space="preserve"> </w:t>
            </w:r>
            <w:r>
              <w:rPr>
                <w:i/>
              </w:rPr>
              <w:t>Prompt</w:t>
            </w:r>
            <w:r>
              <w:rPr>
                <w:i/>
                <w:spacing w:val="-3"/>
              </w:rPr>
              <w:t xml:space="preserve"> </w:t>
            </w:r>
            <w:r>
              <w:rPr>
                <w:i/>
              </w:rPr>
              <w:t>Payment</w:t>
            </w:r>
            <w:r>
              <w:rPr>
                <w:i/>
                <w:spacing w:val="-3"/>
              </w:rPr>
              <w:t xml:space="preserve"> </w:t>
            </w:r>
            <w:r>
              <w:rPr>
                <w:i/>
              </w:rPr>
              <w:t>Act</w:t>
            </w:r>
            <w:r>
              <w:rPr>
                <w:i/>
                <w:spacing w:val="-3"/>
              </w:rPr>
              <w:t xml:space="preserve"> </w:t>
            </w:r>
            <w:r>
              <w:rPr>
                <w:i/>
              </w:rPr>
              <w:t>has</w:t>
            </w:r>
            <w:r>
              <w:rPr>
                <w:i/>
                <w:spacing w:val="-3"/>
              </w:rPr>
              <w:t xml:space="preserve"> </w:t>
            </w:r>
            <w:r>
              <w:rPr>
                <w:i/>
              </w:rPr>
              <w:t>a</w:t>
            </w:r>
            <w:r>
              <w:rPr>
                <w:i/>
                <w:spacing w:val="-3"/>
              </w:rPr>
              <w:t xml:space="preserve"> </w:t>
            </w:r>
            <w:r>
              <w:rPr>
                <w:i/>
              </w:rPr>
              <w:t>direct</w:t>
            </w:r>
            <w:r>
              <w:rPr>
                <w:i/>
                <w:spacing w:val="-3"/>
              </w:rPr>
              <w:t xml:space="preserve"> </w:t>
            </w:r>
            <w:r>
              <w:rPr>
                <w:i/>
              </w:rPr>
              <w:t>effect</w:t>
            </w:r>
            <w:r>
              <w:rPr>
                <w:i/>
                <w:spacing w:val="-3"/>
              </w:rPr>
              <w:t xml:space="preserve"> </w:t>
            </w:r>
            <w:r>
              <w:rPr>
                <w:i/>
              </w:rPr>
              <w:t>on</w:t>
            </w:r>
            <w:r>
              <w:rPr>
                <w:i/>
                <w:spacing w:val="-4"/>
              </w:rPr>
              <w:t xml:space="preserve"> </w:t>
            </w:r>
            <w:r>
              <w:rPr>
                <w:i/>
              </w:rPr>
              <w:t>the</w:t>
            </w:r>
            <w:r>
              <w:rPr>
                <w:i/>
                <w:spacing w:val="-3"/>
              </w:rPr>
              <w:t xml:space="preserve"> </w:t>
            </w:r>
            <w:r>
              <w:rPr>
                <w:i/>
              </w:rPr>
              <w:t>determination of material amounts and disclosures in the entity’s financial statements?</w:t>
            </w:r>
          </w:p>
        </w:tc>
        <w:tc>
          <w:tcPr>
            <w:tcW w:w="1319" w:type="dxa"/>
            <w:vMerge/>
            <w:tcBorders>
              <w:top w:val="nil"/>
              <w:left w:val="single" w:sz="6" w:space="0" w:color="000000"/>
              <w:bottom w:val="double" w:sz="6" w:space="0" w:color="000000"/>
              <w:right w:val="double" w:sz="6" w:space="0" w:color="000000"/>
            </w:tcBorders>
          </w:tcPr>
          <w:p w14:paraId="0DFDB5E1" w14:textId="77777777" w:rsidR="00046465" w:rsidRDefault="00046465">
            <w:pPr>
              <w:rPr>
                <w:sz w:val="2"/>
                <w:szCs w:val="2"/>
              </w:rPr>
            </w:pPr>
          </w:p>
        </w:tc>
      </w:tr>
      <w:tr w:rsidR="00046465" w14:paraId="0DFDB5EB" w14:textId="77777777">
        <w:trPr>
          <w:trHeight w:val="2245"/>
        </w:trPr>
        <w:tc>
          <w:tcPr>
            <w:tcW w:w="8044" w:type="dxa"/>
            <w:tcBorders>
              <w:top w:val="nil"/>
              <w:left w:val="double" w:sz="6" w:space="0" w:color="000000"/>
              <w:bottom w:val="nil"/>
              <w:right w:val="single" w:sz="6" w:space="0" w:color="000000"/>
            </w:tcBorders>
          </w:tcPr>
          <w:p w14:paraId="0DFDB5E3" w14:textId="77777777" w:rsidR="00046465" w:rsidRDefault="00046465">
            <w:pPr>
              <w:pStyle w:val="TableParagraph"/>
              <w:spacing w:before="22"/>
            </w:pPr>
          </w:p>
          <w:p w14:paraId="0DFDB5E4" w14:textId="77777777" w:rsidR="00046465" w:rsidRDefault="008134EB">
            <w:pPr>
              <w:pStyle w:val="TableParagraph"/>
              <w:tabs>
                <w:tab w:val="left" w:pos="6807"/>
              </w:tabs>
              <w:ind w:left="4532"/>
            </w:pPr>
            <w:r>
              <w:rPr>
                <w:spacing w:val="-2"/>
                <w:u w:val="single"/>
              </w:rPr>
              <w:t>Preliminary</w:t>
            </w:r>
            <w:r>
              <w:tab/>
            </w:r>
            <w:r>
              <w:rPr>
                <w:spacing w:val="-2"/>
                <w:u w:val="single"/>
              </w:rPr>
              <w:t>Final</w:t>
            </w:r>
          </w:p>
          <w:p w14:paraId="0DFDB5E5" w14:textId="77777777" w:rsidR="00046465" w:rsidRDefault="00046465">
            <w:pPr>
              <w:pStyle w:val="TableParagraph"/>
              <w:spacing w:before="35"/>
            </w:pPr>
          </w:p>
          <w:p w14:paraId="0DFDB5E6" w14:textId="77777777" w:rsidR="00046465" w:rsidRDefault="008134EB">
            <w:pPr>
              <w:pStyle w:val="TableParagraph"/>
              <w:spacing w:before="1"/>
              <w:ind w:left="299" w:right="4690"/>
            </w:pPr>
            <w:r>
              <w:t>Amount</w:t>
            </w:r>
            <w:r>
              <w:rPr>
                <w:spacing w:val="-10"/>
              </w:rPr>
              <w:t xml:space="preserve"> </w:t>
            </w:r>
            <w:r>
              <w:t>of</w:t>
            </w:r>
            <w:r>
              <w:rPr>
                <w:spacing w:val="-10"/>
              </w:rPr>
              <w:t xml:space="preserve"> </w:t>
            </w:r>
            <w:r>
              <w:t>payments</w:t>
            </w:r>
            <w:r>
              <w:rPr>
                <w:spacing w:val="-10"/>
              </w:rPr>
              <w:t xml:space="preserve"> </w:t>
            </w:r>
            <w:r>
              <w:t>made</w:t>
            </w:r>
            <w:r>
              <w:rPr>
                <w:spacing w:val="-10"/>
              </w:rPr>
              <w:t xml:space="preserve"> </w:t>
            </w:r>
            <w:r>
              <w:t>for property and services subject to the Prompt Payment Act</w:t>
            </w:r>
          </w:p>
          <w:p w14:paraId="0DFDB5E7" w14:textId="77777777" w:rsidR="00046465" w:rsidRDefault="00046465">
            <w:pPr>
              <w:pStyle w:val="TableParagraph"/>
              <w:spacing w:before="5"/>
              <w:rPr>
                <w:sz w:val="12"/>
              </w:rPr>
            </w:pPr>
          </w:p>
          <w:p w14:paraId="0DFDB5E8" w14:textId="77777777" w:rsidR="00046465" w:rsidRDefault="008134EB">
            <w:pPr>
              <w:pStyle w:val="TableParagraph"/>
              <w:spacing w:line="20" w:lineRule="exact"/>
              <w:ind w:left="4062"/>
              <w:rPr>
                <w:sz w:val="2"/>
              </w:rPr>
            </w:pPr>
            <w:r>
              <w:rPr>
                <w:noProof/>
                <w:sz w:val="2"/>
              </w:rPr>
              <mc:AlternateContent>
                <mc:Choice Requires="wpg">
                  <w:drawing>
                    <wp:anchor distT="0" distB="0" distL="0" distR="0" simplePos="0" relativeHeight="476096000" behindDoc="1" locked="0" layoutInCell="1" allowOverlap="1" wp14:anchorId="0DFDD5B5" wp14:editId="0DFDD5B6">
                      <wp:simplePos x="0" y="0"/>
                      <wp:positionH relativeFrom="column">
                        <wp:posOffset>2588514</wp:posOffset>
                      </wp:positionH>
                      <wp:positionV relativeFrom="paragraph">
                        <wp:posOffset>346697</wp:posOffset>
                      </wp:positionV>
                      <wp:extent cx="1295400" cy="3175"/>
                      <wp:effectExtent l="0" t="0" r="0" b="0"/>
                      <wp:wrapNone/>
                      <wp:docPr id="440"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41" name="Graphic 441"/>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DEC09C" id="Group 440" o:spid="_x0000_s1026" style="position:absolute;margin-left:203.8pt;margin-top:27.3pt;width:102pt;height:.25pt;z-index:-27220480;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">
                      <v:shape id="Graphic 441"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" path="m1295400,l,,,3048r1295400,l1295400,xe" fillcolor="black" stroked="f">
                        <v:path arrowok="t"/>
                      </v:shape>
                    </v:group>
                  </w:pict>
                </mc:Fallback>
              </mc:AlternateContent>
            </w:r>
            <w:r>
              <w:rPr>
                <w:noProof/>
                <w:sz w:val="2"/>
              </w:rPr>
              <mc:AlternateContent>
                <mc:Choice Requires="wpg">
                  <w:drawing>
                    <wp:anchor distT="0" distB="0" distL="0" distR="0" simplePos="0" relativeHeight="476096512" behindDoc="1" locked="0" layoutInCell="1" allowOverlap="1" wp14:anchorId="0DFDD5B7" wp14:editId="0DFDD5B8">
                      <wp:simplePos x="0" y="0"/>
                      <wp:positionH relativeFrom="column">
                        <wp:posOffset>3960114</wp:posOffset>
                      </wp:positionH>
                      <wp:positionV relativeFrom="paragraph">
                        <wp:posOffset>346697</wp:posOffset>
                      </wp:positionV>
                      <wp:extent cx="1045844" cy="3175"/>
                      <wp:effectExtent l="0" t="0" r="0" b="0"/>
                      <wp:wrapNone/>
                      <wp:docPr id="442"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443" name="Graphic 443"/>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6F4856" id="Group 442" o:spid="_x0000_s1026" style="position:absolute;margin-left:311.8pt;margin-top:27.3pt;width:82.35pt;height:.25pt;z-index:-27219968;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">
                      <v:shape id="Graphic 443"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" path="m1045463,l,,,3048r1045463,l1045463,xe" fillcolor="black" stroked="f">
                        <v:path arrowok="t"/>
                      </v:shape>
                    </v:group>
                  </w:pict>
                </mc:Fallback>
              </mc:AlternateContent>
            </w:r>
            <w:r>
              <w:rPr>
                <w:noProof/>
                <w:sz w:val="2"/>
              </w:rPr>
              <mc:AlternateContent>
                <mc:Choice Requires="wpg">
                  <w:drawing>
                    <wp:inline distT="0" distB="0" distL="0" distR="0" wp14:anchorId="0DFDD5B9" wp14:editId="0DFDD5BA">
                      <wp:extent cx="1295400" cy="3175"/>
                      <wp:effectExtent l="0" t="0" r="0" b="0"/>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45" name="Graphic 445"/>
                              <wps:cNvSpPr/>
                              <wps:spPr>
                                <a:xfrm>
                                  <a:off x="0" y="0"/>
                                  <a:ext cx="1295400" cy="3175"/>
                                </a:xfrm>
                                <a:custGeom>
                                  <a:avLst/>
                                  <a:gdLst/>
                                  <a:ahLst/>
                                  <a:cxnLst/>
                                  <a:rect l="l" t="t" r="r" b="b"/>
                                  <a:pathLst>
                                    <a:path w="1295400" h="3175">
                                      <a:moveTo>
                                        <a:pt x="1295400" y="0"/>
                                      </a:moveTo>
                                      <a:lnTo>
                                        <a:pt x="0" y="0"/>
                                      </a:lnTo>
                                      <a:lnTo>
                                        <a:pt x="0" y="3035"/>
                                      </a:lnTo>
                                      <a:lnTo>
                                        <a:pt x="1295400" y="3035"/>
                                      </a:lnTo>
                                      <a:lnTo>
                                        <a:pt x="129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0031EEB" id="Group 444" o:spid="_x0000_s1026" style="width:102pt;height:.25pt;mso-position-horizontal-relative:char;mso-position-vertical-relative:line"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">
                      <v:shape id="Graphic 445"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" path="m1295400,l,,,3035r1295400,l1295400,xe" fillcolor="black" stroked="f">
                        <v:path arrowok="t"/>
                      </v:shape>
                      <w10:anchorlock/>
                    </v:group>
                  </w:pict>
                </mc:Fallback>
              </mc:AlternateContent>
            </w:r>
            <w:r>
              <w:rPr>
                <w:rFonts w:ascii="Times New Roman"/>
                <w:spacing w:val="95"/>
                <w:sz w:val="2"/>
              </w:rPr>
              <w:t xml:space="preserve"> </w:t>
            </w:r>
            <w:r>
              <w:rPr>
                <w:noProof/>
                <w:spacing w:val="95"/>
                <w:sz w:val="2"/>
              </w:rPr>
              <mc:AlternateContent>
                <mc:Choice Requires="wpg">
                  <w:drawing>
                    <wp:inline distT="0" distB="0" distL="0" distR="0" wp14:anchorId="0DFDD5BB" wp14:editId="0DFDD5BC">
                      <wp:extent cx="1045844" cy="3175"/>
                      <wp:effectExtent l="0" t="0" r="0" b="0"/>
                      <wp:docPr id="446"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447" name="Graphic 447"/>
                              <wps:cNvSpPr/>
                              <wps:spPr>
                                <a:xfrm>
                                  <a:off x="0" y="0"/>
                                  <a:ext cx="1045844" cy="3175"/>
                                </a:xfrm>
                                <a:custGeom>
                                  <a:avLst/>
                                  <a:gdLst/>
                                  <a:ahLst/>
                                  <a:cxnLst/>
                                  <a:rect l="l" t="t" r="r" b="b"/>
                                  <a:pathLst>
                                    <a:path w="1045844" h="3175">
                                      <a:moveTo>
                                        <a:pt x="1045463" y="0"/>
                                      </a:moveTo>
                                      <a:lnTo>
                                        <a:pt x="0" y="0"/>
                                      </a:lnTo>
                                      <a:lnTo>
                                        <a:pt x="0" y="3035"/>
                                      </a:lnTo>
                                      <a:lnTo>
                                        <a:pt x="1045463" y="3035"/>
                                      </a:lnTo>
                                      <a:lnTo>
                                        <a:pt x="10454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5E0A16" id="Group 446" o:spid="_x0000_s1026" style="width:82.35pt;height:.25pt;mso-position-horizontal-relative:char;mso-position-vertical-relative:line"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">
                      <v:shape id="Graphic 447"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" path="m1045463,l,,,3035r1045463,l1045463,xe" fillcolor="black" stroked="f">
                        <v:path arrowok="t"/>
                      </v:shape>
                      <w10:anchorlock/>
                    </v:group>
                  </w:pict>
                </mc:Fallback>
              </mc:AlternateContent>
            </w:r>
          </w:p>
          <w:p w14:paraId="0DFDB5E9" w14:textId="77777777" w:rsidR="00046465" w:rsidRDefault="008134EB">
            <w:pPr>
              <w:pStyle w:val="TableParagraph"/>
              <w:spacing w:before="129"/>
              <w:ind w:left="299"/>
            </w:pPr>
            <w:r>
              <w:rPr>
                <w:spacing w:val="-2"/>
              </w:rPr>
              <w:t>Materiality</w:t>
            </w:r>
          </w:p>
        </w:tc>
        <w:tc>
          <w:tcPr>
            <w:tcW w:w="1319" w:type="dxa"/>
            <w:vMerge/>
            <w:tcBorders>
              <w:top w:val="nil"/>
              <w:left w:val="single" w:sz="6" w:space="0" w:color="000000"/>
              <w:bottom w:val="double" w:sz="6" w:space="0" w:color="000000"/>
              <w:right w:val="double" w:sz="6" w:space="0" w:color="000000"/>
            </w:tcBorders>
          </w:tcPr>
          <w:p w14:paraId="0DFDB5EA" w14:textId="77777777" w:rsidR="00046465" w:rsidRDefault="00046465">
            <w:pPr>
              <w:rPr>
                <w:sz w:val="2"/>
                <w:szCs w:val="2"/>
              </w:rPr>
            </w:pPr>
          </w:p>
        </w:tc>
      </w:tr>
      <w:tr w:rsidR="00046465" w14:paraId="0DFDB5F0" w14:textId="77777777">
        <w:trPr>
          <w:trHeight w:val="994"/>
        </w:trPr>
        <w:tc>
          <w:tcPr>
            <w:tcW w:w="8044" w:type="dxa"/>
            <w:tcBorders>
              <w:top w:val="nil"/>
              <w:left w:val="double" w:sz="6" w:space="0" w:color="000000"/>
              <w:bottom w:val="double" w:sz="6" w:space="0" w:color="000000"/>
              <w:right w:val="single" w:sz="6" w:space="0" w:color="000000"/>
            </w:tcBorders>
          </w:tcPr>
          <w:p w14:paraId="0DFDB5EC" w14:textId="77777777" w:rsidR="00046465" w:rsidRDefault="00046465">
            <w:pPr>
              <w:pStyle w:val="TableParagraph"/>
            </w:pPr>
          </w:p>
          <w:p w14:paraId="0DFDB5ED" w14:textId="77777777" w:rsidR="00046465" w:rsidRDefault="00046465">
            <w:pPr>
              <w:pStyle w:val="TableParagraph"/>
              <w:spacing w:before="90"/>
            </w:pPr>
          </w:p>
          <w:p w14:paraId="0DFDB5EE" w14:textId="77777777" w:rsidR="00046465" w:rsidRDefault="008134EB">
            <w:pPr>
              <w:pStyle w:val="TableParagraph"/>
              <w:ind w:left="131"/>
            </w:pPr>
            <w:r>
              <w:t>If</w:t>
            </w:r>
            <w:r>
              <w:rPr>
                <w:spacing w:val="-7"/>
              </w:rPr>
              <w:t xml:space="preserve"> </w:t>
            </w:r>
            <w:r>
              <w:t>yes,</w:t>
            </w:r>
            <w:r>
              <w:rPr>
                <w:spacing w:val="-6"/>
              </w:rPr>
              <w:t xml:space="preserve"> </w:t>
            </w:r>
            <w:r>
              <w:t>then</w:t>
            </w:r>
            <w:r>
              <w:rPr>
                <w:spacing w:val="-7"/>
              </w:rPr>
              <w:t xml:space="preserve"> </w:t>
            </w:r>
            <w:r>
              <w:t>complete</w:t>
            </w:r>
            <w:r>
              <w:rPr>
                <w:spacing w:val="-6"/>
              </w:rPr>
              <w:t xml:space="preserve"> </w:t>
            </w:r>
            <w:r>
              <w:t>the</w:t>
            </w:r>
            <w:r>
              <w:rPr>
                <w:spacing w:val="-6"/>
              </w:rPr>
              <w:t xml:space="preserve"> </w:t>
            </w:r>
            <w:r>
              <w:t>compliance</w:t>
            </w:r>
            <w:r>
              <w:rPr>
                <w:spacing w:val="-7"/>
              </w:rPr>
              <w:t xml:space="preserve"> </w:t>
            </w:r>
            <w:r>
              <w:t>supplement</w:t>
            </w:r>
            <w:r>
              <w:rPr>
                <w:spacing w:val="-6"/>
              </w:rPr>
              <w:t xml:space="preserve"> </w:t>
            </w:r>
            <w:r>
              <w:t>at</w:t>
            </w:r>
            <w:r>
              <w:rPr>
                <w:spacing w:val="-6"/>
              </w:rPr>
              <w:t xml:space="preserve"> </w:t>
            </w:r>
            <w:r>
              <w:t>FAM</w:t>
            </w:r>
            <w:r>
              <w:rPr>
                <w:spacing w:val="-7"/>
              </w:rPr>
              <w:t xml:space="preserve"> </w:t>
            </w:r>
            <w:r>
              <w:rPr>
                <w:spacing w:val="-4"/>
              </w:rPr>
              <w:t>806.</w:t>
            </w:r>
          </w:p>
        </w:tc>
        <w:tc>
          <w:tcPr>
            <w:tcW w:w="1319" w:type="dxa"/>
            <w:vMerge/>
            <w:tcBorders>
              <w:top w:val="nil"/>
              <w:left w:val="single" w:sz="6" w:space="0" w:color="000000"/>
              <w:bottom w:val="double" w:sz="6" w:space="0" w:color="000000"/>
              <w:right w:val="double" w:sz="6" w:space="0" w:color="000000"/>
            </w:tcBorders>
          </w:tcPr>
          <w:p w14:paraId="0DFDB5EF" w14:textId="77777777" w:rsidR="00046465" w:rsidRDefault="00046465">
            <w:pPr>
              <w:rPr>
                <w:sz w:val="2"/>
                <w:szCs w:val="2"/>
              </w:rPr>
            </w:pPr>
          </w:p>
        </w:tc>
      </w:tr>
    </w:tbl>
    <w:p w14:paraId="0DFDB5F1" w14:textId="77777777" w:rsidR="00046465" w:rsidRDefault="00046465">
      <w:pPr>
        <w:rPr>
          <w:sz w:val="2"/>
          <w:szCs w:val="2"/>
        </w:rPr>
        <w:sectPr w:rsidR="00046465">
          <w:headerReference w:type="default" r:id="rId120"/>
          <w:footerReference w:type="default" r:id="rId121"/>
          <w:pgSz w:w="12240" w:h="15840"/>
          <w:pgMar w:top="1300" w:right="720" w:bottom="940" w:left="1080" w:header="721" w:footer="742" w:gutter="0"/>
          <w:cols w:space="720"/>
        </w:sectPr>
      </w:pPr>
    </w:p>
    <w:tbl>
      <w:tblPr>
        <w:tblW w:w="0" w:type="auto"/>
        <w:tblInd w:w="3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44"/>
        <w:gridCol w:w="1319"/>
      </w:tblGrid>
      <w:tr w:rsidR="00046465" w14:paraId="0DFDB5F4" w14:textId="77777777">
        <w:trPr>
          <w:trHeight w:val="120"/>
        </w:trPr>
        <w:tc>
          <w:tcPr>
            <w:tcW w:w="8044" w:type="dxa"/>
            <w:tcBorders>
              <w:left w:val="nil"/>
              <w:bottom w:val="double" w:sz="6" w:space="0" w:color="000000"/>
              <w:right w:val="nil"/>
            </w:tcBorders>
          </w:tcPr>
          <w:p w14:paraId="0DFDB5F2" w14:textId="77777777" w:rsidR="00046465" w:rsidRDefault="00046465">
            <w:pPr>
              <w:pStyle w:val="TableParagraph"/>
              <w:rPr>
                <w:rFonts w:ascii="Times New Roman"/>
                <w:sz w:val="6"/>
              </w:rPr>
            </w:pPr>
          </w:p>
        </w:tc>
        <w:tc>
          <w:tcPr>
            <w:tcW w:w="1319" w:type="dxa"/>
            <w:tcBorders>
              <w:left w:val="nil"/>
              <w:bottom w:val="double" w:sz="6" w:space="0" w:color="000000"/>
              <w:right w:val="nil"/>
            </w:tcBorders>
          </w:tcPr>
          <w:p w14:paraId="0DFDB5F3" w14:textId="77777777" w:rsidR="00046465" w:rsidRDefault="00046465">
            <w:pPr>
              <w:pStyle w:val="TableParagraph"/>
              <w:rPr>
                <w:rFonts w:ascii="Times New Roman"/>
                <w:sz w:val="6"/>
              </w:rPr>
            </w:pPr>
          </w:p>
        </w:tc>
      </w:tr>
      <w:tr w:rsidR="00046465" w14:paraId="0DFDB5F7" w14:textId="77777777">
        <w:trPr>
          <w:trHeight w:val="540"/>
        </w:trPr>
        <w:tc>
          <w:tcPr>
            <w:tcW w:w="8044" w:type="dxa"/>
            <w:tcBorders>
              <w:top w:val="double" w:sz="6" w:space="0" w:color="000000"/>
              <w:left w:val="double" w:sz="6" w:space="0" w:color="000000"/>
              <w:bottom w:val="double" w:sz="6" w:space="0" w:color="000000"/>
              <w:right w:val="single" w:sz="6" w:space="0" w:color="000000"/>
            </w:tcBorders>
          </w:tcPr>
          <w:p w14:paraId="0DFDB5F5" w14:textId="77777777" w:rsidR="00046465" w:rsidRDefault="008134EB">
            <w:pPr>
              <w:pStyle w:val="TableParagraph"/>
              <w:spacing w:before="144"/>
              <w:ind w:right="362"/>
              <w:jc w:val="center"/>
              <w:rPr>
                <w:b/>
              </w:rPr>
            </w:pPr>
            <w:r>
              <w:rPr>
                <w:b/>
              </w:rPr>
              <w:t>Description</w:t>
            </w:r>
            <w:r>
              <w:rPr>
                <w:b/>
                <w:spacing w:val="-9"/>
              </w:rPr>
              <w:t xml:space="preserve"> </w:t>
            </w:r>
            <w:r>
              <w:rPr>
                <w:b/>
              </w:rPr>
              <w:t>of</w:t>
            </w:r>
            <w:r>
              <w:rPr>
                <w:b/>
                <w:spacing w:val="-9"/>
              </w:rPr>
              <w:t xml:space="preserve"> </w:t>
            </w:r>
            <w:r>
              <w:rPr>
                <w:b/>
                <w:spacing w:val="-5"/>
              </w:rPr>
              <w:t>law</w:t>
            </w:r>
          </w:p>
        </w:tc>
        <w:tc>
          <w:tcPr>
            <w:tcW w:w="1319" w:type="dxa"/>
            <w:tcBorders>
              <w:top w:val="double" w:sz="6" w:space="0" w:color="000000"/>
              <w:left w:val="single" w:sz="6" w:space="0" w:color="000000"/>
              <w:bottom w:val="double" w:sz="6" w:space="0" w:color="000000"/>
              <w:right w:val="double" w:sz="6" w:space="0" w:color="000000"/>
            </w:tcBorders>
          </w:tcPr>
          <w:p w14:paraId="0DFDB5F6" w14:textId="77777777" w:rsidR="00046465" w:rsidRDefault="008134EB">
            <w:pPr>
              <w:pStyle w:val="TableParagraph"/>
              <w:spacing w:before="144"/>
              <w:ind w:left="145"/>
              <w:rPr>
                <w:b/>
              </w:rPr>
            </w:pPr>
            <w:r>
              <w:rPr>
                <w:b/>
              </w:rPr>
              <w:t>Yes</w:t>
            </w:r>
            <w:r>
              <w:rPr>
                <w:b/>
                <w:spacing w:val="-3"/>
              </w:rPr>
              <w:t xml:space="preserve"> </w:t>
            </w:r>
            <w:r>
              <w:rPr>
                <w:b/>
              </w:rPr>
              <w:t>/</w:t>
            </w:r>
            <w:r>
              <w:rPr>
                <w:b/>
                <w:spacing w:val="-3"/>
              </w:rPr>
              <w:t xml:space="preserve"> </w:t>
            </w:r>
            <w:r>
              <w:rPr>
                <w:b/>
                <w:spacing w:val="-5"/>
              </w:rPr>
              <w:t>No</w:t>
            </w:r>
          </w:p>
        </w:tc>
      </w:tr>
      <w:tr w:rsidR="00046465" w14:paraId="0DFDB60C" w14:textId="77777777">
        <w:trPr>
          <w:trHeight w:val="2691"/>
        </w:trPr>
        <w:tc>
          <w:tcPr>
            <w:tcW w:w="8044" w:type="dxa"/>
            <w:tcBorders>
              <w:top w:val="double" w:sz="6" w:space="0" w:color="000000"/>
              <w:left w:val="double" w:sz="6" w:space="0" w:color="000000"/>
              <w:bottom w:val="nil"/>
              <w:right w:val="single" w:sz="6" w:space="0" w:color="000000"/>
            </w:tcBorders>
          </w:tcPr>
          <w:p w14:paraId="0DFDB5F8" w14:textId="77777777" w:rsidR="00046465" w:rsidRDefault="008134EB">
            <w:pPr>
              <w:pStyle w:val="TableParagraph"/>
              <w:spacing w:before="145"/>
              <w:ind w:left="131" w:right="141"/>
              <w:rPr>
                <w:b/>
              </w:rPr>
            </w:pPr>
            <w:r>
              <w:rPr>
                <w:b/>
              </w:rPr>
              <w:t>Pay</w:t>
            </w:r>
            <w:r>
              <w:rPr>
                <w:b/>
                <w:spacing w:val="-4"/>
              </w:rPr>
              <w:t xml:space="preserve"> </w:t>
            </w:r>
            <w:r>
              <w:rPr>
                <w:b/>
              </w:rPr>
              <w:t>and</w:t>
            </w:r>
            <w:r>
              <w:rPr>
                <w:b/>
                <w:spacing w:val="-4"/>
              </w:rPr>
              <w:t xml:space="preserve"> </w:t>
            </w:r>
            <w:r>
              <w:rPr>
                <w:b/>
              </w:rPr>
              <w:t>Allowance</w:t>
            </w:r>
            <w:r>
              <w:rPr>
                <w:b/>
                <w:spacing w:val="-4"/>
              </w:rPr>
              <w:t xml:space="preserve"> </w:t>
            </w:r>
            <w:r>
              <w:rPr>
                <w:b/>
              </w:rPr>
              <w:t>System</w:t>
            </w:r>
            <w:r>
              <w:rPr>
                <w:b/>
                <w:spacing w:val="-4"/>
              </w:rPr>
              <w:t xml:space="preserve"> </w:t>
            </w:r>
            <w:r>
              <w:rPr>
                <w:b/>
              </w:rPr>
              <w:t>for</w:t>
            </w:r>
            <w:r>
              <w:rPr>
                <w:b/>
                <w:spacing w:val="-5"/>
              </w:rPr>
              <w:t xml:space="preserve"> </w:t>
            </w:r>
            <w:r>
              <w:rPr>
                <w:b/>
              </w:rPr>
              <w:t>Civilian</w:t>
            </w:r>
            <w:r>
              <w:rPr>
                <w:b/>
                <w:spacing w:val="-4"/>
              </w:rPr>
              <w:t xml:space="preserve"> </w:t>
            </w:r>
            <w:r>
              <w:rPr>
                <w:b/>
              </w:rPr>
              <w:t>Employees,</w:t>
            </w:r>
            <w:r>
              <w:rPr>
                <w:b/>
                <w:spacing w:val="-4"/>
              </w:rPr>
              <w:t xml:space="preserve"> </w:t>
            </w:r>
            <w:r>
              <w:rPr>
                <w:b/>
              </w:rPr>
              <w:t>as</w:t>
            </w:r>
            <w:r>
              <w:rPr>
                <w:b/>
                <w:spacing w:val="-4"/>
              </w:rPr>
              <w:t xml:space="preserve"> </w:t>
            </w:r>
            <w:r>
              <w:rPr>
                <w:b/>
              </w:rPr>
              <w:t>provided</w:t>
            </w:r>
            <w:r>
              <w:rPr>
                <w:b/>
                <w:spacing w:val="-4"/>
              </w:rPr>
              <w:t xml:space="preserve"> </w:t>
            </w:r>
            <w:r>
              <w:rPr>
                <w:b/>
              </w:rPr>
              <w:t>primarily in 5 U.S.C. chapters 51-59 (5 U.S.C. § 5332, 5 U.S.C. § 5343, 5 U.S.C. §</w:t>
            </w:r>
          </w:p>
          <w:p w14:paraId="0DFDB5F9" w14:textId="77777777" w:rsidR="00046465" w:rsidRDefault="008134EB">
            <w:pPr>
              <w:pStyle w:val="TableParagraph"/>
              <w:spacing w:line="252" w:lineRule="exact"/>
              <w:ind w:left="131"/>
              <w:rPr>
                <w:b/>
              </w:rPr>
            </w:pPr>
            <w:r>
              <w:rPr>
                <w:b/>
              </w:rPr>
              <w:t>5376,</w:t>
            </w:r>
            <w:r>
              <w:rPr>
                <w:b/>
                <w:spacing w:val="-5"/>
              </w:rPr>
              <w:t xml:space="preserve"> </w:t>
            </w:r>
            <w:r>
              <w:rPr>
                <w:b/>
              </w:rPr>
              <w:t>and</w:t>
            </w:r>
            <w:r>
              <w:rPr>
                <w:b/>
                <w:spacing w:val="-4"/>
              </w:rPr>
              <w:t xml:space="preserve"> </w:t>
            </w:r>
            <w:r>
              <w:rPr>
                <w:b/>
              </w:rPr>
              <w:t>5</w:t>
            </w:r>
            <w:r>
              <w:rPr>
                <w:b/>
                <w:spacing w:val="-4"/>
              </w:rPr>
              <w:t xml:space="preserve"> </w:t>
            </w:r>
            <w:r>
              <w:rPr>
                <w:b/>
              </w:rPr>
              <w:t>U.S.C.</w:t>
            </w:r>
            <w:r>
              <w:rPr>
                <w:b/>
                <w:spacing w:val="-5"/>
              </w:rPr>
              <w:t xml:space="preserve"> </w:t>
            </w:r>
            <w:r>
              <w:rPr>
                <w:b/>
              </w:rPr>
              <w:t>§</w:t>
            </w:r>
            <w:r>
              <w:rPr>
                <w:b/>
                <w:spacing w:val="-4"/>
              </w:rPr>
              <w:t xml:space="preserve"> </w:t>
            </w:r>
            <w:r>
              <w:rPr>
                <w:b/>
                <w:spacing w:val="-2"/>
              </w:rPr>
              <w:t>5383)</w:t>
            </w:r>
          </w:p>
          <w:p w14:paraId="0DFDB5FA" w14:textId="77777777" w:rsidR="00046465" w:rsidRDefault="008134EB">
            <w:pPr>
              <w:pStyle w:val="TableParagraph"/>
              <w:spacing w:before="145"/>
              <w:ind w:left="131" w:right="141"/>
            </w:pPr>
            <w:r>
              <w:t>These laws require that employees in specific positions be paid at the appropriate pay rates or schedules established by law. These include employees in positions subject to the General Schedule; prevailing rate employees; employees in certain senior-level positions, such as specially qualified</w:t>
            </w:r>
            <w:r>
              <w:rPr>
                <w:spacing w:val="-5"/>
              </w:rPr>
              <w:t xml:space="preserve"> </w:t>
            </w:r>
            <w:r>
              <w:t>scientific</w:t>
            </w:r>
            <w:r>
              <w:rPr>
                <w:spacing w:val="-5"/>
              </w:rPr>
              <w:t xml:space="preserve"> </w:t>
            </w:r>
            <w:r>
              <w:t>and</w:t>
            </w:r>
            <w:r>
              <w:rPr>
                <w:spacing w:val="-5"/>
              </w:rPr>
              <w:t xml:space="preserve"> </w:t>
            </w:r>
            <w:r>
              <w:t>professional</w:t>
            </w:r>
            <w:r>
              <w:rPr>
                <w:spacing w:val="-7"/>
              </w:rPr>
              <w:t xml:space="preserve"> </w:t>
            </w:r>
            <w:r>
              <w:t>personnel;</w:t>
            </w:r>
            <w:r>
              <w:rPr>
                <w:spacing w:val="-5"/>
              </w:rPr>
              <w:t xml:space="preserve"> </w:t>
            </w:r>
            <w:r>
              <w:t>employees</w:t>
            </w:r>
            <w:r>
              <w:rPr>
                <w:spacing w:val="-5"/>
              </w:rPr>
              <w:t xml:space="preserve"> </w:t>
            </w:r>
            <w:r>
              <w:t>appointed</w:t>
            </w:r>
            <w:r>
              <w:rPr>
                <w:spacing w:val="-5"/>
              </w:rPr>
              <w:t xml:space="preserve"> </w:t>
            </w:r>
            <w:r>
              <w:t>to</w:t>
            </w:r>
            <w:r>
              <w:rPr>
                <w:spacing w:val="-5"/>
              </w:rPr>
              <w:t xml:space="preserve"> </w:t>
            </w:r>
            <w:r>
              <w:t>the Senior Executive Service; and employees paid the minimum wage.</w:t>
            </w:r>
          </w:p>
        </w:tc>
        <w:tc>
          <w:tcPr>
            <w:tcW w:w="1319" w:type="dxa"/>
            <w:vMerge w:val="restart"/>
            <w:tcBorders>
              <w:top w:val="double" w:sz="6" w:space="0" w:color="000000"/>
              <w:left w:val="single" w:sz="6" w:space="0" w:color="000000"/>
              <w:bottom w:val="double" w:sz="6" w:space="0" w:color="000000"/>
              <w:right w:val="double" w:sz="6" w:space="0" w:color="000000"/>
            </w:tcBorders>
          </w:tcPr>
          <w:p w14:paraId="0DFDB5FB" w14:textId="77777777" w:rsidR="00046465" w:rsidRDefault="00046465">
            <w:pPr>
              <w:pStyle w:val="TableParagraph"/>
              <w:rPr>
                <w:sz w:val="20"/>
              </w:rPr>
            </w:pPr>
          </w:p>
          <w:p w14:paraId="0DFDB5FC" w14:textId="77777777" w:rsidR="00046465" w:rsidRDefault="00046465">
            <w:pPr>
              <w:pStyle w:val="TableParagraph"/>
              <w:rPr>
                <w:sz w:val="20"/>
              </w:rPr>
            </w:pPr>
          </w:p>
          <w:p w14:paraId="0DFDB5FD" w14:textId="77777777" w:rsidR="00046465" w:rsidRDefault="00046465">
            <w:pPr>
              <w:pStyle w:val="TableParagraph"/>
              <w:rPr>
                <w:sz w:val="20"/>
              </w:rPr>
            </w:pPr>
          </w:p>
          <w:p w14:paraId="0DFDB5FE" w14:textId="77777777" w:rsidR="00046465" w:rsidRDefault="00046465">
            <w:pPr>
              <w:pStyle w:val="TableParagraph"/>
              <w:rPr>
                <w:sz w:val="20"/>
              </w:rPr>
            </w:pPr>
          </w:p>
          <w:p w14:paraId="0DFDB5FF" w14:textId="77777777" w:rsidR="00046465" w:rsidRDefault="00046465">
            <w:pPr>
              <w:pStyle w:val="TableParagraph"/>
              <w:rPr>
                <w:sz w:val="20"/>
              </w:rPr>
            </w:pPr>
          </w:p>
          <w:p w14:paraId="0DFDB600" w14:textId="77777777" w:rsidR="00046465" w:rsidRDefault="00046465">
            <w:pPr>
              <w:pStyle w:val="TableParagraph"/>
              <w:rPr>
                <w:sz w:val="20"/>
              </w:rPr>
            </w:pPr>
          </w:p>
          <w:p w14:paraId="0DFDB601" w14:textId="77777777" w:rsidR="00046465" w:rsidRDefault="00046465">
            <w:pPr>
              <w:pStyle w:val="TableParagraph"/>
              <w:rPr>
                <w:sz w:val="20"/>
              </w:rPr>
            </w:pPr>
          </w:p>
          <w:p w14:paraId="0DFDB602" w14:textId="77777777" w:rsidR="00046465" w:rsidRDefault="00046465">
            <w:pPr>
              <w:pStyle w:val="TableParagraph"/>
              <w:rPr>
                <w:sz w:val="20"/>
              </w:rPr>
            </w:pPr>
          </w:p>
          <w:p w14:paraId="0DFDB603" w14:textId="77777777" w:rsidR="00046465" w:rsidRDefault="00046465">
            <w:pPr>
              <w:pStyle w:val="TableParagraph"/>
              <w:rPr>
                <w:sz w:val="20"/>
              </w:rPr>
            </w:pPr>
          </w:p>
          <w:p w14:paraId="0DFDB604" w14:textId="77777777" w:rsidR="00046465" w:rsidRDefault="00046465">
            <w:pPr>
              <w:pStyle w:val="TableParagraph"/>
              <w:rPr>
                <w:sz w:val="20"/>
              </w:rPr>
            </w:pPr>
          </w:p>
          <w:p w14:paraId="0DFDB605" w14:textId="77777777" w:rsidR="00046465" w:rsidRDefault="00046465">
            <w:pPr>
              <w:pStyle w:val="TableParagraph"/>
              <w:rPr>
                <w:sz w:val="20"/>
              </w:rPr>
            </w:pPr>
          </w:p>
          <w:p w14:paraId="0DFDB606" w14:textId="77777777" w:rsidR="00046465" w:rsidRDefault="00046465">
            <w:pPr>
              <w:pStyle w:val="TableParagraph"/>
              <w:rPr>
                <w:sz w:val="20"/>
              </w:rPr>
            </w:pPr>
          </w:p>
          <w:p w14:paraId="0DFDB607" w14:textId="77777777" w:rsidR="00046465" w:rsidRDefault="00046465">
            <w:pPr>
              <w:pStyle w:val="TableParagraph"/>
              <w:rPr>
                <w:sz w:val="20"/>
              </w:rPr>
            </w:pPr>
          </w:p>
          <w:p w14:paraId="0DFDB608" w14:textId="77777777" w:rsidR="00046465" w:rsidRDefault="00046465">
            <w:pPr>
              <w:pStyle w:val="TableParagraph"/>
              <w:rPr>
                <w:sz w:val="20"/>
              </w:rPr>
            </w:pPr>
          </w:p>
          <w:p w14:paraId="0DFDB609" w14:textId="77777777" w:rsidR="00046465" w:rsidRDefault="00046465">
            <w:pPr>
              <w:pStyle w:val="TableParagraph"/>
              <w:rPr>
                <w:sz w:val="20"/>
              </w:rPr>
            </w:pPr>
          </w:p>
          <w:p w14:paraId="0DFDB60A" w14:textId="77777777" w:rsidR="00046465" w:rsidRDefault="00046465">
            <w:pPr>
              <w:pStyle w:val="TableParagraph"/>
              <w:spacing w:before="211" w:after="1"/>
              <w:rPr>
                <w:sz w:val="20"/>
              </w:rPr>
            </w:pPr>
          </w:p>
          <w:p w14:paraId="0DFDB60B" w14:textId="77777777" w:rsidR="00046465" w:rsidRDefault="008134EB">
            <w:pPr>
              <w:pStyle w:val="TableParagraph"/>
              <w:spacing w:line="20" w:lineRule="exact"/>
              <w:ind w:left="145"/>
              <w:rPr>
                <w:sz w:val="2"/>
              </w:rPr>
            </w:pPr>
            <w:r>
              <w:rPr>
                <w:noProof/>
                <w:sz w:val="2"/>
              </w:rPr>
              <mc:AlternateContent>
                <mc:Choice Requires="wpg">
                  <w:drawing>
                    <wp:inline distT="0" distB="0" distL="0" distR="0" wp14:anchorId="0DFDD5BD" wp14:editId="0DFDD5BE">
                      <wp:extent cx="621665" cy="8890"/>
                      <wp:effectExtent l="9525" t="0" r="0" b="635"/>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449" name="Graphic 449"/>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CEA077" id="Group 448"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M16V7ZwAgAAjwUAAA4AAAAAAAAAAAAAAAAA&#10;LgIAAGRycy9lMm9Eb2MueG1sUEsBAi0AFAAGAAgAAAAhABFF7qTaAAAAAgEAAA8AAAAAAAAAAAAA&#10;AAAAygQAAGRycy9kb3ducmV2LnhtbFBLBQYAAAAABAAEAPMAAADRBQAAAAA=&#10;">
                      <v:shape id="Graphic 449"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" path="m,l621371,e" filled="f" strokeweight=".24403mm">
                        <v:path arrowok="t"/>
                      </v:shape>
                      <w10:anchorlock/>
                    </v:group>
                  </w:pict>
                </mc:Fallback>
              </mc:AlternateContent>
            </w:r>
          </w:p>
        </w:tc>
      </w:tr>
      <w:tr w:rsidR="00046465" w14:paraId="0DFDB60F" w14:textId="77777777">
        <w:trPr>
          <w:trHeight w:val="1507"/>
        </w:trPr>
        <w:tc>
          <w:tcPr>
            <w:tcW w:w="8044" w:type="dxa"/>
            <w:tcBorders>
              <w:top w:val="nil"/>
              <w:left w:val="double" w:sz="6" w:space="0" w:color="000000"/>
              <w:bottom w:val="nil"/>
              <w:right w:val="single" w:sz="6" w:space="0" w:color="000000"/>
            </w:tcBorders>
          </w:tcPr>
          <w:p w14:paraId="0DFDB60D" w14:textId="77777777" w:rsidR="00046465" w:rsidRDefault="008134EB">
            <w:pPr>
              <w:pStyle w:val="TableParagraph"/>
              <w:spacing w:before="117"/>
              <w:ind w:left="131" w:right="141"/>
              <w:rPr>
                <w:i/>
              </w:rPr>
            </w:pPr>
            <w:r>
              <w:rPr>
                <w:i/>
              </w:rPr>
              <w:t>Does</w:t>
            </w:r>
            <w:r>
              <w:rPr>
                <w:i/>
                <w:spacing w:val="-3"/>
              </w:rPr>
              <w:t xml:space="preserve"> </w:t>
            </w:r>
            <w:r>
              <w:rPr>
                <w:i/>
              </w:rPr>
              <w:t>the</w:t>
            </w:r>
            <w:r>
              <w:rPr>
                <w:i/>
                <w:spacing w:val="-3"/>
              </w:rPr>
              <w:t xml:space="preserve"> </w:t>
            </w:r>
            <w:r>
              <w:rPr>
                <w:i/>
              </w:rPr>
              <w:t>entity’s</w:t>
            </w:r>
            <w:r>
              <w:rPr>
                <w:i/>
                <w:spacing w:val="-3"/>
              </w:rPr>
              <w:t xml:space="preserve"> </w:t>
            </w:r>
            <w:r>
              <w:rPr>
                <w:i/>
              </w:rPr>
              <w:t>payroll</w:t>
            </w:r>
            <w:r>
              <w:rPr>
                <w:i/>
                <w:spacing w:val="-4"/>
              </w:rPr>
              <w:t xml:space="preserve"> </w:t>
            </w:r>
            <w:r>
              <w:rPr>
                <w:i/>
              </w:rPr>
              <w:t>expense</w:t>
            </w:r>
            <w:r>
              <w:rPr>
                <w:i/>
                <w:spacing w:val="-3"/>
              </w:rPr>
              <w:t xml:space="preserve"> </w:t>
            </w:r>
            <w:r>
              <w:rPr>
                <w:i/>
              </w:rPr>
              <w:t>for</w:t>
            </w:r>
            <w:r>
              <w:rPr>
                <w:i/>
                <w:spacing w:val="-5"/>
              </w:rPr>
              <w:t xml:space="preserve"> </w:t>
            </w:r>
            <w:r>
              <w:rPr>
                <w:i/>
              </w:rPr>
              <w:t>the</w:t>
            </w:r>
            <w:r>
              <w:rPr>
                <w:i/>
                <w:spacing w:val="-3"/>
              </w:rPr>
              <w:t xml:space="preserve"> </w:t>
            </w:r>
            <w:r>
              <w:rPr>
                <w:i/>
              </w:rPr>
              <w:t>audit</w:t>
            </w:r>
            <w:r>
              <w:rPr>
                <w:i/>
                <w:spacing w:val="-3"/>
              </w:rPr>
              <w:t xml:space="preserve"> </w:t>
            </w:r>
            <w:r>
              <w:rPr>
                <w:i/>
              </w:rPr>
              <w:t>period</w:t>
            </w:r>
            <w:r>
              <w:rPr>
                <w:i/>
                <w:spacing w:val="-3"/>
              </w:rPr>
              <w:t xml:space="preserve"> </w:t>
            </w:r>
            <w:r>
              <w:rPr>
                <w:i/>
              </w:rPr>
              <w:t>exceed</w:t>
            </w:r>
            <w:r>
              <w:rPr>
                <w:i/>
                <w:spacing w:val="-4"/>
              </w:rPr>
              <w:t xml:space="preserve"> </w:t>
            </w:r>
            <w:r>
              <w:rPr>
                <w:i/>
              </w:rPr>
              <w:t>materiality,</w:t>
            </w:r>
            <w:r>
              <w:rPr>
                <w:i/>
                <w:spacing w:val="-4"/>
              </w:rPr>
              <w:t xml:space="preserve"> </w:t>
            </w:r>
            <w:r>
              <w:rPr>
                <w:i/>
              </w:rPr>
              <w:t>or</w:t>
            </w:r>
            <w:r>
              <w:rPr>
                <w:i/>
                <w:spacing w:val="-3"/>
              </w:rPr>
              <w:t xml:space="preserve"> </w:t>
            </w:r>
            <w:r>
              <w:rPr>
                <w:i/>
              </w:rPr>
              <w:t>did the auditor determine that the Pay and Allowance System for Civilian Employees (as provided primarily in chapters 51 through 59 of Title 5, U.S. Code) has a direct effect on the determination of material amounts and disclosures in the entity’s financial statements?</w:t>
            </w:r>
          </w:p>
        </w:tc>
        <w:tc>
          <w:tcPr>
            <w:tcW w:w="1319" w:type="dxa"/>
            <w:vMerge/>
            <w:tcBorders>
              <w:top w:val="nil"/>
              <w:left w:val="single" w:sz="6" w:space="0" w:color="000000"/>
              <w:bottom w:val="double" w:sz="6" w:space="0" w:color="000000"/>
              <w:right w:val="double" w:sz="6" w:space="0" w:color="000000"/>
            </w:tcBorders>
          </w:tcPr>
          <w:p w14:paraId="0DFDB60E" w14:textId="77777777" w:rsidR="00046465" w:rsidRDefault="00046465">
            <w:pPr>
              <w:rPr>
                <w:sz w:val="2"/>
                <w:szCs w:val="2"/>
              </w:rPr>
            </w:pPr>
          </w:p>
        </w:tc>
      </w:tr>
      <w:tr w:rsidR="00046465" w14:paraId="0DFDB613" w14:textId="77777777">
        <w:trPr>
          <w:trHeight w:val="1582"/>
        </w:trPr>
        <w:tc>
          <w:tcPr>
            <w:tcW w:w="8044" w:type="dxa"/>
            <w:tcBorders>
              <w:top w:val="nil"/>
              <w:left w:val="double" w:sz="6" w:space="0" w:color="000000"/>
              <w:bottom w:val="nil"/>
              <w:right w:val="single" w:sz="6" w:space="0" w:color="000000"/>
            </w:tcBorders>
          </w:tcPr>
          <w:p w14:paraId="0DFDB610" w14:textId="77777777" w:rsidR="00046465" w:rsidRDefault="008134EB">
            <w:pPr>
              <w:pStyle w:val="TableParagraph"/>
              <w:tabs>
                <w:tab w:val="left" w:pos="6807"/>
              </w:tabs>
              <w:spacing w:before="118"/>
              <w:ind w:left="4532"/>
            </w:pPr>
            <w:r>
              <w:rPr>
                <w:noProof/>
              </w:rPr>
              <mc:AlternateContent>
                <mc:Choice Requires="wpg">
                  <w:drawing>
                    <wp:anchor distT="0" distB="0" distL="0" distR="0" simplePos="0" relativeHeight="476097536" behindDoc="1" locked="0" layoutInCell="1" allowOverlap="1" wp14:anchorId="0DFDD5BF" wp14:editId="0DFDD5C0">
                      <wp:simplePos x="0" y="0"/>
                      <wp:positionH relativeFrom="column">
                        <wp:posOffset>2588514</wp:posOffset>
                      </wp:positionH>
                      <wp:positionV relativeFrom="paragraph">
                        <wp:posOffset>670786</wp:posOffset>
                      </wp:positionV>
                      <wp:extent cx="1295400" cy="3175"/>
                      <wp:effectExtent l="0" t="0" r="0" b="0"/>
                      <wp:wrapNone/>
                      <wp:docPr id="450"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51" name="Graphic 451"/>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26531D" id="Group 450" o:spid="_x0000_s1026" style="position:absolute;margin-left:203.8pt;margin-top:52.8pt;width:102pt;height:.25pt;z-index:-27218944;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">
                      <v:shape id="Graphic 451"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" path="m1295400,l,,,3048r1295400,l1295400,xe" fillcolor="black" stroked="f">
                        <v:path arrowok="t"/>
                      </v:shape>
                    </v:group>
                  </w:pict>
                </mc:Fallback>
              </mc:AlternateContent>
            </w:r>
            <w:r>
              <w:rPr>
                <w:noProof/>
              </w:rPr>
              <mc:AlternateContent>
                <mc:Choice Requires="wpg">
                  <w:drawing>
                    <wp:anchor distT="0" distB="0" distL="0" distR="0" simplePos="0" relativeHeight="476098048" behindDoc="1" locked="0" layoutInCell="1" allowOverlap="1" wp14:anchorId="0DFDD5C1" wp14:editId="0DFDD5C2">
                      <wp:simplePos x="0" y="0"/>
                      <wp:positionH relativeFrom="column">
                        <wp:posOffset>3960114</wp:posOffset>
                      </wp:positionH>
                      <wp:positionV relativeFrom="paragraph">
                        <wp:posOffset>670786</wp:posOffset>
                      </wp:positionV>
                      <wp:extent cx="1045844" cy="3175"/>
                      <wp:effectExtent l="0" t="0" r="0" b="0"/>
                      <wp:wrapNone/>
                      <wp:docPr id="452"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453" name="Graphic 453"/>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C63515" id="Group 452" o:spid="_x0000_s1026" style="position:absolute;margin-left:311.8pt;margin-top:52.8pt;width:82.35pt;height:.25pt;z-index:-27218432;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">
                      <v:shape id="Graphic 453"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" path="m1045463,l,,,3048r1045463,l1045463,xe" fillcolor="black" stroked="f">
                        <v:path arrowok="t"/>
                      </v:shape>
                    </v:group>
                  </w:pict>
                </mc:Fallback>
              </mc:AlternateContent>
            </w:r>
            <w:r>
              <w:rPr>
                <w:noProof/>
              </w:rPr>
              <mc:AlternateContent>
                <mc:Choice Requires="wpg">
                  <w:drawing>
                    <wp:anchor distT="0" distB="0" distL="0" distR="0" simplePos="0" relativeHeight="476098560" behindDoc="1" locked="0" layoutInCell="1" allowOverlap="1" wp14:anchorId="0DFDD5C3" wp14:editId="0DFDD5C4">
                      <wp:simplePos x="0" y="0"/>
                      <wp:positionH relativeFrom="column">
                        <wp:posOffset>2588514</wp:posOffset>
                      </wp:positionH>
                      <wp:positionV relativeFrom="paragraph">
                        <wp:posOffset>1017509</wp:posOffset>
                      </wp:positionV>
                      <wp:extent cx="1295400" cy="3175"/>
                      <wp:effectExtent l="0" t="0"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55" name="Graphic 455"/>
                              <wps:cNvSpPr/>
                              <wps:spPr>
                                <a:xfrm>
                                  <a:off x="0" y="0"/>
                                  <a:ext cx="1295400" cy="3175"/>
                                </a:xfrm>
                                <a:custGeom>
                                  <a:avLst/>
                                  <a:gdLst/>
                                  <a:ahLst/>
                                  <a:cxnLst/>
                                  <a:rect l="l" t="t" r="r" b="b"/>
                                  <a:pathLst>
                                    <a:path w="1295400" h="3175">
                                      <a:moveTo>
                                        <a:pt x="1295400" y="0"/>
                                      </a:moveTo>
                                      <a:lnTo>
                                        <a:pt x="0" y="0"/>
                                      </a:lnTo>
                                      <a:lnTo>
                                        <a:pt x="0" y="3035"/>
                                      </a:lnTo>
                                      <a:lnTo>
                                        <a:pt x="1295400" y="3035"/>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C815328" id="Group 454" o:spid="_x0000_s1026" style="position:absolute;margin-left:203.8pt;margin-top:80.1pt;width:102pt;height:.25pt;z-index:-27217920;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">
                      <v:shape id="Graphic 455"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" path="m1295400,l,,,3035r1295400,l1295400,xe" fillcolor="black" stroked="f">
                        <v:path arrowok="t"/>
                      </v:shape>
                    </v:group>
                  </w:pict>
                </mc:Fallback>
              </mc:AlternateContent>
            </w:r>
            <w:r>
              <w:rPr>
                <w:noProof/>
              </w:rPr>
              <mc:AlternateContent>
                <mc:Choice Requires="wpg">
                  <w:drawing>
                    <wp:anchor distT="0" distB="0" distL="0" distR="0" simplePos="0" relativeHeight="476099072" behindDoc="1" locked="0" layoutInCell="1" allowOverlap="1" wp14:anchorId="0DFDD5C5" wp14:editId="0DFDD5C6">
                      <wp:simplePos x="0" y="0"/>
                      <wp:positionH relativeFrom="column">
                        <wp:posOffset>3960114</wp:posOffset>
                      </wp:positionH>
                      <wp:positionV relativeFrom="paragraph">
                        <wp:posOffset>1017509</wp:posOffset>
                      </wp:positionV>
                      <wp:extent cx="1045844" cy="317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457" name="Graphic 457"/>
                              <wps:cNvSpPr/>
                              <wps:spPr>
                                <a:xfrm>
                                  <a:off x="0" y="0"/>
                                  <a:ext cx="1045844" cy="3175"/>
                                </a:xfrm>
                                <a:custGeom>
                                  <a:avLst/>
                                  <a:gdLst/>
                                  <a:ahLst/>
                                  <a:cxnLst/>
                                  <a:rect l="l" t="t" r="r" b="b"/>
                                  <a:pathLst>
                                    <a:path w="1045844" h="3175">
                                      <a:moveTo>
                                        <a:pt x="1045463" y="0"/>
                                      </a:moveTo>
                                      <a:lnTo>
                                        <a:pt x="0" y="0"/>
                                      </a:lnTo>
                                      <a:lnTo>
                                        <a:pt x="0" y="3035"/>
                                      </a:lnTo>
                                      <a:lnTo>
                                        <a:pt x="1045463" y="3035"/>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3F378C" id="Group 456" o:spid="_x0000_s1026" style="position:absolute;margin-left:311.8pt;margin-top:80.1pt;width:82.35pt;height:.25pt;z-index:-27217408;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">
                      <v:shape id="Graphic 457"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" path="m1045463,l,,,3035r1045463,l1045463,xe" fillcolor="black" stroked="f">
                        <v:path arrowok="t"/>
                      </v:shape>
                    </v:group>
                  </w:pict>
                </mc:Fallback>
              </mc:AlternateContent>
            </w:r>
            <w:r>
              <w:rPr>
                <w:spacing w:val="-2"/>
                <w:u w:val="single"/>
              </w:rPr>
              <w:t>Preliminary</w:t>
            </w:r>
            <w:r>
              <w:tab/>
            </w:r>
            <w:r>
              <w:rPr>
                <w:spacing w:val="-2"/>
                <w:u w:val="single"/>
              </w:rPr>
              <w:t>Final</w:t>
            </w:r>
          </w:p>
          <w:p w14:paraId="0DFDB611" w14:textId="77777777" w:rsidR="00046465" w:rsidRDefault="008134EB">
            <w:pPr>
              <w:pStyle w:val="TableParagraph"/>
              <w:spacing w:before="57" w:line="546" w:lineRule="exact"/>
              <w:ind w:left="299" w:right="6145"/>
            </w:pPr>
            <w:r>
              <w:t>Payroll</w:t>
            </w:r>
            <w:r>
              <w:rPr>
                <w:spacing w:val="-16"/>
              </w:rPr>
              <w:t xml:space="preserve"> </w:t>
            </w:r>
            <w:r>
              <w:t xml:space="preserve">expense </w:t>
            </w:r>
            <w:r>
              <w:rPr>
                <w:spacing w:val="-2"/>
              </w:rPr>
              <w:t>Materiality</w:t>
            </w:r>
          </w:p>
        </w:tc>
        <w:tc>
          <w:tcPr>
            <w:tcW w:w="1319" w:type="dxa"/>
            <w:vMerge/>
            <w:tcBorders>
              <w:top w:val="nil"/>
              <w:left w:val="single" w:sz="6" w:space="0" w:color="000000"/>
              <w:bottom w:val="double" w:sz="6" w:space="0" w:color="000000"/>
              <w:right w:val="double" w:sz="6" w:space="0" w:color="000000"/>
            </w:tcBorders>
          </w:tcPr>
          <w:p w14:paraId="0DFDB612" w14:textId="77777777" w:rsidR="00046465" w:rsidRDefault="00046465">
            <w:pPr>
              <w:rPr>
                <w:sz w:val="2"/>
                <w:szCs w:val="2"/>
              </w:rPr>
            </w:pPr>
          </w:p>
        </w:tc>
      </w:tr>
      <w:tr w:rsidR="00046465" w14:paraId="0DFDB619" w14:textId="77777777">
        <w:trPr>
          <w:trHeight w:val="2654"/>
        </w:trPr>
        <w:tc>
          <w:tcPr>
            <w:tcW w:w="8044" w:type="dxa"/>
            <w:tcBorders>
              <w:top w:val="nil"/>
              <w:left w:val="double" w:sz="6" w:space="0" w:color="000000"/>
              <w:bottom w:val="double" w:sz="6" w:space="0" w:color="000000"/>
              <w:right w:val="single" w:sz="6" w:space="0" w:color="000000"/>
            </w:tcBorders>
          </w:tcPr>
          <w:p w14:paraId="0DFDB614" w14:textId="77777777" w:rsidR="00046465" w:rsidRDefault="00046465">
            <w:pPr>
              <w:pStyle w:val="TableParagraph"/>
            </w:pPr>
          </w:p>
          <w:p w14:paraId="0DFDB615" w14:textId="77777777" w:rsidR="00046465" w:rsidRDefault="00046465">
            <w:pPr>
              <w:pStyle w:val="TableParagraph"/>
              <w:spacing w:before="89"/>
            </w:pPr>
          </w:p>
          <w:p w14:paraId="0DFDB616" w14:textId="77777777" w:rsidR="00046465" w:rsidRDefault="008134EB">
            <w:pPr>
              <w:pStyle w:val="TableParagraph"/>
              <w:ind w:left="131"/>
            </w:pPr>
            <w:r>
              <w:t>If</w:t>
            </w:r>
            <w:r>
              <w:rPr>
                <w:spacing w:val="-7"/>
              </w:rPr>
              <w:t xml:space="preserve"> </w:t>
            </w:r>
            <w:r>
              <w:t>yes,</w:t>
            </w:r>
            <w:r>
              <w:rPr>
                <w:spacing w:val="-6"/>
              </w:rPr>
              <w:t xml:space="preserve"> </w:t>
            </w:r>
            <w:r>
              <w:t>then</w:t>
            </w:r>
            <w:r>
              <w:rPr>
                <w:spacing w:val="-7"/>
              </w:rPr>
              <w:t xml:space="preserve"> </w:t>
            </w:r>
            <w:r>
              <w:t>complete</w:t>
            </w:r>
            <w:r>
              <w:rPr>
                <w:spacing w:val="-6"/>
              </w:rPr>
              <w:t xml:space="preserve"> </w:t>
            </w:r>
            <w:r>
              <w:t>the</w:t>
            </w:r>
            <w:r>
              <w:rPr>
                <w:spacing w:val="-6"/>
              </w:rPr>
              <w:t xml:space="preserve"> </w:t>
            </w:r>
            <w:r>
              <w:t>compliance</w:t>
            </w:r>
            <w:r>
              <w:rPr>
                <w:spacing w:val="-7"/>
              </w:rPr>
              <w:t xml:space="preserve"> </w:t>
            </w:r>
            <w:r>
              <w:t>supplement</w:t>
            </w:r>
            <w:r>
              <w:rPr>
                <w:spacing w:val="-6"/>
              </w:rPr>
              <w:t xml:space="preserve"> </w:t>
            </w:r>
            <w:r>
              <w:t>at</w:t>
            </w:r>
            <w:r>
              <w:rPr>
                <w:spacing w:val="-6"/>
              </w:rPr>
              <w:t xml:space="preserve"> </w:t>
            </w:r>
            <w:r>
              <w:t>FAM</w:t>
            </w:r>
            <w:r>
              <w:rPr>
                <w:spacing w:val="-7"/>
              </w:rPr>
              <w:t xml:space="preserve"> </w:t>
            </w:r>
            <w:r>
              <w:rPr>
                <w:spacing w:val="-4"/>
              </w:rPr>
              <w:t>807.</w:t>
            </w:r>
          </w:p>
          <w:p w14:paraId="0DFDB617" w14:textId="77777777" w:rsidR="00046465" w:rsidRDefault="008134EB">
            <w:pPr>
              <w:pStyle w:val="TableParagraph"/>
              <w:spacing w:before="145"/>
              <w:ind w:left="131" w:right="141"/>
            </w:pPr>
            <w:r>
              <w:t>The entity’s expenses for performance awards, cash awards, overtime, travel, transportation, subsistence, or allowances for the audit period usually do not exceed materiality. If, however, the auditor determines that these items or related</w:t>
            </w:r>
            <w:r>
              <w:rPr>
                <w:spacing w:val="-4"/>
              </w:rPr>
              <w:t xml:space="preserve"> </w:t>
            </w:r>
            <w:r>
              <w:t>provisions</w:t>
            </w:r>
            <w:r>
              <w:rPr>
                <w:spacing w:val="-4"/>
              </w:rPr>
              <w:t xml:space="preserve"> </w:t>
            </w:r>
            <w:r>
              <w:t>of</w:t>
            </w:r>
            <w:r>
              <w:rPr>
                <w:spacing w:val="-4"/>
              </w:rPr>
              <w:t xml:space="preserve"> </w:t>
            </w:r>
            <w:r>
              <w:t>the</w:t>
            </w:r>
            <w:r>
              <w:rPr>
                <w:spacing w:val="-5"/>
              </w:rPr>
              <w:t xml:space="preserve"> </w:t>
            </w:r>
            <w:r>
              <w:t>Pay</w:t>
            </w:r>
            <w:r>
              <w:rPr>
                <w:spacing w:val="-4"/>
              </w:rPr>
              <w:t xml:space="preserve"> </w:t>
            </w:r>
            <w:r>
              <w:t>and</w:t>
            </w:r>
            <w:r>
              <w:rPr>
                <w:spacing w:val="-4"/>
              </w:rPr>
              <w:t xml:space="preserve"> </w:t>
            </w:r>
            <w:r>
              <w:t>Allowance</w:t>
            </w:r>
            <w:r>
              <w:rPr>
                <w:spacing w:val="-4"/>
              </w:rPr>
              <w:t xml:space="preserve"> </w:t>
            </w:r>
            <w:r>
              <w:t>System</w:t>
            </w:r>
            <w:r>
              <w:rPr>
                <w:spacing w:val="-5"/>
              </w:rPr>
              <w:t xml:space="preserve"> </w:t>
            </w:r>
            <w:r>
              <w:t>for</w:t>
            </w:r>
            <w:r>
              <w:rPr>
                <w:spacing w:val="-4"/>
              </w:rPr>
              <w:t xml:space="preserve"> </w:t>
            </w:r>
            <w:r>
              <w:t>Civilian</w:t>
            </w:r>
            <w:r>
              <w:rPr>
                <w:spacing w:val="-4"/>
              </w:rPr>
              <w:t xml:space="preserve"> </w:t>
            </w:r>
            <w:r>
              <w:t>Employees</w:t>
            </w:r>
            <w:r>
              <w:rPr>
                <w:spacing w:val="-4"/>
              </w:rPr>
              <w:t xml:space="preserve"> </w:t>
            </w:r>
            <w:r>
              <w:t>are otherwise significant, then the auditor should consult with the Office of the General Counsel (OGC) for specific provisions to be compliance tested.</w:t>
            </w:r>
          </w:p>
        </w:tc>
        <w:tc>
          <w:tcPr>
            <w:tcW w:w="1319" w:type="dxa"/>
            <w:vMerge/>
            <w:tcBorders>
              <w:top w:val="nil"/>
              <w:left w:val="single" w:sz="6" w:space="0" w:color="000000"/>
              <w:bottom w:val="double" w:sz="6" w:space="0" w:color="000000"/>
              <w:right w:val="double" w:sz="6" w:space="0" w:color="000000"/>
            </w:tcBorders>
          </w:tcPr>
          <w:p w14:paraId="0DFDB618" w14:textId="77777777" w:rsidR="00046465" w:rsidRDefault="00046465">
            <w:pPr>
              <w:rPr>
                <w:sz w:val="2"/>
                <w:szCs w:val="2"/>
              </w:rPr>
            </w:pPr>
          </w:p>
        </w:tc>
      </w:tr>
    </w:tbl>
    <w:p w14:paraId="0DFDB61A" w14:textId="77777777" w:rsidR="00046465" w:rsidRDefault="00046465">
      <w:pPr>
        <w:rPr>
          <w:sz w:val="2"/>
          <w:szCs w:val="2"/>
        </w:rPr>
        <w:sectPr w:rsidR="00046465">
          <w:pgSz w:w="12240" w:h="15840"/>
          <w:pgMar w:top="1300" w:right="720" w:bottom="940" w:left="1080" w:header="721" w:footer="742" w:gutter="0"/>
          <w:cols w:space="720"/>
        </w:sectPr>
      </w:pPr>
    </w:p>
    <w:tbl>
      <w:tblPr>
        <w:tblW w:w="0" w:type="auto"/>
        <w:tblInd w:w="3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44"/>
        <w:gridCol w:w="1319"/>
      </w:tblGrid>
      <w:tr w:rsidR="00046465" w14:paraId="0DFDB61D" w14:textId="77777777">
        <w:trPr>
          <w:trHeight w:val="120"/>
        </w:trPr>
        <w:tc>
          <w:tcPr>
            <w:tcW w:w="8044" w:type="dxa"/>
            <w:tcBorders>
              <w:left w:val="nil"/>
              <w:bottom w:val="double" w:sz="6" w:space="0" w:color="000000"/>
              <w:right w:val="nil"/>
            </w:tcBorders>
          </w:tcPr>
          <w:p w14:paraId="0DFDB61B" w14:textId="77777777" w:rsidR="00046465" w:rsidRDefault="00046465">
            <w:pPr>
              <w:pStyle w:val="TableParagraph"/>
              <w:rPr>
                <w:rFonts w:ascii="Times New Roman"/>
                <w:sz w:val="6"/>
              </w:rPr>
            </w:pPr>
          </w:p>
        </w:tc>
        <w:tc>
          <w:tcPr>
            <w:tcW w:w="1319" w:type="dxa"/>
            <w:tcBorders>
              <w:left w:val="nil"/>
              <w:bottom w:val="double" w:sz="6" w:space="0" w:color="000000"/>
              <w:right w:val="nil"/>
            </w:tcBorders>
          </w:tcPr>
          <w:p w14:paraId="0DFDB61C" w14:textId="77777777" w:rsidR="00046465" w:rsidRDefault="00046465">
            <w:pPr>
              <w:pStyle w:val="TableParagraph"/>
              <w:rPr>
                <w:rFonts w:ascii="Times New Roman"/>
                <w:sz w:val="6"/>
              </w:rPr>
            </w:pPr>
          </w:p>
        </w:tc>
      </w:tr>
      <w:tr w:rsidR="00046465" w14:paraId="0DFDB620" w14:textId="77777777">
        <w:trPr>
          <w:trHeight w:val="540"/>
        </w:trPr>
        <w:tc>
          <w:tcPr>
            <w:tcW w:w="8044" w:type="dxa"/>
            <w:tcBorders>
              <w:top w:val="double" w:sz="6" w:space="0" w:color="000000"/>
              <w:left w:val="double" w:sz="6" w:space="0" w:color="000000"/>
              <w:bottom w:val="double" w:sz="6" w:space="0" w:color="000000"/>
              <w:right w:val="single" w:sz="6" w:space="0" w:color="000000"/>
            </w:tcBorders>
          </w:tcPr>
          <w:p w14:paraId="0DFDB61E" w14:textId="77777777" w:rsidR="00046465" w:rsidRDefault="008134EB">
            <w:pPr>
              <w:pStyle w:val="TableParagraph"/>
              <w:spacing w:before="144"/>
              <w:ind w:right="362"/>
              <w:jc w:val="center"/>
              <w:rPr>
                <w:b/>
              </w:rPr>
            </w:pPr>
            <w:r>
              <w:rPr>
                <w:b/>
              </w:rPr>
              <w:t>Description</w:t>
            </w:r>
            <w:r>
              <w:rPr>
                <w:b/>
                <w:spacing w:val="-9"/>
              </w:rPr>
              <w:t xml:space="preserve"> </w:t>
            </w:r>
            <w:r>
              <w:rPr>
                <w:b/>
              </w:rPr>
              <w:t>of</w:t>
            </w:r>
            <w:r>
              <w:rPr>
                <w:b/>
                <w:spacing w:val="-9"/>
              </w:rPr>
              <w:t xml:space="preserve"> </w:t>
            </w:r>
            <w:r>
              <w:rPr>
                <w:b/>
                <w:spacing w:val="-5"/>
              </w:rPr>
              <w:t>law</w:t>
            </w:r>
          </w:p>
        </w:tc>
        <w:tc>
          <w:tcPr>
            <w:tcW w:w="1319" w:type="dxa"/>
            <w:tcBorders>
              <w:top w:val="double" w:sz="6" w:space="0" w:color="000000"/>
              <w:left w:val="single" w:sz="6" w:space="0" w:color="000000"/>
              <w:bottom w:val="double" w:sz="6" w:space="0" w:color="000000"/>
              <w:right w:val="double" w:sz="6" w:space="0" w:color="000000"/>
            </w:tcBorders>
          </w:tcPr>
          <w:p w14:paraId="0DFDB61F" w14:textId="77777777" w:rsidR="00046465" w:rsidRDefault="008134EB">
            <w:pPr>
              <w:pStyle w:val="TableParagraph"/>
              <w:spacing w:before="144"/>
              <w:ind w:left="145"/>
              <w:rPr>
                <w:b/>
              </w:rPr>
            </w:pPr>
            <w:r>
              <w:rPr>
                <w:b/>
              </w:rPr>
              <w:t>Yes</w:t>
            </w:r>
            <w:r>
              <w:rPr>
                <w:b/>
                <w:spacing w:val="-3"/>
              </w:rPr>
              <w:t xml:space="preserve"> </w:t>
            </w:r>
            <w:r>
              <w:rPr>
                <w:b/>
              </w:rPr>
              <w:t>/</w:t>
            </w:r>
            <w:r>
              <w:rPr>
                <w:b/>
                <w:spacing w:val="-3"/>
              </w:rPr>
              <w:t xml:space="preserve"> </w:t>
            </w:r>
            <w:r>
              <w:rPr>
                <w:b/>
                <w:spacing w:val="-5"/>
              </w:rPr>
              <w:t>No</w:t>
            </w:r>
          </w:p>
        </w:tc>
      </w:tr>
      <w:tr w:rsidR="00046465" w14:paraId="0DFDB634" w14:textId="77777777">
        <w:trPr>
          <w:trHeight w:val="2691"/>
        </w:trPr>
        <w:tc>
          <w:tcPr>
            <w:tcW w:w="8044" w:type="dxa"/>
            <w:tcBorders>
              <w:top w:val="double" w:sz="6" w:space="0" w:color="000000"/>
              <w:left w:val="double" w:sz="6" w:space="0" w:color="000000"/>
              <w:bottom w:val="nil"/>
              <w:right w:val="single" w:sz="6" w:space="0" w:color="000000"/>
            </w:tcBorders>
          </w:tcPr>
          <w:p w14:paraId="0DFDB621" w14:textId="77777777" w:rsidR="00046465" w:rsidRDefault="008134EB">
            <w:pPr>
              <w:pStyle w:val="TableParagraph"/>
              <w:spacing w:before="145"/>
              <w:ind w:left="131"/>
              <w:rPr>
                <w:b/>
              </w:rPr>
            </w:pPr>
            <w:r>
              <w:rPr>
                <w:b/>
              </w:rPr>
              <w:t>Civil</w:t>
            </w:r>
            <w:r>
              <w:rPr>
                <w:b/>
                <w:spacing w:val="-4"/>
              </w:rPr>
              <w:t xml:space="preserve"> </w:t>
            </w:r>
            <w:r>
              <w:rPr>
                <w:b/>
              </w:rPr>
              <w:t>Service</w:t>
            </w:r>
            <w:r>
              <w:rPr>
                <w:b/>
                <w:spacing w:val="-4"/>
              </w:rPr>
              <w:t xml:space="preserve"> </w:t>
            </w:r>
            <w:r>
              <w:rPr>
                <w:b/>
              </w:rPr>
              <w:t>Retirement</w:t>
            </w:r>
            <w:r>
              <w:rPr>
                <w:b/>
                <w:spacing w:val="-4"/>
              </w:rPr>
              <w:t xml:space="preserve"> </w:t>
            </w:r>
            <w:r>
              <w:rPr>
                <w:b/>
              </w:rPr>
              <w:t>Act</w:t>
            </w:r>
            <w:r>
              <w:rPr>
                <w:b/>
                <w:spacing w:val="-4"/>
              </w:rPr>
              <w:t xml:space="preserve"> </w:t>
            </w:r>
            <w:r>
              <w:rPr>
                <w:b/>
              </w:rPr>
              <w:t>(CSRA),</w:t>
            </w:r>
            <w:r>
              <w:rPr>
                <w:b/>
                <w:spacing w:val="-4"/>
              </w:rPr>
              <w:t xml:space="preserve"> </w:t>
            </w:r>
            <w:r>
              <w:rPr>
                <w:b/>
              </w:rPr>
              <w:t>as</w:t>
            </w:r>
            <w:r>
              <w:rPr>
                <w:b/>
                <w:spacing w:val="-4"/>
              </w:rPr>
              <w:t xml:space="preserve"> </w:t>
            </w:r>
            <w:r>
              <w:rPr>
                <w:b/>
              </w:rPr>
              <w:t>provided</w:t>
            </w:r>
            <w:r>
              <w:rPr>
                <w:b/>
                <w:spacing w:val="-4"/>
              </w:rPr>
              <w:t xml:space="preserve"> </w:t>
            </w:r>
            <w:r>
              <w:rPr>
                <w:b/>
              </w:rPr>
              <w:t>in</w:t>
            </w:r>
            <w:r>
              <w:rPr>
                <w:b/>
                <w:spacing w:val="-4"/>
              </w:rPr>
              <w:t xml:space="preserve"> </w:t>
            </w:r>
            <w:r>
              <w:rPr>
                <w:b/>
              </w:rPr>
              <w:t>5</w:t>
            </w:r>
            <w:r>
              <w:rPr>
                <w:b/>
                <w:spacing w:val="-4"/>
              </w:rPr>
              <w:t xml:space="preserve"> </w:t>
            </w:r>
            <w:r>
              <w:rPr>
                <w:b/>
              </w:rPr>
              <w:t>U.S.C.</w:t>
            </w:r>
            <w:r>
              <w:rPr>
                <w:b/>
                <w:spacing w:val="-4"/>
              </w:rPr>
              <w:t xml:space="preserve"> </w:t>
            </w:r>
            <w:r>
              <w:rPr>
                <w:b/>
              </w:rPr>
              <w:t>chapter</w:t>
            </w:r>
            <w:r>
              <w:rPr>
                <w:b/>
                <w:spacing w:val="-5"/>
              </w:rPr>
              <w:t xml:space="preserve"> </w:t>
            </w:r>
            <w:r>
              <w:rPr>
                <w:b/>
              </w:rPr>
              <w:t>83, subchapter III</w:t>
            </w:r>
          </w:p>
          <w:p w14:paraId="0DFDB622" w14:textId="77777777" w:rsidR="00046465" w:rsidRDefault="008134EB">
            <w:pPr>
              <w:pStyle w:val="TableParagraph"/>
              <w:spacing w:before="143"/>
              <w:ind w:left="131"/>
            </w:pPr>
            <w:r>
              <w:t>This law provides retirement benefits to employees who were hired prior to January</w:t>
            </w:r>
            <w:r>
              <w:rPr>
                <w:spacing w:val="-3"/>
              </w:rPr>
              <w:t xml:space="preserve"> </w:t>
            </w:r>
            <w:r>
              <w:t>1,</w:t>
            </w:r>
            <w:r>
              <w:rPr>
                <w:spacing w:val="-3"/>
              </w:rPr>
              <w:t xml:space="preserve"> </w:t>
            </w:r>
            <w:r>
              <w:t>1984.</w:t>
            </w:r>
            <w:r>
              <w:rPr>
                <w:spacing w:val="-3"/>
              </w:rPr>
              <w:t xml:space="preserve"> </w:t>
            </w:r>
            <w:r>
              <w:t>For</w:t>
            </w:r>
            <w:r>
              <w:rPr>
                <w:spacing w:val="-3"/>
              </w:rPr>
              <w:t xml:space="preserve"> </w:t>
            </w:r>
            <w:r>
              <w:t>each</w:t>
            </w:r>
            <w:r>
              <w:rPr>
                <w:spacing w:val="-3"/>
              </w:rPr>
              <w:t xml:space="preserve"> </w:t>
            </w:r>
            <w:r>
              <w:t>employee,</w:t>
            </w:r>
            <w:r>
              <w:rPr>
                <w:spacing w:val="-3"/>
              </w:rPr>
              <w:t xml:space="preserve"> </w:t>
            </w:r>
            <w:r>
              <w:t>the</w:t>
            </w:r>
            <w:r>
              <w:rPr>
                <w:spacing w:val="-3"/>
              </w:rPr>
              <w:t xml:space="preserve"> </w:t>
            </w:r>
            <w:r>
              <w:t>entity</w:t>
            </w:r>
            <w:r>
              <w:rPr>
                <w:spacing w:val="-4"/>
              </w:rPr>
              <w:t xml:space="preserve"> </w:t>
            </w:r>
            <w:r>
              <w:t>withholds</w:t>
            </w:r>
            <w:r>
              <w:rPr>
                <w:spacing w:val="-3"/>
              </w:rPr>
              <w:t xml:space="preserve"> </w:t>
            </w:r>
            <w:r>
              <w:t>a</w:t>
            </w:r>
            <w:r>
              <w:rPr>
                <w:spacing w:val="-4"/>
              </w:rPr>
              <w:t xml:space="preserve"> </w:t>
            </w:r>
            <w:r>
              <w:t>percentage</w:t>
            </w:r>
            <w:r>
              <w:rPr>
                <w:spacing w:val="-4"/>
              </w:rPr>
              <w:t xml:space="preserve"> </w:t>
            </w:r>
            <w:r>
              <w:t>of</w:t>
            </w:r>
            <w:r>
              <w:rPr>
                <w:spacing w:val="-3"/>
              </w:rPr>
              <w:t xml:space="preserve"> </w:t>
            </w:r>
            <w:r>
              <w:t>basic pay from the employee’s compensation and contributes an equal amount for retirement. For most employees, the entity contribution shall be paid from the appropriation account or fund used to pay the employee. The employee and entity amounts are deposited into the Treasury to the credit of the Civil Service Retirement and Disability Fund.</w:t>
            </w:r>
          </w:p>
        </w:tc>
        <w:tc>
          <w:tcPr>
            <w:tcW w:w="1319" w:type="dxa"/>
            <w:vMerge w:val="restart"/>
            <w:tcBorders>
              <w:top w:val="double" w:sz="6" w:space="0" w:color="000000"/>
              <w:left w:val="single" w:sz="6" w:space="0" w:color="000000"/>
              <w:bottom w:val="double" w:sz="6" w:space="0" w:color="000000"/>
              <w:right w:val="double" w:sz="6" w:space="0" w:color="000000"/>
            </w:tcBorders>
          </w:tcPr>
          <w:p w14:paraId="0DFDB623" w14:textId="77777777" w:rsidR="00046465" w:rsidRDefault="00046465">
            <w:pPr>
              <w:pStyle w:val="TableParagraph"/>
              <w:rPr>
                <w:sz w:val="20"/>
              </w:rPr>
            </w:pPr>
          </w:p>
          <w:p w14:paraId="0DFDB624" w14:textId="77777777" w:rsidR="00046465" w:rsidRDefault="00046465">
            <w:pPr>
              <w:pStyle w:val="TableParagraph"/>
              <w:rPr>
                <w:sz w:val="20"/>
              </w:rPr>
            </w:pPr>
          </w:p>
          <w:p w14:paraId="0DFDB625" w14:textId="77777777" w:rsidR="00046465" w:rsidRDefault="00046465">
            <w:pPr>
              <w:pStyle w:val="TableParagraph"/>
              <w:rPr>
                <w:sz w:val="20"/>
              </w:rPr>
            </w:pPr>
          </w:p>
          <w:p w14:paraId="0DFDB626" w14:textId="77777777" w:rsidR="00046465" w:rsidRDefault="00046465">
            <w:pPr>
              <w:pStyle w:val="TableParagraph"/>
              <w:rPr>
                <w:sz w:val="20"/>
              </w:rPr>
            </w:pPr>
          </w:p>
          <w:p w14:paraId="0DFDB627" w14:textId="77777777" w:rsidR="00046465" w:rsidRDefault="00046465">
            <w:pPr>
              <w:pStyle w:val="TableParagraph"/>
              <w:rPr>
                <w:sz w:val="20"/>
              </w:rPr>
            </w:pPr>
          </w:p>
          <w:p w14:paraId="0DFDB628" w14:textId="77777777" w:rsidR="00046465" w:rsidRDefault="00046465">
            <w:pPr>
              <w:pStyle w:val="TableParagraph"/>
              <w:rPr>
                <w:sz w:val="20"/>
              </w:rPr>
            </w:pPr>
          </w:p>
          <w:p w14:paraId="0DFDB629" w14:textId="77777777" w:rsidR="00046465" w:rsidRDefault="00046465">
            <w:pPr>
              <w:pStyle w:val="TableParagraph"/>
              <w:rPr>
                <w:sz w:val="20"/>
              </w:rPr>
            </w:pPr>
          </w:p>
          <w:p w14:paraId="0DFDB62A" w14:textId="77777777" w:rsidR="00046465" w:rsidRDefault="00046465">
            <w:pPr>
              <w:pStyle w:val="TableParagraph"/>
              <w:rPr>
                <w:sz w:val="20"/>
              </w:rPr>
            </w:pPr>
          </w:p>
          <w:p w14:paraId="0DFDB62B" w14:textId="77777777" w:rsidR="00046465" w:rsidRDefault="00046465">
            <w:pPr>
              <w:pStyle w:val="TableParagraph"/>
              <w:rPr>
                <w:sz w:val="20"/>
              </w:rPr>
            </w:pPr>
          </w:p>
          <w:p w14:paraId="0DFDB62C" w14:textId="77777777" w:rsidR="00046465" w:rsidRDefault="00046465">
            <w:pPr>
              <w:pStyle w:val="TableParagraph"/>
              <w:rPr>
                <w:sz w:val="20"/>
              </w:rPr>
            </w:pPr>
          </w:p>
          <w:p w14:paraId="0DFDB62D" w14:textId="77777777" w:rsidR="00046465" w:rsidRDefault="00046465">
            <w:pPr>
              <w:pStyle w:val="TableParagraph"/>
              <w:rPr>
                <w:sz w:val="20"/>
              </w:rPr>
            </w:pPr>
          </w:p>
          <w:p w14:paraId="0DFDB62E" w14:textId="77777777" w:rsidR="00046465" w:rsidRDefault="00046465">
            <w:pPr>
              <w:pStyle w:val="TableParagraph"/>
              <w:rPr>
                <w:sz w:val="20"/>
              </w:rPr>
            </w:pPr>
          </w:p>
          <w:p w14:paraId="0DFDB62F" w14:textId="77777777" w:rsidR="00046465" w:rsidRDefault="00046465">
            <w:pPr>
              <w:pStyle w:val="TableParagraph"/>
              <w:rPr>
                <w:sz w:val="20"/>
              </w:rPr>
            </w:pPr>
          </w:p>
          <w:p w14:paraId="0DFDB630" w14:textId="77777777" w:rsidR="00046465" w:rsidRDefault="00046465">
            <w:pPr>
              <w:pStyle w:val="TableParagraph"/>
              <w:rPr>
                <w:sz w:val="20"/>
              </w:rPr>
            </w:pPr>
          </w:p>
          <w:p w14:paraId="0DFDB631" w14:textId="77777777" w:rsidR="00046465" w:rsidRDefault="00046465">
            <w:pPr>
              <w:pStyle w:val="TableParagraph"/>
              <w:rPr>
                <w:sz w:val="20"/>
              </w:rPr>
            </w:pPr>
          </w:p>
          <w:p w14:paraId="0DFDB632" w14:textId="77777777" w:rsidR="00046465" w:rsidRDefault="00046465">
            <w:pPr>
              <w:pStyle w:val="TableParagraph"/>
              <w:spacing w:before="211" w:after="1"/>
              <w:rPr>
                <w:sz w:val="20"/>
              </w:rPr>
            </w:pPr>
          </w:p>
          <w:p w14:paraId="0DFDB633" w14:textId="77777777" w:rsidR="00046465" w:rsidRDefault="008134EB">
            <w:pPr>
              <w:pStyle w:val="TableParagraph"/>
              <w:spacing w:line="20" w:lineRule="exact"/>
              <w:ind w:left="145"/>
              <w:rPr>
                <w:sz w:val="2"/>
              </w:rPr>
            </w:pPr>
            <w:r>
              <w:rPr>
                <w:noProof/>
                <w:sz w:val="2"/>
              </w:rPr>
              <mc:AlternateContent>
                <mc:Choice Requires="wpg">
                  <w:drawing>
                    <wp:inline distT="0" distB="0" distL="0" distR="0" wp14:anchorId="0DFDD5C7" wp14:editId="0DFDD5C8">
                      <wp:extent cx="621665" cy="8890"/>
                      <wp:effectExtent l="9525" t="0" r="0" b="635"/>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459" name="Graphic 459"/>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7B1FFF0" id="Group 458"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Jpwjj9wAgAAjwUAAA4AAAAAAAAAAAAAAAAA&#10;LgIAAGRycy9lMm9Eb2MueG1sUEsBAi0AFAAGAAgAAAAhABFF7qTaAAAAAgEAAA8AAAAAAAAAAAAA&#10;AAAAygQAAGRycy9kb3ducmV2LnhtbFBLBQYAAAAABAAEAPMAAADRBQAAAAA=&#10;">
                      <v:shape id="Graphic 459"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" path="m,l621371,e" filled="f" strokeweight=".24403mm">
                        <v:path arrowok="t"/>
                      </v:shape>
                      <w10:anchorlock/>
                    </v:group>
                  </w:pict>
                </mc:Fallback>
              </mc:AlternateContent>
            </w:r>
          </w:p>
        </w:tc>
      </w:tr>
      <w:tr w:rsidR="00046465" w14:paraId="0DFDB637" w14:textId="77777777">
        <w:trPr>
          <w:trHeight w:val="1507"/>
        </w:trPr>
        <w:tc>
          <w:tcPr>
            <w:tcW w:w="8044" w:type="dxa"/>
            <w:tcBorders>
              <w:top w:val="nil"/>
              <w:left w:val="double" w:sz="6" w:space="0" w:color="000000"/>
              <w:bottom w:val="nil"/>
              <w:right w:val="single" w:sz="6" w:space="0" w:color="000000"/>
            </w:tcBorders>
          </w:tcPr>
          <w:p w14:paraId="0DFDB635" w14:textId="77777777" w:rsidR="00046465" w:rsidRDefault="008134EB">
            <w:pPr>
              <w:pStyle w:val="TableParagraph"/>
              <w:spacing w:before="118"/>
              <w:ind w:left="131" w:right="141"/>
              <w:rPr>
                <w:i/>
              </w:rPr>
            </w:pPr>
            <w:r>
              <w:rPr>
                <w:i/>
              </w:rPr>
              <w:t>Does the entity’s expense for retirement costs under the Civil Service Retirement Act for the audit period exceed materiality, or did the auditor determine that the Civil Service Retirement Act has a direct effect on the determination</w:t>
            </w:r>
            <w:r>
              <w:rPr>
                <w:i/>
                <w:spacing w:val="-5"/>
              </w:rPr>
              <w:t xml:space="preserve"> </w:t>
            </w:r>
            <w:r>
              <w:rPr>
                <w:i/>
              </w:rPr>
              <w:t>of</w:t>
            </w:r>
            <w:r>
              <w:rPr>
                <w:i/>
                <w:spacing w:val="-5"/>
              </w:rPr>
              <w:t xml:space="preserve"> </w:t>
            </w:r>
            <w:r>
              <w:rPr>
                <w:i/>
              </w:rPr>
              <w:t>material</w:t>
            </w:r>
            <w:r>
              <w:rPr>
                <w:i/>
                <w:spacing w:val="-5"/>
              </w:rPr>
              <w:t xml:space="preserve"> </w:t>
            </w:r>
            <w:r>
              <w:rPr>
                <w:i/>
              </w:rPr>
              <w:t>amounts</w:t>
            </w:r>
            <w:r>
              <w:rPr>
                <w:i/>
                <w:spacing w:val="-5"/>
              </w:rPr>
              <w:t xml:space="preserve"> </w:t>
            </w:r>
            <w:r>
              <w:rPr>
                <w:i/>
              </w:rPr>
              <w:t>and</w:t>
            </w:r>
            <w:r>
              <w:rPr>
                <w:i/>
                <w:spacing w:val="-5"/>
              </w:rPr>
              <w:t xml:space="preserve"> </w:t>
            </w:r>
            <w:r>
              <w:rPr>
                <w:i/>
              </w:rPr>
              <w:t>disclosures</w:t>
            </w:r>
            <w:r>
              <w:rPr>
                <w:i/>
                <w:spacing w:val="-5"/>
              </w:rPr>
              <w:t xml:space="preserve"> </w:t>
            </w:r>
            <w:r>
              <w:rPr>
                <w:i/>
              </w:rPr>
              <w:t>in</w:t>
            </w:r>
            <w:r>
              <w:rPr>
                <w:i/>
                <w:spacing w:val="-5"/>
              </w:rPr>
              <w:t xml:space="preserve"> </w:t>
            </w:r>
            <w:r>
              <w:rPr>
                <w:i/>
              </w:rPr>
              <w:t>the</w:t>
            </w:r>
            <w:r>
              <w:rPr>
                <w:i/>
                <w:spacing w:val="-5"/>
              </w:rPr>
              <w:t xml:space="preserve"> </w:t>
            </w:r>
            <w:r>
              <w:rPr>
                <w:i/>
              </w:rPr>
              <w:t>entity’s</w:t>
            </w:r>
            <w:r>
              <w:rPr>
                <w:i/>
                <w:spacing w:val="-5"/>
              </w:rPr>
              <w:t xml:space="preserve"> </w:t>
            </w:r>
            <w:r>
              <w:rPr>
                <w:i/>
              </w:rPr>
              <w:t xml:space="preserve">financial </w:t>
            </w:r>
            <w:r>
              <w:rPr>
                <w:i/>
                <w:spacing w:val="-2"/>
              </w:rPr>
              <w:t>statements?</w:t>
            </w:r>
          </w:p>
        </w:tc>
        <w:tc>
          <w:tcPr>
            <w:tcW w:w="1319" w:type="dxa"/>
            <w:vMerge/>
            <w:tcBorders>
              <w:top w:val="nil"/>
              <w:left w:val="single" w:sz="6" w:space="0" w:color="000000"/>
              <w:bottom w:val="double" w:sz="6" w:space="0" w:color="000000"/>
              <w:right w:val="double" w:sz="6" w:space="0" w:color="000000"/>
            </w:tcBorders>
          </w:tcPr>
          <w:p w14:paraId="0DFDB636" w14:textId="77777777" w:rsidR="00046465" w:rsidRDefault="00046465">
            <w:pPr>
              <w:rPr>
                <w:sz w:val="2"/>
                <w:szCs w:val="2"/>
              </w:rPr>
            </w:pPr>
          </w:p>
        </w:tc>
      </w:tr>
      <w:tr w:rsidR="00046465" w14:paraId="0DFDB63F" w14:textId="77777777">
        <w:trPr>
          <w:trHeight w:val="1835"/>
        </w:trPr>
        <w:tc>
          <w:tcPr>
            <w:tcW w:w="8044" w:type="dxa"/>
            <w:tcBorders>
              <w:top w:val="nil"/>
              <w:left w:val="double" w:sz="6" w:space="0" w:color="000000"/>
              <w:bottom w:val="nil"/>
              <w:right w:val="single" w:sz="6" w:space="0" w:color="000000"/>
            </w:tcBorders>
          </w:tcPr>
          <w:p w14:paraId="0DFDB638" w14:textId="77777777" w:rsidR="00046465" w:rsidRDefault="008134EB">
            <w:pPr>
              <w:pStyle w:val="TableParagraph"/>
              <w:tabs>
                <w:tab w:val="left" w:pos="6807"/>
              </w:tabs>
              <w:spacing w:before="118"/>
              <w:ind w:left="4532"/>
            </w:pPr>
            <w:r>
              <w:rPr>
                <w:spacing w:val="-2"/>
                <w:u w:val="single"/>
              </w:rPr>
              <w:t>Preliminary</w:t>
            </w:r>
            <w:r>
              <w:tab/>
            </w:r>
            <w:r>
              <w:rPr>
                <w:spacing w:val="-2"/>
                <w:u w:val="single"/>
              </w:rPr>
              <w:t>Final</w:t>
            </w:r>
          </w:p>
          <w:p w14:paraId="0DFDB639" w14:textId="77777777" w:rsidR="00046465" w:rsidRDefault="00046465">
            <w:pPr>
              <w:pStyle w:val="TableParagraph"/>
              <w:spacing w:before="35"/>
            </w:pPr>
          </w:p>
          <w:p w14:paraId="0DFDB63A" w14:textId="77777777" w:rsidR="00046465" w:rsidRDefault="008134EB">
            <w:pPr>
              <w:pStyle w:val="TableParagraph"/>
              <w:ind w:left="299" w:right="4319"/>
            </w:pPr>
            <w:r>
              <w:t>Expense</w:t>
            </w:r>
            <w:r>
              <w:rPr>
                <w:spacing w:val="-16"/>
              </w:rPr>
              <w:t xml:space="preserve"> </w:t>
            </w:r>
            <w:r>
              <w:t>for</w:t>
            </w:r>
            <w:r>
              <w:rPr>
                <w:spacing w:val="-15"/>
              </w:rPr>
              <w:t xml:space="preserve"> </w:t>
            </w:r>
            <w:r>
              <w:t xml:space="preserve">retirement </w:t>
            </w:r>
            <w:r>
              <w:rPr>
                <w:spacing w:val="-2"/>
              </w:rPr>
              <w:t>contributions</w:t>
            </w:r>
          </w:p>
          <w:p w14:paraId="0DFDB63B" w14:textId="77777777" w:rsidR="00046465" w:rsidRDefault="00046465">
            <w:pPr>
              <w:pStyle w:val="TableParagraph"/>
              <w:spacing w:before="6"/>
              <w:rPr>
                <w:sz w:val="12"/>
              </w:rPr>
            </w:pPr>
          </w:p>
          <w:p w14:paraId="0DFDB63C" w14:textId="77777777" w:rsidR="00046465" w:rsidRDefault="008134EB">
            <w:pPr>
              <w:pStyle w:val="TableParagraph"/>
              <w:spacing w:line="20" w:lineRule="exact"/>
              <w:ind w:left="4062"/>
              <w:rPr>
                <w:sz w:val="2"/>
              </w:rPr>
            </w:pPr>
            <w:r>
              <w:rPr>
                <w:noProof/>
                <w:sz w:val="2"/>
              </w:rPr>
              <mc:AlternateContent>
                <mc:Choice Requires="wpg">
                  <w:drawing>
                    <wp:anchor distT="0" distB="0" distL="0" distR="0" simplePos="0" relativeHeight="476101120" behindDoc="1" locked="0" layoutInCell="1" allowOverlap="1" wp14:anchorId="0DFDD5C9" wp14:editId="0DFDD5CA">
                      <wp:simplePos x="0" y="0"/>
                      <wp:positionH relativeFrom="column">
                        <wp:posOffset>2588514</wp:posOffset>
                      </wp:positionH>
                      <wp:positionV relativeFrom="paragraph">
                        <wp:posOffset>346709</wp:posOffset>
                      </wp:positionV>
                      <wp:extent cx="1295400" cy="3175"/>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61" name="Graphic 461"/>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A57612" id="Group 460" o:spid="_x0000_s1026" style="position:absolute;margin-left:203.8pt;margin-top:27.3pt;width:102pt;height:.25pt;z-index:-27215360;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">
                      <v:shape id="Graphic 461"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" path="m1295400,l,,,3048r1295400,l1295400,xe" fillcolor="black" stroked="f">
                        <v:path arrowok="t"/>
                      </v:shape>
                    </v:group>
                  </w:pict>
                </mc:Fallback>
              </mc:AlternateContent>
            </w:r>
            <w:r>
              <w:rPr>
                <w:noProof/>
                <w:sz w:val="2"/>
              </w:rPr>
              <mc:AlternateContent>
                <mc:Choice Requires="wpg">
                  <w:drawing>
                    <wp:anchor distT="0" distB="0" distL="0" distR="0" simplePos="0" relativeHeight="476101632" behindDoc="1" locked="0" layoutInCell="1" allowOverlap="1" wp14:anchorId="0DFDD5CB" wp14:editId="0DFDD5CC">
                      <wp:simplePos x="0" y="0"/>
                      <wp:positionH relativeFrom="column">
                        <wp:posOffset>3960114</wp:posOffset>
                      </wp:positionH>
                      <wp:positionV relativeFrom="paragraph">
                        <wp:posOffset>346709</wp:posOffset>
                      </wp:positionV>
                      <wp:extent cx="1045844" cy="3175"/>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463" name="Graphic 463"/>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511C4F" id="Group 462" o:spid="_x0000_s1026" style="position:absolute;margin-left:311.8pt;margin-top:27.3pt;width:82.35pt;height:.25pt;z-index:-27214848;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">
                      <v:shape id="Graphic 463"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" path="m1045463,l,,,3048r1045463,l1045463,xe" fillcolor="black" stroked="f">
                        <v:path arrowok="t"/>
                      </v:shape>
                    </v:group>
                  </w:pict>
                </mc:Fallback>
              </mc:AlternateContent>
            </w:r>
            <w:r>
              <w:rPr>
                <w:noProof/>
                <w:sz w:val="2"/>
              </w:rPr>
              <mc:AlternateContent>
                <mc:Choice Requires="wpg">
                  <w:drawing>
                    <wp:inline distT="0" distB="0" distL="0" distR="0" wp14:anchorId="0DFDD5CD" wp14:editId="0DFDD5CE">
                      <wp:extent cx="1295400" cy="3175"/>
                      <wp:effectExtent l="0" t="0" r="0" b="0"/>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65" name="Graphic 465"/>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6C4480B" id="Group 464" o:spid="_x0000_s1026" style="width:102pt;height:.25pt;mso-position-horizontal-relative:char;mso-position-vertical-relative:line"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">
                      <v:shape id="Graphic 465"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" path="m1295400,l,,,3048r1295400,l1295400,xe" fillcolor="black" stroked="f">
                        <v:path arrowok="t"/>
                      </v:shape>
                      <w10:anchorlock/>
                    </v:group>
                  </w:pict>
                </mc:Fallback>
              </mc:AlternateContent>
            </w:r>
            <w:r>
              <w:rPr>
                <w:rFonts w:ascii="Times New Roman"/>
                <w:spacing w:val="95"/>
                <w:sz w:val="2"/>
              </w:rPr>
              <w:t xml:space="preserve"> </w:t>
            </w:r>
            <w:r>
              <w:rPr>
                <w:noProof/>
                <w:spacing w:val="95"/>
                <w:sz w:val="2"/>
              </w:rPr>
              <mc:AlternateContent>
                <mc:Choice Requires="wpg">
                  <w:drawing>
                    <wp:inline distT="0" distB="0" distL="0" distR="0" wp14:anchorId="0DFDD5CF" wp14:editId="0DFDD5D0">
                      <wp:extent cx="1045844" cy="3175"/>
                      <wp:effectExtent l="0" t="0" r="0" b="0"/>
                      <wp:docPr id="466"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467" name="Graphic 467"/>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6630BFA" id="Group 466" o:spid="_x0000_s1026" style="width:82.35pt;height:.25pt;mso-position-horizontal-relative:char;mso-position-vertical-relative:line"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">
                      <v:shape id="Graphic 467"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" path="m1045463,l,,,3048r1045463,l1045463,xe" fillcolor="black" stroked="f">
                        <v:path arrowok="t"/>
                      </v:shape>
                      <w10:anchorlock/>
                    </v:group>
                  </w:pict>
                </mc:Fallback>
              </mc:AlternateContent>
            </w:r>
          </w:p>
          <w:p w14:paraId="0DFDB63D" w14:textId="77777777" w:rsidR="00046465" w:rsidRDefault="008134EB">
            <w:pPr>
              <w:pStyle w:val="TableParagraph"/>
              <w:spacing w:before="129"/>
              <w:ind w:left="299"/>
            </w:pPr>
            <w:r>
              <w:rPr>
                <w:spacing w:val="-2"/>
              </w:rPr>
              <w:t>Materiality</w:t>
            </w:r>
          </w:p>
        </w:tc>
        <w:tc>
          <w:tcPr>
            <w:tcW w:w="1319" w:type="dxa"/>
            <w:vMerge/>
            <w:tcBorders>
              <w:top w:val="nil"/>
              <w:left w:val="single" w:sz="6" w:space="0" w:color="000000"/>
              <w:bottom w:val="double" w:sz="6" w:space="0" w:color="000000"/>
              <w:right w:val="double" w:sz="6" w:space="0" w:color="000000"/>
            </w:tcBorders>
          </w:tcPr>
          <w:p w14:paraId="0DFDB63E" w14:textId="77777777" w:rsidR="00046465" w:rsidRDefault="00046465">
            <w:pPr>
              <w:rPr>
                <w:sz w:val="2"/>
                <w:szCs w:val="2"/>
              </w:rPr>
            </w:pPr>
          </w:p>
        </w:tc>
      </w:tr>
      <w:tr w:rsidR="00046465" w14:paraId="0DFDB644" w14:textId="77777777">
        <w:trPr>
          <w:trHeight w:val="992"/>
        </w:trPr>
        <w:tc>
          <w:tcPr>
            <w:tcW w:w="8044" w:type="dxa"/>
            <w:tcBorders>
              <w:top w:val="nil"/>
              <w:left w:val="double" w:sz="6" w:space="0" w:color="000000"/>
              <w:bottom w:val="double" w:sz="6" w:space="0" w:color="000000"/>
              <w:right w:val="single" w:sz="6" w:space="0" w:color="000000"/>
            </w:tcBorders>
          </w:tcPr>
          <w:p w14:paraId="0DFDB640" w14:textId="77777777" w:rsidR="00046465" w:rsidRDefault="00046465">
            <w:pPr>
              <w:pStyle w:val="TableParagraph"/>
            </w:pPr>
          </w:p>
          <w:p w14:paraId="0DFDB641" w14:textId="77777777" w:rsidR="00046465" w:rsidRDefault="00046465">
            <w:pPr>
              <w:pStyle w:val="TableParagraph"/>
              <w:spacing w:before="89"/>
            </w:pPr>
          </w:p>
          <w:p w14:paraId="0DFDB642" w14:textId="77777777" w:rsidR="00046465" w:rsidRDefault="008134EB">
            <w:pPr>
              <w:pStyle w:val="TableParagraph"/>
              <w:ind w:left="131"/>
            </w:pPr>
            <w:r>
              <w:t>If</w:t>
            </w:r>
            <w:r>
              <w:rPr>
                <w:spacing w:val="-7"/>
              </w:rPr>
              <w:t xml:space="preserve"> </w:t>
            </w:r>
            <w:r>
              <w:t>yes,</w:t>
            </w:r>
            <w:r>
              <w:rPr>
                <w:spacing w:val="-6"/>
              </w:rPr>
              <w:t xml:space="preserve"> </w:t>
            </w:r>
            <w:r>
              <w:t>then</w:t>
            </w:r>
            <w:r>
              <w:rPr>
                <w:spacing w:val="-7"/>
              </w:rPr>
              <w:t xml:space="preserve"> </w:t>
            </w:r>
            <w:r>
              <w:t>complete</w:t>
            </w:r>
            <w:r>
              <w:rPr>
                <w:spacing w:val="-6"/>
              </w:rPr>
              <w:t xml:space="preserve"> </w:t>
            </w:r>
            <w:r>
              <w:t>the</w:t>
            </w:r>
            <w:r>
              <w:rPr>
                <w:spacing w:val="-6"/>
              </w:rPr>
              <w:t xml:space="preserve"> </w:t>
            </w:r>
            <w:r>
              <w:t>compliance</w:t>
            </w:r>
            <w:r>
              <w:rPr>
                <w:spacing w:val="-7"/>
              </w:rPr>
              <w:t xml:space="preserve"> </w:t>
            </w:r>
            <w:r>
              <w:t>supplement</w:t>
            </w:r>
            <w:r>
              <w:rPr>
                <w:spacing w:val="-6"/>
              </w:rPr>
              <w:t xml:space="preserve"> </w:t>
            </w:r>
            <w:r>
              <w:t>at</w:t>
            </w:r>
            <w:r>
              <w:rPr>
                <w:spacing w:val="-6"/>
              </w:rPr>
              <w:t xml:space="preserve"> </w:t>
            </w:r>
            <w:r>
              <w:t>FAM</w:t>
            </w:r>
            <w:r>
              <w:rPr>
                <w:spacing w:val="-7"/>
              </w:rPr>
              <w:t xml:space="preserve"> </w:t>
            </w:r>
            <w:r>
              <w:rPr>
                <w:spacing w:val="-4"/>
              </w:rPr>
              <w:t>808.</w:t>
            </w:r>
          </w:p>
        </w:tc>
        <w:tc>
          <w:tcPr>
            <w:tcW w:w="1319" w:type="dxa"/>
            <w:vMerge/>
            <w:tcBorders>
              <w:top w:val="nil"/>
              <w:left w:val="single" w:sz="6" w:space="0" w:color="000000"/>
              <w:bottom w:val="double" w:sz="6" w:space="0" w:color="000000"/>
              <w:right w:val="double" w:sz="6" w:space="0" w:color="000000"/>
            </w:tcBorders>
          </w:tcPr>
          <w:p w14:paraId="0DFDB643" w14:textId="77777777" w:rsidR="00046465" w:rsidRDefault="00046465">
            <w:pPr>
              <w:rPr>
                <w:sz w:val="2"/>
                <w:szCs w:val="2"/>
              </w:rPr>
            </w:pPr>
          </w:p>
        </w:tc>
      </w:tr>
    </w:tbl>
    <w:p w14:paraId="0DFDB645" w14:textId="77777777" w:rsidR="00046465" w:rsidRDefault="00046465">
      <w:pPr>
        <w:rPr>
          <w:sz w:val="2"/>
          <w:szCs w:val="2"/>
        </w:rPr>
        <w:sectPr w:rsidR="00046465">
          <w:pgSz w:w="12240" w:h="15840"/>
          <w:pgMar w:top="1300" w:right="720" w:bottom="940" w:left="1080" w:header="721" w:footer="742" w:gutter="0"/>
          <w:cols w:space="720"/>
        </w:sectPr>
      </w:pPr>
    </w:p>
    <w:tbl>
      <w:tblPr>
        <w:tblW w:w="0" w:type="auto"/>
        <w:tblInd w:w="3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44"/>
        <w:gridCol w:w="1319"/>
      </w:tblGrid>
      <w:tr w:rsidR="00046465" w14:paraId="0DFDB648" w14:textId="77777777">
        <w:trPr>
          <w:trHeight w:val="120"/>
        </w:trPr>
        <w:tc>
          <w:tcPr>
            <w:tcW w:w="8044" w:type="dxa"/>
            <w:tcBorders>
              <w:left w:val="nil"/>
              <w:bottom w:val="double" w:sz="6" w:space="0" w:color="000000"/>
              <w:right w:val="nil"/>
            </w:tcBorders>
          </w:tcPr>
          <w:p w14:paraId="0DFDB646" w14:textId="77777777" w:rsidR="00046465" w:rsidRDefault="00046465">
            <w:pPr>
              <w:pStyle w:val="TableParagraph"/>
              <w:rPr>
                <w:rFonts w:ascii="Times New Roman"/>
                <w:sz w:val="6"/>
              </w:rPr>
            </w:pPr>
          </w:p>
        </w:tc>
        <w:tc>
          <w:tcPr>
            <w:tcW w:w="1319" w:type="dxa"/>
            <w:tcBorders>
              <w:left w:val="nil"/>
              <w:bottom w:val="double" w:sz="6" w:space="0" w:color="000000"/>
              <w:right w:val="nil"/>
            </w:tcBorders>
          </w:tcPr>
          <w:p w14:paraId="0DFDB647" w14:textId="77777777" w:rsidR="00046465" w:rsidRDefault="00046465">
            <w:pPr>
              <w:pStyle w:val="TableParagraph"/>
              <w:rPr>
                <w:rFonts w:ascii="Times New Roman"/>
                <w:sz w:val="6"/>
              </w:rPr>
            </w:pPr>
          </w:p>
        </w:tc>
      </w:tr>
      <w:tr w:rsidR="00046465" w14:paraId="0DFDB64B" w14:textId="77777777">
        <w:trPr>
          <w:trHeight w:val="540"/>
        </w:trPr>
        <w:tc>
          <w:tcPr>
            <w:tcW w:w="8044" w:type="dxa"/>
            <w:tcBorders>
              <w:top w:val="double" w:sz="6" w:space="0" w:color="000000"/>
              <w:left w:val="double" w:sz="6" w:space="0" w:color="000000"/>
              <w:bottom w:val="double" w:sz="6" w:space="0" w:color="000000"/>
              <w:right w:val="single" w:sz="6" w:space="0" w:color="000000"/>
            </w:tcBorders>
          </w:tcPr>
          <w:p w14:paraId="0DFDB649" w14:textId="77777777" w:rsidR="00046465" w:rsidRDefault="008134EB">
            <w:pPr>
              <w:pStyle w:val="TableParagraph"/>
              <w:spacing w:before="144"/>
              <w:ind w:right="362"/>
              <w:jc w:val="center"/>
              <w:rPr>
                <w:b/>
              </w:rPr>
            </w:pPr>
            <w:r>
              <w:rPr>
                <w:b/>
              </w:rPr>
              <w:t>Description</w:t>
            </w:r>
            <w:r>
              <w:rPr>
                <w:b/>
                <w:spacing w:val="-9"/>
              </w:rPr>
              <w:t xml:space="preserve"> </w:t>
            </w:r>
            <w:r>
              <w:rPr>
                <w:b/>
              </w:rPr>
              <w:t>of</w:t>
            </w:r>
            <w:r>
              <w:rPr>
                <w:b/>
                <w:spacing w:val="-9"/>
              </w:rPr>
              <w:t xml:space="preserve"> </w:t>
            </w:r>
            <w:r>
              <w:rPr>
                <w:b/>
                <w:spacing w:val="-5"/>
              </w:rPr>
              <w:t>law</w:t>
            </w:r>
          </w:p>
        </w:tc>
        <w:tc>
          <w:tcPr>
            <w:tcW w:w="1319" w:type="dxa"/>
            <w:tcBorders>
              <w:top w:val="double" w:sz="6" w:space="0" w:color="000000"/>
              <w:left w:val="single" w:sz="6" w:space="0" w:color="000000"/>
              <w:bottom w:val="double" w:sz="6" w:space="0" w:color="000000"/>
              <w:right w:val="double" w:sz="6" w:space="0" w:color="000000"/>
            </w:tcBorders>
          </w:tcPr>
          <w:p w14:paraId="0DFDB64A" w14:textId="77777777" w:rsidR="00046465" w:rsidRDefault="008134EB">
            <w:pPr>
              <w:pStyle w:val="TableParagraph"/>
              <w:spacing w:before="144"/>
              <w:ind w:left="145"/>
              <w:rPr>
                <w:b/>
              </w:rPr>
            </w:pPr>
            <w:r>
              <w:rPr>
                <w:b/>
              </w:rPr>
              <w:t>Yes</w:t>
            </w:r>
            <w:r>
              <w:rPr>
                <w:b/>
                <w:spacing w:val="-3"/>
              </w:rPr>
              <w:t xml:space="preserve"> </w:t>
            </w:r>
            <w:r>
              <w:rPr>
                <w:b/>
              </w:rPr>
              <w:t>/</w:t>
            </w:r>
            <w:r>
              <w:rPr>
                <w:b/>
                <w:spacing w:val="-3"/>
              </w:rPr>
              <w:t xml:space="preserve"> </w:t>
            </w:r>
            <w:r>
              <w:rPr>
                <w:b/>
                <w:spacing w:val="-5"/>
              </w:rPr>
              <w:t>No</w:t>
            </w:r>
          </w:p>
        </w:tc>
      </w:tr>
      <w:tr w:rsidR="00046465" w14:paraId="0DFDB660" w14:textId="77777777">
        <w:trPr>
          <w:trHeight w:val="3197"/>
        </w:trPr>
        <w:tc>
          <w:tcPr>
            <w:tcW w:w="8044" w:type="dxa"/>
            <w:tcBorders>
              <w:top w:val="double" w:sz="6" w:space="0" w:color="000000"/>
              <w:left w:val="double" w:sz="6" w:space="0" w:color="000000"/>
              <w:bottom w:val="nil"/>
              <w:right w:val="single" w:sz="6" w:space="0" w:color="000000"/>
            </w:tcBorders>
          </w:tcPr>
          <w:p w14:paraId="0DFDB64C" w14:textId="77777777" w:rsidR="00046465" w:rsidRDefault="008134EB">
            <w:pPr>
              <w:pStyle w:val="TableParagraph"/>
              <w:spacing w:before="145"/>
              <w:ind w:left="131"/>
              <w:rPr>
                <w:b/>
              </w:rPr>
            </w:pPr>
            <w:r>
              <w:rPr>
                <w:b/>
              </w:rPr>
              <w:t>Federal</w:t>
            </w:r>
            <w:r>
              <w:rPr>
                <w:b/>
                <w:spacing w:val="-4"/>
              </w:rPr>
              <w:t xml:space="preserve"> </w:t>
            </w:r>
            <w:r>
              <w:rPr>
                <w:b/>
              </w:rPr>
              <w:t>Employees</w:t>
            </w:r>
            <w:r>
              <w:rPr>
                <w:b/>
                <w:spacing w:val="-4"/>
              </w:rPr>
              <w:t xml:space="preserve"> </w:t>
            </w:r>
            <w:r>
              <w:rPr>
                <w:b/>
              </w:rPr>
              <w:t>Health</w:t>
            </w:r>
            <w:r>
              <w:rPr>
                <w:b/>
                <w:spacing w:val="-4"/>
              </w:rPr>
              <w:t xml:space="preserve"> </w:t>
            </w:r>
            <w:r>
              <w:rPr>
                <w:b/>
              </w:rPr>
              <w:t>Benefits</w:t>
            </w:r>
            <w:r>
              <w:rPr>
                <w:b/>
                <w:spacing w:val="-4"/>
              </w:rPr>
              <w:t xml:space="preserve"> </w:t>
            </w:r>
            <w:r>
              <w:rPr>
                <w:b/>
              </w:rPr>
              <w:t>Act</w:t>
            </w:r>
            <w:r>
              <w:rPr>
                <w:b/>
                <w:spacing w:val="-4"/>
              </w:rPr>
              <w:t xml:space="preserve"> </w:t>
            </w:r>
            <w:r>
              <w:rPr>
                <w:b/>
              </w:rPr>
              <w:t>(FEHBA),</w:t>
            </w:r>
            <w:r>
              <w:rPr>
                <w:b/>
                <w:spacing w:val="-4"/>
              </w:rPr>
              <w:t xml:space="preserve"> </w:t>
            </w:r>
            <w:r>
              <w:rPr>
                <w:b/>
              </w:rPr>
              <w:t>as</w:t>
            </w:r>
            <w:r>
              <w:rPr>
                <w:b/>
                <w:spacing w:val="-4"/>
              </w:rPr>
              <w:t xml:space="preserve"> </w:t>
            </w:r>
            <w:r>
              <w:rPr>
                <w:b/>
              </w:rPr>
              <w:t>provided</w:t>
            </w:r>
            <w:r>
              <w:rPr>
                <w:b/>
                <w:spacing w:val="-4"/>
              </w:rPr>
              <w:t xml:space="preserve"> </w:t>
            </w:r>
            <w:r>
              <w:rPr>
                <w:b/>
              </w:rPr>
              <w:t>in</w:t>
            </w:r>
            <w:r>
              <w:rPr>
                <w:b/>
                <w:spacing w:val="-4"/>
              </w:rPr>
              <w:t xml:space="preserve"> </w:t>
            </w:r>
            <w:r>
              <w:rPr>
                <w:b/>
              </w:rPr>
              <w:t>5</w:t>
            </w:r>
            <w:r>
              <w:rPr>
                <w:b/>
                <w:spacing w:val="-5"/>
              </w:rPr>
              <w:t xml:space="preserve"> </w:t>
            </w:r>
            <w:r>
              <w:rPr>
                <w:b/>
              </w:rPr>
              <w:t>U.S.C. chapter 89</w:t>
            </w:r>
          </w:p>
          <w:p w14:paraId="0DFDB64D" w14:textId="77777777" w:rsidR="00046465" w:rsidRDefault="008134EB">
            <w:pPr>
              <w:pStyle w:val="TableParagraph"/>
              <w:spacing w:before="143"/>
              <w:ind w:left="131" w:right="151"/>
            </w:pPr>
            <w:r>
              <w:t>This law provides health insurance coverage to employees who elect health insurance</w:t>
            </w:r>
            <w:r>
              <w:rPr>
                <w:spacing w:val="-1"/>
              </w:rPr>
              <w:t xml:space="preserve"> </w:t>
            </w:r>
            <w:r>
              <w:t>benefits.</w:t>
            </w:r>
            <w:r>
              <w:rPr>
                <w:spacing w:val="-1"/>
              </w:rPr>
              <w:t xml:space="preserve"> </w:t>
            </w:r>
            <w:r>
              <w:t>For</w:t>
            </w:r>
            <w:r>
              <w:rPr>
                <w:spacing w:val="-3"/>
              </w:rPr>
              <w:t xml:space="preserve"> </w:t>
            </w:r>
            <w:r>
              <w:t>each</w:t>
            </w:r>
            <w:r>
              <w:rPr>
                <w:spacing w:val="-1"/>
              </w:rPr>
              <w:t xml:space="preserve"> </w:t>
            </w:r>
            <w:r>
              <w:t>employee</w:t>
            </w:r>
            <w:r>
              <w:rPr>
                <w:spacing w:val="-1"/>
              </w:rPr>
              <w:t xml:space="preserve"> </w:t>
            </w:r>
            <w:r>
              <w:t>who</w:t>
            </w:r>
            <w:r>
              <w:rPr>
                <w:spacing w:val="-1"/>
              </w:rPr>
              <w:t xml:space="preserve"> </w:t>
            </w:r>
            <w:r>
              <w:t>elects</w:t>
            </w:r>
            <w:r>
              <w:rPr>
                <w:spacing w:val="-1"/>
              </w:rPr>
              <w:t xml:space="preserve"> </w:t>
            </w:r>
            <w:r>
              <w:t>coverage,</w:t>
            </w:r>
            <w:r>
              <w:rPr>
                <w:spacing w:val="-1"/>
              </w:rPr>
              <w:t xml:space="preserve"> </w:t>
            </w:r>
            <w:r>
              <w:t>the</w:t>
            </w:r>
            <w:r>
              <w:rPr>
                <w:spacing w:val="-1"/>
              </w:rPr>
              <w:t xml:space="preserve"> </w:t>
            </w:r>
            <w:r>
              <w:t>entity</w:t>
            </w:r>
            <w:r>
              <w:rPr>
                <w:spacing w:val="-2"/>
              </w:rPr>
              <w:t xml:space="preserve"> </w:t>
            </w:r>
            <w:r>
              <w:t>pays</w:t>
            </w:r>
            <w:r>
              <w:rPr>
                <w:spacing w:val="-1"/>
              </w:rPr>
              <w:t xml:space="preserve"> </w:t>
            </w:r>
            <w:r>
              <w:t>an amount</w:t>
            </w:r>
            <w:r>
              <w:rPr>
                <w:spacing w:val="-4"/>
              </w:rPr>
              <w:t xml:space="preserve"> </w:t>
            </w:r>
            <w:r>
              <w:t>set</w:t>
            </w:r>
            <w:r>
              <w:rPr>
                <w:spacing w:val="-4"/>
              </w:rPr>
              <w:t xml:space="preserve"> </w:t>
            </w:r>
            <w:r>
              <w:t>by</w:t>
            </w:r>
            <w:r>
              <w:rPr>
                <w:spacing w:val="-4"/>
              </w:rPr>
              <w:t xml:space="preserve"> </w:t>
            </w:r>
            <w:r>
              <w:t>the</w:t>
            </w:r>
            <w:r>
              <w:rPr>
                <w:spacing w:val="-4"/>
              </w:rPr>
              <w:t xml:space="preserve"> </w:t>
            </w:r>
            <w:r>
              <w:t>Office</w:t>
            </w:r>
            <w:r>
              <w:rPr>
                <w:spacing w:val="-4"/>
              </w:rPr>
              <w:t xml:space="preserve"> </w:t>
            </w:r>
            <w:r>
              <w:t>of</w:t>
            </w:r>
            <w:r>
              <w:rPr>
                <w:spacing w:val="-4"/>
              </w:rPr>
              <w:t xml:space="preserve"> </w:t>
            </w:r>
            <w:r>
              <w:t>Personnel</w:t>
            </w:r>
            <w:r>
              <w:rPr>
                <w:spacing w:val="-4"/>
              </w:rPr>
              <w:t xml:space="preserve"> </w:t>
            </w:r>
            <w:r>
              <w:t>Management</w:t>
            </w:r>
            <w:r>
              <w:rPr>
                <w:spacing w:val="-4"/>
              </w:rPr>
              <w:t xml:space="preserve"> </w:t>
            </w:r>
            <w:r>
              <w:t>(OPM)</w:t>
            </w:r>
            <w:r>
              <w:rPr>
                <w:spacing w:val="-3"/>
              </w:rPr>
              <w:t xml:space="preserve"> </w:t>
            </w:r>
            <w:r>
              <w:t>for</w:t>
            </w:r>
            <w:r>
              <w:rPr>
                <w:spacing w:val="-4"/>
              </w:rPr>
              <w:t xml:space="preserve"> </w:t>
            </w:r>
            <w:r>
              <w:t>health</w:t>
            </w:r>
            <w:r>
              <w:rPr>
                <w:spacing w:val="-4"/>
              </w:rPr>
              <w:t xml:space="preserve"> </w:t>
            </w:r>
            <w:r>
              <w:t>insurance costs. The entity portion cannot exceed 75 percent of the insurance cost. For most employees, the entity contribution shall be paid from the appropriation account or fund used to pay the employee. The employee pays the remainder of the total cost. The entity withholds the amount of the employee’s portion of the cost from the employee’s pay and remits this amount, along with its own contribution, to Treasury for deposit into the Employees Health Benefits Fund.</w:t>
            </w:r>
          </w:p>
        </w:tc>
        <w:tc>
          <w:tcPr>
            <w:tcW w:w="1319" w:type="dxa"/>
            <w:vMerge w:val="restart"/>
            <w:tcBorders>
              <w:top w:val="double" w:sz="6" w:space="0" w:color="000000"/>
              <w:left w:val="single" w:sz="6" w:space="0" w:color="000000"/>
              <w:bottom w:val="double" w:sz="6" w:space="0" w:color="000000"/>
              <w:right w:val="double" w:sz="6" w:space="0" w:color="000000"/>
            </w:tcBorders>
          </w:tcPr>
          <w:p w14:paraId="0DFDB64E" w14:textId="77777777" w:rsidR="00046465" w:rsidRDefault="00046465">
            <w:pPr>
              <w:pStyle w:val="TableParagraph"/>
              <w:rPr>
                <w:sz w:val="20"/>
              </w:rPr>
            </w:pPr>
          </w:p>
          <w:p w14:paraId="0DFDB64F" w14:textId="77777777" w:rsidR="00046465" w:rsidRDefault="00046465">
            <w:pPr>
              <w:pStyle w:val="TableParagraph"/>
              <w:rPr>
                <w:sz w:val="20"/>
              </w:rPr>
            </w:pPr>
          </w:p>
          <w:p w14:paraId="0DFDB650" w14:textId="77777777" w:rsidR="00046465" w:rsidRDefault="00046465">
            <w:pPr>
              <w:pStyle w:val="TableParagraph"/>
              <w:rPr>
                <w:sz w:val="20"/>
              </w:rPr>
            </w:pPr>
          </w:p>
          <w:p w14:paraId="0DFDB651" w14:textId="77777777" w:rsidR="00046465" w:rsidRDefault="00046465">
            <w:pPr>
              <w:pStyle w:val="TableParagraph"/>
              <w:rPr>
                <w:sz w:val="20"/>
              </w:rPr>
            </w:pPr>
          </w:p>
          <w:p w14:paraId="0DFDB652" w14:textId="77777777" w:rsidR="00046465" w:rsidRDefault="00046465">
            <w:pPr>
              <w:pStyle w:val="TableParagraph"/>
              <w:rPr>
                <w:sz w:val="20"/>
              </w:rPr>
            </w:pPr>
          </w:p>
          <w:p w14:paraId="0DFDB653" w14:textId="77777777" w:rsidR="00046465" w:rsidRDefault="00046465">
            <w:pPr>
              <w:pStyle w:val="TableParagraph"/>
              <w:rPr>
                <w:sz w:val="20"/>
              </w:rPr>
            </w:pPr>
          </w:p>
          <w:p w14:paraId="0DFDB654" w14:textId="77777777" w:rsidR="00046465" w:rsidRDefault="00046465">
            <w:pPr>
              <w:pStyle w:val="TableParagraph"/>
              <w:rPr>
                <w:sz w:val="20"/>
              </w:rPr>
            </w:pPr>
          </w:p>
          <w:p w14:paraId="0DFDB655" w14:textId="77777777" w:rsidR="00046465" w:rsidRDefault="00046465">
            <w:pPr>
              <w:pStyle w:val="TableParagraph"/>
              <w:rPr>
                <w:sz w:val="20"/>
              </w:rPr>
            </w:pPr>
          </w:p>
          <w:p w14:paraId="0DFDB656" w14:textId="77777777" w:rsidR="00046465" w:rsidRDefault="00046465">
            <w:pPr>
              <w:pStyle w:val="TableParagraph"/>
              <w:rPr>
                <w:sz w:val="20"/>
              </w:rPr>
            </w:pPr>
          </w:p>
          <w:p w14:paraId="0DFDB657" w14:textId="77777777" w:rsidR="00046465" w:rsidRDefault="00046465">
            <w:pPr>
              <w:pStyle w:val="TableParagraph"/>
              <w:rPr>
                <w:sz w:val="20"/>
              </w:rPr>
            </w:pPr>
          </w:p>
          <w:p w14:paraId="0DFDB658" w14:textId="77777777" w:rsidR="00046465" w:rsidRDefault="00046465">
            <w:pPr>
              <w:pStyle w:val="TableParagraph"/>
              <w:rPr>
                <w:sz w:val="20"/>
              </w:rPr>
            </w:pPr>
          </w:p>
          <w:p w14:paraId="0DFDB659" w14:textId="77777777" w:rsidR="00046465" w:rsidRDefault="00046465">
            <w:pPr>
              <w:pStyle w:val="TableParagraph"/>
              <w:rPr>
                <w:sz w:val="20"/>
              </w:rPr>
            </w:pPr>
          </w:p>
          <w:p w14:paraId="0DFDB65A" w14:textId="77777777" w:rsidR="00046465" w:rsidRDefault="00046465">
            <w:pPr>
              <w:pStyle w:val="TableParagraph"/>
              <w:rPr>
                <w:sz w:val="20"/>
              </w:rPr>
            </w:pPr>
          </w:p>
          <w:p w14:paraId="0DFDB65B" w14:textId="77777777" w:rsidR="00046465" w:rsidRDefault="00046465">
            <w:pPr>
              <w:pStyle w:val="TableParagraph"/>
              <w:rPr>
                <w:sz w:val="20"/>
              </w:rPr>
            </w:pPr>
          </w:p>
          <w:p w14:paraId="0DFDB65C" w14:textId="77777777" w:rsidR="00046465" w:rsidRDefault="00046465">
            <w:pPr>
              <w:pStyle w:val="TableParagraph"/>
              <w:rPr>
                <w:sz w:val="20"/>
              </w:rPr>
            </w:pPr>
          </w:p>
          <w:p w14:paraId="0DFDB65D" w14:textId="77777777" w:rsidR="00046465" w:rsidRDefault="00046465">
            <w:pPr>
              <w:pStyle w:val="TableParagraph"/>
              <w:rPr>
                <w:sz w:val="20"/>
              </w:rPr>
            </w:pPr>
          </w:p>
          <w:p w14:paraId="0DFDB65E" w14:textId="77777777" w:rsidR="00046465" w:rsidRDefault="00046465">
            <w:pPr>
              <w:pStyle w:val="TableParagraph"/>
              <w:spacing w:before="91"/>
              <w:rPr>
                <w:sz w:val="20"/>
              </w:rPr>
            </w:pPr>
          </w:p>
          <w:p w14:paraId="0DFDB65F" w14:textId="77777777" w:rsidR="00046465" w:rsidRDefault="008134EB">
            <w:pPr>
              <w:pStyle w:val="TableParagraph"/>
              <w:spacing w:line="20" w:lineRule="exact"/>
              <w:ind w:left="145"/>
              <w:rPr>
                <w:sz w:val="2"/>
              </w:rPr>
            </w:pPr>
            <w:r>
              <w:rPr>
                <w:noProof/>
                <w:sz w:val="2"/>
              </w:rPr>
              <mc:AlternateContent>
                <mc:Choice Requires="wpg">
                  <w:drawing>
                    <wp:inline distT="0" distB="0" distL="0" distR="0" wp14:anchorId="0DFDD5D1" wp14:editId="0DFDD5D2">
                      <wp:extent cx="621665" cy="8890"/>
                      <wp:effectExtent l="9525" t="0" r="0" b="635"/>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469" name="Graphic 469"/>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7794607" id="Group 468"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CJolH5wAgAAjwUAAA4AAAAAAAAAAAAAAAAA&#10;LgIAAGRycy9lMm9Eb2MueG1sUEsBAi0AFAAGAAgAAAAhABFF7qTaAAAAAgEAAA8AAAAAAAAAAAAA&#10;AAAAygQAAGRycy9kb3ducmV2LnhtbFBLBQYAAAAABAAEAPMAAADRBQAAAAA=&#10;">
                      <v:shape id="Graphic 469"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" path="m,l621371,e" filled="f" strokeweight=".24403mm">
                        <v:path arrowok="t"/>
                      </v:shape>
                      <w10:anchorlock/>
                    </v:group>
                  </w:pict>
                </mc:Fallback>
              </mc:AlternateContent>
            </w:r>
          </w:p>
        </w:tc>
      </w:tr>
      <w:tr w:rsidR="00046465" w14:paraId="0DFDB663" w14:textId="77777777">
        <w:trPr>
          <w:trHeight w:val="1254"/>
        </w:trPr>
        <w:tc>
          <w:tcPr>
            <w:tcW w:w="8044" w:type="dxa"/>
            <w:tcBorders>
              <w:top w:val="nil"/>
              <w:left w:val="double" w:sz="6" w:space="0" w:color="000000"/>
              <w:bottom w:val="nil"/>
              <w:right w:val="single" w:sz="6" w:space="0" w:color="000000"/>
            </w:tcBorders>
          </w:tcPr>
          <w:p w14:paraId="0DFDB661" w14:textId="77777777" w:rsidR="00046465" w:rsidRDefault="008134EB">
            <w:pPr>
              <w:pStyle w:val="TableParagraph"/>
              <w:spacing w:before="118"/>
              <w:ind w:left="131" w:right="170"/>
              <w:rPr>
                <w:i/>
              </w:rPr>
            </w:pPr>
            <w:r>
              <w:rPr>
                <w:i/>
              </w:rPr>
              <w:t>Does the entity’s expense for health insurance costs for the audit period</w:t>
            </w:r>
            <w:r>
              <w:rPr>
                <w:i/>
                <w:spacing w:val="40"/>
              </w:rPr>
              <w:t xml:space="preserve"> </w:t>
            </w:r>
            <w:r>
              <w:rPr>
                <w:i/>
              </w:rPr>
              <w:t>exceed materiality, or did the auditor determine that the Federal Employees Health</w:t>
            </w:r>
            <w:r>
              <w:rPr>
                <w:i/>
                <w:spacing w:val="-4"/>
              </w:rPr>
              <w:t xml:space="preserve"> </w:t>
            </w:r>
            <w:r>
              <w:rPr>
                <w:i/>
              </w:rPr>
              <w:t>Benefits</w:t>
            </w:r>
            <w:r>
              <w:rPr>
                <w:i/>
                <w:spacing w:val="-4"/>
              </w:rPr>
              <w:t xml:space="preserve"> </w:t>
            </w:r>
            <w:r>
              <w:rPr>
                <w:i/>
              </w:rPr>
              <w:t>Act</w:t>
            </w:r>
            <w:r>
              <w:rPr>
                <w:i/>
                <w:spacing w:val="-4"/>
              </w:rPr>
              <w:t xml:space="preserve"> </w:t>
            </w:r>
            <w:r>
              <w:rPr>
                <w:i/>
              </w:rPr>
              <w:t>has</w:t>
            </w:r>
            <w:r>
              <w:rPr>
                <w:i/>
                <w:spacing w:val="-5"/>
              </w:rPr>
              <w:t xml:space="preserve"> </w:t>
            </w:r>
            <w:r>
              <w:rPr>
                <w:i/>
              </w:rPr>
              <w:t>a</w:t>
            </w:r>
            <w:r>
              <w:rPr>
                <w:i/>
                <w:spacing w:val="-4"/>
              </w:rPr>
              <w:t xml:space="preserve"> </w:t>
            </w:r>
            <w:r>
              <w:rPr>
                <w:i/>
              </w:rPr>
              <w:t>direct</w:t>
            </w:r>
            <w:r>
              <w:rPr>
                <w:i/>
                <w:spacing w:val="-4"/>
              </w:rPr>
              <w:t xml:space="preserve"> </w:t>
            </w:r>
            <w:r>
              <w:rPr>
                <w:i/>
              </w:rPr>
              <w:t>effect</w:t>
            </w:r>
            <w:r>
              <w:rPr>
                <w:i/>
                <w:spacing w:val="-4"/>
              </w:rPr>
              <w:t xml:space="preserve"> </w:t>
            </w:r>
            <w:r>
              <w:rPr>
                <w:i/>
              </w:rPr>
              <w:t>on</w:t>
            </w:r>
            <w:r>
              <w:rPr>
                <w:i/>
                <w:spacing w:val="-4"/>
              </w:rPr>
              <w:t xml:space="preserve"> </w:t>
            </w:r>
            <w:r>
              <w:rPr>
                <w:i/>
              </w:rPr>
              <w:t>the</w:t>
            </w:r>
            <w:r>
              <w:rPr>
                <w:i/>
                <w:spacing w:val="-4"/>
              </w:rPr>
              <w:t xml:space="preserve"> </w:t>
            </w:r>
            <w:r>
              <w:rPr>
                <w:i/>
              </w:rPr>
              <w:t>determination</w:t>
            </w:r>
            <w:r>
              <w:rPr>
                <w:i/>
                <w:spacing w:val="-4"/>
              </w:rPr>
              <w:t xml:space="preserve"> </w:t>
            </w:r>
            <w:r>
              <w:rPr>
                <w:i/>
              </w:rPr>
              <w:t>of</w:t>
            </w:r>
            <w:r>
              <w:rPr>
                <w:i/>
                <w:spacing w:val="-4"/>
              </w:rPr>
              <w:t xml:space="preserve"> </w:t>
            </w:r>
            <w:r>
              <w:rPr>
                <w:i/>
              </w:rPr>
              <w:t>material</w:t>
            </w:r>
            <w:r>
              <w:rPr>
                <w:i/>
                <w:spacing w:val="-4"/>
              </w:rPr>
              <w:t xml:space="preserve"> </w:t>
            </w:r>
            <w:r>
              <w:rPr>
                <w:i/>
              </w:rPr>
              <w:t>amounts and disclosures in the entity’s financial statements?</w:t>
            </w:r>
          </w:p>
        </w:tc>
        <w:tc>
          <w:tcPr>
            <w:tcW w:w="1319" w:type="dxa"/>
            <w:vMerge/>
            <w:tcBorders>
              <w:top w:val="nil"/>
              <w:left w:val="single" w:sz="6" w:space="0" w:color="000000"/>
              <w:bottom w:val="double" w:sz="6" w:space="0" w:color="000000"/>
              <w:right w:val="double" w:sz="6" w:space="0" w:color="000000"/>
            </w:tcBorders>
          </w:tcPr>
          <w:p w14:paraId="0DFDB662" w14:textId="77777777" w:rsidR="00046465" w:rsidRDefault="00046465">
            <w:pPr>
              <w:rPr>
                <w:sz w:val="2"/>
                <w:szCs w:val="2"/>
              </w:rPr>
            </w:pPr>
          </w:p>
        </w:tc>
      </w:tr>
      <w:tr w:rsidR="00046465" w14:paraId="0DFDB667" w14:textId="77777777">
        <w:trPr>
          <w:trHeight w:val="1582"/>
        </w:trPr>
        <w:tc>
          <w:tcPr>
            <w:tcW w:w="8044" w:type="dxa"/>
            <w:tcBorders>
              <w:top w:val="nil"/>
              <w:left w:val="double" w:sz="6" w:space="0" w:color="000000"/>
              <w:bottom w:val="nil"/>
              <w:right w:val="single" w:sz="6" w:space="0" w:color="000000"/>
            </w:tcBorders>
          </w:tcPr>
          <w:p w14:paraId="0DFDB664" w14:textId="77777777" w:rsidR="00046465" w:rsidRDefault="008134EB">
            <w:pPr>
              <w:pStyle w:val="TableParagraph"/>
              <w:tabs>
                <w:tab w:val="left" w:pos="6807"/>
              </w:tabs>
              <w:spacing w:before="118"/>
              <w:ind w:left="4532"/>
            </w:pPr>
            <w:r>
              <w:rPr>
                <w:noProof/>
              </w:rPr>
              <mc:AlternateContent>
                <mc:Choice Requires="wpg">
                  <w:drawing>
                    <wp:anchor distT="0" distB="0" distL="0" distR="0" simplePos="0" relativeHeight="476102656" behindDoc="1" locked="0" layoutInCell="1" allowOverlap="1" wp14:anchorId="0DFDD5D3" wp14:editId="0DFDD5D4">
                      <wp:simplePos x="0" y="0"/>
                      <wp:positionH relativeFrom="column">
                        <wp:posOffset>2588514</wp:posOffset>
                      </wp:positionH>
                      <wp:positionV relativeFrom="paragraph">
                        <wp:posOffset>670786</wp:posOffset>
                      </wp:positionV>
                      <wp:extent cx="1295400" cy="3175"/>
                      <wp:effectExtent l="0" t="0" r="0" b="0"/>
                      <wp:wrapNone/>
                      <wp:docPr id="470" name="Group 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71" name="Graphic 471"/>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16DA63" id="Group 470" o:spid="_x0000_s1026" style="position:absolute;margin-left:203.8pt;margin-top:52.8pt;width:102pt;height:.25pt;z-index:-27213824;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">
                      <v:shape id="Graphic 471"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" path="m1295400,l,,,3048r1295400,l1295400,xe" fillcolor="black" stroked="f">
                        <v:path arrowok="t"/>
                      </v:shape>
                    </v:group>
                  </w:pict>
                </mc:Fallback>
              </mc:AlternateContent>
            </w:r>
            <w:r>
              <w:rPr>
                <w:noProof/>
              </w:rPr>
              <mc:AlternateContent>
                <mc:Choice Requires="wpg">
                  <w:drawing>
                    <wp:anchor distT="0" distB="0" distL="0" distR="0" simplePos="0" relativeHeight="476103168" behindDoc="1" locked="0" layoutInCell="1" allowOverlap="1" wp14:anchorId="0DFDD5D5" wp14:editId="0DFDD5D6">
                      <wp:simplePos x="0" y="0"/>
                      <wp:positionH relativeFrom="column">
                        <wp:posOffset>3960114</wp:posOffset>
                      </wp:positionH>
                      <wp:positionV relativeFrom="paragraph">
                        <wp:posOffset>670786</wp:posOffset>
                      </wp:positionV>
                      <wp:extent cx="1045844" cy="3175"/>
                      <wp:effectExtent l="0" t="0" r="0" b="0"/>
                      <wp:wrapNone/>
                      <wp:docPr id="47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473" name="Graphic 473"/>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7533635" id="Group 472" o:spid="_x0000_s1026" style="position:absolute;margin-left:311.8pt;margin-top:52.8pt;width:82.35pt;height:.25pt;z-index:-27213312;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">
                      <v:shape id="Graphic 473"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" path="m1045463,l,,,3048r1045463,l1045463,xe" fillcolor="black" stroked="f">
                        <v:path arrowok="t"/>
                      </v:shape>
                    </v:group>
                  </w:pict>
                </mc:Fallback>
              </mc:AlternateContent>
            </w:r>
            <w:r>
              <w:rPr>
                <w:noProof/>
              </w:rPr>
              <mc:AlternateContent>
                <mc:Choice Requires="wpg">
                  <w:drawing>
                    <wp:anchor distT="0" distB="0" distL="0" distR="0" simplePos="0" relativeHeight="476103680" behindDoc="1" locked="0" layoutInCell="1" allowOverlap="1" wp14:anchorId="0DFDD5D7" wp14:editId="0DFDD5D8">
                      <wp:simplePos x="0" y="0"/>
                      <wp:positionH relativeFrom="column">
                        <wp:posOffset>2588514</wp:posOffset>
                      </wp:positionH>
                      <wp:positionV relativeFrom="paragraph">
                        <wp:posOffset>1017496</wp:posOffset>
                      </wp:positionV>
                      <wp:extent cx="1295400" cy="317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75" name="Graphic 475"/>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F8D659" id="Group 474" o:spid="_x0000_s1026" style="position:absolute;margin-left:203.8pt;margin-top:80.1pt;width:102pt;height:.25pt;z-index:-27212800;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">
                      <v:shape id="Graphic 475"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" path="m1295400,l,,,3048r1295400,l1295400,xe" fillcolor="black" stroked="f">
                        <v:path arrowok="t"/>
                      </v:shape>
                    </v:group>
                  </w:pict>
                </mc:Fallback>
              </mc:AlternateContent>
            </w:r>
            <w:r>
              <w:rPr>
                <w:noProof/>
              </w:rPr>
              <mc:AlternateContent>
                <mc:Choice Requires="wpg">
                  <w:drawing>
                    <wp:anchor distT="0" distB="0" distL="0" distR="0" simplePos="0" relativeHeight="476104192" behindDoc="1" locked="0" layoutInCell="1" allowOverlap="1" wp14:anchorId="0DFDD5D9" wp14:editId="0DFDD5DA">
                      <wp:simplePos x="0" y="0"/>
                      <wp:positionH relativeFrom="column">
                        <wp:posOffset>3960114</wp:posOffset>
                      </wp:positionH>
                      <wp:positionV relativeFrom="paragraph">
                        <wp:posOffset>1017496</wp:posOffset>
                      </wp:positionV>
                      <wp:extent cx="1045844" cy="3175"/>
                      <wp:effectExtent l="0" t="0" r="0" b="0"/>
                      <wp:wrapNone/>
                      <wp:docPr id="476"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477" name="Graphic 477"/>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2EF1F7" id="Group 476" o:spid="_x0000_s1026" style="position:absolute;margin-left:311.8pt;margin-top:80.1pt;width:82.35pt;height:.25pt;z-index:-27212288;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">
                      <v:shape id="Graphic 477"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" path="m1045463,l,,,3048r1045463,l1045463,xe" fillcolor="black" stroked="f">
                        <v:path arrowok="t"/>
                      </v:shape>
                    </v:group>
                  </w:pict>
                </mc:Fallback>
              </mc:AlternateContent>
            </w:r>
            <w:r>
              <w:rPr>
                <w:spacing w:val="-2"/>
                <w:u w:val="single"/>
              </w:rPr>
              <w:t>Preliminary</w:t>
            </w:r>
            <w:r>
              <w:tab/>
            </w:r>
            <w:r>
              <w:rPr>
                <w:spacing w:val="-2"/>
                <w:u w:val="single"/>
              </w:rPr>
              <w:t>Final</w:t>
            </w:r>
          </w:p>
          <w:p w14:paraId="0DFDB665" w14:textId="77777777" w:rsidR="00046465" w:rsidRDefault="008134EB">
            <w:pPr>
              <w:pStyle w:val="TableParagraph"/>
              <w:spacing w:before="57" w:line="546" w:lineRule="exact"/>
              <w:ind w:left="299" w:right="4319"/>
            </w:pPr>
            <w:r>
              <w:t>Expense</w:t>
            </w:r>
            <w:r>
              <w:rPr>
                <w:spacing w:val="-13"/>
              </w:rPr>
              <w:t xml:space="preserve"> </w:t>
            </w:r>
            <w:r>
              <w:t>for</w:t>
            </w:r>
            <w:r>
              <w:rPr>
                <w:spacing w:val="-14"/>
              </w:rPr>
              <w:t xml:space="preserve"> </w:t>
            </w:r>
            <w:r>
              <w:t>health</w:t>
            </w:r>
            <w:r>
              <w:rPr>
                <w:spacing w:val="-13"/>
              </w:rPr>
              <w:t xml:space="preserve"> </w:t>
            </w:r>
            <w:r>
              <w:t xml:space="preserve">insurance </w:t>
            </w:r>
            <w:r>
              <w:rPr>
                <w:spacing w:val="-2"/>
              </w:rPr>
              <w:t>Materiality</w:t>
            </w:r>
          </w:p>
        </w:tc>
        <w:tc>
          <w:tcPr>
            <w:tcW w:w="1319" w:type="dxa"/>
            <w:vMerge/>
            <w:tcBorders>
              <w:top w:val="nil"/>
              <w:left w:val="single" w:sz="6" w:space="0" w:color="000000"/>
              <w:bottom w:val="double" w:sz="6" w:space="0" w:color="000000"/>
              <w:right w:val="double" w:sz="6" w:space="0" w:color="000000"/>
            </w:tcBorders>
          </w:tcPr>
          <w:p w14:paraId="0DFDB666" w14:textId="77777777" w:rsidR="00046465" w:rsidRDefault="00046465">
            <w:pPr>
              <w:rPr>
                <w:sz w:val="2"/>
                <w:szCs w:val="2"/>
              </w:rPr>
            </w:pPr>
          </w:p>
        </w:tc>
      </w:tr>
      <w:tr w:rsidR="00046465" w14:paraId="0DFDB66C" w14:textId="77777777">
        <w:trPr>
          <w:trHeight w:val="992"/>
        </w:trPr>
        <w:tc>
          <w:tcPr>
            <w:tcW w:w="8044" w:type="dxa"/>
            <w:tcBorders>
              <w:top w:val="nil"/>
              <w:left w:val="double" w:sz="6" w:space="0" w:color="000000"/>
              <w:bottom w:val="double" w:sz="6" w:space="0" w:color="000000"/>
              <w:right w:val="single" w:sz="6" w:space="0" w:color="000000"/>
            </w:tcBorders>
          </w:tcPr>
          <w:p w14:paraId="0DFDB668" w14:textId="77777777" w:rsidR="00046465" w:rsidRDefault="00046465">
            <w:pPr>
              <w:pStyle w:val="TableParagraph"/>
            </w:pPr>
          </w:p>
          <w:p w14:paraId="0DFDB669" w14:textId="77777777" w:rsidR="00046465" w:rsidRDefault="00046465">
            <w:pPr>
              <w:pStyle w:val="TableParagraph"/>
              <w:spacing w:before="89"/>
            </w:pPr>
          </w:p>
          <w:p w14:paraId="0DFDB66A" w14:textId="77777777" w:rsidR="00046465" w:rsidRDefault="008134EB">
            <w:pPr>
              <w:pStyle w:val="TableParagraph"/>
              <w:ind w:left="131"/>
            </w:pPr>
            <w:r>
              <w:t>If</w:t>
            </w:r>
            <w:r>
              <w:rPr>
                <w:spacing w:val="-7"/>
              </w:rPr>
              <w:t xml:space="preserve"> </w:t>
            </w:r>
            <w:r>
              <w:t>yes,</w:t>
            </w:r>
            <w:r>
              <w:rPr>
                <w:spacing w:val="-6"/>
              </w:rPr>
              <w:t xml:space="preserve"> </w:t>
            </w:r>
            <w:r>
              <w:t>then</w:t>
            </w:r>
            <w:r>
              <w:rPr>
                <w:spacing w:val="-7"/>
              </w:rPr>
              <w:t xml:space="preserve"> </w:t>
            </w:r>
            <w:r>
              <w:t>complete</w:t>
            </w:r>
            <w:r>
              <w:rPr>
                <w:spacing w:val="-6"/>
              </w:rPr>
              <w:t xml:space="preserve"> </w:t>
            </w:r>
            <w:r>
              <w:t>the</w:t>
            </w:r>
            <w:r>
              <w:rPr>
                <w:spacing w:val="-6"/>
              </w:rPr>
              <w:t xml:space="preserve"> </w:t>
            </w:r>
            <w:r>
              <w:t>compliance</w:t>
            </w:r>
            <w:r>
              <w:rPr>
                <w:spacing w:val="-7"/>
              </w:rPr>
              <w:t xml:space="preserve"> </w:t>
            </w:r>
            <w:r>
              <w:t>supplement</w:t>
            </w:r>
            <w:r>
              <w:rPr>
                <w:spacing w:val="-6"/>
              </w:rPr>
              <w:t xml:space="preserve"> </w:t>
            </w:r>
            <w:r>
              <w:t>at</w:t>
            </w:r>
            <w:r>
              <w:rPr>
                <w:spacing w:val="-6"/>
              </w:rPr>
              <w:t xml:space="preserve"> </w:t>
            </w:r>
            <w:r>
              <w:t>FAM</w:t>
            </w:r>
            <w:r>
              <w:rPr>
                <w:spacing w:val="-7"/>
              </w:rPr>
              <w:t xml:space="preserve"> </w:t>
            </w:r>
            <w:r>
              <w:rPr>
                <w:spacing w:val="-4"/>
              </w:rPr>
              <w:t>809.</w:t>
            </w:r>
          </w:p>
        </w:tc>
        <w:tc>
          <w:tcPr>
            <w:tcW w:w="1319" w:type="dxa"/>
            <w:vMerge/>
            <w:tcBorders>
              <w:top w:val="nil"/>
              <w:left w:val="single" w:sz="6" w:space="0" w:color="000000"/>
              <w:bottom w:val="double" w:sz="6" w:space="0" w:color="000000"/>
              <w:right w:val="double" w:sz="6" w:space="0" w:color="000000"/>
            </w:tcBorders>
          </w:tcPr>
          <w:p w14:paraId="0DFDB66B" w14:textId="77777777" w:rsidR="00046465" w:rsidRDefault="00046465">
            <w:pPr>
              <w:rPr>
                <w:sz w:val="2"/>
                <w:szCs w:val="2"/>
              </w:rPr>
            </w:pPr>
          </w:p>
        </w:tc>
      </w:tr>
    </w:tbl>
    <w:p w14:paraId="0DFDB66D" w14:textId="77777777" w:rsidR="00046465" w:rsidRDefault="00046465">
      <w:pPr>
        <w:rPr>
          <w:sz w:val="2"/>
          <w:szCs w:val="2"/>
        </w:rPr>
        <w:sectPr w:rsidR="00046465">
          <w:pgSz w:w="12240" w:h="15840"/>
          <w:pgMar w:top="1300" w:right="720" w:bottom="940" w:left="1080" w:header="721" w:footer="742" w:gutter="0"/>
          <w:cols w:space="720"/>
        </w:sectPr>
      </w:pPr>
    </w:p>
    <w:tbl>
      <w:tblPr>
        <w:tblW w:w="0" w:type="auto"/>
        <w:tblInd w:w="3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44"/>
        <w:gridCol w:w="1319"/>
      </w:tblGrid>
      <w:tr w:rsidR="00046465" w14:paraId="0DFDB670" w14:textId="77777777">
        <w:trPr>
          <w:trHeight w:val="120"/>
        </w:trPr>
        <w:tc>
          <w:tcPr>
            <w:tcW w:w="8044" w:type="dxa"/>
            <w:tcBorders>
              <w:left w:val="nil"/>
              <w:bottom w:val="double" w:sz="6" w:space="0" w:color="000000"/>
              <w:right w:val="nil"/>
            </w:tcBorders>
          </w:tcPr>
          <w:p w14:paraId="0DFDB66E" w14:textId="77777777" w:rsidR="00046465" w:rsidRDefault="00046465">
            <w:pPr>
              <w:pStyle w:val="TableParagraph"/>
              <w:rPr>
                <w:rFonts w:ascii="Times New Roman"/>
                <w:sz w:val="6"/>
              </w:rPr>
            </w:pPr>
          </w:p>
        </w:tc>
        <w:tc>
          <w:tcPr>
            <w:tcW w:w="1319" w:type="dxa"/>
            <w:tcBorders>
              <w:left w:val="nil"/>
              <w:bottom w:val="double" w:sz="6" w:space="0" w:color="000000"/>
              <w:right w:val="nil"/>
            </w:tcBorders>
          </w:tcPr>
          <w:p w14:paraId="0DFDB66F" w14:textId="77777777" w:rsidR="00046465" w:rsidRDefault="00046465">
            <w:pPr>
              <w:pStyle w:val="TableParagraph"/>
              <w:rPr>
                <w:rFonts w:ascii="Times New Roman"/>
                <w:sz w:val="6"/>
              </w:rPr>
            </w:pPr>
          </w:p>
        </w:tc>
      </w:tr>
      <w:tr w:rsidR="00046465" w14:paraId="0DFDB673" w14:textId="77777777">
        <w:trPr>
          <w:trHeight w:val="540"/>
        </w:trPr>
        <w:tc>
          <w:tcPr>
            <w:tcW w:w="8044" w:type="dxa"/>
            <w:tcBorders>
              <w:top w:val="double" w:sz="6" w:space="0" w:color="000000"/>
              <w:left w:val="double" w:sz="6" w:space="0" w:color="000000"/>
              <w:bottom w:val="double" w:sz="6" w:space="0" w:color="000000"/>
              <w:right w:val="single" w:sz="6" w:space="0" w:color="000000"/>
            </w:tcBorders>
          </w:tcPr>
          <w:p w14:paraId="0DFDB671" w14:textId="77777777" w:rsidR="00046465" w:rsidRDefault="008134EB">
            <w:pPr>
              <w:pStyle w:val="TableParagraph"/>
              <w:spacing w:before="144"/>
              <w:ind w:right="362"/>
              <w:jc w:val="center"/>
              <w:rPr>
                <w:b/>
              </w:rPr>
            </w:pPr>
            <w:r>
              <w:rPr>
                <w:b/>
              </w:rPr>
              <w:t>Description</w:t>
            </w:r>
            <w:r>
              <w:rPr>
                <w:b/>
                <w:spacing w:val="-9"/>
              </w:rPr>
              <w:t xml:space="preserve"> </w:t>
            </w:r>
            <w:r>
              <w:rPr>
                <w:b/>
              </w:rPr>
              <w:t>of</w:t>
            </w:r>
            <w:r>
              <w:rPr>
                <w:b/>
                <w:spacing w:val="-9"/>
              </w:rPr>
              <w:t xml:space="preserve"> </w:t>
            </w:r>
            <w:r>
              <w:rPr>
                <w:b/>
                <w:spacing w:val="-5"/>
              </w:rPr>
              <w:t>law</w:t>
            </w:r>
          </w:p>
        </w:tc>
        <w:tc>
          <w:tcPr>
            <w:tcW w:w="1319" w:type="dxa"/>
            <w:tcBorders>
              <w:top w:val="double" w:sz="6" w:space="0" w:color="000000"/>
              <w:left w:val="single" w:sz="6" w:space="0" w:color="000000"/>
              <w:bottom w:val="double" w:sz="6" w:space="0" w:color="000000"/>
              <w:right w:val="double" w:sz="6" w:space="0" w:color="000000"/>
            </w:tcBorders>
          </w:tcPr>
          <w:p w14:paraId="0DFDB672" w14:textId="77777777" w:rsidR="00046465" w:rsidRDefault="008134EB">
            <w:pPr>
              <w:pStyle w:val="TableParagraph"/>
              <w:spacing w:before="144"/>
              <w:ind w:left="145"/>
              <w:rPr>
                <w:b/>
              </w:rPr>
            </w:pPr>
            <w:r>
              <w:rPr>
                <w:b/>
              </w:rPr>
              <w:t>Yes</w:t>
            </w:r>
            <w:r>
              <w:rPr>
                <w:b/>
                <w:spacing w:val="-3"/>
              </w:rPr>
              <w:t xml:space="preserve"> </w:t>
            </w:r>
            <w:r>
              <w:rPr>
                <w:b/>
              </w:rPr>
              <w:t>/</w:t>
            </w:r>
            <w:r>
              <w:rPr>
                <w:b/>
                <w:spacing w:val="-3"/>
              </w:rPr>
              <w:t xml:space="preserve"> </w:t>
            </w:r>
            <w:r>
              <w:rPr>
                <w:b/>
                <w:spacing w:val="-5"/>
              </w:rPr>
              <w:t>No</w:t>
            </w:r>
          </w:p>
        </w:tc>
      </w:tr>
      <w:tr w:rsidR="00046465" w14:paraId="0DFDB68D" w14:textId="77777777">
        <w:trPr>
          <w:trHeight w:val="4099"/>
        </w:trPr>
        <w:tc>
          <w:tcPr>
            <w:tcW w:w="8044" w:type="dxa"/>
            <w:tcBorders>
              <w:top w:val="double" w:sz="6" w:space="0" w:color="000000"/>
              <w:left w:val="double" w:sz="6" w:space="0" w:color="000000"/>
              <w:bottom w:val="nil"/>
              <w:right w:val="single" w:sz="6" w:space="0" w:color="000000"/>
            </w:tcBorders>
          </w:tcPr>
          <w:p w14:paraId="0DFDB674" w14:textId="77777777" w:rsidR="00046465" w:rsidRDefault="008134EB">
            <w:pPr>
              <w:pStyle w:val="TableParagraph"/>
              <w:spacing w:before="145"/>
              <w:ind w:left="131"/>
              <w:rPr>
                <w:b/>
              </w:rPr>
            </w:pPr>
            <w:r>
              <w:rPr>
                <w:b/>
              </w:rPr>
              <w:t>Federal</w:t>
            </w:r>
            <w:r>
              <w:rPr>
                <w:b/>
                <w:spacing w:val="-5"/>
              </w:rPr>
              <w:t xml:space="preserve"> </w:t>
            </w:r>
            <w:r>
              <w:rPr>
                <w:b/>
              </w:rPr>
              <w:t>Employees’</w:t>
            </w:r>
            <w:r>
              <w:rPr>
                <w:b/>
                <w:spacing w:val="-5"/>
              </w:rPr>
              <w:t xml:space="preserve"> </w:t>
            </w:r>
            <w:r>
              <w:rPr>
                <w:b/>
              </w:rPr>
              <w:t>Compensation</w:t>
            </w:r>
            <w:r>
              <w:rPr>
                <w:b/>
                <w:spacing w:val="-5"/>
              </w:rPr>
              <w:t xml:space="preserve"> </w:t>
            </w:r>
            <w:r>
              <w:rPr>
                <w:b/>
              </w:rPr>
              <w:t>Act</w:t>
            </w:r>
            <w:r>
              <w:rPr>
                <w:b/>
                <w:spacing w:val="-5"/>
              </w:rPr>
              <w:t xml:space="preserve"> </w:t>
            </w:r>
            <w:r>
              <w:rPr>
                <w:b/>
              </w:rPr>
              <w:t>(FECA),</w:t>
            </w:r>
            <w:r>
              <w:rPr>
                <w:b/>
                <w:spacing w:val="-5"/>
              </w:rPr>
              <w:t xml:space="preserve"> </w:t>
            </w:r>
            <w:r>
              <w:rPr>
                <w:b/>
              </w:rPr>
              <w:t>as</w:t>
            </w:r>
            <w:r>
              <w:rPr>
                <w:b/>
                <w:spacing w:val="-5"/>
              </w:rPr>
              <w:t xml:space="preserve"> </w:t>
            </w:r>
            <w:r>
              <w:rPr>
                <w:b/>
              </w:rPr>
              <w:t>provided</w:t>
            </w:r>
            <w:r>
              <w:rPr>
                <w:b/>
                <w:spacing w:val="-5"/>
              </w:rPr>
              <w:t xml:space="preserve"> </w:t>
            </w:r>
            <w:r>
              <w:rPr>
                <w:b/>
              </w:rPr>
              <w:t>in</w:t>
            </w:r>
            <w:r>
              <w:rPr>
                <w:b/>
                <w:spacing w:val="-5"/>
              </w:rPr>
              <w:t xml:space="preserve"> </w:t>
            </w:r>
            <w:r>
              <w:rPr>
                <w:b/>
              </w:rPr>
              <w:t>5</w:t>
            </w:r>
            <w:r>
              <w:rPr>
                <w:b/>
                <w:spacing w:val="-6"/>
              </w:rPr>
              <w:t xml:space="preserve"> </w:t>
            </w:r>
            <w:r>
              <w:rPr>
                <w:b/>
              </w:rPr>
              <w:t>U.S.C. chapter 81, subchapter I</w:t>
            </w:r>
          </w:p>
          <w:p w14:paraId="0DFDB675" w14:textId="77777777" w:rsidR="00046465" w:rsidRDefault="008134EB">
            <w:pPr>
              <w:pStyle w:val="TableParagraph"/>
              <w:spacing w:before="143"/>
              <w:ind w:left="131"/>
            </w:pPr>
            <w:r>
              <w:t>This law provides for the compensation of employees who are injured while performing their duties. Claims are paid out of the federal Employees’ Compensation</w:t>
            </w:r>
            <w:r>
              <w:rPr>
                <w:spacing w:val="-4"/>
              </w:rPr>
              <w:t xml:space="preserve"> </w:t>
            </w:r>
            <w:r>
              <w:t>Fund</w:t>
            </w:r>
            <w:r>
              <w:rPr>
                <w:spacing w:val="-4"/>
              </w:rPr>
              <w:t xml:space="preserve"> </w:t>
            </w:r>
            <w:r>
              <w:t>(Fund).</w:t>
            </w:r>
            <w:r>
              <w:rPr>
                <w:spacing w:val="-4"/>
              </w:rPr>
              <w:t xml:space="preserve"> </w:t>
            </w:r>
            <w:r>
              <w:t>Federal</w:t>
            </w:r>
            <w:r>
              <w:rPr>
                <w:spacing w:val="-5"/>
              </w:rPr>
              <w:t xml:space="preserve"> </w:t>
            </w:r>
            <w:r>
              <w:t>entities</w:t>
            </w:r>
            <w:r>
              <w:rPr>
                <w:spacing w:val="-4"/>
              </w:rPr>
              <w:t xml:space="preserve"> </w:t>
            </w:r>
            <w:r>
              <w:t>are</w:t>
            </w:r>
            <w:r>
              <w:rPr>
                <w:spacing w:val="-5"/>
              </w:rPr>
              <w:t xml:space="preserve"> </w:t>
            </w:r>
            <w:r>
              <w:t>billed</w:t>
            </w:r>
            <w:r>
              <w:rPr>
                <w:spacing w:val="-4"/>
              </w:rPr>
              <w:t xml:space="preserve"> </w:t>
            </w:r>
            <w:r>
              <w:t>annually</w:t>
            </w:r>
            <w:r>
              <w:rPr>
                <w:spacing w:val="-4"/>
              </w:rPr>
              <w:t xml:space="preserve"> </w:t>
            </w:r>
            <w:r>
              <w:t>by</w:t>
            </w:r>
            <w:r>
              <w:rPr>
                <w:spacing w:val="-4"/>
              </w:rPr>
              <w:t xml:space="preserve"> </w:t>
            </w:r>
            <w:r>
              <w:t>the</w:t>
            </w:r>
            <w:r>
              <w:rPr>
                <w:spacing w:val="-4"/>
              </w:rPr>
              <w:t xml:space="preserve"> </w:t>
            </w:r>
            <w:r>
              <w:t>fund</w:t>
            </w:r>
            <w:r>
              <w:rPr>
                <w:spacing w:val="-4"/>
              </w:rPr>
              <w:t xml:space="preserve"> </w:t>
            </w:r>
            <w:r>
              <w:t>for claims paid on their behalf.</w:t>
            </w:r>
          </w:p>
          <w:p w14:paraId="0DFDB676" w14:textId="77777777" w:rsidR="00046465" w:rsidRDefault="008134EB">
            <w:pPr>
              <w:pStyle w:val="TableParagraph"/>
              <w:spacing w:before="144"/>
              <w:ind w:left="131" w:right="141"/>
            </w:pPr>
            <w:r>
              <w:t>Billed federal entities, which are funded by annual appropriations, must request an appropriation to cover the billed amounts in their budget requests during the next</w:t>
            </w:r>
            <w:r>
              <w:rPr>
                <w:spacing w:val="-1"/>
              </w:rPr>
              <w:t xml:space="preserve"> </w:t>
            </w:r>
            <w:r>
              <w:t>year.</w:t>
            </w:r>
            <w:r>
              <w:rPr>
                <w:spacing w:val="-2"/>
              </w:rPr>
              <w:t xml:space="preserve"> </w:t>
            </w:r>
            <w:r>
              <w:t>Within</w:t>
            </w:r>
            <w:r>
              <w:rPr>
                <w:spacing w:val="-1"/>
              </w:rPr>
              <w:t xml:space="preserve"> </w:t>
            </w:r>
            <w:r>
              <w:t>30</w:t>
            </w:r>
            <w:r>
              <w:rPr>
                <w:spacing w:val="-1"/>
              </w:rPr>
              <w:t xml:space="preserve"> </w:t>
            </w:r>
            <w:r>
              <w:t>days</w:t>
            </w:r>
            <w:r>
              <w:rPr>
                <w:spacing w:val="-1"/>
              </w:rPr>
              <w:t xml:space="preserve"> </w:t>
            </w:r>
            <w:r>
              <w:t>of</w:t>
            </w:r>
            <w:r>
              <w:rPr>
                <w:spacing w:val="-1"/>
              </w:rPr>
              <w:t xml:space="preserve"> </w:t>
            </w:r>
            <w:r>
              <w:t>their</w:t>
            </w:r>
            <w:r>
              <w:rPr>
                <w:spacing w:val="-1"/>
              </w:rPr>
              <w:t xml:space="preserve"> </w:t>
            </w:r>
            <w:r>
              <w:t>availability,</w:t>
            </w:r>
            <w:r>
              <w:rPr>
                <w:spacing w:val="-1"/>
              </w:rPr>
              <w:t xml:space="preserve"> </w:t>
            </w:r>
            <w:r>
              <w:t>amounts</w:t>
            </w:r>
            <w:r>
              <w:rPr>
                <w:spacing w:val="-1"/>
              </w:rPr>
              <w:t xml:space="preserve"> </w:t>
            </w:r>
            <w:r>
              <w:t>appropriated</w:t>
            </w:r>
            <w:r>
              <w:rPr>
                <w:spacing w:val="-1"/>
              </w:rPr>
              <w:t xml:space="preserve"> </w:t>
            </w:r>
            <w:r>
              <w:t>pursuant</w:t>
            </w:r>
            <w:r>
              <w:rPr>
                <w:spacing w:val="-1"/>
              </w:rPr>
              <w:t xml:space="preserve"> </w:t>
            </w:r>
            <w:r>
              <w:t>to the request shall be deposited into the Treasury to the credit of the Fund. If, however, the billed entity does not receive annual appropriations, then it shall make</w:t>
            </w:r>
            <w:r>
              <w:rPr>
                <w:spacing w:val="-3"/>
              </w:rPr>
              <w:t xml:space="preserve"> </w:t>
            </w:r>
            <w:r>
              <w:t>the</w:t>
            </w:r>
            <w:r>
              <w:rPr>
                <w:spacing w:val="-3"/>
              </w:rPr>
              <w:t xml:space="preserve"> </w:t>
            </w:r>
            <w:r>
              <w:t>required</w:t>
            </w:r>
            <w:r>
              <w:rPr>
                <w:spacing w:val="-3"/>
              </w:rPr>
              <w:t xml:space="preserve"> </w:t>
            </w:r>
            <w:r>
              <w:t>deposit</w:t>
            </w:r>
            <w:r>
              <w:rPr>
                <w:spacing w:val="-3"/>
              </w:rPr>
              <w:t xml:space="preserve"> </w:t>
            </w:r>
            <w:r>
              <w:t>into</w:t>
            </w:r>
            <w:r>
              <w:rPr>
                <w:spacing w:val="-3"/>
              </w:rPr>
              <w:t xml:space="preserve"> </w:t>
            </w:r>
            <w:r>
              <w:t>the</w:t>
            </w:r>
            <w:r>
              <w:rPr>
                <w:spacing w:val="-3"/>
              </w:rPr>
              <w:t xml:space="preserve"> </w:t>
            </w:r>
            <w:r>
              <w:t>Treasury</w:t>
            </w:r>
            <w:r>
              <w:rPr>
                <w:spacing w:val="-3"/>
              </w:rPr>
              <w:t xml:space="preserve"> </w:t>
            </w:r>
            <w:r>
              <w:t>to</w:t>
            </w:r>
            <w:r>
              <w:rPr>
                <w:spacing w:val="-3"/>
              </w:rPr>
              <w:t xml:space="preserve"> </w:t>
            </w:r>
            <w:r>
              <w:t>the</w:t>
            </w:r>
            <w:r>
              <w:rPr>
                <w:spacing w:val="-3"/>
              </w:rPr>
              <w:t xml:space="preserve"> </w:t>
            </w:r>
            <w:r>
              <w:t>credit</w:t>
            </w:r>
            <w:r>
              <w:rPr>
                <w:spacing w:val="-3"/>
              </w:rPr>
              <w:t xml:space="preserve"> </w:t>
            </w:r>
            <w:r>
              <w:t>of</w:t>
            </w:r>
            <w:r>
              <w:rPr>
                <w:spacing w:val="-3"/>
              </w:rPr>
              <w:t xml:space="preserve"> </w:t>
            </w:r>
            <w:r>
              <w:t>the</w:t>
            </w:r>
            <w:r>
              <w:rPr>
                <w:spacing w:val="-3"/>
              </w:rPr>
              <w:t xml:space="preserve"> </w:t>
            </w:r>
            <w:r>
              <w:t>Fund</w:t>
            </w:r>
            <w:r>
              <w:rPr>
                <w:spacing w:val="-3"/>
              </w:rPr>
              <w:t xml:space="preserve"> </w:t>
            </w:r>
            <w:r>
              <w:t>from</w:t>
            </w:r>
            <w:r>
              <w:rPr>
                <w:spacing w:val="-4"/>
              </w:rPr>
              <w:t xml:space="preserve"> </w:t>
            </w:r>
            <w:r>
              <w:t>funds under its control during the first 15 days of October after it receives the Fund cost statement.</w:t>
            </w:r>
          </w:p>
        </w:tc>
        <w:tc>
          <w:tcPr>
            <w:tcW w:w="1319" w:type="dxa"/>
            <w:vMerge w:val="restart"/>
            <w:tcBorders>
              <w:top w:val="double" w:sz="6" w:space="0" w:color="000000"/>
              <w:left w:val="single" w:sz="6" w:space="0" w:color="000000"/>
              <w:bottom w:val="double" w:sz="6" w:space="0" w:color="000000"/>
              <w:right w:val="double" w:sz="6" w:space="0" w:color="000000"/>
            </w:tcBorders>
          </w:tcPr>
          <w:p w14:paraId="0DFDB677" w14:textId="77777777" w:rsidR="00046465" w:rsidRDefault="00046465">
            <w:pPr>
              <w:pStyle w:val="TableParagraph"/>
              <w:rPr>
                <w:sz w:val="20"/>
              </w:rPr>
            </w:pPr>
          </w:p>
          <w:p w14:paraId="0DFDB678" w14:textId="77777777" w:rsidR="00046465" w:rsidRDefault="00046465">
            <w:pPr>
              <w:pStyle w:val="TableParagraph"/>
              <w:rPr>
                <w:sz w:val="20"/>
              </w:rPr>
            </w:pPr>
          </w:p>
          <w:p w14:paraId="0DFDB679" w14:textId="77777777" w:rsidR="00046465" w:rsidRDefault="00046465">
            <w:pPr>
              <w:pStyle w:val="TableParagraph"/>
              <w:rPr>
                <w:sz w:val="20"/>
              </w:rPr>
            </w:pPr>
          </w:p>
          <w:p w14:paraId="0DFDB67A" w14:textId="77777777" w:rsidR="00046465" w:rsidRDefault="00046465">
            <w:pPr>
              <w:pStyle w:val="TableParagraph"/>
              <w:rPr>
                <w:sz w:val="20"/>
              </w:rPr>
            </w:pPr>
          </w:p>
          <w:p w14:paraId="0DFDB67B" w14:textId="77777777" w:rsidR="00046465" w:rsidRDefault="00046465">
            <w:pPr>
              <w:pStyle w:val="TableParagraph"/>
              <w:rPr>
                <w:sz w:val="20"/>
              </w:rPr>
            </w:pPr>
          </w:p>
          <w:p w14:paraId="0DFDB67C" w14:textId="77777777" w:rsidR="00046465" w:rsidRDefault="00046465">
            <w:pPr>
              <w:pStyle w:val="TableParagraph"/>
              <w:rPr>
                <w:sz w:val="20"/>
              </w:rPr>
            </w:pPr>
          </w:p>
          <w:p w14:paraId="0DFDB67D" w14:textId="77777777" w:rsidR="00046465" w:rsidRDefault="00046465">
            <w:pPr>
              <w:pStyle w:val="TableParagraph"/>
              <w:rPr>
                <w:sz w:val="20"/>
              </w:rPr>
            </w:pPr>
          </w:p>
          <w:p w14:paraId="0DFDB67E" w14:textId="77777777" w:rsidR="00046465" w:rsidRDefault="00046465">
            <w:pPr>
              <w:pStyle w:val="TableParagraph"/>
              <w:rPr>
                <w:sz w:val="20"/>
              </w:rPr>
            </w:pPr>
          </w:p>
          <w:p w14:paraId="0DFDB67F" w14:textId="77777777" w:rsidR="00046465" w:rsidRDefault="00046465">
            <w:pPr>
              <w:pStyle w:val="TableParagraph"/>
              <w:rPr>
                <w:sz w:val="20"/>
              </w:rPr>
            </w:pPr>
          </w:p>
          <w:p w14:paraId="0DFDB680" w14:textId="77777777" w:rsidR="00046465" w:rsidRDefault="00046465">
            <w:pPr>
              <w:pStyle w:val="TableParagraph"/>
              <w:rPr>
                <w:sz w:val="20"/>
              </w:rPr>
            </w:pPr>
          </w:p>
          <w:p w14:paraId="0DFDB681" w14:textId="77777777" w:rsidR="00046465" w:rsidRDefault="00046465">
            <w:pPr>
              <w:pStyle w:val="TableParagraph"/>
              <w:rPr>
                <w:sz w:val="20"/>
              </w:rPr>
            </w:pPr>
          </w:p>
          <w:p w14:paraId="0DFDB682" w14:textId="77777777" w:rsidR="00046465" w:rsidRDefault="00046465">
            <w:pPr>
              <w:pStyle w:val="TableParagraph"/>
              <w:rPr>
                <w:sz w:val="20"/>
              </w:rPr>
            </w:pPr>
          </w:p>
          <w:p w14:paraId="0DFDB683" w14:textId="77777777" w:rsidR="00046465" w:rsidRDefault="00046465">
            <w:pPr>
              <w:pStyle w:val="TableParagraph"/>
              <w:rPr>
                <w:sz w:val="20"/>
              </w:rPr>
            </w:pPr>
          </w:p>
          <w:p w14:paraId="0DFDB684" w14:textId="77777777" w:rsidR="00046465" w:rsidRDefault="00046465">
            <w:pPr>
              <w:pStyle w:val="TableParagraph"/>
              <w:rPr>
                <w:sz w:val="20"/>
              </w:rPr>
            </w:pPr>
          </w:p>
          <w:p w14:paraId="0DFDB685" w14:textId="77777777" w:rsidR="00046465" w:rsidRDefault="00046465">
            <w:pPr>
              <w:pStyle w:val="TableParagraph"/>
              <w:rPr>
                <w:sz w:val="20"/>
              </w:rPr>
            </w:pPr>
          </w:p>
          <w:p w14:paraId="0DFDB686" w14:textId="77777777" w:rsidR="00046465" w:rsidRDefault="00046465">
            <w:pPr>
              <w:pStyle w:val="TableParagraph"/>
              <w:rPr>
                <w:sz w:val="20"/>
              </w:rPr>
            </w:pPr>
          </w:p>
          <w:p w14:paraId="0DFDB687" w14:textId="77777777" w:rsidR="00046465" w:rsidRDefault="00046465">
            <w:pPr>
              <w:pStyle w:val="TableParagraph"/>
              <w:rPr>
                <w:sz w:val="20"/>
              </w:rPr>
            </w:pPr>
          </w:p>
          <w:p w14:paraId="0DFDB688" w14:textId="77777777" w:rsidR="00046465" w:rsidRDefault="00046465">
            <w:pPr>
              <w:pStyle w:val="TableParagraph"/>
              <w:rPr>
                <w:sz w:val="20"/>
              </w:rPr>
            </w:pPr>
          </w:p>
          <w:p w14:paraId="0DFDB689" w14:textId="77777777" w:rsidR="00046465" w:rsidRDefault="00046465">
            <w:pPr>
              <w:pStyle w:val="TableParagraph"/>
              <w:rPr>
                <w:sz w:val="20"/>
              </w:rPr>
            </w:pPr>
          </w:p>
          <w:p w14:paraId="0DFDB68A" w14:textId="77777777" w:rsidR="00046465" w:rsidRDefault="00046465">
            <w:pPr>
              <w:pStyle w:val="TableParagraph"/>
              <w:rPr>
                <w:sz w:val="20"/>
              </w:rPr>
            </w:pPr>
          </w:p>
          <w:p w14:paraId="0DFDB68B" w14:textId="77777777" w:rsidR="00046465" w:rsidRDefault="00046465">
            <w:pPr>
              <w:pStyle w:val="TableParagraph"/>
              <w:spacing w:before="73"/>
              <w:rPr>
                <w:sz w:val="20"/>
              </w:rPr>
            </w:pPr>
          </w:p>
          <w:p w14:paraId="0DFDB68C" w14:textId="77777777" w:rsidR="00046465" w:rsidRDefault="008134EB">
            <w:pPr>
              <w:pStyle w:val="TableParagraph"/>
              <w:spacing w:line="20" w:lineRule="exact"/>
              <w:ind w:left="145"/>
              <w:rPr>
                <w:sz w:val="2"/>
              </w:rPr>
            </w:pPr>
            <w:r>
              <w:rPr>
                <w:noProof/>
                <w:sz w:val="2"/>
              </w:rPr>
              <mc:AlternateContent>
                <mc:Choice Requires="wpg">
                  <w:drawing>
                    <wp:inline distT="0" distB="0" distL="0" distR="0" wp14:anchorId="0DFDD5DB" wp14:editId="0DFDD5DC">
                      <wp:extent cx="621665" cy="8890"/>
                      <wp:effectExtent l="9525" t="0" r="0" b="635"/>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479" name="Graphic 479"/>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6E9D2B" id="Group 478"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HViTfdwAgAAjwUAAA4AAAAAAAAAAAAAAAAA&#10;LgIAAGRycy9lMm9Eb2MueG1sUEsBAi0AFAAGAAgAAAAhABFF7qTaAAAAAgEAAA8AAAAAAAAAAAAA&#10;AAAAygQAAGRycy9kb3ducmV2LnhtbFBLBQYAAAAABAAEAPMAAADRBQAAAAA=&#10;">
                      <v:shape id="Graphic 479"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" path="m,l621371,e" filled="f" strokeweight=".24403mm">
                        <v:path arrowok="t"/>
                      </v:shape>
                      <w10:anchorlock/>
                    </v:group>
                  </w:pict>
                </mc:Fallback>
              </mc:AlternateContent>
            </w:r>
          </w:p>
        </w:tc>
      </w:tr>
      <w:tr w:rsidR="00046465" w14:paraId="0DFDB690" w14:textId="77777777">
        <w:trPr>
          <w:trHeight w:val="1255"/>
        </w:trPr>
        <w:tc>
          <w:tcPr>
            <w:tcW w:w="8044" w:type="dxa"/>
            <w:tcBorders>
              <w:top w:val="nil"/>
              <w:left w:val="double" w:sz="6" w:space="0" w:color="000000"/>
              <w:bottom w:val="nil"/>
              <w:right w:val="single" w:sz="6" w:space="0" w:color="000000"/>
            </w:tcBorders>
          </w:tcPr>
          <w:p w14:paraId="0DFDB68E" w14:textId="77777777" w:rsidR="00046465" w:rsidRDefault="008134EB">
            <w:pPr>
              <w:pStyle w:val="TableParagraph"/>
              <w:spacing w:before="118"/>
              <w:ind w:left="131" w:right="141"/>
              <w:rPr>
                <w:i/>
              </w:rPr>
            </w:pPr>
            <w:r>
              <w:rPr>
                <w:i/>
              </w:rPr>
              <w:t>Does the entity’s expense for the audit period for</w:t>
            </w:r>
            <w:r>
              <w:rPr>
                <w:i/>
                <w:spacing w:val="-1"/>
              </w:rPr>
              <w:t xml:space="preserve"> </w:t>
            </w:r>
            <w:r>
              <w:rPr>
                <w:i/>
              </w:rPr>
              <w:t>benefits paid by the Fund on the entity’s behalf exceed materiality, or did the auditor determine that FECA has</w:t>
            </w:r>
            <w:r>
              <w:rPr>
                <w:i/>
                <w:spacing w:val="-3"/>
              </w:rPr>
              <w:t xml:space="preserve"> </w:t>
            </w:r>
            <w:r>
              <w:rPr>
                <w:i/>
              </w:rPr>
              <w:t>a</w:t>
            </w:r>
            <w:r>
              <w:rPr>
                <w:i/>
                <w:spacing w:val="-3"/>
              </w:rPr>
              <w:t xml:space="preserve"> </w:t>
            </w:r>
            <w:r>
              <w:rPr>
                <w:i/>
              </w:rPr>
              <w:t>direct</w:t>
            </w:r>
            <w:r>
              <w:rPr>
                <w:i/>
                <w:spacing w:val="-4"/>
              </w:rPr>
              <w:t xml:space="preserve"> </w:t>
            </w:r>
            <w:r>
              <w:rPr>
                <w:i/>
              </w:rPr>
              <w:t>effect</w:t>
            </w:r>
            <w:r>
              <w:rPr>
                <w:i/>
                <w:spacing w:val="-3"/>
              </w:rPr>
              <w:t xml:space="preserve"> </w:t>
            </w:r>
            <w:r>
              <w:rPr>
                <w:i/>
              </w:rPr>
              <w:t>on</w:t>
            </w:r>
            <w:r>
              <w:rPr>
                <w:i/>
                <w:spacing w:val="-3"/>
              </w:rPr>
              <w:t xml:space="preserve"> </w:t>
            </w:r>
            <w:r>
              <w:rPr>
                <w:i/>
              </w:rPr>
              <w:t>the</w:t>
            </w:r>
            <w:r>
              <w:rPr>
                <w:i/>
                <w:spacing w:val="-4"/>
              </w:rPr>
              <w:t xml:space="preserve"> </w:t>
            </w:r>
            <w:r>
              <w:rPr>
                <w:i/>
              </w:rPr>
              <w:t>determination</w:t>
            </w:r>
            <w:r>
              <w:rPr>
                <w:i/>
                <w:spacing w:val="-3"/>
              </w:rPr>
              <w:t xml:space="preserve"> </w:t>
            </w:r>
            <w:r>
              <w:rPr>
                <w:i/>
              </w:rPr>
              <w:t>of</w:t>
            </w:r>
            <w:r>
              <w:rPr>
                <w:i/>
                <w:spacing w:val="-3"/>
              </w:rPr>
              <w:t xml:space="preserve"> </w:t>
            </w:r>
            <w:r>
              <w:rPr>
                <w:i/>
              </w:rPr>
              <w:t>material</w:t>
            </w:r>
            <w:r>
              <w:rPr>
                <w:i/>
                <w:spacing w:val="-3"/>
              </w:rPr>
              <w:t xml:space="preserve"> </w:t>
            </w:r>
            <w:r>
              <w:rPr>
                <w:i/>
              </w:rPr>
              <w:t>amounts</w:t>
            </w:r>
            <w:r>
              <w:rPr>
                <w:i/>
                <w:spacing w:val="-3"/>
              </w:rPr>
              <w:t xml:space="preserve"> </w:t>
            </w:r>
            <w:r>
              <w:rPr>
                <w:i/>
              </w:rPr>
              <w:t>and</w:t>
            </w:r>
            <w:r>
              <w:rPr>
                <w:i/>
                <w:spacing w:val="-3"/>
              </w:rPr>
              <w:t xml:space="preserve"> </w:t>
            </w:r>
            <w:r>
              <w:rPr>
                <w:i/>
              </w:rPr>
              <w:t>disclosures</w:t>
            </w:r>
            <w:r>
              <w:rPr>
                <w:i/>
                <w:spacing w:val="-3"/>
              </w:rPr>
              <w:t xml:space="preserve"> </w:t>
            </w:r>
            <w:r>
              <w:rPr>
                <w:i/>
              </w:rPr>
              <w:t>in the entity’s financial statements?</w:t>
            </w:r>
          </w:p>
        </w:tc>
        <w:tc>
          <w:tcPr>
            <w:tcW w:w="1319" w:type="dxa"/>
            <w:vMerge/>
            <w:tcBorders>
              <w:top w:val="nil"/>
              <w:left w:val="single" w:sz="6" w:space="0" w:color="000000"/>
              <w:bottom w:val="double" w:sz="6" w:space="0" w:color="000000"/>
              <w:right w:val="double" w:sz="6" w:space="0" w:color="000000"/>
            </w:tcBorders>
          </w:tcPr>
          <w:p w14:paraId="0DFDB68F" w14:textId="77777777" w:rsidR="00046465" w:rsidRDefault="00046465">
            <w:pPr>
              <w:rPr>
                <w:sz w:val="2"/>
                <w:szCs w:val="2"/>
              </w:rPr>
            </w:pPr>
          </w:p>
        </w:tc>
      </w:tr>
      <w:tr w:rsidR="00046465" w14:paraId="0DFDB698" w14:textId="77777777">
        <w:trPr>
          <w:trHeight w:val="1834"/>
        </w:trPr>
        <w:tc>
          <w:tcPr>
            <w:tcW w:w="8044" w:type="dxa"/>
            <w:tcBorders>
              <w:top w:val="nil"/>
              <w:left w:val="double" w:sz="6" w:space="0" w:color="000000"/>
              <w:bottom w:val="nil"/>
              <w:right w:val="single" w:sz="6" w:space="0" w:color="000000"/>
            </w:tcBorders>
          </w:tcPr>
          <w:p w14:paraId="0DFDB691" w14:textId="77777777" w:rsidR="00046465" w:rsidRDefault="008134EB">
            <w:pPr>
              <w:pStyle w:val="TableParagraph"/>
              <w:tabs>
                <w:tab w:val="left" w:pos="6807"/>
              </w:tabs>
              <w:spacing w:before="117"/>
              <w:ind w:left="4532"/>
            </w:pPr>
            <w:r>
              <w:rPr>
                <w:spacing w:val="-2"/>
                <w:u w:val="single"/>
              </w:rPr>
              <w:t>Preliminary</w:t>
            </w:r>
            <w:r>
              <w:tab/>
            </w:r>
            <w:r>
              <w:rPr>
                <w:spacing w:val="-2"/>
                <w:u w:val="single"/>
              </w:rPr>
              <w:t>Final</w:t>
            </w:r>
          </w:p>
          <w:p w14:paraId="0DFDB692" w14:textId="77777777" w:rsidR="00046465" w:rsidRDefault="00046465">
            <w:pPr>
              <w:pStyle w:val="TableParagraph"/>
              <w:spacing w:before="35"/>
            </w:pPr>
          </w:p>
          <w:p w14:paraId="0DFDB693" w14:textId="77777777" w:rsidR="00046465" w:rsidRDefault="008134EB">
            <w:pPr>
              <w:pStyle w:val="TableParagraph"/>
              <w:ind w:left="299" w:right="4319"/>
            </w:pPr>
            <w:r>
              <w:t>Expense</w:t>
            </w:r>
            <w:r>
              <w:rPr>
                <w:spacing w:val="-13"/>
              </w:rPr>
              <w:t xml:space="preserve"> </w:t>
            </w:r>
            <w:r>
              <w:t>for</w:t>
            </w:r>
            <w:r>
              <w:rPr>
                <w:spacing w:val="-14"/>
              </w:rPr>
              <w:t xml:space="preserve"> </w:t>
            </w:r>
            <w:r>
              <w:t>Compensation</w:t>
            </w:r>
            <w:r>
              <w:rPr>
                <w:spacing w:val="-13"/>
              </w:rPr>
              <w:t xml:space="preserve"> </w:t>
            </w:r>
            <w:r>
              <w:t xml:space="preserve">Fund </w:t>
            </w:r>
            <w:r>
              <w:rPr>
                <w:spacing w:val="-2"/>
              </w:rPr>
              <w:t>claims</w:t>
            </w:r>
          </w:p>
          <w:p w14:paraId="0DFDB694" w14:textId="77777777" w:rsidR="00046465" w:rsidRDefault="00046465">
            <w:pPr>
              <w:pStyle w:val="TableParagraph"/>
              <w:spacing w:before="6" w:after="1"/>
              <w:rPr>
                <w:sz w:val="12"/>
              </w:rPr>
            </w:pPr>
          </w:p>
          <w:p w14:paraId="0DFDB695" w14:textId="77777777" w:rsidR="00046465" w:rsidRDefault="008134EB">
            <w:pPr>
              <w:pStyle w:val="TableParagraph"/>
              <w:spacing w:line="20" w:lineRule="exact"/>
              <w:ind w:left="4062"/>
              <w:rPr>
                <w:sz w:val="2"/>
              </w:rPr>
            </w:pPr>
            <w:r>
              <w:rPr>
                <w:noProof/>
                <w:sz w:val="2"/>
              </w:rPr>
              <mc:AlternateContent>
                <mc:Choice Requires="wpg">
                  <w:drawing>
                    <wp:anchor distT="0" distB="0" distL="0" distR="0" simplePos="0" relativeHeight="476106240" behindDoc="1" locked="0" layoutInCell="1" allowOverlap="1" wp14:anchorId="0DFDD5DD" wp14:editId="0DFDD5DE">
                      <wp:simplePos x="0" y="0"/>
                      <wp:positionH relativeFrom="column">
                        <wp:posOffset>2588514</wp:posOffset>
                      </wp:positionH>
                      <wp:positionV relativeFrom="paragraph">
                        <wp:posOffset>346709</wp:posOffset>
                      </wp:positionV>
                      <wp:extent cx="1295400" cy="3175"/>
                      <wp:effectExtent l="0" t="0" r="0" b="0"/>
                      <wp:wrapNone/>
                      <wp:docPr id="480" name="Group 4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81" name="Graphic 481"/>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BDD0C1" id="Group 480" o:spid="_x0000_s1026" style="position:absolute;margin-left:203.8pt;margin-top:27.3pt;width:102pt;height:.25pt;z-index:-27210240;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">
                      <v:shape id="Graphic 481"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" path="m1295400,l,,,3048r1295400,l1295400,xe" fillcolor="black" stroked="f">
                        <v:path arrowok="t"/>
                      </v:shape>
                    </v:group>
                  </w:pict>
                </mc:Fallback>
              </mc:AlternateContent>
            </w:r>
            <w:r>
              <w:rPr>
                <w:noProof/>
                <w:sz w:val="2"/>
              </w:rPr>
              <mc:AlternateContent>
                <mc:Choice Requires="wpg">
                  <w:drawing>
                    <wp:anchor distT="0" distB="0" distL="0" distR="0" simplePos="0" relativeHeight="476106752" behindDoc="1" locked="0" layoutInCell="1" allowOverlap="1" wp14:anchorId="0DFDD5DF" wp14:editId="0DFDD5E0">
                      <wp:simplePos x="0" y="0"/>
                      <wp:positionH relativeFrom="column">
                        <wp:posOffset>3960114</wp:posOffset>
                      </wp:positionH>
                      <wp:positionV relativeFrom="paragraph">
                        <wp:posOffset>346709</wp:posOffset>
                      </wp:positionV>
                      <wp:extent cx="1045844" cy="3175"/>
                      <wp:effectExtent l="0" t="0" r="0" b="0"/>
                      <wp:wrapNone/>
                      <wp:docPr id="482"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483" name="Graphic 483"/>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95126F" id="Group 482" o:spid="_x0000_s1026" style="position:absolute;margin-left:311.8pt;margin-top:27.3pt;width:82.35pt;height:.25pt;z-index:-27209728;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">
                      <v:shape id="Graphic 483"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" path="m1045463,l,,,3048r1045463,l1045463,xe" fillcolor="black" stroked="f">
                        <v:path arrowok="t"/>
                      </v:shape>
                    </v:group>
                  </w:pict>
                </mc:Fallback>
              </mc:AlternateContent>
            </w:r>
            <w:r>
              <w:rPr>
                <w:noProof/>
                <w:sz w:val="2"/>
              </w:rPr>
              <mc:AlternateContent>
                <mc:Choice Requires="wpg">
                  <w:drawing>
                    <wp:inline distT="0" distB="0" distL="0" distR="0" wp14:anchorId="0DFDD5E1" wp14:editId="0DFDD5E2">
                      <wp:extent cx="1295400" cy="3175"/>
                      <wp:effectExtent l="0" t="0" r="0" b="0"/>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85" name="Graphic 485"/>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5BA32FC" id="Group 484" o:spid="_x0000_s1026" style="width:102pt;height:.25pt;mso-position-horizontal-relative:char;mso-position-vertical-relative:line"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">
                      <v:shape id="Graphic 485"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" path="m1295400,l,,,3048r1295400,l1295400,xe" fillcolor="black" stroked="f">
                        <v:path arrowok="t"/>
                      </v:shape>
                      <w10:anchorlock/>
                    </v:group>
                  </w:pict>
                </mc:Fallback>
              </mc:AlternateContent>
            </w:r>
            <w:r>
              <w:rPr>
                <w:rFonts w:ascii="Times New Roman"/>
                <w:spacing w:val="95"/>
                <w:sz w:val="2"/>
              </w:rPr>
              <w:t xml:space="preserve"> </w:t>
            </w:r>
            <w:r>
              <w:rPr>
                <w:noProof/>
                <w:spacing w:val="95"/>
                <w:sz w:val="2"/>
              </w:rPr>
              <mc:AlternateContent>
                <mc:Choice Requires="wpg">
                  <w:drawing>
                    <wp:inline distT="0" distB="0" distL="0" distR="0" wp14:anchorId="0DFDD5E3" wp14:editId="0DFDD5E4">
                      <wp:extent cx="1045844" cy="3175"/>
                      <wp:effectExtent l="0" t="0" r="0" b="0"/>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487" name="Graphic 487"/>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8779C53" id="Group 486" o:spid="_x0000_s1026" style="width:82.35pt;height:.25pt;mso-position-horizontal-relative:char;mso-position-vertical-relative:line"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">
                      <v:shape id="Graphic 487"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" path="m1045463,l,,,3048r1045463,l1045463,xe" fillcolor="black" stroked="f">
                        <v:path arrowok="t"/>
                      </v:shape>
                      <w10:anchorlock/>
                    </v:group>
                  </w:pict>
                </mc:Fallback>
              </mc:AlternateContent>
            </w:r>
          </w:p>
          <w:p w14:paraId="0DFDB696" w14:textId="77777777" w:rsidR="00046465" w:rsidRDefault="008134EB">
            <w:pPr>
              <w:pStyle w:val="TableParagraph"/>
              <w:spacing w:before="129"/>
              <w:ind w:left="299"/>
            </w:pPr>
            <w:r>
              <w:rPr>
                <w:spacing w:val="-2"/>
              </w:rPr>
              <w:t>Materiality</w:t>
            </w:r>
          </w:p>
        </w:tc>
        <w:tc>
          <w:tcPr>
            <w:tcW w:w="1319" w:type="dxa"/>
            <w:vMerge/>
            <w:tcBorders>
              <w:top w:val="nil"/>
              <w:left w:val="single" w:sz="6" w:space="0" w:color="000000"/>
              <w:bottom w:val="double" w:sz="6" w:space="0" w:color="000000"/>
              <w:right w:val="double" w:sz="6" w:space="0" w:color="000000"/>
            </w:tcBorders>
          </w:tcPr>
          <w:p w14:paraId="0DFDB697" w14:textId="77777777" w:rsidR="00046465" w:rsidRDefault="00046465">
            <w:pPr>
              <w:rPr>
                <w:sz w:val="2"/>
                <w:szCs w:val="2"/>
              </w:rPr>
            </w:pPr>
          </w:p>
        </w:tc>
      </w:tr>
      <w:tr w:rsidR="00046465" w14:paraId="0DFDB69D" w14:textId="77777777">
        <w:trPr>
          <w:trHeight w:val="994"/>
        </w:trPr>
        <w:tc>
          <w:tcPr>
            <w:tcW w:w="8044" w:type="dxa"/>
            <w:tcBorders>
              <w:top w:val="nil"/>
              <w:left w:val="double" w:sz="6" w:space="0" w:color="000000"/>
              <w:bottom w:val="double" w:sz="6" w:space="0" w:color="000000"/>
              <w:right w:val="single" w:sz="6" w:space="0" w:color="000000"/>
            </w:tcBorders>
          </w:tcPr>
          <w:p w14:paraId="0DFDB699" w14:textId="77777777" w:rsidR="00046465" w:rsidRDefault="00046465">
            <w:pPr>
              <w:pStyle w:val="TableParagraph"/>
            </w:pPr>
          </w:p>
          <w:p w14:paraId="0DFDB69A" w14:textId="77777777" w:rsidR="00046465" w:rsidRDefault="00046465">
            <w:pPr>
              <w:pStyle w:val="TableParagraph"/>
              <w:spacing w:before="89"/>
            </w:pPr>
          </w:p>
          <w:p w14:paraId="0DFDB69B" w14:textId="77777777" w:rsidR="00046465" w:rsidRDefault="008134EB">
            <w:pPr>
              <w:pStyle w:val="TableParagraph"/>
              <w:ind w:left="131"/>
            </w:pPr>
            <w:r>
              <w:t>If</w:t>
            </w:r>
            <w:r>
              <w:rPr>
                <w:spacing w:val="-7"/>
              </w:rPr>
              <w:t xml:space="preserve"> </w:t>
            </w:r>
            <w:r>
              <w:t>yes,</w:t>
            </w:r>
            <w:r>
              <w:rPr>
                <w:spacing w:val="-7"/>
              </w:rPr>
              <w:t xml:space="preserve"> </w:t>
            </w:r>
            <w:r>
              <w:t>then</w:t>
            </w:r>
            <w:r>
              <w:rPr>
                <w:spacing w:val="-8"/>
              </w:rPr>
              <w:t xml:space="preserve"> </w:t>
            </w:r>
            <w:r>
              <w:t>complete</w:t>
            </w:r>
            <w:r>
              <w:rPr>
                <w:spacing w:val="-6"/>
              </w:rPr>
              <w:t xml:space="preserve"> </w:t>
            </w:r>
            <w:r>
              <w:t>compliance</w:t>
            </w:r>
            <w:r>
              <w:rPr>
                <w:spacing w:val="-7"/>
              </w:rPr>
              <w:t xml:space="preserve"> </w:t>
            </w:r>
            <w:r>
              <w:t>supplement</w:t>
            </w:r>
            <w:r>
              <w:rPr>
                <w:spacing w:val="-7"/>
              </w:rPr>
              <w:t xml:space="preserve"> </w:t>
            </w:r>
            <w:r>
              <w:t>at</w:t>
            </w:r>
            <w:r>
              <w:rPr>
                <w:spacing w:val="-6"/>
              </w:rPr>
              <w:t xml:space="preserve"> </w:t>
            </w:r>
            <w:r>
              <w:t>FAM</w:t>
            </w:r>
            <w:r>
              <w:rPr>
                <w:spacing w:val="-8"/>
              </w:rPr>
              <w:t xml:space="preserve"> </w:t>
            </w:r>
            <w:r>
              <w:rPr>
                <w:spacing w:val="-4"/>
              </w:rPr>
              <w:t>810.</w:t>
            </w:r>
          </w:p>
        </w:tc>
        <w:tc>
          <w:tcPr>
            <w:tcW w:w="1319" w:type="dxa"/>
            <w:vMerge/>
            <w:tcBorders>
              <w:top w:val="nil"/>
              <w:left w:val="single" w:sz="6" w:space="0" w:color="000000"/>
              <w:bottom w:val="double" w:sz="6" w:space="0" w:color="000000"/>
              <w:right w:val="double" w:sz="6" w:space="0" w:color="000000"/>
            </w:tcBorders>
          </w:tcPr>
          <w:p w14:paraId="0DFDB69C" w14:textId="77777777" w:rsidR="00046465" w:rsidRDefault="00046465">
            <w:pPr>
              <w:rPr>
                <w:sz w:val="2"/>
                <w:szCs w:val="2"/>
              </w:rPr>
            </w:pPr>
          </w:p>
        </w:tc>
      </w:tr>
    </w:tbl>
    <w:p w14:paraId="0DFDB69E" w14:textId="77777777" w:rsidR="00046465" w:rsidRDefault="00046465">
      <w:pPr>
        <w:rPr>
          <w:sz w:val="2"/>
          <w:szCs w:val="2"/>
        </w:rPr>
        <w:sectPr w:rsidR="00046465">
          <w:pgSz w:w="12240" w:h="15840"/>
          <w:pgMar w:top="1300" w:right="720" w:bottom="940" w:left="1080" w:header="721" w:footer="742" w:gutter="0"/>
          <w:cols w:space="720"/>
        </w:sectPr>
      </w:pPr>
    </w:p>
    <w:tbl>
      <w:tblPr>
        <w:tblW w:w="0" w:type="auto"/>
        <w:tblInd w:w="37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044"/>
        <w:gridCol w:w="1319"/>
      </w:tblGrid>
      <w:tr w:rsidR="00046465" w14:paraId="0DFDB6A1" w14:textId="77777777">
        <w:trPr>
          <w:trHeight w:val="120"/>
        </w:trPr>
        <w:tc>
          <w:tcPr>
            <w:tcW w:w="8044" w:type="dxa"/>
            <w:tcBorders>
              <w:left w:val="nil"/>
              <w:bottom w:val="double" w:sz="6" w:space="0" w:color="000000"/>
              <w:right w:val="nil"/>
            </w:tcBorders>
          </w:tcPr>
          <w:p w14:paraId="0DFDB69F" w14:textId="77777777" w:rsidR="00046465" w:rsidRDefault="00046465">
            <w:pPr>
              <w:pStyle w:val="TableParagraph"/>
              <w:rPr>
                <w:rFonts w:ascii="Times New Roman"/>
                <w:sz w:val="6"/>
              </w:rPr>
            </w:pPr>
          </w:p>
        </w:tc>
        <w:tc>
          <w:tcPr>
            <w:tcW w:w="1319" w:type="dxa"/>
            <w:tcBorders>
              <w:left w:val="nil"/>
              <w:bottom w:val="double" w:sz="6" w:space="0" w:color="000000"/>
              <w:right w:val="nil"/>
            </w:tcBorders>
          </w:tcPr>
          <w:p w14:paraId="0DFDB6A0" w14:textId="77777777" w:rsidR="00046465" w:rsidRDefault="00046465">
            <w:pPr>
              <w:pStyle w:val="TableParagraph"/>
              <w:rPr>
                <w:rFonts w:ascii="Times New Roman"/>
                <w:sz w:val="6"/>
              </w:rPr>
            </w:pPr>
          </w:p>
        </w:tc>
      </w:tr>
      <w:tr w:rsidR="00046465" w14:paraId="0DFDB6A4" w14:textId="77777777">
        <w:trPr>
          <w:trHeight w:val="540"/>
        </w:trPr>
        <w:tc>
          <w:tcPr>
            <w:tcW w:w="8044" w:type="dxa"/>
            <w:tcBorders>
              <w:top w:val="double" w:sz="6" w:space="0" w:color="000000"/>
              <w:left w:val="double" w:sz="6" w:space="0" w:color="000000"/>
              <w:bottom w:val="double" w:sz="6" w:space="0" w:color="000000"/>
              <w:right w:val="single" w:sz="6" w:space="0" w:color="000000"/>
            </w:tcBorders>
          </w:tcPr>
          <w:p w14:paraId="0DFDB6A2" w14:textId="77777777" w:rsidR="00046465" w:rsidRDefault="008134EB">
            <w:pPr>
              <w:pStyle w:val="TableParagraph"/>
              <w:spacing w:before="144"/>
              <w:ind w:right="362"/>
              <w:jc w:val="center"/>
              <w:rPr>
                <w:b/>
              </w:rPr>
            </w:pPr>
            <w:r>
              <w:rPr>
                <w:b/>
              </w:rPr>
              <w:t>Description</w:t>
            </w:r>
            <w:r>
              <w:rPr>
                <w:b/>
                <w:spacing w:val="-9"/>
              </w:rPr>
              <w:t xml:space="preserve"> </w:t>
            </w:r>
            <w:r>
              <w:rPr>
                <w:b/>
              </w:rPr>
              <w:t>of</w:t>
            </w:r>
            <w:r>
              <w:rPr>
                <w:b/>
                <w:spacing w:val="-9"/>
              </w:rPr>
              <w:t xml:space="preserve"> </w:t>
            </w:r>
            <w:r>
              <w:rPr>
                <w:b/>
                <w:spacing w:val="-5"/>
              </w:rPr>
              <w:t>law</w:t>
            </w:r>
          </w:p>
        </w:tc>
        <w:tc>
          <w:tcPr>
            <w:tcW w:w="1319" w:type="dxa"/>
            <w:tcBorders>
              <w:top w:val="double" w:sz="6" w:space="0" w:color="000000"/>
              <w:left w:val="single" w:sz="6" w:space="0" w:color="000000"/>
              <w:bottom w:val="double" w:sz="6" w:space="0" w:color="000000"/>
              <w:right w:val="double" w:sz="6" w:space="0" w:color="000000"/>
            </w:tcBorders>
          </w:tcPr>
          <w:p w14:paraId="0DFDB6A3" w14:textId="77777777" w:rsidR="00046465" w:rsidRDefault="008134EB">
            <w:pPr>
              <w:pStyle w:val="TableParagraph"/>
              <w:spacing w:before="144"/>
              <w:ind w:left="145"/>
              <w:rPr>
                <w:b/>
              </w:rPr>
            </w:pPr>
            <w:r>
              <w:rPr>
                <w:b/>
              </w:rPr>
              <w:t>Yes</w:t>
            </w:r>
            <w:r>
              <w:rPr>
                <w:b/>
                <w:spacing w:val="-3"/>
              </w:rPr>
              <w:t xml:space="preserve"> </w:t>
            </w:r>
            <w:r>
              <w:rPr>
                <w:b/>
              </w:rPr>
              <w:t>/</w:t>
            </w:r>
            <w:r>
              <w:rPr>
                <w:b/>
                <w:spacing w:val="-3"/>
              </w:rPr>
              <w:t xml:space="preserve"> </w:t>
            </w:r>
            <w:r>
              <w:rPr>
                <w:b/>
                <w:spacing w:val="-5"/>
              </w:rPr>
              <w:t>No</w:t>
            </w:r>
          </w:p>
        </w:tc>
      </w:tr>
      <w:tr w:rsidR="00046465" w14:paraId="0DFDB6BA" w14:textId="77777777">
        <w:trPr>
          <w:trHeight w:val="3450"/>
        </w:trPr>
        <w:tc>
          <w:tcPr>
            <w:tcW w:w="8044" w:type="dxa"/>
            <w:tcBorders>
              <w:top w:val="double" w:sz="6" w:space="0" w:color="000000"/>
              <w:left w:val="double" w:sz="6" w:space="0" w:color="000000"/>
              <w:bottom w:val="nil"/>
              <w:right w:val="single" w:sz="6" w:space="0" w:color="000000"/>
            </w:tcBorders>
          </w:tcPr>
          <w:p w14:paraId="0DFDB6A5" w14:textId="77777777" w:rsidR="00046465" w:rsidRDefault="008134EB">
            <w:pPr>
              <w:pStyle w:val="TableParagraph"/>
              <w:spacing w:before="145"/>
              <w:ind w:left="131" w:right="724"/>
              <w:rPr>
                <w:b/>
              </w:rPr>
            </w:pPr>
            <w:r>
              <w:rPr>
                <w:b/>
              </w:rPr>
              <w:t>Federal</w:t>
            </w:r>
            <w:r>
              <w:rPr>
                <w:b/>
                <w:spacing w:val="-6"/>
              </w:rPr>
              <w:t xml:space="preserve"> </w:t>
            </w:r>
            <w:r>
              <w:rPr>
                <w:b/>
              </w:rPr>
              <w:t>Employees’</w:t>
            </w:r>
            <w:r>
              <w:rPr>
                <w:b/>
                <w:spacing w:val="-6"/>
              </w:rPr>
              <w:t xml:space="preserve"> </w:t>
            </w:r>
            <w:r>
              <w:rPr>
                <w:b/>
              </w:rPr>
              <w:t>Retirement</w:t>
            </w:r>
            <w:r>
              <w:rPr>
                <w:b/>
                <w:spacing w:val="-6"/>
              </w:rPr>
              <w:t xml:space="preserve"> </w:t>
            </w:r>
            <w:r>
              <w:rPr>
                <w:b/>
              </w:rPr>
              <w:t>System</w:t>
            </w:r>
            <w:r>
              <w:rPr>
                <w:b/>
                <w:spacing w:val="-6"/>
              </w:rPr>
              <w:t xml:space="preserve"> </w:t>
            </w:r>
            <w:r>
              <w:rPr>
                <w:b/>
              </w:rPr>
              <w:t>Act</w:t>
            </w:r>
            <w:r>
              <w:rPr>
                <w:b/>
                <w:spacing w:val="-6"/>
              </w:rPr>
              <w:t xml:space="preserve"> </w:t>
            </w:r>
            <w:r>
              <w:rPr>
                <w:b/>
              </w:rPr>
              <w:t>(FERSA),</w:t>
            </w:r>
            <w:r>
              <w:rPr>
                <w:b/>
                <w:spacing w:val="-6"/>
              </w:rPr>
              <w:t xml:space="preserve"> </w:t>
            </w:r>
            <w:r>
              <w:rPr>
                <w:b/>
              </w:rPr>
              <w:t>as</w:t>
            </w:r>
            <w:r>
              <w:rPr>
                <w:b/>
                <w:spacing w:val="-5"/>
              </w:rPr>
              <w:t xml:space="preserve"> </w:t>
            </w:r>
            <w:r>
              <w:rPr>
                <w:b/>
              </w:rPr>
              <w:t>provided</w:t>
            </w:r>
            <w:r>
              <w:rPr>
                <w:b/>
                <w:spacing w:val="-6"/>
              </w:rPr>
              <w:t xml:space="preserve"> </w:t>
            </w:r>
            <w:r>
              <w:rPr>
                <w:b/>
              </w:rPr>
              <w:t>in 5 U.S.C. chapter 84</w:t>
            </w:r>
          </w:p>
          <w:p w14:paraId="0DFDB6A6" w14:textId="77777777" w:rsidR="00046465" w:rsidRDefault="008134EB">
            <w:pPr>
              <w:pStyle w:val="TableParagraph"/>
              <w:spacing w:before="143"/>
              <w:ind w:left="131" w:right="148"/>
            </w:pPr>
            <w:r>
              <w:t>This law provides retirement benefits for employees who were hired after December</w:t>
            </w:r>
            <w:r>
              <w:rPr>
                <w:spacing w:val="-4"/>
              </w:rPr>
              <w:t xml:space="preserve"> </w:t>
            </w:r>
            <w:r>
              <w:t>31,</w:t>
            </w:r>
            <w:r>
              <w:rPr>
                <w:spacing w:val="-4"/>
              </w:rPr>
              <w:t xml:space="preserve"> </w:t>
            </w:r>
            <w:r>
              <w:t>1983,</w:t>
            </w:r>
            <w:r>
              <w:rPr>
                <w:spacing w:val="-4"/>
              </w:rPr>
              <w:t xml:space="preserve"> </w:t>
            </w:r>
            <w:r>
              <w:t>or</w:t>
            </w:r>
            <w:r>
              <w:rPr>
                <w:spacing w:val="-5"/>
              </w:rPr>
              <w:t xml:space="preserve"> </w:t>
            </w:r>
            <w:r>
              <w:t>employees</w:t>
            </w:r>
            <w:r>
              <w:rPr>
                <w:spacing w:val="-5"/>
              </w:rPr>
              <w:t xml:space="preserve"> </w:t>
            </w:r>
            <w:r>
              <w:t>who</w:t>
            </w:r>
            <w:r>
              <w:rPr>
                <w:spacing w:val="-4"/>
              </w:rPr>
              <w:t xml:space="preserve"> </w:t>
            </w:r>
            <w:r>
              <w:t>were</w:t>
            </w:r>
            <w:r>
              <w:rPr>
                <w:spacing w:val="-4"/>
              </w:rPr>
              <w:t xml:space="preserve"> </w:t>
            </w:r>
            <w:r>
              <w:t>previously</w:t>
            </w:r>
            <w:r>
              <w:rPr>
                <w:spacing w:val="-4"/>
              </w:rPr>
              <w:t xml:space="preserve"> </w:t>
            </w:r>
            <w:r>
              <w:t>covered</w:t>
            </w:r>
            <w:r>
              <w:rPr>
                <w:spacing w:val="-4"/>
              </w:rPr>
              <w:t xml:space="preserve"> </w:t>
            </w:r>
            <w:r>
              <w:t>under</w:t>
            </w:r>
            <w:r>
              <w:rPr>
                <w:spacing w:val="-4"/>
              </w:rPr>
              <w:t xml:space="preserve"> </w:t>
            </w:r>
            <w:r>
              <w:t>the</w:t>
            </w:r>
            <w:r>
              <w:rPr>
                <w:spacing w:val="-4"/>
              </w:rPr>
              <w:t xml:space="preserve"> </w:t>
            </w:r>
            <w:r>
              <w:t>Civil Service Retirement Act and elected to be covered under FERSA. For each employee, the entity withholds a percentage of basic pay from the employee’s compensation and contributes an amount equal to the employing entity’s applicable normal-cost percentage multiplied by the employee’s aggregate amount of basic pay payable by the entity. For most employees, the entity contribution shall be paid from the appropriation account or fund used to pay the employee. The employee and entity amounts are deposited into the Treasury to the credit of the Civil Service Retirement and Disability Fund.</w:t>
            </w:r>
          </w:p>
        </w:tc>
        <w:tc>
          <w:tcPr>
            <w:tcW w:w="1319" w:type="dxa"/>
            <w:vMerge w:val="restart"/>
            <w:tcBorders>
              <w:top w:val="double" w:sz="6" w:space="0" w:color="000000"/>
              <w:left w:val="single" w:sz="6" w:space="0" w:color="000000"/>
              <w:bottom w:val="double" w:sz="6" w:space="0" w:color="000000"/>
              <w:right w:val="double" w:sz="6" w:space="0" w:color="000000"/>
            </w:tcBorders>
          </w:tcPr>
          <w:p w14:paraId="0DFDB6A7" w14:textId="77777777" w:rsidR="00046465" w:rsidRDefault="00046465">
            <w:pPr>
              <w:pStyle w:val="TableParagraph"/>
              <w:rPr>
                <w:sz w:val="20"/>
              </w:rPr>
            </w:pPr>
          </w:p>
          <w:p w14:paraId="0DFDB6A8" w14:textId="77777777" w:rsidR="00046465" w:rsidRDefault="00046465">
            <w:pPr>
              <w:pStyle w:val="TableParagraph"/>
              <w:rPr>
                <w:sz w:val="20"/>
              </w:rPr>
            </w:pPr>
          </w:p>
          <w:p w14:paraId="0DFDB6A9" w14:textId="77777777" w:rsidR="00046465" w:rsidRDefault="00046465">
            <w:pPr>
              <w:pStyle w:val="TableParagraph"/>
              <w:rPr>
                <w:sz w:val="20"/>
              </w:rPr>
            </w:pPr>
          </w:p>
          <w:p w14:paraId="0DFDB6AA" w14:textId="77777777" w:rsidR="00046465" w:rsidRDefault="00046465">
            <w:pPr>
              <w:pStyle w:val="TableParagraph"/>
              <w:rPr>
                <w:sz w:val="20"/>
              </w:rPr>
            </w:pPr>
          </w:p>
          <w:p w14:paraId="0DFDB6AB" w14:textId="77777777" w:rsidR="00046465" w:rsidRDefault="00046465">
            <w:pPr>
              <w:pStyle w:val="TableParagraph"/>
              <w:rPr>
                <w:sz w:val="20"/>
              </w:rPr>
            </w:pPr>
          </w:p>
          <w:p w14:paraId="0DFDB6AC" w14:textId="77777777" w:rsidR="00046465" w:rsidRDefault="00046465">
            <w:pPr>
              <w:pStyle w:val="TableParagraph"/>
              <w:rPr>
                <w:sz w:val="20"/>
              </w:rPr>
            </w:pPr>
          </w:p>
          <w:p w14:paraId="0DFDB6AD" w14:textId="77777777" w:rsidR="00046465" w:rsidRDefault="00046465">
            <w:pPr>
              <w:pStyle w:val="TableParagraph"/>
              <w:rPr>
                <w:sz w:val="20"/>
              </w:rPr>
            </w:pPr>
          </w:p>
          <w:p w14:paraId="0DFDB6AE" w14:textId="77777777" w:rsidR="00046465" w:rsidRDefault="00046465">
            <w:pPr>
              <w:pStyle w:val="TableParagraph"/>
              <w:rPr>
                <w:sz w:val="20"/>
              </w:rPr>
            </w:pPr>
          </w:p>
          <w:p w14:paraId="0DFDB6AF" w14:textId="77777777" w:rsidR="00046465" w:rsidRDefault="00046465">
            <w:pPr>
              <w:pStyle w:val="TableParagraph"/>
              <w:rPr>
                <w:sz w:val="20"/>
              </w:rPr>
            </w:pPr>
          </w:p>
          <w:p w14:paraId="0DFDB6B0" w14:textId="77777777" w:rsidR="00046465" w:rsidRDefault="00046465">
            <w:pPr>
              <w:pStyle w:val="TableParagraph"/>
              <w:rPr>
                <w:sz w:val="20"/>
              </w:rPr>
            </w:pPr>
          </w:p>
          <w:p w14:paraId="0DFDB6B1" w14:textId="77777777" w:rsidR="00046465" w:rsidRDefault="00046465">
            <w:pPr>
              <w:pStyle w:val="TableParagraph"/>
              <w:rPr>
                <w:sz w:val="20"/>
              </w:rPr>
            </w:pPr>
          </w:p>
          <w:p w14:paraId="0DFDB6B2" w14:textId="77777777" w:rsidR="00046465" w:rsidRDefault="00046465">
            <w:pPr>
              <w:pStyle w:val="TableParagraph"/>
              <w:rPr>
                <w:sz w:val="20"/>
              </w:rPr>
            </w:pPr>
          </w:p>
          <w:p w14:paraId="0DFDB6B3" w14:textId="77777777" w:rsidR="00046465" w:rsidRDefault="00046465">
            <w:pPr>
              <w:pStyle w:val="TableParagraph"/>
              <w:rPr>
                <w:sz w:val="20"/>
              </w:rPr>
            </w:pPr>
          </w:p>
          <w:p w14:paraId="0DFDB6B4" w14:textId="77777777" w:rsidR="00046465" w:rsidRDefault="00046465">
            <w:pPr>
              <w:pStyle w:val="TableParagraph"/>
              <w:rPr>
                <w:sz w:val="20"/>
              </w:rPr>
            </w:pPr>
          </w:p>
          <w:p w14:paraId="0DFDB6B5" w14:textId="77777777" w:rsidR="00046465" w:rsidRDefault="00046465">
            <w:pPr>
              <w:pStyle w:val="TableParagraph"/>
              <w:rPr>
                <w:sz w:val="20"/>
              </w:rPr>
            </w:pPr>
          </w:p>
          <w:p w14:paraId="0DFDB6B6" w14:textId="77777777" w:rsidR="00046465" w:rsidRDefault="00046465">
            <w:pPr>
              <w:pStyle w:val="TableParagraph"/>
              <w:rPr>
                <w:sz w:val="20"/>
              </w:rPr>
            </w:pPr>
          </w:p>
          <w:p w14:paraId="0DFDB6B7" w14:textId="77777777" w:rsidR="00046465" w:rsidRDefault="00046465">
            <w:pPr>
              <w:pStyle w:val="TableParagraph"/>
              <w:rPr>
                <w:sz w:val="20"/>
              </w:rPr>
            </w:pPr>
          </w:p>
          <w:p w14:paraId="0DFDB6B8" w14:textId="77777777" w:rsidR="00046465" w:rsidRDefault="00046465">
            <w:pPr>
              <w:pStyle w:val="TableParagraph"/>
              <w:spacing w:before="112" w:after="1"/>
              <w:rPr>
                <w:sz w:val="20"/>
              </w:rPr>
            </w:pPr>
          </w:p>
          <w:p w14:paraId="0DFDB6B9" w14:textId="77777777" w:rsidR="00046465" w:rsidRDefault="008134EB">
            <w:pPr>
              <w:pStyle w:val="TableParagraph"/>
              <w:spacing w:line="20" w:lineRule="exact"/>
              <w:ind w:left="145"/>
              <w:rPr>
                <w:sz w:val="2"/>
              </w:rPr>
            </w:pPr>
            <w:r>
              <w:rPr>
                <w:noProof/>
                <w:sz w:val="2"/>
              </w:rPr>
              <mc:AlternateContent>
                <mc:Choice Requires="wpg">
                  <w:drawing>
                    <wp:inline distT="0" distB="0" distL="0" distR="0" wp14:anchorId="0DFDD5E5" wp14:editId="0DFDD5E6">
                      <wp:extent cx="621665" cy="8890"/>
                      <wp:effectExtent l="9525" t="0" r="0" b="635"/>
                      <wp:docPr id="488"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665" cy="8890"/>
                                <a:chOff x="0" y="0"/>
                                <a:chExt cx="621665" cy="8890"/>
                              </a:xfrm>
                            </wpg:grpSpPr>
                            <wps:wsp>
                              <wps:cNvPr id="489" name="Graphic 489"/>
                              <wps:cNvSpPr/>
                              <wps:spPr>
                                <a:xfrm>
                                  <a:off x="0" y="4392"/>
                                  <a:ext cx="621665" cy="1270"/>
                                </a:xfrm>
                                <a:custGeom>
                                  <a:avLst/>
                                  <a:gdLst/>
                                  <a:ahLst/>
                                  <a:cxnLst/>
                                  <a:rect l="l" t="t" r="r" b="b"/>
                                  <a:pathLst>
                                    <a:path w="621665">
                                      <a:moveTo>
                                        <a:pt x="0" y="0"/>
                                      </a:moveTo>
                                      <a:lnTo>
                                        <a:pt x="621371"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167EB51" id="Group 488" o:spid="_x0000_s1026" style="width:48.95pt;height:.7pt;mso-position-horizontal-relative:char;mso-position-vertical-relative:line" coordsize="621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">
                      <v:shape id="Graphic 489" o:spid="_x0000_s1027" style="position:absolute;top:43;width:6216;height:13;visibility:visible;mso-wrap-style:square;v-text-anchor:top" coordsize="6216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" path="m,l621371,e" filled="f" strokeweight=".24403mm">
                        <v:path arrowok="t"/>
                      </v:shape>
                      <w10:anchorlock/>
                    </v:group>
                  </w:pict>
                </mc:Fallback>
              </mc:AlternateContent>
            </w:r>
          </w:p>
        </w:tc>
      </w:tr>
      <w:tr w:rsidR="00046465" w14:paraId="0DFDB6BD" w14:textId="77777777">
        <w:trPr>
          <w:trHeight w:val="1255"/>
        </w:trPr>
        <w:tc>
          <w:tcPr>
            <w:tcW w:w="8044" w:type="dxa"/>
            <w:tcBorders>
              <w:top w:val="nil"/>
              <w:left w:val="double" w:sz="6" w:space="0" w:color="000000"/>
              <w:bottom w:val="nil"/>
              <w:right w:val="single" w:sz="6" w:space="0" w:color="000000"/>
            </w:tcBorders>
          </w:tcPr>
          <w:p w14:paraId="0DFDB6BB" w14:textId="77777777" w:rsidR="00046465" w:rsidRDefault="008134EB">
            <w:pPr>
              <w:pStyle w:val="TableParagraph"/>
              <w:spacing w:before="117"/>
              <w:ind w:left="131" w:right="186"/>
              <w:rPr>
                <w:i/>
              </w:rPr>
            </w:pPr>
            <w:r>
              <w:rPr>
                <w:i/>
              </w:rPr>
              <w:t>Does the entity’s expense for retirement costs under FERSA for the audit period</w:t>
            </w:r>
            <w:r>
              <w:rPr>
                <w:i/>
                <w:spacing w:val="-4"/>
              </w:rPr>
              <w:t xml:space="preserve"> </w:t>
            </w:r>
            <w:r>
              <w:rPr>
                <w:i/>
              </w:rPr>
              <w:t>exceed</w:t>
            </w:r>
            <w:r>
              <w:rPr>
                <w:i/>
                <w:spacing w:val="-4"/>
              </w:rPr>
              <w:t xml:space="preserve"> </w:t>
            </w:r>
            <w:r>
              <w:rPr>
                <w:i/>
              </w:rPr>
              <w:t>materiality,</w:t>
            </w:r>
            <w:r>
              <w:rPr>
                <w:i/>
                <w:spacing w:val="-4"/>
              </w:rPr>
              <w:t xml:space="preserve"> </w:t>
            </w:r>
            <w:r>
              <w:rPr>
                <w:i/>
              </w:rPr>
              <w:t>or</w:t>
            </w:r>
            <w:r>
              <w:rPr>
                <w:i/>
                <w:spacing w:val="-4"/>
              </w:rPr>
              <w:t xml:space="preserve"> </w:t>
            </w:r>
            <w:r>
              <w:rPr>
                <w:i/>
              </w:rPr>
              <w:t>did</w:t>
            </w:r>
            <w:r>
              <w:rPr>
                <w:i/>
                <w:spacing w:val="-4"/>
              </w:rPr>
              <w:t xml:space="preserve"> </w:t>
            </w:r>
            <w:r>
              <w:rPr>
                <w:i/>
              </w:rPr>
              <w:t>the</w:t>
            </w:r>
            <w:r>
              <w:rPr>
                <w:i/>
                <w:spacing w:val="-4"/>
              </w:rPr>
              <w:t xml:space="preserve"> </w:t>
            </w:r>
            <w:r>
              <w:rPr>
                <w:i/>
              </w:rPr>
              <w:t>auditor</w:t>
            </w:r>
            <w:r>
              <w:rPr>
                <w:i/>
                <w:spacing w:val="-4"/>
              </w:rPr>
              <w:t xml:space="preserve"> </w:t>
            </w:r>
            <w:r>
              <w:rPr>
                <w:i/>
              </w:rPr>
              <w:t>determine</w:t>
            </w:r>
            <w:r>
              <w:rPr>
                <w:i/>
                <w:spacing w:val="-4"/>
              </w:rPr>
              <w:t xml:space="preserve"> </w:t>
            </w:r>
            <w:r>
              <w:rPr>
                <w:i/>
              </w:rPr>
              <w:t>that</w:t>
            </w:r>
            <w:r>
              <w:rPr>
                <w:i/>
                <w:spacing w:val="-4"/>
              </w:rPr>
              <w:t xml:space="preserve"> </w:t>
            </w:r>
            <w:r>
              <w:rPr>
                <w:i/>
              </w:rPr>
              <w:t>FERSA</w:t>
            </w:r>
            <w:r>
              <w:rPr>
                <w:i/>
                <w:spacing w:val="-4"/>
              </w:rPr>
              <w:t xml:space="preserve"> </w:t>
            </w:r>
            <w:r>
              <w:rPr>
                <w:i/>
              </w:rPr>
              <w:t>has</w:t>
            </w:r>
            <w:r>
              <w:rPr>
                <w:i/>
                <w:spacing w:val="-4"/>
              </w:rPr>
              <w:t xml:space="preserve"> </w:t>
            </w:r>
            <w:r>
              <w:rPr>
                <w:i/>
              </w:rPr>
              <w:t>a</w:t>
            </w:r>
            <w:r>
              <w:rPr>
                <w:i/>
                <w:spacing w:val="-3"/>
              </w:rPr>
              <w:t xml:space="preserve"> </w:t>
            </w:r>
            <w:r>
              <w:rPr>
                <w:i/>
              </w:rPr>
              <w:t>direct effect on the determination of material amounts and disclosures in the entity’s financial statements?</w:t>
            </w:r>
          </w:p>
        </w:tc>
        <w:tc>
          <w:tcPr>
            <w:tcW w:w="1319" w:type="dxa"/>
            <w:vMerge/>
            <w:tcBorders>
              <w:top w:val="nil"/>
              <w:left w:val="single" w:sz="6" w:space="0" w:color="000000"/>
              <w:bottom w:val="double" w:sz="6" w:space="0" w:color="000000"/>
              <w:right w:val="double" w:sz="6" w:space="0" w:color="000000"/>
            </w:tcBorders>
          </w:tcPr>
          <w:p w14:paraId="0DFDB6BC" w14:textId="77777777" w:rsidR="00046465" w:rsidRDefault="00046465">
            <w:pPr>
              <w:rPr>
                <w:sz w:val="2"/>
                <w:szCs w:val="2"/>
              </w:rPr>
            </w:pPr>
          </w:p>
        </w:tc>
      </w:tr>
      <w:tr w:rsidR="00046465" w14:paraId="0DFDB6C1" w14:textId="77777777">
        <w:trPr>
          <w:trHeight w:val="1580"/>
        </w:trPr>
        <w:tc>
          <w:tcPr>
            <w:tcW w:w="8044" w:type="dxa"/>
            <w:tcBorders>
              <w:top w:val="nil"/>
              <w:left w:val="double" w:sz="6" w:space="0" w:color="000000"/>
              <w:bottom w:val="nil"/>
              <w:right w:val="single" w:sz="6" w:space="0" w:color="000000"/>
            </w:tcBorders>
          </w:tcPr>
          <w:p w14:paraId="0DFDB6BE" w14:textId="77777777" w:rsidR="00046465" w:rsidRDefault="008134EB">
            <w:pPr>
              <w:pStyle w:val="TableParagraph"/>
              <w:tabs>
                <w:tab w:val="left" w:pos="6807"/>
              </w:tabs>
              <w:spacing w:before="118"/>
              <w:ind w:left="4532"/>
            </w:pPr>
            <w:r>
              <w:rPr>
                <w:noProof/>
              </w:rPr>
              <mc:AlternateContent>
                <mc:Choice Requires="wpg">
                  <w:drawing>
                    <wp:anchor distT="0" distB="0" distL="0" distR="0" simplePos="0" relativeHeight="476107776" behindDoc="1" locked="0" layoutInCell="1" allowOverlap="1" wp14:anchorId="0DFDD5E7" wp14:editId="0DFDD5E8">
                      <wp:simplePos x="0" y="0"/>
                      <wp:positionH relativeFrom="column">
                        <wp:posOffset>2588514</wp:posOffset>
                      </wp:positionH>
                      <wp:positionV relativeFrom="paragraph">
                        <wp:posOffset>670024</wp:posOffset>
                      </wp:positionV>
                      <wp:extent cx="1295400" cy="3175"/>
                      <wp:effectExtent l="0" t="0" r="0" b="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91" name="Graphic 491"/>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DE061A" id="Group 490" o:spid="_x0000_s1026" style="position:absolute;margin-left:203.8pt;margin-top:52.75pt;width:102pt;height:.25pt;z-index:-27208704;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">
                      <v:shape id="Graphic 491"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" path="m1295400,l,,,3048r1295400,l1295400,xe" fillcolor="black" stroked="f">
                        <v:path arrowok="t"/>
                      </v:shape>
                    </v:group>
                  </w:pict>
                </mc:Fallback>
              </mc:AlternateContent>
            </w:r>
            <w:r>
              <w:rPr>
                <w:noProof/>
              </w:rPr>
              <mc:AlternateContent>
                <mc:Choice Requires="wpg">
                  <w:drawing>
                    <wp:anchor distT="0" distB="0" distL="0" distR="0" simplePos="0" relativeHeight="476108288" behindDoc="1" locked="0" layoutInCell="1" allowOverlap="1" wp14:anchorId="0DFDD5E9" wp14:editId="0DFDD5EA">
                      <wp:simplePos x="0" y="0"/>
                      <wp:positionH relativeFrom="column">
                        <wp:posOffset>3960114</wp:posOffset>
                      </wp:positionH>
                      <wp:positionV relativeFrom="paragraph">
                        <wp:posOffset>670024</wp:posOffset>
                      </wp:positionV>
                      <wp:extent cx="1045844" cy="3175"/>
                      <wp:effectExtent l="0" t="0" r="0" b="0"/>
                      <wp:wrapNone/>
                      <wp:docPr id="492"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493" name="Graphic 493"/>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D96EED" id="Group 492" o:spid="_x0000_s1026" style="position:absolute;margin-left:311.8pt;margin-top:52.75pt;width:82.35pt;height:.25pt;z-index:-27208192;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">
                      <v:shape id="Graphic 493"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" path="m1045463,l,,,3048r1045463,l1045463,xe" fillcolor="black" stroked="f">
                        <v:path arrowok="t"/>
                      </v:shape>
                    </v:group>
                  </w:pict>
                </mc:Fallback>
              </mc:AlternateContent>
            </w:r>
            <w:r>
              <w:rPr>
                <w:noProof/>
              </w:rPr>
              <mc:AlternateContent>
                <mc:Choice Requires="wpg">
                  <w:drawing>
                    <wp:anchor distT="0" distB="0" distL="0" distR="0" simplePos="0" relativeHeight="476108800" behindDoc="1" locked="0" layoutInCell="1" allowOverlap="1" wp14:anchorId="0DFDD5EB" wp14:editId="0DFDD5EC">
                      <wp:simplePos x="0" y="0"/>
                      <wp:positionH relativeFrom="column">
                        <wp:posOffset>2588514</wp:posOffset>
                      </wp:positionH>
                      <wp:positionV relativeFrom="paragraph">
                        <wp:posOffset>1016734</wp:posOffset>
                      </wp:positionV>
                      <wp:extent cx="1295400" cy="3175"/>
                      <wp:effectExtent l="0" t="0" r="0" b="0"/>
                      <wp:wrapNone/>
                      <wp:docPr id="494"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5400" cy="3175"/>
                                <a:chOff x="0" y="0"/>
                                <a:chExt cx="1295400" cy="3175"/>
                              </a:xfrm>
                            </wpg:grpSpPr>
                            <wps:wsp>
                              <wps:cNvPr id="495" name="Graphic 495"/>
                              <wps:cNvSpPr/>
                              <wps:spPr>
                                <a:xfrm>
                                  <a:off x="0" y="0"/>
                                  <a:ext cx="1295400" cy="3175"/>
                                </a:xfrm>
                                <a:custGeom>
                                  <a:avLst/>
                                  <a:gdLst/>
                                  <a:ahLst/>
                                  <a:cxnLst/>
                                  <a:rect l="l" t="t" r="r" b="b"/>
                                  <a:pathLst>
                                    <a:path w="1295400" h="3175">
                                      <a:moveTo>
                                        <a:pt x="1295400" y="0"/>
                                      </a:moveTo>
                                      <a:lnTo>
                                        <a:pt x="0" y="0"/>
                                      </a:lnTo>
                                      <a:lnTo>
                                        <a:pt x="0" y="3048"/>
                                      </a:lnTo>
                                      <a:lnTo>
                                        <a:pt x="1295400" y="3048"/>
                                      </a:lnTo>
                                      <a:lnTo>
                                        <a:pt x="12954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DAB467" id="Group 494" o:spid="_x0000_s1026" style="position:absolute;margin-left:203.8pt;margin-top:80.05pt;width:102pt;height:.25pt;z-index:-27207680;mso-wrap-distance-left:0;mso-wrap-distance-right:0" coordsize="129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">
                      <v:shape id="Graphic 495" o:spid="_x0000_s1027" style="position:absolute;width:12954;height:31;visibility:visible;mso-wrap-style:square;v-text-anchor:top" coordsize="12954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" path="m1295400,l,,,3048r1295400,l1295400,xe" fillcolor="black" stroked="f">
                        <v:path arrowok="t"/>
                      </v:shape>
                    </v:group>
                  </w:pict>
                </mc:Fallback>
              </mc:AlternateContent>
            </w:r>
            <w:r>
              <w:rPr>
                <w:noProof/>
              </w:rPr>
              <mc:AlternateContent>
                <mc:Choice Requires="wpg">
                  <w:drawing>
                    <wp:anchor distT="0" distB="0" distL="0" distR="0" simplePos="0" relativeHeight="476109312" behindDoc="1" locked="0" layoutInCell="1" allowOverlap="1" wp14:anchorId="0DFDD5ED" wp14:editId="0DFDD5EE">
                      <wp:simplePos x="0" y="0"/>
                      <wp:positionH relativeFrom="column">
                        <wp:posOffset>3960114</wp:posOffset>
                      </wp:positionH>
                      <wp:positionV relativeFrom="paragraph">
                        <wp:posOffset>1016734</wp:posOffset>
                      </wp:positionV>
                      <wp:extent cx="1045844" cy="3175"/>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5844" cy="3175"/>
                                <a:chOff x="0" y="0"/>
                                <a:chExt cx="1045844" cy="3175"/>
                              </a:xfrm>
                            </wpg:grpSpPr>
                            <wps:wsp>
                              <wps:cNvPr id="497" name="Graphic 497"/>
                              <wps:cNvSpPr/>
                              <wps:spPr>
                                <a:xfrm>
                                  <a:off x="0" y="0"/>
                                  <a:ext cx="1045844" cy="3175"/>
                                </a:xfrm>
                                <a:custGeom>
                                  <a:avLst/>
                                  <a:gdLst/>
                                  <a:ahLst/>
                                  <a:cxnLst/>
                                  <a:rect l="l" t="t" r="r" b="b"/>
                                  <a:pathLst>
                                    <a:path w="1045844" h="3175">
                                      <a:moveTo>
                                        <a:pt x="1045463" y="0"/>
                                      </a:moveTo>
                                      <a:lnTo>
                                        <a:pt x="0" y="0"/>
                                      </a:lnTo>
                                      <a:lnTo>
                                        <a:pt x="0" y="3048"/>
                                      </a:lnTo>
                                      <a:lnTo>
                                        <a:pt x="1045463" y="3048"/>
                                      </a:lnTo>
                                      <a:lnTo>
                                        <a:pt x="104546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C99A8F" id="Group 496" o:spid="_x0000_s1026" style="position:absolute;margin-left:311.8pt;margin-top:80.05pt;width:82.35pt;height:.25pt;z-index:-27207168;mso-wrap-distance-left:0;mso-wrap-distance-right:0" coordsize="1045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">
                      <v:shape id="Graphic 497" o:spid="_x0000_s1027" style="position:absolute;width:10458;height:31;visibility:visible;mso-wrap-style:square;v-text-anchor:top" coordsize="1045844,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" path="m1045463,l,,,3048r1045463,l1045463,xe" fillcolor="black" stroked="f">
                        <v:path arrowok="t"/>
                      </v:shape>
                    </v:group>
                  </w:pict>
                </mc:Fallback>
              </mc:AlternateContent>
            </w:r>
            <w:r>
              <w:rPr>
                <w:spacing w:val="-2"/>
                <w:u w:val="single"/>
              </w:rPr>
              <w:t>Preliminary</w:t>
            </w:r>
            <w:r>
              <w:tab/>
            </w:r>
            <w:r>
              <w:rPr>
                <w:spacing w:val="-2"/>
                <w:u w:val="single"/>
              </w:rPr>
              <w:t>Final</w:t>
            </w:r>
          </w:p>
          <w:p w14:paraId="0DFDB6BF" w14:textId="77777777" w:rsidR="00046465" w:rsidRDefault="008134EB">
            <w:pPr>
              <w:pStyle w:val="TableParagraph"/>
              <w:spacing w:before="57" w:line="546" w:lineRule="exact"/>
              <w:ind w:left="299" w:right="3775"/>
            </w:pPr>
            <w:r>
              <w:t>Expense</w:t>
            </w:r>
            <w:r>
              <w:rPr>
                <w:spacing w:val="-12"/>
              </w:rPr>
              <w:t xml:space="preserve"> </w:t>
            </w:r>
            <w:r>
              <w:t>for</w:t>
            </w:r>
            <w:r>
              <w:rPr>
                <w:spacing w:val="-13"/>
              </w:rPr>
              <w:t xml:space="preserve"> </w:t>
            </w:r>
            <w:r>
              <w:t>retirement</w:t>
            </w:r>
            <w:r>
              <w:rPr>
                <w:spacing w:val="-12"/>
              </w:rPr>
              <w:t xml:space="preserve"> </w:t>
            </w:r>
            <w:r>
              <w:t xml:space="preserve">contributions </w:t>
            </w:r>
            <w:r>
              <w:rPr>
                <w:spacing w:val="-2"/>
              </w:rPr>
              <w:t>Materiality</w:t>
            </w:r>
          </w:p>
        </w:tc>
        <w:tc>
          <w:tcPr>
            <w:tcW w:w="1319" w:type="dxa"/>
            <w:vMerge/>
            <w:tcBorders>
              <w:top w:val="nil"/>
              <w:left w:val="single" w:sz="6" w:space="0" w:color="000000"/>
              <w:bottom w:val="double" w:sz="6" w:space="0" w:color="000000"/>
              <w:right w:val="double" w:sz="6" w:space="0" w:color="000000"/>
            </w:tcBorders>
          </w:tcPr>
          <w:p w14:paraId="0DFDB6C0" w14:textId="77777777" w:rsidR="00046465" w:rsidRDefault="00046465">
            <w:pPr>
              <w:rPr>
                <w:sz w:val="2"/>
                <w:szCs w:val="2"/>
              </w:rPr>
            </w:pPr>
          </w:p>
        </w:tc>
      </w:tr>
      <w:tr w:rsidR="00046465" w14:paraId="0DFDB6C6" w14:textId="77777777">
        <w:trPr>
          <w:trHeight w:val="994"/>
        </w:trPr>
        <w:tc>
          <w:tcPr>
            <w:tcW w:w="8044" w:type="dxa"/>
            <w:tcBorders>
              <w:top w:val="nil"/>
              <w:left w:val="double" w:sz="6" w:space="0" w:color="000000"/>
              <w:bottom w:val="double" w:sz="6" w:space="0" w:color="000000"/>
              <w:right w:val="single" w:sz="6" w:space="0" w:color="000000"/>
            </w:tcBorders>
          </w:tcPr>
          <w:p w14:paraId="0DFDB6C2" w14:textId="77777777" w:rsidR="00046465" w:rsidRDefault="00046465">
            <w:pPr>
              <w:pStyle w:val="TableParagraph"/>
            </w:pPr>
          </w:p>
          <w:p w14:paraId="0DFDB6C3" w14:textId="77777777" w:rsidR="00046465" w:rsidRDefault="00046465">
            <w:pPr>
              <w:pStyle w:val="TableParagraph"/>
              <w:spacing w:before="90"/>
            </w:pPr>
          </w:p>
          <w:p w14:paraId="0DFDB6C4" w14:textId="77777777" w:rsidR="00046465" w:rsidRDefault="008134EB">
            <w:pPr>
              <w:pStyle w:val="TableParagraph"/>
              <w:ind w:left="131"/>
            </w:pPr>
            <w:r>
              <w:t>If</w:t>
            </w:r>
            <w:r>
              <w:rPr>
                <w:spacing w:val="-7"/>
              </w:rPr>
              <w:t xml:space="preserve"> </w:t>
            </w:r>
            <w:r>
              <w:t>yes,</w:t>
            </w:r>
            <w:r>
              <w:rPr>
                <w:spacing w:val="-7"/>
              </w:rPr>
              <w:t xml:space="preserve"> </w:t>
            </w:r>
            <w:r>
              <w:t>then</w:t>
            </w:r>
            <w:r>
              <w:rPr>
                <w:spacing w:val="-8"/>
              </w:rPr>
              <w:t xml:space="preserve"> </w:t>
            </w:r>
            <w:r>
              <w:t>complete</w:t>
            </w:r>
            <w:r>
              <w:rPr>
                <w:spacing w:val="-6"/>
              </w:rPr>
              <w:t xml:space="preserve"> </w:t>
            </w:r>
            <w:r>
              <w:t>compliance</w:t>
            </w:r>
            <w:r>
              <w:rPr>
                <w:spacing w:val="-7"/>
              </w:rPr>
              <w:t xml:space="preserve"> </w:t>
            </w:r>
            <w:r>
              <w:t>supplement</w:t>
            </w:r>
            <w:r>
              <w:rPr>
                <w:spacing w:val="-7"/>
              </w:rPr>
              <w:t xml:space="preserve"> </w:t>
            </w:r>
            <w:r>
              <w:t>at</w:t>
            </w:r>
            <w:r>
              <w:rPr>
                <w:spacing w:val="-6"/>
              </w:rPr>
              <w:t xml:space="preserve"> </w:t>
            </w:r>
            <w:r>
              <w:t>FAM</w:t>
            </w:r>
            <w:r>
              <w:rPr>
                <w:spacing w:val="-8"/>
              </w:rPr>
              <w:t xml:space="preserve"> </w:t>
            </w:r>
            <w:r>
              <w:rPr>
                <w:spacing w:val="-4"/>
              </w:rPr>
              <w:t>811.</w:t>
            </w:r>
          </w:p>
        </w:tc>
        <w:tc>
          <w:tcPr>
            <w:tcW w:w="1319" w:type="dxa"/>
            <w:vMerge/>
            <w:tcBorders>
              <w:top w:val="nil"/>
              <w:left w:val="single" w:sz="6" w:space="0" w:color="000000"/>
              <w:bottom w:val="double" w:sz="6" w:space="0" w:color="000000"/>
              <w:right w:val="double" w:sz="6" w:space="0" w:color="000000"/>
            </w:tcBorders>
          </w:tcPr>
          <w:p w14:paraId="0DFDB6C5" w14:textId="77777777" w:rsidR="00046465" w:rsidRDefault="00046465">
            <w:pPr>
              <w:rPr>
                <w:sz w:val="2"/>
                <w:szCs w:val="2"/>
              </w:rPr>
            </w:pPr>
          </w:p>
        </w:tc>
      </w:tr>
    </w:tbl>
    <w:p w14:paraId="0DFDB6C7" w14:textId="77777777" w:rsidR="00046465" w:rsidRDefault="00046465">
      <w:pPr>
        <w:rPr>
          <w:sz w:val="2"/>
          <w:szCs w:val="2"/>
        </w:rPr>
        <w:sectPr w:rsidR="00046465">
          <w:pgSz w:w="12240" w:h="15840"/>
          <w:pgMar w:top="1300" w:right="720" w:bottom="940" w:left="1080" w:header="721" w:footer="742" w:gutter="0"/>
          <w:cols w:space="720"/>
        </w:sectPr>
      </w:pPr>
    </w:p>
    <w:p w14:paraId="0DFDB6C8" w14:textId="77777777" w:rsidR="00046465" w:rsidRDefault="00046465">
      <w:pPr>
        <w:pStyle w:val="BodyText"/>
        <w:spacing w:before="9"/>
        <w:rPr>
          <w:sz w:val="11"/>
        </w:rPr>
      </w:pPr>
    </w:p>
    <w:tbl>
      <w:tblPr>
        <w:tblW w:w="0" w:type="auto"/>
        <w:tblInd w:w="38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21"/>
        <w:gridCol w:w="1080"/>
        <w:gridCol w:w="1298"/>
      </w:tblGrid>
      <w:tr w:rsidR="00046465" w14:paraId="0DFDB6CE" w14:textId="77777777">
        <w:trPr>
          <w:trHeight w:val="793"/>
        </w:trPr>
        <w:tc>
          <w:tcPr>
            <w:tcW w:w="7021" w:type="dxa"/>
            <w:tcBorders>
              <w:right w:val="single" w:sz="6" w:space="0" w:color="000000"/>
            </w:tcBorders>
          </w:tcPr>
          <w:p w14:paraId="0DFDB6C9" w14:textId="77777777" w:rsidR="00046465" w:rsidRDefault="00046465">
            <w:pPr>
              <w:pStyle w:val="TableParagraph"/>
              <w:spacing w:before="168"/>
            </w:pPr>
          </w:p>
          <w:p w14:paraId="0DFDB6CA" w14:textId="77777777" w:rsidR="00046465" w:rsidRDefault="008134EB">
            <w:pPr>
              <w:pStyle w:val="TableParagraph"/>
              <w:ind w:left="129"/>
              <w:rPr>
                <w:b/>
              </w:rPr>
            </w:pPr>
            <w:r>
              <w:rPr>
                <w:b/>
              </w:rPr>
              <w:t>Procedures</w:t>
            </w:r>
            <w:r>
              <w:rPr>
                <w:b/>
                <w:spacing w:val="-6"/>
              </w:rPr>
              <w:t xml:space="preserve"> </w:t>
            </w:r>
            <w:r>
              <w:rPr>
                <w:b/>
              </w:rPr>
              <w:t>for</w:t>
            </w:r>
            <w:r>
              <w:rPr>
                <w:b/>
                <w:spacing w:val="-8"/>
              </w:rPr>
              <w:t xml:space="preserve"> </w:t>
            </w:r>
            <w:r>
              <w:rPr>
                <w:b/>
              </w:rPr>
              <w:t>other</w:t>
            </w:r>
            <w:r>
              <w:rPr>
                <w:b/>
                <w:spacing w:val="-7"/>
              </w:rPr>
              <w:t xml:space="preserve"> </w:t>
            </w:r>
            <w:r>
              <w:rPr>
                <w:b/>
              </w:rPr>
              <w:t>laws</w:t>
            </w:r>
            <w:r>
              <w:rPr>
                <w:b/>
                <w:spacing w:val="-7"/>
              </w:rPr>
              <w:t xml:space="preserve"> </w:t>
            </w:r>
            <w:r>
              <w:rPr>
                <w:b/>
              </w:rPr>
              <w:t>and</w:t>
            </w:r>
            <w:r>
              <w:rPr>
                <w:b/>
                <w:spacing w:val="-7"/>
              </w:rPr>
              <w:t xml:space="preserve"> </w:t>
            </w:r>
            <w:r>
              <w:rPr>
                <w:b/>
                <w:spacing w:val="-2"/>
              </w:rPr>
              <w:t>regulations</w:t>
            </w:r>
          </w:p>
        </w:tc>
        <w:tc>
          <w:tcPr>
            <w:tcW w:w="1080" w:type="dxa"/>
            <w:tcBorders>
              <w:left w:val="single" w:sz="6" w:space="0" w:color="000000"/>
              <w:right w:val="single" w:sz="6" w:space="0" w:color="000000"/>
            </w:tcBorders>
          </w:tcPr>
          <w:p w14:paraId="0DFDB6CB" w14:textId="77777777" w:rsidR="00046465" w:rsidRDefault="008134EB">
            <w:pPr>
              <w:pStyle w:val="TableParagraph"/>
              <w:spacing w:before="144"/>
              <w:ind w:left="313" w:hanging="153"/>
              <w:rPr>
                <w:b/>
              </w:rPr>
            </w:pPr>
            <w:r>
              <w:rPr>
                <w:b/>
                <w:spacing w:val="-2"/>
              </w:rPr>
              <w:t xml:space="preserve">Initials/ </w:t>
            </w:r>
            <w:r>
              <w:rPr>
                <w:b/>
                <w:spacing w:val="-4"/>
              </w:rPr>
              <w:t>date</w:t>
            </w:r>
          </w:p>
        </w:tc>
        <w:tc>
          <w:tcPr>
            <w:tcW w:w="1298" w:type="dxa"/>
            <w:tcBorders>
              <w:left w:val="single" w:sz="6" w:space="0" w:color="000000"/>
            </w:tcBorders>
          </w:tcPr>
          <w:p w14:paraId="0DFDB6CC" w14:textId="77777777" w:rsidR="00046465" w:rsidRDefault="00046465">
            <w:pPr>
              <w:pStyle w:val="TableParagraph"/>
              <w:spacing w:before="144"/>
            </w:pPr>
          </w:p>
          <w:p w14:paraId="0DFDB6CD" w14:textId="77777777" w:rsidR="00046465" w:rsidRDefault="008134EB">
            <w:pPr>
              <w:pStyle w:val="TableParagraph"/>
              <w:ind w:left="208"/>
              <w:rPr>
                <w:b/>
              </w:rPr>
            </w:pPr>
            <w:r>
              <w:rPr>
                <w:b/>
              </w:rPr>
              <w:t>Doc.</w:t>
            </w:r>
            <w:r>
              <w:rPr>
                <w:b/>
                <w:spacing w:val="-6"/>
              </w:rPr>
              <w:t xml:space="preserve"> </w:t>
            </w:r>
            <w:r>
              <w:rPr>
                <w:b/>
                <w:spacing w:val="-4"/>
              </w:rPr>
              <w:t>ref.</w:t>
            </w:r>
          </w:p>
        </w:tc>
      </w:tr>
      <w:tr w:rsidR="00046465" w14:paraId="0DFDB6DA" w14:textId="77777777">
        <w:trPr>
          <w:trHeight w:val="9030"/>
        </w:trPr>
        <w:tc>
          <w:tcPr>
            <w:tcW w:w="7021" w:type="dxa"/>
            <w:tcBorders>
              <w:bottom w:val="single" w:sz="4" w:space="0" w:color="000000"/>
              <w:right w:val="single" w:sz="6" w:space="0" w:color="000000"/>
            </w:tcBorders>
          </w:tcPr>
          <w:p w14:paraId="0DFDB6CF" w14:textId="77777777" w:rsidR="00046465" w:rsidRDefault="008134EB">
            <w:pPr>
              <w:pStyle w:val="TableParagraph"/>
              <w:numPr>
                <w:ilvl w:val="0"/>
                <w:numId w:val="180"/>
              </w:numPr>
              <w:tabs>
                <w:tab w:val="left" w:pos="489"/>
              </w:tabs>
              <w:spacing w:before="144"/>
              <w:ind w:right="739"/>
            </w:pPr>
            <w:r>
              <w:t>Obtain a general understanding of the entity’s legal and regulatory</w:t>
            </w:r>
            <w:r>
              <w:rPr>
                <w:spacing w:val="-4"/>
              </w:rPr>
              <w:t xml:space="preserve"> </w:t>
            </w:r>
            <w:r>
              <w:t>framework</w:t>
            </w:r>
            <w:r>
              <w:rPr>
                <w:spacing w:val="-4"/>
              </w:rPr>
              <w:t xml:space="preserve"> </w:t>
            </w:r>
            <w:r>
              <w:t>and</w:t>
            </w:r>
            <w:r>
              <w:rPr>
                <w:spacing w:val="-4"/>
              </w:rPr>
              <w:t xml:space="preserve"> </w:t>
            </w:r>
            <w:r>
              <w:t>how</w:t>
            </w:r>
            <w:r>
              <w:rPr>
                <w:spacing w:val="-5"/>
              </w:rPr>
              <w:t xml:space="preserve"> </w:t>
            </w:r>
            <w:r>
              <w:t>the</w:t>
            </w:r>
            <w:r>
              <w:rPr>
                <w:spacing w:val="-4"/>
              </w:rPr>
              <w:t xml:space="preserve"> </w:t>
            </w:r>
            <w:r>
              <w:t>entity</w:t>
            </w:r>
            <w:r>
              <w:rPr>
                <w:spacing w:val="-4"/>
              </w:rPr>
              <w:t xml:space="preserve"> </w:t>
            </w:r>
            <w:r>
              <w:t>complies</w:t>
            </w:r>
            <w:r>
              <w:rPr>
                <w:spacing w:val="-4"/>
              </w:rPr>
              <w:t xml:space="preserve"> </w:t>
            </w:r>
            <w:r>
              <w:t>with</w:t>
            </w:r>
            <w:r>
              <w:rPr>
                <w:spacing w:val="-4"/>
              </w:rPr>
              <w:t xml:space="preserve"> </w:t>
            </w:r>
            <w:r>
              <w:t>it</w:t>
            </w:r>
            <w:r>
              <w:rPr>
                <w:spacing w:val="-4"/>
              </w:rPr>
              <w:t xml:space="preserve"> </w:t>
            </w:r>
            <w:r>
              <w:t>by performing the following (AU-C 250.12 and .A8):</w:t>
            </w:r>
          </w:p>
          <w:p w14:paraId="0DFDB6D0" w14:textId="77777777" w:rsidR="00046465" w:rsidRDefault="008134EB">
            <w:pPr>
              <w:pStyle w:val="TableParagraph"/>
              <w:numPr>
                <w:ilvl w:val="1"/>
                <w:numId w:val="180"/>
              </w:numPr>
              <w:tabs>
                <w:tab w:val="left" w:pos="921"/>
              </w:tabs>
              <w:spacing w:before="145"/>
              <w:ind w:right="187"/>
              <w:jc w:val="both"/>
            </w:pPr>
            <w:r>
              <w:t>Update</w:t>
            </w:r>
            <w:r>
              <w:rPr>
                <w:spacing w:val="-1"/>
              </w:rPr>
              <w:t xml:space="preserve"> </w:t>
            </w:r>
            <w:r>
              <w:t>the</w:t>
            </w:r>
            <w:r>
              <w:rPr>
                <w:spacing w:val="-1"/>
              </w:rPr>
              <w:t xml:space="preserve"> </w:t>
            </w:r>
            <w:r>
              <w:t>auditor’s</w:t>
            </w:r>
            <w:r>
              <w:rPr>
                <w:spacing w:val="-1"/>
              </w:rPr>
              <w:t xml:space="preserve"> </w:t>
            </w:r>
            <w:r>
              <w:t>existing</w:t>
            </w:r>
            <w:r>
              <w:rPr>
                <w:spacing w:val="-1"/>
              </w:rPr>
              <w:t xml:space="preserve"> </w:t>
            </w:r>
            <w:r>
              <w:t>understanding</w:t>
            </w:r>
            <w:r>
              <w:rPr>
                <w:spacing w:val="-1"/>
              </w:rPr>
              <w:t xml:space="preserve"> </w:t>
            </w:r>
            <w:r>
              <w:t>or</w:t>
            </w:r>
            <w:r>
              <w:rPr>
                <w:spacing w:val="-1"/>
              </w:rPr>
              <w:t xml:space="preserve"> </w:t>
            </w:r>
            <w:r>
              <w:t>knowledge</w:t>
            </w:r>
            <w:r>
              <w:rPr>
                <w:spacing w:val="-1"/>
              </w:rPr>
              <w:t xml:space="preserve"> </w:t>
            </w:r>
            <w:r>
              <w:t>of the</w:t>
            </w:r>
            <w:r>
              <w:rPr>
                <w:spacing w:val="-5"/>
              </w:rPr>
              <w:t xml:space="preserve"> </w:t>
            </w:r>
            <w:r>
              <w:t>entity’s</w:t>
            </w:r>
            <w:r>
              <w:rPr>
                <w:spacing w:val="-6"/>
              </w:rPr>
              <w:t xml:space="preserve"> </w:t>
            </w:r>
            <w:r>
              <w:t>mission</w:t>
            </w:r>
            <w:r>
              <w:rPr>
                <w:spacing w:val="-5"/>
              </w:rPr>
              <w:t xml:space="preserve"> </w:t>
            </w:r>
            <w:r>
              <w:t>and</w:t>
            </w:r>
            <w:r>
              <w:rPr>
                <w:spacing w:val="-6"/>
              </w:rPr>
              <w:t xml:space="preserve"> </w:t>
            </w:r>
            <w:r>
              <w:t>programs,</w:t>
            </w:r>
            <w:r>
              <w:rPr>
                <w:spacing w:val="-5"/>
              </w:rPr>
              <w:t xml:space="preserve"> </w:t>
            </w:r>
            <w:r>
              <w:t>and</w:t>
            </w:r>
            <w:r>
              <w:rPr>
                <w:spacing w:val="-5"/>
              </w:rPr>
              <w:t xml:space="preserve"> </w:t>
            </w:r>
            <w:r>
              <w:t>legal,</w:t>
            </w:r>
            <w:r>
              <w:rPr>
                <w:spacing w:val="-5"/>
              </w:rPr>
              <w:t xml:space="preserve"> </w:t>
            </w:r>
            <w:r>
              <w:t>regulatory,</w:t>
            </w:r>
            <w:r>
              <w:rPr>
                <w:spacing w:val="-5"/>
              </w:rPr>
              <w:t xml:space="preserve"> </w:t>
            </w:r>
            <w:r>
              <w:t>and other external factors.</w:t>
            </w:r>
          </w:p>
          <w:p w14:paraId="0DFDB6D1" w14:textId="77777777" w:rsidR="00046465" w:rsidRDefault="008134EB">
            <w:pPr>
              <w:pStyle w:val="TableParagraph"/>
              <w:numPr>
                <w:ilvl w:val="1"/>
                <w:numId w:val="180"/>
              </w:numPr>
              <w:tabs>
                <w:tab w:val="left" w:pos="921"/>
              </w:tabs>
              <w:spacing w:before="143"/>
              <w:ind w:right="186"/>
            </w:pPr>
            <w:r>
              <w:t>Update the auditor’s understanding or knowledge of the provisions of laws, regulations, contracts, or grant agreements</w:t>
            </w:r>
            <w:r>
              <w:rPr>
                <w:spacing w:val="-5"/>
              </w:rPr>
              <w:t xml:space="preserve"> </w:t>
            </w:r>
            <w:r>
              <w:t>that</w:t>
            </w:r>
            <w:r>
              <w:rPr>
                <w:spacing w:val="-5"/>
              </w:rPr>
              <w:t xml:space="preserve"> </w:t>
            </w:r>
            <w:r>
              <w:t>are</w:t>
            </w:r>
            <w:r>
              <w:rPr>
                <w:spacing w:val="-5"/>
              </w:rPr>
              <w:t xml:space="preserve"> </w:t>
            </w:r>
            <w:r>
              <w:t>used</w:t>
            </w:r>
            <w:r>
              <w:rPr>
                <w:spacing w:val="-5"/>
              </w:rPr>
              <w:t xml:space="preserve"> </w:t>
            </w:r>
            <w:r>
              <w:t>to</w:t>
            </w:r>
            <w:r>
              <w:rPr>
                <w:spacing w:val="-5"/>
              </w:rPr>
              <w:t xml:space="preserve"> </w:t>
            </w:r>
            <w:r>
              <w:t>directly</w:t>
            </w:r>
            <w:r>
              <w:rPr>
                <w:spacing w:val="-6"/>
              </w:rPr>
              <w:t xml:space="preserve"> </w:t>
            </w:r>
            <w:r>
              <w:t>determine</w:t>
            </w:r>
            <w:r>
              <w:rPr>
                <w:spacing w:val="-5"/>
              </w:rPr>
              <w:t xml:space="preserve"> </w:t>
            </w:r>
            <w:r>
              <w:t>amounts</w:t>
            </w:r>
            <w:r>
              <w:rPr>
                <w:spacing w:val="-5"/>
              </w:rPr>
              <w:t xml:space="preserve"> </w:t>
            </w:r>
            <w:r>
              <w:t>and disclosures in the financial statements.</w:t>
            </w:r>
          </w:p>
          <w:p w14:paraId="0DFDB6D2" w14:textId="77777777" w:rsidR="00046465" w:rsidRDefault="008134EB">
            <w:pPr>
              <w:pStyle w:val="TableParagraph"/>
              <w:numPr>
                <w:ilvl w:val="1"/>
                <w:numId w:val="180"/>
              </w:numPr>
              <w:tabs>
                <w:tab w:val="left" w:pos="921"/>
              </w:tabs>
              <w:spacing w:before="145"/>
              <w:ind w:right="318"/>
            </w:pPr>
            <w:r>
              <w:t>Consider the known history of the entity’s noncompliance with provisions of laws, regulations, contracts, or grant agreements, including consideration of previous findings identified</w:t>
            </w:r>
            <w:r>
              <w:rPr>
                <w:spacing w:val="-5"/>
              </w:rPr>
              <w:t xml:space="preserve"> </w:t>
            </w:r>
            <w:r>
              <w:t>in</w:t>
            </w:r>
            <w:r>
              <w:rPr>
                <w:spacing w:val="-6"/>
              </w:rPr>
              <w:t xml:space="preserve"> </w:t>
            </w:r>
            <w:r>
              <w:t>audit</w:t>
            </w:r>
            <w:r>
              <w:rPr>
                <w:spacing w:val="-5"/>
              </w:rPr>
              <w:t xml:space="preserve"> </w:t>
            </w:r>
            <w:r>
              <w:t>planning</w:t>
            </w:r>
            <w:r>
              <w:rPr>
                <w:spacing w:val="-5"/>
              </w:rPr>
              <w:t xml:space="preserve"> </w:t>
            </w:r>
            <w:r>
              <w:t>(GAGAS</w:t>
            </w:r>
            <w:r>
              <w:rPr>
                <w:spacing w:val="-4"/>
              </w:rPr>
              <w:t xml:space="preserve"> </w:t>
            </w:r>
            <w:r>
              <w:t>(2018)</w:t>
            </w:r>
            <w:r>
              <w:rPr>
                <w:spacing w:val="-4"/>
              </w:rPr>
              <w:t xml:space="preserve"> </w:t>
            </w:r>
            <w:r>
              <w:t>6.11,</w:t>
            </w:r>
            <w:r>
              <w:rPr>
                <w:spacing w:val="-5"/>
              </w:rPr>
              <w:t xml:space="preserve"> </w:t>
            </w:r>
            <w:r>
              <w:t>Results</w:t>
            </w:r>
            <w:r>
              <w:rPr>
                <w:spacing w:val="-5"/>
              </w:rPr>
              <w:t xml:space="preserve"> </w:t>
            </w:r>
            <w:r>
              <w:t>of Previous Engagements).</w:t>
            </w:r>
          </w:p>
          <w:p w14:paraId="0DFDB6D3" w14:textId="77777777" w:rsidR="00046465" w:rsidRDefault="008134EB">
            <w:pPr>
              <w:pStyle w:val="TableParagraph"/>
              <w:numPr>
                <w:ilvl w:val="1"/>
                <w:numId w:val="180"/>
              </w:numPr>
              <w:tabs>
                <w:tab w:val="left" w:pos="920"/>
              </w:tabs>
              <w:spacing w:before="144"/>
              <w:ind w:left="920" w:hanging="359"/>
            </w:pPr>
            <w:r>
              <w:t>Inquire</w:t>
            </w:r>
            <w:r>
              <w:rPr>
                <w:spacing w:val="-7"/>
              </w:rPr>
              <w:t xml:space="preserve"> </w:t>
            </w:r>
            <w:r>
              <w:t>of</w:t>
            </w:r>
            <w:r>
              <w:rPr>
                <w:spacing w:val="-6"/>
              </w:rPr>
              <w:t xml:space="preserve"> </w:t>
            </w:r>
            <w:r>
              <w:t>management</w:t>
            </w:r>
            <w:r>
              <w:rPr>
                <w:spacing w:val="-7"/>
              </w:rPr>
              <w:t xml:space="preserve"> </w:t>
            </w:r>
            <w:r>
              <w:t>about</w:t>
            </w:r>
            <w:r>
              <w:rPr>
                <w:spacing w:val="-6"/>
              </w:rPr>
              <w:t xml:space="preserve"> </w:t>
            </w:r>
            <w:r>
              <w:t>the</w:t>
            </w:r>
            <w:r>
              <w:rPr>
                <w:spacing w:val="-6"/>
              </w:rPr>
              <w:t xml:space="preserve"> </w:t>
            </w:r>
            <w:r>
              <w:rPr>
                <w:spacing w:val="-2"/>
              </w:rPr>
              <w:t>following:</w:t>
            </w:r>
          </w:p>
          <w:p w14:paraId="0DFDB6D4" w14:textId="77777777" w:rsidR="00046465" w:rsidRDefault="008134EB">
            <w:pPr>
              <w:pStyle w:val="TableParagraph"/>
              <w:numPr>
                <w:ilvl w:val="2"/>
                <w:numId w:val="180"/>
              </w:numPr>
              <w:tabs>
                <w:tab w:val="left" w:pos="1569"/>
              </w:tabs>
              <w:spacing w:before="143"/>
              <w:ind w:right="540"/>
              <w:jc w:val="left"/>
            </w:pPr>
            <w:r>
              <w:t>Other</w:t>
            </w:r>
            <w:r>
              <w:rPr>
                <w:spacing w:val="-6"/>
              </w:rPr>
              <w:t xml:space="preserve"> </w:t>
            </w:r>
            <w:r>
              <w:t>provisions</w:t>
            </w:r>
            <w:r>
              <w:rPr>
                <w:spacing w:val="-6"/>
              </w:rPr>
              <w:t xml:space="preserve"> </w:t>
            </w:r>
            <w:r>
              <w:t>of</w:t>
            </w:r>
            <w:r>
              <w:rPr>
                <w:spacing w:val="-6"/>
              </w:rPr>
              <w:t xml:space="preserve"> </w:t>
            </w:r>
            <w:r>
              <w:t>laws,</w:t>
            </w:r>
            <w:r>
              <w:rPr>
                <w:spacing w:val="-7"/>
              </w:rPr>
              <w:t xml:space="preserve"> </w:t>
            </w:r>
            <w:r>
              <w:t>regulations,</w:t>
            </w:r>
            <w:r>
              <w:rPr>
                <w:spacing w:val="-7"/>
              </w:rPr>
              <w:t xml:space="preserve"> </w:t>
            </w:r>
            <w:r>
              <w:t>contracts,</w:t>
            </w:r>
            <w:r>
              <w:rPr>
                <w:spacing w:val="-6"/>
              </w:rPr>
              <w:t xml:space="preserve"> </w:t>
            </w:r>
            <w:r>
              <w:t>or grant agreements that might have a fundamental effect on the entity's operations.</w:t>
            </w:r>
          </w:p>
          <w:p w14:paraId="0DFDB6D5" w14:textId="77777777" w:rsidR="00046465" w:rsidRDefault="008134EB">
            <w:pPr>
              <w:pStyle w:val="TableParagraph"/>
              <w:numPr>
                <w:ilvl w:val="2"/>
                <w:numId w:val="180"/>
              </w:numPr>
              <w:tabs>
                <w:tab w:val="left" w:pos="1569"/>
              </w:tabs>
              <w:spacing w:before="145"/>
              <w:ind w:right="135" w:hanging="519"/>
              <w:jc w:val="left"/>
            </w:pPr>
            <w:r>
              <w:t>Entity policies and procedures regarding compliance with</w:t>
            </w:r>
            <w:r>
              <w:rPr>
                <w:spacing w:val="-5"/>
              </w:rPr>
              <w:t xml:space="preserve"> </w:t>
            </w:r>
            <w:r>
              <w:t>provisions</w:t>
            </w:r>
            <w:r>
              <w:rPr>
                <w:spacing w:val="-5"/>
              </w:rPr>
              <w:t xml:space="preserve"> </w:t>
            </w:r>
            <w:r>
              <w:t>of</w:t>
            </w:r>
            <w:r>
              <w:rPr>
                <w:spacing w:val="-5"/>
              </w:rPr>
              <w:t xml:space="preserve"> </w:t>
            </w:r>
            <w:r>
              <w:t>laws,</w:t>
            </w:r>
            <w:r>
              <w:rPr>
                <w:spacing w:val="-5"/>
              </w:rPr>
              <w:t xml:space="preserve"> </w:t>
            </w:r>
            <w:r>
              <w:t>regulations,</w:t>
            </w:r>
            <w:r>
              <w:rPr>
                <w:spacing w:val="-6"/>
              </w:rPr>
              <w:t xml:space="preserve"> </w:t>
            </w:r>
            <w:r>
              <w:t>contracts,</w:t>
            </w:r>
            <w:r>
              <w:rPr>
                <w:spacing w:val="-5"/>
              </w:rPr>
              <w:t xml:space="preserve"> </w:t>
            </w:r>
            <w:r>
              <w:t>or</w:t>
            </w:r>
            <w:r>
              <w:rPr>
                <w:spacing w:val="-6"/>
              </w:rPr>
              <w:t xml:space="preserve"> </w:t>
            </w:r>
            <w:r>
              <w:t>grant agreements and the prevention of noncompliance.</w:t>
            </w:r>
          </w:p>
          <w:p w14:paraId="0DFDB6D6" w14:textId="77777777" w:rsidR="00046465" w:rsidRDefault="008134EB">
            <w:pPr>
              <w:pStyle w:val="TableParagraph"/>
              <w:numPr>
                <w:ilvl w:val="2"/>
                <w:numId w:val="180"/>
              </w:numPr>
              <w:tabs>
                <w:tab w:val="left" w:pos="1569"/>
              </w:tabs>
              <w:spacing w:before="143"/>
              <w:ind w:right="394" w:hanging="568"/>
              <w:jc w:val="left"/>
            </w:pPr>
            <w:r>
              <w:t>Entity policies or procedures for identifying, evaluating,</w:t>
            </w:r>
            <w:r>
              <w:rPr>
                <w:spacing w:val="-8"/>
              </w:rPr>
              <w:t xml:space="preserve"> </w:t>
            </w:r>
            <w:r>
              <w:t>and</w:t>
            </w:r>
            <w:r>
              <w:rPr>
                <w:spacing w:val="-7"/>
              </w:rPr>
              <w:t xml:space="preserve"> </w:t>
            </w:r>
            <w:r>
              <w:t>accounting</w:t>
            </w:r>
            <w:r>
              <w:rPr>
                <w:spacing w:val="-7"/>
              </w:rPr>
              <w:t xml:space="preserve"> </w:t>
            </w:r>
            <w:r>
              <w:t>for</w:t>
            </w:r>
            <w:r>
              <w:rPr>
                <w:spacing w:val="-7"/>
              </w:rPr>
              <w:t xml:space="preserve"> </w:t>
            </w:r>
            <w:r>
              <w:t>litigation,</w:t>
            </w:r>
            <w:r>
              <w:rPr>
                <w:spacing w:val="-7"/>
              </w:rPr>
              <w:t xml:space="preserve"> </w:t>
            </w:r>
            <w:r>
              <w:t>contract,</w:t>
            </w:r>
            <w:r>
              <w:rPr>
                <w:spacing w:val="-7"/>
              </w:rPr>
              <w:t xml:space="preserve"> </w:t>
            </w:r>
            <w:r>
              <w:t>or grant agreement claims.</w:t>
            </w:r>
          </w:p>
          <w:p w14:paraId="0DFDB6D7" w14:textId="77777777" w:rsidR="00046465" w:rsidRDefault="008134EB">
            <w:pPr>
              <w:pStyle w:val="TableParagraph"/>
              <w:numPr>
                <w:ilvl w:val="2"/>
                <w:numId w:val="180"/>
              </w:numPr>
              <w:tabs>
                <w:tab w:val="left" w:pos="1569"/>
              </w:tabs>
              <w:spacing w:before="145"/>
              <w:ind w:right="136" w:hanging="580"/>
              <w:jc w:val="left"/>
            </w:pPr>
            <w:r>
              <w:t>The use of directives issued by the entity and periodic representations obtained from management at appropriate levels of authority regarding compliance with</w:t>
            </w:r>
            <w:r>
              <w:rPr>
                <w:spacing w:val="-5"/>
              </w:rPr>
              <w:t xml:space="preserve"> </w:t>
            </w:r>
            <w:r>
              <w:t>provisions</w:t>
            </w:r>
            <w:r>
              <w:rPr>
                <w:spacing w:val="-5"/>
              </w:rPr>
              <w:t xml:space="preserve"> </w:t>
            </w:r>
            <w:r>
              <w:t>of</w:t>
            </w:r>
            <w:r>
              <w:rPr>
                <w:spacing w:val="-5"/>
              </w:rPr>
              <w:t xml:space="preserve"> </w:t>
            </w:r>
            <w:r>
              <w:t>laws,</w:t>
            </w:r>
            <w:r>
              <w:rPr>
                <w:spacing w:val="-5"/>
              </w:rPr>
              <w:t xml:space="preserve"> </w:t>
            </w:r>
            <w:r>
              <w:t>regulations,</w:t>
            </w:r>
            <w:r>
              <w:rPr>
                <w:spacing w:val="-6"/>
              </w:rPr>
              <w:t xml:space="preserve"> </w:t>
            </w:r>
            <w:r>
              <w:t>contracts,</w:t>
            </w:r>
            <w:r>
              <w:rPr>
                <w:spacing w:val="-5"/>
              </w:rPr>
              <w:t xml:space="preserve"> </w:t>
            </w:r>
            <w:r>
              <w:t>or</w:t>
            </w:r>
            <w:r>
              <w:rPr>
                <w:spacing w:val="-6"/>
              </w:rPr>
              <w:t xml:space="preserve"> </w:t>
            </w:r>
            <w:r>
              <w:t xml:space="preserve">grant </w:t>
            </w:r>
            <w:r>
              <w:rPr>
                <w:spacing w:val="-2"/>
              </w:rPr>
              <w:t>agreements.</w:t>
            </w:r>
          </w:p>
        </w:tc>
        <w:tc>
          <w:tcPr>
            <w:tcW w:w="1080" w:type="dxa"/>
            <w:tcBorders>
              <w:left w:val="single" w:sz="6" w:space="0" w:color="000000"/>
              <w:bottom w:val="single" w:sz="4" w:space="0" w:color="000000"/>
              <w:right w:val="single" w:sz="6" w:space="0" w:color="000000"/>
            </w:tcBorders>
          </w:tcPr>
          <w:p w14:paraId="0DFDB6D8" w14:textId="77777777" w:rsidR="00046465" w:rsidRDefault="00046465">
            <w:pPr>
              <w:pStyle w:val="TableParagraph"/>
              <w:rPr>
                <w:rFonts w:ascii="Times New Roman"/>
                <w:sz w:val="20"/>
              </w:rPr>
            </w:pPr>
          </w:p>
        </w:tc>
        <w:tc>
          <w:tcPr>
            <w:tcW w:w="1298" w:type="dxa"/>
            <w:tcBorders>
              <w:left w:val="single" w:sz="6" w:space="0" w:color="000000"/>
              <w:bottom w:val="single" w:sz="4" w:space="0" w:color="000000"/>
            </w:tcBorders>
          </w:tcPr>
          <w:p w14:paraId="0DFDB6D9" w14:textId="77777777" w:rsidR="00046465" w:rsidRDefault="00046465">
            <w:pPr>
              <w:pStyle w:val="TableParagraph"/>
              <w:rPr>
                <w:rFonts w:ascii="Times New Roman"/>
                <w:sz w:val="20"/>
              </w:rPr>
            </w:pPr>
          </w:p>
        </w:tc>
      </w:tr>
      <w:tr w:rsidR="00046465" w14:paraId="0DFDB6DE" w14:textId="77777777">
        <w:trPr>
          <w:trHeight w:val="1552"/>
        </w:trPr>
        <w:tc>
          <w:tcPr>
            <w:tcW w:w="7021" w:type="dxa"/>
            <w:tcBorders>
              <w:top w:val="single" w:sz="4" w:space="0" w:color="000000"/>
              <w:left w:val="double" w:sz="4" w:space="0" w:color="000000"/>
              <w:bottom w:val="single" w:sz="4" w:space="0" w:color="000000"/>
              <w:right w:val="single" w:sz="6" w:space="0" w:color="000000"/>
            </w:tcBorders>
          </w:tcPr>
          <w:p w14:paraId="0DFDB6DB" w14:textId="77777777" w:rsidR="00046465" w:rsidRDefault="008134EB">
            <w:pPr>
              <w:pStyle w:val="TableParagraph"/>
              <w:spacing w:before="144"/>
              <w:ind w:left="497" w:right="142" w:hanging="360"/>
            </w:pPr>
            <w:r>
              <w:t>2.</w:t>
            </w:r>
            <w:r>
              <w:rPr>
                <w:spacing w:val="80"/>
              </w:rPr>
              <w:t xml:space="preserve"> </w:t>
            </w:r>
            <w:r>
              <w:t>Identify any other significant provisions of laws or regulations for compliance testing. Attach a list of the other laws or regulations identified to this form, and reference it to control and compliance work</w:t>
            </w:r>
            <w:r>
              <w:rPr>
                <w:spacing w:val="-4"/>
              </w:rPr>
              <w:t xml:space="preserve"> </w:t>
            </w:r>
            <w:r>
              <w:t>performed.</w:t>
            </w:r>
            <w:r>
              <w:rPr>
                <w:spacing w:val="-4"/>
              </w:rPr>
              <w:t xml:space="preserve"> </w:t>
            </w:r>
            <w:r>
              <w:t>The</w:t>
            </w:r>
            <w:r>
              <w:rPr>
                <w:spacing w:val="-4"/>
              </w:rPr>
              <w:t xml:space="preserve"> </w:t>
            </w:r>
            <w:r>
              <w:t>list</w:t>
            </w:r>
            <w:r>
              <w:rPr>
                <w:spacing w:val="-4"/>
              </w:rPr>
              <w:t xml:space="preserve"> </w:t>
            </w:r>
            <w:r>
              <w:t>may</w:t>
            </w:r>
            <w:r>
              <w:rPr>
                <w:spacing w:val="-4"/>
              </w:rPr>
              <w:t xml:space="preserve"> </w:t>
            </w:r>
            <w:r>
              <w:t>be</w:t>
            </w:r>
            <w:r>
              <w:rPr>
                <w:spacing w:val="-4"/>
              </w:rPr>
              <w:t xml:space="preserve"> </w:t>
            </w:r>
            <w:r>
              <w:t>prepared</w:t>
            </w:r>
            <w:r>
              <w:rPr>
                <w:spacing w:val="-4"/>
              </w:rPr>
              <w:t xml:space="preserve"> </w:t>
            </w:r>
            <w:r>
              <w:t>as</w:t>
            </w:r>
            <w:r>
              <w:rPr>
                <w:spacing w:val="-4"/>
              </w:rPr>
              <w:t xml:space="preserve"> </w:t>
            </w:r>
            <w:r>
              <w:t>a</w:t>
            </w:r>
            <w:r>
              <w:rPr>
                <w:spacing w:val="-4"/>
              </w:rPr>
              <w:t xml:space="preserve"> </w:t>
            </w:r>
            <w:r>
              <w:t>table</w:t>
            </w:r>
            <w:r>
              <w:rPr>
                <w:spacing w:val="-4"/>
              </w:rPr>
              <w:t xml:space="preserve"> </w:t>
            </w:r>
            <w:r>
              <w:t>or</w:t>
            </w:r>
            <w:r>
              <w:rPr>
                <w:spacing w:val="-4"/>
              </w:rPr>
              <w:t xml:space="preserve"> </w:t>
            </w:r>
            <w:r>
              <w:t>any</w:t>
            </w:r>
            <w:r>
              <w:rPr>
                <w:spacing w:val="-5"/>
              </w:rPr>
              <w:t xml:space="preserve"> </w:t>
            </w:r>
            <w:r>
              <w:t>other effective means of presenting the information.</w:t>
            </w:r>
          </w:p>
        </w:tc>
        <w:tc>
          <w:tcPr>
            <w:tcW w:w="1080" w:type="dxa"/>
            <w:tcBorders>
              <w:top w:val="single" w:sz="4" w:space="0" w:color="000000"/>
              <w:left w:val="single" w:sz="6" w:space="0" w:color="000000"/>
              <w:bottom w:val="single" w:sz="4" w:space="0" w:color="000000"/>
              <w:right w:val="single" w:sz="6" w:space="0" w:color="000000"/>
            </w:tcBorders>
          </w:tcPr>
          <w:p w14:paraId="0DFDB6DC" w14:textId="77777777" w:rsidR="00046465" w:rsidRDefault="00046465">
            <w:pPr>
              <w:pStyle w:val="TableParagraph"/>
              <w:rPr>
                <w:rFonts w:ascii="Times New Roman"/>
                <w:sz w:val="20"/>
              </w:rPr>
            </w:pPr>
          </w:p>
        </w:tc>
        <w:tc>
          <w:tcPr>
            <w:tcW w:w="1298" w:type="dxa"/>
            <w:tcBorders>
              <w:top w:val="single" w:sz="4" w:space="0" w:color="000000"/>
              <w:left w:val="single" w:sz="6" w:space="0" w:color="000000"/>
              <w:bottom w:val="single" w:sz="4" w:space="0" w:color="000000"/>
            </w:tcBorders>
          </w:tcPr>
          <w:p w14:paraId="0DFDB6DD" w14:textId="77777777" w:rsidR="00046465" w:rsidRDefault="00046465">
            <w:pPr>
              <w:pStyle w:val="TableParagraph"/>
              <w:rPr>
                <w:rFonts w:ascii="Times New Roman"/>
                <w:sz w:val="20"/>
              </w:rPr>
            </w:pPr>
          </w:p>
        </w:tc>
      </w:tr>
      <w:tr w:rsidR="00046465" w14:paraId="0DFDB6E2" w14:textId="77777777">
        <w:trPr>
          <w:trHeight w:val="1300"/>
        </w:trPr>
        <w:tc>
          <w:tcPr>
            <w:tcW w:w="7021" w:type="dxa"/>
            <w:tcBorders>
              <w:top w:val="single" w:sz="4" w:space="0" w:color="000000"/>
              <w:left w:val="double" w:sz="4" w:space="0" w:color="000000"/>
              <w:bottom w:val="single" w:sz="4" w:space="0" w:color="000000"/>
              <w:right w:val="single" w:sz="6" w:space="0" w:color="000000"/>
            </w:tcBorders>
          </w:tcPr>
          <w:p w14:paraId="0DFDB6DF" w14:textId="77777777" w:rsidR="00046465" w:rsidRDefault="008134EB">
            <w:pPr>
              <w:pStyle w:val="TableParagraph"/>
              <w:spacing w:before="145"/>
              <w:ind w:left="497" w:right="142" w:hanging="360"/>
            </w:pPr>
            <w:r>
              <w:t>3.</w:t>
            </w:r>
            <w:r>
              <w:rPr>
                <w:spacing w:val="80"/>
              </w:rPr>
              <w:t xml:space="preserve"> </w:t>
            </w:r>
            <w:r>
              <w:t>As described in FAM 245.07, review the list of laws and regulations</w:t>
            </w:r>
            <w:r>
              <w:rPr>
                <w:spacing w:val="-4"/>
              </w:rPr>
              <w:t xml:space="preserve"> </w:t>
            </w:r>
            <w:r>
              <w:t>identified</w:t>
            </w:r>
            <w:r>
              <w:rPr>
                <w:spacing w:val="-4"/>
              </w:rPr>
              <w:t xml:space="preserve"> </w:t>
            </w:r>
            <w:r>
              <w:t>by</w:t>
            </w:r>
            <w:r>
              <w:rPr>
                <w:spacing w:val="-5"/>
              </w:rPr>
              <w:t xml:space="preserve"> </w:t>
            </w:r>
            <w:r>
              <w:t>the</w:t>
            </w:r>
            <w:r>
              <w:rPr>
                <w:spacing w:val="-4"/>
              </w:rPr>
              <w:t xml:space="preserve"> </w:t>
            </w:r>
            <w:r>
              <w:t>entity</w:t>
            </w:r>
            <w:r>
              <w:rPr>
                <w:spacing w:val="-4"/>
              </w:rPr>
              <w:t xml:space="preserve"> </w:t>
            </w:r>
            <w:r>
              <w:t>as</w:t>
            </w:r>
            <w:r>
              <w:rPr>
                <w:spacing w:val="-5"/>
              </w:rPr>
              <w:t xml:space="preserve"> </w:t>
            </w:r>
            <w:r>
              <w:t>significant</w:t>
            </w:r>
            <w:r>
              <w:rPr>
                <w:spacing w:val="-4"/>
              </w:rPr>
              <w:t xml:space="preserve"> </w:t>
            </w:r>
            <w:r>
              <w:t>and</w:t>
            </w:r>
            <w:r>
              <w:rPr>
                <w:spacing w:val="-4"/>
              </w:rPr>
              <w:t xml:space="preserve"> </w:t>
            </w:r>
            <w:r>
              <w:t>modify</w:t>
            </w:r>
            <w:r>
              <w:rPr>
                <w:spacing w:val="-4"/>
              </w:rPr>
              <w:t xml:space="preserve"> </w:t>
            </w:r>
            <w:r>
              <w:t>the listing in step 2 above to include any additional laws and regulations as needed.</w:t>
            </w:r>
          </w:p>
        </w:tc>
        <w:tc>
          <w:tcPr>
            <w:tcW w:w="1080" w:type="dxa"/>
            <w:tcBorders>
              <w:top w:val="single" w:sz="4" w:space="0" w:color="000000"/>
              <w:left w:val="single" w:sz="6" w:space="0" w:color="000000"/>
              <w:bottom w:val="single" w:sz="4" w:space="0" w:color="000000"/>
              <w:right w:val="single" w:sz="6" w:space="0" w:color="000000"/>
            </w:tcBorders>
          </w:tcPr>
          <w:p w14:paraId="0DFDB6E0" w14:textId="77777777" w:rsidR="00046465" w:rsidRDefault="00046465">
            <w:pPr>
              <w:pStyle w:val="TableParagraph"/>
              <w:rPr>
                <w:rFonts w:ascii="Times New Roman"/>
                <w:sz w:val="20"/>
              </w:rPr>
            </w:pPr>
          </w:p>
        </w:tc>
        <w:tc>
          <w:tcPr>
            <w:tcW w:w="1298" w:type="dxa"/>
            <w:tcBorders>
              <w:top w:val="single" w:sz="4" w:space="0" w:color="000000"/>
              <w:left w:val="single" w:sz="6" w:space="0" w:color="000000"/>
              <w:bottom w:val="single" w:sz="4" w:space="0" w:color="000000"/>
            </w:tcBorders>
          </w:tcPr>
          <w:p w14:paraId="0DFDB6E1" w14:textId="77777777" w:rsidR="00046465" w:rsidRDefault="00046465">
            <w:pPr>
              <w:pStyle w:val="TableParagraph"/>
              <w:rPr>
                <w:rFonts w:ascii="Times New Roman"/>
                <w:sz w:val="20"/>
              </w:rPr>
            </w:pPr>
          </w:p>
        </w:tc>
      </w:tr>
    </w:tbl>
    <w:p w14:paraId="0DFDB6E3" w14:textId="77777777" w:rsidR="00046465" w:rsidRDefault="00046465">
      <w:pPr>
        <w:pStyle w:val="TableParagraph"/>
        <w:rPr>
          <w:rFonts w:ascii="Times New Roman"/>
          <w:sz w:val="20"/>
        </w:rPr>
        <w:sectPr w:rsidR="00046465">
          <w:headerReference w:type="default" r:id="rId122"/>
          <w:footerReference w:type="default" r:id="rId123"/>
          <w:pgSz w:w="12240" w:h="15840"/>
          <w:pgMar w:top="1340" w:right="720" w:bottom="940" w:left="1080" w:header="721" w:footer="742" w:gutter="0"/>
          <w:cols w:space="720"/>
        </w:sectPr>
      </w:pPr>
    </w:p>
    <w:p w14:paraId="0DFDB6E4" w14:textId="77777777" w:rsidR="00046465" w:rsidRDefault="00046465">
      <w:pPr>
        <w:pStyle w:val="BodyText"/>
        <w:spacing w:before="9"/>
        <w:rPr>
          <w:sz w:val="11"/>
        </w:rPr>
      </w:pPr>
    </w:p>
    <w:tbl>
      <w:tblPr>
        <w:tblW w:w="0" w:type="auto"/>
        <w:tblInd w:w="38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21"/>
        <w:gridCol w:w="1080"/>
        <w:gridCol w:w="1298"/>
      </w:tblGrid>
      <w:tr w:rsidR="00046465" w14:paraId="0DFDB6EA" w14:textId="77777777">
        <w:trPr>
          <w:trHeight w:val="793"/>
        </w:trPr>
        <w:tc>
          <w:tcPr>
            <w:tcW w:w="7021" w:type="dxa"/>
            <w:tcBorders>
              <w:right w:val="single" w:sz="6" w:space="0" w:color="000000"/>
            </w:tcBorders>
          </w:tcPr>
          <w:p w14:paraId="0DFDB6E5" w14:textId="77777777" w:rsidR="00046465" w:rsidRDefault="00046465">
            <w:pPr>
              <w:pStyle w:val="TableParagraph"/>
              <w:spacing w:before="168"/>
            </w:pPr>
          </w:p>
          <w:p w14:paraId="0DFDB6E6" w14:textId="77777777" w:rsidR="00046465" w:rsidRDefault="008134EB">
            <w:pPr>
              <w:pStyle w:val="TableParagraph"/>
              <w:ind w:left="129"/>
              <w:rPr>
                <w:b/>
              </w:rPr>
            </w:pPr>
            <w:r>
              <w:rPr>
                <w:b/>
              </w:rPr>
              <w:t>Procedures</w:t>
            </w:r>
            <w:r>
              <w:rPr>
                <w:b/>
                <w:spacing w:val="-6"/>
              </w:rPr>
              <w:t xml:space="preserve"> </w:t>
            </w:r>
            <w:r>
              <w:rPr>
                <w:b/>
              </w:rPr>
              <w:t>for</w:t>
            </w:r>
            <w:r>
              <w:rPr>
                <w:b/>
                <w:spacing w:val="-8"/>
              </w:rPr>
              <w:t xml:space="preserve"> </w:t>
            </w:r>
            <w:r>
              <w:rPr>
                <w:b/>
              </w:rPr>
              <w:t>other</w:t>
            </w:r>
            <w:r>
              <w:rPr>
                <w:b/>
                <w:spacing w:val="-7"/>
              </w:rPr>
              <w:t xml:space="preserve"> </w:t>
            </w:r>
            <w:r>
              <w:rPr>
                <w:b/>
              </w:rPr>
              <w:t>laws</w:t>
            </w:r>
            <w:r>
              <w:rPr>
                <w:b/>
                <w:spacing w:val="-7"/>
              </w:rPr>
              <w:t xml:space="preserve"> </w:t>
            </w:r>
            <w:r>
              <w:rPr>
                <w:b/>
              </w:rPr>
              <w:t>and</w:t>
            </w:r>
            <w:r>
              <w:rPr>
                <w:b/>
                <w:spacing w:val="-7"/>
              </w:rPr>
              <w:t xml:space="preserve"> </w:t>
            </w:r>
            <w:r>
              <w:rPr>
                <w:b/>
                <w:spacing w:val="-2"/>
              </w:rPr>
              <w:t>regulations</w:t>
            </w:r>
          </w:p>
        </w:tc>
        <w:tc>
          <w:tcPr>
            <w:tcW w:w="1080" w:type="dxa"/>
            <w:tcBorders>
              <w:left w:val="single" w:sz="6" w:space="0" w:color="000000"/>
              <w:right w:val="single" w:sz="6" w:space="0" w:color="000000"/>
            </w:tcBorders>
          </w:tcPr>
          <w:p w14:paraId="0DFDB6E7" w14:textId="77777777" w:rsidR="00046465" w:rsidRDefault="008134EB">
            <w:pPr>
              <w:pStyle w:val="TableParagraph"/>
              <w:spacing w:before="144"/>
              <w:ind w:left="313" w:hanging="153"/>
              <w:rPr>
                <w:b/>
              </w:rPr>
            </w:pPr>
            <w:r>
              <w:rPr>
                <w:b/>
                <w:spacing w:val="-2"/>
              </w:rPr>
              <w:t xml:space="preserve">Initials/ </w:t>
            </w:r>
            <w:r>
              <w:rPr>
                <w:b/>
                <w:spacing w:val="-4"/>
              </w:rPr>
              <w:t>date</w:t>
            </w:r>
          </w:p>
        </w:tc>
        <w:tc>
          <w:tcPr>
            <w:tcW w:w="1298" w:type="dxa"/>
            <w:tcBorders>
              <w:left w:val="single" w:sz="6" w:space="0" w:color="000000"/>
            </w:tcBorders>
          </w:tcPr>
          <w:p w14:paraId="0DFDB6E8" w14:textId="77777777" w:rsidR="00046465" w:rsidRDefault="00046465">
            <w:pPr>
              <w:pStyle w:val="TableParagraph"/>
              <w:spacing w:before="144"/>
            </w:pPr>
          </w:p>
          <w:p w14:paraId="0DFDB6E9" w14:textId="77777777" w:rsidR="00046465" w:rsidRDefault="008134EB">
            <w:pPr>
              <w:pStyle w:val="TableParagraph"/>
              <w:ind w:left="208"/>
              <w:rPr>
                <w:b/>
              </w:rPr>
            </w:pPr>
            <w:r>
              <w:rPr>
                <w:b/>
              </w:rPr>
              <w:t>Doc.</w:t>
            </w:r>
            <w:r>
              <w:rPr>
                <w:b/>
                <w:spacing w:val="-6"/>
              </w:rPr>
              <w:t xml:space="preserve"> </w:t>
            </w:r>
            <w:r>
              <w:rPr>
                <w:b/>
                <w:spacing w:val="-4"/>
              </w:rPr>
              <w:t>ref.</w:t>
            </w:r>
          </w:p>
        </w:tc>
      </w:tr>
      <w:tr w:rsidR="00046465" w14:paraId="0DFDB6EE" w14:textId="77777777">
        <w:trPr>
          <w:trHeight w:val="2565"/>
        </w:trPr>
        <w:tc>
          <w:tcPr>
            <w:tcW w:w="7021" w:type="dxa"/>
            <w:tcBorders>
              <w:left w:val="double" w:sz="4" w:space="0" w:color="000000"/>
              <w:bottom w:val="single" w:sz="4" w:space="0" w:color="000000"/>
              <w:right w:val="single" w:sz="6" w:space="0" w:color="000000"/>
            </w:tcBorders>
          </w:tcPr>
          <w:p w14:paraId="0DFDB6EB" w14:textId="77777777" w:rsidR="00046465" w:rsidRDefault="008134EB">
            <w:pPr>
              <w:pStyle w:val="TableParagraph"/>
              <w:spacing w:before="144"/>
              <w:ind w:left="497" w:right="142" w:hanging="360"/>
            </w:pPr>
            <w:r>
              <w:t>4.</w:t>
            </w:r>
            <w:r>
              <w:rPr>
                <w:spacing w:val="80"/>
              </w:rPr>
              <w:t xml:space="preserve"> </w:t>
            </w:r>
            <w:r>
              <w:t>Provide the laws and regulations listing to OGC. Working in collaboration with the auditors, OGC will review and revise the auditor-prepared listing for accuracy and completeness in identifying</w:t>
            </w:r>
            <w:r>
              <w:rPr>
                <w:spacing w:val="-7"/>
              </w:rPr>
              <w:t xml:space="preserve"> </w:t>
            </w:r>
            <w:r>
              <w:t>and</w:t>
            </w:r>
            <w:r>
              <w:rPr>
                <w:spacing w:val="-6"/>
              </w:rPr>
              <w:t xml:space="preserve"> </w:t>
            </w:r>
            <w:r>
              <w:t>describing</w:t>
            </w:r>
            <w:r>
              <w:rPr>
                <w:spacing w:val="-6"/>
              </w:rPr>
              <w:t xml:space="preserve"> </w:t>
            </w:r>
            <w:r>
              <w:t>significant</w:t>
            </w:r>
            <w:r>
              <w:rPr>
                <w:spacing w:val="-7"/>
              </w:rPr>
              <w:t xml:space="preserve"> </w:t>
            </w:r>
            <w:r>
              <w:t>provisions</w:t>
            </w:r>
            <w:r>
              <w:rPr>
                <w:spacing w:val="-6"/>
              </w:rPr>
              <w:t xml:space="preserve"> </w:t>
            </w:r>
            <w:r>
              <w:t>in</w:t>
            </w:r>
            <w:r>
              <w:rPr>
                <w:spacing w:val="-7"/>
              </w:rPr>
              <w:t xml:space="preserve"> </w:t>
            </w:r>
            <w:r>
              <w:t>applicable</w:t>
            </w:r>
            <w:r>
              <w:rPr>
                <w:spacing w:val="-7"/>
              </w:rPr>
              <w:t xml:space="preserve"> </w:t>
            </w:r>
            <w:r>
              <w:t>laws and regulations that could have a direct effect on the determination of material amounts and disclosures in the entity’s financial statements. The auditor makes all determinations regarding</w:t>
            </w:r>
            <w:r>
              <w:rPr>
                <w:spacing w:val="-1"/>
              </w:rPr>
              <w:t xml:space="preserve"> </w:t>
            </w:r>
            <w:r>
              <w:t>materiality.</w:t>
            </w:r>
            <w:r>
              <w:rPr>
                <w:spacing w:val="-1"/>
              </w:rPr>
              <w:t xml:space="preserve"> </w:t>
            </w:r>
            <w:r>
              <w:t>After</w:t>
            </w:r>
            <w:r>
              <w:rPr>
                <w:spacing w:val="-1"/>
              </w:rPr>
              <w:t xml:space="preserve"> </w:t>
            </w:r>
            <w:r>
              <w:t>consulting</w:t>
            </w:r>
            <w:r>
              <w:rPr>
                <w:spacing w:val="-1"/>
              </w:rPr>
              <w:t xml:space="preserve"> </w:t>
            </w:r>
            <w:r>
              <w:t>with</w:t>
            </w:r>
            <w:r>
              <w:rPr>
                <w:spacing w:val="-1"/>
              </w:rPr>
              <w:t xml:space="preserve"> </w:t>
            </w:r>
            <w:r>
              <w:t>OGC, finalize</w:t>
            </w:r>
            <w:r>
              <w:rPr>
                <w:spacing w:val="-2"/>
              </w:rPr>
              <w:t xml:space="preserve"> </w:t>
            </w:r>
            <w:r>
              <w:t>the</w:t>
            </w:r>
            <w:r>
              <w:rPr>
                <w:spacing w:val="-1"/>
              </w:rPr>
              <w:t xml:space="preserve"> </w:t>
            </w:r>
            <w:r>
              <w:t>laws and regulations listing.</w:t>
            </w:r>
          </w:p>
        </w:tc>
        <w:tc>
          <w:tcPr>
            <w:tcW w:w="1080" w:type="dxa"/>
            <w:tcBorders>
              <w:left w:val="single" w:sz="6" w:space="0" w:color="000000"/>
              <w:bottom w:val="single" w:sz="4" w:space="0" w:color="000000"/>
              <w:right w:val="single" w:sz="6" w:space="0" w:color="000000"/>
            </w:tcBorders>
          </w:tcPr>
          <w:p w14:paraId="0DFDB6EC" w14:textId="77777777" w:rsidR="00046465" w:rsidRDefault="00046465">
            <w:pPr>
              <w:pStyle w:val="TableParagraph"/>
              <w:rPr>
                <w:rFonts w:ascii="Times New Roman"/>
                <w:sz w:val="20"/>
              </w:rPr>
            </w:pPr>
          </w:p>
        </w:tc>
        <w:tc>
          <w:tcPr>
            <w:tcW w:w="1298" w:type="dxa"/>
            <w:tcBorders>
              <w:left w:val="single" w:sz="6" w:space="0" w:color="000000"/>
              <w:bottom w:val="single" w:sz="4" w:space="0" w:color="000000"/>
            </w:tcBorders>
          </w:tcPr>
          <w:p w14:paraId="0DFDB6ED" w14:textId="77777777" w:rsidR="00046465" w:rsidRDefault="00046465">
            <w:pPr>
              <w:pStyle w:val="TableParagraph"/>
              <w:rPr>
                <w:rFonts w:ascii="Times New Roman"/>
                <w:sz w:val="20"/>
              </w:rPr>
            </w:pPr>
          </w:p>
        </w:tc>
      </w:tr>
      <w:tr w:rsidR="00046465" w14:paraId="0DFDB6F6" w14:textId="77777777">
        <w:trPr>
          <w:trHeight w:val="5020"/>
        </w:trPr>
        <w:tc>
          <w:tcPr>
            <w:tcW w:w="7021" w:type="dxa"/>
            <w:tcBorders>
              <w:top w:val="single" w:sz="4" w:space="0" w:color="000000"/>
              <w:left w:val="double" w:sz="4" w:space="0" w:color="000000"/>
              <w:bottom w:val="single" w:sz="4" w:space="0" w:color="000000"/>
              <w:right w:val="single" w:sz="6" w:space="0" w:color="000000"/>
            </w:tcBorders>
          </w:tcPr>
          <w:p w14:paraId="0DFDB6EF" w14:textId="77777777" w:rsidR="00046465" w:rsidRDefault="008134EB">
            <w:pPr>
              <w:pStyle w:val="TableParagraph"/>
              <w:numPr>
                <w:ilvl w:val="0"/>
                <w:numId w:val="179"/>
              </w:numPr>
              <w:tabs>
                <w:tab w:val="left" w:pos="497"/>
              </w:tabs>
              <w:spacing w:before="144"/>
              <w:ind w:right="409"/>
            </w:pPr>
            <w:r>
              <w:t>Determine</w:t>
            </w:r>
            <w:r>
              <w:rPr>
                <w:spacing w:val="-4"/>
              </w:rPr>
              <w:t xml:space="preserve"> </w:t>
            </w:r>
            <w:r>
              <w:t>whether</w:t>
            </w:r>
            <w:r>
              <w:rPr>
                <w:spacing w:val="-5"/>
              </w:rPr>
              <w:t xml:space="preserve"> </w:t>
            </w:r>
            <w:r>
              <w:t>to</w:t>
            </w:r>
            <w:r>
              <w:rPr>
                <w:spacing w:val="-5"/>
              </w:rPr>
              <w:t xml:space="preserve"> </w:t>
            </w:r>
            <w:r>
              <w:t>test</w:t>
            </w:r>
            <w:r>
              <w:rPr>
                <w:spacing w:val="-5"/>
              </w:rPr>
              <w:t xml:space="preserve"> </w:t>
            </w:r>
            <w:r>
              <w:t>compliance</w:t>
            </w:r>
            <w:r>
              <w:rPr>
                <w:spacing w:val="-5"/>
              </w:rPr>
              <w:t xml:space="preserve"> </w:t>
            </w:r>
            <w:r>
              <w:t>with</w:t>
            </w:r>
            <w:r>
              <w:rPr>
                <w:spacing w:val="-5"/>
              </w:rPr>
              <w:t xml:space="preserve"> </w:t>
            </w:r>
            <w:r>
              <w:t>any</w:t>
            </w:r>
            <w:r>
              <w:rPr>
                <w:spacing w:val="-6"/>
              </w:rPr>
              <w:t xml:space="preserve"> </w:t>
            </w:r>
            <w:r>
              <w:t>indirect</w:t>
            </w:r>
            <w:r>
              <w:rPr>
                <w:spacing w:val="-5"/>
              </w:rPr>
              <w:t xml:space="preserve"> </w:t>
            </w:r>
            <w:r>
              <w:t>laws</w:t>
            </w:r>
            <w:r>
              <w:rPr>
                <w:spacing w:val="-5"/>
              </w:rPr>
              <w:t xml:space="preserve"> </w:t>
            </w:r>
            <w:r>
              <w:t>or regulations and perform the procedures, as discussed in</w:t>
            </w:r>
          </w:p>
          <w:p w14:paraId="0DFDB6F0" w14:textId="77777777" w:rsidR="00046465" w:rsidRDefault="008134EB">
            <w:pPr>
              <w:pStyle w:val="TableParagraph"/>
              <w:ind w:left="497"/>
            </w:pPr>
            <w:r>
              <w:t>FAM</w:t>
            </w:r>
            <w:r>
              <w:rPr>
                <w:spacing w:val="-8"/>
              </w:rPr>
              <w:t xml:space="preserve"> </w:t>
            </w:r>
            <w:r>
              <w:t>245.09</w:t>
            </w:r>
            <w:r>
              <w:rPr>
                <w:spacing w:val="-5"/>
              </w:rPr>
              <w:t xml:space="preserve"> </w:t>
            </w:r>
            <w:r>
              <w:t>through</w:t>
            </w:r>
            <w:r>
              <w:rPr>
                <w:spacing w:val="-6"/>
              </w:rPr>
              <w:t xml:space="preserve"> </w:t>
            </w:r>
            <w:r>
              <w:rPr>
                <w:spacing w:val="-4"/>
              </w:rPr>
              <w:t>.10.</w:t>
            </w:r>
          </w:p>
          <w:p w14:paraId="0DFDB6F1" w14:textId="77777777" w:rsidR="00046465" w:rsidRDefault="008134EB">
            <w:pPr>
              <w:pStyle w:val="TableParagraph"/>
              <w:numPr>
                <w:ilvl w:val="1"/>
                <w:numId w:val="179"/>
              </w:numPr>
              <w:tabs>
                <w:tab w:val="left" w:pos="929"/>
              </w:tabs>
              <w:spacing w:before="144"/>
              <w:ind w:right="235"/>
            </w:pPr>
            <w:r>
              <w:t>Inquire of management and, when appropriate, those charged</w:t>
            </w:r>
            <w:r>
              <w:rPr>
                <w:spacing w:val="-7"/>
              </w:rPr>
              <w:t xml:space="preserve"> </w:t>
            </w:r>
            <w:r>
              <w:t>with</w:t>
            </w:r>
            <w:r>
              <w:rPr>
                <w:spacing w:val="-7"/>
              </w:rPr>
              <w:t xml:space="preserve"> </w:t>
            </w:r>
            <w:r>
              <w:t>governance</w:t>
            </w:r>
            <w:r>
              <w:rPr>
                <w:spacing w:val="-7"/>
              </w:rPr>
              <w:t xml:space="preserve"> </w:t>
            </w:r>
            <w:r>
              <w:t>regarding</w:t>
            </w:r>
            <w:r>
              <w:rPr>
                <w:spacing w:val="-8"/>
              </w:rPr>
              <w:t xml:space="preserve"> </w:t>
            </w:r>
            <w:r>
              <w:t>policies</w:t>
            </w:r>
            <w:r>
              <w:rPr>
                <w:spacing w:val="-7"/>
              </w:rPr>
              <w:t xml:space="preserve"> </w:t>
            </w:r>
            <w:r>
              <w:t>and</w:t>
            </w:r>
            <w:r>
              <w:rPr>
                <w:spacing w:val="-8"/>
              </w:rPr>
              <w:t xml:space="preserve"> </w:t>
            </w:r>
            <w:r>
              <w:t>procedures that prevent noncompliance and whether they are in compliance with those policies and procedures.</w:t>
            </w:r>
          </w:p>
          <w:p w14:paraId="0DFDB6F2" w14:textId="77777777" w:rsidR="00046465" w:rsidRDefault="008134EB">
            <w:pPr>
              <w:pStyle w:val="TableParagraph"/>
              <w:numPr>
                <w:ilvl w:val="1"/>
                <w:numId w:val="179"/>
              </w:numPr>
              <w:tabs>
                <w:tab w:val="left" w:pos="929"/>
              </w:tabs>
              <w:spacing w:before="144"/>
              <w:ind w:right="150"/>
            </w:pPr>
            <w:r>
              <w:t>Through</w:t>
            </w:r>
            <w:r>
              <w:rPr>
                <w:spacing w:val="-5"/>
              </w:rPr>
              <w:t xml:space="preserve"> </w:t>
            </w:r>
            <w:r>
              <w:t>other</w:t>
            </w:r>
            <w:r>
              <w:rPr>
                <w:spacing w:val="-5"/>
              </w:rPr>
              <w:t xml:space="preserve"> </w:t>
            </w:r>
            <w:r>
              <w:t>audit</w:t>
            </w:r>
            <w:r>
              <w:rPr>
                <w:spacing w:val="-5"/>
              </w:rPr>
              <w:t xml:space="preserve"> </w:t>
            </w:r>
            <w:r>
              <w:t>procedures</w:t>
            </w:r>
            <w:r>
              <w:rPr>
                <w:spacing w:val="-5"/>
              </w:rPr>
              <w:t xml:space="preserve"> </w:t>
            </w:r>
            <w:r>
              <w:t>that</w:t>
            </w:r>
            <w:r>
              <w:rPr>
                <w:spacing w:val="-5"/>
              </w:rPr>
              <w:t xml:space="preserve"> </w:t>
            </w:r>
            <w:r>
              <w:t>the</w:t>
            </w:r>
            <w:r>
              <w:rPr>
                <w:spacing w:val="-5"/>
              </w:rPr>
              <w:t xml:space="preserve"> </w:t>
            </w:r>
            <w:r>
              <w:t>cycle</w:t>
            </w:r>
            <w:r>
              <w:rPr>
                <w:spacing w:val="-6"/>
              </w:rPr>
              <w:t xml:space="preserve"> </w:t>
            </w:r>
            <w:r>
              <w:t>teams</w:t>
            </w:r>
            <w:r>
              <w:rPr>
                <w:spacing w:val="-5"/>
              </w:rPr>
              <w:t xml:space="preserve"> </w:t>
            </w:r>
            <w:r>
              <w:t>perform that are not directly designed for compliance, determine whether any issues regarding significant provisions of applicable laws, regulations, contracts, or grant agreements were identified.</w:t>
            </w:r>
          </w:p>
          <w:p w14:paraId="0DFDB6F3" w14:textId="77777777" w:rsidR="00046465" w:rsidRDefault="008134EB">
            <w:pPr>
              <w:pStyle w:val="TableParagraph"/>
              <w:numPr>
                <w:ilvl w:val="1"/>
                <w:numId w:val="179"/>
              </w:numPr>
              <w:tabs>
                <w:tab w:val="left" w:pos="856"/>
                <w:tab w:val="left" w:pos="929"/>
              </w:tabs>
              <w:spacing w:before="144"/>
              <w:ind w:right="379"/>
            </w:pPr>
            <w:r>
              <w:t>Review reports issued by other oversight bodies of the audited</w:t>
            </w:r>
            <w:r>
              <w:rPr>
                <w:spacing w:val="-4"/>
              </w:rPr>
              <w:t xml:space="preserve"> </w:t>
            </w:r>
            <w:r>
              <w:t>entity,</w:t>
            </w:r>
            <w:r>
              <w:rPr>
                <w:spacing w:val="-4"/>
              </w:rPr>
              <w:t xml:space="preserve"> </w:t>
            </w:r>
            <w:r>
              <w:t>such</w:t>
            </w:r>
            <w:r>
              <w:rPr>
                <w:spacing w:val="-4"/>
              </w:rPr>
              <w:t xml:space="preserve"> </w:t>
            </w:r>
            <w:r>
              <w:t>as</w:t>
            </w:r>
            <w:r>
              <w:rPr>
                <w:spacing w:val="-4"/>
              </w:rPr>
              <w:t xml:space="preserve"> </w:t>
            </w:r>
            <w:r>
              <w:t>GAO</w:t>
            </w:r>
            <w:r>
              <w:rPr>
                <w:spacing w:val="-5"/>
              </w:rPr>
              <w:t xml:space="preserve"> </w:t>
            </w:r>
            <w:r>
              <w:t>and</w:t>
            </w:r>
            <w:r>
              <w:rPr>
                <w:spacing w:val="-4"/>
              </w:rPr>
              <w:t xml:space="preserve"> </w:t>
            </w:r>
            <w:r>
              <w:t>the</w:t>
            </w:r>
            <w:r>
              <w:rPr>
                <w:spacing w:val="-4"/>
              </w:rPr>
              <w:t xml:space="preserve"> </w:t>
            </w:r>
            <w:r>
              <w:t>office</w:t>
            </w:r>
            <w:r>
              <w:rPr>
                <w:spacing w:val="-4"/>
              </w:rPr>
              <w:t xml:space="preserve"> </w:t>
            </w:r>
            <w:r>
              <w:t>of</w:t>
            </w:r>
            <w:r>
              <w:rPr>
                <w:spacing w:val="-4"/>
              </w:rPr>
              <w:t xml:space="preserve"> </w:t>
            </w:r>
            <w:r>
              <w:t>the</w:t>
            </w:r>
            <w:r>
              <w:rPr>
                <w:spacing w:val="-5"/>
              </w:rPr>
              <w:t xml:space="preserve"> </w:t>
            </w:r>
            <w:r>
              <w:t>inspector general, for any reported instances of noncompliance and determine if those instances could be material to the financial statements.</w:t>
            </w:r>
          </w:p>
        </w:tc>
        <w:tc>
          <w:tcPr>
            <w:tcW w:w="1080" w:type="dxa"/>
            <w:tcBorders>
              <w:top w:val="single" w:sz="4" w:space="0" w:color="000000"/>
              <w:left w:val="single" w:sz="6" w:space="0" w:color="000000"/>
              <w:bottom w:val="single" w:sz="4" w:space="0" w:color="000000"/>
              <w:right w:val="single" w:sz="6" w:space="0" w:color="000000"/>
            </w:tcBorders>
          </w:tcPr>
          <w:p w14:paraId="0DFDB6F4" w14:textId="77777777" w:rsidR="00046465" w:rsidRDefault="00046465">
            <w:pPr>
              <w:pStyle w:val="TableParagraph"/>
              <w:rPr>
                <w:rFonts w:ascii="Times New Roman"/>
                <w:sz w:val="20"/>
              </w:rPr>
            </w:pPr>
          </w:p>
        </w:tc>
        <w:tc>
          <w:tcPr>
            <w:tcW w:w="1298" w:type="dxa"/>
            <w:tcBorders>
              <w:top w:val="single" w:sz="4" w:space="0" w:color="000000"/>
              <w:left w:val="single" w:sz="6" w:space="0" w:color="000000"/>
              <w:bottom w:val="single" w:sz="4" w:space="0" w:color="000000"/>
            </w:tcBorders>
          </w:tcPr>
          <w:p w14:paraId="0DFDB6F5" w14:textId="77777777" w:rsidR="00046465" w:rsidRDefault="00046465">
            <w:pPr>
              <w:pStyle w:val="TableParagraph"/>
              <w:rPr>
                <w:rFonts w:ascii="Times New Roman"/>
                <w:sz w:val="20"/>
              </w:rPr>
            </w:pPr>
          </w:p>
        </w:tc>
      </w:tr>
      <w:tr w:rsidR="00046465" w14:paraId="0DFDB6FA" w14:textId="77777777">
        <w:trPr>
          <w:trHeight w:val="1554"/>
        </w:trPr>
        <w:tc>
          <w:tcPr>
            <w:tcW w:w="7021" w:type="dxa"/>
            <w:tcBorders>
              <w:top w:val="single" w:sz="4" w:space="0" w:color="000000"/>
              <w:right w:val="single" w:sz="6" w:space="0" w:color="000000"/>
            </w:tcBorders>
          </w:tcPr>
          <w:p w14:paraId="0DFDB6F7" w14:textId="77777777" w:rsidR="00046465" w:rsidRDefault="008134EB">
            <w:pPr>
              <w:pStyle w:val="TableParagraph"/>
              <w:spacing w:before="144"/>
              <w:ind w:left="489" w:right="175" w:hanging="360"/>
              <w:rPr>
                <w:i/>
              </w:rPr>
            </w:pPr>
            <w:r>
              <w:t>6.</w:t>
            </w:r>
            <w:r>
              <w:rPr>
                <w:spacing w:val="80"/>
              </w:rPr>
              <w:t xml:space="preserve"> </w:t>
            </w:r>
            <w:r>
              <w:t>For all laws or regulations identified for testing above, identify significant provisions using the criteria in FAM 245.06. Test compliance</w:t>
            </w:r>
            <w:r>
              <w:rPr>
                <w:spacing w:val="-6"/>
              </w:rPr>
              <w:t xml:space="preserve"> </w:t>
            </w:r>
            <w:r>
              <w:t>controls</w:t>
            </w:r>
            <w:r>
              <w:rPr>
                <w:spacing w:val="-5"/>
              </w:rPr>
              <w:t xml:space="preserve"> </w:t>
            </w:r>
            <w:r>
              <w:t>and</w:t>
            </w:r>
            <w:r>
              <w:rPr>
                <w:spacing w:val="-6"/>
              </w:rPr>
              <w:t xml:space="preserve"> </w:t>
            </w:r>
            <w:r>
              <w:t>compliance</w:t>
            </w:r>
            <w:r>
              <w:rPr>
                <w:spacing w:val="-6"/>
              </w:rPr>
              <w:t xml:space="preserve"> </w:t>
            </w:r>
            <w:r>
              <w:t>as</w:t>
            </w:r>
            <w:r>
              <w:rPr>
                <w:spacing w:val="-5"/>
              </w:rPr>
              <w:t xml:space="preserve"> </w:t>
            </w:r>
            <w:r>
              <w:t>described</w:t>
            </w:r>
            <w:r>
              <w:rPr>
                <w:spacing w:val="-5"/>
              </w:rPr>
              <w:t xml:space="preserve"> </w:t>
            </w:r>
            <w:r>
              <w:t>in</w:t>
            </w:r>
            <w:r>
              <w:rPr>
                <w:spacing w:val="-5"/>
              </w:rPr>
              <w:t xml:space="preserve"> </w:t>
            </w:r>
            <w:r>
              <w:t>FAM</w:t>
            </w:r>
            <w:r>
              <w:rPr>
                <w:spacing w:val="-6"/>
              </w:rPr>
              <w:t xml:space="preserve"> </w:t>
            </w:r>
            <w:r>
              <w:t xml:space="preserve">300, Internal Control Phase, and FAM 460, Perform Compliance </w:t>
            </w:r>
            <w:r>
              <w:rPr>
                <w:spacing w:val="-2"/>
              </w:rPr>
              <w:t>Tests</w:t>
            </w:r>
            <w:r>
              <w:rPr>
                <w:i/>
                <w:spacing w:val="-2"/>
              </w:rPr>
              <w:t>.</w:t>
            </w:r>
          </w:p>
        </w:tc>
        <w:tc>
          <w:tcPr>
            <w:tcW w:w="1080" w:type="dxa"/>
            <w:tcBorders>
              <w:top w:val="single" w:sz="4" w:space="0" w:color="000000"/>
              <w:left w:val="single" w:sz="6" w:space="0" w:color="000000"/>
              <w:right w:val="single" w:sz="6" w:space="0" w:color="000000"/>
            </w:tcBorders>
          </w:tcPr>
          <w:p w14:paraId="0DFDB6F8" w14:textId="77777777" w:rsidR="00046465" w:rsidRDefault="00046465">
            <w:pPr>
              <w:pStyle w:val="TableParagraph"/>
              <w:rPr>
                <w:rFonts w:ascii="Times New Roman"/>
                <w:sz w:val="20"/>
              </w:rPr>
            </w:pPr>
          </w:p>
        </w:tc>
        <w:tc>
          <w:tcPr>
            <w:tcW w:w="1298" w:type="dxa"/>
            <w:tcBorders>
              <w:top w:val="single" w:sz="4" w:space="0" w:color="000000"/>
              <w:left w:val="single" w:sz="6" w:space="0" w:color="000000"/>
            </w:tcBorders>
          </w:tcPr>
          <w:p w14:paraId="0DFDB6F9" w14:textId="77777777" w:rsidR="00046465" w:rsidRDefault="00046465">
            <w:pPr>
              <w:pStyle w:val="TableParagraph"/>
              <w:rPr>
                <w:rFonts w:ascii="Times New Roman"/>
                <w:sz w:val="20"/>
              </w:rPr>
            </w:pPr>
          </w:p>
        </w:tc>
      </w:tr>
    </w:tbl>
    <w:p w14:paraId="0DFDB6FB" w14:textId="77777777" w:rsidR="00046465" w:rsidRDefault="00046465">
      <w:pPr>
        <w:pStyle w:val="TableParagraph"/>
        <w:rPr>
          <w:rFonts w:ascii="Times New Roman"/>
          <w:sz w:val="20"/>
        </w:rPr>
        <w:sectPr w:rsidR="00046465">
          <w:pgSz w:w="12240" w:h="15840"/>
          <w:pgMar w:top="1340" w:right="720" w:bottom="940" w:left="1080" w:header="721" w:footer="742" w:gutter="0"/>
          <w:cols w:space="720"/>
        </w:sectPr>
      </w:pPr>
    </w:p>
    <w:p w14:paraId="0DFDB6FC" w14:textId="77777777" w:rsidR="00046465" w:rsidRDefault="008134EB">
      <w:pPr>
        <w:pStyle w:val="Heading4"/>
        <w:spacing w:before="121"/>
      </w:pPr>
      <w:bookmarkStart w:id="163" w:name="Instructions_for_Compliance_Supplements"/>
      <w:bookmarkEnd w:id="163"/>
      <w:r>
        <w:lastRenderedPageBreak/>
        <w:t>Instructions</w:t>
      </w:r>
      <w:r>
        <w:rPr>
          <w:spacing w:val="-17"/>
        </w:rPr>
        <w:t xml:space="preserve"> </w:t>
      </w:r>
      <w:r>
        <w:t>for</w:t>
      </w:r>
      <w:r>
        <w:rPr>
          <w:spacing w:val="-15"/>
        </w:rPr>
        <w:t xml:space="preserve"> </w:t>
      </w:r>
      <w:r>
        <w:t>Compliance</w:t>
      </w:r>
      <w:r>
        <w:rPr>
          <w:spacing w:val="-15"/>
        </w:rPr>
        <w:t xml:space="preserve"> </w:t>
      </w:r>
      <w:r>
        <w:rPr>
          <w:spacing w:val="-2"/>
        </w:rPr>
        <w:t>Supplements</w:t>
      </w:r>
    </w:p>
    <w:p w14:paraId="0DFDB6FD" w14:textId="77777777" w:rsidR="00046465" w:rsidRDefault="008134EB">
      <w:pPr>
        <w:pStyle w:val="ListParagraph"/>
        <w:numPr>
          <w:ilvl w:val="0"/>
          <w:numId w:val="8"/>
        </w:numPr>
        <w:tabs>
          <w:tab w:val="left" w:pos="1710"/>
        </w:tabs>
        <w:ind w:right="1538"/>
      </w:pPr>
      <w:r>
        <w:t>Each compliance supplement in FAM 803 through 811 consists of (1) a compliance</w:t>
      </w:r>
      <w:r>
        <w:rPr>
          <w:spacing w:val="-6"/>
        </w:rPr>
        <w:t xml:space="preserve"> </w:t>
      </w:r>
      <w:r>
        <w:t>summary,</w:t>
      </w:r>
      <w:r>
        <w:rPr>
          <w:spacing w:val="-5"/>
        </w:rPr>
        <w:t xml:space="preserve"> </w:t>
      </w:r>
      <w:r>
        <w:t>(2)</w:t>
      </w:r>
      <w:r>
        <w:rPr>
          <w:spacing w:val="-5"/>
        </w:rPr>
        <w:t xml:space="preserve"> </w:t>
      </w:r>
      <w:r>
        <w:t>compliance</w:t>
      </w:r>
      <w:r>
        <w:rPr>
          <w:spacing w:val="-5"/>
        </w:rPr>
        <w:t xml:space="preserve"> </w:t>
      </w:r>
      <w:r>
        <w:t>audit</w:t>
      </w:r>
      <w:r>
        <w:rPr>
          <w:spacing w:val="-5"/>
        </w:rPr>
        <w:t xml:space="preserve"> </w:t>
      </w:r>
      <w:r>
        <w:t>procedures,</w:t>
      </w:r>
      <w:r>
        <w:rPr>
          <w:spacing w:val="-5"/>
        </w:rPr>
        <w:t xml:space="preserve"> </w:t>
      </w:r>
      <w:r>
        <w:t>and</w:t>
      </w:r>
      <w:r>
        <w:rPr>
          <w:spacing w:val="-6"/>
        </w:rPr>
        <w:t xml:space="preserve"> </w:t>
      </w:r>
      <w:r>
        <w:t>(3)</w:t>
      </w:r>
      <w:r>
        <w:rPr>
          <w:spacing w:val="-5"/>
        </w:rPr>
        <w:t xml:space="preserve"> </w:t>
      </w:r>
      <w:r>
        <w:t>footnotes.</w:t>
      </w:r>
    </w:p>
    <w:p w14:paraId="0DFDB6FE" w14:textId="77777777" w:rsidR="00046465" w:rsidRDefault="008134EB">
      <w:pPr>
        <w:pStyle w:val="Heading5"/>
        <w:spacing w:before="120"/>
        <w:rPr>
          <w:u w:val="none"/>
        </w:rPr>
      </w:pPr>
      <w:bookmarkStart w:id="164" w:name="Compliance_Summary"/>
      <w:bookmarkEnd w:id="164"/>
      <w:r>
        <w:t>Compliance</w:t>
      </w:r>
      <w:r>
        <w:rPr>
          <w:spacing w:val="-6"/>
        </w:rPr>
        <w:t xml:space="preserve"> </w:t>
      </w:r>
      <w:r>
        <w:rPr>
          <w:spacing w:val="-2"/>
        </w:rPr>
        <w:t>Summary</w:t>
      </w:r>
    </w:p>
    <w:p w14:paraId="0DFDB6FF" w14:textId="77777777" w:rsidR="00046465" w:rsidRDefault="008134EB">
      <w:pPr>
        <w:pStyle w:val="ListParagraph"/>
        <w:numPr>
          <w:ilvl w:val="0"/>
          <w:numId w:val="178"/>
        </w:numPr>
        <w:tabs>
          <w:tab w:val="left" w:pos="1710"/>
        </w:tabs>
        <w:spacing w:before="144"/>
        <w:ind w:right="719"/>
      </w:pPr>
      <w:r>
        <w:t>For each law identified for compliance testing on the General Compliance Checklist, the auditor should complete the related compliance summary or</w:t>
      </w:r>
      <w:r>
        <w:rPr>
          <w:spacing w:val="40"/>
        </w:rPr>
        <w:t xml:space="preserve"> </w:t>
      </w:r>
      <w:r>
        <w:t>prepare</w:t>
      </w:r>
      <w:r>
        <w:rPr>
          <w:spacing w:val="-5"/>
        </w:rPr>
        <w:t xml:space="preserve"> </w:t>
      </w:r>
      <w:r>
        <w:t>equivalent</w:t>
      </w:r>
      <w:r>
        <w:rPr>
          <w:spacing w:val="-5"/>
        </w:rPr>
        <w:t xml:space="preserve"> </w:t>
      </w:r>
      <w:r>
        <w:t>documentation.</w:t>
      </w:r>
      <w:r>
        <w:rPr>
          <w:spacing w:val="-5"/>
        </w:rPr>
        <w:t xml:space="preserve"> </w:t>
      </w:r>
      <w:r>
        <w:t>The</w:t>
      </w:r>
      <w:r>
        <w:rPr>
          <w:spacing w:val="-5"/>
        </w:rPr>
        <w:t xml:space="preserve"> </w:t>
      </w:r>
      <w:r>
        <w:t>compliance</w:t>
      </w:r>
      <w:r>
        <w:rPr>
          <w:spacing w:val="-5"/>
        </w:rPr>
        <w:t xml:space="preserve"> </w:t>
      </w:r>
      <w:r>
        <w:t>summary</w:t>
      </w:r>
      <w:r>
        <w:rPr>
          <w:spacing w:val="-5"/>
        </w:rPr>
        <w:t xml:space="preserve"> </w:t>
      </w:r>
      <w:r>
        <w:t>is</w:t>
      </w:r>
      <w:r>
        <w:rPr>
          <w:spacing w:val="-5"/>
        </w:rPr>
        <w:t xml:space="preserve"> </w:t>
      </w:r>
      <w:r>
        <w:t>designed</w:t>
      </w:r>
      <w:r>
        <w:rPr>
          <w:spacing w:val="-6"/>
        </w:rPr>
        <w:t xml:space="preserve"> </w:t>
      </w:r>
      <w:r>
        <w:t>to</w:t>
      </w:r>
      <w:r>
        <w:rPr>
          <w:spacing w:val="-5"/>
        </w:rPr>
        <w:t xml:space="preserve"> </w:t>
      </w:r>
      <w:r>
        <w:t xml:space="preserve">assist the auditor in planning compliance control tests and summarizing the results of compliance control tests and compliance tests for reporting the results of the work </w:t>
      </w:r>
      <w:r>
        <w:rPr>
          <w:spacing w:val="-2"/>
        </w:rPr>
        <w:t>performed.</w:t>
      </w:r>
    </w:p>
    <w:p w14:paraId="0DFDB700" w14:textId="77777777" w:rsidR="00046465" w:rsidRDefault="008134EB">
      <w:pPr>
        <w:pStyle w:val="ListParagraph"/>
        <w:numPr>
          <w:ilvl w:val="0"/>
          <w:numId w:val="178"/>
        </w:numPr>
        <w:tabs>
          <w:tab w:val="left" w:pos="1710"/>
        </w:tabs>
        <w:spacing w:before="144"/>
        <w:ind w:right="1146"/>
      </w:pPr>
      <w:r>
        <w:t>The first column of the compliance summary contains a descriptive title of the provision,</w:t>
      </w:r>
      <w:r>
        <w:rPr>
          <w:spacing w:val="-5"/>
        </w:rPr>
        <w:t xml:space="preserve"> </w:t>
      </w:r>
      <w:r>
        <w:t>an</w:t>
      </w:r>
      <w:r>
        <w:rPr>
          <w:spacing w:val="-4"/>
        </w:rPr>
        <w:t xml:space="preserve"> </w:t>
      </w:r>
      <w:r>
        <w:t>identification</w:t>
      </w:r>
      <w:r>
        <w:rPr>
          <w:spacing w:val="-4"/>
        </w:rPr>
        <w:t xml:space="preserve"> </w:t>
      </w:r>
      <w:r>
        <w:t>of</w:t>
      </w:r>
      <w:r>
        <w:rPr>
          <w:spacing w:val="-4"/>
        </w:rPr>
        <w:t xml:space="preserve"> </w:t>
      </w:r>
      <w:r>
        <w:t>the</w:t>
      </w:r>
      <w:r>
        <w:rPr>
          <w:spacing w:val="-4"/>
        </w:rPr>
        <w:t xml:space="preserve"> </w:t>
      </w:r>
      <w:r>
        <w:t>type</w:t>
      </w:r>
      <w:r>
        <w:rPr>
          <w:spacing w:val="-4"/>
        </w:rPr>
        <w:t xml:space="preserve"> </w:t>
      </w:r>
      <w:r>
        <w:t>of</w:t>
      </w:r>
      <w:r>
        <w:rPr>
          <w:spacing w:val="-4"/>
        </w:rPr>
        <w:t xml:space="preserve"> </w:t>
      </w:r>
      <w:r>
        <w:t>provision,</w:t>
      </w:r>
      <w:r>
        <w:rPr>
          <w:spacing w:val="-4"/>
        </w:rPr>
        <w:t xml:space="preserve"> </w:t>
      </w:r>
      <w:r>
        <w:t>a</w:t>
      </w:r>
      <w:r>
        <w:rPr>
          <w:spacing w:val="-4"/>
        </w:rPr>
        <w:t xml:space="preserve"> </w:t>
      </w:r>
      <w:r>
        <w:t>description</w:t>
      </w:r>
      <w:r>
        <w:rPr>
          <w:spacing w:val="-4"/>
        </w:rPr>
        <w:t xml:space="preserve"> </w:t>
      </w:r>
      <w:r>
        <w:t>of</w:t>
      </w:r>
      <w:r>
        <w:rPr>
          <w:spacing w:val="-4"/>
        </w:rPr>
        <w:t xml:space="preserve"> </w:t>
      </w:r>
      <w:r>
        <w:t>the</w:t>
      </w:r>
      <w:r>
        <w:rPr>
          <w:spacing w:val="-4"/>
        </w:rPr>
        <w:t xml:space="preserve"> </w:t>
      </w:r>
      <w:r>
        <w:t>specific provisions of the law that have been identified for compliance testing, and the legal reference(s) to the provision of law.</w:t>
      </w:r>
    </w:p>
    <w:p w14:paraId="0DFDB701" w14:textId="77777777" w:rsidR="00046465" w:rsidRDefault="008134EB">
      <w:pPr>
        <w:pStyle w:val="ListParagraph"/>
        <w:numPr>
          <w:ilvl w:val="0"/>
          <w:numId w:val="178"/>
        </w:numPr>
        <w:tabs>
          <w:tab w:val="left" w:pos="1710"/>
        </w:tabs>
        <w:spacing w:before="144"/>
        <w:ind w:right="902"/>
      </w:pPr>
      <w:r>
        <w:t>The</w:t>
      </w:r>
      <w:r>
        <w:rPr>
          <w:spacing w:val="-4"/>
        </w:rPr>
        <w:t xml:space="preserve"> </w:t>
      </w:r>
      <w:r>
        <w:t>second</w:t>
      </w:r>
      <w:r>
        <w:rPr>
          <w:spacing w:val="-5"/>
        </w:rPr>
        <w:t xml:space="preserve"> </w:t>
      </w:r>
      <w:r>
        <w:t>column</w:t>
      </w:r>
      <w:r>
        <w:rPr>
          <w:spacing w:val="-4"/>
        </w:rPr>
        <w:t xml:space="preserve"> </w:t>
      </w:r>
      <w:r>
        <w:t>of</w:t>
      </w:r>
      <w:r>
        <w:rPr>
          <w:spacing w:val="-4"/>
        </w:rPr>
        <w:t xml:space="preserve"> </w:t>
      </w:r>
      <w:r>
        <w:t>the</w:t>
      </w:r>
      <w:r>
        <w:rPr>
          <w:spacing w:val="-4"/>
        </w:rPr>
        <w:t xml:space="preserve"> </w:t>
      </w:r>
      <w:r>
        <w:t>compliance</w:t>
      </w:r>
      <w:r>
        <w:rPr>
          <w:spacing w:val="-4"/>
        </w:rPr>
        <w:t xml:space="preserve"> </w:t>
      </w:r>
      <w:r>
        <w:t>summary</w:t>
      </w:r>
      <w:r>
        <w:rPr>
          <w:spacing w:val="-3"/>
        </w:rPr>
        <w:t xml:space="preserve"> </w:t>
      </w:r>
      <w:r>
        <w:t>contains</w:t>
      </w:r>
      <w:r>
        <w:rPr>
          <w:spacing w:val="-4"/>
        </w:rPr>
        <w:t xml:space="preserve"> </w:t>
      </w:r>
      <w:r>
        <w:t>the</w:t>
      </w:r>
      <w:r>
        <w:rPr>
          <w:spacing w:val="-5"/>
        </w:rPr>
        <w:t xml:space="preserve"> </w:t>
      </w:r>
      <w:r>
        <w:t>objective</w:t>
      </w:r>
      <w:r>
        <w:rPr>
          <w:spacing w:val="-4"/>
        </w:rPr>
        <w:t xml:space="preserve"> </w:t>
      </w:r>
      <w:r>
        <w:t>related</w:t>
      </w:r>
      <w:r>
        <w:rPr>
          <w:spacing w:val="-4"/>
        </w:rPr>
        <w:t xml:space="preserve"> </w:t>
      </w:r>
      <w:r>
        <w:t xml:space="preserve">to the specific provision to be used for both compliance control and compliance </w:t>
      </w:r>
      <w:r>
        <w:rPr>
          <w:spacing w:val="-2"/>
        </w:rPr>
        <w:t>testing.</w:t>
      </w:r>
    </w:p>
    <w:p w14:paraId="0DFDB702" w14:textId="77777777" w:rsidR="00046465" w:rsidRDefault="008134EB">
      <w:pPr>
        <w:pStyle w:val="ListParagraph"/>
        <w:numPr>
          <w:ilvl w:val="0"/>
          <w:numId w:val="178"/>
        </w:numPr>
        <w:tabs>
          <w:tab w:val="left" w:pos="1710"/>
        </w:tabs>
        <w:spacing w:before="144"/>
        <w:ind w:right="742"/>
      </w:pPr>
      <w:r>
        <w:t>In the third column of the compliance summary, the auditor should identify the control activities that the entity has in place to achieve each objective and document the control activity. If the entity does not have a control activity that achieves</w:t>
      </w:r>
      <w:r>
        <w:rPr>
          <w:spacing w:val="-4"/>
        </w:rPr>
        <w:t xml:space="preserve"> </w:t>
      </w:r>
      <w:r>
        <w:t>the</w:t>
      </w:r>
      <w:r>
        <w:rPr>
          <w:spacing w:val="-4"/>
        </w:rPr>
        <w:t xml:space="preserve"> </w:t>
      </w:r>
      <w:r>
        <w:t>objective,</w:t>
      </w:r>
      <w:r>
        <w:rPr>
          <w:spacing w:val="-4"/>
        </w:rPr>
        <w:t xml:space="preserve"> </w:t>
      </w:r>
      <w:r>
        <w:t>then</w:t>
      </w:r>
      <w:r>
        <w:rPr>
          <w:spacing w:val="-4"/>
        </w:rPr>
        <w:t xml:space="preserve"> </w:t>
      </w:r>
      <w:r>
        <w:t>the</w:t>
      </w:r>
      <w:r>
        <w:rPr>
          <w:spacing w:val="-4"/>
        </w:rPr>
        <w:t xml:space="preserve"> </w:t>
      </w:r>
      <w:r>
        <w:t>auditor</w:t>
      </w:r>
      <w:r>
        <w:rPr>
          <w:spacing w:val="-4"/>
        </w:rPr>
        <w:t xml:space="preserve"> </w:t>
      </w:r>
      <w:r>
        <w:t>should</w:t>
      </w:r>
      <w:r>
        <w:rPr>
          <w:spacing w:val="-4"/>
        </w:rPr>
        <w:t xml:space="preserve"> </w:t>
      </w:r>
      <w:r>
        <w:t>document</w:t>
      </w:r>
      <w:r>
        <w:rPr>
          <w:spacing w:val="-4"/>
        </w:rPr>
        <w:t xml:space="preserve"> </w:t>
      </w:r>
      <w:r>
        <w:t>this</w:t>
      </w:r>
      <w:r>
        <w:rPr>
          <w:spacing w:val="-4"/>
        </w:rPr>
        <w:t xml:space="preserve"> </w:t>
      </w:r>
      <w:r>
        <w:t>condition</w:t>
      </w:r>
      <w:r>
        <w:rPr>
          <w:spacing w:val="-4"/>
        </w:rPr>
        <w:t xml:space="preserve"> </w:t>
      </w:r>
      <w:r>
        <w:t>in</w:t>
      </w:r>
      <w:r>
        <w:rPr>
          <w:spacing w:val="-4"/>
        </w:rPr>
        <w:t xml:space="preserve"> </w:t>
      </w:r>
      <w:r>
        <w:t>the</w:t>
      </w:r>
      <w:r>
        <w:rPr>
          <w:spacing w:val="-4"/>
        </w:rPr>
        <w:t xml:space="preserve"> </w:t>
      </w:r>
      <w:r>
        <w:t xml:space="preserve">third </w:t>
      </w:r>
      <w:r>
        <w:rPr>
          <w:spacing w:val="-2"/>
        </w:rPr>
        <w:t>column.</w:t>
      </w:r>
    </w:p>
    <w:p w14:paraId="0DFDB703" w14:textId="77777777" w:rsidR="00046465" w:rsidRDefault="008134EB">
      <w:pPr>
        <w:pStyle w:val="ListParagraph"/>
        <w:numPr>
          <w:ilvl w:val="0"/>
          <w:numId w:val="178"/>
        </w:numPr>
        <w:tabs>
          <w:tab w:val="left" w:pos="1710"/>
        </w:tabs>
        <w:spacing w:before="143"/>
        <w:ind w:right="978"/>
      </w:pPr>
      <w:r>
        <w:t>The fourth column of the compliance summary is used to indicate whether the control</w:t>
      </w:r>
      <w:r>
        <w:rPr>
          <w:spacing w:val="-4"/>
        </w:rPr>
        <w:t xml:space="preserve"> </w:t>
      </w:r>
      <w:r>
        <w:t>activity</w:t>
      </w:r>
      <w:r>
        <w:rPr>
          <w:spacing w:val="-4"/>
        </w:rPr>
        <w:t xml:space="preserve"> </w:t>
      </w:r>
      <w:r>
        <w:t>is</w:t>
      </w:r>
      <w:r>
        <w:rPr>
          <w:spacing w:val="-4"/>
        </w:rPr>
        <w:t xml:space="preserve"> </w:t>
      </w:r>
      <w:r>
        <w:t>an</w:t>
      </w:r>
      <w:r>
        <w:rPr>
          <w:spacing w:val="-5"/>
        </w:rPr>
        <w:t xml:space="preserve"> </w:t>
      </w:r>
      <w:r>
        <w:t>information</w:t>
      </w:r>
      <w:r>
        <w:rPr>
          <w:spacing w:val="-4"/>
        </w:rPr>
        <w:t xml:space="preserve"> </w:t>
      </w:r>
      <w:r>
        <w:t>system</w:t>
      </w:r>
      <w:r>
        <w:rPr>
          <w:spacing w:val="-5"/>
        </w:rPr>
        <w:t xml:space="preserve"> </w:t>
      </w:r>
      <w:r>
        <w:t>control</w:t>
      </w:r>
      <w:r>
        <w:rPr>
          <w:spacing w:val="-4"/>
        </w:rPr>
        <w:t xml:space="preserve"> </w:t>
      </w:r>
      <w:r>
        <w:t>(IS</w:t>
      </w:r>
      <w:r>
        <w:rPr>
          <w:spacing w:val="-4"/>
        </w:rPr>
        <w:t xml:space="preserve"> </w:t>
      </w:r>
      <w:r>
        <w:t>control)</w:t>
      </w:r>
      <w:r>
        <w:rPr>
          <w:spacing w:val="-4"/>
        </w:rPr>
        <w:t xml:space="preserve"> </w:t>
      </w:r>
      <w:r>
        <w:t>as</w:t>
      </w:r>
      <w:r>
        <w:rPr>
          <w:spacing w:val="-4"/>
        </w:rPr>
        <w:t xml:space="preserve"> </w:t>
      </w:r>
      <w:r>
        <w:t>described</w:t>
      </w:r>
      <w:r>
        <w:rPr>
          <w:spacing w:val="-5"/>
        </w:rPr>
        <w:t xml:space="preserve"> </w:t>
      </w:r>
      <w:r>
        <w:t>in</w:t>
      </w:r>
      <w:r>
        <w:rPr>
          <w:spacing w:val="-4"/>
        </w:rPr>
        <w:t xml:space="preserve"> </w:t>
      </w:r>
      <w:r>
        <w:t>FAM</w:t>
      </w:r>
    </w:p>
    <w:p w14:paraId="0DFDB704" w14:textId="77777777" w:rsidR="00046465" w:rsidRDefault="008134EB">
      <w:pPr>
        <w:pStyle w:val="BodyText"/>
        <w:spacing w:before="1"/>
        <w:ind w:left="1710" w:right="749"/>
      </w:pPr>
      <w:r>
        <w:t>340. IS controls are internal controls that depend on information system processing (i.e., processing performed by the entity’s IT applications and supporting</w:t>
      </w:r>
      <w:r>
        <w:rPr>
          <w:spacing w:val="-2"/>
        </w:rPr>
        <w:t xml:space="preserve"> </w:t>
      </w:r>
      <w:r>
        <w:t>IT</w:t>
      </w:r>
      <w:r>
        <w:rPr>
          <w:spacing w:val="-2"/>
        </w:rPr>
        <w:t xml:space="preserve"> </w:t>
      </w:r>
      <w:r>
        <w:t>infrastructure).</w:t>
      </w:r>
      <w:r>
        <w:rPr>
          <w:spacing w:val="-2"/>
        </w:rPr>
        <w:t xml:space="preserve"> </w:t>
      </w:r>
      <w:r>
        <w:t>They</w:t>
      </w:r>
      <w:r>
        <w:rPr>
          <w:spacing w:val="-2"/>
        </w:rPr>
        <w:t xml:space="preserve"> </w:t>
      </w:r>
      <w:r>
        <w:t>include</w:t>
      </w:r>
      <w:r>
        <w:rPr>
          <w:spacing w:val="-2"/>
        </w:rPr>
        <w:t xml:space="preserve"> </w:t>
      </w:r>
      <w:r>
        <w:t>user</w:t>
      </w:r>
      <w:r>
        <w:rPr>
          <w:spacing w:val="-4"/>
        </w:rPr>
        <w:t xml:space="preserve"> </w:t>
      </w:r>
      <w:r>
        <w:t>controls,</w:t>
      </w:r>
      <w:r>
        <w:rPr>
          <w:spacing w:val="-2"/>
        </w:rPr>
        <w:t xml:space="preserve"> </w:t>
      </w:r>
      <w:r>
        <w:t>application</w:t>
      </w:r>
      <w:r>
        <w:rPr>
          <w:spacing w:val="-3"/>
        </w:rPr>
        <w:t xml:space="preserve"> </w:t>
      </w:r>
      <w:r>
        <w:t>controls,</w:t>
      </w:r>
      <w:r>
        <w:rPr>
          <w:spacing w:val="-2"/>
        </w:rPr>
        <w:t xml:space="preserve"> </w:t>
      </w:r>
      <w:r>
        <w:t>and general controls. Due to the technical nature of IS controls, the auditor generally should</w:t>
      </w:r>
      <w:r>
        <w:rPr>
          <w:spacing w:val="-3"/>
        </w:rPr>
        <w:t xml:space="preserve"> </w:t>
      </w:r>
      <w:r>
        <w:t>obtain</w:t>
      </w:r>
      <w:r>
        <w:rPr>
          <w:spacing w:val="-3"/>
        </w:rPr>
        <w:t xml:space="preserve"> </w:t>
      </w:r>
      <w:r>
        <w:t>assistance</w:t>
      </w:r>
      <w:r>
        <w:rPr>
          <w:spacing w:val="-4"/>
        </w:rPr>
        <w:t xml:space="preserve"> </w:t>
      </w:r>
      <w:r>
        <w:t>from</w:t>
      </w:r>
      <w:r>
        <w:rPr>
          <w:spacing w:val="-4"/>
        </w:rPr>
        <w:t xml:space="preserve"> </w:t>
      </w:r>
      <w:r>
        <w:t>an</w:t>
      </w:r>
      <w:r>
        <w:rPr>
          <w:spacing w:val="-3"/>
        </w:rPr>
        <w:t xml:space="preserve"> </w:t>
      </w:r>
      <w:r>
        <w:t>IS</w:t>
      </w:r>
      <w:r>
        <w:rPr>
          <w:spacing w:val="-3"/>
        </w:rPr>
        <w:t xml:space="preserve"> </w:t>
      </w:r>
      <w:r>
        <w:t>controls</w:t>
      </w:r>
      <w:r>
        <w:rPr>
          <w:spacing w:val="-3"/>
        </w:rPr>
        <w:t xml:space="preserve"> </w:t>
      </w:r>
      <w:r>
        <w:t>auditor</w:t>
      </w:r>
      <w:r>
        <w:rPr>
          <w:spacing w:val="-3"/>
        </w:rPr>
        <w:t xml:space="preserve"> </w:t>
      </w:r>
      <w:r>
        <w:t>in</w:t>
      </w:r>
      <w:r>
        <w:rPr>
          <w:spacing w:val="-3"/>
        </w:rPr>
        <w:t xml:space="preserve"> </w:t>
      </w:r>
      <w:r>
        <w:t>assessing</w:t>
      </w:r>
      <w:r>
        <w:rPr>
          <w:spacing w:val="-3"/>
        </w:rPr>
        <w:t xml:space="preserve"> </w:t>
      </w:r>
      <w:r>
        <w:t>them.</w:t>
      </w:r>
      <w:r>
        <w:rPr>
          <w:spacing w:val="-3"/>
        </w:rPr>
        <w:t xml:space="preserve"> </w:t>
      </w:r>
      <w:r>
        <w:t>See</w:t>
      </w:r>
      <w:r>
        <w:rPr>
          <w:spacing w:val="-3"/>
        </w:rPr>
        <w:t xml:space="preserve"> </w:t>
      </w:r>
      <w:r>
        <w:t>FAM 340, 350, and 360 for detailed guidance on assessing IS controls.</w:t>
      </w:r>
    </w:p>
    <w:p w14:paraId="0DFDB705" w14:textId="77777777" w:rsidR="00046465" w:rsidRDefault="008134EB">
      <w:pPr>
        <w:pStyle w:val="ListParagraph"/>
        <w:numPr>
          <w:ilvl w:val="0"/>
          <w:numId w:val="178"/>
        </w:numPr>
        <w:tabs>
          <w:tab w:val="left" w:pos="1710"/>
        </w:tabs>
        <w:spacing w:before="144"/>
        <w:ind w:right="742"/>
      </w:pPr>
      <w:r>
        <w:t>The fifth column of the compliance summary indicates whether the auditor believes that compliance controls are effective (Yes or No). The auditor should design control tests to determine whether the control activities that have been identified in the third column are in place and operating effectively. A control activity</w:t>
      </w:r>
      <w:r>
        <w:rPr>
          <w:spacing w:val="-3"/>
        </w:rPr>
        <w:t xml:space="preserve"> </w:t>
      </w:r>
      <w:r>
        <w:t>is</w:t>
      </w:r>
      <w:r>
        <w:rPr>
          <w:spacing w:val="-4"/>
        </w:rPr>
        <w:t xml:space="preserve"> </w:t>
      </w:r>
      <w:r>
        <w:t>considered</w:t>
      </w:r>
      <w:r>
        <w:rPr>
          <w:spacing w:val="-3"/>
        </w:rPr>
        <w:t xml:space="preserve"> </w:t>
      </w:r>
      <w:r>
        <w:t>to</w:t>
      </w:r>
      <w:r>
        <w:rPr>
          <w:spacing w:val="-4"/>
        </w:rPr>
        <w:t xml:space="preserve"> </w:t>
      </w:r>
      <w:r>
        <w:t>be</w:t>
      </w:r>
      <w:r>
        <w:rPr>
          <w:spacing w:val="-3"/>
        </w:rPr>
        <w:t xml:space="preserve"> </w:t>
      </w:r>
      <w:r>
        <w:t>effective</w:t>
      </w:r>
      <w:r>
        <w:rPr>
          <w:spacing w:val="-4"/>
        </w:rPr>
        <w:t xml:space="preserve"> </w:t>
      </w:r>
      <w:r>
        <w:t>if</w:t>
      </w:r>
      <w:r>
        <w:rPr>
          <w:spacing w:val="-3"/>
        </w:rPr>
        <w:t xml:space="preserve"> </w:t>
      </w:r>
      <w:r>
        <w:t>it</w:t>
      </w:r>
      <w:r>
        <w:rPr>
          <w:spacing w:val="-3"/>
        </w:rPr>
        <w:t xml:space="preserve"> </w:t>
      </w:r>
      <w:r>
        <w:t>achieves</w:t>
      </w:r>
      <w:r>
        <w:rPr>
          <w:spacing w:val="-4"/>
        </w:rPr>
        <w:t xml:space="preserve"> </w:t>
      </w:r>
      <w:r>
        <w:t>the</w:t>
      </w:r>
      <w:r>
        <w:rPr>
          <w:spacing w:val="-3"/>
        </w:rPr>
        <w:t xml:space="preserve"> </w:t>
      </w:r>
      <w:r>
        <w:t>control</w:t>
      </w:r>
      <w:r>
        <w:rPr>
          <w:spacing w:val="-4"/>
        </w:rPr>
        <w:t xml:space="preserve"> </w:t>
      </w:r>
      <w:r>
        <w:t>objective.</w:t>
      </w:r>
      <w:r>
        <w:rPr>
          <w:spacing w:val="-3"/>
        </w:rPr>
        <w:t xml:space="preserve"> </w:t>
      </w:r>
      <w:r>
        <w:t>The</w:t>
      </w:r>
      <w:r>
        <w:rPr>
          <w:spacing w:val="-3"/>
        </w:rPr>
        <w:t xml:space="preserve"> </w:t>
      </w:r>
      <w:r>
        <w:t>auditor should provide a reference in the fifth column to the supporting documents of the control testing procedures, the control tests, the results of these tests, and the auditor’s conclusions on the effectiveness of the compliance controls.</w:t>
      </w:r>
    </w:p>
    <w:p w14:paraId="0DFDB706" w14:textId="77777777" w:rsidR="00046465" w:rsidRDefault="008134EB">
      <w:pPr>
        <w:pStyle w:val="ListParagraph"/>
        <w:numPr>
          <w:ilvl w:val="0"/>
          <w:numId w:val="178"/>
        </w:numPr>
        <w:tabs>
          <w:tab w:val="left" w:pos="1710"/>
        </w:tabs>
        <w:spacing w:before="144"/>
        <w:ind w:right="755"/>
      </w:pPr>
      <w:r>
        <w:t>The sixth column of the compliance summary indicates whether the auditor has noted any instances of noncompliance (Yes or No). The auditor should perform compliance</w:t>
      </w:r>
      <w:r>
        <w:rPr>
          <w:spacing w:val="-6"/>
        </w:rPr>
        <w:t xml:space="preserve"> </w:t>
      </w:r>
      <w:r>
        <w:t>tests</w:t>
      </w:r>
      <w:r>
        <w:rPr>
          <w:spacing w:val="-5"/>
        </w:rPr>
        <w:t xml:space="preserve"> </w:t>
      </w:r>
      <w:r>
        <w:t>using</w:t>
      </w:r>
      <w:r>
        <w:rPr>
          <w:spacing w:val="-5"/>
        </w:rPr>
        <w:t xml:space="preserve"> </w:t>
      </w:r>
      <w:r>
        <w:t>the</w:t>
      </w:r>
      <w:r>
        <w:rPr>
          <w:spacing w:val="-5"/>
        </w:rPr>
        <w:t xml:space="preserve"> </w:t>
      </w:r>
      <w:r>
        <w:t>related</w:t>
      </w:r>
      <w:r>
        <w:rPr>
          <w:spacing w:val="-5"/>
        </w:rPr>
        <w:t xml:space="preserve"> </w:t>
      </w:r>
      <w:r>
        <w:t>Compliance</w:t>
      </w:r>
      <w:r>
        <w:rPr>
          <w:spacing w:val="-5"/>
        </w:rPr>
        <w:t xml:space="preserve"> </w:t>
      </w:r>
      <w:r>
        <w:t>Audit</w:t>
      </w:r>
      <w:r>
        <w:rPr>
          <w:spacing w:val="-5"/>
        </w:rPr>
        <w:t xml:space="preserve"> </w:t>
      </w:r>
      <w:r>
        <w:t>Procedures</w:t>
      </w:r>
      <w:r>
        <w:rPr>
          <w:spacing w:val="-5"/>
        </w:rPr>
        <w:t xml:space="preserve"> </w:t>
      </w:r>
      <w:r>
        <w:t>discussed</w:t>
      </w:r>
      <w:r>
        <w:rPr>
          <w:spacing w:val="-5"/>
        </w:rPr>
        <w:t xml:space="preserve"> </w:t>
      </w:r>
      <w:r>
        <w:t>below or prepare equivalent documentation. In this column, the auditor should also refer to the supporting documents for the results of the compliance tests.</w:t>
      </w:r>
    </w:p>
    <w:p w14:paraId="0DFDB707" w14:textId="77777777" w:rsidR="00046465" w:rsidRDefault="00046465">
      <w:pPr>
        <w:pStyle w:val="ListParagraph"/>
        <w:sectPr w:rsidR="00046465">
          <w:pgSz w:w="12240" w:h="15840"/>
          <w:pgMar w:top="1340" w:right="720" w:bottom="940" w:left="1080" w:header="721" w:footer="742" w:gutter="0"/>
          <w:cols w:space="720"/>
        </w:sectPr>
      </w:pPr>
    </w:p>
    <w:p w14:paraId="0DFDB708" w14:textId="77777777" w:rsidR="00046465" w:rsidRDefault="008134EB">
      <w:pPr>
        <w:pStyle w:val="Heading5"/>
        <w:spacing w:before="121"/>
        <w:rPr>
          <w:u w:val="none"/>
        </w:rPr>
      </w:pPr>
      <w:bookmarkStart w:id="165" w:name="Compliance_Audit_Procedures"/>
      <w:bookmarkEnd w:id="165"/>
      <w:r>
        <w:lastRenderedPageBreak/>
        <w:t>Compliance</w:t>
      </w:r>
      <w:r>
        <w:rPr>
          <w:spacing w:val="-5"/>
        </w:rPr>
        <w:t xml:space="preserve"> </w:t>
      </w:r>
      <w:r>
        <w:t>Audit</w:t>
      </w:r>
      <w:r>
        <w:rPr>
          <w:spacing w:val="-4"/>
        </w:rPr>
        <w:t xml:space="preserve"> </w:t>
      </w:r>
      <w:r>
        <w:rPr>
          <w:spacing w:val="-2"/>
        </w:rPr>
        <w:t>Procedures</w:t>
      </w:r>
    </w:p>
    <w:p w14:paraId="0DFDB709" w14:textId="77777777" w:rsidR="00046465" w:rsidRDefault="008134EB">
      <w:pPr>
        <w:pStyle w:val="ListParagraph"/>
        <w:numPr>
          <w:ilvl w:val="0"/>
          <w:numId w:val="178"/>
        </w:numPr>
        <w:tabs>
          <w:tab w:val="left" w:pos="1710"/>
        </w:tabs>
        <w:spacing w:before="144"/>
        <w:ind w:right="780"/>
      </w:pPr>
      <w:r>
        <w:t>Compliance audit procedures are provided for each law. For each law identified for</w:t>
      </w:r>
      <w:r>
        <w:rPr>
          <w:spacing w:val="-4"/>
        </w:rPr>
        <w:t xml:space="preserve"> </w:t>
      </w:r>
      <w:r>
        <w:t>compliance</w:t>
      </w:r>
      <w:r>
        <w:rPr>
          <w:spacing w:val="-4"/>
        </w:rPr>
        <w:t xml:space="preserve"> </w:t>
      </w:r>
      <w:r>
        <w:t>testing</w:t>
      </w:r>
      <w:r>
        <w:rPr>
          <w:spacing w:val="-4"/>
        </w:rPr>
        <w:t xml:space="preserve"> </w:t>
      </w:r>
      <w:r>
        <w:t>on</w:t>
      </w:r>
      <w:r>
        <w:rPr>
          <w:spacing w:val="-4"/>
        </w:rPr>
        <w:t xml:space="preserve"> </w:t>
      </w:r>
      <w:r>
        <w:t>the</w:t>
      </w:r>
      <w:r>
        <w:rPr>
          <w:spacing w:val="-4"/>
        </w:rPr>
        <w:t xml:space="preserve"> </w:t>
      </w:r>
      <w:r>
        <w:t>General</w:t>
      </w:r>
      <w:r>
        <w:rPr>
          <w:spacing w:val="-4"/>
        </w:rPr>
        <w:t xml:space="preserve"> </w:t>
      </w:r>
      <w:r>
        <w:t>Compliance</w:t>
      </w:r>
      <w:r>
        <w:rPr>
          <w:spacing w:val="-4"/>
        </w:rPr>
        <w:t xml:space="preserve"> </w:t>
      </w:r>
      <w:r>
        <w:t>Checklist,</w:t>
      </w:r>
      <w:r>
        <w:rPr>
          <w:spacing w:val="-4"/>
        </w:rPr>
        <w:t xml:space="preserve"> </w:t>
      </w:r>
      <w:r>
        <w:t>the</w:t>
      </w:r>
      <w:r>
        <w:rPr>
          <w:spacing w:val="-4"/>
        </w:rPr>
        <w:t xml:space="preserve"> </w:t>
      </w:r>
      <w:r>
        <w:t>auditor</w:t>
      </w:r>
      <w:r>
        <w:rPr>
          <w:spacing w:val="-6"/>
        </w:rPr>
        <w:t xml:space="preserve"> </w:t>
      </w:r>
      <w:r>
        <w:t>generally should perform each step of the related compliance audit procedures in the first column.</w:t>
      </w:r>
      <w:r>
        <w:rPr>
          <w:spacing w:val="-2"/>
        </w:rPr>
        <w:t xml:space="preserve"> </w:t>
      </w:r>
      <w:r>
        <w:t>Because</w:t>
      </w:r>
      <w:r>
        <w:rPr>
          <w:spacing w:val="-2"/>
        </w:rPr>
        <w:t xml:space="preserve"> </w:t>
      </w:r>
      <w:r>
        <w:t>the</w:t>
      </w:r>
      <w:r>
        <w:rPr>
          <w:spacing w:val="-2"/>
        </w:rPr>
        <w:t xml:space="preserve"> </w:t>
      </w:r>
      <w:r>
        <w:t>subject</w:t>
      </w:r>
      <w:r>
        <w:rPr>
          <w:spacing w:val="-2"/>
        </w:rPr>
        <w:t xml:space="preserve"> </w:t>
      </w:r>
      <w:r>
        <w:t>matter</w:t>
      </w:r>
      <w:r>
        <w:rPr>
          <w:spacing w:val="-2"/>
        </w:rPr>
        <w:t xml:space="preserve"> </w:t>
      </w:r>
      <w:r>
        <w:t>of</w:t>
      </w:r>
      <w:r>
        <w:rPr>
          <w:spacing w:val="-2"/>
        </w:rPr>
        <w:t xml:space="preserve"> </w:t>
      </w:r>
      <w:r>
        <w:t>some</w:t>
      </w:r>
      <w:r>
        <w:rPr>
          <w:spacing w:val="-2"/>
        </w:rPr>
        <w:t xml:space="preserve"> </w:t>
      </w:r>
      <w:r>
        <w:t>laws</w:t>
      </w:r>
      <w:r>
        <w:rPr>
          <w:spacing w:val="-2"/>
        </w:rPr>
        <w:t xml:space="preserve"> </w:t>
      </w:r>
      <w:r>
        <w:t>is</w:t>
      </w:r>
      <w:r>
        <w:rPr>
          <w:spacing w:val="-2"/>
        </w:rPr>
        <w:t xml:space="preserve"> </w:t>
      </w:r>
      <w:r>
        <w:t>closely</w:t>
      </w:r>
      <w:r>
        <w:rPr>
          <w:spacing w:val="-2"/>
        </w:rPr>
        <w:t xml:space="preserve"> </w:t>
      </w:r>
      <w:r>
        <w:t>related</w:t>
      </w:r>
      <w:r>
        <w:rPr>
          <w:spacing w:val="-2"/>
        </w:rPr>
        <w:t xml:space="preserve"> </w:t>
      </w:r>
      <w:r>
        <w:t>to</w:t>
      </w:r>
      <w:r>
        <w:rPr>
          <w:spacing w:val="-2"/>
        </w:rPr>
        <w:t xml:space="preserve"> </w:t>
      </w:r>
      <w:r>
        <w:t>matters</w:t>
      </w:r>
      <w:r>
        <w:rPr>
          <w:spacing w:val="-2"/>
        </w:rPr>
        <w:t xml:space="preserve"> </w:t>
      </w:r>
      <w:r>
        <w:t>the auditor will test in other parts of the audit, the auditor may coordinate with that other testing and design multipurpose tests. For example, payroll compliance testing could be performed using multipurpose tests of payroll controls and/or substantive payroll testing.</w:t>
      </w:r>
    </w:p>
    <w:p w14:paraId="0DFDB70A" w14:textId="77777777" w:rsidR="00046465" w:rsidRDefault="008134EB">
      <w:pPr>
        <w:pStyle w:val="BodyText"/>
        <w:spacing w:before="143"/>
        <w:ind w:left="1710" w:right="844"/>
      </w:pPr>
      <w:r>
        <w:t>The</w:t>
      </w:r>
      <w:r>
        <w:rPr>
          <w:spacing w:val="-3"/>
        </w:rPr>
        <w:t xml:space="preserve"> </w:t>
      </w:r>
      <w:r>
        <w:t>auditor</w:t>
      </w:r>
      <w:r>
        <w:rPr>
          <w:spacing w:val="-5"/>
        </w:rPr>
        <w:t xml:space="preserve"> </w:t>
      </w:r>
      <w:r>
        <w:t>performing</w:t>
      </w:r>
      <w:r>
        <w:rPr>
          <w:spacing w:val="-3"/>
        </w:rPr>
        <w:t xml:space="preserve"> </w:t>
      </w:r>
      <w:r>
        <w:t>the</w:t>
      </w:r>
      <w:r>
        <w:rPr>
          <w:spacing w:val="-3"/>
        </w:rPr>
        <w:t xml:space="preserve"> </w:t>
      </w:r>
      <w:r>
        <w:t>procedure</w:t>
      </w:r>
      <w:r>
        <w:rPr>
          <w:spacing w:val="-3"/>
        </w:rPr>
        <w:t xml:space="preserve"> </w:t>
      </w:r>
      <w:r>
        <w:t>in</w:t>
      </w:r>
      <w:r>
        <w:rPr>
          <w:spacing w:val="-3"/>
        </w:rPr>
        <w:t xml:space="preserve"> </w:t>
      </w:r>
      <w:r>
        <w:t>the</w:t>
      </w:r>
      <w:r>
        <w:rPr>
          <w:spacing w:val="-3"/>
        </w:rPr>
        <w:t xml:space="preserve"> </w:t>
      </w:r>
      <w:r>
        <w:t>first</w:t>
      </w:r>
      <w:r>
        <w:rPr>
          <w:spacing w:val="-4"/>
        </w:rPr>
        <w:t xml:space="preserve"> </w:t>
      </w:r>
      <w:r>
        <w:t>column</w:t>
      </w:r>
      <w:r>
        <w:rPr>
          <w:spacing w:val="-3"/>
        </w:rPr>
        <w:t xml:space="preserve"> </w:t>
      </w:r>
      <w:r>
        <w:t>should</w:t>
      </w:r>
      <w:r>
        <w:rPr>
          <w:spacing w:val="-3"/>
        </w:rPr>
        <w:t xml:space="preserve"> </w:t>
      </w:r>
      <w:r>
        <w:t>initial</w:t>
      </w:r>
      <w:r>
        <w:rPr>
          <w:spacing w:val="-3"/>
        </w:rPr>
        <w:t xml:space="preserve"> </w:t>
      </w:r>
      <w:r>
        <w:t>and</w:t>
      </w:r>
      <w:r>
        <w:rPr>
          <w:spacing w:val="-3"/>
        </w:rPr>
        <w:t xml:space="preserve"> </w:t>
      </w:r>
      <w:r>
        <w:t>date</w:t>
      </w:r>
      <w:r>
        <w:rPr>
          <w:spacing w:val="-3"/>
        </w:rPr>
        <w:t xml:space="preserve"> </w:t>
      </w:r>
      <w:r>
        <w:t>in the</w:t>
      </w:r>
      <w:r>
        <w:rPr>
          <w:spacing w:val="-3"/>
        </w:rPr>
        <w:t xml:space="preserve"> </w:t>
      </w:r>
      <w:r>
        <w:t>second</w:t>
      </w:r>
      <w:r>
        <w:rPr>
          <w:spacing w:val="-4"/>
        </w:rPr>
        <w:t xml:space="preserve"> </w:t>
      </w:r>
      <w:r>
        <w:t>column</w:t>
      </w:r>
      <w:r>
        <w:rPr>
          <w:spacing w:val="-3"/>
        </w:rPr>
        <w:t xml:space="preserve"> </w:t>
      </w:r>
      <w:r>
        <w:t>when</w:t>
      </w:r>
      <w:r>
        <w:rPr>
          <w:spacing w:val="-3"/>
        </w:rPr>
        <w:t xml:space="preserve"> </w:t>
      </w:r>
      <w:r>
        <w:t>the</w:t>
      </w:r>
      <w:r>
        <w:rPr>
          <w:spacing w:val="-3"/>
        </w:rPr>
        <w:t xml:space="preserve"> </w:t>
      </w:r>
      <w:r>
        <w:t>procedure</w:t>
      </w:r>
      <w:r>
        <w:rPr>
          <w:spacing w:val="-3"/>
        </w:rPr>
        <w:t xml:space="preserve"> </w:t>
      </w:r>
      <w:r>
        <w:t>is</w:t>
      </w:r>
      <w:r>
        <w:rPr>
          <w:spacing w:val="-3"/>
        </w:rPr>
        <w:t xml:space="preserve"> </w:t>
      </w:r>
      <w:r>
        <w:t>performed.</w:t>
      </w:r>
      <w:r>
        <w:rPr>
          <w:spacing w:val="-3"/>
        </w:rPr>
        <w:t xml:space="preserve"> </w:t>
      </w:r>
      <w:r>
        <w:t>The</w:t>
      </w:r>
      <w:r>
        <w:rPr>
          <w:spacing w:val="-3"/>
        </w:rPr>
        <w:t xml:space="preserve"> </w:t>
      </w:r>
      <w:r>
        <w:t>auditor</w:t>
      </w:r>
      <w:r>
        <w:rPr>
          <w:spacing w:val="-3"/>
        </w:rPr>
        <w:t xml:space="preserve"> </w:t>
      </w:r>
      <w:r>
        <w:t>should</w:t>
      </w:r>
      <w:r>
        <w:rPr>
          <w:spacing w:val="-3"/>
        </w:rPr>
        <w:t xml:space="preserve"> </w:t>
      </w:r>
      <w:r>
        <w:t>include a reference to the documentation recording the work performed for each step in the third and last column of the compliance audit procedures.</w:t>
      </w:r>
    </w:p>
    <w:p w14:paraId="0DFDB70B" w14:textId="77777777" w:rsidR="00046465" w:rsidRDefault="008134EB">
      <w:pPr>
        <w:pStyle w:val="Heading5"/>
        <w:spacing w:before="182"/>
        <w:rPr>
          <w:u w:val="none"/>
        </w:rPr>
      </w:pPr>
      <w:bookmarkStart w:id="166" w:name="Footnotes"/>
      <w:bookmarkEnd w:id="166"/>
      <w:r>
        <w:rPr>
          <w:spacing w:val="-2"/>
        </w:rPr>
        <w:t>Footnotes</w:t>
      </w:r>
    </w:p>
    <w:p w14:paraId="0DFDB70C" w14:textId="77777777" w:rsidR="00046465" w:rsidRDefault="008134EB">
      <w:pPr>
        <w:pStyle w:val="ListParagraph"/>
        <w:numPr>
          <w:ilvl w:val="0"/>
          <w:numId w:val="178"/>
        </w:numPr>
        <w:tabs>
          <w:tab w:val="left" w:pos="1710"/>
        </w:tabs>
        <w:spacing w:before="179"/>
        <w:ind w:right="766"/>
      </w:pPr>
      <w:r>
        <w:t>Footnotes are provided for each compliance supplement to assist the auditor in understanding criteria, definitions, exemptions, and restrictions of law. The footnotes</w:t>
      </w:r>
      <w:r>
        <w:rPr>
          <w:spacing w:val="-3"/>
        </w:rPr>
        <w:t xml:space="preserve"> </w:t>
      </w:r>
      <w:r>
        <w:t>also</w:t>
      </w:r>
      <w:r>
        <w:rPr>
          <w:spacing w:val="-3"/>
        </w:rPr>
        <w:t xml:space="preserve"> </w:t>
      </w:r>
      <w:r>
        <w:t>provide</w:t>
      </w:r>
      <w:r>
        <w:rPr>
          <w:spacing w:val="-3"/>
        </w:rPr>
        <w:t xml:space="preserve"> </w:t>
      </w:r>
      <w:r>
        <w:t>guidance</w:t>
      </w:r>
      <w:r>
        <w:rPr>
          <w:spacing w:val="-3"/>
        </w:rPr>
        <w:t xml:space="preserve"> </w:t>
      </w:r>
      <w:r>
        <w:t>to</w:t>
      </w:r>
      <w:r>
        <w:rPr>
          <w:spacing w:val="-3"/>
        </w:rPr>
        <w:t xml:space="preserve"> </w:t>
      </w:r>
      <w:r>
        <w:t>the</w:t>
      </w:r>
      <w:r>
        <w:rPr>
          <w:spacing w:val="-3"/>
        </w:rPr>
        <w:t xml:space="preserve"> </w:t>
      </w:r>
      <w:r>
        <w:t>auditor</w:t>
      </w:r>
      <w:r>
        <w:rPr>
          <w:spacing w:val="-3"/>
        </w:rPr>
        <w:t xml:space="preserve"> </w:t>
      </w:r>
      <w:r>
        <w:t>in</w:t>
      </w:r>
      <w:r>
        <w:rPr>
          <w:spacing w:val="-4"/>
        </w:rPr>
        <w:t xml:space="preserve"> </w:t>
      </w:r>
      <w:r>
        <w:t>testing</w:t>
      </w:r>
      <w:r>
        <w:rPr>
          <w:spacing w:val="-3"/>
        </w:rPr>
        <w:t xml:space="preserve"> </w:t>
      </w:r>
      <w:r>
        <w:t>and</w:t>
      </w:r>
      <w:r>
        <w:rPr>
          <w:spacing w:val="-4"/>
        </w:rPr>
        <w:t xml:space="preserve"> </w:t>
      </w:r>
      <w:r>
        <w:t>evaluating</w:t>
      </w:r>
      <w:r>
        <w:rPr>
          <w:spacing w:val="-4"/>
        </w:rPr>
        <w:t xml:space="preserve"> </w:t>
      </w:r>
      <w:r>
        <w:t>controls</w:t>
      </w:r>
      <w:r>
        <w:rPr>
          <w:spacing w:val="-3"/>
        </w:rPr>
        <w:t xml:space="preserve"> </w:t>
      </w:r>
      <w:r>
        <w:t>to achieve the compliance objective.</w:t>
      </w:r>
    </w:p>
    <w:p w14:paraId="0DFDB70D" w14:textId="77777777" w:rsidR="00046465" w:rsidRDefault="00046465">
      <w:pPr>
        <w:pStyle w:val="ListParagraph"/>
        <w:sectPr w:rsidR="00046465">
          <w:pgSz w:w="12240" w:h="15840"/>
          <w:pgMar w:top="1340" w:right="720" w:bottom="940" w:left="1080" w:header="721" w:footer="742" w:gutter="0"/>
          <w:cols w:space="720"/>
        </w:sectPr>
      </w:pPr>
    </w:p>
    <w:p w14:paraId="0DFDB70E" w14:textId="77777777" w:rsidR="00046465" w:rsidRDefault="008134EB">
      <w:pPr>
        <w:pStyle w:val="Heading3"/>
        <w:spacing w:before="80"/>
        <w:rPr>
          <w:u w:val="none"/>
        </w:rPr>
      </w:pPr>
      <w:bookmarkStart w:id="167" w:name="803_–_Antideficiency_Act_(ADA),_as_Provi"/>
      <w:bookmarkStart w:id="168" w:name="_bookmark64"/>
      <w:bookmarkEnd w:id="167"/>
      <w:bookmarkEnd w:id="168"/>
      <w:r>
        <w:lastRenderedPageBreak/>
        <w:t>803</w:t>
      </w:r>
      <w:r>
        <w:rPr>
          <w:spacing w:val="-7"/>
        </w:rPr>
        <w:t xml:space="preserve"> </w:t>
      </w:r>
      <w:r>
        <w:t>–</w:t>
      </w:r>
      <w:r>
        <w:rPr>
          <w:spacing w:val="-15"/>
        </w:rPr>
        <w:t xml:space="preserve"> </w:t>
      </w:r>
      <w:r>
        <w:t>Antideficiency</w:t>
      </w:r>
      <w:r>
        <w:rPr>
          <w:spacing w:val="-14"/>
        </w:rPr>
        <w:t xml:space="preserve"> </w:t>
      </w:r>
      <w:r>
        <w:t>Act</w:t>
      </w:r>
      <w:r>
        <w:rPr>
          <w:spacing w:val="-5"/>
        </w:rPr>
        <w:t xml:space="preserve"> </w:t>
      </w:r>
      <w:r>
        <w:t>(ADA),</w:t>
      </w:r>
      <w:r>
        <w:rPr>
          <w:spacing w:val="-5"/>
        </w:rPr>
        <w:t xml:space="preserve"> </w:t>
      </w:r>
      <w:r>
        <w:t>as</w:t>
      </w:r>
      <w:r>
        <w:rPr>
          <w:spacing w:val="-3"/>
        </w:rPr>
        <w:t xml:space="preserve"> </w:t>
      </w:r>
      <w:r>
        <w:t>Provided</w:t>
      </w:r>
      <w:r>
        <w:rPr>
          <w:spacing w:val="-4"/>
        </w:rPr>
        <w:t xml:space="preserve"> </w:t>
      </w:r>
      <w:r>
        <w:t>Primarily</w:t>
      </w:r>
      <w:r>
        <w:rPr>
          <w:spacing w:val="-4"/>
        </w:rPr>
        <w:t xml:space="preserve"> </w:t>
      </w:r>
      <w:r>
        <w:t>in</w:t>
      </w:r>
      <w:r>
        <w:rPr>
          <w:spacing w:val="-5"/>
        </w:rPr>
        <w:t xml:space="preserve"> </w:t>
      </w:r>
      <w:bookmarkStart w:id="169" w:name="_bookmark65"/>
      <w:bookmarkEnd w:id="169"/>
      <w:r>
        <w:t>31</w:t>
      </w:r>
      <w:r>
        <w:rPr>
          <w:spacing w:val="-4"/>
        </w:rPr>
        <w:t xml:space="preserve"> </w:t>
      </w:r>
      <w:r>
        <w:t>U.S.C.</w:t>
      </w:r>
      <w:r>
        <w:rPr>
          <w:spacing w:val="-3"/>
        </w:rPr>
        <w:t xml:space="preserve"> </w:t>
      </w:r>
      <w:r>
        <w:t>Chapters</w:t>
      </w:r>
      <w:r>
        <w:rPr>
          <w:spacing w:val="-3"/>
        </w:rPr>
        <w:t xml:space="preserve"> </w:t>
      </w:r>
      <w:r>
        <w:t>13,</w:t>
      </w:r>
      <w:r>
        <w:rPr>
          <w:spacing w:val="-4"/>
        </w:rPr>
        <w:t xml:space="preserve"> </w:t>
      </w:r>
      <w:r>
        <w:rPr>
          <w:spacing w:val="-5"/>
        </w:rPr>
        <w:t>15</w:t>
      </w:r>
    </w:p>
    <w:p w14:paraId="0DFDB70F" w14:textId="77777777" w:rsidR="00046465" w:rsidRDefault="008134EB">
      <w:pPr>
        <w:pStyle w:val="BodyText"/>
        <w:spacing w:before="239"/>
        <w:ind w:left="359" w:right="422"/>
        <w:rPr>
          <w:i/>
        </w:rPr>
      </w:pPr>
      <w:r>
        <w:t>Note: The auditor should complete this compliance summary or prepare equivalent documentation if the entity has appropriations or other funds that are limited to an amount or a specified period of availability. If so, the provisions of the Antideficiency Act (ADA), as provided primarily in 31 U.S.C. chapters 13, 15, are applicable as indicated on Form 802, General Compliance Checklist. Office of Management</w:t>
      </w:r>
      <w:r>
        <w:rPr>
          <w:spacing w:val="-3"/>
        </w:rPr>
        <w:t xml:space="preserve"> </w:t>
      </w:r>
      <w:r>
        <w:t>and</w:t>
      </w:r>
      <w:r>
        <w:rPr>
          <w:spacing w:val="-3"/>
        </w:rPr>
        <w:t xml:space="preserve"> </w:t>
      </w:r>
      <w:r>
        <w:t>Budget</w:t>
      </w:r>
      <w:r>
        <w:rPr>
          <w:spacing w:val="-3"/>
        </w:rPr>
        <w:t xml:space="preserve"> </w:t>
      </w:r>
      <w:r>
        <w:t>(OMB)</w:t>
      </w:r>
      <w:r>
        <w:rPr>
          <w:spacing w:val="-3"/>
        </w:rPr>
        <w:t xml:space="preserve"> </w:t>
      </w:r>
      <w:r>
        <w:t>guidance</w:t>
      </w:r>
      <w:r>
        <w:rPr>
          <w:spacing w:val="-3"/>
        </w:rPr>
        <w:t xml:space="preserve"> </w:t>
      </w:r>
      <w:r>
        <w:t>on</w:t>
      </w:r>
      <w:r>
        <w:rPr>
          <w:spacing w:val="-3"/>
        </w:rPr>
        <w:t xml:space="preserve"> </w:t>
      </w:r>
      <w:r>
        <w:t>budget</w:t>
      </w:r>
      <w:r>
        <w:rPr>
          <w:spacing w:val="-3"/>
        </w:rPr>
        <w:t xml:space="preserve"> </w:t>
      </w:r>
      <w:r>
        <w:t>execution,</w:t>
      </w:r>
      <w:r>
        <w:rPr>
          <w:spacing w:val="-3"/>
        </w:rPr>
        <w:t xml:space="preserve"> </w:t>
      </w:r>
      <w:r>
        <w:t>including</w:t>
      </w:r>
      <w:r>
        <w:rPr>
          <w:spacing w:val="-3"/>
        </w:rPr>
        <w:t xml:space="preserve"> </w:t>
      </w:r>
      <w:r>
        <w:t>the</w:t>
      </w:r>
      <w:r>
        <w:rPr>
          <w:spacing w:val="-3"/>
        </w:rPr>
        <w:t xml:space="preserve"> </w:t>
      </w:r>
      <w:r>
        <w:t>Antideficiency</w:t>
      </w:r>
      <w:r>
        <w:rPr>
          <w:spacing w:val="-3"/>
        </w:rPr>
        <w:t xml:space="preserve"> </w:t>
      </w:r>
      <w:r>
        <w:t>Act,</w:t>
      </w:r>
      <w:r>
        <w:rPr>
          <w:spacing w:val="-4"/>
        </w:rPr>
        <w:t xml:space="preserve"> </w:t>
      </w:r>
      <w:r>
        <w:t>is</w:t>
      </w:r>
      <w:r>
        <w:rPr>
          <w:spacing w:val="-3"/>
        </w:rPr>
        <w:t xml:space="preserve"> </w:t>
      </w:r>
      <w:r>
        <w:t>included</w:t>
      </w:r>
      <w:r>
        <w:rPr>
          <w:spacing w:val="-3"/>
        </w:rPr>
        <w:t xml:space="preserve"> </w:t>
      </w:r>
      <w:r>
        <w:t>in</w:t>
      </w:r>
      <w:r>
        <w:rPr>
          <w:spacing w:val="-3"/>
        </w:rPr>
        <w:t xml:space="preserve"> </w:t>
      </w:r>
      <w:r>
        <w:t>OMB</w:t>
      </w:r>
      <w:r>
        <w:rPr>
          <w:spacing w:val="-2"/>
        </w:rPr>
        <w:t xml:space="preserve"> </w:t>
      </w:r>
      <w:r>
        <w:t>Circular</w:t>
      </w:r>
      <w:r>
        <w:rPr>
          <w:spacing w:val="-3"/>
        </w:rPr>
        <w:t xml:space="preserve"> </w:t>
      </w:r>
      <w:r>
        <w:t>No.</w:t>
      </w:r>
      <w:r>
        <w:rPr>
          <w:spacing w:val="-2"/>
        </w:rPr>
        <w:t xml:space="preserve"> </w:t>
      </w:r>
      <w:r>
        <w:t xml:space="preserve">A-11, </w:t>
      </w:r>
      <w:r>
        <w:rPr>
          <w:i/>
        </w:rPr>
        <w:t xml:space="preserve">Preparing, Submitting, and Executing the Budget, </w:t>
      </w:r>
      <w:r>
        <w:t xml:space="preserve">Part 4, </w:t>
      </w:r>
      <w:r>
        <w:rPr>
          <w:i/>
        </w:rPr>
        <w:t>Instructions on Budget Execution.</w:t>
      </w:r>
    </w:p>
    <w:p w14:paraId="0DFDB710" w14:textId="77777777" w:rsidR="00046465" w:rsidRDefault="00046465">
      <w:pPr>
        <w:pStyle w:val="BodyText"/>
        <w:rPr>
          <w:i/>
          <w:sz w:val="20"/>
        </w:rPr>
      </w:pPr>
    </w:p>
    <w:p w14:paraId="0DFDB711" w14:textId="77777777" w:rsidR="00046465" w:rsidRDefault="00046465">
      <w:pPr>
        <w:pStyle w:val="BodyText"/>
        <w:spacing w:before="91"/>
        <w:rPr>
          <w:i/>
          <w:sz w:val="20"/>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364"/>
        <w:gridCol w:w="1710"/>
        <w:gridCol w:w="1620"/>
        <w:gridCol w:w="1350"/>
        <w:gridCol w:w="1529"/>
        <w:gridCol w:w="1819"/>
      </w:tblGrid>
      <w:tr w:rsidR="00046465" w14:paraId="0DFDB715" w14:textId="77777777">
        <w:trPr>
          <w:trHeight w:val="1574"/>
        </w:trPr>
        <w:tc>
          <w:tcPr>
            <w:tcW w:w="13392" w:type="dxa"/>
            <w:gridSpan w:val="6"/>
          </w:tcPr>
          <w:p w14:paraId="0DFDB712" w14:textId="77777777" w:rsidR="00046465" w:rsidRDefault="008134EB">
            <w:pPr>
              <w:pStyle w:val="TableParagraph"/>
              <w:tabs>
                <w:tab w:val="left" w:pos="9319"/>
              </w:tabs>
              <w:spacing w:before="144"/>
              <w:ind w:right="1947"/>
              <w:jc w:val="center"/>
            </w:pPr>
            <w:r>
              <w:t>Name</w:t>
            </w:r>
            <w:r>
              <w:rPr>
                <w:spacing w:val="-5"/>
              </w:rPr>
              <w:t xml:space="preserve"> </w:t>
            </w:r>
            <w:r>
              <w:t>of</w:t>
            </w:r>
            <w:r>
              <w:rPr>
                <w:spacing w:val="-5"/>
              </w:rPr>
              <w:t xml:space="preserve"> </w:t>
            </w:r>
            <w:r>
              <w:rPr>
                <w:spacing w:val="-2"/>
              </w:rPr>
              <w:t>entity:</w:t>
            </w:r>
            <w:r>
              <w:tab/>
              <w:t>Prepared</w:t>
            </w:r>
            <w:r>
              <w:rPr>
                <w:spacing w:val="-11"/>
              </w:rPr>
              <w:t xml:space="preserve"> </w:t>
            </w:r>
            <w:r>
              <w:rPr>
                <w:spacing w:val="-5"/>
              </w:rPr>
              <w:t>by:</w:t>
            </w:r>
          </w:p>
          <w:p w14:paraId="0DFDB713" w14:textId="77777777" w:rsidR="00046465" w:rsidRDefault="008134EB">
            <w:pPr>
              <w:pStyle w:val="TableParagraph"/>
              <w:spacing w:before="12"/>
              <w:ind w:left="1973" w:right="1947"/>
              <w:jc w:val="center"/>
              <w:rPr>
                <w:b/>
                <w:sz w:val="24"/>
              </w:rPr>
            </w:pPr>
            <w:r>
              <w:rPr>
                <w:b/>
                <w:noProof/>
                <w:sz w:val="24"/>
              </w:rPr>
              <mc:AlternateContent>
                <mc:Choice Requires="wpg">
                  <w:drawing>
                    <wp:anchor distT="0" distB="0" distL="0" distR="0" simplePos="0" relativeHeight="476110848" behindDoc="1" locked="0" layoutInCell="1" allowOverlap="1" wp14:anchorId="0DFDD5EF" wp14:editId="0DFDD5F0">
                      <wp:simplePos x="0" y="0"/>
                      <wp:positionH relativeFrom="column">
                        <wp:posOffset>7058406</wp:posOffset>
                      </wp:positionH>
                      <wp:positionV relativeFrom="paragraph">
                        <wp:posOffset>91895</wp:posOffset>
                      </wp:positionV>
                      <wp:extent cx="1371600" cy="6350"/>
                      <wp:effectExtent l="0" t="0" r="0" b="0"/>
                      <wp:wrapNone/>
                      <wp:docPr id="51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513" name="Graphic 513"/>
                              <wps:cNvSpPr/>
                              <wps:spPr>
                                <a:xfrm>
                                  <a:off x="0" y="0"/>
                                  <a:ext cx="1371600" cy="6350"/>
                                </a:xfrm>
                                <a:custGeom>
                                  <a:avLst/>
                                  <a:gdLst/>
                                  <a:ahLst/>
                                  <a:cxnLst/>
                                  <a:rect l="l" t="t" r="r" b="b"/>
                                  <a:pathLst>
                                    <a:path w="1371600" h="6350">
                                      <a:moveTo>
                                        <a:pt x="1371600" y="0"/>
                                      </a:moveTo>
                                      <a:lnTo>
                                        <a:pt x="0" y="0"/>
                                      </a:lnTo>
                                      <a:lnTo>
                                        <a:pt x="0" y="6096"/>
                                      </a:lnTo>
                                      <a:lnTo>
                                        <a:pt x="1371600" y="6096"/>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B70E9B" id="Group 512" o:spid="_x0000_s1026" style="position:absolute;margin-left:555.8pt;margin-top:7.25pt;width:108pt;height:.5pt;z-index:-27205632;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">
                      <v:shape id="Graphic 513"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" path="m1371600,l,,,6096r1371600,l1371600,xe" fillcolor="black" stroked="f">
                        <v:path arrowok="t"/>
                      </v:shape>
                    </v:group>
                  </w:pict>
                </mc:Fallback>
              </mc:AlternateContent>
            </w:r>
            <w:r>
              <w:rPr>
                <w:b/>
                <w:noProof/>
                <w:sz w:val="24"/>
              </w:rPr>
              <mc:AlternateContent>
                <mc:Choice Requires="wpg">
                  <w:drawing>
                    <wp:anchor distT="0" distB="0" distL="0" distR="0" simplePos="0" relativeHeight="476111872" behindDoc="1" locked="0" layoutInCell="1" allowOverlap="1" wp14:anchorId="0DFDD5F1" wp14:editId="0DFDD5F2">
                      <wp:simplePos x="0" y="0"/>
                      <wp:positionH relativeFrom="column">
                        <wp:posOffset>7058406</wp:posOffset>
                      </wp:positionH>
                      <wp:positionV relativeFrom="paragraph">
                        <wp:posOffset>441653</wp:posOffset>
                      </wp:positionV>
                      <wp:extent cx="1371600" cy="6350"/>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515" name="Graphic 515"/>
                              <wps:cNvSpPr/>
                              <wps:spPr>
                                <a:xfrm>
                                  <a:off x="0" y="0"/>
                                  <a:ext cx="1371600" cy="6350"/>
                                </a:xfrm>
                                <a:custGeom>
                                  <a:avLst/>
                                  <a:gdLst/>
                                  <a:ahLst/>
                                  <a:cxnLst/>
                                  <a:rect l="l" t="t" r="r" b="b"/>
                                  <a:pathLst>
                                    <a:path w="1371600" h="6350">
                                      <a:moveTo>
                                        <a:pt x="1371600" y="0"/>
                                      </a:moveTo>
                                      <a:lnTo>
                                        <a:pt x="0" y="0"/>
                                      </a:lnTo>
                                      <a:lnTo>
                                        <a:pt x="0" y="6096"/>
                                      </a:lnTo>
                                      <a:lnTo>
                                        <a:pt x="1371600" y="6096"/>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7F39072" id="Group 514" o:spid="_x0000_s1026" style="position:absolute;margin-left:555.8pt;margin-top:34.8pt;width:108pt;height:.5pt;z-index:-27204608;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">
                      <v:shape id="Graphic 515"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" path="m1371600,l,,,6096r1371600,l1371600,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714" w14:textId="77777777" w:rsidR="00046465" w:rsidRDefault="008134EB">
            <w:pPr>
              <w:pStyle w:val="TableParagraph"/>
              <w:tabs>
                <w:tab w:val="left" w:pos="9013"/>
              </w:tabs>
              <w:spacing w:before="11"/>
              <w:ind w:right="1702"/>
              <w:jc w:val="center"/>
            </w:pPr>
            <w:r>
              <w:rPr>
                <w:noProof/>
              </w:rPr>
              <mc:AlternateContent>
                <mc:Choice Requires="wpg">
                  <w:drawing>
                    <wp:anchor distT="0" distB="0" distL="0" distR="0" simplePos="0" relativeHeight="476110336" behindDoc="1" locked="0" layoutInCell="1" allowOverlap="1" wp14:anchorId="0DFDD5F3" wp14:editId="0DFDD5F4">
                      <wp:simplePos x="0" y="0"/>
                      <wp:positionH relativeFrom="column">
                        <wp:posOffset>1280160</wp:posOffset>
                      </wp:positionH>
                      <wp:positionV relativeFrom="paragraph">
                        <wp:posOffset>-91387</wp:posOffset>
                      </wp:positionV>
                      <wp:extent cx="1206500" cy="6350"/>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00" cy="6350"/>
                                <a:chOff x="0" y="0"/>
                                <a:chExt cx="1206500" cy="6350"/>
                              </a:xfrm>
                            </wpg:grpSpPr>
                            <wps:wsp>
                              <wps:cNvPr id="517" name="Graphic 517"/>
                              <wps:cNvSpPr/>
                              <wps:spPr>
                                <a:xfrm>
                                  <a:off x="0" y="0"/>
                                  <a:ext cx="1206500" cy="6350"/>
                                </a:xfrm>
                                <a:custGeom>
                                  <a:avLst/>
                                  <a:gdLst/>
                                  <a:ahLst/>
                                  <a:cxnLst/>
                                  <a:rect l="l" t="t" r="r" b="b"/>
                                  <a:pathLst>
                                    <a:path w="1206500" h="6350">
                                      <a:moveTo>
                                        <a:pt x="1206245" y="0"/>
                                      </a:moveTo>
                                      <a:lnTo>
                                        <a:pt x="0" y="0"/>
                                      </a:lnTo>
                                      <a:lnTo>
                                        <a:pt x="0" y="6096"/>
                                      </a:lnTo>
                                      <a:lnTo>
                                        <a:pt x="1206245" y="6096"/>
                                      </a:lnTo>
                                      <a:lnTo>
                                        <a:pt x="12062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388C7D" id="Group 516" o:spid="_x0000_s1026" style="position:absolute;margin-left:100.8pt;margin-top:-7.2pt;width:95pt;height:.5pt;z-index:-27206144;mso-wrap-distance-left:0;mso-wrap-distance-right:0" coordsize="12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">
                      <v:shape id="Graphic 517" o:spid="_x0000_s1027" style="position:absolute;width:12065;height:63;visibility:visible;mso-wrap-style:square;v-text-anchor:top" coordsize="1206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" path="m1206245,l,,,6096r1206245,l1206245,xe" fillcolor="black" stroked="f">
                        <v:path arrowok="t"/>
                      </v:shape>
                    </v:group>
                  </w:pict>
                </mc:Fallback>
              </mc:AlternateContent>
            </w:r>
            <w:r>
              <w:rPr>
                <w:noProof/>
              </w:rPr>
              <mc:AlternateContent>
                <mc:Choice Requires="wpg">
                  <w:drawing>
                    <wp:anchor distT="0" distB="0" distL="0" distR="0" simplePos="0" relativeHeight="476111360" behindDoc="1" locked="0" layoutInCell="1" allowOverlap="1" wp14:anchorId="0DFDD5F5" wp14:editId="0DFDD5F6">
                      <wp:simplePos x="0" y="0"/>
                      <wp:positionH relativeFrom="column">
                        <wp:posOffset>1280160</wp:posOffset>
                      </wp:positionH>
                      <wp:positionV relativeFrom="paragraph">
                        <wp:posOffset>258370</wp:posOffset>
                      </wp:positionV>
                      <wp:extent cx="1206500" cy="6350"/>
                      <wp:effectExtent l="0" t="0" r="0" b="0"/>
                      <wp:wrapNone/>
                      <wp:docPr id="518"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00" cy="6350"/>
                                <a:chOff x="0" y="0"/>
                                <a:chExt cx="1206500" cy="6350"/>
                              </a:xfrm>
                            </wpg:grpSpPr>
                            <wps:wsp>
                              <wps:cNvPr id="519" name="Graphic 519"/>
                              <wps:cNvSpPr/>
                              <wps:spPr>
                                <a:xfrm>
                                  <a:off x="0" y="0"/>
                                  <a:ext cx="1206500" cy="6350"/>
                                </a:xfrm>
                                <a:custGeom>
                                  <a:avLst/>
                                  <a:gdLst/>
                                  <a:ahLst/>
                                  <a:cxnLst/>
                                  <a:rect l="l" t="t" r="r" b="b"/>
                                  <a:pathLst>
                                    <a:path w="1206500" h="6350">
                                      <a:moveTo>
                                        <a:pt x="1206245" y="0"/>
                                      </a:moveTo>
                                      <a:lnTo>
                                        <a:pt x="0" y="0"/>
                                      </a:lnTo>
                                      <a:lnTo>
                                        <a:pt x="0" y="6096"/>
                                      </a:lnTo>
                                      <a:lnTo>
                                        <a:pt x="1206245" y="6096"/>
                                      </a:lnTo>
                                      <a:lnTo>
                                        <a:pt x="12062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0DEDFB0" id="Group 518" o:spid="_x0000_s1026" style="position:absolute;margin-left:100.8pt;margin-top:20.35pt;width:95pt;height:.5pt;z-index:-27205120;mso-wrap-distance-left:0;mso-wrap-distance-right:0" coordsize="12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">
                      <v:shape id="Graphic 519" o:spid="_x0000_s1027" style="position:absolute;width:12065;height:63;visibility:visible;mso-wrap-style:square;v-text-anchor:top" coordsize="1206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" path="m1206245,l,,,6096r1206245,l1206245,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71F" w14:textId="77777777">
        <w:trPr>
          <w:trHeight w:val="794"/>
        </w:trPr>
        <w:tc>
          <w:tcPr>
            <w:tcW w:w="5364" w:type="dxa"/>
            <w:tcBorders>
              <w:right w:val="single" w:sz="4" w:space="0" w:color="000000"/>
            </w:tcBorders>
          </w:tcPr>
          <w:p w14:paraId="0DFDB716" w14:textId="77777777" w:rsidR="00046465" w:rsidRDefault="00046465">
            <w:pPr>
              <w:pStyle w:val="TableParagraph"/>
              <w:spacing w:before="144"/>
              <w:rPr>
                <w:i/>
              </w:rPr>
            </w:pPr>
          </w:p>
          <w:p w14:paraId="0DFDB717" w14:textId="77777777" w:rsidR="00046465" w:rsidRDefault="008134EB">
            <w:pPr>
              <w:pStyle w:val="TableParagraph"/>
              <w:spacing w:before="1"/>
              <w:ind w:left="97"/>
            </w:pPr>
            <w:r>
              <w:t>Provision</w:t>
            </w:r>
            <w:r>
              <w:rPr>
                <w:spacing w:val="-11"/>
              </w:rPr>
              <w:t xml:space="preserve"> </w:t>
            </w:r>
            <w:r>
              <w:rPr>
                <w:spacing w:val="-2"/>
              </w:rPr>
              <w:t>Description</w:t>
            </w:r>
          </w:p>
        </w:tc>
        <w:tc>
          <w:tcPr>
            <w:tcW w:w="1710" w:type="dxa"/>
            <w:tcBorders>
              <w:left w:val="single" w:sz="4" w:space="0" w:color="000000"/>
              <w:right w:val="single" w:sz="4" w:space="0" w:color="000000"/>
            </w:tcBorders>
          </w:tcPr>
          <w:p w14:paraId="0DFDB718" w14:textId="77777777" w:rsidR="00046465" w:rsidRDefault="00046465">
            <w:pPr>
              <w:pStyle w:val="TableParagraph"/>
              <w:spacing w:before="144"/>
              <w:rPr>
                <w:i/>
              </w:rPr>
            </w:pPr>
          </w:p>
          <w:p w14:paraId="0DFDB719" w14:textId="77777777" w:rsidR="00046465" w:rsidRDefault="008134EB">
            <w:pPr>
              <w:pStyle w:val="TableParagraph"/>
              <w:spacing w:before="1"/>
              <w:ind w:left="107"/>
            </w:pPr>
            <w:r>
              <w:rPr>
                <w:spacing w:val="-2"/>
              </w:rPr>
              <w:t>Objective</w:t>
            </w:r>
          </w:p>
        </w:tc>
        <w:tc>
          <w:tcPr>
            <w:tcW w:w="1620" w:type="dxa"/>
            <w:tcBorders>
              <w:left w:val="single" w:sz="4" w:space="0" w:color="000000"/>
              <w:right w:val="single" w:sz="4" w:space="0" w:color="000000"/>
            </w:tcBorders>
          </w:tcPr>
          <w:p w14:paraId="0DFDB71A" w14:textId="77777777" w:rsidR="00046465" w:rsidRDefault="008134EB">
            <w:pPr>
              <w:pStyle w:val="TableParagraph"/>
              <w:spacing w:before="144"/>
              <w:ind w:left="107" w:right="215"/>
            </w:pPr>
            <w:r>
              <w:rPr>
                <w:spacing w:val="-2"/>
              </w:rPr>
              <w:t>Control Activities</w:t>
            </w:r>
          </w:p>
        </w:tc>
        <w:tc>
          <w:tcPr>
            <w:tcW w:w="1350" w:type="dxa"/>
            <w:tcBorders>
              <w:left w:val="single" w:sz="4" w:space="0" w:color="000000"/>
              <w:right w:val="single" w:sz="4" w:space="0" w:color="000000"/>
            </w:tcBorders>
          </w:tcPr>
          <w:p w14:paraId="0DFDB71B" w14:textId="77777777" w:rsidR="00046465" w:rsidRDefault="00046465">
            <w:pPr>
              <w:pStyle w:val="TableParagraph"/>
              <w:spacing w:before="144"/>
              <w:rPr>
                <w:i/>
              </w:rPr>
            </w:pPr>
          </w:p>
          <w:p w14:paraId="0DFDB71C" w14:textId="77777777" w:rsidR="00046465" w:rsidRDefault="008134EB">
            <w:pPr>
              <w:pStyle w:val="TableParagraph"/>
              <w:spacing w:before="1"/>
              <w:ind w:left="107"/>
            </w:pPr>
            <w:r>
              <w:t>IS</w:t>
            </w:r>
            <w:r>
              <w:rPr>
                <w:spacing w:val="-3"/>
              </w:rPr>
              <w:t xml:space="preserve"> </w:t>
            </w:r>
            <w:r>
              <w:rPr>
                <w:spacing w:val="-2"/>
              </w:rPr>
              <w:t>(Y/N)</w:t>
            </w:r>
          </w:p>
        </w:tc>
        <w:tc>
          <w:tcPr>
            <w:tcW w:w="1529" w:type="dxa"/>
            <w:tcBorders>
              <w:left w:val="single" w:sz="4" w:space="0" w:color="000000"/>
              <w:right w:val="single" w:sz="4" w:space="0" w:color="000000"/>
            </w:tcBorders>
          </w:tcPr>
          <w:p w14:paraId="0DFDB71D" w14:textId="77777777" w:rsidR="00046465" w:rsidRDefault="008134EB">
            <w:pPr>
              <w:pStyle w:val="TableParagraph"/>
              <w:spacing w:before="144"/>
              <w:ind w:left="107"/>
            </w:pPr>
            <w:r>
              <w:rPr>
                <w:spacing w:val="-2"/>
              </w:rPr>
              <w:t>Effective controls?</w:t>
            </w:r>
          </w:p>
        </w:tc>
        <w:tc>
          <w:tcPr>
            <w:tcW w:w="1819" w:type="dxa"/>
            <w:tcBorders>
              <w:left w:val="single" w:sz="4" w:space="0" w:color="000000"/>
            </w:tcBorders>
          </w:tcPr>
          <w:p w14:paraId="0DFDB71E" w14:textId="77777777" w:rsidR="00046465" w:rsidRDefault="008134EB">
            <w:pPr>
              <w:pStyle w:val="TableParagraph"/>
              <w:spacing w:before="144"/>
              <w:ind w:left="107"/>
            </w:pPr>
            <w:r>
              <w:t xml:space="preserve">Instances of </w:t>
            </w:r>
            <w:r>
              <w:rPr>
                <w:spacing w:val="-2"/>
              </w:rPr>
              <w:t>noncompliance?</w:t>
            </w:r>
          </w:p>
        </w:tc>
      </w:tr>
      <w:tr w:rsidR="00046465" w14:paraId="0DFDB729" w14:textId="77777777">
        <w:trPr>
          <w:trHeight w:val="2191"/>
        </w:trPr>
        <w:tc>
          <w:tcPr>
            <w:tcW w:w="5364" w:type="dxa"/>
            <w:tcBorders>
              <w:right w:val="single" w:sz="4" w:space="0" w:color="000000"/>
            </w:tcBorders>
          </w:tcPr>
          <w:p w14:paraId="0DFDB720" w14:textId="77777777" w:rsidR="00046465" w:rsidRDefault="008134EB">
            <w:pPr>
              <w:pStyle w:val="TableParagraph"/>
              <w:spacing w:before="145"/>
              <w:ind w:left="97"/>
              <w:rPr>
                <w:sz w:val="18"/>
              </w:rPr>
            </w:pPr>
            <w:r>
              <w:rPr>
                <w:smallCaps/>
                <w:sz w:val="18"/>
              </w:rPr>
              <w:t>803.01.</w:t>
            </w:r>
            <w:r>
              <w:rPr>
                <w:smallCaps/>
                <w:spacing w:val="-4"/>
                <w:sz w:val="18"/>
              </w:rPr>
              <w:t xml:space="preserve"> </w:t>
            </w:r>
            <w:r>
              <w:rPr>
                <w:smallCaps/>
                <w:spacing w:val="14"/>
                <w:sz w:val="18"/>
              </w:rPr>
              <w:t xml:space="preserve"> </w:t>
            </w:r>
            <w:r>
              <w:rPr>
                <w:smallCaps/>
                <w:sz w:val="18"/>
              </w:rPr>
              <w:t>Limitations</w:t>
            </w:r>
            <w:r>
              <w:rPr>
                <w:smallCaps/>
                <w:spacing w:val="-4"/>
                <w:sz w:val="18"/>
              </w:rPr>
              <w:t xml:space="preserve"> </w:t>
            </w:r>
            <w:r>
              <w:rPr>
                <w:smallCaps/>
                <w:sz w:val="18"/>
              </w:rPr>
              <w:t>on</w:t>
            </w:r>
            <w:r>
              <w:rPr>
                <w:smallCaps/>
                <w:spacing w:val="-4"/>
                <w:sz w:val="18"/>
              </w:rPr>
              <w:t xml:space="preserve"> </w:t>
            </w:r>
            <w:r>
              <w:rPr>
                <w:smallCaps/>
                <w:sz w:val="18"/>
              </w:rPr>
              <w:t>Excess</w:t>
            </w:r>
            <w:r>
              <w:rPr>
                <w:smallCaps/>
                <w:spacing w:val="-4"/>
                <w:sz w:val="18"/>
              </w:rPr>
              <w:t xml:space="preserve"> </w:t>
            </w:r>
            <w:r>
              <w:rPr>
                <w:smallCaps/>
                <w:sz w:val="18"/>
              </w:rPr>
              <w:t>Expenditures</w:t>
            </w:r>
            <w:r>
              <w:rPr>
                <w:smallCaps/>
                <w:spacing w:val="-5"/>
                <w:sz w:val="18"/>
              </w:rPr>
              <w:t xml:space="preserve"> </w:t>
            </w:r>
            <w:r>
              <w:rPr>
                <w:smallCaps/>
                <w:sz w:val="18"/>
              </w:rPr>
              <w:t>and</w:t>
            </w:r>
            <w:r>
              <w:rPr>
                <w:smallCaps/>
                <w:spacing w:val="-3"/>
                <w:sz w:val="18"/>
              </w:rPr>
              <w:t xml:space="preserve"> </w:t>
            </w:r>
            <w:r>
              <w:rPr>
                <w:smallCaps/>
                <w:spacing w:val="-2"/>
                <w:sz w:val="18"/>
              </w:rPr>
              <w:t>Obligations</w:t>
            </w:r>
          </w:p>
          <w:p w14:paraId="0DFDB721" w14:textId="77777777" w:rsidR="00046465" w:rsidRDefault="008134EB">
            <w:pPr>
              <w:pStyle w:val="TableParagraph"/>
              <w:spacing w:before="143"/>
              <w:ind w:left="97"/>
              <w:rPr>
                <w:sz w:val="18"/>
              </w:rPr>
            </w:pPr>
            <w:r>
              <w:rPr>
                <w:sz w:val="18"/>
              </w:rPr>
              <w:t>Provision</w:t>
            </w:r>
            <w:r>
              <w:rPr>
                <w:spacing w:val="-7"/>
                <w:sz w:val="18"/>
              </w:rPr>
              <w:t xml:space="preserve"> </w:t>
            </w:r>
            <w:r>
              <w:rPr>
                <w:sz w:val="18"/>
              </w:rPr>
              <w:t>Type:</w:t>
            </w:r>
            <w:r>
              <w:rPr>
                <w:spacing w:val="-6"/>
                <w:sz w:val="18"/>
              </w:rPr>
              <w:t xml:space="preserve"> </w:t>
            </w:r>
            <w:r>
              <w:rPr>
                <w:sz w:val="18"/>
              </w:rPr>
              <w:t>Quantitative-</w:t>
            </w:r>
            <w:r>
              <w:rPr>
                <w:spacing w:val="-2"/>
                <w:sz w:val="18"/>
              </w:rPr>
              <w:t>based.</w:t>
            </w:r>
          </w:p>
          <w:p w14:paraId="0DFDB722" w14:textId="77777777" w:rsidR="00046465" w:rsidRDefault="008134EB">
            <w:pPr>
              <w:pStyle w:val="TableParagraph"/>
              <w:spacing w:before="144"/>
              <w:ind w:left="97"/>
              <w:rPr>
                <w:sz w:val="18"/>
              </w:rPr>
            </w:pPr>
            <w:r>
              <w:rPr>
                <w:sz w:val="18"/>
              </w:rPr>
              <w:t>The entity’s officers or employees shall not make or authorize expenditures</w:t>
            </w:r>
            <w:r>
              <w:rPr>
                <w:spacing w:val="-5"/>
                <w:sz w:val="18"/>
              </w:rPr>
              <w:t xml:space="preserve"> </w:t>
            </w:r>
            <w:r>
              <w:rPr>
                <w:sz w:val="18"/>
              </w:rPr>
              <w:t>or</w:t>
            </w:r>
            <w:r>
              <w:rPr>
                <w:spacing w:val="-5"/>
                <w:sz w:val="18"/>
              </w:rPr>
              <w:t xml:space="preserve"> </w:t>
            </w:r>
            <w:r>
              <w:rPr>
                <w:sz w:val="18"/>
              </w:rPr>
              <w:t>obligations</w:t>
            </w:r>
            <w:r>
              <w:rPr>
                <w:spacing w:val="-5"/>
                <w:sz w:val="18"/>
              </w:rPr>
              <w:t xml:space="preserve"> </w:t>
            </w:r>
            <w:r>
              <w:rPr>
                <w:sz w:val="18"/>
              </w:rPr>
              <w:t>that</w:t>
            </w:r>
            <w:r>
              <w:rPr>
                <w:spacing w:val="-5"/>
                <w:sz w:val="18"/>
              </w:rPr>
              <w:t xml:space="preserve"> </w:t>
            </w:r>
            <w:r>
              <w:rPr>
                <w:sz w:val="18"/>
              </w:rPr>
              <w:t>exceed</w:t>
            </w:r>
            <w:r>
              <w:rPr>
                <w:spacing w:val="-6"/>
                <w:sz w:val="18"/>
              </w:rPr>
              <w:t xml:space="preserve"> </w:t>
            </w:r>
            <w:r>
              <w:rPr>
                <w:sz w:val="18"/>
              </w:rPr>
              <w:t>the</w:t>
            </w:r>
            <w:r>
              <w:rPr>
                <w:spacing w:val="-6"/>
                <w:sz w:val="18"/>
              </w:rPr>
              <w:t xml:space="preserve"> </w:t>
            </w:r>
            <w:r>
              <w:rPr>
                <w:sz w:val="18"/>
              </w:rPr>
              <w:t>amount</w:t>
            </w:r>
            <w:r>
              <w:rPr>
                <w:spacing w:val="-5"/>
                <w:sz w:val="18"/>
              </w:rPr>
              <w:t xml:space="preserve"> </w:t>
            </w:r>
            <w:r>
              <w:rPr>
                <w:sz w:val="18"/>
              </w:rPr>
              <w:t>available</w:t>
            </w:r>
            <w:r>
              <w:rPr>
                <w:spacing w:val="-6"/>
                <w:sz w:val="18"/>
              </w:rPr>
              <w:t xml:space="preserve"> </w:t>
            </w:r>
            <w:r>
              <w:rPr>
                <w:sz w:val="18"/>
              </w:rPr>
              <w:t>for expenditure or obligation in an appropriation or a fund, unless authorized by law. 31 U.S.C. § 1341(a)(1)(A).</w:t>
            </w:r>
          </w:p>
        </w:tc>
        <w:tc>
          <w:tcPr>
            <w:tcW w:w="1710" w:type="dxa"/>
            <w:tcBorders>
              <w:left w:val="single" w:sz="4" w:space="0" w:color="000000"/>
              <w:right w:val="single" w:sz="4" w:space="0" w:color="000000"/>
            </w:tcBorders>
          </w:tcPr>
          <w:p w14:paraId="0DFDB723" w14:textId="77777777" w:rsidR="00046465" w:rsidRDefault="008134EB">
            <w:pPr>
              <w:pStyle w:val="TableParagraph"/>
              <w:spacing w:before="143"/>
              <w:ind w:left="107" w:right="131"/>
              <w:rPr>
                <w:sz w:val="18"/>
              </w:rPr>
            </w:pPr>
            <w:r>
              <w:rPr>
                <w:sz w:val="18"/>
              </w:rPr>
              <w:t>Expenditures or obligations</w:t>
            </w:r>
            <w:r>
              <w:rPr>
                <w:spacing w:val="-15"/>
                <w:sz w:val="18"/>
              </w:rPr>
              <w:t xml:space="preserve"> </w:t>
            </w:r>
            <w:r>
              <w:rPr>
                <w:sz w:val="18"/>
              </w:rPr>
              <w:t>do</w:t>
            </w:r>
            <w:r>
              <w:rPr>
                <w:spacing w:val="-12"/>
                <w:sz w:val="18"/>
              </w:rPr>
              <w:t xml:space="preserve"> </w:t>
            </w:r>
            <w:r>
              <w:rPr>
                <w:sz w:val="18"/>
              </w:rPr>
              <w:t>not exceed the amount available for</w:t>
            </w:r>
            <w:r>
              <w:rPr>
                <w:spacing w:val="-15"/>
                <w:sz w:val="18"/>
              </w:rPr>
              <w:t xml:space="preserve"> </w:t>
            </w:r>
            <w:r>
              <w:rPr>
                <w:sz w:val="18"/>
              </w:rPr>
              <w:t>expenditure</w:t>
            </w:r>
            <w:r>
              <w:rPr>
                <w:spacing w:val="-12"/>
                <w:sz w:val="18"/>
              </w:rPr>
              <w:t xml:space="preserve"> </w:t>
            </w:r>
            <w:r>
              <w:rPr>
                <w:sz w:val="18"/>
              </w:rPr>
              <w:t>or obligation in an appropriation</w:t>
            </w:r>
            <w:r>
              <w:rPr>
                <w:spacing w:val="-15"/>
                <w:sz w:val="18"/>
              </w:rPr>
              <w:t xml:space="preserve"> </w:t>
            </w:r>
            <w:r>
              <w:rPr>
                <w:sz w:val="18"/>
              </w:rPr>
              <w:t>or</w:t>
            </w:r>
            <w:r>
              <w:rPr>
                <w:spacing w:val="-12"/>
                <w:sz w:val="18"/>
              </w:rPr>
              <w:t xml:space="preserve"> </w:t>
            </w:r>
            <w:r>
              <w:rPr>
                <w:sz w:val="18"/>
              </w:rPr>
              <w:t xml:space="preserve">a </w:t>
            </w:r>
            <w:r>
              <w:rPr>
                <w:spacing w:val="-2"/>
                <w:sz w:val="18"/>
              </w:rPr>
              <w:t>fund.</w:t>
            </w:r>
          </w:p>
        </w:tc>
        <w:tc>
          <w:tcPr>
            <w:tcW w:w="1620" w:type="dxa"/>
            <w:tcBorders>
              <w:left w:val="single" w:sz="4" w:space="0" w:color="000000"/>
              <w:right w:val="single" w:sz="4" w:space="0" w:color="000000"/>
            </w:tcBorders>
          </w:tcPr>
          <w:p w14:paraId="0DFDB724" w14:textId="77777777" w:rsidR="00046465" w:rsidRDefault="008134EB">
            <w:pPr>
              <w:pStyle w:val="TableParagraph"/>
              <w:spacing w:before="143"/>
              <w:ind w:left="107" w:right="215"/>
              <w:rPr>
                <w:position w:val="6"/>
                <w:sz w:val="12"/>
              </w:rPr>
            </w:pPr>
            <w:r>
              <w:rPr>
                <w:sz w:val="18"/>
              </w:rPr>
              <w:t>[Document the control</w:t>
            </w:r>
            <w:r>
              <w:rPr>
                <w:spacing w:val="-13"/>
                <w:sz w:val="18"/>
              </w:rPr>
              <w:t xml:space="preserve"> </w:t>
            </w:r>
            <w:r>
              <w:rPr>
                <w:sz w:val="18"/>
              </w:rPr>
              <w:t>activities that the entity used</w:t>
            </w:r>
            <w:r>
              <w:rPr>
                <w:spacing w:val="-9"/>
                <w:sz w:val="18"/>
              </w:rPr>
              <w:t xml:space="preserve"> </w:t>
            </w:r>
            <w:r>
              <w:rPr>
                <w:sz w:val="18"/>
              </w:rPr>
              <w:t>to</w:t>
            </w:r>
            <w:r>
              <w:rPr>
                <w:spacing w:val="-9"/>
                <w:sz w:val="18"/>
              </w:rPr>
              <w:t xml:space="preserve"> </w:t>
            </w:r>
            <w:r>
              <w:rPr>
                <w:sz w:val="18"/>
              </w:rPr>
              <w:t>achieve the objective.]</w:t>
            </w:r>
            <w:hyperlink w:anchor="_bookmark65" w:history="1">
              <w:r>
                <w:rPr>
                  <w:position w:val="6"/>
                  <w:sz w:val="12"/>
                </w:rPr>
                <w:t>2</w:t>
              </w:r>
            </w:hyperlink>
          </w:p>
        </w:tc>
        <w:tc>
          <w:tcPr>
            <w:tcW w:w="1350" w:type="dxa"/>
            <w:tcBorders>
              <w:left w:val="single" w:sz="4" w:space="0" w:color="000000"/>
              <w:right w:val="single" w:sz="4" w:space="0" w:color="000000"/>
            </w:tcBorders>
          </w:tcPr>
          <w:p w14:paraId="0DFDB725" w14:textId="77777777" w:rsidR="00046465" w:rsidRDefault="008134EB">
            <w:pPr>
              <w:pStyle w:val="TableParagraph"/>
              <w:spacing w:before="143"/>
              <w:ind w:left="107" w:right="165"/>
              <w:rPr>
                <w:sz w:val="18"/>
              </w:rPr>
            </w:pPr>
            <w:r>
              <w:rPr>
                <w:sz w:val="18"/>
              </w:rPr>
              <w:t>[Does</w:t>
            </w:r>
            <w:r>
              <w:rPr>
                <w:spacing w:val="-13"/>
                <w:sz w:val="18"/>
              </w:rPr>
              <w:t xml:space="preserve"> </w:t>
            </w:r>
            <w:r>
              <w:rPr>
                <w:sz w:val="18"/>
              </w:rPr>
              <w:t xml:space="preserve">control depend on </w:t>
            </w:r>
            <w:r>
              <w:rPr>
                <w:spacing w:val="-2"/>
                <w:sz w:val="18"/>
              </w:rPr>
              <w:t>information system processing?]</w:t>
            </w:r>
          </w:p>
        </w:tc>
        <w:tc>
          <w:tcPr>
            <w:tcW w:w="1529" w:type="dxa"/>
            <w:tcBorders>
              <w:left w:val="single" w:sz="4" w:space="0" w:color="000000"/>
              <w:right w:val="single" w:sz="4" w:space="0" w:color="000000"/>
            </w:tcBorders>
          </w:tcPr>
          <w:p w14:paraId="0DFDB726" w14:textId="77777777" w:rsidR="00046465" w:rsidRDefault="008134EB">
            <w:pPr>
              <w:pStyle w:val="TableParagraph"/>
              <w:spacing w:before="143"/>
              <w:ind w:left="107"/>
              <w:rPr>
                <w:sz w:val="18"/>
              </w:rPr>
            </w:pPr>
            <w:r>
              <w:rPr>
                <w:sz w:val="18"/>
              </w:rPr>
              <w:t xml:space="preserve">[Indicate yes or no; include reference to </w:t>
            </w:r>
            <w:r>
              <w:rPr>
                <w:spacing w:val="-2"/>
                <w:sz w:val="18"/>
              </w:rPr>
              <w:t>supporting documentation.]</w:t>
            </w:r>
          </w:p>
        </w:tc>
        <w:tc>
          <w:tcPr>
            <w:tcW w:w="1819" w:type="dxa"/>
            <w:tcBorders>
              <w:left w:val="single" w:sz="4" w:space="0" w:color="000000"/>
            </w:tcBorders>
          </w:tcPr>
          <w:p w14:paraId="0DFDB727" w14:textId="77777777" w:rsidR="00046465" w:rsidRDefault="008134EB">
            <w:pPr>
              <w:pStyle w:val="TableParagraph"/>
              <w:spacing w:before="143"/>
              <w:ind w:left="107"/>
              <w:rPr>
                <w:sz w:val="18"/>
              </w:rPr>
            </w:pPr>
            <w:r>
              <w:rPr>
                <w:sz w:val="18"/>
              </w:rPr>
              <w:t>[Indicate yes or no; include</w:t>
            </w:r>
            <w:r>
              <w:rPr>
                <w:spacing w:val="-15"/>
                <w:sz w:val="18"/>
              </w:rPr>
              <w:t xml:space="preserve"> </w:t>
            </w:r>
            <w:r>
              <w:rPr>
                <w:sz w:val="18"/>
              </w:rPr>
              <w:t>reference</w:t>
            </w:r>
            <w:r>
              <w:rPr>
                <w:spacing w:val="-12"/>
                <w:sz w:val="18"/>
              </w:rPr>
              <w:t xml:space="preserve"> </w:t>
            </w:r>
            <w:r>
              <w:rPr>
                <w:sz w:val="18"/>
              </w:rPr>
              <w:t xml:space="preserve">to </w:t>
            </w:r>
            <w:r>
              <w:rPr>
                <w:spacing w:val="-2"/>
                <w:sz w:val="18"/>
              </w:rPr>
              <w:t>supporting documentation.]</w:t>
            </w:r>
          </w:p>
          <w:p w14:paraId="0DFDB728" w14:textId="77777777" w:rsidR="00046465" w:rsidRDefault="008134EB">
            <w:pPr>
              <w:pStyle w:val="TableParagraph"/>
              <w:spacing w:before="144"/>
              <w:ind w:left="107" w:right="254"/>
              <w:rPr>
                <w:sz w:val="18"/>
              </w:rPr>
            </w:pPr>
            <w:r>
              <w:rPr>
                <w:sz w:val="18"/>
              </w:rPr>
              <w:t>See Compliance Audit</w:t>
            </w:r>
            <w:r>
              <w:rPr>
                <w:spacing w:val="-13"/>
                <w:sz w:val="18"/>
              </w:rPr>
              <w:t xml:space="preserve"> </w:t>
            </w:r>
            <w:r>
              <w:rPr>
                <w:sz w:val="18"/>
              </w:rPr>
              <w:t>Procedures, FAM 803 step 3.</w:t>
            </w:r>
          </w:p>
        </w:tc>
      </w:tr>
    </w:tbl>
    <w:p w14:paraId="0DFDB72A" w14:textId="77777777" w:rsidR="00046465" w:rsidRDefault="00046465">
      <w:pPr>
        <w:pStyle w:val="BodyText"/>
        <w:rPr>
          <w:i/>
          <w:sz w:val="20"/>
        </w:rPr>
      </w:pPr>
    </w:p>
    <w:p w14:paraId="0DFDB72B" w14:textId="77777777" w:rsidR="00046465" w:rsidRDefault="00046465">
      <w:pPr>
        <w:pStyle w:val="BodyText"/>
        <w:rPr>
          <w:i/>
          <w:sz w:val="20"/>
        </w:rPr>
      </w:pPr>
    </w:p>
    <w:p w14:paraId="0DFDB72C" w14:textId="77777777" w:rsidR="00046465" w:rsidRDefault="008134EB">
      <w:pPr>
        <w:pStyle w:val="BodyText"/>
        <w:spacing w:before="225"/>
        <w:rPr>
          <w:i/>
          <w:sz w:val="20"/>
        </w:rPr>
      </w:pPr>
      <w:r>
        <w:rPr>
          <w:i/>
          <w:noProof/>
          <w:sz w:val="20"/>
        </w:rPr>
        <mc:AlternateContent>
          <mc:Choice Requires="wps">
            <w:drawing>
              <wp:anchor distT="0" distB="0" distL="0" distR="0" simplePos="0" relativeHeight="487644160" behindDoc="1" locked="0" layoutInCell="1" allowOverlap="1" wp14:anchorId="0DFDD5F7" wp14:editId="0DFDD5F8">
                <wp:simplePos x="0" y="0"/>
                <wp:positionH relativeFrom="page">
                  <wp:posOffset>685800</wp:posOffset>
                </wp:positionH>
                <wp:positionV relativeFrom="paragraph">
                  <wp:posOffset>304450</wp:posOffset>
                </wp:positionV>
                <wp:extent cx="1828800" cy="6985"/>
                <wp:effectExtent l="0" t="0" r="0" b="0"/>
                <wp:wrapTopAndBottom/>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ED1AD1" id="Graphic 520" o:spid="_x0000_s1026" style="position:absolute;margin-left:54pt;margin-top:23.95pt;width:2in;height:.55pt;z-index:-156723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" path="m1828800,l,,,6857r1828800,l1828800,xe" fillcolor="black" stroked="f">
                <v:path arrowok="t"/>
                <w10:wrap type="topAndBottom" anchorx="page"/>
              </v:shape>
            </w:pict>
          </mc:Fallback>
        </mc:AlternateContent>
      </w:r>
    </w:p>
    <w:p w14:paraId="0DFDB72D" w14:textId="77777777" w:rsidR="00046465" w:rsidRDefault="00046465">
      <w:pPr>
        <w:pStyle w:val="BodyText"/>
        <w:spacing w:before="10"/>
        <w:rPr>
          <w:i/>
          <w:sz w:val="18"/>
        </w:rPr>
      </w:pPr>
    </w:p>
    <w:p w14:paraId="0DFDB72E" w14:textId="77777777" w:rsidR="00046465" w:rsidRDefault="008134EB">
      <w:pPr>
        <w:spacing w:line="242" w:lineRule="auto"/>
        <w:ind w:left="359" w:right="422"/>
        <w:rPr>
          <w:sz w:val="18"/>
        </w:rPr>
      </w:pPr>
      <w:r>
        <w:rPr>
          <w:position w:val="7"/>
          <w:sz w:val="14"/>
        </w:rPr>
        <w:t>2</w:t>
      </w:r>
      <w:r>
        <w:rPr>
          <w:sz w:val="18"/>
        </w:rPr>
        <w:t>The</w:t>
      </w:r>
      <w:r>
        <w:rPr>
          <w:spacing w:val="-3"/>
          <w:sz w:val="18"/>
        </w:rPr>
        <w:t xml:space="preserve"> </w:t>
      </w:r>
      <w:r>
        <w:rPr>
          <w:sz w:val="18"/>
        </w:rPr>
        <w:t>auditor</w:t>
      </w:r>
      <w:r>
        <w:rPr>
          <w:spacing w:val="-2"/>
          <w:sz w:val="18"/>
        </w:rPr>
        <w:t xml:space="preserve"> </w:t>
      </w:r>
      <w:r>
        <w:rPr>
          <w:sz w:val="18"/>
        </w:rPr>
        <w:t>should</w:t>
      </w:r>
      <w:r>
        <w:rPr>
          <w:spacing w:val="-3"/>
          <w:sz w:val="18"/>
        </w:rPr>
        <w:t xml:space="preserve"> </w:t>
      </w:r>
      <w:r>
        <w:rPr>
          <w:sz w:val="18"/>
        </w:rPr>
        <w:t>consider</w:t>
      </w:r>
      <w:r>
        <w:rPr>
          <w:spacing w:val="-2"/>
          <w:sz w:val="18"/>
        </w:rPr>
        <w:t xml:space="preserve"> </w:t>
      </w:r>
      <w:r>
        <w:rPr>
          <w:sz w:val="18"/>
        </w:rPr>
        <w:t>the</w:t>
      </w:r>
      <w:r>
        <w:rPr>
          <w:spacing w:val="-3"/>
          <w:sz w:val="18"/>
        </w:rPr>
        <w:t xml:space="preserve"> </w:t>
      </w:r>
      <w:r>
        <w:rPr>
          <w:sz w:val="18"/>
        </w:rPr>
        <w:t>results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evaluation</w:t>
      </w:r>
      <w:r>
        <w:rPr>
          <w:spacing w:val="-3"/>
          <w:sz w:val="18"/>
        </w:rPr>
        <w:t xml:space="preserve"> </w:t>
      </w:r>
      <w:r>
        <w:rPr>
          <w:sz w:val="18"/>
        </w:rPr>
        <w:t>and</w:t>
      </w:r>
      <w:r>
        <w:rPr>
          <w:spacing w:val="-3"/>
          <w:sz w:val="18"/>
        </w:rPr>
        <w:t xml:space="preserve"> </w:t>
      </w:r>
      <w:r>
        <w:rPr>
          <w:sz w:val="18"/>
        </w:rPr>
        <w:t>testing</w:t>
      </w:r>
      <w:r>
        <w:rPr>
          <w:spacing w:val="-3"/>
          <w:sz w:val="18"/>
        </w:rPr>
        <w:t xml:space="preserve"> </w:t>
      </w:r>
      <w:r>
        <w:rPr>
          <w:sz w:val="18"/>
        </w:rPr>
        <w:t>of</w:t>
      </w:r>
      <w:r>
        <w:rPr>
          <w:spacing w:val="-2"/>
          <w:sz w:val="18"/>
        </w:rPr>
        <w:t xml:space="preserve"> </w:t>
      </w:r>
      <w:r>
        <w:rPr>
          <w:sz w:val="18"/>
        </w:rPr>
        <w:t>budget</w:t>
      </w:r>
      <w:r>
        <w:rPr>
          <w:spacing w:val="-2"/>
          <w:sz w:val="18"/>
        </w:rPr>
        <w:t xml:space="preserve"> </w:t>
      </w:r>
      <w:r>
        <w:rPr>
          <w:sz w:val="18"/>
        </w:rPr>
        <w:t>controls</w:t>
      </w:r>
      <w:r>
        <w:rPr>
          <w:spacing w:val="-2"/>
          <w:sz w:val="18"/>
        </w:rPr>
        <w:t xml:space="preserve"> </w:t>
      </w:r>
      <w:r>
        <w:rPr>
          <w:sz w:val="18"/>
        </w:rPr>
        <w:t>(see</w:t>
      </w:r>
      <w:r>
        <w:rPr>
          <w:spacing w:val="-2"/>
          <w:sz w:val="18"/>
        </w:rPr>
        <w:t xml:space="preserve"> </w:t>
      </w:r>
      <w:r>
        <w:rPr>
          <w:sz w:val="18"/>
        </w:rPr>
        <w:t>FAM</w:t>
      </w:r>
      <w:r>
        <w:rPr>
          <w:spacing w:val="-2"/>
          <w:sz w:val="18"/>
        </w:rPr>
        <w:t xml:space="preserve"> </w:t>
      </w:r>
      <w:r>
        <w:rPr>
          <w:sz w:val="18"/>
        </w:rPr>
        <w:t>370).</w:t>
      </w:r>
      <w:r>
        <w:rPr>
          <w:spacing w:val="-1"/>
          <w:sz w:val="18"/>
        </w:rPr>
        <w:t xml:space="preserve"> </w:t>
      </w:r>
      <w:r>
        <w:rPr>
          <w:sz w:val="18"/>
        </w:rPr>
        <w:t>These</w:t>
      </w:r>
      <w:r>
        <w:rPr>
          <w:spacing w:val="-3"/>
          <w:sz w:val="18"/>
        </w:rPr>
        <w:t xml:space="preserve"> </w:t>
      </w:r>
      <w:r>
        <w:rPr>
          <w:sz w:val="18"/>
        </w:rPr>
        <w:t>controls</w:t>
      </w:r>
      <w:r>
        <w:rPr>
          <w:spacing w:val="-2"/>
          <w:sz w:val="18"/>
        </w:rPr>
        <w:t xml:space="preserve"> </w:t>
      </w:r>
      <w:r>
        <w:rPr>
          <w:sz w:val="18"/>
        </w:rPr>
        <w:t>relate</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execution</w:t>
      </w:r>
      <w:r>
        <w:rPr>
          <w:spacing w:val="-3"/>
          <w:sz w:val="18"/>
        </w:rPr>
        <w:t xml:space="preserve"> </w:t>
      </w:r>
      <w:r>
        <w:rPr>
          <w:sz w:val="18"/>
        </w:rPr>
        <w:t>of</w:t>
      </w:r>
      <w:r>
        <w:rPr>
          <w:spacing w:val="-2"/>
          <w:sz w:val="18"/>
        </w:rPr>
        <w:t xml:space="preserve"> </w:t>
      </w:r>
      <w:r>
        <w:rPr>
          <w:sz w:val="18"/>
        </w:rPr>
        <w:t>budget</w:t>
      </w:r>
      <w:r>
        <w:rPr>
          <w:spacing w:val="-2"/>
          <w:sz w:val="18"/>
        </w:rPr>
        <w:t xml:space="preserve"> </w:t>
      </w:r>
      <w:r>
        <w:rPr>
          <w:sz w:val="18"/>
        </w:rPr>
        <w:t>authority</w:t>
      </w:r>
      <w:r>
        <w:rPr>
          <w:spacing w:val="-1"/>
          <w:sz w:val="18"/>
        </w:rPr>
        <w:t xml:space="preserve"> </w:t>
      </w:r>
      <w:r>
        <w:rPr>
          <w:sz w:val="18"/>
        </w:rPr>
        <w:t xml:space="preserve">and usually are the same controls that are used to comply with the Antideficiency Act. Accordingly, additional determinations of controls that achieve the compliance objective generally are not necessary if the auditor has assessed whether the entity achieves all of the budget control objectives listed in FAM 395 F, </w:t>
      </w:r>
      <w:r>
        <w:rPr>
          <w:i/>
          <w:sz w:val="18"/>
        </w:rPr>
        <w:t>Budget Control Objectives</w:t>
      </w:r>
      <w:r>
        <w:rPr>
          <w:sz w:val="18"/>
        </w:rPr>
        <w:t>. The auditor should reference this compliance summary to the budget control evaluation and testing and perform any additional procedures determined to be necessary to conclude on whether compliance controls are effective.</w:t>
      </w:r>
    </w:p>
    <w:p w14:paraId="0DFDB72F" w14:textId="77777777" w:rsidR="00046465" w:rsidRDefault="00046465">
      <w:pPr>
        <w:spacing w:line="242" w:lineRule="auto"/>
        <w:rPr>
          <w:sz w:val="18"/>
        </w:rPr>
        <w:sectPr w:rsidR="00046465">
          <w:headerReference w:type="default" r:id="rId124"/>
          <w:footerReference w:type="default" r:id="rId125"/>
          <w:pgSz w:w="15840" w:h="12240" w:orient="landscape"/>
          <w:pgMar w:top="1380" w:right="1080" w:bottom="960" w:left="720" w:header="721" w:footer="765" w:gutter="0"/>
          <w:pgNumType w:start="1"/>
          <w:cols w:space="720"/>
        </w:sectPr>
      </w:pPr>
    </w:p>
    <w:p w14:paraId="0DFDB730" w14:textId="77777777" w:rsidR="00046465" w:rsidRDefault="00046465">
      <w:pPr>
        <w:pStyle w:val="BodyText"/>
        <w:spacing w:before="9"/>
        <w:rPr>
          <w:sz w:val="7"/>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5364"/>
        <w:gridCol w:w="1710"/>
        <w:gridCol w:w="1620"/>
        <w:gridCol w:w="1350"/>
        <w:gridCol w:w="1529"/>
        <w:gridCol w:w="1819"/>
      </w:tblGrid>
      <w:tr w:rsidR="00046465" w14:paraId="0DFDB734" w14:textId="77777777">
        <w:trPr>
          <w:trHeight w:val="1574"/>
        </w:trPr>
        <w:tc>
          <w:tcPr>
            <w:tcW w:w="13392" w:type="dxa"/>
            <w:gridSpan w:val="6"/>
          </w:tcPr>
          <w:p w14:paraId="0DFDB731" w14:textId="77777777" w:rsidR="00046465" w:rsidRDefault="008134EB">
            <w:pPr>
              <w:pStyle w:val="TableParagraph"/>
              <w:tabs>
                <w:tab w:val="left" w:pos="9319"/>
              </w:tabs>
              <w:spacing w:before="144"/>
              <w:ind w:right="1947"/>
              <w:jc w:val="center"/>
            </w:pPr>
            <w:r>
              <w:t>Name</w:t>
            </w:r>
            <w:r>
              <w:rPr>
                <w:spacing w:val="-5"/>
              </w:rPr>
              <w:t xml:space="preserve"> </w:t>
            </w:r>
            <w:r>
              <w:t>of</w:t>
            </w:r>
            <w:r>
              <w:rPr>
                <w:spacing w:val="-5"/>
              </w:rPr>
              <w:t xml:space="preserve"> </w:t>
            </w:r>
            <w:r>
              <w:rPr>
                <w:spacing w:val="-2"/>
              </w:rPr>
              <w:t>entity:</w:t>
            </w:r>
            <w:r>
              <w:tab/>
            </w:r>
            <w:bookmarkStart w:id="170" w:name="_bookmark66"/>
            <w:bookmarkEnd w:id="170"/>
            <w:r>
              <w:t>Prepared</w:t>
            </w:r>
            <w:r>
              <w:rPr>
                <w:spacing w:val="-11"/>
              </w:rPr>
              <w:t xml:space="preserve"> </w:t>
            </w:r>
            <w:r>
              <w:rPr>
                <w:spacing w:val="-5"/>
              </w:rPr>
              <w:t>by:</w:t>
            </w:r>
          </w:p>
          <w:p w14:paraId="0DFDB732" w14:textId="77777777" w:rsidR="00046465" w:rsidRDefault="008134EB">
            <w:pPr>
              <w:pStyle w:val="TableParagraph"/>
              <w:spacing w:before="12"/>
              <w:ind w:left="1973" w:right="1947"/>
              <w:jc w:val="center"/>
              <w:rPr>
                <w:b/>
                <w:sz w:val="24"/>
              </w:rPr>
            </w:pPr>
            <w:r>
              <w:rPr>
                <w:b/>
                <w:noProof/>
                <w:sz w:val="24"/>
              </w:rPr>
              <mc:AlternateContent>
                <mc:Choice Requires="wpg">
                  <w:drawing>
                    <wp:anchor distT="0" distB="0" distL="0" distR="0" simplePos="0" relativeHeight="476113408" behindDoc="1" locked="0" layoutInCell="1" allowOverlap="1" wp14:anchorId="0DFDD5F9" wp14:editId="0DFDD5FA">
                      <wp:simplePos x="0" y="0"/>
                      <wp:positionH relativeFrom="column">
                        <wp:posOffset>7058406</wp:posOffset>
                      </wp:positionH>
                      <wp:positionV relativeFrom="paragraph">
                        <wp:posOffset>91882</wp:posOffset>
                      </wp:positionV>
                      <wp:extent cx="1371600" cy="6350"/>
                      <wp:effectExtent l="0" t="0" r="0" b="0"/>
                      <wp:wrapNone/>
                      <wp:docPr id="521"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522" name="Graphic 522"/>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4C5457E" id="Group 521" o:spid="_x0000_s1026" style="position:absolute;margin-left:555.8pt;margin-top:7.25pt;width:108pt;height:.5pt;z-index:-27203072;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">
                      <v:shape id="Graphic 522"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" path="m1371600,l,,,6108r1371600,l1371600,xe" fillcolor="black" stroked="f">
                        <v:path arrowok="t"/>
                      </v:shape>
                    </v:group>
                  </w:pict>
                </mc:Fallback>
              </mc:AlternateContent>
            </w:r>
            <w:r>
              <w:rPr>
                <w:b/>
                <w:noProof/>
                <w:sz w:val="24"/>
              </w:rPr>
              <mc:AlternateContent>
                <mc:Choice Requires="wpg">
                  <w:drawing>
                    <wp:anchor distT="0" distB="0" distL="0" distR="0" simplePos="0" relativeHeight="476114432" behindDoc="1" locked="0" layoutInCell="1" allowOverlap="1" wp14:anchorId="0DFDD5FB" wp14:editId="0DFDD5FC">
                      <wp:simplePos x="0" y="0"/>
                      <wp:positionH relativeFrom="column">
                        <wp:posOffset>7058406</wp:posOffset>
                      </wp:positionH>
                      <wp:positionV relativeFrom="paragraph">
                        <wp:posOffset>441640</wp:posOffset>
                      </wp:positionV>
                      <wp:extent cx="1371600" cy="6350"/>
                      <wp:effectExtent l="0" t="0" r="0" b="0"/>
                      <wp:wrapNone/>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524" name="Graphic 524"/>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6E99020" id="Group 523" o:spid="_x0000_s1026" style="position:absolute;margin-left:555.8pt;margin-top:34.75pt;width:108pt;height:.5pt;z-index:-27202048;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">
                      <v:shape id="Graphic 524"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" path="m1371600,l,,,6108r1371600,l1371600,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733" w14:textId="77777777" w:rsidR="00046465" w:rsidRDefault="008134EB">
            <w:pPr>
              <w:pStyle w:val="TableParagraph"/>
              <w:tabs>
                <w:tab w:val="left" w:pos="9013"/>
              </w:tabs>
              <w:spacing w:before="10"/>
              <w:ind w:right="1702"/>
              <w:jc w:val="center"/>
            </w:pPr>
            <w:r>
              <w:rPr>
                <w:noProof/>
              </w:rPr>
              <mc:AlternateContent>
                <mc:Choice Requires="wpg">
                  <w:drawing>
                    <wp:anchor distT="0" distB="0" distL="0" distR="0" simplePos="0" relativeHeight="476112896" behindDoc="1" locked="0" layoutInCell="1" allowOverlap="1" wp14:anchorId="0DFDD5FD" wp14:editId="0DFDD5FE">
                      <wp:simplePos x="0" y="0"/>
                      <wp:positionH relativeFrom="column">
                        <wp:posOffset>1280160</wp:posOffset>
                      </wp:positionH>
                      <wp:positionV relativeFrom="paragraph">
                        <wp:posOffset>-91198</wp:posOffset>
                      </wp:positionV>
                      <wp:extent cx="1206500" cy="6350"/>
                      <wp:effectExtent l="0" t="0" r="0" b="0"/>
                      <wp:wrapNone/>
                      <wp:docPr id="525"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00" cy="6350"/>
                                <a:chOff x="0" y="0"/>
                                <a:chExt cx="1206500" cy="6350"/>
                              </a:xfrm>
                            </wpg:grpSpPr>
                            <wps:wsp>
                              <wps:cNvPr id="526" name="Graphic 526"/>
                              <wps:cNvSpPr/>
                              <wps:spPr>
                                <a:xfrm>
                                  <a:off x="0" y="0"/>
                                  <a:ext cx="1206500" cy="6350"/>
                                </a:xfrm>
                                <a:custGeom>
                                  <a:avLst/>
                                  <a:gdLst/>
                                  <a:ahLst/>
                                  <a:cxnLst/>
                                  <a:rect l="l" t="t" r="r" b="b"/>
                                  <a:pathLst>
                                    <a:path w="1206500" h="6350">
                                      <a:moveTo>
                                        <a:pt x="1206245" y="0"/>
                                      </a:moveTo>
                                      <a:lnTo>
                                        <a:pt x="0" y="0"/>
                                      </a:lnTo>
                                      <a:lnTo>
                                        <a:pt x="0" y="6108"/>
                                      </a:lnTo>
                                      <a:lnTo>
                                        <a:pt x="1206245" y="6108"/>
                                      </a:lnTo>
                                      <a:lnTo>
                                        <a:pt x="12062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216C34" id="Group 525" o:spid="_x0000_s1026" style="position:absolute;margin-left:100.8pt;margin-top:-7.2pt;width:95pt;height:.5pt;z-index:-27203584;mso-wrap-distance-left:0;mso-wrap-distance-right:0" coordsize="12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">
                      <v:shape id="Graphic 526" o:spid="_x0000_s1027" style="position:absolute;width:12065;height:63;visibility:visible;mso-wrap-style:square;v-text-anchor:top" coordsize="1206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" path="m1206245,l,,,6108r1206245,l1206245,xe" fillcolor="black" stroked="f">
                        <v:path arrowok="t"/>
                      </v:shape>
                    </v:group>
                  </w:pict>
                </mc:Fallback>
              </mc:AlternateContent>
            </w:r>
            <w:r>
              <w:rPr>
                <w:noProof/>
              </w:rPr>
              <mc:AlternateContent>
                <mc:Choice Requires="wpg">
                  <w:drawing>
                    <wp:anchor distT="0" distB="0" distL="0" distR="0" simplePos="0" relativeHeight="476113920" behindDoc="1" locked="0" layoutInCell="1" allowOverlap="1" wp14:anchorId="0DFDD5FF" wp14:editId="0DFDD600">
                      <wp:simplePos x="0" y="0"/>
                      <wp:positionH relativeFrom="column">
                        <wp:posOffset>1280160</wp:posOffset>
                      </wp:positionH>
                      <wp:positionV relativeFrom="paragraph">
                        <wp:posOffset>258559</wp:posOffset>
                      </wp:positionV>
                      <wp:extent cx="1206500" cy="6350"/>
                      <wp:effectExtent l="0" t="0" r="0" b="0"/>
                      <wp:wrapNone/>
                      <wp:docPr id="527"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6500" cy="6350"/>
                                <a:chOff x="0" y="0"/>
                                <a:chExt cx="1206500" cy="6350"/>
                              </a:xfrm>
                            </wpg:grpSpPr>
                            <wps:wsp>
                              <wps:cNvPr id="528" name="Graphic 528"/>
                              <wps:cNvSpPr/>
                              <wps:spPr>
                                <a:xfrm>
                                  <a:off x="0" y="0"/>
                                  <a:ext cx="1206500" cy="6350"/>
                                </a:xfrm>
                                <a:custGeom>
                                  <a:avLst/>
                                  <a:gdLst/>
                                  <a:ahLst/>
                                  <a:cxnLst/>
                                  <a:rect l="l" t="t" r="r" b="b"/>
                                  <a:pathLst>
                                    <a:path w="1206500" h="6350">
                                      <a:moveTo>
                                        <a:pt x="1206245" y="0"/>
                                      </a:moveTo>
                                      <a:lnTo>
                                        <a:pt x="0" y="0"/>
                                      </a:lnTo>
                                      <a:lnTo>
                                        <a:pt x="0" y="6108"/>
                                      </a:lnTo>
                                      <a:lnTo>
                                        <a:pt x="1206245" y="6108"/>
                                      </a:lnTo>
                                      <a:lnTo>
                                        <a:pt x="120624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9C9780" id="Group 527" o:spid="_x0000_s1026" style="position:absolute;margin-left:100.8pt;margin-top:20.35pt;width:95pt;height:.5pt;z-index:-27202560;mso-wrap-distance-left:0;mso-wrap-distance-right:0" coordsize="1206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">
                      <v:shape id="Graphic 528" o:spid="_x0000_s1027" style="position:absolute;width:12065;height:63;visibility:visible;mso-wrap-style:square;v-text-anchor:top" coordsize="12065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" path="m1206245,l,,,6108r1206245,l1206245,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73E" w14:textId="77777777">
        <w:trPr>
          <w:trHeight w:val="793"/>
        </w:trPr>
        <w:tc>
          <w:tcPr>
            <w:tcW w:w="5364" w:type="dxa"/>
            <w:tcBorders>
              <w:right w:val="single" w:sz="4" w:space="0" w:color="000000"/>
            </w:tcBorders>
          </w:tcPr>
          <w:p w14:paraId="0DFDB735" w14:textId="77777777" w:rsidR="00046465" w:rsidRDefault="00046465">
            <w:pPr>
              <w:pStyle w:val="TableParagraph"/>
              <w:spacing w:before="143"/>
            </w:pPr>
          </w:p>
          <w:p w14:paraId="0DFDB736" w14:textId="77777777" w:rsidR="00046465" w:rsidRDefault="008134EB">
            <w:pPr>
              <w:pStyle w:val="TableParagraph"/>
              <w:ind w:left="97"/>
            </w:pPr>
            <w:r>
              <w:t>Provision</w:t>
            </w:r>
            <w:r>
              <w:rPr>
                <w:spacing w:val="-11"/>
              </w:rPr>
              <w:t xml:space="preserve"> </w:t>
            </w:r>
            <w:r>
              <w:rPr>
                <w:spacing w:val="-2"/>
              </w:rPr>
              <w:t>Description</w:t>
            </w:r>
          </w:p>
        </w:tc>
        <w:tc>
          <w:tcPr>
            <w:tcW w:w="1710" w:type="dxa"/>
            <w:tcBorders>
              <w:left w:val="single" w:sz="4" w:space="0" w:color="000000"/>
              <w:right w:val="single" w:sz="4" w:space="0" w:color="000000"/>
            </w:tcBorders>
          </w:tcPr>
          <w:p w14:paraId="0DFDB737" w14:textId="77777777" w:rsidR="00046465" w:rsidRDefault="00046465">
            <w:pPr>
              <w:pStyle w:val="TableParagraph"/>
              <w:spacing w:before="143"/>
            </w:pPr>
          </w:p>
          <w:p w14:paraId="0DFDB738" w14:textId="77777777" w:rsidR="00046465" w:rsidRDefault="008134EB">
            <w:pPr>
              <w:pStyle w:val="TableParagraph"/>
              <w:ind w:left="107"/>
            </w:pPr>
            <w:r>
              <w:rPr>
                <w:spacing w:val="-2"/>
              </w:rPr>
              <w:t>Objective</w:t>
            </w:r>
          </w:p>
        </w:tc>
        <w:tc>
          <w:tcPr>
            <w:tcW w:w="1620" w:type="dxa"/>
            <w:tcBorders>
              <w:left w:val="single" w:sz="4" w:space="0" w:color="000000"/>
              <w:right w:val="single" w:sz="4" w:space="0" w:color="000000"/>
            </w:tcBorders>
          </w:tcPr>
          <w:p w14:paraId="0DFDB739" w14:textId="77777777" w:rsidR="00046465" w:rsidRDefault="008134EB">
            <w:pPr>
              <w:pStyle w:val="TableParagraph"/>
              <w:spacing w:before="143"/>
              <w:ind w:left="107" w:right="215"/>
            </w:pPr>
            <w:r>
              <w:rPr>
                <w:spacing w:val="-2"/>
              </w:rPr>
              <w:t>Control Activities</w:t>
            </w:r>
          </w:p>
        </w:tc>
        <w:tc>
          <w:tcPr>
            <w:tcW w:w="1350" w:type="dxa"/>
            <w:tcBorders>
              <w:left w:val="single" w:sz="4" w:space="0" w:color="000000"/>
              <w:right w:val="single" w:sz="4" w:space="0" w:color="000000"/>
            </w:tcBorders>
          </w:tcPr>
          <w:p w14:paraId="0DFDB73A" w14:textId="77777777" w:rsidR="00046465" w:rsidRDefault="00046465">
            <w:pPr>
              <w:pStyle w:val="TableParagraph"/>
              <w:spacing w:before="143"/>
            </w:pPr>
          </w:p>
          <w:p w14:paraId="0DFDB73B" w14:textId="77777777" w:rsidR="00046465" w:rsidRDefault="008134EB">
            <w:pPr>
              <w:pStyle w:val="TableParagraph"/>
              <w:ind w:left="107"/>
            </w:pPr>
            <w:r>
              <w:t>IS</w:t>
            </w:r>
            <w:r>
              <w:rPr>
                <w:spacing w:val="-3"/>
              </w:rPr>
              <w:t xml:space="preserve"> </w:t>
            </w:r>
            <w:r>
              <w:rPr>
                <w:spacing w:val="-2"/>
              </w:rPr>
              <w:t>(Y/N)</w:t>
            </w:r>
          </w:p>
        </w:tc>
        <w:tc>
          <w:tcPr>
            <w:tcW w:w="1529" w:type="dxa"/>
            <w:tcBorders>
              <w:left w:val="single" w:sz="4" w:space="0" w:color="000000"/>
              <w:right w:val="single" w:sz="4" w:space="0" w:color="000000"/>
            </w:tcBorders>
          </w:tcPr>
          <w:p w14:paraId="0DFDB73C" w14:textId="77777777" w:rsidR="00046465" w:rsidRDefault="008134EB">
            <w:pPr>
              <w:pStyle w:val="TableParagraph"/>
              <w:spacing w:before="143"/>
              <w:ind w:left="107"/>
            </w:pPr>
            <w:r>
              <w:rPr>
                <w:spacing w:val="-2"/>
              </w:rPr>
              <w:t>Effective controls?</w:t>
            </w:r>
          </w:p>
        </w:tc>
        <w:tc>
          <w:tcPr>
            <w:tcW w:w="1819" w:type="dxa"/>
            <w:tcBorders>
              <w:left w:val="single" w:sz="4" w:space="0" w:color="000000"/>
            </w:tcBorders>
          </w:tcPr>
          <w:p w14:paraId="0DFDB73D" w14:textId="77777777" w:rsidR="00046465" w:rsidRDefault="008134EB">
            <w:pPr>
              <w:pStyle w:val="TableParagraph"/>
              <w:spacing w:before="143"/>
              <w:ind w:left="107"/>
            </w:pPr>
            <w:r>
              <w:t xml:space="preserve">Instances of </w:t>
            </w:r>
            <w:r>
              <w:rPr>
                <w:spacing w:val="-2"/>
              </w:rPr>
              <w:t>noncompliance?</w:t>
            </w:r>
          </w:p>
        </w:tc>
      </w:tr>
      <w:tr w:rsidR="00046465" w14:paraId="0DFDB747" w14:textId="77777777">
        <w:trPr>
          <w:trHeight w:val="2026"/>
        </w:trPr>
        <w:tc>
          <w:tcPr>
            <w:tcW w:w="5364" w:type="dxa"/>
            <w:tcBorders>
              <w:bottom w:val="single" w:sz="4" w:space="0" w:color="000000"/>
              <w:right w:val="single" w:sz="4" w:space="0" w:color="000000"/>
            </w:tcBorders>
          </w:tcPr>
          <w:p w14:paraId="0DFDB73F" w14:textId="77777777" w:rsidR="00046465" w:rsidRDefault="008134EB">
            <w:pPr>
              <w:pStyle w:val="TableParagraph"/>
              <w:spacing w:before="143"/>
              <w:ind w:left="817" w:hanging="720"/>
              <w:rPr>
                <w:sz w:val="18"/>
              </w:rPr>
            </w:pPr>
            <w:r>
              <w:rPr>
                <w:smallCaps/>
                <w:sz w:val="18"/>
              </w:rPr>
              <w:t>803.02.</w:t>
            </w:r>
            <w:r>
              <w:rPr>
                <w:smallCaps/>
                <w:spacing w:val="-2"/>
                <w:sz w:val="18"/>
              </w:rPr>
              <w:t xml:space="preserve"> </w:t>
            </w:r>
            <w:r>
              <w:rPr>
                <w:smallCaps/>
                <w:spacing w:val="17"/>
                <w:sz w:val="18"/>
              </w:rPr>
              <w:t xml:space="preserve"> </w:t>
            </w:r>
            <w:r>
              <w:rPr>
                <w:smallCaps/>
                <w:sz w:val="18"/>
              </w:rPr>
              <w:t>Limitations</w:t>
            </w:r>
            <w:r>
              <w:rPr>
                <w:smallCaps/>
                <w:spacing w:val="-3"/>
                <w:sz w:val="18"/>
              </w:rPr>
              <w:t xml:space="preserve"> </w:t>
            </w:r>
            <w:r>
              <w:rPr>
                <w:smallCaps/>
                <w:sz w:val="18"/>
              </w:rPr>
              <w:t>on</w:t>
            </w:r>
            <w:r>
              <w:rPr>
                <w:smallCaps/>
                <w:spacing w:val="-2"/>
                <w:sz w:val="18"/>
              </w:rPr>
              <w:t xml:space="preserve"> </w:t>
            </w:r>
            <w:r>
              <w:rPr>
                <w:smallCaps/>
                <w:sz w:val="18"/>
              </w:rPr>
              <w:t>Advance</w:t>
            </w:r>
            <w:r>
              <w:rPr>
                <w:smallCaps/>
                <w:spacing w:val="-2"/>
                <w:sz w:val="18"/>
              </w:rPr>
              <w:t xml:space="preserve"> </w:t>
            </w:r>
            <w:r>
              <w:rPr>
                <w:smallCaps/>
                <w:sz w:val="18"/>
              </w:rPr>
              <w:t>Contracting</w:t>
            </w:r>
            <w:r>
              <w:rPr>
                <w:smallCaps/>
                <w:spacing w:val="-3"/>
                <w:sz w:val="18"/>
              </w:rPr>
              <w:t xml:space="preserve"> </w:t>
            </w:r>
            <w:r>
              <w:rPr>
                <w:smallCaps/>
                <w:sz w:val="18"/>
              </w:rPr>
              <w:t>or</w:t>
            </w:r>
            <w:r>
              <w:rPr>
                <w:smallCaps/>
                <w:spacing w:val="-2"/>
                <w:sz w:val="18"/>
              </w:rPr>
              <w:t xml:space="preserve"> </w:t>
            </w:r>
            <w:r>
              <w:rPr>
                <w:smallCaps/>
                <w:sz w:val="18"/>
              </w:rPr>
              <w:t>Other</w:t>
            </w:r>
            <w:r>
              <w:rPr>
                <w:smallCaps/>
                <w:spacing w:val="-1"/>
                <w:sz w:val="18"/>
              </w:rPr>
              <w:t xml:space="preserve"> </w:t>
            </w:r>
            <w:r>
              <w:rPr>
                <w:smallCaps/>
                <w:sz w:val="18"/>
              </w:rPr>
              <w:t>Legal</w:t>
            </w:r>
            <w:r>
              <w:rPr>
                <w:smallCaps/>
                <w:spacing w:val="40"/>
                <w:sz w:val="18"/>
              </w:rPr>
              <w:t xml:space="preserve"> </w:t>
            </w:r>
            <w:r>
              <w:rPr>
                <w:smallCaps/>
                <w:spacing w:val="-2"/>
                <w:sz w:val="18"/>
              </w:rPr>
              <w:t>Obligations</w:t>
            </w:r>
          </w:p>
          <w:p w14:paraId="0DFDB740" w14:textId="77777777" w:rsidR="00046465" w:rsidRDefault="008134EB">
            <w:pPr>
              <w:pStyle w:val="TableParagraph"/>
              <w:spacing w:before="146"/>
              <w:ind w:left="97"/>
              <w:rPr>
                <w:sz w:val="18"/>
              </w:rPr>
            </w:pPr>
            <w:r>
              <w:rPr>
                <w:sz w:val="18"/>
              </w:rPr>
              <w:t>Provision</w:t>
            </w:r>
            <w:r>
              <w:rPr>
                <w:spacing w:val="-7"/>
                <w:sz w:val="18"/>
              </w:rPr>
              <w:t xml:space="preserve"> </w:t>
            </w:r>
            <w:r>
              <w:rPr>
                <w:sz w:val="18"/>
              </w:rPr>
              <w:t>Type:</w:t>
            </w:r>
            <w:r>
              <w:rPr>
                <w:spacing w:val="-6"/>
                <w:sz w:val="18"/>
              </w:rPr>
              <w:t xml:space="preserve"> </w:t>
            </w:r>
            <w:r>
              <w:rPr>
                <w:sz w:val="18"/>
              </w:rPr>
              <w:t>Quantitative-</w:t>
            </w:r>
            <w:r>
              <w:rPr>
                <w:spacing w:val="-2"/>
                <w:sz w:val="18"/>
              </w:rPr>
              <w:t>based.</w:t>
            </w:r>
          </w:p>
          <w:p w14:paraId="0DFDB741" w14:textId="77777777" w:rsidR="00046465" w:rsidRDefault="008134EB">
            <w:pPr>
              <w:pStyle w:val="TableParagraph"/>
              <w:spacing w:before="143"/>
              <w:ind w:left="97" w:right="36"/>
              <w:rPr>
                <w:sz w:val="18"/>
              </w:rPr>
            </w:pPr>
            <w:r>
              <w:rPr>
                <w:sz w:val="18"/>
              </w:rPr>
              <w:t>The entity’s officers or employees shall not involve the U.S. government in a contract or an obligation for the payment of money</w:t>
            </w:r>
            <w:r>
              <w:rPr>
                <w:spacing w:val="-5"/>
                <w:sz w:val="18"/>
              </w:rPr>
              <w:t xml:space="preserve"> </w:t>
            </w:r>
            <w:r>
              <w:rPr>
                <w:sz w:val="18"/>
              </w:rPr>
              <w:t>for</w:t>
            </w:r>
            <w:r>
              <w:rPr>
                <w:spacing w:val="-5"/>
                <w:sz w:val="18"/>
              </w:rPr>
              <w:t xml:space="preserve"> </w:t>
            </w:r>
            <w:r>
              <w:rPr>
                <w:sz w:val="18"/>
              </w:rPr>
              <w:t>any</w:t>
            </w:r>
            <w:r>
              <w:rPr>
                <w:spacing w:val="-4"/>
                <w:sz w:val="18"/>
              </w:rPr>
              <w:t xml:space="preserve"> </w:t>
            </w:r>
            <w:r>
              <w:rPr>
                <w:sz w:val="18"/>
              </w:rPr>
              <w:t>purpose</w:t>
            </w:r>
            <w:r>
              <w:rPr>
                <w:spacing w:val="-5"/>
                <w:sz w:val="18"/>
              </w:rPr>
              <w:t xml:space="preserve"> </w:t>
            </w:r>
            <w:r>
              <w:rPr>
                <w:sz w:val="18"/>
              </w:rPr>
              <w:t>before</w:t>
            </w:r>
            <w:r>
              <w:rPr>
                <w:spacing w:val="-4"/>
                <w:sz w:val="18"/>
              </w:rPr>
              <w:t xml:space="preserve"> </w:t>
            </w:r>
            <w:r>
              <w:rPr>
                <w:sz w:val="18"/>
              </w:rPr>
              <w:t>an</w:t>
            </w:r>
            <w:r>
              <w:rPr>
                <w:spacing w:val="-5"/>
                <w:sz w:val="18"/>
              </w:rPr>
              <w:t xml:space="preserve"> </w:t>
            </w:r>
            <w:r>
              <w:rPr>
                <w:sz w:val="18"/>
              </w:rPr>
              <w:t>appropriation</w:t>
            </w:r>
            <w:r>
              <w:rPr>
                <w:spacing w:val="-5"/>
                <w:sz w:val="18"/>
              </w:rPr>
              <w:t xml:space="preserve"> </w:t>
            </w:r>
            <w:r>
              <w:rPr>
                <w:sz w:val="18"/>
              </w:rPr>
              <w:t>for</w:t>
            </w:r>
            <w:r>
              <w:rPr>
                <w:spacing w:val="-5"/>
                <w:sz w:val="18"/>
              </w:rPr>
              <w:t xml:space="preserve"> </w:t>
            </w:r>
            <w:r>
              <w:rPr>
                <w:sz w:val="18"/>
              </w:rPr>
              <w:t>such</w:t>
            </w:r>
            <w:r>
              <w:rPr>
                <w:spacing w:val="-5"/>
                <w:sz w:val="18"/>
              </w:rPr>
              <w:t xml:space="preserve"> </w:t>
            </w:r>
            <w:r>
              <w:rPr>
                <w:sz w:val="18"/>
              </w:rPr>
              <w:t>purpose is made, unless authorized by law. 31 U.S.C. § 1341(a)(1)(B).</w:t>
            </w:r>
          </w:p>
        </w:tc>
        <w:tc>
          <w:tcPr>
            <w:tcW w:w="1710" w:type="dxa"/>
            <w:tcBorders>
              <w:left w:val="single" w:sz="4" w:space="0" w:color="000000"/>
              <w:bottom w:val="single" w:sz="4" w:space="0" w:color="000000"/>
              <w:right w:val="single" w:sz="4" w:space="0" w:color="000000"/>
            </w:tcBorders>
          </w:tcPr>
          <w:p w14:paraId="0DFDB742" w14:textId="77777777" w:rsidR="00046465" w:rsidRDefault="008134EB">
            <w:pPr>
              <w:pStyle w:val="TableParagraph"/>
              <w:spacing w:before="143"/>
              <w:ind w:left="107" w:right="110"/>
              <w:rPr>
                <w:sz w:val="18"/>
              </w:rPr>
            </w:pPr>
            <w:r>
              <w:rPr>
                <w:sz w:val="18"/>
              </w:rPr>
              <w:t>Legal obligations do not occur before an appropriation is made</w:t>
            </w:r>
            <w:r>
              <w:rPr>
                <w:spacing w:val="-15"/>
                <w:sz w:val="18"/>
              </w:rPr>
              <w:t xml:space="preserve"> </w:t>
            </w:r>
            <w:r>
              <w:rPr>
                <w:sz w:val="18"/>
              </w:rPr>
              <w:t>or</w:t>
            </w:r>
            <w:r>
              <w:rPr>
                <w:spacing w:val="-12"/>
                <w:sz w:val="18"/>
              </w:rPr>
              <w:t xml:space="preserve"> </w:t>
            </w:r>
            <w:r>
              <w:rPr>
                <w:sz w:val="18"/>
              </w:rPr>
              <w:t>otherwise authorized</w:t>
            </w:r>
            <w:r>
              <w:rPr>
                <w:spacing w:val="-5"/>
                <w:sz w:val="18"/>
              </w:rPr>
              <w:t xml:space="preserve"> </w:t>
            </w:r>
            <w:r>
              <w:rPr>
                <w:sz w:val="18"/>
              </w:rPr>
              <w:t>by</w:t>
            </w:r>
            <w:r>
              <w:rPr>
                <w:spacing w:val="-2"/>
                <w:sz w:val="18"/>
              </w:rPr>
              <w:t xml:space="preserve"> </w:t>
            </w:r>
            <w:r>
              <w:rPr>
                <w:spacing w:val="-4"/>
                <w:sz w:val="18"/>
              </w:rPr>
              <w:t>law.</w:t>
            </w:r>
          </w:p>
        </w:tc>
        <w:tc>
          <w:tcPr>
            <w:tcW w:w="1620" w:type="dxa"/>
            <w:tcBorders>
              <w:left w:val="single" w:sz="4" w:space="0" w:color="000000"/>
              <w:bottom w:val="single" w:sz="4" w:space="0" w:color="000000"/>
              <w:right w:val="single" w:sz="4" w:space="0" w:color="000000"/>
            </w:tcBorders>
          </w:tcPr>
          <w:p w14:paraId="0DFDB743" w14:textId="77777777" w:rsidR="00046465" w:rsidRDefault="00046465">
            <w:pPr>
              <w:pStyle w:val="TableParagraph"/>
              <w:rPr>
                <w:rFonts w:ascii="Times New Roman"/>
                <w:sz w:val="18"/>
              </w:rPr>
            </w:pPr>
          </w:p>
        </w:tc>
        <w:tc>
          <w:tcPr>
            <w:tcW w:w="1350" w:type="dxa"/>
            <w:tcBorders>
              <w:left w:val="single" w:sz="4" w:space="0" w:color="000000"/>
              <w:bottom w:val="single" w:sz="4" w:space="0" w:color="000000"/>
              <w:right w:val="single" w:sz="4" w:space="0" w:color="000000"/>
            </w:tcBorders>
          </w:tcPr>
          <w:p w14:paraId="0DFDB744" w14:textId="77777777" w:rsidR="00046465" w:rsidRDefault="00046465">
            <w:pPr>
              <w:pStyle w:val="TableParagraph"/>
              <w:rPr>
                <w:rFonts w:ascii="Times New Roman"/>
                <w:sz w:val="18"/>
              </w:rPr>
            </w:pPr>
          </w:p>
        </w:tc>
        <w:tc>
          <w:tcPr>
            <w:tcW w:w="1529" w:type="dxa"/>
            <w:tcBorders>
              <w:left w:val="single" w:sz="4" w:space="0" w:color="000000"/>
              <w:bottom w:val="single" w:sz="4" w:space="0" w:color="000000"/>
              <w:right w:val="single" w:sz="4" w:space="0" w:color="000000"/>
            </w:tcBorders>
          </w:tcPr>
          <w:p w14:paraId="0DFDB745" w14:textId="77777777" w:rsidR="00046465" w:rsidRDefault="00046465">
            <w:pPr>
              <w:pStyle w:val="TableParagraph"/>
              <w:rPr>
                <w:rFonts w:ascii="Times New Roman"/>
                <w:sz w:val="18"/>
              </w:rPr>
            </w:pPr>
          </w:p>
        </w:tc>
        <w:tc>
          <w:tcPr>
            <w:tcW w:w="1819" w:type="dxa"/>
            <w:tcBorders>
              <w:left w:val="single" w:sz="4" w:space="0" w:color="000000"/>
              <w:bottom w:val="single" w:sz="4" w:space="0" w:color="000000"/>
            </w:tcBorders>
          </w:tcPr>
          <w:p w14:paraId="0DFDB746" w14:textId="77777777" w:rsidR="00046465" w:rsidRDefault="008134EB">
            <w:pPr>
              <w:pStyle w:val="TableParagraph"/>
              <w:spacing w:before="143"/>
              <w:ind w:left="107" w:right="254"/>
              <w:rPr>
                <w:sz w:val="18"/>
              </w:rPr>
            </w:pPr>
            <w:r>
              <w:rPr>
                <w:sz w:val="18"/>
              </w:rPr>
              <w:t>See Compliance Audit</w:t>
            </w:r>
            <w:r>
              <w:rPr>
                <w:spacing w:val="-13"/>
                <w:sz w:val="18"/>
              </w:rPr>
              <w:t xml:space="preserve"> </w:t>
            </w:r>
            <w:r>
              <w:rPr>
                <w:sz w:val="18"/>
              </w:rPr>
              <w:t>Procedures, FAM 803 step 4.</w:t>
            </w:r>
          </w:p>
        </w:tc>
      </w:tr>
      <w:tr w:rsidR="00046465" w14:paraId="0DFDB753" w14:textId="77777777">
        <w:trPr>
          <w:trHeight w:val="3078"/>
        </w:trPr>
        <w:tc>
          <w:tcPr>
            <w:tcW w:w="5364" w:type="dxa"/>
            <w:tcBorders>
              <w:top w:val="single" w:sz="4" w:space="0" w:color="000000"/>
              <w:right w:val="single" w:sz="4" w:space="0" w:color="000000"/>
            </w:tcBorders>
          </w:tcPr>
          <w:p w14:paraId="0DFDB748" w14:textId="77777777" w:rsidR="00046465" w:rsidRDefault="008134EB">
            <w:pPr>
              <w:pStyle w:val="TableParagraph"/>
              <w:spacing w:before="143"/>
              <w:ind w:left="817" w:hanging="720"/>
              <w:rPr>
                <w:sz w:val="18"/>
              </w:rPr>
            </w:pPr>
            <w:r>
              <w:rPr>
                <w:smallCaps/>
                <w:sz w:val="18"/>
              </w:rPr>
              <w:t>803.03</w:t>
            </w:r>
            <w:r>
              <w:rPr>
                <w:smallCaps/>
                <w:spacing w:val="39"/>
                <w:sz w:val="18"/>
              </w:rPr>
              <w:t xml:space="preserve"> </w:t>
            </w:r>
            <w:r>
              <w:rPr>
                <w:smallCaps/>
                <w:spacing w:val="19"/>
                <w:sz w:val="18"/>
              </w:rPr>
              <w:t xml:space="preserve"> </w:t>
            </w:r>
            <w:r>
              <w:rPr>
                <w:smallCaps/>
                <w:sz w:val="18"/>
              </w:rPr>
              <w:t>Limitations</w:t>
            </w:r>
            <w:r>
              <w:rPr>
                <w:smallCaps/>
                <w:spacing w:val="-1"/>
                <w:sz w:val="18"/>
              </w:rPr>
              <w:t xml:space="preserve"> </w:t>
            </w:r>
            <w:r>
              <w:rPr>
                <w:smallCaps/>
                <w:sz w:val="18"/>
              </w:rPr>
              <w:t>on Excess</w:t>
            </w:r>
            <w:r>
              <w:rPr>
                <w:smallCaps/>
                <w:spacing w:val="-1"/>
                <w:sz w:val="18"/>
              </w:rPr>
              <w:t xml:space="preserve"> </w:t>
            </w:r>
            <w:r>
              <w:rPr>
                <w:smallCaps/>
                <w:sz w:val="18"/>
              </w:rPr>
              <w:t>Expenditures</w:t>
            </w:r>
            <w:r>
              <w:rPr>
                <w:smallCaps/>
                <w:spacing w:val="-1"/>
                <w:sz w:val="18"/>
              </w:rPr>
              <w:t xml:space="preserve"> </w:t>
            </w:r>
            <w:r>
              <w:rPr>
                <w:smallCaps/>
                <w:sz w:val="18"/>
              </w:rPr>
              <w:t>and Obligations</w:t>
            </w:r>
            <w:r>
              <w:rPr>
                <w:smallCaps/>
                <w:spacing w:val="40"/>
                <w:sz w:val="18"/>
              </w:rPr>
              <w:t xml:space="preserve"> </w:t>
            </w:r>
            <w:r>
              <w:rPr>
                <w:smallCaps/>
                <w:sz w:val="18"/>
              </w:rPr>
              <w:t>Related to Apportionments and Allotments</w:t>
            </w:r>
          </w:p>
          <w:p w14:paraId="0DFDB749" w14:textId="77777777" w:rsidR="00046465" w:rsidRDefault="008134EB">
            <w:pPr>
              <w:pStyle w:val="TableParagraph"/>
              <w:spacing w:before="145"/>
              <w:ind w:left="97"/>
              <w:rPr>
                <w:sz w:val="18"/>
              </w:rPr>
            </w:pPr>
            <w:r>
              <w:rPr>
                <w:sz w:val="18"/>
              </w:rPr>
              <w:t>Provision</w:t>
            </w:r>
            <w:r>
              <w:rPr>
                <w:spacing w:val="-8"/>
                <w:sz w:val="18"/>
              </w:rPr>
              <w:t xml:space="preserve"> </w:t>
            </w:r>
            <w:r>
              <w:rPr>
                <w:sz w:val="18"/>
              </w:rPr>
              <w:t>Type:</w:t>
            </w:r>
            <w:r>
              <w:rPr>
                <w:spacing w:val="-6"/>
                <w:sz w:val="18"/>
              </w:rPr>
              <w:t xml:space="preserve"> </w:t>
            </w:r>
            <w:r>
              <w:rPr>
                <w:sz w:val="18"/>
              </w:rPr>
              <w:t>Quantitative-</w:t>
            </w:r>
            <w:r>
              <w:rPr>
                <w:spacing w:val="-2"/>
                <w:sz w:val="18"/>
              </w:rPr>
              <w:t>based.</w:t>
            </w:r>
          </w:p>
          <w:p w14:paraId="0DFDB74A" w14:textId="77777777" w:rsidR="00046465" w:rsidRDefault="008134EB">
            <w:pPr>
              <w:pStyle w:val="TableParagraph"/>
              <w:spacing w:before="142"/>
              <w:ind w:left="97"/>
              <w:rPr>
                <w:sz w:val="18"/>
              </w:rPr>
            </w:pPr>
            <w:r>
              <w:rPr>
                <w:sz w:val="18"/>
              </w:rPr>
              <w:t>Unless</w:t>
            </w:r>
            <w:r>
              <w:rPr>
                <w:spacing w:val="-4"/>
                <w:sz w:val="18"/>
              </w:rPr>
              <w:t xml:space="preserve"> </w:t>
            </w:r>
            <w:r>
              <w:rPr>
                <w:sz w:val="18"/>
              </w:rPr>
              <w:t>authorized</w:t>
            </w:r>
            <w:r>
              <w:rPr>
                <w:spacing w:val="-6"/>
                <w:sz w:val="18"/>
              </w:rPr>
              <w:t xml:space="preserve"> </w:t>
            </w:r>
            <w:r>
              <w:rPr>
                <w:sz w:val="18"/>
              </w:rPr>
              <w:t>by</w:t>
            </w:r>
            <w:r>
              <w:rPr>
                <w:spacing w:val="-5"/>
                <w:sz w:val="18"/>
              </w:rPr>
              <w:t xml:space="preserve"> </w:t>
            </w:r>
            <w:r>
              <w:rPr>
                <w:sz w:val="18"/>
              </w:rPr>
              <w:t>law,</w:t>
            </w:r>
            <w:r>
              <w:rPr>
                <w:spacing w:val="-5"/>
                <w:sz w:val="18"/>
              </w:rPr>
              <w:t xml:space="preserve"> </w:t>
            </w:r>
            <w:r>
              <w:rPr>
                <w:sz w:val="18"/>
              </w:rPr>
              <w:t>the</w:t>
            </w:r>
            <w:r>
              <w:rPr>
                <w:spacing w:val="-4"/>
                <w:sz w:val="18"/>
              </w:rPr>
              <w:t xml:space="preserve"> </w:t>
            </w:r>
            <w:r>
              <w:rPr>
                <w:sz w:val="18"/>
              </w:rPr>
              <w:t>entity’s</w:t>
            </w:r>
            <w:r>
              <w:rPr>
                <w:spacing w:val="-5"/>
                <w:sz w:val="18"/>
              </w:rPr>
              <w:t xml:space="preserve"> </w:t>
            </w:r>
            <w:r>
              <w:rPr>
                <w:sz w:val="18"/>
              </w:rPr>
              <w:t>officers</w:t>
            </w:r>
            <w:r>
              <w:rPr>
                <w:spacing w:val="-5"/>
                <w:sz w:val="18"/>
              </w:rPr>
              <w:t xml:space="preserve"> </w:t>
            </w:r>
            <w:r>
              <w:rPr>
                <w:sz w:val="18"/>
              </w:rPr>
              <w:t>or</w:t>
            </w:r>
            <w:r>
              <w:rPr>
                <w:spacing w:val="-5"/>
                <w:sz w:val="18"/>
              </w:rPr>
              <w:t xml:space="preserve"> </w:t>
            </w:r>
            <w:r>
              <w:rPr>
                <w:sz w:val="18"/>
              </w:rPr>
              <w:t>employees</w:t>
            </w:r>
            <w:r>
              <w:rPr>
                <w:spacing w:val="-4"/>
                <w:sz w:val="18"/>
              </w:rPr>
              <w:t xml:space="preserve"> </w:t>
            </w:r>
            <w:r>
              <w:rPr>
                <w:sz w:val="18"/>
              </w:rPr>
              <w:t>shall not make or authorize expenditures or obligations that exceed</w:t>
            </w:r>
          </w:p>
          <w:p w14:paraId="0DFDB74B" w14:textId="77777777" w:rsidR="00046465" w:rsidRDefault="008134EB">
            <w:pPr>
              <w:pStyle w:val="TableParagraph"/>
              <w:numPr>
                <w:ilvl w:val="0"/>
                <w:numId w:val="177"/>
              </w:numPr>
              <w:tabs>
                <w:tab w:val="left" w:pos="367"/>
              </w:tabs>
              <w:spacing w:before="144"/>
              <w:ind w:right="452"/>
              <w:rPr>
                <w:sz w:val="18"/>
              </w:rPr>
            </w:pPr>
            <w:r>
              <w:rPr>
                <w:sz w:val="18"/>
              </w:rPr>
              <w:t>the</w:t>
            </w:r>
            <w:r>
              <w:rPr>
                <w:spacing w:val="-6"/>
                <w:sz w:val="18"/>
              </w:rPr>
              <w:t xml:space="preserve"> </w:t>
            </w:r>
            <w:r>
              <w:rPr>
                <w:sz w:val="18"/>
              </w:rPr>
              <w:t>amount</w:t>
            </w:r>
            <w:r>
              <w:rPr>
                <w:spacing w:val="-5"/>
                <w:sz w:val="18"/>
              </w:rPr>
              <w:t xml:space="preserve"> </w:t>
            </w:r>
            <w:r>
              <w:rPr>
                <w:sz w:val="18"/>
              </w:rPr>
              <w:t>of</w:t>
            </w:r>
            <w:r>
              <w:rPr>
                <w:spacing w:val="-5"/>
                <w:sz w:val="18"/>
              </w:rPr>
              <w:t xml:space="preserve"> </w:t>
            </w:r>
            <w:r>
              <w:rPr>
                <w:sz w:val="18"/>
              </w:rPr>
              <w:t>an</w:t>
            </w:r>
            <w:r>
              <w:rPr>
                <w:spacing w:val="-6"/>
                <w:sz w:val="18"/>
              </w:rPr>
              <w:t xml:space="preserve"> </w:t>
            </w:r>
            <w:r>
              <w:rPr>
                <w:sz w:val="18"/>
              </w:rPr>
              <w:t>apportionment</w:t>
            </w:r>
            <w:r>
              <w:rPr>
                <w:spacing w:val="-5"/>
                <w:sz w:val="18"/>
              </w:rPr>
              <w:t xml:space="preserve"> </w:t>
            </w:r>
            <w:r>
              <w:rPr>
                <w:sz w:val="18"/>
              </w:rPr>
              <w:t>(or</w:t>
            </w:r>
            <w:r>
              <w:rPr>
                <w:spacing w:val="-5"/>
                <w:sz w:val="18"/>
              </w:rPr>
              <w:t xml:space="preserve"> </w:t>
            </w:r>
            <w:r>
              <w:rPr>
                <w:sz w:val="18"/>
              </w:rPr>
              <w:t>a</w:t>
            </w:r>
            <w:r>
              <w:rPr>
                <w:spacing w:val="-6"/>
                <w:sz w:val="18"/>
              </w:rPr>
              <w:t xml:space="preserve"> </w:t>
            </w:r>
            <w:r>
              <w:rPr>
                <w:sz w:val="18"/>
              </w:rPr>
              <w:t>reapportionment,</w:t>
            </w:r>
            <w:r>
              <w:rPr>
                <w:spacing w:val="-5"/>
                <w:sz w:val="18"/>
              </w:rPr>
              <w:t xml:space="preserve"> </w:t>
            </w:r>
            <w:r>
              <w:rPr>
                <w:sz w:val="18"/>
              </w:rPr>
              <w:t>if applicable) or</w:t>
            </w:r>
          </w:p>
          <w:p w14:paraId="0DFDB74C" w14:textId="77777777" w:rsidR="00046465" w:rsidRDefault="008134EB">
            <w:pPr>
              <w:pStyle w:val="TableParagraph"/>
              <w:numPr>
                <w:ilvl w:val="0"/>
                <w:numId w:val="177"/>
              </w:numPr>
              <w:tabs>
                <w:tab w:val="left" w:pos="367"/>
              </w:tabs>
              <w:spacing w:before="144"/>
              <w:ind w:right="505"/>
              <w:rPr>
                <w:position w:val="6"/>
                <w:sz w:val="12"/>
              </w:rPr>
            </w:pPr>
            <w:r>
              <w:rPr>
                <w:sz w:val="18"/>
              </w:rPr>
              <w:t>a</w:t>
            </w:r>
            <w:r>
              <w:rPr>
                <w:spacing w:val="-6"/>
                <w:sz w:val="18"/>
              </w:rPr>
              <w:t xml:space="preserve"> </w:t>
            </w:r>
            <w:r>
              <w:rPr>
                <w:sz w:val="18"/>
              </w:rPr>
              <w:t>lesser</w:t>
            </w:r>
            <w:r>
              <w:rPr>
                <w:spacing w:val="-5"/>
                <w:sz w:val="18"/>
              </w:rPr>
              <w:t xml:space="preserve"> </w:t>
            </w:r>
            <w:r>
              <w:rPr>
                <w:sz w:val="18"/>
              </w:rPr>
              <w:t>amount,</w:t>
            </w:r>
            <w:r>
              <w:rPr>
                <w:spacing w:val="-5"/>
                <w:sz w:val="18"/>
              </w:rPr>
              <w:t xml:space="preserve"> </w:t>
            </w:r>
            <w:r>
              <w:rPr>
                <w:sz w:val="18"/>
              </w:rPr>
              <w:t>if</w:t>
            </w:r>
            <w:r>
              <w:rPr>
                <w:spacing w:val="-5"/>
                <w:sz w:val="18"/>
              </w:rPr>
              <w:t xml:space="preserve"> </w:t>
            </w:r>
            <w:r>
              <w:rPr>
                <w:sz w:val="18"/>
              </w:rPr>
              <w:t>any,</w:t>
            </w:r>
            <w:r>
              <w:rPr>
                <w:spacing w:val="-5"/>
                <w:sz w:val="18"/>
              </w:rPr>
              <w:t xml:space="preserve"> </w:t>
            </w:r>
            <w:r>
              <w:rPr>
                <w:sz w:val="18"/>
              </w:rPr>
              <w:t>established</w:t>
            </w:r>
            <w:r>
              <w:rPr>
                <w:spacing w:val="-6"/>
                <w:sz w:val="18"/>
              </w:rPr>
              <w:t xml:space="preserve"> </w:t>
            </w:r>
            <w:r>
              <w:rPr>
                <w:sz w:val="18"/>
              </w:rPr>
              <w:t>by</w:t>
            </w:r>
            <w:r>
              <w:rPr>
                <w:spacing w:val="-5"/>
                <w:sz w:val="18"/>
              </w:rPr>
              <w:t xml:space="preserve"> </w:t>
            </w:r>
            <w:r>
              <w:rPr>
                <w:sz w:val="18"/>
              </w:rPr>
              <w:t>entity</w:t>
            </w:r>
            <w:r>
              <w:rPr>
                <w:spacing w:val="-5"/>
                <w:sz w:val="18"/>
              </w:rPr>
              <w:t xml:space="preserve"> </w:t>
            </w:r>
            <w:r>
              <w:rPr>
                <w:sz w:val="18"/>
              </w:rPr>
              <w:t>regulations (</w:t>
            </w:r>
            <w:r>
              <w:rPr>
                <w:i/>
                <w:sz w:val="18"/>
              </w:rPr>
              <w:t xml:space="preserve">e.g., </w:t>
            </w:r>
            <w:r>
              <w:rPr>
                <w:sz w:val="18"/>
              </w:rPr>
              <w:t>an allotment level).</w:t>
            </w:r>
            <w:hyperlink w:anchor="_bookmark66" w:history="1">
              <w:r>
                <w:rPr>
                  <w:position w:val="6"/>
                  <w:sz w:val="12"/>
                </w:rPr>
                <w:t>3</w:t>
              </w:r>
            </w:hyperlink>
          </w:p>
          <w:p w14:paraId="0DFDB74D" w14:textId="77777777" w:rsidR="00046465" w:rsidRDefault="008134EB">
            <w:pPr>
              <w:pStyle w:val="TableParagraph"/>
              <w:spacing w:before="142"/>
              <w:ind w:left="97"/>
              <w:rPr>
                <w:sz w:val="18"/>
              </w:rPr>
            </w:pPr>
            <w:r>
              <w:rPr>
                <w:sz w:val="18"/>
              </w:rPr>
              <w:t>31</w:t>
            </w:r>
            <w:r>
              <w:rPr>
                <w:spacing w:val="-3"/>
                <w:sz w:val="18"/>
              </w:rPr>
              <w:t xml:space="preserve"> </w:t>
            </w:r>
            <w:r>
              <w:rPr>
                <w:sz w:val="18"/>
              </w:rPr>
              <w:t>U.S.C.</w:t>
            </w:r>
            <w:r>
              <w:rPr>
                <w:spacing w:val="-1"/>
                <w:sz w:val="18"/>
              </w:rPr>
              <w:t xml:space="preserve"> </w:t>
            </w:r>
            <w:r>
              <w:rPr>
                <w:sz w:val="18"/>
              </w:rPr>
              <w:t>§</w:t>
            </w:r>
            <w:r>
              <w:rPr>
                <w:spacing w:val="-1"/>
                <w:sz w:val="18"/>
              </w:rPr>
              <w:t xml:space="preserve"> </w:t>
            </w:r>
            <w:r>
              <w:rPr>
                <w:spacing w:val="-2"/>
                <w:sz w:val="18"/>
              </w:rPr>
              <w:t>1517(a).</w:t>
            </w:r>
          </w:p>
        </w:tc>
        <w:tc>
          <w:tcPr>
            <w:tcW w:w="1710" w:type="dxa"/>
            <w:tcBorders>
              <w:top w:val="single" w:sz="4" w:space="0" w:color="000000"/>
              <w:left w:val="single" w:sz="4" w:space="0" w:color="000000"/>
              <w:right w:val="single" w:sz="4" w:space="0" w:color="000000"/>
            </w:tcBorders>
          </w:tcPr>
          <w:p w14:paraId="0DFDB74E" w14:textId="77777777" w:rsidR="00046465" w:rsidRDefault="008134EB">
            <w:pPr>
              <w:pStyle w:val="TableParagraph"/>
              <w:spacing w:before="143"/>
              <w:ind w:left="107" w:right="122"/>
              <w:rPr>
                <w:sz w:val="18"/>
              </w:rPr>
            </w:pPr>
            <w:r>
              <w:rPr>
                <w:sz w:val="18"/>
              </w:rPr>
              <w:t>Expenditures or obligations do not exceed</w:t>
            </w:r>
            <w:r>
              <w:rPr>
                <w:spacing w:val="-4"/>
                <w:sz w:val="18"/>
              </w:rPr>
              <w:t xml:space="preserve"> </w:t>
            </w:r>
            <w:r>
              <w:rPr>
                <w:sz w:val="18"/>
              </w:rPr>
              <w:t>the</w:t>
            </w:r>
            <w:r>
              <w:rPr>
                <w:spacing w:val="-4"/>
                <w:sz w:val="18"/>
              </w:rPr>
              <w:t xml:space="preserve"> </w:t>
            </w:r>
            <w:r>
              <w:rPr>
                <w:sz w:val="18"/>
              </w:rPr>
              <w:t>legally binding limit on</w:t>
            </w:r>
            <w:r>
              <w:rPr>
                <w:spacing w:val="40"/>
                <w:sz w:val="18"/>
              </w:rPr>
              <w:t xml:space="preserve"> </w:t>
            </w:r>
            <w:r>
              <w:rPr>
                <w:sz w:val="18"/>
              </w:rPr>
              <w:t>the</w:t>
            </w:r>
            <w:r>
              <w:rPr>
                <w:spacing w:val="-12"/>
                <w:sz w:val="18"/>
              </w:rPr>
              <w:t xml:space="preserve"> </w:t>
            </w:r>
            <w:r>
              <w:rPr>
                <w:sz w:val="18"/>
              </w:rPr>
              <w:t>entity's</w:t>
            </w:r>
            <w:r>
              <w:rPr>
                <w:spacing w:val="-11"/>
                <w:sz w:val="18"/>
              </w:rPr>
              <w:t xml:space="preserve"> </w:t>
            </w:r>
            <w:r>
              <w:rPr>
                <w:sz w:val="18"/>
              </w:rPr>
              <w:t>budget authority. (The amount of the apportionment or</w:t>
            </w:r>
            <w:r>
              <w:rPr>
                <w:spacing w:val="40"/>
                <w:sz w:val="18"/>
              </w:rPr>
              <w:t xml:space="preserve"> </w:t>
            </w:r>
            <w:r>
              <w:rPr>
                <w:sz w:val="18"/>
              </w:rPr>
              <w:t>a</w:t>
            </w:r>
            <w:r>
              <w:rPr>
                <w:spacing w:val="-13"/>
                <w:sz w:val="18"/>
              </w:rPr>
              <w:t xml:space="preserve"> </w:t>
            </w:r>
            <w:r>
              <w:rPr>
                <w:sz w:val="18"/>
              </w:rPr>
              <w:t>lesser</w:t>
            </w:r>
            <w:r>
              <w:rPr>
                <w:spacing w:val="-12"/>
                <w:sz w:val="18"/>
              </w:rPr>
              <w:t xml:space="preserve"> </w:t>
            </w:r>
            <w:r>
              <w:rPr>
                <w:sz w:val="18"/>
              </w:rPr>
              <w:t>amount,</w:t>
            </w:r>
            <w:r>
              <w:rPr>
                <w:spacing w:val="-12"/>
                <w:sz w:val="18"/>
              </w:rPr>
              <w:t xml:space="preserve"> </w:t>
            </w:r>
            <w:r>
              <w:rPr>
                <w:sz w:val="18"/>
              </w:rPr>
              <w:t>if any, established by the entity's regulations.) See footnote 2 below.</w:t>
            </w:r>
          </w:p>
        </w:tc>
        <w:tc>
          <w:tcPr>
            <w:tcW w:w="1620" w:type="dxa"/>
            <w:tcBorders>
              <w:top w:val="single" w:sz="4" w:space="0" w:color="000000"/>
              <w:left w:val="single" w:sz="4" w:space="0" w:color="000000"/>
              <w:right w:val="single" w:sz="4" w:space="0" w:color="000000"/>
            </w:tcBorders>
          </w:tcPr>
          <w:p w14:paraId="0DFDB74F" w14:textId="77777777" w:rsidR="00046465" w:rsidRDefault="00046465">
            <w:pPr>
              <w:pStyle w:val="TableParagraph"/>
              <w:rPr>
                <w:rFonts w:ascii="Times New Roman"/>
                <w:sz w:val="18"/>
              </w:rPr>
            </w:pPr>
          </w:p>
        </w:tc>
        <w:tc>
          <w:tcPr>
            <w:tcW w:w="1350" w:type="dxa"/>
            <w:tcBorders>
              <w:top w:val="single" w:sz="4" w:space="0" w:color="000000"/>
              <w:left w:val="single" w:sz="4" w:space="0" w:color="000000"/>
              <w:right w:val="single" w:sz="4" w:space="0" w:color="000000"/>
            </w:tcBorders>
          </w:tcPr>
          <w:p w14:paraId="0DFDB750" w14:textId="77777777" w:rsidR="00046465" w:rsidRDefault="00046465">
            <w:pPr>
              <w:pStyle w:val="TableParagraph"/>
              <w:rPr>
                <w:rFonts w:ascii="Times New Roman"/>
                <w:sz w:val="18"/>
              </w:rPr>
            </w:pPr>
          </w:p>
        </w:tc>
        <w:tc>
          <w:tcPr>
            <w:tcW w:w="1529" w:type="dxa"/>
            <w:tcBorders>
              <w:top w:val="single" w:sz="4" w:space="0" w:color="000000"/>
              <w:left w:val="single" w:sz="4" w:space="0" w:color="000000"/>
              <w:right w:val="single" w:sz="4" w:space="0" w:color="000000"/>
            </w:tcBorders>
          </w:tcPr>
          <w:p w14:paraId="0DFDB751" w14:textId="77777777" w:rsidR="00046465" w:rsidRDefault="00046465">
            <w:pPr>
              <w:pStyle w:val="TableParagraph"/>
              <w:rPr>
                <w:rFonts w:ascii="Times New Roman"/>
                <w:sz w:val="18"/>
              </w:rPr>
            </w:pPr>
          </w:p>
        </w:tc>
        <w:tc>
          <w:tcPr>
            <w:tcW w:w="1819" w:type="dxa"/>
            <w:tcBorders>
              <w:top w:val="single" w:sz="4" w:space="0" w:color="000000"/>
              <w:left w:val="single" w:sz="4" w:space="0" w:color="000000"/>
            </w:tcBorders>
          </w:tcPr>
          <w:p w14:paraId="0DFDB752" w14:textId="77777777" w:rsidR="00046465" w:rsidRDefault="008134EB">
            <w:pPr>
              <w:pStyle w:val="TableParagraph"/>
              <w:spacing w:before="143"/>
              <w:ind w:left="107" w:right="254"/>
              <w:rPr>
                <w:sz w:val="18"/>
              </w:rPr>
            </w:pPr>
            <w:r>
              <w:rPr>
                <w:sz w:val="18"/>
              </w:rPr>
              <w:t>See Compliance Audit</w:t>
            </w:r>
            <w:r>
              <w:rPr>
                <w:spacing w:val="-13"/>
                <w:sz w:val="18"/>
              </w:rPr>
              <w:t xml:space="preserve"> </w:t>
            </w:r>
            <w:r>
              <w:rPr>
                <w:sz w:val="18"/>
              </w:rPr>
              <w:t>Procedures, FAM 803 step 5.</w:t>
            </w:r>
          </w:p>
        </w:tc>
      </w:tr>
    </w:tbl>
    <w:p w14:paraId="0DFDB754" w14:textId="77777777" w:rsidR="00046465" w:rsidRDefault="00046465">
      <w:pPr>
        <w:pStyle w:val="BodyText"/>
        <w:rPr>
          <w:sz w:val="20"/>
        </w:rPr>
      </w:pPr>
    </w:p>
    <w:p w14:paraId="0DFDB755" w14:textId="77777777" w:rsidR="00046465" w:rsidRDefault="008134EB">
      <w:pPr>
        <w:pStyle w:val="BodyText"/>
        <w:spacing w:before="153"/>
        <w:rPr>
          <w:sz w:val="20"/>
        </w:rPr>
      </w:pPr>
      <w:r>
        <w:rPr>
          <w:noProof/>
          <w:sz w:val="20"/>
        </w:rPr>
        <mc:AlternateContent>
          <mc:Choice Requires="wps">
            <w:drawing>
              <wp:anchor distT="0" distB="0" distL="0" distR="0" simplePos="0" relativeHeight="487646720" behindDoc="1" locked="0" layoutInCell="1" allowOverlap="1" wp14:anchorId="0DFDD601" wp14:editId="0DFDD602">
                <wp:simplePos x="0" y="0"/>
                <wp:positionH relativeFrom="page">
                  <wp:posOffset>685800</wp:posOffset>
                </wp:positionH>
                <wp:positionV relativeFrom="paragraph">
                  <wp:posOffset>258463</wp:posOffset>
                </wp:positionV>
                <wp:extent cx="1828800" cy="6985"/>
                <wp:effectExtent l="0" t="0" r="0" b="0"/>
                <wp:wrapTopAndBottom/>
                <wp:docPr id="529" name="Graphic 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899C1C" id="Graphic 529" o:spid="_x0000_s1026" style="position:absolute;margin-left:54pt;margin-top:20.35pt;width:2in;height:.55pt;z-index:-1566976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" path="m1828800,l,,,6857r1828800,l1828800,xe" fillcolor="black" stroked="f">
                <v:path arrowok="t"/>
                <w10:wrap type="topAndBottom" anchorx="page"/>
              </v:shape>
            </w:pict>
          </mc:Fallback>
        </mc:AlternateContent>
      </w:r>
    </w:p>
    <w:p w14:paraId="0DFDB756" w14:textId="77777777" w:rsidR="00046465" w:rsidRDefault="00046465">
      <w:pPr>
        <w:pStyle w:val="BodyText"/>
        <w:spacing w:before="10"/>
        <w:rPr>
          <w:sz w:val="18"/>
        </w:rPr>
      </w:pPr>
    </w:p>
    <w:p w14:paraId="0DFDB757" w14:textId="77777777" w:rsidR="00046465" w:rsidRDefault="008134EB">
      <w:pPr>
        <w:spacing w:line="242" w:lineRule="auto"/>
        <w:ind w:left="359" w:right="422"/>
        <w:rPr>
          <w:sz w:val="18"/>
        </w:rPr>
      </w:pPr>
      <w:r>
        <w:rPr>
          <w:position w:val="7"/>
          <w:sz w:val="14"/>
        </w:rPr>
        <w:t>3</w:t>
      </w:r>
      <w:r>
        <w:rPr>
          <w:sz w:val="18"/>
        </w:rPr>
        <w:t>Entities are required to establish regulations that provide for a system of administrative controls over their execution of budget authority. 31 U.S.C. § 1514(a). As discussed in FAM 250, an entity may elect to lower the level at which budget limitations are legally binding in these regulations. For example, the entity may elect to reduce</w:t>
      </w:r>
      <w:r>
        <w:rPr>
          <w:spacing w:val="-3"/>
          <w:sz w:val="18"/>
        </w:rPr>
        <w:t xml:space="preserve"> </w:t>
      </w:r>
      <w:r>
        <w:rPr>
          <w:sz w:val="18"/>
        </w:rPr>
        <w:t>the</w:t>
      </w:r>
      <w:r>
        <w:rPr>
          <w:spacing w:val="-3"/>
          <w:sz w:val="18"/>
        </w:rPr>
        <w:t xml:space="preserve"> </w:t>
      </w:r>
      <w:r>
        <w:rPr>
          <w:sz w:val="18"/>
        </w:rPr>
        <w:t>legally</w:t>
      </w:r>
      <w:r>
        <w:rPr>
          <w:spacing w:val="-2"/>
          <w:sz w:val="18"/>
        </w:rPr>
        <w:t xml:space="preserve"> </w:t>
      </w:r>
      <w:r>
        <w:rPr>
          <w:sz w:val="18"/>
        </w:rPr>
        <w:t>binding</w:t>
      </w:r>
      <w:r>
        <w:rPr>
          <w:spacing w:val="-3"/>
          <w:sz w:val="18"/>
        </w:rPr>
        <w:t xml:space="preserve"> </w:t>
      </w:r>
      <w:r>
        <w:rPr>
          <w:sz w:val="18"/>
        </w:rPr>
        <w:t>limit</w:t>
      </w:r>
      <w:r>
        <w:rPr>
          <w:spacing w:val="-2"/>
          <w:sz w:val="18"/>
        </w:rPr>
        <w:t xml:space="preserve"> </w:t>
      </w:r>
      <w:r>
        <w:rPr>
          <w:sz w:val="18"/>
        </w:rPr>
        <w:t>on</w:t>
      </w:r>
      <w:r>
        <w:rPr>
          <w:spacing w:val="-3"/>
          <w:sz w:val="18"/>
        </w:rPr>
        <w:t xml:space="preserve"> </w:t>
      </w:r>
      <w:r>
        <w:rPr>
          <w:sz w:val="18"/>
        </w:rPr>
        <w:t>the</w:t>
      </w:r>
      <w:r>
        <w:rPr>
          <w:spacing w:val="-3"/>
          <w:sz w:val="18"/>
        </w:rPr>
        <w:t xml:space="preserve"> </w:t>
      </w:r>
      <w:r>
        <w:rPr>
          <w:sz w:val="18"/>
        </w:rPr>
        <w:t>obligation</w:t>
      </w:r>
      <w:r>
        <w:rPr>
          <w:spacing w:val="-3"/>
          <w:sz w:val="18"/>
        </w:rPr>
        <w:t xml:space="preserve"> </w:t>
      </w:r>
      <w:r>
        <w:rPr>
          <w:sz w:val="18"/>
        </w:rPr>
        <w:t>and</w:t>
      </w:r>
      <w:r>
        <w:rPr>
          <w:spacing w:val="-3"/>
          <w:sz w:val="18"/>
        </w:rPr>
        <w:t xml:space="preserve"> </w:t>
      </w:r>
      <w:r>
        <w:rPr>
          <w:sz w:val="18"/>
        </w:rPr>
        <w:t>expenditure</w:t>
      </w:r>
      <w:r>
        <w:rPr>
          <w:spacing w:val="-3"/>
          <w:sz w:val="18"/>
        </w:rPr>
        <w:t xml:space="preserve"> </w:t>
      </w:r>
      <w:r>
        <w:rPr>
          <w:sz w:val="18"/>
        </w:rPr>
        <w:t>of</w:t>
      </w:r>
      <w:r>
        <w:rPr>
          <w:spacing w:val="-2"/>
          <w:sz w:val="18"/>
        </w:rPr>
        <w:t xml:space="preserve"> </w:t>
      </w:r>
      <w:r>
        <w:rPr>
          <w:sz w:val="18"/>
        </w:rPr>
        <w:t>budget</w:t>
      </w:r>
      <w:r>
        <w:rPr>
          <w:spacing w:val="-1"/>
          <w:sz w:val="18"/>
        </w:rPr>
        <w:t xml:space="preserve"> </w:t>
      </w:r>
      <w:r>
        <w:rPr>
          <w:sz w:val="18"/>
        </w:rPr>
        <w:t>funds</w:t>
      </w:r>
      <w:r>
        <w:rPr>
          <w:spacing w:val="-2"/>
          <w:sz w:val="18"/>
        </w:rPr>
        <w:t xml:space="preserve"> </w:t>
      </w:r>
      <w:r>
        <w:rPr>
          <w:sz w:val="18"/>
        </w:rPr>
        <w:t>from</w:t>
      </w:r>
      <w:r>
        <w:rPr>
          <w:spacing w:val="-2"/>
          <w:sz w:val="18"/>
        </w:rPr>
        <w:t xml:space="preserve"> </w:t>
      </w:r>
      <w:r>
        <w:rPr>
          <w:sz w:val="18"/>
        </w:rPr>
        <w:t>the</w:t>
      </w:r>
      <w:r>
        <w:rPr>
          <w:spacing w:val="-3"/>
          <w:sz w:val="18"/>
        </w:rPr>
        <w:t xml:space="preserve"> </w:t>
      </w:r>
      <w:r>
        <w:rPr>
          <w:sz w:val="18"/>
        </w:rPr>
        <w:t>apportionment</w:t>
      </w:r>
      <w:r>
        <w:rPr>
          <w:spacing w:val="-1"/>
          <w:sz w:val="18"/>
        </w:rPr>
        <w:t xml:space="preserve"> </w:t>
      </w:r>
      <w:r>
        <w:rPr>
          <w:sz w:val="18"/>
        </w:rPr>
        <w:t>level</w:t>
      </w:r>
      <w:r>
        <w:rPr>
          <w:spacing w:val="-2"/>
          <w:sz w:val="18"/>
        </w:rPr>
        <w:t xml:space="preserve"> </w:t>
      </w:r>
      <w:r>
        <w:rPr>
          <w:sz w:val="18"/>
        </w:rPr>
        <w:t>to</w:t>
      </w:r>
      <w:r>
        <w:rPr>
          <w:spacing w:val="-3"/>
          <w:sz w:val="18"/>
        </w:rPr>
        <w:t xml:space="preserve"> </w:t>
      </w:r>
      <w:r>
        <w:rPr>
          <w:sz w:val="18"/>
        </w:rPr>
        <w:t>the</w:t>
      </w:r>
      <w:r>
        <w:rPr>
          <w:spacing w:val="-1"/>
          <w:sz w:val="18"/>
        </w:rPr>
        <w:t xml:space="preserve"> </w:t>
      </w:r>
      <w:r>
        <w:rPr>
          <w:sz w:val="18"/>
        </w:rPr>
        <w:t>allotment</w:t>
      </w:r>
      <w:r>
        <w:rPr>
          <w:spacing w:val="-2"/>
          <w:sz w:val="18"/>
        </w:rPr>
        <w:t xml:space="preserve"> </w:t>
      </w:r>
      <w:r>
        <w:rPr>
          <w:sz w:val="18"/>
        </w:rPr>
        <w:t>level.</w:t>
      </w:r>
      <w:r>
        <w:rPr>
          <w:spacing w:val="-2"/>
          <w:sz w:val="18"/>
        </w:rPr>
        <w:t xml:space="preserve"> </w:t>
      </w:r>
      <w:r>
        <w:rPr>
          <w:sz w:val="18"/>
        </w:rPr>
        <w:t>The</w:t>
      </w:r>
      <w:r>
        <w:rPr>
          <w:spacing w:val="-3"/>
          <w:sz w:val="18"/>
        </w:rPr>
        <w:t xml:space="preserve"> </w:t>
      </w:r>
      <w:r>
        <w:rPr>
          <w:sz w:val="18"/>
        </w:rPr>
        <w:t>auditor</w:t>
      </w:r>
      <w:r>
        <w:rPr>
          <w:spacing w:val="-2"/>
          <w:sz w:val="18"/>
        </w:rPr>
        <w:t xml:space="preserve"> </w:t>
      </w:r>
      <w:r>
        <w:rPr>
          <w:sz w:val="18"/>
        </w:rPr>
        <w:t>should</w:t>
      </w:r>
      <w:r>
        <w:rPr>
          <w:spacing w:val="-3"/>
          <w:sz w:val="18"/>
        </w:rPr>
        <w:t xml:space="preserve"> </w:t>
      </w:r>
      <w:r>
        <w:rPr>
          <w:sz w:val="18"/>
        </w:rPr>
        <w:t>determine</w:t>
      </w:r>
      <w:r>
        <w:rPr>
          <w:spacing w:val="-3"/>
          <w:sz w:val="18"/>
        </w:rPr>
        <w:t xml:space="preserve"> </w:t>
      </w:r>
      <w:r>
        <w:rPr>
          <w:sz w:val="18"/>
        </w:rPr>
        <w:t>the level at which the entity’s legally binding limit has been established.</w:t>
      </w:r>
    </w:p>
    <w:p w14:paraId="0DFDB758" w14:textId="77777777" w:rsidR="00046465" w:rsidRDefault="00046465">
      <w:pPr>
        <w:spacing w:line="242" w:lineRule="auto"/>
        <w:rPr>
          <w:sz w:val="18"/>
        </w:rPr>
        <w:sectPr w:rsidR="00046465">
          <w:pgSz w:w="15840" w:h="12240" w:orient="landscape"/>
          <w:pgMar w:top="1380" w:right="1080" w:bottom="960" w:left="720" w:header="721" w:footer="765" w:gutter="0"/>
          <w:cols w:space="720"/>
        </w:sectPr>
      </w:pPr>
    </w:p>
    <w:p w14:paraId="0DFDB759" w14:textId="77777777" w:rsidR="00046465" w:rsidRDefault="008134EB">
      <w:pPr>
        <w:pStyle w:val="BodyText"/>
        <w:spacing w:before="82"/>
        <w:ind w:left="359" w:right="372"/>
      </w:pPr>
      <w:r>
        <w:lastRenderedPageBreak/>
        <w:t>Note: The auditor generally should perform these procedures or prepare equivalent documentation if the entity has appropriations or other funds that are limited to an amount or a specified</w:t>
      </w:r>
      <w:r>
        <w:rPr>
          <w:spacing w:val="-3"/>
        </w:rPr>
        <w:t xml:space="preserve"> </w:t>
      </w:r>
      <w:r>
        <w:t>period</w:t>
      </w:r>
      <w:r>
        <w:rPr>
          <w:spacing w:val="-2"/>
        </w:rPr>
        <w:t xml:space="preserve"> </w:t>
      </w:r>
      <w:r>
        <w:t>of</w:t>
      </w:r>
      <w:r>
        <w:rPr>
          <w:spacing w:val="-2"/>
        </w:rPr>
        <w:t xml:space="preserve"> </w:t>
      </w:r>
      <w:r>
        <w:t>availability.</w:t>
      </w:r>
      <w:r>
        <w:rPr>
          <w:spacing w:val="-2"/>
        </w:rPr>
        <w:t xml:space="preserve"> </w:t>
      </w:r>
      <w:r>
        <w:t>If</w:t>
      </w:r>
      <w:r>
        <w:rPr>
          <w:spacing w:val="-2"/>
        </w:rPr>
        <w:t xml:space="preserve"> </w:t>
      </w:r>
      <w:r>
        <w:t>so,</w:t>
      </w:r>
      <w:r>
        <w:rPr>
          <w:spacing w:val="-3"/>
        </w:rPr>
        <w:t xml:space="preserve"> </w:t>
      </w:r>
      <w:r>
        <w:t>the</w:t>
      </w:r>
      <w:r>
        <w:rPr>
          <w:spacing w:val="-2"/>
        </w:rPr>
        <w:t xml:space="preserve"> </w:t>
      </w:r>
      <w:r>
        <w:t>provisions</w:t>
      </w:r>
      <w:r>
        <w:rPr>
          <w:spacing w:val="-2"/>
        </w:rPr>
        <w:t xml:space="preserve"> </w:t>
      </w:r>
      <w:r>
        <w:t>of</w:t>
      </w:r>
      <w:r>
        <w:rPr>
          <w:spacing w:val="-2"/>
        </w:rPr>
        <w:t xml:space="preserve"> </w:t>
      </w:r>
      <w:r>
        <w:t>the</w:t>
      </w:r>
      <w:r>
        <w:rPr>
          <w:spacing w:val="-2"/>
        </w:rPr>
        <w:t xml:space="preserve"> </w:t>
      </w:r>
      <w:r>
        <w:t>Antideficiency</w:t>
      </w:r>
      <w:r>
        <w:rPr>
          <w:spacing w:val="-3"/>
        </w:rPr>
        <w:t xml:space="preserve"> </w:t>
      </w:r>
      <w:r>
        <w:t>Act</w:t>
      </w:r>
      <w:r>
        <w:rPr>
          <w:spacing w:val="-2"/>
        </w:rPr>
        <w:t xml:space="preserve"> </w:t>
      </w:r>
      <w:r>
        <w:t>(ADA),</w:t>
      </w:r>
      <w:r>
        <w:rPr>
          <w:spacing w:val="-2"/>
        </w:rPr>
        <w:t xml:space="preserve"> </w:t>
      </w:r>
      <w:r>
        <w:t>as</w:t>
      </w:r>
      <w:r>
        <w:rPr>
          <w:spacing w:val="-2"/>
        </w:rPr>
        <w:t xml:space="preserve"> </w:t>
      </w:r>
      <w:r>
        <w:t>provided primarily in 31 U.S.C. chapters 13, 15, are applicable, as indicated on Form 802, General Compliance Checklist. These procedures test compliance with the provisions listed on the Compliance</w:t>
      </w:r>
      <w:r>
        <w:rPr>
          <w:spacing w:val="-4"/>
        </w:rPr>
        <w:t xml:space="preserve"> </w:t>
      </w:r>
      <w:r>
        <w:t>Summary.</w:t>
      </w:r>
      <w:r>
        <w:rPr>
          <w:spacing w:val="-4"/>
        </w:rPr>
        <w:t xml:space="preserve"> </w:t>
      </w:r>
      <w:r>
        <w:t>OMB</w:t>
      </w:r>
      <w:r>
        <w:rPr>
          <w:spacing w:val="-4"/>
        </w:rPr>
        <w:t xml:space="preserve"> </w:t>
      </w:r>
      <w:r>
        <w:t>guidance</w:t>
      </w:r>
      <w:r>
        <w:rPr>
          <w:spacing w:val="-4"/>
        </w:rPr>
        <w:t xml:space="preserve"> </w:t>
      </w:r>
      <w:r>
        <w:t>on</w:t>
      </w:r>
      <w:r>
        <w:rPr>
          <w:spacing w:val="-4"/>
        </w:rPr>
        <w:t xml:space="preserve"> </w:t>
      </w:r>
      <w:r>
        <w:t>budget</w:t>
      </w:r>
      <w:r>
        <w:rPr>
          <w:spacing w:val="-4"/>
        </w:rPr>
        <w:t xml:space="preserve"> </w:t>
      </w:r>
      <w:r>
        <w:t>execution,</w:t>
      </w:r>
      <w:r>
        <w:rPr>
          <w:spacing w:val="-5"/>
        </w:rPr>
        <w:t xml:space="preserve"> </w:t>
      </w:r>
      <w:r>
        <w:t>including</w:t>
      </w:r>
      <w:r>
        <w:rPr>
          <w:spacing w:val="-4"/>
        </w:rPr>
        <w:t xml:space="preserve"> </w:t>
      </w:r>
      <w:r>
        <w:t>the</w:t>
      </w:r>
      <w:r>
        <w:rPr>
          <w:spacing w:val="-4"/>
        </w:rPr>
        <w:t xml:space="preserve"> </w:t>
      </w:r>
      <w:r>
        <w:t>Antideficiency</w:t>
      </w:r>
      <w:r>
        <w:rPr>
          <w:spacing w:val="-4"/>
        </w:rPr>
        <w:t xml:space="preserve"> </w:t>
      </w:r>
      <w:r>
        <w:t>Act,</w:t>
      </w:r>
      <w:r>
        <w:rPr>
          <w:spacing w:val="-4"/>
        </w:rPr>
        <w:t xml:space="preserve"> </w:t>
      </w:r>
      <w:r>
        <w:t xml:space="preserve">is included in OMB Circular No. A-11, </w:t>
      </w:r>
      <w:r>
        <w:rPr>
          <w:i/>
        </w:rPr>
        <w:t xml:space="preserve">Preparing, Submitting, and Executing the Budget, </w:t>
      </w:r>
      <w:r>
        <w:t xml:space="preserve">Part 4, </w:t>
      </w:r>
      <w:r>
        <w:rPr>
          <w:i/>
        </w:rPr>
        <w:t>Instructions on Budget Execution</w:t>
      </w:r>
      <w:r>
        <w:t>.</w:t>
      </w:r>
    </w:p>
    <w:p w14:paraId="0DFDB75A" w14:textId="77777777" w:rsidR="00046465" w:rsidRDefault="00046465">
      <w:pPr>
        <w:pStyle w:val="BodyText"/>
        <w:spacing w:before="8"/>
        <w:rPr>
          <w:sz w:val="13"/>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286"/>
        <w:gridCol w:w="1089"/>
        <w:gridCol w:w="985"/>
      </w:tblGrid>
      <w:tr w:rsidR="00046465" w14:paraId="0DFDB75C" w14:textId="77777777">
        <w:trPr>
          <w:trHeight w:val="1335"/>
        </w:trPr>
        <w:tc>
          <w:tcPr>
            <w:tcW w:w="9360" w:type="dxa"/>
            <w:gridSpan w:val="3"/>
          </w:tcPr>
          <w:p w14:paraId="0DFDB75B" w14:textId="77777777" w:rsidR="00046465" w:rsidRDefault="008134EB">
            <w:pPr>
              <w:pStyle w:val="TableParagraph"/>
              <w:tabs>
                <w:tab w:val="left" w:pos="8944"/>
              </w:tabs>
              <w:spacing w:before="8" w:line="390" w:lineRule="atLeast"/>
              <w:ind w:left="130" w:right="368" w:hanging="1"/>
              <w:jc w:val="both"/>
            </w:pPr>
            <w:r>
              <w:t>Name of entity:</w:t>
            </w:r>
            <w:r>
              <w:rPr>
                <w:spacing w:val="177"/>
              </w:rPr>
              <w:t xml:space="preserve"> </w:t>
            </w:r>
            <w:r>
              <w:rPr>
                <w:u w:val="single"/>
              </w:rPr>
              <w:tab/>
            </w:r>
            <w:r>
              <w:t xml:space="preserve"> Audit period:</w:t>
            </w:r>
            <w:r>
              <w:rPr>
                <w:spacing w:val="179"/>
              </w:rPr>
              <w:t xml:space="preserve"> </w:t>
            </w:r>
            <w:r>
              <w:rPr>
                <w:u w:val="single"/>
              </w:rPr>
              <w:tab/>
            </w:r>
            <w:r>
              <w:t xml:space="preserve"> Reviewed by:</w:t>
            </w:r>
            <w:r>
              <w:rPr>
                <w:spacing w:val="92"/>
              </w:rPr>
              <w:t xml:space="preserve"> </w:t>
            </w:r>
            <w:r>
              <w:rPr>
                <w:u w:val="single"/>
              </w:rPr>
              <w:tab/>
            </w:r>
          </w:p>
        </w:tc>
      </w:tr>
      <w:tr w:rsidR="00046465" w14:paraId="0DFDB761" w14:textId="77777777">
        <w:trPr>
          <w:trHeight w:val="627"/>
        </w:trPr>
        <w:tc>
          <w:tcPr>
            <w:tcW w:w="7286" w:type="dxa"/>
            <w:tcBorders>
              <w:right w:val="single" w:sz="6" w:space="0" w:color="000000"/>
            </w:tcBorders>
          </w:tcPr>
          <w:p w14:paraId="0DFDB75D" w14:textId="77777777" w:rsidR="00046465" w:rsidRDefault="00046465">
            <w:pPr>
              <w:pStyle w:val="TableParagraph"/>
              <w:spacing w:before="61"/>
            </w:pPr>
          </w:p>
          <w:p w14:paraId="0DFDB75E"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089" w:type="dxa"/>
            <w:tcBorders>
              <w:left w:val="single" w:sz="6" w:space="0" w:color="000000"/>
              <w:right w:val="single" w:sz="6" w:space="0" w:color="000000"/>
            </w:tcBorders>
          </w:tcPr>
          <w:p w14:paraId="0DFDB75F" w14:textId="77777777" w:rsidR="00046465" w:rsidRDefault="008134EB">
            <w:pPr>
              <w:pStyle w:val="TableParagraph"/>
              <w:spacing w:before="61"/>
              <w:ind w:left="145"/>
              <w:rPr>
                <w:b/>
              </w:rPr>
            </w:pPr>
            <w:r>
              <w:rPr>
                <w:b/>
                <w:spacing w:val="-2"/>
              </w:rPr>
              <w:t xml:space="preserve">Initials/ </w:t>
            </w:r>
            <w:r>
              <w:rPr>
                <w:b/>
                <w:spacing w:val="-4"/>
              </w:rPr>
              <w:t>date</w:t>
            </w:r>
          </w:p>
        </w:tc>
        <w:tc>
          <w:tcPr>
            <w:tcW w:w="985" w:type="dxa"/>
            <w:tcBorders>
              <w:left w:val="single" w:sz="6" w:space="0" w:color="000000"/>
            </w:tcBorders>
          </w:tcPr>
          <w:p w14:paraId="0DFDB760" w14:textId="77777777" w:rsidR="00046465" w:rsidRDefault="008134EB">
            <w:pPr>
              <w:pStyle w:val="TableParagraph"/>
              <w:spacing w:before="61"/>
              <w:ind w:left="146" w:right="329" w:hanging="1"/>
              <w:rPr>
                <w:b/>
              </w:rPr>
            </w:pPr>
            <w:r>
              <w:rPr>
                <w:b/>
                <w:spacing w:val="-4"/>
              </w:rPr>
              <w:t>Doc. ref.</w:t>
            </w:r>
          </w:p>
        </w:tc>
      </w:tr>
      <w:tr w:rsidR="00046465" w14:paraId="0DFDB766" w14:textId="77777777">
        <w:trPr>
          <w:trHeight w:val="2456"/>
        </w:trPr>
        <w:tc>
          <w:tcPr>
            <w:tcW w:w="7286" w:type="dxa"/>
            <w:tcBorders>
              <w:bottom w:val="single" w:sz="6" w:space="0" w:color="000000"/>
              <w:right w:val="single" w:sz="6" w:space="0" w:color="000000"/>
            </w:tcBorders>
          </w:tcPr>
          <w:p w14:paraId="0DFDB762" w14:textId="77777777" w:rsidR="00046465" w:rsidRDefault="008134EB">
            <w:pPr>
              <w:pStyle w:val="TableParagraph"/>
              <w:spacing w:before="144"/>
              <w:ind w:left="489" w:right="138" w:hanging="360"/>
            </w:pPr>
            <w:r>
              <w:t>1.</w:t>
            </w:r>
            <w:r>
              <w:rPr>
                <w:spacing w:val="80"/>
              </w:rPr>
              <w:t xml:space="preserve"> </w:t>
            </w:r>
            <w:r>
              <w:t>List the appropriations or other budget authority and the related budget</w:t>
            </w:r>
            <w:r>
              <w:rPr>
                <w:spacing w:val="-4"/>
              </w:rPr>
              <w:t xml:space="preserve"> </w:t>
            </w:r>
            <w:r>
              <w:t>accounts</w:t>
            </w:r>
            <w:r>
              <w:rPr>
                <w:spacing w:val="-4"/>
              </w:rPr>
              <w:t xml:space="preserve"> </w:t>
            </w:r>
            <w:r>
              <w:t>that</w:t>
            </w:r>
            <w:r>
              <w:rPr>
                <w:spacing w:val="-4"/>
              </w:rPr>
              <w:t xml:space="preserve"> </w:t>
            </w:r>
            <w:r>
              <w:t>were</w:t>
            </w:r>
            <w:r>
              <w:rPr>
                <w:spacing w:val="-4"/>
              </w:rPr>
              <w:t xml:space="preserve"> </w:t>
            </w:r>
            <w:r>
              <w:t>identified</w:t>
            </w:r>
            <w:r>
              <w:rPr>
                <w:spacing w:val="-5"/>
              </w:rPr>
              <w:t xml:space="preserve"> </w:t>
            </w:r>
            <w:r>
              <w:t>for</w:t>
            </w:r>
            <w:r>
              <w:rPr>
                <w:spacing w:val="-4"/>
              </w:rPr>
              <w:t xml:space="preserve"> </w:t>
            </w:r>
            <w:r>
              <w:t>compliance</w:t>
            </w:r>
            <w:r>
              <w:rPr>
                <w:spacing w:val="-4"/>
              </w:rPr>
              <w:t xml:space="preserve"> </w:t>
            </w:r>
            <w:r>
              <w:t>testing</w:t>
            </w:r>
            <w:r>
              <w:rPr>
                <w:spacing w:val="-4"/>
              </w:rPr>
              <w:t xml:space="preserve"> </w:t>
            </w:r>
            <w:r>
              <w:t>on</w:t>
            </w:r>
            <w:r>
              <w:rPr>
                <w:spacing w:val="-4"/>
              </w:rPr>
              <w:t xml:space="preserve"> </w:t>
            </w:r>
            <w:r>
              <w:t>Form 802, General Compliance Checklist. The auditor should identify all legally binding restrictions on budget execution, from sources such as appropriation statutes.</w:t>
            </w:r>
          </w:p>
          <w:p w14:paraId="0DFDB763" w14:textId="77777777" w:rsidR="00046465" w:rsidRDefault="008134EB">
            <w:pPr>
              <w:pStyle w:val="TableParagraph"/>
              <w:spacing w:before="144"/>
              <w:ind w:left="490" w:right="138"/>
            </w:pPr>
            <w:r>
              <w:t>(The</w:t>
            </w:r>
            <w:r>
              <w:rPr>
                <w:spacing w:val="-5"/>
              </w:rPr>
              <w:t xml:space="preserve"> </w:t>
            </w:r>
            <w:r>
              <w:t>auditor</w:t>
            </w:r>
            <w:r>
              <w:rPr>
                <w:spacing w:val="-5"/>
              </w:rPr>
              <w:t xml:space="preserve"> </w:t>
            </w:r>
            <w:r>
              <w:t>may</w:t>
            </w:r>
            <w:r>
              <w:rPr>
                <w:spacing w:val="-5"/>
              </w:rPr>
              <w:t xml:space="preserve"> </w:t>
            </w:r>
            <w:r>
              <w:t>coordinate</w:t>
            </w:r>
            <w:r>
              <w:rPr>
                <w:spacing w:val="-5"/>
              </w:rPr>
              <w:t xml:space="preserve"> </w:t>
            </w:r>
            <w:r>
              <w:t>the</w:t>
            </w:r>
            <w:r>
              <w:rPr>
                <w:spacing w:val="-5"/>
              </w:rPr>
              <w:t xml:space="preserve"> </w:t>
            </w:r>
            <w:r>
              <w:t>following</w:t>
            </w:r>
            <w:r>
              <w:rPr>
                <w:spacing w:val="-5"/>
              </w:rPr>
              <w:t xml:space="preserve"> </w:t>
            </w:r>
            <w:r>
              <w:t>tests</w:t>
            </w:r>
            <w:r>
              <w:rPr>
                <w:spacing w:val="-5"/>
              </w:rPr>
              <w:t xml:space="preserve"> </w:t>
            </w:r>
            <w:r>
              <w:t>for</w:t>
            </w:r>
            <w:r>
              <w:rPr>
                <w:spacing w:val="-5"/>
              </w:rPr>
              <w:t xml:space="preserve"> </w:t>
            </w:r>
            <w:r>
              <w:t>compliance</w:t>
            </w:r>
            <w:r>
              <w:rPr>
                <w:spacing w:val="-5"/>
              </w:rPr>
              <w:t xml:space="preserve"> </w:t>
            </w:r>
            <w:r>
              <w:t>with the Antideficiency Act with tests of the Statement of Budgetary Resources and with tests of expenses.)</w:t>
            </w:r>
          </w:p>
        </w:tc>
        <w:tc>
          <w:tcPr>
            <w:tcW w:w="1089" w:type="dxa"/>
            <w:tcBorders>
              <w:left w:val="single" w:sz="6" w:space="0" w:color="000000"/>
              <w:bottom w:val="single" w:sz="6" w:space="0" w:color="000000"/>
              <w:right w:val="single" w:sz="6" w:space="0" w:color="000000"/>
            </w:tcBorders>
          </w:tcPr>
          <w:p w14:paraId="0DFDB764" w14:textId="77777777" w:rsidR="00046465" w:rsidRDefault="00046465">
            <w:pPr>
              <w:pStyle w:val="TableParagraph"/>
              <w:rPr>
                <w:rFonts w:ascii="Times New Roman"/>
                <w:sz w:val="20"/>
              </w:rPr>
            </w:pPr>
          </w:p>
        </w:tc>
        <w:tc>
          <w:tcPr>
            <w:tcW w:w="985" w:type="dxa"/>
            <w:tcBorders>
              <w:left w:val="single" w:sz="6" w:space="0" w:color="000000"/>
              <w:bottom w:val="single" w:sz="6" w:space="0" w:color="000000"/>
            </w:tcBorders>
          </w:tcPr>
          <w:p w14:paraId="0DFDB765" w14:textId="77777777" w:rsidR="00046465" w:rsidRDefault="00046465">
            <w:pPr>
              <w:pStyle w:val="TableParagraph"/>
              <w:rPr>
                <w:rFonts w:ascii="Times New Roman"/>
                <w:sz w:val="20"/>
              </w:rPr>
            </w:pPr>
          </w:p>
        </w:tc>
      </w:tr>
      <w:tr w:rsidR="00046465" w14:paraId="0DFDB76D" w14:textId="77777777">
        <w:trPr>
          <w:trHeight w:val="6454"/>
        </w:trPr>
        <w:tc>
          <w:tcPr>
            <w:tcW w:w="7286" w:type="dxa"/>
            <w:tcBorders>
              <w:top w:val="single" w:sz="6" w:space="0" w:color="000000"/>
              <w:bottom w:val="single" w:sz="6" w:space="0" w:color="000000"/>
              <w:right w:val="single" w:sz="6" w:space="0" w:color="000000"/>
            </w:tcBorders>
          </w:tcPr>
          <w:p w14:paraId="0DFDB767" w14:textId="77777777" w:rsidR="00046465" w:rsidRDefault="008134EB">
            <w:pPr>
              <w:pStyle w:val="TableParagraph"/>
              <w:spacing w:before="143"/>
              <w:ind w:left="489" w:right="207" w:hanging="360"/>
            </w:pPr>
            <w:r>
              <w:t>2.</w:t>
            </w:r>
            <w:r>
              <w:rPr>
                <w:spacing w:val="80"/>
              </w:rPr>
              <w:t xml:space="preserve"> </w:t>
            </w:r>
            <w:r>
              <w:t>As</w:t>
            </w:r>
            <w:r>
              <w:rPr>
                <w:spacing w:val="-3"/>
              </w:rPr>
              <w:t xml:space="preserve"> </w:t>
            </w:r>
            <w:r>
              <w:t>discussed</w:t>
            </w:r>
            <w:r>
              <w:rPr>
                <w:spacing w:val="-3"/>
              </w:rPr>
              <w:t xml:space="preserve"> </w:t>
            </w:r>
            <w:r>
              <w:t>in</w:t>
            </w:r>
            <w:r>
              <w:rPr>
                <w:spacing w:val="-3"/>
              </w:rPr>
              <w:t xml:space="preserve"> </w:t>
            </w:r>
            <w:r>
              <w:t>FAM</w:t>
            </w:r>
            <w:r>
              <w:rPr>
                <w:spacing w:val="-4"/>
              </w:rPr>
              <w:t xml:space="preserve"> </w:t>
            </w:r>
            <w:r>
              <w:t>460.03,</w:t>
            </w:r>
            <w:r>
              <w:rPr>
                <w:spacing w:val="-3"/>
              </w:rPr>
              <w:t xml:space="preserve"> </w:t>
            </w:r>
            <w:r>
              <w:t>the</w:t>
            </w:r>
            <w:r>
              <w:rPr>
                <w:spacing w:val="-3"/>
              </w:rPr>
              <w:t xml:space="preserve"> </w:t>
            </w:r>
            <w:r>
              <w:t>auditor</w:t>
            </w:r>
            <w:r>
              <w:rPr>
                <w:spacing w:val="-3"/>
              </w:rPr>
              <w:t xml:space="preserve"> </w:t>
            </w:r>
            <w:r>
              <w:t>should</w:t>
            </w:r>
            <w:r>
              <w:rPr>
                <w:spacing w:val="-4"/>
              </w:rPr>
              <w:t xml:space="preserve"> </w:t>
            </w:r>
            <w:r>
              <w:t>determine</w:t>
            </w:r>
            <w:r>
              <w:rPr>
                <w:spacing w:val="-3"/>
              </w:rPr>
              <w:t xml:space="preserve"> </w:t>
            </w:r>
            <w:r>
              <w:t>whether the summarized budget information (obligations and expenditures) used for compliance tests is reasonably accurate and complete. The auditor may obtain assurance through effective controls that the auditor tests (usually the budget controls) or, if the controls are not effective, through substantive testing of budget amounts for validity, completeness, cutoff, recording, classification, and summarization, as described in FAM 495 B, Example Procedures for Tests of Budget Information.</w:t>
            </w:r>
          </w:p>
          <w:p w14:paraId="0DFDB768" w14:textId="77777777" w:rsidR="00046465" w:rsidRDefault="008134EB">
            <w:pPr>
              <w:pStyle w:val="TableParagraph"/>
              <w:spacing w:before="144"/>
              <w:ind w:left="461" w:right="138"/>
            </w:pPr>
            <w:r>
              <w:t>For</w:t>
            </w:r>
            <w:r>
              <w:rPr>
                <w:spacing w:val="-4"/>
              </w:rPr>
              <w:t xml:space="preserve"> </w:t>
            </w:r>
            <w:r>
              <w:t>the</w:t>
            </w:r>
            <w:r>
              <w:rPr>
                <w:spacing w:val="-4"/>
              </w:rPr>
              <w:t xml:space="preserve"> </w:t>
            </w:r>
            <w:r>
              <w:t>accounts</w:t>
            </w:r>
            <w:r>
              <w:rPr>
                <w:spacing w:val="-4"/>
              </w:rPr>
              <w:t xml:space="preserve"> </w:t>
            </w:r>
            <w:r>
              <w:t>listed</w:t>
            </w:r>
            <w:r>
              <w:rPr>
                <w:spacing w:val="-4"/>
              </w:rPr>
              <w:t xml:space="preserve"> </w:t>
            </w:r>
            <w:r>
              <w:t>in</w:t>
            </w:r>
            <w:r>
              <w:rPr>
                <w:spacing w:val="-5"/>
              </w:rPr>
              <w:t xml:space="preserve"> </w:t>
            </w:r>
            <w:r>
              <w:t>step</w:t>
            </w:r>
            <w:r>
              <w:rPr>
                <w:spacing w:val="-4"/>
              </w:rPr>
              <w:t xml:space="preserve"> </w:t>
            </w:r>
            <w:r>
              <w:t>1,</w:t>
            </w:r>
            <w:r>
              <w:rPr>
                <w:spacing w:val="-4"/>
              </w:rPr>
              <w:t xml:space="preserve"> </w:t>
            </w:r>
            <w:r>
              <w:t>document</w:t>
            </w:r>
            <w:r>
              <w:rPr>
                <w:spacing w:val="-4"/>
              </w:rPr>
              <w:t xml:space="preserve"> </w:t>
            </w:r>
            <w:r>
              <w:t>if</w:t>
            </w:r>
            <w:r>
              <w:rPr>
                <w:spacing w:val="-4"/>
              </w:rPr>
              <w:t xml:space="preserve"> </w:t>
            </w:r>
            <w:r>
              <w:t>the</w:t>
            </w:r>
            <w:r>
              <w:rPr>
                <w:spacing w:val="-4"/>
              </w:rPr>
              <w:t xml:space="preserve"> </w:t>
            </w:r>
            <w:r>
              <w:t>auditor</w:t>
            </w:r>
            <w:r>
              <w:rPr>
                <w:spacing w:val="-4"/>
              </w:rPr>
              <w:t xml:space="preserve"> </w:t>
            </w:r>
            <w:r>
              <w:t>will</w:t>
            </w:r>
            <w:r>
              <w:rPr>
                <w:spacing w:val="-4"/>
              </w:rPr>
              <w:t xml:space="preserve"> </w:t>
            </w:r>
            <w:r>
              <w:t>obtain this assurance by testing controls (as indicated on Form 803, Compliance Summary) or if substantive tests of the budget information are necessary.</w:t>
            </w:r>
          </w:p>
          <w:p w14:paraId="0DFDB769" w14:textId="77777777" w:rsidR="00046465" w:rsidRDefault="008134EB">
            <w:pPr>
              <w:pStyle w:val="TableParagraph"/>
              <w:spacing w:before="144"/>
              <w:ind w:left="489"/>
            </w:pPr>
            <w:r>
              <w:t>If the auditor determines that controls are not effective in meeting some or all of the budget control objectives listed in FAM 395 F, Budget Control Objectives, then the auditor should perform substantive tests of the budget amounts (obligations and expenditures), as discussed in FAM 495 B. The auditor should perform</w:t>
            </w:r>
            <w:r>
              <w:rPr>
                <w:spacing w:val="-6"/>
              </w:rPr>
              <w:t xml:space="preserve"> </w:t>
            </w:r>
            <w:r>
              <w:t>substantive</w:t>
            </w:r>
            <w:r>
              <w:rPr>
                <w:spacing w:val="-5"/>
              </w:rPr>
              <w:t xml:space="preserve"> </w:t>
            </w:r>
            <w:r>
              <w:t>tests</w:t>
            </w:r>
            <w:r>
              <w:rPr>
                <w:spacing w:val="-5"/>
              </w:rPr>
              <w:t xml:space="preserve"> </w:t>
            </w:r>
            <w:r>
              <w:t>only</w:t>
            </w:r>
            <w:r>
              <w:rPr>
                <w:spacing w:val="-5"/>
              </w:rPr>
              <w:t xml:space="preserve"> </w:t>
            </w:r>
            <w:r>
              <w:t>for</w:t>
            </w:r>
            <w:r>
              <w:rPr>
                <w:spacing w:val="-5"/>
              </w:rPr>
              <w:t xml:space="preserve"> </w:t>
            </w:r>
            <w:r>
              <w:t>those</w:t>
            </w:r>
            <w:r>
              <w:rPr>
                <w:spacing w:val="-5"/>
              </w:rPr>
              <w:t xml:space="preserve"> </w:t>
            </w:r>
            <w:r>
              <w:t>potential</w:t>
            </w:r>
            <w:r>
              <w:rPr>
                <w:spacing w:val="-5"/>
              </w:rPr>
              <w:t xml:space="preserve"> </w:t>
            </w:r>
            <w:r>
              <w:t>misstatements</w:t>
            </w:r>
            <w:r>
              <w:rPr>
                <w:spacing w:val="-5"/>
              </w:rPr>
              <w:t xml:space="preserve"> </w:t>
            </w:r>
            <w:r>
              <w:t>for which the entity does not have effective budget controls.</w:t>
            </w:r>
          </w:p>
          <w:p w14:paraId="0DFDB76A" w14:textId="77777777" w:rsidR="00046465" w:rsidRDefault="008134EB">
            <w:pPr>
              <w:pStyle w:val="TableParagraph"/>
              <w:spacing w:before="144"/>
              <w:ind w:left="461" w:right="138"/>
            </w:pPr>
            <w:r>
              <w:t>After</w:t>
            </w:r>
            <w:r>
              <w:rPr>
                <w:spacing w:val="-4"/>
              </w:rPr>
              <w:t xml:space="preserve"> </w:t>
            </w:r>
            <w:r>
              <w:t>the</w:t>
            </w:r>
            <w:r>
              <w:rPr>
                <w:spacing w:val="-4"/>
              </w:rPr>
              <w:t xml:space="preserve"> </w:t>
            </w:r>
            <w:r>
              <w:t>auditor</w:t>
            </w:r>
            <w:r>
              <w:rPr>
                <w:spacing w:val="-4"/>
              </w:rPr>
              <w:t xml:space="preserve"> </w:t>
            </w:r>
            <w:r>
              <w:t>is</w:t>
            </w:r>
            <w:r>
              <w:rPr>
                <w:spacing w:val="-4"/>
              </w:rPr>
              <w:t xml:space="preserve"> </w:t>
            </w:r>
            <w:r>
              <w:t>satisfied</w:t>
            </w:r>
            <w:r>
              <w:rPr>
                <w:spacing w:val="-4"/>
              </w:rPr>
              <w:t xml:space="preserve"> </w:t>
            </w:r>
            <w:r>
              <w:t>as</w:t>
            </w:r>
            <w:r>
              <w:rPr>
                <w:spacing w:val="-4"/>
              </w:rPr>
              <w:t xml:space="preserve"> </w:t>
            </w:r>
            <w:r>
              <w:t>to</w:t>
            </w:r>
            <w:r>
              <w:rPr>
                <w:spacing w:val="-4"/>
              </w:rPr>
              <w:t xml:space="preserve"> </w:t>
            </w:r>
            <w:r>
              <w:t>the</w:t>
            </w:r>
            <w:r>
              <w:rPr>
                <w:spacing w:val="-5"/>
              </w:rPr>
              <w:t xml:space="preserve"> </w:t>
            </w:r>
            <w:r>
              <w:t>reasonableness</w:t>
            </w:r>
            <w:r>
              <w:rPr>
                <w:spacing w:val="-4"/>
              </w:rPr>
              <w:t xml:space="preserve"> </w:t>
            </w:r>
            <w:r>
              <w:t>of</w:t>
            </w:r>
            <w:r>
              <w:rPr>
                <w:spacing w:val="-4"/>
              </w:rPr>
              <w:t xml:space="preserve"> </w:t>
            </w:r>
            <w:r>
              <w:t>the</w:t>
            </w:r>
            <w:r>
              <w:rPr>
                <w:spacing w:val="-5"/>
              </w:rPr>
              <w:t xml:space="preserve"> </w:t>
            </w:r>
            <w:r>
              <w:t>budget amounts to be used for the compliance tests, perform the compliance tests in steps 3 and 4.</w:t>
            </w:r>
          </w:p>
        </w:tc>
        <w:tc>
          <w:tcPr>
            <w:tcW w:w="1089" w:type="dxa"/>
            <w:tcBorders>
              <w:top w:val="single" w:sz="6" w:space="0" w:color="000000"/>
              <w:left w:val="single" w:sz="6" w:space="0" w:color="000000"/>
              <w:bottom w:val="single" w:sz="6" w:space="0" w:color="000000"/>
              <w:right w:val="single" w:sz="6" w:space="0" w:color="000000"/>
            </w:tcBorders>
          </w:tcPr>
          <w:p w14:paraId="0DFDB76B" w14:textId="77777777" w:rsidR="00046465" w:rsidRDefault="00046465">
            <w:pPr>
              <w:pStyle w:val="TableParagraph"/>
              <w:rPr>
                <w:rFonts w:ascii="Times New Roman"/>
                <w:sz w:val="20"/>
              </w:rPr>
            </w:pPr>
          </w:p>
        </w:tc>
        <w:tc>
          <w:tcPr>
            <w:tcW w:w="985" w:type="dxa"/>
            <w:tcBorders>
              <w:top w:val="single" w:sz="6" w:space="0" w:color="000000"/>
              <w:left w:val="single" w:sz="6" w:space="0" w:color="000000"/>
              <w:bottom w:val="single" w:sz="6" w:space="0" w:color="000000"/>
            </w:tcBorders>
          </w:tcPr>
          <w:p w14:paraId="0DFDB76C" w14:textId="77777777" w:rsidR="00046465" w:rsidRDefault="00046465">
            <w:pPr>
              <w:pStyle w:val="TableParagraph"/>
              <w:rPr>
                <w:rFonts w:ascii="Times New Roman"/>
                <w:sz w:val="20"/>
              </w:rPr>
            </w:pPr>
          </w:p>
        </w:tc>
      </w:tr>
    </w:tbl>
    <w:p w14:paraId="0DFDB76E" w14:textId="77777777" w:rsidR="00046465" w:rsidRDefault="00046465">
      <w:pPr>
        <w:pStyle w:val="TableParagraph"/>
        <w:rPr>
          <w:rFonts w:ascii="Times New Roman"/>
          <w:sz w:val="20"/>
        </w:rPr>
        <w:sectPr w:rsidR="00046465">
          <w:headerReference w:type="default" r:id="rId126"/>
          <w:footerReference w:type="default" r:id="rId127"/>
          <w:pgSz w:w="12240" w:h="15840"/>
          <w:pgMar w:top="1380" w:right="1080" w:bottom="940" w:left="1080" w:header="721" w:footer="742" w:gutter="0"/>
          <w:cols w:space="720"/>
        </w:sectPr>
      </w:pPr>
    </w:p>
    <w:p w14:paraId="0DFDB76F" w14:textId="77777777" w:rsidR="00046465" w:rsidRDefault="00046465">
      <w:pPr>
        <w:pStyle w:val="BodyText"/>
        <w:spacing w:before="4" w:after="1"/>
        <w:rPr>
          <w:sz w:val="8"/>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286"/>
        <w:gridCol w:w="1089"/>
        <w:gridCol w:w="985"/>
      </w:tblGrid>
      <w:tr w:rsidR="00046465" w14:paraId="0DFDB771" w14:textId="77777777">
        <w:trPr>
          <w:trHeight w:val="1335"/>
        </w:trPr>
        <w:tc>
          <w:tcPr>
            <w:tcW w:w="9360" w:type="dxa"/>
            <w:gridSpan w:val="3"/>
          </w:tcPr>
          <w:p w14:paraId="0DFDB770" w14:textId="77777777" w:rsidR="00046465" w:rsidRDefault="008134EB">
            <w:pPr>
              <w:pStyle w:val="TableParagraph"/>
              <w:tabs>
                <w:tab w:val="left" w:pos="8943"/>
              </w:tabs>
              <w:spacing w:before="7" w:line="390" w:lineRule="atLeast"/>
              <w:ind w:left="130" w:right="368" w:hanging="1"/>
              <w:jc w:val="both"/>
            </w:pPr>
            <w:r>
              <w:t>Name of entity:</w:t>
            </w:r>
            <w:r>
              <w:rPr>
                <w:spacing w:val="177"/>
              </w:rPr>
              <w:t xml:space="preserve"> </w:t>
            </w:r>
            <w:r>
              <w:rPr>
                <w:u w:val="single"/>
              </w:rPr>
              <w:tab/>
            </w:r>
            <w:r>
              <w:t xml:space="preserve"> Audit period:</w:t>
            </w:r>
            <w:r>
              <w:rPr>
                <w:spacing w:val="179"/>
              </w:rPr>
              <w:t xml:space="preserve"> </w:t>
            </w:r>
            <w:r>
              <w:rPr>
                <w:u w:val="single"/>
              </w:rPr>
              <w:tab/>
            </w:r>
            <w:r>
              <w:t xml:space="preserve"> Reviewed by:</w:t>
            </w:r>
            <w:r>
              <w:rPr>
                <w:spacing w:val="92"/>
              </w:rPr>
              <w:t xml:space="preserve"> </w:t>
            </w:r>
            <w:r>
              <w:rPr>
                <w:u w:val="single"/>
              </w:rPr>
              <w:tab/>
            </w:r>
          </w:p>
        </w:tc>
      </w:tr>
      <w:tr w:rsidR="00046465" w14:paraId="0DFDB776" w14:textId="77777777">
        <w:trPr>
          <w:trHeight w:val="625"/>
        </w:trPr>
        <w:tc>
          <w:tcPr>
            <w:tcW w:w="7286" w:type="dxa"/>
            <w:tcBorders>
              <w:right w:val="single" w:sz="6" w:space="0" w:color="000000"/>
            </w:tcBorders>
          </w:tcPr>
          <w:p w14:paraId="0DFDB772" w14:textId="77777777" w:rsidR="00046465" w:rsidRDefault="00046465">
            <w:pPr>
              <w:pStyle w:val="TableParagraph"/>
              <w:spacing w:before="60"/>
            </w:pPr>
          </w:p>
          <w:p w14:paraId="0DFDB773"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089" w:type="dxa"/>
            <w:tcBorders>
              <w:left w:val="single" w:sz="6" w:space="0" w:color="000000"/>
              <w:right w:val="single" w:sz="6" w:space="0" w:color="000000"/>
            </w:tcBorders>
          </w:tcPr>
          <w:p w14:paraId="0DFDB774" w14:textId="77777777" w:rsidR="00046465" w:rsidRDefault="008134EB">
            <w:pPr>
              <w:pStyle w:val="TableParagraph"/>
              <w:spacing w:before="60"/>
              <w:ind w:left="145"/>
              <w:rPr>
                <w:b/>
              </w:rPr>
            </w:pPr>
            <w:r>
              <w:rPr>
                <w:b/>
                <w:spacing w:val="-2"/>
              </w:rPr>
              <w:t xml:space="preserve">Initials/ </w:t>
            </w:r>
            <w:r>
              <w:rPr>
                <w:b/>
                <w:spacing w:val="-4"/>
              </w:rPr>
              <w:t>date</w:t>
            </w:r>
          </w:p>
        </w:tc>
        <w:tc>
          <w:tcPr>
            <w:tcW w:w="985" w:type="dxa"/>
            <w:tcBorders>
              <w:left w:val="single" w:sz="6" w:space="0" w:color="000000"/>
            </w:tcBorders>
          </w:tcPr>
          <w:p w14:paraId="0DFDB775" w14:textId="77777777" w:rsidR="00046465" w:rsidRDefault="008134EB">
            <w:pPr>
              <w:pStyle w:val="TableParagraph"/>
              <w:spacing w:before="60"/>
              <w:ind w:left="146" w:right="329" w:hanging="1"/>
              <w:rPr>
                <w:b/>
              </w:rPr>
            </w:pPr>
            <w:r>
              <w:rPr>
                <w:b/>
                <w:spacing w:val="-4"/>
              </w:rPr>
              <w:t>Doc. ref.</w:t>
            </w:r>
          </w:p>
        </w:tc>
      </w:tr>
      <w:tr w:rsidR="00046465" w14:paraId="0DFDB77A" w14:textId="77777777">
        <w:trPr>
          <w:trHeight w:val="1554"/>
        </w:trPr>
        <w:tc>
          <w:tcPr>
            <w:tcW w:w="7286" w:type="dxa"/>
            <w:tcBorders>
              <w:bottom w:val="single" w:sz="6" w:space="0" w:color="000000"/>
              <w:right w:val="single" w:sz="6" w:space="0" w:color="000000"/>
            </w:tcBorders>
          </w:tcPr>
          <w:p w14:paraId="0DFDB777" w14:textId="77777777" w:rsidR="00046465" w:rsidRDefault="008134EB">
            <w:pPr>
              <w:pStyle w:val="TableParagraph"/>
              <w:spacing w:before="144"/>
              <w:ind w:left="489" w:right="138" w:hanging="360"/>
            </w:pPr>
            <w:r>
              <w:t>3.</w:t>
            </w:r>
            <w:r>
              <w:rPr>
                <w:spacing w:val="80"/>
              </w:rPr>
              <w:t xml:space="preserve"> </w:t>
            </w:r>
            <w:r>
              <w:t>Compare the actual amounts of recorded obligations and expenditures</w:t>
            </w:r>
            <w:r>
              <w:rPr>
                <w:spacing w:val="-5"/>
              </w:rPr>
              <w:t xml:space="preserve"> </w:t>
            </w:r>
            <w:r>
              <w:t>with</w:t>
            </w:r>
            <w:r>
              <w:rPr>
                <w:spacing w:val="-5"/>
              </w:rPr>
              <w:t xml:space="preserve"> </w:t>
            </w:r>
            <w:r>
              <w:t>the</w:t>
            </w:r>
            <w:r>
              <w:rPr>
                <w:spacing w:val="-5"/>
              </w:rPr>
              <w:t xml:space="preserve"> </w:t>
            </w:r>
            <w:r>
              <w:t>related</w:t>
            </w:r>
            <w:r>
              <w:rPr>
                <w:spacing w:val="-5"/>
              </w:rPr>
              <w:t xml:space="preserve"> </w:t>
            </w:r>
            <w:r>
              <w:t>appropriation</w:t>
            </w:r>
            <w:r>
              <w:rPr>
                <w:spacing w:val="-5"/>
              </w:rPr>
              <w:t xml:space="preserve"> </w:t>
            </w:r>
            <w:r>
              <w:t>or</w:t>
            </w:r>
            <w:r>
              <w:rPr>
                <w:spacing w:val="-5"/>
              </w:rPr>
              <w:t xml:space="preserve"> </w:t>
            </w:r>
            <w:r>
              <w:t>other</w:t>
            </w:r>
            <w:r>
              <w:rPr>
                <w:spacing w:val="-5"/>
              </w:rPr>
              <w:t xml:space="preserve"> </w:t>
            </w:r>
            <w:r>
              <w:t>budget</w:t>
            </w:r>
            <w:r>
              <w:rPr>
                <w:spacing w:val="-5"/>
              </w:rPr>
              <w:t xml:space="preserve"> </w:t>
            </w:r>
            <w:r>
              <w:t>authority listed in step 1. If the entity does not appear to have complied with the provision, then perform step 6. See FAM 803.01, Limitations on Excess Expenditures and Obligations.</w:t>
            </w:r>
          </w:p>
        </w:tc>
        <w:tc>
          <w:tcPr>
            <w:tcW w:w="1089" w:type="dxa"/>
            <w:tcBorders>
              <w:left w:val="single" w:sz="6" w:space="0" w:color="000000"/>
              <w:bottom w:val="single" w:sz="6" w:space="0" w:color="000000"/>
              <w:right w:val="single" w:sz="6" w:space="0" w:color="000000"/>
            </w:tcBorders>
          </w:tcPr>
          <w:p w14:paraId="0DFDB778" w14:textId="77777777" w:rsidR="00046465" w:rsidRDefault="00046465">
            <w:pPr>
              <w:pStyle w:val="TableParagraph"/>
              <w:rPr>
                <w:rFonts w:ascii="Times New Roman"/>
                <w:sz w:val="20"/>
              </w:rPr>
            </w:pPr>
          </w:p>
        </w:tc>
        <w:tc>
          <w:tcPr>
            <w:tcW w:w="985" w:type="dxa"/>
            <w:tcBorders>
              <w:left w:val="single" w:sz="6" w:space="0" w:color="000000"/>
              <w:bottom w:val="single" w:sz="6" w:space="0" w:color="000000"/>
            </w:tcBorders>
          </w:tcPr>
          <w:p w14:paraId="0DFDB779" w14:textId="77777777" w:rsidR="00046465" w:rsidRDefault="00046465">
            <w:pPr>
              <w:pStyle w:val="TableParagraph"/>
              <w:rPr>
                <w:rFonts w:ascii="Times New Roman"/>
                <w:sz w:val="20"/>
              </w:rPr>
            </w:pPr>
          </w:p>
        </w:tc>
      </w:tr>
      <w:tr w:rsidR="00046465" w14:paraId="0DFDB77E" w14:textId="77777777">
        <w:trPr>
          <w:trHeight w:val="1552"/>
        </w:trPr>
        <w:tc>
          <w:tcPr>
            <w:tcW w:w="7286" w:type="dxa"/>
            <w:tcBorders>
              <w:top w:val="single" w:sz="6" w:space="0" w:color="000000"/>
              <w:bottom w:val="single" w:sz="4" w:space="0" w:color="000000"/>
              <w:right w:val="single" w:sz="6" w:space="0" w:color="000000"/>
            </w:tcBorders>
          </w:tcPr>
          <w:p w14:paraId="0DFDB77B" w14:textId="77777777" w:rsidR="00046465" w:rsidRDefault="008134EB">
            <w:pPr>
              <w:pStyle w:val="TableParagraph"/>
              <w:spacing w:before="143"/>
              <w:ind w:left="489" w:right="138" w:hanging="360"/>
            </w:pPr>
            <w:r>
              <w:t>4.</w:t>
            </w:r>
            <w:r>
              <w:rPr>
                <w:spacing w:val="80"/>
              </w:rPr>
              <w:t xml:space="preserve"> </w:t>
            </w:r>
            <w:r>
              <w:t>Compare timing of legal obligations (contractual or otherwise) with available appropriation or other budget authority listed in step 1. If the</w:t>
            </w:r>
            <w:r>
              <w:rPr>
                <w:spacing w:val="-4"/>
              </w:rPr>
              <w:t xml:space="preserve"> </w:t>
            </w:r>
            <w:r>
              <w:t>entity</w:t>
            </w:r>
            <w:r>
              <w:rPr>
                <w:spacing w:val="-4"/>
              </w:rPr>
              <w:t xml:space="preserve"> </w:t>
            </w:r>
            <w:r>
              <w:t>does</w:t>
            </w:r>
            <w:r>
              <w:rPr>
                <w:spacing w:val="-4"/>
              </w:rPr>
              <w:t xml:space="preserve"> </w:t>
            </w:r>
            <w:r>
              <w:t>not</w:t>
            </w:r>
            <w:r>
              <w:rPr>
                <w:spacing w:val="-4"/>
              </w:rPr>
              <w:t xml:space="preserve"> </w:t>
            </w:r>
            <w:r>
              <w:t>appear</w:t>
            </w:r>
            <w:r>
              <w:rPr>
                <w:spacing w:val="-4"/>
              </w:rPr>
              <w:t xml:space="preserve"> </w:t>
            </w:r>
            <w:r>
              <w:t>to</w:t>
            </w:r>
            <w:r>
              <w:rPr>
                <w:spacing w:val="-4"/>
              </w:rPr>
              <w:t xml:space="preserve"> </w:t>
            </w:r>
            <w:r>
              <w:t>have</w:t>
            </w:r>
            <w:r>
              <w:rPr>
                <w:spacing w:val="-4"/>
              </w:rPr>
              <w:t xml:space="preserve"> </w:t>
            </w:r>
            <w:r>
              <w:t>complied</w:t>
            </w:r>
            <w:r>
              <w:rPr>
                <w:spacing w:val="-4"/>
              </w:rPr>
              <w:t xml:space="preserve"> </w:t>
            </w:r>
            <w:r>
              <w:t>with</w:t>
            </w:r>
            <w:r>
              <w:rPr>
                <w:spacing w:val="-4"/>
              </w:rPr>
              <w:t xml:space="preserve"> </w:t>
            </w:r>
            <w:r>
              <w:t>the</w:t>
            </w:r>
            <w:r>
              <w:rPr>
                <w:spacing w:val="-4"/>
              </w:rPr>
              <w:t xml:space="preserve"> </w:t>
            </w:r>
            <w:r>
              <w:t>provision,</w:t>
            </w:r>
            <w:r>
              <w:rPr>
                <w:spacing w:val="-4"/>
              </w:rPr>
              <w:t xml:space="preserve"> </w:t>
            </w:r>
            <w:r>
              <w:t>then perform step 6. See FAM 803.02, Limitations on Advance Contracting or Other Legal Obligations.</w:t>
            </w:r>
          </w:p>
        </w:tc>
        <w:tc>
          <w:tcPr>
            <w:tcW w:w="1089" w:type="dxa"/>
            <w:tcBorders>
              <w:top w:val="single" w:sz="6" w:space="0" w:color="000000"/>
              <w:left w:val="single" w:sz="6" w:space="0" w:color="000000"/>
              <w:bottom w:val="single" w:sz="4" w:space="0" w:color="000000"/>
              <w:right w:val="single" w:sz="6" w:space="0" w:color="000000"/>
            </w:tcBorders>
          </w:tcPr>
          <w:p w14:paraId="0DFDB77C" w14:textId="77777777" w:rsidR="00046465" w:rsidRDefault="00046465">
            <w:pPr>
              <w:pStyle w:val="TableParagraph"/>
              <w:rPr>
                <w:rFonts w:ascii="Times New Roman"/>
                <w:sz w:val="20"/>
              </w:rPr>
            </w:pPr>
          </w:p>
        </w:tc>
        <w:tc>
          <w:tcPr>
            <w:tcW w:w="985" w:type="dxa"/>
            <w:tcBorders>
              <w:top w:val="single" w:sz="6" w:space="0" w:color="000000"/>
              <w:left w:val="single" w:sz="6" w:space="0" w:color="000000"/>
              <w:bottom w:val="single" w:sz="4" w:space="0" w:color="000000"/>
            </w:tcBorders>
          </w:tcPr>
          <w:p w14:paraId="0DFDB77D" w14:textId="77777777" w:rsidR="00046465" w:rsidRDefault="00046465">
            <w:pPr>
              <w:pStyle w:val="TableParagraph"/>
              <w:rPr>
                <w:rFonts w:ascii="Times New Roman"/>
                <w:sz w:val="20"/>
              </w:rPr>
            </w:pPr>
          </w:p>
        </w:tc>
      </w:tr>
      <w:tr w:rsidR="00046465" w14:paraId="0DFDB782" w14:textId="77777777">
        <w:trPr>
          <w:trHeight w:val="2818"/>
        </w:trPr>
        <w:tc>
          <w:tcPr>
            <w:tcW w:w="7286" w:type="dxa"/>
            <w:tcBorders>
              <w:top w:val="single" w:sz="4" w:space="0" w:color="000000"/>
              <w:bottom w:val="single" w:sz="6" w:space="0" w:color="000000"/>
              <w:right w:val="single" w:sz="6" w:space="0" w:color="000000"/>
            </w:tcBorders>
          </w:tcPr>
          <w:p w14:paraId="0DFDB77F" w14:textId="77777777" w:rsidR="00046465" w:rsidRDefault="008134EB">
            <w:pPr>
              <w:pStyle w:val="TableParagraph"/>
              <w:spacing w:before="144"/>
              <w:ind w:left="461" w:right="158" w:hanging="332"/>
            </w:pPr>
            <w:r>
              <w:t>5.</w:t>
            </w:r>
            <w:r>
              <w:rPr>
                <w:spacing w:val="40"/>
              </w:rPr>
              <w:t xml:space="preserve"> </w:t>
            </w:r>
            <w:r>
              <w:t>Determine</w:t>
            </w:r>
            <w:r>
              <w:rPr>
                <w:spacing w:val="-4"/>
              </w:rPr>
              <w:t xml:space="preserve"> </w:t>
            </w:r>
            <w:r>
              <w:t>the</w:t>
            </w:r>
            <w:r>
              <w:rPr>
                <w:spacing w:val="-4"/>
              </w:rPr>
              <w:t xml:space="preserve"> </w:t>
            </w:r>
            <w:r>
              <w:t>entity’s</w:t>
            </w:r>
            <w:r>
              <w:rPr>
                <w:spacing w:val="-4"/>
              </w:rPr>
              <w:t xml:space="preserve"> </w:t>
            </w:r>
            <w:r>
              <w:t>legally</w:t>
            </w:r>
            <w:r>
              <w:rPr>
                <w:spacing w:val="-4"/>
              </w:rPr>
              <w:t xml:space="preserve"> </w:t>
            </w:r>
            <w:r>
              <w:t>binding</w:t>
            </w:r>
            <w:r>
              <w:rPr>
                <w:spacing w:val="-4"/>
              </w:rPr>
              <w:t xml:space="preserve"> </w:t>
            </w:r>
            <w:r>
              <w:t>level</w:t>
            </w:r>
            <w:r>
              <w:rPr>
                <w:spacing w:val="-5"/>
              </w:rPr>
              <w:t xml:space="preserve"> </w:t>
            </w:r>
            <w:r>
              <w:t>of</w:t>
            </w:r>
            <w:r>
              <w:rPr>
                <w:spacing w:val="-5"/>
              </w:rPr>
              <w:t xml:space="preserve"> </w:t>
            </w:r>
            <w:r>
              <w:t>budget</w:t>
            </w:r>
            <w:r>
              <w:rPr>
                <w:spacing w:val="-4"/>
              </w:rPr>
              <w:t xml:space="preserve"> </w:t>
            </w:r>
            <w:r>
              <w:t>authority</w:t>
            </w:r>
            <w:r>
              <w:rPr>
                <w:spacing w:val="-4"/>
              </w:rPr>
              <w:t xml:space="preserve"> </w:t>
            </w:r>
            <w:r>
              <w:t>(below the appropriation level) that was identified during the planning phase. This level is usually the apportionment level unless the entity has elected a lower level, such as allotments. Compare the amount of actual obligations and expenditures to the legally binding level of restrictions on budget authority identified for compliance testing (</w:t>
            </w:r>
            <w:r>
              <w:rPr>
                <w:u w:val="single"/>
              </w:rPr>
              <w:t>the</w:t>
            </w:r>
            <w:r>
              <w:t xml:space="preserve"> </w:t>
            </w:r>
            <w:r>
              <w:rPr>
                <w:u w:val="single"/>
              </w:rPr>
              <w:t>apportionment or allotment level</w:t>
            </w:r>
            <w:r>
              <w:t>). If the entity does not appear to have complied with the provision, then perform step 6. See FAM 803.03, Limitations on Excess Expenditures and Obligations</w:t>
            </w:r>
            <w:r>
              <w:rPr>
                <w:spacing w:val="40"/>
              </w:rPr>
              <w:t xml:space="preserve"> </w:t>
            </w:r>
            <w:r>
              <w:t>Related to Apportionments and Allotments.</w:t>
            </w:r>
          </w:p>
        </w:tc>
        <w:tc>
          <w:tcPr>
            <w:tcW w:w="1089" w:type="dxa"/>
            <w:tcBorders>
              <w:top w:val="single" w:sz="4" w:space="0" w:color="000000"/>
              <w:left w:val="single" w:sz="6" w:space="0" w:color="000000"/>
              <w:bottom w:val="single" w:sz="6" w:space="0" w:color="000000"/>
              <w:right w:val="single" w:sz="6" w:space="0" w:color="000000"/>
            </w:tcBorders>
          </w:tcPr>
          <w:p w14:paraId="0DFDB780" w14:textId="77777777" w:rsidR="00046465" w:rsidRDefault="00046465">
            <w:pPr>
              <w:pStyle w:val="TableParagraph"/>
              <w:rPr>
                <w:rFonts w:ascii="Times New Roman"/>
                <w:sz w:val="20"/>
              </w:rPr>
            </w:pPr>
          </w:p>
        </w:tc>
        <w:tc>
          <w:tcPr>
            <w:tcW w:w="985" w:type="dxa"/>
            <w:tcBorders>
              <w:top w:val="single" w:sz="4" w:space="0" w:color="000000"/>
              <w:left w:val="single" w:sz="6" w:space="0" w:color="000000"/>
              <w:bottom w:val="single" w:sz="6" w:space="0" w:color="000000"/>
            </w:tcBorders>
          </w:tcPr>
          <w:p w14:paraId="0DFDB781" w14:textId="77777777" w:rsidR="00046465" w:rsidRDefault="00046465">
            <w:pPr>
              <w:pStyle w:val="TableParagraph"/>
              <w:rPr>
                <w:rFonts w:ascii="Times New Roman"/>
                <w:sz w:val="20"/>
              </w:rPr>
            </w:pPr>
          </w:p>
        </w:tc>
      </w:tr>
      <w:tr w:rsidR="00046465" w14:paraId="0DFDB78A" w14:textId="77777777">
        <w:trPr>
          <w:trHeight w:val="4861"/>
        </w:trPr>
        <w:tc>
          <w:tcPr>
            <w:tcW w:w="7286" w:type="dxa"/>
            <w:tcBorders>
              <w:top w:val="single" w:sz="6" w:space="0" w:color="000000"/>
              <w:bottom w:val="single" w:sz="6" w:space="0" w:color="000000"/>
              <w:right w:val="single" w:sz="6" w:space="0" w:color="000000"/>
            </w:tcBorders>
          </w:tcPr>
          <w:p w14:paraId="0DFDB783" w14:textId="77777777" w:rsidR="00046465" w:rsidRDefault="008134EB">
            <w:pPr>
              <w:pStyle w:val="TableParagraph"/>
              <w:numPr>
                <w:ilvl w:val="0"/>
                <w:numId w:val="176"/>
              </w:numPr>
              <w:tabs>
                <w:tab w:val="left" w:pos="461"/>
                <w:tab w:val="left" w:pos="464"/>
              </w:tabs>
              <w:spacing w:before="143"/>
              <w:ind w:right="556" w:hanging="302"/>
            </w:pPr>
            <w:r>
              <w:t>If the entity does not appear to be in compliance based on the results</w:t>
            </w:r>
            <w:r>
              <w:rPr>
                <w:spacing w:val="-4"/>
              </w:rPr>
              <w:t xml:space="preserve"> </w:t>
            </w:r>
            <w:r>
              <w:t>of</w:t>
            </w:r>
            <w:r>
              <w:rPr>
                <w:spacing w:val="-4"/>
              </w:rPr>
              <w:t xml:space="preserve"> </w:t>
            </w:r>
            <w:r>
              <w:t>tests</w:t>
            </w:r>
            <w:r>
              <w:rPr>
                <w:spacing w:val="-4"/>
              </w:rPr>
              <w:t xml:space="preserve"> </w:t>
            </w:r>
            <w:r>
              <w:t>performed,</w:t>
            </w:r>
            <w:r>
              <w:rPr>
                <w:spacing w:val="-4"/>
              </w:rPr>
              <w:t xml:space="preserve"> </w:t>
            </w:r>
            <w:r>
              <w:t>discuss</w:t>
            </w:r>
            <w:r>
              <w:rPr>
                <w:spacing w:val="-4"/>
              </w:rPr>
              <w:t xml:space="preserve"> </w:t>
            </w:r>
            <w:r>
              <w:t>these</w:t>
            </w:r>
            <w:r>
              <w:rPr>
                <w:spacing w:val="-4"/>
              </w:rPr>
              <w:t xml:space="preserve"> </w:t>
            </w:r>
            <w:r>
              <w:t>matters</w:t>
            </w:r>
            <w:r>
              <w:rPr>
                <w:spacing w:val="-4"/>
              </w:rPr>
              <w:t xml:space="preserve"> </w:t>
            </w:r>
            <w:r>
              <w:t>with</w:t>
            </w:r>
            <w:r>
              <w:rPr>
                <w:spacing w:val="-4"/>
              </w:rPr>
              <w:t xml:space="preserve"> </w:t>
            </w:r>
            <w:r>
              <w:t>OGC</w:t>
            </w:r>
            <w:r>
              <w:rPr>
                <w:spacing w:val="-5"/>
              </w:rPr>
              <w:t xml:space="preserve"> </w:t>
            </w:r>
            <w:r>
              <w:t>and, when appropriate, the Special Investigator Unit to conclude if noncompliance actually occurred and the implications of such noncompliance. For any noncompliance noted,</w:t>
            </w:r>
          </w:p>
          <w:p w14:paraId="0DFDB784" w14:textId="77777777" w:rsidR="00046465" w:rsidRDefault="008134EB">
            <w:pPr>
              <w:pStyle w:val="TableParagraph"/>
              <w:numPr>
                <w:ilvl w:val="1"/>
                <w:numId w:val="176"/>
              </w:numPr>
              <w:tabs>
                <w:tab w:val="left" w:pos="850"/>
              </w:tabs>
              <w:spacing w:before="144"/>
              <w:ind w:right="265" w:hanging="361"/>
            </w:pPr>
            <w:r>
              <w:t>identify</w:t>
            </w:r>
            <w:r>
              <w:rPr>
                <w:spacing w:val="-6"/>
              </w:rPr>
              <w:t xml:space="preserve"> </w:t>
            </w:r>
            <w:r>
              <w:t>the</w:t>
            </w:r>
            <w:r>
              <w:rPr>
                <w:spacing w:val="-7"/>
              </w:rPr>
              <w:t xml:space="preserve"> </w:t>
            </w:r>
            <w:r>
              <w:t>control</w:t>
            </w:r>
            <w:r>
              <w:rPr>
                <w:spacing w:val="-6"/>
              </w:rPr>
              <w:t xml:space="preserve"> </w:t>
            </w:r>
            <w:r>
              <w:t>deficiencies</w:t>
            </w:r>
            <w:r>
              <w:rPr>
                <w:spacing w:val="-5"/>
              </w:rPr>
              <w:t xml:space="preserve"> </w:t>
            </w:r>
            <w:r>
              <w:t>that</w:t>
            </w:r>
            <w:r>
              <w:rPr>
                <w:spacing w:val="-7"/>
              </w:rPr>
              <w:t xml:space="preserve"> </w:t>
            </w:r>
            <w:r>
              <w:t>allowed</w:t>
            </w:r>
            <w:r>
              <w:rPr>
                <w:spacing w:val="-6"/>
              </w:rPr>
              <w:t xml:space="preserve"> </w:t>
            </w:r>
            <w:r>
              <w:t>the</w:t>
            </w:r>
            <w:r>
              <w:rPr>
                <w:spacing w:val="-7"/>
              </w:rPr>
              <w:t xml:space="preserve"> </w:t>
            </w:r>
            <w:r>
              <w:t>noncompliance to occur, if not previously identified during control testing;</w:t>
            </w:r>
          </w:p>
          <w:p w14:paraId="0DFDB785" w14:textId="77777777" w:rsidR="00046465" w:rsidRDefault="008134EB">
            <w:pPr>
              <w:pStyle w:val="TableParagraph"/>
              <w:numPr>
                <w:ilvl w:val="1"/>
                <w:numId w:val="176"/>
              </w:numPr>
              <w:tabs>
                <w:tab w:val="left" w:pos="849"/>
              </w:tabs>
              <w:spacing w:before="142"/>
              <w:ind w:left="849" w:right="378"/>
            </w:pPr>
            <w:r>
              <w:t>determine the impact on the report on internal control over financial</w:t>
            </w:r>
            <w:r>
              <w:rPr>
                <w:spacing w:val="-5"/>
              </w:rPr>
              <w:t xml:space="preserve"> </w:t>
            </w:r>
            <w:r>
              <w:t>reporting</w:t>
            </w:r>
            <w:r>
              <w:rPr>
                <w:spacing w:val="-5"/>
              </w:rPr>
              <w:t xml:space="preserve"> </w:t>
            </w:r>
            <w:r>
              <w:t>(see</w:t>
            </w:r>
            <w:r>
              <w:rPr>
                <w:spacing w:val="-5"/>
              </w:rPr>
              <w:t xml:space="preserve"> </w:t>
            </w:r>
            <w:r>
              <w:t>the</w:t>
            </w:r>
            <w:r>
              <w:rPr>
                <w:spacing w:val="-5"/>
              </w:rPr>
              <w:t xml:space="preserve"> </w:t>
            </w:r>
            <w:r>
              <w:t>Internal</w:t>
            </w:r>
            <w:r>
              <w:rPr>
                <w:spacing w:val="-6"/>
              </w:rPr>
              <w:t xml:space="preserve"> </w:t>
            </w:r>
            <w:r>
              <w:t>Control</w:t>
            </w:r>
            <w:r>
              <w:rPr>
                <w:spacing w:val="-5"/>
              </w:rPr>
              <w:t xml:space="preserve"> </w:t>
            </w:r>
            <w:r>
              <w:t>subsection</w:t>
            </w:r>
            <w:r>
              <w:rPr>
                <w:spacing w:val="-5"/>
              </w:rPr>
              <w:t xml:space="preserve"> </w:t>
            </w:r>
            <w:r>
              <w:t>in</w:t>
            </w:r>
            <w:r>
              <w:rPr>
                <w:spacing w:val="-5"/>
              </w:rPr>
              <w:t xml:space="preserve"> </w:t>
            </w:r>
            <w:r>
              <w:t xml:space="preserve">FAM </w:t>
            </w:r>
            <w:r>
              <w:rPr>
                <w:spacing w:val="-2"/>
              </w:rPr>
              <w:t>580);</w:t>
            </w:r>
          </w:p>
          <w:p w14:paraId="0DFDB786" w14:textId="77777777" w:rsidR="00046465" w:rsidRDefault="008134EB">
            <w:pPr>
              <w:pStyle w:val="TableParagraph"/>
              <w:numPr>
                <w:ilvl w:val="1"/>
                <w:numId w:val="176"/>
              </w:numPr>
              <w:tabs>
                <w:tab w:val="left" w:pos="849"/>
              </w:tabs>
              <w:spacing w:before="143"/>
              <w:ind w:left="849"/>
            </w:pPr>
            <w:r>
              <w:t>consider</w:t>
            </w:r>
            <w:r>
              <w:rPr>
                <w:spacing w:val="-8"/>
              </w:rPr>
              <w:t xml:space="preserve"> </w:t>
            </w:r>
            <w:r>
              <w:t>the</w:t>
            </w:r>
            <w:r>
              <w:rPr>
                <w:spacing w:val="-9"/>
              </w:rPr>
              <w:t xml:space="preserve"> </w:t>
            </w:r>
            <w:r>
              <w:t>implications</w:t>
            </w:r>
            <w:r>
              <w:rPr>
                <w:spacing w:val="-8"/>
              </w:rPr>
              <w:t xml:space="preserve"> </w:t>
            </w:r>
            <w:r>
              <w:t>on</w:t>
            </w:r>
            <w:r>
              <w:rPr>
                <w:spacing w:val="-8"/>
              </w:rPr>
              <w:t xml:space="preserve"> </w:t>
            </w:r>
            <w:r>
              <w:t>the</w:t>
            </w:r>
            <w:r>
              <w:rPr>
                <w:spacing w:val="-7"/>
              </w:rPr>
              <w:t xml:space="preserve"> </w:t>
            </w:r>
            <w:r>
              <w:t>financial</w:t>
            </w:r>
            <w:r>
              <w:rPr>
                <w:spacing w:val="-8"/>
              </w:rPr>
              <w:t xml:space="preserve"> </w:t>
            </w:r>
            <w:r>
              <w:t>statements;</w:t>
            </w:r>
            <w:r>
              <w:rPr>
                <w:spacing w:val="-7"/>
              </w:rPr>
              <w:t xml:space="preserve"> </w:t>
            </w:r>
            <w:r>
              <w:rPr>
                <w:spacing w:val="-5"/>
              </w:rPr>
              <w:t>and</w:t>
            </w:r>
          </w:p>
          <w:p w14:paraId="0DFDB787" w14:textId="77777777" w:rsidR="00046465" w:rsidRDefault="008134EB">
            <w:pPr>
              <w:pStyle w:val="TableParagraph"/>
              <w:numPr>
                <w:ilvl w:val="1"/>
                <w:numId w:val="176"/>
              </w:numPr>
              <w:tabs>
                <w:tab w:val="left" w:pos="849"/>
              </w:tabs>
              <w:spacing w:before="142"/>
              <w:ind w:left="849" w:right="476"/>
            </w:pPr>
            <w:r>
              <w:t>report instances of noncompliance (see the Compliance with Applicable Laws, Regulations, Contracts, and Grant Agreements</w:t>
            </w:r>
            <w:r>
              <w:rPr>
                <w:spacing w:val="-5"/>
              </w:rPr>
              <w:t xml:space="preserve"> </w:t>
            </w:r>
            <w:r>
              <w:t>and</w:t>
            </w:r>
            <w:r>
              <w:rPr>
                <w:spacing w:val="-5"/>
              </w:rPr>
              <w:t xml:space="preserve"> </w:t>
            </w:r>
            <w:r>
              <w:t>Instances</w:t>
            </w:r>
            <w:r>
              <w:rPr>
                <w:spacing w:val="-5"/>
              </w:rPr>
              <w:t xml:space="preserve"> </w:t>
            </w:r>
            <w:r>
              <w:t>of</w:t>
            </w:r>
            <w:r>
              <w:rPr>
                <w:spacing w:val="-5"/>
              </w:rPr>
              <w:t xml:space="preserve"> </w:t>
            </w:r>
            <w:r>
              <w:t>Fraud</w:t>
            </w:r>
            <w:r>
              <w:rPr>
                <w:spacing w:val="-6"/>
              </w:rPr>
              <w:t xml:space="preserve"> </w:t>
            </w:r>
            <w:r>
              <w:t>subsection</w:t>
            </w:r>
            <w:r>
              <w:rPr>
                <w:spacing w:val="-5"/>
              </w:rPr>
              <w:t xml:space="preserve"> </w:t>
            </w:r>
            <w:r>
              <w:t>in</w:t>
            </w:r>
            <w:r>
              <w:rPr>
                <w:spacing w:val="-5"/>
              </w:rPr>
              <w:t xml:space="preserve"> </w:t>
            </w:r>
            <w:r>
              <w:t>FAM</w:t>
            </w:r>
            <w:r>
              <w:rPr>
                <w:spacing w:val="-6"/>
              </w:rPr>
              <w:t xml:space="preserve"> </w:t>
            </w:r>
            <w:r>
              <w:t>580).</w:t>
            </w:r>
          </w:p>
        </w:tc>
        <w:tc>
          <w:tcPr>
            <w:tcW w:w="1089" w:type="dxa"/>
            <w:tcBorders>
              <w:top w:val="single" w:sz="6" w:space="0" w:color="000000"/>
              <w:left w:val="single" w:sz="6" w:space="0" w:color="000000"/>
              <w:bottom w:val="single" w:sz="6" w:space="0" w:color="000000"/>
              <w:right w:val="single" w:sz="6" w:space="0" w:color="000000"/>
            </w:tcBorders>
          </w:tcPr>
          <w:p w14:paraId="0DFDB788" w14:textId="77777777" w:rsidR="00046465" w:rsidRDefault="00046465">
            <w:pPr>
              <w:pStyle w:val="TableParagraph"/>
              <w:rPr>
                <w:rFonts w:ascii="Times New Roman"/>
                <w:sz w:val="20"/>
              </w:rPr>
            </w:pPr>
          </w:p>
        </w:tc>
        <w:tc>
          <w:tcPr>
            <w:tcW w:w="985" w:type="dxa"/>
            <w:tcBorders>
              <w:top w:val="single" w:sz="6" w:space="0" w:color="000000"/>
              <w:left w:val="single" w:sz="6" w:space="0" w:color="000000"/>
              <w:bottom w:val="single" w:sz="6" w:space="0" w:color="000000"/>
            </w:tcBorders>
          </w:tcPr>
          <w:p w14:paraId="0DFDB789" w14:textId="77777777" w:rsidR="00046465" w:rsidRDefault="00046465">
            <w:pPr>
              <w:pStyle w:val="TableParagraph"/>
              <w:rPr>
                <w:rFonts w:ascii="Times New Roman"/>
                <w:sz w:val="20"/>
              </w:rPr>
            </w:pPr>
          </w:p>
        </w:tc>
      </w:tr>
    </w:tbl>
    <w:p w14:paraId="0DFDB78B" w14:textId="77777777" w:rsidR="00046465" w:rsidRDefault="00046465">
      <w:pPr>
        <w:pStyle w:val="TableParagraph"/>
        <w:rPr>
          <w:rFonts w:ascii="Times New Roman"/>
          <w:sz w:val="20"/>
        </w:rPr>
        <w:sectPr w:rsidR="00046465">
          <w:pgSz w:w="12240" w:h="15840"/>
          <w:pgMar w:top="1380" w:right="1080" w:bottom="940" w:left="1080" w:header="721" w:footer="742" w:gutter="0"/>
          <w:cols w:space="720"/>
        </w:sectPr>
      </w:pPr>
    </w:p>
    <w:p w14:paraId="0DFDB78C" w14:textId="77777777" w:rsidR="00046465" w:rsidRDefault="00046465">
      <w:pPr>
        <w:pStyle w:val="BodyText"/>
        <w:spacing w:before="4" w:after="1"/>
        <w:rPr>
          <w:sz w:val="8"/>
        </w:rPr>
      </w:pPr>
    </w:p>
    <w:tbl>
      <w:tblPr>
        <w:tblW w:w="0" w:type="auto"/>
        <w:tblInd w:w="38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288"/>
        <w:gridCol w:w="1089"/>
        <w:gridCol w:w="983"/>
      </w:tblGrid>
      <w:tr w:rsidR="00046465" w14:paraId="0DFDB78E" w14:textId="77777777">
        <w:trPr>
          <w:trHeight w:val="1335"/>
        </w:trPr>
        <w:tc>
          <w:tcPr>
            <w:tcW w:w="9360" w:type="dxa"/>
            <w:gridSpan w:val="3"/>
          </w:tcPr>
          <w:p w14:paraId="0DFDB78D" w14:textId="77777777" w:rsidR="00046465" w:rsidRDefault="008134EB">
            <w:pPr>
              <w:pStyle w:val="TableParagraph"/>
              <w:tabs>
                <w:tab w:val="left" w:pos="8946"/>
              </w:tabs>
              <w:spacing w:before="7" w:line="390" w:lineRule="atLeast"/>
              <w:ind w:left="133" w:right="365" w:hanging="1"/>
              <w:jc w:val="both"/>
            </w:pPr>
            <w:r>
              <w:t>Name of entity:</w:t>
            </w:r>
            <w:r>
              <w:rPr>
                <w:spacing w:val="177"/>
              </w:rPr>
              <w:t xml:space="preserve"> </w:t>
            </w:r>
            <w:r>
              <w:rPr>
                <w:u w:val="single"/>
              </w:rPr>
              <w:tab/>
            </w:r>
            <w:r>
              <w:t xml:space="preserve"> Audit period:</w:t>
            </w:r>
            <w:r>
              <w:rPr>
                <w:spacing w:val="179"/>
              </w:rPr>
              <w:t xml:space="preserve"> </w:t>
            </w:r>
            <w:r>
              <w:rPr>
                <w:u w:val="single"/>
              </w:rPr>
              <w:tab/>
            </w:r>
            <w:r>
              <w:t xml:space="preserve"> Reviewed by:</w:t>
            </w:r>
            <w:r>
              <w:rPr>
                <w:spacing w:val="92"/>
              </w:rPr>
              <w:t xml:space="preserve"> </w:t>
            </w:r>
            <w:r>
              <w:rPr>
                <w:u w:val="single"/>
              </w:rPr>
              <w:tab/>
            </w:r>
          </w:p>
        </w:tc>
      </w:tr>
      <w:tr w:rsidR="00046465" w14:paraId="0DFDB793" w14:textId="77777777">
        <w:trPr>
          <w:trHeight w:val="625"/>
        </w:trPr>
        <w:tc>
          <w:tcPr>
            <w:tcW w:w="7288" w:type="dxa"/>
            <w:tcBorders>
              <w:right w:val="single" w:sz="6" w:space="0" w:color="000000"/>
            </w:tcBorders>
          </w:tcPr>
          <w:p w14:paraId="0DFDB78F" w14:textId="77777777" w:rsidR="00046465" w:rsidRDefault="00046465">
            <w:pPr>
              <w:pStyle w:val="TableParagraph"/>
              <w:spacing w:before="60"/>
            </w:pPr>
          </w:p>
          <w:p w14:paraId="0DFDB790" w14:textId="77777777" w:rsidR="00046465" w:rsidRDefault="008134EB">
            <w:pPr>
              <w:pStyle w:val="TableParagraph"/>
              <w:ind w:left="132"/>
              <w:rPr>
                <w:b/>
              </w:rPr>
            </w:pPr>
            <w:r>
              <w:rPr>
                <w:b/>
              </w:rPr>
              <w:t>Audit</w:t>
            </w:r>
            <w:r>
              <w:rPr>
                <w:b/>
                <w:spacing w:val="-7"/>
              </w:rPr>
              <w:t xml:space="preserve"> </w:t>
            </w:r>
            <w:r>
              <w:rPr>
                <w:b/>
                <w:spacing w:val="-2"/>
              </w:rPr>
              <w:t>procedures</w:t>
            </w:r>
          </w:p>
        </w:tc>
        <w:tc>
          <w:tcPr>
            <w:tcW w:w="1089" w:type="dxa"/>
            <w:tcBorders>
              <w:left w:val="single" w:sz="6" w:space="0" w:color="000000"/>
              <w:right w:val="single" w:sz="6" w:space="0" w:color="000000"/>
            </w:tcBorders>
          </w:tcPr>
          <w:p w14:paraId="0DFDB791" w14:textId="77777777" w:rsidR="00046465" w:rsidRDefault="008134EB">
            <w:pPr>
              <w:pStyle w:val="TableParagraph"/>
              <w:spacing w:before="60"/>
              <w:ind w:left="146"/>
              <w:rPr>
                <w:b/>
              </w:rPr>
            </w:pPr>
            <w:r>
              <w:rPr>
                <w:b/>
                <w:spacing w:val="-2"/>
              </w:rPr>
              <w:t xml:space="preserve">Initials/ </w:t>
            </w:r>
            <w:r>
              <w:rPr>
                <w:b/>
                <w:spacing w:val="-4"/>
              </w:rPr>
              <w:t>date</w:t>
            </w:r>
          </w:p>
        </w:tc>
        <w:tc>
          <w:tcPr>
            <w:tcW w:w="983" w:type="dxa"/>
            <w:tcBorders>
              <w:left w:val="single" w:sz="6" w:space="0" w:color="000000"/>
            </w:tcBorders>
          </w:tcPr>
          <w:p w14:paraId="0DFDB792" w14:textId="77777777" w:rsidR="00046465" w:rsidRDefault="008134EB">
            <w:pPr>
              <w:pStyle w:val="TableParagraph"/>
              <w:spacing w:before="60"/>
              <w:ind w:left="147" w:right="327" w:hanging="1"/>
              <w:rPr>
                <w:b/>
              </w:rPr>
            </w:pPr>
            <w:r>
              <w:rPr>
                <w:b/>
                <w:spacing w:val="-4"/>
              </w:rPr>
              <w:t>Doc. ref.</w:t>
            </w:r>
          </w:p>
        </w:tc>
      </w:tr>
      <w:tr w:rsidR="00046465" w14:paraId="0DFDB79A" w14:textId="77777777">
        <w:trPr>
          <w:trHeight w:val="2368"/>
        </w:trPr>
        <w:tc>
          <w:tcPr>
            <w:tcW w:w="7288" w:type="dxa"/>
            <w:tcBorders>
              <w:left w:val="double" w:sz="8" w:space="0" w:color="000000"/>
              <w:bottom w:val="single" w:sz="4" w:space="0" w:color="000000"/>
              <w:right w:val="single" w:sz="8" w:space="0" w:color="000000"/>
            </w:tcBorders>
          </w:tcPr>
          <w:p w14:paraId="0DFDB794" w14:textId="77777777" w:rsidR="00046465" w:rsidRDefault="008134EB">
            <w:pPr>
              <w:pStyle w:val="TableParagraph"/>
              <w:numPr>
                <w:ilvl w:val="0"/>
                <w:numId w:val="175"/>
              </w:numPr>
              <w:tabs>
                <w:tab w:val="left" w:pos="456"/>
              </w:tabs>
              <w:spacing w:before="60"/>
              <w:ind w:right="271" w:hanging="361"/>
            </w:pPr>
            <w:r>
              <w:t>Contact the entity office responsible for submitting Antideficiency Act</w:t>
            </w:r>
            <w:r>
              <w:rPr>
                <w:spacing w:val="-4"/>
              </w:rPr>
              <w:t xml:space="preserve"> </w:t>
            </w:r>
            <w:r>
              <w:t>(ADA)</w:t>
            </w:r>
            <w:r>
              <w:rPr>
                <w:spacing w:val="-4"/>
              </w:rPr>
              <w:t xml:space="preserve"> </w:t>
            </w:r>
            <w:r>
              <w:t>violations</w:t>
            </w:r>
            <w:r>
              <w:rPr>
                <w:spacing w:val="-4"/>
              </w:rPr>
              <w:t xml:space="preserve"> </w:t>
            </w:r>
            <w:r>
              <w:t>to</w:t>
            </w:r>
            <w:r>
              <w:rPr>
                <w:spacing w:val="-4"/>
              </w:rPr>
              <w:t xml:space="preserve"> </w:t>
            </w:r>
            <w:r>
              <w:t>the</w:t>
            </w:r>
            <w:r>
              <w:rPr>
                <w:spacing w:val="-4"/>
              </w:rPr>
              <w:t xml:space="preserve"> </w:t>
            </w:r>
            <w:r>
              <w:t>President,</w:t>
            </w:r>
            <w:r>
              <w:rPr>
                <w:spacing w:val="-4"/>
              </w:rPr>
              <w:t xml:space="preserve"> </w:t>
            </w:r>
            <w:r>
              <w:t>the</w:t>
            </w:r>
            <w:r>
              <w:rPr>
                <w:spacing w:val="-4"/>
              </w:rPr>
              <w:t xml:space="preserve"> </w:t>
            </w:r>
            <w:r>
              <w:t>Congress,</w:t>
            </w:r>
            <w:r>
              <w:rPr>
                <w:spacing w:val="-4"/>
              </w:rPr>
              <w:t xml:space="preserve"> </w:t>
            </w:r>
            <w:r>
              <w:t>and</w:t>
            </w:r>
            <w:r>
              <w:rPr>
                <w:spacing w:val="-4"/>
              </w:rPr>
              <w:t xml:space="preserve"> </w:t>
            </w:r>
            <w:r>
              <w:t>GAO,</w:t>
            </w:r>
            <w:r>
              <w:rPr>
                <w:spacing w:val="-4"/>
              </w:rPr>
              <w:t xml:space="preserve"> </w:t>
            </w:r>
            <w:r>
              <w:t>and do the following:</w:t>
            </w:r>
          </w:p>
          <w:p w14:paraId="0DFDB795" w14:textId="77777777" w:rsidR="00046465" w:rsidRDefault="008134EB">
            <w:pPr>
              <w:pStyle w:val="TableParagraph"/>
              <w:numPr>
                <w:ilvl w:val="1"/>
                <w:numId w:val="175"/>
              </w:numPr>
              <w:tabs>
                <w:tab w:val="left" w:pos="820"/>
              </w:tabs>
              <w:spacing w:before="60"/>
            </w:pPr>
            <w:r>
              <w:t>obtain</w:t>
            </w:r>
            <w:r>
              <w:rPr>
                <w:spacing w:val="-5"/>
              </w:rPr>
              <w:t xml:space="preserve"> </w:t>
            </w:r>
            <w:r>
              <w:t>a</w:t>
            </w:r>
            <w:r>
              <w:rPr>
                <w:spacing w:val="-5"/>
              </w:rPr>
              <w:t xml:space="preserve"> </w:t>
            </w:r>
            <w:r>
              <w:t>listing</w:t>
            </w:r>
            <w:r>
              <w:rPr>
                <w:spacing w:val="-5"/>
              </w:rPr>
              <w:t xml:space="preserve"> </w:t>
            </w:r>
            <w:r>
              <w:t>of</w:t>
            </w:r>
            <w:r>
              <w:rPr>
                <w:spacing w:val="-5"/>
              </w:rPr>
              <w:t xml:space="preserve"> </w:t>
            </w:r>
            <w:r>
              <w:t>violations</w:t>
            </w:r>
            <w:r>
              <w:rPr>
                <w:spacing w:val="-5"/>
              </w:rPr>
              <w:t xml:space="preserve"> </w:t>
            </w:r>
            <w:r>
              <w:t>for</w:t>
            </w:r>
            <w:r>
              <w:rPr>
                <w:spacing w:val="-5"/>
              </w:rPr>
              <w:t xml:space="preserve"> </w:t>
            </w:r>
            <w:r>
              <w:t>the</w:t>
            </w:r>
            <w:r>
              <w:rPr>
                <w:spacing w:val="-5"/>
              </w:rPr>
              <w:t xml:space="preserve"> </w:t>
            </w:r>
            <w:r>
              <w:t>year</w:t>
            </w:r>
            <w:r>
              <w:rPr>
                <w:spacing w:val="-5"/>
              </w:rPr>
              <w:t xml:space="preserve"> </w:t>
            </w:r>
            <w:r>
              <w:t>under</w:t>
            </w:r>
            <w:r>
              <w:rPr>
                <w:spacing w:val="-5"/>
              </w:rPr>
              <w:t xml:space="preserve"> </w:t>
            </w:r>
            <w:r>
              <w:rPr>
                <w:spacing w:val="-2"/>
              </w:rPr>
              <w:t>audit;</w:t>
            </w:r>
          </w:p>
          <w:p w14:paraId="0DFDB796" w14:textId="77777777" w:rsidR="00046465" w:rsidRDefault="008134EB">
            <w:pPr>
              <w:pStyle w:val="TableParagraph"/>
              <w:numPr>
                <w:ilvl w:val="1"/>
                <w:numId w:val="175"/>
              </w:numPr>
              <w:tabs>
                <w:tab w:val="left" w:pos="820"/>
              </w:tabs>
              <w:spacing w:before="58"/>
              <w:ind w:right="236"/>
            </w:pPr>
            <w:r>
              <w:t>inquire</w:t>
            </w:r>
            <w:r>
              <w:rPr>
                <w:spacing w:val="-4"/>
              </w:rPr>
              <w:t xml:space="preserve"> </w:t>
            </w:r>
            <w:r>
              <w:t>if</w:t>
            </w:r>
            <w:r>
              <w:rPr>
                <w:spacing w:val="-4"/>
              </w:rPr>
              <w:t xml:space="preserve"> </w:t>
            </w:r>
            <w:r>
              <w:t>all</w:t>
            </w:r>
            <w:r>
              <w:rPr>
                <w:spacing w:val="-5"/>
              </w:rPr>
              <w:t xml:space="preserve"> </w:t>
            </w:r>
            <w:r>
              <w:t>known</w:t>
            </w:r>
            <w:r>
              <w:rPr>
                <w:spacing w:val="-4"/>
              </w:rPr>
              <w:t xml:space="preserve"> </w:t>
            </w:r>
            <w:r>
              <w:t>violations</w:t>
            </w:r>
            <w:r>
              <w:rPr>
                <w:spacing w:val="-4"/>
              </w:rPr>
              <w:t xml:space="preserve"> </w:t>
            </w:r>
            <w:r>
              <w:t>have</w:t>
            </w:r>
            <w:r>
              <w:rPr>
                <w:spacing w:val="-4"/>
              </w:rPr>
              <w:t xml:space="preserve"> </w:t>
            </w:r>
            <w:r>
              <w:t>been</w:t>
            </w:r>
            <w:r>
              <w:rPr>
                <w:spacing w:val="-4"/>
              </w:rPr>
              <w:t xml:space="preserve"> </w:t>
            </w:r>
            <w:r>
              <w:t>included</w:t>
            </w:r>
            <w:r>
              <w:rPr>
                <w:spacing w:val="-4"/>
              </w:rPr>
              <w:t xml:space="preserve"> </w:t>
            </w:r>
            <w:r>
              <w:t>on</w:t>
            </w:r>
            <w:r>
              <w:rPr>
                <w:spacing w:val="-3"/>
              </w:rPr>
              <w:t xml:space="preserve"> </w:t>
            </w:r>
            <w:r>
              <w:t>the</w:t>
            </w:r>
            <w:r>
              <w:rPr>
                <w:spacing w:val="-4"/>
              </w:rPr>
              <w:t xml:space="preserve"> </w:t>
            </w:r>
            <w:r>
              <w:t>list</w:t>
            </w:r>
            <w:r>
              <w:rPr>
                <w:spacing w:val="-5"/>
              </w:rPr>
              <w:t xml:space="preserve"> </w:t>
            </w:r>
            <w:r>
              <w:t>and reported; and</w:t>
            </w:r>
          </w:p>
          <w:p w14:paraId="0DFDB797" w14:textId="77777777" w:rsidR="00046465" w:rsidRDefault="008134EB">
            <w:pPr>
              <w:pStyle w:val="TableParagraph"/>
              <w:numPr>
                <w:ilvl w:val="1"/>
                <w:numId w:val="175"/>
              </w:numPr>
              <w:tabs>
                <w:tab w:val="left" w:pos="820"/>
              </w:tabs>
              <w:spacing w:before="59"/>
              <w:ind w:right="188"/>
            </w:pPr>
            <w:r>
              <w:t>for</w:t>
            </w:r>
            <w:r>
              <w:rPr>
                <w:spacing w:val="-4"/>
              </w:rPr>
              <w:t xml:space="preserve"> </w:t>
            </w:r>
            <w:r>
              <w:t>each</w:t>
            </w:r>
            <w:r>
              <w:rPr>
                <w:spacing w:val="-4"/>
              </w:rPr>
              <w:t xml:space="preserve"> </w:t>
            </w:r>
            <w:r>
              <w:t>ADA</w:t>
            </w:r>
            <w:r>
              <w:rPr>
                <w:spacing w:val="-4"/>
              </w:rPr>
              <w:t xml:space="preserve"> </w:t>
            </w:r>
            <w:r>
              <w:t>violation,</w:t>
            </w:r>
            <w:r>
              <w:rPr>
                <w:spacing w:val="-5"/>
              </w:rPr>
              <w:t xml:space="preserve"> </w:t>
            </w:r>
            <w:r>
              <w:t>determine</w:t>
            </w:r>
            <w:r>
              <w:rPr>
                <w:spacing w:val="-4"/>
              </w:rPr>
              <w:t xml:space="preserve"> </w:t>
            </w:r>
            <w:r>
              <w:t>whether</w:t>
            </w:r>
            <w:r>
              <w:rPr>
                <w:spacing w:val="-4"/>
              </w:rPr>
              <w:t xml:space="preserve"> </w:t>
            </w:r>
            <w:r>
              <w:t>it</w:t>
            </w:r>
            <w:r>
              <w:rPr>
                <w:spacing w:val="-4"/>
              </w:rPr>
              <w:t xml:space="preserve"> </w:t>
            </w:r>
            <w:r>
              <w:t>was</w:t>
            </w:r>
            <w:r>
              <w:rPr>
                <w:spacing w:val="-4"/>
              </w:rPr>
              <w:t xml:space="preserve"> </w:t>
            </w:r>
            <w:r>
              <w:t>reported</w:t>
            </w:r>
            <w:r>
              <w:rPr>
                <w:spacing w:val="-4"/>
              </w:rPr>
              <w:t xml:space="preserve"> </w:t>
            </w:r>
            <w:r>
              <w:t>to</w:t>
            </w:r>
            <w:r>
              <w:rPr>
                <w:spacing w:val="-4"/>
              </w:rPr>
              <w:t xml:space="preserve"> </w:t>
            </w:r>
            <w:r>
              <w:t>the President, the Congress, and GAO.</w:t>
            </w:r>
          </w:p>
        </w:tc>
        <w:tc>
          <w:tcPr>
            <w:tcW w:w="1089" w:type="dxa"/>
            <w:tcBorders>
              <w:left w:val="single" w:sz="8" w:space="0" w:color="000000"/>
              <w:bottom w:val="single" w:sz="4" w:space="0" w:color="000000"/>
              <w:right w:val="single" w:sz="8" w:space="0" w:color="000000"/>
            </w:tcBorders>
          </w:tcPr>
          <w:p w14:paraId="0DFDB798" w14:textId="77777777" w:rsidR="00046465" w:rsidRDefault="00046465">
            <w:pPr>
              <w:pStyle w:val="TableParagraph"/>
              <w:rPr>
                <w:rFonts w:ascii="Times New Roman"/>
                <w:sz w:val="20"/>
              </w:rPr>
            </w:pPr>
          </w:p>
        </w:tc>
        <w:tc>
          <w:tcPr>
            <w:tcW w:w="983" w:type="dxa"/>
            <w:tcBorders>
              <w:left w:val="single" w:sz="8" w:space="0" w:color="000000"/>
              <w:bottom w:val="single" w:sz="4" w:space="0" w:color="000000"/>
              <w:right w:val="double" w:sz="8" w:space="0" w:color="000000"/>
            </w:tcBorders>
          </w:tcPr>
          <w:p w14:paraId="0DFDB799" w14:textId="77777777" w:rsidR="00046465" w:rsidRDefault="00046465">
            <w:pPr>
              <w:pStyle w:val="TableParagraph"/>
              <w:rPr>
                <w:rFonts w:ascii="Times New Roman"/>
                <w:sz w:val="20"/>
              </w:rPr>
            </w:pPr>
          </w:p>
        </w:tc>
      </w:tr>
      <w:tr w:rsidR="00046465" w14:paraId="0DFDB79E" w14:textId="77777777">
        <w:trPr>
          <w:trHeight w:val="1637"/>
        </w:trPr>
        <w:tc>
          <w:tcPr>
            <w:tcW w:w="7288" w:type="dxa"/>
            <w:tcBorders>
              <w:top w:val="single" w:sz="4" w:space="0" w:color="000000"/>
              <w:left w:val="double" w:sz="8" w:space="0" w:color="000000"/>
              <w:bottom w:val="single" w:sz="4" w:space="0" w:color="000000"/>
              <w:right w:val="single" w:sz="8" w:space="0" w:color="000000"/>
            </w:tcBorders>
          </w:tcPr>
          <w:p w14:paraId="0DFDB79B" w14:textId="77777777" w:rsidR="00046465" w:rsidRDefault="008134EB">
            <w:pPr>
              <w:pStyle w:val="TableParagraph"/>
              <w:spacing w:before="60"/>
              <w:ind w:left="456" w:right="173" w:hanging="361"/>
            </w:pPr>
            <w:r>
              <w:t>8.</w:t>
            </w:r>
            <w:r>
              <w:rPr>
                <w:spacing w:val="40"/>
              </w:rPr>
              <w:t xml:space="preserve"> </w:t>
            </w:r>
            <w:r>
              <w:t xml:space="preserve">Check GAO’s ADA reporting web page: </w:t>
            </w:r>
            <w:hyperlink r:id="rId128">
              <w:r>
                <w:rPr>
                  <w:color w:val="0000FF"/>
                </w:rPr>
                <w:t>https://www.gao.gov/legal/appropriations-law/resources</w:t>
              </w:r>
            </w:hyperlink>
            <w:r>
              <w:rPr>
                <w:color w:val="0000FF"/>
              </w:rPr>
              <w:t xml:space="preserve"> </w:t>
            </w:r>
            <w:r>
              <w:t>(accessed May 29, 2026) to identify and obtain background about ADA violations reported by the entity and compare audit evidence with what</w:t>
            </w:r>
            <w:r>
              <w:rPr>
                <w:spacing w:val="-4"/>
              </w:rPr>
              <w:t xml:space="preserve"> </w:t>
            </w:r>
            <w:r>
              <w:t>the</w:t>
            </w:r>
            <w:r>
              <w:rPr>
                <w:spacing w:val="-4"/>
              </w:rPr>
              <w:t xml:space="preserve"> </w:t>
            </w:r>
            <w:r>
              <w:t>entity</w:t>
            </w:r>
            <w:r>
              <w:rPr>
                <w:spacing w:val="-4"/>
              </w:rPr>
              <w:t xml:space="preserve"> </w:t>
            </w:r>
            <w:r>
              <w:t>reported</w:t>
            </w:r>
            <w:r>
              <w:rPr>
                <w:spacing w:val="-4"/>
              </w:rPr>
              <w:t xml:space="preserve"> </w:t>
            </w:r>
            <w:r>
              <w:t>in</w:t>
            </w:r>
            <w:r>
              <w:rPr>
                <w:spacing w:val="-4"/>
              </w:rPr>
              <w:t xml:space="preserve"> </w:t>
            </w:r>
            <w:r>
              <w:t>ADA</w:t>
            </w:r>
            <w:r>
              <w:rPr>
                <w:spacing w:val="-4"/>
              </w:rPr>
              <w:t xml:space="preserve"> </w:t>
            </w:r>
            <w:r>
              <w:t>violation</w:t>
            </w:r>
            <w:r>
              <w:rPr>
                <w:spacing w:val="-4"/>
              </w:rPr>
              <w:t xml:space="preserve"> </w:t>
            </w:r>
            <w:r>
              <w:t>reports.</w:t>
            </w:r>
            <w:r>
              <w:rPr>
                <w:spacing w:val="-5"/>
              </w:rPr>
              <w:t xml:space="preserve"> </w:t>
            </w:r>
            <w:r>
              <w:t>There</w:t>
            </w:r>
            <w:r>
              <w:rPr>
                <w:spacing w:val="-4"/>
              </w:rPr>
              <w:t xml:space="preserve"> </w:t>
            </w:r>
            <w:r>
              <w:t>may</w:t>
            </w:r>
            <w:r>
              <w:rPr>
                <w:spacing w:val="-4"/>
              </w:rPr>
              <w:t xml:space="preserve"> </w:t>
            </w:r>
            <w:r>
              <w:t>be</w:t>
            </w:r>
            <w:r>
              <w:rPr>
                <w:spacing w:val="-4"/>
              </w:rPr>
              <w:t xml:space="preserve"> </w:t>
            </w:r>
            <w:r>
              <w:t>time lags as to when violations are reported, particularly at year-end.</w:t>
            </w:r>
          </w:p>
        </w:tc>
        <w:tc>
          <w:tcPr>
            <w:tcW w:w="1089" w:type="dxa"/>
            <w:tcBorders>
              <w:top w:val="single" w:sz="4" w:space="0" w:color="000000"/>
              <w:left w:val="single" w:sz="8" w:space="0" w:color="000000"/>
              <w:bottom w:val="single" w:sz="4" w:space="0" w:color="000000"/>
              <w:right w:val="single" w:sz="8" w:space="0" w:color="000000"/>
            </w:tcBorders>
          </w:tcPr>
          <w:p w14:paraId="0DFDB79C" w14:textId="77777777" w:rsidR="00046465" w:rsidRDefault="00046465">
            <w:pPr>
              <w:pStyle w:val="TableParagraph"/>
              <w:rPr>
                <w:rFonts w:ascii="Times New Roman"/>
                <w:sz w:val="20"/>
              </w:rPr>
            </w:pPr>
          </w:p>
        </w:tc>
        <w:tc>
          <w:tcPr>
            <w:tcW w:w="983" w:type="dxa"/>
            <w:tcBorders>
              <w:top w:val="single" w:sz="4" w:space="0" w:color="000000"/>
              <w:left w:val="single" w:sz="8" w:space="0" w:color="000000"/>
              <w:bottom w:val="single" w:sz="4" w:space="0" w:color="000000"/>
              <w:right w:val="double" w:sz="8" w:space="0" w:color="000000"/>
            </w:tcBorders>
          </w:tcPr>
          <w:p w14:paraId="0DFDB79D" w14:textId="77777777" w:rsidR="00046465" w:rsidRDefault="00046465">
            <w:pPr>
              <w:pStyle w:val="TableParagraph"/>
              <w:rPr>
                <w:rFonts w:ascii="Times New Roman"/>
                <w:sz w:val="20"/>
              </w:rPr>
            </w:pPr>
          </w:p>
        </w:tc>
      </w:tr>
      <w:tr w:rsidR="00046465" w14:paraId="0DFDB7A3" w14:textId="77777777">
        <w:trPr>
          <w:trHeight w:val="6758"/>
        </w:trPr>
        <w:tc>
          <w:tcPr>
            <w:tcW w:w="7288" w:type="dxa"/>
            <w:tcBorders>
              <w:top w:val="single" w:sz="4" w:space="0" w:color="000000"/>
              <w:right w:val="single" w:sz="8" w:space="0" w:color="000000"/>
            </w:tcBorders>
          </w:tcPr>
          <w:p w14:paraId="0DFDB79F" w14:textId="77777777" w:rsidR="00046465" w:rsidRDefault="008134EB">
            <w:pPr>
              <w:pStyle w:val="TableParagraph"/>
              <w:spacing w:before="60"/>
              <w:ind w:left="464" w:hanging="335"/>
            </w:pPr>
            <w:r>
              <w:t>9.</w:t>
            </w:r>
            <w:r>
              <w:rPr>
                <w:spacing w:val="40"/>
              </w:rPr>
              <w:t xml:space="preserve"> </w:t>
            </w:r>
            <w:r>
              <w:t>Document</w:t>
            </w:r>
            <w:r>
              <w:rPr>
                <w:spacing w:val="-4"/>
              </w:rPr>
              <w:t xml:space="preserve"> </w:t>
            </w:r>
            <w:r>
              <w:t>conclusions</w:t>
            </w:r>
            <w:r>
              <w:rPr>
                <w:spacing w:val="-4"/>
              </w:rPr>
              <w:t xml:space="preserve"> </w:t>
            </w:r>
            <w:r>
              <w:t>on</w:t>
            </w:r>
            <w:r>
              <w:rPr>
                <w:spacing w:val="-4"/>
              </w:rPr>
              <w:t xml:space="preserve"> </w:t>
            </w:r>
            <w:r>
              <w:t>compliance</w:t>
            </w:r>
            <w:r>
              <w:rPr>
                <w:spacing w:val="-4"/>
              </w:rPr>
              <w:t xml:space="preserve"> </w:t>
            </w:r>
            <w:r>
              <w:t>with</w:t>
            </w:r>
            <w:r>
              <w:rPr>
                <w:spacing w:val="-4"/>
              </w:rPr>
              <w:t xml:space="preserve"> </w:t>
            </w:r>
            <w:r>
              <w:t>each</w:t>
            </w:r>
            <w:r>
              <w:rPr>
                <w:spacing w:val="-4"/>
              </w:rPr>
              <w:t xml:space="preserve"> </w:t>
            </w:r>
            <w:r>
              <w:t>provision</w:t>
            </w:r>
            <w:r>
              <w:rPr>
                <w:spacing w:val="-4"/>
              </w:rPr>
              <w:t xml:space="preserve"> </w:t>
            </w:r>
            <w:r>
              <w:t>on</w:t>
            </w:r>
            <w:r>
              <w:rPr>
                <w:spacing w:val="-4"/>
              </w:rPr>
              <w:t xml:space="preserve"> </w:t>
            </w:r>
            <w:r>
              <w:t>Form 803, Compliance Summary.</w:t>
            </w:r>
          </w:p>
          <w:p w14:paraId="0DFDB7A0" w14:textId="77777777" w:rsidR="00046465" w:rsidRDefault="008134EB">
            <w:pPr>
              <w:pStyle w:val="TableParagraph"/>
              <w:spacing w:before="60"/>
              <w:ind w:left="437" w:right="146"/>
            </w:pPr>
            <w:r>
              <w:t>Note: The ADA requires that an entity report all violations to the President</w:t>
            </w:r>
            <w:r>
              <w:rPr>
                <w:spacing w:val="-5"/>
              </w:rPr>
              <w:t xml:space="preserve"> </w:t>
            </w:r>
            <w:r>
              <w:t>and</w:t>
            </w:r>
            <w:r>
              <w:rPr>
                <w:spacing w:val="-5"/>
              </w:rPr>
              <w:t xml:space="preserve"> </w:t>
            </w:r>
            <w:r>
              <w:t>the</w:t>
            </w:r>
            <w:r>
              <w:rPr>
                <w:spacing w:val="-5"/>
              </w:rPr>
              <w:t xml:space="preserve"> </w:t>
            </w:r>
            <w:r>
              <w:t>Congress</w:t>
            </w:r>
            <w:r>
              <w:rPr>
                <w:spacing w:val="-5"/>
              </w:rPr>
              <w:t xml:space="preserve"> </w:t>
            </w:r>
            <w:r>
              <w:t>and</w:t>
            </w:r>
            <w:r>
              <w:rPr>
                <w:spacing w:val="-5"/>
              </w:rPr>
              <w:t xml:space="preserve"> </w:t>
            </w:r>
            <w:r>
              <w:t>contemporaneously</w:t>
            </w:r>
            <w:r>
              <w:rPr>
                <w:spacing w:val="-5"/>
              </w:rPr>
              <w:t xml:space="preserve"> </w:t>
            </w:r>
            <w:r>
              <w:t>transmit</w:t>
            </w:r>
            <w:r>
              <w:rPr>
                <w:spacing w:val="-5"/>
              </w:rPr>
              <w:t xml:space="preserve"> </w:t>
            </w:r>
            <w:r>
              <w:t>a</w:t>
            </w:r>
            <w:r>
              <w:rPr>
                <w:spacing w:val="-5"/>
              </w:rPr>
              <w:t xml:space="preserve"> </w:t>
            </w:r>
            <w:r>
              <w:t xml:space="preserve">copy to GAO. Under implementing guidance in section 145 of OMB Circular No. A-11, </w:t>
            </w:r>
            <w:r>
              <w:rPr>
                <w:i/>
              </w:rPr>
              <w:t>Preparation, Submission and Execution of the Budget</w:t>
            </w:r>
            <w:r>
              <w:t>, entity heads must report all ADA violations by transmitting a letter to the President through the Director of OMB (with identical copies sent to the Congress and GAO), and the letter must set forth all the required information. Auditor’s judgment is required in determining the impact of these violations and whether these violations constitute reportable noncompliance. For example, if the auditor determines, based on quantitative and qualitative considerations,</w:t>
            </w:r>
            <w:r>
              <w:rPr>
                <w:spacing w:val="-2"/>
              </w:rPr>
              <w:t xml:space="preserve"> </w:t>
            </w:r>
            <w:r>
              <w:t>that</w:t>
            </w:r>
            <w:r>
              <w:rPr>
                <w:spacing w:val="-2"/>
              </w:rPr>
              <w:t xml:space="preserve"> </w:t>
            </w:r>
            <w:r>
              <w:t>an</w:t>
            </w:r>
            <w:r>
              <w:rPr>
                <w:spacing w:val="-3"/>
              </w:rPr>
              <w:t xml:space="preserve"> </w:t>
            </w:r>
            <w:r>
              <w:t>ADA</w:t>
            </w:r>
            <w:r>
              <w:rPr>
                <w:spacing w:val="-2"/>
              </w:rPr>
              <w:t xml:space="preserve"> </w:t>
            </w:r>
            <w:r>
              <w:t>violation</w:t>
            </w:r>
            <w:r>
              <w:rPr>
                <w:spacing w:val="-2"/>
              </w:rPr>
              <w:t xml:space="preserve"> </w:t>
            </w:r>
            <w:r>
              <w:t>does</w:t>
            </w:r>
            <w:r>
              <w:rPr>
                <w:spacing w:val="-2"/>
              </w:rPr>
              <w:t xml:space="preserve"> </w:t>
            </w:r>
            <w:r>
              <w:t>not</w:t>
            </w:r>
            <w:r>
              <w:rPr>
                <w:spacing w:val="-2"/>
              </w:rPr>
              <w:t xml:space="preserve"> </w:t>
            </w:r>
            <w:r>
              <w:t>have</w:t>
            </w:r>
            <w:r>
              <w:rPr>
                <w:spacing w:val="-2"/>
              </w:rPr>
              <w:t xml:space="preserve"> </w:t>
            </w:r>
            <w:r>
              <w:t>a</w:t>
            </w:r>
            <w:r>
              <w:rPr>
                <w:spacing w:val="-2"/>
              </w:rPr>
              <w:t xml:space="preserve"> </w:t>
            </w:r>
            <w:r>
              <w:t>material</w:t>
            </w:r>
            <w:r>
              <w:rPr>
                <w:spacing w:val="-2"/>
              </w:rPr>
              <w:t xml:space="preserve"> </w:t>
            </w:r>
            <w:r>
              <w:t>effect on the financial statements or other financial data significant to the audit objectives, the auditor may conclude that the violation is not reportable noncompliance. The auditor should consult with the entity’s legal counsel regarding conclusions on the entity’s compliance with significant provisions of applicable laws,</w:t>
            </w:r>
            <w:r>
              <w:rPr>
                <w:spacing w:val="40"/>
              </w:rPr>
              <w:t xml:space="preserve"> </w:t>
            </w:r>
            <w:r>
              <w:t>regulations, contracts, and grant agreements. There are also additional considerations when the auditor identifies or suspects instances of</w:t>
            </w:r>
            <w:r>
              <w:rPr>
                <w:spacing w:val="-1"/>
              </w:rPr>
              <w:t xml:space="preserve"> </w:t>
            </w:r>
            <w:r>
              <w:t>noncompliance that do</w:t>
            </w:r>
            <w:r>
              <w:rPr>
                <w:spacing w:val="-1"/>
              </w:rPr>
              <w:t xml:space="preserve"> </w:t>
            </w:r>
            <w:r>
              <w:t>not have a</w:t>
            </w:r>
            <w:r>
              <w:rPr>
                <w:spacing w:val="-1"/>
              </w:rPr>
              <w:t xml:space="preserve"> </w:t>
            </w:r>
            <w:r>
              <w:t>material effect on the financial statements or other financial data significant to the audit objectives. See the Compliance with Applicable Laws, Regulations, Contracts, and Grant Agreements and Instances of Fraud</w:t>
            </w:r>
            <w:r>
              <w:rPr>
                <w:spacing w:val="40"/>
              </w:rPr>
              <w:t xml:space="preserve"> </w:t>
            </w:r>
            <w:r>
              <w:t>subsection in FAM 580.</w:t>
            </w:r>
          </w:p>
        </w:tc>
        <w:tc>
          <w:tcPr>
            <w:tcW w:w="1089" w:type="dxa"/>
            <w:tcBorders>
              <w:top w:val="single" w:sz="4" w:space="0" w:color="000000"/>
              <w:left w:val="single" w:sz="8" w:space="0" w:color="000000"/>
              <w:right w:val="single" w:sz="8" w:space="0" w:color="000000"/>
            </w:tcBorders>
          </w:tcPr>
          <w:p w14:paraId="0DFDB7A1" w14:textId="77777777" w:rsidR="00046465" w:rsidRDefault="00046465">
            <w:pPr>
              <w:pStyle w:val="TableParagraph"/>
              <w:rPr>
                <w:rFonts w:ascii="Times New Roman"/>
                <w:sz w:val="20"/>
              </w:rPr>
            </w:pPr>
          </w:p>
        </w:tc>
        <w:tc>
          <w:tcPr>
            <w:tcW w:w="983" w:type="dxa"/>
            <w:tcBorders>
              <w:top w:val="single" w:sz="4" w:space="0" w:color="000000"/>
              <w:left w:val="single" w:sz="8" w:space="0" w:color="000000"/>
            </w:tcBorders>
          </w:tcPr>
          <w:p w14:paraId="0DFDB7A2" w14:textId="77777777" w:rsidR="00046465" w:rsidRDefault="00046465">
            <w:pPr>
              <w:pStyle w:val="TableParagraph"/>
              <w:rPr>
                <w:rFonts w:ascii="Times New Roman"/>
                <w:sz w:val="20"/>
              </w:rPr>
            </w:pPr>
          </w:p>
        </w:tc>
      </w:tr>
    </w:tbl>
    <w:p w14:paraId="0DFDB7A4" w14:textId="77777777" w:rsidR="00046465" w:rsidRDefault="00046465">
      <w:pPr>
        <w:pStyle w:val="TableParagraph"/>
        <w:rPr>
          <w:rFonts w:ascii="Times New Roman"/>
          <w:sz w:val="20"/>
        </w:rPr>
        <w:sectPr w:rsidR="00046465">
          <w:pgSz w:w="12240" w:h="15840"/>
          <w:pgMar w:top="1380" w:right="1080" w:bottom="940" w:left="1080" w:header="721" w:footer="742" w:gutter="0"/>
          <w:cols w:space="720"/>
        </w:sectPr>
      </w:pPr>
    </w:p>
    <w:p w14:paraId="0DFDB7A5" w14:textId="77777777" w:rsidR="00046465" w:rsidRDefault="008134EB" w:rsidP="00C75B49">
      <w:pPr>
        <w:pStyle w:val="Heading3"/>
      </w:pPr>
      <w:bookmarkStart w:id="171" w:name="804_–_Federal_Credit_Reform_Act_of_1990,"/>
      <w:bookmarkStart w:id="172" w:name="_bookmark67"/>
      <w:bookmarkEnd w:id="171"/>
      <w:bookmarkEnd w:id="172"/>
      <w:r>
        <w:lastRenderedPageBreak/>
        <w:t>804</w:t>
      </w:r>
      <w:r>
        <w:rPr>
          <w:spacing w:val="-6"/>
        </w:rPr>
        <w:t xml:space="preserve"> </w:t>
      </w:r>
      <w:r>
        <w:t>–</w:t>
      </w:r>
      <w:r>
        <w:rPr>
          <w:spacing w:val="-2"/>
        </w:rPr>
        <w:t xml:space="preserve"> </w:t>
      </w:r>
      <w:r>
        <w:t>Federal</w:t>
      </w:r>
      <w:r>
        <w:rPr>
          <w:spacing w:val="-4"/>
        </w:rPr>
        <w:t xml:space="preserve"> </w:t>
      </w:r>
      <w:r>
        <w:t>Credit</w:t>
      </w:r>
      <w:r>
        <w:rPr>
          <w:spacing w:val="-4"/>
        </w:rPr>
        <w:t xml:space="preserve"> </w:t>
      </w:r>
      <w:r>
        <w:t>Reform</w:t>
      </w:r>
      <w:r>
        <w:rPr>
          <w:spacing w:val="-15"/>
        </w:rPr>
        <w:t xml:space="preserve"> </w:t>
      </w:r>
      <w:r>
        <w:t>Act</w:t>
      </w:r>
      <w:r>
        <w:rPr>
          <w:spacing w:val="-2"/>
        </w:rPr>
        <w:t xml:space="preserve"> </w:t>
      </w:r>
      <w:r>
        <w:t>of</w:t>
      </w:r>
      <w:r>
        <w:rPr>
          <w:spacing w:val="-3"/>
        </w:rPr>
        <w:t xml:space="preserve"> </w:t>
      </w:r>
      <w:bookmarkStart w:id="173" w:name="_bookmark71"/>
      <w:bookmarkEnd w:id="173"/>
      <w:r>
        <w:t>1990,</w:t>
      </w:r>
      <w:r>
        <w:rPr>
          <w:spacing w:val="-4"/>
        </w:rPr>
        <w:t xml:space="preserve"> </w:t>
      </w:r>
      <w:bookmarkStart w:id="174" w:name="_bookmark72"/>
      <w:bookmarkEnd w:id="174"/>
      <w:r>
        <w:t>as</w:t>
      </w:r>
      <w:r>
        <w:rPr>
          <w:spacing w:val="-3"/>
        </w:rPr>
        <w:t xml:space="preserve"> </w:t>
      </w:r>
      <w:r>
        <w:t>P</w:t>
      </w:r>
      <w:bookmarkStart w:id="175" w:name="_bookmark73"/>
      <w:bookmarkEnd w:id="175"/>
      <w:r>
        <w:t>rovid</w:t>
      </w:r>
      <w:bookmarkStart w:id="176" w:name="_bookmark68"/>
      <w:bookmarkEnd w:id="176"/>
      <w:r>
        <w:t>ed</w:t>
      </w:r>
      <w:r>
        <w:rPr>
          <w:spacing w:val="-3"/>
        </w:rPr>
        <w:t xml:space="preserve"> </w:t>
      </w:r>
      <w:r>
        <w:t>in</w:t>
      </w:r>
      <w:r>
        <w:rPr>
          <w:spacing w:val="-3"/>
        </w:rPr>
        <w:t xml:space="preserve"> </w:t>
      </w:r>
      <w:bookmarkStart w:id="177" w:name="_bookmark69"/>
      <w:bookmarkEnd w:id="177"/>
      <w:r>
        <w:t>2</w:t>
      </w:r>
      <w:r>
        <w:rPr>
          <w:spacing w:val="-2"/>
        </w:rPr>
        <w:t xml:space="preserve"> </w:t>
      </w:r>
      <w:bookmarkStart w:id="178" w:name="_bookmark70"/>
      <w:bookmarkEnd w:id="178"/>
      <w:r>
        <w:t>U.S.C.</w:t>
      </w:r>
      <w:r>
        <w:rPr>
          <w:spacing w:val="-3"/>
        </w:rPr>
        <w:t xml:space="preserve"> </w:t>
      </w:r>
      <w:r>
        <w:t>§§</w:t>
      </w:r>
      <w:r>
        <w:rPr>
          <w:spacing w:val="-3"/>
        </w:rPr>
        <w:t xml:space="preserve"> </w:t>
      </w:r>
      <w:r>
        <w:t>661–</w:t>
      </w:r>
      <w:r>
        <w:rPr>
          <w:spacing w:val="-4"/>
        </w:rPr>
        <w:t>661f</w:t>
      </w:r>
    </w:p>
    <w:p w14:paraId="0DFDB7A6" w14:textId="77777777" w:rsidR="00046465" w:rsidRDefault="008134EB">
      <w:pPr>
        <w:pStyle w:val="BodyText"/>
        <w:spacing w:before="239"/>
        <w:ind w:left="360" w:right="249"/>
      </w:pPr>
      <w:r>
        <w:t>Note:</w:t>
      </w:r>
      <w:r>
        <w:rPr>
          <w:spacing w:val="-3"/>
        </w:rPr>
        <w:t xml:space="preserve"> </w:t>
      </w:r>
      <w:r>
        <w:t>The</w:t>
      </w:r>
      <w:r>
        <w:rPr>
          <w:spacing w:val="-3"/>
        </w:rPr>
        <w:t xml:space="preserve"> </w:t>
      </w:r>
      <w:r>
        <w:t>auditor</w:t>
      </w:r>
      <w:r>
        <w:rPr>
          <w:spacing w:val="-3"/>
        </w:rPr>
        <w:t xml:space="preserve"> </w:t>
      </w:r>
      <w:r>
        <w:t>should</w:t>
      </w:r>
      <w:r>
        <w:rPr>
          <w:spacing w:val="-3"/>
        </w:rPr>
        <w:t xml:space="preserve"> </w:t>
      </w:r>
      <w:r>
        <w:t>complete</w:t>
      </w:r>
      <w:r>
        <w:rPr>
          <w:spacing w:val="-3"/>
        </w:rPr>
        <w:t xml:space="preserve"> </w:t>
      </w:r>
      <w:r>
        <w:t>this</w:t>
      </w:r>
      <w:r>
        <w:rPr>
          <w:spacing w:val="-3"/>
        </w:rPr>
        <w:t xml:space="preserve"> </w:t>
      </w:r>
      <w:r>
        <w:t>compliance</w:t>
      </w:r>
      <w:r>
        <w:rPr>
          <w:spacing w:val="-3"/>
        </w:rPr>
        <w:t xml:space="preserve"> </w:t>
      </w:r>
      <w:r>
        <w:t>summary</w:t>
      </w:r>
      <w:r>
        <w:rPr>
          <w:spacing w:val="-3"/>
        </w:rPr>
        <w:t xml:space="preserve"> </w:t>
      </w:r>
      <w:r>
        <w:t>or</w:t>
      </w:r>
      <w:r>
        <w:rPr>
          <w:spacing w:val="-3"/>
        </w:rPr>
        <w:t xml:space="preserve"> </w:t>
      </w:r>
      <w:r>
        <w:t>prepare</w:t>
      </w:r>
      <w:r>
        <w:rPr>
          <w:spacing w:val="-3"/>
        </w:rPr>
        <w:t xml:space="preserve"> </w:t>
      </w:r>
      <w:r>
        <w:t>equivalent</w:t>
      </w:r>
      <w:r>
        <w:rPr>
          <w:spacing w:val="-3"/>
        </w:rPr>
        <w:t xml:space="preserve"> </w:t>
      </w:r>
      <w:r>
        <w:t>documentation</w:t>
      </w:r>
      <w:r>
        <w:rPr>
          <w:spacing w:val="-3"/>
        </w:rPr>
        <w:t xml:space="preserve"> </w:t>
      </w:r>
      <w:r>
        <w:t>only</w:t>
      </w:r>
      <w:r>
        <w:rPr>
          <w:spacing w:val="-3"/>
        </w:rPr>
        <w:t xml:space="preserve"> </w:t>
      </w:r>
      <w:r>
        <w:t>if</w:t>
      </w:r>
      <w:r>
        <w:rPr>
          <w:spacing w:val="-3"/>
        </w:rPr>
        <w:t xml:space="preserve"> </w:t>
      </w:r>
      <w:r>
        <w:t>provisions</w:t>
      </w:r>
      <w:r>
        <w:rPr>
          <w:spacing w:val="-3"/>
        </w:rPr>
        <w:t xml:space="preserve"> </w:t>
      </w:r>
      <w:r>
        <w:t>of</w:t>
      </w:r>
      <w:r>
        <w:rPr>
          <w:spacing w:val="-3"/>
        </w:rPr>
        <w:t xml:space="preserve"> </w:t>
      </w:r>
      <w:r>
        <w:t>the</w:t>
      </w:r>
      <w:r>
        <w:rPr>
          <w:spacing w:val="-3"/>
        </w:rPr>
        <w:t xml:space="preserve"> </w:t>
      </w:r>
      <w:r>
        <w:t>Federal</w:t>
      </w:r>
      <w:r>
        <w:rPr>
          <w:spacing w:val="-3"/>
        </w:rPr>
        <w:t xml:space="preserve"> </w:t>
      </w:r>
      <w:r>
        <w:t xml:space="preserve">Credit Reform Act of 1990 (FCRA), as provided in 2 U.S.C. §§ 661–661f, are significant, as indicated on Form 802, General Compliance Checklist. OMB guidance on FCRA is included in OMB Circular No. A-11, </w:t>
      </w:r>
      <w:r>
        <w:rPr>
          <w:i/>
        </w:rPr>
        <w:t xml:space="preserve">Preparing, Submitting, and Executing the Budget, </w:t>
      </w:r>
      <w:r>
        <w:t xml:space="preserve">part 5, </w:t>
      </w:r>
      <w:r>
        <w:rPr>
          <w:i/>
        </w:rPr>
        <w:t>Federal Credit</w:t>
      </w:r>
      <w:r>
        <w:t>.</w:t>
      </w:r>
    </w:p>
    <w:p w14:paraId="0DFDB7A7" w14:textId="77777777" w:rsidR="00046465" w:rsidRDefault="00046465">
      <w:pPr>
        <w:pStyle w:val="BodyText"/>
        <w:spacing w:before="5"/>
        <w:rPr>
          <w:sz w:val="13"/>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644"/>
        <w:gridCol w:w="2250"/>
        <w:gridCol w:w="1620"/>
        <w:gridCol w:w="1402"/>
        <w:gridCol w:w="1498"/>
        <w:gridCol w:w="1979"/>
      </w:tblGrid>
      <w:tr w:rsidR="00046465" w14:paraId="0DFDB7AB" w14:textId="77777777">
        <w:trPr>
          <w:trHeight w:val="1573"/>
        </w:trPr>
        <w:tc>
          <w:tcPr>
            <w:tcW w:w="13393" w:type="dxa"/>
            <w:gridSpan w:val="6"/>
          </w:tcPr>
          <w:p w14:paraId="0DFDB7A8" w14:textId="77777777" w:rsidR="00046465" w:rsidRDefault="008134EB">
            <w:pPr>
              <w:pStyle w:val="TableParagraph"/>
              <w:tabs>
                <w:tab w:val="left" w:pos="9318"/>
              </w:tabs>
              <w:spacing w:before="144"/>
              <w:ind w:right="1964"/>
              <w:jc w:val="center"/>
            </w:pPr>
            <w:r>
              <w:t>Name</w:t>
            </w:r>
            <w:r>
              <w:rPr>
                <w:spacing w:val="-5"/>
              </w:rPr>
              <w:t xml:space="preserve"> </w:t>
            </w:r>
            <w:r>
              <w:t>of</w:t>
            </w:r>
            <w:r>
              <w:rPr>
                <w:spacing w:val="-5"/>
              </w:rPr>
              <w:t xml:space="preserve"> </w:t>
            </w:r>
            <w:r>
              <w:rPr>
                <w:spacing w:val="-2"/>
              </w:rPr>
              <w:t>entity:</w:t>
            </w:r>
            <w:r>
              <w:tab/>
              <w:t>Prepared</w:t>
            </w:r>
            <w:r>
              <w:rPr>
                <w:spacing w:val="-11"/>
              </w:rPr>
              <w:t xml:space="preserve"> </w:t>
            </w:r>
            <w:r>
              <w:rPr>
                <w:spacing w:val="-5"/>
              </w:rPr>
              <w:t>by:</w:t>
            </w:r>
          </w:p>
          <w:p w14:paraId="0DFDB7A9" w14:textId="77777777" w:rsidR="00046465" w:rsidRDefault="008134EB">
            <w:pPr>
              <w:pStyle w:val="TableParagraph"/>
              <w:spacing w:before="12"/>
              <w:ind w:left="1972" w:right="1964"/>
              <w:jc w:val="center"/>
              <w:rPr>
                <w:b/>
                <w:sz w:val="24"/>
              </w:rPr>
            </w:pPr>
            <w:r>
              <w:rPr>
                <w:b/>
                <w:noProof/>
                <w:sz w:val="24"/>
              </w:rPr>
              <mc:AlternateContent>
                <mc:Choice Requires="wpg">
                  <w:drawing>
                    <wp:anchor distT="0" distB="0" distL="0" distR="0" simplePos="0" relativeHeight="476115968" behindDoc="1" locked="0" layoutInCell="1" allowOverlap="1" wp14:anchorId="0DFDD603" wp14:editId="0DFDD604">
                      <wp:simplePos x="0" y="0"/>
                      <wp:positionH relativeFrom="column">
                        <wp:posOffset>7052309</wp:posOffset>
                      </wp:positionH>
                      <wp:positionV relativeFrom="paragraph">
                        <wp:posOffset>91882</wp:posOffset>
                      </wp:positionV>
                      <wp:extent cx="1371600" cy="6350"/>
                      <wp:effectExtent l="0" t="0" r="0" b="0"/>
                      <wp:wrapNone/>
                      <wp:docPr id="544"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545" name="Graphic 545"/>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86C361E" id="Group 544" o:spid="_x0000_s1026" style="position:absolute;margin-left:555.3pt;margin-top:7.25pt;width:108pt;height:.5pt;z-index:-27200512;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">
                      <v:shape id="Graphic 545"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" path="m1371600,l,,,6108r1371600,l1371600,xe" fillcolor="black" stroked="f">
                        <v:path arrowok="t"/>
                      </v:shape>
                    </v:group>
                  </w:pict>
                </mc:Fallback>
              </mc:AlternateContent>
            </w:r>
            <w:r>
              <w:rPr>
                <w:b/>
                <w:noProof/>
                <w:sz w:val="24"/>
              </w:rPr>
              <mc:AlternateContent>
                <mc:Choice Requires="wpg">
                  <w:drawing>
                    <wp:anchor distT="0" distB="0" distL="0" distR="0" simplePos="0" relativeHeight="476116992" behindDoc="1" locked="0" layoutInCell="1" allowOverlap="1" wp14:anchorId="0DFDD605" wp14:editId="0DFDD606">
                      <wp:simplePos x="0" y="0"/>
                      <wp:positionH relativeFrom="column">
                        <wp:posOffset>7052309</wp:posOffset>
                      </wp:positionH>
                      <wp:positionV relativeFrom="paragraph">
                        <wp:posOffset>441640</wp:posOffset>
                      </wp:positionV>
                      <wp:extent cx="1371600" cy="6350"/>
                      <wp:effectExtent l="0" t="0" r="0" b="0"/>
                      <wp:wrapNone/>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547" name="Graphic 547"/>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70AE35" id="Group 546" o:spid="_x0000_s1026" style="position:absolute;margin-left:555.3pt;margin-top:34.75pt;width:108pt;height:.5pt;z-index:-27199488;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">
                      <v:shape id="Graphic 547"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" path="m1371600,l,,,6108r1371600,l1371600,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7AA" w14:textId="77777777" w:rsidR="00046465" w:rsidRDefault="008134EB">
            <w:pPr>
              <w:pStyle w:val="TableParagraph"/>
              <w:tabs>
                <w:tab w:val="left" w:pos="9013"/>
              </w:tabs>
              <w:spacing w:before="10"/>
              <w:ind w:right="1720"/>
              <w:jc w:val="center"/>
            </w:pPr>
            <w:r>
              <w:rPr>
                <w:noProof/>
              </w:rPr>
              <mc:AlternateContent>
                <mc:Choice Requires="wpg">
                  <w:drawing>
                    <wp:anchor distT="0" distB="0" distL="0" distR="0" simplePos="0" relativeHeight="476115456" behindDoc="1" locked="0" layoutInCell="1" allowOverlap="1" wp14:anchorId="0DFDD607" wp14:editId="0DFDD608">
                      <wp:simplePos x="0" y="0"/>
                      <wp:positionH relativeFrom="column">
                        <wp:posOffset>1274825</wp:posOffset>
                      </wp:positionH>
                      <wp:positionV relativeFrom="paragraph">
                        <wp:posOffset>-91198</wp:posOffset>
                      </wp:positionV>
                      <wp:extent cx="1205865" cy="6350"/>
                      <wp:effectExtent l="0" t="0" r="0" b="0"/>
                      <wp:wrapNone/>
                      <wp:docPr id="548"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549" name="Graphic 549"/>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CDE1D5" id="Group 548" o:spid="_x0000_s1026" style="position:absolute;margin-left:100.4pt;margin-top:-7.2pt;width:94.95pt;height:.5pt;z-index:-27201024;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">
                      <v:shape id="Graphic 549"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" path="m1205484,l,,,6108r1205484,l1205484,xe" fillcolor="black" stroked="f">
                        <v:path arrowok="t"/>
                      </v:shape>
                    </v:group>
                  </w:pict>
                </mc:Fallback>
              </mc:AlternateContent>
            </w:r>
            <w:r>
              <w:rPr>
                <w:noProof/>
              </w:rPr>
              <mc:AlternateContent>
                <mc:Choice Requires="wpg">
                  <w:drawing>
                    <wp:anchor distT="0" distB="0" distL="0" distR="0" simplePos="0" relativeHeight="476116480" behindDoc="1" locked="0" layoutInCell="1" allowOverlap="1" wp14:anchorId="0DFDD609" wp14:editId="0DFDD60A">
                      <wp:simplePos x="0" y="0"/>
                      <wp:positionH relativeFrom="column">
                        <wp:posOffset>1274825</wp:posOffset>
                      </wp:positionH>
                      <wp:positionV relativeFrom="paragraph">
                        <wp:posOffset>258559</wp:posOffset>
                      </wp:positionV>
                      <wp:extent cx="1205865" cy="6350"/>
                      <wp:effectExtent l="0" t="0" r="0" b="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551" name="Graphic 551"/>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FF0A29" id="Group 550" o:spid="_x0000_s1026" style="position:absolute;margin-left:100.4pt;margin-top:20.35pt;width:94.95pt;height:.5pt;z-index:-27200000;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">
                      <v:shape id="Graphic 551"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" path="m1205484,l,,,6108r1205484,l1205484,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7B5" w14:textId="77777777">
        <w:trPr>
          <w:trHeight w:val="794"/>
        </w:trPr>
        <w:tc>
          <w:tcPr>
            <w:tcW w:w="4644" w:type="dxa"/>
            <w:tcBorders>
              <w:right w:val="single" w:sz="4" w:space="0" w:color="000000"/>
            </w:tcBorders>
          </w:tcPr>
          <w:p w14:paraId="0DFDB7AC" w14:textId="77777777" w:rsidR="00046465" w:rsidRDefault="00046465">
            <w:pPr>
              <w:pStyle w:val="TableParagraph"/>
              <w:spacing w:before="144"/>
            </w:pPr>
          </w:p>
          <w:p w14:paraId="0DFDB7AD" w14:textId="77777777" w:rsidR="00046465" w:rsidRDefault="008134EB">
            <w:pPr>
              <w:pStyle w:val="TableParagraph"/>
              <w:spacing w:before="1"/>
              <w:ind w:left="97"/>
            </w:pPr>
            <w:r>
              <w:t>Provision</w:t>
            </w:r>
            <w:r>
              <w:rPr>
                <w:spacing w:val="-11"/>
              </w:rPr>
              <w:t xml:space="preserve"> </w:t>
            </w:r>
            <w:r>
              <w:rPr>
                <w:spacing w:val="-2"/>
              </w:rPr>
              <w:t>Description</w:t>
            </w:r>
          </w:p>
        </w:tc>
        <w:tc>
          <w:tcPr>
            <w:tcW w:w="2250" w:type="dxa"/>
            <w:tcBorders>
              <w:left w:val="single" w:sz="4" w:space="0" w:color="000000"/>
              <w:right w:val="single" w:sz="4" w:space="0" w:color="000000"/>
            </w:tcBorders>
          </w:tcPr>
          <w:p w14:paraId="0DFDB7AE" w14:textId="77777777" w:rsidR="00046465" w:rsidRDefault="00046465">
            <w:pPr>
              <w:pStyle w:val="TableParagraph"/>
              <w:spacing w:before="144"/>
            </w:pPr>
          </w:p>
          <w:p w14:paraId="0DFDB7AF" w14:textId="77777777" w:rsidR="00046465" w:rsidRDefault="008134EB">
            <w:pPr>
              <w:pStyle w:val="TableParagraph"/>
              <w:spacing w:before="1"/>
              <w:ind w:left="107"/>
            </w:pPr>
            <w:r>
              <w:rPr>
                <w:spacing w:val="-2"/>
              </w:rPr>
              <w:t>Objective</w:t>
            </w:r>
          </w:p>
        </w:tc>
        <w:tc>
          <w:tcPr>
            <w:tcW w:w="1620" w:type="dxa"/>
            <w:tcBorders>
              <w:left w:val="single" w:sz="4" w:space="0" w:color="000000"/>
              <w:right w:val="single" w:sz="4" w:space="0" w:color="000000"/>
            </w:tcBorders>
          </w:tcPr>
          <w:p w14:paraId="0DFDB7B0" w14:textId="77777777" w:rsidR="00046465" w:rsidRDefault="008134EB">
            <w:pPr>
              <w:pStyle w:val="TableParagraph"/>
              <w:spacing w:before="144"/>
              <w:ind w:left="107" w:right="215"/>
            </w:pPr>
            <w:r>
              <w:rPr>
                <w:spacing w:val="-2"/>
              </w:rPr>
              <w:t>Control Activities</w:t>
            </w:r>
          </w:p>
        </w:tc>
        <w:tc>
          <w:tcPr>
            <w:tcW w:w="1402" w:type="dxa"/>
            <w:tcBorders>
              <w:left w:val="single" w:sz="4" w:space="0" w:color="000000"/>
              <w:right w:val="single" w:sz="4" w:space="0" w:color="000000"/>
            </w:tcBorders>
          </w:tcPr>
          <w:p w14:paraId="0DFDB7B1" w14:textId="77777777" w:rsidR="00046465" w:rsidRDefault="00046465">
            <w:pPr>
              <w:pStyle w:val="TableParagraph"/>
              <w:spacing w:before="144"/>
            </w:pPr>
          </w:p>
          <w:p w14:paraId="0DFDB7B2" w14:textId="77777777" w:rsidR="00046465" w:rsidRDefault="008134EB">
            <w:pPr>
              <w:pStyle w:val="TableParagraph"/>
              <w:spacing w:before="1"/>
              <w:ind w:left="107"/>
            </w:pPr>
            <w:r>
              <w:t>IS</w:t>
            </w:r>
            <w:r>
              <w:rPr>
                <w:spacing w:val="-3"/>
              </w:rPr>
              <w:t xml:space="preserve"> </w:t>
            </w:r>
            <w:r>
              <w:rPr>
                <w:spacing w:val="-2"/>
              </w:rPr>
              <w:t>(Y/N)</w:t>
            </w:r>
          </w:p>
        </w:tc>
        <w:tc>
          <w:tcPr>
            <w:tcW w:w="1498" w:type="dxa"/>
            <w:tcBorders>
              <w:left w:val="single" w:sz="4" w:space="0" w:color="000000"/>
              <w:right w:val="single" w:sz="4" w:space="0" w:color="000000"/>
            </w:tcBorders>
          </w:tcPr>
          <w:p w14:paraId="0DFDB7B3" w14:textId="77777777" w:rsidR="00046465" w:rsidRDefault="008134EB">
            <w:pPr>
              <w:pStyle w:val="TableParagraph"/>
              <w:spacing w:before="144"/>
              <w:ind w:left="107"/>
            </w:pPr>
            <w:r>
              <w:rPr>
                <w:spacing w:val="-2"/>
              </w:rPr>
              <w:t>Effective controls?</w:t>
            </w:r>
          </w:p>
        </w:tc>
        <w:tc>
          <w:tcPr>
            <w:tcW w:w="1979" w:type="dxa"/>
            <w:tcBorders>
              <w:left w:val="single" w:sz="4" w:space="0" w:color="000000"/>
            </w:tcBorders>
          </w:tcPr>
          <w:p w14:paraId="0DFDB7B4" w14:textId="77777777" w:rsidR="00046465" w:rsidRDefault="008134EB">
            <w:pPr>
              <w:pStyle w:val="TableParagraph"/>
              <w:spacing w:before="144"/>
              <w:ind w:left="107" w:right="140"/>
            </w:pPr>
            <w:r>
              <w:t xml:space="preserve">Instances of </w:t>
            </w:r>
            <w:r>
              <w:rPr>
                <w:spacing w:val="-2"/>
              </w:rPr>
              <w:t>noncompliance?</w:t>
            </w:r>
          </w:p>
        </w:tc>
      </w:tr>
      <w:tr w:rsidR="00046465" w14:paraId="0DFDB7C0" w14:textId="77777777">
        <w:trPr>
          <w:trHeight w:val="2089"/>
        </w:trPr>
        <w:tc>
          <w:tcPr>
            <w:tcW w:w="4644" w:type="dxa"/>
            <w:tcBorders>
              <w:right w:val="single" w:sz="4" w:space="0" w:color="000000"/>
            </w:tcBorders>
          </w:tcPr>
          <w:p w14:paraId="0DFDB7B6" w14:textId="77777777" w:rsidR="00046465" w:rsidRDefault="008134EB">
            <w:pPr>
              <w:pStyle w:val="TableParagraph"/>
              <w:spacing w:before="143"/>
              <w:ind w:left="817" w:right="137" w:hanging="720"/>
              <w:rPr>
                <w:sz w:val="18"/>
              </w:rPr>
            </w:pPr>
            <w:r>
              <w:rPr>
                <w:smallCaps/>
                <w:sz w:val="18"/>
              </w:rPr>
              <w:t>804.01.</w:t>
            </w:r>
            <w:r>
              <w:rPr>
                <w:smallCaps/>
                <w:spacing w:val="-3"/>
                <w:sz w:val="18"/>
              </w:rPr>
              <w:t xml:space="preserve"> </w:t>
            </w:r>
            <w:r>
              <w:rPr>
                <w:smallCaps/>
                <w:spacing w:val="16"/>
                <w:sz w:val="18"/>
              </w:rPr>
              <w:t xml:space="preserve"> </w:t>
            </w:r>
            <w:r>
              <w:rPr>
                <w:smallCaps/>
                <w:sz w:val="18"/>
              </w:rPr>
              <w:t>Advance</w:t>
            </w:r>
            <w:r>
              <w:rPr>
                <w:smallCaps/>
                <w:spacing w:val="-3"/>
                <w:sz w:val="18"/>
              </w:rPr>
              <w:t xml:space="preserve"> </w:t>
            </w:r>
            <w:r>
              <w:rPr>
                <w:smallCaps/>
                <w:sz w:val="18"/>
              </w:rPr>
              <w:t>Budget</w:t>
            </w:r>
            <w:r>
              <w:rPr>
                <w:smallCaps/>
                <w:spacing w:val="-3"/>
                <w:sz w:val="18"/>
              </w:rPr>
              <w:t xml:space="preserve"> </w:t>
            </w:r>
            <w:r>
              <w:rPr>
                <w:smallCaps/>
                <w:sz w:val="18"/>
              </w:rPr>
              <w:t>Authority</w:t>
            </w:r>
            <w:r>
              <w:rPr>
                <w:smallCaps/>
                <w:spacing w:val="-3"/>
                <w:sz w:val="18"/>
              </w:rPr>
              <w:t xml:space="preserve"> </w:t>
            </w:r>
            <w:r>
              <w:rPr>
                <w:smallCaps/>
                <w:sz w:val="18"/>
              </w:rPr>
              <w:t>Required</w:t>
            </w:r>
            <w:r>
              <w:rPr>
                <w:smallCaps/>
                <w:spacing w:val="-3"/>
                <w:sz w:val="18"/>
              </w:rPr>
              <w:t xml:space="preserve"> </w:t>
            </w:r>
            <w:r>
              <w:rPr>
                <w:smallCaps/>
                <w:sz w:val="18"/>
              </w:rPr>
              <w:t>For</w:t>
            </w:r>
            <w:r>
              <w:rPr>
                <w:smallCaps/>
                <w:spacing w:val="40"/>
                <w:sz w:val="18"/>
              </w:rPr>
              <w:t xml:space="preserve"> </w:t>
            </w:r>
            <w:r>
              <w:rPr>
                <w:smallCaps/>
                <w:sz w:val="18"/>
              </w:rPr>
              <w:t>New Direct Loan Obligations</w:t>
            </w:r>
          </w:p>
          <w:p w14:paraId="0DFDB7B7" w14:textId="77777777" w:rsidR="00046465" w:rsidRDefault="008134EB">
            <w:pPr>
              <w:pStyle w:val="TableParagraph"/>
              <w:spacing w:before="146"/>
              <w:ind w:left="97"/>
              <w:rPr>
                <w:sz w:val="18"/>
              </w:rPr>
            </w:pPr>
            <w:r>
              <w:rPr>
                <w:sz w:val="18"/>
              </w:rPr>
              <w:t>Provision</w:t>
            </w:r>
            <w:r>
              <w:rPr>
                <w:spacing w:val="-7"/>
                <w:sz w:val="18"/>
              </w:rPr>
              <w:t xml:space="preserve"> </w:t>
            </w:r>
            <w:r>
              <w:rPr>
                <w:sz w:val="18"/>
              </w:rPr>
              <w:t>Type:</w:t>
            </w:r>
            <w:r>
              <w:rPr>
                <w:spacing w:val="-6"/>
                <w:sz w:val="18"/>
              </w:rPr>
              <w:t xml:space="preserve"> </w:t>
            </w:r>
            <w:r>
              <w:rPr>
                <w:sz w:val="18"/>
              </w:rPr>
              <w:t>Quantitative-</w:t>
            </w:r>
            <w:r>
              <w:rPr>
                <w:spacing w:val="-2"/>
                <w:sz w:val="18"/>
              </w:rPr>
              <w:t>based.</w:t>
            </w:r>
          </w:p>
          <w:p w14:paraId="0DFDB7B8" w14:textId="77777777" w:rsidR="00046465" w:rsidRDefault="008134EB">
            <w:pPr>
              <w:pStyle w:val="TableParagraph"/>
              <w:spacing w:before="145" w:line="237" w:lineRule="auto"/>
              <w:ind w:left="97" w:right="137"/>
              <w:rPr>
                <w:sz w:val="18"/>
              </w:rPr>
            </w:pPr>
            <w:r>
              <w:rPr>
                <w:sz w:val="18"/>
              </w:rPr>
              <w:t>New</w:t>
            </w:r>
            <w:r>
              <w:rPr>
                <w:spacing w:val="-5"/>
                <w:sz w:val="18"/>
              </w:rPr>
              <w:t xml:space="preserve"> </w:t>
            </w:r>
            <w:r>
              <w:rPr>
                <w:sz w:val="18"/>
              </w:rPr>
              <w:t>direct</w:t>
            </w:r>
            <w:r>
              <w:rPr>
                <w:spacing w:val="-5"/>
                <w:sz w:val="18"/>
              </w:rPr>
              <w:t xml:space="preserve"> </w:t>
            </w:r>
            <w:r>
              <w:rPr>
                <w:sz w:val="18"/>
              </w:rPr>
              <w:t>loan</w:t>
            </w:r>
            <w:r>
              <w:rPr>
                <w:spacing w:val="-6"/>
                <w:sz w:val="18"/>
              </w:rPr>
              <w:t xml:space="preserve"> </w:t>
            </w:r>
            <w:r>
              <w:rPr>
                <w:sz w:val="18"/>
              </w:rPr>
              <w:t>obligations</w:t>
            </w:r>
            <w:r>
              <w:rPr>
                <w:spacing w:val="-5"/>
                <w:sz w:val="18"/>
              </w:rPr>
              <w:t xml:space="preserve"> </w:t>
            </w:r>
            <w:r>
              <w:rPr>
                <w:sz w:val="18"/>
              </w:rPr>
              <w:t>may</w:t>
            </w:r>
            <w:r>
              <w:rPr>
                <w:spacing w:val="-5"/>
                <w:sz w:val="18"/>
              </w:rPr>
              <w:t xml:space="preserve"> </w:t>
            </w:r>
            <w:r>
              <w:rPr>
                <w:sz w:val="18"/>
              </w:rPr>
              <w:t>be</w:t>
            </w:r>
            <w:r>
              <w:rPr>
                <w:spacing w:val="-6"/>
                <w:sz w:val="18"/>
              </w:rPr>
              <w:t xml:space="preserve"> </w:t>
            </w:r>
            <w:r>
              <w:rPr>
                <w:sz w:val="18"/>
              </w:rPr>
              <w:t>incurred</w:t>
            </w:r>
            <w:r>
              <w:rPr>
                <w:spacing w:val="-4"/>
                <w:sz w:val="18"/>
              </w:rPr>
              <w:t xml:space="preserve"> </w:t>
            </w:r>
            <w:r>
              <w:rPr>
                <w:sz w:val="18"/>
              </w:rPr>
              <w:t>on</w:t>
            </w:r>
            <w:r>
              <w:rPr>
                <w:spacing w:val="-6"/>
                <w:sz w:val="18"/>
              </w:rPr>
              <w:t xml:space="preserve"> </w:t>
            </w:r>
            <w:r>
              <w:rPr>
                <w:sz w:val="18"/>
              </w:rPr>
              <w:t>or</w:t>
            </w:r>
            <w:r>
              <w:rPr>
                <w:spacing w:val="-5"/>
                <w:sz w:val="18"/>
              </w:rPr>
              <w:t xml:space="preserve"> </w:t>
            </w:r>
            <w:r>
              <w:rPr>
                <w:sz w:val="18"/>
              </w:rPr>
              <w:t>after October 1, 1991, only to the extent that an appropriation or other budget authority is available to cover these costs.</w:t>
            </w:r>
            <w:hyperlink w:anchor="_bookmark68" w:history="1">
              <w:r>
                <w:rPr>
                  <w:position w:val="6"/>
                  <w:sz w:val="12"/>
                </w:rPr>
                <w:t>4</w:t>
              </w:r>
            </w:hyperlink>
            <w:r>
              <w:rPr>
                <w:position w:val="6"/>
                <w:sz w:val="12"/>
              </w:rPr>
              <w:t>,</w:t>
            </w:r>
            <w:hyperlink w:anchor="_bookmark69" w:history="1">
              <w:r>
                <w:rPr>
                  <w:position w:val="6"/>
                  <w:sz w:val="12"/>
                </w:rPr>
                <w:t>5</w:t>
              </w:r>
            </w:hyperlink>
            <w:r>
              <w:rPr>
                <w:position w:val="6"/>
                <w:sz w:val="12"/>
              </w:rPr>
              <w:t>,</w:t>
            </w:r>
            <w:hyperlink w:anchor="_bookmark70" w:history="1">
              <w:r>
                <w:rPr>
                  <w:position w:val="6"/>
                  <w:sz w:val="12"/>
                </w:rPr>
                <w:t>6</w:t>
              </w:r>
            </w:hyperlink>
            <w:r>
              <w:rPr>
                <w:position w:val="6"/>
                <w:sz w:val="12"/>
              </w:rPr>
              <w:t>,</w:t>
            </w:r>
            <w:r>
              <w:rPr>
                <w:spacing w:val="-17"/>
                <w:position w:val="6"/>
                <w:sz w:val="12"/>
              </w:rPr>
              <w:t xml:space="preserve"> </w:t>
            </w:r>
            <w:hyperlink w:anchor="_bookmark71" w:history="1">
              <w:r>
                <w:rPr>
                  <w:position w:val="6"/>
                  <w:sz w:val="12"/>
                </w:rPr>
                <w:t>7</w:t>
              </w:r>
            </w:hyperlink>
            <w:r>
              <w:rPr>
                <w:position w:val="6"/>
                <w:sz w:val="12"/>
              </w:rPr>
              <w:t>,</w:t>
            </w:r>
            <w:hyperlink w:anchor="_bookmark72" w:history="1">
              <w:r>
                <w:rPr>
                  <w:position w:val="6"/>
                  <w:sz w:val="12"/>
                </w:rPr>
                <w:t>8</w:t>
              </w:r>
            </w:hyperlink>
            <w:r>
              <w:rPr>
                <w:spacing w:val="40"/>
                <w:position w:val="6"/>
                <w:sz w:val="12"/>
              </w:rPr>
              <w:t xml:space="preserve"> </w:t>
            </w:r>
            <w:r>
              <w:rPr>
                <w:sz w:val="18"/>
              </w:rPr>
              <w:t>2 U.S.C. § 661c(b).</w:t>
            </w:r>
          </w:p>
        </w:tc>
        <w:tc>
          <w:tcPr>
            <w:tcW w:w="2250" w:type="dxa"/>
            <w:tcBorders>
              <w:left w:val="single" w:sz="4" w:space="0" w:color="000000"/>
              <w:right w:val="single" w:sz="4" w:space="0" w:color="000000"/>
            </w:tcBorders>
          </w:tcPr>
          <w:p w14:paraId="0DFDB7B9" w14:textId="77777777" w:rsidR="00046465" w:rsidRDefault="008134EB">
            <w:pPr>
              <w:pStyle w:val="TableParagraph"/>
              <w:spacing w:before="143"/>
              <w:ind w:left="107" w:right="91"/>
              <w:rPr>
                <w:sz w:val="18"/>
              </w:rPr>
            </w:pPr>
            <w:r>
              <w:rPr>
                <w:sz w:val="18"/>
              </w:rPr>
              <w:t>Direct loan obligations made</w:t>
            </w:r>
            <w:r>
              <w:rPr>
                <w:spacing w:val="-11"/>
                <w:sz w:val="18"/>
              </w:rPr>
              <w:t xml:space="preserve"> </w:t>
            </w:r>
            <w:r>
              <w:rPr>
                <w:sz w:val="18"/>
              </w:rPr>
              <w:t>on</w:t>
            </w:r>
            <w:r>
              <w:rPr>
                <w:spacing w:val="-11"/>
                <w:sz w:val="18"/>
              </w:rPr>
              <w:t xml:space="preserve"> </w:t>
            </w:r>
            <w:r>
              <w:rPr>
                <w:sz w:val="18"/>
              </w:rPr>
              <w:t>or</w:t>
            </w:r>
            <w:r>
              <w:rPr>
                <w:spacing w:val="-10"/>
                <w:sz w:val="18"/>
              </w:rPr>
              <w:t xml:space="preserve"> </w:t>
            </w:r>
            <w:r>
              <w:rPr>
                <w:sz w:val="18"/>
              </w:rPr>
              <w:t>after</w:t>
            </w:r>
            <w:r>
              <w:rPr>
                <w:spacing w:val="-10"/>
                <w:sz w:val="18"/>
              </w:rPr>
              <w:t xml:space="preserve"> </w:t>
            </w:r>
            <w:r>
              <w:rPr>
                <w:sz w:val="18"/>
              </w:rPr>
              <w:t xml:space="preserve">October 1, 1991, do not exceed the available appropriation or other budget authority. (See footnotes 3 through 7 </w:t>
            </w:r>
            <w:r>
              <w:rPr>
                <w:spacing w:val="-2"/>
                <w:sz w:val="18"/>
              </w:rPr>
              <w:t>below.)</w:t>
            </w:r>
          </w:p>
        </w:tc>
        <w:tc>
          <w:tcPr>
            <w:tcW w:w="1620" w:type="dxa"/>
            <w:tcBorders>
              <w:left w:val="single" w:sz="4" w:space="0" w:color="000000"/>
              <w:right w:val="single" w:sz="4" w:space="0" w:color="000000"/>
            </w:tcBorders>
          </w:tcPr>
          <w:p w14:paraId="0DFDB7BA" w14:textId="77777777" w:rsidR="00046465" w:rsidRDefault="008134EB">
            <w:pPr>
              <w:pStyle w:val="TableParagraph"/>
              <w:spacing w:before="143"/>
              <w:ind w:left="107" w:right="215"/>
              <w:rPr>
                <w:position w:val="6"/>
                <w:sz w:val="12"/>
              </w:rPr>
            </w:pPr>
            <w:r>
              <w:rPr>
                <w:sz w:val="18"/>
              </w:rPr>
              <w:t>[Document the control</w:t>
            </w:r>
            <w:r>
              <w:rPr>
                <w:spacing w:val="-13"/>
                <w:sz w:val="18"/>
              </w:rPr>
              <w:t xml:space="preserve"> </w:t>
            </w:r>
            <w:r>
              <w:rPr>
                <w:sz w:val="18"/>
              </w:rPr>
              <w:t>activities that the entity used</w:t>
            </w:r>
            <w:r>
              <w:rPr>
                <w:spacing w:val="-9"/>
                <w:sz w:val="18"/>
              </w:rPr>
              <w:t xml:space="preserve"> </w:t>
            </w:r>
            <w:r>
              <w:rPr>
                <w:sz w:val="18"/>
              </w:rPr>
              <w:t>to</w:t>
            </w:r>
            <w:r>
              <w:rPr>
                <w:spacing w:val="-9"/>
                <w:sz w:val="18"/>
              </w:rPr>
              <w:t xml:space="preserve"> </w:t>
            </w:r>
            <w:r>
              <w:rPr>
                <w:sz w:val="18"/>
              </w:rPr>
              <w:t>achieve the objective.]</w:t>
            </w:r>
            <w:hyperlink w:anchor="_bookmark73" w:history="1">
              <w:r>
                <w:rPr>
                  <w:position w:val="6"/>
                  <w:sz w:val="12"/>
                </w:rPr>
                <w:t>9</w:t>
              </w:r>
            </w:hyperlink>
          </w:p>
        </w:tc>
        <w:tc>
          <w:tcPr>
            <w:tcW w:w="1402" w:type="dxa"/>
            <w:tcBorders>
              <w:left w:val="single" w:sz="4" w:space="0" w:color="000000"/>
              <w:right w:val="single" w:sz="4" w:space="0" w:color="000000"/>
            </w:tcBorders>
          </w:tcPr>
          <w:p w14:paraId="0DFDB7BB" w14:textId="77777777" w:rsidR="00046465" w:rsidRDefault="008134EB">
            <w:pPr>
              <w:pStyle w:val="TableParagraph"/>
              <w:spacing w:before="143"/>
              <w:ind w:left="107" w:right="217"/>
              <w:rPr>
                <w:sz w:val="18"/>
              </w:rPr>
            </w:pPr>
            <w:r>
              <w:rPr>
                <w:sz w:val="18"/>
              </w:rPr>
              <w:t>[Does</w:t>
            </w:r>
            <w:r>
              <w:rPr>
                <w:spacing w:val="-13"/>
                <w:sz w:val="18"/>
              </w:rPr>
              <w:t xml:space="preserve"> </w:t>
            </w:r>
            <w:r>
              <w:rPr>
                <w:sz w:val="18"/>
              </w:rPr>
              <w:t xml:space="preserve">control depend on </w:t>
            </w:r>
            <w:r>
              <w:rPr>
                <w:spacing w:val="-2"/>
                <w:sz w:val="18"/>
              </w:rPr>
              <w:t>information system processing?]</w:t>
            </w:r>
          </w:p>
        </w:tc>
        <w:tc>
          <w:tcPr>
            <w:tcW w:w="1498" w:type="dxa"/>
            <w:tcBorders>
              <w:left w:val="single" w:sz="4" w:space="0" w:color="000000"/>
              <w:right w:val="single" w:sz="4" w:space="0" w:color="000000"/>
            </w:tcBorders>
          </w:tcPr>
          <w:p w14:paraId="0DFDB7BC" w14:textId="77777777" w:rsidR="00046465" w:rsidRDefault="008134EB">
            <w:pPr>
              <w:pStyle w:val="TableParagraph"/>
              <w:spacing w:before="143"/>
              <w:ind w:left="107"/>
              <w:rPr>
                <w:sz w:val="18"/>
              </w:rPr>
            </w:pPr>
            <w:r>
              <w:rPr>
                <w:sz w:val="18"/>
              </w:rPr>
              <w:t xml:space="preserve">[Indicate yes or no; include reference to </w:t>
            </w:r>
            <w:r>
              <w:rPr>
                <w:spacing w:val="-2"/>
                <w:sz w:val="18"/>
              </w:rPr>
              <w:t>supporting documentation.]</w:t>
            </w:r>
          </w:p>
        </w:tc>
        <w:tc>
          <w:tcPr>
            <w:tcW w:w="1979" w:type="dxa"/>
            <w:tcBorders>
              <w:left w:val="single" w:sz="4" w:space="0" w:color="000000"/>
            </w:tcBorders>
          </w:tcPr>
          <w:p w14:paraId="0DFDB7BD" w14:textId="77777777" w:rsidR="00046465" w:rsidRDefault="008134EB">
            <w:pPr>
              <w:pStyle w:val="TableParagraph"/>
              <w:spacing w:before="143"/>
              <w:ind w:left="107" w:right="140"/>
              <w:rPr>
                <w:sz w:val="18"/>
              </w:rPr>
            </w:pPr>
            <w:r>
              <w:rPr>
                <w:sz w:val="18"/>
              </w:rPr>
              <w:t>[Indicate yes or no; include</w:t>
            </w:r>
            <w:r>
              <w:rPr>
                <w:spacing w:val="-15"/>
                <w:sz w:val="18"/>
              </w:rPr>
              <w:t xml:space="preserve"> </w:t>
            </w:r>
            <w:r>
              <w:rPr>
                <w:sz w:val="18"/>
              </w:rPr>
              <w:t>reference</w:t>
            </w:r>
            <w:r>
              <w:rPr>
                <w:spacing w:val="-12"/>
                <w:sz w:val="18"/>
              </w:rPr>
              <w:t xml:space="preserve"> </w:t>
            </w:r>
            <w:r>
              <w:rPr>
                <w:sz w:val="18"/>
              </w:rPr>
              <w:t xml:space="preserve">to </w:t>
            </w:r>
            <w:r>
              <w:rPr>
                <w:spacing w:val="-2"/>
                <w:sz w:val="18"/>
              </w:rPr>
              <w:t>supporting documentation.]</w:t>
            </w:r>
          </w:p>
          <w:p w14:paraId="0DFDB7BE" w14:textId="77777777" w:rsidR="00046465" w:rsidRDefault="008134EB">
            <w:pPr>
              <w:pStyle w:val="TableParagraph"/>
              <w:spacing w:before="144"/>
              <w:ind w:left="107" w:right="140"/>
              <w:rPr>
                <w:sz w:val="18"/>
              </w:rPr>
            </w:pPr>
            <w:r>
              <w:rPr>
                <w:sz w:val="18"/>
              </w:rPr>
              <w:t>See Compliance Audit Procedures, FAM</w:t>
            </w:r>
            <w:r>
              <w:rPr>
                <w:spacing w:val="-10"/>
                <w:sz w:val="18"/>
              </w:rPr>
              <w:t xml:space="preserve"> </w:t>
            </w:r>
            <w:r>
              <w:rPr>
                <w:sz w:val="18"/>
              </w:rPr>
              <w:t>804</w:t>
            </w:r>
            <w:r>
              <w:rPr>
                <w:spacing w:val="-11"/>
                <w:sz w:val="18"/>
              </w:rPr>
              <w:t xml:space="preserve"> </w:t>
            </w:r>
            <w:r>
              <w:rPr>
                <w:sz w:val="18"/>
              </w:rPr>
              <w:t>steps</w:t>
            </w:r>
            <w:r>
              <w:rPr>
                <w:spacing w:val="-9"/>
                <w:sz w:val="18"/>
              </w:rPr>
              <w:t xml:space="preserve"> </w:t>
            </w:r>
            <w:r>
              <w:rPr>
                <w:sz w:val="18"/>
              </w:rPr>
              <w:t>3</w:t>
            </w:r>
            <w:r>
              <w:rPr>
                <w:spacing w:val="-11"/>
                <w:sz w:val="18"/>
              </w:rPr>
              <w:t xml:space="preserve"> </w:t>
            </w:r>
            <w:r>
              <w:rPr>
                <w:sz w:val="18"/>
              </w:rPr>
              <w:t>and</w:t>
            </w:r>
          </w:p>
          <w:p w14:paraId="0DFDB7BF" w14:textId="77777777" w:rsidR="00046465" w:rsidRDefault="008134EB">
            <w:pPr>
              <w:pStyle w:val="TableParagraph"/>
              <w:spacing w:before="2"/>
              <w:ind w:left="107"/>
              <w:rPr>
                <w:sz w:val="18"/>
              </w:rPr>
            </w:pPr>
            <w:r>
              <w:rPr>
                <w:spacing w:val="-5"/>
                <w:sz w:val="18"/>
              </w:rPr>
              <w:t>4.</w:t>
            </w:r>
          </w:p>
        </w:tc>
      </w:tr>
    </w:tbl>
    <w:p w14:paraId="0DFDB7C1" w14:textId="77777777" w:rsidR="00046465" w:rsidRDefault="00046465">
      <w:pPr>
        <w:pStyle w:val="BodyText"/>
        <w:rPr>
          <w:sz w:val="20"/>
        </w:rPr>
      </w:pPr>
    </w:p>
    <w:p w14:paraId="0DFDB7C2" w14:textId="77777777" w:rsidR="00046465" w:rsidRDefault="00046465">
      <w:pPr>
        <w:pStyle w:val="BodyText"/>
        <w:rPr>
          <w:sz w:val="20"/>
        </w:rPr>
      </w:pPr>
    </w:p>
    <w:p w14:paraId="0DFDB7C3" w14:textId="77777777" w:rsidR="00046465" w:rsidRDefault="008134EB">
      <w:pPr>
        <w:pStyle w:val="BodyText"/>
        <w:spacing w:before="134"/>
        <w:rPr>
          <w:sz w:val="20"/>
        </w:rPr>
      </w:pPr>
      <w:r>
        <w:rPr>
          <w:noProof/>
          <w:sz w:val="20"/>
        </w:rPr>
        <mc:AlternateContent>
          <mc:Choice Requires="wps">
            <w:drawing>
              <wp:anchor distT="0" distB="0" distL="0" distR="0" simplePos="0" relativeHeight="487649280" behindDoc="1" locked="0" layoutInCell="1" allowOverlap="1" wp14:anchorId="0DFDD60B" wp14:editId="0DFDD60C">
                <wp:simplePos x="0" y="0"/>
                <wp:positionH relativeFrom="page">
                  <wp:posOffset>685800</wp:posOffset>
                </wp:positionH>
                <wp:positionV relativeFrom="paragraph">
                  <wp:posOffset>246404</wp:posOffset>
                </wp:positionV>
                <wp:extent cx="1828800" cy="6985"/>
                <wp:effectExtent l="0" t="0" r="0" b="0"/>
                <wp:wrapTopAndBottom/>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945118" id="Graphic 552" o:spid="_x0000_s1026" style="position:absolute;margin-left:54pt;margin-top:19.4pt;width:2in;height:.55pt;z-index:-1566720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" path="m1828800,l,,,6857r1828800,l1828800,xe" fillcolor="black" stroked="f">
                <v:path arrowok="t"/>
                <w10:wrap type="topAndBottom" anchorx="page"/>
              </v:shape>
            </w:pict>
          </mc:Fallback>
        </mc:AlternateContent>
      </w:r>
    </w:p>
    <w:p w14:paraId="0DFDB7C4" w14:textId="77777777" w:rsidR="00046465" w:rsidRDefault="008134EB">
      <w:pPr>
        <w:spacing w:before="217" w:line="244" w:lineRule="auto"/>
        <w:ind w:left="359" w:right="422"/>
        <w:rPr>
          <w:sz w:val="18"/>
        </w:rPr>
      </w:pPr>
      <w:r>
        <w:rPr>
          <w:position w:val="7"/>
          <w:sz w:val="14"/>
        </w:rPr>
        <w:t>4</w:t>
      </w:r>
      <w:r>
        <w:rPr>
          <w:sz w:val="18"/>
        </w:rPr>
        <w:t>A direct loan is a disbursement of funds by the U.S. government to a nonfederal borrower under a contract that requires the repayment of such funds with or without interest.</w:t>
      </w:r>
      <w:r>
        <w:rPr>
          <w:spacing w:val="-2"/>
          <w:sz w:val="18"/>
        </w:rPr>
        <w:t xml:space="preserve"> </w:t>
      </w:r>
      <w:r>
        <w:rPr>
          <w:sz w:val="18"/>
        </w:rPr>
        <w:t>The</w:t>
      </w:r>
      <w:r>
        <w:rPr>
          <w:spacing w:val="-3"/>
          <w:sz w:val="18"/>
        </w:rPr>
        <w:t xml:space="preserve"> </w:t>
      </w:r>
      <w:r>
        <w:rPr>
          <w:sz w:val="18"/>
        </w:rPr>
        <w:t>term</w:t>
      </w:r>
      <w:r>
        <w:rPr>
          <w:spacing w:val="-2"/>
          <w:sz w:val="18"/>
        </w:rPr>
        <w:t xml:space="preserve"> </w:t>
      </w:r>
      <w:r>
        <w:rPr>
          <w:sz w:val="18"/>
        </w:rPr>
        <w:t>also</w:t>
      </w:r>
      <w:r>
        <w:rPr>
          <w:spacing w:val="-3"/>
          <w:sz w:val="18"/>
        </w:rPr>
        <w:t xml:space="preserve"> </w:t>
      </w:r>
      <w:r>
        <w:rPr>
          <w:sz w:val="18"/>
        </w:rPr>
        <w:t>includes</w:t>
      </w:r>
      <w:r>
        <w:rPr>
          <w:spacing w:val="-2"/>
          <w:sz w:val="18"/>
        </w:rPr>
        <w:t xml:space="preserve"> </w:t>
      </w:r>
      <w:r>
        <w:rPr>
          <w:sz w:val="18"/>
        </w:rPr>
        <w:t>the</w:t>
      </w:r>
      <w:r>
        <w:rPr>
          <w:spacing w:val="-3"/>
          <w:sz w:val="18"/>
        </w:rPr>
        <w:t xml:space="preserve"> </w:t>
      </w:r>
      <w:r>
        <w:rPr>
          <w:sz w:val="18"/>
        </w:rPr>
        <w:t>purchase</w:t>
      </w:r>
      <w:r>
        <w:rPr>
          <w:spacing w:val="-1"/>
          <w:sz w:val="18"/>
        </w:rPr>
        <w:t xml:space="preserve"> </w:t>
      </w:r>
      <w:r>
        <w:rPr>
          <w:sz w:val="18"/>
        </w:rPr>
        <w:t>of,</w:t>
      </w:r>
      <w:r>
        <w:rPr>
          <w:spacing w:val="-2"/>
          <w:sz w:val="18"/>
        </w:rPr>
        <w:t xml:space="preserve"> </w:t>
      </w:r>
      <w:r>
        <w:rPr>
          <w:sz w:val="18"/>
        </w:rPr>
        <w:t>or</w:t>
      </w:r>
      <w:r>
        <w:rPr>
          <w:spacing w:val="-2"/>
          <w:sz w:val="18"/>
        </w:rPr>
        <w:t xml:space="preserve"> </w:t>
      </w:r>
      <w:r>
        <w:rPr>
          <w:sz w:val="18"/>
        </w:rPr>
        <w:t>participation</w:t>
      </w:r>
      <w:r>
        <w:rPr>
          <w:spacing w:val="-3"/>
          <w:sz w:val="18"/>
        </w:rPr>
        <w:t xml:space="preserve"> </w:t>
      </w:r>
      <w:r>
        <w:rPr>
          <w:sz w:val="18"/>
        </w:rPr>
        <w:t>in,</w:t>
      </w:r>
      <w:r>
        <w:rPr>
          <w:spacing w:val="-2"/>
          <w:sz w:val="18"/>
        </w:rPr>
        <w:t xml:space="preserve"> </w:t>
      </w:r>
      <w:r>
        <w:rPr>
          <w:sz w:val="18"/>
        </w:rPr>
        <w:t>a</w:t>
      </w:r>
      <w:r>
        <w:rPr>
          <w:spacing w:val="-3"/>
          <w:sz w:val="18"/>
        </w:rPr>
        <w:t xml:space="preserve"> </w:t>
      </w:r>
      <w:r>
        <w:rPr>
          <w:sz w:val="18"/>
        </w:rPr>
        <w:t>loan</w:t>
      </w:r>
      <w:r>
        <w:rPr>
          <w:spacing w:val="-1"/>
          <w:sz w:val="18"/>
        </w:rPr>
        <w:t xml:space="preserve"> </w:t>
      </w:r>
      <w:r>
        <w:rPr>
          <w:sz w:val="18"/>
        </w:rPr>
        <w:t>made</w:t>
      </w:r>
      <w:r>
        <w:rPr>
          <w:spacing w:val="-3"/>
          <w:sz w:val="18"/>
        </w:rPr>
        <w:t xml:space="preserve"> </w:t>
      </w:r>
      <w:r>
        <w:rPr>
          <w:sz w:val="18"/>
        </w:rPr>
        <w:t>by</w:t>
      </w:r>
      <w:r>
        <w:rPr>
          <w:spacing w:val="-2"/>
          <w:sz w:val="18"/>
        </w:rPr>
        <w:t xml:space="preserve"> </w:t>
      </w:r>
      <w:r>
        <w:rPr>
          <w:sz w:val="18"/>
        </w:rPr>
        <w:t>another</w:t>
      </w:r>
      <w:r>
        <w:rPr>
          <w:spacing w:val="-2"/>
          <w:sz w:val="18"/>
        </w:rPr>
        <w:t xml:space="preserve"> </w:t>
      </w:r>
      <w:r>
        <w:rPr>
          <w:sz w:val="18"/>
        </w:rPr>
        <w:t>lender.</w:t>
      </w:r>
      <w:r>
        <w:rPr>
          <w:spacing w:val="-2"/>
          <w:sz w:val="18"/>
        </w:rPr>
        <w:t xml:space="preserve"> </w:t>
      </w:r>
      <w:r>
        <w:rPr>
          <w:sz w:val="18"/>
        </w:rPr>
        <w:t>The</w:t>
      </w:r>
      <w:r>
        <w:rPr>
          <w:spacing w:val="-3"/>
          <w:sz w:val="18"/>
        </w:rPr>
        <w:t xml:space="preserve"> </w:t>
      </w:r>
      <w:r>
        <w:rPr>
          <w:sz w:val="18"/>
        </w:rPr>
        <w:t>term</w:t>
      </w:r>
      <w:r>
        <w:rPr>
          <w:spacing w:val="-2"/>
          <w:sz w:val="18"/>
        </w:rPr>
        <w:t xml:space="preserve"> </w:t>
      </w:r>
      <w:r>
        <w:rPr>
          <w:sz w:val="18"/>
        </w:rPr>
        <w:t>does</w:t>
      </w:r>
      <w:r>
        <w:rPr>
          <w:spacing w:val="-2"/>
          <w:sz w:val="18"/>
        </w:rPr>
        <w:t xml:space="preserve"> </w:t>
      </w:r>
      <w:r>
        <w:rPr>
          <w:sz w:val="18"/>
        </w:rPr>
        <w:t>not</w:t>
      </w:r>
      <w:r>
        <w:rPr>
          <w:spacing w:val="-2"/>
          <w:sz w:val="18"/>
        </w:rPr>
        <w:t xml:space="preserve"> </w:t>
      </w:r>
      <w:r>
        <w:rPr>
          <w:sz w:val="18"/>
        </w:rPr>
        <w:t>include</w:t>
      </w:r>
      <w:r>
        <w:rPr>
          <w:spacing w:val="-3"/>
          <w:sz w:val="18"/>
        </w:rPr>
        <w:t xml:space="preserve"> </w:t>
      </w:r>
      <w:r>
        <w:rPr>
          <w:sz w:val="18"/>
        </w:rPr>
        <w:t>the</w:t>
      </w:r>
      <w:r>
        <w:rPr>
          <w:spacing w:val="-3"/>
          <w:sz w:val="18"/>
        </w:rPr>
        <w:t xml:space="preserve"> </w:t>
      </w:r>
      <w:r>
        <w:rPr>
          <w:sz w:val="18"/>
        </w:rPr>
        <w:t>acquisition</w:t>
      </w:r>
      <w:r>
        <w:rPr>
          <w:spacing w:val="-3"/>
          <w:sz w:val="18"/>
        </w:rPr>
        <w:t xml:space="preserve"> </w:t>
      </w:r>
      <w:r>
        <w:rPr>
          <w:sz w:val="18"/>
        </w:rPr>
        <w:t>of</w:t>
      </w:r>
      <w:r>
        <w:rPr>
          <w:spacing w:val="-2"/>
          <w:sz w:val="18"/>
        </w:rPr>
        <w:t xml:space="preserve"> </w:t>
      </w:r>
      <w:r>
        <w:rPr>
          <w:sz w:val="18"/>
        </w:rPr>
        <w:t>a</w:t>
      </w:r>
      <w:r>
        <w:rPr>
          <w:spacing w:val="-3"/>
          <w:sz w:val="18"/>
        </w:rPr>
        <w:t xml:space="preserve"> </w:t>
      </w:r>
      <w:r>
        <w:rPr>
          <w:sz w:val="18"/>
        </w:rPr>
        <w:t>federally</w:t>
      </w:r>
      <w:r>
        <w:rPr>
          <w:spacing w:val="-1"/>
          <w:sz w:val="18"/>
        </w:rPr>
        <w:t xml:space="preserve"> </w:t>
      </w:r>
      <w:r>
        <w:rPr>
          <w:sz w:val="18"/>
        </w:rPr>
        <w:t>guaranteed loan in satisfaction of default claims or the price support loans of the Commodity Credit Corporation. 2 U.S.C. § 661a(1).</w:t>
      </w:r>
    </w:p>
    <w:p w14:paraId="0DFDB7C5" w14:textId="77777777" w:rsidR="00046465" w:rsidRDefault="008134EB">
      <w:pPr>
        <w:spacing w:before="122"/>
        <w:ind w:left="360"/>
        <w:rPr>
          <w:sz w:val="18"/>
        </w:rPr>
      </w:pPr>
      <w:r>
        <w:rPr>
          <w:position w:val="7"/>
          <w:sz w:val="14"/>
        </w:rPr>
        <w:t>5</w:t>
      </w:r>
      <w:r>
        <w:rPr>
          <w:sz w:val="18"/>
        </w:rPr>
        <w:t>A</w:t>
      </w:r>
      <w:r>
        <w:rPr>
          <w:spacing w:val="-4"/>
          <w:sz w:val="18"/>
        </w:rPr>
        <w:t xml:space="preserve"> </w:t>
      </w:r>
      <w:r>
        <w:rPr>
          <w:sz w:val="18"/>
        </w:rPr>
        <w:t>direct</w:t>
      </w:r>
      <w:r>
        <w:rPr>
          <w:spacing w:val="-2"/>
          <w:sz w:val="18"/>
        </w:rPr>
        <w:t xml:space="preserve"> </w:t>
      </w:r>
      <w:r>
        <w:rPr>
          <w:sz w:val="18"/>
        </w:rPr>
        <w:t>loan</w:t>
      </w:r>
      <w:r>
        <w:rPr>
          <w:spacing w:val="-3"/>
          <w:sz w:val="18"/>
        </w:rPr>
        <w:t xml:space="preserve"> </w:t>
      </w:r>
      <w:r>
        <w:rPr>
          <w:sz w:val="18"/>
        </w:rPr>
        <w:t>obligation</w:t>
      </w:r>
      <w:r>
        <w:rPr>
          <w:spacing w:val="-3"/>
          <w:sz w:val="18"/>
        </w:rPr>
        <w:t xml:space="preserve"> </w:t>
      </w:r>
      <w:r>
        <w:rPr>
          <w:sz w:val="18"/>
        </w:rPr>
        <w:t>is</w:t>
      </w:r>
      <w:r>
        <w:rPr>
          <w:spacing w:val="-2"/>
          <w:sz w:val="18"/>
        </w:rPr>
        <w:t xml:space="preserve"> </w:t>
      </w:r>
      <w:r>
        <w:rPr>
          <w:sz w:val="18"/>
        </w:rPr>
        <w:t>a</w:t>
      </w:r>
      <w:r>
        <w:rPr>
          <w:spacing w:val="-3"/>
          <w:sz w:val="18"/>
        </w:rPr>
        <w:t xml:space="preserve"> </w:t>
      </w:r>
      <w:r>
        <w:rPr>
          <w:sz w:val="18"/>
        </w:rPr>
        <w:t>binding</w:t>
      </w:r>
      <w:r>
        <w:rPr>
          <w:spacing w:val="-3"/>
          <w:sz w:val="18"/>
        </w:rPr>
        <w:t xml:space="preserve"> </w:t>
      </w:r>
      <w:r>
        <w:rPr>
          <w:sz w:val="18"/>
        </w:rPr>
        <w:t>agreement</w:t>
      </w:r>
      <w:r>
        <w:rPr>
          <w:spacing w:val="-2"/>
          <w:sz w:val="18"/>
        </w:rPr>
        <w:t xml:space="preserve"> </w:t>
      </w:r>
      <w:r>
        <w:rPr>
          <w:sz w:val="18"/>
        </w:rPr>
        <w:t>by</w:t>
      </w:r>
      <w:r>
        <w:rPr>
          <w:spacing w:val="-2"/>
          <w:sz w:val="18"/>
        </w:rPr>
        <w:t xml:space="preserve"> </w:t>
      </w:r>
      <w:r>
        <w:rPr>
          <w:sz w:val="18"/>
        </w:rPr>
        <w:t>a</w:t>
      </w:r>
      <w:r>
        <w:rPr>
          <w:spacing w:val="-2"/>
          <w:sz w:val="18"/>
        </w:rPr>
        <w:t xml:space="preserve"> </w:t>
      </w:r>
      <w:r>
        <w:rPr>
          <w:sz w:val="18"/>
        </w:rPr>
        <w:t>federal</w:t>
      </w:r>
      <w:r>
        <w:rPr>
          <w:spacing w:val="-2"/>
          <w:sz w:val="18"/>
        </w:rPr>
        <w:t xml:space="preserve"> </w:t>
      </w:r>
      <w:r>
        <w:rPr>
          <w:sz w:val="18"/>
        </w:rPr>
        <w:t>entity</w:t>
      </w:r>
      <w:r>
        <w:rPr>
          <w:spacing w:val="-2"/>
          <w:sz w:val="18"/>
        </w:rPr>
        <w:t xml:space="preserve"> </w:t>
      </w:r>
      <w:r>
        <w:rPr>
          <w:sz w:val="18"/>
        </w:rPr>
        <w:t>to</w:t>
      </w:r>
      <w:r>
        <w:rPr>
          <w:spacing w:val="-3"/>
          <w:sz w:val="18"/>
        </w:rPr>
        <w:t xml:space="preserve"> </w:t>
      </w:r>
      <w:r>
        <w:rPr>
          <w:sz w:val="18"/>
        </w:rPr>
        <w:t>make</w:t>
      </w:r>
      <w:r>
        <w:rPr>
          <w:spacing w:val="-3"/>
          <w:sz w:val="18"/>
        </w:rPr>
        <w:t xml:space="preserve"> </w:t>
      </w:r>
      <w:r>
        <w:rPr>
          <w:sz w:val="18"/>
        </w:rPr>
        <w:t>a</w:t>
      </w:r>
      <w:r>
        <w:rPr>
          <w:spacing w:val="-3"/>
          <w:sz w:val="18"/>
        </w:rPr>
        <w:t xml:space="preserve"> </w:t>
      </w:r>
      <w:r>
        <w:rPr>
          <w:sz w:val="18"/>
        </w:rPr>
        <w:t>direct</w:t>
      </w:r>
      <w:r>
        <w:rPr>
          <w:spacing w:val="-2"/>
          <w:sz w:val="18"/>
        </w:rPr>
        <w:t xml:space="preserve"> </w:t>
      </w:r>
      <w:r>
        <w:rPr>
          <w:sz w:val="18"/>
        </w:rPr>
        <w:t>loan</w:t>
      </w:r>
      <w:r>
        <w:rPr>
          <w:spacing w:val="-3"/>
          <w:sz w:val="18"/>
        </w:rPr>
        <w:t xml:space="preserve"> </w:t>
      </w:r>
      <w:r>
        <w:rPr>
          <w:sz w:val="18"/>
        </w:rPr>
        <w:t>when</w:t>
      </w:r>
      <w:r>
        <w:rPr>
          <w:spacing w:val="-3"/>
          <w:sz w:val="18"/>
        </w:rPr>
        <w:t xml:space="preserve"> </w:t>
      </w:r>
      <w:r>
        <w:rPr>
          <w:sz w:val="18"/>
        </w:rPr>
        <w:t>specified</w:t>
      </w:r>
      <w:r>
        <w:rPr>
          <w:spacing w:val="-2"/>
          <w:sz w:val="18"/>
        </w:rPr>
        <w:t xml:space="preserve"> </w:t>
      </w:r>
      <w:r>
        <w:rPr>
          <w:sz w:val="18"/>
        </w:rPr>
        <w:t>conditions</w:t>
      </w:r>
      <w:r>
        <w:rPr>
          <w:spacing w:val="-1"/>
          <w:sz w:val="18"/>
        </w:rPr>
        <w:t xml:space="preserve"> </w:t>
      </w:r>
      <w:r>
        <w:rPr>
          <w:sz w:val="18"/>
        </w:rPr>
        <w:t>are</w:t>
      </w:r>
      <w:r>
        <w:rPr>
          <w:spacing w:val="-3"/>
          <w:sz w:val="18"/>
        </w:rPr>
        <w:t xml:space="preserve"> </w:t>
      </w:r>
      <w:r>
        <w:rPr>
          <w:sz w:val="18"/>
        </w:rPr>
        <w:t>fulfilled</w:t>
      </w:r>
      <w:r>
        <w:rPr>
          <w:spacing w:val="-3"/>
          <w:sz w:val="18"/>
        </w:rPr>
        <w:t xml:space="preserve"> </w:t>
      </w:r>
      <w:r>
        <w:rPr>
          <w:sz w:val="18"/>
        </w:rPr>
        <w:t>by</w:t>
      </w:r>
      <w:r>
        <w:rPr>
          <w:spacing w:val="-2"/>
          <w:sz w:val="18"/>
        </w:rPr>
        <w:t xml:space="preserve"> </w:t>
      </w:r>
      <w:r>
        <w:rPr>
          <w:sz w:val="18"/>
        </w:rPr>
        <w:t>the</w:t>
      </w:r>
      <w:r>
        <w:rPr>
          <w:spacing w:val="-3"/>
          <w:sz w:val="18"/>
        </w:rPr>
        <w:t xml:space="preserve"> </w:t>
      </w:r>
      <w:r>
        <w:rPr>
          <w:sz w:val="18"/>
        </w:rPr>
        <w:t>borrower.</w:t>
      </w:r>
      <w:r>
        <w:rPr>
          <w:spacing w:val="-2"/>
          <w:sz w:val="18"/>
        </w:rPr>
        <w:t xml:space="preserve"> </w:t>
      </w:r>
      <w:r>
        <w:rPr>
          <w:sz w:val="18"/>
        </w:rPr>
        <w:t>2</w:t>
      </w:r>
      <w:r>
        <w:rPr>
          <w:spacing w:val="-3"/>
          <w:sz w:val="18"/>
        </w:rPr>
        <w:t xml:space="preserve"> </w:t>
      </w:r>
      <w:r>
        <w:rPr>
          <w:sz w:val="18"/>
        </w:rPr>
        <w:t>U.S.C.</w:t>
      </w:r>
      <w:r>
        <w:rPr>
          <w:spacing w:val="-2"/>
          <w:sz w:val="18"/>
        </w:rPr>
        <w:t xml:space="preserve"> </w:t>
      </w:r>
      <w:r>
        <w:rPr>
          <w:sz w:val="18"/>
        </w:rPr>
        <w:t>§</w:t>
      </w:r>
      <w:r>
        <w:rPr>
          <w:spacing w:val="-1"/>
          <w:sz w:val="18"/>
        </w:rPr>
        <w:t xml:space="preserve"> </w:t>
      </w:r>
      <w:r>
        <w:rPr>
          <w:spacing w:val="-2"/>
          <w:sz w:val="18"/>
        </w:rPr>
        <w:t>661a(2).</w:t>
      </w:r>
    </w:p>
    <w:p w14:paraId="0DFDB7C6" w14:textId="77777777" w:rsidR="00046465" w:rsidRDefault="008134EB">
      <w:pPr>
        <w:spacing w:before="133" w:line="244" w:lineRule="auto"/>
        <w:ind w:left="360" w:right="422" w:hanging="1"/>
        <w:rPr>
          <w:sz w:val="18"/>
        </w:rPr>
      </w:pPr>
      <w:r>
        <w:rPr>
          <w:position w:val="7"/>
          <w:sz w:val="14"/>
        </w:rPr>
        <w:t>6</w:t>
      </w:r>
      <w:r>
        <w:rPr>
          <w:sz w:val="18"/>
        </w:rPr>
        <w:t>Appropriations or other budget authority to cover the cost of budget obligations for direct loan obligations must be enacted in advance of new direct loan obligations made</w:t>
      </w:r>
      <w:r>
        <w:rPr>
          <w:spacing w:val="-3"/>
          <w:sz w:val="18"/>
        </w:rPr>
        <w:t xml:space="preserve"> </w:t>
      </w:r>
      <w:r>
        <w:rPr>
          <w:sz w:val="18"/>
        </w:rPr>
        <w:t>on</w:t>
      </w:r>
      <w:r>
        <w:rPr>
          <w:spacing w:val="-3"/>
          <w:sz w:val="18"/>
        </w:rPr>
        <w:t xml:space="preserve"> </w:t>
      </w:r>
      <w:r>
        <w:rPr>
          <w:sz w:val="18"/>
        </w:rPr>
        <w:t>or</w:t>
      </w:r>
      <w:r>
        <w:rPr>
          <w:spacing w:val="-2"/>
          <w:sz w:val="18"/>
        </w:rPr>
        <w:t xml:space="preserve"> </w:t>
      </w:r>
      <w:r>
        <w:rPr>
          <w:sz w:val="18"/>
        </w:rPr>
        <w:t>after</w:t>
      </w:r>
      <w:r>
        <w:rPr>
          <w:spacing w:val="-2"/>
          <w:sz w:val="18"/>
        </w:rPr>
        <w:t xml:space="preserve"> </w:t>
      </w:r>
      <w:r>
        <w:rPr>
          <w:sz w:val="18"/>
        </w:rPr>
        <w:t>October</w:t>
      </w:r>
      <w:r>
        <w:rPr>
          <w:spacing w:val="-2"/>
          <w:sz w:val="18"/>
        </w:rPr>
        <w:t xml:space="preserve"> </w:t>
      </w:r>
      <w:r>
        <w:rPr>
          <w:sz w:val="18"/>
        </w:rPr>
        <w:t>1,</w:t>
      </w:r>
      <w:r>
        <w:rPr>
          <w:spacing w:val="-2"/>
          <w:sz w:val="18"/>
        </w:rPr>
        <w:t xml:space="preserve"> </w:t>
      </w:r>
      <w:r>
        <w:rPr>
          <w:sz w:val="18"/>
        </w:rPr>
        <w:t>1991.</w:t>
      </w:r>
      <w:r>
        <w:rPr>
          <w:spacing w:val="-2"/>
          <w:sz w:val="18"/>
        </w:rPr>
        <w:t xml:space="preserve"> </w:t>
      </w:r>
      <w:r>
        <w:rPr>
          <w:sz w:val="18"/>
        </w:rPr>
        <w:t>2</w:t>
      </w:r>
      <w:r>
        <w:rPr>
          <w:spacing w:val="-3"/>
          <w:sz w:val="18"/>
        </w:rPr>
        <w:t xml:space="preserve"> </w:t>
      </w:r>
      <w:r>
        <w:rPr>
          <w:sz w:val="18"/>
        </w:rPr>
        <w:t>U.S.C.</w:t>
      </w:r>
      <w:r>
        <w:rPr>
          <w:spacing w:val="-2"/>
          <w:sz w:val="18"/>
        </w:rPr>
        <w:t xml:space="preserve"> </w:t>
      </w:r>
      <w:r>
        <w:rPr>
          <w:sz w:val="18"/>
        </w:rPr>
        <w:t>§</w:t>
      </w:r>
      <w:r>
        <w:rPr>
          <w:spacing w:val="-2"/>
          <w:sz w:val="18"/>
        </w:rPr>
        <w:t xml:space="preserve"> </w:t>
      </w:r>
      <w:r>
        <w:rPr>
          <w:sz w:val="18"/>
        </w:rPr>
        <w:t>661c(b).</w:t>
      </w:r>
      <w:r>
        <w:rPr>
          <w:spacing w:val="-2"/>
          <w:sz w:val="18"/>
        </w:rPr>
        <w:t xml:space="preserve"> </w:t>
      </w:r>
      <w:r>
        <w:rPr>
          <w:sz w:val="18"/>
        </w:rPr>
        <w:t>For</w:t>
      </w:r>
      <w:r>
        <w:rPr>
          <w:spacing w:val="-2"/>
          <w:sz w:val="18"/>
        </w:rPr>
        <w:t xml:space="preserve"> </w:t>
      </w:r>
      <w:r>
        <w:rPr>
          <w:sz w:val="18"/>
        </w:rPr>
        <w:t>revolving</w:t>
      </w:r>
      <w:r>
        <w:rPr>
          <w:spacing w:val="-3"/>
          <w:sz w:val="18"/>
        </w:rPr>
        <w:t xml:space="preserve"> </w:t>
      </w:r>
      <w:r>
        <w:rPr>
          <w:sz w:val="18"/>
        </w:rPr>
        <w:t>or</w:t>
      </w:r>
      <w:r>
        <w:rPr>
          <w:spacing w:val="-2"/>
          <w:sz w:val="18"/>
        </w:rPr>
        <w:t xml:space="preserve"> </w:t>
      </w:r>
      <w:r>
        <w:rPr>
          <w:sz w:val="18"/>
        </w:rPr>
        <w:t>other</w:t>
      </w:r>
      <w:r>
        <w:rPr>
          <w:spacing w:val="-2"/>
          <w:sz w:val="18"/>
        </w:rPr>
        <w:t xml:space="preserve"> </w:t>
      </w:r>
      <w:r>
        <w:rPr>
          <w:sz w:val="18"/>
        </w:rPr>
        <w:t>funds</w:t>
      </w:r>
      <w:r>
        <w:rPr>
          <w:spacing w:val="-2"/>
          <w:sz w:val="18"/>
        </w:rPr>
        <w:t xml:space="preserve"> </w:t>
      </w:r>
      <w:r>
        <w:rPr>
          <w:sz w:val="18"/>
        </w:rPr>
        <w:t>that</w:t>
      </w:r>
      <w:r>
        <w:rPr>
          <w:spacing w:val="-2"/>
          <w:sz w:val="18"/>
        </w:rPr>
        <w:t xml:space="preserve"> </w:t>
      </w:r>
      <w:r>
        <w:rPr>
          <w:sz w:val="18"/>
        </w:rPr>
        <w:t>otherwise</w:t>
      </w:r>
      <w:r>
        <w:rPr>
          <w:spacing w:val="-3"/>
          <w:sz w:val="18"/>
        </w:rPr>
        <w:t xml:space="preserve"> </w:t>
      </w:r>
      <w:r>
        <w:rPr>
          <w:sz w:val="18"/>
        </w:rPr>
        <w:t>would</w:t>
      </w:r>
      <w:r>
        <w:rPr>
          <w:spacing w:val="-3"/>
          <w:sz w:val="18"/>
        </w:rPr>
        <w:t xml:space="preserve"> </w:t>
      </w:r>
      <w:r>
        <w:rPr>
          <w:sz w:val="18"/>
        </w:rPr>
        <w:t>be</w:t>
      </w:r>
      <w:r>
        <w:rPr>
          <w:spacing w:val="-3"/>
          <w:sz w:val="18"/>
        </w:rPr>
        <w:t xml:space="preserve"> </w:t>
      </w:r>
      <w:r>
        <w:rPr>
          <w:sz w:val="18"/>
        </w:rPr>
        <w:t>available</w:t>
      </w:r>
      <w:r>
        <w:rPr>
          <w:spacing w:val="-3"/>
          <w:sz w:val="18"/>
        </w:rPr>
        <w:t xml:space="preserve"> </w:t>
      </w:r>
      <w:r>
        <w:rPr>
          <w:sz w:val="18"/>
        </w:rPr>
        <w:t>for</w:t>
      </w:r>
      <w:r>
        <w:rPr>
          <w:spacing w:val="-2"/>
          <w:sz w:val="18"/>
        </w:rPr>
        <w:t xml:space="preserve"> </w:t>
      </w:r>
      <w:r>
        <w:rPr>
          <w:sz w:val="18"/>
        </w:rPr>
        <w:t>these</w:t>
      </w:r>
      <w:r>
        <w:rPr>
          <w:spacing w:val="-3"/>
          <w:sz w:val="18"/>
        </w:rPr>
        <w:t xml:space="preserve"> </w:t>
      </w:r>
      <w:r>
        <w:rPr>
          <w:sz w:val="18"/>
        </w:rPr>
        <w:t>budget</w:t>
      </w:r>
      <w:r>
        <w:rPr>
          <w:spacing w:val="-2"/>
          <w:sz w:val="18"/>
        </w:rPr>
        <w:t xml:space="preserve"> </w:t>
      </w:r>
      <w:r>
        <w:rPr>
          <w:sz w:val="18"/>
        </w:rPr>
        <w:t>obligations,</w:t>
      </w:r>
      <w:r>
        <w:rPr>
          <w:spacing w:val="-2"/>
          <w:sz w:val="18"/>
        </w:rPr>
        <w:t xml:space="preserve"> </w:t>
      </w:r>
      <w:r>
        <w:rPr>
          <w:sz w:val="18"/>
        </w:rPr>
        <w:t>the</w:t>
      </w:r>
      <w:r>
        <w:rPr>
          <w:spacing w:val="-3"/>
          <w:sz w:val="18"/>
        </w:rPr>
        <w:t xml:space="preserve"> </w:t>
      </w:r>
      <w:r>
        <w:rPr>
          <w:sz w:val="18"/>
        </w:rPr>
        <w:t>Congress</w:t>
      </w:r>
      <w:r>
        <w:rPr>
          <w:spacing w:val="-2"/>
          <w:sz w:val="18"/>
        </w:rPr>
        <w:t xml:space="preserve"> </w:t>
      </w:r>
      <w:r>
        <w:rPr>
          <w:sz w:val="18"/>
        </w:rPr>
        <w:t>must enact a limit on the use of such funds for these purposes to make them available for use.</w:t>
      </w:r>
    </w:p>
    <w:p w14:paraId="0DFDB7C7" w14:textId="77777777" w:rsidR="00046465" w:rsidRDefault="00046465">
      <w:pPr>
        <w:spacing w:line="244" w:lineRule="auto"/>
        <w:rPr>
          <w:sz w:val="18"/>
        </w:rPr>
        <w:sectPr w:rsidR="00046465">
          <w:headerReference w:type="default" r:id="rId129"/>
          <w:footerReference w:type="default" r:id="rId130"/>
          <w:pgSz w:w="15840" w:h="12240" w:orient="landscape"/>
          <w:pgMar w:top="1380" w:right="1080" w:bottom="940" w:left="720" w:header="721" w:footer="742" w:gutter="0"/>
          <w:pgNumType w:start="1"/>
          <w:cols w:space="720"/>
        </w:sectPr>
      </w:pPr>
    </w:p>
    <w:p w14:paraId="0DFDB7C8" w14:textId="77777777" w:rsidR="00046465" w:rsidRDefault="00046465">
      <w:pPr>
        <w:pStyle w:val="BodyText"/>
        <w:spacing w:before="9"/>
        <w:rPr>
          <w:sz w:val="7"/>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644"/>
        <w:gridCol w:w="2250"/>
        <w:gridCol w:w="1620"/>
        <w:gridCol w:w="1402"/>
        <w:gridCol w:w="1498"/>
        <w:gridCol w:w="1979"/>
      </w:tblGrid>
      <w:tr w:rsidR="00046465" w14:paraId="0DFDB7CC" w14:textId="77777777">
        <w:trPr>
          <w:trHeight w:val="1574"/>
        </w:trPr>
        <w:tc>
          <w:tcPr>
            <w:tcW w:w="13393" w:type="dxa"/>
            <w:gridSpan w:val="6"/>
          </w:tcPr>
          <w:p w14:paraId="0DFDB7C9" w14:textId="77777777" w:rsidR="00046465" w:rsidRDefault="008134EB">
            <w:pPr>
              <w:pStyle w:val="TableParagraph"/>
              <w:tabs>
                <w:tab w:val="left" w:pos="9319"/>
              </w:tabs>
              <w:spacing w:before="144"/>
              <w:ind w:right="1965"/>
              <w:jc w:val="center"/>
            </w:pPr>
            <w:r>
              <w:t>Name</w:t>
            </w:r>
            <w:r>
              <w:rPr>
                <w:spacing w:val="-5"/>
              </w:rPr>
              <w:t xml:space="preserve"> </w:t>
            </w:r>
            <w:r>
              <w:t>of</w:t>
            </w:r>
            <w:r>
              <w:rPr>
                <w:spacing w:val="-5"/>
              </w:rPr>
              <w:t xml:space="preserve"> </w:t>
            </w:r>
            <w:r>
              <w:rPr>
                <w:spacing w:val="-2"/>
              </w:rPr>
              <w:t>entity:</w:t>
            </w:r>
            <w:r>
              <w:tab/>
            </w:r>
            <w:bookmarkStart w:id="179" w:name="_bookmark74"/>
            <w:bookmarkStart w:id="180" w:name="_bookmark75"/>
            <w:bookmarkStart w:id="181" w:name="_bookmark76"/>
            <w:bookmarkStart w:id="182" w:name="_bookmark77"/>
            <w:bookmarkEnd w:id="179"/>
            <w:bookmarkEnd w:id="180"/>
            <w:bookmarkEnd w:id="181"/>
            <w:bookmarkEnd w:id="182"/>
            <w:r>
              <w:t>Prepared</w:t>
            </w:r>
            <w:r>
              <w:rPr>
                <w:spacing w:val="-11"/>
              </w:rPr>
              <w:t xml:space="preserve"> </w:t>
            </w:r>
            <w:r>
              <w:rPr>
                <w:spacing w:val="-5"/>
              </w:rPr>
              <w:t>by:</w:t>
            </w:r>
          </w:p>
          <w:p w14:paraId="0DFDB7CA" w14:textId="77777777" w:rsidR="00046465" w:rsidRDefault="008134EB">
            <w:pPr>
              <w:pStyle w:val="TableParagraph"/>
              <w:spacing w:before="12"/>
              <w:ind w:left="1972" w:right="1964"/>
              <w:jc w:val="center"/>
              <w:rPr>
                <w:b/>
                <w:sz w:val="24"/>
              </w:rPr>
            </w:pPr>
            <w:r>
              <w:rPr>
                <w:b/>
                <w:noProof/>
                <w:sz w:val="24"/>
              </w:rPr>
              <mc:AlternateContent>
                <mc:Choice Requires="wpg">
                  <w:drawing>
                    <wp:anchor distT="0" distB="0" distL="0" distR="0" simplePos="0" relativeHeight="476118528" behindDoc="1" locked="0" layoutInCell="1" allowOverlap="1" wp14:anchorId="0DFDD60D" wp14:editId="0DFDD60E">
                      <wp:simplePos x="0" y="0"/>
                      <wp:positionH relativeFrom="column">
                        <wp:posOffset>7052309</wp:posOffset>
                      </wp:positionH>
                      <wp:positionV relativeFrom="paragraph">
                        <wp:posOffset>91882</wp:posOffset>
                      </wp:positionV>
                      <wp:extent cx="1371600" cy="6350"/>
                      <wp:effectExtent l="0" t="0" r="0" b="0"/>
                      <wp:wrapNone/>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554" name="Graphic 554"/>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E6A3E5" id="Group 553" o:spid="_x0000_s1026" style="position:absolute;margin-left:555.3pt;margin-top:7.25pt;width:108pt;height:.5pt;z-index:-27197952;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">
                      <v:shape id="Graphic 554"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" path="m1371600,l,,,6108r1371600,l1371600,xe" fillcolor="black" stroked="f">
                        <v:path arrowok="t"/>
                      </v:shape>
                    </v:group>
                  </w:pict>
                </mc:Fallback>
              </mc:AlternateContent>
            </w:r>
            <w:r>
              <w:rPr>
                <w:b/>
                <w:noProof/>
                <w:sz w:val="24"/>
              </w:rPr>
              <mc:AlternateContent>
                <mc:Choice Requires="wpg">
                  <w:drawing>
                    <wp:anchor distT="0" distB="0" distL="0" distR="0" simplePos="0" relativeHeight="476119552" behindDoc="1" locked="0" layoutInCell="1" allowOverlap="1" wp14:anchorId="0DFDD60F" wp14:editId="0DFDD610">
                      <wp:simplePos x="0" y="0"/>
                      <wp:positionH relativeFrom="column">
                        <wp:posOffset>7052309</wp:posOffset>
                      </wp:positionH>
                      <wp:positionV relativeFrom="paragraph">
                        <wp:posOffset>441640</wp:posOffset>
                      </wp:positionV>
                      <wp:extent cx="1371600" cy="6350"/>
                      <wp:effectExtent l="0" t="0" r="0" b="0"/>
                      <wp:wrapNone/>
                      <wp:docPr id="555" name="Group 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556" name="Graphic 556"/>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21BA851" id="Group 555" o:spid="_x0000_s1026" style="position:absolute;margin-left:555.3pt;margin-top:34.75pt;width:108pt;height:.5pt;z-index:-27196928;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">
                      <v:shape id="Graphic 556"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" path="m1371600,l,,,6108r1371600,l1371600,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7CB" w14:textId="77777777" w:rsidR="00046465" w:rsidRDefault="008134EB">
            <w:pPr>
              <w:pStyle w:val="TableParagraph"/>
              <w:tabs>
                <w:tab w:val="left" w:pos="9013"/>
              </w:tabs>
              <w:spacing w:before="10"/>
              <w:ind w:right="1720"/>
              <w:jc w:val="center"/>
            </w:pPr>
            <w:r>
              <w:rPr>
                <w:noProof/>
              </w:rPr>
              <mc:AlternateContent>
                <mc:Choice Requires="wpg">
                  <w:drawing>
                    <wp:anchor distT="0" distB="0" distL="0" distR="0" simplePos="0" relativeHeight="476118016" behindDoc="1" locked="0" layoutInCell="1" allowOverlap="1" wp14:anchorId="0DFDD611" wp14:editId="0DFDD612">
                      <wp:simplePos x="0" y="0"/>
                      <wp:positionH relativeFrom="column">
                        <wp:posOffset>1274825</wp:posOffset>
                      </wp:positionH>
                      <wp:positionV relativeFrom="paragraph">
                        <wp:posOffset>-91198</wp:posOffset>
                      </wp:positionV>
                      <wp:extent cx="1205865" cy="6350"/>
                      <wp:effectExtent l="0" t="0" r="0" b="0"/>
                      <wp:wrapNone/>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558" name="Graphic 558"/>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E1986F1" id="Group 557" o:spid="_x0000_s1026" style="position:absolute;margin-left:100.4pt;margin-top:-7.2pt;width:94.95pt;height:.5pt;z-index:-27198464;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">
                      <v:shape id="Graphic 558"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" path="m1205484,l,,,6108r1205484,l1205484,xe" fillcolor="black" stroked="f">
                        <v:path arrowok="t"/>
                      </v:shape>
                    </v:group>
                  </w:pict>
                </mc:Fallback>
              </mc:AlternateContent>
            </w:r>
            <w:r>
              <w:rPr>
                <w:noProof/>
              </w:rPr>
              <mc:AlternateContent>
                <mc:Choice Requires="wpg">
                  <w:drawing>
                    <wp:anchor distT="0" distB="0" distL="0" distR="0" simplePos="0" relativeHeight="476119040" behindDoc="1" locked="0" layoutInCell="1" allowOverlap="1" wp14:anchorId="0DFDD613" wp14:editId="0DFDD614">
                      <wp:simplePos x="0" y="0"/>
                      <wp:positionH relativeFrom="column">
                        <wp:posOffset>1274825</wp:posOffset>
                      </wp:positionH>
                      <wp:positionV relativeFrom="paragraph">
                        <wp:posOffset>258559</wp:posOffset>
                      </wp:positionV>
                      <wp:extent cx="1205865" cy="6350"/>
                      <wp:effectExtent l="0" t="0" r="0" b="0"/>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560" name="Graphic 560"/>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F3DFAC" id="Group 559" o:spid="_x0000_s1026" style="position:absolute;margin-left:100.4pt;margin-top:20.35pt;width:94.95pt;height:.5pt;z-index:-27197440;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">
                      <v:shape id="Graphic 560"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" path="m1205484,l,,,6108r1205484,l1205484,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7D6" w14:textId="77777777">
        <w:trPr>
          <w:trHeight w:val="793"/>
        </w:trPr>
        <w:tc>
          <w:tcPr>
            <w:tcW w:w="4644" w:type="dxa"/>
            <w:tcBorders>
              <w:right w:val="single" w:sz="4" w:space="0" w:color="000000"/>
            </w:tcBorders>
          </w:tcPr>
          <w:p w14:paraId="0DFDB7CD" w14:textId="77777777" w:rsidR="00046465" w:rsidRDefault="00046465">
            <w:pPr>
              <w:pStyle w:val="TableParagraph"/>
              <w:spacing w:before="143"/>
            </w:pPr>
          </w:p>
          <w:p w14:paraId="0DFDB7CE" w14:textId="77777777" w:rsidR="00046465" w:rsidRDefault="008134EB">
            <w:pPr>
              <w:pStyle w:val="TableParagraph"/>
              <w:ind w:left="97"/>
            </w:pPr>
            <w:r>
              <w:t>Provision</w:t>
            </w:r>
            <w:r>
              <w:rPr>
                <w:spacing w:val="-11"/>
              </w:rPr>
              <w:t xml:space="preserve"> </w:t>
            </w:r>
            <w:r>
              <w:rPr>
                <w:spacing w:val="-2"/>
              </w:rPr>
              <w:t>Description</w:t>
            </w:r>
          </w:p>
        </w:tc>
        <w:tc>
          <w:tcPr>
            <w:tcW w:w="2250" w:type="dxa"/>
            <w:tcBorders>
              <w:left w:val="single" w:sz="4" w:space="0" w:color="000000"/>
              <w:right w:val="single" w:sz="4" w:space="0" w:color="000000"/>
            </w:tcBorders>
          </w:tcPr>
          <w:p w14:paraId="0DFDB7CF" w14:textId="77777777" w:rsidR="00046465" w:rsidRDefault="00046465">
            <w:pPr>
              <w:pStyle w:val="TableParagraph"/>
              <w:spacing w:before="143"/>
            </w:pPr>
          </w:p>
          <w:p w14:paraId="0DFDB7D0" w14:textId="77777777" w:rsidR="00046465" w:rsidRDefault="008134EB">
            <w:pPr>
              <w:pStyle w:val="TableParagraph"/>
              <w:ind w:left="107"/>
            </w:pPr>
            <w:r>
              <w:rPr>
                <w:spacing w:val="-2"/>
              </w:rPr>
              <w:t>Objective</w:t>
            </w:r>
          </w:p>
        </w:tc>
        <w:tc>
          <w:tcPr>
            <w:tcW w:w="1620" w:type="dxa"/>
            <w:tcBorders>
              <w:left w:val="single" w:sz="4" w:space="0" w:color="000000"/>
              <w:right w:val="single" w:sz="4" w:space="0" w:color="000000"/>
            </w:tcBorders>
          </w:tcPr>
          <w:p w14:paraId="0DFDB7D1" w14:textId="77777777" w:rsidR="00046465" w:rsidRDefault="008134EB">
            <w:pPr>
              <w:pStyle w:val="TableParagraph"/>
              <w:spacing w:before="143"/>
              <w:ind w:left="107" w:right="215"/>
            </w:pPr>
            <w:r>
              <w:rPr>
                <w:spacing w:val="-2"/>
              </w:rPr>
              <w:t>Control Activities</w:t>
            </w:r>
          </w:p>
        </w:tc>
        <w:tc>
          <w:tcPr>
            <w:tcW w:w="1402" w:type="dxa"/>
            <w:tcBorders>
              <w:left w:val="single" w:sz="4" w:space="0" w:color="000000"/>
              <w:right w:val="single" w:sz="4" w:space="0" w:color="000000"/>
            </w:tcBorders>
          </w:tcPr>
          <w:p w14:paraId="0DFDB7D2" w14:textId="77777777" w:rsidR="00046465" w:rsidRDefault="00046465">
            <w:pPr>
              <w:pStyle w:val="TableParagraph"/>
              <w:spacing w:before="143"/>
            </w:pPr>
          </w:p>
          <w:p w14:paraId="0DFDB7D3" w14:textId="77777777" w:rsidR="00046465" w:rsidRDefault="008134EB">
            <w:pPr>
              <w:pStyle w:val="TableParagraph"/>
              <w:ind w:left="107"/>
            </w:pPr>
            <w:r>
              <w:t>IS</w:t>
            </w:r>
            <w:r>
              <w:rPr>
                <w:spacing w:val="-3"/>
              </w:rPr>
              <w:t xml:space="preserve"> </w:t>
            </w:r>
            <w:r>
              <w:rPr>
                <w:spacing w:val="-2"/>
              </w:rPr>
              <w:t>(Y/N)</w:t>
            </w:r>
          </w:p>
        </w:tc>
        <w:tc>
          <w:tcPr>
            <w:tcW w:w="1498" w:type="dxa"/>
            <w:tcBorders>
              <w:left w:val="single" w:sz="4" w:space="0" w:color="000000"/>
              <w:right w:val="single" w:sz="4" w:space="0" w:color="000000"/>
            </w:tcBorders>
          </w:tcPr>
          <w:p w14:paraId="0DFDB7D4" w14:textId="77777777" w:rsidR="00046465" w:rsidRDefault="008134EB">
            <w:pPr>
              <w:pStyle w:val="TableParagraph"/>
              <w:spacing w:before="143"/>
              <w:ind w:left="107"/>
            </w:pPr>
            <w:r>
              <w:rPr>
                <w:spacing w:val="-2"/>
              </w:rPr>
              <w:t>Effective controls?</w:t>
            </w:r>
          </w:p>
        </w:tc>
        <w:tc>
          <w:tcPr>
            <w:tcW w:w="1979" w:type="dxa"/>
            <w:tcBorders>
              <w:left w:val="single" w:sz="4" w:space="0" w:color="000000"/>
            </w:tcBorders>
          </w:tcPr>
          <w:p w14:paraId="0DFDB7D5" w14:textId="77777777" w:rsidR="00046465" w:rsidRDefault="008134EB">
            <w:pPr>
              <w:pStyle w:val="TableParagraph"/>
              <w:spacing w:before="143"/>
              <w:ind w:left="107" w:right="140"/>
            </w:pPr>
            <w:r>
              <w:t xml:space="preserve">Instances of </w:t>
            </w:r>
            <w:r>
              <w:rPr>
                <w:spacing w:val="-2"/>
              </w:rPr>
              <w:t>noncompliance?</w:t>
            </w:r>
          </w:p>
        </w:tc>
      </w:tr>
      <w:tr w:rsidR="00046465" w14:paraId="0DFDB7DF" w14:textId="77777777">
        <w:trPr>
          <w:trHeight w:val="2026"/>
        </w:trPr>
        <w:tc>
          <w:tcPr>
            <w:tcW w:w="4644" w:type="dxa"/>
            <w:tcBorders>
              <w:bottom w:val="single" w:sz="4" w:space="0" w:color="000000"/>
              <w:right w:val="single" w:sz="4" w:space="0" w:color="000000"/>
            </w:tcBorders>
          </w:tcPr>
          <w:p w14:paraId="0DFDB7D7" w14:textId="77777777" w:rsidR="00046465" w:rsidRDefault="008134EB">
            <w:pPr>
              <w:pStyle w:val="TableParagraph"/>
              <w:spacing w:before="145"/>
              <w:ind w:left="97"/>
              <w:rPr>
                <w:sz w:val="18"/>
              </w:rPr>
            </w:pPr>
            <w:r>
              <w:rPr>
                <w:smallCaps/>
                <w:sz w:val="18"/>
              </w:rPr>
              <w:t>804.02.</w:t>
            </w:r>
            <w:r>
              <w:rPr>
                <w:smallCaps/>
                <w:spacing w:val="-4"/>
                <w:sz w:val="18"/>
              </w:rPr>
              <w:t xml:space="preserve"> </w:t>
            </w:r>
            <w:r>
              <w:rPr>
                <w:smallCaps/>
                <w:spacing w:val="14"/>
                <w:sz w:val="18"/>
              </w:rPr>
              <w:t xml:space="preserve"> </w:t>
            </w:r>
            <w:r>
              <w:rPr>
                <w:smallCaps/>
                <w:sz w:val="18"/>
              </w:rPr>
              <w:t>Modifications</w:t>
            </w:r>
            <w:r>
              <w:rPr>
                <w:smallCaps/>
                <w:spacing w:val="-5"/>
                <w:sz w:val="18"/>
              </w:rPr>
              <w:t xml:space="preserve"> </w:t>
            </w:r>
            <w:r>
              <w:rPr>
                <w:smallCaps/>
                <w:sz w:val="18"/>
              </w:rPr>
              <w:t>of</w:t>
            </w:r>
            <w:r>
              <w:rPr>
                <w:smallCaps/>
                <w:spacing w:val="-4"/>
                <w:sz w:val="18"/>
              </w:rPr>
              <w:t xml:space="preserve"> </w:t>
            </w:r>
            <w:r>
              <w:rPr>
                <w:smallCaps/>
                <w:sz w:val="18"/>
              </w:rPr>
              <w:t>Outstanding</w:t>
            </w:r>
            <w:r>
              <w:rPr>
                <w:smallCaps/>
                <w:spacing w:val="-4"/>
                <w:sz w:val="18"/>
              </w:rPr>
              <w:t xml:space="preserve"> </w:t>
            </w:r>
            <w:r>
              <w:rPr>
                <w:smallCaps/>
                <w:sz w:val="18"/>
              </w:rPr>
              <w:t>Direct</w:t>
            </w:r>
            <w:r>
              <w:rPr>
                <w:smallCaps/>
                <w:spacing w:val="-2"/>
                <w:sz w:val="18"/>
              </w:rPr>
              <w:t xml:space="preserve"> Loans.</w:t>
            </w:r>
          </w:p>
          <w:p w14:paraId="0DFDB7D8" w14:textId="77777777" w:rsidR="00046465" w:rsidRDefault="008134EB">
            <w:pPr>
              <w:pStyle w:val="TableParagraph"/>
              <w:spacing w:before="144"/>
              <w:ind w:left="97"/>
              <w:rPr>
                <w:sz w:val="18"/>
              </w:rPr>
            </w:pPr>
            <w:r>
              <w:rPr>
                <w:sz w:val="18"/>
              </w:rPr>
              <w:t>Provision</w:t>
            </w:r>
            <w:r>
              <w:rPr>
                <w:spacing w:val="-8"/>
                <w:sz w:val="18"/>
              </w:rPr>
              <w:t xml:space="preserve"> </w:t>
            </w:r>
            <w:r>
              <w:rPr>
                <w:sz w:val="18"/>
              </w:rPr>
              <w:t>Type:</w:t>
            </w:r>
            <w:r>
              <w:rPr>
                <w:spacing w:val="-6"/>
                <w:sz w:val="18"/>
              </w:rPr>
              <w:t xml:space="preserve"> </w:t>
            </w:r>
            <w:r>
              <w:rPr>
                <w:sz w:val="18"/>
              </w:rPr>
              <w:t>Quantitative-</w:t>
            </w:r>
            <w:r>
              <w:rPr>
                <w:spacing w:val="-2"/>
                <w:sz w:val="18"/>
              </w:rPr>
              <w:t>based.</w:t>
            </w:r>
          </w:p>
          <w:p w14:paraId="0DFDB7D9" w14:textId="77777777" w:rsidR="00046465" w:rsidRDefault="008134EB">
            <w:pPr>
              <w:pStyle w:val="TableParagraph"/>
              <w:spacing w:before="142"/>
              <w:ind w:left="97" w:right="137"/>
              <w:rPr>
                <w:sz w:val="18"/>
              </w:rPr>
            </w:pPr>
            <w:r>
              <w:rPr>
                <w:sz w:val="18"/>
              </w:rPr>
              <w:t>A</w:t>
            </w:r>
            <w:r>
              <w:rPr>
                <w:spacing w:val="-4"/>
                <w:sz w:val="18"/>
              </w:rPr>
              <w:t xml:space="preserve"> </w:t>
            </w:r>
            <w:r>
              <w:rPr>
                <w:sz w:val="18"/>
              </w:rPr>
              <w:t>direct</w:t>
            </w:r>
            <w:r>
              <w:rPr>
                <w:spacing w:val="-4"/>
                <w:sz w:val="18"/>
              </w:rPr>
              <w:t xml:space="preserve"> </w:t>
            </w:r>
            <w:r>
              <w:rPr>
                <w:sz w:val="18"/>
              </w:rPr>
              <w:t>loan</w:t>
            </w:r>
            <w:r>
              <w:rPr>
                <w:spacing w:val="-5"/>
                <w:sz w:val="18"/>
              </w:rPr>
              <w:t xml:space="preserve"> </w:t>
            </w:r>
            <w:r>
              <w:rPr>
                <w:sz w:val="18"/>
              </w:rPr>
              <w:t>obligation</w:t>
            </w:r>
            <w:r>
              <w:rPr>
                <w:spacing w:val="-5"/>
                <w:sz w:val="18"/>
              </w:rPr>
              <w:t xml:space="preserve"> </w:t>
            </w:r>
            <w:r>
              <w:rPr>
                <w:sz w:val="18"/>
              </w:rPr>
              <w:t>or</w:t>
            </w:r>
            <w:r>
              <w:rPr>
                <w:spacing w:val="-4"/>
                <w:sz w:val="18"/>
              </w:rPr>
              <w:t xml:space="preserve"> </w:t>
            </w:r>
            <w:r>
              <w:rPr>
                <w:sz w:val="18"/>
              </w:rPr>
              <w:t>a</w:t>
            </w:r>
            <w:r>
              <w:rPr>
                <w:spacing w:val="-5"/>
                <w:sz w:val="18"/>
              </w:rPr>
              <w:t xml:space="preserve"> </w:t>
            </w:r>
            <w:r>
              <w:rPr>
                <w:sz w:val="18"/>
              </w:rPr>
              <w:t>direct</w:t>
            </w:r>
            <w:r>
              <w:rPr>
                <w:spacing w:val="-4"/>
                <w:sz w:val="18"/>
              </w:rPr>
              <w:t xml:space="preserve"> </w:t>
            </w:r>
            <w:r>
              <w:rPr>
                <w:sz w:val="18"/>
              </w:rPr>
              <w:t>loan,</w:t>
            </w:r>
            <w:r>
              <w:rPr>
                <w:spacing w:val="-4"/>
                <w:sz w:val="18"/>
              </w:rPr>
              <w:t xml:space="preserve"> </w:t>
            </w:r>
            <w:r>
              <w:rPr>
                <w:sz w:val="18"/>
              </w:rPr>
              <w:t>either</w:t>
            </w:r>
            <w:r>
              <w:rPr>
                <w:spacing w:val="-4"/>
                <w:sz w:val="18"/>
              </w:rPr>
              <w:t xml:space="preserve"> </w:t>
            </w:r>
            <w:r>
              <w:rPr>
                <w:sz w:val="18"/>
              </w:rPr>
              <w:t>of</w:t>
            </w:r>
            <w:r>
              <w:rPr>
                <w:spacing w:val="-4"/>
                <w:sz w:val="18"/>
              </w:rPr>
              <w:t xml:space="preserve"> </w:t>
            </w:r>
            <w:r>
              <w:rPr>
                <w:sz w:val="18"/>
              </w:rPr>
              <w:t>which is currently outstanding, shall not be modified in a manner</w:t>
            </w:r>
            <w:r>
              <w:rPr>
                <w:spacing w:val="-3"/>
                <w:sz w:val="18"/>
              </w:rPr>
              <w:t xml:space="preserve"> </w:t>
            </w:r>
            <w:r>
              <w:rPr>
                <w:sz w:val="18"/>
              </w:rPr>
              <w:t>that</w:t>
            </w:r>
            <w:r>
              <w:rPr>
                <w:spacing w:val="-3"/>
                <w:sz w:val="18"/>
              </w:rPr>
              <w:t xml:space="preserve"> </w:t>
            </w:r>
            <w:r>
              <w:rPr>
                <w:sz w:val="18"/>
              </w:rPr>
              <w:t>increases</w:t>
            </w:r>
            <w:r>
              <w:rPr>
                <w:spacing w:val="-3"/>
                <w:sz w:val="18"/>
              </w:rPr>
              <w:t xml:space="preserve"> </w:t>
            </w:r>
            <w:r>
              <w:rPr>
                <w:sz w:val="18"/>
              </w:rPr>
              <w:t>its</w:t>
            </w:r>
            <w:r>
              <w:rPr>
                <w:spacing w:val="-3"/>
                <w:sz w:val="18"/>
              </w:rPr>
              <w:t xml:space="preserve"> </w:t>
            </w:r>
            <w:r>
              <w:rPr>
                <w:sz w:val="18"/>
              </w:rPr>
              <w:t>cost</w:t>
            </w:r>
            <w:r>
              <w:rPr>
                <w:spacing w:val="-3"/>
                <w:sz w:val="18"/>
              </w:rPr>
              <w:t xml:space="preserve"> </w:t>
            </w:r>
            <w:r>
              <w:rPr>
                <w:sz w:val="18"/>
              </w:rPr>
              <w:t>unless</w:t>
            </w:r>
            <w:r>
              <w:rPr>
                <w:spacing w:val="-3"/>
                <w:sz w:val="18"/>
              </w:rPr>
              <w:t xml:space="preserve"> </w:t>
            </w:r>
            <w:r>
              <w:rPr>
                <w:sz w:val="18"/>
              </w:rPr>
              <w:t>budget</w:t>
            </w:r>
            <w:r>
              <w:rPr>
                <w:spacing w:val="-3"/>
                <w:sz w:val="18"/>
              </w:rPr>
              <w:t xml:space="preserve"> </w:t>
            </w:r>
            <w:r>
              <w:rPr>
                <w:sz w:val="18"/>
              </w:rPr>
              <w:t>authority for the additional cost is available.</w:t>
            </w:r>
            <w:hyperlink w:anchor="_bookmark74" w:history="1">
              <w:r>
                <w:rPr>
                  <w:position w:val="6"/>
                  <w:sz w:val="12"/>
                </w:rPr>
                <w:t>10</w:t>
              </w:r>
            </w:hyperlink>
            <w:r>
              <w:rPr>
                <w:position w:val="6"/>
                <w:sz w:val="12"/>
              </w:rPr>
              <w:t>,</w:t>
            </w:r>
            <w:r>
              <w:rPr>
                <w:spacing w:val="-19"/>
                <w:position w:val="6"/>
                <w:sz w:val="12"/>
              </w:rPr>
              <w:t xml:space="preserve"> </w:t>
            </w:r>
            <w:hyperlink w:anchor="_bookmark75" w:history="1">
              <w:r>
                <w:rPr>
                  <w:position w:val="6"/>
                  <w:sz w:val="12"/>
                </w:rPr>
                <w:t>11</w:t>
              </w:r>
            </w:hyperlink>
            <w:r>
              <w:rPr>
                <w:position w:val="6"/>
                <w:sz w:val="12"/>
              </w:rPr>
              <w:t>,</w:t>
            </w:r>
            <w:hyperlink w:anchor="_bookmark76" w:history="1">
              <w:r>
                <w:rPr>
                  <w:position w:val="6"/>
                  <w:sz w:val="12"/>
                </w:rPr>
                <w:t>12</w:t>
              </w:r>
            </w:hyperlink>
            <w:r>
              <w:rPr>
                <w:spacing w:val="36"/>
                <w:position w:val="6"/>
                <w:sz w:val="12"/>
              </w:rPr>
              <w:t xml:space="preserve"> </w:t>
            </w:r>
            <w:r>
              <w:rPr>
                <w:sz w:val="18"/>
              </w:rPr>
              <w:t xml:space="preserve">2 U.S.C. § </w:t>
            </w:r>
            <w:r>
              <w:rPr>
                <w:spacing w:val="-2"/>
                <w:sz w:val="18"/>
              </w:rPr>
              <w:t>661c(e).</w:t>
            </w:r>
          </w:p>
        </w:tc>
        <w:tc>
          <w:tcPr>
            <w:tcW w:w="2250" w:type="dxa"/>
            <w:tcBorders>
              <w:left w:val="single" w:sz="4" w:space="0" w:color="000000"/>
              <w:bottom w:val="single" w:sz="4" w:space="0" w:color="000000"/>
              <w:right w:val="single" w:sz="4" w:space="0" w:color="000000"/>
            </w:tcBorders>
          </w:tcPr>
          <w:p w14:paraId="0DFDB7DA" w14:textId="77777777" w:rsidR="00046465" w:rsidRDefault="008134EB">
            <w:pPr>
              <w:pStyle w:val="TableParagraph"/>
              <w:spacing w:before="143"/>
              <w:ind w:left="107" w:right="151"/>
              <w:rPr>
                <w:sz w:val="18"/>
              </w:rPr>
            </w:pPr>
            <w:r>
              <w:rPr>
                <w:sz w:val="18"/>
              </w:rPr>
              <w:t>Modifications made to outstanding direct loan obligations or outstanding direct loans do not exceed the available budget authority.</w:t>
            </w:r>
            <w:r>
              <w:rPr>
                <w:spacing w:val="-15"/>
                <w:sz w:val="18"/>
              </w:rPr>
              <w:t xml:space="preserve"> </w:t>
            </w:r>
            <w:r>
              <w:rPr>
                <w:sz w:val="18"/>
              </w:rPr>
              <w:t>(See</w:t>
            </w:r>
            <w:r>
              <w:rPr>
                <w:spacing w:val="-12"/>
                <w:sz w:val="18"/>
              </w:rPr>
              <w:t xml:space="preserve"> </w:t>
            </w:r>
            <w:r>
              <w:rPr>
                <w:sz w:val="18"/>
              </w:rPr>
              <w:t>footnotes 9 through 11 below.)</w:t>
            </w:r>
          </w:p>
        </w:tc>
        <w:tc>
          <w:tcPr>
            <w:tcW w:w="1620" w:type="dxa"/>
            <w:tcBorders>
              <w:left w:val="single" w:sz="4" w:space="0" w:color="000000"/>
              <w:bottom w:val="single" w:sz="4" w:space="0" w:color="000000"/>
              <w:right w:val="single" w:sz="4" w:space="0" w:color="000000"/>
            </w:tcBorders>
          </w:tcPr>
          <w:p w14:paraId="0DFDB7DB" w14:textId="77777777" w:rsidR="00046465" w:rsidRDefault="008134EB">
            <w:pPr>
              <w:pStyle w:val="TableParagraph"/>
              <w:spacing w:before="143"/>
              <w:ind w:left="107" w:right="195"/>
              <w:rPr>
                <w:position w:val="6"/>
                <w:sz w:val="12"/>
              </w:rPr>
            </w:pPr>
            <w:r>
              <w:rPr>
                <w:sz w:val="18"/>
              </w:rPr>
              <w:t>Consider pre-</w:t>
            </w:r>
            <w:r>
              <w:rPr>
                <w:spacing w:val="-2"/>
                <w:sz w:val="18"/>
              </w:rPr>
              <w:t xml:space="preserve">testing </w:t>
            </w:r>
            <w:r>
              <w:rPr>
                <w:sz w:val="18"/>
              </w:rPr>
              <w:t>discussions</w:t>
            </w:r>
            <w:r>
              <w:rPr>
                <w:spacing w:val="-13"/>
                <w:sz w:val="18"/>
              </w:rPr>
              <w:t xml:space="preserve"> </w:t>
            </w:r>
            <w:r>
              <w:rPr>
                <w:sz w:val="18"/>
              </w:rPr>
              <w:t xml:space="preserve">with </w:t>
            </w:r>
            <w:r>
              <w:rPr>
                <w:spacing w:val="-2"/>
                <w:sz w:val="18"/>
              </w:rPr>
              <w:t>OGC.</w:t>
            </w:r>
            <w:hyperlink w:anchor="_bookmark77" w:history="1">
              <w:r>
                <w:rPr>
                  <w:spacing w:val="-2"/>
                  <w:position w:val="6"/>
                  <w:sz w:val="12"/>
                </w:rPr>
                <w:t>13</w:t>
              </w:r>
            </w:hyperlink>
          </w:p>
        </w:tc>
        <w:tc>
          <w:tcPr>
            <w:tcW w:w="1402" w:type="dxa"/>
            <w:tcBorders>
              <w:left w:val="single" w:sz="4" w:space="0" w:color="000000"/>
              <w:bottom w:val="single" w:sz="4" w:space="0" w:color="000000"/>
              <w:right w:val="single" w:sz="4" w:space="0" w:color="000000"/>
            </w:tcBorders>
          </w:tcPr>
          <w:p w14:paraId="0DFDB7DC" w14:textId="77777777" w:rsidR="00046465" w:rsidRDefault="00046465">
            <w:pPr>
              <w:pStyle w:val="TableParagraph"/>
              <w:rPr>
                <w:rFonts w:ascii="Times New Roman"/>
                <w:sz w:val="18"/>
              </w:rPr>
            </w:pPr>
          </w:p>
        </w:tc>
        <w:tc>
          <w:tcPr>
            <w:tcW w:w="1498" w:type="dxa"/>
            <w:tcBorders>
              <w:left w:val="single" w:sz="4" w:space="0" w:color="000000"/>
              <w:bottom w:val="single" w:sz="4" w:space="0" w:color="000000"/>
              <w:right w:val="single" w:sz="4" w:space="0" w:color="000000"/>
            </w:tcBorders>
          </w:tcPr>
          <w:p w14:paraId="0DFDB7DD" w14:textId="77777777" w:rsidR="00046465" w:rsidRDefault="00046465">
            <w:pPr>
              <w:pStyle w:val="TableParagraph"/>
              <w:rPr>
                <w:rFonts w:ascii="Times New Roman"/>
                <w:sz w:val="18"/>
              </w:rPr>
            </w:pPr>
          </w:p>
        </w:tc>
        <w:tc>
          <w:tcPr>
            <w:tcW w:w="1979" w:type="dxa"/>
            <w:tcBorders>
              <w:left w:val="single" w:sz="4" w:space="0" w:color="000000"/>
              <w:bottom w:val="single" w:sz="4" w:space="0" w:color="000000"/>
            </w:tcBorders>
          </w:tcPr>
          <w:p w14:paraId="0DFDB7DE" w14:textId="77777777" w:rsidR="00046465" w:rsidRDefault="008134EB">
            <w:pPr>
              <w:pStyle w:val="TableParagraph"/>
              <w:spacing w:before="143"/>
              <w:ind w:left="107" w:right="414"/>
              <w:rPr>
                <w:sz w:val="18"/>
              </w:rPr>
            </w:pPr>
            <w:r>
              <w:rPr>
                <w:sz w:val="18"/>
              </w:rPr>
              <w:t>See Compliance Audit</w:t>
            </w:r>
            <w:r>
              <w:rPr>
                <w:spacing w:val="-13"/>
                <w:sz w:val="18"/>
              </w:rPr>
              <w:t xml:space="preserve"> </w:t>
            </w:r>
            <w:r>
              <w:rPr>
                <w:sz w:val="18"/>
              </w:rPr>
              <w:t>Procedures, FAM 804 step 3.</w:t>
            </w:r>
          </w:p>
        </w:tc>
      </w:tr>
    </w:tbl>
    <w:p w14:paraId="0DFDB7E0" w14:textId="77777777" w:rsidR="00046465" w:rsidRDefault="008134EB">
      <w:pPr>
        <w:pStyle w:val="BodyText"/>
        <w:spacing w:before="159"/>
        <w:rPr>
          <w:sz w:val="20"/>
        </w:rPr>
      </w:pPr>
      <w:r>
        <w:rPr>
          <w:noProof/>
          <w:sz w:val="20"/>
        </w:rPr>
        <mc:AlternateContent>
          <mc:Choice Requires="wps">
            <w:drawing>
              <wp:anchor distT="0" distB="0" distL="0" distR="0" simplePos="0" relativeHeight="487651840" behindDoc="1" locked="0" layoutInCell="1" allowOverlap="1" wp14:anchorId="0DFDD615" wp14:editId="0DFDD616">
                <wp:simplePos x="0" y="0"/>
                <wp:positionH relativeFrom="page">
                  <wp:posOffset>685800</wp:posOffset>
                </wp:positionH>
                <wp:positionV relativeFrom="paragraph">
                  <wp:posOffset>262763</wp:posOffset>
                </wp:positionV>
                <wp:extent cx="1828800" cy="6985"/>
                <wp:effectExtent l="0" t="0" r="0" b="0"/>
                <wp:wrapTopAndBottom/>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59CD44" id="Graphic 561" o:spid="_x0000_s1026" style="position:absolute;margin-left:54pt;margin-top:20.7pt;width:2in;height:.55pt;z-index:-156646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" path="m1828800,l,,,6858r1828800,l1828800,xe" fillcolor="black" stroked="f">
                <v:path arrowok="t"/>
                <w10:wrap type="topAndBottom" anchorx="page"/>
              </v:shape>
            </w:pict>
          </mc:Fallback>
        </mc:AlternateContent>
      </w:r>
    </w:p>
    <w:p w14:paraId="0DFDB7E1" w14:textId="77777777" w:rsidR="00046465" w:rsidRDefault="00046465">
      <w:pPr>
        <w:pStyle w:val="BodyText"/>
        <w:spacing w:before="10"/>
        <w:rPr>
          <w:sz w:val="18"/>
        </w:rPr>
      </w:pPr>
    </w:p>
    <w:p w14:paraId="0DFDB7E2" w14:textId="77777777" w:rsidR="00046465" w:rsidRDefault="008134EB">
      <w:pPr>
        <w:spacing w:line="244" w:lineRule="auto"/>
        <w:ind w:left="360" w:right="422" w:hanging="1"/>
        <w:rPr>
          <w:sz w:val="18"/>
        </w:rPr>
      </w:pPr>
      <w:r>
        <w:rPr>
          <w:position w:val="7"/>
          <w:sz w:val="14"/>
        </w:rPr>
        <w:t>7</w:t>
      </w:r>
      <w:r>
        <w:rPr>
          <w:sz w:val="18"/>
        </w:rPr>
        <w:t>Costs are defined as the estimated long-term cost to the U.S. government of a direct loan or a related loan modification, calculated on a net present value basis, excluding</w:t>
      </w:r>
      <w:r>
        <w:rPr>
          <w:spacing w:val="-3"/>
          <w:sz w:val="18"/>
        </w:rPr>
        <w:t xml:space="preserve"> </w:t>
      </w:r>
      <w:r>
        <w:rPr>
          <w:sz w:val="18"/>
        </w:rPr>
        <w:t>administrative</w:t>
      </w:r>
      <w:r>
        <w:rPr>
          <w:spacing w:val="-3"/>
          <w:sz w:val="18"/>
        </w:rPr>
        <w:t xml:space="preserve"> </w:t>
      </w:r>
      <w:r>
        <w:rPr>
          <w:sz w:val="18"/>
        </w:rPr>
        <w:t>costs</w:t>
      </w:r>
      <w:r>
        <w:rPr>
          <w:spacing w:val="-1"/>
          <w:sz w:val="18"/>
        </w:rPr>
        <w:t xml:space="preserve"> </w:t>
      </w:r>
      <w:r>
        <w:rPr>
          <w:sz w:val="18"/>
        </w:rPr>
        <w:t>and</w:t>
      </w:r>
      <w:r>
        <w:rPr>
          <w:spacing w:val="-3"/>
          <w:sz w:val="18"/>
        </w:rPr>
        <w:t xml:space="preserve"> </w:t>
      </w:r>
      <w:r>
        <w:rPr>
          <w:sz w:val="18"/>
        </w:rPr>
        <w:t>any</w:t>
      </w:r>
      <w:r>
        <w:rPr>
          <w:spacing w:val="-2"/>
          <w:sz w:val="18"/>
        </w:rPr>
        <w:t xml:space="preserve"> </w:t>
      </w:r>
      <w:r>
        <w:rPr>
          <w:sz w:val="18"/>
        </w:rPr>
        <w:t>incidental</w:t>
      </w:r>
      <w:r>
        <w:rPr>
          <w:spacing w:val="-2"/>
          <w:sz w:val="18"/>
        </w:rPr>
        <w:t xml:space="preserve"> </w:t>
      </w:r>
      <w:r>
        <w:rPr>
          <w:sz w:val="18"/>
        </w:rPr>
        <w:t>effects</w:t>
      </w:r>
      <w:r>
        <w:rPr>
          <w:spacing w:val="-2"/>
          <w:sz w:val="18"/>
        </w:rPr>
        <w:t xml:space="preserve"> </w:t>
      </w:r>
      <w:r>
        <w:rPr>
          <w:sz w:val="18"/>
        </w:rPr>
        <w:t>on</w:t>
      </w:r>
      <w:r>
        <w:rPr>
          <w:spacing w:val="-1"/>
          <w:sz w:val="18"/>
        </w:rPr>
        <w:t xml:space="preserve"> </w:t>
      </w:r>
      <w:r>
        <w:rPr>
          <w:sz w:val="18"/>
        </w:rPr>
        <w:t>governmental</w:t>
      </w:r>
      <w:r>
        <w:rPr>
          <w:spacing w:val="-2"/>
          <w:sz w:val="18"/>
        </w:rPr>
        <w:t xml:space="preserve"> </w:t>
      </w:r>
      <w:r>
        <w:rPr>
          <w:sz w:val="18"/>
        </w:rPr>
        <w:t>receipts</w:t>
      </w:r>
      <w:r>
        <w:rPr>
          <w:spacing w:val="-2"/>
          <w:sz w:val="18"/>
        </w:rPr>
        <w:t xml:space="preserve"> </w:t>
      </w:r>
      <w:r>
        <w:rPr>
          <w:sz w:val="18"/>
        </w:rPr>
        <w:t>or</w:t>
      </w:r>
      <w:r>
        <w:rPr>
          <w:spacing w:val="-2"/>
          <w:sz w:val="18"/>
        </w:rPr>
        <w:t xml:space="preserve"> </w:t>
      </w:r>
      <w:r>
        <w:rPr>
          <w:sz w:val="18"/>
        </w:rPr>
        <w:t>outlays.</w:t>
      </w:r>
      <w:r>
        <w:rPr>
          <w:spacing w:val="-2"/>
          <w:sz w:val="18"/>
        </w:rPr>
        <w:t xml:space="preserve"> </w:t>
      </w:r>
      <w:r>
        <w:rPr>
          <w:sz w:val="18"/>
        </w:rPr>
        <w:t>These</w:t>
      </w:r>
      <w:r>
        <w:rPr>
          <w:spacing w:val="-3"/>
          <w:sz w:val="18"/>
        </w:rPr>
        <w:t xml:space="preserve"> </w:t>
      </w:r>
      <w:r>
        <w:rPr>
          <w:sz w:val="18"/>
        </w:rPr>
        <w:t>calculations</w:t>
      </w:r>
      <w:r>
        <w:rPr>
          <w:spacing w:val="-2"/>
          <w:sz w:val="18"/>
        </w:rPr>
        <w:t xml:space="preserve"> </w:t>
      </w:r>
      <w:r>
        <w:rPr>
          <w:sz w:val="18"/>
        </w:rPr>
        <w:t>are</w:t>
      </w:r>
      <w:r>
        <w:rPr>
          <w:spacing w:val="-1"/>
          <w:sz w:val="18"/>
        </w:rPr>
        <w:t xml:space="preserve"> </w:t>
      </w:r>
      <w:r>
        <w:rPr>
          <w:sz w:val="18"/>
        </w:rPr>
        <w:t>described</w:t>
      </w:r>
      <w:r>
        <w:rPr>
          <w:spacing w:val="-3"/>
          <w:sz w:val="18"/>
        </w:rPr>
        <w:t xml:space="preserve"> </w:t>
      </w:r>
      <w:r>
        <w:rPr>
          <w:sz w:val="18"/>
        </w:rPr>
        <w:t>in</w:t>
      </w:r>
      <w:r>
        <w:rPr>
          <w:spacing w:val="-3"/>
          <w:sz w:val="18"/>
        </w:rPr>
        <w:t xml:space="preserve"> </w:t>
      </w:r>
      <w:r>
        <w:rPr>
          <w:sz w:val="18"/>
        </w:rPr>
        <w:t>further</w:t>
      </w:r>
      <w:r>
        <w:rPr>
          <w:spacing w:val="-2"/>
          <w:sz w:val="18"/>
        </w:rPr>
        <w:t xml:space="preserve"> </w:t>
      </w:r>
      <w:r>
        <w:rPr>
          <w:sz w:val="18"/>
        </w:rPr>
        <w:t>detail</w:t>
      </w:r>
      <w:r>
        <w:rPr>
          <w:spacing w:val="-2"/>
          <w:sz w:val="18"/>
        </w:rPr>
        <w:t xml:space="preserve"> </w:t>
      </w:r>
      <w:r>
        <w:rPr>
          <w:sz w:val="18"/>
        </w:rPr>
        <w:t>under</w:t>
      </w:r>
      <w:r>
        <w:rPr>
          <w:spacing w:val="-1"/>
          <w:sz w:val="18"/>
        </w:rPr>
        <w:t xml:space="preserve"> </w:t>
      </w:r>
      <w:r>
        <w:rPr>
          <w:sz w:val="18"/>
        </w:rPr>
        <w:t>the</w:t>
      </w:r>
      <w:r>
        <w:rPr>
          <w:spacing w:val="-3"/>
          <w:sz w:val="18"/>
        </w:rPr>
        <w:t xml:space="preserve"> </w:t>
      </w:r>
      <w:r>
        <w:rPr>
          <w:sz w:val="18"/>
        </w:rPr>
        <w:t>valuation control objective for obligations in FAM 395 F, Budget Control Objectives. 2 U.S.C. § 661a(5)(A).</w:t>
      </w:r>
    </w:p>
    <w:p w14:paraId="0DFDB7E3" w14:textId="77777777" w:rsidR="00046465" w:rsidRDefault="008134EB">
      <w:pPr>
        <w:spacing w:before="120" w:line="249" w:lineRule="auto"/>
        <w:ind w:left="360" w:right="422" w:hanging="1"/>
        <w:rPr>
          <w:sz w:val="18"/>
        </w:rPr>
      </w:pPr>
      <w:r>
        <w:rPr>
          <w:position w:val="7"/>
          <w:sz w:val="14"/>
        </w:rPr>
        <w:t>8</w:t>
      </w:r>
      <w:r>
        <w:rPr>
          <w:sz w:val="18"/>
        </w:rPr>
        <w:t>There</w:t>
      </w:r>
      <w:r>
        <w:rPr>
          <w:spacing w:val="-3"/>
          <w:sz w:val="18"/>
        </w:rPr>
        <w:t xml:space="preserve"> </w:t>
      </w:r>
      <w:r>
        <w:rPr>
          <w:sz w:val="18"/>
        </w:rPr>
        <w:t>is</w:t>
      </w:r>
      <w:r>
        <w:rPr>
          <w:spacing w:val="-2"/>
          <w:sz w:val="18"/>
        </w:rPr>
        <w:t xml:space="preserve"> </w:t>
      </w:r>
      <w:r>
        <w:rPr>
          <w:sz w:val="18"/>
        </w:rPr>
        <w:t>an</w:t>
      </w:r>
      <w:r>
        <w:rPr>
          <w:spacing w:val="-3"/>
          <w:sz w:val="18"/>
        </w:rPr>
        <w:t xml:space="preserve"> </w:t>
      </w:r>
      <w:r>
        <w:rPr>
          <w:sz w:val="18"/>
        </w:rPr>
        <w:t>exemption</w:t>
      </w:r>
      <w:r>
        <w:rPr>
          <w:spacing w:val="-3"/>
          <w:sz w:val="18"/>
        </w:rPr>
        <w:t xml:space="preserve"> </w:t>
      </w:r>
      <w:r>
        <w:rPr>
          <w:sz w:val="18"/>
        </w:rPr>
        <w:t>from</w:t>
      </w:r>
      <w:r>
        <w:rPr>
          <w:spacing w:val="-2"/>
          <w:sz w:val="18"/>
        </w:rPr>
        <w:t xml:space="preserve"> </w:t>
      </w:r>
      <w:r>
        <w:rPr>
          <w:sz w:val="18"/>
        </w:rPr>
        <w:t>the</w:t>
      </w:r>
      <w:r>
        <w:rPr>
          <w:spacing w:val="-3"/>
          <w:sz w:val="18"/>
        </w:rPr>
        <w:t xml:space="preserve"> </w:t>
      </w:r>
      <w:r>
        <w:rPr>
          <w:sz w:val="18"/>
        </w:rPr>
        <w:t>requirement</w:t>
      </w:r>
      <w:r>
        <w:rPr>
          <w:spacing w:val="-1"/>
          <w:sz w:val="18"/>
        </w:rPr>
        <w:t xml:space="preserve"> </w:t>
      </w:r>
      <w:r>
        <w:rPr>
          <w:sz w:val="18"/>
        </w:rPr>
        <w:t>regarding</w:t>
      </w:r>
      <w:r>
        <w:rPr>
          <w:spacing w:val="-1"/>
          <w:sz w:val="18"/>
        </w:rPr>
        <w:t xml:space="preserve"> </w:t>
      </w:r>
      <w:r>
        <w:rPr>
          <w:sz w:val="18"/>
        </w:rPr>
        <w:t>advance</w:t>
      </w:r>
      <w:r>
        <w:rPr>
          <w:spacing w:val="-3"/>
          <w:sz w:val="18"/>
        </w:rPr>
        <w:t xml:space="preserve"> </w:t>
      </w:r>
      <w:r>
        <w:rPr>
          <w:sz w:val="18"/>
        </w:rPr>
        <w:t>budget</w:t>
      </w:r>
      <w:r>
        <w:rPr>
          <w:spacing w:val="-2"/>
          <w:sz w:val="18"/>
        </w:rPr>
        <w:t xml:space="preserve"> </w:t>
      </w:r>
      <w:r>
        <w:rPr>
          <w:sz w:val="18"/>
        </w:rPr>
        <w:t>authority</w:t>
      </w:r>
      <w:r>
        <w:rPr>
          <w:spacing w:val="-2"/>
          <w:sz w:val="18"/>
        </w:rPr>
        <w:t xml:space="preserve"> </w:t>
      </w:r>
      <w:r>
        <w:rPr>
          <w:sz w:val="18"/>
        </w:rPr>
        <w:t>for</w:t>
      </w:r>
      <w:r>
        <w:rPr>
          <w:spacing w:val="-2"/>
          <w:sz w:val="18"/>
        </w:rPr>
        <w:t xml:space="preserve"> </w:t>
      </w:r>
      <w:r>
        <w:rPr>
          <w:sz w:val="18"/>
        </w:rPr>
        <w:t>entitlements</w:t>
      </w:r>
      <w:r>
        <w:rPr>
          <w:spacing w:val="-2"/>
          <w:sz w:val="18"/>
        </w:rPr>
        <w:t xml:space="preserve"> </w:t>
      </w:r>
      <w:r>
        <w:rPr>
          <w:sz w:val="18"/>
        </w:rPr>
        <w:t>(i.e.,</w:t>
      </w:r>
      <w:r>
        <w:rPr>
          <w:spacing w:val="-2"/>
          <w:sz w:val="18"/>
        </w:rPr>
        <w:t xml:space="preserve"> </w:t>
      </w:r>
      <w:r>
        <w:rPr>
          <w:sz w:val="18"/>
        </w:rPr>
        <w:t>mandatory</w:t>
      </w:r>
      <w:r>
        <w:rPr>
          <w:spacing w:val="-2"/>
          <w:sz w:val="18"/>
        </w:rPr>
        <w:t xml:space="preserve"> </w:t>
      </w:r>
      <w:r>
        <w:rPr>
          <w:sz w:val="18"/>
        </w:rPr>
        <w:t>programs)</w:t>
      </w:r>
      <w:r>
        <w:rPr>
          <w:spacing w:val="-2"/>
          <w:sz w:val="18"/>
        </w:rPr>
        <w:t xml:space="preserve"> </w:t>
      </w:r>
      <w:r>
        <w:rPr>
          <w:sz w:val="18"/>
        </w:rPr>
        <w:t>and</w:t>
      </w:r>
      <w:r>
        <w:rPr>
          <w:spacing w:val="-1"/>
          <w:sz w:val="18"/>
        </w:rPr>
        <w:t xml:space="preserve"> </w:t>
      </w:r>
      <w:r>
        <w:rPr>
          <w:sz w:val="18"/>
        </w:rPr>
        <w:t>credit</w:t>
      </w:r>
      <w:r>
        <w:rPr>
          <w:spacing w:val="-2"/>
          <w:sz w:val="18"/>
        </w:rPr>
        <w:t xml:space="preserve"> </w:t>
      </w:r>
      <w:r>
        <w:rPr>
          <w:sz w:val="18"/>
        </w:rPr>
        <w:t>programs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Commodity Credit Corporation existing on the date of enactment of FCRA (Nov. 5, 1990). 2 U.S.C. § 661c(c).</w:t>
      </w:r>
    </w:p>
    <w:p w14:paraId="0DFDB7E4" w14:textId="77777777" w:rsidR="00046465" w:rsidRDefault="008134EB">
      <w:pPr>
        <w:spacing w:before="118" w:line="242" w:lineRule="auto"/>
        <w:ind w:left="360" w:right="422" w:hanging="1"/>
        <w:rPr>
          <w:sz w:val="18"/>
        </w:rPr>
      </w:pPr>
      <w:r>
        <w:rPr>
          <w:position w:val="7"/>
          <w:sz w:val="14"/>
        </w:rPr>
        <w:t>9</w:t>
      </w:r>
      <w:r>
        <w:rPr>
          <w:sz w:val="18"/>
        </w:rPr>
        <w:t>The auditor should determine the results of the evaluation and testing of budget controls and testing of the Statement of Budgetary Resources. These controls relate to the execution of budget authority and usually are the same controls that are used to comply with the Antideficiency Act and FCRA. Accordingly, additional consideration of controls that achieve the compliance objective generally is not necessary if the auditor has assessed whether the entity achieves all of the budget control</w:t>
      </w:r>
      <w:r>
        <w:rPr>
          <w:spacing w:val="-2"/>
          <w:sz w:val="18"/>
        </w:rPr>
        <w:t xml:space="preserve"> </w:t>
      </w:r>
      <w:r>
        <w:rPr>
          <w:sz w:val="18"/>
        </w:rPr>
        <w:t>objectives</w:t>
      </w:r>
      <w:r>
        <w:rPr>
          <w:spacing w:val="-2"/>
          <w:sz w:val="18"/>
        </w:rPr>
        <w:t xml:space="preserve"> </w:t>
      </w:r>
      <w:r>
        <w:rPr>
          <w:sz w:val="18"/>
        </w:rPr>
        <w:t>listed</w:t>
      </w:r>
      <w:r>
        <w:rPr>
          <w:spacing w:val="-3"/>
          <w:sz w:val="18"/>
        </w:rPr>
        <w:t xml:space="preserve"> </w:t>
      </w:r>
      <w:r>
        <w:rPr>
          <w:sz w:val="18"/>
        </w:rPr>
        <w:t>in</w:t>
      </w:r>
      <w:r>
        <w:rPr>
          <w:spacing w:val="-3"/>
          <w:sz w:val="18"/>
        </w:rPr>
        <w:t xml:space="preserve"> </w:t>
      </w:r>
      <w:r>
        <w:rPr>
          <w:sz w:val="18"/>
        </w:rPr>
        <w:t>FAM</w:t>
      </w:r>
      <w:r>
        <w:rPr>
          <w:spacing w:val="-2"/>
          <w:sz w:val="18"/>
        </w:rPr>
        <w:t xml:space="preserve"> </w:t>
      </w:r>
      <w:r>
        <w:rPr>
          <w:sz w:val="18"/>
        </w:rPr>
        <w:t>395</w:t>
      </w:r>
      <w:r>
        <w:rPr>
          <w:spacing w:val="-3"/>
          <w:sz w:val="18"/>
        </w:rPr>
        <w:t xml:space="preserve"> </w:t>
      </w:r>
      <w:r>
        <w:rPr>
          <w:sz w:val="18"/>
        </w:rPr>
        <w:t>F,</w:t>
      </w:r>
      <w:r>
        <w:rPr>
          <w:spacing w:val="-2"/>
          <w:sz w:val="18"/>
        </w:rPr>
        <w:t xml:space="preserve"> </w:t>
      </w:r>
      <w:r>
        <w:rPr>
          <w:sz w:val="18"/>
        </w:rPr>
        <w:t>Budget</w:t>
      </w:r>
      <w:r>
        <w:rPr>
          <w:spacing w:val="-2"/>
          <w:sz w:val="18"/>
        </w:rPr>
        <w:t xml:space="preserve"> </w:t>
      </w:r>
      <w:r>
        <w:rPr>
          <w:sz w:val="18"/>
        </w:rPr>
        <w:t>Control</w:t>
      </w:r>
      <w:r>
        <w:rPr>
          <w:spacing w:val="-2"/>
          <w:sz w:val="18"/>
        </w:rPr>
        <w:t xml:space="preserve"> </w:t>
      </w:r>
      <w:r>
        <w:rPr>
          <w:sz w:val="18"/>
        </w:rPr>
        <w:t>Objective,</w:t>
      </w:r>
      <w:r>
        <w:rPr>
          <w:spacing w:val="-2"/>
          <w:sz w:val="18"/>
        </w:rPr>
        <w:t xml:space="preserve"> </w:t>
      </w:r>
      <w:r>
        <w:rPr>
          <w:sz w:val="18"/>
        </w:rPr>
        <w:t>including</w:t>
      </w:r>
      <w:r>
        <w:rPr>
          <w:spacing w:val="-1"/>
          <w:sz w:val="18"/>
        </w:rPr>
        <w:t xml:space="preserve"> </w:t>
      </w:r>
      <w:r>
        <w:rPr>
          <w:sz w:val="18"/>
        </w:rPr>
        <w:t>the</w:t>
      </w:r>
      <w:r>
        <w:rPr>
          <w:spacing w:val="-3"/>
          <w:sz w:val="18"/>
        </w:rPr>
        <w:t xml:space="preserve"> </w:t>
      </w:r>
      <w:r>
        <w:rPr>
          <w:sz w:val="18"/>
        </w:rPr>
        <w:t>supplemental</w:t>
      </w:r>
      <w:r>
        <w:rPr>
          <w:spacing w:val="-2"/>
          <w:sz w:val="18"/>
        </w:rPr>
        <w:t xml:space="preserve"> </w:t>
      </w:r>
      <w:r>
        <w:rPr>
          <w:sz w:val="18"/>
        </w:rPr>
        <w:t>control</w:t>
      </w:r>
      <w:r>
        <w:rPr>
          <w:spacing w:val="-2"/>
          <w:sz w:val="18"/>
        </w:rPr>
        <w:t xml:space="preserve"> </w:t>
      </w:r>
      <w:r>
        <w:rPr>
          <w:sz w:val="18"/>
        </w:rPr>
        <w:t>objectives</w:t>
      </w:r>
      <w:r>
        <w:rPr>
          <w:spacing w:val="-2"/>
          <w:sz w:val="18"/>
        </w:rPr>
        <w:t xml:space="preserve"> </w:t>
      </w:r>
      <w:r>
        <w:rPr>
          <w:sz w:val="18"/>
        </w:rPr>
        <w:t>for</w:t>
      </w:r>
      <w:r>
        <w:rPr>
          <w:spacing w:val="-2"/>
          <w:sz w:val="18"/>
        </w:rPr>
        <w:t xml:space="preserve"> </w:t>
      </w:r>
      <w:r>
        <w:rPr>
          <w:sz w:val="18"/>
        </w:rPr>
        <w:t>FCRA.</w:t>
      </w:r>
      <w:r>
        <w:rPr>
          <w:spacing w:val="-2"/>
          <w:sz w:val="18"/>
        </w:rPr>
        <w:t xml:space="preserve"> </w:t>
      </w:r>
      <w:r>
        <w:rPr>
          <w:sz w:val="18"/>
        </w:rPr>
        <w:t>The</w:t>
      </w:r>
      <w:r>
        <w:rPr>
          <w:spacing w:val="-1"/>
          <w:sz w:val="18"/>
        </w:rPr>
        <w:t xml:space="preserve"> </w:t>
      </w:r>
      <w:r>
        <w:rPr>
          <w:sz w:val="18"/>
        </w:rPr>
        <w:t>auditor</w:t>
      </w:r>
      <w:r>
        <w:rPr>
          <w:spacing w:val="-2"/>
          <w:sz w:val="18"/>
        </w:rPr>
        <w:t xml:space="preserve"> </w:t>
      </w:r>
      <w:r>
        <w:rPr>
          <w:sz w:val="18"/>
        </w:rPr>
        <w:t>should</w:t>
      </w:r>
      <w:r>
        <w:rPr>
          <w:spacing w:val="-3"/>
          <w:sz w:val="18"/>
        </w:rPr>
        <w:t xml:space="preserve"> </w:t>
      </w:r>
      <w:r>
        <w:rPr>
          <w:sz w:val="18"/>
        </w:rPr>
        <w:t>refer</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budget</w:t>
      </w:r>
      <w:r>
        <w:rPr>
          <w:spacing w:val="-2"/>
          <w:sz w:val="18"/>
        </w:rPr>
        <w:t xml:space="preserve"> </w:t>
      </w:r>
      <w:r>
        <w:rPr>
          <w:sz w:val="18"/>
        </w:rPr>
        <w:t>control evaluation and testing and perform any additional procedures considered necessary to conclude on whether compliance controls are effective.</w:t>
      </w:r>
    </w:p>
    <w:p w14:paraId="0DFDB7E5" w14:textId="77777777" w:rsidR="00046465" w:rsidRDefault="008134EB">
      <w:pPr>
        <w:spacing w:before="122" w:line="244" w:lineRule="auto"/>
        <w:ind w:left="359" w:right="546"/>
        <w:jc w:val="both"/>
        <w:rPr>
          <w:sz w:val="18"/>
        </w:rPr>
      </w:pPr>
      <w:r>
        <w:rPr>
          <w:position w:val="7"/>
          <w:sz w:val="14"/>
        </w:rPr>
        <w:t>10</w:t>
      </w:r>
      <w:r>
        <w:rPr>
          <w:sz w:val="18"/>
        </w:rPr>
        <w:t>Appropriations</w:t>
      </w:r>
      <w:r>
        <w:rPr>
          <w:spacing w:val="-1"/>
          <w:sz w:val="18"/>
        </w:rPr>
        <w:t xml:space="preserve"> </w:t>
      </w:r>
      <w:r>
        <w:rPr>
          <w:sz w:val="18"/>
        </w:rPr>
        <w:t>or</w:t>
      </w:r>
      <w:r>
        <w:rPr>
          <w:spacing w:val="-2"/>
          <w:sz w:val="18"/>
        </w:rPr>
        <w:t xml:space="preserve"> </w:t>
      </w:r>
      <w:r>
        <w:rPr>
          <w:sz w:val="18"/>
        </w:rPr>
        <w:t>other</w:t>
      </w:r>
      <w:r>
        <w:rPr>
          <w:spacing w:val="-2"/>
          <w:sz w:val="18"/>
        </w:rPr>
        <w:t xml:space="preserve"> </w:t>
      </w:r>
      <w:r>
        <w:rPr>
          <w:sz w:val="18"/>
        </w:rPr>
        <w:t>budget</w:t>
      </w:r>
      <w:r>
        <w:rPr>
          <w:spacing w:val="-2"/>
          <w:sz w:val="18"/>
        </w:rPr>
        <w:t xml:space="preserve"> </w:t>
      </w:r>
      <w:r>
        <w:rPr>
          <w:sz w:val="18"/>
        </w:rPr>
        <w:t>authority</w:t>
      </w:r>
      <w:r>
        <w:rPr>
          <w:spacing w:val="-2"/>
          <w:sz w:val="18"/>
        </w:rPr>
        <w:t xml:space="preserve"> </w:t>
      </w:r>
      <w:r>
        <w:rPr>
          <w:sz w:val="18"/>
        </w:rPr>
        <w:t>to</w:t>
      </w:r>
      <w:r>
        <w:rPr>
          <w:spacing w:val="-3"/>
          <w:sz w:val="18"/>
        </w:rPr>
        <w:t xml:space="preserve"> </w:t>
      </w:r>
      <w:r>
        <w:rPr>
          <w:sz w:val="18"/>
        </w:rPr>
        <w:t>cover</w:t>
      </w:r>
      <w:r>
        <w:rPr>
          <w:spacing w:val="-2"/>
          <w:sz w:val="18"/>
        </w:rPr>
        <w:t xml:space="preserve"> </w:t>
      </w:r>
      <w:r>
        <w:rPr>
          <w:sz w:val="18"/>
        </w:rPr>
        <w:t>the</w:t>
      </w:r>
      <w:r>
        <w:rPr>
          <w:spacing w:val="-3"/>
          <w:sz w:val="18"/>
        </w:rPr>
        <w:t xml:space="preserve"> </w:t>
      </w:r>
      <w:r>
        <w:rPr>
          <w:sz w:val="18"/>
        </w:rPr>
        <w:t>cost</w:t>
      </w:r>
      <w:r>
        <w:rPr>
          <w:spacing w:val="-2"/>
          <w:sz w:val="18"/>
        </w:rPr>
        <w:t xml:space="preserve"> </w:t>
      </w:r>
      <w:r>
        <w:rPr>
          <w:sz w:val="18"/>
        </w:rPr>
        <w:t>of</w:t>
      </w:r>
      <w:r>
        <w:rPr>
          <w:spacing w:val="-2"/>
          <w:sz w:val="18"/>
        </w:rPr>
        <w:t xml:space="preserve"> </w:t>
      </w:r>
      <w:r>
        <w:rPr>
          <w:sz w:val="18"/>
        </w:rPr>
        <w:t>budget</w:t>
      </w:r>
      <w:r>
        <w:rPr>
          <w:spacing w:val="-2"/>
          <w:sz w:val="18"/>
        </w:rPr>
        <w:t xml:space="preserve"> </w:t>
      </w:r>
      <w:r>
        <w:rPr>
          <w:sz w:val="18"/>
        </w:rPr>
        <w:t>obligations</w:t>
      </w:r>
      <w:r>
        <w:rPr>
          <w:spacing w:val="-2"/>
          <w:sz w:val="18"/>
        </w:rPr>
        <w:t xml:space="preserve"> </w:t>
      </w:r>
      <w:r>
        <w:rPr>
          <w:sz w:val="18"/>
        </w:rPr>
        <w:t>for</w:t>
      </w:r>
      <w:r>
        <w:rPr>
          <w:spacing w:val="-2"/>
          <w:sz w:val="18"/>
        </w:rPr>
        <w:t xml:space="preserve"> </w:t>
      </w:r>
      <w:r>
        <w:rPr>
          <w:sz w:val="18"/>
        </w:rPr>
        <w:t>direct</w:t>
      </w:r>
      <w:r>
        <w:rPr>
          <w:spacing w:val="-2"/>
          <w:sz w:val="18"/>
        </w:rPr>
        <w:t xml:space="preserve"> </w:t>
      </w:r>
      <w:r>
        <w:rPr>
          <w:sz w:val="18"/>
        </w:rPr>
        <w:t>loan</w:t>
      </w:r>
      <w:r>
        <w:rPr>
          <w:spacing w:val="-3"/>
          <w:sz w:val="18"/>
        </w:rPr>
        <w:t xml:space="preserve"> </w:t>
      </w:r>
      <w:r>
        <w:rPr>
          <w:sz w:val="18"/>
        </w:rPr>
        <w:t>obligations</w:t>
      </w:r>
      <w:r>
        <w:rPr>
          <w:spacing w:val="-1"/>
          <w:sz w:val="18"/>
        </w:rPr>
        <w:t xml:space="preserve"> </w:t>
      </w:r>
      <w:r>
        <w:rPr>
          <w:sz w:val="18"/>
        </w:rPr>
        <w:t>must</w:t>
      </w:r>
      <w:r>
        <w:rPr>
          <w:spacing w:val="-2"/>
          <w:sz w:val="18"/>
        </w:rPr>
        <w:t xml:space="preserve"> </w:t>
      </w:r>
      <w:r>
        <w:rPr>
          <w:sz w:val="18"/>
        </w:rPr>
        <w:t>be</w:t>
      </w:r>
      <w:r>
        <w:rPr>
          <w:spacing w:val="-3"/>
          <w:sz w:val="18"/>
        </w:rPr>
        <w:t xml:space="preserve"> </w:t>
      </w:r>
      <w:r>
        <w:rPr>
          <w:sz w:val="18"/>
        </w:rPr>
        <w:t>enacted</w:t>
      </w:r>
      <w:r>
        <w:rPr>
          <w:spacing w:val="-3"/>
          <w:sz w:val="18"/>
        </w:rPr>
        <w:t xml:space="preserve"> </w:t>
      </w:r>
      <w:r>
        <w:rPr>
          <w:sz w:val="18"/>
        </w:rPr>
        <w:t>in</w:t>
      </w:r>
      <w:r>
        <w:rPr>
          <w:spacing w:val="-3"/>
          <w:sz w:val="18"/>
        </w:rPr>
        <w:t xml:space="preserve"> </w:t>
      </w:r>
      <w:r>
        <w:rPr>
          <w:sz w:val="18"/>
        </w:rPr>
        <w:t>advance</w:t>
      </w:r>
      <w:r>
        <w:rPr>
          <w:spacing w:val="-1"/>
          <w:sz w:val="18"/>
        </w:rPr>
        <w:t xml:space="preserve"> </w:t>
      </w:r>
      <w:r>
        <w:rPr>
          <w:sz w:val="18"/>
        </w:rPr>
        <w:t>of</w:t>
      </w:r>
      <w:r>
        <w:rPr>
          <w:spacing w:val="-2"/>
          <w:sz w:val="18"/>
        </w:rPr>
        <w:t xml:space="preserve"> </w:t>
      </w:r>
      <w:r>
        <w:rPr>
          <w:sz w:val="18"/>
        </w:rPr>
        <w:t>new</w:t>
      </w:r>
      <w:r>
        <w:rPr>
          <w:spacing w:val="-2"/>
          <w:sz w:val="18"/>
        </w:rPr>
        <w:t xml:space="preserve"> </w:t>
      </w:r>
      <w:r>
        <w:rPr>
          <w:sz w:val="18"/>
        </w:rPr>
        <w:t>direct</w:t>
      </w:r>
      <w:r>
        <w:rPr>
          <w:spacing w:val="-2"/>
          <w:sz w:val="18"/>
        </w:rPr>
        <w:t xml:space="preserve"> </w:t>
      </w:r>
      <w:r>
        <w:rPr>
          <w:sz w:val="18"/>
        </w:rPr>
        <w:t>loan</w:t>
      </w:r>
      <w:r>
        <w:rPr>
          <w:spacing w:val="-3"/>
          <w:sz w:val="18"/>
        </w:rPr>
        <w:t xml:space="preserve"> </w:t>
      </w:r>
      <w:r>
        <w:rPr>
          <w:sz w:val="18"/>
        </w:rPr>
        <w:t>obligations made</w:t>
      </w:r>
      <w:r>
        <w:rPr>
          <w:spacing w:val="-2"/>
          <w:sz w:val="18"/>
        </w:rPr>
        <w:t xml:space="preserve"> </w:t>
      </w:r>
      <w:r>
        <w:rPr>
          <w:sz w:val="18"/>
        </w:rPr>
        <w:t>on</w:t>
      </w:r>
      <w:r>
        <w:rPr>
          <w:spacing w:val="-2"/>
          <w:sz w:val="18"/>
        </w:rPr>
        <w:t xml:space="preserve"> </w:t>
      </w:r>
      <w:r>
        <w:rPr>
          <w:sz w:val="18"/>
        </w:rPr>
        <w:t>or</w:t>
      </w:r>
      <w:r>
        <w:rPr>
          <w:spacing w:val="-1"/>
          <w:sz w:val="18"/>
        </w:rPr>
        <w:t xml:space="preserve"> </w:t>
      </w:r>
      <w:r>
        <w:rPr>
          <w:sz w:val="18"/>
        </w:rPr>
        <w:t>after</w:t>
      </w:r>
      <w:r>
        <w:rPr>
          <w:spacing w:val="-1"/>
          <w:sz w:val="18"/>
        </w:rPr>
        <w:t xml:space="preserve"> </w:t>
      </w:r>
      <w:r>
        <w:rPr>
          <w:sz w:val="18"/>
        </w:rPr>
        <w:t>October</w:t>
      </w:r>
      <w:r>
        <w:rPr>
          <w:spacing w:val="-1"/>
          <w:sz w:val="18"/>
        </w:rPr>
        <w:t xml:space="preserve"> </w:t>
      </w:r>
      <w:r>
        <w:rPr>
          <w:sz w:val="18"/>
        </w:rPr>
        <w:t>1,</w:t>
      </w:r>
      <w:r>
        <w:rPr>
          <w:spacing w:val="-1"/>
          <w:sz w:val="18"/>
        </w:rPr>
        <w:t xml:space="preserve"> </w:t>
      </w:r>
      <w:r>
        <w:rPr>
          <w:sz w:val="18"/>
        </w:rPr>
        <w:t>1991.</w:t>
      </w:r>
      <w:r>
        <w:rPr>
          <w:spacing w:val="-1"/>
          <w:sz w:val="18"/>
        </w:rPr>
        <w:t xml:space="preserve"> </w:t>
      </w:r>
      <w:r>
        <w:rPr>
          <w:sz w:val="18"/>
        </w:rPr>
        <w:t>2</w:t>
      </w:r>
      <w:r>
        <w:rPr>
          <w:spacing w:val="-2"/>
          <w:sz w:val="18"/>
        </w:rPr>
        <w:t xml:space="preserve"> </w:t>
      </w:r>
      <w:r>
        <w:rPr>
          <w:sz w:val="18"/>
        </w:rPr>
        <w:t>U.S.C.</w:t>
      </w:r>
      <w:r>
        <w:rPr>
          <w:spacing w:val="-1"/>
          <w:sz w:val="18"/>
        </w:rPr>
        <w:t xml:space="preserve"> </w:t>
      </w:r>
      <w:r>
        <w:rPr>
          <w:sz w:val="18"/>
        </w:rPr>
        <w:t>§</w:t>
      </w:r>
      <w:r>
        <w:rPr>
          <w:spacing w:val="-1"/>
          <w:sz w:val="18"/>
        </w:rPr>
        <w:t xml:space="preserve"> </w:t>
      </w:r>
      <w:r>
        <w:rPr>
          <w:sz w:val="18"/>
        </w:rPr>
        <w:t>661c(b).</w:t>
      </w:r>
      <w:r>
        <w:rPr>
          <w:spacing w:val="-1"/>
          <w:sz w:val="18"/>
        </w:rPr>
        <w:t xml:space="preserve"> </w:t>
      </w:r>
      <w:r>
        <w:rPr>
          <w:sz w:val="18"/>
        </w:rPr>
        <w:t>For</w:t>
      </w:r>
      <w:r>
        <w:rPr>
          <w:spacing w:val="-1"/>
          <w:sz w:val="18"/>
        </w:rPr>
        <w:t xml:space="preserve"> </w:t>
      </w:r>
      <w:r>
        <w:rPr>
          <w:sz w:val="18"/>
        </w:rPr>
        <w:t>revolving</w:t>
      </w:r>
      <w:r>
        <w:rPr>
          <w:spacing w:val="-2"/>
          <w:sz w:val="18"/>
        </w:rPr>
        <w:t xml:space="preserve"> </w:t>
      </w:r>
      <w:r>
        <w:rPr>
          <w:sz w:val="18"/>
        </w:rPr>
        <w:t>or</w:t>
      </w:r>
      <w:r>
        <w:rPr>
          <w:spacing w:val="-1"/>
          <w:sz w:val="18"/>
        </w:rPr>
        <w:t xml:space="preserve"> </w:t>
      </w:r>
      <w:r>
        <w:rPr>
          <w:sz w:val="18"/>
        </w:rPr>
        <w:t>other</w:t>
      </w:r>
      <w:r>
        <w:rPr>
          <w:spacing w:val="-1"/>
          <w:sz w:val="18"/>
        </w:rPr>
        <w:t xml:space="preserve"> </w:t>
      </w:r>
      <w:r>
        <w:rPr>
          <w:sz w:val="18"/>
        </w:rPr>
        <w:t>funds</w:t>
      </w:r>
      <w:r>
        <w:rPr>
          <w:spacing w:val="-1"/>
          <w:sz w:val="18"/>
        </w:rPr>
        <w:t xml:space="preserve"> </w:t>
      </w:r>
      <w:r>
        <w:rPr>
          <w:sz w:val="18"/>
        </w:rPr>
        <w:t>that</w:t>
      </w:r>
      <w:r>
        <w:rPr>
          <w:spacing w:val="-1"/>
          <w:sz w:val="18"/>
        </w:rPr>
        <w:t xml:space="preserve"> </w:t>
      </w:r>
      <w:r>
        <w:rPr>
          <w:sz w:val="18"/>
        </w:rPr>
        <w:t>otherwise</w:t>
      </w:r>
      <w:r>
        <w:rPr>
          <w:spacing w:val="-2"/>
          <w:sz w:val="18"/>
        </w:rPr>
        <w:t xml:space="preserve"> </w:t>
      </w:r>
      <w:r>
        <w:rPr>
          <w:sz w:val="18"/>
        </w:rPr>
        <w:t>would</w:t>
      </w:r>
      <w:r>
        <w:rPr>
          <w:spacing w:val="-2"/>
          <w:sz w:val="18"/>
        </w:rPr>
        <w:t xml:space="preserve"> </w:t>
      </w:r>
      <w:r>
        <w:rPr>
          <w:sz w:val="18"/>
        </w:rPr>
        <w:t>be</w:t>
      </w:r>
      <w:r>
        <w:rPr>
          <w:spacing w:val="-2"/>
          <w:sz w:val="18"/>
        </w:rPr>
        <w:t xml:space="preserve"> </w:t>
      </w:r>
      <w:r>
        <w:rPr>
          <w:sz w:val="18"/>
        </w:rPr>
        <w:t>available</w:t>
      </w:r>
      <w:r>
        <w:rPr>
          <w:spacing w:val="-2"/>
          <w:sz w:val="18"/>
        </w:rPr>
        <w:t xml:space="preserve"> </w:t>
      </w:r>
      <w:r>
        <w:rPr>
          <w:sz w:val="18"/>
        </w:rPr>
        <w:t>for</w:t>
      </w:r>
      <w:r>
        <w:rPr>
          <w:spacing w:val="-1"/>
          <w:sz w:val="18"/>
        </w:rPr>
        <w:t xml:space="preserve"> </w:t>
      </w:r>
      <w:r>
        <w:rPr>
          <w:sz w:val="18"/>
        </w:rPr>
        <w:t>these</w:t>
      </w:r>
      <w:r>
        <w:rPr>
          <w:spacing w:val="-2"/>
          <w:sz w:val="18"/>
        </w:rPr>
        <w:t xml:space="preserve"> </w:t>
      </w:r>
      <w:r>
        <w:rPr>
          <w:sz w:val="18"/>
        </w:rPr>
        <w:t>budget</w:t>
      </w:r>
      <w:r>
        <w:rPr>
          <w:spacing w:val="-1"/>
          <w:sz w:val="18"/>
        </w:rPr>
        <w:t xml:space="preserve"> </w:t>
      </w:r>
      <w:r>
        <w:rPr>
          <w:sz w:val="18"/>
        </w:rPr>
        <w:t>obligations,</w:t>
      </w:r>
      <w:r>
        <w:rPr>
          <w:spacing w:val="-1"/>
          <w:sz w:val="18"/>
        </w:rPr>
        <w:t xml:space="preserve"> </w:t>
      </w:r>
      <w:r>
        <w:rPr>
          <w:sz w:val="18"/>
        </w:rPr>
        <w:t>the</w:t>
      </w:r>
      <w:r>
        <w:rPr>
          <w:spacing w:val="-2"/>
          <w:sz w:val="18"/>
        </w:rPr>
        <w:t xml:space="preserve"> </w:t>
      </w:r>
      <w:r>
        <w:rPr>
          <w:sz w:val="18"/>
        </w:rPr>
        <w:t>Congress</w:t>
      </w:r>
      <w:r>
        <w:rPr>
          <w:spacing w:val="-1"/>
          <w:sz w:val="18"/>
        </w:rPr>
        <w:t xml:space="preserve"> </w:t>
      </w:r>
      <w:r>
        <w:rPr>
          <w:sz w:val="18"/>
        </w:rPr>
        <w:t>must enact a limit on the use of such funds for these purposes to make them available for use.</w:t>
      </w:r>
    </w:p>
    <w:p w14:paraId="0DFDB7E6" w14:textId="77777777" w:rsidR="00046465" w:rsidRDefault="008134EB">
      <w:pPr>
        <w:spacing w:before="122"/>
        <w:ind w:left="360"/>
        <w:rPr>
          <w:sz w:val="18"/>
        </w:rPr>
      </w:pPr>
      <w:r>
        <w:rPr>
          <w:position w:val="7"/>
          <w:sz w:val="14"/>
        </w:rPr>
        <w:t>11</w:t>
      </w:r>
      <w:r>
        <w:rPr>
          <w:sz w:val="18"/>
        </w:rPr>
        <w:t>Modifications</w:t>
      </w:r>
      <w:r>
        <w:rPr>
          <w:spacing w:val="-3"/>
          <w:sz w:val="18"/>
        </w:rPr>
        <w:t xml:space="preserve"> </w:t>
      </w:r>
      <w:r>
        <w:rPr>
          <w:sz w:val="18"/>
        </w:rPr>
        <w:t>are</w:t>
      </w:r>
      <w:r>
        <w:rPr>
          <w:spacing w:val="-4"/>
          <w:sz w:val="18"/>
        </w:rPr>
        <w:t xml:space="preserve"> </w:t>
      </w:r>
      <w:r>
        <w:rPr>
          <w:sz w:val="18"/>
        </w:rPr>
        <w:t>government</w:t>
      </w:r>
      <w:r>
        <w:rPr>
          <w:spacing w:val="-1"/>
          <w:sz w:val="18"/>
        </w:rPr>
        <w:t xml:space="preserve"> </w:t>
      </w:r>
      <w:r>
        <w:rPr>
          <w:sz w:val="18"/>
        </w:rPr>
        <w:t>actions</w:t>
      </w:r>
      <w:r>
        <w:rPr>
          <w:spacing w:val="-3"/>
          <w:sz w:val="18"/>
        </w:rPr>
        <w:t xml:space="preserve"> </w:t>
      </w:r>
      <w:r>
        <w:rPr>
          <w:sz w:val="18"/>
        </w:rPr>
        <w:t>that</w:t>
      </w:r>
      <w:r>
        <w:rPr>
          <w:spacing w:val="-2"/>
          <w:sz w:val="18"/>
        </w:rPr>
        <w:t xml:space="preserve"> </w:t>
      </w:r>
      <w:r>
        <w:rPr>
          <w:sz w:val="18"/>
        </w:rPr>
        <w:t>alter</w:t>
      </w:r>
      <w:r>
        <w:rPr>
          <w:spacing w:val="-3"/>
          <w:sz w:val="18"/>
        </w:rPr>
        <w:t xml:space="preserve"> </w:t>
      </w:r>
      <w:r>
        <w:rPr>
          <w:sz w:val="18"/>
        </w:rPr>
        <w:t>the</w:t>
      </w:r>
      <w:r>
        <w:rPr>
          <w:spacing w:val="-3"/>
          <w:sz w:val="18"/>
        </w:rPr>
        <w:t xml:space="preserve"> </w:t>
      </w:r>
      <w:r>
        <w:rPr>
          <w:sz w:val="18"/>
        </w:rPr>
        <w:t>estimated</w:t>
      </w:r>
      <w:r>
        <w:rPr>
          <w:spacing w:val="-4"/>
          <w:sz w:val="18"/>
        </w:rPr>
        <w:t xml:space="preserve"> </w:t>
      </w:r>
      <w:r>
        <w:rPr>
          <w:sz w:val="18"/>
        </w:rPr>
        <w:t>cost</w:t>
      </w:r>
      <w:r>
        <w:rPr>
          <w:spacing w:val="-3"/>
          <w:sz w:val="18"/>
        </w:rPr>
        <w:t xml:space="preserve"> </w:t>
      </w:r>
      <w:r>
        <w:rPr>
          <w:sz w:val="18"/>
        </w:rPr>
        <w:t>of</w:t>
      </w:r>
      <w:r>
        <w:rPr>
          <w:spacing w:val="-2"/>
          <w:sz w:val="18"/>
        </w:rPr>
        <w:t xml:space="preserve"> </w:t>
      </w:r>
      <w:r>
        <w:rPr>
          <w:sz w:val="18"/>
        </w:rPr>
        <w:t>an</w:t>
      </w:r>
      <w:r>
        <w:rPr>
          <w:spacing w:val="-4"/>
          <w:sz w:val="18"/>
        </w:rPr>
        <w:t xml:space="preserve"> </w:t>
      </w:r>
      <w:r>
        <w:rPr>
          <w:sz w:val="18"/>
        </w:rPr>
        <w:t>outstanding</w:t>
      </w:r>
      <w:r>
        <w:rPr>
          <w:spacing w:val="-3"/>
          <w:sz w:val="18"/>
        </w:rPr>
        <w:t xml:space="preserve"> </w:t>
      </w:r>
      <w:r>
        <w:rPr>
          <w:sz w:val="18"/>
        </w:rPr>
        <w:t>direct</w:t>
      </w:r>
      <w:r>
        <w:rPr>
          <w:spacing w:val="-3"/>
          <w:sz w:val="18"/>
        </w:rPr>
        <w:t xml:space="preserve"> </w:t>
      </w:r>
      <w:r>
        <w:rPr>
          <w:sz w:val="18"/>
        </w:rPr>
        <w:t>loan</w:t>
      </w:r>
      <w:r>
        <w:rPr>
          <w:spacing w:val="-3"/>
          <w:sz w:val="18"/>
        </w:rPr>
        <w:t xml:space="preserve"> </w:t>
      </w:r>
      <w:r>
        <w:rPr>
          <w:sz w:val="18"/>
        </w:rPr>
        <w:t>(or</w:t>
      </w:r>
      <w:r>
        <w:rPr>
          <w:spacing w:val="-3"/>
          <w:sz w:val="18"/>
        </w:rPr>
        <w:t xml:space="preserve"> </w:t>
      </w:r>
      <w:r>
        <w:rPr>
          <w:sz w:val="18"/>
        </w:rPr>
        <w:t>direct</w:t>
      </w:r>
      <w:r>
        <w:rPr>
          <w:spacing w:val="-2"/>
          <w:sz w:val="18"/>
        </w:rPr>
        <w:t xml:space="preserve"> </w:t>
      </w:r>
      <w:r>
        <w:rPr>
          <w:sz w:val="18"/>
        </w:rPr>
        <w:t>loan</w:t>
      </w:r>
      <w:r>
        <w:rPr>
          <w:spacing w:val="-4"/>
          <w:sz w:val="18"/>
        </w:rPr>
        <w:t xml:space="preserve"> </w:t>
      </w:r>
      <w:r>
        <w:rPr>
          <w:sz w:val="18"/>
        </w:rPr>
        <w:t>obligation)</w:t>
      </w:r>
      <w:r>
        <w:rPr>
          <w:spacing w:val="-2"/>
          <w:sz w:val="18"/>
        </w:rPr>
        <w:t xml:space="preserve"> </w:t>
      </w:r>
      <w:r>
        <w:rPr>
          <w:sz w:val="18"/>
        </w:rPr>
        <w:t>from</w:t>
      </w:r>
      <w:r>
        <w:rPr>
          <w:spacing w:val="-2"/>
          <w:sz w:val="18"/>
        </w:rPr>
        <w:t xml:space="preserve"> </w:t>
      </w:r>
      <w:r>
        <w:rPr>
          <w:sz w:val="18"/>
        </w:rPr>
        <w:t>the</w:t>
      </w:r>
      <w:r>
        <w:rPr>
          <w:spacing w:val="-4"/>
          <w:sz w:val="18"/>
        </w:rPr>
        <w:t xml:space="preserve"> </w:t>
      </w:r>
      <w:r>
        <w:rPr>
          <w:sz w:val="18"/>
        </w:rPr>
        <w:t>current</w:t>
      </w:r>
      <w:r>
        <w:rPr>
          <w:spacing w:val="-2"/>
          <w:sz w:val="18"/>
        </w:rPr>
        <w:t xml:space="preserve"> </w:t>
      </w:r>
      <w:r>
        <w:rPr>
          <w:sz w:val="18"/>
        </w:rPr>
        <w:t>estimate</w:t>
      </w:r>
      <w:r>
        <w:rPr>
          <w:spacing w:val="-4"/>
          <w:sz w:val="18"/>
        </w:rPr>
        <w:t xml:space="preserve"> </w:t>
      </w:r>
      <w:r>
        <w:rPr>
          <w:sz w:val="18"/>
        </w:rPr>
        <w:t>of</w:t>
      </w:r>
      <w:r>
        <w:rPr>
          <w:spacing w:val="-2"/>
          <w:sz w:val="18"/>
        </w:rPr>
        <w:t xml:space="preserve"> </w:t>
      </w:r>
      <w:r>
        <w:rPr>
          <w:sz w:val="18"/>
        </w:rPr>
        <w:t>cash</w:t>
      </w:r>
      <w:r>
        <w:rPr>
          <w:spacing w:val="-4"/>
          <w:sz w:val="18"/>
        </w:rPr>
        <w:t xml:space="preserve"> </w:t>
      </w:r>
      <w:r>
        <w:rPr>
          <w:sz w:val="18"/>
        </w:rPr>
        <w:t>flows.</w:t>
      </w:r>
      <w:r>
        <w:rPr>
          <w:spacing w:val="-2"/>
          <w:sz w:val="18"/>
        </w:rPr>
        <w:t xml:space="preserve"> </w:t>
      </w:r>
      <w:r>
        <w:rPr>
          <w:spacing w:val="-10"/>
          <w:sz w:val="18"/>
        </w:rPr>
        <w:t>2</w:t>
      </w:r>
    </w:p>
    <w:p w14:paraId="0DFDB7E7" w14:textId="77777777" w:rsidR="00046465" w:rsidRDefault="008134EB">
      <w:pPr>
        <w:spacing w:before="8"/>
        <w:ind w:left="359" w:right="422"/>
        <w:rPr>
          <w:sz w:val="18"/>
        </w:rPr>
      </w:pPr>
      <w:r>
        <w:rPr>
          <w:sz w:val="18"/>
        </w:rPr>
        <w:t>U.S.C. § 661a(9). This includes the sale of loan assets (with or without recourse), as well as any action resulting from new statutes, or from the exercise of administrative discretion under existing law, that directly or indirectly alters the estimating cost of outstanding direct loans (or direct loan obligations). 2 U.S.C. § 661a(9).</w:t>
      </w:r>
      <w:r>
        <w:rPr>
          <w:spacing w:val="-2"/>
          <w:sz w:val="18"/>
        </w:rPr>
        <w:t xml:space="preserve"> </w:t>
      </w:r>
      <w:r>
        <w:rPr>
          <w:sz w:val="18"/>
        </w:rPr>
        <w:t>Thus,</w:t>
      </w:r>
      <w:r>
        <w:rPr>
          <w:spacing w:val="-2"/>
          <w:sz w:val="18"/>
        </w:rPr>
        <w:t xml:space="preserve"> </w:t>
      </w:r>
      <w:r>
        <w:rPr>
          <w:sz w:val="18"/>
        </w:rPr>
        <w:t>the</w:t>
      </w:r>
      <w:r>
        <w:rPr>
          <w:spacing w:val="-3"/>
          <w:sz w:val="18"/>
        </w:rPr>
        <w:t xml:space="preserve"> </w:t>
      </w:r>
      <w:r>
        <w:rPr>
          <w:sz w:val="18"/>
        </w:rPr>
        <w:t>sale</w:t>
      </w:r>
      <w:r>
        <w:rPr>
          <w:spacing w:val="-3"/>
          <w:sz w:val="18"/>
        </w:rPr>
        <w:t xml:space="preserve"> </w:t>
      </w:r>
      <w:r>
        <w:rPr>
          <w:sz w:val="18"/>
        </w:rPr>
        <w:t>of</w:t>
      </w:r>
      <w:r>
        <w:rPr>
          <w:spacing w:val="-2"/>
          <w:sz w:val="18"/>
        </w:rPr>
        <w:t xml:space="preserve"> </w:t>
      </w:r>
      <w:r>
        <w:rPr>
          <w:sz w:val="18"/>
        </w:rPr>
        <w:t>a</w:t>
      </w:r>
      <w:r>
        <w:rPr>
          <w:spacing w:val="-3"/>
          <w:sz w:val="18"/>
        </w:rPr>
        <w:t xml:space="preserve"> </w:t>
      </w:r>
      <w:r>
        <w:rPr>
          <w:sz w:val="18"/>
        </w:rPr>
        <w:t>direct</w:t>
      </w:r>
      <w:r>
        <w:rPr>
          <w:spacing w:val="-2"/>
          <w:sz w:val="18"/>
        </w:rPr>
        <w:t xml:space="preserve"> </w:t>
      </w:r>
      <w:r>
        <w:rPr>
          <w:sz w:val="18"/>
        </w:rPr>
        <w:t>loan,</w:t>
      </w:r>
      <w:r>
        <w:rPr>
          <w:spacing w:val="-2"/>
          <w:sz w:val="18"/>
        </w:rPr>
        <w:t xml:space="preserve"> </w:t>
      </w:r>
      <w:r>
        <w:rPr>
          <w:sz w:val="18"/>
        </w:rPr>
        <w:t>per</w:t>
      </w:r>
      <w:r>
        <w:rPr>
          <w:spacing w:val="-2"/>
          <w:sz w:val="18"/>
        </w:rPr>
        <w:t xml:space="preserve"> </w:t>
      </w:r>
      <w:r>
        <w:rPr>
          <w:sz w:val="18"/>
        </w:rPr>
        <w:t>SFFAS</w:t>
      </w:r>
      <w:r>
        <w:rPr>
          <w:spacing w:val="-2"/>
          <w:sz w:val="18"/>
        </w:rPr>
        <w:t xml:space="preserve"> </w:t>
      </w:r>
      <w:r>
        <w:rPr>
          <w:sz w:val="18"/>
        </w:rPr>
        <w:t>2,</w:t>
      </w:r>
      <w:r>
        <w:rPr>
          <w:spacing w:val="-2"/>
          <w:sz w:val="18"/>
        </w:rPr>
        <w:t xml:space="preserve"> </w:t>
      </w:r>
      <w:r>
        <w:rPr>
          <w:sz w:val="18"/>
        </w:rPr>
        <w:t>paragraph</w:t>
      </w:r>
      <w:r>
        <w:rPr>
          <w:spacing w:val="-3"/>
          <w:sz w:val="18"/>
        </w:rPr>
        <w:t xml:space="preserve"> </w:t>
      </w:r>
      <w:r>
        <w:rPr>
          <w:sz w:val="18"/>
        </w:rPr>
        <w:t>53,</w:t>
      </w:r>
      <w:r>
        <w:rPr>
          <w:spacing w:val="-2"/>
          <w:sz w:val="18"/>
        </w:rPr>
        <w:t xml:space="preserve"> </w:t>
      </w:r>
      <w:r>
        <w:rPr>
          <w:sz w:val="18"/>
        </w:rPr>
        <w:t>or</w:t>
      </w:r>
      <w:r>
        <w:rPr>
          <w:spacing w:val="-2"/>
          <w:sz w:val="18"/>
        </w:rPr>
        <w:t xml:space="preserve"> </w:t>
      </w:r>
      <w:r>
        <w:rPr>
          <w:sz w:val="18"/>
        </w:rPr>
        <w:t>a</w:t>
      </w:r>
      <w:r>
        <w:rPr>
          <w:spacing w:val="-3"/>
          <w:sz w:val="18"/>
        </w:rPr>
        <w:t xml:space="preserve"> </w:t>
      </w:r>
      <w:r>
        <w:rPr>
          <w:sz w:val="18"/>
        </w:rPr>
        <w:t>policy</w:t>
      </w:r>
      <w:r>
        <w:rPr>
          <w:spacing w:val="-2"/>
          <w:sz w:val="18"/>
        </w:rPr>
        <w:t xml:space="preserve"> </w:t>
      </w:r>
      <w:r>
        <w:rPr>
          <w:sz w:val="18"/>
        </w:rPr>
        <w:t>change</w:t>
      </w:r>
      <w:r>
        <w:rPr>
          <w:spacing w:val="-3"/>
          <w:sz w:val="18"/>
        </w:rPr>
        <w:t xml:space="preserve"> </w:t>
      </w:r>
      <w:r>
        <w:rPr>
          <w:sz w:val="18"/>
        </w:rPr>
        <w:t>affecting</w:t>
      </w:r>
      <w:r>
        <w:rPr>
          <w:spacing w:val="-3"/>
          <w:sz w:val="18"/>
        </w:rPr>
        <w:t xml:space="preserve"> </w:t>
      </w:r>
      <w:r>
        <w:rPr>
          <w:sz w:val="18"/>
        </w:rPr>
        <w:t>the</w:t>
      </w:r>
      <w:r>
        <w:rPr>
          <w:spacing w:val="-3"/>
          <w:sz w:val="18"/>
        </w:rPr>
        <w:t xml:space="preserve"> </w:t>
      </w:r>
      <w:r>
        <w:rPr>
          <w:sz w:val="18"/>
        </w:rPr>
        <w:t>repayment</w:t>
      </w:r>
      <w:r>
        <w:rPr>
          <w:spacing w:val="-2"/>
          <w:sz w:val="18"/>
        </w:rPr>
        <w:t xml:space="preserve"> </w:t>
      </w:r>
      <w:r>
        <w:rPr>
          <w:sz w:val="18"/>
        </w:rPr>
        <w:t>period</w:t>
      </w:r>
      <w:r>
        <w:rPr>
          <w:spacing w:val="-1"/>
          <w:sz w:val="18"/>
        </w:rPr>
        <w:t xml:space="preserve"> </w:t>
      </w:r>
      <w:r>
        <w:rPr>
          <w:sz w:val="18"/>
        </w:rPr>
        <w:t>or</w:t>
      </w:r>
      <w:r>
        <w:rPr>
          <w:spacing w:val="-2"/>
          <w:sz w:val="18"/>
        </w:rPr>
        <w:t xml:space="preserve"> </w:t>
      </w:r>
      <w:r>
        <w:rPr>
          <w:sz w:val="18"/>
        </w:rPr>
        <w:t>interest</w:t>
      </w:r>
      <w:r>
        <w:rPr>
          <w:spacing w:val="-2"/>
          <w:sz w:val="18"/>
        </w:rPr>
        <w:t xml:space="preserve"> </w:t>
      </w:r>
      <w:r>
        <w:rPr>
          <w:sz w:val="18"/>
        </w:rPr>
        <w:t>rate</w:t>
      </w:r>
      <w:r>
        <w:rPr>
          <w:spacing w:val="-1"/>
          <w:sz w:val="18"/>
        </w:rPr>
        <w:t xml:space="preserve"> </w:t>
      </w:r>
      <w:r>
        <w:rPr>
          <w:sz w:val="18"/>
        </w:rPr>
        <w:t>for</w:t>
      </w:r>
      <w:r>
        <w:rPr>
          <w:spacing w:val="-2"/>
          <w:sz w:val="18"/>
        </w:rPr>
        <w:t xml:space="preserve"> </w:t>
      </w:r>
      <w:r>
        <w:rPr>
          <w:sz w:val="18"/>
        </w:rPr>
        <w:t>a</w:t>
      </w:r>
      <w:r>
        <w:rPr>
          <w:spacing w:val="-3"/>
          <w:sz w:val="18"/>
        </w:rPr>
        <w:t xml:space="preserve"> </w:t>
      </w:r>
      <w:r>
        <w:rPr>
          <w:sz w:val="18"/>
        </w:rPr>
        <w:t>group</w:t>
      </w:r>
      <w:r>
        <w:rPr>
          <w:spacing w:val="-1"/>
          <w:sz w:val="18"/>
        </w:rPr>
        <w:t xml:space="preserve"> </w:t>
      </w:r>
      <w:r>
        <w:rPr>
          <w:sz w:val="18"/>
        </w:rPr>
        <w:t>of</w:t>
      </w:r>
      <w:r>
        <w:rPr>
          <w:spacing w:val="-2"/>
          <w:sz w:val="18"/>
        </w:rPr>
        <w:t xml:space="preserve"> </w:t>
      </w:r>
      <w:r>
        <w:rPr>
          <w:sz w:val="18"/>
        </w:rPr>
        <w:t>existing</w:t>
      </w:r>
      <w:r>
        <w:rPr>
          <w:spacing w:val="-3"/>
          <w:sz w:val="18"/>
        </w:rPr>
        <w:t xml:space="preserve"> </w:t>
      </w:r>
      <w:r>
        <w:rPr>
          <w:sz w:val="18"/>
        </w:rPr>
        <w:t>loans</w:t>
      </w:r>
    </w:p>
    <w:p w14:paraId="0DFDB7E8" w14:textId="77777777" w:rsidR="00046465" w:rsidRDefault="00046465">
      <w:pPr>
        <w:rPr>
          <w:sz w:val="18"/>
        </w:rPr>
        <w:sectPr w:rsidR="00046465">
          <w:pgSz w:w="15840" w:h="12240" w:orient="landscape"/>
          <w:pgMar w:top="1380" w:right="1080" w:bottom="940" w:left="720" w:header="721" w:footer="742" w:gutter="0"/>
          <w:cols w:space="720"/>
        </w:sectPr>
      </w:pPr>
    </w:p>
    <w:p w14:paraId="0DFDB7E9" w14:textId="77777777" w:rsidR="00046465" w:rsidRDefault="00046465">
      <w:pPr>
        <w:pStyle w:val="BodyText"/>
        <w:spacing w:before="9"/>
        <w:rPr>
          <w:sz w:val="7"/>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644"/>
        <w:gridCol w:w="2250"/>
        <w:gridCol w:w="1620"/>
        <w:gridCol w:w="1402"/>
        <w:gridCol w:w="1498"/>
        <w:gridCol w:w="1979"/>
      </w:tblGrid>
      <w:tr w:rsidR="00046465" w14:paraId="0DFDB7ED" w14:textId="77777777">
        <w:trPr>
          <w:trHeight w:val="1574"/>
        </w:trPr>
        <w:tc>
          <w:tcPr>
            <w:tcW w:w="13393" w:type="dxa"/>
            <w:gridSpan w:val="6"/>
          </w:tcPr>
          <w:p w14:paraId="0DFDB7EA" w14:textId="77777777" w:rsidR="00046465" w:rsidRDefault="008134EB">
            <w:pPr>
              <w:pStyle w:val="TableParagraph"/>
              <w:tabs>
                <w:tab w:val="left" w:pos="9319"/>
              </w:tabs>
              <w:spacing w:before="144"/>
              <w:ind w:right="1965"/>
              <w:jc w:val="center"/>
            </w:pPr>
            <w:r>
              <w:t>Name</w:t>
            </w:r>
            <w:r>
              <w:rPr>
                <w:spacing w:val="-5"/>
              </w:rPr>
              <w:t xml:space="preserve"> </w:t>
            </w:r>
            <w:r>
              <w:t>of</w:t>
            </w:r>
            <w:r>
              <w:rPr>
                <w:spacing w:val="-5"/>
              </w:rPr>
              <w:t xml:space="preserve"> </w:t>
            </w:r>
            <w:r>
              <w:rPr>
                <w:spacing w:val="-2"/>
              </w:rPr>
              <w:t>entity:</w:t>
            </w:r>
            <w:r>
              <w:tab/>
            </w:r>
            <w:bookmarkStart w:id="183" w:name="_bookmark78"/>
            <w:bookmarkStart w:id="184" w:name="_bookmark79"/>
            <w:bookmarkStart w:id="185" w:name="_bookmark80"/>
            <w:bookmarkStart w:id="186" w:name="_bookmark81"/>
            <w:bookmarkStart w:id="187" w:name="_bookmark82"/>
            <w:bookmarkStart w:id="188" w:name="_bookmark83"/>
            <w:bookmarkEnd w:id="183"/>
            <w:bookmarkEnd w:id="184"/>
            <w:bookmarkEnd w:id="185"/>
            <w:bookmarkEnd w:id="186"/>
            <w:bookmarkEnd w:id="187"/>
            <w:bookmarkEnd w:id="188"/>
            <w:r>
              <w:t>Prepared</w:t>
            </w:r>
            <w:r>
              <w:rPr>
                <w:spacing w:val="-11"/>
              </w:rPr>
              <w:t xml:space="preserve"> </w:t>
            </w:r>
            <w:r>
              <w:rPr>
                <w:spacing w:val="-5"/>
              </w:rPr>
              <w:t>by:</w:t>
            </w:r>
          </w:p>
          <w:p w14:paraId="0DFDB7EB" w14:textId="77777777" w:rsidR="00046465" w:rsidRDefault="008134EB">
            <w:pPr>
              <w:pStyle w:val="TableParagraph"/>
              <w:spacing w:before="12"/>
              <w:ind w:left="1972" w:right="1964"/>
              <w:jc w:val="center"/>
              <w:rPr>
                <w:b/>
                <w:sz w:val="24"/>
              </w:rPr>
            </w:pPr>
            <w:r>
              <w:rPr>
                <w:b/>
                <w:noProof/>
                <w:sz w:val="24"/>
              </w:rPr>
              <mc:AlternateContent>
                <mc:Choice Requires="wpg">
                  <w:drawing>
                    <wp:anchor distT="0" distB="0" distL="0" distR="0" simplePos="0" relativeHeight="476121088" behindDoc="1" locked="0" layoutInCell="1" allowOverlap="1" wp14:anchorId="0DFDD617" wp14:editId="0DFDD618">
                      <wp:simplePos x="0" y="0"/>
                      <wp:positionH relativeFrom="column">
                        <wp:posOffset>7052309</wp:posOffset>
                      </wp:positionH>
                      <wp:positionV relativeFrom="paragraph">
                        <wp:posOffset>91882</wp:posOffset>
                      </wp:positionV>
                      <wp:extent cx="1371600" cy="6350"/>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563" name="Graphic 563"/>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07E435" id="Group 562" o:spid="_x0000_s1026" style="position:absolute;margin-left:555.3pt;margin-top:7.25pt;width:108pt;height:.5pt;z-index:-27195392;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">
                      <v:shape id="Graphic 563"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" path="m1371600,l,,,6108r1371600,l1371600,xe" fillcolor="black" stroked="f">
                        <v:path arrowok="t"/>
                      </v:shape>
                    </v:group>
                  </w:pict>
                </mc:Fallback>
              </mc:AlternateContent>
            </w:r>
            <w:r>
              <w:rPr>
                <w:b/>
                <w:noProof/>
                <w:sz w:val="24"/>
              </w:rPr>
              <mc:AlternateContent>
                <mc:Choice Requires="wpg">
                  <w:drawing>
                    <wp:anchor distT="0" distB="0" distL="0" distR="0" simplePos="0" relativeHeight="476122112" behindDoc="1" locked="0" layoutInCell="1" allowOverlap="1" wp14:anchorId="0DFDD619" wp14:editId="0DFDD61A">
                      <wp:simplePos x="0" y="0"/>
                      <wp:positionH relativeFrom="column">
                        <wp:posOffset>7052309</wp:posOffset>
                      </wp:positionH>
                      <wp:positionV relativeFrom="paragraph">
                        <wp:posOffset>441640</wp:posOffset>
                      </wp:positionV>
                      <wp:extent cx="1371600" cy="6350"/>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565" name="Graphic 565"/>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3C2071" id="Group 564" o:spid="_x0000_s1026" style="position:absolute;margin-left:555.3pt;margin-top:34.75pt;width:108pt;height:.5pt;z-index:-27194368;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">
                      <v:shape id="Graphic 565"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" path="m1371600,l,,,6108r1371600,l1371600,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7EC" w14:textId="77777777" w:rsidR="00046465" w:rsidRDefault="008134EB">
            <w:pPr>
              <w:pStyle w:val="TableParagraph"/>
              <w:tabs>
                <w:tab w:val="left" w:pos="9013"/>
              </w:tabs>
              <w:spacing w:before="10"/>
              <w:ind w:right="1720"/>
              <w:jc w:val="center"/>
            </w:pPr>
            <w:r>
              <w:rPr>
                <w:noProof/>
              </w:rPr>
              <mc:AlternateContent>
                <mc:Choice Requires="wpg">
                  <w:drawing>
                    <wp:anchor distT="0" distB="0" distL="0" distR="0" simplePos="0" relativeHeight="476120576" behindDoc="1" locked="0" layoutInCell="1" allowOverlap="1" wp14:anchorId="0DFDD61B" wp14:editId="0DFDD61C">
                      <wp:simplePos x="0" y="0"/>
                      <wp:positionH relativeFrom="column">
                        <wp:posOffset>1274825</wp:posOffset>
                      </wp:positionH>
                      <wp:positionV relativeFrom="paragraph">
                        <wp:posOffset>-91198</wp:posOffset>
                      </wp:positionV>
                      <wp:extent cx="1205865" cy="635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567" name="Graphic 567"/>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2FD13E" id="Group 566" o:spid="_x0000_s1026" style="position:absolute;margin-left:100.4pt;margin-top:-7.2pt;width:94.95pt;height:.5pt;z-index:-27195904;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">
                      <v:shape id="Graphic 567"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" path="m1205484,l,,,6108r1205484,l1205484,xe" fillcolor="black" stroked="f">
                        <v:path arrowok="t"/>
                      </v:shape>
                    </v:group>
                  </w:pict>
                </mc:Fallback>
              </mc:AlternateContent>
            </w:r>
            <w:r>
              <w:rPr>
                <w:noProof/>
              </w:rPr>
              <mc:AlternateContent>
                <mc:Choice Requires="wpg">
                  <w:drawing>
                    <wp:anchor distT="0" distB="0" distL="0" distR="0" simplePos="0" relativeHeight="476121600" behindDoc="1" locked="0" layoutInCell="1" allowOverlap="1" wp14:anchorId="0DFDD61D" wp14:editId="0DFDD61E">
                      <wp:simplePos x="0" y="0"/>
                      <wp:positionH relativeFrom="column">
                        <wp:posOffset>1274825</wp:posOffset>
                      </wp:positionH>
                      <wp:positionV relativeFrom="paragraph">
                        <wp:posOffset>258559</wp:posOffset>
                      </wp:positionV>
                      <wp:extent cx="1205865" cy="6350"/>
                      <wp:effectExtent l="0" t="0" r="0" b="0"/>
                      <wp:wrapNone/>
                      <wp:docPr id="568"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569" name="Graphic 569"/>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BBDE9D" id="Group 568" o:spid="_x0000_s1026" style="position:absolute;margin-left:100.4pt;margin-top:20.35pt;width:94.95pt;height:.5pt;z-index:-27194880;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">
                      <v:shape id="Graphic 569"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" path="m1205484,l,,,6108r1205484,l1205484,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7F7" w14:textId="77777777">
        <w:trPr>
          <w:trHeight w:val="793"/>
        </w:trPr>
        <w:tc>
          <w:tcPr>
            <w:tcW w:w="4644" w:type="dxa"/>
            <w:tcBorders>
              <w:right w:val="single" w:sz="4" w:space="0" w:color="000000"/>
            </w:tcBorders>
          </w:tcPr>
          <w:p w14:paraId="0DFDB7EE" w14:textId="77777777" w:rsidR="00046465" w:rsidRDefault="00046465">
            <w:pPr>
              <w:pStyle w:val="TableParagraph"/>
              <w:spacing w:before="143"/>
            </w:pPr>
          </w:p>
          <w:p w14:paraId="0DFDB7EF" w14:textId="77777777" w:rsidR="00046465" w:rsidRDefault="008134EB">
            <w:pPr>
              <w:pStyle w:val="TableParagraph"/>
              <w:ind w:left="97"/>
            </w:pPr>
            <w:r>
              <w:t>Provision</w:t>
            </w:r>
            <w:r>
              <w:rPr>
                <w:spacing w:val="-11"/>
              </w:rPr>
              <w:t xml:space="preserve"> </w:t>
            </w:r>
            <w:r>
              <w:rPr>
                <w:spacing w:val="-2"/>
              </w:rPr>
              <w:t>Description</w:t>
            </w:r>
          </w:p>
        </w:tc>
        <w:tc>
          <w:tcPr>
            <w:tcW w:w="2250" w:type="dxa"/>
            <w:tcBorders>
              <w:left w:val="single" w:sz="4" w:space="0" w:color="000000"/>
              <w:right w:val="single" w:sz="4" w:space="0" w:color="000000"/>
            </w:tcBorders>
          </w:tcPr>
          <w:p w14:paraId="0DFDB7F0" w14:textId="77777777" w:rsidR="00046465" w:rsidRDefault="00046465">
            <w:pPr>
              <w:pStyle w:val="TableParagraph"/>
              <w:spacing w:before="143"/>
            </w:pPr>
          </w:p>
          <w:p w14:paraId="0DFDB7F1" w14:textId="77777777" w:rsidR="00046465" w:rsidRDefault="008134EB">
            <w:pPr>
              <w:pStyle w:val="TableParagraph"/>
              <w:ind w:left="107"/>
            </w:pPr>
            <w:r>
              <w:rPr>
                <w:spacing w:val="-2"/>
              </w:rPr>
              <w:t>Objective</w:t>
            </w:r>
          </w:p>
        </w:tc>
        <w:tc>
          <w:tcPr>
            <w:tcW w:w="1620" w:type="dxa"/>
            <w:tcBorders>
              <w:left w:val="single" w:sz="4" w:space="0" w:color="000000"/>
              <w:right w:val="single" w:sz="4" w:space="0" w:color="000000"/>
            </w:tcBorders>
          </w:tcPr>
          <w:p w14:paraId="0DFDB7F2" w14:textId="77777777" w:rsidR="00046465" w:rsidRDefault="008134EB">
            <w:pPr>
              <w:pStyle w:val="TableParagraph"/>
              <w:spacing w:before="143"/>
              <w:ind w:left="107" w:right="215"/>
            </w:pPr>
            <w:r>
              <w:rPr>
                <w:spacing w:val="-2"/>
              </w:rPr>
              <w:t>Control Activities</w:t>
            </w:r>
          </w:p>
        </w:tc>
        <w:tc>
          <w:tcPr>
            <w:tcW w:w="1402" w:type="dxa"/>
            <w:tcBorders>
              <w:left w:val="single" w:sz="4" w:space="0" w:color="000000"/>
              <w:right w:val="single" w:sz="4" w:space="0" w:color="000000"/>
            </w:tcBorders>
          </w:tcPr>
          <w:p w14:paraId="0DFDB7F3" w14:textId="77777777" w:rsidR="00046465" w:rsidRDefault="00046465">
            <w:pPr>
              <w:pStyle w:val="TableParagraph"/>
              <w:spacing w:before="143"/>
            </w:pPr>
          </w:p>
          <w:p w14:paraId="0DFDB7F4" w14:textId="77777777" w:rsidR="00046465" w:rsidRDefault="008134EB">
            <w:pPr>
              <w:pStyle w:val="TableParagraph"/>
              <w:ind w:left="107"/>
            </w:pPr>
            <w:r>
              <w:t>IS</w:t>
            </w:r>
            <w:r>
              <w:rPr>
                <w:spacing w:val="-3"/>
              </w:rPr>
              <w:t xml:space="preserve"> </w:t>
            </w:r>
            <w:r>
              <w:rPr>
                <w:spacing w:val="-2"/>
              </w:rPr>
              <w:t>(Y/N)</w:t>
            </w:r>
          </w:p>
        </w:tc>
        <w:tc>
          <w:tcPr>
            <w:tcW w:w="1498" w:type="dxa"/>
            <w:tcBorders>
              <w:left w:val="single" w:sz="4" w:space="0" w:color="000000"/>
              <w:right w:val="single" w:sz="4" w:space="0" w:color="000000"/>
            </w:tcBorders>
          </w:tcPr>
          <w:p w14:paraId="0DFDB7F5" w14:textId="77777777" w:rsidR="00046465" w:rsidRDefault="008134EB">
            <w:pPr>
              <w:pStyle w:val="TableParagraph"/>
              <w:spacing w:before="143"/>
              <w:ind w:left="107"/>
            </w:pPr>
            <w:r>
              <w:rPr>
                <w:spacing w:val="-2"/>
              </w:rPr>
              <w:t>Effective controls?</w:t>
            </w:r>
          </w:p>
        </w:tc>
        <w:tc>
          <w:tcPr>
            <w:tcW w:w="1979" w:type="dxa"/>
            <w:tcBorders>
              <w:left w:val="single" w:sz="4" w:space="0" w:color="000000"/>
            </w:tcBorders>
          </w:tcPr>
          <w:p w14:paraId="0DFDB7F6" w14:textId="77777777" w:rsidR="00046465" w:rsidRDefault="008134EB">
            <w:pPr>
              <w:pStyle w:val="TableParagraph"/>
              <w:spacing w:before="143"/>
              <w:ind w:left="107" w:right="140"/>
            </w:pPr>
            <w:r>
              <w:t xml:space="preserve">Instances of </w:t>
            </w:r>
            <w:r>
              <w:rPr>
                <w:spacing w:val="-2"/>
              </w:rPr>
              <w:t>noncompliance?</w:t>
            </w:r>
          </w:p>
        </w:tc>
      </w:tr>
      <w:tr w:rsidR="00046465" w14:paraId="0DFDB802" w14:textId="77777777">
        <w:trPr>
          <w:trHeight w:val="2152"/>
        </w:trPr>
        <w:tc>
          <w:tcPr>
            <w:tcW w:w="4644" w:type="dxa"/>
            <w:tcBorders>
              <w:right w:val="single" w:sz="4" w:space="0" w:color="000000"/>
            </w:tcBorders>
          </w:tcPr>
          <w:p w14:paraId="0DFDB7F8" w14:textId="77777777" w:rsidR="00046465" w:rsidRDefault="008134EB">
            <w:pPr>
              <w:pStyle w:val="TableParagraph"/>
              <w:spacing w:before="143"/>
              <w:ind w:left="97"/>
              <w:rPr>
                <w:sz w:val="18"/>
              </w:rPr>
            </w:pPr>
            <w:r>
              <w:rPr>
                <w:smallCaps/>
                <w:sz w:val="18"/>
              </w:rPr>
              <w:t>804.03.</w:t>
            </w:r>
            <w:r>
              <w:rPr>
                <w:smallCaps/>
                <w:spacing w:val="-7"/>
                <w:sz w:val="18"/>
              </w:rPr>
              <w:t xml:space="preserve"> </w:t>
            </w:r>
            <w:r>
              <w:rPr>
                <w:smallCaps/>
                <w:spacing w:val="14"/>
                <w:sz w:val="18"/>
              </w:rPr>
              <w:t xml:space="preserve"> </w:t>
            </w:r>
            <w:r>
              <w:rPr>
                <w:smallCaps/>
                <w:sz w:val="18"/>
              </w:rPr>
              <w:t>Advance</w:t>
            </w:r>
            <w:r>
              <w:rPr>
                <w:smallCaps/>
                <w:spacing w:val="-4"/>
                <w:sz w:val="18"/>
              </w:rPr>
              <w:t xml:space="preserve"> </w:t>
            </w:r>
            <w:r>
              <w:rPr>
                <w:smallCaps/>
                <w:sz w:val="18"/>
              </w:rPr>
              <w:t>Budget</w:t>
            </w:r>
            <w:r>
              <w:rPr>
                <w:smallCaps/>
                <w:spacing w:val="-4"/>
                <w:sz w:val="18"/>
              </w:rPr>
              <w:t xml:space="preserve"> </w:t>
            </w:r>
            <w:r>
              <w:rPr>
                <w:smallCaps/>
                <w:sz w:val="18"/>
              </w:rPr>
              <w:t>Authority</w:t>
            </w:r>
            <w:r>
              <w:rPr>
                <w:smallCaps/>
                <w:spacing w:val="-5"/>
                <w:sz w:val="18"/>
              </w:rPr>
              <w:t xml:space="preserve"> </w:t>
            </w:r>
            <w:r>
              <w:rPr>
                <w:smallCaps/>
                <w:sz w:val="18"/>
              </w:rPr>
              <w:t>Required</w:t>
            </w:r>
            <w:r>
              <w:rPr>
                <w:smallCaps/>
                <w:spacing w:val="-5"/>
                <w:sz w:val="18"/>
              </w:rPr>
              <w:t xml:space="preserve"> for</w:t>
            </w:r>
          </w:p>
          <w:p w14:paraId="0DFDB7F9" w14:textId="77777777" w:rsidR="00046465" w:rsidRDefault="008134EB">
            <w:pPr>
              <w:pStyle w:val="TableParagraph"/>
              <w:spacing w:before="2"/>
              <w:ind w:left="817"/>
              <w:rPr>
                <w:sz w:val="18"/>
              </w:rPr>
            </w:pPr>
            <w:r>
              <w:rPr>
                <w:smallCaps/>
                <w:sz w:val="18"/>
              </w:rPr>
              <w:t>New</w:t>
            </w:r>
            <w:r>
              <w:rPr>
                <w:smallCaps/>
                <w:spacing w:val="-3"/>
                <w:sz w:val="18"/>
              </w:rPr>
              <w:t xml:space="preserve"> </w:t>
            </w:r>
            <w:r>
              <w:rPr>
                <w:smallCaps/>
                <w:sz w:val="18"/>
              </w:rPr>
              <w:t>Loan</w:t>
            </w:r>
            <w:r>
              <w:rPr>
                <w:smallCaps/>
                <w:spacing w:val="-4"/>
                <w:sz w:val="18"/>
              </w:rPr>
              <w:t xml:space="preserve"> </w:t>
            </w:r>
            <w:r>
              <w:rPr>
                <w:smallCaps/>
                <w:sz w:val="18"/>
              </w:rPr>
              <w:t>Guarantee</w:t>
            </w:r>
            <w:r>
              <w:rPr>
                <w:smallCaps/>
                <w:spacing w:val="-3"/>
                <w:sz w:val="18"/>
              </w:rPr>
              <w:t xml:space="preserve"> </w:t>
            </w:r>
            <w:r>
              <w:rPr>
                <w:smallCaps/>
                <w:spacing w:val="-2"/>
                <w:sz w:val="18"/>
              </w:rPr>
              <w:t>Commitments.</w:t>
            </w:r>
          </w:p>
          <w:p w14:paraId="0DFDB7FA" w14:textId="77777777" w:rsidR="00046465" w:rsidRDefault="008134EB">
            <w:pPr>
              <w:pStyle w:val="TableParagraph"/>
              <w:spacing w:before="144"/>
              <w:ind w:left="97"/>
              <w:rPr>
                <w:sz w:val="18"/>
              </w:rPr>
            </w:pPr>
            <w:r>
              <w:rPr>
                <w:sz w:val="18"/>
              </w:rPr>
              <w:t>Provision</w:t>
            </w:r>
            <w:r>
              <w:rPr>
                <w:spacing w:val="-8"/>
                <w:sz w:val="18"/>
              </w:rPr>
              <w:t xml:space="preserve"> </w:t>
            </w:r>
            <w:r>
              <w:rPr>
                <w:sz w:val="18"/>
              </w:rPr>
              <w:t>Type:</w:t>
            </w:r>
            <w:r>
              <w:rPr>
                <w:spacing w:val="-6"/>
                <w:sz w:val="18"/>
              </w:rPr>
              <w:t xml:space="preserve"> </w:t>
            </w:r>
            <w:r>
              <w:rPr>
                <w:sz w:val="18"/>
              </w:rPr>
              <w:t>Quantitative-</w:t>
            </w:r>
            <w:r>
              <w:rPr>
                <w:spacing w:val="-2"/>
                <w:sz w:val="18"/>
              </w:rPr>
              <w:t>based.</w:t>
            </w:r>
          </w:p>
          <w:p w14:paraId="0DFDB7FB" w14:textId="77777777" w:rsidR="00046465" w:rsidRDefault="008134EB">
            <w:pPr>
              <w:pStyle w:val="TableParagraph"/>
              <w:spacing w:before="145" w:line="237" w:lineRule="auto"/>
              <w:ind w:left="97" w:right="134"/>
              <w:rPr>
                <w:sz w:val="18"/>
              </w:rPr>
            </w:pPr>
            <w:r>
              <w:rPr>
                <w:sz w:val="18"/>
              </w:rPr>
              <w:t>Loan</w:t>
            </w:r>
            <w:r>
              <w:rPr>
                <w:spacing w:val="-6"/>
                <w:sz w:val="18"/>
              </w:rPr>
              <w:t xml:space="preserve"> </w:t>
            </w:r>
            <w:r>
              <w:rPr>
                <w:sz w:val="18"/>
              </w:rPr>
              <w:t>guarantee</w:t>
            </w:r>
            <w:r>
              <w:rPr>
                <w:spacing w:val="-6"/>
                <w:sz w:val="18"/>
              </w:rPr>
              <w:t xml:space="preserve"> </w:t>
            </w:r>
            <w:r>
              <w:rPr>
                <w:sz w:val="18"/>
              </w:rPr>
              <w:t>commitments</w:t>
            </w:r>
            <w:r>
              <w:rPr>
                <w:spacing w:val="-4"/>
                <w:sz w:val="18"/>
              </w:rPr>
              <w:t xml:space="preserve"> </w:t>
            </w:r>
            <w:r>
              <w:rPr>
                <w:sz w:val="18"/>
              </w:rPr>
              <w:t>may</w:t>
            </w:r>
            <w:r>
              <w:rPr>
                <w:spacing w:val="-5"/>
                <w:sz w:val="18"/>
              </w:rPr>
              <w:t xml:space="preserve"> </w:t>
            </w:r>
            <w:r>
              <w:rPr>
                <w:sz w:val="18"/>
              </w:rPr>
              <w:t>be</w:t>
            </w:r>
            <w:r>
              <w:rPr>
                <w:spacing w:val="-6"/>
                <w:sz w:val="18"/>
              </w:rPr>
              <w:t xml:space="preserve"> </w:t>
            </w:r>
            <w:r>
              <w:rPr>
                <w:sz w:val="18"/>
              </w:rPr>
              <w:t>made</w:t>
            </w:r>
            <w:r>
              <w:rPr>
                <w:spacing w:val="-4"/>
                <w:sz w:val="18"/>
              </w:rPr>
              <w:t xml:space="preserve"> </w:t>
            </w:r>
            <w:r>
              <w:rPr>
                <w:sz w:val="18"/>
              </w:rPr>
              <w:t>on</w:t>
            </w:r>
            <w:r>
              <w:rPr>
                <w:spacing w:val="-6"/>
                <w:sz w:val="18"/>
              </w:rPr>
              <w:t xml:space="preserve"> </w:t>
            </w:r>
            <w:r>
              <w:rPr>
                <w:sz w:val="18"/>
              </w:rPr>
              <w:t>or</w:t>
            </w:r>
            <w:r>
              <w:rPr>
                <w:spacing w:val="-5"/>
                <w:sz w:val="18"/>
              </w:rPr>
              <w:t xml:space="preserve"> </w:t>
            </w:r>
            <w:r>
              <w:rPr>
                <w:sz w:val="18"/>
              </w:rPr>
              <w:t>after October 1, 1991, only to the extent that an appropriation or other budget authority is available to cover these costs.</w:t>
            </w:r>
            <w:hyperlink w:anchor="_bookmark78" w:history="1">
              <w:r>
                <w:rPr>
                  <w:position w:val="6"/>
                  <w:sz w:val="12"/>
                </w:rPr>
                <w:t>14</w:t>
              </w:r>
            </w:hyperlink>
            <w:r>
              <w:rPr>
                <w:position w:val="6"/>
                <w:sz w:val="12"/>
              </w:rPr>
              <w:t xml:space="preserve">, </w:t>
            </w:r>
            <w:hyperlink w:anchor="_bookmark79" w:history="1">
              <w:r>
                <w:rPr>
                  <w:position w:val="6"/>
                  <w:sz w:val="12"/>
                </w:rPr>
                <w:t>15</w:t>
              </w:r>
            </w:hyperlink>
            <w:r>
              <w:rPr>
                <w:position w:val="6"/>
                <w:sz w:val="12"/>
              </w:rPr>
              <w:t>,</w:t>
            </w:r>
            <w:hyperlink w:anchor="_bookmark80" w:history="1">
              <w:r>
                <w:rPr>
                  <w:position w:val="6"/>
                  <w:sz w:val="12"/>
                </w:rPr>
                <w:t>16</w:t>
              </w:r>
            </w:hyperlink>
            <w:r>
              <w:rPr>
                <w:position w:val="6"/>
                <w:sz w:val="12"/>
              </w:rPr>
              <w:t>,</w:t>
            </w:r>
            <w:r>
              <w:rPr>
                <w:spacing w:val="-18"/>
                <w:position w:val="6"/>
                <w:sz w:val="12"/>
              </w:rPr>
              <w:t xml:space="preserve"> </w:t>
            </w:r>
            <w:hyperlink w:anchor="_bookmark81" w:history="1">
              <w:r>
                <w:rPr>
                  <w:position w:val="6"/>
                  <w:sz w:val="12"/>
                </w:rPr>
                <w:t>17</w:t>
              </w:r>
            </w:hyperlink>
            <w:r>
              <w:rPr>
                <w:position w:val="6"/>
                <w:sz w:val="12"/>
              </w:rPr>
              <w:t>,</w:t>
            </w:r>
            <w:hyperlink w:anchor="_bookmark82" w:history="1">
              <w:r>
                <w:rPr>
                  <w:position w:val="6"/>
                  <w:sz w:val="12"/>
                </w:rPr>
                <w:t>18</w:t>
              </w:r>
            </w:hyperlink>
            <w:r>
              <w:rPr>
                <w:spacing w:val="40"/>
                <w:position w:val="6"/>
                <w:sz w:val="12"/>
              </w:rPr>
              <w:t xml:space="preserve"> </w:t>
            </w:r>
            <w:r>
              <w:rPr>
                <w:sz w:val="18"/>
              </w:rPr>
              <w:t>2 U.S.C. § 661c(b).</w:t>
            </w:r>
          </w:p>
        </w:tc>
        <w:tc>
          <w:tcPr>
            <w:tcW w:w="2250" w:type="dxa"/>
            <w:tcBorders>
              <w:left w:val="single" w:sz="4" w:space="0" w:color="000000"/>
              <w:right w:val="single" w:sz="4" w:space="0" w:color="000000"/>
            </w:tcBorders>
          </w:tcPr>
          <w:p w14:paraId="0DFDB7FC" w14:textId="77777777" w:rsidR="00046465" w:rsidRDefault="008134EB">
            <w:pPr>
              <w:pStyle w:val="TableParagraph"/>
              <w:spacing w:before="143"/>
              <w:ind w:left="107" w:right="195"/>
              <w:rPr>
                <w:sz w:val="18"/>
              </w:rPr>
            </w:pPr>
            <w:r>
              <w:rPr>
                <w:sz w:val="18"/>
              </w:rPr>
              <w:t>Obligations</w:t>
            </w:r>
            <w:r>
              <w:rPr>
                <w:spacing w:val="-13"/>
                <w:sz w:val="18"/>
              </w:rPr>
              <w:t xml:space="preserve"> </w:t>
            </w:r>
            <w:r>
              <w:rPr>
                <w:sz w:val="18"/>
              </w:rPr>
              <w:t>for</w:t>
            </w:r>
            <w:r>
              <w:rPr>
                <w:spacing w:val="-12"/>
                <w:sz w:val="18"/>
              </w:rPr>
              <w:t xml:space="preserve"> </w:t>
            </w:r>
            <w:r>
              <w:rPr>
                <w:sz w:val="18"/>
              </w:rPr>
              <w:t>new</w:t>
            </w:r>
            <w:r>
              <w:rPr>
                <w:spacing w:val="-13"/>
                <w:sz w:val="18"/>
              </w:rPr>
              <w:t xml:space="preserve"> </w:t>
            </w:r>
            <w:r>
              <w:rPr>
                <w:sz w:val="18"/>
              </w:rPr>
              <w:t>loan guarantee</w:t>
            </w:r>
            <w:r>
              <w:rPr>
                <w:spacing w:val="-13"/>
                <w:sz w:val="18"/>
              </w:rPr>
              <w:t xml:space="preserve"> </w:t>
            </w:r>
            <w:r>
              <w:rPr>
                <w:sz w:val="18"/>
              </w:rPr>
              <w:t>commitments made on or after October 1, 1991, do</w:t>
            </w:r>
            <w:r>
              <w:rPr>
                <w:spacing w:val="-1"/>
                <w:sz w:val="18"/>
              </w:rPr>
              <w:t xml:space="preserve"> </w:t>
            </w:r>
            <w:r>
              <w:rPr>
                <w:sz w:val="18"/>
              </w:rPr>
              <w:t>not exceed the available appropriation or other budget authority. (See footnotes</w:t>
            </w:r>
            <w:r>
              <w:rPr>
                <w:spacing w:val="-2"/>
                <w:sz w:val="18"/>
              </w:rPr>
              <w:t xml:space="preserve"> </w:t>
            </w:r>
            <w:r>
              <w:rPr>
                <w:sz w:val="18"/>
              </w:rPr>
              <w:t>13</w:t>
            </w:r>
            <w:r>
              <w:rPr>
                <w:spacing w:val="-3"/>
                <w:sz w:val="18"/>
              </w:rPr>
              <w:t xml:space="preserve"> </w:t>
            </w:r>
            <w:r>
              <w:rPr>
                <w:sz w:val="18"/>
              </w:rPr>
              <w:t>through</w:t>
            </w:r>
            <w:r>
              <w:rPr>
                <w:spacing w:val="-3"/>
                <w:sz w:val="18"/>
              </w:rPr>
              <w:t xml:space="preserve"> </w:t>
            </w:r>
            <w:r>
              <w:rPr>
                <w:sz w:val="18"/>
              </w:rPr>
              <w:t xml:space="preserve">17 </w:t>
            </w:r>
            <w:r>
              <w:rPr>
                <w:spacing w:val="-2"/>
                <w:sz w:val="18"/>
              </w:rPr>
              <w:t>below.)</w:t>
            </w:r>
          </w:p>
        </w:tc>
        <w:tc>
          <w:tcPr>
            <w:tcW w:w="1620" w:type="dxa"/>
            <w:tcBorders>
              <w:left w:val="single" w:sz="4" w:space="0" w:color="000000"/>
              <w:right w:val="single" w:sz="4" w:space="0" w:color="000000"/>
            </w:tcBorders>
          </w:tcPr>
          <w:p w14:paraId="0DFDB7FD" w14:textId="77777777" w:rsidR="00046465" w:rsidRDefault="008134EB">
            <w:pPr>
              <w:pStyle w:val="TableParagraph"/>
              <w:spacing w:before="143"/>
              <w:ind w:left="107" w:right="195"/>
              <w:rPr>
                <w:position w:val="6"/>
                <w:sz w:val="12"/>
              </w:rPr>
            </w:pPr>
            <w:r>
              <w:rPr>
                <w:sz w:val="18"/>
              </w:rPr>
              <w:t>Consider pre-</w:t>
            </w:r>
            <w:r>
              <w:rPr>
                <w:spacing w:val="-2"/>
                <w:sz w:val="18"/>
              </w:rPr>
              <w:t xml:space="preserve">testing </w:t>
            </w:r>
            <w:r>
              <w:rPr>
                <w:sz w:val="18"/>
              </w:rPr>
              <w:t>discussions</w:t>
            </w:r>
            <w:r>
              <w:rPr>
                <w:spacing w:val="-13"/>
                <w:sz w:val="18"/>
              </w:rPr>
              <w:t xml:space="preserve"> </w:t>
            </w:r>
            <w:r>
              <w:rPr>
                <w:sz w:val="18"/>
              </w:rPr>
              <w:t xml:space="preserve">with </w:t>
            </w:r>
            <w:r>
              <w:rPr>
                <w:spacing w:val="-2"/>
                <w:sz w:val="18"/>
              </w:rPr>
              <w:t>OGC.</w:t>
            </w:r>
            <w:hyperlink w:anchor="_bookmark83" w:history="1">
              <w:r>
                <w:rPr>
                  <w:spacing w:val="-2"/>
                  <w:position w:val="6"/>
                  <w:sz w:val="12"/>
                </w:rPr>
                <w:t>19</w:t>
              </w:r>
            </w:hyperlink>
          </w:p>
        </w:tc>
        <w:tc>
          <w:tcPr>
            <w:tcW w:w="1402" w:type="dxa"/>
            <w:tcBorders>
              <w:left w:val="single" w:sz="4" w:space="0" w:color="000000"/>
              <w:right w:val="single" w:sz="4" w:space="0" w:color="000000"/>
            </w:tcBorders>
          </w:tcPr>
          <w:p w14:paraId="0DFDB7FE" w14:textId="77777777" w:rsidR="00046465" w:rsidRDefault="00046465">
            <w:pPr>
              <w:pStyle w:val="TableParagraph"/>
              <w:rPr>
                <w:rFonts w:ascii="Times New Roman"/>
                <w:sz w:val="18"/>
              </w:rPr>
            </w:pPr>
          </w:p>
        </w:tc>
        <w:tc>
          <w:tcPr>
            <w:tcW w:w="1498" w:type="dxa"/>
            <w:tcBorders>
              <w:left w:val="single" w:sz="4" w:space="0" w:color="000000"/>
              <w:right w:val="single" w:sz="4" w:space="0" w:color="000000"/>
            </w:tcBorders>
          </w:tcPr>
          <w:p w14:paraId="0DFDB7FF" w14:textId="77777777" w:rsidR="00046465" w:rsidRDefault="00046465">
            <w:pPr>
              <w:pStyle w:val="TableParagraph"/>
              <w:rPr>
                <w:rFonts w:ascii="Times New Roman"/>
                <w:sz w:val="18"/>
              </w:rPr>
            </w:pPr>
          </w:p>
        </w:tc>
        <w:tc>
          <w:tcPr>
            <w:tcW w:w="1979" w:type="dxa"/>
            <w:tcBorders>
              <w:left w:val="single" w:sz="4" w:space="0" w:color="000000"/>
            </w:tcBorders>
          </w:tcPr>
          <w:p w14:paraId="0DFDB800" w14:textId="77777777" w:rsidR="00046465" w:rsidRDefault="008134EB">
            <w:pPr>
              <w:pStyle w:val="TableParagraph"/>
              <w:spacing w:before="143"/>
              <w:ind w:left="107" w:right="140"/>
              <w:rPr>
                <w:sz w:val="18"/>
              </w:rPr>
            </w:pPr>
            <w:r>
              <w:rPr>
                <w:sz w:val="18"/>
              </w:rPr>
              <w:t>See Compliance Audit Procedures, FAM</w:t>
            </w:r>
            <w:r>
              <w:rPr>
                <w:spacing w:val="-10"/>
                <w:sz w:val="18"/>
              </w:rPr>
              <w:t xml:space="preserve"> </w:t>
            </w:r>
            <w:r>
              <w:rPr>
                <w:sz w:val="18"/>
              </w:rPr>
              <w:t>804</w:t>
            </w:r>
            <w:r>
              <w:rPr>
                <w:spacing w:val="-11"/>
                <w:sz w:val="18"/>
              </w:rPr>
              <w:t xml:space="preserve"> </w:t>
            </w:r>
            <w:r>
              <w:rPr>
                <w:sz w:val="18"/>
              </w:rPr>
              <w:t>steps</w:t>
            </w:r>
            <w:r>
              <w:rPr>
                <w:spacing w:val="-9"/>
                <w:sz w:val="18"/>
              </w:rPr>
              <w:t xml:space="preserve"> </w:t>
            </w:r>
            <w:r>
              <w:rPr>
                <w:sz w:val="18"/>
              </w:rPr>
              <w:t>3</w:t>
            </w:r>
            <w:r>
              <w:rPr>
                <w:spacing w:val="-11"/>
                <w:sz w:val="18"/>
              </w:rPr>
              <w:t xml:space="preserve"> </w:t>
            </w:r>
            <w:r>
              <w:rPr>
                <w:sz w:val="18"/>
              </w:rPr>
              <w:t>and</w:t>
            </w:r>
          </w:p>
          <w:p w14:paraId="0DFDB801" w14:textId="77777777" w:rsidR="00046465" w:rsidRDefault="008134EB">
            <w:pPr>
              <w:pStyle w:val="TableParagraph"/>
              <w:spacing w:before="2"/>
              <w:ind w:left="107"/>
              <w:rPr>
                <w:sz w:val="18"/>
              </w:rPr>
            </w:pPr>
            <w:r>
              <w:rPr>
                <w:spacing w:val="-5"/>
                <w:sz w:val="18"/>
              </w:rPr>
              <w:t>4.</w:t>
            </w:r>
          </w:p>
        </w:tc>
      </w:tr>
    </w:tbl>
    <w:p w14:paraId="0DFDB803" w14:textId="77777777" w:rsidR="00046465" w:rsidRDefault="008134EB">
      <w:pPr>
        <w:pStyle w:val="BodyText"/>
        <w:spacing w:before="147"/>
        <w:rPr>
          <w:sz w:val="20"/>
        </w:rPr>
      </w:pPr>
      <w:r>
        <w:rPr>
          <w:noProof/>
          <w:sz w:val="20"/>
        </w:rPr>
        <mc:AlternateContent>
          <mc:Choice Requires="wps">
            <w:drawing>
              <wp:anchor distT="0" distB="0" distL="0" distR="0" simplePos="0" relativeHeight="487654400" behindDoc="1" locked="0" layoutInCell="1" allowOverlap="1" wp14:anchorId="0DFDD61F" wp14:editId="0DFDD620">
                <wp:simplePos x="0" y="0"/>
                <wp:positionH relativeFrom="page">
                  <wp:posOffset>685800</wp:posOffset>
                </wp:positionH>
                <wp:positionV relativeFrom="paragraph">
                  <wp:posOffset>254641</wp:posOffset>
                </wp:positionV>
                <wp:extent cx="1828800" cy="6985"/>
                <wp:effectExtent l="0" t="0" r="0" b="0"/>
                <wp:wrapTopAndBottom/>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70B038" id="Graphic 570" o:spid="_x0000_s1026" style="position:absolute;margin-left:54pt;margin-top:20.05pt;width:2in;height:.55pt;z-index:-1566208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" path="m1828800,l,,,6858r1828800,l1828800,xe" fillcolor="black" stroked="f">
                <v:path arrowok="t"/>
                <w10:wrap type="topAndBottom" anchorx="page"/>
              </v:shape>
            </w:pict>
          </mc:Fallback>
        </mc:AlternateContent>
      </w:r>
    </w:p>
    <w:p w14:paraId="0DFDB804" w14:textId="77777777" w:rsidR="00046465" w:rsidRDefault="00046465">
      <w:pPr>
        <w:pStyle w:val="BodyText"/>
        <w:spacing w:before="4"/>
        <w:rPr>
          <w:sz w:val="18"/>
        </w:rPr>
      </w:pPr>
    </w:p>
    <w:p w14:paraId="0DFDB805" w14:textId="77777777" w:rsidR="00046465" w:rsidRDefault="008134EB">
      <w:pPr>
        <w:ind w:left="360" w:right="422"/>
        <w:rPr>
          <w:sz w:val="18"/>
        </w:rPr>
      </w:pPr>
      <w:r>
        <w:rPr>
          <w:sz w:val="18"/>
        </w:rPr>
        <w:t>would constitute modifications, whereas changes within the terms of existing contracts or through other existing authorities would not be considered modifications. Also,</w:t>
      </w:r>
      <w:r>
        <w:rPr>
          <w:spacing w:val="-2"/>
          <w:sz w:val="18"/>
        </w:rPr>
        <w:t xml:space="preserve"> </w:t>
      </w:r>
      <w:r>
        <w:rPr>
          <w:sz w:val="18"/>
        </w:rPr>
        <w:t>“work</w:t>
      </w:r>
      <w:r>
        <w:rPr>
          <w:spacing w:val="-2"/>
          <w:sz w:val="18"/>
        </w:rPr>
        <w:t xml:space="preserve"> </w:t>
      </w:r>
      <w:r>
        <w:rPr>
          <w:sz w:val="18"/>
        </w:rPr>
        <w:t>outs”</w:t>
      </w:r>
      <w:r>
        <w:rPr>
          <w:spacing w:val="-2"/>
          <w:sz w:val="18"/>
        </w:rPr>
        <w:t xml:space="preserve"> </w:t>
      </w:r>
      <w:r>
        <w:rPr>
          <w:sz w:val="18"/>
        </w:rPr>
        <w:t>of</w:t>
      </w:r>
      <w:r>
        <w:rPr>
          <w:spacing w:val="-2"/>
          <w:sz w:val="18"/>
        </w:rPr>
        <w:t xml:space="preserve"> </w:t>
      </w:r>
      <w:r>
        <w:rPr>
          <w:sz w:val="18"/>
        </w:rPr>
        <w:t>individual</w:t>
      </w:r>
      <w:r>
        <w:rPr>
          <w:spacing w:val="-2"/>
          <w:sz w:val="18"/>
        </w:rPr>
        <w:t xml:space="preserve"> </w:t>
      </w:r>
      <w:r>
        <w:rPr>
          <w:sz w:val="18"/>
        </w:rPr>
        <w:t>loans,</w:t>
      </w:r>
      <w:r>
        <w:rPr>
          <w:spacing w:val="-2"/>
          <w:sz w:val="18"/>
        </w:rPr>
        <w:t xml:space="preserve"> </w:t>
      </w:r>
      <w:r>
        <w:rPr>
          <w:sz w:val="18"/>
        </w:rPr>
        <w:t>such</w:t>
      </w:r>
      <w:r>
        <w:rPr>
          <w:spacing w:val="-3"/>
          <w:sz w:val="18"/>
        </w:rPr>
        <w:t xml:space="preserve"> </w:t>
      </w:r>
      <w:r>
        <w:rPr>
          <w:sz w:val="18"/>
        </w:rPr>
        <w:t>as</w:t>
      </w:r>
      <w:r>
        <w:rPr>
          <w:spacing w:val="-1"/>
          <w:sz w:val="18"/>
        </w:rPr>
        <w:t xml:space="preserve"> </w:t>
      </w:r>
      <w:r>
        <w:rPr>
          <w:sz w:val="18"/>
        </w:rPr>
        <w:t>a</w:t>
      </w:r>
      <w:r>
        <w:rPr>
          <w:spacing w:val="-3"/>
          <w:sz w:val="18"/>
        </w:rPr>
        <w:t xml:space="preserve"> </w:t>
      </w:r>
      <w:r>
        <w:rPr>
          <w:sz w:val="18"/>
        </w:rPr>
        <w:t>change</w:t>
      </w:r>
      <w:r>
        <w:rPr>
          <w:spacing w:val="-3"/>
          <w:sz w:val="18"/>
        </w:rPr>
        <w:t xml:space="preserve"> </w:t>
      </w:r>
      <w:r>
        <w:rPr>
          <w:sz w:val="18"/>
        </w:rPr>
        <w:t>in</w:t>
      </w:r>
      <w:r>
        <w:rPr>
          <w:spacing w:val="-3"/>
          <w:sz w:val="18"/>
        </w:rPr>
        <w:t xml:space="preserve"> </w:t>
      </w:r>
      <w:r>
        <w:rPr>
          <w:sz w:val="18"/>
        </w:rPr>
        <w:t>the</w:t>
      </w:r>
      <w:r>
        <w:rPr>
          <w:spacing w:val="-3"/>
          <w:sz w:val="18"/>
        </w:rPr>
        <w:t xml:space="preserve"> </w:t>
      </w:r>
      <w:r>
        <w:rPr>
          <w:sz w:val="18"/>
        </w:rPr>
        <w:t>amount</w:t>
      </w:r>
      <w:r>
        <w:rPr>
          <w:spacing w:val="-2"/>
          <w:sz w:val="18"/>
        </w:rPr>
        <w:t xml:space="preserve"> </w:t>
      </w:r>
      <w:r>
        <w:rPr>
          <w:sz w:val="18"/>
        </w:rPr>
        <w:t>or</w:t>
      </w:r>
      <w:r>
        <w:rPr>
          <w:spacing w:val="-2"/>
          <w:sz w:val="18"/>
        </w:rPr>
        <w:t xml:space="preserve"> </w:t>
      </w:r>
      <w:r>
        <w:rPr>
          <w:sz w:val="18"/>
        </w:rPr>
        <w:t>timing</w:t>
      </w:r>
      <w:r>
        <w:rPr>
          <w:spacing w:val="-3"/>
          <w:sz w:val="18"/>
        </w:rPr>
        <w:t xml:space="preserve"> </w:t>
      </w:r>
      <w:r>
        <w:rPr>
          <w:sz w:val="18"/>
        </w:rPr>
        <w:t>of</w:t>
      </w:r>
      <w:r>
        <w:rPr>
          <w:spacing w:val="-2"/>
          <w:sz w:val="18"/>
        </w:rPr>
        <w:t xml:space="preserve"> </w:t>
      </w:r>
      <w:r>
        <w:rPr>
          <w:sz w:val="18"/>
        </w:rPr>
        <w:t>payments</w:t>
      </w:r>
      <w:r>
        <w:rPr>
          <w:spacing w:val="-2"/>
          <w:sz w:val="18"/>
        </w:rPr>
        <w:t xml:space="preserve"> </w:t>
      </w:r>
      <w:r>
        <w:rPr>
          <w:sz w:val="18"/>
        </w:rPr>
        <w:t>to</w:t>
      </w:r>
      <w:r>
        <w:rPr>
          <w:spacing w:val="-3"/>
          <w:sz w:val="18"/>
        </w:rPr>
        <w:t xml:space="preserve"> </w:t>
      </w:r>
      <w:r>
        <w:rPr>
          <w:sz w:val="18"/>
        </w:rPr>
        <w:t>be</w:t>
      </w:r>
      <w:r>
        <w:rPr>
          <w:spacing w:val="-3"/>
          <w:sz w:val="18"/>
        </w:rPr>
        <w:t xml:space="preserve"> </w:t>
      </w:r>
      <w:r>
        <w:rPr>
          <w:sz w:val="18"/>
        </w:rPr>
        <w:t>made,</w:t>
      </w:r>
      <w:r>
        <w:rPr>
          <w:spacing w:val="-2"/>
          <w:sz w:val="18"/>
        </w:rPr>
        <w:t xml:space="preserve"> </w:t>
      </w:r>
      <w:r>
        <w:rPr>
          <w:sz w:val="18"/>
        </w:rPr>
        <w:t>would</w:t>
      </w:r>
      <w:r>
        <w:rPr>
          <w:spacing w:val="-3"/>
          <w:sz w:val="18"/>
        </w:rPr>
        <w:t xml:space="preserve"> </w:t>
      </w:r>
      <w:r>
        <w:rPr>
          <w:sz w:val="18"/>
        </w:rPr>
        <w:t>not</w:t>
      </w:r>
      <w:r>
        <w:rPr>
          <w:spacing w:val="-2"/>
          <w:sz w:val="18"/>
        </w:rPr>
        <w:t xml:space="preserve"> </w:t>
      </w:r>
      <w:r>
        <w:rPr>
          <w:sz w:val="18"/>
        </w:rPr>
        <w:t>be</w:t>
      </w:r>
      <w:r>
        <w:rPr>
          <w:spacing w:val="-1"/>
          <w:sz w:val="18"/>
        </w:rPr>
        <w:t xml:space="preserve"> </w:t>
      </w:r>
      <w:r>
        <w:rPr>
          <w:sz w:val="18"/>
        </w:rPr>
        <w:t>considered</w:t>
      </w:r>
      <w:r>
        <w:rPr>
          <w:spacing w:val="-3"/>
          <w:sz w:val="18"/>
        </w:rPr>
        <w:t xml:space="preserve"> </w:t>
      </w:r>
      <w:r>
        <w:rPr>
          <w:sz w:val="18"/>
        </w:rPr>
        <w:t>modifications.</w:t>
      </w:r>
      <w:r>
        <w:rPr>
          <w:spacing w:val="-2"/>
          <w:sz w:val="18"/>
        </w:rPr>
        <w:t xml:space="preserve"> </w:t>
      </w:r>
      <w:r>
        <w:rPr>
          <w:sz w:val="18"/>
        </w:rPr>
        <w:t>The</w:t>
      </w:r>
      <w:r>
        <w:rPr>
          <w:spacing w:val="-1"/>
          <w:sz w:val="18"/>
        </w:rPr>
        <w:t xml:space="preserve"> </w:t>
      </w:r>
      <w:r>
        <w:rPr>
          <w:sz w:val="18"/>
        </w:rPr>
        <w:t>effects</w:t>
      </w:r>
      <w:r>
        <w:rPr>
          <w:spacing w:val="-2"/>
          <w:sz w:val="18"/>
        </w:rPr>
        <w:t xml:space="preserve"> </w:t>
      </w:r>
      <w:r>
        <w:rPr>
          <w:sz w:val="18"/>
        </w:rPr>
        <w:t>of</w:t>
      </w:r>
      <w:r>
        <w:rPr>
          <w:spacing w:val="-2"/>
          <w:sz w:val="18"/>
        </w:rPr>
        <w:t xml:space="preserve"> </w:t>
      </w:r>
      <w:r>
        <w:rPr>
          <w:sz w:val="18"/>
        </w:rPr>
        <w:t>these changes should be included in the annual reestimates of the estimated net present value of the obligations. Permanent indefinite authority is provided by FCRA for these reestimates. 2 U.S.C. § 661c(f).</w:t>
      </w:r>
    </w:p>
    <w:p w14:paraId="0DFDB806" w14:textId="77777777" w:rsidR="00046465" w:rsidRDefault="008134EB">
      <w:pPr>
        <w:spacing w:before="125" w:line="249" w:lineRule="auto"/>
        <w:ind w:left="359" w:right="249"/>
        <w:rPr>
          <w:sz w:val="18"/>
        </w:rPr>
      </w:pPr>
      <w:r>
        <w:rPr>
          <w:position w:val="7"/>
          <w:sz w:val="14"/>
        </w:rPr>
        <w:t>12</w:t>
      </w:r>
      <w:r>
        <w:rPr>
          <w:sz w:val="18"/>
        </w:rPr>
        <w:t>Prior</w:t>
      </w:r>
      <w:r>
        <w:rPr>
          <w:spacing w:val="-2"/>
          <w:sz w:val="18"/>
        </w:rPr>
        <w:t xml:space="preserve"> </w:t>
      </w:r>
      <w:r>
        <w:rPr>
          <w:sz w:val="18"/>
        </w:rPr>
        <w:t>to</w:t>
      </w:r>
      <w:r>
        <w:rPr>
          <w:spacing w:val="-3"/>
          <w:sz w:val="18"/>
        </w:rPr>
        <w:t xml:space="preserve"> </w:t>
      </w:r>
      <w:r>
        <w:rPr>
          <w:sz w:val="18"/>
        </w:rPr>
        <w:t>performing</w:t>
      </w:r>
      <w:r>
        <w:rPr>
          <w:spacing w:val="-3"/>
          <w:sz w:val="18"/>
        </w:rPr>
        <w:t xml:space="preserve"> </w:t>
      </w:r>
      <w:r>
        <w:rPr>
          <w:sz w:val="18"/>
        </w:rPr>
        <w:t>control</w:t>
      </w:r>
      <w:r>
        <w:rPr>
          <w:spacing w:val="-2"/>
          <w:sz w:val="18"/>
        </w:rPr>
        <w:t xml:space="preserve"> </w:t>
      </w:r>
      <w:r>
        <w:rPr>
          <w:sz w:val="18"/>
        </w:rPr>
        <w:t>or</w:t>
      </w:r>
      <w:r>
        <w:rPr>
          <w:spacing w:val="-1"/>
          <w:sz w:val="18"/>
        </w:rPr>
        <w:t xml:space="preserve"> </w:t>
      </w:r>
      <w:r>
        <w:rPr>
          <w:sz w:val="18"/>
        </w:rPr>
        <w:t>compliance</w:t>
      </w:r>
      <w:r>
        <w:rPr>
          <w:spacing w:val="-3"/>
          <w:sz w:val="18"/>
        </w:rPr>
        <w:t xml:space="preserve"> </w:t>
      </w:r>
      <w:r>
        <w:rPr>
          <w:sz w:val="18"/>
        </w:rPr>
        <w:t>tests,</w:t>
      </w:r>
      <w:r>
        <w:rPr>
          <w:spacing w:val="-2"/>
          <w:sz w:val="18"/>
        </w:rPr>
        <w:t xml:space="preserve"> </w:t>
      </w:r>
      <w:r>
        <w:rPr>
          <w:sz w:val="18"/>
        </w:rPr>
        <w:t>the</w:t>
      </w:r>
      <w:r>
        <w:rPr>
          <w:spacing w:val="-3"/>
          <w:sz w:val="18"/>
        </w:rPr>
        <w:t xml:space="preserve"> </w:t>
      </w:r>
      <w:r>
        <w:rPr>
          <w:sz w:val="18"/>
        </w:rPr>
        <w:t>auditor</w:t>
      </w:r>
      <w:r>
        <w:rPr>
          <w:spacing w:val="-1"/>
          <w:sz w:val="18"/>
        </w:rPr>
        <w:t xml:space="preserve"> </w:t>
      </w:r>
      <w:r>
        <w:rPr>
          <w:sz w:val="18"/>
        </w:rPr>
        <w:t>should</w:t>
      </w:r>
      <w:r>
        <w:rPr>
          <w:spacing w:val="-3"/>
          <w:sz w:val="18"/>
        </w:rPr>
        <w:t xml:space="preserve"> </w:t>
      </w:r>
      <w:r>
        <w:rPr>
          <w:sz w:val="18"/>
        </w:rPr>
        <w:t>discuss</w:t>
      </w:r>
      <w:r>
        <w:rPr>
          <w:spacing w:val="-2"/>
          <w:sz w:val="18"/>
        </w:rPr>
        <w:t xml:space="preserve"> </w:t>
      </w:r>
      <w:r>
        <w:rPr>
          <w:sz w:val="18"/>
        </w:rPr>
        <w:t>with</w:t>
      </w:r>
      <w:r>
        <w:rPr>
          <w:spacing w:val="-3"/>
          <w:sz w:val="18"/>
        </w:rPr>
        <w:t xml:space="preserve"> </w:t>
      </w:r>
      <w:r>
        <w:rPr>
          <w:sz w:val="18"/>
        </w:rPr>
        <w:t>OGC</w:t>
      </w:r>
      <w:r>
        <w:rPr>
          <w:spacing w:val="-2"/>
          <w:sz w:val="18"/>
        </w:rPr>
        <w:t xml:space="preserve"> </w:t>
      </w:r>
      <w:r>
        <w:rPr>
          <w:sz w:val="18"/>
        </w:rPr>
        <w:t>the</w:t>
      </w:r>
      <w:r>
        <w:rPr>
          <w:spacing w:val="-3"/>
          <w:sz w:val="18"/>
        </w:rPr>
        <w:t xml:space="preserve"> </w:t>
      </w:r>
      <w:r>
        <w:rPr>
          <w:sz w:val="18"/>
        </w:rPr>
        <w:t>applicability</w:t>
      </w:r>
      <w:r>
        <w:rPr>
          <w:spacing w:val="-2"/>
          <w:sz w:val="18"/>
        </w:rPr>
        <w:t xml:space="preserve"> </w:t>
      </w:r>
      <w:r>
        <w:rPr>
          <w:sz w:val="18"/>
        </w:rPr>
        <w:t>of</w:t>
      </w:r>
      <w:r>
        <w:rPr>
          <w:spacing w:val="-1"/>
          <w:sz w:val="18"/>
        </w:rPr>
        <w:t xml:space="preserve"> </w:t>
      </w:r>
      <w:r>
        <w:rPr>
          <w:sz w:val="18"/>
        </w:rPr>
        <w:t>this</w:t>
      </w:r>
      <w:r>
        <w:rPr>
          <w:spacing w:val="-2"/>
          <w:sz w:val="18"/>
        </w:rPr>
        <w:t xml:space="preserve"> </w:t>
      </w:r>
      <w:r>
        <w:rPr>
          <w:sz w:val="18"/>
        </w:rPr>
        <w:t>budget</w:t>
      </w:r>
      <w:r>
        <w:rPr>
          <w:spacing w:val="-2"/>
          <w:sz w:val="18"/>
        </w:rPr>
        <w:t xml:space="preserve"> </w:t>
      </w:r>
      <w:r>
        <w:rPr>
          <w:sz w:val="18"/>
        </w:rPr>
        <w:t>restriction</w:t>
      </w:r>
      <w:r>
        <w:rPr>
          <w:spacing w:val="-3"/>
          <w:sz w:val="18"/>
        </w:rPr>
        <w:t xml:space="preserve"> </w:t>
      </w:r>
      <w:r>
        <w:rPr>
          <w:sz w:val="18"/>
        </w:rPr>
        <w:t>related</w:t>
      </w:r>
      <w:r>
        <w:rPr>
          <w:spacing w:val="-1"/>
          <w:sz w:val="18"/>
        </w:rPr>
        <w:t xml:space="preserve"> </w:t>
      </w:r>
      <w:r>
        <w:rPr>
          <w:sz w:val="18"/>
        </w:rPr>
        <w:t>to</w:t>
      </w:r>
      <w:r>
        <w:rPr>
          <w:spacing w:val="-3"/>
          <w:sz w:val="18"/>
        </w:rPr>
        <w:t xml:space="preserve"> </w:t>
      </w:r>
      <w:r>
        <w:rPr>
          <w:sz w:val="18"/>
        </w:rPr>
        <w:t>modification</w:t>
      </w:r>
      <w:r>
        <w:rPr>
          <w:spacing w:val="-1"/>
          <w:sz w:val="18"/>
        </w:rPr>
        <w:t xml:space="preserve"> </w:t>
      </w:r>
      <w:r>
        <w:rPr>
          <w:sz w:val="18"/>
        </w:rPr>
        <w:t>of</w:t>
      </w:r>
      <w:r>
        <w:rPr>
          <w:spacing w:val="-2"/>
          <w:sz w:val="18"/>
        </w:rPr>
        <w:t xml:space="preserve"> </w:t>
      </w:r>
      <w:r>
        <w:rPr>
          <w:sz w:val="18"/>
        </w:rPr>
        <w:t>direct</w:t>
      </w:r>
      <w:r>
        <w:rPr>
          <w:spacing w:val="-2"/>
          <w:sz w:val="18"/>
        </w:rPr>
        <w:t xml:space="preserve"> </w:t>
      </w:r>
      <w:r>
        <w:rPr>
          <w:sz w:val="18"/>
        </w:rPr>
        <w:t>loans</w:t>
      </w:r>
      <w:r>
        <w:rPr>
          <w:spacing w:val="-1"/>
          <w:sz w:val="18"/>
        </w:rPr>
        <w:t xml:space="preserve"> </w:t>
      </w:r>
      <w:r>
        <w:rPr>
          <w:sz w:val="18"/>
        </w:rPr>
        <w:t>or direct loan obligations that were outstanding prior to October 1, 1991.</w:t>
      </w:r>
    </w:p>
    <w:p w14:paraId="0DFDB807" w14:textId="77777777" w:rsidR="00046465" w:rsidRDefault="008134EB">
      <w:pPr>
        <w:spacing w:before="118" w:line="242" w:lineRule="auto"/>
        <w:ind w:left="359" w:right="422"/>
        <w:rPr>
          <w:sz w:val="18"/>
        </w:rPr>
      </w:pPr>
      <w:r>
        <w:rPr>
          <w:position w:val="7"/>
          <w:sz w:val="14"/>
        </w:rPr>
        <w:t>13</w:t>
      </w:r>
      <w:r>
        <w:rPr>
          <w:sz w:val="18"/>
        </w:rPr>
        <w:t>The</w:t>
      </w:r>
      <w:r>
        <w:rPr>
          <w:spacing w:val="-1"/>
          <w:sz w:val="18"/>
        </w:rPr>
        <w:t xml:space="preserve"> </w:t>
      </w:r>
      <w:r>
        <w:rPr>
          <w:sz w:val="18"/>
        </w:rPr>
        <w:t>auditor should</w:t>
      </w:r>
      <w:r>
        <w:rPr>
          <w:spacing w:val="-1"/>
          <w:sz w:val="18"/>
        </w:rPr>
        <w:t xml:space="preserve"> </w:t>
      </w:r>
      <w:r>
        <w:rPr>
          <w:sz w:val="18"/>
        </w:rPr>
        <w:t>determine the</w:t>
      </w:r>
      <w:r>
        <w:rPr>
          <w:spacing w:val="-1"/>
          <w:sz w:val="18"/>
        </w:rPr>
        <w:t xml:space="preserve"> </w:t>
      </w:r>
      <w:r>
        <w:rPr>
          <w:sz w:val="18"/>
        </w:rPr>
        <w:t>results of the</w:t>
      </w:r>
      <w:r>
        <w:rPr>
          <w:spacing w:val="-1"/>
          <w:sz w:val="18"/>
        </w:rPr>
        <w:t xml:space="preserve"> </w:t>
      </w:r>
      <w:r>
        <w:rPr>
          <w:sz w:val="18"/>
        </w:rPr>
        <w:t>evaluation</w:t>
      </w:r>
      <w:r>
        <w:rPr>
          <w:spacing w:val="-1"/>
          <w:sz w:val="18"/>
        </w:rPr>
        <w:t xml:space="preserve"> </w:t>
      </w:r>
      <w:r>
        <w:rPr>
          <w:sz w:val="18"/>
        </w:rPr>
        <w:t>and</w:t>
      </w:r>
      <w:r>
        <w:rPr>
          <w:spacing w:val="-1"/>
          <w:sz w:val="18"/>
        </w:rPr>
        <w:t xml:space="preserve"> </w:t>
      </w:r>
      <w:r>
        <w:rPr>
          <w:sz w:val="18"/>
        </w:rPr>
        <w:t>testing of budget controls and</w:t>
      </w:r>
      <w:r>
        <w:rPr>
          <w:spacing w:val="-1"/>
          <w:sz w:val="18"/>
        </w:rPr>
        <w:t xml:space="preserve"> </w:t>
      </w:r>
      <w:r>
        <w:rPr>
          <w:sz w:val="18"/>
        </w:rPr>
        <w:t>testing</w:t>
      </w:r>
      <w:r>
        <w:rPr>
          <w:spacing w:val="-1"/>
          <w:sz w:val="18"/>
        </w:rPr>
        <w:t xml:space="preserve"> </w:t>
      </w:r>
      <w:r>
        <w:rPr>
          <w:sz w:val="18"/>
        </w:rPr>
        <w:t>of the</w:t>
      </w:r>
      <w:r>
        <w:rPr>
          <w:spacing w:val="-1"/>
          <w:sz w:val="18"/>
        </w:rPr>
        <w:t xml:space="preserve"> </w:t>
      </w:r>
      <w:r>
        <w:rPr>
          <w:sz w:val="18"/>
        </w:rPr>
        <w:t>Statement of Budgetary Resources. These</w:t>
      </w:r>
      <w:r>
        <w:rPr>
          <w:spacing w:val="-1"/>
          <w:sz w:val="18"/>
        </w:rPr>
        <w:t xml:space="preserve"> </w:t>
      </w:r>
      <w:r>
        <w:rPr>
          <w:sz w:val="18"/>
        </w:rPr>
        <w:t>controls relate to the execution of budget authority and usually are the same controls that are used to comply with the Antideficiency Act and FCRA. Accordingly, additional consideration of controls that achieve the compliance objective generally is not necessary if the auditor has assessed whether the entity achieves all of the budget control</w:t>
      </w:r>
      <w:r>
        <w:rPr>
          <w:spacing w:val="-2"/>
          <w:sz w:val="18"/>
        </w:rPr>
        <w:t xml:space="preserve"> </w:t>
      </w:r>
      <w:r>
        <w:rPr>
          <w:sz w:val="18"/>
        </w:rPr>
        <w:t>objectives</w:t>
      </w:r>
      <w:r>
        <w:rPr>
          <w:spacing w:val="-2"/>
          <w:sz w:val="18"/>
        </w:rPr>
        <w:t xml:space="preserve"> </w:t>
      </w:r>
      <w:r>
        <w:rPr>
          <w:sz w:val="18"/>
        </w:rPr>
        <w:t>listed</w:t>
      </w:r>
      <w:r>
        <w:rPr>
          <w:spacing w:val="-3"/>
          <w:sz w:val="18"/>
        </w:rPr>
        <w:t xml:space="preserve"> </w:t>
      </w:r>
      <w:r>
        <w:rPr>
          <w:sz w:val="18"/>
        </w:rPr>
        <w:t>in</w:t>
      </w:r>
      <w:r>
        <w:rPr>
          <w:spacing w:val="-3"/>
          <w:sz w:val="18"/>
        </w:rPr>
        <w:t xml:space="preserve"> </w:t>
      </w:r>
      <w:r>
        <w:rPr>
          <w:sz w:val="18"/>
        </w:rPr>
        <w:t>FAM</w:t>
      </w:r>
      <w:r>
        <w:rPr>
          <w:spacing w:val="-2"/>
          <w:sz w:val="18"/>
        </w:rPr>
        <w:t xml:space="preserve"> </w:t>
      </w:r>
      <w:r>
        <w:rPr>
          <w:sz w:val="18"/>
        </w:rPr>
        <w:t>395</w:t>
      </w:r>
      <w:r>
        <w:rPr>
          <w:spacing w:val="-3"/>
          <w:sz w:val="18"/>
        </w:rPr>
        <w:t xml:space="preserve"> </w:t>
      </w:r>
      <w:r>
        <w:rPr>
          <w:sz w:val="18"/>
        </w:rPr>
        <w:t>F,</w:t>
      </w:r>
      <w:r>
        <w:rPr>
          <w:spacing w:val="-2"/>
          <w:sz w:val="18"/>
        </w:rPr>
        <w:t xml:space="preserve"> </w:t>
      </w:r>
      <w:r>
        <w:rPr>
          <w:sz w:val="18"/>
        </w:rPr>
        <w:t>Budget</w:t>
      </w:r>
      <w:r>
        <w:rPr>
          <w:spacing w:val="-2"/>
          <w:sz w:val="18"/>
        </w:rPr>
        <w:t xml:space="preserve"> </w:t>
      </w:r>
      <w:r>
        <w:rPr>
          <w:sz w:val="18"/>
        </w:rPr>
        <w:t>Control</w:t>
      </w:r>
      <w:r>
        <w:rPr>
          <w:spacing w:val="-2"/>
          <w:sz w:val="18"/>
        </w:rPr>
        <w:t xml:space="preserve"> </w:t>
      </w:r>
      <w:r>
        <w:rPr>
          <w:sz w:val="18"/>
        </w:rPr>
        <w:t>Objective,</w:t>
      </w:r>
      <w:r>
        <w:rPr>
          <w:spacing w:val="-2"/>
          <w:sz w:val="18"/>
        </w:rPr>
        <w:t xml:space="preserve"> </w:t>
      </w:r>
      <w:r>
        <w:rPr>
          <w:sz w:val="18"/>
        </w:rPr>
        <w:t>including</w:t>
      </w:r>
      <w:r>
        <w:rPr>
          <w:spacing w:val="-1"/>
          <w:sz w:val="18"/>
        </w:rPr>
        <w:t xml:space="preserve"> </w:t>
      </w:r>
      <w:r>
        <w:rPr>
          <w:sz w:val="18"/>
        </w:rPr>
        <w:t>the</w:t>
      </w:r>
      <w:r>
        <w:rPr>
          <w:spacing w:val="-3"/>
          <w:sz w:val="18"/>
        </w:rPr>
        <w:t xml:space="preserve"> </w:t>
      </w:r>
      <w:r>
        <w:rPr>
          <w:sz w:val="18"/>
        </w:rPr>
        <w:t>supplemental</w:t>
      </w:r>
      <w:r>
        <w:rPr>
          <w:spacing w:val="-2"/>
          <w:sz w:val="18"/>
        </w:rPr>
        <w:t xml:space="preserve"> </w:t>
      </w:r>
      <w:r>
        <w:rPr>
          <w:sz w:val="18"/>
        </w:rPr>
        <w:t>control</w:t>
      </w:r>
      <w:r>
        <w:rPr>
          <w:spacing w:val="-2"/>
          <w:sz w:val="18"/>
        </w:rPr>
        <w:t xml:space="preserve"> </w:t>
      </w:r>
      <w:r>
        <w:rPr>
          <w:sz w:val="18"/>
        </w:rPr>
        <w:t>objectives</w:t>
      </w:r>
      <w:r>
        <w:rPr>
          <w:spacing w:val="-2"/>
          <w:sz w:val="18"/>
        </w:rPr>
        <w:t xml:space="preserve"> </w:t>
      </w:r>
      <w:r>
        <w:rPr>
          <w:sz w:val="18"/>
        </w:rPr>
        <w:t>for</w:t>
      </w:r>
      <w:r>
        <w:rPr>
          <w:spacing w:val="-2"/>
          <w:sz w:val="18"/>
        </w:rPr>
        <w:t xml:space="preserve"> </w:t>
      </w:r>
      <w:r>
        <w:rPr>
          <w:sz w:val="18"/>
        </w:rPr>
        <w:t>FCRA.</w:t>
      </w:r>
      <w:r>
        <w:rPr>
          <w:spacing w:val="-2"/>
          <w:sz w:val="18"/>
        </w:rPr>
        <w:t xml:space="preserve"> </w:t>
      </w:r>
      <w:r>
        <w:rPr>
          <w:sz w:val="18"/>
        </w:rPr>
        <w:t>The</w:t>
      </w:r>
      <w:r>
        <w:rPr>
          <w:spacing w:val="-1"/>
          <w:sz w:val="18"/>
        </w:rPr>
        <w:t xml:space="preserve"> </w:t>
      </w:r>
      <w:r>
        <w:rPr>
          <w:sz w:val="18"/>
        </w:rPr>
        <w:t>auditor</w:t>
      </w:r>
      <w:r>
        <w:rPr>
          <w:spacing w:val="-2"/>
          <w:sz w:val="18"/>
        </w:rPr>
        <w:t xml:space="preserve"> </w:t>
      </w:r>
      <w:r>
        <w:rPr>
          <w:sz w:val="18"/>
        </w:rPr>
        <w:t>should</w:t>
      </w:r>
      <w:r>
        <w:rPr>
          <w:spacing w:val="-3"/>
          <w:sz w:val="18"/>
        </w:rPr>
        <w:t xml:space="preserve"> </w:t>
      </w:r>
      <w:r>
        <w:rPr>
          <w:sz w:val="18"/>
        </w:rPr>
        <w:t>refer</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budget</w:t>
      </w:r>
      <w:r>
        <w:rPr>
          <w:spacing w:val="-2"/>
          <w:sz w:val="18"/>
        </w:rPr>
        <w:t xml:space="preserve"> </w:t>
      </w:r>
      <w:r>
        <w:rPr>
          <w:sz w:val="18"/>
        </w:rPr>
        <w:t>control evaluation and testing and perform any additional procedures considered necessary to conclude on whether compliance controls are effective.</w:t>
      </w:r>
    </w:p>
    <w:p w14:paraId="0DFDB808" w14:textId="77777777" w:rsidR="00046465" w:rsidRDefault="008134EB">
      <w:pPr>
        <w:spacing w:before="122" w:line="244" w:lineRule="auto"/>
        <w:ind w:left="359" w:right="422"/>
        <w:rPr>
          <w:sz w:val="18"/>
        </w:rPr>
      </w:pPr>
      <w:r>
        <w:rPr>
          <w:position w:val="7"/>
          <w:sz w:val="14"/>
        </w:rPr>
        <w:t>14</w:t>
      </w:r>
      <w:r>
        <w:rPr>
          <w:sz w:val="18"/>
        </w:rPr>
        <w:t>A loan guarantee is any guarantee, insurance, or other pledge with respect to the payment of all or a part of the principal or interest on any debt obligation of a nonfederal</w:t>
      </w:r>
      <w:r>
        <w:rPr>
          <w:spacing w:val="-2"/>
          <w:sz w:val="18"/>
        </w:rPr>
        <w:t xml:space="preserve"> </w:t>
      </w:r>
      <w:r>
        <w:rPr>
          <w:sz w:val="18"/>
        </w:rPr>
        <w:t>borrower</w:t>
      </w:r>
      <w:r>
        <w:rPr>
          <w:spacing w:val="-2"/>
          <w:sz w:val="18"/>
        </w:rPr>
        <w:t xml:space="preserve"> </w:t>
      </w:r>
      <w:r>
        <w:rPr>
          <w:sz w:val="18"/>
        </w:rPr>
        <w:t>to</w:t>
      </w:r>
      <w:r>
        <w:rPr>
          <w:spacing w:val="-3"/>
          <w:sz w:val="18"/>
        </w:rPr>
        <w:t xml:space="preserve"> </w:t>
      </w:r>
      <w:r>
        <w:rPr>
          <w:sz w:val="18"/>
        </w:rPr>
        <w:t>a</w:t>
      </w:r>
      <w:r>
        <w:rPr>
          <w:spacing w:val="-3"/>
          <w:sz w:val="18"/>
        </w:rPr>
        <w:t xml:space="preserve"> </w:t>
      </w:r>
      <w:r>
        <w:rPr>
          <w:sz w:val="18"/>
        </w:rPr>
        <w:t>nonfederal</w:t>
      </w:r>
      <w:r>
        <w:rPr>
          <w:spacing w:val="-2"/>
          <w:sz w:val="18"/>
        </w:rPr>
        <w:t xml:space="preserve"> </w:t>
      </w:r>
      <w:r>
        <w:rPr>
          <w:sz w:val="18"/>
        </w:rPr>
        <w:t>lender,</w:t>
      </w:r>
      <w:r>
        <w:rPr>
          <w:spacing w:val="-2"/>
          <w:sz w:val="18"/>
        </w:rPr>
        <w:t xml:space="preserve"> </w:t>
      </w:r>
      <w:r>
        <w:rPr>
          <w:sz w:val="18"/>
        </w:rPr>
        <w:t>but</w:t>
      </w:r>
      <w:r>
        <w:rPr>
          <w:spacing w:val="-2"/>
          <w:sz w:val="18"/>
        </w:rPr>
        <w:t xml:space="preserve"> </w:t>
      </w:r>
      <w:r>
        <w:rPr>
          <w:sz w:val="18"/>
        </w:rPr>
        <w:t>does</w:t>
      </w:r>
      <w:r>
        <w:rPr>
          <w:spacing w:val="-1"/>
          <w:sz w:val="18"/>
        </w:rPr>
        <w:t xml:space="preserve"> </w:t>
      </w:r>
      <w:r>
        <w:rPr>
          <w:sz w:val="18"/>
        </w:rPr>
        <w:t>not</w:t>
      </w:r>
      <w:r>
        <w:rPr>
          <w:spacing w:val="-2"/>
          <w:sz w:val="18"/>
        </w:rPr>
        <w:t xml:space="preserve"> </w:t>
      </w:r>
      <w:r>
        <w:rPr>
          <w:sz w:val="18"/>
        </w:rPr>
        <w:t>include</w:t>
      </w:r>
      <w:r>
        <w:rPr>
          <w:spacing w:val="-3"/>
          <w:sz w:val="18"/>
        </w:rPr>
        <w:t xml:space="preserve"> </w:t>
      </w:r>
      <w:r>
        <w:rPr>
          <w:sz w:val="18"/>
        </w:rPr>
        <w:t>the</w:t>
      </w:r>
      <w:r>
        <w:rPr>
          <w:spacing w:val="-3"/>
          <w:sz w:val="18"/>
        </w:rPr>
        <w:t xml:space="preserve"> </w:t>
      </w:r>
      <w:r>
        <w:rPr>
          <w:sz w:val="18"/>
        </w:rPr>
        <w:t>insurance</w:t>
      </w:r>
      <w:r>
        <w:rPr>
          <w:spacing w:val="-3"/>
          <w:sz w:val="18"/>
        </w:rPr>
        <w:t xml:space="preserve"> </w:t>
      </w:r>
      <w:r>
        <w:rPr>
          <w:sz w:val="18"/>
        </w:rPr>
        <w:t>of</w:t>
      </w:r>
      <w:r>
        <w:rPr>
          <w:spacing w:val="-2"/>
          <w:sz w:val="18"/>
        </w:rPr>
        <w:t xml:space="preserve"> </w:t>
      </w:r>
      <w:r>
        <w:rPr>
          <w:sz w:val="18"/>
        </w:rPr>
        <w:t>deposits,</w:t>
      </w:r>
      <w:r>
        <w:rPr>
          <w:spacing w:val="-2"/>
          <w:sz w:val="18"/>
        </w:rPr>
        <w:t xml:space="preserve"> </w:t>
      </w:r>
      <w:r>
        <w:rPr>
          <w:sz w:val="18"/>
        </w:rPr>
        <w:t>shares,</w:t>
      </w:r>
      <w:r>
        <w:rPr>
          <w:spacing w:val="-2"/>
          <w:sz w:val="18"/>
        </w:rPr>
        <w:t xml:space="preserve"> </w:t>
      </w:r>
      <w:r>
        <w:rPr>
          <w:sz w:val="18"/>
        </w:rPr>
        <w:t>or</w:t>
      </w:r>
      <w:r>
        <w:rPr>
          <w:spacing w:val="-2"/>
          <w:sz w:val="18"/>
        </w:rPr>
        <w:t xml:space="preserve"> </w:t>
      </w:r>
      <w:r>
        <w:rPr>
          <w:sz w:val="18"/>
        </w:rPr>
        <w:t>other</w:t>
      </w:r>
      <w:r>
        <w:rPr>
          <w:spacing w:val="-2"/>
          <w:sz w:val="18"/>
        </w:rPr>
        <w:t xml:space="preserve"> </w:t>
      </w:r>
      <w:r>
        <w:rPr>
          <w:sz w:val="18"/>
        </w:rPr>
        <w:t>withdrawable</w:t>
      </w:r>
      <w:r>
        <w:rPr>
          <w:spacing w:val="-3"/>
          <w:sz w:val="18"/>
        </w:rPr>
        <w:t xml:space="preserve"> </w:t>
      </w:r>
      <w:r>
        <w:rPr>
          <w:sz w:val="18"/>
        </w:rPr>
        <w:t>accounts</w:t>
      </w:r>
      <w:r>
        <w:rPr>
          <w:spacing w:val="-2"/>
          <w:sz w:val="18"/>
        </w:rPr>
        <w:t xml:space="preserve"> </w:t>
      </w:r>
      <w:r>
        <w:rPr>
          <w:sz w:val="18"/>
        </w:rPr>
        <w:t>in</w:t>
      </w:r>
      <w:r>
        <w:rPr>
          <w:spacing w:val="-3"/>
          <w:sz w:val="18"/>
        </w:rPr>
        <w:t xml:space="preserve"> </w:t>
      </w:r>
      <w:r>
        <w:rPr>
          <w:sz w:val="18"/>
        </w:rPr>
        <w:t>financial</w:t>
      </w:r>
      <w:r>
        <w:rPr>
          <w:spacing w:val="-2"/>
          <w:sz w:val="18"/>
        </w:rPr>
        <w:t xml:space="preserve"> </w:t>
      </w:r>
      <w:r>
        <w:rPr>
          <w:sz w:val="18"/>
        </w:rPr>
        <w:t>institutions.</w:t>
      </w:r>
      <w:r>
        <w:rPr>
          <w:spacing w:val="-2"/>
          <w:sz w:val="18"/>
        </w:rPr>
        <w:t xml:space="preserve"> </w:t>
      </w:r>
      <w:r>
        <w:rPr>
          <w:sz w:val="18"/>
        </w:rPr>
        <w:t>2</w:t>
      </w:r>
      <w:r>
        <w:rPr>
          <w:spacing w:val="-3"/>
          <w:sz w:val="18"/>
        </w:rPr>
        <w:t xml:space="preserve"> </w:t>
      </w:r>
      <w:r>
        <w:rPr>
          <w:sz w:val="18"/>
        </w:rPr>
        <w:t>U.S.C.</w:t>
      </w:r>
      <w:r>
        <w:rPr>
          <w:spacing w:val="-2"/>
          <w:sz w:val="18"/>
        </w:rPr>
        <w:t xml:space="preserve"> </w:t>
      </w:r>
      <w:r>
        <w:rPr>
          <w:sz w:val="18"/>
        </w:rPr>
        <w:t xml:space="preserve">§ </w:t>
      </w:r>
      <w:r>
        <w:rPr>
          <w:spacing w:val="-2"/>
          <w:sz w:val="18"/>
        </w:rPr>
        <w:t>661a(3).</w:t>
      </w:r>
    </w:p>
    <w:p w14:paraId="0DFDB809" w14:textId="77777777" w:rsidR="00046465" w:rsidRDefault="008134EB">
      <w:pPr>
        <w:spacing w:before="121" w:line="249" w:lineRule="auto"/>
        <w:ind w:left="359" w:right="422"/>
        <w:rPr>
          <w:sz w:val="18"/>
        </w:rPr>
      </w:pPr>
      <w:r>
        <w:rPr>
          <w:position w:val="7"/>
          <w:sz w:val="14"/>
        </w:rPr>
        <w:t>15</w:t>
      </w:r>
      <w:r>
        <w:rPr>
          <w:sz w:val="18"/>
        </w:rPr>
        <w:t>A</w:t>
      </w:r>
      <w:r>
        <w:rPr>
          <w:spacing w:val="-2"/>
          <w:sz w:val="18"/>
        </w:rPr>
        <w:t xml:space="preserve"> </w:t>
      </w:r>
      <w:r>
        <w:rPr>
          <w:sz w:val="18"/>
        </w:rPr>
        <w:t>loan</w:t>
      </w:r>
      <w:r>
        <w:rPr>
          <w:spacing w:val="-3"/>
          <w:sz w:val="18"/>
        </w:rPr>
        <w:t xml:space="preserve"> </w:t>
      </w:r>
      <w:r>
        <w:rPr>
          <w:sz w:val="18"/>
        </w:rPr>
        <w:t>guarantee</w:t>
      </w:r>
      <w:r>
        <w:rPr>
          <w:spacing w:val="-3"/>
          <w:sz w:val="18"/>
        </w:rPr>
        <w:t xml:space="preserve"> </w:t>
      </w:r>
      <w:r>
        <w:rPr>
          <w:sz w:val="18"/>
        </w:rPr>
        <w:t>commitment</w:t>
      </w:r>
      <w:r>
        <w:rPr>
          <w:spacing w:val="-2"/>
          <w:sz w:val="18"/>
        </w:rPr>
        <w:t xml:space="preserve"> </w:t>
      </w:r>
      <w:r>
        <w:rPr>
          <w:sz w:val="18"/>
        </w:rPr>
        <w:t>is</w:t>
      </w:r>
      <w:r>
        <w:rPr>
          <w:spacing w:val="-2"/>
          <w:sz w:val="18"/>
        </w:rPr>
        <w:t xml:space="preserve"> </w:t>
      </w:r>
      <w:r>
        <w:rPr>
          <w:sz w:val="18"/>
        </w:rPr>
        <w:t>a</w:t>
      </w:r>
      <w:r>
        <w:rPr>
          <w:spacing w:val="-3"/>
          <w:sz w:val="18"/>
        </w:rPr>
        <w:t xml:space="preserve"> </w:t>
      </w:r>
      <w:r>
        <w:rPr>
          <w:sz w:val="18"/>
        </w:rPr>
        <w:t>binding</w:t>
      </w:r>
      <w:r>
        <w:rPr>
          <w:spacing w:val="-3"/>
          <w:sz w:val="18"/>
        </w:rPr>
        <w:t xml:space="preserve"> </w:t>
      </w:r>
      <w:r>
        <w:rPr>
          <w:sz w:val="18"/>
        </w:rPr>
        <w:t>agreement</w:t>
      </w:r>
      <w:r>
        <w:rPr>
          <w:spacing w:val="-2"/>
          <w:sz w:val="18"/>
        </w:rPr>
        <w:t xml:space="preserve"> </w:t>
      </w:r>
      <w:r>
        <w:rPr>
          <w:sz w:val="18"/>
        </w:rPr>
        <w:t>by</w:t>
      </w:r>
      <w:r>
        <w:rPr>
          <w:spacing w:val="-2"/>
          <w:sz w:val="18"/>
        </w:rPr>
        <w:t xml:space="preserve"> </w:t>
      </w:r>
      <w:r>
        <w:rPr>
          <w:sz w:val="18"/>
        </w:rPr>
        <w:t>a</w:t>
      </w:r>
      <w:r>
        <w:rPr>
          <w:spacing w:val="-1"/>
          <w:sz w:val="18"/>
        </w:rPr>
        <w:t xml:space="preserve"> </w:t>
      </w:r>
      <w:r>
        <w:rPr>
          <w:sz w:val="18"/>
        </w:rPr>
        <w:t>federal</w:t>
      </w:r>
      <w:r>
        <w:rPr>
          <w:spacing w:val="-2"/>
          <w:sz w:val="18"/>
        </w:rPr>
        <w:t xml:space="preserve"> </w:t>
      </w:r>
      <w:r>
        <w:rPr>
          <w:sz w:val="18"/>
        </w:rPr>
        <w:t>entity</w:t>
      </w:r>
      <w:r>
        <w:rPr>
          <w:spacing w:val="-2"/>
          <w:sz w:val="18"/>
        </w:rPr>
        <w:t xml:space="preserve"> </w:t>
      </w:r>
      <w:r>
        <w:rPr>
          <w:sz w:val="18"/>
        </w:rPr>
        <w:t>to</w:t>
      </w:r>
      <w:r>
        <w:rPr>
          <w:spacing w:val="-3"/>
          <w:sz w:val="18"/>
        </w:rPr>
        <w:t xml:space="preserve"> </w:t>
      </w:r>
      <w:r>
        <w:rPr>
          <w:sz w:val="18"/>
        </w:rPr>
        <w:t>make</w:t>
      </w:r>
      <w:r>
        <w:rPr>
          <w:spacing w:val="-3"/>
          <w:sz w:val="18"/>
        </w:rPr>
        <w:t xml:space="preserve"> </w:t>
      </w:r>
      <w:r>
        <w:rPr>
          <w:sz w:val="18"/>
        </w:rPr>
        <w:t>a</w:t>
      </w:r>
      <w:r>
        <w:rPr>
          <w:spacing w:val="-3"/>
          <w:sz w:val="18"/>
        </w:rPr>
        <w:t xml:space="preserve"> </w:t>
      </w:r>
      <w:r>
        <w:rPr>
          <w:sz w:val="18"/>
        </w:rPr>
        <w:t>loan</w:t>
      </w:r>
      <w:r>
        <w:rPr>
          <w:spacing w:val="-1"/>
          <w:sz w:val="18"/>
        </w:rPr>
        <w:t xml:space="preserve"> </w:t>
      </w:r>
      <w:r>
        <w:rPr>
          <w:sz w:val="18"/>
        </w:rPr>
        <w:t>guarantee</w:t>
      </w:r>
      <w:r>
        <w:rPr>
          <w:spacing w:val="-3"/>
          <w:sz w:val="18"/>
        </w:rPr>
        <w:t xml:space="preserve"> </w:t>
      </w:r>
      <w:r>
        <w:rPr>
          <w:sz w:val="18"/>
        </w:rPr>
        <w:t>when</w:t>
      </w:r>
      <w:r>
        <w:rPr>
          <w:spacing w:val="-3"/>
          <w:sz w:val="18"/>
        </w:rPr>
        <w:t xml:space="preserve"> </w:t>
      </w:r>
      <w:r>
        <w:rPr>
          <w:sz w:val="18"/>
        </w:rPr>
        <w:t>specified</w:t>
      </w:r>
      <w:r>
        <w:rPr>
          <w:spacing w:val="-3"/>
          <w:sz w:val="18"/>
        </w:rPr>
        <w:t xml:space="preserve"> </w:t>
      </w:r>
      <w:r>
        <w:rPr>
          <w:sz w:val="18"/>
        </w:rPr>
        <w:t>conditions</w:t>
      </w:r>
      <w:r>
        <w:rPr>
          <w:spacing w:val="-2"/>
          <w:sz w:val="18"/>
        </w:rPr>
        <w:t xml:space="preserve"> </w:t>
      </w:r>
      <w:r>
        <w:rPr>
          <w:sz w:val="18"/>
        </w:rPr>
        <w:t>are</w:t>
      </w:r>
      <w:r>
        <w:rPr>
          <w:spacing w:val="-1"/>
          <w:sz w:val="18"/>
        </w:rPr>
        <w:t xml:space="preserve"> </w:t>
      </w:r>
      <w:r>
        <w:rPr>
          <w:sz w:val="18"/>
        </w:rPr>
        <w:t>fulfilled</w:t>
      </w:r>
      <w:r>
        <w:rPr>
          <w:spacing w:val="-3"/>
          <w:sz w:val="18"/>
        </w:rPr>
        <w:t xml:space="preserve"> </w:t>
      </w:r>
      <w:r>
        <w:rPr>
          <w:sz w:val="18"/>
        </w:rPr>
        <w:t>by</w:t>
      </w:r>
      <w:r>
        <w:rPr>
          <w:spacing w:val="-2"/>
          <w:sz w:val="18"/>
        </w:rPr>
        <w:t xml:space="preserve"> </w:t>
      </w:r>
      <w:r>
        <w:rPr>
          <w:sz w:val="18"/>
        </w:rPr>
        <w:t>the</w:t>
      </w:r>
      <w:r>
        <w:rPr>
          <w:spacing w:val="-1"/>
          <w:sz w:val="18"/>
        </w:rPr>
        <w:t xml:space="preserve"> </w:t>
      </w:r>
      <w:r>
        <w:rPr>
          <w:sz w:val="18"/>
        </w:rPr>
        <w:t>borrower,</w:t>
      </w:r>
      <w:r>
        <w:rPr>
          <w:spacing w:val="-2"/>
          <w:sz w:val="18"/>
        </w:rPr>
        <w:t xml:space="preserve"> </w:t>
      </w:r>
      <w:r>
        <w:rPr>
          <w:sz w:val="18"/>
        </w:rPr>
        <w:t>the</w:t>
      </w:r>
      <w:r>
        <w:rPr>
          <w:spacing w:val="-3"/>
          <w:sz w:val="18"/>
        </w:rPr>
        <w:t xml:space="preserve"> </w:t>
      </w:r>
      <w:r>
        <w:rPr>
          <w:sz w:val="18"/>
        </w:rPr>
        <w:t>lender, or any other party to the guarantee agreement. 2 U.S.C. § 661a(4).</w:t>
      </w:r>
    </w:p>
    <w:p w14:paraId="0DFDB80A" w14:textId="77777777" w:rsidR="00046465" w:rsidRDefault="00046465">
      <w:pPr>
        <w:spacing w:line="249" w:lineRule="auto"/>
        <w:rPr>
          <w:sz w:val="18"/>
        </w:rPr>
        <w:sectPr w:rsidR="00046465">
          <w:pgSz w:w="15840" w:h="12240" w:orient="landscape"/>
          <w:pgMar w:top="1380" w:right="1080" w:bottom="940" w:left="720" w:header="721" w:footer="742" w:gutter="0"/>
          <w:cols w:space="720"/>
        </w:sectPr>
      </w:pPr>
    </w:p>
    <w:p w14:paraId="0DFDB80B" w14:textId="77777777" w:rsidR="00046465" w:rsidRDefault="00046465">
      <w:pPr>
        <w:pStyle w:val="BodyText"/>
        <w:rPr>
          <w:sz w:val="20"/>
        </w:rPr>
      </w:pPr>
    </w:p>
    <w:p w14:paraId="0DFDB80C" w14:textId="77777777" w:rsidR="00046465" w:rsidRDefault="00046465">
      <w:pPr>
        <w:pStyle w:val="BodyText"/>
        <w:rPr>
          <w:sz w:val="20"/>
        </w:rPr>
      </w:pPr>
    </w:p>
    <w:p w14:paraId="0DFDB80D" w14:textId="77777777" w:rsidR="00046465" w:rsidRDefault="00046465">
      <w:pPr>
        <w:pStyle w:val="BodyText"/>
        <w:rPr>
          <w:sz w:val="20"/>
        </w:rPr>
      </w:pPr>
    </w:p>
    <w:p w14:paraId="0DFDB80E" w14:textId="77777777" w:rsidR="00046465" w:rsidRDefault="00046465">
      <w:pPr>
        <w:pStyle w:val="BodyText"/>
        <w:rPr>
          <w:sz w:val="20"/>
        </w:rPr>
      </w:pPr>
    </w:p>
    <w:p w14:paraId="0DFDB80F" w14:textId="77777777" w:rsidR="00046465" w:rsidRDefault="00046465">
      <w:pPr>
        <w:pStyle w:val="BodyText"/>
        <w:rPr>
          <w:sz w:val="20"/>
        </w:rPr>
      </w:pPr>
    </w:p>
    <w:p w14:paraId="0DFDB810" w14:textId="77777777" w:rsidR="00046465" w:rsidRDefault="00046465">
      <w:pPr>
        <w:pStyle w:val="BodyText"/>
        <w:rPr>
          <w:sz w:val="20"/>
        </w:rPr>
      </w:pPr>
    </w:p>
    <w:p w14:paraId="0DFDB811" w14:textId="77777777" w:rsidR="00046465" w:rsidRDefault="00046465">
      <w:pPr>
        <w:pStyle w:val="BodyText"/>
        <w:rPr>
          <w:sz w:val="20"/>
        </w:rPr>
      </w:pPr>
    </w:p>
    <w:p w14:paraId="0DFDB812" w14:textId="77777777" w:rsidR="00046465" w:rsidRDefault="00046465">
      <w:pPr>
        <w:pStyle w:val="BodyText"/>
        <w:rPr>
          <w:sz w:val="20"/>
        </w:rPr>
      </w:pPr>
    </w:p>
    <w:p w14:paraId="0DFDB813" w14:textId="77777777" w:rsidR="00046465" w:rsidRDefault="00046465">
      <w:pPr>
        <w:pStyle w:val="BodyText"/>
        <w:rPr>
          <w:sz w:val="20"/>
        </w:rPr>
      </w:pPr>
    </w:p>
    <w:p w14:paraId="0DFDB814" w14:textId="77777777" w:rsidR="00046465" w:rsidRDefault="00046465">
      <w:pPr>
        <w:pStyle w:val="BodyText"/>
        <w:rPr>
          <w:sz w:val="20"/>
        </w:rPr>
      </w:pPr>
    </w:p>
    <w:p w14:paraId="0DFDB815" w14:textId="77777777" w:rsidR="00046465" w:rsidRDefault="00046465">
      <w:pPr>
        <w:pStyle w:val="BodyText"/>
        <w:rPr>
          <w:sz w:val="20"/>
        </w:rPr>
      </w:pPr>
    </w:p>
    <w:p w14:paraId="0DFDB816" w14:textId="77777777" w:rsidR="00046465" w:rsidRDefault="00046465">
      <w:pPr>
        <w:pStyle w:val="BodyText"/>
        <w:rPr>
          <w:sz w:val="20"/>
        </w:rPr>
      </w:pPr>
    </w:p>
    <w:p w14:paraId="0DFDB817" w14:textId="77777777" w:rsidR="00046465" w:rsidRDefault="00046465">
      <w:pPr>
        <w:pStyle w:val="BodyText"/>
        <w:rPr>
          <w:sz w:val="20"/>
        </w:rPr>
      </w:pPr>
    </w:p>
    <w:p w14:paraId="0DFDB818" w14:textId="77777777" w:rsidR="00046465" w:rsidRDefault="00046465">
      <w:pPr>
        <w:pStyle w:val="BodyText"/>
        <w:rPr>
          <w:sz w:val="20"/>
        </w:rPr>
      </w:pPr>
    </w:p>
    <w:p w14:paraId="0DFDB819" w14:textId="77777777" w:rsidR="00046465" w:rsidRDefault="00046465">
      <w:pPr>
        <w:pStyle w:val="BodyText"/>
        <w:rPr>
          <w:sz w:val="20"/>
        </w:rPr>
      </w:pPr>
    </w:p>
    <w:p w14:paraId="0DFDB81A" w14:textId="77777777" w:rsidR="00046465" w:rsidRDefault="00046465">
      <w:pPr>
        <w:pStyle w:val="BodyText"/>
        <w:rPr>
          <w:sz w:val="20"/>
        </w:rPr>
      </w:pPr>
    </w:p>
    <w:p w14:paraId="0DFDB81B" w14:textId="77777777" w:rsidR="00046465" w:rsidRDefault="00046465">
      <w:pPr>
        <w:pStyle w:val="BodyText"/>
        <w:rPr>
          <w:sz w:val="20"/>
        </w:rPr>
      </w:pPr>
    </w:p>
    <w:p w14:paraId="0DFDB81C" w14:textId="77777777" w:rsidR="00046465" w:rsidRDefault="00046465">
      <w:pPr>
        <w:pStyle w:val="BodyText"/>
        <w:rPr>
          <w:sz w:val="20"/>
        </w:rPr>
      </w:pPr>
    </w:p>
    <w:p w14:paraId="0DFDB81D" w14:textId="77777777" w:rsidR="00046465" w:rsidRDefault="00046465">
      <w:pPr>
        <w:pStyle w:val="BodyText"/>
        <w:rPr>
          <w:sz w:val="20"/>
        </w:rPr>
      </w:pPr>
    </w:p>
    <w:p w14:paraId="0DFDB81E" w14:textId="77777777" w:rsidR="00046465" w:rsidRDefault="00046465">
      <w:pPr>
        <w:pStyle w:val="BodyText"/>
        <w:rPr>
          <w:sz w:val="20"/>
        </w:rPr>
      </w:pPr>
    </w:p>
    <w:p w14:paraId="0DFDB81F" w14:textId="77777777" w:rsidR="00046465" w:rsidRDefault="00046465">
      <w:pPr>
        <w:pStyle w:val="BodyText"/>
        <w:rPr>
          <w:sz w:val="20"/>
        </w:rPr>
      </w:pPr>
    </w:p>
    <w:p w14:paraId="0DFDB820" w14:textId="77777777" w:rsidR="00046465" w:rsidRDefault="00046465">
      <w:pPr>
        <w:pStyle w:val="BodyText"/>
        <w:rPr>
          <w:sz w:val="20"/>
        </w:rPr>
      </w:pPr>
    </w:p>
    <w:p w14:paraId="0DFDB821" w14:textId="77777777" w:rsidR="00046465" w:rsidRDefault="00046465">
      <w:pPr>
        <w:pStyle w:val="BodyText"/>
        <w:rPr>
          <w:sz w:val="20"/>
        </w:rPr>
      </w:pPr>
    </w:p>
    <w:p w14:paraId="0DFDB822" w14:textId="77777777" w:rsidR="00046465" w:rsidRDefault="00046465">
      <w:pPr>
        <w:pStyle w:val="BodyText"/>
        <w:spacing w:before="144"/>
        <w:rPr>
          <w:sz w:val="20"/>
        </w:rPr>
      </w:pPr>
    </w:p>
    <w:p w14:paraId="0DFDB823" w14:textId="77777777" w:rsidR="00046465" w:rsidRDefault="008134EB">
      <w:pPr>
        <w:spacing w:line="20" w:lineRule="exact"/>
        <w:ind w:left="360"/>
        <w:rPr>
          <w:sz w:val="2"/>
        </w:rPr>
      </w:pPr>
      <w:r>
        <w:rPr>
          <w:noProof/>
          <w:sz w:val="2"/>
        </w:rPr>
        <mc:AlternateContent>
          <mc:Choice Requires="wpg">
            <w:drawing>
              <wp:inline distT="0" distB="0" distL="0" distR="0" wp14:anchorId="0DFDD621" wp14:editId="0DFDD622">
                <wp:extent cx="1828800" cy="6985"/>
                <wp:effectExtent l="0" t="0" r="0" b="0"/>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985"/>
                          <a:chOff x="0" y="0"/>
                          <a:chExt cx="1828800" cy="6985"/>
                        </a:xfrm>
                      </wpg:grpSpPr>
                      <wps:wsp>
                        <wps:cNvPr id="572" name="Graphic 572"/>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F044A8D" id="Group 571" o:spid="_x0000_s1026" style="width:2in;height:.55pt;mso-position-horizontal-relative:char;mso-position-vertical-relative:line" coordsize="182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">
                <v:shape id="Graphic 572" o:spid="_x0000_s1027" style="position:absolute;width:18288;height:69;visibility:visible;mso-wrap-style:square;v-text-anchor:top" coordsize="18288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" path="m1828800,l,,,6858r1828800,l1828800,xe" fillcolor="black" stroked="f">
                  <v:path arrowok="t"/>
                </v:shape>
                <w10:anchorlock/>
              </v:group>
            </w:pict>
          </mc:Fallback>
        </mc:AlternateContent>
      </w:r>
    </w:p>
    <w:p w14:paraId="0DFDB824" w14:textId="77777777" w:rsidR="00046465" w:rsidRDefault="00046465">
      <w:pPr>
        <w:pStyle w:val="BodyText"/>
        <w:rPr>
          <w:sz w:val="18"/>
        </w:rPr>
      </w:pPr>
    </w:p>
    <w:p w14:paraId="0DFDB825" w14:textId="77777777" w:rsidR="00046465" w:rsidRDefault="008134EB">
      <w:pPr>
        <w:spacing w:line="244" w:lineRule="auto"/>
        <w:ind w:left="359" w:right="422"/>
        <w:rPr>
          <w:sz w:val="18"/>
        </w:rPr>
      </w:pPr>
      <w:r>
        <w:rPr>
          <w:position w:val="7"/>
          <w:sz w:val="14"/>
        </w:rPr>
        <w:t>16</w:t>
      </w:r>
      <w:r>
        <w:rPr>
          <w:sz w:val="18"/>
        </w:rPr>
        <w:t>Appropriations</w:t>
      </w:r>
      <w:r>
        <w:rPr>
          <w:spacing w:val="-1"/>
          <w:sz w:val="18"/>
        </w:rPr>
        <w:t xml:space="preserve"> </w:t>
      </w:r>
      <w:r>
        <w:rPr>
          <w:sz w:val="18"/>
        </w:rPr>
        <w:t>or</w:t>
      </w:r>
      <w:r>
        <w:rPr>
          <w:spacing w:val="-2"/>
          <w:sz w:val="18"/>
        </w:rPr>
        <w:t xml:space="preserve"> </w:t>
      </w:r>
      <w:r>
        <w:rPr>
          <w:sz w:val="18"/>
        </w:rPr>
        <w:t>other</w:t>
      </w:r>
      <w:r>
        <w:rPr>
          <w:spacing w:val="-2"/>
          <w:sz w:val="18"/>
        </w:rPr>
        <w:t xml:space="preserve"> </w:t>
      </w:r>
      <w:r>
        <w:rPr>
          <w:sz w:val="18"/>
        </w:rPr>
        <w:t>budget</w:t>
      </w:r>
      <w:r>
        <w:rPr>
          <w:spacing w:val="-2"/>
          <w:sz w:val="18"/>
        </w:rPr>
        <w:t xml:space="preserve"> </w:t>
      </w:r>
      <w:r>
        <w:rPr>
          <w:sz w:val="18"/>
        </w:rPr>
        <w:t>authority</w:t>
      </w:r>
      <w:r>
        <w:rPr>
          <w:spacing w:val="-2"/>
          <w:sz w:val="18"/>
        </w:rPr>
        <w:t xml:space="preserve"> </w:t>
      </w:r>
      <w:r>
        <w:rPr>
          <w:sz w:val="18"/>
        </w:rPr>
        <w:t>to</w:t>
      </w:r>
      <w:r>
        <w:rPr>
          <w:spacing w:val="-3"/>
          <w:sz w:val="18"/>
        </w:rPr>
        <w:t xml:space="preserve"> </w:t>
      </w:r>
      <w:r>
        <w:rPr>
          <w:sz w:val="18"/>
        </w:rPr>
        <w:t>cover</w:t>
      </w:r>
      <w:r>
        <w:rPr>
          <w:spacing w:val="-2"/>
          <w:sz w:val="18"/>
        </w:rPr>
        <w:t xml:space="preserve"> </w:t>
      </w:r>
      <w:r>
        <w:rPr>
          <w:sz w:val="18"/>
        </w:rPr>
        <w:t>the</w:t>
      </w:r>
      <w:r>
        <w:rPr>
          <w:spacing w:val="-3"/>
          <w:sz w:val="18"/>
        </w:rPr>
        <w:t xml:space="preserve"> </w:t>
      </w:r>
      <w:r>
        <w:rPr>
          <w:sz w:val="18"/>
        </w:rPr>
        <w:t>cost</w:t>
      </w:r>
      <w:r>
        <w:rPr>
          <w:spacing w:val="-2"/>
          <w:sz w:val="18"/>
        </w:rPr>
        <w:t xml:space="preserve"> </w:t>
      </w:r>
      <w:r>
        <w:rPr>
          <w:sz w:val="18"/>
        </w:rPr>
        <w:t>of</w:t>
      </w:r>
      <w:r>
        <w:rPr>
          <w:spacing w:val="-2"/>
          <w:sz w:val="18"/>
        </w:rPr>
        <w:t xml:space="preserve"> </w:t>
      </w:r>
      <w:r>
        <w:rPr>
          <w:sz w:val="18"/>
        </w:rPr>
        <w:t>budget</w:t>
      </w:r>
      <w:r>
        <w:rPr>
          <w:spacing w:val="-2"/>
          <w:sz w:val="18"/>
        </w:rPr>
        <w:t xml:space="preserve"> </w:t>
      </w:r>
      <w:r>
        <w:rPr>
          <w:sz w:val="18"/>
        </w:rPr>
        <w:t>obligations</w:t>
      </w:r>
      <w:r>
        <w:rPr>
          <w:spacing w:val="-2"/>
          <w:sz w:val="18"/>
        </w:rPr>
        <w:t xml:space="preserve"> </w:t>
      </w:r>
      <w:r>
        <w:rPr>
          <w:sz w:val="18"/>
        </w:rPr>
        <w:t>for</w:t>
      </w:r>
      <w:r>
        <w:rPr>
          <w:spacing w:val="-2"/>
          <w:sz w:val="18"/>
        </w:rPr>
        <w:t xml:space="preserve"> </w:t>
      </w:r>
      <w:r>
        <w:rPr>
          <w:sz w:val="18"/>
        </w:rPr>
        <w:t>loan</w:t>
      </w:r>
      <w:r>
        <w:rPr>
          <w:spacing w:val="-3"/>
          <w:sz w:val="18"/>
        </w:rPr>
        <w:t xml:space="preserve"> </w:t>
      </w:r>
      <w:r>
        <w:rPr>
          <w:sz w:val="18"/>
        </w:rPr>
        <w:t>guarantee</w:t>
      </w:r>
      <w:r>
        <w:rPr>
          <w:spacing w:val="-3"/>
          <w:sz w:val="18"/>
        </w:rPr>
        <w:t xml:space="preserve"> </w:t>
      </w:r>
      <w:r>
        <w:rPr>
          <w:sz w:val="18"/>
        </w:rPr>
        <w:t>commitments</w:t>
      </w:r>
      <w:r>
        <w:rPr>
          <w:spacing w:val="-2"/>
          <w:sz w:val="18"/>
        </w:rPr>
        <w:t xml:space="preserve"> </w:t>
      </w:r>
      <w:r>
        <w:rPr>
          <w:sz w:val="18"/>
        </w:rPr>
        <w:t>must</w:t>
      </w:r>
      <w:r>
        <w:rPr>
          <w:spacing w:val="-2"/>
          <w:sz w:val="18"/>
        </w:rPr>
        <w:t xml:space="preserve"> </w:t>
      </w:r>
      <w:r>
        <w:rPr>
          <w:sz w:val="18"/>
        </w:rPr>
        <w:t>be</w:t>
      </w:r>
      <w:r>
        <w:rPr>
          <w:spacing w:val="-3"/>
          <w:sz w:val="18"/>
        </w:rPr>
        <w:t xml:space="preserve"> </w:t>
      </w:r>
      <w:r>
        <w:rPr>
          <w:sz w:val="18"/>
        </w:rPr>
        <w:t>enacted</w:t>
      </w:r>
      <w:r>
        <w:rPr>
          <w:spacing w:val="-3"/>
          <w:sz w:val="18"/>
        </w:rPr>
        <w:t xml:space="preserve"> </w:t>
      </w:r>
      <w:r>
        <w:rPr>
          <w:sz w:val="18"/>
        </w:rPr>
        <w:t>in</w:t>
      </w:r>
      <w:r>
        <w:rPr>
          <w:spacing w:val="-3"/>
          <w:sz w:val="18"/>
        </w:rPr>
        <w:t xml:space="preserve"> </w:t>
      </w:r>
      <w:r>
        <w:rPr>
          <w:sz w:val="18"/>
        </w:rPr>
        <w:t>advance</w:t>
      </w:r>
      <w:r>
        <w:rPr>
          <w:spacing w:val="-3"/>
          <w:sz w:val="18"/>
        </w:rPr>
        <w:t xml:space="preserve"> </w:t>
      </w:r>
      <w:r>
        <w:rPr>
          <w:sz w:val="18"/>
        </w:rPr>
        <w:t>of</w:t>
      </w:r>
      <w:r>
        <w:rPr>
          <w:spacing w:val="-2"/>
          <w:sz w:val="18"/>
        </w:rPr>
        <w:t xml:space="preserve"> </w:t>
      </w:r>
      <w:r>
        <w:rPr>
          <w:sz w:val="18"/>
        </w:rPr>
        <w:t>new</w:t>
      </w:r>
      <w:r>
        <w:rPr>
          <w:spacing w:val="-1"/>
          <w:sz w:val="18"/>
        </w:rPr>
        <w:t xml:space="preserve"> </w:t>
      </w:r>
      <w:r>
        <w:rPr>
          <w:sz w:val="18"/>
        </w:rPr>
        <w:t>loan</w:t>
      </w:r>
      <w:r>
        <w:rPr>
          <w:spacing w:val="-3"/>
          <w:sz w:val="18"/>
        </w:rPr>
        <w:t xml:space="preserve"> </w:t>
      </w:r>
      <w:r>
        <w:rPr>
          <w:sz w:val="18"/>
        </w:rPr>
        <w:t>guarantee commitments made after on or after October 1, 1991. 2 U.S.C. § 661c(b). For revolving or other funds that otherwise would be available for these budget obligations, the Congress must enact a limit on the use of such funds for these purposes to make them available for use.</w:t>
      </w:r>
    </w:p>
    <w:p w14:paraId="0DFDB826" w14:textId="77777777" w:rsidR="00046465" w:rsidRDefault="008134EB">
      <w:pPr>
        <w:spacing w:before="121" w:line="244" w:lineRule="auto"/>
        <w:ind w:left="359" w:right="422"/>
        <w:rPr>
          <w:sz w:val="18"/>
        </w:rPr>
      </w:pPr>
      <w:r>
        <w:rPr>
          <w:position w:val="7"/>
          <w:sz w:val="14"/>
        </w:rPr>
        <w:t>17</w:t>
      </w:r>
      <w:r>
        <w:rPr>
          <w:sz w:val="18"/>
        </w:rPr>
        <w:t>Costs</w:t>
      </w:r>
      <w:r>
        <w:rPr>
          <w:spacing w:val="-2"/>
          <w:sz w:val="18"/>
        </w:rPr>
        <w:t xml:space="preserve"> </w:t>
      </w:r>
      <w:r>
        <w:rPr>
          <w:sz w:val="18"/>
        </w:rPr>
        <w:t>are</w:t>
      </w:r>
      <w:r>
        <w:rPr>
          <w:spacing w:val="-3"/>
          <w:sz w:val="18"/>
        </w:rPr>
        <w:t xml:space="preserve"> </w:t>
      </w:r>
      <w:r>
        <w:rPr>
          <w:sz w:val="18"/>
        </w:rPr>
        <w:t>defined</w:t>
      </w:r>
      <w:r>
        <w:rPr>
          <w:spacing w:val="-3"/>
          <w:sz w:val="18"/>
        </w:rPr>
        <w:t xml:space="preserve"> </w:t>
      </w:r>
      <w:r>
        <w:rPr>
          <w:sz w:val="18"/>
        </w:rPr>
        <w:t>as</w:t>
      </w:r>
      <w:r>
        <w:rPr>
          <w:spacing w:val="-2"/>
          <w:sz w:val="18"/>
        </w:rPr>
        <w:t xml:space="preserve"> </w:t>
      </w:r>
      <w:r>
        <w:rPr>
          <w:sz w:val="18"/>
        </w:rPr>
        <w:t>the</w:t>
      </w:r>
      <w:r>
        <w:rPr>
          <w:spacing w:val="-3"/>
          <w:sz w:val="18"/>
        </w:rPr>
        <w:t xml:space="preserve"> </w:t>
      </w:r>
      <w:r>
        <w:rPr>
          <w:sz w:val="18"/>
        </w:rPr>
        <w:t>estimated</w:t>
      </w:r>
      <w:r>
        <w:rPr>
          <w:spacing w:val="-3"/>
          <w:sz w:val="18"/>
        </w:rPr>
        <w:t xml:space="preserve"> </w:t>
      </w:r>
      <w:r>
        <w:rPr>
          <w:sz w:val="18"/>
        </w:rPr>
        <w:t>long-term</w:t>
      </w:r>
      <w:r>
        <w:rPr>
          <w:spacing w:val="-1"/>
          <w:sz w:val="18"/>
        </w:rPr>
        <w:t xml:space="preserve"> </w:t>
      </w:r>
      <w:r>
        <w:rPr>
          <w:sz w:val="18"/>
        </w:rPr>
        <w:t>cost</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U.S.</w:t>
      </w:r>
      <w:r>
        <w:rPr>
          <w:spacing w:val="-2"/>
          <w:sz w:val="18"/>
        </w:rPr>
        <w:t xml:space="preserve"> </w:t>
      </w:r>
      <w:r>
        <w:rPr>
          <w:sz w:val="18"/>
        </w:rPr>
        <w:t>government</w:t>
      </w:r>
      <w:r>
        <w:rPr>
          <w:spacing w:val="-2"/>
          <w:sz w:val="18"/>
        </w:rPr>
        <w:t xml:space="preserve"> </w:t>
      </w:r>
      <w:r>
        <w:rPr>
          <w:sz w:val="18"/>
        </w:rPr>
        <w:t>of</w:t>
      </w:r>
      <w:r>
        <w:rPr>
          <w:spacing w:val="-2"/>
          <w:sz w:val="18"/>
        </w:rPr>
        <w:t xml:space="preserve"> </w:t>
      </w:r>
      <w:r>
        <w:rPr>
          <w:sz w:val="18"/>
        </w:rPr>
        <w:t>a</w:t>
      </w:r>
      <w:r>
        <w:rPr>
          <w:spacing w:val="-3"/>
          <w:sz w:val="18"/>
        </w:rPr>
        <w:t xml:space="preserve"> </w:t>
      </w:r>
      <w:r>
        <w:rPr>
          <w:sz w:val="18"/>
        </w:rPr>
        <w:t>loan</w:t>
      </w:r>
      <w:r>
        <w:rPr>
          <w:spacing w:val="-3"/>
          <w:sz w:val="18"/>
        </w:rPr>
        <w:t xml:space="preserve"> </w:t>
      </w:r>
      <w:r>
        <w:rPr>
          <w:sz w:val="18"/>
        </w:rPr>
        <w:t>guarantee</w:t>
      </w:r>
      <w:r>
        <w:rPr>
          <w:spacing w:val="-3"/>
          <w:sz w:val="18"/>
        </w:rPr>
        <w:t xml:space="preserve"> </w:t>
      </w:r>
      <w:r>
        <w:rPr>
          <w:sz w:val="18"/>
        </w:rPr>
        <w:t>or</w:t>
      </w:r>
      <w:r>
        <w:rPr>
          <w:spacing w:val="-2"/>
          <w:sz w:val="18"/>
        </w:rPr>
        <w:t xml:space="preserve"> </w:t>
      </w:r>
      <w:r>
        <w:rPr>
          <w:sz w:val="18"/>
        </w:rPr>
        <w:t>a</w:t>
      </w:r>
      <w:r>
        <w:rPr>
          <w:spacing w:val="-3"/>
          <w:sz w:val="18"/>
        </w:rPr>
        <w:t xml:space="preserve"> </w:t>
      </w:r>
      <w:r>
        <w:rPr>
          <w:sz w:val="18"/>
        </w:rPr>
        <w:t>related</w:t>
      </w:r>
      <w:r>
        <w:rPr>
          <w:spacing w:val="-1"/>
          <w:sz w:val="18"/>
        </w:rPr>
        <w:t xml:space="preserve"> </w:t>
      </w:r>
      <w:r>
        <w:rPr>
          <w:sz w:val="18"/>
        </w:rPr>
        <w:t>loan</w:t>
      </w:r>
      <w:r>
        <w:rPr>
          <w:spacing w:val="-3"/>
          <w:sz w:val="18"/>
        </w:rPr>
        <w:t xml:space="preserve"> </w:t>
      </w:r>
      <w:r>
        <w:rPr>
          <w:sz w:val="18"/>
        </w:rPr>
        <w:t>modification,</w:t>
      </w:r>
      <w:r>
        <w:rPr>
          <w:spacing w:val="-2"/>
          <w:sz w:val="18"/>
        </w:rPr>
        <w:t xml:space="preserve"> </w:t>
      </w:r>
      <w:r>
        <w:rPr>
          <w:sz w:val="18"/>
        </w:rPr>
        <w:t>calculated</w:t>
      </w:r>
      <w:r>
        <w:rPr>
          <w:spacing w:val="-3"/>
          <w:sz w:val="18"/>
        </w:rPr>
        <w:t xml:space="preserve"> </w:t>
      </w:r>
      <w:r>
        <w:rPr>
          <w:sz w:val="18"/>
        </w:rPr>
        <w:t>on</w:t>
      </w:r>
      <w:r>
        <w:rPr>
          <w:spacing w:val="-3"/>
          <w:sz w:val="18"/>
        </w:rPr>
        <w:t xml:space="preserve"> </w:t>
      </w:r>
      <w:r>
        <w:rPr>
          <w:sz w:val="18"/>
        </w:rPr>
        <w:t>a</w:t>
      </w:r>
      <w:r>
        <w:rPr>
          <w:spacing w:val="-3"/>
          <w:sz w:val="18"/>
        </w:rPr>
        <w:t xml:space="preserve"> </w:t>
      </w:r>
      <w:r>
        <w:rPr>
          <w:sz w:val="18"/>
        </w:rPr>
        <w:t>net</w:t>
      </w:r>
      <w:r>
        <w:rPr>
          <w:spacing w:val="-2"/>
          <w:sz w:val="18"/>
        </w:rPr>
        <w:t xml:space="preserve"> </w:t>
      </w:r>
      <w:r>
        <w:rPr>
          <w:sz w:val="18"/>
        </w:rPr>
        <w:t>present</w:t>
      </w:r>
      <w:r>
        <w:rPr>
          <w:spacing w:val="-2"/>
          <w:sz w:val="18"/>
        </w:rPr>
        <w:t xml:space="preserve"> </w:t>
      </w:r>
      <w:r>
        <w:rPr>
          <w:sz w:val="18"/>
        </w:rPr>
        <w:t>value</w:t>
      </w:r>
      <w:r>
        <w:rPr>
          <w:spacing w:val="-3"/>
          <w:sz w:val="18"/>
        </w:rPr>
        <w:t xml:space="preserve"> </w:t>
      </w:r>
      <w:r>
        <w:rPr>
          <w:sz w:val="18"/>
        </w:rPr>
        <w:t>basis, excluding administrative costs and any incidental effects on governmental receipts or outlays. These calculations are described in further detail under the valuation control objective for obligations in FAM 395 F, Budget Control Objectives. 2 U.S.C. § 661a(5)(A).</w:t>
      </w:r>
    </w:p>
    <w:p w14:paraId="0DFDB827" w14:textId="77777777" w:rsidR="00046465" w:rsidRDefault="008134EB">
      <w:pPr>
        <w:spacing w:before="122" w:line="244" w:lineRule="auto"/>
        <w:ind w:left="359" w:right="422"/>
        <w:rPr>
          <w:sz w:val="18"/>
        </w:rPr>
      </w:pPr>
      <w:r>
        <w:rPr>
          <w:position w:val="7"/>
          <w:sz w:val="14"/>
        </w:rPr>
        <w:t>18</w:t>
      </w:r>
      <w:r>
        <w:rPr>
          <w:sz w:val="18"/>
        </w:rPr>
        <w:t>There</w:t>
      </w:r>
      <w:r>
        <w:rPr>
          <w:spacing w:val="-3"/>
          <w:sz w:val="18"/>
        </w:rPr>
        <w:t xml:space="preserve"> </w:t>
      </w:r>
      <w:r>
        <w:rPr>
          <w:sz w:val="18"/>
        </w:rPr>
        <w:t>is</w:t>
      </w:r>
      <w:r>
        <w:rPr>
          <w:spacing w:val="-2"/>
          <w:sz w:val="18"/>
        </w:rPr>
        <w:t xml:space="preserve"> </w:t>
      </w:r>
      <w:r>
        <w:rPr>
          <w:sz w:val="18"/>
        </w:rPr>
        <w:t>an</w:t>
      </w:r>
      <w:r>
        <w:rPr>
          <w:spacing w:val="-3"/>
          <w:sz w:val="18"/>
        </w:rPr>
        <w:t xml:space="preserve"> </w:t>
      </w:r>
      <w:r>
        <w:rPr>
          <w:sz w:val="18"/>
        </w:rPr>
        <w:t>exemption</w:t>
      </w:r>
      <w:r>
        <w:rPr>
          <w:spacing w:val="-3"/>
          <w:sz w:val="18"/>
        </w:rPr>
        <w:t xml:space="preserve"> </w:t>
      </w:r>
      <w:r>
        <w:rPr>
          <w:sz w:val="18"/>
        </w:rPr>
        <w:t>from</w:t>
      </w:r>
      <w:r>
        <w:rPr>
          <w:spacing w:val="-2"/>
          <w:sz w:val="18"/>
        </w:rPr>
        <w:t xml:space="preserve"> </w:t>
      </w:r>
      <w:r>
        <w:rPr>
          <w:sz w:val="18"/>
        </w:rPr>
        <w:t>the</w:t>
      </w:r>
      <w:r>
        <w:rPr>
          <w:spacing w:val="-3"/>
          <w:sz w:val="18"/>
        </w:rPr>
        <w:t xml:space="preserve"> </w:t>
      </w:r>
      <w:r>
        <w:rPr>
          <w:sz w:val="18"/>
        </w:rPr>
        <w:t>requirement</w:t>
      </w:r>
      <w:r>
        <w:rPr>
          <w:spacing w:val="-1"/>
          <w:sz w:val="18"/>
        </w:rPr>
        <w:t xml:space="preserve"> </w:t>
      </w:r>
      <w:r>
        <w:rPr>
          <w:sz w:val="18"/>
        </w:rPr>
        <w:t>regarding</w:t>
      </w:r>
      <w:r>
        <w:rPr>
          <w:spacing w:val="-1"/>
          <w:sz w:val="18"/>
        </w:rPr>
        <w:t xml:space="preserve"> </w:t>
      </w:r>
      <w:r>
        <w:rPr>
          <w:sz w:val="18"/>
        </w:rPr>
        <w:t>advance</w:t>
      </w:r>
      <w:r>
        <w:rPr>
          <w:spacing w:val="-3"/>
          <w:sz w:val="18"/>
        </w:rPr>
        <w:t xml:space="preserve"> </w:t>
      </w:r>
      <w:r>
        <w:rPr>
          <w:sz w:val="18"/>
        </w:rPr>
        <w:t>budget</w:t>
      </w:r>
      <w:r>
        <w:rPr>
          <w:spacing w:val="-2"/>
          <w:sz w:val="18"/>
        </w:rPr>
        <w:t xml:space="preserve"> </w:t>
      </w:r>
      <w:r>
        <w:rPr>
          <w:sz w:val="18"/>
        </w:rPr>
        <w:t>authority</w:t>
      </w:r>
      <w:r>
        <w:rPr>
          <w:spacing w:val="-2"/>
          <w:sz w:val="18"/>
        </w:rPr>
        <w:t xml:space="preserve"> </w:t>
      </w:r>
      <w:r>
        <w:rPr>
          <w:sz w:val="18"/>
        </w:rPr>
        <w:t>for</w:t>
      </w:r>
      <w:r>
        <w:rPr>
          <w:spacing w:val="-2"/>
          <w:sz w:val="18"/>
        </w:rPr>
        <w:t xml:space="preserve"> </w:t>
      </w:r>
      <w:r>
        <w:rPr>
          <w:sz w:val="18"/>
        </w:rPr>
        <w:t>entitlements</w:t>
      </w:r>
      <w:r>
        <w:rPr>
          <w:spacing w:val="-2"/>
          <w:sz w:val="18"/>
        </w:rPr>
        <w:t xml:space="preserve"> </w:t>
      </w:r>
      <w:r>
        <w:rPr>
          <w:sz w:val="18"/>
        </w:rPr>
        <w:t>(i.e.,</w:t>
      </w:r>
      <w:r>
        <w:rPr>
          <w:spacing w:val="-2"/>
          <w:sz w:val="18"/>
        </w:rPr>
        <w:t xml:space="preserve"> </w:t>
      </w:r>
      <w:r>
        <w:rPr>
          <w:sz w:val="18"/>
        </w:rPr>
        <w:t>mandatory</w:t>
      </w:r>
      <w:r>
        <w:rPr>
          <w:spacing w:val="-2"/>
          <w:sz w:val="18"/>
        </w:rPr>
        <w:t xml:space="preserve"> </w:t>
      </w:r>
      <w:r>
        <w:rPr>
          <w:sz w:val="18"/>
        </w:rPr>
        <w:t>programs,</w:t>
      </w:r>
      <w:r>
        <w:rPr>
          <w:spacing w:val="-2"/>
          <w:sz w:val="18"/>
        </w:rPr>
        <w:t xml:space="preserve"> </w:t>
      </w:r>
      <w:r>
        <w:rPr>
          <w:sz w:val="18"/>
        </w:rPr>
        <w:t>such</w:t>
      </w:r>
      <w:r>
        <w:rPr>
          <w:spacing w:val="-3"/>
          <w:sz w:val="18"/>
        </w:rPr>
        <w:t xml:space="preserve"> </w:t>
      </w:r>
      <w:r>
        <w:rPr>
          <w:sz w:val="18"/>
        </w:rPr>
        <w:t>as</w:t>
      </w:r>
      <w:r>
        <w:rPr>
          <w:spacing w:val="-1"/>
          <w:sz w:val="18"/>
        </w:rPr>
        <w:t xml:space="preserve"> </w:t>
      </w:r>
      <w:r>
        <w:rPr>
          <w:sz w:val="18"/>
        </w:rPr>
        <w:t>the</w:t>
      </w:r>
      <w:r>
        <w:rPr>
          <w:spacing w:val="-3"/>
          <w:sz w:val="18"/>
        </w:rPr>
        <w:t xml:space="preserve"> </w:t>
      </w:r>
      <w:r>
        <w:rPr>
          <w:sz w:val="18"/>
        </w:rPr>
        <w:t>Department</w:t>
      </w:r>
      <w:r>
        <w:rPr>
          <w:spacing w:val="-2"/>
          <w:sz w:val="18"/>
        </w:rPr>
        <w:t xml:space="preserve"> </w:t>
      </w:r>
      <w:r>
        <w:rPr>
          <w:sz w:val="18"/>
        </w:rPr>
        <w:t>of</w:t>
      </w:r>
      <w:r>
        <w:rPr>
          <w:spacing w:val="-2"/>
          <w:sz w:val="18"/>
        </w:rPr>
        <w:t xml:space="preserve"> </w:t>
      </w:r>
      <w:r>
        <w:rPr>
          <w:sz w:val="18"/>
        </w:rPr>
        <w:t>Education direct and guaranteed student loan programs and the Department of Veterans Affairs home loan guaranty program) and credit programs of the Commodity Credit Corporation existing on the date of enactment of FCRA (Nov. 5, 1990). 2 U.S.C. § 661c(c).</w:t>
      </w:r>
    </w:p>
    <w:p w14:paraId="0DFDB828" w14:textId="77777777" w:rsidR="00046465" w:rsidRDefault="008134EB">
      <w:pPr>
        <w:spacing w:before="121" w:line="242" w:lineRule="auto"/>
        <w:ind w:left="359" w:right="422"/>
        <w:rPr>
          <w:sz w:val="18"/>
        </w:rPr>
      </w:pPr>
      <w:r>
        <w:rPr>
          <w:position w:val="7"/>
          <w:sz w:val="14"/>
        </w:rPr>
        <w:t>19</w:t>
      </w:r>
      <w:r>
        <w:rPr>
          <w:sz w:val="18"/>
        </w:rPr>
        <w:t>The</w:t>
      </w:r>
      <w:r>
        <w:rPr>
          <w:spacing w:val="-1"/>
          <w:sz w:val="18"/>
        </w:rPr>
        <w:t xml:space="preserve"> </w:t>
      </w:r>
      <w:r>
        <w:rPr>
          <w:sz w:val="18"/>
        </w:rPr>
        <w:t>auditor should</w:t>
      </w:r>
      <w:r>
        <w:rPr>
          <w:spacing w:val="-1"/>
          <w:sz w:val="18"/>
        </w:rPr>
        <w:t xml:space="preserve"> </w:t>
      </w:r>
      <w:r>
        <w:rPr>
          <w:sz w:val="18"/>
        </w:rPr>
        <w:t>determine the</w:t>
      </w:r>
      <w:r>
        <w:rPr>
          <w:spacing w:val="-1"/>
          <w:sz w:val="18"/>
        </w:rPr>
        <w:t xml:space="preserve"> </w:t>
      </w:r>
      <w:r>
        <w:rPr>
          <w:sz w:val="18"/>
        </w:rPr>
        <w:t>results of the</w:t>
      </w:r>
      <w:r>
        <w:rPr>
          <w:spacing w:val="-1"/>
          <w:sz w:val="18"/>
        </w:rPr>
        <w:t xml:space="preserve"> </w:t>
      </w:r>
      <w:r>
        <w:rPr>
          <w:sz w:val="18"/>
        </w:rPr>
        <w:t>evaluation</w:t>
      </w:r>
      <w:r>
        <w:rPr>
          <w:spacing w:val="-1"/>
          <w:sz w:val="18"/>
        </w:rPr>
        <w:t xml:space="preserve"> </w:t>
      </w:r>
      <w:r>
        <w:rPr>
          <w:sz w:val="18"/>
        </w:rPr>
        <w:t>and</w:t>
      </w:r>
      <w:r>
        <w:rPr>
          <w:spacing w:val="-1"/>
          <w:sz w:val="18"/>
        </w:rPr>
        <w:t xml:space="preserve"> </w:t>
      </w:r>
      <w:r>
        <w:rPr>
          <w:sz w:val="18"/>
        </w:rPr>
        <w:t>testing of budget controls and</w:t>
      </w:r>
      <w:r>
        <w:rPr>
          <w:spacing w:val="-1"/>
          <w:sz w:val="18"/>
        </w:rPr>
        <w:t xml:space="preserve"> </w:t>
      </w:r>
      <w:r>
        <w:rPr>
          <w:sz w:val="18"/>
        </w:rPr>
        <w:t>testing</w:t>
      </w:r>
      <w:r>
        <w:rPr>
          <w:spacing w:val="-1"/>
          <w:sz w:val="18"/>
        </w:rPr>
        <w:t xml:space="preserve"> </w:t>
      </w:r>
      <w:r>
        <w:rPr>
          <w:sz w:val="18"/>
        </w:rPr>
        <w:t>of the</w:t>
      </w:r>
      <w:r>
        <w:rPr>
          <w:spacing w:val="-1"/>
          <w:sz w:val="18"/>
        </w:rPr>
        <w:t xml:space="preserve"> </w:t>
      </w:r>
      <w:r>
        <w:rPr>
          <w:sz w:val="18"/>
        </w:rPr>
        <w:t>Statement of Budgetary Resources. These</w:t>
      </w:r>
      <w:r>
        <w:rPr>
          <w:spacing w:val="-1"/>
          <w:sz w:val="18"/>
        </w:rPr>
        <w:t xml:space="preserve"> </w:t>
      </w:r>
      <w:r>
        <w:rPr>
          <w:sz w:val="18"/>
        </w:rPr>
        <w:t>controls relate to the execution of budget authority and usually are the same controls that are used to comply with the Antideficiency Act and FCRA. Accordingly, additional consideration of controls that achieve the compliance objective generally is not necessary if the auditor has assessed whether the entity achieves all of the budget control</w:t>
      </w:r>
      <w:r>
        <w:rPr>
          <w:spacing w:val="-2"/>
          <w:sz w:val="18"/>
        </w:rPr>
        <w:t xml:space="preserve"> </w:t>
      </w:r>
      <w:r>
        <w:rPr>
          <w:sz w:val="18"/>
        </w:rPr>
        <w:t>objectives</w:t>
      </w:r>
      <w:r>
        <w:rPr>
          <w:spacing w:val="-2"/>
          <w:sz w:val="18"/>
        </w:rPr>
        <w:t xml:space="preserve"> </w:t>
      </w:r>
      <w:r>
        <w:rPr>
          <w:sz w:val="18"/>
        </w:rPr>
        <w:t>listed</w:t>
      </w:r>
      <w:r>
        <w:rPr>
          <w:spacing w:val="-3"/>
          <w:sz w:val="18"/>
        </w:rPr>
        <w:t xml:space="preserve"> </w:t>
      </w:r>
      <w:r>
        <w:rPr>
          <w:sz w:val="18"/>
        </w:rPr>
        <w:t>in</w:t>
      </w:r>
      <w:r>
        <w:rPr>
          <w:spacing w:val="-3"/>
          <w:sz w:val="18"/>
        </w:rPr>
        <w:t xml:space="preserve"> </w:t>
      </w:r>
      <w:r>
        <w:rPr>
          <w:sz w:val="18"/>
        </w:rPr>
        <w:t>FAM</w:t>
      </w:r>
      <w:r>
        <w:rPr>
          <w:spacing w:val="-2"/>
          <w:sz w:val="18"/>
        </w:rPr>
        <w:t xml:space="preserve"> </w:t>
      </w:r>
      <w:r>
        <w:rPr>
          <w:sz w:val="18"/>
        </w:rPr>
        <w:t>395</w:t>
      </w:r>
      <w:r>
        <w:rPr>
          <w:spacing w:val="-3"/>
          <w:sz w:val="18"/>
        </w:rPr>
        <w:t xml:space="preserve"> </w:t>
      </w:r>
      <w:r>
        <w:rPr>
          <w:sz w:val="18"/>
        </w:rPr>
        <w:t>F,</w:t>
      </w:r>
      <w:r>
        <w:rPr>
          <w:spacing w:val="-2"/>
          <w:sz w:val="18"/>
        </w:rPr>
        <w:t xml:space="preserve"> </w:t>
      </w:r>
      <w:r>
        <w:rPr>
          <w:sz w:val="18"/>
        </w:rPr>
        <w:t>Budget</w:t>
      </w:r>
      <w:r>
        <w:rPr>
          <w:spacing w:val="-2"/>
          <w:sz w:val="18"/>
        </w:rPr>
        <w:t xml:space="preserve"> </w:t>
      </w:r>
      <w:r>
        <w:rPr>
          <w:sz w:val="18"/>
        </w:rPr>
        <w:t>Control</w:t>
      </w:r>
      <w:r>
        <w:rPr>
          <w:spacing w:val="-2"/>
          <w:sz w:val="18"/>
        </w:rPr>
        <w:t xml:space="preserve"> </w:t>
      </w:r>
      <w:r>
        <w:rPr>
          <w:sz w:val="18"/>
        </w:rPr>
        <w:t>Objective,</w:t>
      </w:r>
      <w:r>
        <w:rPr>
          <w:spacing w:val="-2"/>
          <w:sz w:val="18"/>
        </w:rPr>
        <w:t xml:space="preserve"> </w:t>
      </w:r>
      <w:r>
        <w:rPr>
          <w:sz w:val="18"/>
        </w:rPr>
        <w:t>including</w:t>
      </w:r>
      <w:r>
        <w:rPr>
          <w:spacing w:val="-1"/>
          <w:sz w:val="18"/>
        </w:rPr>
        <w:t xml:space="preserve"> </w:t>
      </w:r>
      <w:r>
        <w:rPr>
          <w:sz w:val="18"/>
        </w:rPr>
        <w:t>the</w:t>
      </w:r>
      <w:r>
        <w:rPr>
          <w:spacing w:val="-3"/>
          <w:sz w:val="18"/>
        </w:rPr>
        <w:t xml:space="preserve"> </w:t>
      </w:r>
      <w:r>
        <w:rPr>
          <w:sz w:val="18"/>
        </w:rPr>
        <w:t>supplemental</w:t>
      </w:r>
      <w:r>
        <w:rPr>
          <w:spacing w:val="-2"/>
          <w:sz w:val="18"/>
        </w:rPr>
        <w:t xml:space="preserve"> </w:t>
      </w:r>
      <w:r>
        <w:rPr>
          <w:sz w:val="18"/>
        </w:rPr>
        <w:t>control</w:t>
      </w:r>
      <w:r>
        <w:rPr>
          <w:spacing w:val="-2"/>
          <w:sz w:val="18"/>
        </w:rPr>
        <w:t xml:space="preserve"> </w:t>
      </w:r>
      <w:r>
        <w:rPr>
          <w:sz w:val="18"/>
        </w:rPr>
        <w:t>objectives</w:t>
      </w:r>
      <w:r>
        <w:rPr>
          <w:spacing w:val="-2"/>
          <w:sz w:val="18"/>
        </w:rPr>
        <w:t xml:space="preserve"> </w:t>
      </w:r>
      <w:r>
        <w:rPr>
          <w:sz w:val="18"/>
        </w:rPr>
        <w:t>for</w:t>
      </w:r>
      <w:r>
        <w:rPr>
          <w:spacing w:val="-2"/>
          <w:sz w:val="18"/>
        </w:rPr>
        <w:t xml:space="preserve"> </w:t>
      </w:r>
      <w:r>
        <w:rPr>
          <w:sz w:val="18"/>
        </w:rPr>
        <w:t>FCRA.</w:t>
      </w:r>
      <w:r>
        <w:rPr>
          <w:spacing w:val="-2"/>
          <w:sz w:val="18"/>
        </w:rPr>
        <w:t xml:space="preserve"> </w:t>
      </w:r>
      <w:r>
        <w:rPr>
          <w:sz w:val="18"/>
        </w:rPr>
        <w:t>The</w:t>
      </w:r>
      <w:r>
        <w:rPr>
          <w:spacing w:val="-1"/>
          <w:sz w:val="18"/>
        </w:rPr>
        <w:t xml:space="preserve"> </w:t>
      </w:r>
      <w:r>
        <w:rPr>
          <w:sz w:val="18"/>
        </w:rPr>
        <w:t>auditor</w:t>
      </w:r>
      <w:r>
        <w:rPr>
          <w:spacing w:val="-2"/>
          <w:sz w:val="18"/>
        </w:rPr>
        <w:t xml:space="preserve"> </w:t>
      </w:r>
      <w:r>
        <w:rPr>
          <w:sz w:val="18"/>
        </w:rPr>
        <w:t>should</w:t>
      </w:r>
      <w:r>
        <w:rPr>
          <w:spacing w:val="-3"/>
          <w:sz w:val="18"/>
        </w:rPr>
        <w:t xml:space="preserve"> </w:t>
      </w:r>
      <w:r>
        <w:rPr>
          <w:sz w:val="18"/>
        </w:rPr>
        <w:t>refer</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budget</w:t>
      </w:r>
      <w:r>
        <w:rPr>
          <w:spacing w:val="-2"/>
          <w:sz w:val="18"/>
        </w:rPr>
        <w:t xml:space="preserve"> </w:t>
      </w:r>
      <w:r>
        <w:rPr>
          <w:sz w:val="18"/>
        </w:rPr>
        <w:t>control evaluation and testing and perform any additional procedures considered necessary to conclude on whether compliance controls are effective.</w:t>
      </w:r>
    </w:p>
    <w:p w14:paraId="0DFDB829" w14:textId="77777777" w:rsidR="00046465" w:rsidRDefault="00046465">
      <w:pPr>
        <w:spacing w:line="242" w:lineRule="auto"/>
        <w:rPr>
          <w:sz w:val="18"/>
        </w:rPr>
        <w:sectPr w:rsidR="00046465">
          <w:pgSz w:w="15840" w:h="12240" w:orient="landscape"/>
          <w:pgMar w:top="1380" w:right="1080" w:bottom="940" w:left="720" w:header="721" w:footer="742" w:gutter="0"/>
          <w:cols w:space="720"/>
        </w:sectPr>
      </w:pPr>
    </w:p>
    <w:p w14:paraId="0DFDB82A" w14:textId="77777777" w:rsidR="00046465" w:rsidRDefault="00046465">
      <w:pPr>
        <w:pStyle w:val="BodyText"/>
        <w:spacing w:before="9"/>
        <w:rPr>
          <w:sz w:val="7"/>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4644"/>
        <w:gridCol w:w="2250"/>
        <w:gridCol w:w="1620"/>
        <w:gridCol w:w="1402"/>
        <w:gridCol w:w="1498"/>
        <w:gridCol w:w="1979"/>
      </w:tblGrid>
      <w:tr w:rsidR="00046465" w14:paraId="0DFDB82E" w14:textId="77777777">
        <w:trPr>
          <w:trHeight w:val="1574"/>
        </w:trPr>
        <w:tc>
          <w:tcPr>
            <w:tcW w:w="13393" w:type="dxa"/>
            <w:gridSpan w:val="6"/>
          </w:tcPr>
          <w:p w14:paraId="0DFDB82B" w14:textId="77777777" w:rsidR="00046465" w:rsidRDefault="008134EB">
            <w:pPr>
              <w:pStyle w:val="TableParagraph"/>
              <w:tabs>
                <w:tab w:val="left" w:pos="9319"/>
              </w:tabs>
              <w:spacing w:before="144"/>
              <w:ind w:right="1965"/>
              <w:jc w:val="center"/>
            </w:pPr>
            <w:r>
              <w:t>Name</w:t>
            </w:r>
            <w:r>
              <w:rPr>
                <w:spacing w:val="-5"/>
              </w:rPr>
              <w:t xml:space="preserve"> </w:t>
            </w:r>
            <w:r>
              <w:t>of</w:t>
            </w:r>
            <w:r>
              <w:rPr>
                <w:spacing w:val="-5"/>
              </w:rPr>
              <w:t xml:space="preserve"> </w:t>
            </w:r>
            <w:r>
              <w:rPr>
                <w:spacing w:val="-2"/>
              </w:rPr>
              <w:t>entity:</w:t>
            </w:r>
            <w:r>
              <w:tab/>
            </w:r>
            <w:bookmarkStart w:id="189" w:name="_bookmark84"/>
            <w:bookmarkStart w:id="190" w:name="_bookmark85"/>
            <w:bookmarkStart w:id="191" w:name="_bookmark86"/>
            <w:bookmarkStart w:id="192" w:name="_bookmark87"/>
            <w:bookmarkEnd w:id="189"/>
            <w:bookmarkEnd w:id="190"/>
            <w:bookmarkEnd w:id="191"/>
            <w:bookmarkEnd w:id="192"/>
            <w:r>
              <w:t>Prepared</w:t>
            </w:r>
            <w:r>
              <w:rPr>
                <w:spacing w:val="-11"/>
              </w:rPr>
              <w:t xml:space="preserve"> </w:t>
            </w:r>
            <w:r>
              <w:rPr>
                <w:spacing w:val="-5"/>
              </w:rPr>
              <w:t>by:</w:t>
            </w:r>
          </w:p>
          <w:p w14:paraId="0DFDB82C" w14:textId="77777777" w:rsidR="00046465" w:rsidRDefault="008134EB">
            <w:pPr>
              <w:pStyle w:val="TableParagraph"/>
              <w:spacing w:before="12"/>
              <w:ind w:left="1972" w:right="1964"/>
              <w:jc w:val="center"/>
              <w:rPr>
                <w:b/>
                <w:sz w:val="24"/>
              </w:rPr>
            </w:pPr>
            <w:r>
              <w:rPr>
                <w:b/>
                <w:noProof/>
                <w:sz w:val="24"/>
              </w:rPr>
              <mc:AlternateContent>
                <mc:Choice Requires="wpg">
                  <w:drawing>
                    <wp:anchor distT="0" distB="0" distL="0" distR="0" simplePos="0" relativeHeight="476124160" behindDoc="1" locked="0" layoutInCell="1" allowOverlap="1" wp14:anchorId="0DFDD623" wp14:editId="0DFDD624">
                      <wp:simplePos x="0" y="0"/>
                      <wp:positionH relativeFrom="column">
                        <wp:posOffset>7052309</wp:posOffset>
                      </wp:positionH>
                      <wp:positionV relativeFrom="paragraph">
                        <wp:posOffset>91882</wp:posOffset>
                      </wp:positionV>
                      <wp:extent cx="1371600" cy="6350"/>
                      <wp:effectExtent l="0" t="0" r="0" b="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574" name="Graphic 574"/>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9C136DB" id="Group 573" o:spid="_x0000_s1026" style="position:absolute;margin-left:555.3pt;margin-top:7.25pt;width:108pt;height:.5pt;z-index:-27192320;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">
                      <v:shape id="Graphic 574"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" path="m1371600,l,,,6108r1371600,l1371600,xe" fillcolor="black" stroked="f">
                        <v:path arrowok="t"/>
                      </v:shape>
                    </v:group>
                  </w:pict>
                </mc:Fallback>
              </mc:AlternateContent>
            </w:r>
            <w:r>
              <w:rPr>
                <w:b/>
                <w:noProof/>
                <w:sz w:val="24"/>
              </w:rPr>
              <mc:AlternateContent>
                <mc:Choice Requires="wpg">
                  <w:drawing>
                    <wp:anchor distT="0" distB="0" distL="0" distR="0" simplePos="0" relativeHeight="476125184" behindDoc="1" locked="0" layoutInCell="1" allowOverlap="1" wp14:anchorId="0DFDD625" wp14:editId="0DFDD626">
                      <wp:simplePos x="0" y="0"/>
                      <wp:positionH relativeFrom="column">
                        <wp:posOffset>7052309</wp:posOffset>
                      </wp:positionH>
                      <wp:positionV relativeFrom="paragraph">
                        <wp:posOffset>441640</wp:posOffset>
                      </wp:positionV>
                      <wp:extent cx="1371600" cy="6350"/>
                      <wp:effectExtent l="0" t="0" r="0" b="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576" name="Graphic 576"/>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25DECD" id="Group 575" o:spid="_x0000_s1026" style="position:absolute;margin-left:555.3pt;margin-top:34.75pt;width:108pt;height:.5pt;z-index:-27191296;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">
                      <v:shape id="Graphic 576"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" path="m1371600,l,,,6108r1371600,l1371600,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82D" w14:textId="77777777" w:rsidR="00046465" w:rsidRDefault="008134EB">
            <w:pPr>
              <w:pStyle w:val="TableParagraph"/>
              <w:tabs>
                <w:tab w:val="left" w:pos="9013"/>
              </w:tabs>
              <w:spacing w:before="10"/>
              <w:ind w:right="1720"/>
              <w:jc w:val="center"/>
            </w:pPr>
            <w:r>
              <w:rPr>
                <w:noProof/>
              </w:rPr>
              <mc:AlternateContent>
                <mc:Choice Requires="wpg">
                  <w:drawing>
                    <wp:anchor distT="0" distB="0" distL="0" distR="0" simplePos="0" relativeHeight="476123648" behindDoc="1" locked="0" layoutInCell="1" allowOverlap="1" wp14:anchorId="0DFDD627" wp14:editId="0DFDD628">
                      <wp:simplePos x="0" y="0"/>
                      <wp:positionH relativeFrom="column">
                        <wp:posOffset>1274825</wp:posOffset>
                      </wp:positionH>
                      <wp:positionV relativeFrom="paragraph">
                        <wp:posOffset>-91198</wp:posOffset>
                      </wp:positionV>
                      <wp:extent cx="1205865" cy="6350"/>
                      <wp:effectExtent l="0" t="0" r="0" b="0"/>
                      <wp:wrapNone/>
                      <wp:docPr id="577"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578" name="Graphic 578"/>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A836013" id="Group 577" o:spid="_x0000_s1026" style="position:absolute;margin-left:100.4pt;margin-top:-7.2pt;width:94.95pt;height:.5pt;z-index:-27192832;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">
                      <v:shape id="Graphic 578"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" path="m1205484,l,,,6108r1205484,l1205484,xe" fillcolor="black" stroked="f">
                        <v:path arrowok="t"/>
                      </v:shape>
                    </v:group>
                  </w:pict>
                </mc:Fallback>
              </mc:AlternateContent>
            </w:r>
            <w:r>
              <w:rPr>
                <w:noProof/>
              </w:rPr>
              <mc:AlternateContent>
                <mc:Choice Requires="wpg">
                  <w:drawing>
                    <wp:anchor distT="0" distB="0" distL="0" distR="0" simplePos="0" relativeHeight="476124672" behindDoc="1" locked="0" layoutInCell="1" allowOverlap="1" wp14:anchorId="0DFDD629" wp14:editId="0DFDD62A">
                      <wp:simplePos x="0" y="0"/>
                      <wp:positionH relativeFrom="column">
                        <wp:posOffset>1274825</wp:posOffset>
                      </wp:positionH>
                      <wp:positionV relativeFrom="paragraph">
                        <wp:posOffset>258559</wp:posOffset>
                      </wp:positionV>
                      <wp:extent cx="1205865" cy="6350"/>
                      <wp:effectExtent l="0" t="0" r="0" b="0"/>
                      <wp:wrapNone/>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580" name="Graphic 580"/>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2EB7C67" id="Group 579" o:spid="_x0000_s1026" style="position:absolute;margin-left:100.4pt;margin-top:20.35pt;width:94.95pt;height:.5pt;z-index:-27191808;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">
                      <v:shape id="Graphic 580"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" path="m1205484,l,,,6108r1205484,l1205484,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838" w14:textId="77777777">
        <w:trPr>
          <w:trHeight w:val="793"/>
        </w:trPr>
        <w:tc>
          <w:tcPr>
            <w:tcW w:w="4644" w:type="dxa"/>
            <w:tcBorders>
              <w:right w:val="single" w:sz="4" w:space="0" w:color="000000"/>
            </w:tcBorders>
          </w:tcPr>
          <w:p w14:paraId="0DFDB82F" w14:textId="77777777" w:rsidR="00046465" w:rsidRDefault="00046465">
            <w:pPr>
              <w:pStyle w:val="TableParagraph"/>
              <w:spacing w:before="143"/>
            </w:pPr>
          </w:p>
          <w:p w14:paraId="0DFDB830" w14:textId="77777777" w:rsidR="00046465" w:rsidRDefault="008134EB">
            <w:pPr>
              <w:pStyle w:val="TableParagraph"/>
              <w:ind w:left="97"/>
            </w:pPr>
            <w:r>
              <w:t>Provision</w:t>
            </w:r>
            <w:r>
              <w:rPr>
                <w:spacing w:val="-11"/>
              </w:rPr>
              <w:t xml:space="preserve"> </w:t>
            </w:r>
            <w:r>
              <w:rPr>
                <w:spacing w:val="-2"/>
              </w:rPr>
              <w:t>Description</w:t>
            </w:r>
          </w:p>
        </w:tc>
        <w:tc>
          <w:tcPr>
            <w:tcW w:w="2250" w:type="dxa"/>
            <w:tcBorders>
              <w:left w:val="single" w:sz="4" w:space="0" w:color="000000"/>
              <w:right w:val="single" w:sz="4" w:space="0" w:color="000000"/>
            </w:tcBorders>
          </w:tcPr>
          <w:p w14:paraId="0DFDB831" w14:textId="77777777" w:rsidR="00046465" w:rsidRDefault="00046465">
            <w:pPr>
              <w:pStyle w:val="TableParagraph"/>
              <w:spacing w:before="143"/>
            </w:pPr>
          </w:p>
          <w:p w14:paraId="0DFDB832" w14:textId="77777777" w:rsidR="00046465" w:rsidRDefault="008134EB">
            <w:pPr>
              <w:pStyle w:val="TableParagraph"/>
              <w:ind w:left="107"/>
            </w:pPr>
            <w:r>
              <w:rPr>
                <w:spacing w:val="-2"/>
              </w:rPr>
              <w:t>Objective</w:t>
            </w:r>
          </w:p>
        </w:tc>
        <w:tc>
          <w:tcPr>
            <w:tcW w:w="1620" w:type="dxa"/>
            <w:tcBorders>
              <w:left w:val="single" w:sz="4" w:space="0" w:color="000000"/>
              <w:right w:val="single" w:sz="4" w:space="0" w:color="000000"/>
            </w:tcBorders>
          </w:tcPr>
          <w:p w14:paraId="0DFDB833" w14:textId="77777777" w:rsidR="00046465" w:rsidRDefault="008134EB">
            <w:pPr>
              <w:pStyle w:val="TableParagraph"/>
              <w:spacing w:before="143"/>
              <w:ind w:left="107" w:right="215"/>
            </w:pPr>
            <w:r>
              <w:rPr>
                <w:spacing w:val="-2"/>
              </w:rPr>
              <w:t>Control Activities</w:t>
            </w:r>
          </w:p>
        </w:tc>
        <w:tc>
          <w:tcPr>
            <w:tcW w:w="1402" w:type="dxa"/>
            <w:tcBorders>
              <w:left w:val="single" w:sz="4" w:space="0" w:color="000000"/>
              <w:right w:val="single" w:sz="4" w:space="0" w:color="000000"/>
            </w:tcBorders>
          </w:tcPr>
          <w:p w14:paraId="0DFDB834" w14:textId="77777777" w:rsidR="00046465" w:rsidRDefault="00046465">
            <w:pPr>
              <w:pStyle w:val="TableParagraph"/>
              <w:spacing w:before="143"/>
            </w:pPr>
          </w:p>
          <w:p w14:paraId="0DFDB835" w14:textId="77777777" w:rsidR="00046465" w:rsidRDefault="008134EB">
            <w:pPr>
              <w:pStyle w:val="TableParagraph"/>
              <w:ind w:left="107"/>
            </w:pPr>
            <w:r>
              <w:t>IS</w:t>
            </w:r>
            <w:r>
              <w:rPr>
                <w:spacing w:val="-3"/>
              </w:rPr>
              <w:t xml:space="preserve"> </w:t>
            </w:r>
            <w:r>
              <w:rPr>
                <w:spacing w:val="-2"/>
              </w:rPr>
              <w:t>(Y/N)</w:t>
            </w:r>
          </w:p>
        </w:tc>
        <w:tc>
          <w:tcPr>
            <w:tcW w:w="1498" w:type="dxa"/>
            <w:tcBorders>
              <w:left w:val="single" w:sz="4" w:space="0" w:color="000000"/>
              <w:right w:val="single" w:sz="4" w:space="0" w:color="000000"/>
            </w:tcBorders>
          </w:tcPr>
          <w:p w14:paraId="0DFDB836" w14:textId="77777777" w:rsidR="00046465" w:rsidRDefault="008134EB">
            <w:pPr>
              <w:pStyle w:val="TableParagraph"/>
              <w:spacing w:before="143"/>
              <w:ind w:left="107"/>
            </w:pPr>
            <w:r>
              <w:rPr>
                <w:spacing w:val="-2"/>
              </w:rPr>
              <w:t>Effective controls?</w:t>
            </w:r>
          </w:p>
        </w:tc>
        <w:tc>
          <w:tcPr>
            <w:tcW w:w="1979" w:type="dxa"/>
            <w:tcBorders>
              <w:left w:val="single" w:sz="4" w:space="0" w:color="000000"/>
            </w:tcBorders>
          </w:tcPr>
          <w:p w14:paraId="0DFDB837" w14:textId="77777777" w:rsidR="00046465" w:rsidRDefault="008134EB">
            <w:pPr>
              <w:pStyle w:val="TableParagraph"/>
              <w:spacing w:before="143"/>
              <w:ind w:left="107" w:right="140"/>
            </w:pPr>
            <w:r>
              <w:t xml:space="preserve">Instances of </w:t>
            </w:r>
            <w:r>
              <w:rPr>
                <w:spacing w:val="-2"/>
              </w:rPr>
              <w:t>noncompliance?</w:t>
            </w:r>
          </w:p>
        </w:tc>
      </w:tr>
      <w:tr w:rsidR="00046465" w14:paraId="0DFDB841" w14:textId="77777777">
        <w:trPr>
          <w:trHeight w:val="2233"/>
        </w:trPr>
        <w:tc>
          <w:tcPr>
            <w:tcW w:w="4644" w:type="dxa"/>
            <w:tcBorders>
              <w:right w:val="single" w:sz="4" w:space="0" w:color="000000"/>
            </w:tcBorders>
          </w:tcPr>
          <w:p w14:paraId="0DFDB839" w14:textId="77777777" w:rsidR="00046465" w:rsidRDefault="008134EB">
            <w:pPr>
              <w:pStyle w:val="TableParagraph"/>
              <w:spacing w:before="143"/>
              <w:ind w:left="817" w:hanging="720"/>
              <w:rPr>
                <w:sz w:val="18"/>
              </w:rPr>
            </w:pPr>
            <w:r>
              <w:rPr>
                <w:smallCaps/>
                <w:sz w:val="18"/>
              </w:rPr>
              <w:t>804.04.</w:t>
            </w:r>
            <w:r>
              <w:rPr>
                <w:smallCaps/>
                <w:spacing w:val="-3"/>
                <w:sz w:val="18"/>
              </w:rPr>
              <w:t xml:space="preserve"> </w:t>
            </w:r>
            <w:r>
              <w:rPr>
                <w:smallCaps/>
                <w:spacing w:val="16"/>
                <w:sz w:val="18"/>
              </w:rPr>
              <w:t xml:space="preserve"> </w:t>
            </w:r>
            <w:r>
              <w:rPr>
                <w:smallCaps/>
                <w:sz w:val="18"/>
              </w:rPr>
              <w:t>Modifications</w:t>
            </w:r>
            <w:r>
              <w:rPr>
                <w:smallCaps/>
                <w:spacing w:val="-5"/>
                <w:sz w:val="18"/>
              </w:rPr>
              <w:t xml:space="preserve"> </w:t>
            </w:r>
            <w:r>
              <w:rPr>
                <w:smallCaps/>
                <w:sz w:val="18"/>
              </w:rPr>
              <w:t>of</w:t>
            </w:r>
            <w:r>
              <w:rPr>
                <w:smallCaps/>
                <w:spacing w:val="-3"/>
                <w:sz w:val="18"/>
              </w:rPr>
              <w:t xml:space="preserve"> </w:t>
            </w:r>
            <w:r>
              <w:rPr>
                <w:smallCaps/>
                <w:sz w:val="18"/>
              </w:rPr>
              <w:t>Outstanding</w:t>
            </w:r>
            <w:r>
              <w:rPr>
                <w:smallCaps/>
                <w:spacing w:val="-3"/>
                <w:sz w:val="18"/>
              </w:rPr>
              <w:t xml:space="preserve"> </w:t>
            </w:r>
            <w:r>
              <w:rPr>
                <w:smallCaps/>
                <w:sz w:val="18"/>
              </w:rPr>
              <w:t>Loan</w:t>
            </w:r>
            <w:r>
              <w:rPr>
                <w:smallCaps/>
                <w:spacing w:val="40"/>
                <w:sz w:val="18"/>
              </w:rPr>
              <w:t xml:space="preserve"> </w:t>
            </w:r>
            <w:r>
              <w:rPr>
                <w:smallCaps/>
                <w:spacing w:val="-2"/>
                <w:sz w:val="18"/>
              </w:rPr>
              <w:t>Guarantees.</w:t>
            </w:r>
          </w:p>
          <w:p w14:paraId="0DFDB83A" w14:textId="77777777" w:rsidR="00046465" w:rsidRDefault="008134EB">
            <w:pPr>
              <w:pStyle w:val="TableParagraph"/>
              <w:spacing w:before="146"/>
              <w:ind w:left="97"/>
              <w:rPr>
                <w:sz w:val="18"/>
              </w:rPr>
            </w:pPr>
            <w:r>
              <w:rPr>
                <w:sz w:val="18"/>
              </w:rPr>
              <w:t>Provision</w:t>
            </w:r>
            <w:r>
              <w:rPr>
                <w:spacing w:val="-8"/>
                <w:sz w:val="18"/>
              </w:rPr>
              <w:t xml:space="preserve"> </w:t>
            </w:r>
            <w:r>
              <w:rPr>
                <w:sz w:val="18"/>
              </w:rPr>
              <w:t>Type:</w:t>
            </w:r>
            <w:r>
              <w:rPr>
                <w:spacing w:val="-6"/>
                <w:sz w:val="18"/>
              </w:rPr>
              <w:t xml:space="preserve"> </w:t>
            </w:r>
            <w:r>
              <w:rPr>
                <w:sz w:val="18"/>
              </w:rPr>
              <w:t>Quantitative-</w:t>
            </w:r>
            <w:r>
              <w:rPr>
                <w:spacing w:val="-2"/>
                <w:sz w:val="18"/>
              </w:rPr>
              <w:t>based.</w:t>
            </w:r>
          </w:p>
          <w:p w14:paraId="0DFDB83B" w14:textId="77777777" w:rsidR="00046465" w:rsidRDefault="008134EB">
            <w:pPr>
              <w:pStyle w:val="TableParagraph"/>
              <w:spacing w:before="143"/>
              <w:ind w:left="97" w:right="137"/>
              <w:rPr>
                <w:sz w:val="18"/>
              </w:rPr>
            </w:pPr>
            <w:r>
              <w:rPr>
                <w:sz w:val="18"/>
              </w:rPr>
              <w:t>A</w:t>
            </w:r>
            <w:r>
              <w:rPr>
                <w:spacing w:val="-3"/>
                <w:sz w:val="18"/>
              </w:rPr>
              <w:t xml:space="preserve"> </w:t>
            </w:r>
            <w:r>
              <w:rPr>
                <w:sz w:val="18"/>
              </w:rPr>
              <w:t>loan</w:t>
            </w:r>
            <w:r>
              <w:rPr>
                <w:spacing w:val="-4"/>
                <w:sz w:val="18"/>
              </w:rPr>
              <w:t xml:space="preserve"> </w:t>
            </w:r>
            <w:r>
              <w:rPr>
                <w:sz w:val="18"/>
              </w:rPr>
              <w:t>guarantee</w:t>
            </w:r>
            <w:r>
              <w:rPr>
                <w:spacing w:val="-4"/>
                <w:sz w:val="18"/>
              </w:rPr>
              <w:t xml:space="preserve"> </w:t>
            </w:r>
            <w:r>
              <w:rPr>
                <w:sz w:val="18"/>
              </w:rPr>
              <w:t>commitment</w:t>
            </w:r>
            <w:r>
              <w:rPr>
                <w:spacing w:val="-3"/>
                <w:sz w:val="18"/>
              </w:rPr>
              <w:t xml:space="preserve"> </w:t>
            </w:r>
            <w:r>
              <w:rPr>
                <w:sz w:val="18"/>
              </w:rPr>
              <w:t>or</w:t>
            </w:r>
            <w:r>
              <w:rPr>
                <w:spacing w:val="-3"/>
                <w:sz w:val="18"/>
              </w:rPr>
              <w:t xml:space="preserve"> </w:t>
            </w:r>
            <w:r>
              <w:rPr>
                <w:sz w:val="18"/>
              </w:rPr>
              <w:t>a</w:t>
            </w:r>
            <w:r>
              <w:rPr>
                <w:spacing w:val="-4"/>
                <w:sz w:val="18"/>
              </w:rPr>
              <w:t xml:space="preserve"> </w:t>
            </w:r>
            <w:r>
              <w:rPr>
                <w:sz w:val="18"/>
              </w:rPr>
              <w:t>loan</w:t>
            </w:r>
            <w:r>
              <w:rPr>
                <w:spacing w:val="-4"/>
                <w:sz w:val="18"/>
              </w:rPr>
              <w:t xml:space="preserve"> </w:t>
            </w:r>
            <w:r>
              <w:rPr>
                <w:sz w:val="18"/>
              </w:rPr>
              <w:t>guarantee, either</w:t>
            </w:r>
            <w:r>
              <w:rPr>
                <w:spacing w:val="-6"/>
                <w:sz w:val="18"/>
              </w:rPr>
              <w:t xml:space="preserve"> </w:t>
            </w:r>
            <w:r>
              <w:rPr>
                <w:sz w:val="18"/>
              </w:rPr>
              <w:t>of</w:t>
            </w:r>
            <w:r>
              <w:rPr>
                <w:spacing w:val="-6"/>
                <w:sz w:val="18"/>
              </w:rPr>
              <w:t xml:space="preserve"> </w:t>
            </w:r>
            <w:r>
              <w:rPr>
                <w:sz w:val="18"/>
              </w:rPr>
              <w:t>which</w:t>
            </w:r>
            <w:r>
              <w:rPr>
                <w:spacing w:val="-5"/>
                <w:sz w:val="18"/>
              </w:rPr>
              <w:t xml:space="preserve"> </w:t>
            </w:r>
            <w:r>
              <w:rPr>
                <w:sz w:val="18"/>
              </w:rPr>
              <w:t>is</w:t>
            </w:r>
            <w:r>
              <w:rPr>
                <w:spacing w:val="-6"/>
                <w:sz w:val="18"/>
              </w:rPr>
              <w:t xml:space="preserve"> </w:t>
            </w:r>
            <w:r>
              <w:rPr>
                <w:sz w:val="18"/>
              </w:rPr>
              <w:t>currently</w:t>
            </w:r>
            <w:r>
              <w:rPr>
                <w:spacing w:val="-6"/>
                <w:sz w:val="18"/>
              </w:rPr>
              <w:t xml:space="preserve"> </w:t>
            </w:r>
            <w:r>
              <w:rPr>
                <w:sz w:val="18"/>
              </w:rPr>
              <w:t>outstanding,</w:t>
            </w:r>
            <w:r>
              <w:rPr>
                <w:spacing w:val="-6"/>
                <w:sz w:val="18"/>
              </w:rPr>
              <w:t xml:space="preserve"> </w:t>
            </w:r>
            <w:r>
              <w:rPr>
                <w:sz w:val="18"/>
              </w:rPr>
              <w:t>shall</w:t>
            </w:r>
            <w:r>
              <w:rPr>
                <w:spacing w:val="-5"/>
                <w:sz w:val="18"/>
              </w:rPr>
              <w:t xml:space="preserve"> </w:t>
            </w:r>
            <w:r>
              <w:rPr>
                <w:sz w:val="18"/>
              </w:rPr>
              <w:t>not</w:t>
            </w:r>
            <w:r>
              <w:rPr>
                <w:spacing w:val="-6"/>
                <w:sz w:val="18"/>
              </w:rPr>
              <w:t xml:space="preserve"> </w:t>
            </w:r>
            <w:r>
              <w:rPr>
                <w:sz w:val="18"/>
              </w:rPr>
              <w:t>be modified in a manner that increases its cost unless budget authority for the additional cost is available.</w:t>
            </w:r>
            <w:hyperlink w:anchor="_bookmark84" w:history="1">
              <w:r>
                <w:rPr>
                  <w:sz w:val="18"/>
                  <w:vertAlign w:val="superscript"/>
                </w:rPr>
                <w:t>20</w:t>
              </w:r>
            </w:hyperlink>
            <w:r>
              <w:rPr>
                <w:sz w:val="18"/>
                <w:vertAlign w:val="superscript"/>
              </w:rPr>
              <w:t>,</w:t>
            </w:r>
            <w:hyperlink w:anchor="_bookmark85" w:history="1">
              <w:r>
                <w:rPr>
                  <w:sz w:val="18"/>
                  <w:vertAlign w:val="superscript"/>
                </w:rPr>
                <w:t>21</w:t>
              </w:r>
            </w:hyperlink>
            <w:r>
              <w:rPr>
                <w:sz w:val="18"/>
                <w:vertAlign w:val="superscript"/>
              </w:rPr>
              <w:t>,</w:t>
            </w:r>
            <w:hyperlink w:anchor="_bookmark86" w:history="1">
              <w:r>
                <w:rPr>
                  <w:sz w:val="18"/>
                  <w:vertAlign w:val="superscript"/>
                </w:rPr>
                <w:t>22</w:t>
              </w:r>
            </w:hyperlink>
            <w:r>
              <w:rPr>
                <w:sz w:val="18"/>
              </w:rPr>
              <w:t xml:space="preserve"> 2 U.S.C. § 661c(e).</w:t>
            </w:r>
          </w:p>
        </w:tc>
        <w:tc>
          <w:tcPr>
            <w:tcW w:w="2250" w:type="dxa"/>
            <w:tcBorders>
              <w:left w:val="single" w:sz="4" w:space="0" w:color="000000"/>
              <w:right w:val="single" w:sz="4" w:space="0" w:color="000000"/>
            </w:tcBorders>
          </w:tcPr>
          <w:p w14:paraId="0DFDB83C" w14:textId="77777777" w:rsidR="00046465" w:rsidRDefault="008134EB">
            <w:pPr>
              <w:pStyle w:val="TableParagraph"/>
              <w:spacing w:before="143"/>
              <w:ind w:left="107" w:right="195"/>
              <w:rPr>
                <w:sz w:val="18"/>
              </w:rPr>
            </w:pPr>
            <w:r>
              <w:rPr>
                <w:sz w:val="18"/>
              </w:rPr>
              <w:t>Modifications made to outstanding loan guarantee</w:t>
            </w:r>
            <w:r>
              <w:rPr>
                <w:spacing w:val="-13"/>
                <w:sz w:val="18"/>
              </w:rPr>
              <w:t xml:space="preserve"> </w:t>
            </w:r>
            <w:r>
              <w:rPr>
                <w:sz w:val="18"/>
              </w:rPr>
              <w:t>commitments or outstanding loan guarantees do not exceed the available budget authority. (See footnotes</w:t>
            </w:r>
            <w:r>
              <w:rPr>
                <w:spacing w:val="-2"/>
                <w:sz w:val="18"/>
              </w:rPr>
              <w:t xml:space="preserve"> </w:t>
            </w:r>
            <w:r>
              <w:rPr>
                <w:sz w:val="18"/>
              </w:rPr>
              <w:t>19</w:t>
            </w:r>
            <w:r>
              <w:rPr>
                <w:spacing w:val="-3"/>
                <w:sz w:val="18"/>
              </w:rPr>
              <w:t xml:space="preserve"> </w:t>
            </w:r>
            <w:r>
              <w:rPr>
                <w:sz w:val="18"/>
              </w:rPr>
              <w:t>through</w:t>
            </w:r>
            <w:r>
              <w:rPr>
                <w:spacing w:val="-3"/>
                <w:sz w:val="18"/>
              </w:rPr>
              <w:t xml:space="preserve"> </w:t>
            </w:r>
            <w:r>
              <w:rPr>
                <w:sz w:val="18"/>
              </w:rPr>
              <w:t xml:space="preserve">21 </w:t>
            </w:r>
            <w:r>
              <w:rPr>
                <w:spacing w:val="-2"/>
                <w:sz w:val="18"/>
              </w:rPr>
              <w:t>below.)</w:t>
            </w:r>
          </w:p>
        </w:tc>
        <w:tc>
          <w:tcPr>
            <w:tcW w:w="1620" w:type="dxa"/>
            <w:tcBorders>
              <w:left w:val="single" w:sz="4" w:space="0" w:color="000000"/>
              <w:right w:val="single" w:sz="4" w:space="0" w:color="000000"/>
            </w:tcBorders>
          </w:tcPr>
          <w:p w14:paraId="0DFDB83D" w14:textId="77777777" w:rsidR="00046465" w:rsidRDefault="008134EB">
            <w:pPr>
              <w:pStyle w:val="TableParagraph"/>
              <w:spacing w:before="143"/>
              <w:ind w:left="107" w:right="195"/>
              <w:rPr>
                <w:position w:val="6"/>
                <w:sz w:val="12"/>
              </w:rPr>
            </w:pPr>
            <w:r>
              <w:rPr>
                <w:sz w:val="18"/>
              </w:rPr>
              <w:t>Consider pre-</w:t>
            </w:r>
            <w:r>
              <w:rPr>
                <w:spacing w:val="-2"/>
                <w:sz w:val="18"/>
              </w:rPr>
              <w:t xml:space="preserve">testing </w:t>
            </w:r>
            <w:r>
              <w:rPr>
                <w:sz w:val="18"/>
              </w:rPr>
              <w:t>discussions</w:t>
            </w:r>
            <w:r>
              <w:rPr>
                <w:spacing w:val="-13"/>
                <w:sz w:val="18"/>
              </w:rPr>
              <w:t xml:space="preserve"> </w:t>
            </w:r>
            <w:r>
              <w:rPr>
                <w:sz w:val="18"/>
              </w:rPr>
              <w:t xml:space="preserve">with </w:t>
            </w:r>
            <w:r>
              <w:rPr>
                <w:spacing w:val="-2"/>
                <w:sz w:val="18"/>
              </w:rPr>
              <w:t>OGC.</w:t>
            </w:r>
            <w:hyperlink w:anchor="_bookmark87" w:history="1">
              <w:r>
                <w:rPr>
                  <w:spacing w:val="-2"/>
                  <w:position w:val="6"/>
                  <w:sz w:val="12"/>
                </w:rPr>
                <w:t>23</w:t>
              </w:r>
            </w:hyperlink>
          </w:p>
        </w:tc>
        <w:tc>
          <w:tcPr>
            <w:tcW w:w="1402" w:type="dxa"/>
            <w:tcBorders>
              <w:left w:val="single" w:sz="4" w:space="0" w:color="000000"/>
              <w:right w:val="single" w:sz="4" w:space="0" w:color="000000"/>
            </w:tcBorders>
          </w:tcPr>
          <w:p w14:paraId="0DFDB83E" w14:textId="77777777" w:rsidR="00046465" w:rsidRDefault="00046465">
            <w:pPr>
              <w:pStyle w:val="TableParagraph"/>
              <w:rPr>
                <w:rFonts w:ascii="Times New Roman"/>
                <w:sz w:val="18"/>
              </w:rPr>
            </w:pPr>
          </w:p>
        </w:tc>
        <w:tc>
          <w:tcPr>
            <w:tcW w:w="1498" w:type="dxa"/>
            <w:tcBorders>
              <w:left w:val="single" w:sz="4" w:space="0" w:color="000000"/>
              <w:right w:val="single" w:sz="4" w:space="0" w:color="000000"/>
            </w:tcBorders>
          </w:tcPr>
          <w:p w14:paraId="0DFDB83F" w14:textId="77777777" w:rsidR="00046465" w:rsidRDefault="00046465">
            <w:pPr>
              <w:pStyle w:val="TableParagraph"/>
              <w:rPr>
                <w:rFonts w:ascii="Times New Roman"/>
                <w:sz w:val="18"/>
              </w:rPr>
            </w:pPr>
          </w:p>
        </w:tc>
        <w:tc>
          <w:tcPr>
            <w:tcW w:w="1979" w:type="dxa"/>
            <w:tcBorders>
              <w:left w:val="single" w:sz="4" w:space="0" w:color="000000"/>
            </w:tcBorders>
          </w:tcPr>
          <w:p w14:paraId="0DFDB840" w14:textId="77777777" w:rsidR="00046465" w:rsidRDefault="008134EB">
            <w:pPr>
              <w:pStyle w:val="TableParagraph"/>
              <w:spacing w:before="143"/>
              <w:ind w:left="107" w:right="414"/>
              <w:rPr>
                <w:sz w:val="18"/>
              </w:rPr>
            </w:pPr>
            <w:r>
              <w:rPr>
                <w:sz w:val="18"/>
              </w:rPr>
              <w:t>See Compliance Audit</w:t>
            </w:r>
            <w:r>
              <w:rPr>
                <w:spacing w:val="-13"/>
                <w:sz w:val="18"/>
              </w:rPr>
              <w:t xml:space="preserve"> </w:t>
            </w:r>
            <w:r>
              <w:rPr>
                <w:sz w:val="18"/>
              </w:rPr>
              <w:t>Procedures, FAM 804 step 3.</w:t>
            </w:r>
          </w:p>
        </w:tc>
      </w:tr>
    </w:tbl>
    <w:p w14:paraId="0DFDB842" w14:textId="77777777" w:rsidR="00046465" w:rsidRDefault="008134EB">
      <w:pPr>
        <w:pStyle w:val="BodyText"/>
        <w:spacing w:before="98"/>
        <w:rPr>
          <w:sz w:val="20"/>
        </w:rPr>
      </w:pPr>
      <w:r>
        <w:rPr>
          <w:noProof/>
          <w:sz w:val="20"/>
        </w:rPr>
        <mc:AlternateContent>
          <mc:Choice Requires="wps">
            <w:drawing>
              <wp:anchor distT="0" distB="0" distL="0" distR="0" simplePos="0" relativeHeight="487657472" behindDoc="1" locked="0" layoutInCell="1" allowOverlap="1" wp14:anchorId="0DFDD62B" wp14:editId="0DFDD62C">
                <wp:simplePos x="0" y="0"/>
                <wp:positionH relativeFrom="page">
                  <wp:posOffset>685800</wp:posOffset>
                </wp:positionH>
                <wp:positionV relativeFrom="paragraph">
                  <wp:posOffset>223774</wp:posOffset>
                </wp:positionV>
                <wp:extent cx="1828800" cy="6985"/>
                <wp:effectExtent l="0" t="0" r="0" b="0"/>
                <wp:wrapTopAndBottom/>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7B96AD" id="Graphic 581" o:spid="_x0000_s1026" style="position:absolute;margin-left:54pt;margin-top:17.6pt;width:2in;height:.55pt;z-index:-1565900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" path="m1828800,l,,,6858r1828800,l1828800,xe" fillcolor="black" stroked="f">
                <v:path arrowok="t"/>
                <w10:wrap type="topAndBottom" anchorx="page"/>
              </v:shape>
            </w:pict>
          </mc:Fallback>
        </mc:AlternateContent>
      </w:r>
    </w:p>
    <w:p w14:paraId="0DFDB843" w14:textId="77777777" w:rsidR="00046465" w:rsidRDefault="00046465">
      <w:pPr>
        <w:pStyle w:val="BodyText"/>
        <w:spacing w:before="10"/>
        <w:rPr>
          <w:sz w:val="18"/>
        </w:rPr>
      </w:pPr>
    </w:p>
    <w:p w14:paraId="0DFDB844" w14:textId="77777777" w:rsidR="00046465" w:rsidRDefault="008134EB">
      <w:pPr>
        <w:spacing w:line="244" w:lineRule="auto"/>
        <w:ind w:left="359" w:right="422"/>
        <w:rPr>
          <w:sz w:val="18"/>
        </w:rPr>
      </w:pPr>
      <w:r>
        <w:rPr>
          <w:position w:val="7"/>
          <w:sz w:val="14"/>
        </w:rPr>
        <w:t>20</w:t>
      </w:r>
      <w:r>
        <w:rPr>
          <w:sz w:val="18"/>
        </w:rPr>
        <w:t>Appropriations</w:t>
      </w:r>
      <w:r>
        <w:rPr>
          <w:spacing w:val="-1"/>
          <w:sz w:val="18"/>
        </w:rPr>
        <w:t xml:space="preserve"> </w:t>
      </w:r>
      <w:r>
        <w:rPr>
          <w:sz w:val="18"/>
        </w:rPr>
        <w:t>or</w:t>
      </w:r>
      <w:r>
        <w:rPr>
          <w:spacing w:val="-2"/>
          <w:sz w:val="18"/>
        </w:rPr>
        <w:t xml:space="preserve"> </w:t>
      </w:r>
      <w:r>
        <w:rPr>
          <w:sz w:val="18"/>
        </w:rPr>
        <w:t>other</w:t>
      </w:r>
      <w:r>
        <w:rPr>
          <w:spacing w:val="-2"/>
          <w:sz w:val="18"/>
        </w:rPr>
        <w:t xml:space="preserve"> </w:t>
      </w:r>
      <w:r>
        <w:rPr>
          <w:sz w:val="18"/>
        </w:rPr>
        <w:t>budget</w:t>
      </w:r>
      <w:r>
        <w:rPr>
          <w:spacing w:val="-2"/>
          <w:sz w:val="18"/>
        </w:rPr>
        <w:t xml:space="preserve"> </w:t>
      </w:r>
      <w:r>
        <w:rPr>
          <w:sz w:val="18"/>
        </w:rPr>
        <w:t>authority</w:t>
      </w:r>
      <w:r>
        <w:rPr>
          <w:spacing w:val="-2"/>
          <w:sz w:val="18"/>
        </w:rPr>
        <w:t xml:space="preserve"> </w:t>
      </w:r>
      <w:r>
        <w:rPr>
          <w:sz w:val="18"/>
        </w:rPr>
        <w:t>to</w:t>
      </w:r>
      <w:r>
        <w:rPr>
          <w:spacing w:val="-3"/>
          <w:sz w:val="18"/>
        </w:rPr>
        <w:t xml:space="preserve"> </w:t>
      </w:r>
      <w:r>
        <w:rPr>
          <w:sz w:val="18"/>
        </w:rPr>
        <w:t>cover</w:t>
      </w:r>
      <w:r>
        <w:rPr>
          <w:spacing w:val="-2"/>
          <w:sz w:val="18"/>
        </w:rPr>
        <w:t xml:space="preserve"> </w:t>
      </w:r>
      <w:r>
        <w:rPr>
          <w:sz w:val="18"/>
        </w:rPr>
        <w:t>the</w:t>
      </w:r>
      <w:r>
        <w:rPr>
          <w:spacing w:val="-3"/>
          <w:sz w:val="18"/>
        </w:rPr>
        <w:t xml:space="preserve"> </w:t>
      </w:r>
      <w:r>
        <w:rPr>
          <w:sz w:val="18"/>
        </w:rPr>
        <w:t>cost</w:t>
      </w:r>
      <w:r>
        <w:rPr>
          <w:spacing w:val="-2"/>
          <w:sz w:val="18"/>
        </w:rPr>
        <w:t xml:space="preserve"> </w:t>
      </w:r>
      <w:r>
        <w:rPr>
          <w:sz w:val="18"/>
        </w:rPr>
        <w:t>of</w:t>
      </w:r>
      <w:r>
        <w:rPr>
          <w:spacing w:val="-2"/>
          <w:sz w:val="18"/>
        </w:rPr>
        <w:t xml:space="preserve"> </w:t>
      </w:r>
      <w:r>
        <w:rPr>
          <w:sz w:val="18"/>
        </w:rPr>
        <w:t>budget</w:t>
      </w:r>
      <w:r>
        <w:rPr>
          <w:spacing w:val="-2"/>
          <w:sz w:val="18"/>
        </w:rPr>
        <w:t xml:space="preserve"> </w:t>
      </w:r>
      <w:r>
        <w:rPr>
          <w:sz w:val="18"/>
        </w:rPr>
        <w:t>obligations</w:t>
      </w:r>
      <w:r>
        <w:rPr>
          <w:spacing w:val="-2"/>
          <w:sz w:val="18"/>
        </w:rPr>
        <w:t xml:space="preserve"> </w:t>
      </w:r>
      <w:r>
        <w:rPr>
          <w:sz w:val="18"/>
        </w:rPr>
        <w:t>for</w:t>
      </w:r>
      <w:r>
        <w:rPr>
          <w:spacing w:val="-2"/>
          <w:sz w:val="18"/>
        </w:rPr>
        <w:t xml:space="preserve"> </w:t>
      </w:r>
      <w:r>
        <w:rPr>
          <w:sz w:val="18"/>
        </w:rPr>
        <w:t>loan</w:t>
      </w:r>
      <w:r>
        <w:rPr>
          <w:spacing w:val="-3"/>
          <w:sz w:val="18"/>
        </w:rPr>
        <w:t xml:space="preserve"> </w:t>
      </w:r>
      <w:r>
        <w:rPr>
          <w:sz w:val="18"/>
        </w:rPr>
        <w:t>guarantee</w:t>
      </w:r>
      <w:r>
        <w:rPr>
          <w:spacing w:val="-3"/>
          <w:sz w:val="18"/>
        </w:rPr>
        <w:t xml:space="preserve"> </w:t>
      </w:r>
      <w:r>
        <w:rPr>
          <w:sz w:val="18"/>
        </w:rPr>
        <w:t>commitments</w:t>
      </w:r>
      <w:r>
        <w:rPr>
          <w:spacing w:val="-2"/>
          <w:sz w:val="18"/>
        </w:rPr>
        <w:t xml:space="preserve"> </w:t>
      </w:r>
      <w:r>
        <w:rPr>
          <w:sz w:val="18"/>
        </w:rPr>
        <w:t>must</w:t>
      </w:r>
      <w:r>
        <w:rPr>
          <w:spacing w:val="-2"/>
          <w:sz w:val="18"/>
        </w:rPr>
        <w:t xml:space="preserve"> </w:t>
      </w:r>
      <w:r>
        <w:rPr>
          <w:sz w:val="18"/>
        </w:rPr>
        <w:t>be</w:t>
      </w:r>
      <w:r>
        <w:rPr>
          <w:spacing w:val="-3"/>
          <w:sz w:val="18"/>
        </w:rPr>
        <w:t xml:space="preserve"> </w:t>
      </w:r>
      <w:r>
        <w:rPr>
          <w:sz w:val="18"/>
        </w:rPr>
        <w:t>enacted</w:t>
      </w:r>
      <w:r>
        <w:rPr>
          <w:spacing w:val="-3"/>
          <w:sz w:val="18"/>
        </w:rPr>
        <w:t xml:space="preserve"> </w:t>
      </w:r>
      <w:r>
        <w:rPr>
          <w:sz w:val="18"/>
        </w:rPr>
        <w:t>in</w:t>
      </w:r>
      <w:r>
        <w:rPr>
          <w:spacing w:val="-3"/>
          <w:sz w:val="18"/>
        </w:rPr>
        <w:t xml:space="preserve"> </w:t>
      </w:r>
      <w:r>
        <w:rPr>
          <w:sz w:val="18"/>
        </w:rPr>
        <w:t>advance</w:t>
      </w:r>
      <w:r>
        <w:rPr>
          <w:spacing w:val="-3"/>
          <w:sz w:val="18"/>
        </w:rPr>
        <w:t xml:space="preserve"> </w:t>
      </w:r>
      <w:r>
        <w:rPr>
          <w:sz w:val="18"/>
        </w:rPr>
        <w:t>of</w:t>
      </w:r>
      <w:r>
        <w:rPr>
          <w:spacing w:val="-2"/>
          <w:sz w:val="18"/>
        </w:rPr>
        <w:t xml:space="preserve"> </w:t>
      </w:r>
      <w:r>
        <w:rPr>
          <w:sz w:val="18"/>
        </w:rPr>
        <w:t>new</w:t>
      </w:r>
      <w:r>
        <w:rPr>
          <w:spacing w:val="-1"/>
          <w:sz w:val="18"/>
        </w:rPr>
        <w:t xml:space="preserve"> </w:t>
      </w:r>
      <w:r>
        <w:rPr>
          <w:sz w:val="18"/>
        </w:rPr>
        <w:t>loan</w:t>
      </w:r>
      <w:r>
        <w:rPr>
          <w:spacing w:val="-3"/>
          <w:sz w:val="18"/>
        </w:rPr>
        <w:t xml:space="preserve"> </w:t>
      </w:r>
      <w:r>
        <w:rPr>
          <w:sz w:val="18"/>
        </w:rPr>
        <w:t>guarantee commitments made after on or after October 1, 1991. 2 U.S.C. § 661c(b). For revolving or other funds that otherwise would be available for these budget obligations, the Congress must enact a limit on the use of such funds for these purposes to make them available for use.</w:t>
      </w:r>
    </w:p>
    <w:p w14:paraId="0DFDB845" w14:textId="77777777" w:rsidR="00046465" w:rsidRDefault="008134EB">
      <w:pPr>
        <w:spacing w:before="122" w:line="242" w:lineRule="auto"/>
        <w:ind w:left="359" w:right="394"/>
        <w:rPr>
          <w:sz w:val="18"/>
        </w:rPr>
      </w:pPr>
      <w:r>
        <w:rPr>
          <w:position w:val="7"/>
          <w:sz w:val="14"/>
        </w:rPr>
        <w:t>21</w:t>
      </w:r>
      <w:r>
        <w:rPr>
          <w:sz w:val="18"/>
        </w:rPr>
        <w:t>Modifications are government actions that alter the estimated cost of an outstanding loan guarantee (or loan guarantee commitment) from the current estimate of cash flows. 2 U.S.C. § 661a(9). This includes the purchase of guaranteed loans, as well as any action resulting from new statutes, or from the exercise of</w:t>
      </w:r>
      <w:r>
        <w:rPr>
          <w:spacing w:val="40"/>
          <w:sz w:val="18"/>
        </w:rPr>
        <w:t xml:space="preserve"> </w:t>
      </w:r>
      <w:r>
        <w:rPr>
          <w:sz w:val="18"/>
        </w:rPr>
        <w:t>administrative discretion under existing law, that directly or indirectly alters the estimating cost of outstanding loan guarantees (or loan commitments) 2 U.S.C. § 661a(9). Thus</w:t>
      </w:r>
      <w:r>
        <w:rPr>
          <w:i/>
          <w:sz w:val="18"/>
        </w:rPr>
        <w:t xml:space="preserve">, </w:t>
      </w:r>
      <w:r>
        <w:rPr>
          <w:sz w:val="18"/>
        </w:rPr>
        <w:t>a</w:t>
      </w:r>
      <w:r>
        <w:rPr>
          <w:spacing w:val="-1"/>
          <w:sz w:val="18"/>
        </w:rPr>
        <w:t xml:space="preserve"> </w:t>
      </w:r>
      <w:r>
        <w:rPr>
          <w:sz w:val="18"/>
        </w:rPr>
        <w:t>policy change</w:t>
      </w:r>
      <w:r>
        <w:rPr>
          <w:spacing w:val="-1"/>
          <w:sz w:val="18"/>
        </w:rPr>
        <w:t xml:space="preserve"> </w:t>
      </w:r>
      <w:r>
        <w:rPr>
          <w:sz w:val="18"/>
        </w:rPr>
        <w:t>affecting</w:t>
      </w:r>
      <w:r>
        <w:rPr>
          <w:spacing w:val="-1"/>
          <w:sz w:val="18"/>
        </w:rPr>
        <w:t xml:space="preserve"> </w:t>
      </w:r>
      <w:r>
        <w:rPr>
          <w:sz w:val="18"/>
        </w:rPr>
        <w:t>the repayment period</w:t>
      </w:r>
      <w:r>
        <w:rPr>
          <w:spacing w:val="-1"/>
          <w:sz w:val="18"/>
        </w:rPr>
        <w:t xml:space="preserve"> </w:t>
      </w:r>
      <w:r>
        <w:rPr>
          <w:sz w:val="18"/>
        </w:rPr>
        <w:t>or interest rate</w:t>
      </w:r>
      <w:r>
        <w:rPr>
          <w:spacing w:val="-1"/>
          <w:sz w:val="18"/>
        </w:rPr>
        <w:t xml:space="preserve"> </w:t>
      </w:r>
      <w:r>
        <w:rPr>
          <w:sz w:val="18"/>
        </w:rPr>
        <w:t>for a</w:t>
      </w:r>
      <w:r>
        <w:rPr>
          <w:spacing w:val="-1"/>
          <w:sz w:val="18"/>
        </w:rPr>
        <w:t xml:space="preserve"> </w:t>
      </w:r>
      <w:r>
        <w:rPr>
          <w:sz w:val="18"/>
        </w:rPr>
        <w:t>group</w:t>
      </w:r>
      <w:r>
        <w:rPr>
          <w:spacing w:val="-1"/>
          <w:sz w:val="18"/>
        </w:rPr>
        <w:t xml:space="preserve"> </w:t>
      </w:r>
      <w:r>
        <w:rPr>
          <w:sz w:val="18"/>
        </w:rPr>
        <w:t>of existing</w:t>
      </w:r>
      <w:r>
        <w:rPr>
          <w:spacing w:val="-1"/>
          <w:sz w:val="18"/>
        </w:rPr>
        <w:t xml:space="preserve"> </w:t>
      </w:r>
      <w:r>
        <w:rPr>
          <w:sz w:val="18"/>
        </w:rPr>
        <w:t>loans would</w:t>
      </w:r>
      <w:r>
        <w:rPr>
          <w:spacing w:val="-1"/>
          <w:sz w:val="18"/>
        </w:rPr>
        <w:t xml:space="preserve"> </w:t>
      </w:r>
      <w:r>
        <w:rPr>
          <w:sz w:val="18"/>
        </w:rPr>
        <w:t>constitute</w:t>
      </w:r>
      <w:r>
        <w:rPr>
          <w:spacing w:val="-1"/>
          <w:sz w:val="18"/>
        </w:rPr>
        <w:t xml:space="preserve"> </w:t>
      </w:r>
      <w:r>
        <w:rPr>
          <w:sz w:val="18"/>
        </w:rPr>
        <w:t>a</w:t>
      </w:r>
      <w:r>
        <w:rPr>
          <w:spacing w:val="-1"/>
          <w:sz w:val="18"/>
        </w:rPr>
        <w:t xml:space="preserve"> </w:t>
      </w:r>
      <w:r>
        <w:rPr>
          <w:sz w:val="18"/>
        </w:rPr>
        <w:t>modification, whereas changes within</w:t>
      </w:r>
      <w:r>
        <w:rPr>
          <w:spacing w:val="-1"/>
          <w:sz w:val="18"/>
        </w:rPr>
        <w:t xml:space="preserve"> </w:t>
      </w:r>
      <w:r>
        <w:rPr>
          <w:sz w:val="18"/>
        </w:rPr>
        <w:t>the terms of existing contracts or through other existing authorities would not be considered to be modifications. Also, “work outs” of individual loans, such as a change in the</w:t>
      </w:r>
      <w:r>
        <w:rPr>
          <w:spacing w:val="-3"/>
          <w:sz w:val="18"/>
        </w:rPr>
        <w:t xml:space="preserve"> </w:t>
      </w:r>
      <w:r>
        <w:rPr>
          <w:sz w:val="18"/>
        </w:rPr>
        <w:t>amount</w:t>
      </w:r>
      <w:r>
        <w:rPr>
          <w:spacing w:val="-2"/>
          <w:sz w:val="18"/>
        </w:rPr>
        <w:t xml:space="preserve"> </w:t>
      </w:r>
      <w:r>
        <w:rPr>
          <w:sz w:val="18"/>
        </w:rPr>
        <w:t>or</w:t>
      </w:r>
      <w:r>
        <w:rPr>
          <w:spacing w:val="-2"/>
          <w:sz w:val="18"/>
        </w:rPr>
        <w:t xml:space="preserve"> </w:t>
      </w:r>
      <w:r>
        <w:rPr>
          <w:sz w:val="18"/>
        </w:rPr>
        <w:t>timing</w:t>
      </w:r>
      <w:r>
        <w:rPr>
          <w:spacing w:val="-1"/>
          <w:sz w:val="18"/>
        </w:rPr>
        <w:t xml:space="preserve"> </w:t>
      </w:r>
      <w:r>
        <w:rPr>
          <w:sz w:val="18"/>
        </w:rPr>
        <w:t>of</w:t>
      </w:r>
      <w:r>
        <w:rPr>
          <w:spacing w:val="-2"/>
          <w:sz w:val="18"/>
        </w:rPr>
        <w:t xml:space="preserve"> </w:t>
      </w:r>
      <w:r>
        <w:rPr>
          <w:sz w:val="18"/>
        </w:rPr>
        <w:t>payments</w:t>
      </w:r>
      <w:r>
        <w:rPr>
          <w:spacing w:val="-2"/>
          <w:sz w:val="18"/>
        </w:rPr>
        <w:t xml:space="preserve"> </w:t>
      </w:r>
      <w:r>
        <w:rPr>
          <w:sz w:val="18"/>
        </w:rPr>
        <w:t>to</w:t>
      </w:r>
      <w:r>
        <w:rPr>
          <w:spacing w:val="-3"/>
          <w:sz w:val="18"/>
        </w:rPr>
        <w:t xml:space="preserve"> </w:t>
      </w:r>
      <w:r>
        <w:rPr>
          <w:sz w:val="18"/>
        </w:rPr>
        <w:t>be</w:t>
      </w:r>
      <w:r>
        <w:rPr>
          <w:spacing w:val="-3"/>
          <w:sz w:val="18"/>
        </w:rPr>
        <w:t xml:space="preserve"> </w:t>
      </w:r>
      <w:r>
        <w:rPr>
          <w:sz w:val="18"/>
        </w:rPr>
        <w:t>made,</w:t>
      </w:r>
      <w:r>
        <w:rPr>
          <w:spacing w:val="-2"/>
          <w:sz w:val="18"/>
        </w:rPr>
        <w:t xml:space="preserve"> </w:t>
      </w:r>
      <w:r>
        <w:rPr>
          <w:sz w:val="18"/>
        </w:rPr>
        <w:t>would</w:t>
      </w:r>
      <w:r>
        <w:rPr>
          <w:spacing w:val="-3"/>
          <w:sz w:val="18"/>
        </w:rPr>
        <w:t xml:space="preserve"> </w:t>
      </w:r>
      <w:r>
        <w:rPr>
          <w:sz w:val="18"/>
        </w:rPr>
        <w:t>not</w:t>
      </w:r>
      <w:r>
        <w:rPr>
          <w:spacing w:val="-2"/>
          <w:sz w:val="18"/>
        </w:rPr>
        <w:t xml:space="preserve"> </w:t>
      </w:r>
      <w:r>
        <w:rPr>
          <w:sz w:val="18"/>
        </w:rPr>
        <w:t>be</w:t>
      </w:r>
      <w:r>
        <w:rPr>
          <w:spacing w:val="-1"/>
          <w:sz w:val="18"/>
        </w:rPr>
        <w:t xml:space="preserve"> </w:t>
      </w:r>
      <w:r>
        <w:rPr>
          <w:sz w:val="18"/>
        </w:rPr>
        <w:t>considered</w:t>
      </w:r>
      <w:r>
        <w:rPr>
          <w:spacing w:val="-3"/>
          <w:sz w:val="18"/>
        </w:rPr>
        <w:t xml:space="preserve"> </w:t>
      </w:r>
      <w:r>
        <w:rPr>
          <w:sz w:val="18"/>
        </w:rPr>
        <w:t>modifications.</w:t>
      </w:r>
      <w:r>
        <w:rPr>
          <w:spacing w:val="-2"/>
          <w:sz w:val="18"/>
        </w:rPr>
        <w:t xml:space="preserve"> </w:t>
      </w:r>
      <w:r>
        <w:rPr>
          <w:sz w:val="18"/>
        </w:rPr>
        <w:t>The</w:t>
      </w:r>
      <w:r>
        <w:rPr>
          <w:spacing w:val="-1"/>
          <w:sz w:val="18"/>
        </w:rPr>
        <w:t xml:space="preserve"> </w:t>
      </w:r>
      <w:r>
        <w:rPr>
          <w:sz w:val="18"/>
        </w:rPr>
        <w:t>effects</w:t>
      </w:r>
      <w:r>
        <w:rPr>
          <w:spacing w:val="-2"/>
          <w:sz w:val="18"/>
        </w:rPr>
        <w:t xml:space="preserve"> </w:t>
      </w:r>
      <w:r>
        <w:rPr>
          <w:sz w:val="18"/>
        </w:rPr>
        <w:t>of</w:t>
      </w:r>
      <w:r>
        <w:rPr>
          <w:spacing w:val="-2"/>
          <w:sz w:val="18"/>
        </w:rPr>
        <w:t xml:space="preserve"> </w:t>
      </w:r>
      <w:r>
        <w:rPr>
          <w:sz w:val="18"/>
        </w:rPr>
        <w:t>these</w:t>
      </w:r>
      <w:r>
        <w:rPr>
          <w:spacing w:val="-3"/>
          <w:sz w:val="18"/>
        </w:rPr>
        <w:t xml:space="preserve"> </w:t>
      </w:r>
      <w:r>
        <w:rPr>
          <w:sz w:val="18"/>
        </w:rPr>
        <w:t>changes</w:t>
      </w:r>
      <w:r>
        <w:rPr>
          <w:spacing w:val="-2"/>
          <w:sz w:val="18"/>
        </w:rPr>
        <w:t xml:space="preserve"> </w:t>
      </w:r>
      <w:r>
        <w:rPr>
          <w:sz w:val="18"/>
        </w:rPr>
        <w:t>should</w:t>
      </w:r>
      <w:r>
        <w:rPr>
          <w:spacing w:val="-3"/>
          <w:sz w:val="18"/>
        </w:rPr>
        <w:t xml:space="preserve"> </w:t>
      </w:r>
      <w:r>
        <w:rPr>
          <w:sz w:val="18"/>
        </w:rPr>
        <w:t>be</w:t>
      </w:r>
      <w:r>
        <w:rPr>
          <w:spacing w:val="-3"/>
          <w:sz w:val="18"/>
        </w:rPr>
        <w:t xml:space="preserve"> </w:t>
      </w:r>
      <w:r>
        <w:rPr>
          <w:sz w:val="18"/>
        </w:rPr>
        <w:t>included</w:t>
      </w:r>
      <w:r>
        <w:rPr>
          <w:spacing w:val="-1"/>
          <w:sz w:val="18"/>
        </w:rPr>
        <w:t xml:space="preserve"> </w:t>
      </w:r>
      <w:r>
        <w:rPr>
          <w:sz w:val="18"/>
        </w:rPr>
        <w:t>in</w:t>
      </w:r>
      <w:r>
        <w:rPr>
          <w:spacing w:val="-3"/>
          <w:sz w:val="18"/>
        </w:rPr>
        <w:t xml:space="preserve"> </w:t>
      </w:r>
      <w:r>
        <w:rPr>
          <w:sz w:val="18"/>
        </w:rPr>
        <w:t>the</w:t>
      </w:r>
      <w:r>
        <w:rPr>
          <w:spacing w:val="-3"/>
          <w:sz w:val="18"/>
        </w:rPr>
        <w:t xml:space="preserve"> </w:t>
      </w:r>
      <w:r>
        <w:rPr>
          <w:sz w:val="18"/>
        </w:rPr>
        <w:t>annual</w:t>
      </w:r>
      <w:r>
        <w:rPr>
          <w:spacing w:val="-2"/>
          <w:sz w:val="18"/>
        </w:rPr>
        <w:t xml:space="preserve"> </w:t>
      </w:r>
      <w:r>
        <w:rPr>
          <w:sz w:val="18"/>
        </w:rPr>
        <w:t>reestimates</w:t>
      </w:r>
      <w:r>
        <w:rPr>
          <w:spacing w:val="-2"/>
          <w:sz w:val="18"/>
        </w:rPr>
        <w:t xml:space="preserve"> </w:t>
      </w:r>
      <w:r>
        <w:rPr>
          <w:sz w:val="18"/>
        </w:rPr>
        <w:t>of</w:t>
      </w:r>
      <w:r>
        <w:rPr>
          <w:spacing w:val="-2"/>
          <w:sz w:val="18"/>
        </w:rPr>
        <w:t xml:space="preserve"> </w:t>
      </w:r>
      <w:r>
        <w:rPr>
          <w:sz w:val="18"/>
        </w:rPr>
        <w:t>the estimated net present value of the obligations. Permanent indefinite authority is provided by FCRA for these reestimates. 2 U.S.C. § 661c(f).</w:t>
      </w:r>
    </w:p>
    <w:p w14:paraId="0DFDB846" w14:textId="77777777" w:rsidR="00046465" w:rsidRDefault="008134EB">
      <w:pPr>
        <w:spacing w:before="118" w:line="249" w:lineRule="auto"/>
        <w:ind w:left="359" w:right="422"/>
        <w:rPr>
          <w:sz w:val="18"/>
        </w:rPr>
      </w:pPr>
      <w:r>
        <w:rPr>
          <w:position w:val="7"/>
          <w:sz w:val="14"/>
        </w:rPr>
        <w:t>22</w:t>
      </w:r>
      <w:r>
        <w:rPr>
          <w:sz w:val="18"/>
        </w:rPr>
        <w:t>Prior</w:t>
      </w:r>
      <w:r>
        <w:rPr>
          <w:spacing w:val="-2"/>
          <w:sz w:val="18"/>
        </w:rPr>
        <w:t xml:space="preserve"> </w:t>
      </w:r>
      <w:r>
        <w:rPr>
          <w:sz w:val="18"/>
        </w:rPr>
        <w:t>to</w:t>
      </w:r>
      <w:r>
        <w:rPr>
          <w:spacing w:val="-3"/>
          <w:sz w:val="18"/>
        </w:rPr>
        <w:t xml:space="preserve"> </w:t>
      </w:r>
      <w:r>
        <w:rPr>
          <w:sz w:val="18"/>
        </w:rPr>
        <w:t>performing</w:t>
      </w:r>
      <w:r>
        <w:rPr>
          <w:spacing w:val="-3"/>
          <w:sz w:val="18"/>
        </w:rPr>
        <w:t xml:space="preserve"> </w:t>
      </w:r>
      <w:r>
        <w:rPr>
          <w:sz w:val="18"/>
        </w:rPr>
        <w:t>control</w:t>
      </w:r>
      <w:r>
        <w:rPr>
          <w:spacing w:val="-2"/>
          <w:sz w:val="18"/>
        </w:rPr>
        <w:t xml:space="preserve"> </w:t>
      </w:r>
      <w:r>
        <w:rPr>
          <w:sz w:val="18"/>
        </w:rPr>
        <w:t>or</w:t>
      </w:r>
      <w:r>
        <w:rPr>
          <w:spacing w:val="-1"/>
          <w:sz w:val="18"/>
        </w:rPr>
        <w:t xml:space="preserve"> </w:t>
      </w:r>
      <w:r>
        <w:rPr>
          <w:sz w:val="18"/>
        </w:rPr>
        <w:t>compliance</w:t>
      </w:r>
      <w:r>
        <w:rPr>
          <w:spacing w:val="-3"/>
          <w:sz w:val="18"/>
        </w:rPr>
        <w:t xml:space="preserve"> </w:t>
      </w:r>
      <w:r>
        <w:rPr>
          <w:sz w:val="18"/>
        </w:rPr>
        <w:t>tests,</w:t>
      </w:r>
      <w:r>
        <w:rPr>
          <w:spacing w:val="-2"/>
          <w:sz w:val="18"/>
        </w:rPr>
        <w:t xml:space="preserve"> </w:t>
      </w:r>
      <w:r>
        <w:rPr>
          <w:sz w:val="18"/>
        </w:rPr>
        <w:t>the</w:t>
      </w:r>
      <w:r>
        <w:rPr>
          <w:spacing w:val="-3"/>
          <w:sz w:val="18"/>
        </w:rPr>
        <w:t xml:space="preserve"> </w:t>
      </w:r>
      <w:r>
        <w:rPr>
          <w:sz w:val="18"/>
        </w:rPr>
        <w:t>auditor</w:t>
      </w:r>
      <w:r>
        <w:rPr>
          <w:spacing w:val="-1"/>
          <w:sz w:val="18"/>
        </w:rPr>
        <w:t xml:space="preserve"> </w:t>
      </w:r>
      <w:r>
        <w:rPr>
          <w:sz w:val="18"/>
        </w:rPr>
        <w:t>should</w:t>
      </w:r>
      <w:r>
        <w:rPr>
          <w:spacing w:val="-3"/>
          <w:sz w:val="18"/>
        </w:rPr>
        <w:t xml:space="preserve"> </w:t>
      </w:r>
      <w:r>
        <w:rPr>
          <w:sz w:val="18"/>
        </w:rPr>
        <w:t>discuss</w:t>
      </w:r>
      <w:r>
        <w:rPr>
          <w:spacing w:val="-2"/>
          <w:sz w:val="18"/>
        </w:rPr>
        <w:t xml:space="preserve"> </w:t>
      </w:r>
      <w:r>
        <w:rPr>
          <w:sz w:val="18"/>
        </w:rPr>
        <w:t>with</w:t>
      </w:r>
      <w:r>
        <w:rPr>
          <w:spacing w:val="-3"/>
          <w:sz w:val="18"/>
        </w:rPr>
        <w:t xml:space="preserve"> </w:t>
      </w:r>
      <w:r>
        <w:rPr>
          <w:sz w:val="18"/>
        </w:rPr>
        <w:t>OGC</w:t>
      </w:r>
      <w:r>
        <w:rPr>
          <w:spacing w:val="-2"/>
          <w:sz w:val="18"/>
        </w:rPr>
        <w:t xml:space="preserve"> </w:t>
      </w:r>
      <w:r>
        <w:rPr>
          <w:sz w:val="18"/>
        </w:rPr>
        <w:t>the</w:t>
      </w:r>
      <w:r>
        <w:rPr>
          <w:spacing w:val="-3"/>
          <w:sz w:val="18"/>
        </w:rPr>
        <w:t xml:space="preserve"> </w:t>
      </w:r>
      <w:r>
        <w:rPr>
          <w:sz w:val="18"/>
        </w:rPr>
        <w:t>applicability</w:t>
      </w:r>
      <w:r>
        <w:rPr>
          <w:spacing w:val="-2"/>
          <w:sz w:val="18"/>
        </w:rPr>
        <w:t xml:space="preserve"> </w:t>
      </w:r>
      <w:r>
        <w:rPr>
          <w:sz w:val="18"/>
        </w:rPr>
        <w:t>of</w:t>
      </w:r>
      <w:r>
        <w:rPr>
          <w:spacing w:val="-1"/>
          <w:sz w:val="18"/>
        </w:rPr>
        <w:t xml:space="preserve"> </w:t>
      </w:r>
      <w:r>
        <w:rPr>
          <w:sz w:val="18"/>
        </w:rPr>
        <w:t>this</w:t>
      </w:r>
      <w:r>
        <w:rPr>
          <w:spacing w:val="-2"/>
          <w:sz w:val="18"/>
        </w:rPr>
        <w:t xml:space="preserve"> </w:t>
      </w:r>
      <w:r>
        <w:rPr>
          <w:sz w:val="18"/>
        </w:rPr>
        <w:t>budget</w:t>
      </w:r>
      <w:r>
        <w:rPr>
          <w:spacing w:val="-2"/>
          <w:sz w:val="18"/>
        </w:rPr>
        <w:t xml:space="preserve"> </w:t>
      </w:r>
      <w:r>
        <w:rPr>
          <w:sz w:val="18"/>
        </w:rPr>
        <w:t>restriction</w:t>
      </w:r>
      <w:r>
        <w:rPr>
          <w:spacing w:val="-3"/>
          <w:sz w:val="18"/>
        </w:rPr>
        <w:t xml:space="preserve"> </w:t>
      </w:r>
      <w:r>
        <w:rPr>
          <w:sz w:val="18"/>
        </w:rPr>
        <w:t>related</w:t>
      </w:r>
      <w:r>
        <w:rPr>
          <w:spacing w:val="-1"/>
          <w:sz w:val="18"/>
        </w:rPr>
        <w:t xml:space="preserve"> </w:t>
      </w:r>
      <w:r>
        <w:rPr>
          <w:sz w:val="18"/>
        </w:rPr>
        <w:t>to</w:t>
      </w:r>
      <w:r>
        <w:rPr>
          <w:spacing w:val="-3"/>
          <w:sz w:val="18"/>
        </w:rPr>
        <w:t xml:space="preserve"> </w:t>
      </w:r>
      <w:r>
        <w:rPr>
          <w:sz w:val="18"/>
        </w:rPr>
        <w:t>modification</w:t>
      </w:r>
      <w:r>
        <w:rPr>
          <w:spacing w:val="-1"/>
          <w:sz w:val="18"/>
        </w:rPr>
        <w:t xml:space="preserve"> </w:t>
      </w:r>
      <w:r>
        <w:rPr>
          <w:sz w:val="18"/>
        </w:rPr>
        <w:t>of</w:t>
      </w:r>
      <w:r>
        <w:rPr>
          <w:spacing w:val="-2"/>
          <w:sz w:val="18"/>
        </w:rPr>
        <w:t xml:space="preserve"> </w:t>
      </w:r>
      <w:r>
        <w:rPr>
          <w:sz w:val="18"/>
        </w:rPr>
        <w:t>loan guarantees or loan guarantee commitments that were outstanding prior to October 1, 1991.</w:t>
      </w:r>
    </w:p>
    <w:p w14:paraId="0DFDB847" w14:textId="77777777" w:rsidR="00046465" w:rsidRDefault="008134EB">
      <w:pPr>
        <w:spacing w:before="118" w:line="242" w:lineRule="auto"/>
        <w:ind w:left="359" w:right="422"/>
        <w:rPr>
          <w:sz w:val="18"/>
        </w:rPr>
      </w:pPr>
      <w:r>
        <w:rPr>
          <w:position w:val="7"/>
          <w:sz w:val="14"/>
        </w:rPr>
        <w:t>23</w:t>
      </w:r>
      <w:r>
        <w:rPr>
          <w:sz w:val="18"/>
        </w:rPr>
        <w:t>The</w:t>
      </w:r>
      <w:r>
        <w:rPr>
          <w:spacing w:val="-1"/>
          <w:sz w:val="18"/>
        </w:rPr>
        <w:t xml:space="preserve"> </w:t>
      </w:r>
      <w:r>
        <w:rPr>
          <w:sz w:val="18"/>
        </w:rPr>
        <w:t>auditor should</w:t>
      </w:r>
      <w:r>
        <w:rPr>
          <w:spacing w:val="-1"/>
          <w:sz w:val="18"/>
        </w:rPr>
        <w:t xml:space="preserve"> </w:t>
      </w:r>
      <w:r>
        <w:rPr>
          <w:sz w:val="18"/>
        </w:rPr>
        <w:t>determine the</w:t>
      </w:r>
      <w:r>
        <w:rPr>
          <w:spacing w:val="-1"/>
          <w:sz w:val="18"/>
        </w:rPr>
        <w:t xml:space="preserve"> </w:t>
      </w:r>
      <w:r>
        <w:rPr>
          <w:sz w:val="18"/>
        </w:rPr>
        <w:t>results of the</w:t>
      </w:r>
      <w:r>
        <w:rPr>
          <w:spacing w:val="-1"/>
          <w:sz w:val="18"/>
        </w:rPr>
        <w:t xml:space="preserve"> </w:t>
      </w:r>
      <w:r>
        <w:rPr>
          <w:sz w:val="18"/>
        </w:rPr>
        <w:t>evaluation</w:t>
      </w:r>
      <w:r>
        <w:rPr>
          <w:spacing w:val="-1"/>
          <w:sz w:val="18"/>
        </w:rPr>
        <w:t xml:space="preserve"> </w:t>
      </w:r>
      <w:r>
        <w:rPr>
          <w:sz w:val="18"/>
        </w:rPr>
        <w:t>and</w:t>
      </w:r>
      <w:r>
        <w:rPr>
          <w:spacing w:val="-1"/>
          <w:sz w:val="18"/>
        </w:rPr>
        <w:t xml:space="preserve"> </w:t>
      </w:r>
      <w:r>
        <w:rPr>
          <w:sz w:val="18"/>
        </w:rPr>
        <w:t>testing of budget controls and</w:t>
      </w:r>
      <w:r>
        <w:rPr>
          <w:spacing w:val="-1"/>
          <w:sz w:val="18"/>
        </w:rPr>
        <w:t xml:space="preserve"> </w:t>
      </w:r>
      <w:r>
        <w:rPr>
          <w:sz w:val="18"/>
        </w:rPr>
        <w:t>testing</w:t>
      </w:r>
      <w:r>
        <w:rPr>
          <w:spacing w:val="-1"/>
          <w:sz w:val="18"/>
        </w:rPr>
        <w:t xml:space="preserve"> </w:t>
      </w:r>
      <w:r>
        <w:rPr>
          <w:sz w:val="18"/>
        </w:rPr>
        <w:t>of the</w:t>
      </w:r>
      <w:r>
        <w:rPr>
          <w:spacing w:val="-1"/>
          <w:sz w:val="18"/>
        </w:rPr>
        <w:t xml:space="preserve"> </w:t>
      </w:r>
      <w:r>
        <w:rPr>
          <w:sz w:val="18"/>
        </w:rPr>
        <w:t>Statement of Budgetary Resources. These</w:t>
      </w:r>
      <w:r>
        <w:rPr>
          <w:spacing w:val="-1"/>
          <w:sz w:val="18"/>
        </w:rPr>
        <w:t xml:space="preserve"> </w:t>
      </w:r>
      <w:r>
        <w:rPr>
          <w:sz w:val="18"/>
        </w:rPr>
        <w:t>controls relate to the execution of budget authority and usually are the same controls that are used to comply with the Antideficiency Act and FCRA. Accordingly, additional consideration of controls that achieve the compliance objective generally is not necessary if the auditor has assessed whether the entity achieves all of the budget control</w:t>
      </w:r>
      <w:r>
        <w:rPr>
          <w:spacing w:val="-2"/>
          <w:sz w:val="18"/>
        </w:rPr>
        <w:t xml:space="preserve"> </w:t>
      </w:r>
      <w:r>
        <w:rPr>
          <w:sz w:val="18"/>
        </w:rPr>
        <w:t>objectives</w:t>
      </w:r>
      <w:r>
        <w:rPr>
          <w:spacing w:val="-2"/>
          <w:sz w:val="18"/>
        </w:rPr>
        <w:t xml:space="preserve"> </w:t>
      </w:r>
      <w:r>
        <w:rPr>
          <w:sz w:val="18"/>
        </w:rPr>
        <w:t>listed</w:t>
      </w:r>
      <w:r>
        <w:rPr>
          <w:spacing w:val="-3"/>
          <w:sz w:val="18"/>
        </w:rPr>
        <w:t xml:space="preserve"> </w:t>
      </w:r>
      <w:r>
        <w:rPr>
          <w:sz w:val="18"/>
        </w:rPr>
        <w:t>in</w:t>
      </w:r>
      <w:r>
        <w:rPr>
          <w:spacing w:val="-3"/>
          <w:sz w:val="18"/>
        </w:rPr>
        <w:t xml:space="preserve"> </w:t>
      </w:r>
      <w:r>
        <w:rPr>
          <w:sz w:val="18"/>
        </w:rPr>
        <w:t>FAM</w:t>
      </w:r>
      <w:r>
        <w:rPr>
          <w:spacing w:val="-2"/>
          <w:sz w:val="18"/>
        </w:rPr>
        <w:t xml:space="preserve"> </w:t>
      </w:r>
      <w:r>
        <w:rPr>
          <w:sz w:val="18"/>
        </w:rPr>
        <w:t>395</w:t>
      </w:r>
      <w:r>
        <w:rPr>
          <w:spacing w:val="-3"/>
          <w:sz w:val="18"/>
        </w:rPr>
        <w:t xml:space="preserve"> </w:t>
      </w:r>
      <w:r>
        <w:rPr>
          <w:sz w:val="18"/>
        </w:rPr>
        <w:t>F,</w:t>
      </w:r>
      <w:r>
        <w:rPr>
          <w:spacing w:val="-2"/>
          <w:sz w:val="18"/>
        </w:rPr>
        <w:t xml:space="preserve"> </w:t>
      </w:r>
      <w:r>
        <w:rPr>
          <w:sz w:val="18"/>
        </w:rPr>
        <w:t>Budget</w:t>
      </w:r>
      <w:r>
        <w:rPr>
          <w:spacing w:val="-2"/>
          <w:sz w:val="18"/>
        </w:rPr>
        <w:t xml:space="preserve"> </w:t>
      </w:r>
      <w:r>
        <w:rPr>
          <w:sz w:val="18"/>
        </w:rPr>
        <w:t>Control</w:t>
      </w:r>
      <w:r>
        <w:rPr>
          <w:spacing w:val="-2"/>
          <w:sz w:val="18"/>
        </w:rPr>
        <w:t xml:space="preserve"> </w:t>
      </w:r>
      <w:r>
        <w:rPr>
          <w:sz w:val="18"/>
        </w:rPr>
        <w:t>Objective,</w:t>
      </w:r>
      <w:r>
        <w:rPr>
          <w:spacing w:val="-2"/>
          <w:sz w:val="18"/>
        </w:rPr>
        <w:t xml:space="preserve"> </w:t>
      </w:r>
      <w:r>
        <w:rPr>
          <w:sz w:val="18"/>
        </w:rPr>
        <w:t>including</w:t>
      </w:r>
      <w:r>
        <w:rPr>
          <w:spacing w:val="-1"/>
          <w:sz w:val="18"/>
        </w:rPr>
        <w:t xml:space="preserve"> </w:t>
      </w:r>
      <w:r>
        <w:rPr>
          <w:sz w:val="18"/>
        </w:rPr>
        <w:t>the</w:t>
      </w:r>
      <w:r>
        <w:rPr>
          <w:spacing w:val="-3"/>
          <w:sz w:val="18"/>
        </w:rPr>
        <w:t xml:space="preserve"> </w:t>
      </w:r>
      <w:r>
        <w:rPr>
          <w:sz w:val="18"/>
        </w:rPr>
        <w:t>supplemental</w:t>
      </w:r>
      <w:r>
        <w:rPr>
          <w:spacing w:val="-2"/>
          <w:sz w:val="18"/>
        </w:rPr>
        <w:t xml:space="preserve"> </w:t>
      </w:r>
      <w:r>
        <w:rPr>
          <w:sz w:val="18"/>
        </w:rPr>
        <w:t>control</w:t>
      </w:r>
      <w:r>
        <w:rPr>
          <w:spacing w:val="-2"/>
          <w:sz w:val="18"/>
        </w:rPr>
        <w:t xml:space="preserve"> </w:t>
      </w:r>
      <w:r>
        <w:rPr>
          <w:sz w:val="18"/>
        </w:rPr>
        <w:t>objectives</w:t>
      </w:r>
      <w:r>
        <w:rPr>
          <w:spacing w:val="-2"/>
          <w:sz w:val="18"/>
        </w:rPr>
        <w:t xml:space="preserve"> </w:t>
      </w:r>
      <w:r>
        <w:rPr>
          <w:sz w:val="18"/>
        </w:rPr>
        <w:t>for</w:t>
      </w:r>
      <w:r>
        <w:rPr>
          <w:spacing w:val="-2"/>
          <w:sz w:val="18"/>
        </w:rPr>
        <w:t xml:space="preserve"> </w:t>
      </w:r>
      <w:r>
        <w:rPr>
          <w:sz w:val="18"/>
        </w:rPr>
        <w:t>FCRA.</w:t>
      </w:r>
      <w:r>
        <w:rPr>
          <w:spacing w:val="-2"/>
          <w:sz w:val="18"/>
        </w:rPr>
        <w:t xml:space="preserve"> </w:t>
      </w:r>
      <w:r>
        <w:rPr>
          <w:sz w:val="18"/>
        </w:rPr>
        <w:t>The</w:t>
      </w:r>
      <w:r>
        <w:rPr>
          <w:spacing w:val="-1"/>
          <w:sz w:val="18"/>
        </w:rPr>
        <w:t xml:space="preserve"> </w:t>
      </w:r>
      <w:r>
        <w:rPr>
          <w:sz w:val="18"/>
        </w:rPr>
        <w:t>auditor</w:t>
      </w:r>
      <w:r>
        <w:rPr>
          <w:spacing w:val="-2"/>
          <w:sz w:val="18"/>
        </w:rPr>
        <w:t xml:space="preserve"> </w:t>
      </w:r>
      <w:r>
        <w:rPr>
          <w:sz w:val="18"/>
        </w:rPr>
        <w:t>should</w:t>
      </w:r>
      <w:r>
        <w:rPr>
          <w:spacing w:val="-3"/>
          <w:sz w:val="18"/>
        </w:rPr>
        <w:t xml:space="preserve"> </w:t>
      </w:r>
      <w:r>
        <w:rPr>
          <w:sz w:val="18"/>
        </w:rPr>
        <w:t>refer</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budget</w:t>
      </w:r>
      <w:r>
        <w:rPr>
          <w:spacing w:val="-2"/>
          <w:sz w:val="18"/>
        </w:rPr>
        <w:t xml:space="preserve"> </w:t>
      </w:r>
      <w:r>
        <w:rPr>
          <w:sz w:val="18"/>
        </w:rPr>
        <w:t>control evaluation and testing and perform any additional procedures considered necessary to conclude on whether compliance controls are effective.</w:t>
      </w:r>
    </w:p>
    <w:p w14:paraId="0DFDB848" w14:textId="77777777" w:rsidR="00046465" w:rsidRDefault="00046465">
      <w:pPr>
        <w:spacing w:line="242" w:lineRule="auto"/>
        <w:rPr>
          <w:sz w:val="18"/>
        </w:rPr>
        <w:sectPr w:rsidR="00046465">
          <w:pgSz w:w="15840" w:h="12240" w:orient="landscape"/>
          <w:pgMar w:top="1380" w:right="1080" w:bottom="940" w:left="720" w:header="721" w:footer="742" w:gutter="0"/>
          <w:cols w:space="720"/>
        </w:sectPr>
      </w:pPr>
    </w:p>
    <w:p w14:paraId="0DFDB849" w14:textId="77777777" w:rsidR="00046465" w:rsidRDefault="008134EB">
      <w:pPr>
        <w:spacing w:line="44" w:lineRule="exact"/>
        <w:ind w:left="330"/>
        <w:rPr>
          <w:sz w:val="4"/>
        </w:rPr>
      </w:pPr>
      <w:r>
        <w:rPr>
          <w:noProof/>
          <w:sz w:val="4"/>
        </w:rPr>
        <w:lastRenderedPageBreak/>
        <mc:AlternateContent>
          <mc:Choice Requires="wpg">
            <w:drawing>
              <wp:inline distT="0" distB="0" distL="0" distR="0" wp14:anchorId="0DFDD62D" wp14:editId="0DFDD62E">
                <wp:extent cx="5981700" cy="28575"/>
                <wp:effectExtent l="0" t="0" r="0" b="0"/>
                <wp:docPr id="588"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0" cy="28575"/>
                          <a:chOff x="0" y="0"/>
                          <a:chExt cx="5981700" cy="28575"/>
                        </a:xfrm>
                      </wpg:grpSpPr>
                      <wps:wsp>
                        <wps:cNvPr id="589" name="Graphic 589"/>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1106636" id="Group 588" o:spid="_x0000_s1026" style="width:471pt;height:2.25pt;mso-position-horizontal-relative:char;mso-position-vertical-relative:line" coordsize="5981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">
                <v:shape id="Graphic 589" o:spid="_x0000_s1027" style="position:absolute;width:59817;height:285;visibility:visible;mso-wrap-style:square;v-text-anchor:top" coordsize="59817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" path="m5981700,l,,,28194r5981700,l5981700,xe" fillcolor="black" stroked="f">
                  <v:path arrowok="t"/>
                </v:shape>
                <w10:anchorlock/>
              </v:group>
            </w:pict>
          </mc:Fallback>
        </mc:AlternateContent>
      </w:r>
    </w:p>
    <w:p w14:paraId="0DFDB84A" w14:textId="77777777" w:rsidR="00046465" w:rsidRDefault="008134EB">
      <w:pPr>
        <w:spacing w:before="166"/>
        <w:ind w:left="360" w:right="372"/>
        <w:rPr>
          <w:sz w:val="20"/>
        </w:rPr>
      </w:pPr>
      <w:r>
        <w:rPr>
          <w:sz w:val="20"/>
        </w:rPr>
        <w:t>Note:</w:t>
      </w:r>
      <w:r>
        <w:rPr>
          <w:spacing w:val="-3"/>
          <w:sz w:val="20"/>
        </w:rPr>
        <w:t xml:space="preserve"> </w:t>
      </w:r>
      <w:r>
        <w:rPr>
          <w:sz w:val="20"/>
        </w:rPr>
        <w:t>The</w:t>
      </w:r>
      <w:r>
        <w:rPr>
          <w:spacing w:val="-3"/>
          <w:sz w:val="20"/>
        </w:rPr>
        <w:t xml:space="preserve"> </w:t>
      </w:r>
      <w:r>
        <w:rPr>
          <w:sz w:val="20"/>
        </w:rPr>
        <w:t>auditor</w:t>
      </w:r>
      <w:r>
        <w:rPr>
          <w:spacing w:val="-3"/>
          <w:sz w:val="20"/>
        </w:rPr>
        <w:t xml:space="preserve"> </w:t>
      </w:r>
      <w:r>
        <w:rPr>
          <w:sz w:val="20"/>
        </w:rPr>
        <w:t>generally</w:t>
      </w:r>
      <w:r>
        <w:rPr>
          <w:spacing w:val="-2"/>
          <w:sz w:val="20"/>
        </w:rPr>
        <w:t xml:space="preserve"> </w:t>
      </w:r>
      <w:r>
        <w:rPr>
          <w:sz w:val="20"/>
        </w:rPr>
        <w:t>should</w:t>
      </w:r>
      <w:r>
        <w:rPr>
          <w:spacing w:val="-3"/>
          <w:sz w:val="20"/>
        </w:rPr>
        <w:t xml:space="preserve"> </w:t>
      </w:r>
      <w:r>
        <w:rPr>
          <w:sz w:val="20"/>
        </w:rPr>
        <w:t>perform</w:t>
      </w:r>
      <w:r>
        <w:rPr>
          <w:spacing w:val="-3"/>
          <w:sz w:val="20"/>
        </w:rPr>
        <w:t xml:space="preserve"> </w:t>
      </w:r>
      <w:r>
        <w:rPr>
          <w:sz w:val="20"/>
        </w:rPr>
        <w:t>these</w:t>
      </w:r>
      <w:r>
        <w:rPr>
          <w:spacing w:val="-3"/>
          <w:sz w:val="20"/>
        </w:rPr>
        <w:t xml:space="preserve"> </w:t>
      </w:r>
      <w:r>
        <w:rPr>
          <w:sz w:val="20"/>
        </w:rPr>
        <w:t>procedures</w:t>
      </w:r>
      <w:r>
        <w:rPr>
          <w:spacing w:val="-2"/>
          <w:sz w:val="20"/>
        </w:rPr>
        <w:t xml:space="preserve"> </w:t>
      </w:r>
      <w:r>
        <w:rPr>
          <w:sz w:val="20"/>
        </w:rPr>
        <w:t>or</w:t>
      </w:r>
      <w:r>
        <w:rPr>
          <w:spacing w:val="-2"/>
          <w:sz w:val="20"/>
        </w:rPr>
        <w:t xml:space="preserve"> </w:t>
      </w:r>
      <w:r>
        <w:rPr>
          <w:sz w:val="20"/>
        </w:rPr>
        <w:t>prepare</w:t>
      </w:r>
      <w:r>
        <w:rPr>
          <w:spacing w:val="-3"/>
          <w:sz w:val="20"/>
        </w:rPr>
        <w:t xml:space="preserve"> </w:t>
      </w:r>
      <w:r>
        <w:rPr>
          <w:sz w:val="20"/>
        </w:rPr>
        <w:t>equivalent</w:t>
      </w:r>
      <w:r>
        <w:rPr>
          <w:spacing w:val="-3"/>
          <w:sz w:val="20"/>
        </w:rPr>
        <w:t xml:space="preserve"> </w:t>
      </w:r>
      <w:r>
        <w:rPr>
          <w:sz w:val="20"/>
        </w:rPr>
        <w:t>documentation</w:t>
      </w:r>
      <w:r>
        <w:rPr>
          <w:spacing w:val="-3"/>
          <w:sz w:val="20"/>
        </w:rPr>
        <w:t xml:space="preserve"> </w:t>
      </w:r>
      <w:r>
        <w:rPr>
          <w:sz w:val="20"/>
        </w:rPr>
        <w:t>only</w:t>
      </w:r>
      <w:r>
        <w:rPr>
          <w:spacing w:val="-2"/>
          <w:sz w:val="20"/>
        </w:rPr>
        <w:t xml:space="preserve"> </w:t>
      </w:r>
      <w:r>
        <w:rPr>
          <w:sz w:val="20"/>
        </w:rPr>
        <w:t xml:space="preserve">if provisions of the Federal Credit Reform Act of 1990 (FCRA), as provided in 2 U.S.C. §§ 661–661f, are significant, as indicated on Form 802, General Compliance Checklist. These procedures test compliance with the provisions listed on the Compliance Summary. OMB guidance on FCRA programs is included in OMB Circular No. A-11, </w:t>
      </w:r>
      <w:r>
        <w:rPr>
          <w:i/>
          <w:sz w:val="20"/>
        </w:rPr>
        <w:t xml:space="preserve">Preparing, Submitting, and Executing the Budget, </w:t>
      </w:r>
      <w:r>
        <w:rPr>
          <w:sz w:val="20"/>
        </w:rPr>
        <w:t xml:space="preserve">part 5, </w:t>
      </w:r>
      <w:r>
        <w:rPr>
          <w:i/>
          <w:sz w:val="20"/>
        </w:rPr>
        <w:t>Federal Credit</w:t>
      </w:r>
      <w:r>
        <w:rPr>
          <w:sz w:val="20"/>
        </w:rPr>
        <w:t>.</w:t>
      </w:r>
    </w:p>
    <w:p w14:paraId="0DFDB84B" w14:textId="77777777" w:rsidR="00046465" w:rsidRDefault="00046465">
      <w:pPr>
        <w:pStyle w:val="BodyText"/>
        <w:rPr>
          <w:sz w:val="20"/>
        </w:rPr>
      </w:pPr>
    </w:p>
    <w:p w14:paraId="0DFDB84C" w14:textId="77777777" w:rsidR="00046465" w:rsidRDefault="00046465">
      <w:pPr>
        <w:pStyle w:val="BodyText"/>
        <w:spacing w:before="71"/>
        <w:rPr>
          <w:sz w:val="20"/>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840"/>
        <w:gridCol w:w="1200"/>
        <w:gridCol w:w="1410"/>
      </w:tblGrid>
      <w:tr w:rsidR="00046465" w14:paraId="0DFDB84E" w14:textId="77777777">
        <w:trPr>
          <w:trHeight w:val="1335"/>
        </w:trPr>
        <w:tc>
          <w:tcPr>
            <w:tcW w:w="9450" w:type="dxa"/>
            <w:gridSpan w:val="3"/>
          </w:tcPr>
          <w:p w14:paraId="0DFDB84D" w14:textId="77777777" w:rsidR="00046465" w:rsidRDefault="008134EB">
            <w:pPr>
              <w:pStyle w:val="TableParagraph"/>
              <w:tabs>
                <w:tab w:val="left" w:pos="8699"/>
              </w:tabs>
              <w:spacing w:before="7" w:line="390" w:lineRule="atLeast"/>
              <w:ind w:left="129" w:right="703"/>
              <w:jc w:val="both"/>
            </w:pPr>
            <w:r>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854" w14:textId="77777777">
        <w:trPr>
          <w:trHeight w:val="793"/>
        </w:trPr>
        <w:tc>
          <w:tcPr>
            <w:tcW w:w="6840" w:type="dxa"/>
            <w:tcBorders>
              <w:right w:val="single" w:sz="6" w:space="0" w:color="000000"/>
            </w:tcBorders>
          </w:tcPr>
          <w:p w14:paraId="0DFDB84F" w14:textId="77777777" w:rsidR="00046465" w:rsidRDefault="00046465">
            <w:pPr>
              <w:pStyle w:val="TableParagraph"/>
              <w:spacing w:before="144"/>
            </w:pPr>
          </w:p>
          <w:p w14:paraId="0DFDB850"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200" w:type="dxa"/>
            <w:tcBorders>
              <w:left w:val="single" w:sz="6" w:space="0" w:color="000000"/>
              <w:right w:val="single" w:sz="6" w:space="0" w:color="000000"/>
            </w:tcBorders>
          </w:tcPr>
          <w:p w14:paraId="0DFDB851" w14:textId="77777777" w:rsidR="00046465" w:rsidRDefault="008134EB">
            <w:pPr>
              <w:pStyle w:val="TableParagraph"/>
              <w:spacing w:before="144"/>
              <w:ind w:left="144"/>
              <w:rPr>
                <w:b/>
              </w:rPr>
            </w:pPr>
            <w:r>
              <w:rPr>
                <w:b/>
                <w:spacing w:val="-2"/>
              </w:rPr>
              <w:t xml:space="preserve">Initials/ </w:t>
            </w:r>
            <w:r>
              <w:rPr>
                <w:b/>
                <w:spacing w:val="-4"/>
              </w:rPr>
              <w:t>date</w:t>
            </w:r>
          </w:p>
        </w:tc>
        <w:tc>
          <w:tcPr>
            <w:tcW w:w="1410" w:type="dxa"/>
            <w:tcBorders>
              <w:left w:val="single" w:sz="6" w:space="0" w:color="000000"/>
            </w:tcBorders>
          </w:tcPr>
          <w:p w14:paraId="0DFDB852" w14:textId="77777777" w:rsidR="00046465" w:rsidRDefault="00046465">
            <w:pPr>
              <w:pStyle w:val="TableParagraph"/>
              <w:spacing w:before="144"/>
            </w:pPr>
          </w:p>
          <w:p w14:paraId="0DFDB853" w14:textId="77777777" w:rsidR="00046465" w:rsidRDefault="008134EB">
            <w:pPr>
              <w:pStyle w:val="TableParagraph"/>
              <w:ind w:left="144"/>
              <w:rPr>
                <w:b/>
              </w:rPr>
            </w:pPr>
            <w:r>
              <w:rPr>
                <w:b/>
              </w:rPr>
              <w:t>Doc.</w:t>
            </w:r>
            <w:r>
              <w:rPr>
                <w:b/>
                <w:spacing w:val="-6"/>
              </w:rPr>
              <w:t xml:space="preserve"> </w:t>
            </w:r>
            <w:r>
              <w:rPr>
                <w:b/>
                <w:spacing w:val="-4"/>
              </w:rPr>
              <w:t>ref.</w:t>
            </w:r>
          </w:p>
        </w:tc>
      </w:tr>
      <w:tr w:rsidR="00046465" w14:paraId="0DFDB858" w14:textId="77777777">
        <w:trPr>
          <w:trHeight w:val="1047"/>
        </w:trPr>
        <w:tc>
          <w:tcPr>
            <w:tcW w:w="6840" w:type="dxa"/>
            <w:tcBorders>
              <w:bottom w:val="single" w:sz="6" w:space="0" w:color="000000"/>
              <w:right w:val="single" w:sz="6" w:space="0" w:color="000000"/>
            </w:tcBorders>
          </w:tcPr>
          <w:p w14:paraId="0DFDB855" w14:textId="77777777" w:rsidR="00046465" w:rsidRDefault="008134EB">
            <w:pPr>
              <w:pStyle w:val="TableParagraph"/>
              <w:tabs>
                <w:tab w:val="left" w:pos="567"/>
              </w:tabs>
              <w:spacing w:before="144"/>
              <w:ind w:left="605" w:right="456" w:hanging="476"/>
            </w:pPr>
            <w:r>
              <w:rPr>
                <w:spacing w:val="-6"/>
              </w:rPr>
              <w:t>1.</w:t>
            </w:r>
            <w:r>
              <w:tab/>
              <w:t>List the appropriations or other budget authority and the related</w:t>
            </w:r>
            <w:r>
              <w:rPr>
                <w:spacing w:val="-6"/>
              </w:rPr>
              <w:t xml:space="preserve"> </w:t>
            </w:r>
            <w:r>
              <w:t>budget</w:t>
            </w:r>
            <w:r>
              <w:rPr>
                <w:spacing w:val="-6"/>
              </w:rPr>
              <w:t xml:space="preserve"> </w:t>
            </w:r>
            <w:r>
              <w:t>accounts</w:t>
            </w:r>
            <w:r>
              <w:rPr>
                <w:spacing w:val="-7"/>
              </w:rPr>
              <w:t xml:space="preserve"> </w:t>
            </w:r>
            <w:r>
              <w:t>that</w:t>
            </w:r>
            <w:r>
              <w:rPr>
                <w:spacing w:val="-6"/>
              </w:rPr>
              <w:t xml:space="preserve"> </w:t>
            </w:r>
            <w:r>
              <w:t>were</w:t>
            </w:r>
            <w:r>
              <w:rPr>
                <w:spacing w:val="-6"/>
              </w:rPr>
              <w:t xml:space="preserve"> </w:t>
            </w:r>
            <w:r>
              <w:t>identified</w:t>
            </w:r>
            <w:r>
              <w:rPr>
                <w:spacing w:val="-6"/>
              </w:rPr>
              <w:t xml:space="preserve"> </w:t>
            </w:r>
            <w:r>
              <w:t>for</w:t>
            </w:r>
            <w:r>
              <w:rPr>
                <w:spacing w:val="-6"/>
              </w:rPr>
              <w:t xml:space="preserve"> </w:t>
            </w:r>
            <w:r>
              <w:t>compliance testing on Form 802, General Compliance Checklist.</w:t>
            </w:r>
          </w:p>
        </w:tc>
        <w:tc>
          <w:tcPr>
            <w:tcW w:w="1200" w:type="dxa"/>
            <w:tcBorders>
              <w:left w:val="single" w:sz="6" w:space="0" w:color="000000"/>
              <w:bottom w:val="single" w:sz="6" w:space="0" w:color="000000"/>
              <w:right w:val="single" w:sz="6" w:space="0" w:color="000000"/>
            </w:tcBorders>
          </w:tcPr>
          <w:p w14:paraId="0DFDB856" w14:textId="77777777" w:rsidR="00046465" w:rsidRDefault="00046465">
            <w:pPr>
              <w:pStyle w:val="TableParagraph"/>
              <w:rPr>
                <w:rFonts w:ascii="Times New Roman"/>
                <w:sz w:val="20"/>
              </w:rPr>
            </w:pPr>
          </w:p>
        </w:tc>
        <w:tc>
          <w:tcPr>
            <w:tcW w:w="1410" w:type="dxa"/>
            <w:tcBorders>
              <w:left w:val="single" w:sz="6" w:space="0" w:color="000000"/>
              <w:bottom w:val="single" w:sz="6" w:space="0" w:color="000000"/>
            </w:tcBorders>
          </w:tcPr>
          <w:p w14:paraId="0DFDB857" w14:textId="77777777" w:rsidR="00046465" w:rsidRDefault="00046465">
            <w:pPr>
              <w:pStyle w:val="TableParagraph"/>
              <w:rPr>
                <w:rFonts w:ascii="Times New Roman"/>
                <w:sz w:val="20"/>
              </w:rPr>
            </w:pPr>
          </w:p>
        </w:tc>
      </w:tr>
      <w:tr w:rsidR="00046465" w14:paraId="0DFDB85F" w14:textId="77777777">
        <w:trPr>
          <w:trHeight w:val="7297"/>
        </w:trPr>
        <w:tc>
          <w:tcPr>
            <w:tcW w:w="6840" w:type="dxa"/>
            <w:tcBorders>
              <w:top w:val="single" w:sz="6" w:space="0" w:color="000000"/>
              <w:bottom w:val="single" w:sz="6" w:space="0" w:color="000000"/>
              <w:right w:val="single" w:sz="6" w:space="0" w:color="000000"/>
            </w:tcBorders>
          </w:tcPr>
          <w:p w14:paraId="0DFDB859" w14:textId="77777777" w:rsidR="00046465" w:rsidRDefault="008134EB">
            <w:pPr>
              <w:pStyle w:val="TableParagraph"/>
              <w:tabs>
                <w:tab w:val="left" w:pos="600"/>
              </w:tabs>
              <w:spacing w:before="143"/>
              <w:ind w:left="600" w:right="447" w:hanging="471"/>
            </w:pPr>
            <w:r>
              <w:rPr>
                <w:spacing w:val="-6"/>
              </w:rPr>
              <w:t>2.</w:t>
            </w:r>
            <w:r>
              <w:tab/>
              <w:t>As discussed in FAM 460.03, the auditor should determine whether summarized budget information (obligations and expenditures) used for compliance tests is reasonably accurate and complete. The auditor may obtain assurance through effective controls that the auditor tests (usually the budget</w:t>
            </w:r>
            <w:r>
              <w:rPr>
                <w:spacing w:val="-4"/>
              </w:rPr>
              <w:t xml:space="preserve"> </w:t>
            </w:r>
            <w:r>
              <w:t>controls)</w:t>
            </w:r>
            <w:r>
              <w:rPr>
                <w:spacing w:val="-4"/>
              </w:rPr>
              <w:t xml:space="preserve"> </w:t>
            </w:r>
            <w:r>
              <w:t>or,</w:t>
            </w:r>
            <w:r>
              <w:rPr>
                <w:spacing w:val="-4"/>
              </w:rPr>
              <w:t xml:space="preserve"> </w:t>
            </w:r>
            <w:r>
              <w:t>if</w:t>
            </w:r>
            <w:r>
              <w:rPr>
                <w:spacing w:val="-4"/>
              </w:rPr>
              <w:t xml:space="preserve"> </w:t>
            </w:r>
            <w:r>
              <w:t>the</w:t>
            </w:r>
            <w:r>
              <w:rPr>
                <w:spacing w:val="-5"/>
              </w:rPr>
              <w:t xml:space="preserve"> </w:t>
            </w:r>
            <w:r>
              <w:t>controls</w:t>
            </w:r>
            <w:r>
              <w:rPr>
                <w:spacing w:val="-4"/>
              </w:rPr>
              <w:t xml:space="preserve"> </w:t>
            </w:r>
            <w:r>
              <w:t>are</w:t>
            </w:r>
            <w:r>
              <w:rPr>
                <w:spacing w:val="-5"/>
              </w:rPr>
              <w:t xml:space="preserve"> </w:t>
            </w:r>
            <w:r>
              <w:t>not</w:t>
            </w:r>
            <w:r>
              <w:rPr>
                <w:spacing w:val="-4"/>
              </w:rPr>
              <w:t xml:space="preserve"> </w:t>
            </w:r>
            <w:r>
              <w:t>effective,</w:t>
            </w:r>
            <w:r>
              <w:rPr>
                <w:spacing w:val="-4"/>
              </w:rPr>
              <w:t xml:space="preserve"> </w:t>
            </w:r>
            <w:r>
              <w:t>through substantive testing of budget amounts for validity, completeness, cutoff, recording, classification, and summarization, as described in FAM 495 B, Example Procedures for Tests of Budget Information.</w:t>
            </w:r>
          </w:p>
          <w:p w14:paraId="0DFDB85A" w14:textId="77777777" w:rsidR="00046465" w:rsidRDefault="008134EB">
            <w:pPr>
              <w:pStyle w:val="TableParagraph"/>
              <w:spacing w:before="144"/>
              <w:ind w:left="605" w:right="178"/>
            </w:pPr>
            <w:r>
              <w:t>For</w:t>
            </w:r>
            <w:r>
              <w:rPr>
                <w:spacing w:val="-4"/>
              </w:rPr>
              <w:t xml:space="preserve"> </w:t>
            </w:r>
            <w:r>
              <w:t>the</w:t>
            </w:r>
            <w:r>
              <w:rPr>
                <w:spacing w:val="-4"/>
              </w:rPr>
              <w:t xml:space="preserve"> </w:t>
            </w:r>
            <w:r>
              <w:t>accounts</w:t>
            </w:r>
            <w:r>
              <w:rPr>
                <w:spacing w:val="-4"/>
              </w:rPr>
              <w:t xml:space="preserve"> </w:t>
            </w:r>
            <w:r>
              <w:t>listed</w:t>
            </w:r>
            <w:r>
              <w:rPr>
                <w:spacing w:val="-4"/>
              </w:rPr>
              <w:t xml:space="preserve"> </w:t>
            </w:r>
            <w:r>
              <w:t>in</w:t>
            </w:r>
            <w:r>
              <w:rPr>
                <w:spacing w:val="-5"/>
              </w:rPr>
              <w:t xml:space="preserve"> </w:t>
            </w:r>
            <w:r>
              <w:t>step</w:t>
            </w:r>
            <w:r>
              <w:rPr>
                <w:spacing w:val="-4"/>
              </w:rPr>
              <w:t xml:space="preserve"> </w:t>
            </w:r>
            <w:r>
              <w:t>1,</w:t>
            </w:r>
            <w:r>
              <w:rPr>
                <w:spacing w:val="-4"/>
              </w:rPr>
              <w:t xml:space="preserve"> </w:t>
            </w:r>
            <w:r>
              <w:t>document</w:t>
            </w:r>
            <w:r>
              <w:rPr>
                <w:spacing w:val="-4"/>
              </w:rPr>
              <w:t xml:space="preserve"> </w:t>
            </w:r>
            <w:r>
              <w:t>if</w:t>
            </w:r>
            <w:r>
              <w:rPr>
                <w:spacing w:val="-4"/>
              </w:rPr>
              <w:t xml:space="preserve"> </w:t>
            </w:r>
            <w:r>
              <w:t>the</w:t>
            </w:r>
            <w:r>
              <w:rPr>
                <w:spacing w:val="-4"/>
              </w:rPr>
              <w:t xml:space="preserve"> </w:t>
            </w:r>
            <w:r>
              <w:t>auditor</w:t>
            </w:r>
            <w:r>
              <w:rPr>
                <w:spacing w:val="-4"/>
              </w:rPr>
              <w:t xml:space="preserve"> </w:t>
            </w:r>
            <w:r>
              <w:t>will obtain assurance by testing controls (as indicated on Form 804, Compliance Summary) or whether substantive tests of the budget information are necessary.</w:t>
            </w:r>
          </w:p>
          <w:p w14:paraId="0DFDB85B" w14:textId="77777777" w:rsidR="00046465" w:rsidRDefault="008134EB">
            <w:pPr>
              <w:pStyle w:val="TableParagraph"/>
              <w:spacing w:before="145"/>
              <w:ind w:left="562" w:right="178"/>
            </w:pPr>
            <w:r>
              <w:t>If the auditor determines that controls are not effective in meeting some or all of the budget control objectives listed in FAM 395 F.01 and the supplemental objectives for FCRA listed in FAM 395 F.02, then the auditor should perform substantive tests of the budget amounts (obligations and expenditures),</w:t>
            </w:r>
            <w:r>
              <w:rPr>
                <w:spacing w:val="-5"/>
              </w:rPr>
              <w:t xml:space="preserve"> </w:t>
            </w:r>
            <w:r>
              <w:t>as</w:t>
            </w:r>
            <w:r>
              <w:rPr>
                <w:spacing w:val="-5"/>
              </w:rPr>
              <w:t xml:space="preserve"> </w:t>
            </w:r>
            <w:r>
              <w:t>discussed</w:t>
            </w:r>
            <w:r>
              <w:rPr>
                <w:spacing w:val="-5"/>
              </w:rPr>
              <w:t xml:space="preserve"> </w:t>
            </w:r>
            <w:r>
              <w:t>in</w:t>
            </w:r>
            <w:r>
              <w:rPr>
                <w:spacing w:val="-5"/>
              </w:rPr>
              <w:t xml:space="preserve"> </w:t>
            </w:r>
            <w:r>
              <w:t>FAM</w:t>
            </w:r>
            <w:r>
              <w:rPr>
                <w:spacing w:val="-6"/>
              </w:rPr>
              <w:t xml:space="preserve"> </w:t>
            </w:r>
            <w:r>
              <w:t>495</w:t>
            </w:r>
            <w:r>
              <w:rPr>
                <w:spacing w:val="-5"/>
              </w:rPr>
              <w:t xml:space="preserve"> </w:t>
            </w:r>
            <w:r>
              <w:t>B.</w:t>
            </w:r>
            <w:r>
              <w:rPr>
                <w:spacing w:val="-5"/>
              </w:rPr>
              <w:t xml:space="preserve"> </w:t>
            </w:r>
            <w:r>
              <w:t>The</w:t>
            </w:r>
            <w:r>
              <w:rPr>
                <w:spacing w:val="-5"/>
              </w:rPr>
              <w:t xml:space="preserve"> </w:t>
            </w:r>
            <w:r>
              <w:t>auditor</w:t>
            </w:r>
            <w:r>
              <w:rPr>
                <w:spacing w:val="-5"/>
              </w:rPr>
              <w:t xml:space="preserve"> </w:t>
            </w:r>
            <w:r>
              <w:t>should perform substantive tests only for those potential misstatements for which the entity does not have effective budget controls.</w:t>
            </w:r>
          </w:p>
          <w:p w14:paraId="0DFDB85C" w14:textId="77777777" w:rsidR="00046465" w:rsidRDefault="008134EB">
            <w:pPr>
              <w:pStyle w:val="TableParagraph"/>
              <w:spacing w:before="144"/>
              <w:ind w:left="562" w:right="178"/>
            </w:pPr>
            <w:r>
              <w:t>After the auditor is satisfied as to the reasonableness of the budget amounts to be used for the compliance tests, the auditor</w:t>
            </w:r>
            <w:r>
              <w:rPr>
                <w:spacing w:val="-4"/>
              </w:rPr>
              <w:t xml:space="preserve"> </w:t>
            </w:r>
            <w:r>
              <w:t>should</w:t>
            </w:r>
            <w:r>
              <w:rPr>
                <w:spacing w:val="-4"/>
              </w:rPr>
              <w:t xml:space="preserve"> </w:t>
            </w:r>
            <w:r>
              <w:t>perform</w:t>
            </w:r>
            <w:r>
              <w:rPr>
                <w:spacing w:val="-5"/>
              </w:rPr>
              <w:t xml:space="preserve"> </w:t>
            </w:r>
            <w:r>
              <w:t>the</w:t>
            </w:r>
            <w:r>
              <w:rPr>
                <w:spacing w:val="-4"/>
              </w:rPr>
              <w:t xml:space="preserve"> </w:t>
            </w:r>
            <w:r>
              <w:t>compliance</w:t>
            </w:r>
            <w:r>
              <w:rPr>
                <w:spacing w:val="-4"/>
              </w:rPr>
              <w:t xml:space="preserve"> </w:t>
            </w:r>
            <w:r>
              <w:t>tests</w:t>
            </w:r>
            <w:r>
              <w:rPr>
                <w:spacing w:val="-5"/>
              </w:rPr>
              <w:t xml:space="preserve"> </w:t>
            </w:r>
            <w:r>
              <w:t>in</w:t>
            </w:r>
            <w:r>
              <w:rPr>
                <w:spacing w:val="-4"/>
              </w:rPr>
              <w:t xml:space="preserve"> </w:t>
            </w:r>
            <w:r>
              <w:t>steps</w:t>
            </w:r>
            <w:r>
              <w:rPr>
                <w:spacing w:val="-4"/>
              </w:rPr>
              <w:t xml:space="preserve"> </w:t>
            </w:r>
            <w:r>
              <w:t>3</w:t>
            </w:r>
            <w:r>
              <w:rPr>
                <w:spacing w:val="-4"/>
              </w:rPr>
              <w:t xml:space="preserve"> </w:t>
            </w:r>
            <w:r>
              <w:t>and</w:t>
            </w:r>
            <w:r>
              <w:rPr>
                <w:spacing w:val="-4"/>
              </w:rPr>
              <w:t xml:space="preserve"> </w:t>
            </w:r>
            <w:r>
              <w:t>4.</w:t>
            </w:r>
          </w:p>
        </w:tc>
        <w:tc>
          <w:tcPr>
            <w:tcW w:w="1200" w:type="dxa"/>
            <w:tcBorders>
              <w:top w:val="single" w:sz="6" w:space="0" w:color="000000"/>
              <w:left w:val="single" w:sz="6" w:space="0" w:color="000000"/>
              <w:bottom w:val="single" w:sz="6" w:space="0" w:color="000000"/>
              <w:right w:val="single" w:sz="6" w:space="0" w:color="000000"/>
            </w:tcBorders>
          </w:tcPr>
          <w:p w14:paraId="0DFDB85D" w14:textId="77777777" w:rsidR="00046465" w:rsidRDefault="00046465">
            <w:pPr>
              <w:pStyle w:val="TableParagraph"/>
              <w:rPr>
                <w:rFonts w:ascii="Times New Roman"/>
                <w:sz w:val="20"/>
              </w:rPr>
            </w:pPr>
          </w:p>
        </w:tc>
        <w:tc>
          <w:tcPr>
            <w:tcW w:w="1410" w:type="dxa"/>
            <w:tcBorders>
              <w:top w:val="single" w:sz="6" w:space="0" w:color="000000"/>
              <w:left w:val="single" w:sz="6" w:space="0" w:color="000000"/>
              <w:bottom w:val="single" w:sz="6" w:space="0" w:color="000000"/>
            </w:tcBorders>
          </w:tcPr>
          <w:p w14:paraId="0DFDB85E" w14:textId="77777777" w:rsidR="00046465" w:rsidRDefault="00046465">
            <w:pPr>
              <w:pStyle w:val="TableParagraph"/>
              <w:rPr>
                <w:rFonts w:ascii="Times New Roman"/>
                <w:sz w:val="20"/>
              </w:rPr>
            </w:pPr>
          </w:p>
        </w:tc>
      </w:tr>
    </w:tbl>
    <w:p w14:paraId="0DFDB860" w14:textId="77777777" w:rsidR="00046465" w:rsidRDefault="00046465">
      <w:pPr>
        <w:pStyle w:val="TableParagraph"/>
        <w:rPr>
          <w:rFonts w:ascii="Times New Roman"/>
          <w:sz w:val="20"/>
        </w:rPr>
        <w:sectPr w:rsidR="00046465">
          <w:headerReference w:type="default" r:id="rId131"/>
          <w:footerReference w:type="default" r:id="rId132"/>
          <w:pgSz w:w="12240" w:h="15840"/>
          <w:pgMar w:top="1280" w:right="1080" w:bottom="1364" w:left="1080" w:header="721" w:footer="742" w:gutter="0"/>
          <w:cols w:space="720"/>
        </w:sectPr>
      </w:pPr>
    </w:p>
    <w:tbl>
      <w:tblPr>
        <w:tblW w:w="0" w:type="auto"/>
        <w:tblInd w:w="382"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6840"/>
        <w:gridCol w:w="1200"/>
        <w:gridCol w:w="1410"/>
      </w:tblGrid>
      <w:tr w:rsidR="00046465" w14:paraId="0DFDB862" w14:textId="77777777">
        <w:trPr>
          <w:trHeight w:val="1335"/>
        </w:trPr>
        <w:tc>
          <w:tcPr>
            <w:tcW w:w="9450" w:type="dxa"/>
            <w:gridSpan w:val="3"/>
            <w:tcBorders>
              <w:left w:val="double" w:sz="6" w:space="0" w:color="000000"/>
              <w:bottom w:val="double" w:sz="6" w:space="0" w:color="000000"/>
              <w:right w:val="double" w:sz="6" w:space="0" w:color="000000"/>
            </w:tcBorders>
          </w:tcPr>
          <w:p w14:paraId="0DFDB861" w14:textId="77777777" w:rsidR="00046465" w:rsidRDefault="008134EB">
            <w:pPr>
              <w:pStyle w:val="TableParagraph"/>
              <w:tabs>
                <w:tab w:val="left" w:pos="8699"/>
              </w:tabs>
              <w:spacing w:before="7" w:line="390" w:lineRule="atLeast"/>
              <w:ind w:left="129" w:right="703"/>
              <w:jc w:val="both"/>
            </w:pPr>
            <w:r>
              <w:lastRenderedPageBreak/>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868" w14:textId="77777777">
        <w:trPr>
          <w:trHeight w:val="793"/>
        </w:trPr>
        <w:tc>
          <w:tcPr>
            <w:tcW w:w="6840" w:type="dxa"/>
            <w:tcBorders>
              <w:top w:val="double" w:sz="6" w:space="0" w:color="000000"/>
              <w:left w:val="double" w:sz="6" w:space="0" w:color="000000"/>
              <w:bottom w:val="double" w:sz="6" w:space="0" w:color="000000"/>
              <w:right w:val="single" w:sz="6" w:space="0" w:color="000000"/>
            </w:tcBorders>
          </w:tcPr>
          <w:p w14:paraId="0DFDB863" w14:textId="77777777" w:rsidR="00046465" w:rsidRDefault="00046465">
            <w:pPr>
              <w:pStyle w:val="TableParagraph"/>
              <w:spacing w:before="144"/>
            </w:pPr>
          </w:p>
          <w:p w14:paraId="0DFDB864"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200" w:type="dxa"/>
            <w:tcBorders>
              <w:top w:val="double" w:sz="6" w:space="0" w:color="000000"/>
              <w:left w:val="single" w:sz="6" w:space="0" w:color="000000"/>
              <w:bottom w:val="double" w:sz="6" w:space="0" w:color="000000"/>
              <w:right w:val="single" w:sz="6" w:space="0" w:color="000000"/>
            </w:tcBorders>
          </w:tcPr>
          <w:p w14:paraId="0DFDB865" w14:textId="77777777" w:rsidR="00046465" w:rsidRDefault="008134EB">
            <w:pPr>
              <w:pStyle w:val="TableParagraph"/>
              <w:spacing w:before="144"/>
              <w:ind w:left="144"/>
              <w:rPr>
                <w:b/>
              </w:rPr>
            </w:pPr>
            <w:r>
              <w:rPr>
                <w:b/>
                <w:spacing w:val="-2"/>
              </w:rPr>
              <w:t xml:space="preserve">Initials/ </w:t>
            </w:r>
            <w:r>
              <w:rPr>
                <w:b/>
                <w:spacing w:val="-4"/>
              </w:rPr>
              <w:t>date</w:t>
            </w:r>
          </w:p>
        </w:tc>
        <w:tc>
          <w:tcPr>
            <w:tcW w:w="1410" w:type="dxa"/>
            <w:tcBorders>
              <w:top w:val="double" w:sz="6" w:space="0" w:color="000000"/>
              <w:left w:val="single" w:sz="6" w:space="0" w:color="000000"/>
              <w:bottom w:val="double" w:sz="6" w:space="0" w:color="000000"/>
              <w:right w:val="double" w:sz="6" w:space="0" w:color="000000"/>
            </w:tcBorders>
          </w:tcPr>
          <w:p w14:paraId="0DFDB866" w14:textId="77777777" w:rsidR="00046465" w:rsidRDefault="00046465">
            <w:pPr>
              <w:pStyle w:val="TableParagraph"/>
              <w:spacing w:before="144"/>
            </w:pPr>
          </w:p>
          <w:p w14:paraId="0DFDB867" w14:textId="77777777" w:rsidR="00046465" w:rsidRDefault="008134EB">
            <w:pPr>
              <w:pStyle w:val="TableParagraph"/>
              <w:ind w:left="144"/>
              <w:rPr>
                <w:b/>
              </w:rPr>
            </w:pPr>
            <w:r>
              <w:rPr>
                <w:b/>
              </w:rPr>
              <w:t>Doc.</w:t>
            </w:r>
            <w:r>
              <w:rPr>
                <w:b/>
                <w:spacing w:val="-6"/>
              </w:rPr>
              <w:t xml:space="preserve"> </w:t>
            </w:r>
            <w:r>
              <w:rPr>
                <w:b/>
                <w:spacing w:val="-4"/>
              </w:rPr>
              <w:t>ref.</w:t>
            </w:r>
          </w:p>
        </w:tc>
      </w:tr>
      <w:tr w:rsidR="00046465" w14:paraId="0DFDB86D" w14:textId="77777777">
        <w:trPr>
          <w:trHeight w:val="3216"/>
        </w:trPr>
        <w:tc>
          <w:tcPr>
            <w:tcW w:w="6840" w:type="dxa"/>
            <w:tcBorders>
              <w:top w:val="double" w:sz="6" w:space="0" w:color="000000"/>
              <w:left w:val="double" w:sz="6" w:space="0" w:color="000000"/>
              <w:bottom w:val="single" w:sz="6" w:space="0" w:color="000000"/>
              <w:right w:val="single" w:sz="6" w:space="0" w:color="000000"/>
            </w:tcBorders>
          </w:tcPr>
          <w:p w14:paraId="0DFDB869" w14:textId="77777777" w:rsidR="00046465" w:rsidRDefault="008134EB">
            <w:pPr>
              <w:pStyle w:val="TableParagraph"/>
              <w:numPr>
                <w:ilvl w:val="0"/>
                <w:numId w:val="174"/>
              </w:numPr>
              <w:tabs>
                <w:tab w:val="left" w:pos="600"/>
              </w:tabs>
              <w:spacing w:before="144"/>
              <w:ind w:right="251"/>
            </w:pPr>
            <w:r>
              <w:t>For</w:t>
            </w:r>
            <w:r>
              <w:rPr>
                <w:spacing w:val="-4"/>
              </w:rPr>
              <w:t xml:space="preserve"> </w:t>
            </w:r>
            <w:r>
              <w:t>each</w:t>
            </w:r>
            <w:r>
              <w:rPr>
                <w:spacing w:val="-5"/>
              </w:rPr>
              <w:t xml:space="preserve"> </w:t>
            </w:r>
            <w:r>
              <w:t>appropriation</w:t>
            </w:r>
            <w:r>
              <w:rPr>
                <w:spacing w:val="-4"/>
              </w:rPr>
              <w:t xml:space="preserve"> </w:t>
            </w:r>
            <w:r>
              <w:t>or</w:t>
            </w:r>
            <w:r>
              <w:rPr>
                <w:spacing w:val="-5"/>
              </w:rPr>
              <w:t xml:space="preserve"> </w:t>
            </w:r>
            <w:r>
              <w:t>other</w:t>
            </w:r>
            <w:r>
              <w:rPr>
                <w:spacing w:val="-4"/>
              </w:rPr>
              <w:t xml:space="preserve"> </w:t>
            </w:r>
            <w:r>
              <w:t>budget</w:t>
            </w:r>
            <w:r>
              <w:rPr>
                <w:spacing w:val="-5"/>
              </w:rPr>
              <w:t xml:space="preserve"> </w:t>
            </w:r>
            <w:r>
              <w:t>authority</w:t>
            </w:r>
            <w:r>
              <w:rPr>
                <w:spacing w:val="-4"/>
              </w:rPr>
              <w:t xml:space="preserve"> </w:t>
            </w:r>
            <w:r>
              <w:t>listed</w:t>
            </w:r>
            <w:r>
              <w:rPr>
                <w:spacing w:val="-5"/>
              </w:rPr>
              <w:t xml:space="preserve"> </w:t>
            </w:r>
            <w:r>
              <w:t>in</w:t>
            </w:r>
            <w:r>
              <w:rPr>
                <w:spacing w:val="-5"/>
              </w:rPr>
              <w:t xml:space="preserve"> </w:t>
            </w:r>
            <w:r>
              <w:t>step 1, perform the following procedures that are applicable for direct and guaranteed loan programs that have a positive subsidy (i.e., cash outflows exceed cash inflows); for direct and guaranteed loan programs that have a negative subsidy (i.e., cash inflows exceed cash outflows), perform step 4.</w:t>
            </w:r>
          </w:p>
          <w:p w14:paraId="0DFDB86A" w14:textId="77777777" w:rsidR="00046465" w:rsidRDefault="008134EB">
            <w:pPr>
              <w:pStyle w:val="TableParagraph"/>
              <w:numPr>
                <w:ilvl w:val="1"/>
                <w:numId w:val="174"/>
              </w:numPr>
              <w:tabs>
                <w:tab w:val="left" w:pos="1061"/>
                <w:tab w:val="left" w:pos="1064"/>
              </w:tabs>
              <w:spacing w:before="144"/>
              <w:ind w:right="179"/>
            </w:pPr>
            <w:r>
              <w:t>Compare</w:t>
            </w:r>
            <w:r>
              <w:rPr>
                <w:spacing w:val="-1"/>
              </w:rPr>
              <w:t xml:space="preserve"> </w:t>
            </w:r>
            <w:r>
              <w:t>the</w:t>
            </w:r>
            <w:r>
              <w:rPr>
                <w:spacing w:val="-2"/>
              </w:rPr>
              <w:t xml:space="preserve"> </w:t>
            </w:r>
            <w:r>
              <w:t>amount</w:t>
            </w:r>
            <w:r>
              <w:rPr>
                <w:spacing w:val="-1"/>
              </w:rPr>
              <w:t xml:space="preserve"> </w:t>
            </w:r>
            <w:r>
              <w:t>of</w:t>
            </w:r>
            <w:r>
              <w:rPr>
                <w:spacing w:val="-2"/>
              </w:rPr>
              <w:t xml:space="preserve"> </w:t>
            </w:r>
            <w:r>
              <w:t>obligations</w:t>
            </w:r>
            <w:r>
              <w:rPr>
                <w:spacing w:val="-2"/>
              </w:rPr>
              <w:t xml:space="preserve"> </w:t>
            </w:r>
            <w:r>
              <w:t>for</w:t>
            </w:r>
            <w:r>
              <w:rPr>
                <w:spacing w:val="-1"/>
              </w:rPr>
              <w:t xml:space="preserve"> </w:t>
            </w:r>
            <w:r>
              <w:t>direct</w:t>
            </w:r>
            <w:r>
              <w:rPr>
                <w:spacing w:val="-2"/>
              </w:rPr>
              <w:t xml:space="preserve"> </w:t>
            </w:r>
            <w:r>
              <w:t>loans</w:t>
            </w:r>
            <w:r>
              <w:rPr>
                <w:spacing w:val="-1"/>
              </w:rPr>
              <w:t xml:space="preserve"> </w:t>
            </w:r>
            <w:r>
              <w:t>to</w:t>
            </w:r>
            <w:r>
              <w:rPr>
                <w:spacing w:val="-2"/>
              </w:rPr>
              <w:t xml:space="preserve"> </w:t>
            </w:r>
            <w:r>
              <w:t>the amount of the available appropriation or other budget authority.</w:t>
            </w:r>
            <w:r>
              <w:rPr>
                <w:spacing w:val="-1"/>
              </w:rPr>
              <w:t xml:space="preserve"> </w:t>
            </w:r>
            <w:r>
              <w:t>(Note:</w:t>
            </w:r>
            <w:r>
              <w:rPr>
                <w:spacing w:val="-1"/>
              </w:rPr>
              <w:t xml:space="preserve"> </w:t>
            </w:r>
            <w:r>
              <w:t>This</w:t>
            </w:r>
            <w:r>
              <w:rPr>
                <w:spacing w:val="-1"/>
              </w:rPr>
              <w:t xml:space="preserve"> </w:t>
            </w:r>
            <w:r>
              <w:t>budget</w:t>
            </w:r>
            <w:r>
              <w:rPr>
                <w:spacing w:val="-1"/>
              </w:rPr>
              <w:t xml:space="preserve"> </w:t>
            </w:r>
            <w:r>
              <w:t>restriction</w:t>
            </w:r>
            <w:r>
              <w:rPr>
                <w:spacing w:val="-1"/>
              </w:rPr>
              <w:t xml:space="preserve"> </w:t>
            </w:r>
            <w:r>
              <w:t>is</w:t>
            </w:r>
            <w:r>
              <w:rPr>
                <w:spacing w:val="-1"/>
              </w:rPr>
              <w:t xml:space="preserve"> </w:t>
            </w:r>
            <w:r>
              <w:t>applicable</w:t>
            </w:r>
            <w:r>
              <w:rPr>
                <w:spacing w:val="-1"/>
              </w:rPr>
              <w:t xml:space="preserve"> </w:t>
            </w:r>
            <w:r>
              <w:t>only to</w:t>
            </w:r>
            <w:r>
              <w:rPr>
                <w:spacing w:val="-4"/>
              </w:rPr>
              <w:t xml:space="preserve"> </w:t>
            </w:r>
            <w:r>
              <w:t>obligations</w:t>
            </w:r>
            <w:r>
              <w:rPr>
                <w:spacing w:val="-4"/>
              </w:rPr>
              <w:t xml:space="preserve"> </w:t>
            </w:r>
            <w:r>
              <w:t>for</w:t>
            </w:r>
            <w:r>
              <w:rPr>
                <w:spacing w:val="-4"/>
              </w:rPr>
              <w:t xml:space="preserve"> </w:t>
            </w:r>
            <w:r>
              <w:t>direct</w:t>
            </w:r>
            <w:r>
              <w:rPr>
                <w:spacing w:val="-5"/>
              </w:rPr>
              <w:t xml:space="preserve"> </w:t>
            </w:r>
            <w:r>
              <w:t>loans</w:t>
            </w:r>
            <w:r>
              <w:rPr>
                <w:spacing w:val="-4"/>
              </w:rPr>
              <w:t xml:space="preserve"> </w:t>
            </w:r>
            <w:r>
              <w:t>made</w:t>
            </w:r>
            <w:r>
              <w:rPr>
                <w:spacing w:val="-4"/>
              </w:rPr>
              <w:t xml:space="preserve"> </w:t>
            </w:r>
            <w:r>
              <w:t>on</w:t>
            </w:r>
            <w:r>
              <w:rPr>
                <w:spacing w:val="-4"/>
              </w:rPr>
              <w:t xml:space="preserve"> </w:t>
            </w:r>
            <w:r>
              <w:t>or</w:t>
            </w:r>
            <w:r>
              <w:rPr>
                <w:spacing w:val="-4"/>
              </w:rPr>
              <w:t xml:space="preserve"> </w:t>
            </w:r>
            <w:r>
              <w:t>after</w:t>
            </w:r>
            <w:r>
              <w:rPr>
                <w:spacing w:val="-4"/>
              </w:rPr>
              <w:t xml:space="preserve"> </w:t>
            </w:r>
            <w:r>
              <w:t>October</w:t>
            </w:r>
            <w:r>
              <w:rPr>
                <w:spacing w:val="-4"/>
              </w:rPr>
              <w:t xml:space="preserve"> </w:t>
            </w:r>
            <w:r>
              <w:t xml:space="preserve">1, </w:t>
            </w:r>
            <w:r>
              <w:rPr>
                <w:spacing w:val="-2"/>
              </w:rPr>
              <w:t>1991.)</w:t>
            </w:r>
          </w:p>
        </w:tc>
        <w:tc>
          <w:tcPr>
            <w:tcW w:w="1200" w:type="dxa"/>
            <w:tcBorders>
              <w:top w:val="double" w:sz="6" w:space="0" w:color="000000"/>
              <w:left w:val="single" w:sz="6" w:space="0" w:color="000000"/>
              <w:bottom w:val="single" w:sz="6" w:space="0" w:color="000000"/>
              <w:right w:val="single" w:sz="6" w:space="0" w:color="000000"/>
            </w:tcBorders>
          </w:tcPr>
          <w:p w14:paraId="0DFDB86B" w14:textId="77777777" w:rsidR="00046465" w:rsidRDefault="00046465">
            <w:pPr>
              <w:pStyle w:val="TableParagraph"/>
              <w:rPr>
                <w:rFonts w:ascii="Times New Roman"/>
                <w:sz w:val="20"/>
              </w:rPr>
            </w:pPr>
          </w:p>
        </w:tc>
        <w:tc>
          <w:tcPr>
            <w:tcW w:w="1410" w:type="dxa"/>
            <w:tcBorders>
              <w:top w:val="double" w:sz="6" w:space="0" w:color="000000"/>
              <w:left w:val="single" w:sz="6" w:space="0" w:color="000000"/>
              <w:bottom w:val="single" w:sz="6" w:space="0" w:color="000000"/>
              <w:right w:val="double" w:sz="6" w:space="0" w:color="000000"/>
            </w:tcBorders>
          </w:tcPr>
          <w:p w14:paraId="0DFDB86C" w14:textId="77777777" w:rsidR="00046465" w:rsidRDefault="00046465">
            <w:pPr>
              <w:pStyle w:val="TableParagraph"/>
              <w:rPr>
                <w:rFonts w:ascii="Times New Roman"/>
                <w:sz w:val="20"/>
              </w:rPr>
            </w:pPr>
          </w:p>
        </w:tc>
      </w:tr>
      <w:tr w:rsidR="00046465" w14:paraId="0DFDB871" w14:textId="77777777">
        <w:trPr>
          <w:trHeight w:val="2563"/>
        </w:trPr>
        <w:tc>
          <w:tcPr>
            <w:tcW w:w="6840" w:type="dxa"/>
            <w:tcBorders>
              <w:top w:val="single" w:sz="6" w:space="0" w:color="000000"/>
              <w:left w:val="double" w:sz="6" w:space="0" w:color="000000"/>
              <w:bottom w:val="single" w:sz="6" w:space="0" w:color="000000"/>
              <w:right w:val="single" w:sz="6" w:space="0" w:color="000000"/>
            </w:tcBorders>
          </w:tcPr>
          <w:p w14:paraId="0DFDB86E" w14:textId="77777777" w:rsidR="00046465" w:rsidRDefault="008134EB">
            <w:pPr>
              <w:pStyle w:val="TableParagraph"/>
              <w:tabs>
                <w:tab w:val="left" w:pos="1065"/>
              </w:tabs>
              <w:spacing w:before="143"/>
              <w:ind w:left="1066" w:right="141" w:hanging="499"/>
            </w:pPr>
            <w:r>
              <w:rPr>
                <w:spacing w:val="-4"/>
              </w:rPr>
              <w:t>(b)</w:t>
            </w:r>
            <w:r>
              <w:tab/>
              <w:t>Compare the amount of obligations for modifications of direct loan obligations or outstanding direct loans to the amount</w:t>
            </w:r>
            <w:r>
              <w:rPr>
                <w:spacing w:val="-5"/>
              </w:rPr>
              <w:t xml:space="preserve"> </w:t>
            </w:r>
            <w:r>
              <w:t>of</w:t>
            </w:r>
            <w:r>
              <w:rPr>
                <w:spacing w:val="-5"/>
              </w:rPr>
              <w:t xml:space="preserve"> </w:t>
            </w:r>
            <w:r>
              <w:t>available</w:t>
            </w:r>
            <w:r>
              <w:rPr>
                <w:spacing w:val="-5"/>
              </w:rPr>
              <w:t xml:space="preserve"> </w:t>
            </w:r>
            <w:r>
              <w:t>budget</w:t>
            </w:r>
            <w:r>
              <w:rPr>
                <w:spacing w:val="-5"/>
              </w:rPr>
              <w:t xml:space="preserve"> </w:t>
            </w:r>
            <w:r>
              <w:t>authority.</w:t>
            </w:r>
            <w:r>
              <w:rPr>
                <w:spacing w:val="-5"/>
              </w:rPr>
              <w:t xml:space="preserve"> </w:t>
            </w:r>
            <w:r>
              <w:t>(Note:</w:t>
            </w:r>
            <w:r>
              <w:rPr>
                <w:spacing w:val="-5"/>
              </w:rPr>
              <w:t xml:space="preserve"> </w:t>
            </w:r>
            <w:r>
              <w:t>The</w:t>
            </w:r>
            <w:r>
              <w:rPr>
                <w:spacing w:val="-5"/>
              </w:rPr>
              <w:t xml:space="preserve"> </w:t>
            </w:r>
            <w:r>
              <w:t>sale</w:t>
            </w:r>
            <w:r>
              <w:rPr>
                <w:spacing w:val="-5"/>
              </w:rPr>
              <w:t xml:space="preserve"> </w:t>
            </w:r>
            <w:r>
              <w:t>of</w:t>
            </w:r>
            <w:r>
              <w:rPr>
                <w:spacing w:val="-5"/>
              </w:rPr>
              <w:t xml:space="preserve"> </w:t>
            </w:r>
            <w:r>
              <w:t>a direct loan is considered a modification. See FAM</w:t>
            </w:r>
            <w:r>
              <w:rPr>
                <w:spacing w:val="40"/>
              </w:rPr>
              <w:t xml:space="preserve"> </w:t>
            </w:r>
            <w:r>
              <w:t>804.02, Modifications of Outstanding Direct Loans.) (Discuss applicability of this budget restriction to direct loans and direct loan obligations that were outstanding prior to October 1, 1991, with OGC prior to performing compliance test.)</w:t>
            </w:r>
          </w:p>
        </w:tc>
        <w:tc>
          <w:tcPr>
            <w:tcW w:w="1200" w:type="dxa"/>
            <w:tcBorders>
              <w:top w:val="single" w:sz="6" w:space="0" w:color="000000"/>
              <w:left w:val="single" w:sz="6" w:space="0" w:color="000000"/>
              <w:bottom w:val="single" w:sz="6" w:space="0" w:color="000000"/>
              <w:right w:val="single" w:sz="6" w:space="0" w:color="000000"/>
            </w:tcBorders>
          </w:tcPr>
          <w:p w14:paraId="0DFDB86F" w14:textId="77777777" w:rsidR="00046465" w:rsidRDefault="00046465">
            <w:pPr>
              <w:pStyle w:val="TableParagraph"/>
              <w:rPr>
                <w:rFonts w:ascii="Times New Roman"/>
                <w:sz w:val="20"/>
              </w:rPr>
            </w:pPr>
          </w:p>
        </w:tc>
        <w:tc>
          <w:tcPr>
            <w:tcW w:w="1410" w:type="dxa"/>
            <w:tcBorders>
              <w:top w:val="single" w:sz="6" w:space="0" w:color="000000"/>
              <w:left w:val="single" w:sz="6" w:space="0" w:color="000000"/>
              <w:bottom w:val="single" w:sz="6" w:space="0" w:color="000000"/>
              <w:right w:val="double" w:sz="6" w:space="0" w:color="000000"/>
            </w:tcBorders>
          </w:tcPr>
          <w:p w14:paraId="0DFDB870" w14:textId="77777777" w:rsidR="00046465" w:rsidRDefault="00046465">
            <w:pPr>
              <w:pStyle w:val="TableParagraph"/>
              <w:rPr>
                <w:rFonts w:ascii="Times New Roman"/>
                <w:sz w:val="20"/>
              </w:rPr>
            </w:pPr>
          </w:p>
        </w:tc>
      </w:tr>
      <w:tr w:rsidR="00046465" w14:paraId="0DFDB875" w14:textId="77777777">
        <w:trPr>
          <w:trHeight w:val="1553"/>
        </w:trPr>
        <w:tc>
          <w:tcPr>
            <w:tcW w:w="6840" w:type="dxa"/>
            <w:tcBorders>
              <w:top w:val="single" w:sz="6" w:space="0" w:color="000000"/>
              <w:left w:val="double" w:sz="6" w:space="0" w:color="000000"/>
              <w:bottom w:val="single" w:sz="6" w:space="0" w:color="000000"/>
              <w:right w:val="single" w:sz="6" w:space="0" w:color="000000"/>
            </w:tcBorders>
          </w:tcPr>
          <w:p w14:paraId="0DFDB872" w14:textId="77777777" w:rsidR="00046465" w:rsidRDefault="008134EB">
            <w:pPr>
              <w:pStyle w:val="TableParagraph"/>
              <w:tabs>
                <w:tab w:val="left" w:pos="1065"/>
              </w:tabs>
              <w:spacing w:before="145"/>
              <w:ind w:left="1066" w:right="141" w:hanging="499"/>
            </w:pPr>
            <w:r>
              <w:rPr>
                <w:spacing w:val="-4"/>
              </w:rPr>
              <w:t>(c)</w:t>
            </w:r>
            <w:r>
              <w:tab/>
              <w:t>Compare the amount of obligations for loan guarantee commitments</w:t>
            </w:r>
            <w:r>
              <w:rPr>
                <w:spacing w:val="-6"/>
              </w:rPr>
              <w:t xml:space="preserve"> </w:t>
            </w:r>
            <w:r>
              <w:t>to</w:t>
            </w:r>
            <w:r>
              <w:rPr>
                <w:spacing w:val="-6"/>
              </w:rPr>
              <w:t xml:space="preserve"> </w:t>
            </w:r>
            <w:r>
              <w:t>the</w:t>
            </w:r>
            <w:r>
              <w:rPr>
                <w:spacing w:val="-6"/>
              </w:rPr>
              <w:t xml:space="preserve"> </w:t>
            </w:r>
            <w:r>
              <w:t>amount</w:t>
            </w:r>
            <w:r>
              <w:rPr>
                <w:spacing w:val="-6"/>
              </w:rPr>
              <w:t xml:space="preserve"> </w:t>
            </w:r>
            <w:r>
              <w:t>of</w:t>
            </w:r>
            <w:r>
              <w:rPr>
                <w:spacing w:val="-6"/>
              </w:rPr>
              <w:t xml:space="preserve"> </w:t>
            </w:r>
            <w:r>
              <w:t>the</w:t>
            </w:r>
            <w:r>
              <w:rPr>
                <w:spacing w:val="-6"/>
              </w:rPr>
              <w:t xml:space="preserve"> </w:t>
            </w:r>
            <w:r>
              <w:t>available</w:t>
            </w:r>
            <w:r>
              <w:rPr>
                <w:spacing w:val="-6"/>
              </w:rPr>
              <w:t xml:space="preserve"> </w:t>
            </w:r>
            <w:r>
              <w:t>appropriation or</w:t>
            </w:r>
            <w:r>
              <w:rPr>
                <w:spacing w:val="-1"/>
              </w:rPr>
              <w:t xml:space="preserve"> </w:t>
            </w:r>
            <w:r>
              <w:t>other</w:t>
            </w:r>
            <w:r>
              <w:rPr>
                <w:spacing w:val="-1"/>
              </w:rPr>
              <w:t xml:space="preserve"> </w:t>
            </w:r>
            <w:r>
              <w:t>budget</w:t>
            </w:r>
            <w:r>
              <w:rPr>
                <w:spacing w:val="-1"/>
              </w:rPr>
              <w:t xml:space="preserve"> </w:t>
            </w:r>
            <w:r>
              <w:t>authority.</w:t>
            </w:r>
            <w:r>
              <w:rPr>
                <w:spacing w:val="-1"/>
              </w:rPr>
              <w:t xml:space="preserve"> </w:t>
            </w:r>
            <w:r>
              <w:t>(Note:</w:t>
            </w:r>
            <w:r>
              <w:rPr>
                <w:spacing w:val="-1"/>
              </w:rPr>
              <w:t xml:space="preserve"> </w:t>
            </w:r>
            <w:r>
              <w:t>This</w:t>
            </w:r>
            <w:r>
              <w:rPr>
                <w:spacing w:val="-2"/>
              </w:rPr>
              <w:t xml:space="preserve"> </w:t>
            </w:r>
            <w:r>
              <w:t>budget</w:t>
            </w:r>
            <w:r>
              <w:rPr>
                <w:spacing w:val="-1"/>
              </w:rPr>
              <w:t xml:space="preserve"> </w:t>
            </w:r>
            <w:r>
              <w:t>restriction</w:t>
            </w:r>
            <w:r>
              <w:rPr>
                <w:spacing w:val="-1"/>
              </w:rPr>
              <w:t xml:space="preserve"> </w:t>
            </w:r>
            <w:r>
              <w:t>is only applicable to obligations for loan guarantee commitments made on or after October 1, 1991.)</w:t>
            </w:r>
          </w:p>
        </w:tc>
        <w:tc>
          <w:tcPr>
            <w:tcW w:w="1200" w:type="dxa"/>
            <w:tcBorders>
              <w:top w:val="single" w:sz="6" w:space="0" w:color="000000"/>
              <w:left w:val="single" w:sz="6" w:space="0" w:color="000000"/>
              <w:bottom w:val="single" w:sz="6" w:space="0" w:color="000000"/>
              <w:right w:val="single" w:sz="6" w:space="0" w:color="000000"/>
            </w:tcBorders>
          </w:tcPr>
          <w:p w14:paraId="0DFDB873" w14:textId="77777777" w:rsidR="00046465" w:rsidRDefault="00046465">
            <w:pPr>
              <w:pStyle w:val="TableParagraph"/>
              <w:rPr>
                <w:rFonts w:ascii="Times New Roman"/>
                <w:sz w:val="20"/>
              </w:rPr>
            </w:pPr>
          </w:p>
        </w:tc>
        <w:tc>
          <w:tcPr>
            <w:tcW w:w="1410" w:type="dxa"/>
            <w:tcBorders>
              <w:top w:val="single" w:sz="6" w:space="0" w:color="000000"/>
              <w:left w:val="single" w:sz="6" w:space="0" w:color="000000"/>
              <w:bottom w:val="single" w:sz="6" w:space="0" w:color="000000"/>
              <w:right w:val="double" w:sz="6" w:space="0" w:color="000000"/>
            </w:tcBorders>
          </w:tcPr>
          <w:p w14:paraId="0DFDB874" w14:textId="77777777" w:rsidR="00046465" w:rsidRDefault="00046465">
            <w:pPr>
              <w:pStyle w:val="TableParagraph"/>
              <w:rPr>
                <w:rFonts w:ascii="Times New Roman"/>
                <w:sz w:val="20"/>
              </w:rPr>
            </w:pPr>
          </w:p>
        </w:tc>
      </w:tr>
      <w:tr w:rsidR="00046465" w14:paraId="0DFDB87B" w14:textId="77777777">
        <w:trPr>
          <w:trHeight w:val="3215"/>
        </w:trPr>
        <w:tc>
          <w:tcPr>
            <w:tcW w:w="6840" w:type="dxa"/>
            <w:tcBorders>
              <w:top w:val="single" w:sz="6" w:space="0" w:color="000000"/>
              <w:left w:val="double" w:sz="6" w:space="0" w:color="000000"/>
              <w:bottom w:val="single" w:sz="6" w:space="0" w:color="000000"/>
              <w:right w:val="single" w:sz="6" w:space="0" w:color="000000"/>
            </w:tcBorders>
          </w:tcPr>
          <w:p w14:paraId="0DFDB876" w14:textId="77777777" w:rsidR="00046465" w:rsidRDefault="008134EB">
            <w:pPr>
              <w:pStyle w:val="TableParagraph"/>
              <w:tabs>
                <w:tab w:val="left" w:pos="1064"/>
              </w:tabs>
              <w:spacing w:before="143"/>
              <w:ind w:left="1064" w:right="363" w:hanging="497"/>
            </w:pPr>
            <w:r>
              <w:rPr>
                <w:spacing w:val="-4"/>
              </w:rPr>
              <w:t>(d)</w:t>
            </w:r>
            <w:r>
              <w:tab/>
              <w:t>Compare the amount of obligations for modifications of loan guarantee commitments or outstanding loan guarantees</w:t>
            </w:r>
            <w:r>
              <w:rPr>
                <w:spacing w:val="-6"/>
              </w:rPr>
              <w:t xml:space="preserve"> </w:t>
            </w:r>
            <w:r>
              <w:t>to</w:t>
            </w:r>
            <w:r>
              <w:rPr>
                <w:spacing w:val="-6"/>
              </w:rPr>
              <w:t xml:space="preserve"> </w:t>
            </w:r>
            <w:r>
              <w:t>the</w:t>
            </w:r>
            <w:r>
              <w:rPr>
                <w:spacing w:val="-6"/>
              </w:rPr>
              <w:t xml:space="preserve"> </w:t>
            </w:r>
            <w:r>
              <w:t>amount</w:t>
            </w:r>
            <w:r>
              <w:rPr>
                <w:spacing w:val="-6"/>
              </w:rPr>
              <w:t xml:space="preserve"> </w:t>
            </w:r>
            <w:r>
              <w:t>of</w:t>
            </w:r>
            <w:r>
              <w:rPr>
                <w:spacing w:val="-6"/>
              </w:rPr>
              <w:t xml:space="preserve"> </w:t>
            </w:r>
            <w:r>
              <w:t>available</w:t>
            </w:r>
            <w:r>
              <w:rPr>
                <w:spacing w:val="-6"/>
              </w:rPr>
              <w:t xml:space="preserve"> </w:t>
            </w:r>
            <w:r>
              <w:t>budget</w:t>
            </w:r>
            <w:r>
              <w:rPr>
                <w:spacing w:val="-6"/>
              </w:rPr>
              <w:t xml:space="preserve"> </w:t>
            </w:r>
            <w:r>
              <w:t>authority. (Note: Discuss applicability of this budget restriction to loan guarantees and loan guarantee commitments that were outstanding prior to</w:t>
            </w:r>
          </w:p>
          <w:p w14:paraId="0DFDB877" w14:textId="77777777" w:rsidR="00046465" w:rsidRDefault="008134EB">
            <w:pPr>
              <w:pStyle w:val="TableParagraph"/>
              <w:spacing w:before="1"/>
              <w:ind w:left="1064" w:right="456"/>
            </w:pPr>
            <w:r>
              <w:t>October</w:t>
            </w:r>
            <w:r>
              <w:rPr>
                <w:spacing w:val="-7"/>
              </w:rPr>
              <w:t xml:space="preserve"> </w:t>
            </w:r>
            <w:r>
              <w:t>1,</w:t>
            </w:r>
            <w:r>
              <w:rPr>
                <w:spacing w:val="-7"/>
              </w:rPr>
              <w:t xml:space="preserve"> </w:t>
            </w:r>
            <w:r>
              <w:t>1991,</w:t>
            </w:r>
            <w:r>
              <w:rPr>
                <w:spacing w:val="-7"/>
              </w:rPr>
              <w:t xml:space="preserve"> </w:t>
            </w:r>
            <w:r>
              <w:t>with</w:t>
            </w:r>
            <w:r>
              <w:rPr>
                <w:spacing w:val="-7"/>
              </w:rPr>
              <w:t xml:space="preserve"> </w:t>
            </w:r>
            <w:r>
              <w:t>OGC</w:t>
            </w:r>
            <w:r>
              <w:rPr>
                <w:spacing w:val="-7"/>
              </w:rPr>
              <w:t xml:space="preserve"> </w:t>
            </w:r>
            <w:r>
              <w:t>before</w:t>
            </w:r>
            <w:r>
              <w:rPr>
                <w:spacing w:val="-7"/>
              </w:rPr>
              <w:t xml:space="preserve"> </w:t>
            </w:r>
            <w:r>
              <w:t>performing compliance test.) 2 U.S.C. § 661c(b), (e).</w:t>
            </w:r>
          </w:p>
          <w:p w14:paraId="0DFDB878" w14:textId="77777777" w:rsidR="00046465" w:rsidRDefault="008134EB">
            <w:pPr>
              <w:pStyle w:val="TableParagraph"/>
              <w:spacing w:before="144"/>
              <w:ind w:left="567" w:right="178"/>
            </w:pPr>
            <w:r>
              <w:t>If the amounts of obligations in any of these comparisons exceed</w:t>
            </w:r>
            <w:r>
              <w:rPr>
                <w:spacing w:val="-5"/>
              </w:rPr>
              <w:t xml:space="preserve"> </w:t>
            </w:r>
            <w:r>
              <w:t>the</w:t>
            </w:r>
            <w:r>
              <w:rPr>
                <w:spacing w:val="-6"/>
              </w:rPr>
              <w:t xml:space="preserve"> </w:t>
            </w:r>
            <w:r>
              <w:t>available</w:t>
            </w:r>
            <w:r>
              <w:rPr>
                <w:spacing w:val="-5"/>
              </w:rPr>
              <w:t xml:space="preserve"> </w:t>
            </w:r>
            <w:r>
              <w:t>budget</w:t>
            </w:r>
            <w:r>
              <w:rPr>
                <w:spacing w:val="-5"/>
              </w:rPr>
              <w:t xml:space="preserve"> </w:t>
            </w:r>
            <w:r>
              <w:t>authority,</w:t>
            </w:r>
            <w:r>
              <w:rPr>
                <w:spacing w:val="-5"/>
              </w:rPr>
              <w:t xml:space="preserve"> </w:t>
            </w:r>
            <w:r>
              <w:t>then</w:t>
            </w:r>
            <w:r>
              <w:rPr>
                <w:spacing w:val="-4"/>
              </w:rPr>
              <w:t xml:space="preserve"> </w:t>
            </w:r>
            <w:r>
              <w:t>the</w:t>
            </w:r>
            <w:r>
              <w:rPr>
                <w:spacing w:val="-5"/>
              </w:rPr>
              <w:t xml:space="preserve"> </w:t>
            </w:r>
            <w:r>
              <w:t>entity</w:t>
            </w:r>
            <w:r>
              <w:rPr>
                <w:spacing w:val="-5"/>
              </w:rPr>
              <w:t xml:space="preserve"> </w:t>
            </w:r>
            <w:r>
              <w:t>may</w:t>
            </w:r>
            <w:r>
              <w:rPr>
                <w:spacing w:val="-5"/>
              </w:rPr>
              <w:t xml:space="preserve"> </w:t>
            </w:r>
            <w:r>
              <w:t>not be in compliance. Perform step 5.</w:t>
            </w:r>
          </w:p>
        </w:tc>
        <w:tc>
          <w:tcPr>
            <w:tcW w:w="1200" w:type="dxa"/>
            <w:tcBorders>
              <w:top w:val="single" w:sz="6" w:space="0" w:color="000000"/>
              <w:left w:val="single" w:sz="6" w:space="0" w:color="000000"/>
              <w:bottom w:val="single" w:sz="6" w:space="0" w:color="000000"/>
              <w:right w:val="single" w:sz="6" w:space="0" w:color="000000"/>
            </w:tcBorders>
          </w:tcPr>
          <w:p w14:paraId="0DFDB879" w14:textId="77777777" w:rsidR="00046465" w:rsidRDefault="00046465">
            <w:pPr>
              <w:pStyle w:val="TableParagraph"/>
              <w:rPr>
                <w:rFonts w:ascii="Times New Roman"/>
                <w:sz w:val="20"/>
              </w:rPr>
            </w:pPr>
          </w:p>
        </w:tc>
        <w:tc>
          <w:tcPr>
            <w:tcW w:w="1410" w:type="dxa"/>
            <w:tcBorders>
              <w:top w:val="single" w:sz="6" w:space="0" w:color="000000"/>
              <w:left w:val="single" w:sz="6" w:space="0" w:color="000000"/>
              <w:bottom w:val="single" w:sz="6" w:space="0" w:color="000000"/>
              <w:right w:val="double" w:sz="6" w:space="0" w:color="000000"/>
            </w:tcBorders>
          </w:tcPr>
          <w:p w14:paraId="0DFDB87A" w14:textId="77777777" w:rsidR="00046465" w:rsidRDefault="00046465">
            <w:pPr>
              <w:pStyle w:val="TableParagraph"/>
              <w:rPr>
                <w:rFonts w:ascii="Times New Roman"/>
                <w:sz w:val="20"/>
              </w:rPr>
            </w:pPr>
          </w:p>
        </w:tc>
      </w:tr>
    </w:tbl>
    <w:p w14:paraId="0DFDB87C" w14:textId="77777777" w:rsidR="00046465" w:rsidRDefault="00046465">
      <w:pPr>
        <w:pStyle w:val="TableParagraph"/>
        <w:rPr>
          <w:rFonts w:ascii="Times New Roman"/>
          <w:sz w:val="20"/>
        </w:rPr>
        <w:sectPr w:rsidR="00046465">
          <w:type w:val="continuous"/>
          <w:pgSz w:w="12240" w:h="15840"/>
          <w:pgMar w:top="1300" w:right="1080" w:bottom="940" w:left="1080" w:header="721" w:footer="742" w:gutter="0"/>
          <w:cols w:space="720"/>
        </w:sectPr>
      </w:pPr>
    </w:p>
    <w:tbl>
      <w:tblPr>
        <w:tblW w:w="0" w:type="auto"/>
        <w:tblInd w:w="382" w:type="dxa"/>
        <w:tblBorders>
          <w:top w:val="single" w:sz="36" w:space="0" w:color="000000"/>
          <w:left w:val="single" w:sz="36" w:space="0" w:color="000000"/>
          <w:bottom w:val="single" w:sz="36" w:space="0" w:color="000000"/>
          <w:right w:val="single" w:sz="36" w:space="0" w:color="000000"/>
          <w:insideH w:val="single" w:sz="36" w:space="0" w:color="000000"/>
          <w:insideV w:val="single" w:sz="36" w:space="0" w:color="000000"/>
        </w:tblBorders>
        <w:tblLayout w:type="fixed"/>
        <w:tblCellMar>
          <w:left w:w="0" w:type="dxa"/>
          <w:right w:w="0" w:type="dxa"/>
        </w:tblCellMar>
        <w:tblLook w:val="01E0" w:firstRow="1" w:lastRow="1" w:firstColumn="1" w:lastColumn="1" w:noHBand="0" w:noVBand="0"/>
      </w:tblPr>
      <w:tblGrid>
        <w:gridCol w:w="6840"/>
        <w:gridCol w:w="1200"/>
        <w:gridCol w:w="1410"/>
      </w:tblGrid>
      <w:tr w:rsidR="00046465" w14:paraId="0DFDB87E" w14:textId="77777777">
        <w:trPr>
          <w:trHeight w:val="1335"/>
        </w:trPr>
        <w:tc>
          <w:tcPr>
            <w:tcW w:w="9450" w:type="dxa"/>
            <w:gridSpan w:val="3"/>
            <w:tcBorders>
              <w:left w:val="double" w:sz="6" w:space="0" w:color="000000"/>
              <w:bottom w:val="double" w:sz="6" w:space="0" w:color="000000"/>
              <w:right w:val="double" w:sz="6" w:space="0" w:color="000000"/>
            </w:tcBorders>
          </w:tcPr>
          <w:p w14:paraId="0DFDB87D" w14:textId="77777777" w:rsidR="00046465" w:rsidRDefault="008134EB">
            <w:pPr>
              <w:pStyle w:val="TableParagraph"/>
              <w:tabs>
                <w:tab w:val="left" w:pos="8699"/>
              </w:tabs>
              <w:spacing w:before="7" w:line="390" w:lineRule="atLeast"/>
              <w:ind w:left="129" w:right="703"/>
              <w:jc w:val="both"/>
            </w:pPr>
            <w:r>
              <w:lastRenderedPageBreak/>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884" w14:textId="77777777">
        <w:trPr>
          <w:trHeight w:val="793"/>
        </w:trPr>
        <w:tc>
          <w:tcPr>
            <w:tcW w:w="6840" w:type="dxa"/>
            <w:tcBorders>
              <w:top w:val="double" w:sz="6" w:space="0" w:color="000000"/>
              <w:left w:val="double" w:sz="6" w:space="0" w:color="000000"/>
              <w:bottom w:val="double" w:sz="6" w:space="0" w:color="000000"/>
              <w:right w:val="single" w:sz="6" w:space="0" w:color="000000"/>
            </w:tcBorders>
          </w:tcPr>
          <w:p w14:paraId="0DFDB87F" w14:textId="77777777" w:rsidR="00046465" w:rsidRDefault="00046465">
            <w:pPr>
              <w:pStyle w:val="TableParagraph"/>
              <w:spacing w:before="144"/>
            </w:pPr>
          </w:p>
          <w:p w14:paraId="0DFDB880"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200" w:type="dxa"/>
            <w:tcBorders>
              <w:top w:val="double" w:sz="6" w:space="0" w:color="000000"/>
              <w:left w:val="single" w:sz="6" w:space="0" w:color="000000"/>
              <w:bottom w:val="double" w:sz="6" w:space="0" w:color="000000"/>
              <w:right w:val="single" w:sz="6" w:space="0" w:color="000000"/>
            </w:tcBorders>
          </w:tcPr>
          <w:p w14:paraId="0DFDB881" w14:textId="77777777" w:rsidR="00046465" w:rsidRDefault="008134EB">
            <w:pPr>
              <w:pStyle w:val="TableParagraph"/>
              <w:spacing w:before="144"/>
              <w:ind w:left="144"/>
              <w:rPr>
                <w:b/>
              </w:rPr>
            </w:pPr>
            <w:r>
              <w:rPr>
                <w:b/>
                <w:spacing w:val="-2"/>
              </w:rPr>
              <w:t xml:space="preserve">Initials/ </w:t>
            </w:r>
            <w:r>
              <w:rPr>
                <w:b/>
                <w:spacing w:val="-4"/>
              </w:rPr>
              <w:t>date</w:t>
            </w:r>
          </w:p>
        </w:tc>
        <w:tc>
          <w:tcPr>
            <w:tcW w:w="1410" w:type="dxa"/>
            <w:tcBorders>
              <w:top w:val="double" w:sz="6" w:space="0" w:color="000000"/>
              <w:left w:val="single" w:sz="6" w:space="0" w:color="000000"/>
              <w:bottom w:val="double" w:sz="6" w:space="0" w:color="000000"/>
              <w:right w:val="double" w:sz="6" w:space="0" w:color="000000"/>
            </w:tcBorders>
          </w:tcPr>
          <w:p w14:paraId="0DFDB882" w14:textId="77777777" w:rsidR="00046465" w:rsidRDefault="00046465">
            <w:pPr>
              <w:pStyle w:val="TableParagraph"/>
              <w:spacing w:before="144"/>
            </w:pPr>
          </w:p>
          <w:p w14:paraId="0DFDB883" w14:textId="77777777" w:rsidR="00046465" w:rsidRDefault="008134EB">
            <w:pPr>
              <w:pStyle w:val="TableParagraph"/>
              <w:ind w:left="144"/>
              <w:rPr>
                <w:b/>
              </w:rPr>
            </w:pPr>
            <w:r>
              <w:rPr>
                <w:b/>
              </w:rPr>
              <w:t>Doc.</w:t>
            </w:r>
            <w:r>
              <w:rPr>
                <w:b/>
                <w:spacing w:val="-6"/>
              </w:rPr>
              <w:t xml:space="preserve"> </w:t>
            </w:r>
            <w:r>
              <w:rPr>
                <w:b/>
                <w:spacing w:val="-4"/>
              </w:rPr>
              <w:t>ref.</w:t>
            </w:r>
          </w:p>
        </w:tc>
      </w:tr>
      <w:tr w:rsidR="00046465" w14:paraId="0DFDB888" w14:textId="77777777">
        <w:trPr>
          <w:trHeight w:val="2312"/>
        </w:trPr>
        <w:tc>
          <w:tcPr>
            <w:tcW w:w="6840" w:type="dxa"/>
            <w:tcBorders>
              <w:top w:val="double" w:sz="6" w:space="0" w:color="000000"/>
              <w:left w:val="double" w:sz="6" w:space="0" w:color="000000"/>
              <w:bottom w:val="single" w:sz="6" w:space="0" w:color="000000"/>
              <w:right w:val="single" w:sz="6" w:space="0" w:color="000000"/>
            </w:tcBorders>
          </w:tcPr>
          <w:p w14:paraId="0DFDB885" w14:textId="77777777" w:rsidR="00046465" w:rsidRDefault="008134EB">
            <w:pPr>
              <w:pStyle w:val="TableParagraph"/>
              <w:tabs>
                <w:tab w:val="left" w:pos="567"/>
              </w:tabs>
              <w:spacing w:before="144"/>
              <w:ind w:left="600" w:right="200" w:hanging="471"/>
            </w:pPr>
            <w:r>
              <w:rPr>
                <w:spacing w:val="-6"/>
              </w:rPr>
              <w:t>4.</w:t>
            </w:r>
            <w:r>
              <w:tab/>
              <w:t>Compare</w:t>
            </w:r>
            <w:r>
              <w:rPr>
                <w:spacing w:val="-4"/>
              </w:rPr>
              <w:t xml:space="preserve"> </w:t>
            </w:r>
            <w:r>
              <w:t>the</w:t>
            </w:r>
            <w:r>
              <w:rPr>
                <w:spacing w:val="-4"/>
              </w:rPr>
              <w:t xml:space="preserve"> </w:t>
            </w:r>
            <w:r>
              <w:t>total</w:t>
            </w:r>
            <w:r>
              <w:rPr>
                <w:spacing w:val="-4"/>
              </w:rPr>
              <w:t xml:space="preserve"> </w:t>
            </w:r>
            <w:r>
              <w:t>number</w:t>
            </w:r>
            <w:r>
              <w:rPr>
                <w:spacing w:val="-4"/>
              </w:rPr>
              <w:t xml:space="preserve"> </w:t>
            </w:r>
            <w:r>
              <w:t>and</w:t>
            </w:r>
            <w:r>
              <w:rPr>
                <w:spacing w:val="-4"/>
              </w:rPr>
              <w:t xml:space="preserve"> </w:t>
            </w:r>
            <w:r>
              <w:t>dollar</w:t>
            </w:r>
            <w:r>
              <w:rPr>
                <w:spacing w:val="-5"/>
              </w:rPr>
              <w:t xml:space="preserve"> </w:t>
            </w:r>
            <w:r>
              <w:t>volume</w:t>
            </w:r>
            <w:r>
              <w:rPr>
                <w:spacing w:val="-4"/>
              </w:rPr>
              <w:t xml:space="preserve"> </w:t>
            </w:r>
            <w:r>
              <w:t>of</w:t>
            </w:r>
            <w:r>
              <w:rPr>
                <w:spacing w:val="-4"/>
              </w:rPr>
              <w:t xml:space="preserve"> </w:t>
            </w:r>
            <w:r>
              <w:t>loans</w:t>
            </w:r>
            <w:r>
              <w:rPr>
                <w:spacing w:val="-4"/>
              </w:rPr>
              <w:t xml:space="preserve"> </w:t>
            </w:r>
            <w:r>
              <w:t>made</w:t>
            </w:r>
            <w:r>
              <w:rPr>
                <w:spacing w:val="-4"/>
              </w:rPr>
              <w:t xml:space="preserve"> </w:t>
            </w:r>
            <w:r>
              <w:t>to the loan limit in the applicable appropriations statute or other law for direct and guaranteed loan programs that have a negative subsidy (</w:t>
            </w:r>
            <w:r>
              <w:rPr>
                <w:i/>
              </w:rPr>
              <w:t xml:space="preserve">i.e., </w:t>
            </w:r>
            <w:r>
              <w:t>cash inflows exceed cash outflows). Such programs do not receive an appropriation. However, such programs often have a loan limit that cannot be exceeded, that is, a maximum number of loans that can be made or guaranteed. Perform step 5.</w:t>
            </w:r>
          </w:p>
        </w:tc>
        <w:tc>
          <w:tcPr>
            <w:tcW w:w="1200" w:type="dxa"/>
            <w:tcBorders>
              <w:top w:val="double" w:sz="6" w:space="0" w:color="000000"/>
              <w:left w:val="single" w:sz="6" w:space="0" w:color="000000"/>
              <w:bottom w:val="single" w:sz="6" w:space="0" w:color="000000"/>
              <w:right w:val="single" w:sz="6" w:space="0" w:color="000000"/>
            </w:tcBorders>
          </w:tcPr>
          <w:p w14:paraId="0DFDB886" w14:textId="77777777" w:rsidR="00046465" w:rsidRDefault="00046465">
            <w:pPr>
              <w:pStyle w:val="TableParagraph"/>
              <w:rPr>
                <w:rFonts w:ascii="Times New Roman"/>
                <w:sz w:val="20"/>
              </w:rPr>
            </w:pPr>
          </w:p>
        </w:tc>
        <w:tc>
          <w:tcPr>
            <w:tcW w:w="1410" w:type="dxa"/>
            <w:tcBorders>
              <w:top w:val="double" w:sz="6" w:space="0" w:color="000000"/>
              <w:left w:val="single" w:sz="6" w:space="0" w:color="000000"/>
              <w:bottom w:val="single" w:sz="6" w:space="0" w:color="000000"/>
              <w:right w:val="double" w:sz="6" w:space="0" w:color="000000"/>
            </w:tcBorders>
          </w:tcPr>
          <w:p w14:paraId="0DFDB887" w14:textId="77777777" w:rsidR="00046465" w:rsidRDefault="00046465">
            <w:pPr>
              <w:pStyle w:val="TableParagraph"/>
              <w:rPr>
                <w:rFonts w:ascii="Times New Roman"/>
                <w:sz w:val="20"/>
              </w:rPr>
            </w:pPr>
          </w:p>
        </w:tc>
      </w:tr>
      <w:tr w:rsidR="00046465" w14:paraId="0DFDB891" w14:textId="77777777">
        <w:trPr>
          <w:trHeight w:val="5368"/>
        </w:trPr>
        <w:tc>
          <w:tcPr>
            <w:tcW w:w="6840" w:type="dxa"/>
            <w:tcBorders>
              <w:top w:val="single" w:sz="6" w:space="0" w:color="000000"/>
              <w:left w:val="double" w:sz="6" w:space="0" w:color="000000"/>
              <w:bottom w:val="single" w:sz="6" w:space="0" w:color="000000"/>
              <w:right w:val="single" w:sz="6" w:space="0" w:color="000000"/>
            </w:tcBorders>
          </w:tcPr>
          <w:p w14:paraId="0DFDB889" w14:textId="77777777" w:rsidR="00046465" w:rsidRDefault="008134EB">
            <w:pPr>
              <w:pStyle w:val="TableParagraph"/>
              <w:numPr>
                <w:ilvl w:val="0"/>
                <w:numId w:val="173"/>
              </w:numPr>
              <w:tabs>
                <w:tab w:val="left" w:pos="600"/>
              </w:tabs>
              <w:spacing w:before="143"/>
              <w:ind w:right="166"/>
            </w:pPr>
            <w:r>
              <w:t>If</w:t>
            </w:r>
            <w:r>
              <w:rPr>
                <w:spacing w:val="-1"/>
              </w:rPr>
              <w:t xml:space="preserve"> </w:t>
            </w:r>
            <w:r>
              <w:t>the</w:t>
            </w:r>
            <w:r>
              <w:rPr>
                <w:spacing w:val="-1"/>
              </w:rPr>
              <w:t xml:space="preserve"> </w:t>
            </w:r>
            <w:r>
              <w:t>entity</w:t>
            </w:r>
            <w:r>
              <w:rPr>
                <w:spacing w:val="-2"/>
              </w:rPr>
              <w:t xml:space="preserve"> </w:t>
            </w:r>
            <w:r>
              <w:t>does</w:t>
            </w:r>
            <w:r>
              <w:rPr>
                <w:spacing w:val="-1"/>
              </w:rPr>
              <w:t xml:space="preserve"> </w:t>
            </w:r>
            <w:r>
              <w:t>not</w:t>
            </w:r>
            <w:r>
              <w:rPr>
                <w:spacing w:val="-1"/>
              </w:rPr>
              <w:t xml:space="preserve"> </w:t>
            </w:r>
            <w:r>
              <w:t>appear</w:t>
            </w:r>
            <w:r>
              <w:rPr>
                <w:spacing w:val="-1"/>
              </w:rPr>
              <w:t xml:space="preserve"> </w:t>
            </w:r>
            <w:r>
              <w:t>to</w:t>
            </w:r>
            <w:r>
              <w:rPr>
                <w:spacing w:val="-1"/>
              </w:rPr>
              <w:t xml:space="preserve"> </w:t>
            </w:r>
            <w:r>
              <w:t>be</w:t>
            </w:r>
            <w:r>
              <w:rPr>
                <w:spacing w:val="-1"/>
              </w:rPr>
              <w:t xml:space="preserve"> </w:t>
            </w:r>
            <w:r>
              <w:t>in</w:t>
            </w:r>
            <w:r>
              <w:rPr>
                <w:spacing w:val="-2"/>
              </w:rPr>
              <w:t xml:space="preserve"> </w:t>
            </w:r>
            <w:r>
              <w:t>compliance</w:t>
            </w:r>
            <w:r>
              <w:rPr>
                <w:spacing w:val="-2"/>
              </w:rPr>
              <w:t xml:space="preserve"> </w:t>
            </w:r>
            <w:r>
              <w:t>based</w:t>
            </w:r>
            <w:r>
              <w:rPr>
                <w:spacing w:val="-1"/>
              </w:rPr>
              <w:t xml:space="preserve"> </w:t>
            </w:r>
            <w:r>
              <w:t>on</w:t>
            </w:r>
            <w:r>
              <w:rPr>
                <w:spacing w:val="-1"/>
              </w:rPr>
              <w:t xml:space="preserve"> </w:t>
            </w:r>
            <w:r>
              <w:t>the results of tests performed, the auditor should discuss these matters with OGC and, when appropriate, the Special Investigator Unit to conclude on whether noncompliance actually</w:t>
            </w:r>
            <w:r>
              <w:rPr>
                <w:spacing w:val="-7"/>
              </w:rPr>
              <w:t xml:space="preserve"> </w:t>
            </w:r>
            <w:r>
              <w:t>occurred</w:t>
            </w:r>
            <w:r>
              <w:rPr>
                <w:spacing w:val="-6"/>
              </w:rPr>
              <w:t xml:space="preserve"> </w:t>
            </w:r>
            <w:r>
              <w:t>and</w:t>
            </w:r>
            <w:r>
              <w:rPr>
                <w:spacing w:val="-6"/>
              </w:rPr>
              <w:t xml:space="preserve"> </w:t>
            </w:r>
            <w:r>
              <w:t>the</w:t>
            </w:r>
            <w:r>
              <w:rPr>
                <w:spacing w:val="-6"/>
              </w:rPr>
              <w:t xml:space="preserve"> </w:t>
            </w:r>
            <w:r>
              <w:t>implications</w:t>
            </w:r>
            <w:r>
              <w:rPr>
                <w:spacing w:val="-6"/>
              </w:rPr>
              <w:t xml:space="preserve"> </w:t>
            </w:r>
            <w:r>
              <w:t>of</w:t>
            </w:r>
            <w:r>
              <w:rPr>
                <w:spacing w:val="-6"/>
              </w:rPr>
              <w:t xml:space="preserve"> </w:t>
            </w:r>
            <w:r>
              <w:t>such</w:t>
            </w:r>
            <w:r>
              <w:rPr>
                <w:spacing w:val="-6"/>
              </w:rPr>
              <w:t xml:space="preserve"> </w:t>
            </w:r>
            <w:r>
              <w:t>noncompliance.</w:t>
            </w:r>
          </w:p>
          <w:p w14:paraId="0DFDB88A" w14:textId="77777777" w:rsidR="00046465" w:rsidRDefault="008134EB">
            <w:pPr>
              <w:pStyle w:val="TableParagraph"/>
              <w:spacing w:before="146"/>
              <w:ind w:left="568"/>
            </w:pPr>
            <w:r>
              <w:t>For</w:t>
            </w:r>
            <w:r>
              <w:rPr>
                <w:spacing w:val="-7"/>
              </w:rPr>
              <w:t xml:space="preserve"> </w:t>
            </w:r>
            <w:r>
              <w:t>any</w:t>
            </w:r>
            <w:r>
              <w:rPr>
                <w:spacing w:val="-7"/>
              </w:rPr>
              <w:t xml:space="preserve"> </w:t>
            </w:r>
            <w:r>
              <w:t>noncompliance</w:t>
            </w:r>
            <w:r>
              <w:rPr>
                <w:spacing w:val="-7"/>
              </w:rPr>
              <w:t xml:space="preserve"> </w:t>
            </w:r>
            <w:r>
              <w:t>noted,</w:t>
            </w:r>
            <w:r>
              <w:rPr>
                <w:spacing w:val="-7"/>
              </w:rPr>
              <w:t xml:space="preserve"> </w:t>
            </w:r>
            <w:r>
              <w:t>the</w:t>
            </w:r>
            <w:r>
              <w:rPr>
                <w:spacing w:val="-6"/>
              </w:rPr>
              <w:t xml:space="preserve"> </w:t>
            </w:r>
            <w:r>
              <w:t>auditor</w:t>
            </w:r>
            <w:r>
              <w:rPr>
                <w:spacing w:val="-7"/>
              </w:rPr>
              <w:t xml:space="preserve"> </w:t>
            </w:r>
            <w:r>
              <w:rPr>
                <w:spacing w:val="-2"/>
              </w:rPr>
              <w:t>should</w:t>
            </w:r>
          </w:p>
          <w:p w14:paraId="0DFDB88B" w14:textId="77777777" w:rsidR="00046465" w:rsidRDefault="008134EB">
            <w:pPr>
              <w:pStyle w:val="TableParagraph"/>
              <w:numPr>
                <w:ilvl w:val="1"/>
                <w:numId w:val="173"/>
              </w:numPr>
              <w:tabs>
                <w:tab w:val="left" w:pos="928"/>
              </w:tabs>
              <w:spacing w:before="142"/>
              <w:ind w:right="205" w:hanging="361"/>
            </w:pPr>
            <w:r>
              <w:t>identify</w:t>
            </w:r>
            <w:r>
              <w:rPr>
                <w:spacing w:val="-5"/>
              </w:rPr>
              <w:t xml:space="preserve"> </w:t>
            </w:r>
            <w:r>
              <w:t>the</w:t>
            </w:r>
            <w:r>
              <w:rPr>
                <w:spacing w:val="-6"/>
              </w:rPr>
              <w:t xml:space="preserve"> </w:t>
            </w:r>
            <w:r>
              <w:t>weaknesses</w:t>
            </w:r>
            <w:r>
              <w:rPr>
                <w:spacing w:val="-6"/>
              </w:rPr>
              <w:t xml:space="preserve"> </w:t>
            </w:r>
            <w:r>
              <w:t>in</w:t>
            </w:r>
            <w:r>
              <w:rPr>
                <w:spacing w:val="-5"/>
              </w:rPr>
              <w:t xml:space="preserve"> </w:t>
            </w:r>
            <w:r>
              <w:t>internal</w:t>
            </w:r>
            <w:r>
              <w:rPr>
                <w:spacing w:val="-6"/>
              </w:rPr>
              <w:t xml:space="preserve"> </w:t>
            </w:r>
            <w:r>
              <w:t>control</w:t>
            </w:r>
            <w:r>
              <w:rPr>
                <w:spacing w:val="-5"/>
              </w:rPr>
              <w:t xml:space="preserve"> </w:t>
            </w:r>
            <w:r>
              <w:t>that</w:t>
            </w:r>
            <w:r>
              <w:rPr>
                <w:spacing w:val="-5"/>
              </w:rPr>
              <w:t xml:space="preserve"> </w:t>
            </w:r>
            <w:r>
              <w:t>allowed</w:t>
            </w:r>
            <w:r>
              <w:rPr>
                <w:spacing w:val="-5"/>
              </w:rPr>
              <w:t xml:space="preserve"> </w:t>
            </w:r>
            <w:r>
              <w:t>the noncompliance to occur, if not previously identified during control testing;</w:t>
            </w:r>
          </w:p>
          <w:p w14:paraId="0DFDB88C" w14:textId="77777777" w:rsidR="00046465" w:rsidRDefault="008134EB">
            <w:pPr>
              <w:pStyle w:val="TableParagraph"/>
              <w:numPr>
                <w:ilvl w:val="1"/>
                <w:numId w:val="173"/>
              </w:numPr>
              <w:tabs>
                <w:tab w:val="left" w:pos="928"/>
              </w:tabs>
              <w:spacing w:before="143"/>
              <w:ind w:right="216"/>
            </w:pPr>
            <w:r>
              <w:t>determine</w:t>
            </w:r>
            <w:r>
              <w:rPr>
                <w:spacing w:val="-5"/>
              </w:rPr>
              <w:t xml:space="preserve"> </w:t>
            </w:r>
            <w:r>
              <w:t>the</w:t>
            </w:r>
            <w:r>
              <w:rPr>
                <w:spacing w:val="-5"/>
              </w:rPr>
              <w:t xml:space="preserve"> </w:t>
            </w:r>
            <w:r>
              <w:t>impact</w:t>
            </w:r>
            <w:r>
              <w:rPr>
                <w:spacing w:val="-5"/>
              </w:rPr>
              <w:t xml:space="preserve"> </w:t>
            </w:r>
            <w:r>
              <w:t>on</w:t>
            </w:r>
            <w:r>
              <w:rPr>
                <w:spacing w:val="-5"/>
              </w:rPr>
              <w:t xml:space="preserve"> </w:t>
            </w:r>
            <w:r>
              <w:t>the</w:t>
            </w:r>
            <w:r>
              <w:rPr>
                <w:spacing w:val="-5"/>
              </w:rPr>
              <w:t xml:space="preserve"> </w:t>
            </w:r>
            <w:r>
              <w:t>report</w:t>
            </w:r>
            <w:r>
              <w:rPr>
                <w:spacing w:val="-5"/>
              </w:rPr>
              <w:t xml:space="preserve"> </w:t>
            </w:r>
            <w:r>
              <w:t>on</w:t>
            </w:r>
            <w:r>
              <w:rPr>
                <w:spacing w:val="-5"/>
              </w:rPr>
              <w:t xml:space="preserve"> </w:t>
            </w:r>
            <w:r>
              <w:t>internal</w:t>
            </w:r>
            <w:r>
              <w:rPr>
                <w:spacing w:val="-5"/>
              </w:rPr>
              <w:t xml:space="preserve"> </w:t>
            </w:r>
            <w:r>
              <w:t>control</w:t>
            </w:r>
            <w:r>
              <w:rPr>
                <w:spacing w:val="-5"/>
              </w:rPr>
              <w:t xml:space="preserve"> </w:t>
            </w:r>
            <w:r>
              <w:t>over financial reporting (see the Internal Control subsection in FAM 580);</w:t>
            </w:r>
          </w:p>
          <w:p w14:paraId="0DFDB88D" w14:textId="77777777" w:rsidR="00046465" w:rsidRDefault="008134EB">
            <w:pPr>
              <w:pStyle w:val="TableParagraph"/>
              <w:numPr>
                <w:ilvl w:val="1"/>
                <w:numId w:val="173"/>
              </w:numPr>
              <w:tabs>
                <w:tab w:val="left" w:pos="928"/>
              </w:tabs>
              <w:spacing w:before="142"/>
            </w:pPr>
            <w:r>
              <w:t>consider</w:t>
            </w:r>
            <w:r>
              <w:rPr>
                <w:spacing w:val="-8"/>
              </w:rPr>
              <w:t xml:space="preserve"> </w:t>
            </w:r>
            <w:r>
              <w:t>the</w:t>
            </w:r>
            <w:r>
              <w:rPr>
                <w:spacing w:val="-9"/>
              </w:rPr>
              <w:t xml:space="preserve"> </w:t>
            </w:r>
            <w:r>
              <w:t>implications</w:t>
            </w:r>
            <w:r>
              <w:rPr>
                <w:spacing w:val="-8"/>
              </w:rPr>
              <w:t xml:space="preserve"> </w:t>
            </w:r>
            <w:r>
              <w:t>on</w:t>
            </w:r>
            <w:r>
              <w:rPr>
                <w:spacing w:val="-8"/>
              </w:rPr>
              <w:t xml:space="preserve"> </w:t>
            </w:r>
            <w:r>
              <w:t>the</w:t>
            </w:r>
            <w:r>
              <w:rPr>
                <w:spacing w:val="-7"/>
              </w:rPr>
              <w:t xml:space="preserve"> </w:t>
            </w:r>
            <w:r>
              <w:t>financial</w:t>
            </w:r>
            <w:r>
              <w:rPr>
                <w:spacing w:val="-8"/>
              </w:rPr>
              <w:t xml:space="preserve"> </w:t>
            </w:r>
            <w:r>
              <w:t>statements;</w:t>
            </w:r>
            <w:r>
              <w:rPr>
                <w:spacing w:val="-7"/>
              </w:rPr>
              <w:t xml:space="preserve"> </w:t>
            </w:r>
            <w:r>
              <w:rPr>
                <w:spacing w:val="-5"/>
              </w:rPr>
              <w:t>and</w:t>
            </w:r>
          </w:p>
          <w:p w14:paraId="0DFDB88E" w14:textId="77777777" w:rsidR="00046465" w:rsidRDefault="008134EB">
            <w:pPr>
              <w:pStyle w:val="TableParagraph"/>
              <w:numPr>
                <w:ilvl w:val="1"/>
                <w:numId w:val="173"/>
              </w:numPr>
              <w:tabs>
                <w:tab w:val="left" w:pos="927"/>
              </w:tabs>
              <w:spacing w:before="142"/>
              <w:ind w:left="927" w:right="144"/>
            </w:pPr>
            <w:r>
              <w:t>report</w:t>
            </w:r>
            <w:r>
              <w:rPr>
                <w:spacing w:val="-6"/>
              </w:rPr>
              <w:t xml:space="preserve"> </w:t>
            </w:r>
            <w:r>
              <w:t>instances</w:t>
            </w:r>
            <w:r>
              <w:rPr>
                <w:spacing w:val="-6"/>
              </w:rPr>
              <w:t xml:space="preserve"> </w:t>
            </w:r>
            <w:r>
              <w:t>of</w:t>
            </w:r>
            <w:r>
              <w:rPr>
                <w:spacing w:val="-6"/>
              </w:rPr>
              <w:t xml:space="preserve"> </w:t>
            </w:r>
            <w:r>
              <w:t>noncompliance,</w:t>
            </w:r>
            <w:r>
              <w:rPr>
                <w:spacing w:val="-7"/>
              </w:rPr>
              <w:t xml:space="preserve"> </w:t>
            </w:r>
            <w:r>
              <w:t>as</w:t>
            </w:r>
            <w:r>
              <w:rPr>
                <w:spacing w:val="-6"/>
              </w:rPr>
              <w:t xml:space="preserve"> </w:t>
            </w:r>
            <w:r>
              <w:t>appropriate</w:t>
            </w:r>
            <w:r>
              <w:rPr>
                <w:spacing w:val="-6"/>
              </w:rPr>
              <w:t xml:space="preserve"> </w:t>
            </w:r>
            <w:r>
              <w:t>(see</w:t>
            </w:r>
            <w:r>
              <w:rPr>
                <w:spacing w:val="-6"/>
              </w:rPr>
              <w:t xml:space="preserve"> </w:t>
            </w:r>
            <w:r>
              <w:t>the Compliance with Applicable Laws, Regulations, Contracts, and Grant Agreements and Instances of Fraud subsection in FAM 580).</w:t>
            </w:r>
          </w:p>
        </w:tc>
        <w:tc>
          <w:tcPr>
            <w:tcW w:w="1200" w:type="dxa"/>
            <w:tcBorders>
              <w:top w:val="single" w:sz="6" w:space="0" w:color="000000"/>
              <w:left w:val="single" w:sz="6" w:space="0" w:color="000000"/>
              <w:bottom w:val="single" w:sz="6" w:space="0" w:color="000000"/>
              <w:right w:val="single" w:sz="6" w:space="0" w:color="000000"/>
            </w:tcBorders>
          </w:tcPr>
          <w:p w14:paraId="0DFDB88F" w14:textId="77777777" w:rsidR="00046465" w:rsidRDefault="00046465">
            <w:pPr>
              <w:pStyle w:val="TableParagraph"/>
              <w:rPr>
                <w:rFonts w:ascii="Times New Roman"/>
                <w:sz w:val="20"/>
              </w:rPr>
            </w:pPr>
          </w:p>
        </w:tc>
        <w:tc>
          <w:tcPr>
            <w:tcW w:w="1410" w:type="dxa"/>
            <w:tcBorders>
              <w:top w:val="single" w:sz="6" w:space="0" w:color="000000"/>
              <w:left w:val="single" w:sz="6" w:space="0" w:color="000000"/>
              <w:bottom w:val="single" w:sz="6" w:space="0" w:color="000000"/>
              <w:right w:val="double" w:sz="6" w:space="0" w:color="000000"/>
            </w:tcBorders>
          </w:tcPr>
          <w:p w14:paraId="0DFDB890" w14:textId="77777777" w:rsidR="00046465" w:rsidRDefault="00046465">
            <w:pPr>
              <w:pStyle w:val="TableParagraph"/>
              <w:rPr>
                <w:rFonts w:ascii="Times New Roman"/>
                <w:sz w:val="20"/>
              </w:rPr>
            </w:pPr>
          </w:p>
        </w:tc>
      </w:tr>
      <w:tr w:rsidR="00046465" w14:paraId="0DFDB895" w14:textId="77777777">
        <w:trPr>
          <w:trHeight w:val="794"/>
        </w:trPr>
        <w:tc>
          <w:tcPr>
            <w:tcW w:w="6840" w:type="dxa"/>
            <w:tcBorders>
              <w:top w:val="single" w:sz="6" w:space="0" w:color="000000"/>
              <w:left w:val="double" w:sz="6" w:space="0" w:color="000000"/>
              <w:bottom w:val="double" w:sz="6" w:space="0" w:color="000000"/>
              <w:right w:val="single" w:sz="6" w:space="0" w:color="000000"/>
            </w:tcBorders>
          </w:tcPr>
          <w:p w14:paraId="0DFDB892" w14:textId="77777777" w:rsidR="00046465" w:rsidRDefault="008134EB">
            <w:pPr>
              <w:pStyle w:val="TableParagraph"/>
              <w:tabs>
                <w:tab w:val="left" w:pos="567"/>
              </w:tabs>
              <w:spacing w:before="143"/>
              <w:ind w:left="605" w:right="309" w:hanging="476"/>
            </w:pPr>
            <w:r>
              <w:rPr>
                <w:spacing w:val="-6"/>
              </w:rPr>
              <w:t>6.</w:t>
            </w:r>
            <w:r>
              <w:tab/>
              <w:t>Document</w:t>
            </w:r>
            <w:r>
              <w:rPr>
                <w:spacing w:val="-6"/>
              </w:rPr>
              <w:t xml:space="preserve"> </w:t>
            </w:r>
            <w:r>
              <w:t>conclusions</w:t>
            </w:r>
            <w:r>
              <w:rPr>
                <w:spacing w:val="-6"/>
              </w:rPr>
              <w:t xml:space="preserve"> </w:t>
            </w:r>
            <w:r>
              <w:t>on</w:t>
            </w:r>
            <w:r>
              <w:rPr>
                <w:spacing w:val="-6"/>
              </w:rPr>
              <w:t xml:space="preserve"> </w:t>
            </w:r>
            <w:r>
              <w:t>compliance</w:t>
            </w:r>
            <w:r>
              <w:rPr>
                <w:spacing w:val="-6"/>
              </w:rPr>
              <w:t xml:space="preserve"> </w:t>
            </w:r>
            <w:r>
              <w:t>with</w:t>
            </w:r>
            <w:r>
              <w:rPr>
                <w:spacing w:val="-6"/>
              </w:rPr>
              <w:t xml:space="preserve"> </w:t>
            </w:r>
            <w:r>
              <w:t>each</w:t>
            </w:r>
            <w:r>
              <w:rPr>
                <w:spacing w:val="-7"/>
              </w:rPr>
              <w:t xml:space="preserve"> </w:t>
            </w:r>
            <w:r>
              <w:t>provision</w:t>
            </w:r>
            <w:r>
              <w:rPr>
                <w:spacing w:val="-6"/>
              </w:rPr>
              <w:t xml:space="preserve"> </w:t>
            </w:r>
            <w:r>
              <w:t>on Form 804, Compliance Summary.</w:t>
            </w:r>
          </w:p>
        </w:tc>
        <w:tc>
          <w:tcPr>
            <w:tcW w:w="1200" w:type="dxa"/>
            <w:tcBorders>
              <w:top w:val="single" w:sz="6" w:space="0" w:color="000000"/>
              <w:left w:val="single" w:sz="6" w:space="0" w:color="000000"/>
              <w:bottom w:val="double" w:sz="6" w:space="0" w:color="000000"/>
              <w:right w:val="single" w:sz="6" w:space="0" w:color="000000"/>
            </w:tcBorders>
          </w:tcPr>
          <w:p w14:paraId="0DFDB893" w14:textId="77777777" w:rsidR="00046465" w:rsidRDefault="00046465">
            <w:pPr>
              <w:pStyle w:val="TableParagraph"/>
              <w:rPr>
                <w:rFonts w:ascii="Times New Roman"/>
                <w:sz w:val="20"/>
              </w:rPr>
            </w:pPr>
          </w:p>
        </w:tc>
        <w:tc>
          <w:tcPr>
            <w:tcW w:w="1410" w:type="dxa"/>
            <w:tcBorders>
              <w:top w:val="single" w:sz="6" w:space="0" w:color="000000"/>
              <w:left w:val="single" w:sz="6" w:space="0" w:color="000000"/>
              <w:bottom w:val="double" w:sz="6" w:space="0" w:color="000000"/>
              <w:right w:val="double" w:sz="6" w:space="0" w:color="000000"/>
            </w:tcBorders>
          </w:tcPr>
          <w:p w14:paraId="0DFDB894" w14:textId="77777777" w:rsidR="00046465" w:rsidRDefault="00046465">
            <w:pPr>
              <w:pStyle w:val="TableParagraph"/>
              <w:rPr>
                <w:rFonts w:ascii="Times New Roman"/>
                <w:sz w:val="20"/>
              </w:rPr>
            </w:pPr>
          </w:p>
        </w:tc>
      </w:tr>
    </w:tbl>
    <w:p w14:paraId="0DFDB896" w14:textId="77777777" w:rsidR="00046465" w:rsidRDefault="00046465">
      <w:pPr>
        <w:pStyle w:val="TableParagraph"/>
        <w:rPr>
          <w:rFonts w:ascii="Times New Roman"/>
          <w:sz w:val="20"/>
        </w:rPr>
        <w:sectPr w:rsidR="00046465">
          <w:type w:val="continuous"/>
          <w:pgSz w:w="12240" w:h="15840"/>
          <w:pgMar w:top="1300" w:right="1080" w:bottom="940" w:left="1080" w:header="721" w:footer="742" w:gutter="0"/>
          <w:cols w:space="720"/>
        </w:sectPr>
      </w:pPr>
    </w:p>
    <w:p w14:paraId="0DFDB897" w14:textId="77777777" w:rsidR="00046465" w:rsidRDefault="008134EB">
      <w:pPr>
        <w:pStyle w:val="Heading3"/>
        <w:spacing w:before="85"/>
        <w:rPr>
          <w:u w:val="none"/>
        </w:rPr>
      </w:pPr>
      <w:bookmarkStart w:id="193" w:name="805_–_Federal_Debt_Collection_Authoritie"/>
      <w:bookmarkStart w:id="194" w:name="_bookmark88"/>
      <w:bookmarkEnd w:id="193"/>
      <w:bookmarkEnd w:id="194"/>
      <w:r>
        <w:lastRenderedPageBreak/>
        <w:t>805</w:t>
      </w:r>
      <w:r>
        <w:rPr>
          <w:spacing w:val="-6"/>
        </w:rPr>
        <w:t xml:space="preserve"> </w:t>
      </w:r>
      <w:r>
        <w:t>–</w:t>
      </w:r>
      <w:r>
        <w:rPr>
          <w:spacing w:val="-3"/>
        </w:rPr>
        <w:t xml:space="preserve"> </w:t>
      </w:r>
      <w:r>
        <w:t>Federal</w:t>
      </w:r>
      <w:r>
        <w:rPr>
          <w:spacing w:val="-5"/>
        </w:rPr>
        <w:t xml:space="preserve"> </w:t>
      </w:r>
      <w:r>
        <w:t>Debt</w:t>
      </w:r>
      <w:r>
        <w:rPr>
          <w:spacing w:val="-5"/>
        </w:rPr>
        <w:t xml:space="preserve"> </w:t>
      </w:r>
      <w:r>
        <w:t>Collection</w:t>
      </w:r>
      <w:r>
        <w:rPr>
          <w:spacing w:val="-15"/>
        </w:rPr>
        <w:t xml:space="preserve"> </w:t>
      </w:r>
      <w:r>
        <w:t>Authorities,</w:t>
      </w:r>
      <w:r>
        <w:rPr>
          <w:spacing w:val="-4"/>
        </w:rPr>
        <w:t xml:space="preserve"> </w:t>
      </w:r>
      <w:r>
        <w:t>a</w:t>
      </w:r>
      <w:bookmarkStart w:id="195" w:name="_bookmark90"/>
      <w:bookmarkEnd w:id="195"/>
      <w:r>
        <w:t>s</w:t>
      </w:r>
      <w:r>
        <w:rPr>
          <w:spacing w:val="-4"/>
        </w:rPr>
        <w:t xml:space="preserve"> </w:t>
      </w:r>
      <w:r>
        <w:t>Provi</w:t>
      </w:r>
      <w:bookmarkStart w:id="196" w:name="_bookmark91"/>
      <w:bookmarkEnd w:id="196"/>
      <w:r>
        <w:t>ded</w:t>
      </w:r>
      <w:r>
        <w:rPr>
          <w:spacing w:val="-4"/>
        </w:rPr>
        <w:t xml:space="preserve"> </w:t>
      </w:r>
      <w:r>
        <w:t>i</w:t>
      </w:r>
      <w:bookmarkStart w:id="197" w:name="_bookmark92"/>
      <w:bookmarkEnd w:id="197"/>
      <w:r>
        <w:t>n</w:t>
      </w:r>
      <w:r>
        <w:rPr>
          <w:spacing w:val="-4"/>
        </w:rPr>
        <w:t xml:space="preserve"> </w:t>
      </w:r>
      <w:r>
        <w:t>3</w:t>
      </w:r>
      <w:bookmarkStart w:id="198" w:name="_bookmark89"/>
      <w:bookmarkEnd w:id="198"/>
      <w:r>
        <w:t>1</w:t>
      </w:r>
      <w:r>
        <w:rPr>
          <w:spacing w:val="-4"/>
        </w:rPr>
        <w:t xml:space="preserve"> </w:t>
      </w:r>
      <w:bookmarkStart w:id="199" w:name="_bookmark93"/>
      <w:bookmarkEnd w:id="199"/>
      <w:r>
        <w:t>U.S.C.</w:t>
      </w:r>
      <w:r>
        <w:rPr>
          <w:spacing w:val="-5"/>
        </w:rPr>
        <w:t xml:space="preserve"> </w:t>
      </w:r>
      <w:r>
        <w:t>Chapter</w:t>
      </w:r>
      <w:r>
        <w:rPr>
          <w:spacing w:val="-4"/>
        </w:rPr>
        <w:t xml:space="preserve"> </w:t>
      </w:r>
      <w:r>
        <w:rPr>
          <w:spacing w:val="-5"/>
        </w:rPr>
        <w:t>37</w:t>
      </w:r>
    </w:p>
    <w:p w14:paraId="0DFDB898" w14:textId="77777777" w:rsidR="00046465" w:rsidRDefault="008134EB">
      <w:pPr>
        <w:pStyle w:val="BodyText"/>
        <w:spacing w:before="239"/>
        <w:ind w:left="360"/>
      </w:pPr>
      <w:r>
        <w:t>Note: The auditor should complete this compliance summary or prepare equivalent documentation only if the Federal Debt Collection Authorities,</w:t>
      </w:r>
      <w:r>
        <w:rPr>
          <w:spacing w:val="-1"/>
        </w:rPr>
        <w:t xml:space="preserve"> </w:t>
      </w:r>
      <w:r>
        <w:t>as provided</w:t>
      </w:r>
      <w:r>
        <w:rPr>
          <w:spacing w:val="-1"/>
        </w:rPr>
        <w:t xml:space="preserve"> </w:t>
      </w:r>
      <w:r>
        <w:t>in 31 U.S.C. chapter 37,</w:t>
      </w:r>
      <w:r>
        <w:rPr>
          <w:spacing w:val="-1"/>
        </w:rPr>
        <w:t xml:space="preserve"> </w:t>
      </w:r>
      <w:r>
        <w:t>are significant, as indicated on Form</w:t>
      </w:r>
      <w:r>
        <w:rPr>
          <w:spacing w:val="-1"/>
        </w:rPr>
        <w:t xml:space="preserve"> </w:t>
      </w:r>
      <w:r>
        <w:t>802, General Compliance Checklist. Implementing regulations</w:t>
      </w:r>
      <w:r>
        <w:rPr>
          <w:spacing w:val="-3"/>
        </w:rPr>
        <w:t xml:space="preserve"> </w:t>
      </w:r>
      <w:r>
        <w:t>on</w:t>
      </w:r>
      <w:r>
        <w:rPr>
          <w:spacing w:val="-2"/>
        </w:rPr>
        <w:t xml:space="preserve"> </w:t>
      </w:r>
      <w:r>
        <w:t>the</w:t>
      </w:r>
      <w:r>
        <w:rPr>
          <w:spacing w:val="-2"/>
        </w:rPr>
        <w:t xml:space="preserve"> </w:t>
      </w:r>
      <w:r>
        <w:t>Federal</w:t>
      </w:r>
      <w:r>
        <w:rPr>
          <w:spacing w:val="-2"/>
        </w:rPr>
        <w:t xml:space="preserve"> </w:t>
      </w:r>
      <w:r>
        <w:t>Debt</w:t>
      </w:r>
      <w:r>
        <w:rPr>
          <w:spacing w:val="-2"/>
        </w:rPr>
        <w:t xml:space="preserve"> </w:t>
      </w:r>
      <w:r>
        <w:t>Collection</w:t>
      </w:r>
      <w:r>
        <w:rPr>
          <w:spacing w:val="-2"/>
        </w:rPr>
        <w:t xml:space="preserve"> </w:t>
      </w:r>
      <w:r>
        <w:t>Authorities,</w:t>
      </w:r>
      <w:r>
        <w:rPr>
          <w:spacing w:val="-2"/>
        </w:rPr>
        <w:t xml:space="preserve"> </w:t>
      </w:r>
      <w:r>
        <w:t>as</w:t>
      </w:r>
      <w:r>
        <w:rPr>
          <w:spacing w:val="-3"/>
        </w:rPr>
        <w:t xml:space="preserve"> </w:t>
      </w:r>
      <w:r>
        <w:t>provided</w:t>
      </w:r>
      <w:r>
        <w:rPr>
          <w:spacing w:val="-2"/>
        </w:rPr>
        <w:t xml:space="preserve"> </w:t>
      </w:r>
      <w:r>
        <w:t>in</w:t>
      </w:r>
      <w:r>
        <w:rPr>
          <w:spacing w:val="-2"/>
        </w:rPr>
        <w:t xml:space="preserve"> </w:t>
      </w:r>
      <w:r>
        <w:t>31</w:t>
      </w:r>
      <w:r>
        <w:rPr>
          <w:spacing w:val="-3"/>
        </w:rPr>
        <w:t xml:space="preserve"> </w:t>
      </w:r>
      <w:r>
        <w:t>U.S.C.</w:t>
      </w:r>
      <w:r>
        <w:rPr>
          <w:spacing w:val="-2"/>
        </w:rPr>
        <w:t xml:space="preserve"> </w:t>
      </w:r>
      <w:r>
        <w:t>chapter</w:t>
      </w:r>
      <w:r>
        <w:rPr>
          <w:spacing w:val="-2"/>
        </w:rPr>
        <w:t xml:space="preserve"> </w:t>
      </w:r>
      <w:r>
        <w:t>37,</w:t>
      </w:r>
      <w:r>
        <w:rPr>
          <w:spacing w:val="-2"/>
        </w:rPr>
        <w:t xml:space="preserve"> </w:t>
      </w:r>
      <w:r>
        <w:t>are</w:t>
      </w:r>
      <w:r>
        <w:rPr>
          <w:spacing w:val="-2"/>
        </w:rPr>
        <w:t xml:space="preserve"> </w:t>
      </w:r>
      <w:r>
        <w:t>included</w:t>
      </w:r>
      <w:r>
        <w:rPr>
          <w:spacing w:val="-2"/>
        </w:rPr>
        <w:t xml:space="preserve"> </w:t>
      </w:r>
      <w:r>
        <w:t>in</w:t>
      </w:r>
      <w:r>
        <w:rPr>
          <w:spacing w:val="-2"/>
        </w:rPr>
        <w:t xml:space="preserve"> </w:t>
      </w:r>
      <w:r>
        <w:t>31</w:t>
      </w:r>
      <w:r>
        <w:rPr>
          <w:spacing w:val="-2"/>
        </w:rPr>
        <w:t xml:space="preserve"> </w:t>
      </w:r>
      <w:r>
        <w:t>C.F.R.</w:t>
      </w:r>
      <w:r>
        <w:rPr>
          <w:spacing w:val="-2"/>
        </w:rPr>
        <w:t xml:space="preserve"> </w:t>
      </w:r>
      <w:r>
        <w:t>Parts</w:t>
      </w:r>
      <w:r>
        <w:rPr>
          <w:spacing w:val="-2"/>
        </w:rPr>
        <w:t xml:space="preserve"> </w:t>
      </w:r>
      <w:r>
        <w:t>285</w:t>
      </w:r>
      <w:r>
        <w:rPr>
          <w:spacing w:val="-2"/>
        </w:rPr>
        <w:t xml:space="preserve"> </w:t>
      </w:r>
      <w:r>
        <w:t>and</w:t>
      </w:r>
      <w:r>
        <w:rPr>
          <w:spacing w:val="-2"/>
        </w:rPr>
        <w:t xml:space="preserve"> </w:t>
      </w:r>
      <w:r>
        <w:t>900-</w:t>
      </w:r>
      <w:r>
        <w:rPr>
          <w:spacing w:val="-4"/>
        </w:rPr>
        <w:t>904.</w:t>
      </w:r>
    </w:p>
    <w:p w14:paraId="0DFDB899" w14:textId="77777777" w:rsidR="00046465" w:rsidRDefault="00046465">
      <w:pPr>
        <w:pStyle w:val="BodyText"/>
        <w:spacing w:before="5"/>
        <w:rPr>
          <w:sz w:val="13"/>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943"/>
        <w:gridCol w:w="1791"/>
        <w:gridCol w:w="2231"/>
        <w:gridCol w:w="1524"/>
        <w:gridCol w:w="1496"/>
        <w:gridCol w:w="2185"/>
      </w:tblGrid>
      <w:tr w:rsidR="00046465" w14:paraId="0DFDB8A5" w14:textId="77777777">
        <w:trPr>
          <w:trHeight w:val="1574"/>
        </w:trPr>
        <w:tc>
          <w:tcPr>
            <w:tcW w:w="3943" w:type="dxa"/>
            <w:tcBorders>
              <w:right w:val="nil"/>
            </w:tcBorders>
          </w:tcPr>
          <w:p w14:paraId="0DFDB89A" w14:textId="77777777" w:rsidR="00046465" w:rsidRDefault="008134EB">
            <w:pPr>
              <w:pStyle w:val="TableParagraph"/>
              <w:spacing w:before="144"/>
              <w:ind w:right="2058"/>
              <w:jc w:val="right"/>
            </w:pPr>
            <w:r>
              <w:t>Name</w:t>
            </w:r>
            <w:r>
              <w:rPr>
                <w:spacing w:val="-5"/>
              </w:rPr>
              <w:t xml:space="preserve"> </w:t>
            </w:r>
            <w:r>
              <w:t>of</w:t>
            </w:r>
            <w:r>
              <w:rPr>
                <w:spacing w:val="-5"/>
              </w:rPr>
              <w:t xml:space="preserve"> </w:t>
            </w:r>
            <w:r>
              <w:rPr>
                <w:spacing w:val="-2"/>
              </w:rPr>
              <w:t>entity:</w:t>
            </w:r>
          </w:p>
          <w:p w14:paraId="0DFDB89B" w14:textId="77777777" w:rsidR="00046465" w:rsidRDefault="00046465">
            <w:pPr>
              <w:pStyle w:val="TableParagraph"/>
              <w:spacing w:before="6" w:after="1"/>
              <w:rPr>
                <w:sz w:val="12"/>
              </w:rPr>
            </w:pPr>
          </w:p>
          <w:p w14:paraId="0DFDB89C" w14:textId="77777777" w:rsidR="00046465" w:rsidRDefault="008134EB">
            <w:pPr>
              <w:pStyle w:val="TableParagraph"/>
              <w:spacing w:line="20" w:lineRule="exact"/>
              <w:ind w:left="1974"/>
              <w:rPr>
                <w:sz w:val="2"/>
              </w:rPr>
            </w:pPr>
            <w:r>
              <w:rPr>
                <w:noProof/>
                <w:sz w:val="2"/>
              </w:rPr>
              <mc:AlternateContent>
                <mc:Choice Requires="wpg">
                  <w:drawing>
                    <wp:anchor distT="0" distB="0" distL="0" distR="0" simplePos="0" relativeHeight="476127744" behindDoc="1" locked="0" layoutInCell="1" allowOverlap="1" wp14:anchorId="0DFDD62F" wp14:editId="0DFDD630">
                      <wp:simplePos x="0" y="0"/>
                      <wp:positionH relativeFrom="column">
                        <wp:posOffset>1260347</wp:posOffset>
                      </wp:positionH>
                      <wp:positionV relativeFrom="paragraph">
                        <wp:posOffset>349758</wp:posOffset>
                      </wp:positionV>
                      <wp:extent cx="1183005" cy="6350"/>
                      <wp:effectExtent l="0" t="0" r="0" b="0"/>
                      <wp:wrapNone/>
                      <wp:docPr id="597"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598" name="Graphic 598"/>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FFCC5A" id="Group 597" o:spid="_x0000_s1026" style="position:absolute;margin-left:99.25pt;margin-top:27.55pt;width:93.15pt;height:.5pt;z-index:-27188736;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">
                      <v:shape id="Graphic 598"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" path="m1182611,l,,,6108r1182611,l1182611,xe" fillcolor="black" stroked="f">
                        <v:path arrowok="t"/>
                      </v:shape>
                    </v:group>
                  </w:pict>
                </mc:Fallback>
              </mc:AlternateContent>
            </w:r>
            <w:r>
              <w:rPr>
                <w:noProof/>
                <w:sz w:val="2"/>
              </w:rPr>
              <mc:AlternateContent>
                <mc:Choice Requires="wpg">
                  <w:drawing>
                    <wp:inline distT="0" distB="0" distL="0" distR="0" wp14:anchorId="0DFDD631" wp14:editId="0DFDD632">
                      <wp:extent cx="1183005" cy="6350"/>
                      <wp:effectExtent l="0" t="0" r="0" b="0"/>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600" name="Graphic 600"/>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CAC711E" id="Group 599" o:spid="_x0000_s1026" style="width:93.15pt;height:.5pt;mso-position-horizontal-relative:char;mso-position-vertical-relative:line"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">
                      <v:shape id="Graphic 600"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" path="m1182611,l,,,6108r1182611,l1182611,xe" fillcolor="black" stroked="f">
                        <v:path arrowok="t"/>
                      </v:shape>
                      <w10:anchorlock/>
                    </v:group>
                  </w:pict>
                </mc:Fallback>
              </mc:AlternateContent>
            </w:r>
          </w:p>
          <w:p w14:paraId="0DFDB89D" w14:textId="77777777" w:rsidR="00046465" w:rsidRDefault="008134EB">
            <w:pPr>
              <w:pStyle w:val="TableParagraph"/>
              <w:spacing w:before="133"/>
              <w:ind w:right="2059"/>
              <w:jc w:val="right"/>
            </w:pPr>
            <w:r>
              <w:t>Audit</w:t>
            </w:r>
            <w:r>
              <w:rPr>
                <w:spacing w:val="-7"/>
              </w:rPr>
              <w:t xml:space="preserve"> </w:t>
            </w:r>
            <w:r>
              <w:rPr>
                <w:spacing w:val="-2"/>
              </w:rPr>
              <w:t>period:</w:t>
            </w:r>
          </w:p>
        </w:tc>
        <w:tc>
          <w:tcPr>
            <w:tcW w:w="4022" w:type="dxa"/>
            <w:gridSpan w:val="2"/>
            <w:tcBorders>
              <w:left w:val="nil"/>
              <w:right w:val="nil"/>
            </w:tcBorders>
          </w:tcPr>
          <w:p w14:paraId="0DFDB89E" w14:textId="77777777" w:rsidR="00046465" w:rsidRDefault="00046465">
            <w:pPr>
              <w:pStyle w:val="TableParagraph"/>
              <w:spacing w:before="133"/>
              <w:rPr>
                <w:sz w:val="24"/>
              </w:rPr>
            </w:pPr>
          </w:p>
          <w:p w14:paraId="0DFDB89F" w14:textId="77777777" w:rsidR="00046465" w:rsidRDefault="008134EB">
            <w:pPr>
              <w:pStyle w:val="TableParagraph"/>
              <w:ind w:left="1395"/>
              <w:rPr>
                <w:b/>
                <w:sz w:val="24"/>
              </w:rPr>
            </w:pPr>
            <w:r>
              <w:rPr>
                <w:b/>
                <w:sz w:val="24"/>
              </w:rPr>
              <w:t>Compliance</w:t>
            </w:r>
            <w:r>
              <w:rPr>
                <w:b/>
                <w:spacing w:val="-6"/>
                <w:sz w:val="24"/>
              </w:rPr>
              <w:t xml:space="preserve"> </w:t>
            </w:r>
            <w:r>
              <w:rPr>
                <w:b/>
                <w:spacing w:val="-2"/>
                <w:sz w:val="24"/>
              </w:rPr>
              <w:t>Summary</w:t>
            </w:r>
          </w:p>
        </w:tc>
        <w:tc>
          <w:tcPr>
            <w:tcW w:w="1524" w:type="dxa"/>
            <w:tcBorders>
              <w:left w:val="nil"/>
              <w:right w:val="nil"/>
            </w:tcBorders>
          </w:tcPr>
          <w:p w14:paraId="0DFDB8A0" w14:textId="77777777" w:rsidR="00046465" w:rsidRDefault="00046465">
            <w:pPr>
              <w:pStyle w:val="TableParagraph"/>
              <w:rPr>
                <w:rFonts w:ascii="Times New Roman"/>
                <w:sz w:val="18"/>
              </w:rPr>
            </w:pPr>
          </w:p>
        </w:tc>
        <w:tc>
          <w:tcPr>
            <w:tcW w:w="3681" w:type="dxa"/>
            <w:gridSpan w:val="2"/>
            <w:tcBorders>
              <w:left w:val="nil"/>
            </w:tcBorders>
          </w:tcPr>
          <w:p w14:paraId="0DFDB8A1" w14:textId="77777777" w:rsidR="00046465" w:rsidRDefault="008134EB">
            <w:pPr>
              <w:pStyle w:val="TableParagraph"/>
              <w:spacing w:before="144"/>
              <w:ind w:left="97"/>
            </w:pPr>
            <w:r>
              <w:t>Prepared</w:t>
            </w:r>
            <w:r>
              <w:rPr>
                <w:spacing w:val="-11"/>
              </w:rPr>
              <w:t xml:space="preserve"> </w:t>
            </w:r>
            <w:r>
              <w:rPr>
                <w:spacing w:val="-5"/>
              </w:rPr>
              <w:t>by:</w:t>
            </w:r>
          </w:p>
          <w:p w14:paraId="0DFDB8A2" w14:textId="77777777" w:rsidR="00046465" w:rsidRDefault="00046465">
            <w:pPr>
              <w:pStyle w:val="TableParagraph"/>
              <w:spacing w:before="6" w:after="1"/>
              <w:rPr>
                <w:sz w:val="12"/>
              </w:rPr>
            </w:pPr>
          </w:p>
          <w:p w14:paraId="0DFDB8A3" w14:textId="77777777" w:rsidR="00046465" w:rsidRDefault="008134EB">
            <w:pPr>
              <w:pStyle w:val="TableParagraph"/>
              <w:spacing w:line="20" w:lineRule="exact"/>
              <w:ind w:left="1465"/>
              <w:rPr>
                <w:sz w:val="2"/>
              </w:rPr>
            </w:pPr>
            <w:r>
              <w:rPr>
                <w:noProof/>
                <w:sz w:val="2"/>
              </w:rPr>
              <mc:AlternateContent>
                <mc:Choice Requires="wpg">
                  <w:drawing>
                    <wp:anchor distT="0" distB="0" distL="0" distR="0" simplePos="0" relativeHeight="476128256" behindDoc="1" locked="0" layoutInCell="1" allowOverlap="1" wp14:anchorId="0DFDD633" wp14:editId="0DFDD634">
                      <wp:simplePos x="0" y="0"/>
                      <wp:positionH relativeFrom="column">
                        <wp:posOffset>925830</wp:posOffset>
                      </wp:positionH>
                      <wp:positionV relativeFrom="paragraph">
                        <wp:posOffset>349758</wp:posOffset>
                      </wp:positionV>
                      <wp:extent cx="1344930" cy="635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02" name="Graphic 602"/>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071530" id="Group 601" o:spid="_x0000_s1026" style="position:absolute;margin-left:72.9pt;margin-top:27.55pt;width:105.9pt;height:.5pt;z-index:-27188224;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">
                      <v:shape id="Graphic 602"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" path="m1344929,l,,,6108r1344929,l1344929,xe" fillcolor="black" stroked="f">
                        <v:path arrowok="t"/>
                      </v:shape>
                    </v:group>
                  </w:pict>
                </mc:Fallback>
              </mc:AlternateContent>
            </w:r>
            <w:r>
              <w:rPr>
                <w:noProof/>
                <w:sz w:val="2"/>
              </w:rPr>
              <mc:AlternateContent>
                <mc:Choice Requires="wpg">
                  <w:drawing>
                    <wp:inline distT="0" distB="0" distL="0" distR="0" wp14:anchorId="0DFDD635" wp14:editId="0DFDD636">
                      <wp:extent cx="1344930" cy="6350"/>
                      <wp:effectExtent l="0" t="0" r="0" b="0"/>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04" name="Graphic 604"/>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94C0376" id="Group 603" o:spid="_x0000_s1026" style="width:105.9pt;height:.5pt;mso-position-horizontal-relative:char;mso-position-vertical-relative:line"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">
                      <v:shape id="Graphic 604"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" path="m1344929,l,,,6108r1344929,l1344929,xe" fillcolor="black" stroked="f">
                        <v:path arrowok="t"/>
                      </v:shape>
                      <w10:anchorlock/>
                    </v:group>
                  </w:pict>
                </mc:Fallback>
              </mc:AlternateContent>
            </w:r>
          </w:p>
          <w:p w14:paraId="0DFDB8A4" w14:textId="77777777" w:rsidR="00046465" w:rsidRDefault="008134EB">
            <w:pPr>
              <w:pStyle w:val="TableParagraph"/>
              <w:spacing w:before="133"/>
              <w:ind w:left="36"/>
            </w:pPr>
            <w:r>
              <w:t>Reviewed</w:t>
            </w:r>
            <w:r>
              <w:rPr>
                <w:spacing w:val="-12"/>
              </w:rPr>
              <w:t xml:space="preserve"> </w:t>
            </w:r>
            <w:r>
              <w:rPr>
                <w:spacing w:val="-5"/>
              </w:rPr>
              <w:t>by:</w:t>
            </w:r>
          </w:p>
        </w:tc>
      </w:tr>
      <w:tr w:rsidR="00046465" w14:paraId="0DFDB8B0" w14:textId="77777777">
        <w:trPr>
          <w:trHeight w:val="793"/>
        </w:trPr>
        <w:tc>
          <w:tcPr>
            <w:tcW w:w="3943" w:type="dxa"/>
            <w:tcBorders>
              <w:right w:val="single" w:sz="4" w:space="0" w:color="000000"/>
            </w:tcBorders>
          </w:tcPr>
          <w:p w14:paraId="0DFDB8A6" w14:textId="77777777" w:rsidR="00046465" w:rsidRDefault="00046465">
            <w:pPr>
              <w:pStyle w:val="TableParagraph"/>
              <w:spacing w:before="143"/>
            </w:pPr>
          </w:p>
          <w:p w14:paraId="0DFDB8A7" w14:textId="77777777" w:rsidR="00046465" w:rsidRDefault="008134EB">
            <w:pPr>
              <w:pStyle w:val="TableParagraph"/>
              <w:ind w:left="97"/>
            </w:pPr>
            <w:r>
              <w:t>Provision</w:t>
            </w:r>
            <w:r>
              <w:rPr>
                <w:spacing w:val="-11"/>
              </w:rPr>
              <w:t xml:space="preserve"> </w:t>
            </w:r>
            <w:r>
              <w:rPr>
                <w:spacing w:val="-2"/>
              </w:rPr>
              <w:t>Description</w:t>
            </w:r>
          </w:p>
        </w:tc>
        <w:tc>
          <w:tcPr>
            <w:tcW w:w="1791" w:type="dxa"/>
            <w:tcBorders>
              <w:left w:val="single" w:sz="4" w:space="0" w:color="000000"/>
              <w:right w:val="single" w:sz="4" w:space="0" w:color="000000"/>
            </w:tcBorders>
          </w:tcPr>
          <w:p w14:paraId="0DFDB8A8" w14:textId="77777777" w:rsidR="00046465" w:rsidRDefault="00046465">
            <w:pPr>
              <w:pStyle w:val="TableParagraph"/>
              <w:spacing w:before="143"/>
            </w:pPr>
          </w:p>
          <w:p w14:paraId="0DFDB8A9" w14:textId="77777777" w:rsidR="00046465" w:rsidRDefault="008134EB">
            <w:pPr>
              <w:pStyle w:val="TableParagraph"/>
              <w:ind w:left="107"/>
            </w:pPr>
            <w:r>
              <w:rPr>
                <w:spacing w:val="-2"/>
              </w:rPr>
              <w:t>Objective</w:t>
            </w:r>
          </w:p>
        </w:tc>
        <w:tc>
          <w:tcPr>
            <w:tcW w:w="2231" w:type="dxa"/>
            <w:tcBorders>
              <w:left w:val="single" w:sz="4" w:space="0" w:color="000000"/>
              <w:right w:val="single" w:sz="4" w:space="0" w:color="000000"/>
            </w:tcBorders>
          </w:tcPr>
          <w:p w14:paraId="0DFDB8AA" w14:textId="77777777" w:rsidR="00046465" w:rsidRDefault="00046465">
            <w:pPr>
              <w:pStyle w:val="TableParagraph"/>
              <w:spacing w:before="143"/>
            </w:pPr>
          </w:p>
          <w:p w14:paraId="0DFDB8AB" w14:textId="77777777" w:rsidR="00046465" w:rsidRDefault="008134EB">
            <w:pPr>
              <w:pStyle w:val="TableParagraph"/>
              <w:ind w:left="108"/>
            </w:pPr>
            <w:r>
              <w:t>Control</w:t>
            </w:r>
            <w:r>
              <w:rPr>
                <w:spacing w:val="-9"/>
              </w:rPr>
              <w:t xml:space="preserve"> </w:t>
            </w:r>
            <w:r>
              <w:rPr>
                <w:spacing w:val="-2"/>
              </w:rPr>
              <w:t>Activities</w:t>
            </w:r>
          </w:p>
        </w:tc>
        <w:tc>
          <w:tcPr>
            <w:tcW w:w="1524" w:type="dxa"/>
            <w:tcBorders>
              <w:left w:val="single" w:sz="4" w:space="0" w:color="000000"/>
              <w:right w:val="single" w:sz="4" w:space="0" w:color="000000"/>
            </w:tcBorders>
          </w:tcPr>
          <w:p w14:paraId="0DFDB8AC" w14:textId="77777777" w:rsidR="00046465" w:rsidRDefault="00046465">
            <w:pPr>
              <w:pStyle w:val="TableParagraph"/>
              <w:spacing w:before="143"/>
            </w:pPr>
          </w:p>
          <w:p w14:paraId="0DFDB8AD" w14:textId="77777777" w:rsidR="00046465" w:rsidRDefault="008134EB">
            <w:pPr>
              <w:pStyle w:val="TableParagraph"/>
              <w:ind w:left="109"/>
            </w:pPr>
            <w:r>
              <w:t>IS</w:t>
            </w:r>
            <w:r>
              <w:rPr>
                <w:spacing w:val="-3"/>
              </w:rPr>
              <w:t xml:space="preserve"> </w:t>
            </w:r>
            <w:r>
              <w:rPr>
                <w:spacing w:val="-2"/>
              </w:rPr>
              <w:t>(Y/N)</w:t>
            </w:r>
          </w:p>
        </w:tc>
        <w:tc>
          <w:tcPr>
            <w:tcW w:w="1496" w:type="dxa"/>
            <w:tcBorders>
              <w:left w:val="single" w:sz="4" w:space="0" w:color="000000"/>
              <w:right w:val="single" w:sz="4" w:space="0" w:color="000000"/>
            </w:tcBorders>
          </w:tcPr>
          <w:p w14:paraId="0DFDB8AE" w14:textId="77777777" w:rsidR="00046465" w:rsidRDefault="008134EB">
            <w:pPr>
              <w:pStyle w:val="TableParagraph"/>
              <w:spacing w:before="143"/>
              <w:ind w:left="110"/>
            </w:pPr>
            <w:r>
              <w:rPr>
                <w:spacing w:val="-2"/>
              </w:rPr>
              <w:t>Effective controls?</w:t>
            </w:r>
          </w:p>
        </w:tc>
        <w:tc>
          <w:tcPr>
            <w:tcW w:w="2185" w:type="dxa"/>
            <w:tcBorders>
              <w:left w:val="single" w:sz="4" w:space="0" w:color="000000"/>
            </w:tcBorders>
          </w:tcPr>
          <w:p w14:paraId="0DFDB8AF" w14:textId="77777777" w:rsidR="00046465" w:rsidRDefault="008134EB">
            <w:pPr>
              <w:pStyle w:val="TableParagraph"/>
              <w:spacing w:before="143"/>
              <w:ind w:left="111" w:right="2"/>
            </w:pPr>
            <w:r>
              <w:t xml:space="preserve">Instances of </w:t>
            </w:r>
            <w:r>
              <w:rPr>
                <w:spacing w:val="-2"/>
              </w:rPr>
              <w:t>noncompliance?</w:t>
            </w:r>
          </w:p>
        </w:tc>
      </w:tr>
      <w:tr w:rsidR="00046465" w14:paraId="0DFDB8BE" w14:textId="77777777">
        <w:trPr>
          <w:trHeight w:val="3682"/>
        </w:trPr>
        <w:tc>
          <w:tcPr>
            <w:tcW w:w="3943" w:type="dxa"/>
            <w:tcBorders>
              <w:bottom w:val="single" w:sz="4" w:space="0" w:color="000000"/>
              <w:right w:val="single" w:sz="4" w:space="0" w:color="000000"/>
            </w:tcBorders>
          </w:tcPr>
          <w:p w14:paraId="0DFDB8B1" w14:textId="77777777" w:rsidR="00046465" w:rsidRDefault="008134EB">
            <w:pPr>
              <w:pStyle w:val="TableParagraph"/>
              <w:spacing w:before="143"/>
              <w:ind w:left="817" w:right="115" w:hanging="721"/>
              <w:rPr>
                <w:sz w:val="18"/>
              </w:rPr>
            </w:pPr>
            <w:r>
              <w:rPr>
                <w:smallCaps/>
                <w:sz w:val="18"/>
              </w:rPr>
              <w:t>805.01.</w:t>
            </w:r>
            <w:r>
              <w:rPr>
                <w:smallCaps/>
                <w:spacing w:val="-3"/>
                <w:sz w:val="18"/>
              </w:rPr>
              <w:t xml:space="preserve"> </w:t>
            </w:r>
            <w:r>
              <w:rPr>
                <w:smallCaps/>
                <w:spacing w:val="16"/>
                <w:sz w:val="18"/>
              </w:rPr>
              <w:t xml:space="preserve"> </w:t>
            </w:r>
            <w:r>
              <w:rPr>
                <w:smallCaps/>
                <w:sz w:val="18"/>
              </w:rPr>
              <w:t>Interest</w:t>
            </w:r>
            <w:r>
              <w:rPr>
                <w:smallCaps/>
                <w:spacing w:val="-3"/>
                <w:sz w:val="18"/>
              </w:rPr>
              <w:t xml:space="preserve"> </w:t>
            </w:r>
            <w:r>
              <w:rPr>
                <w:smallCaps/>
                <w:sz w:val="18"/>
              </w:rPr>
              <w:t>on</w:t>
            </w:r>
            <w:r>
              <w:rPr>
                <w:smallCaps/>
                <w:spacing w:val="-3"/>
                <w:sz w:val="18"/>
              </w:rPr>
              <w:t xml:space="preserve"> </w:t>
            </w:r>
            <w:r>
              <w:rPr>
                <w:smallCaps/>
                <w:sz w:val="18"/>
              </w:rPr>
              <w:t>Outstanding</w:t>
            </w:r>
            <w:r>
              <w:rPr>
                <w:smallCaps/>
                <w:spacing w:val="-3"/>
                <w:sz w:val="18"/>
              </w:rPr>
              <w:t xml:space="preserve"> </w:t>
            </w:r>
            <w:r>
              <w:rPr>
                <w:smallCaps/>
                <w:sz w:val="18"/>
              </w:rPr>
              <w:t>Debt</w:t>
            </w:r>
            <w:r>
              <w:rPr>
                <w:smallCaps/>
                <w:spacing w:val="-3"/>
                <w:sz w:val="18"/>
              </w:rPr>
              <w:t xml:space="preserve"> </w:t>
            </w:r>
            <w:r>
              <w:rPr>
                <w:smallCaps/>
                <w:sz w:val="18"/>
              </w:rPr>
              <w:t>Owed</w:t>
            </w:r>
            <w:r>
              <w:rPr>
                <w:smallCaps/>
                <w:spacing w:val="40"/>
                <w:sz w:val="18"/>
              </w:rPr>
              <w:t xml:space="preserve"> </w:t>
            </w:r>
            <w:r>
              <w:rPr>
                <w:smallCaps/>
                <w:sz w:val="18"/>
              </w:rPr>
              <w:t>to the Entity.</w:t>
            </w:r>
          </w:p>
          <w:p w14:paraId="0DFDB8B2" w14:textId="77777777" w:rsidR="00046465" w:rsidRDefault="008134EB">
            <w:pPr>
              <w:pStyle w:val="TableParagraph"/>
              <w:spacing w:before="146"/>
              <w:ind w:left="97"/>
              <w:rPr>
                <w:sz w:val="18"/>
              </w:rPr>
            </w:pPr>
            <w:r>
              <w:rPr>
                <w:sz w:val="18"/>
              </w:rPr>
              <w:t>Provision</w:t>
            </w:r>
            <w:r>
              <w:rPr>
                <w:spacing w:val="-10"/>
                <w:sz w:val="18"/>
              </w:rPr>
              <w:t xml:space="preserve"> </w:t>
            </w:r>
            <w:r>
              <w:rPr>
                <w:sz w:val="18"/>
              </w:rPr>
              <w:t>Type:</w:t>
            </w:r>
            <w:r>
              <w:rPr>
                <w:spacing w:val="-8"/>
                <w:sz w:val="18"/>
              </w:rPr>
              <w:t xml:space="preserve"> </w:t>
            </w:r>
            <w:r>
              <w:rPr>
                <w:sz w:val="18"/>
              </w:rPr>
              <w:t>Transaction-</w:t>
            </w:r>
            <w:r>
              <w:rPr>
                <w:spacing w:val="-2"/>
                <w:sz w:val="18"/>
              </w:rPr>
              <w:t>based.</w:t>
            </w:r>
          </w:p>
          <w:p w14:paraId="0DFDB8B3" w14:textId="77777777" w:rsidR="00046465" w:rsidRDefault="008134EB">
            <w:pPr>
              <w:pStyle w:val="TableParagraph"/>
              <w:spacing w:before="145" w:line="237" w:lineRule="auto"/>
              <w:ind w:left="97" w:right="92"/>
              <w:rPr>
                <w:sz w:val="18"/>
              </w:rPr>
            </w:pPr>
            <w:r>
              <w:rPr>
                <w:sz w:val="18"/>
              </w:rPr>
              <w:t>Generally, interest shall be charged on an outstanding</w:t>
            </w:r>
            <w:r>
              <w:rPr>
                <w:spacing w:val="-6"/>
                <w:sz w:val="18"/>
              </w:rPr>
              <w:t xml:space="preserve"> </w:t>
            </w:r>
            <w:r>
              <w:rPr>
                <w:sz w:val="18"/>
              </w:rPr>
              <w:t>nontax</w:t>
            </w:r>
            <w:r>
              <w:rPr>
                <w:spacing w:val="-5"/>
                <w:sz w:val="18"/>
              </w:rPr>
              <w:t xml:space="preserve"> </w:t>
            </w:r>
            <w:r>
              <w:rPr>
                <w:sz w:val="18"/>
              </w:rPr>
              <w:t>debt</w:t>
            </w:r>
            <w:r>
              <w:rPr>
                <w:spacing w:val="-5"/>
                <w:sz w:val="18"/>
              </w:rPr>
              <w:t xml:space="preserve"> </w:t>
            </w:r>
            <w:r>
              <w:rPr>
                <w:sz w:val="18"/>
              </w:rPr>
              <w:t>(or</w:t>
            </w:r>
            <w:r>
              <w:rPr>
                <w:spacing w:val="-5"/>
                <w:sz w:val="18"/>
              </w:rPr>
              <w:t xml:space="preserve"> </w:t>
            </w:r>
            <w:r>
              <w:rPr>
                <w:sz w:val="18"/>
              </w:rPr>
              <w:t>claim)</w:t>
            </w:r>
            <w:hyperlink w:anchor="_bookmark89" w:history="1">
              <w:r>
                <w:rPr>
                  <w:sz w:val="18"/>
                  <w:vertAlign w:val="superscript"/>
                </w:rPr>
                <w:t>24</w:t>
              </w:r>
            </w:hyperlink>
            <w:r>
              <w:rPr>
                <w:spacing w:val="-5"/>
                <w:sz w:val="18"/>
              </w:rPr>
              <w:t xml:space="preserve"> </w:t>
            </w:r>
            <w:r>
              <w:rPr>
                <w:sz w:val="18"/>
              </w:rPr>
              <w:t>owed</w:t>
            </w:r>
            <w:r>
              <w:rPr>
                <w:spacing w:val="-6"/>
                <w:sz w:val="18"/>
              </w:rPr>
              <w:t xml:space="preserve"> </w:t>
            </w:r>
            <w:r>
              <w:rPr>
                <w:sz w:val="18"/>
              </w:rPr>
              <w:t xml:space="preserve">to the entity. </w:t>
            </w:r>
            <w:hyperlink w:anchor="_bookmark90" w:history="1">
              <w:r>
                <w:rPr>
                  <w:position w:val="6"/>
                  <w:sz w:val="12"/>
                </w:rPr>
                <w:t>25</w:t>
              </w:r>
            </w:hyperlink>
            <w:r>
              <w:rPr>
                <w:position w:val="6"/>
                <w:sz w:val="12"/>
              </w:rPr>
              <w:t>,</w:t>
            </w:r>
            <w:hyperlink w:anchor="_bookmark91" w:history="1">
              <w:r>
                <w:rPr>
                  <w:position w:val="6"/>
                  <w:sz w:val="12"/>
                </w:rPr>
                <w:t>26</w:t>
              </w:r>
            </w:hyperlink>
            <w:r>
              <w:rPr>
                <w:position w:val="6"/>
                <w:sz w:val="12"/>
              </w:rPr>
              <w:t>,</w:t>
            </w:r>
            <w:hyperlink w:anchor="_bookmark92" w:history="1">
              <w:r>
                <w:rPr>
                  <w:position w:val="6"/>
                  <w:sz w:val="12"/>
                </w:rPr>
                <w:t>27</w:t>
              </w:r>
            </w:hyperlink>
            <w:r>
              <w:rPr>
                <w:position w:val="6"/>
                <w:sz w:val="12"/>
              </w:rPr>
              <w:t>,</w:t>
            </w:r>
            <w:r>
              <w:rPr>
                <w:spacing w:val="-18"/>
                <w:position w:val="6"/>
                <w:sz w:val="12"/>
              </w:rPr>
              <w:t xml:space="preserve"> </w:t>
            </w:r>
            <w:hyperlink w:anchor="_bookmark93" w:history="1">
              <w:r>
                <w:rPr>
                  <w:position w:val="6"/>
                  <w:sz w:val="12"/>
                </w:rPr>
                <w:t>28</w:t>
              </w:r>
            </w:hyperlink>
            <w:r>
              <w:rPr>
                <w:spacing w:val="40"/>
                <w:position w:val="6"/>
                <w:sz w:val="12"/>
              </w:rPr>
              <w:t xml:space="preserve"> </w:t>
            </w:r>
            <w:r>
              <w:rPr>
                <w:sz w:val="18"/>
              </w:rPr>
              <w:t>31 § U.S.C. 3717(a).</w:t>
            </w:r>
          </w:p>
          <w:p w14:paraId="0DFDB8B4" w14:textId="77777777" w:rsidR="00046465" w:rsidRDefault="008134EB">
            <w:pPr>
              <w:pStyle w:val="TableParagraph"/>
              <w:ind w:left="97" w:right="92"/>
              <w:rPr>
                <w:sz w:val="18"/>
              </w:rPr>
            </w:pPr>
            <w:r>
              <w:rPr>
                <w:sz w:val="18"/>
              </w:rPr>
              <w:t>Normally, interest accrues from the date that the notice of the amount due and interest policies</w:t>
            </w:r>
            <w:r>
              <w:rPr>
                <w:spacing w:val="-5"/>
                <w:sz w:val="18"/>
              </w:rPr>
              <w:t xml:space="preserve"> </w:t>
            </w:r>
            <w:r>
              <w:rPr>
                <w:sz w:val="18"/>
              </w:rPr>
              <w:t>is</w:t>
            </w:r>
            <w:r>
              <w:rPr>
                <w:spacing w:val="-5"/>
                <w:sz w:val="18"/>
              </w:rPr>
              <w:t xml:space="preserve"> </w:t>
            </w:r>
            <w:r>
              <w:rPr>
                <w:sz w:val="18"/>
              </w:rPr>
              <w:t>first</w:t>
            </w:r>
            <w:r>
              <w:rPr>
                <w:spacing w:val="-5"/>
                <w:sz w:val="18"/>
              </w:rPr>
              <w:t xml:space="preserve"> </w:t>
            </w:r>
            <w:r>
              <w:rPr>
                <w:sz w:val="18"/>
              </w:rPr>
              <w:t>mailed</w:t>
            </w:r>
            <w:r>
              <w:rPr>
                <w:spacing w:val="-6"/>
                <w:sz w:val="18"/>
              </w:rPr>
              <w:t xml:space="preserve"> </w:t>
            </w:r>
            <w:r>
              <w:rPr>
                <w:sz w:val="18"/>
              </w:rPr>
              <w:t>to</w:t>
            </w:r>
            <w:r>
              <w:rPr>
                <w:spacing w:val="-6"/>
                <w:sz w:val="18"/>
              </w:rPr>
              <w:t xml:space="preserve"> </w:t>
            </w:r>
            <w:r>
              <w:rPr>
                <w:sz w:val="18"/>
              </w:rPr>
              <w:t>the</w:t>
            </w:r>
            <w:r>
              <w:rPr>
                <w:spacing w:val="-6"/>
                <w:sz w:val="18"/>
              </w:rPr>
              <w:t xml:space="preserve"> </w:t>
            </w:r>
            <w:r>
              <w:rPr>
                <w:sz w:val="18"/>
              </w:rPr>
              <w:t>debtor.</w:t>
            </w:r>
            <w:r>
              <w:rPr>
                <w:spacing w:val="-5"/>
                <w:sz w:val="18"/>
              </w:rPr>
              <w:t xml:space="preserve"> </w:t>
            </w:r>
            <w:r>
              <w:rPr>
                <w:sz w:val="18"/>
              </w:rPr>
              <w:t>31</w:t>
            </w:r>
            <w:r>
              <w:rPr>
                <w:spacing w:val="-6"/>
                <w:sz w:val="18"/>
              </w:rPr>
              <w:t xml:space="preserve"> </w:t>
            </w:r>
            <w:r>
              <w:rPr>
                <w:sz w:val="18"/>
              </w:rPr>
              <w:t>U.S.C.</w:t>
            </w:r>
          </w:p>
          <w:p w14:paraId="0DFDB8B5" w14:textId="77777777" w:rsidR="00046465" w:rsidRDefault="008134EB">
            <w:pPr>
              <w:pStyle w:val="TableParagraph"/>
              <w:spacing w:before="1"/>
              <w:ind w:left="97" w:right="92"/>
              <w:rPr>
                <w:sz w:val="18"/>
              </w:rPr>
            </w:pPr>
            <w:r>
              <w:rPr>
                <w:sz w:val="18"/>
              </w:rPr>
              <w:t>§</w:t>
            </w:r>
            <w:r>
              <w:rPr>
                <w:spacing w:val="-7"/>
                <w:sz w:val="18"/>
              </w:rPr>
              <w:t xml:space="preserve"> </w:t>
            </w:r>
            <w:r>
              <w:rPr>
                <w:sz w:val="18"/>
              </w:rPr>
              <w:t>3717(b).</w:t>
            </w:r>
            <w:r>
              <w:rPr>
                <w:spacing w:val="-6"/>
                <w:sz w:val="18"/>
              </w:rPr>
              <w:t xml:space="preserve"> </w:t>
            </w:r>
            <w:r>
              <w:rPr>
                <w:sz w:val="18"/>
              </w:rPr>
              <w:t>Generally,</w:t>
            </w:r>
            <w:r>
              <w:rPr>
                <w:spacing w:val="-6"/>
                <w:sz w:val="18"/>
              </w:rPr>
              <w:t xml:space="preserve"> </w:t>
            </w:r>
            <w:r>
              <w:rPr>
                <w:sz w:val="18"/>
              </w:rPr>
              <w:t>interest</w:t>
            </w:r>
            <w:r>
              <w:rPr>
                <w:spacing w:val="-6"/>
                <w:sz w:val="18"/>
              </w:rPr>
              <w:t xml:space="preserve"> </w:t>
            </w:r>
            <w:r>
              <w:rPr>
                <w:sz w:val="18"/>
              </w:rPr>
              <w:t>is</w:t>
            </w:r>
            <w:r>
              <w:rPr>
                <w:spacing w:val="-6"/>
                <w:sz w:val="18"/>
              </w:rPr>
              <w:t xml:space="preserve"> </w:t>
            </w:r>
            <w:r>
              <w:rPr>
                <w:sz w:val="18"/>
              </w:rPr>
              <w:t>charged</w:t>
            </w:r>
            <w:r>
              <w:rPr>
                <w:spacing w:val="-7"/>
                <w:sz w:val="18"/>
              </w:rPr>
              <w:t xml:space="preserve"> </w:t>
            </w:r>
            <w:r>
              <w:rPr>
                <w:sz w:val="18"/>
              </w:rPr>
              <w:t>at</w:t>
            </w:r>
            <w:r>
              <w:rPr>
                <w:spacing w:val="-6"/>
                <w:sz w:val="18"/>
              </w:rPr>
              <w:t xml:space="preserve"> </w:t>
            </w:r>
            <w:r>
              <w:rPr>
                <w:sz w:val="18"/>
              </w:rPr>
              <w:t xml:space="preserve">the rate established by the Secretary of the Treasury that is in effect on that date; further, that rate generally remains fixed for the duration of the indebtedness. 31 U.S.C. § </w:t>
            </w:r>
            <w:r>
              <w:rPr>
                <w:spacing w:val="-2"/>
                <w:sz w:val="18"/>
              </w:rPr>
              <w:t>3717(c).</w:t>
            </w:r>
          </w:p>
        </w:tc>
        <w:tc>
          <w:tcPr>
            <w:tcW w:w="1791" w:type="dxa"/>
            <w:tcBorders>
              <w:left w:val="single" w:sz="4" w:space="0" w:color="000000"/>
              <w:bottom w:val="single" w:sz="4" w:space="0" w:color="000000"/>
              <w:right w:val="single" w:sz="4" w:space="0" w:color="000000"/>
            </w:tcBorders>
          </w:tcPr>
          <w:p w14:paraId="0DFDB8B6" w14:textId="77777777" w:rsidR="00046465" w:rsidRDefault="008134EB">
            <w:pPr>
              <w:pStyle w:val="TableParagraph"/>
              <w:spacing w:before="144"/>
              <w:ind w:left="108" w:right="101"/>
              <w:rPr>
                <w:sz w:val="18"/>
              </w:rPr>
            </w:pPr>
            <w:r>
              <w:rPr>
                <w:sz w:val="18"/>
              </w:rPr>
              <w:t>Interest is properly calculated and charged on past due</w:t>
            </w:r>
            <w:r>
              <w:rPr>
                <w:spacing w:val="-15"/>
                <w:sz w:val="18"/>
              </w:rPr>
              <w:t xml:space="preserve"> </w:t>
            </w:r>
            <w:r>
              <w:rPr>
                <w:sz w:val="18"/>
              </w:rPr>
              <w:t>amounts</w:t>
            </w:r>
            <w:r>
              <w:rPr>
                <w:spacing w:val="-12"/>
                <w:sz w:val="18"/>
              </w:rPr>
              <w:t xml:space="preserve"> </w:t>
            </w:r>
            <w:r>
              <w:rPr>
                <w:sz w:val="18"/>
              </w:rPr>
              <w:t>owed to the entity at the correct rates.</w:t>
            </w:r>
          </w:p>
          <w:p w14:paraId="0DFDB8B7" w14:textId="77777777" w:rsidR="00046465" w:rsidRDefault="008134EB">
            <w:pPr>
              <w:pStyle w:val="TableParagraph"/>
              <w:ind w:left="108"/>
              <w:rPr>
                <w:sz w:val="18"/>
              </w:rPr>
            </w:pPr>
            <w:r>
              <w:rPr>
                <w:sz w:val="18"/>
              </w:rPr>
              <w:t>(See</w:t>
            </w:r>
            <w:r>
              <w:rPr>
                <w:spacing w:val="-4"/>
                <w:sz w:val="18"/>
              </w:rPr>
              <w:t xml:space="preserve"> </w:t>
            </w:r>
            <w:r>
              <w:rPr>
                <w:sz w:val="18"/>
              </w:rPr>
              <w:t>footnotes</w:t>
            </w:r>
            <w:r>
              <w:rPr>
                <w:spacing w:val="-3"/>
                <w:sz w:val="18"/>
              </w:rPr>
              <w:t xml:space="preserve"> </w:t>
            </w:r>
            <w:r>
              <w:rPr>
                <w:spacing w:val="-5"/>
                <w:sz w:val="18"/>
              </w:rPr>
              <w:t>23</w:t>
            </w:r>
          </w:p>
          <w:p w14:paraId="0DFDB8B8" w14:textId="77777777" w:rsidR="00046465" w:rsidRDefault="008134EB">
            <w:pPr>
              <w:pStyle w:val="TableParagraph"/>
              <w:spacing w:before="1"/>
              <w:ind w:left="108"/>
              <w:rPr>
                <w:sz w:val="18"/>
              </w:rPr>
            </w:pPr>
            <w:r>
              <w:rPr>
                <w:sz w:val="18"/>
              </w:rPr>
              <w:t>through</w:t>
            </w:r>
            <w:r>
              <w:rPr>
                <w:spacing w:val="-3"/>
                <w:sz w:val="18"/>
              </w:rPr>
              <w:t xml:space="preserve"> </w:t>
            </w:r>
            <w:r>
              <w:rPr>
                <w:sz w:val="18"/>
              </w:rPr>
              <w:t>27</w:t>
            </w:r>
            <w:r>
              <w:rPr>
                <w:spacing w:val="-2"/>
                <w:sz w:val="18"/>
              </w:rPr>
              <w:t xml:space="preserve"> below.)</w:t>
            </w:r>
          </w:p>
        </w:tc>
        <w:tc>
          <w:tcPr>
            <w:tcW w:w="2231" w:type="dxa"/>
            <w:tcBorders>
              <w:left w:val="single" w:sz="4" w:space="0" w:color="000000"/>
              <w:bottom w:val="single" w:sz="4" w:space="0" w:color="000000"/>
              <w:right w:val="single" w:sz="4" w:space="0" w:color="000000"/>
            </w:tcBorders>
          </w:tcPr>
          <w:p w14:paraId="0DFDB8B9" w14:textId="77777777" w:rsidR="00046465" w:rsidRDefault="008134EB">
            <w:pPr>
              <w:pStyle w:val="TableParagraph"/>
              <w:spacing w:before="144"/>
              <w:ind w:left="108"/>
              <w:rPr>
                <w:sz w:val="18"/>
              </w:rPr>
            </w:pPr>
            <w:r>
              <w:rPr>
                <w:sz w:val="18"/>
              </w:rPr>
              <w:t>[Document the control activities</w:t>
            </w:r>
            <w:r>
              <w:rPr>
                <w:spacing w:val="-13"/>
                <w:sz w:val="18"/>
              </w:rPr>
              <w:t xml:space="preserve"> </w:t>
            </w:r>
            <w:r>
              <w:rPr>
                <w:sz w:val="18"/>
              </w:rPr>
              <w:t>that</w:t>
            </w:r>
            <w:r>
              <w:rPr>
                <w:spacing w:val="-12"/>
                <w:sz w:val="18"/>
              </w:rPr>
              <w:t xml:space="preserve"> </w:t>
            </w:r>
            <w:r>
              <w:rPr>
                <w:sz w:val="18"/>
              </w:rPr>
              <w:t>the</w:t>
            </w:r>
            <w:r>
              <w:rPr>
                <w:spacing w:val="-13"/>
                <w:sz w:val="18"/>
              </w:rPr>
              <w:t xml:space="preserve"> </w:t>
            </w:r>
            <w:r>
              <w:rPr>
                <w:sz w:val="18"/>
              </w:rPr>
              <w:t xml:space="preserve">entity used to achieve the </w:t>
            </w:r>
            <w:r>
              <w:rPr>
                <w:spacing w:val="-2"/>
                <w:sz w:val="18"/>
              </w:rPr>
              <w:t>objective.]</w:t>
            </w:r>
          </w:p>
        </w:tc>
        <w:tc>
          <w:tcPr>
            <w:tcW w:w="1524" w:type="dxa"/>
            <w:tcBorders>
              <w:left w:val="single" w:sz="4" w:space="0" w:color="000000"/>
              <w:bottom w:val="single" w:sz="4" w:space="0" w:color="000000"/>
              <w:right w:val="single" w:sz="4" w:space="0" w:color="000000"/>
            </w:tcBorders>
          </w:tcPr>
          <w:p w14:paraId="0DFDB8BA" w14:textId="77777777" w:rsidR="00046465" w:rsidRDefault="008134EB">
            <w:pPr>
              <w:pStyle w:val="TableParagraph"/>
              <w:spacing w:before="144"/>
              <w:ind w:left="109" w:right="337"/>
              <w:rPr>
                <w:sz w:val="18"/>
              </w:rPr>
            </w:pPr>
            <w:r>
              <w:rPr>
                <w:sz w:val="18"/>
              </w:rPr>
              <w:t>[Does</w:t>
            </w:r>
            <w:r>
              <w:rPr>
                <w:spacing w:val="-13"/>
                <w:sz w:val="18"/>
              </w:rPr>
              <w:t xml:space="preserve"> </w:t>
            </w:r>
            <w:r>
              <w:rPr>
                <w:sz w:val="18"/>
              </w:rPr>
              <w:t xml:space="preserve">control depend on </w:t>
            </w:r>
            <w:r>
              <w:rPr>
                <w:spacing w:val="-2"/>
                <w:sz w:val="18"/>
              </w:rPr>
              <w:t>information system processing?]</w:t>
            </w:r>
          </w:p>
        </w:tc>
        <w:tc>
          <w:tcPr>
            <w:tcW w:w="1496" w:type="dxa"/>
            <w:tcBorders>
              <w:left w:val="single" w:sz="4" w:space="0" w:color="000000"/>
              <w:bottom w:val="single" w:sz="4" w:space="0" w:color="000000"/>
              <w:right w:val="single" w:sz="4" w:space="0" w:color="000000"/>
            </w:tcBorders>
          </w:tcPr>
          <w:p w14:paraId="0DFDB8BB" w14:textId="77777777" w:rsidR="00046465" w:rsidRDefault="008134EB">
            <w:pPr>
              <w:pStyle w:val="TableParagraph"/>
              <w:spacing w:before="143"/>
              <w:ind w:left="110"/>
              <w:rPr>
                <w:sz w:val="18"/>
              </w:rPr>
            </w:pPr>
            <w:r>
              <w:rPr>
                <w:sz w:val="18"/>
              </w:rPr>
              <w:t xml:space="preserve">[Indicate yes or no; include reference to </w:t>
            </w:r>
            <w:r>
              <w:rPr>
                <w:spacing w:val="-2"/>
                <w:sz w:val="18"/>
              </w:rPr>
              <w:t>supporting documentation.]</w:t>
            </w:r>
          </w:p>
        </w:tc>
        <w:tc>
          <w:tcPr>
            <w:tcW w:w="2185" w:type="dxa"/>
            <w:tcBorders>
              <w:left w:val="single" w:sz="4" w:space="0" w:color="000000"/>
              <w:bottom w:val="single" w:sz="4" w:space="0" w:color="000000"/>
            </w:tcBorders>
          </w:tcPr>
          <w:p w14:paraId="0DFDB8BC" w14:textId="77777777" w:rsidR="00046465" w:rsidRDefault="008134EB">
            <w:pPr>
              <w:pStyle w:val="TableParagraph"/>
              <w:spacing w:before="143"/>
              <w:ind w:left="111" w:right="2"/>
              <w:rPr>
                <w:sz w:val="18"/>
              </w:rPr>
            </w:pPr>
            <w:r>
              <w:rPr>
                <w:sz w:val="18"/>
              </w:rPr>
              <w:t>[Indicate yes or no; include</w:t>
            </w:r>
            <w:r>
              <w:rPr>
                <w:spacing w:val="-15"/>
                <w:sz w:val="18"/>
              </w:rPr>
              <w:t xml:space="preserve"> </w:t>
            </w:r>
            <w:r>
              <w:rPr>
                <w:sz w:val="18"/>
              </w:rPr>
              <w:t>reference</w:t>
            </w:r>
            <w:r>
              <w:rPr>
                <w:spacing w:val="-12"/>
                <w:sz w:val="18"/>
              </w:rPr>
              <w:t xml:space="preserve"> </w:t>
            </w:r>
            <w:r>
              <w:rPr>
                <w:sz w:val="18"/>
              </w:rPr>
              <w:t xml:space="preserve">to </w:t>
            </w:r>
            <w:r>
              <w:rPr>
                <w:spacing w:val="-2"/>
                <w:sz w:val="18"/>
              </w:rPr>
              <w:t>supporting documentation.]</w:t>
            </w:r>
          </w:p>
          <w:p w14:paraId="0DFDB8BD" w14:textId="77777777" w:rsidR="00046465" w:rsidRDefault="008134EB">
            <w:pPr>
              <w:pStyle w:val="TableParagraph"/>
              <w:spacing w:before="144"/>
              <w:ind w:left="111" w:right="2"/>
              <w:rPr>
                <w:sz w:val="18"/>
              </w:rPr>
            </w:pPr>
            <w:r>
              <w:rPr>
                <w:sz w:val="18"/>
              </w:rPr>
              <w:t>See Compliance Audit Procedures, FAM 805 steps</w:t>
            </w:r>
            <w:r>
              <w:rPr>
                <w:spacing w:val="-8"/>
                <w:sz w:val="18"/>
              </w:rPr>
              <w:t xml:space="preserve"> </w:t>
            </w:r>
            <w:r>
              <w:rPr>
                <w:sz w:val="18"/>
              </w:rPr>
              <w:t>3</w:t>
            </w:r>
            <w:r>
              <w:rPr>
                <w:spacing w:val="-9"/>
                <w:sz w:val="18"/>
              </w:rPr>
              <w:t xml:space="preserve"> </w:t>
            </w:r>
            <w:r>
              <w:rPr>
                <w:sz w:val="18"/>
              </w:rPr>
              <w:t>(a),</w:t>
            </w:r>
            <w:r>
              <w:rPr>
                <w:spacing w:val="-8"/>
                <w:sz w:val="18"/>
              </w:rPr>
              <w:t xml:space="preserve"> </w:t>
            </w:r>
            <w:r>
              <w:rPr>
                <w:sz w:val="18"/>
              </w:rPr>
              <w:t>(b),</w:t>
            </w:r>
            <w:r>
              <w:rPr>
                <w:spacing w:val="-8"/>
                <w:sz w:val="18"/>
              </w:rPr>
              <w:t xml:space="preserve"> </w:t>
            </w:r>
            <w:r>
              <w:rPr>
                <w:sz w:val="18"/>
              </w:rPr>
              <w:t>and</w:t>
            </w:r>
            <w:r>
              <w:rPr>
                <w:spacing w:val="-9"/>
                <w:sz w:val="18"/>
              </w:rPr>
              <w:t xml:space="preserve"> </w:t>
            </w:r>
            <w:r>
              <w:rPr>
                <w:sz w:val="18"/>
              </w:rPr>
              <w:t>(c).</w:t>
            </w:r>
          </w:p>
        </w:tc>
      </w:tr>
    </w:tbl>
    <w:p w14:paraId="0DFDB8BF" w14:textId="77777777" w:rsidR="00046465" w:rsidRDefault="00046465">
      <w:pPr>
        <w:pStyle w:val="BodyText"/>
        <w:rPr>
          <w:sz w:val="20"/>
        </w:rPr>
      </w:pPr>
    </w:p>
    <w:p w14:paraId="0DFDB8C0" w14:textId="77777777" w:rsidR="00046465" w:rsidRDefault="008134EB">
      <w:pPr>
        <w:pStyle w:val="BodyText"/>
        <w:spacing w:before="107"/>
        <w:rPr>
          <w:sz w:val="20"/>
        </w:rPr>
      </w:pPr>
      <w:r>
        <w:rPr>
          <w:noProof/>
          <w:sz w:val="20"/>
        </w:rPr>
        <mc:AlternateContent>
          <mc:Choice Requires="wps">
            <w:drawing>
              <wp:anchor distT="0" distB="0" distL="0" distR="0" simplePos="0" relativeHeight="487661568" behindDoc="1" locked="0" layoutInCell="1" allowOverlap="1" wp14:anchorId="0DFDD637" wp14:editId="0DFDD638">
                <wp:simplePos x="0" y="0"/>
                <wp:positionH relativeFrom="page">
                  <wp:posOffset>685800</wp:posOffset>
                </wp:positionH>
                <wp:positionV relativeFrom="paragraph">
                  <wp:posOffset>229501</wp:posOffset>
                </wp:positionV>
                <wp:extent cx="1828800" cy="6985"/>
                <wp:effectExtent l="0" t="0" r="0" b="0"/>
                <wp:wrapTopAndBottom/>
                <wp:docPr id="605" name="Graphic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DCF0F2" id="Graphic 605" o:spid="_x0000_s1026" style="position:absolute;margin-left:54pt;margin-top:18.05pt;width:2in;height:.55pt;z-index:-1565491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" path="m1828800,l,,,6858r1828800,l1828800,xe" fillcolor="black" stroked="f">
                <v:path arrowok="t"/>
                <w10:wrap type="topAndBottom" anchorx="page"/>
              </v:shape>
            </w:pict>
          </mc:Fallback>
        </mc:AlternateContent>
      </w:r>
    </w:p>
    <w:p w14:paraId="0DFDB8C1" w14:textId="77777777" w:rsidR="00046465" w:rsidRDefault="008134EB">
      <w:pPr>
        <w:spacing w:before="217" w:line="244" w:lineRule="auto"/>
        <w:ind w:left="360" w:right="111" w:hanging="1"/>
        <w:rPr>
          <w:sz w:val="18"/>
        </w:rPr>
      </w:pPr>
      <w:r>
        <w:rPr>
          <w:position w:val="7"/>
          <w:sz w:val="14"/>
        </w:rPr>
        <w:t>24</w:t>
      </w:r>
      <w:r>
        <w:rPr>
          <w:sz w:val="18"/>
        </w:rPr>
        <w:t>Under the Federal Debt Collection Authorities, a debt is defined as a nontax claim of the U.S. government for money or property from a nonfederal party that has been determined by an appropriate entity official to be due to the U.S. government. 31 U.S.C. § 3701(b). This definition excludes amounts owed to an entity from another</w:t>
      </w:r>
      <w:r>
        <w:rPr>
          <w:spacing w:val="-2"/>
          <w:sz w:val="18"/>
        </w:rPr>
        <w:t xml:space="preserve"> </w:t>
      </w:r>
      <w:r>
        <w:rPr>
          <w:sz w:val="18"/>
        </w:rPr>
        <w:t>federal</w:t>
      </w:r>
      <w:r>
        <w:rPr>
          <w:spacing w:val="-1"/>
          <w:sz w:val="18"/>
        </w:rPr>
        <w:t xml:space="preserve"> </w:t>
      </w:r>
      <w:r>
        <w:rPr>
          <w:sz w:val="18"/>
        </w:rPr>
        <w:t>entity;</w:t>
      </w:r>
      <w:r>
        <w:rPr>
          <w:spacing w:val="-2"/>
          <w:sz w:val="18"/>
        </w:rPr>
        <w:t xml:space="preserve"> </w:t>
      </w:r>
      <w:r>
        <w:rPr>
          <w:sz w:val="18"/>
        </w:rPr>
        <w:t>however,</w:t>
      </w:r>
      <w:r>
        <w:rPr>
          <w:spacing w:val="-2"/>
          <w:sz w:val="18"/>
        </w:rPr>
        <w:t xml:space="preserve"> </w:t>
      </w:r>
      <w:r>
        <w:rPr>
          <w:sz w:val="18"/>
        </w:rPr>
        <w:t>it</w:t>
      </w:r>
      <w:r>
        <w:rPr>
          <w:spacing w:val="-2"/>
          <w:sz w:val="18"/>
        </w:rPr>
        <w:t xml:space="preserve"> </w:t>
      </w:r>
      <w:r>
        <w:rPr>
          <w:sz w:val="18"/>
        </w:rPr>
        <w:t>includes</w:t>
      </w:r>
      <w:r>
        <w:rPr>
          <w:spacing w:val="-2"/>
          <w:sz w:val="18"/>
        </w:rPr>
        <w:t xml:space="preserve"> </w:t>
      </w:r>
      <w:r>
        <w:rPr>
          <w:sz w:val="18"/>
        </w:rPr>
        <w:t>amounts</w:t>
      </w:r>
      <w:r>
        <w:rPr>
          <w:spacing w:val="-2"/>
          <w:sz w:val="18"/>
        </w:rPr>
        <w:t xml:space="preserve"> </w:t>
      </w:r>
      <w:r>
        <w:rPr>
          <w:sz w:val="18"/>
        </w:rPr>
        <w:t>owed</w:t>
      </w:r>
      <w:r>
        <w:rPr>
          <w:spacing w:val="-3"/>
          <w:sz w:val="18"/>
        </w:rPr>
        <w:t xml:space="preserve"> </w:t>
      </w:r>
      <w:r>
        <w:rPr>
          <w:sz w:val="18"/>
        </w:rPr>
        <w:t>for</w:t>
      </w:r>
      <w:r>
        <w:rPr>
          <w:spacing w:val="-2"/>
          <w:sz w:val="18"/>
        </w:rPr>
        <w:t xml:space="preserve"> </w:t>
      </w:r>
      <w:r>
        <w:rPr>
          <w:sz w:val="18"/>
        </w:rPr>
        <w:t>loans</w:t>
      </w:r>
      <w:r>
        <w:rPr>
          <w:spacing w:val="-2"/>
          <w:sz w:val="18"/>
        </w:rPr>
        <w:t xml:space="preserve"> </w:t>
      </w:r>
      <w:r>
        <w:rPr>
          <w:sz w:val="18"/>
        </w:rPr>
        <w:t>insured</w:t>
      </w:r>
      <w:r>
        <w:rPr>
          <w:spacing w:val="-3"/>
          <w:sz w:val="18"/>
        </w:rPr>
        <w:t xml:space="preserve"> </w:t>
      </w:r>
      <w:r>
        <w:rPr>
          <w:sz w:val="18"/>
        </w:rPr>
        <w:t>or</w:t>
      </w:r>
      <w:r>
        <w:rPr>
          <w:spacing w:val="-2"/>
          <w:sz w:val="18"/>
        </w:rPr>
        <w:t xml:space="preserve"> </w:t>
      </w:r>
      <w:r>
        <w:rPr>
          <w:sz w:val="18"/>
        </w:rPr>
        <w:t>guaranteed</w:t>
      </w:r>
      <w:r>
        <w:rPr>
          <w:spacing w:val="-3"/>
          <w:sz w:val="18"/>
        </w:rPr>
        <w:t xml:space="preserve"> </w:t>
      </w:r>
      <w:r>
        <w:rPr>
          <w:sz w:val="18"/>
        </w:rPr>
        <w:t>by</w:t>
      </w:r>
      <w:r>
        <w:rPr>
          <w:spacing w:val="-2"/>
          <w:sz w:val="18"/>
        </w:rPr>
        <w:t xml:space="preserve"> </w:t>
      </w:r>
      <w:r>
        <w:rPr>
          <w:sz w:val="18"/>
        </w:rPr>
        <w:t>the</w:t>
      </w:r>
      <w:r>
        <w:rPr>
          <w:spacing w:val="-3"/>
          <w:sz w:val="18"/>
        </w:rPr>
        <w:t xml:space="preserve"> </w:t>
      </w:r>
      <w:r>
        <w:rPr>
          <w:sz w:val="18"/>
        </w:rPr>
        <w:t>federal</w:t>
      </w:r>
      <w:r>
        <w:rPr>
          <w:spacing w:val="-2"/>
          <w:sz w:val="18"/>
        </w:rPr>
        <w:t xml:space="preserve"> </w:t>
      </w:r>
      <w:r>
        <w:rPr>
          <w:sz w:val="18"/>
        </w:rPr>
        <w:t>government,</w:t>
      </w:r>
      <w:r>
        <w:rPr>
          <w:spacing w:val="-2"/>
          <w:sz w:val="18"/>
        </w:rPr>
        <w:t xml:space="preserve"> </w:t>
      </w:r>
      <w:r>
        <w:rPr>
          <w:sz w:val="18"/>
        </w:rPr>
        <w:t>overpayments,</w:t>
      </w:r>
      <w:r>
        <w:rPr>
          <w:spacing w:val="-1"/>
          <w:sz w:val="18"/>
        </w:rPr>
        <w:t xml:space="preserve"> </w:t>
      </w:r>
      <w:r>
        <w:rPr>
          <w:sz w:val="18"/>
        </w:rPr>
        <w:t>and</w:t>
      </w:r>
      <w:r>
        <w:rPr>
          <w:spacing w:val="-3"/>
          <w:sz w:val="18"/>
        </w:rPr>
        <w:t xml:space="preserve"> </w:t>
      </w:r>
      <w:r>
        <w:rPr>
          <w:sz w:val="18"/>
        </w:rPr>
        <w:t>fines</w:t>
      </w:r>
      <w:r>
        <w:rPr>
          <w:spacing w:val="-1"/>
          <w:sz w:val="18"/>
        </w:rPr>
        <w:t xml:space="preserve"> </w:t>
      </w:r>
      <w:r>
        <w:rPr>
          <w:sz w:val="18"/>
        </w:rPr>
        <w:t>or</w:t>
      </w:r>
      <w:r>
        <w:rPr>
          <w:spacing w:val="-2"/>
          <w:sz w:val="18"/>
        </w:rPr>
        <w:t xml:space="preserve"> </w:t>
      </w:r>
      <w:r>
        <w:rPr>
          <w:sz w:val="18"/>
        </w:rPr>
        <w:t>penalties</w:t>
      </w:r>
      <w:r>
        <w:rPr>
          <w:spacing w:val="-2"/>
          <w:sz w:val="18"/>
        </w:rPr>
        <w:t xml:space="preserve"> </w:t>
      </w:r>
      <w:r>
        <w:rPr>
          <w:sz w:val="18"/>
        </w:rPr>
        <w:t>assessed</w:t>
      </w:r>
    </w:p>
    <w:p w14:paraId="0DFDB8C2" w14:textId="77777777" w:rsidR="00046465" w:rsidRDefault="00046465">
      <w:pPr>
        <w:spacing w:line="244" w:lineRule="auto"/>
        <w:rPr>
          <w:sz w:val="18"/>
        </w:rPr>
        <w:sectPr w:rsidR="00046465">
          <w:headerReference w:type="default" r:id="rId133"/>
          <w:footerReference w:type="default" r:id="rId134"/>
          <w:pgSz w:w="15840" w:h="12240" w:orient="landscape"/>
          <w:pgMar w:top="1340" w:right="1440" w:bottom="940" w:left="720" w:header="721" w:footer="742" w:gutter="0"/>
          <w:pgNumType w:start="1"/>
          <w:cols w:space="720"/>
        </w:sectPr>
      </w:pPr>
    </w:p>
    <w:p w14:paraId="0DFDB8C3" w14:textId="77777777" w:rsidR="00046465" w:rsidRDefault="00046465">
      <w:pPr>
        <w:pStyle w:val="BodyText"/>
        <w:rPr>
          <w:sz w:val="20"/>
        </w:rPr>
      </w:pPr>
    </w:p>
    <w:p w14:paraId="0DFDB8C4" w14:textId="77777777" w:rsidR="00046465" w:rsidRDefault="00046465">
      <w:pPr>
        <w:pStyle w:val="BodyText"/>
        <w:rPr>
          <w:sz w:val="20"/>
        </w:rPr>
      </w:pPr>
    </w:p>
    <w:p w14:paraId="0DFDB8C5" w14:textId="77777777" w:rsidR="00046465" w:rsidRDefault="00046465">
      <w:pPr>
        <w:pStyle w:val="BodyText"/>
        <w:rPr>
          <w:sz w:val="20"/>
        </w:rPr>
      </w:pPr>
    </w:p>
    <w:p w14:paraId="0DFDB8C6" w14:textId="77777777" w:rsidR="00046465" w:rsidRDefault="00046465">
      <w:pPr>
        <w:pStyle w:val="BodyText"/>
        <w:rPr>
          <w:sz w:val="20"/>
        </w:rPr>
      </w:pPr>
    </w:p>
    <w:p w14:paraId="0DFDB8C7" w14:textId="77777777" w:rsidR="00046465" w:rsidRDefault="00046465">
      <w:pPr>
        <w:pStyle w:val="BodyText"/>
        <w:rPr>
          <w:sz w:val="20"/>
        </w:rPr>
      </w:pPr>
    </w:p>
    <w:p w14:paraId="0DFDB8C8" w14:textId="77777777" w:rsidR="00046465" w:rsidRDefault="00046465">
      <w:pPr>
        <w:pStyle w:val="BodyText"/>
        <w:rPr>
          <w:sz w:val="20"/>
        </w:rPr>
      </w:pPr>
    </w:p>
    <w:p w14:paraId="0DFDB8C9" w14:textId="77777777" w:rsidR="00046465" w:rsidRDefault="00046465">
      <w:pPr>
        <w:pStyle w:val="BodyText"/>
        <w:rPr>
          <w:sz w:val="20"/>
        </w:rPr>
      </w:pPr>
    </w:p>
    <w:p w14:paraId="0DFDB8CA" w14:textId="77777777" w:rsidR="00046465" w:rsidRDefault="00046465">
      <w:pPr>
        <w:pStyle w:val="BodyText"/>
        <w:rPr>
          <w:sz w:val="20"/>
        </w:rPr>
      </w:pPr>
    </w:p>
    <w:p w14:paraId="0DFDB8CB" w14:textId="77777777" w:rsidR="00046465" w:rsidRDefault="00046465">
      <w:pPr>
        <w:pStyle w:val="BodyText"/>
        <w:rPr>
          <w:sz w:val="20"/>
        </w:rPr>
      </w:pPr>
    </w:p>
    <w:p w14:paraId="0DFDB8CC" w14:textId="77777777" w:rsidR="00046465" w:rsidRDefault="00046465">
      <w:pPr>
        <w:pStyle w:val="BodyText"/>
        <w:rPr>
          <w:sz w:val="20"/>
        </w:rPr>
      </w:pPr>
    </w:p>
    <w:p w14:paraId="0DFDB8CD" w14:textId="77777777" w:rsidR="00046465" w:rsidRDefault="00046465">
      <w:pPr>
        <w:pStyle w:val="BodyText"/>
        <w:rPr>
          <w:sz w:val="20"/>
        </w:rPr>
      </w:pPr>
    </w:p>
    <w:p w14:paraId="0DFDB8CE" w14:textId="77777777" w:rsidR="00046465" w:rsidRDefault="00046465">
      <w:pPr>
        <w:pStyle w:val="BodyText"/>
        <w:rPr>
          <w:sz w:val="20"/>
        </w:rPr>
      </w:pPr>
    </w:p>
    <w:p w14:paraId="0DFDB8CF" w14:textId="77777777" w:rsidR="00046465" w:rsidRDefault="00046465">
      <w:pPr>
        <w:pStyle w:val="BodyText"/>
        <w:rPr>
          <w:sz w:val="20"/>
        </w:rPr>
      </w:pPr>
    </w:p>
    <w:p w14:paraId="0DFDB8D0" w14:textId="77777777" w:rsidR="00046465" w:rsidRDefault="00046465">
      <w:pPr>
        <w:pStyle w:val="BodyText"/>
        <w:rPr>
          <w:sz w:val="20"/>
        </w:rPr>
      </w:pPr>
    </w:p>
    <w:p w14:paraId="0DFDB8D1" w14:textId="77777777" w:rsidR="00046465" w:rsidRDefault="00046465">
      <w:pPr>
        <w:pStyle w:val="BodyText"/>
        <w:rPr>
          <w:sz w:val="20"/>
        </w:rPr>
      </w:pPr>
    </w:p>
    <w:p w14:paraId="0DFDB8D2" w14:textId="77777777" w:rsidR="00046465" w:rsidRDefault="00046465">
      <w:pPr>
        <w:pStyle w:val="BodyText"/>
        <w:rPr>
          <w:sz w:val="20"/>
        </w:rPr>
      </w:pPr>
    </w:p>
    <w:p w14:paraId="0DFDB8D3" w14:textId="77777777" w:rsidR="00046465" w:rsidRDefault="00046465">
      <w:pPr>
        <w:pStyle w:val="BodyText"/>
        <w:rPr>
          <w:sz w:val="20"/>
        </w:rPr>
      </w:pPr>
    </w:p>
    <w:p w14:paraId="0DFDB8D4" w14:textId="77777777" w:rsidR="00046465" w:rsidRDefault="00046465">
      <w:pPr>
        <w:pStyle w:val="BodyText"/>
        <w:rPr>
          <w:sz w:val="20"/>
        </w:rPr>
      </w:pPr>
    </w:p>
    <w:p w14:paraId="0DFDB8D5" w14:textId="77777777" w:rsidR="00046465" w:rsidRDefault="00046465">
      <w:pPr>
        <w:pStyle w:val="BodyText"/>
        <w:rPr>
          <w:sz w:val="20"/>
        </w:rPr>
      </w:pPr>
    </w:p>
    <w:p w14:paraId="0DFDB8D6" w14:textId="77777777" w:rsidR="00046465" w:rsidRDefault="00046465">
      <w:pPr>
        <w:pStyle w:val="BodyText"/>
        <w:rPr>
          <w:sz w:val="20"/>
        </w:rPr>
      </w:pPr>
    </w:p>
    <w:p w14:paraId="0DFDB8D7" w14:textId="77777777" w:rsidR="00046465" w:rsidRDefault="00046465">
      <w:pPr>
        <w:pStyle w:val="BodyText"/>
        <w:rPr>
          <w:sz w:val="20"/>
        </w:rPr>
      </w:pPr>
    </w:p>
    <w:p w14:paraId="0DFDB8D8" w14:textId="77777777" w:rsidR="00046465" w:rsidRDefault="00046465">
      <w:pPr>
        <w:pStyle w:val="BodyText"/>
        <w:rPr>
          <w:sz w:val="20"/>
        </w:rPr>
      </w:pPr>
    </w:p>
    <w:p w14:paraId="0DFDB8D9" w14:textId="77777777" w:rsidR="00046465" w:rsidRDefault="00046465">
      <w:pPr>
        <w:pStyle w:val="BodyText"/>
        <w:rPr>
          <w:sz w:val="20"/>
        </w:rPr>
      </w:pPr>
    </w:p>
    <w:p w14:paraId="0DFDB8DA" w14:textId="77777777" w:rsidR="00046465" w:rsidRDefault="00046465">
      <w:pPr>
        <w:pStyle w:val="BodyText"/>
        <w:spacing w:before="185"/>
        <w:rPr>
          <w:sz w:val="20"/>
        </w:rPr>
      </w:pPr>
    </w:p>
    <w:p w14:paraId="0DFDB8DB" w14:textId="77777777" w:rsidR="00046465" w:rsidRDefault="008134EB">
      <w:pPr>
        <w:spacing w:line="20" w:lineRule="exact"/>
        <w:ind w:left="360"/>
        <w:rPr>
          <w:sz w:val="2"/>
        </w:rPr>
      </w:pPr>
      <w:r>
        <w:rPr>
          <w:noProof/>
          <w:sz w:val="2"/>
        </w:rPr>
        <mc:AlternateContent>
          <mc:Choice Requires="wpg">
            <w:drawing>
              <wp:inline distT="0" distB="0" distL="0" distR="0" wp14:anchorId="0DFDD639" wp14:editId="0DFDD63A">
                <wp:extent cx="1828800" cy="6985"/>
                <wp:effectExtent l="0" t="0" r="0" b="0"/>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0" cy="6985"/>
                          <a:chOff x="0" y="0"/>
                          <a:chExt cx="1828800" cy="6985"/>
                        </a:xfrm>
                      </wpg:grpSpPr>
                      <wps:wsp>
                        <wps:cNvPr id="607" name="Graphic 607"/>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5874D6D" id="Group 606" o:spid="_x0000_s1026" style="width:2in;height:.55pt;mso-position-horizontal-relative:char;mso-position-vertical-relative:line" coordsize="182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">
                <v:shape id="Graphic 607" o:spid="_x0000_s1027" style="position:absolute;width:18288;height:69;visibility:visible;mso-wrap-style:square;v-text-anchor:top" coordsize="182880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" path="m1828800,l,,,6858r1828800,l1828800,xe" fillcolor="black" stroked="f">
                  <v:path arrowok="t"/>
                </v:shape>
                <w10:anchorlock/>
              </v:group>
            </w:pict>
          </mc:Fallback>
        </mc:AlternateContent>
      </w:r>
    </w:p>
    <w:p w14:paraId="0DFDB8DC" w14:textId="77777777" w:rsidR="00046465" w:rsidRDefault="008134EB">
      <w:pPr>
        <w:spacing w:before="202"/>
        <w:ind w:left="360"/>
        <w:rPr>
          <w:sz w:val="18"/>
        </w:rPr>
      </w:pPr>
      <w:r>
        <w:rPr>
          <w:sz w:val="18"/>
        </w:rPr>
        <w:t>by</w:t>
      </w:r>
      <w:r>
        <w:rPr>
          <w:spacing w:val="-1"/>
          <w:sz w:val="18"/>
        </w:rPr>
        <w:t xml:space="preserve"> </w:t>
      </w:r>
      <w:r>
        <w:rPr>
          <w:sz w:val="18"/>
        </w:rPr>
        <w:t>the</w:t>
      </w:r>
      <w:r>
        <w:rPr>
          <w:spacing w:val="-2"/>
          <w:sz w:val="18"/>
        </w:rPr>
        <w:t xml:space="preserve"> </w:t>
      </w:r>
      <w:r>
        <w:rPr>
          <w:sz w:val="18"/>
        </w:rPr>
        <w:t>entity.</w:t>
      </w:r>
      <w:r>
        <w:rPr>
          <w:spacing w:val="-1"/>
          <w:sz w:val="18"/>
        </w:rPr>
        <w:t xml:space="preserve"> </w:t>
      </w:r>
      <w:r>
        <w:rPr>
          <w:sz w:val="18"/>
        </w:rPr>
        <w:t>31</w:t>
      </w:r>
      <w:r>
        <w:rPr>
          <w:spacing w:val="-2"/>
          <w:sz w:val="18"/>
        </w:rPr>
        <w:t xml:space="preserve"> </w:t>
      </w:r>
      <w:r>
        <w:rPr>
          <w:sz w:val="18"/>
        </w:rPr>
        <w:t>U.S.C.</w:t>
      </w:r>
      <w:r>
        <w:rPr>
          <w:spacing w:val="-1"/>
          <w:sz w:val="18"/>
        </w:rPr>
        <w:t xml:space="preserve"> </w:t>
      </w:r>
      <w:r>
        <w:rPr>
          <w:sz w:val="18"/>
        </w:rPr>
        <w:t>§</w:t>
      </w:r>
      <w:r>
        <w:rPr>
          <w:spacing w:val="-1"/>
          <w:sz w:val="18"/>
        </w:rPr>
        <w:t xml:space="preserve"> </w:t>
      </w:r>
      <w:r>
        <w:rPr>
          <w:sz w:val="18"/>
        </w:rPr>
        <w:t>3701(b),</w:t>
      </w:r>
      <w:r>
        <w:rPr>
          <w:spacing w:val="-1"/>
          <w:sz w:val="18"/>
        </w:rPr>
        <w:t xml:space="preserve"> </w:t>
      </w:r>
      <w:r>
        <w:rPr>
          <w:sz w:val="18"/>
        </w:rPr>
        <w:t>(c).</w:t>
      </w:r>
      <w:r>
        <w:rPr>
          <w:spacing w:val="-1"/>
          <w:sz w:val="18"/>
        </w:rPr>
        <w:t xml:space="preserve"> </w:t>
      </w:r>
      <w:r>
        <w:rPr>
          <w:sz w:val="18"/>
        </w:rPr>
        <w:t>In</w:t>
      </w:r>
      <w:r>
        <w:rPr>
          <w:spacing w:val="-2"/>
          <w:sz w:val="18"/>
        </w:rPr>
        <w:t xml:space="preserve"> </w:t>
      </w:r>
      <w:r>
        <w:rPr>
          <w:sz w:val="18"/>
        </w:rPr>
        <w:t>this</w:t>
      </w:r>
      <w:r>
        <w:rPr>
          <w:spacing w:val="-1"/>
          <w:sz w:val="18"/>
        </w:rPr>
        <w:t xml:space="preserve"> </w:t>
      </w:r>
      <w:r>
        <w:rPr>
          <w:sz w:val="18"/>
        </w:rPr>
        <w:t>law,</w:t>
      </w:r>
      <w:r>
        <w:rPr>
          <w:spacing w:val="-1"/>
          <w:sz w:val="18"/>
        </w:rPr>
        <w:t xml:space="preserve"> </w:t>
      </w:r>
      <w:r>
        <w:rPr>
          <w:sz w:val="18"/>
        </w:rPr>
        <w:t>the</w:t>
      </w:r>
      <w:r>
        <w:rPr>
          <w:spacing w:val="-2"/>
          <w:sz w:val="18"/>
        </w:rPr>
        <w:t xml:space="preserve"> </w:t>
      </w:r>
      <w:r>
        <w:rPr>
          <w:sz w:val="18"/>
        </w:rPr>
        <w:t>term</w:t>
      </w:r>
      <w:r>
        <w:rPr>
          <w:spacing w:val="-1"/>
          <w:sz w:val="18"/>
        </w:rPr>
        <w:t xml:space="preserve"> </w:t>
      </w:r>
      <w:r>
        <w:rPr>
          <w:sz w:val="18"/>
        </w:rPr>
        <w:t>debt</w:t>
      </w:r>
      <w:r>
        <w:rPr>
          <w:spacing w:val="-1"/>
          <w:sz w:val="18"/>
        </w:rPr>
        <w:t xml:space="preserve"> </w:t>
      </w:r>
      <w:r>
        <w:rPr>
          <w:sz w:val="18"/>
        </w:rPr>
        <w:t>is</w:t>
      </w:r>
      <w:r>
        <w:rPr>
          <w:spacing w:val="-1"/>
          <w:sz w:val="18"/>
        </w:rPr>
        <w:t xml:space="preserve"> </w:t>
      </w:r>
      <w:r>
        <w:rPr>
          <w:sz w:val="18"/>
        </w:rPr>
        <w:t>used</w:t>
      </w:r>
      <w:r>
        <w:rPr>
          <w:spacing w:val="-2"/>
          <w:sz w:val="18"/>
        </w:rPr>
        <w:t xml:space="preserve"> </w:t>
      </w:r>
      <w:r>
        <w:rPr>
          <w:sz w:val="18"/>
        </w:rPr>
        <w:t>interchangeably</w:t>
      </w:r>
      <w:r>
        <w:rPr>
          <w:spacing w:val="-1"/>
          <w:sz w:val="18"/>
        </w:rPr>
        <w:t xml:space="preserve"> </w:t>
      </w:r>
      <w:r>
        <w:rPr>
          <w:sz w:val="18"/>
        </w:rPr>
        <w:t>with</w:t>
      </w:r>
      <w:r>
        <w:rPr>
          <w:spacing w:val="-2"/>
          <w:sz w:val="18"/>
        </w:rPr>
        <w:t xml:space="preserve"> </w:t>
      </w:r>
      <w:r>
        <w:rPr>
          <w:sz w:val="18"/>
        </w:rPr>
        <w:t>the</w:t>
      </w:r>
      <w:r>
        <w:rPr>
          <w:spacing w:val="-2"/>
          <w:sz w:val="18"/>
        </w:rPr>
        <w:t xml:space="preserve"> </w:t>
      </w:r>
      <w:r>
        <w:rPr>
          <w:sz w:val="18"/>
        </w:rPr>
        <w:t>term</w:t>
      </w:r>
      <w:r>
        <w:rPr>
          <w:spacing w:val="-1"/>
          <w:sz w:val="18"/>
        </w:rPr>
        <w:t xml:space="preserve"> </w:t>
      </w:r>
      <w:r>
        <w:rPr>
          <w:sz w:val="18"/>
        </w:rPr>
        <w:t>claim,</w:t>
      </w:r>
      <w:r>
        <w:rPr>
          <w:spacing w:val="-1"/>
          <w:sz w:val="18"/>
        </w:rPr>
        <w:t xml:space="preserve"> </w:t>
      </w:r>
      <w:r>
        <w:rPr>
          <w:sz w:val="18"/>
        </w:rPr>
        <w:t>and</w:t>
      </w:r>
      <w:r>
        <w:rPr>
          <w:spacing w:val="-2"/>
          <w:sz w:val="18"/>
        </w:rPr>
        <w:t xml:space="preserve"> </w:t>
      </w:r>
      <w:r>
        <w:rPr>
          <w:sz w:val="18"/>
        </w:rPr>
        <w:t>debts covered</w:t>
      </w:r>
      <w:r>
        <w:rPr>
          <w:spacing w:val="-2"/>
          <w:sz w:val="18"/>
        </w:rPr>
        <w:t xml:space="preserve"> </w:t>
      </w:r>
      <w:r>
        <w:rPr>
          <w:sz w:val="18"/>
        </w:rPr>
        <w:t>by</w:t>
      </w:r>
      <w:r>
        <w:rPr>
          <w:spacing w:val="-1"/>
          <w:sz w:val="18"/>
        </w:rPr>
        <w:t xml:space="preserve"> </w:t>
      </w:r>
      <w:r>
        <w:rPr>
          <w:sz w:val="18"/>
        </w:rPr>
        <w:t>this</w:t>
      </w:r>
      <w:r>
        <w:rPr>
          <w:spacing w:val="-1"/>
          <w:sz w:val="18"/>
        </w:rPr>
        <w:t xml:space="preserve"> </w:t>
      </w:r>
      <w:r>
        <w:rPr>
          <w:sz w:val="18"/>
        </w:rPr>
        <w:t>law</w:t>
      </w:r>
      <w:r>
        <w:rPr>
          <w:spacing w:val="-1"/>
          <w:sz w:val="18"/>
        </w:rPr>
        <w:t xml:space="preserve"> </w:t>
      </w:r>
      <w:r>
        <w:rPr>
          <w:sz w:val="18"/>
        </w:rPr>
        <w:t>do</w:t>
      </w:r>
      <w:r>
        <w:rPr>
          <w:spacing w:val="-2"/>
          <w:sz w:val="18"/>
        </w:rPr>
        <w:t xml:space="preserve"> </w:t>
      </w:r>
      <w:r>
        <w:rPr>
          <w:sz w:val="18"/>
        </w:rPr>
        <w:t>not</w:t>
      </w:r>
      <w:r>
        <w:rPr>
          <w:spacing w:val="-1"/>
          <w:sz w:val="18"/>
        </w:rPr>
        <w:t xml:space="preserve"> </w:t>
      </w:r>
      <w:r>
        <w:rPr>
          <w:sz w:val="18"/>
        </w:rPr>
        <w:t>apply</w:t>
      </w:r>
      <w:r>
        <w:rPr>
          <w:spacing w:val="-1"/>
          <w:sz w:val="18"/>
        </w:rPr>
        <w:t xml:space="preserve"> </w:t>
      </w:r>
      <w:r>
        <w:rPr>
          <w:sz w:val="18"/>
        </w:rPr>
        <w:t>to</w:t>
      </w:r>
      <w:r>
        <w:rPr>
          <w:spacing w:val="-2"/>
          <w:sz w:val="18"/>
        </w:rPr>
        <w:t xml:space="preserve"> </w:t>
      </w:r>
      <w:r>
        <w:rPr>
          <w:sz w:val="18"/>
        </w:rPr>
        <w:t>amounts payable under the Internal Revenue Code, the Social Security Act, or tariff laws. 31 U.S.C. § 3701(b), (d).</w:t>
      </w:r>
    </w:p>
    <w:p w14:paraId="0DFDB8DD" w14:textId="77777777" w:rsidR="00046465" w:rsidRDefault="008134EB">
      <w:pPr>
        <w:spacing w:before="125"/>
        <w:ind w:left="360"/>
        <w:rPr>
          <w:sz w:val="18"/>
        </w:rPr>
      </w:pPr>
      <w:r>
        <w:rPr>
          <w:position w:val="7"/>
          <w:sz w:val="14"/>
        </w:rPr>
        <w:t>25</w:t>
      </w:r>
      <w:r>
        <w:rPr>
          <w:sz w:val="18"/>
        </w:rPr>
        <w:t>The</w:t>
      </w:r>
      <w:r>
        <w:rPr>
          <w:spacing w:val="-3"/>
          <w:sz w:val="18"/>
        </w:rPr>
        <w:t xml:space="preserve"> </w:t>
      </w:r>
      <w:r>
        <w:rPr>
          <w:sz w:val="18"/>
        </w:rPr>
        <w:t>entity</w:t>
      </w:r>
      <w:r>
        <w:rPr>
          <w:spacing w:val="-2"/>
          <w:sz w:val="18"/>
        </w:rPr>
        <w:t xml:space="preserve"> </w:t>
      </w:r>
      <w:r>
        <w:rPr>
          <w:sz w:val="18"/>
        </w:rPr>
        <w:t>shall</w:t>
      </w:r>
      <w:r>
        <w:rPr>
          <w:spacing w:val="-1"/>
          <w:sz w:val="18"/>
        </w:rPr>
        <w:t xml:space="preserve"> </w:t>
      </w:r>
      <w:r>
        <w:rPr>
          <w:sz w:val="18"/>
        </w:rPr>
        <w:t>waive</w:t>
      </w:r>
      <w:r>
        <w:rPr>
          <w:spacing w:val="-3"/>
          <w:sz w:val="18"/>
        </w:rPr>
        <w:t xml:space="preserve"> </w:t>
      </w:r>
      <w:r>
        <w:rPr>
          <w:sz w:val="18"/>
        </w:rPr>
        <w:t>the</w:t>
      </w:r>
      <w:r>
        <w:rPr>
          <w:spacing w:val="-3"/>
          <w:sz w:val="18"/>
        </w:rPr>
        <w:t xml:space="preserve"> </w:t>
      </w:r>
      <w:r>
        <w:rPr>
          <w:sz w:val="18"/>
        </w:rPr>
        <w:t>collection</w:t>
      </w:r>
      <w:r>
        <w:rPr>
          <w:spacing w:val="-3"/>
          <w:sz w:val="18"/>
        </w:rPr>
        <w:t xml:space="preserve"> </w:t>
      </w:r>
      <w:r>
        <w:rPr>
          <w:sz w:val="18"/>
        </w:rPr>
        <w:t>of</w:t>
      </w:r>
      <w:r>
        <w:rPr>
          <w:spacing w:val="-2"/>
          <w:sz w:val="18"/>
        </w:rPr>
        <w:t xml:space="preserve"> </w:t>
      </w:r>
      <w:r>
        <w:rPr>
          <w:sz w:val="18"/>
        </w:rPr>
        <w:t>interest</w:t>
      </w:r>
      <w:r>
        <w:rPr>
          <w:spacing w:val="-2"/>
          <w:sz w:val="18"/>
        </w:rPr>
        <w:t xml:space="preserve"> </w:t>
      </w:r>
      <w:r>
        <w:rPr>
          <w:sz w:val="18"/>
        </w:rPr>
        <w:t>on</w:t>
      </w:r>
      <w:r>
        <w:rPr>
          <w:spacing w:val="-3"/>
          <w:sz w:val="18"/>
        </w:rPr>
        <w:t xml:space="preserve"> </w:t>
      </w:r>
      <w:r>
        <w:rPr>
          <w:sz w:val="18"/>
        </w:rPr>
        <w:t>a</w:t>
      </w:r>
      <w:r>
        <w:rPr>
          <w:spacing w:val="-2"/>
          <w:sz w:val="18"/>
        </w:rPr>
        <w:t xml:space="preserve"> </w:t>
      </w:r>
      <w:r>
        <w:rPr>
          <w:sz w:val="18"/>
        </w:rPr>
        <w:t>claim</w:t>
      </w:r>
      <w:r>
        <w:rPr>
          <w:spacing w:val="-2"/>
          <w:sz w:val="18"/>
        </w:rPr>
        <w:t xml:space="preserve"> </w:t>
      </w:r>
      <w:r>
        <w:rPr>
          <w:sz w:val="18"/>
        </w:rPr>
        <w:t>(or</w:t>
      </w:r>
      <w:r>
        <w:rPr>
          <w:spacing w:val="-2"/>
          <w:sz w:val="18"/>
        </w:rPr>
        <w:t xml:space="preserve"> </w:t>
      </w:r>
      <w:r>
        <w:rPr>
          <w:sz w:val="18"/>
        </w:rPr>
        <w:t>any</w:t>
      </w:r>
      <w:r>
        <w:rPr>
          <w:spacing w:val="-2"/>
          <w:sz w:val="18"/>
        </w:rPr>
        <w:t xml:space="preserve"> </w:t>
      </w:r>
      <w:r>
        <w:rPr>
          <w:sz w:val="18"/>
        </w:rPr>
        <w:t>portion</w:t>
      </w:r>
      <w:r>
        <w:rPr>
          <w:spacing w:val="-3"/>
          <w:sz w:val="18"/>
        </w:rPr>
        <w:t xml:space="preserve"> </w:t>
      </w:r>
      <w:r>
        <w:rPr>
          <w:sz w:val="18"/>
        </w:rPr>
        <w:t>of</w:t>
      </w:r>
      <w:r>
        <w:rPr>
          <w:spacing w:val="-1"/>
          <w:sz w:val="18"/>
        </w:rPr>
        <w:t xml:space="preserve"> </w:t>
      </w:r>
      <w:r>
        <w:rPr>
          <w:sz w:val="18"/>
        </w:rPr>
        <w:t>the</w:t>
      </w:r>
      <w:r>
        <w:rPr>
          <w:spacing w:val="-3"/>
          <w:sz w:val="18"/>
        </w:rPr>
        <w:t xml:space="preserve"> </w:t>
      </w:r>
      <w:r>
        <w:rPr>
          <w:sz w:val="18"/>
        </w:rPr>
        <w:t>claim)</w:t>
      </w:r>
      <w:r>
        <w:rPr>
          <w:spacing w:val="-2"/>
          <w:sz w:val="18"/>
        </w:rPr>
        <w:t xml:space="preserve"> </w:t>
      </w:r>
      <w:r>
        <w:rPr>
          <w:sz w:val="18"/>
        </w:rPr>
        <w:t>that</w:t>
      </w:r>
      <w:r>
        <w:rPr>
          <w:spacing w:val="-1"/>
          <w:sz w:val="18"/>
        </w:rPr>
        <w:t xml:space="preserve"> </w:t>
      </w:r>
      <w:r>
        <w:rPr>
          <w:sz w:val="18"/>
        </w:rPr>
        <w:t>is</w:t>
      </w:r>
      <w:r>
        <w:rPr>
          <w:spacing w:val="-2"/>
          <w:sz w:val="18"/>
        </w:rPr>
        <w:t xml:space="preserve"> </w:t>
      </w:r>
      <w:r>
        <w:rPr>
          <w:sz w:val="18"/>
        </w:rPr>
        <w:t>paid</w:t>
      </w:r>
      <w:r>
        <w:rPr>
          <w:spacing w:val="-3"/>
          <w:sz w:val="18"/>
        </w:rPr>
        <w:t xml:space="preserve"> </w:t>
      </w:r>
      <w:r>
        <w:rPr>
          <w:sz w:val="18"/>
        </w:rPr>
        <w:t>within</w:t>
      </w:r>
      <w:r>
        <w:rPr>
          <w:spacing w:val="-1"/>
          <w:sz w:val="18"/>
        </w:rPr>
        <w:t xml:space="preserve"> </w:t>
      </w:r>
      <w:r>
        <w:rPr>
          <w:sz w:val="18"/>
        </w:rPr>
        <w:t>30</w:t>
      </w:r>
      <w:r>
        <w:rPr>
          <w:spacing w:val="-2"/>
          <w:sz w:val="18"/>
        </w:rPr>
        <w:t xml:space="preserve"> </w:t>
      </w:r>
      <w:r>
        <w:rPr>
          <w:sz w:val="18"/>
        </w:rPr>
        <w:t>days</w:t>
      </w:r>
      <w:r>
        <w:rPr>
          <w:spacing w:val="-2"/>
          <w:sz w:val="18"/>
        </w:rPr>
        <w:t xml:space="preserve"> </w:t>
      </w:r>
      <w:r>
        <w:rPr>
          <w:sz w:val="18"/>
        </w:rPr>
        <w:t>after</w:t>
      </w:r>
      <w:r>
        <w:rPr>
          <w:spacing w:val="-2"/>
          <w:sz w:val="18"/>
        </w:rPr>
        <w:t xml:space="preserve"> </w:t>
      </w:r>
      <w:r>
        <w:rPr>
          <w:sz w:val="18"/>
        </w:rPr>
        <w:t>the</w:t>
      </w:r>
      <w:r>
        <w:rPr>
          <w:spacing w:val="-3"/>
          <w:sz w:val="18"/>
        </w:rPr>
        <w:t xml:space="preserve"> </w:t>
      </w:r>
      <w:r>
        <w:rPr>
          <w:sz w:val="18"/>
        </w:rPr>
        <w:t>date</w:t>
      </w:r>
      <w:r>
        <w:rPr>
          <w:spacing w:val="-1"/>
          <w:sz w:val="18"/>
        </w:rPr>
        <w:t xml:space="preserve"> </w:t>
      </w:r>
      <w:r>
        <w:rPr>
          <w:sz w:val="18"/>
        </w:rPr>
        <w:t>on</w:t>
      </w:r>
      <w:r>
        <w:rPr>
          <w:spacing w:val="-3"/>
          <w:sz w:val="18"/>
        </w:rPr>
        <w:t xml:space="preserve"> </w:t>
      </w:r>
      <w:r>
        <w:rPr>
          <w:sz w:val="18"/>
        </w:rPr>
        <w:t>which</w:t>
      </w:r>
      <w:r>
        <w:rPr>
          <w:spacing w:val="-3"/>
          <w:sz w:val="18"/>
        </w:rPr>
        <w:t xml:space="preserve"> </w:t>
      </w:r>
      <w:r>
        <w:rPr>
          <w:sz w:val="18"/>
        </w:rPr>
        <w:t>interest</w:t>
      </w:r>
      <w:r>
        <w:rPr>
          <w:spacing w:val="-2"/>
          <w:sz w:val="18"/>
        </w:rPr>
        <w:t xml:space="preserve"> </w:t>
      </w:r>
      <w:r>
        <w:rPr>
          <w:sz w:val="18"/>
        </w:rPr>
        <w:t>began</w:t>
      </w:r>
      <w:r>
        <w:rPr>
          <w:spacing w:val="-3"/>
          <w:sz w:val="18"/>
        </w:rPr>
        <w:t xml:space="preserve"> </w:t>
      </w:r>
      <w:r>
        <w:rPr>
          <w:sz w:val="18"/>
        </w:rPr>
        <w:t>to</w:t>
      </w:r>
      <w:r>
        <w:rPr>
          <w:spacing w:val="-3"/>
          <w:sz w:val="18"/>
        </w:rPr>
        <w:t xml:space="preserve"> </w:t>
      </w:r>
      <w:r>
        <w:rPr>
          <w:sz w:val="18"/>
        </w:rPr>
        <w:t>accrue.</w:t>
      </w:r>
      <w:r>
        <w:rPr>
          <w:spacing w:val="-1"/>
          <w:sz w:val="18"/>
        </w:rPr>
        <w:t xml:space="preserve"> </w:t>
      </w:r>
      <w:r>
        <w:rPr>
          <w:spacing w:val="-5"/>
          <w:sz w:val="18"/>
        </w:rPr>
        <w:t>31</w:t>
      </w:r>
    </w:p>
    <w:p w14:paraId="0DFDB8DE" w14:textId="77777777" w:rsidR="00046465" w:rsidRDefault="008134EB">
      <w:pPr>
        <w:spacing w:before="8"/>
        <w:ind w:left="359"/>
        <w:rPr>
          <w:sz w:val="18"/>
        </w:rPr>
      </w:pPr>
      <w:r>
        <w:rPr>
          <w:sz w:val="18"/>
        </w:rPr>
        <w:t>U.S.C.</w:t>
      </w:r>
      <w:r>
        <w:rPr>
          <w:spacing w:val="-2"/>
          <w:sz w:val="18"/>
        </w:rPr>
        <w:t xml:space="preserve"> </w:t>
      </w:r>
      <w:r>
        <w:rPr>
          <w:sz w:val="18"/>
        </w:rPr>
        <w:t>§</w:t>
      </w:r>
      <w:r>
        <w:rPr>
          <w:spacing w:val="-3"/>
          <w:sz w:val="18"/>
        </w:rPr>
        <w:t xml:space="preserve"> </w:t>
      </w:r>
      <w:r>
        <w:rPr>
          <w:sz w:val="18"/>
        </w:rPr>
        <w:t>3717(d).</w:t>
      </w:r>
      <w:r>
        <w:rPr>
          <w:spacing w:val="-2"/>
          <w:sz w:val="18"/>
        </w:rPr>
        <w:t xml:space="preserve"> </w:t>
      </w:r>
      <w:r>
        <w:rPr>
          <w:sz w:val="18"/>
        </w:rPr>
        <w:t>Further,</w:t>
      </w:r>
      <w:r>
        <w:rPr>
          <w:spacing w:val="-2"/>
          <w:sz w:val="18"/>
        </w:rPr>
        <w:t xml:space="preserve"> </w:t>
      </w:r>
      <w:r>
        <w:rPr>
          <w:sz w:val="18"/>
        </w:rPr>
        <w:t>the</w:t>
      </w:r>
      <w:r>
        <w:rPr>
          <w:spacing w:val="-3"/>
          <w:sz w:val="18"/>
        </w:rPr>
        <w:t xml:space="preserve"> </w:t>
      </w:r>
      <w:r>
        <w:rPr>
          <w:sz w:val="18"/>
        </w:rPr>
        <w:t>entity</w:t>
      </w:r>
      <w:r>
        <w:rPr>
          <w:spacing w:val="-2"/>
          <w:sz w:val="18"/>
        </w:rPr>
        <w:t xml:space="preserve"> </w:t>
      </w:r>
      <w:r>
        <w:rPr>
          <w:sz w:val="18"/>
        </w:rPr>
        <w:t>head</w:t>
      </w:r>
      <w:r>
        <w:rPr>
          <w:spacing w:val="-3"/>
          <w:sz w:val="18"/>
        </w:rPr>
        <w:t xml:space="preserve"> </w:t>
      </w:r>
      <w:r>
        <w:rPr>
          <w:sz w:val="18"/>
        </w:rPr>
        <w:t>may</w:t>
      </w:r>
      <w:r>
        <w:rPr>
          <w:spacing w:val="-2"/>
          <w:sz w:val="18"/>
        </w:rPr>
        <w:t xml:space="preserve"> </w:t>
      </w:r>
      <w:r>
        <w:rPr>
          <w:sz w:val="18"/>
        </w:rPr>
        <w:t>extend</w:t>
      </w:r>
      <w:r>
        <w:rPr>
          <w:spacing w:val="-3"/>
          <w:sz w:val="18"/>
        </w:rPr>
        <w:t xml:space="preserve"> </w:t>
      </w:r>
      <w:r>
        <w:rPr>
          <w:sz w:val="18"/>
        </w:rPr>
        <w:t>this</w:t>
      </w:r>
      <w:r>
        <w:rPr>
          <w:spacing w:val="-2"/>
          <w:sz w:val="18"/>
        </w:rPr>
        <w:t xml:space="preserve"> </w:t>
      </w:r>
      <w:r>
        <w:rPr>
          <w:sz w:val="18"/>
        </w:rPr>
        <w:t>30-day</w:t>
      </w:r>
      <w:r>
        <w:rPr>
          <w:spacing w:val="-2"/>
          <w:sz w:val="18"/>
        </w:rPr>
        <w:t xml:space="preserve"> </w:t>
      </w:r>
      <w:r>
        <w:rPr>
          <w:sz w:val="18"/>
        </w:rPr>
        <w:t>period.</w:t>
      </w:r>
      <w:r>
        <w:rPr>
          <w:spacing w:val="-1"/>
          <w:sz w:val="18"/>
        </w:rPr>
        <w:t xml:space="preserve"> </w:t>
      </w:r>
      <w:r>
        <w:rPr>
          <w:sz w:val="18"/>
        </w:rPr>
        <w:t>31</w:t>
      </w:r>
      <w:r>
        <w:rPr>
          <w:spacing w:val="-3"/>
          <w:sz w:val="18"/>
        </w:rPr>
        <w:t xml:space="preserve"> </w:t>
      </w:r>
      <w:r>
        <w:rPr>
          <w:sz w:val="18"/>
        </w:rPr>
        <w:t>U.S.C.</w:t>
      </w:r>
      <w:r>
        <w:rPr>
          <w:spacing w:val="-2"/>
          <w:sz w:val="18"/>
        </w:rPr>
        <w:t xml:space="preserve"> </w:t>
      </w:r>
      <w:r>
        <w:rPr>
          <w:sz w:val="18"/>
        </w:rPr>
        <w:t>§</w:t>
      </w:r>
      <w:r>
        <w:rPr>
          <w:spacing w:val="-2"/>
          <w:sz w:val="18"/>
        </w:rPr>
        <w:t xml:space="preserve"> </w:t>
      </w:r>
      <w:r>
        <w:rPr>
          <w:sz w:val="18"/>
        </w:rPr>
        <w:t>3717(d).</w:t>
      </w:r>
      <w:r>
        <w:rPr>
          <w:spacing w:val="-2"/>
          <w:sz w:val="18"/>
        </w:rPr>
        <w:t xml:space="preserve"> </w:t>
      </w:r>
      <w:r>
        <w:rPr>
          <w:sz w:val="18"/>
        </w:rPr>
        <w:t>Interest</w:t>
      </w:r>
      <w:r>
        <w:rPr>
          <w:spacing w:val="-2"/>
          <w:sz w:val="18"/>
        </w:rPr>
        <w:t xml:space="preserve"> </w:t>
      </w:r>
      <w:r>
        <w:rPr>
          <w:sz w:val="18"/>
        </w:rPr>
        <w:t>that</w:t>
      </w:r>
      <w:r>
        <w:rPr>
          <w:spacing w:val="-2"/>
          <w:sz w:val="18"/>
        </w:rPr>
        <w:t xml:space="preserve"> </w:t>
      </w:r>
      <w:r>
        <w:rPr>
          <w:sz w:val="18"/>
        </w:rPr>
        <w:t>is</w:t>
      </w:r>
      <w:r>
        <w:rPr>
          <w:spacing w:val="-2"/>
          <w:sz w:val="18"/>
        </w:rPr>
        <w:t xml:space="preserve"> </w:t>
      </w:r>
      <w:r>
        <w:rPr>
          <w:sz w:val="18"/>
        </w:rPr>
        <w:t>either</w:t>
      </w:r>
      <w:r>
        <w:rPr>
          <w:spacing w:val="-2"/>
          <w:sz w:val="18"/>
        </w:rPr>
        <w:t xml:space="preserve"> </w:t>
      </w:r>
      <w:r>
        <w:rPr>
          <w:sz w:val="18"/>
        </w:rPr>
        <w:t>accrued</w:t>
      </w:r>
      <w:r>
        <w:rPr>
          <w:spacing w:val="-3"/>
          <w:sz w:val="18"/>
        </w:rPr>
        <w:t xml:space="preserve"> </w:t>
      </w:r>
      <w:r>
        <w:rPr>
          <w:sz w:val="18"/>
        </w:rPr>
        <w:t>or</w:t>
      </w:r>
      <w:r>
        <w:rPr>
          <w:spacing w:val="-2"/>
          <w:sz w:val="18"/>
        </w:rPr>
        <w:t xml:space="preserve"> </w:t>
      </w:r>
      <w:r>
        <w:rPr>
          <w:sz w:val="18"/>
        </w:rPr>
        <w:t>collected</w:t>
      </w:r>
      <w:r>
        <w:rPr>
          <w:spacing w:val="-3"/>
          <w:sz w:val="18"/>
        </w:rPr>
        <w:t xml:space="preserve"> </w:t>
      </w:r>
      <w:r>
        <w:rPr>
          <w:sz w:val="18"/>
        </w:rPr>
        <w:t>on</w:t>
      </w:r>
      <w:r>
        <w:rPr>
          <w:spacing w:val="-3"/>
          <w:sz w:val="18"/>
        </w:rPr>
        <w:t xml:space="preserve"> </w:t>
      </w:r>
      <w:r>
        <w:rPr>
          <w:sz w:val="18"/>
        </w:rPr>
        <w:t>claims</w:t>
      </w:r>
      <w:r>
        <w:rPr>
          <w:spacing w:val="-2"/>
          <w:sz w:val="18"/>
        </w:rPr>
        <w:t xml:space="preserve"> </w:t>
      </w:r>
      <w:r>
        <w:rPr>
          <w:sz w:val="18"/>
        </w:rPr>
        <w:t>that</w:t>
      </w:r>
      <w:r>
        <w:rPr>
          <w:spacing w:val="-2"/>
          <w:sz w:val="18"/>
        </w:rPr>
        <w:t xml:space="preserve"> </w:t>
      </w:r>
      <w:r>
        <w:rPr>
          <w:sz w:val="18"/>
        </w:rPr>
        <w:t>are</w:t>
      </w:r>
      <w:r>
        <w:rPr>
          <w:spacing w:val="-3"/>
          <w:sz w:val="18"/>
        </w:rPr>
        <w:t xml:space="preserve"> </w:t>
      </w:r>
      <w:r>
        <w:rPr>
          <w:sz w:val="18"/>
        </w:rPr>
        <w:t>paid</w:t>
      </w:r>
      <w:r>
        <w:rPr>
          <w:spacing w:val="-3"/>
          <w:sz w:val="18"/>
        </w:rPr>
        <w:t xml:space="preserve"> </w:t>
      </w:r>
      <w:r>
        <w:rPr>
          <w:sz w:val="18"/>
        </w:rPr>
        <w:t>within the 30-day period would usually not be material or otherwise significant for purposes of compliance testing. If the auditor considers this provision to be significant for compliance testing, then this form should be tailored to include the appropriate testing procedures.</w:t>
      </w:r>
    </w:p>
    <w:p w14:paraId="0DFDB8DF" w14:textId="77777777" w:rsidR="00046465" w:rsidRDefault="008134EB">
      <w:pPr>
        <w:spacing w:before="126" w:line="244" w:lineRule="auto"/>
        <w:ind w:left="359"/>
        <w:rPr>
          <w:sz w:val="18"/>
        </w:rPr>
      </w:pPr>
      <w:r>
        <w:rPr>
          <w:position w:val="7"/>
          <w:sz w:val="14"/>
        </w:rPr>
        <w:t>26</w:t>
      </w:r>
      <w:r>
        <w:rPr>
          <w:sz w:val="18"/>
        </w:rPr>
        <w:t>The requirements under 31 U.S.C. § 3717 regarding charging interest on a debt do not apply to the extent that a statute, a regulation required by statute, a loan agreement,</w:t>
      </w:r>
      <w:r>
        <w:rPr>
          <w:spacing w:val="-2"/>
          <w:sz w:val="18"/>
        </w:rPr>
        <w:t xml:space="preserve"> </w:t>
      </w:r>
      <w:r>
        <w:rPr>
          <w:sz w:val="18"/>
        </w:rPr>
        <w:t>or</w:t>
      </w:r>
      <w:r>
        <w:rPr>
          <w:spacing w:val="-2"/>
          <w:sz w:val="18"/>
        </w:rPr>
        <w:t xml:space="preserve"> </w:t>
      </w:r>
      <w:r>
        <w:rPr>
          <w:sz w:val="18"/>
        </w:rPr>
        <w:t>a</w:t>
      </w:r>
      <w:r>
        <w:rPr>
          <w:spacing w:val="-3"/>
          <w:sz w:val="18"/>
        </w:rPr>
        <w:t xml:space="preserve"> </w:t>
      </w:r>
      <w:r>
        <w:rPr>
          <w:sz w:val="18"/>
        </w:rPr>
        <w:t>contract</w:t>
      </w:r>
      <w:r>
        <w:rPr>
          <w:spacing w:val="-2"/>
          <w:sz w:val="18"/>
        </w:rPr>
        <w:t xml:space="preserve"> </w:t>
      </w:r>
      <w:r>
        <w:rPr>
          <w:sz w:val="18"/>
        </w:rPr>
        <w:t>prohibits</w:t>
      </w:r>
      <w:r>
        <w:rPr>
          <w:spacing w:val="-2"/>
          <w:sz w:val="18"/>
        </w:rPr>
        <w:t xml:space="preserve"> </w:t>
      </w:r>
      <w:r>
        <w:rPr>
          <w:sz w:val="18"/>
        </w:rPr>
        <w:t>charging</w:t>
      </w:r>
      <w:r>
        <w:rPr>
          <w:spacing w:val="-3"/>
          <w:sz w:val="18"/>
        </w:rPr>
        <w:t xml:space="preserve"> </w:t>
      </w:r>
      <w:r>
        <w:rPr>
          <w:sz w:val="18"/>
        </w:rPr>
        <w:t>interest</w:t>
      </w:r>
      <w:r>
        <w:rPr>
          <w:spacing w:val="-2"/>
          <w:sz w:val="18"/>
        </w:rPr>
        <w:t xml:space="preserve"> </w:t>
      </w:r>
      <w:r>
        <w:rPr>
          <w:sz w:val="18"/>
        </w:rPr>
        <w:t>or</w:t>
      </w:r>
      <w:r>
        <w:rPr>
          <w:spacing w:val="-2"/>
          <w:sz w:val="18"/>
        </w:rPr>
        <w:t xml:space="preserve"> </w:t>
      </w:r>
      <w:r>
        <w:rPr>
          <w:sz w:val="18"/>
        </w:rPr>
        <w:t>explicitly</w:t>
      </w:r>
      <w:r>
        <w:rPr>
          <w:spacing w:val="-2"/>
          <w:sz w:val="18"/>
        </w:rPr>
        <w:t xml:space="preserve"> </w:t>
      </w:r>
      <w:r>
        <w:rPr>
          <w:sz w:val="18"/>
        </w:rPr>
        <w:t>fixes</w:t>
      </w:r>
      <w:r>
        <w:rPr>
          <w:spacing w:val="-2"/>
          <w:sz w:val="18"/>
        </w:rPr>
        <w:t xml:space="preserve"> </w:t>
      </w:r>
      <w:r>
        <w:rPr>
          <w:sz w:val="18"/>
        </w:rPr>
        <w:t>the</w:t>
      </w:r>
      <w:r>
        <w:rPr>
          <w:spacing w:val="-3"/>
          <w:sz w:val="18"/>
        </w:rPr>
        <w:t xml:space="preserve"> </w:t>
      </w:r>
      <w:r>
        <w:rPr>
          <w:sz w:val="18"/>
        </w:rPr>
        <w:t>interest.</w:t>
      </w:r>
      <w:r>
        <w:rPr>
          <w:spacing w:val="-2"/>
          <w:sz w:val="18"/>
        </w:rPr>
        <w:t xml:space="preserve"> </w:t>
      </w:r>
      <w:r>
        <w:rPr>
          <w:sz w:val="18"/>
        </w:rPr>
        <w:t>31</w:t>
      </w:r>
      <w:r>
        <w:rPr>
          <w:spacing w:val="-3"/>
          <w:sz w:val="18"/>
        </w:rPr>
        <w:t xml:space="preserve"> </w:t>
      </w:r>
      <w:r>
        <w:rPr>
          <w:sz w:val="18"/>
        </w:rPr>
        <w:t>U.S.C.</w:t>
      </w:r>
      <w:r>
        <w:rPr>
          <w:spacing w:val="-2"/>
          <w:sz w:val="18"/>
        </w:rPr>
        <w:t xml:space="preserve"> </w:t>
      </w:r>
      <w:r>
        <w:rPr>
          <w:sz w:val="18"/>
        </w:rPr>
        <w:t>§</w:t>
      </w:r>
      <w:r>
        <w:rPr>
          <w:spacing w:val="-2"/>
          <w:sz w:val="18"/>
        </w:rPr>
        <w:t xml:space="preserve"> </w:t>
      </w:r>
      <w:r>
        <w:rPr>
          <w:sz w:val="18"/>
        </w:rPr>
        <w:t>3717(g)(1).</w:t>
      </w:r>
      <w:r>
        <w:rPr>
          <w:spacing w:val="-1"/>
          <w:sz w:val="18"/>
        </w:rPr>
        <w:t xml:space="preserve"> </w:t>
      </w:r>
      <w:r>
        <w:rPr>
          <w:sz w:val="18"/>
        </w:rPr>
        <w:t>Additionally,</w:t>
      </w:r>
      <w:r>
        <w:rPr>
          <w:spacing w:val="-2"/>
          <w:sz w:val="18"/>
        </w:rPr>
        <w:t xml:space="preserve"> </w:t>
      </w:r>
      <w:r>
        <w:rPr>
          <w:sz w:val="18"/>
        </w:rPr>
        <w:t>these</w:t>
      </w:r>
      <w:r>
        <w:rPr>
          <w:spacing w:val="-3"/>
          <w:sz w:val="18"/>
        </w:rPr>
        <w:t xml:space="preserve"> </w:t>
      </w:r>
      <w:r>
        <w:rPr>
          <w:sz w:val="18"/>
        </w:rPr>
        <w:t>requirements</w:t>
      </w:r>
      <w:r>
        <w:rPr>
          <w:spacing w:val="-2"/>
          <w:sz w:val="18"/>
        </w:rPr>
        <w:t xml:space="preserve"> </w:t>
      </w:r>
      <w:r>
        <w:rPr>
          <w:sz w:val="18"/>
        </w:rPr>
        <w:t>do</w:t>
      </w:r>
      <w:r>
        <w:rPr>
          <w:spacing w:val="-3"/>
          <w:sz w:val="18"/>
        </w:rPr>
        <w:t xml:space="preserve"> </w:t>
      </w:r>
      <w:r>
        <w:rPr>
          <w:sz w:val="18"/>
        </w:rPr>
        <w:t>not</w:t>
      </w:r>
      <w:r>
        <w:rPr>
          <w:spacing w:val="-2"/>
          <w:sz w:val="18"/>
        </w:rPr>
        <w:t xml:space="preserve"> </w:t>
      </w:r>
      <w:r>
        <w:rPr>
          <w:sz w:val="18"/>
        </w:rPr>
        <w:t>apply</w:t>
      </w:r>
      <w:r>
        <w:rPr>
          <w:spacing w:val="-2"/>
          <w:sz w:val="18"/>
        </w:rPr>
        <w:t xml:space="preserve"> </w:t>
      </w:r>
      <w:r>
        <w:rPr>
          <w:sz w:val="18"/>
        </w:rPr>
        <w:t>to</w:t>
      </w:r>
      <w:r>
        <w:rPr>
          <w:spacing w:val="-3"/>
          <w:sz w:val="18"/>
        </w:rPr>
        <w:t xml:space="preserve"> </w:t>
      </w:r>
      <w:r>
        <w:rPr>
          <w:sz w:val="18"/>
        </w:rPr>
        <w:t>a</w:t>
      </w:r>
      <w:r>
        <w:rPr>
          <w:spacing w:val="-3"/>
          <w:sz w:val="18"/>
        </w:rPr>
        <w:t xml:space="preserve"> </w:t>
      </w:r>
      <w:r>
        <w:rPr>
          <w:sz w:val="18"/>
        </w:rPr>
        <w:t>claim</w:t>
      </w:r>
      <w:r>
        <w:rPr>
          <w:spacing w:val="-2"/>
          <w:sz w:val="18"/>
        </w:rPr>
        <w:t xml:space="preserve"> </w:t>
      </w:r>
      <w:r>
        <w:rPr>
          <w:sz w:val="18"/>
        </w:rPr>
        <w:t>under a contract executed before October 25, 1982, that is in effect on October 25, 1982. 31 U.S.C. § 3717(g)(2).</w:t>
      </w:r>
    </w:p>
    <w:p w14:paraId="0DFDB8E0" w14:textId="77777777" w:rsidR="00046465" w:rsidRDefault="008134EB">
      <w:pPr>
        <w:spacing w:before="120" w:line="244" w:lineRule="auto"/>
        <w:ind w:left="359" w:right="111"/>
        <w:rPr>
          <w:sz w:val="18"/>
        </w:rPr>
      </w:pPr>
      <w:r>
        <w:rPr>
          <w:position w:val="7"/>
          <w:sz w:val="14"/>
        </w:rPr>
        <w:t>27</w:t>
      </w:r>
      <w:r>
        <w:rPr>
          <w:sz w:val="18"/>
        </w:rPr>
        <w:t>The entity has the authority to waive the collection of interest, penalties, and administrative charges. 31 U.S.C. § 3717(h). To do so, the entity shall prescribe regulations</w:t>
      </w:r>
      <w:r>
        <w:rPr>
          <w:spacing w:val="-2"/>
          <w:sz w:val="18"/>
        </w:rPr>
        <w:t xml:space="preserve"> </w:t>
      </w:r>
      <w:r>
        <w:rPr>
          <w:sz w:val="18"/>
        </w:rPr>
        <w:t>identifying</w:t>
      </w:r>
      <w:r>
        <w:rPr>
          <w:spacing w:val="-3"/>
          <w:sz w:val="18"/>
        </w:rPr>
        <w:t xml:space="preserve"> </w:t>
      </w:r>
      <w:r>
        <w:rPr>
          <w:sz w:val="18"/>
        </w:rPr>
        <w:t>the</w:t>
      </w:r>
      <w:r>
        <w:rPr>
          <w:spacing w:val="-3"/>
          <w:sz w:val="18"/>
        </w:rPr>
        <w:t xml:space="preserve"> </w:t>
      </w:r>
      <w:r>
        <w:rPr>
          <w:sz w:val="18"/>
        </w:rPr>
        <w:t>circumstances</w:t>
      </w:r>
      <w:r>
        <w:rPr>
          <w:spacing w:val="-2"/>
          <w:sz w:val="18"/>
        </w:rPr>
        <w:t xml:space="preserve"> </w:t>
      </w:r>
      <w:r>
        <w:rPr>
          <w:sz w:val="18"/>
        </w:rPr>
        <w:t>that</w:t>
      </w:r>
      <w:r>
        <w:rPr>
          <w:spacing w:val="-1"/>
          <w:sz w:val="18"/>
        </w:rPr>
        <w:t xml:space="preserve"> </w:t>
      </w:r>
      <w:r>
        <w:rPr>
          <w:sz w:val="18"/>
        </w:rPr>
        <w:t>are</w:t>
      </w:r>
      <w:r>
        <w:rPr>
          <w:spacing w:val="-3"/>
          <w:sz w:val="18"/>
        </w:rPr>
        <w:t xml:space="preserve"> </w:t>
      </w:r>
      <w:r>
        <w:rPr>
          <w:sz w:val="18"/>
        </w:rPr>
        <w:t>appropriate</w:t>
      </w:r>
      <w:r>
        <w:rPr>
          <w:spacing w:val="-3"/>
          <w:sz w:val="18"/>
        </w:rPr>
        <w:t xml:space="preserve"> </w:t>
      </w:r>
      <w:r>
        <w:rPr>
          <w:sz w:val="18"/>
        </w:rPr>
        <w:t>for</w:t>
      </w:r>
      <w:r>
        <w:rPr>
          <w:spacing w:val="-2"/>
          <w:sz w:val="18"/>
        </w:rPr>
        <w:t xml:space="preserve"> </w:t>
      </w:r>
      <w:r>
        <w:rPr>
          <w:sz w:val="18"/>
        </w:rPr>
        <w:t>waiving</w:t>
      </w:r>
      <w:r>
        <w:rPr>
          <w:spacing w:val="-3"/>
          <w:sz w:val="18"/>
        </w:rPr>
        <w:t xml:space="preserve"> </w:t>
      </w:r>
      <w:r>
        <w:rPr>
          <w:sz w:val="18"/>
        </w:rPr>
        <w:t>interest</w:t>
      </w:r>
      <w:r>
        <w:rPr>
          <w:spacing w:val="-2"/>
          <w:sz w:val="18"/>
        </w:rPr>
        <w:t xml:space="preserve"> </w:t>
      </w:r>
      <w:r>
        <w:rPr>
          <w:sz w:val="18"/>
        </w:rPr>
        <w:t>collection,</w:t>
      </w:r>
      <w:r>
        <w:rPr>
          <w:spacing w:val="-2"/>
          <w:sz w:val="18"/>
        </w:rPr>
        <w:t xml:space="preserve"> </w:t>
      </w:r>
      <w:r>
        <w:rPr>
          <w:sz w:val="18"/>
        </w:rPr>
        <w:t>and</w:t>
      </w:r>
      <w:r>
        <w:rPr>
          <w:spacing w:val="-3"/>
          <w:sz w:val="18"/>
        </w:rPr>
        <w:t xml:space="preserve"> </w:t>
      </w:r>
      <w:r>
        <w:rPr>
          <w:sz w:val="18"/>
        </w:rPr>
        <w:t>such</w:t>
      </w:r>
      <w:r>
        <w:rPr>
          <w:spacing w:val="-3"/>
          <w:sz w:val="18"/>
        </w:rPr>
        <w:t xml:space="preserve"> </w:t>
      </w:r>
      <w:r>
        <w:rPr>
          <w:sz w:val="18"/>
        </w:rPr>
        <w:t>regulations</w:t>
      </w:r>
      <w:r>
        <w:rPr>
          <w:spacing w:val="-2"/>
          <w:sz w:val="18"/>
        </w:rPr>
        <w:t xml:space="preserve"> </w:t>
      </w:r>
      <w:r>
        <w:rPr>
          <w:sz w:val="18"/>
        </w:rPr>
        <w:t>shall</w:t>
      </w:r>
      <w:r>
        <w:rPr>
          <w:spacing w:val="-2"/>
          <w:sz w:val="18"/>
        </w:rPr>
        <w:t xml:space="preserve"> </w:t>
      </w:r>
      <w:r>
        <w:rPr>
          <w:sz w:val="18"/>
        </w:rPr>
        <w:t>be</w:t>
      </w:r>
      <w:r>
        <w:rPr>
          <w:spacing w:val="-1"/>
          <w:sz w:val="18"/>
        </w:rPr>
        <w:t xml:space="preserve"> </w:t>
      </w:r>
      <w:r>
        <w:rPr>
          <w:sz w:val="18"/>
        </w:rPr>
        <w:t>in</w:t>
      </w:r>
      <w:r>
        <w:rPr>
          <w:spacing w:val="-3"/>
          <w:sz w:val="18"/>
        </w:rPr>
        <w:t xml:space="preserve"> </w:t>
      </w:r>
      <w:r>
        <w:rPr>
          <w:sz w:val="18"/>
        </w:rPr>
        <w:t>conformity</w:t>
      </w:r>
      <w:r>
        <w:rPr>
          <w:spacing w:val="-2"/>
          <w:sz w:val="18"/>
        </w:rPr>
        <w:t xml:space="preserve"> </w:t>
      </w:r>
      <w:r>
        <w:rPr>
          <w:sz w:val="18"/>
        </w:rPr>
        <w:t>with</w:t>
      </w:r>
      <w:r>
        <w:rPr>
          <w:spacing w:val="-3"/>
          <w:sz w:val="18"/>
        </w:rPr>
        <w:t xml:space="preserve"> </w:t>
      </w:r>
      <w:r>
        <w:rPr>
          <w:sz w:val="18"/>
        </w:rPr>
        <w:t>standards</w:t>
      </w:r>
      <w:r>
        <w:rPr>
          <w:spacing w:val="-2"/>
          <w:sz w:val="18"/>
        </w:rPr>
        <w:t xml:space="preserve"> </w:t>
      </w:r>
      <w:r>
        <w:rPr>
          <w:sz w:val="18"/>
        </w:rPr>
        <w:t>prescribed jointly by the U.S. Comptroller General, the U.S. Attorney General, and the Secretary of the Treasury. 31 U.S.C. § 3717(h).</w:t>
      </w:r>
    </w:p>
    <w:p w14:paraId="0DFDB8E1" w14:textId="77777777" w:rsidR="00046465" w:rsidRDefault="008134EB">
      <w:pPr>
        <w:spacing w:before="122" w:line="249" w:lineRule="auto"/>
        <w:ind w:left="359" w:right="111"/>
        <w:rPr>
          <w:sz w:val="18"/>
        </w:rPr>
      </w:pPr>
      <w:r>
        <w:rPr>
          <w:position w:val="7"/>
          <w:sz w:val="14"/>
        </w:rPr>
        <w:t>28</w:t>
      </w:r>
      <w:r>
        <w:rPr>
          <w:sz w:val="18"/>
        </w:rPr>
        <w:t>The</w:t>
      </w:r>
      <w:r>
        <w:rPr>
          <w:spacing w:val="-3"/>
          <w:sz w:val="18"/>
        </w:rPr>
        <w:t xml:space="preserve"> </w:t>
      </w:r>
      <w:r>
        <w:rPr>
          <w:sz w:val="18"/>
        </w:rPr>
        <w:t>entity</w:t>
      </w:r>
      <w:r>
        <w:rPr>
          <w:spacing w:val="-2"/>
          <w:sz w:val="18"/>
        </w:rPr>
        <w:t xml:space="preserve"> </w:t>
      </w:r>
      <w:r>
        <w:rPr>
          <w:sz w:val="18"/>
        </w:rPr>
        <w:t>may</w:t>
      </w:r>
      <w:r>
        <w:rPr>
          <w:spacing w:val="-1"/>
          <w:sz w:val="18"/>
        </w:rPr>
        <w:t xml:space="preserve"> </w:t>
      </w:r>
      <w:r>
        <w:rPr>
          <w:sz w:val="18"/>
        </w:rPr>
        <w:t>increase</w:t>
      </w:r>
      <w:r>
        <w:rPr>
          <w:spacing w:val="-3"/>
          <w:sz w:val="18"/>
        </w:rPr>
        <w:t xml:space="preserve"> </w:t>
      </w:r>
      <w:r>
        <w:rPr>
          <w:sz w:val="18"/>
        </w:rPr>
        <w:t>an</w:t>
      </w:r>
      <w:r>
        <w:rPr>
          <w:spacing w:val="-3"/>
          <w:sz w:val="18"/>
        </w:rPr>
        <w:t xml:space="preserve"> </w:t>
      </w:r>
      <w:r>
        <w:rPr>
          <w:sz w:val="18"/>
        </w:rPr>
        <w:t>administrative</w:t>
      </w:r>
      <w:r>
        <w:rPr>
          <w:spacing w:val="-3"/>
          <w:sz w:val="18"/>
        </w:rPr>
        <w:t xml:space="preserve"> </w:t>
      </w:r>
      <w:r>
        <w:rPr>
          <w:sz w:val="18"/>
        </w:rPr>
        <w:t>claim</w:t>
      </w:r>
      <w:r>
        <w:rPr>
          <w:spacing w:val="-2"/>
          <w:sz w:val="18"/>
        </w:rPr>
        <w:t xml:space="preserve"> </w:t>
      </w:r>
      <w:r>
        <w:rPr>
          <w:sz w:val="18"/>
        </w:rPr>
        <w:t>(a</w:t>
      </w:r>
      <w:r>
        <w:rPr>
          <w:spacing w:val="-3"/>
          <w:sz w:val="18"/>
        </w:rPr>
        <w:t xml:space="preserve"> </w:t>
      </w:r>
      <w:r>
        <w:rPr>
          <w:sz w:val="18"/>
        </w:rPr>
        <w:t>debt</w:t>
      </w:r>
      <w:r>
        <w:rPr>
          <w:spacing w:val="-2"/>
          <w:sz w:val="18"/>
        </w:rPr>
        <w:t xml:space="preserve"> </w:t>
      </w:r>
      <w:r>
        <w:rPr>
          <w:sz w:val="18"/>
        </w:rPr>
        <w:t>not</w:t>
      </w:r>
      <w:r>
        <w:rPr>
          <w:spacing w:val="-1"/>
          <w:sz w:val="18"/>
        </w:rPr>
        <w:t xml:space="preserve"> </w:t>
      </w:r>
      <w:r>
        <w:rPr>
          <w:sz w:val="18"/>
        </w:rPr>
        <w:t>based</w:t>
      </w:r>
      <w:r>
        <w:rPr>
          <w:spacing w:val="-3"/>
          <w:sz w:val="18"/>
        </w:rPr>
        <w:t xml:space="preserve"> </w:t>
      </w:r>
      <w:r>
        <w:rPr>
          <w:sz w:val="18"/>
        </w:rPr>
        <w:t>on</w:t>
      </w:r>
      <w:r>
        <w:rPr>
          <w:spacing w:val="-3"/>
          <w:sz w:val="18"/>
        </w:rPr>
        <w:t xml:space="preserve"> </w:t>
      </w:r>
      <w:r>
        <w:rPr>
          <w:sz w:val="18"/>
        </w:rPr>
        <w:t>an</w:t>
      </w:r>
      <w:r>
        <w:rPr>
          <w:spacing w:val="-3"/>
          <w:sz w:val="18"/>
        </w:rPr>
        <w:t xml:space="preserve"> </w:t>
      </w:r>
      <w:r>
        <w:rPr>
          <w:sz w:val="18"/>
        </w:rPr>
        <w:t>extension</w:t>
      </w:r>
      <w:r>
        <w:rPr>
          <w:spacing w:val="-3"/>
          <w:sz w:val="18"/>
        </w:rPr>
        <w:t xml:space="preserve"> </w:t>
      </w:r>
      <w:r>
        <w:rPr>
          <w:sz w:val="18"/>
        </w:rPr>
        <w:t>of</w:t>
      </w:r>
      <w:r>
        <w:rPr>
          <w:spacing w:val="-2"/>
          <w:sz w:val="18"/>
        </w:rPr>
        <w:t xml:space="preserve"> </w:t>
      </w:r>
      <w:r>
        <w:rPr>
          <w:sz w:val="18"/>
        </w:rPr>
        <w:t>government</w:t>
      </w:r>
      <w:r>
        <w:rPr>
          <w:spacing w:val="-2"/>
          <w:sz w:val="18"/>
        </w:rPr>
        <w:t xml:space="preserve"> </w:t>
      </w:r>
      <w:r>
        <w:rPr>
          <w:sz w:val="18"/>
        </w:rPr>
        <w:t>credit</w:t>
      </w:r>
      <w:r>
        <w:rPr>
          <w:spacing w:val="-2"/>
          <w:sz w:val="18"/>
        </w:rPr>
        <w:t xml:space="preserve"> </w:t>
      </w:r>
      <w:r>
        <w:rPr>
          <w:sz w:val="18"/>
        </w:rPr>
        <w:t>through</w:t>
      </w:r>
      <w:r>
        <w:rPr>
          <w:spacing w:val="-3"/>
          <w:sz w:val="18"/>
        </w:rPr>
        <w:t xml:space="preserve"> </w:t>
      </w:r>
      <w:r>
        <w:rPr>
          <w:sz w:val="18"/>
        </w:rPr>
        <w:t>direct</w:t>
      </w:r>
      <w:r>
        <w:rPr>
          <w:spacing w:val="-2"/>
          <w:sz w:val="18"/>
        </w:rPr>
        <w:t xml:space="preserve"> </w:t>
      </w:r>
      <w:r>
        <w:rPr>
          <w:sz w:val="18"/>
        </w:rPr>
        <w:t>loans,</w:t>
      </w:r>
      <w:r>
        <w:rPr>
          <w:spacing w:val="-2"/>
          <w:sz w:val="18"/>
        </w:rPr>
        <w:t xml:space="preserve"> </w:t>
      </w:r>
      <w:r>
        <w:rPr>
          <w:sz w:val="18"/>
        </w:rPr>
        <w:t>guarantees,</w:t>
      </w:r>
      <w:r>
        <w:rPr>
          <w:spacing w:val="-2"/>
          <w:sz w:val="18"/>
        </w:rPr>
        <w:t xml:space="preserve"> </w:t>
      </w:r>
      <w:r>
        <w:rPr>
          <w:sz w:val="18"/>
        </w:rPr>
        <w:t>or</w:t>
      </w:r>
      <w:r>
        <w:rPr>
          <w:spacing w:val="-2"/>
          <w:sz w:val="18"/>
        </w:rPr>
        <w:t xml:space="preserve"> </w:t>
      </w:r>
      <w:r>
        <w:rPr>
          <w:sz w:val="18"/>
        </w:rPr>
        <w:t>insurance,</w:t>
      </w:r>
      <w:r>
        <w:rPr>
          <w:spacing w:val="-2"/>
          <w:sz w:val="18"/>
        </w:rPr>
        <w:t xml:space="preserve"> </w:t>
      </w:r>
      <w:r>
        <w:rPr>
          <w:sz w:val="18"/>
        </w:rPr>
        <w:t>including fines, penalties, and overpayments) annually by the cost of living adjustment in lieu of charging interest and penalties. 31 U.S.C. § 3717(i).</w:t>
      </w:r>
    </w:p>
    <w:p w14:paraId="0DFDB8E2" w14:textId="77777777" w:rsidR="00046465" w:rsidRDefault="00046465">
      <w:pPr>
        <w:spacing w:line="249" w:lineRule="auto"/>
        <w:rPr>
          <w:sz w:val="18"/>
        </w:rPr>
        <w:sectPr w:rsidR="00046465">
          <w:pgSz w:w="15840" w:h="12240" w:orient="landscape"/>
          <w:pgMar w:top="1340" w:right="1440" w:bottom="940" w:left="720" w:header="721" w:footer="742" w:gutter="0"/>
          <w:cols w:space="720"/>
        </w:sect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943"/>
        <w:gridCol w:w="1791"/>
        <w:gridCol w:w="2231"/>
        <w:gridCol w:w="1524"/>
        <w:gridCol w:w="1496"/>
        <w:gridCol w:w="2185"/>
      </w:tblGrid>
      <w:tr w:rsidR="00046465" w14:paraId="0DFDB8EE" w14:textId="77777777">
        <w:trPr>
          <w:trHeight w:val="1574"/>
        </w:trPr>
        <w:tc>
          <w:tcPr>
            <w:tcW w:w="3943" w:type="dxa"/>
            <w:tcBorders>
              <w:right w:val="nil"/>
            </w:tcBorders>
          </w:tcPr>
          <w:p w14:paraId="0DFDB8E3" w14:textId="77777777" w:rsidR="00046465" w:rsidRDefault="008134EB">
            <w:pPr>
              <w:pStyle w:val="TableParagraph"/>
              <w:spacing w:before="144"/>
              <w:ind w:right="2058"/>
              <w:jc w:val="right"/>
            </w:pPr>
            <w:r>
              <w:lastRenderedPageBreak/>
              <w:t>Name</w:t>
            </w:r>
            <w:r>
              <w:rPr>
                <w:spacing w:val="-5"/>
              </w:rPr>
              <w:t xml:space="preserve"> </w:t>
            </w:r>
            <w:r>
              <w:t>of</w:t>
            </w:r>
            <w:r>
              <w:rPr>
                <w:spacing w:val="-5"/>
              </w:rPr>
              <w:t xml:space="preserve"> </w:t>
            </w:r>
            <w:r>
              <w:rPr>
                <w:spacing w:val="-2"/>
              </w:rPr>
              <w:t>entity:</w:t>
            </w:r>
          </w:p>
          <w:p w14:paraId="0DFDB8E4" w14:textId="77777777" w:rsidR="00046465" w:rsidRDefault="00046465">
            <w:pPr>
              <w:pStyle w:val="TableParagraph"/>
              <w:spacing w:before="6" w:after="1"/>
              <w:rPr>
                <w:sz w:val="12"/>
              </w:rPr>
            </w:pPr>
          </w:p>
          <w:p w14:paraId="0DFDB8E5" w14:textId="77777777" w:rsidR="00046465" w:rsidRDefault="008134EB">
            <w:pPr>
              <w:pStyle w:val="TableParagraph"/>
              <w:spacing w:line="20" w:lineRule="exact"/>
              <w:ind w:left="1974"/>
              <w:rPr>
                <w:sz w:val="2"/>
              </w:rPr>
            </w:pPr>
            <w:r>
              <w:rPr>
                <w:noProof/>
                <w:sz w:val="2"/>
              </w:rPr>
              <mc:AlternateContent>
                <mc:Choice Requires="wpg">
                  <w:drawing>
                    <wp:anchor distT="0" distB="0" distL="0" distR="0" simplePos="0" relativeHeight="476130816" behindDoc="1" locked="0" layoutInCell="1" allowOverlap="1" wp14:anchorId="0DFDD63B" wp14:editId="0DFDD63C">
                      <wp:simplePos x="0" y="0"/>
                      <wp:positionH relativeFrom="column">
                        <wp:posOffset>1260347</wp:posOffset>
                      </wp:positionH>
                      <wp:positionV relativeFrom="paragraph">
                        <wp:posOffset>349758</wp:posOffset>
                      </wp:positionV>
                      <wp:extent cx="1183005" cy="6350"/>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609" name="Graphic 609"/>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80B0838" id="Group 608" o:spid="_x0000_s1026" style="position:absolute;margin-left:99.25pt;margin-top:27.55pt;width:93.15pt;height:.5pt;z-index:-27185664;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">
                      <v:shape id="Graphic 609"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" path="m1182611,l,,,6108r1182611,l1182611,xe" fillcolor="black" stroked="f">
                        <v:path arrowok="t"/>
                      </v:shape>
                    </v:group>
                  </w:pict>
                </mc:Fallback>
              </mc:AlternateContent>
            </w:r>
            <w:r>
              <w:rPr>
                <w:noProof/>
                <w:sz w:val="2"/>
              </w:rPr>
              <mc:AlternateContent>
                <mc:Choice Requires="wpg">
                  <w:drawing>
                    <wp:inline distT="0" distB="0" distL="0" distR="0" wp14:anchorId="0DFDD63D" wp14:editId="0DFDD63E">
                      <wp:extent cx="1183005" cy="6350"/>
                      <wp:effectExtent l="0" t="0" r="0" b="0"/>
                      <wp:docPr id="610" name="Group 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611" name="Graphic 611"/>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0884685E" id="Group 610" o:spid="_x0000_s1026" style="width:93.15pt;height:.5pt;mso-position-horizontal-relative:char;mso-position-vertical-relative:line"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">
                      <v:shape id="Graphic 611"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" path="m1182611,l,,,6108r1182611,l1182611,xe" fillcolor="black" stroked="f">
                        <v:path arrowok="t"/>
                      </v:shape>
                      <w10:anchorlock/>
                    </v:group>
                  </w:pict>
                </mc:Fallback>
              </mc:AlternateContent>
            </w:r>
          </w:p>
          <w:p w14:paraId="0DFDB8E6" w14:textId="77777777" w:rsidR="00046465" w:rsidRDefault="008134EB">
            <w:pPr>
              <w:pStyle w:val="TableParagraph"/>
              <w:spacing w:before="133"/>
              <w:ind w:right="2059"/>
              <w:jc w:val="right"/>
            </w:pPr>
            <w:r>
              <w:t>Audit</w:t>
            </w:r>
            <w:r>
              <w:rPr>
                <w:spacing w:val="-7"/>
              </w:rPr>
              <w:t xml:space="preserve"> </w:t>
            </w:r>
            <w:r>
              <w:rPr>
                <w:spacing w:val="-2"/>
              </w:rPr>
              <w:t>period:</w:t>
            </w:r>
          </w:p>
        </w:tc>
        <w:tc>
          <w:tcPr>
            <w:tcW w:w="4022" w:type="dxa"/>
            <w:gridSpan w:val="2"/>
            <w:tcBorders>
              <w:left w:val="nil"/>
              <w:right w:val="nil"/>
            </w:tcBorders>
          </w:tcPr>
          <w:p w14:paraId="0DFDB8E7" w14:textId="77777777" w:rsidR="00046465" w:rsidRDefault="00046465">
            <w:pPr>
              <w:pStyle w:val="TableParagraph"/>
              <w:spacing w:before="133"/>
              <w:rPr>
                <w:sz w:val="24"/>
              </w:rPr>
            </w:pPr>
          </w:p>
          <w:p w14:paraId="0DFDB8E8" w14:textId="77777777" w:rsidR="00046465" w:rsidRDefault="008134EB">
            <w:pPr>
              <w:pStyle w:val="TableParagraph"/>
              <w:ind w:left="1395"/>
              <w:rPr>
                <w:b/>
                <w:sz w:val="24"/>
              </w:rPr>
            </w:pPr>
            <w:r>
              <w:rPr>
                <w:b/>
                <w:sz w:val="24"/>
              </w:rPr>
              <w:t>Compliance</w:t>
            </w:r>
            <w:r>
              <w:rPr>
                <w:b/>
                <w:spacing w:val="-6"/>
                <w:sz w:val="24"/>
              </w:rPr>
              <w:t xml:space="preserve"> </w:t>
            </w:r>
            <w:r>
              <w:rPr>
                <w:b/>
                <w:spacing w:val="-2"/>
                <w:sz w:val="24"/>
              </w:rPr>
              <w:t>Summary</w:t>
            </w:r>
          </w:p>
        </w:tc>
        <w:tc>
          <w:tcPr>
            <w:tcW w:w="1524" w:type="dxa"/>
            <w:tcBorders>
              <w:left w:val="nil"/>
              <w:right w:val="nil"/>
            </w:tcBorders>
          </w:tcPr>
          <w:p w14:paraId="0DFDB8E9" w14:textId="77777777" w:rsidR="00046465" w:rsidRDefault="00046465">
            <w:pPr>
              <w:pStyle w:val="TableParagraph"/>
              <w:rPr>
                <w:rFonts w:ascii="Times New Roman"/>
                <w:sz w:val="18"/>
              </w:rPr>
            </w:pPr>
          </w:p>
        </w:tc>
        <w:tc>
          <w:tcPr>
            <w:tcW w:w="3681" w:type="dxa"/>
            <w:gridSpan w:val="2"/>
            <w:tcBorders>
              <w:left w:val="nil"/>
            </w:tcBorders>
          </w:tcPr>
          <w:p w14:paraId="0DFDB8EA" w14:textId="77777777" w:rsidR="00046465" w:rsidRDefault="008134EB">
            <w:pPr>
              <w:pStyle w:val="TableParagraph"/>
              <w:spacing w:before="144"/>
              <w:ind w:left="97"/>
            </w:pPr>
            <w:bookmarkStart w:id="200" w:name="_bookmark94"/>
            <w:bookmarkStart w:id="201" w:name="_bookmark95"/>
            <w:bookmarkStart w:id="202" w:name="_bookmark96"/>
            <w:bookmarkEnd w:id="200"/>
            <w:bookmarkEnd w:id="201"/>
            <w:bookmarkEnd w:id="202"/>
            <w:r>
              <w:t>Prepared</w:t>
            </w:r>
            <w:r>
              <w:rPr>
                <w:spacing w:val="-11"/>
              </w:rPr>
              <w:t xml:space="preserve"> </w:t>
            </w:r>
            <w:r>
              <w:rPr>
                <w:spacing w:val="-5"/>
              </w:rPr>
              <w:t>by:</w:t>
            </w:r>
          </w:p>
          <w:p w14:paraId="0DFDB8EB" w14:textId="77777777" w:rsidR="00046465" w:rsidRDefault="00046465">
            <w:pPr>
              <w:pStyle w:val="TableParagraph"/>
              <w:spacing w:before="6" w:after="1"/>
              <w:rPr>
                <w:sz w:val="12"/>
              </w:rPr>
            </w:pPr>
          </w:p>
          <w:p w14:paraId="0DFDB8EC" w14:textId="77777777" w:rsidR="00046465" w:rsidRDefault="008134EB">
            <w:pPr>
              <w:pStyle w:val="TableParagraph"/>
              <w:spacing w:line="20" w:lineRule="exact"/>
              <w:ind w:left="1465"/>
              <w:rPr>
                <w:sz w:val="2"/>
              </w:rPr>
            </w:pPr>
            <w:r>
              <w:rPr>
                <w:noProof/>
                <w:sz w:val="2"/>
              </w:rPr>
              <mc:AlternateContent>
                <mc:Choice Requires="wpg">
                  <w:drawing>
                    <wp:anchor distT="0" distB="0" distL="0" distR="0" simplePos="0" relativeHeight="476131328" behindDoc="1" locked="0" layoutInCell="1" allowOverlap="1" wp14:anchorId="0DFDD63F" wp14:editId="0DFDD640">
                      <wp:simplePos x="0" y="0"/>
                      <wp:positionH relativeFrom="column">
                        <wp:posOffset>925830</wp:posOffset>
                      </wp:positionH>
                      <wp:positionV relativeFrom="paragraph">
                        <wp:posOffset>349758</wp:posOffset>
                      </wp:positionV>
                      <wp:extent cx="1344930" cy="6350"/>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13" name="Graphic 613"/>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41AEC6" id="Group 612" o:spid="_x0000_s1026" style="position:absolute;margin-left:72.9pt;margin-top:27.55pt;width:105.9pt;height:.5pt;z-index:-27185152;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">
                      <v:shape id="Graphic 613"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" path="m1344929,l,,,6108r1344929,l1344929,xe" fillcolor="black" stroked="f">
                        <v:path arrowok="t"/>
                      </v:shape>
                    </v:group>
                  </w:pict>
                </mc:Fallback>
              </mc:AlternateContent>
            </w:r>
            <w:r>
              <w:rPr>
                <w:noProof/>
                <w:sz w:val="2"/>
              </w:rPr>
              <mc:AlternateContent>
                <mc:Choice Requires="wpg">
                  <w:drawing>
                    <wp:inline distT="0" distB="0" distL="0" distR="0" wp14:anchorId="0DFDD641" wp14:editId="0DFDD642">
                      <wp:extent cx="1344930" cy="6350"/>
                      <wp:effectExtent l="0" t="0" r="0" b="0"/>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15" name="Graphic 615"/>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2B87E000" id="Group 614" o:spid="_x0000_s1026" style="width:105.9pt;height:.5pt;mso-position-horizontal-relative:char;mso-position-vertical-relative:line"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">
                      <v:shape id="Graphic 615"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" path="m1344929,l,,,6108r1344929,l1344929,xe" fillcolor="black" stroked="f">
                        <v:path arrowok="t"/>
                      </v:shape>
                      <w10:anchorlock/>
                    </v:group>
                  </w:pict>
                </mc:Fallback>
              </mc:AlternateContent>
            </w:r>
          </w:p>
          <w:p w14:paraId="0DFDB8ED" w14:textId="77777777" w:rsidR="00046465" w:rsidRDefault="008134EB">
            <w:pPr>
              <w:pStyle w:val="TableParagraph"/>
              <w:spacing w:before="133"/>
              <w:ind w:left="36"/>
            </w:pPr>
            <w:r>
              <w:t>Reviewed</w:t>
            </w:r>
            <w:r>
              <w:rPr>
                <w:spacing w:val="-12"/>
              </w:rPr>
              <w:t xml:space="preserve"> </w:t>
            </w:r>
            <w:r>
              <w:rPr>
                <w:spacing w:val="-5"/>
              </w:rPr>
              <w:t>by:</w:t>
            </w:r>
          </w:p>
        </w:tc>
      </w:tr>
      <w:tr w:rsidR="00046465" w14:paraId="0DFDB8F9" w14:textId="77777777">
        <w:trPr>
          <w:trHeight w:val="793"/>
        </w:trPr>
        <w:tc>
          <w:tcPr>
            <w:tcW w:w="3943" w:type="dxa"/>
            <w:tcBorders>
              <w:right w:val="single" w:sz="4" w:space="0" w:color="000000"/>
            </w:tcBorders>
          </w:tcPr>
          <w:p w14:paraId="0DFDB8EF" w14:textId="77777777" w:rsidR="00046465" w:rsidRDefault="00046465">
            <w:pPr>
              <w:pStyle w:val="TableParagraph"/>
              <w:spacing w:before="143"/>
            </w:pPr>
          </w:p>
          <w:p w14:paraId="0DFDB8F0" w14:textId="77777777" w:rsidR="00046465" w:rsidRDefault="008134EB">
            <w:pPr>
              <w:pStyle w:val="TableParagraph"/>
              <w:ind w:left="97"/>
            </w:pPr>
            <w:r>
              <w:t>Provision</w:t>
            </w:r>
            <w:r>
              <w:rPr>
                <w:spacing w:val="-11"/>
              </w:rPr>
              <w:t xml:space="preserve"> </w:t>
            </w:r>
            <w:r>
              <w:rPr>
                <w:spacing w:val="-2"/>
              </w:rPr>
              <w:t>Description</w:t>
            </w:r>
          </w:p>
        </w:tc>
        <w:tc>
          <w:tcPr>
            <w:tcW w:w="1791" w:type="dxa"/>
            <w:tcBorders>
              <w:left w:val="single" w:sz="4" w:space="0" w:color="000000"/>
              <w:right w:val="single" w:sz="4" w:space="0" w:color="000000"/>
            </w:tcBorders>
          </w:tcPr>
          <w:p w14:paraId="0DFDB8F1" w14:textId="77777777" w:rsidR="00046465" w:rsidRDefault="00046465">
            <w:pPr>
              <w:pStyle w:val="TableParagraph"/>
              <w:spacing w:before="143"/>
            </w:pPr>
          </w:p>
          <w:p w14:paraId="0DFDB8F2" w14:textId="77777777" w:rsidR="00046465" w:rsidRDefault="008134EB">
            <w:pPr>
              <w:pStyle w:val="TableParagraph"/>
              <w:ind w:left="107"/>
            </w:pPr>
            <w:r>
              <w:rPr>
                <w:spacing w:val="-2"/>
              </w:rPr>
              <w:t>Objective</w:t>
            </w:r>
          </w:p>
        </w:tc>
        <w:tc>
          <w:tcPr>
            <w:tcW w:w="2231" w:type="dxa"/>
            <w:tcBorders>
              <w:left w:val="single" w:sz="4" w:space="0" w:color="000000"/>
              <w:right w:val="single" w:sz="4" w:space="0" w:color="000000"/>
            </w:tcBorders>
          </w:tcPr>
          <w:p w14:paraId="0DFDB8F3" w14:textId="77777777" w:rsidR="00046465" w:rsidRDefault="00046465">
            <w:pPr>
              <w:pStyle w:val="TableParagraph"/>
              <w:spacing w:before="143"/>
            </w:pPr>
          </w:p>
          <w:p w14:paraId="0DFDB8F4" w14:textId="77777777" w:rsidR="00046465" w:rsidRDefault="008134EB">
            <w:pPr>
              <w:pStyle w:val="TableParagraph"/>
              <w:ind w:left="108"/>
            </w:pPr>
            <w:r>
              <w:t>Control</w:t>
            </w:r>
            <w:r>
              <w:rPr>
                <w:spacing w:val="-9"/>
              </w:rPr>
              <w:t xml:space="preserve"> </w:t>
            </w:r>
            <w:r>
              <w:rPr>
                <w:spacing w:val="-2"/>
              </w:rPr>
              <w:t>Activities</w:t>
            </w:r>
          </w:p>
        </w:tc>
        <w:tc>
          <w:tcPr>
            <w:tcW w:w="1524" w:type="dxa"/>
            <w:tcBorders>
              <w:left w:val="single" w:sz="4" w:space="0" w:color="000000"/>
              <w:right w:val="single" w:sz="4" w:space="0" w:color="000000"/>
            </w:tcBorders>
          </w:tcPr>
          <w:p w14:paraId="0DFDB8F5" w14:textId="77777777" w:rsidR="00046465" w:rsidRDefault="00046465">
            <w:pPr>
              <w:pStyle w:val="TableParagraph"/>
              <w:spacing w:before="143"/>
            </w:pPr>
          </w:p>
          <w:p w14:paraId="0DFDB8F6" w14:textId="77777777" w:rsidR="00046465" w:rsidRDefault="008134EB">
            <w:pPr>
              <w:pStyle w:val="TableParagraph"/>
              <w:ind w:left="109"/>
            </w:pPr>
            <w:r>
              <w:t>IS</w:t>
            </w:r>
            <w:r>
              <w:rPr>
                <w:spacing w:val="-3"/>
              </w:rPr>
              <w:t xml:space="preserve"> </w:t>
            </w:r>
            <w:r>
              <w:rPr>
                <w:spacing w:val="-2"/>
              </w:rPr>
              <w:t>(Y/N)</w:t>
            </w:r>
          </w:p>
        </w:tc>
        <w:tc>
          <w:tcPr>
            <w:tcW w:w="1496" w:type="dxa"/>
            <w:tcBorders>
              <w:left w:val="single" w:sz="4" w:space="0" w:color="000000"/>
              <w:right w:val="single" w:sz="4" w:space="0" w:color="000000"/>
            </w:tcBorders>
          </w:tcPr>
          <w:p w14:paraId="0DFDB8F7" w14:textId="77777777" w:rsidR="00046465" w:rsidRDefault="008134EB">
            <w:pPr>
              <w:pStyle w:val="TableParagraph"/>
              <w:spacing w:before="143"/>
              <w:ind w:left="110"/>
            </w:pPr>
            <w:r>
              <w:rPr>
                <w:spacing w:val="-2"/>
              </w:rPr>
              <w:t>Effective controls?</w:t>
            </w:r>
          </w:p>
        </w:tc>
        <w:tc>
          <w:tcPr>
            <w:tcW w:w="2185" w:type="dxa"/>
            <w:tcBorders>
              <w:left w:val="single" w:sz="4" w:space="0" w:color="000000"/>
            </w:tcBorders>
          </w:tcPr>
          <w:p w14:paraId="0DFDB8F8" w14:textId="77777777" w:rsidR="00046465" w:rsidRDefault="008134EB">
            <w:pPr>
              <w:pStyle w:val="TableParagraph"/>
              <w:spacing w:before="143"/>
              <w:ind w:left="111" w:right="2"/>
            </w:pPr>
            <w:r>
              <w:t xml:space="preserve">Instances of </w:t>
            </w:r>
            <w:r>
              <w:rPr>
                <w:spacing w:val="-2"/>
              </w:rPr>
              <w:t>noncompliance?</w:t>
            </w:r>
          </w:p>
        </w:tc>
      </w:tr>
      <w:tr w:rsidR="00046465" w14:paraId="0DFDB905" w14:textId="77777777">
        <w:trPr>
          <w:trHeight w:val="3888"/>
        </w:trPr>
        <w:tc>
          <w:tcPr>
            <w:tcW w:w="3943" w:type="dxa"/>
            <w:tcBorders>
              <w:bottom w:val="single" w:sz="4" w:space="0" w:color="000000"/>
              <w:right w:val="single" w:sz="4" w:space="0" w:color="000000"/>
            </w:tcBorders>
          </w:tcPr>
          <w:p w14:paraId="0DFDB8FA" w14:textId="77777777" w:rsidR="00046465" w:rsidRDefault="008134EB">
            <w:pPr>
              <w:pStyle w:val="TableParagraph"/>
              <w:spacing w:before="143"/>
              <w:ind w:left="817" w:hanging="720"/>
              <w:rPr>
                <w:sz w:val="18"/>
              </w:rPr>
            </w:pPr>
            <w:r>
              <w:rPr>
                <w:smallCaps/>
                <w:sz w:val="18"/>
              </w:rPr>
              <w:t xml:space="preserve">805.02. </w:t>
            </w:r>
            <w:r>
              <w:rPr>
                <w:smallCaps/>
                <w:spacing w:val="20"/>
                <w:sz w:val="18"/>
              </w:rPr>
              <w:t xml:space="preserve"> </w:t>
            </w:r>
            <w:r>
              <w:rPr>
                <w:smallCaps/>
                <w:sz w:val="18"/>
              </w:rPr>
              <w:t>Additional Debt-Related Charges:</w:t>
            </w:r>
            <w:r>
              <w:rPr>
                <w:smallCaps/>
                <w:spacing w:val="40"/>
                <w:sz w:val="18"/>
              </w:rPr>
              <w:t xml:space="preserve"> </w:t>
            </w:r>
            <w:r>
              <w:rPr>
                <w:smallCaps/>
                <w:sz w:val="18"/>
              </w:rPr>
              <w:t>Administrative</w:t>
            </w:r>
            <w:r>
              <w:rPr>
                <w:smallCaps/>
                <w:spacing w:val="-10"/>
                <w:sz w:val="18"/>
              </w:rPr>
              <w:t xml:space="preserve"> </w:t>
            </w:r>
            <w:r>
              <w:rPr>
                <w:smallCaps/>
                <w:sz w:val="18"/>
              </w:rPr>
              <w:t>Costs</w:t>
            </w:r>
            <w:r>
              <w:rPr>
                <w:smallCaps/>
                <w:spacing w:val="-10"/>
                <w:sz w:val="18"/>
              </w:rPr>
              <w:t xml:space="preserve"> </w:t>
            </w:r>
            <w:r>
              <w:rPr>
                <w:smallCaps/>
                <w:sz w:val="18"/>
              </w:rPr>
              <w:t>And</w:t>
            </w:r>
            <w:r>
              <w:rPr>
                <w:smallCaps/>
                <w:spacing w:val="-10"/>
                <w:sz w:val="18"/>
              </w:rPr>
              <w:t xml:space="preserve"> </w:t>
            </w:r>
            <w:r>
              <w:rPr>
                <w:smallCaps/>
                <w:sz w:val="18"/>
              </w:rPr>
              <w:t>Penalties.</w:t>
            </w:r>
          </w:p>
          <w:p w14:paraId="0DFDB8FB" w14:textId="77777777" w:rsidR="00046465" w:rsidRDefault="008134EB">
            <w:pPr>
              <w:pStyle w:val="TableParagraph"/>
              <w:spacing w:before="146"/>
              <w:ind w:left="97"/>
              <w:rPr>
                <w:sz w:val="18"/>
              </w:rPr>
            </w:pPr>
            <w:r>
              <w:rPr>
                <w:sz w:val="18"/>
              </w:rPr>
              <w:t>Provision</w:t>
            </w:r>
            <w:r>
              <w:rPr>
                <w:spacing w:val="-10"/>
                <w:sz w:val="18"/>
              </w:rPr>
              <w:t xml:space="preserve"> </w:t>
            </w:r>
            <w:r>
              <w:rPr>
                <w:sz w:val="18"/>
              </w:rPr>
              <w:t>Type:</w:t>
            </w:r>
            <w:r>
              <w:rPr>
                <w:spacing w:val="-8"/>
                <w:sz w:val="18"/>
              </w:rPr>
              <w:t xml:space="preserve"> </w:t>
            </w:r>
            <w:r>
              <w:rPr>
                <w:sz w:val="18"/>
              </w:rPr>
              <w:t>Transaction-</w:t>
            </w:r>
            <w:r>
              <w:rPr>
                <w:spacing w:val="-2"/>
                <w:sz w:val="18"/>
              </w:rPr>
              <w:t>based.</w:t>
            </w:r>
          </w:p>
          <w:p w14:paraId="0DFDB8FC" w14:textId="77777777" w:rsidR="00046465" w:rsidRDefault="008134EB">
            <w:pPr>
              <w:pStyle w:val="TableParagraph"/>
              <w:spacing w:before="143"/>
              <w:ind w:left="97" w:right="107"/>
              <w:rPr>
                <w:sz w:val="18"/>
              </w:rPr>
            </w:pPr>
            <w:r>
              <w:rPr>
                <w:sz w:val="18"/>
              </w:rPr>
              <w:t>The entity shall assess, on a claim owed to it (</w:t>
            </w:r>
            <w:r>
              <w:rPr>
                <w:i/>
                <w:sz w:val="18"/>
              </w:rPr>
              <w:t xml:space="preserve">i.e., </w:t>
            </w:r>
            <w:r>
              <w:rPr>
                <w:sz w:val="18"/>
              </w:rPr>
              <w:t>a debt), a charge to cover the cost of processing and handling a delinquent claim (administrative</w:t>
            </w:r>
            <w:r>
              <w:rPr>
                <w:spacing w:val="-6"/>
                <w:sz w:val="18"/>
              </w:rPr>
              <w:t xml:space="preserve"> </w:t>
            </w:r>
            <w:r>
              <w:rPr>
                <w:sz w:val="18"/>
              </w:rPr>
              <w:t>costs),</w:t>
            </w:r>
            <w:r>
              <w:rPr>
                <w:spacing w:val="-7"/>
                <w:sz w:val="18"/>
              </w:rPr>
              <w:t xml:space="preserve"> </w:t>
            </w:r>
            <w:r>
              <w:rPr>
                <w:sz w:val="18"/>
              </w:rPr>
              <w:t>which</w:t>
            </w:r>
            <w:r>
              <w:rPr>
                <w:spacing w:val="-8"/>
                <w:sz w:val="18"/>
              </w:rPr>
              <w:t xml:space="preserve"> </w:t>
            </w:r>
            <w:r>
              <w:rPr>
                <w:sz w:val="18"/>
              </w:rPr>
              <w:t>shall</w:t>
            </w:r>
            <w:r>
              <w:rPr>
                <w:spacing w:val="-6"/>
                <w:sz w:val="18"/>
              </w:rPr>
              <w:t xml:space="preserve"> </w:t>
            </w:r>
            <w:r>
              <w:rPr>
                <w:sz w:val="18"/>
              </w:rPr>
              <w:t>be</w:t>
            </w:r>
            <w:r>
              <w:rPr>
                <w:spacing w:val="-8"/>
                <w:sz w:val="18"/>
              </w:rPr>
              <w:t xml:space="preserve"> </w:t>
            </w:r>
            <w:r>
              <w:rPr>
                <w:sz w:val="18"/>
              </w:rPr>
              <w:t>based</w:t>
            </w:r>
            <w:r>
              <w:rPr>
                <w:spacing w:val="-8"/>
                <w:sz w:val="18"/>
              </w:rPr>
              <w:t xml:space="preserve"> </w:t>
            </w:r>
            <w:r>
              <w:rPr>
                <w:sz w:val="18"/>
              </w:rPr>
              <w:t>on the actual costs incurred or upon estimated costs, as determined by the assessing entity. 31 U.S.C. § 3717(e)(1). The entity shall also assess on a claim owed to it a penalty charge (of not more than 6 percent a year) for failure to pay a part of a claim more than 90 days</w:t>
            </w:r>
            <w:r>
              <w:rPr>
                <w:spacing w:val="40"/>
                <w:sz w:val="18"/>
              </w:rPr>
              <w:t xml:space="preserve"> </w:t>
            </w:r>
            <w:r>
              <w:rPr>
                <w:sz w:val="18"/>
              </w:rPr>
              <w:t>past due. 31 U.S.C. § 3717(e)(2). These additional charges do not accrue</w:t>
            </w:r>
          </w:p>
          <w:p w14:paraId="0DFDB8FD" w14:textId="77777777" w:rsidR="00046465" w:rsidRDefault="008134EB">
            <w:pPr>
              <w:pStyle w:val="TableParagraph"/>
              <w:spacing w:before="2"/>
              <w:ind w:left="97"/>
              <w:rPr>
                <w:sz w:val="18"/>
              </w:rPr>
            </w:pPr>
            <w:r>
              <w:rPr>
                <w:sz w:val="18"/>
              </w:rPr>
              <w:t>interest.</w:t>
            </w:r>
            <w:hyperlink w:anchor="_bookmark94" w:history="1">
              <w:r>
                <w:rPr>
                  <w:sz w:val="18"/>
                  <w:vertAlign w:val="superscript"/>
                </w:rPr>
                <w:t>29</w:t>
              </w:r>
            </w:hyperlink>
            <w:r>
              <w:rPr>
                <w:sz w:val="18"/>
                <w:vertAlign w:val="superscript"/>
              </w:rPr>
              <w:t>,</w:t>
            </w:r>
            <w:hyperlink w:anchor="_bookmark95" w:history="1">
              <w:r>
                <w:rPr>
                  <w:sz w:val="18"/>
                  <w:vertAlign w:val="superscript"/>
                </w:rPr>
                <w:t>30</w:t>
              </w:r>
            </w:hyperlink>
            <w:r>
              <w:rPr>
                <w:sz w:val="18"/>
                <w:vertAlign w:val="superscript"/>
              </w:rPr>
              <w:t>,</w:t>
            </w:r>
            <w:hyperlink w:anchor="_bookmark96" w:history="1">
              <w:r>
                <w:rPr>
                  <w:sz w:val="18"/>
                  <w:vertAlign w:val="superscript"/>
                </w:rPr>
                <w:t>31</w:t>
              </w:r>
            </w:hyperlink>
            <w:r>
              <w:rPr>
                <w:spacing w:val="5"/>
                <w:sz w:val="18"/>
              </w:rPr>
              <w:t xml:space="preserve"> </w:t>
            </w:r>
            <w:r>
              <w:rPr>
                <w:sz w:val="18"/>
              </w:rPr>
              <w:t>31</w:t>
            </w:r>
            <w:r>
              <w:rPr>
                <w:spacing w:val="5"/>
                <w:sz w:val="18"/>
              </w:rPr>
              <w:t xml:space="preserve"> </w:t>
            </w:r>
            <w:r>
              <w:rPr>
                <w:sz w:val="18"/>
              </w:rPr>
              <w:t>U.S.C.</w:t>
            </w:r>
            <w:r>
              <w:rPr>
                <w:spacing w:val="6"/>
                <w:sz w:val="18"/>
              </w:rPr>
              <w:t xml:space="preserve"> </w:t>
            </w:r>
            <w:r>
              <w:rPr>
                <w:sz w:val="18"/>
              </w:rPr>
              <w:t>§</w:t>
            </w:r>
            <w:r>
              <w:rPr>
                <w:spacing w:val="6"/>
                <w:sz w:val="18"/>
              </w:rPr>
              <w:t xml:space="preserve"> </w:t>
            </w:r>
            <w:r>
              <w:rPr>
                <w:spacing w:val="-2"/>
                <w:sz w:val="18"/>
              </w:rPr>
              <w:t>3717(f).</w:t>
            </w:r>
          </w:p>
        </w:tc>
        <w:tc>
          <w:tcPr>
            <w:tcW w:w="1791" w:type="dxa"/>
            <w:tcBorders>
              <w:left w:val="single" w:sz="4" w:space="0" w:color="000000"/>
              <w:bottom w:val="single" w:sz="4" w:space="0" w:color="000000"/>
              <w:right w:val="single" w:sz="4" w:space="0" w:color="000000"/>
            </w:tcBorders>
          </w:tcPr>
          <w:p w14:paraId="0DFDB8FE" w14:textId="77777777" w:rsidR="00046465" w:rsidRDefault="008134EB">
            <w:pPr>
              <w:pStyle w:val="TableParagraph"/>
              <w:spacing w:before="143"/>
              <w:ind w:left="108" w:right="101"/>
              <w:rPr>
                <w:sz w:val="18"/>
              </w:rPr>
            </w:pPr>
            <w:r>
              <w:rPr>
                <w:spacing w:val="-2"/>
                <w:sz w:val="18"/>
              </w:rPr>
              <w:t xml:space="preserve">Administrative </w:t>
            </w:r>
            <w:r>
              <w:rPr>
                <w:sz w:val="18"/>
              </w:rPr>
              <w:t>charges and late payment penalties are properly calculated and charged on past due</w:t>
            </w:r>
            <w:r>
              <w:rPr>
                <w:spacing w:val="-15"/>
                <w:sz w:val="18"/>
              </w:rPr>
              <w:t xml:space="preserve"> </w:t>
            </w:r>
            <w:r>
              <w:rPr>
                <w:sz w:val="18"/>
              </w:rPr>
              <w:t>amounts.</w:t>
            </w:r>
            <w:r>
              <w:rPr>
                <w:spacing w:val="-12"/>
                <w:sz w:val="18"/>
              </w:rPr>
              <w:t xml:space="preserve"> </w:t>
            </w:r>
            <w:r>
              <w:rPr>
                <w:sz w:val="18"/>
              </w:rPr>
              <w:t>(See footnotes 28</w:t>
            </w:r>
          </w:p>
          <w:p w14:paraId="0DFDB8FF" w14:textId="77777777" w:rsidR="00046465" w:rsidRDefault="008134EB">
            <w:pPr>
              <w:pStyle w:val="TableParagraph"/>
              <w:spacing w:before="2"/>
              <w:ind w:left="108"/>
              <w:rPr>
                <w:sz w:val="18"/>
              </w:rPr>
            </w:pPr>
            <w:r>
              <w:rPr>
                <w:sz w:val="18"/>
              </w:rPr>
              <w:t>through</w:t>
            </w:r>
            <w:r>
              <w:rPr>
                <w:spacing w:val="-3"/>
                <w:sz w:val="18"/>
              </w:rPr>
              <w:t xml:space="preserve"> </w:t>
            </w:r>
            <w:r>
              <w:rPr>
                <w:sz w:val="18"/>
              </w:rPr>
              <w:t>30</w:t>
            </w:r>
            <w:r>
              <w:rPr>
                <w:spacing w:val="-3"/>
                <w:sz w:val="18"/>
              </w:rPr>
              <w:t xml:space="preserve"> </w:t>
            </w:r>
            <w:r>
              <w:rPr>
                <w:spacing w:val="-2"/>
                <w:sz w:val="18"/>
              </w:rPr>
              <w:t>below.)</w:t>
            </w:r>
          </w:p>
        </w:tc>
        <w:tc>
          <w:tcPr>
            <w:tcW w:w="2231" w:type="dxa"/>
            <w:tcBorders>
              <w:left w:val="single" w:sz="4" w:space="0" w:color="000000"/>
              <w:bottom w:val="single" w:sz="4" w:space="0" w:color="000000"/>
              <w:right w:val="single" w:sz="4" w:space="0" w:color="000000"/>
            </w:tcBorders>
          </w:tcPr>
          <w:p w14:paraId="0DFDB900" w14:textId="61A52E6C" w:rsidR="00046465" w:rsidRDefault="00046465">
            <w:pPr>
              <w:pStyle w:val="TableParagraph"/>
              <w:rPr>
                <w:rFonts w:ascii="Times New Roman"/>
                <w:sz w:val="18"/>
              </w:rPr>
            </w:pPr>
          </w:p>
        </w:tc>
        <w:tc>
          <w:tcPr>
            <w:tcW w:w="1524" w:type="dxa"/>
            <w:tcBorders>
              <w:left w:val="single" w:sz="4" w:space="0" w:color="000000"/>
              <w:bottom w:val="single" w:sz="4" w:space="0" w:color="000000"/>
              <w:right w:val="single" w:sz="4" w:space="0" w:color="000000"/>
            </w:tcBorders>
          </w:tcPr>
          <w:p w14:paraId="0DFDB901" w14:textId="77777777" w:rsidR="00046465" w:rsidRDefault="00046465">
            <w:pPr>
              <w:pStyle w:val="TableParagraph"/>
              <w:rPr>
                <w:rFonts w:ascii="Times New Roman"/>
                <w:sz w:val="18"/>
              </w:rPr>
            </w:pPr>
          </w:p>
        </w:tc>
        <w:tc>
          <w:tcPr>
            <w:tcW w:w="1496" w:type="dxa"/>
            <w:tcBorders>
              <w:left w:val="single" w:sz="4" w:space="0" w:color="000000"/>
              <w:bottom w:val="single" w:sz="4" w:space="0" w:color="000000"/>
              <w:right w:val="single" w:sz="4" w:space="0" w:color="000000"/>
            </w:tcBorders>
          </w:tcPr>
          <w:p w14:paraId="0DFDB902" w14:textId="77777777" w:rsidR="00046465" w:rsidRDefault="00046465">
            <w:pPr>
              <w:pStyle w:val="TableParagraph"/>
              <w:rPr>
                <w:rFonts w:ascii="Times New Roman"/>
                <w:sz w:val="18"/>
              </w:rPr>
            </w:pPr>
          </w:p>
        </w:tc>
        <w:tc>
          <w:tcPr>
            <w:tcW w:w="2185" w:type="dxa"/>
            <w:tcBorders>
              <w:left w:val="single" w:sz="4" w:space="0" w:color="000000"/>
              <w:bottom w:val="single" w:sz="4" w:space="0" w:color="000000"/>
            </w:tcBorders>
          </w:tcPr>
          <w:p w14:paraId="0DFDB903" w14:textId="77777777" w:rsidR="00046465" w:rsidRDefault="008134EB">
            <w:pPr>
              <w:pStyle w:val="TableParagraph"/>
              <w:spacing w:before="143"/>
              <w:ind w:left="111" w:right="2"/>
              <w:rPr>
                <w:sz w:val="18"/>
              </w:rPr>
            </w:pPr>
            <w:r>
              <w:rPr>
                <w:sz w:val="18"/>
              </w:rPr>
              <w:t>See</w:t>
            </w:r>
            <w:r>
              <w:rPr>
                <w:spacing w:val="-15"/>
                <w:sz w:val="18"/>
              </w:rPr>
              <w:t xml:space="preserve"> </w:t>
            </w:r>
            <w:r>
              <w:rPr>
                <w:sz w:val="18"/>
              </w:rPr>
              <w:t>Compliance</w:t>
            </w:r>
            <w:r>
              <w:rPr>
                <w:spacing w:val="-12"/>
                <w:sz w:val="18"/>
              </w:rPr>
              <w:t xml:space="preserve"> </w:t>
            </w:r>
            <w:r>
              <w:rPr>
                <w:sz w:val="18"/>
              </w:rPr>
              <w:t>Audit Procedures,</w:t>
            </w:r>
            <w:r>
              <w:rPr>
                <w:spacing w:val="-3"/>
                <w:sz w:val="18"/>
              </w:rPr>
              <w:t xml:space="preserve"> </w:t>
            </w:r>
            <w:r>
              <w:rPr>
                <w:sz w:val="18"/>
              </w:rPr>
              <w:t>FAM</w:t>
            </w:r>
            <w:r>
              <w:rPr>
                <w:spacing w:val="-3"/>
                <w:sz w:val="18"/>
              </w:rPr>
              <w:t xml:space="preserve"> </w:t>
            </w:r>
            <w:r>
              <w:rPr>
                <w:spacing w:val="-5"/>
                <w:sz w:val="18"/>
              </w:rPr>
              <w:t>805</w:t>
            </w:r>
          </w:p>
          <w:p w14:paraId="0DFDB904" w14:textId="77777777" w:rsidR="00046465" w:rsidRDefault="008134EB">
            <w:pPr>
              <w:pStyle w:val="TableParagraph"/>
              <w:spacing w:before="1"/>
              <w:ind w:left="111"/>
              <w:rPr>
                <w:sz w:val="18"/>
              </w:rPr>
            </w:pPr>
            <w:r>
              <w:rPr>
                <w:sz w:val="18"/>
              </w:rPr>
              <w:t>step</w:t>
            </w:r>
            <w:r>
              <w:rPr>
                <w:spacing w:val="-2"/>
                <w:sz w:val="18"/>
              </w:rPr>
              <w:t xml:space="preserve"> </w:t>
            </w:r>
            <w:r>
              <w:rPr>
                <w:sz w:val="18"/>
              </w:rPr>
              <w:t>3</w:t>
            </w:r>
            <w:r>
              <w:rPr>
                <w:spacing w:val="-1"/>
                <w:sz w:val="18"/>
              </w:rPr>
              <w:t xml:space="preserve"> </w:t>
            </w:r>
            <w:r>
              <w:rPr>
                <w:spacing w:val="-4"/>
                <w:sz w:val="18"/>
              </w:rPr>
              <w:t>(d).</w:t>
            </w:r>
          </w:p>
        </w:tc>
      </w:tr>
    </w:tbl>
    <w:p w14:paraId="0DFDB906" w14:textId="77777777" w:rsidR="00046465" w:rsidRDefault="00046465">
      <w:pPr>
        <w:pStyle w:val="BodyText"/>
        <w:rPr>
          <w:sz w:val="20"/>
        </w:rPr>
      </w:pPr>
    </w:p>
    <w:p w14:paraId="0DFDB907" w14:textId="77777777" w:rsidR="00046465" w:rsidRDefault="00046465">
      <w:pPr>
        <w:pStyle w:val="BodyText"/>
        <w:rPr>
          <w:sz w:val="20"/>
        </w:rPr>
      </w:pPr>
    </w:p>
    <w:p w14:paraId="0DFDB908" w14:textId="77777777" w:rsidR="00046465" w:rsidRDefault="00046465">
      <w:pPr>
        <w:pStyle w:val="BodyText"/>
        <w:rPr>
          <w:sz w:val="20"/>
        </w:rPr>
      </w:pPr>
    </w:p>
    <w:p w14:paraId="0DFDB909" w14:textId="77777777" w:rsidR="00046465" w:rsidRDefault="008134EB">
      <w:pPr>
        <w:pStyle w:val="BodyText"/>
        <w:spacing w:before="54"/>
        <w:rPr>
          <w:sz w:val="20"/>
        </w:rPr>
      </w:pPr>
      <w:r>
        <w:rPr>
          <w:noProof/>
          <w:sz w:val="20"/>
        </w:rPr>
        <mc:AlternateContent>
          <mc:Choice Requires="wps">
            <w:drawing>
              <wp:anchor distT="0" distB="0" distL="0" distR="0" simplePos="0" relativeHeight="487664640" behindDoc="1" locked="0" layoutInCell="1" allowOverlap="1" wp14:anchorId="0DFDD643" wp14:editId="0DFDD644">
                <wp:simplePos x="0" y="0"/>
                <wp:positionH relativeFrom="page">
                  <wp:posOffset>685800</wp:posOffset>
                </wp:positionH>
                <wp:positionV relativeFrom="paragraph">
                  <wp:posOffset>195998</wp:posOffset>
                </wp:positionV>
                <wp:extent cx="1828800" cy="6985"/>
                <wp:effectExtent l="0" t="0" r="0" b="0"/>
                <wp:wrapTopAndBottom/>
                <wp:docPr id="616" name="Graphic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6202A9" id="Graphic 616" o:spid="_x0000_s1026" style="position:absolute;margin-left:54pt;margin-top:15.45pt;width:2in;height:.55pt;z-index:-1565184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" path="m1828800,l,,,6857r1828800,l1828800,xe" fillcolor="black" stroked="f">
                <v:path arrowok="t"/>
                <w10:wrap type="topAndBottom" anchorx="page"/>
              </v:shape>
            </w:pict>
          </mc:Fallback>
        </mc:AlternateContent>
      </w:r>
    </w:p>
    <w:p w14:paraId="0DFDB90A" w14:textId="77777777" w:rsidR="00046465" w:rsidRDefault="00046465">
      <w:pPr>
        <w:pStyle w:val="BodyText"/>
        <w:spacing w:before="10"/>
        <w:rPr>
          <w:sz w:val="18"/>
        </w:rPr>
      </w:pPr>
    </w:p>
    <w:p w14:paraId="0DFDB90B" w14:textId="77777777" w:rsidR="00046465" w:rsidRDefault="008134EB">
      <w:pPr>
        <w:spacing w:line="249" w:lineRule="auto"/>
        <w:ind w:left="359"/>
        <w:rPr>
          <w:sz w:val="18"/>
        </w:rPr>
      </w:pPr>
      <w:r>
        <w:rPr>
          <w:position w:val="7"/>
          <w:sz w:val="14"/>
        </w:rPr>
        <w:t>29</w:t>
      </w:r>
      <w:r>
        <w:rPr>
          <w:sz w:val="18"/>
        </w:rPr>
        <w:t>The</w:t>
      </w:r>
      <w:r>
        <w:rPr>
          <w:spacing w:val="-3"/>
          <w:sz w:val="18"/>
        </w:rPr>
        <w:t xml:space="preserve"> </w:t>
      </w:r>
      <w:r>
        <w:rPr>
          <w:sz w:val="18"/>
        </w:rPr>
        <w:t>entity</w:t>
      </w:r>
      <w:r>
        <w:rPr>
          <w:spacing w:val="-2"/>
          <w:sz w:val="18"/>
        </w:rPr>
        <w:t xml:space="preserve"> </w:t>
      </w:r>
      <w:r>
        <w:rPr>
          <w:sz w:val="18"/>
        </w:rPr>
        <w:t>may</w:t>
      </w:r>
      <w:r>
        <w:rPr>
          <w:spacing w:val="-1"/>
          <w:sz w:val="18"/>
        </w:rPr>
        <w:t xml:space="preserve"> </w:t>
      </w:r>
      <w:r>
        <w:rPr>
          <w:sz w:val="18"/>
        </w:rPr>
        <w:t>not</w:t>
      </w:r>
      <w:r>
        <w:rPr>
          <w:spacing w:val="-2"/>
          <w:sz w:val="18"/>
        </w:rPr>
        <w:t xml:space="preserve"> </w:t>
      </w:r>
      <w:r>
        <w:rPr>
          <w:sz w:val="18"/>
        </w:rPr>
        <w:t>assess</w:t>
      </w:r>
      <w:r>
        <w:rPr>
          <w:spacing w:val="-2"/>
          <w:sz w:val="18"/>
        </w:rPr>
        <w:t xml:space="preserve"> </w:t>
      </w:r>
      <w:r>
        <w:rPr>
          <w:sz w:val="18"/>
        </w:rPr>
        <w:t>interest,</w:t>
      </w:r>
      <w:r>
        <w:rPr>
          <w:spacing w:val="-2"/>
          <w:sz w:val="18"/>
        </w:rPr>
        <w:t xml:space="preserve"> </w:t>
      </w:r>
      <w:r>
        <w:rPr>
          <w:sz w:val="18"/>
        </w:rPr>
        <w:t>administrative</w:t>
      </w:r>
      <w:r>
        <w:rPr>
          <w:spacing w:val="-3"/>
          <w:sz w:val="18"/>
        </w:rPr>
        <w:t xml:space="preserve"> </w:t>
      </w:r>
      <w:r>
        <w:rPr>
          <w:sz w:val="18"/>
        </w:rPr>
        <w:t>costs,</w:t>
      </w:r>
      <w:r>
        <w:rPr>
          <w:spacing w:val="-2"/>
          <w:sz w:val="18"/>
        </w:rPr>
        <w:t xml:space="preserve"> </w:t>
      </w:r>
      <w:r>
        <w:rPr>
          <w:sz w:val="18"/>
        </w:rPr>
        <w:t>or</w:t>
      </w:r>
      <w:r>
        <w:rPr>
          <w:spacing w:val="-2"/>
          <w:sz w:val="18"/>
        </w:rPr>
        <w:t xml:space="preserve"> </w:t>
      </w:r>
      <w:r>
        <w:rPr>
          <w:sz w:val="18"/>
        </w:rPr>
        <w:t>penalty</w:t>
      </w:r>
      <w:r>
        <w:rPr>
          <w:spacing w:val="-2"/>
          <w:sz w:val="18"/>
        </w:rPr>
        <w:t xml:space="preserve"> </w:t>
      </w:r>
      <w:r>
        <w:rPr>
          <w:sz w:val="18"/>
        </w:rPr>
        <w:t>charges</w:t>
      </w:r>
      <w:r>
        <w:rPr>
          <w:spacing w:val="-2"/>
          <w:sz w:val="18"/>
        </w:rPr>
        <w:t xml:space="preserve"> </w:t>
      </w:r>
      <w:r>
        <w:rPr>
          <w:sz w:val="18"/>
        </w:rPr>
        <w:t>under</w:t>
      </w:r>
      <w:r>
        <w:rPr>
          <w:spacing w:val="-2"/>
          <w:sz w:val="18"/>
        </w:rPr>
        <w:t xml:space="preserve"> </w:t>
      </w:r>
      <w:r>
        <w:rPr>
          <w:sz w:val="18"/>
        </w:rPr>
        <w:t>31</w:t>
      </w:r>
      <w:r>
        <w:rPr>
          <w:spacing w:val="-3"/>
          <w:sz w:val="18"/>
        </w:rPr>
        <w:t xml:space="preserve"> </w:t>
      </w:r>
      <w:r>
        <w:rPr>
          <w:sz w:val="18"/>
        </w:rPr>
        <w:t>U.S.C.</w:t>
      </w:r>
      <w:r>
        <w:rPr>
          <w:spacing w:val="-2"/>
          <w:sz w:val="18"/>
        </w:rPr>
        <w:t xml:space="preserve"> </w:t>
      </w:r>
      <w:r>
        <w:rPr>
          <w:sz w:val="18"/>
        </w:rPr>
        <w:t>§</w:t>
      </w:r>
      <w:r>
        <w:rPr>
          <w:spacing w:val="-2"/>
          <w:sz w:val="18"/>
        </w:rPr>
        <w:t xml:space="preserve"> </w:t>
      </w:r>
      <w:r>
        <w:rPr>
          <w:sz w:val="18"/>
        </w:rPr>
        <w:t>3717</w:t>
      </w:r>
      <w:r>
        <w:rPr>
          <w:spacing w:val="-3"/>
          <w:sz w:val="18"/>
        </w:rPr>
        <w:t xml:space="preserve"> </w:t>
      </w:r>
      <w:r>
        <w:rPr>
          <w:sz w:val="18"/>
        </w:rPr>
        <w:t>if</w:t>
      </w:r>
      <w:r>
        <w:rPr>
          <w:spacing w:val="-2"/>
          <w:sz w:val="18"/>
        </w:rPr>
        <w:t xml:space="preserve"> </w:t>
      </w:r>
      <w:r>
        <w:rPr>
          <w:sz w:val="18"/>
        </w:rPr>
        <w:t>a</w:t>
      </w:r>
      <w:r>
        <w:rPr>
          <w:spacing w:val="-1"/>
          <w:sz w:val="18"/>
        </w:rPr>
        <w:t xml:space="preserve"> </w:t>
      </w:r>
      <w:r>
        <w:rPr>
          <w:sz w:val="18"/>
        </w:rPr>
        <w:t>statute,</w:t>
      </w:r>
      <w:r>
        <w:rPr>
          <w:spacing w:val="-2"/>
          <w:sz w:val="18"/>
        </w:rPr>
        <w:t xml:space="preserve"> </w:t>
      </w:r>
      <w:r>
        <w:rPr>
          <w:sz w:val="18"/>
        </w:rPr>
        <w:t>a</w:t>
      </w:r>
      <w:r>
        <w:rPr>
          <w:spacing w:val="-3"/>
          <w:sz w:val="18"/>
        </w:rPr>
        <w:t xml:space="preserve"> </w:t>
      </w:r>
      <w:r>
        <w:rPr>
          <w:sz w:val="18"/>
        </w:rPr>
        <w:t>regulation</w:t>
      </w:r>
      <w:r>
        <w:rPr>
          <w:spacing w:val="-3"/>
          <w:sz w:val="18"/>
        </w:rPr>
        <w:t xml:space="preserve"> </w:t>
      </w:r>
      <w:r>
        <w:rPr>
          <w:sz w:val="18"/>
        </w:rPr>
        <w:t>required</w:t>
      </w:r>
      <w:r>
        <w:rPr>
          <w:spacing w:val="-1"/>
          <w:sz w:val="18"/>
        </w:rPr>
        <w:t xml:space="preserve"> </w:t>
      </w:r>
      <w:r>
        <w:rPr>
          <w:sz w:val="18"/>
        </w:rPr>
        <w:t>by</w:t>
      </w:r>
      <w:r>
        <w:rPr>
          <w:spacing w:val="-2"/>
          <w:sz w:val="18"/>
        </w:rPr>
        <w:t xml:space="preserve"> </w:t>
      </w:r>
      <w:r>
        <w:rPr>
          <w:sz w:val="18"/>
        </w:rPr>
        <w:t>statute,</w:t>
      </w:r>
      <w:r>
        <w:rPr>
          <w:spacing w:val="-2"/>
          <w:sz w:val="18"/>
        </w:rPr>
        <w:t xml:space="preserve"> </w:t>
      </w:r>
      <w:r>
        <w:rPr>
          <w:sz w:val="18"/>
        </w:rPr>
        <w:t>a</w:t>
      </w:r>
      <w:r>
        <w:rPr>
          <w:spacing w:val="-3"/>
          <w:sz w:val="18"/>
        </w:rPr>
        <w:t xml:space="preserve"> </w:t>
      </w:r>
      <w:r>
        <w:rPr>
          <w:sz w:val="18"/>
        </w:rPr>
        <w:t>loan</w:t>
      </w:r>
      <w:r>
        <w:rPr>
          <w:spacing w:val="-3"/>
          <w:sz w:val="18"/>
        </w:rPr>
        <w:t xml:space="preserve"> </w:t>
      </w:r>
      <w:r>
        <w:rPr>
          <w:sz w:val="18"/>
        </w:rPr>
        <w:t>agreement,</w:t>
      </w:r>
      <w:r>
        <w:rPr>
          <w:spacing w:val="-2"/>
          <w:sz w:val="18"/>
        </w:rPr>
        <w:t xml:space="preserve"> </w:t>
      </w:r>
      <w:r>
        <w:rPr>
          <w:sz w:val="18"/>
        </w:rPr>
        <w:t>or a contract prohibits assessing charges or explicitly fixes the charges. 31 U.S.C. § 3717(g).</w:t>
      </w:r>
    </w:p>
    <w:p w14:paraId="0DFDB90C" w14:textId="77777777" w:rsidR="00046465" w:rsidRDefault="008134EB">
      <w:pPr>
        <w:spacing w:before="117" w:line="244" w:lineRule="auto"/>
        <w:ind w:left="359" w:right="111"/>
        <w:rPr>
          <w:sz w:val="18"/>
        </w:rPr>
      </w:pPr>
      <w:r>
        <w:rPr>
          <w:position w:val="7"/>
          <w:sz w:val="14"/>
        </w:rPr>
        <w:t>30</w:t>
      </w:r>
      <w:r>
        <w:rPr>
          <w:sz w:val="18"/>
        </w:rPr>
        <w:t>The entity has the authority to waive the collection of interest, penalties, and administrative charges. 31 U.S.C. § 3717(h). To do so, the entity shall prescribe regulations</w:t>
      </w:r>
      <w:r>
        <w:rPr>
          <w:spacing w:val="-2"/>
          <w:sz w:val="18"/>
        </w:rPr>
        <w:t xml:space="preserve"> </w:t>
      </w:r>
      <w:r>
        <w:rPr>
          <w:sz w:val="18"/>
        </w:rPr>
        <w:t>identifying</w:t>
      </w:r>
      <w:r>
        <w:rPr>
          <w:spacing w:val="-3"/>
          <w:sz w:val="18"/>
        </w:rPr>
        <w:t xml:space="preserve"> </w:t>
      </w:r>
      <w:r>
        <w:rPr>
          <w:sz w:val="18"/>
        </w:rPr>
        <w:t>the</w:t>
      </w:r>
      <w:r>
        <w:rPr>
          <w:spacing w:val="-3"/>
          <w:sz w:val="18"/>
        </w:rPr>
        <w:t xml:space="preserve"> </w:t>
      </w:r>
      <w:r>
        <w:rPr>
          <w:sz w:val="18"/>
        </w:rPr>
        <w:t>circumstances</w:t>
      </w:r>
      <w:r>
        <w:rPr>
          <w:spacing w:val="-2"/>
          <w:sz w:val="18"/>
        </w:rPr>
        <w:t xml:space="preserve"> </w:t>
      </w:r>
      <w:r>
        <w:rPr>
          <w:sz w:val="18"/>
        </w:rPr>
        <w:t>that</w:t>
      </w:r>
      <w:r>
        <w:rPr>
          <w:spacing w:val="-1"/>
          <w:sz w:val="18"/>
        </w:rPr>
        <w:t xml:space="preserve"> </w:t>
      </w:r>
      <w:r>
        <w:rPr>
          <w:sz w:val="18"/>
        </w:rPr>
        <w:t>are</w:t>
      </w:r>
      <w:r>
        <w:rPr>
          <w:spacing w:val="-3"/>
          <w:sz w:val="18"/>
        </w:rPr>
        <w:t xml:space="preserve"> </w:t>
      </w:r>
      <w:r>
        <w:rPr>
          <w:sz w:val="18"/>
        </w:rPr>
        <w:t>appropriate</w:t>
      </w:r>
      <w:r>
        <w:rPr>
          <w:spacing w:val="-3"/>
          <w:sz w:val="18"/>
        </w:rPr>
        <w:t xml:space="preserve"> </w:t>
      </w:r>
      <w:r>
        <w:rPr>
          <w:sz w:val="18"/>
        </w:rPr>
        <w:t>for</w:t>
      </w:r>
      <w:r>
        <w:rPr>
          <w:spacing w:val="-2"/>
          <w:sz w:val="18"/>
        </w:rPr>
        <w:t xml:space="preserve"> </w:t>
      </w:r>
      <w:r>
        <w:rPr>
          <w:sz w:val="18"/>
        </w:rPr>
        <w:t>waiving</w:t>
      </w:r>
      <w:r>
        <w:rPr>
          <w:spacing w:val="-3"/>
          <w:sz w:val="18"/>
        </w:rPr>
        <w:t xml:space="preserve"> </w:t>
      </w:r>
      <w:r>
        <w:rPr>
          <w:sz w:val="18"/>
        </w:rPr>
        <w:t>interest</w:t>
      </w:r>
      <w:r>
        <w:rPr>
          <w:spacing w:val="-2"/>
          <w:sz w:val="18"/>
        </w:rPr>
        <w:t xml:space="preserve"> </w:t>
      </w:r>
      <w:r>
        <w:rPr>
          <w:sz w:val="18"/>
        </w:rPr>
        <w:t>collection,</w:t>
      </w:r>
      <w:r>
        <w:rPr>
          <w:spacing w:val="-2"/>
          <w:sz w:val="18"/>
        </w:rPr>
        <w:t xml:space="preserve"> </w:t>
      </w:r>
      <w:r>
        <w:rPr>
          <w:sz w:val="18"/>
        </w:rPr>
        <w:t>and</w:t>
      </w:r>
      <w:r>
        <w:rPr>
          <w:spacing w:val="-3"/>
          <w:sz w:val="18"/>
        </w:rPr>
        <w:t xml:space="preserve"> </w:t>
      </w:r>
      <w:r>
        <w:rPr>
          <w:sz w:val="18"/>
        </w:rPr>
        <w:t>such</w:t>
      </w:r>
      <w:r>
        <w:rPr>
          <w:spacing w:val="-3"/>
          <w:sz w:val="18"/>
        </w:rPr>
        <w:t xml:space="preserve"> </w:t>
      </w:r>
      <w:r>
        <w:rPr>
          <w:sz w:val="18"/>
        </w:rPr>
        <w:t>regulations</w:t>
      </w:r>
      <w:r>
        <w:rPr>
          <w:spacing w:val="-2"/>
          <w:sz w:val="18"/>
        </w:rPr>
        <w:t xml:space="preserve"> </w:t>
      </w:r>
      <w:r>
        <w:rPr>
          <w:sz w:val="18"/>
        </w:rPr>
        <w:t>shall</w:t>
      </w:r>
      <w:r>
        <w:rPr>
          <w:spacing w:val="-2"/>
          <w:sz w:val="18"/>
        </w:rPr>
        <w:t xml:space="preserve"> </w:t>
      </w:r>
      <w:r>
        <w:rPr>
          <w:sz w:val="18"/>
        </w:rPr>
        <w:t>be</w:t>
      </w:r>
      <w:r>
        <w:rPr>
          <w:spacing w:val="-1"/>
          <w:sz w:val="18"/>
        </w:rPr>
        <w:t xml:space="preserve"> </w:t>
      </w:r>
      <w:r>
        <w:rPr>
          <w:sz w:val="18"/>
        </w:rPr>
        <w:t>in</w:t>
      </w:r>
      <w:r>
        <w:rPr>
          <w:spacing w:val="-3"/>
          <w:sz w:val="18"/>
        </w:rPr>
        <w:t xml:space="preserve"> </w:t>
      </w:r>
      <w:r>
        <w:rPr>
          <w:sz w:val="18"/>
        </w:rPr>
        <w:t>conformity</w:t>
      </w:r>
      <w:r>
        <w:rPr>
          <w:spacing w:val="-2"/>
          <w:sz w:val="18"/>
        </w:rPr>
        <w:t xml:space="preserve"> </w:t>
      </w:r>
      <w:r>
        <w:rPr>
          <w:sz w:val="18"/>
        </w:rPr>
        <w:t>with</w:t>
      </w:r>
      <w:r>
        <w:rPr>
          <w:spacing w:val="-3"/>
          <w:sz w:val="18"/>
        </w:rPr>
        <w:t xml:space="preserve"> </w:t>
      </w:r>
      <w:r>
        <w:rPr>
          <w:sz w:val="18"/>
        </w:rPr>
        <w:t>standards</w:t>
      </w:r>
      <w:r>
        <w:rPr>
          <w:spacing w:val="-2"/>
          <w:sz w:val="18"/>
        </w:rPr>
        <w:t xml:space="preserve"> </w:t>
      </w:r>
      <w:r>
        <w:rPr>
          <w:sz w:val="18"/>
        </w:rPr>
        <w:t>prescribed jointly by the U.S. Comptroller General, the U.S. Attorney General, and the Secretary of the Treasury. 31 U.S.C. § 3717(h).</w:t>
      </w:r>
    </w:p>
    <w:p w14:paraId="0DFDB90D" w14:textId="77777777" w:rsidR="00046465" w:rsidRDefault="008134EB">
      <w:pPr>
        <w:spacing w:before="121" w:line="249" w:lineRule="auto"/>
        <w:ind w:left="359" w:right="111"/>
        <w:rPr>
          <w:sz w:val="18"/>
        </w:rPr>
      </w:pPr>
      <w:r>
        <w:rPr>
          <w:position w:val="7"/>
          <w:sz w:val="14"/>
        </w:rPr>
        <w:t>31</w:t>
      </w:r>
      <w:r>
        <w:rPr>
          <w:sz w:val="18"/>
        </w:rPr>
        <w:t>The</w:t>
      </w:r>
      <w:r>
        <w:rPr>
          <w:spacing w:val="-3"/>
          <w:sz w:val="18"/>
        </w:rPr>
        <w:t xml:space="preserve"> </w:t>
      </w:r>
      <w:r>
        <w:rPr>
          <w:sz w:val="18"/>
        </w:rPr>
        <w:t>entity</w:t>
      </w:r>
      <w:r>
        <w:rPr>
          <w:spacing w:val="-2"/>
          <w:sz w:val="18"/>
        </w:rPr>
        <w:t xml:space="preserve"> </w:t>
      </w:r>
      <w:r>
        <w:rPr>
          <w:sz w:val="18"/>
        </w:rPr>
        <w:t>may</w:t>
      </w:r>
      <w:r>
        <w:rPr>
          <w:spacing w:val="-1"/>
          <w:sz w:val="18"/>
        </w:rPr>
        <w:t xml:space="preserve"> </w:t>
      </w:r>
      <w:r>
        <w:rPr>
          <w:sz w:val="18"/>
        </w:rPr>
        <w:t>increase</w:t>
      </w:r>
      <w:r>
        <w:rPr>
          <w:spacing w:val="-3"/>
          <w:sz w:val="18"/>
        </w:rPr>
        <w:t xml:space="preserve"> </w:t>
      </w:r>
      <w:r>
        <w:rPr>
          <w:sz w:val="18"/>
        </w:rPr>
        <w:t>an</w:t>
      </w:r>
      <w:r>
        <w:rPr>
          <w:spacing w:val="-3"/>
          <w:sz w:val="18"/>
        </w:rPr>
        <w:t xml:space="preserve"> </w:t>
      </w:r>
      <w:r>
        <w:rPr>
          <w:sz w:val="18"/>
        </w:rPr>
        <w:t>administrative</w:t>
      </w:r>
      <w:r>
        <w:rPr>
          <w:spacing w:val="-3"/>
          <w:sz w:val="18"/>
        </w:rPr>
        <w:t xml:space="preserve"> </w:t>
      </w:r>
      <w:r>
        <w:rPr>
          <w:sz w:val="18"/>
        </w:rPr>
        <w:t>claim</w:t>
      </w:r>
      <w:r>
        <w:rPr>
          <w:spacing w:val="-2"/>
          <w:sz w:val="18"/>
        </w:rPr>
        <w:t xml:space="preserve"> </w:t>
      </w:r>
      <w:r>
        <w:rPr>
          <w:sz w:val="18"/>
        </w:rPr>
        <w:t>(a</w:t>
      </w:r>
      <w:r>
        <w:rPr>
          <w:spacing w:val="-3"/>
          <w:sz w:val="18"/>
        </w:rPr>
        <w:t xml:space="preserve"> </w:t>
      </w:r>
      <w:r>
        <w:rPr>
          <w:sz w:val="18"/>
        </w:rPr>
        <w:t>debt</w:t>
      </w:r>
      <w:r>
        <w:rPr>
          <w:spacing w:val="-2"/>
          <w:sz w:val="18"/>
        </w:rPr>
        <w:t xml:space="preserve"> </w:t>
      </w:r>
      <w:r>
        <w:rPr>
          <w:sz w:val="18"/>
        </w:rPr>
        <w:t>not</w:t>
      </w:r>
      <w:r>
        <w:rPr>
          <w:spacing w:val="-1"/>
          <w:sz w:val="18"/>
        </w:rPr>
        <w:t xml:space="preserve"> </w:t>
      </w:r>
      <w:r>
        <w:rPr>
          <w:sz w:val="18"/>
        </w:rPr>
        <w:t>based</w:t>
      </w:r>
      <w:r>
        <w:rPr>
          <w:spacing w:val="-3"/>
          <w:sz w:val="18"/>
        </w:rPr>
        <w:t xml:space="preserve"> </w:t>
      </w:r>
      <w:r>
        <w:rPr>
          <w:sz w:val="18"/>
        </w:rPr>
        <w:t>on</w:t>
      </w:r>
      <w:r>
        <w:rPr>
          <w:spacing w:val="-3"/>
          <w:sz w:val="18"/>
        </w:rPr>
        <w:t xml:space="preserve"> </w:t>
      </w:r>
      <w:r>
        <w:rPr>
          <w:sz w:val="18"/>
        </w:rPr>
        <w:t>an</w:t>
      </w:r>
      <w:r>
        <w:rPr>
          <w:spacing w:val="-3"/>
          <w:sz w:val="18"/>
        </w:rPr>
        <w:t xml:space="preserve"> </w:t>
      </w:r>
      <w:r>
        <w:rPr>
          <w:sz w:val="18"/>
        </w:rPr>
        <w:t>extension</w:t>
      </w:r>
      <w:r>
        <w:rPr>
          <w:spacing w:val="-3"/>
          <w:sz w:val="18"/>
        </w:rPr>
        <w:t xml:space="preserve"> </w:t>
      </w:r>
      <w:r>
        <w:rPr>
          <w:sz w:val="18"/>
        </w:rPr>
        <w:t>of</w:t>
      </w:r>
      <w:r>
        <w:rPr>
          <w:spacing w:val="-2"/>
          <w:sz w:val="18"/>
        </w:rPr>
        <w:t xml:space="preserve"> </w:t>
      </w:r>
      <w:r>
        <w:rPr>
          <w:sz w:val="18"/>
        </w:rPr>
        <w:t>government</w:t>
      </w:r>
      <w:r>
        <w:rPr>
          <w:spacing w:val="-2"/>
          <w:sz w:val="18"/>
        </w:rPr>
        <w:t xml:space="preserve"> </w:t>
      </w:r>
      <w:r>
        <w:rPr>
          <w:sz w:val="18"/>
        </w:rPr>
        <w:t>credit</w:t>
      </w:r>
      <w:r>
        <w:rPr>
          <w:spacing w:val="-2"/>
          <w:sz w:val="18"/>
        </w:rPr>
        <w:t xml:space="preserve"> </w:t>
      </w:r>
      <w:r>
        <w:rPr>
          <w:sz w:val="18"/>
        </w:rPr>
        <w:t>through</w:t>
      </w:r>
      <w:r>
        <w:rPr>
          <w:spacing w:val="-3"/>
          <w:sz w:val="18"/>
        </w:rPr>
        <w:t xml:space="preserve"> </w:t>
      </w:r>
      <w:r>
        <w:rPr>
          <w:sz w:val="18"/>
        </w:rPr>
        <w:t>direct</w:t>
      </w:r>
      <w:r>
        <w:rPr>
          <w:spacing w:val="-2"/>
          <w:sz w:val="18"/>
        </w:rPr>
        <w:t xml:space="preserve"> </w:t>
      </w:r>
      <w:r>
        <w:rPr>
          <w:sz w:val="18"/>
        </w:rPr>
        <w:t>loans,</w:t>
      </w:r>
      <w:r>
        <w:rPr>
          <w:spacing w:val="-2"/>
          <w:sz w:val="18"/>
        </w:rPr>
        <w:t xml:space="preserve"> </w:t>
      </w:r>
      <w:r>
        <w:rPr>
          <w:sz w:val="18"/>
        </w:rPr>
        <w:t>guarantees,</w:t>
      </w:r>
      <w:r>
        <w:rPr>
          <w:spacing w:val="-2"/>
          <w:sz w:val="18"/>
        </w:rPr>
        <w:t xml:space="preserve"> </w:t>
      </w:r>
      <w:r>
        <w:rPr>
          <w:sz w:val="18"/>
        </w:rPr>
        <w:t>or</w:t>
      </w:r>
      <w:r>
        <w:rPr>
          <w:spacing w:val="-2"/>
          <w:sz w:val="18"/>
        </w:rPr>
        <w:t xml:space="preserve"> </w:t>
      </w:r>
      <w:r>
        <w:rPr>
          <w:sz w:val="18"/>
        </w:rPr>
        <w:t>insurance,</w:t>
      </w:r>
      <w:r>
        <w:rPr>
          <w:spacing w:val="-2"/>
          <w:sz w:val="18"/>
        </w:rPr>
        <w:t xml:space="preserve"> </w:t>
      </w:r>
      <w:r>
        <w:rPr>
          <w:sz w:val="18"/>
        </w:rPr>
        <w:t>including fines, penalties, and overpayments) annually by the cost of living adjustment in lieu of charging interest and penalties. 31 U.S.C. § 3717(i).</w:t>
      </w:r>
    </w:p>
    <w:p w14:paraId="0DFDB90E" w14:textId="77777777" w:rsidR="00046465" w:rsidRDefault="00046465">
      <w:pPr>
        <w:spacing w:line="249" w:lineRule="auto"/>
        <w:rPr>
          <w:sz w:val="18"/>
        </w:rPr>
        <w:sectPr w:rsidR="00046465">
          <w:pgSz w:w="15840" w:h="12240" w:orient="landscape"/>
          <w:pgMar w:top="1440" w:right="1440" w:bottom="940" w:left="720" w:header="721" w:footer="742" w:gutter="0"/>
          <w:cols w:space="720"/>
        </w:sect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943"/>
        <w:gridCol w:w="1791"/>
        <w:gridCol w:w="2231"/>
        <w:gridCol w:w="1524"/>
        <w:gridCol w:w="1496"/>
        <w:gridCol w:w="2185"/>
      </w:tblGrid>
      <w:tr w:rsidR="00046465" w14:paraId="0DFDB91A" w14:textId="77777777">
        <w:trPr>
          <w:trHeight w:val="1574"/>
        </w:trPr>
        <w:tc>
          <w:tcPr>
            <w:tcW w:w="3943" w:type="dxa"/>
            <w:tcBorders>
              <w:right w:val="nil"/>
            </w:tcBorders>
          </w:tcPr>
          <w:p w14:paraId="0DFDB90F" w14:textId="77777777" w:rsidR="00046465" w:rsidRDefault="008134EB">
            <w:pPr>
              <w:pStyle w:val="TableParagraph"/>
              <w:spacing w:before="144"/>
              <w:ind w:right="2058"/>
              <w:jc w:val="right"/>
            </w:pPr>
            <w:r>
              <w:lastRenderedPageBreak/>
              <w:t>Name</w:t>
            </w:r>
            <w:r>
              <w:rPr>
                <w:spacing w:val="-5"/>
              </w:rPr>
              <w:t xml:space="preserve"> </w:t>
            </w:r>
            <w:r>
              <w:t>of</w:t>
            </w:r>
            <w:r>
              <w:rPr>
                <w:spacing w:val="-5"/>
              </w:rPr>
              <w:t xml:space="preserve"> </w:t>
            </w:r>
            <w:r>
              <w:rPr>
                <w:spacing w:val="-2"/>
              </w:rPr>
              <w:t>entity:</w:t>
            </w:r>
          </w:p>
          <w:p w14:paraId="0DFDB910" w14:textId="77777777" w:rsidR="00046465" w:rsidRDefault="00046465">
            <w:pPr>
              <w:pStyle w:val="TableParagraph"/>
              <w:spacing w:before="6" w:after="1"/>
              <w:rPr>
                <w:sz w:val="12"/>
              </w:rPr>
            </w:pPr>
          </w:p>
          <w:p w14:paraId="0DFDB911" w14:textId="77777777" w:rsidR="00046465" w:rsidRDefault="008134EB">
            <w:pPr>
              <w:pStyle w:val="TableParagraph"/>
              <w:spacing w:line="20" w:lineRule="exact"/>
              <w:ind w:left="1974"/>
              <w:rPr>
                <w:sz w:val="2"/>
              </w:rPr>
            </w:pPr>
            <w:r>
              <w:rPr>
                <w:noProof/>
                <w:sz w:val="2"/>
              </w:rPr>
              <mc:AlternateContent>
                <mc:Choice Requires="wpg">
                  <w:drawing>
                    <wp:anchor distT="0" distB="0" distL="0" distR="0" simplePos="0" relativeHeight="476133376" behindDoc="1" locked="0" layoutInCell="1" allowOverlap="1" wp14:anchorId="0DFDD645" wp14:editId="0DFDD646">
                      <wp:simplePos x="0" y="0"/>
                      <wp:positionH relativeFrom="column">
                        <wp:posOffset>1260347</wp:posOffset>
                      </wp:positionH>
                      <wp:positionV relativeFrom="paragraph">
                        <wp:posOffset>349758</wp:posOffset>
                      </wp:positionV>
                      <wp:extent cx="1183005" cy="6350"/>
                      <wp:effectExtent l="0" t="0" r="0" b="0"/>
                      <wp:wrapNone/>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618" name="Graphic 618"/>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26E346A" id="Group 617" o:spid="_x0000_s1026" style="position:absolute;margin-left:99.25pt;margin-top:27.55pt;width:93.15pt;height:.5pt;z-index:-27183104;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">
                      <v:shape id="Graphic 618"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" path="m1182611,l,,,6108r1182611,l1182611,xe" fillcolor="black" stroked="f">
                        <v:path arrowok="t"/>
                      </v:shape>
                    </v:group>
                  </w:pict>
                </mc:Fallback>
              </mc:AlternateContent>
            </w:r>
            <w:r>
              <w:rPr>
                <w:noProof/>
                <w:sz w:val="2"/>
              </w:rPr>
              <mc:AlternateContent>
                <mc:Choice Requires="wpg">
                  <w:drawing>
                    <wp:inline distT="0" distB="0" distL="0" distR="0" wp14:anchorId="0DFDD647" wp14:editId="0DFDD648">
                      <wp:extent cx="1183005" cy="6350"/>
                      <wp:effectExtent l="0" t="0" r="0" b="0"/>
                      <wp:docPr id="619"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620" name="Graphic 620"/>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D47BFB6" id="Group 619" o:spid="_x0000_s1026" style="width:93.15pt;height:.5pt;mso-position-horizontal-relative:char;mso-position-vertical-relative:line"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">
                      <v:shape id="Graphic 620"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" path="m1182611,l,,,6108r1182611,l1182611,xe" fillcolor="black" stroked="f">
                        <v:path arrowok="t"/>
                      </v:shape>
                      <w10:anchorlock/>
                    </v:group>
                  </w:pict>
                </mc:Fallback>
              </mc:AlternateContent>
            </w:r>
          </w:p>
          <w:p w14:paraId="0DFDB912" w14:textId="77777777" w:rsidR="00046465" w:rsidRDefault="008134EB">
            <w:pPr>
              <w:pStyle w:val="TableParagraph"/>
              <w:spacing w:before="133"/>
              <w:ind w:right="2059"/>
              <w:jc w:val="right"/>
            </w:pPr>
            <w:r>
              <w:t>Audit</w:t>
            </w:r>
            <w:r>
              <w:rPr>
                <w:spacing w:val="-7"/>
              </w:rPr>
              <w:t xml:space="preserve"> </w:t>
            </w:r>
            <w:r>
              <w:rPr>
                <w:spacing w:val="-2"/>
              </w:rPr>
              <w:t>period:</w:t>
            </w:r>
          </w:p>
        </w:tc>
        <w:tc>
          <w:tcPr>
            <w:tcW w:w="4022" w:type="dxa"/>
            <w:gridSpan w:val="2"/>
            <w:tcBorders>
              <w:left w:val="nil"/>
              <w:right w:val="nil"/>
            </w:tcBorders>
          </w:tcPr>
          <w:p w14:paraId="0DFDB913" w14:textId="77777777" w:rsidR="00046465" w:rsidRDefault="00046465">
            <w:pPr>
              <w:pStyle w:val="TableParagraph"/>
              <w:spacing w:before="133"/>
              <w:rPr>
                <w:sz w:val="24"/>
              </w:rPr>
            </w:pPr>
          </w:p>
          <w:p w14:paraId="0DFDB914" w14:textId="77777777" w:rsidR="00046465" w:rsidRDefault="008134EB">
            <w:pPr>
              <w:pStyle w:val="TableParagraph"/>
              <w:ind w:left="1395"/>
              <w:rPr>
                <w:b/>
                <w:sz w:val="24"/>
              </w:rPr>
            </w:pPr>
            <w:r>
              <w:rPr>
                <w:b/>
                <w:sz w:val="24"/>
              </w:rPr>
              <w:t>Compliance</w:t>
            </w:r>
            <w:r>
              <w:rPr>
                <w:b/>
                <w:spacing w:val="-6"/>
                <w:sz w:val="24"/>
              </w:rPr>
              <w:t xml:space="preserve"> </w:t>
            </w:r>
            <w:r>
              <w:rPr>
                <w:b/>
                <w:spacing w:val="-2"/>
                <w:sz w:val="24"/>
              </w:rPr>
              <w:t>Summary</w:t>
            </w:r>
          </w:p>
        </w:tc>
        <w:tc>
          <w:tcPr>
            <w:tcW w:w="1524" w:type="dxa"/>
            <w:tcBorders>
              <w:left w:val="nil"/>
              <w:right w:val="nil"/>
            </w:tcBorders>
          </w:tcPr>
          <w:p w14:paraId="0DFDB915" w14:textId="77777777" w:rsidR="00046465" w:rsidRDefault="00046465">
            <w:pPr>
              <w:pStyle w:val="TableParagraph"/>
              <w:rPr>
                <w:rFonts w:ascii="Times New Roman"/>
                <w:sz w:val="18"/>
              </w:rPr>
            </w:pPr>
          </w:p>
        </w:tc>
        <w:tc>
          <w:tcPr>
            <w:tcW w:w="3681" w:type="dxa"/>
            <w:gridSpan w:val="2"/>
            <w:tcBorders>
              <w:left w:val="nil"/>
            </w:tcBorders>
          </w:tcPr>
          <w:p w14:paraId="0DFDB916" w14:textId="77777777" w:rsidR="00046465" w:rsidRDefault="008134EB">
            <w:pPr>
              <w:pStyle w:val="TableParagraph"/>
              <w:spacing w:before="144"/>
              <w:ind w:left="97"/>
            </w:pPr>
            <w:bookmarkStart w:id="203" w:name="_bookmark97"/>
            <w:bookmarkStart w:id="204" w:name="_bookmark98"/>
            <w:bookmarkEnd w:id="203"/>
            <w:bookmarkEnd w:id="204"/>
            <w:r>
              <w:t>Prepared</w:t>
            </w:r>
            <w:r>
              <w:rPr>
                <w:spacing w:val="-11"/>
              </w:rPr>
              <w:t xml:space="preserve"> </w:t>
            </w:r>
            <w:r>
              <w:rPr>
                <w:spacing w:val="-5"/>
              </w:rPr>
              <w:t>by:</w:t>
            </w:r>
          </w:p>
          <w:p w14:paraId="0DFDB917" w14:textId="77777777" w:rsidR="00046465" w:rsidRDefault="00046465">
            <w:pPr>
              <w:pStyle w:val="TableParagraph"/>
              <w:spacing w:before="6" w:after="1"/>
              <w:rPr>
                <w:sz w:val="12"/>
              </w:rPr>
            </w:pPr>
          </w:p>
          <w:p w14:paraId="0DFDB918" w14:textId="77777777" w:rsidR="00046465" w:rsidRDefault="008134EB">
            <w:pPr>
              <w:pStyle w:val="TableParagraph"/>
              <w:spacing w:line="20" w:lineRule="exact"/>
              <w:ind w:left="1465"/>
              <w:rPr>
                <w:sz w:val="2"/>
              </w:rPr>
            </w:pPr>
            <w:r>
              <w:rPr>
                <w:noProof/>
                <w:sz w:val="2"/>
              </w:rPr>
              <mc:AlternateContent>
                <mc:Choice Requires="wpg">
                  <w:drawing>
                    <wp:anchor distT="0" distB="0" distL="0" distR="0" simplePos="0" relativeHeight="476133888" behindDoc="1" locked="0" layoutInCell="1" allowOverlap="1" wp14:anchorId="0DFDD649" wp14:editId="0DFDD64A">
                      <wp:simplePos x="0" y="0"/>
                      <wp:positionH relativeFrom="column">
                        <wp:posOffset>925830</wp:posOffset>
                      </wp:positionH>
                      <wp:positionV relativeFrom="paragraph">
                        <wp:posOffset>349758</wp:posOffset>
                      </wp:positionV>
                      <wp:extent cx="1344930" cy="6350"/>
                      <wp:effectExtent l="0" t="0" r="0" b="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22" name="Graphic 622"/>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A08A82B" id="Group 621" o:spid="_x0000_s1026" style="position:absolute;margin-left:72.9pt;margin-top:27.55pt;width:105.9pt;height:.5pt;z-index:-27182592;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">
                      <v:shape id="Graphic 622"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" path="m1344929,l,,,6108r1344929,l1344929,xe" fillcolor="black" stroked="f">
                        <v:path arrowok="t"/>
                      </v:shape>
                    </v:group>
                  </w:pict>
                </mc:Fallback>
              </mc:AlternateContent>
            </w:r>
            <w:r>
              <w:rPr>
                <w:noProof/>
                <w:sz w:val="2"/>
              </w:rPr>
              <mc:AlternateContent>
                <mc:Choice Requires="wpg">
                  <w:drawing>
                    <wp:inline distT="0" distB="0" distL="0" distR="0" wp14:anchorId="0DFDD64B" wp14:editId="0DFDD64C">
                      <wp:extent cx="1344930" cy="6350"/>
                      <wp:effectExtent l="0" t="0" r="0" b="0"/>
                      <wp:docPr id="623"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24" name="Graphic 624"/>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2208A91" id="Group 623" o:spid="_x0000_s1026" style="width:105.9pt;height:.5pt;mso-position-horizontal-relative:char;mso-position-vertical-relative:line"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">
                      <v:shape id="Graphic 624"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" path="m1344929,l,,,6108r1344929,l1344929,xe" fillcolor="black" stroked="f">
                        <v:path arrowok="t"/>
                      </v:shape>
                      <w10:anchorlock/>
                    </v:group>
                  </w:pict>
                </mc:Fallback>
              </mc:AlternateContent>
            </w:r>
          </w:p>
          <w:p w14:paraId="0DFDB919" w14:textId="77777777" w:rsidR="00046465" w:rsidRDefault="008134EB">
            <w:pPr>
              <w:pStyle w:val="TableParagraph"/>
              <w:spacing w:before="133"/>
              <w:ind w:left="36"/>
            </w:pPr>
            <w:r>
              <w:t>Reviewed</w:t>
            </w:r>
            <w:r>
              <w:rPr>
                <w:spacing w:val="-12"/>
              </w:rPr>
              <w:t xml:space="preserve"> </w:t>
            </w:r>
            <w:r>
              <w:rPr>
                <w:spacing w:val="-5"/>
              </w:rPr>
              <w:t>by:</w:t>
            </w:r>
          </w:p>
        </w:tc>
      </w:tr>
      <w:tr w:rsidR="00046465" w14:paraId="0DFDB925" w14:textId="77777777">
        <w:trPr>
          <w:trHeight w:val="793"/>
        </w:trPr>
        <w:tc>
          <w:tcPr>
            <w:tcW w:w="3943" w:type="dxa"/>
            <w:tcBorders>
              <w:right w:val="single" w:sz="4" w:space="0" w:color="000000"/>
            </w:tcBorders>
          </w:tcPr>
          <w:p w14:paraId="0DFDB91B" w14:textId="77777777" w:rsidR="00046465" w:rsidRDefault="00046465">
            <w:pPr>
              <w:pStyle w:val="TableParagraph"/>
              <w:spacing w:before="143"/>
            </w:pPr>
          </w:p>
          <w:p w14:paraId="0DFDB91C" w14:textId="77777777" w:rsidR="00046465" w:rsidRDefault="008134EB">
            <w:pPr>
              <w:pStyle w:val="TableParagraph"/>
              <w:ind w:left="97"/>
            </w:pPr>
            <w:r>
              <w:t>Provision</w:t>
            </w:r>
            <w:r>
              <w:rPr>
                <w:spacing w:val="-11"/>
              </w:rPr>
              <w:t xml:space="preserve"> </w:t>
            </w:r>
            <w:r>
              <w:rPr>
                <w:spacing w:val="-2"/>
              </w:rPr>
              <w:t>Description</w:t>
            </w:r>
          </w:p>
        </w:tc>
        <w:tc>
          <w:tcPr>
            <w:tcW w:w="1791" w:type="dxa"/>
            <w:tcBorders>
              <w:left w:val="single" w:sz="4" w:space="0" w:color="000000"/>
              <w:right w:val="single" w:sz="4" w:space="0" w:color="000000"/>
            </w:tcBorders>
          </w:tcPr>
          <w:p w14:paraId="0DFDB91D" w14:textId="77777777" w:rsidR="00046465" w:rsidRDefault="00046465">
            <w:pPr>
              <w:pStyle w:val="TableParagraph"/>
              <w:spacing w:before="143"/>
            </w:pPr>
          </w:p>
          <w:p w14:paraId="0DFDB91E" w14:textId="77777777" w:rsidR="00046465" w:rsidRDefault="008134EB">
            <w:pPr>
              <w:pStyle w:val="TableParagraph"/>
              <w:ind w:left="107"/>
            </w:pPr>
            <w:r>
              <w:rPr>
                <w:spacing w:val="-2"/>
              </w:rPr>
              <w:t>Objective</w:t>
            </w:r>
          </w:p>
        </w:tc>
        <w:tc>
          <w:tcPr>
            <w:tcW w:w="2231" w:type="dxa"/>
            <w:tcBorders>
              <w:left w:val="single" w:sz="4" w:space="0" w:color="000000"/>
              <w:right w:val="single" w:sz="4" w:space="0" w:color="000000"/>
            </w:tcBorders>
          </w:tcPr>
          <w:p w14:paraId="0DFDB91F" w14:textId="77777777" w:rsidR="00046465" w:rsidRDefault="00046465">
            <w:pPr>
              <w:pStyle w:val="TableParagraph"/>
              <w:spacing w:before="143"/>
            </w:pPr>
          </w:p>
          <w:p w14:paraId="0DFDB920" w14:textId="77777777" w:rsidR="00046465" w:rsidRDefault="008134EB">
            <w:pPr>
              <w:pStyle w:val="TableParagraph"/>
              <w:ind w:left="108"/>
            </w:pPr>
            <w:r>
              <w:t>Control</w:t>
            </w:r>
            <w:r>
              <w:rPr>
                <w:spacing w:val="-9"/>
              </w:rPr>
              <w:t xml:space="preserve"> </w:t>
            </w:r>
            <w:r>
              <w:rPr>
                <w:spacing w:val="-2"/>
              </w:rPr>
              <w:t>Activities</w:t>
            </w:r>
          </w:p>
        </w:tc>
        <w:tc>
          <w:tcPr>
            <w:tcW w:w="1524" w:type="dxa"/>
            <w:tcBorders>
              <w:left w:val="single" w:sz="4" w:space="0" w:color="000000"/>
              <w:right w:val="single" w:sz="4" w:space="0" w:color="000000"/>
            </w:tcBorders>
          </w:tcPr>
          <w:p w14:paraId="0DFDB921" w14:textId="77777777" w:rsidR="00046465" w:rsidRDefault="00046465">
            <w:pPr>
              <w:pStyle w:val="TableParagraph"/>
              <w:spacing w:before="143"/>
            </w:pPr>
          </w:p>
          <w:p w14:paraId="0DFDB922" w14:textId="77777777" w:rsidR="00046465" w:rsidRDefault="008134EB">
            <w:pPr>
              <w:pStyle w:val="TableParagraph"/>
              <w:ind w:left="109"/>
            </w:pPr>
            <w:r>
              <w:t>IS</w:t>
            </w:r>
            <w:r>
              <w:rPr>
                <w:spacing w:val="-3"/>
              </w:rPr>
              <w:t xml:space="preserve"> </w:t>
            </w:r>
            <w:r>
              <w:rPr>
                <w:spacing w:val="-2"/>
              </w:rPr>
              <w:t>(Y/N)</w:t>
            </w:r>
          </w:p>
        </w:tc>
        <w:tc>
          <w:tcPr>
            <w:tcW w:w="1496" w:type="dxa"/>
            <w:tcBorders>
              <w:left w:val="single" w:sz="4" w:space="0" w:color="000000"/>
              <w:right w:val="single" w:sz="4" w:space="0" w:color="000000"/>
            </w:tcBorders>
          </w:tcPr>
          <w:p w14:paraId="0DFDB923" w14:textId="77777777" w:rsidR="00046465" w:rsidRDefault="008134EB">
            <w:pPr>
              <w:pStyle w:val="TableParagraph"/>
              <w:spacing w:before="143"/>
              <w:ind w:left="110"/>
            </w:pPr>
            <w:r>
              <w:rPr>
                <w:spacing w:val="-2"/>
              </w:rPr>
              <w:t>Effective controls?</w:t>
            </w:r>
          </w:p>
        </w:tc>
        <w:tc>
          <w:tcPr>
            <w:tcW w:w="2185" w:type="dxa"/>
            <w:tcBorders>
              <w:left w:val="single" w:sz="4" w:space="0" w:color="000000"/>
            </w:tcBorders>
          </w:tcPr>
          <w:p w14:paraId="0DFDB924" w14:textId="77777777" w:rsidR="00046465" w:rsidRDefault="008134EB">
            <w:pPr>
              <w:pStyle w:val="TableParagraph"/>
              <w:spacing w:before="143"/>
              <w:ind w:left="111" w:right="2"/>
            </w:pPr>
            <w:r>
              <w:t xml:space="preserve">Instances of </w:t>
            </w:r>
            <w:r>
              <w:rPr>
                <w:spacing w:val="-2"/>
              </w:rPr>
              <w:t>noncompliance?</w:t>
            </w:r>
          </w:p>
        </w:tc>
      </w:tr>
      <w:tr w:rsidR="00046465" w14:paraId="0DFDB931" w14:textId="77777777">
        <w:trPr>
          <w:trHeight w:val="4303"/>
        </w:trPr>
        <w:tc>
          <w:tcPr>
            <w:tcW w:w="3943" w:type="dxa"/>
            <w:tcBorders>
              <w:right w:val="single" w:sz="4" w:space="0" w:color="000000"/>
            </w:tcBorders>
          </w:tcPr>
          <w:p w14:paraId="0DFDB926" w14:textId="77777777" w:rsidR="00046465" w:rsidRDefault="008134EB">
            <w:pPr>
              <w:pStyle w:val="TableParagraph"/>
              <w:spacing w:before="143"/>
              <w:ind w:left="817" w:hanging="720"/>
              <w:rPr>
                <w:sz w:val="18"/>
              </w:rPr>
            </w:pPr>
            <w:r>
              <w:rPr>
                <w:smallCaps/>
                <w:sz w:val="18"/>
              </w:rPr>
              <w:t xml:space="preserve">805.03. </w:t>
            </w:r>
            <w:r>
              <w:rPr>
                <w:smallCaps/>
                <w:spacing w:val="20"/>
                <w:sz w:val="18"/>
              </w:rPr>
              <w:t xml:space="preserve"> </w:t>
            </w:r>
            <w:r>
              <w:rPr>
                <w:smallCaps/>
                <w:sz w:val="18"/>
              </w:rPr>
              <w:t>Less Than Payment in Full:</w:t>
            </w:r>
            <w:r>
              <w:rPr>
                <w:smallCaps/>
                <w:spacing w:val="40"/>
                <w:sz w:val="18"/>
              </w:rPr>
              <w:t xml:space="preserve"> </w:t>
            </w:r>
            <w:r>
              <w:rPr>
                <w:smallCaps/>
                <w:sz w:val="18"/>
              </w:rPr>
              <w:t>Compromise,</w:t>
            </w:r>
            <w:r>
              <w:rPr>
                <w:smallCaps/>
                <w:spacing w:val="-12"/>
                <w:sz w:val="18"/>
              </w:rPr>
              <w:t xml:space="preserve"> </w:t>
            </w:r>
            <w:r>
              <w:rPr>
                <w:smallCaps/>
                <w:sz w:val="18"/>
              </w:rPr>
              <w:t>Termination,</w:t>
            </w:r>
            <w:r>
              <w:rPr>
                <w:smallCaps/>
                <w:spacing w:val="-12"/>
                <w:sz w:val="18"/>
              </w:rPr>
              <w:t xml:space="preserve"> </w:t>
            </w:r>
            <w:r>
              <w:rPr>
                <w:smallCaps/>
                <w:sz w:val="18"/>
              </w:rPr>
              <w:t>or</w:t>
            </w:r>
            <w:r>
              <w:rPr>
                <w:smallCaps/>
                <w:spacing w:val="40"/>
                <w:sz w:val="18"/>
              </w:rPr>
              <w:t xml:space="preserve"> </w:t>
            </w:r>
            <w:r>
              <w:rPr>
                <w:smallCaps/>
                <w:sz w:val="18"/>
              </w:rPr>
              <w:t>Suspension of Claims.</w:t>
            </w:r>
          </w:p>
          <w:p w14:paraId="0DFDB927" w14:textId="77777777" w:rsidR="00046465" w:rsidRDefault="008134EB">
            <w:pPr>
              <w:pStyle w:val="TableParagraph"/>
              <w:spacing w:before="146"/>
              <w:ind w:left="97"/>
              <w:rPr>
                <w:sz w:val="18"/>
              </w:rPr>
            </w:pPr>
            <w:r>
              <w:rPr>
                <w:sz w:val="18"/>
              </w:rPr>
              <w:t>Provision</w:t>
            </w:r>
            <w:r>
              <w:rPr>
                <w:spacing w:val="-10"/>
                <w:sz w:val="18"/>
              </w:rPr>
              <w:t xml:space="preserve"> </w:t>
            </w:r>
            <w:r>
              <w:rPr>
                <w:sz w:val="18"/>
              </w:rPr>
              <w:t>Type:</w:t>
            </w:r>
            <w:r>
              <w:rPr>
                <w:spacing w:val="-9"/>
                <w:sz w:val="18"/>
              </w:rPr>
              <w:t xml:space="preserve"> </w:t>
            </w:r>
            <w:r>
              <w:rPr>
                <w:sz w:val="18"/>
              </w:rPr>
              <w:t>Procedural-</w:t>
            </w:r>
            <w:r>
              <w:rPr>
                <w:spacing w:val="-2"/>
                <w:sz w:val="18"/>
              </w:rPr>
              <w:t>based.</w:t>
            </w:r>
          </w:p>
          <w:p w14:paraId="0DFDB928" w14:textId="77777777" w:rsidR="00046465" w:rsidRDefault="008134EB">
            <w:pPr>
              <w:pStyle w:val="TableParagraph"/>
              <w:spacing w:before="142"/>
              <w:ind w:left="97" w:right="140"/>
              <w:rPr>
                <w:sz w:val="18"/>
              </w:rPr>
            </w:pPr>
            <w:r>
              <w:rPr>
                <w:sz w:val="18"/>
              </w:rPr>
              <w:t>In general, the entity may compromise, terminate, or suspend claims,</w:t>
            </w:r>
            <w:hyperlink w:anchor="_bookmark97" w:history="1">
              <w:r>
                <w:rPr>
                  <w:position w:val="6"/>
                  <w:sz w:val="12"/>
                </w:rPr>
                <w:t>32</w:t>
              </w:r>
            </w:hyperlink>
            <w:r>
              <w:rPr>
                <w:spacing w:val="40"/>
                <w:position w:val="6"/>
                <w:sz w:val="12"/>
              </w:rPr>
              <w:t xml:space="preserve"> </w:t>
            </w:r>
            <w:r>
              <w:rPr>
                <w:sz w:val="18"/>
              </w:rPr>
              <w:t>which have not been referred to another entity for further collection action, when such claims are not more than $100,000 (excluding interest, penalties, and administrative costs) or such higher amounts as the U.S. Attorney General may prescribe. 31 U.S.C. § 3711(a)(2), (3). Unless otherwise provided by law, claims of more than $100,000 (excluding interest, penalties, and administrative costs) shall be referred to the Department of Justice for compromise,</w:t>
            </w:r>
            <w:r>
              <w:rPr>
                <w:spacing w:val="-7"/>
                <w:sz w:val="18"/>
              </w:rPr>
              <w:t xml:space="preserve"> </w:t>
            </w:r>
            <w:r>
              <w:rPr>
                <w:sz w:val="18"/>
              </w:rPr>
              <w:t>termination,</w:t>
            </w:r>
            <w:r>
              <w:rPr>
                <w:spacing w:val="-7"/>
                <w:sz w:val="18"/>
              </w:rPr>
              <w:t xml:space="preserve"> </w:t>
            </w:r>
            <w:r>
              <w:rPr>
                <w:sz w:val="18"/>
              </w:rPr>
              <w:t>or</w:t>
            </w:r>
            <w:r>
              <w:rPr>
                <w:spacing w:val="-6"/>
                <w:sz w:val="18"/>
              </w:rPr>
              <w:t xml:space="preserve"> </w:t>
            </w:r>
            <w:r>
              <w:rPr>
                <w:sz w:val="18"/>
              </w:rPr>
              <w:t>suspension.</w:t>
            </w:r>
            <w:hyperlink w:anchor="_bookmark98" w:history="1">
              <w:r>
                <w:rPr>
                  <w:position w:val="6"/>
                  <w:sz w:val="12"/>
                </w:rPr>
                <w:t>33</w:t>
              </w:r>
            </w:hyperlink>
            <w:r>
              <w:rPr>
                <w:spacing w:val="10"/>
                <w:position w:val="6"/>
                <w:sz w:val="12"/>
              </w:rPr>
              <w:t xml:space="preserve"> </w:t>
            </w:r>
            <w:r>
              <w:rPr>
                <w:sz w:val="18"/>
              </w:rPr>
              <w:t>31</w:t>
            </w:r>
          </w:p>
          <w:p w14:paraId="0DFDB929" w14:textId="77777777" w:rsidR="00046465" w:rsidRDefault="008134EB">
            <w:pPr>
              <w:pStyle w:val="TableParagraph"/>
              <w:spacing w:line="200" w:lineRule="exact"/>
              <w:ind w:left="97"/>
              <w:rPr>
                <w:sz w:val="18"/>
              </w:rPr>
            </w:pPr>
            <w:r>
              <w:rPr>
                <w:sz w:val="18"/>
              </w:rPr>
              <w:t>C.F.R.</w:t>
            </w:r>
            <w:r>
              <w:rPr>
                <w:spacing w:val="-2"/>
                <w:sz w:val="18"/>
              </w:rPr>
              <w:t xml:space="preserve"> </w:t>
            </w:r>
            <w:r>
              <w:rPr>
                <w:sz w:val="18"/>
              </w:rPr>
              <w:t>§</w:t>
            </w:r>
            <w:r>
              <w:rPr>
                <w:spacing w:val="-3"/>
                <w:sz w:val="18"/>
              </w:rPr>
              <w:t xml:space="preserve"> </w:t>
            </w:r>
            <w:r>
              <w:rPr>
                <w:sz w:val="18"/>
              </w:rPr>
              <w:t>902.1(b)</w:t>
            </w:r>
            <w:r>
              <w:rPr>
                <w:spacing w:val="-2"/>
                <w:sz w:val="18"/>
              </w:rPr>
              <w:t xml:space="preserve"> </w:t>
            </w:r>
            <w:r>
              <w:rPr>
                <w:sz w:val="18"/>
              </w:rPr>
              <w:t>and</w:t>
            </w:r>
            <w:r>
              <w:rPr>
                <w:spacing w:val="-3"/>
                <w:sz w:val="18"/>
              </w:rPr>
              <w:t xml:space="preserve"> </w:t>
            </w:r>
            <w:r>
              <w:rPr>
                <w:sz w:val="18"/>
              </w:rPr>
              <w:t>§</w:t>
            </w:r>
            <w:r>
              <w:rPr>
                <w:spacing w:val="-1"/>
                <w:sz w:val="18"/>
              </w:rPr>
              <w:t xml:space="preserve"> </w:t>
            </w:r>
            <w:r>
              <w:rPr>
                <w:spacing w:val="-2"/>
                <w:sz w:val="18"/>
              </w:rPr>
              <w:t>903.1(b).</w:t>
            </w:r>
          </w:p>
        </w:tc>
        <w:tc>
          <w:tcPr>
            <w:tcW w:w="1791" w:type="dxa"/>
            <w:tcBorders>
              <w:left w:val="single" w:sz="4" w:space="0" w:color="000000"/>
              <w:right w:val="single" w:sz="4" w:space="0" w:color="000000"/>
            </w:tcBorders>
          </w:tcPr>
          <w:p w14:paraId="0DFDB92A" w14:textId="77777777" w:rsidR="00046465" w:rsidRDefault="008134EB">
            <w:pPr>
              <w:pStyle w:val="TableParagraph"/>
              <w:spacing w:before="143"/>
              <w:ind w:left="108" w:right="155"/>
              <w:rPr>
                <w:sz w:val="18"/>
              </w:rPr>
            </w:pPr>
            <w:r>
              <w:rPr>
                <w:sz w:val="18"/>
              </w:rPr>
              <w:t>Claims of more than $100,000 (excluding</w:t>
            </w:r>
            <w:r>
              <w:rPr>
                <w:spacing w:val="-13"/>
                <w:sz w:val="18"/>
              </w:rPr>
              <w:t xml:space="preserve"> </w:t>
            </w:r>
            <w:r>
              <w:rPr>
                <w:sz w:val="18"/>
              </w:rPr>
              <w:t xml:space="preserve">interest, penalties, and </w:t>
            </w:r>
            <w:r>
              <w:rPr>
                <w:spacing w:val="-2"/>
                <w:sz w:val="18"/>
              </w:rPr>
              <w:t xml:space="preserve">administrative </w:t>
            </w:r>
            <w:r>
              <w:rPr>
                <w:sz w:val="18"/>
              </w:rPr>
              <w:t xml:space="preserve">costs) are referred to the Department of Justice for </w:t>
            </w:r>
            <w:r>
              <w:rPr>
                <w:spacing w:val="-2"/>
                <w:sz w:val="18"/>
              </w:rPr>
              <w:t xml:space="preserve">compromise, </w:t>
            </w:r>
            <w:r>
              <w:rPr>
                <w:sz w:val="18"/>
              </w:rPr>
              <w:t>termination, or suspension. (See footnotes 31 and</w:t>
            </w:r>
          </w:p>
          <w:p w14:paraId="0DFDB92B" w14:textId="77777777" w:rsidR="00046465" w:rsidRDefault="008134EB">
            <w:pPr>
              <w:pStyle w:val="TableParagraph"/>
              <w:spacing w:before="2"/>
              <w:ind w:left="108"/>
              <w:rPr>
                <w:sz w:val="18"/>
              </w:rPr>
            </w:pPr>
            <w:r>
              <w:rPr>
                <w:sz w:val="18"/>
              </w:rPr>
              <w:t>32</w:t>
            </w:r>
            <w:r>
              <w:rPr>
                <w:spacing w:val="-1"/>
                <w:sz w:val="18"/>
              </w:rPr>
              <w:t xml:space="preserve"> </w:t>
            </w:r>
            <w:r>
              <w:rPr>
                <w:spacing w:val="-2"/>
                <w:sz w:val="18"/>
              </w:rPr>
              <w:t>below.)</w:t>
            </w:r>
          </w:p>
        </w:tc>
        <w:tc>
          <w:tcPr>
            <w:tcW w:w="2231" w:type="dxa"/>
            <w:tcBorders>
              <w:left w:val="single" w:sz="4" w:space="0" w:color="000000"/>
              <w:right w:val="single" w:sz="4" w:space="0" w:color="000000"/>
            </w:tcBorders>
          </w:tcPr>
          <w:p w14:paraId="0DFDB92C" w14:textId="77777777" w:rsidR="00046465" w:rsidRDefault="00046465">
            <w:pPr>
              <w:pStyle w:val="TableParagraph"/>
              <w:rPr>
                <w:rFonts w:ascii="Times New Roman"/>
                <w:sz w:val="18"/>
              </w:rPr>
            </w:pPr>
          </w:p>
        </w:tc>
        <w:tc>
          <w:tcPr>
            <w:tcW w:w="1524" w:type="dxa"/>
            <w:tcBorders>
              <w:left w:val="single" w:sz="4" w:space="0" w:color="000000"/>
              <w:right w:val="single" w:sz="4" w:space="0" w:color="000000"/>
            </w:tcBorders>
          </w:tcPr>
          <w:p w14:paraId="0DFDB92D" w14:textId="77777777" w:rsidR="00046465" w:rsidRDefault="00046465">
            <w:pPr>
              <w:pStyle w:val="TableParagraph"/>
              <w:rPr>
                <w:rFonts w:ascii="Times New Roman"/>
                <w:sz w:val="18"/>
              </w:rPr>
            </w:pPr>
          </w:p>
        </w:tc>
        <w:tc>
          <w:tcPr>
            <w:tcW w:w="1496" w:type="dxa"/>
            <w:tcBorders>
              <w:left w:val="single" w:sz="4" w:space="0" w:color="000000"/>
              <w:right w:val="single" w:sz="4" w:space="0" w:color="000000"/>
            </w:tcBorders>
          </w:tcPr>
          <w:p w14:paraId="0DFDB92E" w14:textId="77777777" w:rsidR="00046465" w:rsidRDefault="00046465">
            <w:pPr>
              <w:pStyle w:val="TableParagraph"/>
              <w:rPr>
                <w:rFonts w:ascii="Times New Roman"/>
                <w:sz w:val="18"/>
              </w:rPr>
            </w:pPr>
          </w:p>
        </w:tc>
        <w:tc>
          <w:tcPr>
            <w:tcW w:w="2185" w:type="dxa"/>
            <w:tcBorders>
              <w:left w:val="single" w:sz="4" w:space="0" w:color="000000"/>
            </w:tcBorders>
          </w:tcPr>
          <w:p w14:paraId="0DFDB92F" w14:textId="77777777" w:rsidR="00046465" w:rsidRDefault="008134EB">
            <w:pPr>
              <w:pStyle w:val="TableParagraph"/>
              <w:spacing w:before="143"/>
              <w:ind w:left="111" w:right="2"/>
              <w:rPr>
                <w:sz w:val="18"/>
              </w:rPr>
            </w:pPr>
            <w:r>
              <w:rPr>
                <w:sz w:val="18"/>
              </w:rPr>
              <w:t>See</w:t>
            </w:r>
            <w:r>
              <w:rPr>
                <w:spacing w:val="-15"/>
                <w:sz w:val="18"/>
              </w:rPr>
              <w:t xml:space="preserve"> </w:t>
            </w:r>
            <w:r>
              <w:rPr>
                <w:sz w:val="18"/>
              </w:rPr>
              <w:t>Compliance</w:t>
            </w:r>
            <w:r>
              <w:rPr>
                <w:spacing w:val="-12"/>
                <w:sz w:val="18"/>
              </w:rPr>
              <w:t xml:space="preserve"> </w:t>
            </w:r>
            <w:r>
              <w:rPr>
                <w:sz w:val="18"/>
              </w:rPr>
              <w:t>Audit Procedures,</w:t>
            </w:r>
            <w:r>
              <w:rPr>
                <w:spacing w:val="-4"/>
                <w:sz w:val="18"/>
              </w:rPr>
              <w:t xml:space="preserve"> </w:t>
            </w:r>
            <w:r>
              <w:rPr>
                <w:sz w:val="18"/>
              </w:rPr>
              <w:t>FAM</w:t>
            </w:r>
            <w:r>
              <w:rPr>
                <w:spacing w:val="-3"/>
                <w:sz w:val="18"/>
              </w:rPr>
              <w:t xml:space="preserve"> </w:t>
            </w:r>
            <w:r>
              <w:rPr>
                <w:spacing w:val="-5"/>
                <w:sz w:val="18"/>
              </w:rPr>
              <w:t>805</w:t>
            </w:r>
          </w:p>
          <w:p w14:paraId="0DFDB930" w14:textId="77777777" w:rsidR="00046465" w:rsidRDefault="008134EB">
            <w:pPr>
              <w:pStyle w:val="TableParagraph"/>
              <w:spacing w:before="1"/>
              <w:ind w:left="111"/>
              <w:rPr>
                <w:sz w:val="18"/>
              </w:rPr>
            </w:pPr>
            <w:r>
              <w:rPr>
                <w:sz w:val="18"/>
              </w:rPr>
              <w:t>step</w:t>
            </w:r>
            <w:r>
              <w:rPr>
                <w:spacing w:val="-2"/>
                <w:sz w:val="18"/>
              </w:rPr>
              <w:t xml:space="preserve"> </w:t>
            </w:r>
            <w:r>
              <w:rPr>
                <w:sz w:val="18"/>
              </w:rPr>
              <w:t>5</w:t>
            </w:r>
            <w:r>
              <w:rPr>
                <w:spacing w:val="-1"/>
                <w:sz w:val="18"/>
              </w:rPr>
              <w:t xml:space="preserve"> </w:t>
            </w:r>
            <w:r>
              <w:rPr>
                <w:spacing w:val="-4"/>
                <w:sz w:val="18"/>
              </w:rPr>
              <w:t>(a).</w:t>
            </w:r>
          </w:p>
        </w:tc>
      </w:tr>
    </w:tbl>
    <w:p w14:paraId="0DFDB932" w14:textId="77777777" w:rsidR="00046465" w:rsidRDefault="00046465">
      <w:pPr>
        <w:pStyle w:val="BodyText"/>
        <w:rPr>
          <w:sz w:val="20"/>
        </w:rPr>
      </w:pPr>
    </w:p>
    <w:p w14:paraId="0DFDB933" w14:textId="77777777" w:rsidR="00046465" w:rsidRDefault="00046465">
      <w:pPr>
        <w:pStyle w:val="BodyText"/>
        <w:rPr>
          <w:sz w:val="20"/>
        </w:rPr>
      </w:pPr>
    </w:p>
    <w:p w14:paraId="0DFDB934" w14:textId="77777777" w:rsidR="00046465" w:rsidRDefault="008134EB">
      <w:pPr>
        <w:pStyle w:val="BodyText"/>
        <w:spacing w:before="222"/>
        <w:rPr>
          <w:sz w:val="20"/>
        </w:rPr>
      </w:pPr>
      <w:r>
        <w:rPr>
          <w:noProof/>
          <w:sz w:val="20"/>
        </w:rPr>
        <mc:AlternateContent>
          <mc:Choice Requires="wps">
            <w:drawing>
              <wp:anchor distT="0" distB="0" distL="0" distR="0" simplePos="0" relativeHeight="487667200" behindDoc="1" locked="0" layoutInCell="1" allowOverlap="1" wp14:anchorId="0DFDD64D" wp14:editId="0DFDD64E">
                <wp:simplePos x="0" y="0"/>
                <wp:positionH relativeFrom="page">
                  <wp:posOffset>685800</wp:posOffset>
                </wp:positionH>
                <wp:positionV relativeFrom="paragraph">
                  <wp:posOffset>302792</wp:posOffset>
                </wp:positionV>
                <wp:extent cx="1828800" cy="6985"/>
                <wp:effectExtent l="0" t="0" r="0" b="0"/>
                <wp:wrapTopAndBottom/>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E0399C" id="Graphic 625" o:spid="_x0000_s1026" style="position:absolute;margin-left:54pt;margin-top:23.85pt;width:2in;height:.55pt;z-index:-1564928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" path="m1828800,l,,,6857r1828800,l1828800,xe" fillcolor="black" stroked="f">
                <v:path arrowok="t"/>
                <w10:wrap type="topAndBottom" anchorx="page"/>
              </v:shape>
            </w:pict>
          </mc:Fallback>
        </mc:AlternateContent>
      </w:r>
    </w:p>
    <w:p w14:paraId="0DFDB935" w14:textId="77777777" w:rsidR="00046465" w:rsidRDefault="00046465">
      <w:pPr>
        <w:pStyle w:val="BodyText"/>
        <w:spacing w:before="10"/>
        <w:rPr>
          <w:sz w:val="18"/>
        </w:rPr>
      </w:pPr>
    </w:p>
    <w:p w14:paraId="0DFDB936" w14:textId="77777777" w:rsidR="00046465" w:rsidRDefault="008134EB">
      <w:pPr>
        <w:spacing w:line="244" w:lineRule="auto"/>
        <w:ind w:left="360" w:hanging="1"/>
        <w:rPr>
          <w:sz w:val="18"/>
        </w:rPr>
      </w:pPr>
      <w:r>
        <w:rPr>
          <w:position w:val="7"/>
          <w:sz w:val="14"/>
        </w:rPr>
        <w:t>32</w:t>
      </w:r>
      <w:r>
        <w:rPr>
          <w:sz w:val="18"/>
        </w:rPr>
        <w:t>Compromise is the term used when an amount less than the total amount of the claim is accepted by the entity as payment in full. 31 C.F.R. §902.2. Suspension refers</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temporary</w:t>
      </w:r>
      <w:r>
        <w:rPr>
          <w:spacing w:val="-2"/>
          <w:sz w:val="18"/>
        </w:rPr>
        <w:t xml:space="preserve"> </w:t>
      </w:r>
      <w:r>
        <w:rPr>
          <w:sz w:val="18"/>
        </w:rPr>
        <w:t>deferral</w:t>
      </w:r>
      <w:r>
        <w:rPr>
          <w:spacing w:val="-2"/>
          <w:sz w:val="18"/>
        </w:rPr>
        <w:t xml:space="preserve"> </w:t>
      </w:r>
      <w:r>
        <w:rPr>
          <w:sz w:val="18"/>
        </w:rPr>
        <w:t>of</w:t>
      </w:r>
      <w:r>
        <w:rPr>
          <w:spacing w:val="-2"/>
          <w:sz w:val="18"/>
        </w:rPr>
        <w:t xml:space="preserve"> </w:t>
      </w:r>
      <w:r>
        <w:rPr>
          <w:sz w:val="18"/>
        </w:rPr>
        <w:t>collection</w:t>
      </w:r>
      <w:r>
        <w:rPr>
          <w:spacing w:val="-1"/>
          <w:sz w:val="18"/>
        </w:rPr>
        <w:t xml:space="preserve"> </w:t>
      </w:r>
      <w:r>
        <w:rPr>
          <w:sz w:val="18"/>
        </w:rPr>
        <w:t>activities</w:t>
      </w:r>
      <w:r>
        <w:rPr>
          <w:spacing w:val="-2"/>
          <w:sz w:val="18"/>
        </w:rPr>
        <w:t xml:space="preserve"> </w:t>
      </w:r>
      <w:r>
        <w:rPr>
          <w:sz w:val="18"/>
        </w:rPr>
        <w:t>until</w:t>
      </w:r>
      <w:r>
        <w:rPr>
          <w:spacing w:val="-2"/>
          <w:sz w:val="18"/>
        </w:rPr>
        <w:t xml:space="preserve"> </w:t>
      </w:r>
      <w:r>
        <w:rPr>
          <w:sz w:val="18"/>
        </w:rPr>
        <w:t>collection</w:t>
      </w:r>
      <w:r>
        <w:rPr>
          <w:spacing w:val="-3"/>
          <w:sz w:val="18"/>
        </w:rPr>
        <w:t xml:space="preserve"> </w:t>
      </w:r>
      <w:r>
        <w:rPr>
          <w:sz w:val="18"/>
        </w:rPr>
        <w:t>activity</w:t>
      </w:r>
      <w:r>
        <w:rPr>
          <w:spacing w:val="-2"/>
          <w:sz w:val="18"/>
        </w:rPr>
        <w:t xml:space="preserve"> </w:t>
      </w:r>
      <w:r>
        <w:rPr>
          <w:sz w:val="18"/>
        </w:rPr>
        <w:t>is</w:t>
      </w:r>
      <w:r>
        <w:rPr>
          <w:spacing w:val="-2"/>
          <w:sz w:val="18"/>
        </w:rPr>
        <w:t xml:space="preserve"> </w:t>
      </w:r>
      <w:r>
        <w:rPr>
          <w:sz w:val="18"/>
        </w:rPr>
        <w:t>expected</w:t>
      </w:r>
      <w:r>
        <w:rPr>
          <w:spacing w:val="-3"/>
          <w:sz w:val="18"/>
        </w:rPr>
        <w:t xml:space="preserve"> </w:t>
      </w:r>
      <w:r>
        <w:rPr>
          <w:sz w:val="18"/>
        </w:rPr>
        <w:t>to</w:t>
      </w:r>
      <w:r>
        <w:rPr>
          <w:spacing w:val="-3"/>
          <w:sz w:val="18"/>
        </w:rPr>
        <w:t xml:space="preserve"> </w:t>
      </w:r>
      <w:r>
        <w:rPr>
          <w:sz w:val="18"/>
        </w:rPr>
        <w:t>be</w:t>
      </w:r>
      <w:r>
        <w:rPr>
          <w:spacing w:val="-3"/>
          <w:sz w:val="18"/>
        </w:rPr>
        <w:t xml:space="preserve"> </w:t>
      </w:r>
      <w:r>
        <w:rPr>
          <w:sz w:val="18"/>
        </w:rPr>
        <w:t>more</w:t>
      </w:r>
      <w:r>
        <w:rPr>
          <w:spacing w:val="-3"/>
          <w:sz w:val="18"/>
        </w:rPr>
        <w:t xml:space="preserve"> </w:t>
      </w:r>
      <w:r>
        <w:rPr>
          <w:sz w:val="18"/>
        </w:rPr>
        <w:t>successful.</w:t>
      </w:r>
      <w:r>
        <w:rPr>
          <w:spacing w:val="-2"/>
          <w:sz w:val="18"/>
        </w:rPr>
        <w:t xml:space="preserve"> </w:t>
      </w:r>
      <w:r>
        <w:rPr>
          <w:sz w:val="18"/>
        </w:rPr>
        <w:t>31</w:t>
      </w:r>
      <w:r>
        <w:rPr>
          <w:spacing w:val="-3"/>
          <w:sz w:val="18"/>
        </w:rPr>
        <w:t xml:space="preserve"> </w:t>
      </w:r>
      <w:r>
        <w:rPr>
          <w:sz w:val="18"/>
        </w:rPr>
        <w:t>C.F.R.</w:t>
      </w:r>
      <w:r>
        <w:rPr>
          <w:spacing w:val="-2"/>
          <w:sz w:val="18"/>
        </w:rPr>
        <w:t xml:space="preserve"> </w:t>
      </w:r>
      <w:r>
        <w:rPr>
          <w:sz w:val="18"/>
        </w:rPr>
        <w:t>§</w:t>
      </w:r>
      <w:r>
        <w:rPr>
          <w:spacing w:val="-3"/>
          <w:sz w:val="18"/>
        </w:rPr>
        <w:t xml:space="preserve"> </w:t>
      </w:r>
      <w:r>
        <w:rPr>
          <w:sz w:val="18"/>
        </w:rPr>
        <w:t>903.2.</w:t>
      </w:r>
      <w:r>
        <w:rPr>
          <w:spacing w:val="-2"/>
          <w:sz w:val="18"/>
        </w:rPr>
        <w:t xml:space="preserve"> </w:t>
      </w:r>
      <w:r>
        <w:rPr>
          <w:sz w:val="18"/>
        </w:rPr>
        <w:t>Termination</w:t>
      </w:r>
      <w:r>
        <w:rPr>
          <w:spacing w:val="-3"/>
          <w:sz w:val="18"/>
        </w:rPr>
        <w:t xml:space="preserve"> </w:t>
      </w:r>
      <w:r>
        <w:rPr>
          <w:sz w:val="18"/>
        </w:rPr>
        <w:t>refers</w:t>
      </w:r>
      <w:r>
        <w:rPr>
          <w:spacing w:val="-2"/>
          <w:sz w:val="18"/>
        </w:rPr>
        <w:t xml:space="preserve"> </w:t>
      </w:r>
      <w:r>
        <w:rPr>
          <w:sz w:val="18"/>
        </w:rPr>
        <w:t>to</w:t>
      </w:r>
      <w:r>
        <w:rPr>
          <w:spacing w:val="-3"/>
          <w:sz w:val="18"/>
        </w:rPr>
        <w:t xml:space="preserve"> </w:t>
      </w:r>
      <w:r>
        <w:rPr>
          <w:sz w:val="18"/>
        </w:rPr>
        <w:t>stopping</w:t>
      </w:r>
      <w:r>
        <w:rPr>
          <w:spacing w:val="-3"/>
          <w:sz w:val="18"/>
        </w:rPr>
        <w:t xml:space="preserve"> </w:t>
      </w:r>
      <w:r>
        <w:rPr>
          <w:sz w:val="18"/>
        </w:rPr>
        <w:t>of collection activities. 31 C.F.R. § 903.3.</w:t>
      </w:r>
    </w:p>
    <w:p w14:paraId="0DFDB937" w14:textId="77777777" w:rsidR="00046465" w:rsidRDefault="008134EB">
      <w:pPr>
        <w:spacing w:before="122" w:line="244" w:lineRule="auto"/>
        <w:ind w:left="360" w:hanging="1"/>
        <w:rPr>
          <w:sz w:val="18"/>
        </w:rPr>
      </w:pPr>
      <w:r>
        <w:rPr>
          <w:position w:val="7"/>
          <w:sz w:val="14"/>
        </w:rPr>
        <w:t>33</w:t>
      </w:r>
      <w:r>
        <w:rPr>
          <w:sz w:val="18"/>
        </w:rPr>
        <w:t>Only the Department of Justice has the authority to compromise, terminate, or suspend collection on claims that are greater than $100,000 (excluding interest, penalties,</w:t>
      </w:r>
      <w:r>
        <w:rPr>
          <w:spacing w:val="-2"/>
          <w:sz w:val="18"/>
        </w:rPr>
        <w:t xml:space="preserve"> </w:t>
      </w:r>
      <w:r>
        <w:rPr>
          <w:sz w:val="18"/>
        </w:rPr>
        <w:t>and</w:t>
      </w:r>
      <w:r>
        <w:rPr>
          <w:spacing w:val="-1"/>
          <w:sz w:val="18"/>
        </w:rPr>
        <w:t xml:space="preserve"> </w:t>
      </w:r>
      <w:r>
        <w:rPr>
          <w:sz w:val="18"/>
        </w:rPr>
        <w:t>administrative</w:t>
      </w:r>
      <w:r>
        <w:rPr>
          <w:spacing w:val="-1"/>
          <w:sz w:val="18"/>
        </w:rPr>
        <w:t xml:space="preserve"> </w:t>
      </w:r>
      <w:r>
        <w:rPr>
          <w:sz w:val="18"/>
        </w:rPr>
        <w:t>charges).</w:t>
      </w:r>
      <w:r>
        <w:rPr>
          <w:spacing w:val="-2"/>
          <w:sz w:val="18"/>
        </w:rPr>
        <w:t xml:space="preserve"> </w:t>
      </w:r>
      <w:r>
        <w:rPr>
          <w:sz w:val="18"/>
        </w:rPr>
        <w:t>Pursuant</w:t>
      </w:r>
      <w:r>
        <w:rPr>
          <w:spacing w:val="-2"/>
          <w:sz w:val="18"/>
        </w:rPr>
        <w:t xml:space="preserve"> </w:t>
      </w:r>
      <w:r>
        <w:rPr>
          <w:sz w:val="18"/>
        </w:rPr>
        <w:t>to</w:t>
      </w:r>
      <w:r>
        <w:rPr>
          <w:spacing w:val="-3"/>
          <w:sz w:val="18"/>
        </w:rPr>
        <w:t xml:space="preserve"> </w:t>
      </w:r>
      <w:r>
        <w:rPr>
          <w:sz w:val="18"/>
        </w:rPr>
        <w:t>31</w:t>
      </w:r>
      <w:r>
        <w:rPr>
          <w:spacing w:val="-3"/>
          <w:sz w:val="18"/>
        </w:rPr>
        <w:t xml:space="preserve"> </w:t>
      </w:r>
      <w:r>
        <w:rPr>
          <w:sz w:val="18"/>
        </w:rPr>
        <w:t>C.F.R.</w:t>
      </w:r>
      <w:r>
        <w:rPr>
          <w:spacing w:val="-2"/>
          <w:sz w:val="18"/>
        </w:rPr>
        <w:t xml:space="preserve"> </w:t>
      </w:r>
      <w:r>
        <w:rPr>
          <w:sz w:val="18"/>
        </w:rPr>
        <w:t>§</w:t>
      </w:r>
      <w:r>
        <w:rPr>
          <w:spacing w:val="-2"/>
          <w:sz w:val="18"/>
        </w:rPr>
        <w:t xml:space="preserve"> </w:t>
      </w:r>
      <w:r>
        <w:rPr>
          <w:sz w:val="18"/>
        </w:rPr>
        <w:t>902.1</w:t>
      </w:r>
      <w:r>
        <w:rPr>
          <w:spacing w:val="-3"/>
          <w:sz w:val="18"/>
        </w:rPr>
        <w:t xml:space="preserve"> </w:t>
      </w:r>
      <w:r>
        <w:rPr>
          <w:sz w:val="18"/>
        </w:rPr>
        <w:t>and</w:t>
      </w:r>
      <w:r>
        <w:rPr>
          <w:spacing w:val="-1"/>
          <w:sz w:val="18"/>
        </w:rPr>
        <w:t xml:space="preserve"> </w:t>
      </w:r>
      <w:r>
        <w:rPr>
          <w:sz w:val="18"/>
        </w:rPr>
        <w:t>§</w:t>
      </w:r>
      <w:r>
        <w:rPr>
          <w:spacing w:val="-2"/>
          <w:sz w:val="18"/>
        </w:rPr>
        <w:t xml:space="preserve"> </w:t>
      </w:r>
      <w:r>
        <w:rPr>
          <w:sz w:val="18"/>
        </w:rPr>
        <w:t>903.1,</w:t>
      </w:r>
      <w:r>
        <w:rPr>
          <w:spacing w:val="-2"/>
          <w:sz w:val="18"/>
        </w:rPr>
        <w:t xml:space="preserve"> </w:t>
      </w:r>
      <w:r>
        <w:rPr>
          <w:sz w:val="18"/>
        </w:rPr>
        <w:t>entities</w:t>
      </w:r>
      <w:r>
        <w:rPr>
          <w:spacing w:val="-2"/>
          <w:sz w:val="18"/>
        </w:rPr>
        <w:t xml:space="preserve"> </w:t>
      </w:r>
      <w:r>
        <w:rPr>
          <w:sz w:val="18"/>
        </w:rPr>
        <w:t>generally</w:t>
      </w:r>
      <w:r>
        <w:rPr>
          <w:spacing w:val="-2"/>
          <w:sz w:val="18"/>
        </w:rPr>
        <w:t xml:space="preserve"> </w:t>
      </w:r>
      <w:r>
        <w:rPr>
          <w:sz w:val="18"/>
        </w:rPr>
        <w:t>should</w:t>
      </w:r>
      <w:r>
        <w:rPr>
          <w:spacing w:val="-3"/>
          <w:sz w:val="18"/>
        </w:rPr>
        <w:t xml:space="preserve"> </w:t>
      </w:r>
      <w:r>
        <w:rPr>
          <w:sz w:val="18"/>
        </w:rPr>
        <w:t>use</w:t>
      </w:r>
      <w:r>
        <w:rPr>
          <w:spacing w:val="-3"/>
          <w:sz w:val="18"/>
        </w:rPr>
        <w:t xml:space="preserve"> </w:t>
      </w:r>
      <w:r>
        <w:rPr>
          <w:sz w:val="18"/>
        </w:rPr>
        <w:t>a</w:t>
      </w:r>
      <w:r>
        <w:rPr>
          <w:spacing w:val="-3"/>
          <w:sz w:val="18"/>
        </w:rPr>
        <w:t xml:space="preserve"> </w:t>
      </w:r>
      <w:r>
        <w:rPr>
          <w:sz w:val="18"/>
        </w:rPr>
        <w:t>Claims</w:t>
      </w:r>
      <w:r>
        <w:rPr>
          <w:spacing w:val="-2"/>
          <w:sz w:val="18"/>
        </w:rPr>
        <w:t xml:space="preserve"> </w:t>
      </w:r>
      <w:r>
        <w:rPr>
          <w:sz w:val="18"/>
        </w:rPr>
        <w:t>Collection</w:t>
      </w:r>
      <w:r>
        <w:rPr>
          <w:spacing w:val="-1"/>
          <w:sz w:val="18"/>
        </w:rPr>
        <w:t xml:space="preserve"> </w:t>
      </w:r>
      <w:r>
        <w:rPr>
          <w:sz w:val="18"/>
        </w:rPr>
        <w:t>Litigation</w:t>
      </w:r>
      <w:r>
        <w:rPr>
          <w:spacing w:val="-3"/>
          <w:sz w:val="18"/>
        </w:rPr>
        <w:t xml:space="preserve"> </w:t>
      </w:r>
      <w:r>
        <w:rPr>
          <w:sz w:val="18"/>
        </w:rPr>
        <w:t>Report</w:t>
      </w:r>
      <w:r>
        <w:rPr>
          <w:spacing w:val="-2"/>
          <w:sz w:val="18"/>
        </w:rPr>
        <w:t xml:space="preserve"> </w:t>
      </w:r>
      <w:r>
        <w:rPr>
          <w:sz w:val="18"/>
        </w:rPr>
        <w:t>(CCLR)</w:t>
      </w:r>
      <w:r>
        <w:rPr>
          <w:spacing w:val="-2"/>
          <w:sz w:val="18"/>
        </w:rPr>
        <w:t xml:space="preserve"> </w:t>
      </w:r>
      <w:r>
        <w:rPr>
          <w:sz w:val="18"/>
        </w:rPr>
        <w:t>to</w:t>
      </w:r>
      <w:r>
        <w:rPr>
          <w:spacing w:val="-3"/>
          <w:sz w:val="18"/>
        </w:rPr>
        <w:t xml:space="preserve"> </w:t>
      </w:r>
      <w:r>
        <w:rPr>
          <w:sz w:val="18"/>
        </w:rPr>
        <w:t>refer such matters to the Department of Justice.</w:t>
      </w:r>
    </w:p>
    <w:p w14:paraId="0DFDB938" w14:textId="77777777" w:rsidR="00046465" w:rsidRDefault="00046465">
      <w:pPr>
        <w:spacing w:line="244" w:lineRule="auto"/>
        <w:rPr>
          <w:sz w:val="18"/>
        </w:rPr>
        <w:sectPr w:rsidR="00046465">
          <w:pgSz w:w="15840" w:h="12240" w:orient="landscape"/>
          <w:pgMar w:top="1440" w:right="1440" w:bottom="940" w:left="720" w:header="721" w:footer="742" w:gutter="0"/>
          <w:cols w:space="720"/>
        </w:sectPr>
      </w:pPr>
    </w:p>
    <w:p w14:paraId="0DFDB939" w14:textId="77777777" w:rsidR="00046465" w:rsidRDefault="00046465">
      <w:pPr>
        <w:pStyle w:val="BodyText"/>
        <w:spacing w:before="2" w:after="1"/>
        <w:rPr>
          <w:sz w:val="8"/>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943"/>
        <w:gridCol w:w="1791"/>
        <w:gridCol w:w="2231"/>
        <w:gridCol w:w="1524"/>
        <w:gridCol w:w="1496"/>
        <w:gridCol w:w="2185"/>
      </w:tblGrid>
      <w:tr w:rsidR="00046465" w14:paraId="0DFDB945" w14:textId="77777777">
        <w:trPr>
          <w:trHeight w:val="1574"/>
        </w:trPr>
        <w:tc>
          <w:tcPr>
            <w:tcW w:w="3943" w:type="dxa"/>
            <w:tcBorders>
              <w:right w:val="nil"/>
            </w:tcBorders>
          </w:tcPr>
          <w:p w14:paraId="0DFDB93A" w14:textId="77777777" w:rsidR="00046465" w:rsidRDefault="008134EB">
            <w:pPr>
              <w:pStyle w:val="TableParagraph"/>
              <w:spacing w:before="144"/>
              <w:ind w:right="2058"/>
              <w:jc w:val="right"/>
            </w:pPr>
            <w:r>
              <w:t>Name</w:t>
            </w:r>
            <w:r>
              <w:rPr>
                <w:spacing w:val="-5"/>
              </w:rPr>
              <w:t xml:space="preserve"> </w:t>
            </w:r>
            <w:r>
              <w:t>of</w:t>
            </w:r>
            <w:r>
              <w:rPr>
                <w:spacing w:val="-5"/>
              </w:rPr>
              <w:t xml:space="preserve"> </w:t>
            </w:r>
            <w:r>
              <w:rPr>
                <w:spacing w:val="-2"/>
              </w:rPr>
              <w:t>entity:</w:t>
            </w:r>
          </w:p>
          <w:p w14:paraId="0DFDB93B" w14:textId="77777777" w:rsidR="00046465" w:rsidRDefault="00046465">
            <w:pPr>
              <w:pStyle w:val="TableParagraph"/>
              <w:spacing w:before="6" w:after="1"/>
              <w:rPr>
                <w:sz w:val="12"/>
              </w:rPr>
            </w:pPr>
          </w:p>
          <w:p w14:paraId="0DFDB93C" w14:textId="77777777" w:rsidR="00046465" w:rsidRDefault="008134EB">
            <w:pPr>
              <w:pStyle w:val="TableParagraph"/>
              <w:spacing w:line="20" w:lineRule="exact"/>
              <w:ind w:left="1974"/>
              <w:rPr>
                <w:sz w:val="2"/>
              </w:rPr>
            </w:pPr>
            <w:r>
              <w:rPr>
                <w:noProof/>
                <w:sz w:val="2"/>
              </w:rPr>
              <mc:AlternateContent>
                <mc:Choice Requires="wpg">
                  <w:drawing>
                    <wp:anchor distT="0" distB="0" distL="0" distR="0" simplePos="0" relativeHeight="476135936" behindDoc="1" locked="0" layoutInCell="1" allowOverlap="1" wp14:anchorId="0DFDD64F" wp14:editId="0DFDD650">
                      <wp:simplePos x="0" y="0"/>
                      <wp:positionH relativeFrom="column">
                        <wp:posOffset>1260347</wp:posOffset>
                      </wp:positionH>
                      <wp:positionV relativeFrom="paragraph">
                        <wp:posOffset>349758</wp:posOffset>
                      </wp:positionV>
                      <wp:extent cx="1183005" cy="6350"/>
                      <wp:effectExtent l="0" t="0" r="0" b="0"/>
                      <wp:wrapNone/>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627" name="Graphic 627"/>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3B328D7" id="Group 626" o:spid="_x0000_s1026" style="position:absolute;margin-left:99.25pt;margin-top:27.55pt;width:93.15pt;height:.5pt;z-index:-27180544;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">
                      <v:shape id="Graphic 627"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" path="m1182611,l,,,6108r1182611,l1182611,xe" fillcolor="black" stroked="f">
                        <v:path arrowok="t"/>
                      </v:shape>
                    </v:group>
                  </w:pict>
                </mc:Fallback>
              </mc:AlternateContent>
            </w:r>
            <w:r>
              <w:rPr>
                <w:noProof/>
                <w:sz w:val="2"/>
              </w:rPr>
              <mc:AlternateContent>
                <mc:Choice Requires="wpg">
                  <w:drawing>
                    <wp:inline distT="0" distB="0" distL="0" distR="0" wp14:anchorId="0DFDD651" wp14:editId="0DFDD652">
                      <wp:extent cx="1183005" cy="6350"/>
                      <wp:effectExtent l="0" t="0" r="0" b="0"/>
                      <wp:docPr id="628" name="Group 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629" name="Graphic 629"/>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2DAAA1D" id="Group 628" o:spid="_x0000_s1026" style="width:93.15pt;height:.5pt;mso-position-horizontal-relative:char;mso-position-vertical-relative:line"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">
                      <v:shape id="Graphic 629"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" path="m1182611,l,,,6108r1182611,l1182611,xe" fillcolor="black" stroked="f">
                        <v:path arrowok="t"/>
                      </v:shape>
                      <w10:anchorlock/>
                    </v:group>
                  </w:pict>
                </mc:Fallback>
              </mc:AlternateContent>
            </w:r>
          </w:p>
          <w:p w14:paraId="0DFDB93D" w14:textId="77777777" w:rsidR="00046465" w:rsidRDefault="008134EB">
            <w:pPr>
              <w:pStyle w:val="TableParagraph"/>
              <w:spacing w:before="133"/>
              <w:ind w:right="2059"/>
              <w:jc w:val="right"/>
            </w:pPr>
            <w:r>
              <w:t>Audit</w:t>
            </w:r>
            <w:r>
              <w:rPr>
                <w:spacing w:val="-7"/>
              </w:rPr>
              <w:t xml:space="preserve"> </w:t>
            </w:r>
            <w:r>
              <w:rPr>
                <w:spacing w:val="-2"/>
              </w:rPr>
              <w:t>period:</w:t>
            </w:r>
          </w:p>
        </w:tc>
        <w:tc>
          <w:tcPr>
            <w:tcW w:w="4022" w:type="dxa"/>
            <w:gridSpan w:val="2"/>
            <w:tcBorders>
              <w:left w:val="nil"/>
              <w:right w:val="nil"/>
            </w:tcBorders>
          </w:tcPr>
          <w:p w14:paraId="0DFDB93E" w14:textId="77777777" w:rsidR="00046465" w:rsidRDefault="00046465">
            <w:pPr>
              <w:pStyle w:val="TableParagraph"/>
              <w:spacing w:before="133"/>
              <w:rPr>
                <w:sz w:val="24"/>
              </w:rPr>
            </w:pPr>
          </w:p>
          <w:p w14:paraId="0DFDB93F" w14:textId="77777777" w:rsidR="00046465" w:rsidRDefault="008134EB">
            <w:pPr>
              <w:pStyle w:val="TableParagraph"/>
              <w:ind w:left="1395"/>
              <w:rPr>
                <w:b/>
                <w:sz w:val="24"/>
              </w:rPr>
            </w:pPr>
            <w:r>
              <w:rPr>
                <w:b/>
                <w:sz w:val="24"/>
              </w:rPr>
              <w:t>Compliance</w:t>
            </w:r>
            <w:r>
              <w:rPr>
                <w:b/>
                <w:spacing w:val="-6"/>
                <w:sz w:val="24"/>
              </w:rPr>
              <w:t xml:space="preserve"> </w:t>
            </w:r>
            <w:bookmarkStart w:id="205" w:name="_bookmark99"/>
            <w:bookmarkEnd w:id="205"/>
            <w:r>
              <w:rPr>
                <w:b/>
                <w:spacing w:val="-2"/>
                <w:sz w:val="24"/>
              </w:rPr>
              <w:t>S</w:t>
            </w:r>
            <w:bookmarkStart w:id="206" w:name="_bookmark101"/>
            <w:bookmarkEnd w:id="206"/>
            <w:r>
              <w:rPr>
                <w:b/>
                <w:spacing w:val="-2"/>
                <w:sz w:val="24"/>
              </w:rPr>
              <w:t>um</w:t>
            </w:r>
            <w:bookmarkStart w:id="207" w:name="_bookmark100"/>
            <w:bookmarkEnd w:id="207"/>
            <w:r>
              <w:rPr>
                <w:b/>
                <w:spacing w:val="-2"/>
                <w:sz w:val="24"/>
              </w:rPr>
              <w:t>mary</w:t>
            </w:r>
          </w:p>
        </w:tc>
        <w:tc>
          <w:tcPr>
            <w:tcW w:w="1524" w:type="dxa"/>
            <w:tcBorders>
              <w:left w:val="nil"/>
              <w:right w:val="nil"/>
            </w:tcBorders>
          </w:tcPr>
          <w:p w14:paraId="0DFDB940" w14:textId="77777777" w:rsidR="00046465" w:rsidRDefault="00046465">
            <w:pPr>
              <w:pStyle w:val="TableParagraph"/>
              <w:rPr>
                <w:rFonts w:ascii="Times New Roman"/>
                <w:sz w:val="18"/>
              </w:rPr>
            </w:pPr>
          </w:p>
        </w:tc>
        <w:tc>
          <w:tcPr>
            <w:tcW w:w="3681" w:type="dxa"/>
            <w:gridSpan w:val="2"/>
            <w:tcBorders>
              <w:left w:val="nil"/>
            </w:tcBorders>
          </w:tcPr>
          <w:p w14:paraId="0DFDB941" w14:textId="77777777" w:rsidR="00046465" w:rsidRDefault="008134EB">
            <w:pPr>
              <w:pStyle w:val="TableParagraph"/>
              <w:spacing w:before="144"/>
              <w:ind w:left="97"/>
            </w:pPr>
            <w:bookmarkStart w:id="208" w:name="_bookmark102"/>
            <w:bookmarkStart w:id="209" w:name="_bookmark103"/>
            <w:bookmarkStart w:id="210" w:name="_bookmark104"/>
            <w:bookmarkEnd w:id="208"/>
            <w:bookmarkEnd w:id="209"/>
            <w:bookmarkEnd w:id="210"/>
            <w:r>
              <w:t>Prepared</w:t>
            </w:r>
            <w:r>
              <w:rPr>
                <w:spacing w:val="-11"/>
              </w:rPr>
              <w:t xml:space="preserve"> </w:t>
            </w:r>
            <w:r>
              <w:rPr>
                <w:spacing w:val="-5"/>
              </w:rPr>
              <w:t>by:</w:t>
            </w:r>
          </w:p>
          <w:p w14:paraId="0DFDB942" w14:textId="77777777" w:rsidR="00046465" w:rsidRDefault="00046465">
            <w:pPr>
              <w:pStyle w:val="TableParagraph"/>
              <w:spacing w:before="6" w:after="1"/>
              <w:rPr>
                <w:sz w:val="12"/>
              </w:rPr>
            </w:pPr>
          </w:p>
          <w:p w14:paraId="0DFDB943" w14:textId="77777777" w:rsidR="00046465" w:rsidRDefault="008134EB">
            <w:pPr>
              <w:pStyle w:val="TableParagraph"/>
              <w:spacing w:line="20" w:lineRule="exact"/>
              <w:ind w:left="1465"/>
              <w:rPr>
                <w:sz w:val="2"/>
              </w:rPr>
            </w:pPr>
            <w:r>
              <w:rPr>
                <w:noProof/>
                <w:sz w:val="2"/>
              </w:rPr>
              <mc:AlternateContent>
                <mc:Choice Requires="wpg">
                  <w:drawing>
                    <wp:anchor distT="0" distB="0" distL="0" distR="0" simplePos="0" relativeHeight="476136448" behindDoc="1" locked="0" layoutInCell="1" allowOverlap="1" wp14:anchorId="0DFDD653" wp14:editId="0DFDD654">
                      <wp:simplePos x="0" y="0"/>
                      <wp:positionH relativeFrom="column">
                        <wp:posOffset>925830</wp:posOffset>
                      </wp:positionH>
                      <wp:positionV relativeFrom="paragraph">
                        <wp:posOffset>349758</wp:posOffset>
                      </wp:positionV>
                      <wp:extent cx="1344930" cy="6350"/>
                      <wp:effectExtent l="0" t="0" r="0" b="0"/>
                      <wp:wrapNone/>
                      <wp:docPr id="630" name="Group 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31" name="Graphic 631"/>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6EFC0B1" id="Group 630" o:spid="_x0000_s1026" style="position:absolute;margin-left:72.9pt;margin-top:27.55pt;width:105.9pt;height:.5pt;z-index:-27180032;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">
                      <v:shape id="Graphic 631"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" path="m1344929,l,,,6108r1344929,l1344929,xe" fillcolor="black" stroked="f">
                        <v:path arrowok="t"/>
                      </v:shape>
                    </v:group>
                  </w:pict>
                </mc:Fallback>
              </mc:AlternateContent>
            </w:r>
            <w:r>
              <w:rPr>
                <w:noProof/>
                <w:sz w:val="2"/>
              </w:rPr>
              <mc:AlternateContent>
                <mc:Choice Requires="wpg">
                  <w:drawing>
                    <wp:inline distT="0" distB="0" distL="0" distR="0" wp14:anchorId="0DFDD655" wp14:editId="0DFDD656">
                      <wp:extent cx="1344930" cy="6350"/>
                      <wp:effectExtent l="0" t="0" r="0" b="0"/>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33" name="Graphic 633"/>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B977B71" id="Group 632" o:spid="_x0000_s1026" style="width:105.9pt;height:.5pt;mso-position-horizontal-relative:char;mso-position-vertical-relative:line"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">
                      <v:shape id="Graphic 633"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" path="m1344929,l,,,6108r1344929,l1344929,xe" fillcolor="black" stroked="f">
                        <v:path arrowok="t"/>
                      </v:shape>
                      <w10:anchorlock/>
                    </v:group>
                  </w:pict>
                </mc:Fallback>
              </mc:AlternateContent>
            </w:r>
          </w:p>
          <w:p w14:paraId="0DFDB944" w14:textId="77777777" w:rsidR="00046465" w:rsidRDefault="008134EB">
            <w:pPr>
              <w:pStyle w:val="TableParagraph"/>
              <w:spacing w:before="133"/>
              <w:ind w:left="36"/>
            </w:pPr>
            <w:r>
              <w:t>Reviewed</w:t>
            </w:r>
            <w:r>
              <w:rPr>
                <w:spacing w:val="-12"/>
              </w:rPr>
              <w:t xml:space="preserve"> </w:t>
            </w:r>
            <w:r>
              <w:rPr>
                <w:spacing w:val="-5"/>
              </w:rPr>
              <w:t>by:</w:t>
            </w:r>
          </w:p>
        </w:tc>
      </w:tr>
      <w:tr w:rsidR="00046465" w14:paraId="0DFDB950" w14:textId="77777777">
        <w:trPr>
          <w:trHeight w:val="793"/>
        </w:trPr>
        <w:tc>
          <w:tcPr>
            <w:tcW w:w="3943" w:type="dxa"/>
            <w:tcBorders>
              <w:right w:val="single" w:sz="4" w:space="0" w:color="000000"/>
            </w:tcBorders>
          </w:tcPr>
          <w:p w14:paraId="0DFDB946" w14:textId="77777777" w:rsidR="00046465" w:rsidRDefault="00046465">
            <w:pPr>
              <w:pStyle w:val="TableParagraph"/>
              <w:spacing w:before="143"/>
            </w:pPr>
          </w:p>
          <w:p w14:paraId="0DFDB947" w14:textId="77777777" w:rsidR="00046465" w:rsidRDefault="008134EB">
            <w:pPr>
              <w:pStyle w:val="TableParagraph"/>
              <w:ind w:left="97"/>
            </w:pPr>
            <w:r>
              <w:t>Provision</w:t>
            </w:r>
            <w:r>
              <w:rPr>
                <w:spacing w:val="-11"/>
              </w:rPr>
              <w:t xml:space="preserve"> </w:t>
            </w:r>
            <w:r>
              <w:rPr>
                <w:spacing w:val="-2"/>
              </w:rPr>
              <w:t>Description</w:t>
            </w:r>
          </w:p>
        </w:tc>
        <w:tc>
          <w:tcPr>
            <w:tcW w:w="1791" w:type="dxa"/>
            <w:tcBorders>
              <w:left w:val="single" w:sz="4" w:space="0" w:color="000000"/>
              <w:right w:val="single" w:sz="4" w:space="0" w:color="000000"/>
            </w:tcBorders>
          </w:tcPr>
          <w:p w14:paraId="0DFDB948" w14:textId="77777777" w:rsidR="00046465" w:rsidRDefault="00046465">
            <w:pPr>
              <w:pStyle w:val="TableParagraph"/>
              <w:spacing w:before="143"/>
            </w:pPr>
          </w:p>
          <w:p w14:paraId="0DFDB949" w14:textId="77777777" w:rsidR="00046465" w:rsidRDefault="008134EB">
            <w:pPr>
              <w:pStyle w:val="TableParagraph"/>
              <w:ind w:left="107"/>
            </w:pPr>
            <w:r>
              <w:rPr>
                <w:spacing w:val="-2"/>
              </w:rPr>
              <w:t>Objective</w:t>
            </w:r>
          </w:p>
        </w:tc>
        <w:tc>
          <w:tcPr>
            <w:tcW w:w="2231" w:type="dxa"/>
            <w:tcBorders>
              <w:left w:val="single" w:sz="4" w:space="0" w:color="000000"/>
              <w:right w:val="single" w:sz="4" w:space="0" w:color="000000"/>
            </w:tcBorders>
          </w:tcPr>
          <w:p w14:paraId="0DFDB94A" w14:textId="77777777" w:rsidR="00046465" w:rsidRDefault="00046465">
            <w:pPr>
              <w:pStyle w:val="TableParagraph"/>
              <w:spacing w:before="143"/>
            </w:pPr>
          </w:p>
          <w:p w14:paraId="0DFDB94B" w14:textId="77777777" w:rsidR="00046465" w:rsidRDefault="008134EB">
            <w:pPr>
              <w:pStyle w:val="TableParagraph"/>
              <w:ind w:left="108"/>
            </w:pPr>
            <w:r>
              <w:t>Control</w:t>
            </w:r>
            <w:r>
              <w:rPr>
                <w:spacing w:val="-9"/>
              </w:rPr>
              <w:t xml:space="preserve"> </w:t>
            </w:r>
            <w:r>
              <w:rPr>
                <w:spacing w:val="-2"/>
              </w:rPr>
              <w:t>Activities</w:t>
            </w:r>
          </w:p>
        </w:tc>
        <w:tc>
          <w:tcPr>
            <w:tcW w:w="1524" w:type="dxa"/>
            <w:tcBorders>
              <w:left w:val="single" w:sz="4" w:space="0" w:color="000000"/>
              <w:right w:val="single" w:sz="4" w:space="0" w:color="000000"/>
            </w:tcBorders>
          </w:tcPr>
          <w:p w14:paraId="0DFDB94C" w14:textId="77777777" w:rsidR="00046465" w:rsidRDefault="00046465">
            <w:pPr>
              <w:pStyle w:val="TableParagraph"/>
              <w:spacing w:before="143"/>
            </w:pPr>
          </w:p>
          <w:p w14:paraId="0DFDB94D" w14:textId="77777777" w:rsidR="00046465" w:rsidRDefault="008134EB">
            <w:pPr>
              <w:pStyle w:val="TableParagraph"/>
              <w:ind w:left="109"/>
            </w:pPr>
            <w:r>
              <w:t>IS</w:t>
            </w:r>
            <w:r>
              <w:rPr>
                <w:spacing w:val="-3"/>
              </w:rPr>
              <w:t xml:space="preserve"> </w:t>
            </w:r>
            <w:r>
              <w:rPr>
                <w:spacing w:val="-2"/>
              </w:rPr>
              <w:t>(Y/N)</w:t>
            </w:r>
          </w:p>
        </w:tc>
        <w:tc>
          <w:tcPr>
            <w:tcW w:w="1496" w:type="dxa"/>
            <w:tcBorders>
              <w:left w:val="single" w:sz="4" w:space="0" w:color="000000"/>
              <w:right w:val="single" w:sz="4" w:space="0" w:color="000000"/>
            </w:tcBorders>
          </w:tcPr>
          <w:p w14:paraId="0DFDB94E" w14:textId="77777777" w:rsidR="00046465" w:rsidRDefault="008134EB">
            <w:pPr>
              <w:pStyle w:val="TableParagraph"/>
              <w:spacing w:before="143"/>
              <w:ind w:left="110"/>
            </w:pPr>
            <w:r>
              <w:rPr>
                <w:spacing w:val="-2"/>
              </w:rPr>
              <w:t>Effective controls?</w:t>
            </w:r>
          </w:p>
        </w:tc>
        <w:tc>
          <w:tcPr>
            <w:tcW w:w="2185" w:type="dxa"/>
            <w:tcBorders>
              <w:left w:val="single" w:sz="4" w:space="0" w:color="000000"/>
            </w:tcBorders>
          </w:tcPr>
          <w:p w14:paraId="0DFDB94F" w14:textId="77777777" w:rsidR="00046465" w:rsidRDefault="008134EB">
            <w:pPr>
              <w:pStyle w:val="TableParagraph"/>
              <w:spacing w:before="143"/>
              <w:ind w:left="111" w:right="2"/>
            </w:pPr>
            <w:r>
              <w:t xml:space="preserve">Instances of </w:t>
            </w:r>
            <w:r>
              <w:rPr>
                <w:spacing w:val="-2"/>
              </w:rPr>
              <w:t>noncompliance?</w:t>
            </w:r>
          </w:p>
        </w:tc>
      </w:tr>
      <w:tr w:rsidR="00046465" w14:paraId="0DFDB95D" w14:textId="77777777">
        <w:trPr>
          <w:trHeight w:val="3475"/>
        </w:trPr>
        <w:tc>
          <w:tcPr>
            <w:tcW w:w="3943" w:type="dxa"/>
            <w:tcBorders>
              <w:right w:val="single" w:sz="4" w:space="0" w:color="000000"/>
            </w:tcBorders>
          </w:tcPr>
          <w:p w14:paraId="0DFDB951" w14:textId="77777777" w:rsidR="00046465" w:rsidRDefault="008134EB">
            <w:pPr>
              <w:pStyle w:val="TableParagraph"/>
              <w:spacing w:before="143"/>
              <w:ind w:left="817" w:right="140" w:hanging="720"/>
              <w:rPr>
                <w:sz w:val="18"/>
              </w:rPr>
            </w:pPr>
            <w:r>
              <w:rPr>
                <w:smallCaps/>
                <w:sz w:val="18"/>
              </w:rPr>
              <w:t>805.04.</w:t>
            </w:r>
            <w:r>
              <w:rPr>
                <w:smallCaps/>
                <w:spacing w:val="-1"/>
                <w:sz w:val="18"/>
              </w:rPr>
              <w:t xml:space="preserve"> </w:t>
            </w:r>
            <w:r>
              <w:rPr>
                <w:smallCaps/>
                <w:spacing w:val="19"/>
                <w:sz w:val="18"/>
              </w:rPr>
              <w:t xml:space="preserve"> </w:t>
            </w:r>
            <w:r>
              <w:rPr>
                <w:smallCaps/>
                <w:sz w:val="18"/>
              </w:rPr>
              <w:t>Administrative</w:t>
            </w:r>
            <w:r>
              <w:rPr>
                <w:smallCaps/>
                <w:spacing w:val="-2"/>
                <w:sz w:val="18"/>
              </w:rPr>
              <w:t xml:space="preserve"> </w:t>
            </w:r>
            <w:r>
              <w:rPr>
                <w:smallCaps/>
                <w:sz w:val="18"/>
              </w:rPr>
              <w:t>Offset:</w:t>
            </w:r>
            <w:r>
              <w:rPr>
                <w:smallCaps/>
                <w:spacing w:val="-12"/>
                <w:sz w:val="18"/>
              </w:rPr>
              <w:t xml:space="preserve"> </w:t>
            </w:r>
            <w:r>
              <w:rPr>
                <w:smallCaps/>
                <w:sz w:val="18"/>
              </w:rPr>
              <w:t>Treasury</w:t>
            </w:r>
            <w:r>
              <w:rPr>
                <w:smallCaps/>
                <w:spacing w:val="40"/>
                <w:sz w:val="18"/>
              </w:rPr>
              <w:t xml:space="preserve"> </w:t>
            </w:r>
            <w:r>
              <w:rPr>
                <w:smallCaps/>
                <w:sz w:val="18"/>
              </w:rPr>
              <w:t>Notification and Referral of</w:t>
            </w:r>
            <w:r>
              <w:rPr>
                <w:smallCaps/>
                <w:spacing w:val="40"/>
                <w:sz w:val="18"/>
              </w:rPr>
              <w:t xml:space="preserve"> </w:t>
            </w:r>
            <w:r>
              <w:rPr>
                <w:smallCaps/>
                <w:spacing w:val="-2"/>
                <w:sz w:val="18"/>
              </w:rPr>
              <w:t>Claims.</w:t>
            </w:r>
          </w:p>
          <w:p w14:paraId="0DFDB952" w14:textId="77777777" w:rsidR="00046465" w:rsidRDefault="008134EB">
            <w:pPr>
              <w:pStyle w:val="TableParagraph"/>
              <w:spacing w:before="146"/>
              <w:ind w:left="97"/>
              <w:rPr>
                <w:sz w:val="18"/>
              </w:rPr>
            </w:pPr>
            <w:r>
              <w:rPr>
                <w:sz w:val="18"/>
              </w:rPr>
              <w:t>Provision</w:t>
            </w:r>
            <w:r>
              <w:rPr>
                <w:spacing w:val="-10"/>
                <w:sz w:val="18"/>
              </w:rPr>
              <w:t xml:space="preserve"> </w:t>
            </w:r>
            <w:r>
              <w:rPr>
                <w:sz w:val="18"/>
              </w:rPr>
              <w:t>Type:</w:t>
            </w:r>
            <w:r>
              <w:rPr>
                <w:spacing w:val="-9"/>
                <w:sz w:val="18"/>
              </w:rPr>
              <w:t xml:space="preserve"> </w:t>
            </w:r>
            <w:r>
              <w:rPr>
                <w:sz w:val="18"/>
              </w:rPr>
              <w:t>Procedural-</w:t>
            </w:r>
            <w:r>
              <w:rPr>
                <w:spacing w:val="-2"/>
                <w:sz w:val="18"/>
              </w:rPr>
              <w:t>based.</w:t>
            </w:r>
          </w:p>
          <w:p w14:paraId="0DFDB953" w14:textId="77777777" w:rsidR="00046465" w:rsidRDefault="008134EB">
            <w:pPr>
              <w:pStyle w:val="TableParagraph"/>
              <w:spacing w:before="142"/>
              <w:ind w:left="97" w:right="92"/>
              <w:rPr>
                <w:sz w:val="18"/>
              </w:rPr>
            </w:pPr>
            <w:r>
              <w:rPr>
                <w:sz w:val="18"/>
              </w:rPr>
              <w:t>In general, if the entity is owed a valid and legally enforceable, nontax debt delinquent over 120 days, and there are no bars to collection, then the entity shall notify Treasury about the debt for administrative offset; and refer the debt to Treasury or a Treasury-designated</w:t>
            </w:r>
            <w:r>
              <w:rPr>
                <w:spacing w:val="-9"/>
                <w:sz w:val="18"/>
              </w:rPr>
              <w:t xml:space="preserve"> </w:t>
            </w:r>
            <w:r>
              <w:rPr>
                <w:sz w:val="18"/>
              </w:rPr>
              <w:t>debt</w:t>
            </w:r>
            <w:r>
              <w:rPr>
                <w:spacing w:val="-8"/>
                <w:sz w:val="18"/>
              </w:rPr>
              <w:t xml:space="preserve"> </w:t>
            </w:r>
            <w:r>
              <w:rPr>
                <w:sz w:val="18"/>
              </w:rPr>
              <w:t>collection</w:t>
            </w:r>
            <w:r>
              <w:rPr>
                <w:spacing w:val="-9"/>
                <w:sz w:val="18"/>
              </w:rPr>
              <w:t xml:space="preserve"> </w:t>
            </w:r>
            <w:r>
              <w:rPr>
                <w:sz w:val="18"/>
              </w:rPr>
              <w:t>center</w:t>
            </w:r>
            <w:r>
              <w:rPr>
                <w:spacing w:val="-8"/>
                <w:sz w:val="18"/>
              </w:rPr>
              <w:t xml:space="preserve"> </w:t>
            </w:r>
            <w:r>
              <w:rPr>
                <w:sz w:val="18"/>
              </w:rPr>
              <w:t>for</w:t>
            </w:r>
            <w:r>
              <w:rPr>
                <w:spacing w:val="-8"/>
                <w:sz w:val="18"/>
              </w:rPr>
              <w:t xml:space="preserve"> </w:t>
            </w:r>
            <w:r>
              <w:rPr>
                <w:sz w:val="18"/>
              </w:rPr>
              <w:t>collection action.</w:t>
            </w:r>
            <w:hyperlink w:anchor="_bookmark99" w:history="1">
              <w:r>
                <w:rPr>
                  <w:position w:val="6"/>
                  <w:sz w:val="12"/>
                </w:rPr>
                <w:t>34</w:t>
              </w:r>
            </w:hyperlink>
            <w:r>
              <w:rPr>
                <w:position w:val="6"/>
                <w:sz w:val="12"/>
              </w:rPr>
              <w:t>,</w:t>
            </w:r>
            <w:r>
              <w:rPr>
                <w:spacing w:val="-15"/>
                <w:position w:val="6"/>
                <w:sz w:val="12"/>
              </w:rPr>
              <w:t xml:space="preserve"> </w:t>
            </w:r>
            <w:hyperlink w:anchor="_bookmark100" w:history="1">
              <w:r>
                <w:rPr>
                  <w:position w:val="6"/>
                  <w:sz w:val="12"/>
                </w:rPr>
                <w:t>35</w:t>
              </w:r>
            </w:hyperlink>
            <w:r>
              <w:rPr>
                <w:position w:val="6"/>
                <w:sz w:val="12"/>
              </w:rPr>
              <w:t>,</w:t>
            </w:r>
            <w:hyperlink w:anchor="_bookmark102" w:history="1">
              <w:r>
                <w:rPr>
                  <w:position w:val="6"/>
                  <w:sz w:val="12"/>
                </w:rPr>
                <w:t>36</w:t>
              </w:r>
            </w:hyperlink>
            <w:r>
              <w:rPr>
                <w:position w:val="6"/>
                <w:sz w:val="12"/>
              </w:rPr>
              <w:t>,</w:t>
            </w:r>
            <w:hyperlink w:anchor="_bookmark103" w:history="1">
              <w:r>
                <w:rPr>
                  <w:position w:val="6"/>
                  <w:sz w:val="12"/>
                </w:rPr>
                <w:t>37</w:t>
              </w:r>
            </w:hyperlink>
            <w:r>
              <w:rPr>
                <w:position w:val="6"/>
                <w:sz w:val="12"/>
              </w:rPr>
              <w:t>,</w:t>
            </w:r>
            <w:r>
              <w:rPr>
                <w:spacing w:val="-15"/>
                <w:position w:val="6"/>
                <w:sz w:val="12"/>
              </w:rPr>
              <w:t xml:space="preserve"> </w:t>
            </w:r>
            <w:hyperlink w:anchor="_bookmark101" w:history="1">
              <w:r>
                <w:rPr>
                  <w:position w:val="6"/>
                  <w:sz w:val="12"/>
                </w:rPr>
                <w:t>38</w:t>
              </w:r>
            </w:hyperlink>
            <w:r>
              <w:rPr>
                <w:position w:val="6"/>
                <w:sz w:val="12"/>
              </w:rPr>
              <w:t>,</w:t>
            </w:r>
            <w:hyperlink w:anchor="_bookmark104" w:history="1">
              <w:r>
                <w:rPr>
                  <w:position w:val="6"/>
                  <w:sz w:val="12"/>
                </w:rPr>
                <w:t>39</w:t>
              </w:r>
            </w:hyperlink>
            <w:r>
              <w:rPr>
                <w:spacing w:val="40"/>
                <w:position w:val="6"/>
                <w:sz w:val="12"/>
              </w:rPr>
              <w:t xml:space="preserve"> </w:t>
            </w:r>
            <w:r>
              <w:rPr>
                <w:sz w:val="18"/>
              </w:rPr>
              <w:t>31 U.S.C. § 3711(g)(1),</w:t>
            </w:r>
          </w:p>
          <w:p w14:paraId="0DFDB954" w14:textId="77777777" w:rsidR="00046465" w:rsidRDefault="008134EB">
            <w:pPr>
              <w:pStyle w:val="TableParagraph"/>
              <w:spacing w:line="204" w:lineRule="exact"/>
              <w:ind w:left="97"/>
              <w:rPr>
                <w:sz w:val="18"/>
              </w:rPr>
            </w:pPr>
            <w:r>
              <w:rPr>
                <w:sz w:val="18"/>
              </w:rPr>
              <w:t>31</w:t>
            </w:r>
            <w:r>
              <w:rPr>
                <w:spacing w:val="-6"/>
                <w:sz w:val="18"/>
              </w:rPr>
              <w:t xml:space="preserve"> </w:t>
            </w:r>
            <w:r>
              <w:rPr>
                <w:sz w:val="18"/>
              </w:rPr>
              <w:t>U.S.C.</w:t>
            </w:r>
            <w:r>
              <w:rPr>
                <w:spacing w:val="-2"/>
                <w:sz w:val="18"/>
              </w:rPr>
              <w:t xml:space="preserve"> </w:t>
            </w:r>
            <w:r>
              <w:rPr>
                <w:sz w:val="18"/>
              </w:rPr>
              <w:t>§</w:t>
            </w:r>
            <w:r>
              <w:rPr>
                <w:spacing w:val="-3"/>
                <w:sz w:val="18"/>
              </w:rPr>
              <w:t xml:space="preserve"> </w:t>
            </w:r>
            <w:r>
              <w:rPr>
                <w:sz w:val="18"/>
              </w:rPr>
              <w:t>3716(c)(6)(A),</w:t>
            </w:r>
            <w:r>
              <w:rPr>
                <w:spacing w:val="-2"/>
                <w:sz w:val="18"/>
              </w:rPr>
              <w:t xml:space="preserve"> </w:t>
            </w:r>
            <w:r>
              <w:rPr>
                <w:sz w:val="18"/>
              </w:rPr>
              <w:t>and</w:t>
            </w:r>
            <w:r>
              <w:rPr>
                <w:spacing w:val="-3"/>
                <w:sz w:val="18"/>
              </w:rPr>
              <w:t xml:space="preserve"> </w:t>
            </w:r>
            <w:r>
              <w:rPr>
                <w:sz w:val="18"/>
              </w:rPr>
              <w:t>31</w:t>
            </w:r>
            <w:r>
              <w:rPr>
                <w:spacing w:val="-3"/>
                <w:sz w:val="18"/>
              </w:rPr>
              <w:t xml:space="preserve"> </w:t>
            </w:r>
            <w:r>
              <w:rPr>
                <w:sz w:val="18"/>
              </w:rPr>
              <w:t>C.F.R.</w:t>
            </w:r>
            <w:r>
              <w:rPr>
                <w:spacing w:val="-2"/>
                <w:sz w:val="18"/>
              </w:rPr>
              <w:t xml:space="preserve"> </w:t>
            </w:r>
            <w:r>
              <w:rPr>
                <w:spacing w:val="-10"/>
                <w:sz w:val="18"/>
              </w:rPr>
              <w:t>§</w:t>
            </w:r>
          </w:p>
          <w:p w14:paraId="0DFDB955" w14:textId="77777777" w:rsidR="00046465" w:rsidRDefault="008134EB">
            <w:pPr>
              <w:pStyle w:val="TableParagraph"/>
              <w:spacing w:before="2"/>
              <w:ind w:left="97"/>
              <w:rPr>
                <w:sz w:val="18"/>
              </w:rPr>
            </w:pPr>
            <w:r>
              <w:rPr>
                <w:spacing w:val="-2"/>
                <w:sz w:val="18"/>
              </w:rPr>
              <w:t>285.12(g).</w:t>
            </w:r>
          </w:p>
        </w:tc>
        <w:tc>
          <w:tcPr>
            <w:tcW w:w="1791" w:type="dxa"/>
            <w:tcBorders>
              <w:left w:val="single" w:sz="4" w:space="0" w:color="000000"/>
              <w:right w:val="single" w:sz="4" w:space="0" w:color="000000"/>
            </w:tcBorders>
          </w:tcPr>
          <w:p w14:paraId="0DFDB956" w14:textId="77777777" w:rsidR="00046465" w:rsidRDefault="008134EB">
            <w:pPr>
              <w:pStyle w:val="TableParagraph"/>
              <w:spacing w:before="144"/>
              <w:ind w:left="108" w:right="170"/>
              <w:rPr>
                <w:sz w:val="18"/>
              </w:rPr>
            </w:pPr>
            <w:r>
              <w:rPr>
                <w:sz w:val="18"/>
              </w:rPr>
              <w:t>When</w:t>
            </w:r>
            <w:r>
              <w:rPr>
                <w:spacing w:val="-15"/>
                <w:sz w:val="18"/>
              </w:rPr>
              <w:t xml:space="preserve"> </w:t>
            </w:r>
            <w:r>
              <w:rPr>
                <w:sz w:val="18"/>
              </w:rPr>
              <w:t>nontax</w:t>
            </w:r>
            <w:r>
              <w:rPr>
                <w:spacing w:val="-12"/>
                <w:sz w:val="18"/>
              </w:rPr>
              <w:t xml:space="preserve"> </w:t>
            </w:r>
            <w:r>
              <w:rPr>
                <w:sz w:val="18"/>
              </w:rPr>
              <w:t xml:space="preserve">debt </w:t>
            </w:r>
            <w:r>
              <w:rPr>
                <w:spacing w:val="-2"/>
                <w:sz w:val="18"/>
              </w:rPr>
              <w:t xml:space="preserve">becomes </w:t>
            </w:r>
            <w:r>
              <w:rPr>
                <w:sz w:val="18"/>
              </w:rPr>
              <w:t xml:space="preserve">delinquent over 120 days, it is referred to Treasury for </w:t>
            </w:r>
            <w:r>
              <w:rPr>
                <w:spacing w:val="-2"/>
                <w:sz w:val="18"/>
              </w:rPr>
              <w:t xml:space="preserve">administrative </w:t>
            </w:r>
            <w:r>
              <w:rPr>
                <w:sz w:val="18"/>
              </w:rPr>
              <w:t>offset and collection. (See footnotes 33</w:t>
            </w:r>
          </w:p>
          <w:p w14:paraId="0DFDB957" w14:textId="77777777" w:rsidR="00046465" w:rsidRDefault="008134EB">
            <w:pPr>
              <w:pStyle w:val="TableParagraph"/>
              <w:spacing w:before="1"/>
              <w:ind w:left="108"/>
              <w:rPr>
                <w:sz w:val="18"/>
              </w:rPr>
            </w:pPr>
            <w:r>
              <w:rPr>
                <w:sz w:val="18"/>
              </w:rPr>
              <w:t>through</w:t>
            </w:r>
            <w:r>
              <w:rPr>
                <w:spacing w:val="-3"/>
                <w:sz w:val="18"/>
              </w:rPr>
              <w:t xml:space="preserve"> </w:t>
            </w:r>
            <w:r>
              <w:rPr>
                <w:sz w:val="18"/>
              </w:rPr>
              <w:t>38</w:t>
            </w:r>
            <w:r>
              <w:rPr>
                <w:spacing w:val="-3"/>
                <w:sz w:val="18"/>
              </w:rPr>
              <w:t xml:space="preserve"> </w:t>
            </w:r>
            <w:r>
              <w:rPr>
                <w:spacing w:val="-2"/>
                <w:sz w:val="18"/>
              </w:rPr>
              <w:t>below.)</w:t>
            </w:r>
          </w:p>
        </w:tc>
        <w:tc>
          <w:tcPr>
            <w:tcW w:w="2231" w:type="dxa"/>
            <w:tcBorders>
              <w:left w:val="single" w:sz="4" w:space="0" w:color="000000"/>
              <w:right w:val="single" w:sz="4" w:space="0" w:color="000000"/>
            </w:tcBorders>
          </w:tcPr>
          <w:p w14:paraId="0DFDB958" w14:textId="77777777" w:rsidR="00046465" w:rsidRDefault="00046465">
            <w:pPr>
              <w:pStyle w:val="TableParagraph"/>
              <w:rPr>
                <w:rFonts w:ascii="Times New Roman"/>
                <w:sz w:val="18"/>
              </w:rPr>
            </w:pPr>
          </w:p>
        </w:tc>
        <w:tc>
          <w:tcPr>
            <w:tcW w:w="1524" w:type="dxa"/>
            <w:tcBorders>
              <w:left w:val="single" w:sz="4" w:space="0" w:color="000000"/>
              <w:right w:val="single" w:sz="4" w:space="0" w:color="000000"/>
            </w:tcBorders>
          </w:tcPr>
          <w:p w14:paraId="0DFDB959" w14:textId="77777777" w:rsidR="00046465" w:rsidRDefault="00046465">
            <w:pPr>
              <w:pStyle w:val="TableParagraph"/>
              <w:rPr>
                <w:rFonts w:ascii="Times New Roman"/>
                <w:sz w:val="18"/>
              </w:rPr>
            </w:pPr>
          </w:p>
        </w:tc>
        <w:tc>
          <w:tcPr>
            <w:tcW w:w="1496" w:type="dxa"/>
            <w:tcBorders>
              <w:left w:val="single" w:sz="4" w:space="0" w:color="000000"/>
              <w:right w:val="single" w:sz="4" w:space="0" w:color="000000"/>
            </w:tcBorders>
          </w:tcPr>
          <w:p w14:paraId="0DFDB95A" w14:textId="77777777" w:rsidR="00046465" w:rsidRDefault="00046465">
            <w:pPr>
              <w:pStyle w:val="TableParagraph"/>
              <w:rPr>
                <w:rFonts w:ascii="Times New Roman"/>
                <w:sz w:val="18"/>
              </w:rPr>
            </w:pPr>
          </w:p>
        </w:tc>
        <w:tc>
          <w:tcPr>
            <w:tcW w:w="2185" w:type="dxa"/>
            <w:tcBorders>
              <w:left w:val="single" w:sz="4" w:space="0" w:color="000000"/>
            </w:tcBorders>
          </w:tcPr>
          <w:p w14:paraId="0DFDB95B" w14:textId="77777777" w:rsidR="00046465" w:rsidRDefault="008134EB">
            <w:pPr>
              <w:pStyle w:val="TableParagraph"/>
              <w:spacing w:before="143"/>
              <w:ind w:left="111" w:right="2"/>
              <w:rPr>
                <w:sz w:val="18"/>
              </w:rPr>
            </w:pPr>
            <w:r>
              <w:rPr>
                <w:sz w:val="18"/>
              </w:rPr>
              <w:t>See</w:t>
            </w:r>
            <w:r>
              <w:rPr>
                <w:spacing w:val="-15"/>
                <w:sz w:val="18"/>
              </w:rPr>
              <w:t xml:space="preserve"> </w:t>
            </w:r>
            <w:r>
              <w:rPr>
                <w:sz w:val="18"/>
              </w:rPr>
              <w:t>Compliance</w:t>
            </w:r>
            <w:r>
              <w:rPr>
                <w:spacing w:val="-12"/>
                <w:sz w:val="18"/>
              </w:rPr>
              <w:t xml:space="preserve"> </w:t>
            </w:r>
            <w:r>
              <w:rPr>
                <w:sz w:val="18"/>
              </w:rPr>
              <w:t>Audit Procedures,</w:t>
            </w:r>
            <w:r>
              <w:rPr>
                <w:spacing w:val="-4"/>
                <w:sz w:val="18"/>
              </w:rPr>
              <w:t xml:space="preserve"> </w:t>
            </w:r>
            <w:r>
              <w:rPr>
                <w:sz w:val="18"/>
              </w:rPr>
              <w:t>FAM</w:t>
            </w:r>
            <w:r>
              <w:rPr>
                <w:spacing w:val="-3"/>
                <w:sz w:val="18"/>
              </w:rPr>
              <w:t xml:space="preserve"> </w:t>
            </w:r>
            <w:r>
              <w:rPr>
                <w:spacing w:val="-5"/>
                <w:sz w:val="18"/>
              </w:rPr>
              <w:t>805</w:t>
            </w:r>
          </w:p>
          <w:p w14:paraId="0DFDB95C" w14:textId="77777777" w:rsidR="00046465" w:rsidRDefault="008134EB">
            <w:pPr>
              <w:pStyle w:val="TableParagraph"/>
              <w:spacing w:before="1"/>
              <w:ind w:left="111"/>
              <w:rPr>
                <w:sz w:val="18"/>
              </w:rPr>
            </w:pPr>
            <w:r>
              <w:rPr>
                <w:sz w:val="18"/>
              </w:rPr>
              <w:t>step</w:t>
            </w:r>
            <w:r>
              <w:rPr>
                <w:spacing w:val="-2"/>
                <w:sz w:val="18"/>
              </w:rPr>
              <w:t xml:space="preserve"> </w:t>
            </w:r>
            <w:r>
              <w:rPr>
                <w:sz w:val="18"/>
              </w:rPr>
              <w:t>5</w:t>
            </w:r>
            <w:r>
              <w:rPr>
                <w:spacing w:val="-1"/>
                <w:sz w:val="18"/>
              </w:rPr>
              <w:t xml:space="preserve"> </w:t>
            </w:r>
            <w:r>
              <w:rPr>
                <w:spacing w:val="-4"/>
                <w:sz w:val="18"/>
              </w:rPr>
              <w:t>(b).</w:t>
            </w:r>
          </w:p>
        </w:tc>
      </w:tr>
    </w:tbl>
    <w:p w14:paraId="0DFDB95E" w14:textId="77777777" w:rsidR="00046465" w:rsidRDefault="008134EB">
      <w:pPr>
        <w:pStyle w:val="BodyText"/>
        <w:spacing w:before="134"/>
        <w:rPr>
          <w:sz w:val="20"/>
        </w:rPr>
      </w:pPr>
      <w:r>
        <w:rPr>
          <w:noProof/>
          <w:sz w:val="20"/>
        </w:rPr>
        <mc:AlternateContent>
          <mc:Choice Requires="wps">
            <w:drawing>
              <wp:anchor distT="0" distB="0" distL="0" distR="0" simplePos="0" relativeHeight="487669760" behindDoc="1" locked="0" layoutInCell="1" allowOverlap="1" wp14:anchorId="0DFDD657" wp14:editId="0DFDD658">
                <wp:simplePos x="0" y="0"/>
                <wp:positionH relativeFrom="page">
                  <wp:posOffset>685800</wp:posOffset>
                </wp:positionH>
                <wp:positionV relativeFrom="paragraph">
                  <wp:posOffset>246634</wp:posOffset>
                </wp:positionV>
                <wp:extent cx="1828800" cy="6985"/>
                <wp:effectExtent l="0" t="0" r="0" b="0"/>
                <wp:wrapTopAndBottom/>
                <wp:docPr id="634" name="Graphic 6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529D56" id="Graphic 634" o:spid="_x0000_s1026" style="position:absolute;margin-left:54pt;margin-top:19.4pt;width:2in;height:.55pt;z-index:-156467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" path="m1828800,l,,,6857r1828800,l1828800,xe" fillcolor="black" stroked="f">
                <v:path arrowok="t"/>
                <w10:wrap type="topAndBottom" anchorx="page"/>
              </v:shape>
            </w:pict>
          </mc:Fallback>
        </mc:AlternateContent>
      </w:r>
    </w:p>
    <w:p w14:paraId="0DFDB95F" w14:textId="77777777" w:rsidR="00046465" w:rsidRDefault="00046465">
      <w:pPr>
        <w:pStyle w:val="BodyText"/>
        <w:spacing w:before="10"/>
        <w:rPr>
          <w:sz w:val="18"/>
        </w:rPr>
      </w:pPr>
    </w:p>
    <w:p w14:paraId="0DFDB960" w14:textId="77777777" w:rsidR="00046465" w:rsidRDefault="008134EB">
      <w:pPr>
        <w:spacing w:line="249" w:lineRule="auto"/>
        <w:ind w:left="359"/>
        <w:rPr>
          <w:sz w:val="18"/>
        </w:rPr>
      </w:pPr>
      <w:r>
        <w:rPr>
          <w:position w:val="7"/>
          <w:sz w:val="14"/>
        </w:rPr>
        <w:t>34</w:t>
      </w:r>
      <w:r>
        <w:rPr>
          <w:sz w:val="18"/>
        </w:rPr>
        <w:t>Before</w:t>
      </w:r>
      <w:r>
        <w:rPr>
          <w:spacing w:val="-3"/>
          <w:sz w:val="18"/>
        </w:rPr>
        <w:t xml:space="preserve"> </w:t>
      </w:r>
      <w:r>
        <w:rPr>
          <w:sz w:val="18"/>
        </w:rPr>
        <w:t>discharging</w:t>
      </w:r>
      <w:r>
        <w:rPr>
          <w:spacing w:val="-3"/>
          <w:sz w:val="18"/>
        </w:rPr>
        <w:t xml:space="preserve"> </w:t>
      </w:r>
      <w:r>
        <w:rPr>
          <w:sz w:val="18"/>
        </w:rPr>
        <w:t>debt</w:t>
      </w:r>
      <w:r>
        <w:rPr>
          <w:spacing w:val="-2"/>
          <w:sz w:val="18"/>
        </w:rPr>
        <w:t xml:space="preserve"> </w:t>
      </w:r>
      <w:r>
        <w:rPr>
          <w:sz w:val="18"/>
        </w:rPr>
        <w:t>owed</w:t>
      </w:r>
      <w:r>
        <w:rPr>
          <w:spacing w:val="-1"/>
          <w:sz w:val="18"/>
        </w:rPr>
        <w:t xml:space="preserve"> </w:t>
      </w:r>
      <w:r>
        <w:rPr>
          <w:sz w:val="18"/>
        </w:rPr>
        <w:t>to</w:t>
      </w:r>
      <w:r>
        <w:rPr>
          <w:spacing w:val="-3"/>
          <w:sz w:val="18"/>
        </w:rPr>
        <w:t xml:space="preserve"> </w:t>
      </w:r>
      <w:r>
        <w:rPr>
          <w:sz w:val="18"/>
        </w:rPr>
        <w:t>the</w:t>
      </w:r>
      <w:r>
        <w:rPr>
          <w:spacing w:val="-3"/>
          <w:sz w:val="18"/>
        </w:rPr>
        <w:t xml:space="preserve"> </w:t>
      </w:r>
      <w:r>
        <w:rPr>
          <w:sz w:val="18"/>
        </w:rPr>
        <w:t>entity,</w:t>
      </w:r>
      <w:r>
        <w:rPr>
          <w:spacing w:val="-2"/>
          <w:sz w:val="18"/>
        </w:rPr>
        <w:t xml:space="preserve"> </w:t>
      </w:r>
      <w:r>
        <w:rPr>
          <w:sz w:val="18"/>
        </w:rPr>
        <w:t>the</w:t>
      </w:r>
      <w:r>
        <w:rPr>
          <w:spacing w:val="-3"/>
          <w:sz w:val="18"/>
        </w:rPr>
        <w:t xml:space="preserve"> </w:t>
      </w:r>
      <w:r>
        <w:rPr>
          <w:sz w:val="18"/>
        </w:rPr>
        <w:t>entity</w:t>
      </w:r>
      <w:r>
        <w:rPr>
          <w:spacing w:val="-2"/>
          <w:sz w:val="18"/>
        </w:rPr>
        <w:t xml:space="preserve"> </w:t>
      </w:r>
      <w:r>
        <w:rPr>
          <w:sz w:val="18"/>
        </w:rPr>
        <w:t>head</w:t>
      </w:r>
      <w:r>
        <w:rPr>
          <w:spacing w:val="-1"/>
          <w:sz w:val="18"/>
        </w:rPr>
        <w:t xml:space="preserve"> </w:t>
      </w:r>
      <w:r>
        <w:rPr>
          <w:sz w:val="18"/>
        </w:rPr>
        <w:t>shall</w:t>
      </w:r>
      <w:r>
        <w:rPr>
          <w:spacing w:val="-2"/>
          <w:sz w:val="18"/>
        </w:rPr>
        <w:t xml:space="preserve"> </w:t>
      </w:r>
      <w:r>
        <w:rPr>
          <w:sz w:val="18"/>
        </w:rPr>
        <w:t>take</w:t>
      </w:r>
      <w:r>
        <w:rPr>
          <w:spacing w:val="-3"/>
          <w:sz w:val="18"/>
        </w:rPr>
        <w:t xml:space="preserve"> </w:t>
      </w:r>
      <w:r>
        <w:rPr>
          <w:sz w:val="18"/>
        </w:rPr>
        <w:t>all</w:t>
      </w:r>
      <w:r>
        <w:rPr>
          <w:spacing w:val="-2"/>
          <w:sz w:val="18"/>
        </w:rPr>
        <w:t xml:space="preserve"> </w:t>
      </w:r>
      <w:r>
        <w:rPr>
          <w:sz w:val="18"/>
        </w:rPr>
        <w:t>appropriate</w:t>
      </w:r>
      <w:r>
        <w:rPr>
          <w:spacing w:val="-3"/>
          <w:sz w:val="18"/>
        </w:rPr>
        <w:t xml:space="preserve"> </w:t>
      </w:r>
      <w:r>
        <w:rPr>
          <w:sz w:val="18"/>
        </w:rPr>
        <w:t>steps</w:t>
      </w:r>
      <w:r>
        <w:rPr>
          <w:spacing w:val="-2"/>
          <w:sz w:val="18"/>
        </w:rPr>
        <w:t xml:space="preserve"> </w:t>
      </w:r>
      <w:r>
        <w:rPr>
          <w:sz w:val="18"/>
        </w:rPr>
        <w:t>to</w:t>
      </w:r>
      <w:r>
        <w:rPr>
          <w:spacing w:val="-3"/>
          <w:sz w:val="18"/>
        </w:rPr>
        <w:t xml:space="preserve"> </w:t>
      </w:r>
      <w:r>
        <w:rPr>
          <w:sz w:val="18"/>
        </w:rPr>
        <w:t>collect</w:t>
      </w:r>
      <w:r>
        <w:rPr>
          <w:spacing w:val="-2"/>
          <w:sz w:val="18"/>
        </w:rPr>
        <w:t xml:space="preserve"> </w:t>
      </w:r>
      <w:r>
        <w:rPr>
          <w:sz w:val="18"/>
        </w:rPr>
        <w:t>such</w:t>
      </w:r>
      <w:r>
        <w:rPr>
          <w:spacing w:val="-3"/>
          <w:sz w:val="18"/>
        </w:rPr>
        <w:t xml:space="preserve"> </w:t>
      </w:r>
      <w:r>
        <w:rPr>
          <w:sz w:val="18"/>
        </w:rPr>
        <w:t>debt,</w:t>
      </w:r>
      <w:r>
        <w:rPr>
          <w:spacing w:val="-2"/>
          <w:sz w:val="18"/>
        </w:rPr>
        <w:t xml:space="preserve"> </w:t>
      </w:r>
      <w:r>
        <w:rPr>
          <w:sz w:val="18"/>
        </w:rPr>
        <w:t>including</w:t>
      </w:r>
      <w:r>
        <w:rPr>
          <w:spacing w:val="-3"/>
          <w:sz w:val="18"/>
        </w:rPr>
        <w:t xml:space="preserve"> </w:t>
      </w:r>
      <w:r>
        <w:rPr>
          <w:sz w:val="18"/>
        </w:rPr>
        <w:t>administrative</w:t>
      </w:r>
      <w:r>
        <w:rPr>
          <w:spacing w:val="-3"/>
          <w:sz w:val="18"/>
        </w:rPr>
        <w:t xml:space="preserve"> </w:t>
      </w:r>
      <w:r>
        <w:rPr>
          <w:sz w:val="18"/>
        </w:rPr>
        <w:t>offset.</w:t>
      </w:r>
      <w:r>
        <w:rPr>
          <w:spacing w:val="-2"/>
          <w:sz w:val="18"/>
        </w:rPr>
        <w:t xml:space="preserve"> </w:t>
      </w:r>
      <w:r>
        <w:rPr>
          <w:sz w:val="18"/>
        </w:rPr>
        <w:t>31</w:t>
      </w:r>
      <w:r>
        <w:rPr>
          <w:spacing w:val="-3"/>
          <w:sz w:val="18"/>
        </w:rPr>
        <w:t xml:space="preserve"> </w:t>
      </w:r>
      <w:r>
        <w:rPr>
          <w:sz w:val="18"/>
        </w:rPr>
        <w:t xml:space="preserve">U.S.C. § </w:t>
      </w:r>
      <w:r>
        <w:rPr>
          <w:spacing w:val="-2"/>
          <w:sz w:val="18"/>
        </w:rPr>
        <w:t>3711(g)(9)(A).</w:t>
      </w:r>
    </w:p>
    <w:p w14:paraId="0DFDB961" w14:textId="77777777" w:rsidR="00046465" w:rsidRDefault="008134EB">
      <w:pPr>
        <w:spacing w:before="117" w:line="244" w:lineRule="auto"/>
        <w:ind w:left="359" w:right="111"/>
        <w:rPr>
          <w:sz w:val="18"/>
        </w:rPr>
      </w:pPr>
      <w:r>
        <w:rPr>
          <w:position w:val="7"/>
          <w:sz w:val="14"/>
        </w:rPr>
        <w:t>35</w:t>
      </w:r>
      <w:r>
        <w:rPr>
          <w:sz w:val="18"/>
        </w:rPr>
        <w:t>Under</w:t>
      </w:r>
      <w:r>
        <w:rPr>
          <w:spacing w:val="-2"/>
          <w:sz w:val="18"/>
        </w:rPr>
        <w:t xml:space="preserve"> </w:t>
      </w:r>
      <w:r>
        <w:rPr>
          <w:sz w:val="18"/>
        </w:rPr>
        <w:t>implementing</w:t>
      </w:r>
      <w:r>
        <w:rPr>
          <w:spacing w:val="-3"/>
          <w:sz w:val="18"/>
        </w:rPr>
        <w:t xml:space="preserve"> </w:t>
      </w:r>
      <w:r>
        <w:rPr>
          <w:sz w:val="18"/>
        </w:rPr>
        <w:t>Treasury</w:t>
      </w:r>
      <w:r>
        <w:rPr>
          <w:spacing w:val="-2"/>
          <w:sz w:val="18"/>
        </w:rPr>
        <w:t xml:space="preserve"> </w:t>
      </w:r>
      <w:r>
        <w:rPr>
          <w:sz w:val="18"/>
        </w:rPr>
        <w:t>regulations,</w:t>
      </w:r>
      <w:r>
        <w:rPr>
          <w:spacing w:val="-2"/>
          <w:sz w:val="18"/>
        </w:rPr>
        <w:t xml:space="preserve"> </w:t>
      </w:r>
      <w:r>
        <w:rPr>
          <w:sz w:val="18"/>
        </w:rPr>
        <w:t>the</w:t>
      </w:r>
      <w:r>
        <w:rPr>
          <w:spacing w:val="-3"/>
          <w:sz w:val="18"/>
        </w:rPr>
        <w:t xml:space="preserve"> </w:t>
      </w:r>
      <w:r>
        <w:rPr>
          <w:sz w:val="18"/>
        </w:rPr>
        <w:t>120-day</w:t>
      </w:r>
      <w:r>
        <w:rPr>
          <w:spacing w:val="-2"/>
          <w:sz w:val="18"/>
        </w:rPr>
        <w:t xml:space="preserve"> </w:t>
      </w:r>
      <w:r>
        <w:rPr>
          <w:sz w:val="18"/>
        </w:rPr>
        <w:t>referral</w:t>
      </w:r>
      <w:r>
        <w:rPr>
          <w:spacing w:val="-2"/>
          <w:sz w:val="18"/>
        </w:rPr>
        <w:t xml:space="preserve"> </w:t>
      </w:r>
      <w:r>
        <w:rPr>
          <w:sz w:val="18"/>
        </w:rPr>
        <w:t>requirement</w:t>
      </w:r>
      <w:r>
        <w:rPr>
          <w:spacing w:val="-1"/>
          <w:sz w:val="18"/>
        </w:rPr>
        <w:t xml:space="preserve"> </w:t>
      </w:r>
      <w:r>
        <w:rPr>
          <w:sz w:val="18"/>
        </w:rPr>
        <w:t>applies</w:t>
      </w:r>
      <w:r>
        <w:rPr>
          <w:spacing w:val="-2"/>
          <w:sz w:val="18"/>
        </w:rPr>
        <w:t xml:space="preserve"> </w:t>
      </w:r>
      <w:r>
        <w:rPr>
          <w:sz w:val="18"/>
        </w:rPr>
        <w:t>to</w:t>
      </w:r>
      <w:r>
        <w:rPr>
          <w:spacing w:val="-3"/>
          <w:sz w:val="18"/>
        </w:rPr>
        <w:t xml:space="preserve"> </w:t>
      </w:r>
      <w:r>
        <w:rPr>
          <w:sz w:val="18"/>
        </w:rPr>
        <w:t>all</w:t>
      </w:r>
      <w:r>
        <w:rPr>
          <w:spacing w:val="-2"/>
          <w:sz w:val="18"/>
        </w:rPr>
        <w:t xml:space="preserve"> </w:t>
      </w:r>
      <w:r>
        <w:rPr>
          <w:sz w:val="18"/>
        </w:rPr>
        <w:t>entities</w:t>
      </w:r>
      <w:r>
        <w:rPr>
          <w:spacing w:val="-2"/>
          <w:sz w:val="18"/>
        </w:rPr>
        <w:t xml:space="preserve"> </w:t>
      </w:r>
      <w:r>
        <w:rPr>
          <w:sz w:val="18"/>
        </w:rPr>
        <w:t>relying</w:t>
      </w:r>
      <w:r>
        <w:rPr>
          <w:spacing w:val="-3"/>
          <w:sz w:val="18"/>
        </w:rPr>
        <w:t xml:space="preserve"> </w:t>
      </w:r>
      <w:r>
        <w:rPr>
          <w:sz w:val="18"/>
        </w:rPr>
        <w:t>on</w:t>
      </w:r>
      <w:r>
        <w:rPr>
          <w:spacing w:val="-3"/>
          <w:sz w:val="18"/>
        </w:rPr>
        <w:t xml:space="preserve"> </w:t>
      </w:r>
      <w:r>
        <w:rPr>
          <w:sz w:val="18"/>
        </w:rPr>
        <w:t>Treasury’s</w:t>
      </w:r>
      <w:r>
        <w:rPr>
          <w:spacing w:val="-2"/>
          <w:sz w:val="18"/>
        </w:rPr>
        <w:t xml:space="preserve"> </w:t>
      </w:r>
      <w:r>
        <w:rPr>
          <w:sz w:val="18"/>
        </w:rPr>
        <w:t>Bureau</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Fiscal</w:t>
      </w:r>
      <w:r>
        <w:rPr>
          <w:spacing w:val="-2"/>
          <w:sz w:val="18"/>
        </w:rPr>
        <w:t xml:space="preserve"> </w:t>
      </w:r>
      <w:r>
        <w:rPr>
          <w:sz w:val="18"/>
        </w:rPr>
        <w:t>Service</w:t>
      </w:r>
      <w:r>
        <w:rPr>
          <w:spacing w:val="-3"/>
          <w:sz w:val="18"/>
        </w:rPr>
        <w:t xml:space="preserve"> </w:t>
      </w:r>
      <w:r>
        <w:rPr>
          <w:sz w:val="18"/>
        </w:rPr>
        <w:t>to</w:t>
      </w:r>
      <w:r>
        <w:rPr>
          <w:spacing w:val="-3"/>
          <w:sz w:val="18"/>
        </w:rPr>
        <w:t xml:space="preserve"> </w:t>
      </w:r>
      <w:r>
        <w:rPr>
          <w:sz w:val="18"/>
        </w:rPr>
        <w:t>submit</w:t>
      </w:r>
      <w:r>
        <w:rPr>
          <w:spacing w:val="-2"/>
          <w:sz w:val="18"/>
        </w:rPr>
        <w:t xml:space="preserve"> </w:t>
      </w:r>
      <w:r>
        <w:rPr>
          <w:sz w:val="18"/>
        </w:rPr>
        <w:t>debts for administrative offset on the entity’s behalf. 31 C.F.R. § 285.12(g). Further, by referring the delinquent debt to Treasury or a Treasury-designated debt collection center, the entity’s referral action will satisfy the 120-day notification requirement. 31 C.F.R. § 2815.12(g).</w:t>
      </w:r>
    </w:p>
    <w:p w14:paraId="0DFDB962" w14:textId="77777777" w:rsidR="00046465" w:rsidRDefault="008134EB">
      <w:pPr>
        <w:spacing w:before="121" w:line="249" w:lineRule="auto"/>
        <w:ind w:left="360" w:hanging="1"/>
        <w:rPr>
          <w:sz w:val="18"/>
        </w:rPr>
      </w:pPr>
      <w:r>
        <w:rPr>
          <w:position w:val="7"/>
          <w:sz w:val="14"/>
        </w:rPr>
        <w:t>36</w:t>
      </w:r>
      <w:r>
        <w:rPr>
          <w:sz w:val="18"/>
        </w:rPr>
        <w:t>There</w:t>
      </w:r>
      <w:r>
        <w:rPr>
          <w:spacing w:val="-3"/>
          <w:sz w:val="18"/>
        </w:rPr>
        <w:t xml:space="preserve"> </w:t>
      </w:r>
      <w:r>
        <w:rPr>
          <w:sz w:val="18"/>
        </w:rPr>
        <w:t>is</w:t>
      </w:r>
      <w:r>
        <w:rPr>
          <w:spacing w:val="-2"/>
          <w:sz w:val="18"/>
        </w:rPr>
        <w:t xml:space="preserve"> </w:t>
      </w:r>
      <w:r>
        <w:rPr>
          <w:sz w:val="18"/>
        </w:rPr>
        <w:t>no</w:t>
      </w:r>
      <w:r>
        <w:rPr>
          <w:spacing w:val="-3"/>
          <w:sz w:val="18"/>
        </w:rPr>
        <w:t xml:space="preserve"> </w:t>
      </w:r>
      <w:r>
        <w:rPr>
          <w:sz w:val="18"/>
        </w:rPr>
        <w:t>statute</w:t>
      </w:r>
      <w:r>
        <w:rPr>
          <w:spacing w:val="-3"/>
          <w:sz w:val="18"/>
        </w:rPr>
        <w:t xml:space="preserve"> </w:t>
      </w:r>
      <w:r>
        <w:rPr>
          <w:sz w:val="18"/>
        </w:rPr>
        <w:t>of</w:t>
      </w:r>
      <w:r>
        <w:rPr>
          <w:spacing w:val="-2"/>
          <w:sz w:val="18"/>
        </w:rPr>
        <w:t xml:space="preserve"> </w:t>
      </w:r>
      <w:r>
        <w:rPr>
          <w:sz w:val="18"/>
        </w:rPr>
        <w:t>limitation</w:t>
      </w:r>
      <w:r>
        <w:rPr>
          <w:spacing w:val="-3"/>
          <w:sz w:val="18"/>
        </w:rPr>
        <w:t xml:space="preserve"> </w:t>
      </w:r>
      <w:r>
        <w:rPr>
          <w:sz w:val="18"/>
        </w:rPr>
        <w:t>on</w:t>
      </w:r>
      <w:r>
        <w:rPr>
          <w:spacing w:val="-3"/>
          <w:sz w:val="18"/>
        </w:rPr>
        <w:t xml:space="preserve"> </w:t>
      </w:r>
      <w:r>
        <w:rPr>
          <w:sz w:val="18"/>
        </w:rPr>
        <w:t>using</w:t>
      </w:r>
      <w:r>
        <w:rPr>
          <w:spacing w:val="-3"/>
          <w:sz w:val="18"/>
        </w:rPr>
        <w:t xml:space="preserve"> </w:t>
      </w:r>
      <w:r>
        <w:rPr>
          <w:sz w:val="18"/>
        </w:rPr>
        <w:t>administrative</w:t>
      </w:r>
      <w:r>
        <w:rPr>
          <w:spacing w:val="-1"/>
          <w:sz w:val="18"/>
        </w:rPr>
        <w:t xml:space="preserve"> </w:t>
      </w:r>
      <w:r>
        <w:rPr>
          <w:sz w:val="18"/>
        </w:rPr>
        <w:t>offset</w:t>
      </w:r>
      <w:r>
        <w:rPr>
          <w:spacing w:val="-2"/>
          <w:sz w:val="18"/>
        </w:rPr>
        <w:t xml:space="preserve"> </w:t>
      </w:r>
      <w:r>
        <w:rPr>
          <w:sz w:val="18"/>
        </w:rPr>
        <w:t>for</w:t>
      </w:r>
      <w:r>
        <w:rPr>
          <w:spacing w:val="-2"/>
          <w:sz w:val="18"/>
        </w:rPr>
        <w:t xml:space="preserve"> </w:t>
      </w:r>
      <w:r>
        <w:rPr>
          <w:sz w:val="18"/>
        </w:rPr>
        <w:t>debt</w:t>
      </w:r>
      <w:r>
        <w:rPr>
          <w:spacing w:val="-2"/>
          <w:sz w:val="18"/>
        </w:rPr>
        <w:t xml:space="preserve"> </w:t>
      </w:r>
      <w:r>
        <w:rPr>
          <w:sz w:val="18"/>
        </w:rPr>
        <w:t>collection.</w:t>
      </w:r>
      <w:r>
        <w:rPr>
          <w:spacing w:val="-2"/>
          <w:sz w:val="18"/>
        </w:rPr>
        <w:t xml:space="preserve"> </w:t>
      </w:r>
      <w:r>
        <w:rPr>
          <w:sz w:val="18"/>
        </w:rPr>
        <w:t>31</w:t>
      </w:r>
      <w:r>
        <w:rPr>
          <w:spacing w:val="-3"/>
          <w:sz w:val="18"/>
        </w:rPr>
        <w:t xml:space="preserve"> </w:t>
      </w:r>
      <w:r>
        <w:rPr>
          <w:sz w:val="18"/>
        </w:rPr>
        <w:t>U.S.C.</w:t>
      </w:r>
      <w:r>
        <w:rPr>
          <w:spacing w:val="-2"/>
          <w:sz w:val="18"/>
        </w:rPr>
        <w:t xml:space="preserve"> </w:t>
      </w:r>
      <w:r>
        <w:rPr>
          <w:sz w:val="18"/>
        </w:rPr>
        <w:t>§</w:t>
      </w:r>
      <w:r>
        <w:rPr>
          <w:spacing w:val="-2"/>
          <w:sz w:val="18"/>
        </w:rPr>
        <w:t xml:space="preserve"> </w:t>
      </w:r>
      <w:r>
        <w:rPr>
          <w:sz w:val="18"/>
        </w:rPr>
        <w:t>3716(e)(1).</w:t>
      </w:r>
      <w:r>
        <w:rPr>
          <w:spacing w:val="-1"/>
          <w:sz w:val="18"/>
        </w:rPr>
        <w:t xml:space="preserve"> </w:t>
      </w:r>
      <w:r>
        <w:rPr>
          <w:sz w:val="18"/>
        </w:rPr>
        <w:t>Under</w:t>
      </w:r>
      <w:r>
        <w:rPr>
          <w:spacing w:val="-2"/>
          <w:sz w:val="18"/>
        </w:rPr>
        <w:t xml:space="preserve"> </w:t>
      </w:r>
      <w:r>
        <w:rPr>
          <w:sz w:val="18"/>
        </w:rPr>
        <w:t>applicable</w:t>
      </w:r>
      <w:r>
        <w:rPr>
          <w:spacing w:val="-3"/>
          <w:sz w:val="18"/>
        </w:rPr>
        <w:t xml:space="preserve"> </w:t>
      </w:r>
      <w:r>
        <w:rPr>
          <w:sz w:val="18"/>
        </w:rPr>
        <w:t>regulations,</w:t>
      </w:r>
      <w:r>
        <w:rPr>
          <w:spacing w:val="-2"/>
          <w:sz w:val="18"/>
        </w:rPr>
        <w:t xml:space="preserve"> </w:t>
      </w:r>
      <w:r>
        <w:rPr>
          <w:sz w:val="18"/>
        </w:rPr>
        <w:t>however,</w:t>
      </w:r>
      <w:r>
        <w:rPr>
          <w:spacing w:val="-2"/>
          <w:sz w:val="18"/>
        </w:rPr>
        <w:t xml:space="preserve"> </w:t>
      </w:r>
      <w:r>
        <w:rPr>
          <w:sz w:val="18"/>
        </w:rPr>
        <w:t>generally</w:t>
      </w:r>
      <w:r>
        <w:rPr>
          <w:spacing w:val="-2"/>
          <w:sz w:val="18"/>
        </w:rPr>
        <w:t xml:space="preserve"> </w:t>
      </w:r>
      <w:r>
        <w:rPr>
          <w:sz w:val="18"/>
        </w:rPr>
        <w:t>the</w:t>
      </w:r>
      <w:r>
        <w:rPr>
          <w:spacing w:val="-3"/>
          <w:sz w:val="18"/>
        </w:rPr>
        <w:t xml:space="preserve"> </w:t>
      </w:r>
      <w:r>
        <w:rPr>
          <w:sz w:val="18"/>
        </w:rPr>
        <w:t>U.S. government</w:t>
      </w:r>
      <w:r>
        <w:rPr>
          <w:spacing w:val="-3"/>
          <w:sz w:val="18"/>
        </w:rPr>
        <w:t xml:space="preserve"> </w:t>
      </w:r>
      <w:r>
        <w:rPr>
          <w:sz w:val="18"/>
        </w:rPr>
        <w:t>will</w:t>
      </w:r>
      <w:r>
        <w:rPr>
          <w:spacing w:val="-2"/>
          <w:sz w:val="18"/>
        </w:rPr>
        <w:t xml:space="preserve"> </w:t>
      </w:r>
      <w:r>
        <w:rPr>
          <w:sz w:val="18"/>
        </w:rPr>
        <w:t>not</w:t>
      </w:r>
      <w:r>
        <w:rPr>
          <w:spacing w:val="-2"/>
          <w:sz w:val="18"/>
        </w:rPr>
        <w:t xml:space="preserve"> </w:t>
      </w:r>
      <w:r>
        <w:rPr>
          <w:sz w:val="18"/>
        </w:rPr>
        <w:t>use</w:t>
      </w:r>
      <w:r>
        <w:rPr>
          <w:spacing w:val="-3"/>
          <w:sz w:val="18"/>
        </w:rPr>
        <w:t xml:space="preserve"> </w:t>
      </w:r>
      <w:r>
        <w:rPr>
          <w:sz w:val="18"/>
        </w:rPr>
        <w:t>administrative</w:t>
      </w:r>
      <w:r>
        <w:rPr>
          <w:spacing w:val="-3"/>
          <w:sz w:val="18"/>
        </w:rPr>
        <w:t xml:space="preserve"> </w:t>
      </w:r>
      <w:r>
        <w:rPr>
          <w:sz w:val="18"/>
        </w:rPr>
        <w:t>offset</w:t>
      </w:r>
      <w:r>
        <w:rPr>
          <w:spacing w:val="-3"/>
          <w:sz w:val="18"/>
        </w:rPr>
        <w:t xml:space="preserve"> </w:t>
      </w:r>
      <w:r>
        <w:rPr>
          <w:sz w:val="18"/>
        </w:rPr>
        <w:t>for</w:t>
      </w:r>
      <w:r>
        <w:rPr>
          <w:spacing w:val="-2"/>
          <w:sz w:val="18"/>
        </w:rPr>
        <w:t xml:space="preserve"> </w:t>
      </w:r>
      <w:r>
        <w:rPr>
          <w:sz w:val="18"/>
        </w:rPr>
        <w:t>claims</w:t>
      </w:r>
      <w:r>
        <w:rPr>
          <w:spacing w:val="-2"/>
          <w:sz w:val="18"/>
        </w:rPr>
        <w:t xml:space="preserve"> </w:t>
      </w:r>
      <w:r>
        <w:rPr>
          <w:sz w:val="18"/>
        </w:rPr>
        <w:t>collection</w:t>
      </w:r>
      <w:r>
        <w:rPr>
          <w:spacing w:val="-3"/>
          <w:sz w:val="18"/>
        </w:rPr>
        <w:t xml:space="preserve"> </w:t>
      </w:r>
      <w:r>
        <w:rPr>
          <w:sz w:val="18"/>
        </w:rPr>
        <w:t>purposes</w:t>
      </w:r>
      <w:r>
        <w:rPr>
          <w:spacing w:val="-3"/>
          <w:sz w:val="18"/>
        </w:rPr>
        <w:t xml:space="preserve"> </w:t>
      </w:r>
      <w:r>
        <w:rPr>
          <w:sz w:val="18"/>
        </w:rPr>
        <w:t>more</w:t>
      </w:r>
      <w:r>
        <w:rPr>
          <w:spacing w:val="-3"/>
          <w:sz w:val="18"/>
        </w:rPr>
        <w:t xml:space="preserve"> </w:t>
      </w:r>
      <w:r>
        <w:rPr>
          <w:sz w:val="18"/>
        </w:rPr>
        <w:t>than</w:t>
      </w:r>
      <w:r>
        <w:rPr>
          <w:spacing w:val="-3"/>
          <w:sz w:val="18"/>
        </w:rPr>
        <w:t xml:space="preserve"> </w:t>
      </w:r>
      <w:r>
        <w:rPr>
          <w:sz w:val="18"/>
        </w:rPr>
        <w:t>10</w:t>
      </w:r>
      <w:r>
        <w:rPr>
          <w:spacing w:val="-3"/>
          <w:sz w:val="18"/>
        </w:rPr>
        <w:t xml:space="preserve"> </w:t>
      </w:r>
      <w:r>
        <w:rPr>
          <w:sz w:val="18"/>
        </w:rPr>
        <w:t>years</w:t>
      </w:r>
      <w:r>
        <w:rPr>
          <w:spacing w:val="-2"/>
          <w:sz w:val="18"/>
        </w:rPr>
        <w:t xml:space="preserve"> </w:t>
      </w:r>
      <w:r>
        <w:rPr>
          <w:sz w:val="18"/>
        </w:rPr>
        <w:t>after</w:t>
      </w:r>
      <w:r>
        <w:rPr>
          <w:spacing w:val="-2"/>
          <w:sz w:val="18"/>
        </w:rPr>
        <w:t xml:space="preserve"> </w:t>
      </w:r>
      <w:r>
        <w:rPr>
          <w:sz w:val="18"/>
        </w:rPr>
        <w:t>the</w:t>
      </w:r>
      <w:r>
        <w:rPr>
          <w:spacing w:val="-4"/>
          <w:sz w:val="18"/>
        </w:rPr>
        <w:t xml:space="preserve"> </w:t>
      </w:r>
      <w:r>
        <w:rPr>
          <w:sz w:val="18"/>
        </w:rPr>
        <w:t>U.S.</w:t>
      </w:r>
      <w:r>
        <w:rPr>
          <w:spacing w:val="-2"/>
          <w:sz w:val="18"/>
        </w:rPr>
        <w:t xml:space="preserve"> </w:t>
      </w:r>
      <w:r>
        <w:rPr>
          <w:sz w:val="18"/>
        </w:rPr>
        <w:t>government’s</w:t>
      </w:r>
      <w:r>
        <w:rPr>
          <w:spacing w:val="-2"/>
          <w:sz w:val="18"/>
        </w:rPr>
        <w:t xml:space="preserve"> </w:t>
      </w:r>
      <w:r>
        <w:rPr>
          <w:sz w:val="18"/>
        </w:rPr>
        <w:t>right</w:t>
      </w:r>
      <w:r>
        <w:rPr>
          <w:spacing w:val="-2"/>
          <w:sz w:val="18"/>
        </w:rPr>
        <w:t xml:space="preserve"> </w:t>
      </w:r>
      <w:r>
        <w:rPr>
          <w:sz w:val="18"/>
        </w:rPr>
        <w:t>to</w:t>
      </w:r>
      <w:r>
        <w:rPr>
          <w:spacing w:val="-3"/>
          <w:sz w:val="18"/>
        </w:rPr>
        <w:t xml:space="preserve"> </w:t>
      </w:r>
      <w:r>
        <w:rPr>
          <w:sz w:val="18"/>
        </w:rPr>
        <w:t>collect</w:t>
      </w:r>
      <w:r>
        <w:rPr>
          <w:spacing w:val="-3"/>
          <w:sz w:val="18"/>
        </w:rPr>
        <w:t xml:space="preserve"> </w:t>
      </w:r>
      <w:r>
        <w:rPr>
          <w:sz w:val="18"/>
        </w:rPr>
        <w:t>the</w:t>
      </w:r>
      <w:r>
        <w:rPr>
          <w:spacing w:val="-3"/>
          <w:sz w:val="18"/>
        </w:rPr>
        <w:t xml:space="preserve"> </w:t>
      </w:r>
      <w:r>
        <w:rPr>
          <w:sz w:val="18"/>
        </w:rPr>
        <w:t>claim</w:t>
      </w:r>
      <w:r>
        <w:rPr>
          <w:spacing w:val="-2"/>
          <w:sz w:val="18"/>
        </w:rPr>
        <w:t xml:space="preserve"> </w:t>
      </w:r>
      <w:r>
        <w:rPr>
          <w:sz w:val="18"/>
        </w:rPr>
        <w:t>first</w:t>
      </w:r>
      <w:r>
        <w:rPr>
          <w:spacing w:val="-2"/>
          <w:sz w:val="18"/>
        </w:rPr>
        <w:t xml:space="preserve"> </w:t>
      </w:r>
      <w:r>
        <w:rPr>
          <w:sz w:val="18"/>
        </w:rPr>
        <w:t>accrued.</w:t>
      </w:r>
      <w:r>
        <w:rPr>
          <w:spacing w:val="-2"/>
          <w:sz w:val="18"/>
        </w:rPr>
        <w:t xml:space="preserve"> </w:t>
      </w:r>
      <w:r>
        <w:rPr>
          <w:spacing w:val="-5"/>
          <w:sz w:val="18"/>
        </w:rPr>
        <w:t>31</w:t>
      </w:r>
    </w:p>
    <w:p w14:paraId="0DFDB963" w14:textId="77777777" w:rsidR="00046465" w:rsidRDefault="008134EB">
      <w:pPr>
        <w:spacing w:line="199" w:lineRule="exact"/>
        <w:ind w:left="359"/>
        <w:rPr>
          <w:sz w:val="18"/>
        </w:rPr>
      </w:pPr>
      <w:r>
        <w:rPr>
          <w:sz w:val="18"/>
        </w:rPr>
        <w:t>C.F.R.</w:t>
      </w:r>
      <w:r>
        <w:rPr>
          <w:spacing w:val="-2"/>
          <w:sz w:val="18"/>
        </w:rPr>
        <w:t xml:space="preserve"> </w:t>
      </w:r>
      <w:r>
        <w:rPr>
          <w:sz w:val="18"/>
        </w:rPr>
        <w:t>§</w:t>
      </w:r>
      <w:r>
        <w:rPr>
          <w:spacing w:val="-1"/>
          <w:sz w:val="18"/>
        </w:rPr>
        <w:t xml:space="preserve"> </w:t>
      </w:r>
      <w:r>
        <w:rPr>
          <w:spacing w:val="-2"/>
          <w:sz w:val="18"/>
        </w:rPr>
        <w:t>901.3(a)(4).</w:t>
      </w:r>
    </w:p>
    <w:p w14:paraId="0DFDB964" w14:textId="77777777" w:rsidR="00046465" w:rsidRDefault="008134EB">
      <w:pPr>
        <w:spacing w:before="126" w:line="244" w:lineRule="auto"/>
        <w:ind w:left="360" w:right="111" w:hanging="1"/>
        <w:rPr>
          <w:sz w:val="18"/>
        </w:rPr>
      </w:pPr>
      <w:r>
        <w:rPr>
          <w:position w:val="7"/>
          <w:sz w:val="14"/>
        </w:rPr>
        <w:t>37</w:t>
      </w:r>
      <w:r>
        <w:rPr>
          <w:sz w:val="18"/>
        </w:rPr>
        <w:t>An exception to the Treasury notification and referral requirement of nontax debt delinquent over 120 days for administrative offset is when a statute explicitly prohibits</w:t>
      </w:r>
      <w:r>
        <w:rPr>
          <w:spacing w:val="-2"/>
          <w:sz w:val="18"/>
        </w:rPr>
        <w:t xml:space="preserve"> </w:t>
      </w:r>
      <w:r>
        <w:rPr>
          <w:sz w:val="18"/>
        </w:rPr>
        <w:t>using</w:t>
      </w:r>
      <w:r>
        <w:rPr>
          <w:spacing w:val="-1"/>
          <w:sz w:val="18"/>
        </w:rPr>
        <w:t xml:space="preserve"> </w:t>
      </w:r>
      <w:r>
        <w:rPr>
          <w:sz w:val="18"/>
        </w:rPr>
        <w:t>administrative</w:t>
      </w:r>
      <w:r>
        <w:rPr>
          <w:spacing w:val="-1"/>
          <w:sz w:val="18"/>
        </w:rPr>
        <w:t xml:space="preserve"> </w:t>
      </w:r>
      <w:r>
        <w:rPr>
          <w:sz w:val="18"/>
        </w:rPr>
        <w:t>offset</w:t>
      </w:r>
      <w:r>
        <w:rPr>
          <w:spacing w:val="-2"/>
          <w:sz w:val="18"/>
        </w:rPr>
        <w:t xml:space="preserve"> </w:t>
      </w:r>
      <w:r>
        <w:rPr>
          <w:sz w:val="18"/>
        </w:rPr>
        <w:t>or</w:t>
      </w:r>
      <w:r>
        <w:rPr>
          <w:spacing w:val="-2"/>
          <w:sz w:val="18"/>
        </w:rPr>
        <w:t xml:space="preserve"> </w:t>
      </w:r>
      <w:r>
        <w:rPr>
          <w:sz w:val="18"/>
        </w:rPr>
        <w:t>setoff</w:t>
      </w:r>
      <w:r>
        <w:rPr>
          <w:spacing w:val="-3"/>
          <w:sz w:val="18"/>
        </w:rPr>
        <w:t xml:space="preserve"> </w:t>
      </w:r>
      <w:r>
        <w:rPr>
          <w:sz w:val="18"/>
        </w:rPr>
        <w:t>to</w:t>
      </w:r>
      <w:r>
        <w:rPr>
          <w:spacing w:val="-3"/>
          <w:sz w:val="18"/>
        </w:rPr>
        <w:t xml:space="preserve"> </w:t>
      </w:r>
      <w:r>
        <w:rPr>
          <w:sz w:val="18"/>
        </w:rPr>
        <w:t>collect</w:t>
      </w:r>
      <w:r>
        <w:rPr>
          <w:spacing w:val="-2"/>
          <w:sz w:val="18"/>
        </w:rPr>
        <w:t xml:space="preserve"> </w:t>
      </w:r>
      <w:r>
        <w:rPr>
          <w:sz w:val="18"/>
        </w:rPr>
        <w:t>the</w:t>
      </w:r>
      <w:r>
        <w:rPr>
          <w:spacing w:val="-3"/>
          <w:sz w:val="18"/>
        </w:rPr>
        <w:t xml:space="preserve"> </w:t>
      </w:r>
      <w:r>
        <w:rPr>
          <w:sz w:val="18"/>
        </w:rPr>
        <w:t>type</w:t>
      </w:r>
      <w:r>
        <w:rPr>
          <w:spacing w:val="-3"/>
          <w:sz w:val="18"/>
        </w:rPr>
        <w:t xml:space="preserve"> </w:t>
      </w:r>
      <w:r>
        <w:rPr>
          <w:sz w:val="18"/>
        </w:rPr>
        <w:t>of</w:t>
      </w:r>
      <w:r>
        <w:rPr>
          <w:spacing w:val="-2"/>
          <w:sz w:val="18"/>
        </w:rPr>
        <w:t xml:space="preserve"> </w:t>
      </w:r>
      <w:r>
        <w:rPr>
          <w:sz w:val="18"/>
        </w:rPr>
        <w:t>claim</w:t>
      </w:r>
      <w:r>
        <w:rPr>
          <w:spacing w:val="-2"/>
          <w:sz w:val="18"/>
        </w:rPr>
        <w:t xml:space="preserve"> </w:t>
      </w:r>
      <w:r>
        <w:rPr>
          <w:sz w:val="18"/>
        </w:rPr>
        <w:t>involved.</w:t>
      </w:r>
      <w:r>
        <w:rPr>
          <w:spacing w:val="-2"/>
          <w:sz w:val="18"/>
        </w:rPr>
        <w:t xml:space="preserve"> </w:t>
      </w:r>
      <w:r>
        <w:rPr>
          <w:sz w:val="18"/>
        </w:rPr>
        <w:t>31</w:t>
      </w:r>
      <w:r>
        <w:rPr>
          <w:spacing w:val="-3"/>
          <w:sz w:val="18"/>
        </w:rPr>
        <w:t xml:space="preserve"> </w:t>
      </w:r>
      <w:r>
        <w:rPr>
          <w:sz w:val="18"/>
        </w:rPr>
        <w:t>U.S.C.</w:t>
      </w:r>
      <w:r>
        <w:rPr>
          <w:spacing w:val="-2"/>
          <w:sz w:val="18"/>
        </w:rPr>
        <w:t xml:space="preserve"> </w:t>
      </w:r>
      <w:r>
        <w:rPr>
          <w:sz w:val="18"/>
        </w:rPr>
        <w:t>§</w:t>
      </w:r>
      <w:r>
        <w:rPr>
          <w:spacing w:val="-2"/>
          <w:sz w:val="18"/>
        </w:rPr>
        <w:t xml:space="preserve"> </w:t>
      </w:r>
      <w:r>
        <w:rPr>
          <w:sz w:val="18"/>
        </w:rPr>
        <w:t>3716(e)(2).</w:t>
      </w:r>
      <w:r>
        <w:rPr>
          <w:spacing w:val="-1"/>
          <w:sz w:val="18"/>
        </w:rPr>
        <w:t xml:space="preserve"> </w:t>
      </w:r>
      <w:r>
        <w:rPr>
          <w:sz w:val="18"/>
        </w:rPr>
        <w:t>Also,</w:t>
      </w:r>
      <w:r>
        <w:rPr>
          <w:spacing w:val="-2"/>
          <w:sz w:val="18"/>
        </w:rPr>
        <w:t xml:space="preserve"> </w:t>
      </w:r>
      <w:r>
        <w:rPr>
          <w:sz w:val="18"/>
        </w:rPr>
        <w:t>this</w:t>
      </w:r>
      <w:r>
        <w:rPr>
          <w:spacing w:val="-2"/>
          <w:sz w:val="18"/>
        </w:rPr>
        <w:t xml:space="preserve"> </w:t>
      </w:r>
      <w:r>
        <w:rPr>
          <w:sz w:val="18"/>
        </w:rPr>
        <w:t>section</w:t>
      </w:r>
      <w:r>
        <w:rPr>
          <w:spacing w:val="-3"/>
          <w:sz w:val="18"/>
        </w:rPr>
        <w:t xml:space="preserve"> </w:t>
      </w:r>
      <w:r>
        <w:rPr>
          <w:sz w:val="18"/>
        </w:rPr>
        <w:t>does</w:t>
      </w:r>
      <w:r>
        <w:rPr>
          <w:spacing w:val="-2"/>
          <w:sz w:val="18"/>
        </w:rPr>
        <w:t xml:space="preserve"> </w:t>
      </w:r>
      <w:r>
        <w:rPr>
          <w:sz w:val="18"/>
        </w:rPr>
        <w:t>not</w:t>
      </w:r>
      <w:r>
        <w:rPr>
          <w:spacing w:val="-2"/>
          <w:sz w:val="18"/>
        </w:rPr>
        <w:t xml:space="preserve"> </w:t>
      </w:r>
      <w:r>
        <w:rPr>
          <w:sz w:val="18"/>
        </w:rPr>
        <w:t>prohibit</w:t>
      </w:r>
      <w:r>
        <w:rPr>
          <w:spacing w:val="-2"/>
          <w:sz w:val="18"/>
        </w:rPr>
        <w:t xml:space="preserve"> </w:t>
      </w:r>
      <w:r>
        <w:rPr>
          <w:sz w:val="18"/>
        </w:rPr>
        <w:t>the</w:t>
      </w:r>
      <w:r>
        <w:rPr>
          <w:spacing w:val="-3"/>
          <w:sz w:val="18"/>
        </w:rPr>
        <w:t xml:space="preserve"> </w:t>
      </w:r>
      <w:r>
        <w:rPr>
          <w:sz w:val="18"/>
        </w:rPr>
        <w:t>use</w:t>
      </w:r>
      <w:r>
        <w:rPr>
          <w:spacing w:val="-3"/>
          <w:sz w:val="18"/>
        </w:rPr>
        <w:t xml:space="preserve"> </w:t>
      </w:r>
      <w:r>
        <w:rPr>
          <w:sz w:val="18"/>
        </w:rPr>
        <w:t>of</w:t>
      </w:r>
      <w:r>
        <w:rPr>
          <w:spacing w:val="-2"/>
          <w:sz w:val="18"/>
        </w:rPr>
        <w:t xml:space="preserve"> </w:t>
      </w:r>
      <w:r>
        <w:rPr>
          <w:sz w:val="18"/>
        </w:rPr>
        <w:t>any</w:t>
      </w:r>
      <w:r>
        <w:rPr>
          <w:spacing w:val="-2"/>
          <w:sz w:val="18"/>
        </w:rPr>
        <w:t xml:space="preserve"> </w:t>
      </w:r>
      <w:r>
        <w:rPr>
          <w:sz w:val="18"/>
        </w:rPr>
        <w:t>other existing administrative offset authority. 31 U.S.C. § 3716(d).</w:t>
      </w:r>
    </w:p>
    <w:p w14:paraId="0DFDB965" w14:textId="77777777" w:rsidR="00046465" w:rsidRDefault="00046465">
      <w:pPr>
        <w:spacing w:line="244" w:lineRule="auto"/>
        <w:rPr>
          <w:sz w:val="18"/>
        </w:rPr>
        <w:sectPr w:rsidR="00046465">
          <w:pgSz w:w="15840" w:h="12240" w:orient="landscape"/>
          <w:pgMar w:top="1340" w:right="1440" w:bottom="940" w:left="720" w:header="721" w:footer="742" w:gutter="0"/>
          <w:cols w:space="720"/>
        </w:sectPr>
      </w:pPr>
    </w:p>
    <w:p w14:paraId="0DFDB966" w14:textId="77777777" w:rsidR="00046465" w:rsidRDefault="00046465">
      <w:pPr>
        <w:pStyle w:val="BodyText"/>
        <w:spacing w:before="2" w:after="1"/>
        <w:rPr>
          <w:sz w:val="8"/>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943"/>
        <w:gridCol w:w="1791"/>
        <w:gridCol w:w="2231"/>
        <w:gridCol w:w="1524"/>
        <w:gridCol w:w="1496"/>
        <w:gridCol w:w="2185"/>
      </w:tblGrid>
      <w:tr w:rsidR="00046465" w14:paraId="0DFDB972" w14:textId="77777777">
        <w:trPr>
          <w:trHeight w:val="1574"/>
        </w:trPr>
        <w:tc>
          <w:tcPr>
            <w:tcW w:w="3943" w:type="dxa"/>
            <w:tcBorders>
              <w:right w:val="nil"/>
            </w:tcBorders>
          </w:tcPr>
          <w:p w14:paraId="0DFDB967" w14:textId="77777777" w:rsidR="00046465" w:rsidRDefault="008134EB">
            <w:pPr>
              <w:pStyle w:val="TableParagraph"/>
              <w:spacing w:before="144"/>
              <w:ind w:right="2058"/>
              <w:jc w:val="right"/>
            </w:pPr>
            <w:r>
              <w:t>Name</w:t>
            </w:r>
            <w:r>
              <w:rPr>
                <w:spacing w:val="-5"/>
              </w:rPr>
              <w:t xml:space="preserve"> </w:t>
            </w:r>
            <w:r>
              <w:t>of</w:t>
            </w:r>
            <w:r>
              <w:rPr>
                <w:spacing w:val="-5"/>
              </w:rPr>
              <w:t xml:space="preserve"> </w:t>
            </w:r>
            <w:r>
              <w:rPr>
                <w:spacing w:val="-2"/>
              </w:rPr>
              <w:t>entity:</w:t>
            </w:r>
          </w:p>
          <w:p w14:paraId="0DFDB968" w14:textId="77777777" w:rsidR="00046465" w:rsidRDefault="00046465">
            <w:pPr>
              <w:pStyle w:val="TableParagraph"/>
              <w:spacing w:before="6" w:after="1"/>
              <w:rPr>
                <w:sz w:val="12"/>
              </w:rPr>
            </w:pPr>
          </w:p>
          <w:p w14:paraId="0DFDB969" w14:textId="77777777" w:rsidR="00046465" w:rsidRDefault="008134EB">
            <w:pPr>
              <w:pStyle w:val="TableParagraph"/>
              <w:spacing w:line="20" w:lineRule="exact"/>
              <w:ind w:left="1974"/>
              <w:rPr>
                <w:sz w:val="2"/>
              </w:rPr>
            </w:pPr>
            <w:r>
              <w:rPr>
                <w:noProof/>
                <w:sz w:val="2"/>
              </w:rPr>
              <mc:AlternateContent>
                <mc:Choice Requires="wpg">
                  <w:drawing>
                    <wp:anchor distT="0" distB="0" distL="0" distR="0" simplePos="0" relativeHeight="476138496" behindDoc="1" locked="0" layoutInCell="1" allowOverlap="1" wp14:anchorId="0DFDD659" wp14:editId="0DFDD65A">
                      <wp:simplePos x="0" y="0"/>
                      <wp:positionH relativeFrom="column">
                        <wp:posOffset>1260347</wp:posOffset>
                      </wp:positionH>
                      <wp:positionV relativeFrom="paragraph">
                        <wp:posOffset>349758</wp:posOffset>
                      </wp:positionV>
                      <wp:extent cx="1183005" cy="6350"/>
                      <wp:effectExtent l="0" t="0" r="0" b="0"/>
                      <wp:wrapNone/>
                      <wp:docPr id="635"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636" name="Graphic 636"/>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6492E2D" id="Group 635" o:spid="_x0000_s1026" style="position:absolute;margin-left:99.25pt;margin-top:27.55pt;width:93.15pt;height:.5pt;z-index:-27177984;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">
                      <v:shape id="Graphic 636"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" path="m1182611,l,,,6108r1182611,l1182611,xe" fillcolor="black" stroked="f">
                        <v:path arrowok="t"/>
                      </v:shape>
                    </v:group>
                  </w:pict>
                </mc:Fallback>
              </mc:AlternateContent>
            </w:r>
            <w:r>
              <w:rPr>
                <w:noProof/>
                <w:sz w:val="2"/>
              </w:rPr>
              <mc:AlternateContent>
                <mc:Choice Requires="wpg">
                  <w:drawing>
                    <wp:inline distT="0" distB="0" distL="0" distR="0" wp14:anchorId="0DFDD65B" wp14:editId="0DFDD65C">
                      <wp:extent cx="1183005" cy="6350"/>
                      <wp:effectExtent l="0" t="0" r="0" b="0"/>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638" name="Graphic 638"/>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921DFCD" id="Group 637" o:spid="_x0000_s1026" style="width:93.15pt;height:.5pt;mso-position-horizontal-relative:char;mso-position-vertical-relative:line"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">
                      <v:shape id="Graphic 638"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" path="m1182611,l,,,6108r1182611,l1182611,xe" fillcolor="black" stroked="f">
                        <v:path arrowok="t"/>
                      </v:shape>
                      <w10:anchorlock/>
                    </v:group>
                  </w:pict>
                </mc:Fallback>
              </mc:AlternateContent>
            </w:r>
          </w:p>
          <w:p w14:paraId="0DFDB96A" w14:textId="77777777" w:rsidR="00046465" w:rsidRDefault="008134EB">
            <w:pPr>
              <w:pStyle w:val="TableParagraph"/>
              <w:spacing w:before="133"/>
              <w:ind w:right="2059"/>
              <w:jc w:val="right"/>
            </w:pPr>
            <w:r>
              <w:t>Audit</w:t>
            </w:r>
            <w:r>
              <w:rPr>
                <w:spacing w:val="-7"/>
              </w:rPr>
              <w:t xml:space="preserve"> </w:t>
            </w:r>
            <w:r>
              <w:rPr>
                <w:spacing w:val="-2"/>
              </w:rPr>
              <w:t>period:</w:t>
            </w:r>
          </w:p>
        </w:tc>
        <w:tc>
          <w:tcPr>
            <w:tcW w:w="4022" w:type="dxa"/>
            <w:gridSpan w:val="2"/>
            <w:tcBorders>
              <w:left w:val="nil"/>
              <w:right w:val="nil"/>
            </w:tcBorders>
          </w:tcPr>
          <w:p w14:paraId="0DFDB96B" w14:textId="77777777" w:rsidR="00046465" w:rsidRDefault="00046465">
            <w:pPr>
              <w:pStyle w:val="TableParagraph"/>
              <w:spacing w:before="133"/>
              <w:rPr>
                <w:sz w:val="24"/>
              </w:rPr>
            </w:pPr>
          </w:p>
          <w:p w14:paraId="0DFDB96C" w14:textId="77777777" w:rsidR="00046465" w:rsidRDefault="008134EB">
            <w:pPr>
              <w:pStyle w:val="TableParagraph"/>
              <w:ind w:left="1395"/>
              <w:rPr>
                <w:b/>
                <w:sz w:val="24"/>
              </w:rPr>
            </w:pPr>
            <w:r>
              <w:rPr>
                <w:b/>
                <w:sz w:val="24"/>
              </w:rPr>
              <w:t>Compliance</w:t>
            </w:r>
            <w:r>
              <w:rPr>
                <w:b/>
                <w:spacing w:val="-6"/>
                <w:sz w:val="24"/>
              </w:rPr>
              <w:t xml:space="preserve"> </w:t>
            </w:r>
            <w:r>
              <w:rPr>
                <w:b/>
                <w:spacing w:val="-2"/>
                <w:sz w:val="24"/>
              </w:rPr>
              <w:t>Summary</w:t>
            </w:r>
          </w:p>
        </w:tc>
        <w:tc>
          <w:tcPr>
            <w:tcW w:w="1524" w:type="dxa"/>
            <w:tcBorders>
              <w:left w:val="nil"/>
              <w:right w:val="nil"/>
            </w:tcBorders>
          </w:tcPr>
          <w:p w14:paraId="0DFDB96D" w14:textId="77777777" w:rsidR="00046465" w:rsidRDefault="00046465">
            <w:pPr>
              <w:pStyle w:val="TableParagraph"/>
              <w:rPr>
                <w:rFonts w:ascii="Times New Roman"/>
                <w:sz w:val="18"/>
              </w:rPr>
            </w:pPr>
          </w:p>
        </w:tc>
        <w:tc>
          <w:tcPr>
            <w:tcW w:w="3681" w:type="dxa"/>
            <w:gridSpan w:val="2"/>
            <w:tcBorders>
              <w:left w:val="nil"/>
            </w:tcBorders>
          </w:tcPr>
          <w:p w14:paraId="0DFDB96E" w14:textId="77777777" w:rsidR="00046465" w:rsidRDefault="008134EB">
            <w:pPr>
              <w:pStyle w:val="TableParagraph"/>
              <w:spacing w:before="144"/>
              <w:ind w:left="97"/>
            </w:pPr>
            <w:r>
              <w:t>Prepared</w:t>
            </w:r>
            <w:r>
              <w:rPr>
                <w:spacing w:val="-11"/>
              </w:rPr>
              <w:t xml:space="preserve"> </w:t>
            </w:r>
            <w:r>
              <w:rPr>
                <w:spacing w:val="-5"/>
              </w:rPr>
              <w:t>by:</w:t>
            </w:r>
          </w:p>
          <w:p w14:paraId="0DFDB96F" w14:textId="77777777" w:rsidR="00046465" w:rsidRDefault="00046465">
            <w:pPr>
              <w:pStyle w:val="TableParagraph"/>
              <w:spacing w:before="6" w:after="1"/>
              <w:rPr>
                <w:sz w:val="12"/>
              </w:rPr>
            </w:pPr>
          </w:p>
          <w:p w14:paraId="0DFDB970" w14:textId="77777777" w:rsidR="00046465" w:rsidRDefault="008134EB">
            <w:pPr>
              <w:pStyle w:val="TableParagraph"/>
              <w:spacing w:line="20" w:lineRule="exact"/>
              <w:ind w:left="1465"/>
              <w:rPr>
                <w:sz w:val="2"/>
              </w:rPr>
            </w:pPr>
            <w:r>
              <w:rPr>
                <w:noProof/>
                <w:sz w:val="2"/>
              </w:rPr>
              <mc:AlternateContent>
                <mc:Choice Requires="wpg">
                  <w:drawing>
                    <wp:anchor distT="0" distB="0" distL="0" distR="0" simplePos="0" relativeHeight="476139008" behindDoc="1" locked="0" layoutInCell="1" allowOverlap="1" wp14:anchorId="0DFDD65D" wp14:editId="0DFDD65E">
                      <wp:simplePos x="0" y="0"/>
                      <wp:positionH relativeFrom="column">
                        <wp:posOffset>925830</wp:posOffset>
                      </wp:positionH>
                      <wp:positionV relativeFrom="paragraph">
                        <wp:posOffset>349758</wp:posOffset>
                      </wp:positionV>
                      <wp:extent cx="1344930" cy="6350"/>
                      <wp:effectExtent l="0" t="0" r="0" b="0"/>
                      <wp:wrapNone/>
                      <wp:docPr id="639" name="Group 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40" name="Graphic 640"/>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43434E0" id="Group 639" o:spid="_x0000_s1026" style="position:absolute;margin-left:72.9pt;margin-top:27.55pt;width:105.9pt;height:.5pt;z-index:-27177472;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">
                      <v:shape id="Graphic 640"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" path="m1344929,l,,,6108r1344929,l1344929,xe" fillcolor="black" stroked="f">
                        <v:path arrowok="t"/>
                      </v:shape>
                    </v:group>
                  </w:pict>
                </mc:Fallback>
              </mc:AlternateContent>
            </w:r>
            <w:r>
              <w:rPr>
                <w:noProof/>
                <w:sz w:val="2"/>
              </w:rPr>
              <mc:AlternateContent>
                <mc:Choice Requires="wpg">
                  <w:drawing>
                    <wp:inline distT="0" distB="0" distL="0" distR="0" wp14:anchorId="0DFDD65F" wp14:editId="0DFDD660">
                      <wp:extent cx="1344930" cy="6350"/>
                      <wp:effectExtent l="0" t="0" r="0" b="0"/>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642" name="Graphic 642"/>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7654CBA8" id="Group 641" o:spid="_x0000_s1026" style="width:105.9pt;height:.5pt;mso-position-horizontal-relative:char;mso-position-vertical-relative:line"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">
                      <v:shape id="Graphic 642"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" path="m1344929,l,,,6108r1344929,l1344929,xe" fillcolor="black" stroked="f">
                        <v:path arrowok="t"/>
                      </v:shape>
                      <w10:anchorlock/>
                    </v:group>
                  </w:pict>
                </mc:Fallback>
              </mc:AlternateContent>
            </w:r>
          </w:p>
          <w:p w14:paraId="0DFDB971" w14:textId="77777777" w:rsidR="00046465" w:rsidRDefault="008134EB">
            <w:pPr>
              <w:pStyle w:val="TableParagraph"/>
              <w:spacing w:before="133"/>
              <w:ind w:left="36"/>
            </w:pPr>
            <w:r>
              <w:t>Reviewed</w:t>
            </w:r>
            <w:r>
              <w:rPr>
                <w:spacing w:val="-12"/>
              </w:rPr>
              <w:t xml:space="preserve"> </w:t>
            </w:r>
            <w:r>
              <w:rPr>
                <w:spacing w:val="-5"/>
              </w:rPr>
              <w:t>by:</w:t>
            </w:r>
          </w:p>
        </w:tc>
      </w:tr>
      <w:tr w:rsidR="00046465" w14:paraId="0DFDB97D" w14:textId="77777777">
        <w:trPr>
          <w:trHeight w:val="793"/>
        </w:trPr>
        <w:tc>
          <w:tcPr>
            <w:tcW w:w="3943" w:type="dxa"/>
            <w:tcBorders>
              <w:right w:val="single" w:sz="4" w:space="0" w:color="000000"/>
            </w:tcBorders>
          </w:tcPr>
          <w:p w14:paraId="0DFDB973" w14:textId="77777777" w:rsidR="00046465" w:rsidRDefault="00046465">
            <w:pPr>
              <w:pStyle w:val="TableParagraph"/>
              <w:spacing w:before="143"/>
            </w:pPr>
          </w:p>
          <w:p w14:paraId="0DFDB974" w14:textId="77777777" w:rsidR="00046465" w:rsidRDefault="008134EB">
            <w:pPr>
              <w:pStyle w:val="TableParagraph"/>
              <w:ind w:left="97"/>
            </w:pPr>
            <w:r>
              <w:t>Provision</w:t>
            </w:r>
            <w:r>
              <w:rPr>
                <w:spacing w:val="-11"/>
              </w:rPr>
              <w:t xml:space="preserve"> </w:t>
            </w:r>
            <w:r>
              <w:rPr>
                <w:spacing w:val="-2"/>
              </w:rPr>
              <w:t>Description</w:t>
            </w:r>
          </w:p>
        </w:tc>
        <w:tc>
          <w:tcPr>
            <w:tcW w:w="1791" w:type="dxa"/>
            <w:tcBorders>
              <w:left w:val="single" w:sz="4" w:space="0" w:color="000000"/>
              <w:right w:val="single" w:sz="4" w:space="0" w:color="000000"/>
            </w:tcBorders>
          </w:tcPr>
          <w:p w14:paraId="0DFDB975" w14:textId="77777777" w:rsidR="00046465" w:rsidRDefault="00046465">
            <w:pPr>
              <w:pStyle w:val="TableParagraph"/>
              <w:spacing w:before="143"/>
            </w:pPr>
          </w:p>
          <w:p w14:paraId="0DFDB976" w14:textId="77777777" w:rsidR="00046465" w:rsidRDefault="008134EB">
            <w:pPr>
              <w:pStyle w:val="TableParagraph"/>
              <w:ind w:left="107"/>
            </w:pPr>
            <w:r>
              <w:rPr>
                <w:spacing w:val="-2"/>
              </w:rPr>
              <w:t>Objective</w:t>
            </w:r>
          </w:p>
        </w:tc>
        <w:tc>
          <w:tcPr>
            <w:tcW w:w="2231" w:type="dxa"/>
            <w:tcBorders>
              <w:left w:val="single" w:sz="4" w:space="0" w:color="000000"/>
              <w:right w:val="single" w:sz="4" w:space="0" w:color="000000"/>
            </w:tcBorders>
          </w:tcPr>
          <w:p w14:paraId="0DFDB977" w14:textId="77777777" w:rsidR="00046465" w:rsidRDefault="00046465">
            <w:pPr>
              <w:pStyle w:val="TableParagraph"/>
              <w:spacing w:before="143"/>
            </w:pPr>
          </w:p>
          <w:p w14:paraId="0DFDB978" w14:textId="77777777" w:rsidR="00046465" w:rsidRDefault="008134EB">
            <w:pPr>
              <w:pStyle w:val="TableParagraph"/>
              <w:ind w:left="108"/>
            </w:pPr>
            <w:r>
              <w:t>Control</w:t>
            </w:r>
            <w:r>
              <w:rPr>
                <w:spacing w:val="-9"/>
              </w:rPr>
              <w:t xml:space="preserve"> </w:t>
            </w:r>
            <w:r>
              <w:rPr>
                <w:spacing w:val="-2"/>
              </w:rPr>
              <w:t>Activities</w:t>
            </w:r>
          </w:p>
        </w:tc>
        <w:tc>
          <w:tcPr>
            <w:tcW w:w="1524" w:type="dxa"/>
            <w:tcBorders>
              <w:left w:val="single" w:sz="4" w:space="0" w:color="000000"/>
              <w:right w:val="single" w:sz="4" w:space="0" w:color="000000"/>
            </w:tcBorders>
          </w:tcPr>
          <w:p w14:paraId="0DFDB979" w14:textId="77777777" w:rsidR="00046465" w:rsidRDefault="00046465">
            <w:pPr>
              <w:pStyle w:val="TableParagraph"/>
              <w:spacing w:before="143"/>
            </w:pPr>
          </w:p>
          <w:p w14:paraId="0DFDB97A" w14:textId="77777777" w:rsidR="00046465" w:rsidRDefault="008134EB">
            <w:pPr>
              <w:pStyle w:val="TableParagraph"/>
              <w:ind w:left="109"/>
            </w:pPr>
            <w:r>
              <w:t>IS</w:t>
            </w:r>
            <w:r>
              <w:rPr>
                <w:spacing w:val="-3"/>
              </w:rPr>
              <w:t xml:space="preserve"> </w:t>
            </w:r>
            <w:r>
              <w:rPr>
                <w:spacing w:val="-2"/>
              </w:rPr>
              <w:t>(Y/N)</w:t>
            </w:r>
          </w:p>
        </w:tc>
        <w:tc>
          <w:tcPr>
            <w:tcW w:w="1496" w:type="dxa"/>
            <w:tcBorders>
              <w:left w:val="single" w:sz="4" w:space="0" w:color="000000"/>
              <w:right w:val="single" w:sz="4" w:space="0" w:color="000000"/>
            </w:tcBorders>
          </w:tcPr>
          <w:p w14:paraId="0DFDB97B" w14:textId="77777777" w:rsidR="00046465" w:rsidRDefault="008134EB">
            <w:pPr>
              <w:pStyle w:val="TableParagraph"/>
              <w:spacing w:before="143"/>
              <w:ind w:left="110"/>
            </w:pPr>
            <w:r>
              <w:rPr>
                <w:spacing w:val="-2"/>
              </w:rPr>
              <w:t>Effective controls?</w:t>
            </w:r>
          </w:p>
        </w:tc>
        <w:tc>
          <w:tcPr>
            <w:tcW w:w="2185" w:type="dxa"/>
            <w:tcBorders>
              <w:left w:val="single" w:sz="4" w:space="0" w:color="000000"/>
            </w:tcBorders>
          </w:tcPr>
          <w:p w14:paraId="0DFDB97C" w14:textId="77777777" w:rsidR="00046465" w:rsidRDefault="008134EB">
            <w:pPr>
              <w:pStyle w:val="TableParagraph"/>
              <w:spacing w:before="143"/>
              <w:ind w:left="111" w:right="2"/>
            </w:pPr>
            <w:r>
              <w:t xml:space="preserve">Instances of </w:t>
            </w:r>
            <w:r>
              <w:rPr>
                <w:spacing w:val="-2"/>
              </w:rPr>
              <w:t>noncompliance?</w:t>
            </w:r>
          </w:p>
        </w:tc>
      </w:tr>
      <w:tr w:rsidR="00046465" w14:paraId="0DFDB987" w14:textId="77777777">
        <w:trPr>
          <w:trHeight w:val="3061"/>
        </w:trPr>
        <w:tc>
          <w:tcPr>
            <w:tcW w:w="3943" w:type="dxa"/>
            <w:tcBorders>
              <w:right w:val="single" w:sz="4" w:space="0" w:color="000000"/>
            </w:tcBorders>
          </w:tcPr>
          <w:p w14:paraId="0DFDB97E" w14:textId="77777777" w:rsidR="00046465" w:rsidRDefault="008134EB">
            <w:pPr>
              <w:pStyle w:val="TableParagraph"/>
              <w:spacing w:before="143"/>
              <w:ind w:left="817" w:right="92" w:hanging="720"/>
              <w:rPr>
                <w:sz w:val="18"/>
              </w:rPr>
            </w:pPr>
            <w:r>
              <w:rPr>
                <w:smallCaps/>
                <w:sz w:val="18"/>
              </w:rPr>
              <w:t xml:space="preserve">805.05. </w:t>
            </w:r>
            <w:r>
              <w:rPr>
                <w:smallCaps/>
                <w:spacing w:val="20"/>
                <w:sz w:val="18"/>
              </w:rPr>
              <w:t xml:space="preserve"> </w:t>
            </w:r>
            <w:r>
              <w:rPr>
                <w:smallCaps/>
                <w:sz w:val="18"/>
              </w:rPr>
              <w:t>Denying Federal Financial</w:t>
            </w:r>
            <w:r>
              <w:rPr>
                <w:smallCaps/>
                <w:spacing w:val="40"/>
                <w:sz w:val="18"/>
              </w:rPr>
              <w:t xml:space="preserve"> </w:t>
            </w:r>
            <w:r>
              <w:rPr>
                <w:smallCaps/>
                <w:sz w:val="18"/>
              </w:rPr>
              <w:t>Assistance</w:t>
            </w:r>
            <w:r>
              <w:rPr>
                <w:smallCaps/>
                <w:spacing w:val="-10"/>
                <w:sz w:val="18"/>
              </w:rPr>
              <w:t xml:space="preserve"> </w:t>
            </w:r>
            <w:r>
              <w:rPr>
                <w:smallCaps/>
                <w:sz w:val="18"/>
              </w:rPr>
              <w:t>to</w:t>
            </w:r>
            <w:r>
              <w:rPr>
                <w:smallCaps/>
                <w:spacing w:val="-10"/>
                <w:sz w:val="18"/>
              </w:rPr>
              <w:t xml:space="preserve"> </w:t>
            </w:r>
            <w:r>
              <w:rPr>
                <w:smallCaps/>
                <w:sz w:val="18"/>
              </w:rPr>
              <w:t>Delinquent</w:t>
            </w:r>
            <w:r>
              <w:rPr>
                <w:smallCaps/>
                <w:spacing w:val="-10"/>
                <w:sz w:val="18"/>
              </w:rPr>
              <w:t xml:space="preserve"> </w:t>
            </w:r>
            <w:r>
              <w:rPr>
                <w:smallCaps/>
                <w:sz w:val="18"/>
              </w:rPr>
              <w:t>Debtors.</w:t>
            </w:r>
          </w:p>
          <w:p w14:paraId="0DFDB97F" w14:textId="77777777" w:rsidR="00046465" w:rsidRDefault="008134EB">
            <w:pPr>
              <w:pStyle w:val="TableParagraph"/>
              <w:spacing w:before="146"/>
              <w:ind w:left="97"/>
              <w:rPr>
                <w:sz w:val="18"/>
              </w:rPr>
            </w:pPr>
            <w:r>
              <w:rPr>
                <w:sz w:val="18"/>
              </w:rPr>
              <w:t>Provision</w:t>
            </w:r>
            <w:r>
              <w:rPr>
                <w:spacing w:val="-10"/>
                <w:sz w:val="18"/>
              </w:rPr>
              <w:t xml:space="preserve"> </w:t>
            </w:r>
            <w:r>
              <w:rPr>
                <w:sz w:val="18"/>
              </w:rPr>
              <w:t>Type:</w:t>
            </w:r>
            <w:r>
              <w:rPr>
                <w:spacing w:val="-8"/>
                <w:sz w:val="18"/>
              </w:rPr>
              <w:t xml:space="preserve"> </w:t>
            </w:r>
            <w:r>
              <w:rPr>
                <w:sz w:val="18"/>
              </w:rPr>
              <w:t>Transaction-</w:t>
            </w:r>
            <w:r>
              <w:rPr>
                <w:spacing w:val="-2"/>
                <w:sz w:val="18"/>
              </w:rPr>
              <w:t>based.</w:t>
            </w:r>
          </w:p>
          <w:p w14:paraId="0DFDB980" w14:textId="77777777" w:rsidR="00046465" w:rsidRDefault="008134EB">
            <w:pPr>
              <w:pStyle w:val="TableParagraph"/>
              <w:spacing w:before="143"/>
              <w:ind w:left="97" w:right="92"/>
              <w:rPr>
                <w:sz w:val="18"/>
              </w:rPr>
            </w:pPr>
            <w:r>
              <w:rPr>
                <w:sz w:val="18"/>
              </w:rPr>
              <w:t>Unless</w:t>
            </w:r>
            <w:r>
              <w:rPr>
                <w:spacing w:val="-1"/>
                <w:sz w:val="18"/>
              </w:rPr>
              <w:t xml:space="preserve"> </w:t>
            </w:r>
            <w:r>
              <w:rPr>
                <w:sz w:val="18"/>
              </w:rPr>
              <w:t>waived by</w:t>
            </w:r>
            <w:r>
              <w:rPr>
                <w:spacing w:val="-1"/>
                <w:sz w:val="18"/>
              </w:rPr>
              <w:t xml:space="preserve"> </w:t>
            </w:r>
            <w:r>
              <w:rPr>
                <w:sz w:val="18"/>
              </w:rPr>
              <w:t>the</w:t>
            </w:r>
            <w:r>
              <w:rPr>
                <w:spacing w:val="-2"/>
                <w:sz w:val="18"/>
              </w:rPr>
              <w:t xml:space="preserve"> </w:t>
            </w:r>
            <w:r>
              <w:rPr>
                <w:sz w:val="18"/>
              </w:rPr>
              <w:t>entity,</w:t>
            </w:r>
            <w:r>
              <w:rPr>
                <w:spacing w:val="-1"/>
                <w:sz w:val="18"/>
              </w:rPr>
              <w:t xml:space="preserve"> </w:t>
            </w:r>
            <w:r>
              <w:rPr>
                <w:sz w:val="18"/>
              </w:rPr>
              <w:t>a</w:t>
            </w:r>
            <w:r>
              <w:rPr>
                <w:spacing w:val="-2"/>
                <w:sz w:val="18"/>
              </w:rPr>
              <w:t xml:space="preserve"> </w:t>
            </w:r>
            <w:r>
              <w:rPr>
                <w:sz w:val="18"/>
              </w:rPr>
              <w:t>person</w:t>
            </w:r>
            <w:r>
              <w:rPr>
                <w:spacing w:val="-2"/>
                <w:sz w:val="18"/>
              </w:rPr>
              <w:t xml:space="preserve"> </w:t>
            </w:r>
            <w:r>
              <w:rPr>
                <w:sz w:val="18"/>
              </w:rPr>
              <w:t>may</w:t>
            </w:r>
            <w:r>
              <w:rPr>
                <w:spacing w:val="-1"/>
                <w:sz w:val="18"/>
              </w:rPr>
              <w:t xml:space="preserve"> </w:t>
            </w:r>
            <w:r>
              <w:rPr>
                <w:sz w:val="18"/>
              </w:rPr>
              <w:t>not obtain any loan (other than one of the listed exceptions, such as a disaster loan) or loan insurance or guarantee administered by the entity if the person has outstanding nontax delinquent</w:t>
            </w:r>
            <w:r>
              <w:rPr>
                <w:spacing w:val="-7"/>
                <w:sz w:val="18"/>
              </w:rPr>
              <w:t xml:space="preserve"> </w:t>
            </w:r>
            <w:r>
              <w:rPr>
                <w:sz w:val="18"/>
              </w:rPr>
              <w:t>federal</w:t>
            </w:r>
            <w:r>
              <w:rPr>
                <w:spacing w:val="-7"/>
                <w:sz w:val="18"/>
              </w:rPr>
              <w:t xml:space="preserve"> </w:t>
            </w:r>
            <w:r>
              <w:rPr>
                <w:sz w:val="18"/>
              </w:rPr>
              <w:t>debt.</w:t>
            </w:r>
            <w:r>
              <w:rPr>
                <w:spacing w:val="-7"/>
                <w:sz w:val="18"/>
              </w:rPr>
              <w:t xml:space="preserve"> </w:t>
            </w:r>
            <w:r>
              <w:rPr>
                <w:sz w:val="18"/>
              </w:rPr>
              <w:t>31</w:t>
            </w:r>
            <w:r>
              <w:rPr>
                <w:spacing w:val="-7"/>
                <w:sz w:val="18"/>
              </w:rPr>
              <w:t xml:space="preserve"> </w:t>
            </w:r>
            <w:r>
              <w:rPr>
                <w:sz w:val="18"/>
              </w:rPr>
              <w:t>U.S.C.</w:t>
            </w:r>
            <w:r>
              <w:rPr>
                <w:spacing w:val="-6"/>
                <w:sz w:val="18"/>
              </w:rPr>
              <w:t xml:space="preserve"> </w:t>
            </w:r>
            <w:r>
              <w:rPr>
                <w:sz w:val="18"/>
              </w:rPr>
              <w:t>§</w:t>
            </w:r>
            <w:r>
              <w:rPr>
                <w:spacing w:val="-7"/>
                <w:sz w:val="18"/>
              </w:rPr>
              <w:t xml:space="preserve"> </w:t>
            </w:r>
            <w:r>
              <w:rPr>
                <w:sz w:val="18"/>
              </w:rPr>
              <w:t>3720B(a). Delinquency is determined under standards prescribed in implementing Treasury regulations. 31 U.S.C. § 3720B(a).</w:t>
            </w:r>
          </w:p>
        </w:tc>
        <w:tc>
          <w:tcPr>
            <w:tcW w:w="1791" w:type="dxa"/>
            <w:tcBorders>
              <w:left w:val="single" w:sz="4" w:space="0" w:color="000000"/>
              <w:right w:val="single" w:sz="4" w:space="0" w:color="000000"/>
            </w:tcBorders>
          </w:tcPr>
          <w:p w14:paraId="0DFDB981" w14:textId="77777777" w:rsidR="00046465" w:rsidRDefault="008134EB">
            <w:pPr>
              <w:pStyle w:val="TableParagraph"/>
              <w:spacing w:before="144"/>
              <w:ind w:left="108"/>
              <w:rPr>
                <w:sz w:val="18"/>
              </w:rPr>
            </w:pPr>
            <w:r>
              <w:rPr>
                <w:sz w:val="18"/>
              </w:rPr>
              <w:t>Loans and loan insurance or guarantees</w:t>
            </w:r>
            <w:r>
              <w:rPr>
                <w:spacing w:val="-15"/>
                <w:sz w:val="18"/>
              </w:rPr>
              <w:t xml:space="preserve"> </w:t>
            </w:r>
            <w:r>
              <w:rPr>
                <w:sz w:val="18"/>
              </w:rPr>
              <w:t>are</w:t>
            </w:r>
            <w:r>
              <w:rPr>
                <w:spacing w:val="-12"/>
                <w:sz w:val="18"/>
              </w:rPr>
              <w:t xml:space="preserve"> </w:t>
            </w:r>
            <w:r>
              <w:rPr>
                <w:sz w:val="18"/>
              </w:rPr>
              <w:t>not granted</w:t>
            </w:r>
            <w:r>
              <w:rPr>
                <w:spacing w:val="-15"/>
                <w:sz w:val="18"/>
              </w:rPr>
              <w:t xml:space="preserve"> </w:t>
            </w:r>
            <w:r>
              <w:rPr>
                <w:sz w:val="18"/>
              </w:rPr>
              <w:t>to</w:t>
            </w:r>
            <w:r>
              <w:rPr>
                <w:spacing w:val="-12"/>
                <w:sz w:val="18"/>
              </w:rPr>
              <w:t xml:space="preserve"> </w:t>
            </w:r>
            <w:r>
              <w:rPr>
                <w:sz w:val="18"/>
              </w:rPr>
              <w:t>persons with delinquent nontax debt.</w:t>
            </w:r>
          </w:p>
        </w:tc>
        <w:tc>
          <w:tcPr>
            <w:tcW w:w="2231" w:type="dxa"/>
            <w:tcBorders>
              <w:left w:val="single" w:sz="4" w:space="0" w:color="000000"/>
              <w:right w:val="single" w:sz="4" w:space="0" w:color="000000"/>
            </w:tcBorders>
          </w:tcPr>
          <w:p w14:paraId="0DFDB982" w14:textId="77777777" w:rsidR="00046465" w:rsidRDefault="00046465">
            <w:pPr>
              <w:pStyle w:val="TableParagraph"/>
              <w:rPr>
                <w:rFonts w:ascii="Times New Roman"/>
                <w:sz w:val="18"/>
              </w:rPr>
            </w:pPr>
          </w:p>
        </w:tc>
        <w:tc>
          <w:tcPr>
            <w:tcW w:w="1524" w:type="dxa"/>
            <w:tcBorders>
              <w:left w:val="single" w:sz="4" w:space="0" w:color="000000"/>
              <w:right w:val="single" w:sz="4" w:space="0" w:color="000000"/>
            </w:tcBorders>
          </w:tcPr>
          <w:p w14:paraId="0DFDB983" w14:textId="77777777" w:rsidR="00046465" w:rsidRDefault="00046465">
            <w:pPr>
              <w:pStyle w:val="TableParagraph"/>
              <w:rPr>
                <w:rFonts w:ascii="Times New Roman"/>
                <w:sz w:val="18"/>
              </w:rPr>
            </w:pPr>
          </w:p>
        </w:tc>
        <w:tc>
          <w:tcPr>
            <w:tcW w:w="1496" w:type="dxa"/>
            <w:tcBorders>
              <w:left w:val="single" w:sz="4" w:space="0" w:color="000000"/>
              <w:right w:val="single" w:sz="4" w:space="0" w:color="000000"/>
            </w:tcBorders>
          </w:tcPr>
          <w:p w14:paraId="0DFDB984" w14:textId="77777777" w:rsidR="00046465" w:rsidRDefault="00046465">
            <w:pPr>
              <w:pStyle w:val="TableParagraph"/>
              <w:rPr>
                <w:rFonts w:ascii="Times New Roman"/>
                <w:sz w:val="18"/>
              </w:rPr>
            </w:pPr>
          </w:p>
        </w:tc>
        <w:tc>
          <w:tcPr>
            <w:tcW w:w="2185" w:type="dxa"/>
            <w:tcBorders>
              <w:left w:val="single" w:sz="4" w:space="0" w:color="000000"/>
            </w:tcBorders>
          </w:tcPr>
          <w:p w14:paraId="0DFDB985" w14:textId="77777777" w:rsidR="00046465" w:rsidRDefault="008134EB">
            <w:pPr>
              <w:pStyle w:val="TableParagraph"/>
              <w:spacing w:before="144"/>
              <w:ind w:left="111" w:right="2"/>
              <w:rPr>
                <w:sz w:val="18"/>
              </w:rPr>
            </w:pPr>
            <w:r>
              <w:rPr>
                <w:sz w:val="18"/>
              </w:rPr>
              <w:t>See</w:t>
            </w:r>
            <w:r>
              <w:rPr>
                <w:spacing w:val="-15"/>
                <w:sz w:val="18"/>
              </w:rPr>
              <w:t xml:space="preserve"> </w:t>
            </w:r>
            <w:r>
              <w:rPr>
                <w:sz w:val="18"/>
              </w:rPr>
              <w:t>Compliance</w:t>
            </w:r>
            <w:r>
              <w:rPr>
                <w:spacing w:val="-12"/>
                <w:sz w:val="18"/>
              </w:rPr>
              <w:t xml:space="preserve"> </w:t>
            </w:r>
            <w:r>
              <w:rPr>
                <w:sz w:val="18"/>
              </w:rPr>
              <w:t>Audit Procedures,</w:t>
            </w:r>
            <w:r>
              <w:rPr>
                <w:spacing w:val="-4"/>
                <w:sz w:val="18"/>
              </w:rPr>
              <w:t xml:space="preserve"> </w:t>
            </w:r>
            <w:r>
              <w:rPr>
                <w:sz w:val="18"/>
              </w:rPr>
              <w:t>FAM</w:t>
            </w:r>
            <w:r>
              <w:rPr>
                <w:spacing w:val="-3"/>
                <w:sz w:val="18"/>
              </w:rPr>
              <w:t xml:space="preserve"> </w:t>
            </w:r>
            <w:r>
              <w:rPr>
                <w:spacing w:val="-5"/>
                <w:sz w:val="18"/>
              </w:rPr>
              <w:t>805</w:t>
            </w:r>
          </w:p>
          <w:p w14:paraId="0DFDB986" w14:textId="77777777" w:rsidR="00046465" w:rsidRDefault="008134EB">
            <w:pPr>
              <w:pStyle w:val="TableParagraph"/>
              <w:spacing w:before="1"/>
              <w:ind w:left="111"/>
              <w:rPr>
                <w:sz w:val="18"/>
              </w:rPr>
            </w:pPr>
            <w:r>
              <w:rPr>
                <w:sz w:val="18"/>
              </w:rPr>
              <w:t>step</w:t>
            </w:r>
            <w:r>
              <w:rPr>
                <w:spacing w:val="-2"/>
                <w:sz w:val="18"/>
              </w:rPr>
              <w:t xml:space="preserve"> </w:t>
            </w:r>
            <w:r>
              <w:rPr>
                <w:sz w:val="18"/>
              </w:rPr>
              <w:t>4</w:t>
            </w:r>
            <w:r>
              <w:rPr>
                <w:spacing w:val="-1"/>
                <w:sz w:val="18"/>
              </w:rPr>
              <w:t xml:space="preserve"> </w:t>
            </w:r>
            <w:r>
              <w:rPr>
                <w:spacing w:val="-4"/>
                <w:sz w:val="18"/>
              </w:rPr>
              <w:t>(b).</w:t>
            </w:r>
          </w:p>
        </w:tc>
      </w:tr>
    </w:tbl>
    <w:p w14:paraId="0DFDB988" w14:textId="77777777" w:rsidR="00046465" w:rsidRDefault="00046465">
      <w:pPr>
        <w:pStyle w:val="BodyText"/>
        <w:rPr>
          <w:sz w:val="20"/>
        </w:rPr>
      </w:pPr>
    </w:p>
    <w:p w14:paraId="0DFDB989" w14:textId="77777777" w:rsidR="00046465" w:rsidRDefault="00046465">
      <w:pPr>
        <w:pStyle w:val="BodyText"/>
        <w:rPr>
          <w:sz w:val="20"/>
        </w:rPr>
      </w:pPr>
    </w:p>
    <w:p w14:paraId="0DFDB98A" w14:textId="77777777" w:rsidR="00046465" w:rsidRDefault="008134EB">
      <w:pPr>
        <w:pStyle w:val="BodyText"/>
        <w:spacing w:before="213"/>
        <w:rPr>
          <w:sz w:val="20"/>
        </w:rPr>
      </w:pPr>
      <w:r>
        <w:rPr>
          <w:noProof/>
          <w:sz w:val="20"/>
        </w:rPr>
        <mc:AlternateContent>
          <mc:Choice Requires="wps">
            <w:drawing>
              <wp:anchor distT="0" distB="0" distL="0" distR="0" simplePos="0" relativeHeight="487672320" behindDoc="1" locked="0" layoutInCell="1" allowOverlap="1" wp14:anchorId="0DFDD661" wp14:editId="0DFDD662">
                <wp:simplePos x="0" y="0"/>
                <wp:positionH relativeFrom="page">
                  <wp:posOffset>685800</wp:posOffset>
                </wp:positionH>
                <wp:positionV relativeFrom="paragraph">
                  <wp:posOffset>296696</wp:posOffset>
                </wp:positionV>
                <wp:extent cx="1828800" cy="6985"/>
                <wp:effectExtent l="0" t="0" r="0" b="0"/>
                <wp:wrapTopAndBottom/>
                <wp:docPr id="643" name="Graphic 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6961C9" id="Graphic 643" o:spid="_x0000_s1026" style="position:absolute;margin-left:54pt;margin-top:23.35pt;width:2in;height:.55pt;z-index:-1564416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" path="m1828800,l,,,6857r1828800,l1828800,xe" fillcolor="black" stroked="f">
                <v:path arrowok="t"/>
                <w10:wrap type="topAndBottom" anchorx="page"/>
              </v:shape>
            </w:pict>
          </mc:Fallback>
        </mc:AlternateContent>
      </w:r>
    </w:p>
    <w:p w14:paraId="0DFDB98B" w14:textId="77777777" w:rsidR="00046465" w:rsidRDefault="00046465">
      <w:pPr>
        <w:pStyle w:val="BodyText"/>
        <w:spacing w:before="10"/>
        <w:rPr>
          <w:sz w:val="18"/>
        </w:rPr>
      </w:pPr>
    </w:p>
    <w:p w14:paraId="0DFDB98C" w14:textId="77777777" w:rsidR="00046465" w:rsidRDefault="008134EB">
      <w:pPr>
        <w:spacing w:line="242" w:lineRule="auto"/>
        <w:ind w:left="359"/>
        <w:rPr>
          <w:sz w:val="18"/>
        </w:rPr>
      </w:pPr>
      <w:r>
        <w:rPr>
          <w:position w:val="7"/>
          <w:sz w:val="14"/>
        </w:rPr>
        <w:t>38</w:t>
      </w:r>
      <w:r>
        <w:rPr>
          <w:sz w:val="18"/>
        </w:rPr>
        <w:t>Before collecting a claim by administrative offset, an entity must adopt regulations on collecting claims by administrative offset, which are be in conformity with the regulations issued jointly by the U.S. Comptroller General, the U.S. Attorney General, and the Secretary of the Treasury. 31 U.S.C. § 3716(b). Such regulations must provide that prior to initiating collection by administrative offset, the entity (1) shall provide written notice to the debtor of (A) the type and amount of the debt, (B) the entity’s intention to use administrative offset to collect the debt, and (C) an explanation of the debtor’s rights under 31 U.S.C. § 3716; and (2) shall provide the debtor with</w:t>
      </w:r>
      <w:r>
        <w:rPr>
          <w:spacing w:val="-2"/>
          <w:sz w:val="18"/>
        </w:rPr>
        <w:t xml:space="preserve"> </w:t>
      </w:r>
      <w:r>
        <w:rPr>
          <w:sz w:val="18"/>
        </w:rPr>
        <w:t>the</w:t>
      </w:r>
      <w:r>
        <w:rPr>
          <w:spacing w:val="-2"/>
          <w:sz w:val="18"/>
        </w:rPr>
        <w:t xml:space="preserve"> </w:t>
      </w:r>
      <w:r>
        <w:rPr>
          <w:sz w:val="18"/>
        </w:rPr>
        <w:t>opportunity</w:t>
      </w:r>
      <w:r>
        <w:rPr>
          <w:spacing w:val="-1"/>
          <w:sz w:val="18"/>
        </w:rPr>
        <w:t xml:space="preserve"> </w:t>
      </w:r>
      <w:r>
        <w:rPr>
          <w:sz w:val="18"/>
        </w:rPr>
        <w:t>(A)</w:t>
      </w:r>
      <w:r>
        <w:rPr>
          <w:spacing w:val="-1"/>
          <w:sz w:val="18"/>
        </w:rPr>
        <w:t xml:space="preserve"> </w:t>
      </w:r>
      <w:r>
        <w:rPr>
          <w:sz w:val="18"/>
        </w:rPr>
        <w:t>to</w:t>
      </w:r>
      <w:r>
        <w:rPr>
          <w:spacing w:val="-2"/>
          <w:sz w:val="18"/>
        </w:rPr>
        <w:t xml:space="preserve"> </w:t>
      </w:r>
      <w:r>
        <w:rPr>
          <w:sz w:val="18"/>
        </w:rPr>
        <w:t>inspect</w:t>
      </w:r>
      <w:r>
        <w:rPr>
          <w:spacing w:val="-1"/>
          <w:sz w:val="18"/>
        </w:rPr>
        <w:t xml:space="preserve"> </w:t>
      </w:r>
      <w:r>
        <w:rPr>
          <w:sz w:val="18"/>
        </w:rPr>
        <w:t>and</w:t>
      </w:r>
      <w:r>
        <w:rPr>
          <w:spacing w:val="-2"/>
          <w:sz w:val="18"/>
        </w:rPr>
        <w:t xml:space="preserve"> </w:t>
      </w:r>
      <w:r>
        <w:rPr>
          <w:sz w:val="18"/>
        </w:rPr>
        <w:t>copy entity</w:t>
      </w:r>
      <w:r>
        <w:rPr>
          <w:spacing w:val="-1"/>
          <w:sz w:val="18"/>
        </w:rPr>
        <w:t xml:space="preserve"> </w:t>
      </w:r>
      <w:r>
        <w:rPr>
          <w:sz w:val="18"/>
        </w:rPr>
        <w:t>records</w:t>
      </w:r>
      <w:r>
        <w:rPr>
          <w:spacing w:val="-1"/>
          <w:sz w:val="18"/>
        </w:rPr>
        <w:t xml:space="preserve"> </w:t>
      </w:r>
      <w:r>
        <w:rPr>
          <w:sz w:val="18"/>
        </w:rPr>
        <w:t>related</w:t>
      </w:r>
      <w:r>
        <w:rPr>
          <w:spacing w:val="-2"/>
          <w:sz w:val="18"/>
        </w:rPr>
        <w:t xml:space="preserve"> </w:t>
      </w:r>
      <w:r>
        <w:rPr>
          <w:sz w:val="18"/>
        </w:rPr>
        <w:t>to</w:t>
      </w:r>
      <w:r>
        <w:rPr>
          <w:spacing w:val="-2"/>
          <w:sz w:val="18"/>
        </w:rPr>
        <w:t xml:space="preserve"> </w:t>
      </w:r>
      <w:r>
        <w:rPr>
          <w:sz w:val="18"/>
        </w:rPr>
        <w:t>the</w:t>
      </w:r>
      <w:r>
        <w:rPr>
          <w:spacing w:val="-2"/>
          <w:sz w:val="18"/>
        </w:rPr>
        <w:t xml:space="preserve"> </w:t>
      </w:r>
      <w:r>
        <w:rPr>
          <w:sz w:val="18"/>
        </w:rPr>
        <w:t>debt,</w:t>
      </w:r>
      <w:r>
        <w:rPr>
          <w:spacing w:val="-1"/>
          <w:sz w:val="18"/>
        </w:rPr>
        <w:t xml:space="preserve"> </w:t>
      </w:r>
      <w:r>
        <w:rPr>
          <w:sz w:val="18"/>
        </w:rPr>
        <w:t>(B)</w:t>
      </w:r>
      <w:r>
        <w:rPr>
          <w:spacing w:val="-1"/>
          <w:sz w:val="18"/>
        </w:rPr>
        <w:t xml:space="preserve"> </w:t>
      </w:r>
      <w:r>
        <w:rPr>
          <w:sz w:val="18"/>
        </w:rPr>
        <w:t>for</w:t>
      </w:r>
      <w:r>
        <w:rPr>
          <w:spacing w:val="-1"/>
          <w:sz w:val="18"/>
        </w:rPr>
        <w:t xml:space="preserve"> </w:t>
      </w:r>
      <w:r>
        <w:rPr>
          <w:sz w:val="18"/>
        </w:rPr>
        <w:t>a</w:t>
      </w:r>
      <w:r>
        <w:rPr>
          <w:spacing w:val="-2"/>
          <w:sz w:val="18"/>
        </w:rPr>
        <w:t xml:space="preserve"> </w:t>
      </w:r>
      <w:r>
        <w:rPr>
          <w:sz w:val="18"/>
        </w:rPr>
        <w:t>review</w:t>
      </w:r>
      <w:r>
        <w:rPr>
          <w:spacing w:val="-1"/>
          <w:sz w:val="18"/>
        </w:rPr>
        <w:t xml:space="preserve"> </w:t>
      </w:r>
      <w:r>
        <w:rPr>
          <w:sz w:val="18"/>
        </w:rPr>
        <w:t>within</w:t>
      </w:r>
      <w:r>
        <w:rPr>
          <w:spacing w:val="-2"/>
          <w:sz w:val="18"/>
        </w:rPr>
        <w:t xml:space="preserve"> </w:t>
      </w:r>
      <w:r>
        <w:rPr>
          <w:sz w:val="18"/>
        </w:rPr>
        <w:t>the entity</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determination</w:t>
      </w:r>
      <w:r>
        <w:rPr>
          <w:spacing w:val="-2"/>
          <w:sz w:val="18"/>
        </w:rPr>
        <w:t xml:space="preserve"> </w:t>
      </w:r>
      <w:r>
        <w:rPr>
          <w:sz w:val="18"/>
        </w:rPr>
        <w:t>of</w:t>
      </w:r>
      <w:r>
        <w:rPr>
          <w:spacing w:val="-1"/>
          <w:sz w:val="18"/>
        </w:rPr>
        <w:t xml:space="preserve"> </w:t>
      </w:r>
      <w:r>
        <w:rPr>
          <w:sz w:val="18"/>
        </w:rPr>
        <w:t>indebtedness,</w:t>
      </w:r>
      <w:r>
        <w:rPr>
          <w:spacing w:val="-1"/>
          <w:sz w:val="18"/>
        </w:rPr>
        <w:t xml:space="preserve"> </w:t>
      </w:r>
      <w:r>
        <w:rPr>
          <w:sz w:val="18"/>
        </w:rPr>
        <w:t>and</w:t>
      </w:r>
      <w:r>
        <w:rPr>
          <w:spacing w:val="-2"/>
          <w:sz w:val="18"/>
        </w:rPr>
        <w:t xml:space="preserve"> </w:t>
      </w:r>
      <w:r>
        <w:rPr>
          <w:sz w:val="18"/>
        </w:rPr>
        <w:t>(C)</w:t>
      </w:r>
      <w:r>
        <w:rPr>
          <w:spacing w:val="-1"/>
          <w:sz w:val="18"/>
        </w:rPr>
        <w:t xml:space="preserve"> </w:t>
      </w:r>
      <w:r>
        <w:rPr>
          <w:sz w:val="18"/>
        </w:rPr>
        <w:t>to</w:t>
      </w:r>
      <w:r>
        <w:rPr>
          <w:spacing w:val="-2"/>
          <w:sz w:val="18"/>
        </w:rPr>
        <w:t xml:space="preserve"> </w:t>
      </w:r>
      <w:r>
        <w:rPr>
          <w:sz w:val="18"/>
        </w:rPr>
        <w:t>make</w:t>
      </w:r>
      <w:r>
        <w:rPr>
          <w:spacing w:val="-2"/>
          <w:sz w:val="18"/>
        </w:rPr>
        <w:t xml:space="preserve"> </w:t>
      </w:r>
      <w:r>
        <w:rPr>
          <w:sz w:val="18"/>
        </w:rPr>
        <w:t>a written agreement to repay the debt. 31 C.F.R. § 901.3(b)(4).</w:t>
      </w:r>
    </w:p>
    <w:p w14:paraId="0DFDB98D" w14:textId="77777777" w:rsidR="00046465" w:rsidRDefault="008134EB">
      <w:pPr>
        <w:spacing w:before="121" w:line="242" w:lineRule="auto"/>
        <w:ind w:left="359"/>
        <w:rPr>
          <w:sz w:val="18"/>
        </w:rPr>
      </w:pPr>
      <w:r>
        <w:rPr>
          <w:position w:val="7"/>
          <w:sz w:val="14"/>
        </w:rPr>
        <w:t>39</w:t>
      </w:r>
      <w:r>
        <w:rPr>
          <w:sz w:val="18"/>
        </w:rPr>
        <w:t>Exceptions to the requirement to transfer nontax debt delinquent for a period of 120 days to Treasury for collection are (1) a debt or claim that (A) is in litigation or foreclosure, (B) will be disposed of under an asset sales program within 1 year after becoming eligible for sale, or later than 1 year if consistent with an asset sales program and a schedule established by the entity and approved by OMB, (C) has been referred to a private collection contractor for collection for a period determined by Treasury, (D) has been referred by, or with the consent of, Treasury to a debt collection center for a period determined by Treasury, or (E) will be collected under internal</w:t>
      </w:r>
      <w:r>
        <w:rPr>
          <w:spacing w:val="-2"/>
          <w:sz w:val="18"/>
        </w:rPr>
        <w:t xml:space="preserve"> </w:t>
      </w:r>
      <w:r>
        <w:rPr>
          <w:sz w:val="18"/>
        </w:rPr>
        <w:t>offset,</w:t>
      </w:r>
      <w:r>
        <w:rPr>
          <w:spacing w:val="-2"/>
          <w:sz w:val="18"/>
        </w:rPr>
        <w:t xml:space="preserve"> </w:t>
      </w:r>
      <w:r>
        <w:rPr>
          <w:sz w:val="18"/>
        </w:rPr>
        <w:t>if</w:t>
      </w:r>
      <w:r>
        <w:rPr>
          <w:spacing w:val="-2"/>
          <w:sz w:val="18"/>
        </w:rPr>
        <w:t xml:space="preserve"> </w:t>
      </w:r>
      <w:r>
        <w:rPr>
          <w:sz w:val="18"/>
        </w:rPr>
        <w:t>such</w:t>
      </w:r>
      <w:r>
        <w:rPr>
          <w:spacing w:val="-2"/>
          <w:sz w:val="18"/>
        </w:rPr>
        <w:t xml:space="preserve"> </w:t>
      </w:r>
      <w:r>
        <w:rPr>
          <w:sz w:val="18"/>
        </w:rPr>
        <w:t>offset</w:t>
      </w:r>
      <w:r>
        <w:rPr>
          <w:spacing w:val="-2"/>
          <w:sz w:val="18"/>
        </w:rPr>
        <w:t xml:space="preserve"> </w:t>
      </w:r>
      <w:r>
        <w:rPr>
          <w:sz w:val="18"/>
        </w:rPr>
        <w:t>is</w:t>
      </w:r>
      <w:r>
        <w:rPr>
          <w:spacing w:val="-2"/>
          <w:sz w:val="18"/>
        </w:rPr>
        <w:t xml:space="preserve"> </w:t>
      </w:r>
      <w:r>
        <w:rPr>
          <w:sz w:val="18"/>
        </w:rPr>
        <w:t>sufficient</w:t>
      </w:r>
      <w:r>
        <w:rPr>
          <w:spacing w:val="-2"/>
          <w:sz w:val="18"/>
        </w:rPr>
        <w:t xml:space="preserve"> </w:t>
      </w:r>
      <w:r>
        <w:rPr>
          <w:sz w:val="18"/>
        </w:rPr>
        <w:t>to</w:t>
      </w:r>
      <w:r>
        <w:rPr>
          <w:spacing w:val="-2"/>
          <w:sz w:val="18"/>
        </w:rPr>
        <w:t xml:space="preserve"> </w:t>
      </w:r>
      <w:r>
        <w:rPr>
          <w:sz w:val="18"/>
        </w:rPr>
        <w:t>collect</w:t>
      </w:r>
      <w:r>
        <w:rPr>
          <w:spacing w:val="-2"/>
          <w:sz w:val="18"/>
        </w:rPr>
        <w:t xml:space="preserve"> </w:t>
      </w:r>
      <w:r>
        <w:rPr>
          <w:sz w:val="18"/>
        </w:rPr>
        <w:t>the</w:t>
      </w:r>
      <w:r>
        <w:rPr>
          <w:spacing w:val="-2"/>
          <w:sz w:val="18"/>
        </w:rPr>
        <w:t xml:space="preserve"> </w:t>
      </w:r>
      <w:r>
        <w:rPr>
          <w:sz w:val="18"/>
        </w:rPr>
        <w:t>claim</w:t>
      </w:r>
      <w:r>
        <w:rPr>
          <w:spacing w:val="-1"/>
          <w:sz w:val="18"/>
        </w:rPr>
        <w:t xml:space="preserve"> </w:t>
      </w:r>
      <w:r>
        <w:rPr>
          <w:sz w:val="18"/>
        </w:rPr>
        <w:t>within</w:t>
      </w:r>
      <w:r>
        <w:rPr>
          <w:spacing w:val="-1"/>
          <w:sz w:val="18"/>
        </w:rPr>
        <w:t xml:space="preserve"> </w:t>
      </w:r>
      <w:r>
        <w:rPr>
          <w:sz w:val="18"/>
        </w:rPr>
        <w:t>3</w:t>
      </w:r>
      <w:r>
        <w:rPr>
          <w:spacing w:val="-2"/>
          <w:sz w:val="18"/>
        </w:rPr>
        <w:t xml:space="preserve"> </w:t>
      </w:r>
      <w:r>
        <w:rPr>
          <w:sz w:val="18"/>
        </w:rPr>
        <w:t>years</w:t>
      </w:r>
      <w:r>
        <w:rPr>
          <w:spacing w:val="-1"/>
          <w:sz w:val="18"/>
        </w:rPr>
        <w:t xml:space="preserve"> </w:t>
      </w:r>
      <w:r>
        <w:rPr>
          <w:sz w:val="18"/>
        </w:rPr>
        <w:t>after</w:t>
      </w:r>
      <w:r>
        <w:rPr>
          <w:spacing w:val="-2"/>
          <w:sz w:val="18"/>
        </w:rPr>
        <w:t xml:space="preserve"> </w:t>
      </w:r>
      <w:r>
        <w:rPr>
          <w:sz w:val="18"/>
        </w:rPr>
        <w:t>the</w:t>
      </w:r>
      <w:r>
        <w:rPr>
          <w:spacing w:val="-2"/>
          <w:sz w:val="18"/>
        </w:rPr>
        <w:t xml:space="preserve"> </w:t>
      </w:r>
      <w:r>
        <w:rPr>
          <w:sz w:val="18"/>
        </w:rPr>
        <w:t>date</w:t>
      </w:r>
      <w:r>
        <w:rPr>
          <w:spacing w:val="-3"/>
          <w:sz w:val="18"/>
        </w:rPr>
        <w:t xml:space="preserve"> </w:t>
      </w:r>
      <w:r>
        <w:rPr>
          <w:sz w:val="18"/>
        </w:rPr>
        <w:t>the</w:t>
      </w:r>
      <w:r>
        <w:rPr>
          <w:spacing w:val="-2"/>
          <w:sz w:val="18"/>
        </w:rPr>
        <w:t xml:space="preserve"> </w:t>
      </w:r>
      <w:r>
        <w:rPr>
          <w:sz w:val="18"/>
        </w:rPr>
        <w:t>debt</w:t>
      </w:r>
      <w:r>
        <w:rPr>
          <w:spacing w:val="-2"/>
          <w:sz w:val="18"/>
        </w:rPr>
        <w:t xml:space="preserve"> </w:t>
      </w:r>
      <w:r>
        <w:rPr>
          <w:sz w:val="18"/>
        </w:rPr>
        <w:t>or</w:t>
      </w:r>
      <w:r>
        <w:rPr>
          <w:spacing w:val="-2"/>
          <w:sz w:val="18"/>
        </w:rPr>
        <w:t xml:space="preserve"> </w:t>
      </w:r>
      <w:r>
        <w:rPr>
          <w:sz w:val="18"/>
        </w:rPr>
        <w:t>claim</w:t>
      </w:r>
      <w:r>
        <w:rPr>
          <w:spacing w:val="-2"/>
          <w:sz w:val="18"/>
        </w:rPr>
        <w:t xml:space="preserve"> </w:t>
      </w:r>
      <w:r>
        <w:rPr>
          <w:sz w:val="18"/>
        </w:rPr>
        <w:t>is</w:t>
      </w:r>
      <w:r>
        <w:rPr>
          <w:spacing w:val="-2"/>
          <w:sz w:val="18"/>
        </w:rPr>
        <w:t xml:space="preserve"> </w:t>
      </w:r>
      <w:r>
        <w:rPr>
          <w:sz w:val="18"/>
        </w:rPr>
        <w:t>first</w:t>
      </w:r>
      <w:r>
        <w:rPr>
          <w:spacing w:val="-2"/>
          <w:sz w:val="18"/>
        </w:rPr>
        <w:t xml:space="preserve"> </w:t>
      </w:r>
      <w:r>
        <w:rPr>
          <w:sz w:val="18"/>
        </w:rPr>
        <w:t>delinquent;</w:t>
      </w:r>
      <w:r>
        <w:rPr>
          <w:spacing w:val="-2"/>
          <w:sz w:val="18"/>
        </w:rPr>
        <w:t xml:space="preserve"> </w:t>
      </w:r>
      <w:r>
        <w:rPr>
          <w:sz w:val="18"/>
        </w:rPr>
        <w:t>and</w:t>
      </w:r>
      <w:r>
        <w:rPr>
          <w:spacing w:val="-2"/>
          <w:sz w:val="18"/>
        </w:rPr>
        <w:t xml:space="preserve"> </w:t>
      </w:r>
      <w:r>
        <w:rPr>
          <w:sz w:val="18"/>
        </w:rPr>
        <w:t>(2)</w:t>
      </w:r>
      <w:r>
        <w:rPr>
          <w:spacing w:val="-2"/>
          <w:sz w:val="18"/>
        </w:rPr>
        <w:t xml:space="preserve"> </w:t>
      </w:r>
      <w:r>
        <w:rPr>
          <w:sz w:val="18"/>
        </w:rPr>
        <w:t>to</w:t>
      </w:r>
      <w:r>
        <w:rPr>
          <w:spacing w:val="-2"/>
          <w:sz w:val="18"/>
        </w:rPr>
        <w:t xml:space="preserve"> </w:t>
      </w:r>
      <w:r>
        <w:rPr>
          <w:sz w:val="18"/>
        </w:rPr>
        <w:t>any</w:t>
      </w:r>
      <w:r>
        <w:rPr>
          <w:spacing w:val="-2"/>
          <w:sz w:val="18"/>
        </w:rPr>
        <w:t xml:space="preserve"> </w:t>
      </w:r>
      <w:r>
        <w:rPr>
          <w:sz w:val="18"/>
        </w:rPr>
        <w:t>other</w:t>
      </w:r>
      <w:r>
        <w:rPr>
          <w:spacing w:val="-2"/>
          <w:sz w:val="18"/>
        </w:rPr>
        <w:t xml:space="preserve"> </w:t>
      </w:r>
      <w:r>
        <w:rPr>
          <w:sz w:val="18"/>
        </w:rPr>
        <w:t>specific</w:t>
      </w:r>
      <w:r>
        <w:rPr>
          <w:spacing w:val="-2"/>
          <w:sz w:val="18"/>
        </w:rPr>
        <w:t xml:space="preserve"> </w:t>
      </w:r>
      <w:r>
        <w:rPr>
          <w:sz w:val="18"/>
        </w:rPr>
        <w:t>class</w:t>
      </w:r>
      <w:r>
        <w:rPr>
          <w:spacing w:val="-2"/>
          <w:sz w:val="18"/>
        </w:rPr>
        <w:t xml:space="preserve"> </w:t>
      </w:r>
      <w:r>
        <w:rPr>
          <w:sz w:val="18"/>
        </w:rPr>
        <w:t>of</w:t>
      </w:r>
      <w:r>
        <w:rPr>
          <w:spacing w:val="-2"/>
          <w:sz w:val="18"/>
        </w:rPr>
        <w:t xml:space="preserve"> </w:t>
      </w:r>
      <w:r>
        <w:rPr>
          <w:sz w:val="18"/>
        </w:rPr>
        <w:t>debt</w:t>
      </w:r>
      <w:r>
        <w:rPr>
          <w:spacing w:val="-2"/>
          <w:sz w:val="18"/>
        </w:rPr>
        <w:t xml:space="preserve"> </w:t>
      </w:r>
      <w:r>
        <w:rPr>
          <w:sz w:val="18"/>
        </w:rPr>
        <w:t>or claim, as determined by Treasury at the request of an entity. 31 U.S.C. § 3711(g)(2) and 31 U.S.C. § 3716(c)(6)(A).</w:t>
      </w:r>
    </w:p>
    <w:p w14:paraId="0DFDB98E" w14:textId="77777777" w:rsidR="00046465" w:rsidRDefault="00046465">
      <w:pPr>
        <w:spacing w:line="242" w:lineRule="auto"/>
        <w:rPr>
          <w:sz w:val="18"/>
        </w:rPr>
        <w:sectPr w:rsidR="00046465">
          <w:pgSz w:w="15840" w:h="12240" w:orient="landscape"/>
          <w:pgMar w:top="1340" w:right="1440" w:bottom="940" w:left="720" w:header="721" w:footer="742" w:gutter="0"/>
          <w:cols w:space="720"/>
        </w:sectPr>
      </w:pPr>
    </w:p>
    <w:p w14:paraId="0DFDB98F" w14:textId="77777777" w:rsidR="00046465" w:rsidRDefault="008134EB">
      <w:pPr>
        <w:pStyle w:val="BodyText"/>
        <w:spacing w:before="82"/>
        <w:ind w:left="360" w:right="373"/>
      </w:pPr>
      <w:r>
        <w:lastRenderedPageBreak/>
        <w:t>Note: The auditor generally should perform these procedures or prepare equivalent documentation only if the Federal Debt Collection Authorities, as provided in 31 U.S.C. chapter 37,</w:t>
      </w:r>
      <w:r>
        <w:rPr>
          <w:spacing w:val="-4"/>
        </w:rPr>
        <w:t xml:space="preserve"> </w:t>
      </w:r>
      <w:r>
        <w:t>are</w:t>
      </w:r>
      <w:r>
        <w:rPr>
          <w:spacing w:val="-4"/>
        </w:rPr>
        <w:t xml:space="preserve"> </w:t>
      </w:r>
      <w:r>
        <w:t>significant,</w:t>
      </w:r>
      <w:r>
        <w:rPr>
          <w:spacing w:val="-4"/>
        </w:rPr>
        <w:t xml:space="preserve"> </w:t>
      </w:r>
      <w:r>
        <w:t>as</w:t>
      </w:r>
      <w:r>
        <w:rPr>
          <w:spacing w:val="-5"/>
        </w:rPr>
        <w:t xml:space="preserve"> </w:t>
      </w:r>
      <w:r>
        <w:t>indicated</w:t>
      </w:r>
      <w:r>
        <w:rPr>
          <w:spacing w:val="-4"/>
        </w:rPr>
        <w:t xml:space="preserve"> </w:t>
      </w:r>
      <w:r>
        <w:t>on</w:t>
      </w:r>
      <w:r>
        <w:rPr>
          <w:spacing w:val="-4"/>
        </w:rPr>
        <w:t xml:space="preserve"> </w:t>
      </w:r>
      <w:r>
        <w:t>Form</w:t>
      </w:r>
      <w:r>
        <w:rPr>
          <w:spacing w:val="-5"/>
        </w:rPr>
        <w:t xml:space="preserve"> </w:t>
      </w:r>
      <w:r>
        <w:t>802,</w:t>
      </w:r>
      <w:r>
        <w:rPr>
          <w:spacing w:val="-3"/>
        </w:rPr>
        <w:t xml:space="preserve"> </w:t>
      </w:r>
      <w:r>
        <w:t>General</w:t>
      </w:r>
      <w:r>
        <w:rPr>
          <w:spacing w:val="-4"/>
        </w:rPr>
        <w:t xml:space="preserve"> </w:t>
      </w:r>
      <w:r>
        <w:t>Compliance</w:t>
      </w:r>
      <w:r>
        <w:rPr>
          <w:spacing w:val="-4"/>
        </w:rPr>
        <w:t xml:space="preserve"> </w:t>
      </w:r>
      <w:r>
        <w:t>Checklist.</w:t>
      </w:r>
      <w:r>
        <w:rPr>
          <w:spacing w:val="-4"/>
        </w:rPr>
        <w:t xml:space="preserve"> </w:t>
      </w:r>
      <w:r>
        <w:t>These</w:t>
      </w:r>
      <w:r>
        <w:rPr>
          <w:spacing w:val="-4"/>
        </w:rPr>
        <w:t xml:space="preserve"> </w:t>
      </w:r>
      <w:r>
        <w:t>procedures test compliance with the provisions listed on the Compliance Summary. Implementing regulations</w:t>
      </w:r>
      <w:r>
        <w:rPr>
          <w:spacing w:val="-1"/>
        </w:rPr>
        <w:t xml:space="preserve"> </w:t>
      </w:r>
      <w:r>
        <w:t>on the Federal Debt Collection Authorities, as</w:t>
      </w:r>
      <w:r>
        <w:rPr>
          <w:spacing w:val="-1"/>
        </w:rPr>
        <w:t xml:space="preserve"> </w:t>
      </w:r>
      <w:r>
        <w:t>provided in 31</w:t>
      </w:r>
      <w:r>
        <w:rPr>
          <w:spacing w:val="-1"/>
        </w:rPr>
        <w:t xml:space="preserve"> </w:t>
      </w:r>
      <w:r>
        <w:t>U.S.C. chapter 37, are included in 31 C.F.R. Parts 285 and 900-904.</w:t>
      </w:r>
    </w:p>
    <w:p w14:paraId="0DFDB990" w14:textId="77777777" w:rsidR="00046465" w:rsidRDefault="00046465">
      <w:pPr>
        <w:pStyle w:val="BodyText"/>
        <w:spacing w:before="9"/>
        <w:rPr>
          <w:sz w:val="13"/>
        </w:rPr>
      </w:pPr>
    </w:p>
    <w:tbl>
      <w:tblPr>
        <w:tblW w:w="0" w:type="auto"/>
        <w:tblInd w:w="38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948"/>
        <w:gridCol w:w="1152"/>
        <w:gridCol w:w="1261"/>
      </w:tblGrid>
      <w:tr w:rsidR="00046465" w14:paraId="0DFDB992" w14:textId="77777777">
        <w:trPr>
          <w:trHeight w:val="1335"/>
        </w:trPr>
        <w:tc>
          <w:tcPr>
            <w:tcW w:w="9361" w:type="dxa"/>
            <w:gridSpan w:val="3"/>
          </w:tcPr>
          <w:p w14:paraId="0DFDB991" w14:textId="77777777" w:rsidR="00046465" w:rsidRDefault="008134EB">
            <w:pPr>
              <w:pStyle w:val="TableParagraph"/>
              <w:tabs>
                <w:tab w:val="left" w:pos="8944"/>
              </w:tabs>
              <w:spacing w:before="7" w:line="390" w:lineRule="atLeast"/>
              <w:ind w:left="129" w:right="368"/>
              <w:jc w:val="both"/>
            </w:pPr>
            <w:r>
              <w:t>Name of entity:</w:t>
            </w:r>
            <w:r>
              <w:rPr>
                <w:spacing w:val="178"/>
              </w:rPr>
              <w:t xml:space="preserve"> </w:t>
            </w:r>
            <w:r>
              <w:rPr>
                <w:u w:val="single"/>
              </w:rPr>
              <w:tab/>
            </w:r>
            <w:r>
              <w:t xml:space="preserve"> Audit period:</w:t>
            </w:r>
            <w:r>
              <w:rPr>
                <w:spacing w:val="180"/>
              </w:rPr>
              <w:t xml:space="preserve"> </w:t>
            </w:r>
            <w:r>
              <w:rPr>
                <w:u w:val="single"/>
              </w:rPr>
              <w:tab/>
            </w:r>
            <w:r>
              <w:t xml:space="preserve"> Reviewed by:</w:t>
            </w:r>
            <w:r>
              <w:rPr>
                <w:spacing w:val="93"/>
              </w:rPr>
              <w:t xml:space="preserve"> </w:t>
            </w:r>
            <w:r>
              <w:rPr>
                <w:u w:val="single"/>
              </w:rPr>
              <w:tab/>
            </w:r>
          </w:p>
        </w:tc>
      </w:tr>
      <w:tr w:rsidR="00046465" w14:paraId="0DFDB998" w14:textId="77777777">
        <w:trPr>
          <w:trHeight w:val="625"/>
        </w:trPr>
        <w:tc>
          <w:tcPr>
            <w:tcW w:w="6948" w:type="dxa"/>
            <w:tcBorders>
              <w:right w:val="single" w:sz="6" w:space="0" w:color="000000"/>
            </w:tcBorders>
          </w:tcPr>
          <w:p w14:paraId="0DFDB993" w14:textId="77777777" w:rsidR="00046465" w:rsidRDefault="00046465">
            <w:pPr>
              <w:pStyle w:val="TableParagraph"/>
              <w:spacing w:before="60"/>
            </w:pPr>
          </w:p>
          <w:p w14:paraId="0DFDB994"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152" w:type="dxa"/>
            <w:tcBorders>
              <w:left w:val="single" w:sz="6" w:space="0" w:color="000000"/>
              <w:right w:val="single" w:sz="6" w:space="0" w:color="000000"/>
            </w:tcBorders>
          </w:tcPr>
          <w:p w14:paraId="0DFDB995" w14:textId="77777777" w:rsidR="00046465" w:rsidRDefault="008134EB">
            <w:pPr>
              <w:pStyle w:val="TableParagraph"/>
              <w:spacing w:before="60"/>
              <w:ind w:left="144"/>
              <w:rPr>
                <w:b/>
              </w:rPr>
            </w:pPr>
            <w:r>
              <w:rPr>
                <w:b/>
                <w:spacing w:val="-2"/>
              </w:rPr>
              <w:t xml:space="preserve">Initials/ </w:t>
            </w:r>
            <w:r>
              <w:rPr>
                <w:b/>
                <w:spacing w:val="-4"/>
              </w:rPr>
              <w:t>date</w:t>
            </w:r>
          </w:p>
        </w:tc>
        <w:tc>
          <w:tcPr>
            <w:tcW w:w="1261" w:type="dxa"/>
            <w:tcBorders>
              <w:left w:val="single" w:sz="6" w:space="0" w:color="000000"/>
            </w:tcBorders>
          </w:tcPr>
          <w:p w14:paraId="0DFDB996" w14:textId="77777777" w:rsidR="00046465" w:rsidRDefault="00046465">
            <w:pPr>
              <w:pStyle w:val="TableParagraph"/>
              <w:spacing w:before="60"/>
            </w:pPr>
          </w:p>
          <w:p w14:paraId="0DFDB997" w14:textId="77777777" w:rsidR="00046465" w:rsidRDefault="008134EB">
            <w:pPr>
              <w:pStyle w:val="TableParagraph"/>
              <w:ind w:left="144"/>
              <w:rPr>
                <w:b/>
              </w:rPr>
            </w:pPr>
            <w:r>
              <w:rPr>
                <w:b/>
              </w:rPr>
              <w:t>Doc.</w:t>
            </w:r>
            <w:r>
              <w:rPr>
                <w:b/>
                <w:spacing w:val="-6"/>
              </w:rPr>
              <w:t xml:space="preserve"> </w:t>
            </w:r>
            <w:r>
              <w:rPr>
                <w:b/>
                <w:spacing w:val="-4"/>
              </w:rPr>
              <w:t>ref.</w:t>
            </w:r>
          </w:p>
        </w:tc>
      </w:tr>
      <w:tr w:rsidR="00046465" w14:paraId="0DFDB99D" w14:textId="77777777">
        <w:trPr>
          <w:trHeight w:val="2757"/>
        </w:trPr>
        <w:tc>
          <w:tcPr>
            <w:tcW w:w="6948" w:type="dxa"/>
            <w:tcBorders>
              <w:bottom w:val="single" w:sz="6" w:space="0" w:color="000000"/>
              <w:right w:val="single" w:sz="6" w:space="0" w:color="000000"/>
            </w:tcBorders>
          </w:tcPr>
          <w:p w14:paraId="0DFDB999" w14:textId="77777777" w:rsidR="00046465" w:rsidRDefault="008134EB">
            <w:pPr>
              <w:pStyle w:val="TableParagraph"/>
              <w:tabs>
                <w:tab w:val="left" w:pos="561"/>
              </w:tabs>
              <w:spacing w:before="120"/>
              <w:ind w:left="561" w:right="265" w:hanging="432"/>
              <w:rPr>
                <w:position w:val="7"/>
                <w:sz w:val="14"/>
              </w:rPr>
            </w:pPr>
            <w:r>
              <w:rPr>
                <w:spacing w:val="-6"/>
              </w:rPr>
              <w:t>1.</w:t>
            </w:r>
            <w:r>
              <w:tab/>
              <w:t>Based on the preliminary assessment of compliance control effectiveness (as documented on Form 805, Compliance Summary), select a statistical sample of amounts owed to the entity during</w:t>
            </w:r>
            <w:r>
              <w:rPr>
                <w:spacing w:val="-1"/>
              </w:rPr>
              <w:t xml:space="preserve"> </w:t>
            </w:r>
            <w:r>
              <w:t>or at the end of the audit period. The sample size will vary based on the expected effectiveness of compliance controls,</w:t>
            </w:r>
            <w:r>
              <w:rPr>
                <w:spacing w:val="-5"/>
              </w:rPr>
              <w:t xml:space="preserve"> </w:t>
            </w:r>
            <w:r>
              <w:t>as</w:t>
            </w:r>
            <w:r>
              <w:rPr>
                <w:spacing w:val="-6"/>
              </w:rPr>
              <w:t xml:space="preserve"> </w:t>
            </w:r>
            <w:r>
              <w:t>discussed</w:t>
            </w:r>
            <w:r>
              <w:rPr>
                <w:spacing w:val="-5"/>
              </w:rPr>
              <w:t xml:space="preserve"> </w:t>
            </w:r>
            <w:r>
              <w:t>in</w:t>
            </w:r>
            <w:r>
              <w:rPr>
                <w:spacing w:val="-6"/>
              </w:rPr>
              <w:t xml:space="preserve"> </w:t>
            </w:r>
            <w:r>
              <w:t>FAM</w:t>
            </w:r>
            <w:r>
              <w:rPr>
                <w:spacing w:val="-6"/>
              </w:rPr>
              <w:t xml:space="preserve"> </w:t>
            </w:r>
            <w:r>
              <w:t>460.02.</w:t>
            </w:r>
            <w:r>
              <w:rPr>
                <w:spacing w:val="-5"/>
              </w:rPr>
              <w:t xml:space="preserve"> </w:t>
            </w:r>
            <w:r>
              <w:t>Document</w:t>
            </w:r>
            <w:r>
              <w:rPr>
                <w:spacing w:val="-5"/>
              </w:rPr>
              <w:t xml:space="preserve"> </w:t>
            </w:r>
            <w:r>
              <w:t>the</w:t>
            </w:r>
            <w:r>
              <w:rPr>
                <w:spacing w:val="-5"/>
              </w:rPr>
              <w:t xml:space="preserve"> </w:t>
            </w:r>
            <w:r>
              <w:t>sampling approach (see example documentation in FAM 495 D).</w:t>
            </w:r>
            <w:hyperlink w:anchor="_bookmark105" w:history="1">
              <w:r>
                <w:rPr>
                  <w:position w:val="7"/>
                  <w:sz w:val="14"/>
                </w:rPr>
                <w:t>40</w:t>
              </w:r>
            </w:hyperlink>
          </w:p>
          <w:p w14:paraId="0DFDB99A" w14:textId="77777777" w:rsidR="00046465" w:rsidRDefault="008134EB">
            <w:pPr>
              <w:pStyle w:val="TableParagraph"/>
              <w:tabs>
                <w:tab w:val="left" w:pos="6498"/>
              </w:tabs>
              <w:spacing w:before="3" w:line="370" w:lineRule="atLeast"/>
              <w:ind w:left="561" w:right="416"/>
            </w:pPr>
            <w:r>
              <w:t>Sample size</w:t>
            </w:r>
            <w:r>
              <w:rPr>
                <w:spacing w:val="29"/>
              </w:rPr>
              <w:t xml:space="preserve"> </w:t>
            </w:r>
            <w:r>
              <w:rPr>
                <w:u w:val="single"/>
              </w:rPr>
              <w:tab/>
            </w:r>
            <w:r>
              <w:t xml:space="preserve"> Sample selection method</w:t>
            </w:r>
            <w:r>
              <w:rPr>
                <w:spacing w:val="103"/>
              </w:rPr>
              <w:t xml:space="preserve"> </w:t>
            </w:r>
            <w:r>
              <w:rPr>
                <w:u w:val="single"/>
              </w:rPr>
              <w:tab/>
            </w:r>
          </w:p>
        </w:tc>
        <w:tc>
          <w:tcPr>
            <w:tcW w:w="1152" w:type="dxa"/>
            <w:tcBorders>
              <w:left w:val="single" w:sz="6" w:space="0" w:color="000000"/>
              <w:bottom w:val="single" w:sz="6" w:space="0" w:color="000000"/>
              <w:right w:val="single" w:sz="6" w:space="0" w:color="000000"/>
            </w:tcBorders>
          </w:tcPr>
          <w:p w14:paraId="0DFDB99B" w14:textId="77777777" w:rsidR="00046465" w:rsidRDefault="00046465">
            <w:pPr>
              <w:pStyle w:val="TableParagraph"/>
              <w:rPr>
                <w:rFonts w:ascii="Times New Roman"/>
                <w:sz w:val="20"/>
              </w:rPr>
            </w:pPr>
          </w:p>
        </w:tc>
        <w:tc>
          <w:tcPr>
            <w:tcW w:w="1261" w:type="dxa"/>
            <w:tcBorders>
              <w:left w:val="single" w:sz="6" w:space="0" w:color="000000"/>
              <w:bottom w:val="single" w:sz="6" w:space="0" w:color="000000"/>
            </w:tcBorders>
          </w:tcPr>
          <w:p w14:paraId="0DFDB99C" w14:textId="77777777" w:rsidR="00046465" w:rsidRDefault="00046465">
            <w:pPr>
              <w:pStyle w:val="TableParagraph"/>
              <w:rPr>
                <w:rFonts w:ascii="Times New Roman"/>
                <w:sz w:val="20"/>
              </w:rPr>
            </w:pPr>
          </w:p>
        </w:tc>
      </w:tr>
      <w:tr w:rsidR="00046465" w14:paraId="0DFDB9A7" w14:textId="77777777">
        <w:trPr>
          <w:trHeight w:val="4190"/>
        </w:trPr>
        <w:tc>
          <w:tcPr>
            <w:tcW w:w="6948" w:type="dxa"/>
            <w:tcBorders>
              <w:top w:val="single" w:sz="6" w:space="0" w:color="000000"/>
              <w:bottom w:val="single" w:sz="2" w:space="0" w:color="000000"/>
              <w:right w:val="single" w:sz="6" w:space="0" w:color="000000"/>
            </w:tcBorders>
          </w:tcPr>
          <w:p w14:paraId="0DFDB99E" w14:textId="77777777" w:rsidR="00046465" w:rsidRDefault="008134EB">
            <w:pPr>
              <w:pStyle w:val="TableParagraph"/>
              <w:numPr>
                <w:ilvl w:val="0"/>
                <w:numId w:val="172"/>
              </w:numPr>
              <w:tabs>
                <w:tab w:val="left" w:pos="567"/>
                <w:tab w:val="left" w:pos="600"/>
              </w:tabs>
              <w:spacing w:before="119"/>
              <w:ind w:right="141" w:hanging="471"/>
            </w:pPr>
            <w:r>
              <w:t>For each item selected in step 1, obtain the loan file or other supporting</w:t>
            </w:r>
            <w:r>
              <w:rPr>
                <w:spacing w:val="-6"/>
              </w:rPr>
              <w:t xml:space="preserve"> </w:t>
            </w:r>
            <w:r>
              <w:t>documentation</w:t>
            </w:r>
            <w:r>
              <w:rPr>
                <w:spacing w:val="-6"/>
              </w:rPr>
              <w:t xml:space="preserve"> </w:t>
            </w:r>
            <w:r>
              <w:t>and</w:t>
            </w:r>
            <w:r>
              <w:rPr>
                <w:spacing w:val="-6"/>
              </w:rPr>
              <w:t xml:space="preserve"> </w:t>
            </w:r>
            <w:r>
              <w:t>note</w:t>
            </w:r>
            <w:r>
              <w:rPr>
                <w:spacing w:val="-6"/>
              </w:rPr>
              <w:t xml:space="preserve"> </w:t>
            </w:r>
            <w:r>
              <w:t>the</w:t>
            </w:r>
            <w:r>
              <w:rPr>
                <w:spacing w:val="-6"/>
              </w:rPr>
              <w:t xml:space="preserve"> </w:t>
            </w:r>
            <w:r>
              <w:t>following</w:t>
            </w:r>
            <w:r>
              <w:rPr>
                <w:spacing w:val="-7"/>
              </w:rPr>
              <w:t xml:space="preserve"> </w:t>
            </w:r>
            <w:r>
              <w:t>information</w:t>
            </w:r>
            <w:r>
              <w:rPr>
                <w:spacing w:val="-6"/>
              </w:rPr>
              <w:t xml:space="preserve"> </w:t>
            </w:r>
            <w:r>
              <w:t>as of the date selected for testing:</w:t>
            </w:r>
          </w:p>
          <w:p w14:paraId="0DFDB99F" w14:textId="77777777" w:rsidR="00046465" w:rsidRDefault="008134EB">
            <w:pPr>
              <w:pStyle w:val="TableParagraph"/>
              <w:numPr>
                <w:ilvl w:val="1"/>
                <w:numId w:val="172"/>
              </w:numPr>
              <w:tabs>
                <w:tab w:val="left" w:pos="974"/>
              </w:tabs>
              <w:spacing w:before="121"/>
              <w:ind w:left="974" w:hanging="369"/>
            </w:pPr>
            <w:r>
              <w:t>due</w:t>
            </w:r>
            <w:r>
              <w:rPr>
                <w:spacing w:val="-4"/>
              </w:rPr>
              <w:t xml:space="preserve"> </w:t>
            </w:r>
            <w:r>
              <w:t>date</w:t>
            </w:r>
            <w:r>
              <w:rPr>
                <w:spacing w:val="-3"/>
              </w:rPr>
              <w:t xml:space="preserve"> </w:t>
            </w:r>
            <w:r>
              <w:t>of</w:t>
            </w:r>
            <w:r>
              <w:rPr>
                <w:spacing w:val="-4"/>
              </w:rPr>
              <w:t xml:space="preserve"> </w:t>
            </w:r>
            <w:r>
              <w:rPr>
                <w:spacing w:val="-2"/>
              </w:rPr>
              <w:t>debt;</w:t>
            </w:r>
          </w:p>
          <w:p w14:paraId="0DFDB9A0" w14:textId="77777777" w:rsidR="00046465" w:rsidRDefault="008134EB">
            <w:pPr>
              <w:pStyle w:val="TableParagraph"/>
              <w:numPr>
                <w:ilvl w:val="1"/>
                <w:numId w:val="172"/>
              </w:numPr>
              <w:tabs>
                <w:tab w:val="left" w:pos="974"/>
              </w:tabs>
              <w:spacing w:before="118"/>
              <w:ind w:left="974" w:hanging="369"/>
            </w:pPr>
            <w:r>
              <w:t>amount</w:t>
            </w:r>
            <w:r>
              <w:rPr>
                <w:spacing w:val="-9"/>
              </w:rPr>
              <w:t xml:space="preserve"> </w:t>
            </w:r>
            <w:r>
              <w:rPr>
                <w:spacing w:val="-2"/>
              </w:rPr>
              <w:t>owed;</w:t>
            </w:r>
          </w:p>
          <w:p w14:paraId="0DFDB9A1" w14:textId="77777777" w:rsidR="00046465" w:rsidRDefault="008134EB">
            <w:pPr>
              <w:pStyle w:val="TableParagraph"/>
              <w:numPr>
                <w:ilvl w:val="1"/>
                <w:numId w:val="172"/>
              </w:numPr>
              <w:tabs>
                <w:tab w:val="left" w:pos="965"/>
                <w:tab w:val="left" w:pos="974"/>
              </w:tabs>
              <w:spacing w:before="118"/>
              <w:ind w:right="292" w:hanging="360"/>
            </w:pPr>
            <w:r>
              <w:t>date the</w:t>
            </w:r>
            <w:r>
              <w:rPr>
                <w:spacing w:val="-4"/>
              </w:rPr>
              <w:t xml:space="preserve"> </w:t>
            </w:r>
            <w:r>
              <w:t>notice</w:t>
            </w:r>
            <w:r>
              <w:rPr>
                <w:spacing w:val="-4"/>
              </w:rPr>
              <w:t xml:space="preserve"> </w:t>
            </w:r>
            <w:r>
              <w:t>of</w:t>
            </w:r>
            <w:r>
              <w:rPr>
                <w:spacing w:val="-4"/>
              </w:rPr>
              <w:t xml:space="preserve"> </w:t>
            </w:r>
            <w:r>
              <w:t>the</w:t>
            </w:r>
            <w:r>
              <w:rPr>
                <w:spacing w:val="-4"/>
              </w:rPr>
              <w:t xml:space="preserve"> </w:t>
            </w:r>
            <w:r>
              <w:t>amount</w:t>
            </w:r>
            <w:r>
              <w:rPr>
                <w:spacing w:val="-4"/>
              </w:rPr>
              <w:t xml:space="preserve"> </w:t>
            </w:r>
            <w:r>
              <w:t>due</w:t>
            </w:r>
            <w:r>
              <w:rPr>
                <w:spacing w:val="-4"/>
              </w:rPr>
              <w:t xml:space="preserve"> </w:t>
            </w:r>
            <w:r>
              <w:t>and</w:t>
            </w:r>
            <w:r>
              <w:rPr>
                <w:spacing w:val="-4"/>
              </w:rPr>
              <w:t xml:space="preserve"> </w:t>
            </w:r>
            <w:r>
              <w:t>the</w:t>
            </w:r>
            <w:r>
              <w:rPr>
                <w:spacing w:val="-4"/>
              </w:rPr>
              <w:t xml:space="preserve"> </w:t>
            </w:r>
            <w:r>
              <w:t>interest</w:t>
            </w:r>
            <w:r>
              <w:rPr>
                <w:spacing w:val="-4"/>
              </w:rPr>
              <w:t xml:space="preserve"> </w:t>
            </w:r>
            <w:r>
              <w:t>policies is first mailed to the debtor;</w:t>
            </w:r>
          </w:p>
          <w:p w14:paraId="0DFDB9A2" w14:textId="77777777" w:rsidR="00046465" w:rsidRDefault="008134EB">
            <w:pPr>
              <w:pStyle w:val="TableParagraph"/>
              <w:numPr>
                <w:ilvl w:val="1"/>
                <w:numId w:val="172"/>
              </w:numPr>
              <w:tabs>
                <w:tab w:val="left" w:pos="965"/>
                <w:tab w:val="left" w:pos="974"/>
              </w:tabs>
              <w:spacing w:before="118"/>
              <w:ind w:right="927" w:hanging="360"/>
            </w:pPr>
            <w:r>
              <w:t>amount of</w:t>
            </w:r>
            <w:r>
              <w:rPr>
                <w:spacing w:val="-6"/>
              </w:rPr>
              <w:t xml:space="preserve"> </w:t>
            </w:r>
            <w:r>
              <w:t>interest</w:t>
            </w:r>
            <w:r>
              <w:rPr>
                <w:spacing w:val="-6"/>
              </w:rPr>
              <w:t xml:space="preserve"> </w:t>
            </w:r>
            <w:r>
              <w:t>accrued</w:t>
            </w:r>
            <w:r>
              <w:rPr>
                <w:spacing w:val="-6"/>
              </w:rPr>
              <w:t xml:space="preserve"> </w:t>
            </w:r>
            <w:r>
              <w:t>and</w:t>
            </w:r>
            <w:r>
              <w:rPr>
                <w:spacing w:val="-6"/>
              </w:rPr>
              <w:t xml:space="preserve"> </w:t>
            </w:r>
            <w:r>
              <w:t>other</w:t>
            </w:r>
            <w:r>
              <w:rPr>
                <w:spacing w:val="-6"/>
              </w:rPr>
              <w:t xml:space="preserve"> </w:t>
            </w:r>
            <w:r>
              <w:t>administrative charges and penalties charged, if any; and</w:t>
            </w:r>
          </w:p>
          <w:p w14:paraId="0DFDB9A3" w14:textId="77777777" w:rsidR="00046465" w:rsidRDefault="008134EB">
            <w:pPr>
              <w:pStyle w:val="TableParagraph"/>
              <w:numPr>
                <w:ilvl w:val="1"/>
                <w:numId w:val="172"/>
              </w:numPr>
              <w:tabs>
                <w:tab w:val="left" w:pos="974"/>
              </w:tabs>
              <w:spacing w:before="118" w:line="345" w:lineRule="auto"/>
              <w:ind w:left="567" w:right="1733" w:firstLine="37"/>
            </w:pPr>
            <w:r>
              <w:t>number</w:t>
            </w:r>
            <w:r>
              <w:rPr>
                <w:spacing w:val="-4"/>
              </w:rPr>
              <w:t xml:space="preserve"> </w:t>
            </w:r>
            <w:r>
              <w:t>of</w:t>
            </w:r>
            <w:r>
              <w:rPr>
                <w:spacing w:val="-4"/>
              </w:rPr>
              <w:t xml:space="preserve"> </w:t>
            </w:r>
            <w:r>
              <w:t>days</w:t>
            </w:r>
            <w:r>
              <w:rPr>
                <w:spacing w:val="-4"/>
              </w:rPr>
              <w:t xml:space="preserve"> </w:t>
            </w:r>
            <w:r>
              <w:t>the</w:t>
            </w:r>
            <w:r>
              <w:rPr>
                <w:spacing w:val="-4"/>
              </w:rPr>
              <w:t xml:space="preserve"> </w:t>
            </w:r>
            <w:r>
              <w:t>debt</w:t>
            </w:r>
            <w:r>
              <w:rPr>
                <w:spacing w:val="-5"/>
              </w:rPr>
              <w:t xml:space="preserve"> </w:t>
            </w:r>
            <w:r>
              <w:t>is</w:t>
            </w:r>
            <w:r>
              <w:rPr>
                <w:spacing w:val="-4"/>
              </w:rPr>
              <w:t xml:space="preserve"> </w:t>
            </w:r>
            <w:r>
              <w:t>past</w:t>
            </w:r>
            <w:r>
              <w:rPr>
                <w:spacing w:val="-4"/>
              </w:rPr>
              <w:t xml:space="preserve"> </w:t>
            </w:r>
            <w:r>
              <w:t>due,</w:t>
            </w:r>
            <w:r>
              <w:rPr>
                <w:spacing w:val="-5"/>
              </w:rPr>
              <w:t xml:space="preserve"> </w:t>
            </w:r>
            <w:r>
              <w:t>if</w:t>
            </w:r>
            <w:r>
              <w:rPr>
                <w:spacing w:val="-4"/>
              </w:rPr>
              <w:t xml:space="preserve"> </w:t>
            </w:r>
            <w:r>
              <w:t>any. Perform step 3 if the debt is past due.</w:t>
            </w:r>
          </w:p>
          <w:p w14:paraId="0DFDB9A4" w14:textId="77777777" w:rsidR="00046465" w:rsidRDefault="008134EB">
            <w:pPr>
              <w:pStyle w:val="TableParagraph"/>
              <w:spacing w:before="9"/>
              <w:ind w:left="567"/>
            </w:pPr>
            <w:r>
              <w:t>Perform</w:t>
            </w:r>
            <w:r>
              <w:rPr>
                <w:spacing w:val="-5"/>
              </w:rPr>
              <w:t xml:space="preserve"> </w:t>
            </w:r>
            <w:r>
              <w:t>step</w:t>
            </w:r>
            <w:r>
              <w:rPr>
                <w:spacing w:val="-4"/>
              </w:rPr>
              <w:t xml:space="preserve"> </w:t>
            </w:r>
            <w:r>
              <w:t>4</w:t>
            </w:r>
            <w:r>
              <w:rPr>
                <w:spacing w:val="-4"/>
              </w:rPr>
              <w:t xml:space="preserve"> </w:t>
            </w:r>
            <w:r>
              <w:t>if</w:t>
            </w:r>
            <w:r>
              <w:rPr>
                <w:spacing w:val="-3"/>
              </w:rPr>
              <w:t xml:space="preserve"> </w:t>
            </w:r>
            <w:r>
              <w:t>the</w:t>
            </w:r>
            <w:r>
              <w:rPr>
                <w:spacing w:val="-4"/>
              </w:rPr>
              <w:t xml:space="preserve"> </w:t>
            </w:r>
            <w:r>
              <w:t>debt</w:t>
            </w:r>
            <w:r>
              <w:rPr>
                <w:spacing w:val="-4"/>
              </w:rPr>
              <w:t xml:space="preserve"> </w:t>
            </w:r>
            <w:r>
              <w:t>is</w:t>
            </w:r>
            <w:r>
              <w:rPr>
                <w:spacing w:val="-3"/>
              </w:rPr>
              <w:t xml:space="preserve"> </w:t>
            </w:r>
            <w:r>
              <w:t>not</w:t>
            </w:r>
            <w:r>
              <w:rPr>
                <w:spacing w:val="-4"/>
              </w:rPr>
              <w:t xml:space="preserve"> </w:t>
            </w:r>
            <w:r>
              <w:t>past</w:t>
            </w:r>
            <w:r>
              <w:rPr>
                <w:spacing w:val="-4"/>
              </w:rPr>
              <w:t xml:space="preserve"> due.</w:t>
            </w:r>
          </w:p>
        </w:tc>
        <w:tc>
          <w:tcPr>
            <w:tcW w:w="1152" w:type="dxa"/>
            <w:tcBorders>
              <w:top w:val="single" w:sz="6" w:space="0" w:color="000000"/>
              <w:left w:val="single" w:sz="6" w:space="0" w:color="000000"/>
              <w:bottom w:val="single" w:sz="2" w:space="0" w:color="000000"/>
              <w:right w:val="single" w:sz="6" w:space="0" w:color="000000"/>
            </w:tcBorders>
          </w:tcPr>
          <w:p w14:paraId="0DFDB9A5" w14:textId="77777777" w:rsidR="00046465" w:rsidRDefault="00046465">
            <w:pPr>
              <w:pStyle w:val="TableParagraph"/>
              <w:rPr>
                <w:rFonts w:ascii="Times New Roman"/>
                <w:sz w:val="20"/>
              </w:rPr>
            </w:pPr>
          </w:p>
        </w:tc>
        <w:tc>
          <w:tcPr>
            <w:tcW w:w="1261" w:type="dxa"/>
            <w:tcBorders>
              <w:top w:val="single" w:sz="6" w:space="0" w:color="000000"/>
              <w:left w:val="single" w:sz="6" w:space="0" w:color="000000"/>
              <w:bottom w:val="single" w:sz="2" w:space="0" w:color="000000"/>
            </w:tcBorders>
          </w:tcPr>
          <w:p w14:paraId="0DFDB9A6" w14:textId="77777777" w:rsidR="00046465" w:rsidRDefault="00046465">
            <w:pPr>
              <w:pStyle w:val="TableParagraph"/>
              <w:rPr>
                <w:rFonts w:ascii="Times New Roman"/>
                <w:sz w:val="20"/>
              </w:rPr>
            </w:pPr>
          </w:p>
        </w:tc>
      </w:tr>
    </w:tbl>
    <w:p w14:paraId="0DFDB9A8" w14:textId="77777777" w:rsidR="00046465" w:rsidRDefault="008134EB">
      <w:pPr>
        <w:pStyle w:val="BodyText"/>
        <w:spacing w:before="89"/>
        <w:rPr>
          <w:sz w:val="20"/>
        </w:rPr>
      </w:pPr>
      <w:r>
        <w:rPr>
          <w:noProof/>
          <w:sz w:val="20"/>
        </w:rPr>
        <mc:AlternateContent>
          <mc:Choice Requires="wps">
            <w:drawing>
              <wp:anchor distT="0" distB="0" distL="0" distR="0" simplePos="0" relativeHeight="487673856" behindDoc="1" locked="0" layoutInCell="1" allowOverlap="1" wp14:anchorId="0DFDD663" wp14:editId="0DFDD664">
                <wp:simplePos x="0" y="0"/>
                <wp:positionH relativeFrom="page">
                  <wp:posOffset>914400</wp:posOffset>
                </wp:positionH>
                <wp:positionV relativeFrom="paragraph">
                  <wp:posOffset>218186</wp:posOffset>
                </wp:positionV>
                <wp:extent cx="1828800" cy="6985"/>
                <wp:effectExtent l="0" t="0" r="0" b="0"/>
                <wp:wrapTopAndBottom/>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3A12C9" id="Graphic 651" o:spid="_x0000_s1026" style="position:absolute;margin-left:1in;margin-top:17.2pt;width:2in;height:.55pt;z-index:-1564262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" path="m1828800,l,,,6858r1828800,l1828800,xe" fillcolor="black" stroked="f">
                <v:path arrowok="t"/>
                <w10:wrap type="topAndBottom" anchorx="page"/>
              </v:shape>
            </w:pict>
          </mc:Fallback>
        </mc:AlternateContent>
      </w:r>
    </w:p>
    <w:p w14:paraId="0DFDB9A9" w14:textId="77777777" w:rsidR="00046465" w:rsidRDefault="008134EB">
      <w:pPr>
        <w:spacing w:before="217" w:line="242" w:lineRule="auto"/>
        <w:ind w:left="359" w:right="372"/>
        <w:rPr>
          <w:sz w:val="18"/>
        </w:rPr>
      </w:pPr>
      <w:bookmarkStart w:id="211" w:name="_bookmark105"/>
      <w:bookmarkEnd w:id="211"/>
      <w:r>
        <w:rPr>
          <w:position w:val="7"/>
          <w:sz w:val="14"/>
        </w:rPr>
        <w:t>40</w:t>
      </w:r>
      <w:r>
        <w:rPr>
          <w:sz w:val="18"/>
        </w:rPr>
        <w:t>If</w:t>
      </w:r>
      <w:r>
        <w:rPr>
          <w:spacing w:val="-2"/>
          <w:sz w:val="18"/>
        </w:rPr>
        <w:t xml:space="preserve"> </w:t>
      </w:r>
      <w:r>
        <w:rPr>
          <w:sz w:val="18"/>
        </w:rPr>
        <w:t>the</w:t>
      </w:r>
      <w:r>
        <w:rPr>
          <w:spacing w:val="-3"/>
          <w:sz w:val="18"/>
        </w:rPr>
        <w:t xml:space="preserve"> </w:t>
      </w:r>
      <w:r>
        <w:rPr>
          <w:sz w:val="18"/>
        </w:rPr>
        <w:t>auditor</w:t>
      </w:r>
      <w:r>
        <w:rPr>
          <w:spacing w:val="-2"/>
          <w:sz w:val="18"/>
        </w:rPr>
        <w:t xml:space="preserve"> </w:t>
      </w:r>
      <w:r>
        <w:rPr>
          <w:sz w:val="18"/>
        </w:rPr>
        <w:t>uses</w:t>
      </w:r>
      <w:r>
        <w:rPr>
          <w:spacing w:val="-2"/>
          <w:sz w:val="18"/>
        </w:rPr>
        <w:t xml:space="preserve"> </w:t>
      </w:r>
      <w:r>
        <w:rPr>
          <w:sz w:val="18"/>
        </w:rPr>
        <w:t>multipurpose</w:t>
      </w:r>
      <w:r>
        <w:rPr>
          <w:spacing w:val="-3"/>
          <w:sz w:val="18"/>
        </w:rPr>
        <w:t xml:space="preserve"> </w:t>
      </w:r>
      <w:r>
        <w:rPr>
          <w:sz w:val="18"/>
        </w:rPr>
        <w:t>testing</w:t>
      </w:r>
      <w:r>
        <w:rPr>
          <w:spacing w:val="-3"/>
          <w:sz w:val="18"/>
        </w:rPr>
        <w:t xml:space="preserve"> </w:t>
      </w:r>
      <w:r>
        <w:rPr>
          <w:sz w:val="18"/>
        </w:rPr>
        <w:t>for</w:t>
      </w:r>
      <w:r>
        <w:rPr>
          <w:spacing w:val="-2"/>
          <w:sz w:val="18"/>
        </w:rPr>
        <w:t xml:space="preserve"> </w:t>
      </w:r>
      <w:r>
        <w:rPr>
          <w:sz w:val="18"/>
        </w:rPr>
        <w:t>the</w:t>
      </w:r>
      <w:r>
        <w:rPr>
          <w:spacing w:val="-3"/>
          <w:sz w:val="18"/>
        </w:rPr>
        <w:t xml:space="preserve"> </w:t>
      </w:r>
      <w:r>
        <w:rPr>
          <w:sz w:val="18"/>
        </w:rPr>
        <w:t>compliance</w:t>
      </w:r>
      <w:r>
        <w:rPr>
          <w:spacing w:val="-1"/>
          <w:sz w:val="18"/>
        </w:rPr>
        <w:t xml:space="preserve"> </w:t>
      </w:r>
      <w:r>
        <w:rPr>
          <w:sz w:val="18"/>
        </w:rPr>
        <w:t>test</w:t>
      </w:r>
      <w:r>
        <w:rPr>
          <w:spacing w:val="-2"/>
          <w:sz w:val="18"/>
        </w:rPr>
        <w:t xml:space="preserve"> </w:t>
      </w:r>
      <w:r>
        <w:rPr>
          <w:sz w:val="18"/>
        </w:rPr>
        <w:t>and/or</w:t>
      </w:r>
      <w:r>
        <w:rPr>
          <w:spacing w:val="-2"/>
          <w:sz w:val="18"/>
        </w:rPr>
        <w:t xml:space="preserve"> </w:t>
      </w:r>
      <w:r>
        <w:rPr>
          <w:sz w:val="18"/>
        </w:rPr>
        <w:t>compliance</w:t>
      </w:r>
      <w:r>
        <w:rPr>
          <w:spacing w:val="-3"/>
          <w:sz w:val="18"/>
        </w:rPr>
        <w:t xml:space="preserve"> </w:t>
      </w:r>
      <w:r>
        <w:rPr>
          <w:sz w:val="18"/>
        </w:rPr>
        <w:t>control</w:t>
      </w:r>
      <w:r>
        <w:rPr>
          <w:spacing w:val="-2"/>
          <w:sz w:val="18"/>
        </w:rPr>
        <w:t xml:space="preserve"> </w:t>
      </w:r>
      <w:r>
        <w:rPr>
          <w:sz w:val="18"/>
        </w:rPr>
        <w:t>test</w:t>
      </w:r>
      <w:r>
        <w:rPr>
          <w:spacing w:val="-2"/>
          <w:sz w:val="18"/>
        </w:rPr>
        <w:t xml:space="preserve"> </w:t>
      </w:r>
      <w:r>
        <w:rPr>
          <w:sz w:val="18"/>
        </w:rPr>
        <w:t>and/or</w:t>
      </w:r>
      <w:r>
        <w:rPr>
          <w:spacing w:val="-2"/>
          <w:sz w:val="18"/>
        </w:rPr>
        <w:t xml:space="preserve"> </w:t>
      </w:r>
      <w:r>
        <w:rPr>
          <w:sz w:val="18"/>
        </w:rPr>
        <w:t>a</w:t>
      </w:r>
      <w:r>
        <w:rPr>
          <w:spacing w:val="-1"/>
          <w:sz w:val="18"/>
        </w:rPr>
        <w:t xml:space="preserve"> </w:t>
      </w:r>
      <w:r>
        <w:rPr>
          <w:sz w:val="18"/>
        </w:rPr>
        <w:t>substantive test of accounts or loans receivable details, the sample items for the compliance test and/or compliance control test should</w:t>
      </w:r>
      <w:r>
        <w:rPr>
          <w:spacing w:val="-3"/>
          <w:sz w:val="18"/>
        </w:rPr>
        <w:t xml:space="preserve"> </w:t>
      </w:r>
      <w:r>
        <w:rPr>
          <w:sz w:val="18"/>
        </w:rPr>
        <w:t>be</w:t>
      </w:r>
      <w:r>
        <w:rPr>
          <w:spacing w:val="-3"/>
          <w:sz w:val="18"/>
        </w:rPr>
        <w:t xml:space="preserve"> </w:t>
      </w:r>
      <w:r>
        <w:rPr>
          <w:sz w:val="18"/>
        </w:rPr>
        <w:t>selected</w:t>
      </w:r>
      <w:r>
        <w:rPr>
          <w:spacing w:val="-3"/>
          <w:sz w:val="18"/>
        </w:rPr>
        <w:t xml:space="preserve"> </w:t>
      </w:r>
      <w:r>
        <w:rPr>
          <w:sz w:val="18"/>
        </w:rPr>
        <w:t>using</w:t>
      </w:r>
      <w:r>
        <w:rPr>
          <w:spacing w:val="-3"/>
          <w:sz w:val="18"/>
        </w:rPr>
        <w:t xml:space="preserve"> </w:t>
      </w:r>
      <w:r>
        <w:rPr>
          <w:sz w:val="18"/>
        </w:rPr>
        <w:t>the</w:t>
      </w:r>
      <w:r>
        <w:rPr>
          <w:spacing w:val="-1"/>
          <w:sz w:val="18"/>
        </w:rPr>
        <w:t xml:space="preserve"> </w:t>
      </w:r>
      <w:r>
        <w:rPr>
          <w:sz w:val="18"/>
        </w:rPr>
        <w:t>sampling</w:t>
      </w:r>
      <w:r>
        <w:rPr>
          <w:spacing w:val="-3"/>
          <w:sz w:val="18"/>
        </w:rPr>
        <w:t xml:space="preserve"> </w:t>
      </w:r>
      <w:r>
        <w:rPr>
          <w:sz w:val="18"/>
        </w:rPr>
        <w:t>method</w:t>
      </w:r>
      <w:r>
        <w:rPr>
          <w:spacing w:val="-3"/>
          <w:sz w:val="18"/>
        </w:rPr>
        <w:t xml:space="preserve"> </w:t>
      </w:r>
      <w:r>
        <w:rPr>
          <w:sz w:val="18"/>
        </w:rPr>
        <w:t>used</w:t>
      </w:r>
      <w:r>
        <w:rPr>
          <w:spacing w:val="-3"/>
          <w:sz w:val="18"/>
        </w:rPr>
        <w:t xml:space="preserve"> </w:t>
      </w:r>
      <w:r>
        <w:rPr>
          <w:sz w:val="18"/>
        </w:rPr>
        <w:t>for</w:t>
      </w:r>
      <w:r>
        <w:rPr>
          <w:spacing w:val="-2"/>
          <w:sz w:val="18"/>
        </w:rPr>
        <w:t xml:space="preserve"> </w:t>
      </w:r>
      <w:r>
        <w:rPr>
          <w:sz w:val="18"/>
        </w:rPr>
        <w:t>the</w:t>
      </w:r>
      <w:r>
        <w:rPr>
          <w:spacing w:val="-1"/>
          <w:sz w:val="18"/>
        </w:rPr>
        <w:t xml:space="preserve"> </w:t>
      </w:r>
      <w:r>
        <w:rPr>
          <w:sz w:val="18"/>
        </w:rPr>
        <w:t>substantive</w:t>
      </w:r>
      <w:r>
        <w:rPr>
          <w:spacing w:val="-3"/>
          <w:sz w:val="18"/>
        </w:rPr>
        <w:t xml:space="preserve"> </w:t>
      </w:r>
      <w:r>
        <w:rPr>
          <w:sz w:val="18"/>
        </w:rPr>
        <w:t>test</w:t>
      </w:r>
      <w:r>
        <w:rPr>
          <w:spacing w:val="-2"/>
          <w:sz w:val="18"/>
        </w:rPr>
        <w:t xml:space="preserve"> </w:t>
      </w:r>
      <w:r>
        <w:rPr>
          <w:sz w:val="18"/>
        </w:rPr>
        <w:t>as</w:t>
      </w:r>
      <w:r>
        <w:rPr>
          <w:spacing w:val="-2"/>
          <w:sz w:val="18"/>
        </w:rPr>
        <w:t xml:space="preserve"> </w:t>
      </w:r>
      <w:r>
        <w:rPr>
          <w:sz w:val="18"/>
        </w:rPr>
        <w:t>described</w:t>
      </w:r>
      <w:r>
        <w:rPr>
          <w:spacing w:val="-1"/>
          <w:sz w:val="18"/>
        </w:rPr>
        <w:t xml:space="preserve"> </w:t>
      </w:r>
      <w:r>
        <w:rPr>
          <w:sz w:val="18"/>
        </w:rPr>
        <w:t>in</w:t>
      </w:r>
      <w:r>
        <w:rPr>
          <w:spacing w:val="-3"/>
          <w:sz w:val="18"/>
        </w:rPr>
        <w:t xml:space="preserve"> </w:t>
      </w:r>
      <w:r>
        <w:rPr>
          <w:sz w:val="18"/>
        </w:rPr>
        <w:t>FAM</w:t>
      </w:r>
      <w:r>
        <w:rPr>
          <w:spacing w:val="-2"/>
          <w:sz w:val="18"/>
        </w:rPr>
        <w:t xml:space="preserve"> </w:t>
      </w:r>
      <w:r>
        <w:rPr>
          <w:sz w:val="18"/>
        </w:rPr>
        <w:t>430,</w:t>
      </w:r>
      <w:r>
        <w:rPr>
          <w:spacing w:val="-2"/>
          <w:sz w:val="18"/>
        </w:rPr>
        <w:t xml:space="preserve"> </w:t>
      </w:r>
      <w:r>
        <w:rPr>
          <w:sz w:val="18"/>
        </w:rPr>
        <w:t>Design</w:t>
      </w:r>
      <w:r>
        <w:rPr>
          <w:spacing w:val="-3"/>
          <w:sz w:val="18"/>
        </w:rPr>
        <w:t xml:space="preserve"> </w:t>
      </w:r>
      <w:r>
        <w:rPr>
          <w:sz w:val="18"/>
        </w:rPr>
        <w:t>Tests. Otherwise, the auditor should select items using attribute sampling, as discussed in FAM 460.02.</w:t>
      </w:r>
    </w:p>
    <w:p w14:paraId="0DFDB9AA" w14:textId="77777777" w:rsidR="00046465" w:rsidRDefault="008134EB">
      <w:pPr>
        <w:ind w:left="360" w:right="645"/>
        <w:rPr>
          <w:sz w:val="18"/>
        </w:rPr>
      </w:pPr>
      <w:r>
        <w:rPr>
          <w:sz w:val="18"/>
        </w:rPr>
        <w:t>As with all sampling applications, the auditor should determine the completeness of the test population. For efficiency,</w:t>
      </w:r>
      <w:r>
        <w:rPr>
          <w:spacing w:val="-3"/>
          <w:sz w:val="18"/>
        </w:rPr>
        <w:t xml:space="preserve"> </w:t>
      </w:r>
      <w:r>
        <w:rPr>
          <w:sz w:val="18"/>
        </w:rPr>
        <w:t>the</w:t>
      </w:r>
      <w:r>
        <w:rPr>
          <w:spacing w:val="-2"/>
          <w:sz w:val="18"/>
        </w:rPr>
        <w:t xml:space="preserve"> </w:t>
      </w:r>
      <w:r>
        <w:rPr>
          <w:sz w:val="18"/>
        </w:rPr>
        <w:t>auditor</w:t>
      </w:r>
      <w:r>
        <w:rPr>
          <w:spacing w:val="-3"/>
          <w:sz w:val="18"/>
        </w:rPr>
        <w:t xml:space="preserve"> </w:t>
      </w:r>
      <w:r>
        <w:rPr>
          <w:sz w:val="18"/>
        </w:rPr>
        <w:t>should</w:t>
      </w:r>
      <w:r>
        <w:rPr>
          <w:spacing w:val="-2"/>
          <w:sz w:val="18"/>
        </w:rPr>
        <w:t xml:space="preserve"> </w:t>
      </w:r>
      <w:r>
        <w:rPr>
          <w:sz w:val="18"/>
        </w:rPr>
        <w:t>use</w:t>
      </w:r>
      <w:r>
        <w:rPr>
          <w:spacing w:val="-4"/>
          <w:sz w:val="18"/>
        </w:rPr>
        <w:t xml:space="preserve"> </w:t>
      </w:r>
      <w:r>
        <w:rPr>
          <w:sz w:val="18"/>
        </w:rPr>
        <w:t>records</w:t>
      </w:r>
      <w:r>
        <w:rPr>
          <w:spacing w:val="-3"/>
          <w:sz w:val="18"/>
        </w:rPr>
        <w:t xml:space="preserve"> </w:t>
      </w:r>
      <w:r>
        <w:rPr>
          <w:sz w:val="18"/>
        </w:rPr>
        <w:t>that</w:t>
      </w:r>
      <w:r>
        <w:rPr>
          <w:spacing w:val="-3"/>
          <w:sz w:val="18"/>
        </w:rPr>
        <w:t xml:space="preserve"> </w:t>
      </w:r>
      <w:r>
        <w:rPr>
          <w:sz w:val="18"/>
        </w:rPr>
        <w:t>were</w:t>
      </w:r>
      <w:r>
        <w:rPr>
          <w:spacing w:val="-4"/>
          <w:sz w:val="18"/>
        </w:rPr>
        <w:t xml:space="preserve"> </w:t>
      </w:r>
      <w:r>
        <w:rPr>
          <w:sz w:val="18"/>
        </w:rPr>
        <w:t>tested</w:t>
      </w:r>
      <w:r>
        <w:rPr>
          <w:spacing w:val="-2"/>
          <w:sz w:val="18"/>
        </w:rPr>
        <w:t xml:space="preserve"> </w:t>
      </w:r>
      <w:r>
        <w:rPr>
          <w:sz w:val="18"/>
        </w:rPr>
        <w:t>for</w:t>
      </w:r>
      <w:r>
        <w:rPr>
          <w:spacing w:val="-3"/>
          <w:sz w:val="18"/>
        </w:rPr>
        <w:t xml:space="preserve"> </w:t>
      </w:r>
      <w:r>
        <w:rPr>
          <w:sz w:val="18"/>
        </w:rPr>
        <w:t>validity,</w:t>
      </w:r>
      <w:r>
        <w:rPr>
          <w:spacing w:val="-3"/>
          <w:sz w:val="18"/>
        </w:rPr>
        <w:t xml:space="preserve"> </w:t>
      </w:r>
      <w:r>
        <w:rPr>
          <w:sz w:val="18"/>
        </w:rPr>
        <w:t>accuracy,</w:t>
      </w:r>
      <w:r>
        <w:rPr>
          <w:spacing w:val="-3"/>
          <w:sz w:val="18"/>
        </w:rPr>
        <w:t xml:space="preserve"> </w:t>
      </w:r>
      <w:r>
        <w:rPr>
          <w:sz w:val="18"/>
        </w:rPr>
        <w:t>and</w:t>
      </w:r>
      <w:r>
        <w:rPr>
          <w:spacing w:val="-4"/>
          <w:sz w:val="18"/>
        </w:rPr>
        <w:t xml:space="preserve"> </w:t>
      </w:r>
      <w:r>
        <w:rPr>
          <w:sz w:val="18"/>
        </w:rPr>
        <w:t>completeness</w:t>
      </w:r>
      <w:r>
        <w:rPr>
          <w:spacing w:val="-3"/>
          <w:sz w:val="18"/>
        </w:rPr>
        <w:t xml:space="preserve"> </w:t>
      </w:r>
      <w:r>
        <w:rPr>
          <w:sz w:val="18"/>
        </w:rPr>
        <w:t>(as</w:t>
      </w:r>
      <w:r>
        <w:rPr>
          <w:spacing w:val="-2"/>
          <w:sz w:val="18"/>
        </w:rPr>
        <w:t xml:space="preserve"> </w:t>
      </w:r>
      <w:r>
        <w:rPr>
          <w:sz w:val="18"/>
        </w:rPr>
        <w:t>well</w:t>
      </w:r>
      <w:r>
        <w:rPr>
          <w:spacing w:val="-3"/>
          <w:sz w:val="18"/>
        </w:rPr>
        <w:t xml:space="preserve"> </w:t>
      </w:r>
      <w:r>
        <w:rPr>
          <w:sz w:val="18"/>
        </w:rPr>
        <w:t>as</w:t>
      </w:r>
      <w:r>
        <w:rPr>
          <w:spacing w:val="-3"/>
          <w:sz w:val="18"/>
        </w:rPr>
        <w:t xml:space="preserve"> </w:t>
      </w:r>
      <w:r>
        <w:rPr>
          <w:sz w:val="18"/>
        </w:rPr>
        <w:t>the other assertions) in conjunction with substantive tests of the population.</w:t>
      </w:r>
    </w:p>
    <w:p w14:paraId="0DFDB9AB" w14:textId="77777777" w:rsidR="00046465" w:rsidRDefault="00046465">
      <w:pPr>
        <w:rPr>
          <w:sz w:val="18"/>
        </w:rPr>
        <w:sectPr w:rsidR="00046465">
          <w:headerReference w:type="default" r:id="rId135"/>
          <w:footerReference w:type="default" r:id="rId136"/>
          <w:pgSz w:w="12240" w:h="15840"/>
          <w:pgMar w:top="1560" w:right="1080" w:bottom="940" w:left="1080" w:header="865" w:footer="742" w:gutter="0"/>
          <w:cols w:space="720"/>
        </w:sectPr>
      </w:pPr>
    </w:p>
    <w:p w14:paraId="0DFDB9AC" w14:textId="77777777" w:rsidR="00046465" w:rsidRDefault="00046465">
      <w:pPr>
        <w:pStyle w:val="BodyText"/>
        <w:spacing w:before="4" w:after="1"/>
        <w:rPr>
          <w:sz w:val="8"/>
        </w:rPr>
      </w:pPr>
    </w:p>
    <w:tbl>
      <w:tblPr>
        <w:tblW w:w="0" w:type="auto"/>
        <w:tblInd w:w="38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948"/>
        <w:gridCol w:w="1152"/>
        <w:gridCol w:w="1261"/>
      </w:tblGrid>
      <w:tr w:rsidR="00046465" w14:paraId="0DFDB9AE" w14:textId="77777777">
        <w:trPr>
          <w:trHeight w:val="1335"/>
        </w:trPr>
        <w:tc>
          <w:tcPr>
            <w:tcW w:w="9361" w:type="dxa"/>
            <w:gridSpan w:val="3"/>
          </w:tcPr>
          <w:p w14:paraId="0DFDB9AD" w14:textId="77777777" w:rsidR="00046465" w:rsidRDefault="008134EB">
            <w:pPr>
              <w:pStyle w:val="TableParagraph"/>
              <w:tabs>
                <w:tab w:val="left" w:pos="8944"/>
              </w:tabs>
              <w:spacing w:before="7" w:line="390" w:lineRule="atLeast"/>
              <w:ind w:left="129" w:right="368"/>
              <w:jc w:val="both"/>
            </w:pPr>
            <w:r>
              <w:t>Name of entity:</w:t>
            </w:r>
            <w:r>
              <w:rPr>
                <w:spacing w:val="178"/>
              </w:rPr>
              <w:t xml:space="preserve"> </w:t>
            </w:r>
            <w:r>
              <w:rPr>
                <w:u w:val="single"/>
              </w:rPr>
              <w:tab/>
            </w:r>
            <w:r>
              <w:t xml:space="preserve"> Audit period:</w:t>
            </w:r>
            <w:r>
              <w:rPr>
                <w:spacing w:val="180"/>
              </w:rPr>
              <w:t xml:space="preserve"> </w:t>
            </w:r>
            <w:r>
              <w:rPr>
                <w:u w:val="single"/>
              </w:rPr>
              <w:tab/>
            </w:r>
            <w:r>
              <w:t xml:space="preserve"> Reviewed by:</w:t>
            </w:r>
            <w:r>
              <w:rPr>
                <w:spacing w:val="93"/>
              </w:rPr>
              <w:t xml:space="preserve"> </w:t>
            </w:r>
            <w:r>
              <w:rPr>
                <w:u w:val="single"/>
              </w:rPr>
              <w:tab/>
            </w:r>
          </w:p>
        </w:tc>
      </w:tr>
      <w:tr w:rsidR="00046465" w14:paraId="0DFDB9B4" w14:textId="77777777">
        <w:trPr>
          <w:trHeight w:val="625"/>
        </w:trPr>
        <w:tc>
          <w:tcPr>
            <w:tcW w:w="6948" w:type="dxa"/>
            <w:tcBorders>
              <w:right w:val="single" w:sz="6" w:space="0" w:color="000000"/>
            </w:tcBorders>
          </w:tcPr>
          <w:p w14:paraId="0DFDB9AF" w14:textId="77777777" w:rsidR="00046465" w:rsidRDefault="00046465">
            <w:pPr>
              <w:pStyle w:val="TableParagraph"/>
              <w:spacing w:before="60"/>
            </w:pPr>
          </w:p>
          <w:p w14:paraId="0DFDB9B0"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152" w:type="dxa"/>
            <w:tcBorders>
              <w:left w:val="single" w:sz="6" w:space="0" w:color="000000"/>
              <w:right w:val="single" w:sz="6" w:space="0" w:color="000000"/>
            </w:tcBorders>
          </w:tcPr>
          <w:p w14:paraId="0DFDB9B1" w14:textId="77777777" w:rsidR="00046465" w:rsidRDefault="008134EB">
            <w:pPr>
              <w:pStyle w:val="TableParagraph"/>
              <w:spacing w:before="60"/>
              <w:ind w:left="144"/>
              <w:rPr>
                <w:b/>
              </w:rPr>
            </w:pPr>
            <w:r>
              <w:rPr>
                <w:b/>
                <w:spacing w:val="-2"/>
              </w:rPr>
              <w:t xml:space="preserve">Initials/ </w:t>
            </w:r>
            <w:r>
              <w:rPr>
                <w:b/>
                <w:spacing w:val="-4"/>
              </w:rPr>
              <w:t>date</w:t>
            </w:r>
          </w:p>
        </w:tc>
        <w:tc>
          <w:tcPr>
            <w:tcW w:w="1261" w:type="dxa"/>
            <w:tcBorders>
              <w:left w:val="single" w:sz="6" w:space="0" w:color="000000"/>
            </w:tcBorders>
          </w:tcPr>
          <w:p w14:paraId="0DFDB9B2" w14:textId="77777777" w:rsidR="00046465" w:rsidRDefault="00046465">
            <w:pPr>
              <w:pStyle w:val="TableParagraph"/>
              <w:spacing w:before="60"/>
            </w:pPr>
          </w:p>
          <w:p w14:paraId="0DFDB9B3" w14:textId="77777777" w:rsidR="00046465" w:rsidRDefault="008134EB">
            <w:pPr>
              <w:pStyle w:val="TableParagraph"/>
              <w:ind w:left="144"/>
              <w:rPr>
                <w:b/>
              </w:rPr>
            </w:pPr>
            <w:r>
              <w:rPr>
                <w:b/>
              </w:rPr>
              <w:t>Doc.</w:t>
            </w:r>
            <w:r>
              <w:rPr>
                <w:b/>
                <w:spacing w:val="-6"/>
              </w:rPr>
              <w:t xml:space="preserve"> </w:t>
            </w:r>
            <w:r>
              <w:rPr>
                <w:b/>
                <w:spacing w:val="-4"/>
              </w:rPr>
              <w:t>ref.</w:t>
            </w:r>
          </w:p>
        </w:tc>
      </w:tr>
      <w:tr w:rsidR="00046465" w14:paraId="0DFDB9B9" w14:textId="77777777">
        <w:trPr>
          <w:trHeight w:val="2637"/>
        </w:trPr>
        <w:tc>
          <w:tcPr>
            <w:tcW w:w="6948" w:type="dxa"/>
            <w:tcBorders>
              <w:bottom w:val="single" w:sz="4" w:space="0" w:color="000000"/>
              <w:right w:val="single" w:sz="2" w:space="0" w:color="000000"/>
            </w:tcBorders>
          </w:tcPr>
          <w:p w14:paraId="0DFDB9B5" w14:textId="77777777" w:rsidR="00046465" w:rsidRDefault="008134EB">
            <w:pPr>
              <w:pStyle w:val="TableParagraph"/>
              <w:numPr>
                <w:ilvl w:val="0"/>
                <w:numId w:val="171"/>
              </w:numPr>
              <w:tabs>
                <w:tab w:val="left" w:pos="567"/>
              </w:tabs>
              <w:spacing w:before="121"/>
              <w:ind w:left="567" w:hanging="438"/>
            </w:pPr>
            <w:r>
              <w:t>If</w:t>
            </w:r>
            <w:r>
              <w:rPr>
                <w:spacing w:val="-5"/>
              </w:rPr>
              <w:t xml:space="preserve"> </w:t>
            </w:r>
            <w:r>
              <w:t>the</w:t>
            </w:r>
            <w:r>
              <w:rPr>
                <w:spacing w:val="-4"/>
              </w:rPr>
              <w:t xml:space="preserve"> </w:t>
            </w:r>
            <w:r>
              <w:t>amount</w:t>
            </w:r>
            <w:r>
              <w:rPr>
                <w:spacing w:val="-5"/>
              </w:rPr>
              <w:t xml:space="preserve"> </w:t>
            </w:r>
            <w:r>
              <w:t>selected</w:t>
            </w:r>
            <w:r>
              <w:rPr>
                <w:spacing w:val="-5"/>
              </w:rPr>
              <w:t xml:space="preserve"> </w:t>
            </w:r>
            <w:r>
              <w:t>is</w:t>
            </w:r>
            <w:r>
              <w:rPr>
                <w:spacing w:val="-6"/>
              </w:rPr>
              <w:t xml:space="preserve"> </w:t>
            </w:r>
            <w:r>
              <w:t>past</w:t>
            </w:r>
            <w:r>
              <w:rPr>
                <w:spacing w:val="-4"/>
              </w:rPr>
              <w:t xml:space="preserve"> due:</w:t>
            </w:r>
          </w:p>
          <w:p w14:paraId="0DFDB9B6" w14:textId="77777777" w:rsidR="00046465" w:rsidRDefault="008134EB">
            <w:pPr>
              <w:pStyle w:val="TableParagraph"/>
              <w:numPr>
                <w:ilvl w:val="1"/>
                <w:numId w:val="171"/>
              </w:numPr>
              <w:tabs>
                <w:tab w:val="left" w:pos="1092"/>
                <w:tab w:val="left" w:pos="1123"/>
              </w:tabs>
              <w:spacing w:before="119"/>
              <w:ind w:right="233" w:hanging="562"/>
            </w:pPr>
            <w:r>
              <w:t>Calculate the number of days that interest should be accrued on the debt as of the date selected for testing. Interest</w:t>
            </w:r>
            <w:r>
              <w:rPr>
                <w:spacing w:val="-4"/>
              </w:rPr>
              <w:t xml:space="preserve"> </w:t>
            </w:r>
            <w:r>
              <w:t>generally</w:t>
            </w:r>
            <w:r>
              <w:rPr>
                <w:spacing w:val="-4"/>
              </w:rPr>
              <w:t xml:space="preserve"> </w:t>
            </w:r>
            <w:r>
              <w:t>accrues</w:t>
            </w:r>
            <w:r>
              <w:rPr>
                <w:spacing w:val="-4"/>
              </w:rPr>
              <w:t xml:space="preserve"> </w:t>
            </w:r>
            <w:r>
              <w:t>from</w:t>
            </w:r>
            <w:r>
              <w:rPr>
                <w:spacing w:val="-5"/>
              </w:rPr>
              <w:t xml:space="preserve"> </w:t>
            </w:r>
            <w:r>
              <w:t>the</w:t>
            </w:r>
            <w:r>
              <w:rPr>
                <w:spacing w:val="-4"/>
              </w:rPr>
              <w:t xml:space="preserve"> </w:t>
            </w:r>
            <w:r>
              <w:t>date</w:t>
            </w:r>
            <w:r>
              <w:rPr>
                <w:spacing w:val="-4"/>
              </w:rPr>
              <w:t xml:space="preserve"> </w:t>
            </w:r>
            <w:r>
              <w:t>that</w:t>
            </w:r>
            <w:r>
              <w:rPr>
                <w:spacing w:val="-4"/>
              </w:rPr>
              <w:t xml:space="preserve"> </w:t>
            </w:r>
            <w:r>
              <w:t>the</w:t>
            </w:r>
            <w:r>
              <w:rPr>
                <w:spacing w:val="-5"/>
              </w:rPr>
              <w:t xml:space="preserve"> </w:t>
            </w:r>
            <w:r>
              <w:t>notice</w:t>
            </w:r>
            <w:r>
              <w:rPr>
                <w:spacing w:val="-4"/>
              </w:rPr>
              <w:t xml:space="preserve"> </w:t>
            </w:r>
            <w:r>
              <w:t>of the</w:t>
            </w:r>
            <w:r>
              <w:rPr>
                <w:spacing w:val="-4"/>
              </w:rPr>
              <w:t xml:space="preserve"> </w:t>
            </w:r>
            <w:r>
              <w:t>amount</w:t>
            </w:r>
            <w:r>
              <w:rPr>
                <w:spacing w:val="-4"/>
              </w:rPr>
              <w:t xml:space="preserve"> </w:t>
            </w:r>
            <w:r>
              <w:t>due</w:t>
            </w:r>
            <w:r>
              <w:rPr>
                <w:spacing w:val="-4"/>
              </w:rPr>
              <w:t xml:space="preserve"> </w:t>
            </w:r>
            <w:r>
              <w:t>is</w:t>
            </w:r>
            <w:r>
              <w:rPr>
                <w:spacing w:val="-4"/>
              </w:rPr>
              <w:t xml:space="preserve"> </w:t>
            </w:r>
            <w:r>
              <w:t>first</w:t>
            </w:r>
            <w:r>
              <w:rPr>
                <w:spacing w:val="-5"/>
              </w:rPr>
              <w:t xml:space="preserve"> </w:t>
            </w:r>
            <w:r>
              <w:t>mailed</w:t>
            </w:r>
            <w:r>
              <w:rPr>
                <w:spacing w:val="-4"/>
              </w:rPr>
              <w:t xml:space="preserve"> </w:t>
            </w:r>
            <w:r>
              <w:t>to</w:t>
            </w:r>
            <w:r>
              <w:rPr>
                <w:spacing w:val="-4"/>
              </w:rPr>
              <w:t xml:space="preserve"> </w:t>
            </w:r>
            <w:r>
              <w:t>the</w:t>
            </w:r>
            <w:r>
              <w:rPr>
                <w:spacing w:val="-4"/>
              </w:rPr>
              <w:t xml:space="preserve"> </w:t>
            </w:r>
            <w:r>
              <w:t>debtor.</w:t>
            </w:r>
            <w:r>
              <w:rPr>
                <w:spacing w:val="-4"/>
              </w:rPr>
              <w:t xml:space="preserve"> </w:t>
            </w:r>
            <w:r>
              <w:t>Compare</w:t>
            </w:r>
            <w:r>
              <w:rPr>
                <w:spacing w:val="-4"/>
              </w:rPr>
              <w:t xml:space="preserve"> </w:t>
            </w:r>
            <w:r>
              <w:t>the auditor’s calculation with the entity’s calculation and obtain explanation and examine support for any differences. See FAM 805.01, Interest on Outstanding Debt Owed to the Entity.</w:t>
            </w:r>
          </w:p>
        </w:tc>
        <w:tc>
          <w:tcPr>
            <w:tcW w:w="1152" w:type="dxa"/>
            <w:tcBorders>
              <w:left w:val="single" w:sz="2" w:space="0" w:color="000000"/>
              <w:bottom w:val="single" w:sz="2" w:space="0" w:color="000000"/>
              <w:right w:val="single" w:sz="2" w:space="0" w:color="000000"/>
            </w:tcBorders>
          </w:tcPr>
          <w:p w14:paraId="0DFDB9B7" w14:textId="77777777" w:rsidR="00046465" w:rsidRDefault="00046465">
            <w:pPr>
              <w:pStyle w:val="TableParagraph"/>
              <w:rPr>
                <w:rFonts w:ascii="Times New Roman"/>
                <w:sz w:val="20"/>
              </w:rPr>
            </w:pPr>
          </w:p>
        </w:tc>
        <w:tc>
          <w:tcPr>
            <w:tcW w:w="1261" w:type="dxa"/>
            <w:tcBorders>
              <w:left w:val="single" w:sz="2" w:space="0" w:color="000000"/>
              <w:bottom w:val="single" w:sz="4" w:space="0" w:color="000000"/>
            </w:tcBorders>
          </w:tcPr>
          <w:p w14:paraId="0DFDB9B8" w14:textId="77777777" w:rsidR="00046465" w:rsidRDefault="00046465">
            <w:pPr>
              <w:pStyle w:val="TableParagraph"/>
              <w:rPr>
                <w:rFonts w:ascii="Times New Roman"/>
                <w:sz w:val="20"/>
              </w:rPr>
            </w:pPr>
          </w:p>
        </w:tc>
      </w:tr>
      <w:tr w:rsidR="00046465" w14:paraId="0DFDB9BD" w14:textId="77777777">
        <w:trPr>
          <w:trHeight w:val="2769"/>
        </w:trPr>
        <w:tc>
          <w:tcPr>
            <w:tcW w:w="6948" w:type="dxa"/>
            <w:tcBorders>
              <w:top w:val="single" w:sz="4" w:space="0" w:color="000000"/>
              <w:bottom w:val="single" w:sz="2" w:space="0" w:color="000000"/>
              <w:right w:val="single" w:sz="2" w:space="0" w:color="000000"/>
            </w:tcBorders>
          </w:tcPr>
          <w:p w14:paraId="0DFDB9BA" w14:textId="77777777" w:rsidR="00046465" w:rsidRDefault="008134EB">
            <w:pPr>
              <w:pStyle w:val="TableParagraph"/>
              <w:tabs>
                <w:tab w:val="left" w:pos="1092"/>
              </w:tabs>
              <w:spacing w:before="120"/>
              <w:ind w:left="1126" w:right="275" w:hanging="558"/>
            </w:pPr>
            <w:r>
              <w:rPr>
                <w:spacing w:val="-4"/>
              </w:rPr>
              <w:t>(b)</w:t>
            </w:r>
            <w:r>
              <w:tab/>
              <w:t>Determine</w:t>
            </w:r>
            <w:r>
              <w:rPr>
                <w:spacing w:val="-4"/>
              </w:rPr>
              <w:t xml:space="preserve"> </w:t>
            </w:r>
            <w:r>
              <w:t>the</w:t>
            </w:r>
            <w:r>
              <w:rPr>
                <w:spacing w:val="-4"/>
              </w:rPr>
              <w:t xml:space="preserve"> </w:t>
            </w:r>
            <w:r>
              <w:t>interest</w:t>
            </w:r>
            <w:r>
              <w:rPr>
                <w:spacing w:val="-4"/>
              </w:rPr>
              <w:t xml:space="preserve"> </w:t>
            </w:r>
            <w:r>
              <w:t>rate</w:t>
            </w:r>
            <w:r>
              <w:rPr>
                <w:spacing w:val="-4"/>
              </w:rPr>
              <w:t xml:space="preserve"> </w:t>
            </w:r>
            <w:r>
              <w:t>that</w:t>
            </w:r>
            <w:r>
              <w:rPr>
                <w:spacing w:val="-4"/>
              </w:rPr>
              <w:t xml:space="preserve"> </w:t>
            </w:r>
            <w:r>
              <w:t>should</w:t>
            </w:r>
            <w:r>
              <w:rPr>
                <w:spacing w:val="-4"/>
              </w:rPr>
              <w:t xml:space="preserve"> </w:t>
            </w:r>
            <w:r>
              <w:t>be</w:t>
            </w:r>
            <w:r>
              <w:rPr>
                <w:spacing w:val="-4"/>
              </w:rPr>
              <w:t xml:space="preserve"> </w:t>
            </w:r>
            <w:r>
              <w:t>used</w:t>
            </w:r>
            <w:r>
              <w:rPr>
                <w:spacing w:val="-5"/>
              </w:rPr>
              <w:t xml:space="preserve"> </w:t>
            </w:r>
            <w:r>
              <w:t>to</w:t>
            </w:r>
            <w:r>
              <w:rPr>
                <w:spacing w:val="-4"/>
              </w:rPr>
              <w:t xml:space="preserve"> </w:t>
            </w:r>
            <w:r>
              <w:t>accrue interest on the debt. Unless otherwise established in a contract, in a repayment agreement, or by statute, the rate is the one published in the Federal Register and should be the rate that was in effect on the date that the notice of the amount due was first mailed to the debtor. Compare the auditor’s determination of the rate to the rate used by the entity, and obtain explanation and examine support for any differences. See FAM 805.01, Interest on Outstanding Debt Owed to the Entity.</w:t>
            </w:r>
          </w:p>
        </w:tc>
        <w:tc>
          <w:tcPr>
            <w:tcW w:w="1152" w:type="dxa"/>
            <w:tcBorders>
              <w:top w:val="single" w:sz="2" w:space="0" w:color="000000"/>
              <w:left w:val="single" w:sz="2" w:space="0" w:color="000000"/>
              <w:bottom w:val="single" w:sz="2" w:space="0" w:color="000000"/>
              <w:right w:val="single" w:sz="2" w:space="0" w:color="000000"/>
            </w:tcBorders>
          </w:tcPr>
          <w:p w14:paraId="0DFDB9BB" w14:textId="77777777" w:rsidR="00046465" w:rsidRDefault="00046465">
            <w:pPr>
              <w:pStyle w:val="TableParagraph"/>
              <w:rPr>
                <w:rFonts w:ascii="Times New Roman"/>
                <w:sz w:val="20"/>
              </w:rPr>
            </w:pPr>
          </w:p>
        </w:tc>
        <w:tc>
          <w:tcPr>
            <w:tcW w:w="1261" w:type="dxa"/>
            <w:tcBorders>
              <w:top w:val="single" w:sz="4" w:space="0" w:color="000000"/>
              <w:left w:val="single" w:sz="2" w:space="0" w:color="000000"/>
              <w:bottom w:val="single" w:sz="2" w:space="0" w:color="000000"/>
            </w:tcBorders>
          </w:tcPr>
          <w:p w14:paraId="0DFDB9BC" w14:textId="77777777" w:rsidR="00046465" w:rsidRDefault="00046465">
            <w:pPr>
              <w:pStyle w:val="TableParagraph"/>
              <w:rPr>
                <w:rFonts w:ascii="Times New Roman"/>
                <w:sz w:val="20"/>
              </w:rPr>
            </w:pPr>
          </w:p>
        </w:tc>
      </w:tr>
      <w:tr w:rsidR="00046465" w14:paraId="0DFDB9C1" w14:textId="77777777">
        <w:trPr>
          <w:trHeight w:val="2010"/>
        </w:trPr>
        <w:tc>
          <w:tcPr>
            <w:tcW w:w="6948" w:type="dxa"/>
            <w:tcBorders>
              <w:top w:val="single" w:sz="2" w:space="0" w:color="000000"/>
              <w:bottom w:val="single" w:sz="2" w:space="0" w:color="000000"/>
              <w:right w:val="single" w:sz="2" w:space="0" w:color="000000"/>
            </w:tcBorders>
          </w:tcPr>
          <w:p w14:paraId="0DFDB9BE" w14:textId="77777777" w:rsidR="00046465" w:rsidRDefault="008134EB">
            <w:pPr>
              <w:pStyle w:val="TableParagraph"/>
              <w:tabs>
                <w:tab w:val="left" w:pos="1092"/>
              </w:tabs>
              <w:spacing w:before="120"/>
              <w:ind w:left="1123" w:right="154" w:hanging="556"/>
            </w:pPr>
            <w:r>
              <w:rPr>
                <w:spacing w:val="-4"/>
              </w:rPr>
              <w:t>(c)</w:t>
            </w:r>
            <w:r>
              <w:tab/>
              <w:t>Calculate</w:t>
            </w:r>
            <w:r>
              <w:rPr>
                <w:spacing w:val="-4"/>
              </w:rPr>
              <w:t xml:space="preserve"> </w:t>
            </w:r>
            <w:r>
              <w:t>the</w:t>
            </w:r>
            <w:r>
              <w:rPr>
                <w:spacing w:val="-4"/>
              </w:rPr>
              <w:t xml:space="preserve"> </w:t>
            </w:r>
            <w:r>
              <w:t>amount</w:t>
            </w:r>
            <w:r>
              <w:rPr>
                <w:spacing w:val="-4"/>
              </w:rPr>
              <w:t xml:space="preserve"> </w:t>
            </w:r>
            <w:r>
              <w:t>of</w:t>
            </w:r>
            <w:r>
              <w:rPr>
                <w:spacing w:val="-4"/>
              </w:rPr>
              <w:t xml:space="preserve"> </w:t>
            </w:r>
            <w:r>
              <w:t>interest</w:t>
            </w:r>
            <w:r>
              <w:rPr>
                <w:spacing w:val="-4"/>
              </w:rPr>
              <w:t xml:space="preserve"> </w:t>
            </w:r>
            <w:r>
              <w:t>that</w:t>
            </w:r>
            <w:r>
              <w:rPr>
                <w:spacing w:val="-5"/>
              </w:rPr>
              <w:t xml:space="preserve"> </w:t>
            </w:r>
            <w:r>
              <w:t>should</w:t>
            </w:r>
            <w:r>
              <w:rPr>
                <w:spacing w:val="-4"/>
              </w:rPr>
              <w:t xml:space="preserve"> </w:t>
            </w:r>
            <w:r>
              <w:t>be</w:t>
            </w:r>
            <w:r>
              <w:rPr>
                <w:spacing w:val="-4"/>
              </w:rPr>
              <w:t xml:space="preserve"> </w:t>
            </w:r>
            <w:r>
              <w:t>owed</w:t>
            </w:r>
            <w:r>
              <w:rPr>
                <w:spacing w:val="-4"/>
              </w:rPr>
              <w:t xml:space="preserve"> </w:t>
            </w:r>
            <w:r>
              <w:t>as</w:t>
            </w:r>
            <w:r>
              <w:rPr>
                <w:spacing w:val="-4"/>
              </w:rPr>
              <w:t xml:space="preserve"> </w:t>
            </w:r>
            <w:r>
              <w:t>of the date selected for testing using the number of days tested in (a) and the interest rate tested in (b). Compare the auditor’s calculation to the amount calculated by the entity, and obtain an explanation and</w:t>
            </w:r>
            <w:r>
              <w:rPr>
                <w:spacing w:val="-1"/>
              </w:rPr>
              <w:t xml:space="preserve"> </w:t>
            </w:r>
            <w:r>
              <w:t>examine support for any differences. See FAM 805.01, Interest on</w:t>
            </w:r>
            <w:r>
              <w:rPr>
                <w:spacing w:val="40"/>
              </w:rPr>
              <w:t xml:space="preserve"> </w:t>
            </w:r>
            <w:r>
              <w:t>Outstanding Debt Owed to the Entity.</w:t>
            </w:r>
          </w:p>
        </w:tc>
        <w:tc>
          <w:tcPr>
            <w:tcW w:w="1152" w:type="dxa"/>
            <w:tcBorders>
              <w:top w:val="single" w:sz="2" w:space="0" w:color="000000"/>
              <w:left w:val="single" w:sz="2" w:space="0" w:color="000000"/>
              <w:bottom w:val="single" w:sz="2" w:space="0" w:color="000000"/>
              <w:right w:val="single" w:sz="2" w:space="0" w:color="000000"/>
            </w:tcBorders>
          </w:tcPr>
          <w:p w14:paraId="0DFDB9BF" w14:textId="77777777" w:rsidR="00046465" w:rsidRDefault="00046465">
            <w:pPr>
              <w:pStyle w:val="TableParagraph"/>
              <w:rPr>
                <w:rFonts w:ascii="Times New Roman"/>
                <w:sz w:val="20"/>
              </w:rPr>
            </w:pPr>
          </w:p>
        </w:tc>
        <w:tc>
          <w:tcPr>
            <w:tcW w:w="1261" w:type="dxa"/>
            <w:tcBorders>
              <w:top w:val="single" w:sz="2" w:space="0" w:color="000000"/>
              <w:left w:val="single" w:sz="2" w:space="0" w:color="000000"/>
              <w:bottom w:val="single" w:sz="2" w:space="0" w:color="000000"/>
            </w:tcBorders>
          </w:tcPr>
          <w:p w14:paraId="0DFDB9C0" w14:textId="77777777" w:rsidR="00046465" w:rsidRDefault="00046465">
            <w:pPr>
              <w:pStyle w:val="TableParagraph"/>
              <w:rPr>
                <w:rFonts w:ascii="Times New Roman"/>
                <w:sz w:val="20"/>
              </w:rPr>
            </w:pPr>
          </w:p>
        </w:tc>
      </w:tr>
      <w:tr w:rsidR="00046465" w14:paraId="0DFDB9C5" w14:textId="77777777">
        <w:trPr>
          <w:trHeight w:val="1505"/>
        </w:trPr>
        <w:tc>
          <w:tcPr>
            <w:tcW w:w="6948" w:type="dxa"/>
            <w:tcBorders>
              <w:top w:val="single" w:sz="2" w:space="0" w:color="000000"/>
              <w:bottom w:val="single" w:sz="2" w:space="0" w:color="000000"/>
              <w:right w:val="single" w:sz="2" w:space="0" w:color="000000"/>
            </w:tcBorders>
          </w:tcPr>
          <w:p w14:paraId="0DFDB9C2" w14:textId="77777777" w:rsidR="00046465" w:rsidRDefault="008134EB">
            <w:pPr>
              <w:pStyle w:val="TableParagraph"/>
              <w:tabs>
                <w:tab w:val="left" w:pos="1092"/>
              </w:tabs>
              <w:spacing w:before="120"/>
              <w:ind w:left="1126" w:right="191" w:hanging="558"/>
            </w:pPr>
            <w:r>
              <w:rPr>
                <w:spacing w:val="-4"/>
              </w:rPr>
              <w:t>(d)</w:t>
            </w:r>
            <w:r>
              <w:tab/>
              <w:t>Obtain</w:t>
            </w:r>
            <w:r>
              <w:rPr>
                <w:spacing w:val="-6"/>
              </w:rPr>
              <w:t xml:space="preserve"> </w:t>
            </w:r>
            <w:r>
              <w:t>the</w:t>
            </w:r>
            <w:r>
              <w:rPr>
                <w:spacing w:val="-6"/>
              </w:rPr>
              <w:t xml:space="preserve"> </w:t>
            </w:r>
            <w:r>
              <w:t>entity’s</w:t>
            </w:r>
            <w:r>
              <w:rPr>
                <w:spacing w:val="-7"/>
              </w:rPr>
              <w:t xml:space="preserve"> </w:t>
            </w:r>
            <w:r>
              <w:t>schedule</w:t>
            </w:r>
            <w:r>
              <w:rPr>
                <w:spacing w:val="-6"/>
              </w:rPr>
              <w:t xml:space="preserve"> </w:t>
            </w:r>
            <w:r>
              <w:t>of</w:t>
            </w:r>
            <w:r>
              <w:rPr>
                <w:spacing w:val="-6"/>
              </w:rPr>
              <w:t xml:space="preserve"> </w:t>
            </w:r>
            <w:r>
              <w:t>administrative</w:t>
            </w:r>
            <w:r>
              <w:rPr>
                <w:spacing w:val="-7"/>
              </w:rPr>
              <w:t xml:space="preserve"> </w:t>
            </w:r>
            <w:r>
              <w:t>charges</w:t>
            </w:r>
            <w:r>
              <w:rPr>
                <w:spacing w:val="-6"/>
              </w:rPr>
              <w:t xml:space="preserve"> </w:t>
            </w:r>
            <w:r>
              <w:t>and late payment penalties and determine if the appropriate amounts were charged to the debtor. See FAM 805.02, Additional Debt-Related Charges: Administrative Costs and Penalties.</w:t>
            </w:r>
          </w:p>
        </w:tc>
        <w:tc>
          <w:tcPr>
            <w:tcW w:w="1152" w:type="dxa"/>
            <w:tcBorders>
              <w:top w:val="single" w:sz="2" w:space="0" w:color="000000"/>
              <w:left w:val="single" w:sz="2" w:space="0" w:color="000000"/>
              <w:bottom w:val="single" w:sz="2" w:space="0" w:color="000000"/>
              <w:right w:val="single" w:sz="2" w:space="0" w:color="000000"/>
            </w:tcBorders>
          </w:tcPr>
          <w:p w14:paraId="0DFDB9C3" w14:textId="77777777" w:rsidR="00046465" w:rsidRDefault="00046465">
            <w:pPr>
              <w:pStyle w:val="TableParagraph"/>
              <w:rPr>
                <w:rFonts w:ascii="Times New Roman"/>
                <w:sz w:val="20"/>
              </w:rPr>
            </w:pPr>
          </w:p>
        </w:tc>
        <w:tc>
          <w:tcPr>
            <w:tcW w:w="1261" w:type="dxa"/>
            <w:tcBorders>
              <w:top w:val="single" w:sz="2" w:space="0" w:color="000000"/>
              <w:left w:val="single" w:sz="2" w:space="0" w:color="000000"/>
              <w:bottom w:val="single" w:sz="2" w:space="0" w:color="000000"/>
            </w:tcBorders>
          </w:tcPr>
          <w:p w14:paraId="0DFDB9C4" w14:textId="77777777" w:rsidR="00046465" w:rsidRDefault="00046465">
            <w:pPr>
              <w:pStyle w:val="TableParagraph"/>
              <w:rPr>
                <w:rFonts w:ascii="Times New Roman"/>
                <w:sz w:val="20"/>
              </w:rPr>
            </w:pPr>
          </w:p>
        </w:tc>
      </w:tr>
    </w:tbl>
    <w:p w14:paraId="0DFDB9C6" w14:textId="77777777" w:rsidR="00046465" w:rsidRDefault="00046465">
      <w:pPr>
        <w:pStyle w:val="TableParagraph"/>
        <w:rPr>
          <w:rFonts w:ascii="Times New Roman"/>
          <w:sz w:val="20"/>
        </w:rPr>
        <w:sectPr w:rsidR="00046465">
          <w:pgSz w:w="12240" w:h="15840"/>
          <w:pgMar w:top="1560" w:right="1080" w:bottom="940" w:left="1080" w:header="865" w:footer="742" w:gutter="0"/>
          <w:cols w:space="720"/>
        </w:sectPr>
      </w:pPr>
    </w:p>
    <w:p w14:paraId="0DFDB9C7" w14:textId="77777777" w:rsidR="00046465" w:rsidRDefault="00046465">
      <w:pPr>
        <w:pStyle w:val="BodyText"/>
        <w:spacing w:before="4" w:after="1"/>
        <w:rPr>
          <w:sz w:val="8"/>
        </w:rPr>
      </w:pPr>
    </w:p>
    <w:tbl>
      <w:tblPr>
        <w:tblW w:w="0" w:type="auto"/>
        <w:tblInd w:w="38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948"/>
        <w:gridCol w:w="1152"/>
        <w:gridCol w:w="1261"/>
      </w:tblGrid>
      <w:tr w:rsidR="00046465" w14:paraId="0DFDB9C9" w14:textId="77777777">
        <w:trPr>
          <w:trHeight w:val="1335"/>
        </w:trPr>
        <w:tc>
          <w:tcPr>
            <w:tcW w:w="9361" w:type="dxa"/>
            <w:gridSpan w:val="3"/>
          </w:tcPr>
          <w:p w14:paraId="0DFDB9C8" w14:textId="77777777" w:rsidR="00046465" w:rsidRDefault="008134EB">
            <w:pPr>
              <w:pStyle w:val="TableParagraph"/>
              <w:tabs>
                <w:tab w:val="left" w:pos="8944"/>
              </w:tabs>
              <w:spacing w:before="7" w:line="390" w:lineRule="atLeast"/>
              <w:ind w:left="129" w:right="368"/>
              <w:jc w:val="both"/>
            </w:pPr>
            <w:r>
              <w:t>Name of entity:</w:t>
            </w:r>
            <w:r>
              <w:rPr>
                <w:spacing w:val="178"/>
              </w:rPr>
              <w:t xml:space="preserve"> </w:t>
            </w:r>
            <w:r>
              <w:rPr>
                <w:u w:val="single"/>
              </w:rPr>
              <w:tab/>
            </w:r>
            <w:r>
              <w:t xml:space="preserve"> Audit period:</w:t>
            </w:r>
            <w:r>
              <w:rPr>
                <w:spacing w:val="180"/>
              </w:rPr>
              <w:t xml:space="preserve"> </w:t>
            </w:r>
            <w:r>
              <w:rPr>
                <w:u w:val="single"/>
              </w:rPr>
              <w:tab/>
            </w:r>
            <w:r>
              <w:t xml:space="preserve"> Reviewed by:</w:t>
            </w:r>
            <w:r>
              <w:rPr>
                <w:spacing w:val="93"/>
              </w:rPr>
              <w:t xml:space="preserve"> </w:t>
            </w:r>
            <w:r>
              <w:rPr>
                <w:u w:val="single"/>
              </w:rPr>
              <w:tab/>
            </w:r>
          </w:p>
        </w:tc>
      </w:tr>
      <w:tr w:rsidR="00046465" w14:paraId="0DFDB9CF" w14:textId="77777777">
        <w:trPr>
          <w:trHeight w:val="625"/>
        </w:trPr>
        <w:tc>
          <w:tcPr>
            <w:tcW w:w="6948" w:type="dxa"/>
            <w:tcBorders>
              <w:right w:val="single" w:sz="6" w:space="0" w:color="000000"/>
            </w:tcBorders>
          </w:tcPr>
          <w:p w14:paraId="0DFDB9CA" w14:textId="77777777" w:rsidR="00046465" w:rsidRDefault="00046465">
            <w:pPr>
              <w:pStyle w:val="TableParagraph"/>
              <w:spacing w:before="60"/>
            </w:pPr>
          </w:p>
          <w:p w14:paraId="0DFDB9CB"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152" w:type="dxa"/>
            <w:tcBorders>
              <w:left w:val="single" w:sz="6" w:space="0" w:color="000000"/>
              <w:right w:val="single" w:sz="6" w:space="0" w:color="000000"/>
            </w:tcBorders>
          </w:tcPr>
          <w:p w14:paraId="0DFDB9CC" w14:textId="77777777" w:rsidR="00046465" w:rsidRDefault="008134EB">
            <w:pPr>
              <w:pStyle w:val="TableParagraph"/>
              <w:spacing w:before="60"/>
              <w:ind w:left="144"/>
              <w:rPr>
                <w:b/>
              </w:rPr>
            </w:pPr>
            <w:r>
              <w:rPr>
                <w:b/>
                <w:spacing w:val="-2"/>
              </w:rPr>
              <w:t xml:space="preserve">Initials/ </w:t>
            </w:r>
            <w:r>
              <w:rPr>
                <w:b/>
                <w:spacing w:val="-4"/>
              </w:rPr>
              <w:t>date</w:t>
            </w:r>
          </w:p>
        </w:tc>
        <w:tc>
          <w:tcPr>
            <w:tcW w:w="1261" w:type="dxa"/>
            <w:tcBorders>
              <w:left w:val="single" w:sz="6" w:space="0" w:color="000000"/>
            </w:tcBorders>
          </w:tcPr>
          <w:p w14:paraId="0DFDB9CD" w14:textId="77777777" w:rsidR="00046465" w:rsidRDefault="00046465">
            <w:pPr>
              <w:pStyle w:val="TableParagraph"/>
              <w:spacing w:before="60"/>
            </w:pPr>
          </w:p>
          <w:p w14:paraId="0DFDB9CE" w14:textId="77777777" w:rsidR="00046465" w:rsidRDefault="008134EB">
            <w:pPr>
              <w:pStyle w:val="TableParagraph"/>
              <w:ind w:left="144"/>
              <w:rPr>
                <w:b/>
              </w:rPr>
            </w:pPr>
            <w:r>
              <w:rPr>
                <w:b/>
              </w:rPr>
              <w:t>Doc.</w:t>
            </w:r>
            <w:r>
              <w:rPr>
                <w:b/>
                <w:spacing w:val="-6"/>
              </w:rPr>
              <w:t xml:space="preserve"> </w:t>
            </w:r>
            <w:r>
              <w:rPr>
                <w:b/>
                <w:spacing w:val="-4"/>
              </w:rPr>
              <w:t>ref.</w:t>
            </w:r>
          </w:p>
        </w:tc>
      </w:tr>
      <w:tr w:rsidR="00046465" w14:paraId="0DFDB9D5" w14:textId="77777777">
        <w:trPr>
          <w:trHeight w:val="2504"/>
        </w:trPr>
        <w:tc>
          <w:tcPr>
            <w:tcW w:w="6948" w:type="dxa"/>
            <w:tcBorders>
              <w:bottom w:val="single" w:sz="4" w:space="0" w:color="000000"/>
              <w:right w:val="single" w:sz="2" w:space="0" w:color="000000"/>
            </w:tcBorders>
          </w:tcPr>
          <w:p w14:paraId="0DFDB9D0" w14:textId="77777777" w:rsidR="00046465" w:rsidRDefault="008134EB">
            <w:pPr>
              <w:pStyle w:val="TableParagraph"/>
              <w:numPr>
                <w:ilvl w:val="0"/>
                <w:numId w:val="170"/>
              </w:numPr>
              <w:tabs>
                <w:tab w:val="left" w:pos="561"/>
              </w:tabs>
              <w:spacing w:before="120"/>
              <w:ind w:right="245"/>
            </w:pPr>
            <w:r>
              <w:t>If</w:t>
            </w:r>
            <w:r>
              <w:rPr>
                <w:spacing w:val="-4"/>
              </w:rPr>
              <w:t xml:space="preserve"> </w:t>
            </w:r>
            <w:r>
              <w:t>the</w:t>
            </w:r>
            <w:r>
              <w:rPr>
                <w:spacing w:val="-4"/>
              </w:rPr>
              <w:t xml:space="preserve"> </w:t>
            </w:r>
            <w:r>
              <w:t>debt</w:t>
            </w:r>
            <w:r>
              <w:rPr>
                <w:spacing w:val="-4"/>
              </w:rPr>
              <w:t xml:space="preserve"> </w:t>
            </w:r>
            <w:r>
              <w:t>is</w:t>
            </w:r>
            <w:r>
              <w:rPr>
                <w:spacing w:val="-5"/>
              </w:rPr>
              <w:t xml:space="preserve"> </w:t>
            </w:r>
            <w:r>
              <w:t>not</w:t>
            </w:r>
            <w:r>
              <w:rPr>
                <w:spacing w:val="-4"/>
              </w:rPr>
              <w:t xml:space="preserve"> </w:t>
            </w:r>
            <w:r>
              <w:t>past</w:t>
            </w:r>
            <w:r>
              <w:rPr>
                <w:spacing w:val="-4"/>
              </w:rPr>
              <w:t xml:space="preserve"> </w:t>
            </w:r>
            <w:r>
              <w:t>due,</w:t>
            </w:r>
            <w:r>
              <w:rPr>
                <w:spacing w:val="-4"/>
              </w:rPr>
              <w:t xml:space="preserve"> </w:t>
            </w:r>
            <w:r>
              <w:t>then</w:t>
            </w:r>
            <w:r>
              <w:rPr>
                <w:spacing w:val="-5"/>
              </w:rPr>
              <w:t xml:space="preserve"> </w:t>
            </w:r>
            <w:r>
              <w:t>determine</w:t>
            </w:r>
            <w:r>
              <w:rPr>
                <w:spacing w:val="-4"/>
              </w:rPr>
              <w:t xml:space="preserve"> </w:t>
            </w:r>
            <w:r>
              <w:t>through</w:t>
            </w:r>
            <w:r>
              <w:rPr>
                <w:spacing w:val="-4"/>
              </w:rPr>
              <w:t xml:space="preserve"> </w:t>
            </w:r>
            <w:r>
              <w:t>examination of the entity’s records whether</w:t>
            </w:r>
          </w:p>
          <w:p w14:paraId="0DFDB9D1" w14:textId="77777777" w:rsidR="00046465" w:rsidRDefault="008134EB">
            <w:pPr>
              <w:pStyle w:val="TableParagraph"/>
              <w:numPr>
                <w:ilvl w:val="1"/>
                <w:numId w:val="170"/>
              </w:numPr>
              <w:tabs>
                <w:tab w:val="left" w:pos="1092"/>
              </w:tabs>
              <w:spacing w:before="120"/>
              <w:ind w:right="179"/>
            </w:pPr>
            <w:r>
              <w:t>interest,</w:t>
            </w:r>
            <w:r>
              <w:rPr>
                <w:spacing w:val="-6"/>
              </w:rPr>
              <w:t xml:space="preserve"> </w:t>
            </w:r>
            <w:r>
              <w:t>administrative</w:t>
            </w:r>
            <w:r>
              <w:rPr>
                <w:spacing w:val="-6"/>
              </w:rPr>
              <w:t xml:space="preserve"> </w:t>
            </w:r>
            <w:r>
              <w:t>charges,</w:t>
            </w:r>
            <w:r>
              <w:rPr>
                <w:spacing w:val="-6"/>
              </w:rPr>
              <w:t xml:space="preserve"> </w:t>
            </w:r>
            <w:r>
              <w:t>or</w:t>
            </w:r>
            <w:r>
              <w:rPr>
                <w:spacing w:val="-7"/>
              </w:rPr>
              <w:t xml:space="preserve"> </w:t>
            </w:r>
            <w:r>
              <w:t>penalties</w:t>
            </w:r>
            <w:r>
              <w:rPr>
                <w:spacing w:val="-6"/>
              </w:rPr>
              <w:t xml:space="preserve"> </w:t>
            </w:r>
            <w:r>
              <w:t>are</w:t>
            </w:r>
            <w:r>
              <w:rPr>
                <w:spacing w:val="-6"/>
              </w:rPr>
              <w:t xml:space="preserve"> </w:t>
            </w:r>
            <w:r>
              <w:t>not</w:t>
            </w:r>
            <w:r>
              <w:rPr>
                <w:spacing w:val="-6"/>
              </w:rPr>
              <w:t xml:space="preserve"> </w:t>
            </w:r>
            <w:r>
              <w:t>being charged and</w:t>
            </w:r>
          </w:p>
          <w:p w14:paraId="0DFDB9D2" w14:textId="77777777" w:rsidR="00046465" w:rsidRDefault="008134EB">
            <w:pPr>
              <w:pStyle w:val="TableParagraph"/>
              <w:numPr>
                <w:ilvl w:val="1"/>
                <w:numId w:val="170"/>
              </w:numPr>
              <w:tabs>
                <w:tab w:val="left" w:pos="1092"/>
                <w:tab w:val="left" w:pos="1125"/>
              </w:tabs>
              <w:spacing w:before="121"/>
              <w:ind w:left="1125" w:right="243" w:hanging="558"/>
            </w:pPr>
            <w:r>
              <w:t>the debtor had no outstanding nontax delinquent federal debt</w:t>
            </w:r>
            <w:r>
              <w:rPr>
                <w:spacing w:val="-4"/>
              </w:rPr>
              <w:t xml:space="preserve"> </w:t>
            </w:r>
            <w:r>
              <w:t>at</w:t>
            </w:r>
            <w:r>
              <w:rPr>
                <w:spacing w:val="-4"/>
              </w:rPr>
              <w:t xml:space="preserve"> </w:t>
            </w:r>
            <w:r>
              <w:t>the</w:t>
            </w:r>
            <w:r>
              <w:rPr>
                <w:spacing w:val="-4"/>
              </w:rPr>
              <w:t xml:space="preserve"> </w:t>
            </w:r>
            <w:r>
              <w:t>time</w:t>
            </w:r>
            <w:r>
              <w:rPr>
                <w:spacing w:val="-4"/>
              </w:rPr>
              <w:t xml:space="preserve"> </w:t>
            </w:r>
            <w:r>
              <w:t>the</w:t>
            </w:r>
            <w:r>
              <w:rPr>
                <w:spacing w:val="-4"/>
              </w:rPr>
              <w:t xml:space="preserve"> </w:t>
            </w:r>
            <w:r>
              <w:t>loan</w:t>
            </w:r>
            <w:r>
              <w:rPr>
                <w:spacing w:val="-4"/>
              </w:rPr>
              <w:t xml:space="preserve"> </w:t>
            </w:r>
            <w:r>
              <w:t>was</w:t>
            </w:r>
            <w:r>
              <w:rPr>
                <w:spacing w:val="-4"/>
              </w:rPr>
              <w:t xml:space="preserve"> </w:t>
            </w:r>
            <w:r>
              <w:t>obtained.</w:t>
            </w:r>
            <w:r>
              <w:rPr>
                <w:spacing w:val="-4"/>
              </w:rPr>
              <w:t xml:space="preserve"> </w:t>
            </w:r>
            <w:r>
              <w:t>See</w:t>
            </w:r>
            <w:r>
              <w:rPr>
                <w:spacing w:val="-4"/>
              </w:rPr>
              <w:t xml:space="preserve"> </w:t>
            </w:r>
            <w:r>
              <w:t>FAM</w:t>
            </w:r>
            <w:r>
              <w:rPr>
                <w:spacing w:val="-4"/>
              </w:rPr>
              <w:t xml:space="preserve"> </w:t>
            </w:r>
            <w:r>
              <w:t xml:space="preserve">805.05, Denying Federal Financial Assistance to Delinquent </w:t>
            </w:r>
            <w:r>
              <w:rPr>
                <w:spacing w:val="-2"/>
              </w:rPr>
              <w:t>Debtors.</w:t>
            </w:r>
          </w:p>
        </w:tc>
        <w:tc>
          <w:tcPr>
            <w:tcW w:w="1152" w:type="dxa"/>
            <w:tcBorders>
              <w:left w:val="single" w:sz="2" w:space="0" w:color="000000"/>
              <w:bottom w:val="single" w:sz="4" w:space="0" w:color="000000"/>
              <w:right w:val="single" w:sz="2" w:space="0" w:color="000000"/>
            </w:tcBorders>
          </w:tcPr>
          <w:p w14:paraId="0DFDB9D3" w14:textId="77777777" w:rsidR="00046465" w:rsidRDefault="00046465">
            <w:pPr>
              <w:pStyle w:val="TableParagraph"/>
              <w:rPr>
                <w:rFonts w:ascii="Times New Roman"/>
                <w:sz w:val="20"/>
              </w:rPr>
            </w:pPr>
          </w:p>
        </w:tc>
        <w:tc>
          <w:tcPr>
            <w:tcW w:w="1261" w:type="dxa"/>
            <w:tcBorders>
              <w:left w:val="single" w:sz="2" w:space="0" w:color="000000"/>
              <w:bottom w:val="single" w:sz="4" w:space="0" w:color="000000"/>
            </w:tcBorders>
          </w:tcPr>
          <w:p w14:paraId="0DFDB9D4" w14:textId="77777777" w:rsidR="00046465" w:rsidRDefault="00046465">
            <w:pPr>
              <w:pStyle w:val="TableParagraph"/>
              <w:rPr>
                <w:rFonts w:ascii="Times New Roman"/>
                <w:sz w:val="20"/>
              </w:rPr>
            </w:pPr>
          </w:p>
        </w:tc>
      </w:tr>
      <w:tr w:rsidR="00046465" w14:paraId="0DFDB9DB" w14:textId="77777777">
        <w:trPr>
          <w:trHeight w:val="5540"/>
        </w:trPr>
        <w:tc>
          <w:tcPr>
            <w:tcW w:w="6948" w:type="dxa"/>
            <w:tcBorders>
              <w:top w:val="single" w:sz="4" w:space="0" w:color="000000"/>
              <w:bottom w:val="single" w:sz="2" w:space="0" w:color="000000"/>
              <w:right w:val="single" w:sz="2" w:space="0" w:color="000000"/>
            </w:tcBorders>
          </w:tcPr>
          <w:p w14:paraId="0DFDB9D6" w14:textId="77777777" w:rsidR="00046465" w:rsidRDefault="008134EB">
            <w:pPr>
              <w:pStyle w:val="TableParagraph"/>
              <w:numPr>
                <w:ilvl w:val="0"/>
                <w:numId w:val="169"/>
              </w:numPr>
              <w:tabs>
                <w:tab w:val="left" w:pos="561"/>
              </w:tabs>
              <w:spacing w:before="120"/>
              <w:ind w:right="245"/>
            </w:pPr>
            <w:r>
              <w:t xml:space="preserve">The objectives listed below relate to procedural-based provisions. As discussed in FAM 460.05, the auditor usually performs sufficient procedures in conjunction with tests of compliance controls for these procedural-based provisions to conclude on the entity’s compliance without performing additional procedures. The auditor should </w:t>
            </w:r>
            <w:r>
              <w:rPr>
                <w:u w:val="single"/>
              </w:rPr>
              <w:t>not</w:t>
            </w:r>
            <w:r>
              <w:t xml:space="preserve"> perform additional</w:t>
            </w:r>
            <w:r>
              <w:rPr>
                <w:spacing w:val="-7"/>
              </w:rPr>
              <w:t xml:space="preserve"> </w:t>
            </w:r>
            <w:r>
              <w:t>procedures</w:t>
            </w:r>
            <w:r>
              <w:rPr>
                <w:spacing w:val="-7"/>
              </w:rPr>
              <w:t xml:space="preserve"> </w:t>
            </w:r>
            <w:r>
              <w:t>to</w:t>
            </w:r>
            <w:r>
              <w:rPr>
                <w:spacing w:val="-8"/>
              </w:rPr>
              <w:t xml:space="preserve"> </w:t>
            </w:r>
            <w:r>
              <w:t>obtain</w:t>
            </w:r>
            <w:r>
              <w:rPr>
                <w:spacing w:val="-7"/>
              </w:rPr>
              <w:t xml:space="preserve"> </w:t>
            </w:r>
            <w:r>
              <w:t>evidence</w:t>
            </w:r>
            <w:r>
              <w:rPr>
                <w:spacing w:val="-7"/>
              </w:rPr>
              <w:t xml:space="preserve"> </w:t>
            </w:r>
            <w:r>
              <w:t>regarding</w:t>
            </w:r>
            <w:r>
              <w:rPr>
                <w:spacing w:val="-7"/>
              </w:rPr>
              <w:t xml:space="preserve"> </w:t>
            </w:r>
            <w:r>
              <w:t>compliance with the provisions related to the following objectives unless sufficient evidence regarding compliance was not obtained during compliance control tests documented on Form 805, Compliance Summary.</w:t>
            </w:r>
          </w:p>
          <w:p w14:paraId="0DFDB9D7" w14:textId="77777777" w:rsidR="00046465" w:rsidRDefault="008134EB">
            <w:pPr>
              <w:pStyle w:val="TableParagraph"/>
              <w:numPr>
                <w:ilvl w:val="1"/>
                <w:numId w:val="169"/>
              </w:numPr>
              <w:tabs>
                <w:tab w:val="left" w:pos="1092"/>
              </w:tabs>
              <w:spacing w:before="120"/>
              <w:ind w:right="154"/>
            </w:pPr>
            <w:r>
              <w:t>Nontax claims of more than $100,000 (excluding interest, penalties, and administrative costs) are referred to the Department of Justice for compromise, termination, or suspension.</w:t>
            </w:r>
            <w:r>
              <w:rPr>
                <w:spacing w:val="-6"/>
              </w:rPr>
              <w:t xml:space="preserve"> </w:t>
            </w:r>
            <w:r>
              <w:t>See</w:t>
            </w:r>
            <w:r>
              <w:rPr>
                <w:spacing w:val="-5"/>
              </w:rPr>
              <w:t xml:space="preserve"> </w:t>
            </w:r>
            <w:r>
              <w:t>FAM</w:t>
            </w:r>
            <w:r>
              <w:rPr>
                <w:spacing w:val="-6"/>
              </w:rPr>
              <w:t xml:space="preserve"> </w:t>
            </w:r>
            <w:r>
              <w:t>805.03,</w:t>
            </w:r>
            <w:r>
              <w:rPr>
                <w:spacing w:val="-5"/>
              </w:rPr>
              <w:t xml:space="preserve"> </w:t>
            </w:r>
            <w:r>
              <w:t>Less</w:t>
            </w:r>
            <w:r>
              <w:rPr>
                <w:spacing w:val="-6"/>
              </w:rPr>
              <w:t xml:space="preserve"> </w:t>
            </w:r>
            <w:r>
              <w:t>Than</w:t>
            </w:r>
            <w:r>
              <w:rPr>
                <w:spacing w:val="-5"/>
              </w:rPr>
              <w:t xml:space="preserve"> </w:t>
            </w:r>
            <w:r>
              <w:t>Payment</w:t>
            </w:r>
            <w:r>
              <w:rPr>
                <w:spacing w:val="-5"/>
              </w:rPr>
              <w:t xml:space="preserve"> </w:t>
            </w:r>
            <w:r>
              <w:t>in</w:t>
            </w:r>
            <w:r>
              <w:rPr>
                <w:spacing w:val="-5"/>
              </w:rPr>
              <w:t xml:space="preserve"> </w:t>
            </w:r>
            <w:r>
              <w:t>Full: Compromise, Termination, or Suspension of Claims.</w:t>
            </w:r>
          </w:p>
          <w:p w14:paraId="0DFDB9D8" w14:textId="77777777" w:rsidR="00046465" w:rsidRDefault="008134EB">
            <w:pPr>
              <w:pStyle w:val="TableParagraph"/>
              <w:numPr>
                <w:ilvl w:val="1"/>
                <w:numId w:val="169"/>
              </w:numPr>
              <w:tabs>
                <w:tab w:val="left" w:pos="1092"/>
              </w:tabs>
              <w:spacing w:before="119"/>
              <w:ind w:right="226"/>
            </w:pPr>
            <w:r>
              <w:t>Unless</w:t>
            </w:r>
            <w:r>
              <w:rPr>
                <w:spacing w:val="-6"/>
              </w:rPr>
              <w:t xml:space="preserve"> </w:t>
            </w:r>
            <w:r>
              <w:t>an</w:t>
            </w:r>
            <w:r>
              <w:rPr>
                <w:spacing w:val="-6"/>
              </w:rPr>
              <w:t xml:space="preserve"> </w:t>
            </w:r>
            <w:r>
              <w:t>exception</w:t>
            </w:r>
            <w:r>
              <w:rPr>
                <w:spacing w:val="-6"/>
              </w:rPr>
              <w:t xml:space="preserve"> </w:t>
            </w:r>
            <w:r>
              <w:t>applies,</w:t>
            </w:r>
            <w:r>
              <w:rPr>
                <w:spacing w:val="-6"/>
              </w:rPr>
              <w:t xml:space="preserve"> </w:t>
            </w:r>
            <w:r>
              <w:t>nontax</w:t>
            </w:r>
            <w:r>
              <w:rPr>
                <w:spacing w:val="-6"/>
              </w:rPr>
              <w:t xml:space="preserve"> </w:t>
            </w:r>
            <w:r>
              <w:t>claims</w:t>
            </w:r>
            <w:r>
              <w:rPr>
                <w:spacing w:val="-6"/>
              </w:rPr>
              <w:t xml:space="preserve"> </w:t>
            </w:r>
            <w:r>
              <w:t>delinquent</w:t>
            </w:r>
            <w:r>
              <w:rPr>
                <w:spacing w:val="-6"/>
              </w:rPr>
              <w:t xml:space="preserve"> </w:t>
            </w:r>
            <w:r>
              <w:t>for a period of 120 days have been referred to Treasury for collection. See FAM 805.04, Administrative Offset: Treasury Notification and Referral of Claims.</w:t>
            </w:r>
          </w:p>
        </w:tc>
        <w:tc>
          <w:tcPr>
            <w:tcW w:w="1152" w:type="dxa"/>
            <w:tcBorders>
              <w:top w:val="single" w:sz="4" w:space="0" w:color="000000"/>
              <w:left w:val="single" w:sz="2" w:space="0" w:color="000000"/>
              <w:bottom w:val="single" w:sz="2" w:space="0" w:color="000000"/>
              <w:right w:val="single" w:sz="2" w:space="0" w:color="000000"/>
            </w:tcBorders>
          </w:tcPr>
          <w:p w14:paraId="0DFDB9D9" w14:textId="77777777" w:rsidR="00046465" w:rsidRDefault="00046465">
            <w:pPr>
              <w:pStyle w:val="TableParagraph"/>
              <w:rPr>
                <w:rFonts w:ascii="Times New Roman"/>
                <w:sz w:val="20"/>
              </w:rPr>
            </w:pPr>
          </w:p>
        </w:tc>
        <w:tc>
          <w:tcPr>
            <w:tcW w:w="1261" w:type="dxa"/>
            <w:tcBorders>
              <w:top w:val="single" w:sz="4" w:space="0" w:color="000000"/>
              <w:left w:val="single" w:sz="2" w:space="0" w:color="000000"/>
              <w:bottom w:val="single" w:sz="2" w:space="0" w:color="000000"/>
            </w:tcBorders>
          </w:tcPr>
          <w:p w14:paraId="0DFDB9DA" w14:textId="77777777" w:rsidR="00046465" w:rsidRDefault="00046465">
            <w:pPr>
              <w:pStyle w:val="TableParagraph"/>
              <w:rPr>
                <w:rFonts w:ascii="Times New Roman"/>
                <w:sz w:val="20"/>
              </w:rPr>
            </w:pPr>
          </w:p>
        </w:tc>
      </w:tr>
      <w:tr w:rsidR="00046465" w14:paraId="0DFDB9E1" w14:textId="77777777">
        <w:trPr>
          <w:trHeight w:val="2771"/>
        </w:trPr>
        <w:tc>
          <w:tcPr>
            <w:tcW w:w="6948" w:type="dxa"/>
            <w:tcBorders>
              <w:top w:val="single" w:sz="2" w:space="0" w:color="000000"/>
              <w:bottom w:val="single" w:sz="2" w:space="0" w:color="000000"/>
              <w:right w:val="single" w:sz="2" w:space="0" w:color="000000"/>
            </w:tcBorders>
          </w:tcPr>
          <w:p w14:paraId="0DFDB9DC" w14:textId="77777777" w:rsidR="00046465" w:rsidRDefault="008134EB">
            <w:pPr>
              <w:pStyle w:val="TableParagraph"/>
              <w:numPr>
                <w:ilvl w:val="0"/>
                <w:numId w:val="168"/>
              </w:numPr>
              <w:tabs>
                <w:tab w:val="left" w:pos="567"/>
                <w:tab w:val="left" w:pos="600"/>
              </w:tabs>
              <w:spacing w:before="120"/>
              <w:ind w:right="337" w:hanging="471"/>
            </w:pPr>
            <w:r>
              <w:t>If</w:t>
            </w:r>
            <w:r>
              <w:rPr>
                <w:spacing w:val="-3"/>
              </w:rPr>
              <w:t xml:space="preserve"> </w:t>
            </w:r>
            <w:r>
              <w:t>the</w:t>
            </w:r>
            <w:r>
              <w:rPr>
                <w:spacing w:val="-3"/>
              </w:rPr>
              <w:t xml:space="preserve"> </w:t>
            </w:r>
            <w:r>
              <w:t>entity</w:t>
            </w:r>
            <w:r>
              <w:rPr>
                <w:spacing w:val="-4"/>
              </w:rPr>
              <w:t xml:space="preserve"> </w:t>
            </w:r>
            <w:r>
              <w:t>does</w:t>
            </w:r>
            <w:r>
              <w:rPr>
                <w:spacing w:val="-3"/>
              </w:rPr>
              <w:t xml:space="preserve"> </w:t>
            </w:r>
            <w:r>
              <w:t>not</w:t>
            </w:r>
            <w:r>
              <w:rPr>
                <w:spacing w:val="-3"/>
              </w:rPr>
              <w:t xml:space="preserve"> </w:t>
            </w:r>
            <w:r>
              <w:t>appear</w:t>
            </w:r>
            <w:r>
              <w:rPr>
                <w:spacing w:val="-3"/>
              </w:rPr>
              <w:t xml:space="preserve"> </w:t>
            </w:r>
            <w:r>
              <w:t>to</w:t>
            </w:r>
            <w:r>
              <w:rPr>
                <w:spacing w:val="-3"/>
              </w:rPr>
              <w:t xml:space="preserve"> </w:t>
            </w:r>
            <w:r>
              <w:t>be</w:t>
            </w:r>
            <w:r>
              <w:rPr>
                <w:spacing w:val="-3"/>
              </w:rPr>
              <w:t xml:space="preserve"> </w:t>
            </w:r>
            <w:r>
              <w:t>in</w:t>
            </w:r>
            <w:r>
              <w:rPr>
                <w:spacing w:val="-4"/>
              </w:rPr>
              <w:t xml:space="preserve"> </w:t>
            </w:r>
            <w:r>
              <w:t>compliance</w:t>
            </w:r>
            <w:r>
              <w:rPr>
                <w:spacing w:val="-4"/>
              </w:rPr>
              <w:t xml:space="preserve"> </w:t>
            </w:r>
            <w:r>
              <w:t>based</w:t>
            </w:r>
            <w:r>
              <w:rPr>
                <w:spacing w:val="-3"/>
              </w:rPr>
              <w:t xml:space="preserve"> </w:t>
            </w:r>
            <w:r>
              <w:t>on</w:t>
            </w:r>
            <w:r>
              <w:rPr>
                <w:spacing w:val="-3"/>
              </w:rPr>
              <w:t xml:space="preserve"> </w:t>
            </w:r>
            <w:r>
              <w:t>the results of tests performed, the auditor should discuss these matters with OGC and, when appropriate, the Special Investigator</w:t>
            </w:r>
            <w:r>
              <w:rPr>
                <w:spacing w:val="-6"/>
              </w:rPr>
              <w:t xml:space="preserve"> </w:t>
            </w:r>
            <w:r>
              <w:t>Unit</w:t>
            </w:r>
            <w:r>
              <w:rPr>
                <w:spacing w:val="-4"/>
              </w:rPr>
              <w:t xml:space="preserve"> </w:t>
            </w:r>
            <w:r>
              <w:t>to</w:t>
            </w:r>
            <w:r>
              <w:rPr>
                <w:spacing w:val="-4"/>
              </w:rPr>
              <w:t xml:space="preserve"> </w:t>
            </w:r>
            <w:r>
              <w:t>conclude</w:t>
            </w:r>
            <w:r>
              <w:rPr>
                <w:spacing w:val="-4"/>
              </w:rPr>
              <w:t xml:space="preserve"> </w:t>
            </w:r>
            <w:r>
              <w:t>whether</w:t>
            </w:r>
            <w:r>
              <w:rPr>
                <w:spacing w:val="-4"/>
              </w:rPr>
              <w:t xml:space="preserve"> </w:t>
            </w:r>
            <w:r>
              <w:t>noncompliance</w:t>
            </w:r>
            <w:r>
              <w:rPr>
                <w:spacing w:val="-4"/>
              </w:rPr>
              <w:t xml:space="preserve"> </w:t>
            </w:r>
            <w:r>
              <w:t>actually occurred and the implications of such noncompliance.</w:t>
            </w:r>
          </w:p>
          <w:p w14:paraId="0DFDB9DD" w14:textId="77777777" w:rsidR="00046465" w:rsidRDefault="008134EB">
            <w:pPr>
              <w:pStyle w:val="TableParagraph"/>
              <w:spacing w:before="120"/>
              <w:ind w:left="568"/>
            </w:pPr>
            <w:r>
              <w:t>For</w:t>
            </w:r>
            <w:r>
              <w:rPr>
                <w:spacing w:val="-7"/>
              </w:rPr>
              <w:t xml:space="preserve"> </w:t>
            </w:r>
            <w:r>
              <w:t>any</w:t>
            </w:r>
            <w:r>
              <w:rPr>
                <w:spacing w:val="-7"/>
              </w:rPr>
              <w:t xml:space="preserve"> </w:t>
            </w:r>
            <w:r>
              <w:t>noncompliance</w:t>
            </w:r>
            <w:r>
              <w:rPr>
                <w:spacing w:val="-8"/>
              </w:rPr>
              <w:t xml:space="preserve"> </w:t>
            </w:r>
            <w:r>
              <w:t>noted,</w:t>
            </w:r>
            <w:r>
              <w:rPr>
                <w:spacing w:val="-6"/>
              </w:rPr>
              <w:t xml:space="preserve"> </w:t>
            </w:r>
            <w:r>
              <w:t>the</w:t>
            </w:r>
            <w:r>
              <w:rPr>
                <w:spacing w:val="-7"/>
              </w:rPr>
              <w:t xml:space="preserve"> </w:t>
            </w:r>
            <w:r>
              <w:t>auditor</w:t>
            </w:r>
            <w:r>
              <w:rPr>
                <w:spacing w:val="-7"/>
              </w:rPr>
              <w:t xml:space="preserve"> </w:t>
            </w:r>
            <w:r>
              <w:rPr>
                <w:spacing w:val="-2"/>
              </w:rPr>
              <w:t>should</w:t>
            </w:r>
          </w:p>
          <w:p w14:paraId="0DFDB9DE" w14:textId="77777777" w:rsidR="00046465" w:rsidRDefault="008134EB">
            <w:pPr>
              <w:pStyle w:val="TableParagraph"/>
              <w:numPr>
                <w:ilvl w:val="1"/>
                <w:numId w:val="168"/>
              </w:numPr>
              <w:tabs>
                <w:tab w:val="left" w:pos="965"/>
                <w:tab w:val="left" w:pos="974"/>
              </w:tabs>
              <w:spacing w:before="119"/>
              <w:ind w:right="365" w:hanging="361"/>
            </w:pPr>
            <w:r>
              <w:t>identify the control deficiencies that allowed the noncompliance</w:t>
            </w:r>
            <w:r>
              <w:rPr>
                <w:spacing w:val="-6"/>
              </w:rPr>
              <w:t xml:space="preserve"> </w:t>
            </w:r>
            <w:r>
              <w:t>to</w:t>
            </w:r>
            <w:r>
              <w:rPr>
                <w:spacing w:val="-6"/>
              </w:rPr>
              <w:t xml:space="preserve"> </w:t>
            </w:r>
            <w:r>
              <w:t>occur,</w:t>
            </w:r>
            <w:r>
              <w:rPr>
                <w:spacing w:val="-6"/>
              </w:rPr>
              <w:t xml:space="preserve"> </w:t>
            </w:r>
            <w:r>
              <w:t>if</w:t>
            </w:r>
            <w:r>
              <w:rPr>
                <w:spacing w:val="-6"/>
              </w:rPr>
              <w:t xml:space="preserve"> </w:t>
            </w:r>
            <w:r>
              <w:t>not</w:t>
            </w:r>
            <w:r>
              <w:rPr>
                <w:spacing w:val="-6"/>
              </w:rPr>
              <w:t xml:space="preserve"> </w:t>
            </w:r>
            <w:r>
              <w:t>previously</w:t>
            </w:r>
            <w:r>
              <w:rPr>
                <w:spacing w:val="-6"/>
              </w:rPr>
              <w:t xml:space="preserve"> </w:t>
            </w:r>
            <w:r>
              <w:t>identified</w:t>
            </w:r>
            <w:r>
              <w:rPr>
                <w:spacing w:val="-6"/>
              </w:rPr>
              <w:t xml:space="preserve"> </w:t>
            </w:r>
            <w:r>
              <w:t>during control testing;</w:t>
            </w:r>
          </w:p>
        </w:tc>
        <w:tc>
          <w:tcPr>
            <w:tcW w:w="1152" w:type="dxa"/>
            <w:tcBorders>
              <w:top w:val="single" w:sz="2" w:space="0" w:color="000000"/>
              <w:left w:val="single" w:sz="2" w:space="0" w:color="000000"/>
              <w:bottom w:val="single" w:sz="2" w:space="0" w:color="000000"/>
              <w:right w:val="single" w:sz="2" w:space="0" w:color="000000"/>
            </w:tcBorders>
          </w:tcPr>
          <w:p w14:paraId="0DFDB9DF" w14:textId="77777777" w:rsidR="00046465" w:rsidRDefault="00046465">
            <w:pPr>
              <w:pStyle w:val="TableParagraph"/>
              <w:rPr>
                <w:rFonts w:ascii="Times New Roman"/>
                <w:sz w:val="20"/>
              </w:rPr>
            </w:pPr>
          </w:p>
        </w:tc>
        <w:tc>
          <w:tcPr>
            <w:tcW w:w="1261" w:type="dxa"/>
            <w:tcBorders>
              <w:top w:val="single" w:sz="2" w:space="0" w:color="000000"/>
              <w:left w:val="single" w:sz="2" w:space="0" w:color="000000"/>
              <w:bottom w:val="single" w:sz="2" w:space="0" w:color="000000"/>
            </w:tcBorders>
          </w:tcPr>
          <w:p w14:paraId="0DFDB9E0" w14:textId="77777777" w:rsidR="00046465" w:rsidRDefault="00046465">
            <w:pPr>
              <w:pStyle w:val="TableParagraph"/>
              <w:rPr>
                <w:rFonts w:ascii="Times New Roman"/>
                <w:sz w:val="20"/>
              </w:rPr>
            </w:pPr>
          </w:p>
        </w:tc>
      </w:tr>
    </w:tbl>
    <w:p w14:paraId="0DFDB9E2" w14:textId="77777777" w:rsidR="00046465" w:rsidRDefault="00046465">
      <w:pPr>
        <w:pStyle w:val="TableParagraph"/>
        <w:rPr>
          <w:rFonts w:ascii="Times New Roman"/>
          <w:sz w:val="20"/>
        </w:rPr>
        <w:sectPr w:rsidR="00046465">
          <w:pgSz w:w="12240" w:h="15840"/>
          <w:pgMar w:top="1560" w:right="1080" w:bottom="940" w:left="1080" w:header="865" w:footer="742" w:gutter="0"/>
          <w:cols w:space="720"/>
        </w:sectPr>
      </w:pPr>
    </w:p>
    <w:p w14:paraId="0DFDB9E3" w14:textId="77777777" w:rsidR="00046465" w:rsidRDefault="00046465">
      <w:pPr>
        <w:pStyle w:val="BodyText"/>
        <w:spacing w:before="4" w:after="1"/>
        <w:rPr>
          <w:sz w:val="8"/>
        </w:rPr>
      </w:pPr>
    </w:p>
    <w:tbl>
      <w:tblPr>
        <w:tblW w:w="0" w:type="auto"/>
        <w:tblInd w:w="38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948"/>
        <w:gridCol w:w="1152"/>
        <w:gridCol w:w="1261"/>
      </w:tblGrid>
      <w:tr w:rsidR="00046465" w14:paraId="0DFDB9E5" w14:textId="77777777">
        <w:trPr>
          <w:trHeight w:val="1335"/>
        </w:trPr>
        <w:tc>
          <w:tcPr>
            <w:tcW w:w="9361" w:type="dxa"/>
            <w:gridSpan w:val="3"/>
          </w:tcPr>
          <w:p w14:paraId="0DFDB9E4" w14:textId="77777777" w:rsidR="00046465" w:rsidRDefault="008134EB">
            <w:pPr>
              <w:pStyle w:val="TableParagraph"/>
              <w:tabs>
                <w:tab w:val="left" w:pos="8944"/>
              </w:tabs>
              <w:spacing w:before="7" w:line="390" w:lineRule="atLeast"/>
              <w:ind w:left="129" w:right="368"/>
              <w:jc w:val="both"/>
            </w:pPr>
            <w:r>
              <w:t>Name of entity:</w:t>
            </w:r>
            <w:r>
              <w:rPr>
                <w:spacing w:val="178"/>
              </w:rPr>
              <w:t xml:space="preserve"> </w:t>
            </w:r>
            <w:r>
              <w:rPr>
                <w:u w:val="single"/>
              </w:rPr>
              <w:tab/>
            </w:r>
            <w:r>
              <w:t xml:space="preserve"> Audit period:</w:t>
            </w:r>
            <w:r>
              <w:rPr>
                <w:spacing w:val="180"/>
              </w:rPr>
              <w:t xml:space="preserve"> </w:t>
            </w:r>
            <w:r>
              <w:rPr>
                <w:u w:val="single"/>
              </w:rPr>
              <w:tab/>
            </w:r>
            <w:r>
              <w:t xml:space="preserve"> Reviewed by:</w:t>
            </w:r>
            <w:r>
              <w:rPr>
                <w:spacing w:val="93"/>
              </w:rPr>
              <w:t xml:space="preserve"> </w:t>
            </w:r>
            <w:r>
              <w:rPr>
                <w:u w:val="single"/>
              </w:rPr>
              <w:tab/>
            </w:r>
          </w:p>
        </w:tc>
      </w:tr>
      <w:tr w:rsidR="00046465" w14:paraId="0DFDB9EB" w14:textId="77777777">
        <w:trPr>
          <w:trHeight w:val="625"/>
        </w:trPr>
        <w:tc>
          <w:tcPr>
            <w:tcW w:w="6948" w:type="dxa"/>
            <w:tcBorders>
              <w:right w:val="single" w:sz="6" w:space="0" w:color="000000"/>
            </w:tcBorders>
          </w:tcPr>
          <w:p w14:paraId="0DFDB9E6" w14:textId="77777777" w:rsidR="00046465" w:rsidRDefault="00046465">
            <w:pPr>
              <w:pStyle w:val="TableParagraph"/>
              <w:spacing w:before="60"/>
            </w:pPr>
          </w:p>
          <w:p w14:paraId="0DFDB9E7"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152" w:type="dxa"/>
            <w:tcBorders>
              <w:left w:val="single" w:sz="6" w:space="0" w:color="000000"/>
              <w:right w:val="single" w:sz="6" w:space="0" w:color="000000"/>
            </w:tcBorders>
          </w:tcPr>
          <w:p w14:paraId="0DFDB9E8" w14:textId="77777777" w:rsidR="00046465" w:rsidRDefault="008134EB">
            <w:pPr>
              <w:pStyle w:val="TableParagraph"/>
              <w:spacing w:before="60"/>
              <w:ind w:left="144"/>
              <w:rPr>
                <w:b/>
              </w:rPr>
            </w:pPr>
            <w:r>
              <w:rPr>
                <w:b/>
                <w:spacing w:val="-2"/>
              </w:rPr>
              <w:t xml:space="preserve">Initials/ </w:t>
            </w:r>
            <w:r>
              <w:rPr>
                <w:b/>
                <w:spacing w:val="-4"/>
              </w:rPr>
              <w:t>date</w:t>
            </w:r>
          </w:p>
        </w:tc>
        <w:tc>
          <w:tcPr>
            <w:tcW w:w="1261" w:type="dxa"/>
            <w:tcBorders>
              <w:left w:val="single" w:sz="6" w:space="0" w:color="000000"/>
            </w:tcBorders>
          </w:tcPr>
          <w:p w14:paraId="0DFDB9E9" w14:textId="77777777" w:rsidR="00046465" w:rsidRDefault="00046465">
            <w:pPr>
              <w:pStyle w:val="TableParagraph"/>
              <w:spacing w:before="60"/>
            </w:pPr>
          </w:p>
          <w:p w14:paraId="0DFDB9EA" w14:textId="77777777" w:rsidR="00046465" w:rsidRDefault="008134EB">
            <w:pPr>
              <w:pStyle w:val="TableParagraph"/>
              <w:ind w:left="144"/>
              <w:rPr>
                <w:b/>
              </w:rPr>
            </w:pPr>
            <w:r>
              <w:rPr>
                <w:b/>
              </w:rPr>
              <w:t>Doc.</w:t>
            </w:r>
            <w:r>
              <w:rPr>
                <w:b/>
                <w:spacing w:val="-6"/>
              </w:rPr>
              <w:t xml:space="preserve"> </w:t>
            </w:r>
            <w:r>
              <w:rPr>
                <w:b/>
                <w:spacing w:val="-4"/>
              </w:rPr>
              <w:t>ref.</w:t>
            </w:r>
          </w:p>
        </w:tc>
      </w:tr>
      <w:tr w:rsidR="00046465" w14:paraId="0DFDB9F1" w14:textId="77777777">
        <w:trPr>
          <w:trHeight w:val="2429"/>
        </w:trPr>
        <w:tc>
          <w:tcPr>
            <w:tcW w:w="6948" w:type="dxa"/>
            <w:tcBorders>
              <w:bottom w:val="single" w:sz="2" w:space="0" w:color="000000"/>
              <w:right w:val="single" w:sz="2" w:space="0" w:color="000000"/>
            </w:tcBorders>
          </w:tcPr>
          <w:p w14:paraId="0DFDB9EC" w14:textId="77777777" w:rsidR="00046465" w:rsidRDefault="008134EB">
            <w:pPr>
              <w:pStyle w:val="TableParagraph"/>
              <w:numPr>
                <w:ilvl w:val="0"/>
                <w:numId w:val="167"/>
              </w:numPr>
              <w:tabs>
                <w:tab w:val="left" w:pos="964"/>
                <w:tab w:val="left" w:pos="974"/>
              </w:tabs>
              <w:spacing w:before="1"/>
              <w:ind w:right="282" w:hanging="360"/>
            </w:pPr>
            <w:r>
              <w:t>determine the</w:t>
            </w:r>
            <w:r>
              <w:rPr>
                <w:spacing w:val="-4"/>
              </w:rPr>
              <w:t xml:space="preserve"> </w:t>
            </w:r>
            <w:r>
              <w:t>impact</w:t>
            </w:r>
            <w:r>
              <w:rPr>
                <w:spacing w:val="-4"/>
              </w:rPr>
              <w:t xml:space="preserve"> </w:t>
            </w:r>
            <w:r>
              <w:t>on</w:t>
            </w:r>
            <w:r>
              <w:rPr>
                <w:spacing w:val="-4"/>
              </w:rPr>
              <w:t xml:space="preserve"> </w:t>
            </w:r>
            <w:r>
              <w:t>the</w:t>
            </w:r>
            <w:r>
              <w:rPr>
                <w:spacing w:val="-4"/>
              </w:rPr>
              <w:t xml:space="preserve"> </w:t>
            </w:r>
            <w:r>
              <w:t>report</w:t>
            </w:r>
            <w:r>
              <w:rPr>
                <w:spacing w:val="-4"/>
              </w:rPr>
              <w:t xml:space="preserve"> </w:t>
            </w:r>
            <w:r>
              <w:t>on</w:t>
            </w:r>
            <w:r>
              <w:rPr>
                <w:spacing w:val="-4"/>
              </w:rPr>
              <w:t xml:space="preserve"> </w:t>
            </w:r>
            <w:r>
              <w:t>internal</w:t>
            </w:r>
            <w:r>
              <w:rPr>
                <w:spacing w:val="-4"/>
              </w:rPr>
              <w:t xml:space="preserve"> </w:t>
            </w:r>
            <w:r>
              <w:t>control</w:t>
            </w:r>
            <w:r>
              <w:rPr>
                <w:spacing w:val="-4"/>
              </w:rPr>
              <w:t xml:space="preserve"> </w:t>
            </w:r>
            <w:r>
              <w:t>over financial reporting (see the Internal Control subsection in FAM 580);</w:t>
            </w:r>
          </w:p>
          <w:p w14:paraId="0DFDB9ED" w14:textId="77777777" w:rsidR="00046465" w:rsidRDefault="008134EB">
            <w:pPr>
              <w:pStyle w:val="TableParagraph"/>
              <w:numPr>
                <w:ilvl w:val="0"/>
                <w:numId w:val="167"/>
              </w:numPr>
              <w:tabs>
                <w:tab w:val="left" w:pos="974"/>
              </w:tabs>
              <w:spacing w:before="117"/>
              <w:ind w:left="974" w:hanging="369"/>
            </w:pPr>
            <w:r>
              <w:t>consider</w:t>
            </w:r>
            <w:r>
              <w:rPr>
                <w:spacing w:val="-8"/>
              </w:rPr>
              <w:t xml:space="preserve"> </w:t>
            </w:r>
            <w:r>
              <w:t>the</w:t>
            </w:r>
            <w:r>
              <w:rPr>
                <w:spacing w:val="-9"/>
              </w:rPr>
              <w:t xml:space="preserve"> </w:t>
            </w:r>
            <w:r>
              <w:t>implications</w:t>
            </w:r>
            <w:r>
              <w:rPr>
                <w:spacing w:val="-8"/>
              </w:rPr>
              <w:t xml:space="preserve"> </w:t>
            </w:r>
            <w:r>
              <w:t>on</w:t>
            </w:r>
            <w:r>
              <w:rPr>
                <w:spacing w:val="-8"/>
              </w:rPr>
              <w:t xml:space="preserve"> </w:t>
            </w:r>
            <w:r>
              <w:t>the</w:t>
            </w:r>
            <w:r>
              <w:rPr>
                <w:spacing w:val="-7"/>
              </w:rPr>
              <w:t xml:space="preserve"> </w:t>
            </w:r>
            <w:r>
              <w:t>financial</w:t>
            </w:r>
            <w:r>
              <w:rPr>
                <w:spacing w:val="-8"/>
              </w:rPr>
              <w:t xml:space="preserve"> </w:t>
            </w:r>
            <w:r>
              <w:t>statements;</w:t>
            </w:r>
            <w:r>
              <w:rPr>
                <w:spacing w:val="-7"/>
              </w:rPr>
              <w:t xml:space="preserve"> </w:t>
            </w:r>
            <w:r>
              <w:rPr>
                <w:spacing w:val="-5"/>
              </w:rPr>
              <w:t>and</w:t>
            </w:r>
          </w:p>
          <w:p w14:paraId="0DFDB9EE" w14:textId="77777777" w:rsidR="00046465" w:rsidRDefault="008134EB">
            <w:pPr>
              <w:pStyle w:val="TableParagraph"/>
              <w:numPr>
                <w:ilvl w:val="0"/>
                <w:numId w:val="167"/>
              </w:numPr>
              <w:tabs>
                <w:tab w:val="left" w:pos="965"/>
                <w:tab w:val="left" w:pos="974"/>
              </w:tabs>
              <w:spacing w:before="119"/>
              <w:ind w:left="965" w:right="210" w:hanging="361"/>
            </w:pPr>
            <w:r>
              <w:t>report instances</w:t>
            </w:r>
            <w:r>
              <w:rPr>
                <w:spacing w:val="-5"/>
              </w:rPr>
              <w:t xml:space="preserve"> </w:t>
            </w:r>
            <w:r>
              <w:t>of</w:t>
            </w:r>
            <w:r>
              <w:rPr>
                <w:spacing w:val="-5"/>
              </w:rPr>
              <w:t xml:space="preserve"> </w:t>
            </w:r>
            <w:r>
              <w:t>noncompliance,</w:t>
            </w:r>
            <w:r>
              <w:rPr>
                <w:spacing w:val="-6"/>
              </w:rPr>
              <w:t xml:space="preserve"> </w:t>
            </w:r>
            <w:r>
              <w:t>as</w:t>
            </w:r>
            <w:r>
              <w:rPr>
                <w:spacing w:val="-5"/>
              </w:rPr>
              <w:t xml:space="preserve"> </w:t>
            </w:r>
            <w:r>
              <w:t>appropriate</w:t>
            </w:r>
            <w:r>
              <w:rPr>
                <w:spacing w:val="-5"/>
              </w:rPr>
              <w:t xml:space="preserve"> </w:t>
            </w:r>
            <w:r>
              <w:t>(see</w:t>
            </w:r>
            <w:r>
              <w:rPr>
                <w:spacing w:val="-5"/>
              </w:rPr>
              <w:t xml:space="preserve"> </w:t>
            </w:r>
            <w:r>
              <w:t>the Compliance with Applicable Laws, Regulations, Contracts, and Grant Agreements and Instances of Fraud subsection in FAM 580).</w:t>
            </w:r>
          </w:p>
        </w:tc>
        <w:tc>
          <w:tcPr>
            <w:tcW w:w="1152" w:type="dxa"/>
            <w:tcBorders>
              <w:left w:val="single" w:sz="2" w:space="0" w:color="000000"/>
              <w:bottom w:val="single" w:sz="2" w:space="0" w:color="000000"/>
              <w:right w:val="single" w:sz="2" w:space="0" w:color="000000"/>
            </w:tcBorders>
          </w:tcPr>
          <w:p w14:paraId="0DFDB9EF" w14:textId="77777777" w:rsidR="00046465" w:rsidRDefault="00046465">
            <w:pPr>
              <w:pStyle w:val="TableParagraph"/>
              <w:rPr>
                <w:rFonts w:ascii="Times New Roman"/>
                <w:sz w:val="20"/>
              </w:rPr>
            </w:pPr>
          </w:p>
        </w:tc>
        <w:tc>
          <w:tcPr>
            <w:tcW w:w="1261" w:type="dxa"/>
            <w:tcBorders>
              <w:left w:val="single" w:sz="2" w:space="0" w:color="000000"/>
              <w:bottom w:val="single" w:sz="2" w:space="0" w:color="000000"/>
            </w:tcBorders>
          </w:tcPr>
          <w:p w14:paraId="0DFDB9F0" w14:textId="77777777" w:rsidR="00046465" w:rsidRDefault="00046465">
            <w:pPr>
              <w:pStyle w:val="TableParagraph"/>
              <w:rPr>
                <w:rFonts w:ascii="Times New Roman"/>
                <w:sz w:val="20"/>
              </w:rPr>
            </w:pPr>
          </w:p>
        </w:tc>
      </w:tr>
      <w:tr w:rsidR="00046465" w14:paraId="0DFDB9F5" w14:textId="77777777">
        <w:trPr>
          <w:trHeight w:val="746"/>
        </w:trPr>
        <w:tc>
          <w:tcPr>
            <w:tcW w:w="6948" w:type="dxa"/>
            <w:tcBorders>
              <w:top w:val="single" w:sz="2" w:space="0" w:color="000000"/>
              <w:right w:val="single" w:sz="2" w:space="0" w:color="000000"/>
            </w:tcBorders>
          </w:tcPr>
          <w:p w14:paraId="0DFDB9F2" w14:textId="77777777" w:rsidR="00046465" w:rsidRDefault="008134EB">
            <w:pPr>
              <w:pStyle w:val="TableParagraph"/>
              <w:tabs>
                <w:tab w:val="left" w:pos="567"/>
              </w:tabs>
              <w:spacing w:before="120"/>
              <w:ind w:left="600" w:right="422" w:hanging="471"/>
            </w:pPr>
            <w:r>
              <w:rPr>
                <w:spacing w:val="-6"/>
              </w:rPr>
              <w:t>7.</w:t>
            </w:r>
            <w:r>
              <w:tab/>
              <w:t>Document</w:t>
            </w:r>
            <w:r>
              <w:rPr>
                <w:spacing w:val="-6"/>
              </w:rPr>
              <w:t xml:space="preserve"> </w:t>
            </w:r>
            <w:r>
              <w:t>conclusions</w:t>
            </w:r>
            <w:r>
              <w:rPr>
                <w:spacing w:val="-6"/>
              </w:rPr>
              <w:t xml:space="preserve"> </w:t>
            </w:r>
            <w:r>
              <w:t>on</w:t>
            </w:r>
            <w:r>
              <w:rPr>
                <w:spacing w:val="-6"/>
              </w:rPr>
              <w:t xml:space="preserve"> </w:t>
            </w:r>
            <w:r>
              <w:t>compliance</w:t>
            </w:r>
            <w:r>
              <w:rPr>
                <w:spacing w:val="-6"/>
              </w:rPr>
              <w:t xml:space="preserve"> </w:t>
            </w:r>
            <w:r>
              <w:t>with</w:t>
            </w:r>
            <w:r>
              <w:rPr>
                <w:spacing w:val="-6"/>
              </w:rPr>
              <w:t xml:space="preserve"> </w:t>
            </w:r>
            <w:r>
              <w:t>each</w:t>
            </w:r>
            <w:r>
              <w:rPr>
                <w:spacing w:val="-7"/>
              </w:rPr>
              <w:t xml:space="preserve"> </w:t>
            </w:r>
            <w:r>
              <w:t>provision</w:t>
            </w:r>
            <w:r>
              <w:rPr>
                <w:spacing w:val="-6"/>
              </w:rPr>
              <w:t xml:space="preserve"> </w:t>
            </w:r>
            <w:r>
              <w:t>on Form 805, Compliance Summary.</w:t>
            </w:r>
          </w:p>
        </w:tc>
        <w:tc>
          <w:tcPr>
            <w:tcW w:w="1152" w:type="dxa"/>
            <w:tcBorders>
              <w:top w:val="single" w:sz="2" w:space="0" w:color="000000"/>
              <w:left w:val="single" w:sz="2" w:space="0" w:color="000000"/>
              <w:right w:val="single" w:sz="2" w:space="0" w:color="000000"/>
            </w:tcBorders>
          </w:tcPr>
          <w:p w14:paraId="0DFDB9F3" w14:textId="77777777" w:rsidR="00046465" w:rsidRDefault="00046465">
            <w:pPr>
              <w:pStyle w:val="TableParagraph"/>
              <w:rPr>
                <w:rFonts w:ascii="Times New Roman"/>
                <w:sz w:val="20"/>
              </w:rPr>
            </w:pPr>
          </w:p>
        </w:tc>
        <w:tc>
          <w:tcPr>
            <w:tcW w:w="1261" w:type="dxa"/>
            <w:tcBorders>
              <w:top w:val="single" w:sz="2" w:space="0" w:color="000000"/>
              <w:left w:val="single" w:sz="2" w:space="0" w:color="000000"/>
            </w:tcBorders>
          </w:tcPr>
          <w:p w14:paraId="0DFDB9F4" w14:textId="77777777" w:rsidR="00046465" w:rsidRDefault="00046465">
            <w:pPr>
              <w:pStyle w:val="TableParagraph"/>
              <w:rPr>
                <w:rFonts w:ascii="Times New Roman"/>
                <w:sz w:val="20"/>
              </w:rPr>
            </w:pPr>
          </w:p>
        </w:tc>
      </w:tr>
    </w:tbl>
    <w:p w14:paraId="0DFDB9F6" w14:textId="77777777" w:rsidR="00046465" w:rsidRDefault="00046465">
      <w:pPr>
        <w:pStyle w:val="TableParagraph"/>
        <w:rPr>
          <w:rFonts w:ascii="Times New Roman"/>
          <w:sz w:val="20"/>
        </w:rPr>
        <w:sectPr w:rsidR="00046465">
          <w:pgSz w:w="12240" w:h="15840"/>
          <w:pgMar w:top="1560" w:right="1080" w:bottom="940" w:left="1080" w:header="865" w:footer="742" w:gutter="0"/>
          <w:cols w:space="720"/>
        </w:sectPr>
      </w:pPr>
    </w:p>
    <w:p w14:paraId="0DFDB9F7" w14:textId="77777777" w:rsidR="00046465" w:rsidRDefault="008134EB">
      <w:pPr>
        <w:pStyle w:val="Heading3"/>
        <w:spacing w:before="80"/>
        <w:rPr>
          <w:u w:val="none"/>
        </w:rPr>
      </w:pPr>
      <w:bookmarkStart w:id="212" w:name="806_–_Prompt_Payment_Act_(PPA),_as_Provi"/>
      <w:bookmarkStart w:id="213" w:name="_bookmark106"/>
      <w:bookmarkEnd w:id="212"/>
      <w:bookmarkEnd w:id="213"/>
      <w:r>
        <w:lastRenderedPageBreak/>
        <w:t>806</w:t>
      </w:r>
      <w:r>
        <w:rPr>
          <w:spacing w:val="-8"/>
        </w:rPr>
        <w:t xml:space="preserve"> </w:t>
      </w:r>
      <w:r>
        <w:t>–</w:t>
      </w:r>
      <w:r>
        <w:rPr>
          <w:spacing w:val="-5"/>
        </w:rPr>
        <w:t xml:space="preserve"> </w:t>
      </w:r>
      <w:r>
        <w:t>Prompt</w:t>
      </w:r>
      <w:r>
        <w:rPr>
          <w:spacing w:val="-6"/>
        </w:rPr>
        <w:t xml:space="preserve"> </w:t>
      </w:r>
      <w:r>
        <w:t>Payment</w:t>
      </w:r>
      <w:r>
        <w:rPr>
          <w:spacing w:val="-18"/>
        </w:rPr>
        <w:t xml:space="preserve"> </w:t>
      </w:r>
      <w:r>
        <w:t>Act</w:t>
      </w:r>
      <w:r>
        <w:rPr>
          <w:spacing w:val="-5"/>
        </w:rPr>
        <w:t xml:space="preserve"> </w:t>
      </w:r>
      <w:r>
        <w:t>(PPA),</w:t>
      </w:r>
      <w:r>
        <w:rPr>
          <w:spacing w:val="-6"/>
        </w:rPr>
        <w:t xml:space="preserve"> </w:t>
      </w:r>
      <w:r>
        <w:t>a</w:t>
      </w:r>
      <w:bookmarkStart w:id="214" w:name="_bookmark108"/>
      <w:bookmarkEnd w:id="214"/>
      <w:r>
        <w:t>s</w:t>
      </w:r>
      <w:r>
        <w:rPr>
          <w:spacing w:val="-5"/>
        </w:rPr>
        <w:t xml:space="preserve"> </w:t>
      </w:r>
      <w:bookmarkStart w:id="215" w:name="_bookmark109"/>
      <w:bookmarkEnd w:id="215"/>
      <w:r>
        <w:t>Provided</w:t>
      </w:r>
      <w:r>
        <w:rPr>
          <w:spacing w:val="-7"/>
        </w:rPr>
        <w:t xml:space="preserve"> </w:t>
      </w:r>
      <w:r>
        <w:t>in</w:t>
      </w:r>
      <w:r>
        <w:rPr>
          <w:spacing w:val="-5"/>
        </w:rPr>
        <w:t xml:space="preserve"> </w:t>
      </w:r>
      <w:bookmarkStart w:id="216" w:name="_bookmark110"/>
      <w:bookmarkEnd w:id="216"/>
      <w:r>
        <w:t>31</w:t>
      </w:r>
      <w:r>
        <w:rPr>
          <w:spacing w:val="-6"/>
        </w:rPr>
        <w:t xml:space="preserve"> </w:t>
      </w:r>
      <w:r>
        <w:t>U.</w:t>
      </w:r>
      <w:bookmarkStart w:id="217" w:name="_bookmark111"/>
      <w:bookmarkEnd w:id="217"/>
      <w:r>
        <w:t>S.C</w:t>
      </w:r>
      <w:bookmarkStart w:id="218" w:name="_bookmark112"/>
      <w:bookmarkEnd w:id="218"/>
      <w:r>
        <w:t>.</w:t>
      </w:r>
      <w:r>
        <w:rPr>
          <w:spacing w:val="-6"/>
        </w:rPr>
        <w:t xml:space="preserve"> </w:t>
      </w:r>
      <w:r>
        <w:t>Ch</w:t>
      </w:r>
      <w:bookmarkStart w:id="219" w:name="_bookmark107"/>
      <w:bookmarkEnd w:id="219"/>
      <w:r>
        <w:t>apter</w:t>
      </w:r>
      <w:r>
        <w:rPr>
          <w:spacing w:val="-6"/>
        </w:rPr>
        <w:t xml:space="preserve"> </w:t>
      </w:r>
      <w:r>
        <w:rPr>
          <w:spacing w:val="-5"/>
        </w:rPr>
        <w:t>39</w:t>
      </w:r>
    </w:p>
    <w:p w14:paraId="0DFDB9F8" w14:textId="77777777" w:rsidR="00046465" w:rsidRDefault="008134EB">
      <w:pPr>
        <w:pStyle w:val="BodyText"/>
        <w:spacing w:before="239"/>
        <w:ind w:left="359" w:right="422"/>
      </w:pPr>
      <w:r>
        <w:t>Note: The auditor should complete this compliance summary or prepare equivalent documentation only if provisions of the Prompt Payment</w:t>
      </w:r>
      <w:r>
        <w:rPr>
          <w:spacing w:val="-2"/>
        </w:rPr>
        <w:t xml:space="preserve"> </w:t>
      </w:r>
      <w:r>
        <w:t>Act</w:t>
      </w:r>
      <w:r>
        <w:rPr>
          <w:spacing w:val="-2"/>
        </w:rPr>
        <w:t xml:space="preserve"> </w:t>
      </w:r>
      <w:r>
        <w:t>(PPA),</w:t>
      </w:r>
      <w:r>
        <w:rPr>
          <w:spacing w:val="-2"/>
        </w:rPr>
        <w:t xml:space="preserve"> </w:t>
      </w:r>
      <w:r>
        <w:t>as</w:t>
      </w:r>
      <w:r>
        <w:rPr>
          <w:spacing w:val="-2"/>
        </w:rPr>
        <w:t xml:space="preserve"> </w:t>
      </w:r>
      <w:r>
        <w:t>provided</w:t>
      </w:r>
      <w:r>
        <w:rPr>
          <w:spacing w:val="-2"/>
        </w:rPr>
        <w:t xml:space="preserve"> </w:t>
      </w:r>
      <w:r>
        <w:t>in</w:t>
      </w:r>
      <w:r>
        <w:rPr>
          <w:spacing w:val="-3"/>
        </w:rPr>
        <w:t xml:space="preserve"> </w:t>
      </w:r>
      <w:r>
        <w:t>31</w:t>
      </w:r>
      <w:r>
        <w:rPr>
          <w:spacing w:val="-2"/>
        </w:rPr>
        <w:t xml:space="preserve"> </w:t>
      </w:r>
      <w:r>
        <w:t>U.S.C.</w:t>
      </w:r>
      <w:r>
        <w:rPr>
          <w:spacing w:val="-2"/>
        </w:rPr>
        <w:t xml:space="preserve"> </w:t>
      </w:r>
      <w:r>
        <w:t>chapter</w:t>
      </w:r>
      <w:r>
        <w:rPr>
          <w:spacing w:val="-2"/>
        </w:rPr>
        <w:t xml:space="preserve"> </w:t>
      </w:r>
      <w:r>
        <w:t>39,</w:t>
      </w:r>
      <w:r>
        <w:rPr>
          <w:spacing w:val="-2"/>
        </w:rPr>
        <w:t xml:space="preserve"> </w:t>
      </w:r>
      <w:r>
        <w:t>are</w:t>
      </w:r>
      <w:r>
        <w:rPr>
          <w:spacing w:val="-2"/>
        </w:rPr>
        <w:t xml:space="preserve"> </w:t>
      </w:r>
      <w:r>
        <w:t>significant,</w:t>
      </w:r>
      <w:r>
        <w:rPr>
          <w:spacing w:val="-2"/>
        </w:rPr>
        <w:t xml:space="preserve"> </w:t>
      </w:r>
      <w:r>
        <w:t>as</w:t>
      </w:r>
      <w:r>
        <w:rPr>
          <w:spacing w:val="-2"/>
        </w:rPr>
        <w:t xml:space="preserve"> </w:t>
      </w:r>
      <w:r>
        <w:t>indicated</w:t>
      </w:r>
      <w:r>
        <w:rPr>
          <w:spacing w:val="-2"/>
        </w:rPr>
        <w:t xml:space="preserve"> </w:t>
      </w:r>
      <w:r>
        <w:t>on</w:t>
      </w:r>
      <w:r>
        <w:rPr>
          <w:spacing w:val="-2"/>
        </w:rPr>
        <w:t xml:space="preserve"> </w:t>
      </w:r>
      <w:r>
        <w:t>Form</w:t>
      </w:r>
      <w:r>
        <w:rPr>
          <w:spacing w:val="-3"/>
        </w:rPr>
        <w:t xml:space="preserve"> </w:t>
      </w:r>
      <w:r>
        <w:t>802,</w:t>
      </w:r>
      <w:r>
        <w:rPr>
          <w:spacing w:val="-2"/>
        </w:rPr>
        <w:t xml:space="preserve"> </w:t>
      </w:r>
      <w:r>
        <w:t>General</w:t>
      </w:r>
      <w:r>
        <w:rPr>
          <w:spacing w:val="-2"/>
        </w:rPr>
        <w:t xml:space="preserve"> </w:t>
      </w:r>
      <w:r>
        <w:t>Compliance</w:t>
      </w:r>
      <w:r>
        <w:rPr>
          <w:spacing w:val="-2"/>
        </w:rPr>
        <w:t xml:space="preserve"> </w:t>
      </w:r>
      <w:r>
        <w:t>Checklist. Implementing regulations for the Prompt Payment Act are included in 5 C.F.R. Part 1315.</w:t>
      </w:r>
    </w:p>
    <w:p w14:paraId="0DFDB9F9" w14:textId="77777777" w:rsidR="00046465" w:rsidRDefault="00046465">
      <w:pPr>
        <w:pStyle w:val="BodyText"/>
        <w:spacing w:before="5"/>
        <w:rPr>
          <w:sz w:val="13"/>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564"/>
        <w:gridCol w:w="1980"/>
        <w:gridCol w:w="2201"/>
        <w:gridCol w:w="1517"/>
        <w:gridCol w:w="1488"/>
        <w:gridCol w:w="2534"/>
      </w:tblGrid>
      <w:tr w:rsidR="00046465" w14:paraId="0DFDB9FD" w14:textId="77777777">
        <w:trPr>
          <w:trHeight w:val="1574"/>
        </w:trPr>
        <w:tc>
          <w:tcPr>
            <w:tcW w:w="13284" w:type="dxa"/>
            <w:gridSpan w:val="6"/>
          </w:tcPr>
          <w:p w14:paraId="0DFDB9FA" w14:textId="77777777" w:rsidR="00046465" w:rsidRDefault="008134EB">
            <w:pPr>
              <w:pStyle w:val="TableParagraph"/>
              <w:tabs>
                <w:tab w:val="left" w:pos="9257"/>
              </w:tabs>
              <w:spacing w:before="144"/>
              <w:ind w:right="1936"/>
              <w:jc w:val="center"/>
            </w:pPr>
            <w:r>
              <w:t>Name</w:t>
            </w:r>
            <w:r>
              <w:rPr>
                <w:spacing w:val="-5"/>
              </w:rPr>
              <w:t xml:space="preserve"> </w:t>
            </w:r>
            <w:r>
              <w:t>of</w:t>
            </w:r>
            <w:r>
              <w:rPr>
                <w:spacing w:val="-5"/>
              </w:rPr>
              <w:t xml:space="preserve"> </w:t>
            </w:r>
            <w:r>
              <w:rPr>
                <w:spacing w:val="-2"/>
              </w:rPr>
              <w:t>entity:</w:t>
            </w:r>
            <w:r>
              <w:tab/>
              <w:t>Prepared</w:t>
            </w:r>
            <w:r>
              <w:rPr>
                <w:spacing w:val="-11"/>
              </w:rPr>
              <w:t xml:space="preserve"> </w:t>
            </w:r>
            <w:r>
              <w:rPr>
                <w:spacing w:val="-5"/>
              </w:rPr>
              <w:t>by:</w:t>
            </w:r>
          </w:p>
          <w:p w14:paraId="0DFDB9FB" w14:textId="77777777" w:rsidR="00046465" w:rsidRDefault="008134EB">
            <w:pPr>
              <w:pStyle w:val="TableParagraph"/>
              <w:spacing w:before="12"/>
              <w:ind w:left="1957" w:right="1936"/>
              <w:jc w:val="center"/>
              <w:rPr>
                <w:b/>
                <w:sz w:val="24"/>
              </w:rPr>
            </w:pPr>
            <w:r>
              <w:rPr>
                <w:b/>
                <w:noProof/>
                <w:sz w:val="24"/>
              </w:rPr>
              <mc:AlternateContent>
                <mc:Choice Requires="wpg">
                  <w:drawing>
                    <wp:anchor distT="0" distB="0" distL="0" distR="0" simplePos="0" relativeHeight="476141056" behindDoc="1" locked="0" layoutInCell="1" allowOverlap="1" wp14:anchorId="0DFDD665" wp14:editId="0DFDD666">
                      <wp:simplePos x="0" y="0"/>
                      <wp:positionH relativeFrom="column">
                        <wp:posOffset>7007352</wp:posOffset>
                      </wp:positionH>
                      <wp:positionV relativeFrom="paragraph">
                        <wp:posOffset>91895</wp:posOffset>
                      </wp:positionV>
                      <wp:extent cx="1359535" cy="6350"/>
                      <wp:effectExtent l="0" t="0" r="0" b="0"/>
                      <wp:wrapNone/>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6350"/>
                                <a:chOff x="0" y="0"/>
                                <a:chExt cx="1359535" cy="6350"/>
                              </a:xfrm>
                            </wpg:grpSpPr>
                            <wps:wsp>
                              <wps:cNvPr id="660" name="Graphic 660"/>
                              <wps:cNvSpPr/>
                              <wps:spPr>
                                <a:xfrm>
                                  <a:off x="0" y="0"/>
                                  <a:ext cx="1359535" cy="6350"/>
                                </a:xfrm>
                                <a:custGeom>
                                  <a:avLst/>
                                  <a:gdLst/>
                                  <a:ahLst/>
                                  <a:cxnLst/>
                                  <a:rect l="l" t="t" r="r" b="b"/>
                                  <a:pathLst>
                                    <a:path w="1359535" h="6350">
                                      <a:moveTo>
                                        <a:pt x="1359407" y="0"/>
                                      </a:moveTo>
                                      <a:lnTo>
                                        <a:pt x="0" y="0"/>
                                      </a:lnTo>
                                      <a:lnTo>
                                        <a:pt x="0" y="6096"/>
                                      </a:lnTo>
                                      <a:lnTo>
                                        <a:pt x="1359407" y="6096"/>
                                      </a:lnTo>
                                      <a:lnTo>
                                        <a:pt x="1359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626F8AD" id="Group 659" o:spid="_x0000_s1026" style="position:absolute;margin-left:551.75pt;margin-top:7.25pt;width:107.05pt;height:.5pt;z-index:-27175424;mso-wrap-distance-left:0;mso-wrap-distance-right:0" coordsize="13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">
                      <v:shape id="Graphic 660" o:spid="_x0000_s1027" style="position:absolute;width:13595;height:63;visibility:visible;mso-wrap-style:square;v-text-anchor:top" coordsize="1359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" path="m1359407,l,,,6096r1359407,l1359407,xe" fillcolor="black" stroked="f">
                        <v:path arrowok="t"/>
                      </v:shape>
                    </v:group>
                  </w:pict>
                </mc:Fallback>
              </mc:AlternateContent>
            </w:r>
            <w:r>
              <w:rPr>
                <w:b/>
                <w:noProof/>
                <w:sz w:val="24"/>
              </w:rPr>
              <mc:AlternateContent>
                <mc:Choice Requires="wpg">
                  <w:drawing>
                    <wp:anchor distT="0" distB="0" distL="0" distR="0" simplePos="0" relativeHeight="476142080" behindDoc="1" locked="0" layoutInCell="1" allowOverlap="1" wp14:anchorId="0DFDD667" wp14:editId="0DFDD668">
                      <wp:simplePos x="0" y="0"/>
                      <wp:positionH relativeFrom="column">
                        <wp:posOffset>7007352</wp:posOffset>
                      </wp:positionH>
                      <wp:positionV relativeFrom="paragraph">
                        <wp:posOffset>441653</wp:posOffset>
                      </wp:positionV>
                      <wp:extent cx="1359535" cy="6350"/>
                      <wp:effectExtent l="0" t="0" r="0" b="0"/>
                      <wp:wrapNone/>
                      <wp:docPr id="661"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6350"/>
                                <a:chOff x="0" y="0"/>
                                <a:chExt cx="1359535" cy="6350"/>
                              </a:xfrm>
                            </wpg:grpSpPr>
                            <wps:wsp>
                              <wps:cNvPr id="662" name="Graphic 662"/>
                              <wps:cNvSpPr/>
                              <wps:spPr>
                                <a:xfrm>
                                  <a:off x="0" y="0"/>
                                  <a:ext cx="1359535" cy="6350"/>
                                </a:xfrm>
                                <a:custGeom>
                                  <a:avLst/>
                                  <a:gdLst/>
                                  <a:ahLst/>
                                  <a:cxnLst/>
                                  <a:rect l="l" t="t" r="r" b="b"/>
                                  <a:pathLst>
                                    <a:path w="1359535" h="6350">
                                      <a:moveTo>
                                        <a:pt x="1359407" y="0"/>
                                      </a:moveTo>
                                      <a:lnTo>
                                        <a:pt x="0" y="0"/>
                                      </a:lnTo>
                                      <a:lnTo>
                                        <a:pt x="0" y="6096"/>
                                      </a:lnTo>
                                      <a:lnTo>
                                        <a:pt x="1359407" y="6096"/>
                                      </a:lnTo>
                                      <a:lnTo>
                                        <a:pt x="1359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EFCF1E6" id="Group 661" o:spid="_x0000_s1026" style="position:absolute;margin-left:551.75pt;margin-top:34.8pt;width:107.05pt;height:.5pt;z-index:-27174400;mso-wrap-distance-left:0;mso-wrap-distance-right:0" coordsize="13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">
                      <v:shape id="Graphic 662" o:spid="_x0000_s1027" style="position:absolute;width:13595;height:63;visibility:visible;mso-wrap-style:square;v-text-anchor:top" coordsize="1359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" path="m1359407,l,,,6096r1359407,l1359407,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9FC" w14:textId="77777777" w:rsidR="00046465" w:rsidRDefault="008134EB">
            <w:pPr>
              <w:pStyle w:val="TableParagraph"/>
              <w:tabs>
                <w:tab w:val="left" w:pos="8951"/>
              </w:tabs>
              <w:spacing w:before="10"/>
              <w:ind w:right="1691"/>
              <w:jc w:val="center"/>
            </w:pPr>
            <w:r>
              <w:rPr>
                <w:noProof/>
              </w:rPr>
              <mc:AlternateContent>
                <mc:Choice Requires="wpg">
                  <w:drawing>
                    <wp:anchor distT="0" distB="0" distL="0" distR="0" simplePos="0" relativeHeight="476140544" behindDoc="1" locked="0" layoutInCell="1" allowOverlap="1" wp14:anchorId="0DFDD669" wp14:editId="0DFDD66A">
                      <wp:simplePos x="0" y="0"/>
                      <wp:positionH relativeFrom="column">
                        <wp:posOffset>1267967</wp:posOffset>
                      </wp:positionH>
                      <wp:positionV relativeFrom="paragraph">
                        <wp:posOffset>-91185</wp:posOffset>
                      </wp:positionV>
                      <wp:extent cx="1195705" cy="6350"/>
                      <wp:effectExtent l="0" t="0" r="0" b="0"/>
                      <wp:wrapNone/>
                      <wp:docPr id="663"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705" cy="6350"/>
                                <a:chOff x="0" y="0"/>
                                <a:chExt cx="1195705" cy="6350"/>
                              </a:xfrm>
                            </wpg:grpSpPr>
                            <wps:wsp>
                              <wps:cNvPr id="664" name="Graphic 664"/>
                              <wps:cNvSpPr/>
                              <wps:spPr>
                                <a:xfrm>
                                  <a:off x="0" y="0"/>
                                  <a:ext cx="1195705" cy="6350"/>
                                </a:xfrm>
                                <a:custGeom>
                                  <a:avLst/>
                                  <a:gdLst/>
                                  <a:ahLst/>
                                  <a:cxnLst/>
                                  <a:rect l="l" t="t" r="r" b="b"/>
                                  <a:pathLst>
                                    <a:path w="1195705" h="6350">
                                      <a:moveTo>
                                        <a:pt x="1195577" y="0"/>
                                      </a:moveTo>
                                      <a:lnTo>
                                        <a:pt x="0" y="0"/>
                                      </a:lnTo>
                                      <a:lnTo>
                                        <a:pt x="0" y="6096"/>
                                      </a:lnTo>
                                      <a:lnTo>
                                        <a:pt x="1195577" y="6096"/>
                                      </a:lnTo>
                                      <a:lnTo>
                                        <a:pt x="11955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686D040" id="Group 663" o:spid="_x0000_s1026" style="position:absolute;margin-left:99.85pt;margin-top:-7.2pt;width:94.15pt;height:.5pt;z-index:-27175936;mso-wrap-distance-left:0;mso-wrap-distance-right:0" coordsize="11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">
                      <v:shape id="Graphic 664" o:spid="_x0000_s1027" style="position:absolute;width:11957;height:63;visibility:visible;mso-wrap-style:square;v-text-anchor:top" coordsize="1195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" path="m1195577,l,,,6096r1195577,l1195577,xe" fillcolor="black" stroked="f">
                        <v:path arrowok="t"/>
                      </v:shape>
                    </v:group>
                  </w:pict>
                </mc:Fallback>
              </mc:AlternateContent>
            </w:r>
            <w:r>
              <w:rPr>
                <w:noProof/>
              </w:rPr>
              <mc:AlternateContent>
                <mc:Choice Requires="wpg">
                  <w:drawing>
                    <wp:anchor distT="0" distB="0" distL="0" distR="0" simplePos="0" relativeHeight="476141568" behindDoc="1" locked="0" layoutInCell="1" allowOverlap="1" wp14:anchorId="0DFDD66B" wp14:editId="0DFDD66C">
                      <wp:simplePos x="0" y="0"/>
                      <wp:positionH relativeFrom="column">
                        <wp:posOffset>1267967</wp:posOffset>
                      </wp:positionH>
                      <wp:positionV relativeFrom="paragraph">
                        <wp:posOffset>258572</wp:posOffset>
                      </wp:positionV>
                      <wp:extent cx="1195705" cy="6350"/>
                      <wp:effectExtent l="0" t="0" r="0" b="0"/>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705" cy="6350"/>
                                <a:chOff x="0" y="0"/>
                                <a:chExt cx="1195705" cy="6350"/>
                              </a:xfrm>
                            </wpg:grpSpPr>
                            <wps:wsp>
                              <wps:cNvPr id="666" name="Graphic 666"/>
                              <wps:cNvSpPr/>
                              <wps:spPr>
                                <a:xfrm>
                                  <a:off x="0" y="0"/>
                                  <a:ext cx="1195705" cy="6350"/>
                                </a:xfrm>
                                <a:custGeom>
                                  <a:avLst/>
                                  <a:gdLst/>
                                  <a:ahLst/>
                                  <a:cxnLst/>
                                  <a:rect l="l" t="t" r="r" b="b"/>
                                  <a:pathLst>
                                    <a:path w="1195705" h="6350">
                                      <a:moveTo>
                                        <a:pt x="1195577" y="0"/>
                                      </a:moveTo>
                                      <a:lnTo>
                                        <a:pt x="0" y="0"/>
                                      </a:lnTo>
                                      <a:lnTo>
                                        <a:pt x="0" y="6096"/>
                                      </a:lnTo>
                                      <a:lnTo>
                                        <a:pt x="1195577" y="6096"/>
                                      </a:lnTo>
                                      <a:lnTo>
                                        <a:pt x="11955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64E4FF1" id="Group 665" o:spid="_x0000_s1026" style="position:absolute;margin-left:99.85pt;margin-top:20.35pt;width:94.15pt;height:.5pt;z-index:-27174912;mso-wrap-distance-left:0;mso-wrap-distance-right:0" coordsize="11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">
                      <v:shape id="Graphic 666" o:spid="_x0000_s1027" style="position:absolute;width:11957;height:63;visibility:visible;mso-wrap-style:square;v-text-anchor:top" coordsize="1195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" path="m1195577,l,,,6096r1195577,l1195577,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A08" w14:textId="77777777">
        <w:trPr>
          <w:trHeight w:val="793"/>
        </w:trPr>
        <w:tc>
          <w:tcPr>
            <w:tcW w:w="3564" w:type="dxa"/>
            <w:tcBorders>
              <w:right w:val="single" w:sz="4" w:space="0" w:color="000000"/>
            </w:tcBorders>
          </w:tcPr>
          <w:p w14:paraId="0DFDB9FE" w14:textId="77777777" w:rsidR="00046465" w:rsidRDefault="00046465">
            <w:pPr>
              <w:pStyle w:val="TableParagraph"/>
              <w:spacing w:before="143"/>
            </w:pPr>
          </w:p>
          <w:p w14:paraId="0DFDB9FF" w14:textId="77777777" w:rsidR="00046465" w:rsidRDefault="008134EB">
            <w:pPr>
              <w:pStyle w:val="TableParagraph"/>
              <w:ind w:left="97"/>
            </w:pPr>
            <w:r>
              <w:t>Provision</w:t>
            </w:r>
            <w:r>
              <w:rPr>
                <w:spacing w:val="-11"/>
              </w:rPr>
              <w:t xml:space="preserve"> </w:t>
            </w:r>
            <w:r>
              <w:rPr>
                <w:spacing w:val="-2"/>
              </w:rPr>
              <w:t>Description</w:t>
            </w:r>
          </w:p>
        </w:tc>
        <w:tc>
          <w:tcPr>
            <w:tcW w:w="1980" w:type="dxa"/>
            <w:tcBorders>
              <w:left w:val="single" w:sz="4" w:space="0" w:color="000000"/>
              <w:right w:val="single" w:sz="4" w:space="0" w:color="000000"/>
            </w:tcBorders>
          </w:tcPr>
          <w:p w14:paraId="0DFDBA00" w14:textId="77777777" w:rsidR="00046465" w:rsidRDefault="00046465">
            <w:pPr>
              <w:pStyle w:val="TableParagraph"/>
              <w:spacing w:before="143"/>
            </w:pPr>
          </w:p>
          <w:p w14:paraId="0DFDBA01" w14:textId="77777777" w:rsidR="00046465" w:rsidRDefault="008134EB">
            <w:pPr>
              <w:pStyle w:val="TableParagraph"/>
              <w:ind w:left="107"/>
            </w:pPr>
            <w:r>
              <w:rPr>
                <w:spacing w:val="-2"/>
              </w:rPr>
              <w:t>Objective</w:t>
            </w:r>
          </w:p>
        </w:tc>
        <w:tc>
          <w:tcPr>
            <w:tcW w:w="2201" w:type="dxa"/>
            <w:tcBorders>
              <w:left w:val="single" w:sz="4" w:space="0" w:color="000000"/>
              <w:right w:val="single" w:sz="4" w:space="0" w:color="000000"/>
            </w:tcBorders>
          </w:tcPr>
          <w:p w14:paraId="0DFDBA02" w14:textId="77777777" w:rsidR="00046465" w:rsidRDefault="00046465">
            <w:pPr>
              <w:pStyle w:val="TableParagraph"/>
              <w:spacing w:before="143"/>
            </w:pPr>
          </w:p>
          <w:p w14:paraId="0DFDBA03" w14:textId="77777777" w:rsidR="00046465" w:rsidRDefault="008134EB">
            <w:pPr>
              <w:pStyle w:val="TableParagraph"/>
              <w:ind w:left="108"/>
            </w:pPr>
            <w:r>
              <w:t>Control</w:t>
            </w:r>
            <w:r>
              <w:rPr>
                <w:spacing w:val="-9"/>
              </w:rPr>
              <w:t xml:space="preserve"> </w:t>
            </w:r>
            <w:r>
              <w:rPr>
                <w:spacing w:val="-2"/>
              </w:rPr>
              <w:t>Activities</w:t>
            </w:r>
          </w:p>
        </w:tc>
        <w:tc>
          <w:tcPr>
            <w:tcW w:w="1517" w:type="dxa"/>
            <w:tcBorders>
              <w:left w:val="single" w:sz="4" w:space="0" w:color="000000"/>
              <w:right w:val="single" w:sz="4" w:space="0" w:color="000000"/>
            </w:tcBorders>
          </w:tcPr>
          <w:p w14:paraId="0DFDBA04" w14:textId="77777777" w:rsidR="00046465" w:rsidRDefault="00046465">
            <w:pPr>
              <w:pStyle w:val="TableParagraph"/>
              <w:spacing w:before="143"/>
            </w:pPr>
          </w:p>
          <w:p w14:paraId="0DFDBA05" w14:textId="77777777" w:rsidR="00046465" w:rsidRDefault="008134EB">
            <w:pPr>
              <w:pStyle w:val="TableParagraph"/>
              <w:ind w:left="107"/>
            </w:pPr>
            <w:r>
              <w:t>IS</w:t>
            </w:r>
            <w:r>
              <w:rPr>
                <w:spacing w:val="-3"/>
              </w:rPr>
              <w:t xml:space="preserve"> </w:t>
            </w:r>
            <w:r>
              <w:rPr>
                <w:spacing w:val="-2"/>
              </w:rPr>
              <w:t>(Y/N)</w:t>
            </w:r>
          </w:p>
        </w:tc>
        <w:tc>
          <w:tcPr>
            <w:tcW w:w="1488" w:type="dxa"/>
            <w:tcBorders>
              <w:left w:val="single" w:sz="4" w:space="0" w:color="000000"/>
              <w:right w:val="single" w:sz="4" w:space="0" w:color="000000"/>
            </w:tcBorders>
          </w:tcPr>
          <w:p w14:paraId="0DFDBA06" w14:textId="77777777" w:rsidR="00046465" w:rsidRDefault="008134EB">
            <w:pPr>
              <w:pStyle w:val="TableParagraph"/>
              <w:spacing w:before="143"/>
              <w:ind w:left="107" w:right="150"/>
            </w:pPr>
            <w:r>
              <w:rPr>
                <w:spacing w:val="-2"/>
              </w:rPr>
              <w:t>Effective controls?</w:t>
            </w:r>
          </w:p>
        </w:tc>
        <w:tc>
          <w:tcPr>
            <w:tcW w:w="2534" w:type="dxa"/>
            <w:tcBorders>
              <w:left w:val="single" w:sz="4" w:space="0" w:color="000000"/>
            </w:tcBorders>
          </w:tcPr>
          <w:p w14:paraId="0DFDBA07" w14:textId="77777777" w:rsidR="00046465" w:rsidRDefault="008134EB">
            <w:pPr>
              <w:pStyle w:val="TableParagraph"/>
              <w:spacing w:before="143"/>
              <w:ind w:left="107"/>
            </w:pPr>
            <w:r>
              <w:t xml:space="preserve">Instances of </w:t>
            </w:r>
            <w:r>
              <w:rPr>
                <w:spacing w:val="-2"/>
              </w:rPr>
              <w:t>noncompliance?</w:t>
            </w:r>
          </w:p>
        </w:tc>
      </w:tr>
      <w:tr w:rsidR="00046465" w14:paraId="0DFDBA16" w14:textId="77777777">
        <w:trPr>
          <w:trHeight w:val="4366"/>
        </w:trPr>
        <w:tc>
          <w:tcPr>
            <w:tcW w:w="3564" w:type="dxa"/>
            <w:tcBorders>
              <w:bottom w:val="single" w:sz="4" w:space="0" w:color="000000"/>
              <w:right w:val="single" w:sz="4" w:space="0" w:color="000000"/>
            </w:tcBorders>
          </w:tcPr>
          <w:p w14:paraId="0DFDBA09" w14:textId="77777777" w:rsidR="00046465" w:rsidRDefault="008134EB">
            <w:pPr>
              <w:pStyle w:val="TableParagraph"/>
              <w:spacing w:before="143"/>
              <w:ind w:left="817" w:hanging="720"/>
              <w:rPr>
                <w:sz w:val="18"/>
              </w:rPr>
            </w:pPr>
            <w:r>
              <w:rPr>
                <w:smallCaps/>
                <w:sz w:val="18"/>
              </w:rPr>
              <w:t>806.01.</w:t>
            </w:r>
            <w:r>
              <w:rPr>
                <w:smallCaps/>
                <w:spacing w:val="-3"/>
                <w:sz w:val="18"/>
              </w:rPr>
              <w:t xml:space="preserve"> </w:t>
            </w:r>
            <w:r>
              <w:rPr>
                <w:smallCaps/>
                <w:spacing w:val="16"/>
                <w:sz w:val="18"/>
              </w:rPr>
              <w:t xml:space="preserve"> </w:t>
            </w:r>
            <w:r>
              <w:rPr>
                <w:smallCaps/>
                <w:sz w:val="18"/>
              </w:rPr>
              <w:t>Interest</w:t>
            </w:r>
            <w:r>
              <w:rPr>
                <w:smallCaps/>
                <w:spacing w:val="-2"/>
                <w:sz w:val="18"/>
              </w:rPr>
              <w:t xml:space="preserve"> </w:t>
            </w:r>
            <w:r>
              <w:rPr>
                <w:smallCaps/>
                <w:sz w:val="18"/>
              </w:rPr>
              <w:t>Penalties</w:t>
            </w:r>
            <w:r>
              <w:rPr>
                <w:smallCaps/>
                <w:spacing w:val="-4"/>
                <w:sz w:val="18"/>
              </w:rPr>
              <w:t xml:space="preserve"> </w:t>
            </w:r>
            <w:r>
              <w:rPr>
                <w:smallCaps/>
                <w:sz w:val="18"/>
              </w:rPr>
              <w:t>for</w:t>
            </w:r>
            <w:r>
              <w:rPr>
                <w:smallCaps/>
                <w:spacing w:val="-4"/>
                <w:sz w:val="18"/>
              </w:rPr>
              <w:t xml:space="preserve"> </w:t>
            </w:r>
            <w:r>
              <w:rPr>
                <w:smallCaps/>
                <w:sz w:val="18"/>
              </w:rPr>
              <w:t>Late</w:t>
            </w:r>
            <w:r>
              <w:rPr>
                <w:smallCaps/>
                <w:spacing w:val="40"/>
                <w:sz w:val="18"/>
              </w:rPr>
              <w:t xml:space="preserve"> </w:t>
            </w:r>
            <w:r>
              <w:rPr>
                <w:smallCaps/>
                <w:spacing w:val="-2"/>
                <w:sz w:val="18"/>
              </w:rPr>
              <w:t>Payments.</w:t>
            </w:r>
          </w:p>
          <w:p w14:paraId="0DFDBA0A" w14:textId="77777777" w:rsidR="00046465" w:rsidRDefault="008134EB">
            <w:pPr>
              <w:pStyle w:val="TableParagraph"/>
              <w:spacing w:before="146"/>
              <w:ind w:left="97"/>
              <w:rPr>
                <w:sz w:val="18"/>
              </w:rPr>
            </w:pPr>
            <w:r>
              <w:rPr>
                <w:sz w:val="18"/>
              </w:rPr>
              <w:t>Provision</w:t>
            </w:r>
            <w:r>
              <w:rPr>
                <w:spacing w:val="-10"/>
                <w:sz w:val="18"/>
              </w:rPr>
              <w:t xml:space="preserve"> </w:t>
            </w:r>
            <w:r>
              <w:rPr>
                <w:sz w:val="18"/>
              </w:rPr>
              <w:t>Type:</w:t>
            </w:r>
            <w:r>
              <w:rPr>
                <w:spacing w:val="-8"/>
                <w:sz w:val="18"/>
              </w:rPr>
              <w:t xml:space="preserve"> </w:t>
            </w:r>
            <w:r>
              <w:rPr>
                <w:sz w:val="18"/>
              </w:rPr>
              <w:t>Transaction-</w:t>
            </w:r>
            <w:r>
              <w:rPr>
                <w:spacing w:val="-2"/>
                <w:sz w:val="18"/>
              </w:rPr>
              <w:t>based.</w:t>
            </w:r>
          </w:p>
          <w:p w14:paraId="0DFDBA0B" w14:textId="77777777" w:rsidR="00046465" w:rsidRDefault="008134EB">
            <w:pPr>
              <w:pStyle w:val="TableParagraph"/>
              <w:spacing w:before="143" w:line="235" w:lineRule="auto"/>
              <w:ind w:left="97" w:right="158" w:hanging="1"/>
              <w:rPr>
                <w:sz w:val="18"/>
              </w:rPr>
            </w:pPr>
            <w:r>
              <w:rPr>
                <w:sz w:val="18"/>
              </w:rPr>
              <w:t>If</w:t>
            </w:r>
            <w:r>
              <w:rPr>
                <w:spacing w:val="-5"/>
                <w:sz w:val="18"/>
              </w:rPr>
              <w:t xml:space="preserve"> </w:t>
            </w:r>
            <w:r>
              <w:rPr>
                <w:sz w:val="18"/>
              </w:rPr>
              <w:t>payment</w:t>
            </w:r>
            <w:r>
              <w:rPr>
                <w:spacing w:val="-5"/>
                <w:sz w:val="18"/>
              </w:rPr>
              <w:t xml:space="preserve"> </w:t>
            </w:r>
            <w:r>
              <w:rPr>
                <w:sz w:val="18"/>
              </w:rPr>
              <w:t>for</w:t>
            </w:r>
            <w:r>
              <w:rPr>
                <w:spacing w:val="-5"/>
                <w:sz w:val="18"/>
              </w:rPr>
              <w:t xml:space="preserve"> </w:t>
            </w:r>
            <w:r>
              <w:rPr>
                <w:sz w:val="18"/>
              </w:rPr>
              <w:t>property</w:t>
            </w:r>
            <w:r>
              <w:rPr>
                <w:spacing w:val="-5"/>
                <w:sz w:val="18"/>
              </w:rPr>
              <w:t xml:space="preserve"> </w:t>
            </w:r>
            <w:r>
              <w:rPr>
                <w:sz w:val="18"/>
              </w:rPr>
              <w:t>or</w:t>
            </w:r>
            <w:r>
              <w:rPr>
                <w:spacing w:val="-5"/>
                <w:sz w:val="18"/>
              </w:rPr>
              <w:t xml:space="preserve"> </w:t>
            </w:r>
            <w:r>
              <w:rPr>
                <w:sz w:val="18"/>
              </w:rPr>
              <w:t>services</w:t>
            </w:r>
            <w:hyperlink w:anchor="_bookmark107" w:history="1">
              <w:r>
                <w:rPr>
                  <w:position w:val="6"/>
                  <w:sz w:val="12"/>
                </w:rPr>
                <w:t>41</w:t>
              </w:r>
            </w:hyperlink>
            <w:r>
              <w:rPr>
                <w:spacing w:val="12"/>
                <w:position w:val="6"/>
                <w:sz w:val="12"/>
              </w:rPr>
              <w:t xml:space="preserve"> </w:t>
            </w:r>
            <w:r>
              <w:rPr>
                <w:sz w:val="18"/>
              </w:rPr>
              <w:t>from a business concern is not made</w:t>
            </w:r>
            <w:hyperlink w:anchor="_bookmark108" w:history="1">
              <w:r>
                <w:rPr>
                  <w:position w:val="6"/>
                  <w:sz w:val="12"/>
                </w:rPr>
                <w:t>42</w:t>
              </w:r>
            </w:hyperlink>
            <w:r>
              <w:rPr>
                <w:spacing w:val="23"/>
                <w:position w:val="6"/>
                <w:sz w:val="12"/>
              </w:rPr>
              <w:t xml:space="preserve"> </w:t>
            </w:r>
            <w:r>
              <w:rPr>
                <w:sz w:val="18"/>
              </w:rPr>
              <w:t>by the required due date,</w:t>
            </w:r>
            <w:hyperlink w:anchor="_bookmark109" w:history="1">
              <w:r>
                <w:rPr>
                  <w:position w:val="6"/>
                  <w:sz w:val="12"/>
                </w:rPr>
                <w:t>43</w:t>
              </w:r>
            </w:hyperlink>
            <w:r>
              <w:rPr>
                <w:spacing w:val="40"/>
                <w:position w:val="6"/>
                <w:sz w:val="12"/>
              </w:rPr>
              <w:t xml:space="preserve"> </w:t>
            </w:r>
            <w:r>
              <w:rPr>
                <w:sz w:val="18"/>
              </w:rPr>
              <w:t>then an interest penalty</w:t>
            </w:r>
            <w:hyperlink w:anchor="_bookmark110" w:history="1">
              <w:r>
                <w:rPr>
                  <w:position w:val="6"/>
                  <w:sz w:val="12"/>
                </w:rPr>
                <w:t>44</w:t>
              </w:r>
            </w:hyperlink>
            <w:r>
              <w:rPr>
                <w:spacing w:val="22"/>
                <w:position w:val="6"/>
                <w:sz w:val="12"/>
              </w:rPr>
              <w:t xml:space="preserve"> </w:t>
            </w:r>
            <w:r>
              <w:rPr>
                <w:sz w:val="18"/>
              </w:rPr>
              <w:t>shall be paid to the concern on the amount of the payment due.</w:t>
            </w:r>
            <w:hyperlink w:anchor="_bookmark111" w:history="1">
              <w:r>
                <w:rPr>
                  <w:position w:val="6"/>
                  <w:sz w:val="12"/>
                </w:rPr>
                <w:t>45</w:t>
              </w:r>
            </w:hyperlink>
            <w:r>
              <w:rPr>
                <w:spacing w:val="40"/>
                <w:position w:val="6"/>
                <w:sz w:val="12"/>
              </w:rPr>
              <w:t xml:space="preserve"> </w:t>
            </w:r>
            <w:r>
              <w:rPr>
                <w:sz w:val="18"/>
              </w:rPr>
              <w:t>31</w:t>
            </w:r>
          </w:p>
          <w:p w14:paraId="0DFDBA0C" w14:textId="77777777" w:rsidR="00046465" w:rsidRDefault="008134EB">
            <w:pPr>
              <w:pStyle w:val="TableParagraph"/>
              <w:spacing w:before="2"/>
              <w:ind w:left="97" w:right="65"/>
              <w:rPr>
                <w:sz w:val="18"/>
              </w:rPr>
            </w:pPr>
            <w:r>
              <w:rPr>
                <w:sz w:val="18"/>
              </w:rPr>
              <w:t>U.S.C. § 3902(a). The interest penalty shall be paid for the period beginning on the day after the required payment date and</w:t>
            </w:r>
            <w:r>
              <w:rPr>
                <w:spacing w:val="-6"/>
                <w:sz w:val="18"/>
              </w:rPr>
              <w:t xml:space="preserve"> </w:t>
            </w:r>
            <w:r>
              <w:rPr>
                <w:sz w:val="18"/>
              </w:rPr>
              <w:t>ending</w:t>
            </w:r>
            <w:r>
              <w:rPr>
                <w:spacing w:val="-6"/>
                <w:sz w:val="18"/>
              </w:rPr>
              <w:t xml:space="preserve"> </w:t>
            </w:r>
            <w:r>
              <w:rPr>
                <w:sz w:val="18"/>
              </w:rPr>
              <w:t>on</w:t>
            </w:r>
            <w:r>
              <w:rPr>
                <w:spacing w:val="-5"/>
                <w:sz w:val="18"/>
              </w:rPr>
              <w:t xml:space="preserve"> </w:t>
            </w:r>
            <w:r>
              <w:rPr>
                <w:sz w:val="18"/>
              </w:rPr>
              <w:t>the</w:t>
            </w:r>
            <w:r>
              <w:rPr>
                <w:spacing w:val="-6"/>
                <w:sz w:val="18"/>
              </w:rPr>
              <w:t xml:space="preserve"> </w:t>
            </w:r>
            <w:r>
              <w:rPr>
                <w:sz w:val="18"/>
              </w:rPr>
              <w:t>date</w:t>
            </w:r>
            <w:r>
              <w:rPr>
                <w:spacing w:val="-6"/>
                <w:sz w:val="18"/>
              </w:rPr>
              <w:t xml:space="preserve"> </w:t>
            </w:r>
            <w:r>
              <w:rPr>
                <w:sz w:val="18"/>
              </w:rPr>
              <w:t>on</w:t>
            </w:r>
            <w:r>
              <w:rPr>
                <w:spacing w:val="-6"/>
                <w:sz w:val="18"/>
              </w:rPr>
              <w:t xml:space="preserve"> </w:t>
            </w:r>
            <w:r>
              <w:rPr>
                <w:sz w:val="18"/>
              </w:rPr>
              <w:t>which</w:t>
            </w:r>
            <w:r>
              <w:rPr>
                <w:spacing w:val="-6"/>
                <w:sz w:val="18"/>
              </w:rPr>
              <w:t xml:space="preserve"> </w:t>
            </w:r>
            <w:r>
              <w:rPr>
                <w:sz w:val="18"/>
              </w:rPr>
              <w:t>payment is made.</w:t>
            </w:r>
            <w:hyperlink w:anchor="_bookmark112" w:history="1">
              <w:r>
                <w:rPr>
                  <w:position w:val="6"/>
                  <w:sz w:val="12"/>
                </w:rPr>
                <w:t>46</w:t>
              </w:r>
            </w:hyperlink>
            <w:r>
              <w:rPr>
                <w:spacing w:val="40"/>
                <w:position w:val="6"/>
                <w:sz w:val="12"/>
              </w:rPr>
              <w:t xml:space="preserve"> </w:t>
            </w:r>
            <w:r>
              <w:rPr>
                <w:sz w:val="18"/>
              </w:rPr>
              <w:t>31 U.S.C. § 3902(b).</w:t>
            </w:r>
          </w:p>
        </w:tc>
        <w:tc>
          <w:tcPr>
            <w:tcW w:w="1980" w:type="dxa"/>
            <w:tcBorders>
              <w:left w:val="single" w:sz="4" w:space="0" w:color="000000"/>
              <w:bottom w:val="single" w:sz="4" w:space="0" w:color="000000"/>
              <w:right w:val="single" w:sz="4" w:space="0" w:color="000000"/>
            </w:tcBorders>
          </w:tcPr>
          <w:p w14:paraId="0DFDBA0D" w14:textId="77777777" w:rsidR="00046465" w:rsidRDefault="008134EB">
            <w:pPr>
              <w:pStyle w:val="TableParagraph"/>
              <w:spacing w:before="143"/>
              <w:ind w:left="466" w:right="153" w:hanging="359"/>
              <w:rPr>
                <w:sz w:val="18"/>
              </w:rPr>
            </w:pPr>
            <w:r>
              <w:rPr>
                <w:sz w:val="18"/>
              </w:rPr>
              <w:t>1a.</w:t>
            </w:r>
            <w:r>
              <w:rPr>
                <w:spacing w:val="40"/>
                <w:sz w:val="18"/>
              </w:rPr>
              <w:t xml:space="preserve"> </w:t>
            </w:r>
            <w:r>
              <w:rPr>
                <w:sz w:val="18"/>
              </w:rPr>
              <w:t>All</w:t>
            </w:r>
            <w:r>
              <w:rPr>
                <w:spacing w:val="-1"/>
                <w:sz w:val="18"/>
              </w:rPr>
              <w:t xml:space="preserve"> </w:t>
            </w:r>
            <w:r>
              <w:rPr>
                <w:sz w:val="18"/>
              </w:rPr>
              <w:t>payments</w:t>
            </w:r>
            <w:r>
              <w:rPr>
                <w:spacing w:val="-1"/>
                <w:sz w:val="18"/>
              </w:rPr>
              <w:t xml:space="preserve"> </w:t>
            </w:r>
            <w:r>
              <w:rPr>
                <w:sz w:val="18"/>
              </w:rPr>
              <w:t>for property or services</w:t>
            </w:r>
            <w:r>
              <w:rPr>
                <w:spacing w:val="-15"/>
                <w:sz w:val="18"/>
              </w:rPr>
              <w:t xml:space="preserve"> </w:t>
            </w:r>
            <w:r>
              <w:rPr>
                <w:sz w:val="18"/>
              </w:rPr>
              <w:t>that</w:t>
            </w:r>
            <w:r>
              <w:rPr>
                <w:spacing w:val="-12"/>
                <w:sz w:val="18"/>
              </w:rPr>
              <w:t xml:space="preserve"> </w:t>
            </w:r>
            <w:r>
              <w:rPr>
                <w:sz w:val="18"/>
              </w:rPr>
              <w:t>are not</w:t>
            </w:r>
            <w:r>
              <w:rPr>
                <w:spacing w:val="-3"/>
                <w:sz w:val="18"/>
              </w:rPr>
              <w:t xml:space="preserve"> </w:t>
            </w:r>
            <w:r>
              <w:rPr>
                <w:sz w:val="18"/>
              </w:rPr>
              <w:t>made</w:t>
            </w:r>
            <w:r>
              <w:rPr>
                <w:spacing w:val="-4"/>
                <w:sz w:val="18"/>
              </w:rPr>
              <w:t xml:space="preserve"> </w:t>
            </w:r>
            <w:r>
              <w:rPr>
                <w:sz w:val="18"/>
              </w:rPr>
              <w:t>by</w:t>
            </w:r>
            <w:r>
              <w:rPr>
                <w:spacing w:val="-3"/>
                <w:sz w:val="18"/>
              </w:rPr>
              <w:t xml:space="preserve"> </w:t>
            </w:r>
            <w:r>
              <w:rPr>
                <w:sz w:val="18"/>
              </w:rPr>
              <w:t>the payment due date are identified. (See note 1.)</w:t>
            </w:r>
          </w:p>
          <w:p w14:paraId="0DFDBA0E" w14:textId="77777777" w:rsidR="00046465" w:rsidRDefault="008134EB">
            <w:pPr>
              <w:pStyle w:val="TableParagraph"/>
              <w:spacing w:before="145"/>
              <w:ind w:left="466" w:right="135" w:hanging="359"/>
              <w:rPr>
                <w:sz w:val="18"/>
              </w:rPr>
            </w:pPr>
            <w:r>
              <w:rPr>
                <w:sz w:val="18"/>
              </w:rPr>
              <w:t>1b.</w:t>
            </w:r>
            <w:r>
              <w:rPr>
                <w:spacing w:val="29"/>
                <w:sz w:val="18"/>
              </w:rPr>
              <w:t xml:space="preserve"> </w:t>
            </w:r>
            <w:r>
              <w:rPr>
                <w:sz w:val="18"/>
              </w:rPr>
              <w:t>Interest</w:t>
            </w:r>
            <w:r>
              <w:rPr>
                <w:spacing w:val="-13"/>
                <w:sz w:val="18"/>
              </w:rPr>
              <w:t xml:space="preserve"> </w:t>
            </w:r>
            <w:r>
              <w:rPr>
                <w:sz w:val="18"/>
              </w:rPr>
              <w:t>penalties are calculated and paid on the past</w:t>
            </w:r>
            <w:r>
              <w:rPr>
                <w:spacing w:val="-7"/>
                <w:sz w:val="18"/>
              </w:rPr>
              <w:t xml:space="preserve"> </w:t>
            </w:r>
            <w:r>
              <w:rPr>
                <w:sz w:val="18"/>
              </w:rPr>
              <w:t>due</w:t>
            </w:r>
            <w:r>
              <w:rPr>
                <w:spacing w:val="-6"/>
                <w:sz w:val="18"/>
              </w:rPr>
              <w:t xml:space="preserve"> </w:t>
            </w:r>
            <w:r>
              <w:rPr>
                <w:sz w:val="18"/>
              </w:rPr>
              <w:t xml:space="preserve">amount using the </w:t>
            </w:r>
            <w:r>
              <w:rPr>
                <w:spacing w:val="-2"/>
                <w:sz w:val="18"/>
              </w:rPr>
              <w:t xml:space="preserve">appropriate </w:t>
            </w:r>
            <w:r>
              <w:rPr>
                <w:sz w:val="18"/>
              </w:rPr>
              <w:t>interest rate and period. (See footnotes 40</w:t>
            </w:r>
          </w:p>
          <w:p w14:paraId="0DFDBA0F" w14:textId="77777777" w:rsidR="00046465" w:rsidRDefault="008134EB">
            <w:pPr>
              <w:pStyle w:val="TableParagraph"/>
              <w:ind w:left="466" w:right="636"/>
              <w:rPr>
                <w:sz w:val="18"/>
              </w:rPr>
            </w:pPr>
            <w:r>
              <w:rPr>
                <w:sz w:val="18"/>
              </w:rPr>
              <w:t>through</w:t>
            </w:r>
            <w:r>
              <w:rPr>
                <w:spacing w:val="-13"/>
                <w:sz w:val="18"/>
              </w:rPr>
              <w:t xml:space="preserve"> </w:t>
            </w:r>
            <w:r>
              <w:rPr>
                <w:sz w:val="18"/>
              </w:rPr>
              <w:t xml:space="preserve">45 </w:t>
            </w:r>
            <w:r>
              <w:rPr>
                <w:spacing w:val="-2"/>
                <w:sz w:val="18"/>
              </w:rPr>
              <w:t>below.)</w:t>
            </w:r>
          </w:p>
        </w:tc>
        <w:tc>
          <w:tcPr>
            <w:tcW w:w="2201" w:type="dxa"/>
            <w:tcBorders>
              <w:left w:val="single" w:sz="4" w:space="0" w:color="000000"/>
              <w:bottom w:val="single" w:sz="4" w:space="0" w:color="000000"/>
              <w:right w:val="single" w:sz="4" w:space="0" w:color="000000"/>
            </w:tcBorders>
          </w:tcPr>
          <w:p w14:paraId="0DFDBA10" w14:textId="77777777" w:rsidR="00046465" w:rsidRDefault="008134EB">
            <w:pPr>
              <w:pStyle w:val="TableParagraph"/>
              <w:spacing w:before="143"/>
              <w:ind w:left="107"/>
              <w:rPr>
                <w:sz w:val="18"/>
              </w:rPr>
            </w:pPr>
            <w:r>
              <w:rPr>
                <w:sz w:val="18"/>
              </w:rPr>
              <w:t>[Document the control activities</w:t>
            </w:r>
            <w:r>
              <w:rPr>
                <w:spacing w:val="-13"/>
                <w:sz w:val="18"/>
              </w:rPr>
              <w:t xml:space="preserve"> </w:t>
            </w:r>
            <w:r>
              <w:rPr>
                <w:sz w:val="18"/>
              </w:rPr>
              <w:t>that</w:t>
            </w:r>
            <w:r>
              <w:rPr>
                <w:spacing w:val="-12"/>
                <w:sz w:val="18"/>
              </w:rPr>
              <w:t xml:space="preserve"> </w:t>
            </w:r>
            <w:r>
              <w:rPr>
                <w:sz w:val="18"/>
              </w:rPr>
              <w:t>the</w:t>
            </w:r>
            <w:r>
              <w:rPr>
                <w:spacing w:val="-13"/>
                <w:sz w:val="18"/>
              </w:rPr>
              <w:t xml:space="preserve"> </w:t>
            </w:r>
            <w:r>
              <w:rPr>
                <w:sz w:val="18"/>
              </w:rPr>
              <w:t xml:space="preserve">entity used to achieve the </w:t>
            </w:r>
            <w:r>
              <w:rPr>
                <w:spacing w:val="-2"/>
                <w:sz w:val="18"/>
              </w:rPr>
              <w:t>objective.]</w:t>
            </w:r>
          </w:p>
        </w:tc>
        <w:tc>
          <w:tcPr>
            <w:tcW w:w="1517" w:type="dxa"/>
            <w:tcBorders>
              <w:left w:val="single" w:sz="4" w:space="0" w:color="000000"/>
              <w:bottom w:val="single" w:sz="4" w:space="0" w:color="000000"/>
              <w:right w:val="single" w:sz="4" w:space="0" w:color="000000"/>
            </w:tcBorders>
          </w:tcPr>
          <w:p w14:paraId="0DFDBA11" w14:textId="77777777" w:rsidR="00046465" w:rsidRDefault="008134EB">
            <w:pPr>
              <w:pStyle w:val="TableParagraph"/>
              <w:spacing w:before="143"/>
              <w:ind w:left="107" w:right="332"/>
              <w:rPr>
                <w:sz w:val="18"/>
              </w:rPr>
            </w:pPr>
            <w:r>
              <w:rPr>
                <w:sz w:val="18"/>
              </w:rPr>
              <w:t>[Does</w:t>
            </w:r>
            <w:r>
              <w:rPr>
                <w:spacing w:val="-13"/>
                <w:sz w:val="18"/>
              </w:rPr>
              <w:t xml:space="preserve"> </w:t>
            </w:r>
            <w:r>
              <w:rPr>
                <w:sz w:val="18"/>
              </w:rPr>
              <w:t xml:space="preserve">control depend on </w:t>
            </w:r>
            <w:r>
              <w:rPr>
                <w:spacing w:val="-2"/>
                <w:sz w:val="18"/>
              </w:rPr>
              <w:t>information system processing?]</w:t>
            </w:r>
          </w:p>
        </w:tc>
        <w:tc>
          <w:tcPr>
            <w:tcW w:w="1488" w:type="dxa"/>
            <w:tcBorders>
              <w:left w:val="single" w:sz="4" w:space="0" w:color="000000"/>
              <w:bottom w:val="single" w:sz="4" w:space="0" w:color="000000"/>
              <w:right w:val="single" w:sz="4" w:space="0" w:color="000000"/>
            </w:tcBorders>
          </w:tcPr>
          <w:p w14:paraId="0DFDBA12" w14:textId="77777777" w:rsidR="00046465" w:rsidRDefault="008134EB">
            <w:pPr>
              <w:pStyle w:val="TableParagraph"/>
              <w:spacing w:before="143"/>
              <w:ind w:left="107" w:right="150"/>
              <w:rPr>
                <w:sz w:val="18"/>
              </w:rPr>
            </w:pPr>
            <w:r>
              <w:rPr>
                <w:sz w:val="18"/>
              </w:rPr>
              <w:t>[Indicate</w:t>
            </w:r>
            <w:r>
              <w:rPr>
                <w:spacing w:val="-15"/>
                <w:sz w:val="18"/>
              </w:rPr>
              <w:t xml:space="preserve"> </w:t>
            </w:r>
            <w:r>
              <w:rPr>
                <w:sz w:val="18"/>
              </w:rPr>
              <w:t>yes</w:t>
            </w:r>
            <w:r>
              <w:rPr>
                <w:spacing w:val="-12"/>
                <w:sz w:val="18"/>
              </w:rPr>
              <w:t xml:space="preserve"> </w:t>
            </w:r>
            <w:r>
              <w:rPr>
                <w:sz w:val="18"/>
              </w:rPr>
              <w:t xml:space="preserve">or no; include reference to </w:t>
            </w:r>
            <w:r>
              <w:rPr>
                <w:spacing w:val="-2"/>
                <w:sz w:val="18"/>
              </w:rPr>
              <w:t>supporting documenta-tion.]</w:t>
            </w:r>
          </w:p>
        </w:tc>
        <w:tc>
          <w:tcPr>
            <w:tcW w:w="2534" w:type="dxa"/>
            <w:tcBorders>
              <w:left w:val="single" w:sz="4" w:space="0" w:color="000000"/>
              <w:bottom w:val="single" w:sz="4" w:space="0" w:color="000000"/>
            </w:tcBorders>
          </w:tcPr>
          <w:p w14:paraId="0DFDBA13" w14:textId="77777777" w:rsidR="00046465" w:rsidRDefault="008134EB">
            <w:pPr>
              <w:pStyle w:val="TableParagraph"/>
              <w:spacing w:before="143"/>
              <w:ind w:left="107"/>
              <w:rPr>
                <w:sz w:val="18"/>
              </w:rPr>
            </w:pPr>
            <w:r>
              <w:rPr>
                <w:sz w:val="18"/>
              </w:rPr>
              <w:t>[Indicate</w:t>
            </w:r>
            <w:r>
              <w:rPr>
                <w:spacing w:val="-11"/>
                <w:sz w:val="18"/>
              </w:rPr>
              <w:t xml:space="preserve"> </w:t>
            </w:r>
            <w:r>
              <w:rPr>
                <w:sz w:val="18"/>
              </w:rPr>
              <w:t>yes</w:t>
            </w:r>
            <w:r>
              <w:rPr>
                <w:spacing w:val="-10"/>
                <w:sz w:val="18"/>
              </w:rPr>
              <w:t xml:space="preserve"> </w:t>
            </w:r>
            <w:r>
              <w:rPr>
                <w:sz w:val="18"/>
              </w:rPr>
              <w:t>or</w:t>
            </w:r>
            <w:r>
              <w:rPr>
                <w:spacing w:val="-10"/>
                <w:sz w:val="18"/>
              </w:rPr>
              <w:t xml:space="preserve"> </w:t>
            </w:r>
            <w:r>
              <w:rPr>
                <w:sz w:val="18"/>
              </w:rPr>
              <w:t>no;</w:t>
            </w:r>
            <w:r>
              <w:rPr>
                <w:spacing w:val="-10"/>
                <w:sz w:val="18"/>
              </w:rPr>
              <w:t xml:space="preserve"> </w:t>
            </w:r>
            <w:r>
              <w:rPr>
                <w:sz w:val="18"/>
              </w:rPr>
              <w:t xml:space="preserve">include reference to supporting </w:t>
            </w:r>
            <w:r>
              <w:rPr>
                <w:spacing w:val="-2"/>
                <w:sz w:val="18"/>
              </w:rPr>
              <w:t>documentation.]</w:t>
            </w:r>
          </w:p>
          <w:p w14:paraId="0DFDBA14" w14:textId="77777777" w:rsidR="00046465" w:rsidRDefault="008134EB">
            <w:pPr>
              <w:pStyle w:val="TableParagraph"/>
              <w:spacing w:before="145"/>
              <w:ind w:left="107"/>
              <w:rPr>
                <w:sz w:val="18"/>
              </w:rPr>
            </w:pPr>
            <w:r>
              <w:rPr>
                <w:sz w:val="18"/>
              </w:rPr>
              <w:t>See Compliance Audit Procedures,</w:t>
            </w:r>
            <w:r>
              <w:rPr>
                <w:spacing w:val="-10"/>
                <w:sz w:val="18"/>
              </w:rPr>
              <w:t xml:space="preserve"> </w:t>
            </w:r>
            <w:r>
              <w:rPr>
                <w:sz w:val="18"/>
              </w:rPr>
              <w:t>FAM</w:t>
            </w:r>
            <w:r>
              <w:rPr>
                <w:spacing w:val="-10"/>
                <w:sz w:val="18"/>
              </w:rPr>
              <w:t xml:space="preserve"> </w:t>
            </w:r>
            <w:r>
              <w:rPr>
                <w:sz w:val="18"/>
              </w:rPr>
              <w:t>806</w:t>
            </w:r>
            <w:r>
              <w:rPr>
                <w:spacing w:val="-10"/>
                <w:sz w:val="18"/>
              </w:rPr>
              <w:t xml:space="preserve"> </w:t>
            </w:r>
            <w:r>
              <w:rPr>
                <w:sz w:val="18"/>
              </w:rPr>
              <w:t>step</w:t>
            </w:r>
            <w:r>
              <w:rPr>
                <w:spacing w:val="-10"/>
                <w:sz w:val="18"/>
              </w:rPr>
              <w:t xml:space="preserve"> </w:t>
            </w:r>
            <w:r>
              <w:rPr>
                <w:sz w:val="18"/>
              </w:rPr>
              <w:t>4</w:t>
            </w:r>
          </w:p>
          <w:p w14:paraId="0DFDBA15" w14:textId="77777777" w:rsidR="00046465" w:rsidRDefault="008134EB">
            <w:pPr>
              <w:pStyle w:val="TableParagraph"/>
              <w:spacing w:before="1"/>
              <w:ind w:left="107"/>
              <w:rPr>
                <w:sz w:val="18"/>
              </w:rPr>
            </w:pPr>
            <w:r>
              <w:rPr>
                <w:sz w:val="18"/>
              </w:rPr>
              <w:t>(a)</w:t>
            </w:r>
            <w:r>
              <w:rPr>
                <w:spacing w:val="-2"/>
                <w:sz w:val="18"/>
              </w:rPr>
              <w:t xml:space="preserve"> </w:t>
            </w:r>
            <w:r>
              <w:rPr>
                <w:sz w:val="18"/>
              </w:rPr>
              <w:t>and</w:t>
            </w:r>
            <w:r>
              <w:rPr>
                <w:spacing w:val="-2"/>
                <w:sz w:val="18"/>
              </w:rPr>
              <w:t xml:space="preserve"> </w:t>
            </w:r>
            <w:r>
              <w:rPr>
                <w:spacing w:val="-4"/>
                <w:sz w:val="18"/>
              </w:rPr>
              <w:t>(b).</w:t>
            </w:r>
          </w:p>
        </w:tc>
      </w:tr>
    </w:tbl>
    <w:p w14:paraId="0DFDBA17" w14:textId="77777777" w:rsidR="00046465" w:rsidRDefault="008134EB">
      <w:pPr>
        <w:pStyle w:val="BodyText"/>
        <w:spacing w:before="164"/>
        <w:rPr>
          <w:sz w:val="20"/>
        </w:rPr>
      </w:pPr>
      <w:r>
        <w:rPr>
          <w:noProof/>
          <w:sz w:val="20"/>
        </w:rPr>
        <mc:AlternateContent>
          <mc:Choice Requires="wps">
            <w:drawing>
              <wp:anchor distT="0" distB="0" distL="0" distR="0" simplePos="0" relativeHeight="487674368" behindDoc="1" locked="0" layoutInCell="1" allowOverlap="1" wp14:anchorId="0DFDD66D" wp14:editId="0DFDD66E">
                <wp:simplePos x="0" y="0"/>
                <wp:positionH relativeFrom="page">
                  <wp:posOffset>685800</wp:posOffset>
                </wp:positionH>
                <wp:positionV relativeFrom="paragraph">
                  <wp:posOffset>265823</wp:posOffset>
                </wp:positionV>
                <wp:extent cx="1828800" cy="6985"/>
                <wp:effectExtent l="0" t="0" r="0" b="0"/>
                <wp:wrapTopAndBottom/>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C54901" id="Graphic 667" o:spid="_x0000_s1026" style="position:absolute;margin-left:54pt;margin-top:20.95pt;width:2in;height:.55pt;z-index:-1564211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" path="m1828800,l,,,6858r1828800,l1828800,xe" fillcolor="black" stroked="f">
                <v:path arrowok="t"/>
                <w10:wrap type="topAndBottom" anchorx="page"/>
              </v:shape>
            </w:pict>
          </mc:Fallback>
        </mc:AlternateContent>
      </w:r>
    </w:p>
    <w:p w14:paraId="0DFDBA18" w14:textId="77777777" w:rsidR="00046465" w:rsidRDefault="008134EB">
      <w:pPr>
        <w:spacing w:before="217"/>
        <w:ind w:left="360"/>
        <w:rPr>
          <w:sz w:val="18"/>
        </w:rPr>
      </w:pPr>
      <w:r>
        <w:rPr>
          <w:position w:val="7"/>
          <w:sz w:val="14"/>
        </w:rPr>
        <w:t>41</w:t>
      </w:r>
      <w:r>
        <w:rPr>
          <w:sz w:val="18"/>
        </w:rPr>
        <w:t>The</w:t>
      </w:r>
      <w:r>
        <w:rPr>
          <w:spacing w:val="-6"/>
          <w:sz w:val="18"/>
        </w:rPr>
        <w:t xml:space="preserve"> </w:t>
      </w:r>
      <w:r>
        <w:rPr>
          <w:sz w:val="18"/>
        </w:rPr>
        <w:t>payment</w:t>
      </w:r>
      <w:r>
        <w:rPr>
          <w:spacing w:val="-2"/>
          <w:sz w:val="18"/>
        </w:rPr>
        <w:t xml:space="preserve"> </w:t>
      </w:r>
      <w:r>
        <w:rPr>
          <w:sz w:val="18"/>
        </w:rPr>
        <w:t>requirement</w:t>
      </w:r>
      <w:r>
        <w:rPr>
          <w:spacing w:val="-2"/>
          <w:sz w:val="18"/>
        </w:rPr>
        <w:t xml:space="preserve"> </w:t>
      </w:r>
      <w:r>
        <w:rPr>
          <w:sz w:val="18"/>
        </w:rPr>
        <w:t>applies</w:t>
      </w:r>
      <w:r>
        <w:rPr>
          <w:spacing w:val="-3"/>
          <w:sz w:val="18"/>
        </w:rPr>
        <w:t xml:space="preserve"> </w:t>
      </w:r>
      <w:r>
        <w:rPr>
          <w:sz w:val="18"/>
        </w:rPr>
        <w:t>for</w:t>
      </w:r>
      <w:r>
        <w:rPr>
          <w:spacing w:val="-2"/>
          <w:sz w:val="18"/>
        </w:rPr>
        <w:t xml:space="preserve"> </w:t>
      </w:r>
      <w:r>
        <w:rPr>
          <w:sz w:val="18"/>
        </w:rPr>
        <w:t>each</w:t>
      </w:r>
      <w:r>
        <w:rPr>
          <w:spacing w:val="-3"/>
          <w:sz w:val="18"/>
        </w:rPr>
        <w:t xml:space="preserve"> </w:t>
      </w:r>
      <w:r>
        <w:rPr>
          <w:sz w:val="18"/>
        </w:rPr>
        <w:t>complete</w:t>
      </w:r>
      <w:r>
        <w:rPr>
          <w:spacing w:val="-4"/>
          <w:sz w:val="18"/>
        </w:rPr>
        <w:t xml:space="preserve"> </w:t>
      </w:r>
      <w:r>
        <w:rPr>
          <w:sz w:val="18"/>
        </w:rPr>
        <w:t>delivered</w:t>
      </w:r>
      <w:r>
        <w:rPr>
          <w:spacing w:val="-3"/>
          <w:sz w:val="18"/>
        </w:rPr>
        <w:t xml:space="preserve"> </w:t>
      </w:r>
      <w:r>
        <w:rPr>
          <w:sz w:val="18"/>
        </w:rPr>
        <w:t>item</w:t>
      </w:r>
      <w:r>
        <w:rPr>
          <w:spacing w:val="-2"/>
          <w:sz w:val="18"/>
        </w:rPr>
        <w:t xml:space="preserve"> </w:t>
      </w:r>
      <w:r>
        <w:rPr>
          <w:sz w:val="18"/>
        </w:rPr>
        <w:t>or</w:t>
      </w:r>
      <w:r>
        <w:rPr>
          <w:spacing w:val="-2"/>
          <w:sz w:val="18"/>
        </w:rPr>
        <w:t xml:space="preserve"> </w:t>
      </w:r>
      <w:r>
        <w:rPr>
          <w:sz w:val="18"/>
        </w:rPr>
        <w:t>each</w:t>
      </w:r>
      <w:r>
        <w:rPr>
          <w:spacing w:val="-4"/>
          <w:sz w:val="18"/>
        </w:rPr>
        <w:t xml:space="preserve"> </w:t>
      </w:r>
      <w:r>
        <w:rPr>
          <w:sz w:val="18"/>
        </w:rPr>
        <w:t>complete</w:t>
      </w:r>
      <w:r>
        <w:rPr>
          <w:spacing w:val="-3"/>
          <w:sz w:val="18"/>
        </w:rPr>
        <w:t xml:space="preserve"> </w:t>
      </w:r>
      <w:r>
        <w:rPr>
          <w:sz w:val="18"/>
        </w:rPr>
        <w:t>service</w:t>
      </w:r>
      <w:r>
        <w:rPr>
          <w:spacing w:val="-3"/>
          <w:sz w:val="18"/>
        </w:rPr>
        <w:t xml:space="preserve"> </w:t>
      </w:r>
      <w:r>
        <w:rPr>
          <w:sz w:val="18"/>
        </w:rPr>
        <w:t>performed.</w:t>
      </w:r>
      <w:r>
        <w:rPr>
          <w:spacing w:val="-3"/>
          <w:sz w:val="18"/>
        </w:rPr>
        <w:t xml:space="preserve"> </w:t>
      </w:r>
      <w:r>
        <w:rPr>
          <w:sz w:val="18"/>
        </w:rPr>
        <w:t>31</w:t>
      </w:r>
      <w:r>
        <w:rPr>
          <w:spacing w:val="-3"/>
          <w:sz w:val="18"/>
        </w:rPr>
        <w:t xml:space="preserve"> </w:t>
      </w:r>
      <w:r>
        <w:rPr>
          <w:sz w:val="18"/>
        </w:rPr>
        <w:t>U.S.C.</w:t>
      </w:r>
      <w:r>
        <w:rPr>
          <w:spacing w:val="-2"/>
          <w:sz w:val="18"/>
        </w:rPr>
        <w:t xml:space="preserve"> </w:t>
      </w:r>
      <w:r>
        <w:rPr>
          <w:sz w:val="18"/>
        </w:rPr>
        <w:t>§</w:t>
      </w:r>
      <w:r>
        <w:rPr>
          <w:spacing w:val="-1"/>
          <w:sz w:val="18"/>
        </w:rPr>
        <w:t xml:space="preserve"> </w:t>
      </w:r>
      <w:r>
        <w:rPr>
          <w:spacing w:val="-2"/>
          <w:sz w:val="18"/>
        </w:rPr>
        <w:t>3902(a).</w:t>
      </w:r>
    </w:p>
    <w:p w14:paraId="0DFDBA19" w14:textId="77777777" w:rsidR="00046465" w:rsidRDefault="00046465">
      <w:pPr>
        <w:rPr>
          <w:sz w:val="18"/>
        </w:rPr>
        <w:sectPr w:rsidR="00046465">
          <w:headerReference w:type="default" r:id="rId137"/>
          <w:footerReference w:type="default" r:id="rId138"/>
          <w:pgSz w:w="15840" w:h="12240" w:orient="landscape"/>
          <w:pgMar w:top="1380" w:right="1080" w:bottom="940" w:left="720" w:header="721" w:footer="742" w:gutter="0"/>
          <w:pgNumType w:start="1"/>
          <w:cols w:space="720"/>
        </w:sectPr>
      </w:pPr>
    </w:p>
    <w:p w14:paraId="0DFDBA1A" w14:textId="77777777" w:rsidR="00046465" w:rsidRDefault="00046465">
      <w:pPr>
        <w:pStyle w:val="BodyText"/>
        <w:spacing w:before="9"/>
        <w:rPr>
          <w:sz w:val="7"/>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564"/>
        <w:gridCol w:w="1980"/>
        <w:gridCol w:w="2201"/>
        <w:gridCol w:w="1517"/>
        <w:gridCol w:w="1488"/>
        <w:gridCol w:w="2534"/>
      </w:tblGrid>
      <w:tr w:rsidR="00046465" w14:paraId="0DFDBA1E" w14:textId="77777777">
        <w:trPr>
          <w:trHeight w:val="1574"/>
        </w:trPr>
        <w:tc>
          <w:tcPr>
            <w:tcW w:w="13284" w:type="dxa"/>
            <w:gridSpan w:val="6"/>
          </w:tcPr>
          <w:p w14:paraId="0DFDBA1B" w14:textId="77777777" w:rsidR="00046465" w:rsidRDefault="008134EB">
            <w:pPr>
              <w:pStyle w:val="TableParagraph"/>
              <w:tabs>
                <w:tab w:val="left" w:pos="9257"/>
              </w:tabs>
              <w:spacing w:before="144"/>
              <w:ind w:right="1936"/>
              <w:jc w:val="center"/>
            </w:pPr>
            <w:r>
              <w:t>Name</w:t>
            </w:r>
            <w:r>
              <w:rPr>
                <w:spacing w:val="-5"/>
              </w:rPr>
              <w:t xml:space="preserve"> </w:t>
            </w:r>
            <w:r>
              <w:t>of</w:t>
            </w:r>
            <w:r>
              <w:rPr>
                <w:spacing w:val="-5"/>
              </w:rPr>
              <w:t xml:space="preserve"> </w:t>
            </w:r>
            <w:r>
              <w:rPr>
                <w:spacing w:val="-2"/>
              </w:rPr>
              <w:t>entity:</w:t>
            </w:r>
            <w:r>
              <w:tab/>
            </w:r>
            <w:bookmarkStart w:id="220" w:name="_bookmark113"/>
            <w:bookmarkEnd w:id="220"/>
            <w:r>
              <w:t>Prepared</w:t>
            </w:r>
            <w:r>
              <w:rPr>
                <w:spacing w:val="-11"/>
              </w:rPr>
              <w:t xml:space="preserve"> </w:t>
            </w:r>
            <w:r>
              <w:rPr>
                <w:spacing w:val="-5"/>
              </w:rPr>
              <w:t>by:</w:t>
            </w:r>
          </w:p>
          <w:p w14:paraId="0DFDBA1C" w14:textId="77777777" w:rsidR="00046465" w:rsidRDefault="008134EB">
            <w:pPr>
              <w:pStyle w:val="TableParagraph"/>
              <w:spacing w:before="12"/>
              <w:ind w:left="1957" w:right="1936"/>
              <w:jc w:val="center"/>
              <w:rPr>
                <w:b/>
                <w:sz w:val="24"/>
              </w:rPr>
            </w:pPr>
            <w:r>
              <w:rPr>
                <w:b/>
                <w:noProof/>
                <w:sz w:val="24"/>
              </w:rPr>
              <mc:AlternateContent>
                <mc:Choice Requires="wpg">
                  <w:drawing>
                    <wp:anchor distT="0" distB="0" distL="0" distR="0" simplePos="0" relativeHeight="476143616" behindDoc="1" locked="0" layoutInCell="1" allowOverlap="1" wp14:anchorId="0DFDD66F" wp14:editId="0DFDD670">
                      <wp:simplePos x="0" y="0"/>
                      <wp:positionH relativeFrom="column">
                        <wp:posOffset>7007352</wp:posOffset>
                      </wp:positionH>
                      <wp:positionV relativeFrom="paragraph">
                        <wp:posOffset>91882</wp:posOffset>
                      </wp:positionV>
                      <wp:extent cx="1359535" cy="6350"/>
                      <wp:effectExtent l="0" t="0" r="0" b="0"/>
                      <wp:wrapNone/>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6350"/>
                                <a:chOff x="0" y="0"/>
                                <a:chExt cx="1359535" cy="6350"/>
                              </a:xfrm>
                            </wpg:grpSpPr>
                            <wps:wsp>
                              <wps:cNvPr id="669" name="Graphic 669"/>
                              <wps:cNvSpPr/>
                              <wps:spPr>
                                <a:xfrm>
                                  <a:off x="0" y="0"/>
                                  <a:ext cx="1359535" cy="6350"/>
                                </a:xfrm>
                                <a:custGeom>
                                  <a:avLst/>
                                  <a:gdLst/>
                                  <a:ahLst/>
                                  <a:cxnLst/>
                                  <a:rect l="l" t="t" r="r" b="b"/>
                                  <a:pathLst>
                                    <a:path w="1359535" h="6350">
                                      <a:moveTo>
                                        <a:pt x="1359407" y="0"/>
                                      </a:moveTo>
                                      <a:lnTo>
                                        <a:pt x="0" y="0"/>
                                      </a:lnTo>
                                      <a:lnTo>
                                        <a:pt x="0" y="6108"/>
                                      </a:lnTo>
                                      <a:lnTo>
                                        <a:pt x="1359407" y="6108"/>
                                      </a:lnTo>
                                      <a:lnTo>
                                        <a:pt x="1359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BAA7F69" id="Group 668" o:spid="_x0000_s1026" style="position:absolute;margin-left:551.75pt;margin-top:7.25pt;width:107.05pt;height:.5pt;z-index:-27172864;mso-wrap-distance-left:0;mso-wrap-distance-right:0" coordsize="13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">
                      <v:shape id="Graphic 669" o:spid="_x0000_s1027" style="position:absolute;width:13595;height:63;visibility:visible;mso-wrap-style:square;v-text-anchor:top" coordsize="1359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" path="m1359407,l,,,6108r1359407,l1359407,xe" fillcolor="black" stroked="f">
                        <v:path arrowok="t"/>
                      </v:shape>
                    </v:group>
                  </w:pict>
                </mc:Fallback>
              </mc:AlternateContent>
            </w:r>
            <w:r>
              <w:rPr>
                <w:b/>
                <w:noProof/>
                <w:sz w:val="24"/>
              </w:rPr>
              <mc:AlternateContent>
                <mc:Choice Requires="wpg">
                  <w:drawing>
                    <wp:anchor distT="0" distB="0" distL="0" distR="0" simplePos="0" relativeHeight="476144640" behindDoc="1" locked="0" layoutInCell="1" allowOverlap="1" wp14:anchorId="0DFDD671" wp14:editId="0DFDD672">
                      <wp:simplePos x="0" y="0"/>
                      <wp:positionH relativeFrom="column">
                        <wp:posOffset>7007352</wp:posOffset>
                      </wp:positionH>
                      <wp:positionV relativeFrom="paragraph">
                        <wp:posOffset>441640</wp:posOffset>
                      </wp:positionV>
                      <wp:extent cx="1359535" cy="6350"/>
                      <wp:effectExtent l="0" t="0" r="0" b="0"/>
                      <wp:wrapNone/>
                      <wp:docPr id="670"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6350"/>
                                <a:chOff x="0" y="0"/>
                                <a:chExt cx="1359535" cy="6350"/>
                              </a:xfrm>
                            </wpg:grpSpPr>
                            <wps:wsp>
                              <wps:cNvPr id="671" name="Graphic 671"/>
                              <wps:cNvSpPr/>
                              <wps:spPr>
                                <a:xfrm>
                                  <a:off x="0" y="0"/>
                                  <a:ext cx="1359535" cy="6350"/>
                                </a:xfrm>
                                <a:custGeom>
                                  <a:avLst/>
                                  <a:gdLst/>
                                  <a:ahLst/>
                                  <a:cxnLst/>
                                  <a:rect l="l" t="t" r="r" b="b"/>
                                  <a:pathLst>
                                    <a:path w="1359535" h="6350">
                                      <a:moveTo>
                                        <a:pt x="1359407" y="0"/>
                                      </a:moveTo>
                                      <a:lnTo>
                                        <a:pt x="0" y="0"/>
                                      </a:lnTo>
                                      <a:lnTo>
                                        <a:pt x="0" y="6108"/>
                                      </a:lnTo>
                                      <a:lnTo>
                                        <a:pt x="1359407" y="6108"/>
                                      </a:lnTo>
                                      <a:lnTo>
                                        <a:pt x="1359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17EC48D" id="Group 670" o:spid="_x0000_s1026" style="position:absolute;margin-left:551.75pt;margin-top:34.75pt;width:107.05pt;height:.5pt;z-index:-27171840;mso-wrap-distance-left:0;mso-wrap-distance-right:0" coordsize="13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">
                      <v:shape id="Graphic 671" o:spid="_x0000_s1027" style="position:absolute;width:13595;height:63;visibility:visible;mso-wrap-style:square;v-text-anchor:top" coordsize="1359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" path="m1359407,l,,,6108r1359407,l1359407,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A1D" w14:textId="77777777" w:rsidR="00046465" w:rsidRDefault="008134EB">
            <w:pPr>
              <w:pStyle w:val="TableParagraph"/>
              <w:tabs>
                <w:tab w:val="left" w:pos="8951"/>
              </w:tabs>
              <w:spacing w:before="10"/>
              <w:ind w:right="1691"/>
              <w:jc w:val="center"/>
            </w:pPr>
            <w:r>
              <w:rPr>
                <w:noProof/>
              </w:rPr>
              <mc:AlternateContent>
                <mc:Choice Requires="wpg">
                  <w:drawing>
                    <wp:anchor distT="0" distB="0" distL="0" distR="0" simplePos="0" relativeHeight="476143104" behindDoc="1" locked="0" layoutInCell="1" allowOverlap="1" wp14:anchorId="0DFDD673" wp14:editId="0DFDD674">
                      <wp:simplePos x="0" y="0"/>
                      <wp:positionH relativeFrom="column">
                        <wp:posOffset>1267967</wp:posOffset>
                      </wp:positionH>
                      <wp:positionV relativeFrom="paragraph">
                        <wp:posOffset>-91198</wp:posOffset>
                      </wp:positionV>
                      <wp:extent cx="1195705" cy="6350"/>
                      <wp:effectExtent l="0" t="0" r="0" b="0"/>
                      <wp:wrapNone/>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705" cy="6350"/>
                                <a:chOff x="0" y="0"/>
                                <a:chExt cx="1195705" cy="6350"/>
                              </a:xfrm>
                            </wpg:grpSpPr>
                            <wps:wsp>
                              <wps:cNvPr id="673" name="Graphic 673"/>
                              <wps:cNvSpPr/>
                              <wps:spPr>
                                <a:xfrm>
                                  <a:off x="0" y="0"/>
                                  <a:ext cx="1195705" cy="6350"/>
                                </a:xfrm>
                                <a:custGeom>
                                  <a:avLst/>
                                  <a:gdLst/>
                                  <a:ahLst/>
                                  <a:cxnLst/>
                                  <a:rect l="l" t="t" r="r" b="b"/>
                                  <a:pathLst>
                                    <a:path w="1195705" h="6350">
                                      <a:moveTo>
                                        <a:pt x="1195577" y="0"/>
                                      </a:moveTo>
                                      <a:lnTo>
                                        <a:pt x="0" y="0"/>
                                      </a:lnTo>
                                      <a:lnTo>
                                        <a:pt x="0" y="6108"/>
                                      </a:lnTo>
                                      <a:lnTo>
                                        <a:pt x="1195577" y="6108"/>
                                      </a:lnTo>
                                      <a:lnTo>
                                        <a:pt x="11955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DFFEC56" id="Group 672" o:spid="_x0000_s1026" style="position:absolute;margin-left:99.85pt;margin-top:-7.2pt;width:94.15pt;height:.5pt;z-index:-27173376;mso-wrap-distance-left:0;mso-wrap-distance-right:0" coordsize="11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">
                      <v:shape id="Graphic 673" o:spid="_x0000_s1027" style="position:absolute;width:11957;height:63;visibility:visible;mso-wrap-style:square;v-text-anchor:top" coordsize="1195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" path="m1195577,l,,,6108r1195577,l1195577,xe" fillcolor="black" stroked="f">
                        <v:path arrowok="t"/>
                      </v:shape>
                    </v:group>
                  </w:pict>
                </mc:Fallback>
              </mc:AlternateContent>
            </w:r>
            <w:r>
              <w:rPr>
                <w:noProof/>
              </w:rPr>
              <mc:AlternateContent>
                <mc:Choice Requires="wpg">
                  <w:drawing>
                    <wp:anchor distT="0" distB="0" distL="0" distR="0" simplePos="0" relativeHeight="476144128" behindDoc="1" locked="0" layoutInCell="1" allowOverlap="1" wp14:anchorId="0DFDD675" wp14:editId="0DFDD676">
                      <wp:simplePos x="0" y="0"/>
                      <wp:positionH relativeFrom="column">
                        <wp:posOffset>1267967</wp:posOffset>
                      </wp:positionH>
                      <wp:positionV relativeFrom="paragraph">
                        <wp:posOffset>258559</wp:posOffset>
                      </wp:positionV>
                      <wp:extent cx="1195705" cy="6350"/>
                      <wp:effectExtent l="0" t="0" r="0" b="0"/>
                      <wp:wrapNone/>
                      <wp:docPr id="674"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705" cy="6350"/>
                                <a:chOff x="0" y="0"/>
                                <a:chExt cx="1195705" cy="6350"/>
                              </a:xfrm>
                            </wpg:grpSpPr>
                            <wps:wsp>
                              <wps:cNvPr id="675" name="Graphic 675"/>
                              <wps:cNvSpPr/>
                              <wps:spPr>
                                <a:xfrm>
                                  <a:off x="0" y="0"/>
                                  <a:ext cx="1195705" cy="6350"/>
                                </a:xfrm>
                                <a:custGeom>
                                  <a:avLst/>
                                  <a:gdLst/>
                                  <a:ahLst/>
                                  <a:cxnLst/>
                                  <a:rect l="l" t="t" r="r" b="b"/>
                                  <a:pathLst>
                                    <a:path w="1195705" h="6350">
                                      <a:moveTo>
                                        <a:pt x="1195577" y="0"/>
                                      </a:moveTo>
                                      <a:lnTo>
                                        <a:pt x="0" y="0"/>
                                      </a:lnTo>
                                      <a:lnTo>
                                        <a:pt x="0" y="6108"/>
                                      </a:lnTo>
                                      <a:lnTo>
                                        <a:pt x="1195577" y="6108"/>
                                      </a:lnTo>
                                      <a:lnTo>
                                        <a:pt x="11955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6B05B5" id="Group 674" o:spid="_x0000_s1026" style="position:absolute;margin-left:99.85pt;margin-top:20.35pt;width:94.15pt;height:.5pt;z-index:-27172352;mso-wrap-distance-left:0;mso-wrap-distance-right:0" coordsize="11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">
                      <v:shape id="Graphic 675" o:spid="_x0000_s1027" style="position:absolute;width:11957;height:63;visibility:visible;mso-wrap-style:square;v-text-anchor:top" coordsize="1195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" path="m1195577,l,,,6108r1195577,l1195577,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A29" w14:textId="77777777">
        <w:trPr>
          <w:trHeight w:val="793"/>
        </w:trPr>
        <w:tc>
          <w:tcPr>
            <w:tcW w:w="3564" w:type="dxa"/>
            <w:tcBorders>
              <w:right w:val="single" w:sz="4" w:space="0" w:color="000000"/>
            </w:tcBorders>
          </w:tcPr>
          <w:p w14:paraId="0DFDBA1F" w14:textId="77777777" w:rsidR="00046465" w:rsidRDefault="00046465">
            <w:pPr>
              <w:pStyle w:val="TableParagraph"/>
              <w:spacing w:before="143"/>
            </w:pPr>
          </w:p>
          <w:p w14:paraId="0DFDBA20" w14:textId="77777777" w:rsidR="00046465" w:rsidRDefault="008134EB">
            <w:pPr>
              <w:pStyle w:val="TableParagraph"/>
              <w:ind w:left="97"/>
            </w:pPr>
            <w:r>
              <w:t>Provision</w:t>
            </w:r>
            <w:r>
              <w:rPr>
                <w:spacing w:val="-11"/>
              </w:rPr>
              <w:t xml:space="preserve"> </w:t>
            </w:r>
            <w:r>
              <w:rPr>
                <w:spacing w:val="-2"/>
              </w:rPr>
              <w:t>Description</w:t>
            </w:r>
          </w:p>
        </w:tc>
        <w:tc>
          <w:tcPr>
            <w:tcW w:w="1980" w:type="dxa"/>
            <w:tcBorders>
              <w:left w:val="single" w:sz="4" w:space="0" w:color="000000"/>
              <w:right w:val="single" w:sz="4" w:space="0" w:color="000000"/>
            </w:tcBorders>
          </w:tcPr>
          <w:p w14:paraId="0DFDBA21" w14:textId="77777777" w:rsidR="00046465" w:rsidRDefault="00046465">
            <w:pPr>
              <w:pStyle w:val="TableParagraph"/>
              <w:spacing w:before="143"/>
            </w:pPr>
          </w:p>
          <w:p w14:paraId="0DFDBA22" w14:textId="77777777" w:rsidR="00046465" w:rsidRDefault="008134EB">
            <w:pPr>
              <w:pStyle w:val="TableParagraph"/>
              <w:ind w:left="107"/>
            </w:pPr>
            <w:r>
              <w:rPr>
                <w:spacing w:val="-2"/>
              </w:rPr>
              <w:t>Objective</w:t>
            </w:r>
          </w:p>
        </w:tc>
        <w:tc>
          <w:tcPr>
            <w:tcW w:w="2201" w:type="dxa"/>
            <w:tcBorders>
              <w:left w:val="single" w:sz="4" w:space="0" w:color="000000"/>
              <w:right w:val="single" w:sz="4" w:space="0" w:color="000000"/>
            </w:tcBorders>
          </w:tcPr>
          <w:p w14:paraId="0DFDBA23" w14:textId="77777777" w:rsidR="00046465" w:rsidRDefault="00046465">
            <w:pPr>
              <w:pStyle w:val="TableParagraph"/>
              <w:spacing w:before="143"/>
            </w:pPr>
          </w:p>
          <w:p w14:paraId="0DFDBA24" w14:textId="77777777" w:rsidR="00046465" w:rsidRDefault="008134EB">
            <w:pPr>
              <w:pStyle w:val="TableParagraph"/>
              <w:ind w:left="108"/>
            </w:pPr>
            <w:r>
              <w:t>Control</w:t>
            </w:r>
            <w:r>
              <w:rPr>
                <w:spacing w:val="-9"/>
              </w:rPr>
              <w:t xml:space="preserve"> </w:t>
            </w:r>
            <w:r>
              <w:rPr>
                <w:spacing w:val="-2"/>
              </w:rPr>
              <w:t>Activities</w:t>
            </w:r>
          </w:p>
        </w:tc>
        <w:tc>
          <w:tcPr>
            <w:tcW w:w="1517" w:type="dxa"/>
            <w:tcBorders>
              <w:left w:val="single" w:sz="4" w:space="0" w:color="000000"/>
              <w:right w:val="single" w:sz="4" w:space="0" w:color="000000"/>
            </w:tcBorders>
          </w:tcPr>
          <w:p w14:paraId="0DFDBA25" w14:textId="77777777" w:rsidR="00046465" w:rsidRDefault="00046465">
            <w:pPr>
              <w:pStyle w:val="TableParagraph"/>
              <w:spacing w:before="143"/>
            </w:pPr>
          </w:p>
          <w:p w14:paraId="0DFDBA26" w14:textId="77777777" w:rsidR="00046465" w:rsidRDefault="008134EB">
            <w:pPr>
              <w:pStyle w:val="TableParagraph"/>
              <w:ind w:left="107"/>
            </w:pPr>
            <w:r>
              <w:t>IS</w:t>
            </w:r>
            <w:r>
              <w:rPr>
                <w:spacing w:val="-3"/>
              </w:rPr>
              <w:t xml:space="preserve"> </w:t>
            </w:r>
            <w:r>
              <w:rPr>
                <w:spacing w:val="-2"/>
              </w:rPr>
              <w:t>(Y/N)</w:t>
            </w:r>
          </w:p>
        </w:tc>
        <w:tc>
          <w:tcPr>
            <w:tcW w:w="1488" w:type="dxa"/>
            <w:tcBorders>
              <w:left w:val="single" w:sz="4" w:space="0" w:color="000000"/>
              <w:right w:val="single" w:sz="4" w:space="0" w:color="000000"/>
            </w:tcBorders>
          </w:tcPr>
          <w:p w14:paraId="0DFDBA27" w14:textId="77777777" w:rsidR="00046465" w:rsidRDefault="008134EB">
            <w:pPr>
              <w:pStyle w:val="TableParagraph"/>
              <w:spacing w:before="143"/>
              <w:ind w:left="107" w:right="150"/>
            </w:pPr>
            <w:r>
              <w:rPr>
                <w:spacing w:val="-2"/>
              </w:rPr>
              <w:t>Effective controls?</w:t>
            </w:r>
          </w:p>
        </w:tc>
        <w:tc>
          <w:tcPr>
            <w:tcW w:w="2534" w:type="dxa"/>
            <w:tcBorders>
              <w:left w:val="single" w:sz="4" w:space="0" w:color="000000"/>
            </w:tcBorders>
          </w:tcPr>
          <w:p w14:paraId="0DFDBA28" w14:textId="77777777" w:rsidR="00046465" w:rsidRDefault="008134EB">
            <w:pPr>
              <w:pStyle w:val="TableParagraph"/>
              <w:spacing w:before="143"/>
              <w:ind w:left="107"/>
            </w:pPr>
            <w:r>
              <w:t xml:space="preserve">Instances of </w:t>
            </w:r>
            <w:r>
              <w:rPr>
                <w:spacing w:val="-2"/>
              </w:rPr>
              <w:t>noncompliance?</w:t>
            </w:r>
          </w:p>
        </w:tc>
      </w:tr>
      <w:tr w:rsidR="00046465" w14:paraId="0DFDBA32" w14:textId="77777777">
        <w:trPr>
          <w:trHeight w:val="2026"/>
        </w:trPr>
        <w:tc>
          <w:tcPr>
            <w:tcW w:w="3564" w:type="dxa"/>
            <w:tcBorders>
              <w:bottom w:val="single" w:sz="4" w:space="0" w:color="000000"/>
              <w:right w:val="single" w:sz="4" w:space="0" w:color="000000"/>
            </w:tcBorders>
          </w:tcPr>
          <w:p w14:paraId="0DFDBA2A" w14:textId="77777777" w:rsidR="00046465" w:rsidRDefault="008134EB">
            <w:pPr>
              <w:pStyle w:val="TableParagraph"/>
              <w:spacing w:before="143"/>
              <w:ind w:left="817" w:right="65" w:hanging="720"/>
              <w:rPr>
                <w:sz w:val="18"/>
              </w:rPr>
            </w:pPr>
            <w:r>
              <w:rPr>
                <w:smallCaps/>
                <w:sz w:val="18"/>
              </w:rPr>
              <w:t>806.02.  Funding Source for Late</w:t>
            </w:r>
            <w:r>
              <w:rPr>
                <w:smallCaps/>
                <w:spacing w:val="40"/>
                <w:sz w:val="18"/>
              </w:rPr>
              <w:t xml:space="preserve"> </w:t>
            </w:r>
            <w:r>
              <w:rPr>
                <w:smallCaps/>
                <w:sz w:val="18"/>
              </w:rPr>
              <w:t>Payment</w:t>
            </w:r>
            <w:r>
              <w:rPr>
                <w:smallCaps/>
                <w:spacing w:val="-10"/>
                <w:sz w:val="18"/>
              </w:rPr>
              <w:t xml:space="preserve"> </w:t>
            </w:r>
            <w:r>
              <w:rPr>
                <w:smallCaps/>
                <w:sz w:val="18"/>
              </w:rPr>
              <w:t>Interest</w:t>
            </w:r>
            <w:r>
              <w:rPr>
                <w:smallCaps/>
                <w:spacing w:val="-10"/>
                <w:sz w:val="18"/>
              </w:rPr>
              <w:t xml:space="preserve"> </w:t>
            </w:r>
            <w:r>
              <w:rPr>
                <w:smallCaps/>
                <w:sz w:val="18"/>
              </w:rPr>
              <w:t>Penalties.</w:t>
            </w:r>
          </w:p>
          <w:p w14:paraId="0DFDBA2B" w14:textId="77777777" w:rsidR="00046465" w:rsidRDefault="008134EB">
            <w:pPr>
              <w:pStyle w:val="TableParagraph"/>
              <w:spacing w:before="146"/>
              <w:ind w:left="97"/>
              <w:rPr>
                <w:sz w:val="18"/>
              </w:rPr>
            </w:pPr>
            <w:r>
              <w:rPr>
                <w:sz w:val="18"/>
              </w:rPr>
              <w:t>Provision</w:t>
            </w:r>
            <w:r>
              <w:rPr>
                <w:spacing w:val="-10"/>
                <w:sz w:val="18"/>
              </w:rPr>
              <w:t xml:space="preserve"> </w:t>
            </w:r>
            <w:r>
              <w:rPr>
                <w:sz w:val="18"/>
              </w:rPr>
              <w:t>Type:</w:t>
            </w:r>
            <w:r>
              <w:rPr>
                <w:spacing w:val="-8"/>
                <w:sz w:val="18"/>
              </w:rPr>
              <w:t xml:space="preserve"> </w:t>
            </w:r>
            <w:r>
              <w:rPr>
                <w:sz w:val="18"/>
              </w:rPr>
              <w:t>Transaction-</w:t>
            </w:r>
            <w:r>
              <w:rPr>
                <w:spacing w:val="-2"/>
                <w:sz w:val="18"/>
              </w:rPr>
              <w:t>based.</w:t>
            </w:r>
          </w:p>
          <w:p w14:paraId="0DFDBA2C" w14:textId="77777777" w:rsidR="00046465" w:rsidRDefault="008134EB">
            <w:pPr>
              <w:pStyle w:val="TableParagraph"/>
              <w:spacing w:before="145" w:line="237" w:lineRule="auto"/>
              <w:ind w:left="97"/>
              <w:rPr>
                <w:sz w:val="18"/>
              </w:rPr>
            </w:pPr>
            <w:r>
              <w:rPr>
                <w:sz w:val="18"/>
              </w:rPr>
              <w:t>Interest penalties shall be paid out of amounts</w:t>
            </w:r>
            <w:r>
              <w:rPr>
                <w:spacing w:val="-7"/>
                <w:sz w:val="18"/>
              </w:rPr>
              <w:t xml:space="preserve"> </w:t>
            </w:r>
            <w:r>
              <w:rPr>
                <w:sz w:val="18"/>
              </w:rPr>
              <w:t>made</w:t>
            </w:r>
            <w:r>
              <w:rPr>
                <w:spacing w:val="-6"/>
                <w:sz w:val="18"/>
              </w:rPr>
              <w:t xml:space="preserve"> </w:t>
            </w:r>
            <w:r>
              <w:rPr>
                <w:sz w:val="18"/>
              </w:rPr>
              <w:t>available</w:t>
            </w:r>
            <w:r>
              <w:rPr>
                <w:spacing w:val="-8"/>
                <w:sz w:val="18"/>
              </w:rPr>
              <w:t xml:space="preserve"> </w:t>
            </w:r>
            <w:r>
              <w:rPr>
                <w:sz w:val="18"/>
              </w:rPr>
              <w:t>to</w:t>
            </w:r>
            <w:r>
              <w:rPr>
                <w:spacing w:val="-8"/>
                <w:sz w:val="18"/>
              </w:rPr>
              <w:t xml:space="preserve"> </w:t>
            </w:r>
            <w:r>
              <w:rPr>
                <w:sz w:val="18"/>
              </w:rPr>
              <w:t>carry</w:t>
            </w:r>
            <w:r>
              <w:rPr>
                <w:spacing w:val="-7"/>
                <w:sz w:val="18"/>
              </w:rPr>
              <w:t xml:space="preserve"> </w:t>
            </w:r>
            <w:r>
              <w:rPr>
                <w:sz w:val="18"/>
              </w:rPr>
              <w:t>out</w:t>
            </w:r>
            <w:r>
              <w:rPr>
                <w:spacing w:val="-7"/>
                <w:sz w:val="18"/>
              </w:rPr>
              <w:t xml:space="preserve"> </w:t>
            </w:r>
            <w:r>
              <w:rPr>
                <w:sz w:val="18"/>
              </w:rPr>
              <w:t>the programs for which the penalties are incurred.</w:t>
            </w:r>
            <w:hyperlink w:anchor="_bookmark113" w:history="1">
              <w:r>
                <w:rPr>
                  <w:position w:val="6"/>
                  <w:sz w:val="12"/>
                </w:rPr>
                <w:t>47</w:t>
              </w:r>
            </w:hyperlink>
            <w:r>
              <w:rPr>
                <w:spacing w:val="40"/>
                <w:position w:val="6"/>
                <w:sz w:val="12"/>
              </w:rPr>
              <w:t xml:space="preserve"> </w:t>
            </w:r>
            <w:r>
              <w:rPr>
                <w:sz w:val="18"/>
              </w:rPr>
              <w:t>31 U.S.C. § 3902(f).</w:t>
            </w:r>
          </w:p>
        </w:tc>
        <w:tc>
          <w:tcPr>
            <w:tcW w:w="1980" w:type="dxa"/>
            <w:tcBorders>
              <w:left w:val="single" w:sz="4" w:space="0" w:color="000000"/>
              <w:bottom w:val="single" w:sz="4" w:space="0" w:color="000000"/>
              <w:right w:val="single" w:sz="4" w:space="0" w:color="000000"/>
            </w:tcBorders>
          </w:tcPr>
          <w:p w14:paraId="0DFDBA2D" w14:textId="77777777" w:rsidR="00046465" w:rsidRDefault="008134EB">
            <w:pPr>
              <w:pStyle w:val="TableParagraph"/>
              <w:tabs>
                <w:tab w:val="left" w:pos="462"/>
              </w:tabs>
              <w:spacing w:before="143"/>
              <w:ind w:left="466" w:right="135" w:hanging="359"/>
              <w:rPr>
                <w:sz w:val="18"/>
              </w:rPr>
            </w:pPr>
            <w:r>
              <w:rPr>
                <w:spacing w:val="-6"/>
                <w:sz w:val="18"/>
              </w:rPr>
              <w:t>2.</w:t>
            </w:r>
            <w:r>
              <w:rPr>
                <w:sz w:val="18"/>
              </w:rPr>
              <w:tab/>
              <w:t>Interest</w:t>
            </w:r>
            <w:r>
              <w:rPr>
                <w:spacing w:val="-13"/>
                <w:sz w:val="18"/>
              </w:rPr>
              <w:t xml:space="preserve"> </w:t>
            </w:r>
            <w:r>
              <w:rPr>
                <w:sz w:val="18"/>
              </w:rPr>
              <w:t>penalties are paid out of the</w:t>
            </w:r>
            <w:r>
              <w:rPr>
                <w:spacing w:val="-13"/>
                <w:sz w:val="18"/>
              </w:rPr>
              <w:t xml:space="preserve"> </w:t>
            </w:r>
            <w:r>
              <w:rPr>
                <w:sz w:val="18"/>
              </w:rPr>
              <w:t xml:space="preserve">appropriation account used to pay related </w:t>
            </w:r>
            <w:r>
              <w:rPr>
                <w:spacing w:val="-2"/>
                <w:sz w:val="18"/>
              </w:rPr>
              <w:t>program expenditures.</w:t>
            </w:r>
          </w:p>
        </w:tc>
        <w:tc>
          <w:tcPr>
            <w:tcW w:w="2201" w:type="dxa"/>
            <w:tcBorders>
              <w:left w:val="single" w:sz="4" w:space="0" w:color="000000"/>
              <w:bottom w:val="single" w:sz="4" w:space="0" w:color="000000"/>
              <w:right w:val="single" w:sz="4" w:space="0" w:color="000000"/>
            </w:tcBorders>
          </w:tcPr>
          <w:p w14:paraId="0DFDBA2E" w14:textId="77777777" w:rsidR="00046465" w:rsidRDefault="00046465">
            <w:pPr>
              <w:pStyle w:val="TableParagraph"/>
              <w:rPr>
                <w:rFonts w:ascii="Times New Roman"/>
                <w:sz w:val="18"/>
              </w:rPr>
            </w:pPr>
          </w:p>
        </w:tc>
        <w:tc>
          <w:tcPr>
            <w:tcW w:w="1517" w:type="dxa"/>
            <w:tcBorders>
              <w:left w:val="single" w:sz="4" w:space="0" w:color="000000"/>
              <w:bottom w:val="single" w:sz="4" w:space="0" w:color="000000"/>
              <w:right w:val="single" w:sz="4" w:space="0" w:color="000000"/>
            </w:tcBorders>
          </w:tcPr>
          <w:p w14:paraId="0DFDBA2F" w14:textId="77777777" w:rsidR="00046465" w:rsidRDefault="00046465">
            <w:pPr>
              <w:pStyle w:val="TableParagraph"/>
              <w:rPr>
                <w:rFonts w:ascii="Times New Roman"/>
                <w:sz w:val="18"/>
              </w:rPr>
            </w:pPr>
          </w:p>
        </w:tc>
        <w:tc>
          <w:tcPr>
            <w:tcW w:w="1488" w:type="dxa"/>
            <w:tcBorders>
              <w:left w:val="single" w:sz="4" w:space="0" w:color="000000"/>
              <w:bottom w:val="single" w:sz="4" w:space="0" w:color="000000"/>
              <w:right w:val="single" w:sz="4" w:space="0" w:color="000000"/>
            </w:tcBorders>
          </w:tcPr>
          <w:p w14:paraId="0DFDBA30" w14:textId="77777777" w:rsidR="00046465" w:rsidRDefault="00046465">
            <w:pPr>
              <w:pStyle w:val="TableParagraph"/>
              <w:rPr>
                <w:rFonts w:ascii="Times New Roman"/>
                <w:sz w:val="18"/>
              </w:rPr>
            </w:pPr>
          </w:p>
        </w:tc>
        <w:tc>
          <w:tcPr>
            <w:tcW w:w="2534" w:type="dxa"/>
            <w:tcBorders>
              <w:left w:val="single" w:sz="4" w:space="0" w:color="000000"/>
              <w:bottom w:val="single" w:sz="4" w:space="0" w:color="000000"/>
            </w:tcBorders>
          </w:tcPr>
          <w:p w14:paraId="0DFDBA31" w14:textId="77777777" w:rsidR="00046465" w:rsidRDefault="008134EB">
            <w:pPr>
              <w:pStyle w:val="TableParagraph"/>
              <w:spacing w:before="143"/>
              <w:ind w:left="107" w:right="133"/>
              <w:rPr>
                <w:sz w:val="18"/>
              </w:rPr>
            </w:pPr>
            <w:r>
              <w:rPr>
                <w:sz w:val="18"/>
              </w:rPr>
              <w:t>See Compliance Audit Procedures,</w:t>
            </w:r>
            <w:r>
              <w:rPr>
                <w:spacing w:val="-13"/>
                <w:sz w:val="18"/>
              </w:rPr>
              <w:t xml:space="preserve"> </w:t>
            </w:r>
            <w:r>
              <w:rPr>
                <w:sz w:val="18"/>
              </w:rPr>
              <w:t>FAM</w:t>
            </w:r>
            <w:r>
              <w:rPr>
                <w:spacing w:val="-12"/>
                <w:sz w:val="18"/>
              </w:rPr>
              <w:t xml:space="preserve"> </w:t>
            </w:r>
            <w:r>
              <w:rPr>
                <w:sz w:val="18"/>
              </w:rPr>
              <w:t>806</w:t>
            </w:r>
            <w:r>
              <w:rPr>
                <w:spacing w:val="-13"/>
                <w:sz w:val="18"/>
              </w:rPr>
              <w:t xml:space="preserve"> </w:t>
            </w:r>
            <w:r>
              <w:rPr>
                <w:sz w:val="18"/>
              </w:rPr>
              <w:t>steps 4 (c), 5 (c), and 6.</w:t>
            </w:r>
          </w:p>
        </w:tc>
      </w:tr>
    </w:tbl>
    <w:p w14:paraId="0DFDBA33" w14:textId="77777777" w:rsidR="00046465" w:rsidRDefault="008134EB">
      <w:pPr>
        <w:pStyle w:val="BodyText"/>
        <w:spacing w:before="6"/>
        <w:rPr>
          <w:sz w:val="20"/>
        </w:rPr>
      </w:pPr>
      <w:r>
        <w:rPr>
          <w:noProof/>
          <w:sz w:val="20"/>
        </w:rPr>
        <mc:AlternateContent>
          <mc:Choice Requires="wps">
            <w:drawing>
              <wp:anchor distT="0" distB="0" distL="0" distR="0" simplePos="0" relativeHeight="487676928" behindDoc="1" locked="0" layoutInCell="1" allowOverlap="1" wp14:anchorId="0DFDD677" wp14:editId="0DFDD678">
                <wp:simplePos x="0" y="0"/>
                <wp:positionH relativeFrom="page">
                  <wp:posOffset>685800</wp:posOffset>
                </wp:positionH>
                <wp:positionV relativeFrom="paragraph">
                  <wp:posOffset>165227</wp:posOffset>
                </wp:positionV>
                <wp:extent cx="1828800" cy="6985"/>
                <wp:effectExtent l="0" t="0" r="0" b="0"/>
                <wp:wrapTopAndBottom/>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B5BAA1" id="Graphic 676" o:spid="_x0000_s1026" style="position:absolute;margin-left:54pt;margin-top:13pt;width:2in;height:.55pt;z-index:-1563955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" path="m1828800,l,,,6858r1828800,l1828800,xe" fillcolor="black" stroked="f">
                <v:path arrowok="t"/>
                <w10:wrap type="topAndBottom" anchorx="page"/>
              </v:shape>
            </w:pict>
          </mc:Fallback>
        </mc:AlternateContent>
      </w:r>
    </w:p>
    <w:p w14:paraId="0DFDBA34" w14:textId="77777777" w:rsidR="00046465" w:rsidRDefault="00046465">
      <w:pPr>
        <w:pStyle w:val="BodyText"/>
        <w:spacing w:before="10"/>
        <w:rPr>
          <w:sz w:val="18"/>
        </w:rPr>
      </w:pPr>
    </w:p>
    <w:p w14:paraId="0DFDBA35" w14:textId="77777777" w:rsidR="00046465" w:rsidRDefault="008134EB">
      <w:pPr>
        <w:ind w:left="360"/>
        <w:rPr>
          <w:sz w:val="18"/>
        </w:rPr>
      </w:pPr>
      <w:r>
        <w:rPr>
          <w:position w:val="7"/>
          <w:sz w:val="14"/>
        </w:rPr>
        <w:t>42</w:t>
      </w:r>
      <w:r>
        <w:rPr>
          <w:sz w:val="18"/>
        </w:rPr>
        <w:t>A</w:t>
      </w:r>
      <w:r>
        <w:rPr>
          <w:spacing w:val="-4"/>
          <w:sz w:val="18"/>
        </w:rPr>
        <w:t xml:space="preserve"> </w:t>
      </w:r>
      <w:r>
        <w:rPr>
          <w:sz w:val="18"/>
        </w:rPr>
        <w:t>payment</w:t>
      </w:r>
      <w:r>
        <w:rPr>
          <w:spacing w:val="-2"/>
          <w:sz w:val="18"/>
        </w:rPr>
        <w:t xml:space="preserve"> </w:t>
      </w:r>
      <w:r>
        <w:rPr>
          <w:sz w:val="18"/>
        </w:rPr>
        <w:t>is</w:t>
      </w:r>
      <w:r>
        <w:rPr>
          <w:spacing w:val="-1"/>
          <w:sz w:val="18"/>
        </w:rPr>
        <w:t xml:space="preserve"> </w:t>
      </w:r>
      <w:r>
        <w:rPr>
          <w:sz w:val="18"/>
        </w:rPr>
        <w:t>deemed</w:t>
      </w:r>
      <w:r>
        <w:rPr>
          <w:spacing w:val="-3"/>
          <w:sz w:val="18"/>
        </w:rPr>
        <w:t xml:space="preserve"> </w:t>
      </w:r>
      <w:r>
        <w:rPr>
          <w:sz w:val="18"/>
        </w:rPr>
        <w:t>to</w:t>
      </w:r>
      <w:r>
        <w:rPr>
          <w:spacing w:val="-2"/>
          <w:sz w:val="18"/>
        </w:rPr>
        <w:t xml:space="preserve"> </w:t>
      </w:r>
      <w:r>
        <w:rPr>
          <w:sz w:val="18"/>
        </w:rPr>
        <w:t>be</w:t>
      </w:r>
      <w:r>
        <w:rPr>
          <w:spacing w:val="-3"/>
          <w:sz w:val="18"/>
        </w:rPr>
        <w:t xml:space="preserve"> </w:t>
      </w:r>
      <w:r>
        <w:rPr>
          <w:sz w:val="18"/>
        </w:rPr>
        <w:t>made</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date</w:t>
      </w:r>
      <w:r>
        <w:rPr>
          <w:spacing w:val="-3"/>
          <w:sz w:val="18"/>
        </w:rPr>
        <w:t xml:space="preserve"> </w:t>
      </w:r>
      <w:r>
        <w:rPr>
          <w:sz w:val="18"/>
        </w:rPr>
        <w:t>that</w:t>
      </w:r>
      <w:r>
        <w:rPr>
          <w:spacing w:val="-1"/>
          <w:sz w:val="18"/>
        </w:rPr>
        <w:t xml:space="preserve"> </w:t>
      </w:r>
      <w:r>
        <w:rPr>
          <w:sz w:val="18"/>
        </w:rPr>
        <w:t>a</w:t>
      </w:r>
      <w:r>
        <w:rPr>
          <w:spacing w:val="-3"/>
          <w:sz w:val="18"/>
        </w:rPr>
        <w:t xml:space="preserve"> </w:t>
      </w:r>
      <w:r>
        <w:rPr>
          <w:sz w:val="18"/>
        </w:rPr>
        <w:t>check</w:t>
      </w:r>
      <w:r>
        <w:rPr>
          <w:spacing w:val="-1"/>
          <w:sz w:val="18"/>
        </w:rPr>
        <w:t xml:space="preserve"> </w:t>
      </w:r>
      <w:r>
        <w:rPr>
          <w:sz w:val="18"/>
        </w:rPr>
        <w:t>for</w:t>
      </w:r>
      <w:r>
        <w:rPr>
          <w:spacing w:val="-2"/>
          <w:sz w:val="18"/>
        </w:rPr>
        <w:t xml:space="preserve"> </w:t>
      </w:r>
      <w:r>
        <w:rPr>
          <w:sz w:val="18"/>
        </w:rPr>
        <w:t>payment</w:t>
      </w:r>
      <w:r>
        <w:rPr>
          <w:spacing w:val="-1"/>
          <w:sz w:val="18"/>
        </w:rPr>
        <w:t xml:space="preserve"> </w:t>
      </w:r>
      <w:r>
        <w:rPr>
          <w:sz w:val="18"/>
        </w:rPr>
        <w:t>is</w:t>
      </w:r>
      <w:r>
        <w:rPr>
          <w:spacing w:val="-2"/>
          <w:sz w:val="18"/>
        </w:rPr>
        <w:t xml:space="preserve"> </w:t>
      </w:r>
      <w:r>
        <w:rPr>
          <w:sz w:val="18"/>
        </w:rPr>
        <w:t>dated</w:t>
      </w:r>
      <w:r>
        <w:rPr>
          <w:spacing w:val="-3"/>
          <w:sz w:val="18"/>
        </w:rPr>
        <w:t xml:space="preserve"> </w:t>
      </w:r>
      <w:r>
        <w:rPr>
          <w:sz w:val="18"/>
        </w:rPr>
        <w:t>or</w:t>
      </w:r>
      <w:r>
        <w:rPr>
          <w:spacing w:val="-1"/>
          <w:sz w:val="18"/>
        </w:rPr>
        <w:t xml:space="preserve"> </w:t>
      </w:r>
      <w:r>
        <w:rPr>
          <w:sz w:val="18"/>
        </w:rPr>
        <w:t>an</w:t>
      </w:r>
      <w:r>
        <w:rPr>
          <w:spacing w:val="-3"/>
          <w:sz w:val="18"/>
        </w:rPr>
        <w:t xml:space="preserve"> </w:t>
      </w:r>
      <w:r>
        <w:rPr>
          <w:sz w:val="18"/>
        </w:rPr>
        <w:t>electronic</w:t>
      </w:r>
      <w:r>
        <w:rPr>
          <w:spacing w:val="-1"/>
          <w:sz w:val="18"/>
        </w:rPr>
        <w:t xml:space="preserve"> </w:t>
      </w:r>
      <w:r>
        <w:rPr>
          <w:sz w:val="18"/>
        </w:rPr>
        <w:t>transfer</w:t>
      </w:r>
      <w:r>
        <w:rPr>
          <w:spacing w:val="-1"/>
          <w:sz w:val="18"/>
        </w:rPr>
        <w:t xml:space="preserve"> </w:t>
      </w:r>
      <w:r>
        <w:rPr>
          <w:sz w:val="18"/>
        </w:rPr>
        <w:t>is</w:t>
      </w:r>
      <w:r>
        <w:rPr>
          <w:spacing w:val="-1"/>
          <w:sz w:val="18"/>
        </w:rPr>
        <w:t xml:space="preserve"> </w:t>
      </w:r>
      <w:r>
        <w:rPr>
          <w:sz w:val="18"/>
        </w:rPr>
        <w:t>made.</w:t>
      </w:r>
      <w:r>
        <w:rPr>
          <w:spacing w:val="-2"/>
          <w:sz w:val="18"/>
        </w:rPr>
        <w:t xml:space="preserve"> </w:t>
      </w:r>
      <w:r>
        <w:rPr>
          <w:sz w:val="18"/>
        </w:rPr>
        <w:t>31</w:t>
      </w:r>
      <w:r>
        <w:rPr>
          <w:spacing w:val="-2"/>
          <w:sz w:val="18"/>
        </w:rPr>
        <w:t xml:space="preserve"> </w:t>
      </w:r>
      <w:r>
        <w:rPr>
          <w:sz w:val="18"/>
        </w:rPr>
        <w:t>U.S.C.</w:t>
      </w:r>
      <w:r>
        <w:rPr>
          <w:spacing w:val="-2"/>
          <w:sz w:val="18"/>
        </w:rPr>
        <w:t xml:space="preserve"> </w:t>
      </w:r>
      <w:r>
        <w:rPr>
          <w:sz w:val="18"/>
        </w:rPr>
        <w:t xml:space="preserve">§ </w:t>
      </w:r>
      <w:r>
        <w:rPr>
          <w:spacing w:val="-2"/>
          <w:sz w:val="18"/>
        </w:rPr>
        <w:t>3901(a)(5).</w:t>
      </w:r>
    </w:p>
    <w:p w14:paraId="0DFDBA36" w14:textId="77777777" w:rsidR="00046465" w:rsidRDefault="008134EB">
      <w:pPr>
        <w:spacing w:before="133" w:line="244" w:lineRule="auto"/>
        <w:ind w:left="360" w:right="422" w:hanging="1"/>
        <w:rPr>
          <w:sz w:val="18"/>
        </w:rPr>
      </w:pPr>
      <w:r>
        <w:rPr>
          <w:position w:val="7"/>
          <w:sz w:val="14"/>
        </w:rPr>
        <w:t>43</w:t>
      </w:r>
      <w:r>
        <w:rPr>
          <w:sz w:val="18"/>
        </w:rPr>
        <w:t>The required due date is generally the date specified in the contract or, if a date is not specified, 30 days after receipt of a proper invoice. 31 U.S.C. § 3903(a)(1). If payment</w:t>
      </w:r>
      <w:r>
        <w:rPr>
          <w:spacing w:val="-2"/>
          <w:sz w:val="18"/>
        </w:rPr>
        <w:t xml:space="preserve"> </w:t>
      </w:r>
      <w:r>
        <w:rPr>
          <w:sz w:val="18"/>
        </w:rPr>
        <w:t>is</w:t>
      </w:r>
      <w:r>
        <w:rPr>
          <w:spacing w:val="-2"/>
          <w:sz w:val="18"/>
        </w:rPr>
        <w:t xml:space="preserve"> </w:t>
      </w:r>
      <w:r>
        <w:rPr>
          <w:sz w:val="18"/>
        </w:rPr>
        <w:t>for</w:t>
      </w:r>
      <w:r>
        <w:rPr>
          <w:spacing w:val="-2"/>
          <w:sz w:val="18"/>
        </w:rPr>
        <w:t xml:space="preserve"> </w:t>
      </w:r>
      <w:r>
        <w:rPr>
          <w:sz w:val="18"/>
        </w:rPr>
        <w:t>meat</w:t>
      </w:r>
      <w:r>
        <w:rPr>
          <w:spacing w:val="-2"/>
          <w:sz w:val="18"/>
        </w:rPr>
        <w:t xml:space="preserve"> </w:t>
      </w:r>
      <w:r>
        <w:rPr>
          <w:sz w:val="18"/>
        </w:rPr>
        <w:t>or</w:t>
      </w:r>
      <w:r>
        <w:rPr>
          <w:spacing w:val="-2"/>
          <w:sz w:val="18"/>
        </w:rPr>
        <w:t xml:space="preserve"> </w:t>
      </w:r>
      <w:r>
        <w:rPr>
          <w:sz w:val="18"/>
        </w:rPr>
        <w:t>meat</w:t>
      </w:r>
      <w:r>
        <w:rPr>
          <w:spacing w:val="-2"/>
          <w:sz w:val="18"/>
        </w:rPr>
        <w:t xml:space="preserve"> </w:t>
      </w:r>
      <w:r>
        <w:rPr>
          <w:sz w:val="18"/>
        </w:rPr>
        <w:t>food</w:t>
      </w:r>
      <w:r>
        <w:rPr>
          <w:spacing w:val="-3"/>
          <w:sz w:val="18"/>
        </w:rPr>
        <w:t xml:space="preserve"> </w:t>
      </w:r>
      <w:r>
        <w:rPr>
          <w:sz w:val="18"/>
        </w:rPr>
        <w:t>products,</w:t>
      </w:r>
      <w:r>
        <w:rPr>
          <w:spacing w:val="-2"/>
          <w:sz w:val="18"/>
        </w:rPr>
        <w:t xml:space="preserve"> </w:t>
      </w:r>
      <w:r>
        <w:rPr>
          <w:sz w:val="18"/>
        </w:rPr>
        <w:t>perishable</w:t>
      </w:r>
      <w:r>
        <w:rPr>
          <w:spacing w:val="-3"/>
          <w:sz w:val="18"/>
        </w:rPr>
        <w:t xml:space="preserve"> </w:t>
      </w:r>
      <w:r>
        <w:rPr>
          <w:sz w:val="18"/>
        </w:rPr>
        <w:t>agricultural</w:t>
      </w:r>
      <w:r>
        <w:rPr>
          <w:spacing w:val="-2"/>
          <w:sz w:val="18"/>
        </w:rPr>
        <w:t xml:space="preserve"> </w:t>
      </w:r>
      <w:r>
        <w:rPr>
          <w:sz w:val="18"/>
        </w:rPr>
        <w:t>products,</w:t>
      </w:r>
      <w:r>
        <w:rPr>
          <w:spacing w:val="-2"/>
          <w:sz w:val="18"/>
        </w:rPr>
        <w:t xml:space="preserve"> </w:t>
      </w:r>
      <w:r>
        <w:rPr>
          <w:sz w:val="18"/>
        </w:rPr>
        <w:t>dairy</w:t>
      </w:r>
      <w:r>
        <w:rPr>
          <w:spacing w:val="-2"/>
          <w:sz w:val="18"/>
        </w:rPr>
        <w:t xml:space="preserve"> </w:t>
      </w:r>
      <w:r>
        <w:rPr>
          <w:sz w:val="18"/>
        </w:rPr>
        <w:t>products,</w:t>
      </w:r>
      <w:r>
        <w:rPr>
          <w:spacing w:val="-2"/>
          <w:sz w:val="18"/>
        </w:rPr>
        <w:t xml:space="preserve"> </w:t>
      </w:r>
      <w:r>
        <w:rPr>
          <w:sz w:val="18"/>
        </w:rPr>
        <w:t>or</w:t>
      </w:r>
      <w:r>
        <w:rPr>
          <w:spacing w:val="-2"/>
          <w:sz w:val="18"/>
        </w:rPr>
        <w:t xml:space="preserve"> </w:t>
      </w:r>
      <w:r>
        <w:rPr>
          <w:sz w:val="18"/>
        </w:rPr>
        <w:t>construction</w:t>
      </w:r>
      <w:r>
        <w:rPr>
          <w:spacing w:val="-3"/>
          <w:sz w:val="18"/>
        </w:rPr>
        <w:t xml:space="preserve"> </w:t>
      </w:r>
      <w:r>
        <w:rPr>
          <w:sz w:val="18"/>
        </w:rPr>
        <w:t>contracts,</w:t>
      </w:r>
      <w:r>
        <w:rPr>
          <w:spacing w:val="-2"/>
          <w:sz w:val="18"/>
        </w:rPr>
        <w:t xml:space="preserve"> </w:t>
      </w:r>
      <w:r>
        <w:rPr>
          <w:sz w:val="18"/>
        </w:rPr>
        <w:t>then</w:t>
      </w:r>
      <w:r>
        <w:rPr>
          <w:spacing w:val="-3"/>
          <w:sz w:val="18"/>
        </w:rPr>
        <w:t xml:space="preserve"> </w:t>
      </w:r>
      <w:r>
        <w:rPr>
          <w:sz w:val="18"/>
        </w:rPr>
        <w:t>consult</w:t>
      </w:r>
      <w:r>
        <w:rPr>
          <w:spacing w:val="-2"/>
          <w:sz w:val="18"/>
        </w:rPr>
        <w:t xml:space="preserve"> </w:t>
      </w:r>
      <w:r>
        <w:rPr>
          <w:sz w:val="18"/>
        </w:rPr>
        <w:t>with</w:t>
      </w:r>
      <w:r>
        <w:rPr>
          <w:spacing w:val="-3"/>
          <w:sz w:val="18"/>
        </w:rPr>
        <w:t xml:space="preserve"> </w:t>
      </w:r>
      <w:r>
        <w:rPr>
          <w:sz w:val="18"/>
        </w:rPr>
        <w:t>OGC</w:t>
      </w:r>
      <w:r>
        <w:rPr>
          <w:spacing w:val="-2"/>
          <w:sz w:val="18"/>
        </w:rPr>
        <w:t xml:space="preserve"> </w:t>
      </w:r>
      <w:r>
        <w:rPr>
          <w:sz w:val="18"/>
        </w:rPr>
        <w:t>to</w:t>
      </w:r>
      <w:r>
        <w:rPr>
          <w:spacing w:val="-3"/>
          <w:sz w:val="18"/>
        </w:rPr>
        <w:t xml:space="preserve"> </w:t>
      </w:r>
      <w:r>
        <w:rPr>
          <w:sz w:val="18"/>
        </w:rPr>
        <w:t>determine</w:t>
      </w:r>
      <w:r>
        <w:rPr>
          <w:spacing w:val="-3"/>
          <w:sz w:val="18"/>
        </w:rPr>
        <w:t xml:space="preserve"> </w:t>
      </w:r>
      <w:r>
        <w:rPr>
          <w:sz w:val="18"/>
        </w:rPr>
        <w:t>the</w:t>
      </w:r>
      <w:r>
        <w:rPr>
          <w:spacing w:val="-3"/>
          <w:sz w:val="18"/>
        </w:rPr>
        <w:t xml:space="preserve"> </w:t>
      </w:r>
      <w:r>
        <w:rPr>
          <w:sz w:val="18"/>
        </w:rPr>
        <w:t>payment due date. Specific payment due dates to avoid interest penalties are established by law for these items. 31 U.S.C. § 3903(a)(2), (3), (4), (6).</w:t>
      </w:r>
    </w:p>
    <w:p w14:paraId="0DFDBA37" w14:textId="77777777" w:rsidR="00046465" w:rsidRDefault="008134EB">
      <w:pPr>
        <w:spacing w:before="115"/>
        <w:ind w:left="360" w:right="422"/>
        <w:rPr>
          <w:sz w:val="18"/>
        </w:rPr>
      </w:pPr>
      <w:r>
        <w:rPr>
          <w:sz w:val="18"/>
        </w:rPr>
        <w:t>The invoice receipt date is established as the later of (1) the date the entity’s designated representative or office actually receives a proper invoice or (2) the 7th day after the date on which, in accordance with the terms and conditions of the contract, the property is actually delivered or performance of the services is actually completed,</w:t>
      </w:r>
      <w:r>
        <w:rPr>
          <w:spacing w:val="-1"/>
          <w:sz w:val="18"/>
        </w:rPr>
        <w:t xml:space="preserve"> </w:t>
      </w:r>
      <w:r>
        <w:rPr>
          <w:sz w:val="18"/>
        </w:rPr>
        <w:t>unless</w:t>
      </w:r>
      <w:r>
        <w:rPr>
          <w:spacing w:val="-1"/>
          <w:sz w:val="18"/>
        </w:rPr>
        <w:t xml:space="preserve"> </w:t>
      </w:r>
      <w:r>
        <w:rPr>
          <w:sz w:val="18"/>
        </w:rPr>
        <w:t>the</w:t>
      </w:r>
      <w:r>
        <w:rPr>
          <w:spacing w:val="-2"/>
          <w:sz w:val="18"/>
        </w:rPr>
        <w:t xml:space="preserve"> </w:t>
      </w:r>
      <w:r>
        <w:rPr>
          <w:sz w:val="18"/>
        </w:rPr>
        <w:t>entity</w:t>
      </w:r>
      <w:r>
        <w:rPr>
          <w:spacing w:val="-1"/>
          <w:sz w:val="18"/>
        </w:rPr>
        <w:t xml:space="preserve"> </w:t>
      </w:r>
      <w:r>
        <w:rPr>
          <w:sz w:val="18"/>
        </w:rPr>
        <w:t>accepted</w:t>
      </w:r>
      <w:r>
        <w:rPr>
          <w:spacing w:val="-2"/>
          <w:sz w:val="18"/>
        </w:rPr>
        <w:t xml:space="preserve"> </w:t>
      </w:r>
      <w:r>
        <w:rPr>
          <w:sz w:val="18"/>
        </w:rPr>
        <w:t>the</w:t>
      </w:r>
      <w:r>
        <w:rPr>
          <w:spacing w:val="-2"/>
          <w:sz w:val="18"/>
        </w:rPr>
        <w:t xml:space="preserve"> </w:t>
      </w:r>
      <w:r>
        <w:rPr>
          <w:sz w:val="18"/>
        </w:rPr>
        <w:t>property</w:t>
      </w:r>
      <w:r>
        <w:rPr>
          <w:spacing w:val="-1"/>
          <w:sz w:val="18"/>
        </w:rPr>
        <w:t xml:space="preserve"> </w:t>
      </w:r>
      <w:r>
        <w:rPr>
          <w:sz w:val="18"/>
        </w:rPr>
        <w:t>or</w:t>
      </w:r>
      <w:r>
        <w:rPr>
          <w:spacing w:val="-1"/>
          <w:sz w:val="18"/>
        </w:rPr>
        <w:t xml:space="preserve"> </w:t>
      </w:r>
      <w:r>
        <w:rPr>
          <w:sz w:val="18"/>
        </w:rPr>
        <w:t>services</w:t>
      </w:r>
      <w:r>
        <w:rPr>
          <w:spacing w:val="-1"/>
          <w:sz w:val="18"/>
        </w:rPr>
        <w:t xml:space="preserve"> </w:t>
      </w:r>
      <w:r>
        <w:rPr>
          <w:sz w:val="18"/>
        </w:rPr>
        <w:t>before</w:t>
      </w:r>
      <w:r>
        <w:rPr>
          <w:spacing w:val="-2"/>
          <w:sz w:val="18"/>
        </w:rPr>
        <w:t xml:space="preserve"> </w:t>
      </w:r>
      <w:r>
        <w:rPr>
          <w:sz w:val="18"/>
        </w:rPr>
        <w:t>the</w:t>
      </w:r>
      <w:r>
        <w:rPr>
          <w:spacing w:val="-2"/>
          <w:sz w:val="18"/>
        </w:rPr>
        <w:t xml:space="preserve"> </w:t>
      </w:r>
      <w:r>
        <w:rPr>
          <w:sz w:val="18"/>
        </w:rPr>
        <w:t>7th</w:t>
      </w:r>
      <w:r>
        <w:rPr>
          <w:spacing w:val="-2"/>
          <w:sz w:val="18"/>
        </w:rPr>
        <w:t xml:space="preserve"> </w:t>
      </w:r>
      <w:r>
        <w:rPr>
          <w:sz w:val="18"/>
        </w:rPr>
        <w:t>day</w:t>
      </w:r>
      <w:r>
        <w:rPr>
          <w:spacing w:val="-1"/>
          <w:sz w:val="18"/>
        </w:rPr>
        <w:t xml:space="preserve"> </w:t>
      </w:r>
      <w:r>
        <w:rPr>
          <w:sz w:val="18"/>
        </w:rPr>
        <w:t>or</w:t>
      </w:r>
      <w:r>
        <w:rPr>
          <w:spacing w:val="-1"/>
          <w:sz w:val="18"/>
        </w:rPr>
        <w:t xml:space="preserve"> </w:t>
      </w:r>
      <w:r>
        <w:rPr>
          <w:sz w:val="18"/>
        </w:rPr>
        <w:t>a</w:t>
      </w:r>
      <w:r>
        <w:rPr>
          <w:spacing w:val="-2"/>
          <w:sz w:val="18"/>
        </w:rPr>
        <w:t xml:space="preserve"> </w:t>
      </w:r>
      <w:r>
        <w:rPr>
          <w:sz w:val="18"/>
        </w:rPr>
        <w:t>longer</w:t>
      </w:r>
      <w:r>
        <w:rPr>
          <w:spacing w:val="-1"/>
          <w:sz w:val="18"/>
        </w:rPr>
        <w:t xml:space="preserve"> </w:t>
      </w:r>
      <w:r>
        <w:rPr>
          <w:sz w:val="18"/>
        </w:rPr>
        <w:t>acceptance</w:t>
      </w:r>
      <w:r>
        <w:rPr>
          <w:spacing w:val="-2"/>
          <w:sz w:val="18"/>
        </w:rPr>
        <w:t xml:space="preserve"> </w:t>
      </w:r>
      <w:r>
        <w:rPr>
          <w:sz w:val="18"/>
        </w:rPr>
        <w:t>date</w:t>
      </w:r>
      <w:r>
        <w:rPr>
          <w:spacing w:val="-2"/>
          <w:sz w:val="18"/>
        </w:rPr>
        <w:t xml:space="preserve"> </w:t>
      </w:r>
      <w:r>
        <w:rPr>
          <w:sz w:val="18"/>
        </w:rPr>
        <w:t>is</w:t>
      </w:r>
      <w:r>
        <w:rPr>
          <w:spacing w:val="-1"/>
          <w:sz w:val="18"/>
        </w:rPr>
        <w:t xml:space="preserve"> </w:t>
      </w:r>
      <w:r>
        <w:rPr>
          <w:sz w:val="18"/>
        </w:rPr>
        <w:t>specified</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contract.</w:t>
      </w:r>
      <w:r>
        <w:rPr>
          <w:spacing w:val="-1"/>
          <w:sz w:val="18"/>
        </w:rPr>
        <w:t xml:space="preserve"> </w:t>
      </w:r>
      <w:r>
        <w:rPr>
          <w:sz w:val="18"/>
        </w:rPr>
        <w:t>31</w:t>
      </w:r>
      <w:r>
        <w:rPr>
          <w:spacing w:val="-2"/>
          <w:sz w:val="18"/>
        </w:rPr>
        <w:t xml:space="preserve"> </w:t>
      </w:r>
      <w:r>
        <w:rPr>
          <w:sz w:val="18"/>
        </w:rPr>
        <w:t>U.S.C.</w:t>
      </w:r>
      <w:r>
        <w:rPr>
          <w:spacing w:val="-1"/>
          <w:sz w:val="18"/>
        </w:rPr>
        <w:t xml:space="preserve"> </w:t>
      </w:r>
      <w:r>
        <w:rPr>
          <w:sz w:val="18"/>
        </w:rPr>
        <w:t>§</w:t>
      </w:r>
      <w:r>
        <w:rPr>
          <w:spacing w:val="-1"/>
          <w:sz w:val="18"/>
        </w:rPr>
        <w:t xml:space="preserve"> </w:t>
      </w:r>
      <w:r>
        <w:rPr>
          <w:sz w:val="18"/>
        </w:rPr>
        <w:t>3901(a)(4)(A).</w:t>
      </w:r>
      <w:r>
        <w:rPr>
          <w:spacing w:val="-1"/>
          <w:sz w:val="18"/>
        </w:rPr>
        <w:t xml:space="preserve"> </w:t>
      </w:r>
      <w:r>
        <w:rPr>
          <w:sz w:val="18"/>
        </w:rPr>
        <w:t>If the date of actual invoice receipt is not indicated, then the entity must use the invoice date. 31 U.S.C. § 3901(a)(4)(B).</w:t>
      </w:r>
    </w:p>
    <w:p w14:paraId="0DFDBA38" w14:textId="77777777" w:rsidR="00046465" w:rsidRDefault="008134EB">
      <w:pPr>
        <w:spacing w:before="126" w:line="244" w:lineRule="auto"/>
        <w:ind w:left="359" w:right="479"/>
        <w:rPr>
          <w:sz w:val="18"/>
        </w:rPr>
      </w:pPr>
      <w:r>
        <w:rPr>
          <w:position w:val="7"/>
          <w:sz w:val="14"/>
        </w:rPr>
        <w:t>44</w:t>
      </w:r>
      <w:r>
        <w:rPr>
          <w:sz w:val="18"/>
        </w:rPr>
        <w:t>Interest</w:t>
      </w:r>
      <w:r>
        <w:rPr>
          <w:spacing w:val="-1"/>
          <w:sz w:val="18"/>
        </w:rPr>
        <w:t xml:space="preserve"> </w:t>
      </w:r>
      <w:r>
        <w:rPr>
          <w:sz w:val="18"/>
        </w:rPr>
        <w:t>shall</w:t>
      </w:r>
      <w:r>
        <w:rPr>
          <w:spacing w:val="-1"/>
          <w:sz w:val="18"/>
        </w:rPr>
        <w:t xml:space="preserve"> </w:t>
      </w:r>
      <w:r>
        <w:rPr>
          <w:sz w:val="18"/>
        </w:rPr>
        <w:t>be</w:t>
      </w:r>
      <w:r>
        <w:rPr>
          <w:spacing w:val="-2"/>
          <w:sz w:val="18"/>
        </w:rPr>
        <w:t xml:space="preserve"> </w:t>
      </w:r>
      <w:r>
        <w:rPr>
          <w:sz w:val="18"/>
        </w:rPr>
        <w:t>calculated</w:t>
      </w:r>
      <w:r>
        <w:rPr>
          <w:spacing w:val="-2"/>
          <w:sz w:val="18"/>
        </w:rPr>
        <w:t xml:space="preserve"> </w:t>
      </w:r>
      <w:r>
        <w:rPr>
          <w:sz w:val="18"/>
        </w:rPr>
        <w:t>at</w:t>
      </w:r>
      <w:r>
        <w:rPr>
          <w:spacing w:val="-1"/>
          <w:sz w:val="18"/>
        </w:rPr>
        <w:t xml:space="preserve"> </w:t>
      </w:r>
      <w:r>
        <w:rPr>
          <w:sz w:val="18"/>
        </w:rPr>
        <w:t>the</w:t>
      </w:r>
      <w:r>
        <w:rPr>
          <w:spacing w:val="-2"/>
          <w:sz w:val="18"/>
        </w:rPr>
        <w:t xml:space="preserve"> </w:t>
      </w:r>
      <w:r>
        <w:rPr>
          <w:sz w:val="18"/>
        </w:rPr>
        <w:t>rate</w:t>
      </w:r>
      <w:r>
        <w:rPr>
          <w:spacing w:val="-2"/>
          <w:sz w:val="18"/>
        </w:rPr>
        <w:t xml:space="preserve"> </w:t>
      </w:r>
      <w:r>
        <w:rPr>
          <w:sz w:val="18"/>
        </w:rPr>
        <w:t>set</w:t>
      </w:r>
      <w:r>
        <w:rPr>
          <w:spacing w:val="-1"/>
          <w:sz w:val="18"/>
        </w:rPr>
        <w:t xml:space="preserve"> </w:t>
      </w:r>
      <w:r>
        <w:rPr>
          <w:sz w:val="18"/>
        </w:rPr>
        <w:t>by</w:t>
      </w:r>
      <w:r>
        <w:rPr>
          <w:spacing w:val="-1"/>
          <w:sz w:val="18"/>
        </w:rPr>
        <w:t xml:space="preserve"> </w:t>
      </w:r>
      <w:r>
        <w:rPr>
          <w:sz w:val="18"/>
        </w:rPr>
        <w:t>the</w:t>
      </w:r>
      <w:r>
        <w:rPr>
          <w:spacing w:val="-2"/>
          <w:sz w:val="18"/>
        </w:rPr>
        <w:t xml:space="preserve"> </w:t>
      </w:r>
      <w:r>
        <w:rPr>
          <w:sz w:val="18"/>
        </w:rPr>
        <w:t>Secretary</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Treasury</w:t>
      </w:r>
      <w:r>
        <w:rPr>
          <w:spacing w:val="-1"/>
          <w:sz w:val="18"/>
        </w:rPr>
        <w:t xml:space="preserve"> </w:t>
      </w:r>
      <w:r>
        <w:rPr>
          <w:sz w:val="18"/>
        </w:rPr>
        <w:t>under</w:t>
      </w:r>
      <w:r>
        <w:rPr>
          <w:spacing w:val="-1"/>
          <w:sz w:val="18"/>
        </w:rPr>
        <w:t xml:space="preserve"> </w:t>
      </w:r>
      <w:r>
        <w:rPr>
          <w:sz w:val="18"/>
        </w:rPr>
        <w:t>section</w:t>
      </w:r>
      <w:r>
        <w:rPr>
          <w:spacing w:val="-2"/>
          <w:sz w:val="18"/>
        </w:rPr>
        <w:t xml:space="preserve"> </w:t>
      </w:r>
      <w:r>
        <w:rPr>
          <w:sz w:val="18"/>
        </w:rPr>
        <w:t>12</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Contract</w:t>
      </w:r>
      <w:r>
        <w:rPr>
          <w:spacing w:val="-1"/>
          <w:sz w:val="18"/>
        </w:rPr>
        <w:t xml:space="preserve"> </w:t>
      </w:r>
      <w:r>
        <w:rPr>
          <w:sz w:val="18"/>
        </w:rPr>
        <w:t>Disputes</w:t>
      </w:r>
      <w:r>
        <w:rPr>
          <w:spacing w:val="-1"/>
          <w:sz w:val="18"/>
        </w:rPr>
        <w:t xml:space="preserve"> </w:t>
      </w:r>
      <w:r>
        <w:rPr>
          <w:sz w:val="18"/>
        </w:rPr>
        <w:t>Act</w:t>
      </w:r>
      <w:r>
        <w:rPr>
          <w:spacing w:val="-1"/>
          <w:sz w:val="18"/>
        </w:rPr>
        <w:t xml:space="preserve"> </w:t>
      </w:r>
      <w:r>
        <w:rPr>
          <w:sz w:val="18"/>
        </w:rPr>
        <w:t>of</w:t>
      </w:r>
      <w:r>
        <w:rPr>
          <w:spacing w:val="-1"/>
          <w:sz w:val="18"/>
        </w:rPr>
        <w:t xml:space="preserve"> </w:t>
      </w:r>
      <w:r>
        <w:rPr>
          <w:sz w:val="18"/>
        </w:rPr>
        <w:t>1978</w:t>
      </w:r>
      <w:r>
        <w:rPr>
          <w:spacing w:val="-2"/>
          <w:sz w:val="18"/>
        </w:rPr>
        <w:t xml:space="preserve"> </w:t>
      </w:r>
      <w:r>
        <w:rPr>
          <w:sz w:val="18"/>
        </w:rPr>
        <w:t>(41</w:t>
      </w:r>
      <w:r>
        <w:rPr>
          <w:spacing w:val="-1"/>
          <w:sz w:val="18"/>
        </w:rPr>
        <w:t xml:space="preserve"> </w:t>
      </w:r>
      <w:r>
        <w:rPr>
          <w:sz w:val="18"/>
        </w:rPr>
        <w:t>U.S.C.</w:t>
      </w:r>
      <w:r>
        <w:rPr>
          <w:spacing w:val="-1"/>
          <w:sz w:val="18"/>
        </w:rPr>
        <w:t xml:space="preserve"> </w:t>
      </w:r>
      <w:r>
        <w:rPr>
          <w:sz w:val="18"/>
        </w:rPr>
        <w:t>§</w:t>
      </w:r>
      <w:r>
        <w:rPr>
          <w:spacing w:val="-1"/>
          <w:sz w:val="18"/>
        </w:rPr>
        <w:t xml:space="preserve"> </w:t>
      </w:r>
      <w:r>
        <w:rPr>
          <w:sz w:val="18"/>
        </w:rPr>
        <w:t>7109)</w:t>
      </w:r>
      <w:r>
        <w:rPr>
          <w:spacing w:val="-1"/>
          <w:sz w:val="18"/>
        </w:rPr>
        <w:t xml:space="preserve"> </w:t>
      </w:r>
      <w:r>
        <w:rPr>
          <w:sz w:val="18"/>
        </w:rPr>
        <w:t>that</w:t>
      </w:r>
      <w:r>
        <w:rPr>
          <w:spacing w:val="-1"/>
          <w:sz w:val="18"/>
        </w:rPr>
        <w:t xml:space="preserve"> </w:t>
      </w:r>
      <w:r>
        <w:rPr>
          <w:sz w:val="18"/>
        </w:rPr>
        <w:t>is</w:t>
      </w:r>
      <w:r>
        <w:rPr>
          <w:spacing w:val="-1"/>
          <w:sz w:val="18"/>
        </w:rPr>
        <w:t xml:space="preserve"> </w:t>
      </w:r>
      <w:r>
        <w:rPr>
          <w:sz w:val="18"/>
        </w:rPr>
        <w:t>in</w:t>
      </w:r>
      <w:r>
        <w:rPr>
          <w:spacing w:val="-2"/>
          <w:sz w:val="18"/>
        </w:rPr>
        <w:t xml:space="preserve"> </w:t>
      </w:r>
      <w:r>
        <w:rPr>
          <w:sz w:val="18"/>
        </w:rPr>
        <w:t xml:space="preserve">effect at the time the entity accrues the obligation to pay a late payment interest penalty. 31 U.S.C. § 3902(a). The rates are published in the </w:t>
      </w:r>
      <w:r>
        <w:rPr>
          <w:i/>
          <w:sz w:val="18"/>
        </w:rPr>
        <w:t>Federal Register</w:t>
      </w:r>
      <w:r>
        <w:rPr>
          <w:sz w:val="18"/>
        </w:rPr>
        <w:t xml:space="preserve">. 31 U.S.C. § </w:t>
      </w:r>
      <w:r>
        <w:rPr>
          <w:spacing w:val="-2"/>
          <w:sz w:val="18"/>
        </w:rPr>
        <w:t>3902(a).</w:t>
      </w:r>
    </w:p>
    <w:p w14:paraId="0DFDBA39" w14:textId="77777777" w:rsidR="00046465" w:rsidRDefault="008134EB">
      <w:pPr>
        <w:spacing w:before="122" w:line="249" w:lineRule="auto"/>
        <w:ind w:left="359" w:right="422"/>
        <w:rPr>
          <w:sz w:val="18"/>
        </w:rPr>
      </w:pPr>
      <w:r>
        <w:rPr>
          <w:position w:val="7"/>
          <w:sz w:val="14"/>
        </w:rPr>
        <w:t>45</w:t>
      </w:r>
      <w:r>
        <w:rPr>
          <w:sz w:val="18"/>
        </w:rPr>
        <w:t>The</w:t>
      </w:r>
      <w:r>
        <w:rPr>
          <w:spacing w:val="-3"/>
          <w:sz w:val="18"/>
        </w:rPr>
        <w:t xml:space="preserve"> </w:t>
      </w:r>
      <w:r>
        <w:rPr>
          <w:sz w:val="18"/>
        </w:rPr>
        <w:t>temporary</w:t>
      </w:r>
      <w:r>
        <w:rPr>
          <w:spacing w:val="-1"/>
          <w:sz w:val="18"/>
        </w:rPr>
        <w:t xml:space="preserve"> </w:t>
      </w:r>
      <w:r>
        <w:rPr>
          <w:sz w:val="18"/>
        </w:rPr>
        <w:t>unavailability</w:t>
      </w:r>
      <w:r>
        <w:rPr>
          <w:spacing w:val="-2"/>
          <w:sz w:val="18"/>
        </w:rPr>
        <w:t xml:space="preserve"> </w:t>
      </w:r>
      <w:r>
        <w:rPr>
          <w:sz w:val="18"/>
        </w:rPr>
        <w:t>of</w:t>
      </w:r>
      <w:r>
        <w:rPr>
          <w:spacing w:val="-2"/>
          <w:sz w:val="18"/>
        </w:rPr>
        <w:t xml:space="preserve"> </w:t>
      </w:r>
      <w:r>
        <w:rPr>
          <w:sz w:val="18"/>
        </w:rPr>
        <w:t>funds</w:t>
      </w:r>
      <w:r>
        <w:rPr>
          <w:spacing w:val="-2"/>
          <w:sz w:val="18"/>
        </w:rPr>
        <w:t xml:space="preserve"> </w:t>
      </w:r>
      <w:r>
        <w:rPr>
          <w:sz w:val="18"/>
        </w:rPr>
        <w:t>to</w:t>
      </w:r>
      <w:r>
        <w:rPr>
          <w:spacing w:val="-3"/>
          <w:sz w:val="18"/>
        </w:rPr>
        <w:t xml:space="preserve"> </w:t>
      </w:r>
      <w:r>
        <w:rPr>
          <w:sz w:val="18"/>
        </w:rPr>
        <w:t>make</w:t>
      </w:r>
      <w:r>
        <w:rPr>
          <w:spacing w:val="-3"/>
          <w:sz w:val="18"/>
        </w:rPr>
        <w:t xml:space="preserve"> </w:t>
      </w:r>
      <w:r>
        <w:rPr>
          <w:sz w:val="18"/>
        </w:rPr>
        <w:t>a</w:t>
      </w:r>
      <w:r>
        <w:rPr>
          <w:spacing w:val="-3"/>
          <w:sz w:val="18"/>
        </w:rPr>
        <w:t xml:space="preserve"> </w:t>
      </w:r>
      <w:r>
        <w:rPr>
          <w:sz w:val="18"/>
        </w:rPr>
        <w:t>timely</w:t>
      </w:r>
      <w:r>
        <w:rPr>
          <w:spacing w:val="-2"/>
          <w:sz w:val="18"/>
        </w:rPr>
        <w:t xml:space="preserve"> </w:t>
      </w:r>
      <w:r>
        <w:rPr>
          <w:sz w:val="18"/>
        </w:rPr>
        <w:t>payment</w:t>
      </w:r>
      <w:r>
        <w:rPr>
          <w:spacing w:val="-2"/>
          <w:sz w:val="18"/>
        </w:rPr>
        <w:t xml:space="preserve"> </w:t>
      </w:r>
      <w:r>
        <w:rPr>
          <w:sz w:val="18"/>
        </w:rPr>
        <w:t>due</w:t>
      </w:r>
      <w:r>
        <w:rPr>
          <w:spacing w:val="-3"/>
          <w:sz w:val="18"/>
        </w:rPr>
        <w:t xml:space="preserve"> </w:t>
      </w:r>
      <w:r>
        <w:rPr>
          <w:sz w:val="18"/>
        </w:rPr>
        <w:t>for</w:t>
      </w:r>
      <w:r>
        <w:rPr>
          <w:spacing w:val="-2"/>
          <w:sz w:val="18"/>
        </w:rPr>
        <w:t xml:space="preserve"> </w:t>
      </w:r>
      <w:r>
        <w:rPr>
          <w:sz w:val="18"/>
        </w:rPr>
        <w:t>property</w:t>
      </w:r>
      <w:r>
        <w:rPr>
          <w:spacing w:val="-2"/>
          <w:sz w:val="18"/>
        </w:rPr>
        <w:t xml:space="preserve"> </w:t>
      </w:r>
      <w:r>
        <w:rPr>
          <w:sz w:val="18"/>
        </w:rPr>
        <w:t>or</w:t>
      </w:r>
      <w:r>
        <w:rPr>
          <w:spacing w:val="-2"/>
          <w:sz w:val="18"/>
        </w:rPr>
        <w:t xml:space="preserve"> </w:t>
      </w:r>
      <w:r>
        <w:rPr>
          <w:sz w:val="18"/>
        </w:rPr>
        <w:t>services</w:t>
      </w:r>
      <w:r>
        <w:rPr>
          <w:spacing w:val="-2"/>
          <w:sz w:val="18"/>
        </w:rPr>
        <w:t xml:space="preserve"> </w:t>
      </w:r>
      <w:r>
        <w:rPr>
          <w:sz w:val="18"/>
        </w:rPr>
        <w:t>does</w:t>
      </w:r>
      <w:r>
        <w:rPr>
          <w:spacing w:val="-2"/>
          <w:sz w:val="18"/>
        </w:rPr>
        <w:t xml:space="preserve"> </w:t>
      </w:r>
      <w:r>
        <w:rPr>
          <w:sz w:val="18"/>
        </w:rPr>
        <w:t>not</w:t>
      </w:r>
      <w:r>
        <w:rPr>
          <w:spacing w:val="-2"/>
          <w:sz w:val="18"/>
        </w:rPr>
        <w:t xml:space="preserve"> </w:t>
      </w:r>
      <w:r>
        <w:rPr>
          <w:sz w:val="18"/>
        </w:rPr>
        <w:t>relieve</w:t>
      </w:r>
      <w:r>
        <w:rPr>
          <w:spacing w:val="-3"/>
          <w:sz w:val="18"/>
        </w:rPr>
        <w:t xml:space="preserve"> </w:t>
      </w:r>
      <w:r>
        <w:rPr>
          <w:sz w:val="18"/>
        </w:rPr>
        <w:t>the</w:t>
      </w:r>
      <w:r>
        <w:rPr>
          <w:spacing w:val="-3"/>
          <w:sz w:val="18"/>
        </w:rPr>
        <w:t xml:space="preserve"> </w:t>
      </w:r>
      <w:r>
        <w:rPr>
          <w:sz w:val="18"/>
        </w:rPr>
        <w:t>entity</w:t>
      </w:r>
      <w:r>
        <w:rPr>
          <w:spacing w:val="-2"/>
          <w:sz w:val="18"/>
        </w:rPr>
        <w:t xml:space="preserve"> </w:t>
      </w:r>
      <w:r>
        <w:rPr>
          <w:sz w:val="18"/>
        </w:rPr>
        <w:t>head</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obligation</w:t>
      </w:r>
      <w:r>
        <w:rPr>
          <w:spacing w:val="-3"/>
          <w:sz w:val="18"/>
        </w:rPr>
        <w:t xml:space="preserve"> </w:t>
      </w:r>
      <w:r>
        <w:rPr>
          <w:sz w:val="18"/>
        </w:rPr>
        <w:t>to</w:t>
      </w:r>
      <w:r>
        <w:rPr>
          <w:spacing w:val="-3"/>
          <w:sz w:val="18"/>
        </w:rPr>
        <w:t xml:space="preserve"> </w:t>
      </w:r>
      <w:r>
        <w:rPr>
          <w:sz w:val="18"/>
        </w:rPr>
        <w:t>pay</w:t>
      </w:r>
      <w:r>
        <w:rPr>
          <w:spacing w:val="-1"/>
          <w:sz w:val="18"/>
        </w:rPr>
        <w:t xml:space="preserve"> </w:t>
      </w:r>
      <w:r>
        <w:rPr>
          <w:sz w:val="18"/>
        </w:rPr>
        <w:t>interest</w:t>
      </w:r>
      <w:r>
        <w:rPr>
          <w:spacing w:val="-2"/>
          <w:sz w:val="18"/>
        </w:rPr>
        <w:t xml:space="preserve"> </w:t>
      </w:r>
      <w:r>
        <w:rPr>
          <w:sz w:val="18"/>
        </w:rPr>
        <w:t>penalties under this law. 31 U.S.C. § 3902(d).</w:t>
      </w:r>
    </w:p>
    <w:p w14:paraId="0DFDBA3A" w14:textId="77777777" w:rsidR="00046465" w:rsidRDefault="008134EB">
      <w:pPr>
        <w:spacing w:before="116" w:line="249" w:lineRule="auto"/>
        <w:ind w:left="360" w:hanging="1"/>
        <w:rPr>
          <w:sz w:val="18"/>
        </w:rPr>
      </w:pPr>
      <w:r>
        <w:rPr>
          <w:position w:val="7"/>
          <w:sz w:val="14"/>
        </w:rPr>
        <w:t>46</w:t>
      </w:r>
      <w:r>
        <w:rPr>
          <w:sz w:val="18"/>
        </w:rPr>
        <w:t>An</w:t>
      </w:r>
      <w:r>
        <w:rPr>
          <w:spacing w:val="-3"/>
          <w:sz w:val="18"/>
        </w:rPr>
        <w:t xml:space="preserve"> </w:t>
      </w:r>
      <w:r>
        <w:rPr>
          <w:sz w:val="18"/>
        </w:rPr>
        <w:t>interest</w:t>
      </w:r>
      <w:r>
        <w:rPr>
          <w:spacing w:val="-2"/>
          <w:sz w:val="18"/>
        </w:rPr>
        <w:t xml:space="preserve"> </w:t>
      </w:r>
      <w:r>
        <w:rPr>
          <w:sz w:val="18"/>
        </w:rPr>
        <w:t>penalty</w:t>
      </w:r>
      <w:r>
        <w:rPr>
          <w:spacing w:val="-2"/>
          <w:sz w:val="18"/>
        </w:rPr>
        <w:t xml:space="preserve"> </w:t>
      </w:r>
      <w:r>
        <w:rPr>
          <w:sz w:val="18"/>
        </w:rPr>
        <w:t>not</w:t>
      </w:r>
      <w:r>
        <w:rPr>
          <w:spacing w:val="-2"/>
          <w:sz w:val="18"/>
        </w:rPr>
        <w:t xml:space="preserve"> </w:t>
      </w:r>
      <w:r>
        <w:rPr>
          <w:sz w:val="18"/>
        </w:rPr>
        <w:t>paid</w:t>
      </w:r>
      <w:r>
        <w:rPr>
          <w:spacing w:val="-3"/>
          <w:sz w:val="18"/>
        </w:rPr>
        <w:t xml:space="preserve"> </w:t>
      </w:r>
      <w:r>
        <w:rPr>
          <w:sz w:val="18"/>
        </w:rPr>
        <w:t>after</w:t>
      </w:r>
      <w:r>
        <w:rPr>
          <w:spacing w:val="-2"/>
          <w:sz w:val="18"/>
        </w:rPr>
        <w:t xml:space="preserve"> </w:t>
      </w:r>
      <w:r>
        <w:rPr>
          <w:sz w:val="18"/>
        </w:rPr>
        <w:t>any</w:t>
      </w:r>
      <w:r>
        <w:rPr>
          <w:spacing w:val="-2"/>
          <w:sz w:val="18"/>
        </w:rPr>
        <w:t xml:space="preserve"> </w:t>
      </w:r>
      <w:r>
        <w:rPr>
          <w:sz w:val="18"/>
        </w:rPr>
        <w:t>30-day</w:t>
      </w:r>
      <w:r>
        <w:rPr>
          <w:spacing w:val="-1"/>
          <w:sz w:val="18"/>
        </w:rPr>
        <w:t xml:space="preserve"> </w:t>
      </w:r>
      <w:r>
        <w:rPr>
          <w:sz w:val="18"/>
        </w:rPr>
        <w:t>period</w:t>
      </w:r>
      <w:r>
        <w:rPr>
          <w:spacing w:val="-3"/>
          <w:sz w:val="18"/>
        </w:rPr>
        <w:t xml:space="preserve"> </w:t>
      </w:r>
      <w:r>
        <w:rPr>
          <w:sz w:val="18"/>
        </w:rPr>
        <w:t>shall</w:t>
      </w:r>
      <w:r>
        <w:rPr>
          <w:spacing w:val="-2"/>
          <w:sz w:val="18"/>
        </w:rPr>
        <w:t xml:space="preserve"> </w:t>
      </w:r>
      <w:r>
        <w:rPr>
          <w:sz w:val="18"/>
        </w:rPr>
        <w:t>be</w:t>
      </w:r>
      <w:r>
        <w:rPr>
          <w:spacing w:val="-3"/>
          <w:sz w:val="18"/>
        </w:rPr>
        <w:t xml:space="preserve"> </w:t>
      </w:r>
      <w:r>
        <w:rPr>
          <w:sz w:val="18"/>
        </w:rPr>
        <w:t>added</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principal</w:t>
      </w:r>
      <w:r>
        <w:rPr>
          <w:spacing w:val="-2"/>
          <w:sz w:val="18"/>
        </w:rPr>
        <w:t xml:space="preserve"> </w:t>
      </w:r>
      <w:r>
        <w:rPr>
          <w:sz w:val="18"/>
        </w:rPr>
        <w:t>amount</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debt,</w:t>
      </w:r>
      <w:r>
        <w:rPr>
          <w:spacing w:val="-2"/>
          <w:sz w:val="18"/>
        </w:rPr>
        <w:t xml:space="preserve"> </w:t>
      </w:r>
      <w:r>
        <w:rPr>
          <w:sz w:val="18"/>
        </w:rPr>
        <w:t>and</w:t>
      </w:r>
      <w:r>
        <w:rPr>
          <w:spacing w:val="-3"/>
          <w:sz w:val="18"/>
        </w:rPr>
        <w:t xml:space="preserve"> </w:t>
      </w:r>
      <w:r>
        <w:rPr>
          <w:sz w:val="18"/>
        </w:rPr>
        <w:t>a</w:t>
      </w:r>
      <w:r>
        <w:rPr>
          <w:spacing w:val="-3"/>
          <w:sz w:val="18"/>
        </w:rPr>
        <w:t xml:space="preserve"> </w:t>
      </w:r>
      <w:r>
        <w:rPr>
          <w:sz w:val="18"/>
        </w:rPr>
        <w:t>penalty</w:t>
      </w:r>
      <w:r>
        <w:rPr>
          <w:spacing w:val="-2"/>
          <w:sz w:val="18"/>
        </w:rPr>
        <w:t xml:space="preserve"> </w:t>
      </w:r>
      <w:r>
        <w:rPr>
          <w:sz w:val="18"/>
        </w:rPr>
        <w:t>accrues</w:t>
      </w:r>
      <w:r>
        <w:rPr>
          <w:spacing w:val="-2"/>
          <w:sz w:val="18"/>
        </w:rPr>
        <w:t xml:space="preserve"> </w:t>
      </w:r>
      <w:r>
        <w:rPr>
          <w:sz w:val="18"/>
        </w:rPr>
        <w:t>thereafter</w:t>
      </w:r>
      <w:r>
        <w:rPr>
          <w:spacing w:val="-2"/>
          <w:sz w:val="18"/>
        </w:rPr>
        <w:t xml:space="preserve"> </w:t>
      </w:r>
      <w:r>
        <w:rPr>
          <w:sz w:val="18"/>
        </w:rPr>
        <w:t>on</w:t>
      </w:r>
      <w:r>
        <w:rPr>
          <w:spacing w:val="-3"/>
          <w:sz w:val="18"/>
        </w:rPr>
        <w:t xml:space="preserve"> </w:t>
      </w:r>
      <w:r>
        <w:rPr>
          <w:sz w:val="18"/>
        </w:rPr>
        <w:t>the</w:t>
      </w:r>
      <w:r>
        <w:rPr>
          <w:spacing w:val="-3"/>
          <w:sz w:val="18"/>
        </w:rPr>
        <w:t xml:space="preserve"> </w:t>
      </w:r>
      <w:r>
        <w:rPr>
          <w:sz w:val="18"/>
        </w:rPr>
        <w:t>combined</w:t>
      </w:r>
      <w:r>
        <w:rPr>
          <w:spacing w:val="-3"/>
          <w:sz w:val="18"/>
        </w:rPr>
        <w:t xml:space="preserve"> </w:t>
      </w:r>
      <w:r>
        <w:rPr>
          <w:sz w:val="18"/>
        </w:rPr>
        <w:t>amount</w:t>
      </w:r>
      <w:r>
        <w:rPr>
          <w:spacing w:val="-2"/>
          <w:sz w:val="18"/>
        </w:rPr>
        <w:t xml:space="preserve"> </w:t>
      </w:r>
      <w:r>
        <w:rPr>
          <w:sz w:val="18"/>
        </w:rPr>
        <w:t>of principal and interest. 31 U.S.C. § 3902(e).</w:t>
      </w:r>
    </w:p>
    <w:p w14:paraId="0DFDBA3B" w14:textId="77777777" w:rsidR="00046465" w:rsidRDefault="008134EB">
      <w:pPr>
        <w:spacing w:before="118"/>
        <w:ind w:left="360"/>
        <w:rPr>
          <w:sz w:val="18"/>
        </w:rPr>
      </w:pPr>
      <w:r>
        <w:rPr>
          <w:position w:val="7"/>
          <w:sz w:val="14"/>
        </w:rPr>
        <w:t>47</w:t>
      </w:r>
      <w:r>
        <w:rPr>
          <w:sz w:val="18"/>
        </w:rPr>
        <w:t>The</w:t>
      </w:r>
      <w:r>
        <w:rPr>
          <w:spacing w:val="-6"/>
          <w:sz w:val="18"/>
        </w:rPr>
        <w:t xml:space="preserve"> </w:t>
      </w:r>
      <w:r>
        <w:rPr>
          <w:sz w:val="18"/>
        </w:rPr>
        <w:t>Prompt</w:t>
      </w:r>
      <w:r>
        <w:rPr>
          <w:spacing w:val="-2"/>
          <w:sz w:val="18"/>
        </w:rPr>
        <w:t xml:space="preserve"> </w:t>
      </w:r>
      <w:r>
        <w:rPr>
          <w:sz w:val="18"/>
        </w:rPr>
        <w:t>Payment</w:t>
      </w:r>
      <w:r>
        <w:rPr>
          <w:spacing w:val="-3"/>
          <w:sz w:val="18"/>
        </w:rPr>
        <w:t xml:space="preserve"> </w:t>
      </w:r>
      <w:r>
        <w:rPr>
          <w:sz w:val="18"/>
        </w:rPr>
        <w:t>Act</w:t>
      </w:r>
      <w:r>
        <w:rPr>
          <w:spacing w:val="-2"/>
          <w:sz w:val="18"/>
        </w:rPr>
        <w:t xml:space="preserve"> </w:t>
      </w:r>
      <w:r>
        <w:rPr>
          <w:sz w:val="18"/>
        </w:rPr>
        <w:t>does</w:t>
      </w:r>
      <w:r>
        <w:rPr>
          <w:spacing w:val="-3"/>
          <w:sz w:val="18"/>
        </w:rPr>
        <w:t xml:space="preserve"> </w:t>
      </w:r>
      <w:r>
        <w:rPr>
          <w:sz w:val="18"/>
        </w:rPr>
        <w:t>not</w:t>
      </w:r>
      <w:r>
        <w:rPr>
          <w:spacing w:val="-2"/>
          <w:sz w:val="18"/>
        </w:rPr>
        <w:t xml:space="preserve"> </w:t>
      </w:r>
      <w:r>
        <w:rPr>
          <w:sz w:val="18"/>
        </w:rPr>
        <w:t>authorize</w:t>
      </w:r>
      <w:r>
        <w:rPr>
          <w:spacing w:val="-1"/>
          <w:sz w:val="18"/>
        </w:rPr>
        <w:t xml:space="preserve"> </w:t>
      </w:r>
      <w:r>
        <w:rPr>
          <w:sz w:val="18"/>
        </w:rPr>
        <w:t>the</w:t>
      </w:r>
      <w:r>
        <w:rPr>
          <w:spacing w:val="-4"/>
          <w:sz w:val="18"/>
        </w:rPr>
        <w:t xml:space="preserve"> </w:t>
      </w:r>
      <w:r>
        <w:rPr>
          <w:sz w:val="18"/>
        </w:rPr>
        <w:t>appropriation</w:t>
      </w:r>
      <w:r>
        <w:rPr>
          <w:spacing w:val="-3"/>
          <w:sz w:val="18"/>
        </w:rPr>
        <w:t xml:space="preserve"> </w:t>
      </w:r>
      <w:r>
        <w:rPr>
          <w:sz w:val="18"/>
        </w:rPr>
        <w:t>of</w:t>
      </w:r>
      <w:r>
        <w:rPr>
          <w:spacing w:val="-3"/>
          <w:sz w:val="18"/>
        </w:rPr>
        <w:t xml:space="preserve"> </w:t>
      </w:r>
      <w:r>
        <w:rPr>
          <w:sz w:val="18"/>
        </w:rPr>
        <w:t>additional</w:t>
      </w:r>
      <w:r>
        <w:rPr>
          <w:spacing w:val="-1"/>
          <w:sz w:val="18"/>
        </w:rPr>
        <w:t xml:space="preserve"> </w:t>
      </w:r>
      <w:r>
        <w:rPr>
          <w:sz w:val="18"/>
        </w:rPr>
        <w:t>amounts</w:t>
      </w:r>
      <w:r>
        <w:rPr>
          <w:spacing w:val="-2"/>
          <w:sz w:val="18"/>
        </w:rPr>
        <w:t xml:space="preserve"> </w:t>
      </w:r>
      <w:r>
        <w:rPr>
          <w:sz w:val="18"/>
        </w:rPr>
        <w:t>to</w:t>
      </w:r>
      <w:r>
        <w:rPr>
          <w:spacing w:val="-4"/>
          <w:sz w:val="18"/>
        </w:rPr>
        <w:t xml:space="preserve"> </w:t>
      </w:r>
      <w:r>
        <w:rPr>
          <w:sz w:val="18"/>
        </w:rPr>
        <w:t>pay</w:t>
      </w:r>
      <w:r>
        <w:rPr>
          <w:spacing w:val="-2"/>
          <w:sz w:val="18"/>
        </w:rPr>
        <w:t xml:space="preserve"> </w:t>
      </w:r>
      <w:r>
        <w:rPr>
          <w:sz w:val="18"/>
        </w:rPr>
        <w:t>a</w:t>
      </w:r>
      <w:r>
        <w:rPr>
          <w:spacing w:val="-4"/>
          <w:sz w:val="18"/>
        </w:rPr>
        <w:t xml:space="preserve"> </w:t>
      </w:r>
      <w:r>
        <w:rPr>
          <w:sz w:val="18"/>
        </w:rPr>
        <w:t>late</w:t>
      </w:r>
      <w:r>
        <w:rPr>
          <w:spacing w:val="-3"/>
          <w:sz w:val="18"/>
        </w:rPr>
        <w:t xml:space="preserve"> </w:t>
      </w:r>
      <w:r>
        <w:rPr>
          <w:sz w:val="18"/>
        </w:rPr>
        <w:t>payment</w:t>
      </w:r>
      <w:r>
        <w:rPr>
          <w:spacing w:val="-2"/>
          <w:sz w:val="18"/>
        </w:rPr>
        <w:t xml:space="preserve"> </w:t>
      </w:r>
      <w:r>
        <w:rPr>
          <w:sz w:val="18"/>
        </w:rPr>
        <w:t>interest</w:t>
      </w:r>
      <w:r>
        <w:rPr>
          <w:spacing w:val="-3"/>
          <w:sz w:val="18"/>
        </w:rPr>
        <w:t xml:space="preserve"> </w:t>
      </w:r>
      <w:r>
        <w:rPr>
          <w:sz w:val="18"/>
        </w:rPr>
        <w:t>penalty.</w:t>
      </w:r>
      <w:r>
        <w:rPr>
          <w:spacing w:val="-2"/>
          <w:sz w:val="18"/>
        </w:rPr>
        <w:t xml:space="preserve"> </w:t>
      </w:r>
      <w:r>
        <w:rPr>
          <w:sz w:val="18"/>
        </w:rPr>
        <w:t>31</w:t>
      </w:r>
      <w:r>
        <w:rPr>
          <w:spacing w:val="-4"/>
          <w:sz w:val="18"/>
        </w:rPr>
        <w:t xml:space="preserve"> </w:t>
      </w:r>
      <w:r>
        <w:rPr>
          <w:sz w:val="18"/>
        </w:rPr>
        <w:t>U.S.C. §</w:t>
      </w:r>
      <w:r>
        <w:rPr>
          <w:spacing w:val="-3"/>
          <w:sz w:val="18"/>
        </w:rPr>
        <w:t xml:space="preserve"> </w:t>
      </w:r>
      <w:r>
        <w:rPr>
          <w:spacing w:val="-2"/>
          <w:sz w:val="18"/>
        </w:rPr>
        <w:t>3902(f).</w:t>
      </w:r>
    </w:p>
    <w:p w14:paraId="0DFDBA3C" w14:textId="77777777" w:rsidR="00046465" w:rsidRDefault="00046465">
      <w:pPr>
        <w:rPr>
          <w:sz w:val="18"/>
        </w:rPr>
        <w:sectPr w:rsidR="00046465">
          <w:pgSz w:w="15840" w:h="12240" w:orient="landscape"/>
          <w:pgMar w:top="1380" w:right="1080" w:bottom="940" w:left="720" w:header="721" w:footer="742" w:gutter="0"/>
          <w:cols w:space="720"/>
        </w:sectPr>
      </w:pPr>
    </w:p>
    <w:p w14:paraId="0DFDBA3D" w14:textId="77777777" w:rsidR="00046465" w:rsidRDefault="00046465">
      <w:pPr>
        <w:pStyle w:val="BodyText"/>
        <w:spacing w:before="9"/>
        <w:rPr>
          <w:sz w:val="7"/>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564"/>
        <w:gridCol w:w="1980"/>
        <w:gridCol w:w="2201"/>
        <w:gridCol w:w="1517"/>
        <w:gridCol w:w="1488"/>
        <w:gridCol w:w="2534"/>
      </w:tblGrid>
      <w:tr w:rsidR="00046465" w14:paraId="0DFDBA41" w14:textId="77777777">
        <w:trPr>
          <w:trHeight w:val="1574"/>
        </w:trPr>
        <w:tc>
          <w:tcPr>
            <w:tcW w:w="13284" w:type="dxa"/>
            <w:gridSpan w:val="6"/>
          </w:tcPr>
          <w:p w14:paraId="0DFDBA3E" w14:textId="77777777" w:rsidR="00046465" w:rsidRDefault="008134EB">
            <w:pPr>
              <w:pStyle w:val="TableParagraph"/>
              <w:tabs>
                <w:tab w:val="left" w:pos="9257"/>
              </w:tabs>
              <w:spacing w:before="144"/>
              <w:ind w:right="1936"/>
              <w:jc w:val="center"/>
            </w:pPr>
            <w:r>
              <w:t>Name</w:t>
            </w:r>
            <w:r>
              <w:rPr>
                <w:spacing w:val="-5"/>
              </w:rPr>
              <w:t xml:space="preserve"> </w:t>
            </w:r>
            <w:r>
              <w:t>of</w:t>
            </w:r>
            <w:r>
              <w:rPr>
                <w:spacing w:val="-5"/>
              </w:rPr>
              <w:t xml:space="preserve"> </w:t>
            </w:r>
            <w:r>
              <w:rPr>
                <w:spacing w:val="-2"/>
              </w:rPr>
              <w:t>entity:</w:t>
            </w:r>
            <w:r>
              <w:tab/>
            </w:r>
            <w:bookmarkStart w:id="221" w:name="_bookmark114"/>
            <w:bookmarkEnd w:id="221"/>
            <w:r>
              <w:t>Prepared</w:t>
            </w:r>
            <w:r>
              <w:rPr>
                <w:spacing w:val="-11"/>
              </w:rPr>
              <w:t xml:space="preserve"> </w:t>
            </w:r>
            <w:r>
              <w:rPr>
                <w:spacing w:val="-5"/>
              </w:rPr>
              <w:t>by:</w:t>
            </w:r>
          </w:p>
          <w:p w14:paraId="0DFDBA3F" w14:textId="77777777" w:rsidR="00046465" w:rsidRDefault="008134EB">
            <w:pPr>
              <w:pStyle w:val="TableParagraph"/>
              <w:spacing w:before="12"/>
              <w:ind w:left="1957" w:right="1936"/>
              <w:jc w:val="center"/>
              <w:rPr>
                <w:b/>
                <w:sz w:val="24"/>
              </w:rPr>
            </w:pPr>
            <w:r>
              <w:rPr>
                <w:b/>
                <w:noProof/>
                <w:sz w:val="24"/>
              </w:rPr>
              <mc:AlternateContent>
                <mc:Choice Requires="wpg">
                  <w:drawing>
                    <wp:anchor distT="0" distB="0" distL="0" distR="0" simplePos="0" relativeHeight="476146176" behindDoc="1" locked="0" layoutInCell="1" allowOverlap="1" wp14:anchorId="0DFDD679" wp14:editId="0DFDD67A">
                      <wp:simplePos x="0" y="0"/>
                      <wp:positionH relativeFrom="column">
                        <wp:posOffset>7007352</wp:posOffset>
                      </wp:positionH>
                      <wp:positionV relativeFrom="paragraph">
                        <wp:posOffset>91882</wp:posOffset>
                      </wp:positionV>
                      <wp:extent cx="1359535" cy="6350"/>
                      <wp:effectExtent l="0" t="0" r="0" b="0"/>
                      <wp:wrapNone/>
                      <wp:docPr id="677" name="Group 6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6350"/>
                                <a:chOff x="0" y="0"/>
                                <a:chExt cx="1359535" cy="6350"/>
                              </a:xfrm>
                            </wpg:grpSpPr>
                            <wps:wsp>
                              <wps:cNvPr id="678" name="Graphic 678"/>
                              <wps:cNvSpPr/>
                              <wps:spPr>
                                <a:xfrm>
                                  <a:off x="0" y="0"/>
                                  <a:ext cx="1359535" cy="6350"/>
                                </a:xfrm>
                                <a:custGeom>
                                  <a:avLst/>
                                  <a:gdLst/>
                                  <a:ahLst/>
                                  <a:cxnLst/>
                                  <a:rect l="l" t="t" r="r" b="b"/>
                                  <a:pathLst>
                                    <a:path w="1359535" h="6350">
                                      <a:moveTo>
                                        <a:pt x="1359407" y="0"/>
                                      </a:moveTo>
                                      <a:lnTo>
                                        <a:pt x="0" y="0"/>
                                      </a:lnTo>
                                      <a:lnTo>
                                        <a:pt x="0" y="6108"/>
                                      </a:lnTo>
                                      <a:lnTo>
                                        <a:pt x="1359407" y="6108"/>
                                      </a:lnTo>
                                      <a:lnTo>
                                        <a:pt x="1359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1942CFF" id="Group 677" o:spid="_x0000_s1026" style="position:absolute;margin-left:551.75pt;margin-top:7.25pt;width:107.05pt;height:.5pt;z-index:-27170304;mso-wrap-distance-left:0;mso-wrap-distance-right:0" coordsize="13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">
                      <v:shape id="Graphic 678" o:spid="_x0000_s1027" style="position:absolute;width:13595;height:63;visibility:visible;mso-wrap-style:square;v-text-anchor:top" coordsize="1359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" path="m1359407,l,,,6108r1359407,l1359407,xe" fillcolor="black" stroked="f">
                        <v:path arrowok="t"/>
                      </v:shape>
                    </v:group>
                  </w:pict>
                </mc:Fallback>
              </mc:AlternateContent>
            </w:r>
            <w:r>
              <w:rPr>
                <w:b/>
                <w:noProof/>
                <w:sz w:val="24"/>
              </w:rPr>
              <mc:AlternateContent>
                <mc:Choice Requires="wpg">
                  <w:drawing>
                    <wp:anchor distT="0" distB="0" distL="0" distR="0" simplePos="0" relativeHeight="476147200" behindDoc="1" locked="0" layoutInCell="1" allowOverlap="1" wp14:anchorId="0DFDD67B" wp14:editId="0DFDD67C">
                      <wp:simplePos x="0" y="0"/>
                      <wp:positionH relativeFrom="column">
                        <wp:posOffset>7007352</wp:posOffset>
                      </wp:positionH>
                      <wp:positionV relativeFrom="paragraph">
                        <wp:posOffset>441640</wp:posOffset>
                      </wp:positionV>
                      <wp:extent cx="1359535" cy="6350"/>
                      <wp:effectExtent l="0" t="0" r="0" b="0"/>
                      <wp:wrapNone/>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9535" cy="6350"/>
                                <a:chOff x="0" y="0"/>
                                <a:chExt cx="1359535" cy="6350"/>
                              </a:xfrm>
                            </wpg:grpSpPr>
                            <wps:wsp>
                              <wps:cNvPr id="680" name="Graphic 680"/>
                              <wps:cNvSpPr/>
                              <wps:spPr>
                                <a:xfrm>
                                  <a:off x="0" y="0"/>
                                  <a:ext cx="1359535" cy="6350"/>
                                </a:xfrm>
                                <a:custGeom>
                                  <a:avLst/>
                                  <a:gdLst/>
                                  <a:ahLst/>
                                  <a:cxnLst/>
                                  <a:rect l="l" t="t" r="r" b="b"/>
                                  <a:pathLst>
                                    <a:path w="1359535" h="6350">
                                      <a:moveTo>
                                        <a:pt x="1359407" y="0"/>
                                      </a:moveTo>
                                      <a:lnTo>
                                        <a:pt x="0" y="0"/>
                                      </a:lnTo>
                                      <a:lnTo>
                                        <a:pt x="0" y="6108"/>
                                      </a:lnTo>
                                      <a:lnTo>
                                        <a:pt x="1359407" y="6108"/>
                                      </a:lnTo>
                                      <a:lnTo>
                                        <a:pt x="135940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097A73B" id="Group 679" o:spid="_x0000_s1026" style="position:absolute;margin-left:551.75pt;margin-top:34.75pt;width:107.05pt;height:.5pt;z-index:-27169280;mso-wrap-distance-left:0;mso-wrap-distance-right:0" coordsize="1359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">
                      <v:shape id="Graphic 680" o:spid="_x0000_s1027" style="position:absolute;width:13595;height:63;visibility:visible;mso-wrap-style:square;v-text-anchor:top" coordsize="135953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" path="m1359407,l,,,6108r1359407,l1359407,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A40" w14:textId="77777777" w:rsidR="00046465" w:rsidRDefault="008134EB">
            <w:pPr>
              <w:pStyle w:val="TableParagraph"/>
              <w:tabs>
                <w:tab w:val="left" w:pos="8951"/>
              </w:tabs>
              <w:spacing w:before="10"/>
              <w:ind w:right="1691"/>
              <w:jc w:val="center"/>
            </w:pPr>
            <w:r>
              <w:rPr>
                <w:noProof/>
              </w:rPr>
              <mc:AlternateContent>
                <mc:Choice Requires="wpg">
                  <w:drawing>
                    <wp:anchor distT="0" distB="0" distL="0" distR="0" simplePos="0" relativeHeight="476145664" behindDoc="1" locked="0" layoutInCell="1" allowOverlap="1" wp14:anchorId="0DFDD67D" wp14:editId="0DFDD67E">
                      <wp:simplePos x="0" y="0"/>
                      <wp:positionH relativeFrom="column">
                        <wp:posOffset>1267967</wp:posOffset>
                      </wp:positionH>
                      <wp:positionV relativeFrom="paragraph">
                        <wp:posOffset>-91198</wp:posOffset>
                      </wp:positionV>
                      <wp:extent cx="1195705" cy="6350"/>
                      <wp:effectExtent l="0" t="0" r="0" b="0"/>
                      <wp:wrapNone/>
                      <wp:docPr id="681"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705" cy="6350"/>
                                <a:chOff x="0" y="0"/>
                                <a:chExt cx="1195705" cy="6350"/>
                              </a:xfrm>
                            </wpg:grpSpPr>
                            <wps:wsp>
                              <wps:cNvPr id="682" name="Graphic 682"/>
                              <wps:cNvSpPr/>
                              <wps:spPr>
                                <a:xfrm>
                                  <a:off x="0" y="0"/>
                                  <a:ext cx="1195705" cy="6350"/>
                                </a:xfrm>
                                <a:custGeom>
                                  <a:avLst/>
                                  <a:gdLst/>
                                  <a:ahLst/>
                                  <a:cxnLst/>
                                  <a:rect l="l" t="t" r="r" b="b"/>
                                  <a:pathLst>
                                    <a:path w="1195705" h="6350">
                                      <a:moveTo>
                                        <a:pt x="1195577" y="0"/>
                                      </a:moveTo>
                                      <a:lnTo>
                                        <a:pt x="0" y="0"/>
                                      </a:lnTo>
                                      <a:lnTo>
                                        <a:pt x="0" y="6108"/>
                                      </a:lnTo>
                                      <a:lnTo>
                                        <a:pt x="1195577" y="6108"/>
                                      </a:lnTo>
                                      <a:lnTo>
                                        <a:pt x="11955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ED04669" id="Group 681" o:spid="_x0000_s1026" style="position:absolute;margin-left:99.85pt;margin-top:-7.2pt;width:94.15pt;height:.5pt;z-index:-27170816;mso-wrap-distance-left:0;mso-wrap-distance-right:0" coordsize="11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">
                      <v:shape id="Graphic 682" o:spid="_x0000_s1027" style="position:absolute;width:11957;height:63;visibility:visible;mso-wrap-style:square;v-text-anchor:top" coordsize="1195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" path="m1195577,l,,,6108r1195577,l1195577,xe" fillcolor="black" stroked="f">
                        <v:path arrowok="t"/>
                      </v:shape>
                    </v:group>
                  </w:pict>
                </mc:Fallback>
              </mc:AlternateContent>
            </w:r>
            <w:r>
              <w:rPr>
                <w:noProof/>
              </w:rPr>
              <mc:AlternateContent>
                <mc:Choice Requires="wpg">
                  <w:drawing>
                    <wp:anchor distT="0" distB="0" distL="0" distR="0" simplePos="0" relativeHeight="476146688" behindDoc="1" locked="0" layoutInCell="1" allowOverlap="1" wp14:anchorId="0DFDD67F" wp14:editId="0DFDD680">
                      <wp:simplePos x="0" y="0"/>
                      <wp:positionH relativeFrom="column">
                        <wp:posOffset>1267967</wp:posOffset>
                      </wp:positionH>
                      <wp:positionV relativeFrom="paragraph">
                        <wp:posOffset>258559</wp:posOffset>
                      </wp:positionV>
                      <wp:extent cx="1195705" cy="6350"/>
                      <wp:effectExtent l="0" t="0" r="0" b="0"/>
                      <wp:wrapNone/>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95705" cy="6350"/>
                                <a:chOff x="0" y="0"/>
                                <a:chExt cx="1195705" cy="6350"/>
                              </a:xfrm>
                            </wpg:grpSpPr>
                            <wps:wsp>
                              <wps:cNvPr id="684" name="Graphic 684"/>
                              <wps:cNvSpPr/>
                              <wps:spPr>
                                <a:xfrm>
                                  <a:off x="0" y="0"/>
                                  <a:ext cx="1195705" cy="6350"/>
                                </a:xfrm>
                                <a:custGeom>
                                  <a:avLst/>
                                  <a:gdLst/>
                                  <a:ahLst/>
                                  <a:cxnLst/>
                                  <a:rect l="l" t="t" r="r" b="b"/>
                                  <a:pathLst>
                                    <a:path w="1195705" h="6350">
                                      <a:moveTo>
                                        <a:pt x="1195577" y="0"/>
                                      </a:moveTo>
                                      <a:lnTo>
                                        <a:pt x="0" y="0"/>
                                      </a:lnTo>
                                      <a:lnTo>
                                        <a:pt x="0" y="6108"/>
                                      </a:lnTo>
                                      <a:lnTo>
                                        <a:pt x="1195577" y="6108"/>
                                      </a:lnTo>
                                      <a:lnTo>
                                        <a:pt x="1195577"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795FE5" id="Group 683" o:spid="_x0000_s1026" style="position:absolute;margin-left:99.85pt;margin-top:20.35pt;width:94.15pt;height:.5pt;z-index:-27169792;mso-wrap-distance-left:0;mso-wrap-distance-right:0" coordsize="119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">
                      <v:shape id="Graphic 684" o:spid="_x0000_s1027" style="position:absolute;width:11957;height:63;visibility:visible;mso-wrap-style:square;v-text-anchor:top" coordsize="11957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" path="m1195577,l,,,6108r1195577,l1195577,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A4C" w14:textId="77777777">
        <w:trPr>
          <w:trHeight w:val="793"/>
        </w:trPr>
        <w:tc>
          <w:tcPr>
            <w:tcW w:w="3564" w:type="dxa"/>
            <w:tcBorders>
              <w:right w:val="single" w:sz="4" w:space="0" w:color="000000"/>
            </w:tcBorders>
          </w:tcPr>
          <w:p w14:paraId="0DFDBA42" w14:textId="77777777" w:rsidR="00046465" w:rsidRDefault="00046465">
            <w:pPr>
              <w:pStyle w:val="TableParagraph"/>
              <w:spacing w:before="143"/>
            </w:pPr>
          </w:p>
          <w:p w14:paraId="0DFDBA43" w14:textId="77777777" w:rsidR="00046465" w:rsidRDefault="008134EB">
            <w:pPr>
              <w:pStyle w:val="TableParagraph"/>
              <w:ind w:left="97"/>
            </w:pPr>
            <w:r>
              <w:t>Provision</w:t>
            </w:r>
            <w:r>
              <w:rPr>
                <w:spacing w:val="-11"/>
              </w:rPr>
              <w:t xml:space="preserve"> </w:t>
            </w:r>
            <w:r>
              <w:rPr>
                <w:spacing w:val="-2"/>
              </w:rPr>
              <w:t>Description</w:t>
            </w:r>
          </w:p>
        </w:tc>
        <w:tc>
          <w:tcPr>
            <w:tcW w:w="1980" w:type="dxa"/>
            <w:tcBorders>
              <w:left w:val="single" w:sz="4" w:space="0" w:color="000000"/>
              <w:right w:val="single" w:sz="4" w:space="0" w:color="000000"/>
            </w:tcBorders>
          </w:tcPr>
          <w:p w14:paraId="0DFDBA44" w14:textId="77777777" w:rsidR="00046465" w:rsidRDefault="00046465">
            <w:pPr>
              <w:pStyle w:val="TableParagraph"/>
              <w:spacing w:before="143"/>
            </w:pPr>
          </w:p>
          <w:p w14:paraId="0DFDBA45" w14:textId="77777777" w:rsidR="00046465" w:rsidRDefault="008134EB">
            <w:pPr>
              <w:pStyle w:val="TableParagraph"/>
              <w:ind w:left="107"/>
            </w:pPr>
            <w:r>
              <w:rPr>
                <w:spacing w:val="-2"/>
              </w:rPr>
              <w:t>Objective</w:t>
            </w:r>
          </w:p>
        </w:tc>
        <w:tc>
          <w:tcPr>
            <w:tcW w:w="2201" w:type="dxa"/>
            <w:tcBorders>
              <w:left w:val="single" w:sz="4" w:space="0" w:color="000000"/>
              <w:right w:val="single" w:sz="4" w:space="0" w:color="000000"/>
            </w:tcBorders>
          </w:tcPr>
          <w:p w14:paraId="0DFDBA46" w14:textId="77777777" w:rsidR="00046465" w:rsidRDefault="00046465">
            <w:pPr>
              <w:pStyle w:val="TableParagraph"/>
              <w:spacing w:before="143"/>
            </w:pPr>
          </w:p>
          <w:p w14:paraId="0DFDBA47" w14:textId="77777777" w:rsidR="00046465" w:rsidRDefault="008134EB">
            <w:pPr>
              <w:pStyle w:val="TableParagraph"/>
              <w:ind w:left="108"/>
            </w:pPr>
            <w:r>
              <w:t>Control</w:t>
            </w:r>
            <w:r>
              <w:rPr>
                <w:spacing w:val="-9"/>
              </w:rPr>
              <w:t xml:space="preserve"> </w:t>
            </w:r>
            <w:r>
              <w:rPr>
                <w:spacing w:val="-2"/>
              </w:rPr>
              <w:t>Activities</w:t>
            </w:r>
          </w:p>
        </w:tc>
        <w:tc>
          <w:tcPr>
            <w:tcW w:w="1517" w:type="dxa"/>
            <w:tcBorders>
              <w:left w:val="single" w:sz="4" w:space="0" w:color="000000"/>
              <w:right w:val="single" w:sz="4" w:space="0" w:color="000000"/>
            </w:tcBorders>
          </w:tcPr>
          <w:p w14:paraId="0DFDBA48" w14:textId="77777777" w:rsidR="00046465" w:rsidRDefault="00046465">
            <w:pPr>
              <w:pStyle w:val="TableParagraph"/>
              <w:spacing w:before="143"/>
            </w:pPr>
          </w:p>
          <w:p w14:paraId="0DFDBA49" w14:textId="77777777" w:rsidR="00046465" w:rsidRDefault="008134EB">
            <w:pPr>
              <w:pStyle w:val="TableParagraph"/>
              <w:ind w:left="107"/>
            </w:pPr>
            <w:r>
              <w:t>IS</w:t>
            </w:r>
            <w:r>
              <w:rPr>
                <w:spacing w:val="-3"/>
              </w:rPr>
              <w:t xml:space="preserve"> </w:t>
            </w:r>
            <w:r>
              <w:rPr>
                <w:spacing w:val="-2"/>
              </w:rPr>
              <w:t>(Y/N)</w:t>
            </w:r>
          </w:p>
        </w:tc>
        <w:tc>
          <w:tcPr>
            <w:tcW w:w="1488" w:type="dxa"/>
            <w:tcBorders>
              <w:left w:val="single" w:sz="4" w:space="0" w:color="000000"/>
              <w:right w:val="single" w:sz="4" w:space="0" w:color="000000"/>
            </w:tcBorders>
          </w:tcPr>
          <w:p w14:paraId="0DFDBA4A" w14:textId="77777777" w:rsidR="00046465" w:rsidRDefault="008134EB">
            <w:pPr>
              <w:pStyle w:val="TableParagraph"/>
              <w:spacing w:before="143"/>
              <w:ind w:left="107" w:right="150"/>
            </w:pPr>
            <w:r>
              <w:rPr>
                <w:spacing w:val="-2"/>
              </w:rPr>
              <w:t>Effective controls?</w:t>
            </w:r>
          </w:p>
        </w:tc>
        <w:tc>
          <w:tcPr>
            <w:tcW w:w="2534" w:type="dxa"/>
            <w:tcBorders>
              <w:left w:val="single" w:sz="4" w:space="0" w:color="000000"/>
            </w:tcBorders>
          </w:tcPr>
          <w:p w14:paraId="0DFDBA4B" w14:textId="77777777" w:rsidR="00046465" w:rsidRDefault="008134EB">
            <w:pPr>
              <w:pStyle w:val="TableParagraph"/>
              <w:spacing w:before="143"/>
              <w:ind w:left="107"/>
            </w:pPr>
            <w:r>
              <w:t xml:space="preserve">Instances of </w:t>
            </w:r>
            <w:r>
              <w:rPr>
                <w:spacing w:val="-2"/>
              </w:rPr>
              <w:t>noncompliance?</w:t>
            </w:r>
          </w:p>
        </w:tc>
      </w:tr>
      <w:tr w:rsidR="00046465" w14:paraId="0DFDBA57" w14:textId="77777777">
        <w:trPr>
          <w:trHeight w:val="3537"/>
        </w:trPr>
        <w:tc>
          <w:tcPr>
            <w:tcW w:w="3564" w:type="dxa"/>
            <w:tcBorders>
              <w:right w:val="single" w:sz="4" w:space="0" w:color="000000"/>
            </w:tcBorders>
          </w:tcPr>
          <w:p w14:paraId="0DFDBA4D" w14:textId="77777777" w:rsidR="00046465" w:rsidRDefault="008134EB">
            <w:pPr>
              <w:pStyle w:val="TableParagraph"/>
              <w:spacing w:before="143"/>
              <w:ind w:left="817" w:right="65" w:hanging="720"/>
              <w:rPr>
                <w:sz w:val="18"/>
              </w:rPr>
            </w:pPr>
            <w:r>
              <w:rPr>
                <w:smallCaps/>
                <w:sz w:val="18"/>
              </w:rPr>
              <w:t>806.03.</w:t>
            </w:r>
            <w:r>
              <w:rPr>
                <w:smallCaps/>
                <w:spacing w:val="-4"/>
                <w:sz w:val="18"/>
              </w:rPr>
              <w:t xml:space="preserve"> </w:t>
            </w:r>
            <w:r>
              <w:rPr>
                <w:smallCaps/>
                <w:spacing w:val="15"/>
                <w:sz w:val="18"/>
              </w:rPr>
              <w:t xml:space="preserve"> </w:t>
            </w:r>
            <w:r>
              <w:rPr>
                <w:smallCaps/>
                <w:sz w:val="18"/>
              </w:rPr>
              <w:t>Limitations</w:t>
            </w:r>
            <w:r>
              <w:rPr>
                <w:smallCaps/>
                <w:spacing w:val="-5"/>
                <w:sz w:val="18"/>
              </w:rPr>
              <w:t xml:space="preserve"> </w:t>
            </w:r>
            <w:r>
              <w:rPr>
                <w:smallCaps/>
                <w:sz w:val="18"/>
              </w:rPr>
              <w:t>on</w:t>
            </w:r>
            <w:r>
              <w:rPr>
                <w:smallCaps/>
                <w:spacing w:val="-4"/>
                <w:sz w:val="18"/>
              </w:rPr>
              <w:t xml:space="preserve"> </w:t>
            </w:r>
            <w:r>
              <w:rPr>
                <w:smallCaps/>
                <w:sz w:val="18"/>
              </w:rPr>
              <w:t>Discount</w:t>
            </w:r>
            <w:r>
              <w:rPr>
                <w:smallCaps/>
                <w:spacing w:val="40"/>
                <w:sz w:val="18"/>
              </w:rPr>
              <w:t xml:space="preserve"> </w:t>
            </w:r>
            <w:r>
              <w:rPr>
                <w:smallCaps/>
                <w:spacing w:val="-2"/>
                <w:sz w:val="18"/>
              </w:rPr>
              <w:t>Payments.</w:t>
            </w:r>
          </w:p>
          <w:p w14:paraId="0DFDBA4E" w14:textId="77777777" w:rsidR="00046465" w:rsidRDefault="008134EB">
            <w:pPr>
              <w:pStyle w:val="TableParagraph"/>
              <w:spacing w:before="146"/>
              <w:ind w:left="97"/>
              <w:rPr>
                <w:sz w:val="18"/>
              </w:rPr>
            </w:pPr>
            <w:r>
              <w:rPr>
                <w:sz w:val="18"/>
              </w:rPr>
              <w:t>Provision</w:t>
            </w:r>
            <w:r>
              <w:rPr>
                <w:spacing w:val="-10"/>
                <w:sz w:val="18"/>
              </w:rPr>
              <w:t xml:space="preserve"> </w:t>
            </w:r>
            <w:r>
              <w:rPr>
                <w:sz w:val="18"/>
              </w:rPr>
              <w:t>Type:</w:t>
            </w:r>
            <w:r>
              <w:rPr>
                <w:spacing w:val="-8"/>
                <w:sz w:val="18"/>
              </w:rPr>
              <w:t xml:space="preserve"> </w:t>
            </w:r>
            <w:r>
              <w:rPr>
                <w:sz w:val="18"/>
              </w:rPr>
              <w:t>Transaction-</w:t>
            </w:r>
            <w:r>
              <w:rPr>
                <w:spacing w:val="-2"/>
                <w:sz w:val="18"/>
              </w:rPr>
              <w:t>based.</w:t>
            </w:r>
          </w:p>
          <w:p w14:paraId="0DFDBA4F" w14:textId="77777777" w:rsidR="00046465" w:rsidRDefault="008134EB">
            <w:pPr>
              <w:pStyle w:val="TableParagraph"/>
              <w:spacing w:before="143"/>
              <w:ind w:left="97" w:right="65"/>
              <w:rPr>
                <w:sz w:val="18"/>
              </w:rPr>
            </w:pPr>
            <w:r>
              <w:rPr>
                <w:sz w:val="18"/>
              </w:rPr>
              <w:t>Discounts</w:t>
            </w:r>
            <w:r>
              <w:rPr>
                <w:spacing w:val="-1"/>
                <w:sz w:val="18"/>
              </w:rPr>
              <w:t xml:space="preserve"> </w:t>
            </w:r>
            <w:r>
              <w:rPr>
                <w:sz w:val="18"/>
              </w:rPr>
              <w:t>offered</w:t>
            </w:r>
            <w:r>
              <w:rPr>
                <w:spacing w:val="-2"/>
                <w:sz w:val="18"/>
              </w:rPr>
              <w:t xml:space="preserve"> </w:t>
            </w:r>
            <w:r>
              <w:rPr>
                <w:sz w:val="18"/>
              </w:rPr>
              <w:t>by</w:t>
            </w:r>
            <w:r>
              <w:rPr>
                <w:spacing w:val="-1"/>
                <w:sz w:val="18"/>
              </w:rPr>
              <w:t xml:space="preserve"> </w:t>
            </w:r>
            <w:r>
              <w:rPr>
                <w:sz w:val="18"/>
              </w:rPr>
              <w:t>a</w:t>
            </w:r>
            <w:r>
              <w:rPr>
                <w:spacing w:val="-2"/>
                <w:sz w:val="18"/>
              </w:rPr>
              <w:t xml:space="preserve"> </w:t>
            </w:r>
            <w:r>
              <w:rPr>
                <w:sz w:val="18"/>
              </w:rPr>
              <w:t>business</w:t>
            </w:r>
            <w:r>
              <w:rPr>
                <w:spacing w:val="-1"/>
                <w:sz w:val="18"/>
              </w:rPr>
              <w:t xml:space="preserve"> </w:t>
            </w:r>
            <w:r>
              <w:rPr>
                <w:sz w:val="18"/>
              </w:rPr>
              <w:t>concern may be taken only if payment is made within the specified time as determined from</w:t>
            </w:r>
            <w:r>
              <w:rPr>
                <w:spacing w:val="-4"/>
                <w:sz w:val="18"/>
              </w:rPr>
              <w:t xml:space="preserve"> </w:t>
            </w:r>
            <w:r>
              <w:rPr>
                <w:sz w:val="18"/>
              </w:rPr>
              <w:t>the</w:t>
            </w:r>
            <w:r>
              <w:rPr>
                <w:spacing w:val="-5"/>
                <w:sz w:val="18"/>
              </w:rPr>
              <w:t xml:space="preserve"> </w:t>
            </w:r>
            <w:r>
              <w:rPr>
                <w:sz w:val="18"/>
              </w:rPr>
              <w:t>date</w:t>
            </w:r>
            <w:r>
              <w:rPr>
                <w:spacing w:val="-5"/>
                <w:sz w:val="18"/>
              </w:rPr>
              <w:t xml:space="preserve"> </w:t>
            </w:r>
            <w:r>
              <w:rPr>
                <w:sz w:val="18"/>
              </w:rPr>
              <w:t>of</w:t>
            </w:r>
            <w:r>
              <w:rPr>
                <w:spacing w:val="-4"/>
                <w:sz w:val="18"/>
              </w:rPr>
              <w:t xml:space="preserve"> </w:t>
            </w:r>
            <w:r>
              <w:rPr>
                <w:sz w:val="18"/>
              </w:rPr>
              <w:t>the</w:t>
            </w:r>
            <w:r>
              <w:rPr>
                <w:spacing w:val="-5"/>
                <w:sz w:val="18"/>
              </w:rPr>
              <w:t xml:space="preserve"> </w:t>
            </w:r>
            <w:r>
              <w:rPr>
                <w:sz w:val="18"/>
              </w:rPr>
              <w:t>invoice.</w:t>
            </w:r>
            <w:hyperlink w:anchor="_bookmark114" w:history="1">
              <w:r>
                <w:rPr>
                  <w:sz w:val="18"/>
                  <w:vertAlign w:val="superscript"/>
                </w:rPr>
                <w:t>48</w:t>
              </w:r>
            </w:hyperlink>
            <w:r>
              <w:rPr>
                <w:spacing w:val="-4"/>
                <w:sz w:val="18"/>
              </w:rPr>
              <w:t xml:space="preserve"> </w:t>
            </w:r>
            <w:r>
              <w:rPr>
                <w:sz w:val="18"/>
              </w:rPr>
              <w:t>An</w:t>
            </w:r>
            <w:r>
              <w:rPr>
                <w:spacing w:val="-5"/>
                <w:sz w:val="18"/>
              </w:rPr>
              <w:t xml:space="preserve"> </w:t>
            </w:r>
            <w:r>
              <w:rPr>
                <w:sz w:val="18"/>
              </w:rPr>
              <w:t>interest penalty</w:t>
            </w:r>
            <w:r>
              <w:rPr>
                <w:spacing w:val="-6"/>
                <w:sz w:val="18"/>
              </w:rPr>
              <w:t xml:space="preserve"> </w:t>
            </w:r>
            <w:r>
              <w:rPr>
                <w:sz w:val="18"/>
              </w:rPr>
              <w:t>shall</w:t>
            </w:r>
            <w:r>
              <w:rPr>
                <w:spacing w:val="-6"/>
                <w:sz w:val="18"/>
              </w:rPr>
              <w:t xml:space="preserve"> </w:t>
            </w:r>
            <w:r>
              <w:rPr>
                <w:sz w:val="18"/>
              </w:rPr>
              <w:t>be</w:t>
            </w:r>
            <w:r>
              <w:rPr>
                <w:spacing w:val="-7"/>
                <w:sz w:val="18"/>
              </w:rPr>
              <w:t xml:space="preserve"> </w:t>
            </w:r>
            <w:r>
              <w:rPr>
                <w:sz w:val="18"/>
              </w:rPr>
              <w:t>paid</w:t>
            </w:r>
            <w:r>
              <w:rPr>
                <w:spacing w:val="-7"/>
                <w:sz w:val="18"/>
              </w:rPr>
              <w:t xml:space="preserve"> </w:t>
            </w:r>
            <w:r>
              <w:rPr>
                <w:sz w:val="18"/>
              </w:rPr>
              <w:t>on</w:t>
            </w:r>
            <w:r>
              <w:rPr>
                <w:spacing w:val="-7"/>
                <w:sz w:val="18"/>
              </w:rPr>
              <w:t xml:space="preserve"> </w:t>
            </w:r>
            <w:r>
              <w:rPr>
                <w:sz w:val="18"/>
              </w:rPr>
              <w:t>improperly</w:t>
            </w:r>
            <w:r>
              <w:rPr>
                <w:spacing w:val="-6"/>
                <w:sz w:val="18"/>
              </w:rPr>
              <w:t xml:space="preserve"> </w:t>
            </w:r>
            <w:r>
              <w:rPr>
                <w:sz w:val="18"/>
              </w:rPr>
              <w:t>taken discounts. 31 U.S.C. § 3904.</w:t>
            </w:r>
          </w:p>
        </w:tc>
        <w:tc>
          <w:tcPr>
            <w:tcW w:w="1980" w:type="dxa"/>
            <w:tcBorders>
              <w:left w:val="single" w:sz="4" w:space="0" w:color="000000"/>
              <w:right w:val="single" w:sz="4" w:space="0" w:color="000000"/>
            </w:tcBorders>
          </w:tcPr>
          <w:p w14:paraId="0DFDBA50" w14:textId="77777777" w:rsidR="00046465" w:rsidRDefault="008134EB">
            <w:pPr>
              <w:pStyle w:val="TableParagraph"/>
              <w:spacing w:before="143"/>
              <w:ind w:left="466" w:right="153" w:hanging="359"/>
              <w:rPr>
                <w:sz w:val="18"/>
              </w:rPr>
            </w:pPr>
            <w:r>
              <w:rPr>
                <w:sz w:val="18"/>
              </w:rPr>
              <w:t>3a.</w:t>
            </w:r>
            <w:r>
              <w:rPr>
                <w:spacing w:val="29"/>
                <w:sz w:val="18"/>
              </w:rPr>
              <w:t xml:space="preserve"> </w:t>
            </w:r>
            <w:r>
              <w:rPr>
                <w:sz w:val="18"/>
              </w:rPr>
              <w:t>Discounts</w:t>
            </w:r>
            <w:r>
              <w:rPr>
                <w:spacing w:val="-12"/>
                <w:sz w:val="18"/>
              </w:rPr>
              <w:t xml:space="preserve"> </w:t>
            </w:r>
            <w:r>
              <w:rPr>
                <w:sz w:val="18"/>
              </w:rPr>
              <w:t xml:space="preserve">taken after the specified time period are </w:t>
            </w:r>
            <w:r>
              <w:rPr>
                <w:spacing w:val="-2"/>
                <w:sz w:val="18"/>
              </w:rPr>
              <w:t>identified.</w:t>
            </w:r>
          </w:p>
          <w:p w14:paraId="0DFDBA51" w14:textId="77777777" w:rsidR="00046465" w:rsidRDefault="008134EB">
            <w:pPr>
              <w:pStyle w:val="TableParagraph"/>
              <w:spacing w:before="145"/>
              <w:ind w:left="466" w:right="135" w:hanging="359"/>
              <w:rPr>
                <w:sz w:val="18"/>
              </w:rPr>
            </w:pPr>
            <w:r>
              <w:rPr>
                <w:sz w:val="18"/>
              </w:rPr>
              <w:t>3b.</w:t>
            </w:r>
            <w:r>
              <w:rPr>
                <w:spacing w:val="29"/>
                <w:sz w:val="18"/>
              </w:rPr>
              <w:t xml:space="preserve"> </w:t>
            </w:r>
            <w:r>
              <w:rPr>
                <w:sz w:val="18"/>
              </w:rPr>
              <w:t>Interest</w:t>
            </w:r>
            <w:r>
              <w:rPr>
                <w:spacing w:val="-13"/>
                <w:sz w:val="18"/>
              </w:rPr>
              <w:t xml:space="preserve"> </w:t>
            </w:r>
            <w:r>
              <w:rPr>
                <w:sz w:val="18"/>
              </w:rPr>
              <w:t>penalties are properly calculated and paid on the amount of any improperly</w:t>
            </w:r>
            <w:r>
              <w:rPr>
                <w:spacing w:val="-2"/>
                <w:sz w:val="18"/>
              </w:rPr>
              <w:t xml:space="preserve"> </w:t>
            </w:r>
            <w:r>
              <w:rPr>
                <w:sz w:val="18"/>
              </w:rPr>
              <w:t xml:space="preserve">taken discounts using the appropriate interest rate and </w:t>
            </w:r>
            <w:r>
              <w:rPr>
                <w:spacing w:val="-2"/>
                <w:sz w:val="18"/>
              </w:rPr>
              <w:t>period.</w:t>
            </w:r>
          </w:p>
        </w:tc>
        <w:tc>
          <w:tcPr>
            <w:tcW w:w="2201" w:type="dxa"/>
            <w:tcBorders>
              <w:left w:val="single" w:sz="4" w:space="0" w:color="000000"/>
              <w:right w:val="single" w:sz="4" w:space="0" w:color="000000"/>
            </w:tcBorders>
          </w:tcPr>
          <w:p w14:paraId="0DFDBA52" w14:textId="77777777" w:rsidR="00046465" w:rsidRDefault="00046465">
            <w:pPr>
              <w:pStyle w:val="TableParagraph"/>
              <w:rPr>
                <w:rFonts w:ascii="Times New Roman"/>
                <w:sz w:val="18"/>
              </w:rPr>
            </w:pPr>
          </w:p>
        </w:tc>
        <w:tc>
          <w:tcPr>
            <w:tcW w:w="1517" w:type="dxa"/>
            <w:tcBorders>
              <w:left w:val="single" w:sz="4" w:space="0" w:color="000000"/>
              <w:right w:val="single" w:sz="4" w:space="0" w:color="000000"/>
            </w:tcBorders>
          </w:tcPr>
          <w:p w14:paraId="0DFDBA53" w14:textId="77777777" w:rsidR="00046465" w:rsidRDefault="00046465">
            <w:pPr>
              <w:pStyle w:val="TableParagraph"/>
              <w:rPr>
                <w:rFonts w:ascii="Times New Roman"/>
                <w:sz w:val="18"/>
              </w:rPr>
            </w:pPr>
          </w:p>
        </w:tc>
        <w:tc>
          <w:tcPr>
            <w:tcW w:w="1488" w:type="dxa"/>
            <w:tcBorders>
              <w:left w:val="single" w:sz="4" w:space="0" w:color="000000"/>
              <w:right w:val="single" w:sz="4" w:space="0" w:color="000000"/>
            </w:tcBorders>
          </w:tcPr>
          <w:p w14:paraId="0DFDBA54" w14:textId="77777777" w:rsidR="00046465" w:rsidRDefault="00046465">
            <w:pPr>
              <w:pStyle w:val="TableParagraph"/>
              <w:rPr>
                <w:rFonts w:ascii="Times New Roman"/>
                <w:sz w:val="18"/>
              </w:rPr>
            </w:pPr>
          </w:p>
        </w:tc>
        <w:tc>
          <w:tcPr>
            <w:tcW w:w="2534" w:type="dxa"/>
            <w:tcBorders>
              <w:left w:val="single" w:sz="4" w:space="0" w:color="000000"/>
            </w:tcBorders>
          </w:tcPr>
          <w:p w14:paraId="0DFDBA55" w14:textId="77777777" w:rsidR="00046465" w:rsidRDefault="008134EB">
            <w:pPr>
              <w:pStyle w:val="TableParagraph"/>
              <w:spacing w:before="143"/>
              <w:ind w:left="107"/>
              <w:rPr>
                <w:sz w:val="18"/>
              </w:rPr>
            </w:pPr>
            <w:r>
              <w:rPr>
                <w:sz w:val="18"/>
              </w:rPr>
              <w:t>See Compliance Audit Procedures,</w:t>
            </w:r>
            <w:r>
              <w:rPr>
                <w:spacing w:val="-10"/>
                <w:sz w:val="18"/>
              </w:rPr>
              <w:t xml:space="preserve"> </w:t>
            </w:r>
            <w:r>
              <w:rPr>
                <w:sz w:val="18"/>
              </w:rPr>
              <w:t>FAM</w:t>
            </w:r>
            <w:r>
              <w:rPr>
                <w:spacing w:val="-10"/>
                <w:sz w:val="18"/>
              </w:rPr>
              <w:t xml:space="preserve"> </w:t>
            </w:r>
            <w:r>
              <w:rPr>
                <w:sz w:val="18"/>
              </w:rPr>
              <w:t>806</w:t>
            </w:r>
            <w:r>
              <w:rPr>
                <w:spacing w:val="-10"/>
                <w:sz w:val="18"/>
              </w:rPr>
              <w:t xml:space="preserve"> </w:t>
            </w:r>
            <w:r>
              <w:rPr>
                <w:sz w:val="18"/>
              </w:rPr>
              <w:t>step</w:t>
            </w:r>
            <w:r>
              <w:rPr>
                <w:spacing w:val="-10"/>
                <w:sz w:val="18"/>
              </w:rPr>
              <w:t xml:space="preserve"> </w:t>
            </w:r>
            <w:r>
              <w:rPr>
                <w:sz w:val="18"/>
              </w:rPr>
              <w:t>5</w:t>
            </w:r>
          </w:p>
          <w:p w14:paraId="0DFDBA56" w14:textId="77777777" w:rsidR="00046465" w:rsidRDefault="008134EB">
            <w:pPr>
              <w:pStyle w:val="TableParagraph"/>
              <w:spacing w:before="1"/>
              <w:ind w:left="107"/>
              <w:rPr>
                <w:sz w:val="18"/>
              </w:rPr>
            </w:pPr>
            <w:r>
              <w:rPr>
                <w:sz w:val="18"/>
              </w:rPr>
              <w:t>(a)</w:t>
            </w:r>
            <w:r>
              <w:rPr>
                <w:spacing w:val="-2"/>
                <w:sz w:val="18"/>
              </w:rPr>
              <w:t xml:space="preserve"> </w:t>
            </w:r>
            <w:r>
              <w:rPr>
                <w:sz w:val="18"/>
              </w:rPr>
              <w:t>and</w:t>
            </w:r>
            <w:r>
              <w:rPr>
                <w:spacing w:val="-2"/>
                <w:sz w:val="18"/>
              </w:rPr>
              <w:t xml:space="preserve"> </w:t>
            </w:r>
            <w:r>
              <w:rPr>
                <w:spacing w:val="-4"/>
                <w:sz w:val="18"/>
              </w:rPr>
              <w:t>(b).</w:t>
            </w:r>
          </w:p>
        </w:tc>
      </w:tr>
    </w:tbl>
    <w:p w14:paraId="0DFDBA58" w14:textId="77777777" w:rsidR="00046465" w:rsidRDefault="00046465">
      <w:pPr>
        <w:pStyle w:val="BodyText"/>
        <w:rPr>
          <w:sz w:val="20"/>
        </w:rPr>
      </w:pPr>
    </w:p>
    <w:p w14:paraId="0DFDBA59" w14:textId="77777777" w:rsidR="00046465" w:rsidRDefault="00046465">
      <w:pPr>
        <w:pStyle w:val="BodyText"/>
        <w:rPr>
          <w:sz w:val="20"/>
        </w:rPr>
      </w:pPr>
    </w:p>
    <w:p w14:paraId="0DFDBA5A" w14:textId="77777777" w:rsidR="00046465" w:rsidRDefault="00046465">
      <w:pPr>
        <w:pStyle w:val="BodyText"/>
        <w:rPr>
          <w:sz w:val="20"/>
        </w:rPr>
      </w:pPr>
    </w:p>
    <w:p w14:paraId="0DFDBA5B" w14:textId="77777777" w:rsidR="00046465" w:rsidRDefault="00046465">
      <w:pPr>
        <w:pStyle w:val="BodyText"/>
        <w:rPr>
          <w:sz w:val="20"/>
        </w:rPr>
      </w:pPr>
    </w:p>
    <w:p w14:paraId="0DFDBA5C" w14:textId="77777777" w:rsidR="00046465" w:rsidRDefault="00046465">
      <w:pPr>
        <w:pStyle w:val="BodyText"/>
        <w:rPr>
          <w:sz w:val="20"/>
        </w:rPr>
      </w:pPr>
    </w:p>
    <w:p w14:paraId="0DFDBA5D" w14:textId="77777777" w:rsidR="00046465" w:rsidRDefault="00046465">
      <w:pPr>
        <w:pStyle w:val="BodyText"/>
        <w:rPr>
          <w:sz w:val="20"/>
        </w:rPr>
      </w:pPr>
    </w:p>
    <w:p w14:paraId="0DFDBA5E" w14:textId="77777777" w:rsidR="00046465" w:rsidRDefault="00046465">
      <w:pPr>
        <w:pStyle w:val="BodyText"/>
        <w:rPr>
          <w:sz w:val="20"/>
        </w:rPr>
      </w:pPr>
    </w:p>
    <w:p w14:paraId="0DFDBA5F" w14:textId="77777777" w:rsidR="00046465" w:rsidRDefault="00046465">
      <w:pPr>
        <w:pStyle w:val="BodyText"/>
        <w:rPr>
          <w:sz w:val="20"/>
        </w:rPr>
      </w:pPr>
    </w:p>
    <w:p w14:paraId="0DFDBA60" w14:textId="77777777" w:rsidR="00046465" w:rsidRDefault="00046465">
      <w:pPr>
        <w:pStyle w:val="BodyText"/>
        <w:rPr>
          <w:sz w:val="20"/>
        </w:rPr>
      </w:pPr>
    </w:p>
    <w:p w14:paraId="0DFDBA61" w14:textId="77777777" w:rsidR="00046465" w:rsidRDefault="00046465">
      <w:pPr>
        <w:pStyle w:val="BodyText"/>
        <w:rPr>
          <w:sz w:val="20"/>
        </w:rPr>
      </w:pPr>
    </w:p>
    <w:p w14:paraId="0DFDBA62" w14:textId="77777777" w:rsidR="00046465" w:rsidRDefault="008134EB">
      <w:pPr>
        <w:pStyle w:val="BodyText"/>
        <w:spacing w:before="98"/>
        <w:rPr>
          <w:sz w:val="20"/>
        </w:rPr>
      </w:pPr>
      <w:r>
        <w:rPr>
          <w:noProof/>
          <w:sz w:val="20"/>
        </w:rPr>
        <mc:AlternateContent>
          <mc:Choice Requires="wps">
            <w:drawing>
              <wp:anchor distT="0" distB="0" distL="0" distR="0" simplePos="0" relativeHeight="487679488" behindDoc="1" locked="0" layoutInCell="1" allowOverlap="1" wp14:anchorId="0DFDD681" wp14:editId="0DFDD682">
                <wp:simplePos x="0" y="0"/>
                <wp:positionH relativeFrom="page">
                  <wp:posOffset>685800</wp:posOffset>
                </wp:positionH>
                <wp:positionV relativeFrom="paragraph">
                  <wp:posOffset>223650</wp:posOffset>
                </wp:positionV>
                <wp:extent cx="1828800" cy="6985"/>
                <wp:effectExtent l="0" t="0" r="0" b="0"/>
                <wp:wrapTopAndBottom/>
                <wp:docPr id="685" name="Graphic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7BFA10" id="Graphic 685" o:spid="_x0000_s1026" style="position:absolute;margin-left:54pt;margin-top:17.6pt;width:2in;height:.55pt;z-index:-1563699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" path="m1828800,l,,,6858r1828800,l1828800,xe" fillcolor="black" stroked="f">
                <v:path arrowok="t"/>
                <w10:wrap type="topAndBottom" anchorx="page"/>
              </v:shape>
            </w:pict>
          </mc:Fallback>
        </mc:AlternateContent>
      </w:r>
    </w:p>
    <w:p w14:paraId="0DFDBA63" w14:textId="77777777" w:rsidR="00046465" w:rsidRDefault="00046465">
      <w:pPr>
        <w:pStyle w:val="BodyText"/>
        <w:spacing w:before="9"/>
        <w:rPr>
          <w:sz w:val="18"/>
        </w:rPr>
      </w:pPr>
    </w:p>
    <w:p w14:paraId="0DFDBA64" w14:textId="77777777" w:rsidR="00046465" w:rsidRDefault="008134EB">
      <w:pPr>
        <w:spacing w:line="249" w:lineRule="auto"/>
        <w:ind w:left="359" w:right="422"/>
        <w:rPr>
          <w:sz w:val="18"/>
        </w:rPr>
      </w:pPr>
      <w:r>
        <w:rPr>
          <w:position w:val="7"/>
          <w:sz w:val="14"/>
        </w:rPr>
        <w:t>48</w:t>
      </w:r>
      <w:r>
        <w:rPr>
          <w:sz w:val="18"/>
        </w:rPr>
        <w:t>For</w:t>
      </w:r>
      <w:r>
        <w:rPr>
          <w:spacing w:val="-2"/>
          <w:sz w:val="18"/>
        </w:rPr>
        <w:t xml:space="preserve"> </w:t>
      </w:r>
      <w:r>
        <w:rPr>
          <w:sz w:val="18"/>
        </w:rPr>
        <w:t>purposes</w:t>
      </w:r>
      <w:r>
        <w:rPr>
          <w:spacing w:val="-2"/>
          <w:sz w:val="18"/>
        </w:rPr>
        <w:t xml:space="preserve"> </w:t>
      </w:r>
      <w:r>
        <w:rPr>
          <w:sz w:val="18"/>
        </w:rPr>
        <w:t>of</w:t>
      </w:r>
      <w:r>
        <w:rPr>
          <w:spacing w:val="-2"/>
          <w:sz w:val="18"/>
        </w:rPr>
        <w:t xml:space="preserve"> </w:t>
      </w:r>
      <w:r>
        <w:rPr>
          <w:sz w:val="18"/>
        </w:rPr>
        <w:t>this</w:t>
      </w:r>
      <w:r>
        <w:rPr>
          <w:spacing w:val="-2"/>
          <w:sz w:val="18"/>
        </w:rPr>
        <w:t xml:space="preserve"> </w:t>
      </w:r>
      <w:r>
        <w:rPr>
          <w:sz w:val="18"/>
        </w:rPr>
        <w:t>law,</w:t>
      </w:r>
      <w:r>
        <w:rPr>
          <w:spacing w:val="-2"/>
          <w:sz w:val="18"/>
        </w:rPr>
        <w:t xml:space="preserve"> </w:t>
      </w:r>
      <w:r>
        <w:rPr>
          <w:sz w:val="18"/>
        </w:rPr>
        <w:t>a</w:t>
      </w:r>
      <w:r>
        <w:rPr>
          <w:spacing w:val="-3"/>
          <w:sz w:val="18"/>
        </w:rPr>
        <w:t xml:space="preserve"> </w:t>
      </w:r>
      <w:r>
        <w:rPr>
          <w:sz w:val="18"/>
        </w:rPr>
        <w:t>proper</w:t>
      </w:r>
      <w:r>
        <w:rPr>
          <w:spacing w:val="-2"/>
          <w:sz w:val="18"/>
        </w:rPr>
        <w:t xml:space="preserve"> </w:t>
      </w:r>
      <w:r>
        <w:rPr>
          <w:sz w:val="18"/>
        </w:rPr>
        <w:t>invoice</w:t>
      </w:r>
      <w:r>
        <w:rPr>
          <w:spacing w:val="-3"/>
          <w:sz w:val="18"/>
        </w:rPr>
        <w:t xml:space="preserve"> </w:t>
      </w:r>
      <w:r>
        <w:rPr>
          <w:sz w:val="18"/>
        </w:rPr>
        <w:t>for</w:t>
      </w:r>
      <w:r>
        <w:rPr>
          <w:spacing w:val="-1"/>
          <w:sz w:val="18"/>
        </w:rPr>
        <w:t xml:space="preserve"> </w:t>
      </w:r>
      <w:r>
        <w:rPr>
          <w:sz w:val="18"/>
        </w:rPr>
        <w:t>the</w:t>
      </w:r>
      <w:r>
        <w:rPr>
          <w:spacing w:val="-3"/>
          <w:sz w:val="18"/>
        </w:rPr>
        <w:t xml:space="preserve"> </w:t>
      </w:r>
      <w:r>
        <w:rPr>
          <w:sz w:val="18"/>
        </w:rPr>
        <w:t>amount</w:t>
      </w:r>
      <w:r>
        <w:rPr>
          <w:spacing w:val="-2"/>
          <w:sz w:val="18"/>
        </w:rPr>
        <w:t xml:space="preserve"> </w:t>
      </w:r>
      <w:r>
        <w:rPr>
          <w:sz w:val="18"/>
        </w:rPr>
        <w:t>due</w:t>
      </w:r>
      <w:r>
        <w:rPr>
          <w:spacing w:val="-3"/>
          <w:sz w:val="18"/>
        </w:rPr>
        <w:t xml:space="preserve"> </w:t>
      </w:r>
      <w:r>
        <w:rPr>
          <w:sz w:val="18"/>
        </w:rPr>
        <w:t>is</w:t>
      </w:r>
      <w:r>
        <w:rPr>
          <w:spacing w:val="-2"/>
          <w:sz w:val="18"/>
        </w:rPr>
        <w:t xml:space="preserve"> </w:t>
      </w:r>
      <w:r>
        <w:rPr>
          <w:sz w:val="18"/>
        </w:rPr>
        <w:t>an</w:t>
      </w:r>
      <w:r>
        <w:rPr>
          <w:spacing w:val="-3"/>
          <w:sz w:val="18"/>
        </w:rPr>
        <w:t xml:space="preserve"> </w:t>
      </w:r>
      <w:r>
        <w:rPr>
          <w:sz w:val="18"/>
        </w:rPr>
        <w:t>invoice</w:t>
      </w:r>
      <w:r>
        <w:rPr>
          <w:spacing w:val="-1"/>
          <w:sz w:val="18"/>
        </w:rPr>
        <w:t xml:space="preserve"> </w:t>
      </w:r>
      <w:r>
        <w:rPr>
          <w:sz w:val="18"/>
        </w:rPr>
        <w:t>containing</w:t>
      </w:r>
      <w:r>
        <w:rPr>
          <w:spacing w:val="-3"/>
          <w:sz w:val="18"/>
        </w:rPr>
        <w:t xml:space="preserve"> </w:t>
      </w:r>
      <w:r>
        <w:rPr>
          <w:sz w:val="18"/>
        </w:rPr>
        <w:t>or</w:t>
      </w:r>
      <w:r>
        <w:rPr>
          <w:spacing w:val="-2"/>
          <w:sz w:val="18"/>
        </w:rPr>
        <w:t xml:space="preserve"> </w:t>
      </w:r>
      <w:r>
        <w:rPr>
          <w:sz w:val="18"/>
        </w:rPr>
        <w:t>accompanied</w:t>
      </w:r>
      <w:r>
        <w:rPr>
          <w:spacing w:val="-3"/>
          <w:sz w:val="18"/>
        </w:rPr>
        <w:t xml:space="preserve"> </w:t>
      </w:r>
      <w:r>
        <w:rPr>
          <w:sz w:val="18"/>
        </w:rPr>
        <w:t>by</w:t>
      </w:r>
      <w:r>
        <w:rPr>
          <w:spacing w:val="-1"/>
          <w:sz w:val="18"/>
        </w:rPr>
        <w:t xml:space="preserve"> </w:t>
      </w:r>
      <w:r>
        <w:rPr>
          <w:sz w:val="18"/>
        </w:rPr>
        <w:t>substantiating</w:t>
      </w:r>
      <w:r>
        <w:rPr>
          <w:spacing w:val="-1"/>
          <w:sz w:val="18"/>
        </w:rPr>
        <w:t xml:space="preserve"> </w:t>
      </w:r>
      <w:r>
        <w:rPr>
          <w:sz w:val="18"/>
        </w:rPr>
        <w:t>documentation,</w:t>
      </w:r>
      <w:r>
        <w:rPr>
          <w:spacing w:val="-2"/>
          <w:sz w:val="18"/>
        </w:rPr>
        <w:t xml:space="preserve"> </w:t>
      </w:r>
      <w:r>
        <w:rPr>
          <w:sz w:val="18"/>
        </w:rPr>
        <w:t>which</w:t>
      </w:r>
      <w:r>
        <w:rPr>
          <w:spacing w:val="-3"/>
          <w:sz w:val="18"/>
        </w:rPr>
        <w:t xml:space="preserve"> </w:t>
      </w:r>
      <w:r>
        <w:rPr>
          <w:sz w:val="18"/>
        </w:rPr>
        <w:t>the</w:t>
      </w:r>
      <w:r>
        <w:rPr>
          <w:spacing w:val="-3"/>
          <w:sz w:val="18"/>
        </w:rPr>
        <w:t xml:space="preserve"> </w:t>
      </w:r>
      <w:r>
        <w:rPr>
          <w:sz w:val="18"/>
        </w:rPr>
        <w:t>entity</w:t>
      </w:r>
      <w:r>
        <w:rPr>
          <w:spacing w:val="-2"/>
          <w:sz w:val="18"/>
        </w:rPr>
        <w:t xml:space="preserve"> </w:t>
      </w:r>
      <w:r>
        <w:rPr>
          <w:sz w:val="18"/>
        </w:rPr>
        <w:t>head</w:t>
      </w:r>
      <w:r>
        <w:rPr>
          <w:spacing w:val="-3"/>
          <w:sz w:val="18"/>
        </w:rPr>
        <w:t xml:space="preserve"> </w:t>
      </w:r>
      <w:r>
        <w:rPr>
          <w:sz w:val="18"/>
        </w:rPr>
        <w:t>may require by regulation or contract or OMB may require by regulation. 31 U.S.C. § 3901(a)(3).</w:t>
      </w:r>
    </w:p>
    <w:p w14:paraId="0DFDBA65" w14:textId="77777777" w:rsidR="00046465" w:rsidRDefault="00046465">
      <w:pPr>
        <w:spacing w:line="249" w:lineRule="auto"/>
        <w:rPr>
          <w:sz w:val="18"/>
        </w:rPr>
        <w:sectPr w:rsidR="00046465">
          <w:pgSz w:w="15840" w:h="12240" w:orient="landscape"/>
          <w:pgMar w:top="1380" w:right="1080" w:bottom="940" w:left="720" w:header="721" w:footer="742" w:gutter="0"/>
          <w:cols w:space="720"/>
        </w:sectPr>
      </w:pPr>
    </w:p>
    <w:p w14:paraId="0DFDBA66" w14:textId="77777777" w:rsidR="00046465" w:rsidRDefault="008134EB">
      <w:pPr>
        <w:pStyle w:val="BodyText"/>
        <w:spacing w:before="82"/>
        <w:ind w:left="360" w:right="372"/>
      </w:pPr>
      <w:r>
        <w:lastRenderedPageBreak/>
        <w:t>Note: The auditor generally should perform these procedures or prepare equivalent documentation</w:t>
      </w:r>
      <w:r>
        <w:rPr>
          <w:spacing w:val="-3"/>
        </w:rPr>
        <w:t xml:space="preserve"> </w:t>
      </w:r>
      <w:r>
        <w:t>only</w:t>
      </w:r>
      <w:r>
        <w:rPr>
          <w:spacing w:val="-3"/>
        </w:rPr>
        <w:t xml:space="preserve"> </w:t>
      </w:r>
      <w:r>
        <w:t>if</w:t>
      </w:r>
      <w:r>
        <w:rPr>
          <w:spacing w:val="-3"/>
        </w:rPr>
        <w:t xml:space="preserve"> </w:t>
      </w:r>
      <w:r>
        <w:t>provisions</w:t>
      </w:r>
      <w:r>
        <w:rPr>
          <w:spacing w:val="-3"/>
        </w:rPr>
        <w:t xml:space="preserve"> </w:t>
      </w:r>
      <w:r>
        <w:t>of</w:t>
      </w:r>
      <w:r>
        <w:rPr>
          <w:spacing w:val="-3"/>
        </w:rPr>
        <w:t xml:space="preserve"> </w:t>
      </w:r>
      <w:r>
        <w:t>the</w:t>
      </w:r>
      <w:r>
        <w:rPr>
          <w:spacing w:val="-3"/>
        </w:rPr>
        <w:t xml:space="preserve"> </w:t>
      </w:r>
      <w:r>
        <w:t>Prompt</w:t>
      </w:r>
      <w:r>
        <w:rPr>
          <w:spacing w:val="-3"/>
        </w:rPr>
        <w:t xml:space="preserve"> </w:t>
      </w:r>
      <w:r>
        <w:t>Payment</w:t>
      </w:r>
      <w:r>
        <w:rPr>
          <w:spacing w:val="-3"/>
        </w:rPr>
        <w:t xml:space="preserve"> </w:t>
      </w:r>
      <w:r>
        <w:t>Act</w:t>
      </w:r>
      <w:r>
        <w:rPr>
          <w:spacing w:val="-3"/>
        </w:rPr>
        <w:t xml:space="preserve"> </w:t>
      </w:r>
      <w:r>
        <w:t>(PPA),</w:t>
      </w:r>
      <w:r>
        <w:rPr>
          <w:spacing w:val="-3"/>
        </w:rPr>
        <w:t xml:space="preserve"> </w:t>
      </w:r>
      <w:r>
        <w:t>as</w:t>
      </w:r>
      <w:r>
        <w:rPr>
          <w:spacing w:val="-3"/>
        </w:rPr>
        <w:t xml:space="preserve"> </w:t>
      </w:r>
      <w:r>
        <w:t>provided</w:t>
      </w:r>
      <w:r>
        <w:rPr>
          <w:spacing w:val="-3"/>
        </w:rPr>
        <w:t xml:space="preserve"> </w:t>
      </w:r>
      <w:r>
        <w:t>in</w:t>
      </w:r>
      <w:r>
        <w:rPr>
          <w:spacing w:val="-3"/>
        </w:rPr>
        <w:t xml:space="preserve"> </w:t>
      </w:r>
      <w:r>
        <w:t>31</w:t>
      </w:r>
      <w:r>
        <w:rPr>
          <w:spacing w:val="-4"/>
        </w:rPr>
        <w:t xml:space="preserve"> </w:t>
      </w:r>
      <w:r>
        <w:t>U.S.C. chapter</w:t>
      </w:r>
      <w:r>
        <w:rPr>
          <w:spacing w:val="-1"/>
        </w:rPr>
        <w:t xml:space="preserve"> </w:t>
      </w:r>
      <w:r>
        <w:t>39,</w:t>
      </w:r>
      <w:r>
        <w:rPr>
          <w:spacing w:val="-2"/>
        </w:rPr>
        <w:t xml:space="preserve"> </w:t>
      </w:r>
      <w:r>
        <w:t>are</w:t>
      </w:r>
      <w:r>
        <w:rPr>
          <w:spacing w:val="-1"/>
        </w:rPr>
        <w:t xml:space="preserve"> </w:t>
      </w:r>
      <w:r>
        <w:t>significant,</w:t>
      </w:r>
      <w:r>
        <w:rPr>
          <w:spacing w:val="-1"/>
        </w:rPr>
        <w:t xml:space="preserve"> </w:t>
      </w:r>
      <w:r>
        <w:t>as</w:t>
      </w:r>
      <w:r>
        <w:rPr>
          <w:spacing w:val="-1"/>
        </w:rPr>
        <w:t xml:space="preserve"> </w:t>
      </w:r>
      <w:r>
        <w:t>indicated</w:t>
      </w:r>
      <w:r>
        <w:rPr>
          <w:spacing w:val="-1"/>
        </w:rPr>
        <w:t xml:space="preserve"> </w:t>
      </w:r>
      <w:r>
        <w:t>on</w:t>
      </w:r>
      <w:r>
        <w:rPr>
          <w:spacing w:val="-1"/>
        </w:rPr>
        <w:t xml:space="preserve"> </w:t>
      </w:r>
      <w:r>
        <w:t>Form</w:t>
      </w:r>
      <w:r>
        <w:rPr>
          <w:spacing w:val="-2"/>
        </w:rPr>
        <w:t xml:space="preserve"> </w:t>
      </w:r>
      <w:r>
        <w:t>802,</w:t>
      </w:r>
      <w:r>
        <w:rPr>
          <w:spacing w:val="-1"/>
        </w:rPr>
        <w:t xml:space="preserve"> </w:t>
      </w:r>
      <w:r>
        <w:t>General</w:t>
      </w:r>
      <w:r>
        <w:rPr>
          <w:spacing w:val="-1"/>
        </w:rPr>
        <w:t xml:space="preserve"> </w:t>
      </w:r>
      <w:r>
        <w:t>Compliance</w:t>
      </w:r>
      <w:r>
        <w:rPr>
          <w:spacing w:val="-1"/>
        </w:rPr>
        <w:t xml:space="preserve"> </w:t>
      </w:r>
      <w:r>
        <w:t>Checklist.</w:t>
      </w:r>
      <w:r>
        <w:rPr>
          <w:spacing w:val="-1"/>
        </w:rPr>
        <w:t xml:space="preserve"> </w:t>
      </w:r>
      <w:r>
        <w:t>These procedures test compliance with the provisions listed on the Compliance Summary.</w:t>
      </w:r>
    </w:p>
    <w:p w14:paraId="0DFDBA67" w14:textId="77777777" w:rsidR="00046465" w:rsidRDefault="008134EB">
      <w:pPr>
        <w:pStyle w:val="BodyText"/>
        <w:spacing w:line="253" w:lineRule="exact"/>
        <w:ind w:left="360"/>
      </w:pPr>
      <w:r>
        <w:t>Implementing</w:t>
      </w:r>
      <w:r>
        <w:rPr>
          <w:spacing w:val="-7"/>
        </w:rPr>
        <w:t xml:space="preserve"> </w:t>
      </w:r>
      <w:r>
        <w:t>regulations</w:t>
      </w:r>
      <w:r>
        <w:rPr>
          <w:spacing w:val="-6"/>
        </w:rPr>
        <w:t xml:space="preserve"> </w:t>
      </w:r>
      <w:r>
        <w:t>for</w:t>
      </w:r>
      <w:r>
        <w:rPr>
          <w:spacing w:val="-7"/>
        </w:rPr>
        <w:t xml:space="preserve"> </w:t>
      </w:r>
      <w:r>
        <w:t>the</w:t>
      </w:r>
      <w:r>
        <w:rPr>
          <w:spacing w:val="-6"/>
        </w:rPr>
        <w:t xml:space="preserve"> </w:t>
      </w:r>
      <w:r>
        <w:t>Prompt</w:t>
      </w:r>
      <w:r>
        <w:rPr>
          <w:spacing w:val="-7"/>
        </w:rPr>
        <w:t xml:space="preserve"> </w:t>
      </w:r>
      <w:r>
        <w:t>Payment</w:t>
      </w:r>
      <w:r>
        <w:rPr>
          <w:spacing w:val="-6"/>
        </w:rPr>
        <w:t xml:space="preserve"> </w:t>
      </w:r>
      <w:r>
        <w:t>Act</w:t>
      </w:r>
      <w:r>
        <w:rPr>
          <w:spacing w:val="-7"/>
        </w:rPr>
        <w:t xml:space="preserve"> </w:t>
      </w:r>
      <w:r>
        <w:t>are</w:t>
      </w:r>
      <w:r>
        <w:rPr>
          <w:spacing w:val="-6"/>
        </w:rPr>
        <w:t xml:space="preserve"> </w:t>
      </w:r>
      <w:r>
        <w:t>included</w:t>
      </w:r>
      <w:r>
        <w:rPr>
          <w:spacing w:val="-7"/>
        </w:rPr>
        <w:t xml:space="preserve"> </w:t>
      </w:r>
      <w:r>
        <w:t>in</w:t>
      </w:r>
      <w:r>
        <w:rPr>
          <w:spacing w:val="-6"/>
        </w:rPr>
        <w:t xml:space="preserve"> </w:t>
      </w:r>
      <w:r>
        <w:t>5</w:t>
      </w:r>
      <w:r>
        <w:rPr>
          <w:spacing w:val="-8"/>
        </w:rPr>
        <w:t xml:space="preserve"> </w:t>
      </w:r>
      <w:r>
        <w:t>C.F.R.</w:t>
      </w:r>
      <w:r>
        <w:rPr>
          <w:spacing w:val="-6"/>
        </w:rPr>
        <w:t xml:space="preserve"> </w:t>
      </w:r>
      <w:r>
        <w:t>Part</w:t>
      </w:r>
      <w:r>
        <w:rPr>
          <w:spacing w:val="-6"/>
        </w:rPr>
        <w:t xml:space="preserve"> </w:t>
      </w:r>
      <w:r>
        <w:rPr>
          <w:spacing w:val="-2"/>
        </w:rPr>
        <w:t>1315.</w:t>
      </w:r>
    </w:p>
    <w:p w14:paraId="0DFDBA68" w14:textId="77777777" w:rsidR="00046465" w:rsidRDefault="00046465">
      <w:pPr>
        <w:pStyle w:val="BodyText"/>
        <w:spacing w:before="9"/>
        <w:rPr>
          <w:sz w:val="13"/>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80"/>
        <w:gridCol w:w="1152"/>
        <w:gridCol w:w="1218"/>
      </w:tblGrid>
      <w:tr w:rsidR="00046465" w14:paraId="0DFDBA6B" w14:textId="77777777">
        <w:trPr>
          <w:trHeight w:val="1335"/>
        </w:trPr>
        <w:tc>
          <w:tcPr>
            <w:tcW w:w="9450" w:type="dxa"/>
            <w:gridSpan w:val="3"/>
          </w:tcPr>
          <w:p w14:paraId="0DFDBA69" w14:textId="77777777" w:rsidR="00046465" w:rsidRDefault="008134EB">
            <w:pPr>
              <w:pStyle w:val="TableParagraph"/>
              <w:tabs>
                <w:tab w:val="left" w:pos="1605"/>
                <w:tab w:val="left" w:pos="1849"/>
                <w:tab w:val="left" w:pos="8944"/>
              </w:tabs>
              <w:spacing w:before="145" w:line="376" w:lineRule="auto"/>
              <w:ind w:left="130" w:right="458"/>
            </w:pPr>
            <w:r>
              <w:t>Name of entity:</w:t>
            </w:r>
            <w:r>
              <w:tab/>
            </w:r>
            <w:r>
              <w:rPr>
                <w:u w:val="single"/>
              </w:rPr>
              <w:tab/>
            </w:r>
            <w:r>
              <w:t xml:space="preserve"> Audit</w:t>
            </w:r>
            <w:r>
              <w:rPr>
                <w:spacing w:val="-7"/>
              </w:rPr>
              <w:t xml:space="preserve"> </w:t>
            </w:r>
            <w:r>
              <w:rPr>
                <w:spacing w:val="-2"/>
              </w:rPr>
              <w:t>period:</w:t>
            </w:r>
            <w:r>
              <w:tab/>
            </w:r>
            <w:r>
              <w:rPr>
                <w:u w:val="single"/>
              </w:rPr>
              <w:tab/>
            </w:r>
            <w:r>
              <w:rPr>
                <w:u w:val="single"/>
              </w:rPr>
              <w:tab/>
            </w:r>
          </w:p>
          <w:p w14:paraId="0DFDBA6A" w14:textId="77777777" w:rsidR="00046465" w:rsidRDefault="008134EB">
            <w:pPr>
              <w:pStyle w:val="TableParagraph"/>
              <w:tabs>
                <w:tab w:val="left" w:pos="8944"/>
              </w:tabs>
              <w:spacing w:line="252" w:lineRule="exact"/>
              <w:ind w:left="130"/>
            </w:pPr>
            <w:r>
              <w:t>Reviewed by:</w:t>
            </w:r>
            <w:r>
              <w:rPr>
                <w:spacing w:val="92"/>
              </w:rPr>
              <w:t xml:space="preserve"> </w:t>
            </w:r>
            <w:r>
              <w:rPr>
                <w:u w:val="single"/>
              </w:rPr>
              <w:tab/>
            </w:r>
          </w:p>
        </w:tc>
      </w:tr>
      <w:tr w:rsidR="00046465" w14:paraId="0DFDBA71" w14:textId="77777777">
        <w:trPr>
          <w:trHeight w:val="793"/>
        </w:trPr>
        <w:tc>
          <w:tcPr>
            <w:tcW w:w="7080" w:type="dxa"/>
            <w:tcBorders>
              <w:right w:val="single" w:sz="6" w:space="0" w:color="000000"/>
            </w:tcBorders>
          </w:tcPr>
          <w:p w14:paraId="0DFDBA6C" w14:textId="77777777" w:rsidR="00046465" w:rsidRDefault="00046465">
            <w:pPr>
              <w:pStyle w:val="TableParagraph"/>
              <w:spacing w:before="144"/>
            </w:pPr>
          </w:p>
          <w:p w14:paraId="0DFDBA6D"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152" w:type="dxa"/>
            <w:tcBorders>
              <w:left w:val="single" w:sz="6" w:space="0" w:color="000000"/>
              <w:right w:val="single" w:sz="6" w:space="0" w:color="000000"/>
            </w:tcBorders>
          </w:tcPr>
          <w:p w14:paraId="0DFDBA6E" w14:textId="77777777" w:rsidR="00046465" w:rsidRDefault="008134EB">
            <w:pPr>
              <w:pStyle w:val="TableParagraph"/>
              <w:spacing w:before="144"/>
              <w:ind w:left="144"/>
              <w:rPr>
                <w:b/>
              </w:rPr>
            </w:pPr>
            <w:r>
              <w:rPr>
                <w:b/>
                <w:spacing w:val="-2"/>
              </w:rPr>
              <w:t xml:space="preserve">Initials/ </w:t>
            </w:r>
            <w:r>
              <w:rPr>
                <w:b/>
                <w:spacing w:val="-4"/>
              </w:rPr>
              <w:t>date</w:t>
            </w:r>
          </w:p>
        </w:tc>
        <w:tc>
          <w:tcPr>
            <w:tcW w:w="1218" w:type="dxa"/>
            <w:tcBorders>
              <w:left w:val="single" w:sz="6" w:space="0" w:color="000000"/>
            </w:tcBorders>
          </w:tcPr>
          <w:p w14:paraId="0DFDBA6F" w14:textId="77777777" w:rsidR="00046465" w:rsidRDefault="00046465">
            <w:pPr>
              <w:pStyle w:val="TableParagraph"/>
              <w:spacing w:before="144"/>
            </w:pPr>
          </w:p>
          <w:p w14:paraId="0DFDBA70" w14:textId="77777777" w:rsidR="00046465" w:rsidRDefault="008134EB">
            <w:pPr>
              <w:pStyle w:val="TableParagraph"/>
              <w:ind w:left="144"/>
              <w:rPr>
                <w:b/>
              </w:rPr>
            </w:pPr>
            <w:r>
              <w:rPr>
                <w:b/>
              </w:rPr>
              <w:t>Doc.</w:t>
            </w:r>
            <w:r>
              <w:rPr>
                <w:b/>
                <w:spacing w:val="-6"/>
              </w:rPr>
              <w:t xml:space="preserve"> </w:t>
            </w:r>
            <w:r>
              <w:rPr>
                <w:b/>
                <w:spacing w:val="-4"/>
              </w:rPr>
              <w:t>ref.</w:t>
            </w:r>
          </w:p>
        </w:tc>
      </w:tr>
      <w:tr w:rsidR="00046465" w14:paraId="0DFDBA76" w14:textId="77777777">
        <w:trPr>
          <w:trHeight w:val="2853"/>
        </w:trPr>
        <w:tc>
          <w:tcPr>
            <w:tcW w:w="7080" w:type="dxa"/>
            <w:tcBorders>
              <w:bottom w:val="single" w:sz="6" w:space="0" w:color="000000"/>
              <w:right w:val="single" w:sz="6" w:space="0" w:color="000000"/>
            </w:tcBorders>
          </w:tcPr>
          <w:p w14:paraId="0DFDBA72" w14:textId="77777777" w:rsidR="00046465" w:rsidRDefault="008134EB">
            <w:pPr>
              <w:pStyle w:val="TableParagraph"/>
              <w:tabs>
                <w:tab w:val="left" w:pos="705"/>
              </w:tabs>
              <w:spacing w:before="144"/>
              <w:ind w:left="705" w:right="179" w:hanging="577"/>
              <w:rPr>
                <w:position w:val="7"/>
                <w:sz w:val="14"/>
              </w:rPr>
            </w:pPr>
            <w:r>
              <w:rPr>
                <w:spacing w:val="-6"/>
              </w:rPr>
              <w:t>1)</w:t>
            </w:r>
            <w:r>
              <w:tab/>
              <w:t>Based on the preliminary assessment of compliance control effectiveness (as documented on Form 806, Compliance Summary), select a statistical sample of payments from throughout</w:t>
            </w:r>
            <w:r>
              <w:rPr>
                <w:spacing w:val="-4"/>
              </w:rPr>
              <w:t xml:space="preserve"> </w:t>
            </w:r>
            <w:r>
              <w:t>the</w:t>
            </w:r>
            <w:r>
              <w:rPr>
                <w:spacing w:val="-4"/>
              </w:rPr>
              <w:t xml:space="preserve"> </w:t>
            </w:r>
            <w:r>
              <w:t>audit</w:t>
            </w:r>
            <w:r>
              <w:rPr>
                <w:spacing w:val="-4"/>
              </w:rPr>
              <w:t xml:space="preserve"> </w:t>
            </w:r>
            <w:r>
              <w:t>period.</w:t>
            </w:r>
            <w:r>
              <w:rPr>
                <w:spacing w:val="-4"/>
              </w:rPr>
              <w:t xml:space="preserve"> </w:t>
            </w:r>
            <w:r>
              <w:t>The</w:t>
            </w:r>
            <w:r>
              <w:rPr>
                <w:spacing w:val="-4"/>
              </w:rPr>
              <w:t xml:space="preserve"> </w:t>
            </w:r>
            <w:r>
              <w:t>sample</w:t>
            </w:r>
            <w:r>
              <w:rPr>
                <w:spacing w:val="-4"/>
              </w:rPr>
              <w:t xml:space="preserve"> </w:t>
            </w:r>
            <w:r>
              <w:t>size</w:t>
            </w:r>
            <w:r>
              <w:rPr>
                <w:spacing w:val="-4"/>
              </w:rPr>
              <w:t xml:space="preserve"> </w:t>
            </w:r>
            <w:r>
              <w:t>will</w:t>
            </w:r>
            <w:r>
              <w:rPr>
                <w:spacing w:val="-5"/>
              </w:rPr>
              <w:t xml:space="preserve"> </w:t>
            </w:r>
            <w:r>
              <w:t>vary</w:t>
            </w:r>
            <w:r>
              <w:rPr>
                <w:spacing w:val="-4"/>
              </w:rPr>
              <w:t xml:space="preserve"> </w:t>
            </w:r>
            <w:r>
              <w:t>based</w:t>
            </w:r>
            <w:r>
              <w:rPr>
                <w:spacing w:val="-5"/>
              </w:rPr>
              <w:t xml:space="preserve"> </w:t>
            </w:r>
            <w:r>
              <w:t>on the expected effectiveness of compliance controls, as discussed in FAM 460.02. Document the sampling approach (see example documentation in FAM 495 D).</w:t>
            </w:r>
            <w:hyperlink w:anchor="_bookmark115" w:history="1">
              <w:r>
                <w:rPr>
                  <w:position w:val="7"/>
                  <w:sz w:val="14"/>
                </w:rPr>
                <w:t>49</w:t>
              </w:r>
            </w:hyperlink>
          </w:p>
          <w:p w14:paraId="0DFDBA73" w14:textId="77777777" w:rsidR="00046465" w:rsidRDefault="008134EB">
            <w:pPr>
              <w:pStyle w:val="TableParagraph"/>
              <w:tabs>
                <w:tab w:val="left" w:pos="6497"/>
              </w:tabs>
              <w:spacing w:before="7" w:line="390" w:lineRule="atLeast"/>
              <w:ind w:left="704" w:right="549"/>
            </w:pPr>
            <w:r>
              <w:t xml:space="preserve">Sample size </w:t>
            </w:r>
            <w:r>
              <w:rPr>
                <w:u w:val="single"/>
              </w:rPr>
              <w:tab/>
            </w:r>
            <w:r>
              <w:t xml:space="preserve"> Sample selection method</w:t>
            </w:r>
            <w:r>
              <w:rPr>
                <w:spacing w:val="82"/>
              </w:rPr>
              <w:t xml:space="preserve"> </w:t>
            </w:r>
            <w:r>
              <w:rPr>
                <w:u w:val="single"/>
              </w:rPr>
              <w:tab/>
            </w:r>
          </w:p>
        </w:tc>
        <w:tc>
          <w:tcPr>
            <w:tcW w:w="1152" w:type="dxa"/>
            <w:tcBorders>
              <w:left w:val="single" w:sz="6" w:space="0" w:color="000000"/>
              <w:bottom w:val="single" w:sz="6" w:space="0" w:color="000000"/>
              <w:right w:val="single" w:sz="6" w:space="0" w:color="000000"/>
            </w:tcBorders>
          </w:tcPr>
          <w:p w14:paraId="0DFDBA74" w14:textId="77777777" w:rsidR="00046465" w:rsidRDefault="00046465">
            <w:pPr>
              <w:pStyle w:val="TableParagraph"/>
              <w:rPr>
                <w:rFonts w:ascii="Times New Roman"/>
                <w:sz w:val="20"/>
              </w:rPr>
            </w:pPr>
          </w:p>
        </w:tc>
        <w:tc>
          <w:tcPr>
            <w:tcW w:w="1218" w:type="dxa"/>
            <w:tcBorders>
              <w:left w:val="single" w:sz="6" w:space="0" w:color="000000"/>
              <w:bottom w:val="single" w:sz="6" w:space="0" w:color="000000"/>
            </w:tcBorders>
          </w:tcPr>
          <w:p w14:paraId="0DFDBA75" w14:textId="77777777" w:rsidR="00046465" w:rsidRDefault="00046465">
            <w:pPr>
              <w:pStyle w:val="TableParagraph"/>
              <w:rPr>
                <w:rFonts w:ascii="Times New Roman"/>
                <w:sz w:val="20"/>
              </w:rPr>
            </w:pPr>
          </w:p>
        </w:tc>
      </w:tr>
      <w:tr w:rsidR="00046465" w14:paraId="0DFDBA81" w14:textId="77777777">
        <w:trPr>
          <w:trHeight w:val="4168"/>
        </w:trPr>
        <w:tc>
          <w:tcPr>
            <w:tcW w:w="7080" w:type="dxa"/>
            <w:tcBorders>
              <w:top w:val="single" w:sz="6" w:space="0" w:color="000000"/>
              <w:bottom w:val="single" w:sz="6" w:space="0" w:color="000000"/>
              <w:right w:val="single" w:sz="6" w:space="0" w:color="000000"/>
            </w:tcBorders>
          </w:tcPr>
          <w:p w14:paraId="0DFDBA77" w14:textId="77777777" w:rsidR="00046465" w:rsidRDefault="008134EB">
            <w:pPr>
              <w:pStyle w:val="TableParagraph"/>
              <w:numPr>
                <w:ilvl w:val="0"/>
                <w:numId w:val="166"/>
              </w:numPr>
              <w:tabs>
                <w:tab w:val="left" w:pos="705"/>
              </w:tabs>
              <w:spacing w:before="143"/>
              <w:ind w:right="473" w:hanging="576"/>
            </w:pPr>
            <w:r>
              <w:t>For each item selected in step 1, obtain the supporting documentation</w:t>
            </w:r>
            <w:r>
              <w:rPr>
                <w:spacing w:val="-5"/>
              </w:rPr>
              <w:t xml:space="preserve"> </w:t>
            </w:r>
            <w:r>
              <w:t>for</w:t>
            </w:r>
            <w:r>
              <w:rPr>
                <w:spacing w:val="-5"/>
              </w:rPr>
              <w:t xml:space="preserve"> </w:t>
            </w:r>
            <w:r>
              <w:t>the</w:t>
            </w:r>
            <w:r>
              <w:rPr>
                <w:spacing w:val="-5"/>
              </w:rPr>
              <w:t xml:space="preserve"> </w:t>
            </w:r>
            <w:r>
              <w:t>payment,</w:t>
            </w:r>
            <w:r>
              <w:rPr>
                <w:spacing w:val="-5"/>
              </w:rPr>
              <w:t xml:space="preserve"> </w:t>
            </w:r>
            <w:r>
              <w:t>such</w:t>
            </w:r>
            <w:r>
              <w:rPr>
                <w:spacing w:val="-5"/>
              </w:rPr>
              <w:t xml:space="preserve"> </w:t>
            </w:r>
            <w:r>
              <w:t>as</w:t>
            </w:r>
            <w:r>
              <w:rPr>
                <w:spacing w:val="-5"/>
              </w:rPr>
              <w:t xml:space="preserve"> </w:t>
            </w:r>
            <w:r>
              <w:t>the</w:t>
            </w:r>
            <w:r>
              <w:rPr>
                <w:spacing w:val="-5"/>
              </w:rPr>
              <w:t xml:space="preserve"> </w:t>
            </w:r>
            <w:r>
              <w:t>invoice</w:t>
            </w:r>
            <w:r>
              <w:rPr>
                <w:spacing w:val="-5"/>
              </w:rPr>
              <w:t xml:space="preserve"> </w:t>
            </w:r>
            <w:r>
              <w:t xml:space="preserve">voucher </w:t>
            </w:r>
            <w:r>
              <w:rPr>
                <w:spacing w:val="-2"/>
              </w:rPr>
              <w:t>package.</w:t>
            </w:r>
          </w:p>
          <w:p w14:paraId="0DFDBA78" w14:textId="77777777" w:rsidR="00046465" w:rsidRDefault="008134EB">
            <w:pPr>
              <w:pStyle w:val="TableParagraph"/>
              <w:numPr>
                <w:ilvl w:val="1"/>
                <w:numId w:val="166"/>
              </w:numPr>
              <w:tabs>
                <w:tab w:val="left" w:pos="1239"/>
              </w:tabs>
              <w:spacing w:before="145"/>
              <w:ind w:hanging="534"/>
            </w:pPr>
            <w:r>
              <w:t>Document</w:t>
            </w:r>
            <w:r>
              <w:rPr>
                <w:spacing w:val="-9"/>
              </w:rPr>
              <w:t xml:space="preserve"> </w:t>
            </w:r>
            <w:r>
              <w:t>the</w:t>
            </w:r>
            <w:r>
              <w:rPr>
                <w:spacing w:val="-8"/>
              </w:rPr>
              <w:t xml:space="preserve"> </w:t>
            </w:r>
            <w:r>
              <w:t>following</w:t>
            </w:r>
            <w:r>
              <w:rPr>
                <w:spacing w:val="-9"/>
              </w:rPr>
              <w:t xml:space="preserve"> </w:t>
            </w:r>
            <w:r>
              <w:rPr>
                <w:spacing w:val="-2"/>
              </w:rPr>
              <w:t>items:</w:t>
            </w:r>
          </w:p>
          <w:p w14:paraId="0DFDBA79" w14:textId="77777777" w:rsidR="00046465" w:rsidRDefault="008134EB">
            <w:pPr>
              <w:pStyle w:val="TableParagraph"/>
              <w:numPr>
                <w:ilvl w:val="2"/>
                <w:numId w:val="166"/>
              </w:numPr>
              <w:tabs>
                <w:tab w:val="left" w:pos="1599"/>
              </w:tabs>
              <w:spacing w:before="144"/>
            </w:pPr>
            <w:r>
              <w:t>invoice</w:t>
            </w:r>
            <w:r>
              <w:rPr>
                <w:spacing w:val="-7"/>
              </w:rPr>
              <w:t xml:space="preserve"> </w:t>
            </w:r>
            <w:r>
              <w:rPr>
                <w:spacing w:val="-2"/>
              </w:rPr>
              <w:t>number;</w:t>
            </w:r>
          </w:p>
          <w:p w14:paraId="0DFDBA7A" w14:textId="77777777" w:rsidR="00046465" w:rsidRDefault="008134EB">
            <w:pPr>
              <w:pStyle w:val="TableParagraph"/>
              <w:numPr>
                <w:ilvl w:val="2"/>
                <w:numId w:val="166"/>
              </w:numPr>
              <w:tabs>
                <w:tab w:val="left" w:pos="1599"/>
              </w:tabs>
              <w:spacing w:before="142"/>
            </w:pPr>
            <w:r>
              <w:rPr>
                <w:spacing w:val="-2"/>
              </w:rPr>
              <w:t>payee;</w:t>
            </w:r>
          </w:p>
          <w:p w14:paraId="0DFDBA7B" w14:textId="77777777" w:rsidR="00046465" w:rsidRDefault="008134EB">
            <w:pPr>
              <w:pStyle w:val="TableParagraph"/>
              <w:numPr>
                <w:ilvl w:val="2"/>
                <w:numId w:val="166"/>
              </w:numPr>
              <w:tabs>
                <w:tab w:val="left" w:pos="1599"/>
              </w:tabs>
              <w:spacing w:before="142"/>
            </w:pPr>
            <w:r>
              <w:t>invoice</w:t>
            </w:r>
            <w:r>
              <w:rPr>
                <w:spacing w:val="-7"/>
              </w:rPr>
              <w:t xml:space="preserve"> </w:t>
            </w:r>
            <w:r>
              <w:rPr>
                <w:spacing w:val="-2"/>
              </w:rPr>
              <w:t>amount;</w:t>
            </w:r>
          </w:p>
          <w:p w14:paraId="0DFDBA7C" w14:textId="77777777" w:rsidR="00046465" w:rsidRDefault="008134EB">
            <w:pPr>
              <w:pStyle w:val="TableParagraph"/>
              <w:numPr>
                <w:ilvl w:val="2"/>
                <w:numId w:val="166"/>
              </w:numPr>
              <w:tabs>
                <w:tab w:val="left" w:pos="1599"/>
              </w:tabs>
              <w:spacing w:before="142"/>
            </w:pPr>
            <w:r>
              <w:t>invoice</w:t>
            </w:r>
            <w:r>
              <w:rPr>
                <w:spacing w:val="-7"/>
              </w:rPr>
              <w:t xml:space="preserve"> </w:t>
            </w:r>
            <w:r>
              <w:rPr>
                <w:spacing w:val="-2"/>
              </w:rPr>
              <w:t>date;</w:t>
            </w:r>
          </w:p>
          <w:p w14:paraId="0DFDBA7D" w14:textId="77777777" w:rsidR="00046465" w:rsidRDefault="008134EB">
            <w:pPr>
              <w:pStyle w:val="TableParagraph"/>
              <w:numPr>
                <w:ilvl w:val="2"/>
                <w:numId w:val="166"/>
              </w:numPr>
              <w:tabs>
                <w:tab w:val="left" w:pos="1599"/>
              </w:tabs>
              <w:spacing w:before="142"/>
              <w:ind w:right="241"/>
            </w:pPr>
            <w:r>
              <w:t>invoice receipt date (or other date used for determining</w:t>
            </w:r>
            <w:r>
              <w:rPr>
                <w:spacing w:val="-7"/>
              </w:rPr>
              <w:t xml:space="preserve"> </w:t>
            </w:r>
            <w:r>
              <w:t>compliance</w:t>
            </w:r>
            <w:r>
              <w:rPr>
                <w:spacing w:val="-8"/>
              </w:rPr>
              <w:t xml:space="preserve"> </w:t>
            </w:r>
            <w:r>
              <w:t>with</w:t>
            </w:r>
            <w:r>
              <w:rPr>
                <w:spacing w:val="-7"/>
              </w:rPr>
              <w:t xml:space="preserve"> </w:t>
            </w:r>
            <w:r>
              <w:t>this</w:t>
            </w:r>
            <w:r>
              <w:rPr>
                <w:spacing w:val="-7"/>
              </w:rPr>
              <w:t xml:space="preserve"> </w:t>
            </w:r>
            <w:r>
              <w:t>law—see</w:t>
            </w:r>
            <w:r>
              <w:rPr>
                <w:spacing w:val="-7"/>
              </w:rPr>
              <w:t xml:space="preserve"> </w:t>
            </w:r>
            <w:r>
              <w:t>step</w:t>
            </w:r>
            <w:r>
              <w:rPr>
                <w:spacing w:val="-8"/>
              </w:rPr>
              <w:t xml:space="preserve"> </w:t>
            </w:r>
            <w:r>
              <w:t>2(b));</w:t>
            </w:r>
          </w:p>
          <w:p w14:paraId="0DFDBA7E" w14:textId="77777777" w:rsidR="00046465" w:rsidRDefault="008134EB">
            <w:pPr>
              <w:pStyle w:val="TableParagraph"/>
              <w:numPr>
                <w:ilvl w:val="2"/>
                <w:numId w:val="166"/>
              </w:numPr>
              <w:tabs>
                <w:tab w:val="left" w:pos="1599"/>
              </w:tabs>
              <w:spacing w:before="142"/>
            </w:pPr>
            <w:r>
              <w:t>payment</w:t>
            </w:r>
            <w:r>
              <w:rPr>
                <w:spacing w:val="-10"/>
              </w:rPr>
              <w:t xml:space="preserve"> </w:t>
            </w:r>
            <w:r>
              <w:rPr>
                <w:spacing w:val="-2"/>
              </w:rPr>
              <w:t>date;</w:t>
            </w:r>
          </w:p>
        </w:tc>
        <w:tc>
          <w:tcPr>
            <w:tcW w:w="1152" w:type="dxa"/>
            <w:tcBorders>
              <w:top w:val="single" w:sz="6" w:space="0" w:color="000000"/>
              <w:left w:val="single" w:sz="6" w:space="0" w:color="000000"/>
              <w:bottom w:val="single" w:sz="6" w:space="0" w:color="000000"/>
              <w:right w:val="single" w:sz="6" w:space="0" w:color="000000"/>
            </w:tcBorders>
          </w:tcPr>
          <w:p w14:paraId="0DFDBA7F" w14:textId="77777777" w:rsidR="00046465" w:rsidRDefault="00046465">
            <w:pPr>
              <w:pStyle w:val="TableParagraph"/>
              <w:rPr>
                <w:rFonts w:ascii="Times New Roman"/>
                <w:sz w:val="20"/>
              </w:rPr>
            </w:pPr>
          </w:p>
        </w:tc>
        <w:tc>
          <w:tcPr>
            <w:tcW w:w="1218" w:type="dxa"/>
            <w:tcBorders>
              <w:top w:val="single" w:sz="6" w:space="0" w:color="000000"/>
              <w:left w:val="single" w:sz="6" w:space="0" w:color="000000"/>
              <w:bottom w:val="single" w:sz="6" w:space="0" w:color="000000"/>
            </w:tcBorders>
          </w:tcPr>
          <w:p w14:paraId="0DFDBA80" w14:textId="77777777" w:rsidR="00046465" w:rsidRDefault="00046465">
            <w:pPr>
              <w:pStyle w:val="TableParagraph"/>
              <w:rPr>
                <w:rFonts w:ascii="Times New Roman"/>
                <w:sz w:val="20"/>
              </w:rPr>
            </w:pPr>
          </w:p>
        </w:tc>
      </w:tr>
    </w:tbl>
    <w:p w14:paraId="0DFDBA82" w14:textId="77777777" w:rsidR="00046465" w:rsidRDefault="008134EB">
      <w:pPr>
        <w:pStyle w:val="BodyText"/>
        <w:spacing w:before="138"/>
        <w:rPr>
          <w:sz w:val="20"/>
        </w:rPr>
      </w:pPr>
      <w:r>
        <w:rPr>
          <w:noProof/>
          <w:sz w:val="20"/>
        </w:rPr>
        <mc:AlternateContent>
          <mc:Choice Requires="wps">
            <w:drawing>
              <wp:anchor distT="0" distB="0" distL="0" distR="0" simplePos="0" relativeHeight="487682048" behindDoc="1" locked="0" layoutInCell="1" allowOverlap="1" wp14:anchorId="0DFDD683" wp14:editId="0DFDD684">
                <wp:simplePos x="0" y="0"/>
                <wp:positionH relativeFrom="page">
                  <wp:posOffset>914400</wp:posOffset>
                </wp:positionH>
                <wp:positionV relativeFrom="paragraph">
                  <wp:posOffset>249427</wp:posOffset>
                </wp:positionV>
                <wp:extent cx="1828800" cy="6985"/>
                <wp:effectExtent l="0" t="0" r="0" b="0"/>
                <wp:wrapTopAndBottom/>
                <wp:docPr id="693" name="Graphic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AF5DAA" id="Graphic 693" o:spid="_x0000_s1026" style="position:absolute;margin-left:1in;margin-top:19.65pt;width:2in;height:.55pt;z-index:-1563443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" path="m1828800,l,,,6858r1828800,l1828800,xe" fillcolor="black" stroked="f">
                <v:path arrowok="t"/>
                <w10:wrap type="topAndBottom" anchorx="page"/>
              </v:shape>
            </w:pict>
          </mc:Fallback>
        </mc:AlternateContent>
      </w:r>
    </w:p>
    <w:p w14:paraId="0DFDBA83" w14:textId="77777777" w:rsidR="00046465" w:rsidRDefault="008134EB">
      <w:pPr>
        <w:spacing w:before="217" w:line="242" w:lineRule="auto"/>
        <w:ind w:left="359" w:right="372"/>
        <w:rPr>
          <w:sz w:val="18"/>
        </w:rPr>
      </w:pPr>
      <w:bookmarkStart w:id="222" w:name="_bookmark115"/>
      <w:bookmarkEnd w:id="222"/>
      <w:r>
        <w:rPr>
          <w:position w:val="7"/>
          <w:sz w:val="14"/>
        </w:rPr>
        <w:t>49</w:t>
      </w:r>
      <w:r>
        <w:rPr>
          <w:sz w:val="18"/>
        </w:rPr>
        <w:t>If</w:t>
      </w:r>
      <w:r>
        <w:rPr>
          <w:spacing w:val="-3"/>
          <w:sz w:val="18"/>
        </w:rPr>
        <w:t xml:space="preserve"> </w:t>
      </w:r>
      <w:r>
        <w:rPr>
          <w:sz w:val="18"/>
        </w:rPr>
        <w:t>the</w:t>
      </w:r>
      <w:r>
        <w:rPr>
          <w:spacing w:val="-4"/>
          <w:sz w:val="18"/>
        </w:rPr>
        <w:t xml:space="preserve"> </w:t>
      </w:r>
      <w:r>
        <w:rPr>
          <w:sz w:val="18"/>
        </w:rPr>
        <w:t>auditor</w:t>
      </w:r>
      <w:r>
        <w:rPr>
          <w:spacing w:val="-3"/>
          <w:sz w:val="18"/>
        </w:rPr>
        <w:t xml:space="preserve"> </w:t>
      </w:r>
      <w:r>
        <w:rPr>
          <w:sz w:val="18"/>
        </w:rPr>
        <w:t>uses</w:t>
      </w:r>
      <w:r>
        <w:rPr>
          <w:spacing w:val="-3"/>
          <w:sz w:val="18"/>
        </w:rPr>
        <w:t xml:space="preserve"> </w:t>
      </w:r>
      <w:r>
        <w:rPr>
          <w:sz w:val="18"/>
        </w:rPr>
        <w:t>multipurpose</w:t>
      </w:r>
      <w:r>
        <w:rPr>
          <w:spacing w:val="-4"/>
          <w:sz w:val="18"/>
        </w:rPr>
        <w:t xml:space="preserve"> </w:t>
      </w:r>
      <w:r>
        <w:rPr>
          <w:sz w:val="18"/>
        </w:rPr>
        <w:t>testing</w:t>
      </w:r>
      <w:r>
        <w:rPr>
          <w:spacing w:val="-4"/>
          <w:sz w:val="18"/>
        </w:rPr>
        <w:t xml:space="preserve"> </w:t>
      </w:r>
      <w:r>
        <w:rPr>
          <w:sz w:val="18"/>
        </w:rPr>
        <w:t>for</w:t>
      </w:r>
      <w:r>
        <w:rPr>
          <w:spacing w:val="-3"/>
          <w:sz w:val="18"/>
        </w:rPr>
        <w:t xml:space="preserve"> </w:t>
      </w:r>
      <w:r>
        <w:rPr>
          <w:sz w:val="18"/>
        </w:rPr>
        <w:t>the</w:t>
      </w:r>
      <w:r>
        <w:rPr>
          <w:spacing w:val="-4"/>
          <w:sz w:val="18"/>
        </w:rPr>
        <w:t xml:space="preserve"> </w:t>
      </w:r>
      <w:r>
        <w:rPr>
          <w:sz w:val="18"/>
        </w:rPr>
        <w:t>compliance</w:t>
      </w:r>
      <w:r>
        <w:rPr>
          <w:spacing w:val="-2"/>
          <w:sz w:val="18"/>
        </w:rPr>
        <w:t xml:space="preserve"> </w:t>
      </w:r>
      <w:r>
        <w:rPr>
          <w:sz w:val="18"/>
        </w:rPr>
        <w:t>test</w:t>
      </w:r>
      <w:r>
        <w:rPr>
          <w:spacing w:val="-3"/>
          <w:sz w:val="18"/>
        </w:rPr>
        <w:t xml:space="preserve"> </w:t>
      </w:r>
      <w:r>
        <w:rPr>
          <w:sz w:val="18"/>
        </w:rPr>
        <w:t>and/or</w:t>
      </w:r>
      <w:r>
        <w:rPr>
          <w:spacing w:val="-3"/>
          <w:sz w:val="18"/>
        </w:rPr>
        <w:t xml:space="preserve"> </w:t>
      </w:r>
      <w:r>
        <w:rPr>
          <w:sz w:val="18"/>
        </w:rPr>
        <w:t>compliance</w:t>
      </w:r>
      <w:r>
        <w:rPr>
          <w:spacing w:val="-4"/>
          <w:sz w:val="18"/>
        </w:rPr>
        <w:t xml:space="preserve"> </w:t>
      </w:r>
      <w:r>
        <w:rPr>
          <w:sz w:val="18"/>
        </w:rPr>
        <w:t>control</w:t>
      </w:r>
      <w:r>
        <w:rPr>
          <w:spacing w:val="-3"/>
          <w:sz w:val="18"/>
        </w:rPr>
        <w:t xml:space="preserve"> </w:t>
      </w:r>
      <w:r>
        <w:rPr>
          <w:sz w:val="18"/>
        </w:rPr>
        <w:t>test</w:t>
      </w:r>
      <w:r>
        <w:rPr>
          <w:spacing w:val="-3"/>
          <w:sz w:val="18"/>
        </w:rPr>
        <w:t xml:space="preserve"> </w:t>
      </w:r>
      <w:r>
        <w:rPr>
          <w:sz w:val="18"/>
        </w:rPr>
        <w:t>and/or</w:t>
      </w:r>
      <w:r>
        <w:rPr>
          <w:spacing w:val="-3"/>
          <w:sz w:val="18"/>
        </w:rPr>
        <w:t xml:space="preserve"> </w:t>
      </w:r>
      <w:r>
        <w:rPr>
          <w:sz w:val="18"/>
        </w:rPr>
        <w:t>a</w:t>
      </w:r>
      <w:r>
        <w:rPr>
          <w:spacing w:val="-2"/>
          <w:sz w:val="18"/>
        </w:rPr>
        <w:t xml:space="preserve"> </w:t>
      </w:r>
      <w:r>
        <w:rPr>
          <w:sz w:val="18"/>
        </w:rPr>
        <w:t>substantive test</w:t>
      </w:r>
      <w:r>
        <w:rPr>
          <w:spacing w:val="-1"/>
          <w:sz w:val="18"/>
        </w:rPr>
        <w:t xml:space="preserve"> </w:t>
      </w:r>
      <w:r>
        <w:rPr>
          <w:sz w:val="18"/>
        </w:rPr>
        <w:t>of</w:t>
      </w:r>
      <w:r>
        <w:rPr>
          <w:spacing w:val="-2"/>
          <w:sz w:val="18"/>
        </w:rPr>
        <w:t xml:space="preserve"> </w:t>
      </w:r>
      <w:r>
        <w:rPr>
          <w:sz w:val="18"/>
        </w:rPr>
        <w:t>payments</w:t>
      </w:r>
      <w:r>
        <w:rPr>
          <w:spacing w:val="-1"/>
          <w:sz w:val="18"/>
        </w:rPr>
        <w:t xml:space="preserve"> </w:t>
      </w:r>
      <w:r>
        <w:rPr>
          <w:sz w:val="18"/>
        </w:rPr>
        <w:t>details,</w:t>
      </w:r>
      <w:r>
        <w:rPr>
          <w:spacing w:val="-2"/>
          <w:sz w:val="18"/>
        </w:rPr>
        <w:t xml:space="preserve"> </w:t>
      </w:r>
      <w:r>
        <w:rPr>
          <w:sz w:val="18"/>
        </w:rPr>
        <w:t>the</w:t>
      </w:r>
      <w:r>
        <w:rPr>
          <w:spacing w:val="-2"/>
          <w:sz w:val="18"/>
        </w:rPr>
        <w:t xml:space="preserve"> </w:t>
      </w:r>
      <w:r>
        <w:rPr>
          <w:sz w:val="18"/>
        </w:rPr>
        <w:t>sample</w:t>
      </w:r>
      <w:r>
        <w:rPr>
          <w:spacing w:val="-2"/>
          <w:sz w:val="18"/>
        </w:rPr>
        <w:t xml:space="preserve"> </w:t>
      </w:r>
      <w:r>
        <w:rPr>
          <w:sz w:val="18"/>
        </w:rPr>
        <w:t>items</w:t>
      </w:r>
      <w:r>
        <w:rPr>
          <w:spacing w:val="-1"/>
          <w:sz w:val="18"/>
        </w:rPr>
        <w:t xml:space="preserve"> </w:t>
      </w:r>
      <w:r>
        <w:rPr>
          <w:sz w:val="18"/>
        </w:rPr>
        <w:t>for</w:t>
      </w:r>
      <w:r>
        <w:rPr>
          <w:spacing w:val="-2"/>
          <w:sz w:val="18"/>
        </w:rPr>
        <w:t xml:space="preserve"> </w:t>
      </w:r>
      <w:r>
        <w:rPr>
          <w:sz w:val="18"/>
        </w:rPr>
        <w:t>the</w:t>
      </w:r>
      <w:r>
        <w:rPr>
          <w:spacing w:val="-2"/>
          <w:sz w:val="18"/>
        </w:rPr>
        <w:t xml:space="preserve"> </w:t>
      </w:r>
      <w:r>
        <w:rPr>
          <w:sz w:val="18"/>
        </w:rPr>
        <w:t>compliance</w:t>
      </w:r>
      <w:r>
        <w:rPr>
          <w:spacing w:val="-2"/>
          <w:sz w:val="18"/>
        </w:rPr>
        <w:t xml:space="preserve"> </w:t>
      </w:r>
      <w:r>
        <w:rPr>
          <w:sz w:val="18"/>
        </w:rPr>
        <w:t>test</w:t>
      </w:r>
      <w:r>
        <w:rPr>
          <w:spacing w:val="-1"/>
          <w:sz w:val="18"/>
        </w:rPr>
        <w:t xml:space="preserve"> </w:t>
      </w:r>
      <w:r>
        <w:rPr>
          <w:sz w:val="18"/>
        </w:rPr>
        <w:t>and/or</w:t>
      </w:r>
      <w:r>
        <w:rPr>
          <w:spacing w:val="-2"/>
          <w:sz w:val="18"/>
        </w:rPr>
        <w:t xml:space="preserve"> </w:t>
      </w:r>
      <w:r>
        <w:rPr>
          <w:sz w:val="18"/>
        </w:rPr>
        <w:t>compliance</w:t>
      </w:r>
      <w:r>
        <w:rPr>
          <w:spacing w:val="-2"/>
          <w:sz w:val="18"/>
        </w:rPr>
        <w:t xml:space="preserve"> </w:t>
      </w:r>
      <w:r>
        <w:rPr>
          <w:sz w:val="18"/>
        </w:rPr>
        <w:t>control</w:t>
      </w:r>
      <w:r>
        <w:rPr>
          <w:spacing w:val="-1"/>
          <w:sz w:val="18"/>
        </w:rPr>
        <w:t xml:space="preserve"> </w:t>
      </w:r>
      <w:r>
        <w:rPr>
          <w:sz w:val="18"/>
        </w:rPr>
        <w:t>test</w:t>
      </w:r>
      <w:r>
        <w:rPr>
          <w:spacing w:val="-2"/>
          <w:sz w:val="18"/>
        </w:rPr>
        <w:t xml:space="preserve"> </w:t>
      </w:r>
      <w:r>
        <w:rPr>
          <w:sz w:val="18"/>
        </w:rPr>
        <w:t>should</w:t>
      </w:r>
      <w:r>
        <w:rPr>
          <w:spacing w:val="-2"/>
          <w:sz w:val="18"/>
        </w:rPr>
        <w:t xml:space="preserve"> </w:t>
      </w:r>
      <w:r>
        <w:rPr>
          <w:sz w:val="18"/>
        </w:rPr>
        <w:t>be</w:t>
      </w:r>
      <w:r>
        <w:rPr>
          <w:spacing w:val="-2"/>
          <w:sz w:val="18"/>
        </w:rPr>
        <w:t xml:space="preserve"> </w:t>
      </w:r>
      <w:r>
        <w:rPr>
          <w:sz w:val="18"/>
        </w:rPr>
        <w:t>selected using the sampling method used for the substantive test, as described in FAM 430, Design Tests. Otherwise, the auditor should select items using attribute sampling, as discussed in FAM 460.02.</w:t>
      </w:r>
    </w:p>
    <w:p w14:paraId="0DFDBA84" w14:textId="77777777" w:rsidR="00046465" w:rsidRDefault="008134EB">
      <w:pPr>
        <w:spacing w:before="119"/>
        <w:ind w:left="359" w:right="372"/>
        <w:rPr>
          <w:sz w:val="18"/>
        </w:rPr>
      </w:pPr>
      <w:r>
        <w:rPr>
          <w:sz w:val="18"/>
        </w:rPr>
        <w:t>As</w:t>
      </w:r>
      <w:r>
        <w:rPr>
          <w:spacing w:val="-3"/>
          <w:sz w:val="18"/>
        </w:rPr>
        <w:t xml:space="preserve"> </w:t>
      </w:r>
      <w:r>
        <w:rPr>
          <w:sz w:val="18"/>
        </w:rPr>
        <w:t>with</w:t>
      </w:r>
      <w:r>
        <w:rPr>
          <w:spacing w:val="-4"/>
          <w:sz w:val="18"/>
        </w:rPr>
        <w:t xml:space="preserve"> </w:t>
      </w:r>
      <w:r>
        <w:rPr>
          <w:sz w:val="18"/>
        </w:rPr>
        <w:t>all</w:t>
      </w:r>
      <w:r>
        <w:rPr>
          <w:spacing w:val="-3"/>
          <w:sz w:val="18"/>
        </w:rPr>
        <w:t xml:space="preserve"> </w:t>
      </w:r>
      <w:r>
        <w:rPr>
          <w:sz w:val="18"/>
        </w:rPr>
        <w:t>sampling</w:t>
      </w:r>
      <w:r>
        <w:rPr>
          <w:spacing w:val="-4"/>
          <w:sz w:val="18"/>
        </w:rPr>
        <w:t xml:space="preserve"> </w:t>
      </w:r>
      <w:r>
        <w:rPr>
          <w:sz w:val="18"/>
        </w:rPr>
        <w:t>applications,</w:t>
      </w:r>
      <w:r>
        <w:rPr>
          <w:spacing w:val="-3"/>
          <w:sz w:val="18"/>
        </w:rPr>
        <w:t xml:space="preserve"> </w:t>
      </w:r>
      <w:r>
        <w:rPr>
          <w:sz w:val="18"/>
        </w:rPr>
        <w:t>the</w:t>
      </w:r>
      <w:r>
        <w:rPr>
          <w:spacing w:val="-4"/>
          <w:sz w:val="18"/>
        </w:rPr>
        <w:t xml:space="preserve"> </w:t>
      </w:r>
      <w:r>
        <w:rPr>
          <w:sz w:val="18"/>
        </w:rPr>
        <w:t>auditor</w:t>
      </w:r>
      <w:r>
        <w:rPr>
          <w:spacing w:val="-3"/>
          <w:sz w:val="18"/>
        </w:rPr>
        <w:t xml:space="preserve"> </w:t>
      </w:r>
      <w:r>
        <w:rPr>
          <w:sz w:val="18"/>
        </w:rPr>
        <w:t>should</w:t>
      </w:r>
      <w:r>
        <w:rPr>
          <w:spacing w:val="-4"/>
          <w:sz w:val="18"/>
        </w:rPr>
        <w:t xml:space="preserve"> </w:t>
      </w:r>
      <w:r>
        <w:rPr>
          <w:sz w:val="18"/>
        </w:rPr>
        <w:t>consider</w:t>
      </w:r>
      <w:r>
        <w:rPr>
          <w:spacing w:val="-3"/>
          <w:sz w:val="18"/>
        </w:rPr>
        <w:t xml:space="preserve"> </w:t>
      </w:r>
      <w:r>
        <w:rPr>
          <w:sz w:val="18"/>
        </w:rPr>
        <w:t>the</w:t>
      </w:r>
      <w:r>
        <w:rPr>
          <w:spacing w:val="-4"/>
          <w:sz w:val="18"/>
        </w:rPr>
        <w:t xml:space="preserve"> </w:t>
      </w:r>
      <w:r>
        <w:rPr>
          <w:sz w:val="18"/>
        </w:rPr>
        <w:t>completeness</w:t>
      </w:r>
      <w:r>
        <w:rPr>
          <w:spacing w:val="-3"/>
          <w:sz w:val="18"/>
        </w:rPr>
        <w:t xml:space="preserve"> </w:t>
      </w:r>
      <w:r>
        <w:rPr>
          <w:sz w:val="18"/>
        </w:rPr>
        <w:t>of</w:t>
      </w:r>
      <w:r>
        <w:rPr>
          <w:spacing w:val="-3"/>
          <w:sz w:val="18"/>
        </w:rPr>
        <w:t xml:space="preserve"> </w:t>
      </w:r>
      <w:r>
        <w:rPr>
          <w:sz w:val="18"/>
        </w:rPr>
        <w:t>the</w:t>
      </w:r>
      <w:r>
        <w:rPr>
          <w:spacing w:val="-4"/>
          <w:sz w:val="18"/>
        </w:rPr>
        <w:t xml:space="preserve"> </w:t>
      </w:r>
      <w:r>
        <w:rPr>
          <w:sz w:val="18"/>
        </w:rPr>
        <w:t>test</w:t>
      </w:r>
      <w:r>
        <w:rPr>
          <w:spacing w:val="-3"/>
          <w:sz w:val="18"/>
        </w:rPr>
        <w:t xml:space="preserve"> </w:t>
      </w:r>
      <w:r>
        <w:rPr>
          <w:sz w:val="18"/>
        </w:rPr>
        <w:t>population.</w:t>
      </w:r>
      <w:r>
        <w:rPr>
          <w:spacing w:val="-3"/>
          <w:sz w:val="18"/>
        </w:rPr>
        <w:t xml:space="preserve"> </w:t>
      </w:r>
      <w:r>
        <w:rPr>
          <w:sz w:val="18"/>
        </w:rPr>
        <w:t>For</w:t>
      </w:r>
      <w:r>
        <w:rPr>
          <w:spacing w:val="-3"/>
          <w:sz w:val="18"/>
        </w:rPr>
        <w:t xml:space="preserve"> </w:t>
      </w:r>
      <w:r>
        <w:rPr>
          <w:sz w:val="18"/>
        </w:rPr>
        <w:t>efficiency, the auditor should consider using records that were tested for validity, accuracy, and completeness (as well as the other assertions) in conjunction with substantive tests of the population.</w:t>
      </w:r>
    </w:p>
    <w:p w14:paraId="0DFDBA85" w14:textId="77777777" w:rsidR="00046465" w:rsidRDefault="00046465">
      <w:pPr>
        <w:rPr>
          <w:sz w:val="18"/>
        </w:rPr>
        <w:sectPr w:rsidR="00046465">
          <w:headerReference w:type="default" r:id="rId139"/>
          <w:footerReference w:type="default" r:id="rId140"/>
          <w:pgSz w:w="12240" w:h="15840"/>
          <w:pgMar w:top="1380" w:right="1080" w:bottom="940" w:left="1080" w:header="721" w:footer="742" w:gutter="0"/>
          <w:cols w:space="720"/>
        </w:sectPr>
      </w:pPr>
    </w:p>
    <w:p w14:paraId="0DFDBA86" w14:textId="77777777" w:rsidR="00046465" w:rsidRDefault="00046465">
      <w:pPr>
        <w:pStyle w:val="BodyText"/>
        <w:spacing w:before="4" w:after="1"/>
        <w:rPr>
          <w:sz w:val="8"/>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80"/>
        <w:gridCol w:w="1152"/>
        <w:gridCol w:w="1218"/>
      </w:tblGrid>
      <w:tr w:rsidR="00046465" w14:paraId="0DFDBA88" w14:textId="77777777">
        <w:trPr>
          <w:trHeight w:val="1335"/>
        </w:trPr>
        <w:tc>
          <w:tcPr>
            <w:tcW w:w="9450" w:type="dxa"/>
            <w:gridSpan w:val="3"/>
          </w:tcPr>
          <w:p w14:paraId="0DFDBA87" w14:textId="77777777" w:rsidR="00046465" w:rsidRDefault="008134EB">
            <w:pPr>
              <w:pStyle w:val="TableParagraph"/>
              <w:tabs>
                <w:tab w:val="left" w:pos="8943"/>
              </w:tabs>
              <w:spacing w:before="7" w:line="390" w:lineRule="atLeast"/>
              <w:ind w:left="129" w:right="459"/>
              <w:jc w:val="both"/>
            </w:pPr>
            <w:r>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A8E" w14:textId="77777777">
        <w:trPr>
          <w:trHeight w:val="793"/>
        </w:trPr>
        <w:tc>
          <w:tcPr>
            <w:tcW w:w="7080" w:type="dxa"/>
            <w:tcBorders>
              <w:right w:val="single" w:sz="6" w:space="0" w:color="000000"/>
            </w:tcBorders>
          </w:tcPr>
          <w:p w14:paraId="0DFDBA89" w14:textId="77777777" w:rsidR="00046465" w:rsidRDefault="00046465">
            <w:pPr>
              <w:pStyle w:val="TableParagraph"/>
              <w:spacing w:before="144"/>
            </w:pPr>
          </w:p>
          <w:p w14:paraId="0DFDBA8A"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152" w:type="dxa"/>
            <w:tcBorders>
              <w:left w:val="single" w:sz="6" w:space="0" w:color="000000"/>
              <w:right w:val="single" w:sz="6" w:space="0" w:color="000000"/>
            </w:tcBorders>
          </w:tcPr>
          <w:p w14:paraId="0DFDBA8B" w14:textId="77777777" w:rsidR="00046465" w:rsidRDefault="008134EB">
            <w:pPr>
              <w:pStyle w:val="TableParagraph"/>
              <w:spacing w:before="144"/>
              <w:ind w:left="144"/>
              <w:rPr>
                <w:b/>
              </w:rPr>
            </w:pPr>
            <w:r>
              <w:rPr>
                <w:b/>
                <w:spacing w:val="-2"/>
              </w:rPr>
              <w:t xml:space="preserve">Initials/ </w:t>
            </w:r>
            <w:r>
              <w:rPr>
                <w:b/>
                <w:spacing w:val="-4"/>
              </w:rPr>
              <w:t>date</w:t>
            </w:r>
          </w:p>
        </w:tc>
        <w:tc>
          <w:tcPr>
            <w:tcW w:w="1218" w:type="dxa"/>
            <w:tcBorders>
              <w:left w:val="single" w:sz="6" w:space="0" w:color="000000"/>
            </w:tcBorders>
          </w:tcPr>
          <w:p w14:paraId="0DFDBA8C" w14:textId="77777777" w:rsidR="00046465" w:rsidRDefault="00046465">
            <w:pPr>
              <w:pStyle w:val="TableParagraph"/>
              <w:spacing w:before="144"/>
            </w:pPr>
          </w:p>
          <w:p w14:paraId="0DFDBA8D" w14:textId="77777777" w:rsidR="00046465" w:rsidRDefault="008134EB">
            <w:pPr>
              <w:pStyle w:val="TableParagraph"/>
              <w:ind w:left="144"/>
              <w:rPr>
                <w:b/>
              </w:rPr>
            </w:pPr>
            <w:r>
              <w:rPr>
                <w:b/>
              </w:rPr>
              <w:t>Doc.</w:t>
            </w:r>
            <w:r>
              <w:rPr>
                <w:b/>
                <w:spacing w:val="-6"/>
              </w:rPr>
              <w:t xml:space="preserve"> </w:t>
            </w:r>
            <w:r>
              <w:rPr>
                <w:b/>
                <w:spacing w:val="-4"/>
              </w:rPr>
              <w:t>ref.</w:t>
            </w:r>
          </w:p>
        </w:tc>
      </w:tr>
      <w:tr w:rsidR="00046465" w14:paraId="0DFDBA94" w14:textId="77777777">
        <w:trPr>
          <w:trHeight w:val="1489"/>
        </w:trPr>
        <w:tc>
          <w:tcPr>
            <w:tcW w:w="7080" w:type="dxa"/>
            <w:tcBorders>
              <w:bottom w:val="single" w:sz="6" w:space="0" w:color="000000"/>
              <w:right w:val="single" w:sz="6" w:space="0" w:color="000000"/>
            </w:tcBorders>
          </w:tcPr>
          <w:p w14:paraId="0DFDBA8F" w14:textId="77777777" w:rsidR="00046465" w:rsidRDefault="008134EB">
            <w:pPr>
              <w:pStyle w:val="TableParagraph"/>
              <w:numPr>
                <w:ilvl w:val="0"/>
                <w:numId w:val="165"/>
              </w:numPr>
              <w:tabs>
                <w:tab w:val="left" w:pos="1599"/>
              </w:tabs>
              <w:spacing w:before="1"/>
            </w:pPr>
            <w:r>
              <w:t>amount</w:t>
            </w:r>
            <w:r>
              <w:rPr>
                <w:spacing w:val="-6"/>
              </w:rPr>
              <w:t xml:space="preserve"> </w:t>
            </w:r>
            <w:r>
              <w:t>of</w:t>
            </w:r>
            <w:r>
              <w:rPr>
                <w:spacing w:val="-5"/>
              </w:rPr>
              <w:t xml:space="preserve"> </w:t>
            </w:r>
            <w:r>
              <w:t>interest</w:t>
            </w:r>
            <w:r>
              <w:rPr>
                <w:spacing w:val="-6"/>
              </w:rPr>
              <w:t xml:space="preserve"> </w:t>
            </w:r>
            <w:r>
              <w:t>penalty</w:t>
            </w:r>
            <w:r>
              <w:rPr>
                <w:spacing w:val="-5"/>
              </w:rPr>
              <w:t xml:space="preserve"> </w:t>
            </w:r>
            <w:r>
              <w:t>paid,</w:t>
            </w:r>
            <w:r>
              <w:rPr>
                <w:spacing w:val="-5"/>
              </w:rPr>
              <w:t xml:space="preserve"> </w:t>
            </w:r>
            <w:r>
              <w:t>if</w:t>
            </w:r>
            <w:r>
              <w:rPr>
                <w:spacing w:val="-6"/>
              </w:rPr>
              <w:t xml:space="preserve"> </w:t>
            </w:r>
            <w:r>
              <w:rPr>
                <w:spacing w:val="-4"/>
              </w:rPr>
              <w:t>any;</w:t>
            </w:r>
          </w:p>
          <w:p w14:paraId="0DFDBA90" w14:textId="77777777" w:rsidR="00046465" w:rsidRDefault="008134EB">
            <w:pPr>
              <w:pStyle w:val="TableParagraph"/>
              <w:numPr>
                <w:ilvl w:val="0"/>
                <w:numId w:val="165"/>
              </w:numPr>
              <w:tabs>
                <w:tab w:val="left" w:pos="1599"/>
              </w:tabs>
              <w:spacing w:before="142"/>
            </w:pPr>
            <w:r>
              <w:t>amount</w:t>
            </w:r>
            <w:r>
              <w:rPr>
                <w:spacing w:val="-6"/>
              </w:rPr>
              <w:t xml:space="preserve"> </w:t>
            </w:r>
            <w:r>
              <w:t>of</w:t>
            </w:r>
            <w:r>
              <w:rPr>
                <w:spacing w:val="-5"/>
              </w:rPr>
              <w:t xml:space="preserve"> </w:t>
            </w:r>
            <w:r>
              <w:t>discount</w:t>
            </w:r>
            <w:r>
              <w:rPr>
                <w:spacing w:val="-5"/>
              </w:rPr>
              <w:t xml:space="preserve"> </w:t>
            </w:r>
            <w:r>
              <w:t>taken,</w:t>
            </w:r>
            <w:r>
              <w:rPr>
                <w:spacing w:val="-5"/>
              </w:rPr>
              <w:t xml:space="preserve"> </w:t>
            </w:r>
            <w:r>
              <w:t>if</w:t>
            </w:r>
            <w:r>
              <w:rPr>
                <w:spacing w:val="-5"/>
              </w:rPr>
              <w:t xml:space="preserve"> </w:t>
            </w:r>
            <w:r>
              <w:t>any;</w:t>
            </w:r>
            <w:r>
              <w:rPr>
                <w:spacing w:val="-5"/>
              </w:rPr>
              <w:t xml:space="preserve"> and</w:t>
            </w:r>
          </w:p>
          <w:p w14:paraId="0DFDBA91" w14:textId="77777777" w:rsidR="00046465" w:rsidRDefault="008134EB">
            <w:pPr>
              <w:pStyle w:val="TableParagraph"/>
              <w:numPr>
                <w:ilvl w:val="0"/>
                <w:numId w:val="165"/>
              </w:numPr>
              <w:tabs>
                <w:tab w:val="left" w:pos="1599"/>
              </w:tabs>
              <w:spacing w:before="142"/>
              <w:ind w:right="325"/>
            </w:pPr>
            <w:r>
              <w:t>appropriation</w:t>
            </w:r>
            <w:r>
              <w:rPr>
                <w:spacing w:val="-8"/>
              </w:rPr>
              <w:t xml:space="preserve"> </w:t>
            </w:r>
            <w:r>
              <w:t>account(s)</w:t>
            </w:r>
            <w:r>
              <w:rPr>
                <w:spacing w:val="-9"/>
              </w:rPr>
              <w:t xml:space="preserve"> </w:t>
            </w:r>
            <w:r>
              <w:t>charged</w:t>
            </w:r>
            <w:r>
              <w:rPr>
                <w:spacing w:val="-8"/>
              </w:rPr>
              <w:t xml:space="preserve"> </w:t>
            </w:r>
            <w:r>
              <w:t>for</w:t>
            </w:r>
            <w:r>
              <w:rPr>
                <w:spacing w:val="-9"/>
              </w:rPr>
              <w:t xml:space="preserve"> </w:t>
            </w:r>
            <w:r>
              <w:t>the</w:t>
            </w:r>
            <w:r>
              <w:rPr>
                <w:spacing w:val="-8"/>
              </w:rPr>
              <w:t xml:space="preserve"> </w:t>
            </w:r>
            <w:r>
              <w:t>expenditure and interest penalty, if any.</w:t>
            </w:r>
          </w:p>
        </w:tc>
        <w:tc>
          <w:tcPr>
            <w:tcW w:w="1152" w:type="dxa"/>
            <w:tcBorders>
              <w:left w:val="single" w:sz="6" w:space="0" w:color="000000"/>
              <w:bottom w:val="single" w:sz="6" w:space="0" w:color="000000"/>
              <w:right w:val="single" w:sz="6" w:space="0" w:color="000000"/>
            </w:tcBorders>
          </w:tcPr>
          <w:p w14:paraId="0DFDBA92" w14:textId="77777777" w:rsidR="00046465" w:rsidRDefault="00046465">
            <w:pPr>
              <w:pStyle w:val="TableParagraph"/>
              <w:rPr>
                <w:rFonts w:ascii="Times New Roman"/>
                <w:sz w:val="20"/>
              </w:rPr>
            </w:pPr>
          </w:p>
        </w:tc>
        <w:tc>
          <w:tcPr>
            <w:tcW w:w="1218" w:type="dxa"/>
            <w:tcBorders>
              <w:left w:val="single" w:sz="6" w:space="0" w:color="000000"/>
              <w:bottom w:val="single" w:sz="6" w:space="0" w:color="000000"/>
            </w:tcBorders>
          </w:tcPr>
          <w:p w14:paraId="0DFDBA93" w14:textId="77777777" w:rsidR="00046465" w:rsidRDefault="00046465">
            <w:pPr>
              <w:pStyle w:val="TableParagraph"/>
              <w:rPr>
                <w:rFonts w:ascii="Times New Roman"/>
                <w:sz w:val="20"/>
              </w:rPr>
            </w:pPr>
          </w:p>
        </w:tc>
      </w:tr>
      <w:tr w:rsidR="00046465" w14:paraId="0DFDBA9C" w14:textId="77777777">
        <w:trPr>
          <w:trHeight w:val="7441"/>
        </w:trPr>
        <w:tc>
          <w:tcPr>
            <w:tcW w:w="7080" w:type="dxa"/>
            <w:tcBorders>
              <w:top w:val="single" w:sz="6" w:space="0" w:color="000000"/>
              <w:bottom w:val="single" w:sz="6" w:space="0" w:color="000000"/>
              <w:right w:val="single" w:sz="6" w:space="0" w:color="000000"/>
            </w:tcBorders>
          </w:tcPr>
          <w:p w14:paraId="0DFDBA95" w14:textId="77777777" w:rsidR="00046465" w:rsidRDefault="008134EB">
            <w:pPr>
              <w:pStyle w:val="TableParagraph"/>
              <w:tabs>
                <w:tab w:val="left" w:pos="1281"/>
              </w:tabs>
              <w:spacing w:before="143"/>
              <w:ind w:left="1281" w:right="302" w:hanging="577"/>
            </w:pPr>
            <w:r>
              <w:rPr>
                <w:spacing w:val="-6"/>
              </w:rPr>
              <w:t>b)</w:t>
            </w:r>
            <w:r>
              <w:tab/>
              <w:t>For each item selected, note whether the payment was made by the required due date. The required due date may be the date specified in the contract or, if a date is not specified, 30 days after receipt of the invoice. If payment is for meat or meat food products, perishable agricultural products, dairy products, or construction contracts, then consult with OGC to determine the payment due date. Specific payment due dates to avoid interest</w:t>
            </w:r>
            <w:r>
              <w:rPr>
                <w:spacing w:val="-5"/>
              </w:rPr>
              <w:t xml:space="preserve"> </w:t>
            </w:r>
            <w:r>
              <w:t>penalties</w:t>
            </w:r>
            <w:r>
              <w:rPr>
                <w:spacing w:val="-5"/>
              </w:rPr>
              <w:t xml:space="preserve"> </w:t>
            </w:r>
            <w:r>
              <w:t>are</w:t>
            </w:r>
            <w:r>
              <w:rPr>
                <w:spacing w:val="-5"/>
              </w:rPr>
              <w:t xml:space="preserve"> </w:t>
            </w:r>
            <w:r>
              <w:t>established</w:t>
            </w:r>
            <w:r>
              <w:rPr>
                <w:spacing w:val="-5"/>
              </w:rPr>
              <w:t xml:space="preserve"> </w:t>
            </w:r>
            <w:r>
              <w:t>by</w:t>
            </w:r>
            <w:r>
              <w:rPr>
                <w:spacing w:val="-6"/>
              </w:rPr>
              <w:t xml:space="preserve"> </w:t>
            </w:r>
            <w:r>
              <w:t>law</w:t>
            </w:r>
            <w:r>
              <w:rPr>
                <w:spacing w:val="-6"/>
              </w:rPr>
              <w:t xml:space="preserve"> </w:t>
            </w:r>
            <w:r>
              <w:t>for</w:t>
            </w:r>
            <w:r>
              <w:rPr>
                <w:spacing w:val="-5"/>
              </w:rPr>
              <w:t xml:space="preserve"> </w:t>
            </w:r>
            <w:r>
              <w:t>these</w:t>
            </w:r>
            <w:r>
              <w:rPr>
                <w:spacing w:val="-5"/>
              </w:rPr>
              <w:t xml:space="preserve"> </w:t>
            </w:r>
            <w:r>
              <w:t>items. See FAM 806.01, Interest Penalties for Late Payments.</w:t>
            </w:r>
          </w:p>
          <w:p w14:paraId="0DFDBA96" w14:textId="77777777" w:rsidR="00046465" w:rsidRDefault="008134EB">
            <w:pPr>
              <w:pStyle w:val="TableParagraph"/>
              <w:spacing w:before="144"/>
              <w:ind w:left="1281" w:right="54"/>
            </w:pPr>
            <w:r>
              <w:t>The invoice receipt date is the later of (1) the date the entity’s designated representative or office actually receives a proper invoice or (2) the 7th day after the date on which, in accordance with the terms and conditions of the contract, the property is actually delivered or performance</w:t>
            </w:r>
            <w:r>
              <w:rPr>
                <w:spacing w:val="-1"/>
              </w:rPr>
              <w:t xml:space="preserve"> </w:t>
            </w:r>
            <w:r>
              <w:t>of</w:t>
            </w:r>
            <w:r>
              <w:rPr>
                <w:spacing w:val="-1"/>
              </w:rPr>
              <w:t xml:space="preserve"> </w:t>
            </w:r>
            <w:r>
              <w:t>the</w:t>
            </w:r>
            <w:r>
              <w:rPr>
                <w:spacing w:val="-1"/>
              </w:rPr>
              <w:t xml:space="preserve"> </w:t>
            </w:r>
            <w:r>
              <w:t>services</w:t>
            </w:r>
            <w:r>
              <w:rPr>
                <w:spacing w:val="-1"/>
              </w:rPr>
              <w:t xml:space="preserve"> </w:t>
            </w:r>
            <w:r>
              <w:t>is</w:t>
            </w:r>
            <w:r>
              <w:rPr>
                <w:spacing w:val="-1"/>
              </w:rPr>
              <w:t xml:space="preserve"> </w:t>
            </w:r>
            <w:r>
              <w:t>actually</w:t>
            </w:r>
            <w:r>
              <w:rPr>
                <w:spacing w:val="-1"/>
              </w:rPr>
              <w:t xml:space="preserve"> </w:t>
            </w:r>
            <w:r>
              <w:t>completed</w:t>
            </w:r>
            <w:r>
              <w:rPr>
                <w:spacing w:val="-1"/>
              </w:rPr>
              <w:t xml:space="preserve"> </w:t>
            </w:r>
            <w:r>
              <w:t>(unless the</w:t>
            </w:r>
            <w:r>
              <w:rPr>
                <w:spacing w:val="-5"/>
              </w:rPr>
              <w:t xml:space="preserve"> </w:t>
            </w:r>
            <w:r>
              <w:t>entity</w:t>
            </w:r>
            <w:r>
              <w:rPr>
                <w:spacing w:val="-5"/>
              </w:rPr>
              <w:t xml:space="preserve"> </w:t>
            </w:r>
            <w:r>
              <w:t>accepted</w:t>
            </w:r>
            <w:r>
              <w:rPr>
                <w:spacing w:val="-5"/>
              </w:rPr>
              <w:t xml:space="preserve"> </w:t>
            </w:r>
            <w:r>
              <w:t>the</w:t>
            </w:r>
            <w:r>
              <w:rPr>
                <w:spacing w:val="-5"/>
              </w:rPr>
              <w:t xml:space="preserve"> </w:t>
            </w:r>
            <w:r>
              <w:t>property</w:t>
            </w:r>
            <w:r>
              <w:rPr>
                <w:spacing w:val="-5"/>
              </w:rPr>
              <w:t xml:space="preserve"> </w:t>
            </w:r>
            <w:r>
              <w:t>or</w:t>
            </w:r>
            <w:r>
              <w:rPr>
                <w:spacing w:val="-5"/>
              </w:rPr>
              <w:t xml:space="preserve"> </w:t>
            </w:r>
            <w:r>
              <w:t>services</w:t>
            </w:r>
            <w:r>
              <w:rPr>
                <w:spacing w:val="-5"/>
              </w:rPr>
              <w:t xml:space="preserve"> </w:t>
            </w:r>
            <w:r>
              <w:t>before</w:t>
            </w:r>
            <w:r>
              <w:rPr>
                <w:spacing w:val="-5"/>
              </w:rPr>
              <w:t xml:space="preserve"> </w:t>
            </w:r>
            <w:r>
              <w:t>the</w:t>
            </w:r>
            <w:r>
              <w:rPr>
                <w:spacing w:val="-5"/>
              </w:rPr>
              <w:t xml:space="preserve"> </w:t>
            </w:r>
            <w:r>
              <w:t>7th day or a longer acceptance period is specified in the contract). If the date of actual invoice receipt is not indicated, then the entity must use the invoice date. See FAM 806.01, Interest Penalties for Late Payments.</w:t>
            </w:r>
          </w:p>
          <w:p w14:paraId="0DFDBA97" w14:textId="77777777" w:rsidR="00046465" w:rsidRDefault="008134EB">
            <w:pPr>
              <w:pStyle w:val="TableParagraph"/>
              <w:spacing w:before="144"/>
              <w:ind w:left="1282"/>
            </w:pPr>
            <w:r>
              <w:t>If</w:t>
            </w:r>
            <w:r>
              <w:rPr>
                <w:spacing w:val="-4"/>
              </w:rPr>
              <w:t xml:space="preserve"> </w:t>
            </w:r>
            <w:r>
              <w:t>the</w:t>
            </w:r>
            <w:r>
              <w:rPr>
                <w:spacing w:val="-4"/>
              </w:rPr>
              <w:t xml:space="preserve"> </w:t>
            </w:r>
            <w:r>
              <w:t>payment</w:t>
            </w:r>
            <w:r>
              <w:rPr>
                <w:spacing w:val="-4"/>
              </w:rPr>
              <w:t xml:space="preserve"> </w:t>
            </w:r>
            <w:r>
              <w:t>was</w:t>
            </w:r>
            <w:r>
              <w:rPr>
                <w:spacing w:val="-4"/>
              </w:rPr>
              <w:t xml:space="preserve"> </w:t>
            </w:r>
            <w:r>
              <w:t>made</w:t>
            </w:r>
            <w:r>
              <w:rPr>
                <w:spacing w:val="-4"/>
              </w:rPr>
              <w:t xml:space="preserve"> </w:t>
            </w:r>
            <w:r>
              <w:t>on</w:t>
            </w:r>
            <w:r>
              <w:rPr>
                <w:spacing w:val="-4"/>
              </w:rPr>
              <w:t xml:space="preserve"> </w:t>
            </w:r>
            <w:r>
              <w:t>or</w:t>
            </w:r>
            <w:r>
              <w:rPr>
                <w:spacing w:val="-4"/>
              </w:rPr>
              <w:t xml:space="preserve"> </w:t>
            </w:r>
            <w:r>
              <w:t>prior</w:t>
            </w:r>
            <w:r>
              <w:rPr>
                <w:spacing w:val="-5"/>
              </w:rPr>
              <w:t xml:space="preserve"> </w:t>
            </w:r>
            <w:r>
              <w:t>to</w:t>
            </w:r>
            <w:r>
              <w:rPr>
                <w:spacing w:val="-4"/>
              </w:rPr>
              <w:t xml:space="preserve"> </w:t>
            </w:r>
            <w:r>
              <w:t>the</w:t>
            </w:r>
            <w:r>
              <w:rPr>
                <w:spacing w:val="-4"/>
              </w:rPr>
              <w:t xml:space="preserve"> </w:t>
            </w:r>
            <w:r>
              <w:t>payment</w:t>
            </w:r>
            <w:r>
              <w:rPr>
                <w:spacing w:val="-4"/>
              </w:rPr>
              <w:t xml:space="preserve"> </w:t>
            </w:r>
            <w:r>
              <w:t>due date, then perform step 3.</w:t>
            </w:r>
          </w:p>
          <w:p w14:paraId="0DFDBA98" w14:textId="77777777" w:rsidR="00046465" w:rsidRDefault="008134EB">
            <w:pPr>
              <w:pStyle w:val="TableParagraph"/>
              <w:spacing w:before="145"/>
              <w:ind w:left="1282" w:right="549"/>
            </w:pPr>
            <w:r>
              <w:t>If</w:t>
            </w:r>
            <w:r>
              <w:rPr>
                <w:spacing w:val="-5"/>
              </w:rPr>
              <w:t xml:space="preserve"> </w:t>
            </w:r>
            <w:r>
              <w:t>the</w:t>
            </w:r>
            <w:r>
              <w:rPr>
                <w:spacing w:val="-5"/>
              </w:rPr>
              <w:t xml:space="preserve"> </w:t>
            </w:r>
            <w:r>
              <w:t>payment</w:t>
            </w:r>
            <w:r>
              <w:rPr>
                <w:spacing w:val="-5"/>
              </w:rPr>
              <w:t xml:space="preserve"> </w:t>
            </w:r>
            <w:r>
              <w:t>was</w:t>
            </w:r>
            <w:r>
              <w:rPr>
                <w:spacing w:val="-5"/>
              </w:rPr>
              <w:t xml:space="preserve"> </w:t>
            </w:r>
            <w:r>
              <w:t>made</w:t>
            </w:r>
            <w:r>
              <w:rPr>
                <w:spacing w:val="-5"/>
              </w:rPr>
              <w:t xml:space="preserve"> </w:t>
            </w:r>
            <w:r>
              <w:t>after</w:t>
            </w:r>
            <w:r>
              <w:rPr>
                <w:spacing w:val="-5"/>
              </w:rPr>
              <w:t xml:space="preserve"> </w:t>
            </w:r>
            <w:r>
              <w:t>the</w:t>
            </w:r>
            <w:r>
              <w:rPr>
                <w:spacing w:val="-5"/>
              </w:rPr>
              <w:t xml:space="preserve"> </w:t>
            </w:r>
            <w:r>
              <w:t>payment</w:t>
            </w:r>
            <w:r>
              <w:rPr>
                <w:spacing w:val="-5"/>
              </w:rPr>
              <w:t xml:space="preserve"> </w:t>
            </w:r>
            <w:r>
              <w:t>due</w:t>
            </w:r>
            <w:r>
              <w:rPr>
                <w:spacing w:val="-5"/>
              </w:rPr>
              <w:t xml:space="preserve"> </w:t>
            </w:r>
            <w:r>
              <w:t>date, then perform step 4.</w:t>
            </w:r>
          </w:p>
          <w:p w14:paraId="0DFDBA99" w14:textId="77777777" w:rsidR="00046465" w:rsidRDefault="008134EB">
            <w:pPr>
              <w:pStyle w:val="TableParagraph"/>
              <w:spacing w:before="144"/>
              <w:ind w:left="1282"/>
            </w:pPr>
            <w:r>
              <w:t>If</w:t>
            </w:r>
            <w:r>
              <w:rPr>
                <w:spacing w:val="-5"/>
              </w:rPr>
              <w:t xml:space="preserve"> </w:t>
            </w:r>
            <w:r>
              <w:t>a</w:t>
            </w:r>
            <w:r>
              <w:rPr>
                <w:spacing w:val="-5"/>
              </w:rPr>
              <w:t xml:space="preserve"> </w:t>
            </w:r>
            <w:r>
              <w:t>discount</w:t>
            </w:r>
            <w:r>
              <w:rPr>
                <w:spacing w:val="-6"/>
              </w:rPr>
              <w:t xml:space="preserve"> </w:t>
            </w:r>
            <w:r>
              <w:t>was</w:t>
            </w:r>
            <w:r>
              <w:rPr>
                <w:spacing w:val="-4"/>
              </w:rPr>
              <w:t xml:space="preserve"> </w:t>
            </w:r>
            <w:r>
              <w:t>taken,</w:t>
            </w:r>
            <w:r>
              <w:rPr>
                <w:spacing w:val="-6"/>
              </w:rPr>
              <w:t xml:space="preserve"> </w:t>
            </w:r>
            <w:r>
              <w:t>then</w:t>
            </w:r>
            <w:r>
              <w:rPr>
                <w:spacing w:val="-5"/>
              </w:rPr>
              <w:t xml:space="preserve"> </w:t>
            </w:r>
            <w:r>
              <w:t>perform</w:t>
            </w:r>
            <w:r>
              <w:rPr>
                <w:spacing w:val="-5"/>
              </w:rPr>
              <w:t xml:space="preserve"> </w:t>
            </w:r>
            <w:r>
              <w:t>step</w:t>
            </w:r>
            <w:r>
              <w:rPr>
                <w:spacing w:val="-5"/>
              </w:rPr>
              <w:t xml:space="preserve"> 5.</w:t>
            </w:r>
          </w:p>
        </w:tc>
        <w:tc>
          <w:tcPr>
            <w:tcW w:w="1152" w:type="dxa"/>
            <w:tcBorders>
              <w:top w:val="single" w:sz="6" w:space="0" w:color="000000"/>
              <w:left w:val="single" w:sz="6" w:space="0" w:color="000000"/>
              <w:bottom w:val="single" w:sz="6" w:space="0" w:color="000000"/>
              <w:right w:val="single" w:sz="6" w:space="0" w:color="000000"/>
            </w:tcBorders>
          </w:tcPr>
          <w:p w14:paraId="0DFDBA9A" w14:textId="77777777" w:rsidR="00046465" w:rsidRDefault="00046465">
            <w:pPr>
              <w:pStyle w:val="TableParagraph"/>
              <w:rPr>
                <w:rFonts w:ascii="Times New Roman"/>
                <w:sz w:val="20"/>
              </w:rPr>
            </w:pPr>
          </w:p>
        </w:tc>
        <w:tc>
          <w:tcPr>
            <w:tcW w:w="1218" w:type="dxa"/>
            <w:tcBorders>
              <w:top w:val="single" w:sz="6" w:space="0" w:color="000000"/>
              <w:left w:val="single" w:sz="6" w:space="0" w:color="000000"/>
              <w:bottom w:val="single" w:sz="6" w:space="0" w:color="000000"/>
            </w:tcBorders>
          </w:tcPr>
          <w:p w14:paraId="0DFDBA9B" w14:textId="77777777" w:rsidR="00046465" w:rsidRDefault="00046465">
            <w:pPr>
              <w:pStyle w:val="TableParagraph"/>
              <w:rPr>
                <w:rFonts w:ascii="Times New Roman"/>
                <w:sz w:val="20"/>
              </w:rPr>
            </w:pPr>
          </w:p>
        </w:tc>
      </w:tr>
    </w:tbl>
    <w:p w14:paraId="0DFDBA9D" w14:textId="77777777" w:rsidR="00046465" w:rsidRDefault="00046465">
      <w:pPr>
        <w:pStyle w:val="TableParagraph"/>
        <w:rPr>
          <w:rFonts w:ascii="Times New Roman"/>
          <w:sz w:val="20"/>
        </w:rPr>
        <w:sectPr w:rsidR="00046465">
          <w:pgSz w:w="12240" w:h="15840"/>
          <w:pgMar w:top="1380" w:right="1080" w:bottom="940" w:left="1080" w:header="721" w:footer="742" w:gutter="0"/>
          <w:cols w:space="720"/>
        </w:sectPr>
      </w:pPr>
    </w:p>
    <w:p w14:paraId="0DFDBA9E" w14:textId="77777777" w:rsidR="00046465" w:rsidRDefault="00046465">
      <w:pPr>
        <w:pStyle w:val="BodyText"/>
        <w:spacing w:before="4" w:after="1"/>
        <w:rPr>
          <w:sz w:val="8"/>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80"/>
        <w:gridCol w:w="1152"/>
        <w:gridCol w:w="1218"/>
      </w:tblGrid>
      <w:tr w:rsidR="00046465" w14:paraId="0DFDBAA0" w14:textId="77777777">
        <w:trPr>
          <w:trHeight w:val="1335"/>
        </w:trPr>
        <w:tc>
          <w:tcPr>
            <w:tcW w:w="9450" w:type="dxa"/>
            <w:gridSpan w:val="3"/>
          </w:tcPr>
          <w:p w14:paraId="0DFDBA9F" w14:textId="77777777" w:rsidR="00046465" w:rsidRDefault="008134EB">
            <w:pPr>
              <w:pStyle w:val="TableParagraph"/>
              <w:tabs>
                <w:tab w:val="left" w:pos="8943"/>
              </w:tabs>
              <w:spacing w:before="7" w:line="390" w:lineRule="atLeast"/>
              <w:ind w:left="129" w:right="459"/>
              <w:jc w:val="both"/>
            </w:pPr>
            <w:r>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AA6" w14:textId="77777777">
        <w:trPr>
          <w:trHeight w:val="793"/>
        </w:trPr>
        <w:tc>
          <w:tcPr>
            <w:tcW w:w="7080" w:type="dxa"/>
            <w:tcBorders>
              <w:right w:val="single" w:sz="6" w:space="0" w:color="000000"/>
            </w:tcBorders>
          </w:tcPr>
          <w:p w14:paraId="0DFDBAA1" w14:textId="77777777" w:rsidR="00046465" w:rsidRDefault="00046465">
            <w:pPr>
              <w:pStyle w:val="TableParagraph"/>
              <w:spacing w:before="144"/>
            </w:pPr>
          </w:p>
          <w:p w14:paraId="0DFDBAA2"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152" w:type="dxa"/>
            <w:tcBorders>
              <w:left w:val="single" w:sz="6" w:space="0" w:color="000000"/>
              <w:right w:val="single" w:sz="6" w:space="0" w:color="000000"/>
            </w:tcBorders>
          </w:tcPr>
          <w:p w14:paraId="0DFDBAA3" w14:textId="77777777" w:rsidR="00046465" w:rsidRDefault="008134EB">
            <w:pPr>
              <w:pStyle w:val="TableParagraph"/>
              <w:spacing w:before="144"/>
              <w:ind w:left="144"/>
              <w:rPr>
                <w:b/>
              </w:rPr>
            </w:pPr>
            <w:r>
              <w:rPr>
                <w:b/>
                <w:spacing w:val="-2"/>
              </w:rPr>
              <w:t xml:space="preserve">Initials/ </w:t>
            </w:r>
            <w:r>
              <w:rPr>
                <w:b/>
                <w:spacing w:val="-4"/>
              </w:rPr>
              <w:t>date</w:t>
            </w:r>
          </w:p>
        </w:tc>
        <w:tc>
          <w:tcPr>
            <w:tcW w:w="1218" w:type="dxa"/>
            <w:tcBorders>
              <w:left w:val="single" w:sz="6" w:space="0" w:color="000000"/>
            </w:tcBorders>
          </w:tcPr>
          <w:p w14:paraId="0DFDBAA4" w14:textId="77777777" w:rsidR="00046465" w:rsidRDefault="00046465">
            <w:pPr>
              <w:pStyle w:val="TableParagraph"/>
              <w:spacing w:before="144"/>
            </w:pPr>
          </w:p>
          <w:p w14:paraId="0DFDBAA5" w14:textId="77777777" w:rsidR="00046465" w:rsidRDefault="008134EB">
            <w:pPr>
              <w:pStyle w:val="TableParagraph"/>
              <w:ind w:left="144"/>
              <w:rPr>
                <w:b/>
              </w:rPr>
            </w:pPr>
            <w:r>
              <w:rPr>
                <w:b/>
              </w:rPr>
              <w:t>Doc.</w:t>
            </w:r>
            <w:r>
              <w:rPr>
                <w:b/>
                <w:spacing w:val="-6"/>
              </w:rPr>
              <w:t xml:space="preserve"> </w:t>
            </w:r>
            <w:r>
              <w:rPr>
                <w:b/>
                <w:spacing w:val="-4"/>
              </w:rPr>
              <w:t>ref.</w:t>
            </w:r>
          </w:p>
        </w:tc>
      </w:tr>
      <w:tr w:rsidR="00046465" w14:paraId="0DFDBAAB" w14:textId="77777777">
        <w:trPr>
          <w:trHeight w:val="2203"/>
        </w:trPr>
        <w:tc>
          <w:tcPr>
            <w:tcW w:w="7080" w:type="dxa"/>
            <w:tcBorders>
              <w:bottom w:val="single" w:sz="6" w:space="0" w:color="000000"/>
              <w:right w:val="single" w:sz="6" w:space="0" w:color="000000"/>
            </w:tcBorders>
          </w:tcPr>
          <w:p w14:paraId="0DFDBAA7" w14:textId="77777777" w:rsidR="00046465" w:rsidRDefault="008134EB">
            <w:pPr>
              <w:pStyle w:val="TableParagraph"/>
              <w:tabs>
                <w:tab w:val="left" w:pos="705"/>
              </w:tabs>
              <w:spacing w:before="144"/>
              <w:ind w:left="705" w:right="327" w:hanging="577"/>
            </w:pPr>
            <w:r>
              <w:rPr>
                <w:spacing w:val="-6"/>
              </w:rPr>
              <w:t>3)</w:t>
            </w:r>
            <w:r>
              <w:tab/>
              <w:t>If</w:t>
            </w:r>
            <w:r>
              <w:rPr>
                <w:spacing w:val="-4"/>
              </w:rPr>
              <w:t xml:space="preserve"> </w:t>
            </w:r>
            <w:r>
              <w:t>the</w:t>
            </w:r>
            <w:r>
              <w:rPr>
                <w:spacing w:val="-4"/>
              </w:rPr>
              <w:t xml:space="preserve"> </w:t>
            </w:r>
            <w:r>
              <w:t>payment</w:t>
            </w:r>
            <w:r>
              <w:rPr>
                <w:spacing w:val="-4"/>
              </w:rPr>
              <w:t xml:space="preserve"> </w:t>
            </w:r>
            <w:r>
              <w:t>was</w:t>
            </w:r>
            <w:r>
              <w:rPr>
                <w:spacing w:val="-4"/>
              </w:rPr>
              <w:t xml:space="preserve"> </w:t>
            </w:r>
            <w:r>
              <w:t>made</w:t>
            </w:r>
            <w:r>
              <w:rPr>
                <w:spacing w:val="-4"/>
              </w:rPr>
              <w:t xml:space="preserve"> </w:t>
            </w:r>
            <w:r>
              <w:t>on</w:t>
            </w:r>
            <w:r>
              <w:rPr>
                <w:spacing w:val="-4"/>
              </w:rPr>
              <w:t xml:space="preserve"> </w:t>
            </w:r>
            <w:r>
              <w:t>or</w:t>
            </w:r>
            <w:r>
              <w:rPr>
                <w:spacing w:val="-4"/>
              </w:rPr>
              <w:t xml:space="preserve"> </w:t>
            </w:r>
            <w:r>
              <w:t>prior</w:t>
            </w:r>
            <w:r>
              <w:rPr>
                <w:spacing w:val="-5"/>
              </w:rPr>
              <w:t xml:space="preserve"> </w:t>
            </w:r>
            <w:r>
              <w:t>to</w:t>
            </w:r>
            <w:r>
              <w:rPr>
                <w:spacing w:val="-4"/>
              </w:rPr>
              <w:t xml:space="preserve"> </w:t>
            </w:r>
            <w:r>
              <w:t>the</w:t>
            </w:r>
            <w:r>
              <w:rPr>
                <w:spacing w:val="-4"/>
              </w:rPr>
              <w:t xml:space="preserve"> </w:t>
            </w:r>
            <w:r>
              <w:t>payment</w:t>
            </w:r>
            <w:r>
              <w:rPr>
                <w:spacing w:val="-4"/>
              </w:rPr>
              <w:t xml:space="preserve"> </w:t>
            </w:r>
            <w:r>
              <w:t>due</w:t>
            </w:r>
            <w:r>
              <w:rPr>
                <w:spacing w:val="-4"/>
              </w:rPr>
              <w:t xml:space="preserve"> </w:t>
            </w:r>
            <w:r>
              <w:t>date, and no discount was taken, then determine that no interest penalty was paid.</w:t>
            </w:r>
          </w:p>
          <w:p w14:paraId="0DFDBAA8" w14:textId="77777777" w:rsidR="00046465" w:rsidRDefault="008134EB">
            <w:pPr>
              <w:pStyle w:val="TableParagraph"/>
              <w:spacing w:before="145"/>
              <w:ind w:left="705" w:right="179"/>
            </w:pPr>
            <w:r>
              <w:t>(Note: If the entity did not take advantage of a discount for which it was eligible or if an interest penalty was paid when it was</w:t>
            </w:r>
            <w:r>
              <w:rPr>
                <w:spacing w:val="-5"/>
              </w:rPr>
              <w:t xml:space="preserve"> </w:t>
            </w:r>
            <w:r>
              <w:t>not</w:t>
            </w:r>
            <w:r>
              <w:rPr>
                <w:spacing w:val="-5"/>
              </w:rPr>
              <w:t xml:space="preserve"> </w:t>
            </w:r>
            <w:r>
              <w:t>owed,</w:t>
            </w:r>
            <w:r>
              <w:rPr>
                <w:spacing w:val="-5"/>
              </w:rPr>
              <w:t xml:space="preserve"> </w:t>
            </w:r>
            <w:r>
              <w:t>then</w:t>
            </w:r>
            <w:r>
              <w:rPr>
                <w:spacing w:val="-5"/>
              </w:rPr>
              <w:t xml:space="preserve"> </w:t>
            </w:r>
            <w:r>
              <w:t>the</w:t>
            </w:r>
            <w:r>
              <w:rPr>
                <w:spacing w:val="-5"/>
              </w:rPr>
              <w:t xml:space="preserve"> </w:t>
            </w:r>
            <w:r>
              <w:t>auditor</w:t>
            </w:r>
            <w:r>
              <w:rPr>
                <w:spacing w:val="-5"/>
              </w:rPr>
              <w:t xml:space="preserve"> </w:t>
            </w:r>
            <w:r>
              <w:t>generally</w:t>
            </w:r>
            <w:r>
              <w:rPr>
                <w:spacing w:val="-5"/>
              </w:rPr>
              <w:t xml:space="preserve"> </w:t>
            </w:r>
            <w:r>
              <w:t>should</w:t>
            </w:r>
            <w:r>
              <w:rPr>
                <w:spacing w:val="-5"/>
              </w:rPr>
              <w:t xml:space="preserve"> </w:t>
            </w:r>
            <w:r>
              <w:t>determine</w:t>
            </w:r>
            <w:r>
              <w:rPr>
                <w:spacing w:val="-5"/>
              </w:rPr>
              <w:t xml:space="preserve"> </w:t>
            </w:r>
            <w:r>
              <w:t>the cause of these items for purposes of reporting findings.)</w:t>
            </w:r>
          </w:p>
        </w:tc>
        <w:tc>
          <w:tcPr>
            <w:tcW w:w="1152" w:type="dxa"/>
            <w:tcBorders>
              <w:left w:val="single" w:sz="6" w:space="0" w:color="000000"/>
              <w:bottom w:val="single" w:sz="6" w:space="0" w:color="000000"/>
              <w:right w:val="single" w:sz="6" w:space="0" w:color="000000"/>
            </w:tcBorders>
          </w:tcPr>
          <w:p w14:paraId="0DFDBAA9" w14:textId="77777777" w:rsidR="00046465" w:rsidRDefault="00046465">
            <w:pPr>
              <w:pStyle w:val="TableParagraph"/>
              <w:rPr>
                <w:rFonts w:ascii="Times New Roman"/>
                <w:sz w:val="20"/>
              </w:rPr>
            </w:pPr>
          </w:p>
        </w:tc>
        <w:tc>
          <w:tcPr>
            <w:tcW w:w="1218" w:type="dxa"/>
            <w:tcBorders>
              <w:left w:val="single" w:sz="6" w:space="0" w:color="000000"/>
              <w:bottom w:val="single" w:sz="6" w:space="0" w:color="000000"/>
            </w:tcBorders>
          </w:tcPr>
          <w:p w14:paraId="0DFDBAAA" w14:textId="77777777" w:rsidR="00046465" w:rsidRDefault="00046465">
            <w:pPr>
              <w:pStyle w:val="TableParagraph"/>
              <w:rPr>
                <w:rFonts w:ascii="Times New Roman"/>
                <w:sz w:val="20"/>
              </w:rPr>
            </w:pPr>
          </w:p>
        </w:tc>
      </w:tr>
      <w:tr w:rsidR="00046465" w14:paraId="0DFDBAB4" w14:textId="77777777">
        <w:trPr>
          <w:trHeight w:val="6574"/>
        </w:trPr>
        <w:tc>
          <w:tcPr>
            <w:tcW w:w="7080" w:type="dxa"/>
            <w:tcBorders>
              <w:top w:val="single" w:sz="6" w:space="0" w:color="000000"/>
              <w:bottom w:val="single" w:sz="6" w:space="0" w:color="000000"/>
              <w:right w:val="single" w:sz="6" w:space="0" w:color="000000"/>
            </w:tcBorders>
          </w:tcPr>
          <w:p w14:paraId="0DFDBAAC" w14:textId="77777777" w:rsidR="00046465" w:rsidRDefault="008134EB">
            <w:pPr>
              <w:pStyle w:val="TableParagraph"/>
              <w:numPr>
                <w:ilvl w:val="0"/>
                <w:numId w:val="164"/>
              </w:numPr>
              <w:tabs>
                <w:tab w:val="left" w:pos="705"/>
              </w:tabs>
              <w:spacing w:before="145"/>
              <w:ind w:right="643"/>
            </w:pPr>
            <w:r>
              <w:t>If</w:t>
            </w:r>
            <w:r>
              <w:rPr>
                <w:spacing w:val="-4"/>
              </w:rPr>
              <w:t xml:space="preserve"> </w:t>
            </w:r>
            <w:r>
              <w:t>the</w:t>
            </w:r>
            <w:r>
              <w:rPr>
                <w:spacing w:val="-4"/>
              </w:rPr>
              <w:t xml:space="preserve"> </w:t>
            </w:r>
            <w:r>
              <w:t>payment</w:t>
            </w:r>
            <w:r>
              <w:rPr>
                <w:spacing w:val="-4"/>
              </w:rPr>
              <w:t xml:space="preserve"> </w:t>
            </w:r>
            <w:r>
              <w:t>was</w:t>
            </w:r>
            <w:r>
              <w:rPr>
                <w:spacing w:val="-4"/>
              </w:rPr>
              <w:t xml:space="preserve"> </w:t>
            </w:r>
            <w:r>
              <w:t>made</w:t>
            </w:r>
            <w:r>
              <w:rPr>
                <w:spacing w:val="-4"/>
              </w:rPr>
              <w:t xml:space="preserve"> </w:t>
            </w:r>
            <w:r>
              <w:t>after</w:t>
            </w:r>
            <w:r>
              <w:rPr>
                <w:spacing w:val="-4"/>
              </w:rPr>
              <w:t xml:space="preserve"> </w:t>
            </w:r>
            <w:r>
              <w:t>the</w:t>
            </w:r>
            <w:r>
              <w:rPr>
                <w:spacing w:val="-4"/>
              </w:rPr>
              <w:t xml:space="preserve"> </w:t>
            </w:r>
            <w:r>
              <w:t>payment</w:t>
            </w:r>
            <w:r>
              <w:rPr>
                <w:spacing w:val="-4"/>
              </w:rPr>
              <w:t xml:space="preserve"> </w:t>
            </w:r>
            <w:r>
              <w:t>due</w:t>
            </w:r>
            <w:r>
              <w:rPr>
                <w:spacing w:val="-4"/>
              </w:rPr>
              <w:t xml:space="preserve"> </w:t>
            </w:r>
            <w:r>
              <w:t>date,</w:t>
            </w:r>
            <w:r>
              <w:rPr>
                <w:spacing w:val="-4"/>
              </w:rPr>
              <w:t xml:space="preserve"> </w:t>
            </w:r>
            <w:r>
              <w:t>then determine whether</w:t>
            </w:r>
          </w:p>
          <w:p w14:paraId="0DFDBAAD" w14:textId="77777777" w:rsidR="00046465" w:rsidRDefault="008134EB">
            <w:pPr>
              <w:pStyle w:val="TableParagraph"/>
              <w:numPr>
                <w:ilvl w:val="1"/>
                <w:numId w:val="164"/>
              </w:numPr>
              <w:tabs>
                <w:tab w:val="left" w:pos="1281"/>
              </w:tabs>
              <w:spacing w:before="143"/>
              <w:ind w:hanging="576"/>
            </w:pPr>
            <w:r>
              <w:t>an</w:t>
            </w:r>
            <w:r>
              <w:rPr>
                <w:spacing w:val="-6"/>
              </w:rPr>
              <w:t xml:space="preserve"> </w:t>
            </w:r>
            <w:r>
              <w:t>interest</w:t>
            </w:r>
            <w:r>
              <w:rPr>
                <w:spacing w:val="-6"/>
              </w:rPr>
              <w:t xml:space="preserve"> </w:t>
            </w:r>
            <w:r>
              <w:t>penalty</w:t>
            </w:r>
            <w:r>
              <w:rPr>
                <w:spacing w:val="-5"/>
              </w:rPr>
              <w:t xml:space="preserve"> </w:t>
            </w:r>
            <w:r>
              <w:t>was</w:t>
            </w:r>
            <w:r>
              <w:rPr>
                <w:spacing w:val="-6"/>
              </w:rPr>
              <w:t xml:space="preserve"> </w:t>
            </w:r>
            <w:r>
              <w:rPr>
                <w:spacing w:val="-2"/>
              </w:rPr>
              <w:t>paid,</w:t>
            </w:r>
          </w:p>
          <w:p w14:paraId="0DFDBAAE" w14:textId="77777777" w:rsidR="00046465" w:rsidRDefault="008134EB">
            <w:pPr>
              <w:pStyle w:val="TableParagraph"/>
              <w:numPr>
                <w:ilvl w:val="1"/>
                <w:numId w:val="164"/>
              </w:numPr>
              <w:tabs>
                <w:tab w:val="left" w:pos="1281"/>
              </w:tabs>
              <w:spacing w:before="144"/>
              <w:ind w:right="1192"/>
            </w:pPr>
            <w:r>
              <w:t>the</w:t>
            </w:r>
            <w:r>
              <w:rPr>
                <w:spacing w:val="-6"/>
              </w:rPr>
              <w:t xml:space="preserve"> </w:t>
            </w:r>
            <w:r>
              <w:t>amount</w:t>
            </w:r>
            <w:r>
              <w:rPr>
                <w:spacing w:val="-6"/>
              </w:rPr>
              <w:t xml:space="preserve"> </w:t>
            </w:r>
            <w:r>
              <w:t>of</w:t>
            </w:r>
            <w:r>
              <w:rPr>
                <w:spacing w:val="-6"/>
              </w:rPr>
              <w:t xml:space="preserve"> </w:t>
            </w:r>
            <w:r>
              <w:t>the</w:t>
            </w:r>
            <w:r>
              <w:rPr>
                <w:spacing w:val="-6"/>
              </w:rPr>
              <w:t xml:space="preserve"> </w:t>
            </w:r>
            <w:r>
              <w:t>interest</w:t>
            </w:r>
            <w:r>
              <w:rPr>
                <w:spacing w:val="-6"/>
              </w:rPr>
              <w:t xml:space="preserve"> </w:t>
            </w:r>
            <w:r>
              <w:t>penalty</w:t>
            </w:r>
            <w:r>
              <w:rPr>
                <w:spacing w:val="-6"/>
              </w:rPr>
              <w:t xml:space="preserve"> </w:t>
            </w:r>
            <w:r>
              <w:t>was</w:t>
            </w:r>
            <w:r>
              <w:rPr>
                <w:spacing w:val="-6"/>
              </w:rPr>
              <w:t xml:space="preserve"> </w:t>
            </w:r>
            <w:r>
              <w:t>properly calculated, and</w:t>
            </w:r>
          </w:p>
          <w:p w14:paraId="0DFDBAAF" w14:textId="77777777" w:rsidR="00046465" w:rsidRDefault="008134EB">
            <w:pPr>
              <w:pStyle w:val="TableParagraph"/>
              <w:numPr>
                <w:ilvl w:val="1"/>
                <w:numId w:val="164"/>
              </w:numPr>
              <w:tabs>
                <w:tab w:val="left" w:pos="1281"/>
              </w:tabs>
              <w:spacing w:before="145"/>
              <w:ind w:right="337"/>
            </w:pPr>
            <w:r>
              <w:t>the interest penalty was paid out of the appropriation account</w:t>
            </w:r>
            <w:r>
              <w:rPr>
                <w:spacing w:val="-5"/>
              </w:rPr>
              <w:t xml:space="preserve"> </w:t>
            </w:r>
            <w:r>
              <w:t>used</w:t>
            </w:r>
            <w:r>
              <w:rPr>
                <w:spacing w:val="-5"/>
              </w:rPr>
              <w:t xml:space="preserve"> </w:t>
            </w:r>
            <w:r>
              <w:t>to</w:t>
            </w:r>
            <w:r>
              <w:rPr>
                <w:spacing w:val="-5"/>
              </w:rPr>
              <w:t xml:space="preserve"> </w:t>
            </w:r>
            <w:r>
              <w:t>pay</w:t>
            </w:r>
            <w:r>
              <w:rPr>
                <w:spacing w:val="-5"/>
              </w:rPr>
              <w:t xml:space="preserve"> </w:t>
            </w:r>
            <w:r>
              <w:t>the</w:t>
            </w:r>
            <w:r>
              <w:rPr>
                <w:spacing w:val="-6"/>
              </w:rPr>
              <w:t xml:space="preserve"> </w:t>
            </w:r>
            <w:r>
              <w:t>related</w:t>
            </w:r>
            <w:r>
              <w:rPr>
                <w:spacing w:val="-5"/>
              </w:rPr>
              <w:t xml:space="preserve"> </w:t>
            </w:r>
            <w:r>
              <w:t>expenditures.</w:t>
            </w:r>
            <w:r>
              <w:rPr>
                <w:spacing w:val="-5"/>
              </w:rPr>
              <w:t xml:space="preserve"> </w:t>
            </w:r>
            <w:r>
              <w:t>See</w:t>
            </w:r>
            <w:r>
              <w:rPr>
                <w:spacing w:val="-5"/>
              </w:rPr>
              <w:t xml:space="preserve"> </w:t>
            </w:r>
            <w:r>
              <w:t>FAM 806.01, Interest Penalties for Late Payments.</w:t>
            </w:r>
          </w:p>
          <w:p w14:paraId="0DFDBAB0" w14:textId="77777777" w:rsidR="00046465" w:rsidRDefault="008134EB">
            <w:pPr>
              <w:pStyle w:val="TableParagraph"/>
              <w:spacing w:before="143"/>
              <w:ind w:left="705" w:right="179"/>
            </w:pPr>
            <w:r>
              <w:t>Review the accounting codes indicated on the expense voucher. Determine whether the accounting codes used to record the interest penalty are the same as those used for the related</w:t>
            </w:r>
            <w:r>
              <w:rPr>
                <w:spacing w:val="-2"/>
              </w:rPr>
              <w:t xml:space="preserve"> </w:t>
            </w:r>
            <w:r>
              <w:t>expenditure</w:t>
            </w:r>
            <w:r>
              <w:rPr>
                <w:spacing w:val="-2"/>
              </w:rPr>
              <w:t xml:space="preserve"> </w:t>
            </w:r>
            <w:r>
              <w:t>and</w:t>
            </w:r>
            <w:r>
              <w:rPr>
                <w:spacing w:val="-3"/>
              </w:rPr>
              <w:t xml:space="preserve"> </w:t>
            </w:r>
            <w:r>
              <w:t>whether</w:t>
            </w:r>
            <w:r>
              <w:rPr>
                <w:spacing w:val="-2"/>
              </w:rPr>
              <w:t xml:space="preserve"> </w:t>
            </w:r>
            <w:r>
              <w:t>the</w:t>
            </w:r>
            <w:r>
              <w:rPr>
                <w:spacing w:val="-2"/>
              </w:rPr>
              <w:t xml:space="preserve"> </w:t>
            </w:r>
            <w:r>
              <w:t>codes</w:t>
            </w:r>
            <w:r>
              <w:rPr>
                <w:spacing w:val="-2"/>
              </w:rPr>
              <w:t xml:space="preserve"> </w:t>
            </w:r>
            <w:r>
              <w:t>and</w:t>
            </w:r>
            <w:r>
              <w:rPr>
                <w:spacing w:val="-2"/>
              </w:rPr>
              <w:t xml:space="preserve"> </w:t>
            </w:r>
            <w:r>
              <w:t>amounts</w:t>
            </w:r>
            <w:r>
              <w:rPr>
                <w:spacing w:val="-2"/>
              </w:rPr>
              <w:t xml:space="preserve"> </w:t>
            </w:r>
            <w:r>
              <w:t>agree with those recorded in the budgetary accounting records. (See step 6 regarding proper summarization of amounts.) See FAM 806.01,</w:t>
            </w:r>
            <w:r>
              <w:rPr>
                <w:spacing w:val="-5"/>
              </w:rPr>
              <w:t xml:space="preserve"> </w:t>
            </w:r>
            <w:r>
              <w:t>Interest</w:t>
            </w:r>
            <w:r>
              <w:rPr>
                <w:spacing w:val="-5"/>
              </w:rPr>
              <w:t xml:space="preserve"> </w:t>
            </w:r>
            <w:r>
              <w:t>Penalties</w:t>
            </w:r>
            <w:r>
              <w:rPr>
                <w:spacing w:val="-5"/>
              </w:rPr>
              <w:t xml:space="preserve"> </w:t>
            </w:r>
            <w:r>
              <w:t>for</w:t>
            </w:r>
            <w:r>
              <w:rPr>
                <w:spacing w:val="-5"/>
              </w:rPr>
              <w:t xml:space="preserve"> </w:t>
            </w:r>
            <w:r>
              <w:t>Late</w:t>
            </w:r>
            <w:r>
              <w:rPr>
                <w:spacing w:val="-5"/>
              </w:rPr>
              <w:t xml:space="preserve"> </w:t>
            </w:r>
            <w:r>
              <w:t>Payments;</w:t>
            </w:r>
            <w:r>
              <w:rPr>
                <w:spacing w:val="-5"/>
              </w:rPr>
              <w:t xml:space="preserve"> </w:t>
            </w:r>
            <w:r>
              <w:t>and</w:t>
            </w:r>
            <w:r>
              <w:rPr>
                <w:spacing w:val="-5"/>
              </w:rPr>
              <w:t xml:space="preserve"> </w:t>
            </w:r>
            <w:r>
              <w:t>FAM</w:t>
            </w:r>
            <w:r>
              <w:rPr>
                <w:spacing w:val="-6"/>
              </w:rPr>
              <w:t xml:space="preserve"> </w:t>
            </w:r>
            <w:r>
              <w:t>806.02, Funding Source for Late Payment Interest Penalties.</w:t>
            </w:r>
          </w:p>
          <w:p w14:paraId="0DFDBAB1" w14:textId="77777777" w:rsidR="00046465" w:rsidRDefault="008134EB">
            <w:pPr>
              <w:pStyle w:val="TableParagraph"/>
              <w:spacing w:before="145"/>
              <w:ind w:left="705" w:right="179"/>
            </w:pPr>
            <w:r>
              <w:t>Investigate any differences between the amount of interest penalty calculated by the auditor and the amount paid by the entity, including any instances when an interest penalty was owed</w:t>
            </w:r>
            <w:r>
              <w:rPr>
                <w:spacing w:val="-4"/>
              </w:rPr>
              <w:t xml:space="preserve"> </w:t>
            </w:r>
            <w:r>
              <w:t>but</w:t>
            </w:r>
            <w:r>
              <w:rPr>
                <w:spacing w:val="-4"/>
              </w:rPr>
              <w:t xml:space="preserve"> </w:t>
            </w:r>
            <w:r>
              <w:t>not</w:t>
            </w:r>
            <w:r>
              <w:rPr>
                <w:spacing w:val="-4"/>
              </w:rPr>
              <w:t xml:space="preserve"> </w:t>
            </w:r>
            <w:r>
              <w:t>paid.</w:t>
            </w:r>
            <w:r>
              <w:rPr>
                <w:spacing w:val="-4"/>
              </w:rPr>
              <w:t xml:space="preserve"> </w:t>
            </w:r>
            <w:r>
              <w:t>Investigate</w:t>
            </w:r>
            <w:r>
              <w:rPr>
                <w:spacing w:val="-4"/>
              </w:rPr>
              <w:t xml:space="preserve"> </w:t>
            </w:r>
            <w:r>
              <w:t>any</w:t>
            </w:r>
            <w:r>
              <w:rPr>
                <w:spacing w:val="-4"/>
              </w:rPr>
              <w:t xml:space="preserve"> </w:t>
            </w:r>
            <w:r>
              <w:t>instances</w:t>
            </w:r>
            <w:r>
              <w:rPr>
                <w:spacing w:val="-4"/>
              </w:rPr>
              <w:t xml:space="preserve"> </w:t>
            </w:r>
            <w:r>
              <w:t>when</w:t>
            </w:r>
            <w:r>
              <w:rPr>
                <w:spacing w:val="-4"/>
              </w:rPr>
              <w:t xml:space="preserve"> </w:t>
            </w:r>
            <w:r>
              <w:t>the</w:t>
            </w:r>
            <w:r>
              <w:rPr>
                <w:spacing w:val="-4"/>
              </w:rPr>
              <w:t xml:space="preserve"> </w:t>
            </w:r>
            <w:r>
              <w:t>proper appropriation account was not charged. See FAM 806.01, Interest Penalties for Late Payments.</w:t>
            </w:r>
          </w:p>
        </w:tc>
        <w:tc>
          <w:tcPr>
            <w:tcW w:w="1152" w:type="dxa"/>
            <w:tcBorders>
              <w:top w:val="single" w:sz="6" w:space="0" w:color="000000"/>
              <w:left w:val="single" w:sz="6" w:space="0" w:color="000000"/>
              <w:bottom w:val="single" w:sz="6" w:space="0" w:color="000000"/>
              <w:right w:val="single" w:sz="6" w:space="0" w:color="000000"/>
            </w:tcBorders>
          </w:tcPr>
          <w:p w14:paraId="0DFDBAB2" w14:textId="77777777" w:rsidR="00046465" w:rsidRDefault="00046465">
            <w:pPr>
              <w:pStyle w:val="TableParagraph"/>
              <w:rPr>
                <w:rFonts w:ascii="Times New Roman"/>
                <w:sz w:val="20"/>
              </w:rPr>
            </w:pPr>
          </w:p>
        </w:tc>
        <w:tc>
          <w:tcPr>
            <w:tcW w:w="1218" w:type="dxa"/>
            <w:tcBorders>
              <w:top w:val="single" w:sz="6" w:space="0" w:color="000000"/>
              <w:left w:val="single" w:sz="6" w:space="0" w:color="000000"/>
              <w:bottom w:val="single" w:sz="6" w:space="0" w:color="000000"/>
            </w:tcBorders>
          </w:tcPr>
          <w:p w14:paraId="0DFDBAB3" w14:textId="77777777" w:rsidR="00046465" w:rsidRDefault="00046465">
            <w:pPr>
              <w:pStyle w:val="TableParagraph"/>
              <w:rPr>
                <w:rFonts w:ascii="Times New Roman"/>
                <w:sz w:val="20"/>
              </w:rPr>
            </w:pPr>
          </w:p>
        </w:tc>
      </w:tr>
    </w:tbl>
    <w:p w14:paraId="0DFDBAB5" w14:textId="77777777" w:rsidR="00046465" w:rsidRDefault="00046465">
      <w:pPr>
        <w:pStyle w:val="TableParagraph"/>
        <w:rPr>
          <w:rFonts w:ascii="Times New Roman"/>
          <w:sz w:val="20"/>
        </w:rPr>
        <w:sectPr w:rsidR="00046465">
          <w:pgSz w:w="12240" w:h="15840"/>
          <w:pgMar w:top="1380" w:right="1080" w:bottom="940" w:left="1080" w:header="721" w:footer="742" w:gutter="0"/>
          <w:cols w:space="720"/>
        </w:sectPr>
      </w:pPr>
    </w:p>
    <w:p w14:paraId="0DFDBAB6" w14:textId="77777777" w:rsidR="00046465" w:rsidRDefault="00046465">
      <w:pPr>
        <w:pStyle w:val="BodyText"/>
        <w:spacing w:before="4" w:after="1"/>
        <w:rPr>
          <w:sz w:val="8"/>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80"/>
        <w:gridCol w:w="1152"/>
        <w:gridCol w:w="1218"/>
      </w:tblGrid>
      <w:tr w:rsidR="00046465" w14:paraId="0DFDBAB8" w14:textId="77777777">
        <w:trPr>
          <w:trHeight w:val="1335"/>
        </w:trPr>
        <w:tc>
          <w:tcPr>
            <w:tcW w:w="9450" w:type="dxa"/>
            <w:gridSpan w:val="3"/>
          </w:tcPr>
          <w:p w14:paraId="0DFDBAB7" w14:textId="77777777" w:rsidR="00046465" w:rsidRDefault="008134EB">
            <w:pPr>
              <w:pStyle w:val="TableParagraph"/>
              <w:tabs>
                <w:tab w:val="left" w:pos="8943"/>
              </w:tabs>
              <w:spacing w:before="7" w:line="390" w:lineRule="atLeast"/>
              <w:ind w:left="129" w:right="459"/>
              <w:jc w:val="both"/>
            </w:pPr>
            <w:r>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ABE" w14:textId="77777777">
        <w:trPr>
          <w:trHeight w:val="793"/>
        </w:trPr>
        <w:tc>
          <w:tcPr>
            <w:tcW w:w="7080" w:type="dxa"/>
            <w:tcBorders>
              <w:right w:val="single" w:sz="6" w:space="0" w:color="000000"/>
            </w:tcBorders>
          </w:tcPr>
          <w:p w14:paraId="0DFDBAB9" w14:textId="77777777" w:rsidR="00046465" w:rsidRDefault="00046465">
            <w:pPr>
              <w:pStyle w:val="TableParagraph"/>
              <w:spacing w:before="144"/>
            </w:pPr>
          </w:p>
          <w:p w14:paraId="0DFDBABA"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152" w:type="dxa"/>
            <w:tcBorders>
              <w:left w:val="single" w:sz="6" w:space="0" w:color="000000"/>
              <w:right w:val="single" w:sz="6" w:space="0" w:color="000000"/>
            </w:tcBorders>
          </w:tcPr>
          <w:p w14:paraId="0DFDBABB" w14:textId="77777777" w:rsidR="00046465" w:rsidRDefault="008134EB">
            <w:pPr>
              <w:pStyle w:val="TableParagraph"/>
              <w:spacing w:before="144"/>
              <w:ind w:left="144"/>
              <w:rPr>
                <w:b/>
              </w:rPr>
            </w:pPr>
            <w:r>
              <w:rPr>
                <w:b/>
                <w:spacing w:val="-2"/>
              </w:rPr>
              <w:t xml:space="preserve">Initials/ </w:t>
            </w:r>
            <w:r>
              <w:rPr>
                <w:b/>
                <w:spacing w:val="-4"/>
              </w:rPr>
              <w:t>date</w:t>
            </w:r>
          </w:p>
        </w:tc>
        <w:tc>
          <w:tcPr>
            <w:tcW w:w="1218" w:type="dxa"/>
            <w:tcBorders>
              <w:left w:val="single" w:sz="6" w:space="0" w:color="000000"/>
            </w:tcBorders>
          </w:tcPr>
          <w:p w14:paraId="0DFDBABC" w14:textId="77777777" w:rsidR="00046465" w:rsidRDefault="00046465">
            <w:pPr>
              <w:pStyle w:val="TableParagraph"/>
              <w:spacing w:before="144"/>
            </w:pPr>
          </w:p>
          <w:p w14:paraId="0DFDBABD" w14:textId="77777777" w:rsidR="00046465" w:rsidRDefault="008134EB">
            <w:pPr>
              <w:pStyle w:val="TableParagraph"/>
              <w:ind w:left="144"/>
              <w:rPr>
                <w:b/>
              </w:rPr>
            </w:pPr>
            <w:r>
              <w:rPr>
                <w:b/>
              </w:rPr>
              <w:t>Doc.</w:t>
            </w:r>
            <w:r>
              <w:rPr>
                <w:b/>
                <w:spacing w:val="-6"/>
              </w:rPr>
              <w:t xml:space="preserve"> </w:t>
            </w:r>
            <w:r>
              <w:rPr>
                <w:b/>
                <w:spacing w:val="-4"/>
              </w:rPr>
              <w:t>ref.</w:t>
            </w:r>
          </w:p>
        </w:tc>
      </w:tr>
      <w:tr w:rsidR="00046465" w14:paraId="0DFDBACA" w14:textId="77777777">
        <w:trPr>
          <w:trHeight w:val="8634"/>
        </w:trPr>
        <w:tc>
          <w:tcPr>
            <w:tcW w:w="7080" w:type="dxa"/>
            <w:tcBorders>
              <w:bottom w:val="single" w:sz="6" w:space="0" w:color="000000"/>
              <w:right w:val="single" w:sz="6" w:space="0" w:color="000000"/>
            </w:tcBorders>
          </w:tcPr>
          <w:p w14:paraId="0DFDBABF" w14:textId="77777777" w:rsidR="00046465" w:rsidRDefault="008134EB">
            <w:pPr>
              <w:pStyle w:val="TableParagraph"/>
              <w:numPr>
                <w:ilvl w:val="0"/>
                <w:numId w:val="163"/>
              </w:numPr>
              <w:tabs>
                <w:tab w:val="left" w:pos="705"/>
              </w:tabs>
              <w:spacing w:before="144"/>
              <w:ind w:right="227"/>
            </w:pPr>
            <w:r>
              <w:t>If a discount was taken, then determine whether it was taken during the specified period during which the discount was available.</w:t>
            </w:r>
            <w:r>
              <w:rPr>
                <w:spacing w:val="-5"/>
              </w:rPr>
              <w:t xml:space="preserve"> </w:t>
            </w:r>
            <w:r>
              <w:t>If</w:t>
            </w:r>
            <w:r>
              <w:rPr>
                <w:spacing w:val="-5"/>
              </w:rPr>
              <w:t xml:space="preserve"> </w:t>
            </w:r>
            <w:r>
              <w:t>the</w:t>
            </w:r>
            <w:r>
              <w:rPr>
                <w:spacing w:val="-4"/>
              </w:rPr>
              <w:t xml:space="preserve"> </w:t>
            </w:r>
            <w:r>
              <w:t>discount</w:t>
            </w:r>
            <w:r>
              <w:rPr>
                <w:spacing w:val="-5"/>
              </w:rPr>
              <w:t xml:space="preserve"> </w:t>
            </w:r>
            <w:r>
              <w:t>was</w:t>
            </w:r>
            <w:r>
              <w:rPr>
                <w:spacing w:val="-4"/>
              </w:rPr>
              <w:t xml:space="preserve"> </w:t>
            </w:r>
            <w:r>
              <w:t>taken</w:t>
            </w:r>
            <w:r>
              <w:rPr>
                <w:spacing w:val="-5"/>
              </w:rPr>
              <w:t xml:space="preserve"> </w:t>
            </w:r>
            <w:r>
              <w:t>during</w:t>
            </w:r>
            <w:r>
              <w:rPr>
                <w:spacing w:val="-4"/>
              </w:rPr>
              <w:t xml:space="preserve"> </w:t>
            </w:r>
            <w:r>
              <w:t>the</w:t>
            </w:r>
            <w:r>
              <w:rPr>
                <w:spacing w:val="-4"/>
              </w:rPr>
              <w:t xml:space="preserve"> </w:t>
            </w:r>
            <w:r>
              <w:t>specified</w:t>
            </w:r>
            <w:r>
              <w:rPr>
                <w:spacing w:val="-4"/>
              </w:rPr>
              <w:t xml:space="preserve"> </w:t>
            </w:r>
            <w:r>
              <w:t>period, then further consideration is not necessary.</w:t>
            </w:r>
          </w:p>
          <w:p w14:paraId="0DFDBAC0" w14:textId="77777777" w:rsidR="00046465" w:rsidRDefault="008134EB">
            <w:pPr>
              <w:pStyle w:val="TableParagraph"/>
              <w:spacing w:before="145"/>
              <w:ind w:left="705"/>
            </w:pPr>
            <w:r>
              <w:t>If</w:t>
            </w:r>
            <w:r>
              <w:rPr>
                <w:spacing w:val="-5"/>
              </w:rPr>
              <w:t xml:space="preserve"> </w:t>
            </w:r>
            <w:r>
              <w:t>any</w:t>
            </w:r>
            <w:r>
              <w:rPr>
                <w:spacing w:val="-5"/>
              </w:rPr>
              <w:t xml:space="preserve"> </w:t>
            </w:r>
            <w:r>
              <w:t>discounts</w:t>
            </w:r>
            <w:r>
              <w:rPr>
                <w:spacing w:val="-5"/>
              </w:rPr>
              <w:t xml:space="preserve"> </w:t>
            </w:r>
            <w:r>
              <w:t>are</w:t>
            </w:r>
            <w:r>
              <w:rPr>
                <w:spacing w:val="-5"/>
              </w:rPr>
              <w:t xml:space="preserve"> </w:t>
            </w:r>
            <w:r>
              <w:t>taken</w:t>
            </w:r>
            <w:r>
              <w:rPr>
                <w:spacing w:val="-5"/>
              </w:rPr>
              <w:t xml:space="preserve"> </w:t>
            </w:r>
            <w:r>
              <w:t>after</w:t>
            </w:r>
            <w:r>
              <w:rPr>
                <w:spacing w:val="-5"/>
              </w:rPr>
              <w:t xml:space="preserve"> </w:t>
            </w:r>
            <w:r>
              <w:t>the</w:t>
            </w:r>
            <w:r>
              <w:rPr>
                <w:spacing w:val="-6"/>
              </w:rPr>
              <w:t xml:space="preserve"> </w:t>
            </w:r>
            <w:r>
              <w:t>appropriate</w:t>
            </w:r>
            <w:r>
              <w:rPr>
                <w:spacing w:val="-6"/>
              </w:rPr>
              <w:t xml:space="preserve"> </w:t>
            </w:r>
            <w:r>
              <w:t>time</w:t>
            </w:r>
            <w:r>
              <w:rPr>
                <w:spacing w:val="-5"/>
              </w:rPr>
              <w:t xml:space="preserve"> </w:t>
            </w:r>
            <w:r>
              <w:t>period, determine whether</w:t>
            </w:r>
          </w:p>
          <w:p w14:paraId="0DFDBAC1" w14:textId="77777777" w:rsidR="00046465" w:rsidRDefault="008134EB">
            <w:pPr>
              <w:pStyle w:val="TableParagraph"/>
              <w:numPr>
                <w:ilvl w:val="1"/>
                <w:numId w:val="163"/>
              </w:numPr>
              <w:tabs>
                <w:tab w:val="left" w:pos="1282"/>
              </w:tabs>
              <w:spacing w:before="143"/>
              <w:ind w:hanging="576"/>
            </w:pPr>
            <w:r>
              <w:t>an</w:t>
            </w:r>
            <w:r>
              <w:rPr>
                <w:spacing w:val="-6"/>
              </w:rPr>
              <w:t xml:space="preserve"> </w:t>
            </w:r>
            <w:r>
              <w:t>interest</w:t>
            </w:r>
            <w:r>
              <w:rPr>
                <w:spacing w:val="-6"/>
              </w:rPr>
              <w:t xml:space="preserve"> </w:t>
            </w:r>
            <w:r>
              <w:t>penalty</w:t>
            </w:r>
            <w:r>
              <w:rPr>
                <w:spacing w:val="-5"/>
              </w:rPr>
              <w:t xml:space="preserve"> </w:t>
            </w:r>
            <w:r>
              <w:t>was</w:t>
            </w:r>
            <w:r>
              <w:rPr>
                <w:spacing w:val="-6"/>
              </w:rPr>
              <w:t xml:space="preserve"> </w:t>
            </w:r>
            <w:r>
              <w:rPr>
                <w:spacing w:val="-2"/>
              </w:rPr>
              <w:t>paid,</w:t>
            </w:r>
          </w:p>
          <w:p w14:paraId="0DFDBAC2" w14:textId="77777777" w:rsidR="00046465" w:rsidRDefault="008134EB">
            <w:pPr>
              <w:pStyle w:val="TableParagraph"/>
              <w:numPr>
                <w:ilvl w:val="1"/>
                <w:numId w:val="163"/>
              </w:numPr>
              <w:tabs>
                <w:tab w:val="left" w:pos="1282"/>
              </w:tabs>
              <w:spacing w:before="144"/>
              <w:ind w:right="1192"/>
            </w:pPr>
            <w:r>
              <w:t>the</w:t>
            </w:r>
            <w:r>
              <w:rPr>
                <w:spacing w:val="-6"/>
              </w:rPr>
              <w:t xml:space="preserve"> </w:t>
            </w:r>
            <w:r>
              <w:t>amount</w:t>
            </w:r>
            <w:r>
              <w:rPr>
                <w:spacing w:val="-6"/>
              </w:rPr>
              <w:t xml:space="preserve"> </w:t>
            </w:r>
            <w:r>
              <w:t>of</w:t>
            </w:r>
            <w:r>
              <w:rPr>
                <w:spacing w:val="-6"/>
              </w:rPr>
              <w:t xml:space="preserve"> </w:t>
            </w:r>
            <w:r>
              <w:t>the</w:t>
            </w:r>
            <w:r>
              <w:rPr>
                <w:spacing w:val="-6"/>
              </w:rPr>
              <w:t xml:space="preserve"> </w:t>
            </w:r>
            <w:r>
              <w:t>interest</w:t>
            </w:r>
            <w:r>
              <w:rPr>
                <w:spacing w:val="-6"/>
              </w:rPr>
              <w:t xml:space="preserve"> </w:t>
            </w:r>
            <w:r>
              <w:t>penalty</w:t>
            </w:r>
            <w:r>
              <w:rPr>
                <w:spacing w:val="-6"/>
              </w:rPr>
              <w:t xml:space="preserve"> </w:t>
            </w:r>
            <w:r>
              <w:t>was</w:t>
            </w:r>
            <w:r>
              <w:rPr>
                <w:spacing w:val="-6"/>
              </w:rPr>
              <w:t xml:space="preserve"> </w:t>
            </w:r>
            <w:r>
              <w:t>properly calculated, and</w:t>
            </w:r>
          </w:p>
          <w:p w14:paraId="0DFDBAC3" w14:textId="77777777" w:rsidR="00046465" w:rsidRDefault="008134EB">
            <w:pPr>
              <w:pStyle w:val="TableParagraph"/>
              <w:numPr>
                <w:ilvl w:val="1"/>
                <w:numId w:val="163"/>
              </w:numPr>
              <w:tabs>
                <w:tab w:val="left" w:pos="1282"/>
              </w:tabs>
              <w:spacing w:before="145"/>
              <w:ind w:right="311"/>
            </w:pPr>
            <w:r>
              <w:t>the interest penalty was charged against the appropriation</w:t>
            </w:r>
            <w:r>
              <w:rPr>
                <w:spacing w:val="-7"/>
              </w:rPr>
              <w:t xml:space="preserve"> </w:t>
            </w:r>
            <w:r>
              <w:t>account</w:t>
            </w:r>
            <w:r>
              <w:rPr>
                <w:spacing w:val="-7"/>
              </w:rPr>
              <w:t xml:space="preserve"> </w:t>
            </w:r>
            <w:r>
              <w:t>used</w:t>
            </w:r>
            <w:r>
              <w:rPr>
                <w:spacing w:val="-7"/>
              </w:rPr>
              <w:t xml:space="preserve"> </w:t>
            </w:r>
            <w:r>
              <w:t>for</w:t>
            </w:r>
            <w:r>
              <w:rPr>
                <w:spacing w:val="-7"/>
              </w:rPr>
              <w:t xml:space="preserve"> </w:t>
            </w:r>
            <w:r>
              <w:t>the</w:t>
            </w:r>
            <w:r>
              <w:rPr>
                <w:spacing w:val="-7"/>
              </w:rPr>
              <w:t xml:space="preserve"> </w:t>
            </w:r>
            <w:r>
              <w:t>related</w:t>
            </w:r>
            <w:r>
              <w:rPr>
                <w:spacing w:val="-7"/>
              </w:rPr>
              <w:t xml:space="preserve"> </w:t>
            </w:r>
            <w:r>
              <w:t>expenditures.</w:t>
            </w:r>
          </w:p>
          <w:p w14:paraId="0DFDBAC4" w14:textId="77777777" w:rsidR="00046465" w:rsidRDefault="008134EB">
            <w:pPr>
              <w:pStyle w:val="TableParagraph"/>
              <w:spacing w:before="143"/>
              <w:ind w:left="705" w:right="179"/>
            </w:pPr>
            <w:r>
              <w:t>Review</w:t>
            </w:r>
            <w:r>
              <w:rPr>
                <w:spacing w:val="-4"/>
              </w:rPr>
              <w:t xml:space="preserve"> </w:t>
            </w:r>
            <w:r>
              <w:t>the</w:t>
            </w:r>
            <w:r>
              <w:rPr>
                <w:spacing w:val="-4"/>
              </w:rPr>
              <w:t xml:space="preserve"> </w:t>
            </w:r>
            <w:r>
              <w:t>budget</w:t>
            </w:r>
            <w:r>
              <w:rPr>
                <w:spacing w:val="-4"/>
              </w:rPr>
              <w:t xml:space="preserve"> </w:t>
            </w:r>
            <w:r>
              <w:t>accounting</w:t>
            </w:r>
            <w:r>
              <w:rPr>
                <w:spacing w:val="-4"/>
              </w:rPr>
              <w:t xml:space="preserve"> </w:t>
            </w:r>
            <w:r>
              <w:t>codes</w:t>
            </w:r>
            <w:r>
              <w:rPr>
                <w:spacing w:val="-4"/>
              </w:rPr>
              <w:t xml:space="preserve"> </w:t>
            </w:r>
            <w:r>
              <w:t>indicated</w:t>
            </w:r>
            <w:r>
              <w:rPr>
                <w:spacing w:val="-4"/>
              </w:rPr>
              <w:t xml:space="preserve"> </w:t>
            </w:r>
            <w:r>
              <w:t>on</w:t>
            </w:r>
            <w:r>
              <w:rPr>
                <w:spacing w:val="-4"/>
              </w:rPr>
              <w:t xml:space="preserve"> </w:t>
            </w:r>
            <w:r>
              <w:t>the</w:t>
            </w:r>
            <w:r>
              <w:rPr>
                <w:spacing w:val="-4"/>
              </w:rPr>
              <w:t xml:space="preserve"> </w:t>
            </w:r>
            <w:r>
              <w:t>expense voucher. Determine whether the budget accounting codes indicated on the voucher for the interest penalty are the same as those used for the related expenditure. Determine whether the codes and amounts on the voucher agree with those recorded in the budgetary accounting records. (See step 6 regarding</w:t>
            </w:r>
            <w:r>
              <w:rPr>
                <w:spacing w:val="-6"/>
              </w:rPr>
              <w:t xml:space="preserve"> </w:t>
            </w:r>
            <w:r>
              <w:t>proper</w:t>
            </w:r>
            <w:r>
              <w:rPr>
                <w:spacing w:val="-6"/>
              </w:rPr>
              <w:t xml:space="preserve"> </w:t>
            </w:r>
            <w:r>
              <w:t>summarization</w:t>
            </w:r>
            <w:r>
              <w:rPr>
                <w:spacing w:val="-6"/>
              </w:rPr>
              <w:t xml:space="preserve"> </w:t>
            </w:r>
            <w:r>
              <w:t>of</w:t>
            </w:r>
            <w:r>
              <w:rPr>
                <w:spacing w:val="-6"/>
              </w:rPr>
              <w:t xml:space="preserve"> </w:t>
            </w:r>
            <w:r>
              <w:t>the</w:t>
            </w:r>
            <w:r>
              <w:rPr>
                <w:spacing w:val="-6"/>
              </w:rPr>
              <w:t xml:space="preserve"> </w:t>
            </w:r>
            <w:r>
              <w:t>budgetary</w:t>
            </w:r>
            <w:r>
              <w:rPr>
                <w:spacing w:val="-7"/>
              </w:rPr>
              <w:t xml:space="preserve"> </w:t>
            </w:r>
            <w:r>
              <w:t>amounts.)</w:t>
            </w:r>
            <w:r>
              <w:rPr>
                <w:spacing w:val="-6"/>
              </w:rPr>
              <w:t xml:space="preserve"> </w:t>
            </w:r>
            <w:r>
              <w:t>31</w:t>
            </w:r>
          </w:p>
          <w:p w14:paraId="0DFDBAC5" w14:textId="77777777" w:rsidR="00046465" w:rsidRDefault="008134EB">
            <w:pPr>
              <w:pStyle w:val="TableParagraph"/>
              <w:spacing w:before="1"/>
              <w:ind w:left="705"/>
            </w:pPr>
            <w:r>
              <w:t>U.S.C.</w:t>
            </w:r>
            <w:r>
              <w:rPr>
                <w:spacing w:val="-5"/>
              </w:rPr>
              <w:t xml:space="preserve"> </w:t>
            </w:r>
            <w:r>
              <w:t>§</w:t>
            </w:r>
            <w:r>
              <w:rPr>
                <w:spacing w:val="-4"/>
              </w:rPr>
              <w:t xml:space="preserve"> </w:t>
            </w:r>
            <w:r>
              <w:t>3902</w:t>
            </w:r>
            <w:r>
              <w:rPr>
                <w:spacing w:val="-4"/>
              </w:rPr>
              <w:t xml:space="preserve"> </w:t>
            </w:r>
            <w:r>
              <w:t>(a),</w:t>
            </w:r>
            <w:r>
              <w:rPr>
                <w:spacing w:val="-4"/>
              </w:rPr>
              <w:t xml:space="preserve"> </w:t>
            </w:r>
            <w:r>
              <w:t>(b),</w:t>
            </w:r>
            <w:r>
              <w:rPr>
                <w:spacing w:val="-4"/>
              </w:rPr>
              <w:t xml:space="preserve"> </w:t>
            </w:r>
            <w:r>
              <w:t>(f),</w:t>
            </w:r>
            <w:r>
              <w:rPr>
                <w:spacing w:val="-4"/>
              </w:rPr>
              <w:t xml:space="preserve"> </w:t>
            </w:r>
            <w:r>
              <w:t>and</w:t>
            </w:r>
            <w:r>
              <w:rPr>
                <w:spacing w:val="-4"/>
              </w:rPr>
              <w:t xml:space="preserve"> </w:t>
            </w:r>
            <w:r>
              <w:t>31</w:t>
            </w:r>
            <w:r>
              <w:rPr>
                <w:spacing w:val="-4"/>
              </w:rPr>
              <w:t xml:space="preserve"> </w:t>
            </w:r>
            <w:r>
              <w:t>U.S.C.</w:t>
            </w:r>
            <w:r>
              <w:rPr>
                <w:spacing w:val="-4"/>
              </w:rPr>
              <w:t xml:space="preserve"> </w:t>
            </w:r>
            <w:r>
              <w:t>§</w:t>
            </w:r>
            <w:r>
              <w:rPr>
                <w:spacing w:val="-4"/>
              </w:rPr>
              <w:t xml:space="preserve"> </w:t>
            </w:r>
            <w:r>
              <w:rPr>
                <w:spacing w:val="-2"/>
              </w:rPr>
              <w:t>3904.</w:t>
            </w:r>
          </w:p>
          <w:p w14:paraId="0DFDBAC6" w14:textId="77777777" w:rsidR="00046465" w:rsidRDefault="008134EB">
            <w:pPr>
              <w:pStyle w:val="TableParagraph"/>
              <w:spacing w:before="144"/>
              <w:ind w:left="705" w:right="54"/>
            </w:pPr>
            <w:r>
              <w:t>Interest penalties (see FAM 806.01, Interest Penalties for Late Payments) should be calculated on the amount of the discount. The</w:t>
            </w:r>
            <w:r>
              <w:rPr>
                <w:spacing w:val="-4"/>
              </w:rPr>
              <w:t xml:space="preserve"> </w:t>
            </w:r>
            <w:r>
              <w:t>penalty</w:t>
            </w:r>
            <w:r>
              <w:rPr>
                <w:spacing w:val="-5"/>
              </w:rPr>
              <w:t xml:space="preserve"> </w:t>
            </w:r>
            <w:r>
              <w:t>accrues</w:t>
            </w:r>
            <w:r>
              <w:rPr>
                <w:spacing w:val="-4"/>
              </w:rPr>
              <w:t xml:space="preserve"> </w:t>
            </w:r>
            <w:r>
              <w:t>on</w:t>
            </w:r>
            <w:r>
              <w:rPr>
                <w:spacing w:val="-4"/>
              </w:rPr>
              <w:t xml:space="preserve"> </w:t>
            </w:r>
            <w:r>
              <w:t>the</w:t>
            </w:r>
            <w:r>
              <w:rPr>
                <w:spacing w:val="-4"/>
              </w:rPr>
              <w:t xml:space="preserve"> </w:t>
            </w:r>
            <w:r>
              <w:t>amount</w:t>
            </w:r>
            <w:r>
              <w:rPr>
                <w:spacing w:val="-4"/>
              </w:rPr>
              <w:t xml:space="preserve"> </w:t>
            </w:r>
            <w:r>
              <w:t>of</w:t>
            </w:r>
            <w:r>
              <w:rPr>
                <w:spacing w:val="-4"/>
              </w:rPr>
              <w:t xml:space="preserve"> </w:t>
            </w:r>
            <w:r>
              <w:t>the</w:t>
            </w:r>
            <w:r>
              <w:rPr>
                <w:spacing w:val="-4"/>
              </w:rPr>
              <w:t xml:space="preserve"> </w:t>
            </w:r>
            <w:r>
              <w:t>discount</w:t>
            </w:r>
            <w:r>
              <w:rPr>
                <w:spacing w:val="-4"/>
              </w:rPr>
              <w:t xml:space="preserve"> </w:t>
            </w:r>
            <w:r>
              <w:t>from</w:t>
            </w:r>
            <w:r>
              <w:rPr>
                <w:spacing w:val="-5"/>
              </w:rPr>
              <w:t xml:space="preserve"> </w:t>
            </w:r>
            <w:r>
              <w:t>the</w:t>
            </w:r>
            <w:r>
              <w:rPr>
                <w:spacing w:val="-4"/>
              </w:rPr>
              <w:t xml:space="preserve"> </w:t>
            </w:r>
            <w:r>
              <w:t>last date specified that the discounted amount may be paid. See FAM 806.03, Limitations on Discount Payments.</w:t>
            </w:r>
          </w:p>
          <w:p w14:paraId="0DFDBAC7" w14:textId="77777777" w:rsidR="00046465" w:rsidRDefault="008134EB">
            <w:pPr>
              <w:pStyle w:val="TableParagraph"/>
              <w:spacing w:before="144"/>
              <w:ind w:left="705" w:right="179"/>
            </w:pPr>
            <w:r>
              <w:t>Investigate any differences between the amount of interest penalty calculated by the auditor and the amount paid by the entity, including any instances when an interest penalty was owed</w:t>
            </w:r>
            <w:r>
              <w:rPr>
                <w:spacing w:val="-5"/>
              </w:rPr>
              <w:t xml:space="preserve"> </w:t>
            </w:r>
            <w:r>
              <w:t>but</w:t>
            </w:r>
            <w:r>
              <w:rPr>
                <w:spacing w:val="-5"/>
              </w:rPr>
              <w:t xml:space="preserve"> </w:t>
            </w:r>
            <w:r>
              <w:t>not</w:t>
            </w:r>
            <w:r>
              <w:rPr>
                <w:spacing w:val="-5"/>
              </w:rPr>
              <w:t xml:space="preserve"> </w:t>
            </w:r>
            <w:r>
              <w:t>paid.</w:t>
            </w:r>
            <w:r>
              <w:rPr>
                <w:spacing w:val="-5"/>
              </w:rPr>
              <w:t xml:space="preserve"> </w:t>
            </w:r>
            <w:r>
              <w:t>Investigate</w:t>
            </w:r>
            <w:r>
              <w:rPr>
                <w:spacing w:val="-5"/>
              </w:rPr>
              <w:t xml:space="preserve"> </w:t>
            </w:r>
            <w:r>
              <w:t>any</w:t>
            </w:r>
            <w:r>
              <w:rPr>
                <w:spacing w:val="-5"/>
              </w:rPr>
              <w:t xml:space="preserve"> </w:t>
            </w:r>
            <w:r>
              <w:t>instances</w:t>
            </w:r>
            <w:r>
              <w:rPr>
                <w:spacing w:val="-5"/>
              </w:rPr>
              <w:t xml:space="preserve"> </w:t>
            </w:r>
            <w:r>
              <w:t>when</w:t>
            </w:r>
            <w:r>
              <w:rPr>
                <w:spacing w:val="-5"/>
              </w:rPr>
              <w:t xml:space="preserve"> </w:t>
            </w:r>
            <w:r>
              <w:t>the</w:t>
            </w:r>
            <w:r>
              <w:rPr>
                <w:spacing w:val="-5"/>
              </w:rPr>
              <w:t xml:space="preserve"> </w:t>
            </w:r>
            <w:r>
              <w:t>proper appropriation account was not charged.</w:t>
            </w:r>
          </w:p>
        </w:tc>
        <w:tc>
          <w:tcPr>
            <w:tcW w:w="1152" w:type="dxa"/>
            <w:tcBorders>
              <w:left w:val="single" w:sz="6" w:space="0" w:color="000000"/>
              <w:bottom w:val="single" w:sz="6" w:space="0" w:color="000000"/>
              <w:right w:val="single" w:sz="6" w:space="0" w:color="000000"/>
            </w:tcBorders>
          </w:tcPr>
          <w:p w14:paraId="0DFDBAC8" w14:textId="77777777" w:rsidR="00046465" w:rsidRDefault="00046465">
            <w:pPr>
              <w:pStyle w:val="TableParagraph"/>
              <w:rPr>
                <w:rFonts w:ascii="Times New Roman"/>
                <w:sz w:val="20"/>
              </w:rPr>
            </w:pPr>
          </w:p>
        </w:tc>
        <w:tc>
          <w:tcPr>
            <w:tcW w:w="1218" w:type="dxa"/>
            <w:tcBorders>
              <w:left w:val="single" w:sz="6" w:space="0" w:color="000000"/>
              <w:bottom w:val="single" w:sz="6" w:space="0" w:color="000000"/>
            </w:tcBorders>
          </w:tcPr>
          <w:p w14:paraId="0DFDBAC9" w14:textId="77777777" w:rsidR="00046465" w:rsidRDefault="00046465">
            <w:pPr>
              <w:pStyle w:val="TableParagraph"/>
              <w:rPr>
                <w:rFonts w:ascii="Times New Roman"/>
                <w:sz w:val="20"/>
              </w:rPr>
            </w:pPr>
          </w:p>
        </w:tc>
      </w:tr>
    </w:tbl>
    <w:p w14:paraId="0DFDBACB" w14:textId="77777777" w:rsidR="00046465" w:rsidRDefault="00046465">
      <w:pPr>
        <w:pStyle w:val="TableParagraph"/>
        <w:rPr>
          <w:rFonts w:ascii="Times New Roman"/>
          <w:sz w:val="20"/>
        </w:rPr>
        <w:sectPr w:rsidR="00046465">
          <w:pgSz w:w="12240" w:h="15840"/>
          <w:pgMar w:top="1380" w:right="1080" w:bottom="940" w:left="1080" w:header="721" w:footer="742" w:gutter="0"/>
          <w:cols w:space="720"/>
        </w:sectPr>
      </w:pPr>
    </w:p>
    <w:p w14:paraId="0DFDBACC" w14:textId="77777777" w:rsidR="00046465" w:rsidRDefault="00046465">
      <w:pPr>
        <w:pStyle w:val="BodyText"/>
        <w:spacing w:before="4" w:after="1"/>
        <w:rPr>
          <w:sz w:val="8"/>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80"/>
        <w:gridCol w:w="1152"/>
        <w:gridCol w:w="1218"/>
      </w:tblGrid>
      <w:tr w:rsidR="00046465" w14:paraId="0DFDBACE" w14:textId="77777777">
        <w:trPr>
          <w:trHeight w:val="1335"/>
        </w:trPr>
        <w:tc>
          <w:tcPr>
            <w:tcW w:w="9450" w:type="dxa"/>
            <w:gridSpan w:val="3"/>
          </w:tcPr>
          <w:p w14:paraId="0DFDBACD" w14:textId="77777777" w:rsidR="00046465" w:rsidRDefault="008134EB">
            <w:pPr>
              <w:pStyle w:val="TableParagraph"/>
              <w:tabs>
                <w:tab w:val="left" w:pos="8943"/>
              </w:tabs>
              <w:spacing w:before="7" w:line="390" w:lineRule="atLeast"/>
              <w:ind w:left="129" w:right="459"/>
              <w:jc w:val="both"/>
            </w:pPr>
            <w:r>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AD4" w14:textId="77777777">
        <w:trPr>
          <w:trHeight w:val="793"/>
        </w:trPr>
        <w:tc>
          <w:tcPr>
            <w:tcW w:w="7080" w:type="dxa"/>
            <w:tcBorders>
              <w:right w:val="single" w:sz="6" w:space="0" w:color="000000"/>
            </w:tcBorders>
          </w:tcPr>
          <w:p w14:paraId="0DFDBACF" w14:textId="77777777" w:rsidR="00046465" w:rsidRDefault="00046465">
            <w:pPr>
              <w:pStyle w:val="TableParagraph"/>
              <w:spacing w:before="144"/>
            </w:pPr>
          </w:p>
          <w:p w14:paraId="0DFDBAD0"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152" w:type="dxa"/>
            <w:tcBorders>
              <w:left w:val="single" w:sz="6" w:space="0" w:color="000000"/>
              <w:right w:val="single" w:sz="6" w:space="0" w:color="000000"/>
            </w:tcBorders>
          </w:tcPr>
          <w:p w14:paraId="0DFDBAD1" w14:textId="77777777" w:rsidR="00046465" w:rsidRDefault="008134EB">
            <w:pPr>
              <w:pStyle w:val="TableParagraph"/>
              <w:spacing w:before="144"/>
              <w:ind w:left="144"/>
              <w:rPr>
                <w:b/>
              </w:rPr>
            </w:pPr>
            <w:r>
              <w:rPr>
                <w:b/>
                <w:spacing w:val="-2"/>
              </w:rPr>
              <w:t xml:space="preserve">Initials/ </w:t>
            </w:r>
            <w:r>
              <w:rPr>
                <w:b/>
                <w:spacing w:val="-4"/>
              </w:rPr>
              <w:t>date</w:t>
            </w:r>
          </w:p>
        </w:tc>
        <w:tc>
          <w:tcPr>
            <w:tcW w:w="1218" w:type="dxa"/>
            <w:tcBorders>
              <w:left w:val="single" w:sz="6" w:space="0" w:color="000000"/>
            </w:tcBorders>
          </w:tcPr>
          <w:p w14:paraId="0DFDBAD2" w14:textId="77777777" w:rsidR="00046465" w:rsidRDefault="00046465">
            <w:pPr>
              <w:pStyle w:val="TableParagraph"/>
              <w:spacing w:before="144"/>
            </w:pPr>
          </w:p>
          <w:p w14:paraId="0DFDBAD3" w14:textId="77777777" w:rsidR="00046465" w:rsidRDefault="008134EB">
            <w:pPr>
              <w:pStyle w:val="TableParagraph"/>
              <w:ind w:left="144"/>
              <w:rPr>
                <w:b/>
              </w:rPr>
            </w:pPr>
            <w:r>
              <w:rPr>
                <w:b/>
              </w:rPr>
              <w:t>Doc.</w:t>
            </w:r>
            <w:r>
              <w:rPr>
                <w:b/>
                <w:spacing w:val="-6"/>
              </w:rPr>
              <w:t xml:space="preserve"> </w:t>
            </w:r>
            <w:r>
              <w:rPr>
                <w:b/>
                <w:spacing w:val="-4"/>
              </w:rPr>
              <w:t>ref.</w:t>
            </w:r>
          </w:p>
        </w:tc>
      </w:tr>
      <w:tr w:rsidR="00046465" w14:paraId="0DFDBADA" w14:textId="77777777">
        <w:trPr>
          <w:trHeight w:val="3865"/>
        </w:trPr>
        <w:tc>
          <w:tcPr>
            <w:tcW w:w="7080" w:type="dxa"/>
            <w:tcBorders>
              <w:bottom w:val="single" w:sz="6" w:space="0" w:color="000000"/>
              <w:right w:val="single" w:sz="6" w:space="0" w:color="000000"/>
            </w:tcBorders>
          </w:tcPr>
          <w:p w14:paraId="0DFDBAD5" w14:textId="77777777" w:rsidR="00046465" w:rsidRDefault="008134EB">
            <w:pPr>
              <w:pStyle w:val="TableParagraph"/>
              <w:tabs>
                <w:tab w:val="left" w:pos="705"/>
              </w:tabs>
              <w:spacing w:before="144"/>
              <w:ind w:left="705" w:right="716" w:hanging="577"/>
            </w:pPr>
            <w:r>
              <w:rPr>
                <w:spacing w:val="-6"/>
              </w:rPr>
              <w:t>6)</w:t>
            </w:r>
            <w:r>
              <w:tab/>
              <w:t>Consider</w:t>
            </w:r>
            <w:r>
              <w:rPr>
                <w:spacing w:val="-6"/>
              </w:rPr>
              <w:t xml:space="preserve"> </w:t>
            </w:r>
            <w:r>
              <w:t>the</w:t>
            </w:r>
            <w:r>
              <w:rPr>
                <w:spacing w:val="-6"/>
              </w:rPr>
              <w:t xml:space="preserve"> </w:t>
            </w:r>
            <w:r>
              <w:t>procedures</w:t>
            </w:r>
            <w:r>
              <w:rPr>
                <w:spacing w:val="-6"/>
              </w:rPr>
              <w:t xml:space="preserve"> </w:t>
            </w:r>
            <w:r>
              <w:t>performed</w:t>
            </w:r>
            <w:r>
              <w:rPr>
                <w:spacing w:val="-6"/>
              </w:rPr>
              <w:t xml:space="preserve"> </w:t>
            </w:r>
            <w:r>
              <w:t>on</w:t>
            </w:r>
            <w:r>
              <w:rPr>
                <w:spacing w:val="-6"/>
              </w:rPr>
              <w:t xml:space="preserve"> </w:t>
            </w:r>
            <w:r>
              <w:t>the</w:t>
            </w:r>
            <w:r>
              <w:rPr>
                <w:spacing w:val="-6"/>
              </w:rPr>
              <w:t xml:space="preserve"> </w:t>
            </w:r>
            <w:r>
              <w:t>entity’s</w:t>
            </w:r>
            <w:r>
              <w:rPr>
                <w:spacing w:val="-6"/>
              </w:rPr>
              <w:t xml:space="preserve"> </w:t>
            </w:r>
            <w:r>
              <w:t>budget controls over summarization of expenditure balances as discussed in FAM 395 F, Budget Control Objectives.</w:t>
            </w:r>
          </w:p>
          <w:p w14:paraId="0DFDBAD6" w14:textId="77777777" w:rsidR="00046465" w:rsidRDefault="008134EB">
            <w:pPr>
              <w:pStyle w:val="TableParagraph"/>
              <w:spacing w:before="145"/>
              <w:ind w:left="705"/>
            </w:pPr>
            <w:r>
              <w:t>If</w:t>
            </w:r>
            <w:r>
              <w:rPr>
                <w:spacing w:val="-2"/>
              </w:rPr>
              <w:t xml:space="preserve"> </w:t>
            </w:r>
            <w:r>
              <w:t>the</w:t>
            </w:r>
            <w:r>
              <w:rPr>
                <w:spacing w:val="-2"/>
              </w:rPr>
              <w:t xml:space="preserve"> </w:t>
            </w:r>
            <w:r>
              <w:t>auditor</w:t>
            </w:r>
            <w:r>
              <w:rPr>
                <w:spacing w:val="-3"/>
              </w:rPr>
              <w:t xml:space="preserve"> </w:t>
            </w:r>
            <w:r>
              <w:t>has</w:t>
            </w:r>
            <w:r>
              <w:rPr>
                <w:spacing w:val="-2"/>
              </w:rPr>
              <w:t xml:space="preserve"> </w:t>
            </w:r>
            <w:r>
              <w:t>assessed</w:t>
            </w:r>
            <w:r>
              <w:rPr>
                <w:spacing w:val="-2"/>
              </w:rPr>
              <w:t xml:space="preserve"> </w:t>
            </w:r>
            <w:r>
              <w:t>the</w:t>
            </w:r>
            <w:r>
              <w:rPr>
                <w:spacing w:val="-2"/>
              </w:rPr>
              <w:t xml:space="preserve"> </w:t>
            </w:r>
            <w:r>
              <w:t>entity’s</w:t>
            </w:r>
            <w:r>
              <w:rPr>
                <w:spacing w:val="-2"/>
              </w:rPr>
              <w:t xml:space="preserve"> </w:t>
            </w:r>
            <w:r>
              <w:t>controls</w:t>
            </w:r>
            <w:r>
              <w:rPr>
                <w:spacing w:val="-2"/>
              </w:rPr>
              <w:t xml:space="preserve"> </w:t>
            </w:r>
            <w:r>
              <w:t>as</w:t>
            </w:r>
            <w:r>
              <w:rPr>
                <w:spacing w:val="-2"/>
              </w:rPr>
              <w:t xml:space="preserve"> </w:t>
            </w:r>
            <w:r>
              <w:rPr>
                <w:u w:val="single"/>
              </w:rPr>
              <w:t>effective</w:t>
            </w:r>
            <w:r>
              <w:rPr>
                <w:spacing w:val="-2"/>
              </w:rPr>
              <w:t xml:space="preserve"> </w:t>
            </w:r>
            <w:r>
              <w:t>in achieving the control objective of summarizing expenditure balances,</w:t>
            </w:r>
            <w:r>
              <w:rPr>
                <w:spacing w:val="-5"/>
              </w:rPr>
              <w:t xml:space="preserve"> </w:t>
            </w:r>
            <w:r>
              <w:t>then</w:t>
            </w:r>
            <w:r>
              <w:rPr>
                <w:spacing w:val="-5"/>
              </w:rPr>
              <w:t xml:space="preserve"> </w:t>
            </w:r>
            <w:r>
              <w:t>further</w:t>
            </w:r>
            <w:r>
              <w:rPr>
                <w:spacing w:val="-5"/>
              </w:rPr>
              <w:t xml:space="preserve"> </w:t>
            </w:r>
            <w:r>
              <w:t>procedures</w:t>
            </w:r>
            <w:r>
              <w:rPr>
                <w:spacing w:val="-5"/>
              </w:rPr>
              <w:t xml:space="preserve"> </w:t>
            </w:r>
            <w:r>
              <w:t>are</w:t>
            </w:r>
            <w:r>
              <w:rPr>
                <w:spacing w:val="-5"/>
              </w:rPr>
              <w:t xml:space="preserve"> </w:t>
            </w:r>
            <w:r>
              <w:t>not</w:t>
            </w:r>
            <w:r>
              <w:rPr>
                <w:spacing w:val="-5"/>
              </w:rPr>
              <w:t xml:space="preserve"> </w:t>
            </w:r>
            <w:r>
              <w:t>necessary</w:t>
            </w:r>
            <w:r>
              <w:rPr>
                <w:spacing w:val="-5"/>
              </w:rPr>
              <w:t xml:space="preserve"> </w:t>
            </w:r>
            <w:r>
              <w:t>to</w:t>
            </w:r>
            <w:r>
              <w:rPr>
                <w:spacing w:val="-5"/>
              </w:rPr>
              <w:t xml:space="preserve"> </w:t>
            </w:r>
            <w:r>
              <w:t>obtain assurance as to whether interest penalties are paid out of the proper appropriation account.</w:t>
            </w:r>
          </w:p>
          <w:p w14:paraId="0DFDBAD7" w14:textId="77777777" w:rsidR="00046465" w:rsidRDefault="008134EB">
            <w:pPr>
              <w:pStyle w:val="TableParagraph"/>
              <w:spacing w:before="144"/>
              <w:ind w:left="705" w:right="54"/>
            </w:pPr>
            <w:r>
              <w:t xml:space="preserve">If the auditor has assessed the controls as </w:t>
            </w:r>
            <w:r>
              <w:rPr>
                <w:u w:val="single"/>
              </w:rPr>
              <w:t>ineffective</w:t>
            </w:r>
            <w:r>
              <w:t>, then the auditor</w:t>
            </w:r>
            <w:r>
              <w:rPr>
                <w:spacing w:val="-5"/>
              </w:rPr>
              <w:t xml:space="preserve"> </w:t>
            </w:r>
            <w:r>
              <w:t>should</w:t>
            </w:r>
            <w:r>
              <w:rPr>
                <w:spacing w:val="-5"/>
              </w:rPr>
              <w:t xml:space="preserve"> </w:t>
            </w:r>
            <w:r>
              <w:t>perform</w:t>
            </w:r>
            <w:r>
              <w:rPr>
                <w:spacing w:val="-5"/>
              </w:rPr>
              <w:t xml:space="preserve"> </w:t>
            </w:r>
            <w:r>
              <w:t>procedures</w:t>
            </w:r>
            <w:r>
              <w:rPr>
                <w:spacing w:val="-5"/>
              </w:rPr>
              <w:t xml:space="preserve"> </w:t>
            </w:r>
            <w:r>
              <w:t>to</w:t>
            </w:r>
            <w:r>
              <w:rPr>
                <w:spacing w:val="-5"/>
              </w:rPr>
              <w:t xml:space="preserve"> </w:t>
            </w:r>
            <w:r>
              <w:t>determine</w:t>
            </w:r>
            <w:r>
              <w:rPr>
                <w:spacing w:val="-5"/>
              </w:rPr>
              <w:t xml:space="preserve"> </w:t>
            </w:r>
            <w:r>
              <w:t>if</w:t>
            </w:r>
            <w:r>
              <w:rPr>
                <w:spacing w:val="-5"/>
              </w:rPr>
              <w:t xml:space="preserve"> </w:t>
            </w:r>
            <w:r>
              <w:t>the</w:t>
            </w:r>
            <w:r>
              <w:rPr>
                <w:spacing w:val="-5"/>
              </w:rPr>
              <w:t xml:space="preserve"> </w:t>
            </w:r>
            <w:r>
              <w:t>entity</w:t>
            </w:r>
            <w:r>
              <w:rPr>
                <w:spacing w:val="-5"/>
              </w:rPr>
              <w:t xml:space="preserve"> </w:t>
            </w:r>
            <w:r>
              <w:t>has properly</w:t>
            </w:r>
            <w:r>
              <w:rPr>
                <w:spacing w:val="-4"/>
              </w:rPr>
              <w:t xml:space="preserve"> </w:t>
            </w:r>
            <w:r>
              <w:t>summarized</w:t>
            </w:r>
            <w:r>
              <w:rPr>
                <w:spacing w:val="-4"/>
              </w:rPr>
              <w:t xml:space="preserve"> </w:t>
            </w:r>
            <w:r>
              <w:t>the</w:t>
            </w:r>
            <w:r>
              <w:rPr>
                <w:spacing w:val="-4"/>
              </w:rPr>
              <w:t xml:space="preserve"> </w:t>
            </w:r>
            <w:r>
              <w:t>expenditure</w:t>
            </w:r>
            <w:r>
              <w:rPr>
                <w:spacing w:val="-4"/>
              </w:rPr>
              <w:t xml:space="preserve"> </w:t>
            </w:r>
            <w:r>
              <w:t>balances,</w:t>
            </w:r>
            <w:r>
              <w:rPr>
                <w:spacing w:val="-5"/>
              </w:rPr>
              <w:t xml:space="preserve"> </w:t>
            </w:r>
            <w:r>
              <w:t>as</w:t>
            </w:r>
            <w:r>
              <w:rPr>
                <w:spacing w:val="-4"/>
              </w:rPr>
              <w:t xml:space="preserve"> </w:t>
            </w:r>
            <w:r>
              <w:t>described</w:t>
            </w:r>
            <w:r>
              <w:rPr>
                <w:spacing w:val="-4"/>
              </w:rPr>
              <w:t xml:space="preserve"> </w:t>
            </w:r>
            <w:r>
              <w:t xml:space="preserve">in FAM 495 B, Example Procedures for Tests of Budget </w:t>
            </w:r>
            <w:r>
              <w:rPr>
                <w:spacing w:val="-2"/>
              </w:rPr>
              <w:t>Information.</w:t>
            </w:r>
          </w:p>
        </w:tc>
        <w:tc>
          <w:tcPr>
            <w:tcW w:w="1152" w:type="dxa"/>
            <w:tcBorders>
              <w:left w:val="single" w:sz="6" w:space="0" w:color="000000"/>
              <w:bottom w:val="single" w:sz="6" w:space="0" w:color="000000"/>
              <w:right w:val="single" w:sz="6" w:space="0" w:color="000000"/>
            </w:tcBorders>
          </w:tcPr>
          <w:p w14:paraId="0DFDBAD8" w14:textId="77777777" w:rsidR="00046465" w:rsidRDefault="00046465">
            <w:pPr>
              <w:pStyle w:val="TableParagraph"/>
              <w:rPr>
                <w:rFonts w:ascii="Times New Roman"/>
                <w:sz w:val="20"/>
              </w:rPr>
            </w:pPr>
          </w:p>
        </w:tc>
        <w:tc>
          <w:tcPr>
            <w:tcW w:w="1218" w:type="dxa"/>
            <w:tcBorders>
              <w:left w:val="single" w:sz="6" w:space="0" w:color="000000"/>
              <w:bottom w:val="single" w:sz="6" w:space="0" w:color="000000"/>
            </w:tcBorders>
          </w:tcPr>
          <w:p w14:paraId="0DFDBAD9" w14:textId="77777777" w:rsidR="00046465" w:rsidRDefault="00046465">
            <w:pPr>
              <w:pStyle w:val="TableParagraph"/>
              <w:rPr>
                <w:rFonts w:ascii="Times New Roman"/>
                <w:sz w:val="20"/>
              </w:rPr>
            </w:pPr>
          </w:p>
        </w:tc>
      </w:tr>
      <w:tr w:rsidR="00046465" w14:paraId="0DFDBAE2" w14:textId="77777777">
        <w:trPr>
          <w:trHeight w:val="5224"/>
        </w:trPr>
        <w:tc>
          <w:tcPr>
            <w:tcW w:w="7080" w:type="dxa"/>
            <w:tcBorders>
              <w:top w:val="single" w:sz="6" w:space="0" w:color="000000"/>
              <w:bottom w:val="single" w:sz="6" w:space="0" w:color="000000"/>
              <w:right w:val="single" w:sz="6" w:space="0" w:color="000000"/>
            </w:tcBorders>
          </w:tcPr>
          <w:p w14:paraId="0DFDBADB" w14:textId="77777777" w:rsidR="00046465" w:rsidRDefault="008134EB">
            <w:pPr>
              <w:pStyle w:val="TableParagraph"/>
              <w:numPr>
                <w:ilvl w:val="0"/>
                <w:numId w:val="162"/>
              </w:numPr>
              <w:tabs>
                <w:tab w:val="left" w:pos="705"/>
              </w:tabs>
              <w:spacing w:before="143"/>
              <w:ind w:right="300"/>
            </w:pPr>
            <w:r>
              <w:t>If</w:t>
            </w:r>
            <w:r>
              <w:rPr>
                <w:spacing w:val="-1"/>
              </w:rPr>
              <w:t xml:space="preserve"> </w:t>
            </w:r>
            <w:r>
              <w:t>the</w:t>
            </w:r>
            <w:r>
              <w:rPr>
                <w:spacing w:val="-1"/>
              </w:rPr>
              <w:t xml:space="preserve"> </w:t>
            </w:r>
            <w:r>
              <w:t>entity</w:t>
            </w:r>
            <w:r>
              <w:rPr>
                <w:spacing w:val="-2"/>
              </w:rPr>
              <w:t xml:space="preserve"> </w:t>
            </w:r>
            <w:r>
              <w:t>does</w:t>
            </w:r>
            <w:r>
              <w:rPr>
                <w:spacing w:val="-1"/>
              </w:rPr>
              <w:t xml:space="preserve"> </w:t>
            </w:r>
            <w:r>
              <w:t>not</w:t>
            </w:r>
            <w:r>
              <w:rPr>
                <w:spacing w:val="-1"/>
              </w:rPr>
              <w:t xml:space="preserve"> </w:t>
            </w:r>
            <w:r>
              <w:t>appear</w:t>
            </w:r>
            <w:r>
              <w:rPr>
                <w:spacing w:val="-1"/>
              </w:rPr>
              <w:t xml:space="preserve"> </w:t>
            </w:r>
            <w:r>
              <w:t>to</w:t>
            </w:r>
            <w:r>
              <w:rPr>
                <w:spacing w:val="-1"/>
              </w:rPr>
              <w:t xml:space="preserve"> </w:t>
            </w:r>
            <w:r>
              <w:t>be</w:t>
            </w:r>
            <w:r>
              <w:rPr>
                <w:spacing w:val="-1"/>
              </w:rPr>
              <w:t xml:space="preserve"> </w:t>
            </w:r>
            <w:r>
              <w:t>in</w:t>
            </w:r>
            <w:r>
              <w:rPr>
                <w:spacing w:val="-2"/>
              </w:rPr>
              <w:t xml:space="preserve"> </w:t>
            </w:r>
            <w:r>
              <w:t>compliance</w:t>
            </w:r>
            <w:r>
              <w:rPr>
                <w:spacing w:val="-2"/>
              </w:rPr>
              <w:t xml:space="preserve"> </w:t>
            </w:r>
            <w:r>
              <w:t>based</w:t>
            </w:r>
            <w:r>
              <w:rPr>
                <w:spacing w:val="-1"/>
              </w:rPr>
              <w:t xml:space="preserve"> </w:t>
            </w:r>
            <w:r>
              <w:t>on</w:t>
            </w:r>
            <w:r>
              <w:rPr>
                <w:spacing w:val="-1"/>
              </w:rPr>
              <w:t xml:space="preserve"> </w:t>
            </w:r>
            <w:r>
              <w:t>the results of tests performed, then the auditor should discuss these matters with OGC and, when appropriate, the Special Investigator Unit to conclude whether noncompliance actually occurred</w:t>
            </w:r>
            <w:r>
              <w:rPr>
                <w:spacing w:val="-5"/>
              </w:rPr>
              <w:t xml:space="preserve"> </w:t>
            </w:r>
            <w:r>
              <w:t>and</w:t>
            </w:r>
            <w:r>
              <w:rPr>
                <w:spacing w:val="-5"/>
              </w:rPr>
              <w:t xml:space="preserve"> </w:t>
            </w:r>
            <w:r>
              <w:t>the</w:t>
            </w:r>
            <w:r>
              <w:rPr>
                <w:spacing w:val="-5"/>
              </w:rPr>
              <w:t xml:space="preserve"> </w:t>
            </w:r>
            <w:r>
              <w:t>implications</w:t>
            </w:r>
            <w:r>
              <w:rPr>
                <w:spacing w:val="-5"/>
              </w:rPr>
              <w:t xml:space="preserve"> </w:t>
            </w:r>
            <w:r>
              <w:t>of</w:t>
            </w:r>
            <w:r>
              <w:rPr>
                <w:spacing w:val="-5"/>
              </w:rPr>
              <w:t xml:space="preserve"> </w:t>
            </w:r>
            <w:r>
              <w:t>such</w:t>
            </w:r>
            <w:r>
              <w:rPr>
                <w:spacing w:val="-5"/>
              </w:rPr>
              <w:t xml:space="preserve"> </w:t>
            </w:r>
            <w:r>
              <w:t>noncompliance.</w:t>
            </w:r>
            <w:r>
              <w:rPr>
                <w:spacing w:val="-4"/>
              </w:rPr>
              <w:t xml:space="preserve"> </w:t>
            </w:r>
            <w:r>
              <w:t>For</w:t>
            </w:r>
            <w:r>
              <w:rPr>
                <w:spacing w:val="-5"/>
              </w:rPr>
              <w:t xml:space="preserve"> </w:t>
            </w:r>
            <w:r>
              <w:t>any noncompliance noted, the auditor should</w:t>
            </w:r>
          </w:p>
          <w:p w14:paraId="0DFDBADC" w14:textId="77777777" w:rsidR="00046465" w:rsidRDefault="008134EB">
            <w:pPr>
              <w:pStyle w:val="TableParagraph"/>
              <w:numPr>
                <w:ilvl w:val="1"/>
                <w:numId w:val="162"/>
              </w:numPr>
              <w:tabs>
                <w:tab w:val="left" w:pos="1064"/>
              </w:tabs>
              <w:spacing w:before="145"/>
              <w:ind w:right="393" w:hanging="361"/>
            </w:pPr>
            <w:r>
              <w:t>identify the control deficiencies that allowed the noncompliance</w:t>
            </w:r>
            <w:r>
              <w:rPr>
                <w:spacing w:val="-6"/>
              </w:rPr>
              <w:t xml:space="preserve"> </w:t>
            </w:r>
            <w:r>
              <w:t>to</w:t>
            </w:r>
            <w:r>
              <w:rPr>
                <w:spacing w:val="-6"/>
              </w:rPr>
              <w:t xml:space="preserve"> </w:t>
            </w:r>
            <w:r>
              <w:t>occur,</w:t>
            </w:r>
            <w:r>
              <w:rPr>
                <w:spacing w:val="-6"/>
              </w:rPr>
              <w:t xml:space="preserve"> </w:t>
            </w:r>
            <w:r>
              <w:t>if</w:t>
            </w:r>
            <w:r>
              <w:rPr>
                <w:spacing w:val="-6"/>
              </w:rPr>
              <w:t xml:space="preserve"> </w:t>
            </w:r>
            <w:r>
              <w:t>not</w:t>
            </w:r>
            <w:r>
              <w:rPr>
                <w:spacing w:val="-6"/>
              </w:rPr>
              <w:t xml:space="preserve"> </w:t>
            </w:r>
            <w:r>
              <w:t>previously</w:t>
            </w:r>
            <w:r>
              <w:rPr>
                <w:spacing w:val="-6"/>
              </w:rPr>
              <w:t xml:space="preserve"> </w:t>
            </w:r>
            <w:r>
              <w:t>identified</w:t>
            </w:r>
            <w:r>
              <w:rPr>
                <w:spacing w:val="-6"/>
              </w:rPr>
              <w:t xml:space="preserve"> </w:t>
            </w:r>
            <w:r>
              <w:t>during control testing;</w:t>
            </w:r>
          </w:p>
          <w:p w14:paraId="0DFDBADD" w14:textId="77777777" w:rsidR="00046465" w:rsidRDefault="008134EB">
            <w:pPr>
              <w:pStyle w:val="TableParagraph"/>
              <w:numPr>
                <w:ilvl w:val="1"/>
                <w:numId w:val="162"/>
              </w:numPr>
              <w:tabs>
                <w:tab w:val="left" w:pos="1064"/>
              </w:tabs>
              <w:spacing w:before="142"/>
              <w:ind w:right="319"/>
            </w:pPr>
            <w:r>
              <w:t>determine</w:t>
            </w:r>
            <w:r>
              <w:rPr>
                <w:spacing w:val="-4"/>
              </w:rPr>
              <w:t xml:space="preserve"> </w:t>
            </w:r>
            <w:r>
              <w:t>the</w:t>
            </w:r>
            <w:r>
              <w:rPr>
                <w:spacing w:val="-4"/>
              </w:rPr>
              <w:t xml:space="preserve"> </w:t>
            </w:r>
            <w:r>
              <w:t>impact</w:t>
            </w:r>
            <w:r>
              <w:rPr>
                <w:spacing w:val="-4"/>
              </w:rPr>
              <w:t xml:space="preserve"> </w:t>
            </w:r>
            <w:r>
              <w:t>on</w:t>
            </w:r>
            <w:r>
              <w:rPr>
                <w:spacing w:val="-4"/>
              </w:rPr>
              <w:t xml:space="preserve"> </w:t>
            </w:r>
            <w:r>
              <w:t>the</w:t>
            </w:r>
            <w:r>
              <w:rPr>
                <w:spacing w:val="-4"/>
              </w:rPr>
              <w:t xml:space="preserve"> </w:t>
            </w:r>
            <w:r>
              <w:t>report</w:t>
            </w:r>
            <w:r>
              <w:rPr>
                <w:spacing w:val="-4"/>
              </w:rPr>
              <w:t xml:space="preserve"> </w:t>
            </w:r>
            <w:r>
              <w:t>on</w:t>
            </w:r>
            <w:r>
              <w:rPr>
                <w:spacing w:val="-4"/>
              </w:rPr>
              <w:t xml:space="preserve"> </w:t>
            </w:r>
            <w:r>
              <w:t>internal</w:t>
            </w:r>
            <w:r>
              <w:rPr>
                <w:spacing w:val="-4"/>
              </w:rPr>
              <w:t xml:space="preserve"> </w:t>
            </w:r>
            <w:r>
              <w:t>control</w:t>
            </w:r>
            <w:r>
              <w:rPr>
                <w:spacing w:val="-4"/>
              </w:rPr>
              <w:t xml:space="preserve"> </w:t>
            </w:r>
            <w:r>
              <w:t>over financial reporting (see the Internal Control subsection in FAM 580);</w:t>
            </w:r>
          </w:p>
          <w:p w14:paraId="0DFDBADE" w14:textId="77777777" w:rsidR="00046465" w:rsidRDefault="008134EB">
            <w:pPr>
              <w:pStyle w:val="TableParagraph"/>
              <w:numPr>
                <w:ilvl w:val="1"/>
                <w:numId w:val="162"/>
              </w:numPr>
              <w:tabs>
                <w:tab w:val="left" w:pos="1064"/>
              </w:tabs>
              <w:spacing w:before="142"/>
              <w:ind w:hanging="359"/>
            </w:pPr>
            <w:r>
              <w:t>consider</w:t>
            </w:r>
            <w:r>
              <w:rPr>
                <w:spacing w:val="-8"/>
              </w:rPr>
              <w:t xml:space="preserve"> </w:t>
            </w:r>
            <w:r>
              <w:t>the</w:t>
            </w:r>
            <w:r>
              <w:rPr>
                <w:spacing w:val="-8"/>
              </w:rPr>
              <w:t xml:space="preserve"> </w:t>
            </w:r>
            <w:r>
              <w:t>implications</w:t>
            </w:r>
            <w:r>
              <w:rPr>
                <w:spacing w:val="-9"/>
              </w:rPr>
              <w:t xml:space="preserve"> </w:t>
            </w:r>
            <w:r>
              <w:t>on</w:t>
            </w:r>
            <w:r>
              <w:rPr>
                <w:spacing w:val="-7"/>
              </w:rPr>
              <w:t xml:space="preserve"> </w:t>
            </w:r>
            <w:r>
              <w:t>the</w:t>
            </w:r>
            <w:r>
              <w:rPr>
                <w:spacing w:val="-7"/>
              </w:rPr>
              <w:t xml:space="preserve"> </w:t>
            </w:r>
            <w:r>
              <w:t>financial</w:t>
            </w:r>
            <w:r>
              <w:rPr>
                <w:spacing w:val="-8"/>
              </w:rPr>
              <w:t xml:space="preserve"> </w:t>
            </w:r>
            <w:r>
              <w:t>statements;</w:t>
            </w:r>
            <w:r>
              <w:rPr>
                <w:spacing w:val="-7"/>
              </w:rPr>
              <w:t xml:space="preserve"> </w:t>
            </w:r>
            <w:r>
              <w:rPr>
                <w:spacing w:val="-5"/>
              </w:rPr>
              <w:t>and</w:t>
            </w:r>
          </w:p>
          <w:p w14:paraId="0DFDBADF" w14:textId="77777777" w:rsidR="00046465" w:rsidRDefault="008134EB">
            <w:pPr>
              <w:pStyle w:val="TableParagraph"/>
              <w:numPr>
                <w:ilvl w:val="1"/>
                <w:numId w:val="162"/>
              </w:numPr>
              <w:tabs>
                <w:tab w:val="left" w:pos="1064"/>
              </w:tabs>
              <w:spacing w:before="142"/>
              <w:ind w:right="247"/>
            </w:pPr>
            <w:r>
              <w:t>report</w:t>
            </w:r>
            <w:r>
              <w:rPr>
                <w:spacing w:val="-6"/>
              </w:rPr>
              <w:t xml:space="preserve"> </w:t>
            </w:r>
            <w:r>
              <w:t>instances</w:t>
            </w:r>
            <w:r>
              <w:rPr>
                <w:spacing w:val="-6"/>
              </w:rPr>
              <w:t xml:space="preserve"> </w:t>
            </w:r>
            <w:r>
              <w:t>of</w:t>
            </w:r>
            <w:r>
              <w:rPr>
                <w:spacing w:val="-6"/>
              </w:rPr>
              <w:t xml:space="preserve"> </w:t>
            </w:r>
            <w:r>
              <w:t>noncompliance,</w:t>
            </w:r>
            <w:r>
              <w:rPr>
                <w:spacing w:val="-7"/>
              </w:rPr>
              <w:t xml:space="preserve"> </w:t>
            </w:r>
            <w:r>
              <w:t>as</w:t>
            </w:r>
            <w:r>
              <w:rPr>
                <w:spacing w:val="-6"/>
              </w:rPr>
              <w:t xml:space="preserve"> </w:t>
            </w:r>
            <w:r>
              <w:t>appropriate</w:t>
            </w:r>
            <w:r>
              <w:rPr>
                <w:spacing w:val="-6"/>
              </w:rPr>
              <w:t xml:space="preserve"> </w:t>
            </w:r>
            <w:r>
              <w:t>(see</w:t>
            </w:r>
            <w:r>
              <w:rPr>
                <w:spacing w:val="-6"/>
              </w:rPr>
              <w:t xml:space="preserve"> </w:t>
            </w:r>
            <w:r>
              <w:t>the Compliance with Applicable Laws, Regulations, Contracts, and Grant Agreements and Instances of Fraud subsection in FAM 580).</w:t>
            </w:r>
          </w:p>
        </w:tc>
        <w:tc>
          <w:tcPr>
            <w:tcW w:w="1152" w:type="dxa"/>
            <w:tcBorders>
              <w:top w:val="single" w:sz="6" w:space="0" w:color="000000"/>
              <w:left w:val="single" w:sz="6" w:space="0" w:color="000000"/>
              <w:bottom w:val="single" w:sz="6" w:space="0" w:color="000000"/>
              <w:right w:val="single" w:sz="6" w:space="0" w:color="000000"/>
            </w:tcBorders>
          </w:tcPr>
          <w:p w14:paraId="0DFDBAE0" w14:textId="77777777" w:rsidR="00046465" w:rsidRDefault="00046465">
            <w:pPr>
              <w:pStyle w:val="TableParagraph"/>
              <w:rPr>
                <w:rFonts w:ascii="Times New Roman"/>
                <w:sz w:val="20"/>
              </w:rPr>
            </w:pPr>
          </w:p>
        </w:tc>
        <w:tc>
          <w:tcPr>
            <w:tcW w:w="1218" w:type="dxa"/>
            <w:tcBorders>
              <w:top w:val="single" w:sz="6" w:space="0" w:color="000000"/>
              <w:left w:val="single" w:sz="6" w:space="0" w:color="000000"/>
              <w:bottom w:val="single" w:sz="6" w:space="0" w:color="000000"/>
            </w:tcBorders>
          </w:tcPr>
          <w:p w14:paraId="0DFDBAE1" w14:textId="77777777" w:rsidR="00046465" w:rsidRDefault="00046465">
            <w:pPr>
              <w:pStyle w:val="TableParagraph"/>
              <w:rPr>
                <w:rFonts w:ascii="Times New Roman"/>
                <w:sz w:val="20"/>
              </w:rPr>
            </w:pPr>
          </w:p>
        </w:tc>
      </w:tr>
      <w:tr w:rsidR="00046465" w14:paraId="0DFDBAE6" w14:textId="77777777">
        <w:trPr>
          <w:trHeight w:val="794"/>
        </w:trPr>
        <w:tc>
          <w:tcPr>
            <w:tcW w:w="7080" w:type="dxa"/>
            <w:tcBorders>
              <w:top w:val="single" w:sz="6" w:space="0" w:color="000000"/>
              <w:bottom w:val="single" w:sz="6" w:space="0" w:color="000000"/>
              <w:right w:val="single" w:sz="6" w:space="0" w:color="000000"/>
            </w:tcBorders>
          </w:tcPr>
          <w:p w14:paraId="0DFDBAE3" w14:textId="77777777" w:rsidR="00046465" w:rsidRDefault="008134EB">
            <w:pPr>
              <w:pStyle w:val="TableParagraph"/>
              <w:tabs>
                <w:tab w:val="left" w:pos="705"/>
              </w:tabs>
              <w:spacing w:before="143"/>
              <w:ind w:left="705" w:right="411" w:hanging="577"/>
            </w:pPr>
            <w:r>
              <w:rPr>
                <w:spacing w:val="-6"/>
              </w:rPr>
              <w:t>8)</w:t>
            </w:r>
            <w:r>
              <w:tab/>
              <w:t>Document</w:t>
            </w:r>
            <w:r>
              <w:rPr>
                <w:spacing w:val="-6"/>
              </w:rPr>
              <w:t xml:space="preserve"> </w:t>
            </w:r>
            <w:r>
              <w:t>conclusions</w:t>
            </w:r>
            <w:r>
              <w:rPr>
                <w:spacing w:val="-6"/>
              </w:rPr>
              <w:t xml:space="preserve"> </w:t>
            </w:r>
            <w:r>
              <w:t>on</w:t>
            </w:r>
            <w:r>
              <w:rPr>
                <w:spacing w:val="-6"/>
              </w:rPr>
              <w:t xml:space="preserve"> </w:t>
            </w:r>
            <w:r>
              <w:t>compliance</w:t>
            </w:r>
            <w:r>
              <w:rPr>
                <w:spacing w:val="-6"/>
              </w:rPr>
              <w:t xml:space="preserve"> </w:t>
            </w:r>
            <w:r>
              <w:t>with</w:t>
            </w:r>
            <w:r>
              <w:rPr>
                <w:spacing w:val="-6"/>
              </w:rPr>
              <w:t xml:space="preserve"> </w:t>
            </w:r>
            <w:r>
              <w:t>each</w:t>
            </w:r>
            <w:r>
              <w:rPr>
                <w:spacing w:val="-7"/>
              </w:rPr>
              <w:t xml:space="preserve"> </w:t>
            </w:r>
            <w:r>
              <w:t>provision</w:t>
            </w:r>
            <w:r>
              <w:rPr>
                <w:spacing w:val="-6"/>
              </w:rPr>
              <w:t xml:space="preserve"> </w:t>
            </w:r>
            <w:r>
              <w:t>on Form 806, Compliance Summary.</w:t>
            </w:r>
          </w:p>
        </w:tc>
        <w:tc>
          <w:tcPr>
            <w:tcW w:w="1152" w:type="dxa"/>
            <w:tcBorders>
              <w:top w:val="single" w:sz="6" w:space="0" w:color="000000"/>
              <w:left w:val="single" w:sz="6" w:space="0" w:color="000000"/>
              <w:bottom w:val="single" w:sz="6" w:space="0" w:color="000000"/>
              <w:right w:val="single" w:sz="6" w:space="0" w:color="000000"/>
            </w:tcBorders>
          </w:tcPr>
          <w:p w14:paraId="0DFDBAE4" w14:textId="77777777" w:rsidR="00046465" w:rsidRDefault="00046465">
            <w:pPr>
              <w:pStyle w:val="TableParagraph"/>
              <w:rPr>
                <w:rFonts w:ascii="Times New Roman"/>
                <w:sz w:val="20"/>
              </w:rPr>
            </w:pPr>
          </w:p>
        </w:tc>
        <w:tc>
          <w:tcPr>
            <w:tcW w:w="1218" w:type="dxa"/>
            <w:tcBorders>
              <w:top w:val="single" w:sz="6" w:space="0" w:color="000000"/>
              <w:left w:val="single" w:sz="6" w:space="0" w:color="000000"/>
              <w:bottom w:val="single" w:sz="6" w:space="0" w:color="000000"/>
            </w:tcBorders>
          </w:tcPr>
          <w:p w14:paraId="0DFDBAE5" w14:textId="77777777" w:rsidR="00046465" w:rsidRDefault="00046465">
            <w:pPr>
              <w:pStyle w:val="TableParagraph"/>
              <w:rPr>
                <w:rFonts w:ascii="Times New Roman"/>
                <w:sz w:val="20"/>
              </w:rPr>
            </w:pPr>
          </w:p>
        </w:tc>
      </w:tr>
    </w:tbl>
    <w:p w14:paraId="0DFDBAE7" w14:textId="77777777" w:rsidR="00046465" w:rsidRDefault="00046465">
      <w:pPr>
        <w:pStyle w:val="TableParagraph"/>
        <w:rPr>
          <w:rFonts w:ascii="Times New Roman"/>
          <w:sz w:val="20"/>
        </w:rPr>
        <w:sectPr w:rsidR="00046465">
          <w:pgSz w:w="12240" w:h="15840"/>
          <w:pgMar w:top="1380" w:right="1080" w:bottom="940" w:left="1080" w:header="721" w:footer="742" w:gutter="0"/>
          <w:cols w:space="720"/>
        </w:sectPr>
      </w:pPr>
    </w:p>
    <w:p w14:paraId="0DFDBAE8" w14:textId="77777777" w:rsidR="00046465" w:rsidRDefault="00046465">
      <w:pPr>
        <w:pStyle w:val="BodyText"/>
        <w:spacing w:before="226"/>
      </w:pPr>
    </w:p>
    <w:p w14:paraId="0DFDBAE9" w14:textId="77777777" w:rsidR="00046465" w:rsidRDefault="008134EB">
      <w:pPr>
        <w:pStyle w:val="BodyText"/>
        <w:tabs>
          <w:tab w:val="left" w:pos="1331"/>
        </w:tabs>
        <w:ind w:left="1349" w:right="645" w:hanging="990"/>
      </w:pPr>
      <w:r>
        <w:rPr>
          <w:b/>
          <w:spacing w:val="-2"/>
        </w:rPr>
        <w:t>Note:</w:t>
      </w:r>
      <w:r>
        <w:rPr>
          <w:b/>
        </w:rPr>
        <w:tab/>
      </w:r>
      <w:r>
        <w:t>If the auditor uses multipurpose testing for the compliance test and/or compliance control</w:t>
      </w:r>
      <w:r>
        <w:rPr>
          <w:spacing w:val="-3"/>
        </w:rPr>
        <w:t xml:space="preserve"> </w:t>
      </w:r>
      <w:r>
        <w:t>test</w:t>
      </w:r>
      <w:r>
        <w:rPr>
          <w:spacing w:val="-4"/>
        </w:rPr>
        <w:t xml:space="preserve"> </w:t>
      </w:r>
      <w:r>
        <w:t>and/or</w:t>
      </w:r>
      <w:r>
        <w:rPr>
          <w:spacing w:val="-3"/>
        </w:rPr>
        <w:t xml:space="preserve"> </w:t>
      </w:r>
      <w:r>
        <w:t>a</w:t>
      </w:r>
      <w:r>
        <w:rPr>
          <w:spacing w:val="-3"/>
        </w:rPr>
        <w:t xml:space="preserve"> </w:t>
      </w:r>
      <w:r>
        <w:t>substantive</w:t>
      </w:r>
      <w:r>
        <w:rPr>
          <w:spacing w:val="-3"/>
        </w:rPr>
        <w:t xml:space="preserve"> </w:t>
      </w:r>
      <w:r>
        <w:t>test</w:t>
      </w:r>
      <w:r>
        <w:rPr>
          <w:spacing w:val="-4"/>
        </w:rPr>
        <w:t xml:space="preserve"> </w:t>
      </w:r>
      <w:r>
        <w:t>of</w:t>
      </w:r>
      <w:r>
        <w:rPr>
          <w:spacing w:val="-3"/>
        </w:rPr>
        <w:t xml:space="preserve"> </w:t>
      </w:r>
      <w:r>
        <w:t>payments</w:t>
      </w:r>
      <w:r>
        <w:rPr>
          <w:spacing w:val="-3"/>
        </w:rPr>
        <w:t xml:space="preserve"> </w:t>
      </w:r>
      <w:r>
        <w:t>details,</w:t>
      </w:r>
      <w:r>
        <w:rPr>
          <w:spacing w:val="-3"/>
        </w:rPr>
        <w:t xml:space="preserve"> </w:t>
      </w:r>
      <w:r>
        <w:t>then</w:t>
      </w:r>
      <w:r>
        <w:rPr>
          <w:spacing w:val="-3"/>
        </w:rPr>
        <w:t xml:space="preserve"> </w:t>
      </w:r>
      <w:r>
        <w:t>the</w:t>
      </w:r>
      <w:r>
        <w:rPr>
          <w:spacing w:val="-3"/>
        </w:rPr>
        <w:t xml:space="preserve"> </w:t>
      </w:r>
      <w:r>
        <w:t>sample</w:t>
      </w:r>
      <w:r>
        <w:rPr>
          <w:spacing w:val="-3"/>
        </w:rPr>
        <w:t xml:space="preserve"> </w:t>
      </w:r>
      <w:r>
        <w:t>items</w:t>
      </w:r>
      <w:r>
        <w:rPr>
          <w:spacing w:val="-3"/>
        </w:rPr>
        <w:t xml:space="preserve"> </w:t>
      </w:r>
      <w:r>
        <w:t>for the compliance test and/or compliance control test should be selected using the sampling method used for the substantive test, as described in FAM 430, Design Tests. Otherwise, the auditor should select items using attribute sampling, as discussed in FAM 460.</w:t>
      </w:r>
    </w:p>
    <w:p w14:paraId="0DFDBAEA" w14:textId="77777777" w:rsidR="00046465" w:rsidRDefault="008134EB">
      <w:pPr>
        <w:pStyle w:val="BodyText"/>
        <w:spacing w:before="143"/>
        <w:ind w:left="1339" w:right="372"/>
      </w:pPr>
      <w:r>
        <w:t>As</w:t>
      </w:r>
      <w:r>
        <w:rPr>
          <w:spacing w:val="-3"/>
        </w:rPr>
        <w:t xml:space="preserve"> </w:t>
      </w:r>
      <w:r>
        <w:t>with</w:t>
      </w:r>
      <w:r>
        <w:rPr>
          <w:spacing w:val="-3"/>
        </w:rPr>
        <w:t xml:space="preserve"> </w:t>
      </w:r>
      <w:r>
        <w:t>all</w:t>
      </w:r>
      <w:r>
        <w:rPr>
          <w:spacing w:val="-3"/>
        </w:rPr>
        <w:t xml:space="preserve"> </w:t>
      </w:r>
      <w:r>
        <w:t>sampling</w:t>
      </w:r>
      <w:r>
        <w:rPr>
          <w:spacing w:val="-3"/>
        </w:rPr>
        <w:t xml:space="preserve"> </w:t>
      </w:r>
      <w:r>
        <w:t>applications,</w:t>
      </w:r>
      <w:r>
        <w:rPr>
          <w:spacing w:val="-3"/>
        </w:rPr>
        <w:t xml:space="preserve"> </w:t>
      </w:r>
      <w:r>
        <w:t>the</w:t>
      </w:r>
      <w:r>
        <w:rPr>
          <w:spacing w:val="-4"/>
        </w:rPr>
        <w:t xml:space="preserve"> </w:t>
      </w:r>
      <w:r>
        <w:t>auditor</w:t>
      </w:r>
      <w:r>
        <w:rPr>
          <w:spacing w:val="-3"/>
        </w:rPr>
        <w:t xml:space="preserve"> </w:t>
      </w:r>
      <w:r>
        <w:t>should</w:t>
      </w:r>
      <w:r>
        <w:rPr>
          <w:spacing w:val="-3"/>
        </w:rPr>
        <w:t xml:space="preserve"> </w:t>
      </w:r>
      <w:r>
        <w:t>consider</w:t>
      </w:r>
      <w:r>
        <w:rPr>
          <w:spacing w:val="-3"/>
        </w:rPr>
        <w:t xml:space="preserve"> </w:t>
      </w:r>
      <w:r>
        <w:t>the</w:t>
      </w:r>
      <w:r>
        <w:rPr>
          <w:spacing w:val="-3"/>
        </w:rPr>
        <w:t xml:space="preserve"> </w:t>
      </w:r>
      <w:r>
        <w:t>completeness</w:t>
      </w:r>
      <w:r>
        <w:rPr>
          <w:spacing w:val="-3"/>
        </w:rPr>
        <w:t xml:space="preserve"> </w:t>
      </w:r>
      <w:r>
        <w:t>of</w:t>
      </w:r>
      <w:r>
        <w:rPr>
          <w:spacing w:val="-3"/>
        </w:rPr>
        <w:t xml:space="preserve"> </w:t>
      </w:r>
      <w:r>
        <w:t>the test population. For efficiency, the auditor should consider using records that were tested for validity, accuracy, and completeness (as well as the other assertions) in conjunction with substantive tests of the population.</w:t>
      </w:r>
    </w:p>
    <w:p w14:paraId="0DFDBAEB" w14:textId="77777777" w:rsidR="00046465" w:rsidRDefault="00046465">
      <w:pPr>
        <w:pStyle w:val="BodyText"/>
        <w:sectPr w:rsidR="00046465">
          <w:pgSz w:w="12240" w:h="15840"/>
          <w:pgMar w:top="1380" w:right="1080" w:bottom="940" w:left="1080" w:header="721" w:footer="742" w:gutter="0"/>
          <w:cols w:space="720"/>
        </w:sectPr>
      </w:pPr>
    </w:p>
    <w:p w14:paraId="0DFDBAEC" w14:textId="77777777" w:rsidR="00046465" w:rsidRDefault="008134EB">
      <w:pPr>
        <w:pStyle w:val="BodyText"/>
        <w:spacing w:before="65"/>
        <w:ind w:left="360"/>
      </w:pPr>
      <w:r>
        <w:rPr>
          <w:noProof/>
        </w:rPr>
        <w:lastRenderedPageBreak/>
        <mc:AlternateContent>
          <mc:Choice Requires="wps">
            <w:drawing>
              <wp:anchor distT="0" distB="0" distL="0" distR="0" simplePos="0" relativeHeight="15823872" behindDoc="0" locked="0" layoutInCell="1" allowOverlap="1" wp14:anchorId="0DFDD685" wp14:editId="0DFDD686">
                <wp:simplePos x="0" y="0"/>
                <wp:positionH relativeFrom="page">
                  <wp:posOffset>666750</wp:posOffset>
                </wp:positionH>
                <wp:positionV relativeFrom="paragraph">
                  <wp:posOffset>761</wp:posOffset>
                </wp:positionV>
                <wp:extent cx="8496300" cy="28575"/>
                <wp:effectExtent l="0" t="0" r="0" b="0"/>
                <wp:wrapNone/>
                <wp:docPr id="697" name="Graphic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A316CC" id="Graphic 697" o:spid="_x0000_s1026" style="position:absolute;margin-left:52.5pt;margin-top:.05pt;width:669pt;height:2.25pt;z-index:15823872;visibility:visible;mso-wrap-style:square;mso-wrap-distance-left:0;mso-wrap-distance-top:0;mso-wrap-distance-right:0;mso-wrap-distance-bottom:0;mso-position-horizontal:absolute;mso-position-horizontal-relative:page;mso-position-vertical:absolute;mso-position-vertical-relative:text;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" path="m8496300,l,,,28194r8496300,l8496300,xe" fillcolor="black" stroked="f">
                <v:path arrowok="t"/>
                <w10:wrap anchorx="page"/>
              </v:shape>
            </w:pict>
          </mc:Fallback>
        </mc:AlternateContent>
      </w:r>
      <w:r>
        <w:rPr>
          <w:spacing w:val="-2"/>
        </w:rPr>
        <w:t>Compliance</w:t>
      </w:r>
    </w:p>
    <w:p w14:paraId="0DFDBAED" w14:textId="77777777" w:rsidR="00046465" w:rsidRDefault="008134EB">
      <w:pPr>
        <w:pStyle w:val="BodyText"/>
        <w:ind w:left="360"/>
      </w:pPr>
      <w:r>
        <w:rPr>
          <w:noProof/>
        </w:rPr>
        <mc:AlternateContent>
          <mc:Choice Requires="wps">
            <w:drawing>
              <wp:anchor distT="0" distB="0" distL="0" distR="0" simplePos="0" relativeHeight="15824384" behindDoc="0" locked="0" layoutInCell="1" allowOverlap="1" wp14:anchorId="0DFDD687" wp14:editId="0DFDD688">
                <wp:simplePos x="0" y="0"/>
                <wp:positionH relativeFrom="page">
                  <wp:posOffset>666750</wp:posOffset>
                </wp:positionH>
                <wp:positionV relativeFrom="paragraph">
                  <wp:posOffset>172987</wp:posOffset>
                </wp:positionV>
                <wp:extent cx="8496300" cy="28575"/>
                <wp:effectExtent l="0" t="0" r="0" b="0"/>
                <wp:wrapNone/>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CB3105" id="Graphic 698" o:spid="_x0000_s1026" style="position:absolute;margin-left:52.5pt;margin-top:13.6pt;width:669pt;height:2.25pt;z-index:15824384;visibility:visible;mso-wrap-style:square;mso-wrap-distance-left:0;mso-wrap-distance-top:0;mso-wrap-distance-right:0;mso-wrap-distance-bottom:0;mso-position-horizontal:absolute;mso-position-horizontal-relative:page;mso-position-vertical:absolute;mso-position-vertical-relative:text;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" path="m8496300,l,,,28194r8496300,l8496300,xe" fillcolor="black" stroked="f">
                <v:path arrowok="t"/>
                <w10:wrap anchorx="page"/>
              </v:shape>
            </w:pict>
          </mc:Fallback>
        </mc:AlternateContent>
      </w:r>
      <w:r>
        <w:t>807</w:t>
      </w:r>
      <w:r>
        <w:rPr>
          <w:spacing w:val="-7"/>
        </w:rPr>
        <w:t xml:space="preserve"> </w:t>
      </w:r>
      <w:r>
        <w:t>–</w:t>
      </w:r>
      <w:r>
        <w:rPr>
          <w:spacing w:val="-7"/>
        </w:rPr>
        <w:t xml:space="preserve"> </w:t>
      </w:r>
      <w:r>
        <w:t>Pay</w:t>
      </w:r>
      <w:r>
        <w:rPr>
          <w:spacing w:val="-7"/>
        </w:rPr>
        <w:t xml:space="preserve"> </w:t>
      </w:r>
      <w:r>
        <w:t>and</w:t>
      </w:r>
      <w:r>
        <w:rPr>
          <w:spacing w:val="-6"/>
        </w:rPr>
        <w:t xml:space="preserve"> </w:t>
      </w:r>
      <w:r>
        <w:t>Allowance</w:t>
      </w:r>
      <w:r>
        <w:rPr>
          <w:spacing w:val="-7"/>
        </w:rPr>
        <w:t xml:space="preserve"> </w:t>
      </w:r>
      <w:r>
        <w:t>System</w:t>
      </w:r>
      <w:r>
        <w:rPr>
          <w:spacing w:val="-8"/>
        </w:rPr>
        <w:t xml:space="preserve"> </w:t>
      </w:r>
      <w:r>
        <w:t>for</w:t>
      </w:r>
      <w:r>
        <w:rPr>
          <w:spacing w:val="-7"/>
        </w:rPr>
        <w:t xml:space="preserve"> </w:t>
      </w:r>
      <w:r>
        <w:t>Civilian</w:t>
      </w:r>
      <w:r>
        <w:rPr>
          <w:spacing w:val="-6"/>
        </w:rPr>
        <w:t xml:space="preserve"> </w:t>
      </w:r>
      <w:r>
        <w:t>Employees,</w:t>
      </w:r>
      <w:r>
        <w:rPr>
          <w:spacing w:val="-7"/>
        </w:rPr>
        <w:t xml:space="preserve"> </w:t>
      </w:r>
      <w:r>
        <w:t>as</w:t>
      </w:r>
      <w:r>
        <w:rPr>
          <w:spacing w:val="-7"/>
        </w:rPr>
        <w:t xml:space="preserve"> </w:t>
      </w:r>
      <w:r>
        <w:t>Provided</w:t>
      </w:r>
      <w:r>
        <w:rPr>
          <w:spacing w:val="-7"/>
        </w:rPr>
        <w:t xml:space="preserve"> </w:t>
      </w:r>
      <w:r>
        <w:t>Primarily</w:t>
      </w:r>
      <w:r>
        <w:rPr>
          <w:spacing w:val="-7"/>
        </w:rPr>
        <w:t xml:space="preserve"> </w:t>
      </w:r>
      <w:r>
        <w:t>in</w:t>
      </w:r>
      <w:r>
        <w:rPr>
          <w:spacing w:val="-8"/>
        </w:rPr>
        <w:t xml:space="preserve"> </w:t>
      </w:r>
      <w:r>
        <w:t>5</w:t>
      </w:r>
      <w:r>
        <w:rPr>
          <w:spacing w:val="-6"/>
        </w:rPr>
        <w:t xml:space="preserve"> </w:t>
      </w:r>
      <w:r>
        <w:t>U.S.C.</w:t>
      </w:r>
      <w:r>
        <w:rPr>
          <w:spacing w:val="-7"/>
        </w:rPr>
        <w:t xml:space="preserve"> </w:t>
      </w:r>
      <w:r>
        <w:t>C</w:t>
      </w:r>
      <w:bookmarkStart w:id="223" w:name="_bookmark116"/>
      <w:bookmarkEnd w:id="223"/>
      <w:r>
        <w:t>hapters</w:t>
      </w:r>
      <w:r>
        <w:rPr>
          <w:spacing w:val="-7"/>
        </w:rPr>
        <w:t xml:space="preserve"> </w:t>
      </w:r>
      <w:r>
        <w:t>51–</w:t>
      </w:r>
      <w:r>
        <w:rPr>
          <w:spacing w:val="-5"/>
        </w:rPr>
        <w:t>59</w:t>
      </w:r>
    </w:p>
    <w:p w14:paraId="0DFDBAEE" w14:textId="77777777" w:rsidR="00046465" w:rsidRDefault="008134EB">
      <w:pPr>
        <w:pStyle w:val="Heading3"/>
        <w:spacing w:before="185"/>
        <w:rPr>
          <w:u w:val="none"/>
        </w:rPr>
      </w:pPr>
      <w:bookmarkStart w:id="224" w:name="807_–_Pay_and_Allowance_System_for_Civil"/>
      <w:bookmarkStart w:id="225" w:name="_bookmark117"/>
      <w:bookmarkEnd w:id="224"/>
      <w:bookmarkEnd w:id="225"/>
      <w:r>
        <w:t>807</w:t>
      </w:r>
      <w:r>
        <w:rPr>
          <w:spacing w:val="-5"/>
        </w:rPr>
        <w:t xml:space="preserve"> </w:t>
      </w:r>
      <w:r>
        <w:t>–</w:t>
      </w:r>
      <w:r>
        <w:rPr>
          <w:spacing w:val="-3"/>
        </w:rPr>
        <w:t xml:space="preserve"> </w:t>
      </w:r>
      <w:r>
        <w:t>Pay</w:t>
      </w:r>
      <w:r>
        <w:rPr>
          <w:spacing w:val="-4"/>
        </w:rPr>
        <w:t xml:space="preserve"> </w:t>
      </w:r>
      <w:r>
        <w:t>and</w:t>
      </w:r>
      <w:r>
        <w:rPr>
          <w:spacing w:val="-16"/>
        </w:rPr>
        <w:t xml:space="preserve"> </w:t>
      </w:r>
      <w:r>
        <w:t>Allowance</w:t>
      </w:r>
      <w:r>
        <w:rPr>
          <w:spacing w:val="-3"/>
        </w:rPr>
        <w:t xml:space="preserve"> </w:t>
      </w:r>
      <w:r>
        <w:t>System</w:t>
      </w:r>
      <w:r>
        <w:rPr>
          <w:spacing w:val="-4"/>
        </w:rPr>
        <w:t xml:space="preserve"> </w:t>
      </w:r>
      <w:r>
        <w:t>for</w:t>
      </w:r>
      <w:r>
        <w:rPr>
          <w:spacing w:val="-5"/>
        </w:rPr>
        <w:t xml:space="preserve"> </w:t>
      </w:r>
      <w:r>
        <w:t>Civilian</w:t>
      </w:r>
      <w:r>
        <w:rPr>
          <w:spacing w:val="-5"/>
        </w:rPr>
        <w:t xml:space="preserve"> </w:t>
      </w:r>
      <w:r>
        <w:t>Employees,</w:t>
      </w:r>
      <w:r>
        <w:rPr>
          <w:spacing w:val="-5"/>
        </w:rPr>
        <w:t xml:space="preserve"> </w:t>
      </w:r>
      <w:r>
        <w:t>as</w:t>
      </w:r>
      <w:r>
        <w:rPr>
          <w:spacing w:val="-4"/>
        </w:rPr>
        <w:t xml:space="preserve"> </w:t>
      </w:r>
      <w:r>
        <w:t>Provided</w:t>
      </w:r>
      <w:r>
        <w:rPr>
          <w:spacing w:val="-4"/>
        </w:rPr>
        <w:t xml:space="preserve"> </w:t>
      </w:r>
      <w:r>
        <w:t>Primarily</w:t>
      </w:r>
      <w:r>
        <w:rPr>
          <w:spacing w:val="-3"/>
        </w:rPr>
        <w:t xml:space="preserve"> </w:t>
      </w:r>
      <w:r>
        <w:t>in</w:t>
      </w:r>
      <w:r>
        <w:rPr>
          <w:spacing w:val="-4"/>
        </w:rPr>
        <w:t xml:space="preserve"> </w:t>
      </w:r>
      <w:r>
        <w:rPr>
          <w:spacing w:val="-10"/>
        </w:rPr>
        <w:t>5</w:t>
      </w:r>
    </w:p>
    <w:p w14:paraId="0DFDBAEF" w14:textId="77777777" w:rsidR="00046465" w:rsidRDefault="008134EB">
      <w:pPr>
        <w:ind w:left="360"/>
        <w:rPr>
          <w:b/>
          <w:sz w:val="32"/>
        </w:rPr>
      </w:pPr>
      <w:r>
        <w:rPr>
          <w:b/>
          <w:sz w:val="32"/>
          <w:u w:val="single"/>
        </w:rPr>
        <w:t>U.S.C.</w:t>
      </w:r>
      <w:r>
        <w:rPr>
          <w:b/>
          <w:spacing w:val="-9"/>
          <w:sz w:val="32"/>
          <w:u w:val="single"/>
        </w:rPr>
        <w:t xml:space="preserve"> </w:t>
      </w:r>
      <w:r>
        <w:rPr>
          <w:b/>
          <w:sz w:val="32"/>
          <w:u w:val="single"/>
        </w:rPr>
        <w:t>Chapters</w:t>
      </w:r>
      <w:r>
        <w:rPr>
          <w:b/>
          <w:spacing w:val="-5"/>
          <w:sz w:val="32"/>
          <w:u w:val="single"/>
        </w:rPr>
        <w:t xml:space="preserve"> </w:t>
      </w:r>
      <w:r>
        <w:rPr>
          <w:b/>
          <w:sz w:val="32"/>
          <w:u w:val="single"/>
        </w:rPr>
        <w:t>51–</w:t>
      </w:r>
      <w:r>
        <w:rPr>
          <w:b/>
          <w:spacing w:val="-5"/>
          <w:sz w:val="32"/>
          <w:u w:val="single"/>
        </w:rPr>
        <w:t>59</w:t>
      </w:r>
    </w:p>
    <w:p w14:paraId="0DFDBAF0" w14:textId="77777777" w:rsidR="00046465" w:rsidRDefault="008134EB">
      <w:pPr>
        <w:pStyle w:val="BodyText"/>
        <w:spacing w:before="239"/>
        <w:ind w:left="360"/>
      </w:pPr>
      <w:r>
        <w:t>Note: The auditor should complete this compliance summary or prepare equivalent documentation only if provisions of the Pay and Allowance</w:t>
      </w:r>
      <w:r>
        <w:rPr>
          <w:spacing w:val="-2"/>
        </w:rPr>
        <w:t xml:space="preserve"> </w:t>
      </w:r>
      <w:r>
        <w:t>System</w:t>
      </w:r>
      <w:r>
        <w:rPr>
          <w:spacing w:val="-3"/>
        </w:rPr>
        <w:t xml:space="preserve"> </w:t>
      </w:r>
      <w:r>
        <w:t>for</w:t>
      </w:r>
      <w:r>
        <w:rPr>
          <w:spacing w:val="-2"/>
        </w:rPr>
        <w:t xml:space="preserve"> </w:t>
      </w:r>
      <w:r>
        <w:t>Civilian</w:t>
      </w:r>
      <w:r>
        <w:rPr>
          <w:spacing w:val="-2"/>
        </w:rPr>
        <w:t xml:space="preserve"> </w:t>
      </w:r>
      <w:r>
        <w:t>Employees,</w:t>
      </w:r>
      <w:r>
        <w:rPr>
          <w:spacing w:val="-2"/>
        </w:rPr>
        <w:t xml:space="preserve"> </w:t>
      </w:r>
      <w:r>
        <w:t>as</w:t>
      </w:r>
      <w:r>
        <w:rPr>
          <w:spacing w:val="-2"/>
        </w:rPr>
        <w:t xml:space="preserve"> </w:t>
      </w:r>
      <w:r>
        <w:t>provided</w:t>
      </w:r>
      <w:r>
        <w:rPr>
          <w:spacing w:val="-2"/>
        </w:rPr>
        <w:t xml:space="preserve"> </w:t>
      </w:r>
      <w:r>
        <w:t>primarily</w:t>
      </w:r>
      <w:r>
        <w:rPr>
          <w:spacing w:val="-2"/>
        </w:rPr>
        <w:t xml:space="preserve"> </w:t>
      </w:r>
      <w:r>
        <w:t>in</w:t>
      </w:r>
      <w:r>
        <w:rPr>
          <w:spacing w:val="-2"/>
        </w:rPr>
        <w:t xml:space="preserve"> </w:t>
      </w:r>
      <w:r>
        <w:t>5</w:t>
      </w:r>
      <w:r>
        <w:rPr>
          <w:spacing w:val="-2"/>
        </w:rPr>
        <w:t xml:space="preserve"> </w:t>
      </w:r>
      <w:r>
        <w:t>U.S.C.</w:t>
      </w:r>
      <w:r>
        <w:rPr>
          <w:spacing w:val="-2"/>
        </w:rPr>
        <w:t xml:space="preserve"> </w:t>
      </w:r>
      <w:r>
        <w:t>chapters</w:t>
      </w:r>
      <w:r>
        <w:rPr>
          <w:spacing w:val="-3"/>
        </w:rPr>
        <w:t xml:space="preserve"> </w:t>
      </w:r>
      <w:r>
        <w:t>51–59,</w:t>
      </w:r>
      <w:r>
        <w:rPr>
          <w:spacing w:val="-2"/>
        </w:rPr>
        <w:t xml:space="preserve"> </w:t>
      </w:r>
      <w:r>
        <w:t>are</w:t>
      </w:r>
      <w:r>
        <w:rPr>
          <w:spacing w:val="-2"/>
        </w:rPr>
        <w:t xml:space="preserve"> </w:t>
      </w:r>
      <w:r>
        <w:t>significant,</w:t>
      </w:r>
      <w:r>
        <w:rPr>
          <w:spacing w:val="-2"/>
        </w:rPr>
        <w:t xml:space="preserve"> </w:t>
      </w:r>
      <w:r>
        <w:t>as</w:t>
      </w:r>
      <w:r>
        <w:rPr>
          <w:spacing w:val="-3"/>
        </w:rPr>
        <w:t xml:space="preserve"> </w:t>
      </w:r>
      <w:r>
        <w:t>indicated</w:t>
      </w:r>
      <w:r>
        <w:rPr>
          <w:spacing w:val="-2"/>
        </w:rPr>
        <w:t xml:space="preserve"> </w:t>
      </w:r>
      <w:r>
        <w:t>on</w:t>
      </w:r>
      <w:r>
        <w:rPr>
          <w:spacing w:val="-2"/>
        </w:rPr>
        <w:t xml:space="preserve"> </w:t>
      </w:r>
      <w:r>
        <w:t>Form</w:t>
      </w:r>
      <w:r>
        <w:rPr>
          <w:spacing w:val="-3"/>
        </w:rPr>
        <w:t xml:space="preserve"> </w:t>
      </w:r>
      <w:r>
        <w:t>802, General Compliance Checklist. Implementing regulations issued by the Office of Personnel Management are included in Title 5, U.S. Code of Federal Regulations.</w:t>
      </w:r>
    </w:p>
    <w:p w14:paraId="0DFDBAF1" w14:textId="77777777" w:rsidR="00046465" w:rsidRDefault="00046465">
      <w:pPr>
        <w:pStyle w:val="BodyText"/>
        <w:spacing w:before="5"/>
        <w:rPr>
          <w:sz w:val="13"/>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68"/>
        <w:gridCol w:w="1776"/>
        <w:gridCol w:w="2201"/>
        <w:gridCol w:w="1519"/>
        <w:gridCol w:w="1640"/>
        <w:gridCol w:w="2172"/>
      </w:tblGrid>
      <w:tr w:rsidR="00046465" w14:paraId="0DFDBAF5" w14:textId="77777777">
        <w:trPr>
          <w:trHeight w:val="1302"/>
        </w:trPr>
        <w:tc>
          <w:tcPr>
            <w:tcW w:w="13176" w:type="dxa"/>
            <w:gridSpan w:val="6"/>
          </w:tcPr>
          <w:p w14:paraId="0DFDBAF2" w14:textId="77777777" w:rsidR="00046465" w:rsidRDefault="008134EB">
            <w:pPr>
              <w:pStyle w:val="TableParagraph"/>
              <w:tabs>
                <w:tab w:val="left" w:pos="9184"/>
              </w:tabs>
              <w:spacing w:before="144"/>
              <w:ind w:right="1925"/>
              <w:jc w:val="center"/>
            </w:pPr>
            <w:r>
              <w:t>Name</w:t>
            </w:r>
            <w:r>
              <w:rPr>
                <w:spacing w:val="-5"/>
              </w:rPr>
              <w:t xml:space="preserve"> </w:t>
            </w:r>
            <w:r>
              <w:t>of</w:t>
            </w:r>
            <w:r>
              <w:rPr>
                <w:spacing w:val="-5"/>
              </w:rPr>
              <w:t xml:space="preserve"> </w:t>
            </w:r>
            <w:r>
              <w:rPr>
                <w:spacing w:val="-2"/>
              </w:rPr>
              <w:t>entity:</w:t>
            </w:r>
            <w:r>
              <w:tab/>
              <w:t>Prepared</w:t>
            </w:r>
            <w:r>
              <w:rPr>
                <w:spacing w:val="-11"/>
              </w:rPr>
              <w:t xml:space="preserve"> </w:t>
            </w:r>
            <w:r>
              <w:rPr>
                <w:spacing w:val="-5"/>
              </w:rPr>
              <w:t>by:</w:t>
            </w:r>
          </w:p>
          <w:p w14:paraId="0DFDBAF3" w14:textId="77777777" w:rsidR="00046465" w:rsidRDefault="008134EB">
            <w:pPr>
              <w:pStyle w:val="TableParagraph"/>
              <w:spacing w:before="11"/>
              <w:ind w:left="1946" w:right="1925"/>
              <w:jc w:val="center"/>
              <w:rPr>
                <w:b/>
                <w:sz w:val="24"/>
              </w:rPr>
            </w:pPr>
            <w:r>
              <w:rPr>
                <w:b/>
                <w:noProof/>
                <w:sz w:val="24"/>
              </w:rPr>
              <mc:AlternateContent>
                <mc:Choice Requires="wpg">
                  <w:drawing>
                    <wp:anchor distT="0" distB="0" distL="0" distR="0" simplePos="0" relativeHeight="476150784" behindDoc="1" locked="0" layoutInCell="1" allowOverlap="1" wp14:anchorId="0DFDD689" wp14:editId="0DFDD68A">
                      <wp:simplePos x="0" y="0"/>
                      <wp:positionH relativeFrom="column">
                        <wp:posOffset>6953250</wp:posOffset>
                      </wp:positionH>
                      <wp:positionV relativeFrom="paragraph">
                        <wp:posOffset>91247</wp:posOffset>
                      </wp:positionV>
                      <wp:extent cx="1344930" cy="6350"/>
                      <wp:effectExtent l="0" t="0" r="0" b="0"/>
                      <wp:wrapNone/>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700" name="Graphic 700"/>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00ACC98" id="Group 699" o:spid="_x0000_s1026" style="position:absolute;margin-left:547.5pt;margin-top:7.2pt;width:105.9pt;height:.5pt;z-index:-27165696;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">
                      <v:shape id="Graphic 700"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" path="m1344929,l,,,6108r1344929,l1344929,xe" fillcolor="black" stroked="f">
                        <v:path arrowok="t"/>
                      </v:shape>
                    </v:group>
                  </w:pict>
                </mc:Fallback>
              </mc:AlternateContent>
            </w:r>
            <w:r>
              <w:rPr>
                <w:b/>
                <w:noProof/>
                <w:sz w:val="24"/>
              </w:rPr>
              <mc:AlternateContent>
                <mc:Choice Requires="wpg">
                  <w:drawing>
                    <wp:anchor distT="0" distB="0" distL="0" distR="0" simplePos="0" relativeHeight="476151808" behindDoc="1" locked="0" layoutInCell="1" allowOverlap="1" wp14:anchorId="0DFDD68B" wp14:editId="0DFDD68C">
                      <wp:simplePos x="0" y="0"/>
                      <wp:positionH relativeFrom="column">
                        <wp:posOffset>6953250</wp:posOffset>
                      </wp:positionH>
                      <wp:positionV relativeFrom="paragraph">
                        <wp:posOffset>441780</wp:posOffset>
                      </wp:positionV>
                      <wp:extent cx="1344930" cy="6350"/>
                      <wp:effectExtent l="0" t="0" r="0" b="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702" name="Graphic 702"/>
                              <wps:cNvSpPr/>
                              <wps:spPr>
                                <a:xfrm>
                                  <a:off x="0" y="0"/>
                                  <a:ext cx="1344930" cy="6350"/>
                                </a:xfrm>
                                <a:custGeom>
                                  <a:avLst/>
                                  <a:gdLst/>
                                  <a:ahLst/>
                                  <a:cxnLst/>
                                  <a:rect l="l" t="t" r="r" b="b"/>
                                  <a:pathLst>
                                    <a:path w="1344930" h="6350">
                                      <a:moveTo>
                                        <a:pt x="1344929" y="0"/>
                                      </a:moveTo>
                                      <a:lnTo>
                                        <a:pt x="0" y="0"/>
                                      </a:lnTo>
                                      <a:lnTo>
                                        <a:pt x="0" y="6096"/>
                                      </a:lnTo>
                                      <a:lnTo>
                                        <a:pt x="1344929" y="6096"/>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E5A811" id="Group 701" o:spid="_x0000_s1026" style="position:absolute;margin-left:547.5pt;margin-top:34.8pt;width:105.9pt;height:.5pt;z-index:-27164672;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">
                      <v:shape id="Graphic 702"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" path="m1344929,l,,,6096r1344929,l1344929,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AF4" w14:textId="77777777" w:rsidR="00046465" w:rsidRDefault="008134EB">
            <w:pPr>
              <w:pStyle w:val="TableParagraph"/>
              <w:tabs>
                <w:tab w:val="left" w:pos="8878"/>
              </w:tabs>
              <w:spacing w:before="11"/>
              <w:ind w:right="1681"/>
              <w:jc w:val="center"/>
            </w:pPr>
            <w:r>
              <w:rPr>
                <w:noProof/>
              </w:rPr>
              <mc:AlternateContent>
                <mc:Choice Requires="wpg">
                  <w:drawing>
                    <wp:anchor distT="0" distB="0" distL="0" distR="0" simplePos="0" relativeHeight="476150272" behindDoc="1" locked="0" layoutInCell="1" allowOverlap="1" wp14:anchorId="0DFDD68D" wp14:editId="0DFDD68E">
                      <wp:simplePos x="0" y="0"/>
                      <wp:positionH relativeFrom="column">
                        <wp:posOffset>1260347</wp:posOffset>
                      </wp:positionH>
                      <wp:positionV relativeFrom="paragraph">
                        <wp:posOffset>-91325</wp:posOffset>
                      </wp:positionV>
                      <wp:extent cx="1183005" cy="6350"/>
                      <wp:effectExtent l="0" t="0" r="0" b="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704" name="Graphic 704"/>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A4C1811" id="Group 703" o:spid="_x0000_s1026" style="position:absolute;margin-left:99.25pt;margin-top:-7.2pt;width:93.15pt;height:.5pt;z-index:-27166208;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">
                      <v:shape id="Graphic 704"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" path="m1182611,l,,,6108r1182611,l1182611,xe" fillcolor="black" stroked="f">
                        <v:path arrowok="t"/>
                      </v:shape>
                    </v:group>
                  </w:pict>
                </mc:Fallback>
              </mc:AlternateContent>
            </w:r>
            <w:r>
              <w:rPr>
                <w:noProof/>
              </w:rPr>
              <mc:AlternateContent>
                <mc:Choice Requires="wpg">
                  <w:drawing>
                    <wp:anchor distT="0" distB="0" distL="0" distR="0" simplePos="0" relativeHeight="476151296" behindDoc="1" locked="0" layoutInCell="1" allowOverlap="1" wp14:anchorId="0DFDD68F" wp14:editId="0DFDD690">
                      <wp:simplePos x="0" y="0"/>
                      <wp:positionH relativeFrom="column">
                        <wp:posOffset>1260347</wp:posOffset>
                      </wp:positionH>
                      <wp:positionV relativeFrom="paragraph">
                        <wp:posOffset>259207</wp:posOffset>
                      </wp:positionV>
                      <wp:extent cx="1183005" cy="6350"/>
                      <wp:effectExtent l="0" t="0" r="0" b="0"/>
                      <wp:wrapNone/>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706" name="Graphic 706"/>
                              <wps:cNvSpPr/>
                              <wps:spPr>
                                <a:xfrm>
                                  <a:off x="0" y="0"/>
                                  <a:ext cx="1183005" cy="6350"/>
                                </a:xfrm>
                                <a:custGeom>
                                  <a:avLst/>
                                  <a:gdLst/>
                                  <a:ahLst/>
                                  <a:cxnLst/>
                                  <a:rect l="l" t="t" r="r" b="b"/>
                                  <a:pathLst>
                                    <a:path w="1183005" h="6350">
                                      <a:moveTo>
                                        <a:pt x="1182611" y="0"/>
                                      </a:moveTo>
                                      <a:lnTo>
                                        <a:pt x="0" y="0"/>
                                      </a:lnTo>
                                      <a:lnTo>
                                        <a:pt x="0" y="6096"/>
                                      </a:lnTo>
                                      <a:lnTo>
                                        <a:pt x="1182611" y="6096"/>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3141D95" id="Group 705" o:spid="_x0000_s1026" style="position:absolute;margin-left:99.25pt;margin-top:20.4pt;width:93.15pt;height:.5pt;z-index:-27165184;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">
                      <v:shape id="Graphic 706"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" path="m1182611,l,,,6096r1182611,l1182611,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B00" w14:textId="77777777">
        <w:trPr>
          <w:trHeight w:val="747"/>
        </w:trPr>
        <w:tc>
          <w:tcPr>
            <w:tcW w:w="3868" w:type="dxa"/>
            <w:tcBorders>
              <w:right w:val="single" w:sz="4" w:space="0" w:color="000000"/>
            </w:tcBorders>
          </w:tcPr>
          <w:p w14:paraId="0DFDBAF6" w14:textId="77777777" w:rsidR="00046465" w:rsidRDefault="00046465">
            <w:pPr>
              <w:pStyle w:val="TableParagraph"/>
              <w:spacing w:before="144"/>
              <w:rPr>
                <w:sz w:val="20"/>
              </w:rPr>
            </w:pPr>
          </w:p>
          <w:p w14:paraId="0DFDBAF7" w14:textId="77777777" w:rsidR="00046465" w:rsidRDefault="008134EB">
            <w:pPr>
              <w:pStyle w:val="TableParagraph"/>
              <w:ind w:left="97"/>
              <w:rPr>
                <w:sz w:val="20"/>
              </w:rPr>
            </w:pPr>
            <w:r>
              <w:rPr>
                <w:sz w:val="20"/>
              </w:rPr>
              <w:t>Provision</w:t>
            </w:r>
            <w:r>
              <w:rPr>
                <w:spacing w:val="-7"/>
                <w:sz w:val="20"/>
              </w:rPr>
              <w:t xml:space="preserve"> </w:t>
            </w:r>
            <w:r>
              <w:rPr>
                <w:spacing w:val="-2"/>
                <w:sz w:val="20"/>
              </w:rPr>
              <w:t>Description</w:t>
            </w:r>
          </w:p>
        </w:tc>
        <w:tc>
          <w:tcPr>
            <w:tcW w:w="1776" w:type="dxa"/>
            <w:tcBorders>
              <w:left w:val="single" w:sz="4" w:space="0" w:color="000000"/>
              <w:right w:val="single" w:sz="4" w:space="0" w:color="000000"/>
            </w:tcBorders>
          </w:tcPr>
          <w:p w14:paraId="0DFDBAF8" w14:textId="77777777" w:rsidR="00046465" w:rsidRDefault="00046465">
            <w:pPr>
              <w:pStyle w:val="TableParagraph"/>
              <w:spacing w:before="144"/>
              <w:rPr>
                <w:sz w:val="20"/>
              </w:rPr>
            </w:pPr>
          </w:p>
          <w:p w14:paraId="0DFDBAF9" w14:textId="77777777" w:rsidR="00046465" w:rsidRDefault="008134EB">
            <w:pPr>
              <w:pStyle w:val="TableParagraph"/>
              <w:ind w:left="107"/>
              <w:rPr>
                <w:sz w:val="20"/>
              </w:rPr>
            </w:pPr>
            <w:r>
              <w:rPr>
                <w:spacing w:val="-2"/>
                <w:sz w:val="20"/>
              </w:rPr>
              <w:t>Objective</w:t>
            </w:r>
          </w:p>
        </w:tc>
        <w:tc>
          <w:tcPr>
            <w:tcW w:w="2201" w:type="dxa"/>
            <w:tcBorders>
              <w:left w:val="single" w:sz="4" w:space="0" w:color="000000"/>
              <w:right w:val="single" w:sz="4" w:space="0" w:color="000000"/>
            </w:tcBorders>
          </w:tcPr>
          <w:p w14:paraId="0DFDBAFA" w14:textId="77777777" w:rsidR="00046465" w:rsidRDefault="00046465">
            <w:pPr>
              <w:pStyle w:val="TableParagraph"/>
              <w:spacing w:before="144"/>
              <w:rPr>
                <w:sz w:val="20"/>
              </w:rPr>
            </w:pPr>
          </w:p>
          <w:p w14:paraId="0DFDBAFB" w14:textId="77777777" w:rsidR="00046465" w:rsidRDefault="008134EB">
            <w:pPr>
              <w:pStyle w:val="TableParagraph"/>
              <w:ind w:left="106"/>
              <w:rPr>
                <w:sz w:val="20"/>
              </w:rPr>
            </w:pPr>
            <w:r>
              <w:rPr>
                <w:sz w:val="20"/>
              </w:rPr>
              <w:t>Control</w:t>
            </w:r>
            <w:r>
              <w:rPr>
                <w:spacing w:val="-3"/>
                <w:sz w:val="20"/>
              </w:rPr>
              <w:t xml:space="preserve"> </w:t>
            </w:r>
            <w:r>
              <w:rPr>
                <w:spacing w:val="-2"/>
                <w:sz w:val="20"/>
              </w:rPr>
              <w:t>Activities</w:t>
            </w:r>
          </w:p>
        </w:tc>
        <w:tc>
          <w:tcPr>
            <w:tcW w:w="1519" w:type="dxa"/>
            <w:tcBorders>
              <w:left w:val="single" w:sz="4" w:space="0" w:color="000000"/>
              <w:right w:val="single" w:sz="4" w:space="0" w:color="000000"/>
            </w:tcBorders>
          </w:tcPr>
          <w:p w14:paraId="0DFDBAFC" w14:textId="77777777" w:rsidR="00046465" w:rsidRDefault="00046465">
            <w:pPr>
              <w:pStyle w:val="TableParagraph"/>
              <w:spacing w:before="144"/>
              <w:rPr>
                <w:sz w:val="20"/>
              </w:rPr>
            </w:pPr>
          </w:p>
          <w:p w14:paraId="0DFDBAFD" w14:textId="77777777" w:rsidR="00046465" w:rsidRDefault="008134EB">
            <w:pPr>
              <w:pStyle w:val="TableParagraph"/>
              <w:ind w:left="107"/>
              <w:rPr>
                <w:sz w:val="20"/>
              </w:rPr>
            </w:pPr>
            <w:r>
              <w:rPr>
                <w:sz w:val="20"/>
              </w:rPr>
              <w:t>IS</w:t>
            </w:r>
            <w:r>
              <w:rPr>
                <w:spacing w:val="-2"/>
                <w:sz w:val="20"/>
              </w:rPr>
              <w:t xml:space="preserve"> (Y/N)</w:t>
            </w:r>
          </w:p>
        </w:tc>
        <w:tc>
          <w:tcPr>
            <w:tcW w:w="1640" w:type="dxa"/>
            <w:tcBorders>
              <w:left w:val="single" w:sz="4" w:space="0" w:color="000000"/>
              <w:right w:val="single" w:sz="4" w:space="0" w:color="000000"/>
            </w:tcBorders>
          </w:tcPr>
          <w:p w14:paraId="0DFDBAFE" w14:textId="77777777" w:rsidR="00046465" w:rsidRDefault="008134EB">
            <w:pPr>
              <w:pStyle w:val="TableParagraph"/>
              <w:spacing w:before="144"/>
              <w:ind w:left="107" w:right="99"/>
              <w:rPr>
                <w:sz w:val="20"/>
              </w:rPr>
            </w:pPr>
            <w:r>
              <w:rPr>
                <w:spacing w:val="-2"/>
                <w:sz w:val="20"/>
              </w:rPr>
              <w:t>Effective controls?</w:t>
            </w:r>
          </w:p>
        </w:tc>
        <w:tc>
          <w:tcPr>
            <w:tcW w:w="2172" w:type="dxa"/>
            <w:tcBorders>
              <w:left w:val="single" w:sz="4" w:space="0" w:color="000000"/>
            </w:tcBorders>
          </w:tcPr>
          <w:p w14:paraId="0DFDBAFF" w14:textId="77777777" w:rsidR="00046465" w:rsidRDefault="008134EB">
            <w:pPr>
              <w:pStyle w:val="TableParagraph"/>
              <w:spacing w:before="144"/>
              <w:ind w:left="107"/>
              <w:rPr>
                <w:sz w:val="20"/>
              </w:rPr>
            </w:pPr>
            <w:r>
              <w:rPr>
                <w:sz w:val="20"/>
              </w:rPr>
              <w:t xml:space="preserve">Instances of </w:t>
            </w:r>
            <w:r>
              <w:rPr>
                <w:spacing w:val="-2"/>
                <w:sz w:val="20"/>
              </w:rPr>
              <w:t>noncompliance?</w:t>
            </w:r>
          </w:p>
        </w:tc>
      </w:tr>
      <w:tr w:rsidR="00046465" w14:paraId="0DFDBB0C" w14:textId="77777777">
        <w:trPr>
          <w:trHeight w:val="3681"/>
        </w:trPr>
        <w:tc>
          <w:tcPr>
            <w:tcW w:w="3868" w:type="dxa"/>
            <w:tcBorders>
              <w:right w:val="single" w:sz="4" w:space="0" w:color="000000"/>
            </w:tcBorders>
          </w:tcPr>
          <w:p w14:paraId="0DFDBB01" w14:textId="77777777" w:rsidR="00046465" w:rsidRDefault="008134EB">
            <w:pPr>
              <w:pStyle w:val="TableParagraph"/>
              <w:spacing w:before="143"/>
              <w:ind w:left="97"/>
              <w:rPr>
                <w:sz w:val="18"/>
              </w:rPr>
            </w:pPr>
            <w:r>
              <w:rPr>
                <w:smallCaps/>
                <w:sz w:val="18"/>
              </w:rPr>
              <w:t>807.01.</w:t>
            </w:r>
            <w:r>
              <w:rPr>
                <w:smallCaps/>
                <w:spacing w:val="-3"/>
                <w:sz w:val="18"/>
              </w:rPr>
              <w:t xml:space="preserve"> </w:t>
            </w:r>
            <w:r>
              <w:rPr>
                <w:smallCaps/>
                <w:spacing w:val="17"/>
                <w:sz w:val="18"/>
              </w:rPr>
              <w:t xml:space="preserve"> </w:t>
            </w:r>
            <w:r>
              <w:rPr>
                <w:smallCaps/>
                <w:sz w:val="18"/>
              </w:rPr>
              <w:t>Pay</w:t>
            </w:r>
            <w:r>
              <w:rPr>
                <w:smallCaps/>
                <w:spacing w:val="-3"/>
                <w:sz w:val="18"/>
              </w:rPr>
              <w:t xml:space="preserve"> </w:t>
            </w:r>
            <w:r>
              <w:rPr>
                <w:smallCaps/>
                <w:sz w:val="18"/>
              </w:rPr>
              <w:t>Rate</w:t>
            </w:r>
            <w:r>
              <w:rPr>
                <w:smallCaps/>
                <w:spacing w:val="-3"/>
                <w:sz w:val="18"/>
              </w:rPr>
              <w:t xml:space="preserve"> </w:t>
            </w:r>
            <w:r>
              <w:rPr>
                <w:smallCaps/>
                <w:sz w:val="18"/>
              </w:rPr>
              <w:t>or</w:t>
            </w:r>
            <w:r>
              <w:rPr>
                <w:smallCaps/>
                <w:spacing w:val="-2"/>
                <w:sz w:val="18"/>
              </w:rPr>
              <w:t xml:space="preserve"> </w:t>
            </w:r>
            <w:r>
              <w:rPr>
                <w:smallCaps/>
                <w:sz w:val="18"/>
              </w:rPr>
              <w:t>Schedule</w:t>
            </w:r>
            <w:r>
              <w:rPr>
                <w:smallCaps/>
                <w:spacing w:val="-4"/>
                <w:sz w:val="18"/>
              </w:rPr>
              <w:t xml:space="preserve"> </w:t>
            </w:r>
            <w:r>
              <w:rPr>
                <w:smallCaps/>
                <w:spacing w:val="-5"/>
                <w:sz w:val="18"/>
              </w:rPr>
              <w:t>for</w:t>
            </w:r>
          </w:p>
          <w:p w14:paraId="0DFDBB02" w14:textId="77777777" w:rsidR="00046465" w:rsidRDefault="008134EB">
            <w:pPr>
              <w:pStyle w:val="TableParagraph"/>
              <w:spacing w:before="1"/>
              <w:ind w:left="817"/>
              <w:rPr>
                <w:sz w:val="18"/>
              </w:rPr>
            </w:pPr>
            <w:r>
              <w:rPr>
                <w:smallCaps/>
                <w:sz w:val="18"/>
              </w:rPr>
              <w:t>Employees</w:t>
            </w:r>
            <w:r>
              <w:rPr>
                <w:smallCaps/>
                <w:spacing w:val="-6"/>
                <w:sz w:val="18"/>
              </w:rPr>
              <w:t xml:space="preserve"> </w:t>
            </w:r>
            <w:r>
              <w:rPr>
                <w:smallCaps/>
                <w:sz w:val="18"/>
              </w:rPr>
              <w:t>in</w:t>
            </w:r>
            <w:r>
              <w:rPr>
                <w:smallCaps/>
                <w:spacing w:val="-5"/>
                <w:sz w:val="18"/>
              </w:rPr>
              <w:t xml:space="preserve"> </w:t>
            </w:r>
            <w:r>
              <w:rPr>
                <w:smallCaps/>
                <w:sz w:val="18"/>
              </w:rPr>
              <w:t>Specific</w:t>
            </w:r>
            <w:r>
              <w:rPr>
                <w:smallCaps/>
                <w:spacing w:val="-3"/>
                <w:sz w:val="18"/>
              </w:rPr>
              <w:t xml:space="preserve"> </w:t>
            </w:r>
            <w:r>
              <w:rPr>
                <w:smallCaps/>
                <w:spacing w:val="-2"/>
                <w:sz w:val="18"/>
              </w:rPr>
              <w:t>Positions.</w:t>
            </w:r>
          </w:p>
          <w:p w14:paraId="0DFDBB03" w14:textId="77777777" w:rsidR="00046465" w:rsidRDefault="008134EB">
            <w:pPr>
              <w:pStyle w:val="TableParagraph"/>
              <w:spacing w:before="145"/>
              <w:ind w:left="97"/>
              <w:rPr>
                <w:sz w:val="18"/>
              </w:rPr>
            </w:pPr>
            <w:r>
              <w:rPr>
                <w:sz w:val="18"/>
              </w:rPr>
              <w:t>Provision</w:t>
            </w:r>
            <w:r>
              <w:rPr>
                <w:spacing w:val="-10"/>
                <w:sz w:val="18"/>
              </w:rPr>
              <w:t xml:space="preserve"> </w:t>
            </w:r>
            <w:r>
              <w:rPr>
                <w:sz w:val="18"/>
              </w:rPr>
              <w:t>Type:</w:t>
            </w:r>
            <w:r>
              <w:rPr>
                <w:spacing w:val="-8"/>
                <w:sz w:val="18"/>
              </w:rPr>
              <w:t xml:space="preserve"> </w:t>
            </w:r>
            <w:r>
              <w:rPr>
                <w:sz w:val="18"/>
              </w:rPr>
              <w:t>Transaction-</w:t>
            </w:r>
            <w:r>
              <w:rPr>
                <w:spacing w:val="-2"/>
                <w:sz w:val="18"/>
              </w:rPr>
              <w:t>based.</w:t>
            </w:r>
          </w:p>
          <w:p w14:paraId="0DFDBB04" w14:textId="77777777" w:rsidR="00046465" w:rsidRDefault="008134EB">
            <w:pPr>
              <w:pStyle w:val="TableParagraph"/>
              <w:spacing w:before="142"/>
              <w:ind w:left="97" w:right="136"/>
              <w:rPr>
                <w:sz w:val="18"/>
              </w:rPr>
            </w:pPr>
            <w:r>
              <w:rPr>
                <w:sz w:val="18"/>
              </w:rPr>
              <w:t>Pay for employees in a specific position should be based on those employees’ appropriate pay schedule or pay rate.</w:t>
            </w:r>
            <w:hyperlink w:anchor="_bookmark116" w:history="1">
              <w:r>
                <w:rPr>
                  <w:position w:val="6"/>
                  <w:sz w:val="12"/>
                </w:rPr>
                <w:t>50</w:t>
              </w:r>
            </w:hyperlink>
            <w:r>
              <w:rPr>
                <w:spacing w:val="40"/>
                <w:position w:val="6"/>
                <w:sz w:val="12"/>
              </w:rPr>
              <w:t xml:space="preserve"> </w:t>
            </w:r>
            <w:r>
              <w:rPr>
                <w:sz w:val="18"/>
              </w:rPr>
              <w:t>These</w:t>
            </w:r>
            <w:r>
              <w:rPr>
                <w:spacing w:val="-9"/>
                <w:sz w:val="18"/>
              </w:rPr>
              <w:t xml:space="preserve"> </w:t>
            </w:r>
            <w:r>
              <w:rPr>
                <w:sz w:val="18"/>
              </w:rPr>
              <w:t>include</w:t>
            </w:r>
            <w:r>
              <w:rPr>
                <w:spacing w:val="-7"/>
                <w:sz w:val="18"/>
              </w:rPr>
              <w:t xml:space="preserve"> </w:t>
            </w:r>
            <w:r>
              <w:rPr>
                <w:sz w:val="18"/>
              </w:rPr>
              <w:t>employees</w:t>
            </w:r>
            <w:r>
              <w:rPr>
                <w:spacing w:val="-8"/>
                <w:sz w:val="18"/>
              </w:rPr>
              <w:t xml:space="preserve"> </w:t>
            </w:r>
            <w:r>
              <w:rPr>
                <w:sz w:val="18"/>
              </w:rPr>
              <w:t>in</w:t>
            </w:r>
            <w:r>
              <w:rPr>
                <w:spacing w:val="-9"/>
                <w:sz w:val="18"/>
              </w:rPr>
              <w:t xml:space="preserve"> </w:t>
            </w:r>
            <w:r>
              <w:rPr>
                <w:sz w:val="18"/>
              </w:rPr>
              <w:t>positions</w:t>
            </w:r>
            <w:r>
              <w:rPr>
                <w:spacing w:val="-8"/>
                <w:sz w:val="18"/>
              </w:rPr>
              <w:t xml:space="preserve"> </w:t>
            </w:r>
            <w:r>
              <w:rPr>
                <w:sz w:val="18"/>
              </w:rPr>
              <w:t>subject to the General Schedule (5 U.S.C. § 5332); prevailing rate employees (5 U.S.C. § 5343); employees in certain senior-level positions, such as specially qualified scientific and professional personnel (5 U.S.C. § 5376); employees</w:t>
            </w:r>
            <w:r>
              <w:rPr>
                <w:spacing w:val="-7"/>
                <w:sz w:val="18"/>
              </w:rPr>
              <w:t xml:space="preserve"> </w:t>
            </w:r>
            <w:r>
              <w:rPr>
                <w:sz w:val="18"/>
              </w:rPr>
              <w:t>appointed</w:t>
            </w:r>
            <w:r>
              <w:rPr>
                <w:spacing w:val="-8"/>
                <w:sz w:val="18"/>
              </w:rPr>
              <w:t xml:space="preserve"> </w:t>
            </w:r>
            <w:r>
              <w:rPr>
                <w:sz w:val="18"/>
              </w:rPr>
              <w:t>to</w:t>
            </w:r>
            <w:r>
              <w:rPr>
                <w:spacing w:val="-8"/>
                <w:sz w:val="18"/>
              </w:rPr>
              <w:t xml:space="preserve"> </w:t>
            </w:r>
            <w:r>
              <w:rPr>
                <w:sz w:val="18"/>
              </w:rPr>
              <w:t>the</w:t>
            </w:r>
            <w:r>
              <w:rPr>
                <w:spacing w:val="-8"/>
                <w:sz w:val="18"/>
              </w:rPr>
              <w:t xml:space="preserve"> </w:t>
            </w:r>
            <w:r>
              <w:rPr>
                <w:sz w:val="18"/>
              </w:rPr>
              <w:t>Senior</w:t>
            </w:r>
            <w:r>
              <w:rPr>
                <w:spacing w:val="-7"/>
                <w:sz w:val="18"/>
              </w:rPr>
              <w:t xml:space="preserve"> </w:t>
            </w:r>
            <w:r>
              <w:rPr>
                <w:sz w:val="18"/>
              </w:rPr>
              <w:t>Executive Service (5 U.S.C. § 5383); and employees paid the minimum wage (29 U.S.C. § 206).</w:t>
            </w:r>
          </w:p>
        </w:tc>
        <w:tc>
          <w:tcPr>
            <w:tcW w:w="1776" w:type="dxa"/>
            <w:tcBorders>
              <w:left w:val="single" w:sz="4" w:space="0" w:color="000000"/>
              <w:right w:val="single" w:sz="4" w:space="0" w:color="000000"/>
            </w:tcBorders>
          </w:tcPr>
          <w:p w14:paraId="0DFDBB05" w14:textId="77777777" w:rsidR="00046465" w:rsidRDefault="008134EB">
            <w:pPr>
              <w:pStyle w:val="TableParagraph"/>
              <w:spacing w:before="143"/>
              <w:ind w:left="107" w:right="138"/>
              <w:rPr>
                <w:sz w:val="18"/>
              </w:rPr>
            </w:pPr>
            <w:r>
              <w:rPr>
                <w:sz w:val="18"/>
              </w:rPr>
              <w:t>Employees are paid</w:t>
            </w:r>
            <w:r>
              <w:rPr>
                <w:spacing w:val="-15"/>
                <w:sz w:val="18"/>
              </w:rPr>
              <w:t xml:space="preserve"> </w:t>
            </w:r>
            <w:r>
              <w:rPr>
                <w:sz w:val="18"/>
              </w:rPr>
              <w:t>at</w:t>
            </w:r>
            <w:r>
              <w:rPr>
                <w:spacing w:val="-12"/>
                <w:sz w:val="18"/>
              </w:rPr>
              <w:t xml:space="preserve"> </w:t>
            </w:r>
            <w:r>
              <w:rPr>
                <w:sz w:val="18"/>
              </w:rPr>
              <w:t xml:space="preserve">appropriate </w:t>
            </w:r>
            <w:r>
              <w:rPr>
                <w:spacing w:val="-2"/>
                <w:sz w:val="18"/>
              </w:rPr>
              <w:t>rates.</w:t>
            </w:r>
          </w:p>
        </w:tc>
        <w:tc>
          <w:tcPr>
            <w:tcW w:w="2201" w:type="dxa"/>
            <w:tcBorders>
              <w:left w:val="single" w:sz="4" w:space="0" w:color="000000"/>
              <w:right w:val="single" w:sz="4" w:space="0" w:color="000000"/>
            </w:tcBorders>
          </w:tcPr>
          <w:p w14:paraId="0DFDBB06" w14:textId="77777777" w:rsidR="00046465" w:rsidRDefault="008134EB">
            <w:pPr>
              <w:pStyle w:val="TableParagraph"/>
              <w:spacing w:before="143"/>
              <w:ind w:left="105"/>
              <w:rPr>
                <w:sz w:val="18"/>
              </w:rPr>
            </w:pPr>
            <w:r>
              <w:rPr>
                <w:sz w:val="18"/>
              </w:rPr>
              <w:t>[Document the control activities</w:t>
            </w:r>
            <w:r>
              <w:rPr>
                <w:spacing w:val="-13"/>
                <w:sz w:val="18"/>
              </w:rPr>
              <w:t xml:space="preserve"> </w:t>
            </w:r>
            <w:r>
              <w:rPr>
                <w:sz w:val="18"/>
              </w:rPr>
              <w:t>that</w:t>
            </w:r>
            <w:r>
              <w:rPr>
                <w:spacing w:val="-12"/>
                <w:sz w:val="18"/>
              </w:rPr>
              <w:t xml:space="preserve"> </w:t>
            </w:r>
            <w:r>
              <w:rPr>
                <w:sz w:val="18"/>
              </w:rPr>
              <w:t>the</w:t>
            </w:r>
            <w:r>
              <w:rPr>
                <w:spacing w:val="-13"/>
                <w:sz w:val="18"/>
              </w:rPr>
              <w:t xml:space="preserve"> </w:t>
            </w:r>
            <w:r>
              <w:rPr>
                <w:sz w:val="18"/>
              </w:rPr>
              <w:t xml:space="preserve">entity used to achieve the </w:t>
            </w:r>
            <w:r>
              <w:rPr>
                <w:spacing w:val="-2"/>
                <w:sz w:val="18"/>
              </w:rPr>
              <w:t>objective.]</w:t>
            </w:r>
          </w:p>
        </w:tc>
        <w:tc>
          <w:tcPr>
            <w:tcW w:w="1519" w:type="dxa"/>
            <w:tcBorders>
              <w:left w:val="single" w:sz="4" w:space="0" w:color="000000"/>
              <w:right w:val="single" w:sz="4" w:space="0" w:color="000000"/>
            </w:tcBorders>
          </w:tcPr>
          <w:p w14:paraId="0DFDBB07" w14:textId="77777777" w:rsidR="00046465" w:rsidRDefault="008134EB">
            <w:pPr>
              <w:pStyle w:val="TableParagraph"/>
              <w:spacing w:before="143"/>
              <w:ind w:left="106" w:right="335"/>
              <w:rPr>
                <w:sz w:val="18"/>
              </w:rPr>
            </w:pPr>
            <w:r>
              <w:rPr>
                <w:sz w:val="18"/>
              </w:rPr>
              <w:t>[Does</w:t>
            </w:r>
            <w:r>
              <w:rPr>
                <w:spacing w:val="-13"/>
                <w:sz w:val="18"/>
              </w:rPr>
              <w:t xml:space="preserve"> </w:t>
            </w:r>
            <w:r>
              <w:rPr>
                <w:sz w:val="18"/>
              </w:rPr>
              <w:t xml:space="preserve">control depend on </w:t>
            </w:r>
            <w:r>
              <w:rPr>
                <w:spacing w:val="-2"/>
                <w:sz w:val="18"/>
              </w:rPr>
              <w:t>information system processing?]</w:t>
            </w:r>
          </w:p>
        </w:tc>
        <w:tc>
          <w:tcPr>
            <w:tcW w:w="1640" w:type="dxa"/>
            <w:tcBorders>
              <w:left w:val="single" w:sz="4" w:space="0" w:color="000000"/>
              <w:right w:val="single" w:sz="4" w:space="0" w:color="000000"/>
            </w:tcBorders>
          </w:tcPr>
          <w:p w14:paraId="0DFDBB08" w14:textId="77777777" w:rsidR="00046465" w:rsidRDefault="008134EB">
            <w:pPr>
              <w:pStyle w:val="TableParagraph"/>
              <w:spacing w:before="143"/>
              <w:ind w:left="106" w:right="99"/>
              <w:rPr>
                <w:sz w:val="18"/>
              </w:rPr>
            </w:pPr>
            <w:r>
              <w:rPr>
                <w:sz w:val="18"/>
              </w:rPr>
              <w:t xml:space="preserve">[Indicate yes or no; include reference to </w:t>
            </w:r>
            <w:r>
              <w:rPr>
                <w:spacing w:val="-2"/>
                <w:sz w:val="18"/>
              </w:rPr>
              <w:t>supporting documentation.]</w:t>
            </w:r>
          </w:p>
        </w:tc>
        <w:tc>
          <w:tcPr>
            <w:tcW w:w="2172" w:type="dxa"/>
            <w:tcBorders>
              <w:left w:val="single" w:sz="4" w:space="0" w:color="000000"/>
            </w:tcBorders>
          </w:tcPr>
          <w:p w14:paraId="0DFDBB09" w14:textId="77777777" w:rsidR="00046465" w:rsidRDefault="008134EB">
            <w:pPr>
              <w:pStyle w:val="TableParagraph"/>
              <w:spacing w:before="143"/>
              <w:ind w:left="107"/>
              <w:rPr>
                <w:sz w:val="18"/>
              </w:rPr>
            </w:pPr>
            <w:r>
              <w:rPr>
                <w:sz w:val="18"/>
              </w:rPr>
              <w:t>[Indicate yes or no; include</w:t>
            </w:r>
            <w:r>
              <w:rPr>
                <w:spacing w:val="-15"/>
                <w:sz w:val="18"/>
              </w:rPr>
              <w:t xml:space="preserve"> </w:t>
            </w:r>
            <w:r>
              <w:rPr>
                <w:sz w:val="18"/>
              </w:rPr>
              <w:t>reference</w:t>
            </w:r>
            <w:r>
              <w:rPr>
                <w:spacing w:val="-12"/>
                <w:sz w:val="18"/>
              </w:rPr>
              <w:t xml:space="preserve"> </w:t>
            </w:r>
            <w:r>
              <w:rPr>
                <w:sz w:val="18"/>
              </w:rPr>
              <w:t xml:space="preserve">to </w:t>
            </w:r>
            <w:r>
              <w:rPr>
                <w:spacing w:val="-2"/>
                <w:sz w:val="18"/>
              </w:rPr>
              <w:t>supporting documentation.]</w:t>
            </w:r>
          </w:p>
          <w:p w14:paraId="0DFDBB0A" w14:textId="77777777" w:rsidR="00046465" w:rsidRDefault="008134EB">
            <w:pPr>
              <w:pStyle w:val="TableParagraph"/>
              <w:spacing w:before="144"/>
              <w:ind w:left="107"/>
              <w:rPr>
                <w:sz w:val="18"/>
              </w:rPr>
            </w:pPr>
            <w:r>
              <w:rPr>
                <w:sz w:val="18"/>
              </w:rPr>
              <w:t>See</w:t>
            </w:r>
            <w:r>
              <w:rPr>
                <w:spacing w:val="-15"/>
                <w:sz w:val="18"/>
              </w:rPr>
              <w:t xml:space="preserve"> </w:t>
            </w:r>
            <w:r>
              <w:rPr>
                <w:sz w:val="18"/>
              </w:rPr>
              <w:t>Compliance</w:t>
            </w:r>
            <w:r>
              <w:rPr>
                <w:spacing w:val="-12"/>
                <w:sz w:val="18"/>
              </w:rPr>
              <w:t xml:space="preserve"> </w:t>
            </w:r>
            <w:r>
              <w:rPr>
                <w:sz w:val="18"/>
              </w:rPr>
              <w:t>Audit Procedures,</w:t>
            </w:r>
            <w:r>
              <w:rPr>
                <w:spacing w:val="-4"/>
                <w:sz w:val="18"/>
              </w:rPr>
              <w:t xml:space="preserve"> </w:t>
            </w:r>
            <w:r>
              <w:rPr>
                <w:sz w:val="18"/>
              </w:rPr>
              <w:t>FAM</w:t>
            </w:r>
            <w:r>
              <w:rPr>
                <w:spacing w:val="-3"/>
                <w:sz w:val="18"/>
              </w:rPr>
              <w:t xml:space="preserve"> </w:t>
            </w:r>
            <w:r>
              <w:rPr>
                <w:spacing w:val="-5"/>
                <w:sz w:val="18"/>
              </w:rPr>
              <w:t>807</w:t>
            </w:r>
          </w:p>
          <w:p w14:paraId="0DFDBB0B" w14:textId="77777777" w:rsidR="00046465" w:rsidRDefault="008134EB">
            <w:pPr>
              <w:pStyle w:val="TableParagraph"/>
              <w:spacing w:before="2"/>
              <w:ind w:left="107"/>
              <w:rPr>
                <w:sz w:val="18"/>
              </w:rPr>
            </w:pPr>
            <w:r>
              <w:rPr>
                <w:sz w:val="18"/>
              </w:rPr>
              <w:t>step</w:t>
            </w:r>
            <w:r>
              <w:rPr>
                <w:spacing w:val="-2"/>
                <w:sz w:val="18"/>
              </w:rPr>
              <w:t xml:space="preserve"> </w:t>
            </w:r>
            <w:r>
              <w:rPr>
                <w:sz w:val="18"/>
              </w:rPr>
              <w:t>4</w:t>
            </w:r>
            <w:r>
              <w:rPr>
                <w:spacing w:val="-1"/>
                <w:sz w:val="18"/>
              </w:rPr>
              <w:t xml:space="preserve"> </w:t>
            </w:r>
            <w:r>
              <w:rPr>
                <w:spacing w:val="-4"/>
                <w:sz w:val="18"/>
              </w:rPr>
              <w:t>(b).</w:t>
            </w:r>
          </w:p>
        </w:tc>
      </w:tr>
    </w:tbl>
    <w:p w14:paraId="0DFDBB0D" w14:textId="77777777" w:rsidR="00046465" w:rsidRDefault="00046465">
      <w:pPr>
        <w:pStyle w:val="BodyText"/>
        <w:rPr>
          <w:sz w:val="20"/>
        </w:rPr>
      </w:pPr>
    </w:p>
    <w:p w14:paraId="0DFDBB0E" w14:textId="77777777" w:rsidR="00046465" w:rsidRDefault="008134EB">
      <w:pPr>
        <w:pStyle w:val="BodyText"/>
        <w:spacing w:before="2"/>
        <w:rPr>
          <w:sz w:val="20"/>
        </w:rPr>
      </w:pPr>
      <w:r>
        <w:rPr>
          <w:noProof/>
          <w:sz w:val="20"/>
        </w:rPr>
        <mc:AlternateContent>
          <mc:Choice Requires="wps">
            <w:drawing>
              <wp:anchor distT="0" distB="0" distL="0" distR="0" simplePos="0" relativeHeight="487682560" behindDoc="1" locked="0" layoutInCell="1" allowOverlap="1" wp14:anchorId="0DFDD691" wp14:editId="0DFDD692">
                <wp:simplePos x="0" y="0"/>
                <wp:positionH relativeFrom="page">
                  <wp:posOffset>685800</wp:posOffset>
                </wp:positionH>
                <wp:positionV relativeFrom="paragraph">
                  <wp:posOffset>162578</wp:posOffset>
                </wp:positionV>
                <wp:extent cx="1828800" cy="6985"/>
                <wp:effectExtent l="0" t="0" r="0" b="0"/>
                <wp:wrapTopAndBottom/>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95B18D" id="Graphic 707" o:spid="_x0000_s1026" style="position:absolute;margin-left:54pt;margin-top:12.8pt;width:2in;height:.55pt;z-index:-15633920;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" path="m1828800,l,,,6858r1828800,l1828800,xe" fillcolor="black" stroked="f">
                <v:path arrowok="t"/>
                <w10:wrap type="topAndBottom" anchorx="page"/>
              </v:shape>
            </w:pict>
          </mc:Fallback>
        </mc:AlternateContent>
      </w:r>
    </w:p>
    <w:p w14:paraId="0DFDBB0F" w14:textId="77777777" w:rsidR="00046465" w:rsidRDefault="008134EB">
      <w:pPr>
        <w:spacing w:before="217"/>
        <w:ind w:left="360"/>
        <w:rPr>
          <w:sz w:val="18"/>
        </w:rPr>
      </w:pPr>
      <w:r>
        <w:rPr>
          <w:position w:val="7"/>
          <w:sz w:val="14"/>
        </w:rPr>
        <w:t>50</w:t>
      </w:r>
      <w:r>
        <w:rPr>
          <w:sz w:val="18"/>
        </w:rPr>
        <w:t>For</w:t>
      </w:r>
      <w:r>
        <w:rPr>
          <w:spacing w:val="-3"/>
          <w:sz w:val="18"/>
        </w:rPr>
        <w:t xml:space="preserve"> </w:t>
      </w:r>
      <w:r>
        <w:rPr>
          <w:sz w:val="18"/>
        </w:rPr>
        <w:t>employees</w:t>
      </w:r>
      <w:r>
        <w:rPr>
          <w:spacing w:val="-2"/>
          <w:sz w:val="18"/>
        </w:rPr>
        <w:t xml:space="preserve"> </w:t>
      </w:r>
      <w:r>
        <w:rPr>
          <w:sz w:val="18"/>
        </w:rPr>
        <w:t>receiving</w:t>
      </w:r>
      <w:r>
        <w:rPr>
          <w:spacing w:val="-3"/>
          <w:sz w:val="18"/>
        </w:rPr>
        <w:t xml:space="preserve"> </w:t>
      </w:r>
      <w:r>
        <w:rPr>
          <w:sz w:val="18"/>
        </w:rPr>
        <w:t>an</w:t>
      </w:r>
      <w:r>
        <w:rPr>
          <w:spacing w:val="-2"/>
          <w:sz w:val="18"/>
        </w:rPr>
        <w:t xml:space="preserve"> </w:t>
      </w:r>
      <w:r>
        <w:rPr>
          <w:sz w:val="18"/>
        </w:rPr>
        <w:t>annual</w:t>
      </w:r>
      <w:r>
        <w:rPr>
          <w:spacing w:val="-2"/>
          <w:sz w:val="18"/>
        </w:rPr>
        <w:t xml:space="preserve"> </w:t>
      </w:r>
      <w:r>
        <w:rPr>
          <w:sz w:val="18"/>
        </w:rPr>
        <w:t>rate</w:t>
      </w:r>
      <w:r>
        <w:rPr>
          <w:spacing w:val="-4"/>
          <w:sz w:val="18"/>
        </w:rPr>
        <w:t xml:space="preserve"> </w:t>
      </w:r>
      <w:r>
        <w:rPr>
          <w:sz w:val="18"/>
        </w:rPr>
        <w:t>of</w:t>
      </w:r>
      <w:r>
        <w:rPr>
          <w:spacing w:val="-2"/>
          <w:sz w:val="18"/>
        </w:rPr>
        <w:t xml:space="preserve"> </w:t>
      </w:r>
      <w:r>
        <w:rPr>
          <w:sz w:val="18"/>
        </w:rPr>
        <w:t>basic</w:t>
      </w:r>
      <w:r>
        <w:rPr>
          <w:spacing w:val="-3"/>
          <w:sz w:val="18"/>
        </w:rPr>
        <w:t xml:space="preserve"> </w:t>
      </w:r>
      <w:r>
        <w:rPr>
          <w:sz w:val="18"/>
        </w:rPr>
        <w:t>pay,</w:t>
      </w:r>
      <w:r>
        <w:rPr>
          <w:spacing w:val="-3"/>
          <w:sz w:val="18"/>
        </w:rPr>
        <w:t xml:space="preserve"> </w:t>
      </w:r>
      <w:r>
        <w:rPr>
          <w:sz w:val="18"/>
        </w:rPr>
        <w:t>calculate</w:t>
      </w:r>
      <w:r>
        <w:rPr>
          <w:spacing w:val="-3"/>
          <w:sz w:val="18"/>
        </w:rPr>
        <w:t xml:space="preserve"> </w:t>
      </w:r>
      <w:r>
        <w:rPr>
          <w:sz w:val="18"/>
        </w:rPr>
        <w:t>the</w:t>
      </w:r>
      <w:r>
        <w:rPr>
          <w:spacing w:val="-4"/>
          <w:sz w:val="18"/>
        </w:rPr>
        <w:t xml:space="preserve"> </w:t>
      </w:r>
      <w:r>
        <w:rPr>
          <w:sz w:val="18"/>
        </w:rPr>
        <w:t>corresponding</w:t>
      </w:r>
      <w:r>
        <w:rPr>
          <w:spacing w:val="-1"/>
          <w:sz w:val="18"/>
        </w:rPr>
        <w:t xml:space="preserve"> </w:t>
      </w:r>
      <w:r>
        <w:rPr>
          <w:sz w:val="18"/>
        </w:rPr>
        <w:t>hourly,</w:t>
      </w:r>
      <w:r>
        <w:rPr>
          <w:spacing w:val="-3"/>
          <w:sz w:val="18"/>
        </w:rPr>
        <w:t xml:space="preserve"> </w:t>
      </w:r>
      <w:r>
        <w:rPr>
          <w:sz w:val="18"/>
        </w:rPr>
        <w:t>daily,</w:t>
      </w:r>
      <w:r>
        <w:rPr>
          <w:spacing w:val="-2"/>
          <w:sz w:val="18"/>
        </w:rPr>
        <w:t xml:space="preserve"> </w:t>
      </w:r>
      <w:r>
        <w:rPr>
          <w:sz w:val="18"/>
        </w:rPr>
        <w:t>weekly,</w:t>
      </w:r>
      <w:r>
        <w:rPr>
          <w:spacing w:val="-3"/>
          <w:sz w:val="18"/>
        </w:rPr>
        <w:t xml:space="preserve"> </w:t>
      </w:r>
      <w:r>
        <w:rPr>
          <w:sz w:val="18"/>
        </w:rPr>
        <w:t>or</w:t>
      </w:r>
      <w:r>
        <w:rPr>
          <w:spacing w:val="-2"/>
          <w:sz w:val="18"/>
        </w:rPr>
        <w:t xml:space="preserve"> </w:t>
      </w:r>
      <w:r>
        <w:rPr>
          <w:sz w:val="18"/>
        </w:rPr>
        <w:t>biweekly</w:t>
      </w:r>
      <w:r>
        <w:rPr>
          <w:spacing w:val="-3"/>
          <w:sz w:val="18"/>
        </w:rPr>
        <w:t xml:space="preserve"> </w:t>
      </w:r>
      <w:r>
        <w:rPr>
          <w:sz w:val="18"/>
        </w:rPr>
        <w:t>rate,</w:t>
      </w:r>
      <w:r>
        <w:rPr>
          <w:spacing w:val="-2"/>
          <w:sz w:val="18"/>
        </w:rPr>
        <w:t xml:space="preserve"> </w:t>
      </w:r>
      <w:r>
        <w:rPr>
          <w:sz w:val="18"/>
        </w:rPr>
        <w:t>by</w:t>
      </w:r>
      <w:r>
        <w:rPr>
          <w:spacing w:val="-2"/>
          <w:sz w:val="18"/>
        </w:rPr>
        <w:t xml:space="preserve"> </w:t>
      </w:r>
      <w:r>
        <w:rPr>
          <w:sz w:val="18"/>
        </w:rPr>
        <w:t>applying</w:t>
      </w:r>
      <w:r>
        <w:rPr>
          <w:spacing w:val="-4"/>
          <w:sz w:val="18"/>
        </w:rPr>
        <w:t xml:space="preserve"> </w:t>
      </w:r>
      <w:r>
        <w:rPr>
          <w:sz w:val="18"/>
        </w:rPr>
        <w:t>the</w:t>
      </w:r>
      <w:r>
        <w:rPr>
          <w:spacing w:val="-3"/>
          <w:sz w:val="18"/>
        </w:rPr>
        <w:t xml:space="preserve"> </w:t>
      </w:r>
      <w:r>
        <w:rPr>
          <w:sz w:val="18"/>
        </w:rPr>
        <w:t>methodology</w:t>
      </w:r>
      <w:r>
        <w:rPr>
          <w:spacing w:val="-2"/>
          <w:sz w:val="18"/>
        </w:rPr>
        <w:t xml:space="preserve"> </w:t>
      </w:r>
      <w:r>
        <w:rPr>
          <w:sz w:val="18"/>
        </w:rPr>
        <w:t>set</w:t>
      </w:r>
      <w:r>
        <w:rPr>
          <w:spacing w:val="-2"/>
          <w:sz w:val="18"/>
        </w:rPr>
        <w:t xml:space="preserve"> </w:t>
      </w:r>
      <w:r>
        <w:rPr>
          <w:sz w:val="18"/>
        </w:rPr>
        <w:t>out</w:t>
      </w:r>
      <w:r>
        <w:rPr>
          <w:spacing w:val="-3"/>
          <w:sz w:val="18"/>
        </w:rPr>
        <w:t xml:space="preserve"> </w:t>
      </w:r>
      <w:r>
        <w:rPr>
          <w:sz w:val="18"/>
        </w:rPr>
        <w:t>in</w:t>
      </w:r>
      <w:r>
        <w:rPr>
          <w:spacing w:val="-3"/>
          <w:sz w:val="18"/>
        </w:rPr>
        <w:t xml:space="preserve"> </w:t>
      </w:r>
      <w:r>
        <w:rPr>
          <w:spacing w:val="-10"/>
          <w:sz w:val="18"/>
        </w:rPr>
        <w:t>5</w:t>
      </w:r>
    </w:p>
    <w:p w14:paraId="0DFDBB10" w14:textId="77777777" w:rsidR="00046465" w:rsidRDefault="008134EB">
      <w:pPr>
        <w:spacing w:before="8"/>
        <w:ind w:left="359"/>
        <w:rPr>
          <w:sz w:val="18"/>
        </w:rPr>
      </w:pPr>
      <w:r>
        <w:rPr>
          <w:noProof/>
          <w:sz w:val="18"/>
        </w:rPr>
        <mc:AlternateContent>
          <mc:Choice Requires="wps">
            <w:drawing>
              <wp:anchor distT="0" distB="0" distL="0" distR="0" simplePos="0" relativeHeight="15824896" behindDoc="0" locked="0" layoutInCell="1" allowOverlap="1" wp14:anchorId="0DFDD693" wp14:editId="0DFDD694">
                <wp:simplePos x="0" y="0"/>
                <wp:positionH relativeFrom="page">
                  <wp:posOffset>666750</wp:posOffset>
                </wp:positionH>
                <wp:positionV relativeFrom="paragraph">
                  <wp:posOffset>505674</wp:posOffset>
                </wp:positionV>
                <wp:extent cx="8496300" cy="19050"/>
                <wp:effectExtent l="0" t="0" r="0" b="0"/>
                <wp:wrapNone/>
                <wp:docPr id="708" name="Graphic 7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6E1D19" id="Graphic 708" o:spid="_x0000_s1026" style="position:absolute;margin-left:52.5pt;margin-top:39.8pt;width:669pt;height:1.5pt;z-index:15824896;visibility:visible;mso-wrap-style:square;mso-wrap-distance-left:0;mso-wrap-distance-top:0;mso-wrap-distance-right:0;mso-wrap-distance-bottom:0;mso-position-horizontal:absolute;mso-position-horizontal-relative:page;mso-position-vertical:absolute;mso-position-vertical-relative:text;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" path="m8496300,l,,,19050r8496300,l8496300,xe" fillcolor="black" stroked="f">
                <v:path arrowok="t"/>
                <w10:wrap anchorx="page"/>
              </v:shape>
            </w:pict>
          </mc:Fallback>
        </mc:AlternateContent>
      </w:r>
      <w:r>
        <w:rPr>
          <w:sz w:val="18"/>
        </w:rPr>
        <w:t>U.S.C.</w:t>
      </w:r>
      <w:r>
        <w:rPr>
          <w:spacing w:val="-1"/>
          <w:sz w:val="18"/>
        </w:rPr>
        <w:t xml:space="preserve"> </w:t>
      </w:r>
      <w:r>
        <w:rPr>
          <w:sz w:val="18"/>
        </w:rPr>
        <w:t>§</w:t>
      </w:r>
      <w:r>
        <w:rPr>
          <w:spacing w:val="-2"/>
          <w:sz w:val="18"/>
        </w:rPr>
        <w:t xml:space="preserve"> </w:t>
      </w:r>
      <w:r>
        <w:rPr>
          <w:sz w:val="18"/>
        </w:rPr>
        <w:t>5504(b).</w:t>
      </w:r>
      <w:r>
        <w:rPr>
          <w:spacing w:val="-1"/>
          <w:sz w:val="18"/>
        </w:rPr>
        <w:t xml:space="preserve"> </w:t>
      </w:r>
      <w:r>
        <w:rPr>
          <w:sz w:val="18"/>
        </w:rPr>
        <w:t>To</w:t>
      </w:r>
      <w:r>
        <w:rPr>
          <w:spacing w:val="-2"/>
          <w:sz w:val="18"/>
        </w:rPr>
        <w:t xml:space="preserve"> </w:t>
      </w:r>
      <w:r>
        <w:rPr>
          <w:sz w:val="18"/>
        </w:rPr>
        <w:t>derive</w:t>
      </w:r>
      <w:r>
        <w:rPr>
          <w:spacing w:val="-2"/>
          <w:sz w:val="18"/>
        </w:rPr>
        <w:t xml:space="preserve"> </w:t>
      </w:r>
      <w:r>
        <w:rPr>
          <w:sz w:val="18"/>
        </w:rPr>
        <w:t>an</w:t>
      </w:r>
      <w:r>
        <w:rPr>
          <w:spacing w:val="-2"/>
          <w:sz w:val="18"/>
        </w:rPr>
        <w:t xml:space="preserve"> </w:t>
      </w:r>
      <w:r>
        <w:rPr>
          <w:sz w:val="18"/>
        </w:rPr>
        <w:t>hourly</w:t>
      </w:r>
      <w:r>
        <w:rPr>
          <w:spacing w:val="-1"/>
          <w:sz w:val="18"/>
        </w:rPr>
        <w:t xml:space="preserve"> </w:t>
      </w:r>
      <w:r>
        <w:rPr>
          <w:sz w:val="18"/>
        </w:rPr>
        <w:t>rate,</w:t>
      </w:r>
      <w:r>
        <w:rPr>
          <w:spacing w:val="-1"/>
          <w:sz w:val="18"/>
        </w:rPr>
        <w:t xml:space="preserve"> </w:t>
      </w:r>
      <w:r>
        <w:rPr>
          <w:sz w:val="18"/>
        </w:rPr>
        <w:t>divide</w:t>
      </w:r>
      <w:r>
        <w:rPr>
          <w:spacing w:val="-2"/>
          <w:sz w:val="18"/>
        </w:rPr>
        <w:t xml:space="preserve"> </w:t>
      </w:r>
      <w:r>
        <w:rPr>
          <w:sz w:val="18"/>
        </w:rPr>
        <w:t>the</w:t>
      </w:r>
      <w:r>
        <w:rPr>
          <w:spacing w:val="-2"/>
          <w:sz w:val="18"/>
        </w:rPr>
        <w:t xml:space="preserve"> </w:t>
      </w:r>
      <w:r>
        <w:rPr>
          <w:sz w:val="18"/>
        </w:rPr>
        <w:t>annual</w:t>
      </w:r>
      <w:r>
        <w:rPr>
          <w:spacing w:val="-1"/>
          <w:sz w:val="18"/>
        </w:rPr>
        <w:t xml:space="preserve"> </w:t>
      </w:r>
      <w:r>
        <w:rPr>
          <w:sz w:val="18"/>
        </w:rPr>
        <w:t>rate</w:t>
      </w:r>
      <w:r>
        <w:rPr>
          <w:spacing w:val="-2"/>
          <w:sz w:val="18"/>
        </w:rPr>
        <w:t xml:space="preserve"> </w:t>
      </w:r>
      <w:r>
        <w:rPr>
          <w:sz w:val="18"/>
        </w:rPr>
        <w:t>by</w:t>
      </w:r>
      <w:r>
        <w:rPr>
          <w:spacing w:val="-1"/>
          <w:sz w:val="18"/>
        </w:rPr>
        <w:t xml:space="preserve"> </w:t>
      </w:r>
      <w:r>
        <w:rPr>
          <w:sz w:val="18"/>
        </w:rPr>
        <w:t>2,087;</w:t>
      </w:r>
      <w:r>
        <w:rPr>
          <w:spacing w:val="-1"/>
          <w:sz w:val="18"/>
        </w:rPr>
        <w:t xml:space="preserve"> </w:t>
      </w:r>
      <w:r>
        <w:rPr>
          <w:sz w:val="18"/>
        </w:rPr>
        <w:t>to</w:t>
      </w:r>
      <w:r>
        <w:rPr>
          <w:spacing w:val="-2"/>
          <w:sz w:val="18"/>
        </w:rPr>
        <w:t xml:space="preserve"> </w:t>
      </w:r>
      <w:r>
        <w:rPr>
          <w:sz w:val="18"/>
        </w:rPr>
        <w:t>derive</w:t>
      </w:r>
      <w:r>
        <w:rPr>
          <w:spacing w:val="-2"/>
          <w:sz w:val="18"/>
        </w:rPr>
        <w:t xml:space="preserve"> </w:t>
      </w:r>
      <w:r>
        <w:rPr>
          <w:sz w:val="18"/>
        </w:rPr>
        <w:t>a</w:t>
      </w:r>
      <w:r>
        <w:rPr>
          <w:spacing w:val="-2"/>
          <w:sz w:val="18"/>
        </w:rPr>
        <w:t xml:space="preserve"> </w:t>
      </w:r>
      <w:r>
        <w:rPr>
          <w:sz w:val="18"/>
        </w:rPr>
        <w:t>daily</w:t>
      </w:r>
      <w:r>
        <w:rPr>
          <w:spacing w:val="-1"/>
          <w:sz w:val="18"/>
        </w:rPr>
        <w:t xml:space="preserve"> </w:t>
      </w:r>
      <w:r>
        <w:rPr>
          <w:sz w:val="18"/>
        </w:rPr>
        <w:t>rate,</w:t>
      </w:r>
      <w:r>
        <w:rPr>
          <w:spacing w:val="-1"/>
          <w:sz w:val="18"/>
        </w:rPr>
        <w:t xml:space="preserve"> </w:t>
      </w:r>
      <w:r>
        <w:rPr>
          <w:sz w:val="18"/>
        </w:rPr>
        <w:t>multiply</w:t>
      </w:r>
      <w:r>
        <w:rPr>
          <w:spacing w:val="-1"/>
          <w:sz w:val="18"/>
        </w:rPr>
        <w:t xml:space="preserve"> </w:t>
      </w:r>
      <w:r>
        <w:rPr>
          <w:sz w:val="18"/>
        </w:rPr>
        <w:t>the</w:t>
      </w:r>
      <w:r>
        <w:rPr>
          <w:spacing w:val="-2"/>
          <w:sz w:val="18"/>
        </w:rPr>
        <w:t xml:space="preserve"> </w:t>
      </w:r>
      <w:r>
        <w:rPr>
          <w:sz w:val="18"/>
        </w:rPr>
        <w:t>hourly</w:t>
      </w:r>
      <w:r>
        <w:rPr>
          <w:spacing w:val="-1"/>
          <w:sz w:val="18"/>
        </w:rPr>
        <w:t xml:space="preserve"> </w:t>
      </w:r>
      <w:r>
        <w:rPr>
          <w:sz w:val="18"/>
        </w:rPr>
        <w:t>rate</w:t>
      </w:r>
      <w:r>
        <w:rPr>
          <w:spacing w:val="-1"/>
          <w:sz w:val="18"/>
        </w:rPr>
        <w:t xml:space="preserve"> </w:t>
      </w:r>
      <w:r>
        <w:rPr>
          <w:sz w:val="18"/>
        </w:rPr>
        <w:t>by</w:t>
      </w:r>
      <w:r>
        <w:rPr>
          <w:spacing w:val="-1"/>
          <w:sz w:val="18"/>
        </w:rPr>
        <w:t xml:space="preserve"> </w:t>
      </w:r>
      <w:r>
        <w:rPr>
          <w:sz w:val="18"/>
        </w:rPr>
        <w:t>the</w:t>
      </w:r>
      <w:r>
        <w:rPr>
          <w:spacing w:val="-2"/>
          <w:sz w:val="18"/>
        </w:rPr>
        <w:t xml:space="preserve"> </w:t>
      </w:r>
      <w:r>
        <w:rPr>
          <w:sz w:val="18"/>
        </w:rPr>
        <w:t>number</w:t>
      </w:r>
      <w:r>
        <w:rPr>
          <w:spacing w:val="-1"/>
          <w:sz w:val="18"/>
        </w:rPr>
        <w:t xml:space="preserve"> </w:t>
      </w:r>
      <w:r>
        <w:rPr>
          <w:sz w:val="18"/>
        </w:rPr>
        <w:t>of</w:t>
      </w:r>
      <w:r>
        <w:rPr>
          <w:spacing w:val="-1"/>
          <w:sz w:val="18"/>
        </w:rPr>
        <w:t xml:space="preserve"> </w:t>
      </w:r>
      <w:r>
        <w:rPr>
          <w:sz w:val="18"/>
        </w:rPr>
        <w:t>daily</w:t>
      </w:r>
      <w:r>
        <w:rPr>
          <w:spacing w:val="-1"/>
          <w:sz w:val="18"/>
        </w:rPr>
        <w:t xml:space="preserve"> </w:t>
      </w:r>
      <w:r>
        <w:rPr>
          <w:sz w:val="18"/>
        </w:rPr>
        <w:t>hours</w:t>
      </w:r>
      <w:r>
        <w:rPr>
          <w:spacing w:val="-2"/>
          <w:sz w:val="18"/>
        </w:rPr>
        <w:t xml:space="preserve"> </w:t>
      </w:r>
      <w:r>
        <w:rPr>
          <w:sz w:val="18"/>
        </w:rPr>
        <w:t>of</w:t>
      </w:r>
      <w:r>
        <w:rPr>
          <w:spacing w:val="-1"/>
          <w:sz w:val="18"/>
        </w:rPr>
        <w:t xml:space="preserve"> </w:t>
      </w:r>
      <w:r>
        <w:rPr>
          <w:sz w:val="18"/>
        </w:rPr>
        <w:t>service required; to derive a weekly rate, multiply the hourly rate by 40; and to derive a biweekly rate, multiply the hourly rate by 80. 5 U.S.C. § 5504(b).</w:t>
      </w:r>
    </w:p>
    <w:p w14:paraId="0DFDBB11" w14:textId="77777777" w:rsidR="00046465" w:rsidRDefault="00046465">
      <w:pPr>
        <w:rPr>
          <w:sz w:val="18"/>
        </w:rPr>
        <w:sectPr w:rsidR="00046465">
          <w:headerReference w:type="default" r:id="rId141"/>
          <w:footerReference w:type="default" r:id="rId142"/>
          <w:pgSz w:w="15840" w:h="12240" w:orient="landscape"/>
          <w:pgMar w:top="720" w:right="1440" w:bottom="960" w:left="720" w:header="0" w:footer="766" w:gutter="0"/>
          <w:cols w:space="720"/>
        </w:sectPr>
      </w:pPr>
    </w:p>
    <w:p w14:paraId="0DFDBB12" w14:textId="77777777" w:rsidR="00046465" w:rsidRDefault="008134EB">
      <w:pPr>
        <w:pStyle w:val="BodyText"/>
        <w:spacing w:before="82"/>
        <w:ind w:left="360" w:right="373"/>
      </w:pPr>
      <w:r>
        <w:lastRenderedPageBreak/>
        <w:t>Note: The auditor generally should perform these procedures or prepare equivalent documentation only if provisions of the Pay and Allowance System for Civilian Employees, as provided primarily in 5 U.S.C. chapters 51–59, are significant, as indicated on Form 802, General</w:t>
      </w:r>
      <w:r>
        <w:rPr>
          <w:spacing w:val="-4"/>
        </w:rPr>
        <w:t xml:space="preserve"> </w:t>
      </w:r>
      <w:r>
        <w:t>Compliance</w:t>
      </w:r>
      <w:r>
        <w:rPr>
          <w:spacing w:val="-4"/>
        </w:rPr>
        <w:t xml:space="preserve"> </w:t>
      </w:r>
      <w:r>
        <w:t>Checklist.</w:t>
      </w:r>
      <w:r>
        <w:rPr>
          <w:spacing w:val="-4"/>
        </w:rPr>
        <w:t xml:space="preserve"> </w:t>
      </w:r>
      <w:r>
        <w:t>These</w:t>
      </w:r>
      <w:r>
        <w:rPr>
          <w:spacing w:val="-4"/>
        </w:rPr>
        <w:t xml:space="preserve"> </w:t>
      </w:r>
      <w:r>
        <w:t>procedures</w:t>
      </w:r>
      <w:r>
        <w:rPr>
          <w:spacing w:val="-4"/>
        </w:rPr>
        <w:t xml:space="preserve"> </w:t>
      </w:r>
      <w:r>
        <w:t>test</w:t>
      </w:r>
      <w:r>
        <w:rPr>
          <w:spacing w:val="-4"/>
        </w:rPr>
        <w:t xml:space="preserve"> </w:t>
      </w:r>
      <w:r>
        <w:t>compliance</w:t>
      </w:r>
      <w:r>
        <w:rPr>
          <w:spacing w:val="-4"/>
        </w:rPr>
        <w:t xml:space="preserve"> </w:t>
      </w:r>
      <w:r>
        <w:t>with</w:t>
      </w:r>
      <w:r>
        <w:rPr>
          <w:spacing w:val="-4"/>
        </w:rPr>
        <w:t xml:space="preserve"> </w:t>
      </w:r>
      <w:r>
        <w:t>the</w:t>
      </w:r>
      <w:r>
        <w:rPr>
          <w:spacing w:val="-4"/>
        </w:rPr>
        <w:t xml:space="preserve"> </w:t>
      </w:r>
      <w:r>
        <w:t>provisions</w:t>
      </w:r>
      <w:r>
        <w:rPr>
          <w:spacing w:val="-5"/>
        </w:rPr>
        <w:t xml:space="preserve"> </w:t>
      </w:r>
      <w:r>
        <w:t>listed</w:t>
      </w:r>
      <w:r>
        <w:rPr>
          <w:spacing w:val="-4"/>
        </w:rPr>
        <w:t xml:space="preserve"> </w:t>
      </w:r>
      <w:r>
        <w:t>on the Compliance Summary. Implementing regulations issued by the Office of Personnel Management are included in Title 5, U.S. Code of Federal Regulations.</w:t>
      </w:r>
    </w:p>
    <w:p w14:paraId="0DFDBB13" w14:textId="77777777" w:rsidR="00046465" w:rsidRDefault="00046465">
      <w:pPr>
        <w:pStyle w:val="BodyText"/>
        <w:spacing w:before="7"/>
        <w:rPr>
          <w:sz w:val="13"/>
        </w:rPr>
      </w:pPr>
    </w:p>
    <w:tbl>
      <w:tblPr>
        <w:tblW w:w="0" w:type="auto"/>
        <w:tblInd w:w="37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20"/>
        <w:gridCol w:w="1062"/>
        <w:gridCol w:w="1278"/>
      </w:tblGrid>
      <w:tr w:rsidR="00046465" w14:paraId="0DFDBB15" w14:textId="77777777">
        <w:trPr>
          <w:trHeight w:val="1335"/>
        </w:trPr>
        <w:tc>
          <w:tcPr>
            <w:tcW w:w="9360" w:type="dxa"/>
            <w:gridSpan w:val="3"/>
            <w:tcBorders>
              <w:left w:val="double" w:sz="4" w:space="0" w:color="000000"/>
              <w:bottom w:val="single" w:sz="6" w:space="0" w:color="000000"/>
              <w:right w:val="double" w:sz="4" w:space="0" w:color="000000"/>
            </w:tcBorders>
          </w:tcPr>
          <w:p w14:paraId="0DFDBB14" w14:textId="77777777" w:rsidR="00046465" w:rsidRDefault="008134EB">
            <w:pPr>
              <w:pStyle w:val="TableParagraph"/>
              <w:tabs>
                <w:tab w:val="left" w:pos="7970"/>
              </w:tabs>
              <w:spacing w:before="7" w:line="390" w:lineRule="atLeast"/>
              <w:ind w:left="135" w:right="1357" w:hanging="1"/>
              <w:jc w:val="both"/>
            </w:pPr>
            <w:r>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B1B" w14:textId="77777777">
        <w:trPr>
          <w:trHeight w:val="793"/>
        </w:trPr>
        <w:tc>
          <w:tcPr>
            <w:tcW w:w="7020" w:type="dxa"/>
            <w:tcBorders>
              <w:top w:val="single" w:sz="6" w:space="0" w:color="000000"/>
              <w:left w:val="double" w:sz="4" w:space="0" w:color="000000"/>
              <w:bottom w:val="single" w:sz="6" w:space="0" w:color="000000"/>
              <w:right w:val="single" w:sz="6" w:space="0" w:color="000000"/>
            </w:tcBorders>
          </w:tcPr>
          <w:p w14:paraId="0DFDBB16" w14:textId="77777777" w:rsidR="00046465" w:rsidRDefault="00046465">
            <w:pPr>
              <w:pStyle w:val="TableParagraph"/>
              <w:spacing w:before="143"/>
            </w:pPr>
          </w:p>
          <w:p w14:paraId="0DFDBB17" w14:textId="77777777" w:rsidR="00046465" w:rsidRDefault="008134EB">
            <w:pPr>
              <w:pStyle w:val="TableParagraph"/>
              <w:spacing w:before="1"/>
              <w:ind w:left="135"/>
              <w:rPr>
                <w:b/>
              </w:rPr>
            </w:pPr>
            <w:r>
              <w:rPr>
                <w:b/>
              </w:rPr>
              <w:t>Audit</w:t>
            </w:r>
            <w:r>
              <w:rPr>
                <w:b/>
                <w:spacing w:val="-7"/>
              </w:rPr>
              <w:t xml:space="preserve"> </w:t>
            </w:r>
            <w:r>
              <w:rPr>
                <w:b/>
                <w:spacing w:val="-2"/>
              </w:rPr>
              <w:t>procedures</w:t>
            </w:r>
          </w:p>
        </w:tc>
        <w:tc>
          <w:tcPr>
            <w:tcW w:w="1062" w:type="dxa"/>
            <w:tcBorders>
              <w:top w:val="single" w:sz="6" w:space="0" w:color="000000"/>
              <w:left w:val="single" w:sz="6" w:space="0" w:color="000000"/>
              <w:bottom w:val="single" w:sz="6" w:space="0" w:color="000000"/>
              <w:right w:val="single" w:sz="6" w:space="0" w:color="000000"/>
            </w:tcBorders>
          </w:tcPr>
          <w:p w14:paraId="0DFDBB18" w14:textId="77777777" w:rsidR="00046465" w:rsidRDefault="008134EB">
            <w:pPr>
              <w:pStyle w:val="TableParagraph"/>
              <w:spacing w:before="143"/>
              <w:ind w:left="142"/>
              <w:rPr>
                <w:b/>
              </w:rPr>
            </w:pPr>
            <w:r>
              <w:rPr>
                <w:b/>
                <w:spacing w:val="-2"/>
              </w:rPr>
              <w:t xml:space="preserve">Initials/ </w:t>
            </w:r>
            <w:r>
              <w:rPr>
                <w:b/>
                <w:spacing w:val="-4"/>
              </w:rPr>
              <w:t>date</w:t>
            </w:r>
          </w:p>
        </w:tc>
        <w:tc>
          <w:tcPr>
            <w:tcW w:w="1278" w:type="dxa"/>
            <w:tcBorders>
              <w:top w:val="single" w:sz="6" w:space="0" w:color="000000"/>
              <w:left w:val="single" w:sz="6" w:space="0" w:color="000000"/>
              <w:bottom w:val="single" w:sz="6" w:space="0" w:color="000000"/>
              <w:right w:val="double" w:sz="4" w:space="0" w:color="000000"/>
            </w:tcBorders>
          </w:tcPr>
          <w:p w14:paraId="0DFDBB19" w14:textId="77777777" w:rsidR="00046465" w:rsidRDefault="00046465">
            <w:pPr>
              <w:pStyle w:val="TableParagraph"/>
              <w:spacing w:before="143"/>
            </w:pPr>
          </w:p>
          <w:p w14:paraId="0DFDBB1A" w14:textId="77777777" w:rsidR="00046465" w:rsidRDefault="008134EB">
            <w:pPr>
              <w:pStyle w:val="TableParagraph"/>
              <w:spacing w:before="1"/>
              <w:ind w:left="142"/>
              <w:rPr>
                <w:b/>
              </w:rPr>
            </w:pPr>
            <w:r>
              <w:rPr>
                <w:b/>
              </w:rPr>
              <w:t>Doc.</w:t>
            </w:r>
            <w:r>
              <w:rPr>
                <w:b/>
                <w:spacing w:val="-6"/>
              </w:rPr>
              <w:t xml:space="preserve"> </w:t>
            </w:r>
            <w:r>
              <w:rPr>
                <w:b/>
                <w:spacing w:val="-4"/>
              </w:rPr>
              <w:t>ref.</w:t>
            </w:r>
          </w:p>
        </w:tc>
      </w:tr>
      <w:tr w:rsidR="00046465" w14:paraId="0DFDBB1D" w14:textId="77777777">
        <w:trPr>
          <w:trHeight w:val="748"/>
        </w:trPr>
        <w:tc>
          <w:tcPr>
            <w:tcW w:w="9360" w:type="dxa"/>
            <w:gridSpan w:val="3"/>
            <w:tcBorders>
              <w:top w:val="single" w:sz="6" w:space="0" w:color="000000"/>
              <w:left w:val="double" w:sz="4" w:space="0" w:color="000000"/>
              <w:bottom w:val="single" w:sz="8" w:space="0" w:color="000000"/>
              <w:right w:val="double" w:sz="4" w:space="0" w:color="000000"/>
            </w:tcBorders>
          </w:tcPr>
          <w:p w14:paraId="0DFDBB1C" w14:textId="77777777" w:rsidR="00046465" w:rsidRDefault="008134EB">
            <w:pPr>
              <w:pStyle w:val="TableParagraph"/>
              <w:spacing w:before="144"/>
              <w:ind w:left="134" w:right="186"/>
              <w:rPr>
                <w:sz w:val="20"/>
              </w:rPr>
            </w:pPr>
            <w:r>
              <w:rPr>
                <w:sz w:val="20"/>
              </w:rPr>
              <w:t>Note:</w:t>
            </w:r>
            <w:r>
              <w:rPr>
                <w:spacing w:val="-4"/>
                <w:sz w:val="20"/>
              </w:rPr>
              <w:t xml:space="preserve"> </w:t>
            </w:r>
            <w:r>
              <w:rPr>
                <w:sz w:val="20"/>
              </w:rPr>
              <w:t>These</w:t>
            </w:r>
            <w:r>
              <w:rPr>
                <w:spacing w:val="-3"/>
                <w:sz w:val="20"/>
              </w:rPr>
              <w:t xml:space="preserve"> </w:t>
            </w:r>
            <w:r>
              <w:rPr>
                <w:sz w:val="20"/>
              </w:rPr>
              <w:t>tests</w:t>
            </w:r>
            <w:r>
              <w:rPr>
                <w:spacing w:val="-2"/>
                <w:sz w:val="20"/>
              </w:rPr>
              <w:t xml:space="preserve"> </w:t>
            </w:r>
            <w:r>
              <w:rPr>
                <w:sz w:val="20"/>
              </w:rPr>
              <w:t>are</w:t>
            </w:r>
            <w:r>
              <w:rPr>
                <w:spacing w:val="-4"/>
                <w:sz w:val="20"/>
              </w:rPr>
              <w:t xml:space="preserve"> </w:t>
            </w:r>
            <w:r>
              <w:rPr>
                <w:sz w:val="20"/>
              </w:rPr>
              <w:t>closely</w:t>
            </w:r>
            <w:r>
              <w:rPr>
                <w:spacing w:val="-2"/>
                <w:sz w:val="20"/>
              </w:rPr>
              <w:t xml:space="preserve"> </w:t>
            </w:r>
            <w:r>
              <w:rPr>
                <w:sz w:val="20"/>
              </w:rPr>
              <w:t>related</w:t>
            </w:r>
            <w:r>
              <w:rPr>
                <w:spacing w:val="-3"/>
                <w:sz w:val="20"/>
              </w:rPr>
              <w:t xml:space="preserve"> </w:t>
            </w:r>
            <w:r>
              <w:rPr>
                <w:sz w:val="20"/>
              </w:rPr>
              <w:t>to</w:t>
            </w:r>
            <w:r>
              <w:rPr>
                <w:spacing w:val="-3"/>
                <w:sz w:val="20"/>
              </w:rPr>
              <w:t xml:space="preserve"> </w:t>
            </w:r>
            <w:r>
              <w:rPr>
                <w:sz w:val="20"/>
              </w:rPr>
              <w:t>procedures</w:t>
            </w:r>
            <w:r>
              <w:rPr>
                <w:spacing w:val="-2"/>
                <w:sz w:val="20"/>
              </w:rPr>
              <w:t xml:space="preserve"> </w:t>
            </w:r>
            <w:r>
              <w:rPr>
                <w:sz w:val="20"/>
              </w:rPr>
              <w:t>performed</w:t>
            </w:r>
            <w:r>
              <w:rPr>
                <w:spacing w:val="-3"/>
                <w:sz w:val="20"/>
              </w:rPr>
              <w:t xml:space="preserve"> </w:t>
            </w:r>
            <w:r>
              <w:rPr>
                <w:sz w:val="20"/>
              </w:rPr>
              <w:t>for</w:t>
            </w:r>
            <w:r>
              <w:rPr>
                <w:spacing w:val="-4"/>
                <w:sz w:val="20"/>
              </w:rPr>
              <w:t xml:space="preserve"> </w:t>
            </w:r>
            <w:r>
              <w:rPr>
                <w:sz w:val="20"/>
              </w:rPr>
              <w:t>substantive</w:t>
            </w:r>
            <w:r>
              <w:rPr>
                <w:spacing w:val="-3"/>
                <w:sz w:val="20"/>
              </w:rPr>
              <w:t xml:space="preserve"> </w:t>
            </w:r>
            <w:r>
              <w:rPr>
                <w:sz w:val="20"/>
              </w:rPr>
              <w:t>tests</w:t>
            </w:r>
            <w:r>
              <w:rPr>
                <w:spacing w:val="-2"/>
                <w:sz w:val="20"/>
              </w:rPr>
              <w:t xml:space="preserve"> </w:t>
            </w:r>
            <w:r>
              <w:rPr>
                <w:sz w:val="20"/>
              </w:rPr>
              <w:t>of</w:t>
            </w:r>
            <w:r>
              <w:rPr>
                <w:spacing w:val="-3"/>
                <w:sz w:val="20"/>
              </w:rPr>
              <w:t xml:space="preserve"> </w:t>
            </w:r>
            <w:r>
              <w:rPr>
                <w:sz w:val="20"/>
              </w:rPr>
              <w:t>payroll</w:t>
            </w:r>
            <w:r>
              <w:rPr>
                <w:spacing w:val="-3"/>
                <w:sz w:val="20"/>
              </w:rPr>
              <w:t xml:space="preserve"> </w:t>
            </w:r>
            <w:r>
              <w:rPr>
                <w:sz w:val="20"/>
              </w:rPr>
              <w:t>expense details, and multipurpose testing in this situation is strongly encouraged.</w:t>
            </w:r>
          </w:p>
        </w:tc>
      </w:tr>
      <w:tr w:rsidR="00046465" w14:paraId="0DFDBB23" w14:textId="77777777">
        <w:trPr>
          <w:trHeight w:val="3104"/>
        </w:trPr>
        <w:tc>
          <w:tcPr>
            <w:tcW w:w="7020" w:type="dxa"/>
            <w:tcBorders>
              <w:top w:val="single" w:sz="8" w:space="0" w:color="000000"/>
              <w:left w:val="double" w:sz="4" w:space="0" w:color="000000"/>
              <w:bottom w:val="single" w:sz="4" w:space="0" w:color="000000"/>
              <w:right w:val="single" w:sz="4" w:space="0" w:color="000000"/>
            </w:tcBorders>
          </w:tcPr>
          <w:p w14:paraId="0DFDBB1E" w14:textId="77777777" w:rsidR="00046465" w:rsidRDefault="008134EB">
            <w:pPr>
              <w:pStyle w:val="TableParagraph"/>
              <w:tabs>
                <w:tab w:val="left" w:pos="710"/>
              </w:tabs>
              <w:spacing w:before="143"/>
              <w:ind w:left="711" w:right="343" w:hanging="577"/>
            </w:pPr>
            <w:r>
              <w:rPr>
                <w:spacing w:val="-6"/>
              </w:rPr>
              <w:t>1)</w:t>
            </w:r>
            <w:r>
              <w:tab/>
              <w:t>Based on the preliminary assessment of compliance control effectiveness (as documented on Form 807, Compliance Summary),</w:t>
            </w:r>
            <w:r>
              <w:rPr>
                <w:spacing w:val="-5"/>
              </w:rPr>
              <w:t xml:space="preserve"> </w:t>
            </w:r>
            <w:r>
              <w:t>select</w:t>
            </w:r>
            <w:r>
              <w:rPr>
                <w:spacing w:val="-5"/>
              </w:rPr>
              <w:t xml:space="preserve"> </w:t>
            </w:r>
            <w:r>
              <w:t>a</w:t>
            </w:r>
            <w:r>
              <w:rPr>
                <w:spacing w:val="-6"/>
              </w:rPr>
              <w:t xml:space="preserve"> </w:t>
            </w:r>
            <w:r>
              <w:t>statistical</w:t>
            </w:r>
            <w:r>
              <w:rPr>
                <w:spacing w:val="-6"/>
              </w:rPr>
              <w:t xml:space="preserve"> </w:t>
            </w:r>
            <w:r>
              <w:t>sample</w:t>
            </w:r>
            <w:r>
              <w:rPr>
                <w:spacing w:val="-5"/>
              </w:rPr>
              <w:t xml:space="preserve"> </w:t>
            </w:r>
            <w:r>
              <w:t>of</w:t>
            </w:r>
            <w:r>
              <w:rPr>
                <w:spacing w:val="-5"/>
              </w:rPr>
              <w:t xml:space="preserve"> </w:t>
            </w:r>
            <w:r>
              <w:t>payroll</w:t>
            </w:r>
            <w:r>
              <w:rPr>
                <w:spacing w:val="-5"/>
              </w:rPr>
              <w:t xml:space="preserve"> </w:t>
            </w:r>
            <w:r>
              <w:t>records</w:t>
            </w:r>
            <w:r>
              <w:rPr>
                <w:spacing w:val="-5"/>
              </w:rPr>
              <w:t xml:space="preserve"> </w:t>
            </w:r>
            <w:r>
              <w:t>(e.g., each employee’s pay per pay period) throughout the audit period. The sample size will vary based on the expected effectiveness of compliance controls, as discussed in FAM</w:t>
            </w:r>
          </w:p>
          <w:p w14:paraId="0DFDBB1F" w14:textId="77777777" w:rsidR="00046465" w:rsidRDefault="008134EB">
            <w:pPr>
              <w:pStyle w:val="TableParagraph"/>
              <w:spacing w:before="1"/>
              <w:ind w:left="711"/>
              <w:rPr>
                <w:position w:val="7"/>
                <w:sz w:val="14"/>
              </w:rPr>
            </w:pPr>
            <w:r>
              <w:t>460.02.</w:t>
            </w:r>
            <w:r>
              <w:rPr>
                <w:spacing w:val="-7"/>
              </w:rPr>
              <w:t xml:space="preserve"> </w:t>
            </w:r>
            <w:r>
              <w:t>Document</w:t>
            </w:r>
            <w:r>
              <w:rPr>
                <w:spacing w:val="-7"/>
              </w:rPr>
              <w:t xml:space="preserve"> </w:t>
            </w:r>
            <w:r>
              <w:t>the</w:t>
            </w:r>
            <w:r>
              <w:rPr>
                <w:spacing w:val="-7"/>
              </w:rPr>
              <w:t xml:space="preserve"> </w:t>
            </w:r>
            <w:r>
              <w:t>sampling</w:t>
            </w:r>
            <w:r>
              <w:rPr>
                <w:spacing w:val="-7"/>
              </w:rPr>
              <w:t xml:space="preserve"> </w:t>
            </w:r>
            <w:r>
              <w:t>approach</w:t>
            </w:r>
            <w:r>
              <w:rPr>
                <w:spacing w:val="-7"/>
              </w:rPr>
              <w:t xml:space="preserve"> </w:t>
            </w:r>
            <w:r>
              <w:t>(see</w:t>
            </w:r>
            <w:r>
              <w:rPr>
                <w:spacing w:val="-7"/>
              </w:rPr>
              <w:t xml:space="preserve"> </w:t>
            </w:r>
            <w:r>
              <w:t>example documentation in FAM 495 D</w:t>
            </w:r>
            <w:r>
              <w:rPr>
                <w:i/>
              </w:rPr>
              <w:t>).</w:t>
            </w:r>
            <w:hyperlink w:anchor="_bookmark118" w:history="1">
              <w:r>
                <w:rPr>
                  <w:position w:val="7"/>
                  <w:sz w:val="14"/>
                </w:rPr>
                <w:t>51</w:t>
              </w:r>
            </w:hyperlink>
          </w:p>
          <w:p w14:paraId="0DFDBB20" w14:textId="77777777" w:rsidR="00046465" w:rsidRDefault="008134EB">
            <w:pPr>
              <w:pStyle w:val="TableParagraph"/>
              <w:tabs>
                <w:tab w:val="left" w:pos="6135"/>
              </w:tabs>
              <w:spacing w:before="7" w:line="390" w:lineRule="atLeast"/>
              <w:ind w:left="709" w:right="861"/>
            </w:pPr>
            <w:r>
              <w:t xml:space="preserve">Sample size </w:t>
            </w:r>
            <w:r>
              <w:rPr>
                <w:u w:val="single"/>
              </w:rPr>
              <w:tab/>
            </w:r>
            <w:r>
              <w:t xml:space="preserve"> Sample</w:t>
            </w:r>
            <w:r>
              <w:rPr>
                <w:spacing w:val="-10"/>
              </w:rPr>
              <w:t xml:space="preserve"> </w:t>
            </w:r>
            <w:r>
              <w:t>selection</w:t>
            </w:r>
            <w:r>
              <w:rPr>
                <w:spacing w:val="-9"/>
              </w:rPr>
              <w:t xml:space="preserve"> </w:t>
            </w:r>
            <w:r>
              <w:rPr>
                <w:spacing w:val="-2"/>
              </w:rPr>
              <w:t>method</w:t>
            </w:r>
            <w:r>
              <w:rPr>
                <w:u w:val="single"/>
              </w:rPr>
              <w:tab/>
            </w:r>
          </w:p>
        </w:tc>
        <w:tc>
          <w:tcPr>
            <w:tcW w:w="1062" w:type="dxa"/>
            <w:tcBorders>
              <w:top w:val="single" w:sz="8" w:space="0" w:color="000000"/>
              <w:left w:val="single" w:sz="4" w:space="0" w:color="000000"/>
              <w:bottom w:val="single" w:sz="4" w:space="0" w:color="000000"/>
              <w:right w:val="single" w:sz="4" w:space="0" w:color="000000"/>
            </w:tcBorders>
          </w:tcPr>
          <w:p w14:paraId="0DFDBB21" w14:textId="77777777" w:rsidR="00046465" w:rsidRDefault="00046465">
            <w:pPr>
              <w:pStyle w:val="TableParagraph"/>
              <w:rPr>
                <w:rFonts w:ascii="Times New Roman"/>
                <w:sz w:val="20"/>
              </w:rPr>
            </w:pPr>
          </w:p>
        </w:tc>
        <w:tc>
          <w:tcPr>
            <w:tcW w:w="1278" w:type="dxa"/>
            <w:tcBorders>
              <w:top w:val="single" w:sz="8" w:space="0" w:color="000000"/>
              <w:left w:val="single" w:sz="4" w:space="0" w:color="000000"/>
              <w:bottom w:val="single" w:sz="4" w:space="0" w:color="000000"/>
              <w:right w:val="double" w:sz="4" w:space="0" w:color="000000"/>
            </w:tcBorders>
          </w:tcPr>
          <w:p w14:paraId="0DFDBB22" w14:textId="77777777" w:rsidR="00046465" w:rsidRDefault="00046465">
            <w:pPr>
              <w:pStyle w:val="TableParagraph"/>
              <w:rPr>
                <w:rFonts w:ascii="Times New Roman"/>
                <w:sz w:val="20"/>
              </w:rPr>
            </w:pPr>
          </w:p>
        </w:tc>
      </w:tr>
      <w:tr w:rsidR="00046465" w14:paraId="0DFDBB2C" w14:textId="77777777">
        <w:trPr>
          <w:trHeight w:val="2601"/>
        </w:trPr>
        <w:tc>
          <w:tcPr>
            <w:tcW w:w="7020" w:type="dxa"/>
            <w:tcBorders>
              <w:top w:val="single" w:sz="4" w:space="0" w:color="000000"/>
              <w:left w:val="double" w:sz="4" w:space="0" w:color="000000"/>
              <w:bottom w:val="single" w:sz="8" w:space="0" w:color="000000"/>
              <w:right w:val="single" w:sz="8" w:space="0" w:color="000000"/>
            </w:tcBorders>
          </w:tcPr>
          <w:p w14:paraId="0DFDBB24" w14:textId="77777777" w:rsidR="00046465" w:rsidRDefault="008134EB">
            <w:pPr>
              <w:pStyle w:val="TableParagraph"/>
              <w:numPr>
                <w:ilvl w:val="0"/>
                <w:numId w:val="161"/>
              </w:numPr>
              <w:tabs>
                <w:tab w:val="left" w:pos="710"/>
              </w:tabs>
              <w:spacing w:before="145"/>
              <w:ind w:left="710" w:hanging="575"/>
            </w:pPr>
            <w:r>
              <w:t>For</w:t>
            </w:r>
            <w:r>
              <w:rPr>
                <w:spacing w:val="-5"/>
              </w:rPr>
              <w:t xml:space="preserve"> </w:t>
            </w:r>
            <w:r>
              <w:t>each</w:t>
            </w:r>
            <w:r>
              <w:rPr>
                <w:spacing w:val="-5"/>
              </w:rPr>
              <w:t xml:space="preserve"> </w:t>
            </w:r>
            <w:r>
              <w:t>item</w:t>
            </w:r>
            <w:r>
              <w:rPr>
                <w:spacing w:val="-6"/>
              </w:rPr>
              <w:t xml:space="preserve"> </w:t>
            </w:r>
            <w:r>
              <w:t>selected</w:t>
            </w:r>
            <w:r>
              <w:rPr>
                <w:spacing w:val="-5"/>
              </w:rPr>
              <w:t xml:space="preserve"> </w:t>
            </w:r>
            <w:r>
              <w:t>in</w:t>
            </w:r>
            <w:r>
              <w:rPr>
                <w:spacing w:val="-4"/>
              </w:rPr>
              <w:t xml:space="preserve"> </w:t>
            </w:r>
            <w:r>
              <w:t>1,</w:t>
            </w:r>
            <w:r>
              <w:rPr>
                <w:spacing w:val="-5"/>
              </w:rPr>
              <w:t xml:space="preserve"> </w:t>
            </w:r>
            <w:r>
              <w:t>note</w:t>
            </w:r>
            <w:r>
              <w:rPr>
                <w:spacing w:val="-5"/>
              </w:rPr>
              <w:t xml:space="preserve"> </w:t>
            </w:r>
            <w:r>
              <w:t>the</w:t>
            </w:r>
            <w:r>
              <w:rPr>
                <w:spacing w:val="-6"/>
              </w:rPr>
              <w:t xml:space="preserve"> </w:t>
            </w:r>
            <w:r>
              <w:t>following</w:t>
            </w:r>
            <w:r>
              <w:rPr>
                <w:spacing w:val="-4"/>
              </w:rPr>
              <w:t xml:space="preserve"> </w:t>
            </w:r>
            <w:r>
              <w:rPr>
                <w:spacing w:val="-2"/>
              </w:rPr>
              <w:t>information:</w:t>
            </w:r>
          </w:p>
          <w:p w14:paraId="0DFDBB25" w14:textId="77777777" w:rsidR="00046465" w:rsidRDefault="008134EB">
            <w:pPr>
              <w:pStyle w:val="TableParagraph"/>
              <w:numPr>
                <w:ilvl w:val="1"/>
                <w:numId w:val="161"/>
              </w:numPr>
              <w:tabs>
                <w:tab w:val="left" w:pos="1069"/>
              </w:tabs>
              <w:spacing w:before="143"/>
            </w:pPr>
            <w:r>
              <w:t>employee</w:t>
            </w:r>
            <w:r>
              <w:rPr>
                <w:spacing w:val="-11"/>
              </w:rPr>
              <w:t xml:space="preserve"> </w:t>
            </w:r>
            <w:r>
              <w:rPr>
                <w:spacing w:val="-2"/>
              </w:rPr>
              <w:t>name;</w:t>
            </w:r>
          </w:p>
          <w:p w14:paraId="0DFDBB26" w14:textId="77777777" w:rsidR="00046465" w:rsidRDefault="008134EB">
            <w:pPr>
              <w:pStyle w:val="TableParagraph"/>
              <w:numPr>
                <w:ilvl w:val="1"/>
                <w:numId w:val="161"/>
              </w:numPr>
              <w:tabs>
                <w:tab w:val="left" w:pos="1069"/>
              </w:tabs>
              <w:spacing w:before="142"/>
            </w:pPr>
            <w:r>
              <w:t>pay</w:t>
            </w:r>
            <w:r>
              <w:rPr>
                <w:spacing w:val="-7"/>
              </w:rPr>
              <w:t xml:space="preserve"> </w:t>
            </w:r>
            <w:r>
              <w:t>period</w:t>
            </w:r>
            <w:r>
              <w:rPr>
                <w:spacing w:val="-6"/>
              </w:rPr>
              <w:t xml:space="preserve"> </w:t>
            </w:r>
            <w:r>
              <w:t>(number</w:t>
            </w:r>
            <w:r>
              <w:rPr>
                <w:spacing w:val="-6"/>
              </w:rPr>
              <w:t xml:space="preserve"> </w:t>
            </w:r>
            <w:r>
              <w:t>and</w:t>
            </w:r>
            <w:r>
              <w:rPr>
                <w:spacing w:val="-6"/>
              </w:rPr>
              <w:t xml:space="preserve"> </w:t>
            </w:r>
            <w:r>
              <w:rPr>
                <w:spacing w:val="-2"/>
              </w:rPr>
              <w:t>dates);</w:t>
            </w:r>
          </w:p>
          <w:p w14:paraId="0DFDBB27" w14:textId="77777777" w:rsidR="00046465" w:rsidRDefault="008134EB">
            <w:pPr>
              <w:pStyle w:val="TableParagraph"/>
              <w:numPr>
                <w:ilvl w:val="1"/>
                <w:numId w:val="161"/>
              </w:numPr>
              <w:tabs>
                <w:tab w:val="left" w:pos="1069"/>
              </w:tabs>
              <w:spacing w:before="142"/>
            </w:pPr>
            <w:r>
              <w:t>amount</w:t>
            </w:r>
            <w:r>
              <w:rPr>
                <w:spacing w:val="-5"/>
              </w:rPr>
              <w:t xml:space="preserve"> </w:t>
            </w:r>
            <w:r>
              <w:t>of</w:t>
            </w:r>
            <w:r>
              <w:rPr>
                <w:spacing w:val="-4"/>
              </w:rPr>
              <w:t xml:space="preserve"> </w:t>
            </w:r>
            <w:r>
              <w:t>gross</w:t>
            </w:r>
            <w:r>
              <w:rPr>
                <w:spacing w:val="-4"/>
              </w:rPr>
              <w:t xml:space="preserve"> </w:t>
            </w:r>
            <w:r>
              <w:t>pay</w:t>
            </w:r>
            <w:r>
              <w:rPr>
                <w:spacing w:val="-4"/>
              </w:rPr>
              <w:t xml:space="preserve"> </w:t>
            </w:r>
            <w:r>
              <w:t>for</w:t>
            </w:r>
            <w:r>
              <w:rPr>
                <w:spacing w:val="-6"/>
              </w:rPr>
              <w:t xml:space="preserve"> </w:t>
            </w:r>
            <w:r>
              <w:t>the</w:t>
            </w:r>
            <w:r>
              <w:rPr>
                <w:spacing w:val="-4"/>
              </w:rPr>
              <w:t xml:space="preserve"> </w:t>
            </w:r>
            <w:r>
              <w:rPr>
                <w:spacing w:val="-2"/>
              </w:rPr>
              <w:t>period;</w:t>
            </w:r>
          </w:p>
          <w:p w14:paraId="0DFDBB28" w14:textId="77777777" w:rsidR="00046465" w:rsidRDefault="008134EB">
            <w:pPr>
              <w:pStyle w:val="TableParagraph"/>
              <w:numPr>
                <w:ilvl w:val="1"/>
                <w:numId w:val="161"/>
              </w:numPr>
              <w:tabs>
                <w:tab w:val="left" w:pos="1069"/>
              </w:tabs>
              <w:spacing w:before="143"/>
            </w:pPr>
            <w:r>
              <w:t>pay</w:t>
            </w:r>
            <w:r>
              <w:rPr>
                <w:spacing w:val="-4"/>
              </w:rPr>
              <w:t xml:space="preserve"> </w:t>
            </w:r>
            <w:r>
              <w:rPr>
                <w:spacing w:val="-2"/>
              </w:rPr>
              <w:t>rate;</w:t>
            </w:r>
          </w:p>
          <w:p w14:paraId="0DFDBB29" w14:textId="77777777" w:rsidR="00046465" w:rsidRDefault="008134EB">
            <w:pPr>
              <w:pStyle w:val="TableParagraph"/>
              <w:numPr>
                <w:ilvl w:val="1"/>
                <w:numId w:val="161"/>
              </w:numPr>
              <w:tabs>
                <w:tab w:val="left" w:pos="1069"/>
              </w:tabs>
              <w:spacing w:before="142"/>
            </w:pPr>
            <w:r>
              <w:t>total</w:t>
            </w:r>
            <w:r>
              <w:rPr>
                <w:spacing w:val="-7"/>
              </w:rPr>
              <w:t xml:space="preserve"> </w:t>
            </w:r>
            <w:r>
              <w:t>hours</w:t>
            </w:r>
            <w:r>
              <w:rPr>
                <w:spacing w:val="-7"/>
              </w:rPr>
              <w:t xml:space="preserve"> </w:t>
            </w:r>
            <w:r>
              <w:t>worked;</w:t>
            </w:r>
            <w:r>
              <w:rPr>
                <w:spacing w:val="-6"/>
              </w:rPr>
              <w:t xml:space="preserve"> </w:t>
            </w:r>
            <w:r>
              <w:rPr>
                <w:spacing w:val="-5"/>
              </w:rPr>
              <w:t>and</w:t>
            </w:r>
          </w:p>
        </w:tc>
        <w:tc>
          <w:tcPr>
            <w:tcW w:w="1062" w:type="dxa"/>
            <w:tcBorders>
              <w:top w:val="single" w:sz="4" w:space="0" w:color="000000"/>
              <w:left w:val="single" w:sz="8" w:space="0" w:color="000000"/>
              <w:bottom w:val="single" w:sz="8" w:space="0" w:color="000000"/>
              <w:right w:val="single" w:sz="8" w:space="0" w:color="000000"/>
            </w:tcBorders>
          </w:tcPr>
          <w:p w14:paraId="0DFDBB2A" w14:textId="77777777" w:rsidR="00046465" w:rsidRDefault="00046465">
            <w:pPr>
              <w:pStyle w:val="TableParagraph"/>
              <w:rPr>
                <w:rFonts w:ascii="Times New Roman"/>
                <w:sz w:val="20"/>
              </w:rPr>
            </w:pPr>
          </w:p>
        </w:tc>
        <w:tc>
          <w:tcPr>
            <w:tcW w:w="1278" w:type="dxa"/>
            <w:tcBorders>
              <w:top w:val="single" w:sz="4" w:space="0" w:color="000000"/>
              <w:left w:val="single" w:sz="8" w:space="0" w:color="000000"/>
              <w:bottom w:val="single" w:sz="8" w:space="0" w:color="000000"/>
              <w:right w:val="double" w:sz="4" w:space="0" w:color="000000"/>
            </w:tcBorders>
          </w:tcPr>
          <w:p w14:paraId="0DFDBB2B" w14:textId="77777777" w:rsidR="00046465" w:rsidRDefault="00046465">
            <w:pPr>
              <w:pStyle w:val="TableParagraph"/>
              <w:rPr>
                <w:rFonts w:ascii="Times New Roman"/>
                <w:sz w:val="20"/>
              </w:rPr>
            </w:pPr>
          </w:p>
        </w:tc>
      </w:tr>
    </w:tbl>
    <w:p w14:paraId="0DFDBB2D" w14:textId="77777777" w:rsidR="00046465" w:rsidRDefault="008134EB">
      <w:pPr>
        <w:pStyle w:val="BodyText"/>
        <w:spacing w:before="74"/>
        <w:rPr>
          <w:sz w:val="20"/>
        </w:rPr>
      </w:pPr>
      <w:r>
        <w:rPr>
          <w:noProof/>
          <w:sz w:val="20"/>
        </w:rPr>
        <mc:AlternateContent>
          <mc:Choice Requires="wps">
            <w:drawing>
              <wp:anchor distT="0" distB="0" distL="0" distR="0" simplePos="0" relativeHeight="487686656" behindDoc="1" locked="0" layoutInCell="1" allowOverlap="1" wp14:anchorId="0DFDD695" wp14:editId="0DFDD696">
                <wp:simplePos x="0" y="0"/>
                <wp:positionH relativeFrom="page">
                  <wp:posOffset>914400</wp:posOffset>
                </wp:positionH>
                <wp:positionV relativeFrom="paragraph">
                  <wp:posOffset>208788</wp:posOffset>
                </wp:positionV>
                <wp:extent cx="1828800" cy="6985"/>
                <wp:effectExtent l="0" t="0" r="0" b="0"/>
                <wp:wrapTopAndBottom/>
                <wp:docPr id="716" name="Graphic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1EF819" id="Graphic 716" o:spid="_x0000_s1026" style="position:absolute;margin-left:1in;margin-top:16.45pt;width:2in;height:.55pt;z-index:-1562982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" path="m1828800,l,,,6858r1828800,l1828800,xe" fillcolor="black" stroked="f">
                <v:path arrowok="t"/>
                <w10:wrap type="topAndBottom" anchorx="page"/>
              </v:shape>
            </w:pict>
          </mc:Fallback>
        </mc:AlternateContent>
      </w:r>
    </w:p>
    <w:p w14:paraId="0DFDBB2E" w14:textId="77777777" w:rsidR="00046465" w:rsidRDefault="008134EB">
      <w:pPr>
        <w:spacing w:before="217" w:line="242" w:lineRule="auto"/>
        <w:ind w:left="359" w:right="280"/>
        <w:rPr>
          <w:sz w:val="18"/>
        </w:rPr>
      </w:pPr>
      <w:bookmarkStart w:id="226" w:name="_bookmark118"/>
      <w:bookmarkEnd w:id="226"/>
      <w:r>
        <w:rPr>
          <w:position w:val="7"/>
          <w:sz w:val="14"/>
        </w:rPr>
        <w:t>51</w:t>
      </w:r>
      <w:r>
        <w:rPr>
          <w:sz w:val="18"/>
        </w:rPr>
        <w:t>If the auditor uses multipurpose testing for the compliance test, compliance control test, or both and a substantive test of payroll expense details, then the auditor should select the sample items for the compliance test, compliance control</w:t>
      </w:r>
      <w:r>
        <w:rPr>
          <w:spacing w:val="-2"/>
          <w:sz w:val="18"/>
        </w:rPr>
        <w:t xml:space="preserve"> </w:t>
      </w:r>
      <w:r>
        <w:rPr>
          <w:sz w:val="18"/>
        </w:rPr>
        <w:t>test,</w:t>
      </w:r>
      <w:r>
        <w:rPr>
          <w:spacing w:val="-2"/>
          <w:sz w:val="18"/>
        </w:rPr>
        <w:t xml:space="preserve"> </w:t>
      </w:r>
      <w:r>
        <w:rPr>
          <w:sz w:val="18"/>
        </w:rPr>
        <w:t>or</w:t>
      </w:r>
      <w:r>
        <w:rPr>
          <w:spacing w:val="-2"/>
          <w:sz w:val="18"/>
        </w:rPr>
        <w:t xml:space="preserve"> </w:t>
      </w:r>
      <w:r>
        <w:rPr>
          <w:sz w:val="18"/>
        </w:rPr>
        <w:t>both</w:t>
      </w:r>
      <w:r>
        <w:rPr>
          <w:spacing w:val="-3"/>
          <w:sz w:val="18"/>
        </w:rPr>
        <w:t xml:space="preserve"> </w:t>
      </w:r>
      <w:r>
        <w:rPr>
          <w:sz w:val="18"/>
        </w:rPr>
        <w:t>using</w:t>
      </w:r>
      <w:r>
        <w:rPr>
          <w:spacing w:val="-3"/>
          <w:sz w:val="18"/>
        </w:rPr>
        <w:t xml:space="preserve"> </w:t>
      </w:r>
      <w:r>
        <w:rPr>
          <w:sz w:val="18"/>
        </w:rPr>
        <w:t>the</w:t>
      </w:r>
      <w:r>
        <w:rPr>
          <w:spacing w:val="-1"/>
          <w:sz w:val="18"/>
        </w:rPr>
        <w:t xml:space="preserve"> </w:t>
      </w:r>
      <w:r>
        <w:rPr>
          <w:sz w:val="18"/>
        </w:rPr>
        <w:t>sampling</w:t>
      </w:r>
      <w:r>
        <w:rPr>
          <w:spacing w:val="-3"/>
          <w:sz w:val="18"/>
        </w:rPr>
        <w:t xml:space="preserve"> </w:t>
      </w:r>
      <w:r>
        <w:rPr>
          <w:sz w:val="18"/>
        </w:rPr>
        <w:t>method</w:t>
      </w:r>
      <w:r>
        <w:rPr>
          <w:spacing w:val="-3"/>
          <w:sz w:val="18"/>
        </w:rPr>
        <w:t xml:space="preserve"> </w:t>
      </w:r>
      <w:r>
        <w:rPr>
          <w:sz w:val="18"/>
        </w:rPr>
        <w:t>used</w:t>
      </w:r>
      <w:r>
        <w:rPr>
          <w:spacing w:val="-3"/>
          <w:sz w:val="18"/>
        </w:rPr>
        <w:t xml:space="preserve"> </w:t>
      </w:r>
      <w:r>
        <w:rPr>
          <w:sz w:val="18"/>
        </w:rPr>
        <w:t>for</w:t>
      </w:r>
      <w:r>
        <w:rPr>
          <w:spacing w:val="-2"/>
          <w:sz w:val="18"/>
        </w:rPr>
        <w:t xml:space="preserve"> </w:t>
      </w:r>
      <w:r>
        <w:rPr>
          <w:sz w:val="18"/>
        </w:rPr>
        <w:t>the</w:t>
      </w:r>
      <w:r>
        <w:rPr>
          <w:spacing w:val="-1"/>
          <w:sz w:val="18"/>
        </w:rPr>
        <w:t xml:space="preserve"> </w:t>
      </w:r>
      <w:r>
        <w:rPr>
          <w:sz w:val="18"/>
        </w:rPr>
        <w:t>substantive</w:t>
      </w:r>
      <w:r>
        <w:rPr>
          <w:spacing w:val="-3"/>
          <w:sz w:val="18"/>
        </w:rPr>
        <w:t xml:space="preserve"> </w:t>
      </w:r>
      <w:r>
        <w:rPr>
          <w:sz w:val="18"/>
        </w:rPr>
        <w:t>test,</w:t>
      </w:r>
      <w:r>
        <w:rPr>
          <w:spacing w:val="-2"/>
          <w:sz w:val="18"/>
        </w:rPr>
        <w:t xml:space="preserve"> </w:t>
      </w:r>
      <w:r>
        <w:rPr>
          <w:sz w:val="18"/>
        </w:rPr>
        <w:t>as</w:t>
      </w:r>
      <w:r>
        <w:rPr>
          <w:spacing w:val="-2"/>
          <w:sz w:val="18"/>
        </w:rPr>
        <w:t xml:space="preserve"> </w:t>
      </w:r>
      <w:r>
        <w:rPr>
          <w:sz w:val="18"/>
        </w:rPr>
        <w:t>discussed</w:t>
      </w:r>
      <w:r>
        <w:rPr>
          <w:spacing w:val="-3"/>
          <w:sz w:val="18"/>
        </w:rPr>
        <w:t xml:space="preserve"> </w:t>
      </w:r>
      <w:r>
        <w:rPr>
          <w:sz w:val="18"/>
        </w:rPr>
        <w:t>in</w:t>
      </w:r>
      <w:r>
        <w:rPr>
          <w:spacing w:val="-3"/>
          <w:sz w:val="18"/>
        </w:rPr>
        <w:t xml:space="preserve"> </w:t>
      </w:r>
      <w:r>
        <w:rPr>
          <w:sz w:val="18"/>
        </w:rPr>
        <w:t>FAM</w:t>
      </w:r>
      <w:r>
        <w:rPr>
          <w:spacing w:val="-2"/>
          <w:sz w:val="18"/>
        </w:rPr>
        <w:t xml:space="preserve"> </w:t>
      </w:r>
      <w:r>
        <w:rPr>
          <w:sz w:val="18"/>
        </w:rPr>
        <w:t>430,</w:t>
      </w:r>
      <w:r>
        <w:rPr>
          <w:spacing w:val="-2"/>
          <w:sz w:val="18"/>
        </w:rPr>
        <w:t xml:space="preserve"> </w:t>
      </w:r>
      <w:r>
        <w:rPr>
          <w:sz w:val="18"/>
        </w:rPr>
        <w:t>Design</w:t>
      </w:r>
      <w:r>
        <w:rPr>
          <w:spacing w:val="-3"/>
          <w:sz w:val="18"/>
        </w:rPr>
        <w:t xml:space="preserve"> </w:t>
      </w:r>
      <w:r>
        <w:rPr>
          <w:sz w:val="18"/>
        </w:rPr>
        <w:t>Tests. Otherwise, the auditor should select items using attribute sampling, as discussed in FAM 460.02.</w:t>
      </w:r>
    </w:p>
    <w:p w14:paraId="0DFDBB2F" w14:textId="77777777" w:rsidR="00046465" w:rsidRDefault="008134EB">
      <w:pPr>
        <w:spacing w:before="119"/>
        <w:ind w:left="360" w:right="372"/>
        <w:rPr>
          <w:sz w:val="18"/>
        </w:rPr>
      </w:pPr>
      <w:r>
        <w:rPr>
          <w:sz w:val="18"/>
        </w:rPr>
        <w:t>As with all sampling applications, the auditor should consider the completeness of the population. For efficiency, the auditor</w:t>
      </w:r>
      <w:r>
        <w:rPr>
          <w:spacing w:val="-3"/>
          <w:sz w:val="18"/>
        </w:rPr>
        <w:t xml:space="preserve"> </w:t>
      </w:r>
      <w:r>
        <w:rPr>
          <w:sz w:val="18"/>
        </w:rPr>
        <w:t>should</w:t>
      </w:r>
      <w:r>
        <w:rPr>
          <w:spacing w:val="-2"/>
          <w:sz w:val="18"/>
        </w:rPr>
        <w:t xml:space="preserve"> </w:t>
      </w:r>
      <w:r>
        <w:rPr>
          <w:sz w:val="18"/>
        </w:rPr>
        <w:t>consider</w:t>
      </w:r>
      <w:r>
        <w:rPr>
          <w:spacing w:val="-3"/>
          <w:sz w:val="18"/>
        </w:rPr>
        <w:t xml:space="preserve"> </w:t>
      </w:r>
      <w:r>
        <w:rPr>
          <w:sz w:val="18"/>
        </w:rPr>
        <w:t>using</w:t>
      </w:r>
      <w:r>
        <w:rPr>
          <w:spacing w:val="-2"/>
          <w:sz w:val="18"/>
        </w:rPr>
        <w:t xml:space="preserve"> </w:t>
      </w:r>
      <w:r>
        <w:rPr>
          <w:sz w:val="18"/>
        </w:rPr>
        <w:t>records</w:t>
      </w:r>
      <w:r>
        <w:rPr>
          <w:spacing w:val="-3"/>
          <w:sz w:val="18"/>
        </w:rPr>
        <w:t xml:space="preserve"> </w:t>
      </w:r>
      <w:r>
        <w:rPr>
          <w:sz w:val="18"/>
        </w:rPr>
        <w:t>that</w:t>
      </w:r>
      <w:r>
        <w:rPr>
          <w:spacing w:val="-3"/>
          <w:sz w:val="18"/>
        </w:rPr>
        <w:t xml:space="preserve"> </w:t>
      </w:r>
      <w:r>
        <w:rPr>
          <w:sz w:val="18"/>
        </w:rPr>
        <w:t>were</w:t>
      </w:r>
      <w:r>
        <w:rPr>
          <w:spacing w:val="-4"/>
          <w:sz w:val="18"/>
        </w:rPr>
        <w:t xml:space="preserve"> </w:t>
      </w:r>
      <w:r>
        <w:rPr>
          <w:sz w:val="18"/>
        </w:rPr>
        <w:t>tested</w:t>
      </w:r>
      <w:r>
        <w:rPr>
          <w:spacing w:val="-4"/>
          <w:sz w:val="18"/>
        </w:rPr>
        <w:t xml:space="preserve"> </w:t>
      </w:r>
      <w:r>
        <w:rPr>
          <w:sz w:val="18"/>
        </w:rPr>
        <w:t>for</w:t>
      </w:r>
      <w:r>
        <w:rPr>
          <w:spacing w:val="-3"/>
          <w:sz w:val="18"/>
        </w:rPr>
        <w:t xml:space="preserve"> </w:t>
      </w:r>
      <w:r>
        <w:rPr>
          <w:sz w:val="18"/>
        </w:rPr>
        <w:t>validity</w:t>
      </w:r>
      <w:r>
        <w:rPr>
          <w:spacing w:val="-3"/>
          <w:sz w:val="18"/>
        </w:rPr>
        <w:t xml:space="preserve"> </w:t>
      </w:r>
      <w:r>
        <w:rPr>
          <w:sz w:val="18"/>
        </w:rPr>
        <w:t>and</w:t>
      </w:r>
      <w:r>
        <w:rPr>
          <w:spacing w:val="-4"/>
          <w:sz w:val="18"/>
        </w:rPr>
        <w:t xml:space="preserve"> </w:t>
      </w:r>
      <w:r>
        <w:rPr>
          <w:sz w:val="18"/>
        </w:rPr>
        <w:t>completeness</w:t>
      </w:r>
      <w:r>
        <w:rPr>
          <w:spacing w:val="-3"/>
          <w:sz w:val="18"/>
        </w:rPr>
        <w:t xml:space="preserve"> </w:t>
      </w:r>
      <w:r>
        <w:rPr>
          <w:sz w:val="18"/>
        </w:rPr>
        <w:t>(as</w:t>
      </w:r>
      <w:r>
        <w:rPr>
          <w:spacing w:val="-2"/>
          <w:sz w:val="18"/>
        </w:rPr>
        <w:t xml:space="preserve"> </w:t>
      </w:r>
      <w:r>
        <w:rPr>
          <w:sz w:val="18"/>
        </w:rPr>
        <w:t>well</w:t>
      </w:r>
      <w:r>
        <w:rPr>
          <w:spacing w:val="-3"/>
          <w:sz w:val="18"/>
        </w:rPr>
        <w:t xml:space="preserve"> </w:t>
      </w:r>
      <w:r>
        <w:rPr>
          <w:sz w:val="18"/>
        </w:rPr>
        <w:t>as</w:t>
      </w:r>
      <w:r>
        <w:rPr>
          <w:spacing w:val="-3"/>
          <w:sz w:val="18"/>
        </w:rPr>
        <w:t xml:space="preserve"> </w:t>
      </w:r>
      <w:r>
        <w:rPr>
          <w:sz w:val="18"/>
        </w:rPr>
        <w:t>the</w:t>
      </w:r>
      <w:r>
        <w:rPr>
          <w:spacing w:val="-4"/>
          <w:sz w:val="18"/>
        </w:rPr>
        <w:t xml:space="preserve"> </w:t>
      </w:r>
      <w:r>
        <w:rPr>
          <w:sz w:val="18"/>
        </w:rPr>
        <w:t>other</w:t>
      </w:r>
      <w:r>
        <w:rPr>
          <w:spacing w:val="-3"/>
          <w:sz w:val="18"/>
        </w:rPr>
        <w:t xml:space="preserve"> </w:t>
      </w:r>
      <w:r>
        <w:rPr>
          <w:sz w:val="18"/>
        </w:rPr>
        <w:t>assertions) in conjunction with substantive tests of payroll or other payroll-related compliance tests.</w:t>
      </w:r>
    </w:p>
    <w:p w14:paraId="0DFDBB30" w14:textId="77777777" w:rsidR="00046465" w:rsidRDefault="00046465">
      <w:pPr>
        <w:rPr>
          <w:sz w:val="18"/>
        </w:rPr>
        <w:sectPr w:rsidR="00046465">
          <w:headerReference w:type="default" r:id="rId143"/>
          <w:footerReference w:type="default" r:id="rId144"/>
          <w:pgSz w:w="12240" w:h="15840"/>
          <w:pgMar w:top="1800" w:right="1080" w:bottom="940" w:left="1080" w:header="865" w:footer="742" w:gutter="0"/>
          <w:pgNumType w:start="2"/>
          <w:cols w:space="720"/>
        </w:sectPr>
      </w:pPr>
    </w:p>
    <w:p w14:paraId="0DFDBB31" w14:textId="77777777" w:rsidR="00046465" w:rsidRDefault="00046465">
      <w:pPr>
        <w:pStyle w:val="BodyText"/>
        <w:spacing w:before="4" w:after="1"/>
        <w:rPr>
          <w:sz w:val="8"/>
        </w:rPr>
      </w:pPr>
    </w:p>
    <w:tbl>
      <w:tblPr>
        <w:tblW w:w="0" w:type="auto"/>
        <w:tblInd w:w="37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020"/>
        <w:gridCol w:w="1062"/>
        <w:gridCol w:w="1278"/>
      </w:tblGrid>
      <w:tr w:rsidR="00046465" w14:paraId="0DFDBB33" w14:textId="77777777">
        <w:trPr>
          <w:trHeight w:val="1335"/>
        </w:trPr>
        <w:tc>
          <w:tcPr>
            <w:tcW w:w="9360" w:type="dxa"/>
            <w:gridSpan w:val="3"/>
            <w:tcBorders>
              <w:left w:val="double" w:sz="4" w:space="0" w:color="000000"/>
              <w:bottom w:val="single" w:sz="6" w:space="0" w:color="000000"/>
              <w:right w:val="double" w:sz="4" w:space="0" w:color="000000"/>
            </w:tcBorders>
          </w:tcPr>
          <w:p w14:paraId="0DFDBB32" w14:textId="77777777" w:rsidR="00046465" w:rsidRDefault="008134EB">
            <w:pPr>
              <w:pStyle w:val="TableParagraph"/>
              <w:tabs>
                <w:tab w:val="left" w:pos="7970"/>
              </w:tabs>
              <w:spacing w:before="7" w:line="390" w:lineRule="atLeast"/>
              <w:ind w:left="135" w:right="1357" w:hanging="1"/>
              <w:jc w:val="both"/>
            </w:pPr>
            <w:r>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B39" w14:textId="77777777">
        <w:trPr>
          <w:trHeight w:val="793"/>
        </w:trPr>
        <w:tc>
          <w:tcPr>
            <w:tcW w:w="7020" w:type="dxa"/>
            <w:tcBorders>
              <w:top w:val="single" w:sz="6" w:space="0" w:color="000000"/>
              <w:left w:val="double" w:sz="4" w:space="0" w:color="000000"/>
              <w:bottom w:val="single" w:sz="6" w:space="0" w:color="000000"/>
              <w:right w:val="single" w:sz="6" w:space="0" w:color="000000"/>
            </w:tcBorders>
          </w:tcPr>
          <w:p w14:paraId="0DFDBB34" w14:textId="77777777" w:rsidR="00046465" w:rsidRDefault="00046465">
            <w:pPr>
              <w:pStyle w:val="TableParagraph"/>
              <w:spacing w:before="143"/>
            </w:pPr>
          </w:p>
          <w:p w14:paraId="0DFDBB35" w14:textId="77777777" w:rsidR="00046465" w:rsidRDefault="008134EB">
            <w:pPr>
              <w:pStyle w:val="TableParagraph"/>
              <w:spacing w:before="1"/>
              <w:ind w:left="135"/>
              <w:rPr>
                <w:b/>
              </w:rPr>
            </w:pPr>
            <w:r>
              <w:rPr>
                <w:b/>
              </w:rPr>
              <w:t>Audit</w:t>
            </w:r>
            <w:r>
              <w:rPr>
                <w:b/>
                <w:spacing w:val="-7"/>
              </w:rPr>
              <w:t xml:space="preserve"> </w:t>
            </w:r>
            <w:r>
              <w:rPr>
                <w:b/>
                <w:spacing w:val="-2"/>
              </w:rPr>
              <w:t>procedures</w:t>
            </w:r>
          </w:p>
        </w:tc>
        <w:tc>
          <w:tcPr>
            <w:tcW w:w="1062" w:type="dxa"/>
            <w:tcBorders>
              <w:top w:val="single" w:sz="6" w:space="0" w:color="000000"/>
              <w:left w:val="single" w:sz="6" w:space="0" w:color="000000"/>
              <w:bottom w:val="single" w:sz="6" w:space="0" w:color="000000"/>
              <w:right w:val="single" w:sz="6" w:space="0" w:color="000000"/>
            </w:tcBorders>
          </w:tcPr>
          <w:p w14:paraId="0DFDBB36" w14:textId="77777777" w:rsidR="00046465" w:rsidRDefault="008134EB">
            <w:pPr>
              <w:pStyle w:val="TableParagraph"/>
              <w:spacing w:before="143"/>
              <w:ind w:left="142"/>
              <w:rPr>
                <w:b/>
              </w:rPr>
            </w:pPr>
            <w:r>
              <w:rPr>
                <w:b/>
                <w:spacing w:val="-2"/>
              </w:rPr>
              <w:t xml:space="preserve">Initials/ </w:t>
            </w:r>
            <w:r>
              <w:rPr>
                <w:b/>
                <w:spacing w:val="-4"/>
              </w:rPr>
              <w:t>date</w:t>
            </w:r>
          </w:p>
        </w:tc>
        <w:tc>
          <w:tcPr>
            <w:tcW w:w="1278" w:type="dxa"/>
            <w:tcBorders>
              <w:top w:val="single" w:sz="6" w:space="0" w:color="000000"/>
              <w:left w:val="single" w:sz="6" w:space="0" w:color="000000"/>
              <w:bottom w:val="single" w:sz="6" w:space="0" w:color="000000"/>
              <w:right w:val="double" w:sz="4" w:space="0" w:color="000000"/>
            </w:tcBorders>
          </w:tcPr>
          <w:p w14:paraId="0DFDBB37" w14:textId="77777777" w:rsidR="00046465" w:rsidRDefault="00046465">
            <w:pPr>
              <w:pStyle w:val="TableParagraph"/>
              <w:spacing w:before="143"/>
            </w:pPr>
          </w:p>
          <w:p w14:paraId="0DFDBB38" w14:textId="77777777" w:rsidR="00046465" w:rsidRDefault="008134EB">
            <w:pPr>
              <w:pStyle w:val="TableParagraph"/>
              <w:spacing w:before="1"/>
              <w:ind w:left="142"/>
              <w:rPr>
                <w:b/>
              </w:rPr>
            </w:pPr>
            <w:r>
              <w:rPr>
                <w:b/>
              </w:rPr>
              <w:t>Doc.</w:t>
            </w:r>
            <w:r>
              <w:rPr>
                <w:b/>
                <w:spacing w:val="-6"/>
              </w:rPr>
              <w:t xml:space="preserve"> </w:t>
            </w:r>
            <w:r>
              <w:rPr>
                <w:b/>
                <w:spacing w:val="-4"/>
              </w:rPr>
              <w:t>ref.</w:t>
            </w:r>
          </w:p>
        </w:tc>
      </w:tr>
      <w:tr w:rsidR="00046465" w14:paraId="0DFDBB3D" w14:textId="77777777">
        <w:trPr>
          <w:trHeight w:val="664"/>
        </w:trPr>
        <w:tc>
          <w:tcPr>
            <w:tcW w:w="7020" w:type="dxa"/>
            <w:tcBorders>
              <w:top w:val="single" w:sz="6" w:space="0" w:color="000000"/>
              <w:left w:val="double" w:sz="4" w:space="0" w:color="000000"/>
              <w:bottom w:val="single" w:sz="8" w:space="0" w:color="000000"/>
              <w:right w:val="single" w:sz="8" w:space="0" w:color="000000"/>
            </w:tcBorders>
          </w:tcPr>
          <w:p w14:paraId="0DFDBB3A" w14:textId="77777777" w:rsidR="00046465" w:rsidRDefault="008134EB">
            <w:pPr>
              <w:pStyle w:val="TableParagraph"/>
              <w:numPr>
                <w:ilvl w:val="0"/>
                <w:numId w:val="160"/>
              </w:numPr>
              <w:tabs>
                <w:tab w:val="left" w:pos="1069"/>
              </w:tabs>
              <w:ind w:right="248"/>
            </w:pPr>
            <w:r>
              <w:t>number</w:t>
            </w:r>
            <w:r>
              <w:rPr>
                <w:spacing w:val="-4"/>
              </w:rPr>
              <w:t xml:space="preserve"> </w:t>
            </w:r>
            <w:r>
              <w:t>of</w:t>
            </w:r>
            <w:r>
              <w:rPr>
                <w:spacing w:val="-4"/>
              </w:rPr>
              <w:t xml:space="preserve"> </w:t>
            </w:r>
            <w:r>
              <w:t>hours</w:t>
            </w:r>
            <w:r>
              <w:rPr>
                <w:spacing w:val="-4"/>
              </w:rPr>
              <w:t xml:space="preserve"> </w:t>
            </w:r>
            <w:r>
              <w:t>worked</w:t>
            </w:r>
            <w:r>
              <w:rPr>
                <w:spacing w:val="-4"/>
              </w:rPr>
              <w:t xml:space="preserve"> </w:t>
            </w:r>
            <w:r>
              <w:t>at</w:t>
            </w:r>
            <w:r>
              <w:rPr>
                <w:spacing w:val="-4"/>
              </w:rPr>
              <w:t xml:space="preserve"> </w:t>
            </w:r>
            <w:r>
              <w:t>regular</w:t>
            </w:r>
            <w:r>
              <w:rPr>
                <w:spacing w:val="-4"/>
              </w:rPr>
              <w:t xml:space="preserve"> </w:t>
            </w:r>
            <w:r>
              <w:t>pay</w:t>
            </w:r>
            <w:r>
              <w:rPr>
                <w:spacing w:val="-4"/>
              </w:rPr>
              <w:t xml:space="preserve"> </w:t>
            </w:r>
            <w:r>
              <w:t>and</w:t>
            </w:r>
            <w:r>
              <w:rPr>
                <w:spacing w:val="-4"/>
              </w:rPr>
              <w:t xml:space="preserve"> </w:t>
            </w:r>
            <w:r>
              <w:t>other</w:t>
            </w:r>
            <w:r>
              <w:rPr>
                <w:spacing w:val="-5"/>
              </w:rPr>
              <w:t xml:space="preserve"> </w:t>
            </w:r>
            <w:r>
              <w:t>pay</w:t>
            </w:r>
            <w:r>
              <w:rPr>
                <w:spacing w:val="-4"/>
              </w:rPr>
              <w:t xml:space="preserve"> </w:t>
            </w:r>
            <w:r>
              <w:t>(i.e., overtime, premium pay, etc.).</w:t>
            </w:r>
          </w:p>
        </w:tc>
        <w:tc>
          <w:tcPr>
            <w:tcW w:w="1062" w:type="dxa"/>
            <w:tcBorders>
              <w:top w:val="single" w:sz="6" w:space="0" w:color="000000"/>
              <w:left w:val="single" w:sz="8" w:space="0" w:color="000000"/>
              <w:bottom w:val="single" w:sz="8" w:space="0" w:color="000000"/>
              <w:right w:val="single" w:sz="8" w:space="0" w:color="000000"/>
            </w:tcBorders>
          </w:tcPr>
          <w:p w14:paraId="0DFDBB3B" w14:textId="77777777" w:rsidR="00046465" w:rsidRDefault="00046465">
            <w:pPr>
              <w:pStyle w:val="TableParagraph"/>
              <w:rPr>
                <w:rFonts w:ascii="Times New Roman"/>
                <w:sz w:val="20"/>
              </w:rPr>
            </w:pPr>
          </w:p>
        </w:tc>
        <w:tc>
          <w:tcPr>
            <w:tcW w:w="1278" w:type="dxa"/>
            <w:tcBorders>
              <w:top w:val="single" w:sz="6" w:space="0" w:color="000000"/>
              <w:left w:val="single" w:sz="8" w:space="0" w:color="000000"/>
              <w:bottom w:val="single" w:sz="8" w:space="0" w:color="000000"/>
              <w:right w:val="double" w:sz="4" w:space="0" w:color="000000"/>
            </w:tcBorders>
          </w:tcPr>
          <w:p w14:paraId="0DFDBB3C" w14:textId="77777777" w:rsidR="00046465" w:rsidRDefault="00046465">
            <w:pPr>
              <w:pStyle w:val="TableParagraph"/>
              <w:rPr>
                <w:rFonts w:ascii="Times New Roman"/>
                <w:sz w:val="20"/>
              </w:rPr>
            </w:pPr>
          </w:p>
        </w:tc>
      </w:tr>
      <w:tr w:rsidR="00046465" w14:paraId="0DFDBB43" w14:textId="77777777">
        <w:trPr>
          <w:trHeight w:val="1871"/>
        </w:trPr>
        <w:tc>
          <w:tcPr>
            <w:tcW w:w="7020" w:type="dxa"/>
            <w:tcBorders>
              <w:top w:val="single" w:sz="8" w:space="0" w:color="000000"/>
              <w:left w:val="double" w:sz="4" w:space="0" w:color="000000"/>
              <w:bottom w:val="single" w:sz="8" w:space="0" w:color="000000"/>
              <w:right w:val="single" w:sz="8" w:space="0" w:color="000000"/>
            </w:tcBorders>
          </w:tcPr>
          <w:p w14:paraId="0DFDBB3E" w14:textId="77777777" w:rsidR="00046465" w:rsidRDefault="008134EB">
            <w:pPr>
              <w:pStyle w:val="TableParagraph"/>
              <w:numPr>
                <w:ilvl w:val="0"/>
                <w:numId w:val="159"/>
              </w:numPr>
              <w:tabs>
                <w:tab w:val="left" w:pos="711"/>
              </w:tabs>
              <w:spacing w:before="145"/>
              <w:ind w:right="254"/>
            </w:pPr>
            <w:r>
              <w:t>For each item selected in 1, obtain the employee’s personnel file</w:t>
            </w:r>
            <w:r>
              <w:rPr>
                <w:spacing w:val="-4"/>
              </w:rPr>
              <w:t xml:space="preserve"> </w:t>
            </w:r>
            <w:r>
              <w:t>and</w:t>
            </w:r>
            <w:r>
              <w:rPr>
                <w:spacing w:val="-4"/>
              </w:rPr>
              <w:t xml:space="preserve"> </w:t>
            </w:r>
            <w:r>
              <w:t>note</w:t>
            </w:r>
            <w:r>
              <w:rPr>
                <w:spacing w:val="-5"/>
              </w:rPr>
              <w:t xml:space="preserve"> </w:t>
            </w:r>
            <w:r>
              <w:t>the</w:t>
            </w:r>
            <w:r>
              <w:rPr>
                <w:spacing w:val="-4"/>
              </w:rPr>
              <w:t xml:space="preserve"> </w:t>
            </w:r>
            <w:r>
              <w:t>following</w:t>
            </w:r>
            <w:r>
              <w:rPr>
                <w:spacing w:val="-4"/>
              </w:rPr>
              <w:t xml:space="preserve"> </w:t>
            </w:r>
            <w:r>
              <w:t>in</w:t>
            </w:r>
            <w:r>
              <w:rPr>
                <w:spacing w:val="-4"/>
              </w:rPr>
              <w:t xml:space="preserve"> </w:t>
            </w:r>
            <w:r>
              <w:t>effect</w:t>
            </w:r>
            <w:r>
              <w:rPr>
                <w:spacing w:val="-4"/>
              </w:rPr>
              <w:t xml:space="preserve"> </w:t>
            </w:r>
            <w:r>
              <w:t>for</w:t>
            </w:r>
            <w:r>
              <w:rPr>
                <w:spacing w:val="-4"/>
              </w:rPr>
              <w:t xml:space="preserve"> </w:t>
            </w:r>
            <w:r>
              <w:t>the</w:t>
            </w:r>
            <w:r>
              <w:rPr>
                <w:spacing w:val="-4"/>
              </w:rPr>
              <w:t xml:space="preserve"> </w:t>
            </w:r>
            <w:r>
              <w:t>pay</w:t>
            </w:r>
            <w:r>
              <w:rPr>
                <w:spacing w:val="-4"/>
              </w:rPr>
              <w:t xml:space="preserve"> </w:t>
            </w:r>
            <w:r>
              <w:t>period</w:t>
            </w:r>
            <w:r>
              <w:rPr>
                <w:spacing w:val="-4"/>
              </w:rPr>
              <w:t xml:space="preserve"> </w:t>
            </w:r>
            <w:r>
              <w:t>selected:</w:t>
            </w:r>
          </w:p>
          <w:p w14:paraId="0DFDBB3F" w14:textId="77777777" w:rsidR="00046465" w:rsidRDefault="008134EB">
            <w:pPr>
              <w:pStyle w:val="TableParagraph"/>
              <w:numPr>
                <w:ilvl w:val="1"/>
                <w:numId w:val="159"/>
              </w:numPr>
              <w:tabs>
                <w:tab w:val="left" w:pos="1069"/>
              </w:tabs>
              <w:spacing w:before="143"/>
            </w:pPr>
            <w:r>
              <w:t>the</w:t>
            </w:r>
            <w:r>
              <w:rPr>
                <w:spacing w:val="-6"/>
              </w:rPr>
              <w:t xml:space="preserve"> </w:t>
            </w:r>
            <w:r>
              <w:t>employee’s</w:t>
            </w:r>
            <w:r>
              <w:rPr>
                <w:spacing w:val="-6"/>
              </w:rPr>
              <w:t xml:space="preserve"> </w:t>
            </w:r>
            <w:r>
              <w:t>grade</w:t>
            </w:r>
            <w:r>
              <w:rPr>
                <w:spacing w:val="-6"/>
              </w:rPr>
              <w:t xml:space="preserve"> </w:t>
            </w:r>
            <w:r>
              <w:t>and</w:t>
            </w:r>
            <w:r>
              <w:rPr>
                <w:spacing w:val="-6"/>
              </w:rPr>
              <w:t xml:space="preserve"> </w:t>
            </w:r>
            <w:r>
              <w:t>step</w:t>
            </w:r>
            <w:r>
              <w:rPr>
                <w:spacing w:val="-6"/>
              </w:rPr>
              <w:t xml:space="preserve"> </w:t>
            </w:r>
            <w:r>
              <w:rPr>
                <w:spacing w:val="-5"/>
              </w:rPr>
              <w:t>and</w:t>
            </w:r>
          </w:p>
          <w:p w14:paraId="0DFDBB40" w14:textId="77777777" w:rsidR="00046465" w:rsidRDefault="008134EB">
            <w:pPr>
              <w:pStyle w:val="TableParagraph"/>
              <w:numPr>
                <w:ilvl w:val="1"/>
                <w:numId w:val="159"/>
              </w:numPr>
              <w:tabs>
                <w:tab w:val="left" w:pos="1069"/>
              </w:tabs>
              <w:spacing w:before="142"/>
              <w:ind w:right="1375"/>
            </w:pPr>
            <w:r>
              <w:t>the</w:t>
            </w:r>
            <w:r>
              <w:rPr>
                <w:spacing w:val="-6"/>
              </w:rPr>
              <w:t xml:space="preserve"> </w:t>
            </w:r>
            <w:r>
              <w:t>employee’s</w:t>
            </w:r>
            <w:r>
              <w:rPr>
                <w:spacing w:val="-6"/>
              </w:rPr>
              <w:t xml:space="preserve"> </w:t>
            </w:r>
            <w:r>
              <w:t>pay</w:t>
            </w:r>
            <w:r>
              <w:rPr>
                <w:spacing w:val="-6"/>
              </w:rPr>
              <w:t xml:space="preserve"> </w:t>
            </w:r>
            <w:r>
              <w:t>rate</w:t>
            </w:r>
            <w:r>
              <w:rPr>
                <w:spacing w:val="-7"/>
              </w:rPr>
              <w:t xml:space="preserve"> </w:t>
            </w:r>
            <w:r>
              <w:t>and</w:t>
            </w:r>
            <w:r>
              <w:rPr>
                <w:spacing w:val="-6"/>
              </w:rPr>
              <w:t xml:space="preserve"> </w:t>
            </w:r>
            <w:r>
              <w:t>pay</w:t>
            </w:r>
            <w:r>
              <w:rPr>
                <w:spacing w:val="-6"/>
              </w:rPr>
              <w:t xml:space="preserve"> </w:t>
            </w:r>
            <w:r>
              <w:t>plan</w:t>
            </w:r>
            <w:r>
              <w:rPr>
                <w:spacing w:val="-6"/>
              </w:rPr>
              <w:t xml:space="preserve"> </w:t>
            </w:r>
            <w:r>
              <w:t xml:space="preserve">(non-GS </w:t>
            </w:r>
            <w:r>
              <w:rPr>
                <w:spacing w:val="-2"/>
              </w:rPr>
              <w:t>employees).</w:t>
            </w:r>
          </w:p>
        </w:tc>
        <w:tc>
          <w:tcPr>
            <w:tcW w:w="1062" w:type="dxa"/>
            <w:tcBorders>
              <w:top w:val="single" w:sz="8" w:space="0" w:color="000000"/>
              <w:left w:val="single" w:sz="8" w:space="0" w:color="000000"/>
              <w:bottom w:val="single" w:sz="8" w:space="0" w:color="000000"/>
              <w:right w:val="single" w:sz="8" w:space="0" w:color="000000"/>
            </w:tcBorders>
          </w:tcPr>
          <w:p w14:paraId="0DFDBB41" w14:textId="77777777" w:rsidR="00046465" w:rsidRDefault="00046465">
            <w:pPr>
              <w:pStyle w:val="TableParagraph"/>
              <w:rPr>
                <w:rFonts w:ascii="Times New Roman"/>
                <w:sz w:val="20"/>
              </w:rPr>
            </w:pPr>
          </w:p>
        </w:tc>
        <w:tc>
          <w:tcPr>
            <w:tcW w:w="1278" w:type="dxa"/>
            <w:tcBorders>
              <w:top w:val="single" w:sz="8" w:space="0" w:color="000000"/>
              <w:left w:val="single" w:sz="8" w:space="0" w:color="000000"/>
              <w:bottom w:val="single" w:sz="8" w:space="0" w:color="000000"/>
              <w:right w:val="double" w:sz="4" w:space="0" w:color="000000"/>
            </w:tcBorders>
          </w:tcPr>
          <w:p w14:paraId="0DFDBB42" w14:textId="77777777" w:rsidR="00046465" w:rsidRDefault="00046465">
            <w:pPr>
              <w:pStyle w:val="TableParagraph"/>
              <w:rPr>
                <w:rFonts w:ascii="Times New Roman"/>
                <w:sz w:val="20"/>
              </w:rPr>
            </w:pPr>
          </w:p>
        </w:tc>
      </w:tr>
      <w:tr w:rsidR="00046465" w14:paraId="0DFDBB4B" w14:textId="77777777">
        <w:trPr>
          <w:trHeight w:val="7550"/>
        </w:trPr>
        <w:tc>
          <w:tcPr>
            <w:tcW w:w="7020" w:type="dxa"/>
            <w:tcBorders>
              <w:top w:val="single" w:sz="8" w:space="0" w:color="000000"/>
              <w:left w:val="double" w:sz="4" w:space="0" w:color="000000"/>
              <w:bottom w:val="double" w:sz="4" w:space="0" w:color="000000"/>
              <w:right w:val="single" w:sz="8" w:space="0" w:color="000000"/>
            </w:tcBorders>
          </w:tcPr>
          <w:p w14:paraId="0DFDBB44" w14:textId="77777777" w:rsidR="00046465" w:rsidRDefault="008134EB">
            <w:pPr>
              <w:pStyle w:val="TableParagraph"/>
              <w:numPr>
                <w:ilvl w:val="0"/>
                <w:numId w:val="158"/>
              </w:numPr>
              <w:tabs>
                <w:tab w:val="left" w:pos="710"/>
              </w:tabs>
              <w:spacing w:before="143"/>
              <w:ind w:left="710" w:hanging="575"/>
            </w:pPr>
            <w:r>
              <w:t>For</w:t>
            </w:r>
            <w:r>
              <w:rPr>
                <w:spacing w:val="-5"/>
              </w:rPr>
              <w:t xml:space="preserve"> </w:t>
            </w:r>
            <w:r>
              <w:t>each</w:t>
            </w:r>
            <w:r>
              <w:rPr>
                <w:spacing w:val="-5"/>
              </w:rPr>
              <w:t xml:space="preserve"> </w:t>
            </w:r>
            <w:r>
              <w:t>item</w:t>
            </w:r>
            <w:r>
              <w:rPr>
                <w:spacing w:val="-6"/>
              </w:rPr>
              <w:t xml:space="preserve"> </w:t>
            </w:r>
            <w:r>
              <w:t>selected</w:t>
            </w:r>
            <w:r>
              <w:rPr>
                <w:spacing w:val="-4"/>
              </w:rPr>
              <w:t xml:space="preserve"> </w:t>
            </w:r>
            <w:r>
              <w:t>in</w:t>
            </w:r>
            <w:r>
              <w:rPr>
                <w:spacing w:val="-5"/>
              </w:rPr>
              <w:t xml:space="preserve"> </w:t>
            </w:r>
            <w:r>
              <w:t>1,</w:t>
            </w:r>
            <w:r>
              <w:rPr>
                <w:spacing w:val="-5"/>
              </w:rPr>
              <w:t xml:space="preserve"> </w:t>
            </w:r>
            <w:r>
              <w:t>take</w:t>
            </w:r>
            <w:r>
              <w:rPr>
                <w:spacing w:val="-5"/>
              </w:rPr>
              <w:t xml:space="preserve"> </w:t>
            </w:r>
            <w:r>
              <w:t>the</w:t>
            </w:r>
            <w:r>
              <w:rPr>
                <w:spacing w:val="-5"/>
              </w:rPr>
              <w:t xml:space="preserve"> </w:t>
            </w:r>
            <w:r>
              <w:t>following</w:t>
            </w:r>
            <w:r>
              <w:rPr>
                <w:spacing w:val="-5"/>
              </w:rPr>
              <w:t xml:space="preserve"> </w:t>
            </w:r>
            <w:r>
              <w:rPr>
                <w:spacing w:val="-2"/>
              </w:rPr>
              <w:t>actions:</w:t>
            </w:r>
          </w:p>
          <w:p w14:paraId="0DFDBB45" w14:textId="77777777" w:rsidR="00046465" w:rsidRDefault="008134EB">
            <w:pPr>
              <w:pStyle w:val="TableParagraph"/>
              <w:numPr>
                <w:ilvl w:val="1"/>
                <w:numId w:val="158"/>
              </w:numPr>
              <w:tabs>
                <w:tab w:val="left" w:pos="1287"/>
              </w:tabs>
              <w:spacing w:before="145"/>
              <w:ind w:right="324"/>
            </w:pPr>
            <w:r>
              <w:t>Calculate the amount of gross pay using the hours worked and the employee’s pay rate indicated on the payroll records. Compare the amount of gross pay calculated by the auditor to the amount shown on the payroll records for the selected pay period, and obtain explanation and examine support for any differences. See</w:t>
            </w:r>
            <w:r>
              <w:rPr>
                <w:spacing w:val="-5"/>
              </w:rPr>
              <w:t xml:space="preserve"> </w:t>
            </w:r>
            <w:r>
              <w:t>FAM</w:t>
            </w:r>
            <w:r>
              <w:rPr>
                <w:spacing w:val="-6"/>
              </w:rPr>
              <w:t xml:space="preserve"> </w:t>
            </w:r>
            <w:r>
              <w:t>807.01,</w:t>
            </w:r>
            <w:r>
              <w:rPr>
                <w:spacing w:val="-5"/>
              </w:rPr>
              <w:t xml:space="preserve"> </w:t>
            </w:r>
            <w:r>
              <w:t>Pay</w:t>
            </w:r>
            <w:r>
              <w:rPr>
                <w:spacing w:val="-5"/>
              </w:rPr>
              <w:t xml:space="preserve"> </w:t>
            </w:r>
            <w:r>
              <w:t>Rate</w:t>
            </w:r>
            <w:r>
              <w:rPr>
                <w:spacing w:val="-5"/>
              </w:rPr>
              <w:t xml:space="preserve"> </w:t>
            </w:r>
            <w:r>
              <w:t>or</w:t>
            </w:r>
            <w:r>
              <w:rPr>
                <w:spacing w:val="-5"/>
              </w:rPr>
              <w:t xml:space="preserve"> </w:t>
            </w:r>
            <w:r>
              <w:t>Schedule</w:t>
            </w:r>
            <w:r>
              <w:rPr>
                <w:spacing w:val="-5"/>
              </w:rPr>
              <w:t xml:space="preserve"> </w:t>
            </w:r>
            <w:r>
              <w:t>for</w:t>
            </w:r>
            <w:r>
              <w:rPr>
                <w:spacing w:val="-5"/>
              </w:rPr>
              <w:t xml:space="preserve"> </w:t>
            </w:r>
            <w:r>
              <w:t>Employees in Specific Positions.</w:t>
            </w:r>
          </w:p>
          <w:p w14:paraId="0DFDBB46" w14:textId="77777777" w:rsidR="00046465" w:rsidRDefault="008134EB">
            <w:pPr>
              <w:pStyle w:val="TableParagraph"/>
              <w:numPr>
                <w:ilvl w:val="1"/>
                <w:numId w:val="158"/>
              </w:numPr>
              <w:tabs>
                <w:tab w:val="left" w:pos="1286"/>
              </w:tabs>
              <w:spacing w:before="144"/>
              <w:ind w:left="1286" w:right="153" w:hanging="576"/>
            </w:pPr>
            <w:r>
              <w:t>Compare the employee’s pay rate in the payroll records to the appropriate pay rate for the employee’s approved grade and step on the pay schedules established by executive order. (Use the approved grade and step indicated in the employee’s personnel records for this test.) Obtain explanation and examine support for any differences between the actual pay rate for the period selected and the authorized amounts. See 5 U.S.C. § 5332 for employees in positions subject to the General Schedule;</w:t>
            </w:r>
            <w:r>
              <w:rPr>
                <w:spacing w:val="-5"/>
              </w:rPr>
              <w:t xml:space="preserve"> </w:t>
            </w:r>
            <w:r>
              <w:t>5</w:t>
            </w:r>
            <w:r>
              <w:rPr>
                <w:spacing w:val="-6"/>
              </w:rPr>
              <w:t xml:space="preserve"> </w:t>
            </w:r>
            <w:r>
              <w:t>U.S.C.</w:t>
            </w:r>
            <w:r>
              <w:rPr>
                <w:spacing w:val="-5"/>
              </w:rPr>
              <w:t xml:space="preserve"> </w:t>
            </w:r>
            <w:r>
              <w:t>§</w:t>
            </w:r>
            <w:r>
              <w:rPr>
                <w:spacing w:val="-5"/>
              </w:rPr>
              <w:t xml:space="preserve"> </w:t>
            </w:r>
            <w:r>
              <w:t>5343</w:t>
            </w:r>
            <w:r>
              <w:rPr>
                <w:spacing w:val="-5"/>
              </w:rPr>
              <w:t xml:space="preserve"> </w:t>
            </w:r>
            <w:r>
              <w:t>for</w:t>
            </w:r>
            <w:r>
              <w:rPr>
                <w:spacing w:val="-5"/>
              </w:rPr>
              <w:t xml:space="preserve"> </w:t>
            </w:r>
            <w:r>
              <w:t>prevailing</w:t>
            </w:r>
            <w:r>
              <w:rPr>
                <w:spacing w:val="-5"/>
              </w:rPr>
              <w:t xml:space="preserve"> </w:t>
            </w:r>
            <w:r>
              <w:t>rate</w:t>
            </w:r>
            <w:r>
              <w:rPr>
                <w:spacing w:val="-5"/>
              </w:rPr>
              <w:t xml:space="preserve"> </w:t>
            </w:r>
            <w:r>
              <w:t>employees; 5 U.S.C. § 5376 for employees in certain senior-level positions, such as specially qualified scientific and professional personnel; 5 U.S.C. § 5383 for employees appointed to the Senior Executive Service; and 29</w:t>
            </w:r>
          </w:p>
          <w:p w14:paraId="0DFDBB47" w14:textId="77777777" w:rsidR="00046465" w:rsidRDefault="008134EB">
            <w:pPr>
              <w:pStyle w:val="TableParagraph"/>
              <w:spacing w:line="253" w:lineRule="exact"/>
              <w:ind w:left="1286"/>
            </w:pPr>
            <w:r>
              <w:t>U.S.C.</w:t>
            </w:r>
            <w:r>
              <w:rPr>
                <w:spacing w:val="-6"/>
              </w:rPr>
              <w:t xml:space="preserve"> </w:t>
            </w:r>
            <w:r>
              <w:t>§</w:t>
            </w:r>
            <w:r>
              <w:rPr>
                <w:spacing w:val="-6"/>
              </w:rPr>
              <w:t xml:space="preserve"> </w:t>
            </w:r>
            <w:r>
              <w:t>206</w:t>
            </w:r>
            <w:r>
              <w:rPr>
                <w:spacing w:val="-6"/>
              </w:rPr>
              <w:t xml:space="preserve"> </w:t>
            </w:r>
            <w:r>
              <w:t>for</w:t>
            </w:r>
            <w:r>
              <w:rPr>
                <w:spacing w:val="-5"/>
              </w:rPr>
              <w:t xml:space="preserve"> </w:t>
            </w:r>
            <w:r>
              <w:t>employees</w:t>
            </w:r>
            <w:r>
              <w:rPr>
                <w:spacing w:val="-6"/>
              </w:rPr>
              <w:t xml:space="preserve"> </w:t>
            </w:r>
            <w:r>
              <w:t>paid</w:t>
            </w:r>
            <w:r>
              <w:rPr>
                <w:spacing w:val="-6"/>
              </w:rPr>
              <w:t xml:space="preserve"> </w:t>
            </w:r>
            <w:r>
              <w:t>the</w:t>
            </w:r>
            <w:r>
              <w:rPr>
                <w:spacing w:val="-6"/>
              </w:rPr>
              <w:t xml:space="preserve"> </w:t>
            </w:r>
            <w:r>
              <w:t>minimum</w:t>
            </w:r>
            <w:r>
              <w:rPr>
                <w:spacing w:val="-6"/>
              </w:rPr>
              <w:t xml:space="preserve"> </w:t>
            </w:r>
            <w:r>
              <w:rPr>
                <w:spacing w:val="-4"/>
              </w:rPr>
              <w:t>wage.</w:t>
            </w:r>
          </w:p>
          <w:p w14:paraId="0DFDBB48" w14:textId="77777777" w:rsidR="00046465" w:rsidRDefault="008134EB">
            <w:pPr>
              <w:pStyle w:val="TableParagraph"/>
              <w:spacing w:before="145"/>
              <w:ind w:left="1286"/>
            </w:pPr>
            <w:r>
              <w:t>If</w:t>
            </w:r>
            <w:r>
              <w:rPr>
                <w:spacing w:val="-4"/>
              </w:rPr>
              <w:t xml:space="preserve"> </w:t>
            </w:r>
            <w:r>
              <w:t>the</w:t>
            </w:r>
            <w:r>
              <w:rPr>
                <w:spacing w:val="-4"/>
              </w:rPr>
              <w:t xml:space="preserve"> </w:t>
            </w:r>
            <w:r>
              <w:t>employee’s</w:t>
            </w:r>
            <w:r>
              <w:rPr>
                <w:spacing w:val="-4"/>
              </w:rPr>
              <w:t xml:space="preserve"> </w:t>
            </w:r>
            <w:r>
              <w:t>pay</w:t>
            </w:r>
            <w:r>
              <w:rPr>
                <w:spacing w:val="-4"/>
              </w:rPr>
              <w:t xml:space="preserve"> </w:t>
            </w:r>
            <w:r>
              <w:t>is</w:t>
            </w:r>
            <w:r>
              <w:rPr>
                <w:spacing w:val="-5"/>
              </w:rPr>
              <w:t xml:space="preserve"> </w:t>
            </w:r>
            <w:r>
              <w:t>not</w:t>
            </w:r>
            <w:r>
              <w:rPr>
                <w:spacing w:val="-4"/>
              </w:rPr>
              <w:t xml:space="preserve"> </w:t>
            </w:r>
            <w:r>
              <w:t>set</w:t>
            </w:r>
            <w:r>
              <w:rPr>
                <w:spacing w:val="-4"/>
              </w:rPr>
              <w:t xml:space="preserve"> </w:t>
            </w:r>
            <w:r>
              <w:t>by</w:t>
            </w:r>
            <w:r>
              <w:rPr>
                <w:spacing w:val="-4"/>
              </w:rPr>
              <w:t xml:space="preserve"> </w:t>
            </w:r>
            <w:r>
              <w:t>these</w:t>
            </w:r>
            <w:r>
              <w:rPr>
                <w:spacing w:val="-4"/>
              </w:rPr>
              <w:t xml:space="preserve"> </w:t>
            </w:r>
            <w:r>
              <w:t>pay</w:t>
            </w:r>
            <w:r>
              <w:rPr>
                <w:spacing w:val="-4"/>
              </w:rPr>
              <w:t xml:space="preserve"> </w:t>
            </w:r>
            <w:r>
              <w:t xml:space="preserve">schedules, then determine whether the amount paid is properly </w:t>
            </w:r>
            <w:r>
              <w:rPr>
                <w:spacing w:val="-2"/>
              </w:rPr>
              <w:t>authorized.</w:t>
            </w:r>
          </w:p>
        </w:tc>
        <w:tc>
          <w:tcPr>
            <w:tcW w:w="1062" w:type="dxa"/>
            <w:tcBorders>
              <w:top w:val="single" w:sz="8" w:space="0" w:color="000000"/>
              <w:left w:val="single" w:sz="8" w:space="0" w:color="000000"/>
              <w:bottom w:val="double" w:sz="4" w:space="0" w:color="000000"/>
              <w:right w:val="single" w:sz="8" w:space="0" w:color="000000"/>
            </w:tcBorders>
          </w:tcPr>
          <w:p w14:paraId="0DFDBB49" w14:textId="77777777" w:rsidR="00046465" w:rsidRDefault="00046465">
            <w:pPr>
              <w:pStyle w:val="TableParagraph"/>
              <w:rPr>
                <w:rFonts w:ascii="Times New Roman"/>
                <w:sz w:val="20"/>
              </w:rPr>
            </w:pPr>
          </w:p>
        </w:tc>
        <w:tc>
          <w:tcPr>
            <w:tcW w:w="1278" w:type="dxa"/>
            <w:tcBorders>
              <w:top w:val="single" w:sz="8" w:space="0" w:color="000000"/>
              <w:left w:val="single" w:sz="8" w:space="0" w:color="000000"/>
              <w:bottom w:val="double" w:sz="4" w:space="0" w:color="000000"/>
              <w:right w:val="double" w:sz="4" w:space="0" w:color="000000"/>
            </w:tcBorders>
          </w:tcPr>
          <w:p w14:paraId="0DFDBB4A" w14:textId="77777777" w:rsidR="00046465" w:rsidRDefault="00046465">
            <w:pPr>
              <w:pStyle w:val="TableParagraph"/>
              <w:rPr>
                <w:rFonts w:ascii="Times New Roman"/>
                <w:sz w:val="20"/>
              </w:rPr>
            </w:pPr>
          </w:p>
        </w:tc>
      </w:tr>
    </w:tbl>
    <w:p w14:paraId="0DFDBB4C" w14:textId="77777777" w:rsidR="00046465" w:rsidRDefault="00046465">
      <w:pPr>
        <w:pStyle w:val="TableParagraph"/>
        <w:rPr>
          <w:rFonts w:ascii="Times New Roman"/>
          <w:sz w:val="20"/>
        </w:rPr>
        <w:sectPr w:rsidR="00046465">
          <w:pgSz w:w="12240" w:h="15840"/>
          <w:pgMar w:top="1800" w:right="1080" w:bottom="940" w:left="1080" w:header="865" w:footer="742" w:gutter="0"/>
          <w:cols w:space="720"/>
        </w:sectPr>
      </w:pPr>
    </w:p>
    <w:p w14:paraId="0DFDBB4D" w14:textId="77777777" w:rsidR="00046465" w:rsidRDefault="008134EB">
      <w:pPr>
        <w:tabs>
          <w:tab w:val="left" w:pos="1170"/>
        </w:tabs>
        <w:spacing w:before="226"/>
        <w:ind w:left="1170" w:right="372" w:hanging="811"/>
      </w:pPr>
      <w:r>
        <w:rPr>
          <w:b/>
          <w:spacing w:val="-2"/>
        </w:rPr>
        <w:lastRenderedPageBreak/>
        <w:t>Note:</w:t>
      </w:r>
      <w:r>
        <w:rPr>
          <w:b/>
        </w:rPr>
        <w:tab/>
      </w:r>
      <w:r>
        <w:t>If the entity outsources payroll processing, then the entity remains responsible for compliance. Dividing responsibility for payroll processing activities between the entity and</w:t>
      </w:r>
      <w:r>
        <w:rPr>
          <w:spacing w:val="-4"/>
        </w:rPr>
        <w:t xml:space="preserve"> </w:t>
      </w:r>
      <w:r>
        <w:t>the</w:t>
      </w:r>
      <w:r>
        <w:rPr>
          <w:spacing w:val="-4"/>
        </w:rPr>
        <w:t xml:space="preserve"> </w:t>
      </w:r>
      <w:r>
        <w:t>service</w:t>
      </w:r>
      <w:r>
        <w:rPr>
          <w:spacing w:val="-4"/>
        </w:rPr>
        <w:t xml:space="preserve"> </w:t>
      </w:r>
      <w:r>
        <w:t>organization</w:t>
      </w:r>
      <w:r>
        <w:rPr>
          <w:spacing w:val="-4"/>
        </w:rPr>
        <w:t xml:space="preserve"> </w:t>
      </w:r>
      <w:r>
        <w:t>could</w:t>
      </w:r>
      <w:r>
        <w:rPr>
          <w:spacing w:val="-4"/>
        </w:rPr>
        <w:t xml:space="preserve"> </w:t>
      </w:r>
      <w:r>
        <w:t>make</w:t>
      </w:r>
      <w:r>
        <w:rPr>
          <w:spacing w:val="-4"/>
        </w:rPr>
        <w:t xml:space="preserve"> </w:t>
      </w:r>
      <w:r>
        <w:t>payroll</w:t>
      </w:r>
      <w:r>
        <w:rPr>
          <w:spacing w:val="-5"/>
        </w:rPr>
        <w:t xml:space="preserve"> </w:t>
      </w:r>
      <w:r>
        <w:t>testing</w:t>
      </w:r>
      <w:r>
        <w:rPr>
          <w:spacing w:val="-4"/>
        </w:rPr>
        <w:t xml:space="preserve"> </w:t>
      </w:r>
      <w:r>
        <w:t>more</w:t>
      </w:r>
      <w:r>
        <w:rPr>
          <w:spacing w:val="-4"/>
        </w:rPr>
        <w:t xml:space="preserve"> </w:t>
      </w:r>
      <w:r>
        <w:t>complicated;</w:t>
      </w:r>
      <w:r>
        <w:rPr>
          <w:spacing w:val="-4"/>
        </w:rPr>
        <w:t xml:space="preserve"> </w:t>
      </w:r>
      <w:r>
        <w:t>however,</w:t>
      </w:r>
      <w:r>
        <w:rPr>
          <w:spacing w:val="-4"/>
        </w:rPr>
        <w:t xml:space="preserve"> </w:t>
      </w:r>
      <w:r>
        <w:t>the auditor should perform the same testing. The auditor may accomplish this testing with the assistance of the service auditor, which</w:t>
      </w:r>
      <w:r>
        <w:rPr>
          <w:spacing w:val="40"/>
        </w:rPr>
        <w:t xml:space="preserve"> </w:t>
      </w:r>
      <w:r>
        <w:t xml:space="preserve">may issue an internal control report on the service organization under AT-C 320, </w:t>
      </w:r>
      <w:r>
        <w:rPr>
          <w:i/>
        </w:rPr>
        <w:t>Reporting on an Examination of Controls at a Service Organization Relevant to User Entities’ Internal Control Over Financial Reporting</w:t>
      </w:r>
      <w:r>
        <w:t>. Another approach may be for the service auditor</w:t>
      </w:r>
      <w:r>
        <w:rPr>
          <w:spacing w:val="-2"/>
        </w:rPr>
        <w:t xml:space="preserve"> </w:t>
      </w:r>
      <w:r>
        <w:t>to assist the</w:t>
      </w:r>
      <w:r>
        <w:rPr>
          <w:spacing w:val="-1"/>
        </w:rPr>
        <w:t xml:space="preserve"> </w:t>
      </w:r>
      <w:r>
        <w:t>entity’s</w:t>
      </w:r>
      <w:r>
        <w:rPr>
          <w:spacing w:val="-1"/>
        </w:rPr>
        <w:t xml:space="preserve"> </w:t>
      </w:r>
      <w:r>
        <w:t xml:space="preserve">auditor by performing agreed-upon procedures at the service organization (e.g., substantive testing) under AT-C 215, </w:t>
      </w:r>
      <w:r>
        <w:rPr>
          <w:i/>
        </w:rPr>
        <w:t xml:space="preserve">Agreed-Upon Procedures Engagements </w:t>
      </w:r>
      <w:r>
        <w:t>(see FAM 710).</w:t>
      </w:r>
    </w:p>
    <w:p w14:paraId="0DFDBB4E" w14:textId="77777777" w:rsidR="00046465" w:rsidRDefault="00046465">
      <w:pPr>
        <w:sectPr w:rsidR="00046465">
          <w:pgSz w:w="12240" w:h="15840"/>
          <w:pgMar w:top="1800" w:right="1080" w:bottom="940" w:left="1080" w:header="865" w:footer="742" w:gutter="0"/>
          <w:cols w:space="720"/>
        </w:sectPr>
      </w:pPr>
    </w:p>
    <w:p w14:paraId="0DFDBB4F" w14:textId="77777777" w:rsidR="00046465" w:rsidRDefault="008134EB">
      <w:pPr>
        <w:pStyle w:val="Heading3"/>
        <w:spacing w:before="80"/>
        <w:rPr>
          <w:u w:val="none"/>
        </w:rPr>
      </w:pPr>
      <w:bookmarkStart w:id="227" w:name="808_–_Civil_Service_Retirement_Act_(CSRA"/>
      <w:bookmarkStart w:id="228" w:name="_bookmark119"/>
      <w:bookmarkEnd w:id="227"/>
      <w:bookmarkEnd w:id="228"/>
      <w:r>
        <w:lastRenderedPageBreak/>
        <w:t>808</w:t>
      </w:r>
      <w:r>
        <w:rPr>
          <w:spacing w:val="-6"/>
        </w:rPr>
        <w:t xml:space="preserve"> </w:t>
      </w:r>
      <w:r>
        <w:t>–</w:t>
      </w:r>
      <w:r>
        <w:rPr>
          <w:spacing w:val="-3"/>
        </w:rPr>
        <w:t xml:space="preserve"> </w:t>
      </w:r>
      <w:r>
        <w:t>Civil</w:t>
      </w:r>
      <w:r>
        <w:rPr>
          <w:spacing w:val="-4"/>
        </w:rPr>
        <w:t xml:space="preserve"> </w:t>
      </w:r>
      <w:r>
        <w:t>Service</w:t>
      </w:r>
      <w:r>
        <w:rPr>
          <w:spacing w:val="-3"/>
        </w:rPr>
        <w:t xml:space="preserve"> </w:t>
      </w:r>
      <w:r>
        <w:t>Retirement</w:t>
      </w:r>
      <w:r>
        <w:rPr>
          <w:spacing w:val="-15"/>
        </w:rPr>
        <w:t xml:space="preserve"> </w:t>
      </w:r>
      <w:r>
        <w:t>Act</w:t>
      </w:r>
      <w:r>
        <w:rPr>
          <w:spacing w:val="-3"/>
        </w:rPr>
        <w:t xml:space="preserve"> </w:t>
      </w:r>
      <w:r>
        <w:t>(CSRA),</w:t>
      </w:r>
      <w:r>
        <w:rPr>
          <w:spacing w:val="-5"/>
        </w:rPr>
        <w:t xml:space="preserve"> </w:t>
      </w:r>
      <w:r>
        <w:t>as</w:t>
      </w:r>
      <w:r>
        <w:rPr>
          <w:spacing w:val="-4"/>
        </w:rPr>
        <w:t xml:space="preserve"> </w:t>
      </w:r>
      <w:r>
        <w:t>Provide</w:t>
      </w:r>
      <w:bookmarkStart w:id="229" w:name="_bookmark120"/>
      <w:bookmarkEnd w:id="229"/>
      <w:r>
        <w:t>d</w:t>
      </w:r>
      <w:r>
        <w:rPr>
          <w:spacing w:val="-4"/>
        </w:rPr>
        <w:t xml:space="preserve"> </w:t>
      </w:r>
      <w:r>
        <w:t>i</w:t>
      </w:r>
      <w:bookmarkStart w:id="230" w:name="_bookmark121"/>
      <w:bookmarkEnd w:id="230"/>
      <w:r>
        <w:t>n</w:t>
      </w:r>
      <w:r>
        <w:rPr>
          <w:spacing w:val="-3"/>
        </w:rPr>
        <w:t xml:space="preserve"> </w:t>
      </w:r>
      <w:r>
        <w:t>5</w:t>
      </w:r>
      <w:r>
        <w:rPr>
          <w:spacing w:val="-3"/>
        </w:rPr>
        <w:t xml:space="preserve"> </w:t>
      </w:r>
      <w:bookmarkStart w:id="231" w:name="_bookmark122"/>
      <w:bookmarkEnd w:id="231"/>
      <w:r>
        <w:t>U.S.C.</w:t>
      </w:r>
      <w:r>
        <w:rPr>
          <w:spacing w:val="-4"/>
        </w:rPr>
        <w:t xml:space="preserve"> </w:t>
      </w:r>
      <w:r>
        <w:t>Chapter</w:t>
      </w:r>
      <w:r>
        <w:rPr>
          <w:spacing w:val="-4"/>
        </w:rPr>
        <w:t xml:space="preserve"> </w:t>
      </w:r>
      <w:r>
        <w:rPr>
          <w:spacing w:val="-5"/>
        </w:rPr>
        <w:t>83</w:t>
      </w:r>
    </w:p>
    <w:p w14:paraId="0DFDBB50" w14:textId="77777777" w:rsidR="00046465" w:rsidRDefault="008134EB">
      <w:pPr>
        <w:pStyle w:val="BodyText"/>
        <w:spacing w:before="239"/>
        <w:ind w:left="359"/>
      </w:pPr>
      <w:r>
        <w:t>Note:</w:t>
      </w:r>
      <w:r>
        <w:rPr>
          <w:spacing w:val="-2"/>
        </w:rPr>
        <w:t xml:space="preserve"> </w:t>
      </w:r>
      <w:r>
        <w:t>The</w:t>
      </w:r>
      <w:r>
        <w:rPr>
          <w:spacing w:val="-3"/>
        </w:rPr>
        <w:t xml:space="preserve"> </w:t>
      </w:r>
      <w:r>
        <w:t>auditor</w:t>
      </w:r>
      <w:r>
        <w:rPr>
          <w:spacing w:val="-2"/>
        </w:rPr>
        <w:t xml:space="preserve"> </w:t>
      </w:r>
      <w:r>
        <w:t>should</w:t>
      </w:r>
      <w:r>
        <w:rPr>
          <w:spacing w:val="-3"/>
        </w:rPr>
        <w:t xml:space="preserve"> </w:t>
      </w:r>
      <w:r>
        <w:t>complete</w:t>
      </w:r>
      <w:r>
        <w:rPr>
          <w:spacing w:val="-2"/>
        </w:rPr>
        <w:t xml:space="preserve"> </w:t>
      </w:r>
      <w:r>
        <w:t>this</w:t>
      </w:r>
      <w:r>
        <w:rPr>
          <w:spacing w:val="-3"/>
        </w:rPr>
        <w:t xml:space="preserve"> </w:t>
      </w:r>
      <w:r>
        <w:t>compliance</w:t>
      </w:r>
      <w:r>
        <w:rPr>
          <w:spacing w:val="-2"/>
        </w:rPr>
        <w:t xml:space="preserve"> </w:t>
      </w:r>
      <w:r>
        <w:t>summary</w:t>
      </w:r>
      <w:r>
        <w:rPr>
          <w:spacing w:val="-3"/>
        </w:rPr>
        <w:t xml:space="preserve"> </w:t>
      </w:r>
      <w:r>
        <w:t>or</w:t>
      </w:r>
      <w:r>
        <w:rPr>
          <w:spacing w:val="-2"/>
        </w:rPr>
        <w:t xml:space="preserve"> </w:t>
      </w:r>
      <w:r>
        <w:t>prepare</w:t>
      </w:r>
      <w:r>
        <w:rPr>
          <w:spacing w:val="-3"/>
        </w:rPr>
        <w:t xml:space="preserve"> </w:t>
      </w:r>
      <w:r>
        <w:t>equivalent</w:t>
      </w:r>
      <w:r>
        <w:rPr>
          <w:spacing w:val="-2"/>
        </w:rPr>
        <w:t xml:space="preserve"> </w:t>
      </w:r>
      <w:r>
        <w:t>documentation</w:t>
      </w:r>
      <w:r>
        <w:rPr>
          <w:spacing w:val="-3"/>
        </w:rPr>
        <w:t xml:space="preserve"> </w:t>
      </w:r>
      <w:r>
        <w:t>only</w:t>
      </w:r>
      <w:r>
        <w:rPr>
          <w:spacing w:val="-2"/>
        </w:rPr>
        <w:t xml:space="preserve"> </w:t>
      </w:r>
      <w:r>
        <w:t>if</w:t>
      </w:r>
      <w:r>
        <w:rPr>
          <w:spacing w:val="-3"/>
        </w:rPr>
        <w:t xml:space="preserve"> </w:t>
      </w:r>
      <w:r>
        <w:t>provisions</w:t>
      </w:r>
      <w:r>
        <w:rPr>
          <w:spacing w:val="-2"/>
        </w:rPr>
        <w:t xml:space="preserve"> </w:t>
      </w:r>
      <w:r>
        <w:t>of</w:t>
      </w:r>
      <w:r>
        <w:rPr>
          <w:spacing w:val="-3"/>
        </w:rPr>
        <w:t xml:space="preserve"> </w:t>
      </w:r>
      <w:r>
        <w:t>the</w:t>
      </w:r>
      <w:r>
        <w:rPr>
          <w:spacing w:val="-2"/>
        </w:rPr>
        <w:t xml:space="preserve"> </w:t>
      </w:r>
      <w:r>
        <w:t>Civil</w:t>
      </w:r>
      <w:r>
        <w:rPr>
          <w:spacing w:val="-3"/>
        </w:rPr>
        <w:t xml:space="preserve"> </w:t>
      </w:r>
      <w:r>
        <w:t>Service Retirement Act (CSRA), as provided in 5 U.S.C. chapter 83, are significant, as indicated on Form 802, General Compliance Checklist. Implementing regulations for CSRA’s general administration are included in 5 C.F.R. Part 831.</w:t>
      </w:r>
    </w:p>
    <w:p w14:paraId="0DFDBB51" w14:textId="77777777" w:rsidR="00046465" w:rsidRDefault="00046465">
      <w:pPr>
        <w:pStyle w:val="BodyText"/>
        <w:rPr>
          <w:sz w:val="20"/>
        </w:rPr>
      </w:pPr>
    </w:p>
    <w:p w14:paraId="0DFDBB52" w14:textId="77777777" w:rsidR="00046465" w:rsidRDefault="00046465">
      <w:pPr>
        <w:pStyle w:val="BodyText"/>
        <w:spacing w:before="91"/>
        <w:rPr>
          <w:sz w:val="20"/>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68"/>
        <w:gridCol w:w="1776"/>
        <w:gridCol w:w="2201"/>
        <w:gridCol w:w="1519"/>
        <w:gridCol w:w="1640"/>
        <w:gridCol w:w="2172"/>
      </w:tblGrid>
      <w:tr w:rsidR="00046465" w14:paraId="0DFDBB56" w14:textId="77777777">
        <w:trPr>
          <w:trHeight w:val="1573"/>
        </w:trPr>
        <w:tc>
          <w:tcPr>
            <w:tcW w:w="13176" w:type="dxa"/>
            <w:gridSpan w:val="6"/>
          </w:tcPr>
          <w:p w14:paraId="0DFDBB53" w14:textId="77777777" w:rsidR="00046465" w:rsidRDefault="008134EB">
            <w:pPr>
              <w:pStyle w:val="TableParagraph"/>
              <w:tabs>
                <w:tab w:val="left" w:pos="9184"/>
              </w:tabs>
              <w:spacing w:before="144"/>
              <w:ind w:right="1925"/>
              <w:jc w:val="center"/>
            </w:pPr>
            <w:r>
              <w:t>Name</w:t>
            </w:r>
            <w:r>
              <w:rPr>
                <w:spacing w:val="-5"/>
              </w:rPr>
              <w:t xml:space="preserve"> </w:t>
            </w:r>
            <w:r>
              <w:t>of</w:t>
            </w:r>
            <w:r>
              <w:rPr>
                <w:spacing w:val="-5"/>
              </w:rPr>
              <w:t xml:space="preserve"> </w:t>
            </w:r>
            <w:r>
              <w:rPr>
                <w:spacing w:val="-2"/>
              </w:rPr>
              <w:t>entity:</w:t>
            </w:r>
            <w:r>
              <w:tab/>
              <w:t>Prepared</w:t>
            </w:r>
            <w:r>
              <w:rPr>
                <w:spacing w:val="-11"/>
              </w:rPr>
              <w:t xml:space="preserve"> </w:t>
            </w:r>
            <w:r>
              <w:rPr>
                <w:spacing w:val="-5"/>
              </w:rPr>
              <w:t>by:</w:t>
            </w:r>
          </w:p>
          <w:p w14:paraId="0DFDBB54" w14:textId="77777777" w:rsidR="00046465" w:rsidRDefault="008134EB">
            <w:pPr>
              <w:pStyle w:val="TableParagraph"/>
              <w:spacing w:before="12"/>
              <w:ind w:left="1946" w:right="1925"/>
              <w:jc w:val="center"/>
              <w:rPr>
                <w:b/>
                <w:sz w:val="24"/>
              </w:rPr>
            </w:pPr>
            <w:r>
              <w:rPr>
                <w:b/>
                <w:noProof/>
                <w:sz w:val="24"/>
              </w:rPr>
              <mc:AlternateContent>
                <mc:Choice Requires="wpg">
                  <w:drawing>
                    <wp:anchor distT="0" distB="0" distL="0" distR="0" simplePos="0" relativeHeight="476153856" behindDoc="1" locked="0" layoutInCell="1" allowOverlap="1" wp14:anchorId="0DFDD697" wp14:editId="0DFDD698">
                      <wp:simplePos x="0" y="0"/>
                      <wp:positionH relativeFrom="column">
                        <wp:posOffset>6953250</wp:posOffset>
                      </wp:positionH>
                      <wp:positionV relativeFrom="paragraph">
                        <wp:posOffset>91882</wp:posOffset>
                      </wp:positionV>
                      <wp:extent cx="1344930" cy="6350"/>
                      <wp:effectExtent l="0" t="0" r="0" b="0"/>
                      <wp:wrapNone/>
                      <wp:docPr id="724"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725" name="Graphic 725"/>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3DBB73" id="Group 724" o:spid="_x0000_s1026" style="position:absolute;margin-left:547.5pt;margin-top:7.25pt;width:105.9pt;height:.5pt;z-index:-27162624;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">
                      <v:shape id="Graphic 725"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" path="m1344929,l,,,6108r1344929,l1344929,xe" fillcolor="black" stroked="f">
                        <v:path arrowok="t"/>
                      </v:shape>
                    </v:group>
                  </w:pict>
                </mc:Fallback>
              </mc:AlternateContent>
            </w:r>
            <w:r>
              <w:rPr>
                <w:b/>
                <w:noProof/>
                <w:sz w:val="24"/>
              </w:rPr>
              <mc:AlternateContent>
                <mc:Choice Requires="wpg">
                  <w:drawing>
                    <wp:anchor distT="0" distB="0" distL="0" distR="0" simplePos="0" relativeHeight="476154880" behindDoc="1" locked="0" layoutInCell="1" allowOverlap="1" wp14:anchorId="0DFDD699" wp14:editId="0DFDD69A">
                      <wp:simplePos x="0" y="0"/>
                      <wp:positionH relativeFrom="column">
                        <wp:posOffset>6953250</wp:posOffset>
                      </wp:positionH>
                      <wp:positionV relativeFrom="paragraph">
                        <wp:posOffset>441640</wp:posOffset>
                      </wp:positionV>
                      <wp:extent cx="1344930" cy="6350"/>
                      <wp:effectExtent l="0" t="0" r="0" b="0"/>
                      <wp:wrapNone/>
                      <wp:docPr id="726"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727" name="Graphic 727"/>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EA812B" id="Group 726" o:spid="_x0000_s1026" style="position:absolute;margin-left:547.5pt;margin-top:34.75pt;width:105.9pt;height:.5pt;z-index:-27161600;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">
                      <v:shape id="Graphic 727"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" path="m1344929,l,,,6108r1344929,l1344929,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B55" w14:textId="77777777" w:rsidR="00046465" w:rsidRDefault="008134EB">
            <w:pPr>
              <w:pStyle w:val="TableParagraph"/>
              <w:tabs>
                <w:tab w:val="left" w:pos="8878"/>
              </w:tabs>
              <w:spacing w:before="10"/>
              <w:ind w:right="1681"/>
              <w:jc w:val="center"/>
            </w:pPr>
            <w:r>
              <w:rPr>
                <w:noProof/>
              </w:rPr>
              <mc:AlternateContent>
                <mc:Choice Requires="wpg">
                  <w:drawing>
                    <wp:anchor distT="0" distB="0" distL="0" distR="0" simplePos="0" relativeHeight="476153344" behindDoc="1" locked="0" layoutInCell="1" allowOverlap="1" wp14:anchorId="0DFDD69B" wp14:editId="0DFDD69C">
                      <wp:simplePos x="0" y="0"/>
                      <wp:positionH relativeFrom="column">
                        <wp:posOffset>1260347</wp:posOffset>
                      </wp:positionH>
                      <wp:positionV relativeFrom="paragraph">
                        <wp:posOffset>-91198</wp:posOffset>
                      </wp:positionV>
                      <wp:extent cx="1183005" cy="6350"/>
                      <wp:effectExtent l="0" t="0" r="0" b="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729" name="Graphic 729"/>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F7CAF8" id="Group 728" o:spid="_x0000_s1026" style="position:absolute;margin-left:99.25pt;margin-top:-7.2pt;width:93.15pt;height:.5pt;z-index:-27163136;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">
                      <v:shape id="Graphic 729"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" path="m1182611,l,,,6108r1182611,l1182611,xe" fillcolor="black" stroked="f">
                        <v:path arrowok="t"/>
                      </v:shape>
                    </v:group>
                  </w:pict>
                </mc:Fallback>
              </mc:AlternateContent>
            </w:r>
            <w:r>
              <w:rPr>
                <w:noProof/>
              </w:rPr>
              <mc:AlternateContent>
                <mc:Choice Requires="wpg">
                  <w:drawing>
                    <wp:anchor distT="0" distB="0" distL="0" distR="0" simplePos="0" relativeHeight="476154368" behindDoc="1" locked="0" layoutInCell="1" allowOverlap="1" wp14:anchorId="0DFDD69D" wp14:editId="0DFDD69E">
                      <wp:simplePos x="0" y="0"/>
                      <wp:positionH relativeFrom="column">
                        <wp:posOffset>1260347</wp:posOffset>
                      </wp:positionH>
                      <wp:positionV relativeFrom="paragraph">
                        <wp:posOffset>258559</wp:posOffset>
                      </wp:positionV>
                      <wp:extent cx="1183005" cy="6350"/>
                      <wp:effectExtent l="0" t="0" r="0" b="0"/>
                      <wp:wrapNone/>
                      <wp:docPr id="730"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731" name="Graphic 731"/>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CECF84B" id="Group 730" o:spid="_x0000_s1026" style="position:absolute;margin-left:99.25pt;margin-top:20.35pt;width:93.15pt;height:.5pt;z-index:-27162112;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">
                      <v:shape id="Graphic 731"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" path="m1182611,l,,,6108r1182611,l1182611,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B61" w14:textId="77777777">
        <w:trPr>
          <w:trHeight w:val="794"/>
        </w:trPr>
        <w:tc>
          <w:tcPr>
            <w:tcW w:w="3868" w:type="dxa"/>
            <w:tcBorders>
              <w:right w:val="single" w:sz="4" w:space="0" w:color="000000"/>
            </w:tcBorders>
          </w:tcPr>
          <w:p w14:paraId="0DFDBB57" w14:textId="77777777" w:rsidR="00046465" w:rsidRDefault="00046465">
            <w:pPr>
              <w:pStyle w:val="TableParagraph"/>
              <w:spacing w:before="144"/>
            </w:pPr>
          </w:p>
          <w:p w14:paraId="0DFDBB58" w14:textId="77777777" w:rsidR="00046465" w:rsidRDefault="008134EB">
            <w:pPr>
              <w:pStyle w:val="TableParagraph"/>
              <w:spacing w:before="1"/>
              <w:ind w:left="97"/>
            </w:pPr>
            <w:r>
              <w:t>Provision</w:t>
            </w:r>
            <w:r>
              <w:rPr>
                <w:spacing w:val="-11"/>
              </w:rPr>
              <w:t xml:space="preserve"> </w:t>
            </w:r>
            <w:r>
              <w:rPr>
                <w:spacing w:val="-2"/>
              </w:rPr>
              <w:t>Description</w:t>
            </w:r>
          </w:p>
        </w:tc>
        <w:tc>
          <w:tcPr>
            <w:tcW w:w="1776" w:type="dxa"/>
            <w:tcBorders>
              <w:left w:val="single" w:sz="4" w:space="0" w:color="000000"/>
              <w:right w:val="single" w:sz="4" w:space="0" w:color="000000"/>
            </w:tcBorders>
          </w:tcPr>
          <w:p w14:paraId="0DFDBB59" w14:textId="77777777" w:rsidR="00046465" w:rsidRDefault="00046465">
            <w:pPr>
              <w:pStyle w:val="TableParagraph"/>
              <w:spacing w:before="144"/>
            </w:pPr>
          </w:p>
          <w:p w14:paraId="0DFDBB5A" w14:textId="77777777" w:rsidR="00046465" w:rsidRDefault="008134EB">
            <w:pPr>
              <w:pStyle w:val="TableParagraph"/>
              <w:spacing w:before="1"/>
              <w:ind w:left="107"/>
            </w:pPr>
            <w:r>
              <w:rPr>
                <w:spacing w:val="-2"/>
              </w:rPr>
              <w:t>Objective</w:t>
            </w:r>
          </w:p>
        </w:tc>
        <w:tc>
          <w:tcPr>
            <w:tcW w:w="2201" w:type="dxa"/>
            <w:tcBorders>
              <w:left w:val="single" w:sz="4" w:space="0" w:color="000000"/>
              <w:right w:val="single" w:sz="4" w:space="0" w:color="000000"/>
            </w:tcBorders>
          </w:tcPr>
          <w:p w14:paraId="0DFDBB5B" w14:textId="77777777" w:rsidR="00046465" w:rsidRDefault="00046465">
            <w:pPr>
              <w:pStyle w:val="TableParagraph"/>
              <w:spacing w:before="144"/>
            </w:pPr>
          </w:p>
          <w:p w14:paraId="0DFDBB5C" w14:textId="77777777" w:rsidR="00046465" w:rsidRDefault="008134EB">
            <w:pPr>
              <w:pStyle w:val="TableParagraph"/>
              <w:spacing w:before="1"/>
              <w:ind w:left="106"/>
            </w:pPr>
            <w:r>
              <w:t>Control</w:t>
            </w:r>
            <w:r>
              <w:rPr>
                <w:spacing w:val="-9"/>
              </w:rPr>
              <w:t xml:space="preserve"> </w:t>
            </w:r>
            <w:r>
              <w:rPr>
                <w:spacing w:val="-2"/>
              </w:rPr>
              <w:t>Activities</w:t>
            </w:r>
          </w:p>
        </w:tc>
        <w:tc>
          <w:tcPr>
            <w:tcW w:w="1519" w:type="dxa"/>
            <w:tcBorders>
              <w:left w:val="single" w:sz="4" w:space="0" w:color="000000"/>
              <w:right w:val="single" w:sz="4" w:space="0" w:color="000000"/>
            </w:tcBorders>
          </w:tcPr>
          <w:p w14:paraId="0DFDBB5D" w14:textId="77777777" w:rsidR="00046465" w:rsidRDefault="00046465">
            <w:pPr>
              <w:pStyle w:val="TableParagraph"/>
              <w:spacing w:before="144"/>
            </w:pPr>
          </w:p>
          <w:p w14:paraId="0DFDBB5E" w14:textId="77777777" w:rsidR="00046465" w:rsidRDefault="008134EB">
            <w:pPr>
              <w:pStyle w:val="TableParagraph"/>
              <w:spacing w:before="1"/>
              <w:ind w:left="107"/>
            </w:pPr>
            <w:r>
              <w:t>IS</w:t>
            </w:r>
            <w:r>
              <w:rPr>
                <w:spacing w:val="-3"/>
              </w:rPr>
              <w:t xml:space="preserve"> </w:t>
            </w:r>
            <w:r>
              <w:rPr>
                <w:spacing w:val="-2"/>
              </w:rPr>
              <w:t>(Y/N)</w:t>
            </w:r>
          </w:p>
        </w:tc>
        <w:tc>
          <w:tcPr>
            <w:tcW w:w="1640" w:type="dxa"/>
            <w:tcBorders>
              <w:left w:val="single" w:sz="4" w:space="0" w:color="000000"/>
              <w:right w:val="single" w:sz="4" w:space="0" w:color="000000"/>
            </w:tcBorders>
          </w:tcPr>
          <w:p w14:paraId="0DFDBB5F" w14:textId="77777777" w:rsidR="00046465" w:rsidRDefault="008134EB">
            <w:pPr>
              <w:pStyle w:val="TableParagraph"/>
              <w:spacing w:before="144"/>
              <w:ind w:left="107" w:right="99"/>
            </w:pPr>
            <w:r>
              <w:rPr>
                <w:spacing w:val="-2"/>
              </w:rPr>
              <w:t>Effective controls?</w:t>
            </w:r>
          </w:p>
        </w:tc>
        <w:tc>
          <w:tcPr>
            <w:tcW w:w="2172" w:type="dxa"/>
            <w:tcBorders>
              <w:left w:val="single" w:sz="4" w:space="0" w:color="000000"/>
            </w:tcBorders>
          </w:tcPr>
          <w:p w14:paraId="0DFDBB60" w14:textId="77777777" w:rsidR="00046465" w:rsidRDefault="008134EB">
            <w:pPr>
              <w:pStyle w:val="TableParagraph"/>
              <w:spacing w:before="144"/>
              <w:ind w:left="107"/>
            </w:pPr>
            <w:r>
              <w:t xml:space="preserve">Instances of </w:t>
            </w:r>
            <w:r>
              <w:rPr>
                <w:spacing w:val="-2"/>
              </w:rPr>
              <w:t>noncompliance?</w:t>
            </w:r>
          </w:p>
        </w:tc>
      </w:tr>
      <w:tr w:rsidR="00046465" w14:paraId="0DFDBB6E" w14:textId="77777777">
        <w:trPr>
          <w:trHeight w:val="2232"/>
        </w:trPr>
        <w:tc>
          <w:tcPr>
            <w:tcW w:w="3868" w:type="dxa"/>
            <w:tcBorders>
              <w:bottom w:val="single" w:sz="4" w:space="0" w:color="000000"/>
              <w:right w:val="single" w:sz="4" w:space="0" w:color="000000"/>
            </w:tcBorders>
          </w:tcPr>
          <w:p w14:paraId="0DFDBB62" w14:textId="77777777" w:rsidR="00046465" w:rsidRDefault="008134EB">
            <w:pPr>
              <w:pStyle w:val="TableParagraph"/>
              <w:spacing w:before="143"/>
              <w:ind w:left="817" w:right="136" w:hanging="720"/>
              <w:rPr>
                <w:sz w:val="18"/>
              </w:rPr>
            </w:pPr>
            <w:r>
              <w:rPr>
                <w:smallCaps/>
                <w:sz w:val="18"/>
              </w:rPr>
              <w:t xml:space="preserve">808.01. </w:t>
            </w:r>
            <w:r>
              <w:rPr>
                <w:smallCaps/>
                <w:spacing w:val="20"/>
                <w:sz w:val="18"/>
              </w:rPr>
              <w:t xml:space="preserve"> </w:t>
            </w:r>
            <w:r>
              <w:rPr>
                <w:smallCaps/>
                <w:sz w:val="18"/>
              </w:rPr>
              <w:t>Entity Withholdings from</w:t>
            </w:r>
            <w:r>
              <w:rPr>
                <w:smallCaps/>
                <w:spacing w:val="40"/>
                <w:sz w:val="18"/>
              </w:rPr>
              <w:t xml:space="preserve"> </w:t>
            </w:r>
            <w:r>
              <w:rPr>
                <w:smallCaps/>
                <w:sz w:val="18"/>
              </w:rPr>
              <w:t>Employee</w:t>
            </w:r>
            <w:r>
              <w:rPr>
                <w:smallCaps/>
                <w:spacing w:val="-10"/>
                <w:sz w:val="18"/>
              </w:rPr>
              <w:t xml:space="preserve"> </w:t>
            </w:r>
            <w:r>
              <w:rPr>
                <w:smallCaps/>
                <w:sz w:val="18"/>
              </w:rPr>
              <w:t>Pay</w:t>
            </w:r>
            <w:r>
              <w:rPr>
                <w:smallCaps/>
                <w:spacing w:val="-10"/>
                <w:sz w:val="18"/>
              </w:rPr>
              <w:t xml:space="preserve"> </w:t>
            </w:r>
            <w:r>
              <w:rPr>
                <w:smallCaps/>
                <w:sz w:val="18"/>
              </w:rPr>
              <w:t>for</w:t>
            </w:r>
            <w:r>
              <w:rPr>
                <w:smallCaps/>
                <w:spacing w:val="-10"/>
                <w:sz w:val="18"/>
              </w:rPr>
              <w:t xml:space="preserve"> </w:t>
            </w:r>
            <w:r>
              <w:rPr>
                <w:smallCaps/>
                <w:sz w:val="18"/>
              </w:rPr>
              <w:t>Retirement</w:t>
            </w:r>
            <w:r>
              <w:rPr>
                <w:smallCaps/>
                <w:spacing w:val="40"/>
                <w:sz w:val="18"/>
              </w:rPr>
              <w:t xml:space="preserve"> </w:t>
            </w:r>
            <w:r>
              <w:rPr>
                <w:smallCaps/>
                <w:spacing w:val="-2"/>
                <w:sz w:val="18"/>
              </w:rPr>
              <w:t>Benefits.</w:t>
            </w:r>
          </w:p>
          <w:p w14:paraId="0DFDBB63" w14:textId="77777777" w:rsidR="00046465" w:rsidRDefault="008134EB">
            <w:pPr>
              <w:pStyle w:val="TableParagraph"/>
              <w:spacing w:before="3" w:line="350" w:lineRule="atLeast"/>
              <w:ind w:left="97" w:right="629"/>
              <w:rPr>
                <w:sz w:val="18"/>
              </w:rPr>
            </w:pPr>
            <w:r>
              <w:rPr>
                <w:sz w:val="18"/>
              </w:rPr>
              <w:t>Provision Type: Transaction-based.</w:t>
            </w:r>
            <w:r>
              <w:rPr>
                <w:spacing w:val="40"/>
                <w:sz w:val="18"/>
              </w:rPr>
              <w:t xml:space="preserve"> </w:t>
            </w:r>
            <w:r>
              <w:rPr>
                <w:sz w:val="18"/>
              </w:rPr>
              <w:t>For</w:t>
            </w:r>
            <w:r>
              <w:rPr>
                <w:spacing w:val="-6"/>
                <w:sz w:val="18"/>
              </w:rPr>
              <w:t xml:space="preserve"> </w:t>
            </w:r>
            <w:r>
              <w:rPr>
                <w:sz w:val="18"/>
              </w:rPr>
              <w:t>each</w:t>
            </w:r>
            <w:r>
              <w:rPr>
                <w:spacing w:val="-7"/>
                <w:sz w:val="18"/>
              </w:rPr>
              <w:t xml:space="preserve"> </w:t>
            </w:r>
            <w:r>
              <w:rPr>
                <w:sz w:val="18"/>
              </w:rPr>
              <w:t>employee</w:t>
            </w:r>
            <w:hyperlink w:anchor="_bookmark120" w:history="1">
              <w:r>
                <w:rPr>
                  <w:position w:val="6"/>
                  <w:sz w:val="12"/>
                </w:rPr>
                <w:t>52</w:t>
              </w:r>
            </w:hyperlink>
            <w:r>
              <w:rPr>
                <w:spacing w:val="11"/>
                <w:position w:val="6"/>
                <w:sz w:val="12"/>
              </w:rPr>
              <w:t xml:space="preserve"> </w:t>
            </w:r>
            <w:r>
              <w:rPr>
                <w:sz w:val="18"/>
              </w:rPr>
              <w:t>employed</w:t>
            </w:r>
            <w:r>
              <w:rPr>
                <w:spacing w:val="-7"/>
                <w:sz w:val="18"/>
              </w:rPr>
              <w:t xml:space="preserve"> </w:t>
            </w:r>
            <w:r>
              <w:rPr>
                <w:sz w:val="18"/>
              </w:rPr>
              <w:t>prior</w:t>
            </w:r>
            <w:r>
              <w:rPr>
                <w:spacing w:val="-6"/>
                <w:sz w:val="18"/>
              </w:rPr>
              <w:t xml:space="preserve"> </w:t>
            </w:r>
            <w:r>
              <w:rPr>
                <w:sz w:val="18"/>
              </w:rPr>
              <w:t>to</w:t>
            </w:r>
          </w:p>
          <w:p w14:paraId="0DFDBB64" w14:textId="77777777" w:rsidR="00046465" w:rsidRDefault="008134EB">
            <w:pPr>
              <w:pStyle w:val="TableParagraph"/>
              <w:spacing w:line="235" w:lineRule="auto"/>
              <w:ind w:left="97" w:right="128" w:hanging="1"/>
              <w:rPr>
                <w:sz w:val="18"/>
              </w:rPr>
            </w:pPr>
            <w:r>
              <w:rPr>
                <w:sz w:val="18"/>
              </w:rPr>
              <w:t>January</w:t>
            </w:r>
            <w:r>
              <w:rPr>
                <w:spacing w:val="-4"/>
                <w:sz w:val="18"/>
              </w:rPr>
              <w:t xml:space="preserve"> </w:t>
            </w:r>
            <w:r>
              <w:rPr>
                <w:sz w:val="18"/>
              </w:rPr>
              <w:t>1,</w:t>
            </w:r>
            <w:r>
              <w:rPr>
                <w:spacing w:val="-4"/>
                <w:sz w:val="18"/>
              </w:rPr>
              <w:t xml:space="preserve"> </w:t>
            </w:r>
            <w:r>
              <w:rPr>
                <w:sz w:val="18"/>
              </w:rPr>
              <w:t>1984,</w:t>
            </w:r>
            <w:hyperlink w:anchor="_bookmark121" w:history="1">
              <w:r>
                <w:rPr>
                  <w:position w:val="6"/>
                  <w:sz w:val="12"/>
                </w:rPr>
                <w:t>53</w:t>
              </w:r>
            </w:hyperlink>
            <w:r>
              <w:rPr>
                <w:spacing w:val="13"/>
                <w:position w:val="6"/>
                <w:sz w:val="12"/>
              </w:rPr>
              <w:t xml:space="preserve"> </w:t>
            </w:r>
            <w:r>
              <w:rPr>
                <w:sz w:val="18"/>
              </w:rPr>
              <w:t>the</w:t>
            </w:r>
            <w:r>
              <w:rPr>
                <w:spacing w:val="-5"/>
                <w:sz w:val="18"/>
              </w:rPr>
              <w:t xml:space="preserve"> </w:t>
            </w:r>
            <w:r>
              <w:rPr>
                <w:sz w:val="18"/>
              </w:rPr>
              <w:t>entity</w:t>
            </w:r>
            <w:r>
              <w:rPr>
                <w:spacing w:val="-4"/>
                <w:sz w:val="18"/>
              </w:rPr>
              <w:t xml:space="preserve"> </w:t>
            </w:r>
            <w:r>
              <w:rPr>
                <w:sz w:val="18"/>
              </w:rPr>
              <w:t>shall</w:t>
            </w:r>
            <w:r>
              <w:rPr>
                <w:spacing w:val="-4"/>
                <w:sz w:val="18"/>
              </w:rPr>
              <w:t xml:space="preserve"> </w:t>
            </w:r>
            <w:r>
              <w:rPr>
                <w:sz w:val="18"/>
              </w:rPr>
              <w:t>withhold</w:t>
            </w:r>
            <w:r>
              <w:rPr>
                <w:spacing w:val="-5"/>
                <w:sz w:val="18"/>
              </w:rPr>
              <w:t xml:space="preserve"> </w:t>
            </w:r>
            <w:r>
              <w:rPr>
                <w:sz w:val="18"/>
              </w:rPr>
              <w:t>a percentage</w:t>
            </w:r>
            <w:r>
              <w:rPr>
                <w:spacing w:val="-2"/>
                <w:sz w:val="18"/>
              </w:rPr>
              <w:t xml:space="preserve"> </w:t>
            </w:r>
            <w:r>
              <w:rPr>
                <w:sz w:val="18"/>
              </w:rPr>
              <w:t>of</w:t>
            </w:r>
            <w:r>
              <w:rPr>
                <w:spacing w:val="-1"/>
                <w:sz w:val="18"/>
              </w:rPr>
              <w:t xml:space="preserve"> </w:t>
            </w:r>
            <w:r>
              <w:rPr>
                <w:sz w:val="18"/>
              </w:rPr>
              <w:t>the</w:t>
            </w:r>
            <w:r>
              <w:rPr>
                <w:spacing w:val="-1"/>
                <w:sz w:val="18"/>
              </w:rPr>
              <w:t xml:space="preserve"> </w:t>
            </w:r>
            <w:r>
              <w:rPr>
                <w:sz w:val="18"/>
              </w:rPr>
              <w:t>employee’s basic</w:t>
            </w:r>
            <w:r>
              <w:rPr>
                <w:spacing w:val="-1"/>
                <w:sz w:val="18"/>
              </w:rPr>
              <w:t xml:space="preserve"> </w:t>
            </w:r>
            <w:r>
              <w:rPr>
                <w:sz w:val="18"/>
              </w:rPr>
              <w:t>pay.</w:t>
            </w:r>
            <w:hyperlink w:anchor="_bookmark122" w:history="1">
              <w:r>
                <w:rPr>
                  <w:position w:val="6"/>
                  <w:sz w:val="12"/>
                </w:rPr>
                <w:t>54</w:t>
              </w:r>
            </w:hyperlink>
            <w:r>
              <w:rPr>
                <w:spacing w:val="17"/>
                <w:position w:val="6"/>
                <w:sz w:val="12"/>
              </w:rPr>
              <w:t xml:space="preserve"> </w:t>
            </w:r>
            <w:r>
              <w:rPr>
                <w:spacing w:val="-10"/>
                <w:sz w:val="18"/>
              </w:rPr>
              <w:t>5</w:t>
            </w:r>
          </w:p>
          <w:p w14:paraId="0DFDBB65" w14:textId="77777777" w:rsidR="00046465" w:rsidRDefault="008134EB">
            <w:pPr>
              <w:pStyle w:val="TableParagraph"/>
              <w:spacing w:before="2"/>
              <w:ind w:left="97"/>
              <w:rPr>
                <w:sz w:val="18"/>
              </w:rPr>
            </w:pPr>
            <w:r>
              <w:rPr>
                <w:sz w:val="18"/>
              </w:rPr>
              <w:t>U.S.C.</w:t>
            </w:r>
            <w:r>
              <w:rPr>
                <w:spacing w:val="-2"/>
                <w:sz w:val="18"/>
              </w:rPr>
              <w:t xml:space="preserve"> </w:t>
            </w:r>
            <w:r>
              <w:rPr>
                <w:sz w:val="18"/>
              </w:rPr>
              <w:t>§</w:t>
            </w:r>
            <w:r>
              <w:rPr>
                <w:spacing w:val="-2"/>
                <w:sz w:val="18"/>
              </w:rPr>
              <w:t xml:space="preserve"> 8334(a)(1).</w:t>
            </w:r>
          </w:p>
        </w:tc>
        <w:tc>
          <w:tcPr>
            <w:tcW w:w="1776" w:type="dxa"/>
            <w:tcBorders>
              <w:left w:val="single" w:sz="4" w:space="0" w:color="000000"/>
              <w:bottom w:val="single" w:sz="4" w:space="0" w:color="000000"/>
              <w:right w:val="single" w:sz="4" w:space="0" w:color="000000"/>
            </w:tcBorders>
          </w:tcPr>
          <w:p w14:paraId="0DFDBB66" w14:textId="77777777" w:rsidR="00046465" w:rsidRDefault="008134EB">
            <w:pPr>
              <w:pStyle w:val="TableParagraph"/>
              <w:spacing w:before="143"/>
              <w:ind w:left="107" w:right="165"/>
              <w:rPr>
                <w:sz w:val="18"/>
              </w:rPr>
            </w:pPr>
            <w:r>
              <w:rPr>
                <w:sz w:val="18"/>
              </w:rPr>
              <w:t>The appropriate amount</w:t>
            </w:r>
            <w:r>
              <w:rPr>
                <w:spacing w:val="-15"/>
                <w:sz w:val="18"/>
              </w:rPr>
              <w:t xml:space="preserve"> </w:t>
            </w:r>
            <w:r>
              <w:rPr>
                <w:sz w:val="18"/>
              </w:rPr>
              <w:t>is</w:t>
            </w:r>
            <w:r>
              <w:rPr>
                <w:spacing w:val="-12"/>
                <w:sz w:val="18"/>
              </w:rPr>
              <w:t xml:space="preserve"> </w:t>
            </w:r>
            <w:r>
              <w:rPr>
                <w:sz w:val="18"/>
              </w:rPr>
              <w:t>withheld from employees’ pay. (See footnotes 52</w:t>
            </w:r>
          </w:p>
          <w:p w14:paraId="0DFDBB67" w14:textId="77777777" w:rsidR="00046465" w:rsidRDefault="008134EB">
            <w:pPr>
              <w:pStyle w:val="TableParagraph"/>
              <w:spacing w:before="2"/>
              <w:ind w:left="107"/>
              <w:rPr>
                <w:sz w:val="18"/>
              </w:rPr>
            </w:pPr>
            <w:r>
              <w:rPr>
                <w:sz w:val="18"/>
              </w:rPr>
              <w:t>through</w:t>
            </w:r>
            <w:r>
              <w:rPr>
                <w:spacing w:val="-3"/>
                <w:sz w:val="18"/>
              </w:rPr>
              <w:t xml:space="preserve"> </w:t>
            </w:r>
            <w:r>
              <w:rPr>
                <w:sz w:val="18"/>
              </w:rPr>
              <w:t>54</w:t>
            </w:r>
            <w:r>
              <w:rPr>
                <w:spacing w:val="-2"/>
                <w:sz w:val="18"/>
              </w:rPr>
              <w:t xml:space="preserve"> below.)</w:t>
            </w:r>
          </w:p>
        </w:tc>
        <w:tc>
          <w:tcPr>
            <w:tcW w:w="2201" w:type="dxa"/>
            <w:tcBorders>
              <w:left w:val="single" w:sz="4" w:space="0" w:color="000000"/>
              <w:bottom w:val="single" w:sz="4" w:space="0" w:color="000000"/>
              <w:right w:val="single" w:sz="4" w:space="0" w:color="000000"/>
            </w:tcBorders>
          </w:tcPr>
          <w:p w14:paraId="0DFDBB68" w14:textId="77777777" w:rsidR="00046465" w:rsidRDefault="008134EB">
            <w:pPr>
              <w:pStyle w:val="TableParagraph"/>
              <w:spacing w:before="143"/>
              <w:ind w:left="106"/>
              <w:rPr>
                <w:sz w:val="18"/>
              </w:rPr>
            </w:pPr>
            <w:r>
              <w:rPr>
                <w:sz w:val="18"/>
              </w:rPr>
              <w:t>[Document the control activities</w:t>
            </w:r>
            <w:r>
              <w:rPr>
                <w:spacing w:val="-13"/>
                <w:sz w:val="18"/>
              </w:rPr>
              <w:t xml:space="preserve"> </w:t>
            </w:r>
            <w:r>
              <w:rPr>
                <w:sz w:val="18"/>
              </w:rPr>
              <w:t>that</w:t>
            </w:r>
            <w:r>
              <w:rPr>
                <w:spacing w:val="-12"/>
                <w:sz w:val="18"/>
              </w:rPr>
              <w:t xml:space="preserve"> </w:t>
            </w:r>
            <w:r>
              <w:rPr>
                <w:sz w:val="18"/>
              </w:rPr>
              <w:t>the</w:t>
            </w:r>
            <w:r>
              <w:rPr>
                <w:spacing w:val="-13"/>
                <w:sz w:val="18"/>
              </w:rPr>
              <w:t xml:space="preserve"> </w:t>
            </w:r>
            <w:r>
              <w:rPr>
                <w:sz w:val="18"/>
              </w:rPr>
              <w:t xml:space="preserve">entity used to achieve the </w:t>
            </w:r>
            <w:r>
              <w:rPr>
                <w:spacing w:val="-2"/>
                <w:sz w:val="18"/>
              </w:rPr>
              <w:t>objective.]</w:t>
            </w:r>
          </w:p>
        </w:tc>
        <w:tc>
          <w:tcPr>
            <w:tcW w:w="1519" w:type="dxa"/>
            <w:tcBorders>
              <w:left w:val="single" w:sz="4" w:space="0" w:color="000000"/>
              <w:bottom w:val="single" w:sz="4" w:space="0" w:color="000000"/>
              <w:right w:val="single" w:sz="4" w:space="0" w:color="000000"/>
            </w:tcBorders>
          </w:tcPr>
          <w:p w14:paraId="0DFDBB69" w14:textId="77777777" w:rsidR="00046465" w:rsidRDefault="008134EB">
            <w:pPr>
              <w:pStyle w:val="TableParagraph"/>
              <w:spacing w:before="143"/>
              <w:ind w:left="107" w:right="334"/>
              <w:rPr>
                <w:sz w:val="18"/>
              </w:rPr>
            </w:pPr>
            <w:r>
              <w:rPr>
                <w:sz w:val="18"/>
              </w:rPr>
              <w:t>[Does</w:t>
            </w:r>
            <w:r>
              <w:rPr>
                <w:spacing w:val="-13"/>
                <w:sz w:val="18"/>
              </w:rPr>
              <w:t xml:space="preserve"> </w:t>
            </w:r>
            <w:r>
              <w:rPr>
                <w:sz w:val="18"/>
              </w:rPr>
              <w:t xml:space="preserve">control depend on </w:t>
            </w:r>
            <w:r>
              <w:rPr>
                <w:spacing w:val="-2"/>
                <w:sz w:val="18"/>
              </w:rPr>
              <w:t>information system processing?]</w:t>
            </w:r>
          </w:p>
        </w:tc>
        <w:tc>
          <w:tcPr>
            <w:tcW w:w="1640" w:type="dxa"/>
            <w:tcBorders>
              <w:left w:val="single" w:sz="4" w:space="0" w:color="000000"/>
              <w:bottom w:val="single" w:sz="4" w:space="0" w:color="000000"/>
              <w:right w:val="single" w:sz="4" w:space="0" w:color="000000"/>
            </w:tcBorders>
          </w:tcPr>
          <w:p w14:paraId="0DFDBB6A" w14:textId="77777777" w:rsidR="00046465" w:rsidRDefault="008134EB">
            <w:pPr>
              <w:pStyle w:val="TableParagraph"/>
              <w:spacing w:before="143"/>
              <w:ind w:left="107" w:right="99"/>
              <w:rPr>
                <w:sz w:val="18"/>
              </w:rPr>
            </w:pPr>
            <w:r>
              <w:rPr>
                <w:sz w:val="18"/>
              </w:rPr>
              <w:t xml:space="preserve">[Indicate yes or no; include reference to </w:t>
            </w:r>
            <w:r>
              <w:rPr>
                <w:spacing w:val="-2"/>
                <w:sz w:val="18"/>
              </w:rPr>
              <w:t>supporting documentation.]</w:t>
            </w:r>
          </w:p>
        </w:tc>
        <w:tc>
          <w:tcPr>
            <w:tcW w:w="2172" w:type="dxa"/>
            <w:tcBorders>
              <w:left w:val="single" w:sz="4" w:space="0" w:color="000000"/>
              <w:bottom w:val="single" w:sz="4" w:space="0" w:color="000000"/>
            </w:tcBorders>
          </w:tcPr>
          <w:p w14:paraId="0DFDBB6B" w14:textId="77777777" w:rsidR="00046465" w:rsidRDefault="008134EB">
            <w:pPr>
              <w:pStyle w:val="TableParagraph"/>
              <w:spacing w:before="143"/>
              <w:ind w:left="107"/>
              <w:rPr>
                <w:sz w:val="18"/>
              </w:rPr>
            </w:pPr>
            <w:r>
              <w:rPr>
                <w:sz w:val="18"/>
              </w:rPr>
              <w:t>[Indicate yes or no; include</w:t>
            </w:r>
            <w:r>
              <w:rPr>
                <w:spacing w:val="-15"/>
                <w:sz w:val="18"/>
              </w:rPr>
              <w:t xml:space="preserve"> </w:t>
            </w:r>
            <w:r>
              <w:rPr>
                <w:sz w:val="18"/>
              </w:rPr>
              <w:t>reference</w:t>
            </w:r>
            <w:r>
              <w:rPr>
                <w:spacing w:val="-12"/>
                <w:sz w:val="18"/>
              </w:rPr>
              <w:t xml:space="preserve"> </w:t>
            </w:r>
            <w:r>
              <w:rPr>
                <w:sz w:val="18"/>
              </w:rPr>
              <w:t xml:space="preserve">to </w:t>
            </w:r>
            <w:r>
              <w:rPr>
                <w:spacing w:val="-2"/>
                <w:sz w:val="18"/>
              </w:rPr>
              <w:t>supporting documentation.]</w:t>
            </w:r>
          </w:p>
          <w:p w14:paraId="0DFDBB6C" w14:textId="77777777" w:rsidR="00046465" w:rsidRDefault="008134EB">
            <w:pPr>
              <w:pStyle w:val="TableParagraph"/>
              <w:spacing w:before="144"/>
              <w:ind w:left="107"/>
              <w:rPr>
                <w:sz w:val="18"/>
              </w:rPr>
            </w:pPr>
            <w:r>
              <w:rPr>
                <w:sz w:val="18"/>
              </w:rPr>
              <w:t>See</w:t>
            </w:r>
            <w:r>
              <w:rPr>
                <w:spacing w:val="-15"/>
                <w:sz w:val="18"/>
              </w:rPr>
              <w:t xml:space="preserve"> </w:t>
            </w:r>
            <w:r>
              <w:rPr>
                <w:sz w:val="18"/>
              </w:rPr>
              <w:t>Compliance</w:t>
            </w:r>
            <w:r>
              <w:rPr>
                <w:spacing w:val="-12"/>
                <w:sz w:val="18"/>
              </w:rPr>
              <w:t xml:space="preserve"> </w:t>
            </w:r>
            <w:r>
              <w:rPr>
                <w:sz w:val="18"/>
              </w:rPr>
              <w:t>Audit Procedures,</w:t>
            </w:r>
            <w:r>
              <w:rPr>
                <w:spacing w:val="-4"/>
                <w:sz w:val="18"/>
              </w:rPr>
              <w:t xml:space="preserve"> </w:t>
            </w:r>
            <w:r>
              <w:rPr>
                <w:sz w:val="18"/>
              </w:rPr>
              <w:t>FAM</w:t>
            </w:r>
            <w:r>
              <w:rPr>
                <w:spacing w:val="-3"/>
                <w:sz w:val="18"/>
              </w:rPr>
              <w:t xml:space="preserve"> </w:t>
            </w:r>
            <w:r>
              <w:rPr>
                <w:spacing w:val="-5"/>
                <w:sz w:val="18"/>
              </w:rPr>
              <w:t>808</w:t>
            </w:r>
          </w:p>
          <w:p w14:paraId="0DFDBB6D" w14:textId="77777777" w:rsidR="00046465" w:rsidRDefault="008134EB">
            <w:pPr>
              <w:pStyle w:val="TableParagraph"/>
              <w:spacing w:before="1"/>
              <w:ind w:left="107"/>
              <w:rPr>
                <w:sz w:val="18"/>
              </w:rPr>
            </w:pPr>
            <w:r>
              <w:rPr>
                <w:sz w:val="18"/>
              </w:rPr>
              <w:t>step</w:t>
            </w:r>
            <w:r>
              <w:rPr>
                <w:spacing w:val="-2"/>
                <w:sz w:val="18"/>
              </w:rPr>
              <w:t xml:space="preserve"> </w:t>
            </w:r>
            <w:r>
              <w:rPr>
                <w:sz w:val="18"/>
              </w:rPr>
              <w:t>4</w:t>
            </w:r>
            <w:r>
              <w:rPr>
                <w:spacing w:val="-1"/>
                <w:sz w:val="18"/>
              </w:rPr>
              <w:t xml:space="preserve"> </w:t>
            </w:r>
            <w:r>
              <w:rPr>
                <w:spacing w:val="-4"/>
                <w:sz w:val="18"/>
              </w:rPr>
              <w:t>(b).</w:t>
            </w:r>
          </w:p>
        </w:tc>
      </w:tr>
    </w:tbl>
    <w:p w14:paraId="0DFDBB6F" w14:textId="77777777" w:rsidR="00046465" w:rsidRDefault="00046465">
      <w:pPr>
        <w:pStyle w:val="BodyText"/>
        <w:rPr>
          <w:sz w:val="20"/>
        </w:rPr>
      </w:pPr>
    </w:p>
    <w:p w14:paraId="0DFDBB70" w14:textId="77777777" w:rsidR="00046465" w:rsidRDefault="00046465">
      <w:pPr>
        <w:pStyle w:val="BodyText"/>
        <w:rPr>
          <w:sz w:val="20"/>
        </w:rPr>
      </w:pPr>
    </w:p>
    <w:p w14:paraId="0DFDBB71" w14:textId="77777777" w:rsidR="00046465" w:rsidRDefault="00046465">
      <w:pPr>
        <w:pStyle w:val="BodyText"/>
        <w:rPr>
          <w:sz w:val="20"/>
        </w:rPr>
      </w:pPr>
    </w:p>
    <w:p w14:paraId="0DFDBB72" w14:textId="77777777" w:rsidR="00046465" w:rsidRDefault="008134EB">
      <w:pPr>
        <w:pStyle w:val="BodyText"/>
        <w:spacing w:before="171"/>
        <w:rPr>
          <w:sz w:val="20"/>
        </w:rPr>
      </w:pPr>
      <w:r>
        <w:rPr>
          <w:noProof/>
          <w:sz w:val="20"/>
        </w:rPr>
        <mc:AlternateContent>
          <mc:Choice Requires="wps">
            <w:drawing>
              <wp:anchor distT="0" distB="0" distL="0" distR="0" simplePos="0" relativeHeight="487687168" behindDoc="1" locked="0" layoutInCell="1" allowOverlap="1" wp14:anchorId="0DFDD69F" wp14:editId="0DFDD6A0">
                <wp:simplePos x="0" y="0"/>
                <wp:positionH relativeFrom="page">
                  <wp:posOffset>685800</wp:posOffset>
                </wp:positionH>
                <wp:positionV relativeFrom="paragraph">
                  <wp:posOffset>269918</wp:posOffset>
                </wp:positionV>
                <wp:extent cx="1828800" cy="6985"/>
                <wp:effectExtent l="0" t="0" r="0" b="0"/>
                <wp:wrapTopAndBottom/>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F74DEE" id="Graphic 732" o:spid="_x0000_s1026" style="position:absolute;margin-left:54pt;margin-top:21.25pt;width:2in;height:.55pt;z-index:-1562931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" path="m1828800,l,,,6857r1828800,l1828800,xe" fillcolor="black" stroked="f">
                <v:path arrowok="t"/>
                <w10:wrap type="topAndBottom" anchorx="page"/>
              </v:shape>
            </w:pict>
          </mc:Fallback>
        </mc:AlternateContent>
      </w:r>
    </w:p>
    <w:p w14:paraId="0DFDBB73" w14:textId="77777777" w:rsidR="00046465" w:rsidRDefault="00046465">
      <w:pPr>
        <w:pStyle w:val="BodyText"/>
        <w:spacing w:before="10"/>
        <w:rPr>
          <w:sz w:val="18"/>
        </w:rPr>
      </w:pPr>
    </w:p>
    <w:p w14:paraId="0DFDBB74" w14:textId="77777777" w:rsidR="00046465" w:rsidRDefault="008134EB">
      <w:pPr>
        <w:ind w:left="360"/>
        <w:rPr>
          <w:sz w:val="18"/>
        </w:rPr>
      </w:pPr>
      <w:r>
        <w:rPr>
          <w:position w:val="7"/>
          <w:sz w:val="14"/>
        </w:rPr>
        <w:t>52</w:t>
      </w:r>
      <w:r>
        <w:rPr>
          <w:sz w:val="18"/>
        </w:rPr>
        <w:t>For</w:t>
      </w:r>
      <w:r>
        <w:rPr>
          <w:spacing w:val="-5"/>
          <w:sz w:val="18"/>
        </w:rPr>
        <w:t xml:space="preserve"> </w:t>
      </w:r>
      <w:r>
        <w:rPr>
          <w:sz w:val="18"/>
        </w:rPr>
        <w:t>who</w:t>
      </w:r>
      <w:r>
        <w:rPr>
          <w:spacing w:val="-2"/>
          <w:sz w:val="18"/>
        </w:rPr>
        <w:t xml:space="preserve"> </w:t>
      </w:r>
      <w:r>
        <w:rPr>
          <w:sz w:val="18"/>
        </w:rPr>
        <w:t>qualifies</w:t>
      </w:r>
      <w:r>
        <w:rPr>
          <w:spacing w:val="-2"/>
          <w:sz w:val="18"/>
        </w:rPr>
        <w:t xml:space="preserve"> </w:t>
      </w:r>
      <w:r>
        <w:rPr>
          <w:sz w:val="18"/>
        </w:rPr>
        <w:t>as</w:t>
      </w:r>
      <w:r>
        <w:rPr>
          <w:spacing w:val="-3"/>
          <w:sz w:val="18"/>
        </w:rPr>
        <w:t xml:space="preserve"> </w:t>
      </w:r>
      <w:r>
        <w:rPr>
          <w:sz w:val="18"/>
        </w:rPr>
        <w:t>an</w:t>
      </w:r>
      <w:r>
        <w:rPr>
          <w:spacing w:val="-2"/>
          <w:sz w:val="18"/>
        </w:rPr>
        <w:t xml:space="preserve"> </w:t>
      </w:r>
      <w:r>
        <w:rPr>
          <w:sz w:val="18"/>
        </w:rPr>
        <w:t>employee</w:t>
      </w:r>
      <w:r>
        <w:rPr>
          <w:spacing w:val="-3"/>
          <w:sz w:val="18"/>
        </w:rPr>
        <w:t xml:space="preserve"> </w:t>
      </w:r>
      <w:r>
        <w:rPr>
          <w:sz w:val="18"/>
        </w:rPr>
        <w:t>for</w:t>
      </w:r>
      <w:r>
        <w:rPr>
          <w:spacing w:val="-2"/>
          <w:sz w:val="18"/>
        </w:rPr>
        <w:t xml:space="preserve"> </w:t>
      </w:r>
      <w:r>
        <w:rPr>
          <w:sz w:val="18"/>
        </w:rPr>
        <w:t>purposes</w:t>
      </w:r>
      <w:r>
        <w:rPr>
          <w:spacing w:val="-2"/>
          <w:sz w:val="18"/>
        </w:rPr>
        <w:t xml:space="preserve"> </w:t>
      </w:r>
      <w:r>
        <w:rPr>
          <w:sz w:val="18"/>
        </w:rPr>
        <w:t>of</w:t>
      </w:r>
      <w:r>
        <w:rPr>
          <w:spacing w:val="-2"/>
          <w:sz w:val="18"/>
        </w:rPr>
        <w:t xml:space="preserve"> </w:t>
      </w:r>
      <w:r>
        <w:rPr>
          <w:sz w:val="18"/>
        </w:rPr>
        <w:t>CSRA,</w:t>
      </w:r>
      <w:r>
        <w:rPr>
          <w:spacing w:val="-3"/>
          <w:sz w:val="18"/>
        </w:rPr>
        <w:t xml:space="preserve"> </w:t>
      </w:r>
      <w:r>
        <w:rPr>
          <w:sz w:val="18"/>
        </w:rPr>
        <w:t>see</w:t>
      </w:r>
      <w:r>
        <w:rPr>
          <w:spacing w:val="-2"/>
          <w:sz w:val="18"/>
        </w:rPr>
        <w:t xml:space="preserve"> </w:t>
      </w:r>
      <w:r>
        <w:rPr>
          <w:sz w:val="18"/>
        </w:rPr>
        <w:t>5</w:t>
      </w:r>
      <w:r>
        <w:rPr>
          <w:spacing w:val="-3"/>
          <w:sz w:val="18"/>
        </w:rPr>
        <w:t xml:space="preserve"> </w:t>
      </w:r>
      <w:r>
        <w:rPr>
          <w:sz w:val="18"/>
        </w:rPr>
        <w:t>U.S.C.</w:t>
      </w:r>
      <w:r>
        <w:rPr>
          <w:spacing w:val="-2"/>
          <w:sz w:val="18"/>
        </w:rPr>
        <w:t xml:space="preserve"> </w:t>
      </w:r>
      <w:r>
        <w:rPr>
          <w:sz w:val="18"/>
        </w:rPr>
        <w:t>§</w:t>
      </w:r>
      <w:r>
        <w:rPr>
          <w:spacing w:val="-2"/>
          <w:sz w:val="18"/>
        </w:rPr>
        <w:t xml:space="preserve"> 8331(1).</w:t>
      </w:r>
    </w:p>
    <w:p w14:paraId="0DFDBB75" w14:textId="77777777" w:rsidR="00046465" w:rsidRDefault="008134EB">
      <w:pPr>
        <w:spacing w:before="134" w:line="249" w:lineRule="auto"/>
        <w:ind w:left="359" w:right="111"/>
        <w:rPr>
          <w:sz w:val="18"/>
        </w:rPr>
      </w:pPr>
      <w:r>
        <w:rPr>
          <w:position w:val="7"/>
          <w:sz w:val="14"/>
        </w:rPr>
        <w:t>53</w:t>
      </w:r>
      <w:r>
        <w:rPr>
          <w:sz w:val="18"/>
        </w:rPr>
        <w:t>Employees</w:t>
      </w:r>
      <w:r>
        <w:rPr>
          <w:spacing w:val="-2"/>
          <w:sz w:val="18"/>
        </w:rPr>
        <w:t xml:space="preserve"> </w:t>
      </w:r>
      <w:r>
        <w:rPr>
          <w:sz w:val="18"/>
        </w:rPr>
        <w:t>employed</w:t>
      </w:r>
      <w:r>
        <w:rPr>
          <w:spacing w:val="-3"/>
          <w:sz w:val="18"/>
        </w:rPr>
        <w:t xml:space="preserve"> </w:t>
      </w:r>
      <w:r>
        <w:rPr>
          <w:sz w:val="18"/>
        </w:rPr>
        <w:t>before</w:t>
      </w:r>
      <w:r>
        <w:rPr>
          <w:spacing w:val="-1"/>
          <w:sz w:val="18"/>
        </w:rPr>
        <w:t xml:space="preserve"> </w:t>
      </w:r>
      <w:r>
        <w:rPr>
          <w:sz w:val="18"/>
        </w:rPr>
        <w:t>January</w:t>
      </w:r>
      <w:r>
        <w:rPr>
          <w:spacing w:val="-2"/>
          <w:sz w:val="18"/>
        </w:rPr>
        <w:t xml:space="preserve"> </w:t>
      </w:r>
      <w:r>
        <w:rPr>
          <w:sz w:val="18"/>
        </w:rPr>
        <w:t>1,</w:t>
      </w:r>
      <w:r>
        <w:rPr>
          <w:spacing w:val="-2"/>
          <w:sz w:val="18"/>
        </w:rPr>
        <w:t xml:space="preserve"> </w:t>
      </w:r>
      <w:r>
        <w:rPr>
          <w:sz w:val="18"/>
        </w:rPr>
        <w:t>1984,</w:t>
      </w:r>
      <w:r>
        <w:rPr>
          <w:spacing w:val="-2"/>
          <w:sz w:val="18"/>
        </w:rPr>
        <w:t xml:space="preserve"> </w:t>
      </w:r>
      <w:r>
        <w:rPr>
          <w:sz w:val="18"/>
        </w:rPr>
        <w:t>are</w:t>
      </w:r>
      <w:r>
        <w:rPr>
          <w:spacing w:val="-3"/>
          <w:sz w:val="18"/>
        </w:rPr>
        <w:t xml:space="preserve"> </w:t>
      </w:r>
      <w:r>
        <w:rPr>
          <w:sz w:val="18"/>
        </w:rPr>
        <w:t>generally</w:t>
      </w:r>
      <w:r>
        <w:rPr>
          <w:spacing w:val="-2"/>
          <w:sz w:val="18"/>
        </w:rPr>
        <w:t xml:space="preserve"> </w:t>
      </w:r>
      <w:r>
        <w:rPr>
          <w:sz w:val="18"/>
        </w:rPr>
        <w:t>covered</w:t>
      </w:r>
      <w:r>
        <w:rPr>
          <w:spacing w:val="-3"/>
          <w:sz w:val="18"/>
        </w:rPr>
        <w:t xml:space="preserve"> </w:t>
      </w:r>
      <w:r>
        <w:rPr>
          <w:sz w:val="18"/>
        </w:rPr>
        <w:t>by</w:t>
      </w:r>
      <w:r>
        <w:rPr>
          <w:spacing w:val="-2"/>
          <w:sz w:val="18"/>
        </w:rPr>
        <w:t xml:space="preserve"> </w:t>
      </w:r>
      <w:r>
        <w:rPr>
          <w:sz w:val="18"/>
        </w:rPr>
        <w:t>the</w:t>
      </w:r>
      <w:r>
        <w:rPr>
          <w:spacing w:val="-3"/>
          <w:sz w:val="18"/>
        </w:rPr>
        <w:t xml:space="preserve"> </w:t>
      </w:r>
      <w:r>
        <w:rPr>
          <w:sz w:val="18"/>
        </w:rPr>
        <w:t>Civil</w:t>
      </w:r>
      <w:r>
        <w:rPr>
          <w:spacing w:val="-2"/>
          <w:sz w:val="18"/>
        </w:rPr>
        <w:t xml:space="preserve"> </w:t>
      </w:r>
      <w:r>
        <w:rPr>
          <w:sz w:val="18"/>
        </w:rPr>
        <w:t>Service</w:t>
      </w:r>
      <w:r>
        <w:rPr>
          <w:spacing w:val="-1"/>
          <w:sz w:val="18"/>
        </w:rPr>
        <w:t xml:space="preserve"> </w:t>
      </w:r>
      <w:r>
        <w:rPr>
          <w:sz w:val="18"/>
        </w:rPr>
        <w:t>Retirement</w:t>
      </w:r>
      <w:r>
        <w:rPr>
          <w:spacing w:val="-2"/>
          <w:sz w:val="18"/>
        </w:rPr>
        <w:t xml:space="preserve"> </w:t>
      </w:r>
      <w:r>
        <w:rPr>
          <w:sz w:val="18"/>
        </w:rPr>
        <w:t>Act</w:t>
      </w:r>
      <w:r>
        <w:rPr>
          <w:spacing w:val="-2"/>
          <w:sz w:val="18"/>
        </w:rPr>
        <w:t xml:space="preserve"> </w:t>
      </w:r>
      <w:r>
        <w:rPr>
          <w:sz w:val="18"/>
        </w:rPr>
        <w:t>(CSRA)</w:t>
      </w:r>
      <w:r>
        <w:rPr>
          <w:spacing w:val="-2"/>
          <w:sz w:val="18"/>
        </w:rPr>
        <w:t xml:space="preserve"> </w:t>
      </w:r>
      <w:r>
        <w:rPr>
          <w:sz w:val="18"/>
        </w:rPr>
        <w:t>and</w:t>
      </w:r>
      <w:r>
        <w:rPr>
          <w:spacing w:val="-3"/>
          <w:sz w:val="18"/>
        </w:rPr>
        <w:t xml:space="preserve"> </w:t>
      </w:r>
      <w:r>
        <w:rPr>
          <w:sz w:val="18"/>
        </w:rPr>
        <w:t>on</w:t>
      </w:r>
      <w:r>
        <w:rPr>
          <w:spacing w:val="-3"/>
          <w:sz w:val="18"/>
        </w:rPr>
        <w:t xml:space="preserve"> </w:t>
      </w:r>
      <w:r>
        <w:rPr>
          <w:sz w:val="18"/>
        </w:rPr>
        <w:t>and</w:t>
      </w:r>
      <w:r>
        <w:rPr>
          <w:spacing w:val="-3"/>
          <w:sz w:val="18"/>
        </w:rPr>
        <w:t xml:space="preserve"> </w:t>
      </w:r>
      <w:r>
        <w:rPr>
          <w:sz w:val="18"/>
        </w:rPr>
        <w:t>after</w:t>
      </w:r>
      <w:r>
        <w:rPr>
          <w:spacing w:val="-2"/>
          <w:sz w:val="18"/>
        </w:rPr>
        <w:t xml:space="preserve"> </w:t>
      </w:r>
      <w:r>
        <w:rPr>
          <w:sz w:val="18"/>
        </w:rPr>
        <w:t>that</w:t>
      </w:r>
      <w:r>
        <w:rPr>
          <w:spacing w:val="-1"/>
          <w:sz w:val="18"/>
        </w:rPr>
        <w:t xml:space="preserve"> </w:t>
      </w:r>
      <w:r>
        <w:rPr>
          <w:sz w:val="18"/>
        </w:rPr>
        <w:t>date</w:t>
      </w:r>
      <w:r>
        <w:rPr>
          <w:spacing w:val="-3"/>
          <w:sz w:val="18"/>
        </w:rPr>
        <w:t xml:space="preserve"> </w:t>
      </w:r>
      <w:r>
        <w:rPr>
          <w:sz w:val="18"/>
        </w:rPr>
        <w:t>by</w:t>
      </w:r>
      <w:r>
        <w:rPr>
          <w:spacing w:val="-2"/>
          <w:sz w:val="18"/>
        </w:rPr>
        <w:t xml:space="preserve"> </w:t>
      </w:r>
      <w:r>
        <w:rPr>
          <w:sz w:val="18"/>
        </w:rPr>
        <w:t>the</w:t>
      </w:r>
      <w:r>
        <w:rPr>
          <w:spacing w:val="-3"/>
          <w:sz w:val="18"/>
        </w:rPr>
        <w:t xml:space="preserve"> </w:t>
      </w:r>
      <w:r>
        <w:rPr>
          <w:sz w:val="18"/>
        </w:rPr>
        <w:t>Federal Employees’ Retirement System Act (FERSA), although some CSRA employees may have opted for coverage subject to FERSA.</w:t>
      </w:r>
    </w:p>
    <w:p w14:paraId="0DFDBB76" w14:textId="77777777" w:rsidR="00046465" w:rsidRDefault="008134EB">
      <w:pPr>
        <w:spacing w:before="117" w:line="249" w:lineRule="auto"/>
        <w:ind w:left="359"/>
        <w:rPr>
          <w:sz w:val="18"/>
        </w:rPr>
      </w:pPr>
      <w:r>
        <w:rPr>
          <w:position w:val="7"/>
          <w:sz w:val="14"/>
        </w:rPr>
        <w:t>54</w:t>
      </w:r>
      <w:r>
        <w:rPr>
          <w:sz w:val="18"/>
        </w:rPr>
        <w:t>The</w:t>
      </w:r>
      <w:r>
        <w:rPr>
          <w:spacing w:val="-3"/>
          <w:sz w:val="18"/>
        </w:rPr>
        <w:t xml:space="preserve"> </w:t>
      </w:r>
      <w:r>
        <w:rPr>
          <w:sz w:val="18"/>
        </w:rPr>
        <w:t>percentage</w:t>
      </w:r>
      <w:r>
        <w:rPr>
          <w:spacing w:val="-3"/>
          <w:sz w:val="18"/>
        </w:rPr>
        <w:t xml:space="preserve"> </w:t>
      </w:r>
      <w:r>
        <w:rPr>
          <w:sz w:val="18"/>
        </w:rPr>
        <w:t>to</w:t>
      </w:r>
      <w:r>
        <w:rPr>
          <w:spacing w:val="-3"/>
          <w:sz w:val="18"/>
        </w:rPr>
        <w:t xml:space="preserve"> </w:t>
      </w:r>
      <w:r>
        <w:rPr>
          <w:sz w:val="18"/>
        </w:rPr>
        <w:t>be</w:t>
      </w:r>
      <w:r>
        <w:rPr>
          <w:spacing w:val="-3"/>
          <w:sz w:val="18"/>
        </w:rPr>
        <w:t xml:space="preserve"> </w:t>
      </w:r>
      <w:r>
        <w:rPr>
          <w:sz w:val="18"/>
        </w:rPr>
        <w:t>withheld</w:t>
      </w:r>
      <w:r>
        <w:rPr>
          <w:spacing w:val="-3"/>
          <w:sz w:val="18"/>
        </w:rPr>
        <w:t xml:space="preserve"> </w:t>
      </w:r>
      <w:r>
        <w:rPr>
          <w:sz w:val="18"/>
        </w:rPr>
        <w:t>for</w:t>
      </w:r>
      <w:r>
        <w:rPr>
          <w:spacing w:val="-2"/>
          <w:sz w:val="18"/>
        </w:rPr>
        <w:t xml:space="preserve"> </w:t>
      </w:r>
      <w:r>
        <w:rPr>
          <w:sz w:val="18"/>
        </w:rPr>
        <w:t>the</w:t>
      </w:r>
      <w:r>
        <w:rPr>
          <w:spacing w:val="-3"/>
          <w:sz w:val="18"/>
        </w:rPr>
        <w:t xml:space="preserve"> </w:t>
      </w:r>
      <w:r>
        <w:rPr>
          <w:sz w:val="18"/>
        </w:rPr>
        <w:t>service</w:t>
      </w:r>
      <w:r>
        <w:rPr>
          <w:spacing w:val="-3"/>
          <w:sz w:val="18"/>
        </w:rPr>
        <w:t xml:space="preserve"> </w:t>
      </w:r>
      <w:r>
        <w:rPr>
          <w:sz w:val="18"/>
        </w:rPr>
        <w:t>period</w:t>
      </w:r>
      <w:r>
        <w:rPr>
          <w:spacing w:val="-3"/>
          <w:sz w:val="18"/>
        </w:rPr>
        <w:t xml:space="preserve"> </w:t>
      </w:r>
      <w:r>
        <w:rPr>
          <w:sz w:val="18"/>
        </w:rPr>
        <w:t>for</w:t>
      </w:r>
      <w:r>
        <w:rPr>
          <w:spacing w:val="-2"/>
          <w:sz w:val="18"/>
        </w:rPr>
        <w:t xml:space="preserve"> </w:t>
      </w:r>
      <w:r>
        <w:rPr>
          <w:sz w:val="18"/>
        </w:rPr>
        <w:t>(1)</w:t>
      </w:r>
      <w:r>
        <w:rPr>
          <w:spacing w:val="-1"/>
          <w:sz w:val="18"/>
        </w:rPr>
        <w:t xml:space="preserve"> </w:t>
      </w:r>
      <w:r>
        <w:rPr>
          <w:sz w:val="18"/>
        </w:rPr>
        <w:t>most</w:t>
      </w:r>
      <w:r>
        <w:rPr>
          <w:spacing w:val="-2"/>
          <w:sz w:val="18"/>
        </w:rPr>
        <w:t xml:space="preserve"> </w:t>
      </w:r>
      <w:r>
        <w:rPr>
          <w:sz w:val="18"/>
        </w:rPr>
        <w:t>executive</w:t>
      </w:r>
      <w:r>
        <w:rPr>
          <w:spacing w:val="-3"/>
          <w:sz w:val="18"/>
        </w:rPr>
        <w:t xml:space="preserve"> </w:t>
      </w:r>
      <w:r>
        <w:rPr>
          <w:sz w:val="18"/>
        </w:rPr>
        <w:t>branch</w:t>
      </w:r>
      <w:r>
        <w:rPr>
          <w:spacing w:val="-3"/>
          <w:sz w:val="18"/>
        </w:rPr>
        <w:t xml:space="preserve"> </w:t>
      </w:r>
      <w:r>
        <w:rPr>
          <w:sz w:val="18"/>
        </w:rPr>
        <w:t>employees</w:t>
      </w:r>
      <w:r>
        <w:rPr>
          <w:spacing w:val="-2"/>
          <w:sz w:val="18"/>
        </w:rPr>
        <w:t xml:space="preserve"> </w:t>
      </w:r>
      <w:r>
        <w:rPr>
          <w:sz w:val="18"/>
        </w:rPr>
        <w:t>is</w:t>
      </w:r>
      <w:r>
        <w:rPr>
          <w:spacing w:val="-2"/>
          <w:sz w:val="18"/>
        </w:rPr>
        <w:t xml:space="preserve"> </w:t>
      </w:r>
      <w:r>
        <w:rPr>
          <w:sz w:val="18"/>
        </w:rPr>
        <w:t>7</w:t>
      </w:r>
      <w:r>
        <w:rPr>
          <w:spacing w:val="-3"/>
          <w:sz w:val="18"/>
        </w:rPr>
        <w:t xml:space="preserve"> </w:t>
      </w:r>
      <w:r>
        <w:rPr>
          <w:sz w:val="18"/>
        </w:rPr>
        <w:t>percent;</w:t>
      </w:r>
      <w:r>
        <w:rPr>
          <w:spacing w:val="-2"/>
          <w:sz w:val="18"/>
        </w:rPr>
        <w:t xml:space="preserve"> </w:t>
      </w:r>
      <w:r>
        <w:rPr>
          <w:sz w:val="18"/>
        </w:rPr>
        <w:t>(2) congressional</w:t>
      </w:r>
      <w:r>
        <w:rPr>
          <w:spacing w:val="-2"/>
          <w:sz w:val="18"/>
        </w:rPr>
        <w:t xml:space="preserve"> </w:t>
      </w:r>
      <w:r>
        <w:rPr>
          <w:sz w:val="18"/>
        </w:rPr>
        <w:t>employees,</w:t>
      </w:r>
      <w:r>
        <w:rPr>
          <w:spacing w:val="-2"/>
          <w:sz w:val="18"/>
        </w:rPr>
        <w:t xml:space="preserve"> </w:t>
      </w:r>
      <w:r>
        <w:rPr>
          <w:sz w:val="18"/>
        </w:rPr>
        <w:t>firefighters,</w:t>
      </w:r>
      <w:r>
        <w:rPr>
          <w:spacing w:val="-2"/>
          <w:sz w:val="18"/>
        </w:rPr>
        <w:t xml:space="preserve"> </w:t>
      </w:r>
      <w:r>
        <w:rPr>
          <w:sz w:val="18"/>
        </w:rPr>
        <w:t>and</w:t>
      </w:r>
      <w:r>
        <w:rPr>
          <w:spacing w:val="-3"/>
          <w:sz w:val="18"/>
        </w:rPr>
        <w:t xml:space="preserve"> </w:t>
      </w:r>
      <w:r>
        <w:rPr>
          <w:sz w:val="18"/>
        </w:rPr>
        <w:t>law enforcement personnel is 7.5 percent; and (3) Members of the Congress is 8 percent. 5 U.S.C. § 8334(a)(1).</w:t>
      </w:r>
    </w:p>
    <w:p w14:paraId="0DFDBB77" w14:textId="77777777" w:rsidR="00046465" w:rsidRDefault="00046465">
      <w:pPr>
        <w:spacing w:line="249" w:lineRule="auto"/>
        <w:rPr>
          <w:sz w:val="18"/>
        </w:rPr>
        <w:sectPr w:rsidR="00046465">
          <w:headerReference w:type="default" r:id="rId145"/>
          <w:footerReference w:type="default" r:id="rId146"/>
          <w:pgSz w:w="15840" w:h="12240" w:orient="landscape"/>
          <w:pgMar w:top="1380" w:right="1440" w:bottom="940" w:left="720" w:header="721" w:footer="742" w:gutter="0"/>
          <w:pgNumType w:start="1"/>
          <w:cols w:space="720"/>
        </w:sectPr>
      </w:pPr>
    </w:p>
    <w:p w14:paraId="0DFDBB78" w14:textId="77777777" w:rsidR="00046465" w:rsidRDefault="00046465">
      <w:pPr>
        <w:pStyle w:val="BodyText"/>
        <w:spacing w:before="9"/>
        <w:rPr>
          <w:sz w:val="7"/>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68"/>
        <w:gridCol w:w="1776"/>
        <w:gridCol w:w="2201"/>
        <w:gridCol w:w="1519"/>
        <w:gridCol w:w="1640"/>
        <w:gridCol w:w="2172"/>
      </w:tblGrid>
      <w:tr w:rsidR="00046465" w14:paraId="0DFDBB7C" w14:textId="77777777">
        <w:trPr>
          <w:trHeight w:val="1574"/>
        </w:trPr>
        <w:tc>
          <w:tcPr>
            <w:tcW w:w="13176" w:type="dxa"/>
            <w:gridSpan w:val="6"/>
          </w:tcPr>
          <w:p w14:paraId="0DFDBB79" w14:textId="77777777" w:rsidR="00046465" w:rsidRDefault="008134EB">
            <w:pPr>
              <w:pStyle w:val="TableParagraph"/>
              <w:tabs>
                <w:tab w:val="left" w:pos="9184"/>
              </w:tabs>
              <w:spacing w:before="144"/>
              <w:ind w:right="1925"/>
              <w:jc w:val="center"/>
            </w:pPr>
            <w:r>
              <w:t>Name</w:t>
            </w:r>
            <w:r>
              <w:rPr>
                <w:spacing w:val="-5"/>
              </w:rPr>
              <w:t xml:space="preserve"> </w:t>
            </w:r>
            <w:r>
              <w:t>of</w:t>
            </w:r>
            <w:r>
              <w:rPr>
                <w:spacing w:val="-5"/>
              </w:rPr>
              <w:t xml:space="preserve"> </w:t>
            </w:r>
            <w:r>
              <w:rPr>
                <w:spacing w:val="-2"/>
              </w:rPr>
              <w:t>entity:</w:t>
            </w:r>
            <w:r>
              <w:tab/>
              <w:t>Prepared</w:t>
            </w:r>
            <w:r>
              <w:rPr>
                <w:spacing w:val="-11"/>
              </w:rPr>
              <w:t xml:space="preserve"> </w:t>
            </w:r>
            <w:r>
              <w:rPr>
                <w:spacing w:val="-5"/>
              </w:rPr>
              <w:t>by:</w:t>
            </w:r>
          </w:p>
          <w:p w14:paraId="0DFDBB7A" w14:textId="77777777" w:rsidR="00046465" w:rsidRDefault="008134EB">
            <w:pPr>
              <w:pStyle w:val="TableParagraph"/>
              <w:spacing w:before="12"/>
              <w:ind w:left="1946" w:right="1925"/>
              <w:jc w:val="center"/>
              <w:rPr>
                <w:b/>
                <w:sz w:val="24"/>
              </w:rPr>
            </w:pPr>
            <w:r>
              <w:rPr>
                <w:b/>
                <w:noProof/>
                <w:sz w:val="24"/>
              </w:rPr>
              <mc:AlternateContent>
                <mc:Choice Requires="wpg">
                  <w:drawing>
                    <wp:anchor distT="0" distB="0" distL="0" distR="0" simplePos="0" relativeHeight="476155904" behindDoc="1" locked="0" layoutInCell="1" allowOverlap="1" wp14:anchorId="0DFDD6A1" wp14:editId="0DFDD6A2">
                      <wp:simplePos x="0" y="0"/>
                      <wp:positionH relativeFrom="column">
                        <wp:posOffset>6953250</wp:posOffset>
                      </wp:positionH>
                      <wp:positionV relativeFrom="paragraph">
                        <wp:posOffset>91882</wp:posOffset>
                      </wp:positionV>
                      <wp:extent cx="1344930" cy="6350"/>
                      <wp:effectExtent l="0" t="0" r="0" b="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734" name="Graphic 734"/>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16286C6" id="Group 733" o:spid="_x0000_s1026" style="position:absolute;margin-left:547.5pt;margin-top:7.25pt;width:105.9pt;height:.5pt;z-index:-27160576;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">
                      <v:shape id="Graphic 734"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" path="m1344929,l,,,6108r1344929,l1344929,xe" fillcolor="black" stroked="f">
                        <v:path arrowok="t"/>
                      </v:shape>
                    </v:group>
                  </w:pict>
                </mc:Fallback>
              </mc:AlternateContent>
            </w:r>
            <w:r>
              <w:rPr>
                <w:b/>
                <w:noProof/>
                <w:sz w:val="24"/>
              </w:rPr>
              <mc:AlternateContent>
                <mc:Choice Requires="wpg">
                  <w:drawing>
                    <wp:anchor distT="0" distB="0" distL="0" distR="0" simplePos="0" relativeHeight="476156928" behindDoc="1" locked="0" layoutInCell="1" allowOverlap="1" wp14:anchorId="0DFDD6A3" wp14:editId="0DFDD6A4">
                      <wp:simplePos x="0" y="0"/>
                      <wp:positionH relativeFrom="column">
                        <wp:posOffset>6953250</wp:posOffset>
                      </wp:positionH>
                      <wp:positionV relativeFrom="paragraph">
                        <wp:posOffset>441640</wp:posOffset>
                      </wp:positionV>
                      <wp:extent cx="1344930" cy="6350"/>
                      <wp:effectExtent l="0" t="0" r="0" b="0"/>
                      <wp:wrapNone/>
                      <wp:docPr id="735"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736" name="Graphic 736"/>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C9817C7" id="Group 735" o:spid="_x0000_s1026" style="position:absolute;margin-left:547.5pt;margin-top:34.75pt;width:105.9pt;height:.5pt;z-index:-27159552;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">
                      <v:shape id="Graphic 736"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" path="m1344929,l,,,6108r1344929,l1344929,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B7B" w14:textId="77777777" w:rsidR="00046465" w:rsidRDefault="008134EB">
            <w:pPr>
              <w:pStyle w:val="TableParagraph"/>
              <w:tabs>
                <w:tab w:val="left" w:pos="8878"/>
              </w:tabs>
              <w:spacing w:before="10"/>
              <w:ind w:right="1681"/>
              <w:jc w:val="center"/>
            </w:pPr>
            <w:r>
              <w:rPr>
                <w:noProof/>
              </w:rPr>
              <mc:AlternateContent>
                <mc:Choice Requires="wpg">
                  <w:drawing>
                    <wp:anchor distT="0" distB="0" distL="0" distR="0" simplePos="0" relativeHeight="476155392" behindDoc="1" locked="0" layoutInCell="1" allowOverlap="1" wp14:anchorId="0DFDD6A5" wp14:editId="0DFDD6A6">
                      <wp:simplePos x="0" y="0"/>
                      <wp:positionH relativeFrom="column">
                        <wp:posOffset>1260347</wp:posOffset>
                      </wp:positionH>
                      <wp:positionV relativeFrom="paragraph">
                        <wp:posOffset>-91198</wp:posOffset>
                      </wp:positionV>
                      <wp:extent cx="1183005" cy="6350"/>
                      <wp:effectExtent l="0" t="0" r="0" b="0"/>
                      <wp:wrapNone/>
                      <wp:docPr id="737"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738" name="Graphic 738"/>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C7D8368" id="Group 737" o:spid="_x0000_s1026" style="position:absolute;margin-left:99.25pt;margin-top:-7.2pt;width:93.15pt;height:.5pt;z-index:-27161088;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">
                      <v:shape id="Graphic 738"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" path="m1182611,l,,,6108r1182611,l1182611,xe" fillcolor="black" stroked="f">
                        <v:path arrowok="t"/>
                      </v:shape>
                    </v:group>
                  </w:pict>
                </mc:Fallback>
              </mc:AlternateContent>
            </w:r>
            <w:r>
              <w:rPr>
                <w:noProof/>
              </w:rPr>
              <mc:AlternateContent>
                <mc:Choice Requires="wpg">
                  <w:drawing>
                    <wp:anchor distT="0" distB="0" distL="0" distR="0" simplePos="0" relativeHeight="476156416" behindDoc="1" locked="0" layoutInCell="1" allowOverlap="1" wp14:anchorId="0DFDD6A7" wp14:editId="0DFDD6A8">
                      <wp:simplePos x="0" y="0"/>
                      <wp:positionH relativeFrom="column">
                        <wp:posOffset>1260347</wp:posOffset>
                      </wp:positionH>
                      <wp:positionV relativeFrom="paragraph">
                        <wp:posOffset>258559</wp:posOffset>
                      </wp:positionV>
                      <wp:extent cx="1183005" cy="6350"/>
                      <wp:effectExtent l="0" t="0" r="0" b="0"/>
                      <wp:wrapNone/>
                      <wp:docPr id="739"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740" name="Graphic 740"/>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341486B" id="Group 739" o:spid="_x0000_s1026" style="position:absolute;margin-left:99.25pt;margin-top:20.35pt;width:93.15pt;height:.5pt;z-index:-27160064;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">
                      <v:shape id="Graphic 740"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" path="m1182611,l,,,6108r1182611,l1182611,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B87" w14:textId="77777777">
        <w:trPr>
          <w:trHeight w:val="793"/>
        </w:trPr>
        <w:tc>
          <w:tcPr>
            <w:tcW w:w="3868" w:type="dxa"/>
            <w:tcBorders>
              <w:right w:val="single" w:sz="4" w:space="0" w:color="000000"/>
            </w:tcBorders>
          </w:tcPr>
          <w:p w14:paraId="0DFDBB7D" w14:textId="77777777" w:rsidR="00046465" w:rsidRDefault="00046465">
            <w:pPr>
              <w:pStyle w:val="TableParagraph"/>
              <w:spacing w:before="143"/>
            </w:pPr>
          </w:p>
          <w:p w14:paraId="0DFDBB7E" w14:textId="77777777" w:rsidR="00046465" w:rsidRDefault="008134EB">
            <w:pPr>
              <w:pStyle w:val="TableParagraph"/>
              <w:ind w:left="97"/>
            </w:pPr>
            <w:r>
              <w:t>Provision</w:t>
            </w:r>
            <w:r>
              <w:rPr>
                <w:spacing w:val="-11"/>
              </w:rPr>
              <w:t xml:space="preserve"> </w:t>
            </w:r>
            <w:r>
              <w:rPr>
                <w:spacing w:val="-2"/>
              </w:rPr>
              <w:t>Description</w:t>
            </w:r>
          </w:p>
        </w:tc>
        <w:tc>
          <w:tcPr>
            <w:tcW w:w="1776" w:type="dxa"/>
            <w:tcBorders>
              <w:left w:val="single" w:sz="4" w:space="0" w:color="000000"/>
              <w:right w:val="single" w:sz="4" w:space="0" w:color="000000"/>
            </w:tcBorders>
          </w:tcPr>
          <w:p w14:paraId="0DFDBB7F" w14:textId="77777777" w:rsidR="00046465" w:rsidRDefault="00046465">
            <w:pPr>
              <w:pStyle w:val="TableParagraph"/>
              <w:spacing w:before="143"/>
            </w:pPr>
          </w:p>
          <w:p w14:paraId="0DFDBB80" w14:textId="77777777" w:rsidR="00046465" w:rsidRDefault="008134EB">
            <w:pPr>
              <w:pStyle w:val="TableParagraph"/>
              <w:ind w:left="107"/>
            </w:pPr>
            <w:r>
              <w:rPr>
                <w:spacing w:val="-2"/>
              </w:rPr>
              <w:t>Objective</w:t>
            </w:r>
          </w:p>
        </w:tc>
        <w:tc>
          <w:tcPr>
            <w:tcW w:w="2201" w:type="dxa"/>
            <w:tcBorders>
              <w:left w:val="single" w:sz="4" w:space="0" w:color="000000"/>
              <w:right w:val="single" w:sz="4" w:space="0" w:color="000000"/>
            </w:tcBorders>
          </w:tcPr>
          <w:p w14:paraId="0DFDBB81" w14:textId="77777777" w:rsidR="00046465" w:rsidRDefault="00046465">
            <w:pPr>
              <w:pStyle w:val="TableParagraph"/>
              <w:spacing w:before="143"/>
            </w:pPr>
          </w:p>
          <w:p w14:paraId="0DFDBB82" w14:textId="77777777" w:rsidR="00046465" w:rsidRDefault="008134EB">
            <w:pPr>
              <w:pStyle w:val="TableParagraph"/>
              <w:ind w:left="106"/>
            </w:pPr>
            <w:r>
              <w:t>Control</w:t>
            </w:r>
            <w:r>
              <w:rPr>
                <w:spacing w:val="-9"/>
              </w:rPr>
              <w:t xml:space="preserve"> </w:t>
            </w:r>
            <w:r>
              <w:rPr>
                <w:spacing w:val="-2"/>
              </w:rPr>
              <w:t>Activities</w:t>
            </w:r>
          </w:p>
        </w:tc>
        <w:tc>
          <w:tcPr>
            <w:tcW w:w="1519" w:type="dxa"/>
            <w:tcBorders>
              <w:left w:val="single" w:sz="4" w:space="0" w:color="000000"/>
              <w:right w:val="single" w:sz="4" w:space="0" w:color="000000"/>
            </w:tcBorders>
          </w:tcPr>
          <w:p w14:paraId="0DFDBB83" w14:textId="77777777" w:rsidR="00046465" w:rsidRDefault="00046465">
            <w:pPr>
              <w:pStyle w:val="TableParagraph"/>
              <w:spacing w:before="143"/>
            </w:pPr>
          </w:p>
          <w:p w14:paraId="0DFDBB84" w14:textId="77777777" w:rsidR="00046465" w:rsidRDefault="008134EB">
            <w:pPr>
              <w:pStyle w:val="TableParagraph"/>
              <w:ind w:left="107"/>
            </w:pPr>
            <w:r>
              <w:t>IS</w:t>
            </w:r>
            <w:r>
              <w:rPr>
                <w:spacing w:val="-3"/>
              </w:rPr>
              <w:t xml:space="preserve"> </w:t>
            </w:r>
            <w:r>
              <w:rPr>
                <w:spacing w:val="-2"/>
              </w:rPr>
              <w:t>(Y/N)</w:t>
            </w:r>
          </w:p>
        </w:tc>
        <w:tc>
          <w:tcPr>
            <w:tcW w:w="1640" w:type="dxa"/>
            <w:tcBorders>
              <w:left w:val="single" w:sz="4" w:space="0" w:color="000000"/>
              <w:right w:val="single" w:sz="4" w:space="0" w:color="000000"/>
            </w:tcBorders>
          </w:tcPr>
          <w:p w14:paraId="0DFDBB85" w14:textId="77777777" w:rsidR="00046465" w:rsidRDefault="008134EB">
            <w:pPr>
              <w:pStyle w:val="TableParagraph"/>
              <w:spacing w:before="143"/>
              <w:ind w:left="107" w:right="99"/>
            </w:pPr>
            <w:r>
              <w:rPr>
                <w:spacing w:val="-2"/>
              </w:rPr>
              <w:t>Effective controls?</w:t>
            </w:r>
          </w:p>
        </w:tc>
        <w:tc>
          <w:tcPr>
            <w:tcW w:w="2172" w:type="dxa"/>
            <w:tcBorders>
              <w:left w:val="single" w:sz="4" w:space="0" w:color="000000"/>
            </w:tcBorders>
          </w:tcPr>
          <w:p w14:paraId="0DFDBB86" w14:textId="77777777" w:rsidR="00046465" w:rsidRDefault="008134EB">
            <w:pPr>
              <w:pStyle w:val="TableParagraph"/>
              <w:spacing w:before="143"/>
              <w:ind w:left="107"/>
            </w:pPr>
            <w:r>
              <w:t xml:space="preserve">Instances of </w:t>
            </w:r>
            <w:r>
              <w:rPr>
                <w:spacing w:val="-2"/>
              </w:rPr>
              <w:t>noncompliance?</w:t>
            </w:r>
          </w:p>
        </w:tc>
      </w:tr>
      <w:tr w:rsidR="00046465" w14:paraId="0DFDBB91" w14:textId="77777777">
        <w:trPr>
          <w:trHeight w:val="2854"/>
        </w:trPr>
        <w:tc>
          <w:tcPr>
            <w:tcW w:w="3868" w:type="dxa"/>
            <w:tcBorders>
              <w:bottom w:val="single" w:sz="4" w:space="0" w:color="000000"/>
              <w:right w:val="single" w:sz="4" w:space="0" w:color="000000"/>
            </w:tcBorders>
          </w:tcPr>
          <w:p w14:paraId="0DFDBB88" w14:textId="77777777" w:rsidR="00046465" w:rsidRDefault="008134EB">
            <w:pPr>
              <w:pStyle w:val="TableParagraph"/>
              <w:spacing w:before="143"/>
              <w:ind w:left="817" w:hanging="720"/>
              <w:rPr>
                <w:sz w:val="18"/>
              </w:rPr>
            </w:pPr>
            <w:r>
              <w:rPr>
                <w:smallCaps/>
                <w:sz w:val="18"/>
              </w:rPr>
              <w:t>808.02.</w:t>
            </w:r>
            <w:r>
              <w:rPr>
                <w:smallCaps/>
                <w:spacing w:val="-2"/>
                <w:sz w:val="18"/>
              </w:rPr>
              <w:t xml:space="preserve"> </w:t>
            </w:r>
            <w:r>
              <w:rPr>
                <w:smallCaps/>
                <w:spacing w:val="16"/>
                <w:sz w:val="18"/>
              </w:rPr>
              <w:t xml:space="preserve"> </w:t>
            </w:r>
            <w:r>
              <w:rPr>
                <w:smallCaps/>
                <w:sz w:val="18"/>
              </w:rPr>
              <w:t>Entity</w:t>
            </w:r>
            <w:r>
              <w:rPr>
                <w:smallCaps/>
                <w:spacing w:val="-3"/>
                <w:sz w:val="18"/>
              </w:rPr>
              <w:t xml:space="preserve"> </w:t>
            </w:r>
            <w:r>
              <w:rPr>
                <w:smallCaps/>
                <w:sz w:val="18"/>
              </w:rPr>
              <w:t>Contributions</w:t>
            </w:r>
            <w:r>
              <w:rPr>
                <w:smallCaps/>
                <w:spacing w:val="-4"/>
                <w:sz w:val="18"/>
              </w:rPr>
              <w:t xml:space="preserve"> </w:t>
            </w:r>
            <w:r>
              <w:rPr>
                <w:smallCaps/>
                <w:sz w:val="18"/>
              </w:rPr>
              <w:t>for</w:t>
            </w:r>
            <w:r>
              <w:rPr>
                <w:smallCaps/>
                <w:spacing w:val="-2"/>
                <w:sz w:val="18"/>
              </w:rPr>
              <w:t xml:space="preserve"> </w:t>
            </w:r>
            <w:r>
              <w:rPr>
                <w:smallCaps/>
                <w:sz w:val="18"/>
              </w:rPr>
              <w:t>Employee</w:t>
            </w:r>
            <w:r>
              <w:rPr>
                <w:smallCaps/>
                <w:spacing w:val="40"/>
                <w:sz w:val="18"/>
              </w:rPr>
              <w:t xml:space="preserve"> </w:t>
            </w:r>
            <w:r>
              <w:rPr>
                <w:smallCaps/>
                <w:sz w:val="18"/>
              </w:rPr>
              <w:t>Retirement Benefits.</w:t>
            </w:r>
          </w:p>
          <w:p w14:paraId="0DFDBB89" w14:textId="77777777" w:rsidR="00046465" w:rsidRDefault="008134EB">
            <w:pPr>
              <w:pStyle w:val="TableParagraph"/>
              <w:spacing w:before="144"/>
              <w:ind w:left="97" w:right="527"/>
              <w:rPr>
                <w:sz w:val="18"/>
              </w:rPr>
            </w:pPr>
            <w:r>
              <w:rPr>
                <w:sz w:val="18"/>
              </w:rPr>
              <w:t>Provision</w:t>
            </w:r>
            <w:r>
              <w:rPr>
                <w:spacing w:val="-13"/>
                <w:sz w:val="18"/>
              </w:rPr>
              <w:t xml:space="preserve"> </w:t>
            </w:r>
            <w:r>
              <w:rPr>
                <w:sz w:val="18"/>
              </w:rPr>
              <w:t>Types:</w:t>
            </w:r>
            <w:r>
              <w:rPr>
                <w:spacing w:val="-12"/>
                <w:sz w:val="18"/>
              </w:rPr>
              <w:t xml:space="preserve"> </w:t>
            </w:r>
            <w:r>
              <w:rPr>
                <w:sz w:val="18"/>
              </w:rPr>
              <w:t>Transaction-based</w:t>
            </w:r>
            <w:r>
              <w:rPr>
                <w:spacing w:val="-13"/>
                <w:sz w:val="18"/>
              </w:rPr>
              <w:t xml:space="preserve"> </w:t>
            </w:r>
            <w:r>
              <w:rPr>
                <w:sz w:val="18"/>
              </w:rPr>
              <w:t xml:space="preserve">and </w:t>
            </w:r>
            <w:r>
              <w:rPr>
                <w:spacing w:val="-2"/>
                <w:sz w:val="18"/>
              </w:rPr>
              <w:t>quantitative-based.</w:t>
            </w:r>
          </w:p>
          <w:p w14:paraId="0DFDBB8A" w14:textId="77777777" w:rsidR="00046465" w:rsidRDefault="008134EB">
            <w:pPr>
              <w:pStyle w:val="TableParagraph"/>
              <w:spacing w:before="145"/>
              <w:ind w:left="97" w:right="116"/>
              <w:rPr>
                <w:sz w:val="18"/>
              </w:rPr>
            </w:pPr>
            <w:r>
              <w:rPr>
                <w:sz w:val="18"/>
              </w:rPr>
              <w:t>An</w:t>
            </w:r>
            <w:r>
              <w:rPr>
                <w:spacing w:val="-6"/>
                <w:sz w:val="18"/>
              </w:rPr>
              <w:t xml:space="preserve"> </w:t>
            </w:r>
            <w:r>
              <w:rPr>
                <w:sz w:val="18"/>
              </w:rPr>
              <w:t>amount</w:t>
            </w:r>
            <w:r>
              <w:rPr>
                <w:spacing w:val="-5"/>
                <w:sz w:val="18"/>
              </w:rPr>
              <w:t xml:space="preserve"> </w:t>
            </w:r>
            <w:r>
              <w:rPr>
                <w:sz w:val="18"/>
              </w:rPr>
              <w:t>equal</w:t>
            </w:r>
            <w:r>
              <w:rPr>
                <w:spacing w:val="-5"/>
                <w:sz w:val="18"/>
              </w:rPr>
              <w:t xml:space="preserve"> </w:t>
            </w:r>
            <w:r>
              <w:rPr>
                <w:sz w:val="18"/>
              </w:rPr>
              <w:t>to</w:t>
            </w:r>
            <w:r>
              <w:rPr>
                <w:spacing w:val="-6"/>
                <w:sz w:val="18"/>
              </w:rPr>
              <w:t xml:space="preserve"> </w:t>
            </w:r>
            <w:r>
              <w:rPr>
                <w:sz w:val="18"/>
              </w:rPr>
              <w:t>the</w:t>
            </w:r>
            <w:r>
              <w:rPr>
                <w:spacing w:val="-6"/>
                <w:sz w:val="18"/>
              </w:rPr>
              <w:t xml:space="preserve"> </w:t>
            </w:r>
            <w:r>
              <w:rPr>
                <w:sz w:val="18"/>
              </w:rPr>
              <w:t>amount</w:t>
            </w:r>
            <w:r>
              <w:rPr>
                <w:spacing w:val="-5"/>
                <w:sz w:val="18"/>
              </w:rPr>
              <w:t xml:space="preserve"> </w:t>
            </w:r>
            <w:r>
              <w:rPr>
                <w:sz w:val="18"/>
              </w:rPr>
              <w:t>withheld</w:t>
            </w:r>
            <w:r>
              <w:rPr>
                <w:spacing w:val="-6"/>
                <w:sz w:val="18"/>
              </w:rPr>
              <w:t xml:space="preserve"> </w:t>
            </w:r>
            <w:r>
              <w:rPr>
                <w:sz w:val="18"/>
              </w:rPr>
              <w:t xml:space="preserve">from the employee’s pay shall be contributed by the entity. 5 U.S.C. § 8334(a)(1). For most employees, the entity contribution shall be paid from the appropriation account or fund used to pay the employee. 5 U.S.C. § </w:t>
            </w:r>
            <w:r>
              <w:rPr>
                <w:spacing w:val="-2"/>
                <w:sz w:val="18"/>
              </w:rPr>
              <w:t>8334(a)(1)(B).</w:t>
            </w:r>
          </w:p>
        </w:tc>
        <w:tc>
          <w:tcPr>
            <w:tcW w:w="1776" w:type="dxa"/>
            <w:tcBorders>
              <w:left w:val="single" w:sz="4" w:space="0" w:color="000000"/>
              <w:bottom w:val="single" w:sz="4" w:space="0" w:color="000000"/>
              <w:right w:val="single" w:sz="4" w:space="0" w:color="000000"/>
            </w:tcBorders>
          </w:tcPr>
          <w:p w14:paraId="0DFDBB8B" w14:textId="77777777" w:rsidR="00046465" w:rsidRDefault="008134EB">
            <w:pPr>
              <w:pStyle w:val="TableParagraph"/>
              <w:spacing w:before="143"/>
              <w:ind w:left="107" w:right="206"/>
              <w:rPr>
                <w:sz w:val="18"/>
              </w:rPr>
            </w:pPr>
            <w:r>
              <w:rPr>
                <w:sz w:val="18"/>
              </w:rPr>
              <w:t xml:space="preserve">The entity contribution for </w:t>
            </w:r>
            <w:r>
              <w:rPr>
                <w:spacing w:val="-2"/>
                <w:sz w:val="18"/>
              </w:rPr>
              <w:t xml:space="preserve">employee </w:t>
            </w:r>
            <w:r>
              <w:rPr>
                <w:sz w:val="18"/>
              </w:rPr>
              <w:t xml:space="preserve">retirement is </w:t>
            </w:r>
            <w:r>
              <w:rPr>
                <w:spacing w:val="-2"/>
                <w:sz w:val="18"/>
              </w:rPr>
              <w:t xml:space="preserve">calculated properly, summarized </w:t>
            </w:r>
            <w:r>
              <w:rPr>
                <w:sz w:val="18"/>
              </w:rPr>
              <w:t xml:space="preserve">properly, and charged to the </w:t>
            </w:r>
            <w:r>
              <w:rPr>
                <w:spacing w:val="-2"/>
                <w:sz w:val="18"/>
              </w:rPr>
              <w:t xml:space="preserve">proper appropriation </w:t>
            </w:r>
            <w:r>
              <w:rPr>
                <w:sz w:val="18"/>
              </w:rPr>
              <w:t>account</w:t>
            </w:r>
            <w:r>
              <w:rPr>
                <w:spacing w:val="-15"/>
                <w:sz w:val="18"/>
              </w:rPr>
              <w:t xml:space="preserve"> </w:t>
            </w:r>
            <w:r>
              <w:rPr>
                <w:sz w:val="18"/>
              </w:rPr>
              <w:t>or</w:t>
            </w:r>
            <w:r>
              <w:rPr>
                <w:spacing w:val="-12"/>
                <w:sz w:val="18"/>
              </w:rPr>
              <w:t xml:space="preserve"> </w:t>
            </w:r>
            <w:r>
              <w:rPr>
                <w:sz w:val="18"/>
              </w:rPr>
              <w:t>fund.</w:t>
            </w:r>
          </w:p>
        </w:tc>
        <w:tc>
          <w:tcPr>
            <w:tcW w:w="2201" w:type="dxa"/>
            <w:tcBorders>
              <w:left w:val="single" w:sz="4" w:space="0" w:color="000000"/>
              <w:bottom w:val="single" w:sz="4" w:space="0" w:color="000000"/>
              <w:right w:val="single" w:sz="4" w:space="0" w:color="000000"/>
            </w:tcBorders>
          </w:tcPr>
          <w:p w14:paraId="0DFDBB8C" w14:textId="77777777" w:rsidR="00046465" w:rsidRDefault="00046465">
            <w:pPr>
              <w:pStyle w:val="TableParagraph"/>
              <w:rPr>
                <w:rFonts w:ascii="Times New Roman"/>
                <w:sz w:val="18"/>
              </w:rPr>
            </w:pPr>
          </w:p>
        </w:tc>
        <w:tc>
          <w:tcPr>
            <w:tcW w:w="1519" w:type="dxa"/>
            <w:tcBorders>
              <w:left w:val="single" w:sz="4" w:space="0" w:color="000000"/>
              <w:bottom w:val="single" w:sz="4" w:space="0" w:color="000000"/>
              <w:right w:val="single" w:sz="4" w:space="0" w:color="000000"/>
            </w:tcBorders>
          </w:tcPr>
          <w:p w14:paraId="0DFDBB8D" w14:textId="77777777" w:rsidR="00046465" w:rsidRDefault="00046465">
            <w:pPr>
              <w:pStyle w:val="TableParagraph"/>
              <w:rPr>
                <w:rFonts w:ascii="Times New Roman"/>
                <w:sz w:val="18"/>
              </w:rPr>
            </w:pPr>
          </w:p>
        </w:tc>
        <w:tc>
          <w:tcPr>
            <w:tcW w:w="1640" w:type="dxa"/>
            <w:tcBorders>
              <w:left w:val="single" w:sz="4" w:space="0" w:color="000000"/>
              <w:bottom w:val="single" w:sz="4" w:space="0" w:color="000000"/>
              <w:right w:val="single" w:sz="4" w:space="0" w:color="000000"/>
            </w:tcBorders>
          </w:tcPr>
          <w:p w14:paraId="0DFDBB8E" w14:textId="77777777" w:rsidR="00046465" w:rsidRDefault="00046465">
            <w:pPr>
              <w:pStyle w:val="TableParagraph"/>
              <w:rPr>
                <w:rFonts w:ascii="Times New Roman"/>
                <w:sz w:val="18"/>
              </w:rPr>
            </w:pPr>
          </w:p>
        </w:tc>
        <w:tc>
          <w:tcPr>
            <w:tcW w:w="2172" w:type="dxa"/>
            <w:tcBorders>
              <w:left w:val="single" w:sz="4" w:space="0" w:color="000000"/>
              <w:bottom w:val="single" w:sz="4" w:space="0" w:color="000000"/>
            </w:tcBorders>
          </w:tcPr>
          <w:p w14:paraId="0DFDBB8F" w14:textId="77777777" w:rsidR="00046465" w:rsidRDefault="008134EB">
            <w:pPr>
              <w:pStyle w:val="TableParagraph"/>
              <w:spacing w:before="143"/>
              <w:ind w:left="107"/>
              <w:rPr>
                <w:sz w:val="18"/>
              </w:rPr>
            </w:pPr>
            <w:r>
              <w:rPr>
                <w:sz w:val="18"/>
              </w:rPr>
              <w:t>See</w:t>
            </w:r>
            <w:r>
              <w:rPr>
                <w:spacing w:val="-15"/>
                <w:sz w:val="18"/>
              </w:rPr>
              <w:t xml:space="preserve"> </w:t>
            </w:r>
            <w:r>
              <w:rPr>
                <w:sz w:val="18"/>
              </w:rPr>
              <w:t>Compliance</w:t>
            </w:r>
            <w:r>
              <w:rPr>
                <w:spacing w:val="-12"/>
                <w:sz w:val="18"/>
              </w:rPr>
              <w:t xml:space="preserve"> </w:t>
            </w:r>
            <w:r>
              <w:rPr>
                <w:sz w:val="18"/>
              </w:rPr>
              <w:t>Audit Procedures,</w:t>
            </w:r>
            <w:r>
              <w:rPr>
                <w:spacing w:val="-3"/>
                <w:sz w:val="18"/>
              </w:rPr>
              <w:t xml:space="preserve"> </w:t>
            </w:r>
            <w:r>
              <w:rPr>
                <w:sz w:val="18"/>
              </w:rPr>
              <w:t>FAM</w:t>
            </w:r>
            <w:r>
              <w:rPr>
                <w:spacing w:val="-3"/>
                <w:sz w:val="18"/>
              </w:rPr>
              <w:t xml:space="preserve"> </w:t>
            </w:r>
            <w:r>
              <w:rPr>
                <w:spacing w:val="-5"/>
                <w:sz w:val="18"/>
              </w:rPr>
              <w:t>808</w:t>
            </w:r>
          </w:p>
          <w:p w14:paraId="0DFDBB90" w14:textId="77777777" w:rsidR="00046465" w:rsidRDefault="008134EB">
            <w:pPr>
              <w:pStyle w:val="TableParagraph"/>
              <w:spacing w:before="1"/>
              <w:ind w:left="107"/>
              <w:rPr>
                <w:sz w:val="18"/>
              </w:rPr>
            </w:pPr>
            <w:r>
              <w:rPr>
                <w:sz w:val="18"/>
              </w:rPr>
              <w:t>steps</w:t>
            </w:r>
            <w:r>
              <w:rPr>
                <w:spacing w:val="-3"/>
                <w:sz w:val="18"/>
              </w:rPr>
              <w:t xml:space="preserve"> </w:t>
            </w:r>
            <w:r>
              <w:rPr>
                <w:sz w:val="18"/>
              </w:rPr>
              <w:t>4</w:t>
            </w:r>
            <w:r>
              <w:rPr>
                <w:spacing w:val="-2"/>
                <w:sz w:val="18"/>
              </w:rPr>
              <w:t xml:space="preserve"> </w:t>
            </w:r>
            <w:r>
              <w:rPr>
                <w:sz w:val="18"/>
              </w:rPr>
              <w:t>(c)</w:t>
            </w:r>
            <w:r>
              <w:rPr>
                <w:spacing w:val="-1"/>
                <w:sz w:val="18"/>
              </w:rPr>
              <w:t xml:space="preserve"> </w:t>
            </w:r>
            <w:r>
              <w:rPr>
                <w:sz w:val="18"/>
              </w:rPr>
              <w:t xml:space="preserve">and </w:t>
            </w:r>
            <w:r>
              <w:rPr>
                <w:spacing w:val="-5"/>
                <w:sz w:val="18"/>
              </w:rPr>
              <w:t>5.</w:t>
            </w:r>
          </w:p>
        </w:tc>
      </w:tr>
    </w:tbl>
    <w:p w14:paraId="0DFDBB92" w14:textId="77777777" w:rsidR="00046465" w:rsidRDefault="00046465">
      <w:pPr>
        <w:pStyle w:val="TableParagraph"/>
        <w:rPr>
          <w:sz w:val="18"/>
        </w:rPr>
        <w:sectPr w:rsidR="00046465">
          <w:pgSz w:w="15840" w:h="12240" w:orient="landscape"/>
          <w:pgMar w:top="1380" w:right="1440" w:bottom="940" w:left="720" w:header="721" w:footer="742" w:gutter="0"/>
          <w:cols w:space="720"/>
        </w:sectPr>
      </w:pPr>
    </w:p>
    <w:p w14:paraId="0DFDBB93" w14:textId="77777777" w:rsidR="00046465" w:rsidRDefault="00046465">
      <w:pPr>
        <w:pStyle w:val="BodyText"/>
        <w:spacing w:before="9"/>
        <w:rPr>
          <w:sz w:val="7"/>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68"/>
        <w:gridCol w:w="1776"/>
        <w:gridCol w:w="2201"/>
        <w:gridCol w:w="1519"/>
        <w:gridCol w:w="1640"/>
        <w:gridCol w:w="2172"/>
      </w:tblGrid>
      <w:tr w:rsidR="00046465" w14:paraId="0DFDBB97" w14:textId="77777777">
        <w:trPr>
          <w:trHeight w:val="1574"/>
        </w:trPr>
        <w:tc>
          <w:tcPr>
            <w:tcW w:w="13176" w:type="dxa"/>
            <w:gridSpan w:val="6"/>
          </w:tcPr>
          <w:p w14:paraId="0DFDBB94" w14:textId="77777777" w:rsidR="00046465" w:rsidRDefault="008134EB">
            <w:pPr>
              <w:pStyle w:val="TableParagraph"/>
              <w:tabs>
                <w:tab w:val="left" w:pos="9184"/>
              </w:tabs>
              <w:spacing w:before="144"/>
              <w:ind w:right="1925"/>
              <w:jc w:val="center"/>
            </w:pPr>
            <w:r>
              <w:t>Name</w:t>
            </w:r>
            <w:r>
              <w:rPr>
                <w:spacing w:val="-5"/>
              </w:rPr>
              <w:t xml:space="preserve"> </w:t>
            </w:r>
            <w:r>
              <w:t>of</w:t>
            </w:r>
            <w:r>
              <w:rPr>
                <w:spacing w:val="-5"/>
              </w:rPr>
              <w:t xml:space="preserve"> </w:t>
            </w:r>
            <w:r>
              <w:rPr>
                <w:spacing w:val="-2"/>
              </w:rPr>
              <w:t>entity:</w:t>
            </w:r>
            <w:r>
              <w:tab/>
            </w:r>
            <w:bookmarkStart w:id="232" w:name="_bookmark123"/>
            <w:bookmarkEnd w:id="232"/>
            <w:r>
              <w:t>Prepared</w:t>
            </w:r>
            <w:r>
              <w:rPr>
                <w:spacing w:val="-11"/>
              </w:rPr>
              <w:t xml:space="preserve"> </w:t>
            </w:r>
            <w:r>
              <w:rPr>
                <w:spacing w:val="-5"/>
              </w:rPr>
              <w:t>by:</w:t>
            </w:r>
          </w:p>
          <w:p w14:paraId="0DFDBB95" w14:textId="77777777" w:rsidR="00046465" w:rsidRDefault="008134EB">
            <w:pPr>
              <w:pStyle w:val="TableParagraph"/>
              <w:spacing w:before="12"/>
              <w:ind w:left="1946" w:right="1925"/>
              <w:jc w:val="center"/>
              <w:rPr>
                <w:b/>
                <w:sz w:val="24"/>
              </w:rPr>
            </w:pPr>
            <w:r>
              <w:rPr>
                <w:b/>
                <w:noProof/>
                <w:sz w:val="24"/>
              </w:rPr>
              <mc:AlternateContent>
                <mc:Choice Requires="wpg">
                  <w:drawing>
                    <wp:anchor distT="0" distB="0" distL="0" distR="0" simplePos="0" relativeHeight="476158464" behindDoc="1" locked="0" layoutInCell="1" allowOverlap="1" wp14:anchorId="0DFDD6A9" wp14:editId="0DFDD6AA">
                      <wp:simplePos x="0" y="0"/>
                      <wp:positionH relativeFrom="column">
                        <wp:posOffset>6953250</wp:posOffset>
                      </wp:positionH>
                      <wp:positionV relativeFrom="paragraph">
                        <wp:posOffset>91882</wp:posOffset>
                      </wp:positionV>
                      <wp:extent cx="1344930" cy="6350"/>
                      <wp:effectExtent l="0" t="0" r="0" b="0"/>
                      <wp:wrapNone/>
                      <wp:docPr id="74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742" name="Graphic 742"/>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11F0FE" id="Group 741" o:spid="_x0000_s1026" style="position:absolute;margin-left:547.5pt;margin-top:7.25pt;width:105.9pt;height:.5pt;z-index:-27158016;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">
                      <v:shape id="Graphic 742"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" path="m1344929,l,,,6108r1344929,l1344929,xe" fillcolor="black" stroked="f">
                        <v:path arrowok="t"/>
                      </v:shape>
                    </v:group>
                  </w:pict>
                </mc:Fallback>
              </mc:AlternateContent>
            </w:r>
            <w:r>
              <w:rPr>
                <w:b/>
                <w:noProof/>
                <w:sz w:val="24"/>
              </w:rPr>
              <mc:AlternateContent>
                <mc:Choice Requires="wpg">
                  <w:drawing>
                    <wp:anchor distT="0" distB="0" distL="0" distR="0" simplePos="0" relativeHeight="476159488" behindDoc="1" locked="0" layoutInCell="1" allowOverlap="1" wp14:anchorId="0DFDD6AB" wp14:editId="0DFDD6AC">
                      <wp:simplePos x="0" y="0"/>
                      <wp:positionH relativeFrom="column">
                        <wp:posOffset>6953250</wp:posOffset>
                      </wp:positionH>
                      <wp:positionV relativeFrom="paragraph">
                        <wp:posOffset>441640</wp:posOffset>
                      </wp:positionV>
                      <wp:extent cx="1344930" cy="6350"/>
                      <wp:effectExtent l="0" t="0" r="0" b="0"/>
                      <wp:wrapNone/>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744" name="Graphic 744"/>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01D2B8D" id="Group 743" o:spid="_x0000_s1026" style="position:absolute;margin-left:547.5pt;margin-top:34.75pt;width:105.9pt;height:.5pt;z-index:-27156992;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">
                      <v:shape id="Graphic 744"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" path="m1344929,l,,,6108r1344929,l1344929,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B96" w14:textId="77777777" w:rsidR="00046465" w:rsidRDefault="008134EB">
            <w:pPr>
              <w:pStyle w:val="TableParagraph"/>
              <w:tabs>
                <w:tab w:val="left" w:pos="8878"/>
              </w:tabs>
              <w:spacing w:before="10"/>
              <w:ind w:right="1681"/>
              <w:jc w:val="center"/>
            </w:pPr>
            <w:r>
              <w:rPr>
                <w:noProof/>
              </w:rPr>
              <mc:AlternateContent>
                <mc:Choice Requires="wpg">
                  <w:drawing>
                    <wp:anchor distT="0" distB="0" distL="0" distR="0" simplePos="0" relativeHeight="476157952" behindDoc="1" locked="0" layoutInCell="1" allowOverlap="1" wp14:anchorId="0DFDD6AD" wp14:editId="0DFDD6AE">
                      <wp:simplePos x="0" y="0"/>
                      <wp:positionH relativeFrom="column">
                        <wp:posOffset>1260347</wp:posOffset>
                      </wp:positionH>
                      <wp:positionV relativeFrom="paragraph">
                        <wp:posOffset>-91198</wp:posOffset>
                      </wp:positionV>
                      <wp:extent cx="1183005" cy="6350"/>
                      <wp:effectExtent l="0" t="0" r="0" b="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746" name="Graphic 746"/>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36A264" id="Group 745" o:spid="_x0000_s1026" style="position:absolute;margin-left:99.25pt;margin-top:-7.2pt;width:93.15pt;height:.5pt;z-index:-27158528;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">
                      <v:shape id="Graphic 746"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" path="m1182611,l,,,6108r1182611,l1182611,xe" fillcolor="black" stroked="f">
                        <v:path arrowok="t"/>
                      </v:shape>
                    </v:group>
                  </w:pict>
                </mc:Fallback>
              </mc:AlternateContent>
            </w:r>
            <w:r>
              <w:rPr>
                <w:noProof/>
              </w:rPr>
              <mc:AlternateContent>
                <mc:Choice Requires="wpg">
                  <w:drawing>
                    <wp:anchor distT="0" distB="0" distL="0" distR="0" simplePos="0" relativeHeight="476158976" behindDoc="1" locked="0" layoutInCell="1" allowOverlap="1" wp14:anchorId="0DFDD6AF" wp14:editId="0DFDD6B0">
                      <wp:simplePos x="0" y="0"/>
                      <wp:positionH relativeFrom="column">
                        <wp:posOffset>1260347</wp:posOffset>
                      </wp:positionH>
                      <wp:positionV relativeFrom="paragraph">
                        <wp:posOffset>258559</wp:posOffset>
                      </wp:positionV>
                      <wp:extent cx="1183005" cy="6350"/>
                      <wp:effectExtent l="0" t="0" r="0" b="0"/>
                      <wp:wrapNone/>
                      <wp:docPr id="747" name="Group 7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748" name="Graphic 748"/>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1FA2CEC" id="Group 747" o:spid="_x0000_s1026" style="position:absolute;margin-left:99.25pt;margin-top:20.35pt;width:93.15pt;height:.5pt;z-index:-27157504;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">
                      <v:shape id="Graphic 748"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" path="m1182611,l,,,6108r1182611,l1182611,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BA2" w14:textId="77777777">
        <w:trPr>
          <w:trHeight w:val="793"/>
        </w:trPr>
        <w:tc>
          <w:tcPr>
            <w:tcW w:w="3868" w:type="dxa"/>
            <w:tcBorders>
              <w:right w:val="single" w:sz="4" w:space="0" w:color="000000"/>
            </w:tcBorders>
          </w:tcPr>
          <w:p w14:paraId="0DFDBB98" w14:textId="77777777" w:rsidR="00046465" w:rsidRDefault="00046465">
            <w:pPr>
              <w:pStyle w:val="TableParagraph"/>
              <w:spacing w:before="143"/>
            </w:pPr>
          </w:p>
          <w:p w14:paraId="0DFDBB99" w14:textId="77777777" w:rsidR="00046465" w:rsidRDefault="008134EB">
            <w:pPr>
              <w:pStyle w:val="TableParagraph"/>
              <w:ind w:left="97"/>
            </w:pPr>
            <w:r>
              <w:t>Provision</w:t>
            </w:r>
            <w:r>
              <w:rPr>
                <w:spacing w:val="-11"/>
              </w:rPr>
              <w:t xml:space="preserve"> </w:t>
            </w:r>
            <w:r>
              <w:rPr>
                <w:spacing w:val="-2"/>
              </w:rPr>
              <w:t>Description</w:t>
            </w:r>
          </w:p>
        </w:tc>
        <w:tc>
          <w:tcPr>
            <w:tcW w:w="1776" w:type="dxa"/>
            <w:tcBorders>
              <w:left w:val="single" w:sz="4" w:space="0" w:color="000000"/>
              <w:right w:val="single" w:sz="4" w:space="0" w:color="000000"/>
            </w:tcBorders>
          </w:tcPr>
          <w:p w14:paraId="0DFDBB9A" w14:textId="77777777" w:rsidR="00046465" w:rsidRDefault="00046465">
            <w:pPr>
              <w:pStyle w:val="TableParagraph"/>
              <w:spacing w:before="143"/>
            </w:pPr>
          </w:p>
          <w:p w14:paraId="0DFDBB9B" w14:textId="77777777" w:rsidR="00046465" w:rsidRDefault="008134EB">
            <w:pPr>
              <w:pStyle w:val="TableParagraph"/>
              <w:ind w:left="107"/>
            </w:pPr>
            <w:r>
              <w:rPr>
                <w:spacing w:val="-2"/>
              </w:rPr>
              <w:t>Objective</w:t>
            </w:r>
          </w:p>
        </w:tc>
        <w:tc>
          <w:tcPr>
            <w:tcW w:w="2201" w:type="dxa"/>
            <w:tcBorders>
              <w:left w:val="single" w:sz="4" w:space="0" w:color="000000"/>
              <w:right w:val="single" w:sz="4" w:space="0" w:color="000000"/>
            </w:tcBorders>
          </w:tcPr>
          <w:p w14:paraId="0DFDBB9C" w14:textId="77777777" w:rsidR="00046465" w:rsidRDefault="00046465">
            <w:pPr>
              <w:pStyle w:val="TableParagraph"/>
              <w:spacing w:before="143"/>
            </w:pPr>
          </w:p>
          <w:p w14:paraId="0DFDBB9D" w14:textId="77777777" w:rsidR="00046465" w:rsidRDefault="008134EB">
            <w:pPr>
              <w:pStyle w:val="TableParagraph"/>
              <w:ind w:left="106"/>
            </w:pPr>
            <w:r>
              <w:t>Control</w:t>
            </w:r>
            <w:r>
              <w:rPr>
                <w:spacing w:val="-9"/>
              </w:rPr>
              <w:t xml:space="preserve"> </w:t>
            </w:r>
            <w:r>
              <w:rPr>
                <w:spacing w:val="-2"/>
              </w:rPr>
              <w:t>Activities</w:t>
            </w:r>
          </w:p>
        </w:tc>
        <w:tc>
          <w:tcPr>
            <w:tcW w:w="1519" w:type="dxa"/>
            <w:tcBorders>
              <w:left w:val="single" w:sz="4" w:space="0" w:color="000000"/>
              <w:right w:val="single" w:sz="4" w:space="0" w:color="000000"/>
            </w:tcBorders>
          </w:tcPr>
          <w:p w14:paraId="0DFDBB9E" w14:textId="77777777" w:rsidR="00046465" w:rsidRDefault="00046465">
            <w:pPr>
              <w:pStyle w:val="TableParagraph"/>
              <w:spacing w:before="143"/>
            </w:pPr>
          </w:p>
          <w:p w14:paraId="0DFDBB9F" w14:textId="77777777" w:rsidR="00046465" w:rsidRDefault="008134EB">
            <w:pPr>
              <w:pStyle w:val="TableParagraph"/>
              <w:ind w:left="107"/>
            </w:pPr>
            <w:r>
              <w:t>IS</w:t>
            </w:r>
            <w:r>
              <w:rPr>
                <w:spacing w:val="-3"/>
              </w:rPr>
              <w:t xml:space="preserve"> </w:t>
            </w:r>
            <w:r>
              <w:rPr>
                <w:spacing w:val="-2"/>
              </w:rPr>
              <w:t>(Y/N)</w:t>
            </w:r>
          </w:p>
        </w:tc>
        <w:tc>
          <w:tcPr>
            <w:tcW w:w="1640" w:type="dxa"/>
            <w:tcBorders>
              <w:left w:val="single" w:sz="4" w:space="0" w:color="000000"/>
              <w:right w:val="single" w:sz="4" w:space="0" w:color="000000"/>
            </w:tcBorders>
          </w:tcPr>
          <w:p w14:paraId="0DFDBBA0" w14:textId="77777777" w:rsidR="00046465" w:rsidRDefault="008134EB">
            <w:pPr>
              <w:pStyle w:val="TableParagraph"/>
              <w:spacing w:before="143"/>
              <w:ind w:left="107" w:right="99"/>
            </w:pPr>
            <w:r>
              <w:rPr>
                <w:spacing w:val="-2"/>
              </w:rPr>
              <w:t>Effective controls?</w:t>
            </w:r>
          </w:p>
        </w:tc>
        <w:tc>
          <w:tcPr>
            <w:tcW w:w="2172" w:type="dxa"/>
            <w:tcBorders>
              <w:left w:val="single" w:sz="4" w:space="0" w:color="000000"/>
            </w:tcBorders>
          </w:tcPr>
          <w:p w14:paraId="0DFDBBA1" w14:textId="77777777" w:rsidR="00046465" w:rsidRDefault="008134EB">
            <w:pPr>
              <w:pStyle w:val="TableParagraph"/>
              <w:spacing w:before="143"/>
              <w:ind w:left="107"/>
            </w:pPr>
            <w:r>
              <w:t xml:space="preserve">Instances of </w:t>
            </w:r>
            <w:r>
              <w:rPr>
                <w:spacing w:val="-2"/>
              </w:rPr>
              <w:t>noncompliance?</w:t>
            </w:r>
          </w:p>
        </w:tc>
      </w:tr>
      <w:tr w:rsidR="00046465" w14:paraId="0DFDBBAC" w14:textId="77777777">
        <w:trPr>
          <w:trHeight w:val="2980"/>
        </w:trPr>
        <w:tc>
          <w:tcPr>
            <w:tcW w:w="3868" w:type="dxa"/>
            <w:tcBorders>
              <w:right w:val="single" w:sz="4" w:space="0" w:color="000000"/>
            </w:tcBorders>
          </w:tcPr>
          <w:p w14:paraId="0DFDBBA3" w14:textId="77777777" w:rsidR="00046465" w:rsidRDefault="008134EB">
            <w:pPr>
              <w:pStyle w:val="TableParagraph"/>
              <w:spacing w:before="143"/>
              <w:ind w:left="817" w:hanging="720"/>
              <w:rPr>
                <w:sz w:val="18"/>
              </w:rPr>
            </w:pPr>
            <w:r>
              <w:rPr>
                <w:smallCaps/>
                <w:sz w:val="18"/>
              </w:rPr>
              <w:t xml:space="preserve">808.03. </w:t>
            </w:r>
            <w:r>
              <w:rPr>
                <w:smallCaps/>
                <w:spacing w:val="20"/>
                <w:sz w:val="18"/>
              </w:rPr>
              <w:t xml:space="preserve"> </w:t>
            </w:r>
            <w:r>
              <w:rPr>
                <w:smallCaps/>
                <w:sz w:val="18"/>
              </w:rPr>
              <w:t>Deposits Into the Civil Service</w:t>
            </w:r>
            <w:r>
              <w:rPr>
                <w:smallCaps/>
                <w:spacing w:val="40"/>
                <w:sz w:val="18"/>
              </w:rPr>
              <w:t xml:space="preserve"> </w:t>
            </w:r>
            <w:r>
              <w:rPr>
                <w:smallCaps/>
                <w:sz w:val="18"/>
              </w:rPr>
              <w:t>Retirement</w:t>
            </w:r>
            <w:r>
              <w:rPr>
                <w:smallCaps/>
                <w:spacing w:val="-10"/>
                <w:sz w:val="18"/>
              </w:rPr>
              <w:t xml:space="preserve"> </w:t>
            </w:r>
            <w:r>
              <w:rPr>
                <w:smallCaps/>
                <w:sz w:val="18"/>
              </w:rPr>
              <w:t>and</w:t>
            </w:r>
            <w:r>
              <w:rPr>
                <w:smallCaps/>
                <w:spacing w:val="-10"/>
                <w:sz w:val="18"/>
              </w:rPr>
              <w:t xml:space="preserve"> </w:t>
            </w:r>
            <w:r>
              <w:rPr>
                <w:smallCaps/>
                <w:sz w:val="18"/>
              </w:rPr>
              <w:t>Disability</w:t>
            </w:r>
            <w:r>
              <w:rPr>
                <w:smallCaps/>
                <w:spacing w:val="-10"/>
                <w:sz w:val="18"/>
              </w:rPr>
              <w:t xml:space="preserve"> </w:t>
            </w:r>
            <w:r>
              <w:rPr>
                <w:smallCaps/>
                <w:sz w:val="18"/>
              </w:rPr>
              <w:t>Fund.</w:t>
            </w:r>
          </w:p>
          <w:p w14:paraId="0DFDBBA4" w14:textId="77777777" w:rsidR="00046465" w:rsidRDefault="008134EB">
            <w:pPr>
              <w:pStyle w:val="TableParagraph"/>
              <w:spacing w:before="144"/>
              <w:ind w:left="97" w:right="598"/>
              <w:rPr>
                <w:sz w:val="18"/>
              </w:rPr>
            </w:pPr>
            <w:r>
              <w:rPr>
                <w:sz w:val="18"/>
              </w:rPr>
              <w:t>Provision</w:t>
            </w:r>
            <w:r>
              <w:rPr>
                <w:spacing w:val="-13"/>
                <w:sz w:val="18"/>
              </w:rPr>
              <w:t xml:space="preserve"> </w:t>
            </w:r>
            <w:r>
              <w:rPr>
                <w:sz w:val="18"/>
              </w:rPr>
              <w:t>Types:</w:t>
            </w:r>
            <w:r>
              <w:rPr>
                <w:spacing w:val="-12"/>
                <w:sz w:val="18"/>
              </w:rPr>
              <w:t xml:space="preserve"> </w:t>
            </w:r>
            <w:r>
              <w:rPr>
                <w:sz w:val="18"/>
              </w:rPr>
              <w:t>Procedural-based</w:t>
            </w:r>
            <w:r>
              <w:rPr>
                <w:spacing w:val="-13"/>
                <w:sz w:val="18"/>
              </w:rPr>
              <w:t xml:space="preserve"> </w:t>
            </w:r>
            <w:r>
              <w:rPr>
                <w:sz w:val="18"/>
              </w:rPr>
              <w:t xml:space="preserve">and </w:t>
            </w:r>
            <w:r>
              <w:rPr>
                <w:spacing w:val="-2"/>
                <w:sz w:val="18"/>
              </w:rPr>
              <w:t>quantitative-based.</w:t>
            </w:r>
          </w:p>
          <w:p w14:paraId="0DFDBBA5" w14:textId="77777777" w:rsidR="00046465" w:rsidRDefault="008134EB">
            <w:pPr>
              <w:pStyle w:val="TableParagraph"/>
              <w:spacing w:before="145"/>
              <w:ind w:left="97" w:right="136"/>
              <w:rPr>
                <w:sz w:val="18"/>
              </w:rPr>
            </w:pPr>
            <w:r>
              <w:rPr>
                <w:sz w:val="18"/>
              </w:rPr>
              <w:t>Amounts withheld from employees and the sum contributed by the entity for retirement benefits</w:t>
            </w:r>
            <w:r>
              <w:rPr>
                <w:spacing w:val="-4"/>
                <w:sz w:val="18"/>
              </w:rPr>
              <w:t xml:space="preserve"> </w:t>
            </w:r>
            <w:r>
              <w:rPr>
                <w:sz w:val="18"/>
              </w:rPr>
              <w:t>shall</w:t>
            </w:r>
            <w:r>
              <w:rPr>
                <w:spacing w:val="-4"/>
                <w:sz w:val="18"/>
              </w:rPr>
              <w:t xml:space="preserve"> </w:t>
            </w:r>
            <w:r>
              <w:rPr>
                <w:sz w:val="18"/>
              </w:rPr>
              <w:t>be</w:t>
            </w:r>
            <w:r>
              <w:rPr>
                <w:spacing w:val="-5"/>
                <w:sz w:val="18"/>
              </w:rPr>
              <w:t xml:space="preserve"> </w:t>
            </w:r>
            <w:r>
              <w:rPr>
                <w:sz w:val="18"/>
              </w:rPr>
              <w:t>deposited</w:t>
            </w:r>
            <w:r>
              <w:rPr>
                <w:spacing w:val="-5"/>
                <w:sz w:val="18"/>
              </w:rPr>
              <w:t xml:space="preserve"> </w:t>
            </w:r>
            <w:r>
              <w:rPr>
                <w:sz w:val="18"/>
              </w:rPr>
              <w:t>into</w:t>
            </w:r>
            <w:r>
              <w:rPr>
                <w:spacing w:val="-5"/>
                <w:sz w:val="18"/>
              </w:rPr>
              <w:t xml:space="preserve"> </w:t>
            </w:r>
            <w:r>
              <w:rPr>
                <w:sz w:val="18"/>
              </w:rPr>
              <w:t>the</w:t>
            </w:r>
            <w:r>
              <w:rPr>
                <w:spacing w:val="-5"/>
                <w:sz w:val="18"/>
              </w:rPr>
              <w:t xml:space="preserve"> </w:t>
            </w:r>
            <w:r>
              <w:rPr>
                <w:sz w:val="18"/>
              </w:rPr>
              <w:t>Treasury to the credit of the Civil Service Retirement and</w:t>
            </w:r>
            <w:r>
              <w:rPr>
                <w:spacing w:val="-6"/>
                <w:sz w:val="18"/>
              </w:rPr>
              <w:t xml:space="preserve"> </w:t>
            </w:r>
            <w:r>
              <w:rPr>
                <w:sz w:val="18"/>
              </w:rPr>
              <w:t>Disability</w:t>
            </w:r>
            <w:r>
              <w:rPr>
                <w:spacing w:val="-4"/>
                <w:sz w:val="18"/>
              </w:rPr>
              <w:t xml:space="preserve"> </w:t>
            </w:r>
            <w:r>
              <w:rPr>
                <w:sz w:val="18"/>
              </w:rPr>
              <w:t>Fund.</w:t>
            </w:r>
            <w:hyperlink w:anchor="_bookmark123" w:history="1">
              <w:r>
                <w:rPr>
                  <w:position w:val="6"/>
                  <w:sz w:val="12"/>
                </w:rPr>
                <w:t>55</w:t>
              </w:r>
            </w:hyperlink>
            <w:r>
              <w:rPr>
                <w:spacing w:val="12"/>
                <w:position w:val="6"/>
                <w:sz w:val="12"/>
              </w:rPr>
              <w:t xml:space="preserve"> </w:t>
            </w:r>
            <w:r>
              <w:rPr>
                <w:sz w:val="18"/>
              </w:rPr>
              <w:t>5</w:t>
            </w:r>
            <w:r>
              <w:rPr>
                <w:spacing w:val="-6"/>
                <w:sz w:val="18"/>
              </w:rPr>
              <w:t xml:space="preserve"> </w:t>
            </w:r>
            <w:r>
              <w:rPr>
                <w:sz w:val="18"/>
              </w:rPr>
              <w:t>U.S.C.</w:t>
            </w:r>
            <w:r>
              <w:rPr>
                <w:spacing w:val="-5"/>
                <w:sz w:val="18"/>
              </w:rPr>
              <w:t xml:space="preserve"> </w:t>
            </w:r>
            <w:r>
              <w:rPr>
                <w:sz w:val="18"/>
              </w:rPr>
              <w:t>§</w:t>
            </w:r>
            <w:r>
              <w:rPr>
                <w:spacing w:val="-6"/>
                <w:sz w:val="18"/>
              </w:rPr>
              <w:t xml:space="preserve"> </w:t>
            </w:r>
            <w:r>
              <w:rPr>
                <w:sz w:val="18"/>
              </w:rPr>
              <w:t>8334(a)(2).</w:t>
            </w:r>
          </w:p>
        </w:tc>
        <w:tc>
          <w:tcPr>
            <w:tcW w:w="1776" w:type="dxa"/>
            <w:tcBorders>
              <w:left w:val="single" w:sz="4" w:space="0" w:color="000000"/>
              <w:right w:val="single" w:sz="4" w:space="0" w:color="000000"/>
            </w:tcBorders>
          </w:tcPr>
          <w:p w14:paraId="0DFDBBA6" w14:textId="77777777" w:rsidR="00046465" w:rsidRDefault="008134EB">
            <w:pPr>
              <w:pStyle w:val="TableParagraph"/>
              <w:spacing w:before="143"/>
              <w:ind w:left="107" w:right="127"/>
              <w:rPr>
                <w:sz w:val="18"/>
              </w:rPr>
            </w:pPr>
            <w:r>
              <w:rPr>
                <w:sz w:val="18"/>
              </w:rPr>
              <w:t>Withholdings from employees and entity</w:t>
            </w:r>
            <w:r>
              <w:rPr>
                <w:spacing w:val="-10"/>
                <w:sz w:val="18"/>
              </w:rPr>
              <w:t xml:space="preserve"> </w:t>
            </w:r>
            <w:r>
              <w:rPr>
                <w:sz w:val="18"/>
              </w:rPr>
              <w:t xml:space="preserve">contributions for retirement benefits are </w:t>
            </w:r>
            <w:r>
              <w:rPr>
                <w:spacing w:val="-2"/>
                <w:sz w:val="18"/>
              </w:rPr>
              <w:t xml:space="preserve">properly </w:t>
            </w:r>
            <w:r>
              <w:rPr>
                <w:sz w:val="18"/>
              </w:rPr>
              <w:t>summarized and deposited into the Treasury to the credit of the Civil Service</w:t>
            </w:r>
            <w:r>
              <w:rPr>
                <w:spacing w:val="-13"/>
                <w:sz w:val="18"/>
              </w:rPr>
              <w:t xml:space="preserve"> </w:t>
            </w:r>
            <w:r>
              <w:rPr>
                <w:sz w:val="18"/>
              </w:rPr>
              <w:t>Retirement and Disability</w:t>
            </w:r>
            <w:r>
              <w:rPr>
                <w:spacing w:val="40"/>
                <w:sz w:val="18"/>
              </w:rPr>
              <w:t xml:space="preserve"> </w:t>
            </w:r>
            <w:r>
              <w:rPr>
                <w:spacing w:val="-2"/>
                <w:sz w:val="18"/>
              </w:rPr>
              <w:t>Fund.</w:t>
            </w:r>
          </w:p>
        </w:tc>
        <w:tc>
          <w:tcPr>
            <w:tcW w:w="2201" w:type="dxa"/>
            <w:tcBorders>
              <w:left w:val="single" w:sz="4" w:space="0" w:color="000000"/>
              <w:right w:val="single" w:sz="4" w:space="0" w:color="000000"/>
            </w:tcBorders>
          </w:tcPr>
          <w:p w14:paraId="0DFDBBA7" w14:textId="77777777" w:rsidR="00046465" w:rsidRDefault="00046465">
            <w:pPr>
              <w:pStyle w:val="TableParagraph"/>
              <w:rPr>
                <w:rFonts w:ascii="Times New Roman"/>
                <w:sz w:val="18"/>
              </w:rPr>
            </w:pPr>
          </w:p>
        </w:tc>
        <w:tc>
          <w:tcPr>
            <w:tcW w:w="1519" w:type="dxa"/>
            <w:tcBorders>
              <w:left w:val="single" w:sz="4" w:space="0" w:color="000000"/>
              <w:right w:val="single" w:sz="4" w:space="0" w:color="000000"/>
            </w:tcBorders>
          </w:tcPr>
          <w:p w14:paraId="0DFDBBA8" w14:textId="77777777" w:rsidR="00046465" w:rsidRDefault="00046465">
            <w:pPr>
              <w:pStyle w:val="TableParagraph"/>
              <w:rPr>
                <w:rFonts w:ascii="Times New Roman"/>
                <w:sz w:val="18"/>
              </w:rPr>
            </w:pPr>
          </w:p>
        </w:tc>
        <w:tc>
          <w:tcPr>
            <w:tcW w:w="1640" w:type="dxa"/>
            <w:tcBorders>
              <w:left w:val="single" w:sz="4" w:space="0" w:color="000000"/>
              <w:right w:val="single" w:sz="4" w:space="0" w:color="000000"/>
            </w:tcBorders>
          </w:tcPr>
          <w:p w14:paraId="0DFDBBA9" w14:textId="77777777" w:rsidR="00046465" w:rsidRDefault="00046465">
            <w:pPr>
              <w:pStyle w:val="TableParagraph"/>
              <w:rPr>
                <w:rFonts w:ascii="Times New Roman"/>
                <w:sz w:val="18"/>
              </w:rPr>
            </w:pPr>
          </w:p>
        </w:tc>
        <w:tc>
          <w:tcPr>
            <w:tcW w:w="2172" w:type="dxa"/>
            <w:tcBorders>
              <w:left w:val="single" w:sz="4" w:space="0" w:color="000000"/>
            </w:tcBorders>
          </w:tcPr>
          <w:p w14:paraId="0DFDBBAA" w14:textId="77777777" w:rsidR="00046465" w:rsidRDefault="008134EB">
            <w:pPr>
              <w:pStyle w:val="TableParagraph"/>
              <w:spacing w:before="143"/>
              <w:ind w:left="107"/>
              <w:rPr>
                <w:sz w:val="18"/>
              </w:rPr>
            </w:pPr>
            <w:r>
              <w:rPr>
                <w:sz w:val="18"/>
              </w:rPr>
              <w:t>See</w:t>
            </w:r>
            <w:r>
              <w:rPr>
                <w:spacing w:val="-15"/>
                <w:sz w:val="18"/>
              </w:rPr>
              <w:t xml:space="preserve"> </w:t>
            </w:r>
            <w:r>
              <w:rPr>
                <w:sz w:val="18"/>
              </w:rPr>
              <w:t>Compliance</w:t>
            </w:r>
            <w:r>
              <w:rPr>
                <w:spacing w:val="-12"/>
                <w:sz w:val="18"/>
              </w:rPr>
              <w:t xml:space="preserve"> </w:t>
            </w:r>
            <w:r>
              <w:rPr>
                <w:sz w:val="18"/>
              </w:rPr>
              <w:t>Audit Procedures,</w:t>
            </w:r>
            <w:r>
              <w:rPr>
                <w:spacing w:val="-4"/>
                <w:sz w:val="18"/>
              </w:rPr>
              <w:t xml:space="preserve"> </w:t>
            </w:r>
            <w:r>
              <w:rPr>
                <w:sz w:val="18"/>
              </w:rPr>
              <w:t>FAM</w:t>
            </w:r>
            <w:r>
              <w:rPr>
                <w:spacing w:val="-3"/>
                <w:sz w:val="18"/>
              </w:rPr>
              <w:t xml:space="preserve"> </w:t>
            </w:r>
            <w:r>
              <w:rPr>
                <w:spacing w:val="-5"/>
                <w:sz w:val="18"/>
              </w:rPr>
              <w:t>808</w:t>
            </w:r>
          </w:p>
          <w:p w14:paraId="0DFDBBAB" w14:textId="77777777" w:rsidR="00046465" w:rsidRDefault="008134EB">
            <w:pPr>
              <w:pStyle w:val="TableParagraph"/>
              <w:spacing w:before="1"/>
              <w:ind w:left="107"/>
              <w:rPr>
                <w:sz w:val="18"/>
              </w:rPr>
            </w:pPr>
            <w:r>
              <w:rPr>
                <w:sz w:val="18"/>
              </w:rPr>
              <w:t>steps</w:t>
            </w:r>
            <w:r>
              <w:rPr>
                <w:spacing w:val="-2"/>
                <w:sz w:val="18"/>
              </w:rPr>
              <w:t xml:space="preserve"> </w:t>
            </w:r>
            <w:r>
              <w:rPr>
                <w:sz w:val="18"/>
              </w:rPr>
              <w:t>6</w:t>
            </w:r>
            <w:r>
              <w:rPr>
                <w:spacing w:val="-1"/>
                <w:sz w:val="18"/>
              </w:rPr>
              <w:t xml:space="preserve"> </w:t>
            </w:r>
            <w:r>
              <w:rPr>
                <w:sz w:val="18"/>
              </w:rPr>
              <w:t>and</w:t>
            </w:r>
            <w:r>
              <w:rPr>
                <w:spacing w:val="-2"/>
                <w:sz w:val="18"/>
              </w:rPr>
              <w:t xml:space="preserve"> </w:t>
            </w:r>
            <w:r>
              <w:rPr>
                <w:spacing w:val="-5"/>
                <w:sz w:val="18"/>
              </w:rPr>
              <w:t>7.</w:t>
            </w:r>
          </w:p>
        </w:tc>
      </w:tr>
    </w:tbl>
    <w:p w14:paraId="0DFDBBAD" w14:textId="77777777" w:rsidR="00046465" w:rsidRDefault="00046465">
      <w:pPr>
        <w:pStyle w:val="BodyText"/>
        <w:rPr>
          <w:sz w:val="20"/>
        </w:rPr>
      </w:pPr>
    </w:p>
    <w:p w14:paraId="0DFDBBAE" w14:textId="77777777" w:rsidR="00046465" w:rsidRDefault="00046465">
      <w:pPr>
        <w:pStyle w:val="BodyText"/>
        <w:rPr>
          <w:sz w:val="20"/>
        </w:rPr>
      </w:pPr>
    </w:p>
    <w:p w14:paraId="0DFDBBAF" w14:textId="77777777" w:rsidR="00046465" w:rsidRDefault="00046465">
      <w:pPr>
        <w:pStyle w:val="BodyText"/>
        <w:rPr>
          <w:sz w:val="20"/>
        </w:rPr>
      </w:pPr>
    </w:p>
    <w:p w14:paraId="0DFDBBB0" w14:textId="77777777" w:rsidR="00046465" w:rsidRDefault="00046465">
      <w:pPr>
        <w:pStyle w:val="BodyText"/>
        <w:rPr>
          <w:sz w:val="20"/>
        </w:rPr>
      </w:pPr>
    </w:p>
    <w:p w14:paraId="0DFDBBB1" w14:textId="77777777" w:rsidR="00046465" w:rsidRDefault="00046465">
      <w:pPr>
        <w:pStyle w:val="BodyText"/>
        <w:rPr>
          <w:sz w:val="20"/>
        </w:rPr>
      </w:pPr>
    </w:p>
    <w:p w14:paraId="0DFDBBB2" w14:textId="77777777" w:rsidR="00046465" w:rsidRDefault="00046465">
      <w:pPr>
        <w:pStyle w:val="BodyText"/>
        <w:rPr>
          <w:sz w:val="20"/>
        </w:rPr>
      </w:pPr>
    </w:p>
    <w:p w14:paraId="0DFDBBB3" w14:textId="77777777" w:rsidR="00046465" w:rsidRDefault="00046465">
      <w:pPr>
        <w:pStyle w:val="BodyText"/>
        <w:rPr>
          <w:sz w:val="20"/>
        </w:rPr>
      </w:pPr>
    </w:p>
    <w:p w14:paraId="0DFDBBB4" w14:textId="77777777" w:rsidR="00046465" w:rsidRDefault="00046465">
      <w:pPr>
        <w:pStyle w:val="BodyText"/>
        <w:rPr>
          <w:sz w:val="20"/>
        </w:rPr>
      </w:pPr>
    </w:p>
    <w:p w14:paraId="0DFDBBB5" w14:textId="77777777" w:rsidR="00046465" w:rsidRDefault="00046465">
      <w:pPr>
        <w:pStyle w:val="BodyText"/>
        <w:rPr>
          <w:sz w:val="20"/>
        </w:rPr>
      </w:pPr>
    </w:p>
    <w:p w14:paraId="0DFDBBB6" w14:textId="77777777" w:rsidR="00046465" w:rsidRDefault="00046465">
      <w:pPr>
        <w:pStyle w:val="BodyText"/>
        <w:rPr>
          <w:sz w:val="20"/>
        </w:rPr>
      </w:pPr>
    </w:p>
    <w:p w14:paraId="0DFDBBB7" w14:textId="77777777" w:rsidR="00046465" w:rsidRDefault="00046465">
      <w:pPr>
        <w:pStyle w:val="BodyText"/>
        <w:rPr>
          <w:sz w:val="20"/>
        </w:rPr>
      </w:pPr>
    </w:p>
    <w:p w14:paraId="0DFDBBB8" w14:textId="77777777" w:rsidR="00046465" w:rsidRDefault="008134EB">
      <w:pPr>
        <w:pStyle w:val="BodyText"/>
        <w:spacing w:before="217"/>
        <w:rPr>
          <w:sz w:val="20"/>
        </w:rPr>
      </w:pPr>
      <w:r>
        <w:rPr>
          <w:noProof/>
          <w:sz w:val="20"/>
        </w:rPr>
        <mc:AlternateContent>
          <mc:Choice Requires="wps">
            <w:drawing>
              <wp:anchor distT="0" distB="0" distL="0" distR="0" simplePos="0" relativeHeight="487691776" behindDoc="1" locked="0" layoutInCell="1" allowOverlap="1" wp14:anchorId="0DFDD6B1" wp14:editId="0DFDD6B2">
                <wp:simplePos x="0" y="0"/>
                <wp:positionH relativeFrom="page">
                  <wp:posOffset>685800</wp:posOffset>
                </wp:positionH>
                <wp:positionV relativeFrom="paragraph">
                  <wp:posOffset>299481</wp:posOffset>
                </wp:positionV>
                <wp:extent cx="1828800" cy="6985"/>
                <wp:effectExtent l="0" t="0" r="0" b="0"/>
                <wp:wrapTopAndBottom/>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60EAC4" id="Graphic 749" o:spid="_x0000_s1026" style="position:absolute;margin-left:54pt;margin-top:23.6pt;width:2in;height:.55pt;z-index:-1562470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" path="m1828800,l,,,6858r1828800,l1828800,xe" fillcolor="black" stroked="f">
                <v:path arrowok="t"/>
                <w10:wrap type="topAndBottom" anchorx="page"/>
              </v:shape>
            </w:pict>
          </mc:Fallback>
        </mc:AlternateContent>
      </w:r>
    </w:p>
    <w:p w14:paraId="0DFDBBB9" w14:textId="77777777" w:rsidR="00046465" w:rsidRDefault="00046465">
      <w:pPr>
        <w:pStyle w:val="BodyText"/>
        <w:spacing w:before="10"/>
        <w:rPr>
          <w:sz w:val="18"/>
        </w:rPr>
      </w:pPr>
    </w:p>
    <w:p w14:paraId="0DFDBBBA" w14:textId="77777777" w:rsidR="00046465" w:rsidRDefault="008134EB">
      <w:pPr>
        <w:spacing w:line="244" w:lineRule="auto"/>
        <w:ind w:left="359"/>
        <w:rPr>
          <w:sz w:val="18"/>
        </w:rPr>
      </w:pPr>
      <w:r>
        <w:rPr>
          <w:position w:val="7"/>
          <w:sz w:val="14"/>
        </w:rPr>
        <w:t>55</w:t>
      </w:r>
      <w:r>
        <w:rPr>
          <w:sz w:val="18"/>
        </w:rPr>
        <w:t>The Civil Service Retirement and Disability Fund is the fund established under 5 U.S.C. § 8348 that is available for the payment of employee benefits (primarily retirement)</w:t>
      </w:r>
      <w:r>
        <w:rPr>
          <w:spacing w:val="-2"/>
          <w:sz w:val="18"/>
        </w:rPr>
        <w:t xml:space="preserve"> </w:t>
      </w:r>
      <w:r>
        <w:rPr>
          <w:sz w:val="18"/>
        </w:rPr>
        <w:t>under</w:t>
      </w:r>
      <w:r>
        <w:rPr>
          <w:spacing w:val="-2"/>
          <w:sz w:val="18"/>
        </w:rPr>
        <w:t xml:space="preserve"> </w:t>
      </w:r>
      <w:r>
        <w:rPr>
          <w:sz w:val="18"/>
        </w:rPr>
        <w:t>5</w:t>
      </w:r>
      <w:r>
        <w:rPr>
          <w:spacing w:val="-3"/>
          <w:sz w:val="18"/>
        </w:rPr>
        <w:t xml:space="preserve"> </w:t>
      </w:r>
      <w:r>
        <w:rPr>
          <w:sz w:val="18"/>
        </w:rPr>
        <w:t>U.S.C.</w:t>
      </w:r>
      <w:r>
        <w:rPr>
          <w:spacing w:val="-2"/>
          <w:sz w:val="18"/>
        </w:rPr>
        <w:t xml:space="preserve"> </w:t>
      </w:r>
      <w:r>
        <w:rPr>
          <w:sz w:val="18"/>
        </w:rPr>
        <w:t>chapters</w:t>
      </w:r>
      <w:r>
        <w:rPr>
          <w:spacing w:val="-2"/>
          <w:sz w:val="18"/>
        </w:rPr>
        <w:t xml:space="preserve"> </w:t>
      </w:r>
      <w:r>
        <w:rPr>
          <w:sz w:val="18"/>
        </w:rPr>
        <w:t>83</w:t>
      </w:r>
      <w:r>
        <w:rPr>
          <w:spacing w:val="-2"/>
          <w:sz w:val="18"/>
        </w:rPr>
        <w:t xml:space="preserve"> </w:t>
      </w:r>
      <w:r>
        <w:rPr>
          <w:sz w:val="18"/>
        </w:rPr>
        <w:t>and</w:t>
      </w:r>
      <w:r>
        <w:rPr>
          <w:spacing w:val="-1"/>
          <w:sz w:val="18"/>
        </w:rPr>
        <w:t xml:space="preserve"> </w:t>
      </w:r>
      <w:r>
        <w:rPr>
          <w:sz w:val="18"/>
        </w:rPr>
        <w:t>84</w:t>
      </w:r>
      <w:r>
        <w:rPr>
          <w:spacing w:val="-3"/>
          <w:sz w:val="18"/>
        </w:rPr>
        <w:t xml:space="preserve"> </w:t>
      </w:r>
      <w:r>
        <w:rPr>
          <w:sz w:val="18"/>
        </w:rPr>
        <w:t>and</w:t>
      </w:r>
      <w:r>
        <w:rPr>
          <w:spacing w:val="-3"/>
          <w:sz w:val="18"/>
        </w:rPr>
        <w:t xml:space="preserve"> </w:t>
      </w:r>
      <w:r>
        <w:rPr>
          <w:sz w:val="18"/>
        </w:rPr>
        <w:t>for</w:t>
      </w:r>
      <w:r>
        <w:rPr>
          <w:spacing w:val="-2"/>
          <w:sz w:val="18"/>
        </w:rPr>
        <w:t xml:space="preserve"> </w:t>
      </w:r>
      <w:r>
        <w:rPr>
          <w:sz w:val="18"/>
        </w:rPr>
        <w:t>specified</w:t>
      </w:r>
      <w:r>
        <w:rPr>
          <w:spacing w:val="-3"/>
          <w:sz w:val="18"/>
        </w:rPr>
        <w:t xml:space="preserve"> </w:t>
      </w:r>
      <w:r>
        <w:rPr>
          <w:sz w:val="18"/>
        </w:rPr>
        <w:t>administrative</w:t>
      </w:r>
      <w:r>
        <w:rPr>
          <w:spacing w:val="-3"/>
          <w:sz w:val="18"/>
        </w:rPr>
        <w:t xml:space="preserve"> </w:t>
      </w:r>
      <w:r>
        <w:rPr>
          <w:sz w:val="18"/>
        </w:rPr>
        <w:t>expenses</w:t>
      </w:r>
      <w:r>
        <w:rPr>
          <w:spacing w:val="-1"/>
          <w:sz w:val="18"/>
        </w:rPr>
        <w:t xml:space="preserve"> </w:t>
      </w:r>
      <w:r>
        <w:rPr>
          <w:sz w:val="18"/>
        </w:rPr>
        <w:t>incurred</w:t>
      </w:r>
      <w:r>
        <w:rPr>
          <w:spacing w:val="-3"/>
          <w:sz w:val="18"/>
        </w:rPr>
        <w:t xml:space="preserve"> </w:t>
      </w:r>
      <w:r>
        <w:rPr>
          <w:sz w:val="18"/>
        </w:rPr>
        <w:t>by</w:t>
      </w:r>
      <w:r>
        <w:rPr>
          <w:spacing w:val="-2"/>
          <w:sz w:val="18"/>
        </w:rPr>
        <w:t xml:space="preserve"> </w:t>
      </w:r>
      <w:r>
        <w:rPr>
          <w:sz w:val="18"/>
        </w:rPr>
        <w:t>Office</w:t>
      </w:r>
      <w:r>
        <w:rPr>
          <w:spacing w:val="-3"/>
          <w:sz w:val="18"/>
        </w:rPr>
        <w:t xml:space="preserve"> </w:t>
      </w:r>
      <w:r>
        <w:rPr>
          <w:sz w:val="18"/>
        </w:rPr>
        <w:t>of</w:t>
      </w:r>
      <w:r>
        <w:rPr>
          <w:spacing w:val="-2"/>
          <w:sz w:val="18"/>
        </w:rPr>
        <w:t xml:space="preserve"> </w:t>
      </w:r>
      <w:r>
        <w:rPr>
          <w:sz w:val="18"/>
        </w:rPr>
        <w:t>Personnel</w:t>
      </w:r>
      <w:r>
        <w:rPr>
          <w:spacing w:val="-2"/>
          <w:sz w:val="18"/>
        </w:rPr>
        <w:t xml:space="preserve"> </w:t>
      </w:r>
      <w:r>
        <w:rPr>
          <w:sz w:val="18"/>
        </w:rPr>
        <w:t>Management</w:t>
      </w:r>
      <w:r>
        <w:rPr>
          <w:spacing w:val="-2"/>
          <w:sz w:val="18"/>
        </w:rPr>
        <w:t xml:space="preserve"> </w:t>
      </w:r>
      <w:r>
        <w:rPr>
          <w:sz w:val="18"/>
        </w:rPr>
        <w:t>(OPM)</w:t>
      </w:r>
      <w:r>
        <w:rPr>
          <w:spacing w:val="-2"/>
          <w:sz w:val="18"/>
        </w:rPr>
        <w:t xml:space="preserve"> </w:t>
      </w:r>
      <w:r>
        <w:rPr>
          <w:sz w:val="18"/>
        </w:rPr>
        <w:t>or</w:t>
      </w:r>
      <w:r>
        <w:rPr>
          <w:spacing w:val="-3"/>
          <w:sz w:val="18"/>
        </w:rPr>
        <w:t xml:space="preserve"> </w:t>
      </w:r>
      <w:r>
        <w:rPr>
          <w:sz w:val="18"/>
        </w:rPr>
        <w:t>the</w:t>
      </w:r>
      <w:r>
        <w:rPr>
          <w:spacing w:val="-3"/>
          <w:sz w:val="18"/>
        </w:rPr>
        <w:t xml:space="preserve"> </w:t>
      </w:r>
      <w:r>
        <w:rPr>
          <w:sz w:val="18"/>
        </w:rPr>
        <w:t>Merit</w:t>
      </w:r>
      <w:r>
        <w:rPr>
          <w:spacing w:val="-2"/>
          <w:sz w:val="18"/>
        </w:rPr>
        <w:t xml:space="preserve"> </w:t>
      </w:r>
      <w:r>
        <w:rPr>
          <w:sz w:val="18"/>
        </w:rPr>
        <w:t>Systems Protection Board. 5 U.S.C. § 8331(5).</w:t>
      </w:r>
    </w:p>
    <w:p w14:paraId="0DFDBBBB" w14:textId="77777777" w:rsidR="00046465" w:rsidRDefault="00046465">
      <w:pPr>
        <w:spacing w:line="244" w:lineRule="auto"/>
        <w:rPr>
          <w:sz w:val="18"/>
        </w:rPr>
        <w:sectPr w:rsidR="00046465">
          <w:pgSz w:w="15840" w:h="12240" w:orient="landscape"/>
          <w:pgMar w:top="1380" w:right="1440" w:bottom="940" w:left="720" w:header="721" w:footer="742" w:gutter="0"/>
          <w:cols w:space="720"/>
        </w:sectPr>
      </w:pPr>
    </w:p>
    <w:p w14:paraId="0DFDBBBC" w14:textId="77777777" w:rsidR="00046465" w:rsidRDefault="008134EB">
      <w:pPr>
        <w:pStyle w:val="BodyText"/>
        <w:spacing w:before="82"/>
        <w:ind w:left="360" w:right="46"/>
      </w:pPr>
      <w:r>
        <w:lastRenderedPageBreak/>
        <w:t>Note: The auditor generally should perform these procedures or prepare equivalent documentation</w:t>
      </w:r>
      <w:r>
        <w:rPr>
          <w:spacing w:val="-3"/>
        </w:rPr>
        <w:t xml:space="preserve"> </w:t>
      </w:r>
      <w:r>
        <w:t>only</w:t>
      </w:r>
      <w:r>
        <w:rPr>
          <w:spacing w:val="-3"/>
        </w:rPr>
        <w:t xml:space="preserve"> </w:t>
      </w:r>
      <w:r>
        <w:t>if</w:t>
      </w:r>
      <w:r>
        <w:rPr>
          <w:spacing w:val="-3"/>
        </w:rPr>
        <w:t xml:space="preserve"> </w:t>
      </w:r>
      <w:r>
        <w:t>provisions</w:t>
      </w:r>
      <w:r>
        <w:rPr>
          <w:spacing w:val="-3"/>
        </w:rPr>
        <w:t xml:space="preserve"> </w:t>
      </w:r>
      <w:r>
        <w:t>of</w:t>
      </w:r>
      <w:r>
        <w:rPr>
          <w:spacing w:val="-3"/>
        </w:rPr>
        <w:t xml:space="preserve"> </w:t>
      </w:r>
      <w:r>
        <w:t>the</w:t>
      </w:r>
      <w:r>
        <w:rPr>
          <w:spacing w:val="-3"/>
        </w:rPr>
        <w:t xml:space="preserve"> </w:t>
      </w:r>
      <w:r>
        <w:t>Civil</w:t>
      </w:r>
      <w:r>
        <w:rPr>
          <w:spacing w:val="-3"/>
        </w:rPr>
        <w:t xml:space="preserve"> </w:t>
      </w:r>
      <w:r>
        <w:t>Service</w:t>
      </w:r>
      <w:r>
        <w:rPr>
          <w:spacing w:val="-3"/>
        </w:rPr>
        <w:t xml:space="preserve"> </w:t>
      </w:r>
      <w:r>
        <w:t>Retirement</w:t>
      </w:r>
      <w:r>
        <w:rPr>
          <w:spacing w:val="-3"/>
        </w:rPr>
        <w:t xml:space="preserve"> </w:t>
      </w:r>
      <w:r>
        <w:t>Act</w:t>
      </w:r>
      <w:r>
        <w:rPr>
          <w:spacing w:val="-3"/>
        </w:rPr>
        <w:t xml:space="preserve"> </w:t>
      </w:r>
      <w:r>
        <w:t>(CSRA),</w:t>
      </w:r>
      <w:r>
        <w:rPr>
          <w:spacing w:val="-3"/>
        </w:rPr>
        <w:t xml:space="preserve"> </w:t>
      </w:r>
      <w:r>
        <w:t>as</w:t>
      </w:r>
      <w:r>
        <w:rPr>
          <w:spacing w:val="-3"/>
        </w:rPr>
        <w:t xml:space="preserve"> </w:t>
      </w:r>
      <w:r>
        <w:t>provided</w:t>
      </w:r>
      <w:r>
        <w:rPr>
          <w:spacing w:val="-3"/>
        </w:rPr>
        <w:t xml:space="preserve"> </w:t>
      </w:r>
      <w:r>
        <w:t>in</w:t>
      </w:r>
      <w:r>
        <w:rPr>
          <w:spacing w:val="-3"/>
        </w:rPr>
        <w:t xml:space="preserve"> </w:t>
      </w:r>
      <w:r>
        <w:t>5</w:t>
      </w:r>
    </w:p>
    <w:p w14:paraId="0DFDBBBD" w14:textId="77777777" w:rsidR="00046465" w:rsidRDefault="008134EB">
      <w:pPr>
        <w:pStyle w:val="BodyText"/>
        <w:ind w:left="360" w:right="46" w:hanging="1"/>
      </w:pPr>
      <w:r>
        <w:t>U.S.C. chapter 83, are significant, as indicated on Form 802, General Compliance Checklist. These procedures test compliance with the provisions listed on the Compliance Summary. Implementing</w:t>
      </w:r>
      <w:r>
        <w:rPr>
          <w:spacing w:val="-8"/>
        </w:rPr>
        <w:t xml:space="preserve"> </w:t>
      </w:r>
      <w:r>
        <w:t>regulations</w:t>
      </w:r>
      <w:r>
        <w:rPr>
          <w:spacing w:val="-8"/>
        </w:rPr>
        <w:t xml:space="preserve"> </w:t>
      </w:r>
      <w:r>
        <w:t>for</w:t>
      </w:r>
      <w:r>
        <w:rPr>
          <w:spacing w:val="-7"/>
        </w:rPr>
        <w:t xml:space="preserve"> </w:t>
      </w:r>
      <w:r>
        <w:t>CSRA’s</w:t>
      </w:r>
      <w:r>
        <w:rPr>
          <w:spacing w:val="-8"/>
        </w:rPr>
        <w:t xml:space="preserve"> </w:t>
      </w:r>
      <w:r>
        <w:t>general</w:t>
      </w:r>
      <w:r>
        <w:rPr>
          <w:spacing w:val="-7"/>
        </w:rPr>
        <w:t xml:space="preserve"> </w:t>
      </w:r>
      <w:r>
        <w:t>administration</w:t>
      </w:r>
      <w:r>
        <w:rPr>
          <w:spacing w:val="-8"/>
        </w:rPr>
        <w:t xml:space="preserve"> </w:t>
      </w:r>
      <w:r>
        <w:t>are</w:t>
      </w:r>
      <w:r>
        <w:rPr>
          <w:spacing w:val="-8"/>
        </w:rPr>
        <w:t xml:space="preserve"> </w:t>
      </w:r>
      <w:r>
        <w:t>included</w:t>
      </w:r>
      <w:r>
        <w:rPr>
          <w:spacing w:val="-8"/>
        </w:rPr>
        <w:t xml:space="preserve"> </w:t>
      </w:r>
      <w:r>
        <w:t>in</w:t>
      </w:r>
      <w:r>
        <w:rPr>
          <w:spacing w:val="-8"/>
        </w:rPr>
        <w:t xml:space="preserve"> </w:t>
      </w:r>
      <w:r>
        <w:t>5</w:t>
      </w:r>
      <w:r>
        <w:rPr>
          <w:spacing w:val="-7"/>
        </w:rPr>
        <w:t xml:space="preserve"> </w:t>
      </w:r>
      <w:r>
        <w:t>C.F.R.</w:t>
      </w:r>
      <w:r>
        <w:rPr>
          <w:spacing w:val="-8"/>
        </w:rPr>
        <w:t xml:space="preserve"> </w:t>
      </w:r>
      <w:r>
        <w:t>Part</w:t>
      </w:r>
      <w:r>
        <w:rPr>
          <w:spacing w:val="-7"/>
        </w:rPr>
        <w:t xml:space="preserve"> </w:t>
      </w:r>
      <w:r>
        <w:rPr>
          <w:spacing w:val="-4"/>
        </w:rPr>
        <w:t>831.</w:t>
      </w:r>
    </w:p>
    <w:p w14:paraId="0DFDBBBE" w14:textId="77777777" w:rsidR="00046465" w:rsidRDefault="00046465">
      <w:pPr>
        <w:pStyle w:val="BodyText"/>
        <w:spacing w:before="9"/>
        <w:rPr>
          <w:sz w:val="13"/>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00"/>
        <w:gridCol w:w="1320"/>
        <w:gridCol w:w="1320"/>
      </w:tblGrid>
      <w:tr w:rsidR="00046465" w14:paraId="0DFDBBC1" w14:textId="77777777">
        <w:trPr>
          <w:trHeight w:val="1335"/>
        </w:trPr>
        <w:tc>
          <w:tcPr>
            <w:tcW w:w="9240" w:type="dxa"/>
            <w:gridSpan w:val="3"/>
          </w:tcPr>
          <w:p w14:paraId="0DFDBBBF" w14:textId="77777777" w:rsidR="00046465" w:rsidRDefault="008134EB">
            <w:pPr>
              <w:pStyle w:val="TableParagraph"/>
              <w:tabs>
                <w:tab w:val="left" w:pos="1605"/>
                <w:tab w:val="left" w:pos="1849"/>
                <w:tab w:val="left" w:pos="8944"/>
              </w:tabs>
              <w:spacing w:before="145" w:line="376" w:lineRule="auto"/>
              <w:ind w:left="130" w:right="248" w:hanging="1"/>
            </w:pPr>
            <w:r>
              <w:t>Name of entity:</w:t>
            </w:r>
            <w:r>
              <w:tab/>
            </w:r>
            <w:r>
              <w:rPr>
                <w:u w:val="single"/>
              </w:rPr>
              <w:tab/>
            </w:r>
            <w:r>
              <w:t xml:space="preserve"> Audit</w:t>
            </w:r>
            <w:r>
              <w:rPr>
                <w:spacing w:val="-7"/>
              </w:rPr>
              <w:t xml:space="preserve"> </w:t>
            </w:r>
            <w:r>
              <w:rPr>
                <w:spacing w:val="-2"/>
              </w:rPr>
              <w:t>period:</w:t>
            </w:r>
            <w:r>
              <w:tab/>
            </w:r>
            <w:r>
              <w:rPr>
                <w:u w:val="single"/>
              </w:rPr>
              <w:tab/>
            </w:r>
            <w:r>
              <w:rPr>
                <w:u w:val="single"/>
              </w:rPr>
              <w:tab/>
            </w:r>
          </w:p>
          <w:p w14:paraId="0DFDBBC0" w14:textId="77777777" w:rsidR="00046465" w:rsidRDefault="008134EB">
            <w:pPr>
              <w:pStyle w:val="TableParagraph"/>
              <w:tabs>
                <w:tab w:val="left" w:pos="8944"/>
              </w:tabs>
              <w:spacing w:line="252" w:lineRule="exact"/>
              <w:ind w:left="130"/>
            </w:pPr>
            <w:r>
              <w:t>Reviewed by:</w:t>
            </w:r>
            <w:r>
              <w:rPr>
                <w:spacing w:val="92"/>
              </w:rPr>
              <w:t xml:space="preserve"> </w:t>
            </w:r>
            <w:r>
              <w:rPr>
                <w:u w:val="single"/>
              </w:rPr>
              <w:tab/>
            </w:r>
          </w:p>
        </w:tc>
      </w:tr>
      <w:tr w:rsidR="00046465" w14:paraId="0DFDBBC7" w14:textId="77777777">
        <w:trPr>
          <w:trHeight w:val="793"/>
        </w:trPr>
        <w:tc>
          <w:tcPr>
            <w:tcW w:w="6600" w:type="dxa"/>
            <w:tcBorders>
              <w:right w:val="single" w:sz="8" w:space="0" w:color="000000"/>
            </w:tcBorders>
          </w:tcPr>
          <w:p w14:paraId="0DFDBBC2" w14:textId="77777777" w:rsidR="00046465" w:rsidRDefault="00046465">
            <w:pPr>
              <w:pStyle w:val="TableParagraph"/>
              <w:spacing w:before="144"/>
            </w:pPr>
          </w:p>
          <w:p w14:paraId="0DFDBBC3"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320" w:type="dxa"/>
            <w:tcBorders>
              <w:left w:val="single" w:sz="8" w:space="0" w:color="000000"/>
              <w:right w:val="single" w:sz="8" w:space="0" w:color="000000"/>
            </w:tcBorders>
          </w:tcPr>
          <w:p w14:paraId="0DFDBBC4" w14:textId="77777777" w:rsidR="00046465" w:rsidRDefault="008134EB">
            <w:pPr>
              <w:pStyle w:val="TableParagraph"/>
              <w:spacing w:before="144"/>
              <w:ind w:left="142" w:right="1"/>
              <w:rPr>
                <w:b/>
              </w:rPr>
            </w:pPr>
            <w:r>
              <w:rPr>
                <w:b/>
                <w:spacing w:val="-2"/>
              </w:rPr>
              <w:t xml:space="preserve">Initials/ </w:t>
            </w:r>
            <w:r>
              <w:rPr>
                <w:b/>
                <w:spacing w:val="-4"/>
              </w:rPr>
              <w:t>date</w:t>
            </w:r>
          </w:p>
        </w:tc>
        <w:tc>
          <w:tcPr>
            <w:tcW w:w="1320" w:type="dxa"/>
            <w:tcBorders>
              <w:left w:val="single" w:sz="8" w:space="0" w:color="000000"/>
            </w:tcBorders>
          </w:tcPr>
          <w:p w14:paraId="0DFDBBC5" w14:textId="77777777" w:rsidR="00046465" w:rsidRDefault="00046465">
            <w:pPr>
              <w:pStyle w:val="TableParagraph"/>
              <w:spacing w:before="144"/>
            </w:pPr>
          </w:p>
          <w:p w14:paraId="0DFDBBC6" w14:textId="77777777" w:rsidR="00046465" w:rsidRDefault="008134EB">
            <w:pPr>
              <w:pStyle w:val="TableParagraph"/>
              <w:ind w:left="142"/>
              <w:rPr>
                <w:b/>
              </w:rPr>
            </w:pPr>
            <w:r>
              <w:rPr>
                <w:b/>
              </w:rPr>
              <w:t>Doc.</w:t>
            </w:r>
            <w:r>
              <w:rPr>
                <w:b/>
                <w:spacing w:val="-6"/>
              </w:rPr>
              <w:t xml:space="preserve"> </w:t>
            </w:r>
            <w:r>
              <w:rPr>
                <w:b/>
                <w:spacing w:val="-4"/>
              </w:rPr>
              <w:t>ref.</w:t>
            </w:r>
          </w:p>
        </w:tc>
      </w:tr>
      <w:tr w:rsidR="00046465" w14:paraId="0DFDBBCF" w14:textId="77777777">
        <w:trPr>
          <w:trHeight w:val="5418"/>
        </w:trPr>
        <w:tc>
          <w:tcPr>
            <w:tcW w:w="6600" w:type="dxa"/>
            <w:tcBorders>
              <w:bottom w:val="single" w:sz="6" w:space="0" w:color="000000"/>
              <w:right w:val="single" w:sz="8" w:space="0" w:color="000000"/>
            </w:tcBorders>
          </w:tcPr>
          <w:p w14:paraId="0DFDBBC8" w14:textId="77777777" w:rsidR="00046465" w:rsidRDefault="008134EB">
            <w:pPr>
              <w:pStyle w:val="TableParagraph"/>
              <w:tabs>
                <w:tab w:val="left" w:pos="561"/>
              </w:tabs>
              <w:spacing w:before="144"/>
              <w:ind w:left="561" w:right="195" w:hanging="432"/>
            </w:pPr>
            <w:r>
              <w:rPr>
                <w:spacing w:val="-6"/>
              </w:rPr>
              <w:t>1.</w:t>
            </w:r>
            <w:r>
              <w:tab/>
              <w:t>Based</w:t>
            </w:r>
            <w:r>
              <w:rPr>
                <w:spacing w:val="-6"/>
              </w:rPr>
              <w:t xml:space="preserve"> </w:t>
            </w:r>
            <w:r>
              <w:t>on</w:t>
            </w:r>
            <w:r>
              <w:rPr>
                <w:spacing w:val="-6"/>
              </w:rPr>
              <w:t xml:space="preserve"> </w:t>
            </w:r>
            <w:r>
              <w:t>the</w:t>
            </w:r>
            <w:r>
              <w:rPr>
                <w:spacing w:val="-6"/>
              </w:rPr>
              <w:t xml:space="preserve"> </w:t>
            </w:r>
            <w:r>
              <w:t>preliminary</w:t>
            </w:r>
            <w:r>
              <w:rPr>
                <w:spacing w:val="-6"/>
              </w:rPr>
              <w:t xml:space="preserve"> </w:t>
            </w:r>
            <w:r>
              <w:t>assessment</w:t>
            </w:r>
            <w:r>
              <w:rPr>
                <w:spacing w:val="-6"/>
              </w:rPr>
              <w:t xml:space="preserve"> </w:t>
            </w:r>
            <w:r>
              <w:t>of</w:t>
            </w:r>
            <w:r>
              <w:rPr>
                <w:spacing w:val="-6"/>
              </w:rPr>
              <w:t xml:space="preserve"> </w:t>
            </w:r>
            <w:r>
              <w:t>compliance</w:t>
            </w:r>
            <w:r>
              <w:rPr>
                <w:spacing w:val="-6"/>
              </w:rPr>
              <w:t xml:space="preserve"> </w:t>
            </w:r>
            <w:r>
              <w:t>control effectiveness (as documented on Form 808, Compliance Summary), select a statistical sample of payroll records (e.g., each employee’s pay per pay period) for the audit period for employees covered by the Civil Service Retirement System (CSRS). See FAM 808.01, Entity Withholdings From Employee Pay for Retirement Benefits.</w:t>
            </w:r>
          </w:p>
          <w:p w14:paraId="0DFDBBC9" w14:textId="77777777" w:rsidR="00046465" w:rsidRDefault="008134EB">
            <w:pPr>
              <w:pStyle w:val="TableParagraph"/>
              <w:spacing w:before="144"/>
              <w:ind w:left="568" w:right="195"/>
            </w:pPr>
            <w:r>
              <w:t>The sample size will vary based on the expected effectiveness</w:t>
            </w:r>
            <w:r>
              <w:rPr>
                <w:spacing w:val="-6"/>
              </w:rPr>
              <w:t xml:space="preserve"> </w:t>
            </w:r>
            <w:r>
              <w:t>of</w:t>
            </w:r>
            <w:r>
              <w:rPr>
                <w:spacing w:val="-6"/>
              </w:rPr>
              <w:t xml:space="preserve"> </w:t>
            </w:r>
            <w:r>
              <w:t>compliance</w:t>
            </w:r>
            <w:r>
              <w:rPr>
                <w:spacing w:val="-6"/>
              </w:rPr>
              <w:t xml:space="preserve"> </w:t>
            </w:r>
            <w:r>
              <w:t>controls,</w:t>
            </w:r>
            <w:r>
              <w:rPr>
                <w:spacing w:val="-6"/>
              </w:rPr>
              <w:t xml:space="preserve"> </w:t>
            </w:r>
            <w:r>
              <w:t>as</w:t>
            </w:r>
            <w:r>
              <w:rPr>
                <w:spacing w:val="-6"/>
              </w:rPr>
              <w:t xml:space="preserve"> </w:t>
            </w:r>
            <w:r>
              <w:t>discussed</w:t>
            </w:r>
            <w:r>
              <w:rPr>
                <w:spacing w:val="-6"/>
              </w:rPr>
              <w:t xml:space="preserve"> </w:t>
            </w:r>
            <w:r>
              <w:t>in</w:t>
            </w:r>
            <w:r>
              <w:rPr>
                <w:spacing w:val="-6"/>
              </w:rPr>
              <w:t xml:space="preserve"> </w:t>
            </w:r>
            <w:r>
              <w:t>FAM</w:t>
            </w:r>
          </w:p>
          <w:p w14:paraId="0DFDBBCA" w14:textId="77777777" w:rsidR="00046465" w:rsidRDefault="008134EB">
            <w:pPr>
              <w:pStyle w:val="TableParagraph"/>
              <w:spacing w:before="1"/>
              <w:ind w:left="568"/>
              <w:rPr>
                <w:position w:val="7"/>
                <w:sz w:val="14"/>
              </w:rPr>
            </w:pPr>
            <w:r>
              <w:t>460.02.</w:t>
            </w:r>
            <w:r>
              <w:rPr>
                <w:spacing w:val="-7"/>
              </w:rPr>
              <w:t xml:space="preserve"> </w:t>
            </w:r>
            <w:r>
              <w:t>Document</w:t>
            </w:r>
            <w:r>
              <w:rPr>
                <w:spacing w:val="-7"/>
              </w:rPr>
              <w:t xml:space="preserve"> </w:t>
            </w:r>
            <w:r>
              <w:t>the</w:t>
            </w:r>
            <w:r>
              <w:rPr>
                <w:spacing w:val="-7"/>
              </w:rPr>
              <w:t xml:space="preserve"> </w:t>
            </w:r>
            <w:r>
              <w:t>sampling</w:t>
            </w:r>
            <w:r>
              <w:rPr>
                <w:spacing w:val="-7"/>
              </w:rPr>
              <w:t xml:space="preserve"> </w:t>
            </w:r>
            <w:r>
              <w:t>approach</w:t>
            </w:r>
            <w:r>
              <w:rPr>
                <w:spacing w:val="-7"/>
              </w:rPr>
              <w:t xml:space="preserve"> </w:t>
            </w:r>
            <w:r>
              <w:t>(see</w:t>
            </w:r>
            <w:r>
              <w:rPr>
                <w:spacing w:val="-7"/>
              </w:rPr>
              <w:t xml:space="preserve"> </w:t>
            </w:r>
            <w:r>
              <w:t>example documentation in FAM 495 D).</w:t>
            </w:r>
            <w:hyperlink w:anchor="_bookmark124" w:history="1">
              <w:r>
                <w:rPr>
                  <w:position w:val="7"/>
                  <w:sz w:val="14"/>
                </w:rPr>
                <w:t>56</w:t>
              </w:r>
            </w:hyperlink>
          </w:p>
          <w:p w14:paraId="0DFDBBCB" w14:textId="77777777" w:rsidR="00046465" w:rsidRDefault="008134EB">
            <w:pPr>
              <w:pStyle w:val="TableParagraph"/>
              <w:spacing w:before="143"/>
              <w:ind w:left="567" w:right="225"/>
            </w:pPr>
            <w:r>
              <w:t>These tests should be coordinated with other tests of payroll-related expenses and with the agreed-upon procedures that entity auditors perform for the Office of Personnel</w:t>
            </w:r>
            <w:r>
              <w:rPr>
                <w:spacing w:val="-6"/>
              </w:rPr>
              <w:t xml:space="preserve"> </w:t>
            </w:r>
            <w:r>
              <w:t>Management</w:t>
            </w:r>
            <w:r>
              <w:rPr>
                <w:spacing w:val="-6"/>
              </w:rPr>
              <w:t xml:space="preserve"> </w:t>
            </w:r>
            <w:r>
              <w:t>(OPM),</w:t>
            </w:r>
            <w:r>
              <w:rPr>
                <w:spacing w:val="-6"/>
              </w:rPr>
              <w:t xml:space="preserve"> </w:t>
            </w:r>
            <w:r>
              <w:t>per</w:t>
            </w:r>
            <w:r>
              <w:rPr>
                <w:spacing w:val="-6"/>
              </w:rPr>
              <w:t xml:space="preserve"> </w:t>
            </w:r>
            <w:r>
              <w:t>OMB</w:t>
            </w:r>
            <w:r>
              <w:rPr>
                <w:spacing w:val="-6"/>
              </w:rPr>
              <w:t xml:space="preserve"> </w:t>
            </w:r>
            <w:r>
              <w:t>audit</w:t>
            </w:r>
            <w:r>
              <w:rPr>
                <w:spacing w:val="-6"/>
              </w:rPr>
              <w:t xml:space="preserve"> </w:t>
            </w:r>
            <w:r>
              <w:t>guidance,</w:t>
            </w:r>
            <w:r>
              <w:rPr>
                <w:spacing w:val="-6"/>
              </w:rPr>
              <w:t xml:space="preserve"> </w:t>
            </w:r>
            <w:r>
              <w:t xml:space="preserve">if </w:t>
            </w:r>
            <w:r>
              <w:rPr>
                <w:spacing w:val="-2"/>
              </w:rPr>
              <w:t>performed.</w:t>
            </w:r>
          </w:p>
          <w:p w14:paraId="0DFDBBCC" w14:textId="77777777" w:rsidR="00046465" w:rsidRDefault="008134EB">
            <w:pPr>
              <w:pStyle w:val="TableParagraph"/>
              <w:tabs>
                <w:tab w:val="left" w:pos="6130"/>
              </w:tabs>
              <w:spacing w:before="8" w:line="390" w:lineRule="atLeast"/>
              <w:ind w:left="614" w:right="434"/>
            </w:pPr>
            <w:r>
              <w:t>Sample size</w:t>
            </w:r>
            <w:r>
              <w:rPr>
                <w:spacing w:val="-4"/>
              </w:rPr>
              <w:t xml:space="preserve"> </w:t>
            </w:r>
            <w:r>
              <w:rPr>
                <w:u w:val="single"/>
              </w:rPr>
              <w:tab/>
            </w:r>
            <w:r>
              <w:t xml:space="preserve"> Sample selection method</w:t>
            </w:r>
            <w:r>
              <w:rPr>
                <w:spacing w:val="50"/>
              </w:rPr>
              <w:t xml:space="preserve"> </w:t>
            </w:r>
            <w:r>
              <w:rPr>
                <w:u w:val="single"/>
              </w:rPr>
              <w:tab/>
            </w:r>
          </w:p>
        </w:tc>
        <w:tc>
          <w:tcPr>
            <w:tcW w:w="1320" w:type="dxa"/>
            <w:tcBorders>
              <w:left w:val="single" w:sz="8" w:space="0" w:color="000000"/>
              <w:bottom w:val="single" w:sz="6" w:space="0" w:color="000000"/>
              <w:right w:val="single" w:sz="8" w:space="0" w:color="000000"/>
            </w:tcBorders>
          </w:tcPr>
          <w:p w14:paraId="0DFDBBCD" w14:textId="77777777" w:rsidR="00046465" w:rsidRDefault="00046465">
            <w:pPr>
              <w:pStyle w:val="TableParagraph"/>
              <w:rPr>
                <w:rFonts w:ascii="Times New Roman"/>
                <w:sz w:val="20"/>
              </w:rPr>
            </w:pPr>
          </w:p>
        </w:tc>
        <w:tc>
          <w:tcPr>
            <w:tcW w:w="1320" w:type="dxa"/>
            <w:tcBorders>
              <w:left w:val="single" w:sz="8" w:space="0" w:color="000000"/>
              <w:bottom w:val="single" w:sz="6" w:space="0" w:color="000000"/>
            </w:tcBorders>
          </w:tcPr>
          <w:p w14:paraId="0DFDBBCE" w14:textId="77777777" w:rsidR="00046465" w:rsidRDefault="00046465">
            <w:pPr>
              <w:pStyle w:val="TableParagraph"/>
              <w:rPr>
                <w:rFonts w:ascii="Times New Roman"/>
                <w:sz w:val="20"/>
              </w:rPr>
            </w:pPr>
          </w:p>
        </w:tc>
      </w:tr>
      <w:tr w:rsidR="00046465" w14:paraId="0DFDBBD5" w14:textId="77777777">
        <w:trPr>
          <w:trHeight w:val="1618"/>
        </w:trPr>
        <w:tc>
          <w:tcPr>
            <w:tcW w:w="6600" w:type="dxa"/>
            <w:tcBorders>
              <w:top w:val="single" w:sz="6" w:space="0" w:color="000000"/>
              <w:bottom w:val="single" w:sz="6" w:space="0" w:color="000000"/>
              <w:right w:val="single" w:sz="6" w:space="0" w:color="000000"/>
            </w:tcBorders>
          </w:tcPr>
          <w:p w14:paraId="0DFDBBD0" w14:textId="77777777" w:rsidR="00046465" w:rsidRDefault="008134EB">
            <w:pPr>
              <w:pStyle w:val="TableParagraph"/>
              <w:numPr>
                <w:ilvl w:val="0"/>
                <w:numId w:val="157"/>
              </w:numPr>
              <w:tabs>
                <w:tab w:val="left" w:pos="561"/>
              </w:tabs>
              <w:spacing w:before="145"/>
              <w:ind w:right="490"/>
            </w:pPr>
            <w:r>
              <w:t>For</w:t>
            </w:r>
            <w:r>
              <w:rPr>
                <w:spacing w:val="-5"/>
              </w:rPr>
              <w:t xml:space="preserve"> </w:t>
            </w:r>
            <w:r>
              <w:t>each</w:t>
            </w:r>
            <w:r>
              <w:rPr>
                <w:spacing w:val="-5"/>
              </w:rPr>
              <w:t xml:space="preserve"> </w:t>
            </w:r>
            <w:r>
              <w:t>selection</w:t>
            </w:r>
            <w:r>
              <w:rPr>
                <w:spacing w:val="-5"/>
              </w:rPr>
              <w:t xml:space="preserve"> </w:t>
            </w:r>
            <w:r>
              <w:t>made</w:t>
            </w:r>
            <w:r>
              <w:rPr>
                <w:spacing w:val="-5"/>
              </w:rPr>
              <w:t xml:space="preserve"> </w:t>
            </w:r>
            <w:r>
              <w:t>in</w:t>
            </w:r>
            <w:r>
              <w:rPr>
                <w:spacing w:val="-5"/>
              </w:rPr>
              <w:t xml:space="preserve"> </w:t>
            </w:r>
            <w:r>
              <w:t>1,</w:t>
            </w:r>
            <w:r>
              <w:rPr>
                <w:spacing w:val="-5"/>
              </w:rPr>
              <w:t xml:space="preserve"> </w:t>
            </w:r>
            <w:r>
              <w:t>document</w:t>
            </w:r>
            <w:r>
              <w:rPr>
                <w:spacing w:val="-5"/>
              </w:rPr>
              <w:t xml:space="preserve"> </w:t>
            </w:r>
            <w:r>
              <w:t>the</w:t>
            </w:r>
            <w:r>
              <w:rPr>
                <w:spacing w:val="-5"/>
              </w:rPr>
              <w:t xml:space="preserve"> </w:t>
            </w:r>
            <w:r>
              <w:t>following</w:t>
            </w:r>
            <w:r>
              <w:rPr>
                <w:spacing w:val="-5"/>
              </w:rPr>
              <w:t xml:space="preserve"> </w:t>
            </w:r>
            <w:r>
              <w:t>for the pay period selected:</w:t>
            </w:r>
          </w:p>
          <w:p w14:paraId="0DFDBBD1" w14:textId="77777777" w:rsidR="00046465" w:rsidRDefault="008134EB">
            <w:pPr>
              <w:pStyle w:val="TableParagraph"/>
              <w:numPr>
                <w:ilvl w:val="1"/>
                <w:numId w:val="157"/>
              </w:numPr>
              <w:tabs>
                <w:tab w:val="left" w:pos="921"/>
              </w:tabs>
              <w:spacing w:before="142"/>
            </w:pPr>
            <w:r>
              <w:t>the</w:t>
            </w:r>
            <w:r>
              <w:rPr>
                <w:spacing w:val="-6"/>
              </w:rPr>
              <w:t xml:space="preserve"> </w:t>
            </w:r>
            <w:r>
              <w:t>amount</w:t>
            </w:r>
            <w:r>
              <w:rPr>
                <w:spacing w:val="-6"/>
              </w:rPr>
              <w:t xml:space="preserve"> </w:t>
            </w:r>
            <w:r>
              <w:t>withheld</w:t>
            </w:r>
            <w:r>
              <w:rPr>
                <w:spacing w:val="-5"/>
              </w:rPr>
              <w:t xml:space="preserve"> </w:t>
            </w:r>
            <w:r>
              <w:t>for</w:t>
            </w:r>
            <w:r>
              <w:rPr>
                <w:spacing w:val="-8"/>
              </w:rPr>
              <w:t xml:space="preserve"> </w:t>
            </w:r>
            <w:r>
              <w:t>the</w:t>
            </w:r>
            <w:r>
              <w:rPr>
                <w:spacing w:val="-5"/>
              </w:rPr>
              <w:t xml:space="preserve"> </w:t>
            </w:r>
            <w:r>
              <w:t>cost</w:t>
            </w:r>
            <w:r>
              <w:rPr>
                <w:spacing w:val="-6"/>
              </w:rPr>
              <w:t xml:space="preserve"> </w:t>
            </w:r>
            <w:r>
              <w:t>of</w:t>
            </w:r>
            <w:r>
              <w:rPr>
                <w:spacing w:val="-6"/>
              </w:rPr>
              <w:t xml:space="preserve"> </w:t>
            </w:r>
            <w:r>
              <w:t>retirement</w:t>
            </w:r>
            <w:r>
              <w:rPr>
                <w:spacing w:val="-5"/>
              </w:rPr>
              <w:t xml:space="preserve"> </w:t>
            </w:r>
            <w:r>
              <w:rPr>
                <w:spacing w:val="-2"/>
              </w:rPr>
              <w:t>benefits;</w:t>
            </w:r>
          </w:p>
          <w:p w14:paraId="0DFDBBD2" w14:textId="77777777" w:rsidR="00046465" w:rsidRDefault="008134EB">
            <w:pPr>
              <w:pStyle w:val="TableParagraph"/>
              <w:numPr>
                <w:ilvl w:val="1"/>
                <w:numId w:val="157"/>
              </w:numPr>
              <w:tabs>
                <w:tab w:val="left" w:pos="921"/>
              </w:tabs>
              <w:spacing w:before="144"/>
            </w:pPr>
            <w:r>
              <w:t>the</w:t>
            </w:r>
            <w:r>
              <w:rPr>
                <w:spacing w:val="-5"/>
              </w:rPr>
              <w:t xml:space="preserve"> </w:t>
            </w:r>
            <w:r>
              <w:t>amount</w:t>
            </w:r>
            <w:r>
              <w:rPr>
                <w:spacing w:val="-5"/>
              </w:rPr>
              <w:t xml:space="preserve"> </w:t>
            </w:r>
            <w:r>
              <w:t>of</w:t>
            </w:r>
            <w:r>
              <w:rPr>
                <w:spacing w:val="-5"/>
              </w:rPr>
              <w:t xml:space="preserve"> </w:t>
            </w:r>
            <w:r>
              <w:t>basic</w:t>
            </w:r>
            <w:r>
              <w:rPr>
                <w:spacing w:val="-5"/>
              </w:rPr>
              <w:t xml:space="preserve"> </w:t>
            </w:r>
            <w:r>
              <w:t>pay;</w:t>
            </w:r>
            <w:r>
              <w:rPr>
                <w:spacing w:val="-5"/>
              </w:rPr>
              <w:t xml:space="preserve"> and</w:t>
            </w:r>
          </w:p>
        </w:tc>
        <w:tc>
          <w:tcPr>
            <w:tcW w:w="1320" w:type="dxa"/>
            <w:tcBorders>
              <w:top w:val="single" w:sz="6" w:space="0" w:color="000000"/>
              <w:left w:val="single" w:sz="6" w:space="0" w:color="000000"/>
              <w:bottom w:val="single" w:sz="6" w:space="0" w:color="000000"/>
              <w:right w:val="single" w:sz="6" w:space="0" w:color="000000"/>
            </w:tcBorders>
          </w:tcPr>
          <w:p w14:paraId="0DFDBBD3" w14:textId="77777777" w:rsidR="00046465" w:rsidRDefault="00046465">
            <w:pPr>
              <w:pStyle w:val="TableParagraph"/>
              <w:rPr>
                <w:rFonts w:ascii="Times New Roman"/>
                <w:sz w:val="20"/>
              </w:rPr>
            </w:pPr>
          </w:p>
        </w:tc>
        <w:tc>
          <w:tcPr>
            <w:tcW w:w="1320" w:type="dxa"/>
            <w:tcBorders>
              <w:top w:val="single" w:sz="6" w:space="0" w:color="000000"/>
              <w:left w:val="single" w:sz="6" w:space="0" w:color="000000"/>
              <w:bottom w:val="single" w:sz="6" w:space="0" w:color="000000"/>
            </w:tcBorders>
          </w:tcPr>
          <w:p w14:paraId="0DFDBBD4" w14:textId="77777777" w:rsidR="00046465" w:rsidRDefault="00046465">
            <w:pPr>
              <w:pStyle w:val="TableParagraph"/>
              <w:rPr>
                <w:rFonts w:ascii="Times New Roman"/>
                <w:sz w:val="20"/>
              </w:rPr>
            </w:pPr>
          </w:p>
        </w:tc>
      </w:tr>
    </w:tbl>
    <w:p w14:paraId="0DFDBBD6" w14:textId="77777777" w:rsidR="00046465" w:rsidRDefault="008134EB">
      <w:pPr>
        <w:pStyle w:val="BodyText"/>
        <w:spacing w:before="123"/>
        <w:rPr>
          <w:sz w:val="20"/>
        </w:rPr>
      </w:pPr>
      <w:r>
        <w:rPr>
          <w:noProof/>
          <w:sz w:val="20"/>
        </w:rPr>
        <mc:AlternateContent>
          <mc:Choice Requires="wps">
            <w:drawing>
              <wp:anchor distT="0" distB="0" distL="0" distR="0" simplePos="0" relativeHeight="487694336" behindDoc="1" locked="0" layoutInCell="1" allowOverlap="1" wp14:anchorId="0DFDD6B3" wp14:editId="0DFDD6B4">
                <wp:simplePos x="0" y="0"/>
                <wp:positionH relativeFrom="page">
                  <wp:posOffset>914400</wp:posOffset>
                </wp:positionH>
                <wp:positionV relativeFrom="paragraph">
                  <wp:posOffset>239902</wp:posOffset>
                </wp:positionV>
                <wp:extent cx="1828800" cy="6985"/>
                <wp:effectExtent l="0" t="0" r="0" b="0"/>
                <wp:wrapTopAndBottom/>
                <wp:docPr id="757" name="Graphic 7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A9F328" id="Graphic 757" o:spid="_x0000_s1026" style="position:absolute;margin-left:1in;margin-top:18.9pt;width:2in;height:.55pt;z-index:-15622144;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" path="m1828800,l,,,6858r1828800,l1828800,xe" fillcolor="black" stroked="f">
                <v:path arrowok="t"/>
                <w10:wrap type="topAndBottom" anchorx="page"/>
              </v:shape>
            </w:pict>
          </mc:Fallback>
        </mc:AlternateContent>
      </w:r>
    </w:p>
    <w:p w14:paraId="0DFDBBD7" w14:textId="77777777" w:rsidR="00046465" w:rsidRDefault="008134EB">
      <w:pPr>
        <w:spacing w:before="217" w:line="242" w:lineRule="auto"/>
        <w:ind w:left="359"/>
        <w:rPr>
          <w:sz w:val="18"/>
        </w:rPr>
      </w:pPr>
      <w:bookmarkStart w:id="233" w:name="_bookmark124"/>
      <w:bookmarkEnd w:id="233"/>
      <w:r>
        <w:rPr>
          <w:position w:val="7"/>
          <w:sz w:val="14"/>
        </w:rPr>
        <w:t>56</w:t>
      </w:r>
      <w:r>
        <w:rPr>
          <w:sz w:val="18"/>
        </w:rPr>
        <w:t>If the auditor uses multipurpose testing for the compliance test, compliance control test, or both and a substantive test of payroll expense details, then the auditor should select the sample items for the compliance test, compliance control</w:t>
      </w:r>
      <w:r>
        <w:rPr>
          <w:spacing w:val="-2"/>
          <w:sz w:val="18"/>
        </w:rPr>
        <w:t xml:space="preserve"> </w:t>
      </w:r>
      <w:r>
        <w:rPr>
          <w:sz w:val="18"/>
        </w:rPr>
        <w:t>test,</w:t>
      </w:r>
      <w:r>
        <w:rPr>
          <w:spacing w:val="-2"/>
          <w:sz w:val="18"/>
        </w:rPr>
        <w:t xml:space="preserve"> </w:t>
      </w:r>
      <w:r>
        <w:rPr>
          <w:sz w:val="18"/>
        </w:rPr>
        <w:t>or</w:t>
      </w:r>
      <w:r>
        <w:rPr>
          <w:spacing w:val="-2"/>
          <w:sz w:val="18"/>
        </w:rPr>
        <w:t xml:space="preserve"> </w:t>
      </w:r>
      <w:r>
        <w:rPr>
          <w:sz w:val="18"/>
        </w:rPr>
        <w:t>both</w:t>
      </w:r>
      <w:r>
        <w:rPr>
          <w:spacing w:val="-3"/>
          <w:sz w:val="18"/>
        </w:rPr>
        <w:t xml:space="preserve"> </w:t>
      </w:r>
      <w:r>
        <w:rPr>
          <w:sz w:val="18"/>
        </w:rPr>
        <w:t>using</w:t>
      </w:r>
      <w:r>
        <w:rPr>
          <w:spacing w:val="-3"/>
          <w:sz w:val="18"/>
        </w:rPr>
        <w:t xml:space="preserve"> </w:t>
      </w:r>
      <w:r>
        <w:rPr>
          <w:sz w:val="18"/>
        </w:rPr>
        <w:t>the</w:t>
      </w:r>
      <w:r>
        <w:rPr>
          <w:spacing w:val="-1"/>
          <w:sz w:val="18"/>
        </w:rPr>
        <w:t xml:space="preserve"> </w:t>
      </w:r>
      <w:r>
        <w:rPr>
          <w:sz w:val="18"/>
        </w:rPr>
        <w:t>sampling</w:t>
      </w:r>
      <w:r>
        <w:rPr>
          <w:spacing w:val="-3"/>
          <w:sz w:val="18"/>
        </w:rPr>
        <w:t xml:space="preserve"> </w:t>
      </w:r>
      <w:r>
        <w:rPr>
          <w:sz w:val="18"/>
        </w:rPr>
        <w:t>method</w:t>
      </w:r>
      <w:r>
        <w:rPr>
          <w:spacing w:val="-3"/>
          <w:sz w:val="18"/>
        </w:rPr>
        <w:t xml:space="preserve"> </w:t>
      </w:r>
      <w:r>
        <w:rPr>
          <w:sz w:val="18"/>
        </w:rPr>
        <w:t>used</w:t>
      </w:r>
      <w:r>
        <w:rPr>
          <w:spacing w:val="-3"/>
          <w:sz w:val="18"/>
        </w:rPr>
        <w:t xml:space="preserve"> </w:t>
      </w:r>
      <w:r>
        <w:rPr>
          <w:sz w:val="18"/>
        </w:rPr>
        <w:t>for</w:t>
      </w:r>
      <w:r>
        <w:rPr>
          <w:spacing w:val="-2"/>
          <w:sz w:val="18"/>
        </w:rPr>
        <w:t xml:space="preserve"> </w:t>
      </w:r>
      <w:r>
        <w:rPr>
          <w:sz w:val="18"/>
        </w:rPr>
        <w:t>the</w:t>
      </w:r>
      <w:r>
        <w:rPr>
          <w:spacing w:val="-1"/>
          <w:sz w:val="18"/>
        </w:rPr>
        <w:t xml:space="preserve"> </w:t>
      </w:r>
      <w:r>
        <w:rPr>
          <w:sz w:val="18"/>
        </w:rPr>
        <w:t>substantive</w:t>
      </w:r>
      <w:r>
        <w:rPr>
          <w:spacing w:val="-3"/>
          <w:sz w:val="18"/>
        </w:rPr>
        <w:t xml:space="preserve"> </w:t>
      </w:r>
      <w:r>
        <w:rPr>
          <w:sz w:val="18"/>
        </w:rPr>
        <w:t>test,</w:t>
      </w:r>
      <w:r>
        <w:rPr>
          <w:spacing w:val="-2"/>
          <w:sz w:val="18"/>
        </w:rPr>
        <w:t xml:space="preserve"> </w:t>
      </w:r>
      <w:r>
        <w:rPr>
          <w:sz w:val="18"/>
        </w:rPr>
        <w:t>as</w:t>
      </w:r>
      <w:r>
        <w:rPr>
          <w:spacing w:val="-2"/>
          <w:sz w:val="18"/>
        </w:rPr>
        <w:t xml:space="preserve"> </w:t>
      </w:r>
      <w:r>
        <w:rPr>
          <w:sz w:val="18"/>
        </w:rPr>
        <w:t>discussed</w:t>
      </w:r>
      <w:r>
        <w:rPr>
          <w:spacing w:val="-3"/>
          <w:sz w:val="18"/>
        </w:rPr>
        <w:t xml:space="preserve"> </w:t>
      </w:r>
      <w:r>
        <w:rPr>
          <w:sz w:val="18"/>
        </w:rPr>
        <w:t>in</w:t>
      </w:r>
      <w:r>
        <w:rPr>
          <w:spacing w:val="-3"/>
          <w:sz w:val="18"/>
        </w:rPr>
        <w:t xml:space="preserve"> </w:t>
      </w:r>
      <w:r>
        <w:rPr>
          <w:sz w:val="18"/>
        </w:rPr>
        <w:t>FAM</w:t>
      </w:r>
      <w:r>
        <w:rPr>
          <w:spacing w:val="-2"/>
          <w:sz w:val="18"/>
        </w:rPr>
        <w:t xml:space="preserve"> </w:t>
      </w:r>
      <w:r>
        <w:rPr>
          <w:sz w:val="18"/>
        </w:rPr>
        <w:t>430,</w:t>
      </w:r>
      <w:r>
        <w:rPr>
          <w:spacing w:val="-2"/>
          <w:sz w:val="18"/>
        </w:rPr>
        <w:t xml:space="preserve"> </w:t>
      </w:r>
      <w:r>
        <w:rPr>
          <w:sz w:val="18"/>
        </w:rPr>
        <w:t>Design</w:t>
      </w:r>
      <w:r>
        <w:rPr>
          <w:spacing w:val="-3"/>
          <w:sz w:val="18"/>
        </w:rPr>
        <w:t xml:space="preserve"> </w:t>
      </w:r>
      <w:r>
        <w:rPr>
          <w:sz w:val="18"/>
        </w:rPr>
        <w:t>Tests. Otherwise, the auditor should select items using attribute sampling, as discussed in FAM 460.02.</w:t>
      </w:r>
    </w:p>
    <w:p w14:paraId="0DFDBBD8" w14:textId="77777777" w:rsidR="00046465" w:rsidRDefault="008134EB">
      <w:pPr>
        <w:spacing w:before="119"/>
        <w:ind w:left="359" w:right="46"/>
        <w:rPr>
          <w:sz w:val="18"/>
        </w:rPr>
      </w:pPr>
      <w:r>
        <w:rPr>
          <w:sz w:val="18"/>
        </w:rPr>
        <w:t>As with all sampling applications, the auditor should consider the completeness of the population. For efficiency, the auditor</w:t>
      </w:r>
      <w:r>
        <w:rPr>
          <w:spacing w:val="-3"/>
          <w:sz w:val="18"/>
        </w:rPr>
        <w:t xml:space="preserve"> </w:t>
      </w:r>
      <w:r>
        <w:rPr>
          <w:sz w:val="18"/>
        </w:rPr>
        <w:t>should</w:t>
      </w:r>
      <w:r>
        <w:rPr>
          <w:spacing w:val="-2"/>
          <w:sz w:val="18"/>
        </w:rPr>
        <w:t xml:space="preserve"> </w:t>
      </w:r>
      <w:r>
        <w:rPr>
          <w:sz w:val="18"/>
        </w:rPr>
        <w:t>consider</w:t>
      </w:r>
      <w:r>
        <w:rPr>
          <w:spacing w:val="-3"/>
          <w:sz w:val="18"/>
        </w:rPr>
        <w:t xml:space="preserve"> </w:t>
      </w:r>
      <w:r>
        <w:rPr>
          <w:sz w:val="18"/>
        </w:rPr>
        <w:t>using</w:t>
      </w:r>
      <w:r>
        <w:rPr>
          <w:spacing w:val="-2"/>
          <w:sz w:val="18"/>
        </w:rPr>
        <w:t xml:space="preserve"> </w:t>
      </w:r>
      <w:r>
        <w:rPr>
          <w:sz w:val="18"/>
        </w:rPr>
        <w:t>records</w:t>
      </w:r>
      <w:r>
        <w:rPr>
          <w:spacing w:val="-3"/>
          <w:sz w:val="18"/>
        </w:rPr>
        <w:t xml:space="preserve"> </w:t>
      </w:r>
      <w:r>
        <w:rPr>
          <w:sz w:val="18"/>
        </w:rPr>
        <w:t>that</w:t>
      </w:r>
      <w:r>
        <w:rPr>
          <w:spacing w:val="-3"/>
          <w:sz w:val="18"/>
        </w:rPr>
        <w:t xml:space="preserve"> </w:t>
      </w:r>
      <w:r>
        <w:rPr>
          <w:sz w:val="18"/>
        </w:rPr>
        <w:t>were</w:t>
      </w:r>
      <w:r>
        <w:rPr>
          <w:spacing w:val="-4"/>
          <w:sz w:val="18"/>
        </w:rPr>
        <w:t xml:space="preserve"> </w:t>
      </w:r>
      <w:r>
        <w:rPr>
          <w:sz w:val="18"/>
        </w:rPr>
        <w:t>tested</w:t>
      </w:r>
      <w:r>
        <w:rPr>
          <w:spacing w:val="-4"/>
          <w:sz w:val="18"/>
        </w:rPr>
        <w:t xml:space="preserve"> </w:t>
      </w:r>
      <w:r>
        <w:rPr>
          <w:sz w:val="18"/>
        </w:rPr>
        <w:t>for</w:t>
      </w:r>
      <w:r>
        <w:rPr>
          <w:spacing w:val="-3"/>
          <w:sz w:val="18"/>
        </w:rPr>
        <w:t xml:space="preserve"> </w:t>
      </w:r>
      <w:r>
        <w:rPr>
          <w:sz w:val="18"/>
        </w:rPr>
        <w:t>validity</w:t>
      </w:r>
      <w:r>
        <w:rPr>
          <w:spacing w:val="-3"/>
          <w:sz w:val="18"/>
        </w:rPr>
        <w:t xml:space="preserve"> </w:t>
      </w:r>
      <w:r>
        <w:rPr>
          <w:sz w:val="18"/>
        </w:rPr>
        <w:t>and</w:t>
      </w:r>
      <w:r>
        <w:rPr>
          <w:spacing w:val="-4"/>
          <w:sz w:val="18"/>
        </w:rPr>
        <w:t xml:space="preserve"> </w:t>
      </w:r>
      <w:r>
        <w:rPr>
          <w:sz w:val="18"/>
        </w:rPr>
        <w:t>completeness</w:t>
      </w:r>
      <w:r>
        <w:rPr>
          <w:spacing w:val="-3"/>
          <w:sz w:val="18"/>
        </w:rPr>
        <w:t xml:space="preserve"> </w:t>
      </w:r>
      <w:r>
        <w:rPr>
          <w:sz w:val="18"/>
        </w:rPr>
        <w:t>(as</w:t>
      </w:r>
      <w:r>
        <w:rPr>
          <w:spacing w:val="-2"/>
          <w:sz w:val="18"/>
        </w:rPr>
        <w:t xml:space="preserve"> </w:t>
      </w:r>
      <w:r>
        <w:rPr>
          <w:sz w:val="18"/>
        </w:rPr>
        <w:t>well</w:t>
      </w:r>
      <w:r>
        <w:rPr>
          <w:spacing w:val="-3"/>
          <w:sz w:val="18"/>
        </w:rPr>
        <w:t xml:space="preserve"> </w:t>
      </w:r>
      <w:r>
        <w:rPr>
          <w:sz w:val="18"/>
        </w:rPr>
        <w:t>as</w:t>
      </w:r>
      <w:r>
        <w:rPr>
          <w:spacing w:val="-3"/>
          <w:sz w:val="18"/>
        </w:rPr>
        <w:t xml:space="preserve"> </w:t>
      </w:r>
      <w:r>
        <w:rPr>
          <w:sz w:val="18"/>
        </w:rPr>
        <w:t>the</w:t>
      </w:r>
      <w:r>
        <w:rPr>
          <w:spacing w:val="-4"/>
          <w:sz w:val="18"/>
        </w:rPr>
        <w:t xml:space="preserve"> </w:t>
      </w:r>
      <w:r>
        <w:rPr>
          <w:sz w:val="18"/>
        </w:rPr>
        <w:t>other</w:t>
      </w:r>
      <w:r>
        <w:rPr>
          <w:spacing w:val="-3"/>
          <w:sz w:val="18"/>
        </w:rPr>
        <w:t xml:space="preserve"> </w:t>
      </w:r>
      <w:r>
        <w:rPr>
          <w:sz w:val="18"/>
        </w:rPr>
        <w:t>assertions) in conjunction with substantive tests of payroll or other payroll related compliance tests.</w:t>
      </w:r>
    </w:p>
    <w:p w14:paraId="0DFDBBD9" w14:textId="77777777" w:rsidR="00046465" w:rsidRDefault="00046465">
      <w:pPr>
        <w:rPr>
          <w:sz w:val="18"/>
        </w:rPr>
        <w:sectPr w:rsidR="00046465">
          <w:headerReference w:type="default" r:id="rId147"/>
          <w:footerReference w:type="default" r:id="rId148"/>
          <w:pgSz w:w="12240" w:h="15840"/>
          <w:pgMar w:top="1380" w:right="1440" w:bottom="940" w:left="1080" w:header="721" w:footer="742" w:gutter="0"/>
          <w:cols w:space="720"/>
        </w:sectPr>
      </w:pPr>
    </w:p>
    <w:p w14:paraId="0DFDBBDA" w14:textId="77777777" w:rsidR="00046465" w:rsidRDefault="00046465">
      <w:pPr>
        <w:pStyle w:val="BodyText"/>
        <w:spacing w:before="4" w:after="1"/>
        <w:rPr>
          <w:sz w:val="8"/>
        </w:rPr>
      </w:pPr>
    </w:p>
    <w:tbl>
      <w:tblPr>
        <w:tblW w:w="0" w:type="auto"/>
        <w:tblInd w:w="39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00"/>
        <w:gridCol w:w="1320"/>
        <w:gridCol w:w="1304"/>
      </w:tblGrid>
      <w:tr w:rsidR="00046465" w14:paraId="0DFDBBDC" w14:textId="77777777">
        <w:trPr>
          <w:trHeight w:val="1335"/>
        </w:trPr>
        <w:tc>
          <w:tcPr>
            <w:tcW w:w="9224" w:type="dxa"/>
            <w:gridSpan w:val="3"/>
          </w:tcPr>
          <w:p w14:paraId="0DFDBBDB" w14:textId="77777777" w:rsidR="00046465" w:rsidRDefault="008134EB">
            <w:pPr>
              <w:pStyle w:val="TableParagraph"/>
              <w:tabs>
                <w:tab w:val="left" w:pos="8945"/>
              </w:tabs>
              <w:spacing w:before="7" w:line="390" w:lineRule="atLeast"/>
              <w:ind w:left="131" w:right="231" w:hanging="1"/>
              <w:jc w:val="both"/>
            </w:pPr>
            <w:r>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BE2" w14:textId="77777777">
        <w:trPr>
          <w:trHeight w:val="793"/>
        </w:trPr>
        <w:tc>
          <w:tcPr>
            <w:tcW w:w="6600" w:type="dxa"/>
            <w:tcBorders>
              <w:right w:val="single" w:sz="8" w:space="0" w:color="000000"/>
            </w:tcBorders>
          </w:tcPr>
          <w:p w14:paraId="0DFDBBDD" w14:textId="77777777" w:rsidR="00046465" w:rsidRDefault="00046465">
            <w:pPr>
              <w:pStyle w:val="TableParagraph"/>
              <w:spacing w:before="144"/>
            </w:pPr>
          </w:p>
          <w:p w14:paraId="0DFDBBDE" w14:textId="77777777" w:rsidR="00046465" w:rsidRDefault="008134EB">
            <w:pPr>
              <w:pStyle w:val="TableParagraph"/>
              <w:ind w:left="131"/>
              <w:rPr>
                <w:b/>
              </w:rPr>
            </w:pPr>
            <w:r>
              <w:rPr>
                <w:b/>
              </w:rPr>
              <w:t>Audit</w:t>
            </w:r>
            <w:r>
              <w:rPr>
                <w:b/>
                <w:spacing w:val="-7"/>
              </w:rPr>
              <w:t xml:space="preserve"> </w:t>
            </w:r>
            <w:r>
              <w:rPr>
                <w:b/>
                <w:spacing w:val="-2"/>
              </w:rPr>
              <w:t>procedures</w:t>
            </w:r>
          </w:p>
        </w:tc>
        <w:tc>
          <w:tcPr>
            <w:tcW w:w="1320" w:type="dxa"/>
            <w:tcBorders>
              <w:left w:val="single" w:sz="8" w:space="0" w:color="000000"/>
              <w:right w:val="single" w:sz="8" w:space="0" w:color="000000"/>
            </w:tcBorders>
          </w:tcPr>
          <w:p w14:paraId="0DFDBBDF" w14:textId="77777777" w:rsidR="00046465" w:rsidRDefault="008134EB">
            <w:pPr>
              <w:pStyle w:val="TableParagraph"/>
              <w:spacing w:before="144"/>
              <w:ind w:left="143" w:right="1"/>
              <w:rPr>
                <w:b/>
              </w:rPr>
            </w:pPr>
            <w:r>
              <w:rPr>
                <w:b/>
                <w:spacing w:val="-2"/>
              </w:rPr>
              <w:t xml:space="preserve">Initials/ </w:t>
            </w:r>
            <w:r>
              <w:rPr>
                <w:b/>
                <w:spacing w:val="-4"/>
              </w:rPr>
              <w:t>date</w:t>
            </w:r>
          </w:p>
        </w:tc>
        <w:tc>
          <w:tcPr>
            <w:tcW w:w="1304" w:type="dxa"/>
            <w:tcBorders>
              <w:left w:val="single" w:sz="8" w:space="0" w:color="000000"/>
            </w:tcBorders>
          </w:tcPr>
          <w:p w14:paraId="0DFDBBE0" w14:textId="77777777" w:rsidR="00046465" w:rsidRDefault="00046465">
            <w:pPr>
              <w:pStyle w:val="TableParagraph"/>
              <w:spacing w:before="144"/>
            </w:pPr>
          </w:p>
          <w:p w14:paraId="0DFDBBE1" w14:textId="77777777" w:rsidR="00046465" w:rsidRDefault="008134EB">
            <w:pPr>
              <w:pStyle w:val="TableParagraph"/>
              <w:ind w:left="143"/>
              <w:rPr>
                <w:b/>
              </w:rPr>
            </w:pPr>
            <w:r>
              <w:rPr>
                <w:b/>
              </w:rPr>
              <w:t>Doc.</w:t>
            </w:r>
            <w:r>
              <w:rPr>
                <w:b/>
                <w:spacing w:val="-6"/>
              </w:rPr>
              <w:t xml:space="preserve"> </w:t>
            </w:r>
            <w:r>
              <w:rPr>
                <w:b/>
                <w:spacing w:val="-4"/>
              </w:rPr>
              <w:t>ref.</w:t>
            </w:r>
          </w:p>
        </w:tc>
      </w:tr>
      <w:tr w:rsidR="00046465" w14:paraId="0DFDBBE6" w14:textId="77777777">
        <w:trPr>
          <w:trHeight w:val="1677"/>
        </w:trPr>
        <w:tc>
          <w:tcPr>
            <w:tcW w:w="6600" w:type="dxa"/>
            <w:tcBorders>
              <w:bottom w:val="single" w:sz="6" w:space="0" w:color="000000"/>
              <w:right w:val="single" w:sz="6" w:space="0" w:color="000000"/>
            </w:tcBorders>
          </w:tcPr>
          <w:p w14:paraId="0DFDBBE3" w14:textId="77777777" w:rsidR="00046465" w:rsidRDefault="008134EB">
            <w:pPr>
              <w:pStyle w:val="TableParagraph"/>
              <w:numPr>
                <w:ilvl w:val="0"/>
                <w:numId w:val="156"/>
              </w:numPr>
              <w:tabs>
                <w:tab w:val="left" w:pos="923"/>
              </w:tabs>
              <w:spacing w:before="1"/>
              <w:ind w:right="144"/>
            </w:pPr>
            <w:r>
              <w:t>if indicated in the payroll disbursement records, the retirement</w:t>
            </w:r>
            <w:r>
              <w:rPr>
                <w:spacing w:val="-6"/>
              </w:rPr>
              <w:t xml:space="preserve"> </w:t>
            </w:r>
            <w:r>
              <w:t>plan</w:t>
            </w:r>
            <w:r>
              <w:rPr>
                <w:spacing w:val="-6"/>
              </w:rPr>
              <w:t xml:space="preserve"> </w:t>
            </w:r>
            <w:r>
              <w:t>under</w:t>
            </w:r>
            <w:r>
              <w:rPr>
                <w:spacing w:val="-6"/>
              </w:rPr>
              <w:t xml:space="preserve"> </w:t>
            </w:r>
            <w:r>
              <w:t>which</w:t>
            </w:r>
            <w:r>
              <w:rPr>
                <w:spacing w:val="-6"/>
              </w:rPr>
              <w:t xml:space="preserve"> </w:t>
            </w:r>
            <w:r>
              <w:t>the</w:t>
            </w:r>
            <w:r>
              <w:rPr>
                <w:spacing w:val="-6"/>
              </w:rPr>
              <w:t xml:space="preserve"> </w:t>
            </w:r>
            <w:r>
              <w:t>withholdings</w:t>
            </w:r>
            <w:r>
              <w:rPr>
                <w:spacing w:val="-6"/>
              </w:rPr>
              <w:t xml:space="preserve"> </w:t>
            </w:r>
            <w:r>
              <w:t>were</w:t>
            </w:r>
            <w:r>
              <w:rPr>
                <w:spacing w:val="-6"/>
              </w:rPr>
              <w:t xml:space="preserve"> </w:t>
            </w:r>
            <w:r>
              <w:t>made (CSRS or the Federal Employees Retirement System (FERS)). (Only employees covered by CSRS should be included in this compliance test. See FAM 811 for the FERS compliance test.)</w:t>
            </w:r>
          </w:p>
        </w:tc>
        <w:tc>
          <w:tcPr>
            <w:tcW w:w="1320" w:type="dxa"/>
            <w:tcBorders>
              <w:left w:val="single" w:sz="6" w:space="0" w:color="000000"/>
              <w:bottom w:val="single" w:sz="6" w:space="0" w:color="000000"/>
              <w:right w:val="single" w:sz="6" w:space="0" w:color="000000"/>
            </w:tcBorders>
          </w:tcPr>
          <w:p w14:paraId="0DFDBBE4" w14:textId="77777777" w:rsidR="00046465" w:rsidRDefault="00046465">
            <w:pPr>
              <w:pStyle w:val="TableParagraph"/>
              <w:rPr>
                <w:rFonts w:ascii="Times New Roman"/>
                <w:sz w:val="20"/>
              </w:rPr>
            </w:pPr>
          </w:p>
        </w:tc>
        <w:tc>
          <w:tcPr>
            <w:tcW w:w="1304" w:type="dxa"/>
            <w:tcBorders>
              <w:left w:val="single" w:sz="6" w:space="0" w:color="000000"/>
              <w:bottom w:val="single" w:sz="6" w:space="0" w:color="000000"/>
            </w:tcBorders>
          </w:tcPr>
          <w:p w14:paraId="0DFDBBE5" w14:textId="77777777" w:rsidR="00046465" w:rsidRDefault="00046465">
            <w:pPr>
              <w:pStyle w:val="TableParagraph"/>
              <w:rPr>
                <w:rFonts w:ascii="Times New Roman"/>
                <w:sz w:val="20"/>
              </w:rPr>
            </w:pPr>
          </w:p>
        </w:tc>
      </w:tr>
      <w:tr w:rsidR="00046465" w14:paraId="0DFDBBED" w14:textId="77777777">
        <w:trPr>
          <w:trHeight w:val="2281"/>
        </w:trPr>
        <w:tc>
          <w:tcPr>
            <w:tcW w:w="6600" w:type="dxa"/>
            <w:tcBorders>
              <w:top w:val="single" w:sz="6" w:space="0" w:color="000000"/>
              <w:left w:val="double" w:sz="8" w:space="0" w:color="000000"/>
              <w:bottom w:val="single" w:sz="6" w:space="0" w:color="000000"/>
              <w:right w:val="single" w:sz="8" w:space="0" w:color="000000"/>
            </w:tcBorders>
          </w:tcPr>
          <w:p w14:paraId="0DFDBBE7" w14:textId="77777777" w:rsidR="00046465" w:rsidRDefault="008134EB">
            <w:pPr>
              <w:pStyle w:val="TableParagraph"/>
              <w:numPr>
                <w:ilvl w:val="0"/>
                <w:numId w:val="155"/>
              </w:numPr>
              <w:tabs>
                <w:tab w:val="left" w:pos="555"/>
              </w:tabs>
              <w:spacing w:before="143"/>
              <w:ind w:right="1099"/>
            </w:pPr>
            <w:r>
              <w:t>For</w:t>
            </w:r>
            <w:r>
              <w:rPr>
                <w:spacing w:val="-5"/>
              </w:rPr>
              <w:t xml:space="preserve"> </w:t>
            </w:r>
            <w:r>
              <w:t>each</w:t>
            </w:r>
            <w:r>
              <w:rPr>
                <w:spacing w:val="-5"/>
              </w:rPr>
              <w:t xml:space="preserve"> </w:t>
            </w:r>
            <w:r>
              <w:t>item</w:t>
            </w:r>
            <w:r>
              <w:rPr>
                <w:spacing w:val="-6"/>
              </w:rPr>
              <w:t xml:space="preserve"> </w:t>
            </w:r>
            <w:r>
              <w:t>selected</w:t>
            </w:r>
            <w:r>
              <w:rPr>
                <w:spacing w:val="-5"/>
              </w:rPr>
              <w:t xml:space="preserve"> </w:t>
            </w:r>
            <w:r>
              <w:t>in</w:t>
            </w:r>
            <w:r>
              <w:rPr>
                <w:spacing w:val="-5"/>
              </w:rPr>
              <w:t xml:space="preserve"> </w:t>
            </w:r>
            <w:r>
              <w:t>1,</w:t>
            </w:r>
            <w:r>
              <w:rPr>
                <w:spacing w:val="-5"/>
              </w:rPr>
              <w:t xml:space="preserve"> </w:t>
            </w:r>
            <w:r>
              <w:t>obtain</w:t>
            </w:r>
            <w:r>
              <w:rPr>
                <w:spacing w:val="-5"/>
              </w:rPr>
              <w:t xml:space="preserve"> </w:t>
            </w:r>
            <w:r>
              <w:t>the</w:t>
            </w:r>
            <w:r>
              <w:rPr>
                <w:spacing w:val="-5"/>
              </w:rPr>
              <w:t xml:space="preserve"> </w:t>
            </w:r>
            <w:r>
              <w:t>employee’s personnel file and note the following:</w:t>
            </w:r>
          </w:p>
          <w:p w14:paraId="0DFDBBE8" w14:textId="77777777" w:rsidR="00046465" w:rsidRDefault="008134EB">
            <w:pPr>
              <w:pStyle w:val="TableParagraph"/>
              <w:numPr>
                <w:ilvl w:val="1"/>
                <w:numId w:val="155"/>
              </w:numPr>
              <w:tabs>
                <w:tab w:val="left" w:pos="915"/>
              </w:tabs>
              <w:spacing w:before="144"/>
            </w:pPr>
            <w:r>
              <w:t>employee</w:t>
            </w:r>
            <w:r>
              <w:rPr>
                <w:spacing w:val="-8"/>
              </w:rPr>
              <w:t xml:space="preserve"> </w:t>
            </w:r>
            <w:r>
              <w:t>hire</w:t>
            </w:r>
            <w:r>
              <w:rPr>
                <w:spacing w:val="-7"/>
              </w:rPr>
              <w:t xml:space="preserve"> </w:t>
            </w:r>
            <w:r>
              <w:rPr>
                <w:spacing w:val="-2"/>
              </w:rPr>
              <w:t>date,</w:t>
            </w:r>
          </w:p>
          <w:p w14:paraId="0DFDBBE9" w14:textId="77777777" w:rsidR="00046465" w:rsidRDefault="008134EB">
            <w:pPr>
              <w:pStyle w:val="TableParagraph"/>
              <w:numPr>
                <w:ilvl w:val="1"/>
                <w:numId w:val="155"/>
              </w:numPr>
              <w:tabs>
                <w:tab w:val="left" w:pos="915"/>
              </w:tabs>
              <w:spacing w:before="142"/>
            </w:pPr>
            <w:r>
              <w:t>amount</w:t>
            </w:r>
            <w:r>
              <w:rPr>
                <w:spacing w:val="-6"/>
              </w:rPr>
              <w:t xml:space="preserve"> </w:t>
            </w:r>
            <w:r>
              <w:t>of</w:t>
            </w:r>
            <w:r>
              <w:rPr>
                <w:spacing w:val="-5"/>
              </w:rPr>
              <w:t xml:space="preserve"> </w:t>
            </w:r>
            <w:r>
              <w:t>basic</w:t>
            </w:r>
            <w:r>
              <w:rPr>
                <w:spacing w:val="-5"/>
              </w:rPr>
              <w:t xml:space="preserve"> </w:t>
            </w:r>
            <w:r>
              <w:t>pay,</w:t>
            </w:r>
            <w:r>
              <w:rPr>
                <w:spacing w:val="-5"/>
              </w:rPr>
              <w:t xml:space="preserve"> and</w:t>
            </w:r>
          </w:p>
          <w:p w14:paraId="0DFDBBEA" w14:textId="77777777" w:rsidR="00046465" w:rsidRDefault="008134EB">
            <w:pPr>
              <w:pStyle w:val="TableParagraph"/>
              <w:numPr>
                <w:ilvl w:val="1"/>
                <w:numId w:val="155"/>
              </w:numPr>
              <w:tabs>
                <w:tab w:val="left" w:pos="915"/>
              </w:tabs>
              <w:spacing w:before="142"/>
              <w:ind w:right="960"/>
            </w:pPr>
            <w:r>
              <w:t>the</w:t>
            </w:r>
            <w:r>
              <w:rPr>
                <w:spacing w:val="-6"/>
              </w:rPr>
              <w:t xml:space="preserve"> </w:t>
            </w:r>
            <w:r>
              <w:t>retirement</w:t>
            </w:r>
            <w:r>
              <w:rPr>
                <w:spacing w:val="-6"/>
              </w:rPr>
              <w:t xml:space="preserve"> </w:t>
            </w:r>
            <w:r>
              <w:t>plan</w:t>
            </w:r>
            <w:r>
              <w:rPr>
                <w:spacing w:val="-6"/>
              </w:rPr>
              <w:t xml:space="preserve"> </w:t>
            </w:r>
            <w:r>
              <w:t>under</w:t>
            </w:r>
            <w:r>
              <w:rPr>
                <w:spacing w:val="-6"/>
              </w:rPr>
              <w:t xml:space="preserve"> </w:t>
            </w:r>
            <w:r>
              <w:t>which</w:t>
            </w:r>
            <w:r>
              <w:rPr>
                <w:spacing w:val="-6"/>
              </w:rPr>
              <w:t xml:space="preserve"> </w:t>
            </w:r>
            <w:r>
              <w:t>the</w:t>
            </w:r>
            <w:r>
              <w:rPr>
                <w:spacing w:val="-7"/>
              </w:rPr>
              <w:t xml:space="preserve"> </w:t>
            </w:r>
            <w:r>
              <w:t>employee</w:t>
            </w:r>
            <w:r>
              <w:rPr>
                <w:spacing w:val="-6"/>
              </w:rPr>
              <w:t xml:space="preserve"> </w:t>
            </w:r>
            <w:r>
              <w:t xml:space="preserve">is </w:t>
            </w:r>
            <w:r>
              <w:rPr>
                <w:spacing w:val="-2"/>
              </w:rPr>
              <w:t>covered.</w:t>
            </w:r>
          </w:p>
        </w:tc>
        <w:tc>
          <w:tcPr>
            <w:tcW w:w="1320" w:type="dxa"/>
            <w:tcBorders>
              <w:top w:val="single" w:sz="6" w:space="0" w:color="000000"/>
              <w:left w:val="single" w:sz="8" w:space="0" w:color="000000"/>
              <w:bottom w:val="single" w:sz="6" w:space="0" w:color="000000"/>
              <w:right w:val="single" w:sz="8" w:space="0" w:color="000000"/>
            </w:tcBorders>
          </w:tcPr>
          <w:p w14:paraId="0DFDBBEB" w14:textId="77777777" w:rsidR="00046465" w:rsidRDefault="00046465">
            <w:pPr>
              <w:pStyle w:val="TableParagraph"/>
              <w:rPr>
                <w:rFonts w:ascii="Times New Roman"/>
                <w:sz w:val="20"/>
              </w:rPr>
            </w:pPr>
          </w:p>
        </w:tc>
        <w:tc>
          <w:tcPr>
            <w:tcW w:w="1304" w:type="dxa"/>
            <w:tcBorders>
              <w:top w:val="single" w:sz="6" w:space="0" w:color="000000"/>
              <w:left w:val="single" w:sz="8" w:space="0" w:color="000000"/>
              <w:bottom w:val="single" w:sz="6" w:space="0" w:color="000000"/>
              <w:right w:val="double" w:sz="8" w:space="0" w:color="000000"/>
            </w:tcBorders>
          </w:tcPr>
          <w:p w14:paraId="0DFDBBEC" w14:textId="77777777" w:rsidR="00046465" w:rsidRDefault="00046465">
            <w:pPr>
              <w:pStyle w:val="TableParagraph"/>
              <w:rPr>
                <w:rFonts w:ascii="Times New Roman"/>
                <w:sz w:val="20"/>
              </w:rPr>
            </w:pPr>
          </w:p>
        </w:tc>
      </w:tr>
      <w:tr w:rsidR="00046465" w14:paraId="0DFDBBF3" w14:textId="77777777">
        <w:trPr>
          <w:trHeight w:val="4371"/>
        </w:trPr>
        <w:tc>
          <w:tcPr>
            <w:tcW w:w="6600" w:type="dxa"/>
            <w:tcBorders>
              <w:top w:val="single" w:sz="6" w:space="0" w:color="000000"/>
              <w:bottom w:val="single" w:sz="6" w:space="0" w:color="000000"/>
              <w:right w:val="single" w:sz="6" w:space="0" w:color="000000"/>
            </w:tcBorders>
          </w:tcPr>
          <w:p w14:paraId="0DFDBBEE" w14:textId="77777777" w:rsidR="00046465" w:rsidRDefault="008134EB">
            <w:pPr>
              <w:pStyle w:val="TableParagraph"/>
              <w:numPr>
                <w:ilvl w:val="0"/>
                <w:numId w:val="154"/>
              </w:numPr>
              <w:tabs>
                <w:tab w:val="left" w:pos="569"/>
              </w:tabs>
              <w:spacing w:before="145"/>
              <w:ind w:hanging="438"/>
            </w:pPr>
            <w:r>
              <w:t>For</w:t>
            </w:r>
            <w:r>
              <w:rPr>
                <w:spacing w:val="-6"/>
              </w:rPr>
              <w:t xml:space="preserve"> </w:t>
            </w:r>
            <w:r>
              <w:t>each</w:t>
            </w:r>
            <w:r>
              <w:rPr>
                <w:spacing w:val="-5"/>
              </w:rPr>
              <w:t xml:space="preserve"> </w:t>
            </w:r>
            <w:r>
              <w:t>selection</w:t>
            </w:r>
            <w:r>
              <w:rPr>
                <w:spacing w:val="-5"/>
              </w:rPr>
              <w:t xml:space="preserve"> </w:t>
            </w:r>
            <w:r>
              <w:t>made</w:t>
            </w:r>
            <w:r>
              <w:rPr>
                <w:spacing w:val="-5"/>
              </w:rPr>
              <w:t xml:space="preserve"> </w:t>
            </w:r>
            <w:r>
              <w:t>in</w:t>
            </w:r>
            <w:r>
              <w:rPr>
                <w:spacing w:val="-5"/>
              </w:rPr>
              <w:t xml:space="preserve"> </w:t>
            </w:r>
            <w:r>
              <w:t>1,</w:t>
            </w:r>
            <w:r>
              <w:rPr>
                <w:spacing w:val="-5"/>
              </w:rPr>
              <w:t xml:space="preserve"> </w:t>
            </w:r>
            <w:r>
              <w:t>take</w:t>
            </w:r>
            <w:r>
              <w:rPr>
                <w:spacing w:val="-5"/>
              </w:rPr>
              <w:t xml:space="preserve"> </w:t>
            </w:r>
            <w:r>
              <w:t>the</w:t>
            </w:r>
            <w:r>
              <w:rPr>
                <w:spacing w:val="-5"/>
              </w:rPr>
              <w:t xml:space="preserve"> </w:t>
            </w:r>
            <w:r>
              <w:t>following</w:t>
            </w:r>
            <w:r>
              <w:rPr>
                <w:spacing w:val="-5"/>
              </w:rPr>
              <w:t xml:space="preserve"> </w:t>
            </w:r>
            <w:r>
              <w:rPr>
                <w:spacing w:val="-2"/>
              </w:rPr>
              <w:t>actions:</w:t>
            </w:r>
          </w:p>
          <w:p w14:paraId="0DFDBBEF" w14:textId="77777777" w:rsidR="00046465" w:rsidRDefault="008134EB">
            <w:pPr>
              <w:pStyle w:val="TableParagraph"/>
              <w:numPr>
                <w:ilvl w:val="1"/>
                <w:numId w:val="154"/>
              </w:numPr>
              <w:tabs>
                <w:tab w:val="left" w:pos="1065"/>
                <w:tab w:val="left" w:pos="1067"/>
              </w:tabs>
              <w:spacing w:before="143"/>
              <w:ind w:right="230" w:hanging="475"/>
            </w:pPr>
            <w:r>
              <w:t>Compare the amount of basic pay indicated in the employee’s</w:t>
            </w:r>
            <w:r>
              <w:rPr>
                <w:spacing w:val="-7"/>
              </w:rPr>
              <w:t xml:space="preserve"> </w:t>
            </w:r>
            <w:r>
              <w:t>personnel</w:t>
            </w:r>
            <w:r>
              <w:rPr>
                <w:spacing w:val="-6"/>
              </w:rPr>
              <w:t xml:space="preserve"> </w:t>
            </w:r>
            <w:r>
              <w:t>file</w:t>
            </w:r>
            <w:r>
              <w:rPr>
                <w:spacing w:val="-6"/>
              </w:rPr>
              <w:t xml:space="preserve"> </w:t>
            </w:r>
            <w:r>
              <w:t>with</w:t>
            </w:r>
            <w:r>
              <w:rPr>
                <w:spacing w:val="-6"/>
              </w:rPr>
              <w:t xml:space="preserve"> </w:t>
            </w:r>
            <w:r>
              <w:t>the</w:t>
            </w:r>
            <w:r>
              <w:rPr>
                <w:spacing w:val="-6"/>
              </w:rPr>
              <w:t xml:space="preserve"> </w:t>
            </w:r>
            <w:r>
              <w:t>amount</w:t>
            </w:r>
            <w:r>
              <w:rPr>
                <w:spacing w:val="-6"/>
              </w:rPr>
              <w:t xml:space="preserve"> </w:t>
            </w:r>
            <w:r>
              <w:t>indicated</w:t>
            </w:r>
            <w:r>
              <w:rPr>
                <w:spacing w:val="-6"/>
              </w:rPr>
              <w:t xml:space="preserve"> </w:t>
            </w:r>
            <w:r>
              <w:t>in the payroll records, and obtain an explanation and examine support for any differences. (This procedure would</w:t>
            </w:r>
            <w:r>
              <w:rPr>
                <w:spacing w:val="-2"/>
              </w:rPr>
              <w:t xml:space="preserve"> </w:t>
            </w:r>
            <w:r>
              <w:t>be</w:t>
            </w:r>
            <w:r>
              <w:rPr>
                <w:spacing w:val="-2"/>
              </w:rPr>
              <w:t xml:space="preserve"> </w:t>
            </w:r>
            <w:r>
              <w:t>performed</w:t>
            </w:r>
            <w:r>
              <w:rPr>
                <w:spacing w:val="-2"/>
              </w:rPr>
              <w:t xml:space="preserve"> </w:t>
            </w:r>
            <w:r>
              <w:t>only</w:t>
            </w:r>
            <w:r>
              <w:rPr>
                <w:spacing w:val="-2"/>
              </w:rPr>
              <w:t xml:space="preserve"> </w:t>
            </w:r>
            <w:r>
              <w:t>if</w:t>
            </w:r>
            <w:r>
              <w:rPr>
                <w:spacing w:val="-2"/>
              </w:rPr>
              <w:t xml:space="preserve"> </w:t>
            </w:r>
            <w:r>
              <w:t>not</w:t>
            </w:r>
            <w:r>
              <w:rPr>
                <w:spacing w:val="-2"/>
              </w:rPr>
              <w:t xml:space="preserve"> </w:t>
            </w:r>
            <w:r>
              <w:t>already</w:t>
            </w:r>
            <w:r>
              <w:rPr>
                <w:spacing w:val="-2"/>
              </w:rPr>
              <w:t xml:space="preserve"> </w:t>
            </w:r>
            <w:r>
              <w:t>performed</w:t>
            </w:r>
            <w:r>
              <w:rPr>
                <w:spacing w:val="-2"/>
              </w:rPr>
              <w:t xml:space="preserve"> </w:t>
            </w:r>
            <w:r>
              <w:t>with other testing.)</w:t>
            </w:r>
          </w:p>
          <w:p w14:paraId="0DFDBBF0" w14:textId="77777777" w:rsidR="00046465" w:rsidRDefault="008134EB">
            <w:pPr>
              <w:pStyle w:val="TableParagraph"/>
              <w:numPr>
                <w:ilvl w:val="1"/>
                <w:numId w:val="154"/>
              </w:numPr>
              <w:tabs>
                <w:tab w:val="left" w:pos="1066"/>
              </w:tabs>
              <w:spacing w:before="144"/>
              <w:ind w:left="1066" w:right="132" w:hanging="481"/>
            </w:pPr>
            <w:r>
              <w:t>Calculate the amount of the withholdings for retirement costs based on 7 percent of basic pay for most executive branch employees for the selected pay period and document the amount. Compare to the actual amount withheld for the selected pay period,</w:t>
            </w:r>
            <w:r>
              <w:rPr>
                <w:spacing w:val="40"/>
              </w:rPr>
              <w:t xml:space="preserve"> </w:t>
            </w:r>
            <w:r>
              <w:t>and</w:t>
            </w:r>
            <w:r>
              <w:rPr>
                <w:spacing w:val="-5"/>
              </w:rPr>
              <w:t xml:space="preserve"> </w:t>
            </w:r>
            <w:r>
              <w:t>obtain</w:t>
            </w:r>
            <w:r>
              <w:rPr>
                <w:spacing w:val="-5"/>
              </w:rPr>
              <w:t xml:space="preserve"> </w:t>
            </w:r>
            <w:r>
              <w:t>an</w:t>
            </w:r>
            <w:r>
              <w:rPr>
                <w:spacing w:val="-5"/>
              </w:rPr>
              <w:t xml:space="preserve"> </w:t>
            </w:r>
            <w:r>
              <w:t>explanation</w:t>
            </w:r>
            <w:r>
              <w:rPr>
                <w:spacing w:val="-5"/>
              </w:rPr>
              <w:t xml:space="preserve"> </w:t>
            </w:r>
            <w:r>
              <w:t>and</w:t>
            </w:r>
            <w:r>
              <w:rPr>
                <w:spacing w:val="-5"/>
              </w:rPr>
              <w:t xml:space="preserve"> </w:t>
            </w:r>
            <w:r>
              <w:t>examine</w:t>
            </w:r>
            <w:r>
              <w:rPr>
                <w:spacing w:val="-5"/>
              </w:rPr>
              <w:t xml:space="preserve"> </w:t>
            </w:r>
            <w:r>
              <w:t>support</w:t>
            </w:r>
            <w:r>
              <w:rPr>
                <w:spacing w:val="-5"/>
              </w:rPr>
              <w:t xml:space="preserve"> </w:t>
            </w:r>
            <w:r>
              <w:t>for</w:t>
            </w:r>
            <w:r>
              <w:rPr>
                <w:spacing w:val="-5"/>
              </w:rPr>
              <w:t xml:space="preserve"> </w:t>
            </w:r>
            <w:r>
              <w:t>any differences. See FAM 808.01, Entity Withholdings From Employee Pay for Retirement Benefits.</w:t>
            </w:r>
          </w:p>
        </w:tc>
        <w:tc>
          <w:tcPr>
            <w:tcW w:w="1320" w:type="dxa"/>
            <w:tcBorders>
              <w:top w:val="single" w:sz="6" w:space="0" w:color="000000"/>
              <w:left w:val="single" w:sz="6" w:space="0" w:color="000000"/>
              <w:bottom w:val="single" w:sz="6" w:space="0" w:color="000000"/>
              <w:right w:val="single" w:sz="6" w:space="0" w:color="000000"/>
            </w:tcBorders>
          </w:tcPr>
          <w:p w14:paraId="0DFDBBF1" w14:textId="77777777" w:rsidR="00046465" w:rsidRDefault="00046465">
            <w:pPr>
              <w:pStyle w:val="TableParagraph"/>
              <w:rPr>
                <w:rFonts w:ascii="Times New Roman"/>
                <w:sz w:val="20"/>
              </w:rPr>
            </w:pPr>
          </w:p>
        </w:tc>
        <w:tc>
          <w:tcPr>
            <w:tcW w:w="1304" w:type="dxa"/>
            <w:tcBorders>
              <w:top w:val="single" w:sz="6" w:space="0" w:color="000000"/>
              <w:left w:val="single" w:sz="6" w:space="0" w:color="000000"/>
              <w:bottom w:val="single" w:sz="6" w:space="0" w:color="000000"/>
            </w:tcBorders>
          </w:tcPr>
          <w:p w14:paraId="0DFDBBF2" w14:textId="77777777" w:rsidR="00046465" w:rsidRDefault="00046465">
            <w:pPr>
              <w:pStyle w:val="TableParagraph"/>
              <w:rPr>
                <w:rFonts w:ascii="Times New Roman"/>
                <w:sz w:val="20"/>
              </w:rPr>
            </w:pPr>
          </w:p>
        </w:tc>
      </w:tr>
      <w:tr w:rsidR="00046465" w14:paraId="0DFDBBF7" w14:textId="77777777">
        <w:trPr>
          <w:trHeight w:val="1806"/>
        </w:trPr>
        <w:tc>
          <w:tcPr>
            <w:tcW w:w="6600" w:type="dxa"/>
            <w:tcBorders>
              <w:top w:val="single" w:sz="6" w:space="0" w:color="000000"/>
              <w:bottom w:val="single" w:sz="6" w:space="0" w:color="000000"/>
              <w:right w:val="single" w:sz="6" w:space="0" w:color="000000"/>
            </w:tcBorders>
          </w:tcPr>
          <w:p w14:paraId="0DFDBBF4" w14:textId="77777777" w:rsidR="00046465" w:rsidRDefault="008134EB">
            <w:pPr>
              <w:pStyle w:val="TableParagraph"/>
              <w:tabs>
                <w:tab w:val="left" w:pos="1065"/>
              </w:tabs>
              <w:spacing w:before="143"/>
              <w:ind w:left="1065" w:right="133" w:hanging="480"/>
            </w:pPr>
            <w:r>
              <w:rPr>
                <w:spacing w:val="-4"/>
              </w:rPr>
              <w:t>(c)</w:t>
            </w:r>
            <w:r>
              <w:tab/>
              <w:t>Determine whether the entity contributed an equal amount for the employee’s retirement for the selected pay period. Obtain explanation and examine support for any differences between the employee and entity contributions.</w:t>
            </w:r>
            <w:r>
              <w:rPr>
                <w:spacing w:val="-7"/>
              </w:rPr>
              <w:t xml:space="preserve"> </w:t>
            </w:r>
            <w:r>
              <w:t>See</w:t>
            </w:r>
            <w:r>
              <w:rPr>
                <w:spacing w:val="-7"/>
              </w:rPr>
              <w:t xml:space="preserve"> </w:t>
            </w:r>
            <w:r>
              <w:t>FAM</w:t>
            </w:r>
            <w:r>
              <w:rPr>
                <w:spacing w:val="-7"/>
              </w:rPr>
              <w:t xml:space="preserve"> </w:t>
            </w:r>
            <w:r>
              <w:t>808.02,</w:t>
            </w:r>
            <w:r>
              <w:rPr>
                <w:spacing w:val="-7"/>
              </w:rPr>
              <w:t xml:space="preserve"> </w:t>
            </w:r>
            <w:r>
              <w:t>Entity</w:t>
            </w:r>
            <w:r>
              <w:rPr>
                <w:spacing w:val="-7"/>
              </w:rPr>
              <w:t xml:space="preserve"> </w:t>
            </w:r>
            <w:r>
              <w:t>Contributions</w:t>
            </w:r>
            <w:r>
              <w:rPr>
                <w:spacing w:val="-7"/>
              </w:rPr>
              <w:t xml:space="preserve"> </w:t>
            </w:r>
            <w:r>
              <w:t>for Retirement Benefits.</w:t>
            </w:r>
          </w:p>
        </w:tc>
        <w:tc>
          <w:tcPr>
            <w:tcW w:w="1320" w:type="dxa"/>
            <w:tcBorders>
              <w:top w:val="single" w:sz="6" w:space="0" w:color="000000"/>
              <w:left w:val="single" w:sz="6" w:space="0" w:color="000000"/>
              <w:bottom w:val="single" w:sz="6" w:space="0" w:color="000000"/>
              <w:right w:val="single" w:sz="6" w:space="0" w:color="000000"/>
            </w:tcBorders>
          </w:tcPr>
          <w:p w14:paraId="0DFDBBF5" w14:textId="77777777" w:rsidR="00046465" w:rsidRDefault="00046465">
            <w:pPr>
              <w:pStyle w:val="TableParagraph"/>
              <w:rPr>
                <w:rFonts w:ascii="Times New Roman"/>
                <w:sz w:val="20"/>
              </w:rPr>
            </w:pPr>
          </w:p>
        </w:tc>
        <w:tc>
          <w:tcPr>
            <w:tcW w:w="1304" w:type="dxa"/>
            <w:tcBorders>
              <w:top w:val="single" w:sz="6" w:space="0" w:color="000000"/>
              <w:left w:val="single" w:sz="6" w:space="0" w:color="000000"/>
              <w:bottom w:val="single" w:sz="6" w:space="0" w:color="000000"/>
            </w:tcBorders>
          </w:tcPr>
          <w:p w14:paraId="0DFDBBF6" w14:textId="77777777" w:rsidR="00046465" w:rsidRDefault="00046465">
            <w:pPr>
              <w:pStyle w:val="TableParagraph"/>
              <w:rPr>
                <w:rFonts w:ascii="Times New Roman"/>
                <w:sz w:val="20"/>
              </w:rPr>
            </w:pPr>
          </w:p>
        </w:tc>
      </w:tr>
    </w:tbl>
    <w:p w14:paraId="0DFDBBF8" w14:textId="77777777" w:rsidR="00046465" w:rsidRDefault="00046465">
      <w:pPr>
        <w:pStyle w:val="TableParagraph"/>
        <w:rPr>
          <w:rFonts w:ascii="Times New Roman"/>
          <w:sz w:val="20"/>
        </w:rPr>
        <w:sectPr w:rsidR="00046465">
          <w:pgSz w:w="12240" w:h="15840"/>
          <w:pgMar w:top="1380" w:right="1440" w:bottom="940" w:left="1080" w:header="721" w:footer="742" w:gutter="0"/>
          <w:cols w:space="720"/>
        </w:sectPr>
      </w:pPr>
    </w:p>
    <w:p w14:paraId="0DFDBBF9" w14:textId="77777777" w:rsidR="00046465" w:rsidRDefault="00046465">
      <w:pPr>
        <w:pStyle w:val="BodyText"/>
        <w:spacing w:before="4" w:after="1"/>
        <w:rPr>
          <w:sz w:val="8"/>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00"/>
        <w:gridCol w:w="1320"/>
        <w:gridCol w:w="1320"/>
      </w:tblGrid>
      <w:tr w:rsidR="00046465" w14:paraId="0DFDBBFB" w14:textId="77777777">
        <w:trPr>
          <w:trHeight w:val="1335"/>
        </w:trPr>
        <w:tc>
          <w:tcPr>
            <w:tcW w:w="9240" w:type="dxa"/>
            <w:gridSpan w:val="3"/>
          </w:tcPr>
          <w:p w14:paraId="0DFDBBFA" w14:textId="77777777" w:rsidR="00046465" w:rsidRDefault="008134EB">
            <w:pPr>
              <w:pStyle w:val="TableParagraph"/>
              <w:tabs>
                <w:tab w:val="left" w:pos="8943"/>
              </w:tabs>
              <w:spacing w:before="7" w:line="390" w:lineRule="atLeast"/>
              <w:ind w:left="130" w:right="248" w:hanging="1"/>
              <w:jc w:val="both"/>
            </w:pPr>
            <w:r>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C01" w14:textId="77777777">
        <w:trPr>
          <w:trHeight w:val="793"/>
        </w:trPr>
        <w:tc>
          <w:tcPr>
            <w:tcW w:w="6600" w:type="dxa"/>
            <w:tcBorders>
              <w:right w:val="single" w:sz="8" w:space="0" w:color="000000"/>
            </w:tcBorders>
          </w:tcPr>
          <w:p w14:paraId="0DFDBBFC" w14:textId="77777777" w:rsidR="00046465" w:rsidRDefault="00046465">
            <w:pPr>
              <w:pStyle w:val="TableParagraph"/>
              <w:spacing w:before="144"/>
            </w:pPr>
          </w:p>
          <w:p w14:paraId="0DFDBBFD"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320" w:type="dxa"/>
            <w:tcBorders>
              <w:left w:val="single" w:sz="8" w:space="0" w:color="000000"/>
              <w:right w:val="single" w:sz="8" w:space="0" w:color="000000"/>
            </w:tcBorders>
          </w:tcPr>
          <w:p w14:paraId="0DFDBBFE" w14:textId="77777777" w:rsidR="00046465" w:rsidRDefault="008134EB">
            <w:pPr>
              <w:pStyle w:val="TableParagraph"/>
              <w:spacing w:before="144"/>
              <w:ind w:left="142" w:right="1"/>
              <w:rPr>
                <w:b/>
              </w:rPr>
            </w:pPr>
            <w:r>
              <w:rPr>
                <w:b/>
                <w:spacing w:val="-2"/>
              </w:rPr>
              <w:t xml:space="preserve">Initials/ </w:t>
            </w:r>
            <w:r>
              <w:rPr>
                <w:b/>
                <w:spacing w:val="-4"/>
              </w:rPr>
              <w:t>date</w:t>
            </w:r>
          </w:p>
        </w:tc>
        <w:tc>
          <w:tcPr>
            <w:tcW w:w="1320" w:type="dxa"/>
            <w:tcBorders>
              <w:left w:val="single" w:sz="8" w:space="0" w:color="000000"/>
            </w:tcBorders>
          </w:tcPr>
          <w:p w14:paraId="0DFDBBFF" w14:textId="77777777" w:rsidR="00046465" w:rsidRDefault="00046465">
            <w:pPr>
              <w:pStyle w:val="TableParagraph"/>
              <w:spacing w:before="144"/>
            </w:pPr>
          </w:p>
          <w:p w14:paraId="0DFDBC00" w14:textId="77777777" w:rsidR="00046465" w:rsidRDefault="008134EB">
            <w:pPr>
              <w:pStyle w:val="TableParagraph"/>
              <w:ind w:left="142"/>
              <w:rPr>
                <w:b/>
              </w:rPr>
            </w:pPr>
            <w:r>
              <w:rPr>
                <w:b/>
              </w:rPr>
              <w:t>Doc.</w:t>
            </w:r>
            <w:r>
              <w:rPr>
                <w:b/>
                <w:spacing w:val="-6"/>
              </w:rPr>
              <w:t xml:space="preserve"> </w:t>
            </w:r>
            <w:r>
              <w:rPr>
                <w:b/>
                <w:spacing w:val="-4"/>
              </w:rPr>
              <w:t>ref.</w:t>
            </w:r>
          </w:p>
        </w:tc>
      </w:tr>
      <w:tr w:rsidR="00046465" w14:paraId="0DFDBC0A" w14:textId="77777777">
        <w:trPr>
          <w:trHeight w:val="8598"/>
        </w:trPr>
        <w:tc>
          <w:tcPr>
            <w:tcW w:w="6600" w:type="dxa"/>
            <w:tcBorders>
              <w:bottom w:val="single" w:sz="6" w:space="0" w:color="000000"/>
              <w:right w:val="single" w:sz="6" w:space="0" w:color="000000"/>
            </w:tcBorders>
          </w:tcPr>
          <w:p w14:paraId="0DFDBC02" w14:textId="77777777" w:rsidR="00046465" w:rsidRDefault="008134EB">
            <w:pPr>
              <w:pStyle w:val="TableParagraph"/>
              <w:numPr>
                <w:ilvl w:val="0"/>
                <w:numId w:val="153"/>
              </w:numPr>
              <w:tabs>
                <w:tab w:val="left" w:pos="561"/>
              </w:tabs>
              <w:spacing w:before="144"/>
              <w:ind w:right="259"/>
            </w:pPr>
            <w:r>
              <w:t>Determine whether amounts contributed by the entity are charged to the appropriation account or fund used to pay the</w:t>
            </w:r>
            <w:r>
              <w:rPr>
                <w:spacing w:val="-5"/>
              </w:rPr>
              <w:t xml:space="preserve"> </w:t>
            </w:r>
            <w:r>
              <w:t>employee</w:t>
            </w:r>
            <w:r>
              <w:rPr>
                <w:spacing w:val="-5"/>
              </w:rPr>
              <w:t xml:space="preserve"> </w:t>
            </w:r>
            <w:r>
              <w:t>for</w:t>
            </w:r>
            <w:r>
              <w:rPr>
                <w:spacing w:val="-5"/>
              </w:rPr>
              <w:t xml:space="preserve"> </w:t>
            </w:r>
            <w:r>
              <w:t>the</w:t>
            </w:r>
            <w:r>
              <w:rPr>
                <w:spacing w:val="-5"/>
              </w:rPr>
              <w:t xml:space="preserve"> </w:t>
            </w:r>
            <w:r>
              <w:t>selected</w:t>
            </w:r>
            <w:r>
              <w:rPr>
                <w:spacing w:val="-5"/>
              </w:rPr>
              <w:t xml:space="preserve"> </w:t>
            </w:r>
            <w:r>
              <w:t>pay</w:t>
            </w:r>
            <w:r>
              <w:rPr>
                <w:spacing w:val="-5"/>
              </w:rPr>
              <w:t xml:space="preserve"> </w:t>
            </w:r>
            <w:r>
              <w:t>period</w:t>
            </w:r>
            <w:r>
              <w:rPr>
                <w:spacing w:val="-5"/>
              </w:rPr>
              <w:t xml:space="preserve"> </w:t>
            </w:r>
            <w:r>
              <w:t>by</w:t>
            </w:r>
            <w:r>
              <w:rPr>
                <w:spacing w:val="-5"/>
              </w:rPr>
              <w:t xml:space="preserve"> </w:t>
            </w:r>
            <w:r>
              <w:t>performing</w:t>
            </w:r>
            <w:r>
              <w:rPr>
                <w:spacing w:val="-5"/>
              </w:rPr>
              <w:t xml:space="preserve"> </w:t>
            </w:r>
            <w:r>
              <w:t>the following procedures:</w:t>
            </w:r>
          </w:p>
          <w:p w14:paraId="0DFDBC03" w14:textId="77777777" w:rsidR="00046465" w:rsidRDefault="008134EB">
            <w:pPr>
              <w:pStyle w:val="TableParagraph"/>
              <w:numPr>
                <w:ilvl w:val="1"/>
                <w:numId w:val="153"/>
              </w:numPr>
              <w:tabs>
                <w:tab w:val="left" w:pos="1064"/>
              </w:tabs>
              <w:spacing w:before="145"/>
              <w:ind w:right="1027"/>
            </w:pPr>
            <w:r>
              <w:t>Review</w:t>
            </w:r>
            <w:r>
              <w:rPr>
                <w:spacing w:val="-7"/>
              </w:rPr>
              <w:t xml:space="preserve"> </w:t>
            </w:r>
            <w:r>
              <w:t>the</w:t>
            </w:r>
            <w:r>
              <w:rPr>
                <w:spacing w:val="-6"/>
              </w:rPr>
              <w:t xml:space="preserve"> </w:t>
            </w:r>
            <w:r>
              <w:t>accounting</w:t>
            </w:r>
            <w:r>
              <w:rPr>
                <w:spacing w:val="-7"/>
              </w:rPr>
              <w:t xml:space="preserve"> </w:t>
            </w:r>
            <w:r>
              <w:t>codes</w:t>
            </w:r>
            <w:r>
              <w:rPr>
                <w:spacing w:val="-6"/>
              </w:rPr>
              <w:t xml:space="preserve"> </w:t>
            </w:r>
            <w:r>
              <w:t>indicated</w:t>
            </w:r>
            <w:r>
              <w:rPr>
                <w:spacing w:val="-6"/>
              </w:rPr>
              <w:t xml:space="preserve"> </w:t>
            </w:r>
            <w:r>
              <w:t>on</w:t>
            </w:r>
            <w:r>
              <w:rPr>
                <w:spacing w:val="-6"/>
              </w:rPr>
              <w:t xml:space="preserve"> </w:t>
            </w:r>
            <w:r>
              <w:t>the supporting documentation.</w:t>
            </w:r>
          </w:p>
          <w:p w14:paraId="0DFDBC04" w14:textId="77777777" w:rsidR="00046465" w:rsidRDefault="008134EB">
            <w:pPr>
              <w:pStyle w:val="TableParagraph"/>
              <w:numPr>
                <w:ilvl w:val="1"/>
                <w:numId w:val="153"/>
              </w:numPr>
              <w:tabs>
                <w:tab w:val="left" w:pos="1064"/>
              </w:tabs>
              <w:spacing w:before="143"/>
              <w:ind w:right="172"/>
            </w:pPr>
            <w:r>
              <w:t>Determine whether the accounting codes used to record the entity contribution are the same as those used for the related payroll expenditure and whether the codes and amounts agree with those recorded in the</w:t>
            </w:r>
            <w:r>
              <w:rPr>
                <w:spacing w:val="-1"/>
              </w:rPr>
              <w:t xml:space="preserve"> </w:t>
            </w:r>
            <w:r>
              <w:t>budgetary</w:t>
            </w:r>
            <w:r>
              <w:rPr>
                <w:spacing w:val="-1"/>
              </w:rPr>
              <w:t xml:space="preserve"> </w:t>
            </w:r>
            <w:r>
              <w:t>accounting</w:t>
            </w:r>
            <w:r>
              <w:rPr>
                <w:spacing w:val="-1"/>
              </w:rPr>
              <w:t xml:space="preserve"> </w:t>
            </w:r>
            <w:r>
              <w:t>records.</w:t>
            </w:r>
            <w:r>
              <w:rPr>
                <w:spacing w:val="-1"/>
              </w:rPr>
              <w:t xml:space="preserve"> </w:t>
            </w:r>
            <w:r>
              <w:t>(This</w:t>
            </w:r>
            <w:r>
              <w:rPr>
                <w:spacing w:val="-1"/>
              </w:rPr>
              <w:t xml:space="preserve"> </w:t>
            </w:r>
            <w:r>
              <w:t>step</w:t>
            </w:r>
            <w:r>
              <w:rPr>
                <w:spacing w:val="-1"/>
              </w:rPr>
              <w:t xml:space="preserve"> </w:t>
            </w:r>
            <w:r>
              <w:t>assumes other</w:t>
            </w:r>
            <w:r>
              <w:rPr>
                <w:spacing w:val="-6"/>
              </w:rPr>
              <w:t xml:space="preserve"> </w:t>
            </w:r>
            <w:r>
              <w:t>payroll</w:t>
            </w:r>
            <w:r>
              <w:rPr>
                <w:spacing w:val="-7"/>
              </w:rPr>
              <w:t xml:space="preserve"> </w:t>
            </w:r>
            <w:r>
              <w:t>testing</w:t>
            </w:r>
            <w:r>
              <w:rPr>
                <w:spacing w:val="-6"/>
              </w:rPr>
              <w:t xml:space="preserve"> </w:t>
            </w:r>
            <w:r>
              <w:t>would</w:t>
            </w:r>
            <w:r>
              <w:rPr>
                <w:spacing w:val="-6"/>
              </w:rPr>
              <w:t xml:space="preserve"> </w:t>
            </w:r>
            <w:r>
              <w:t>have</w:t>
            </w:r>
            <w:r>
              <w:rPr>
                <w:spacing w:val="-6"/>
              </w:rPr>
              <w:t xml:space="preserve"> </w:t>
            </w:r>
            <w:r>
              <w:t>included</w:t>
            </w:r>
            <w:r>
              <w:rPr>
                <w:spacing w:val="-6"/>
              </w:rPr>
              <w:t xml:space="preserve"> </w:t>
            </w:r>
            <w:r>
              <w:t>checking</w:t>
            </w:r>
            <w:r>
              <w:rPr>
                <w:spacing w:val="-6"/>
              </w:rPr>
              <w:t xml:space="preserve"> </w:t>
            </w:r>
            <w:r>
              <w:t>that the</w:t>
            </w:r>
            <w:r>
              <w:rPr>
                <w:spacing w:val="-5"/>
              </w:rPr>
              <w:t xml:space="preserve"> </w:t>
            </w:r>
            <w:r>
              <w:t>codes</w:t>
            </w:r>
            <w:r>
              <w:rPr>
                <w:spacing w:val="-5"/>
              </w:rPr>
              <w:t xml:space="preserve"> </w:t>
            </w:r>
            <w:r>
              <w:t>represent</w:t>
            </w:r>
            <w:r>
              <w:rPr>
                <w:spacing w:val="-5"/>
              </w:rPr>
              <w:t xml:space="preserve"> </w:t>
            </w:r>
            <w:r>
              <w:t>the</w:t>
            </w:r>
            <w:r>
              <w:rPr>
                <w:spacing w:val="-6"/>
              </w:rPr>
              <w:t xml:space="preserve"> </w:t>
            </w:r>
            <w:r>
              <w:t>proper</w:t>
            </w:r>
            <w:r>
              <w:rPr>
                <w:spacing w:val="-5"/>
              </w:rPr>
              <w:t xml:space="preserve"> </w:t>
            </w:r>
            <w:r>
              <w:t>appropriation</w:t>
            </w:r>
            <w:r>
              <w:rPr>
                <w:spacing w:val="-4"/>
              </w:rPr>
              <w:t xml:space="preserve"> </w:t>
            </w:r>
            <w:r>
              <w:t>account.)</w:t>
            </w:r>
          </w:p>
          <w:p w14:paraId="0DFDBC05" w14:textId="77777777" w:rsidR="00046465" w:rsidRDefault="008134EB">
            <w:pPr>
              <w:pStyle w:val="TableParagraph"/>
              <w:numPr>
                <w:ilvl w:val="1"/>
                <w:numId w:val="153"/>
              </w:numPr>
              <w:tabs>
                <w:tab w:val="left" w:pos="1064"/>
              </w:tabs>
              <w:spacing w:before="145"/>
              <w:ind w:right="161"/>
            </w:pPr>
            <w:r>
              <w:t>Consider the procedures performed on the entity’s budget</w:t>
            </w:r>
            <w:r>
              <w:rPr>
                <w:spacing w:val="-8"/>
              </w:rPr>
              <w:t xml:space="preserve"> </w:t>
            </w:r>
            <w:r>
              <w:t>controls</w:t>
            </w:r>
            <w:r>
              <w:rPr>
                <w:spacing w:val="-8"/>
              </w:rPr>
              <w:t xml:space="preserve"> </w:t>
            </w:r>
            <w:r>
              <w:t>for</w:t>
            </w:r>
            <w:r>
              <w:rPr>
                <w:spacing w:val="-8"/>
              </w:rPr>
              <w:t xml:space="preserve"> </w:t>
            </w:r>
            <w:r>
              <w:t>summarizing</w:t>
            </w:r>
            <w:r>
              <w:rPr>
                <w:spacing w:val="-8"/>
              </w:rPr>
              <w:t xml:space="preserve"> </w:t>
            </w:r>
            <w:r>
              <w:t>expenditure</w:t>
            </w:r>
            <w:r>
              <w:rPr>
                <w:spacing w:val="-8"/>
              </w:rPr>
              <w:t xml:space="preserve"> </w:t>
            </w:r>
            <w:r>
              <w:t>balances, as discussed in FAM 395 F, Budget Control</w:t>
            </w:r>
            <w:r>
              <w:rPr>
                <w:spacing w:val="40"/>
              </w:rPr>
              <w:t xml:space="preserve"> </w:t>
            </w:r>
            <w:r>
              <w:rPr>
                <w:spacing w:val="-2"/>
              </w:rPr>
              <w:t>Objectives.</w:t>
            </w:r>
          </w:p>
          <w:p w14:paraId="0DFDBC06" w14:textId="77777777" w:rsidR="00046465" w:rsidRDefault="008134EB">
            <w:pPr>
              <w:pStyle w:val="TableParagraph"/>
              <w:spacing w:before="143"/>
              <w:ind w:left="1094" w:right="133"/>
            </w:pPr>
            <w:r>
              <w:t xml:space="preserve">If the auditor has assessed the entity’s controls as </w:t>
            </w:r>
            <w:r>
              <w:rPr>
                <w:u w:val="single"/>
              </w:rPr>
              <w:t>effective</w:t>
            </w:r>
            <w:r>
              <w:t xml:space="preserve"> in achieving the control objective of summarization of expenditure balances, then further procedures are not necessary to obtain assurance as to</w:t>
            </w:r>
            <w:r>
              <w:rPr>
                <w:spacing w:val="-4"/>
              </w:rPr>
              <w:t xml:space="preserve"> </w:t>
            </w:r>
            <w:r>
              <w:t>whether</w:t>
            </w:r>
            <w:r>
              <w:rPr>
                <w:spacing w:val="-4"/>
              </w:rPr>
              <w:t xml:space="preserve"> </w:t>
            </w:r>
            <w:r>
              <w:t>the</w:t>
            </w:r>
            <w:r>
              <w:rPr>
                <w:spacing w:val="-4"/>
              </w:rPr>
              <w:t xml:space="preserve"> </w:t>
            </w:r>
            <w:r>
              <w:t>entity’s</w:t>
            </w:r>
            <w:r>
              <w:rPr>
                <w:spacing w:val="-4"/>
              </w:rPr>
              <w:t xml:space="preserve"> </w:t>
            </w:r>
            <w:r>
              <w:t>contributions</w:t>
            </w:r>
            <w:r>
              <w:rPr>
                <w:spacing w:val="-5"/>
              </w:rPr>
              <w:t xml:space="preserve"> </w:t>
            </w:r>
            <w:r>
              <w:t>are</w:t>
            </w:r>
            <w:r>
              <w:rPr>
                <w:spacing w:val="-4"/>
              </w:rPr>
              <w:t xml:space="preserve"> </w:t>
            </w:r>
            <w:r>
              <w:t>paid</w:t>
            </w:r>
            <w:r>
              <w:rPr>
                <w:spacing w:val="-4"/>
              </w:rPr>
              <w:t xml:space="preserve"> </w:t>
            </w:r>
            <w:r>
              <w:t>out</w:t>
            </w:r>
            <w:r>
              <w:rPr>
                <w:spacing w:val="-5"/>
              </w:rPr>
              <w:t xml:space="preserve"> </w:t>
            </w:r>
            <w:r>
              <w:t>of</w:t>
            </w:r>
            <w:r>
              <w:rPr>
                <w:spacing w:val="-4"/>
              </w:rPr>
              <w:t xml:space="preserve"> </w:t>
            </w:r>
            <w:r>
              <w:t>the proper appropriation account.</w:t>
            </w:r>
          </w:p>
          <w:p w14:paraId="0DFDBC07" w14:textId="77777777" w:rsidR="00046465" w:rsidRDefault="008134EB">
            <w:pPr>
              <w:pStyle w:val="TableParagraph"/>
              <w:spacing w:before="144"/>
              <w:ind w:left="1064" w:right="133" w:firstLine="9"/>
            </w:pPr>
            <w:r>
              <w:t xml:space="preserve">If the auditor has assessed the controls as </w:t>
            </w:r>
            <w:r>
              <w:rPr>
                <w:u w:val="single"/>
              </w:rPr>
              <w:t>ineffective</w:t>
            </w:r>
            <w:r>
              <w:t>, then the auditor should perform procedures to determine</w:t>
            </w:r>
            <w:r>
              <w:rPr>
                <w:spacing w:val="-7"/>
              </w:rPr>
              <w:t xml:space="preserve"> </w:t>
            </w:r>
            <w:r>
              <w:t>whether</w:t>
            </w:r>
            <w:r>
              <w:rPr>
                <w:spacing w:val="-7"/>
              </w:rPr>
              <w:t xml:space="preserve"> </w:t>
            </w:r>
            <w:r>
              <w:t>the</w:t>
            </w:r>
            <w:r>
              <w:rPr>
                <w:spacing w:val="-7"/>
              </w:rPr>
              <w:t xml:space="preserve"> </w:t>
            </w:r>
            <w:r>
              <w:t>entity</w:t>
            </w:r>
            <w:r>
              <w:rPr>
                <w:spacing w:val="-7"/>
              </w:rPr>
              <w:t xml:space="preserve"> </w:t>
            </w:r>
            <w:r>
              <w:t>has</w:t>
            </w:r>
            <w:r>
              <w:rPr>
                <w:spacing w:val="-7"/>
              </w:rPr>
              <w:t xml:space="preserve"> </w:t>
            </w:r>
            <w:r>
              <w:t>properly</w:t>
            </w:r>
            <w:r>
              <w:rPr>
                <w:spacing w:val="-7"/>
              </w:rPr>
              <w:t xml:space="preserve"> </w:t>
            </w:r>
            <w:r>
              <w:t>summarized the</w:t>
            </w:r>
            <w:r>
              <w:rPr>
                <w:spacing w:val="-2"/>
              </w:rPr>
              <w:t xml:space="preserve"> </w:t>
            </w:r>
            <w:r>
              <w:t>expenditure</w:t>
            </w:r>
            <w:r>
              <w:rPr>
                <w:spacing w:val="-2"/>
              </w:rPr>
              <w:t xml:space="preserve"> </w:t>
            </w:r>
            <w:r>
              <w:t>balances,</w:t>
            </w:r>
            <w:r>
              <w:rPr>
                <w:spacing w:val="-2"/>
              </w:rPr>
              <w:t xml:space="preserve"> </w:t>
            </w:r>
            <w:r>
              <w:t>as</w:t>
            </w:r>
            <w:r>
              <w:rPr>
                <w:spacing w:val="-2"/>
              </w:rPr>
              <w:t xml:space="preserve"> </w:t>
            </w:r>
            <w:r>
              <w:t>described</w:t>
            </w:r>
            <w:r>
              <w:rPr>
                <w:spacing w:val="-2"/>
              </w:rPr>
              <w:t xml:space="preserve"> </w:t>
            </w:r>
            <w:r>
              <w:t>in</w:t>
            </w:r>
            <w:r>
              <w:rPr>
                <w:spacing w:val="-2"/>
              </w:rPr>
              <w:t xml:space="preserve"> </w:t>
            </w:r>
            <w:r>
              <w:t>FAM</w:t>
            </w:r>
            <w:r>
              <w:rPr>
                <w:spacing w:val="-3"/>
              </w:rPr>
              <w:t xml:space="preserve"> </w:t>
            </w:r>
            <w:r>
              <w:t>495</w:t>
            </w:r>
            <w:r>
              <w:rPr>
                <w:spacing w:val="-2"/>
              </w:rPr>
              <w:t xml:space="preserve"> </w:t>
            </w:r>
            <w:r>
              <w:t xml:space="preserve">B, Example Procedures for Tests of Budget Information. See FAM 808.02, Entity Contributions for Retirement </w:t>
            </w:r>
            <w:r>
              <w:rPr>
                <w:spacing w:val="-2"/>
              </w:rPr>
              <w:t>Benefits.</w:t>
            </w:r>
          </w:p>
        </w:tc>
        <w:tc>
          <w:tcPr>
            <w:tcW w:w="1320" w:type="dxa"/>
            <w:tcBorders>
              <w:left w:val="single" w:sz="6" w:space="0" w:color="000000"/>
              <w:bottom w:val="single" w:sz="6" w:space="0" w:color="000000"/>
              <w:right w:val="single" w:sz="6" w:space="0" w:color="000000"/>
            </w:tcBorders>
          </w:tcPr>
          <w:p w14:paraId="0DFDBC08" w14:textId="77777777" w:rsidR="00046465" w:rsidRDefault="00046465">
            <w:pPr>
              <w:pStyle w:val="TableParagraph"/>
              <w:rPr>
                <w:rFonts w:ascii="Times New Roman"/>
                <w:sz w:val="20"/>
              </w:rPr>
            </w:pPr>
          </w:p>
        </w:tc>
        <w:tc>
          <w:tcPr>
            <w:tcW w:w="1320" w:type="dxa"/>
            <w:tcBorders>
              <w:left w:val="single" w:sz="6" w:space="0" w:color="000000"/>
              <w:bottom w:val="single" w:sz="6" w:space="0" w:color="000000"/>
            </w:tcBorders>
          </w:tcPr>
          <w:p w14:paraId="0DFDBC09" w14:textId="77777777" w:rsidR="00046465" w:rsidRDefault="00046465">
            <w:pPr>
              <w:pStyle w:val="TableParagraph"/>
              <w:rPr>
                <w:rFonts w:ascii="Times New Roman"/>
                <w:sz w:val="20"/>
              </w:rPr>
            </w:pPr>
          </w:p>
        </w:tc>
      </w:tr>
      <w:tr w:rsidR="00046465" w14:paraId="0DFDBC0F" w14:textId="77777777">
        <w:trPr>
          <w:trHeight w:val="2059"/>
        </w:trPr>
        <w:tc>
          <w:tcPr>
            <w:tcW w:w="6600" w:type="dxa"/>
            <w:tcBorders>
              <w:top w:val="single" w:sz="6" w:space="0" w:color="000000"/>
              <w:bottom w:val="single" w:sz="6" w:space="0" w:color="000000"/>
              <w:right w:val="single" w:sz="6" w:space="0" w:color="000000"/>
            </w:tcBorders>
          </w:tcPr>
          <w:p w14:paraId="0DFDBC0B" w14:textId="77777777" w:rsidR="00046465" w:rsidRDefault="008134EB">
            <w:pPr>
              <w:pStyle w:val="TableParagraph"/>
              <w:spacing w:before="143"/>
              <w:ind w:left="590" w:right="279" w:hanging="461"/>
              <w:jc w:val="both"/>
            </w:pPr>
            <w:r>
              <w:t>6.</w:t>
            </w:r>
            <w:r>
              <w:rPr>
                <w:spacing w:val="80"/>
              </w:rPr>
              <w:t xml:space="preserve"> </w:t>
            </w:r>
            <w:r>
              <w:t>Determine</w:t>
            </w:r>
            <w:r>
              <w:rPr>
                <w:spacing w:val="-3"/>
              </w:rPr>
              <w:t xml:space="preserve"> </w:t>
            </w:r>
            <w:r>
              <w:t>whether</w:t>
            </w:r>
            <w:r>
              <w:rPr>
                <w:spacing w:val="-3"/>
              </w:rPr>
              <w:t xml:space="preserve"> </w:t>
            </w:r>
            <w:r>
              <w:t>the</w:t>
            </w:r>
            <w:r>
              <w:rPr>
                <w:spacing w:val="-3"/>
              </w:rPr>
              <w:t xml:space="preserve"> </w:t>
            </w:r>
            <w:r>
              <w:t>entity</w:t>
            </w:r>
            <w:r>
              <w:rPr>
                <w:spacing w:val="-3"/>
              </w:rPr>
              <w:t xml:space="preserve"> </w:t>
            </w:r>
            <w:r>
              <w:t>has</w:t>
            </w:r>
            <w:r>
              <w:rPr>
                <w:spacing w:val="-3"/>
              </w:rPr>
              <w:t xml:space="preserve"> </w:t>
            </w:r>
            <w:r>
              <w:t>effective</w:t>
            </w:r>
            <w:r>
              <w:rPr>
                <w:spacing w:val="-3"/>
              </w:rPr>
              <w:t xml:space="preserve"> </w:t>
            </w:r>
            <w:r>
              <w:t>internal</w:t>
            </w:r>
            <w:r>
              <w:rPr>
                <w:spacing w:val="-3"/>
              </w:rPr>
              <w:t xml:space="preserve"> </w:t>
            </w:r>
            <w:r>
              <w:t>controls over</w:t>
            </w:r>
            <w:r>
              <w:rPr>
                <w:spacing w:val="-5"/>
              </w:rPr>
              <w:t xml:space="preserve"> </w:t>
            </w:r>
            <w:r>
              <w:t>the</w:t>
            </w:r>
            <w:r>
              <w:rPr>
                <w:spacing w:val="-5"/>
              </w:rPr>
              <w:t xml:space="preserve"> </w:t>
            </w:r>
            <w:r>
              <w:t>proper</w:t>
            </w:r>
            <w:r>
              <w:rPr>
                <w:spacing w:val="-5"/>
              </w:rPr>
              <w:t xml:space="preserve"> </w:t>
            </w:r>
            <w:r>
              <w:t>summarization</w:t>
            </w:r>
            <w:r>
              <w:rPr>
                <w:spacing w:val="-5"/>
              </w:rPr>
              <w:t xml:space="preserve"> </w:t>
            </w:r>
            <w:r>
              <w:t>of</w:t>
            </w:r>
            <w:r>
              <w:rPr>
                <w:spacing w:val="-5"/>
              </w:rPr>
              <w:t xml:space="preserve"> </w:t>
            </w:r>
            <w:r>
              <w:t>(a)</w:t>
            </w:r>
            <w:r>
              <w:rPr>
                <w:spacing w:val="-7"/>
              </w:rPr>
              <w:t xml:space="preserve"> </w:t>
            </w:r>
            <w:r>
              <w:t>the</w:t>
            </w:r>
            <w:r>
              <w:rPr>
                <w:spacing w:val="-5"/>
              </w:rPr>
              <w:t xml:space="preserve"> </w:t>
            </w:r>
            <w:r>
              <w:t>amounts</w:t>
            </w:r>
            <w:r>
              <w:rPr>
                <w:spacing w:val="-5"/>
              </w:rPr>
              <w:t xml:space="preserve"> </w:t>
            </w:r>
            <w:r>
              <w:t>withheld from employees for retirement benefits under the law and</w:t>
            </w:r>
          </w:p>
          <w:p w14:paraId="0DFDBC0C" w14:textId="77777777" w:rsidR="00046465" w:rsidRDefault="008134EB">
            <w:pPr>
              <w:pStyle w:val="TableParagraph"/>
              <w:spacing w:before="1"/>
              <w:ind w:left="590" w:right="133"/>
            </w:pPr>
            <w:r>
              <w:t>(b)</w:t>
            </w:r>
            <w:r>
              <w:rPr>
                <w:spacing w:val="-4"/>
              </w:rPr>
              <w:t xml:space="preserve"> </w:t>
            </w:r>
            <w:r>
              <w:t>the</w:t>
            </w:r>
            <w:r>
              <w:rPr>
                <w:spacing w:val="-4"/>
              </w:rPr>
              <w:t xml:space="preserve"> </w:t>
            </w:r>
            <w:r>
              <w:t>entity</w:t>
            </w:r>
            <w:r>
              <w:rPr>
                <w:spacing w:val="-5"/>
              </w:rPr>
              <w:t xml:space="preserve"> </w:t>
            </w:r>
            <w:r>
              <w:t>contributions</w:t>
            </w:r>
            <w:r>
              <w:rPr>
                <w:spacing w:val="-4"/>
              </w:rPr>
              <w:t xml:space="preserve"> </w:t>
            </w:r>
            <w:r>
              <w:t>for</w:t>
            </w:r>
            <w:r>
              <w:rPr>
                <w:spacing w:val="-4"/>
              </w:rPr>
              <w:t xml:space="preserve"> </w:t>
            </w:r>
            <w:r>
              <w:t>remittance</w:t>
            </w:r>
            <w:r>
              <w:rPr>
                <w:spacing w:val="-4"/>
              </w:rPr>
              <w:t xml:space="preserve"> </w:t>
            </w:r>
            <w:r>
              <w:t>to</w:t>
            </w:r>
            <w:r>
              <w:rPr>
                <w:spacing w:val="-4"/>
              </w:rPr>
              <w:t xml:space="preserve"> </w:t>
            </w:r>
            <w:r>
              <w:t>Treasury.</w:t>
            </w:r>
            <w:r>
              <w:rPr>
                <w:spacing w:val="-4"/>
              </w:rPr>
              <w:t xml:space="preserve"> </w:t>
            </w:r>
            <w:r>
              <w:t>If</w:t>
            </w:r>
            <w:r>
              <w:rPr>
                <w:spacing w:val="-4"/>
              </w:rPr>
              <w:t xml:space="preserve"> </w:t>
            </w:r>
            <w:r>
              <w:t>the entity does not have effective controls for summarization, then test the summarization of the totals that include the items selected for testing in step 1.</w:t>
            </w:r>
          </w:p>
        </w:tc>
        <w:tc>
          <w:tcPr>
            <w:tcW w:w="1320" w:type="dxa"/>
            <w:tcBorders>
              <w:top w:val="single" w:sz="6" w:space="0" w:color="000000"/>
              <w:left w:val="single" w:sz="6" w:space="0" w:color="000000"/>
              <w:bottom w:val="single" w:sz="6" w:space="0" w:color="000000"/>
              <w:right w:val="single" w:sz="6" w:space="0" w:color="000000"/>
            </w:tcBorders>
          </w:tcPr>
          <w:p w14:paraId="0DFDBC0D" w14:textId="77777777" w:rsidR="00046465" w:rsidRDefault="00046465">
            <w:pPr>
              <w:pStyle w:val="TableParagraph"/>
              <w:rPr>
                <w:rFonts w:ascii="Times New Roman"/>
                <w:sz w:val="20"/>
              </w:rPr>
            </w:pPr>
          </w:p>
        </w:tc>
        <w:tc>
          <w:tcPr>
            <w:tcW w:w="1320" w:type="dxa"/>
            <w:tcBorders>
              <w:top w:val="single" w:sz="6" w:space="0" w:color="000000"/>
              <w:left w:val="single" w:sz="6" w:space="0" w:color="000000"/>
              <w:bottom w:val="single" w:sz="6" w:space="0" w:color="000000"/>
            </w:tcBorders>
          </w:tcPr>
          <w:p w14:paraId="0DFDBC0E" w14:textId="77777777" w:rsidR="00046465" w:rsidRDefault="00046465">
            <w:pPr>
              <w:pStyle w:val="TableParagraph"/>
              <w:rPr>
                <w:rFonts w:ascii="Times New Roman"/>
                <w:sz w:val="20"/>
              </w:rPr>
            </w:pPr>
          </w:p>
        </w:tc>
      </w:tr>
    </w:tbl>
    <w:p w14:paraId="0DFDBC10" w14:textId="77777777" w:rsidR="00046465" w:rsidRDefault="00046465">
      <w:pPr>
        <w:pStyle w:val="TableParagraph"/>
        <w:rPr>
          <w:rFonts w:ascii="Times New Roman"/>
          <w:sz w:val="20"/>
        </w:rPr>
        <w:sectPr w:rsidR="00046465">
          <w:pgSz w:w="12240" w:h="15840"/>
          <w:pgMar w:top="1380" w:right="1440" w:bottom="940" w:left="1080" w:header="721" w:footer="742" w:gutter="0"/>
          <w:cols w:space="720"/>
        </w:sectPr>
      </w:pPr>
    </w:p>
    <w:p w14:paraId="0DFDBC11" w14:textId="77777777" w:rsidR="00046465" w:rsidRDefault="00046465">
      <w:pPr>
        <w:pStyle w:val="BodyText"/>
        <w:spacing w:before="4" w:after="1"/>
        <w:rPr>
          <w:sz w:val="8"/>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00"/>
        <w:gridCol w:w="1320"/>
        <w:gridCol w:w="1320"/>
      </w:tblGrid>
      <w:tr w:rsidR="00046465" w14:paraId="0DFDBC13" w14:textId="77777777">
        <w:trPr>
          <w:trHeight w:val="1335"/>
        </w:trPr>
        <w:tc>
          <w:tcPr>
            <w:tcW w:w="9240" w:type="dxa"/>
            <w:gridSpan w:val="3"/>
          </w:tcPr>
          <w:p w14:paraId="0DFDBC12" w14:textId="77777777" w:rsidR="00046465" w:rsidRDefault="008134EB">
            <w:pPr>
              <w:pStyle w:val="TableParagraph"/>
              <w:tabs>
                <w:tab w:val="left" w:pos="8943"/>
              </w:tabs>
              <w:spacing w:before="7" w:line="390" w:lineRule="atLeast"/>
              <w:ind w:left="130" w:right="248" w:hanging="1"/>
              <w:jc w:val="both"/>
            </w:pPr>
            <w:r>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C19" w14:textId="77777777">
        <w:trPr>
          <w:trHeight w:val="793"/>
        </w:trPr>
        <w:tc>
          <w:tcPr>
            <w:tcW w:w="6600" w:type="dxa"/>
            <w:tcBorders>
              <w:right w:val="single" w:sz="8" w:space="0" w:color="000000"/>
            </w:tcBorders>
          </w:tcPr>
          <w:p w14:paraId="0DFDBC14" w14:textId="77777777" w:rsidR="00046465" w:rsidRDefault="00046465">
            <w:pPr>
              <w:pStyle w:val="TableParagraph"/>
              <w:spacing w:before="144"/>
            </w:pPr>
          </w:p>
          <w:p w14:paraId="0DFDBC15"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320" w:type="dxa"/>
            <w:tcBorders>
              <w:left w:val="single" w:sz="8" w:space="0" w:color="000000"/>
              <w:right w:val="single" w:sz="8" w:space="0" w:color="000000"/>
            </w:tcBorders>
          </w:tcPr>
          <w:p w14:paraId="0DFDBC16" w14:textId="77777777" w:rsidR="00046465" w:rsidRDefault="008134EB">
            <w:pPr>
              <w:pStyle w:val="TableParagraph"/>
              <w:spacing w:before="144"/>
              <w:ind w:left="142" w:right="1"/>
              <w:rPr>
                <w:b/>
              </w:rPr>
            </w:pPr>
            <w:r>
              <w:rPr>
                <w:b/>
                <w:spacing w:val="-2"/>
              </w:rPr>
              <w:t xml:space="preserve">Initials/ </w:t>
            </w:r>
            <w:r>
              <w:rPr>
                <w:b/>
                <w:spacing w:val="-4"/>
              </w:rPr>
              <w:t>date</w:t>
            </w:r>
          </w:p>
        </w:tc>
        <w:tc>
          <w:tcPr>
            <w:tcW w:w="1320" w:type="dxa"/>
            <w:tcBorders>
              <w:left w:val="single" w:sz="8" w:space="0" w:color="000000"/>
            </w:tcBorders>
          </w:tcPr>
          <w:p w14:paraId="0DFDBC17" w14:textId="77777777" w:rsidR="00046465" w:rsidRDefault="00046465">
            <w:pPr>
              <w:pStyle w:val="TableParagraph"/>
              <w:spacing w:before="144"/>
            </w:pPr>
          </w:p>
          <w:p w14:paraId="0DFDBC18" w14:textId="77777777" w:rsidR="00046465" w:rsidRDefault="008134EB">
            <w:pPr>
              <w:pStyle w:val="TableParagraph"/>
              <w:ind w:left="142"/>
              <w:rPr>
                <w:b/>
              </w:rPr>
            </w:pPr>
            <w:r>
              <w:rPr>
                <w:b/>
              </w:rPr>
              <w:t>Doc.</w:t>
            </w:r>
            <w:r>
              <w:rPr>
                <w:b/>
                <w:spacing w:val="-6"/>
              </w:rPr>
              <w:t xml:space="preserve"> </w:t>
            </w:r>
            <w:r>
              <w:rPr>
                <w:b/>
                <w:spacing w:val="-4"/>
              </w:rPr>
              <w:t>ref.</w:t>
            </w:r>
          </w:p>
        </w:tc>
      </w:tr>
      <w:tr w:rsidR="00046465" w14:paraId="0DFDBC1D" w14:textId="77777777">
        <w:trPr>
          <w:trHeight w:val="2312"/>
        </w:trPr>
        <w:tc>
          <w:tcPr>
            <w:tcW w:w="6600" w:type="dxa"/>
            <w:tcBorders>
              <w:bottom w:val="single" w:sz="6" w:space="0" w:color="000000"/>
              <w:right w:val="single" w:sz="6" w:space="0" w:color="000000"/>
            </w:tcBorders>
          </w:tcPr>
          <w:p w14:paraId="0DFDBC1A" w14:textId="77777777" w:rsidR="00046465" w:rsidRDefault="008134EB">
            <w:pPr>
              <w:pStyle w:val="TableParagraph"/>
              <w:tabs>
                <w:tab w:val="left" w:pos="590"/>
              </w:tabs>
              <w:spacing w:before="144"/>
              <w:ind w:left="590" w:right="143" w:hanging="461"/>
            </w:pPr>
            <w:r>
              <w:rPr>
                <w:spacing w:val="-6"/>
              </w:rPr>
              <w:t>7.</w:t>
            </w:r>
            <w:r>
              <w:tab/>
              <w:t>Compare</w:t>
            </w:r>
            <w:r>
              <w:rPr>
                <w:spacing w:val="-6"/>
              </w:rPr>
              <w:t xml:space="preserve"> </w:t>
            </w:r>
            <w:r>
              <w:t>the</w:t>
            </w:r>
            <w:r>
              <w:rPr>
                <w:spacing w:val="-6"/>
              </w:rPr>
              <w:t xml:space="preserve"> </w:t>
            </w:r>
            <w:r>
              <w:t>combined</w:t>
            </w:r>
            <w:r>
              <w:rPr>
                <w:spacing w:val="-6"/>
              </w:rPr>
              <w:t xml:space="preserve"> </w:t>
            </w:r>
            <w:r>
              <w:t>totals</w:t>
            </w:r>
            <w:r>
              <w:rPr>
                <w:spacing w:val="-6"/>
              </w:rPr>
              <w:t xml:space="preserve"> </w:t>
            </w:r>
            <w:r>
              <w:t>of</w:t>
            </w:r>
            <w:r>
              <w:rPr>
                <w:spacing w:val="-6"/>
              </w:rPr>
              <w:t xml:space="preserve"> </w:t>
            </w:r>
            <w:r>
              <w:t>employee</w:t>
            </w:r>
            <w:r>
              <w:rPr>
                <w:spacing w:val="-6"/>
              </w:rPr>
              <w:t xml:space="preserve"> </w:t>
            </w:r>
            <w:r>
              <w:t>withholdings</w:t>
            </w:r>
            <w:r>
              <w:rPr>
                <w:spacing w:val="-6"/>
              </w:rPr>
              <w:t xml:space="preserve"> </w:t>
            </w:r>
            <w:r>
              <w:t>and entity</w:t>
            </w:r>
            <w:r>
              <w:rPr>
                <w:spacing w:val="-2"/>
              </w:rPr>
              <w:t xml:space="preserve"> </w:t>
            </w:r>
            <w:r>
              <w:t>contributions</w:t>
            </w:r>
            <w:r>
              <w:rPr>
                <w:spacing w:val="-2"/>
              </w:rPr>
              <w:t xml:space="preserve"> </w:t>
            </w:r>
            <w:r>
              <w:t>that</w:t>
            </w:r>
            <w:r>
              <w:rPr>
                <w:spacing w:val="-3"/>
              </w:rPr>
              <w:t xml:space="preserve"> </w:t>
            </w:r>
            <w:r>
              <w:t>include</w:t>
            </w:r>
            <w:r>
              <w:rPr>
                <w:spacing w:val="-2"/>
              </w:rPr>
              <w:t xml:space="preserve"> </w:t>
            </w:r>
            <w:r>
              <w:t>each</w:t>
            </w:r>
            <w:r>
              <w:rPr>
                <w:spacing w:val="-2"/>
              </w:rPr>
              <w:t xml:space="preserve"> </w:t>
            </w:r>
            <w:r>
              <w:t>selection</w:t>
            </w:r>
            <w:r>
              <w:rPr>
                <w:spacing w:val="-3"/>
              </w:rPr>
              <w:t xml:space="preserve"> </w:t>
            </w:r>
            <w:r>
              <w:t>made</w:t>
            </w:r>
            <w:r>
              <w:rPr>
                <w:spacing w:val="-2"/>
              </w:rPr>
              <w:t xml:space="preserve"> </w:t>
            </w:r>
            <w:r>
              <w:t>in</w:t>
            </w:r>
            <w:r>
              <w:rPr>
                <w:spacing w:val="-2"/>
              </w:rPr>
              <w:t xml:space="preserve"> </w:t>
            </w:r>
            <w:r>
              <w:t>step 1 to the deposit made to Treasury and the remittance sent to</w:t>
            </w:r>
            <w:r>
              <w:rPr>
                <w:spacing w:val="-3"/>
              </w:rPr>
              <w:t xml:space="preserve"> </w:t>
            </w:r>
            <w:r>
              <w:t>OPM,</w:t>
            </w:r>
            <w:r>
              <w:rPr>
                <w:spacing w:val="-3"/>
              </w:rPr>
              <w:t xml:space="preserve"> </w:t>
            </w:r>
            <w:r>
              <w:t>and</w:t>
            </w:r>
            <w:r>
              <w:rPr>
                <w:spacing w:val="-3"/>
              </w:rPr>
              <w:t xml:space="preserve"> </w:t>
            </w:r>
            <w:r>
              <w:t>obtain</w:t>
            </w:r>
            <w:r>
              <w:rPr>
                <w:spacing w:val="-3"/>
              </w:rPr>
              <w:t xml:space="preserve"> </w:t>
            </w:r>
            <w:r>
              <w:t>an</w:t>
            </w:r>
            <w:r>
              <w:rPr>
                <w:spacing w:val="-4"/>
              </w:rPr>
              <w:t xml:space="preserve"> </w:t>
            </w:r>
            <w:r>
              <w:t>explanation</w:t>
            </w:r>
            <w:r>
              <w:rPr>
                <w:spacing w:val="-4"/>
              </w:rPr>
              <w:t xml:space="preserve"> </w:t>
            </w:r>
            <w:r>
              <w:t>and</w:t>
            </w:r>
            <w:r>
              <w:rPr>
                <w:spacing w:val="-3"/>
              </w:rPr>
              <w:t xml:space="preserve"> </w:t>
            </w:r>
            <w:r>
              <w:t>examine</w:t>
            </w:r>
            <w:r>
              <w:rPr>
                <w:spacing w:val="-3"/>
              </w:rPr>
              <w:t xml:space="preserve"> </w:t>
            </w:r>
            <w:r>
              <w:t>support</w:t>
            </w:r>
            <w:r>
              <w:rPr>
                <w:spacing w:val="-3"/>
              </w:rPr>
              <w:t xml:space="preserve"> </w:t>
            </w:r>
            <w:r>
              <w:t>for any differences. The funds should be deposited in the Treasury to the credit of the Civil Service Retirement and Disability Fund. See FAM 808.03, Deposits into the Civil Service Retirement and Disability Fund.</w:t>
            </w:r>
          </w:p>
        </w:tc>
        <w:tc>
          <w:tcPr>
            <w:tcW w:w="1320" w:type="dxa"/>
            <w:tcBorders>
              <w:left w:val="single" w:sz="6" w:space="0" w:color="000000"/>
              <w:bottom w:val="single" w:sz="6" w:space="0" w:color="000000"/>
              <w:right w:val="single" w:sz="6" w:space="0" w:color="000000"/>
            </w:tcBorders>
          </w:tcPr>
          <w:p w14:paraId="0DFDBC1B" w14:textId="77777777" w:rsidR="00046465" w:rsidRDefault="00046465">
            <w:pPr>
              <w:pStyle w:val="TableParagraph"/>
              <w:rPr>
                <w:rFonts w:ascii="Times New Roman"/>
                <w:sz w:val="20"/>
              </w:rPr>
            </w:pPr>
          </w:p>
        </w:tc>
        <w:tc>
          <w:tcPr>
            <w:tcW w:w="1320" w:type="dxa"/>
            <w:tcBorders>
              <w:left w:val="single" w:sz="6" w:space="0" w:color="000000"/>
              <w:bottom w:val="single" w:sz="6" w:space="0" w:color="000000"/>
            </w:tcBorders>
          </w:tcPr>
          <w:p w14:paraId="0DFDBC1C" w14:textId="77777777" w:rsidR="00046465" w:rsidRDefault="00046465">
            <w:pPr>
              <w:pStyle w:val="TableParagraph"/>
              <w:rPr>
                <w:rFonts w:ascii="Times New Roman"/>
                <w:sz w:val="20"/>
              </w:rPr>
            </w:pPr>
          </w:p>
        </w:tc>
      </w:tr>
      <w:tr w:rsidR="00046465" w14:paraId="0DFDBC25" w14:textId="77777777">
        <w:trPr>
          <w:trHeight w:val="5729"/>
        </w:trPr>
        <w:tc>
          <w:tcPr>
            <w:tcW w:w="6600" w:type="dxa"/>
            <w:tcBorders>
              <w:top w:val="single" w:sz="6" w:space="0" w:color="000000"/>
              <w:bottom w:val="single" w:sz="6" w:space="0" w:color="000000"/>
              <w:right w:val="single" w:sz="6" w:space="0" w:color="000000"/>
            </w:tcBorders>
          </w:tcPr>
          <w:p w14:paraId="0DFDBC1E" w14:textId="77777777" w:rsidR="00046465" w:rsidRDefault="008134EB">
            <w:pPr>
              <w:pStyle w:val="TableParagraph"/>
              <w:numPr>
                <w:ilvl w:val="0"/>
                <w:numId w:val="152"/>
              </w:numPr>
              <w:tabs>
                <w:tab w:val="left" w:pos="561"/>
              </w:tabs>
              <w:spacing w:before="143"/>
              <w:ind w:right="185"/>
            </w:pPr>
            <w:r>
              <w:t>If the entity does not appear to be in compliance based on the results of tests performed, then the auditor should discuss</w:t>
            </w:r>
            <w:r>
              <w:rPr>
                <w:spacing w:val="-5"/>
              </w:rPr>
              <w:t xml:space="preserve"> </w:t>
            </w:r>
            <w:r>
              <w:t>these</w:t>
            </w:r>
            <w:r>
              <w:rPr>
                <w:spacing w:val="-5"/>
              </w:rPr>
              <w:t xml:space="preserve"> </w:t>
            </w:r>
            <w:r>
              <w:t>matters</w:t>
            </w:r>
            <w:r>
              <w:rPr>
                <w:spacing w:val="-5"/>
              </w:rPr>
              <w:t xml:space="preserve"> </w:t>
            </w:r>
            <w:r>
              <w:t>with</w:t>
            </w:r>
            <w:r>
              <w:rPr>
                <w:spacing w:val="-5"/>
              </w:rPr>
              <w:t xml:space="preserve"> </w:t>
            </w:r>
            <w:r>
              <w:t>OGC</w:t>
            </w:r>
            <w:r>
              <w:rPr>
                <w:spacing w:val="-6"/>
              </w:rPr>
              <w:t xml:space="preserve"> </w:t>
            </w:r>
            <w:r>
              <w:t>and,</w:t>
            </w:r>
            <w:r>
              <w:rPr>
                <w:spacing w:val="-5"/>
              </w:rPr>
              <w:t xml:space="preserve"> </w:t>
            </w:r>
            <w:r>
              <w:t>when</w:t>
            </w:r>
            <w:r>
              <w:rPr>
                <w:spacing w:val="-5"/>
              </w:rPr>
              <w:t xml:space="preserve"> </w:t>
            </w:r>
            <w:r>
              <w:t>appropriate,</w:t>
            </w:r>
            <w:r>
              <w:rPr>
                <w:spacing w:val="-5"/>
              </w:rPr>
              <w:t xml:space="preserve"> </w:t>
            </w:r>
            <w:r>
              <w:t xml:space="preserve">the Special Investigator Unit to conclude if noncompliance actually occurred and the implications of such noncompliance. For any noncompliance noted, the auditor </w:t>
            </w:r>
            <w:r>
              <w:rPr>
                <w:spacing w:val="-2"/>
              </w:rPr>
              <w:t>should</w:t>
            </w:r>
          </w:p>
          <w:p w14:paraId="0DFDBC1F" w14:textId="77777777" w:rsidR="00046465" w:rsidRDefault="008134EB">
            <w:pPr>
              <w:pStyle w:val="TableParagraph"/>
              <w:numPr>
                <w:ilvl w:val="1"/>
                <w:numId w:val="152"/>
              </w:numPr>
              <w:tabs>
                <w:tab w:val="left" w:pos="884"/>
                <w:tab w:val="left" w:pos="921"/>
              </w:tabs>
              <w:spacing w:before="144"/>
              <w:ind w:left="921" w:right="729" w:hanging="361"/>
            </w:pPr>
            <w:r>
              <w:t>identify the control deficiencies that allowed the noncompliance</w:t>
            </w:r>
            <w:r>
              <w:rPr>
                <w:spacing w:val="-7"/>
              </w:rPr>
              <w:t xml:space="preserve"> </w:t>
            </w:r>
            <w:r>
              <w:t>to</w:t>
            </w:r>
            <w:r>
              <w:rPr>
                <w:spacing w:val="-7"/>
              </w:rPr>
              <w:t xml:space="preserve"> </w:t>
            </w:r>
            <w:r>
              <w:t>occur,</w:t>
            </w:r>
            <w:r>
              <w:rPr>
                <w:spacing w:val="-7"/>
              </w:rPr>
              <w:t xml:space="preserve"> </w:t>
            </w:r>
            <w:r>
              <w:t>if</w:t>
            </w:r>
            <w:r>
              <w:rPr>
                <w:spacing w:val="-7"/>
              </w:rPr>
              <w:t xml:space="preserve"> </w:t>
            </w:r>
            <w:r>
              <w:t>not</w:t>
            </w:r>
            <w:r>
              <w:rPr>
                <w:spacing w:val="-7"/>
              </w:rPr>
              <w:t xml:space="preserve"> </w:t>
            </w:r>
            <w:r>
              <w:t>previously</w:t>
            </w:r>
            <w:r>
              <w:rPr>
                <w:spacing w:val="-7"/>
              </w:rPr>
              <w:t xml:space="preserve"> </w:t>
            </w:r>
            <w:r>
              <w:t>identified during compliance control testing;</w:t>
            </w:r>
          </w:p>
          <w:p w14:paraId="0DFDBC20" w14:textId="77777777" w:rsidR="00046465" w:rsidRDefault="008134EB">
            <w:pPr>
              <w:pStyle w:val="TableParagraph"/>
              <w:numPr>
                <w:ilvl w:val="1"/>
                <w:numId w:val="152"/>
              </w:numPr>
              <w:tabs>
                <w:tab w:val="left" w:pos="884"/>
                <w:tab w:val="left" w:pos="921"/>
              </w:tabs>
              <w:spacing w:before="143"/>
              <w:ind w:left="921" w:right="509" w:hanging="360"/>
            </w:pPr>
            <w:r>
              <w:t>determine</w:t>
            </w:r>
            <w:r>
              <w:rPr>
                <w:spacing w:val="-5"/>
              </w:rPr>
              <w:t xml:space="preserve"> </w:t>
            </w:r>
            <w:r>
              <w:t>the</w:t>
            </w:r>
            <w:r>
              <w:rPr>
                <w:spacing w:val="-5"/>
              </w:rPr>
              <w:t xml:space="preserve"> </w:t>
            </w:r>
            <w:r>
              <w:t>impact</w:t>
            </w:r>
            <w:r>
              <w:rPr>
                <w:spacing w:val="-5"/>
              </w:rPr>
              <w:t xml:space="preserve"> </w:t>
            </w:r>
            <w:r>
              <w:t>on</w:t>
            </w:r>
            <w:r>
              <w:rPr>
                <w:spacing w:val="-5"/>
              </w:rPr>
              <w:t xml:space="preserve"> </w:t>
            </w:r>
            <w:r>
              <w:t>the</w:t>
            </w:r>
            <w:r>
              <w:rPr>
                <w:spacing w:val="-5"/>
              </w:rPr>
              <w:t xml:space="preserve"> </w:t>
            </w:r>
            <w:r>
              <w:t>report</w:t>
            </w:r>
            <w:r>
              <w:rPr>
                <w:spacing w:val="-5"/>
              </w:rPr>
              <w:t xml:space="preserve"> </w:t>
            </w:r>
            <w:r>
              <w:t>on</w:t>
            </w:r>
            <w:r>
              <w:rPr>
                <w:spacing w:val="-5"/>
              </w:rPr>
              <w:t xml:space="preserve"> </w:t>
            </w:r>
            <w:r>
              <w:t>internal</w:t>
            </w:r>
            <w:r>
              <w:rPr>
                <w:spacing w:val="-5"/>
              </w:rPr>
              <w:t xml:space="preserve"> </w:t>
            </w:r>
            <w:r>
              <w:t>control over financial reporting (see the Internal Control subsection in FAM 580);</w:t>
            </w:r>
          </w:p>
          <w:p w14:paraId="0DFDBC21" w14:textId="77777777" w:rsidR="00046465" w:rsidRDefault="008134EB">
            <w:pPr>
              <w:pStyle w:val="TableParagraph"/>
              <w:numPr>
                <w:ilvl w:val="1"/>
                <w:numId w:val="152"/>
              </w:numPr>
              <w:tabs>
                <w:tab w:val="left" w:pos="910"/>
                <w:tab w:val="left" w:pos="921"/>
              </w:tabs>
              <w:spacing w:before="142"/>
              <w:ind w:left="921" w:right="508" w:hanging="360"/>
            </w:pPr>
            <w:r>
              <w:t>consider</w:t>
            </w:r>
            <w:r>
              <w:rPr>
                <w:spacing w:val="-7"/>
              </w:rPr>
              <w:t xml:space="preserve"> </w:t>
            </w:r>
            <w:r>
              <w:t>the</w:t>
            </w:r>
            <w:r>
              <w:rPr>
                <w:spacing w:val="-7"/>
              </w:rPr>
              <w:t xml:space="preserve"> </w:t>
            </w:r>
            <w:r>
              <w:t>implications</w:t>
            </w:r>
            <w:r>
              <w:rPr>
                <w:spacing w:val="-7"/>
              </w:rPr>
              <w:t xml:space="preserve"> </w:t>
            </w:r>
            <w:r>
              <w:t>on</w:t>
            </w:r>
            <w:r>
              <w:rPr>
                <w:spacing w:val="-7"/>
              </w:rPr>
              <w:t xml:space="preserve"> </w:t>
            </w:r>
            <w:r>
              <w:t>the</w:t>
            </w:r>
            <w:r>
              <w:rPr>
                <w:spacing w:val="-7"/>
              </w:rPr>
              <w:t xml:space="preserve"> </w:t>
            </w:r>
            <w:r>
              <w:t>financial</w:t>
            </w:r>
            <w:r>
              <w:rPr>
                <w:spacing w:val="-7"/>
              </w:rPr>
              <w:t xml:space="preserve"> </w:t>
            </w:r>
            <w:r>
              <w:t xml:space="preserve">statements; </w:t>
            </w:r>
            <w:r>
              <w:rPr>
                <w:spacing w:val="-4"/>
              </w:rPr>
              <w:t>and</w:t>
            </w:r>
          </w:p>
          <w:p w14:paraId="0DFDBC22" w14:textId="77777777" w:rsidR="00046465" w:rsidRDefault="008134EB">
            <w:pPr>
              <w:pStyle w:val="TableParagraph"/>
              <w:numPr>
                <w:ilvl w:val="1"/>
                <w:numId w:val="152"/>
              </w:numPr>
              <w:tabs>
                <w:tab w:val="left" w:pos="910"/>
                <w:tab w:val="left" w:pos="921"/>
              </w:tabs>
              <w:spacing w:before="143"/>
              <w:ind w:left="921" w:right="288" w:hanging="361"/>
            </w:pPr>
            <w:r>
              <w:t>report</w:t>
            </w:r>
            <w:r>
              <w:rPr>
                <w:spacing w:val="-6"/>
              </w:rPr>
              <w:t xml:space="preserve"> </w:t>
            </w:r>
            <w:r>
              <w:t>instances</w:t>
            </w:r>
            <w:r>
              <w:rPr>
                <w:spacing w:val="-6"/>
              </w:rPr>
              <w:t xml:space="preserve"> </w:t>
            </w:r>
            <w:r>
              <w:t>of</w:t>
            </w:r>
            <w:r>
              <w:rPr>
                <w:spacing w:val="-6"/>
              </w:rPr>
              <w:t xml:space="preserve"> </w:t>
            </w:r>
            <w:r>
              <w:t>noncompliance,</w:t>
            </w:r>
            <w:r>
              <w:rPr>
                <w:spacing w:val="-7"/>
              </w:rPr>
              <w:t xml:space="preserve"> </w:t>
            </w:r>
            <w:r>
              <w:t>as</w:t>
            </w:r>
            <w:r>
              <w:rPr>
                <w:spacing w:val="-6"/>
              </w:rPr>
              <w:t xml:space="preserve"> </w:t>
            </w:r>
            <w:r>
              <w:t>appropriate</w:t>
            </w:r>
            <w:r>
              <w:rPr>
                <w:spacing w:val="-6"/>
              </w:rPr>
              <w:t xml:space="preserve"> </w:t>
            </w:r>
            <w:r>
              <w:t>(see the Compliance with Applicable Laws, Regulations, Contracts, and Grant Agreements and Instances of Fraud subsection in FAM 580).</w:t>
            </w:r>
          </w:p>
        </w:tc>
        <w:tc>
          <w:tcPr>
            <w:tcW w:w="1320" w:type="dxa"/>
            <w:tcBorders>
              <w:top w:val="single" w:sz="6" w:space="0" w:color="000000"/>
              <w:left w:val="single" w:sz="6" w:space="0" w:color="000000"/>
              <w:bottom w:val="single" w:sz="6" w:space="0" w:color="000000"/>
              <w:right w:val="single" w:sz="6" w:space="0" w:color="000000"/>
            </w:tcBorders>
          </w:tcPr>
          <w:p w14:paraId="0DFDBC23" w14:textId="77777777" w:rsidR="00046465" w:rsidRDefault="00046465">
            <w:pPr>
              <w:pStyle w:val="TableParagraph"/>
              <w:rPr>
                <w:rFonts w:ascii="Times New Roman"/>
                <w:sz w:val="20"/>
              </w:rPr>
            </w:pPr>
          </w:p>
        </w:tc>
        <w:tc>
          <w:tcPr>
            <w:tcW w:w="1320" w:type="dxa"/>
            <w:tcBorders>
              <w:top w:val="single" w:sz="6" w:space="0" w:color="000000"/>
              <w:left w:val="single" w:sz="6" w:space="0" w:color="000000"/>
              <w:bottom w:val="single" w:sz="6" w:space="0" w:color="000000"/>
            </w:tcBorders>
          </w:tcPr>
          <w:p w14:paraId="0DFDBC24" w14:textId="77777777" w:rsidR="00046465" w:rsidRDefault="00046465">
            <w:pPr>
              <w:pStyle w:val="TableParagraph"/>
              <w:rPr>
                <w:rFonts w:ascii="Times New Roman"/>
                <w:sz w:val="20"/>
              </w:rPr>
            </w:pPr>
          </w:p>
        </w:tc>
      </w:tr>
      <w:tr w:rsidR="00046465" w14:paraId="0DFDBC29" w14:textId="77777777">
        <w:trPr>
          <w:trHeight w:val="795"/>
        </w:trPr>
        <w:tc>
          <w:tcPr>
            <w:tcW w:w="6600" w:type="dxa"/>
            <w:tcBorders>
              <w:top w:val="single" w:sz="6" w:space="0" w:color="000000"/>
              <w:right w:val="single" w:sz="6" w:space="0" w:color="000000"/>
            </w:tcBorders>
          </w:tcPr>
          <w:p w14:paraId="0DFDBC26" w14:textId="77777777" w:rsidR="00046465" w:rsidRDefault="008134EB">
            <w:pPr>
              <w:pStyle w:val="TableParagraph"/>
              <w:tabs>
                <w:tab w:val="left" w:pos="561"/>
              </w:tabs>
              <w:spacing w:before="145"/>
              <w:ind w:left="561" w:right="381" w:hanging="432"/>
            </w:pPr>
            <w:r>
              <w:rPr>
                <w:spacing w:val="-6"/>
              </w:rPr>
              <w:t>9.</w:t>
            </w:r>
            <w:r>
              <w:tab/>
              <w:t>Document</w:t>
            </w:r>
            <w:r>
              <w:rPr>
                <w:spacing w:val="-7"/>
              </w:rPr>
              <w:t xml:space="preserve"> </w:t>
            </w:r>
            <w:r>
              <w:t>conclusions</w:t>
            </w:r>
            <w:r>
              <w:rPr>
                <w:spacing w:val="-7"/>
              </w:rPr>
              <w:t xml:space="preserve"> </w:t>
            </w:r>
            <w:r>
              <w:t>on</w:t>
            </w:r>
            <w:r>
              <w:rPr>
                <w:spacing w:val="-7"/>
              </w:rPr>
              <w:t xml:space="preserve"> </w:t>
            </w:r>
            <w:r>
              <w:t>compliance</w:t>
            </w:r>
            <w:r>
              <w:rPr>
                <w:spacing w:val="-7"/>
              </w:rPr>
              <w:t xml:space="preserve"> </w:t>
            </w:r>
            <w:r>
              <w:t>with</w:t>
            </w:r>
            <w:r>
              <w:rPr>
                <w:spacing w:val="-7"/>
              </w:rPr>
              <w:t xml:space="preserve"> </w:t>
            </w:r>
            <w:r>
              <w:t>each</w:t>
            </w:r>
            <w:r>
              <w:rPr>
                <w:spacing w:val="-7"/>
              </w:rPr>
              <w:t xml:space="preserve"> </w:t>
            </w:r>
            <w:r>
              <w:t>provision on Form 808, Compliance Summary.</w:t>
            </w:r>
          </w:p>
        </w:tc>
        <w:tc>
          <w:tcPr>
            <w:tcW w:w="1320" w:type="dxa"/>
            <w:tcBorders>
              <w:top w:val="single" w:sz="6" w:space="0" w:color="000000"/>
              <w:left w:val="single" w:sz="6" w:space="0" w:color="000000"/>
              <w:right w:val="single" w:sz="6" w:space="0" w:color="000000"/>
            </w:tcBorders>
          </w:tcPr>
          <w:p w14:paraId="0DFDBC27" w14:textId="77777777" w:rsidR="00046465" w:rsidRDefault="00046465">
            <w:pPr>
              <w:pStyle w:val="TableParagraph"/>
              <w:rPr>
                <w:rFonts w:ascii="Times New Roman"/>
                <w:sz w:val="20"/>
              </w:rPr>
            </w:pPr>
          </w:p>
        </w:tc>
        <w:tc>
          <w:tcPr>
            <w:tcW w:w="1320" w:type="dxa"/>
            <w:tcBorders>
              <w:top w:val="single" w:sz="6" w:space="0" w:color="000000"/>
              <w:left w:val="single" w:sz="6" w:space="0" w:color="000000"/>
            </w:tcBorders>
          </w:tcPr>
          <w:p w14:paraId="0DFDBC28" w14:textId="77777777" w:rsidR="00046465" w:rsidRDefault="00046465">
            <w:pPr>
              <w:pStyle w:val="TableParagraph"/>
              <w:rPr>
                <w:rFonts w:ascii="Times New Roman"/>
                <w:sz w:val="20"/>
              </w:rPr>
            </w:pPr>
          </w:p>
        </w:tc>
      </w:tr>
    </w:tbl>
    <w:p w14:paraId="0DFDBC2A" w14:textId="77777777" w:rsidR="00046465" w:rsidRDefault="008134EB">
      <w:pPr>
        <w:tabs>
          <w:tab w:val="left" w:pos="1331"/>
        </w:tabs>
        <w:spacing w:before="130"/>
        <w:ind w:left="1331" w:right="46" w:hanging="972"/>
        <w:rPr>
          <w:i/>
        </w:rPr>
      </w:pPr>
      <w:r>
        <w:rPr>
          <w:b/>
          <w:spacing w:val="-2"/>
        </w:rPr>
        <w:t>Note:</w:t>
      </w:r>
      <w:r>
        <w:rPr>
          <w:b/>
        </w:rPr>
        <w:tab/>
      </w:r>
      <w:r>
        <w:t>If the entity outsources payroll processing, then the entity remains responsible for compliance. Dividing responsibility for payroll processing activities between the entity and the service organization could make payroll testing more complicated; however, the auditor should perform the same testing. The auditor may accomplish this testing with the assistance of the service auditor, which may issue an internal control report on</w:t>
      </w:r>
      <w:r>
        <w:rPr>
          <w:spacing w:val="-4"/>
        </w:rPr>
        <w:t xml:space="preserve"> </w:t>
      </w:r>
      <w:r>
        <w:t>the</w:t>
      </w:r>
      <w:r>
        <w:rPr>
          <w:spacing w:val="-4"/>
        </w:rPr>
        <w:t xml:space="preserve"> </w:t>
      </w:r>
      <w:r>
        <w:t>service</w:t>
      </w:r>
      <w:r>
        <w:rPr>
          <w:spacing w:val="-4"/>
        </w:rPr>
        <w:t xml:space="preserve"> </w:t>
      </w:r>
      <w:r>
        <w:t>organization</w:t>
      </w:r>
      <w:r>
        <w:rPr>
          <w:spacing w:val="-4"/>
        </w:rPr>
        <w:t xml:space="preserve"> </w:t>
      </w:r>
      <w:r>
        <w:t>under</w:t>
      </w:r>
      <w:r>
        <w:rPr>
          <w:spacing w:val="-4"/>
        </w:rPr>
        <w:t xml:space="preserve"> </w:t>
      </w:r>
      <w:r>
        <w:t>AT-C</w:t>
      </w:r>
      <w:r>
        <w:rPr>
          <w:spacing w:val="-4"/>
        </w:rPr>
        <w:t xml:space="preserve"> </w:t>
      </w:r>
      <w:r>
        <w:t>320,</w:t>
      </w:r>
      <w:r>
        <w:rPr>
          <w:spacing w:val="-4"/>
        </w:rPr>
        <w:t xml:space="preserve"> </w:t>
      </w:r>
      <w:r>
        <w:rPr>
          <w:i/>
        </w:rPr>
        <w:t>Reporting</w:t>
      </w:r>
      <w:r>
        <w:rPr>
          <w:i/>
          <w:spacing w:val="-4"/>
        </w:rPr>
        <w:t xml:space="preserve"> </w:t>
      </w:r>
      <w:r>
        <w:rPr>
          <w:i/>
        </w:rPr>
        <w:t>on</w:t>
      </w:r>
      <w:r>
        <w:rPr>
          <w:i/>
          <w:spacing w:val="-4"/>
        </w:rPr>
        <w:t xml:space="preserve"> </w:t>
      </w:r>
      <w:r>
        <w:rPr>
          <w:i/>
        </w:rPr>
        <w:t>an</w:t>
      </w:r>
      <w:r>
        <w:rPr>
          <w:i/>
          <w:spacing w:val="-4"/>
        </w:rPr>
        <w:t xml:space="preserve"> </w:t>
      </w:r>
      <w:r>
        <w:rPr>
          <w:i/>
        </w:rPr>
        <w:t>Examination</w:t>
      </w:r>
      <w:r>
        <w:rPr>
          <w:i/>
          <w:spacing w:val="-4"/>
        </w:rPr>
        <w:t xml:space="preserve"> </w:t>
      </w:r>
      <w:r>
        <w:rPr>
          <w:i/>
        </w:rPr>
        <w:t>of</w:t>
      </w:r>
      <w:r>
        <w:rPr>
          <w:i/>
          <w:spacing w:val="-4"/>
        </w:rPr>
        <w:t xml:space="preserve"> </w:t>
      </w:r>
      <w:r>
        <w:rPr>
          <w:i/>
        </w:rPr>
        <w:t>Controls at a Service Organization Relevant to User Entities’ Internal Control Over Financial</w:t>
      </w:r>
    </w:p>
    <w:p w14:paraId="0DFDBC2B" w14:textId="77777777" w:rsidR="00046465" w:rsidRDefault="00046465">
      <w:pPr>
        <w:rPr>
          <w:i/>
        </w:rPr>
        <w:sectPr w:rsidR="00046465">
          <w:pgSz w:w="12240" w:h="15840"/>
          <w:pgMar w:top="1380" w:right="1440" w:bottom="940" w:left="1080" w:header="721" w:footer="742" w:gutter="0"/>
          <w:cols w:space="720"/>
        </w:sectPr>
      </w:pPr>
    </w:p>
    <w:p w14:paraId="0DFDBC2C" w14:textId="77777777" w:rsidR="00046465" w:rsidRDefault="008134EB">
      <w:pPr>
        <w:pStyle w:val="BodyText"/>
        <w:spacing w:before="82"/>
        <w:ind w:left="1332"/>
      </w:pPr>
      <w:r>
        <w:rPr>
          <w:i/>
        </w:rPr>
        <w:lastRenderedPageBreak/>
        <w:t>Reporting</w:t>
      </w:r>
      <w:r>
        <w:t>. Another approach may be for the service auditor to assist the entity’s auditor by performing agreed-upon procedures at the service organization (e.g., substantive</w:t>
      </w:r>
      <w:r>
        <w:rPr>
          <w:spacing w:val="-6"/>
        </w:rPr>
        <w:t xml:space="preserve"> </w:t>
      </w:r>
      <w:r>
        <w:t>testing)</w:t>
      </w:r>
      <w:r>
        <w:rPr>
          <w:spacing w:val="-5"/>
        </w:rPr>
        <w:t xml:space="preserve"> </w:t>
      </w:r>
      <w:r>
        <w:t>under</w:t>
      </w:r>
      <w:r>
        <w:rPr>
          <w:spacing w:val="-5"/>
        </w:rPr>
        <w:t xml:space="preserve"> </w:t>
      </w:r>
      <w:r>
        <w:t>AT-C</w:t>
      </w:r>
      <w:r>
        <w:rPr>
          <w:spacing w:val="-6"/>
        </w:rPr>
        <w:t xml:space="preserve"> </w:t>
      </w:r>
      <w:r>
        <w:t>215,</w:t>
      </w:r>
      <w:r>
        <w:rPr>
          <w:spacing w:val="-5"/>
        </w:rPr>
        <w:t xml:space="preserve"> </w:t>
      </w:r>
      <w:r>
        <w:rPr>
          <w:i/>
        </w:rPr>
        <w:t>Agreed-Upon</w:t>
      </w:r>
      <w:r>
        <w:rPr>
          <w:i/>
          <w:spacing w:val="-5"/>
        </w:rPr>
        <w:t xml:space="preserve"> </w:t>
      </w:r>
      <w:r>
        <w:rPr>
          <w:i/>
        </w:rPr>
        <w:t>Procedures</w:t>
      </w:r>
      <w:r>
        <w:rPr>
          <w:i/>
          <w:spacing w:val="-5"/>
        </w:rPr>
        <w:t xml:space="preserve"> </w:t>
      </w:r>
      <w:r>
        <w:rPr>
          <w:i/>
        </w:rPr>
        <w:t>Engagements</w:t>
      </w:r>
      <w:r>
        <w:rPr>
          <w:i/>
          <w:spacing w:val="-4"/>
        </w:rPr>
        <w:t xml:space="preserve"> </w:t>
      </w:r>
      <w:r>
        <w:t>(see FAM 710).</w:t>
      </w:r>
    </w:p>
    <w:p w14:paraId="0DFDBC2D" w14:textId="77777777" w:rsidR="00046465" w:rsidRDefault="00046465">
      <w:pPr>
        <w:pStyle w:val="BodyText"/>
        <w:sectPr w:rsidR="00046465">
          <w:pgSz w:w="12240" w:h="15840"/>
          <w:pgMar w:top="1380" w:right="1440" w:bottom="940" w:left="1080" w:header="721" w:footer="742" w:gutter="0"/>
          <w:cols w:space="720"/>
        </w:sectPr>
      </w:pPr>
    </w:p>
    <w:p w14:paraId="0DFDBC2E" w14:textId="77777777" w:rsidR="00046465" w:rsidRDefault="008134EB">
      <w:pPr>
        <w:pStyle w:val="Heading3"/>
        <w:spacing w:before="80"/>
        <w:ind w:right="422"/>
        <w:rPr>
          <w:u w:val="none"/>
        </w:rPr>
      </w:pPr>
      <w:bookmarkStart w:id="234" w:name="809_–_Federal_Employees_Health_Benefits_"/>
      <w:bookmarkStart w:id="235" w:name="_bookmark125"/>
      <w:bookmarkEnd w:id="234"/>
      <w:bookmarkEnd w:id="235"/>
      <w:r>
        <w:lastRenderedPageBreak/>
        <w:t>809</w:t>
      </w:r>
      <w:r>
        <w:rPr>
          <w:spacing w:val="-4"/>
        </w:rPr>
        <w:t xml:space="preserve"> </w:t>
      </w:r>
      <w:r>
        <w:t>–</w:t>
      </w:r>
      <w:r>
        <w:rPr>
          <w:spacing w:val="-3"/>
        </w:rPr>
        <w:t xml:space="preserve"> </w:t>
      </w:r>
      <w:r>
        <w:t>Federal</w:t>
      </w:r>
      <w:r>
        <w:rPr>
          <w:spacing w:val="-5"/>
        </w:rPr>
        <w:t xml:space="preserve"> </w:t>
      </w:r>
      <w:r>
        <w:t>Employees</w:t>
      </w:r>
      <w:r>
        <w:rPr>
          <w:spacing w:val="-3"/>
        </w:rPr>
        <w:t xml:space="preserve"> </w:t>
      </w:r>
      <w:r>
        <w:t>Health</w:t>
      </w:r>
      <w:r>
        <w:rPr>
          <w:spacing w:val="-4"/>
        </w:rPr>
        <w:t xml:space="preserve"> </w:t>
      </w:r>
      <w:r>
        <w:t>Benefits</w:t>
      </w:r>
      <w:r>
        <w:rPr>
          <w:spacing w:val="-14"/>
        </w:rPr>
        <w:t xml:space="preserve"> </w:t>
      </w:r>
      <w:r>
        <w:t>Act</w:t>
      </w:r>
      <w:r>
        <w:rPr>
          <w:spacing w:val="-4"/>
        </w:rPr>
        <w:t xml:space="preserve"> </w:t>
      </w:r>
      <w:r>
        <w:t>(FEHBA),</w:t>
      </w:r>
      <w:r>
        <w:rPr>
          <w:spacing w:val="-4"/>
        </w:rPr>
        <w:t xml:space="preserve"> </w:t>
      </w:r>
      <w:r>
        <w:t>as</w:t>
      </w:r>
      <w:r>
        <w:rPr>
          <w:spacing w:val="-3"/>
        </w:rPr>
        <w:t xml:space="preserve"> </w:t>
      </w:r>
      <w:bookmarkStart w:id="236" w:name="_bookmark126"/>
      <w:bookmarkEnd w:id="236"/>
      <w:r>
        <w:t>Pr</w:t>
      </w:r>
      <w:bookmarkStart w:id="237" w:name="_bookmark127"/>
      <w:bookmarkEnd w:id="237"/>
      <w:r>
        <w:t>ovided</w:t>
      </w:r>
      <w:r>
        <w:rPr>
          <w:spacing w:val="-5"/>
        </w:rPr>
        <w:t xml:space="preserve"> </w:t>
      </w:r>
      <w:r>
        <w:t>in</w:t>
      </w:r>
      <w:r>
        <w:rPr>
          <w:spacing w:val="-4"/>
        </w:rPr>
        <w:t xml:space="preserve"> </w:t>
      </w:r>
      <w:r>
        <w:t>5</w:t>
      </w:r>
      <w:r>
        <w:rPr>
          <w:spacing w:val="-3"/>
        </w:rPr>
        <w:t xml:space="preserve"> </w:t>
      </w:r>
      <w:r>
        <w:t>U.S.C.</w:t>
      </w:r>
      <w:r>
        <w:rPr>
          <w:spacing w:val="-4"/>
        </w:rPr>
        <w:t xml:space="preserve"> </w:t>
      </w:r>
      <w:r>
        <w:t>Chapter</w:t>
      </w:r>
      <w:r>
        <w:rPr>
          <w:u w:val="none"/>
        </w:rPr>
        <w:t xml:space="preserve"> </w:t>
      </w:r>
      <w:r>
        <w:rPr>
          <w:spacing w:val="-6"/>
        </w:rPr>
        <w:t>89</w:t>
      </w:r>
    </w:p>
    <w:p w14:paraId="0DFDBC2F" w14:textId="77777777" w:rsidR="00046465" w:rsidRDefault="008134EB">
      <w:pPr>
        <w:pStyle w:val="BodyText"/>
        <w:spacing w:before="239"/>
        <w:ind w:left="360" w:right="422"/>
      </w:pPr>
      <w:r>
        <w:t>Note:</w:t>
      </w:r>
      <w:r>
        <w:rPr>
          <w:spacing w:val="-3"/>
        </w:rPr>
        <w:t xml:space="preserve"> </w:t>
      </w:r>
      <w:r>
        <w:t>The</w:t>
      </w:r>
      <w:r>
        <w:rPr>
          <w:spacing w:val="-3"/>
        </w:rPr>
        <w:t xml:space="preserve"> </w:t>
      </w:r>
      <w:r>
        <w:t>auditor</w:t>
      </w:r>
      <w:r>
        <w:rPr>
          <w:spacing w:val="-3"/>
        </w:rPr>
        <w:t xml:space="preserve"> </w:t>
      </w:r>
      <w:r>
        <w:t>should</w:t>
      </w:r>
      <w:r>
        <w:rPr>
          <w:spacing w:val="-3"/>
        </w:rPr>
        <w:t xml:space="preserve"> </w:t>
      </w:r>
      <w:r>
        <w:t>complete</w:t>
      </w:r>
      <w:r>
        <w:rPr>
          <w:spacing w:val="-3"/>
        </w:rPr>
        <w:t xml:space="preserve"> </w:t>
      </w:r>
      <w:r>
        <w:t>this</w:t>
      </w:r>
      <w:r>
        <w:rPr>
          <w:spacing w:val="-3"/>
        </w:rPr>
        <w:t xml:space="preserve"> </w:t>
      </w:r>
      <w:r>
        <w:t>compliance</w:t>
      </w:r>
      <w:r>
        <w:rPr>
          <w:spacing w:val="-3"/>
        </w:rPr>
        <w:t xml:space="preserve"> </w:t>
      </w:r>
      <w:r>
        <w:t>summary</w:t>
      </w:r>
      <w:r>
        <w:rPr>
          <w:spacing w:val="-3"/>
        </w:rPr>
        <w:t xml:space="preserve"> </w:t>
      </w:r>
      <w:r>
        <w:t>or</w:t>
      </w:r>
      <w:r>
        <w:rPr>
          <w:spacing w:val="-3"/>
        </w:rPr>
        <w:t xml:space="preserve"> </w:t>
      </w:r>
      <w:r>
        <w:t>prepare</w:t>
      </w:r>
      <w:r>
        <w:rPr>
          <w:spacing w:val="-3"/>
        </w:rPr>
        <w:t xml:space="preserve"> </w:t>
      </w:r>
      <w:r>
        <w:t>equivalent</w:t>
      </w:r>
      <w:r>
        <w:rPr>
          <w:spacing w:val="-3"/>
        </w:rPr>
        <w:t xml:space="preserve"> </w:t>
      </w:r>
      <w:r>
        <w:t>documentation</w:t>
      </w:r>
      <w:r>
        <w:rPr>
          <w:spacing w:val="-3"/>
        </w:rPr>
        <w:t xml:space="preserve"> </w:t>
      </w:r>
      <w:r>
        <w:t>only</w:t>
      </w:r>
      <w:r>
        <w:rPr>
          <w:spacing w:val="-3"/>
        </w:rPr>
        <w:t xml:space="preserve"> </w:t>
      </w:r>
      <w:r>
        <w:t>if</w:t>
      </w:r>
      <w:r>
        <w:rPr>
          <w:spacing w:val="-3"/>
        </w:rPr>
        <w:t xml:space="preserve"> </w:t>
      </w:r>
      <w:r>
        <w:t>provisions</w:t>
      </w:r>
      <w:r>
        <w:rPr>
          <w:spacing w:val="-3"/>
        </w:rPr>
        <w:t xml:space="preserve"> </w:t>
      </w:r>
      <w:r>
        <w:t>of</w:t>
      </w:r>
      <w:r>
        <w:rPr>
          <w:spacing w:val="-3"/>
        </w:rPr>
        <w:t xml:space="preserve"> </w:t>
      </w:r>
      <w:r>
        <w:t>the</w:t>
      </w:r>
      <w:r>
        <w:rPr>
          <w:spacing w:val="-3"/>
        </w:rPr>
        <w:t xml:space="preserve"> </w:t>
      </w:r>
      <w:r>
        <w:t>Federal Employees Health Benefits Act (FEHBA), as provided in 5 U.S.C. chapter 89, are significant, as indicated on Form 802, General Compliance Checklist.</w:t>
      </w:r>
    </w:p>
    <w:p w14:paraId="0DFDBC30" w14:textId="77777777" w:rsidR="00046465" w:rsidRDefault="00046465">
      <w:pPr>
        <w:pStyle w:val="BodyText"/>
        <w:spacing w:before="5"/>
        <w:rPr>
          <w:sz w:val="13"/>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600"/>
        <w:gridCol w:w="2086"/>
        <w:gridCol w:w="1803"/>
        <w:gridCol w:w="1901"/>
        <w:gridCol w:w="2303"/>
        <w:gridCol w:w="70"/>
        <w:gridCol w:w="2624"/>
      </w:tblGrid>
      <w:tr w:rsidR="00046465" w14:paraId="0DFDBC37" w14:textId="77777777">
        <w:trPr>
          <w:trHeight w:val="531"/>
        </w:trPr>
        <w:tc>
          <w:tcPr>
            <w:tcW w:w="2600" w:type="dxa"/>
            <w:tcBorders>
              <w:bottom w:val="nil"/>
              <w:right w:val="nil"/>
            </w:tcBorders>
          </w:tcPr>
          <w:p w14:paraId="0DFDBC31" w14:textId="77777777" w:rsidR="00046465" w:rsidRDefault="008134EB">
            <w:pPr>
              <w:pStyle w:val="TableParagraph"/>
              <w:spacing w:before="144"/>
              <w:ind w:right="378"/>
              <w:jc w:val="center"/>
            </w:pPr>
            <w:r>
              <w:t>Name</w:t>
            </w:r>
            <w:r>
              <w:rPr>
                <w:spacing w:val="-5"/>
              </w:rPr>
              <w:t xml:space="preserve"> </w:t>
            </w:r>
            <w:r>
              <w:t>of</w:t>
            </w:r>
            <w:r>
              <w:rPr>
                <w:spacing w:val="-5"/>
              </w:rPr>
              <w:t xml:space="preserve"> </w:t>
            </w:r>
            <w:r>
              <w:rPr>
                <w:spacing w:val="-2"/>
              </w:rPr>
              <w:t>entity:</w:t>
            </w:r>
          </w:p>
        </w:tc>
        <w:tc>
          <w:tcPr>
            <w:tcW w:w="2086" w:type="dxa"/>
            <w:vMerge w:val="restart"/>
            <w:tcBorders>
              <w:left w:val="nil"/>
              <w:right w:val="nil"/>
            </w:tcBorders>
          </w:tcPr>
          <w:p w14:paraId="0DFDBC32" w14:textId="77777777" w:rsidR="00046465" w:rsidRDefault="00046465">
            <w:pPr>
              <w:pStyle w:val="TableParagraph"/>
              <w:rPr>
                <w:rFonts w:ascii="Times New Roman"/>
                <w:sz w:val="18"/>
              </w:rPr>
            </w:pPr>
          </w:p>
        </w:tc>
        <w:tc>
          <w:tcPr>
            <w:tcW w:w="3704" w:type="dxa"/>
            <w:gridSpan w:val="2"/>
            <w:vMerge w:val="restart"/>
            <w:tcBorders>
              <w:left w:val="nil"/>
              <w:right w:val="nil"/>
            </w:tcBorders>
          </w:tcPr>
          <w:p w14:paraId="0DFDBC33" w14:textId="77777777" w:rsidR="00046465" w:rsidRDefault="00046465">
            <w:pPr>
              <w:pStyle w:val="TableParagraph"/>
              <w:spacing w:before="133"/>
              <w:rPr>
                <w:sz w:val="24"/>
              </w:rPr>
            </w:pPr>
          </w:p>
          <w:p w14:paraId="0DFDBC34" w14:textId="77777777" w:rsidR="00046465" w:rsidRDefault="008134EB">
            <w:pPr>
              <w:pStyle w:val="TableParagraph"/>
              <w:ind w:left="532"/>
              <w:rPr>
                <w:b/>
                <w:sz w:val="24"/>
              </w:rPr>
            </w:pPr>
            <w:r>
              <w:rPr>
                <w:b/>
                <w:sz w:val="24"/>
              </w:rPr>
              <w:t>Compliance</w:t>
            </w:r>
            <w:r>
              <w:rPr>
                <w:b/>
                <w:spacing w:val="-6"/>
                <w:sz w:val="24"/>
              </w:rPr>
              <w:t xml:space="preserve"> </w:t>
            </w:r>
            <w:r>
              <w:rPr>
                <w:b/>
                <w:spacing w:val="-2"/>
                <w:sz w:val="24"/>
              </w:rPr>
              <w:t>Summary</w:t>
            </w:r>
          </w:p>
        </w:tc>
        <w:tc>
          <w:tcPr>
            <w:tcW w:w="2373" w:type="dxa"/>
            <w:gridSpan w:val="2"/>
            <w:tcBorders>
              <w:left w:val="nil"/>
              <w:bottom w:val="nil"/>
              <w:right w:val="nil"/>
            </w:tcBorders>
          </w:tcPr>
          <w:p w14:paraId="0DFDBC35" w14:textId="77777777" w:rsidR="00046465" w:rsidRDefault="008134EB">
            <w:pPr>
              <w:pStyle w:val="TableParagraph"/>
              <w:spacing w:before="144"/>
              <w:ind w:left="1014"/>
            </w:pPr>
            <w:r>
              <w:t>Prepared</w:t>
            </w:r>
            <w:r>
              <w:rPr>
                <w:spacing w:val="-11"/>
              </w:rPr>
              <w:t xml:space="preserve"> </w:t>
            </w:r>
            <w:r>
              <w:rPr>
                <w:spacing w:val="-5"/>
              </w:rPr>
              <w:t>by:</w:t>
            </w:r>
          </w:p>
        </w:tc>
        <w:tc>
          <w:tcPr>
            <w:tcW w:w="2624" w:type="dxa"/>
            <w:tcBorders>
              <w:left w:val="nil"/>
              <w:bottom w:val="single" w:sz="4" w:space="0" w:color="000000"/>
            </w:tcBorders>
          </w:tcPr>
          <w:p w14:paraId="0DFDBC36" w14:textId="77777777" w:rsidR="00046465" w:rsidRDefault="00046465">
            <w:pPr>
              <w:pStyle w:val="TableParagraph"/>
              <w:rPr>
                <w:rFonts w:ascii="Times New Roman"/>
                <w:sz w:val="18"/>
              </w:rPr>
            </w:pPr>
          </w:p>
        </w:tc>
      </w:tr>
      <w:tr w:rsidR="00046465" w14:paraId="0DFDBC3D" w14:textId="77777777">
        <w:trPr>
          <w:trHeight w:val="520"/>
        </w:trPr>
        <w:tc>
          <w:tcPr>
            <w:tcW w:w="2600" w:type="dxa"/>
            <w:vMerge w:val="restart"/>
            <w:tcBorders>
              <w:top w:val="nil"/>
              <w:right w:val="nil"/>
            </w:tcBorders>
          </w:tcPr>
          <w:p w14:paraId="0DFDBC38" w14:textId="77777777" w:rsidR="00046465" w:rsidRDefault="008134EB">
            <w:pPr>
              <w:pStyle w:val="TableParagraph"/>
              <w:spacing w:before="134"/>
              <w:ind w:left="606"/>
            </w:pPr>
            <w:r>
              <w:rPr>
                <w:noProof/>
              </w:rPr>
              <mc:AlternateContent>
                <mc:Choice Requires="wpg">
                  <w:drawing>
                    <wp:anchor distT="0" distB="0" distL="0" distR="0" simplePos="0" relativeHeight="476161024" behindDoc="1" locked="0" layoutInCell="1" allowOverlap="1" wp14:anchorId="0DFDD6B5" wp14:editId="0DFDD6B6">
                      <wp:simplePos x="0" y="0"/>
                      <wp:positionH relativeFrom="column">
                        <wp:posOffset>1244346</wp:posOffset>
                      </wp:positionH>
                      <wp:positionV relativeFrom="paragraph">
                        <wp:posOffset>-12458</wp:posOffset>
                      </wp:positionV>
                      <wp:extent cx="1155700" cy="6350"/>
                      <wp:effectExtent l="0" t="0" r="0" b="0"/>
                      <wp:wrapNone/>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6350"/>
                                <a:chOff x="0" y="0"/>
                                <a:chExt cx="1155700" cy="6350"/>
                              </a:xfrm>
                            </wpg:grpSpPr>
                            <wps:wsp>
                              <wps:cNvPr id="766" name="Graphic 766"/>
                              <wps:cNvSpPr/>
                              <wps:spPr>
                                <a:xfrm>
                                  <a:off x="0" y="0"/>
                                  <a:ext cx="1155700" cy="6350"/>
                                </a:xfrm>
                                <a:custGeom>
                                  <a:avLst/>
                                  <a:gdLst/>
                                  <a:ahLst/>
                                  <a:cxnLst/>
                                  <a:rect l="l" t="t" r="r" b="b"/>
                                  <a:pathLst>
                                    <a:path w="1155700" h="6350">
                                      <a:moveTo>
                                        <a:pt x="1155179" y="0"/>
                                      </a:moveTo>
                                      <a:lnTo>
                                        <a:pt x="0" y="0"/>
                                      </a:lnTo>
                                      <a:lnTo>
                                        <a:pt x="0" y="6108"/>
                                      </a:lnTo>
                                      <a:lnTo>
                                        <a:pt x="1155179" y="6108"/>
                                      </a:lnTo>
                                      <a:lnTo>
                                        <a:pt x="1155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2B04A49" id="Group 765" o:spid="_x0000_s1026" style="position:absolute;margin-left:98pt;margin-top:-1pt;width:91pt;height:.5pt;z-index:-27155456;mso-wrap-distance-left:0;mso-wrap-distance-right:0" coordsize="115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">
                      <v:shape id="Graphic 766" o:spid="_x0000_s1027" style="position:absolute;width:11557;height:63;visibility:visible;mso-wrap-style:square;v-text-anchor:top" coordsize="1155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" path="m1155179,l,,,6108r1155179,l1155179,xe" fillcolor="black" stroked="f">
                        <v:path arrowok="t"/>
                      </v:shape>
                    </v:group>
                  </w:pict>
                </mc:Fallback>
              </mc:AlternateContent>
            </w:r>
            <w:r>
              <w:t>Audit</w:t>
            </w:r>
            <w:r>
              <w:rPr>
                <w:spacing w:val="-7"/>
              </w:rPr>
              <w:t xml:space="preserve"> </w:t>
            </w:r>
            <w:r>
              <w:rPr>
                <w:spacing w:val="-2"/>
              </w:rPr>
              <w:t>period:</w:t>
            </w:r>
          </w:p>
        </w:tc>
        <w:tc>
          <w:tcPr>
            <w:tcW w:w="2086" w:type="dxa"/>
            <w:vMerge/>
            <w:tcBorders>
              <w:top w:val="nil"/>
              <w:left w:val="nil"/>
              <w:right w:val="nil"/>
            </w:tcBorders>
          </w:tcPr>
          <w:p w14:paraId="0DFDBC39" w14:textId="77777777" w:rsidR="00046465" w:rsidRDefault="00046465">
            <w:pPr>
              <w:rPr>
                <w:sz w:val="2"/>
                <w:szCs w:val="2"/>
              </w:rPr>
            </w:pPr>
          </w:p>
        </w:tc>
        <w:tc>
          <w:tcPr>
            <w:tcW w:w="3704" w:type="dxa"/>
            <w:gridSpan w:val="2"/>
            <w:vMerge/>
            <w:tcBorders>
              <w:top w:val="nil"/>
              <w:left w:val="nil"/>
              <w:right w:val="nil"/>
            </w:tcBorders>
          </w:tcPr>
          <w:p w14:paraId="0DFDBC3A" w14:textId="77777777" w:rsidR="00046465" w:rsidRDefault="00046465">
            <w:pPr>
              <w:rPr>
                <w:sz w:val="2"/>
                <w:szCs w:val="2"/>
              </w:rPr>
            </w:pPr>
          </w:p>
        </w:tc>
        <w:tc>
          <w:tcPr>
            <w:tcW w:w="2373" w:type="dxa"/>
            <w:gridSpan w:val="2"/>
            <w:vMerge w:val="restart"/>
            <w:tcBorders>
              <w:top w:val="nil"/>
              <w:left w:val="nil"/>
              <w:right w:val="nil"/>
            </w:tcBorders>
          </w:tcPr>
          <w:p w14:paraId="0DFDBC3B" w14:textId="77777777" w:rsidR="00046465" w:rsidRDefault="008134EB">
            <w:pPr>
              <w:pStyle w:val="TableParagraph"/>
              <w:spacing w:before="134"/>
              <w:ind w:left="953"/>
            </w:pPr>
            <w:r>
              <w:t>Reviewed</w:t>
            </w:r>
            <w:r>
              <w:rPr>
                <w:spacing w:val="-12"/>
              </w:rPr>
              <w:t xml:space="preserve"> </w:t>
            </w:r>
            <w:r>
              <w:rPr>
                <w:spacing w:val="-5"/>
              </w:rPr>
              <w:t>by:</w:t>
            </w:r>
          </w:p>
        </w:tc>
        <w:tc>
          <w:tcPr>
            <w:tcW w:w="2624" w:type="dxa"/>
            <w:tcBorders>
              <w:top w:val="single" w:sz="4" w:space="0" w:color="000000"/>
              <w:left w:val="nil"/>
              <w:bottom w:val="single" w:sz="4" w:space="0" w:color="000000"/>
            </w:tcBorders>
          </w:tcPr>
          <w:p w14:paraId="0DFDBC3C" w14:textId="77777777" w:rsidR="00046465" w:rsidRDefault="00046465">
            <w:pPr>
              <w:pStyle w:val="TableParagraph"/>
              <w:rPr>
                <w:rFonts w:ascii="Times New Roman"/>
                <w:sz w:val="18"/>
              </w:rPr>
            </w:pPr>
          </w:p>
        </w:tc>
      </w:tr>
      <w:tr w:rsidR="00046465" w14:paraId="0DFDBC43" w14:textId="77777777">
        <w:trPr>
          <w:trHeight w:val="460"/>
        </w:trPr>
        <w:tc>
          <w:tcPr>
            <w:tcW w:w="2600" w:type="dxa"/>
            <w:vMerge/>
            <w:tcBorders>
              <w:top w:val="nil"/>
              <w:right w:val="nil"/>
            </w:tcBorders>
          </w:tcPr>
          <w:p w14:paraId="0DFDBC3E" w14:textId="77777777" w:rsidR="00046465" w:rsidRDefault="00046465">
            <w:pPr>
              <w:rPr>
                <w:sz w:val="2"/>
                <w:szCs w:val="2"/>
              </w:rPr>
            </w:pPr>
          </w:p>
        </w:tc>
        <w:tc>
          <w:tcPr>
            <w:tcW w:w="2086" w:type="dxa"/>
            <w:vMerge/>
            <w:tcBorders>
              <w:top w:val="nil"/>
              <w:left w:val="nil"/>
              <w:right w:val="nil"/>
            </w:tcBorders>
          </w:tcPr>
          <w:p w14:paraId="0DFDBC3F" w14:textId="77777777" w:rsidR="00046465" w:rsidRDefault="00046465">
            <w:pPr>
              <w:rPr>
                <w:sz w:val="2"/>
                <w:szCs w:val="2"/>
              </w:rPr>
            </w:pPr>
          </w:p>
        </w:tc>
        <w:tc>
          <w:tcPr>
            <w:tcW w:w="3704" w:type="dxa"/>
            <w:gridSpan w:val="2"/>
            <w:vMerge/>
            <w:tcBorders>
              <w:top w:val="nil"/>
              <w:left w:val="nil"/>
              <w:right w:val="nil"/>
            </w:tcBorders>
          </w:tcPr>
          <w:p w14:paraId="0DFDBC40" w14:textId="77777777" w:rsidR="00046465" w:rsidRDefault="00046465">
            <w:pPr>
              <w:rPr>
                <w:sz w:val="2"/>
                <w:szCs w:val="2"/>
              </w:rPr>
            </w:pPr>
          </w:p>
        </w:tc>
        <w:tc>
          <w:tcPr>
            <w:tcW w:w="2373" w:type="dxa"/>
            <w:gridSpan w:val="2"/>
            <w:vMerge/>
            <w:tcBorders>
              <w:top w:val="nil"/>
              <w:left w:val="nil"/>
              <w:right w:val="nil"/>
            </w:tcBorders>
          </w:tcPr>
          <w:p w14:paraId="0DFDBC41" w14:textId="77777777" w:rsidR="00046465" w:rsidRDefault="00046465">
            <w:pPr>
              <w:rPr>
                <w:sz w:val="2"/>
                <w:szCs w:val="2"/>
              </w:rPr>
            </w:pPr>
          </w:p>
        </w:tc>
        <w:tc>
          <w:tcPr>
            <w:tcW w:w="2624" w:type="dxa"/>
            <w:tcBorders>
              <w:top w:val="single" w:sz="4" w:space="0" w:color="000000"/>
              <w:left w:val="nil"/>
            </w:tcBorders>
          </w:tcPr>
          <w:p w14:paraId="0DFDBC42" w14:textId="77777777" w:rsidR="00046465" w:rsidRDefault="00046465">
            <w:pPr>
              <w:pStyle w:val="TableParagraph"/>
              <w:rPr>
                <w:rFonts w:ascii="Times New Roman"/>
                <w:sz w:val="18"/>
              </w:rPr>
            </w:pPr>
          </w:p>
        </w:tc>
      </w:tr>
      <w:tr w:rsidR="00046465" w14:paraId="0DFDBC4D" w14:textId="77777777">
        <w:trPr>
          <w:trHeight w:val="794"/>
        </w:trPr>
        <w:tc>
          <w:tcPr>
            <w:tcW w:w="2600" w:type="dxa"/>
            <w:tcBorders>
              <w:right w:val="single" w:sz="4" w:space="0" w:color="000000"/>
            </w:tcBorders>
          </w:tcPr>
          <w:p w14:paraId="0DFDBC44" w14:textId="77777777" w:rsidR="00046465" w:rsidRDefault="00046465">
            <w:pPr>
              <w:pStyle w:val="TableParagraph"/>
              <w:spacing w:before="144"/>
            </w:pPr>
          </w:p>
          <w:p w14:paraId="0DFDBC45" w14:textId="77777777" w:rsidR="00046465" w:rsidRDefault="008134EB">
            <w:pPr>
              <w:pStyle w:val="TableParagraph"/>
              <w:spacing w:before="1"/>
              <w:ind w:right="315"/>
              <w:jc w:val="center"/>
            </w:pPr>
            <w:r>
              <w:t>Provision</w:t>
            </w:r>
            <w:r>
              <w:rPr>
                <w:spacing w:val="-11"/>
              </w:rPr>
              <w:t xml:space="preserve"> </w:t>
            </w:r>
            <w:r>
              <w:rPr>
                <w:spacing w:val="-2"/>
              </w:rPr>
              <w:t>Description</w:t>
            </w:r>
          </w:p>
        </w:tc>
        <w:tc>
          <w:tcPr>
            <w:tcW w:w="2086" w:type="dxa"/>
            <w:tcBorders>
              <w:left w:val="single" w:sz="4" w:space="0" w:color="000000"/>
              <w:right w:val="single" w:sz="4" w:space="0" w:color="000000"/>
            </w:tcBorders>
          </w:tcPr>
          <w:p w14:paraId="0DFDBC46" w14:textId="77777777" w:rsidR="00046465" w:rsidRDefault="00046465">
            <w:pPr>
              <w:pStyle w:val="TableParagraph"/>
              <w:spacing w:before="144"/>
            </w:pPr>
          </w:p>
          <w:p w14:paraId="0DFDBC47" w14:textId="77777777" w:rsidR="00046465" w:rsidRDefault="008134EB">
            <w:pPr>
              <w:pStyle w:val="TableParagraph"/>
              <w:spacing w:before="1"/>
              <w:ind w:left="108"/>
            </w:pPr>
            <w:r>
              <w:rPr>
                <w:noProof/>
              </w:rPr>
              <mc:AlternateContent>
                <mc:Choice Requires="wpg">
                  <w:drawing>
                    <wp:anchor distT="0" distB="0" distL="0" distR="0" simplePos="0" relativeHeight="476161536" behindDoc="1" locked="0" layoutInCell="1" allowOverlap="1" wp14:anchorId="0DFDD6B7" wp14:editId="0DFDD6B8">
                      <wp:simplePos x="0" y="0"/>
                      <wp:positionH relativeFrom="column">
                        <wp:posOffset>-406908</wp:posOffset>
                      </wp:positionH>
                      <wp:positionV relativeFrom="paragraph">
                        <wp:posOffset>-576238</wp:posOffset>
                      </wp:positionV>
                      <wp:extent cx="1155700" cy="6350"/>
                      <wp:effectExtent l="0" t="0" r="0" b="0"/>
                      <wp:wrapNone/>
                      <wp:docPr id="767"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6350"/>
                                <a:chOff x="0" y="0"/>
                                <a:chExt cx="1155700" cy="6350"/>
                              </a:xfrm>
                            </wpg:grpSpPr>
                            <wps:wsp>
                              <wps:cNvPr id="768" name="Graphic 768"/>
                              <wps:cNvSpPr/>
                              <wps:spPr>
                                <a:xfrm>
                                  <a:off x="0" y="0"/>
                                  <a:ext cx="1155700" cy="6350"/>
                                </a:xfrm>
                                <a:custGeom>
                                  <a:avLst/>
                                  <a:gdLst/>
                                  <a:ahLst/>
                                  <a:cxnLst/>
                                  <a:rect l="l" t="t" r="r" b="b"/>
                                  <a:pathLst>
                                    <a:path w="1155700" h="6350">
                                      <a:moveTo>
                                        <a:pt x="1155179" y="0"/>
                                      </a:moveTo>
                                      <a:lnTo>
                                        <a:pt x="0" y="0"/>
                                      </a:lnTo>
                                      <a:lnTo>
                                        <a:pt x="0" y="6108"/>
                                      </a:lnTo>
                                      <a:lnTo>
                                        <a:pt x="1155179" y="6108"/>
                                      </a:lnTo>
                                      <a:lnTo>
                                        <a:pt x="1155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131A5E" id="Group 767" o:spid="_x0000_s1026" style="position:absolute;margin-left:-32.05pt;margin-top:-45.35pt;width:91pt;height:.5pt;z-index:-27154944;mso-wrap-distance-left:0;mso-wrap-distance-right:0" coordsize="115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">
                      <v:shape id="Graphic 768" o:spid="_x0000_s1027" style="position:absolute;width:11557;height:63;visibility:visible;mso-wrap-style:square;v-text-anchor:top" coordsize="1155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" path="m1155179,l,,,6108r1155179,l1155179,xe" fillcolor="black" stroked="f">
                        <v:path arrowok="t"/>
                      </v:shape>
                    </v:group>
                  </w:pict>
                </mc:Fallback>
              </mc:AlternateContent>
            </w:r>
            <w:r>
              <w:rPr>
                <w:spacing w:val="-2"/>
              </w:rPr>
              <w:t>Objective</w:t>
            </w:r>
          </w:p>
        </w:tc>
        <w:tc>
          <w:tcPr>
            <w:tcW w:w="1803" w:type="dxa"/>
            <w:tcBorders>
              <w:left w:val="single" w:sz="4" w:space="0" w:color="000000"/>
              <w:right w:val="single" w:sz="4" w:space="0" w:color="000000"/>
            </w:tcBorders>
          </w:tcPr>
          <w:p w14:paraId="0DFDBC48" w14:textId="77777777" w:rsidR="00046465" w:rsidRDefault="008134EB">
            <w:pPr>
              <w:pStyle w:val="TableParagraph"/>
              <w:spacing w:before="144"/>
              <w:ind w:left="109" w:right="160"/>
            </w:pPr>
            <w:r>
              <w:rPr>
                <w:spacing w:val="-2"/>
              </w:rPr>
              <w:t>Control Activities</w:t>
            </w:r>
          </w:p>
        </w:tc>
        <w:tc>
          <w:tcPr>
            <w:tcW w:w="1901" w:type="dxa"/>
            <w:tcBorders>
              <w:left w:val="single" w:sz="4" w:space="0" w:color="000000"/>
              <w:right w:val="single" w:sz="4" w:space="0" w:color="000000"/>
            </w:tcBorders>
          </w:tcPr>
          <w:p w14:paraId="0DFDBC49" w14:textId="77777777" w:rsidR="00046465" w:rsidRDefault="00046465">
            <w:pPr>
              <w:pStyle w:val="TableParagraph"/>
              <w:spacing w:before="144"/>
            </w:pPr>
          </w:p>
          <w:p w14:paraId="0DFDBC4A" w14:textId="77777777" w:rsidR="00046465" w:rsidRDefault="008134EB">
            <w:pPr>
              <w:pStyle w:val="TableParagraph"/>
              <w:spacing w:before="1"/>
              <w:ind w:left="109"/>
            </w:pPr>
            <w:r>
              <w:t>IS</w:t>
            </w:r>
            <w:r>
              <w:rPr>
                <w:spacing w:val="-3"/>
              </w:rPr>
              <w:t xml:space="preserve"> </w:t>
            </w:r>
            <w:r>
              <w:rPr>
                <w:spacing w:val="-2"/>
              </w:rPr>
              <w:t>(Y/N)</w:t>
            </w:r>
          </w:p>
        </w:tc>
        <w:tc>
          <w:tcPr>
            <w:tcW w:w="2303" w:type="dxa"/>
            <w:tcBorders>
              <w:left w:val="single" w:sz="4" w:space="0" w:color="000000"/>
              <w:right w:val="single" w:sz="4" w:space="0" w:color="000000"/>
            </w:tcBorders>
          </w:tcPr>
          <w:p w14:paraId="0DFDBC4B" w14:textId="77777777" w:rsidR="00046465" w:rsidRDefault="008134EB">
            <w:pPr>
              <w:pStyle w:val="TableParagraph"/>
              <w:spacing w:before="144"/>
              <w:ind w:left="110" w:right="502"/>
            </w:pPr>
            <w:r>
              <w:rPr>
                <w:spacing w:val="-2"/>
              </w:rPr>
              <w:t>Effective controls?</w:t>
            </w:r>
          </w:p>
        </w:tc>
        <w:tc>
          <w:tcPr>
            <w:tcW w:w="2694" w:type="dxa"/>
            <w:gridSpan w:val="2"/>
            <w:tcBorders>
              <w:left w:val="single" w:sz="4" w:space="0" w:color="000000"/>
            </w:tcBorders>
          </w:tcPr>
          <w:p w14:paraId="0DFDBC4C" w14:textId="77777777" w:rsidR="00046465" w:rsidRDefault="008134EB">
            <w:pPr>
              <w:pStyle w:val="TableParagraph"/>
              <w:spacing w:before="144"/>
              <w:ind w:left="111" w:right="87"/>
            </w:pPr>
            <w:r>
              <w:t xml:space="preserve">Instances of </w:t>
            </w:r>
            <w:r>
              <w:rPr>
                <w:spacing w:val="-2"/>
              </w:rPr>
              <w:t>noncompliance?</w:t>
            </w:r>
          </w:p>
        </w:tc>
      </w:tr>
      <w:tr w:rsidR="00046465" w14:paraId="0DFDBC57" w14:textId="77777777">
        <w:trPr>
          <w:trHeight w:val="1636"/>
        </w:trPr>
        <w:tc>
          <w:tcPr>
            <w:tcW w:w="2600" w:type="dxa"/>
            <w:tcBorders>
              <w:bottom w:val="nil"/>
              <w:right w:val="single" w:sz="4" w:space="0" w:color="000000"/>
            </w:tcBorders>
          </w:tcPr>
          <w:p w14:paraId="0DFDBC4E" w14:textId="77777777" w:rsidR="00046465" w:rsidRDefault="008134EB">
            <w:pPr>
              <w:pStyle w:val="TableParagraph"/>
              <w:spacing w:before="143" w:line="207" w:lineRule="exact"/>
              <w:ind w:left="97"/>
              <w:rPr>
                <w:sz w:val="14"/>
              </w:rPr>
            </w:pPr>
            <w:r>
              <w:rPr>
                <w:sz w:val="18"/>
              </w:rPr>
              <w:t>809.01.</w:t>
            </w:r>
            <w:r>
              <w:rPr>
                <w:spacing w:val="66"/>
                <w:sz w:val="18"/>
              </w:rPr>
              <w:t xml:space="preserve"> </w:t>
            </w:r>
            <w:r>
              <w:rPr>
                <w:spacing w:val="-2"/>
                <w:sz w:val="18"/>
              </w:rPr>
              <w:t>B</w:t>
            </w:r>
            <w:r>
              <w:rPr>
                <w:spacing w:val="-2"/>
                <w:sz w:val="14"/>
              </w:rPr>
              <w:t>IWEEKLY</w:t>
            </w:r>
          </w:p>
          <w:p w14:paraId="0DFDBC4F" w14:textId="77777777" w:rsidR="00046465" w:rsidRDefault="008134EB">
            <w:pPr>
              <w:pStyle w:val="TableParagraph"/>
              <w:ind w:left="817" w:right="230"/>
              <w:rPr>
                <w:sz w:val="18"/>
              </w:rPr>
            </w:pPr>
            <w:r>
              <w:rPr>
                <w:smallCaps/>
                <w:sz w:val="18"/>
              </w:rPr>
              <w:t>Contributions</w:t>
            </w:r>
            <w:r>
              <w:rPr>
                <w:smallCaps/>
                <w:spacing w:val="-10"/>
                <w:sz w:val="18"/>
              </w:rPr>
              <w:t xml:space="preserve"> </w:t>
            </w:r>
            <w:r>
              <w:rPr>
                <w:smallCaps/>
                <w:sz w:val="18"/>
              </w:rPr>
              <w:t>for</w:t>
            </w:r>
            <w:r>
              <w:rPr>
                <w:smallCaps/>
                <w:spacing w:val="40"/>
                <w:sz w:val="18"/>
              </w:rPr>
              <w:t xml:space="preserve"> </w:t>
            </w:r>
            <w:r>
              <w:rPr>
                <w:smallCaps/>
                <w:sz w:val="18"/>
              </w:rPr>
              <w:t>Employee</w:t>
            </w:r>
            <w:r>
              <w:rPr>
                <w:smallCaps/>
                <w:spacing w:val="-2"/>
                <w:sz w:val="18"/>
              </w:rPr>
              <w:t xml:space="preserve"> </w:t>
            </w:r>
            <w:r>
              <w:rPr>
                <w:smallCaps/>
                <w:sz w:val="18"/>
              </w:rPr>
              <w:t>Health</w:t>
            </w:r>
            <w:r>
              <w:rPr>
                <w:smallCaps/>
                <w:spacing w:val="40"/>
                <w:sz w:val="18"/>
              </w:rPr>
              <w:t xml:space="preserve"> </w:t>
            </w:r>
            <w:r>
              <w:rPr>
                <w:smallCaps/>
                <w:spacing w:val="-2"/>
                <w:sz w:val="18"/>
              </w:rPr>
              <w:t>Insurance.</w:t>
            </w:r>
          </w:p>
          <w:p w14:paraId="0DFDBC50" w14:textId="77777777" w:rsidR="00046465" w:rsidRDefault="008134EB">
            <w:pPr>
              <w:pStyle w:val="TableParagraph"/>
              <w:spacing w:before="145"/>
              <w:ind w:left="97"/>
              <w:rPr>
                <w:sz w:val="18"/>
              </w:rPr>
            </w:pPr>
            <w:r>
              <w:rPr>
                <w:sz w:val="18"/>
              </w:rPr>
              <w:t>Provision</w:t>
            </w:r>
            <w:r>
              <w:rPr>
                <w:spacing w:val="-15"/>
                <w:sz w:val="18"/>
              </w:rPr>
              <w:t xml:space="preserve"> </w:t>
            </w:r>
            <w:r>
              <w:rPr>
                <w:sz w:val="18"/>
              </w:rPr>
              <w:t>Type:</w:t>
            </w:r>
            <w:r>
              <w:rPr>
                <w:spacing w:val="-12"/>
                <w:sz w:val="18"/>
              </w:rPr>
              <w:t xml:space="preserve"> </w:t>
            </w:r>
            <w:r>
              <w:rPr>
                <w:sz w:val="18"/>
              </w:rPr>
              <w:t>Transaction-</w:t>
            </w:r>
            <w:r>
              <w:rPr>
                <w:spacing w:val="-2"/>
                <w:sz w:val="18"/>
              </w:rPr>
              <w:t>based.</w:t>
            </w:r>
          </w:p>
        </w:tc>
        <w:tc>
          <w:tcPr>
            <w:tcW w:w="2086" w:type="dxa"/>
            <w:tcBorders>
              <w:left w:val="single" w:sz="4" w:space="0" w:color="000000"/>
              <w:bottom w:val="nil"/>
              <w:right w:val="single" w:sz="4" w:space="0" w:color="000000"/>
            </w:tcBorders>
          </w:tcPr>
          <w:p w14:paraId="0DFDBC51" w14:textId="77777777" w:rsidR="00046465" w:rsidRDefault="008134EB">
            <w:pPr>
              <w:pStyle w:val="TableParagraph"/>
              <w:spacing w:before="143"/>
              <w:ind w:left="108" w:right="96"/>
              <w:rPr>
                <w:sz w:val="18"/>
              </w:rPr>
            </w:pPr>
            <w:r>
              <w:rPr>
                <w:sz w:val="18"/>
              </w:rPr>
              <w:t>The amount of the entity contribution for health insurance benefits is calculated properly</w:t>
            </w:r>
            <w:r>
              <w:rPr>
                <w:spacing w:val="-15"/>
                <w:sz w:val="18"/>
              </w:rPr>
              <w:t xml:space="preserve"> </w:t>
            </w:r>
            <w:r>
              <w:rPr>
                <w:sz w:val="18"/>
              </w:rPr>
              <w:t>for</w:t>
            </w:r>
            <w:r>
              <w:rPr>
                <w:spacing w:val="-12"/>
                <w:sz w:val="18"/>
              </w:rPr>
              <w:t xml:space="preserve"> </w:t>
            </w:r>
            <w:r>
              <w:rPr>
                <w:sz w:val="18"/>
              </w:rPr>
              <w:t>employees who</w:t>
            </w:r>
            <w:r>
              <w:rPr>
                <w:spacing w:val="-1"/>
                <w:sz w:val="18"/>
              </w:rPr>
              <w:t xml:space="preserve"> </w:t>
            </w:r>
            <w:r>
              <w:rPr>
                <w:sz w:val="18"/>
              </w:rPr>
              <w:t>elect to</w:t>
            </w:r>
            <w:r>
              <w:rPr>
                <w:spacing w:val="-1"/>
                <w:sz w:val="18"/>
              </w:rPr>
              <w:t xml:space="preserve"> </w:t>
            </w:r>
            <w:r>
              <w:rPr>
                <w:sz w:val="18"/>
              </w:rPr>
              <w:t>enroll in a health insurance plan.</w:t>
            </w:r>
          </w:p>
        </w:tc>
        <w:tc>
          <w:tcPr>
            <w:tcW w:w="1803" w:type="dxa"/>
            <w:tcBorders>
              <w:left w:val="single" w:sz="4" w:space="0" w:color="000000"/>
              <w:bottom w:val="nil"/>
              <w:right w:val="single" w:sz="4" w:space="0" w:color="000000"/>
            </w:tcBorders>
          </w:tcPr>
          <w:p w14:paraId="0DFDBC52" w14:textId="77777777" w:rsidR="00046465" w:rsidRDefault="008134EB">
            <w:pPr>
              <w:pStyle w:val="TableParagraph"/>
              <w:spacing w:before="143"/>
              <w:ind w:left="108" w:right="160"/>
              <w:rPr>
                <w:sz w:val="18"/>
              </w:rPr>
            </w:pPr>
            <w:r>
              <w:rPr>
                <w:sz w:val="18"/>
              </w:rPr>
              <w:t>[Document the control activities that</w:t>
            </w:r>
            <w:r>
              <w:rPr>
                <w:spacing w:val="-13"/>
                <w:sz w:val="18"/>
              </w:rPr>
              <w:t xml:space="preserve"> </w:t>
            </w:r>
            <w:r>
              <w:rPr>
                <w:sz w:val="18"/>
              </w:rPr>
              <w:t>the</w:t>
            </w:r>
            <w:r>
              <w:rPr>
                <w:spacing w:val="-12"/>
                <w:sz w:val="18"/>
              </w:rPr>
              <w:t xml:space="preserve"> </w:t>
            </w:r>
            <w:r>
              <w:rPr>
                <w:sz w:val="18"/>
              </w:rPr>
              <w:t>entity</w:t>
            </w:r>
            <w:r>
              <w:rPr>
                <w:spacing w:val="-13"/>
                <w:sz w:val="18"/>
              </w:rPr>
              <w:t xml:space="preserve"> </w:t>
            </w:r>
            <w:r>
              <w:rPr>
                <w:sz w:val="18"/>
              </w:rPr>
              <w:t xml:space="preserve">used to achieve the </w:t>
            </w:r>
            <w:r>
              <w:rPr>
                <w:spacing w:val="-2"/>
                <w:sz w:val="18"/>
              </w:rPr>
              <w:t>objective.]</w:t>
            </w:r>
          </w:p>
        </w:tc>
        <w:tc>
          <w:tcPr>
            <w:tcW w:w="1901" w:type="dxa"/>
            <w:tcBorders>
              <w:left w:val="single" w:sz="4" w:space="0" w:color="000000"/>
              <w:bottom w:val="nil"/>
              <w:right w:val="single" w:sz="4" w:space="0" w:color="000000"/>
            </w:tcBorders>
          </w:tcPr>
          <w:p w14:paraId="0DFDBC53" w14:textId="77777777" w:rsidR="00046465" w:rsidRDefault="008134EB">
            <w:pPr>
              <w:pStyle w:val="TableParagraph"/>
              <w:spacing w:before="143"/>
              <w:ind w:left="109" w:right="264"/>
              <w:rPr>
                <w:sz w:val="18"/>
              </w:rPr>
            </w:pPr>
            <w:r>
              <w:rPr>
                <w:sz w:val="18"/>
              </w:rPr>
              <w:t>[Does control depend on information</w:t>
            </w:r>
            <w:r>
              <w:rPr>
                <w:spacing w:val="-13"/>
                <w:sz w:val="18"/>
              </w:rPr>
              <w:t xml:space="preserve"> </w:t>
            </w:r>
            <w:r>
              <w:rPr>
                <w:sz w:val="18"/>
              </w:rPr>
              <w:t xml:space="preserve">system </w:t>
            </w:r>
            <w:r>
              <w:rPr>
                <w:spacing w:val="-2"/>
                <w:sz w:val="18"/>
              </w:rPr>
              <w:t>processing?]</w:t>
            </w:r>
          </w:p>
        </w:tc>
        <w:tc>
          <w:tcPr>
            <w:tcW w:w="2303" w:type="dxa"/>
            <w:tcBorders>
              <w:left w:val="single" w:sz="4" w:space="0" w:color="000000"/>
              <w:bottom w:val="nil"/>
              <w:right w:val="single" w:sz="4" w:space="0" w:color="000000"/>
            </w:tcBorders>
          </w:tcPr>
          <w:p w14:paraId="0DFDBC54" w14:textId="77777777" w:rsidR="00046465" w:rsidRDefault="008134EB">
            <w:pPr>
              <w:pStyle w:val="TableParagraph"/>
              <w:spacing w:before="143"/>
              <w:ind w:left="110" w:right="502"/>
              <w:rPr>
                <w:sz w:val="18"/>
              </w:rPr>
            </w:pPr>
            <w:r>
              <w:rPr>
                <w:sz w:val="18"/>
              </w:rPr>
              <w:t>[Indicate yes or no; include</w:t>
            </w:r>
            <w:r>
              <w:rPr>
                <w:spacing w:val="-15"/>
                <w:sz w:val="18"/>
              </w:rPr>
              <w:t xml:space="preserve"> </w:t>
            </w:r>
            <w:r>
              <w:rPr>
                <w:sz w:val="18"/>
              </w:rPr>
              <w:t>reference</w:t>
            </w:r>
            <w:r>
              <w:rPr>
                <w:spacing w:val="-12"/>
                <w:sz w:val="18"/>
              </w:rPr>
              <w:t xml:space="preserve"> </w:t>
            </w:r>
            <w:r>
              <w:rPr>
                <w:sz w:val="18"/>
              </w:rPr>
              <w:t xml:space="preserve">to </w:t>
            </w:r>
            <w:r>
              <w:rPr>
                <w:spacing w:val="-2"/>
                <w:sz w:val="18"/>
              </w:rPr>
              <w:t>supporting documentation.]</w:t>
            </w:r>
          </w:p>
        </w:tc>
        <w:tc>
          <w:tcPr>
            <w:tcW w:w="2694" w:type="dxa"/>
            <w:gridSpan w:val="2"/>
            <w:tcBorders>
              <w:left w:val="single" w:sz="4" w:space="0" w:color="000000"/>
              <w:bottom w:val="nil"/>
            </w:tcBorders>
          </w:tcPr>
          <w:p w14:paraId="0DFDBC55" w14:textId="77777777" w:rsidR="00046465" w:rsidRDefault="008134EB">
            <w:pPr>
              <w:pStyle w:val="TableParagraph"/>
              <w:spacing w:before="143"/>
              <w:ind w:left="111" w:right="87"/>
              <w:rPr>
                <w:sz w:val="18"/>
              </w:rPr>
            </w:pPr>
            <w:r>
              <w:rPr>
                <w:sz w:val="18"/>
              </w:rPr>
              <w:t>[Indicate</w:t>
            </w:r>
            <w:r>
              <w:rPr>
                <w:spacing w:val="-11"/>
                <w:sz w:val="18"/>
              </w:rPr>
              <w:t xml:space="preserve"> </w:t>
            </w:r>
            <w:r>
              <w:rPr>
                <w:sz w:val="18"/>
              </w:rPr>
              <w:t>yes</w:t>
            </w:r>
            <w:r>
              <w:rPr>
                <w:spacing w:val="-10"/>
                <w:sz w:val="18"/>
              </w:rPr>
              <w:t xml:space="preserve"> </w:t>
            </w:r>
            <w:r>
              <w:rPr>
                <w:sz w:val="18"/>
              </w:rPr>
              <w:t>or</w:t>
            </w:r>
            <w:r>
              <w:rPr>
                <w:spacing w:val="-10"/>
                <w:sz w:val="18"/>
              </w:rPr>
              <w:t xml:space="preserve"> </w:t>
            </w:r>
            <w:r>
              <w:rPr>
                <w:sz w:val="18"/>
              </w:rPr>
              <w:t>no;</w:t>
            </w:r>
            <w:r>
              <w:rPr>
                <w:spacing w:val="-10"/>
                <w:sz w:val="18"/>
              </w:rPr>
              <w:t xml:space="preserve"> </w:t>
            </w:r>
            <w:r>
              <w:rPr>
                <w:sz w:val="18"/>
              </w:rPr>
              <w:t xml:space="preserve">include reference to supporting </w:t>
            </w:r>
            <w:r>
              <w:rPr>
                <w:spacing w:val="-2"/>
                <w:sz w:val="18"/>
              </w:rPr>
              <w:t>documentation.]</w:t>
            </w:r>
          </w:p>
          <w:p w14:paraId="0DFDBC56" w14:textId="77777777" w:rsidR="00046465" w:rsidRDefault="008134EB">
            <w:pPr>
              <w:pStyle w:val="TableParagraph"/>
              <w:spacing w:before="144"/>
              <w:ind w:left="111" w:right="87"/>
              <w:rPr>
                <w:sz w:val="18"/>
              </w:rPr>
            </w:pPr>
            <w:r>
              <w:rPr>
                <w:sz w:val="18"/>
              </w:rPr>
              <w:t>See Compliance Audit Procedures,</w:t>
            </w:r>
            <w:r>
              <w:rPr>
                <w:spacing w:val="-10"/>
                <w:sz w:val="18"/>
              </w:rPr>
              <w:t xml:space="preserve"> </w:t>
            </w:r>
            <w:r>
              <w:rPr>
                <w:sz w:val="18"/>
              </w:rPr>
              <w:t>FAM</w:t>
            </w:r>
            <w:r>
              <w:rPr>
                <w:spacing w:val="-10"/>
                <w:sz w:val="18"/>
              </w:rPr>
              <w:t xml:space="preserve"> </w:t>
            </w:r>
            <w:r>
              <w:rPr>
                <w:sz w:val="18"/>
              </w:rPr>
              <w:t>809</w:t>
            </w:r>
            <w:r>
              <w:rPr>
                <w:spacing w:val="-10"/>
                <w:sz w:val="18"/>
              </w:rPr>
              <w:t xml:space="preserve"> </w:t>
            </w:r>
            <w:r>
              <w:rPr>
                <w:sz w:val="18"/>
              </w:rPr>
              <w:t>step</w:t>
            </w:r>
            <w:r>
              <w:rPr>
                <w:spacing w:val="-10"/>
                <w:sz w:val="18"/>
              </w:rPr>
              <w:t xml:space="preserve"> </w:t>
            </w:r>
            <w:r>
              <w:rPr>
                <w:sz w:val="18"/>
              </w:rPr>
              <w:t xml:space="preserve">4 </w:t>
            </w:r>
            <w:r>
              <w:rPr>
                <w:spacing w:val="-4"/>
                <w:sz w:val="18"/>
              </w:rPr>
              <w:t>(b).</w:t>
            </w:r>
          </w:p>
        </w:tc>
      </w:tr>
      <w:tr w:rsidR="00046465" w14:paraId="0DFDBC5F" w14:textId="77777777">
        <w:trPr>
          <w:trHeight w:val="1837"/>
        </w:trPr>
        <w:tc>
          <w:tcPr>
            <w:tcW w:w="2600" w:type="dxa"/>
            <w:tcBorders>
              <w:top w:val="nil"/>
              <w:bottom w:val="single" w:sz="4" w:space="0" w:color="000000"/>
              <w:right w:val="single" w:sz="4" w:space="0" w:color="000000"/>
            </w:tcBorders>
          </w:tcPr>
          <w:p w14:paraId="0DFDBC58" w14:textId="77777777" w:rsidR="00046465" w:rsidRDefault="008134EB">
            <w:pPr>
              <w:pStyle w:val="TableParagraph"/>
              <w:spacing w:before="38" w:line="237" w:lineRule="auto"/>
              <w:ind w:left="97"/>
              <w:rPr>
                <w:sz w:val="18"/>
              </w:rPr>
            </w:pPr>
            <w:r>
              <w:rPr>
                <w:sz w:val="18"/>
              </w:rPr>
              <w:t>In general, for each full-time employee</w:t>
            </w:r>
            <w:r>
              <w:rPr>
                <w:spacing w:val="-10"/>
                <w:sz w:val="18"/>
              </w:rPr>
              <w:t xml:space="preserve"> </w:t>
            </w:r>
            <w:r>
              <w:rPr>
                <w:sz w:val="18"/>
              </w:rPr>
              <w:t>enrolled</w:t>
            </w:r>
            <w:r>
              <w:rPr>
                <w:spacing w:val="-10"/>
                <w:sz w:val="18"/>
              </w:rPr>
              <w:t xml:space="preserve"> </w:t>
            </w:r>
            <w:r>
              <w:rPr>
                <w:sz w:val="18"/>
              </w:rPr>
              <w:t>in</w:t>
            </w:r>
            <w:r>
              <w:rPr>
                <w:spacing w:val="-10"/>
                <w:sz w:val="18"/>
              </w:rPr>
              <w:t xml:space="preserve"> </w:t>
            </w:r>
            <w:r>
              <w:rPr>
                <w:sz w:val="18"/>
              </w:rPr>
              <w:t>a</w:t>
            </w:r>
            <w:r>
              <w:rPr>
                <w:spacing w:val="-10"/>
                <w:sz w:val="18"/>
              </w:rPr>
              <w:t xml:space="preserve"> </w:t>
            </w:r>
            <w:r>
              <w:rPr>
                <w:sz w:val="18"/>
              </w:rPr>
              <w:t>health insurance plan, a biweekly contribution</w:t>
            </w:r>
            <w:r>
              <w:rPr>
                <w:spacing w:val="-8"/>
                <w:sz w:val="18"/>
              </w:rPr>
              <w:t xml:space="preserve"> </w:t>
            </w:r>
            <w:r>
              <w:rPr>
                <w:sz w:val="18"/>
              </w:rPr>
              <w:t>shall</w:t>
            </w:r>
            <w:r>
              <w:rPr>
                <w:spacing w:val="-7"/>
                <w:sz w:val="18"/>
              </w:rPr>
              <w:t xml:space="preserve"> </w:t>
            </w:r>
            <w:r>
              <w:rPr>
                <w:sz w:val="18"/>
              </w:rPr>
              <w:t>be</w:t>
            </w:r>
            <w:r>
              <w:rPr>
                <w:spacing w:val="-8"/>
                <w:sz w:val="18"/>
              </w:rPr>
              <w:t xml:space="preserve"> </w:t>
            </w:r>
            <w:r>
              <w:rPr>
                <w:sz w:val="18"/>
              </w:rPr>
              <w:t>made</w:t>
            </w:r>
            <w:r>
              <w:rPr>
                <w:spacing w:val="-7"/>
                <w:sz w:val="18"/>
              </w:rPr>
              <w:t xml:space="preserve"> </w:t>
            </w:r>
            <w:r>
              <w:rPr>
                <w:sz w:val="18"/>
              </w:rPr>
              <w:t>by the entity</w:t>
            </w:r>
            <w:hyperlink w:anchor="_bookmark126" w:history="1">
              <w:r>
                <w:rPr>
                  <w:position w:val="6"/>
                  <w:sz w:val="12"/>
                </w:rPr>
                <w:t>57</w:t>
              </w:r>
            </w:hyperlink>
            <w:r>
              <w:rPr>
                <w:spacing w:val="40"/>
                <w:position w:val="6"/>
                <w:sz w:val="12"/>
              </w:rPr>
              <w:t xml:space="preserve"> </w:t>
            </w:r>
            <w:r>
              <w:rPr>
                <w:sz w:val="18"/>
              </w:rPr>
              <w:t>in an amount determined by OPM for each type of insurance plan.</w:t>
            </w:r>
            <w:hyperlink w:anchor="_bookmark127" w:history="1">
              <w:r>
                <w:rPr>
                  <w:position w:val="6"/>
                  <w:sz w:val="12"/>
                </w:rPr>
                <w:t>58</w:t>
              </w:r>
            </w:hyperlink>
            <w:r>
              <w:rPr>
                <w:spacing w:val="40"/>
                <w:position w:val="6"/>
                <w:sz w:val="12"/>
              </w:rPr>
              <w:t xml:space="preserve"> </w:t>
            </w:r>
            <w:r>
              <w:rPr>
                <w:sz w:val="18"/>
              </w:rPr>
              <w:t>5</w:t>
            </w:r>
          </w:p>
          <w:p w14:paraId="0DFDBC59" w14:textId="77777777" w:rsidR="00046465" w:rsidRDefault="008134EB">
            <w:pPr>
              <w:pStyle w:val="TableParagraph"/>
              <w:spacing w:before="6"/>
              <w:ind w:left="97"/>
              <w:rPr>
                <w:sz w:val="18"/>
              </w:rPr>
            </w:pPr>
            <w:r>
              <w:rPr>
                <w:sz w:val="18"/>
              </w:rPr>
              <w:t>U.S.C.</w:t>
            </w:r>
            <w:r>
              <w:rPr>
                <w:spacing w:val="-2"/>
                <w:sz w:val="18"/>
              </w:rPr>
              <w:t xml:space="preserve"> </w:t>
            </w:r>
            <w:r>
              <w:rPr>
                <w:sz w:val="18"/>
              </w:rPr>
              <w:t>§</w:t>
            </w:r>
            <w:r>
              <w:rPr>
                <w:spacing w:val="-2"/>
                <w:sz w:val="18"/>
              </w:rPr>
              <w:t xml:space="preserve"> 8906(b)(1).</w:t>
            </w:r>
          </w:p>
        </w:tc>
        <w:tc>
          <w:tcPr>
            <w:tcW w:w="2086" w:type="dxa"/>
            <w:tcBorders>
              <w:top w:val="nil"/>
              <w:left w:val="single" w:sz="4" w:space="0" w:color="000000"/>
              <w:bottom w:val="single" w:sz="4" w:space="0" w:color="000000"/>
              <w:right w:val="single" w:sz="4" w:space="0" w:color="000000"/>
            </w:tcBorders>
          </w:tcPr>
          <w:p w14:paraId="0DFDBC5A" w14:textId="77777777" w:rsidR="00046465" w:rsidRDefault="00046465">
            <w:pPr>
              <w:pStyle w:val="TableParagraph"/>
              <w:rPr>
                <w:rFonts w:ascii="Times New Roman"/>
                <w:sz w:val="18"/>
              </w:rPr>
            </w:pPr>
          </w:p>
        </w:tc>
        <w:tc>
          <w:tcPr>
            <w:tcW w:w="1803" w:type="dxa"/>
            <w:tcBorders>
              <w:top w:val="nil"/>
              <w:left w:val="single" w:sz="4" w:space="0" w:color="000000"/>
              <w:bottom w:val="single" w:sz="4" w:space="0" w:color="000000"/>
              <w:right w:val="single" w:sz="4" w:space="0" w:color="000000"/>
            </w:tcBorders>
          </w:tcPr>
          <w:p w14:paraId="0DFDBC5B" w14:textId="77777777" w:rsidR="00046465" w:rsidRDefault="00046465">
            <w:pPr>
              <w:pStyle w:val="TableParagraph"/>
              <w:rPr>
                <w:rFonts w:ascii="Times New Roman"/>
                <w:sz w:val="18"/>
              </w:rPr>
            </w:pPr>
          </w:p>
        </w:tc>
        <w:tc>
          <w:tcPr>
            <w:tcW w:w="1901" w:type="dxa"/>
            <w:tcBorders>
              <w:top w:val="nil"/>
              <w:left w:val="single" w:sz="4" w:space="0" w:color="000000"/>
              <w:bottom w:val="single" w:sz="4" w:space="0" w:color="000000"/>
              <w:right w:val="single" w:sz="4" w:space="0" w:color="000000"/>
            </w:tcBorders>
          </w:tcPr>
          <w:p w14:paraId="0DFDBC5C" w14:textId="77777777" w:rsidR="00046465" w:rsidRDefault="00046465">
            <w:pPr>
              <w:pStyle w:val="TableParagraph"/>
              <w:rPr>
                <w:rFonts w:ascii="Times New Roman"/>
                <w:sz w:val="18"/>
              </w:rPr>
            </w:pPr>
          </w:p>
        </w:tc>
        <w:tc>
          <w:tcPr>
            <w:tcW w:w="2303" w:type="dxa"/>
            <w:tcBorders>
              <w:top w:val="nil"/>
              <w:left w:val="single" w:sz="4" w:space="0" w:color="000000"/>
              <w:bottom w:val="single" w:sz="4" w:space="0" w:color="000000"/>
              <w:right w:val="single" w:sz="4" w:space="0" w:color="000000"/>
            </w:tcBorders>
          </w:tcPr>
          <w:p w14:paraId="0DFDBC5D" w14:textId="77777777" w:rsidR="00046465" w:rsidRDefault="00046465">
            <w:pPr>
              <w:pStyle w:val="TableParagraph"/>
              <w:rPr>
                <w:rFonts w:ascii="Times New Roman"/>
                <w:sz w:val="18"/>
              </w:rPr>
            </w:pPr>
          </w:p>
        </w:tc>
        <w:tc>
          <w:tcPr>
            <w:tcW w:w="2694" w:type="dxa"/>
            <w:gridSpan w:val="2"/>
            <w:tcBorders>
              <w:top w:val="nil"/>
              <w:left w:val="single" w:sz="4" w:space="0" w:color="000000"/>
              <w:bottom w:val="single" w:sz="4" w:space="0" w:color="000000"/>
            </w:tcBorders>
          </w:tcPr>
          <w:p w14:paraId="0DFDBC5E" w14:textId="77777777" w:rsidR="00046465" w:rsidRDefault="00046465">
            <w:pPr>
              <w:pStyle w:val="TableParagraph"/>
              <w:rPr>
                <w:rFonts w:ascii="Times New Roman"/>
                <w:sz w:val="18"/>
              </w:rPr>
            </w:pPr>
          </w:p>
        </w:tc>
      </w:tr>
    </w:tbl>
    <w:p w14:paraId="0DFDBC60" w14:textId="77777777" w:rsidR="00046465" w:rsidRDefault="00046465">
      <w:pPr>
        <w:pStyle w:val="BodyText"/>
        <w:rPr>
          <w:sz w:val="20"/>
        </w:rPr>
      </w:pPr>
    </w:p>
    <w:p w14:paraId="0DFDBC61" w14:textId="77777777" w:rsidR="00046465" w:rsidRDefault="008134EB">
      <w:pPr>
        <w:pStyle w:val="BodyText"/>
        <w:spacing w:before="1"/>
        <w:rPr>
          <w:sz w:val="20"/>
        </w:rPr>
      </w:pPr>
      <w:r>
        <w:rPr>
          <w:noProof/>
          <w:sz w:val="20"/>
        </w:rPr>
        <mc:AlternateContent>
          <mc:Choice Requires="wps">
            <w:drawing>
              <wp:anchor distT="0" distB="0" distL="0" distR="0" simplePos="0" relativeHeight="487694848" behindDoc="1" locked="0" layoutInCell="1" allowOverlap="1" wp14:anchorId="0DFDD6B9" wp14:editId="0DFDD6BA">
                <wp:simplePos x="0" y="0"/>
                <wp:positionH relativeFrom="page">
                  <wp:posOffset>685800</wp:posOffset>
                </wp:positionH>
                <wp:positionV relativeFrom="paragraph">
                  <wp:posOffset>162324</wp:posOffset>
                </wp:positionV>
                <wp:extent cx="1828800" cy="6985"/>
                <wp:effectExtent l="0" t="0" r="0" b="0"/>
                <wp:wrapTopAndBottom/>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58082B" id="Graphic 769" o:spid="_x0000_s1026" style="position:absolute;margin-left:54pt;margin-top:12.8pt;width:2in;height:.55pt;z-index:-15621632;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" path="m1828800,l,,,6858r1828800,l1828800,xe" fillcolor="black" stroked="f">
                <v:path arrowok="t"/>
                <w10:wrap type="topAndBottom" anchorx="page"/>
              </v:shape>
            </w:pict>
          </mc:Fallback>
        </mc:AlternateContent>
      </w:r>
    </w:p>
    <w:p w14:paraId="0DFDBC62" w14:textId="77777777" w:rsidR="00046465" w:rsidRDefault="008134EB">
      <w:pPr>
        <w:spacing w:before="217"/>
        <w:ind w:left="360"/>
        <w:rPr>
          <w:sz w:val="18"/>
        </w:rPr>
      </w:pPr>
      <w:r>
        <w:rPr>
          <w:position w:val="7"/>
          <w:sz w:val="14"/>
        </w:rPr>
        <w:t>57</w:t>
      </w:r>
      <w:r>
        <w:rPr>
          <w:sz w:val="18"/>
        </w:rPr>
        <w:t>The</w:t>
      </w:r>
      <w:r>
        <w:rPr>
          <w:spacing w:val="-5"/>
          <w:sz w:val="18"/>
        </w:rPr>
        <w:t xml:space="preserve"> </w:t>
      </w:r>
      <w:r>
        <w:rPr>
          <w:sz w:val="18"/>
        </w:rPr>
        <w:t>biweekly</w:t>
      </w:r>
      <w:r>
        <w:rPr>
          <w:spacing w:val="-2"/>
          <w:sz w:val="18"/>
        </w:rPr>
        <w:t xml:space="preserve"> </w:t>
      </w:r>
      <w:r>
        <w:rPr>
          <w:sz w:val="18"/>
        </w:rPr>
        <w:t>entity</w:t>
      </w:r>
      <w:r>
        <w:rPr>
          <w:spacing w:val="-3"/>
          <w:sz w:val="18"/>
        </w:rPr>
        <w:t xml:space="preserve"> </w:t>
      </w:r>
      <w:r>
        <w:rPr>
          <w:sz w:val="18"/>
        </w:rPr>
        <w:t>contribution</w:t>
      </w:r>
      <w:r>
        <w:rPr>
          <w:spacing w:val="-2"/>
          <w:sz w:val="18"/>
        </w:rPr>
        <w:t xml:space="preserve"> </w:t>
      </w:r>
      <w:r>
        <w:rPr>
          <w:sz w:val="18"/>
        </w:rPr>
        <w:t>for</w:t>
      </w:r>
      <w:r>
        <w:rPr>
          <w:spacing w:val="-3"/>
          <w:sz w:val="18"/>
        </w:rPr>
        <w:t xml:space="preserve"> </w:t>
      </w:r>
      <w:r>
        <w:rPr>
          <w:sz w:val="18"/>
        </w:rPr>
        <w:t>the</w:t>
      </w:r>
      <w:r>
        <w:rPr>
          <w:spacing w:val="-2"/>
          <w:sz w:val="18"/>
        </w:rPr>
        <w:t xml:space="preserve"> </w:t>
      </w:r>
      <w:r>
        <w:rPr>
          <w:sz w:val="18"/>
        </w:rPr>
        <w:t>employee</w:t>
      </w:r>
      <w:r>
        <w:rPr>
          <w:spacing w:val="-3"/>
          <w:sz w:val="18"/>
        </w:rPr>
        <w:t xml:space="preserve"> </w:t>
      </w:r>
      <w:r>
        <w:rPr>
          <w:sz w:val="18"/>
        </w:rPr>
        <w:t>shall</w:t>
      </w:r>
      <w:r>
        <w:rPr>
          <w:spacing w:val="-2"/>
          <w:sz w:val="18"/>
        </w:rPr>
        <w:t xml:space="preserve"> </w:t>
      </w:r>
      <w:r>
        <w:rPr>
          <w:sz w:val="18"/>
        </w:rPr>
        <w:t>not</w:t>
      </w:r>
      <w:r>
        <w:rPr>
          <w:spacing w:val="-3"/>
          <w:sz w:val="18"/>
        </w:rPr>
        <w:t xml:space="preserve"> </w:t>
      </w:r>
      <w:r>
        <w:rPr>
          <w:sz w:val="18"/>
        </w:rPr>
        <w:t>exceed</w:t>
      </w:r>
      <w:r>
        <w:rPr>
          <w:spacing w:val="-2"/>
          <w:sz w:val="18"/>
        </w:rPr>
        <w:t xml:space="preserve"> </w:t>
      </w:r>
      <w:r>
        <w:rPr>
          <w:sz w:val="18"/>
        </w:rPr>
        <w:t>75</w:t>
      </w:r>
      <w:r>
        <w:rPr>
          <w:spacing w:val="-3"/>
          <w:sz w:val="18"/>
        </w:rPr>
        <w:t xml:space="preserve"> </w:t>
      </w:r>
      <w:r>
        <w:rPr>
          <w:sz w:val="18"/>
        </w:rPr>
        <w:t>percent</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health</w:t>
      </w:r>
      <w:r>
        <w:rPr>
          <w:spacing w:val="-3"/>
          <w:sz w:val="18"/>
        </w:rPr>
        <w:t xml:space="preserve"> </w:t>
      </w:r>
      <w:r>
        <w:rPr>
          <w:sz w:val="18"/>
        </w:rPr>
        <w:t>insurance</w:t>
      </w:r>
      <w:r>
        <w:rPr>
          <w:spacing w:val="-3"/>
          <w:sz w:val="18"/>
        </w:rPr>
        <w:t xml:space="preserve"> </w:t>
      </w:r>
      <w:r>
        <w:rPr>
          <w:sz w:val="18"/>
        </w:rPr>
        <w:t>cost.</w:t>
      </w:r>
      <w:r>
        <w:rPr>
          <w:spacing w:val="-2"/>
          <w:sz w:val="18"/>
        </w:rPr>
        <w:t xml:space="preserve"> </w:t>
      </w:r>
      <w:r>
        <w:rPr>
          <w:sz w:val="18"/>
        </w:rPr>
        <w:t>5</w:t>
      </w:r>
      <w:r>
        <w:rPr>
          <w:spacing w:val="-3"/>
          <w:sz w:val="18"/>
        </w:rPr>
        <w:t xml:space="preserve"> </w:t>
      </w:r>
      <w:r>
        <w:rPr>
          <w:sz w:val="18"/>
        </w:rPr>
        <w:t>U.S.C.</w:t>
      </w:r>
      <w:r>
        <w:rPr>
          <w:spacing w:val="-3"/>
          <w:sz w:val="18"/>
        </w:rPr>
        <w:t xml:space="preserve"> </w:t>
      </w:r>
      <w:r>
        <w:rPr>
          <w:sz w:val="18"/>
        </w:rPr>
        <w:t>§</w:t>
      </w:r>
      <w:r>
        <w:rPr>
          <w:spacing w:val="-1"/>
          <w:sz w:val="18"/>
        </w:rPr>
        <w:t xml:space="preserve"> </w:t>
      </w:r>
      <w:r>
        <w:rPr>
          <w:spacing w:val="-2"/>
          <w:sz w:val="18"/>
        </w:rPr>
        <w:t>8906(b)(2).</w:t>
      </w:r>
    </w:p>
    <w:p w14:paraId="0DFDBC63" w14:textId="77777777" w:rsidR="00046465" w:rsidRDefault="008134EB">
      <w:pPr>
        <w:spacing w:before="133" w:line="249" w:lineRule="auto"/>
        <w:ind w:left="359" w:right="422"/>
        <w:rPr>
          <w:sz w:val="18"/>
        </w:rPr>
      </w:pPr>
      <w:r>
        <w:rPr>
          <w:position w:val="7"/>
          <w:sz w:val="14"/>
        </w:rPr>
        <w:t>58</w:t>
      </w:r>
      <w:r>
        <w:rPr>
          <w:sz w:val="18"/>
        </w:rPr>
        <w:t>For</w:t>
      </w:r>
      <w:r>
        <w:rPr>
          <w:spacing w:val="-2"/>
          <w:sz w:val="18"/>
        </w:rPr>
        <w:t xml:space="preserve"> </w:t>
      </w:r>
      <w:r>
        <w:rPr>
          <w:sz w:val="18"/>
        </w:rPr>
        <w:t>part-time</w:t>
      </w:r>
      <w:r>
        <w:rPr>
          <w:spacing w:val="-3"/>
          <w:sz w:val="18"/>
        </w:rPr>
        <w:t xml:space="preserve"> </w:t>
      </w:r>
      <w:r>
        <w:rPr>
          <w:sz w:val="18"/>
        </w:rPr>
        <w:t>career</w:t>
      </w:r>
      <w:r>
        <w:rPr>
          <w:spacing w:val="-2"/>
          <w:sz w:val="18"/>
        </w:rPr>
        <w:t xml:space="preserve"> </w:t>
      </w:r>
      <w:r>
        <w:rPr>
          <w:sz w:val="18"/>
        </w:rPr>
        <w:t>employees,</w:t>
      </w:r>
      <w:r>
        <w:rPr>
          <w:spacing w:val="-2"/>
          <w:sz w:val="18"/>
        </w:rPr>
        <w:t xml:space="preserve"> </w:t>
      </w:r>
      <w:r>
        <w:rPr>
          <w:sz w:val="18"/>
        </w:rPr>
        <w:t>the</w:t>
      </w:r>
      <w:r>
        <w:rPr>
          <w:spacing w:val="-3"/>
          <w:sz w:val="18"/>
        </w:rPr>
        <w:t xml:space="preserve"> </w:t>
      </w:r>
      <w:r>
        <w:rPr>
          <w:sz w:val="18"/>
        </w:rPr>
        <w:t>biweekly</w:t>
      </w:r>
      <w:r>
        <w:rPr>
          <w:spacing w:val="-2"/>
          <w:sz w:val="18"/>
        </w:rPr>
        <w:t xml:space="preserve"> </w:t>
      </w:r>
      <w:r>
        <w:rPr>
          <w:sz w:val="18"/>
        </w:rPr>
        <w:t>entity</w:t>
      </w:r>
      <w:r>
        <w:rPr>
          <w:spacing w:val="-2"/>
          <w:sz w:val="18"/>
        </w:rPr>
        <w:t xml:space="preserve"> </w:t>
      </w:r>
      <w:r>
        <w:rPr>
          <w:sz w:val="18"/>
        </w:rPr>
        <w:t>contribution</w:t>
      </w:r>
      <w:r>
        <w:rPr>
          <w:spacing w:val="-3"/>
          <w:sz w:val="18"/>
        </w:rPr>
        <w:t xml:space="preserve"> </w:t>
      </w:r>
      <w:r>
        <w:rPr>
          <w:sz w:val="18"/>
        </w:rPr>
        <w:t>shall</w:t>
      </w:r>
      <w:r>
        <w:rPr>
          <w:spacing w:val="-1"/>
          <w:sz w:val="18"/>
        </w:rPr>
        <w:t xml:space="preserve"> </w:t>
      </w:r>
      <w:r>
        <w:rPr>
          <w:sz w:val="18"/>
        </w:rPr>
        <w:t>be</w:t>
      </w:r>
      <w:r>
        <w:rPr>
          <w:spacing w:val="-3"/>
          <w:sz w:val="18"/>
        </w:rPr>
        <w:t xml:space="preserve"> </w:t>
      </w:r>
      <w:r>
        <w:rPr>
          <w:sz w:val="18"/>
        </w:rPr>
        <w:t>calculated</w:t>
      </w:r>
      <w:r>
        <w:rPr>
          <w:spacing w:val="-1"/>
          <w:sz w:val="18"/>
        </w:rPr>
        <w:t xml:space="preserve"> </w:t>
      </w:r>
      <w:r>
        <w:rPr>
          <w:sz w:val="18"/>
        </w:rPr>
        <w:t>on</w:t>
      </w:r>
      <w:r>
        <w:rPr>
          <w:spacing w:val="-3"/>
          <w:sz w:val="18"/>
        </w:rPr>
        <w:t xml:space="preserve"> </w:t>
      </w:r>
      <w:r>
        <w:rPr>
          <w:sz w:val="18"/>
        </w:rPr>
        <w:t>a</w:t>
      </w:r>
      <w:r>
        <w:rPr>
          <w:spacing w:val="-1"/>
          <w:sz w:val="18"/>
        </w:rPr>
        <w:t xml:space="preserve"> </w:t>
      </w:r>
      <w:r>
        <w:rPr>
          <w:sz w:val="18"/>
        </w:rPr>
        <w:t>pro</w:t>
      </w:r>
      <w:r>
        <w:rPr>
          <w:spacing w:val="-3"/>
          <w:sz w:val="18"/>
        </w:rPr>
        <w:t xml:space="preserve"> </w:t>
      </w:r>
      <w:r>
        <w:rPr>
          <w:sz w:val="18"/>
        </w:rPr>
        <w:t>rata</w:t>
      </w:r>
      <w:r>
        <w:rPr>
          <w:spacing w:val="-3"/>
          <w:sz w:val="18"/>
        </w:rPr>
        <w:t xml:space="preserve"> </w:t>
      </w:r>
      <w:r>
        <w:rPr>
          <w:sz w:val="18"/>
        </w:rPr>
        <w:t>basis</w:t>
      </w:r>
      <w:r>
        <w:rPr>
          <w:spacing w:val="-2"/>
          <w:sz w:val="18"/>
        </w:rPr>
        <w:t xml:space="preserve"> </w:t>
      </w:r>
      <w:r>
        <w:rPr>
          <w:sz w:val="18"/>
        </w:rPr>
        <w:t>based</w:t>
      </w:r>
      <w:r>
        <w:rPr>
          <w:spacing w:val="-3"/>
          <w:sz w:val="18"/>
        </w:rPr>
        <w:t xml:space="preserve"> </w:t>
      </w:r>
      <w:r>
        <w:rPr>
          <w:sz w:val="18"/>
        </w:rPr>
        <w:t>on</w:t>
      </w:r>
      <w:r>
        <w:rPr>
          <w:spacing w:val="-3"/>
          <w:sz w:val="18"/>
        </w:rPr>
        <w:t xml:space="preserve"> </w:t>
      </w:r>
      <w:r>
        <w:rPr>
          <w:sz w:val="18"/>
        </w:rPr>
        <w:t>the</w:t>
      </w:r>
      <w:r>
        <w:rPr>
          <w:spacing w:val="-3"/>
          <w:sz w:val="18"/>
        </w:rPr>
        <w:t xml:space="preserve"> </w:t>
      </w:r>
      <w:r>
        <w:rPr>
          <w:sz w:val="18"/>
        </w:rPr>
        <w:t>ratio</w:t>
      </w:r>
      <w:r>
        <w:rPr>
          <w:spacing w:val="-3"/>
          <w:sz w:val="18"/>
        </w:rPr>
        <w:t xml:space="preserve"> </w:t>
      </w:r>
      <w:r>
        <w:rPr>
          <w:sz w:val="18"/>
        </w:rPr>
        <w:t>of</w:t>
      </w:r>
      <w:r>
        <w:rPr>
          <w:spacing w:val="-2"/>
          <w:sz w:val="18"/>
        </w:rPr>
        <w:t xml:space="preserve"> </w:t>
      </w:r>
      <w:r>
        <w:rPr>
          <w:sz w:val="18"/>
        </w:rPr>
        <w:t>number of</w:t>
      </w:r>
      <w:r>
        <w:rPr>
          <w:spacing w:val="-2"/>
          <w:sz w:val="18"/>
        </w:rPr>
        <w:t xml:space="preserve"> </w:t>
      </w:r>
      <w:r>
        <w:rPr>
          <w:sz w:val="18"/>
        </w:rPr>
        <w:t>scheduled</w:t>
      </w:r>
      <w:r>
        <w:rPr>
          <w:spacing w:val="-3"/>
          <w:sz w:val="18"/>
        </w:rPr>
        <w:t xml:space="preserve"> </w:t>
      </w:r>
      <w:r>
        <w:rPr>
          <w:sz w:val="18"/>
        </w:rPr>
        <w:t>part-time</w:t>
      </w:r>
      <w:r>
        <w:rPr>
          <w:spacing w:val="-3"/>
          <w:sz w:val="18"/>
        </w:rPr>
        <w:t xml:space="preserve"> </w:t>
      </w:r>
      <w:r>
        <w:rPr>
          <w:sz w:val="18"/>
        </w:rPr>
        <w:t>hours</w:t>
      </w:r>
      <w:r>
        <w:rPr>
          <w:spacing w:val="-2"/>
          <w:sz w:val="18"/>
        </w:rPr>
        <w:t xml:space="preserve"> </w:t>
      </w:r>
      <w:r>
        <w:rPr>
          <w:sz w:val="18"/>
        </w:rPr>
        <w:t>to the number of scheduled regular hours for an employee serving full-time in a comparable position. 5 U.S.C. § 8906(b)(3).</w:t>
      </w:r>
    </w:p>
    <w:p w14:paraId="0DFDBC64" w14:textId="77777777" w:rsidR="00046465" w:rsidRDefault="00046465">
      <w:pPr>
        <w:spacing w:line="249" w:lineRule="auto"/>
        <w:rPr>
          <w:sz w:val="18"/>
        </w:rPr>
        <w:sectPr w:rsidR="00046465">
          <w:headerReference w:type="default" r:id="rId149"/>
          <w:footerReference w:type="default" r:id="rId150"/>
          <w:pgSz w:w="15840" w:h="12240" w:orient="landscape"/>
          <w:pgMar w:top="1380" w:right="1080" w:bottom="940" w:left="720" w:header="721" w:footer="742" w:gutter="0"/>
          <w:pgNumType w:start="1"/>
          <w:cols w:space="720"/>
        </w:sectPr>
      </w:pPr>
    </w:p>
    <w:p w14:paraId="0DFDBC65" w14:textId="77777777" w:rsidR="00046465" w:rsidRDefault="00046465">
      <w:pPr>
        <w:pStyle w:val="BodyText"/>
        <w:spacing w:before="9"/>
        <w:rPr>
          <w:sz w:val="7"/>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600"/>
        <w:gridCol w:w="2086"/>
        <w:gridCol w:w="1803"/>
        <w:gridCol w:w="1901"/>
        <w:gridCol w:w="2303"/>
        <w:gridCol w:w="70"/>
        <w:gridCol w:w="2624"/>
      </w:tblGrid>
      <w:tr w:rsidR="00046465" w14:paraId="0DFDBC6C" w14:textId="77777777">
        <w:trPr>
          <w:trHeight w:val="531"/>
        </w:trPr>
        <w:tc>
          <w:tcPr>
            <w:tcW w:w="2600" w:type="dxa"/>
            <w:vMerge w:val="restart"/>
            <w:tcBorders>
              <w:right w:val="nil"/>
            </w:tcBorders>
          </w:tcPr>
          <w:p w14:paraId="0DFDBC66" w14:textId="77777777" w:rsidR="00046465" w:rsidRDefault="008134EB">
            <w:pPr>
              <w:pStyle w:val="TableParagraph"/>
              <w:spacing w:before="144" w:line="523" w:lineRule="auto"/>
              <w:ind w:left="606" w:right="294" w:hanging="245"/>
            </w:pPr>
            <w:r>
              <w:rPr>
                <w:noProof/>
              </w:rPr>
              <mc:AlternateContent>
                <mc:Choice Requires="wpg">
                  <w:drawing>
                    <wp:anchor distT="0" distB="0" distL="0" distR="0" simplePos="0" relativeHeight="476162048" behindDoc="1" locked="0" layoutInCell="1" allowOverlap="1" wp14:anchorId="0DFDD6BB" wp14:editId="0DFDD6BC">
                      <wp:simplePos x="0" y="0"/>
                      <wp:positionH relativeFrom="column">
                        <wp:posOffset>1244346</wp:posOffset>
                      </wp:positionH>
                      <wp:positionV relativeFrom="paragraph">
                        <wp:posOffset>343622</wp:posOffset>
                      </wp:positionV>
                      <wp:extent cx="1155700" cy="6350"/>
                      <wp:effectExtent l="0" t="0" r="0" b="0"/>
                      <wp:wrapNone/>
                      <wp:docPr id="770" name="Group 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6350"/>
                                <a:chOff x="0" y="0"/>
                                <a:chExt cx="1155700" cy="6350"/>
                              </a:xfrm>
                            </wpg:grpSpPr>
                            <wps:wsp>
                              <wps:cNvPr id="771" name="Graphic 771"/>
                              <wps:cNvSpPr/>
                              <wps:spPr>
                                <a:xfrm>
                                  <a:off x="0" y="0"/>
                                  <a:ext cx="1155700" cy="6350"/>
                                </a:xfrm>
                                <a:custGeom>
                                  <a:avLst/>
                                  <a:gdLst/>
                                  <a:ahLst/>
                                  <a:cxnLst/>
                                  <a:rect l="l" t="t" r="r" b="b"/>
                                  <a:pathLst>
                                    <a:path w="1155700" h="6350">
                                      <a:moveTo>
                                        <a:pt x="1155179" y="0"/>
                                      </a:moveTo>
                                      <a:lnTo>
                                        <a:pt x="0" y="0"/>
                                      </a:lnTo>
                                      <a:lnTo>
                                        <a:pt x="0" y="6108"/>
                                      </a:lnTo>
                                      <a:lnTo>
                                        <a:pt x="1155179" y="6108"/>
                                      </a:lnTo>
                                      <a:lnTo>
                                        <a:pt x="1155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954056" id="Group 770" o:spid="_x0000_s1026" style="position:absolute;margin-left:98pt;margin-top:27.05pt;width:91pt;height:.5pt;z-index:-27154432;mso-wrap-distance-left:0;mso-wrap-distance-right:0" coordsize="115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">
                      <v:shape id="Graphic 771" o:spid="_x0000_s1027" style="position:absolute;width:11557;height:63;visibility:visible;mso-wrap-style:square;v-text-anchor:top" coordsize="1155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" path="m1155179,l,,,6108r1155179,l1155179,xe" fillcolor="black" stroked="f">
                        <v:path arrowok="t"/>
                      </v:shape>
                    </v:group>
                  </w:pict>
                </mc:Fallback>
              </mc:AlternateContent>
            </w:r>
            <w:r>
              <w:t>Name</w:t>
            </w:r>
            <w:r>
              <w:rPr>
                <w:spacing w:val="-16"/>
              </w:rPr>
              <w:t xml:space="preserve"> </w:t>
            </w:r>
            <w:r>
              <w:t>of</w:t>
            </w:r>
            <w:r>
              <w:rPr>
                <w:spacing w:val="-15"/>
              </w:rPr>
              <w:t xml:space="preserve"> </w:t>
            </w:r>
            <w:r>
              <w:t>entity: Audit</w:t>
            </w:r>
            <w:r>
              <w:rPr>
                <w:spacing w:val="-7"/>
              </w:rPr>
              <w:t xml:space="preserve"> </w:t>
            </w:r>
            <w:r>
              <w:rPr>
                <w:spacing w:val="-2"/>
              </w:rPr>
              <w:t>period:</w:t>
            </w:r>
          </w:p>
        </w:tc>
        <w:tc>
          <w:tcPr>
            <w:tcW w:w="2086" w:type="dxa"/>
            <w:vMerge w:val="restart"/>
            <w:tcBorders>
              <w:left w:val="nil"/>
              <w:right w:val="nil"/>
            </w:tcBorders>
          </w:tcPr>
          <w:p w14:paraId="0DFDBC67" w14:textId="77777777" w:rsidR="00046465" w:rsidRDefault="00046465">
            <w:pPr>
              <w:pStyle w:val="TableParagraph"/>
              <w:rPr>
                <w:rFonts w:ascii="Times New Roman"/>
                <w:sz w:val="18"/>
              </w:rPr>
            </w:pPr>
          </w:p>
        </w:tc>
        <w:tc>
          <w:tcPr>
            <w:tcW w:w="3704" w:type="dxa"/>
            <w:gridSpan w:val="2"/>
            <w:vMerge w:val="restart"/>
            <w:tcBorders>
              <w:left w:val="nil"/>
              <w:right w:val="nil"/>
            </w:tcBorders>
          </w:tcPr>
          <w:p w14:paraId="0DFDBC68" w14:textId="77777777" w:rsidR="00046465" w:rsidRDefault="00046465">
            <w:pPr>
              <w:pStyle w:val="TableParagraph"/>
              <w:spacing w:before="133"/>
              <w:rPr>
                <w:sz w:val="24"/>
              </w:rPr>
            </w:pPr>
          </w:p>
          <w:p w14:paraId="0DFDBC69" w14:textId="77777777" w:rsidR="00046465" w:rsidRDefault="008134EB">
            <w:pPr>
              <w:pStyle w:val="TableParagraph"/>
              <w:ind w:left="532"/>
              <w:rPr>
                <w:b/>
                <w:sz w:val="24"/>
              </w:rPr>
            </w:pPr>
            <w:r>
              <w:rPr>
                <w:b/>
                <w:sz w:val="24"/>
              </w:rPr>
              <w:t>Compliance</w:t>
            </w:r>
            <w:r>
              <w:rPr>
                <w:b/>
                <w:spacing w:val="-6"/>
                <w:sz w:val="24"/>
              </w:rPr>
              <w:t xml:space="preserve"> </w:t>
            </w:r>
            <w:r>
              <w:rPr>
                <w:b/>
                <w:spacing w:val="-2"/>
                <w:sz w:val="24"/>
              </w:rPr>
              <w:t>Summary</w:t>
            </w:r>
          </w:p>
        </w:tc>
        <w:tc>
          <w:tcPr>
            <w:tcW w:w="2373" w:type="dxa"/>
            <w:gridSpan w:val="2"/>
            <w:vMerge w:val="restart"/>
            <w:tcBorders>
              <w:left w:val="nil"/>
              <w:right w:val="nil"/>
            </w:tcBorders>
          </w:tcPr>
          <w:p w14:paraId="0DFDBC6A" w14:textId="77777777" w:rsidR="00046465" w:rsidRDefault="008134EB">
            <w:pPr>
              <w:pStyle w:val="TableParagraph"/>
              <w:spacing w:before="144" w:line="523" w:lineRule="auto"/>
              <w:ind w:left="953" w:right="95" w:firstLine="61"/>
            </w:pPr>
            <w:r>
              <w:t>Prepared</w:t>
            </w:r>
            <w:r>
              <w:rPr>
                <w:spacing w:val="-16"/>
              </w:rPr>
              <w:t xml:space="preserve"> </w:t>
            </w:r>
            <w:r>
              <w:t>by: Reviewed</w:t>
            </w:r>
            <w:r>
              <w:rPr>
                <w:spacing w:val="-12"/>
              </w:rPr>
              <w:t xml:space="preserve"> </w:t>
            </w:r>
            <w:r>
              <w:rPr>
                <w:spacing w:val="-5"/>
              </w:rPr>
              <w:t>by:</w:t>
            </w:r>
          </w:p>
        </w:tc>
        <w:tc>
          <w:tcPr>
            <w:tcW w:w="2624" w:type="dxa"/>
            <w:tcBorders>
              <w:left w:val="nil"/>
              <w:bottom w:val="single" w:sz="4" w:space="0" w:color="000000"/>
            </w:tcBorders>
          </w:tcPr>
          <w:p w14:paraId="0DFDBC6B" w14:textId="77777777" w:rsidR="00046465" w:rsidRDefault="00046465">
            <w:pPr>
              <w:pStyle w:val="TableParagraph"/>
              <w:rPr>
                <w:rFonts w:ascii="Times New Roman"/>
                <w:sz w:val="18"/>
              </w:rPr>
            </w:pPr>
          </w:p>
        </w:tc>
      </w:tr>
      <w:tr w:rsidR="00046465" w14:paraId="0DFDBC72" w14:textId="77777777">
        <w:trPr>
          <w:trHeight w:val="520"/>
        </w:trPr>
        <w:tc>
          <w:tcPr>
            <w:tcW w:w="2600" w:type="dxa"/>
            <w:vMerge/>
            <w:tcBorders>
              <w:top w:val="nil"/>
              <w:right w:val="nil"/>
            </w:tcBorders>
          </w:tcPr>
          <w:p w14:paraId="0DFDBC6D" w14:textId="77777777" w:rsidR="00046465" w:rsidRDefault="00046465">
            <w:pPr>
              <w:rPr>
                <w:sz w:val="2"/>
                <w:szCs w:val="2"/>
              </w:rPr>
            </w:pPr>
          </w:p>
        </w:tc>
        <w:tc>
          <w:tcPr>
            <w:tcW w:w="2086" w:type="dxa"/>
            <w:vMerge/>
            <w:tcBorders>
              <w:top w:val="nil"/>
              <w:left w:val="nil"/>
              <w:right w:val="nil"/>
            </w:tcBorders>
          </w:tcPr>
          <w:p w14:paraId="0DFDBC6E" w14:textId="77777777" w:rsidR="00046465" w:rsidRDefault="00046465">
            <w:pPr>
              <w:rPr>
                <w:sz w:val="2"/>
                <w:szCs w:val="2"/>
              </w:rPr>
            </w:pPr>
          </w:p>
        </w:tc>
        <w:tc>
          <w:tcPr>
            <w:tcW w:w="3704" w:type="dxa"/>
            <w:gridSpan w:val="2"/>
            <w:vMerge/>
            <w:tcBorders>
              <w:top w:val="nil"/>
              <w:left w:val="nil"/>
              <w:right w:val="nil"/>
            </w:tcBorders>
          </w:tcPr>
          <w:p w14:paraId="0DFDBC6F" w14:textId="77777777" w:rsidR="00046465" w:rsidRDefault="00046465">
            <w:pPr>
              <w:rPr>
                <w:sz w:val="2"/>
                <w:szCs w:val="2"/>
              </w:rPr>
            </w:pPr>
          </w:p>
        </w:tc>
        <w:tc>
          <w:tcPr>
            <w:tcW w:w="2373" w:type="dxa"/>
            <w:gridSpan w:val="2"/>
            <w:vMerge/>
            <w:tcBorders>
              <w:top w:val="nil"/>
              <w:left w:val="nil"/>
              <w:right w:val="nil"/>
            </w:tcBorders>
          </w:tcPr>
          <w:p w14:paraId="0DFDBC70" w14:textId="77777777" w:rsidR="00046465" w:rsidRDefault="00046465">
            <w:pPr>
              <w:rPr>
                <w:sz w:val="2"/>
                <w:szCs w:val="2"/>
              </w:rPr>
            </w:pPr>
          </w:p>
        </w:tc>
        <w:tc>
          <w:tcPr>
            <w:tcW w:w="2624" w:type="dxa"/>
            <w:tcBorders>
              <w:top w:val="single" w:sz="4" w:space="0" w:color="000000"/>
              <w:left w:val="nil"/>
              <w:bottom w:val="single" w:sz="4" w:space="0" w:color="000000"/>
            </w:tcBorders>
          </w:tcPr>
          <w:p w14:paraId="0DFDBC71" w14:textId="77777777" w:rsidR="00046465" w:rsidRDefault="00046465">
            <w:pPr>
              <w:pStyle w:val="TableParagraph"/>
              <w:rPr>
                <w:rFonts w:ascii="Times New Roman"/>
                <w:sz w:val="18"/>
              </w:rPr>
            </w:pPr>
          </w:p>
        </w:tc>
      </w:tr>
      <w:tr w:rsidR="00046465" w14:paraId="0DFDBC78" w14:textId="77777777">
        <w:trPr>
          <w:trHeight w:val="462"/>
        </w:trPr>
        <w:tc>
          <w:tcPr>
            <w:tcW w:w="2600" w:type="dxa"/>
            <w:vMerge/>
            <w:tcBorders>
              <w:top w:val="nil"/>
              <w:right w:val="nil"/>
            </w:tcBorders>
          </w:tcPr>
          <w:p w14:paraId="0DFDBC73" w14:textId="77777777" w:rsidR="00046465" w:rsidRDefault="00046465">
            <w:pPr>
              <w:rPr>
                <w:sz w:val="2"/>
                <w:szCs w:val="2"/>
              </w:rPr>
            </w:pPr>
          </w:p>
        </w:tc>
        <w:tc>
          <w:tcPr>
            <w:tcW w:w="2086" w:type="dxa"/>
            <w:vMerge/>
            <w:tcBorders>
              <w:top w:val="nil"/>
              <w:left w:val="nil"/>
              <w:right w:val="nil"/>
            </w:tcBorders>
          </w:tcPr>
          <w:p w14:paraId="0DFDBC74" w14:textId="77777777" w:rsidR="00046465" w:rsidRDefault="00046465">
            <w:pPr>
              <w:rPr>
                <w:sz w:val="2"/>
                <w:szCs w:val="2"/>
              </w:rPr>
            </w:pPr>
          </w:p>
        </w:tc>
        <w:tc>
          <w:tcPr>
            <w:tcW w:w="3704" w:type="dxa"/>
            <w:gridSpan w:val="2"/>
            <w:vMerge/>
            <w:tcBorders>
              <w:top w:val="nil"/>
              <w:left w:val="nil"/>
              <w:right w:val="nil"/>
            </w:tcBorders>
          </w:tcPr>
          <w:p w14:paraId="0DFDBC75" w14:textId="77777777" w:rsidR="00046465" w:rsidRDefault="00046465">
            <w:pPr>
              <w:rPr>
                <w:sz w:val="2"/>
                <w:szCs w:val="2"/>
              </w:rPr>
            </w:pPr>
          </w:p>
        </w:tc>
        <w:tc>
          <w:tcPr>
            <w:tcW w:w="2373" w:type="dxa"/>
            <w:gridSpan w:val="2"/>
            <w:vMerge/>
            <w:tcBorders>
              <w:top w:val="nil"/>
              <w:left w:val="nil"/>
              <w:right w:val="nil"/>
            </w:tcBorders>
          </w:tcPr>
          <w:p w14:paraId="0DFDBC76" w14:textId="77777777" w:rsidR="00046465" w:rsidRDefault="00046465">
            <w:pPr>
              <w:rPr>
                <w:sz w:val="2"/>
                <w:szCs w:val="2"/>
              </w:rPr>
            </w:pPr>
          </w:p>
        </w:tc>
        <w:tc>
          <w:tcPr>
            <w:tcW w:w="2624" w:type="dxa"/>
            <w:tcBorders>
              <w:top w:val="single" w:sz="4" w:space="0" w:color="000000"/>
              <w:left w:val="nil"/>
            </w:tcBorders>
          </w:tcPr>
          <w:p w14:paraId="0DFDBC77" w14:textId="77777777" w:rsidR="00046465" w:rsidRDefault="00046465">
            <w:pPr>
              <w:pStyle w:val="TableParagraph"/>
              <w:rPr>
                <w:rFonts w:ascii="Times New Roman"/>
                <w:sz w:val="18"/>
              </w:rPr>
            </w:pPr>
          </w:p>
        </w:tc>
      </w:tr>
      <w:tr w:rsidR="00046465" w14:paraId="0DFDBC82" w14:textId="77777777">
        <w:trPr>
          <w:trHeight w:val="793"/>
        </w:trPr>
        <w:tc>
          <w:tcPr>
            <w:tcW w:w="2600" w:type="dxa"/>
            <w:tcBorders>
              <w:right w:val="single" w:sz="4" w:space="0" w:color="000000"/>
            </w:tcBorders>
          </w:tcPr>
          <w:p w14:paraId="0DFDBC79" w14:textId="77777777" w:rsidR="00046465" w:rsidRDefault="00046465">
            <w:pPr>
              <w:pStyle w:val="TableParagraph"/>
              <w:spacing w:before="143"/>
            </w:pPr>
          </w:p>
          <w:p w14:paraId="0DFDBC7A" w14:textId="77777777" w:rsidR="00046465" w:rsidRDefault="008134EB">
            <w:pPr>
              <w:pStyle w:val="TableParagraph"/>
              <w:ind w:left="97"/>
            </w:pPr>
            <w:r>
              <w:t>Provision</w:t>
            </w:r>
            <w:r>
              <w:rPr>
                <w:spacing w:val="-11"/>
              </w:rPr>
              <w:t xml:space="preserve"> </w:t>
            </w:r>
            <w:r>
              <w:rPr>
                <w:spacing w:val="-2"/>
              </w:rPr>
              <w:t>Description</w:t>
            </w:r>
          </w:p>
        </w:tc>
        <w:tc>
          <w:tcPr>
            <w:tcW w:w="2086" w:type="dxa"/>
            <w:tcBorders>
              <w:left w:val="single" w:sz="4" w:space="0" w:color="000000"/>
              <w:right w:val="single" w:sz="4" w:space="0" w:color="000000"/>
            </w:tcBorders>
          </w:tcPr>
          <w:p w14:paraId="0DFDBC7B" w14:textId="77777777" w:rsidR="00046465" w:rsidRDefault="00046465">
            <w:pPr>
              <w:pStyle w:val="TableParagraph"/>
              <w:spacing w:before="143"/>
            </w:pPr>
          </w:p>
          <w:p w14:paraId="0DFDBC7C" w14:textId="77777777" w:rsidR="00046465" w:rsidRDefault="008134EB">
            <w:pPr>
              <w:pStyle w:val="TableParagraph"/>
              <w:ind w:left="108"/>
            </w:pPr>
            <w:r>
              <w:rPr>
                <w:noProof/>
              </w:rPr>
              <mc:AlternateContent>
                <mc:Choice Requires="wpg">
                  <w:drawing>
                    <wp:anchor distT="0" distB="0" distL="0" distR="0" simplePos="0" relativeHeight="476162560" behindDoc="1" locked="0" layoutInCell="1" allowOverlap="1" wp14:anchorId="0DFDD6BD" wp14:editId="0DFDD6BE">
                      <wp:simplePos x="0" y="0"/>
                      <wp:positionH relativeFrom="column">
                        <wp:posOffset>-406908</wp:posOffset>
                      </wp:positionH>
                      <wp:positionV relativeFrom="paragraph">
                        <wp:posOffset>-576873</wp:posOffset>
                      </wp:positionV>
                      <wp:extent cx="1155700" cy="6350"/>
                      <wp:effectExtent l="0" t="0" r="0" b="0"/>
                      <wp:wrapNone/>
                      <wp:docPr id="772"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6350"/>
                                <a:chOff x="0" y="0"/>
                                <a:chExt cx="1155700" cy="6350"/>
                              </a:xfrm>
                            </wpg:grpSpPr>
                            <wps:wsp>
                              <wps:cNvPr id="773" name="Graphic 773"/>
                              <wps:cNvSpPr/>
                              <wps:spPr>
                                <a:xfrm>
                                  <a:off x="0" y="0"/>
                                  <a:ext cx="1155700" cy="6350"/>
                                </a:xfrm>
                                <a:custGeom>
                                  <a:avLst/>
                                  <a:gdLst/>
                                  <a:ahLst/>
                                  <a:cxnLst/>
                                  <a:rect l="l" t="t" r="r" b="b"/>
                                  <a:pathLst>
                                    <a:path w="1155700" h="6350">
                                      <a:moveTo>
                                        <a:pt x="1155179" y="0"/>
                                      </a:moveTo>
                                      <a:lnTo>
                                        <a:pt x="0" y="0"/>
                                      </a:lnTo>
                                      <a:lnTo>
                                        <a:pt x="0" y="6108"/>
                                      </a:lnTo>
                                      <a:lnTo>
                                        <a:pt x="1155179" y="6108"/>
                                      </a:lnTo>
                                      <a:lnTo>
                                        <a:pt x="1155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FA4FAC4" id="Group 772" o:spid="_x0000_s1026" style="position:absolute;margin-left:-32.05pt;margin-top:-45.4pt;width:91pt;height:.5pt;z-index:-27153920;mso-wrap-distance-left:0;mso-wrap-distance-right:0" coordsize="115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">
                      <v:shape id="Graphic 773" o:spid="_x0000_s1027" style="position:absolute;width:11557;height:63;visibility:visible;mso-wrap-style:square;v-text-anchor:top" coordsize="1155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" path="m1155179,l,,,6108r1155179,l1155179,xe" fillcolor="black" stroked="f">
                        <v:path arrowok="t"/>
                      </v:shape>
                    </v:group>
                  </w:pict>
                </mc:Fallback>
              </mc:AlternateContent>
            </w:r>
            <w:r>
              <w:rPr>
                <w:spacing w:val="-2"/>
              </w:rPr>
              <w:t>Objective</w:t>
            </w:r>
          </w:p>
        </w:tc>
        <w:tc>
          <w:tcPr>
            <w:tcW w:w="1803" w:type="dxa"/>
            <w:tcBorders>
              <w:left w:val="single" w:sz="4" w:space="0" w:color="000000"/>
              <w:right w:val="single" w:sz="4" w:space="0" w:color="000000"/>
            </w:tcBorders>
          </w:tcPr>
          <w:p w14:paraId="0DFDBC7D" w14:textId="77777777" w:rsidR="00046465" w:rsidRDefault="008134EB">
            <w:pPr>
              <w:pStyle w:val="TableParagraph"/>
              <w:spacing w:before="143"/>
              <w:ind w:left="109" w:right="160"/>
            </w:pPr>
            <w:r>
              <w:rPr>
                <w:spacing w:val="-2"/>
              </w:rPr>
              <w:t>Control Activities</w:t>
            </w:r>
          </w:p>
        </w:tc>
        <w:tc>
          <w:tcPr>
            <w:tcW w:w="1901" w:type="dxa"/>
            <w:tcBorders>
              <w:left w:val="single" w:sz="4" w:space="0" w:color="000000"/>
              <w:right w:val="single" w:sz="4" w:space="0" w:color="000000"/>
            </w:tcBorders>
          </w:tcPr>
          <w:p w14:paraId="0DFDBC7E" w14:textId="77777777" w:rsidR="00046465" w:rsidRDefault="00046465">
            <w:pPr>
              <w:pStyle w:val="TableParagraph"/>
              <w:spacing w:before="143"/>
            </w:pPr>
          </w:p>
          <w:p w14:paraId="0DFDBC7F" w14:textId="77777777" w:rsidR="00046465" w:rsidRDefault="008134EB">
            <w:pPr>
              <w:pStyle w:val="TableParagraph"/>
              <w:ind w:left="109"/>
            </w:pPr>
            <w:r>
              <w:t>IS</w:t>
            </w:r>
            <w:r>
              <w:rPr>
                <w:spacing w:val="-3"/>
              </w:rPr>
              <w:t xml:space="preserve"> </w:t>
            </w:r>
            <w:r>
              <w:rPr>
                <w:spacing w:val="-2"/>
              </w:rPr>
              <w:t>(Y/N)</w:t>
            </w:r>
          </w:p>
        </w:tc>
        <w:tc>
          <w:tcPr>
            <w:tcW w:w="2303" w:type="dxa"/>
            <w:tcBorders>
              <w:left w:val="single" w:sz="4" w:space="0" w:color="000000"/>
              <w:right w:val="single" w:sz="4" w:space="0" w:color="000000"/>
            </w:tcBorders>
          </w:tcPr>
          <w:p w14:paraId="0DFDBC80" w14:textId="77777777" w:rsidR="00046465" w:rsidRDefault="008134EB">
            <w:pPr>
              <w:pStyle w:val="TableParagraph"/>
              <w:spacing w:before="143"/>
              <w:ind w:left="110" w:right="502"/>
            </w:pPr>
            <w:r>
              <w:rPr>
                <w:spacing w:val="-2"/>
              </w:rPr>
              <w:t>Effective controls?</w:t>
            </w:r>
          </w:p>
        </w:tc>
        <w:tc>
          <w:tcPr>
            <w:tcW w:w="2694" w:type="dxa"/>
            <w:gridSpan w:val="2"/>
            <w:tcBorders>
              <w:left w:val="single" w:sz="4" w:space="0" w:color="000000"/>
            </w:tcBorders>
          </w:tcPr>
          <w:p w14:paraId="0DFDBC81" w14:textId="77777777" w:rsidR="00046465" w:rsidRDefault="008134EB">
            <w:pPr>
              <w:pStyle w:val="TableParagraph"/>
              <w:spacing w:before="143"/>
              <w:ind w:left="111" w:right="87"/>
            </w:pPr>
            <w:r>
              <w:t xml:space="preserve">Instances of </w:t>
            </w:r>
            <w:r>
              <w:rPr>
                <w:spacing w:val="-2"/>
              </w:rPr>
              <w:t>noncompliance?</w:t>
            </w:r>
          </w:p>
        </w:tc>
      </w:tr>
      <w:tr w:rsidR="00046465" w14:paraId="0DFDBC8D" w14:textId="77777777">
        <w:trPr>
          <w:trHeight w:val="3682"/>
        </w:trPr>
        <w:tc>
          <w:tcPr>
            <w:tcW w:w="2600" w:type="dxa"/>
            <w:tcBorders>
              <w:bottom w:val="single" w:sz="4" w:space="0" w:color="000000"/>
              <w:right w:val="single" w:sz="4" w:space="0" w:color="000000"/>
            </w:tcBorders>
          </w:tcPr>
          <w:p w14:paraId="0DFDBC83" w14:textId="77777777" w:rsidR="00046465" w:rsidRDefault="008134EB">
            <w:pPr>
              <w:pStyle w:val="TableParagraph"/>
              <w:spacing w:before="143"/>
              <w:ind w:left="97"/>
              <w:rPr>
                <w:sz w:val="18"/>
              </w:rPr>
            </w:pPr>
            <w:r>
              <w:rPr>
                <w:smallCaps/>
                <w:sz w:val="18"/>
              </w:rPr>
              <w:t>809.02.</w:t>
            </w:r>
            <w:r>
              <w:rPr>
                <w:smallCaps/>
                <w:spacing w:val="-5"/>
                <w:sz w:val="18"/>
              </w:rPr>
              <w:t xml:space="preserve"> </w:t>
            </w:r>
            <w:r>
              <w:rPr>
                <w:smallCaps/>
                <w:spacing w:val="17"/>
                <w:sz w:val="18"/>
              </w:rPr>
              <w:t xml:space="preserve"> </w:t>
            </w:r>
            <w:r>
              <w:rPr>
                <w:smallCaps/>
                <w:sz w:val="18"/>
              </w:rPr>
              <w:t>Payment</w:t>
            </w:r>
            <w:r>
              <w:rPr>
                <w:smallCaps/>
                <w:spacing w:val="-1"/>
                <w:sz w:val="18"/>
              </w:rPr>
              <w:t xml:space="preserve"> </w:t>
            </w:r>
            <w:r>
              <w:rPr>
                <w:smallCaps/>
                <w:spacing w:val="-2"/>
                <w:sz w:val="18"/>
              </w:rPr>
              <w:t>Source</w:t>
            </w:r>
          </w:p>
          <w:p w14:paraId="0DFDBC84" w14:textId="77777777" w:rsidR="00046465" w:rsidRDefault="008134EB">
            <w:pPr>
              <w:pStyle w:val="TableParagraph"/>
              <w:spacing w:before="1"/>
              <w:ind w:left="817" w:right="335"/>
              <w:rPr>
                <w:sz w:val="18"/>
              </w:rPr>
            </w:pPr>
            <w:r>
              <w:rPr>
                <w:smallCaps/>
                <w:sz w:val="18"/>
              </w:rPr>
              <w:t>for Entity’s</w:t>
            </w:r>
            <w:r>
              <w:rPr>
                <w:smallCaps/>
                <w:spacing w:val="40"/>
                <w:sz w:val="18"/>
              </w:rPr>
              <w:t xml:space="preserve"> </w:t>
            </w:r>
            <w:r>
              <w:rPr>
                <w:smallCaps/>
                <w:sz w:val="18"/>
              </w:rPr>
              <w:t>Employee</w:t>
            </w:r>
            <w:r>
              <w:rPr>
                <w:smallCaps/>
                <w:spacing w:val="-10"/>
                <w:sz w:val="18"/>
              </w:rPr>
              <w:t xml:space="preserve"> </w:t>
            </w:r>
            <w:r>
              <w:rPr>
                <w:smallCaps/>
                <w:sz w:val="18"/>
              </w:rPr>
              <w:t>Health</w:t>
            </w:r>
            <w:r>
              <w:rPr>
                <w:smallCaps/>
                <w:spacing w:val="40"/>
                <w:sz w:val="18"/>
              </w:rPr>
              <w:t xml:space="preserve"> </w:t>
            </w:r>
            <w:r>
              <w:rPr>
                <w:smallCaps/>
                <w:spacing w:val="-2"/>
                <w:sz w:val="18"/>
              </w:rPr>
              <w:t>Insurance</w:t>
            </w:r>
            <w:r>
              <w:rPr>
                <w:smallCaps/>
                <w:spacing w:val="40"/>
                <w:sz w:val="18"/>
              </w:rPr>
              <w:t xml:space="preserve"> </w:t>
            </w:r>
            <w:r>
              <w:rPr>
                <w:smallCaps/>
                <w:spacing w:val="-2"/>
                <w:sz w:val="18"/>
              </w:rPr>
              <w:t>Contributions.</w:t>
            </w:r>
          </w:p>
          <w:p w14:paraId="0DFDBC85" w14:textId="77777777" w:rsidR="00046465" w:rsidRDefault="008134EB">
            <w:pPr>
              <w:pStyle w:val="TableParagraph"/>
              <w:spacing w:before="144"/>
              <w:ind w:left="97" w:right="100"/>
              <w:rPr>
                <w:sz w:val="18"/>
              </w:rPr>
            </w:pPr>
            <w:r>
              <w:rPr>
                <w:sz w:val="18"/>
              </w:rPr>
              <w:t>Provision</w:t>
            </w:r>
            <w:r>
              <w:rPr>
                <w:spacing w:val="-15"/>
                <w:sz w:val="18"/>
              </w:rPr>
              <w:t xml:space="preserve"> </w:t>
            </w:r>
            <w:r>
              <w:rPr>
                <w:sz w:val="18"/>
              </w:rPr>
              <w:t>Types:</w:t>
            </w:r>
            <w:r>
              <w:rPr>
                <w:spacing w:val="-12"/>
                <w:sz w:val="18"/>
              </w:rPr>
              <w:t xml:space="preserve"> </w:t>
            </w:r>
            <w:r>
              <w:rPr>
                <w:sz w:val="18"/>
              </w:rPr>
              <w:t>Transaction-based and quantitative-</w:t>
            </w:r>
            <w:r>
              <w:rPr>
                <w:spacing w:val="-2"/>
                <w:sz w:val="18"/>
              </w:rPr>
              <w:t>based.</w:t>
            </w:r>
          </w:p>
          <w:p w14:paraId="0DFDBC86" w14:textId="77777777" w:rsidR="00046465" w:rsidRDefault="008134EB">
            <w:pPr>
              <w:pStyle w:val="TableParagraph"/>
              <w:spacing w:before="144"/>
              <w:ind w:left="97" w:right="130"/>
              <w:rPr>
                <w:sz w:val="18"/>
              </w:rPr>
            </w:pPr>
            <w:r>
              <w:rPr>
                <w:sz w:val="18"/>
              </w:rPr>
              <w:t>For</w:t>
            </w:r>
            <w:r>
              <w:rPr>
                <w:spacing w:val="-4"/>
                <w:sz w:val="18"/>
              </w:rPr>
              <w:t xml:space="preserve"> </w:t>
            </w:r>
            <w:r>
              <w:rPr>
                <w:sz w:val="18"/>
              </w:rPr>
              <w:t>employees</w:t>
            </w:r>
            <w:r>
              <w:rPr>
                <w:spacing w:val="-3"/>
                <w:sz w:val="18"/>
              </w:rPr>
              <w:t xml:space="preserve"> </w:t>
            </w:r>
            <w:r>
              <w:rPr>
                <w:sz w:val="18"/>
              </w:rPr>
              <w:t>generally,</w:t>
            </w:r>
            <w:r>
              <w:rPr>
                <w:spacing w:val="-4"/>
                <w:sz w:val="18"/>
              </w:rPr>
              <w:t xml:space="preserve"> </w:t>
            </w:r>
            <w:r>
              <w:rPr>
                <w:sz w:val="18"/>
              </w:rPr>
              <w:t>the entity</w:t>
            </w:r>
            <w:r>
              <w:rPr>
                <w:spacing w:val="-10"/>
                <w:sz w:val="18"/>
              </w:rPr>
              <w:t xml:space="preserve"> </w:t>
            </w:r>
            <w:r>
              <w:rPr>
                <w:sz w:val="18"/>
              </w:rPr>
              <w:t>contribution</w:t>
            </w:r>
            <w:r>
              <w:rPr>
                <w:spacing w:val="-11"/>
                <w:sz w:val="18"/>
              </w:rPr>
              <w:t xml:space="preserve"> </w:t>
            </w:r>
            <w:r>
              <w:rPr>
                <w:sz w:val="18"/>
              </w:rPr>
              <w:t>for</w:t>
            </w:r>
            <w:r>
              <w:rPr>
                <w:spacing w:val="-10"/>
                <w:sz w:val="18"/>
              </w:rPr>
              <w:t xml:space="preserve"> </w:t>
            </w:r>
            <w:r>
              <w:rPr>
                <w:sz w:val="18"/>
              </w:rPr>
              <w:t>the</w:t>
            </w:r>
            <w:r>
              <w:rPr>
                <w:spacing w:val="-11"/>
                <w:sz w:val="18"/>
              </w:rPr>
              <w:t xml:space="preserve"> </w:t>
            </w:r>
            <w:r>
              <w:rPr>
                <w:sz w:val="18"/>
              </w:rPr>
              <w:t>cost of health insurance shall be paid from the appropriation account or fund that is used to pay the employee. 5</w:t>
            </w:r>
          </w:p>
          <w:p w14:paraId="0DFDBC87" w14:textId="77777777" w:rsidR="00046465" w:rsidRDefault="008134EB">
            <w:pPr>
              <w:pStyle w:val="TableParagraph"/>
              <w:spacing w:before="1"/>
              <w:ind w:left="97"/>
              <w:rPr>
                <w:sz w:val="18"/>
              </w:rPr>
            </w:pPr>
            <w:r>
              <w:rPr>
                <w:sz w:val="18"/>
              </w:rPr>
              <w:t>U.S.C.</w:t>
            </w:r>
            <w:r>
              <w:rPr>
                <w:spacing w:val="-2"/>
                <w:sz w:val="18"/>
              </w:rPr>
              <w:t xml:space="preserve"> </w:t>
            </w:r>
            <w:r>
              <w:rPr>
                <w:sz w:val="18"/>
              </w:rPr>
              <w:t>§</w:t>
            </w:r>
            <w:r>
              <w:rPr>
                <w:spacing w:val="-2"/>
                <w:sz w:val="18"/>
              </w:rPr>
              <w:t xml:space="preserve"> 8906(f)(1).</w:t>
            </w:r>
          </w:p>
        </w:tc>
        <w:tc>
          <w:tcPr>
            <w:tcW w:w="2086" w:type="dxa"/>
            <w:tcBorders>
              <w:left w:val="single" w:sz="4" w:space="0" w:color="000000"/>
              <w:bottom w:val="single" w:sz="4" w:space="0" w:color="000000"/>
              <w:right w:val="single" w:sz="4" w:space="0" w:color="000000"/>
            </w:tcBorders>
          </w:tcPr>
          <w:p w14:paraId="0DFDBC88" w14:textId="77777777" w:rsidR="00046465" w:rsidRDefault="008134EB">
            <w:pPr>
              <w:pStyle w:val="TableParagraph"/>
              <w:spacing w:before="143"/>
              <w:ind w:left="108" w:right="96"/>
              <w:rPr>
                <w:sz w:val="18"/>
              </w:rPr>
            </w:pPr>
            <w:r>
              <w:rPr>
                <w:sz w:val="18"/>
              </w:rPr>
              <w:t>Entity</w:t>
            </w:r>
            <w:r>
              <w:rPr>
                <w:spacing w:val="-15"/>
                <w:sz w:val="18"/>
              </w:rPr>
              <w:t xml:space="preserve"> </w:t>
            </w:r>
            <w:r>
              <w:rPr>
                <w:sz w:val="18"/>
              </w:rPr>
              <w:t>contributions</w:t>
            </w:r>
            <w:r>
              <w:rPr>
                <w:spacing w:val="-12"/>
                <w:sz w:val="18"/>
              </w:rPr>
              <w:t xml:space="preserve"> </w:t>
            </w:r>
            <w:r>
              <w:rPr>
                <w:sz w:val="18"/>
              </w:rPr>
              <w:t>for the cost of employee health insurance are summarized properly and charged to the proper appropriation account or fund.</w:t>
            </w:r>
          </w:p>
        </w:tc>
        <w:tc>
          <w:tcPr>
            <w:tcW w:w="1803" w:type="dxa"/>
            <w:tcBorders>
              <w:left w:val="single" w:sz="4" w:space="0" w:color="000000"/>
              <w:bottom w:val="single" w:sz="4" w:space="0" w:color="000000"/>
              <w:right w:val="single" w:sz="4" w:space="0" w:color="000000"/>
            </w:tcBorders>
          </w:tcPr>
          <w:p w14:paraId="0DFDBC89" w14:textId="77777777" w:rsidR="00046465" w:rsidRDefault="00046465">
            <w:pPr>
              <w:pStyle w:val="TableParagraph"/>
              <w:rPr>
                <w:rFonts w:ascii="Times New Roman"/>
                <w:sz w:val="18"/>
              </w:rPr>
            </w:pPr>
          </w:p>
        </w:tc>
        <w:tc>
          <w:tcPr>
            <w:tcW w:w="1901" w:type="dxa"/>
            <w:tcBorders>
              <w:left w:val="single" w:sz="4" w:space="0" w:color="000000"/>
              <w:bottom w:val="single" w:sz="4" w:space="0" w:color="000000"/>
              <w:right w:val="single" w:sz="4" w:space="0" w:color="000000"/>
            </w:tcBorders>
          </w:tcPr>
          <w:p w14:paraId="0DFDBC8A" w14:textId="77777777" w:rsidR="00046465" w:rsidRDefault="00046465">
            <w:pPr>
              <w:pStyle w:val="TableParagraph"/>
              <w:rPr>
                <w:rFonts w:ascii="Times New Roman"/>
                <w:sz w:val="18"/>
              </w:rPr>
            </w:pPr>
          </w:p>
        </w:tc>
        <w:tc>
          <w:tcPr>
            <w:tcW w:w="2303" w:type="dxa"/>
            <w:tcBorders>
              <w:left w:val="single" w:sz="4" w:space="0" w:color="000000"/>
              <w:bottom w:val="single" w:sz="4" w:space="0" w:color="000000"/>
              <w:right w:val="single" w:sz="4" w:space="0" w:color="000000"/>
            </w:tcBorders>
          </w:tcPr>
          <w:p w14:paraId="0DFDBC8B" w14:textId="77777777" w:rsidR="00046465" w:rsidRDefault="00046465">
            <w:pPr>
              <w:pStyle w:val="TableParagraph"/>
              <w:rPr>
                <w:rFonts w:ascii="Times New Roman"/>
                <w:sz w:val="18"/>
              </w:rPr>
            </w:pPr>
          </w:p>
        </w:tc>
        <w:tc>
          <w:tcPr>
            <w:tcW w:w="2694" w:type="dxa"/>
            <w:gridSpan w:val="2"/>
            <w:tcBorders>
              <w:left w:val="single" w:sz="4" w:space="0" w:color="000000"/>
              <w:bottom w:val="single" w:sz="4" w:space="0" w:color="000000"/>
            </w:tcBorders>
          </w:tcPr>
          <w:p w14:paraId="0DFDBC8C" w14:textId="77777777" w:rsidR="00046465" w:rsidRDefault="008134EB">
            <w:pPr>
              <w:pStyle w:val="TableParagraph"/>
              <w:spacing w:before="143"/>
              <w:ind w:left="111" w:right="87"/>
              <w:rPr>
                <w:sz w:val="18"/>
              </w:rPr>
            </w:pPr>
            <w:r>
              <w:rPr>
                <w:sz w:val="18"/>
              </w:rPr>
              <w:t>See Compliance Audit Procedures,</w:t>
            </w:r>
            <w:r>
              <w:rPr>
                <w:spacing w:val="-10"/>
                <w:sz w:val="18"/>
              </w:rPr>
              <w:t xml:space="preserve"> </w:t>
            </w:r>
            <w:r>
              <w:rPr>
                <w:sz w:val="18"/>
              </w:rPr>
              <w:t>FAM</w:t>
            </w:r>
            <w:r>
              <w:rPr>
                <w:spacing w:val="-10"/>
                <w:sz w:val="18"/>
              </w:rPr>
              <w:t xml:space="preserve"> </w:t>
            </w:r>
            <w:r>
              <w:rPr>
                <w:sz w:val="18"/>
              </w:rPr>
              <w:t>809</w:t>
            </w:r>
            <w:r>
              <w:rPr>
                <w:spacing w:val="-10"/>
                <w:sz w:val="18"/>
              </w:rPr>
              <w:t xml:space="preserve"> </w:t>
            </w:r>
            <w:r>
              <w:rPr>
                <w:sz w:val="18"/>
              </w:rPr>
              <w:t>step</w:t>
            </w:r>
            <w:r>
              <w:rPr>
                <w:spacing w:val="-10"/>
                <w:sz w:val="18"/>
              </w:rPr>
              <w:t xml:space="preserve"> </w:t>
            </w:r>
            <w:r>
              <w:rPr>
                <w:sz w:val="18"/>
              </w:rPr>
              <w:t xml:space="preserve">4 </w:t>
            </w:r>
            <w:r>
              <w:rPr>
                <w:spacing w:val="-4"/>
                <w:sz w:val="18"/>
              </w:rPr>
              <w:t>(c).</w:t>
            </w:r>
          </w:p>
        </w:tc>
      </w:tr>
    </w:tbl>
    <w:p w14:paraId="0DFDBC8E" w14:textId="77777777" w:rsidR="00046465" w:rsidRDefault="00046465">
      <w:pPr>
        <w:pStyle w:val="TableParagraph"/>
        <w:rPr>
          <w:sz w:val="18"/>
        </w:rPr>
        <w:sectPr w:rsidR="00046465">
          <w:pgSz w:w="15840" w:h="12240" w:orient="landscape"/>
          <w:pgMar w:top="1380" w:right="1080" w:bottom="940" w:left="720" w:header="721" w:footer="742" w:gutter="0"/>
          <w:cols w:space="720"/>
        </w:sectPr>
      </w:pPr>
    </w:p>
    <w:p w14:paraId="0DFDBC8F" w14:textId="77777777" w:rsidR="00046465" w:rsidRDefault="00046465">
      <w:pPr>
        <w:pStyle w:val="BodyText"/>
        <w:spacing w:before="9"/>
        <w:rPr>
          <w:sz w:val="7"/>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2600"/>
        <w:gridCol w:w="2086"/>
        <w:gridCol w:w="1803"/>
        <w:gridCol w:w="1901"/>
        <w:gridCol w:w="2303"/>
        <w:gridCol w:w="70"/>
        <w:gridCol w:w="2624"/>
      </w:tblGrid>
      <w:tr w:rsidR="00046465" w14:paraId="0DFDBC96" w14:textId="77777777">
        <w:trPr>
          <w:trHeight w:val="531"/>
        </w:trPr>
        <w:tc>
          <w:tcPr>
            <w:tcW w:w="2600" w:type="dxa"/>
            <w:vMerge w:val="restart"/>
            <w:tcBorders>
              <w:right w:val="nil"/>
            </w:tcBorders>
          </w:tcPr>
          <w:p w14:paraId="0DFDBC90" w14:textId="77777777" w:rsidR="00046465" w:rsidRDefault="008134EB">
            <w:pPr>
              <w:pStyle w:val="TableParagraph"/>
              <w:spacing w:before="144" w:line="523" w:lineRule="auto"/>
              <w:ind w:left="606" w:right="294" w:hanging="245"/>
            </w:pPr>
            <w:r>
              <w:rPr>
                <w:noProof/>
              </w:rPr>
              <mc:AlternateContent>
                <mc:Choice Requires="wpg">
                  <w:drawing>
                    <wp:anchor distT="0" distB="0" distL="0" distR="0" simplePos="0" relativeHeight="476163072" behindDoc="1" locked="0" layoutInCell="1" allowOverlap="1" wp14:anchorId="0DFDD6BF" wp14:editId="0DFDD6C0">
                      <wp:simplePos x="0" y="0"/>
                      <wp:positionH relativeFrom="column">
                        <wp:posOffset>1244346</wp:posOffset>
                      </wp:positionH>
                      <wp:positionV relativeFrom="paragraph">
                        <wp:posOffset>343622</wp:posOffset>
                      </wp:positionV>
                      <wp:extent cx="1155700" cy="6350"/>
                      <wp:effectExtent l="0" t="0" r="0" b="0"/>
                      <wp:wrapNone/>
                      <wp:docPr id="774"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6350"/>
                                <a:chOff x="0" y="0"/>
                                <a:chExt cx="1155700" cy="6350"/>
                              </a:xfrm>
                            </wpg:grpSpPr>
                            <wps:wsp>
                              <wps:cNvPr id="775" name="Graphic 775"/>
                              <wps:cNvSpPr/>
                              <wps:spPr>
                                <a:xfrm>
                                  <a:off x="0" y="0"/>
                                  <a:ext cx="1155700" cy="6350"/>
                                </a:xfrm>
                                <a:custGeom>
                                  <a:avLst/>
                                  <a:gdLst/>
                                  <a:ahLst/>
                                  <a:cxnLst/>
                                  <a:rect l="l" t="t" r="r" b="b"/>
                                  <a:pathLst>
                                    <a:path w="1155700" h="6350">
                                      <a:moveTo>
                                        <a:pt x="1155179" y="0"/>
                                      </a:moveTo>
                                      <a:lnTo>
                                        <a:pt x="0" y="0"/>
                                      </a:lnTo>
                                      <a:lnTo>
                                        <a:pt x="0" y="6108"/>
                                      </a:lnTo>
                                      <a:lnTo>
                                        <a:pt x="1155179" y="6108"/>
                                      </a:lnTo>
                                      <a:lnTo>
                                        <a:pt x="1155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8CAEF4C" id="Group 774" o:spid="_x0000_s1026" style="position:absolute;margin-left:98pt;margin-top:27.05pt;width:91pt;height:.5pt;z-index:-27153408;mso-wrap-distance-left:0;mso-wrap-distance-right:0" coordsize="115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">
                      <v:shape id="Graphic 775" o:spid="_x0000_s1027" style="position:absolute;width:11557;height:63;visibility:visible;mso-wrap-style:square;v-text-anchor:top" coordsize="1155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" path="m1155179,l,,,6108r1155179,l1155179,xe" fillcolor="black" stroked="f">
                        <v:path arrowok="t"/>
                      </v:shape>
                    </v:group>
                  </w:pict>
                </mc:Fallback>
              </mc:AlternateContent>
            </w:r>
            <w:r>
              <w:t>Name</w:t>
            </w:r>
            <w:r>
              <w:rPr>
                <w:spacing w:val="-16"/>
              </w:rPr>
              <w:t xml:space="preserve"> </w:t>
            </w:r>
            <w:r>
              <w:t>of</w:t>
            </w:r>
            <w:r>
              <w:rPr>
                <w:spacing w:val="-15"/>
              </w:rPr>
              <w:t xml:space="preserve"> </w:t>
            </w:r>
            <w:r>
              <w:t>entity: Audit</w:t>
            </w:r>
            <w:r>
              <w:rPr>
                <w:spacing w:val="-7"/>
              </w:rPr>
              <w:t xml:space="preserve"> </w:t>
            </w:r>
            <w:r>
              <w:rPr>
                <w:spacing w:val="-2"/>
              </w:rPr>
              <w:t>period:</w:t>
            </w:r>
          </w:p>
        </w:tc>
        <w:tc>
          <w:tcPr>
            <w:tcW w:w="2086" w:type="dxa"/>
            <w:vMerge w:val="restart"/>
            <w:tcBorders>
              <w:left w:val="nil"/>
              <w:right w:val="nil"/>
            </w:tcBorders>
          </w:tcPr>
          <w:p w14:paraId="0DFDBC91" w14:textId="77777777" w:rsidR="00046465" w:rsidRDefault="00046465">
            <w:pPr>
              <w:pStyle w:val="TableParagraph"/>
              <w:rPr>
                <w:rFonts w:ascii="Times New Roman"/>
                <w:sz w:val="18"/>
              </w:rPr>
            </w:pPr>
          </w:p>
        </w:tc>
        <w:tc>
          <w:tcPr>
            <w:tcW w:w="3704" w:type="dxa"/>
            <w:gridSpan w:val="2"/>
            <w:vMerge w:val="restart"/>
            <w:tcBorders>
              <w:left w:val="nil"/>
              <w:right w:val="nil"/>
            </w:tcBorders>
          </w:tcPr>
          <w:p w14:paraId="0DFDBC92" w14:textId="77777777" w:rsidR="00046465" w:rsidRDefault="00046465">
            <w:pPr>
              <w:pStyle w:val="TableParagraph"/>
              <w:spacing w:before="133"/>
              <w:rPr>
                <w:sz w:val="24"/>
              </w:rPr>
            </w:pPr>
          </w:p>
          <w:p w14:paraId="0DFDBC93" w14:textId="77777777" w:rsidR="00046465" w:rsidRDefault="008134EB">
            <w:pPr>
              <w:pStyle w:val="TableParagraph"/>
              <w:ind w:left="532"/>
              <w:rPr>
                <w:b/>
                <w:sz w:val="24"/>
              </w:rPr>
            </w:pPr>
            <w:r>
              <w:rPr>
                <w:b/>
                <w:sz w:val="24"/>
              </w:rPr>
              <w:t>Compliance</w:t>
            </w:r>
            <w:r>
              <w:rPr>
                <w:b/>
                <w:spacing w:val="-6"/>
                <w:sz w:val="24"/>
              </w:rPr>
              <w:t xml:space="preserve"> </w:t>
            </w:r>
            <w:r>
              <w:rPr>
                <w:b/>
                <w:spacing w:val="-2"/>
                <w:sz w:val="24"/>
              </w:rPr>
              <w:t>Summary</w:t>
            </w:r>
          </w:p>
        </w:tc>
        <w:tc>
          <w:tcPr>
            <w:tcW w:w="2373" w:type="dxa"/>
            <w:gridSpan w:val="2"/>
            <w:vMerge w:val="restart"/>
            <w:tcBorders>
              <w:left w:val="nil"/>
              <w:right w:val="nil"/>
            </w:tcBorders>
          </w:tcPr>
          <w:p w14:paraId="0DFDBC94" w14:textId="77777777" w:rsidR="00046465" w:rsidRDefault="008134EB">
            <w:pPr>
              <w:pStyle w:val="TableParagraph"/>
              <w:spacing w:before="144" w:line="523" w:lineRule="auto"/>
              <w:ind w:left="953" w:right="95" w:firstLine="61"/>
            </w:pPr>
            <w:r>
              <w:t>Prepared</w:t>
            </w:r>
            <w:r>
              <w:rPr>
                <w:spacing w:val="-16"/>
              </w:rPr>
              <w:t xml:space="preserve"> </w:t>
            </w:r>
            <w:r>
              <w:t>by: Reviewed</w:t>
            </w:r>
            <w:r>
              <w:rPr>
                <w:spacing w:val="-12"/>
              </w:rPr>
              <w:t xml:space="preserve"> </w:t>
            </w:r>
            <w:r>
              <w:rPr>
                <w:spacing w:val="-5"/>
              </w:rPr>
              <w:t>by:</w:t>
            </w:r>
          </w:p>
        </w:tc>
        <w:tc>
          <w:tcPr>
            <w:tcW w:w="2624" w:type="dxa"/>
            <w:tcBorders>
              <w:left w:val="nil"/>
              <w:bottom w:val="single" w:sz="4" w:space="0" w:color="000000"/>
            </w:tcBorders>
          </w:tcPr>
          <w:p w14:paraId="0DFDBC95" w14:textId="77777777" w:rsidR="00046465" w:rsidRDefault="00046465">
            <w:pPr>
              <w:pStyle w:val="TableParagraph"/>
              <w:rPr>
                <w:rFonts w:ascii="Times New Roman"/>
                <w:sz w:val="18"/>
              </w:rPr>
            </w:pPr>
          </w:p>
        </w:tc>
      </w:tr>
      <w:tr w:rsidR="00046465" w14:paraId="0DFDBC9C" w14:textId="77777777">
        <w:trPr>
          <w:trHeight w:val="520"/>
        </w:trPr>
        <w:tc>
          <w:tcPr>
            <w:tcW w:w="2600" w:type="dxa"/>
            <w:vMerge/>
            <w:tcBorders>
              <w:top w:val="nil"/>
              <w:right w:val="nil"/>
            </w:tcBorders>
          </w:tcPr>
          <w:p w14:paraId="0DFDBC97" w14:textId="77777777" w:rsidR="00046465" w:rsidRDefault="00046465">
            <w:pPr>
              <w:rPr>
                <w:sz w:val="2"/>
                <w:szCs w:val="2"/>
              </w:rPr>
            </w:pPr>
          </w:p>
        </w:tc>
        <w:tc>
          <w:tcPr>
            <w:tcW w:w="2086" w:type="dxa"/>
            <w:vMerge/>
            <w:tcBorders>
              <w:top w:val="nil"/>
              <w:left w:val="nil"/>
              <w:right w:val="nil"/>
            </w:tcBorders>
          </w:tcPr>
          <w:p w14:paraId="0DFDBC98" w14:textId="77777777" w:rsidR="00046465" w:rsidRDefault="00046465">
            <w:pPr>
              <w:rPr>
                <w:sz w:val="2"/>
                <w:szCs w:val="2"/>
              </w:rPr>
            </w:pPr>
          </w:p>
        </w:tc>
        <w:tc>
          <w:tcPr>
            <w:tcW w:w="3704" w:type="dxa"/>
            <w:gridSpan w:val="2"/>
            <w:vMerge/>
            <w:tcBorders>
              <w:top w:val="nil"/>
              <w:left w:val="nil"/>
              <w:right w:val="nil"/>
            </w:tcBorders>
          </w:tcPr>
          <w:p w14:paraId="0DFDBC99" w14:textId="77777777" w:rsidR="00046465" w:rsidRDefault="00046465">
            <w:pPr>
              <w:rPr>
                <w:sz w:val="2"/>
                <w:szCs w:val="2"/>
              </w:rPr>
            </w:pPr>
          </w:p>
        </w:tc>
        <w:tc>
          <w:tcPr>
            <w:tcW w:w="2373" w:type="dxa"/>
            <w:gridSpan w:val="2"/>
            <w:vMerge/>
            <w:tcBorders>
              <w:top w:val="nil"/>
              <w:left w:val="nil"/>
              <w:right w:val="nil"/>
            </w:tcBorders>
          </w:tcPr>
          <w:p w14:paraId="0DFDBC9A" w14:textId="77777777" w:rsidR="00046465" w:rsidRDefault="00046465">
            <w:pPr>
              <w:rPr>
                <w:sz w:val="2"/>
                <w:szCs w:val="2"/>
              </w:rPr>
            </w:pPr>
          </w:p>
        </w:tc>
        <w:tc>
          <w:tcPr>
            <w:tcW w:w="2624" w:type="dxa"/>
            <w:tcBorders>
              <w:top w:val="single" w:sz="4" w:space="0" w:color="000000"/>
              <w:left w:val="nil"/>
              <w:bottom w:val="single" w:sz="4" w:space="0" w:color="000000"/>
            </w:tcBorders>
          </w:tcPr>
          <w:p w14:paraId="0DFDBC9B" w14:textId="77777777" w:rsidR="00046465" w:rsidRDefault="00046465">
            <w:pPr>
              <w:pStyle w:val="TableParagraph"/>
              <w:rPr>
                <w:rFonts w:ascii="Times New Roman"/>
                <w:sz w:val="18"/>
              </w:rPr>
            </w:pPr>
          </w:p>
        </w:tc>
      </w:tr>
      <w:tr w:rsidR="00046465" w14:paraId="0DFDBCA2" w14:textId="77777777">
        <w:trPr>
          <w:trHeight w:val="462"/>
        </w:trPr>
        <w:tc>
          <w:tcPr>
            <w:tcW w:w="2600" w:type="dxa"/>
            <w:vMerge/>
            <w:tcBorders>
              <w:top w:val="nil"/>
              <w:right w:val="nil"/>
            </w:tcBorders>
          </w:tcPr>
          <w:p w14:paraId="0DFDBC9D" w14:textId="77777777" w:rsidR="00046465" w:rsidRDefault="00046465">
            <w:pPr>
              <w:rPr>
                <w:sz w:val="2"/>
                <w:szCs w:val="2"/>
              </w:rPr>
            </w:pPr>
          </w:p>
        </w:tc>
        <w:tc>
          <w:tcPr>
            <w:tcW w:w="2086" w:type="dxa"/>
            <w:vMerge/>
            <w:tcBorders>
              <w:top w:val="nil"/>
              <w:left w:val="nil"/>
              <w:right w:val="nil"/>
            </w:tcBorders>
          </w:tcPr>
          <w:p w14:paraId="0DFDBC9E" w14:textId="77777777" w:rsidR="00046465" w:rsidRDefault="00046465">
            <w:pPr>
              <w:rPr>
                <w:sz w:val="2"/>
                <w:szCs w:val="2"/>
              </w:rPr>
            </w:pPr>
          </w:p>
        </w:tc>
        <w:tc>
          <w:tcPr>
            <w:tcW w:w="3704" w:type="dxa"/>
            <w:gridSpan w:val="2"/>
            <w:vMerge/>
            <w:tcBorders>
              <w:top w:val="nil"/>
              <w:left w:val="nil"/>
              <w:right w:val="nil"/>
            </w:tcBorders>
          </w:tcPr>
          <w:p w14:paraId="0DFDBC9F" w14:textId="77777777" w:rsidR="00046465" w:rsidRDefault="00046465">
            <w:pPr>
              <w:rPr>
                <w:sz w:val="2"/>
                <w:szCs w:val="2"/>
              </w:rPr>
            </w:pPr>
          </w:p>
        </w:tc>
        <w:tc>
          <w:tcPr>
            <w:tcW w:w="2373" w:type="dxa"/>
            <w:gridSpan w:val="2"/>
            <w:vMerge/>
            <w:tcBorders>
              <w:top w:val="nil"/>
              <w:left w:val="nil"/>
              <w:right w:val="nil"/>
            </w:tcBorders>
          </w:tcPr>
          <w:p w14:paraId="0DFDBCA0" w14:textId="77777777" w:rsidR="00046465" w:rsidRDefault="00046465">
            <w:pPr>
              <w:rPr>
                <w:sz w:val="2"/>
                <w:szCs w:val="2"/>
              </w:rPr>
            </w:pPr>
          </w:p>
        </w:tc>
        <w:tc>
          <w:tcPr>
            <w:tcW w:w="2624" w:type="dxa"/>
            <w:tcBorders>
              <w:top w:val="single" w:sz="4" w:space="0" w:color="000000"/>
              <w:left w:val="nil"/>
            </w:tcBorders>
          </w:tcPr>
          <w:p w14:paraId="0DFDBCA1" w14:textId="77777777" w:rsidR="00046465" w:rsidRDefault="00046465">
            <w:pPr>
              <w:pStyle w:val="TableParagraph"/>
              <w:rPr>
                <w:rFonts w:ascii="Times New Roman"/>
                <w:sz w:val="18"/>
              </w:rPr>
            </w:pPr>
          </w:p>
        </w:tc>
      </w:tr>
      <w:tr w:rsidR="00046465" w14:paraId="0DFDBCAC" w14:textId="77777777">
        <w:trPr>
          <w:trHeight w:val="793"/>
        </w:trPr>
        <w:tc>
          <w:tcPr>
            <w:tcW w:w="2600" w:type="dxa"/>
            <w:tcBorders>
              <w:right w:val="single" w:sz="4" w:space="0" w:color="000000"/>
            </w:tcBorders>
          </w:tcPr>
          <w:p w14:paraId="0DFDBCA3" w14:textId="77777777" w:rsidR="00046465" w:rsidRDefault="00046465">
            <w:pPr>
              <w:pStyle w:val="TableParagraph"/>
              <w:spacing w:before="143"/>
            </w:pPr>
          </w:p>
          <w:p w14:paraId="0DFDBCA4" w14:textId="77777777" w:rsidR="00046465" w:rsidRDefault="008134EB">
            <w:pPr>
              <w:pStyle w:val="TableParagraph"/>
              <w:ind w:left="97"/>
            </w:pPr>
            <w:r>
              <w:t>Provision</w:t>
            </w:r>
            <w:r>
              <w:rPr>
                <w:spacing w:val="-11"/>
              </w:rPr>
              <w:t xml:space="preserve"> </w:t>
            </w:r>
            <w:r>
              <w:rPr>
                <w:spacing w:val="-2"/>
              </w:rPr>
              <w:t>Description</w:t>
            </w:r>
          </w:p>
        </w:tc>
        <w:tc>
          <w:tcPr>
            <w:tcW w:w="2086" w:type="dxa"/>
            <w:tcBorders>
              <w:left w:val="single" w:sz="4" w:space="0" w:color="000000"/>
              <w:right w:val="single" w:sz="4" w:space="0" w:color="000000"/>
            </w:tcBorders>
          </w:tcPr>
          <w:p w14:paraId="0DFDBCA5" w14:textId="77777777" w:rsidR="00046465" w:rsidRDefault="00046465">
            <w:pPr>
              <w:pStyle w:val="TableParagraph"/>
              <w:spacing w:before="143"/>
            </w:pPr>
          </w:p>
          <w:p w14:paraId="0DFDBCA6" w14:textId="77777777" w:rsidR="00046465" w:rsidRDefault="008134EB">
            <w:pPr>
              <w:pStyle w:val="TableParagraph"/>
              <w:ind w:left="108"/>
            </w:pPr>
            <w:r>
              <w:rPr>
                <w:noProof/>
              </w:rPr>
              <mc:AlternateContent>
                <mc:Choice Requires="wpg">
                  <w:drawing>
                    <wp:anchor distT="0" distB="0" distL="0" distR="0" simplePos="0" relativeHeight="476163584" behindDoc="1" locked="0" layoutInCell="1" allowOverlap="1" wp14:anchorId="0DFDD6C1" wp14:editId="0DFDD6C2">
                      <wp:simplePos x="0" y="0"/>
                      <wp:positionH relativeFrom="column">
                        <wp:posOffset>-406908</wp:posOffset>
                      </wp:positionH>
                      <wp:positionV relativeFrom="paragraph">
                        <wp:posOffset>-576873</wp:posOffset>
                      </wp:positionV>
                      <wp:extent cx="1155700" cy="6350"/>
                      <wp:effectExtent l="0" t="0" r="0" b="0"/>
                      <wp:wrapNone/>
                      <wp:docPr id="776"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6350"/>
                                <a:chOff x="0" y="0"/>
                                <a:chExt cx="1155700" cy="6350"/>
                              </a:xfrm>
                            </wpg:grpSpPr>
                            <wps:wsp>
                              <wps:cNvPr id="777" name="Graphic 777"/>
                              <wps:cNvSpPr/>
                              <wps:spPr>
                                <a:xfrm>
                                  <a:off x="0" y="0"/>
                                  <a:ext cx="1155700" cy="6350"/>
                                </a:xfrm>
                                <a:custGeom>
                                  <a:avLst/>
                                  <a:gdLst/>
                                  <a:ahLst/>
                                  <a:cxnLst/>
                                  <a:rect l="l" t="t" r="r" b="b"/>
                                  <a:pathLst>
                                    <a:path w="1155700" h="6350">
                                      <a:moveTo>
                                        <a:pt x="1155179" y="0"/>
                                      </a:moveTo>
                                      <a:lnTo>
                                        <a:pt x="0" y="0"/>
                                      </a:lnTo>
                                      <a:lnTo>
                                        <a:pt x="0" y="6108"/>
                                      </a:lnTo>
                                      <a:lnTo>
                                        <a:pt x="1155179" y="6108"/>
                                      </a:lnTo>
                                      <a:lnTo>
                                        <a:pt x="11551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89BD2DF" id="Group 776" o:spid="_x0000_s1026" style="position:absolute;margin-left:-32.05pt;margin-top:-45.4pt;width:91pt;height:.5pt;z-index:-27152896;mso-wrap-distance-left:0;mso-wrap-distance-right:0" coordsize="115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">
                      <v:shape id="Graphic 777" o:spid="_x0000_s1027" style="position:absolute;width:11557;height:63;visibility:visible;mso-wrap-style:square;v-text-anchor:top" coordsize="11557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" path="m1155179,l,,,6108r1155179,l1155179,xe" fillcolor="black" stroked="f">
                        <v:path arrowok="t"/>
                      </v:shape>
                    </v:group>
                  </w:pict>
                </mc:Fallback>
              </mc:AlternateContent>
            </w:r>
            <w:r>
              <w:rPr>
                <w:spacing w:val="-2"/>
              </w:rPr>
              <w:t>Objective</w:t>
            </w:r>
          </w:p>
        </w:tc>
        <w:tc>
          <w:tcPr>
            <w:tcW w:w="1803" w:type="dxa"/>
            <w:tcBorders>
              <w:left w:val="single" w:sz="4" w:space="0" w:color="000000"/>
              <w:right w:val="single" w:sz="4" w:space="0" w:color="000000"/>
            </w:tcBorders>
          </w:tcPr>
          <w:p w14:paraId="0DFDBCA7" w14:textId="77777777" w:rsidR="00046465" w:rsidRDefault="008134EB">
            <w:pPr>
              <w:pStyle w:val="TableParagraph"/>
              <w:spacing w:before="143"/>
              <w:ind w:left="109" w:right="160"/>
            </w:pPr>
            <w:r>
              <w:rPr>
                <w:spacing w:val="-2"/>
              </w:rPr>
              <w:t>Control Activities</w:t>
            </w:r>
          </w:p>
        </w:tc>
        <w:tc>
          <w:tcPr>
            <w:tcW w:w="1901" w:type="dxa"/>
            <w:tcBorders>
              <w:left w:val="single" w:sz="4" w:space="0" w:color="000000"/>
              <w:right w:val="single" w:sz="4" w:space="0" w:color="000000"/>
            </w:tcBorders>
          </w:tcPr>
          <w:p w14:paraId="0DFDBCA8" w14:textId="77777777" w:rsidR="00046465" w:rsidRDefault="00046465">
            <w:pPr>
              <w:pStyle w:val="TableParagraph"/>
              <w:spacing w:before="143"/>
            </w:pPr>
          </w:p>
          <w:p w14:paraId="0DFDBCA9" w14:textId="77777777" w:rsidR="00046465" w:rsidRDefault="008134EB">
            <w:pPr>
              <w:pStyle w:val="TableParagraph"/>
              <w:ind w:left="109"/>
            </w:pPr>
            <w:r>
              <w:t>IS</w:t>
            </w:r>
            <w:r>
              <w:rPr>
                <w:spacing w:val="-3"/>
              </w:rPr>
              <w:t xml:space="preserve"> </w:t>
            </w:r>
            <w:r>
              <w:rPr>
                <w:spacing w:val="-2"/>
              </w:rPr>
              <w:t>(Y/N)</w:t>
            </w:r>
          </w:p>
        </w:tc>
        <w:tc>
          <w:tcPr>
            <w:tcW w:w="2303" w:type="dxa"/>
            <w:tcBorders>
              <w:left w:val="single" w:sz="4" w:space="0" w:color="000000"/>
              <w:right w:val="single" w:sz="4" w:space="0" w:color="000000"/>
            </w:tcBorders>
          </w:tcPr>
          <w:p w14:paraId="0DFDBCAA" w14:textId="77777777" w:rsidR="00046465" w:rsidRDefault="008134EB">
            <w:pPr>
              <w:pStyle w:val="TableParagraph"/>
              <w:spacing w:before="143"/>
              <w:ind w:left="110" w:right="502"/>
            </w:pPr>
            <w:r>
              <w:rPr>
                <w:spacing w:val="-2"/>
              </w:rPr>
              <w:t>Effective controls?</w:t>
            </w:r>
          </w:p>
        </w:tc>
        <w:tc>
          <w:tcPr>
            <w:tcW w:w="2694" w:type="dxa"/>
            <w:gridSpan w:val="2"/>
            <w:tcBorders>
              <w:left w:val="single" w:sz="4" w:space="0" w:color="000000"/>
            </w:tcBorders>
          </w:tcPr>
          <w:p w14:paraId="0DFDBCAB" w14:textId="77777777" w:rsidR="00046465" w:rsidRDefault="008134EB">
            <w:pPr>
              <w:pStyle w:val="TableParagraph"/>
              <w:spacing w:before="143"/>
              <w:ind w:left="111" w:right="87"/>
            </w:pPr>
            <w:r>
              <w:t xml:space="preserve">Instances of </w:t>
            </w:r>
            <w:r>
              <w:rPr>
                <w:spacing w:val="-2"/>
              </w:rPr>
              <w:t>noncompliance?</w:t>
            </w:r>
          </w:p>
        </w:tc>
      </w:tr>
      <w:tr w:rsidR="00046465" w14:paraId="0DFDBCB8" w14:textId="77777777">
        <w:trPr>
          <w:trHeight w:val="3474"/>
        </w:trPr>
        <w:tc>
          <w:tcPr>
            <w:tcW w:w="2600" w:type="dxa"/>
            <w:tcBorders>
              <w:bottom w:val="single" w:sz="4" w:space="0" w:color="000000"/>
              <w:right w:val="single" w:sz="4" w:space="0" w:color="000000"/>
            </w:tcBorders>
          </w:tcPr>
          <w:p w14:paraId="0DFDBCAD" w14:textId="77777777" w:rsidR="00046465" w:rsidRDefault="008134EB">
            <w:pPr>
              <w:pStyle w:val="TableParagraph"/>
              <w:spacing w:before="143"/>
              <w:ind w:left="97"/>
              <w:rPr>
                <w:sz w:val="14"/>
              </w:rPr>
            </w:pPr>
            <w:r>
              <w:rPr>
                <w:sz w:val="18"/>
              </w:rPr>
              <w:t>809.03.</w:t>
            </w:r>
            <w:r>
              <w:rPr>
                <w:spacing w:val="61"/>
                <w:sz w:val="18"/>
              </w:rPr>
              <w:t xml:space="preserve"> </w:t>
            </w:r>
            <w:r>
              <w:rPr>
                <w:sz w:val="18"/>
              </w:rPr>
              <w:t>E</w:t>
            </w:r>
            <w:r>
              <w:rPr>
                <w:sz w:val="14"/>
              </w:rPr>
              <w:t>MPLOYEE</w:t>
            </w:r>
            <w:r>
              <w:rPr>
                <w:spacing w:val="-2"/>
                <w:sz w:val="14"/>
              </w:rPr>
              <w:t xml:space="preserve"> </w:t>
            </w:r>
            <w:r>
              <w:rPr>
                <w:spacing w:val="-5"/>
                <w:sz w:val="18"/>
              </w:rPr>
              <w:t>P</w:t>
            </w:r>
            <w:r>
              <w:rPr>
                <w:spacing w:val="-5"/>
                <w:sz w:val="14"/>
              </w:rPr>
              <w:t>AY</w:t>
            </w:r>
          </w:p>
          <w:p w14:paraId="0DFDBCAE" w14:textId="77777777" w:rsidR="00046465" w:rsidRDefault="008134EB">
            <w:pPr>
              <w:pStyle w:val="TableParagraph"/>
              <w:spacing w:before="1"/>
              <w:ind w:left="817"/>
              <w:rPr>
                <w:sz w:val="18"/>
              </w:rPr>
            </w:pPr>
            <w:r>
              <w:rPr>
                <w:smallCaps/>
                <w:sz w:val="18"/>
              </w:rPr>
              <w:t>Withholdings</w:t>
            </w:r>
            <w:r>
              <w:rPr>
                <w:smallCaps/>
                <w:spacing w:val="-9"/>
                <w:sz w:val="18"/>
              </w:rPr>
              <w:t xml:space="preserve"> </w:t>
            </w:r>
            <w:r>
              <w:rPr>
                <w:smallCaps/>
                <w:spacing w:val="-5"/>
                <w:sz w:val="18"/>
              </w:rPr>
              <w:t>for</w:t>
            </w:r>
          </w:p>
          <w:p w14:paraId="0DFDBCAF" w14:textId="77777777" w:rsidR="00046465" w:rsidRDefault="008134EB">
            <w:pPr>
              <w:pStyle w:val="TableParagraph"/>
              <w:spacing w:before="1"/>
              <w:ind w:left="817"/>
              <w:rPr>
                <w:sz w:val="18"/>
              </w:rPr>
            </w:pPr>
            <w:r>
              <w:rPr>
                <w:smallCaps/>
                <w:sz w:val="18"/>
              </w:rPr>
              <w:t>Health</w:t>
            </w:r>
            <w:r>
              <w:rPr>
                <w:smallCaps/>
                <w:spacing w:val="-3"/>
                <w:sz w:val="18"/>
              </w:rPr>
              <w:t xml:space="preserve"> </w:t>
            </w:r>
            <w:r>
              <w:rPr>
                <w:smallCaps/>
                <w:spacing w:val="-2"/>
                <w:sz w:val="18"/>
              </w:rPr>
              <w:t>Insurance.</w:t>
            </w:r>
          </w:p>
          <w:p w14:paraId="0DFDBCB0" w14:textId="77777777" w:rsidR="00046465" w:rsidRDefault="008134EB">
            <w:pPr>
              <w:pStyle w:val="TableParagraph"/>
              <w:spacing w:before="143"/>
              <w:ind w:left="97"/>
              <w:rPr>
                <w:sz w:val="18"/>
              </w:rPr>
            </w:pPr>
            <w:r>
              <w:rPr>
                <w:sz w:val="18"/>
              </w:rPr>
              <w:t>Provision</w:t>
            </w:r>
            <w:r>
              <w:rPr>
                <w:spacing w:val="-15"/>
                <w:sz w:val="18"/>
              </w:rPr>
              <w:t xml:space="preserve"> </w:t>
            </w:r>
            <w:r>
              <w:rPr>
                <w:sz w:val="18"/>
              </w:rPr>
              <w:t>Type:</w:t>
            </w:r>
            <w:r>
              <w:rPr>
                <w:spacing w:val="-12"/>
                <w:sz w:val="18"/>
              </w:rPr>
              <w:t xml:space="preserve"> </w:t>
            </w:r>
            <w:r>
              <w:rPr>
                <w:sz w:val="18"/>
              </w:rPr>
              <w:t>Transaction-</w:t>
            </w:r>
            <w:r>
              <w:rPr>
                <w:spacing w:val="-2"/>
                <w:sz w:val="18"/>
              </w:rPr>
              <w:t>based.</w:t>
            </w:r>
          </w:p>
          <w:p w14:paraId="0DFDBCB1" w14:textId="77777777" w:rsidR="00046465" w:rsidRDefault="008134EB">
            <w:pPr>
              <w:pStyle w:val="TableParagraph"/>
              <w:spacing w:before="144"/>
              <w:ind w:left="97" w:right="230"/>
              <w:rPr>
                <w:sz w:val="18"/>
              </w:rPr>
            </w:pPr>
            <w:r>
              <w:rPr>
                <w:sz w:val="18"/>
              </w:rPr>
              <w:t>An</w:t>
            </w:r>
            <w:r>
              <w:rPr>
                <w:spacing w:val="-11"/>
                <w:sz w:val="18"/>
              </w:rPr>
              <w:t xml:space="preserve"> </w:t>
            </w:r>
            <w:r>
              <w:rPr>
                <w:sz w:val="18"/>
              </w:rPr>
              <w:t>amount</w:t>
            </w:r>
            <w:r>
              <w:rPr>
                <w:spacing w:val="-10"/>
                <w:sz w:val="18"/>
              </w:rPr>
              <w:t xml:space="preserve"> </w:t>
            </w:r>
            <w:r>
              <w:rPr>
                <w:sz w:val="18"/>
              </w:rPr>
              <w:t>shall</w:t>
            </w:r>
            <w:r>
              <w:rPr>
                <w:spacing w:val="-10"/>
                <w:sz w:val="18"/>
              </w:rPr>
              <w:t xml:space="preserve"> </w:t>
            </w:r>
            <w:r>
              <w:rPr>
                <w:sz w:val="18"/>
              </w:rPr>
              <w:t>be</w:t>
            </w:r>
            <w:r>
              <w:rPr>
                <w:spacing w:val="-11"/>
                <w:sz w:val="18"/>
              </w:rPr>
              <w:t xml:space="preserve"> </w:t>
            </w:r>
            <w:r>
              <w:rPr>
                <w:sz w:val="18"/>
              </w:rPr>
              <w:t>withheld from the employee’s pay to cover the total cost of enrollment in the health insurance plan selected by the employee after the amount of the entity contribution is subtracted. 5</w:t>
            </w:r>
          </w:p>
          <w:p w14:paraId="0DFDBCB2" w14:textId="77777777" w:rsidR="00046465" w:rsidRDefault="008134EB">
            <w:pPr>
              <w:pStyle w:val="TableParagraph"/>
              <w:spacing w:before="2"/>
              <w:ind w:left="97"/>
              <w:rPr>
                <w:sz w:val="18"/>
              </w:rPr>
            </w:pPr>
            <w:r>
              <w:rPr>
                <w:sz w:val="18"/>
              </w:rPr>
              <w:t>U.S.C.</w:t>
            </w:r>
            <w:r>
              <w:rPr>
                <w:spacing w:val="-2"/>
                <w:sz w:val="18"/>
              </w:rPr>
              <w:t xml:space="preserve"> </w:t>
            </w:r>
            <w:r>
              <w:rPr>
                <w:sz w:val="18"/>
              </w:rPr>
              <w:t>§</w:t>
            </w:r>
            <w:r>
              <w:rPr>
                <w:spacing w:val="-2"/>
                <w:sz w:val="18"/>
              </w:rPr>
              <w:t xml:space="preserve"> 8906(d).</w:t>
            </w:r>
          </w:p>
        </w:tc>
        <w:tc>
          <w:tcPr>
            <w:tcW w:w="2086" w:type="dxa"/>
            <w:tcBorders>
              <w:left w:val="single" w:sz="4" w:space="0" w:color="000000"/>
              <w:bottom w:val="single" w:sz="4" w:space="0" w:color="000000"/>
              <w:right w:val="single" w:sz="4" w:space="0" w:color="000000"/>
            </w:tcBorders>
          </w:tcPr>
          <w:p w14:paraId="0DFDBCB3" w14:textId="77777777" w:rsidR="00046465" w:rsidRDefault="008134EB">
            <w:pPr>
              <w:pStyle w:val="TableParagraph"/>
              <w:spacing w:before="144"/>
              <w:ind w:left="108" w:right="134"/>
              <w:rPr>
                <w:sz w:val="18"/>
              </w:rPr>
            </w:pPr>
            <w:r>
              <w:rPr>
                <w:sz w:val="18"/>
              </w:rPr>
              <w:t>Withholdings</w:t>
            </w:r>
            <w:r>
              <w:rPr>
                <w:spacing w:val="-15"/>
                <w:sz w:val="18"/>
              </w:rPr>
              <w:t xml:space="preserve"> </w:t>
            </w:r>
            <w:r>
              <w:rPr>
                <w:sz w:val="18"/>
              </w:rPr>
              <w:t>are</w:t>
            </w:r>
            <w:r>
              <w:rPr>
                <w:spacing w:val="-12"/>
                <w:sz w:val="18"/>
              </w:rPr>
              <w:t xml:space="preserve"> </w:t>
            </w:r>
            <w:r>
              <w:rPr>
                <w:sz w:val="18"/>
              </w:rPr>
              <w:t>made for the employee’s share of the cost of health insurance and are calculated</w:t>
            </w:r>
            <w:r>
              <w:rPr>
                <w:spacing w:val="40"/>
                <w:sz w:val="18"/>
              </w:rPr>
              <w:t xml:space="preserve"> </w:t>
            </w:r>
            <w:r>
              <w:rPr>
                <w:spacing w:val="-2"/>
                <w:sz w:val="18"/>
              </w:rPr>
              <w:t>properly.</w:t>
            </w:r>
          </w:p>
        </w:tc>
        <w:tc>
          <w:tcPr>
            <w:tcW w:w="1803" w:type="dxa"/>
            <w:tcBorders>
              <w:left w:val="single" w:sz="4" w:space="0" w:color="000000"/>
              <w:bottom w:val="single" w:sz="4" w:space="0" w:color="000000"/>
              <w:right w:val="single" w:sz="4" w:space="0" w:color="000000"/>
            </w:tcBorders>
          </w:tcPr>
          <w:p w14:paraId="0DFDBCB4" w14:textId="77777777" w:rsidR="00046465" w:rsidRDefault="00046465">
            <w:pPr>
              <w:pStyle w:val="TableParagraph"/>
              <w:rPr>
                <w:rFonts w:ascii="Times New Roman"/>
                <w:sz w:val="18"/>
              </w:rPr>
            </w:pPr>
          </w:p>
        </w:tc>
        <w:tc>
          <w:tcPr>
            <w:tcW w:w="1901" w:type="dxa"/>
            <w:tcBorders>
              <w:left w:val="single" w:sz="4" w:space="0" w:color="000000"/>
              <w:bottom w:val="single" w:sz="4" w:space="0" w:color="000000"/>
              <w:right w:val="single" w:sz="4" w:space="0" w:color="000000"/>
            </w:tcBorders>
          </w:tcPr>
          <w:p w14:paraId="0DFDBCB5" w14:textId="77777777" w:rsidR="00046465" w:rsidRDefault="00046465">
            <w:pPr>
              <w:pStyle w:val="TableParagraph"/>
              <w:rPr>
                <w:rFonts w:ascii="Times New Roman"/>
                <w:sz w:val="18"/>
              </w:rPr>
            </w:pPr>
          </w:p>
        </w:tc>
        <w:tc>
          <w:tcPr>
            <w:tcW w:w="2303" w:type="dxa"/>
            <w:tcBorders>
              <w:left w:val="single" w:sz="4" w:space="0" w:color="000000"/>
              <w:bottom w:val="single" w:sz="4" w:space="0" w:color="000000"/>
              <w:right w:val="single" w:sz="4" w:space="0" w:color="000000"/>
            </w:tcBorders>
          </w:tcPr>
          <w:p w14:paraId="0DFDBCB6" w14:textId="77777777" w:rsidR="00046465" w:rsidRDefault="00046465">
            <w:pPr>
              <w:pStyle w:val="TableParagraph"/>
              <w:rPr>
                <w:rFonts w:ascii="Times New Roman"/>
                <w:sz w:val="18"/>
              </w:rPr>
            </w:pPr>
          </w:p>
        </w:tc>
        <w:tc>
          <w:tcPr>
            <w:tcW w:w="2694" w:type="dxa"/>
            <w:gridSpan w:val="2"/>
            <w:tcBorders>
              <w:left w:val="single" w:sz="4" w:space="0" w:color="000000"/>
              <w:bottom w:val="single" w:sz="4" w:space="0" w:color="000000"/>
            </w:tcBorders>
          </w:tcPr>
          <w:p w14:paraId="0DFDBCB7" w14:textId="77777777" w:rsidR="00046465" w:rsidRDefault="008134EB">
            <w:pPr>
              <w:pStyle w:val="TableParagraph"/>
              <w:spacing w:before="144"/>
              <w:ind w:left="111" w:right="87"/>
              <w:rPr>
                <w:sz w:val="18"/>
              </w:rPr>
            </w:pPr>
            <w:r>
              <w:rPr>
                <w:sz w:val="18"/>
              </w:rPr>
              <w:t>See Compliance Audit Procedures,</w:t>
            </w:r>
            <w:r>
              <w:rPr>
                <w:spacing w:val="-10"/>
                <w:sz w:val="18"/>
              </w:rPr>
              <w:t xml:space="preserve"> </w:t>
            </w:r>
            <w:r>
              <w:rPr>
                <w:sz w:val="18"/>
              </w:rPr>
              <w:t>FAM</w:t>
            </w:r>
            <w:r>
              <w:rPr>
                <w:spacing w:val="-10"/>
                <w:sz w:val="18"/>
              </w:rPr>
              <w:t xml:space="preserve"> </w:t>
            </w:r>
            <w:r>
              <w:rPr>
                <w:sz w:val="18"/>
              </w:rPr>
              <w:t>809</w:t>
            </w:r>
            <w:r>
              <w:rPr>
                <w:spacing w:val="-10"/>
                <w:sz w:val="18"/>
              </w:rPr>
              <w:t xml:space="preserve"> </w:t>
            </w:r>
            <w:r>
              <w:rPr>
                <w:sz w:val="18"/>
              </w:rPr>
              <w:t>step</w:t>
            </w:r>
            <w:r>
              <w:rPr>
                <w:spacing w:val="-10"/>
                <w:sz w:val="18"/>
              </w:rPr>
              <w:t xml:space="preserve"> </w:t>
            </w:r>
            <w:r>
              <w:rPr>
                <w:sz w:val="18"/>
              </w:rPr>
              <w:t xml:space="preserve">4 </w:t>
            </w:r>
            <w:r>
              <w:rPr>
                <w:spacing w:val="-4"/>
                <w:sz w:val="18"/>
              </w:rPr>
              <w:t>(a).</w:t>
            </w:r>
          </w:p>
        </w:tc>
      </w:tr>
      <w:tr w:rsidR="00046465" w14:paraId="0DFDBCC3" w14:textId="77777777">
        <w:trPr>
          <w:trHeight w:val="3474"/>
        </w:trPr>
        <w:tc>
          <w:tcPr>
            <w:tcW w:w="2600" w:type="dxa"/>
            <w:tcBorders>
              <w:top w:val="single" w:sz="4" w:space="0" w:color="000000"/>
              <w:right w:val="single" w:sz="4" w:space="0" w:color="000000"/>
            </w:tcBorders>
          </w:tcPr>
          <w:p w14:paraId="0DFDBCB9" w14:textId="77777777" w:rsidR="00046465" w:rsidRDefault="008134EB">
            <w:pPr>
              <w:pStyle w:val="TableParagraph"/>
              <w:spacing w:before="143"/>
              <w:ind w:left="97"/>
              <w:rPr>
                <w:sz w:val="18"/>
              </w:rPr>
            </w:pPr>
            <w:r>
              <w:rPr>
                <w:smallCaps/>
                <w:sz w:val="18"/>
              </w:rPr>
              <w:t>809.04.</w:t>
            </w:r>
            <w:r>
              <w:rPr>
                <w:smallCaps/>
                <w:spacing w:val="-2"/>
                <w:sz w:val="18"/>
              </w:rPr>
              <w:t xml:space="preserve"> </w:t>
            </w:r>
            <w:r>
              <w:rPr>
                <w:smallCaps/>
                <w:spacing w:val="17"/>
                <w:sz w:val="18"/>
              </w:rPr>
              <w:t xml:space="preserve"> </w:t>
            </w:r>
            <w:r>
              <w:rPr>
                <w:smallCaps/>
                <w:sz w:val="18"/>
              </w:rPr>
              <w:t>Deposits</w:t>
            </w:r>
            <w:r>
              <w:rPr>
                <w:smallCaps/>
                <w:spacing w:val="-3"/>
                <w:sz w:val="18"/>
              </w:rPr>
              <w:t xml:space="preserve"> </w:t>
            </w:r>
            <w:r>
              <w:rPr>
                <w:smallCaps/>
                <w:sz w:val="18"/>
              </w:rPr>
              <w:t>Into</w:t>
            </w:r>
            <w:r>
              <w:rPr>
                <w:smallCaps/>
                <w:spacing w:val="-2"/>
                <w:sz w:val="18"/>
              </w:rPr>
              <w:t xml:space="preserve"> </w:t>
            </w:r>
            <w:r>
              <w:rPr>
                <w:smallCaps/>
                <w:spacing w:val="-5"/>
                <w:sz w:val="18"/>
              </w:rPr>
              <w:t>the</w:t>
            </w:r>
          </w:p>
          <w:p w14:paraId="0DFDBCBA" w14:textId="77777777" w:rsidR="00046465" w:rsidRDefault="008134EB">
            <w:pPr>
              <w:pStyle w:val="TableParagraph"/>
              <w:ind w:left="817" w:right="242"/>
              <w:rPr>
                <w:sz w:val="18"/>
              </w:rPr>
            </w:pPr>
            <w:r>
              <w:rPr>
                <w:smallCaps/>
                <w:sz w:val="18"/>
              </w:rPr>
              <w:t>Employees</w:t>
            </w:r>
            <w:r>
              <w:rPr>
                <w:smallCaps/>
                <w:spacing w:val="-10"/>
                <w:sz w:val="18"/>
              </w:rPr>
              <w:t xml:space="preserve"> </w:t>
            </w:r>
            <w:r>
              <w:rPr>
                <w:smallCaps/>
                <w:sz w:val="18"/>
              </w:rPr>
              <w:t>Health</w:t>
            </w:r>
            <w:r>
              <w:rPr>
                <w:smallCaps/>
                <w:spacing w:val="40"/>
                <w:sz w:val="18"/>
              </w:rPr>
              <w:t xml:space="preserve"> </w:t>
            </w:r>
            <w:r>
              <w:rPr>
                <w:smallCaps/>
                <w:sz w:val="18"/>
              </w:rPr>
              <w:t>Benefits</w:t>
            </w:r>
            <w:r>
              <w:rPr>
                <w:smallCaps/>
                <w:spacing w:val="-4"/>
                <w:sz w:val="18"/>
              </w:rPr>
              <w:t xml:space="preserve"> </w:t>
            </w:r>
            <w:r>
              <w:rPr>
                <w:smallCaps/>
                <w:sz w:val="18"/>
              </w:rPr>
              <w:t>Fund.</w:t>
            </w:r>
          </w:p>
          <w:p w14:paraId="0DFDBCBB" w14:textId="77777777" w:rsidR="00046465" w:rsidRDefault="008134EB">
            <w:pPr>
              <w:pStyle w:val="TableParagraph"/>
              <w:spacing w:before="144"/>
              <w:ind w:left="97" w:right="130"/>
              <w:rPr>
                <w:sz w:val="18"/>
              </w:rPr>
            </w:pPr>
            <w:r>
              <w:rPr>
                <w:sz w:val="18"/>
              </w:rPr>
              <w:t>Provision</w:t>
            </w:r>
            <w:r>
              <w:rPr>
                <w:spacing w:val="-15"/>
                <w:sz w:val="18"/>
              </w:rPr>
              <w:t xml:space="preserve"> </w:t>
            </w:r>
            <w:r>
              <w:rPr>
                <w:sz w:val="18"/>
              </w:rPr>
              <w:t>Types:</w:t>
            </w:r>
            <w:r>
              <w:rPr>
                <w:spacing w:val="-12"/>
                <w:sz w:val="18"/>
              </w:rPr>
              <w:t xml:space="preserve"> </w:t>
            </w:r>
            <w:r>
              <w:rPr>
                <w:sz w:val="18"/>
              </w:rPr>
              <w:t>Procedural-based and quantitative-</w:t>
            </w:r>
            <w:r>
              <w:rPr>
                <w:spacing w:val="-2"/>
                <w:sz w:val="18"/>
              </w:rPr>
              <w:t>based.</w:t>
            </w:r>
          </w:p>
          <w:p w14:paraId="0DFDBCBC" w14:textId="77777777" w:rsidR="00046465" w:rsidRDefault="008134EB">
            <w:pPr>
              <w:pStyle w:val="TableParagraph"/>
              <w:spacing w:before="144"/>
              <w:ind w:left="97" w:right="130"/>
              <w:rPr>
                <w:sz w:val="18"/>
              </w:rPr>
            </w:pPr>
            <w:r>
              <w:rPr>
                <w:sz w:val="18"/>
              </w:rPr>
              <w:t>Amounts withheld from employees’</w:t>
            </w:r>
            <w:r>
              <w:rPr>
                <w:spacing w:val="-10"/>
                <w:sz w:val="18"/>
              </w:rPr>
              <w:t xml:space="preserve"> </w:t>
            </w:r>
            <w:r>
              <w:rPr>
                <w:sz w:val="18"/>
              </w:rPr>
              <w:t>pay</w:t>
            </w:r>
            <w:r>
              <w:rPr>
                <w:spacing w:val="-10"/>
                <w:sz w:val="18"/>
              </w:rPr>
              <w:t xml:space="preserve"> </w:t>
            </w:r>
            <w:r>
              <w:rPr>
                <w:sz w:val="18"/>
              </w:rPr>
              <w:t>and</w:t>
            </w:r>
            <w:r>
              <w:rPr>
                <w:spacing w:val="-11"/>
                <w:sz w:val="18"/>
              </w:rPr>
              <w:t xml:space="preserve"> </w:t>
            </w:r>
            <w:r>
              <w:rPr>
                <w:sz w:val="18"/>
              </w:rPr>
              <w:t>the</w:t>
            </w:r>
            <w:r>
              <w:rPr>
                <w:spacing w:val="-11"/>
                <w:sz w:val="18"/>
              </w:rPr>
              <w:t xml:space="preserve"> </w:t>
            </w:r>
            <w:r>
              <w:rPr>
                <w:sz w:val="18"/>
              </w:rPr>
              <w:t>sum contributed by the entity for health insurance costs shall be deposited into the Treasury to the credit of the Employees Health Benefits Fund. 5 U.S.C. § 8909(a).</w:t>
            </w:r>
          </w:p>
        </w:tc>
        <w:tc>
          <w:tcPr>
            <w:tcW w:w="2086" w:type="dxa"/>
            <w:tcBorders>
              <w:top w:val="single" w:sz="4" w:space="0" w:color="000000"/>
              <w:left w:val="single" w:sz="4" w:space="0" w:color="000000"/>
              <w:right w:val="single" w:sz="4" w:space="0" w:color="000000"/>
            </w:tcBorders>
          </w:tcPr>
          <w:p w14:paraId="0DFDBCBD" w14:textId="77777777" w:rsidR="00046465" w:rsidRDefault="008134EB">
            <w:pPr>
              <w:pStyle w:val="TableParagraph"/>
              <w:spacing w:before="143"/>
              <w:ind w:left="108" w:right="137"/>
              <w:rPr>
                <w:sz w:val="18"/>
              </w:rPr>
            </w:pPr>
            <w:r>
              <w:rPr>
                <w:sz w:val="18"/>
              </w:rPr>
              <w:t>Withholdings from employees’ pay and entity</w:t>
            </w:r>
            <w:r>
              <w:rPr>
                <w:spacing w:val="-5"/>
                <w:sz w:val="18"/>
              </w:rPr>
              <w:t xml:space="preserve"> </w:t>
            </w:r>
            <w:r>
              <w:rPr>
                <w:sz w:val="18"/>
              </w:rPr>
              <w:t>contributions</w:t>
            </w:r>
            <w:r>
              <w:rPr>
                <w:spacing w:val="-5"/>
                <w:sz w:val="18"/>
              </w:rPr>
              <w:t xml:space="preserve"> </w:t>
            </w:r>
            <w:r>
              <w:rPr>
                <w:sz w:val="18"/>
              </w:rPr>
              <w:t>for health</w:t>
            </w:r>
            <w:r>
              <w:rPr>
                <w:spacing w:val="-15"/>
                <w:sz w:val="18"/>
              </w:rPr>
              <w:t xml:space="preserve"> </w:t>
            </w:r>
            <w:r>
              <w:rPr>
                <w:sz w:val="18"/>
              </w:rPr>
              <w:t>insurance</w:t>
            </w:r>
            <w:r>
              <w:rPr>
                <w:spacing w:val="-12"/>
                <w:sz w:val="18"/>
              </w:rPr>
              <w:t xml:space="preserve"> </w:t>
            </w:r>
            <w:r>
              <w:rPr>
                <w:sz w:val="18"/>
              </w:rPr>
              <w:t>costs are properly summarized and deposited into the Treasury to the credit of the Employees Health Benefits Fund.</w:t>
            </w:r>
          </w:p>
        </w:tc>
        <w:tc>
          <w:tcPr>
            <w:tcW w:w="1803" w:type="dxa"/>
            <w:tcBorders>
              <w:top w:val="single" w:sz="4" w:space="0" w:color="000000"/>
              <w:left w:val="single" w:sz="4" w:space="0" w:color="000000"/>
              <w:right w:val="single" w:sz="4" w:space="0" w:color="000000"/>
            </w:tcBorders>
          </w:tcPr>
          <w:p w14:paraId="0DFDBCBE" w14:textId="77777777" w:rsidR="00046465" w:rsidRDefault="00046465">
            <w:pPr>
              <w:pStyle w:val="TableParagraph"/>
              <w:rPr>
                <w:rFonts w:ascii="Times New Roman"/>
                <w:sz w:val="18"/>
              </w:rPr>
            </w:pPr>
          </w:p>
        </w:tc>
        <w:tc>
          <w:tcPr>
            <w:tcW w:w="1901" w:type="dxa"/>
            <w:tcBorders>
              <w:top w:val="single" w:sz="4" w:space="0" w:color="000000"/>
              <w:left w:val="single" w:sz="4" w:space="0" w:color="000000"/>
              <w:right w:val="single" w:sz="4" w:space="0" w:color="000000"/>
            </w:tcBorders>
          </w:tcPr>
          <w:p w14:paraId="0DFDBCBF" w14:textId="77777777" w:rsidR="00046465" w:rsidRDefault="00046465">
            <w:pPr>
              <w:pStyle w:val="TableParagraph"/>
              <w:rPr>
                <w:rFonts w:ascii="Times New Roman"/>
                <w:sz w:val="18"/>
              </w:rPr>
            </w:pPr>
          </w:p>
        </w:tc>
        <w:tc>
          <w:tcPr>
            <w:tcW w:w="2303" w:type="dxa"/>
            <w:tcBorders>
              <w:top w:val="single" w:sz="4" w:space="0" w:color="000000"/>
              <w:left w:val="single" w:sz="4" w:space="0" w:color="000000"/>
              <w:right w:val="single" w:sz="4" w:space="0" w:color="000000"/>
            </w:tcBorders>
          </w:tcPr>
          <w:p w14:paraId="0DFDBCC0" w14:textId="77777777" w:rsidR="00046465" w:rsidRDefault="00046465">
            <w:pPr>
              <w:pStyle w:val="TableParagraph"/>
              <w:rPr>
                <w:rFonts w:ascii="Times New Roman"/>
                <w:sz w:val="18"/>
              </w:rPr>
            </w:pPr>
          </w:p>
        </w:tc>
        <w:tc>
          <w:tcPr>
            <w:tcW w:w="2694" w:type="dxa"/>
            <w:gridSpan w:val="2"/>
            <w:tcBorders>
              <w:top w:val="single" w:sz="4" w:space="0" w:color="000000"/>
              <w:left w:val="single" w:sz="4" w:space="0" w:color="000000"/>
            </w:tcBorders>
          </w:tcPr>
          <w:p w14:paraId="0DFDBCC1" w14:textId="77777777" w:rsidR="00046465" w:rsidRDefault="008134EB">
            <w:pPr>
              <w:pStyle w:val="TableParagraph"/>
              <w:spacing w:before="143"/>
              <w:ind w:left="111" w:right="87"/>
              <w:rPr>
                <w:sz w:val="18"/>
              </w:rPr>
            </w:pPr>
            <w:r>
              <w:rPr>
                <w:sz w:val="18"/>
              </w:rPr>
              <w:t>See Compliance Audit Procedures,</w:t>
            </w:r>
            <w:r>
              <w:rPr>
                <w:spacing w:val="-10"/>
                <w:sz w:val="18"/>
              </w:rPr>
              <w:t xml:space="preserve"> </w:t>
            </w:r>
            <w:r>
              <w:rPr>
                <w:sz w:val="18"/>
              </w:rPr>
              <w:t>FAM</w:t>
            </w:r>
            <w:r>
              <w:rPr>
                <w:spacing w:val="-10"/>
                <w:sz w:val="18"/>
              </w:rPr>
              <w:t xml:space="preserve"> </w:t>
            </w:r>
            <w:r>
              <w:rPr>
                <w:sz w:val="18"/>
              </w:rPr>
              <w:t>809</w:t>
            </w:r>
            <w:r>
              <w:rPr>
                <w:spacing w:val="-11"/>
                <w:sz w:val="18"/>
              </w:rPr>
              <w:t xml:space="preserve"> </w:t>
            </w:r>
            <w:r>
              <w:rPr>
                <w:sz w:val="18"/>
              </w:rPr>
              <w:t>steps</w:t>
            </w:r>
            <w:r>
              <w:rPr>
                <w:spacing w:val="-9"/>
                <w:sz w:val="18"/>
              </w:rPr>
              <w:t xml:space="preserve"> </w:t>
            </w:r>
            <w:r>
              <w:rPr>
                <w:sz w:val="18"/>
              </w:rPr>
              <w:t>5</w:t>
            </w:r>
          </w:p>
          <w:p w14:paraId="0DFDBCC2" w14:textId="77777777" w:rsidR="00046465" w:rsidRDefault="008134EB">
            <w:pPr>
              <w:pStyle w:val="TableParagraph"/>
              <w:spacing w:before="1"/>
              <w:ind w:left="111"/>
              <w:rPr>
                <w:sz w:val="18"/>
              </w:rPr>
            </w:pPr>
            <w:r>
              <w:rPr>
                <w:sz w:val="18"/>
              </w:rPr>
              <w:t>and</w:t>
            </w:r>
            <w:r>
              <w:rPr>
                <w:spacing w:val="-3"/>
                <w:sz w:val="18"/>
              </w:rPr>
              <w:t xml:space="preserve"> </w:t>
            </w:r>
            <w:r>
              <w:rPr>
                <w:spacing w:val="-5"/>
                <w:sz w:val="18"/>
              </w:rPr>
              <w:t>6.</w:t>
            </w:r>
          </w:p>
        </w:tc>
      </w:tr>
    </w:tbl>
    <w:p w14:paraId="0DFDBCC4" w14:textId="77777777" w:rsidR="00046465" w:rsidRDefault="00046465">
      <w:pPr>
        <w:pStyle w:val="TableParagraph"/>
        <w:rPr>
          <w:sz w:val="18"/>
        </w:rPr>
        <w:sectPr w:rsidR="00046465">
          <w:pgSz w:w="15840" w:h="12240" w:orient="landscape"/>
          <w:pgMar w:top="1380" w:right="1080" w:bottom="940" w:left="720" w:header="721" w:footer="742" w:gutter="0"/>
          <w:cols w:space="720"/>
        </w:sectPr>
      </w:pPr>
    </w:p>
    <w:p w14:paraId="0DFDBCC5" w14:textId="77777777" w:rsidR="00046465" w:rsidRDefault="008134EB">
      <w:pPr>
        <w:pStyle w:val="BodyText"/>
        <w:spacing w:before="82"/>
        <w:ind w:left="359" w:right="372"/>
      </w:pPr>
      <w:r>
        <w:lastRenderedPageBreak/>
        <w:t>Note: The auditor generally should perform these procedures or prepare equivalent documentation only if provisions of the Federal Employees Health Benefits Act (FEHBA), as provided</w:t>
      </w:r>
      <w:r>
        <w:rPr>
          <w:spacing w:val="-3"/>
        </w:rPr>
        <w:t xml:space="preserve"> </w:t>
      </w:r>
      <w:r>
        <w:t>in</w:t>
      </w:r>
      <w:r>
        <w:rPr>
          <w:spacing w:val="-4"/>
        </w:rPr>
        <w:t xml:space="preserve"> </w:t>
      </w:r>
      <w:r>
        <w:t>5</w:t>
      </w:r>
      <w:r>
        <w:rPr>
          <w:spacing w:val="-3"/>
        </w:rPr>
        <w:t xml:space="preserve"> </w:t>
      </w:r>
      <w:r>
        <w:t>U.S.C.</w:t>
      </w:r>
      <w:r>
        <w:rPr>
          <w:spacing w:val="-3"/>
        </w:rPr>
        <w:t xml:space="preserve"> </w:t>
      </w:r>
      <w:r>
        <w:t>chapter</w:t>
      </w:r>
      <w:r>
        <w:rPr>
          <w:spacing w:val="-3"/>
        </w:rPr>
        <w:t xml:space="preserve"> </w:t>
      </w:r>
      <w:r>
        <w:t>89,</w:t>
      </w:r>
      <w:r>
        <w:rPr>
          <w:spacing w:val="-3"/>
        </w:rPr>
        <w:t xml:space="preserve"> </w:t>
      </w:r>
      <w:r>
        <w:t>are</w:t>
      </w:r>
      <w:r>
        <w:rPr>
          <w:spacing w:val="-3"/>
        </w:rPr>
        <w:t xml:space="preserve"> </w:t>
      </w:r>
      <w:r>
        <w:t>significant,</w:t>
      </w:r>
      <w:r>
        <w:rPr>
          <w:spacing w:val="-4"/>
        </w:rPr>
        <w:t xml:space="preserve"> </w:t>
      </w:r>
      <w:r>
        <w:t>as</w:t>
      </w:r>
      <w:r>
        <w:rPr>
          <w:spacing w:val="-3"/>
        </w:rPr>
        <w:t xml:space="preserve"> </w:t>
      </w:r>
      <w:r>
        <w:t>indicated</w:t>
      </w:r>
      <w:r>
        <w:rPr>
          <w:spacing w:val="-3"/>
        </w:rPr>
        <w:t xml:space="preserve"> </w:t>
      </w:r>
      <w:r>
        <w:t>on</w:t>
      </w:r>
      <w:r>
        <w:rPr>
          <w:spacing w:val="-3"/>
        </w:rPr>
        <w:t xml:space="preserve"> </w:t>
      </w:r>
      <w:r>
        <w:t>Form</w:t>
      </w:r>
      <w:r>
        <w:rPr>
          <w:spacing w:val="-4"/>
        </w:rPr>
        <w:t xml:space="preserve"> </w:t>
      </w:r>
      <w:r>
        <w:t>802,</w:t>
      </w:r>
      <w:r>
        <w:rPr>
          <w:spacing w:val="-3"/>
        </w:rPr>
        <w:t xml:space="preserve"> </w:t>
      </w:r>
      <w:r>
        <w:t>General</w:t>
      </w:r>
      <w:r>
        <w:rPr>
          <w:spacing w:val="-3"/>
        </w:rPr>
        <w:t xml:space="preserve"> </w:t>
      </w:r>
      <w:r>
        <w:t xml:space="preserve">Compliance Checklist. These procedures test compliance with the provisions listed on the Compliance </w:t>
      </w:r>
      <w:r>
        <w:rPr>
          <w:spacing w:val="-2"/>
        </w:rPr>
        <w:t>Summary.</w:t>
      </w:r>
    </w:p>
    <w:p w14:paraId="0DFDBCC6" w14:textId="77777777" w:rsidR="00046465" w:rsidRDefault="00046465">
      <w:pPr>
        <w:pStyle w:val="BodyText"/>
        <w:spacing w:before="9"/>
        <w:rPr>
          <w:sz w:val="13"/>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08"/>
        <w:gridCol w:w="1512"/>
        <w:gridCol w:w="1440"/>
      </w:tblGrid>
      <w:tr w:rsidR="00046465" w14:paraId="0DFDBCC9" w14:textId="77777777">
        <w:trPr>
          <w:trHeight w:val="1335"/>
        </w:trPr>
        <w:tc>
          <w:tcPr>
            <w:tcW w:w="9360" w:type="dxa"/>
            <w:gridSpan w:val="3"/>
          </w:tcPr>
          <w:p w14:paraId="0DFDBCC7" w14:textId="77777777" w:rsidR="00046465" w:rsidRDefault="008134EB">
            <w:pPr>
              <w:pStyle w:val="TableParagraph"/>
              <w:tabs>
                <w:tab w:val="left" w:pos="1604"/>
                <w:tab w:val="left" w:pos="1849"/>
                <w:tab w:val="left" w:pos="8943"/>
              </w:tabs>
              <w:spacing w:before="145" w:line="376" w:lineRule="auto"/>
              <w:ind w:left="130" w:right="369" w:hanging="1"/>
            </w:pPr>
            <w:r>
              <w:t>Name of entity:</w:t>
            </w:r>
            <w:r>
              <w:tab/>
            </w:r>
            <w:r>
              <w:rPr>
                <w:u w:val="single"/>
              </w:rPr>
              <w:tab/>
            </w:r>
            <w:r>
              <w:t xml:space="preserve"> Audit</w:t>
            </w:r>
            <w:r>
              <w:rPr>
                <w:spacing w:val="-7"/>
              </w:rPr>
              <w:t xml:space="preserve"> </w:t>
            </w:r>
            <w:r>
              <w:rPr>
                <w:spacing w:val="-2"/>
              </w:rPr>
              <w:t>period:</w:t>
            </w:r>
            <w:r>
              <w:tab/>
            </w:r>
            <w:r>
              <w:rPr>
                <w:u w:val="single"/>
              </w:rPr>
              <w:tab/>
            </w:r>
            <w:r>
              <w:rPr>
                <w:u w:val="single"/>
              </w:rPr>
              <w:tab/>
            </w:r>
          </w:p>
          <w:p w14:paraId="0DFDBCC8" w14:textId="77777777" w:rsidR="00046465" w:rsidRDefault="008134EB">
            <w:pPr>
              <w:pStyle w:val="TableParagraph"/>
              <w:tabs>
                <w:tab w:val="left" w:pos="8944"/>
              </w:tabs>
              <w:spacing w:line="252" w:lineRule="exact"/>
              <w:ind w:left="130"/>
            </w:pPr>
            <w:r>
              <w:t>Reviewed by:</w:t>
            </w:r>
            <w:r>
              <w:rPr>
                <w:spacing w:val="92"/>
              </w:rPr>
              <w:t xml:space="preserve"> </w:t>
            </w:r>
            <w:r>
              <w:rPr>
                <w:u w:val="single"/>
              </w:rPr>
              <w:tab/>
            </w:r>
          </w:p>
        </w:tc>
      </w:tr>
      <w:tr w:rsidR="00046465" w14:paraId="0DFDBCCF" w14:textId="77777777">
        <w:trPr>
          <w:trHeight w:val="793"/>
        </w:trPr>
        <w:tc>
          <w:tcPr>
            <w:tcW w:w="6408" w:type="dxa"/>
            <w:tcBorders>
              <w:right w:val="single" w:sz="8" w:space="0" w:color="000000"/>
            </w:tcBorders>
          </w:tcPr>
          <w:p w14:paraId="0DFDBCCA" w14:textId="77777777" w:rsidR="00046465" w:rsidRDefault="00046465">
            <w:pPr>
              <w:pStyle w:val="TableParagraph"/>
              <w:spacing w:before="144"/>
            </w:pPr>
          </w:p>
          <w:p w14:paraId="0DFDBCCB"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512" w:type="dxa"/>
            <w:tcBorders>
              <w:left w:val="single" w:sz="8" w:space="0" w:color="000000"/>
              <w:right w:val="single" w:sz="8" w:space="0" w:color="000000"/>
            </w:tcBorders>
          </w:tcPr>
          <w:p w14:paraId="0DFDBCCC" w14:textId="77777777" w:rsidR="00046465" w:rsidRDefault="008134EB">
            <w:pPr>
              <w:pStyle w:val="TableParagraph"/>
              <w:spacing w:before="144"/>
              <w:ind w:left="142" w:right="193"/>
              <w:rPr>
                <w:b/>
              </w:rPr>
            </w:pPr>
            <w:r>
              <w:rPr>
                <w:b/>
                <w:spacing w:val="-2"/>
              </w:rPr>
              <w:t xml:space="preserve">Initials/ </w:t>
            </w:r>
            <w:r>
              <w:rPr>
                <w:b/>
                <w:spacing w:val="-4"/>
              </w:rPr>
              <w:t>date</w:t>
            </w:r>
          </w:p>
        </w:tc>
        <w:tc>
          <w:tcPr>
            <w:tcW w:w="1440" w:type="dxa"/>
            <w:tcBorders>
              <w:left w:val="single" w:sz="8" w:space="0" w:color="000000"/>
            </w:tcBorders>
          </w:tcPr>
          <w:p w14:paraId="0DFDBCCD" w14:textId="77777777" w:rsidR="00046465" w:rsidRDefault="00046465">
            <w:pPr>
              <w:pStyle w:val="TableParagraph"/>
              <w:spacing w:before="144"/>
            </w:pPr>
          </w:p>
          <w:p w14:paraId="0DFDBCCE" w14:textId="77777777" w:rsidR="00046465" w:rsidRDefault="008134EB">
            <w:pPr>
              <w:pStyle w:val="TableParagraph"/>
              <w:ind w:left="142"/>
              <w:rPr>
                <w:b/>
              </w:rPr>
            </w:pPr>
            <w:r>
              <w:rPr>
                <w:b/>
              </w:rPr>
              <w:t>Doc.</w:t>
            </w:r>
            <w:r>
              <w:rPr>
                <w:b/>
                <w:spacing w:val="-6"/>
              </w:rPr>
              <w:t xml:space="preserve"> </w:t>
            </w:r>
            <w:r>
              <w:rPr>
                <w:b/>
                <w:spacing w:val="-4"/>
              </w:rPr>
              <w:t>ref.</w:t>
            </w:r>
          </w:p>
        </w:tc>
      </w:tr>
      <w:tr w:rsidR="00046465" w14:paraId="0DFDBCD6" w14:textId="77777777">
        <w:trPr>
          <w:trHeight w:val="4659"/>
        </w:trPr>
        <w:tc>
          <w:tcPr>
            <w:tcW w:w="6408" w:type="dxa"/>
            <w:tcBorders>
              <w:bottom w:val="single" w:sz="6" w:space="0" w:color="000000"/>
              <w:right w:val="single" w:sz="6" w:space="0" w:color="000000"/>
            </w:tcBorders>
          </w:tcPr>
          <w:p w14:paraId="0DFDBCD0" w14:textId="77777777" w:rsidR="00046465" w:rsidRDefault="008134EB">
            <w:pPr>
              <w:pStyle w:val="TableParagraph"/>
              <w:tabs>
                <w:tab w:val="left" w:pos="584"/>
              </w:tabs>
              <w:spacing w:before="144"/>
              <w:ind w:left="584" w:right="692" w:hanging="455"/>
            </w:pPr>
            <w:r>
              <w:rPr>
                <w:spacing w:val="-6"/>
              </w:rPr>
              <w:t>1.</w:t>
            </w:r>
            <w:r>
              <w:tab/>
              <w:t>Based</w:t>
            </w:r>
            <w:r>
              <w:rPr>
                <w:spacing w:val="-5"/>
              </w:rPr>
              <w:t xml:space="preserve"> </w:t>
            </w:r>
            <w:r>
              <w:t>on</w:t>
            </w:r>
            <w:r>
              <w:rPr>
                <w:spacing w:val="-5"/>
              </w:rPr>
              <w:t xml:space="preserve"> </w:t>
            </w:r>
            <w:r>
              <w:t>the</w:t>
            </w:r>
            <w:r>
              <w:rPr>
                <w:spacing w:val="-5"/>
              </w:rPr>
              <w:t xml:space="preserve"> </w:t>
            </w:r>
            <w:r>
              <w:t>preliminary</w:t>
            </w:r>
            <w:r>
              <w:rPr>
                <w:spacing w:val="-5"/>
              </w:rPr>
              <w:t xml:space="preserve"> </w:t>
            </w:r>
            <w:r>
              <w:t>assessment</w:t>
            </w:r>
            <w:r>
              <w:rPr>
                <w:spacing w:val="-5"/>
              </w:rPr>
              <w:t xml:space="preserve"> </w:t>
            </w:r>
            <w:r>
              <w:t>of</w:t>
            </w:r>
            <w:r>
              <w:rPr>
                <w:spacing w:val="-5"/>
              </w:rPr>
              <w:t xml:space="preserve"> </w:t>
            </w:r>
            <w:r>
              <w:t>compliance control effectiveness (as documented on Form 809, Compliance</w:t>
            </w:r>
            <w:r>
              <w:rPr>
                <w:spacing w:val="-6"/>
              </w:rPr>
              <w:t xml:space="preserve"> </w:t>
            </w:r>
            <w:r>
              <w:t>Summary),</w:t>
            </w:r>
            <w:r>
              <w:rPr>
                <w:spacing w:val="-6"/>
              </w:rPr>
              <w:t xml:space="preserve"> </w:t>
            </w:r>
            <w:r>
              <w:t>select</w:t>
            </w:r>
            <w:r>
              <w:rPr>
                <w:spacing w:val="-6"/>
              </w:rPr>
              <w:t xml:space="preserve"> </w:t>
            </w:r>
            <w:r>
              <w:t>a</w:t>
            </w:r>
            <w:r>
              <w:rPr>
                <w:spacing w:val="-7"/>
              </w:rPr>
              <w:t xml:space="preserve"> </w:t>
            </w:r>
            <w:r>
              <w:t>statistical</w:t>
            </w:r>
            <w:r>
              <w:rPr>
                <w:spacing w:val="-7"/>
              </w:rPr>
              <w:t xml:space="preserve"> </w:t>
            </w:r>
            <w:r>
              <w:t>sample</w:t>
            </w:r>
            <w:r>
              <w:rPr>
                <w:spacing w:val="-6"/>
              </w:rPr>
              <w:t xml:space="preserve"> </w:t>
            </w:r>
            <w:r>
              <w:t>of payroll records (e.g., each employee’s pay per pay period) for the audit period.</w:t>
            </w:r>
          </w:p>
          <w:p w14:paraId="0DFDBCD1" w14:textId="77777777" w:rsidR="00046465" w:rsidRDefault="008134EB">
            <w:pPr>
              <w:pStyle w:val="TableParagraph"/>
              <w:spacing w:before="145"/>
              <w:ind w:left="568" w:right="247"/>
              <w:rPr>
                <w:position w:val="7"/>
                <w:sz w:val="14"/>
              </w:rPr>
            </w:pPr>
            <w:r>
              <w:t>The sample size will vary based on the expected effectiveness</w:t>
            </w:r>
            <w:r>
              <w:rPr>
                <w:spacing w:val="-7"/>
              </w:rPr>
              <w:t xml:space="preserve"> </w:t>
            </w:r>
            <w:r>
              <w:t>of</w:t>
            </w:r>
            <w:r>
              <w:rPr>
                <w:spacing w:val="-7"/>
              </w:rPr>
              <w:t xml:space="preserve"> </w:t>
            </w:r>
            <w:r>
              <w:t>compliance</w:t>
            </w:r>
            <w:r>
              <w:rPr>
                <w:spacing w:val="-7"/>
              </w:rPr>
              <w:t xml:space="preserve"> </w:t>
            </w:r>
            <w:r>
              <w:t>controls,</w:t>
            </w:r>
            <w:r>
              <w:rPr>
                <w:spacing w:val="-7"/>
              </w:rPr>
              <w:t xml:space="preserve"> </w:t>
            </w:r>
            <w:r>
              <w:t>as</w:t>
            </w:r>
            <w:r>
              <w:rPr>
                <w:spacing w:val="-7"/>
              </w:rPr>
              <w:t xml:space="preserve"> </w:t>
            </w:r>
            <w:r>
              <w:t>discussed</w:t>
            </w:r>
            <w:r>
              <w:rPr>
                <w:spacing w:val="-7"/>
              </w:rPr>
              <w:t xml:space="preserve"> </w:t>
            </w:r>
            <w:r>
              <w:t>in FAM 460.02. Document the sampling approach (see example documentation in FAM 495 D)</w:t>
            </w:r>
            <w:hyperlink w:anchor="_bookmark128" w:history="1">
              <w:r>
                <w:rPr>
                  <w:position w:val="7"/>
                  <w:sz w:val="14"/>
                </w:rPr>
                <w:t>59</w:t>
              </w:r>
            </w:hyperlink>
          </w:p>
          <w:p w14:paraId="0DFDBCD2" w14:textId="77777777" w:rsidR="00046465" w:rsidRDefault="008134EB">
            <w:pPr>
              <w:pStyle w:val="TableParagraph"/>
              <w:spacing w:before="144"/>
              <w:ind w:left="567" w:right="195"/>
            </w:pPr>
            <w:r>
              <w:t>The</w:t>
            </w:r>
            <w:r>
              <w:rPr>
                <w:spacing w:val="-5"/>
              </w:rPr>
              <w:t xml:space="preserve"> </w:t>
            </w:r>
            <w:r>
              <w:t>auditor</w:t>
            </w:r>
            <w:r>
              <w:rPr>
                <w:spacing w:val="-7"/>
              </w:rPr>
              <w:t xml:space="preserve"> </w:t>
            </w:r>
            <w:r>
              <w:t>should</w:t>
            </w:r>
            <w:r>
              <w:rPr>
                <w:spacing w:val="-5"/>
              </w:rPr>
              <w:t xml:space="preserve"> </w:t>
            </w:r>
            <w:r>
              <w:t>coordinate</w:t>
            </w:r>
            <w:r>
              <w:rPr>
                <w:spacing w:val="-5"/>
              </w:rPr>
              <w:t xml:space="preserve"> </w:t>
            </w:r>
            <w:r>
              <w:t>these</w:t>
            </w:r>
            <w:r>
              <w:rPr>
                <w:spacing w:val="-6"/>
              </w:rPr>
              <w:t xml:space="preserve"> </w:t>
            </w:r>
            <w:r>
              <w:t>tests</w:t>
            </w:r>
            <w:r>
              <w:rPr>
                <w:spacing w:val="-5"/>
              </w:rPr>
              <w:t xml:space="preserve"> </w:t>
            </w:r>
            <w:r>
              <w:t>with</w:t>
            </w:r>
            <w:r>
              <w:rPr>
                <w:spacing w:val="-5"/>
              </w:rPr>
              <w:t xml:space="preserve"> </w:t>
            </w:r>
            <w:r>
              <w:t>other</w:t>
            </w:r>
            <w:r>
              <w:rPr>
                <w:spacing w:val="-5"/>
              </w:rPr>
              <w:t xml:space="preserve"> </w:t>
            </w:r>
            <w:r>
              <w:t>tests of payroll-related expenses and with the agreed-upon procedures entity auditors perform for OPM, per OMB audit guidance, if performed.</w:t>
            </w:r>
          </w:p>
          <w:p w14:paraId="0DFDBCD3" w14:textId="77777777" w:rsidR="00046465" w:rsidRDefault="008134EB">
            <w:pPr>
              <w:pStyle w:val="TableParagraph"/>
              <w:tabs>
                <w:tab w:val="left" w:pos="6130"/>
              </w:tabs>
              <w:spacing w:before="32" w:line="398" w:lineRule="exact"/>
              <w:ind w:left="614" w:right="244"/>
            </w:pPr>
            <w:r>
              <w:t>Sample size</w:t>
            </w:r>
            <w:r>
              <w:rPr>
                <w:spacing w:val="-4"/>
              </w:rPr>
              <w:t xml:space="preserve"> </w:t>
            </w:r>
            <w:r>
              <w:rPr>
                <w:u w:val="single"/>
              </w:rPr>
              <w:tab/>
            </w:r>
            <w:r>
              <w:t xml:space="preserve"> Sample selection method</w:t>
            </w:r>
            <w:r>
              <w:rPr>
                <w:spacing w:val="50"/>
              </w:rPr>
              <w:t xml:space="preserve"> </w:t>
            </w:r>
            <w:r>
              <w:rPr>
                <w:u w:val="single"/>
              </w:rPr>
              <w:tab/>
            </w:r>
          </w:p>
        </w:tc>
        <w:tc>
          <w:tcPr>
            <w:tcW w:w="1512" w:type="dxa"/>
            <w:tcBorders>
              <w:left w:val="single" w:sz="6" w:space="0" w:color="000000"/>
              <w:bottom w:val="single" w:sz="6" w:space="0" w:color="000000"/>
              <w:right w:val="single" w:sz="6" w:space="0" w:color="000000"/>
            </w:tcBorders>
          </w:tcPr>
          <w:p w14:paraId="0DFDBCD4" w14:textId="77777777" w:rsidR="00046465" w:rsidRDefault="00046465">
            <w:pPr>
              <w:pStyle w:val="TableParagraph"/>
              <w:rPr>
                <w:rFonts w:ascii="Times New Roman"/>
                <w:sz w:val="20"/>
              </w:rPr>
            </w:pPr>
          </w:p>
        </w:tc>
        <w:tc>
          <w:tcPr>
            <w:tcW w:w="1440" w:type="dxa"/>
            <w:tcBorders>
              <w:left w:val="single" w:sz="6" w:space="0" w:color="000000"/>
              <w:bottom w:val="single" w:sz="6" w:space="0" w:color="000000"/>
            </w:tcBorders>
          </w:tcPr>
          <w:p w14:paraId="0DFDBCD5" w14:textId="77777777" w:rsidR="00046465" w:rsidRDefault="00046465">
            <w:pPr>
              <w:pStyle w:val="TableParagraph"/>
              <w:rPr>
                <w:rFonts w:ascii="Times New Roman"/>
                <w:sz w:val="20"/>
              </w:rPr>
            </w:pPr>
          </w:p>
        </w:tc>
      </w:tr>
      <w:tr w:rsidR="00046465" w14:paraId="0DFDBCDA" w14:textId="77777777">
        <w:trPr>
          <w:trHeight w:val="1553"/>
        </w:trPr>
        <w:tc>
          <w:tcPr>
            <w:tcW w:w="6408" w:type="dxa"/>
            <w:tcBorders>
              <w:top w:val="single" w:sz="6" w:space="0" w:color="000000"/>
              <w:bottom w:val="single" w:sz="6" w:space="0" w:color="000000"/>
              <w:right w:val="single" w:sz="6" w:space="0" w:color="000000"/>
            </w:tcBorders>
          </w:tcPr>
          <w:p w14:paraId="0DFDBCD7" w14:textId="77777777" w:rsidR="00046465" w:rsidRDefault="008134EB">
            <w:pPr>
              <w:pStyle w:val="TableParagraph"/>
              <w:tabs>
                <w:tab w:val="left" w:pos="567"/>
              </w:tabs>
              <w:spacing w:before="143"/>
              <w:ind w:left="614" w:right="195" w:hanging="485"/>
            </w:pPr>
            <w:r>
              <w:rPr>
                <w:spacing w:val="-6"/>
              </w:rPr>
              <w:t>2.</w:t>
            </w:r>
            <w:r>
              <w:tab/>
              <w:t>For each selection made in step 1, document the employee, the pay period selected, and the amount withheld</w:t>
            </w:r>
            <w:r>
              <w:rPr>
                <w:spacing w:val="-3"/>
              </w:rPr>
              <w:t xml:space="preserve"> </w:t>
            </w:r>
            <w:r>
              <w:t>for</w:t>
            </w:r>
            <w:r>
              <w:rPr>
                <w:spacing w:val="-5"/>
              </w:rPr>
              <w:t xml:space="preserve"> </w:t>
            </w:r>
            <w:r>
              <w:t>the</w:t>
            </w:r>
            <w:r>
              <w:rPr>
                <w:spacing w:val="-3"/>
              </w:rPr>
              <w:t xml:space="preserve"> </w:t>
            </w:r>
            <w:r>
              <w:t>pay</w:t>
            </w:r>
            <w:r>
              <w:rPr>
                <w:spacing w:val="-3"/>
              </w:rPr>
              <w:t xml:space="preserve"> </w:t>
            </w:r>
            <w:r>
              <w:t>period</w:t>
            </w:r>
            <w:r>
              <w:rPr>
                <w:spacing w:val="-3"/>
              </w:rPr>
              <w:t xml:space="preserve"> </w:t>
            </w:r>
            <w:r>
              <w:t>selected,</w:t>
            </w:r>
            <w:r>
              <w:rPr>
                <w:spacing w:val="-4"/>
              </w:rPr>
              <w:t xml:space="preserve"> </w:t>
            </w:r>
            <w:r>
              <w:t>if</w:t>
            </w:r>
            <w:r>
              <w:rPr>
                <w:spacing w:val="-3"/>
              </w:rPr>
              <w:t xml:space="preserve"> </w:t>
            </w:r>
            <w:r>
              <w:t>any,</w:t>
            </w:r>
            <w:r>
              <w:rPr>
                <w:spacing w:val="-3"/>
              </w:rPr>
              <w:t xml:space="preserve"> </w:t>
            </w:r>
            <w:r>
              <w:t>for</w:t>
            </w:r>
            <w:r>
              <w:rPr>
                <w:spacing w:val="-3"/>
              </w:rPr>
              <w:t xml:space="preserve"> </w:t>
            </w:r>
            <w:r>
              <w:t>the</w:t>
            </w:r>
            <w:r>
              <w:rPr>
                <w:spacing w:val="-3"/>
              </w:rPr>
              <w:t xml:space="preserve"> </w:t>
            </w:r>
            <w:r>
              <w:t>cost</w:t>
            </w:r>
            <w:r>
              <w:rPr>
                <w:spacing w:val="-3"/>
              </w:rPr>
              <w:t xml:space="preserve"> </w:t>
            </w:r>
            <w:r>
              <w:t>of health insurance. If available, document the health insurance plan enrollment code.</w:t>
            </w:r>
          </w:p>
        </w:tc>
        <w:tc>
          <w:tcPr>
            <w:tcW w:w="1512" w:type="dxa"/>
            <w:tcBorders>
              <w:top w:val="single" w:sz="6" w:space="0" w:color="000000"/>
              <w:left w:val="single" w:sz="6" w:space="0" w:color="000000"/>
              <w:bottom w:val="single" w:sz="6" w:space="0" w:color="000000"/>
              <w:right w:val="single" w:sz="6" w:space="0" w:color="000000"/>
            </w:tcBorders>
          </w:tcPr>
          <w:p w14:paraId="0DFDBCD8" w14:textId="77777777" w:rsidR="00046465" w:rsidRDefault="00046465">
            <w:pPr>
              <w:pStyle w:val="TableParagraph"/>
              <w:rPr>
                <w:rFonts w:ascii="Times New Roman"/>
                <w:sz w:val="20"/>
              </w:rPr>
            </w:pPr>
          </w:p>
        </w:tc>
        <w:tc>
          <w:tcPr>
            <w:tcW w:w="1440" w:type="dxa"/>
            <w:tcBorders>
              <w:top w:val="single" w:sz="6" w:space="0" w:color="000000"/>
              <w:left w:val="single" w:sz="6" w:space="0" w:color="000000"/>
              <w:bottom w:val="single" w:sz="6" w:space="0" w:color="000000"/>
            </w:tcBorders>
          </w:tcPr>
          <w:p w14:paraId="0DFDBCD9" w14:textId="77777777" w:rsidR="00046465" w:rsidRDefault="00046465">
            <w:pPr>
              <w:pStyle w:val="TableParagraph"/>
              <w:rPr>
                <w:rFonts w:ascii="Times New Roman"/>
                <w:sz w:val="20"/>
              </w:rPr>
            </w:pPr>
          </w:p>
        </w:tc>
      </w:tr>
    </w:tbl>
    <w:p w14:paraId="0DFDBCDB" w14:textId="77777777" w:rsidR="00046465" w:rsidRDefault="00046465">
      <w:pPr>
        <w:pStyle w:val="BodyText"/>
        <w:rPr>
          <w:sz w:val="20"/>
        </w:rPr>
      </w:pPr>
    </w:p>
    <w:p w14:paraId="0DFDBCDC" w14:textId="77777777" w:rsidR="00046465" w:rsidRDefault="00046465">
      <w:pPr>
        <w:pStyle w:val="BodyText"/>
        <w:rPr>
          <w:sz w:val="20"/>
        </w:rPr>
      </w:pPr>
    </w:p>
    <w:p w14:paraId="0DFDBCDD" w14:textId="77777777" w:rsidR="00046465" w:rsidRDefault="00046465">
      <w:pPr>
        <w:pStyle w:val="BodyText"/>
        <w:rPr>
          <w:sz w:val="20"/>
        </w:rPr>
      </w:pPr>
    </w:p>
    <w:p w14:paraId="0DFDBCDE" w14:textId="77777777" w:rsidR="00046465" w:rsidRDefault="00046465">
      <w:pPr>
        <w:pStyle w:val="BodyText"/>
        <w:rPr>
          <w:sz w:val="20"/>
        </w:rPr>
      </w:pPr>
    </w:p>
    <w:p w14:paraId="0DFDBCDF" w14:textId="77777777" w:rsidR="00046465" w:rsidRDefault="008134EB">
      <w:pPr>
        <w:pStyle w:val="BodyText"/>
        <w:spacing w:before="27"/>
        <w:rPr>
          <w:sz w:val="20"/>
        </w:rPr>
      </w:pPr>
      <w:r>
        <w:rPr>
          <w:noProof/>
          <w:sz w:val="20"/>
        </w:rPr>
        <mc:AlternateContent>
          <mc:Choice Requires="wps">
            <w:drawing>
              <wp:anchor distT="0" distB="0" distL="0" distR="0" simplePos="0" relativeHeight="487698432" behindDoc="1" locked="0" layoutInCell="1" allowOverlap="1" wp14:anchorId="0DFDD6C3" wp14:editId="0DFDD6C4">
                <wp:simplePos x="0" y="0"/>
                <wp:positionH relativeFrom="page">
                  <wp:posOffset>914400</wp:posOffset>
                </wp:positionH>
                <wp:positionV relativeFrom="paragraph">
                  <wp:posOffset>178992</wp:posOffset>
                </wp:positionV>
                <wp:extent cx="1828800" cy="6985"/>
                <wp:effectExtent l="0" t="0" r="0" b="0"/>
                <wp:wrapTopAndBottom/>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15D36A" id="Graphic 785" o:spid="_x0000_s1026" style="position:absolute;margin-left:1in;margin-top:14.1pt;width:2in;height:.55pt;z-index:-15618048;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" path="m1828800,l,,,6858r1828800,l1828800,xe" fillcolor="black" stroked="f">
                <v:path arrowok="t"/>
                <w10:wrap type="topAndBottom" anchorx="page"/>
              </v:shape>
            </w:pict>
          </mc:Fallback>
        </mc:AlternateContent>
      </w:r>
    </w:p>
    <w:p w14:paraId="0DFDBCE0" w14:textId="77777777" w:rsidR="00046465" w:rsidRDefault="008134EB">
      <w:pPr>
        <w:spacing w:before="217" w:line="242" w:lineRule="auto"/>
        <w:ind w:left="359" w:right="280"/>
        <w:rPr>
          <w:sz w:val="18"/>
        </w:rPr>
      </w:pPr>
      <w:bookmarkStart w:id="238" w:name="_bookmark128"/>
      <w:bookmarkEnd w:id="238"/>
      <w:r>
        <w:rPr>
          <w:position w:val="7"/>
          <w:sz w:val="14"/>
        </w:rPr>
        <w:t>59</w:t>
      </w:r>
      <w:r>
        <w:rPr>
          <w:sz w:val="18"/>
        </w:rPr>
        <w:t>If the auditor uses multipurpose testing for the compliance test, compliance control test, or both and a substantive test of payroll expense details, then the auditor should select the sample items for the compliance test, compliance control</w:t>
      </w:r>
      <w:r>
        <w:rPr>
          <w:spacing w:val="-2"/>
          <w:sz w:val="18"/>
        </w:rPr>
        <w:t xml:space="preserve"> </w:t>
      </w:r>
      <w:r>
        <w:rPr>
          <w:sz w:val="18"/>
        </w:rPr>
        <w:t>test,</w:t>
      </w:r>
      <w:r>
        <w:rPr>
          <w:spacing w:val="-2"/>
          <w:sz w:val="18"/>
        </w:rPr>
        <w:t xml:space="preserve"> </w:t>
      </w:r>
      <w:r>
        <w:rPr>
          <w:sz w:val="18"/>
        </w:rPr>
        <w:t>or</w:t>
      </w:r>
      <w:r>
        <w:rPr>
          <w:spacing w:val="-2"/>
          <w:sz w:val="18"/>
        </w:rPr>
        <w:t xml:space="preserve"> </w:t>
      </w:r>
      <w:r>
        <w:rPr>
          <w:sz w:val="18"/>
        </w:rPr>
        <w:t>both</w:t>
      </w:r>
      <w:r>
        <w:rPr>
          <w:spacing w:val="-3"/>
          <w:sz w:val="18"/>
        </w:rPr>
        <w:t xml:space="preserve"> </w:t>
      </w:r>
      <w:r>
        <w:rPr>
          <w:sz w:val="18"/>
        </w:rPr>
        <w:t>using</w:t>
      </w:r>
      <w:r>
        <w:rPr>
          <w:spacing w:val="-3"/>
          <w:sz w:val="18"/>
        </w:rPr>
        <w:t xml:space="preserve"> </w:t>
      </w:r>
      <w:r>
        <w:rPr>
          <w:sz w:val="18"/>
        </w:rPr>
        <w:t>the</w:t>
      </w:r>
      <w:r>
        <w:rPr>
          <w:spacing w:val="-1"/>
          <w:sz w:val="18"/>
        </w:rPr>
        <w:t xml:space="preserve"> </w:t>
      </w:r>
      <w:r>
        <w:rPr>
          <w:sz w:val="18"/>
        </w:rPr>
        <w:t>sampling</w:t>
      </w:r>
      <w:r>
        <w:rPr>
          <w:spacing w:val="-3"/>
          <w:sz w:val="18"/>
        </w:rPr>
        <w:t xml:space="preserve"> </w:t>
      </w:r>
      <w:r>
        <w:rPr>
          <w:sz w:val="18"/>
        </w:rPr>
        <w:t>method</w:t>
      </w:r>
      <w:r>
        <w:rPr>
          <w:spacing w:val="-3"/>
          <w:sz w:val="18"/>
        </w:rPr>
        <w:t xml:space="preserve"> </w:t>
      </w:r>
      <w:r>
        <w:rPr>
          <w:sz w:val="18"/>
        </w:rPr>
        <w:t>used</w:t>
      </w:r>
      <w:r>
        <w:rPr>
          <w:spacing w:val="-3"/>
          <w:sz w:val="18"/>
        </w:rPr>
        <w:t xml:space="preserve"> </w:t>
      </w:r>
      <w:r>
        <w:rPr>
          <w:sz w:val="18"/>
        </w:rPr>
        <w:t>for</w:t>
      </w:r>
      <w:r>
        <w:rPr>
          <w:spacing w:val="-2"/>
          <w:sz w:val="18"/>
        </w:rPr>
        <w:t xml:space="preserve"> </w:t>
      </w:r>
      <w:r>
        <w:rPr>
          <w:sz w:val="18"/>
        </w:rPr>
        <w:t>the</w:t>
      </w:r>
      <w:r>
        <w:rPr>
          <w:spacing w:val="-1"/>
          <w:sz w:val="18"/>
        </w:rPr>
        <w:t xml:space="preserve"> </w:t>
      </w:r>
      <w:r>
        <w:rPr>
          <w:sz w:val="18"/>
        </w:rPr>
        <w:t>substantive</w:t>
      </w:r>
      <w:r>
        <w:rPr>
          <w:spacing w:val="-3"/>
          <w:sz w:val="18"/>
        </w:rPr>
        <w:t xml:space="preserve"> </w:t>
      </w:r>
      <w:r>
        <w:rPr>
          <w:sz w:val="18"/>
        </w:rPr>
        <w:t>test,</w:t>
      </w:r>
      <w:r>
        <w:rPr>
          <w:spacing w:val="-2"/>
          <w:sz w:val="18"/>
        </w:rPr>
        <w:t xml:space="preserve"> </w:t>
      </w:r>
      <w:r>
        <w:rPr>
          <w:sz w:val="18"/>
        </w:rPr>
        <w:t>as</w:t>
      </w:r>
      <w:r>
        <w:rPr>
          <w:spacing w:val="-2"/>
          <w:sz w:val="18"/>
        </w:rPr>
        <w:t xml:space="preserve"> </w:t>
      </w:r>
      <w:r>
        <w:rPr>
          <w:sz w:val="18"/>
        </w:rPr>
        <w:t>discussed</w:t>
      </w:r>
      <w:r>
        <w:rPr>
          <w:spacing w:val="-3"/>
          <w:sz w:val="18"/>
        </w:rPr>
        <w:t xml:space="preserve"> </w:t>
      </w:r>
      <w:r>
        <w:rPr>
          <w:sz w:val="18"/>
        </w:rPr>
        <w:t>in</w:t>
      </w:r>
      <w:r>
        <w:rPr>
          <w:spacing w:val="-3"/>
          <w:sz w:val="18"/>
        </w:rPr>
        <w:t xml:space="preserve"> </w:t>
      </w:r>
      <w:r>
        <w:rPr>
          <w:sz w:val="18"/>
        </w:rPr>
        <w:t>FAM</w:t>
      </w:r>
      <w:r>
        <w:rPr>
          <w:spacing w:val="-2"/>
          <w:sz w:val="18"/>
        </w:rPr>
        <w:t xml:space="preserve"> </w:t>
      </w:r>
      <w:r>
        <w:rPr>
          <w:sz w:val="18"/>
        </w:rPr>
        <w:t>430,</w:t>
      </w:r>
      <w:r>
        <w:rPr>
          <w:spacing w:val="-2"/>
          <w:sz w:val="18"/>
        </w:rPr>
        <w:t xml:space="preserve"> </w:t>
      </w:r>
      <w:r>
        <w:rPr>
          <w:sz w:val="18"/>
        </w:rPr>
        <w:t>Design</w:t>
      </w:r>
      <w:r>
        <w:rPr>
          <w:spacing w:val="-3"/>
          <w:sz w:val="18"/>
        </w:rPr>
        <w:t xml:space="preserve"> </w:t>
      </w:r>
      <w:r>
        <w:rPr>
          <w:sz w:val="18"/>
        </w:rPr>
        <w:t>Tests. Otherwise, the auditor should select items using attribute sampling, as discussed in FAM 460.02.</w:t>
      </w:r>
    </w:p>
    <w:p w14:paraId="0DFDBCE1" w14:textId="77777777" w:rsidR="00046465" w:rsidRDefault="008134EB">
      <w:pPr>
        <w:spacing w:before="119"/>
        <w:ind w:left="359" w:right="372"/>
        <w:rPr>
          <w:sz w:val="18"/>
        </w:rPr>
      </w:pPr>
      <w:r>
        <w:rPr>
          <w:sz w:val="18"/>
        </w:rPr>
        <w:t>As</w:t>
      </w:r>
      <w:r>
        <w:rPr>
          <w:spacing w:val="-3"/>
          <w:sz w:val="18"/>
        </w:rPr>
        <w:t xml:space="preserve"> </w:t>
      </w:r>
      <w:r>
        <w:rPr>
          <w:sz w:val="18"/>
        </w:rPr>
        <w:t>with</w:t>
      </w:r>
      <w:r>
        <w:rPr>
          <w:spacing w:val="-4"/>
          <w:sz w:val="18"/>
        </w:rPr>
        <w:t xml:space="preserve"> </w:t>
      </w:r>
      <w:r>
        <w:rPr>
          <w:sz w:val="18"/>
        </w:rPr>
        <w:t>all</w:t>
      </w:r>
      <w:r>
        <w:rPr>
          <w:spacing w:val="-3"/>
          <w:sz w:val="18"/>
        </w:rPr>
        <w:t xml:space="preserve"> </w:t>
      </w:r>
      <w:r>
        <w:rPr>
          <w:sz w:val="18"/>
        </w:rPr>
        <w:t>sampling</w:t>
      </w:r>
      <w:r>
        <w:rPr>
          <w:spacing w:val="-4"/>
          <w:sz w:val="18"/>
        </w:rPr>
        <w:t xml:space="preserve"> </w:t>
      </w:r>
      <w:r>
        <w:rPr>
          <w:sz w:val="18"/>
        </w:rPr>
        <w:t>applications,</w:t>
      </w:r>
      <w:r>
        <w:rPr>
          <w:spacing w:val="-3"/>
          <w:sz w:val="18"/>
        </w:rPr>
        <w:t xml:space="preserve"> </w:t>
      </w:r>
      <w:r>
        <w:rPr>
          <w:sz w:val="18"/>
        </w:rPr>
        <w:t>the</w:t>
      </w:r>
      <w:r>
        <w:rPr>
          <w:spacing w:val="-4"/>
          <w:sz w:val="18"/>
        </w:rPr>
        <w:t xml:space="preserve"> </w:t>
      </w:r>
      <w:r>
        <w:rPr>
          <w:sz w:val="18"/>
        </w:rPr>
        <w:t>auditor</w:t>
      </w:r>
      <w:r>
        <w:rPr>
          <w:spacing w:val="-3"/>
          <w:sz w:val="18"/>
        </w:rPr>
        <w:t xml:space="preserve"> </w:t>
      </w:r>
      <w:r>
        <w:rPr>
          <w:sz w:val="18"/>
        </w:rPr>
        <w:t>should</w:t>
      </w:r>
      <w:r>
        <w:rPr>
          <w:spacing w:val="-4"/>
          <w:sz w:val="18"/>
        </w:rPr>
        <w:t xml:space="preserve"> </w:t>
      </w:r>
      <w:r>
        <w:rPr>
          <w:sz w:val="18"/>
        </w:rPr>
        <w:t>consider</w:t>
      </w:r>
      <w:r>
        <w:rPr>
          <w:spacing w:val="-3"/>
          <w:sz w:val="18"/>
        </w:rPr>
        <w:t xml:space="preserve"> </w:t>
      </w:r>
      <w:r>
        <w:rPr>
          <w:sz w:val="18"/>
        </w:rPr>
        <w:t>the</w:t>
      </w:r>
      <w:r>
        <w:rPr>
          <w:spacing w:val="-4"/>
          <w:sz w:val="18"/>
        </w:rPr>
        <w:t xml:space="preserve"> </w:t>
      </w:r>
      <w:r>
        <w:rPr>
          <w:sz w:val="18"/>
        </w:rPr>
        <w:t>completeness</w:t>
      </w:r>
      <w:r>
        <w:rPr>
          <w:spacing w:val="-3"/>
          <w:sz w:val="18"/>
        </w:rPr>
        <w:t xml:space="preserve"> </w:t>
      </w:r>
      <w:r>
        <w:rPr>
          <w:sz w:val="18"/>
        </w:rPr>
        <w:t>of</w:t>
      </w:r>
      <w:r>
        <w:rPr>
          <w:spacing w:val="-3"/>
          <w:sz w:val="18"/>
        </w:rPr>
        <w:t xml:space="preserve"> </w:t>
      </w:r>
      <w:r>
        <w:rPr>
          <w:sz w:val="18"/>
        </w:rPr>
        <w:t>the</w:t>
      </w:r>
      <w:r>
        <w:rPr>
          <w:spacing w:val="-4"/>
          <w:sz w:val="18"/>
        </w:rPr>
        <w:t xml:space="preserve"> </w:t>
      </w:r>
      <w:r>
        <w:rPr>
          <w:sz w:val="18"/>
        </w:rPr>
        <w:t>test</w:t>
      </w:r>
      <w:r>
        <w:rPr>
          <w:spacing w:val="-3"/>
          <w:sz w:val="18"/>
        </w:rPr>
        <w:t xml:space="preserve"> </w:t>
      </w:r>
      <w:r>
        <w:rPr>
          <w:sz w:val="18"/>
        </w:rPr>
        <w:t>population.</w:t>
      </w:r>
      <w:r>
        <w:rPr>
          <w:spacing w:val="-3"/>
          <w:sz w:val="18"/>
        </w:rPr>
        <w:t xml:space="preserve"> </w:t>
      </w:r>
      <w:r>
        <w:rPr>
          <w:sz w:val="18"/>
        </w:rPr>
        <w:t>For</w:t>
      </w:r>
      <w:r>
        <w:rPr>
          <w:spacing w:val="-3"/>
          <w:sz w:val="18"/>
        </w:rPr>
        <w:t xml:space="preserve"> </w:t>
      </w:r>
      <w:r>
        <w:rPr>
          <w:sz w:val="18"/>
        </w:rPr>
        <w:t>efficiency, the auditor should consider using records that were tested for validity and completeness (as well as the other assertions) in conjunction with substantive tests of payroll or other payroll related compliance tests.</w:t>
      </w:r>
    </w:p>
    <w:p w14:paraId="0DFDBCE2" w14:textId="77777777" w:rsidR="00046465" w:rsidRDefault="00046465">
      <w:pPr>
        <w:rPr>
          <w:sz w:val="18"/>
        </w:rPr>
        <w:sectPr w:rsidR="00046465">
          <w:headerReference w:type="default" r:id="rId151"/>
          <w:footerReference w:type="default" r:id="rId152"/>
          <w:pgSz w:w="12240" w:h="15840"/>
          <w:pgMar w:top="1380" w:right="1080" w:bottom="940" w:left="1080" w:header="721" w:footer="742" w:gutter="0"/>
          <w:cols w:space="720"/>
        </w:sectPr>
      </w:pPr>
    </w:p>
    <w:p w14:paraId="0DFDBCE3" w14:textId="77777777" w:rsidR="00046465" w:rsidRDefault="00046465">
      <w:pPr>
        <w:pStyle w:val="BodyText"/>
        <w:spacing w:before="4" w:after="1"/>
        <w:rPr>
          <w:sz w:val="8"/>
        </w:rPr>
      </w:pPr>
    </w:p>
    <w:tbl>
      <w:tblPr>
        <w:tblW w:w="0" w:type="auto"/>
        <w:tblInd w:w="375"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24"/>
        <w:gridCol w:w="1512"/>
        <w:gridCol w:w="1440"/>
      </w:tblGrid>
      <w:tr w:rsidR="00046465" w14:paraId="0DFDBCE5" w14:textId="77777777">
        <w:trPr>
          <w:trHeight w:val="1335"/>
        </w:trPr>
        <w:tc>
          <w:tcPr>
            <w:tcW w:w="9376" w:type="dxa"/>
            <w:gridSpan w:val="3"/>
          </w:tcPr>
          <w:p w14:paraId="0DFDBCE4" w14:textId="77777777" w:rsidR="00046465" w:rsidRDefault="008134EB">
            <w:pPr>
              <w:pStyle w:val="TableParagraph"/>
              <w:tabs>
                <w:tab w:val="left" w:pos="8961"/>
              </w:tabs>
              <w:spacing w:before="7" w:line="390" w:lineRule="atLeast"/>
              <w:ind w:left="147" w:right="367" w:hanging="1"/>
              <w:jc w:val="both"/>
            </w:pPr>
            <w:r>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CEB" w14:textId="77777777">
        <w:trPr>
          <w:trHeight w:val="793"/>
        </w:trPr>
        <w:tc>
          <w:tcPr>
            <w:tcW w:w="6424" w:type="dxa"/>
            <w:tcBorders>
              <w:right w:val="single" w:sz="8" w:space="0" w:color="000000"/>
            </w:tcBorders>
          </w:tcPr>
          <w:p w14:paraId="0DFDBCE6" w14:textId="77777777" w:rsidR="00046465" w:rsidRDefault="00046465">
            <w:pPr>
              <w:pStyle w:val="TableParagraph"/>
              <w:spacing w:before="144"/>
            </w:pPr>
          </w:p>
          <w:p w14:paraId="0DFDBCE7" w14:textId="77777777" w:rsidR="00046465" w:rsidRDefault="008134EB">
            <w:pPr>
              <w:pStyle w:val="TableParagraph"/>
              <w:ind w:left="147"/>
              <w:rPr>
                <w:b/>
              </w:rPr>
            </w:pPr>
            <w:r>
              <w:rPr>
                <w:b/>
              </w:rPr>
              <w:t>Audit</w:t>
            </w:r>
            <w:r>
              <w:rPr>
                <w:b/>
                <w:spacing w:val="-7"/>
              </w:rPr>
              <w:t xml:space="preserve"> </w:t>
            </w:r>
            <w:r>
              <w:rPr>
                <w:b/>
                <w:spacing w:val="-2"/>
              </w:rPr>
              <w:t>procedures</w:t>
            </w:r>
          </w:p>
        </w:tc>
        <w:tc>
          <w:tcPr>
            <w:tcW w:w="1512" w:type="dxa"/>
            <w:tcBorders>
              <w:left w:val="single" w:sz="8" w:space="0" w:color="000000"/>
              <w:right w:val="single" w:sz="8" w:space="0" w:color="000000"/>
            </w:tcBorders>
          </w:tcPr>
          <w:p w14:paraId="0DFDBCE8" w14:textId="77777777" w:rsidR="00046465" w:rsidRDefault="008134EB">
            <w:pPr>
              <w:pStyle w:val="TableParagraph"/>
              <w:spacing w:before="144"/>
              <w:ind w:left="143" w:right="193"/>
              <w:rPr>
                <w:b/>
              </w:rPr>
            </w:pPr>
            <w:r>
              <w:rPr>
                <w:b/>
                <w:spacing w:val="-2"/>
              </w:rPr>
              <w:t xml:space="preserve">Initials/ </w:t>
            </w:r>
            <w:r>
              <w:rPr>
                <w:b/>
                <w:spacing w:val="-4"/>
              </w:rPr>
              <w:t>date</w:t>
            </w:r>
          </w:p>
        </w:tc>
        <w:tc>
          <w:tcPr>
            <w:tcW w:w="1440" w:type="dxa"/>
            <w:tcBorders>
              <w:left w:val="single" w:sz="8" w:space="0" w:color="000000"/>
            </w:tcBorders>
          </w:tcPr>
          <w:p w14:paraId="0DFDBCE9" w14:textId="77777777" w:rsidR="00046465" w:rsidRDefault="00046465">
            <w:pPr>
              <w:pStyle w:val="TableParagraph"/>
              <w:spacing w:before="144"/>
            </w:pPr>
          </w:p>
          <w:p w14:paraId="0DFDBCEA" w14:textId="77777777" w:rsidR="00046465" w:rsidRDefault="008134EB">
            <w:pPr>
              <w:pStyle w:val="TableParagraph"/>
              <w:ind w:left="143"/>
              <w:rPr>
                <w:b/>
              </w:rPr>
            </w:pPr>
            <w:r>
              <w:rPr>
                <w:b/>
              </w:rPr>
              <w:t>Doc.</w:t>
            </w:r>
            <w:r>
              <w:rPr>
                <w:b/>
                <w:spacing w:val="-6"/>
              </w:rPr>
              <w:t xml:space="preserve"> </w:t>
            </w:r>
            <w:r>
              <w:rPr>
                <w:b/>
                <w:spacing w:val="-4"/>
              </w:rPr>
              <w:t>ref.</w:t>
            </w:r>
          </w:p>
        </w:tc>
      </w:tr>
      <w:tr w:rsidR="00046465" w14:paraId="0DFDBCF0" w14:textId="77777777">
        <w:trPr>
          <w:trHeight w:val="2962"/>
        </w:trPr>
        <w:tc>
          <w:tcPr>
            <w:tcW w:w="6424" w:type="dxa"/>
            <w:tcBorders>
              <w:bottom w:val="single" w:sz="6" w:space="0" w:color="000000"/>
              <w:right w:val="single" w:sz="6" w:space="0" w:color="000000"/>
            </w:tcBorders>
          </w:tcPr>
          <w:p w14:paraId="0DFDBCEC" w14:textId="77777777" w:rsidR="00046465" w:rsidRDefault="008134EB">
            <w:pPr>
              <w:pStyle w:val="TableParagraph"/>
              <w:tabs>
                <w:tab w:val="left" w:pos="632"/>
              </w:tabs>
              <w:spacing w:before="144"/>
              <w:ind w:left="632" w:right="170" w:hanging="485"/>
            </w:pPr>
            <w:r>
              <w:rPr>
                <w:spacing w:val="-6"/>
              </w:rPr>
              <w:t>3.</w:t>
            </w:r>
            <w:r>
              <w:tab/>
              <w:t>For</w:t>
            </w:r>
            <w:r>
              <w:rPr>
                <w:spacing w:val="-2"/>
              </w:rPr>
              <w:t xml:space="preserve"> </w:t>
            </w:r>
            <w:r>
              <w:t>each</w:t>
            </w:r>
            <w:r>
              <w:rPr>
                <w:spacing w:val="-2"/>
              </w:rPr>
              <w:t xml:space="preserve"> </w:t>
            </w:r>
            <w:r>
              <w:t>selection</w:t>
            </w:r>
            <w:r>
              <w:rPr>
                <w:spacing w:val="-2"/>
              </w:rPr>
              <w:t xml:space="preserve"> </w:t>
            </w:r>
            <w:r>
              <w:t>made</w:t>
            </w:r>
            <w:r>
              <w:rPr>
                <w:spacing w:val="-2"/>
              </w:rPr>
              <w:t xml:space="preserve"> </w:t>
            </w:r>
            <w:r>
              <w:t>in</w:t>
            </w:r>
            <w:r>
              <w:rPr>
                <w:spacing w:val="-2"/>
              </w:rPr>
              <w:t xml:space="preserve"> </w:t>
            </w:r>
            <w:r>
              <w:t>step</w:t>
            </w:r>
            <w:r>
              <w:rPr>
                <w:spacing w:val="-2"/>
              </w:rPr>
              <w:t xml:space="preserve"> </w:t>
            </w:r>
            <w:r>
              <w:t>1,</w:t>
            </w:r>
            <w:r>
              <w:rPr>
                <w:spacing w:val="-2"/>
              </w:rPr>
              <w:t xml:space="preserve"> </w:t>
            </w:r>
            <w:r>
              <w:t>obtain</w:t>
            </w:r>
            <w:r>
              <w:rPr>
                <w:spacing w:val="-2"/>
              </w:rPr>
              <w:t xml:space="preserve"> </w:t>
            </w:r>
            <w:r>
              <w:t>the</w:t>
            </w:r>
            <w:r>
              <w:rPr>
                <w:spacing w:val="-2"/>
              </w:rPr>
              <w:t xml:space="preserve"> </w:t>
            </w:r>
            <w:r>
              <w:t>employee’s personnel file and note whether the employee elected health insurance coverage for the period to which payroll disbursement</w:t>
            </w:r>
            <w:r>
              <w:rPr>
                <w:spacing w:val="-7"/>
              </w:rPr>
              <w:t xml:space="preserve"> </w:t>
            </w:r>
            <w:r>
              <w:t>relates.</w:t>
            </w:r>
            <w:r>
              <w:rPr>
                <w:spacing w:val="-7"/>
              </w:rPr>
              <w:t xml:space="preserve"> </w:t>
            </w:r>
            <w:r>
              <w:t>Such</w:t>
            </w:r>
            <w:r>
              <w:rPr>
                <w:spacing w:val="-7"/>
              </w:rPr>
              <w:t xml:space="preserve"> </w:t>
            </w:r>
            <w:r>
              <w:t>coverage</w:t>
            </w:r>
            <w:r>
              <w:rPr>
                <w:spacing w:val="-7"/>
              </w:rPr>
              <w:t xml:space="preserve"> </w:t>
            </w:r>
            <w:r>
              <w:t>should</w:t>
            </w:r>
            <w:r>
              <w:rPr>
                <w:spacing w:val="-7"/>
              </w:rPr>
              <w:t xml:space="preserve"> </w:t>
            </w:r>
            <w:r>
              <w:t>be</w:t>
            </w:r>
            <w:r>
              <w:rPr>
                <w:spacing w:val="-7"/>
              </w:rPr>
              <w:t xml:space="preserve"> </w:t>
            </w:r>
            <w:r>
              <w:t xml:space="preserve">indicated on OPM form SF 2809 or other automated enrollment </w:t>
            </w:r>
            <w:r>
              <w:rPr>
                <w:spacing w:val="-2"/>
              </w:rPr>
              <w:t>process.</w:t>
            </w:r>
          </w:p>
          <w:p w14:paraId="0DFDBCED" w14:textId="77777777" w:rsidR="00046465" w:rsidRDefault="008134EB">
            <w:pPr>
              <w:pStyle w:val="TableParagraph"/>
              <w:spacing w:before="144"/>
              <w:ind w:left="579" w:right="170"/>
            </w:pPr>
            <w:r>
              <w:t>If the employee did not elect health insurance coverage, then ask why amounts are being withheld for the cost of insurance</w:t>
            </w:r>
            <w:r>
              <w:rPr>
                <w:spacing w:val="-7"/>
              </w:rPr>
              <w:t xml:space="preserve"> </w:t>
            </w:r>
            <w:r>
              <w:t>and</w:t>
            </w:r>
            <w:r>
              <w:rPr>
                <w:spacing w:val="-7"/>
              </w:rPr>
              <w:t xml:space="preserve"> </w:t>
            </w:r>
            <w:r>
              <w:t>determine</w:t>
            </w:r>
            <w:r>
              <w:rPr>
                <w:spacing w:val="-7"/>
              </w:rPr>
              <w:t xml:space="preserve"> </w:t>
            </w:r>
            <w:r>
              <w:t>whether</w:t>
            </w:r>
            <w:r>
              <w:rPr>
                <w:spacing w:val="-7"/>
              </w:rPr>
              <w:t xml:space="preserve"> </w:t>
            </w:r>
            <w:r>
              <w:t>any</w:t>
            </w:r>
            <w:r>
              <w:rPr>
                <w:spacing w:val="-7"/>
              </w:rPr>
              <w:t xml:space="preserve"> </w:t>
            </w:r>
            <w:r>
              <w:t>entity</w:t>
            </w:r>
            <w:r>
              <w:rPr>
                <w:spacing w:val="-8"/>
              </w:rPr>
              <w:t xml:space="preserve"> </w:t>
            </w:r>
            <w:r>
              <w:t>contributions are being made inappropriately as well.</w:t>
            </w:r>
          </w:p>
        </w:tc>
        <w:tc>
          <w:tcPr>
            <w:tcW w:w="1512" w:type="dxa"/>
            <w:tcBorders>
              <w:left w:val="single" w:sz="6" w:space="0" w:color="000000"/>
              <w:bottom w:val="single" w:sz="6" w:space="0" w:color="000000"/>
              <w:right w:val="single" w:sz="6" w:space="0" w:color="000000"/>
            </w:tcBorders>
          </w:tcPr>
          <w:p w14:paraId="0DFDBCEE" w14:textId="77777777" w:rsidR="00046465" w:rsidRDefault="00046465">
            <w:pPr>
              <w:pStyle w:val="TableParagraph"/>
              <w:rPr>
                <w:rFonts w:ascii="Times New Roman"/>
                <w:sz w:val="20"/>
              </w:rPr>
            </w:pPr>
          </w:p>
        </w:tc>
        <w:tc>
          <w:tcPr>
            <w:tcW w:w="1440" w:type="dxa"/>
            <w:tcBorders>
              <w:left w:val="single" w:sz="6" w:space="0" w:color="000000"/>
              <w:bottom w:val="single" w:sz="6" w:space="0" w:color="000000"/>
            </w:tcBorders>
          </w:tcPr>
          <w:p w14:paraId="0DFDBCEF" w14:textId="77777777" w:rsidR="00046465" w:rsidRDefault="00046465">
            <w:pPr>
              <w:pStyle w:val="TableParagraph"/>
              <w:rPr>
                <w:rFonts w:ascii="Times New Roman"/>
                <w:sz w:val="20"/>
              </w:rPr>
            </w:pPr>
          </w:p>
        </w:tc>
      </w:tr>
      <w:tr w:rsidR="00046465" w14:paraId="0DFDBCF5" w14:textId="77777777">
        <w:trPr>
          <w:trHeight w:val="3467"/>
        </w:trPr>
        <w:tc>
          <w:tcPr>
            <w:tcW w:w="6424" w:type="dxa"/>
            <w:tcBorders>
              <w:top w:val="single" w:sz="6" w:space="0" w:color="000000"/>
              <w:left w:val="double" w:sz="8" w:space="0" w:color="000000"/>
              <w:bottom w:val="single" w:sz="6" w:space="0" w:color="000000"/>
              <w:right w:val="single" w:sz="8" w:space="0" w:color="000000"/>
            </w:tcBorders>
          </w:tcPr>
          <w:p w14:paraId="0DFDBCF1" w14:textId="77777777" w:rsidR="00046465" w:rsidRDefault="008134EB">
            <w:pPr>
              <w:pStyle w:val="TableParagraph"/>
              <w:numPr>
                <w:ilvl w:val="0"/>
                <w:numId w:val="151"/>
              </w:numPr>
              <w:tabs>
                <w:tab w:val="left" w:pos="624"/>
              </w:tabs>
              <w:spacing w:before="143"/>
              <w:ind w:right="132"/>
            </w:pPr>
            <w:r>
              <w:t>If</w:t>
            </w:r>
            <w:r>
              <w:rPr>
                <w:spacing w:val="-5"/>
              </w:rPr>
              <w:t xml:space="preserve"> </w:t>
            </w:r>
            <w:r>
              <w:t>the</w:t>
            </w:r>
            <w:r>
              <w:rPr>
                <w:spacing w:val="-5"/>
              </w:rPr>
              <w:t xml:space="preserve"> </w:t>
            </w:r>
            <w:r>
              <w:t>employee</w:t>
            </w:r>
            <w:r>
              <w:rPr>
                <w:spacing w:val="-5"/>
              </w:rPr>
              <w:t xml:space="preserve"> </w:t>
            </w:r>
            <w:r>
              <w:t>identified</w:t>
            </w:r>
            <w:r>
              <w:rPr>
                <w:spacing w:val="-5"/>
              </w:rPr>
              <w:t xml:space="preserve"> </w:t>
            </w:r>
            <w:r>
              <w:t>in</w:t>
            </w:r>
            <w:r>
              <w:rPr>
                <w:spacing w:val="-5"/>
              </w:rPr>
              <w:t xml:space="preserve"> </w:t>
            </w:r>
            <w:r>
              <w:t>step</w:t>
            </w:r>
            <w:r>
              <w:rPr>
                <w:spacing w:val="-5"/>
              </w:rPr>
              <w:t xml:space="preserve"> </w:t>
            </w:r>
            <w:r>
              <w:t>3</w:t>
            </w:r>
            <w:r>
              <w:rPr>
                <w:spacing w:val="-5"/>
              </w:rPr>
              <w:t xml:space="preserve"> </w:t>
            </w:r>
            <w:r>
              <w:t>elected</w:t>
            </w:r>
            <w:r>
              <w:rPr>
                <w:spacing w:val="-5"/>
              </w:rPr>
              <w:t xml:space="preserve"> </w:t>
            </w:r>
            <w:r>
              <w:t>coverage,</w:t>
            </w:r>
            <w:r>
              <w:rPr>
                <w:spacing w:val="-5"/>
              </w:rPr>
              <w:t xml:space="preserve"> </w:t>
            </w:r>
            <w:r>
              <w:t>then perform the following steps:</w:t>
            </w:r>
          </w:p>
          <w:p w14:paraId="0DFDBCF2" w14:textId="77777777" w:rsidR="00046465" w:rsidRDefault="008134EB">
            <w:pPr>
              <w:pStyle w:val="TableParagraph"/>
              <w:numPr>
                <w:ilvl w:val="1"/>
                <w:numId w:val="151"/>
              </w:numPr>
              <w:tabs>
                <w:tab w:val="left" w:pos="1164"/>
                <w:tab w:val="left" w:pos="1219"/>
              </w:tabs>
              <w:spacing w:before="145"/>
              <w:ind w:right="160" w:hanging="591"/>
            </w:pPr>
            <w:r>
              <w:t>Obtain</w:t>
            </w:r>
            <w:r>
              <w:rPr>
                <w:spacing w:val="-4"/>
              </w:rPr>
              <w:t xml:space="preserve"> </w:t>
            </w:r>
            <w:r>
              <w:t>the</w:t>
            </w:r>
            <w:r>
              <w:rPr>
                <w:spacing w:val="-4"/>
              </w:rPr>
              <w:t xml:space="preserve"> </w:t>
            </w:r>
            <w:r>
              <w:t>schedule</w:t>
            </w:r>
            <w:r>
              <w:rPr>
                <w:spacing w:val="-4"/>
              </w:rPr>
              <w:t xml:space="preserve"> </w:t>
            </w:r>
            <w:r>
              <w:t>of</w:t>
            </w:r>
            <w:r>
              <w:rPr>
                <w:spacing w:val="-4"/>
              </w:rPr>
              <w:t xml:space="preserve"> </w:t>
            </w:r>
            <w:r>
              <w:t>health</w:t>
            </w:r>
            <w:r>
              <w:rPr>
                <w:spacing w:val="-4"/>
              </w:rPr>
              <w:t xml:space="preserve"> </w:t>
            </w:r>
            <w:r>
              <w:t>insurance</w:t>
            </w:r>
            <w:r>
              <w:rPr>
                <w:spacing w:val="-4"/>
              </w:rPr>
              <w:t xml:space="preserve"> </w:t>
            </w:r>
            <w:r>
              <w:t>costs</w:t>
            </w:r>
            <w:r>
              <w:rPr>
                <w:spacing w:val="-4"/>
              </w:rPr>
              <w:t xml:space="preserve"> </w:t>
            </w:r>
            <w:r>
              <w:t>for</w:t>
            </w:r>
            <w:r>
              <w:rPr>
                <w:spacing w:val="-4"/>
              </w:rPr>
              <w:t xml:space="preserve"> </w:t>
            </w:r>
            <w:r>
              <w:t>all plans published by OPM. Using the enrollment code for the plan selected by the employee on OPM form SF 2809 or other automated enrollment process, calculate the employee’s portion of the health insurance cost and document it. Compare it to</w:t>
            </w:r>
            <w:r>
              <w:rPr>
                <w:spacing w:val="-5"/>
              </w:rPr>
              <w:t xml:space="preserve"> </w:t>
            </w:r>
            <w:r>
              <w:t>the</w:t>
            </w:r>
            <w:r>
              <w:rPr>
                <w:spacing w:val="-5"/>
              </w:rPr>
              <w:t xml:space="preserve"> </w:t>
            </w:r>
            <w:r>
              <w:t>amount</w:t>
            </w:r>
            <w:r>
              <w:rPr>
                <w:spacing w:val="-5"/>
              </w:rPr>
              <w:t xml:space="preserve"> </w:t>
            </w:r>
            <w:r>
              <w:t>actually</w:t>
            </w:r>
            <w:r>
              <w:rPr>
                <w:spacing w:val="-5"/>
              </w:rPr>
              <w:t xml:space="preserve"> </w:t>
            </w:r>
            <w:r>
              <w:t>withheld</w:t>
            </w:r>
            <w:r>
              <w:rPr>
                <w:spacing w:val="-5"/>
              </w:rPr>
              <w:t xml:space="preserve"> </w:t>
            </w:r>
            <w:r>
              <w:t>for</w:t>
            </w:r>
            <w:r>
              <w:rPr>
                <w:spacing w:val="-5"/>
              </w:rPr>
              <w:t xml:space="preserve"> </w:t>
            </w:r>
            <w:r>
              <w:t>the</w:t>
            </w:r>
            <w:r>
              <w:rPr>
                <w:spacing w:val="-5"/>
              </w:rPr>
              <w:t xml:space="preserve"> </w:t>
            </w:r>
            <w:r>
              <w:t>selected</w:t>
            </w:r>
            <w:r>
              <w:rPr>
                <w:spacing w:val="-5"/>
              </w:rPr>
              <w:t xml:space="preserve"> </w:t>
            </w:r>
            <w:r>
              <w:t>pay period, and obtain an explanation and examine support for any differences. See FAM 809.03, Employee Pay Withholdings for Health Insurance.</w:t>
            </w:r>
          </w:p>
        </w:tc>
        <w:tc>
          <w:tcPr>
            <w:tcW w:w="1512" w:type="dxa"/>
            <w:tcBorders>
              <w:top w:val="single" w:sz="6" w:space="0" w:color="000000"/>
              <w:left w:val="single" w:sz="8" w:space="0" w:color="000000"/>
              <w:bottom w:val="single" w:sz="6" w:space="0" w:color="000000"/>
              <w:right w:val="single" w:sz="8" w:space="0" w:color="000000"/>
            </w:tcBorders>
          </w:tcPr>
          <w:p w14:paraId="0DFDBCF3" w14:textId="77777777" w:rsidR="00046465" w:rsidRDefault="00046465">
            <w:pPr>
              <w:pStyle w:val="TableParagraph"/>
              <w:rPr>
                <w:rFonts w:ascii="Times New Roman"/>
                <w:sz w:val="20"/>
              </w:rPr>
            </w:pPr>
          </w:p>
        </w:tc>
        <w:tc>
          <w:tcPr>
            <w:tcW w:w="1440" w:type="dxa"/>
            <w:tcBorders>
              <w:top w:val="single" w:sz="6" w:space="0" w:color="000000"/>
              <w:left w:val="single" w:sz="8" w:space="0" w:color="000000"/>
              <w:bottom w:val="single" w:sz="6" w:space="0" w:color="000000"/>
            </w:tcBorders>
          </w:tcPr>
          <w:p w14:paraId="0DFDBCF4" w14:textId="77777777" w:rsidR="00046465" w:rsidRDefault="00046465">
            <w:pPr>
              <w:pStyle w:val="TableParagraph"/>
              <w:rPr>
                <w:rFonts w:ascii="Times New Roman"/>
                <w:sz w:val="20"/>
              </w:rPr>
            </w:pPr>
          </w:p>
        </w:tc>
      </w:tr>
      <w:tr w:rsidR="00046465" w14:paraId="0DFDBCF9" w14:textId="77777777">
        <w:trPr>
          <w:trHeight w:val="2565"/>
        </w:trPr>
        <w:tc>
          <w:tcPr>
            <w:tcW w:w="6424" w:type="dxa"/>
            <w:tcBorders>
              <w:top w:val="single" w:sz="6" w:space="0" w:color="000000"/>
              <w:bottom w:val="single" w:sz="6" w:space="0" w:color="000000"/>
              <w:right w:val="single" w:sz="6" w:space="0" w:color="000000"/>
            </w:tcBorders>
          </w:tcPr>
          <w:p w14:paraId="0DFDBCF6" w14:textId="77777777" w:rsidR="00046465" w:rsidRDefault="008134EB">
            <w:pPr>
              <w:pStyle w:val="TableParagraph"/>
              <w:tabs>
                <w:tab w:val="left" w:pos="1171"/>
              </w:tabs>
              <w:spacing w:before="143"/>
              <w:ind w:left="1224" w:right="133" w:hanging="588"/>
            </w:pPr>
            <w:r>
              <w:rPr>
                <w:spacing w:val="-4"/>
              </w:rPr>
              <w:t>(b)</w:t>
            </w:r>
            <w:r>
              <w:tab/>
              <w:t>For</w:t>
            </w:r>
            <w:r>
              <w:rPr>
                <w:spacing w:val="-6"/>
              </w:rPr>
              <w:t xml:space="preserve"> </w:t>
            </w:r>
            <w:r>
              <w:t>each</w:t>
            </w:r>
            <w:r>
              <w:rPr>
                <w:spacing w:val="-6"/>
              </w:rPr>
              <w:t xml:space="preserve"> </w:t>
            </w:r>
            <w:r>
              <w:t>employee</w:t>
            </w:r>
            <w:r>
              <w:rPr>
                <w:spacing w:val="-6"/>
              </w:rPr>
              <w:t xml:space="preserve"> </w:t>
            </w:r>
            <w:r>
              <w:t>in</w:t>
            </w:r>
            <w:r>
              <w:rPr>
                <w:spacing w:val="-6"/>
              </w:rPr>
              <w:t xml:space="preserve"> </w:t>
            </w:r>
            <w:r>
              <w:t>(a),</w:t>
            </w:r>
            <w:r>
              <w:rPr>
                <w:spacing w:val="-6"/>
              </w:rPr>
              <w:t xml:space="preserve"> </w:t>
            </w:r>
            <w:r>
              <w:t>determine</w:t>
            </w:r>
            <w:r>
              <w:rPr>
                <w:spacing w:val="-6"/>
              </w:rPr>
              <w:t xml:space="preserve"> </w:t>
            </w:r>
            <w:r>
              <w:t>the</w:t>
            </w:r>
            <w:r>
              <w:rPr>
                <w:spacing w:val="-6"/>
              </w:rPr>
              <w:t xml:space="preserve"> </w:t>
            </w:r>
            <w:r>
              <w:t>appropriate amount of the entity’s contribution for its share of health insurance costs by using the OPM schedule of costs. Compare it to the amount actually contributed by the entity for the employee’s health insurance</w:t>
            </w:r>
            <w:r>
              <w:rPr>
                <w:spacing w:val="-1"/>
              </w:rPr>
              <w:t xml:space="preserve"> </w:t>
            </w:r>
            <w:r>
              <w:t>for</w:t>
            </w:r>
            <w:r>
              <w:rPr>
                <w:spacing w:val="-1"/>
              </w:rPr>
              <w:t xml:space="preserve"> </w:t>
            </w:r>
            <w:r>
              <w:t>the</w:t>
            </w:r>
            <w:r>
              <w:rPr>
                <w:spacing w:val="-1"/>
              </w:rPr>
              <w:t xml:space="preserve"> </w:t>
            </w:r>
            <w:r>
              <w:t>selected</w:t>
            </w:r>
            <w:r>
              <w:rPr>
                <w:spacing w:val="-1"/>
              </w:rPr>
              <w:t xml:space="preserve"> </w:t>
            </w:r>
            <w:r>
              <w:t>pay</w:t>
            </w:r>
            <w:r>
              <w:rPr>
                <w:spacing w:val="-1"/>
              </w:rPr>
              <w:t xml:space="preserve"> </w:t>
            </w:r>
            <w:r>
              <w:t>period</w:t>
            </w:r>
            <w:r>
              <w:rPr>
                <w:spacing w:val="-2"/>
              </w:rPr>
              <w:t xml:space="preserve"> </w:t>
            </w:r>
            <w:r>
              <w:t>and</w:t>
            </w:r>
            <w:r>
              <w:rPr>
                <w:spacing w:val="-1"/>
              </w:rPr>
              <w:t xml:space="preserve"> </w:t>
            </w:r>
            <w:r>
              <w:t>obtain</w:t>
            </w:r>
            <w:r>
              <w:rPr>
                <w:spacing w:val="-2"/>
              </w:rPr>
              <w:t xml:space="preserve"> </w:t>
            </w:r>
            <w:r>
              <w:t>an explanation and examine support for any differences. See FAM 809.01, Biweekly Contributions For Employee Health Insurance.</w:t>
            </w:r>
          </w:p>
        </w:tc>
        <w:tc>
          <w:tcPr>
            <w:tcW w:w="1512" w:type="dxa"/>
            <w:tcBorders>
              <w:top w:val="single" w:sz="6" w:space="0" w:color="000000"/>
              <w:left w:val="single" w:sz="6" w:space="0" w:color="000000"/>
              <w:bottom w:val="single" w:sz="6" w:space="0" w:color="000000"/>
              <w:right w:val="single" w:sz="6" w:space="0" w:color="000000"/>
            </w:tcBorders>
          </w:tcPr>
          <w:p w14:paraId="0DFDBCF7" w14:textId="77777777" w:rsidR="00046465" w:rsidRDefault="00046465">
            <w:pPr>
              <w:pStyle w:val="TableParagraph"/>
              <w:rPr>
                <w:rFonts w:ascii="Times New Roman"/>
                <w:sz w:val="20"/>
              </w:rPr>
            </w:pPr>
          </w:p>
        </w:tc>
        <w:tc>
          <w:tcPr>
            <w:tcW w:w="1440" w:type="dxa"/>
            <w:tcBorders>
              <w:top w:val="single" w:sz="6" w:space="0" w:color="000000"/>
              <w:left w:val="single" w:sz="6" w:space="0" w:color="000000"/>
              <w:bottom w:val="single" w:sz="6" w:space="0" w:color="000000"/>
            </w:tcBorders>
          </w:tcPr>
          <w:p w14:paraId="0DFDBCF8" w14:textId="77777777" w:rsidR="00046465" w:rsidRDefault="00046465">
            <w:pPr>
              <w:pStyle w:val="TableParagraph"/>
              <w:rPr>
                <w:rFonts w:ascii="Times New Roman"/>
                <w:sz w:val="20"/>
              </w:rPr>
            </w:pPr>
          </w:p>
        </w:tc>
      </w:tr>
    </w:tbl>
    <w:p w14:paraId="0DFDBCFA" w14:textId="77777777" w:rsidR="00046465" w:rsidRDefault="00046465">
      <w:pPr>
        <w:pStyle w:val="TableParagraph"/>
        <w:rPr>
          <w:rFonts w:ascii="Times New Roman"/>
          <w:sz w:val="20"/>
        </w:rPr>
        <w:sectPr w:rsidR="00046465">
          <w:pgSz w:w="12240" w:h="15840"/>
          <w:pgMar w:top="1380" w:right="1080" w:bottom="940" w:left="1080" w:header="721" w:footer="742" w:gutter="0"/>
          <w:cols w:space="720"/>
        </w:sectPr>
      </w:pPr>
    </w:p>
    <w:p w14:paraId="0DFDBCFB" w14:textId="77777777" w:rsidR="00046465" w:rsidRDefault="00046465">
      <w:pPr>
        <w:pStyle w:val="BodyText"/>
        <w:spacing w:before="2"/>
        <w:rPr>
          <w:sz w:val="8"/>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08"/>
        <w:gridCol w:w="1512"/>
        <w:gridCol w:w="1440"/>
      </w:tblGrid>
      <w:tr w:rsidR="00046465" w14:paraId="0DFDBCFD" w14:textId="77777777">
        <w:trPr>
          <w:trHeight w:val="1335"/>
        </w:trPr>
        <w:tc>
          <w:tcPr>
            <w:tcW w:w="9360" w:type="dxa"/>
            <w:gridSpan w:val="3"/>
          </w:tcPr>
          <w:p w14:paraId="0DFDBCFC" w14:textId="77777777" w:rsidR="00046465" w:rsidRDefault="008134EB">
            <w:pPr>
              <w:pStyle w:val="TableParagraph"/>
              <w:tabs>
                <w:tab w:val="left" w:pos="8943"/>
              </w:tabs>
              <w:spacing w:before="7" w:line="390" w:lineRule="atLeast"/>
              <w:ind w:left="130" w:right="368" w:hanging="1"/>
              <w:jc w:val="both"/>
            </w:pPr>
            <w:r>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D03" w14:textId="77777777">
        <w:trPr>
          <w:trHeight w:val="793"/>
        </w:trPr>
        <w:tc>
          <w:tcPr>
            <w:tcW w:w="6408" w:type="dxa"/>
            <w:tcBorders>
              <w:right w:val="single" w:sz="8" w:space="0" w:color="000000"/>
            </w:tcBorders>
          </w:tcPr>
          <w:p w14:paraId="0DFDBCFE" w14:textId="77777777" w:rsidR="00046465" w:rsidRDefault="00046465">
            <w:pPr>
              <w:pStyle w:val="TableParagraph"/>
              <w:spacing w:before="144"/>
            </w:pPr>
          </w:p>
          <w:p w14:paraId="0DFDBCFF"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512" w:type="dxa"/>
            <w:tcBorders>
              <w:left w:val="single" w:sz="8" w:space="0" w:color="000000"/>
              <w:right w:val="single" w:sz="8" w:space="0" w:color="000000"/>
            </w:tcBorders>
          </w:tcPr>
          <w:p w14:paraId="0DFDBD00" w14:textId="77777777" w:rsidR="00046465" w:rsidRDefault="008134EB">
            <w:pPr>
              <w:pStyle w:val="TableParagraph"/>
              <w:spacing w:before="144"/>
              <w:ind w:left="142" w:right="193"/>
              <w:rPr>
                <w:b/>
              </w:rPr>
            </w:pPr>
            <w:r>
              <w:rPr>
                <w:b/>
                <w:spacing w:val="-2"/>
              </w:rPr>
              <w:t xml:space="preserve">Initials/ </w:t>
            </w:r>
            <w:r>
              <w:rPr>
                <w:b/>
                <w:spacing w:val="-4"/>
              </w:rPr>
              <w:t>date</w:t>
            </w:r>
          </w:p>
        </w:tc>
        <w:tc>
          <w:tcPr>
            <w:tcW w:w="1440" w:type="dxa"/>
            <w:tcBorders>
              <w:left w:val="single" w:sz="8" w:space="0" w:color="000000"/>
            </w:tcBorders>
          </w:tcPr>
          <w:p w14:paraId="0DFDBD01" w14:textId="77777777" w:rsidR="00046465" w:rsidRDefault="00046465">
            <w:pPr>
              <w:pStyle w:val="TableParagraph"/>
              <w:spacing w:before="144"/>
            </w:pPr>
          </w:p>
          <w:p w14:paraId="0DFDBD02" w14:textId="77777777" w:rsidR="00046465" w:rsidRDefault="008134EB">
            <w:pPr>
              <w:pStyle w:val="TableParagraph"/>
              <w:ind w:left="142"/>
              <w:rPr>
                <w:b/>
              </w:rPr>
            </w:pPr>
            <w:r>
              <w:rPr>
                <w:b/>
              </w:rPr>
              <w:t>Doc.</w:t>
            </w:r>
            <w:r>
              <w:rPr>
                <w:b/>
                <w:spacing w:val="-6"/>
              </w:rPr>
              <w:t xml:space="preserve"> </w:t>
            </w:r>
            <w:r>
              <w:rPr>
                <w:b/>
                <w:spacing w:val="-4"/>
              </w:rPr>
              <w:t>ref.</w:t>
            </w:r>
          </w:p>
        </w:tc>
      </w:tr>
      <w:tr w:rsidR="00046465" w14:paraId="0DFDBD09" w14:textId="77777777">
        <w:trPr>
          <w:trHeight w:val="4624"/>
        </w:trPr>
        <w:tc>
          <w:tcPr>
            <w:tcW w:w="6408" w:type="dxa"/>
            <w:tcBorders>
              <w:bottom w:val="single" w:sz="6" w:space="0" w:color="000000"/>
              <w:right w:val="single" w:sz="6" w:space="0" w:color="000000"/>
            </w:tcBorders>
          </w:tcPr>
          <w:p w14:paraId="0DFDBD04" w14:textId="77777777" w:rsidR="00046465" w:rsidRDefault="008134EB">
            <w:pPr>
              <w:pStyle w:val="TableParagraph"/>
              <w:numPr>
                <w:ilvl w:val="0"/>
                <w:numId w:val="150"/>
              </w:numPr>
              <w:tabs>
                <w:tab w:val="left" w:pos="1154"/>
              </w:tabs>
              <w:spacing w:before="144"/>
              <w:ind w:right="145"/>
            </w:pPr>
            <w:r>
              <w:t>For each employee in (b), determine if amounts contributed by the entity are charged to the appropriation</w:t>
            </w:r>
            <w:r>
              <w:rPr>
                <w:spacing w:val="-4"/>
              </w:rPr>
              <w:t xml:space="preserve"> </w:t>
            </w:r>
            <w:r>
              <w:t>account</w:t>
            </w:r>
            <w:r>
              <w:rPr>
                <w:spacing w:val="-4"/>
              </w:rPr>
              <w:t xml:space="preserve"> </w:t>
            </w:r>
            <w:r>
              <w:t>or</w:t>
            </w:r>
            <w:r>
              <w:rPr>
                <w:spacing w:val="-5"/>
              </w:rPr>
              <w:t xml:space="preserve"> </w:t>
            </w:r>
            <w:r>
              <w:t>fund</w:t>
            </w:r>
            <w:r>
              <w:rPr>
                <w:spacing w:val="-4"/>
              </w:rPr>
              <w:t xml:space="preserve"> </w:t>
            </w:r>
            <w:r>
              <w:t>that</w:t>
            </w:r>
            <w:r>
              <w:rPr>
                <w:spacing w:val="-4"/>
              </w:rPr>
              <w:t xml:space="preserve"> </w:t>
            </w:r>
            <w:r>
              <w:t>is</w:t>
            </w:r>
            <w:r>
              <w:rPr>
                <w:spacing w:val="-5"/>
              </w:rPr>
              <w:t xml:space="preserve"> </w:t>
            </w:r>
            <w:r>
              <w:t>used</w:t>
            </w:r>
            <w:r>
              <w:rPr>
                <w:spacing w:val="-4"/>
              </w:rPr>
              <w:t xml:space="preserve"> </w:t>
            </w:r>
            <w:r>
              <w:t>to</w:t>
            </w:r>
            <w:r>
              <w:rPr>
                <w:spacing w:val="-4"/>
              </w:rPr>
              <w:t xml:space="preserve"> </w:t>
            </w:r>
            <w:r>
              <w:t>pay</w:t>
            </w:r>
            <w:r>
              <w:rPr>
                <w:spacing w:val="-5"/>
              </w:rPr>
              <w:t xml:space="preserve"> </w:t>
            </w:r>
            <w:r>
              <w:t>the employee for the selected pay period by performing the following procedures:</w:t>
            </w:r>
          </w:p>
          <w:p w14:paraId="0DFDBD05" w14:textId="77777777" w:rsidR="00046465" w:rsidRDefault="008134EB">
            <w:pPr>
              <w:pStyle w:val="TableParagraph"/>
              <w:numPr>
                <w:ilvl w:val="1"/>
                <w:numId w:val="150"/>
              </w:numPr>
              <w:tabs>
                <w:tab w:val="left" w:pos="1779"/>
              </w:tabs>
              <w:spacing w:before="144"/>
              <w:ind w:right="192"/>
            </w:pPr>
            <w:r>
              <w:t>Review</w:t>
            </w:r>
            <w:r>
              <w:rPr>
                <w:spacing w:val="-7"/>
              </w:rPr>
              <w:t xml:space="preserve"> </w:t>
            </w:r>
            <w:r>
              <w:t>the</w:t>
            </w:r>
            <w:r>
              <w:rPr>
                <w:spacing w:val="-6"/>
              </w:rPr>
              <w:t xml:space="preserve"> </w:t>
            </w:r>
            <w:r>
              <w:t>accounting</w:t>
            </w:r>
            <w:r>
              <w:rPr>
                <w:spacing w:val="-7"/>
              </w:rPr>
              <w:t xml:space="preserve"> </w:t>
            </w:r>
            <w:r>
              <w:t>codes</w:t>
            </w:r>
            <w:r>
              <w:rPr>
                <w:spacing w:val="-6"/>
              </w:rPr>
              <w:t xml:space="preserve"> </w:t>
            </w:r>
            <w:r>
              <w:t>indicated</w:t>
            </w:r>
            <w:r>
              <w:rPr>
                <w:spacing w:val="-6"/>
              </w:rPr>
              <w:t xml:space="preserve"> </w:t>
            </w:r>
            <w:r>
              <w:t>in</w:t>
            </w:r>
            <w:r>
              <w:rPr>
                <w:spacing w:val="-6"/>
              </w:rPr>
              <w:t xml:space="preserve"> </w:t>
            </w:r>
            <w:r>
              <w:t>the supporting documentation.</w:t>
            </w:r>
          </w:p>
          <w:p w14:paraId="0DFDBD06" w14:textId="77777777" w:rsidR="00046465" w:rsidRDefault="008134EB">
            <w:pPr>
              <w:pStyle w:val="TableParagraph"/>
              <w:numPr>
                <w:ilvl w:val="1"/>
                <w:numId w:val="150"/>
              </w:numPr>
              <w:tabs>
                <w:tab w:val="left" w:pos="1779"/>
              </w:tabs>
              <w:spacing w:before="144"/>
              <w:ind w:right="133" w:hanging="519"/>
            </w:pPr>
            <w:r>
              <w:t>Determine whether the accounting codes used to record the entity contribution are the same as those used for the related payroll expenditure and whether the codes and amounts agree with those recorded in the budgetary accounting records. (This step assumes</w:t>
            </w:r>
            <w:r>
              <w:rPr>
                <w:spacing w:val="-7"/>
              </w:rPr>
              <w:t xml:space="preserve"> </w:t>
            </w:r>
            <w:r>
              <w:t>that</w:t>
            </w:r>
            <w:r>
              <w:rPr>
                <w:spacing w:val="-7"/>
              </w:rPr>
              <w:t xml:space="preserve"> </w:t>
            </w:r>
            <w:r>
              <w:t>other</w:t>
            </w:r>
            <w:r>
              <w:rPr>
                <w:spacing w:val="-7"/>
              </w:rPr>
              <w:t xml:space="preserve"> </w:t>
            </w:r>
            <w:r>
              <w:t>payroll</w:t>
            </w:r>
            <w:r>
              <w:rPr>
                <w:spacing w:val="-7"/>
              </w:rPr>
              <w:t xml:space="preserve"> </w:t>
            </w:r>
            <w:r>
              <w:t>testing</w:t>
            </w:r>
            <w:r>
              <w:rPr>
                <w:spacing w:val="-8"/>
              </w:rPr>
              <w:t xml:space="preserve"> </w:t>
            </w:r>
            <w:r>
              <w:t>would</w:t>
            </w:r>
            <w:r>
              <w:rPr>
                <w:spacing w:val="-7"/>
              </w:rPr>
              <w:t xml:space="preserve"> </w:t>
            </w:r>
            <w:r>
              <w:t>have included checking that the codes represent the proper appropriation account or fund.)</w:t>
            </w:r>
          </w:p>
        </w:tc>
        <w:tc>
          <w:tcPr>
            <w:tcW w:w="1512" w:type="dxa"/>
            <w:tcBorders>
              <w:left w:val="single" w:sz="6" w:space="0" w:color="000000"/>
              <w:bottom w:val="single" w:sz="6" w:space="0" w:color="000000"/>
              <w:right w:val="single" w:sz="6" w:space="0" w:color="000000"/>
            </w:tcBorders>
          </w:tcPr>
          <w:p w14:paraId="0DFDBD07" w14:textId="77777777" w:rsidR="00046465" w:rsidRDefault="00046465">
            <w:pPr>
              <w:pStyle w:val="TableParagraph"/>
              <w:rPr>
                <w:rFonts w:ascii="Times New Roman"/>
                <w:sz w:val="20"/>
              </w:rPr>
            </w:pPr>
          </w:p>
        </w:tc>
        <w:tc>
          <w:tcPr>
            <w:tcW w:w="1440" w:type="dxa"/>
            <w:tcBorders>
              <w:left w:val="single" w:sz="6" w:space="0" w:color="000000"/>
              <w:bottom w:val="single" w:sz="6" w:space="0" w:color="000000"/>
            </w:tcBorders>
          </w:tcPr>
          <w:p w14:paraId="0DFDBD08" w14:textId="77777777" w:rsidR="00046465" w:rsidRDefault="00046465">
            <w:pPr>
              <w:pStyle w:val="TableParagraph"/>
              <w:rPr>
                <w:rFonts w:ascii="Times New Roman"/>
                <w:sz w:val="20"/>
              </w:rPr>
            </w:pPr>
          </w:p>
        </w:tc>
      </w:tr>
      <w:tr w:rsidR="00046465" w14:paraId="0DFDBD0F" w14:textId="77777777">
        <w:trPr>
          <w:trHeight w:val="5635"/>
        </w:trPr>
        <w:tc>
          <w:tcPr>
            <w:tcW w:w="6408" w:type="dxa"/>
            <w:tcBorders>
              <w:top w:val="single" w:sz="6" w:space="0" w:color="000000"/>
              <w:bottom w:val="single" w:sz="8" w:space="0" w:color="000000"/>
              <w:right w:val="single" w:sz="8" w:space="0" w:color="000000"/>
            </w:tcBorders>
          </w:tcPr>
          <w:p w14:paraId="0DFDBD0A" w14:textId="77777777" w:rsidR="00046465" w:rsidRDefault="008134EB">
            <w:pPr>
              <w:pStyle w:val="TableParagraph"/>
              <w:tabs>
                <w:tab w:val="left" w:pos="1869"/>
              </w:tabs>
              <w:spacing w:before="143"/>
              <w:ind w:left="1869" w:right="272" w:hanging="568"/>
            </w:pPr>
            <w:r>
              <w:rPr>
                <w:spacing w:val="-4"/>
              </w:rPr>
              <w:t>iii.</w:t>
            </w:r>
            <w:r>
              <w:tab/>
              <w:t>Consider the procedures performed on the entity’s</w:t>
            </w:r>
            <w:r>
              <w:rPr>
                <w:spacing w:val="-10"/>
              </w:rPr>
              <w:t xml:space="preserve"> </w:t>
            </w:r>
            <w:r>
              <w:t>budget</w:t>
            </w:r>
            <w:r>
              <w:rPr>
                <w:spacing w:val="-9"/>
              </w:rPr>
              <w:t xml:space="preserve"> </w:t>
            </w:r>
            <w:r>
              <w:t>controls</w:t>
            </w:r>
            <w:r>
              <w:rPr>
                <w:spacing w:val="-10"/>
              </w:rPr>
              <w:t xml:space="preserve"> </w:t>
            </w:r>
            <w:r>
              <w:t>over</w:t>
            </w:r>
            <w:r>
              <w:rPr>
                <w:spacing w:val="-9"/>
              </w:rPr>
              <w:t xml:space="preserve"> </w:t>
            </w:r>
            <w:r>
              <w:t>summarization of expenditure balances, as discussed in FAM 395 F, Budget Control Objectives.</w:t>
            </w:r>
          </w:p>
          <w:p w14:paraId="0DFDBD0B" w14:textId="77777777" w:rsidR="00046465" w:rsidRDefault="008134EB">
            <w:pPr>
              <w:pStyle w:val="TableParagraph"/>
              <w:spacing w:before="144"/>
              <w:ind w:left="1867" w:right="16"/>
            </w:pPr>
            <w:r>
              <w:t xml:space="preserve">If the auditor has assessed the entity’s controls as </w:t>
            </w:r>
            <w:r>
              <w:rPr>
                <w:u w:val="single"/>
              </w:rPr>
              <w:t>effective</w:t>
            </w:r>
            <w:r>
              <w:t xml:space="preserve"> in achieving the control objective of summarization of expenditure balances, then further procedures are not necessary</w:t>
            </w:r>
            <w:r>
              <w:rPr>
                <w:spacing w:val="-8"/>
              </w:rPr>
              <w:t xml:space="preserve"> </w:t>
            </w:r>
            <w:r>
              <w:t>to</w:t>
            </w:r>
            <w:r>
              <w:rPr>
                <w:spacing w:val="-7"/>
              </w:rPr>
              <w:t xml:space="preserve"> </w:t>
            </w:r>
            <w:r>
              <w:t>obtain</w:t>
            </w:r>
            <w:r>
              <w:rPr>
                <w:spacing w:val="-7"/>
              </w:rPr>
              <w:t xml:space="preserve"> </w:t>
            </w:r>
            <w:r>
              <w:t>assurance</w:t>
            </w:r>
            <w:r>
              <w:rPr>
                <w:spacing w:val="-7"/>
              </w:rPr>
              <w:t xml:space="preserve"> </w:t>
            </w:r>
            <w:r>
              <w:t>as</w:t>
            </w:r>
            <w:r>
              <w:rPr>
                <w:spacing w:val="-7"/>
              </w:rPr>
              <w:t xml:space="preserve"> </w:t>
            </w:r>
            <w:r>
              <w:t>to</w:t>
            </w:r>
            <w:r>
              <w:rPr>
                <w:spacing w:val="-8"/>
              </w:rPr>
              <w:t xml:space="preserve"> </w:t>
            </w:r>
            <w:r>
              <w:t>whether the entity’s contributions are paid out of the proper appropriation account or fund.</w:t>
            </w:r>
          </w:p>
          <w:p w14:paraId="0DFDBD0C" w14:textId="77777777" w:rsidR="00046465" w:rsidRDefault="008134EB">
            <w:pPr>
              <w:pStyle w:val="TableParagraph"/>
              <w:spacing w:before="145"/>
              <w:ind w:left="1867" w:right="272"/>
            </w:pPr>
            <w:r>
              <w:t xml:space="preserve">If the auditor has assessed the controls as </w:t>
            </w:r>
            <w:r>
              <w:rPr>
                <w:u w:val="single"/>
              </w:rPr>
              <w:t>ineffective</w:t>
            </w:r>
            <w:r>
              <w:t>,</w:t>
            </w:r>
            <w:r>
              <w:rPr>
                <w:spacing w:val="-6"/>
              </w:rPr>
              <w:t xml:space="preserve"> </w:t>
            </w:r>
            <w:r>
              <w:t>then</w:t>
            </w:r>
            <w:r>
              <w:rPr>
                <w:spacing w:val="-6"/>
              </w:rPr>
              <w:t xml:space="preserve"> </w:t>
            </w:r>
            <w:r>
              <w:t>the</w:t>
            </w:r>
            <w:r>
              <w:rPr>
                <w:spacing w:val="-6"/>
              </w:rPr>
              <w:t xml:space="preserve"> </w:t>
            </w:r>
            <w:r>
              <w:t>auditor</w:t>
            </w:r>
            <w:r>
              <w:rPr>
                <w:spacing w:val="-6"/>
              </w:rPr>
              <w:t xml:space="preserve"> </w:t>
            </w:r>
            <w:r>
              <w:t>should</w:t>
            </w:r>
            <w:r>
              <w:rPr>
                <w:spacing w:val="-6"/>
              </w:rPr>
              <w:t xml:space="preserve"> </w:t>
            </w:r>
            <w:r>
              <w:rPr>
                <w:u w:val="single"/>
              </w:rPr>
              <w:t>perform</w:t>
            </w:r>
            <w:r>
              <w:t xml:space="preserve"> procedures</w:t>
            </w:r>
            <w:r>
              <w:rPr>
                <w:spacing w:val="-8"/>
              </w:rPr>
              <w:t xml:space="preserve"> </w:t>
            </w:r>
            <w:r>
              <w:t>to</w:t>
            </w:r>
            <w:r>
              <w:rPr>
                <w:spacing w:val="-8"/>
              </w:rPr>
              <w:t xml:space="preserve"> </w:t>
            </w:r>
            <w:r>
              <w:t>determine</w:t>
            </w:r>
            <w:r>
              <w:rPr>
                <w:spacing w:val="-8"/>
              </w:rPr>
              <w:t xml:space="preserve"> </w:t>
            </w:r>
            <w:r>
              <w:t>whether</w:t>
            </w:r>
            <w:r>
              <w:rPr>
                <w:spacing w:val="-8"/>
              </w:rPr>
              <w:t xml:space="preserve"> </w:t>
            </w:r>
            <w:r>
              <w:t>the</w:t>
            </w:r>
            <w:r>
              <w:rPr>
                <w:spacing w:val="-8"/>
              </w:rPr>
              <w:t xml:space="preserve"> </w:t>
            </w:r>
            <w:r>
              <w:t>entity has properly summarized the expenditure balances, as described in FAM 495 B, Example Procedures for Tests of Budget Information. See FAM 809.02, Payment Source for Entity’s Employee Health Insurance Contributions.</w:t>
            </w:r>
          </w:p>
        </w:tc>
        <w:tc>
          <w:tcPr>
            <w:tcW w:w="1512" w:type="dxa"/>
            <w:tcBorders>
              <w:top w:val="single" w:sz="6" w:space="0" w:color="000000"/>
              <w:left w:val="single" w:sz="8" w:space="0" w:color="000000"/>
              <w:bottom w:val="single" w:sz="8" w:space="0" w:color="000000"/>
              <w:right w:val="single" w:sz="8" w:space="0" w:color="000000"/>
            </w:tcBorders>
          </w:tcPr>
          <w:p w14:paraId="0DFDBD0D" w14:textId="77777777" w:rsidR="00046465" w:rsidRDefault="00046465">
            <w:pPr>
              <w:pStyle w:val="TableParagraph"/>
              <w:rPr>
                <w:rFonts w:ascii="Times New Roman"/>
                <w:sz w:val="20"/>
              </w:rPr>
            </w:pPr>
          </w:p>
        </w:tc>
        <w:tc>
          <w:tcPr>
            <w:tcW w:w="1440" w:type="dxa"/>
            <w:tcBorders>
              <w:top w:val="single" w:sz="6" w:space="0" w:color="000000"/>
              <w:left w:val="single" w:sz="8" w:space="0" w:color="000000"/>
              <w:bottom w:val="single" w:sz="8" w:space="0" w:color="000000"/>
            </w:tcBorders>
          </w:tcPr>
          <w:p w14:paraId="0DFDBD0E" w14:textId="77777777" w:rsidR="00046465" w:rsidRDefault="00046465">
            <w:pPr>
              <w:pStyle w:val="TableParagraph"/>
              <w:rPr>
                <w:rFonts w:ascii="Times New Roman"/>
                <w:sz w:val="20"/>
              </w:rPr>
            </w:pPr>
          </w:p>
        </w:tc>
      </w:tr>
    </w:tbl>
    <w:p w14:paraId="0DFDBD10" w14:textId="77777777" w:rsidR="00046465" w:rsidRDefault="00046465">
      <w:pPr>
        <w:pStyle w:val="TableParagraph"/>
        <w:rPr>
          <w:rFonts w:ascii="Times New Roman"/>
          <w:sz w:val="20"/>
        </w:rPr>
        <w:sectPr w:rsidR="00046465">
          <w:pgSz w:w="12240" w:h="15840"/>
          <w:pgMar w:top="1380" w:right="1080" w:bottom="940" w:left="1080" w:header="721" w:footer="742" w:gutter="0"/>
          <w:cols w:space="720"/>
        </w:sectPr>
      </w:pPr>
    </w:p>
    <w:p w14:paraId="0DFDBD11" w14:textId="77777777" w:rsidR="00046465" w:rsidRDefault="00046465">
      <w:pPr>
        <w:pStyle w:val="BodyText"/>
        <w:spacing w:before="2"/>
        <w:rPr>
          <w:sz w:val="8"/>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08"/>
        <w:gridCol w:w="1512"/>
        <w:gridCol w:w="1440"/>
      </w:tblGrid>
      <w:tr w:rsidR="00046465" w14:paraId="0DFDBD13" w14:textId="77777777">
        <w:trPr>
          <w:trHeight w:val="1335"/>
        </w:trPr>
        <w:tc>
          <w:tcPr>
            <w:tcW w:w="9360" w:type="dxa"/>
            <w:gridSpan w:val="3"/>
          </w:tcPr>
          <w:p w14:paraId="0DFDBD12" w14:textId="77777777" w:rsidR="00046465" w:rsidRDefault="008134EB">
            <w:pPr>
              <w:pStyle w:val="TableParagraph"/>
              <w:tabs>
                <w:tab w:val="left" w:pos="8943"/>
              </w:tabs>
              <w:spacing w:before="7" w:line="390" w:lineRule="atLeast"/>
              <w:ind w:left="130" w:right="368" w:hanging="1"/>
              <w:jc w:val="both"/>
            </w:pPr>
            <w:r>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D19" w14:textId="77777777">
        <w:trPr>
          <w:trHeight w:val="793"/>
        </w:trPr>
        <w:tc>
          <w:tcPr>
            <w:tcW w:w="6408" w:type="dxa"/>
            <w:tcBorders>
              <w:right w:val="single" w:sz="8" w:space="0" w:color="000000"/>
            </w:tcBorders>
          </w:tcPr>
          <w:p w14:paraId="0DFDBD14" w14:textId="77777777" w:rsidR="00046465" w:rsidRDefault="00046465">
            <w:pPr>
              <w:pStyle w:val="TableParagraph"/>
              <w:spacing w:before="144"/>
            </w:pPr>
          </w:p>
          <w:p w14:paraId="0DFDBD15"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512" w:type="dxa"/>
            <w:tcBorders>
              <w:left w:val="single" w:sz="8" w:space="0" w:color="000000"/>
              <w:right w:val="single" w:sz="8" w:space="0" w:color="000000"/>
            </w:tcBorders>
          </w:tcPr>
          <w:p w14:paraId="0DFDBD16" w14:textId="77777777" w:rsidR="00046465" w:rsidRDefault="008134EB">
            <w:pPr>
              <w:pStyle w:val="TableParagraph"/>
              <w:spacing w:before="144"/>
              <w:ind w:left="142" w:right="193"/>
              <w:rPr>
                <w:b/>
              </w:rPr>
            </w:pPr>
            <w:r>
              <w:rPr>
                <w:b/>
                <w:spacing w:val="-2"/>
              </w:rPr>
              <w:t xml:space="preserve">Initials/ </w:t>
            </w:r>
            <w:r>
              <w:rPr>
                <w:b/>
                <w:spacing w:val="-4"/>
              </w:rPr>
              <w:t>date</w:t>
            </w:r>
          </w:p>
        </w:tc>
        <w:tc>
          <w:tcPr>
            <w:tcW w:w="1440" w:type="dxa"/>
            <w:tcBorders>
              <w:left w:val="single" w:sz="8" w:space="0" w:color="000000"/>
            </w:tcBorders>
          </w:tcPr>
          <w:p w14:paraId="0DFDBD17" w14:textId="77777777" w:rsidR="00046465" w:rsidRDefault="00046465">
            <w:pPr>
              <w:pStyle w:val="TableParagraph"/>
              <w:spacing w:before="144"/>
            </w:pPr>
          </w:p>
          <w:p w14:paraId="0DFDBD18" w14:textId="77777777" w:rsidR="00046465" w:rsidRDefault="008134EB">
            <w:pPr>
              <w:pStyle w:val="TableParagraph"/>
              <w:ind w:left="142"/>
              <w:rPr>
                <w:b/>
              </w:rPr>
            </w:pPr>
            <w:r>
              <w:rPr>
                <w:b/>
              </w:rPr>
              <w:t>Doc.</w:t>
            </w:r>
            <w:r>
              <w:rPr>
                <w:b/>
                <w:spacing w:val="-6"/>
              </w:rPr>
              <w:t xml:space="preserve"> </w:t>
            </w:r>
            <w:r>
              <w:rPr>
                <w:b/>
                <w:spacing w:val="-4"/>
              </w:rPr>
              <w:t>ref.</w:t>
            </w:r>
          </w:p>
        </w:tc>
      </w:tr>
      <w:tr w:rsidR="00046465" w14:paraId="0DFDBD1D" w14:textId="77777777">
        <w:trPr>
          <w:trHeight w:val="2059"/>
        </w:trPr>
        <w:tc>
          <w:tcPr>
            <w:tcW w:w="6408" w:type="dxa"/>
            <w:tcBorders>
              <w:bottom w:val="single" w:sz="6" w:space="0" w:color="000000"/>
              <w:right w:val="single" w:sz="8" w:space="0" w:color="000000"/>
            </w:tcBorders>
          </w:tcPr>
          <w:p w14:paraId="0DFDBD1A" w14:textId="77777777" w:rsidR="00046465" w:rsidRDefault="008134EB">
            <w:pPr>
              <w:pStyle w:val="TableParagraph"/>
              <w:tabs>
                <w:tab w:val="left" w:pos="567"/>
              </w:tabs>
              <w:spacing w:before="144"/>
              <w:ind w:left="614" w:right="208" w:hanging="485"/>
            </w:pPr>
            <w:r>
              <w:rPr>
                <w:spacing w:val="-6"/>
              </w:rPr>
              <w:t>5.</w:t>
            </w:r>
            <w:r>
              <w:tab/>
              <w:t>Determine whether the entity has effective controls over the proper summarization of the amounts withheld from employees for health insurance costs under this law and the entity contributions for remittance to Treasury. If the entity</w:t>
            </w:r>
            <w:r>
              <w:rPr>
                <w:spacing w:val="-6"/>
              </w:rPr>
              <w:t xml:space="preserve"> </w:t>
            </w:r>
            <w:r>
              <w:t>does</w:t>
            </w:r>
            <w:r>
              <w:rPr>
                <w:spacing w:val="-7"/>
              </w:rPr>
              <w:t xml:space="preserve"> </w:t>
            </w:r>
            <w:r>
              <w:t>not</w:t>
            </w:r>
            <w:r>
              <w:rPr>
                <w:spacing w:val="-6"/>
              </w:rPr>
              <w:t xml:space="preserve"> </w:t>
            </w:r>
            <w:r>
              <w:t>have</w:t>
            </w:r>
            <w:r>
              <w:rPr>
                <w:spacing w:val="-6"/>
              </w:rPr>
              <w:t xml:space="preserve"> </w:t>
            </w:r>
            <w:r>
              <w:t>effective</w:t>
            </w:r>
            <w:r>
              <w:rPr>
                <w:spacing w:val="-6"/>
              </w:rPr>
              <w:t xml:space="preserve"> </w:t>
            </w:r>
            <w:r>
              <w:t>controls</w:t>
            </w:r>
            <w:r>
              <w:rPr>
                <w:spacing w:val="-6"/>
              </w:rPr>
              <w:t xml:space="preserve"> </w:t>
            </w:r>
            <w:r>
              <w:t>for</w:t>
            </w:r>
            <w:r>
              <w:rPr>
                <w:spacing w:val="-6"/>
              </w:rPr>
              <w:t xml:space="preserve"> </w:t>
            </w:r>
            <w:r>
              <w:t>summarization, then test the summarization of the totals that include the items selected for testing in step 1.</w:t>
            </w:r>
          </w:p>
        </w:tc>
        <w:tc>
          <w:tcPr>
            <w:tcW w:w="1512" w:type="dxa"/>
            <w:tcBorders>
              <w:left w:val="single" w:sz="8" w:space="0" w:color="000000"/>
              <w:bottom w:val="single" w:sz="6" w:space="0" w:color="000000"/>
              <w:right w:val="single" w:sz="8" w:space="0" w:color="000000"/>
            </w:tcBorders>
          </w:tcPr>
          <w:p w14:paraId="0DFDBD1B" w14:textId="77777777" w:rsidR="00046465" w:rsidRDefault="00046465">
            <w:pPr>
              <w:pStyle w:val="TableParagraph"/>
              <w:rPr>
                <w:rFonts w:ascii="Times New Roman"/>
                <w:sz w:val="20"/>
              </w:rPr>
            </w:pPr>
          </w:p>
        </w:tc>
        <w:tc>
          <w:tcPr>
            <w:tcW w:w="1440" w:type="dxa"/>
            <w:tcBorders>
              <w:left w:val="single" w:sz="8" w:space="0" w:color="000000"/>
              <w:bottom w:val="single" w:sz="6" w:space="0" w:color="000000"/>
            </w:tcBorders>
          </w:tcPr>
          <w:p w14:paraId="0DFDBD1C" w14:textId="77777777" w:rsidR="00046465" w:rsidRDefault="00046465">
            <w:pPr>
              <w:pStyle w:val="TableParagraph"/>
              <w:rPr>
                <w:rFonts w:ascii="Times New Roman"/>
                <w:sz w:val="20"/>
              </w:rPr>
            </w:pPr>
          </w:p>
        </w:tc>
      </w:tr>
      <w:tr w:rsidR="00046465" w14:paraId="0DFDBD21" w14:textId="77777777">
        <w:trPr>
          <w:trHeight w:val="2565"/>
        </w:trPr>
        <w:tc>
          <w:tcPr>
            <w:tcW w:w="6408" w:type="dxa"/>
            <w:tcBorders>
              <w:top w:val="single" w:sz="6" w:space="0" w:color="000000"/>
              <w:bottom w:val="single" w:sz="6" w:space="0" w:color="000000"/>
              <w:right w:val="single" w:sz="6" w:space="0" w:color="000000"/>
            </w:tcBorders>
          </w:tcPr>
          <w:p w14:paraId="0DFDBD1E" w14:textId="77777777" w:rsidR="00046465" w:rsidRDefault="008134EB">
            <w:pPr>
              <w:pStyle w:val="TableParagraph"/>
              <w:tabs>
                <w:tab w:val="left" w:pos="567"/>
              </w:tabs>
              <w:spacing w:before="145"/>
              <w:ind w:left="614" w:right="147" w:hanging="485"/>
            </w:pPr>
            <w:r>
              <w:rPr>
                <w:spacing w:val="-6"/>
              </w:rPr>
              <w:t>6.</w:t>
            </w:r>
            <w:r>
              <w:tab/>
              <w:t>Compare the total cost of health insurance on the entity’s records (employee and employer portions) for the selected</w:t>
            </w:r>
            <w:r>
              <w:rPr>
                <w:spacing w:val="-4"/>
              </w:rPr>
              <w:t xml:space="preserve"> </w:t>
            </w:r>
            <w:r>
              <w:t>pay</w:t>
            </w:r>
            <w:r>
              <w:rPr>
                <w:spacing w:val="-4"/>
              </w:rPr>
              <w:t xml:space="preserve"> </w:t>
            </w:r>
            <w:r>
              <w:t>period</w:t>
            </w:r>
            <w:r>
              <w:rPr>
                <w:spacing w:val="-4"/>
              </w:rPr>
              <w:t xml:space="preserve"> </w:t>
            </w:r>
            <w:r>
              <w:t>to</w:t>
            </w:r>
            <w:r>
              <w:rPr>
                <w:spacing w:val="-4"/>
              </w:rPr>
              <w:t xml:space="preserve"> </w:t>
            </w:r>
            <w:r>
              <w:t>the</w:t>
            </w:r>
            <w:r>
              <w:rPr>
                <w:spacing w:val="-4"/>
              </w:rPr>
              <w:t xml:space="preserve"> </w:t>
            </w:r>
            <w:r>
              <w:t>deposit</w:t>
            </w:r>
            <w:r>
              <w:rPr>
                <w:spacing w:val="-5"/>
              </w:rPr>
              <w:t xml:space="preserve"> </w:t>
            </w:r>
            <w:r>
              <w:t>made</w:t>
            </w:r>
            <w:r>
              <w:rPr>
                <w:spacing w:val="-4"/>
              </w:rPr>
              <w:t xml:space="preserve"> </w:t>
            </w:r>
            <w:r>
              <w:t>into</w:t>
            </w:r>
            <w:r>
              <w:rPr>
                <w:spacing w:val="-4"/>
              </w:rPr>
              <w:t xml:space="preserve"> </w:t>
            </w:r>
            <w:r>
              <w:t>the</w:t>
            </w:r>
            <w:r>
              <w:rPr>
                <w:spacing w:val="-4"/>
              </w:rPr>
              <w:t xml:space="preserve"> </w:t>
            </w:r>
            <w:r>
              <w:t>Treasury and the documentation sent to OPM, and obtain an explanation</w:t>
            </w:r>
            <w:r>
              <w:rPr>
                <w:spacing w:val="-7"/>
              </w:rPr>
              <w:t xml:space="preserve"> </w:t>
            </w:r>
            <w:r>
              <w:t>and</w:t>
            </w:r>
            <w:r>
              <w:rPr>
                <w:spacing w:val="-6"/>
              </w:rPr>
              <w:t xml:space="preserve"> </w:t>
            </w:r>
            <w:r>
              <w:t>examine</w:t>
            </w:r>
            <w:r>
              <w:rPr>
                <w:spacing w:val="-6"/>
              </w:rPr>
              <w:t xml:space="preserve"> </w:t>
            </w:r>
            <w:r>
              <w:t>support</w:t>
            </w:r>
            <w:r>
              <w:rPr>
                <w:spacing w:val="-6"/>
              </w:rPr>
              <w:t xml:space="preserve"> </w:t>
            </w:r>
            <w:r>
              <w:t>for</w:t>
            </w:r>
            <w:r>
              <w:rPr>
                <w:spacing w:val="-6"/>
              </w:rPr>
              <w:t xml:space="preserve"> </w:t>
            </w:r>
            <w:r>
              <w:t>any</w:t>
            </w:r>
            <w:r>
              <w:rPr>
                <w:spacing w:val="-6"/>
              </w:rPr>
              <w:t xml:space="preserve"> </w:t>
            </w:r>
            <w:r>
              <w:t>differences.</w:t>
            </w:r>
            <w:r>
              <w:rPr>
                <w:spacing w:val="-6"/>
              </w:rPr>
              <w:t xml:space="preserve"> </w:t>
            </w:r>
            <w:r>
              <w:t>The funds should be deposited into the Treasury to the credit of the Employees Health Benefits Fund. See FAM</w:t>
            </w:r>
            <w:r>
              <w:rPr>
                <w:spacing w:val="40"/>
              </w:rPr>
              <w:t xml:space="preserve"> </w:t>
            </w:r>
            <w:r>
              <w:t xml:space="preserve">809.04, Deposits into the Employees Health Benefits </w:t>
            </w:r>
            <w:r>
              <w:rPr>
                <w:spacing w:val="-2"/>
              </w:rPr>
              <w:t>Fund.</w:t>
            </w:r>
          </w:p>
        </w:tc>
        <w:tc>
          <w:tcPr>
            <w:tcW w:w="1512" w:type="dxa"/>
            <w:tcBorders>
              <w:top w:val="single" w:sz="6" w:space="0" w:color="000000"/>
              <w:left w:val="single" w:sz="6" w:space="0" w:color="000000"/>
              <w:bottom w:val="single" w:sz="6" w:space="0" w:color="000000"/>
              <w:right w:val="single" w:sz="6" w:space="0" w:color="000000"/>
            </w:tcBorders>
          </w:tcPr>
          <w:p w14:paraId="0DFDBD1F" w14:textId="77777777" w:rsidR="00046465" w:rsidRDefault="00046465">
            <w:pPr>
              <w:pStyle w:val="TableParagraph"/>
              <w:rPr>
                <w:rFonts w:ascii="Times New Roman"/>
                <w:sz w:val="20"/>
              </w:rPr>
            </w:pPr>
          </w:p>
        </w:tc>
        <w:tc>
          <w:tcPr>
            <w:tcW w:w="1440" w:type="dxa"/>
            <w:tcBorders>
              <w:top w:val="single" w:sz="6" w:space="0" w:color="000000"/>
              <w:left w:val="single" w:sz="6" w:space="0" w:color="000000"/>
              <w:bottom w:val="single" w:sz="6" w:space="0" w:color="000000"/>
            </w:tcBorders>
          </w:tcPr>
          <w:p w14:paraId="0DFDBD20" w14:textId="77777777" w:rsidR="00046465" w:rsidRDefault="00046465">
            <w:pPr>
              <w:pStyle w:val="TableParagraph"/>
              <w:rPr>
                <w:rFonts w:ascii="Times New Roman"/>
                <w:sz w:val="20"/>
              </w:rPr>
            </w:pPr>
          </w:p>
        </w:tc>
      </w:tr>
      <w:tr w:rsidR="00046465" w14:paraId="0DFDBD29" w14:textId="77777777">
        <w:trPr>
          <w:trHeight w:val="5730"/>
        </w:trPr>
        <w:tc>
          <w:tcPr>
            <w:tcW w:w="6408" w:type="dxa"/>
            <w:tcBorders>
              <w:top w:val="single" w:sz="6" w:space="0" w:color="000000"/>
              <w:bottom w:val="single" w:sz="8" w:space="0" w:color="000000"/>
              <w:right w:val="single" w:sz="8" w:space="0" w:color="000000"/>
            </w:tcBorders>
          </w:tcPr>
          <w:p w14:paraId="0DFDBD22" w14:textId="77777777" w:rsidR="00046465" w:rsidRDefault="008134EB">
            <w:pPr>
              <w:pStyle w:val="TableParagraph"/>
              <w:numPr>
                <w:ilvl w:val="0"/>
                <w:numId w:val="149"/>
              </w:numPr>
              <w:tabs>
                <w:tab w:val="left" w:pos="567"/>
                <w:tab w:val="left" w:pos="614"/>
              </w:tabs>
              <w:spacing w:before="143"/>
              <w:ind w:right="155" w:hanging="485"/>
            </w:pPr>
            <w:r>
              <w:t>If</w:t>
            </w:r>
            <w:r>
              <w:rPr>
                <w:spacing w:val="-4"/>
              </w:rPr>
              <w:t xml:space="preserve"> </w:t>
            </w:r>
            <w:r>
              <w:t>the</w:t>
            </w:r>
            <w:r>
              <w:rPr>
                <w:spacing w:val="-4"/>
              </w:rPr>
              <w:t xml:space="preserve"> </w:t>
            </w:r>
            <w:r>
              <w:t>entity</w:t>
            </w:r>
            <w:r>
              <w:rPr>
                <w:spacing w:val="-5"/>
              </w:rPr>
              <w:t xml:space="preserve"> </w:t>
            </w:r>
            <w:r>
              <w:t>does</w:t>
            </w:r>
            <w:r>
              <w:rPr>
                <w:spacing w:val="-4"/>
              </w:rPr>
              <w:t xml:space="preserve"> </w:t>
            </w:r>
            <w:r>
              <w:t>not</w:t>
            </w:r>
            <w:r>
              <w:rPr>
                <w:spacing w:val="-4"/>
              </w:rPr>
              <w:t xml:space="preserve"> </w:t>
            </w:r>
            <w:r>
              <w:t>appear</w:t>
            </w:r>
            <w:r>
              <w:rPr>
                <w:spacing w:val="-4"/>
              </w:rPr>
              <w:t xml:space="preserve"> </w:t>
            </w:r>
            <w:r>
              <w:t>to</w:t>
            </w:r>
            <w:r>
              <w:rPr>
                <w:spacing w:val="-4"/>
              </w:rPr>
              <w:t xml:space="preserve"> </w:t>
            </w:r>
            <w:r>
              <w:t>be</w:t>
            </w:r>
            <w:r>
              <w:rPr>
                <w:spacing w:val="-4"/>
              </w:rPr>
              <w:t xml:space="preserve"> </w:t>
            </w:r>
            <w:r>
              <w:t>in</w:t>
            </w:r>
            <w:r>
              <w:rPr>
                <w:spacing w:val="-5"/>
              </w:rPr>
              <w:t xml:space="preserve"> </w:t>
            </w:r>
            <w:r>
              <w:t>compliance</w:t>
            </w:r>
            <w:r>
              <w:rPr>
                <w:spacing w:val="-5"/>
              </w:rPr>
              <w:t xml:space="preserve"> </w:t>
            </w:r>
            <w:r>
              <w:t>based</w:t>
            </w:r>
            <w:r>
              <w:rPr>
                <w:spacing w:val="-4"/>
              </w:rPr>
              <w:t xml:space="preserve"> </w:t>
            </w:r>
            <w:r>
              <w:t>on the results of tests performed, the auditor should discuss these matters with OGC and, when appropriate, the Special Investigator Unit to conclude whether noncompliance actually occurred and the implications of such noncompliance. For any noncompliance noted, the auditor should</w:t>
            </w:r>
          </w:p>
          <w:p w14:paraId="0DFDBD23" w14:textId="77777777" w:rsidR="00046465" w:rsidRDefault="008134EB">
            <w:pPr>
              <w:pStyle w:val="TableParagraph"/>
              <w:numPr>
                <w:ilvl w:val="1"/>
                <w:numId w:val="149"/>
              </w:numPr>
              <w:tabs>
                <w:tab w:val="left" w:pos="974"/>
                <w:tab w:val="left" w:pos="979"/>
              </w:tabs>
              <w:spacing w:before="144"/>
              <w:ind w:right="476" w:hanging="361"/>
            </w:pPr>
            <w:r>
              <w:t>identify the control deficiencies that allowed the noncompliance</w:t>
            </w:r>
            <w:r>
              <w:rPr>
                <w:spacing w:val="-6"/>
              </w:rPr>
              <w:t xml:space="preserve"> </w:t>
            </w:r>
            <w:r>
              <w:t>to</w:t>
            </w:r>
            <w:r>
              <w:rPr>
                <w:spacing w:val="-6"/>
              </w:rPr>
              <w:t xml:space="preserve"> </w:t>
            </w:r>
            <w:r>
              <w:t>occur,</w:t>
            </w:r>
            <w:r>
              <w:rPr>
                <w:spacing w:val="-6"/>
              </w:rPr>
              <w:t xml:space="preserve"> </w:t>
            </w:r>
            <w:r>
              <w:t>if</w:t>
            </w:r>
            <w:r>
              <w:rPr>
                <w:spacing w:val="-6"/>
              </w:rPr>
              <w:t xml:space="preserve"> </w:t>
            </w:r>
            <w:r>
              <w:t>not</w:t>
            </w:r>
            <w:r>
              <w:rPr>
                <w:spacing w:val="-6"/>
              </w:rPr>
              <w:t xml:space="preserve"> </w:t>
            </w:r>
            <w:r>
              <w:t>previously</w:t>
            </w:r>
            <w:r>
              <w:rPr>
                <w:spacing w:val="-6"/>
              </w:rPr>
              <w:t xml:space="preserve"> </w:t>
            </w:r>
            <w:r>
              <w:t>identified during compliance control testing;</w:t>
            </w:r>
          </w:p>
          <w:p w14:paraId="0DFDBD24" w14:textId="77777777" w:rsidR="00046465" w:rsidRDefault="008134EB">
            <w:pPr>
              <w:pStyle w:val="TableParagraph"/>
              <w:numPr>
                <w:ilvl w:val="1"/>
                <w:numId w:val="149"/>
              </w:numPr>
              <w:tabs>
                <w:tab w:val="left" w:pos="974"/>
              </w:tabs>
              <w:spacing w:before="143"/>
              <w:ind w:left="974" w:right="225" w:hanging="360"/>
            </w:pPr>
            <w:r>
              <w:t>determine</w:t>
            </w:r>
            <w:r>
              <w:rPr>
                <w:spacing w:val="-5"/>
              </w:rPr>
              <w:t xml:space="preserve"> </w:t>
            </w:r>
            <w:r>
              <w:t>the</w:t>
            </w:r>
            <w:r>
              <w:rPr>
                <w:spacing w:val="-5"/>
              </w:rPr>
              <w:t xml:space="preserve"> </w:t>
            </w:r>
            <w:r>
              <w:t>impact</w:t>
            </w:r>
            <w:r>
              <w:rPr>
                <w:spacing w:val="-5"/>
              </w:rPr>
              <w:t xml:space="preserve"> </w:t>
            </w:r>
            <w:r>
              <w:t>on</w:t>
            </w:r>
            <w:r>
              <w:rPr>
                <w:spacing w:val="-5"/>
              </w:rPr>
              <w:t xml:space="preserve"> </w:t>
            </w:r>
            <w:r>
              <w:t>the</w:t>
            </w:r>
            <w:r>
              <w:rPr>
                <w:spacing w:val="-5"/>
              </w:rPr>
              <w:t xml:space="preserve"> </w:t>
            </w:r>
            <w:r>
              <w:t>report</w:t>
            </w:r>
            <w:r>
              <w:rPr>
                <w:spacing w:val="-5"/>
              </w:rPr>
              <w:t xml:space="preserve"> </w:t>
            </w:r>
            <w:r>
              <w:t>on</w:t>
            </w:r>
            <w:r>
              <w:rPr>
                <w:spacing w:val="-5"/>
              </w:rPr>
              <w:t xml:space="preserve"> </w:t>
            </w:r>
            <w:r>
              <w:t>internal</w:t>
            </w:r>
            <w:r>
              <w:rPr>
                <w:spacing w:val="-5"/>
              </w:rPr>
              <w:t xml:space="preserve"> </w:t>
            </w:r>
            <w:r>
              <w:t>control over financial reporting (see Internal Control subsection in FAM 580);</w:t>
            </w:r>
          </w:p>
          <w:p w14:paraId="0DFDBD25" w14:textId="77777777" w:rsidR="00046465" w:rsidRDefault="008134EB">
            <w:pPr>
              <w:pStyle w:val="TableParagraph"/>
              <w:numPr>
                <w:ilvl w:val="1"/>
                <w:numId w:val="149"/>
              </w:numPr>
              <w:tabs>
                <w:tab w:val="left" w:pos="974"/>
              </w:tabs>
              <w:spacing w:before="142"/>
              <w:ind w:left="974" w:right="250" w:hanging="360"/>
            </w:pPr>
            <w:r>
              <w:t>consider</w:t>
            </w:r>
            <w:r>
              <w:rPr>
                <w:spacing w:val="-6"/>
              </w:rPr>
              <w:t xml:space="preserve"> </w:t>
            </w:r>
            <w:r>
              <w:t>the</w:t>
            </w:r>
            <w:r>
              <w:rPr>
                <w:spacing w:val="-7"/>
              </w:rPr>
              <w:t xml:space="preserve"> </w:t>
            </w:r>
            <w:r>
              <w:t>implications</w:t>
            </w:r>
            <w:r>
              <w:rPr>
                <w:spacing w:val="-7"/>
              </w:rPr>
              <w:t xml:space="preserve"> </w:t>
            </w:r>
            <w:r>
              <w:t>on</w:t>
            </w:r>
            <w:r>
              <w:rPr>
                <w:spacing w:val="-6"/>
              </w:rPr>
              <w:t xml:space="preserve"> </w:t>
            </w:r>
            <w:r>
              <w:t>the</w:t>
            </w:r>
            <w:r>
              <w:rPr>
                <w:spacing w:val="-6"/>
              </w:rPr>
              <w:t xml:space="preserve"> </w:t>
            </w:r>
            <w:r>
              <w:t>financial</w:t>
            </w:r>
            <w:r>
              <w:rPr>
                <w:spacing w:val="-6"/>
              </w:rPr>
              <w:t xml:space="preserve"> </w:t>
            </w:r>
            <w:r>
              <w:t xml:space="preserve">statements; </w:t>
            </w:r>
            <w:r>
              <w:rPr>
                <w:spacing w:val="-4"/>
              </w:rPr>
              <w:t>and</w:t>
            </w:r>
          </w:p>
          <w:p w14:paraId="0DFDBD26" w14:textId="77777777" w:rsidR="00046465" w:rsidRDefault="008134EB">
            <w:pPr>
              <w:pStyle w:val="TableParagraph"/>
              <w:numPr>
                <w:ilvl w:val="1"/>
                <w:numId w:val="149"/>
              </w:numPr>
              <w:tabs>
                <w:tab w:val="left" w:pos="974"/>
              </w:tabs>
              <w:spacing w:before="143"/>
              <w:ind w:left="974" w:right="397" w:hanging="360"/>
            </w:pPr>
            <w:r>
              <w:t>report instances of noncompliance, as appropriate (see the Compliance with Applicable Laws, Regulations,</w:t>
            </w:r>
            <w:r>
              <w:rPr>
                <w:spacing w:val="-8"/>
              </w:rPr>
              <w:t xml:space="preserve"> </w:t>
            </w:r>
            <w:r>
              <w:t>Contracts,</w:t>
            </w:r>
            <w:r>
              <w:rPr>
                <w:spacing w:val="-8"/>
              </w:rPr>
              <w:t xml:space="preserve"> </w:t>
            </w:r>
            <w:r>
              <w:t>and</w:t>
            </w:r>
            <w:r>
              <w:rPr>
                <w:spacing w:val="-8"/>
              </w:rPr>
              <w:t xml:space="preserve"> </w:t>
            </w:r>
            <w:r>
              <w:t>Grant</w:t>
            </w:r>
            <w:r>
              <w:rPr>
                <w:spacing w:val="-8"/>
              </w:rPr>
              <w:t xml:space="preserve"> </w:t>
            </w:r>
            <w:r>
              <w:t>Agreements</w:t>
            </w:r>
            <w:r>
              <w:rPr>
                <w:spacing w:val="-8"/>
              </w:rPr>
              <w:t xml:space="preserve"> </w:t>
            </w:r>
            <w:r>
              <w:t>and Instances of Fraud subsection in FAM 580).</w:t>
            </w:r>
          </w:p>
        </w:tc>
        <w:tc>
          <w:tcPr>
            <w:tcW w:w="1512" w:type="dxa"/>
            <w:tcBorders>
              <w:top w:val="single" w:sz="6" w:space="0" w:color="000000"/>
              <w:left w:val="single" w:sz="8" w:space="0" w:color="000000"/>
              <w:bottom w:val="single" w:sz="8" w:space="0" w:color="000000"/>
              <w:right w:val="single" w:sz="8" w:space="0" w:color="000000"/>
            </w:tcBorders>
          </w:tcPr>
          <w:p w14:paraId="0DFDBD27" w14:textId="77777777" w:rsidR="00046465" w:rsidRDefault="00046465">
            <w:pPr>
              <w:pStyle w:val="TableParagraph"/>
              <w:rPr>
                <w:rFonts w:ascii="Times New Roman"/>
                <w:sz w:val="20"/>
              </w:rPr>
            </w:pPr>
          </w:p>
        </w:tc>
        <w:tc>
          <w:tcPr>
            <w:tcW w:w="1440" w:type="dxa"/>
            <w:tcBorders>
              <w:top w:val="single" w:sz="6" w:space="0" w:color="000000"/>
              <w:left w:val="single" w:sz="8" w:space="0" w:color="000000"/>
              <w:bottom w:val="single" w:sz="8" w:space="0" w:color="000000"/>
            </w:tcBorders>
          </w:tcPr>
          <w:p w14:paraId="0DFDBD28" w14:textId="77777777" w:rsidR="00046465" w:rsidRDefault="00046465">
            <w:pPr>
              <w:pStyle w:val="TableParagraph"/>
              <w:rPr>
                <w:rFonts w:ascii="Times New Roman"/>
                <w:sz w:val="20"/>
              </w:rPr>
            </w:pPr>
          </w:p>
        </w:tc>
      </w:tr>
    </w:tbl>
    <w:p w14:paraId="0DFDBD2A" w14:textId="77777777" w:rsidR="00046465" w:rsidRDefault="00046465">
      <w:pPr>
        <w:pStyle w:val="TableParagraph"/>
        <w:rPr>
          <w:rFonts w:ascii="Times New Roman"/>
          <w:sz w:val="20"/>
        </w:rPr>
        <w:sectPr w:rsidR="00046465">
          <w:pgSz w:w="12240" w:h="15840"/>
          <w:pgMar w:top="1380" w:right="1080" w:bottom="940" w:left="1080" w:header="721" w:footer="742" w:gutter="0"/>
          <w:cols w:space="720"/>
        </w:sectPr>
      </w:pPr>
    </w:p>
    <w:p w14:paraId="0DFDBD2B" w14:textId="77777777" w:rsidR="00046465" w:rsidRDefault="00046465">
      <w:pPr>
        <w:pStyle w:val="BodyText"/>
        <w:spacing w:before="4" w:after="1"/>
        <w:rPr>
          <w:sz w:val="8"/>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08"/>
        <w:gridCol w:w="1512"/>
        <w:gridCol w:w="1440"/>
      </w:tblGrid>
      <w:tr w:rsidR="00046465" w14:paraId="0DFDBD2D" w14:textId="77777777">
        <w:trPr>
          <w:trHeight w:val="1335"/>
        </w:trPr>
        <w:tc>
          <w:tcPr>
            <w:tcW w:w="9360" w:type="dxa"/>
            <w:gridSpan w:val="3"/>
          </w:tcPr>
          <w:p w14:paraId="0DFDBD2C" w14:textId="77777777" w:rsidR="00046465" w:rsidRDefault="008134EB">
            <w:pPr>
              <w:pStyle w:val="TableParagraph"/>
              <w:tabs>
                <w:tab w:val="left" w:pos="8943"/>
              </w:tabs>
              <w:spacing w:before="7" w:line="390" w:lineRule="atLeast"/>
              <w:ind w:left="130" w:right="368" w:hanging="1"/>
              <w:jc w:val="both"/>
            </w:pPr>
            <w:r>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D33" w14:textId="77777777">
        <w:trPr>
          <w:trHeight w:val="793"/>
        </w:trPr>
        <w:tc>
          <w:tcPr>
            <w:tcW w:w="6408" w:type="dxa"/>
            <w:tcBorders>
              <w:right w:val="single" w:sz="8" w:space="0" w:color="000000"/>
            </w:tcBorders>
          </w:tcPr>
          <w:p w14:paraId="0DFDBD2E" w14:textId="77777777" w:rsidR="00046465" w:rsidRDefault="00046465">
            <w:pPr>
              <w:pStyle w:val="TableParagraph"/>
              <w:spacing w:before="144"/>
            </w:pPr>
          </w:p>
          <w:p w14:paraId="0DFDBD2F"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512" w:type="dxa"/>
            <w:tcBorders>
              <w:left w:val="single" w:sz="8" w:space="0" w:color="000000"/>
              <w:right w:val="single" w:sz="8" w:space="0" w:color="000000"/>
            </w:tcBorders>
          </w:tcPr>
          <w:p w14:paraId="0DFDBD30" w14:textId="77777777" w:rsidR="00046465" w:rsidRDefault="008134EB">
            <w:pPr>
              <w:pStyle w:val="TableParagraph"/>
              <w:spacing w:before="144"/>
              <w:ind w:left="142" w:right="193"/>
              <w:rPr>
                <w:b/>
              </w:rPr>
            </w:pPr>
            <w:r>
              <w:rPr>
                <w:b/>
                <w:spacing w:val="-2"/>
              </w:rPr>
              <w:t xml:space="preserve">Initials/ </w:t>
            </w:r>
            <w:r>
              <w:rPr>
                <w:b/>
                <w:spacing w:val="-4"/>
              </w:rPr>
              <w:t>date</w:t>
            </w:r>
          </w:p>
        </w:tc>
        <w:tc>
          <w:tcPr>
            <w:tcW w:w="1440" w:type="dxa"/>
            <w:tcBorders>
              <w:left w:val="single" w:sz="8" w:space="0" w:color="000000"/>
            </w:tcBorders>
          </w:tcPr>
          <w:p w14:paraId="0DFDBD31" w14:textId="77777777" w:rsidR="00046465" w:rsidRDefault="00046465">
            <w:pPr>
              <w:pStyle w:val="TableParagraph"/>
              <w:spacing w:before="144"/>
            </w:pPr>
          </w:p>
          <w:p w14:paraId="0DFDBD32" w14:textId="77777777" w:rsidR="00046465" w:rsidRDefault="008134EB">
            <w:pPr>
              <w:pStyle w:val="TableParagraph"/>
              <w:ind w:left="142"/>
              <w:rPr>
                <w:b/>
              </w:rPr>
            </w:pPr>
            <w:r>
              <w:rPr>
                <w:b/>
              </w:rPr>
              <w:t>Doc.</w:t>
            </w:r>
            <w:r>
              <w:rPr>
                <w:b/>
                <w:spacing w:val="-6"/>
              </w:rPr>
              <w:t xml:space="preserve"> </w:t>
            </w:r>
            <w:r>
              <w:rPr>
                <w:b/>
                <w:spacing w:val="-4"/>
              </w:rPr>
              <w:t>ref.</w:t>
            </w:r>
          </w:p>
        </w:tc>
      </w:tr>
      <w:tr w:rsidR="00046465" w14:paraId="0DFDBD37" w14:textId="77777777">
        <w:trPr>
          <w:trHeight w:val="796"/>
        </w:trPr>
        <w:tc>
          <w:tcPr>
            <w:tcW w:w="6408" w:type="dxa"/>
            <w:tcBorders>
              <w:right w:val="single" w:sz="8" w:space="0" w:color="000000"/>
            </w:tcBorders>
          </w:tcPr>
          <w:p w14:paraId="0DFDBD34" w14:textId="77777777" w:rsidR="00046465" w:rsidRDefault="008134EB">
            <w:pPr>
              <w:pStyle w:val="TableParagraph"/>
              <w:tabs>
                <w:tab w:val="left" w:pos="567"/>
              </w:tabs>
              <w:spacing w:before="144"/>
              <w:ind w:left="619" w:right="180" w:hanging="490"/>
            </w:pPr>
            <w:r>
              <w:rPr>
                <w:spacing w:val="-6"/>
              </w:rPr>
              <w:t>8.</w:t>
            </w:r>
            <w:r>
              <w:tab/>
              <w:t>Document</w:t>
            </w:r>
            <w:r>
              <w:rPr>
                <w:spacing w:val="-6"/>
              </w:rPr>
              <w:t xml:space="preserve"> </w:t>
            </w:r>
            <w:r>
              <w:t>conclusions</w:t>
            </w:r>
            <w:r>
              <w:rPr>
                <w:spacing w:val="-6"/>
              </w:rPr>
              <w:t xml:space="preserve"> </w:t>
            </w:r>
            <w:r>
              <w:t>on</w:t>
            </w:r>
            <w:r>
              <w:rPr>
                <w:spacing w:val="-6"/>
              </w:rPr>
              <w:t xml:space="preserve"> </w:t>
            </w:r>
            <w:r>
              <w:t>compliance</w:t>
            </w:r>
            <w:r>
              <w:rPr>
                <w:spacing w:val="-6"/>
              </w:rPr>
              <w:t xml:space="preserve"> </w:t>
            </w:r>
            <w:r>
              <w:t>with</w:t>
            </w:r>
            <w:r>
              <w:rPr>
                <w:spacing w:val="-6"/>
              </w:rPr>
              <w:t xml:space="preserve"> </w:t>
            </w:r>
            <w:r>
              <w:t>each</w:t>
            </w:r>
            <w:r>
              <w:rPr>
                <w:spacing w:val="-7"/>
              </w:rPr>
              <w:t xml:space="preserve"> </w:t>
            </w:r>
            <w:r>
              <w:t>provision on Form 809, Compliance Summary.</w:t>
            </w:r>
          </w:p>
        </w:tc>
        <w:tc>
          <w:tcPr>
            <w:tcW w:w="1512" w:type="dxa"/>
            <w:tcBorders>
              <w:left w:val="single" w:sz="8" w:space="0" w:color="000000"/>
              <w:right w:val="single" w:sz="8" w:space="0" w:color="000000"/>
            </w:tcBorders>
          </w:tcPr>
          <w:p w14:paraId="0DFDBD35" w14:textId="77777777" w:rsidR="00046465" w:rsidRDefault="00046465">
            <w:pPr>
              <w:pStyle w:val="TableParagraph"/>
              <w:rPr>
                <w:rFonts w:ascii="Times New Roman"/>
                <w:sz w:val="20"/>
              </w:rPr>
            </w:pPr>
          </w:p>
        </w:tc>
        <w:tc>
          <w:tcPr>
            <w:tcW w:w="1440" w:type="dxa"/>
            <w:tcBorders>
              <w:left w:val="single" w:sz="8" w:space="0" w:color="000000"/>
            </w:tcBorders>
          </w:tcPr>
          <w:p w14:paraId="0DFDBD36" w14:textId="77777777" w:rsidR="00046465" w:rsidRDefault="00046465">
            <w:pPr>
              <w:pStyle w:val="TableParagraph"/>
              <w:rPr>
                <w:rFonts w:ascii="Times New Roman"/>
                <w:sz w:val="20"/>
              </w:rPr>
            </w:pPr>
          </w:p>
        </w:tc>
      </w:tr>
    </w:tbl>
    <w:p w14:paraId="0DFDBD38" w14:textId="77777777" w:rsidR="00046465" w:rsidRDefault="008134EB">
      <w:pPr>
        <w:tabs>
          <w:tab w:val="left" w:pos="1331"/>
        </w:tabs>
        <w:spacing w:before="127"/>
        <w:ind w:left="1331" w:right="406" w:hanging="972"/>
      </w:pPr>
      <w:r>
        <w:rPr>
          <w:b/>
          <w:spacing w:val="-2"/>
        </w:rPr>
        <w:t>Note:</w:t>
      </w:r>
      <w:r>
        <w:rPr>
          <w:b/>
        </w:rPr>
        <w:tab/>
      </w:r>
      <w:r>
        <w:t>If the entity outsources payroll processing, then the entity remains responsible for compliance. Dividing responsibility for payroll processing activities between the entity and the service organization could make payroll testing more complicated; however, the auditor should perform the same testing. The auditor may accomplish this testing with the assistance of the service auditor, which may issue an internal control report on</w:t>
      </w:r>
      <w:r>
        <w:rPr>
          <w:spacing w:val="-4"/>
        </w:rPr>
        <w:t xml:space="preserve"> </w:t>
      </w:r>
      <w:r>
        <w:t>the</w:t>
      </w:r>
      <w:r>
        <w:rPr>
          <w:spacing w:val="-4"/>
        </w:rPr>
        <w:t xml:space="preserve"> </w:t>
      </w:r>
      <w:r>
        <w:t>service</w:t>
      </w:r>
      <w:r>
        <w:rPr>
          <w:spacing w:val="-4"/>
        </w:rPr>
        <w:t xml:space="preserve"> </w:t>
      </w:r>
      <w:r>
        <w:t>organization</w:t>
      </w:r>
      <w:r>
        <w:rPr>
          <w:spacing w:val="-4"/>
        </w:rPr>
        <w:t xml:space="preserve"> </w:t>
      </w:r>
      <w:r>
        <w:t>under</w:t>
      </w:r>
      <w:r>
        <w:rPr>
          <w:spacing w:val="-4"/>
        </w:rPr>
        <w:t xml:space="preserve"> </w:t>
      </w:r>
      <w:r>
        <w:t>AT-C</w:t>
      </w:r>
      <w:r>
        <w:rPr>
          <w:spacing w:val="-4"/>
        </w:rPr>
        <w:t xml:space="preserve"> </w:t>
      </w:r>
      <w:r>
        <w:t>320,</w:t>
      </w:r>
      <w:r>
        <w:rPr>
          <w:spacing w:val="-4"/>
        </w:rPr>
        <w:t xml:space="preserve"> </w:t>
      </w:r>
      <w:r>
        <w:rPr>
          <w:i/>
        </w:rPr>
        <w:t>Reporting</w:t>
      </w:r>
      <w:r>
        <w:rPr>
          <w:i/>
          <w:spacing w:val="-4"/>
        </w:rPr>
        <w:t xml:space="preserve"> </w:t>
      </w:r>
      <w:r>
        <w:rPr>
          <w:i/>
        </w:rPr>
        <w:t>on</w:t>
      </w:r>
      <w:r>
        <w:rPr>
          <w:i/>
          <w:spacing w:val="-4"/>
        </w:rPr>
        <w:t xml:space="preserve"> </w:t>
      </w:r>
      <w:r>
        <w:rPr>
          <w:i/>
        </w:rPr>
        <w:t>an</w:t>
      </w:r>
      <w:r>
        <w:rPr>
          <w:i/>
          <w:spacing w:val="-4"/>
        </w:rPr>
        <w:t xml:space="preserve"> </w:t>
      </w:r>
      <w:r>
        <w:rPr>
          <w:i/>
        </w:rPr>
        <w:t>Examination</w:t>
      </w:r>
      <w:r>
        <w:rPr>
          <w:i/>
          <w:spacing w:val="-4"/>
        </w:rPr>
        <w:t xml:space="preserve"> </w:t>
      </w:r>
      <w:r>
        <w:rPr>
          <w:i/>
        </w:rPr>
        <w:t>of</w:t>
      </w:r>
      <w:r>
        <w:rPr>
          <w:i/>
          <w:spacing w:val="-4"/>
        </w:rPr>
        <w:t xml:space="preserve"> </w:t>
      </w:r>
      <w:r>
        <w:rPr>
          <w:i/>
        </w:rPr>
        <w:t>Controls at a Service Organization Relevant to User Entities’ Internal Control Over Financial Reporting</w:t>
      </w:r>
      <w:r>
        <w:t xml:space="preserve">. Another approach may be for the service auditor to assist the entity’s auditor by performing agreed-upon procedures at the service organization (e.g., substantive testing) under AT-C 215, </w:t>
      </w:r>
      <w:r>
        <w:rPr>
          <w:i/>
        </w:rPr>
        <w:t xml:space="preserve">Agreed-Upon Procedures Engagements </w:t>
      </w:r>
      <w:r>
        <w:t>(see FAM 710).</w:t>
      </w:r>
    </w:p>
    <w:p w14:paraId="0DFDBD39" w14:textId="77777777" w:rsidR="00046465" w:rsidRDefault="00046465">
      <w:pPr>
        <w:sectPr w:rsidR="00046465">
          <w:pgSz w:w="12240" w:h="15840"/>
          <w:pgMar w:top="1380" w:right="1080" w:bottom="940" w:left="1080" w:header="721" w:footer="742" w:gutter="0"/>
          <w:cols w:space="720"/>
        </w:sectPr>
      </w:pPr>
    </w:p>
    <w:p w14:paraId="0DFDBD3A" w14:textId="77777777" w:rsidR="00046465" w:rsidRDefault="008134EB">
      <w:pPr>
        <w:pStyle w:val="Heading3"/>
        <w:spacing w:before="80"/>
        <w:ind w:right="479"/>
        <w:rPr>
          <w:u w:val="none"/>
        </w:rPr>
      </w:pPr>
      <w:bookmarkStart w:id="239" w:name="810_–_Federal_Employees'_Compensation_Ac"/>
      <w:bookmarkStart w:id="240" w:name="_bookmark129"/>
      <w:bookmarkEnd w:id="239"/>
      <w:bookmarkEnd w:id="240"/>
      <w:r>
        <w:lastRenderedPageBreak/>
        <w:t>810</w:t>
      </w:r>
      <w:r>
        <w:rPr>
          <w:spacing w:val="-4"/>
        </w:rPr>
        <w:t xml:space="preserve"> </w:t>
      </w:r>
      <w:r>
        <w:t>–</w:t>
      </w:r>
      <w:r>
        <w:rPr>
          <w:spacing w:val="-3"/>
        </w:rPr>
        <w:t xml:space="preserve"> </w:t>
      </w:r>
      <w:r>
        <w:t>Federal</w:t>
      </w:r>
      <w:r>
        <w:rPr>
          <w:spacing w:val="-5"/>
        </w:rPr>
        <w:t xml:space="preserve"> </w:t>
      </w:r>
      <w:r>
        <w:t>Employees'</w:t>
      </w:r>
      <w:r>
        <w:rPr>
          <w:spacing w:val="-3"/>
        </w:rPr>
        <w:t xml:space="preserve"> </w:t>
      </w:r>
      <w:r>
        <w:t>Compensation</w:t>
      </w:r>
      <w:r>
        <w:rPr>
          <w:spacing w:val="-15"/>
        </w:rPr>
        <w:t xml:space="preserve"> </w:t>
      </w:r>
      <w:r>
        <w:t>Act</w:t>
      </w:r>
      <w:r>
        <w:rPr>
          <w:spacing w:val="-5"/>
        </w:rPr>
        <w:t xml:space="preserve"> </w:t>
      </w:r>
      <w:r>
        <w:t>(FECA),</w:t>
      </w:r>
      <w:r>
        <w:rPr>
          <w:spacing w:val="-4"/>
        </w:rPr>
        <w:t xml:space="preserve"> </w:t>
      </w:r>
      <w:r>
        <w:t>as</w:t>
      </w:r>
      <w:r>
        <w:rPr>
          <w:spacing w:val="-3"/>
        </w:rPr>
        <w:t xml:space="preserve"> </w:t>
      </w:r>
      <w:r>
        <w:t>P</w:t>
      </w:r>
      <w:bookmarkStart w:id="241" w:name="_bookmark130"/>
      <w:bookmarkStart w:id="242" w:name="_bookmark131"/>
      <w:bookmarkEnd w:id="241"/>
      <w:bookmarkEnd w:id="242"/>
      <w:r>
        <w:t>rovided</w:t>
      </w:r>
      <w:r>
        <w:rPr>
          <w:spacing w:val="-4"/>
        </w:rPr>
        <w:t xml:space="preserve"> </w:t>
      </w:r>
      <w:r>
        <w:t>in</w:t>
      </w:r>
      <w:r>
        <w:rPr>
          <w:spacing w:val="-4"/>
        </w:rPr>
        <w:t xml:space="preserve"> </w:t>
      </w:r>
      <w:r>
        <w:t>5</w:t>
      </w:r>
      <w:r>
        <w:rPr>
          <w:spacing w:val="-3"/>
        </w:rPr>
        <w:t xml:space="preserve"> </w:t>
      </w:r>
      <w:r>
        <w:t>U.S.C.</w:t>
      </w:r>
      <w:r>
        <w:rPr>
          <w:spacing w:val="-3"/>
        </w:rPr>
        <w:t xml:space="preserve"> </w:t>
      </w:r>
      <w:r>
        <w:t>Chapter</w:t>
      </w:r>
      <w:r>
        <w:rPr>
          <w:u w:val="none"/>
        </w:rPr>
        <w:t xml:space="preserve"> </w:t>
      </w:r>
      <w:r>
        <w:rPr>
          <w:spacing w:val="-6"/>
        </w:rPr>
        <w:t>81</w:t>
      </w:r>
    </w:p>
    <w:p w14:paraId="0DFDBD3B" w14:textId="77777777" w:rsidR="00046465" w:rsidRDefault="008134EB">
      <w:pPr>
        <w:pStyle w:val="BodyText"/>
        <w:spacing w:before="239"/>
        <w:ind w:left="360" w:right="422"/>
      </w:pPr>
      <w:r>
        <w:t>Note:</w:t>
      </w:r>
      <w:r>
        <w:rPr>
          <w:spacing w:val="-3"/>
        </w:rPr>
        <w:t xml:space="preserve"> </w:t>
      </w:r>
      <w:r>
        <w:t>The</w:t>
      </w:r>
      <w:r>
        <w:rPr>
          <w:spacing w:val="-3"/>
        </w:rPr>
        <w:t xml:space="preserve"> </w:t>
      </w:r>
      <w:r>
        <w:t>auditor</w:t>
      </w:r>
      <w:r>
        <w:rPr>
          <w:spacing w:val="-3"/>
        </w:rPr>
        <w:t xml:space="preserve"> </w:t>
      </w:r>
      <w:r>
        <w:t>should</w:t>
      </w:r>
      <w:r>
        <w:rPr>
          <w:spacing w:val="-3"/>
        </w:rPr>
        <w:t xml:space="preserve"> </w:t>
      </w:r>
      <w:r>
        <w:t>complete</w:t>
      </w:r>
      <w:r>
        <w:rPr>
          <w:spacing w:val="-3"/>
        </w:rPr>
        <w:t xml:space="preserve"> </w:t>
      </w:r>
      <w:r>
        <w:t>this</w:t>
      </w:r>
      <w:r>
        <w:rPr>
          <w:spacing w:val="-3"/>
        </w:rPr>
        <w:t xml:space="preserve"> </w:t>
      </w:r>
      <w:r>
        <w:t>compliance</w:t>
      </w:r>
      <w:r>
        <w:rPr>
          <w:spacing w:val="-3"/>
        </w:rPr>
        <w:t xml:space="preserve"> </w:t>
      </w:r>
      <w:r>
        <w:t>summary</w:t>
      </w:r>
      <w:r>
        <w:rPr>
          <w:spacing w:val="-3"/>
        </w:rPr>
        <w:t xml:space="preserve"> </w:t>
      </w:r>
      <w:r>
        <w:t>or</w:t>
      </w:r>
      <w:r>
        <w:rPr>
          <w:spacing w:val="-3"/>
        </w:rPr>
        <w:t xml:space="preserve"> </w:t>
      </w:r>
      <w:r>
        <w:t>prepare</w:t>
      </w:r>
      <w:r>
        <w:rPr>
          <w:spacing w:val="-3"/>
        </w:rPr>
        <w:t xml:space="preserve"> </w:t>
      </w:r>
      <w:r>
        <w:t>equivalent</w:t>
      </w:r>
      <w:r>
        <w:rPr>
          <w:spacing w:val="-3"/>
        </w:rPr>
        <w:t xml:space="preserve"> </w:t>
      </w:r>
      <w:r>
        <w:t>documentation</w:t>
      </w:r>
      <w:r>
        <w:rPr>
          <w:spacing w:val="-3"/>
        </w:rPr>
        <w:t xml:space="preserve"> </w:t>
      </w:r>
      <w:r>
        <w:t>only</w:t>
      </w:r>
      <w:r>
        <w:rPr>
          <w:spacing w:val="-3"/>
        </w:rPr>
        <w:t xml:space="preserve"> </w:t>
      </w:r>
      <w:r>
        <w:t>if</w:t>
      </w:r>
      <w:r>
        <w:rPr>
          <w:spacing w:val="-3"/>
        </w:rPr>
        <w:t xml:space="preserve"> </w:t>
      </w:r>
      <w:r>
        <w:t>provisions</w:t>
      </w:r>
      <w:r>
        <w:rPr>
          <w:spacing w:val="-3"/>
        </w:rPr>
        <w:t xml:space="preserve"> </w:t>
      </w:r>
      <w:r>
        <w:t>of</w:t>
      </w:r>
      <w:r>
        <w:rPr>
          <w:spacing w:val="-3"/>
        </w:rPr>
        <w:t xml:space="preserve"> </w:t>
      </w:r>
      <w:r>
        <w:t>the</w:t>
      </w:r>
      <w:r>
        <w:rPr>
          <w:spacing w:val="-3"/>
        </w:rPr>
        <w:t xml:space="preserve"> </w:t>
      </w:r>
      <w:r>
        <w:t>Federal Employees’ Compensation Act (FECA), as provided in 5 U.S.C. chapter 81, are significant, as indicated on Form 802, General Compliance Checklist.</w:t>
      </w:r>
    </w:p>
    <w:p w14:paraId="0DFDBD3C" w14:textId="77777777" w:rsidR="00046465" w:rsidRDefault="00046465">
      <w:pPr>
        <w:pStyle w:val="BodyText"/>
        <w:spacing w:before="5"/>
        <w:rPr>
          <w:sz w:val="13"/>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568"/>
        <w:gridCol w:w="2561"/>
        <w:gridCol w:w="2065"/>
        <w:gridCol w:w="1487"/>
        <w:gridCol w:w="1583"/>
        <w:gridCol w:w="2129"/>
      </w:tblGrid>
      <w:tr w:rsidR="00046465" w14:paraId="0DFDBD40" w14:textId="77777777">
        <w:trPr>
          <w:trHeight w:val="1573"/>
        </w:trPr>
        <w:tc>
          <w:tcPr>
            <w:tcW w:w="13393" w:type="dxa"/>
            <w:gridSpan w:val="6"/>
          </w:tcPr>
          <w:p w14:paraId="0DFDBD3D" w14:textId="77777777" w:rsidR="00046465" w:rsidRDefault="008134EB">
            <w:pPr>
              <w:pStyle w:val="TableParagraph"/>
              <w:tabs>
                <w:tab w:val="left" w:pos="9318"/>
              </w:tabs>
              <w:spacing w:before="144"/>
              <w:ind w:right="1964"/>
              <w:jc w:val="center"/>
            </w:pPr>
            <w:r>
              <w:t>Name</w:t>
            </w:r>
            <w:r>
              <w:rPr>
                <w:spacing w:val="-5"/>
              </w:rPr>
              <w:t xml:space="preserve"> </w:t>
            </w:r>
            <w:r>
              <w:t>of</w:t>
            </w:r>
            <w:r>
              <w:rPr>
                <w:spacing w:val="-5"/>
              </w:rPr>
              <w:t xml:space="preserve"> </w:t>
            </w:r>
            <w:r>
              <w:rPr>
                <w:spacing w:val="-2"/>
              </w:rPr>
              <w:t>entity:</w:t>
            </w:r>
            <w:r>
              <w:tab/>
              <w:t>Prepared</w:t>
            </w:r>
            <w:r>
              <w:rPr>
                <w:spacing w:val="-11"/>
              </w:rPr>
              <w:t xml:space="preserve"> </w:t>
            </w:r>
            <w:r>
              <w:rPr>
                <w:spacing w:val="-5"/>
              </w:rPr>
              <w:t>by:</w:t>
            </w:r>
          </w:p>
          <w:p w14:paraId="0DFDBD3E" w14:textId="77777777" w:rsidR="00046465" w:rsidRDefault="008134EB">
            <w:pPr>
              <w:pStyle w:val="TableParagraph"/>
              <w:spacing w:before="12"/>
              <w:ind w:left="1972" w:right="1964"/>
              <w:jc w:val="center"/>
              <w:rPr>
                <w:b/>
                <w:sz w:val="24"/>
              </w:rPr>
            </w:pPr>
            <w:r>
              <w:rPr>
                <w:b/>
                <w:noProof/>
                <w:sz w:val="24"/>
              </w:rPr>
              <mc:AlternateContent>
                <mc:Choice Requires="wpg">
                  <w:drawing>
                    <wp:anchor distT="0" distB="0" distL="0" distR="0" simplePos="0" relativeHeight="476165632" behindDoc="1" locked="0" layoutInCell="1" allowOverlap="1" wp14:anchorId="0DFDD6C5" wp14:editId="0DFDD6C6">
                      <wp:simplePos x="0" y="0"/>
                      <wp:positionH relativeFrom="column">
                        <wp:posOffset>7052309</wp:posOffset>
                      </wp:positionH>
                      <wp:positionV relativeFrom="paragraph">
                        <wp:posOffset>91882</wp:posOffset>
                      </wp:positionV>
                      <wp:extent cx="1371600" cy="6350"/>
                      <wp:effectExtent l="0" t="0" r="0" b="0"/>
                      <wp:wrapNone/>
                      <wp:docPr id="793"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794" name="Graphic 794"/>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DC6B955" id="Group 793" o:spid="_x0000_s1026" style="position:absolute;margin-left:555.3pt;margin-top:7.25pt;width:108pt;height:.5pt;z-index:-27150848;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">
                      <v:shape id="Graphic 794"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" path="m1371600,l,,,6108r1371600,l1371600,xe" fillcolor="black" stroked="f">
                        <v:path arrowok="t"/>
                      </v:shape>
                    </v:group>
                  </w:pict>
                </mc:Fallback>
              </mc:AlternateContent>
            </w:r>
            <w:r>
              <w:rPr>
                <w:b/>
                <w:noProof/>
                <w:sz w:val="24"/>
              </w:rPr>
              <mc:AlternateContent>
                <mc:Choice Requires="wpg">
                  <w:drawing>
                    <wp:anchor distT="0" distB="0" distL="0" distR="0" simplePos="0" relativeHeight="476166656" behindDoc="1" locked="0" layoutInCell="1" allowOverlap="1" wp14:anchorId="0DFDD6C7" wp14:editId="0DFDD6C8">
                      <wp:simplePos x="0" y="0"/>
                      <wp:positionH relativeFrom="column">
                        <wp:posOffset>7052309</wp:posOffset>
                      </wp:positionH>
                      <wp:positionV relativeFrom="paragraph">
                        <wp:posOffset>441640</wp:posOffset>
                      </wp:positionV>
                      <wp:extent cx="1371600" cy="6350"/>
                      <wp:effectExtent l="0" t="0" r="0" b="0"/>
                      <wp:wrapNone/>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796" name="Graphic 796"/>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32F77E0" id="Group 795" o:spid="_x0000_s1026" style="position:absolute;margin-left:555.3pt;margin-top:34.75pt;width:108pt;height:.5pt;z-index:-27149824;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">
                      <v:shape id="Graphic 796"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" path="m1371600,l,,,6108r1371600,l1371600,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D3F" w14:textId="77777777" w:rsidR="00046465" w:rsidRDefault="008134EB">
            <w:pPr>
              <w:pStyle w:val="TableParagraph"/>
              <w:tabs>
                <w:tab w:val="left" w:pos="9013"/>
              </w:tabs>
              <w:spacing w:before="10"/>
              <w:ind w:right="1720"/>
              <w:jc w:val="center"/>
            </w:pPr>
            <w:r>
              <w:rPr>
                <w:noProof/>
              </w:rPr>
              <mc:AlternateContent>
                <mc:Choice Requires="wpg">
                  <w:drawing>
                    <wp:anchor distT="0" distB="0" distL="0" distR="0" simplePos="0" relativeHeight="476165120" behindDoc="1" locked="0" layoutInCell="1" allowOverlap="1" wp14:anchorId="0DFDD6C9" wp14:editId="0DFDD6CA">
                      <wp:simplePos x="0" y="0"/>
                      <wp:positionH relativeFrom="column">
                        <wp:posOffset>1274825</wp:posOffset>
                      </wp:positionH>
                      <wp:positionV relativeFrom="paragraph">
                        <wp:posOffset>-91198</wp:posOffset>
                      </wp:positionV>
                      <wp:extent cx="1205865" cy="6350"/>
                      <wp:effectExtent l="0" t="0" r="0" b="0"/>
                      <wp:wrapNone/>
                      <wp:docPr id="797" name="Group 7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798" name="Graphic 798"/>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3EB90D3" id="Group 797" o:spid="_x0000_s1026" style="position:absolute;margin-left:100.4pt;margin-top:-7.2pt;width:94.95pt;height:.5pt;z-index:-27151360;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">
                      <v:shape id="Graphic 798"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" path="m1205484,l,,,6108r1205484,l1205484,xe" fillcolor="black" stroked="f">
                        <v:path arrowok="t"/>
                      </v:shape>
                    </v:group>
                  </w:pict>
                </mc:Fallback>
              </mc:AlternateContent>
            </w:r>
            <w:r>
              <w:rPr>
                <w:noProof/>
              </w:rPr>
              <mc:AlternateContent>
                <mc:Choice Requires="wpg">
                  <w:drawing>
                    <wp:anchor distT="0" distB="0" distL="0" distR="0" simplePos="0" relativeHeight="476166144" behindDoc="1" locked="0" layoutInCell="1" allowOverlap="1" wp14:anchorId="0DFDD6CB" wp14:editId="0DFDD6CC">
                      <wp:simplePos x="0" y="0"/>
                      <wp:positionH relativeFrom="column">
                        <wp:posOffset>1274825</wp:posOffset>
                      </wp:positionH>
                      <wp:positionV relativeFrom="paragraph">
                        <wp:posOffset>258559</wp:posOffset>
                      </wp:positionV>
                      <wp:extent cx="1205865" cy="6350"/>
                      <wp:effectExtent l="0" t="0" r="0" b="0"/>
                      <wp:wrapNone/>
                      <wp:docPr id="799" name="Group 7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800" name="Graphic 800"/>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BBA64EB" id="Group 799" o:spid="_x0000_s1026" style="position:absolute;margin-left:100.4pt;margin-top:20.35pt;width:94.95pt;height:.5pt;z-index:-27150336;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">
                      <v:shape id="Graphic 800"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" path="m1205484,l,,,6108r1205484,l1205484,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D4B" w14:textId="77777777">
        <w:trPr>
          <w:trHeight w:val="794"/>
        </w:trPr>
        <w:tc>
          <w:tcPr>
            <w:tcW w:w="3568" w:type="dxa"/>
            <w:tcBorders>
              <w:right w:val="single" w:sz="4" w:space="0" w:color="000000"/>
            </w:tcBorders>
          </w:tcPr>
          <w:p w14:paraId="0DFDBD41" w14:textId="77777777" w:rsidR="00046465" w:rsidRDefault="00046465">
            <w:pPr>
              <w:pStyle w:val="TableParagraph"/>
              <w:spacing w:before="144"/>
            </w:pPr>
          </w:p>
          <w:p w14:paraId="0DFDBD42" w14:textId="77777777" w:rsidR="00046465" w:rsidRDefault="008134EB">
            <w:pPr>
              <w:pStyle w:val="TableParagraph"/>
              <w:spacing w:before="1"/>
              <w:ind w:left="97"/>
            </w:pPr>
            <w:r>
              <w:t>Provision</w:t>
            </w:r>
            <w:r>
              <w:rPr>
                <w:spacing w:val="-11"/>
              </w:rPr>
              <w:t xml:space="preserve"> </w:t>
            </w:r>
            <w:r>
              <w:rPr>
                <w:spacing w:val="-2"/>
              </w:rPr>
              <w:t>Description</w:t>
            </w:r>
          </w:p>
        </w:tc>
        <w:tc>
          <w:tcPr>
            <w:tcW w:w="2561" w:type="dxa"/>
            <w:tcBorders>
              <w:left w:val="single" w:sz="4" w:space="0" w:color="000000"/>
              <w:right w:val="single" w:sz="4" w:space="0" w:color="000000"/>
            </w:tcBorders>
          </w:tcPr>
          <w:p w14:paraId="0DFDBD43" w14:textId="77777777" w:rsidR="00046465" w:rsidRDefault="00046465">
            <w:pPr>
              <w:pStyle w:val="TableParagraph"/>
              <w:spacing w:before="144"/>
            </w:pPr>
          </w:p>
          <w:p w14:paraId="0DFDBD44" w14:textId="77777777" w:rsidR="00046465" w:rsidRDefault="008134EB">
            <w:pPr>
              <w:pStyle w:val="TableParagraph"/>
              <w:spacing w:before="1"/>
              <w:ind w:left="106"/>
            </w:pPr>
            <w:r>
              <w:rPr>
                <w:spacing w:val="-2"/>
              </w:rPr>
              <w:t>Objective</w:t>
            </w:r>
          </w:p>
        </w:tc>
        <w:tc>
          <w:tcPr>
            <w:tcW w:w="2065" w:type="dxa"/>
            <w:tcBorders>
              <w:left w:val="single" w:sz="4" w:space="0" w:color="000000"/>
              <w:right w:val="single" w:sz="4" w:space="0" w:color="000000"/>
            </w:tcBorders>
          </w:tcPr>
          <w:p w14:paraId="0DFDBD45" w14:textId="77777777" w:rsidR="00046465" w:rsidRDefault="00046465">
            <w:pPr>
              <w:pStyle w:val="TableParagraph"/>
              <w:spacing w:before="144"/>
            </w:pPr>
          </w:p>
          <w:p w14:paraId="0DFDBD46" w14:textId="77777777" w:rsidR="00046465" w:rsidRDefault="008134EB">
            <w:pPr>
              <w:pStyle w:val="TableParagraph"/>
              <w:spacing w:before="1"/>
              <w:ind w:left="107"/>
            </w:pPr>
            <w:r>
              <w:t>Control</w:t>
            </w:r>
            <w:r>
              <w:rPr>
                <w:spacing w:val="-9"/>
              </w:rPr>
              <w:t xml:space="preserve"> </w:t>
            </w:r>
            <w:r>
              <w:rPr>
                <w:spacing w:val="-2"/>
              </w:rPr>
              <w:t>Activities</w:t>
            </w:r>
          </w:p>
        </w:tc>
        <w:tc>
          <w:tcPr>
            <w:tcW w:w="1487" w:type="dxa"/>
            <w:tcBorders>
              <w:left w:val="single" w:sz="4" w:space="0" w:color="000000"/>
              <w:right w:val="single" w:sz="4" w:space="0" w:color="000000"/>
            </w:tcBorders>
          </w:tcPr>
          <w:p w14:paraId="0DFDBD47" w14:textId="77777777" w:rsidR="00046465" w:rsidRDefault="00046465">
            <w:pPr>
              <w:pStyle w:val="TableParagraph"/>
              <w:spacing w:before="144"/>
            </w:pPr>
          </w:p>
          <w:p w14:paraId="0DFDBD48" w14:textId="77777777" w:rsidR="00046465" w:rsidRDefault="008134EB">
            <w:pPr>
              <w:pStyle w:val="TableParagraph"/>
              <w:spacing w:before="1"/>
              <w:ind w:left="107"/>
            </w:pPr>
            <w:r>
              <w:t>IS</w:t>
            </w:r>
            <w:r>
              <w:rPr>
                <w:spacing w:val="-3"/>
              </w:rPr>
              <w:t xml:space="preserve"> </w:t>
            </w:r>
            <w:r>
              <w:rPr>
                <w:spacing w:val="-2"/>
              </w:rPr>
              <w:t>(Y/N)</w:t>
            </w:r>
          </w:p>
        </w:tc>
        <w:tc>
          <w:tcPr>
            <w:tcW w:w="1583" w:type="dxa"/>
            <w:tcBorders>
              <w:left w:val="single" w:sz="4" w:space="0" w:color="000000"/>
              <w:right w:val="single" w:sz="4" w:space="0" w:color="000000"/>
            </w:tcBorders>
          </w:tcPr>
          <w:p w14:paraId="0DFDBD49" w14:textId="77777777" w:rsidR="00046465" w:rsidRDefault="008134EB">
            <w:pPr>
              <w:pStyle w:val="TableParagraph"/>
              <w:spacing w:before="144"/>
              <w:ind w:left="107" w:right="15"/>
            </w:pPr>
            <w:r>
              <w:rPr>
                <w:spacing w:val="-2"/>
              </w:rPr>
              <w:t>Effective controls?</w:t>
            </w:r>
          </w:p>
        </w:tc>
        <w:tc>
          <w:tcPr>
            <w:tcW w:w="2129" w:type="dxa"/>
            <w:tcBorders>
              <w:left w:val="single" w:sz="4" w:space="0" w:color="000000"/>
            </w:tcBorders>
          </w:tcPr>
          <w:p w14:paraId="0DFDBD4A" w14:textId="77777777" w:rsidR="00046465" w:rsidRDefault="008134EB">
            <w:pPr>
              <w:pStyle w:val="TableParagraph"/>
              <w:spacing w:before="144"/>
              <w:ind w:left="107"/>
            </w:pPr>
            <w:r>
              <w:t xml:space="preserve">Instances of </w:t>
            </w:r>
            <w:r>
              <w:rPr>
                <w:spacing w:val="-2"/>
              </w:rPr>
              <w:t>noncompliance?</w:t>
            </w:r>
          </w:p>
        </w:tc>
      </w:tr>
      <w:tr w:rsidR="00046465" w14:paraId="0DFDBD57" w14:textId="77777777">
        <w:trPr>
          <w:trHeight w:val="3267"/>
        </w:trPr>
        <w:tc>
          <w:tcPr>
            <w:tcW w:w="3568" w:type="dxa"/>
            <w:tcBorders>
              <w:bottom w:val="single" w:sz="4" w:space="0" w:color="000000"/>
              <w:right w:val="single" w:sz="4" w:space="0" w:color="000000"/>
            </w:tcBorders>
          </w:tcPr>
          <w:p w14:paraId="0DFDBD4C" w14:textId="77777777" w:rsidR="00046465" w:rsidRDefault="008134EB">
            <w:pPr>
              <w:pStyle w:val="TableParagraph"/>
              <w:spacing w:before="143"/>
              <w:ind w:left="817" w:hanging="720"/>
              <w:rPr>
                <w:sz w:val="18"/>
              </w:rPr>
            </w:pPr>
            <w:r>
              <w:rPr>
                <w:smallCaps/>
                <w:sz w:val="18"/>
              </w:rPr>
              <w:t>810.01.</w:t>
            </w:r>
            <w:r>
              <w:rPr>
                <w:smallCaps/>
                <w:spacing w:val="-2"/>
                <w:sz w:val="18"/>
              </w:rPr>
              <w:t xml:space="preserve"> </w:t>
            </w:r>
            <w:r>
              <w:rPr>
                <w:smallCaps/>
                <w:spacing w:val="18"/>
                <w:sz w:val="18"/>
              </w:rPr>
              <w:t xml:space="preserve"> </w:t>
            </w:r>
            <w:r>
              <w:rPr>
                <w:smallCaps/>
                <w:sz w:val="18"/>
              </w:rPr>
              <w:t>Employees’</w:t>
            </w:r>
            <w:r>
              <w:rPr>
                <w:smallCaps/>
                <w:spacing w:val="-11"/>
                <w:sz w:val="18"/>
              </w:rPr>
              <w:t xml:space="preserve"> </w:t>
            </w:r>
            <w:r>
              <w:rPr>
                <w:smallCaps/>
                <w:sz w:val="18"/>
              </w:rPr>
              <w:t>Compensation</w:t>
            </w:r>
            <w:r>
              <w:rPr>
                <w:smallCaps/>
                <w:spacing w:val="-2"/>
                <w:sz w:val="18"/>
              </w:rPr>
              <w:t xml:space="preserve"> </w:t>
            </w:r>
            <w:r>
              <w:rPr>
                <w:smallCaps/>
                <w:sz w:val="18"/>
              </w:rPr>
              <w:t>Fund</w:t>
            </w:r>
            <w:r>
              <w:rPr>
                <w:smallCaps/>
                <w:spacing w:val="40"/>
                <w:sz w:val="18"/>
              </w:rPr>
              <w:t xml:space="preserve"> </w:t>
            </w:r>
            <w:r>
              <w:rPr>
                <w:smallCaps/>
                <w:sz w:val="18"/>
              </w:rPr>
              <w:t>Costs and Annual Budget</w:t>
            </w:r>
            <w:r>
              <w:rPr>
                <w:smallCaps/>
                <w:spacing w:val="40"/>
                <w:sz w:val="18"/>
              </w:rPr>
              <w:t xml:space="preserve"> </w:t>
            </w:r>
            <w:r>
              <w:rPr>
                <w:smallCaps/>
                <w:spacing w:val="-2"/>
                <w:sz w:val="18"/>
              </w:rPr>
              <w:t>Request.</w:t>
            </w:r>
          </w:p>
          <w:p w14:paraId="0DFDBD4D" w14:textId="77777777" w:rsidR="00046465" w:rsidRDefault="008134EB">
            <w:pPr>
              <w:pStyle w:val="TableParagraph"/>
              <w:spacing w:before="2" w:line="350" w:lineRule="atLeast"/>
              <w:ind w:left="97" w:right="686"/>
              <w:rPr>
                <w:sz w:val="18"/>
              </w:rPr>
            </w:pPr>
            <w:r>
              <w:rPr>
                <w:sz w:val="18"/>
              </w:rPr>
              <w:t>Provision</w:t>
            </w:r>
            <w:r>
              <w:rPr>
                <w:spacing w:val="-15"/>
                <w:sz w:val="18"/>
              </w:rPr>
              <w:t xml:space="preserve"> </w:t>
            </w:r>
            <w:r>
              <w:rPr>
                <w:sz w:val="18"/>
              </w:rPr>
              <w:t>Type:</w:t>
            </w:r>
            <w:r>
              <w:rPr>
                <w:spacing w:val="-12"/>
                <w:sz w:val="18"/>
              </w:rPr>
              <w:t xml:space="preserve"> </w:t>
            </w:r>
            <w:r>
              <w:rPr>
                <w:sz w:val="18"/>
              </w:rPr>
              <w:t>Procedural-based If the entity is funded by annual</w:t>
            </w:r>
          </w:p>
          <w:p w14:paraId="0DFDBD4E" w14:textId="77777777" w:rsidR="00046465" w:rsidRDefault="008134EB">
            <w:pPr>
              <w:pStyle w:val="TableParagraph"/>
              <w:spacing w:before="2" w:line="237" w:lineRule="auto"/>
              <w:ind w:left="97" w:right="98"/>
              <w:rPr>
                <w:sz w:val="18"/>
              </w:rPr>
            </w:pPr>
            <w:r>
              <w:rPr>
                <w:sz w:val="18"/>
              </w:rPr>
              <w:t>appropriations and receives a statement showing the costs of amounts paid from the Employees’ Compensation Fund (the Fund),</w:t>
            </w:r>
            <w:hyperlink w:anchor="_bookmark130" w:history="1">
              <w:r>
                <w:rPr>
                  <w:position w:val="6"/>
                  <w:sz w:val="12"/>
                </w:rPr>
                <w:t>60</w:t>
              </w:r>
            </w:hyperlink>
            <w:r>
              <w:rPr>
                <w:spacing w:val="40"/>
                <w:position w:val="6"/>
                <w:sz w:val="12"/>
              </w:rPr>
              <w:t xml:space="preserve"> </w:t>
            </w:r>
            <w:r>
              <w:rPr>
                <w:sz w:val="18"/>
              </w:rPr>
              <w:t>then the entity shall include a request</w:t>
            </w:r>
            <w:r>
              <w:rPr>
                <w:spacing w:val="-7"/>
                <w:sz w:val="18"/>
              </w:rPr>
              <w:t xml:space="preserve"> </w:t>
            </w:r>
            <w:r>
              <w:rPr>
                <w:sz w:val="18"/>
              </w:rPr>
              <w:t>for</w:t>
            </w:r>
            <w:r>
              <w:rPr>
                <w:spacing w:val="-7"/>
                <w:sz w:val="18"/>
              </w:rPr>
              <w:t xml:space="preserve"> </w:t>
            </w:r>
            <w:r>
              <w:rPr>
                <w:sz w:val="18"/>
              </w:rPr>
              <w:t>an</w:t>
            </w:r>
            <w:r>
              <w:rPr>
                <w:spacing w:val="-7"/>
                <w:sz w:val="18"/>
              </w:rPr>
              <w:t xml:space="preserve"> </w:t>
            </w:r>
            <w:r>
              <w:rPr>
                <w:sz w:val="18"/>
              </w:rPr>
              <w:t>appropriation</w:t>
            </w:r>
            <w:r>
              <w:rPr>
                <w:spacing w:val="-7"/>
                <w:sz w:val="18"/>
              </w:rPr>
              <w:t xml:space="preserve"> </w:t>
            </w:r>
            <w:r>
              <w:rPr>
                <w:sz w:val="18"/>
              </w:rPr>
              <w:t>to</w:t>
            </w:r>
            <w:r>
              <w:rPr>
                <w:spacing w:val="-7"/>
                <w:sz w:val="18"/>
              </w:rPr>
              <w:t xml:space="preserve"> </w:t>
            </w:r>
            <w:r>
              <w:rPr>
                <w:sz w:val="18"/>
              </w:rPr>
              <w:t>cover</w:t>
            </w:r>
            <w:r>
              <w:rPr>
                <w:spacing w:val="-7"/>
                <w:sz w:val="18"/>
              </w:rPr>
              <w:t xml:space="preserve"> </w:t>
            </w:r>
            <w:r>
              <w:rPr>
                <w:sz w:val="18"/>
              </w:rPr>
              <w:t>such amounts when submitting its budget request during the next fiscal year.</w:t>
            </w:r>
            <w:hyperlink w:anchor="_bookmark131" w:history="1">
              <w:r>
                <w:rPr>
                  <w:position w:val="6"/>
                  <w:sz w:val="12"/>
                </w:rPr>
                <w:t>61</w:t>
              </w:r>
            </w:hyperlink>
            <w:r>
              <w:rPr>
                <w:spacing w:val="40"/>
                <w:position w:val="6"/>
                <w:sz w:val="12"/>
              </w:rPr>
              <w:t xml:space="preserve"> </w:t>
            </w:r>
            <w:r>
              <w:rPr>
                <w:sz w:val="18"/>
              </w:rPr>
              <w:t>5</w:t>
            </w:r>
          </w:p>
          <w:p w14:paraId="0DFDBD4F" w14:textId="77777777" w:rsidR="00046465" w:rsidRDefault="008134EB">
            <w:pPr>
              <w:pStyle w:val="TableParagraph"/>
              <w:spacing w:before="7"/>
              <w:ind w:left="97"/>
              <w:rPr>
                <w:sz w:val="18"/>
              </w:rPr>
            </w:pPr>
            <w:r>
              <w:rPr>
                <w:sz w:val="18"/>
              </w:rPr>
              <w:t>U.S.C.</w:t>
            </w:r>
            <w:r>
              <w:rPr>
                <w:spacing w:val="-2"/>
                <w:sz w:val="18"/>
              </w:rPr>
              <w:t xml:space="preserve"> </w:t>
            </w:r>
            <w:r>
              <w:rPr>
                <w:sz w:val="18"/>
              </w:rPr>
              <w:t>§</w:t>
            </w:r>
            <w:r>
              <w:rPr>
                <w:spacing w:val="-2"/>
                <w:sz w:val="18"/>
              </w:rPr>
              <w:t xml:space="preserve"> 8147(b).</w:t>
            </w:r>
          </w:p>
        </w:tc>
        <w:tc>
          <w:tcPr>
            <w:tcW w:w="2561" w:type="dxa"/>
            <w:tcBorders>
              <w:left w:val="single" w:sz="4" w:space="0" w:color="000000"/>
              <w:bottom w:val="single" w:sz="4" w:space="0" w:color="000000"/>
              <w:right w:val="single" w:sz="4" w:space="0" w:color="000000"/>
            </w:tcBorders>
          </w:tcPr>
          <w:p w14:paraId="0DFDBD50" w14:textId="77777777" w:rsidR="00046465" w:rsidRDefault="008134EB">
            <w:pPr>
              <w:pStyle w:val="TableParagraph"/>
              <w:spacing w:before="143"/>
              <w:ind w:left="106" w:right="116"/>
              <w:rPr>
                <w:sz w:val="18"/>
              </w:rPr>
            </w:pPr>
            <w:r>
              <w:rPr>
                <w:sz w:val="18"/>
              </w:rPr>
              <w:t>The entity’s budget request includes a request for an appropriation for any amounts</w:t>
            </w:r>
            <w:r>
              <w:rPr>
                <w:spacing w:val="-8"/>
                <w:sz w:val="18"/>
              </w:rPr>
              <w:t xml:space="preserve"> </w:t>
            </w:r>
            <w:r>
              <w:rPr>
                <w:sz w:val="18"/>
              </w:rPr>
              <w:t>paid</w:t>
            </w:r>
            <w:r>
              <w:rPr>
                <w:spacing w:val="-9"/>
                <w:sz w:val="18"/>
              </w:rPr>
              <w:t xml:space="preserve"> </w:t>
            </w:r>
            <w:r>
              <w:rPr>
                <w:sz w:val="18"/>
              </w:rPr>
              <w:t>by</w:t>
            </w:r>
            <w:r>
              <w:rPr>
                <w:spacing w:val="-8"/>
                <w:sz w:val="18"/>
              </w:rPr>
              <w:t xml:space="preserve"> </w:t>
            </w:r>
            <w:r>
              <w:rPr>
                <w:sz w:val="18"/>
              </w:rPr>
              <w:t>the</w:t>
            </w:r>
            <w:r>
              <w:rPr>
                <w:spacing w:val="-9"/>
                <w:sz w:val="18"/>
              </w:rPr>
              <w:t xml:space="preserve"> </w:t>
            </w:r>
            <w:r>
              <w:rPr>
                <w:sz w:val="18"/>
              </w:rPr>
              <w:t>Fund</w:t>
            </w:r>
            <w:r>
              <w:rPr>
                <w:spacing w:val="-9"/>
                <w:sz w:val="18"/>
              </w:rPr>
              <w:t xml:space="preserve"> </w:t>
            </w:r>
            <w:r>
              <w:rPr>
                <w:sz w:val="18"/>
              </w:rPr>
              <w:t>on the entity’s behalf for the</w:t>
            </w:r>
            <w:r>
              <w:rPr>
                <w:spacing w:val="40"/>
                <w:sz w:val="18"/>
              </w:rPr>
              <w:t xml:space="preserve"> </w:t>
            </w:r>
            <w:r>
              <w:rPr>
                <w:sz w:val="18"/>
              </w:rPr>
              <w:t>prior fiscal year.</w:t>
            </w:r>
          </w:p>
        </w:tc>
        <w:tc>
          <w:tcPr>
            <w:tcW w:w="2065" w:type="dxa"/>
            <w:tcBorders>
              <w:left w:val="single" w:sz="4" w:space="0" w:color="000000"/>
              <w:bottom w:val="single" w:sz="4" w:space="0" w:color="000000"/>
              <w:right w:val="single" w:sz="4" w:space="0" w:color="000000"/>
            </w:tcBorders>
          </w:tcPr>
          <w:p w14:paraId="0DFDBD51" w14:textId="77777777" w:rsidR="00046465" w:rsidRDefault="008134EB">
            <w:pPr>
              <w:pStyle w:val="TableParagraph"/>
              <w:spacing w:before="143"/>
              <w:ind w:left="107"/>
              <w:rPr>
                <w:sz w:val="18"/>
              </w:rPr>
            </w:pPr>
            <w:r>
              <w:rPr>
                <w:sz w:val="18"/>
              </w:rPr>
              <w:t>[Document the control activities</w:t>
            </w:r>
            <w:r>
              <w:rPr>
                <w:spacing w:val="-13"/>
                <w:sz w:val="18"/>
              </w:rPr>
              <w:t xml:space="preserve"> </w:t>
            </w:r>
            <w:r>
              <w:rPr>
                <w:sz w:val="18"/>
              </w:rPr>
              <w:t>that</w:t>
            </w:r>
            <w:r>
              <w:rPr>
                <w:spacing w:val="-12"/>
                <w:sz w:val="18"/>
              </w:rPr>
              <w:t xml:space="preserve"> </w:t>
            </w:r>
            <w:r>
              <w:rPr>
                <w:sz w:val="18"/>
              </w:rPr>
              <w:t>the</w:t>
            </w:r>
            <w:r>
              <w:rPr>
                <w:spacing w:val="-13"/>
                <w:sz w:val="18"/>
              </w:rPr>
              <w:t xml:space="preserve"> </w:t>
            </w:r>
            <w:r>
              <w:rPr>
                <w:sz w:val="18"/>
              </w:rPr>
              <w:t xml:space="preserve">entity used to achieve the </w:t>
            </w:r>
            <w:r>
              <w:rPr>
                <w:spacing w:val="-2"/>
                <w:sz w:val="18"/>
              </w:rPr>
              <w:t>objective.]</w:t>
            </w:r>
          </w:p>
        </w:tc>
        <w:tc>
          <w:tcPr>
            <w:tcW w:w="1487" w:type="dxa"/>
            <w:tcBorders>
              <w:left w:val="single" w:sz="4" w:space="0" w:color="000000"/>
              <w:bottom w:val="single" w:sz="4" w:space="0" w:color="000000"/>
              <w:right w:val="single" w:sz="4" w:space="0" w:color="000000"/>
            </w:tcBorders>
          </w:tcPr>
          <w:p w14:paraId="0DFDBD52" w14:textId="77777777" w:rsidR="00046465" w:rsidRDefault="008134EB">
            <w:pPr>
              <w:pStyle w:val="TableParagraph"/>
              <w:spacing w:before="143"/>
              <w:ind w:left="107" w:right="302"/>
              <w:rPr>
                <w:sz w:val="18"/>
              </w:rPr>
            </w:pPr>
            <w:r>
              <w:rPr>
                <w:sz w:val="18"/>
              </w:rPr>
              <w:t>[Does</w:t>
            </w:r>
            <w:r>
              <w:rPr>
                <w:spacing w:val="-13"/>
                <w:sz w:val="18"/>
              </w:rPr>
              <w:t xml:space="preserve"> </w:t>
            </w:r>
            <w:r>
              <w:rPr>
                <w:sz w:val="18"/>
              </w:rPr>
              <w:t xml:space="preserve">control depend on </w:t>
            </w:r>
            <w:r>
              <w:rPr>
                <w:spacing w:val="-2"/>
                <w:sz w:val="18"/>
              </w:rPr>
              <w:t>information system processing?]</w:t>
            </w:r>
          </w:p>
        </w:tc>
        <w:tc>
          <w:tcPr>
            <w:tcW w:w="1583" w:type="dxa"/>
            <w:tcBorders>
              <w:left w:val="single" w:sz="4" w:space="0" w:color="000000"/>
              <w:bottom w:val="single" w:sz="4" w:space="0" w:color="000000"/>
              <w:right w:val="single" w:sz="4" w:space="0" w:color="000000"/>
            </w:tcBorders>
          </w:tcPr>
          <w:p w14:paraId="0DFDBD53" w14:textId="77777777" w:rsidR="00046465" w:rsidRDefault="008134EB">
            <w:pPr>
              <w:pStyle w:val="TableParagraph"/>
              <w:spacing w:before="143"/>
              <w:ind w:left="107" w:right="15"/>
              <w:rPr>
                <w:sz w:val="18"/>
              </w:rPr>
            </w:pPr>
            <w:r>
              <w:rPr>
                <w:sz w:val="18"/>
              </w:rPr>
              <w:t xml:space="preserve">[Indicate yes or no; include reference to </w:t>
            </w:r>
            <w:r>
              <w:rPr>
                <w:spacing w:val="-2"/>
                <w:sz w:val="18"/>
              </w:rPr>
              <w:t>supporting documentation.]</w:t>
            </w:r>
          </w:p>
        </w:tc>
        <w:tc>
          <w:tcPr>
            <w:tcW w:w="2129" w:type="dxa"/>
            <w:tcBorders>
              <w:left w:val="single" w:sz="4" w:space="0" w:color="000000"/>
              <w:bottom w:val="single" w:sz="4" w:space="0" w:color="000000"/>
            </w:tcBorders>
          </w:tcPr>
          <w:p w14:paraId="0DFDBD54" w14:textId="77777777" w:rsidR="00046465" w:rsidRDefault="008134EB">
            <w:pPr>
              <w:pStyle w:val="TableParagraph"/>
              <w:spacing w:before="143"/>
              <w:ind w:left="106"/>
              <w:rPr>
                <w:sz w:val="18"/>
              </w:rPr>
            </w:pPr>
            <w:r>
              <w:rPr>
                <w:sz w:val="18"/>
              </w:rPr>
              <w:t>[Indicate yes or no; include</w:t>
            </w:r>
            <w:r>
              <w:rPr>
                <w:spacing w:val="-15"/>
                <w:sz w:val="18"/>
              </w:rPr>
              <w:t xml:space="preserve"> </w:t>
            </w:r>
            <w:r>
              <w:rPr>
                <w:sz w:val="18"/>
              </w:rPr>
              <w:t>reference</w:t>
            </w:r>
            <w:r>
              <w:rPr>
                <w:spacing w:val="-12"/>
                <w:sz w:val="18"/>
              </w:rPr>
              <w:t xml:space="preserve"> </w:t>
            </w:r>
            <w:r>
              <w:rPr>
                <w:sz w:val="18"/>
              </w:rPr>
              <w:t xml:space="preserve">to </w:t>
            </w:r>
            <w:r>
              <w:rPr>
                <w:spacing w:val="-2"/>
                <w:sz w:val="18"/>
              </w:rPr>
              <w:t>supporting documentation.]</w:t>
            </w:r>
          </w:p>
          <w:p w14:paraId="0DFDBD55" w14:textId="77777777" w:rsidR="00046465" w:rsidRDefault="008134EB">
            <w:pPr>
              <w:pStyle w:val="TableParagraph"/>
              <w:spacing w:before="144"/>
              <w:ind w:left="106"/>
              <w:rPr>
                <w:sz w:val="18"/>
              </w:rPr>
            </w:pPr>
            <w:r>
              <w:rPr>
                <w:sz w:val="18"/>
              </w:rPr>
              <w:t>See</w:t>
            </w:r>
            <w:r>
              <w:rPr>
                <w:spacing w:val="-15"/>
                <w:sz w:val="18"/>
              </w:rPr>
              <w:t xml:space="preserve"> </w:t>
            </w:r>
            <w:r>
              <w:rPr>
                <w:sz w:val="18"/>
              </w:rPr>
              <w:t>Compliance</w:t>
            </w:r>
            <w:r>
              <w:rPr>
                <w:spacing w:val="-12"/>
                <w:sz w:val="18"/>
              </w:rPr>
              <w:t xml:space="preserve"> </w:t>
            </w:r>
            <w:r>
              <w:rPr>
                <w:sz w:val="18"/>
              </w:rPr>
              <w:t>Audit Procedures,</w:t>
            </w:r>
            <w:r>
              <w:rPr>
                <w:spacing w:val="-4"/>
                <w:sz w:val="18"/>
              </w:rPr>
              <w:t xml:space="preserve"> </w:t>
            </w:r>
            <w:r>
              <w:rPr>
                <w:sz w:val="18"/>
              </w:rPr>
              <w:t>FAM</w:t>
            </w:r>
            <w:r>
              <w:rPr>
                <w:spacing w:val="-3"/>
                <w:sz w:val="18"/>
              </w:rPr>
              <w:t xml:space="preserve"> </w:t>
            </w:r>
            <w:r>
              <w:rPr>
                <w:spacing w:val="-5"/>
                <w:sz w:val="18"/>
              </w:rPr>
              <w:t>810</w:t>
            </w:r>
          </w:p>
          <w:p w14:paraId="0DFDBD56" w14:textId="77777777" w:rsidR="00046465" w:rsidRDefault="008134EB">
            <w:pPr>
              <w:pStyle w:val="TableParagraph"/>
              <w:spacing w:before="2"/>
              <w:ind w:left="106"/>
              <w:rPr>
                <w:sz w:val="18"/>
              </w:rPr>
            </w:pPr>
            <w:r>
              <w:rPr>
                <w:sz w:val="18"/>
              </w:rPr>
              <w:t>step</w:t>
            </w:r>
            <w:r>
              <w:rPr>
                <w:spacing w:val="-2"/>
                <w:sz w:val="18"/>
              </w:rPr>
              <w:t xml:space="preserve"> </w:t>
            </w:r>
            <w:r>
              <w:rPr>
                <w:spacing w:val="-5"/>
                <w:sz w:val="18"/>
              </w:rPr>
              <w:t>1.</w:t>
            </w:r>
          </w:p>
        </w:tc>
      </w:tr>
    </w:tbl>
    <w:p w14:paraId="0DFDBD58" w14:textId="77777777" w:rsidR="00046465" w:rsidRDefault="00046465">
      <w:pPr>
        <w:pStyle w:val="BodyText"/>
        <w:rPr>
          <w:sz w:val="20"/>
        </w:rPr>
      </w:pPr>
    </w:p>
    <w:p w14:paraId="0DFDBD59" w14:textId="77777777" w:rsidR="00046465" w:rsidRDefault="00046465">
      <w:pPr>
        <w:pStyle w:val="BodyText"/>
        <w:rPr>
          <w:sz w:val="20"/>
        </w:rPr>
      </w:pPr>
    </w:p>
    <w:p w14:paraId="0DFDBD5A" w14:textId="77777777" w:rsidR="00046465" w:rsidRDefault="008134EB">
      <w:pPr>
        <w:pStyle w:val="BodyText"/>
        <w:spacing w:before="21"/>
        <w:rPr>
          <w:sz w:val="20"/>
        </w:rPr>
      </w:pPr>
      <w:r>
        <w:rPr>
          <w:noProof/>
          <w:sz w:val="20"/>
        </w:rPr>
        <mc:AlternateContent>
          <mc:Choice Requires="wps">
            <w:drawing>
              <wp:anchor distT="0" distB="0" distL="0" distR="0" simplePos="0" relativeHeight="487698944" behindDoc="1" locked="0" layoutInCell="1" allowOverlap="1" wp14:anchorId="0DFDD6CD" wp14:editId="0DFDD6CE">
                <wp:simplePos x="0" y="0"/>
                <wp:positionH relativeFrom="page">
                  <wp:posOffset>685800</wp:posOffset>
                </wp:positionH>
                <wp:positionV relativeFrom="paragraph">
                  <wp:posOffset>174776</wp:posOffset>
                </wp:positionV>
                <wp:extent cx="1828800" cy="6985"/>
                <wp:effectExtent l="0" t="0" r="0" b="0"/>
                <wp:wrapTopAndBottom/>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E811F5" id="Graphic 801" o:spid="_x0000_s1026" style="position:absolute;margin-left:54pt;margin-top:13.75pt;width:2in;height:.55pt;z-index:-1561753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" path="m1828800,l,,,6858r1828800,l1828800,xe" fillcolor="black" stroked="f">
                <v:path arrowok="t"/>
                <w10:wrap type="topAndBottom" anchorx="page"/>
              </v:shape>
            </w:pict>
          </mc:Fallback>
        </mc:AlternateContent>
      </w:r>
    </w:p>
    <w:p w14:paraId="0DFDBD5B" w14:textId="77777777" w:rsidR="00046465" w:rsidRDefault="008134EB">
      <w:pPr>
        <w:spacing w:before="217" w:line="244" w:lineRule="auto"/>
        <w:ind w:left="359" w:right="422"/>
        <w:rPr>
          <w:sz w:val="18"/>
        </w:rPr>
      </w:pPr>
      <w:r>
        <w:rPr>
          <w:position w:val="7"/>
          <w:sz w:val="14"/>
        </w:rPr>
        <w:t>60</w:t>
      </w:r>
      <w:r>
        <w:rPr>
          <w:sz w:val="18"/>
        </w:rPr>
        <w:t>Under</w:t>
      </w:r>
      <w:r>
        <w:rPr>
          <w:spacing w:val="-2"/>
          <w:sz w:val="18"/>
        </w:rPr>
        <w:t xml:space="preserve"> </w:t>
      </w:r>
      <w:r>
        <w:rPr>
          <w:sz w:val="18"/>
        </w:rPr>
        <w:t>FECA,</w:t>
      </w:r>
      <w:r>
        <w:rPr>
          <w:spacing w:val="-2"/>
          <w:sz w:val="18"/>
        </w:rPr>
        <w:t xml:space="preserve"> </w:t>
      </w:r>
      <w:r>
        <w:rPr>
          <w:sz w:val="18"/>
        </w:rPr>
        <w:t>the</w:t>
      </w:r>
      <w:r>
        <w:rPr>
          <w:spacing w:val="-3"/>
          <w:sz w:val="18"/>
        </w:rPr>
        <w:t xml:space="preserve"> </w:t>
      </w:r>
      <w:r>
        <w:rPr>
          <w:sz w:val="18"/>
        </w:rPr>
        <w:t>Employees’</w:t>
      </w:r>
      <w:r>
        <w:rPr>
          <w:spacing w:val="-1"/>
          <w:sz w:val="18"/>
        </w:rPr>
        <w:t xml:space="preserve"> </w:t>
      </w:r>
      <w:r>
        <w:rPr>
          <w:sz w:val="18"/>
        </w:rPr>
        <w:t>Compensation</w:t>
      </w:r>
      <w:r>
        <w:rPr>
          <w:spacing w:val="-1"/>
          <w:sz w:val="18"/>
        </w:rPr>
        <w:t xml:space="preserve"> </w:t>
      </w:r>
      <w:r>
        <w:rPr>
          <w:sz w:val="18"/>
        </w:rPr>
        <w:t>Fund</w:t>
      </w:r>
      <w:r>
        <w:rPr>
          <w:spacing w:val="-3"/>
          <w:sz w:val="18"/>
        </w:rPr>
        <w:t xml:space="preserve"> </w:t>
      </w:r>
      <w:r>
        <w:rPr>
          <w:sz w:val="18"/>
        </w:rPr>
        <w:t>is</w:t>
      </w:r>
      <w:r>
        <w:rPr>
          <w:spacing w:val="-2"/>
          <w:sz w:val="18"/>
        </w:rPr>
        <w:t xml:space="preserve"> </w:t>
      </w:r>
      <w:r>
        <w:rPr>
          <w:sz w:val="18"/>
        </w:rPr>
        <w:t>available</w:t>
      </w:r>
      <w:r>
        <w:rPr>
          <w:spacing w:val="-3"/>
          <w:sz w:val="18"/>
        </w:rPr>
        <w:t xml:space="preserve"> </w:t>
      </w:r>
      <w:r>
        <w:rPr>
          <w:sz w:val="18"/>
        </w:rPr>
        <w:t>without</w:t>
      </w:r>
      <w:r>
        <w:rPr>
          <w:spacing w:val="-2"/>
          <w:sz w:val="18"/>
        </w:rPr>
        <w:t xml:space="preserve"> </w:t>
      </w:r>
      <w:r>
        <w:rPr>
          <w:sz w:val="18"/>
        </w:rPr>
        <w:t>fiscal</w:t>
      </w:r>
      <w:r>
        <w:rPr>
          <w:spacing w:val="-2"/>
          <w:sz w:val="18"/>
        </w:rPr>
        <w:t xml:space="preserve"> </w:t>
      </w:r>
      <w:r>
        <w:rPr>
          <w:sz w:val="18"/>
        </w:rPr>
        <w:t>year</w:t>
      </w:r>
      <w:r>
        <w:rPr>
          <w:spacing w:val="-2"/>
          <w:sz w:val="18"/>
        </w:rPr>
        <w:t xml:space="preserve"> </w:t>
      </w:r>
      <w:r>
        <w:rPr>
          <w:sz w:val="18"/>
        </w:rPr>
        <w:t>limitation</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U.S.</w:t>
      </w:r>
      <w:r>
        <w:rPr>
          <w:spacing w:val="-2"/>
          <w:sz w:val="18"/>
        </w:rPr>
        <w:t xml:space="preserve"> </w:t>
      </w:r>
      <w:r>
        <w:rPr>
          <w:sz w:val="18"/>
        </w:rPr>
        <w:t>government</w:t>
      </w:r>
      <w:r>
        <w:rPr>
          <w:spacing w:val="-2"/>
          <w:sz w:val="18"/>
        </w:rPr>
        <w:t xml:space="preserve"> </w:t>
      </w:r>
      <w:r>
        <w:rPr>
          <w:sz w:val="18"/>
        </w:rPr>
        <w:t>to</w:t>
      </w:r>
      <w:r>
        <w:rPr>
          <w:spacing w:val="-3"/>
          <w:sz w:val="18"/>
        </w:rPr>
        <w:t xml:space="preserve"> </w:t>
      </w:r>
      <w:r>
        <w:rPr>
          <w:sz w:val="18"/>
        </w:rPr>
        <w:t>make</w:t>
      </w:r>
      <w:r>
        <w:rPr>
          <w:spacing w:val="-3"/>
          <w:sz w:val="18"/>
        </w:rPr>
        <w:t xml:space="preserve"> </w:t>
      </w:r>
      <w:r>
        <w:rPr>
          <w:sz w:val="18"/>
        </w:rPr>
        <w:t>compensation</w:t>
      </w:r>
      <w:r>
        <w:rPr>
          <w:spacing w:val="-3"/>
          <w:sz w:val="18"/>
        </w:rPr>
        <w:t xml:space="preserve"> </w:t>
      </w:r>
      <w:r>
        <w:rPr>
          <w:sz w:val="18"/>
        </w:rPr>
        <w:t>payments</w:t>
      </w:r>
      <w:r>
        <w:rPr>
          <w:spacing w:val="-2"/>
          <w:sz w:val="18"/>
        </w:rPr>
        <w:t xml:space="preserve"> </w:t>
      </w:r>
      <w:r>
        <w:rPr>
          <w:sz w:val="18"/>
        </w:rPr>
        <w:t>for</w:t>
      </w:r>
      <w:r>
        <w:rPr>
          <w:spacing w:val="-2"/>
          <w:sz w:val="18"/>
        </w:rPr>
        <w:t xml:space="preserve"> </w:t>
      </w:r>
      <w:r>
        <w:rPr>
          <w:sz w:val="18"/>
        </w:rPr>
        <w:t>the</w:t>
      </w:r>
      <w:r>
        <w:rPr>
          <w:spacing w:val="-3"/>
          <w:sz w:val="18"/>
        </w:rPr>
        <w:t xml:space="preserve"> </w:t>
      </w:r>
      <w:r>
        <w:rPr>
          <w:sz w:val="18"/>
        </w:rPr>
        <w:t>disability or death of an employee resulting from personal injury sustained while in the performance of the employee’s duty, unless a statutory exception applies. 5 U.S.C. § 8102(a) and 5 U.S.C. § 8147(a).</w:t>
      </w:r>
    </w:p>
    <w:p w14:paraId="0DFDBD5C" w14:textId="77777777" w:rsidR="00046465" w:rsidRDefault="00046465">
      <w:pPr>
        <w:spacing w:line="244" w:lineRule="auto"/>
        <w:rPr>
          <w:sz w:val="18"/>
        </w:rPr>
        <w:sectPr w:rsidR="00046465">
          <w:headerReference w:type="default" r:id="rId153"/>
          <w:footerReference w:type="default" r:id="rId154"/>
          <w:pgSz w:w="15840" w:h="12240" w:orient="landscape"/>
          <w:pgMar w:top="1380" w:right="1080" w:bottom="940" w:left="720" w:header="721" w:footer="742" w:gutter="0"/>
          <w:pgNumType w:start="1"/>
          <w:cols w:space="720"/>
        </w:sectPr>
      </w:pPr>
    </w:p>
    <w:p w14:paraId="0DFDBD5D" w14:textId="77777777" w:rsidR="00046465" w:rsidRDefault="00046465">
      <w:pPr>
        <w:pStyle w:val="BodyText"/>
        <w:spacing w:before="9"/>
        <w:rPr>
          <w:sz w:val="7"/>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568"/>
        <w:gridCol w:w="2561"/>
        <w:gridCol w:w="2065"/>
        <w:gridCol w:w="1487"/>
        <w:gridCol w:w="1583"/>
        <w:gridCol w:w="2129"/>
      </w:tblGrid>
      <w:tr w:rsidR="00046465" w14:paraId="0DFDBD61" w14:textId="77777777">
        <w:trPr>
          <w:trHeight w:val="1574"/>
        </w:trPr>
        <w:tc>
          <w:tcPr>
            <w:tcW w:w="13393" w:type="dxa"/>
            <w:gridSpan w:val="6"/>
          </w:tcPr>
          <w:p w14:paraId="0DFDBD5E" w14:textId="77777777" w:rsidR="00046465" w:rsidRDefault="008134EB">
            <w:pPr>
              <w:pStyle w:val="TableParagraph"/>
              <w:tabs>
                <w:tab w:val="left" w:pos="9319"/>
              </w:tabs>
              <w:spacing w:before="144"/>
              <w:ind w:right="1965"/>
              <w:jc w:val="center"/>
            </w:pPr>
            <w:r>
              <w:t>Name</w:t>
            </w:r>
            <w:r>
              <w:rPr>
                <w:spacing w:val="-5"/>
              </w:rPr>
              <w:t xml:space="preserve"> </w:t>
            </w:r>
            <w:r>
              <w:t>of</w:t>
            </w:r>
            <w:r>
              <w:rPr>
                <w:spacing w:val="-5"/>
              </w:rPr>
              <w:t xml:space="preserve"> </w:t>
            </w:r>
            <w:r>
              <w:rPr>
                <w:spacing w:val="-2"/>
              </w:rPr>
              <w:t>entity:</w:t>
            </w:r>
            <w:r>
              <w:tab/>
              <w:t>Prepared</w:t>
            </w:r>
            <w:r>
              <w:rPr>
                <w:spacing w:val="-11"/>
              </w:rPr>
              <w:t xml:space="preserve"> </w:t>
            </w:r>
            <w:r>
              <w:rPr>
                <w:spacing w:val="-5"/>
              </w:rPr>
              <w:t>by:</w:t>
            </w:r>
          </w:p>
          <w:p w14:paraId="0DFDBD5F" w14:textId="77777777" w:rsidR="00046465" w:rsidRDefault="008134EB">
            <w:pPr>
              <w:pStyle w:val="TableParagraph"/>
              <w:spacing w:before="12"/>
              <w:ind w:left="1972" w:right="1964"/>
              <w:jc w:val="center"/>
              <w:rPr>
                <w:b/>
                <w:sz w:val="24"/>
              </w:rPr>
            </w:pPr>
            <w:r>
              <w:rPr>
                <w:b/>
                <w:noProof/>
                <w:sz w:val="24"/>
              </w:rPr>
              <mc:AlternateContent>
                <mc:Choice Requires="wpg">
                  <w:drawing>
                    <wp:anchor distT="0" distB="0" distL="0" distR="0" simplePos="0" relativeHeight="476168192" behindDoc="1" locked="0" layoutInCell="1" allowOverlap="1" wp14:anchorId="0DFDD6CF" wp14:editId="0DFDD6D0">
                      <wp:simplePos x="0" y="0"/>
                      <wp:positionH relativeFrom="column">
                        <wp:posOffset>7052309</wp:posOffset>
                      </wp:positionH>
                      <wp:positionV relativeFrom="paragraph">
                        <wp:posOffset>91882</wp:posOffset>
                      </wp:positionV>
                      <wp:extent cx="1371600" cy="6350"/>
                      <wp:effectExtent l="0" t="0" r="0" b="0"/>
                      <wp:wrapNone/>
                      <wp:docPr id="802"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803" name="Graphic 803"/>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D9283AF" id="Group 802" o:spid="_x0000_s1026" style="position:absolute;margin-left:555.3pt;margin-top:7.25pt;width:108pt;height:.5pt;z-index:-27148288;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">
                      <v:shape id="Graphic 803"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" path="m1371600,l,,,6108r1371600,l1371600,xe" fillcolor="black" stroked="f">
                        <v:path arrowok="t"/>
                      </v:shape>
                    </v:group>
                  </w:pict>
                </mc:Fallback>
              </mc:AlternateContent>
            </w:r>
            <w:r>
              <w:rPr>
                <w:b/>
                <w:noProof/>
                <w:sz w:val="24"/>
              </w:rPr>
              <mc:AlternateContent>
                <mc:Choice Requires="wpg">
                  <w:drawing>
                    <wp:anchor distT="0" distB="0" distL="0" distR="0" simplePos="0" relativeHeight="476169216" behindDoc="1" locked="0" layoutInCell="1" allowOverlap="1" wp14:anchorId="0DFDD6D1" wp14:editId="0DFDD6D2">
                      <wp:simplePos x="0" y="0"/>
                      <wp:positionH relativeFrom="column">
                        <wp:posOffset>7052309</wp:posOffset>
                      </wp:positionH>
                      <wp:positionV relativeFrom="paragraph">
                        <wp:posOffset>441640</wp:posOffset>
                      </wp:positionV>
                      <wp:extent cx="1371600" cy="6350"/>
                      <wp:effectExtent l="0" t="0" r="0" b="0"/>
                      <wp:wrapNone/>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6350"/>
                                <a:chOff x="0" y="0"/>
                                <a:chExt cx="1371600" cy="6350"/>
                              </a:xfrm>
                            </wpg:grpSpPr>
                            <wps:wsp>
                              <wps:cNvPr id="805" name="Graphic 805"/>
                              <wps:cNvSpPr/>
                              <wps:spPr>
                                <a:xfrm>
                                  <a:off x="0" y="0"/>
                                  <a:ext cx="1371600" cy="6350"/>
                                </a:xfrm>
                                <a:custGeom>
                                  <a:avLst/>
                                  <a:gdLst/>
                                  <a:ahLst/>
                                  <a:cxnLst/>
                                  <a:rect l="l" t="t" r="r" b="b"/>
                                  <a:pathLst>
                                    <a:path w="1371600" h="6350">
                                      <a:moveTo>
                                        <a:pt x="1371600" y="0"/>
                                      </a:moveTo>
                                      <a:lnTo>
                                        <a:pt x="0" y="0"/>
                                      </a:lnTo>
                                      <a:lnTo>
                                        <a:pt x="0" y="6108"/>
                                      </a:lnTo>
                                      <a:lnTo>
                                        <a:pt x="1371600" y="6108"/>
                                      </a:lnTo>
                                      <a:lnTo>
                                        <a:pt x="137160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CDC835" id="Group 804" o:spid="_x0000_s1026" style="position:absolute;margin-left:555.3pt;margin-top:34.75pt;width:108pt;height:.5pt;z-index:-27147264;mso-wrap-distance-left:0;mso-wrap-distance-right:0" coordsize="137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">
                      <v:shape id="Graphic 805" o:spid="_x0000_s1027" style="position:absolute;width:13716;height:63;visibility:visible;mso-wrap-style:square;v-text-anchor:top" coordsize="13716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" path="m1371600,l,,,6108r1371600,l1371600,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D60" w14:textId="77777777" w:rsidR="00046465" w:rsidRDefault="008134EB">
            <w:pPr>
              <w:pStyle w:val="TableParagraph"/>
              <w:tabs>
                <w:tab w:val="left" w:pos="9013"/>
              </w:tabs>
              <w:spacing w:before="10"/>
              <w:ind w:right="1720"/>
              <w:jc w:val="center"/>
            </w:pPr>
            <w:r>
              <w:rPr>
                <w:noProof/>
              </w:rPr>
              <mc:AlternateContent>
                <mc:Choice Requires="wpg">
                  <w:drawing>
                    <wp:anchor distT="0" distB="0" distL="0" distR="0" simplePos="0" relativeHeight="476167680" behindDoc="1" locked="0" layoutInCell="1" allowOverlap="1" wp14:anchorId="0DFDD6D3" wp14:editId="0DFDD6D4">
                      <wp:simplePos x="0" y="0"/>
                      <wp:positionH relativeFrom="column">
                        <wp:posOffset>1274825</wp:posOffset>
                      </wp:positionH>
                      <wp:positionV relativeFrom="paragraph">
                        <wp:posOffset>-91198</wp:posOffset>
                      </wp:positionV>
                      <wp:extent cx="1205865" cy="6350"/>
                      <wp:effectExtent l="0" t="0" r="0" b="0"/>
                      <wp:wrapNone/>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807" name="Graphic 807"/>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5C6E77" id="Group 806" o:spid="_x0000_s1026" style="position:absolute;margin-left:100.4pt;margin-top:-7.2pt;width:94.95pt;height:.5pt;z-index:-27148800;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">
                      <v:shape id="Graphic 807"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" path="m1205484,l,,,6108r1205484,l1205484,xe" fillcolor="black" stroked="f">
                        <v:path arrowok="t"/>
                      </v:shape>
                    </v:group>
                  </w:pict>
                </mc:Fallback>
              </mc:AlternateContent>
            </w:r>
            <w:r>
              <w:rPr>
                <w:noProof/>
              </w:rPr>
              <mc:AlternateContent>
                <mc:Choice Requires="wpg">
                  <w:drawing>
                    <wp:anchor distT="0" distB="0" distL="0" distR="0" simplePos="0" relativeHeight="476168704" behindDoc="1" locked="0" layoutInCell="1" allowOverlap="1" wp14:anchorId="0DFDD6D5" wp14:editId="0DFDD6D6">
                      <wp:simplePos x="0" y="0"/>
                      <wp:positionH relativeFrom="column">
                        <wp:posOffset>1274825</wp:posOffset>
                      </wp:positionH>
                      <wp:positionV relativeFrom="paragraph">
                        <wp:posOffset>258559</wp:posOffset>
                      </wp:positionV>
                      <wp:extent cx="1205865" cy="6350"/>
                      <wp:effectExtent l="0" t="0" r="0" b="0"/>
                      <wp:wrapNone/>
                      <wp:docPr id="808" name="Group 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5865" cy="6350"/>
                                <a:chOff x="0" y="0"/>
                                <a:chExt cx="1205865" cy="6350"/>
                              </a:xfrm>
                            </wpg:grpSpPr>
                            <wps:wsp>
                              <wps:cNvPr id="809" name="Graphic 809"/>
                              <wps:cNvSpPr/>
                              <wps:spPr>
                                <a:xfrm>
                                  <a:off x="0" y="0"/>
                                  <a:ext cx="1205865" cy="6350"/>
                                </a:xfrm>
                                <a:custGeom>
                                  <a:avLst/>
                                  <a:gdLst/>
                                  <a:ahLst/>
                                  <a:cxnLst/>
                                  <a:rect l="l" t="t" r="r" b="b"/>
                                  <a:pathLst>
                                    <a:path w="1205865" h="6350">
                                      <a:moveTo>
                                        <a:pt x="1205484" y="0"/>
                                      </a:moveTo>
                                      <a:lnTo>
                                        <a:pt x="0" y="0"/>
                                      </a:lnTo>
                                      <a:lnTo>
                                        <a:pt x="0" y="6108"/>
                                      </a:lnTo>
                                      <a:lnTo>
                                        <a:pt x="1205484" y="6108"/>
                                      </a:lnTo>
                                      <a:lnTo>
                                        <a:pt x="120548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B004613" id="Group 808" o:spid="_x0000_s1026" style="position:absolute;margin-left:100.4pt;margin-top:20.35pt;width:94.95pt;height:.5pt;z-index:-27147776;mso-wrap-distance-left:0;mso-wrap-distance-right:0" coordsize="1205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">
                      <v:shape id="Graphic 809" o:spid="_x0000_s1027" style="position:absolute;width:12058;height:63;visibility:visible;mso-wrap-style:square;v-text-anchor:top" coordsize="120586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" path="m1205484,l,,,6108r1205484,l1205484,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D6C" w14:textId="77777777">
        <w:trPr>
          <w:trHeight w:val="793"/>
        </w:trPr>
        <w:tc>
          <w:tcPr>
            <w:tcW w:w="3568" w:type="dxa"/>
            <w:tcBorders>
              <w:right w:val="single" w:sz="4" w:space="0" w:color="000000"/>
            </w:tcBorders>
          </w:tcPr>
          <w:p w14:paraId="0DFDBD62" w14:textId="77777777" w:rsidR="00046465" w:rsidRDefault="00046465">
            <w:pPr>
              <w:pStyle w:val="TableParagraph"/>
              <w:spacing w:before="143"/>
            </w:pPr>
          </w:p>
          <w:p w14:paraId="0DFDBD63" w14:textId="77777777" w:rsidR="00046465" w:rsidRDefault="008134EB">
            <w:pPr>
              <w:pStyle w:val="TableParagraph"/>
              <w:ind w:left="97"/>
            </w:pPr>
            <w:r>
              <w:t>Provision</w:t>
            </w:r>
            <w:r>
              <w:rPr>
                <w:spacing w:val="-11"/>
              </w:rPr>
              <w:t xml:space="preserve"> </w:t>
            </w:r>
            <w:r>
              <w:rPr>
                <w:spacing w:val="-2"/>
              </w:rPr>
              <w:t>Description</w:t>
            </w:r>
          </w:p>
        </w:tc>
        <w:tc>
          <w:tcPr>
            <w:tcW w:w="2561" w:type="dxa"/>
            <w:tcBorders>
              <w:left w:val="single" w:sz="4" w:space="0" w:color="000000"/>
              <w:right w:val="single" w:sz="4" w:space="0" w:color="000000"/>
            </w:tcBorders>
          </w:tcPr>
          <w:p w14:paraId="0DFDBD64" w14:textId="77777777" w:rsidR="00046465" w:rsidRDefault="00046465">
            <w:pPr>
              <w:pStyle w:val="TableParagraph"/>
              <w:spacing w:before="143"/>
            </w:pPr>
          </w:p>
          <w:p w14:paraId="0DFDBD65" w14:textId="77777777" w:rsidR="00046465" w:rsidRDefault="008134EB">
            <w:pPr>
              <w:pStyle w:val="TableParagraph"/>
              <w:ind w:left="106"/>
            </w:pPr>
            <w:r>
              <w:rPr>
                <w:spacing w:val="-2"/>
              </w:rPr>
              <w:t>Objective</w:t>
            </w:r>
          </w:p>
        </w:tc>
        <w:tc>
          <w:tcPr>
            <w:tcW w:w="2065" w:type="dxa"/>
            <w:tcBorders>
              <w:left w:val="single" w:sz="4" w:space="0" w:color="000000"/>
              <w:right w:val="single" w:sz="4" w:space="0" w:color="000000"/>
            </w:tcBorders>
          </w:tcPr>
          <w:p w14:paraId="0DFDBD66" w14:textId="77777777" w:rsidR="00046465" w:rsidRDefault="00046465">
            <w:pPr>
              <w:pStyle w:val="TableParagraph"/>
              <w:spacing w:before="143"/>
            </w:pPr>
          </w:p>
          <w:p w14:paraId="0DFDBD67" w14:textId="77777777" w:rsidR="00046465" w:rsidRDefault="008134EB">
            <w:pPr>
              <w:pStyle w:val="TableParagraph"/>
              <w:ind w:left="107"/>
            </w:pPr>
            <w:r>
              <w:t>Control</w:t>
            </w:r>
            <w:r>
              <w:rPr>
                <w:spacing w:val="-9"/>
              </w:rPr>
              <w:t xml:space="preserve"> </w:t>
            </w:r>
            <w:r>
              <w:rPr>
                <w:spacing w:val="-2"/>
              </w:rPr>
              <w:t>Activities</w:t>
            </w:r>
          </w:p>
        </w:tc>
        <w:tc>
          <w:tcPr>
            <w:tcW w:w="1487" w:type="dxa"/>
            <w:tcBorders>
              <w:left w:val="single" w:sz="4" w:space="0" w:color="000000"/>
              <w:right w:val="single" w:sz="4" w:space="0" w:color="000000"/>
            </w:tcBorders>
          </w:tcPr>
          <w:p w14:paraId="0DFDBD68" w14:textId="77777777" w:rsidR="00046465" w:rsidRDefault="00046465">
            <w:pPr>
              <w:pStyle w:val="TableParagraph"/>
              <w:spacing w:before="143"/>
            </w:pPr>
          </w:p>
          <w:p w14:paraId="0DFDBD69" w14:textId="77777777" w:rsidR="00046465" w:rsidRDefault="008134EB">
            <w:pPr>
              <w:pStyle w:val="TableParagraph"/>
              <w:ind w:left="107"/>
            </w:pPr>
            <w:r>
              <w:t>IS</w:t>
            </w:r>
            <w:r>
              <w:rPr>
                <w:spacing w:val="-3"/>
              </w:rPr>
              <w:t xml:space="preserve"> </w:t>
            </w:r>
            <w:r>
              <w:rPr>
                <w:spacing w:val="-2"/>
              </w:rPr>
              <w:t>(Y/N)</w:t>
            </w:r>
          </w:p>
        </w:tc>
        <w:tc>
          <w:tcPr>
            <w:tcW w:w="1583" w:type="dxa"/>
            <w:tcBorders>
              <w:left w:val="single" w:sz="4" w:space="0" w:color="000000"/>
              <w:right w:val="single" w:sz="4" w:space="0" w:color="000000"/>
            </w:tcBorders>
          </w:tcPr>
          <w:p w14:paraId="0DFDBD6A" w14:textId="77777777" w:rsidR="00046465" w:rsidRDefault="008134EB">
            <w:pPr>
              <w:pStyle w:val="TableParagraph"/>
              <w:spacing w:before="143"/>
              <w:ind w:left="107" w:right="15"/>
            </w:pPr>
            <w:r>
              <w:rPr>
                <w:spacing w:val="-2"/>
              </w:rPr>
              <w:t>Effective controls?</w:t>
            </w:r>
          </w:p>
        </w:tc>
        <w:tc>
          <w:tcPr>
            <w:tcW w:w="2129" w:type="dxa"/>
            <w:tcBorders>
              <w:left w:val="single" w:sz="4" w:space="0" w:color="000000"/>
            </w:tcBorders>
          </w:tcPr>
          <w:p w14:paraId="0DFDBD6B" w14:textId="77777777" w:rsidR="00046465" w:rsidRDefault="008134EB">
            <w:pPr>
              <w:pStyle w:val="TableParagraph"/>
              <w:spacing w:before="143"/>
              <w:ind w:left="107"/>
            </w:pPr>
            <w:r>
              <w:t xml:space="preserve">Instances of </w:t>
            </w:r>
            <w:r>
              <w:rPr>
                <w:spacing w:val="-2"/>
              </w:rPr>
              <w:t>noncompliance?</w:t>
            </w:r>
          </w:p>
        </w:tc>
      </w:tr>
      <w:tr w:rsidR="00046465" w14:paraId="0DFDBD78" w14:textId="77777777">
        <w:trPr>
          <w:trHeight w:val="4509"/>
        </w:trPr>
        <w:tc>
          <w:tcPr>
            <w:tcW w:w="3568" w:type="dxa"/>
            <w:tcBorders>
              <w:right w:val="single" w:sz="4" w:space="0" w:color="000000"/>
            </w:tcBorders>
          </w:tcPr>
          <w:p w14:paraId="0DFDBD6D" w14:textId="77777777" w:rsidR="00046465" w:rsidRDefault="008134EB">
            <w:pPr>
              <w:pStyle w:val="TableParagraph"/>
              <w:spacing w:before="143"/>
              <w:ind w:left="817" w:right="586" w:hanging="720"/>
              <w:jc w:val="both"/>
              <w:rPr>
                <w:sz w:val="18"/>
              </w:rPr>
            </w:pPr>
            <w:r>
              <w:rPr>
                <w:smallCaps/>
                <w:sz w:val="18"/>
              </w:rPr>
              <w:t>810.02.</w:t>
            </w:r>
            <w:r>
              <w:rPr>
                <w:smallCaps/>
                <w:spacing w:val="-2"/>
                <w:sz w:val="18"/>
              </w:rPr>
              <w:t xml:space="preserve"> </w:t>
            </w:r>
            <w:r>
              <w:rPr>
                <w:smallCaps/>
                <w:spacing w:val="17"/>
                <w:sz w:val="18"/>
              </w:rPr>
              <w:t xml:space="preserve"> </w:t>
            </w:r>
            <w:r>
              <w:rPr>
                <w:smallCaps/>
                <w:sz w:val="18"/>
              </w:rPr>
              <w:t>Depositing</w:t>
            </w:r>
            <w:r>
              <w:rPr>
                <w:smallCaps/>
                <w:spacing w:val="-3"/>
                <w:sz w:val="18"/>
              </w:rPr>
              <w:t xml:space="preserve"> </w:t>
            </w:r>
            <w:r>
              <w:rPr>
                <w:smallCaps/>
                <w:sz w:val="18"/>
              </w:rPr>
              <w:t>Funds</w:t>
            </w:r>
            <w:r>
              <w:rPr>
                <w:smallCaps/>
                <w:spacing w:val="-3"/>
                <w:sz w:val="18"/>
              </w:rPr>
              <w:t xml:space="preserve"> </w:t>
            </w:r>
            <w:r>
              <w:rPr>
                <w:smallCaps/>
                <w:sz w:val="18"/>
              </w:rPr>
              <w:t>Into</w:t>
            </w:r>
            <w:r>
              <w:rPr>
                <w:smallCaps/>
                <w:spacing w:val="-4"/>
                <w:sz w:val="18"/>
              </w:rPr>
              <w:t xml:space="preserve"> </w:t>
            </w:r>
            <w:r>
              <w:rPr>
                <w:smallCaps/>
                <w:sz w:val="18"/>
              </w:rPr>
              <w:t>the</w:t>
            </w:r>
            <w:r>
              <w:rPr>
                <w:smallCaps/>
                <w:spacing w:val="40"/>
                <w:sz w:val="18"/>
              </w:rPr>
              <w:t xml:space="preserve"> </w:t>
            </w:r>
            <w:r>
              <w:rPr>
                <w:smallCaps/>
                <w:sz w:val="18"/>
              </w:rPr>
              <w:t>Employees’</w:t>
            </w:r>
            <w:r>
              <w:rPr>
                <w:smallCaps/>
                <w:spacing w:val="-10"/>
                <w:sz w:val="18"/>
              </w:rPr>
              <w:t xml:space="preserve"> </w:t>
            </w:r>
            <w:r>
              <w:rPr>
                <w:smallCaps/>
                <w:sz w:val="18"/>
              </w:rPr>
              <w:t>Compensation</w:t>
            </w:r>
            <w:r>
              <w:rPr>
                <w:smallCaps/>
                <w:spacing w:val="40"/>
                <w:sz w:val="18"/>
              </w:rPr>
              <w:t xml:space="preserve"> </w:t>
            </w:r>
            <w:r>
              <w:rPr>
                <w:smallCaps/>
                <w:spacing w:val="-2"/>
                <w:sz w:val="18"/>
              </w:rPr>
              <w:t>Fund.</w:t>
            </w:r>
          </w:p>
          <w:p w14:paraId="0DFDBD6E" w14:textId="77777777" w:rsidR="00046465" w:rsidRDefault="008134EB">
            <w:pPr>
              <w:pStyle w:val="TableParagraph"/>
              <w:spacing w:before="146"/>
              <w:ind w:left="97"/>
              <w:rPr>
                <w:sz w:val="18"/>
              </w:rPr>
            </w:pPr>
            <w:r>
              <w:rPr>
                <w:sz w:val="18"/>
              </w:rPr>
              <w:t>Provision</w:t>
            </w:r>
            <w:r>
              <w:rPr>
                <w:spacing w:val="-10"/>
                <w:sz w:val="18"/>
              </w:rPr>
              <w:t xml:space="preserve"> </w:t>
            </w:r>
            <w:r>
              <w:rPr>
                <w:sz w:val="18"/>
              </w:rPr>
              <w:t>Type:</w:t>
            </w:r>
            <w:r>
              <w:rPr>
                <w:spacing w:val="-9"/>
                <w:sz w:val="18"/>
              </w:rPr>
              <w:t xml:space="preserve"> </w:t>
            </w:r>
            <w:r>
              <w:rPr>
                <w:sz w:val="18"/>
              </w:rPr>
              <w:t>Procedural-</w:t>
            </w:r>
            <w:r>
              <w:rPr>
                <w:spacing w:val="-2"/>
                <w:sz w:val="18"/>
              </w:rPr>
              <w:t>based.</w:t>
            </w:r>
          </w:p>
          <w:p w14:paraId="0DFDBD6F" w14:textId="77777777" w:rsidR="00046465" w:rsidRDefault="008134EB">
            <w:pPr>
              <w:pStyle w:val="TableParagraph"/>
              <w:spacing w:before="142"/>
              <w:ind w:left="97" w:right="98"/>
              <w:rPr>
                <w:sz w:val="18"/>
              </w:rPr>
            </w:pPr>
            <w:r>
              <w:rPr>
                <w:sz w:val="18"/>
              </w:rPr>
              <w:t>Amounts appropriated pursuant to the request</w:t>
            </w:r>
            <w:r>
              <w:rPr>
                <w:spacing w:val="-8"/>
                <w:sz w:val="18"/>
              </w:rPr>
              <w:t xml:space="preserve"> </w:t>
            </w:r>
            <w:r>
              <w:rPr>
                <w:sz w:val="18"/>
              </w:rPr>
              <w:t>(described</w:t>
            </w:r>
            <w:r>
              <w:rPr>
                <w:spacing w:val="-9"/>
                <w:sz w:val="18"/>
              </w:rPr>
              <w:t xml:space="preserve"> </w:t>
            </w:r>
            <w:r>
              <w:rPr>
                <w:sz w:val="18"/>
              </w:rPr>
              <w:t>in</w:t>
            </w:r>
            <w:r>
              <w:rPr>
                <w:spacing w:val="-9"/>
                <w:sz w:val="18"/>
              </w:rPr>
              <w:t xml:space="preserve"> </w:t>
            </w:r>
            <w:r>
              <w:rPr>
                <w:sz w:val="18"/>
              </w:rPr>
              <w:t>810.01</w:t>
            </w:r>
            <w:r>
              <w:rPr>
                <w:spacing w:val="-7"/>
                <w:sz w:val="18"/>
              </w:rPr>
              <w:t xml:space="preserve"> </w:t>
            </w:r>
            <w:r>
              <w:rPr>
                <w:sz w:val="18"/>
              </w:rPr>
              <w:t>above)</w:t>
            </w:r>
            <w:r>
              <w:rPr>
                <w:spacing w:val="-8"/>
                <w:sz w:val="18"/>
              </w:rPr>
              <w:t xml:space="preserve"> </w:t>
            </w:r>
            <w:r>
              <w:rPr>
                <w:sz w:val="18"/>
              </w:rPr>
              <w:t>shall be deposited into the Treasury to the credit of the Fund within 30 days of their availability. 5 U.S.C. § 8147(b). If, however, the entity does not receive annual appropriations and receives a statement showing the costs of amounts paid</w:t>
            </w:r>
            <w:r>
              <w:rPr>
                <w:spacing w:val="-1"/>
                <w:sz w:val="18"/>
              </w:rPr>
              <w:t xml:space="preserve"> </w:t>
            </w:r>
            <w:r>
              <w:rPr>
                <w:sz w:val="18"/>
              </w:rPr>
              <w:t>from the</w:t>
            </w:r>
            <w:r>
              <w:rPr>
                <w:spacing w:val="-1"/>
                <w:sz w:val="18"/>
              </w:rPr>
              <w:t xml:space="preserve"> </w:t>
            </w:r>
            <w:r>
              <w:rPr>
                <w:sz w:val="18"/>
              </w:rPr>
              <w:t>Fund</w:t>
            </w:r>
            <w:r>
              <w:rPr>
                <w:spacing w:val="-1"/>
                <w:sz w:val="18"/>
              </w:rPr>
              <w:t xml:space="preserve"> </w:t>
            </w:r>
            <w:r>
              <w:rPr>
                <w:sz w:val="18"/>
              </w:rPr>
              <w:t>on</w:t>
            </w:r>
            <w:r>
              <w:rPr>
                <w:spacing w:val="-1"/>
                <w:sz w:val="18"/>
              </w:rPr>
              <w:t xml:space="preserve"> </w:t>
            </w:r>
            <w:r>
              <w:rPr>
                <w:sz w:val="18"/>
              </w:rPr>
              <w:t>the</w:t>
            </w:r>
            <w:r>
              <w:rPr>
                <w:spacing w:val="-1"/>
                <w:sz w:val="18"/>
              </w:rPr>
              <w:t xml:space="preserve"> </w:t>
            </w:r>
            <w:r>
              <w:rPr>
                <w:sz w:val="18"/>
              </w:rPr>
              <w:t>entity’s behalf, then the entity shall make the required deposit into the Treasury to the credit of the Fund from funds under its control during</w:t>
            </w:r>
            <w:r>
              <w:rPr>
                <w:spacing w:val="-1"/>
                <w:sz w:val="18"/>
              </w:rPr>
              <w:t xml:space="preserve"> </w:t>
            </w:r>
            <w:r>
              <w:rPr>
                <w:sz w:val="18"/>
              </w:rPr>
              <w:t>the</w:t>
            </w:r>
            <w:r>
              <w:rPr>
                <w:spacing w:val="-1"/>
                <w:sz w:val="18"/>
              </w:rPr>
              <w:t xml:space="preserve"> </w:t>
            </w:r>
            <w:r>
              <w:rPr>
                <w:sz w:val="18"/>
              </w:rPr>
              <w:t>first 15</w:t>
            </w:r>
            <w:r>
              <w:rPr>
                <w:spacing w:val="-1"/>
                <w:sz w:val="18"/>
              </w:rPr>
              <w:t xml:space="preserve"> </w:t>
            </w:r>
            <w:r>
              <w:rPr>
                <w:sz w:val="18"/>
              </w:rPr>
              <w:t>days of October after it receives the Fund cost statement. 5</w:t>
            </w:r>
          </w:p>
          <w:p w14:paraId="0DFDBD70" w14:textId="77777777" w:rsidR="00046465" w:rsidRDefault="008134EB">
            <w:pPr>
              <w:pStyle w:val="TableParagraph"/>
              <w:spacing w:before="2"/>
              <w:ind w:left="97"/>
              <w:rPr>
                <w:sz w:val="18"/>
              </w:rPr>
            </w:pPr>
            <w:r>
              <w:rPr>
                <w:sz w:val="18"/>
              </w:rPr>
              <w:t>U.S.C.</w:t>
            </w:r>
            <w:r>
              <w:rPr>
                <w:spacing w:val="-2"/>
                <w:sz w:val="18"/>
              </w:rPr>
              <w:t xml:space="preserve"> </w:t>
            </w:r>
            <w:r>
              <w:rPr>
                <w:sz w:val="18"/>
              </w:rPr>
              <w:t>§</w:t>
            </w:r>
            <w:r>
              <w:rPr>
                <w:spacing w:val="-2"/>
                <w:sz w:val="18"/>
              </w:rPr>
              <w:t xml:space="preserve"> 8147(b).</w:t>
            </w:r>
          </w:p>
        </w:tc>
        <w:tc>
          <w:tcPr>
            <w:tcW w:w="2561" w:type="dxa"/>
            <w:tcBorders>
              <w:left w:val="single" w:sz="4" w:space="0" w:color="000000"/>
              <w:right w:val="single" w:sz="4" w:space="0" w:color="000000"/>
            </w:tcBorders>
          </w:tcPr>
          <w:p w14:paraId="0DFDBD71" w14:textId="77777777" w:rsidR="00046465" w:rsidRDefault="008134EB">
            <w:pPr>
              <w:pStyle w:val="TableParagraph"/>
              <w:spacing w:before="143"/>
              <w:ind w:left="466" w:right="73" w:hanging="361"/>
              <w:rPr>
                <w:sz w:val="18"/>
              </w:rPr>
            </w:pPr>
            <w:r>
              <w:rPr>
                <w:sz w:val="18"/>
              </w:rPr>
              <w:t>2a.</w:t>
            </w:r>
            <w:r>
              <w:rPr>
                <w:spacing w:val="40"/>
                <w:sz w:val="18"/>
              </w:rPr>
              <w:t xml:space="preserve"> </w:t>
            </w:r>
            <w:r>
              <w:rPr>
                <w:sz w:val="18"/>
              </w:rPr>
              <w:t>For an entity funded by annual appropriations, the appropriations received</w:t>
            </w:r>
            <w:r>
              <w:rPr>
                <w:spacing w:val="-5"/>
                <w:sz w:val="18"/>
              </w:rPr>
              <w:t xml:space="preserve"> </w:t>
            </w:r>
            <w:r>
              <w:rPr>
                <w:sz w:val="18"/>
              </w:rPr>
              <w:t>for</w:t>
            </w:r>
            <w:r>
              <w:rPr>
                <w:spacing w:val="-5"/>
                <w:sz w:val="18"/>
              </w:rPr>
              <w:t xml:space="preserve"> </w:t>
            </w:r>
            <w:r>
              <w:rPr>
                <w:sz w:val="18"/>
              </w:rPr>
              <w:t>the</w:t>
            </w:r>
            <w:r>
              <w:rPr>
                <w:spacing w:val="-5"/>
                <w:sz w:val="18"/>
              </w:rPr>
              <w:t xml:space="preserve"> </w:t>
            </w:r>
            <w:r>
              <w:rPr>
                <w:sz w:val="18"/>
              </w:rPr>
              <w:t>costs</w:t>
            </w:r>
            <w:r>
              <w:rPr>
                <w:spacing w:val="-5"/>
                <w:sz w:val="18"/>
              </w:rPr>
              <w:t xml:space="preserve"> </w:t>
            </w:r>
            <w:r>
              <w:rPr>
                <w:sz w:val="18"/>
              </w:rPr>
              <w:t>of amounts paid out of the Fund on behalf of the entity</w:t>
            </w:r>
            <w:r>
              <w:rPr>
                <w:spacing w:val="-9"/>
                <w:sz w:val="18"/>
              </w:rPr>
              <w:t xml:space="preserve"> </w:t>
            </w:r>
            <w:r>
              <w:rPr>
                <w:sz w:val="18"/>
              </w:rPr>
              <w:t>are</w:t>
            </w:r>
            <w:r>
              <w:rPr>
                <w:spacing w:val="-10"/>
                <w:sz w:val="18"/>
              </w:rPr>
              <w:t xml:space="preserve"> </w:t>
            </w:r>
            <w:r>
              <w:rPr>
                <w:sz w:val="18"/>
              </w:rPr>
              <w:t>credited</w:t>
            </w:r>
            <w:r>
              <w:rPr>
                <w:spacing w:val="-10"/>
                <w:sz w:val="18"/>
              </w:rPr>
              <w:t xml:space="preserve"> </w:t>
            </w:r>
            <w:r>
              <w:rPr>
                <w:sz w:val="18"/>
              </w:rPr>
              <w:t>to</w:t>
            </w:r>
            <w:r>
              <w:rPr>
                <w:spacing w:val="-10"/>
                <w:sz w:val="18"/>
              </w:rPr>
              <w:t xml:space="preserve"> </w:t>
            </w:r>
            <w:r>
              <w:rPr>
                <w:sz w:val="18"/>
              </w:rPr>
              <w:t>the Fund within 30 days of their availability.</w:t>
            </w:r>
          </w:p>
          <w:p w14:paraId="0DFDBD72" w14:textId="77777777" w:rsidR="00046465" w:rsidRDefault="008134EB">
            <w:pPr>
              <w:pStyle w:val="TableParagraph"/>
              <w:spacing w:before="145"/>
              <w:ind w:left="466" w:right="112" w:hanging="361"/>
              <w:rPr>
                <w:sz w:val="18"/>
              </w:rPr>
            </w:pPr>
            <w:r>
              <w:rPr>
                <w:sz w:val="18"/>
              </w:rPr>
              <w:t>2b.</w:t>
            </w:r>
            <w:r>
              <w:rPr>
                <w:spacing w:val="40"/>
                <w:sz w:val="18"/>
              </w:rPr>
              <w:t xml:space="preserve"> </w:t>
            </w:r>
            <w:r>
              <w:rPr>
                <w:sz w:val="18"/>
              </w:rPr>
              <w:t>For an entity not funded by annual appropriations,</w:t>
            </w:r>
            <w:r>
              <w:rPr>
                <w:spacing w:val="-15"/>
                <w:sz w:val="18"/>
              </w:rPr>
              <w:t xml:space="preserve"> </w:t>
            </w:r>
            <w:r>
              <w:rPr>
                <w:sz w:val="18"/>
              </w:rPr>
              <w:t>the</w:t>
            </w:r>
            <w:r>
              <w:rPr>
                <w:spacing w:val="-12"/>
                <w:sz w:val="18"/>
              </w:rPr>
              <w:t xml:space="preserve"> </w:t>
            </w:r>
            <w:r>
              <w:rPr>
                <w:sz w:val="18"/>
              </w:rPr>
              <w:t>entity makes the required deposit to the credit of the Fund during the first 15</w:t>
            </w:r>
            <w:r>
              <w:rPr>
                <w:spacing w:val="-1"/>
                <w:sz w:val="18"/>
              </w:rPr>
              <w:t xml:space="preserve"> </w:t>
            </w:r>
            <w:r>
              <w:rPr>
                <w:sz w:val="18"/>
              </w:rPr>
              <w:t>days of October after it</w:t>
            </w:r>
            <w:r>
              <w:rPr>
                <w:spacing w:val="-5"/>
                <w:sz w:val="18"/>
              </w:rPr>
              <w:t xml:space="preserve"> </w:t>
            </w:r>
            <w:r>
              <w:rPr>
                <w:sz w:val="18"/>
              </w:rPr>
              <w:t>receives</w:t>
            </w:r>
            <w:r>
              <w:rPr>
                <w:spacing w:val="-5"/>
                <w:sz w:val="18"/>
              </w:rPr>
              <w:t xml:space="preserve"> </w:t>
            </w:r>
            <w:r>
              <w:rPr>
                <w:sz w:val="18"/>
              </w:rPr>
              <w:t>the</w:t>
            </w:r>
            <w:r>
              <w:rPr>
                <w:spacing w:val="-4"/>
                <w:sz w:val="18"/>
              </w:rPr>
              <w:t xml:space="preserve"> </w:t>
            </w:r>
            <w:r>
              <w:rPr>
                <w:sz w:val="18"/>
              </w:rPr>
              <w:t>Fund</w:t>
            </w:r>
            <w:r>
              <w:rPr>
                <w:spacing w:val="-6"/>
                <w:sz w:val="18"/>
              </w:rPr>
              <w:t xml:space="preserve"> </w:t>
            </w:r>
            <w:r>
              <w:rPr>
                <w:sz w:val="18"/>
              </w:rPr>
              <w:t xml:space="preserve">cost </w:t>
            </w:r>
            <w:r>
              <w:rPr>
                <w:spacing w:val="-2"/>
                <w:sz w:val="18"/>
              </w:rPr>
              <w:t>statement.</w:t>
            </w:r>
          </w:p>
        </w:tc>
        <w:tc>
          <w:tcPr>
            <w:tcW w:w="2065" w:type="dxa"/>
            <w:tcBorders>
              <w:left w:val="single" w:sz="4" w:space="0" w:color="000000"/>
              <w:right w:val="single" w:sz="4" w:space="0" w:color="000000"/>
            </w:tcBorders>
          </w:tcPr>
          <w:p w14:paraId="0DFDBD73" w14:textId="77777777" w:rsidR="00046465" w:rsidRDefault="00046465">
            <w:pPr>
              <w:pStyle w:val="TableParagraph"/>
              <w:rPr>
                <w:rFonts w:ascii="Times New Roman"/>
                <w:sz w:val="18"/>
              </w:rPr>
            </w:pPr>
          </w:p>
        </w:tc>
        <w:tc>
          <w:tcPr>
            <w:tcW w:w="1487" w:type="dxa"/>
            <w:tcBorders>
              <w:left w:val="single" w:sz="4" w:space="0" w:color="000000"/>
              <w:right w:val="single" w:sz="4" w:space="0" w:color="000000"/>
            </w:tcBorders>
          </w:tcPr>
          <w:p w14:paraId="0DFDBD74" w14:textId="77777777" w:rsidR="00046465" w:rsidRDefault="00046465">
            <w:pPr>
              <w:pStyle w:val="TableParagraph"/>
              <w:rPr>
                <w:rFonts w:ascii="Times New Roman"/>
                <w:sz w:val="18"/>
              </w:rPr>
            </w:pPr>
          </w:p>
        </w:tc>
        <w:tc>
          <w:tcPr>
            <w:tcW w:w="1583" w:type="dxa"/>
            <w:tcBorders>
              <w:left w:val="single" w:sz="4" w:space="0" w:color="000000"/>
              <w:right w:val="single" w:sz="4" w:space="0" w:color="000000"/>
            </w:tcBorders>
          </w:tcPr>
          <w:p w14:paraId="0DFDBD75" w14:textId="77777777" w:rsidR="00046465" w:rsidRDefault="00046465">
            <w:pPr>
              <w:pStyle w:val="TableParagraph"/>
              <w:rPr>
                <w:rFonts w:ascii="Times New Roman"/>
                <w:sz w:val="18"/>
              </w:rPr>
            </w:pPr>
          </w:p>
        </w:tc>
        <w:tc>
          <w:tcPr>
            <w:tcW w:w="2129" w:type="dxa"/>
            <w:tcBorders>
              <w:left w:val="single" w:sz="4" w:space="0" w:color="000000"/>
            </w:tcBorders>
          </w:tcPr>
          <w:p w14:paraId="0DFDBD76" w14:textId="77777777" w:rsidR="00046465" w:rsidRDefault="008134EB">
            <w:pPr>
              <w:pStyle w:val="TableParagraph"/>
              <w:spacing w:before="143"/>
              <w:ind w:left="107"/>
              <w:rPr>
                <w:sz w:val="18"/>
              </w:rPr>
            </w:pPr>
            <w:r>
              <w:rPr>
                <w:sz w:val="18"/>
              </w:rPr>
              <w:t>See</w:t>
            </w:r>
            <w:r>
              <w:rPr>
                <w:spacing w:val="-15"/>
                <w:sz w:val="18"/>
              </w:rPr>
              <w:t xml:space="preserve"> </w:t>
            </w:r>
            <w:r>
              <w:rPr>
                <w:sz w:val="18"/>
              </w:rPr>
              <w:t>Compliance</w:t>
            </w:r>
            <w:r>
              <w:rPr>
                <w:spacing w:val="-12"/>
                <w:sz w:val="18"/>
              </w:rPr>
              <w:t xml:space="preserve"> </w:t>
            </w:r>
            <w:r>
              <w:rPr>
                <w:sz w:val="18"/>
              </w:rPr>
              <w:t>Audit Procedures,</w:t>
            </w:r>
            <w:r>
              <w:rPr>
                <w:spacing w:val="-4"/>
                <w:sz w:val="18"/>
              </w:rPr>
              <w:t xml:space="preserve"> </w:t>
            </w:r>
            <w:r>
              <w:rPr>
                <w:sz w:val="18"/>
              </w:rPr>
              <w:t>FAM</w:t>
            </w:r>
            <w:r>
              <w:rPr>
                <w:spacing w:val="-3"/>
                <w:sz w:val="18"/>
              </w:rPr>
              <w:t xml:space="preserve"> </w:t>
            </w:r>
            <w:r>
              <w:rPr>
                <w:spacing w:val="-5"/>
                <w:sz w:val="18"/>
              </w:rPr>
              <w:t>810</w:t>
            </w:r>
          </w:p>
          <w:p w14:paraId="0DFDBD77" w14:textId="77777777" w:rsidR="00046465" w:rsidRDefault="008134EB">
            <w:pPr>
              <w:pStyle w:val="TableParagraph"/>
              <w:spacing w:before="1"/>
              <w:ind w:left="107"/>
              <w:rPr>
                <w:sz w:val="18"/>
              </w:rPr>
            </w:pPr>
            <w:r>
              <w:rPr>
                <w:sz w:val="18"/>
              </w:rPr>
              <w:t>step</w:t>
            </w:r>
            <w:r>
              <w:rPr>
                <w:spacing w:val="-2"/>
                <w:sz w:val="18"/>
              </w:rPr>
              <w:t xml:space="preserve"> </w:t>
            </w:r>
            <w:r>
              <w:rPr>
                <w:spacing w:val="-5"/>
                <w:sz w:val="18"/>
              </w:rPr>
              <w:t>1.</w:t>
            </w:r>
          </w:p>
        </w:tc>
      </w:tr>
    </w:tbl>
    <w:p w14:paraId="0DFDBD79" w14:textId="77777777" w:rsidR="00046465" w:rsidRDefault="00046465">
      <w:pPr>
        <w:pStyle w:val="BodyText"/>
        <w:rPr>
          <w:sz w:val="20"/>
        </w:rPr>
      </w:pPr>
    </w:p>
    <w:p w14:paraId="0DFDBD7A" w14:textId="77777777" w:rsidR="00046465" w:rsidRDefault="00046465">
      <w:pPr>
        <w:pStyle w:val="BodyText"/>
        <w:rPr>
          <w:sz w:val="20"/>
        </w:rPr>
      </w:pPr>
    </w:p>
    <w:p w14:paraId="0DFDBD7B" w14:textId="77777777" w:rsidR="00046465" w:rsidRDefault="00046465">
      <w:pPr>
        <w:pStyle w:val="BodyText"/>
        <w:rPr>
          <w:sz w:val="20"/>
        </w:rPr>
      </w:pPr>
    </w:p>
    <w:p w14:paraId="0DFDBD7C" w14:textId="77777777" w:rsidR="00046465" w:rsidRDefault="00046465">
      <w:pPr>
        <w:pStyle w:val="BodyText"/>
        <w:rPr>
          <w:sz w:val="20"/>
        </w:rPr>
      </w:pPr>
    </w:p>
    <w:p w14:paraId="0DFDBD7D" w14:textId="77777777" w:rsidR="00046465" w:rsidRDefault="00046465">
      <w:pPr>
        <w:pStyle w:val="BodyText"/>
        <w:rPr>
          <w:sz w:val="20"/>
        </w:rPr>
      </w:pPr>
    </w:p>
    <w:p w14:paraId="0DFDBD7E" w14:textId="77777777" w:rsidR="00046465" w:rsidRDefault="008134EB">
      <w:pPr>
        <w:pStyle w:val="BodyText"/>
        <w:spacing w:before="68"/>
        <w:rPr>
          <w:sz w:val="20"/>
        </w:rPr>
      </w:pPr>
      <w:r>
        <w:rPr>
          <w:noProof/>
          <w:sz w:val="20"/>
        </w:rPr>
        <mc:AlternateContent>
          <mc:Choice Requires="wps">
            <w:drawing>
              <wp:anchor distT="0" distB="0" distL="0" distR="0" simplePos="0" relativeHeight="487701504" behindDoc="1" locked="0" layoutInCell="1" allowOverlap="1" wp14:anchorId="0DFDD6D7" wp14:editId="0DFDD6D8">
                <wp:simplePos x="0" y="0"/>
                <wp:positionH relativeFrom="page">
                  <wp:posOffset>685800</wp:posOffset>
                </wp:positionH>
                <wp:positionV relativeFrom="paragraph">
                  <wp:posOffset>204792</wp:posOffset>
                </wp:positionV>
                <wp:extent cx="1828800" cy="6985"/>
                <wp:effectExtent l="0" t="0" r="0" b="0"/>
                <wp:wrapTopAndBottom/>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E44B67" id="Graphic 810" o:spid="_x0000_s1026" style="position:absolute;margin-left:54pt;margin-top:16.15pt;width:2in;height:.55pt;z-index:-1561497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" path="m1828800,l,,,6858r1828800,l1828800,xe" fillcolor="black" stroked="f">
                <v:path arrowok="t"/>
                <w10:wrap type="topAndBottom" anchorx="page"/>
              </v:shape>
            </w:pict>
          </mc:Fallback>
        </mc:AlternateContent>
      </w:r>
    </w:p>
    <w:p w14:paraId="0DFDBD7F" w14:textId="77777777" w:rsidR="00046465" w:rsidRDefault="00046465">
      <w:pPr>
        <w:pStyle w:val="BodyText"/>
        <w:spacing w:before="10"/>
        <w:rPr>
          <w:sz w:val="18"/>
        </w:rPr>
      </w:pPr>
    </w:p>
    <w:p w14:paraId="0DFDBD80" w14:textId="77777777" w:rsidR="00046465" w:rsidRDefault="008134EB">
      <w:pPr>
        <w:spacing w:line="244" w:lineRule="auto"/>
        <w:ind w:left="359"/>
        <w:rPr>
          <w:sz w:val="18"/>
        </w:rPr>
      </w:pPr>
      <w:r>
        <w:rPr>
          <w:position w:val="7"/>
          <w:sz w:val="14"/>
        </w:rPr>
        <w:t>61</w:t>
      </w:r>
      <w:r>
        <w:rPr>
          <w:sz w:val="18"/>
        </w:rPr>
        <w:t>By</w:t>
      </w:r>
      <w:r>
        <w:rPr>
          <w:spacing w:val="-2"/>
          <w:sz w:val="18"/>
        </w:rPr>
        <w:t xml:space="preserve"> </w:t>
      </w:r>
      <w:r>
        <w:rPr>
          <w:sz w:val="18"/>
        </w:rPr>
        <w:t>August</w:t>
      </w:r>
      <w:r>
        <w:rPr>
          <w:spacing w:val="-2"/>
          <w:sz w:val="18"/>
        </w:rPr>
        <w:t xml:space="preserve"> </w:t>
      </w:r>
      <w:r>
        <w:rPr>
          <w:sz w:val="18"/>
        </w:rPr>
        <w:t>15</w:t>
      </w:r>
      <w:r>
        <w:rPr>
          <w:spacing w:val="-3"/>
          <w:sz w:val="18"/>
        </w:rPr>
        <w:t xml:space="preserve"> </w:t>
      </w:r>
      <w:r>
        <w:rPr>
          <w:sz w:val="18"/>
        </w:rPr>
        <w:t>of</w:t>
      </w:r>
      <w:r>
        <w:rPr>
          <w:spacing w:val="-2"/>
          <w:sz w:val="18"/>
        </w:rPr>
        <w:t xml:space="preserve"> </w:t>
      </w:r>
      <w:r>
        <w:rPr>
          <w:sz w:val="18"/>
        </w:rPr>
        <w:t>each</w:t>
      </w:r>
      <w:r>
        <w:rPr>
          <w:spacing w:val="-3"/>
          <w:sz w:val="18"/>
        </w:rPr>
        <w:t xml:space="preserve"> </w:t>
      </w:r>
      <w:r>
        <w:rPr>
          <w:sz w:val="18"/>
        </w:rPr>
        <w:t>year,</w:t>
      </w:r>
      <w:r>
        <w:rPr>
          <w:spacing w:val="-2"/>
          <w:sz w:val="18"/>
        </w:rPr>
        <w:t xml:space="preserve"> </w:t>
      </w:r>
      <w:r>
        <w:rPr>
          <w:sz w:val="18"/>
        </w:rPr>
        <w:t>the</w:t>
      </w:r>
      <w:r>
        <w:rPr>
          <w:spacing w:val="-3"/>
          <w:sz w:val="18"/>
        </w:rPr>
        <w:t xml:space="preserve"> </w:t>
      </w:r>
      <w:r>
        <w:rPr>
          <w:sz w:val="18"/>
        </w:rPr>
        <w:t>Secretary</w:t>
      </w:r>
      <w:r>
        <w:rPr>
          <w:spacing w:val="-2"/>
          <w:sz w:val="18"/>
        </w:rPr>
        <w:t xml:space="preserve"> </w:t>
      </w:r>
      <w:r>
        <w:rPr>
          <w:sz w:val="18"/>
        </w:rPr>
        <w:t>of</w:t>
      </w:r>
      <w:r>
        <w:rPr>
          <w:spacing w:val="-2"/>
          <w:sz w:val="18"/>
        </w:rPr>
        <w:t xml:space="preserve"> </w:t>
      </w:r>
      <w:r>
        <w:rPr>
          <w:sz w:val="18"/>
        </w:rPr>
        <w:t>Labor</w:t>
      </w:r>
      <w:r>
        <w:rPr>
          <w:spacing w:val="-2"/>
          <w:sz w:val="18"/>
        </w:rPr>
        <w:t xml:space="preserve"> </w:t>
      </w:r>
      <w:r>
        <w:rPr>
          <w:sz w:val="18"/>
        </w:rPr>
        <w:t>is</w:t>
      </w:r>
      <w:r>
        <w:rPr>
          <w:spacing w:val="-2"/>
          <w:sz w:val="18"/>
        </w:rPr>
        <w:t xml:space="preserve"> </w:t>
      </w:r>
      <w:r>
        <w:rPr>
          <w:sz w:val="18"/>
        </w:rPr>
        <w:t>required</w:t>
      </w:r>
      <w:r>
        <w:rPr>
          <w:spacing w:val="-3"/>
          <w:sz w:val="18"/>
        </w:rPr>
        <w:t xml:space="preserve"> </w:t>
      </w:r>
      <w:r>
        <w:rPr>
          <w:sz w:val="18"/>
        </w:rPr>
        <w:t>to</w:t>
      </w:r>
      <w:r>
        <w:rPr>
          <w:spacing w:val="-3"/>
          <w:sz w:val="18"/>
        </w:rPr>
        <w:t xml:space="preserve"> </w:t>
      </w:r>
      <w:r>
        <w:rPr>
          <w:sz w:val="18"/>
        </w:rPr>
        <w:t>provide</w:t>
      </w:r>
      <w:r>
        <w:rPr>
          <w:spacing w:val="-3"/>
          <w:sz w:val="18"/>
        </w:rPr>
        <w:t xml:space="preserve"> </w:t>
      </w:r>
      <w:r>
        <w:rPr>
          <w:sz w:val="18"/>
        </w:rPr>
        <w:t>the</w:t>
      </w:r>
      <w:r>
        <w:rPr>
          <w:spacing w:val="-3"/>
          <w:sz w:val="18"/>
        </w:rPr>
        <w:t xml:space="preserve"> </w:t>
      </w:r>
      <w:r>
        <w:rPr>
          <w:sz w:val="18"/>
        </w:rPr>
        <w:t>entity</w:t>
      </w:r>
      <w:r>
        <w:rPr>
          <w:spacing w:val="-2"/>
          <w:sz w:val="18"/>
        </w:rPr>
        <w:t xml:space="preserve"> </w:t>
      </w:r>
      <w:r>
        <w:rPr>
          <w:sz w:val="18"/>
        </w:rPr>
        <w:t>a</w:t>
      </w:r>
      <w:r>
        <w:rPr>
          <w:spacing w:val="-3"/>
          <w:sz w:val="18"/>
        </w:rPr>
        <w:t xml:space="preserve"> </w:t>
      </w:r>
      <w:r>
        <w:rPr>
          <w:sz w:val="18"/>
        </w:rPr>
        <w:t>statement</w:t>
      </w:r>
      <w:r>
        <w:rPr>
          <w:spacing w:val="-2"/>
          <w:sz w:val="18"/>
        </w:rPr>
        <w:t xml:space="preserve"> </w:t>
      </w:r>
      <w:r>
        <w:rPr>
          <w:sz w:val="18"/>
        </w:rPr>
        <w:t>showing</w:t>
      </w:r>
      <w:r>
        <w:rPr>
          <w:spacing w:val="-1"/>
          <w:sz w:val="18"/>
        </w:rPr>
        <w:t xml:space="preserve"> </w:t>
      </w:r>
      <w:r>
        <w:rPr>
          <w:sz w:val="18"/>
        </w:rPr>
        <w:t>the</w:t>
      </w:r>
      <w:r>
        <w:rPr>
          <w:spacing w:val="-3"/>
          <w:sz w:val="18"/>
        </w:rPr>
        <w:t xml:space="preserve"> </w:t>
      </w:r>
      <w:r>
        <w:rPr>
          <w:sz w:val="18"/>
        </w:rPr>
        <w:t>total</w:t>
      </w:r>
      <w:r>
        <w:rPr>
          <w:spacing w:val="-2"/>
          <w:sz w:val="18"/>
        </w:rPr>
        <w:t xml:space="preserve"> </w:t>
      </w:r>
      <w:r>
        <w:rPr>
          <w:sz w:val="18"/>
        </w:rPr>
        <w:t>cost</w:t>
      </w:r>
      <w:r>
        <w:rPr>
          <w:spacing w:val="-2"/>
          <w:sz w:val="18"/>
        </w:rPr>
        <w:t xml:space="preserve"> </w:t>
      </w:r>
      <w:r>
        <w:rPr>
          <w:sz w:val="18"/>
        </w:rPr>
        <w:t>of</w:t>
      </w:r>
      <w:r>
        <w:rPr>
          <w:spacing w:val="-2"/>
          <w:sz w:val="18"/>
        </w:rPr>
        <w:t xml:space="preserve"> </w:t>
      </w:r>
      <w:r>
        <w:rPr>
          <w:sz w:val="18"/>
        </w:rPr>
        <w:t>benefits</w:t>
      </w:r>
      <w:r>
        <w:rPr>
          <w:spacing w:val="-2"/>
          <w:sz w:val="18"/>
        </w:rPr>
        <w:t xml:space="preserve"> </w:t>
      </w:r>
      <w:r>
        <w:rPr>
          <w:sz w:val="18"/>
        </w:rPr>
        <w:t>and</w:t>
      </w:r>
      <w:r>
        <w:rPr>
          <w:spacing w:val="-3"/>
          <w:sz w:val="18"/>
        </w:rPr>
        <w:t xml:space="preserve"> </w:t>
      </w:r>
      <w:r>
        <w:rPr>
          <w:sz w:val="18"/>
        </w:rPr>
        <w:t>other</w:t>
      </w:r>
      <w:r>
        <w:rPr>
          <w:spacing w:val="-2"/>
          <w:sz w:val="18"/>
        </w:rPr>
        <w:t xml:space="preserve"> </w:t>
      </w:r>
      <w:r>
        <w:rPr>
          <w:sz w:val="18"/>
        </w:rPr>
        <w:t>payments</w:t>
      </w:r>
      <w:r>
        <w:rPr>
          <w:spacing w:val="-2"/>
          <w:sz w:val="18"/>
        </w:rPr>
        <w:t xml:space="preserve"> </w:t>
      </w:r>
      <w:r>
        <w:rPr>
          <w:sz w:val="18"/>
        </w:rPr>
        <w:t>made</w:t>
      </w:r>
      <w:r>
        <w:rPr>
          <w:spacing w:val="-3"/>
          <w:sz w:val="18"/>
        </w:rPr>
        <w:t xml:space="preserve"> </w:t>
      </w:r>
      <w:r>
        <w:rPr>
          <w:sz w:val="18"/>
        </w:rPr>
        <w:t>from</w:t>
      </w:r>
      <w:r>
        <w:rPr>
          <w:spacing w:val="-2"/>
          <w:sz w:val="18"/>
        </w:rPr>
        <w:t xml:space="preserve"> </w:t>
      </w:r>
      <w:r>
        <w:rPr>
          <w:sz w:val="18"/>
        </w:rPr>
        <w:t>the Employees’ Compensation Fund during the preceding July 1 through June 30 expense period on account of the injury or death of employees or individuals under the jurisdiction of the entity. 5 U.S.C. § 8147(b).</w:t>
      </w:r>
    </w:p>
    <w:p w14:paraId="0DFDBD81" w14:textId="77777777" w:rsidR="00046465" w:rsidRDefault="00046465">
      <w:pPr>
        <w:spacing w:line="244" w:lineRule="auto"/>
        <w:rPr>
          <w:sz w:val="18"/>
        </w:rPr>
        <w:sectPr w:rsidR="00046465">
          <w:pgSz w:w="15840" w:h="12240" w:orient="landscape"/>
          <w:pgMar w:top="1380" w:right="1080" w:bottom="940" w:left="720" w:header="721" w:footer="742" w:gutter="0"/>
          <w:cols w:space="720"/>
        </w:sectPr>
      </w:pPr>
    </w:p>
    <w:p w14:paraId="0DFDBD82" w14:textId="77777777" w:rsidR="00046465" w:rsidRDefault="008134EB">
      <w:pPr>
        <w:pStyle w:val="BodyText"/>
        <w:spacing w:before="82"/>
        <w:ind w:left="360" w:right="372"/>
      </w:pPr>
      <w:r>
        <w:lastRenderedPageBreak/>
        <w:t>Note: The auditor generally should perform these procedures or prepare equivalent documentation only if provisions of the Federal Employees’ Compensation Act (FECA), as provided</w:t>
      </w:r>
      <w:r>
        <w:rPr>
          <w:spacing w:val="-3"/>
        </w:rPr>
        <w:t xml:space="preserve"> </w:t>
      </w:r>
      <w:r>
        <w:t>in</w:t>
      </w:r>
      <w:r>
        <w:rPr>
          <w:spacing w:val="-4"/>
        </w:rPr>
        <w:t xml:space="preserve"> </w:t>
      </w:r>
      <w:r>
        <w:t>5</w:t>
      </w:r>
      <w:r>
        <w:rPr>
          <w:spacing w:val="-3"/>
        </w:rPr>
        <w:t xml:space="preserve"> </w:t>
      </w:r>
      <w:r>
        <w:t>U.S.C.</w:t>
      </w:r>
      <w:r>
        <w:rPr>
          <w:spacing w:val="-3"/>
        </w:rPr>
        <w:t xml:space="preserve"> </w:t>
      </w:r>
      <w:r>
        <w:t>chapter</w:t>
      </w:r>
      <w:r>
        <w:rPr>
          <w:spacing w:val="-3"/>
        </w:rPr>
        <w:t xml:space="preserve"> </w:t>
      </w:r>
      <w:r>
        <w:t>81,</w:t>
      </w:r>
      <w:r>
        <w:rPr>
          <w:spacing w:val="-3"/>
        </w:rPr>
        <w:t xml:space="preserve"> </w:t>
      </w:r>
      <w:r>
        <w:t>are</w:t>
      </w:r>
      <w:r>
        <w:rPr>
          <w:spacing w:val="-3"/>
        </w:rPr>
        <w:t xml:space="preserve"> </w:t>
      </w:r>
      <w:r>
        <w:t>significant,</w:t>
      </w:r>
      <w:r>
        <w:rPr>
          <w:spacing w:val="-4"/>
        </w:rPr>
        <w:t xml:space="preserve"> </w:t>
      </w:r>
      <w:r>
        <w:t>as</w:t>
      </w:r>
      <w:r>
        <w:rPr>
          <w:spacing w:val="-3"/>
        </w:rPr>
        <w:t xml:space="preserve"> </w:t>
      </w:r>
      <w:r>
        <w:t>indicated</w:t>
      </w:r>
      <w:r>
        <w:rPr>
          <w:spacing w:val="-3"/>
        </w:rPr>
        <w:t xml:space="preserve"> </w:t>
      </w:r>
      <w:r>
        <w:t>on</w:t>
      </w:r>
      <w:r>
        <w:rPr>
          <w:spacing w:val="-3"/>
        </w:rPr>
        <w:t xml:space="preserve"> </w:t>
      </w:r>
      <w:r>
        <w:t>Form</w:t>
      </w:r>
      <w:r>
        <w:rPr>
          <w:spacing w:val="-4"/>
        </w:rPr>
        <w:t xml:space="preserve"> </w:t>
      </w:r>
      <w:r>
        <w:t>802,</w:t>
      </w:r>
      <w:r>
        <w:rPr>
          <w:spacing w:val="-3"/>
        </w:rPr>
        <w:t xml:space="preserve"> </w:t>
      </w:r>
      <w:r>
        <w:t>General</w:t>
      </w:r>
      <w:r>
        <w:rPr>
          <w:spacing w:val="-3"/>
        </w:rPr>
        <w:t xml:space="preserve"> </w:t>
      </w:r>
      <w:r>
        <w:t>Compliance Checklist. These procedures test compliance with the provisions listed on the Compliance Summary for this law.</w:t>
      </w:r>
    </w:p>
    <w:p w14:paraId="0DFDBD83" w14:textId="77777777" w:rsidR="00046465" w:rsidRDefault="00046465">
      <w:pPr>
        <w:pStyle w:val="BodyText"/>
        <w:spacing w:before="6" w:after="1"/>
        <w:rPr>
          <w:sz w:val="13"/>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00"/>
        <w:gridCol w:w="1320"/>
        <w:gridCol w:w="1440"/>
      </w:tblGrid>
      <w:tr w:rsidR="00046465" w14:paraId="0DFDBD86" w14:textId="77777777">
        <w:trPr>
          <w:trHeight w:val="1335"/>
        </w:trPr>
        <w:tc>
          <w:tcPr>
            <w:tcW w:w="9360" w:type="dxa"/>
            <w:gridSpan w:val="3"/>
          </w:tcPr>
          <w:p w14:paraId="0DFDBD84" w14:textId="77777777" w:rsidR="00046465" w:rsidRDefault="008134EB">
            <w:pPr>
              <w:pStyle w:val="TableParagraph"/>
              <w:tabs>
                <w:tab w:val="left" w:pos="1604"/>
                <w:tab w:val="left" w:pos="1849"/>
                <w:tab w:val="left" w:pos="8943"/>
              </w:tabs>
              <w:spacing w:before="145" w:line="376" w:lineRule="auto"/>
              <w:ind w:left="130" w:right="369" w:hanging="1"/>
            </w:pPr>
            <w:r>
              <w:t>Name of entity:</w:t>
            </w:r>
            <w:r>
              <w:tab/>
            </w:r>
            <w:r>
              <w:rPr>
                <w:u w:val="single"/>
              </w:rPr>
              <w:tab/>
            </w:r>
            <w:r>
              <w:t xml:space="preserve"> Audit</w:t>
            </w:r>
            <w:r>
              <w:rPr>
                <w:spacing w:val="-7"/>
              </w:rPr>
              <w:t xml:space="preserve"> </w:t>
            </w:r>
            <w:r>
              <w:rPr>
                <w:spacing w:val="-2"/>
              </w:rPr>
              <w:t>period:</w:t>
            </w:r>
            <w:r>
              <w:tab/>
            </w:r>
            <w:r>
              <w:rPr>
                <w:u w:val="single"/>
              </w:rPr>
              <w:tab/>
            </w:r>
            <w:r>
              <w:rPr>
                <w:u w:val="single"/>
              </w:rPr>
              <w:tab/>
            </w:r>
          </w:p>
          <w:p w14:paraId="0DFDBD85" w14:textId="77777777" w:rsidR="00046465" w:rsidRDefault="008134EB">
            <w:pPr>
              <w:pStyle w:val="TableParagraph"/>
              <w:tabs>
                <w:tab w:val="left" w:pos="8944"/>
              </w:tabs>
              <w:spacing w:line="252" w:lineRule="exact"/>
              <w:ind w:left="130"/>
            </w:pPr>
            <w:r>
              <w:t>Reviewed by:</w:t>
            </w:r>
            <w:r>
              <w:rPr>
                <w:spacing w:val="92"/>
              </w:rPr>
              <w:t xml:space="preserve"> </w:t>
            </w:r>
            <w:r>
              <w:rPr>
                <w:u w:val="single"/>
              </w:rPr>
              <w:tab/>
            </w:r>
          </w:p>
        </w:tc>
      </w:tr>
      <w:tr w:rsidR="00046465" w14:paraId="0DFDBD8C" w14:textId="77777777">
        <w:trPr>
          <w:trHeight w:val="793"/>
        </w:trPr>
        <w:tc>
          <w:tcPr>
            <w:tcW w:w="6600" w:type="dxa"/>
            <w:tcBorders>
              <w:right w:val="single" w:sz="8" w:space="0" w:color="000000"/>
            </w:tcBorders>
          </w:tcPr>
          <w:p w14:paraId="0DFDBD87" w14:textId="77777777" w:rsidR="00046465" w:rsidRDefault="00046465">
            <w:pPr>
              <w:pStyle w:val="TableParagraph"/>
              <w:spacing w:before="144"/>
            </w:pPr>
          </w:p>
          <w:p w14:paraId="0DFDBD88" w14:textId="77777777" w:rsidR="00046465" w:rsidRDefault="008134EB">
            <w:pPr>
              <w:pStyle w:val="TableParagraph"/>
              <w:ind w:left="129"/>
              <w:rPr>
                <w:b/>
              </w:rPr>
            </w:pPr>
            <w:r>
              <w:rPr>
                <w:b/>
              </w:rPr>
              <w:t>Audit</w:t>
            </w:r>
            <w:r>
              <w:rPr>
                <w:b/>
                <w:spacing w:val="-7"/>
              </w:rPr>
              <w:t xml:space="preserve"> </w:t>
            </w:r>
            <w:r>
              <w:rPr>
                <w:b/>
                <w:spacing w:val="-2"/>
              </w:rPr>
              <w:t>procedures</w:t>
            </w:r>
          </w:p>
        </w:tc>
        <w:tc>
          <w:tcPr>
            <w:tcW w:w="1320" w:type="dxa"/>
            <w:tcBorders>
              <w:left w:val="single" w:sz="8" w:space="0" w:color="000000"/>
              <w:right w:val="single" w:sz="8" w:space="0" w:color="000000"/>
            </w:tcBorders>
          </w:tcPr>
          <w:p w14:paraId="0DFDBD89" w14:textId="77777777" w:rsidR="00046465" w:rsidRDefault="008134EB">
            <w:pPr>
              <w:pStyle w:val="TableParagraph"/>
              <w:spacing w:before="144"/>
              <w:ind w:left="142" w:right="1"/>
              <w:rPr>
                <w:b/>
              </w:rPr>
            </w:pPr>
            <w:r>
              <w:rPr>
                <w:b/>
                <w:spacing w:val="-2"/>
              </w:rPr>
              <w:t xml:space="preserve">Initials/ </w:t>
            </w:r>
            <w:r>
              <w:rPr>
                <w:b/>
                <w:spacing w:val="-4"/>
              </w:rPr>
              <w:t>date</w:t>
            </w:r>
          </w:p>
        </w:tc>
        <w:tc>
          <w:tcPr>
            <w:tcW w:w="1440" w:type="dxa"/>
            <w:tcBorders>
              <w:left w:val="single" w:sz="8" w:space="0" w:color="000000"/>
            </w:tcBorders>
          </w:tcPr>
          <w:p w14:paraId="0DFDBD8A" w14:textId="77777777" w:rsidR="00046465" w:rsidRDefault="00046465">
            <w:pPr>
              <w:pStyle w:val="TableParagraph"/>
              <w:spacing w:before="144"/>
            </w:pPr>
          </w:p>
          <w:p w14:paraId="0DFDBD8B" w14:textId="77777777" w:rsidR="00046465" w:rsidRDefault="008134EB">
            <w:pPr>
              <w:pStyle w:val="TableParagraph"/>
              <w:ind w:left="142"/>
              <w:rPr>
                <w:b/>
              </w:rPr>
            </w:pPr>
            <w:r>
              <w:rPr>
                <w:b/>
              </w:rPr>
              <w:t>Doc.</w:t>
            </w:r>
            <w:r>
              <w:rPr>
                <w:b/>
                <w:spacing w:val="-6"/>
              </w:rPr>
              <w:t xml:space="preserve"> </w:t>
            </w:r>
            <w:r>
              <w:rPr>
                <w:b/>
                <w:spacing w:val="-4"/>
              </w:rPr>
              <w:t>ref.</w:t>
            </w:r>
          </w:p>
        </w:tc>
      </w:tr>
      <w:tr w:rsidR="00046465" w14:paraId="0DFDBD8F" w14:textId="77777777">
        <w:trPr>
          <w:trHeight w:val="2456"/>
        </w:trPr>
        <w:tc>
          <w:tcPr>
            <w:tcW w:w="9360" w:type="dxa"/>
            <w:gridSpan w:val="3"/>
            <w:tcBorders>
              <w:bottom w:val="single" w:sz="6" w:space="0" w:color="000000"/>
            </w:tcBorders>
          </w:tcPr>
          <w:p w14:paraId="0DFDBD8D" w14:textId="77777777" w:rsidR="00046465" w:rsidRDefault="008134EB">
            <w:pPr>
              <w:pStyle w:val="TableParagraph"/>
              <w:spacing w:before="144"/>
              <w:ind w:left="884" w:right="106" w:hanging="755"/>
            </w:pPr>
            <w:r>
              <w:t>Note:</w:t>
            </w:r>
            <w:r>
              <w:rPr>
                <w:spacing w:val="80"/>
              </w:rPr>
              <w:t xml:space="preserve"> </w:t>
            </w:r>
            <w:r>
              <w:t>The</w:t>
            </w:r>
            <w:r>
              <w:rPr>
                <w:spacing w:val="-3"/>
              </w:rPr>
              <w:t xml:space="preserve"> </w:t>
            </w:r>
            <w:r>
              <w:t>provisions</w:t>
            </w:r>
            <w:r>
              <w:rPr>
                <w:spacing w:val="-3"/>
              </w:rPr>
              <w:t xml:space="preserve"> </w:t>
            </w:r>
            <w:r>
              <w:t>identified</w:t>
            </w:r>
            <w:r>
              <w:rPr>
                <w:spacing w:val="-4"/>
              </w:rPr>
              <w:t xml:space="preserve"> </w:t>
            </w:r>
            <w:r>
              <w:t>for</w:t>
            </w:r>
            <w:r>
              <w:rPr>
                <w:spacing w:val="-3"/>
              </w:rPr>
              <w:t xml:space="preserve"> </w:t>
            </w:r>
            <w:r>
              <w:t>testing</w:t>
            </w:r>
            <w:r>
              <w:rPr>
                <w:spacing w:val="-3"/>
              </w:rPr>
              <w:t xml:space="preserve"> </w:t>
            </w:r>
            <w:r>
              <w:t>are</w:t>
            </w:r>
            <w:r>
              <w:rPr>
                <w:spacing w:val="-3"/>
              </w:rPr>
              <w:t xml:space="preserve"> </w:t>
            </w:r>
            <w:r>
              <w:t>procedural-based</w:t>
            </w:r>
            <w:r>
              <w:rPr>
                <w:spacing w:val="-3"/>
              </w:rPr>
              <w:t xml:space="preserve"> </w:t>
            </w:r>
            <w:r>
              <w:t>provisions.</w:t>
            </w:r>
            <w:r>
              <w:rPr>
                <w:spacing w:val="-3"/>
              </w:rPr>
              <w:t xml:space="preserve"> </w:t>
            </w:r>
            <w:r>
              <w:t>As</w:t>
            </w:r>
            <w:r>
              <w:rPr>
                <w:spacing w:val="-4"/>
              </w:rPr>
              <w:t xml:space="preserve"> </w:t>
            </w:r>
            <w:r>
              <w:t>discussed</w:t>
            </w:r>
            <w:r>
              <w:rPr>
                <w:spacing w:val="-3"/>
              </w:rPr>
              <w:t xml:space="preserve"> </w:t>
            </w:r>
            <w:r>
              <w:t>in FAM</w:t>
            </w:r>
            <w:r>
              <w:rPr>
                <w:spacing w:val="-4"/>
              </w:rPr>
              <w:t xml:space="preserve"> </w:t>
            </w:r>
            <w:r>
              <w:t>460,</w:t>
            </w:r>
            <w:r>
              <w:rPr>
                <w:spacing w:val="-4"/>
              </w:rPr>
              <w:t xml:space="preserve"> </w:t>
            </w:r>
            <w:r>
              <w:t>the</w:t>
            </w:r>
            <w:r>
              <w:rPr>
                <w:spacing w:val="-4"/>
              </w:rPr>
              <w:t xml:space="preserve"> </w:t>
            </w:r>
            <w:r>
              <w:t>auditor</w:t>
            </w:r>
            <w:r>
              <w:rPr>
                <w:spacing w:val="-4"/>
              </w:rPr>
              <w:t xml:space="preserve"> </w:t>
            </w:r>
            <w:r>
              <w:t>usually</w:t>
            </w:r>
            <w:r>
              <w:rPr>
                <w:spacing w:val="-4"/>
              </w:rPr>
              <w:t xml:space="preserve"> </w:t>
            </w:r>
            <w:r>
              <w:t>performs</w:t>
            </w:r>
            <w:r>
              <w:rPr>
                <w:spacing w:val="-4"/>
              </w:rPr>
              <w:t xml:space="preserve"> </w:t>
            </w:r>
            <w:r>
              <w:t>sufficient</w:t>
            </w:r>
            <w:r>
              <w:rPr>
                <w:spacing w:val="-4"/>
              </w:rPr>
              <w:t xml:space="preserve"> </w:t>
            </w:r>
            <w:r>
              <w:t>procedures</w:t>
            </w:r>
            <w:r>
              <w:rPr>
                <w:spacing w:val="-4"/>
              </w:rPr>
              <w:t xml:space="preserve"> </w:t>
            </w:r>
            <w:r>
              <w:t>in</w:t>
            </w:r>
            <w:r>
              <w:rPr>
                <w:spacing w:val="-4"/>
              </w:rPr>
              <w:t xml:space="preserve"> </w:t>
            </w:r>
            <w:r>
              <w:t>conjunction</w:t>
            </w:r>
            <w:r>
              <w:rPr>
                <w:spacing w:val="-4"/>
              </w:rPr>
              <w:t xml:space="preserve"> </w:t>
            </w:r>
            <w:r>
              <w:t>with</w:t>
            </w:r>
            <w:r>
              <w:rPr>
                <w:spacing w:val="-4"/>
              </w:rPr>
              <w:t xml:space="preserve"> </w:t>
            </w:r>
            <w:r>
              <w:t>tests of compliance controls for these procedural-based provisions to conclude on the entity’s compliance without performing additional procedures.</w:t>
            </w:r>
          </w:p>
          <w:p w14:paraId="0DFDBD8E" w14:textId="77777777" w:rsidR="00046465" w:rsidRDefault="008134EB">
            <w:pPr>
              <w:pStyle w:val="TableParagraph"/>
              <w:spacing w:before="145"/>
              <w:ind w:left="884" w:right="369" w:hanging="55"/>
            </w:pPr>
            <w:r>
              <w:t>The</w:t>
            </w:r>
            <w:r>
              <w:rPr>
                <w:spacing w:val="-4"/>
              </w:rPr>
              <w:t xml:space="preserve"> </w:t>
            </w:r>
            <w:r>
              <w:t>auditor</w:t>
            </w:r>
            <w:r>
              <w:rPr>
                <w:spacing w:val="-6"/>
              </w:rPr>
              <w:t xml:space="preserve"> </w:t>
            </w:r>
            <w:r>
              <w:t>should</w:t>
            </w:r>
            <w:r>
              <w:rPr>
                <w:spacing w:val="-3"/>
              </w:rPr>
              <w:t xml:space="preserve"> </w:t>
            </w:r>
            <w:r>
              <w:rPr>
                <w:u w:val="single"/>
              </w:rPr>
              <w:t>not</w:t>
            </w:r>
            <w:r>
              <w:rPr>
                <w:spacing w:val="-4"/>
              </w:rPr>
              <w:t xml:space="preserve"> </w:t>
            </w:r>
            <w:r>
              <w:t>perform</w:t>
            </w:r>
            <w:r>
              <w:rPr>
                <w:spacing w:val="-5"/>
              </w:rPr>
              <w:t xml:space="preserve"> </w:t>
            </w:r>
            <w:r>
              <w:t>additional</w:t>
            </w:r>
            <w:r>
              <w:rPr>
                <w:spacing w:val="-4"/>
              </w:rPr>
              <w:t xml:space="preserve"> </w:t>
            </w:r>
            <w:r>
              <w:t>procedures</w:t>
            </w:r>
            <w:r>
              <w:rPr>
                <w:spacing w:val="-4"/>
              </w:rPr>
              <w:t xml:space="preserve"> </w:t>
            </w:r>
            <w:r>
              <w:t>to</w:t>
            </w:r>
            <w:r>
              <w:rPr>
                <w:spacing w:val="-4"/>
              </w:rPr>
              <w:t xml:space="preserve"> </w:t>
            </w:r>
            <w:r>
              <w:t>obtain</w:t>
            </w:r>
            <w:r>
              <w:rPr>
                <w:spacing w:val="-4"/>
              </w:rPr>
              <w:t xml:space="preserve"> </w:t>
            </w:r>
            <w:r>
              <w:t>evidence</w:t>
            </w:r>
            <w:r>
              <w:rPr>
                <w:spacing w:val="-4"/>
              </w:rPr>
              <w:t xml:space="preserve"> </w:t>
            </w:r>
            <w:r>
              <w:t>regarding compliance</w:t>
            </w:r>
            <w:r>
              <w:rPr>
                <w:spacing w:val="-1"/>
              </w:rPr>
              <w:t xml:space="preserve"> </w:t>
            </w:r>
            <w:r>
              <w:t>with the provisions related to the following objectives unless</w:t>
            </w:r>
            <w:r>
              <w:rPr>
                <w:spacing w:val="-1"/>
              </w:rPr>
              <w:t xml:space="preserve"> </w:t>
            </w:r>
            <w:r>
              <w:t>sufficient evidence regarding compliance was not obtained during compliance control tests documented on Form 810, Compliance Summary.</w:t>
            </w:r>
          </w:p>
        </w:tc>
      </w:tr>
      <w:tr w:rsidR="00046465" w14:paraId="0DFDBD93" w14:textId="77777777">
        <w:trPr>
          <w:trHeight w:val="1046"/>
        </w:trPr>
        <w:tc>
          <w:tcPr>
            <w:tcW w:w="6600" w:type="dxa"/>
            <w:tcBorders>
              <w:top w:val="single" w:sz="6" w:space="0" w:color="000000"/>
              <w:bottom w:val="single" w:sz="8" w:space="0" w:color="000000"/>
              <w:right w:val="single" w:sz="6" w:space="0" w:color="000000"/>
            </w:tcBorders>
          </w:tcPr>
          <w:p w14:paraId="0DFDBD90" w14:textId="77777777" w:rsidR="00046465" w:rsidRDefault="008134EB">
            <w:pPr>
              <w:pStyle w:val="TableParagraph"/>
              <w:tabs>
                <w:tab w:val="left" w:pos="614"/>
              </w:tabs>
              <w:spacing w:before="143"/>
              <w:ind w:left="614" w:right="292" w:hanging="485"/>
            </w:pPr>
            <w:r>
              <w:rPr>
                <w:spacing w:val="-6"/>
              </w:rPr>
              <w:t>1.</w:t>
            </w:r>
            <w:r>
              <w:tab/>
              <w:t>Reference</w:t>
            </w:r>
            <w:r>
              <w:rPr>
                <w:spacing w:val="-6"/>
              </w:rPr>
              <w:t xml:space="preserve"> </w:t>
            </w:r>
            <w:r>
              <w:t>to</w:t>
            </w:r>
            <w:r>
              <w:rPr>
                <w:spacing w:val="-6"/>
              </w:rPr>
              <w:t xml:space="preserve"> </w:t>
            </w:r>
            <w:r>
              <w:t>conclusions</w:t>
            </w:r>
            <w:r>
              <w:rPr>
                <w:spacing w:val="-6"/>
              </w:rPr>
              <w:t xml:space="preserve"> </w:t>
            </w:r>
            <w:r>
              <w:t>on</w:t>
            </w:r>
            <w:r>
              <w:rPr>
                <w:spacing w:val="-6"/>
              </w:rPr>
              <w:t xml:space="preserve"> </w:t>
            </w:r>
            <w:r>
              <w:t>compliance</w:t>
            </w:r>
            <w:r>
              <w:rPr>
                <w:spacing w:val="-6"/>
              </w:rPr>
              <w:t xml:space="preserve"> </w:t>
            </w:r>
            <w:r>
              <w:t>controls</w:t>
            </w:r>
            <w:r>
              <w:rPr>
                <w:spacing w:val="-6"/>
              </w:rPr>
              <w:t xml:space="preserve"> </w:t>
            </w:r>
            <w:r>
              <w:t>on</w:t>
            </w:r>
            <w:r>
              <w:rPr>
                <w:spacing w:val="-6"/>
              </w:rPr>
              <w:t xml:space="preserve"> </w:t>
            </w:r>
            <w:r>
              <w:t>Form 810, Compliance Summary, and indicate whether any additional procedures are necessary.</w:t>
            </w:r>
          </w:p>
        </w:tc>
        <w:tc>
          <w:tcPr>
            <w:tcW w:w="1320" w:type="dxa"/>
            <w:tcBorders>
              <w:top w:val="single" w:sz="6" w:space="0" w:color="000000"/>
              <w:left w:val="single" w:sz="6" w:space="0" w:color="000000"/>
              <w:bottom w:val="single" w:sz="8" w:space="0" w:color="000000"/>
              <w:right w:val="single" w:sz="6" w:space="0" w:color="000000"/>
            </w:tcBorders>
          </w:tcPr>
          <w:p w14:paraId="0DFDBD91" w14:textId="77777777" w:rsidR="00046465" w:rsidRDefault="00046465">
            <w:pPr>
              <w:pStyle w:val="TableParagraph"/>
              <w:rPr>
                <w:rFonts w:ascii="Times New Roman"/>
                <w:sz w:val="20"/>
              </w:rPr>
            </w:pPr>
          </w:p>
        </w:tc>
        <w:tc>
          <w:tcPr>
            <w:tcW w:w="1440" w:type="dxa"/>
            <w:tcBorders>
              <w:top w:val="single" w:sz="6" w:space="0" w:color="000000"/>
              <w:left w:val="single" w:sz="6" w:space="0" w:color="000000"/>
              <w:bottom w:val="single" w:sz="8" w:space="0" w:color="000000"/>
            </w:tcBorders>
          </w:tcPr>
          <w:p w14:paraId="0DFDBD92" w14:textId="77777777" w:rsidR="00046465" w:rsidRDefault="00046465">
            <w:pPr>
              <w:pStyle w:val="TableParagraph"/>
              <w:rPr>
                <w:rFonts w:ascii="Times New Roman"/>
                <w:sz w:val="20"/>
              </w:rPr>
            </w:pPr>
          </w:p>
        </w:tc>
      </w:tr>
      <w:tr w:rsidR="00046465" w14:paraId="0DFDBD9B" w14:textId="77777777">
        <w:trPr>
          <w:trHeight w:val="5730"/>
        </w:trPr>
        <w:tc>
          <w:tcPr>
            <w:tcW w:w="6600" w:type="dxa"/>
            <w:tcBorders>
              <w:top w:val="single" w:sz="8" w:space="0" w:color="000000"/>
              <w:bottom w:val="single" w:sz="8" w:space="0" w:color="000000"/>
              <w:right w:val="single" w:sz="8" w:space="0" w:color="000000"/>
            </w:tcBorders>
          </w:tcPr>
          <w:p w14:paraId="0DFDBD94" w14:textId="77777777" w:rsidR="00046465" w:rsidRDefault="008134EB">
            <w:pPr>
              <w:pStyle w:val="TableParagraph"/>
              <w:numPr>
                <w:ilvl w:val="0"/>
                <w:numId w:val="148"/>
              </w:numPr>
              <w:tabs>
                <w:tab w:val="left" w:pos="614"/>
              </w:tabs>
              <w:spacing w:before="145"/>
              <w:ind w:right="142"/>
            </w:pPr>
            <w:r>
              <w:t>If the entity does not appear to be in compliance based on the results of tests performed, the auditor should discuss these</w:t>
            </w:r>
            <w:r>
              <w:rPr>
                <w:spacing w:val="-5"/>
              </w:rPr>
              <w:t xml:space="preserve"> </w:t>
            </w:r>
            <w:r>
              <w:t>matters</w:t>
            </w:r>
            <w:r>
              <w:rPr>
                <w:spacing w:val="-5"/>
              </w:rPr>
              <w:t xml:space="preserve"> </w:t>
            </w:r>
            <w:r>
              <w:t>with</w:t>
            </w:r>
            <w:r>
              <w:rPr>
                <w:spacing w:val="-5"/>
              </w:rPr>
              <w:t xml:space="preserve"> </w:t>
            </w:r>
            <w:r>
              <w:t>OGC</w:t>
            </w:r>
            <w:r>
              <w:rPr>
                <w:spacing w:val="-4"/>
              </w:rPr>
              <w:t xml:space="preserve"> </w:t>
            </w:r>
            <w:r>
              <w:t>and,</w:t>
            </w:r>
            <w:r>
              <w:rPr>
                <w:spacing w:val="-5"/>
              </w:rPr>
              <w:t xml:space="preserve"> </w:t>
            </w:r>
            <w:r>
              <w:t>when</w:t>
            </w:r>
            <w:r>
              <w:rPr>
                <w:spacing w:val="-5"/>
              </w:rPr>
              <w:t xml:space="preserve"> </w:t>
            </w:r>
            <w:r>
              <w:t>appropriate,</w:t>
            </w:r>
            <w:r>
              <w:rPr>
                <w:spacing w:val="-5"/>
              </w:rPr>
              <w:t xml:space="preserve"> </w:t>
            </w:r>
            <w:r>
              <w:t>the</w:t>
            </w:r>
            <w:r>
              <w:rPr>
                <w:spacing w:val="-5"/>
              </w:rPr>
              <w:t xml:space="preserve"> </w:t>
            </w:r>
            <w:r>
              <w:t xml:space="preserve">Special Investigator Unit to conclude whether noncompliance actually occurred and the implications of such noncompliance. For any noncompliance noted, the auditor </w:t>
            </w:r>
            <w:r>
              <w:rPr>
                <w:spacing w:val="-2"/>
              </w:rPr>
              <w:t>should</w:t>
            </w:r>
          </w:p>
          <w:p w14:paraId="0DFDBD95" w14:textId="77777777" w:rsidR="00046465" w:rsidRDefault="008134EB">
            <w:pPr>
              <w:pStyle w:val="TableParagraph"/>
              <w:numPr>
                <w:ilvl w:val="1"/>
                <w:numId w:val="148"/>
              </w:numPr>
              <w:tabs>
                <w:tab w:val="left" w:pos="884"/>
                <w:tab w:val="left" w:pos="922"/>
              </w:tabs>
              <w:spacing w:before="142"/>
              <w:ind w:right="726" w:hanging="361"/>
            </w:pPr>
            <w:r>
              <w:t>identify the control deficiencies that allowed the noncompliance</w:t>
            </w:r>
            <w:r>
              <w:rPr>
                <w:spacing w:val="-7"/>
              </w:rPr>
              <w:t xml:space="preserve"> </w:t>
            </w:r>
            <w:r>
              <w:t>to</w:t>
            </w:r>
            <w:r>
              <w:rPr>
                <w:spacing w:val="-7"/>
              </w:rPr>
              <w:t xml:space="preserve"> </w:t>
            </w:r>
            <w:r>
              <w:t>occur,</w:t>
            </w:r>
            <w:r>
              <w:rPr>
                <w:spacing w:val="-7"/>
              </w:rPr>
              <w:t xml:space="preserve"> </w:t>
            </w:r>
            <w:r>
              <w:t>if</w:t>
            </w:r>
            <w:r>
              <w:rPr>
                <w:spacing w:val="-7"/>
              </w:rPr>
              <w:t xml:space="preserve"> </w:t>
            </w:r>
            <w:r>
              <w:t>not</w:t>
            </w:r>
            <w:r>
              <w:rPr>
                <w:spacing w:val="-7"/>
              </w:rPr>
              <w:t xml:space="preserve"> </w:t>
            </w:r>
            <w:r>
              <w:t>previously</w:t>
            </w:r>
            <w:r>
              <w:rPr>
                <w:spacing w:val="-7"/>
              </w:rPr>
              <w:t xml:space="preserve"> </w:t>
            </w:r>
            <w:r>
              <w:t>identified during compliance control testing;</w:t>
            </w:r>
          </w:p>
          <w:p w14:paraId="0DFDBD96" w14:textId="77777777" w:rsidR="00046465" w:rsidRDefault="008134EB">
            <w:pPr>
              <w:pStyle w:val="TableParagraph"/>
              <w:numPr>
                <w:ilvl w:val="1"/>
                <w:numId w:val="148"/>
              </w:numPr>
              <w:tabs>
                <w:tab w:val="left" w:pos="885"/>
                <w:tab w:val="left" w:pos="922"/>
              </w:tabs>
              <w:spacing w:before="143"/>
              <w:ind w:right="507" w:hanging="360"/>
            </w:pPr>
            <w:r>
              <w:t>determine</w:t>
            </w:r>
            <w:r>
              <w:rPr>
                <w:spacing w:val="-5"/>
              </w:rPr>
              <w:t xml:space="preserve"> </w:t>
            </w:r>
            <w:r>
              <w:t>the</w:t>
            </w:r>
            <w:r>
              <w:rPr>
                <w:spacing w:val="-5"/>
              </w:rPr>
              <w:t xml:space="preserve"> </w:t>
            </w:r>
            <w:r>
              <w:t>impact</w:t>
            </w:r>
            <w:r>
              <w:rPr>
                <w:spacing w:val="-5"/>
              </w:rPr>
              <w:t xml:space="preserve"> </w:t>
            </w:r>
            <w:r>
              <w:t>on</w:t>
            </w:r>
            <w:r>
              <w:rPr>
                <w:spacing w:val="-5"/>
              </w:rPr>
              <w:t xml:space="preserve"> </w:t>
            </w:r>
            <w:r>
              <w:t>the</w:t>
            </w:r>
            <w:r>
              <w:rPr>
                <w:spacing w:val="-5"/>
              </w:rPr>
              <w:t xml:space="preserve"> </w:t>
            </w:r>
            <w:r>
              <w:t>report</w:t>
            </w:r>
            <w:r>
              <w:rPr>
                <w:spacing w:val="-5"/>
              </w:rPr>
              <w:t xml:space="preserve"> </w:t>
            </w:r>
            <w:r>
              <w:t>on</w:t>
            </w:r>
            <w:r>
              <w:rPr>
                <w:spacing w:val="-5"/>
              </w:rPr>
              <w:t xml:space="preserve"> </w:t>
            </w:r>
            <w:r>
              <w:t>internal</w:t>
            </w:r>
            <w:r>
              <w:rPr>
                <w:spacing w:val="-5"/>
              </w:rPr>
              <w:t xml:space="preserve"> </w:t>
            </w:r>
            <w:r>
              <w:t>control over financial reporting (see the Internal Control subsection in FAM 580);</w:t>
            </w:r>
          </w:p>
          <w:p w14:paraId="0DFDBD97" w14:textId="77777777" w:rsidR="00046465" w:rsidRDefault="008134EB">
            <w:pPr>
              <w:pStyle w:val="TableParagraph"/>
              <w:numPr>
                <w:ilvl w:val="1"/>
                <w:numId w:val="148"/>
              </w:numPr>
              <w:tabs>
                <w:tab w:val="left" w:pos="884"/>
                <w:tab w:val="left" w:pos="921"/>
              </w:tabs>
              <w:spacing w:before="142"/>
              <w:ind w:left="921" w:right="532" w:hanging="360"/>
            </w:pPr>
            <w:r>
              <w:t>consider</w:t>
            </w:r>
            <w:r>
              <w:rPr>
                <w:spacing w:val="-6"/>
              </w:rPr>
              <w:t xml:space="preserve"> </w:t>
            </w:r>
            <w:r>
              <w:t>the</w:t>
            </w:r>
            <w:r>
              <w:rPr>
                <w:spacing w:val="-7"/>
              </w:rPr>
              <w:t xml:space="preserve"> </w:t>
            </w:r>
            <w:r>
              <w:t>implications</w:t>
            </w:r>
            <w:r>
              <w:rPr>
                <w:spacing w:val="-7"/>
              </w:rPr>
              <w:t xml:space="preserve"> </w:t>
            </w:r>
            <w:r>
              <w:t>on</w:t>
            </w:r>
            <w:r>
              <w:rPr>
                <w:spacing w:val="-6"/>
              </w:rPr>
              <w:t xml:space="preserve"> </w:t>
            </w:r>
            <w:r>
              <w:t>the</w:t>
            </w:r>
            <w:r>
              <w:rPr>
                <w:spacing w:val="-6"/>
              </w:rPr>
              <w:t xml:space="preserve"> </w:t>
            </w:r>
            <w:r>
              <w:t>financial</w:t>
            </w:r>
            <w:r>
              <w:rPr>
                <w:spacing w:val="-6"/>
              </w:rPr>
              <w:t xml:space="preserve"> </w:t>
            </w:r>
            <w:r>
              <w:t xml:space="preserve">statements; </w:t>
            </w:r>
            <w:r>
              <w:rPr>
                <w:spacing w:val="-4"/>
              </w:rPr>
              <w:t>and</w:t>
            </w:r>
          </w:p>
          <w:p w14:paraId="0DFDBD98" w14:textId="77777777" w:rsidR="00046465" w:rsidRDefault="008134EB">
            <w:pPr>
              <w:pStyle w:val="TableParagraph"/>
              <w:numPr>
                <w:ilvl w:val="1"/>
                <w:numId w:val="148"/>
              </w:numPr>
              <w:tabs>
                <w:tab w:val="left" w:pos="884"/>
                <w:tab w:val="left" w:pos="921"/>
              </w:tabs>
              <w:spacing w:before="143"/>
              <w:ind w:left="921" w:right="312" w:hanging="360"/>
            </w:pPr>
            <w:r>
              <w:t>report</w:t>
            </w:r>
            <w:r>
              <w:rPr>
                <w:spacing w:val="-7"/>
              </w:rPr>
              <w:t xml:space="preserve"> </w:t>
            </w:r>
            <w:r>
              <w:t>instances</w:t>
            </w:r>
            <w:r>
              <w:rPr>
                <w:spacing w:val="-7"/>
              </w:rPr>
              <w:t xml:space="preserve"> </w:t>
            </w:r>
            <w:r>
              <w:t>of</w:t>
            </w:r>
            <w:r>
              <w:rPr>
                <w:spacing w:val="-7"/>
              </w:rPr>
              <w:t xml:space="preserve"> </w:t>
            </w:r>
            <w:r>
              <w:t>noncompliance,</w:t>
            </w:r>
            <w:r>
              <w:rPr>
                <w:spacing w:val="-7"/>
              </w:rPr>
              <w:t xml:space="preserve"> </w:t>
            </w:r>
            <w:r>
              <w:t>as</w:t>
            </w:r>
            <w:r>
              <w:rPr>
                <w:spacing w:val="-7"/>
              </w:rPr>
              <w:t xml:space="preserve"> </w:t>
            </w:r>
            <w:r>
              <w:t>appropriate</w:t>
            </w:r>
            <w:r>
              <w:rPr>
                <w:spacing w:val="-7"/>
              </w:rPr>
              <w:t xml:space="preserve"> </w:t>
            </w:r>
            <w:r>
              <w:t>(see the Compliance with Applicable Laws, Regulations, Contracts, and Grant Agreements and Instances of Fraud subsection in FAM 580).</w:t>
            </w:r>
          </w:p>
        </w:tc>
        <w:tc>
          <w:tcPr>
            <w:tcW w:w="1320" w:type="dxa"/>
            <w:tcBorders>
              <w:top w:val="single" w:sz="8" w:space="0" w:color="000000"/>
              <w:left w:val="single" w:sz="8" w:space="0" w:color="000000"/>
              <w:bottom w:val="single" w:sz="8" w:space="0" w:color="000000"/>
              <w:right w:val="single" w:sz="8" w:space="0" w:color="000000"/>
            </w:tcBorders>
          </w:tcPr>
          <w:p w14:paraId="0DFDBD99" w14:textId="77777777" w:rsidR="00046465" w:rsidRDefault="00046465">
            <w:pPr>
              <w:pStyle w:val="TableParagraph"/>
              <w:rPr>
                <w:rFonts w:ascii="Times New Roman"/>
                <w:sz w:val="20"/>
              </w:rPr>
            </w:pPr>
          </w:p>
        </w:tc>
        <w:tc>
          <w:tcPr>
            <w:tcW w:w="1440" w:type="dxa"/>
            <w:tcBorders>
              <w:top w:val="single" w:sz="8" w:space="0" w:color="000000"/>
              <w:left w:val="single" w:sz="8" w:space="0" w:color="000000"/>
              <w:bottom w:val="single" w:sz="8" w:space="0" w:color="000000"/>
            </w:tcBorders>
          </w:tcPr>
          <w:p w14:paraId="0DFDBD9A" w14:textId="77777777" w:rsidR="00046465" w:rsidRDefault="00046465">
            <w:pPr>
              <w:pStyle w:val="TableParagraph"/>
              <w:rPr>
                <w:rFonts w:ascii="Times New Roman"/>
                <w:sz w:val="20"/>
              </w:rPr>
            </w:pPr>
          </w:p>
        </w:tc>
      </w:tr>
    </w:tbl>
    <w:p w14:paraId="0DFDBD9C" w14:textId="77777777" w:rsidR="00046465" w:rsidRDefault="00046465">
      <w:pPr>
        <w:pStyle w:val="TableParagraph"/>
        <w:rPr>
          <w:rFonts w:ascii="Times New Roman"/>
          <w:sz w:val="20"/>
        </w:rPr>
        <w:sectPr w:rsidR="00046465">
          <w:headerReference w:type="default" r:id="rId155"/>
          <w:footerReference w:type="default" r:id="rId156"/>
          <w:pgSz w:w="12240" w:h="15840"/>
          <w:pgMar w:top="1380" w:right="1080" w:bottom="940" w:left="1080" w:header="721" w:footer="742" w:gutter="0"/>
          <w:cols w:space="720"/>
        </w:sectPr>
      </w:pPr>
    </w:p>
    <w:p w14:paraId="0DFDBD9D" w14:textId="77777777" w:rsidR="00046465" w:rsidRDefault="00046465">
      <w:pPr>
        <w:pStyle w:val="BodyText"/>
        <w:spacing w:before="3"/>
        <w:rPr>
          <w:sz w:val="8"/>
        </w:rPr>
      </w:pPr>
    </w:p>
    <w:tbl>
      <w:tblPr>
        <w:tblW w:w="0" w:type="auto"/>
        <w:tblInd w:w="391"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00"/>
        <w:gridCol w:w="1320"/>
        <w:gridCol w:w="1440"/>
      </w:tblGrid>
      <w:tr w:rsidR="00046465" w14:paraId="0DFDBD9F" w14:textId="77777777">
        <w:trPr>
          <w:trHeight w:val="1335"/>
        </w:trPr>
        <w:tc>
          <w:tcPr>
            <w:tcW w:w="9360" w:type="dxa"/>
            <w:gridSpan w:val="3"/>
          </w:tcPr>
          <w:p w14:paraId="0DFDBD9E" w14:textId="77777777" w:rsidR="00046465" w:rsidRDefault="008134EB">
            <w:pPr>
              <w:pStyle w:val="TableParagraph"/>
              <w:tabs>
                <w:tab w:val="left" w:pos="8945"/>
              </w:tabs>
              <w:spacing w:before="7" w:line="390" w:lineRule="atLeast"/>
              <w:ind w:left="131" w:right="367" w:hanging="1"/>
              <w:jc w:val="both"/>
            </w:pPr>
            <w:r>
              <w:t>Name of entity:</w:t>
            </w:r>
            <w:r>
              <w:rPr>
                <w:spacing w:val="177"/>
              </w:rPr>
              <w:t xml:space="preserve"> </w:t>
            </w:r>
            <w:r>
              <w:rPr>
                <w:u w:val="single"/>
              </w:rPr>
              <w:tab/>
            </w:r>
            <w:r>
              <w:t xml:space="preserve"> Audit period:</w:t>
            </w:r>
            <w:r>
              <w:rPr>
                <w:spacing w:val="178"/>
              </w:rPr>
              <w:t xml:space="preserve"> </w:t>
            </w:r>
            <w:r>
              <w:rPr>
                <w:u w:val="single"/>
              </w:rPr>
              <w:tab/>
            </w:r>
            <w:r>
              <w:t xml:space="preserve"> Reviewed by:</w:t>
            </w:r>
            <w:r>
              <w:rPr>
                <w:spacing w:val="92"/>
              </w:rPr>
              <w:t xml:space="preserve"> </w:t>
            </w:r>
            <w:r>
              <w:rPr>
                <w:u w:val="single"/>
              </w:rPr>
              <w:tab/>
            </w:r>
          </w:p>
        </w:tc>
      </w:tr>
      <w:tr w:rsidR="00046465" w14:paraId="0DFDBDA5" w14:textId="77777777">
        <w:trPr>
          <w:trHeight w:val="793"/>
        </w:trPr>
        <w:tc>
          <w:tcPr>
            <w:tcW w:w="6600" w:type="dxa"/>
            <w:tcBorders>
              <w:right w:val="single" w:sz="8" w:space="0" w:color="000000"/>
            </w:tcBorders>
          </w:tcPr>
          <w:p w14:paraId="0DFDBDA0" w14:textId="77777777" w:rsidR="00046465" w:rsidRDefault="00046465">
            <w:pPr>
              <w:pStyle w:val="TableParagraph"/>
              <w:spacing w:before="144"/>
            </w:pPr>
          </w:p>
          <w:p w14:paraId="0DFDBDA1" w14:textId="77777777" w:rsidR="00046465" w:rsidRDefault="008134EB">
            <w:pPr>
              <w:pStyle w:val="TableParagraph"/>
              <w:ind w:left="131"/>
              <w:rPr>
                <w:b/>
              </w:rPr>
            </w:pPr>
            <w:r>
              <w:rPr>
                <w:b/>
              </w:rPr>
              <w:t>Audit</w:t>
            </w:r>
            <w:r>
              <w:rPr>
                <w:b/>
                <w:spacing w:val="-7"/>
              </w:rPr>
              <w:t xml:space="preserve"> </w:t>
            </w:r>
            <w:r>
              <w:rPr>
                <w:b/>
                <w:spacing w:val="-2"/>
              </w:rPr>
              <w:t>procedures</w:t>
            </w:r>
          </w:p>
        </w:tc>
        <w:tc>
          <w:tcPr>
            <w:tcW w:w="1320" w:type="dxa"/>
            <w:tcBorders>
              <w:left w:val="single" w:sz="8" w:space="0" w:color="000000"/>
              <w:right w:val="single" w:sz="8" w:space="0" w:color="000000"/>
            </w:tcBorders>
          </w:tcPr>
          <w:p w14:paraId="0DFDBDA2" w14:textId="77777777" w:rsidR="00046465" w:rsidRDefault="008134EB">
            <w:pPr>
              <w:pStyle w:val="TableParagraph"/>
              <w:spacing w:before="144"/>
              <w:ind w:left="143" w:right="1"/>
              <w:rPr>
                <w:b/>
              </w:rPr>
            </w:pPr>
            <w:r>
              <w:rPr>
                <w:b/>
                <w:spacing w:val="-2"/>
              </w:rPr>
              <w:t xml:space="preserve">Initials/ </w:t>
            </w:r>
            <w:r>
              <w:rPr>
                <w:b/>
                <w:spacing w:val="-4"/>
              </w:rPr>
              <w:t>date</w:t>
            </w:r>
          </w:p>
        </w:tc>
        <w:tc>
          <w:tcPr>
            <w:tcW w:w="1440" w:type="dxa"/>
            <w:tcBorders>
              <w:left w:val="single" w:sz="8" w:space="0" w:color="000000"/>
            </w:tcBorders>
          </w:tcPr>
          <w:p w14:paraId="0DFDBDA3" w14:textId="77777777" w:rsidR="00046465" w:rsidRDefault="00046465">
            <w:pPr>
              <w:pStyle w:val="TableParagraph"/>
              <w:spacing w:before="144"/>
            </w:pPr>
          </w:p>
          <w:p w14:paraId="0DFDBDA4" w14:textId="77777777" w:rsidR="00046465" w:rsidRDefault="008134EB">
            <w:pPr>
              <w:pStyle w:val="TableParagraph"/>
              <w:ind w:left="143"/>
              <w:rPr>
                <w:b/>
              </w:rPr>
            </w:pPr>
            <w:r>
              <w:rPr>
                <w:b/>
              </w:rPr>
              <w:t>Doc.</w:t>
            </w:r>
            <w:r>
              <w:rPr>
                <w:b/>
                <w:spacing w:val="-6"/>
              </w:rPr>
              <w:t xml:space="preserve"> </w:t>
            </w:r>
            <w:r>
              <w:rPr>
                <w:b/>
                <w:spacing w:val="-4"/>
              </w:rPr>
              <w:t>ref.</w:t>
            </w:r>
          </w:p>
        </w:tc>
      </w:tr>
      <w:tr w:rsidR="00046465" w14:paraId="0DFDBDA9" w14:textId="77777777">
        <w:trPr>
          <w:trHeight w:val="791"/>
        </w:trPr>
        <w:tc>
          <w:tcPr>
            <w:tcW w:w="6600" w:type="dxa"/>
            <w:tcBorders>
              <w:left w:val="double" w:sz="8" w:space="0" w:color="000000"/>
              <w:bottom w:val="double" w:sz="8" w:space="0" w:color="000000"/>
              <w:right w:val="single" w:sz="8" w:space="0" w:color="000000"/>
            </w:tcBorders>
          </w:tcPr>
          <w:p w14:paraId="0DFDBDA6" w14:textId="77777777" w:rsidR="00046465" w:rsidRDefault="008134EB">
            <w:pPr>
              <w:pStyle w:val="TableParagraph"/>
              <w:tabs>
                <w:tab w:val="left" w:pos="561"/>
              </w:tabs>
              <w:spacing w:before="144"/>
              <w:ind w:left="608" w:right="371" w:hanging="485"/>
            </w:pPr>
            <w:r>
              <w:rPr>
                <w:spacing w:val="-6"/>
              </w:rPr>
              <w:t>3.</w:t>
            </w:r>
            <w:r>
              <w:tab/>
              <w:t>Document</w:t>
            </w:r>
            <w:r>
              <w:rPr>
                <w:spacing w:val="-7"/>
              </w:rPr>
              <w:t xml:space="preserve"> </w:t>
            </w:r>
            <w:r>
              <w:t>conclusions</w:t>
            </w:r>
            <w:r>
              <w:rPr>
                <w:spacing w:val="-7"/>
              </w:rPr>
              <w:t xml:space="preserve"> </w:t>
            </w:r>
            <w:r>
              <w:t>on</w:t>
            </w:r>
            <w:r>
              <w:rPr>
                <w:spacing w:val="-7"/>
              </w:rPr>
              <w:t xml:space="preserve"> </w:t>
            </w:r>
            <w:r>
              <w:t>compliance</w:t>
            </w:r>
            <w:r>
              <w:rPr>
                <w:spacing w:val="-7"/>
              </w:rPr>
              <w:t xml:space="preserve"> </w:t>
            </w:r>
            <w:r>
              <w:t>with</w:t>
            </w:r>
            <w:r>
              <w:rPr>
                <w:spacing w:val="-7"/>
              </w:rPr>
              <w:t xml:space="preserve"> </w:t>
            </w:r>
            <w:r>
              <w:t>each</w:t>
            </w:r>
            <w:r>
              <w:rPr>
                <w:spacing w:val="-7"/>
              </w:rPr>
              <w:t xml:space="preserve"> </w:t>
            </w:r>
            <w:r>
              <w:t>provision on Form 810, Compliance Summary.</w:t>
            </w:r>
          </w:p>
        </w:tc>
        <w:tc>
          <w:tcPr>
            <w:tcW w:w="1320" w:type="dxa"/>
            <w:tcBorders>
              <w:left w:val="single" w:sz="8" w:space="0" w:color="000000"/>
              <w:bottom w:val="double" w:sz="8" w:space="0" w:color="000000"/>
              <w:right w:val="single" w:sz="8" w:space="0" w:color="000000"/>
            </w:tcBorders>
          </w:tcPr>
          <w:p w14:paraId="0DFDBDA7" w14:textId="77777777" w:rsidR="00046465" w:rsidRDefault="00046465">
            <w:pPr>
              <w:pStyle w:val="TableParagraph"/>
              <w:rPr>
                <w:rFonts w:ascii="Times New Roman"/>
                <w:sz w:val="20"/>
              </w:rPr>
            </w:pPr>
          </w:p>
        </w:tc>
        <w:tc>
          <w:tcPr>
            <w:tcW w:w="1440" w:type="dxa"/>
            <w:tcBorders>
              <w:left w:val="single" w:sz="8" w:space="0" w:color="000000"/>
              <w:bottom w:val="double" w:sz="8" w:space="0" w:color="000000"/>
              <w:right w:val="double" w:sz="8" w:space="0" w:color="000000"/>
            </w:tcBorders>
          </w:tcPr>
          <w:p w14:paraId="0DFDBDA8" w14:textId="77777777" w:rsidR="00046465" w:rsidRDefault="00046465">
            <w:pPr>
              <w:pStyle w:val="TableParagraph"/>
              <w:rPr>
                <w:rFonts w:ascii="Times New Roman"/>
                <w:sz w:val="20"/>
              </w:rPr>
            </w:pPr>
          </w:p>
        </w:tc>
      </w:tr>
    </w:tbl>
    <w:p w14:paraId="0DFDBDAA" w14:textId="77777777" w:rsidR="00046465" w:rsidRDefault="00046465">
      <w:pPr>
        <w:pStyle w:val="TableParagraph"/>
        <w:rPr>
          <w:rFonts w:ascii="Times New Roman"/>
          <w:sz w:val="20"/>
        </w:rPr>
        <w:sectPr w:rsidR="00046465">
          <w:pgSz w:w="12240" w:h="15840"/>
          <w:pgMar w:top="1380" w:right="1080" w:bottom="940" w:left="1080" w:header="721" w:footer="742" w:gutter="0"/>
          <w:cols w:space="720"/>
        </w:sectPr>
      </w:pPr>
    </w:p>
    <w:p w14:paraId="0DFDBDAB" w14:textId="77777777" w:rsidR="00046465" w:rsidRDefault="008134EB">
      <w:pPr>
        <w:pStyle w:val="Heading3"/>
        <w:spacing w:before="80"/>
        <w:rPr>
          <w:u w:val="none"/>
        </w:rPr>
      </w:pPr>
      <w:bookmarkStart w:id="243" w:name="811_–_Federal_Employees’_Retirement_Syst"/>
      <w:bookmarkStart w:id="244" w:name="_bookmark132"/>
      <w:bookmarkEnd w:id="243"/>
      <w:bookmarkEnd w:id="244"/>
      <w:r>
        <w:lastRenderedPageBreak/>
        <w:t>811</w:t>
      </w:r>
      <w:r>
        <w:rPr>
          <w:spacing w:val="-4"/>
        </w:rPr>
        <w:t xml:space="preserve"> </w:t>
      </w:r>
      <w:r>
        <w:t>–</w:t>
      </w:r>
      <w:r>
        <w:rPr>
          <w:spacing w:val="-4"/>
        </w:rPr>
        <w:t xml:space="preserve"> </w:t>
      </w:r>
      <w:r>
        <w:t>Federal</w:t>
      </w:r>
      <w:r>
        <w:rPr>
          <w:spacing w:val="-6"/>
        </w:rPr>
        <w:t xml:space="preserve"> </w:t>
      </w:r>
      <w:r>
        <w:t>Employees’</w:t>
      </w:r>
      <w:r>
        <w:rPr>
          <w:spacing w:val="-22"/>
        </w:rPr>
        <w:t xml:space="preserve"> </w:t>
      </w:r>
      <w:r>
        <w:t>Retirement</w:t>
      </w:r>
      <w:r>
        <w:rPr>
          <w:spacing w:val="-6"/>
        </w:rPr>
        <w:t xml:space="preserve"> </w:t>
      </w:r>
      <w:r>
        <w:t>System</w:t>
      </w:r>
      <w:r>
        <w:rPr>
          <w:spacing w:val="-18"/>
        </w:rPr>
        <w:t xml:space="preserve"> </w:t>
      </w:r>
      <w:r>
        <w:t>Act</w:t>
      </w:r>
      <w:r>
        <w:rPr>
          <w:spacing w:val="-5"/>
        </w:rPr>
        <w:t xml:space="preserve"> </w:t>
      </w:r>
      <w:r>
        <w:t>(FE</w:t>
      </w:r>
      <w:bookmarkStart w:id="245" w:name="_bookmark133"/>
      <w:bookmarkEnd w:id="245"/>
      <w:r>
        <w:t>R</w:t>
      </w:r>
      <w:bookmarkStart w:id="246" w:name="_bookmark134"/>
      <w:bookmarkEnd w:id="246"/>
      <w:r>
        <w:t>SA)</w:t>
      </w:r>
      <w:bookmarkStart w:id="247" w:name="_bookmark135"/>
      <w:bookmarkEnd w:id="247"/>
      <w:r>
        <w:t>,</w:t>
      </w:r>
      <w:r>
        <w:rPr>
          <w:spacing w:val="-6"/>
        </w:rPr>
        <w:t xml:space="preserve"> </w:t>
      </w:r>
      <w:r>
        <w:t>as</w:t>
      </w:r>
      <w:r>
        <w:rPr>
          <w:spacing w:val="-4"/>
        </w:rPr>
        <w:t xml:space="preserve"> </w:t>
      </w:r>
      <w:r>
        <w:t>Provided</w:t>
      </w:r>
      <w:r>
        <w:rPr>
          <w:spacing w:val="-5"/>
        </w:rPr>
        <w:t xml:space="preserve"> </w:t>
      </w:r>
      <w:r>
        <w:t>in</w:t>
      </w:r>
      <w:r>
        <w:rPr>
          <w:spacing w:val="-5"/>
        </w:rPr>
        <w:t xml:space="preserve"> </w:t>
      </w:r>
      <w:r>
        <w:t>5</w:t>
      </w:r>
      <w:r>
        <w:rPr>
          <w:spacing w:val="-5"/>
        </w:rPr>
        <w:t xml:space="preserve"> </w:t>
      </w:r>
      <w:r>
        <w:t>U.S.C.</w:t>
      </w:r>
      <w:r>
        <w:rPr>
          <w:u w:val="none"/>
        </w:rPr>
        <w:t xml:space="preserve"> </w:t>
      </w:r>
      <w:r>
        <w:t>Chapter 84</w:t>
      </w:r>
    </w:p>
    <w:p w14:paraId="0DFDBDAC" w14:textId="77777777" w:rsidR="00046465" w:rsidRDefault="008134EB">
      <w:pPr>
        <w:pStyle w:val="BodyText"/>
        <w:spacing w:before="239"/>
        <w:ind w:left="360"/>
      </w:pPr>
      <w:r>
        <w:t>Note: The auditor should complete this compliance summary or prepare equivalent documentation only if provisions of the Federal Employees’</w:t>
      </w:r>
      <w:r>
        <w:rPr>
          <w:spacing w:val="-2"/>
        </w:rPr>
        <w:t xml:space="preserve"> </w:t>
      </w:r>
      <w:r>
        <w:t>Retirement</w:t>
      </w:r>
      <w:r>
        <w:rPr>
          <w:spacing w:val="-2"/>
        </w:rPr>
        <w:t xml:space="preserve"> </w:t>
      </w:r>
      <w:r>
        <w:t>System</w:t>
      </w:r>
      <w:r>
        <w:rPr>
          <w:spacing w:val="-3"/>
        </w:rPr>
        <w:t xml:space="preserve"> </w:t>
      </w:r>
      <w:r>
        <w:t>Act</w:t>
      </w:r>
      <w:r>
        <w:rPr>
          <w:spacing w:val="-2"/>
        </w:rPr>
        <w:t xml:space="preserve"> </w:t>
      </w:r>
      <w:r>
        <w:t>(FERSA),</w:t>
      </w:r>
      <w:r>
        <w:rPr>
          <w:spacing w:val="-2"/>
        </w:rPr>
        <w:t xml:space="preserve"> </w:t>
      </w:r>
      <w:r>
        <w:t>as</w:t>
      </w:r>
      <w:r>
        <w:rPr>
          <w:spacing w:val="-2"/>
        </w:rPr>
        <w:t xml:space="preserve"> </w:t>
      </w:r>
      <w:r>
        <w:t>provided</w:t>
      </w:r>
      <w:r>
        <w:rPr>
          <w:spacing w:val="-3"/>
        </w:rPr>
        <w:t xml:space="preserve"> </w:t>
      </w:r>
      <w:r>
        <w:t>in</w:t>
      </w:r>
      <w:r>
        <w:rPr>
          <w:spacing w:val="-2"/>
        </w:rPr>
        <w:t xml:space="preserve"> </w:t>
      </w:r>
      <w:r>
        <w:t>5</w:t>
      </w:r>
      <w:r>
        <w:rPr>
          <w:spacing w:val="-2"/>
        </w:rPr>
        <w:t xml:space="preserve"> </w:t>
      </w:r>
      <w:r>
        <w:t>U.S.C.</w:t>
      </w:r>
      <w:r>
        <w:rPr>
          <w:spacing w:val="-2"/>
        </w:rPr>
        <w:t xml:space="preserve"> </w:t>
      </w:r>
      <w:r>
        <w:t>chapter</w:t>
      </w:r>
      <w:r>
        <w:rPr>
          <w:spacing w:val="-2"/>
        </w:rPr>
        <w:t xml:space="preserve"> </w:t>
      </w:r>
      <w:r>
        <w:t>84,</w:t>
      </w:r>
      <w:r>
        <w:rPr>
          <w:spacing w:val="-2"/>
        </w:rPr>
        <w:t xml:space="preserve"> </w:t>
      </w:r>
      <w:r>
        <w:t>are</w:t>
      </w:r>
      <w:r>
        <w:rPr>
          <w:spacing w:val="-2"/>
        </w:rPr>
        <w:t xml:space="preserve"> </w:t>
      </w:r>
      <w:r>
        <w:t>significant,</w:t>
      </w:r>
      <w:r>
        <w:rPr>
          <w:spacing w:val="-2"/>
        </w:rPr>
        <w:t xml:space="preserve"> </w:t>
      </w:r>
      <w:r>
        <w:t>as</w:t>
      </w:r>
      <w:r>
        <w:rPr>
          <w:spacing w:val="-2"/>
        </w:rPr>
        <w:t xml:space="preserve"> </w:t>
      </w:r>
      <w:r>
        <w:t>indicated</w:t>
      </w:r>
      <w:r>
        <w:rPr>
          <w:spacing w:val="-2"/>
        </w:rPr>
        <w:t xml:space="preserve"> </w:t>
      </w:r>
      <w:r>
        <w:t>on</w:t>
      </w:r>
      <w:r>
        <w:rPr>
          <w:spacing w:val="-2"/>
        </w:rPr>
        <w:t xml:space="preserve"> </w:t>
      </w:r>
      <w:r>
        <w:t>Form</w:t>
      </w:r>
      <w:r>
        <w:rPr>
          <w:spacing w:val="-3"/>
        </w:rPr>
        <w:t xml:space="preserve"> </w:t>
      </w:r>
      <w:r>
        <w:t>802,</w:t>
      </w:r>
      <w:r>
        <w:rPr>
          <w:spacing w:val="-2"/>
        </w:rPr>
        <w:t xml:space="preserve"> </w:t>
      </w:r>
      <w:r>
        <w:t>General Compliance Checklist. Implementing regulations for FERSA’s general administration are included in 5 C.F.R. Part 841.</w:t>
      </w:r>
    </w:p>
    <w:p w14:paraId="0DFDBDAD" w14:textId="77777777" w:rsidR="00046465" w:rsidRDefault="00046465">
      <w:pPr>
        <w:pStyle w:val="BodyText"/>
        <w:rPr>
          <w:sz w:val="20"/>
        </w:rPr>
      </w:pPr>
    </w:p>
    <w:p w14:paraId="0DFDBDAE" w14:textId="77777777" w:rsidR="00046465" w:rsidRDefault="00046465">
      <w:pPr>
        <w:pStyle w:val="BodyText"/>
        <w:spacing w:before="92"/>
        <w:rPr>
          <w:sz w:val="20"/>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68"/>
        <w:gridCol w:w="1776"/>
        <w:gridCol w:w="2201"/>
        <w:gridCol w:w="1519"/>
        <w:gridCol w:w="1640"/>
        <w:gridCol w:w="2172"/>
      </w:tblGrid>
      <w:tr w:rsidR="00046465" w14:paraId="0DFDBDB2" w14:textId="77777777">
        <w:trPr>
          <w:trHeight w:val="1573"/>
        </w:trPr>
        <w:tc>
          <w:tcPr>
            <w:tcW w:w="13176" w:type="dxa"/>
            <w:gridSpan w:val="6"/>
          </w:tcPr>
          <w:p w14:paraId="0DFDBDAF" w14:textId="77777777" w:rsidR="00046465" w:rsidRDefault="008134EB">
            <w:pPr>
              <w:pStyle w:val="TableParagraph"/>
              <w:tabs>
                <w:tab w:val="left" w:pos="9184"/>
              </w:tabs>
              <w:spacing w:before="144"/>
              <w:ind w:right="1925"/>
              <w:jc w:val="center"/>
            </w:pPr>
            <w:r>
              <w:t>Name</w:t>
            </w:r>
            <w:r>
              <w:rPr>
                <w:spacing w:val="-5"/>
              </w:rPr>
              <w:t xml:space="preserve"> </w:t>
            </w:r>
            <w:r>
              <w:t>of</w:t>
            </w:r>
            <w:r>
              <w:rPr>
                <w:spacing w:val="-5"/>
              </w:rPr>
              <w:t xml:space="preserve"> </w:t>
            </w:r>
            <w:r>
              <w:rPr>
                <w:spacing w:val="-2"/>
              </w:rPr>
              <w:t>entity:</w:t>
            </w:r>
            <w:r>
              <w:tab/>
              <w:t>Prepared</w:t>
            </w:r>
            <w:r>
              <w:rPr>
                <w:spacing w:val="-11"/>
              </w:rPr>
              <w:t xml:space="preserve"> </w:t>
            </w:r>
            <w:r>
              <w:rPr>
                <w:spacing w:val="-5"/>
              </w:rPr>
              <w:t>by:</w:t>
            </w:r>
          </w:p>
          <w:p w14:paraId="0DFDBDB0" w14:textId="77777777" w:rsidR="00046465" w:rsidRDefault="008134EB">
            <w:pPr>
              <w:pStyle w:val="TableParagraph"/>
              <w:spacing w:before="11"/>
              <w:ind w:left="1946" w:right="1925"/>
              <w:jc w:val="center"/>
              <w:rPr>
                <w:b/>
                <w:sz w:val="24"/>
              </w:rPr>
            </w:pPr>
            <w:r>
              <w:rPr>
                <w:b/>
                <w:noProof/>
                <w:sz w:val="24"/>
              </w:rPr>
              <mc:AlternateContent>
                <mc:Choice Requires="wpg">
                  <w:drawing>
                    <wp:anchor distT="0" distB="0" distL="0" distR="0" simplePos="0" relativeHeight="476170752" behindDoc="1" locked="0" layoutInCell="1" allowOverlap="1" wp14:anchorId="0DFDD6D9" wp14:editId="0DFDD6DA">
                      <wp:simplePos x="0" y="0"/>
                      <wp:positionH relativeFrom="column">
                        <wp:posOffset>6953250</wp:posOffset>
                      </wp:positionH>
                      <wp:positionV relativeFrom="paragraph">
                        <wp:posOffset>91247</wp:posOffset>
                      </wp:positionV>
                      <wp:extent cx="1344930" cy="6350"/>
                      <wp:effectExtent l="0" t="0" r="0" b="0"/>
                      <wp:wrapNone/>
                      <wp:docPr id="825"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826" name="Graphic 826"/>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010B2A" id="Group 825" o:spid="_x0000_s1026" style="position:absolute;margin-left:547.5pt;margin-top:7.2pt;width:105.9pt;height:.5pt;z-index:-27145728;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">
                      <v:shape id="Graphic 826"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" path="m1344929,l,,,6108r1344929,l1344929,xe" fillcolor="black" stroked="f">
                        <v:path arrowok="t"/>
                      </v:shape>
                    </v:group>
                  </w:pict>
                </mc:Fallback>
              </mc:AlternateContent>
            </w:r>
            <w:r>
              <w:rPr>
                <w:b/>
                <w:noProof/>
                <w:sz w:val="24"/>
              </w:rPr>
              <mc:AlternateContent>
                <mc:Choice Requires="wpg">
                  <w:drawing>
                    <wp:anchor distT="0" distB="0" distL="0" distR="0" simplePos="0" relativeHeight="476171776" behindDoc="1" locked="0" layoutInCell="1" allowOverlap="1" wp14:anchorId="0DFDD6DB" wp14:editId="0DFDD6DC">
                      <wp:simplePos x="0" y="0"/>
                      <wp:positionH relativeFrom="column">
                        <wp:posOffset>6953250</wp:posOffset>
                      </wp:positionH>
                      <wp:positionV relativeFrom="paragraph">
                        <wp:posOffset>441005</wp:posOffset>
                      </wp:positionV>
                      <wp:extent cx="1344930" cy="6350"/>
                      <wp:effectExtent l="0" t="0" r="0" b="0"/>
                      <wp:wrapNone/>
                      <wp:docPr id="827"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828" name="Graphic 828"/>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28063D8" id="Group 827" o:spid="_x0000_s1026" style="position:absolute;margin-left:547.5pt;margin-top:34.7pt;width:105.9pt;height:.5pt;z-index:-27144704;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">
                      <v:shape id="Graphic 828"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" path="m1344929,l,,,6108r1344929,l1344929,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DB1" w14:textId="77777777" w:rsidR="00046465" w:rsidRDefault="008134EB">
            <w:pPr>
              <w:pStyle w:val="TableParagraph"/>
              <w:tabs>
                <w:tab w:val="left" w:pos="8878"/>
              </w:tabs>
              <w:spacing w:before="11"/>
              <w:ind w:right="1681"/>
              <w:jc w:val="center"/>
            </w:pPr>
            <w:r>
              <w:rPr>
                <w:noProof/>
              </w:rPr>
              <mc:AlternateContent>
                <mc:Choice Requires="wpg">
                  <w:drawing>
                    <wp:anchor distT="0" distB="0" distL="0" distR="0" simplePos="0" relativeHeight="476170240" behindDoc="1" locked="0" layoutInCell="1" allowOverlap="1" wp14:anchorId="0DFDD6DD" wp14:editId="0DFDD6DE">
                      <wp:simplePos x="0" y="0"/>
                      <wp:positionH relativeFrom="column">
                        <wp:posOffset>1260347</wp:posOffset>
                      </wp:positionH>
                      <wp:positionV relativeFrom="paragraph">
                        <wp:posOffset>-91325</wp:posOffset>
                      </wp:positionV>
                      <wp:extent cx="1183005" cy="6350"/>
                      <wp:effectExtent l="0" t="0" r="0" b="0"/>
                      <wp:wrapNone/>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830" name="Graphic 830"/>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7BF5EE4" id="Group 829" o:spid="_x0000_s1026" style="position:absolute;margin-left:99.25pt;margin-top:-7.2pt;width:93.15pt;height:.5pt;z-index:-27146240;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">
                      <v:shape id="Graphic 830"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" path="m1182611,l,,,6108r1182611,l1182611,xe" fillcolor="black" stroked="f">
                        <v:path arrowok="t"/>
                      </v:shape>
                    </v:group>
                  </w:pict>
                </mc:Fallback>
              </mc:AlternateContent>
            </w:r>
            <w:r>
              <w:rPr>
                <w:noProof/>
              </w:rPr>
              <mc:AlternateContent>
                <mc:Choice Requires="wpg">
                  <w:drawing>
                    <wp:anchor distT="0" distB="0" distL="0" distR="0" simplePos="0" relativeHeight="476171264" behindDoc="1" locked="0" layoutInCell="1" allowOverlap="1" wp14:anchorId="0DFDD6DF" wp14:editId="0DFDD6E0">
                      <wp:simplePos x="0" y="0"/>
                      <wp:positionH relativeFrom="column">
                        <wp:posOffset>1260347</wp:posOffset>
                      </wp:positionH>
                      <wp:positionV relativeFrom="paragraph">
                        <wp:posOffset>258432</wp:posOffset>
                      </wp:positionV>
                      <wp:extent cx="1183005" cy="6350"/>
                      <wp:effectExtent l="0" t="0" r="0" b="0"/>
                      <wp:wrapNone/>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832" name="Graphic 832"/>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57E3769" id="Group 831" o:spid="_x0000_s1026" style="position:absolute;margin-left:99.25pt;margin-top:20.35pt;width:93.15pt;height:.5pt;z-index:-27145216;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">
                      <v:shape id="Graphic 832"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" path="m1182611,l,,,6108r1182611,l1182611,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DBD" w14:textId="77777777">
        <w:trPr>
          <w:trHeight w:val="794"/>
        </w:trPr>
        <w:tc>
          <w:tcPr>
            <w:tcW w:w="3868" w:type="dxa"/>
            <w:tcBorders>
              <w:right w:val="single" w:sz="4" w:space="0" w:color="000000"/>
            </w:tcBorders>
          </w:tcPr>
          <w:p w14:paraId="0DFDBDB3" w14:textId="77777777" w:rsidR="00046465" w:rsidRDefault="00046465">
            <w:pPr>
              <w:pStyle w:val="TableParagraph"/>
              <w:spacing w:before="144"/>
            </w:pPr>
          </w:p>
          <w:p w14:paraId="0DFDBDB4" w14:textId="77777777" w:rsidR="00046465" w:rsidRDefault="008134EB">
            <w:pPr>
              <w:pStyle w:val="TableParagraph"/>
              <w:spacing w:before="1"/>
              <w:ind w:left="97"/>
            </w:pPr>
            <w:r>
              <w:t>Provision</w:t>
            </w:r>
            <w:r>
              <w:rPr>
                <w:spacing w:val="-11"/>
              </w:rPr>
              <w:t xml:space="preserve"> </w:t>
            </w:r>
            <w:r>
              <w:rPr>
                <w:spacing w:val="-2"/>
              </w:rPr>
              <w:t>Description</w:t>
            </w:r>
          </w:p>
        </w:tc>
        <w:tc>
          <w:tcPr>
            <w:tcW w:w="1776" w:type="dxa"/>
            <w:tcBorders>
              <w:left w:val="single" w:sz="4" w:space="0" w:color="000000"/>
              <w:right w:val="single" w:sz="4" w:space="0" w:color="000000"/>
            </w:tcBorders>
          </w:tcPr>
          <w:p w14:paraId="0DFDBDB5" w14:textId="77777777" w:rsidR="00046465" w:rsidRDefault="00046465">
            <w:pPr>
              <w:pStyle w:val="TableParagraph"/>
              <w:spacing w:before="144"/>
            </w:pPr>
          </w:p>
          <w:p w14:paraId="0DFDBDB6" w14:textId="77777777" w:rsidR="00046465" w:rsidRDefault="008134EB">
            <w:pPr>
              <w:pStyle w:val="TableParagraph"/>
              <w:spacing w:before="1"/>
              <w:ind w:left="107"/>
            </w:pPr>
            <w:r>
              <w:rPr>
                <w:spacing w:val="-2"/>
              </w:rPr>
              <w:t>Objective</w:t>
            </w:r>
          </w:p>
        </w:tc>
        <w:tc>
          <w:tcPr>
            <w:tcW w:w="2201" w:type="dxa"/>
            <w:tcBorders>
              <w:left w:val="single" w:sz="4" w:space="0" w:color="000000"/>
              <w:right w:val="single" w:sz="4" w:space="0" w:color="000000"/>
            </w:tcBorders>
          </w:tcPr>
          <w:p w14:paraId="0DFDBDB7" w14:textId="77777777" w:rsidR="00046465" w:rsidRDefault="00046465">
            <w:pPr>
              <w:pStyle w:val="TableParagraph"/>
              <w:spacing w:before="144"/>
            </w:pPr>
          </w:p>
          <w:p w14:paraId="0DFDBDB8" w14:textId="77777777" w:rsidR="00046465" w:rsidRDefault="008134EB">
            <w:pPr>
              <w:pStyle w:val="TableParagraph"/>
              <w:spacing w:before="1"/>
              <w:ind w:left="106"/>
            </w:pPr>
            <w:r>
              <w:t>Control</w:t>
            </w:r>
            <w:r>
              <w:rPr>
                <w:spacing w:val="-9"/>
              </w:rPr>
              <w:t xml:space="preserve"> </w:t>
            </w:r>
            <w:r>
              <w:rPr>
                <w:spacing w:val="-2"/>
              </w:rPr>
              <w:t>Activities</w:t>
            </w:r>
          </w:p>
        </w:tc>
        <w:tc>
          <w:tcPr>
            <w:tcW w:w="1519" w:type="dxa"/>
            <w:tcBorders>
              <w:left w:val="single" w:sz="4" w:space="0" w:color="000000"/>
              <w:right w:val="single" w:sz="4" w:space="0" w:color="000000"/>
            </w:tcBorders>
          </w:tcPr>
          <w:p w14:paraId="0DFDBDB9" w14:textId="77777777" w:rsidR="00046465" w:rsidRDefault="00046465">
            <w:pPr>
              <w:pStyle w:val="TableParagraph"/>
              <w:spacing w:before="144"/>
            </w:pPr>
          </w:p>
          <w:p w14:paraId="0DFDBDBA" w14:textId="77777777" w:rsidR="00046465" w:rsidRDefault="008134EB">
            <w:pPr>
              <w:pStyle w:val="TableParagraph"/>
              <w:spacing w:before="1"/>
              <w:ind w:left="107"/>
            </w:pPr>
            <w:r>
              <w:t>IS</w:t>
            </w:r>
            <w:r>
              <w:rPr>
                <w:spacing w:val="-3"/>
              </w:rPr>
              <w:t xml:space="preserve"> </w:t>
            </w:r>
            <w:r>
              <w:rPr>
                <w:spacing w:val="-2"/>
              </w:rPr>
              <w:t>(Y/N)</w:t>
            </w:r>
          </w:p>
        </w:tc>
        <w:tc>
          <w:tcPr>
            <w:tcW w:w="1640" w:type="dxa"/>
            <w:tcBorders>
              <w:left w:val="single" w:sz="4" w:space="0" w:color="000000"/>
              <w:right w:val="single" w:sz="4" w:space="0" w:color="000000"/>
            </w:tcBorders>
          </w:tcPr>
          <w:p w14:paraId="0DFDBDBB" w14:textId="77777777" w:rsidR="00046465" w:rsidRDefault="008134EB">
            <w:pPr>
              <w:pStyle w:val="TableParagraph"/>
              <w:spacing w:before="144"/>
              <w:ind w:left="107" w:right="99"/>
            </w:pPr>
            <w:r>
              <w:rPr>
                <w:spacing w:val="-2"/>
              </w:rPr>
              <w:t>Effective controls?</w:t>
            </w:r>
          </w:p>
        </w:tc>
        <w:tc>
          <w:tcPr>
            <w:tcW w:w="2172" w:type="dxa"/>
            <w:tcBorders>
              <w:left w:val="single" w:sz="4" w:space="0" w:color="000000"/>
            </w:tcBorders>
          </w:tcPr>
          <w:p w14:paraId="0DFDBDBC" w14:textId="77777777" w:rsidR="00046465" w:rsidRDefault="008134EB">
            <w:pPr>
              <w:pStyle w:val="TableParagraph"/>
              <w:spacing w:before="144"/>
              <w:ind w:left="107"/>
            </w:pPr>
            <w:r>
              <w:t xml:space="preserve">Instances of </w:t>
            </w:r>
            <w:r>
              <w:rPr>
                <w:spacing w:val="-2"/>
              </w:rPr>
              <w:t>noncompliance?</w:t>
            </w:r>
          </w:p>
        </w:tc>
      </w:tr>
      <w:tr w:rsidR="00046465" w14:paraId="0DFDBDCA" w14:textId="77777777">
        <w:trPr>
          <w:trHeight w:val="2438"/>
        </w:trPr>
        <w:tc>
          <w:tcPr>
            <w:tcW w:w="3868" w:type="dxa"/>
            <w:tcBorders>
              <w:bottom w:val="single" w:sz="4" w:space="0" w:color="000000"/>
              <w:right w:val="single" w:sz="4" w:space="0" w:color="000000"/>
            </w:tcBorders>
          </w:tcPr>
          <w:p w14:paraId="0DFDBDBE" w14:textId="77777777" w:rsidR="00046465" w:rsidRDefault="008134EB">
            <w:pPr>
              <w:pStyle w:val="TableParagraph"/>
              <w:spacing w:before="143"/>
              <w:ind w:left="817" w:right="136" w:hanging="720"/>
              <w:rPr>
                <w:sz w:val="18"/>
              </w:rPr>
            </w:pPr>
            <w:r>
              <w:rPr>
                <w:smallCaps/>
                <w:sz w:val="18"/>
              </w:rPr>
              <w:t xml:space="preserve">811.01. </w:t>
            </w:r>
            <w:r>
              <w:rPr>
                <w:smallCaps/>
                <w:spacing w:val="20"/>
                <w:sz w:val="18"/>
              </w:rPr>
              <w:t xml:space="preserve"> </w:t>
            </w:r>
            <w:r>
              <w:rPr>
                <w:smallCaps/>
                <w:sz w:val="18"/>
              </w:rPr>
              <w:t>Entity Withholdings From</w:t>
            </w:r>
            <w:r>
              <w:rPr>
                <w:smallCaps/>
                <w:spacing w:val="40"/>
                <w:sz w:val="18"/>
              </w:rPr>
              <w:t xml:space="preserve"> </w:t>
            </w:r>
            <w:r>
              <w:rPr>
                <w:smallCaps/>
                <w:sz w:val="18"/>
              </w:rPr>
              <w:t>Employee</w:t>
            </w:r>
            <w:r>
              <w:rPr>
                <w:smallCaps/>
                <w:spacing w:val="-10"/>
                <w:sz w:val="18"/>
              </w:rPr>
              <w:t xml:space="preserve"> </w:t>
            </w:r>
            <w:r>
              <w:rPr>
                <w:smallCaps/>
                <w:sz w:val="18"/>
              </w:rPr>
              <w:t>Pay</w:t>
            </w:r>
            <w:r>
              <w:rPr>
                <w:smallCaps/>
                <w:spacing w:val="-10"/>
                <w:sz w:val="18"/>
              </w:rPr>
              <w:t xml:space="preserve"> </w:t>
            </w:r>
            <w:r>
              <w:rPr>
                <w:smallCaps/>
                <w:sz w:val="18"/>
              </w:rPr>
              <w:t>for</w:t>
            </w:r>
            <w:r>
              <w:rPr>
                <w:smallCaps/>
                <w:spacing w:val="-10"/>
                <w:sz w:val="18"/>
              </w:rPr>
              <w:t xml:space="preserve"> </w:t>
            </w:r>
            <w:r>
              <w:rPr>
                <w:smallCaps/>
                <w:sz w:val="18"/>
              </w:rPr>
              <w:t>Retirement</w:t>
            </w:r>
            <w:r>
              <w:rPr>
                <w:smallCaps/>
                <w:spacing w:val="40"/>
                <w:sz w:val="18"/>
              </w:rPr>
              <w:t xml:space="preserve"> </w:t>
            </w:r>
            <w:r>
              <w:rPr>
                <w:smallCaps/>
                <w:spacing w:val="-2"/>
                <w:sz w:val="18"/>
              </w:rPr>
              <w:t>Benefits.</w:t>
            </w:r>
          </w:p>
          <w:p w14:paraId="0DFDBDBF" w14:textId="77777777" w:rsidR="00046465" w:rsidRDefault="008134EB">
            <w:pPr>
              <w:pStyle w:val="TableParagraph"/>
              <w:spacing w:before="145"/>
              <w:ind w:left="97"/>
              <w:rPr>
                <w:sz w:val="18"/>
              </w:rPr>
            </w:pPr>
            <w:r>
              <w:rPr>
                <w:sz w:val="18"/>
              </w:rPr>
              <w:t>Provision</w:t>
            </w:r>
            <w:r>
              <w:rPr>
                <w:spacing w:val="-10"/>
                <w:sz w:val="18"/>
              </w:rPr>
              <w:t xml:space="preserve"> </w:t>
            </w:r>
            <w:r>
              <w:rPr>
                <w:sz w:val="18"/>
              </w:rPr>
              <w:t>Type:</w:t>
            </w:r>
            <w:r>
              <w:rPr>
                <w:spacing w:val="-8"/>
                <w:sz w:val="18"/>
              </w:rPr>
              <w:t xml:space="preserve"> </w:t>
            </w:r>
            <w:r>
              <w:rPr>
                <w:sz w:val="18"/>
              </w:rPr>
              <w:t>Transaction-</w:t>
            </w:r>
            <w:r>
              <w:rPr>
                <w:spacing w:val="-2"/>
                <w:sz w:val="18"/>
              </w:rPr>
              <w:t>based.</w:t>
            </w:r>
          </w:p>
          <w:p w14:paraId="0DFDBDC0" w14:textId="77777777" w:rsidR="00046465" w:rsidRDefault="008134EB">
            <w:pPr>
              <w:pStyle w:val="TableParagraph"/>
              <w:spacing w:before="142" w:line="237" w:lineRule="auto"/>
              <w:ind w:left="97" w:right="128" w:hanging="1"/>
              <w:rPr>
                <w:sz w:val="18"/>
              </w:rPr>
            </w:pPr>
            <w:r>
              <w:rPr>
                <w:sz w:val="18"/>
              </w:rPr>
              <w:t>For each employee</w:t>
            </w:r>
            <w:hyperlink w:anchor="_bookmark133" w:history="1">
              <w:r>
                <w:rPr>
                  <w:position w:val="6"/>
                  <w:sz w:val="12"/>
                </w:rPr>
                <w:t>62</w:t>
              </w:r>
            </w:hyperlink>
            <w:r>
              <w:rPr>
                <w:spacing w:val="40"/>
                <w:position w:val="6"/>
                <w:sz w:val="12"/>
              </w:rPr>
              <w:t xml:space="preserve"> </w:t>
            </w:r>
            <w:r>
              <w:rPr>
                <w:sz w:val="18"/>
              </w:rPr>
              <w:t>employed after December 31, 1983,</w:t>
            </w:r>
            <w:hyperlink w:anchor="_bookmark134" w:history="1">
              <w:r>
                <w:rPr>
                  <w:position w:val="6"/>
                  <w:sz w:val="12"/>
                </w:rPr>
                <w:t>63</w:t>
              </w:r>
            </w:hyperlink>
            <w:r>
              <w:rPr>
                <w:spacing w:val="40"/>
                <w:position w:val="6"/>
                <w:sz w:val="12"/>
              </w:rPr>
              <w:t xml:space="preserve"> </w:t>
            </w:r>
            <w:r>
              <w:rPr>
                <w:sz w:val="18"/>
              </w:rPr>
              <w:t>the entity shall withhold a percentage of the employee’s basic</w:t>
            </w:r>
            <w:r>
              <w:rPr>
                <w:spacing w:val="-4"/>
                <w:sz w:val="18"/>
              </w:rPr>
              <w:t xml:space="preserve"> </w:t>
            </w:r>
            <w:r>
              <w:rPr>
                <w:sz w:val="18"/>
              </w:rPr>
              <w:t>pay</w:t>
            </w:r>
            <w:r>
              <w:rPr>
                <w:spacing w:val="-4"/>
                <w:sz w:val="18"/>
              </w:rPr>
              <w:t xml:space="preserve"> </w:t>
            </w:r>
            <w:r>
              <w:rPr>
                <w:sz w:val="18"/>
              </w:rPr>
              <w:t>(typically</w:t>
            </w:r>
            <w:r>
              <w:rPr>
                <w:spacing w:val="-4"/>
                <w:sz w:val="18"/>
              </w:rPr>
              <w:t xml:space="preserve"> </w:t>
            </w:r>
            <w:r>
              <w:rPr>
                <w:sz w:val="18"/>
              </w:rPr>
              <w:t>0.80%</w:t>
            </w:r>
            <w:r>
              <w:rPr>
                <w:spacing w:val="-5"/>
                <w:sz w:val="18"/>
              </w:rPr>
              <w:t xml:space="preserve"> </w:t>
            </w:r>
            <w:r>
              <w:rPr>
                <w:sz w:val="18"/>
              </w:rPr>
              <w:t>of</w:t>
            </w:r>
            <w:r>
              <w:rPr>
                <w:spacing w:val="-4"/>
                <w:sz w:val="18"/>
              </w:rPr>
              <w:t xml:space="preserve"> </w:t>
            </w:r>
            <w:r>
              <w:rPr>
                <w:sz w:val="18"/>
              </w:rPr>
              <w:t>basic</w:t>
            </w:r>
            <w:r>
              <w:rPr>
                <w:spacing w:val="-4"/>
                <w:sz w:val="18"/>
              </w:rPr>
              <w:t xml:space="preserve"> </w:t>
            </w:r>
            <w:r>
              <w:rPr>
                <w:sz w:val="18"/>
              </w:rPr>
              <w:t>pay).</w:t>
            </w:r>
            <w:hyperlink w:anchor="_bookmark135" w:history="1">
              <w:r>
                <w:rPr>
                  <w:position w:val="6"/>
                  <w:sz w:val="12"/>
                </w:rPr>
                <w:t>64</w:t>
              </w:r>
            </w:hyperlink>
            <w:r>
              <w:rPr>
                <w:spacing w:val="13"/>
                <w:position w:val="6"/>
                <w:sz w:val="12"/>
              </w:rPr>
              <w:t xml:space="preserve"> </w:t>
            </w:r>
            <w:r>
              <w:rPr>
                <w:sz w:val="18"/>
              </w:rPr>
              <w:t>5</w:t>
            </w:r>
          </w:p>
          <w:p w14:paraId="0DFDBDC1" w14:textId="77777777" w:rsidR="00046465" w:rsidRDefault="008134EB">
            <w:pPr>
              <w:pStyle w:val="TableParagraph"/>
              <w:ind w:left="97"/>
              <w:rPr>
                <w:sz w:val="18"/>
              </w:rPr>
            </w:pPr>
            <w:r>
              <w:rPr>
                <w:sz w:val="18"/>
              </w:rPr>
              <w:t>U.S.C.</w:t>
            </w:r>
            <w:r>
              <w:rPr>
                <w:spacing w:val="-2"/>
                <w:sz w:val="18"/>
              </w:rPr>
              <w:t xml:space="preserve"> </w:t>
            </w:r>
            <w:r>
              <w:rPr>
                <w:sz w:val="18"/>
              </w:rPr>
              <w:t>§</w:t>
            </w:r>
            <w:r>
              <w:rPr>
                <w:spacing w:val="-2"/>
                <w:sz w:val="18"/>
              </w:rPr>
              <w:t xml:space="preserve"> 8422(a)(1).</w:t>
            </w:r>
          </w:p>
        </w:tc>
        <w:tc>
          <w:tcPr>
            <w:tcW w:w="1776" w:type="dxa"/>
            <w:tcBorders>
              <w:left w:val="single" w:sz="4" w:space="0" w:color="000000"/>
              <w:bottom w:val="single" w:sz="4" w:space="0" w:color="000000"/>
              <w:right w:val="single" w:sz="4" w:space="0" w:color="000000"/>
            </w:tcBorders>
          </w:tcPr>
          <w:p w14:paraId="0DFDBDC2" w14:textId="77777777" w:rsidR="00046465" w:rsidRDefault="008134EB">
            <w:pPr>
              <w:pStyle w:val="TableParagraph"/>
              <w:spacing w:before="143"/>
              <w:ind w:left="107" w:right="165"/>
              <w:rPr>
                <w:sz w:val="18"/>
              </w:rPr>
            </w:pPr>
            <w:r>
              <w:rPr>
                <w:sz w:val="18"/>
              </w:rPr>
              <w:t>The appropriate amount</w:t>
            </w:r>
            <w:r>
              <w:rPr>
                <w:spacing w:val="-15"/>
                <w:sz w:val="18"/>
              </w:rPr>
              <w:t xml:space="preserve"> </w:t>
            </w:r>
            <w:r>
              <w:rPr>
                <w:sz w:val="18"/>
              </w:rPr>
              <w:t>is</w:t>
            </w:r>
            <w:r>
              <w:rPr>
                <w:spacing w:val="-12"/>
                <w:sz w:val="18"/>
              </w:rPr>
              <w:t xml:space="preserve"> </w:t>
            </w:r>
            <w:r>
              <w:rPr>
                <w:sz w:val="18"/>
              </w:rPr>
              <w:t>withheld from employees’ pay. (See footnotes 61</w:t>
            </w:r>
          </w:p>
          <w:p w14:paraId="0DFDBDC3" w14:textId="77777777" w:rsidR="00046465" w:rsidRDefault="008134EB">
            <w:pPr>
              <w:pStyle w:val="TableParagraph"/>
              <w:spacing w:before="1"/>
              <w:ind w:left="107"/>
              <w:rPr>
                <w:sz w:val="18"/>
              </w:rPr>
            </w:pPr>
            <w:r>
              <w:rPr>
                <w:sz w:val="18"/>
              </w:rPr>
              <w:t>through</w:t>
            </w:r>
            <w:r>
              <w:rPr>
                <w:spacing w:val="-3"/>
                <w:sz w:val="18"/>
              </w:rPr>
              <w:t xml:space="preserve"> </w:t>
            </w:r>
            <w:r>
              <w:rPr>
                <w:sz w:val="18"/>
              </w:rPr>
              <w:t>63</w:t>
            </w:r>
            <w:r>
              <w:rPr>
                <w:spacing w:val="-2"/>
                <w:sz w:val="18"/>
              </w:rPr>
              <w:t xml:space="preserve"> below.)</w:t>
            </w:r>
          </w:p>
        </w:tc>
        <w:tc>
          <w:tcPr>
            <w:tcW w:w="2201" w:type="dxa"/>
            <w:tcBorders>
              <w:left w:val="single" w:sz="4" w:space="0" w:color="000000"/>
              <w:bottom w:val="single" w:sz="4" w:space="0" w:color="000000"/>
              <w:right w:val="single" w:sz="4" w:space="0" w:color="000000"/>
            </w:tcBorders>
          </w:tcPr>
          <w:p w14:paraId="0DFDBDC4" w14:textId="77777777" w:rsidR="00046465" w:rsidRDefault="008134EB">
            <w:pPr>
              <w:pStyle w:val="TableParagraph"/>
              <w:spacing w:before="143"/>
              <w:ind w:left="106" w:right="153"/>
              <w:rPr>
                <w:sz w:val="18"/>
              </w:rPr>
            </w:pPr>
            <w:r>
              <w:rPr>
                <w:sz w:val="18"/>
              </w:rPr>
              <w:t>[Document</w:t>
            </w:r>
            <w:r>
              <w:rPr>
                <w:spacing w:val="-15"/>
                <w:sz w:val="18"/>
              </w:rPr>
              <w:t xml:space="preserve"> </w:t>
            </w:r>
            <w:r>
              <w:rPr>
                <w:sz w:val="18"/>
              </w:rPr>
              <w:t>the</w:t>
            </w:r>
            <w:r>
              <w:rPr>
                <w:spacing w:val="-12"/>
                <w:sz w:val="18"/>
              </w:rPr>
              <w:t xml:space="preserve"> </w:t>
            </w:r>
            <w:r>
              <w:rPr>
                <w:sz w:val="18"/>
              </w:rPr>
              <w:t>control techniques that the entity</w:t>
            </w:r>
            <w:r>
              <w:rPr>
                <w:spacing w:val="-6"/>
                <w:sz w:val="18"/>
              </w:rPr>
              <w:t xml:space="preserve"> </w:t>
            </w:r>
            <w:r>
              <w:rPr>
                <w:sz w:val="18"/>
              </w:rPr>
              <w:t>used</w:t>
            </w:r>
            <w:r>
              <w:rPr>
                <w:spacing w:val="-7"/>
                <w:sz w:val="18"/>
              </w:rPr>
              <w:t xml:space="preserve"> </w:t>
            </w:r>
            <w:r>
              <w:rPr>
                <w:sz w:val="18"/>
              </w:rPr>
              <w:t>to</w:t>
            </w:r>
            <w:r>
              <w:rPr>
                <w:spacing w:val="-7"/>
                <w:sz w:val="18"/>
              </w:rPr>
              <w:t xml:space="preserve"> </w:t>
            </w:r>
            <w:r>
              <w:rPr>
                <w:sz w:val="18"/>
              </w:rPr>
              <w:t>achieve the objective.]</w:t>
            </w:r>
          </w:p>
        </w:tc>
        <w:tc>
          <w:tcPr>
            <w:tcW w:w="1519" w:type="dxa"/>
            <w:tcBorders>
              <w:left w:val="single" w:sz="4" w:space="0" w:color="000000"/>
              <w:bottom w:val="single" w:sz="4" w:space="0" w:color="000000"/>
              <w:right w:val="single" w:sz="4" w:space="0" w:color="000000"/>
            </w:tcBorders>
          </w:tcPr>
          <w:p w14:paraId="0DFDBDC5" w14:textId="77777777" w:rsidR="00046465" w:rsidRDefault="008134EB">
            <w:pPr>
              <w:pStyle w:val="TableParagraph"/>
              <w:spacing w:before="143"/>
              <w:ind w:left="107" w:right="334"/>
              <w:rPr>
                <w:sz w:val="18"/>
              </w:rPr>
            </w:pPr>
            <w:r>
              <w:rPr>
                <w:sz w:val="18"/>
              </w:rPr>
              <w:t>[Does</w:t>
            </w:r>
            <w:r>
              <w:rPr>
                <w:spacing w:val="-13"/>
                <w:sz w:val="18"/>
              </w:rPr>
              <w:t xml:space="preserve"> </w:t>
            </w:r>
            <w:r>
              <w:rPr>
                <w:sz w:val="18"/>
              </w:rPr>
              <w:t xml:space="preserve">control depend on </w:t>
            </w:r>
            <w:r>
              <w:rPr>
                <w:spacing w:val="-2"/>
                <w:sz w:val="18"/>
              </w:rPr>
              <w:t>information system processing?]</w:t>
            </w:r>
          </w:p>
        </w:tc>
        <w:tc>
          <w:tcPr>
            <w:tcW w:w="1640" w:type="dxa"/>
            <w:tcBorders>
              <w:left w:val="single" w:sz="4" w:space="0" w:color="000000"/>
              <w:bottom w:val="single" w:sz="4" w:space="0" w:color="000000"/>
              <w:right w:val="single" w:sz="4" w:space="0" w:color="000000"/>
            </w:tcBorders>
          </w:tcPr>
          <w:p w14:paraId="0DFDBDC6" w14:textId="77777777" w:rsidR="00046465" w:rsidRDefault="008134EB">
            <w:pPr>
              <w:pStyle w:val="TableParagraph"/>
              <w:spacing w:before="143"/>
              <w:ind w:left="107" w:right="99"/>
              <w:rPr>
                <w:sz w:val="18"/>
              </w:rPr>
            </w:pPr>
            <w:r>
              <w:rPr>
                <w:sz w:val="18"/>
              </w:rPr>
              <w:t>[Indicate</w:t>
            </w:r>
            <w:r>
              <w:rPr>
                <w:spacing w:val="-15"/>
                <w:sz w:val="18"/>
              </w:rPr>
              <w:t xml:space="preserve"> </w:t>
            </w:r>
            <w:r>
              <w:rPr>
                <w:sz w:val="18"/>
              </w:rPr>
              <w:t>yes</w:t>
            </w:r>
            <w:r>
              <w:rPr>
                <w:spacing w:val="-12"/>
                <w:sz w:val="18"/>
              </w:rPr>
              <w:t xml:space="preserve"> </w:t>
            </w:r>
            <w:r>
              <w:rPr>
                <w:sz w:val="18"/>
              </w:rPr>
              <w:t xml:space="preserve">or no; include reference to </w:t>
            </w:r>
            <w:r>
              <w:rPr>
                <w:spacing w:val="-2"/>
                <w:sz w:val="18"/>
              </w:rPr>
              <w:t>supporting documents.]</w:t>
            </w:r>
          </w:p>
        </w:tc>
        <w:tc>
          <w:tcPr>
            <w:tcW w:w="2172" w:type="dxa"/>
            <w:tcBorders>
              <w:left w:val="single" w:sz="4" w:space="0" w:color="000000"/>
              <w:bottom w:val="single" w:sz="4" w:space="0" w:color="000000"/>
            </w:tcBorders>
          </w:tcPr>
          <w:p w14:paraId="0DFDBDC7" w14:textId="77777777" w:rsidR="00046465" w:rsidRDefault="008134EB">
            <w:pPr>
              <w:pStyle w:val="TableParagraph"/>
              <w:spacing w:before="143"/>
              <w:ind w:left="107" w:right="166"/>
              <w:rPr>
                <w:sz w:val="18"/>
              </w:rPr>
            </w:pPr>
            <w:r>
              <w:rPr>
                <w:sz w:val="18"/>
              </w:rPr>
              <w:t>[Indicate yes or no; include reference to supporting</w:t>
            </w:r>
            <w:r>
              <w:rPr>
                <w:spacing w:val="-13"/>
                <w:sz w:val="18"/>
              </w:rPr>
              <w:t xml:space="preserve"> </w:t>
            </w:r>
            <w:r>
              <w:rPr>
                <w:sz w:val="18"/>
              </w:rPr>
              <w:t>documents.]</w:t>
            </w:r>
          </w:p>
          <w:p w14:paraId="0DFDBDC8" w14:textId="77777777" w:rsidR="00046465" w:rsidRDefault="008134EB">
            <w:pPr>
              <w:pStyle w:val="TableParagraph"/>
              <w:spacing w:before="144"/>
              <w:ind w:left="107"/>
              <w:rPr>
                <w:sz w:val="18"/>
              </w:rPr>
            </w:pPr>
            <w:r>
              <w:rPr>
                <w:sz w:val="18"/>
              </w:rPr>
              <w:t>See</w:t>
            </w:r>
            <w:r>
              <w:rPr>
                <w:spacing w:val="-15"/>
                <w:sz w:val="18"/>
              </w:rPr>
              <w:t xml:space="preserve"> </w:t>
            </w:r>
            <w:r>
              <w:rPr>
                <w:sz w:val="18"/>
              </w:rPr>
              <w:t>Compliance</w:t>
            </w:r>
            <w:r>
              <w:rPr>
                <w:spacing w:val="-12"/>
                <w:sz w:val="18"/>
              </w:rPr>
              <w:t xml:space="preserve"> </w:t>
            </w:r>
            <w:r>
              <w:rPr>
                <w:sz w:val="18"/>
              </w:rPr>
              <w:t>Audit Procedures,</w:t>
            </w:r>
            <w:r>
              <w:rPr>
                <w:spacing w:val="-4"/>
                <w:sz w:val="18"/>
              </w:rPr>
              <w:t xml:space="preserve"> </w:t>
            </w:r>
            <w:r>
              <w:rPr>
                <w:sz w:val="18"/>
              </w:rPr>
              <w:t>FAM</w:t>
            </w:r>
            <w:r>
              <w:rPr>
                <w:spacing w:val="-3"/>
                <w:sz w:val="18"/>
              </w:rPr>
              <w:t xml:space="preserve"> </w:t>
            </w:r>
            <w:r>
              <w:rPr>
                <w:spacing w:val="-5"/>
                <w:sz w:val="18"/>
              </w:rPr>
              <w:t>811</w:t>
            </w:r>
          </w:p>
          <w:p w14:paraId="0DFDBDC9" w14:textId="77777777" w:rsidR="00046465" w:rsidRDefault="008134EB">
            <w:pPr>
              <w:pStyle w:val="TableParagraph"/>
              <w:spacing w:before="1"/>
              <w:ind w:left="107"/>
              <w:rPr>
                <w:sz w:val="18"/>
              </w:rPr>
            </w:pPr>
            <w:r>
              <w:rPr>
                <w:sz w:val="18"/>
              </w:rPr>
              <w:t>step</w:t>
            </w:r>
            <w:r>
              <w:rPr>
                <w:spacing w:val="-2"/>
                <w:sz w:val="18"/>
              </w:rPr>
              <w:t xml:space="preserve"> </w:t>
            </w:r>
            <w:r>
              <w:rPr>
                <w:sz w:val="18"/>
              </w:rPr>
              <w:t>4</w:t>
            </w:r>
            <w:r>
              <w:rPr>
                <w:spacing w:val="-1"/>
                <w:sz w:val="18"/>
              </w:rPr>
              <w:t xml:space="preserve"> </w:t>
            </w:r>
            <w:r>
              <w:rPr>
                <w:spacing w:val="-4"/>
                <w:sz w:val="18"/>
              </w:rPr>
              <w:t>(b).</w:t>
            </w:r>
          </w:p>
        </w:tc>
      </w:tr>
    </w:tbl>
    <w:p w14:paraId="0DFDBDCB" w14:textId="77777777" w:rsidR="00046465" w:rsidRDefault="008134EB">
      <w:pPr>
        <w:pStyle w:val="BodyText"/>
        <w:spacing w:before="7"/>
        <w:rPr>
          <w:sz w:val="20"/>
        </w:rPr>
      </w:pPr>
      <w:r>
        <w:rPr>
          <w:noProof/>
          <w:sz w:val="20"/>
        </w:rPr>
        <mc:AlternateContent>
          <mc:Choice Requires="wps">
            <w:drawing>
              <wp:anchor distT="0" distB="0" distL="0" distR="0" simplePos="0" relativeHeight="487704064" behindDoc="1" locked="0" layoutInCell="1" allowOverlap="1" wp14:anchorId="0DFDD6E1" wp14:editId="0DFDD6E2">
                <wp:simplePos x="0" y="0"/>
                <wp:positionH relativeFrom="page">
                  <wp:posOffset>685800</wp:posOffset>
                </wp:positionH>
                <wp:positionV relativeFrom="paragraph">
                  <wp:posOffset>165741</wp:posOffset>
                </wp:positionV>
                <wp:extent cx="1828800" cy="6985"/>
                <wp:effectExtent l="0" t="0" r="0" b="0"/>
                <wp:wrapTopAndBottom/>
                <wp:docPr id="833" name="Graphic 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588319" id="Graphic 833" o:spid="_x0000_s1026" style="position:absolute;margin-left:54pt;margin-top:13.05pt;width:2in;height:.55pt;z-index:-1561241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" path="m1828800,l,,,6858r1828800,l1828800,xe" fillcolor="black" stroked="f">
                <v:path arrowok="t"/>
                <w10:wrap type="topAndBottom" anchorx="page"/>
              </v:shape>
            </w:pict>
          </mc:Fallback>
        </mc:AlternateContent>
      </w:r>
    </w:p>
    <w:p w14:paraId="0DFDBDCC" w14:textId="77777777" w:rsidR="00046465" w:rsidRDefault="00046465">
      <w:pPr>
        <w:pStyle w:val="BodyText"/>
        <w:spacing w:before="10"/>
        <w:rPr>
          <w:sz w:val="18"/>
        </w:rPr>
      </w:pPr>
    </w:p>
    <w:p w14:paraId="0DFDBDCD" w14:textId="77777777" w:rsidR="00046465" w:rsidRDefault="008134EB">
      <w:pPr>
        <w:ind w:left="360"/>
        <w:rPr>
          <w:sz w:val="18"/>
        </w:rPr>
      </w:pPr>
      <w:r>
        <w:rPr>
          <w:position w:val="7"/>
          <w:sz w:val="14"/>
        </w:rPr>
        <w:t>62</w:t>
      </w:r>
      <w:r>
        <w:rPr>
          <w:sz w:val="18"/>
        </w:rPr>
        <w:t>For</w:t>
      </w:r>
      <w:r>
        <w:rPr>
          <w:spacing w:val="-5"/>
          <w:sz w:val="18"/>
        </w:rPr>
        <w:t xml:space="preserve"> </w:t>
      </w:r>
      <w:r>
        <w:rPr>
          <w:sz w:val="18"/>
        </w:rPr>
        <w:t>who</w:t>
      </w:r>
      <w:r>
        <w:rPr>
          <w:spacing w:val="-2"/>
          <w:sz w:val="18"/>
        </w:rPr>
        <w:t xml:space="preserve"> </w:t>
      </w:r>
      <w:r>
        <w:rPr>
          <w:sz w:val="18"/>
        </w:rPr>
        <w:t>qualifies</w:t>
      </w:r>
      <w:r>
        <w:rPr>
          <w:spacing w:val="-3"/>
          <w:sz w:val="18"/>
        </w:rPr>
        <w:t xml:space="preserve"> </w:t>
      </w:r>
      <w:r>
        <w:rPr>
          <w:sz w:val="18"/>
        </w:rPr>
        <w:t>as</w:t>
      </w:r>
      <w:r>
        <w:rPr>
          <w:spacing w:val="-2"/>
          <w:sz w:val="18"/>
        </w:rPr>
        <w:t xml:space="preserve"> </w:t>
      </w:r>
      <w:r>
        <w:rPr>
          <w:sz w:val="18"/>
        </w:rPr>
        <w:t>an</w:t>
      </w:r>
      <w:r>
        <w:rPr>
          <w:spacing w:val="-2"/>
          <w:sz w:val="18"/>
        </w:rPr>
        <w:t xml:space="preserve"> </w:t>
      </w:r>
      <w:r>
        <w:rPr>
          <w:sz w:val="18"/>
        </w:rPr>
        <w:t>employee</w:t>
      </w:r>
      <w:r>
        <w:rPr>
          <w:spacing w:val="-3"/>
          <w:sz w:val="18"/>
        </w:rPr>
        <w:t xml:space="preserve"> </w:t>
      </w:r>
      <w:r>
        <w:rPr>
          <w:sz w:val="18"/>
        </w:rPr>
        <w:t>for</w:t>
      </w:r>
      <w:r>
        <w:rPr>
          <w:spacing w:val="-2"/>
          <w:sz w:val="18"/>
        </w:rPr>
        <w:t xml:space="preserve"> </w:t>
      </w:r>
      <w:r>
        <w:rPr>
          <w:sz w:val="18"/>
        </w:rPr>
        <w:t>purposes</w:t>
      </w:r>
      <w:r>
        <w:rPr>
          <w:spacing w:val="-3"/>
          <w:sz w:val="18"/>
        </w:rPr>
        <w:t xml:space="preserve"> </w:t>
      </w:r>
      <w:r>
        <w:rPr>
          <w:sz w:val="18"/>
        </w:rPr>
        <w:t>of</w:t>
      </w:r>
      <w:r>
        <w:rPr>
          <w:spacing w:val="-2"/>
          <w:sz w:val="18"/>
        </w:rPr>
        <w:t xml:space="preserve"> </w:t>
      </w:r>
      <w:r>
        <w:rPr>
          <w:sz w:val="18"/>
        </w:rPr>
        <w:t>FERSA,</w:t>
      </w:r>
      <w:r>
        <w:rPr>
          <w:spacing w:val="-3"/>
          <w:sz w:val="18"/>
        </w:rPr>
        <w:t xml:space="preserve"> </w:t>
      </w:r>
      <w:r>
        <w:rPr>
          <w:sz w:val="18"/>
        </w:rPr>
        <w:t>see</w:t>
      </w:r>
      <w:r>
        <w:rPr>
          <w:spacing w:val="-2"/>
          <w:sz w:val="18"/>
        </w:rPr>
        <w:t xml:space="preserve"> </w:t>
      </w:r>
      <w:r>
        <w:rPr>
          <w:sz w:val="18"/>
        </w:rPr>
        <w:t>5</w:t>
      </w:r>
      <w:r>
        <w:rPr>
          <w:spacing w:val="-3"/>
          <w:sz w:val="18"/>
        </w:rPr>
        <w:t xml:space="preserve"> </w:t>
      </w:r>
      <w:r>
        <w:rPr>
          <w:sz w:val="18"/>
        </w:rPr>
        <w:t>U.S.C.</w:t>
      </w:r>
      <w:r>
        <w:rPr>
          <w:spacing w:val="-2"/>
          <w:sz w:val="18"/>
        </w:rPr>
        <w:t xml:space="preserve"> </w:t>
      </w:r>
      <w:r>
        <w:rPr>
          <w:sz w:val="18"/>
        </w:rPr>
        <w:t>§</w:t>
      </w:r>
      <w:r>
        <w:rPr>
          <w:spacing w:val="-2"/>
          <w:sz w:val="18"/>
        </w:rPr>
        <w:t xml:space="preserve"> 8401(11).</w:t>
      </w:r>
    </w:p>
    <w:p w14:paraId="0DFDBDCE" w14:textId="77777777" w:rsidR="00046465" w:rsidRDefault="008134EB">
      <w:pPr>
        <w:spacing w:before="134" w:line="249" w:lineRule="auto"/>
        <w:ind w:left="359"/>
        <w:rPr>
          <w:sz w:val="18"/>
        </w:rPr>
      </w:pPr>
      <w:r>
        <w:rPr>
          <w:position w:val="7"/>
          <w:sz w:val="14"/>
        </w:rPr>
        <w:t>63</w:t>
      </w:r>
      <w:r>
        <w:rPr>
          <w:sz w:val="18"/>
        </w:rPr>
        <w:t>Employees</w:t>
      </w:r>
      <w:r>
        <w:rPr>
          <w:spacing w:val="-2"/>
          <w:sz w:val="18"/>
        </w:rPr>
        <w:t xml:space="preserve"> </w:t>
      </w:r>
      <w:r>
        <w:rPr>
          <w:sz w:val="18"/>
        </w:rPr>
        <w:t>may</w:t>
      </w:r>
      <w:r>
        <w:rPr>
          <w:spacing w:val="-2"/>
          <w:sz w:val="18"/>
        </w:rPr>
        <w:t xml:space="preserve"> </w:t>
      </w:r>
      <w:r>
        <w:rPr>
          <w:sz w:val="18"/>
        </w:rPr>
        <w:t>be</w:t>
      </w:r>
      <w:r>
        <w:rPr>
          <w:spacing w:val="-3"/>
          <w:sz w:val="18"/>
        </w:rPr>
        <w:t xml:space="preserve"> </w:t>
      </w:r>
      <w:r>
        <w:rPr>
          <w:sz w:val="18"/>
        </w:rPr>
        <w:t>covered</w:t>
      </w:r>
      <w:r>
        <w:rPr>
          <w:spacing w:val="-3"/>
          <w:sz w:val="18"/>
        </w:rPr>
        <w:t xml:space="preserve"> </w:t>
      </w:r>
      <w:r>
        <w:rPr>
          <w:sz w:val="18"/>
        </w:rPr>
        <w:t>by</w:t>
      </w:r>
      <w:r>
        <w:rPr>
          <w:spacing w:val="-2"/>
          <w:sz w:val="18"/>
        </w:rPr>
        <w:t xml:space="preserve"> </w:t>
      </w:r>
      <w:r>
        <w:rPr>
          <w:sz w:val="18"/>
        </w:rPr>
        <w:t>the</w:t>
      </w:r>
      <w:r>
        <w:rPr>
          <w:spacing w:val="-3"/>
          <w:sz w:val="18"/>
        </w:rPr>
        <w:t xml:space="preserve"> </w:t>
      </w:r>
      <w:r>
        <w:rPr>
          <w:sz w:val="18"/>
        </w:rPr>
        <w:t>Civil</w:t>
      </w:r>
      <w:r>
        <w:rPr>
          <w:spacing w:val="-2"/>
          <w:sz w:val="18"/>
        </w:rPr>
        <w:t xml:space="preserve"> </w:t>
      </w:r>
      <w:r>
        <w:rPr>
          <w:sz w:val="18"/>
        </w:rPr>
        <w:t>Service</w:t>
      </w:r>
      <w:r>
        <w:rPr>
          <w:spacing w:val="-3"/>
          <w:sz w:val="18"/>
        </w:rPr>
        <w:t xml:space="preserve"> </w:t>
      </w:r>
      <w:r>
        <w:rPr>
          <w:sz w:val="18"/>
        </w:rPr>
        <w:t>Retirement</w:t>
      </w:r>
      <w:r>
        <w:rPr>
          <w:spacing w:val="-1"/>
          <w:sz w:val="18"/>
        </w:rPr>
        <w:t xml:space="preserve"> </w:t>
      </w:r>
      <w:r>
        <w:rPr>
          <w:sz w:val="18"/>
        </w:rPr>
        <w:t>Act</w:t>
      </w:r>
      <w:r>
        <w:rPr>
          <w:spacing w:val="-2"/>
          <w:sz w:val="18"/>
        </w:rPr>
        <w:t xml:space="preserve"> </w:t>
      </w:r>
      <w:r>
        <w:rPr>
          <w:sz w:val="18"/>
        </w:rPr>
        <w:t>(CSRA)</w:t>
      </w:r>
      <w:r>
        <w:rPr>
          <w:spacing w:val="-2"/>
          <w:sz w:val="18"/>
        </w:rPr>
        <w:t xml:space="preserve"> </w:t>
      </w:r>
      <w:r>
        <w:rPr>
          <w:sz w:val="18"/>
        </w:rPr>
        <w:t>or</w:t>
      </w:r>
      <w:r>
        <w:rPr>
          <w:spacing w:val="-2"/>
          <w:sz w:val="18"/>
        </w:rPr>
        <w:t xml:space="preserve"> </w:t>
      </w:r>
      <w:r>
        <w:rPr>
          <w:sz w:val="18"/>
        </w:rPr>
        <w:t>the</w:t>
      </w:r>
      <w:r>
        <w:rPr>
          <w:spacing w:val="-3"/>
          <w:sz w:val="18"/>
        </w:rPr>
        <w:t xml:space="preserve"> </w:t>
      </w:r>
      <w:r>
        <w:rPr>
          <w:sz w:val="18"/>
        </w:rPr>
        <w:t>Federal</w:t>
      </w:r>
      <w:r>
        <w:rPr>
          <w:spacing w:val="-2"/>
          <w:sz w:val="18"/>
        </w:rPr>
        <w:t xml:space="preserve"> </w:t>
      </w:r>
      <w:r>
        <w:rPr>
          <w:sz w:val="18"/>
        </w:rPr>
        <w:t>Employees’</w:t>
      </w:r>
      <w:r>
        <w:rPr>
          <w:spacing w:val="-2"/>
          <w:sz w:val="18"/>
        </w:rPr>
        <w:t xml:space="preserve"> </w:t>
      </w:r>
      <w:r>
        <w:rPr>
          <w:sz w:val="18"/>
        </w:rPr>
        <w:t>Retirement</w:t>
      </w:r>
      <w:r>
        <w:rPr>
          <w:spacing w:val="-2"/>
          <w:sz w:val="18"/>
        </w:rPr>
        <w:t xml:space="preserve"> </w:t>
      </w:r>
      <w:r>
        <w:rPr>
          <w:sz w:val="18"/>
        </w:rPr>
        <w:t>System</w:t>
      </w:r>
      <w:r>
        <w:rPr>
          <w:spacing w:val="-1"/>
          <w:sz w:val="18"/>
        </w:rPr>
        <w:t xml:space="preserve"> </w:t>
      </w:r>
      <w:r>
        <w:rPr>
          <w:sz w:val="18"/>
        </w:rPr>
        <w:t>Act</w:t>
      </w:r>
      <w:r>
        <w:rPr>
          <w:spacing w:val="-2"/>
          <w:sz w:val="18"/>
        </w:rPr>
        <w:t xml:space="preserve"> </w:t>
      </w:r>
      <w:r>
        <w:rPr>
          <w:sz w:val="18"/>
        </w:rPr>
        <w:t>(FERSA),</w:t>
      </w:r>
      <w:r>
        <w:rPr>
          <w:spacing w:val="-4"/>
          <w:sz w:val="18"/>
        </w:rPr>
        <w:t xml:space="preserve"> </w:t>
      </w:r>
      <w:r>
        <w:rPr>
          <w:sz w:val="18"/>
        </w:rPr>
        <w:t>generally</w:t>
      </w:r>
      <w:r>
        <w:rPr>
          <w:spacing w:val="-2"/>
          <w:sz w:val="18"/>
        </w:rPr>
        <w:t xml:space="preserve"> </w:t>
      </w:r>
      <w:r>
        <w:rPr>
          <w:sz w:val="18"/>
        </w:rPr>
        <w:t>depending</w:t>
      </w:r>
      <w:r>
        <w:rPr>
          <w:spacing w:val="-3"/>
          <w:sz w:val="18"/>
        </w:rPr>
        <w:t xml:space="preserve"> </w:t>
      </w:r>
      <w:r>
        <w:rPr>
          <w:sz w:val="18"/>
        </w:rPr>
        <w:t>on</w:t>
      </w:r>
      <w:r>
        <w:rPr>
          <w:spacing w:val="-3"/>
          <w:sz w:val="18"/>
        </w:rPr>
        <w:t xml:space="preserve"> </w:t>
      </w:r>
      <w:r>
        <w:rPr>
          <w:sz w:val="18"/>
        </w:rPr>
        <w:t>their employment dates. Generally, employees hired after January 1, 1984, are subject to FERSA.</w:t>
      </w:r>
    </w:p>
    <w:p w14:paraId="0DFDBDCF" w14:textId="77777777" w:rsidR="00046465" w:rsidRDefault="008134EB">
      <w:pPr>
        <w:spacing w:before="117" w:line="244" w:lineRule="auto"/>
        <w:ind w:left="360" w:right="143" w:hanging="1"/>
        <w:jc w:val="both"/>
        <w:rPr>
          <w:sz w:val="18"/>
        </w:rPr>
      </w:pPr>
      <w:r>
        <w:rPr>
          <w:position w:val="7"/>
          <w:sz w:val="14"/>
        </w:rPr>
        <w:t>64</w:t>
      </w:r>
      <w:r>
        <w:rPr>
          <w:sz w:val="18"/>
        </w:rPr>
        <w:t>For</w:t>
      </w:r>
      <w:r>
        <w:rPr>
          <w:spacing w:val="-1"/>
          <w:sz w:val="18"/>
        </w:rPr>
        <w:t xml:space="preserve"> </w:t>
      </w:r>
      <w:r>
        <w:rPr>
          <w:sz w:val="18"/>
        </w:rPr>
        <w:t>most</w:t>
      </w:r>
      <w:r>
        <w:rPr>
          <w:spacing w:val="-1"/>
          <w:sz w:val="18"/>
        </w:rPr>
        <w:t xml:space="preserve"> </w:t>
      </w:r>
      <w:r>
        <w:rPr>
          <w:sz w:val="18"/>
        </w:rPr>
        <w:t>employees,</w:t>
      </w:r>
      <w:r>
        <w:rPr>
          <w:spacing w:val="-1"/>
          <w:sz w:val="18"/>
        </w:rPr>
        <w:t xml:space="preserve"> </w:t>
      </w:r>
      <w:r>
        <w:rPr>
          <w:sz w:val="18"/>
        </w:rPr>
        <w:t>the</w:t>
      </w:r>
      <w:r>
        <w:rPr>
          <w:spacing w:val="-2"/>
          <w:sz w:val="18"/>
        </w:rPr>
        <w:t xml:space="preserve"> </w:t>
      </w:r>
      <w:r>
        <w:rPr>
          <w:sz w:val="18"/>
        </w:rPr>
        <w:t>percentage</w:t>
      </w:r>
      <w:r>
        <w:rPr>
          <w:spacing w:val="-2"/>
          <w:sz w:val="18"/>
        </w:rPr>
        <w:t xml:space="preserve"> </w:t>
      </w:r>
      <w:r>
        <w:rPr>
          <w:sz w:val="18"/>
        </w:rPr>
        <w:t>to</w:t>
      </w:r>
      <w:r>
        <w:rPr>
          <w:spacing w:val="-2"/>
          <w:sz w:val="18"/>
        </w:rPr>
        <w:t xml:space="preserve"> </w:t>
      </w:r>
      <w:r>
        <w:rPr>
          <w:sz w:val="18"/>
        </w:rPr>
        <w:t>be withheld</w:t>
      </w:r>
      <w:r>
        <w:rPr>
          <w:spacing w:val="-2"/>
          <w:sz w:val="18"/>
        </w:rPr>
        <w:t xml:space="preserve"> </w:t>
      </w:r>
      <w:r>
        <w:rPr>
          <w:sz w:val="18"/>
        </w:rPr>
        <w:t>is</w:t>
      </w:r>
      <w:r>
        <w:rPr>
          <w:spacing w:val="-1"/>
          <w:sz w:val="18"/>
        </w:rPr>
        <w:t xml:space="preserve"> </w:t>
      </w:r>
      <w:r>
        <w:rPr>
          <w:sz w:val="18"/>
        </w:rPr>
        <w:t>0.8 percent</w:t>
      </w:r>
      <w:r>
        <w:rPr>
          <w:spacing w:val="-1"/>
          <w:sz w:val="18"/>
        </w:rPr>
        <w:t xml:space="preserve"> </w:t>
      </w:r>
      <w:r>
        <w:rPr>
          <w:sz w:val="18"/>
        </w:rPr>
        <w:t>(7</w:t>
      </w:r>
      <w:r>
        <w:rPr>
          <w:spacing w:val="-2"/>
          <w:sz w:val="18"/>
        </w:rPr>
        <w:t xml:space="preserve"> </w:t>
      </w:r>
      <w:r>
        <w:rPr>
          <w:sz w:val="18"/>
        </w:rPr>
        <w:t>percent</w:t>
      </w:r>
      <w:r>
        <w:rPr>
          <w:spacing w:val="-1"/>
          <w:sz w:val="18"/>
        </w:rPr>
        <w:t xml:space="preserve"> </w:t>
      </w:r>
      <w:r>
        <w:rPr>
          <w:sz w:val="18"/>
        </w:rPr>
        <w:t>minus</w:t>
      </w:r>
      <w:r>
        <w:rPr>
          <w:spacing w:val="-1"/>
          <w:sz w:val="18"/>
        </w:rPr>
        <w:t xml:space="preserve"> </w:t>
      </w:r>
      <w:r>
        <w:rPr>
          <w:sz w:val="18"/>
        </w:rPr>
        <w:t>the Social</w:t>
      </w:r>
      <w:r>
        <w:rPr>
          <w:spacing w:val="-1"/>
          <w:sz w:val="18"/>
        </w:rPr>
        <w:t xml:space="preserve"> </w:t>
      </w:r>
      <w:r>
        <w:rPr>
          <w:sz w:val="18"/>
        </w:rPr>
        <w:t>Security tax</w:t>
      </w:r>
      <w:r>
        <w:rPr>
          <w:spacing w:val="-1"/>
          <w:sz w:val="18"/>
        </w:rPr>
        <w:t xml:space="preserve"> </w:t>
      </w:r>
      <w:r>
        <w:rPr>
          <w:sz w:val="18"/>
        </w:rPr>
        <w:t>rate</w:t>
      </w:r>
      <w:r>
        <w:rPr>
          <w:spacing w:val="-2"/>
          <w:sz w:val="18"/>
        </w:rPr>
        <w:t xml:space="preserve"> </w:t>
      </w:r>
      <w:r>
        <w:rPr>
          <w:sz w:val="18"/>
        </w:rPr>
        <w:t>imposed</w:t>
      </w:r>
      <w:r>
        <w:rPr>
          <w:spacing w:val="-2"/>
          <w:sz w:val="18"/>
        </w:rPr>
        <w:t xml:space="preserve"> </w:t>
      </w:r>
      <w:r>
        <w:rPr>
          <w:sz w:val="18"/>
        </w:rPr>
        <w:t>by</w:t>
      </w:r>
      <w:r>
        <w:rPr>
          <w:spacing w:val="-1"/>
          <w:sz w:val="18"/>
        </w:rPr>
        <w:t xml:space="preserve"> </w:t>
      </w:r>
      <w:r>
        <w:rPr>
          <w:sz w:val="18"/>
        </w:rPr>
        <w:t>the Internal</w:t>
      </w:r>
      <w:r>
        <w:rPr>
          <w:spacing w:val="-1"/>
          <w:sz w:val="18"/>
        </w:rPr>
        <w:t xml:space="preserve"> </w:t>
      </w:r>
      <w:r>
        <w:rPr>
          <w:sz w:val="18"/>
        </w:rPr>
        <w:t>Revenue</w:t>
      </w:r>
      <w:r>
        <w:rPr>
          <w:spacing w:val="-2"/>
          <w:sz w:val="18"/>
        </w:rPr>
        <w:t xml:space="preserve"> </w:t>
      </w:r>
      <w:r>
        <w:rPr>
          <w:sz w:val="18"/>
        </w:rPr>
        <w:t>Code,</w:t>
      </w:r>
      <w:r>
        <w:rPr>
          <w:spacing w:val="-1"/>
          <w:sz w:val="18"/>
        </w:rPr>
        <w:t xml:space="preserve"> </w:t>
      </w:r>
      <w:r>
        <w:rPr>
          <w:sz w:val="18"/>
        </w:rPr>
        <w:t>26</w:t>
      </w:r>
      <w:r>
        <w:rPr>
          <w:spacing w:val="-2"/>
          <w:sz w:val="18"/>
        </w:rPr>
        <w:t xml:space="preserve"> </w:t>
      </w:r>
      <w:r>
        <w:rPr>
          <w:sz w:val="18"/>
        </w:rPr>
        <w:t>U.S.C. § 3101(a)).</w:t>
      </w:r>
      <w:r>
        <w:rPr>
          <w:spacing w:val="-2"/>
          <w:sz w:val="18"/>
        </w:rPr>
        <w:t xml:space="preserve"> </w:t>
      </w:r>
      <w:r>
        <w:rPr>
          <w:sz w:val="18"/>
        </w:rPr>
        <w:t>For</w:t>
      </w:r>
      <w:r>
        <w:rPr>
          <w:spacing w:val="-2"/>
          <w:sz w:val="18"/>
        </w:rPr>
        <w:t xml:space="preserve"> </w:t>
      </w:r>
      <w:r>
        <w:rPr>
          <w:sz w:val="18"/>
        </w:rPr>
        <w:t>congressional</w:t>
      </w:r>
      <w:r>
        <w:rPr>
          <w:spacing w:val="-3"/>
          <w:sz w:val="18"/>
        </w:rPr>
        <w:t xml:space="preserve"> </w:t>
      </w:r>
      <w:r>
        <w:rPr>
          <w:sz w:val="18"/>
        </w:rPr>
        <w:t>employees;</w:t>
      </w:r>
      <w:r>
        <w:rPr>
          <w:spacing w:val="-2"/>
          <w:sz w:val="18"/>
        </w:rPr>
        <w:t xml:space="preserve"> </w:t>
      </w:r>
      <w:r>
        <w:rPr>
          <w:sz w:val="18"/>
        </w:rPr>
        <w:t>Members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Congress;</w:t>
      </w:r>
      <w:r>
        <w:rPr>
          <w:spacing w:val="-2"/>
          <w:sz w:val="18"/>
        </w:rPr>
        <w:t xml:space="preserve"> </w:t>
      </w:r>
      <w:r>
        <w:rPr>
          <w:sz w:val="18"/>
        </w:rPr>
        <w:t>and</w:t>
      </w:r>
      <w:r>
        <w:rPr>
          <w:spacing w:val="-3"/>
          <w:sz w:val="18"/>
        </w:rPr>
        <w:t xml:space="preserve"> </w:t>
      </w:r>
      <w:r>
        <w:rPr>
          <w:sz w:val="18"/>
        </w:rPr>
        <w:t>law</w:t>
      </w:r>
      <w:r>
        <w:rPr>
          <w:spacing w:val="-2"/>
          <w:sz w:val="18"/>
        </w:rPr>
        <w:t xml:space="preserve"> </w:t>
      </w:r>
      <w:r>
        <w:rPr>
          <w:sz w:val="18"/>
        </w:rPr>
        <w:t>enforcement</w:t>
      </w:r>
      <w:r>
        <w:rPr>
          <w:spacing w:val="-2"/>
          <w:sz w:val="18"/>
        </w:rPr>
        <w:t xml:space="preserve"> </w:t>
      </w:r>
      <w:r>
        <w:rPr>
          <w:sz w:val="18"/>
        </w:rPr>
        <w:t>officers,</w:t>
      </w:r>
      <w:r>
        <w:rPr>
          <w:spacing w:val="-2"/>
          <w:sz w:val="18"/>
        </w:rPr>
        <w:t xml:space="preserve"> </w:t>
      </w:r>
      <w:r>
        <w:rPr>
          <w:sz w:val="18"/>
        </w:rPr>
        <w:t>firefighters,</w:t>
      </w:r>
      <w:r>
        <w:rPr>
          <w:spacing w:val="-2"/>
          <w:sz w:val="18"/>
        </w:rPr>
        <w:t xml:space="preserve"> </w:t>
      </w:r>
      <w:r>
        <w:rPr>
          <w:sz w:val="18"/>
        </w:rPr>
        <w:t>air</w:t>
      </w:r>
      <w:r>
        <w:rPr>
          <w:spacing w:val="-2"/>
          <w:sz w:val="18"/>
        </w:rPr>
        <w:t xml:space="preserve"> </w:t>
      </w:r>
      <w:r>
        <w:rPr>
          <w:sz w:val="18"/>
        </w:rPr>
        <w:t>traffic</w:t>
      </w:r>
      <w:r>
        <w:rPr>
          <w:spacing w:val="-2"/>
          <w:sz w:val="18"/>
        </w:rPr>
        <w:t xml:space="preserve"> </w:t>
      </w:r>
      <w:r>
        <w:rPr>
          <w:sz w:val="18"/>
        </w:rPr>
        <w:t>controllers,</w:t>
      </w:r>
      <w:r>
        <w:rPr>
          <w:spacing w:val="-2"/>
          <w:sz w:val="18"/>
        </w:rPr>
        <w:t xml:space="preserve"> </w:t>
      </w:r>
      <w:r>
        <w:rPr>
          <w:sz w:val="18"/>
        </w:rPr>
        <w:t>and</w:t>
      </w:r>
      <w:r>
        <w:rPr>
          <w:spacing w:val="-3"/>
          <w:sz w:val="18"/>
        </w:rPr>
        <w:t xml:space="preserve"> </w:t>
      </w:r>
      <w:r>
        <w:rPr>
          <w:sz w:val="18"/>
        </w:rPr>
        <w:t>nuclear</w:t>
      </w:r>
      <w:r>
        <w:rPr>
          <w:spacing w:val="-2"/>
          <w:sz w:val="18"/>
        </w:rPr>
        <w:t xml:space="preserve"> </w:t>
      </w:r>
      <w:r>
        <w:rPr>
          <w:sz w:val="18"/>
        </w:rPr>
        <w:t>materials</w:t>
      </w:r>
      <w:r>
        <w:rPr>
          <w:spacing w:val="-2"/>
          <w:sz w:val="18"/>
        </w:rPr>
        <w:t xml:space="preserve"> </w:t>
      </w:r>
      <w:r>
        <w:rPr>
          <w:sz w:val="18"/>
        </w:rPr>
        <w:t>couriers,</w:t>
      </w:r>
      <w:r>
        <w:rPr>
          <w:spacing w:val="-2"/>
          <w:sz w:val="18"/>
        </w:rPr>
        <w:t xml:space="preserve"> </w:t>
      </w:r>
      <w:r>
        <w:rPr>
          <w:sz w:val="18"/>
        </w:rPr>
        <w:t>the withholding rates are higher. See 5 U.S.C. § 8422(a)(1).</w:t>
      </w:r>
    </w:p>
    <w:p w14:paraId="0DFDBDD0" w14:textId="77777777" w:rsidR="00046465" w:rsidRDefault="00046465">
      <w:pPr>
        <w:spacing w:line="244" w:lineRule="auto"/>
        <w:jc w:val="both"/>
        <w:rPr>
          <w:sz w:val="18"/>
        </w:rPr>
        <w:sectPr w:rsidR="00046465">
          <w:headerReference w:type="default" r:id="rId157"/>
          <w:footerReference w:type="default" r:id="rId158"/>
          <w:pgSz w:w="15840" w:h="12240" w:orient="landscape"/>
          <w:pgMar w:top="1380" w:right="1440" w:bottom="940" w:left="720" w:header="721" w:footer="742" w:gutter="0"/>
          <w:pgNumType w:start="1"/>
          <w:cols w:space="720"/>
        </w:sectPr>
      </w:pPr>
    </w:p>
    <w:p w14:paraId="0DFDBDD1" w14:textId="77777777" w:rsidR="00046465" w:rsidRDefault="00046465">
      <w:pPr>
        <w:pStyle w:val="BodyText"/>
        <w:spacing w:before="9"/>
        <w:rPr>
          <w:sz w:val="7"/>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68"/>
        <w:gridCol w:w="1776"/>
        <w:gridCol w:w="2201"/>
        <w:gridCol w:w="1519"/>
        <w:gridCol w:w="1640"/>
        <w:gridCol w:w="2172"/>
      </w:tblGrid>
      <w:tr w:rsidR="00046465" w14:paraId="0DFDBDD5" w14:textId="77777777">
        <w:trPr>
          <w:trHeight w:val="1574"/>
        </w:trPr>
        <w:tc>
          <w:tcPr>
            <w:tcW w:w="13176" w:type="dxa"/>
            <w:gridSpan w:val="6"/>
          </w:tcPr>
          <w:p w14:paraId="0DFDBDD2" w14:textId="77777777" w:rsidR="00046465" w:rsidRDefault="008134EB">
            <w:pPr>
              <w:pStyle w:val="TableParagraph"/>
              <w:tabs>
                <w:tab w:val="left" w:pos="9184"/>
              </w:tabs>
              <w:spacing w:before="144"/>
              <w:ind w:right="1925"/>
              <w:jc w:val="center"/>
            </w:pPr>
            <w:r>
              <w:t>Name</w:t>
            </w:r>
            <w:r>
              <w:rPr>
                <w:spacing w:val="-5"/>
              </w:rPr>
              <w:t xml:space="preserve"> </w:t>
            </w:r>
            <w:r>
              <w:t>of</w:t>
            </w:r>
            <w:r>
              <w:rPr>
                <w:spacing w:val="-5"/>
              </w:rPr>
              <w:t xml:space="preserve"> </w:t>
            </w:r>
            <w:r>
              <w:rPr>
                <w:spacing w:val="-2"/>
              </w:rPr>
              <w:t>entity:</w:t>
            </w:r>
            <w:r>
              <w:tab/>
            </w:r>
            <w:bookmarkStart w:id="248" w:name="_bookmark136"/>
            <w:bookmarkEnd w:id="248"/>
            <w:r>
              <w:t>Prepared</w:t>
            </w:r>
            <w:r>
              <w:rPr>
                <w:spacing w:val="-11"/>
              </w:rPr>
              <w:t xml:space="preserve"> </w:t>
            </w:r>
            <w:r>
              <w:rPr>
                <w:spacing w:val="-5"/>
              </w:rPr>
              <w:t>by:</w:t>
            </w:r>
          </w:p>
          <w:p w14:paraId="0DFDBDD3" w14:textId="77777777" w:rsidR="00046465" w:rsidRDefault="008134EB">
            <w:pPr>
              <w:pStyle w:val="TableParagraph"/>
              <w:spacing w:before="12"/>
              <w:ind w:left="1946" w:right="1925"/>
              <w:jc w:val="center"/>
              <w:rPr>
                <w:b/>
                <w:sz w:val="24"/>
              </w:rPr>
            </w:pPr>
            <w:r>
              <w:rPr>
                <w:b/>
                <w:noProof/>
                <w:sz w:val="24"/>
              </w:rPr>
              <mc:AlternateContent>
                <mc:Choice Requires="wpg">
                  <w:drawing>
                    <wp:anchor distT="0" distB="0" distL="0" distR="0" simplePos="0" relativeHeight="476173312" behindDoc="1" locked="0" layoutInCell="1" allowOverlap="1" wp14:anchorId="0DFDD6E3" wp14:editId="0DFDD6E4">
                      <wp:simplePos x="0" y="0"/>
                      <wp:positionH relativeFrom="column">
                        <wp:posOffset>6953250</wp:posOffset>
                      </wp:positionH>
                      <wp:positionV relativeFrom="paragraph">
                        <wp:posOffset>91882</wp:posOffset>
                      </wp:positionV>
                      <wp:extent cx="1344930" cy="6350"/>
                      <wp:effectExtent l="0" t="0" r="0" b="0"/>
                      <wp:wrapNone/>
                      <wp:docPr id="834" name="Group 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835" name="Graphic 835"/>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9ABD8E0" id="Group 834" o:spid="_x0000_s1026" style="position:absolute;margin-left:547.5pt;margin-top:7.25pt;width:105.9pt;height:.5pt;z-index:-27143168;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">
                      <v:shape id="Graphic 835"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" path="m1344929,l,,,6108r1344929,l1344929,xe" fillcolor="black" stroked="f">
                        <v:path arrowok="t"/>
                      </v:shape>
                    </v:group>
                  </w:pict>
                </mc:Fallback>
              </mc:AlternateContent>
            </w:r>
            <w:r>
              <w:rPr>
                <w:b/>
                <w:noProof/>
                <w:sz w:val="24"/>
              </w:rPr>
              <mc:AlternateContent>
                <mc:Choice Requires="wpg">
                  <w:drawing>
                    <wp:anchor distT="0" distB="0" distL="0" distR="0" simplePos="0" relativeHeight="476174336" behindDoc="1" locked="0" layoutInCell="1" allowOverlap="1" wp14:anchorId="0DFDD6E5" wp14:editId="0DFDD6E6">
                      <wp:simplePos x="0" y="0"/>
                      <wp:positionH relativeFrom="column">
                        <wp:posOffset>6953250</wp:posOffset>
                      </wp:positionH>
                      <wp:positionV relativeFrom="paragraph">
                        <wp:posOffset>441640</wp:posOffset>
                      </wp:positionV>
                      <wp:extent cx="1344930" cy="6350"/>
                      <wp:effectExtent l="0" t="0" r="0" b="0"/>
                      <wp:wrapNone/>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837" name="Graphic 837"/>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9D9500" id="Group 836" o:spid="_x0000_s1026" style="position:absolute;margin-left:547.5pt;margin-top:34.75pt;width:105.9pt;height:.5pt;z-index:-27142144;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">
                      <v:shape id="Graphic 837"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" path="m1344929,l,,,6108r1344929,l1344929,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DD4" w14:textId="77777777" w:rsidR="00046465" w:rsidRDefault="008134EB">
            <w:pPr>
              <w:pStyle w:val="TableParagraph"/>
              <w:tabs>
                <w:tab w:val="left" w:pos="8878"/>
              </w:tabs>
              <w:spacing w:before="10"/>
              <w:ind w:right="1681"/>
              <w:jc w:val="center"/>
            </w:pPr>
            <w:r>
              <w:rPr>
                <w:noProof/>
              </w:rPr>
              <mc:AlternateContent>
                <mc:Choice Requires="wpg">
                  <w:drawing>
                    <wp:anchor distT="0" distB="0" distL="0" distR="0" simplePos="0" relativeHeight="476172800" behindDoc="1" locked="0" layoutInCell="1" allowOverlap="1" wp14:anchorId="0DFDD6E7" wp14:editId="0DFDD6E8">
                      <wp:simplePos x="0" y="0"/>
                      <wp:positionH relativeFrom="column">
                        <wp:posOffset>1260347</wp:posOffset>
                      </wp:positionH>
                      <wp:positionV relativeFrom="paragraph">
                        <wp:posOffset>-91198</wp:posOffset>
                      </wp:positionV>
                      <wp:extent cx="1183005" cy="6350"/>
                      <wp:effectExtent l="0" t="0" r="0" b="0"/>
                      <wp:wrapNone/>
                      <wp:docPr id="838"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839" name="Graphic 839"/>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52949A7" id="Group 838" o:spid="_x0000_s1026" style="position:absolute;margin-left:99.25pt;margin-top:-7.2pt;width:93.15pt;height:.5pt;z-index:-27143680;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">
                      <v:shape id="Graphic 839"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" path="m1182611,l,,,6108r1182611,l1182611,xe" fillcolor="black" stroked="f">
                        <v:path arrowok="t"/>
                      </v:shape>
                    </v:group>
                  </w:pict>
                </mc:Fallback>
              </mc:AlternateContent>
            </w:r>
            <w:r>
              <w:rPr>
                <w:noProof/>
              </w:rPr>
              <mc:AlternateContent>
                <mc:Choice Requires="wpg">
                  <w:drawing>
                    <wp:anchor distT="0" distB="0" distL="0" distR="0" simplePos="0" relativeHeight="476173824" behindDoc="1" locked="0" layoutInCell="1" allowOverlap="1" wp14:anchorId="0DFDD6E9" wp14:editId="0DFDD6EA">
                      <wp:simplePos x="0" y="0"/>
                      <wp:positionH relativeFrom="column">
                        <wp:posOffset>1260347</wp:posOffset>
                      </wp:positionH>
                      <wp:positionV relativeFrom="paragraph">
                        <wp:posOffset>258559</wp:posOffset>
                      </wp:positionV>
                      <wp:extent cx="1183005" cy="6350"/>
                      <wp:effectExtent l="0" t="0" r="0" b="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841" name="Graphic 841"/>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B630FC8" id="Group 840" o:spid="_x0000_s1026" style="position:absolute;margin-left:99.25pt;margin-top:20.35pt;width:93.15pt;height:.5pt;z-index:-27142656;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">
                      <v:shape id="Graphic 841"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" path="m1182611,l,,,6108r1182611,l1182611,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DE0" w14:textId="77777777">
        <w:trPr>
          <w:trHeight w:val="793"/>
        </w:trPr>
        <w:tc>
          <w:tcPr>
            <w:tcW w:w="3868" w:type="dxa"/>
            <w:tcBorders>
              <w:right w:val="single" w:sz="4" w:space="0" w:color="000000"/>
            </w:tcBorders>
          </w:tcPr>
          <w:p w14:paraId="0DFDBDD6" w14:textId="77777777" w:rsidR="00046465" w:rsidRDefault="00046465">
            <w:pPr>
              <w:pStyle w:val="TableParagraph"/>
              <w:spacing w:before="143"/>
            </w:pPr>
          </w:p>
          <w:p w14:paraId="0DFDBDD7" w14:textId="77777777" w:rsidR="00046465" w:rsidRDefault="008134EB">
            <w:pPr>
              <w:pStyle w:val="TableParagraph"/>
              <w:ind w:left="97"/>
            </w:pPr>
            <w:r>
              <w:t>Provision</w:t>
            </w:r>
            <w:r>
              <w:rPr>
                <w:spacing w:val="-11"/>
              </w:rPr>
              <w:t xml:space="preserve"> </w:t>
            </w:r>
            <w:r>
              <w:rPr>
                <w:spacing w:val="-2"/>
              </w:rPr>
              <w:t>Description</w:t>
            </w:r>
          </w:p>
        </w:tc>
        <w:tc>
          <w:tcPr>
            <w:tcW w:w="1776" w:type="dxa"/>
            <w:tcBorders>
              <w:left w:val="single" w:sz="4" w:space="0" w:color="000000"/>
              <w:right w:val="single" w:sz="4" w:space="0" w:color="000000"/>
            </w:tcBorders>
          </w:tcPr>
          <w:p w14:paraId="0DFDBDD8" w14:textId="77777777" w:rsidR="00046465" w:rsidRDefault="00046465">
            <w:pPr>
              <w:pStyle w:val="TableParagraph"/>
              <w:spacing w:before="143"/>
            </w:pPr>
          </w:p>
          <w:p w14:paraId="0DFDBDD9" w14:textId="77777777" w:rsidR="00046465" w:rsidRDefault="008134EB">
            <w:pPr>
              <w:pStyle w:val="TableParagraph"/>
              <w:ind w:left="107"/>
            </w:pPr>
            <w:r>
              <w:rPr>
                <w:spacing w:val="-2"/>
              </w:rPr>
              <w:t>Objective</w:t>
            </w:r>
          </w:p>
        </w:tc>
        <w:tc>
          <w:tcPr>
            <w:tcW w:w="2201" w:type="dxa"/>
            <w:tcBorders>
              <w:left w:val="single" w:sz="4" w:space="0" w:color="000000"/>
              <w:right w:val="single" w:sz="4" w:space="0" w:color="000000"/>
            </w:tcBorders>
          </w:tcPr>
          <w:p w14:paraId="0DFDBDDA" w14:textId="77777777" w:rsidR="00046465" w:rsidRDefault="00046465">
            <w:pPr>
              <w:pStyle w:val="TableParagraph"/>
              <w:spacing w:before="143"/>
            </w:pPr>
          </w:p>
          <w:p w14:paraId="0DFDBDDB" w14:textId="77777777" w:rsidR="00046465" w:rsidRDefault="008134EB">
            <w:pPr>
              <w:pStyle w:val="TableParagraph"/>
              <w:ind w:left="106"/>
            </w:pPr>
            <w:r>
              <w:t>Control</w:t>
            </w:r>
            <w:r>
              <w:rPr>
                <w:spacing w:val="-9"/>
              </w:rPr>
              <w:t xml:space="preserve"> </w:t>
            </w:r>
            <w:r>
              <w:rPr>
                <w:spacing w:val="-2"/>
              </w:rPr>
              <w:t>Activities</w:t>
            </w:r>
          </w:p>
        </w:tc>
        <w:tc>
          <w:tcPr>
            <w:tcW w:w="1519" w:type="dxa"/>
            <w:tcBorders>
              <w:left w:val="single" w:sz="4" w:space="0" w:color="000000"/>
              <w:right w:val="single" w:sz="4" w:space="0" w:color="000000"/>
            </w:tcBorders>
          </w:tcPr>
          <w:p w14:paraId="0DFDBDDC" w14:textId="77777777" w:rsidR="00046465" w:rsidRDefault="00046465">
            <w:pPr>
              <w:pStyle w:val="TableParagraph"/>
              <w:spacing w:before="143"/>
            </w:pPr>
          </w:p>
          <w:p w14:paraId="0DFDBDDD" w14:textId="77777777" w:rsidR="00046465" w:rsidRDefault="008134EB">
            <w:pPr>
              <w:pStyle w:val="TableParagraph"/>
              <w:ind w:left="107"/>
            </w:pPr>
            <w:r>
              <w:t>IS</w:t>
            </w:r>
            <w:r>
              <w:rPr>
                <w:spacing w:val="-3"/>
              </w:rPr>
              <w:t xml:space="preserve"> </w:t>
            </w:r>
            <w:r>
              <w:rPr>
                <w:spacing w:val="-2"/>
              </w:rPr>
              <w:t>(Y/N)</w:t>
            </w:r>
          </w:p>
        </w:tc>
        <w:tc>
          <w:tcPr>
            <w:tcW w:w="1640" w:type="dxa"/>
            <w:tcBorders>
              <w:left w:val="single" w:sz="4" w:space="0" w:color="000000"/>
              <w:right w:val="single" w:sz="4" w:space="0" w:color="000000"/>
            </w:tcBorders>
          </w:tcPr>
          <w:p w14:paraId="0DFDBDDE" w14:textId="77777777" w:rsidR="00046465" w:rsidRDefault="008134EB">
            <w:pPr>
              <w:pStyle w:val="TableParagraph"/>
              <w:spacing w:before="143"/>
              <w:ind w:left="107" w:right="99"/>
            </w:pPr>
            <w:r>
              <w:rPr>
                <w:spacing w:val="-2"/>
              </w:rPr>
              <w:t>Effective controls?</w:t>
            </w:r>
          </w:p>
        </w:tc>
        <w:tc>
          <w:tcPr>
            <w:tcW w:w="2172" w:type="dxa"/>
            <w:tcBorders>
              <w:left w:val="single" w:sz="4" w:space="0" w:color="000000"/>
            </w:tcBorders>
          </w:tcPr>
          <w:p w14:paraId="0DFDBDDF" w14:textId="77777777" w:rsidR="00046465" w:rsidRDefault="008134EB">
            <w:pPr>
              <w:pStyle w:val="TableParagraph"/>
              <w:spacing w:before="143"/>
              <w:ind w:left="107"/>
            </w:pPr>
            <w:r>
              <w:t xml:space="preserve">Instances of </w:t>
            </w:r>
            <w:r>
              <w:rPr>
                <w:spacing w:val="-2"/>
              </w:rPr>
              <w:t>noncompliance?</w:t>
            </w:r>
          </w:p>
        </w:tc>
      </w:tr>
      <w:tr w:rsidR="00046465" w14:paraId="0DFDBDEA" w14:textId="77777777">
        <w:trPr>
          <w:trHeight w:val="3268"/>
        </w:trPr>
        <w:tc>
          <w:tcPr>
            <w:tcW w:w="3868" w:type="dxa"/>
            <w:tcBorders>
              <w:bottom w:val="single" w:sz="4" w:space="0" w:color="000000"/>
              <w:right w:val="single" w:sz="4" w:space="0" w:color="000000"/>
            </w:tcBorders>
          </w:tcPr>
          <w:p w14:paraId="0DFDBDE1" w14:textId="77777777" w:rsidR="00046465" w:rsidRDefault="008134EB">
            <w:pPr>
              <w:pStyle w:val="TableParagraph"/>
              <w:spacing w:before="143"/>
              <w:ind w:left="817" w:hanging="720"/>
              <w:rPr>
                <w:sz w:val="18"/>
              </w:rPr>
            </w:pPr>
            <w:r>
              <w:rPr>
                <w:smallCaps/>
                <w:sz w:val="18"/>
              </w:rPr>
              <w:t>811.02.</w:t>
            </w:r>
            <w:r>
              <w:rPr>
                <w:smallCaps/>
                <w:spacing w:val="-2"/>
                <w:sz w:val="18"/>
              </w:rPr>
              <w:t xml:space="preserve"> </w:t>
            </w:r>
            <w:r>
              <w:rPr>
                <w:smallCaps/>
                <w:spacing w:val="16"/>
                <w:sz w:val="18"/>
              </w:rPr>
              <w:t xml:space="preserve"> </w:t>
            </w:r>
            <w:r>
              <w:rPr>
                <w:smallCaps/>
                <w:sz w:val="18"/>
              </w:rPr>
              <w:t>Entity</w:t>
            </w:r>
            <w:r>
              <w:rPr>
                <w:smallCaps/>
                <w:spacing w:val="-3"/>
                <w:sz w:val="18"/>
              </w:rPr>
              <w:t xml:space="preserve"> </w:t>
            </w:r>
            <w:r>
              <w:rPr>
                <w:smallCaps/>
                <w:sz w:val="18"/>
              </w:rPr>
              <w:t>Contributions</w:t>
            </w:r>
            <w:r>
              <w:rPr>
                <w:smallCaps/>
                <w:spacing w:val="-4"/>
                <w:sz w:val="18"/>
              </w:rPr>
              <w:t xml:space="preserve"> </w:t>
            </w:r>
            <w:r>
              <w:rPr>
                <w:smallCaps/>
                <w:sz w:val="18"/>
              </w:rPr>
              <w:t>for</w:t>
            </w:r>
            <w:r>
              <w:rPr>
                <w:smallCaps/>
                <w:spacing w:val="-2"/>
                <w:sz w:val="18"/>
              </w:rPr>
              <w:t xml:space="preserve"> </w:t>
            </w:r>
            <w:r>
              <w:rPr>
                <w:smallCaps/>
                <w:sz w:val="18"/>
              </w:rPr>
              <w:t>Employee</w:t>
            </w:r>
            <w:r>
              <w:rPr>
                <w:smallCaps/>
                <w:spacing w:val="40"/>
                <w:sz w:val="18"/>
              </w:rPr>
              <w:t xml:space="preserve"> </w:t>
            </w:r>
            <w:r>
              <w:rPr>
                <w:smallCaps/>
                <w:sz w:val="18"/>
              </w:rPr>
              <w:t>Retirement Benefits.</w:t>
            </w:r>
          </w:p>
          <w:p w14:paraId="0DFDBDE2" w14:textId="77777777" w:rsidR="00046465" w:rsidRDefault="008134EB">
            <w:pPr>
              <w:pStyle w:val="TableParagraph"/>
              <w:spacing w:before="144"/>
              <w:ind w:left="97" w:right="527"/>
              <w:rPr>
                <w:sz w:val="18"/>
              </w:rPr>
            </w:pPr>
            <w:r>
              <w:rPr>
                <w:sz w:val="18"/>
              </w:rPr>
              <w:t>Provision</w:t>
            </w:r>
            <w:r>
              <w:rPr>
                <w:spacing w:val="-13"/>
                <w:sz w:val="18"/>
              </w:rPr>
              <w:t xml:space="preserve"> </w:t>
            </w:r>
            <w:r>
              <w:rPr>
                <w:sz w:val="18"/>
              </w:rPr>
              <w:t>Types:</w:t>
            </w:r>
            <w:r>
              <w:rPr>
                <w:spacing w:val="-12"/>
                <w:sz w:val="18"/>
              </w:rPr>
              <w:t xml:space="preserve"> </w:t>
            </w:r>
            <w:r>
              <w:rPr>
                <w:sz w:val="18"/>
              </w:rPr>
              <w:t>Transaction-based</w:t>
            </w:r>
            <w:r>
              <w:rPr>
                <w:spacing w:val="-13"/>
                <w:sz w:val="18"/>
              </w:rPr>
              <w:t xml:space="preserve"> </w:t>
            </w:r>
            <w:r>
              <w:rPr>
                <w:sz w:val="18"/>
              </w:rPr>
              <w:t xml:space="preserve">and </w:t>
            </w:r>
            <w:r>
              <w:rPr>
                <w:spacing w:val="-2"/>
                <w:sz w:val="18"/>
              </w:rPr>
              <w:t>quantitative-based.</w:t>
            </w:r>
          </w:p>
          <w:p w14:paraId="0DFDBDE3" w14:textId="77777777" w:rsidR="00046465" w:rsidRDefault="008134EB">
            <w:pPr>
              <w:pStyle w:val="TableParagraph"/>
              <w:spacing w:before="145"/>
              <w:ind w:left="97" w:right="108"/>
              <w:rPr>
                <w:sz w:val="18"/>
              </w:rPr>
            </w:pPr>
            <w:r>
              <w:rPr>
                <w:sz w:val="18"/>
              </w:rPr>
              <w:t>The</w:t>
            </w:r>
            <w:r>
              <w:rPr>
                <w:spacing w:val="-7"/>
                <w:sz w:val="18"/>
              </w:rPr>
              <w:t xml:space="preserve"> </w:t>
            </w:r>
            <w:r>
              <w:rPr>
                <w:sz w:val="18"/>
              </w:rPr>
              <w:t>entity</w:t>
            </w:r>
            <w:r>
              <w:rPr>
                <w:spacing w:val="-6"/>
                <w:sz w:val="18"/>
              </w:rPr>
              <w:t xml:space="preserve"> </w:t>
            </w:r>
            <w:r>
              <w:rPr>
                <w:sz w:val="18"/>
              </w:rPr>
              <w:t>shall</w:t>
            </w:r>
            <w:r>
              <w:rPr>
                <w:spacing w:val="-5"/>
                <w:sz w:val="18"/>
              </w:rPr>
              <w:t xml:space="preserve"> </w:t>
            </w:r>
            <w:r>
              <w:rPr>
                <w:sz w:val="18"/>
              </w:rPr>
              <w:t>contribute</w:t>
            </w:r>
            <w:r>
              <w:rPr>
                <w:spacing w:val="-7"/>
                <w:sz w:val="18"/>
              </w:rPr>
              <w:t xml:space="preserve"> </w:t>
            </w:r>
            <w:r>
              <w:rPr>
                <w:sz w:val="18"/>
              </w:rPr>
              <w:t>an</w:t>
            </w:r>
            <w:r>
              <w:rPr>
                <w:spacing w:val="-5"/>
                <w:sz w:val="18"/>
              </w:rPr>
              <w:t xml:space="preserve"> </w:t>
            </w:r>
            <w:r>
              <w:rPr>
                <w:sz w:val="18"/>
              </w:rPr>
              <w:t>amount</w:t>
            </w:r>
            <w:r>
              <w:rPr>
                <w:spacing w:val="-6"/>
                <w:sz w:val="18"/>
              </w:rPr>
              <w:t xml:space="preserve"> </w:t>
            </w:r>
            <w:r>
              <w:rPr>
                <w:sz w:val="18"/>
              </w:rPr>
              <w:t>equal</w:t>
            </w:r>
            <w:r>
              <w:rPr>
                <w:spacing w:val="-6"/>
                <w:sz w:val="18"/>
              </w:rPr>
              <w:t xml:space="preserve"> </w:t>
            </w:r>
            <w:r>
              <w:rPr>
                <w:sz w:val="18"/>
              </w:rPr>
              <w:t>to the employing entity’s applicable normal-cost percentage</w:t>
            </w:r>
            <w:hyperlink w:anchor="_bookmark136" w:history="1">
              <w:r>
                <w:rPr>
                  <w:position w:val="6"/>
                  <w:sz w:val="12"/>
                </w:rPr>
                <w:t>65</w:t>
              </w:r>
            </w:hyperlink>
            <w:r>
              <w:rPr>
                <w:spacing w:val="40"/>
                <w:position w:val="6"/>
                <w:sz w:val="12"/>
              </w:rPr>
              <w:t xml:space="preserve"> </w:t>
            </w:r>
            <w:r>
              <w:rPr>
                <w:sz w:val="18"/>
              </w:rPr>
              <w:t xml:space="preserve">multiplied by the employee’s aggregate amount of basic pay payable by the entity. 5 U.S.C. § 8423(a)(1). For most employees, the entity contribution shall be paid from the appropriation account or fund used to pay the employee. 5 U.S.C. § </w:t>
            </w:r>
            <w:r>
              <w:rPr>
                <w:spacing w:val="-2"/>
                <w:sz w:val="18"/>
              </w:rPr>
              <w:t>8423(a)(3).</w:t>
            </w:r>
          </w:p>
        </w:tc>
        <w:tc>
          <w:tcPr>
            <w:tcW w:w="1776" w:type="dxa"/>
            <w:tcBorders>
              <w:left w:val="single" w:sz="4" w:space="0" w:color="000000"/>
              <w:bottom w:val="single" w:sz="4" w:space="0" w:color="000000"/>
              <w:right w:val="single" w:sz="4" w:space="0" w:color="000000"/>
            </w:tcBorders>
          </w:tcPr>
          <w:p w14:paraId="0DFDBDE4" w14:textId="77777777" w:rsidR="00046465" w:rsidRDefault="008134EB">
            <w:pPr>
              <w:pStyle w:val="TableParagraph"/>
              <w:spacing w:before="143"/>
              <w:ind w:left="107" w:right="327"/>
              <w:rPr>
                <w:sz w:val="18"/>
              </w:rPr>
            </w:pPr>
            <w:r>
              <w:rPr>
                <w:sz w:val="18"/>
              </w:rPr>
              <w:t xml:space="preserve">The entity contribution for </w:t>
            </w:r>
            <w:r>
              <w:rPr>
                <w:spacing w:val="-2"/>
                <w:sz w:val="18"/>
              </w:rPr>
              <w:t xml:space="preserve">employee </w:t>
            </w:r>
            <w:r>
              <w:rPr>
                <w:sz w:val="18"/>
              </w:rPr>
              <w:t xml:space="preserve">retirement is </w:t>
            </w:r>
            <w:r>
              <w:rPr>
                <w:spacing w:val="-2"/>
                <w:sz w:val="18"/>
              </w:rPr>
              <w:t xml:space="preserve">calculated properly, summarized </w:t>
            </w:r>
            <w:r>
              <w:rPr>
                <w:sz w:val="18"/>
              </w:rPr>
              <w:t xml:space="preserve">properly, and charged to the </w:t>
            </w:r>
            <w:r>
              <w:rPr>
                <w:spacing w:val="-2"/>
                <w:sz w:val="18"/>
              </w:rPr>
              <w:t xml:space="preserve">proper appropriation </w:t>
            </w:r>
            <w:r>
              <w:rPr>
                <w:sz w:val="18"/>
              </w:rPr>
              <w:t>account or fund. (See</w:t>
            </w:r>
            <w:r>
              <w:rPr>
                <w:spacing w:val="-15"/>
                <w:sz w:val="18"/>
              </w:rPr>
              <w:t xml:space="preserve"> </w:t>
            </w:r>
            <w:r>
              <w:rPr>
                <w:sz w:val="18"/>
              </w:rPr>
              <w:t>footnote</w:t>
            </w:r>
            <w:r>
              <w:rPr>
                <w:spacing w:val="-12"/>
                <w:sz w:val="18"/>
              </w:rPr>
              <w:t xml:space="preserve"> </w:t>
            </w:r>
            <w:r>
              <w:rPr>
                <w:sz w:val="18"/>
              </w:rPr>
              <w:t xml:space="preserve">64 </w:t>
            </w:r>
            <w:r>
              <w:rPr>
                <w:spacing w:val="-2"/>
                <w:sz w:val="18"/>
              </w:rPr>
              <w:t>below.)</w:t>
            </w:r>
          </w:p>
        </w:tc>
        <w:tc>
          <w:tcPr>
            <w:tcW w:w="2201" w:type="dxa"/>
            <w:tcBorders>
              <w:left w:val="single" w:sz="4" w:space="0" w:color="000000"/>
              <w:bottom w:val="single" w:sz="4" w:space="0" w:color="000000"/>
              <w:right w:val="single" w:sz="4" w:space="0" w:color="000000"/>
            </w:tcBorders>
          </w:tcPr>
          <w:p w14:paraId="0DFDBDE5" w14:textId="77777777" w:rsidR="00046465" w:rsidRDefault="00046465">
            <w:pPr>
              <w:pStyle w:val="TableParagraph"/>
              <w:rPr>
                <w:rFonts w:ascii="Times New Roman"/>
                <w:sz w:val="18"/>
              </w:rPr>
            </w:pPr>
          </w:p>
        </w:tc>
        <w:tc>
          <w:tcPr>
            <w:tcW w:w="1519" w:type="dxa"/>
            <w:tcBorders>
              <w:left w:val="single" w:sz="4" w:space="0" w:color="000000"/>
              <w:bottom w:val="single" w:sz="4" w:space="0" w:color="000000"/>
              <w:right w:val="single" w:sz="4" w:space="0" w:color="000000"/>
            </w:tcBorders>
          </w:tcPr>
          <w:p w14:paraId="0DFDBDE6" w14:textId="77777777" w:rsidR="00046465" w:rsidRDefault="00046465">
            <w:pPr>
              <w:pStyle w:val="TableParagraph"/>
              <w:rPr>
                <w:rFonts w:ascii="Times New Roman"/>
                <w:sz w:val="18"/>
              </w:rPr>
            </w:pPr>
          </w:p>
        </w:tc>
        <w:tc>
          <w:tcPr>
            <w:tcW w:w="1640" w:type="dxa"/>
            <w:tcBorders>
              <w:left w:val="single" w:sz="4" w:space="0" w:color="000000"/>
              <w:bottom w:val="single" w:sz="4" w:space="0" w:color="000000"/>
              <w:right w:val="single" w:sz="4" w:space="0" w:color="000000"/>
            </w:tcBorders>
          </w:tcPr>
          <w:p w14:paraId="0DFDBDE7" w14:textId="77777777" w:rsidR="00046465" w:rsidRDefault="00046465">
            <w:pPr>
              <w:pStyle w:val="TableParagraph"/>
              <w:rPr>
                <w:rFonts w:ascii="Times New Roman"/>
                <w:sz w:val="18"/>
              </w:rPr>
            </w:pPr>
          </w:p>
        </w:tc>
        <w:tc>
          <w:tcPr>
            <w:tcW w:w="2172" w:type="dxa"/>
            <w:tcBorders>
              <w:left w:val="single" w:sz="4" w:space="0" w:color="000000"/>
              <w:bottom w:val="single" w:sz="4" w:space="0" w:color="000000"/>
            </w:tcBorders>
          </w:tcPr>
          <w:p w14:paraId="0DFDBDE8" w14:textId="77777777" w:rsidR="00046465" w:rsidRDefault="008134EB">
            <w:pPr>
              <w:pStyle w:val="TableParagraph"/>
              <w:spacing w:before="143"/>
              <w:ind w:left="107"/>
              <w:rPr>
                <w:sz w:val="18"/>
              </w:rPr>
            </w:pPr>
            <w:r>
              <w:rPr>
                <w:sz w:val="18"/>
              </w:rPr>
              <w:t>See</w:t>
            </w:r>
            <w:r>
              <w:rPr>
                <w:spacing w:val="-15"/>
                <w:sz w:val="18"/>
              </w:rPr>
              <w:t xml:space="preserve"> </w:t>
            </w:r>
            <w:r>
              <w:rPr>
                <w:sz w:val="18"/>
              </w:rPr>
              <w:t>Compliance</w:t>
            </w:r>
            <w:r>
              <w:rPr>
                <w:spacing w:val="-12"/>
                <w:sz w:val="18"/>
              </w:rPr>
              <w:t xml:space="preserve"> </w:t>
            </w:r>
            <w:r>
              <w:rPr>
                <w:sz w:val="18"/>
              </w:rPr>
              <w:t>Audit Procedures,</w:t>
            </w:r>
            <w:r>
              <w:rPr>
                <w:spacing w:val="-4"/>
                <w:sz w:val="18"/>
              </w:rPr>
              <w:t xml:space="preserve"> </w:t>
            </w:r>
            <w:r>
              <w:rPr>
                <w:sz w:val="18"/>
              </w:rPr>
              <w:t>FAM</w:t>
            </w:r>
            <w:r>
              <w:rPr>
                <w:spacing w:val="-3"/>
                <w:sz w:val="18"/>
              </w:rPr>
              <w:t xml:space="preserve"> </w:t>
            </w:r>
            <w:r>
              <w:rPr>
                <w:spacing w:val="-5"/>
                <w:sz w:val="18"/>
              </w:rPr>
              <w:t>811</w:t>
            </w:r>
          </w:p>
          <w:p w14:paraId="0DFDBDE9" w14:textId="77777777" w:rsidR="00046465" w:rsidRDefault="008134EB">
            <w:pPr>
              <w:pStyle w:val="TableParagraph"/>
              <w:spacing w:before="1"/>
              <w:ind w:left="107"/>
              <w:rPr>
                <w:sz w:val="18"/>
              </w:rPr>
            </w:pPr>
            <w:r>
              <w:rPr>
                <w:sz w:val="18"/>
              </w:rPr>
              <w:t>steps</w:t>
            </w:r>
            <w:r>
              <w:rPr>
                <w:spacing w:val="-3"/>
                <w:sz w:val="18"/>
              </w:rPr>
              <w:t xml:space="preserve"> </w:t>
            </w:r>
            <w:r>
              <w:rPr>
                <w:sz w:val="18"/>
              </w:rPr>
              <w:t>4</w:t>
            </w:r>
            <w:r>
              <w:rPr>
                <w:spacing w:val="-2"/>
                <w:sz w:val="18"/>
              </w:rPr>
              <w:t xml:space="preserve"> </w:t>
            </w:r>
            <w:r>
              <w:rPr>
                <w:sz w:val="18"/>
              </w:rPr>
              <w:t>(c)</w:t>
            </w:r>
            <w:r>
              <w:rPr>
                <w:spacing w:val="-1"/>
                <w:sz w:val="18"/>
              </w:rPr>
              <w:t xml:space="preserve"> </w:t>
            </w:r>
            <w:r>
              <w:rPr>
                <w:sz w:val="18"/>
              </w:rPr>
              <w:t xml:space="preserve">and </w:t>
            </w:r>
            <w:r>
              <w:rPr>
                <w:spacing w:val="-5"/>
                <w:sz w:val="18"/>
              </w:rPr>
              <w:t>5.</w:t>
            </w:r>
          </w:p>
        </w:tc>
      </w:tr>
    </w:tbl>
    <w:p w14:paraId="0DFDBDEB" w14:textId="77777777" w:rsidR="00046465" w:rsidRDefault="00046465">
      <w:pPr>
        <w:pStyle w:val="BodyText"/>
        <w:rPr>
          <w:sz w:val="20"/>
        </w:rPr>
      </w:pPr>
    </w:p>
    <w:p w14:paraId="0DFDBDEC" w14:textId="77777777" w:rsidR="00046465" w:rsidRDefault="00046465">
      <w:pPr>
        <w:pStyle w:val="BodyText"/>
        <w:rPr>
          <w:sz w:val="20"/>
        </w:rPr>
      </w:pPr>
    </w:p>
    <w:p w14:paraId="0DFDBDED" w14:textId="77777777" w:rsidR="00046465" w:rsidRDefault="00046465">
      <w:pPr>
        <w:pStyle w:val="BodyText"/>
        <w:rPr>
          <w:sz w:val="20"/>
        </w:rPr>
      </w:pPr>
    </w:p>
    <w:p w14:paraId="0DFDBDEE" w14:textId="77777777" w:rsidR="00046465" w:rsidRDefault="00046465">
      <w:pPr>
        <w:pStyle w:val="BodyText"/>
        <w:rPr>
          <w:sz w:val="20"/>
        </w:rPr>
      </w:pPr>
    </w:p>
    <w:p w14:paraId="0DFDBDEF" w14:textId="77777777" w:rsidR="00046465" w:rsidRDefault="00046465">
      <w:pPr>
        <w:pStyle w:val="BodyText"/>
        <w:rPr>
          <w:sz w:val="20"/>
        </w:rPr>
      </w:pPr>
    </w:p>
    <w:p w14:paraId="0DFDBDF0" w14:textId="77777777" w:rsidR="00046465" w:rsidRDefault="00046465">
      <w:pPr>
        <w:pStyle w:val="BodyText"/>
        <w:rPr>
          <w:sz w:val="20"/>
        </w:rPr>
      </w:pPr>
    </w:p>
    <w:p w14:paraId="0DFDBDF1" w14:textId="77777777" w:rsidR="00046465" w:rsidRDefault="00046465">
      <w:pPr>
        <w:pStyle w:val="BodyText"/>
        <w:rPr>
          <w:sz w:val="20"/>
        </w:rPr>
      </w:pPr>
    </w:p>
    <w:p w14:paraId="0DFDBDF2" w14:textId="77777777" w:rsidR="00046465" w:rsidRDefault="00046465">
      <w:pPr>
        <w:pStyle w:val="BodyText"/>
        <w:rPr>
          <w:sz w:val="20"/>
        </w:rPr>
      </w:pPr>
    </w:p>
    <w:p w14:paraId="0DFDBDF3" w14:textId="77777777" w:rsidR="00046465" w:rsidRDefault="00046465">
      <w:pPr>
        <w:pStyle w:val="BodyText"/>
        <w:rPr>
          <w:sz w:val="20"/>
        </w:rPr>
      </w:pPr>
    </w:p>
    <w:p w14:paraId="0DFDBDF4" w14:textId="77777777" w:rsidR="00046465" w:rsidRDefault="00046465">
      <w:pPr>
        <w:pStyle w:val="BodyText"/>
        <w:rPr>
          <w:sz w:val="20"/>
        </w:rPr>
      </w:pPr>
    </w:p>
    <w:p w14:paraId="0DFDBDF5" w14:textId="77777777" w:rsidR="00046465" w:rsidRDefault="008134EB">
      <w:pPr>
        <w:pStyle w:val="BodyText"/>
        <w:spacing w:before="179"/>
        <w:rPr>
          <w:sz w:val="20"/>
        </w:rPr>
      </w:pPr>
      <w:r>
        <w:rPr>
          <w:noProof/>
          <w:sz w:val="20"/>
        </w:rPr>
        <mc:AlternateContent>
          <mc:Choice Requires="wps">
            <w:drawing>
              <wp:anchor distT="0" distB="0" distL="0" distR="0" simplePos="0" relativeHeight="487706624" behindDoc="1" locked="0" layoutInCell="1" allowOverlap="1" wp14:anchorId="0DFDD6EB" wp14:editId="0DFDD6EC">
                <wp:simplePos x="0" y="0"/>
                <wp:positionH relativeFrom="page">
                  <wp:posOffset>685800</wp:posOffset>
                </wp:positionH>
                <wp:positionV relativeFrom="paragraph">
                  <wp:posOffset>275333</wp:posOffset>
                </wp:positionV>
                <wp:extent cx="1828800" cy="6985"/>
                <wp:effectExtent l="0" t="0" r="0" b="0"/>
                <wp:wrapTopAndBottom/>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56BF32" id="Graphic 842" o:spid="_x0000_s1026" style="position:absolute;margin-left:54pt;margin-top:21.7pt;width:2in;height:.55pt;z-index:-1560985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" path="m1828800,l,,,6858r1828800,l1828800,xe" fillcolor="black" stroked="f">
                <v:path arrowok="t"/>
                <w10:wrap type="topAndBottom" anchorx="page"/>
              </v:shape>
            </w:pict>
          </mc:Fallback>
        </mc:AlternateContent>
      </w:r>
    </w:p>
    <w:p w14:paraId="0DFDBDF6" w14:textId="77777777" w:rsidR="00046465" w:rsidRDefault="00046465">
      <w:pPr>
        <w:pStyle w:val="BodyText"/>
        <w:spacing w:before="10"/>
        <w:rPr>
          <w:sz w:val="18"/>
        </w:rPr>
      </w:pPr>
    </w:p>
    <w:p w14:paraId="0DFDBDF7" w14:textId="77777777" w:rsidR="00046465" w:rsidRDefault="008134EB">
      <w:pPr>
        <w:spacing w:line="244" w:lineRule="auto"/>
        <w:ind w:left="359" w:right="176"/>
        <w:jc w:val="both"/>
        <w:rPr>
          <w:sz w:val="18"/>
        </w:rPr>
      </w:pPr>
      <w:r>
        <w:rPr>
          <w:position w:val="7"/>
          <w:sz w:val="14"/>
        </w:rPr>
        <w:t>65</w:t>
      </w:r>
      <w:r>
        <w:rPr>
          <w:sz w:val="18"/>
        </w:rPr>
        <w:t>The</w:t>
      </w:r>
      <w:r>
        <w:rPr>
          <w:spacing w:val="-3"/>
          <w:sz w:val="18"/>
        </w:rPr>
        <w:t xml:space="preserve"> </w:t>
      </w:r>
      <w:r>
        <w:rPr>
          <w:sz w:val="18"/>
        </w:rPr>
        <w:t>Office</w:t>
      </w:r>
      <w:r>
        <w:rPr>
          <w:spacing w:val="-3"/>
          <w:sz w:val="18"/>
        </w:rPr>
        <w:t xml:space="preserve"> </w:t>
      </w:r>
      <w:r>
        <w:rPr>
          <w:sz w:val="18"/>
        </w:rPr>
        <w:t>of</w:t>
      </w:r>
      <w:r>
        <w:rPr>
          <w:spacing w:val="-2"/>
          <w:sz w:val="18"/>
        </w:rPr>
        <w:t xml:space="preserve"> </w:t>
      </w:r>
      <w:r>
        <w:rPr>
          <w:sz w:val="18"/>
        </w:rPr>
        <w:t>Personnel</w:t>
      </w:r>
      <w:r>
        <w:rPr>
          <w:spacing w:val="-2"/>
          <w:sz w:val="18"/>
        </w:rPr>
        <w:t xml:space="preserve"> </w:t>
      </w:r>
      <w:r>
        <w:rPr>
          <w:sz w:val="18"/>
        </w:rPr>
        <w:t>Management</w:t>
      </w:r>
      <w:r>
        <w:rPr>
          <w:spacing w:val="-1"/>
          <w:sz w:val="18"/>
        </w:rPr>
        <w:t xml:space="preserve"> </w:t>
      </w:r>
      <w:r>
        <w:rPr>
          <w:sz w:val="18"/>
        </w:rPr>
        <w:t>(OPM)</w:t>
      </w:r>
      <w:r>
        <w:rPr>
          <w:spacing w:val="-2"/>
          <w:sz w:val="18"/>
        </w:rPr>
        <w:t xml:space="preserve"> </w:t>
      </w:r>
      <w:r>
        <w:rPr>
          <w:sz w:val="18"/>
        </w:rPr>
        <w:t>calculates</w:t>
      </w:r>
      <w:r>
        <w:rPr>
          <w:spacing w:val="-2"/>
          <w:sz w:val="18"/>
        </w:rPr>
        <w:t xml:space="preserve"> </w:t>
      </w:r>
      <w:r>
        <w:rPr>
          <w:sz w:val="18"/>
        </w:rPr>
        <w:t>the</w:t>
      </w:r>
      <w:r>
        <w:rPr>
          <w:spacing w:val="-1"/>
          <w:sz w:val="18"/>
        </w:rPr>
        <w:t xml:space="preserve"> </w:t>
      </w:r>
      <w:r>
        <w:rPr>
          <w:sz w:val="18"/>
        </w:rPr>
        <w:t>normal-cost</w:t>
      </w:r>
      <w:r>
        <w:rPr>
          <w:spacing w:val="-2"/>
          <w:sz w:val="18"/>
        </w:rPr>
        <w:t xml:space="preserve"> </w:t>
      </w:r>
      <w:r>
        <w:rPr>
          <w:sz w:val="18"/>
        </w:rPr>
        <w:t>percentage,</w:t>
      </w:r>
      <w:r>
        <w:rPr>
          <w:spacing w:val="-2"/>
          <w:sz w:val="18"/>
        </w:rPr>
        <w:t xml:space="preserve"> </w:t>
      </w:r>
      <w:r>
        <w:rPr>
          <w:sz w:val="18"/>
        </w:rPr>
        <w:t>which</w:t>
      </w:r>
      <w:r>
        <w:rPr>
          <w:spacing w:val="-3"/>
          <w:sz w:val="18"/>
        </w:rPr>
        <w:t xml:space="preserve"> </w:t>
      </w:r>
      <w:r>
        <w:rPr>
          <w:sz w:val="18"/>
        </w:rPr>
        <w:t>is</w:t>
      </w:r>
      <w:r>
        <w:rPr>
          <w:spacing w:val="-2"/>
          <w:sz w:val="18"/>
        </w:rPr>
        <w:t xml:space="preserve"> </w:t>
      </w:r>
      <w:r>
        <w:rPr>
          <w:sz w:val="18"/>
        </w:rPr>
        <w:t>statutorily</w:t>
      </w:r>
      <w:r>
        <w:rPr>
          <w:spacing w:val="-1"/>
          <w:sz w:val="18"/>
        </w:rPr>
        <w:t xml:space="preserve"> </w:t>
      </w:r>
      <w:r>
        <w:rPr>
          <w:sz w:val="18"/>
        </w:rPr>
        <w:t>defined</w:t>
      </w:r>
      <w:r>
        <w:rPr>
          <w:spacing w:val="-3"/>
          <w:sz w:val="18"/>
        </w:rPr>
        <w:t xml:space="preserve"> </w:t>
      </w:r>
      <w:r>
        <w:rPr>
          <w:sz w:val="18"/>
        </w:rPr>
        <w:t>at</w:t>
      </w:r>
      <w:r>
        <w:rPr>
          <w:spacing w:val="-2"/>
          <w:sz w:val="18"/>
        </w:rPr>
        <w:t xml:space="preserve"> </w:t>
      </w:r>
      <w:r>
        <w:rPr>
          <w:sz w:val="18"/>
        </w:rPr>
        <w:t>5</w:t>
      </w:r>
      <w:r>
        <w:rPr>
          <w:spacing w:val="-3"/>
          <w:sz w:val="18"/>
        </w:rPr>
        <w:t xml:space="preserve"> </w:t>
      </w:r>
      <w:r>
        <w:rPr>
          <w:sz w:val="18"/>
        </w:rPr>
        <w:t>U.S.C.</w:t>
      </w:r>
      <w:r>
        <w:rPr>
          <w:spacing w:val="-2"/>
          <w:sz w:val="18"/>
        </w:rPr>
        <w:t xml:space="preserve"> </w:t>
      </w:r>
      <w:r>
        <w:rPr>
          <w:sz w:val="18"/>
        </w:rPr>
        <w:t>§</w:t>
      </w:r>
      <w:r>
        <w:rPr>
          <w:spacing w:val="-3"/>
          <w:sz w:val="18"/>
        </w:rPr>
        <w:t xml:space="preserve"> </w:t>
      </w:r>
      <w:r>
        <w:rPr>
          <w:sz w:val="18"/>
        </w:rPr>
        <w:t>8401(23).</w:t>
      </w:r>
      <w:r>
        <w:rPr>
          <w:spacing w:val="-2"/>
          <w:sz w:val="18"/>
        </w:rPr>
        <w:t xml:space="preserve"> </w:t>
      </w:r>
      <w:r>
        <w:rPr>
          <w:sz w:val="18"/>
        </w:rPr>
        <w:t>For</w:t>
      </w:r>
      <w:r>
        <w:rPr>
          <w:spacing w:val="-2"/>
          <w:sz w:val="18"/>
        </w:rPr>
        <w:t xml:space="preserve"> </w:t>
      </w:r>
      <w:r>
        <w:rPr>
          <w:sz w:val="18"/>
        </w:rPr>
        <w:t>example,</w:t>
      </w:r>
      <w:r>
        <w:rPr>
          <w:spacing w:val="-1"/>
          <w:sz w:val="18"/>
        </w:rPr>
        <w:t xml:space="preserve"> </w:t>
      </w:r>
      <w:r>
        <w:rPr>
          <w:sz w:val="18"/>
        </w:rPr>
        <w:t>for</w:t>
      </w:r>
      <w:r>
        <w:rPr>
          <w:spacing w:val="-2"/>
          <w:sz w:val="18"/>
        </w:rPr>
        <w:t xml:space="preserve"> </w:t>
      </w:r>
      <w:r>
        <w:rPr>
          <w:sz w:val="18"/>
        </w:rPr>
        <w:t>fiscal</w:t>
      </w:r>
      <w:r>
        <w:rPr>
          <w:spacing w:val="-2"/>
          <w:sz w:val="18"/>
        </w:rPr>
        <w:t xml:space="preserve"> </w:t>
      </w:r>
      <w:r>
        <w:rPr>
          <w:sz w:val="18"/>
        </w:rPr>
        <w:t>year 2017, it is 14.7</w:t>
      </w:r>
      <w:r>
        <w:rPr>
          <w:spacing w:val="-1"/>
          <w:sz w:val="18"/>
        </w:rPr>
        <w:t xml:space="preserve"> </w:t>
      </w:r>
      <w:r>
        <w:rPr>
          <w:sz w:val="18"/>
        </w:rPr>
        <w:t>percent of basic pay for most employees. OPM lists the</w:t>
      </w:r>
      <w:r>
        <w:rPr>
          <w:spacing w:val="-1"/>
          <w:sz w:val="18"/>
        </w:rPr>
        <w:t xml:space="preserve"> </w:t>
      </w:r>
      <w:r>
        <w:rPr>
          <w:sz w:val="18"/>
        </w:rPr>
        <w:t>percentages in</w:t>
      </w:r>
      <w:r>
        <w:rPr>
          <w:spacing w:val="-1"/>
          <w:sz w:val="18"/>
        </w:rPr>
        <w:t xml:space="preserve"> </w:t>
      </w:r>
      <w:r>
        <w:rPr>
          <w:sz w:val="18"/>
        </w:rPr>
        <w:t>its benefits administration</w:t>
      </w:r>
      <w:r>
        <w:rPr>
          <w:spacing w:val="-1"/>
          <w:sz w:val="18"/>
        </w:rPr>
        <w:t xml:space="preserve"> </w:t>
      </w:r>
      <w:r>
        <w:rPr>
          <w:sz w:val="18"/>
        </w:rPr>
        <w:t>letters related</w:t>
      </w:r>
      <w:r>
        <w:rPr>
          <w:spacing w:val="-1"/>
          <w:sz w:val="18"/>
        </w:rPr>
        <w:t xml:space="preserve"> </w:t>
      </w:r>
      <w:r>
        <w:rPr>
          <w:sz w:val="18"/>
        </w:rPr>
        <w:t>to</w:t>
      </w:r>
      <w:r>
        <w:rPr>
          <w:spacing w:val="-1"/>
          <w:sz w:val="18"/>
        </w:rPr>
        <w:t xml:space="preserve"> </w:t>
      </w:r>
      <w:r>
        <w:rPr>
          <w:sz w:val="18"/>
        </w:rPr>
        <w:t xml:space="preserve">cost factors for calculating imputed costs, which is accessible on its website at </w:t>
      </w:r>
      <w:hyperlink r:id="rId159">
        <w:r>
          <w:rPr>
            <w:color w:val="0000FF"/>
            <w:sz w:val="18"/>
          </w:rPr>
          <w:t>https://www.opm.gov/retirement-center/publications-forms/benefits-administration-letters/</w:t>
        </w:r>
      </w:hyperlink>
      <w:r>
        <w:rPr>
          <w:color w:val="0000FF"/>
          <w:sz w:val="18"/>
        </w:rPr>
        <w:t xml:space="preserve"> </w:t>
      </w:r>
      <w:r>
        <w:rPr>
          <w:sz w:val="18"/>
        </w:rPr>
        <w:t>(accessed May 29, 2026).</w:t>
      </w:r>
    </w:p>
    <w:p w14:paraId="0DFDBDF8" w14:textId="77777777" w:rsidR="00046465" w:rsidRDefault="00046465">
      <w:pPr>
        <w:spacing w:line="244" w:lineRule="auto"/>
        <w:jc w:val="both"/>
        <w:rPr>
          <w:sz w:val="18"/>
        </w:rPr>
        <w:sectPr w:rsidR="00046465">
          <w:pgSz w:w="15840" w:h="12240" w:orient="landscape"/>
          <w:pgMar w:top="1380" w:right="1440" w:bottom="940" w:left="720" w:header="721" w:footer="742" w:gutter="0"/>
          <w:cols w:space="720"/>
        </w:sectPr>
      </w:pPr>
    </w:p>
    <w:p w14:paraId="0DFDBDF9" w14:textId="77777777" w:rsidR="00046465" w:rsidRDefault="00046465">
      <w:pPr>
        <w:pStyle w:val="BodyText"/>
        <w:spacing w:before="9"/>
        <w:rPr>
          <w:sz w:val="7"/>
        </w:rPr>
      </w:pPr>
    </w:p>
    <w:tbl>
      <w:tblPr>
        <w:tblW w:w="0" w:type="auto"/>
        <w:tblInd w:w="411"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3868"/>
        <w:gridCol w:w="1776"/>
        <w:gridCol w:w="2201"/>
        <w:gridCol w:w="1519"/>
        <w:gridCol w:w="1640"/>
        <w:gridCol w:w="2172"/>
      </w:tblGrid>
      <w:tr w:rsidR="00046465" w14:paraId="0DFDBDFD" w14:textId="77777777">
        <w:trPr>
          <w:trHeight w:val="1574"/>
        </w:trPr>
        <w:tc>
          <w:tcPr>
            <w:tcW w:w="13176" w:type="dxa"/>
            <w:gridSpan w:val="6"/>
          </w:tcPr>
          <w:p w14:paraId="0DFDBDFA" w14:textId="77777777" w:rsidR="00046465" w:rsidRDefault="008134EB">
            <w:pPr>
              <w:pStyle w:val="TableParagraph"/>
              <w:tabs>
                <w:tab w:val="left" w:pos="9184"/>
              </w:tabs>
              <w:spacing w:before="144"/>
              <w:ind w:right="1925"/>
              <w:jc w:val="center"/>
            </w:pPr>
            <w:r>
              <w:t>Name</w:t>
            </w:r>
            <w:r>
              <w:rPr>
                <w:spacing w:val="-5"/>
              </w:rPr>
              <w:t xml:space="preserve"> </w:t>
            </w:r>
            <w:r>
              <w:t>of</w:t>
            </w:r>
            <w:r>
              <w:rPr>
                <w:spacing w:val="-5"/>
              </w:rPr>
              <w:t xml:space="preserve"> </w:t>
            </w:r>
            <w:r>
              <w:rPr>
                <w:spacing w:val="-2"/>
              </w:rPr>
              <w:t>entity:</w:t>
            </w:r>
            <w:r>
              <w:tab/>
            </w:r>
            <w:bookmarkStart w:id="249" w:name="_bookmark137"/>
            <w:bookmarkEnd w:id="249"/>
            <w:r>
              <w:t>Prepared</w:t>
            </w:r>
            <w:r>
              <w:rPr>
                <w:spacing w:val="-11"/>
              </w:rPr>
              <w:t xml:space="preserve"> </w:t>
            </w:r>
            <w:r>
              <w:rPr>
                <w:spacing w:val="-5"/>
              </w:rPr>
              <w:t>by:</w:t>
            </w:r>
          </w:p>
          <w:p w14:paraId="0DFDBDFB" w14:textId="77777777" w:rsidR="00046465" w:rsidRDefault="008134EB">
            <w:pPr>
              <w:pStyle w:val="TableParagraph"/>
              <w:spacing w:before="12"/>
              <w:ind w:left="1946" w:right="1925"/>
              <w:jc w:val="center"/>
              <w:rPr>
                <w:b/>
                <w:sz w:val="24"/>
              </w:rPr>
            </w:pPr>
            <w:r>
              <w:rPr>
                <w:b/>
                <w:noProof/>
                <w:sz w:val="24"/>
              </w:rPr>
              <mc:AlternateContent>
                <mc:Choice Requires="wpg">
                  <w:drawing>
                    <wp:anchor distT="0" distB="0" distL="0" distR="0" simplePos="0" relativeHeight="476175872" behindDoc="1" locked="0" layoutInCell="1" allowOverlap="1" wp14:anchorId="0DFDD6ED" wp14:editId="0DFDD6EE">
                      <wp:simplePos x="0" y="0"/>
                      <wp:positionH relativeFrom="column">
                        <wp:posOffset>6953250</wp:posOffset>
                      </wp:positionH>
                      <wp:positionV relativeFrom="paragraph">
                        <wp:posOffset>91882</wp:posOffset>
                      </wp:positionV>
                      <wp:extent cx="1344930" cy="6350"/>
                      <wp:effectExtent l="0" t="0" r="0" b="0"/>
                      <wp:wrapNone/>
                      <wp:docPr id="843" name="Group 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844" name="Graphic 844"/>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1AA0862" id="Group 843" o:spid="_x0000_s1026" style="position:absolute;margin-left:547.5pt;margin-top:7.25pt;width:105.9pt;height:.5pt;z-index:-27140608;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">
                      <v:shape id="Graphic 844"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" path="m1344929,l,,,6108r1344929,l1344929,xe" fillcolor="black" stroked="f">
                        <v:path arrowok="t"/>
                      </v:shape>
                    </v:group>
                  </w:pict>
                </mc:Fallback>
              </mc:AlternateContent>
            </w:r>
            <w:r>
              <w:rPr>
                <w:b/>
                <w:noProof/>
                <w:sz w:val="24"/>
              </w:rPr>
              <mc:AlternateContent>
                <mc:Choice Requires="wpg">
                  <w:drawing>
                    <wp:anchor distT="0" distB="0" distL="0" distR="0" simplePos="0" relativeHeight="476176896" behindDoc="1" locked="0" layoutInCell="1" allowOverlap="1" wp14:anchorId="0DFDD6EF" wp14:editId="0DFDD6F0">
                      <wp:simplePos x="0" y="0"/>
                      <wp:positionH relativeFrom="column">
                        <wp:posOffset>6953250</wp:posOffset>
                      </wp:positionH>
                      <wp:positionV relativeFrom="paragraph">
                        <wp:posOffset>441640</wp:posOffset>
                      </wp:positionV>
                      <wp:extent cx="1344930" cy="6350"/>
                      <wp:effectExtent l="0" t="0" r="0" b="0"/>
                      <wp:wrapNone/>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4930" cy="6350"/>
                                <a:chOff x="0" y="0"/>
                                <a:chExt cx="1344930" cy="6350"/>
                              </a:xfrm>
                            </wpg:grpSpPr>
                            <wps:wsp>
                              <wps:cNvPr id="846" name="Graphic 846"/>
                              <wps:cNvSpPr/>
                              <wps:spPr>
                                <a:xfrm>
                                  <a:off x="0" y="0"/>
                                  <a:ext cx="1344930" cy="6350"/>
                                </a:xfrm>
                                <a:custGeom>
                                  <a:avLst/>
                                  <a:gdLst/>
                                  <a:ahLst/>
                                  <a:cxnLst/>
                                  <a:rect l="l" t="t" r="r" b="b"/>
                                  <a:pathLst>
                                    <a:path w="1344930" h="6350">
                                      <a:moveTo>
                                        <a:pt x="1344929" y="0"/>
                                      </a:moveTo>
                                      <a:lnTo>
                                        <a:pt x="0" y="0"/>
                                      </a:lnTo>
                                      <a:lnTo>
                                        <a:pt x="0" y="6108"/>
                                      </a:lnTo>
                                      <a:lnTo>
                                        <a:pt x="1344929" y="6108"/>
                                      </a:lnTo>
                                      <a:lnTo>
                                        <a:pt x="13449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FD59F0" id="Group 845" o:spid="_x0000_s1026" style="position:absolute;margin-left:547.5pt;margin-top:34.75pt;width:105.9pt;height:.5pt;z-index:-27139584;mso-wrap-distance-left:0;mso-wrap-distance-right:0" coordsize="134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">
                      <v:shape id="Graphic 846" o:spid="_x0000_s1027" style="position:absolute;width:13449;height:63;visibility:visible;mso-wrap-style:square;v-text-anchor:top" coordsize="13449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" path="m1344929,l,,,6108r1344929,l1344929,xe" fillcolor="black" stroked="f">
                        <v:path arrowok="t"/>
                      </v:shape>
                    </v:group>
                  </w:pict>
                </mc:Fallback>
              </mc:AlternateContent>
            </w:r>
            <w:r>
              <w:rPr>
                <w:b/>
                <w:sz w:val="24"/>
              </w:rPr>
              <w:t>Compliance</w:t>
            </w:r>
            <w:r>
              <w:rPr>
                <w:b/>
                <w:spacing w:val="-6"/>
                <w:sz w:val="24"/>
              </w:rPr>
              <w:t xml:space="preserve"> </w:t>
            </w:r>
            <w:r>
              <w:rPr>
                <w:b/>
                <w:spacing w:val="-2"/>
                <w:sz w:val="24"/>
              </w:rPr>
              <w:t>Summary</w:t>
            </w:r>
          </w:p>
          <w:p w14:paraId="0DFDBDFC" w14:textId="77777777" w:rsidR="00046465" w:rsidRDefault="008134EB">
            <w:pPr>
              <w:pStyle w:val="TableParagraph"/>
              <w:tabs>
                <w:tab w:val="left" w:pos="8878"/>
              </w:tabs>
              <w:spacing w:before="10"/>
              <w:ind w:right="1681"/>
              <w:jc w:val="center"/>
            </w:pPr>
            <w:r>
              <w:rPr>
                <w:noProof/>
              </w:rPr>
              <mc:AlternateContent>
                <mc:Choice Requires="wpg">
                  <w:drawing>
                    <wp:anchor distT="0" distB="0" distL="0" distR="0" simplePos="0" relativeHeight="476175360" behindDoc="1" locked="0" layoutInCell="1" allowOverlap="1" wp14:anchorId="0DFDD6F1" wp14:editId="0DFDD6F2">
                      <wp:simplePos x="0" y="0"/>
                      <wp:positionH relativeFrom="column">
                        <wp:posOffset>1260347</wp:posOffset>
                      </wp:positionH>
                      <wp:positionV relativeFrom="paragraph">
                        <wp:posOffset>-91198</wp:posOffset>
                      </wp:positionV>
                      <wp:extent cx="1183005" cy="6350"/>
                      <wp:effectExtent l="0" t="0" r="0" b="0"/>
                      <wp:wrapNone/>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848" name="Graphic 848"/>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51EE008" id="Group 847" o:spid="_x0000_s1026" style="position:absolute;margin-left:99.25pt;margin-top:-7.2pt;width:93.15pt;height:.5pt;z-index:-27141120;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">
                      <v:shape id="Graphic 848"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" path="m1182611,l,,,6108r1182611,l1182611,xe" fillcolor="black" stroked="f">
                        <v:path arrowok="t"/>
                      </v:shape>
                    </v:group>
                  </w:pict>
                </mc:Fallback>
              </mc:AlternateContent>
            </w:r>
            <w:r>
              <w:rPr>
                <w:noProof/>
              </w:rPr>
              <mc:AlternateContent>
                <mc:Choice Requires="wpg">
                  <w:drawing>
                    <wp:anchor distT="0" distB="0" distL="0" distR="0" simplePos="0" relativeHeight="476176384" behindDoc="1" locked="0" layoutInCell="1" allowOverlap="1" wp14:anchorId="0DFDD6F3" wp14:editId="0DFDD6F4">
                      <wp:simplePos x="0" y="0"/>
                      <wp:positionH relativeFrom="column">
                        <wp:posOffset>1260347</wp:posOffset>
                      </wp:positionH>
                      <wp:positionV relativeFrom="paragraph">
                        <wp:posOffset>258559</wp:posOffset>
                      </wp:positionV>
                      <wp:extent cx="1183005" cy="6350"/>
                      <wp:effectExtent l="0" t="0" r="0" b="0"/>
                      <wp:wrapNone/>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3005" cy="6350"/>
                                <a:chOff x="0" y="0"/>
                                <a:chExt cx="1183005" cy="6350"/>
                              </a:xfrm>
                            </wpg:grpSpPr>
                            <wps:wsp>
                              <wps:cNvPr id="850" name="Graphic 850"/>
                              <wps:cNvSpPr/>
                              <wps:spPr>
                                <a:xfrm>
                                  <a:off x="0" y="0"/>
                                  <a:ext cx="1183005" cy="6350"/>
                                </a:xfrm>
                                <a:custGeom>
                                  <a:avLst/>
                                  <a:gdLst/>
                                  <a:ahLst/>
                                  <a:cxnLst/>
                                  <a:rect l="l" t="t" r="r" b="b"/>
                                  <a:pathLst>
                                    <a:path w="1183005" h="6350">
                                      <a:moveTo>
                                        <a:pt x="1182611" y="0"/>
                                      </a:moveTo>
                                      <a:lnTo>
                                        <a:pt x="0" y="0"/>
                                      </a:lnTo>
                                      <a:lnTo>
                                        <a:pt x="0" y="6108"/>
                                      </a:lnTo>
                                      <a:lnTo>
                                        <a:pt x="1182611" y="6108"/>
                                      </a:lnTo>
                                      <a:lnTo>
                                        <a:pt x="118261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CC8C31" id="Group 849" o:spid="_x0000_s1026" style="position:absolute;margin-left:99.25pt;margin-top:20.35pt;width:93.15pt;height:.5pt;z-index:-27140096;mso-wrap-distance-left:0;mso-wrap-distance-right:0" coordsize="118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">
                      <v:shape id="Graphic 850" o:spid="_x0000_s1027" style="position:absolute;width:11830;height:63;visibility:visible;mso-wrap-style:square;v-text-anchor:top" coordsize="11830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" path="m1182611,l,,,6108r1182611,l1182611,xe" fillcolor="black" stroked="f">
                        <v:path arrowok="t"/>
                      </v:shape>
                    </v:group>
                  </w:pict>
                </mc:Fallback>
              </mc:AlternateContent>
            </w:r>
            <w:r>
              <w:t>Audit</w:t>
            </w:r>
            <w:r>
              <w:rPr>
                <w:spacing w:val="-7"/>
              </w:rPr>
              <w:t xml:space="preserve"> </w:t>
            </w:r>
            <w:r>
              <w:rPr>
                <w:spacing w:val="-2"/>
              </w:rPr>
              <w:t>period:</w:t>
            </w:r>
            <w:r>
              <w:tab/>
              <w:t>Reviewed</w:t>
            </w:r>
            <w:r>
              <w:rPr>
                <w:spacing w:val="-12"/>
              </w:rPr>
              <w:t xml:space="preserve"> </w:t>
            </w:r>
            <w:r>
              <w:rPr>
                <w:spacing w:val="-5"/>
              </w:rPr>
              <w:t>by:</w:t>
            </w:r>
          </w:p>
        </w:tc>
      </w:tr>
      <w:tr w:rsidR="00046465" w14:paraId="0DFDBE08" w14:textId="77777777">
        <w:trPr>
          <w:trHeight w:val="793"/>
        </w:trPr>
        <w:tc>
          <w:tcPr>
            <w:tcW w:w="3868" w:type="dxa"/>
            <w:tcBorders>
              <w:right w:val="single" w:sz="4" w:space="0" w:color="000000"/>
            </w:tcBorders>
          </w:tcPr>
          <w:p w14:paraId="0DFDBDFE" w14:textId="77777777" w:rsidR="00046465" w:rsidRDefault="00046465">
            <w:pPr>
              <w:pStyle w:val="TableParagraph"/>
              <w:spacing w:before="143"/>
            </w:pPr>
          </w:p>
          <w:p w14:paraId="0DFDBDFF" w14:textId="77777777" w:rsidR="00046465" w:rsidRDefault="008134EB">
            <w:pPr>
              <w:pStyle w:val="TableParagraph"/>
              <w:ind w:left="97"/>
            </w:pPr>
            <w:r>
              <w:t>Provision</w:t>
            </w:r>
            <w:r>
              <w:rPr>
                <w:spacing w:val="-11"/>
              </w:rPr>
              <w:t xml:space="preserve"> </w:t>
            </w:r>
            <w:r>
              <w:rPr>
                <w:spacing w:val="-2"/>
              </w:rPr>
              <w:t>Description</w:t>
            </w:r>
          </w:p>
        </w:tc>
        <w:tc>
          <w:tcPr>
            <w:tcW w:w="1776" w:type="dxa"/>
            <w:tcBorders>
              <w:left w:val="single" w:sz="4" w:space="0" w:color="000000"/>
              <w:right w:val="single" w:sz="4" w:space="0" w:color="000000"/>
            </w:tcBorders>
          </w:tcPr>
          <w:p w14:paraId="0DFDBE00" w14:textId="77777777" w:rsidR="00046465" w:rsidRDefault="00046465">
            <w:pPr>
              <w:pStyle w:val="TableParagraph"/>
              <w:spacing w:before="143"/>
            </w:pPr>
          </w:p>
          <w:p w14:paraId="0DFDBE01" w14:textId="77777777" w:rsidR="00046465" w:rsidRDefault="008134EB">
            <w:pPr>
              <w:pStyle w:val="TableParagraph"/>
              <w:ind w:left="107"/>
            </w:pPr>
            <w:r>
              <w:rPr>
                <w:spacing w:val="-2"/>
              </w:rPr>
              <w:t>Objective</w:t>
            </w:r>
          </w:p>
        </w:tc>
        <w:tc>
          <w:tcPr>
            <w:tcW w:w="2201" w:type="dxa"/>
            <w:tcBorders>
              <w:left w:val="single" w:sz="4" w:space="0" w:color="000000"/>
              <w:right w:val="single" w:sz="4" w:space="0" w:color="000000"/>
            </w:tcBorders>
          </w:tcPr>
          <w:p w14:paraId="0DFDBE02" w14:textId="77777777" w:rsidR="00046465" w:rsidRDefault="00046465">
            <w:pPr>
              <w:pStyle w:val="TableParagraph"/>
              <w:spacing w:before="143"/>
            </w:pPr>
          </w:p>
          <w:p w14:paraId="0DFDBE03" w14:textId="77777777" w:rsidR="00046465" w:rsidRDefault="008134EB">
            <w:pPr>
              <w:pStyle w:val="TableParagraph"/>
              <w:ind w:left="106"/>
            </w:pPr>
            <w:r>
              <w:t>Control</w:t>
            </w:r>
            <w:r>
              <w:rPr>
                <w:spacing w:val="-9"/>
              </w:rPr>
              <w:t xml:space="preserve"> </w:t>
            </w:r>
            <w:r>
              <w:rPr>
                <w:spacing w:val="-2"/>
              </w:rPr>
              <w:t>Activities</w:t>
            </w:r>
          </w:p>
        </w:tc>
        <w:tc>
          <w:tcPr>
            <w:tcW w:w="1519" w:type="dxa"/>
            <w:tcBorders>
              <w:left w:val="single" w:sz="4" w:space="0" w:color="000000"/>
              <w:right w:val="single" w:sz="4" w:space="0" w:color="000000"/>
            </w:tcBorders>
          </w:tcPr>
          <w:p w14:paraId="0DFDBE04" w14:textId="77777777" w:rsidR="00046465" w:rsidRDefault="00046465">
            <w:pPr>
              <w:pStyle w:val="TableParagraph"/>
              <w:spacing w:before="143"/>
            </w:pPr>
          </w:p>
          <w:p w14:paraId="0DFDBE05" w14:textId="77777777" w:rsidR="00046465" w:rsidRDefault="008134EB">
            <w:pPr>
              <w:pStyle w:val="TableParagraph"/>
              <w:ind w:left="107"/>
            </w:pPr>
            <w:r>
              <w:t>IS</w:t>
            </w:r>
            <w:r>
              <w:rPr>
                <w:spacing w:val="-3"/>
              </w:rPr>
              <w:t xml:space="preserve"> </w:t>
            </w:r>
            <w:r>
              <w:rPr>
                <w:spacing w:val="-2"/>
              </w:rPr>
              <w:t>(Y/N)</w:t>
            </w:r>
          </w:p>
        </w:tc>
        <w:tc>
          <w:tcPr>
            <w:tcW w:w="1640" w:type="dxa"/>
            <w:tcBorders>
              <w:left w:val="single" w:sz="4" w:space="0" w:color="000000"/>
              <w:right w:val="single" w:sz="4" w:space="0" w:color="000000"/>
            </w:tcBorders>
          </w:tcPr>
          <w:p w14:paraId="0DFDBE06" w14:textId="77777777" w:rsidR="00046465" w:rsidRDefault="008134EB">
            <w:pPr>
              <w:pStyle w:val="TableParagraph"/>
              <w:spacing w:before="143"/>
              <w:ind w:left="107" w:right="99"/>
            </w:pPr>
            <w:r>
              <w:rPr>
                <w:spacing w:val="-2"/>
              </w:rPr>
              <w:t>Effective controls?</w:t>
            </w:r>
          </w:p>
        </w:tc>
        <w:tc>
          <w:tcPr>
            <w:tcW w:w="2172" w:type="dxa"/>
            <w:tcBorders>
              <w:left w:val="single" w:sz="4" w:space="0" w:color="000000"/>
            </w:tcBorders>
          </w:tcPr>
          <w:p w14:paraId="0DFDBE07" w14:textId="77777777" w:rsidR="00046465" w:rsidRDefault="008134EB">
            <w:pPr>
              <w:pStyle w:val="TableParagraph"/>
              <w:spacing w:before="143"/>
              <w:ind w:left="107"/>
            </w:pPr>
            <w:r>
              <w:t xml:space="preserve">Instances of </w:t>
            </w:r>
            <w:r>
              <w:rPr>
                <w:spacing w:val="-2"/>
              </w:rPr>
              <w:t>noncompliance?</w:t>
            </w:r>
          </w:p>
        </w:tc>
      </w:tr>
      <w:tr w:rsidR="00046465" w14:paraId="0DFDBE12" w14:textId="77777777">
        <w:trPr>
          <w:trHeight w:val="2980"/>
        </w:trPr>
        <w:tc>
          <w:tcPr>
            <w:tcW w:w="3868" w:type="dxa"/>
            <w:tcBorders>
              <w:right w:val="single" w:sz="4" w:space="0" w:color="000000"/>
            </w:tcBorders>
          </w:tcPr>
          <w:p w14:paraId="0DFDBE09" w14:textId="77777777" w:rsidR="00046465" w:rsidRDefault="008134EB">
            <w:pPr>
              <w:pStyle w:val="TableParagraph"/>
              <w:spacing w:before="143"/>
              <w:ind w:left="817" w:hanging="720"/>
              <w:rPr>
                <w:sz w:val="18"/>
              </w:rPr>
            </w:pPr>
            <w:r>
              <w:rPr>
                <w:smallCaps/>
                <w:sz w:val="18"/>
              </w:rPr>
              <w:t xml:space="preserve">811.03. </w:t>
            </w:r>
            <w:r>
              <w:rPr>
                <w:smallCaps/>
                <w:spacing w:val="20"/>
                <w:sz w:val="18"/>
              </w:rPr>
              <w:t xml:space="preserve"> </w:t>
            </w:r>
            <w:r>
              <w:rPr>
                <w:smallCaps/>
                <w:sz w:val="18"/>
              </w:rPr>
              <w:t>Deposits Into the Civil Service</w:t>
            </w:r>
            <w:r>
              <w:rPr>
                <w:smallCaps/>
                <w:spacing w:val="40"/>
                <w:sz w:val="18"/>
              </w:rPr>
              <w:t xml:space="preserve"> </w:t>
            </w:r>
            <w:r>
              <w:rPr>
                <w:smallCaps/>
                <w:sz w:val="18"/>
              </w:rPr>
              <w:t>Retirement</w:t>
            </w:r>
            <w:r>
              <w:rPr>
                <w:smallCaps/>
                <w:spacing w:val="-10"/>
                <w:sz w:val="18"/>
              </w:rPr>
              <w:t xml:space="preserve"> </w:t>
            </w:r>
            <w:r>
              <w:rPr>
                <w:smallCaps/>
                <w:sz w:val="18"/>
              </w:rPr>
              <w:t>and</w:t>
            </w:r>
            <w:r>
              <w:rPr>
                <w:smallCaps/>
                <w:spacing w:val="-10"/>
                <w:sz w:val="18"/>
              </w:rPr>
              <w:t xml:space="preserve"> </w:t>
            </w:r>
            <w:r>
              <w:rPr>
                <w:smallCaps/>
                <w:sz w:val="18"/>
              </w:rPr>
              <w:t>Disability</w:t>
            </w:r>
            <w:r>
              <w:rPr>
                <w:smallCaps/>
                <w:spacing w:val="-10"/>
                <w:sz w:val="18"/>
              </w:rPr>
              <w:t xml:space="preserve"> </w:t>
            </w:r>
            <w:r>
              <w:rPr>
                <w:smallCaps/>
                <w:sz w:val="18"/>
              </w:rPr>
              <w:t>Fund.</w:t>
            </w:r>
          </w:p>
          <w:p w14:paraId="0DFDBE0A" w14:textId="77777777" w:rsidR="00046465" w:rsidRDefault="008134EB">
            <w:pPr>
              <w:pStyle w:val="TableParagraph"/>
              <w:spacing w:before="144"/>
              <w:ind w:left="97" w:right="598"/>
              <w:rPr>
                <w:sz w:val="18"/>
              </w:rPr>
            </w:pPr>
            <w:r>
              <w:rPr>
                <w:sz w:val="18"/>
              </w:rPr>
              <w:t>Provision</w:t>
            </w:r>
            <w:r>
              <w:rPr>
                <w:spacing w:val="-13"/>
                <w:sz w:val="18"/>
              </w:rPr>
              <w:t xml:space="preserve"> </w:t>
            </w:r>
            <w:r>
              <w:rPr>
                <w:sz w:val="18"/>
              </w:rPr>
              <w:t>Types:</w:t>
            </w:r>
            <w:r>
              <w:rPr>
                <w:spacing w:val="-12"/>
                <w:sz w:val="18"/>
              </w:rPr>
              <w:t xml:space="preserve"> </w:t>
            </w:r>
            <w:r>
              <w:rPr>
                <w:sz w:val="18"/>
              </w:rPr>
              <w:t>Procedural-based</w:t>
            </w:r>
            <w:r>
              <w:rPr>
                <w:spacing w:val="-13"/>
                <w:sz w:val="18"/>
              </w:rPr>
              <w:t xml:space="preserve"> </w:t>
            </w:r>
            <w:r>
              <w:rPr>
                <w:sz w:val="18"/>
              </w:rPr>
              <w:t xml:space="preserve">and </w:t>
            </w:r>
            <w:r>
              <w:rPr>
                <w:spacing w:val="-2"/>
                <w:sz w:val="18"/>
              </w:rPr>
              <w:t>quantitative-based.</w:t>
            </w:r>
          </w:p>
          <w:p w14:paraId="0DFDBE0B" w14:textId="77777777" w:rsidR="00046465" w:rsidRDefault="008134EB">
            <w:pPr>
              <w:pStyle w:val="TableParagraph"/>
              <w:spacing w:before="145"/>
              <w:ind w:left="97" w:right="136"/>
              <w:rPr>
                <w:sz w:val="18"/>
              </w:rPr>
            </w:pPr>
            <w:r>
              <w:rPr>
                <w:sz w:val="18"/>
              </w:rPr>
              <w:t>Amounts withheld from employees and the sum contributed by the entity for retirement benefits</w:t>
            </w:r>
            <w:r>
              <w:rPr>
                <w:spacing w:val="-6"/>
                <w:sz w:val="18"/>
              </w:rPr>
              <w:t xml:space="preserve"> </w:t>
            </w:r>
            <w:r>
              <w:rPr>
                <w:sz w:val="18"/>
              </w:rPr>
              <w:t>shall</w:t>
            </w:r>
            <w:r>
              <w:rPr>
                <w:spacing w:val="-6"/>
                <w:sz w:val="18"/>
              </w:rPr>
              <w:t xml:space="preserve"> </w:t>
            </w:r>
            <w:r>
              <w:rPr>
                <w:sz w:val="18"/>
              </w:rPr>
              <w:t>be</w:t>
            </w:r>
            <w:r>
              <w:rPr>
                <w:spacing w:val="-7"/>
                <w:sz w:val="18"/>
              </w:rPr>
              <w:t xml:space="preserve"> </w:t>
            </w:r>
            <w:r>
              <w:rPr>
                <w:sz w:val="18"/>
              </w:rPr>
              <w:t>deposited</w:t>
            </w:r>
            <w:r>
              <w:rPr>
                <w:spacing w:val="-7"/>
                <w:sz w:val="18"/>
              </w:rPr>
              <w:t xml:space="preserve"> </w:t>
            </w:r>
            <w:r>
              <w:rPr>
                <w:sz w:val="18"/>
              </w:rPr>
              <w:t>into</w:t>
            </w:r>
            <w:r>
              <w:rPr>
                <w:spacing w:val="-7"/>
                <w:sz w:val="18"/>
              </w:rPr>
              <w:t xml:space="preserve"> </w:t>
            </w:r>
            <w:r>
              <w:rPr>
                <w:sz w:val="18"/>
              </w:rPr>
              <w:t>the</w:t>
            </w:r>
            <w:r>
              <w:rPr>
                <w:spacing w:val="-7"/>
                <w:sz w:val="18"/>
              </w:rPr>
              <w:t xml:space="preserve"> </w:t>
            </w:r>
            <w:r>
              <w:rPr>
                <w:sz w:val="18"/>
              </w:rPr>
              <w:t>Treasury to the credit of the Civil Service Retirement and Disability Fund.</w:t>
            </w:r>
            <w:hyperlink w:anchor="_bookmark137" w:history="1">
              <w:r>
                <w:rPr>
                  <w:position w:val="6"/>
                  <w:sz w:val="12"/>
                </w:rPr>
                <w:t>66</w:t>
              </w:r>
            </w:hyperlink>
            <w:r>
              <w:rPr>
                <w:spacing w:val="40"/>
                <w:position w:val="6"/>
                <w:sz w:val="12"/>
              </w:rPr>
              <w:t xml:space="preserve"> </w:t>
            </w:r>
            <w:r>
              <w:rPr>
                <w:sz w:val="18"/>
              </w:rPr>
              <w:t>5 U.S.C. § 8422(c).</w:t>
            </w:r>
          </w:p>
        </w:tc>
        <w:tc>
          <w:tcPr>
            <w:tcW w:w="1776" w:type="dxa"/>
            <w:tcBorders>
              <w:left w:val="single" w:sz="4" w:space="0" w:color="000000"/>
              <w:right w:val="single" w:sz="4" w:space="0" w:color="000000"/>
            </w:tcBorders>
          </w:tcPr>
          <w:p w14:paraId="0DFDBE0C" w14:textId="77777777" w:rsidR="00046465" w:rsidRDefault="008134EB">
            <w:pPr>
              <w:pStyle w:val="TableParagraph"/>
              <w:spacing w:before="143"/>
              <w:ind w:left="107" w:right="127"/>
              <w:rPr>
                <w:sz w:val="18"/>
              </w:rPr>
            </w:pPr>
            <w:r>
              <w:rPr>
                <w:sz w:val="18"/>
              </w:rPr>
              <w:t>Withholdings from employees and entity</w:t>
            </w:r>
            <w:r>
              <w:rPr>
                <w:spacing w:val="-10"/>
                <w:sz w:val="18"/>
              </w:rPr>
              <w:t xml:space="preserve"> </w:t>
            </w:r>
            <w:r>
              <w:rPr>
                <w:sz w:val="18"/>
              </w:rPr>
              <w:t xml:space="preserve">contributions for retirement benefits are </w:t>
            </w:r>
            <w:r>
              <w:rPr>
                <w:spacing w:val="-2"/>
                <w:sz w:val="18"/>
              </w:rPr>
              <w:t xml:space="preserve">properly </w:t>
            </w:r>
            <w:r>
              <w:rPr>
                <w:sz w:val="18"/>
              </w:rPr>
              <w:t>summarized and deposited into the Treasury to the credit of the Civil Service</w:t>
            </w:r>
            <w:r>
              <w:rPr>
                <w:spacing w:val="-13"/>
                <w:sz w:val="18"/>
              </w:rPr>
              <w:t xml:space="preserve"> </w:t>
            </w:r>
            <w:r>
              <w:rPr>
                <w:sz w:val="18"/>
              </w:rPr>
              <w:t>Retirement and Disability</w:t>
            </w:r>
            <w:r>
              <w:rPr>
                <w:spacing w:val="40"/>
                <w:sz w:val="18"/>
              </w:rPr>
              <w:t xml:space="preserve"> </w:t>
            </w:r>
            <w:r>
              <w:rPr>
                <w:spacing w:val="-2"/>
                <w:sz w:val="18"/>
              </w:rPr>
              <w:t>Fund.</w:t>
            </w:r>
          </w:p>
        </w:tc>
        <w:tc>
          <w:tcPr>
            <w:tcW w:w="2201" w:type="dxa"/>
            <w:tcBorders>
              <w:left w:val="single" w:sz="4" w:space="0" w:color="000000"/>
              <w:right w:val="single" w:sz="4" w:space="0" w:color="000000"/>
            </w:tcBorders>
          </w:tcPr>
          <w:p w14:paraId="0DFDBE0D" w14:textId="77777777" w:rsidR="00046465" w:rsidRDefault="00046465">
            <w:pPr>
              <w:pStyle w:val="TableParagraph"/>
              <w:rPr>
                <w:rFonts w:ascii="Times New Roman"/>
                <w:sz w:val="18"/>
              </w:rPr>
            </w:pPr>
          </w:p>
        </w:tc>
        <w:tc>
          <w:tcPr>
            <w:tcW w:w="1519" w:type="dxa"/>
            <w:tcBorders>
              <w:left w:val="single" w:sz="4" w:space="0" w:color="000000"/>
              <w:right w:val="single" w:sz="4" w:space="0" w:color="000000"/>
            </w:tcBorders>
          </w:tcPr>
          <w:p w14:paraId="0DFDBE0E" w14:textId="77777777" w:rsidR="00046465" w:rsidRDefault="00046465">
            <w:pPr>
              <w:pStyle w:val="TableParagraph"/>
              <w:rPr>
                <w:rFonts w:ascii="Times New Roman"/>
                <w:sz w:val="18"/>
              </w:rPr>
            </w:pPr>
          </w:p>
        </w:tc>
        <w:tc>
          <w:tcPr>
            <w:tcW w:w="1640" w:type="dxa"/>
            <w:tcBorders>
              <w:left w:val="single" w:sz="4" w:space="0" w:color="000000"/>
              <w:right w:val="single" w:sz="4" w:space="0" w:color="000000"/>
            </w:tcBorders>
          </w:tcPr>
          <w:p w14:paraId="0DFDBE0F" w14:textId="77777777" w:rsidR="00046465" w:rsidRDefault="00046465">
            <w:pPr>
              <w:pStyle w:val="TableParagraph"/>
              <w:rPr>
                <w:rFonts w:ascii="Times New Roman"/>
                <w:sz w:val="18"/>
              </w:rPr>
            </w:pPr>
          </w:p>
        </w:tc>
        <w:tc>
          <w:tcPr>
            <w:tcW w:w="2172" w:type="dxa"/>
            <w:tcBorders>
              <w:left w:val="single" w:sz="4" w:space="0" w:color="000000"/>
            </w:tcBorders>
          </w:tcPr>
          <w:p w14:paraId="0DFDBE10" w14:textId="77777777" w:rsidR="00046465" w:rsidRDefault="008134EB">
            <w:pPr>
              <w:pStyle w:val="TableParagraph"/>
              <w:spacing w:before="143"/>
              <w:ind w:left="107"/>
              <w:rPr>
                <w:sz w:val="18"/>
              </w:rPr>
            </w:pPr>
            <w:r>
              <w:rPr>
                <w:sz w:val="18"/>
              </w:rPr>
              <w:t>See</w:t>
            </w:r>
            <w:r>
              <w:rPr>
                <w:spacing w:val="-15"/>
                <w:sz w:val="18"/>
              </w:rPr>
              <w:t xml:space="preserve"> </w:t>
            </w:r>
            <w:r>
              <w:rPr>
                <w:sz w:val="18"/>
              </w:rPr>
              <w:t>Compliance</w:t>
            </w:r>
            <w:r>
              <w:rPr>
                <w:spacing w:val="-12"/>
                <w:sz w:val="18"/>
              </w:rPr>
              <w:t xml:space="preserve"> </w:t>
            </w:r>
            <w:r>
              <w:rPr>
                <w:sz w:val="18"/>
              </w:rPr>
              <w:t>Audit Procedures,</w:t>
            </w:r>
            <w:r>
              <w:rPr>
                <w:spacing w:val="-4"/>
                <w:sz w:val="18"/>
              </w:rPr>
              <w:t xml:space="preserve"> </w:t>
            </w:r>
            <w:r>
              <w:rPr>
                <w:sz w:val="18"/>
              </w:rPr>
              <w:t>FAM</w:t>
            </w:r>
            <w:r>
              <w:rPr>
                <w:spacing w:val="-3"/>
                <w:sz w:val="18"/>
              </w:rPr>
              <w:t xml:space="preserve"> </w:t>
            </w:r>
            <w:r>
              <w:rPr>
                <w:spacing w:val="-5"/>
                <w:sz w:val="18"/>
              </w:rPr>
              <w:t>811</w:t>
            </w:r>
          </w:p>
          <w:p w14:paraId="0DFDBE11" w14:textId="77777777" w:rsidR="00046465" w:rsidRDefault="008134EB">
            <w:pPr>
              <w:pStyle w:val="TableParagraph"/>
              <w:spacing w:before="1"/>
              <w:ind w:left="107"/>
              <w:rPr>
                <w:sz w:val="18"/>
              </w:rPr>
            </w:pPr>
            <w:r>
              <w:rPr>
                <w:sz w:val="18"/>
              </w:rPr>
              <w:t>steps</w:t>
            </w:r>
            <w:r>
              <w:rPr>
                <w:spacing w:val="-2"/>
                <w:sz w:val="18"/>
              </w:rPr>
              <w:t xml:space="preserve"> </w:t>
            </w:r>
            <w:r>
              <w:rPr>
                <w:sz w:val="18"/>
              </w:rPr>
              <w:t>6</w:t>
            </w:r>
            <w:r>
              <w:rPr>
                <w:spacing w:val="-1"/>
                <w:sz w:val="18"/>
              </w:rPr>
              <w:t xml:space="preserve"> </w:t>
            </w:r>
            <w:r>
              <w:rPr>
                <w:sz w:val="18"/>
              </w:rPr>
              <w:t>and</w:t>
            </w:r>
            <w:r>
              <w:rPr>
                <w:spacing w:val="-2"/>
                <w:sz w:val="18"/>
              </w:rPr>
              <w:t xml:space="preserve"> </w:t>
            </w:r>
            <w:r>
              <w:rPr>
                <w:spacing w:val="-5"/>
                <w:sz w:val="18"/>
              </w:rPr>
              <w:t>7.</w:t>
            </w:r>
          </w:p>
        </w:tc>
      </w:tr>
    </w:tbl>
    <w:p w14:paraId="0DFDBE13" w14:textId="77777777" w:rsidR="00046465" w:rsidRDefault="00046465">
      <w:pPr>
        <w:pStyle w:val="BodyText"/>
        <w:rPr>
          <w:sz w:val="20"/>
        </w:rPr>
      </w:pPr>
    </w:p>
    <w:p w14:paraId="0DFDBE14" w14:textId="77777777" w:rsidR="00046465" w:rsidRDefault="00046465">
      <w:pPr>
        <w:pStyle w:val="BodyText"/>
        <w:rPr>
          <w:sz w:val="20"/>
        </w:rPr>
      </w:pPr>
    </w:p>
    <w:p w14:paraId="0DFDBE15" w14:textId="77777777" w:rsidR="00046465" w:rsidRDefault="00046465">
      <w:pPr>
        <w:pStyle w:val="BodyText"/>
        <w:rPr>
          <w:sz w:val="20"/>
        </w:rPr>
      </w:pPr>
    </w:p>
    <w:p w14:paraId="0DFDBE16" w14:textId="77777777" w:rsidR="00046465" w:rsidRDefault="00046465">
      <w:pPr>
        <w:pStyle w:val="BodyText"/>
        <w:rPr>
          <w:sz w:val="20"/>
        </w:rPr>
      </w:pPr>
    </w:p>
    <w:p w14:paraId="0DFDBE17" w14:textId="77777777" w:rsidR="00046465" w:rsidRDefault="00046465">
      <w:pPr>
        <w:pStyle w:val="BodyText"/>
        <w:rPr>
          <w:sz w:val="20"/>
        </w:rPr>
      </w:pPr>
    </w:p>
    <w:p w14:paraId="0DFDBE18" w14:textId="77777777" w:rsidR="00046465" w:rsidRDefault="00046465">
      <w:pPr>
        <w:pStyle w:val="BodyText"/>
        <w:rPr>
          <w:sz w:val="20"/>
        </w:rPr>
      </w:pPr>
    </w:p>
    <w:p w14:paraId="0DFDBE19" w14:textId="77777777" w:rsidR="00046465" w:rsidRDefault="00046465">
      <w:pPr>
        <w:pStyle w:val="BodyText"/>
        <w:rPr>
          <w:sz w:val="20"/>
        </w:rPr>
      </w:pPr>
    </w:p>
    <w:p w14:paraId="0DFDBE1A" w14:textId="77777777" w:rsidR="00046465" w:rsidRDefault="00046465">
      <w:pPr>
        <w:pStyle w:val="BodyText"/>
        <w:rPr>
          <w:sz w:val="20"/>
        </w:rPr>
      </w:pPr>
    </w:p>
    <w:p w14:paraId="0DFDBE1B" w14:textId="77777777" w:rsidR="00046465" w:rsidRDefault="00046465">
      <w:pPr>
        <w:pStyle w:val="BodyText"/>
        <w:rPr>
          <w:sz w:val="20"/>
        </w:rPr>
      </w:pPr>
    </w:p>
    <w:p w14:paraId="0DFDBE1C" w14:textId="77777777" w:rsidR="00046465" w:rsidRDefault="00046465">
      <w:pPr>
        <w:pStyle w:val="BodyText"/>
        <w:rPr>
          <w:sz w:val="20"/>
        </w:rPr>
      </w:pPr>
    </w:p>
    <w:p w14:paraId="0DFDBE1D" w14:textId="77777777" w:rsidR="00046465" w:rsidRDefault="00046465">
      <w:pPr>
        <w:pStyle w:val="BodyText"/>
        <w:rPr>
          <w:sz w:val="20"/>
        </w:rPr>
      </w:pPr>
    </w:p>
    <w:p w14:paraId="0DFDBE1E" w14:textId="77777777" w:rsidR="00046465" w:rsidRDefault="00046465">
      <w:pPr>
        <w:pStyle w:val="BodyText"/>
        <w:rPr>
          <w:sz w:val="20"/>
        </w:rPr>
      </w:pPr>
    </w:p>
    <w:p w14:paraId="0DFDBE1F" w14:textId="77777777" w:rsidR="00046465" w:rsidRDefault="008134EB">
      <w:pPr>
        <w:pStyle w:val="BodyText"/>
        <w:spacing w:before="195"/>
        <w:rPr>
          <w:sz w:val="20"/>
        </w:rPr>
      </w:pPr>
      <w:r>
        <w:rPr>
          <w:noProof/>
          <w:sz w:val="20"/>
        </w:rPr>
        <mc:AlternateContent>
          <mc:Choice Requires="wps">
            <w:drawing>
              <wp:anchor distT="0" distB="0" distL="0" distR="0" simplePos="0" relativeHeight="487709184" behindDoc="1" locked="0" layoutInCell="1" allowOverlap="1" wp14:anchorId="0DFDD6F5" wp14:editId="0DFDD6F6">
                <wp:simplePos x="0" y="0"/>
                <wp:positionH relativeFrom="page">
                  <wp:posOffset>685800</wp:posOffset>
                </wp:positionH>
                <wp:positionV relativeFrom="paragraph">
                  <wp:posOffset>285270</wp:posOffset>
                </wp:positionV>
                <wp:extent cx="1828800" cy="6985"/>
                <wp:effectExtent l="0" t="0" r="0" b="0"/>
                <wp:wrapTopAndBottom/>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8"/>
                              </a:lnTo>
                              <a:lnTo>
                                <a:pt x="1828800" y="6858"/>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FB82D1" id="Graphic 851" o:spid="_x0000_s1026" style="position:absolute;margin-left:54pt;margin-top:22.45pt;width:2in;height:.55pt;z-index:-1560729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" path="m1828800,l,,,6858r1828800,l1828800,xe" fillcolor="black" stroked="f">
                <v:path arrowok="t"/>
                <w10:wrap type="topAndBottom" anchorx="page"/>
              </v:shape>
            </w:pict>
          </mc:Fallback>
        </mc:AlternateContent>
      </w:r>
    </w:p>
    <w:p w14:paraId="0DFDBE20" w14:textId="77777777" w:rsidR="00046465" w:rsidRDefault="00046465">
      <w:pPr>
        <w:pStyle w:val="BodyText"/>
        <w:spacing w:before="9"/>
        <w:rPr>
          <w:sz w:val="18"/>
        </w:rPr>
      </w:pPr>
    </w:p>
    <w:p w14:paraId="0DFDBE21" w14:textId="77777777" w:rsidR="00046465" w:rsidRDefault="008134EB">
      <w:pPr>
        <w:spacing w:line="249" w:lineRule="auto"/>
        <w:ind w:left="359"/>
        <w:rPr>
          <w:sz w:val="18"/>
        </w:rPr>
      </w:pPr>
      <w:r>
        <w:rPr>
          <w:position w:val="7"/>
          <w:sz w:val="14"/>
        </w:rPr>
        <w:t>66</w:t>
      </w:r>
      <w:r>
        <w:rPr>
          <w:sz w:val="18"/>
        </w:rPr>
        <w:t>The Civil Service Retirement and Disability Fund is the fund established under 5 U.S.C. § 8348 that is available for the payment of employee benefits (primarily retirement)</w:t>
      </w:r>
      <w:r>
        <w:rPr>
          <w:spacing w:val="-2"/>
          <w:sz w:val="18"/>
        </w:rPr>
        <w:t xml:space="preserve"> </w:t>
      </w:r>
      <w:r>
        <w:rPr>
          <w:sz w:val="18"/>
        </w:rPr>
        <w:t>under</w:t>
      </w:r>
      <w:r>
        <w:rPr>
          <w:spacing w:val="-2"/>
          <w:sz w:val="18"/>
        </w:rPr>
        <w:t xml:space="preserve"> </w:t>
      </w:r>
      <w:r>
        <w:rPr>
          <w:sz w:val="18"/>
        </w:rPr>
        <w:t>5</w:t>
      </w:r>
      <w:r>
        <w:rPr>
          <w:spacing w:val="-3"/>
          <w:sz w:val="18"/>
        </w:rPr>
        <w:t xml:space="preserve"> </w:t>
      </w:r>
      <w:r>
        <w:rPr>
          <w:sz w:val="18"/>
        </w:rPr>
        <w:t>U.S.C.</w:t>
      </w:r>
      <w:r>
        <w:rPr>
          <w:spacing w:val="-2"/>
          <w:sz w:val="18"/>
        </w:rPr>
        <w:t xml:space="preserve"> </w:t>
      </w:r>
      <w:r>
        <w:rPr>
          <w:sz w:val="18"/>
        </w:rPr>
        <w:t>chapters</w:t>
      </w:r>
      <w:r>
        <w:rPr>
          <w:spacing w:val="-2"/>
          <w:sz w:val="18"/>
        </w:rPr>
        <w:t xml:space="preserve"> </w:t>
      </w:r>
      <w:r>
        <w:rPr>
          <w:sz w:val="18"/>
        </w:rPr>
        <w:t>83</w:t>
      </w:r>
      <w:r>
        <w:rPr>
          <w:spacing w:val="-2"/>
          <w:sz w:val="18"/>
        </w:rPr>
        <w:t xml:space="preserve"> </w:t>
      </w:r>
      <w:r>
        <w:rPr>
          <w:sz w:val="18"/>
        </w:rPr>
        <w:t>and</w:t>
      </w:r>
      <w:r>
        <w:rPr>
          <w:spacing w:val="-1"/>
          <w:sz w:val="18"/>
        </w:rPr>
        <w:t xml:space="preserve"> </w:t>
      </w:r>
      <w:r>
        <w:rPr>
          <w:sz w:val="18"/>
        </w:rPr>
        <w:t>84,</w:t>
      </w:r>
      <w:r>
        <w:rPr>
          <w:spacing w:val="-2"/>
          <w:sz w:val="18"/>
        </w:rPr>
        <w:t xml:space="preserve"> </w:t>
      </w:r>
      <w:r>
        <w:rPr>
          <w:sz w:val="18"/>
        </w:rPr>
        <w:t>and</w:t>
      </w:r>
      <w:r>
        <w:rPr>
          <w:spacing w:val="-3"/>
          <w:sz w:val="18"/>
        </w:rPr>
        <w:t xml:space="preserve"> </w:t>
      </w:r>
      <w:r>
        <w:rPr>
          <w:sz w:val="18"/>
        </w:rPr>
        <w:t>for</w:t>
      </w:r>
      <w:r>
        <w:rPr>
          <w:spacing w:val="-2"/>
          <w:sz w:val="18"/>
        </w:rPr>
        <w:t xml:space="preserve"> </w:t>
      </w:r>
      <w:r>
        <w:rPr>
          <w:sz w:val="18"/>
        </w:rPr>
        <w:t>specified</w:t>
      </w:r>
      <w:r>
        <w:rPr>
          <w:spacing w:val="-3"/>
          <w:sz w:val="18"/>
        </w:rPr>
        <w:t xml:space="preserve"> </w:t>
      </w:r>
      <w:r>
        <w:rPr>
          <w:sz w:val="18"/>
        </w:rPr>
        <w:t>administrative</w:t>
      </w:r>
      <w:r>
        <w:rPr>
          <w:spacing w:val="-3"/>
          <w:sz w:val="18"/>
        </w:rPr>
        <w:t xml:space="preserve"> </w:t>
      </w:r>
      <w:r>
        <w:rPr>
          <w:sz w:val="18"/>
        </w:rPr>
        <w:t>expenses</w:t>
      </w:r>
      <w:r>
        <w:rPr>
          <w:spacing w:val="-1"/>
          <w:sz w:val="18"/>
        </w:rPr>
        <w:t xml:space="preserve"> </w:t>
      </w:r>
      <w:r>
        <w:rPr>
          <w:sz w:val="18"/>
        </w:rPr>
        <w:t>incurred</w:t>
      </w:r>
      <w:r>
        <w:rPr>
          <w:spacing w:val="-3"/>
          <w:sz w:val="18"/>
        </w:rPr>
        <w:t xml:space="preserve"> </w:t>
      </w:r>
      <w:r>
        <w:rPr>
          <w:sz w:val="18"/>
        </w:rPr>
        <w:t>by</w:t>
      </w:r>
      <w:r>
        <w:rPr>
          <w:spacing w:val="-2"/>
          <w:sz w:val="18"/>
        </w:rPr>
        <w:t xml:space="preserve"> </w:t>
      </w:r>
      <w:r>
        <w:rPr>
          <w:sz w:val="18"/>
        </w:rPr>
        <w:t>OPM</w:t>
      </w:r>
      <w:r>
        <w:rPr>
          <w:spacing w:val="-1"/>
          <w:sz w:val="18"/>
        </w:rPr>
        <w:t xml:space="preserve"> </w:t>
      </w:r>
      <w:r>
        <w:rPr>
          <w:sz w:val="18"/>
        </w:rPr>
        <w:t>or</w:t>
      </w:r>
      <w:r>
        <w:rPr>
          <w:spacing w:val="-2"/>
          <w:sz w:val="18"/>
        </w:rPr>
        <w:t xml:space="preserve"> </w:t>
      </w:r>
      <w:r>
        <w:rPr>
          <w:sz w:val="18"/>
        </w:rPr>
        <w:t>the</w:t>
      </w:r>
      <w:r>
        <w:rPr>
          <w:spacing w:val="-3"/>
          <w:sz w:val="18"/>
        </w:rPr>
        <w:t xml:space="preserve"> </w:t>
      </w:r>
      <w:r>
        <w:rPr>
          <w:sz w:val="18"/>
        </w:rPr>
        <w:t>Merit</w:t>
      </w:r>
      <w:r>
        <w:rPr>
          <w:spacing w:val="-2"/>
          <w:sz w:val="18"/>
        </w:rPr>
        <w:t xml:space="preserve"> </w:t>
      </w:r>
      <w:r>
        <w:rPr>
          <w:sz w:val="18"/>
        </w:rPr>
        <w:t>Systems</w:t>
      </w:r>
      <w:r>
        <w:rPr>
          <w:spacing w:val="-2"/>
          <w:sz w:val="18"/>
        </w:rPr>
        <w:t xml:space="preserve"> </w:t>
      </w:r>
      <w:r>
        <w:rPr>
          <w:sz w:val="18"/>
        </w:rPr>
        <w:t>Protection</w:t>
      </w:r>
      <w:r>
        <w:rPr>
          <w:spacing w:val="-3"/>
          <w:sz w:val="18"/>
        </w:rPr>
        <w:t xml:space="preserve"> </w:t>
      </w:r>
      <w:r>
        <w:rPr>
          <w:sz w:val="18"/>
        </w:rPr>
        <w:t>Board.</w:t>
      </w:r>
      <w:r>
        <w:rPr>
          <w:spacing w:val="-2"/>
          <w:sz w:val="18"/>
        </w:rPr>
        <w:t xml:space="preserve"> </w:t>
      </w:r>
      <w:r>
        <w:rPr>
          <w:sz w:val="18"/>
        </w:rPr>
        <w:t>5</w:t>
      </w:r>
      <w:r>
        <w:rPr>
          <w:spacing w:val="-1"/>
          <w:sz w:val="18"/>
        </w:rPr>
        <w:t xml:space="preserve"> </w:t>
      </w:r>
      <w:r>
        <w:rPr>
          <w:sz w:val="18"/>
        </w:rPr>
        <w:t>U.S.C.</w:t>
      </w:r>
      <w:r>
        <w:rPr>
          <w:spacing w:val="-2"/>
          <w:sz w:val="18"/>
        </w:rPr>
        <w:t xml:space="preserve"> </w:t>
      </w:r>
      <w:r>
        <w:rPr>
          <w:sz w:val="18"/>
        </w:rPr>
        <w:t>§</w:t>
      </w:r>
      <w:r>
        <w:rPr>
          <w:spacing w:val="-2"/>
          <w:sz w:val="18"/>
        </w:rPr>
        <w:t xml:space="preserve"> </w:t>
      </w:r>
      <w:r>
        <w:rPr>
          <w:sz w:val="18"/>
        </w:rPr>
        <w:t>8401(6).</w:t>
      </w:r>
    </w:p>
    <w:p w14:paraId="0DFDBE22" w14:textId="77777777" w:rsidR="00046465" w:rsidRDefault="00046465">
      <w:pPr>
        <w:spacing w:line="249" w:lineRule="auto"/>
        <w:rPr>
          <w:sz w:val="18"/>
        </w:rPr>
        <w:sectPr w:rsidR="00046465">
          <w:pgSz w:w="15840" w:h="12240" w:orient="landscape"/>
          <w:pgMar w:top="1380" w:right="1440" w:bottom="940" w:left="720" w:header="721" w:footer="742" w:gutter="0"/>
          <w:cols w:space="720"/>
        </w:sectPr>
      </w:pPr>
    </w:p>
    <w:p w14:paraId="0DFDBE23" w14:textId="77777777" w:rsidR="00046465" w:rsidRDefault="008134EB">
      <w:pPr>
        <w:pStyle w:val="BodyText"/>
        <w:spacing w:before="121"/>
        <w:ind w:left="360" w:right="726"/>
      </w:pPr>
      <w:r>
        <w:lastRenderedPageBreak/>
        <w:t>Note: The auditor generally should perform these procedures or prepare equivalent documentation</w:t>
      </w:r>
      <w:r>
        <w:rPr>
          <w:spacing w:val="-4"/>
        </w:rPr>
        <w:t xml:space="preserve"> </w:t>
      </w:r>
      <w:r>
        <w:t>only</w:t>
      </w:r>
      <w:r>
        <w:rPr>
          <w:spacing w:val="-4"/>
        </w:rPr>
        <w:t xml:space="preserve"> </w:t>
      </w:r>
      <w:r>
        <w:t>if</w:t>
      </w:r>
      <w:r>
        <w:rPr>
          <w:spacing w:val="-4"/>
        </w:rPr>
        <w:t xml:space="preserve"> </w:t>
      </w:r>
      <w:r>
        <w:t>provisions</w:t>
      </w:r>
      <w:r>
        <w:rPr>
          <w:spacing w:val="-4"/>
        </w:rPr>
        <w:t xml:space="preserve"> </w:t>
      </w:r>
      <w:r>
        <w:t>of</w:t>
      </w:r>
      <w:r>
        <w:rPr>
          <w:spacing w:val="-4"/>
        </w:rPr>
        <w:t xml:space="preserve"> </w:t>
      </w:r>
      <w:r>
        <w:t>the</w:t>
      </w:r>
      <w:r>
        <w:rPr>
          <w:spacing w:val="-4"/>
        </w:rPr>
        <w:t xml:space="preserve"> </w:t>
      </w:r>
      <w:r>
        <w:t>Federal</w:t>
      </w:r>
      <w:r>
        <w:rPr>
          <w:spacing w:val="-5"/>
        </w:rPr>
        <w:t xml:space="preserve"> </w:t>
      </w:r>
      <w:r>
        <w:t>Employees’</w:t>
      </w:r>
      <w:r>
        <w:rPr>
          <w:spacing w:val="-4"/>
        </w:rPr>
        <w:t xml:space="preserve"> </w:t>
      </w:r>
      <w:r>
        <w:t>Retirement</w:t>
      </w:r>
      <w:r>
        <w:rPr>
          <w:spacing w:val="-3"/>
        </w:rPr>
        <w:t xml:space="preserve"> </w:t>
      </w:r>
      <w:r>
        <w:t>System</w:t>
      </w:r>
      <w:r>
        <w:rPr>
          <w:spacing w:val="-5"/>
        </w:rPr>
        <w:t xml:space="preserve"> </w:t>
      </w:r>
      <w:r>
        <w:t>Act</w:t>
      </w:r>
      <w:r>
        <w:rPr>
          <w:spacing w:val="-4"/>
        </w:rPr>
        <w:t xml:space="preserve"> </w:t>
      </w:r>
      <w:r>
        <w:t>(FERSA),</w:t>
      </w:r>
      <w:r>
        <w:rPr>
          <w:spacing w:val="-4"/>
        </w:rPr>
        <w:t xml:space="preserve"> </w:t>
      </w:r>
      <w:r>
        <w:t>as provided in 5 U.S.C. chapter 84, are significant, as indicated on Form 802, General Compliance Checklist. These procedures are designed to test compliance with the provisions listed on the Compliance Summary. Implementing regulations for FERSA’s general administration are included in 5 C.F.R. Part 841.</w:t>
      </w:r>
    </w:p>
    <w:p w14:paraId="0DFDBE24" w14:textId="77777777" w:rsidR="00046465" w:rsidRDefault="00046465">
      <w:pPr>
        <w:pStyle w:val="BodyText"/>
        <w:spacing w:before="9"/>
        <w:rPr>
          <w:sz w:val="13"/>
        </w:rPr>
      </w:pPr>
    </w:p>
    <w:tbl>
      <w:tblPr>
        <w:tblW w:w="0" w:type="auto"/>
        <w:tblInd w:w="40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80"/>
        <w:gridCol w:w="1440"/>
        <w:gridCol w:w="1440"/>
      </w:tblGrid>
      <w:tr w:rsidR="00046465" w14:paraId="0DFDBE26" w14:textId="77777777">
        <w:trPr>
          <w:trHeight w:val="1335"/>
        </w:trPr>
        <w:tc>
          <w:tcPr>
            <w:tcW w:w="9360" w:type="dxa"/>
            <w:gridSpan w:val="3"/>
          </w:tcPr>
          <w:p w14:paraId="0DFDBE25" w14:textId="77777777" w:rsidR="00046465" w:rsidRDefault="008134EB">
            <w:pPr>
              <w:pStyle w:val="TableParagraph"/>
              <w:tabs>
                <w:tab w:val="left" w:pos="9041"/>
              </w:tabs>
              <w:spacing w:before="7" w:line="390" w:lineRule="atLeast"/>
              <w:ind w:left="104" w:right="270"/>
              <w:jc w:val="both"/>
            </w:pPr>
            <w:r>
              <w:t>Name of entity:</w:t>
            </w:r>
            <w:r>
              <w:rPr>
                <w:spacing w:val="178"/>
              </w:rPr>
              <w:t xml:space="preserve"> </w:t>
            </w:r>
            <w:r>
              <w:rPr>
                <w:u w:val="single"/>
              </w:rPr>
              <w:tab/>
            </w:r>
            <w:r>
              <w:t xml:space="preserve"> Audit period:</w:t>
            </w:r>
            <w:r>
              <w:rPr>
                <w:spacing w:val="180"/>
              </w:rPr>
              <w:t xml:space="preserve"> </w:t>
            </w:r>
            <w:r>
              <w:rPr>
                <w:u w:val="single"/>
              </w:rPr>
              <w:tab/>
            </w:r>
            <w:r>
              <w:t xml:space="preserve"> Reviewed by:</w:t>
            </w:r>
            <w:r>
              <w:rPr>
                <w:spacing w:val="93"/>
              </w:rPr>
              <w:t xml:space="preserve"> </w:t>
            </w:r>
            <w:r>
              <w:rPr>
                <w:u w:val="single"/>
              </w:rPr>
              <w:tab/>
            </w:r>
          </w:p>
        </w:tc>
      </w:tr>
      <w:tr w:rsidR="00046465" w14:paraId="0DFDBE2C" w14:textId="77777777">
        <w:trPr>
          <w:trHeight w:val="793"/>
        </w:trPr>
        <w:tc>
          <w:tcPr>
            <w:tcW w:w="6480" w:type="dxa"/>
            <w:tcBorders>
              <w:right w:val="single" w:sz="4" w:space="0" w:color="000000"/>
            </w:tcBorders>
          </w:tcPr>
          <w:p w14:paraId="0DFDBE27" w14:textId="77777777" w:rsidR="00046465" w:rsidRDefault="00046465">
            <w:pPr>
              <w:pStyle w:val="TableParagraph"/>
              <w:spacing w:before="144"/>
            </w:pPr>
          </w:p>
          <w:p w14:paraId="0DFDBE28" w14:textId="77777777" w:rsidR="00046465" w:rsidRDefault="008134EB">
            <w:pPr>
              <w:pStyle w:val="TableParagraph"/>
              <w:ind w:left="104"/>
              <w:rPr>
                <w:b/>
              </w:rPr>
            </w:pPr>
            <w:r>
              <w:rPr>
                <w:b/>
              </w:rPr>
              <w:t>Audit</w:t>
            </w:r>
            <w:r>
              <w:rPr>
                <w:b/>
                <w:spacing w:val="-7"/>
              </w:rPr>
              <w:t xml:space="preserve"> </w:t>
            </w:r>
            <w:r>
              <w:rPr>
                <w:b/>
                <w:spacing w:val="-2"/>
              </w:rPr>
              <w:t>procedures</w:t>
            </w:r>
          </w:p>
        </w:tc>
        <w:tc>
          <w:tcPr>
            <w:tcW w:w="1440" w:type="dxa"/>
            <w:tcBorders>
              <w:left w:val="single" w:sz="4" w:space="0" w:color="000000"/>
              <w:right w:val="single" w:sz="4" w:space="0" w:color="000000"/>
            </w:tcBorders>
          </w:tcPr>
          <w:p w14:paraId="0DFDBE29" w14:textId="77777777" w:rsidR="00046465" w:rsidRDefault="008134EB">
            <w:pPr>
              <w:pStyle w:val="TableParagraph"/>
              <w:spacing w:before="144"/>
              <w:ind w:left="122" w:right="151"/>
              <w:rPr>
                <w:b/>
              </w:rPr>
            </w:pPr>
            <w:r>
              <w:rPr>
                <w:b/>
                <w:spacing w:val="-2"/>
              </w:rPr>
              <w:t xml:space="preserve">Initials/ </w:t>
            </w:r>
            <w:r>
              <w:rPr>
                <w:b/>
                <w:spacing w:val="-4"/>
              </w:rPr>
              <w:t>date</w:t>
            </w:r>
          </w:p>
        </w:tc>
        <w:tc>
          <w:tcPr>
            <w:tcW w:w="1440" w:type="dxa"/>
            <w:tcBorders>
              <w:left w:val="single" w:sz="4" w:space="0" w:color="000000"/>
            </w:tcBorders>
          </w:tcPr>
          <w:p w14:paraId="0DFDBE2A" w14:textId="77777777" w:rsidR="00046465" w:rsidRDefault="00046465">
            <w:pPr>
              <w:pStyle w:val="TableParagraph"/>
              <w:spacing w:before="144"/>
            </w:pPr>
          </w:p>
          <w:p w14:paraId="0DFDBE2B" w14:textId="77777777" w:rsidR="00046465" w:rsidRDefault="008134EB">
            <w:pPr>
              <w:pStyle w:val="TableParagraph"/>
              <w:ind w:left="122"/>
              <w:rPr>
                <w:b/>
              </w:rPr>
            </w:pPr>
            <w:r>
              <w:rPr>
                <w:b/>
              </w:rPr>
              <w:t>Doc.</w:t>
            </w:r>
            <w:r>
              <w:rPr>
                <w:b/>
                <w:spacing w:val="-6"/>
              </w:rPr>
              <w:t xml:space="preserve"> </w:t>
            </w:r>
            <w:r>
              <w:rPr>
                <w:b/>
                <w:spacing w:val="-4"/>
              </w:rPr>
              <w:t>ref.</w:t>
            </w:r>
          </w:p>
        </w:tc>
      </w:tr>
      <w:tr w:rsidR="00046465" w14:paraId="0DFDBE34" w14:textId="77777777">
        <w:trPr>
          <w:trHeight w:val="5419"/>
        </w:trPr>
        <w:tc>
          <w:tcPr>
            <w:tcW w:w="6480" w:type="dxa"/>
            <w:tcBorders>
              <w:bottom w:val="single" w:sz="6" w:space="0" w:color="000000"/>
              <w:right w:val="single" w:sz="6" w:space="0" w:color="000000"/>
            </w:tcBorders>
          </w:tcPr>
          <w:p w14:paraId="0DFDBE2D" w14:textId="77777777" w:rsidR="00046465" w:rsidRDefault="008134EB">
            <w:pPr>
              <w:pStyle w:val="TableParagraph"/>
              <w:spacing w:before="144"/>
              <w:ind w:left="464" w:right="125" w:hanging="360"/>
            </w:pPr>
            <w:r>
              <w:t>1.</w:t>
            </w:r>
            <w:r>
              <w:rPr>
                <w:spacing w:val="80"/>
              </w:rPr>
              <w:t xml:space="preserve"> </w:t>
            </w:r>
            <w:r>
              <w:t>Based on the preliminary assessment of compliance control effectiveness (as documented on Form 811, Compliance Summary), select a statistical sample of payroll records (e.g., each employee’s pay per pay period) for the audit period for employees covered by the Federal Employees Retirement</w:t>
            </w:r>
            <w:r>
              <w:rPr>
                <w:spacing w:val="-6"/>
              </w:rPr>
              <w:t xml:space="preserve"> </w:t>
            </w:r>
            <w:r>
              <w:t>System</w:t>
            </w:r>
            <w:r>
              <w:rPr>
                <w:spacing w:val="-8"/>
              </w:rPr>
              <w:t xml:space="preserve"> </w:t>
            </w:r>
            <w:r>
              <w:t>(FERS)</w:t>
            </w:r>
            <w:r>
              <w:rPr>
                <w:spacing w:val="-7"/>
              </w:rPr>
              <w:t xml:space="preserve"> </w:t>
            </w:r>
            <w:r>
              <w:t>established</w:t>
            </w:r>
            <w:r>
              <w:rPr>
                <w:spacing w:val="-7"/>
              </w:rPr>
              <w:t xml:space="preserve"> </w:t>
            </w:r>
            <w:r>
              <w:t>pursuant</w:t>
            </w:r>
            <w:r>
              <w:rPr>
                <w:spacing w:val="-7"/>
              </w:rPr>
              <w:t xml:space="preserve"> </w:t>
            </w:r>
            <w:r>
              <w:t>to</w:t>
            </w:r>
            <w:r>
              <w:rPr>
                <w:spacing w:val="-7"/>
              </w:rPr>
              <w:t xml:space="preserve"> </w:t>
            </w:r>
            <w:r>
              <w:t>FERSA. See FAM 811.01, Entity Withholdings from Employee Pay for Retirement Benefits.</w:t>
            </w:r>
          </w:p>
          <w:p w14:paraId="0DFDBE2E" w14:textId="77777777" w:rsidR="00046465" w:rsidRDefault="008134EB">
            <w:pPr>
              <w:pStyle w:val="TableParagraph"/>
              <w:spacing w:before="145"/>
              <w:ind w:left="465" w:right="125" w:hanging="29"/>
            </w:pPr>
            <w:r>
              <w:t>The sample size will vary based on the expected effectiveness</w:t>
            </w:r>
            <w:r>
              <w:rPr>
                <w:spacing w:val="-6"/>
              </w:rPr>
              <w:t xml:space="preserve"> </w:t>
            </w:r>
            <w:r>
              <w:t>of</w:t>
            </w:r>
            <w:r>
              <w:rPr>
                <w:spacing w:val="-6"/>
              </w:rPr>
              <w:t xml:space="preserve"> </w:t>
            </w:r>
            <w:r>
              <w:t>compliance</w:t>
            </w:r>
            <w:r>
              <w:rPr>
                <w:spacing w:val="-6"/>
              </w:rPr>
              <w:t xml:space="preserve"> </w:t>
            </w:r>
            <w:r>
              <w:t>controls,</w:t>
            </w:r>
            <w:r>
              <w:rPr>
                <w:spacing w:val="-6"/>
              </w:rPr>
              <w:t xml:space="preserve"> </w:t>
            </w:r>
            <w:r>
              <w:t>as</w:t>
            </w:r>
            <w:r>
              <w:rPr>
                <w:spacing w:val="-6"/>
              </w:rPr>
              <w:t xml:space="preserve"> </w:t>
            </w:r>
            <w:r>
              <w:t>discussed</w:t>
            </w:r>
            <w:r>
              <w:rPr>
                <w:spacing w:val="-6"/>
              </w:rPr>
              <w:t xml:space="preserve"> </w:t>
            </w:r>
            <w:r>
              <w:t>in</w:t>
            </w:r>
            <w:r>
              <w:rPr>
                <w:spacing w:val="-6"/>
              </w:rPr>
              <w:t xml:space="preserve"> </w:t>
            </w:r>
            <w:r>
              <w:t>FAM</w:t>
            </w:r>
          </w:p>
          <w:p w14:paraId="0DFDBE2F" w14:textId="77777777" w:rsidR="00046465" w:rsidRDefault="008134EB">
            <w:pPr>
              <w:pStyle w:val="TableParagraph"/>
              <w:ind w:left="465" w:right="125"/>
              <w:rPr>
                <w:position w:val="7"/>
                <w:sz w:val="14"/>
              </w:rPr>
            </w:pPr>
            <w:r>
              <w:t>460.02.</w:t>
            </w:r>
            <w:r>
              <w:rPr>
                <w:spacing w:val="-7"/>
              </w:rPr>
              <w:t xml:space="preserve"> </w:t>
            </w:r>
            <w:r>
              <w:t>Document</w:t>
            </w:r>
            <w:r>
              <w:rPr>
                <w:spacing w:val="-7"/>
              </w:rPr>
              <w:t xml:space="preserve"> </w:t>
            </w:r>
            <w:r>
              <w:t>the</w:t>
            </w:r>
            <w:r>
              <w:rPr>
                <w:spacing w:val="-7"/>
              </w:rPr>
              <w:t xml:space="preserve"> </w:t>
            </w:r>
            <w:r>
              <w:t>sampling</w:t>
            </w:r>
            <w:r>
              <w:rPr>
                <w:spacing w:val="-7"/>
              </w:rPr>
              <w:t xml:space="preserve"> </w:t>
            </w:r>
            <w:r>
              <w:t>approach</w:t>
            </w:r>
            <w:r>
              <w:rPr>
                <w:spacing w:val="-7"/>
              </w:rPr>
              <w:t xml:space="preserve"> </w:t>
            </w:r>
            <w:r>
              <w:t>(see</w:t>
            </w:r>
            <w:r>
              <w:rPr>
                <w:spacing w:val="-7"/>
              </w:rPr>
              <w:t xml:space="preserve"> </w:t>
            </w:r>
            <w:r>
              <w:t>example documentation in FAM 495 D).</w:t>
            </w:r>
            <w:hyperlink w:anchor="_bookmark138" w:history="1">
              <w:r>
                <w:rPr>
                  <w:position w:val="7"/>
                  <w:sz w:val="14"/>
                </w:rPr>
                <w:t>67</w:t>
              </w:r>
            </w:hyperlink>
          </w:p>
          <w:p w14:paraId="0DFDBE30" w14:textId="77777777" w:rsidR="00046465" w:rsidRDefault="008134EB">
            <w:pPr>
              <w:pStyle w:val="TableParagraph"/>
              <w:spacing w:before="143"/>
              <w:ind w:left="459" w:right="191" w:hanging="26"/>
            </w:pPr>
            <w:r>
              <w:t>The</w:t>
            </w:r>
            <w:r>
              <w:rPr>
                <w:spacing w:val="-4"/>
              </w:rPr>
              <w:t xml:space="preserve"> </w:t>
            </w:r>
            <w:r>
              <w:t>auditor</w:t>
            </w:r>
            <w:r>
              <w:rPr>
                <w:spacing w:val="-6"/>
              </w:rPr>
              <w:t xml:space="preserve"> </w:t>
            </w:r>
            <w:r>
              <w:t>should</w:t>
            </w:r>
            <w:r>
              <w:rPr>
                <w:spacing w:val="-4"/>
              </w:rPr>
              <w:t xml:space="preserve"> </w:t>
            </w:r>
            <w:r>
              <w:t>coordinate</w:t>
            </w:r>
            <w:r>
              <w:rPr>
                <w:spacing w:val="-4"/>
              </w:rPr>
              <w:t xml:space="preserve"> </w:t>
            </w:r>
            <w:r>
              <w:t>these</w:t>
            </w:r>
            <w:r>
              <w:rPr>
                <w:spacing w:val="-5"/>
              </w:rPr>
              <w:t xml:space="preserve"> </w:t>
            </w:r>
            <w:r>
              <w:t>tests</w:t>
            </w:r>
            <w:r>
              <w:rPr>
                <w:spacing w:val="-4"/>
              </w:rPr>
              <w:t xml:space="preserve"> </w:t>
            </w:r>
            <w:r>
              <w:t>with</w:t>
            </w:r>
            <w:r>
              <w:rPr>
                <w:spacing w:val="-4"/>
              </w:rPr>
              <w:t xml:space="preserve"> </w:t>
            </w:r>
            <w:r>
              <w:t>other</w:t>
            </w:r>
            <w:r>
              <w:rPr>
                <w:spacing w:val="-4"/>
              </w:rPr>
              <w:t xml:space="preserve"> </w:t>
            </w:r>
            <w:r>
              <w:t>tests</w:t>
            </w:r>
            <w:r>
              <w:rPr>
                <w:spacing w:val="-4"/>
              </w:rPr>
              <w:t xml:space="preserve"> </w:t>
            </w:r>
            <w:r>
              <w:t>of payroll-related expenses and with the agreed-upon procedures</w:t>
            </w:r>
            <w:r>
              <w:rPr>
                <w:spacing w:val="-3"/>
              </w:rPr>
              <w:t xml:space="preserve"> </w:t>
            </w:r>
            <w:r>
              <w:t>entity</w:t>
            </w:r>
            <w:r>
              <w:rPr>
                <w:spacing w:val="-2"/>
              </w:rPr>
              <w:t xml:space="preserve"> </w:t>
            </w:r>
            <w:r>
              <w:t>auditors</w:t>
            </w:r>
            <w:r>
              <w:rPr>
                <w:spacing w:val="-2"/>
              </w:rPr>
              <w:t xml:space="preserve"> </w:t>
            </w:r>
            <w:r>
              <w:t>perform</w:t>
            </w:r>
            <w:r>
              <w:rPr>
                <w:spacing w:val="-3"/>
              </w:rPr>
              <w:t xml:space="preserve"> </w:t>
            </w:r>
            <w:r>
              <w:t>for</w:t>
            </w:r>
            <w:r>
              <w:rPr>
                <w:spacing w:val="-2"/>
              </w:rPr>
              <w:t xml:space="preserve"> </w:t>
            </w:r>
            <w:r>
              <w:t>OPM,</w:t>
            </w:r>
            <w:r>
              <w:rPr>
                <w:spacing w:val="-2"/>
              </w:rPr>
              <w:t xml:space="preserve"> </w:t>
            </w:r>
            <w:r>
              <w:t>per</w:t>
            </w:r>
            <w:r>
              <w:rPr>
                <w:spacing w:val="-2"/>
              </w:rPr>
              <w:t xml:space="preserve"> </w:t>
            </w:r>
            <w:r>
              <w:t>OMB</w:t>
            </w:r>
            <w:r>
              <w:rPr>
                <w:spacing w:val="-2"/>
              </w:rPr>
              <w:t xml:space="preserve"> </w:t>
            </w:r>
            <w:r>
              <w:t>audit guidance, if performed.</w:t>
            </w:r>
          </w:p>
          <w:p w14:paraId="0DFDBE31" w14:textId="77777777" w:rsidR="00046465" w:rsidRDefault="008134EB">
            <w:pPr>
              <w:pStyle w:val="TableParagraph"/>
              <w:tabs>
                <w:tab w:val="left" w:pos="6106"/>
              </w:tabs>
              <w:spacing w:before="32" w:line="398" w:lineRule="exact"/>
              <w:ind w:left="500" w:right="340"/>
            </w:pPr>
            <w:r>
              <w:t>Sample size</w:t>
            </w:r>
            <w:r>
              <w:rPr>
                <w:u w:val="single"/>
              </w:rPr>
              <w:tab/>
            </w:r>
            <w:r>
              <w:t xml:space="preserve"> Sample selection method </w:t>
            </w:r>
            <w:r>
              <w:rPr>
                <w:u w:val="single"/>
              </w:rPr>
              <w:tab/>
            </w:r>
          </w:p>
        </w:tc>
        <w:tc>
          <w:tcPr>
            <w:tcW w:w="1440" w:type="dxa"/>
            <w:tcBorders>
              <w:left w:val="single" w:sz="6" w:space="0" w:color="000000"/>
              <w:bottom w:val="single" w:sz="6" w:space="0" w:color="000000"/>
              <w:right w:val="single" w:sz="6" w:space="0" w:color="000000"/>
            </w:tcBorders>
          </w:tcPr>
          <w:p w14:paraId="0DFDBE32" w14:textId="77777777" w:rsidR="00046465" w:rsidRDefault="00046465">
            <w:pPr>
              <w:pStyle w:val="TableParagraph"/>
              <w:rPr>
                <w:rFonts w:ascii="Times New Roman"/>
                <w:sz w:val="20"/>
              </w:rPr>
            </w:pPr>
          </w:p>
        </w:tc>
        <w:tc>
          <w:tcPr>
            <w:tcW w:w="1440" w:type="dxa"/>
            <w:tcBorders>
              <w:left w:val="single" w:sz="6" w:space="0" w:color="000000"/>
              <w:bottom w:val="single" w:sz="6" w:space="0" w:color="000000"/>
            </w:tcBorders>
          </w:tcPr>
          <w:p w14:paraId="0DFDBE33" w14:textId="77777777" w:rsidR="00046465" w:rsidRDefault="00046465">
            <w:pPr>
              <w:pStyle w:val="TableParagraph"/>
              <w:rPr>
                <w:rFonts w:ascii="Times New Roman"/>
                <w:sz w:val="20"/>
              </w:rPr>
            </w:pPr>
          </w:p>
        </w:tc>
      </w:tr>
    </w:tbl>
    <w:p w14:paraId="0DFDBE35" w14:textId="77777777" w:rsidR="00046465" w:rsidRDefault="00046465">
      <w:pPr>
        <w:pStyle w:val="BodyText"/>
        <w:rPr>
          <w:sz w:val="20"/>
        </w:rPr>
      </w:pPr>
    </w:p>
    <w:p w14:paraId="0DFDBE36" w14:textId="77777777" w:rsidR="00046465" w:rsidRDefault="00046465">
      <w:pPr>
        <w:pStyle w:val="BodyText"/>
        <w:rPr>
          <w:sz w:val="20"/>
        </w:rPr>
      </w:pPr>
    </w:p>
    <w:p w14:paraId="0DFDBE37" w14:textId="77777777" w:rsidR="00046465" w:rsidRDefault="00046465">
      <w:pPr>
        <w:pStyle w:val="BodyText"/>
        <w:rPr>
          <w:sz w:val="20"/>
        </w:rPr>
      </w:pPr>
    </w:p>
    <w:p w14:paraId="0DFDBE38" w14:textId="77777777" w:rsidR="00046465" w:rsidRDefault="00046465">
      <w:pPr>
        <w:pStyle w:val="BodyText"/>
        <w:rPr>
          <w:sz w:val="20"/>
        </w:rPr>
      </w:pPr>
    </w:p>
    <w:p w14:paraId="0DFDBE39" w14:textId="77777777" w:rsidR="00046465" w:rsidRDefault="00046465">
      <w:pPr>
        <w:pStyle w:val="BodyText"/>
        <w:rPr>
          <w:sz w:val="20"/>
        </w:rPr>
      </w:pPr>
    </w:p>
    <w:p w14:paraId="0DFDBE3A" w14:textId="77777777" w:rsidR="00046465" w:rsidRDefault="00046465">
      <w:pPr>
        <w:pStyle w:val="BodyText"/>
        <w:rPr>
          <w:sz w:val="20"/>
        </w:rPr>
      </w:pPr>
    </w:p>
    <w:p w14:paraId="0DFDBE3B" w14:textId="77777777" w:rsidR="00046465" w:rsidRDefault="008134EB">
      <w:pPr>
        <w:pStyle w:val="BodyText"/>
        <w:spacing w:before="145"/>
        <w:rPr>
          <w:sz w:val="20"/>
        </w:rPr>
      </w:pPr>
      <w:r>
        <w:rPr>
          <w:noProof/>
          <w:sz w:val="20"/>
        </w:rPr>
        <mc:AlternateContent>
          <mc:Choice Requires="wps">
            <w:drawing>
              <wp:anchor distT="0" distB="0" distL="0" distR="0" simplePos="0" relativeHeight="487711744" behindDoc="1" locked="0" layoutInCell="1" allowOverlap="1" wp14:anchorId="0DFDD6F7" wp14:editId="0DFDD6F8">
                <wp:simplePos x="0" y="0"/>
                <wp:positionH relativeFrom="page">
                  <wp:posOffset>914400</wp:posOffset>
                </wp:positionH>
                <wp:positionV relativeFrom="paragraph">
                  <wp:posOffset>253693</wp:posOffset>
                </wp:positionV>
                <wp:extent cx="1828800" cy="6985"/>
                <wp:effectExtent l="0" t="0" r="0" b="0"/>
                <wp:wrapTopAndBottom/>
                <wp:docPr id="859" name="Graphic 8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985"/>
                        </a:xfrm>
                        <a:custGeom>
                          <a:avLst/>
                          <a:gdLst/>
                          <a:ahLst/>
                          <a:cxnLst/>
                          <a:rect l="l" t="t" r="r" b="b"/>
                          <a:pathLst>
                            <a:path w="1828800" h="6985">
                              <a:moveTo>
                                <a:pt x="1828800" y="0"/>
                              </a:moveTo>
                              <a:lnTo>
                                <a:pt x="0" y="0"/>
                              </a:lnTo>
                              <a:lnTo>
                                <a:pt x="0" y="6857"/>
                              </a:lnTo>
                              <a:lnTo>
                                <a:pt x="1828800" y="685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78FABB" id="Graphic 859" o:spid="_x0000_s1026" style="position:absolute;margin-left:1in;margin-top:20pt;width:2in;height:.55pt;z-index:-15604736;visibility:visible;mso-wrap-style:square;mso-wrap-distance-left:0;mso-wrap-distance-top:0;mso-wrap-distance-right:0;mso-wrap-distance-bottom:0;mso-position-horizontal:absolute;mso-position-horizontal-relative:page;mso-position-vertical:absolute;mso-position-vertical-relative:text;v-text-anchor:top" coordsize="18288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" path="m1828800,l,,,6857r1828800,l1828800,xe" fillcolor="black" stroked="f">
                <v:path arrowok="t"/>
                <w10:wrap type="topAndBottom" anchorx="page"/>
              </v:shape>
            </w:pict>
          </mc:Fallback>
        </mc:AlternateContent>
      </w:r>
    </w:p>
    <w:p w14:paraId="0DFDBE3C" w14:textId="77777777" w:rsidR="00046465" w:rsidRDefault="008134EB">
      <w:pPr>
        <w:spacing w:before="232" w:line="242" w:lineRule="auto"/>
        <w:ind w:left="359" w:right="726"/>
        <w:rPr>
          <w:sz w:val="18"/>
        </w:rPr>
      </w:pPr>
      <w:bookmarkStart w:id="250" w:name="_bookmark138"/>
      <w:bookmarkEnd w:id="250"/>
      <w:r>
        <w:rPr>
          <w:sz w:val="18"/>
          <w:vertAlign w:val="superscript"/>
        </w:rPr>
        <w:t>67</w:t>
      </w:r>
      <w:r>
        <w:rPr>
          <w:sz w:val="18"/>
        </w:rPr>
        <w:t>If the auditor uses multipurpose testing for the compliance test, compliance control test, or both and a substantive test of payroll expense details, then the auditor should select the sample items for the compliance test, compliance control</w:t>
      </w:r>
      <w:r>
        <w:rPr>
          <w:spacing w:val="-2"/>
          <w:sz w:val="18"/>
        </w:rPr>
        <w:t xml:space="preserve"> </w:t>
      </w:r>
      <w:r>
        <w:rPr>
          <w:sz w:val="18"/>
        </w:rPr>
        <w:t>test,</w:t>
      </w:r>
      <w:r>
        <w:rPr>
          <w:spacing w:val="-2"/>
          <w:sz w:val="18"/>
        </w:rPr>
        <w:t xml:space="preserve"> </w:t>
      </w:r>
      <w:r>
        <w:rPr>
          <w:sz w:val="18"/>
        </w:rPr>
        <w:t>or</w:t>
      </w:r>
      <w:r>
        <w:rPr>
          <w:spacing w:val="-2"/>
          <w:sz w:val="18"/>
        </w:rPr>
        <w:t xml:space="preserve"> </w:t>
      </w:r>
      <w:r>
        <w:rPr>
          <w:sz w:val="18"/>
        </w:rPr>
        <w:t>both</w:t>
      </w:r>
      <w:r>
        <w:rPr>
          <w:spacing w:val="-3"/>
          <w:sz w:val="18"/>
        </w:rPr>
        <w:t xml:space="preserve"> </w:t>
      </w:r>
      <w:r>
        <w:rPr>
          <w:sz w:val="18"/>
        </w:rPr>
        <w:t>using</w:t>
      </w:r>
      <w:r>
        <w:rPr>
          <w:spacing w:val="-3"/>
          <w:sz w:val="18"/>
        </w:rPr>
        <w:t xml:space="preserve"> </w:t>
      </w:r>
      <w:r>
        <w:rPr>
          <w:sz w:val="18"/>
        </w:rPr>
        <w:t>the</w:t>
      </w:r>
      <w:r>
        <w:rPr>
          <w:spacing w:val="-1"/>
          <w:sz w:val="18"/>
        </w:rPr>
        <w:t xml:space="preserve"> </w:t>
      </w:r>
      <w:r>
        <w:rPr>
          <w:sz w:val="18"/>
        </w:rPr>
        <w:t>sampling</w:t>
      </w:r>
      <w:r>
        <w:rPr>
          <w:spacing w:val="-3"/>
          <w:sz w:val="18"/>
        </w:rPr>
        <w:t xml:space="preserve"> </w:t>
      </w:r>
      <w:r>
        <w:rPr>
          <w:sz w:val="18"/>
        </w:rPr>
        <w:t>method</w:t>
      </w:r>
      <w:r>
        <w:rPr>
          <w:spacing w:val="-3"/>
          <w:sz w:val="18"/>
        </w:rPr>
        <w:t xml:space="preserve"> </w:t>
      </w:r>
      <w:r>
        <w:rPr>
          <w:sz w:val="18"/>
        </w:rPr>
        <w:t>used</w:t>
      </w:r>
      <w:r>
        <w:rPr>
          <w:spacing w:val="-3"/>
          <w:sz w:val="18"/>
        </w:rPr>
        <w:t xml:space="preserve"> </w:t>
      </w:r>
      <w:r>
        <w:rPr>
          <w:sz w:val="18"/>
        </w:rPr>
        <w:t>for</w:t>
      </w:r>
      <w:r>
        <w:rPr>
          <w:spacing w:val="-2"/>
          <w:sz w:val="18"/>
        </w:rPr>
        <w:t xml:space="preserve"> </w:t>
      </w:r>
      <w:r>
        <w:rPr>
          <w:sz w:val="18"/>
        </w:rPr>
        <w:t>the</w:t>
      </w:r>
      <w:r>
        <w:rPr>
          <w:spacing w:val="-1"/>
          <w:sz w:val="18"/>
        </w:rPr>
        <w:t xml:space="preserve"> </w:t>
      </w:r>
      <w:r>
        <w:rPr>
          <w:sz w:val="18"/>
        </w:rPr>
        <w:t>substantive</w:t>
      </w:r>
      <w:r>
        <w:rPr>
          <w:spacing w:val="-3"/>
          <w:sz w:val="18"/>
        </w:rPr>
        <w:t xml:space="preserve"> </w:t>
      </w:r>
      <w:r>
        <w:rPr>
          <w:sz w:val="18"/>
        </w:rPr>
        <w:t>test,</w:t>
      </w:r>
      <w:r>
        <w:rPr>
          <w:spacing w:val="-2"/>
          <w:sz w:val="18"/>
        </w:rPr>
        <w:t xml:space="preserve"> </w:t>
      </w:r>
      <w:r>
        <w:rPr>
          <w:sz w:val="18"/>
        </w:rPr>
        <w:t>as</w:t>
      </w:r>
      <w:r>
        <w:rPr>
          <w:spacing w:val="-2"/>
          <w:sz w:val="18"/>
        </w:rPr>
        <w:t xml:space="preserve"> </w:t>
      </w:r>
      <w:r>
        <w:rPr>
          <w:sz w:val="18"/>
        </w:rPr>
        <w:t>discussed</w:t>
      </w:r>
      <w:r>
        <w:rPr>
          <w:spacing w:val="-3"/>
          <w:sz w:val="18"/>
        </w:rPr>
        <w:t xml:space="preserve"> </w:t>
      </w:r>
      <w:r>
        <w:rPr>
          <w:sz w:val="18"/>
        </w:rPr>
        <w:t>in</w:t>
      </w:r>
      <w:r>
        <w:rPr>
          <w:spacing w:val="-3"/>
          <w:sz w:val="18"/>
        </w:rPr>
        <w:t xml:space="preserve"> </w:t>
      </w:r>
      <w:r>
        <w:rPr>
          <w:sz w:val="18"/>
        </w:rPr>
        <w:t>FAM</w:t>
      </w:r>
      <w:r>
        <w:rPr>
          <w:spacing w:val="-2"/>
          <w:sz w:val="18"/>
        </w:rPr>
        <w:t xml:space="preserve"> </w:t>
      </w:r>
      <w:r>
        <w:rPr>
          <w:sz w:val="18"/>
        </w:rPr>
        <w:t>430,</w:t>
      </w:r>
      <w:r>
        <w:rPr>
          <w:spacing w:val="-2"/>
          <w:sz w:val="18"/>
        </w:rPr>
        <w:t xml:space="preserve"> </w:t>
      </w:r>
      <w:r>
        <w:rPr>
          <w:sz w:val="18"/>
        </w:rPr>
        <w:t>Design</w:t>
      </w:r>
      <w:r>
        <w:rPr>
          <w:spacing w:val="-3"/>
          <w:sz w:val="18"/>
        </w:rPr>
        <w:t xml:space="preserve"> </w:t>
      </w:r>
      <w:r>
        <w:rPr>
          <w:sz w:val="18"/>
        </w:rPr>
        <w:t>Tests. Otherwise, the auditor should select items using attribute sampling, as discussed in FAM 460.02.</w:t>
      </w:r>
    </w:p>
    <w:p w14:paraId="0DFDBE3D" w14:textId="77777777" w:rsidR="00046465" w:rsidRDefault="008134EB">
      <w:pPr>
        <w:spacing w:before="114"/>
        <w:ind w:left="360" w:right="749"/>
        <w:rPr>
          <w:sz w:val="18"/>
        </w:rPr>
      </w:pPr>
      <w:r>
        <w:rPr>
          <w:sz w:val="18"/>
        </w:rPr>
        <w:t>As</w:t>
      </w:r>
      <w:r>
        <w:rPr>
          <w:spacing w:val="-3"/>
          <w:sz w:val="18"/>
        </w:rPr>
        <w:t xml:space="preserve"> </w:t>
      </w:r>
      <w:r>
        <w:rPr>
          <w:sz w:val="18"/>
        </w:rPr>
        <w:t>with</w:t>
      </w:r>
      <w:r>
        <w:rPr>
          <w:spacing w:val="-4"/>
          <w:sz w:val="18"/>
        </w:rPr>
        <w:t xml:space="preserve"> </w:t>
      </w:r>
      <w:r>
        <w:rPr>
          <w:sz w:val="18"/>
        </w:rPr>
        <w:t>all</w:t>
      </w:r>
      <w:r>
        <w:rPr>
          <w:spacing w:val="-3"/>
          <w:sz w:val="18"/>
        </w:rPr>
        <w:t xml:space="preserve"> </w:t>
      </w:r>
      <w:r>
        <w:rPr>
          <w:sz w:val="18"/>
        </w:rPr>
        <w:t>sampling</w:t>
      </w:r>
      <w:r>
        <w:rPr>
          <w:spacing w:val="-4"/>
          <w:sz w:val="18"/>
        </w:rPr>
        <w:t xml:space="preserve"> </w:t>
      </w:r>
      <w:r>
        <w:rPr>
          <w:sz w:val="18"/>
        </w:rPr>
        <w:t>applications,</w:t>
      </w:r>
      <w:r>
        <w:rPr>
          <w:spacing w:val="-3"/>
          <w:sz w:val="18"/>
        </w:rPr>
        <w:t xml:space="preserve"> </w:t>
      </w:r>
      <w:r>
        <w:rPr>
          <w:sz w:val="18"/>
        </w:rPr>
        <w:t>the</w:t>
      </w:r>
      <w:r>
        <w:rPr>
          <w:spacing w:val="-4"/>
          <w:sz w:val="18"/>
        </w:rPr>
        <w:t xml:space="preserve"> </w:t>
      </w:r>
      <w:r>
        <w:rPr>
          <w:sz w:val="18"/>
        </w:rPr>
        <w:t>auditor</w:t>
      </w:r>
      <w:r>
        <w:rPr>
          <w:spacing w:val="-3"/>
          <w:sz w:val="18"/>
        </w:rPr>
        <w:t xml:space="preserve"> </w:t>
      </w:r>
      <w:r>
        <w:rPr>
          <w:sz w:val="18"/>
        </w:rPr>
        <w:t>should</w:t>
      </w:r>
      <w:r>
        <w:rPr>
          <w:spacing w:val="-4"/>
          <w:sz w:val="18"/>
        </w:rPr>
        <w:t xml:space="preserve"> </w:t>
      </w:r>
      <w:r>
        <w:rPr>
          <w:sz w:val="18"/>
        </w:rPr>
        <w:t>consider</w:t>
      </w:r>
      <w:r>
        <w:rPr>
          <w:spacing w:val="-3"/>
          <w:sz w:val="18"/>
        </w:rPr>
        <w:t xml:space="preserve"> </w:t>
      </w:r>
      <w:r>
        <w:rPr>
          <w:sz w:val="18"/>
        </w:rPr>
        <w:t>the</w:t>
      </w:r>
      <w:r>
        <w:rPr>
          <w:spacing w:val="-4"/>
          <w:sz w:val="18"/>
        </w:rPr>
        <w:t xml:space="preserve"> </w:t>
      </w:r>
      <w:r>
        <w:rPr>
          <w:sz w:val="18"/>
        </w:rPr>
        <w:t>completeness</w:t>
      </w:r>
      <w:r>
        <w:rPr>
          <w:spacing w:val="-3"/>
          <w:sz w:val="18"/>
        </w:rPr>
        <w:t xml:space="preserve"> </w:t>
      </w:r>
      <w:r>
        <w:rPr>
          <w:sz w:val="18"/>
        </w:rPr>
        <w:t>of</w:t>
      </w:r>
      <w:r>
        <w:rPr>
          <w:spacing w:val="-3"/>
          <w:sz w:val="18"/>
        </w:rPr>
        <w:t xml:space="preserve"> </w:t>
      </w:r>
      <w:r>
        <w:rPr>
          <w:sz w:val="18"/>
        </w:rPr>
        <w:t>the</w:t>
      </w:r>
      <w:r>
        <w:rPr>
          <w:spacing w:val="-4"/>
          <w:sz w:val="18"/>
        </w:rPr>
        <w:t xml:space="preserve"> </w:t>
      </w:r>
      <w:r>
        <w:rPr>
          <w:sz w:val="18"/>
        </w:rPr>
        <w:t>test</w:t>
      </w:r>
      <w:r>
        <w:rPr>
          <w:spacing w:val="-3"/>
          <w:sz w:val="18"/>
        </w:rPr>
        <w:t xml:space="preserve"> </w:t>
      </w:r>
      <w:r>
        <w:rPr>
          <w:sz w:val="18"/>
        </w:rPr>
        <w:t>population.</w:t>
      </w:r>
      <w:r>
        <w:rPr>
          <w:spacing w:val="-3"/>
          <w:sz w:val="18"/>
        </w:rPr>
        <w:t xml:space="preserve"> </w:t>
      </w:r>
      <w:r>
        <w:rPr>
          <w:sz w:val="18"/>
        </w:rPr>
        <w:t>For</w:t>
      </w:r>
      <w:r>
        <w:rPr>
          <w:spacing w:val="-3"/>
          <w:sz w:val="18"/>
        </w:rPr>
        <w:t xml:space="preserve"> </w:t>
      </w:r>
      <w:r>
        <w:rPr>
          <w:sz w:val="18"/>
        </w:rPr>
        <w:t>efficiency, the auditor should consider using records that were tested for validity and completeness (as well as the other assertions) in conjunction with substantive tests of payroll or other payroll related compliance tests.</w:t>
      </w:r>
    </w:p>
    <w:p w14:paraId="0DFDBE3E" w14:textId="77777777" w:rsidR="00046465" w:rsidRDefault="00046465">
      <w:pPr>
        <w:rPr>
          <w:sz w:val="18"/>
        </w:rPr>
        <w:sectPr w:rsidR="00046465">
          <w:headerReference w:type="default" r:id="rId160"/>
          <w:footerReference w:type="default" r:id="rId161"/>
          <w:pgSz w:w="12240" w:h="15840"/>
          <w:pgMar w:top="1340" w:right="720" w:bottom="940" w:left="1080" w:header="721" w:footer="742" w:gutter="0"/>
          <w:cols w:space="720"/>
        </w:sectPr>
      </w:pPr>
    </w:p>
    <w:p w14:paraId="0DFDBE3F" w14:textId="77777777" w:rsidR="00046465" w:rsidRDefault="00046465">
      <w:pPr>
        <w:pStyle w:val="BodyText"/>
        <w:spacing w:before="9"/>
        <w:rPr>
          <w:sz w:val="11"/>
        </w:rPr>
      </w:pPr>
    </w:p>
    <w:tbl>
      <w:tblPr>
        <w:tblW w:w="0" w:type="auto"/>
        <w:tblInd w:w="40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80"/>
        <w:gridCol w:w="1440"/>
        <w:gridCol w:w="1440"/>
      </w:tblGrid>
      <w:tr w:rsidR="00046465" w14:paraId="0DFDBE41" w14:textId="77777777">
        <w:trPr>
          <w:trHeight w:val="1335"/>
        </w:trPr>
        <w:tc>
          <w:tcPr>
            <w:tcW w:w="9360" w:type="dxa"/>
            <w:gridSpan w:val="3"/>
          </w:tcPr>
          <w:p w14:paraId="0DFDBE40" w14:textId="77777777" w:rsidR="00046465" w:rsidRDefault="008134EB">
            <w:pPr>
              <w:pStyle w:val="TableParagraph"/>
              <w:tabs>
                <w:tab w:val="left" w:pos="9041"/>
              </w:tabs>
              <w:spacing w:before="7" w:line="390" w:lineRule="atLeast"/>
              <w:ind w:left="104" w:right="270"/>
              <w:jc w:val="both"/>
            </w:pPr>
            <w:r>
              <w:t>Name of entity:</w:t>
            </w:r>
            <w:r>
              <w:rPr>
                <w:spacing w:val="178"/>
              </w:rPr>
              <w:t xml:space="preserve"> </w:t>
            </w:r>
            <w:r>
              <w:rPr>
                <w:u w:val="single"/>
              </w:rPr>
              <w:tab/>
            </w:r>
            <w:r>
              <w:t xml:space="preserve"> Audit period:</w:t>
            </w:r>
            <w:r>
              <w:rPr>
                <w:spacing w:val="180"/>
              </w:rPr>
              <w:t xml:space="preserve"> </w:t>
            </w:r>
            <w:r>
              <w:rPr>
                <w:u w:val="single"/>
              </w:rPr>
              <w:tab/>
            </w:r>
            <w:r>
              <w:t xml:space="preserve"> Reviewed by:</w:t>
            </w:r>
            <w:r>
              <w:rPr>
                <w:spacing w:val="93"/>
              </w:rPr>
              <w:t xml:space="preserve"> </w:t>
            </w:r>
            <w:r>
              <w:rPr>
                <w:u w:val="single"/>
              </w:rPr>
              <w:tab/>
            </w:r>
          </w:p>
        </w:tc>
      </w:tr>
      <w:tr w:rsidR="00046465" w14:paraId="0DFDBE47" w14:textId="77777777">
        <w:trPr>
          <w:trHeight w:val="793"/>
        </w:trPr>
        <w:tc>
          <w:tcPr>
            <w:tcW w:w="6480" w:type="dxa"/>
            <w:tcBorders>
              <w:right w:val="single" w:sz="4" w:space="0" w:color="000000"/>
            </w:tcBorders>
          </w:tcPr>
          <w:p w14:paraId="0DFDBE42" w14:textId="77777777" w:rsidR="00046465" w:rsidRDefault="00046465">
            <w:pPr>
              <w:pStyle w:val="TableParagraph"/>
              <w:spacing w:before="144"/>
            </w:pPr>
          </w:p>
          <w:p w14:paraId="0DFDBE43" w14:textId="77777777" w:rsidR="00046465" w:rsidRDefault="008134EB">
            <w:pPr>
              <w:pStyle w:val="TableParagraph"/>
              <w:ind w:left="104"/>
              <w:rPr>
                <w:b/>
              </w:rPr>
            </w:pPr>
            <w:r>
              <w:rPr>
                <w:b/>
              </w:rPr>
              <w:t>Audit</w:t>
            </w:r>
            <w:r>
              <w:rPr>
                <w:b/>
                <w:spacing w:val="-7"/>
              </w:rPr>
              <w:t xml:space="preserve"> </w:t>
            </w:r>
            <w:r>
              <w:rPr>
                <w:b/>
                <w:spacing w:val="-2"/>
              </w:rPr>
              <w:t>procedures</w:t>
            </w:r>
          </w:p>
        </w:tc>
        <w:tc>
          <w:tcPr>
            <w:tcW w:w="1440" w:type="dxa"/>
            <w:tcBorders>
              <w:left w:val="single" w:sz="4" w:space="0" w:color="000000"/>
              <w:right w:val="single" w:sz="4" w:space="0" w:color="000000"/>
            </w:tcBorders>
          </w:tcPr>
          <w:p w14:paraId="0DFDBE44" w14:textId="77777777" w:rsidR="00046465" w:rsidRDefault="008134EB">
            <w:pPr>
              <w:pStyle w:val="TableParagraph"/>
              <w:spacing w:before="144"/>
              <w:ind w:left="122" w:right="151"/>
              <w:rPr>
                <w:b/>
              </w:rPr>
            </w:pPr>
            <w:r>
              <w:rPr>
                <w:b/>
                <w:spacing w:val="-2"/>
              </w:rPr>
              <w:t xml:space="preserve">Initials/ </w:t>
            </w:r>
            <w:r>
              <w:rPr>
                <w:b/>
                <w:spacing w:val="-4"/>
              </w:rPr>
              <w:t>date</w:t>
            </w:r>
          </w:p>
        </w:tc>
        <w:tc>
          <w:tcPr>
            <w:tcW w:w="1440" w:type="dxa"/>
            <w:tcBorders>
              <w:left w:val="single" w:sz="4" w:space="0" w:color="000000"/>
            </w:tcBorders>
          </w:tcPr>
          <w:p w14:paraId="0DFDBE45" w14:textId="77777777" w:rsidR="00046465" w:rsidRDefault="00046465">
            <w:pPr>
              <w:pStyle w:val="TableParagraph"/>
              <w:spacing w:before="144"/>
            </w:pPr>
          </w:p>
          <w:p w14:paraId="0DFDBE46" w14:textId="77777777" w:rsidR="00046465" w:rsidRDefault="008134EB">
            <w:pPr>
              <w:pStyle w:val="TableParagraph"/>
              <w:ind w:left="122"/>
              <w:rPr>
                <w:b/>
              </w:rPr>
            </w:pPr>
            <w:r>
              <w:rPr>
                <w:b/>
              </w:rPr>
              <w:t>Doc.</w:t>
            </w:r>
            <w:r>
              <w:rPr>
                <w:b/>
                <w:spacing w:val="-6"/>
              </w:rPr>
              <w:t xml:space="preserve"> </w:t>
            </w:r>
            <w:r>
              <w:rPr>
                <w:b/>
                <w:spacing w:val="-4"/>
              </w:rPr>
              <w:t>ref.</w:t>
            </w:r>
          </w:p>
        </w:tc>
      </w:tr>
      <w:tr w:rsidR="00046465" w14:paraId="0DFDBE4E" w14:textId="77777777">
        <w:trPr>
          <w:trHeight w:val="3250"/>
        </w:trPr>
        <w:tc>
          <w:tcPr>
            <w:tcW w:w="6480" w:type="dxa"/>
            <w:tcBorders>
              <w:bottom w:val="single" w:sz="4" w:space="0" w:color="000000"/>
              <w:right w:val="single" w:sz="4" w:space="0" w:color="000000"/>
            </w:tcBorders>
          </w:tcPr>
          <w:p w14:paraId="0DFDBE48" w14:textId="77777777" w:rsidR="00046465" w:rsidRDefault="008134EB">
            <w:pPr>
              <w:pStyle w:val="TableParagraph"/>
              <w:numPr>
                <w:ilvl w:val="0"/>
                <w:numId w:val="147"/>
              </w:numPr>
              <w:tabs>
                <w:tab w:val="left" w:pos="433"/>
                <w:tab w:val="left" w:pos="435"/>
              </w:tabs>
              <w:spacing w:before="144"/>
              <w:ind w:right="133" w:hanging="360"/>
            </w:pPr>
            <w:r>
              <w:t>For</w:t>
            </w:r>
            <w:r>
              <w:rPr>
                <w:spacing w:val="-4"/>
              </w:rPr>
              <w:t xml:space="preserve"> </w:t>
            </w:r>
            <w:r>
              <w:t>each</w:t>
            </w:r>
            <w:r>
              <w:rPr>
                <w:spacing w:val="-4"/>
              </w:rPr>
              <w:t xml:space="preserve"> </w:t>
            </w:r>
            <w:r>
              <w:t>selection</w:t>
            </w:r>
            <w:r>
              <w:rPr>
                <w:spacing w:val="-4"/>
              </w:rPr>
              <w:t xml:space="preserve"> </w:t>
            </w:r>
            <w:r>
              <w:t>made</w:t>
            </w:r>
            <w:r>
              <w:rPr>
                <w:spacing w:val="-4"/>
              </w:rPr>
              <w:t xml:space="preserve"> </w:t>
            </w:r>
            <w:r>
              <w:t>in</w:t>
            </w:r>
            <w:r>
              <w:rPr>
                <w:spacing w:val="-4"/>
              </w:rPr>
              <w:t xml:space="preserve"> </w:t>
            </w:r>
            <w:r>
              <w:t>1,</w:t>
            </w:r>
            <w:r>
              <w:rPr>
                <w:spacing w:val="-4"/>
              </w:rPr>
              <w:t xml:space="preserve"> </w:t>
            </w:r>
            <w:r>
              <w:t>document</w:t>
            </w:r>
            <w:r>
              <w:rPr>
                <w:spacing w:val="-4"/>
              </w:rPr>
              <w:t xml:space="preserve"> </w:t>
            </w:r>
            <w:r>
              <w:t>the</w:t>
            </w:r>
            <w:r>
              <w:rPr>
                <w:spacing w:val="-4"/>
              </w:rPr>
              <w:t xml:space="preserve"> </w:t>
            </w:r>
            <w:r>
              <w:t>following</w:t>
            </w:r>
            <w:r>
              <w:rPr>
                <w:spacing w:val="-4"/>
              </w:rPr>
              <w:t xml:space="preserve"> </w:t>
            </w:r>
            <w:r>
              <w:t>for</w:t>
            </w:r>
            <w:r>
              <w:rPr>
                <w:spacing w:val="-4"/>
              </w:rPr>
              <w:t xml:space="preserve"> </w:t>
            </w:r>
            <w:r>
              <w:t>the pay period selected:</w:t>
            </w:r>
          </w:p>
          <w:p w14:paraId="0DFDBE49" w14:textId="77777777" w:rsidR="00046465" w:rsidRDefault="008134EB">
            <w:pPr>
              <w:pStyle w:val="TableParagraph"/>
              <w:numPr>
                <w:ilvl w:val="1"/>
                <w:numId w:val="147"/>
              </w:numPr>
              <w:tabs>
                <w:tab w:val="left" w:pos="613"/>
              </w:tabs>
              <w:spacing w:before="144"/>
              <w:ind w:left="613" w:hanging="178"/>
            </w:pPr>
            <w:r>
              <w:t>the</w:t>
            </w:r>
            <w:r>
              <w:rPr>
                <w:spacing w:val="-6"/>
              </w:rPr>
              <w:t xml:space="preserve"> </w:t>
            </w:r>
            <w:r>
              <w:t>amount</w:t>
            </w:r>
            <w:r>
              <w:rPr>
                <w:spacing w:val="-6"/>
              </w:rPr>
              <w:t xml:space="preserve"> </w:t>
            </w:r>
            <w:r>
              <w:t>withheld</w:t>
            </w:r>
            <w:r>
              <w:rPr>
                <w:spacing w:val="-5"/>
              </w:rPr>
              <w:t xml:space="preserve"> </w:t>
            </w:r>
            <w:r>
              <w:t>for</w:t>
            </w:r>
            <w:r>
              <w:rPr>
                <w:spacing w:val="-8"/>
              </w:rPr>
              <w:t xml:space="preserve"> </w:t>
            </w:r>
            <w:r>
              <w:t>the</w:t>
            </w:r>
            <w:r>
              <w:rPr>
                <w:spacing w:val="-5"/>
              </w:rPr>
              <w:t xml:space="preserve"> </w:t>
            </w:r>
            <w:r>
              <w:t>cost</w:t>
            </w:r>
            <w:r>
              <w:rPr>
                <w:spacing w:val="-6"/>
              </w:rPr>
              <w:t xml:space="preserve"> </w:t>
            </w:r>
            <w:r>
              <w:t>of</w:t>
            </w:r>
            <w:r>
              <w:rPr>
                <w:spacing w:val="-6"/>
              </w:rPr>
              <w:t xml:space="preserve"> </w:t>
            </w:r>
            <w:r>
              <w:t>retirement</w:t>
            </w:r>
            <w:r>
              <w:rPr>
                <w:spacing w:val="-5"/>
              </w:rPr>
              <w:t xml:space="preserve"> </w:t>
            </w:r>
            <w:r>
              <w:rPr>
                <w:spacing w:val="-2"/>
              </w:rPr>
              <w:t>benefits;</w:t>
            </w:r>
          </w:p>
          <w:p w14:paraId="0DFDBE4A" w14:textId="77777777" w:rsidR="00046465" w:rsidRDefault="008134EB">
            <w:pPr>
              <w:pStyle w:val="TableParagraph"/>
              <w:numPr>
                <w:ilvl w:val="1"/>
                <w:numId w:val="147"/>
              </w:numPr>
              <w:tabs>
                <w:tab w:val="left" w:pos="643"/>
              </w:tabs>
              <w:spacing w:before="145"/>
              <w:ind w:left="643" w:hanging="208"/>
            </w:pPr>
            <w:r>
              <w:t>the</w:t>
            </w:r>
            <w:r>
              <w:rPr>
                <w:spacing w:val="-5"/>
              </w:rPr>
              <w:t xml:space="preserve"> </w:t>
            </w:r>
            <w:r>
              <w:t>amount</w:t>
            </w:r>
            <w:r>
              <w:rPr>
                <w:spacing w:val="-5"/>
              </w:rPr>
              <w:t xml:space="preserve"> </w:t>
            </w:r>
            <w:r>
              <w:t>of</w:t>
            </w:r>
            <w:r>
              <w:rPr>
                <w:spacing w:val="-5"/>
              </w:rPr>
              <w:t xml:space="preserve"> </w:t>
            </w:r>
            <w:r>
              <w:t>basic</w:t>
            </w:r>
            <w:r>
              <w:rPr>
                <w:spacing w:val="-5"/>
              </w:rPr>
              <w:t xml:space="preserve"> </w:t>
            </w:r>
            <w:r>
              <w:t>pay;</w:t>
            </w:r>
            <w:r>
              <w:rPr>
                <w:spacing w:val="-5"/>
              </w:rPr>
              <w:t xml:space="preserve"> and</w:t>
            </w:r>
          </w:p>
          <w:p w14:paraId="0DFDBE4B" w14:textId="77777777" w:rsidR="00046465" w:rsidRDefault="008134EB">
            <w:pPr>
              <w:pStyle w:val="TableParagraph"/>
              <w:numPr>
                <w:ilvl w:val="1"/>
                <w:numId w:val="147"/>
              </w:numPr>
              <w:tabs>
                <w:tab w:val="left" w:pos="613"/>
                <w:tab w:val="left" w:pos="623"/>
              </w:tabs>
              <w:spacing w:before="144"/>
              <w:ind w:right="264" w:hanging="188"/>
            </w:pPr>
            <w:r>
              <w:t>if indicated in the payroll disbursement records, the retirement plan under which the withholdings were made (the Civil Service Retirement System (CSRS) or FERS). (Only</w:t>
            </w:r>
            <w:r>
              <w:rPr>
                <w:spacing w:val="-5"/>
              </w:rPr>
              <w:t xml:space="preserve"> </w:t>
            </w:r>
            <w:r>
              <w:t>employees</w:t>
            </w:r>
            <w:r>
              <w:rPr>
                <w:spacing w:val="-5"/>
              </w:rPr>
              <w:t xml:space="preserve"> </w:t>
            </w:r>
            <w:r>
              <w:t>covered</w:t>
            </w:r>
            <w:r>
              <w:rPr>
                <w:spacing w:val="-5"/>
              </w:rPr>
              <w:t xml:space="preserve"> </w:t>
            </w:r>
            <w:r>
              <w:t>by</w:t>
            </w:r>
            <w:r>
              <w:rPr>
                <w:spacing w:val="-5"/>
              </w:rPr>
              <w:t xml:space="preserve"> </w:t>
            </w:r>
            <w:r>
              <w:t>FERS</w:t>
            </w:r>
            <w:r>
              <w:rPr>
                <w:spacing w:val="-5"/>
              </w:rPr>
              <w:t xml:space="preserve"> </w:t>
            </w:r>
            <w:r>
              <w:t>should</w:t>
            </w:r>
            <w:r>
              <w:rPr>
                <w:spacing w:val="-5"/>
              </w:rPr>
              <w:t xml:space="preserve"> </w:t>
            </w:r>
            <w:r>
              <w:t>be</w:t>
            </w:r>
            <w:r>
              <w:rPr>
                <w:spacing w:val="-5"/>
              </w:rPr>
              <w:t xml:space="preserve"> </w:t>
            </w:r>
            <w:r>
              <w:t>included</w:t>
            </w:r>
            <w:r>
              <w:rPr>
                <w:spacing w:val="-5"/>
              </w:rPr>
              <w:t xml:space="preserve"> </w:t>
            </w:r>
            <w:r>
              <w:t>in this compliance test. See FAM 808 for the CSRS compliance test.)</w:t>
            </w:r>
          </w:p>
        </w:tc>
        <w:tc>
          <w:tcPr>
            <w:tcW w:w="1440" w:type="dxa"/>
            <w:tcBorders>
              <w:left w:val="single" w:sz="4" w:space="0" w:color="000000"/>
              <w:bottom w:val="single" w:sz="4" w:space="0" w:color="000000"/>
              <w:right w:val="single" w:sz="4" w:space="0" w:color="000000"/>
            </w:tcBorders>
          </w:tcPr>
          <w:p w14:paraId="0DFDBE4C" w14:textId="77777777" w:rsidR="00046465" w:rsidRDefault="00046465">
            <w:pPr>
              <w:pStyle w:val="TableParagraph"/>
              <w:rPr>
                <w:rFonts w:ascii="Times New Roman"/>
                <w:sz w:val="20"/>
              </w:rPr>
            </w:pPr>
          </w:p>
        </w:tc>
        <w:tc>
          <w:tcPr>
            <w:tcW w:w="1440" w:type="dxa"/>
            <w:tcBorders>
              <w:left w:val="single" w:sz="4" w:space="0" w:color="000000"/>
              <w:bottom w:val="single" w:sz="4" w:space="0" w:color="000000"/>
            </w:tcBorders>
          </w:tcPr>
          <w:p w14:paraId="0DFDBE4D" w14:textId="77777777" w:rsidR="00046465" w:rsidRDefault="00046465">
            <w:pPr>
              <w:pStyle w:val="TableParagraph"/>
              <w:rPr>
                <w:rFonts w:ascii="Times New Roman"/>
                <w:sz w:val="20"/>
              </w:rPr>
            </w:pPr>
          </w:p>
        </w:tc>
      </w:tr>
      <w:tr w:rsidR="00046465" w14:paraId="0DFDBE55" w14:textId="77777777">
        <w:trPr>
          <w:trHeight w:val="1984"/>
        </w:trPr>
        <w:tc>
          <w:tcPr>
            <w:tcW w:w="6480" w:type="dxa"/>
            <w:tcBorders>
              <w:top w:val="single" w:sz="4" w:space="0" w:color="000000"/>
              <w:bottom w:val="single" w:sz="6" w:space="0" w:color="000000"/>
              <w:right w:val="single" w:sz="4" w:space="0" w:color="000000"/>
            </w:tcBorders>
          </w:tcPr>
          <w:p w14:paraId="0DFDBE4F" w14:textId="77777777" w:rsidR="00046465" w:rsidRDefault="008134EB">
            <w:pPr>
              <w:pStyle w:val="TableParagraph"/>
              <w:numPr>
                <w:ilvl w:val="0"/>
                <w:numId w:val="146"/>
              </w:numPr>
              <w:tabs>
                <w:tab w:val="left" w:pos="433"/>
                <w:tab w:val="left" w:pos="435"/>
              </w:tabs>
              <w:spacing w:before="144"/>
              <w:ind w:right="1112" w:hanging="360"/>
            </w:pPr>
            <w:r>
              <w:t>For</w:t>
            </w:r>
            <w:r>
              <w:rPr>
                <w:spacing w:val="-5"/>
              </w:rPr>
              <w:t xml:space="preserve"> </w:t>
            </w:r>
            <w:r>
              <w:t>each</w:t>
            </w:r>
            <w:r>
              <w:rPr>
                <w:spacing w:val="-5"/>
              </w:rPr>
              <w:t xml:space="preserve"> </w:t>
            </w:r>
            <w:r>
              <w:t>item</w:t>
            </w:r>
            <w:r>
              <w:rPr>
                <w:spacing w:val="-6"/>
              </w:rPr>
              <w:t xml:space="preserve"> </w:t>
            </w:r>
            <w:r>
              <w:t>selected</w:t>
            </w:r>
            <w:r>
              <w:rPr>
                <w:spacing w:val="-5"/>
              </w:rPr>
              <w:t xml:space="preserve"> </w:t>
            </w:r>
            <w:r>
              <w:t>in</w:t>
            </w:r>
            <w:r>
              <w:rPr>
                <w:spacing w:val="-5"/>
              </w:rPr>
              <w:t xml:space="preserve"> </w:t>
            </w:r>
            <w:r>
              <w:t>1,</w:t>
            </w:r>
            <w:r>
              <w:rPr>
                <w:spacing w:val="-5"/>
              </w:rPr>
              <w:t xml:space="preserve"> </w:t>
            </w:r>
            <w:r>
              <w:t>obtain</w:t>
            </w:r>
            <w:r>
              <w:rPr>
                <w:spacing w:val="-5"/>
              </w:rPr>
              <w:t xml:space="preserve"> </w:t>
            </w:r>
            <w:r>
              <w:t>the</w:t>
            </w:r>
            <w:r>
              <w:rPr>
                <w:spacing w:val="-5"/>
              </w:rPr>
              <w:t xml:space="preserve"> </w:t>
            </w:r>
            <w:r>
              <w:t>employee’s personnel file and note the</w:t>
            </w:r>
          </w:p>
          <w:p w14:paraId="0DFDBE50" w14:textId="77777777" w:rsidR="00046465" w:rsidRDefault="008134EB">
            <w:pPr>
              <w:pStyle w:val="TableParagraph"/>
              <w:numPr>
                <w:ilvl w:val="1"/>
                <w:numId w:val="146"/>
              </w:numPr>
              <w:tabs>
                <w:tab w:val="left" w:pos="613"/>
              </w:tabs>
              <w:spacing w:before="144"/>
              <w:ind w:left="613" w:hanging="178"/>
            </w:pPr>
            <w:r>
              <w:t>employee</w:t>
            </w:r>
            <w:r>
              <w:rPr>
                <w:spacing w:val="-8"/>
              </w:rPr>
              <w:t xml:space="preserve"> </w:t>
            </w:r>
            <w:r>
              <w:t>hire</w:t>
            </w:r>
            <w:r>
              <w:rPr>
                <w:spacing w:val="-7"/>
              </w:rPr>
              <w:t xml:space="preserve"> </w:t>
            </w:r>
            <w:r>
              <w:rPr>
                <w:spacing w:val="-2"/>
              </w:rPr>
              <w:t>date,</w:t>
            </w:r>
          </w:p>
          <w:p w14:paraId="0DFDBE51" w14:textId="77777777" w:rsidR="00046465" w:rsidRDefault="008134EB">
            <w:pPr>
              <w:pStyle w:val="TableParagraph"/>
              <w:numPr>
                <w:ilvl w:val="1"/>
                <w:numId w:val="146"/>
              </w:numPr>
              <w:tabs>
                <w:tab w:val="left" w:pos="613"/>
              </w:tabs>
              <w:spacing w:before="143"/>
              <w:ind w:left="613" w:hanging="178"/>
            </w:pPr>
            <w:r>
              <w:t>amount</w:t>
            </w:r>
            <w:r>
              <w:rPr>
                <w:spacing w:val="-6"/>
              </w:rPr>
              <w:t xml:space="preserve"> </w:t>
            </w:r>
            <w:r>
              <w:t>of</w:t>
            </w:r>
            <w:r>
              <w:rPr>
                <w:spacing w:val="-5"/>
              </w:rPr>
              <w:t xml:space="preserve"> </w:t>
            </w:r>
            <w:r>
              <w:t>basic</w:t>
            </w:r>
            <w:r>
              <w:rPr>
                <w:spacing w:val="-5"/>
              </w:rPr>
              <w:t xml:space="preserve"> </w:t>
            </w:r>
            <w:r>
              <w:t>pay,</w:t>
            </w:r>
            <w:r>
              <w:rPr>
                <w:spacing w:val="-5"/>
              </w:rPr>
              <w:t xml:space="preserve"> and</w:t>
            </w:r>
          </w:p>
          <w:p w14:paraId="0DFDBE52" w14:textId="77777777" w:rsidR="00046465" w:rsidRDefault="008134EB">
            <w:pPr>
              <w:pStyle w:val="TableParagraph"/>
              <w:numPr>
                <w:ilvl w:val="1"/>
                <w:numId w:val="146"/>
              </w:numPr>
              <w:tabs>
                <w:tab w:val="left" w:pos="613"/>
              </w:tabs>
              <w:spacing w:before="144"/>
              <w:ind w:left="613" w:hanging="178"/>
            </w:pPr>
            <w:r>
              <w:t>retirement</w:t>
            </w:r>
            <w:r>
              <w:rPr>
                <w:spacing w:val="-7"/>
              </w:rPr>
              <w:t xml:space="preserve"> </w:t>
            </w:r>
            <w:r>
              <w:t>plan</w:t>
            </w:r>
            <w:r>
              <w:rPr>
                <w:spacing w:val="-6"/>
              </w:rPr>
              <w:t xml:space="preserve"> </w:t>
            </w:r>
            <w:r>
              <w:t>under</w:t>
            </w:r>
            <w:r>
              <w:rPr>
                <w:spacing w:val="-6"/>
              </w:rPr>
              <w:t xml:space="preserve"> </w:t>
            </w:r>
            <w:r>
              <w:t>which</w:t>
            </w:r>
            <w:r>
              <w:rPr>
                <w:spacing w:val="-6"/>
              </w:rPr>
              <w:t xml:space="preserve"> </w:t>
            </w:r>
            <w:r>
              <w:t>the</w:t>
            </w:r>
            <w:r>
              <w:rPr>
                <w:spacing w:val="-7"/>
              </w:rPr>
              <w:t xml:space="preserve"> </w:t>
            </w:r>
            <w:r>
              <w:t>employee</w:t>
            </w:r>
            <w:r>
              <w:rPr>
                <w:spacing w:val="-6"/>
              </w:rPr>
              <w:t xml:space="preserve"> </w:t>
            </w:r>
            <w:r>
              <w:t>is</w:t>
            </w:r>
            <w:r>
              <w:rPr>
                <w:spacing w:val="-7"/>
              </w:rPr>
              <w:t xml:space="preserve"> </w:t>
            </w:r>
            <w:r>
              <w:rPr>
                <w:spacing w:val="-2"/>
              </w:rPr>
              <w:t>covered.</w:t>
            </w:r>
          </w:p>
        </w:tc>
        <w:tc>
          <w:tcPr>
            <w:tcW w:w="1440" w:type="dxa"/>
            <w:tcBorders>
              <w:top w:val="single" w:sz="4" w:space="0" w:color="000000"/>
              <w:left w:val="single" w:sz="4" w:space="0" w:color="000000"/>
              <w:bottom w:val="single" w:sz="4" w:space="0" w:color="000000"/>
              <w:right w:val="single" w:sz="4" w:space="0" w:color="000000"/>
            </w:tcBorders>
          </w:tcPr>
          <w:p w14:paraId="0DFDBE53" w14:textId="77777777" w:rsidR="00046465" w:rsidRDefault="00046465">
            <w:pPr>
              <w:pStyle w:val="TableParagraph"/>
              <w:rPr>
                <w:rFonts w:ascii="Times New Roman"/>
                <w:sz w:val="20"/>
              </w:rPr>
            </w:pPr>
          </w:p>
        </w:tc>
        <w:tc>
          <w:tcPr>
            <w:tcW w:w="1440" w:type="dxa"/>
            <w:tcBorders>
              <w:top w:val="single" w:sz="4" w:space="0" w:color="000000"/>
              <w:left w:val="single" w:sz="4" w:space="0" w:color="000000"/>
              <w:bottom w:val="single" w:sz="4" w:space="0" w:color="000000"/>
            </w:tcBorders>
          </w:tcPr>
          <w:p w14:paraId="0DFDBE54" w14:textId="77777777" w:rsidR="00046465" w:rsidRDefault="00046465">
            <w:pPr>
              <w:pStyle w:val="TableParagraph"/>
              <w:rPr>
                <w:rFonts w:ascii="Times New Roman"/>
                <w:sz w:val="20"/>
              </w:rPr>
            </w:pPr>
          </w:p>
        </w:tc>
      </w:tr>
      <w:tr w:rsidR="00046465" w14:paraId="0DFDBE5A" w14:textId="77777777">
        <w:trPr>
          <w:trHeight w:val="2202"/>
        </w:trPr>
        <w:tc>
          <w:tcPr>
            <w:tcW w:w="6480" w:type="dxa"/>
            <w:tcBorders>
              <w:top w:val="single" w:sz="6" w:space="0" w:color="000000"/>
              <w:bottom w:val="single" w:sz="6" w:space="0" w:color="000000"/>
              <w:right w:val="single" w:sz="4" w:space="0" w:color="000000"/>
            </w:tcBorders>
          </w:tcPr>
          <w:p w14:paraId="0DFDBE56" w14:textId="77777777" w:rsidR="00046465" w:rsidRDefault="008134EB">
            <w:pPr>
              <w:pStyle w:val="TableParagraph"/>
              <w:numPr>
                <w:ilvl w:val="0"/>
                <w:numId w:val="145"/>
              </w:numPr>
              <w:tabs>
                <w:tab w:val="left" w:pos="470"/>
              </w:tabs>
              <w:spacing w:before="145"/>
              <w:ind w:left="470" w:hanging="366"/>
            </w:pPr>
            <w:r>
              <w:t>For</w:t>
            </w:r>
            <w:r>
              <w:rPr>
                <w:spacing w:val="-6"/>
              </w:rPr>
              <w:t xml:space="preserve"> </w:t>
            </w:r>
            <w:r>
              <w:t>each</w:t>
            </w:r>
            <w:r>
              <w:rPr>
                <w:spacing w:val="-5"/>
              </w:rPr>
              <w:t xml:space="preserve"> </w:t>
            </w:r>
            <w:r>
              <w:t>selection</w:t>
            </w:r>
            <w:r>
              <w:rPr>
                <w:spacing w:val="-6"/>
              </w:rPr>
              <w:t xml:space="preserve"> </w:t>
            </w:r>
            <w:r>
              <w:t>made</w:t>
            </w:r>
            <w:r>
              <w:rPr>
                <w:spacing w:val="-5"/>
              </w:rPr>
              <w:t xml:space="preserve"> </w:t>
            </w:r>
            <w:r>
              <w:t>in</w:t>
            </w:r>
            <w:r>
              <w:rPr>
                <w:spacing w:val="-6"/>
              </w:rPr>
              <w:t xml:space="preserve"> </w:t>
            </w:r>
            <w:r>
              <w:t>1,</w:t>
            </w:r>
            <w:r>
              <w:rPr>
                <w:spacing w:val="-5"/>
              </w:rPr>
              <w:t xml:space="preserve"> </w:t>
            </w:r>
            <w:r>
              <w:t>complete</w:t>
            </w:r>
            <w:r>
              <w:rPr>
                <w:spacing w:val="-5"/>
              </w:rPr>
              <w:t xml:space="preserve"> </w:t>
            </w:r>
            <w:r>
              <w:t>the</w:t>
            </w:r>
            <w:r>
              <w:rPr>
                <w:spacing w:val="-5"/>
              </w:rPr>
              <w:t xml:space="preserve"> </w:t>
            </w:r>
            <w:r>
              <w:rPr>
                <w:spacing w:val="-2"/>
              </w:rPr>
              <w:t>following:</w:t>
            </w:r>
          </w:p>
          <w:p w14:paraId="0DFDBE57" w14:textId="77777777" w:rsidR="00046465" w:rsidRDefault="008134EB">
            <w:pPr>
              <w:pStyle w:val="TableParagraph"/>
              <w:numPr>
                <w:ilvl w:val="1"/>
                <w:numId w:val="145"/>
              </w:numPr>
              <w:tabs>
                <w:tab w:val="left" w:pos="968"/>
              </w:tabs>
              <w:spacing w:before="143"/>
              <w:ind w:right="211"/>
            </w:pPr>
            <w:r>
              <w:t>Compare the amount of basic pay indicated in the employee’s</w:t>
            </w:r>
            <w:r>
              <w:rPr>
                <w:spacing w:val="-7"/>
              </w:rPr>
              <w:t xml:space="preserve"> </w:t>
            </w:r>
            <w:r>
              <w:t>personnel</w:t>
            </w:r>
            <w:r>
              <w:rPr>
                <w:spacing w:val="-6"/>
              </w:rPr>
              <w:t xml:space="preserve"> </w:t>
            </w:r>
            <w:r>
              <w:t>file</w:t>
            </w:r>
            <w:r>
              <w:rPr>
                <w:spacing w:val="-6"/>
              </w:rPr>
              <w:t xml:space="preserve"> </w:t>
            </w:r>
            <w:r>
              <w:t>with</w:t>
            </w:r>
            <w:r>
              <w:rPr>
                <w:spacing w:val="-6"/>
              </w:rPr>
              <w:t xml:space="preserve"> </w:t>
            </w:r>
            <w:r>
              <w:t>the</w:t>
            </w:r>
            <w:r>
              <w:rPr>
                <w:spacing w:val="-6"/>
              </w:rPr>
              <w:t xml:space="preserve"> </w:t>
            </w:r>
            <w:r>
              <w:t>amount</w:t>
            </w:r>
            <w:r>
              <w:rPr>
                <w:spacing w:val="-6"/>
              </w:rPr>
              <w:t xml:space="preserve"> </w:t>
            </w:r>
            <w:r>
              <w:t>indicated</w:t>
            </w:r>
            <w:r>
              <w:rPr>
                <w:spacing w:val="-6"/>
              </w:rPr>
              <w:t xml:space="preserve"> </w:t>
            </w:r>
            <w:r>
              <w:t>in the payroll records, and obtain an explanation and examine support for any differences. (This procedure would be performed only if it were not already performed as part of other testing.)</w:t>
            </w:r>
          </w:p>
        </w:tc>
        <w:tc>
          <w:tcPr>
            <w:tcW w:w="1440" w:type="dxa"/>
            <w:tcBorders>
              <w:top w:val="single" w:sz="4" w:space="0" w:color="000000"/>
              <w:left w:val="single" w:sz="4" w:space="0" w:color="000000"/>
              <w:bottom w:val="single" w:sz="6" w:space="0" w:color="000000"/>
              <w:right w:val="single" w:sz="6" w:space="0" w:color="000000"/>
            </w:tcBorders>
          </w:tcPr>
          <w:p w14:paraId="0DFDBE58" w14:textId="77777777" w:rsidR="00046465" w:rsidRDefault="00046465">
            <w:pPr>
              <w:pStyle w:val="TableParagraph"/>
              <w:rPr>
                <w:rFonts w:ascii="Times New Roman"/>
                <w:sz w:val="20"/>
              </w:rPr>
            </w:pPr>
          </w:p>
        </w:tc>
        <w:tc>
          <w:tcPr>
            <w:tcW w:w="1440" w:type="dxa"/>
            <w:tcBorders>
              <w:top w:val="single" w:sz="4" w:space="0" w:color="000000"/>
              <w:left w:val="single" w:sz="6" w:space="0" w:color="000000"/>
              <w:bottom w:val="single" w:sz="6" w:space="0" w:color="000000"/>
            </w:tcBorders>
          </w:tcPr>
          <w:p w14:paraId="0DFDBE59" w14:textId="77777777" w:rsidR="00046465" w:rsidRDefault="00046465">
            <w:pPr>
              <w:pStyle w:val="TableParagraph"/>
              <w:rPr>
                <w:rFonts w:ascii="Times New Roman"/>
                <w:sz w:val="20"/>
              </w:rPr>
            </w:pPr>
          </w:p>
        </w:tc>
      </w:tr>
      <w:tr w:rsidR="00046465" w14:paraId="0DFDBE5E" w14:textId="77777777">
        <w:trPr>
          <w:trHeight w:val="2313"/>
        </w:trPr>
        <w:tc>
          <w:tcPr>
            <w:tcW w:w="6480" w:type="dxa"/>
            <w:tcBorders>
              <w:top w:val="single" w:sz="6" w:space="0" w:color="000000"/>
              <w:bottom w:val="single" w:sz="6" w:space="0" w:color="000000"/>
              <w:right w:val="single" w:sz="6" w:space="0" w:color="000000"/>
            </w:tcBorders>
          </w:tcPr>
          <w:p w14:paraId="0DFDBE5B" w14:textId="77777777" w:rsidR="00046465" w:rsidRDefault="008134EB">
            <w:pPr>
              <w:pStyle w:val="TableParagraph"/>
              <w:spacing w:before="145"/>
              <w:ind w:left="974" w:right="105" w:hanging="442"/>
            </w:pPr>
            <w:r>
              <w:t>(b)</w:t>
            </w:r>
            <w:r>
              <w:rPr>
                <w:spacing w:val="80"/>
              </w:rPr>
              <w:t xml:space="preserve"> </w:t>
            </w:r>
            <w:r>
              <w:t>Calculate the amount of the withholdings for retirement costs based on 0.8 percent of basic pay for most employees for the selected pay period and document the</w:t>
            </w:r>
            <w:r>
              <w:rPr>
                <w:spacing w:val="-5"/>
              </w:rPr>
              <w:t xml:space="preserve"> </w:t>
            </w:r>
            <w:r>
              <w:t>amount.</w:t>
            </w:r>
            <w:r>
              <w:rPr>
                <w:spacing w:val="-5"/>
              </w:rPr>
              <w:t xml:space="preserve"> </w:t>
            </w:r>
            <w:r>
              <w:t>Compare</w:t>
            </w:r>
            <w:r>
              <w:rPr>
                <w:spacing w:val="-5"/>
              </w:rPr>
              <w:t xml:space="preserve"> </w:t>
            </w:r>
            <w:r>
              <w:t>to</w:t>
            </w:r>
            <w:r>
              <w:rPr>
                <w:spacing w:val="-4"/>
              </w:rPr>
              <w:t xml:space="preserve"> </w:t>
            </w:r>
            <w:r>
              <w:t>the</w:t>
            </w:r>
            <w:r>
              <w:rPr>
                <w:spacing w:val="-5"/>
              </w:rPr>
              <w:t xml:space="preserve"> </w:t>
            </w:r>
            <w:r>
              <w:t>actual</w:t>
            </w:r>
            <w:r>
              <w:rPr>
                <w:spacing w:val="-5"/>
              </w:rPr>
              <w:t xml:space="preserve"> </w:t>
            </w:r>
            <w:r>
              <w:t>amount</w:t>
            </w:r>
            <w:r>
              <w:rPr>
                <w:spacing w:val="-5"/>
              </w:rPr>
              <w:t xml:space="preserve"> </w:t>
            </w:r>
            <w:r>
              <w:t>withheld</w:t>
            </w:r>
            <w:r>
              <w:rPr>
                <w:spacing w:val="-5"/>
              </w:rPr>
              <w:t xml:space="preserve"> </w:t>
            </w:r>
            <w:r>
              <w:t>for the</w:t>
            </w:r>
            <w:r>
              <w:rPr>
                <w:spacing w:val="-2"/>
              </w:rPr>
              <w:t xml:space="preserve"> </w:t>
            </w:r>
            <w:r>
              <w:t>selected</w:t>
            </w:r>
            <w:r>
              <w:rPr>
                <w:spacing w:val="-3"/>
              </w:rPr>
              <w:t xml:space="preserve"> </w:t>
            </w:r>
            <w:r>
              <w:t>pay</w:t>
            </w:r>
            <w:r>
              <w:rPr>
                <w:spacing w:val="-2"/>
              </w:rPr>
              <w:t xml:space="preserve"> </w:t>
            </w:r>
            <w:r>
              <w:t>period,</w:t>
            </w:r>
            <w:r>
              <w:rPr>
                <w:spacing w:val="-3"/>
              </w:rPr>
              <w:t xml:space="preserve"> </w:t>
            </w:r>
            <w:r>
              <w:t>and</w:t>
            </w:r>
            <w:r>
              <w:rPr>
                <w:spacing w:val="-2"/>
              </w:rPr>
              <w:t xml:space="preserve"> </w:t>
            </w:r>
            <w:r>
              <w:t>obtain</w:t>
            </w:r>
            <w:r>
              <w:rPr>
                <w:spacing w:val="-2"/>
              </w:rPr>
              <w:t xml:space="preserve"> </w:t>
            </w:r>
            <w:r>
              <w:t>an</w:t>
            </w:r>
            <w:r>
              <w:rPr>
                <w:spacing w:val="-2"/>
              </w:rPr>
              <w:t xml:space="preserve"> </w:t>
            </w:r>
            <w:r>
              <w:t>explanation</w:t>
            </w:r>
            <w:r>
              <w:rPr>
                <w:spacing w:val="-2"/>
              </w:rPr>
              <w:t xml:space="preserve"> </w:t>
            </w:r>
            <w:r>
              <w:t>and examine</w:t>
            </w:r>
            <w:r>
              <w:rPr>
                <w:spacing w:val="-1"/>
              </w:rPr>
              <w:t xml:space="preserve"> </w:t>
            </w:r>
            <w:r>
              <w:t>support</w:t>
            </w:r>
            <w:r>
              <w:rPr>
                <w:spacing w:val="-1"/>
              </w:rPr>
              <w:t xml:space="preserve"> </w:t>
            </w:r>
            <w:r>
              <w:t>for</w:t>
            </w:r>
            <w:r>
              <w:rPr>
                <w:spacing w:val="-1"/>
              </w:rPr>
              <w:t xml:space="preserve"> </w:t>
            </w:r>
            <w:r>
              <w:t>any</w:t>
            </w:r>
            <w:r>
              <w:rPr>
                <w:spacing w:val="-1"/>
              </w:rPr>
              <w:t xml:space="preserve"> </w:t>
            </w:r>
            <w:r>
              <w:t>differences.</w:t>
            </w:r>
            <w:r>
              <w:rPr>
                <w:spacing w:val="-1"/>
              </w:rPr>
              <w:t xml:space="preserve"> </w:t>
            </w:r>
            <w:r>
              <w:t>See</w:t>
            </w:r>
            <w:r>
              <w:rPr>
                <w:spacing w:val="-1"/>
              </w:rPr>
              <w:t xml:space="preserve"> </w:t>
            </w:r>
            <w:r>
              <w:t>FAM</w:t>
            </w:r>
            <w:r>
              <w:rPr>
                <w:spacing w:val="-1"/>
              </w:rPr>
              <w:t xml:space="preserve"> </w:t>
            </w:r>
            <w:r>
              <w:t xml:space="preserve">811.01, Entity Withholdings from Employee Pay for Retirement </w:t>
            </w:r>
            <w:r>
              <w:rPr>
                <w:spacing w:val="-2"/>
              </w:rPr>
              <w:t>Benefits.</w:t>
            </w:r>
          </w:p>
        </w:tc>
        <w:tc>
          <w:tcPr>
            <w:tcW w:w="1440" w:type="dxa"/>
            <w:tcBorders>
              <w:top w:val="single" w:sz="6" w:space="0" w:color="000000"/>
              <w:left w:val="single" w:sz="6" w:space="0" w:color="000000"/>
              <w:bottom w:val="single" w:sz="6" w:space="0" w:color="000000"/>
              <w:right w:val="single" w:sz="6" w:space="0" w:color="000000"/>
            </w:tcBorders>
          </w:tcPr>
          <w:p w14:paraId="0DFDBE5C" w14:textId="77777777" w:rsidR="00046465" w:rsidRDefault="00046465">
            <w:pPr>
              <w:pStyle w:val="TableParagraph"/>
              <w:rPr>
                <w:rFonts w:ascii="Times New Roman"/>
                <w:sz w:val="20"/>
              </w:rPr>
            </w:pPr>
          </w:p>
        </w:tc>
        <w:tc>
          <w:tcPr>
            <w:tcW w:w="1440" w:type="dxa"/>
            <w:tcBorders>
              <w:top w:val="single" w:sz="6" w:space="0" w:color="000000"/>
              <w:left w:val="single" w:sz="6" w:space="0" w:color="000000"/>
              <w:bottom w:val="single" w:sz="6" w:space="0" w:color="000000"/>
            </w:tcBorders>
          </w:tcPr>
          <w:p w14:paraId="0DFDBE5D" w14:textId="77777777" w:rsidR="00046465" w:rsidRDefault="00046465">
            <w:pPr>
              <w:pStyle w:val="TableParagraph"/>
              <w:rPr>
                <w:rFonts w:ascii="Times New Roman"/>
                <w:sz w:val="20"/>
              </w:rPr>
            </w:pPr>
          </w:p>
        </w:tc>
      </w:tr>
    </w:tbl>
    <w:p w14:paraId="0DFDBE5F" w14:textId="77777777" w:rsidR="00046465" w:rsidRDefault="00046465">
      <w:pPr>
        <w:pStyle w:val="TableParagraph"/>
        <w:rPr>
          <w:rFonts w:ascii="Times New Roman"/>
          <w:sz w:val="20"/>
        </w:rPr>
        <w:sectPr w:rsidR="00046465">
          <w:pgSz w:w="12240" w:h="15840"/>
          <w:pgMar w:top="1340" w:right="720" w:bottom="940" w:left="1080" w:header="721" w:footer="742" w:gutter="0"/>
          <w:cols w:space="720"/>
        </w:sectPr>
      </w:pPr>
    </w:p>
    <w:p w14:paraId="0DFDBE60" w14:textId="77777777" w:rsidR="00046465" w:rsidRDefault="00046465">
      <w:pPr>
        <w:pStyle w:val="BodyText"/>
        <w:spacing w:before="9"/>
        <w:rPr>
          <w:sz w:val="11"/>
        </w:rPr>
      </w:pPr>
    </w:p>
    <w:tbl>
      <w:tblPr>
        <w:tblW w:w="0" w:type="auto"/>
        <w:tblInd w:w="40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80"/>
        <w:gridCol w:w="1440"/>
        <w:gridCol w:w="1440"/>
      </w:tblGrid>
      <w:tr w:rsidR="00046465" w14:paraId="0DFDBE62" w14:textId="77777777">
        <w:trPr>
          <w:trHeight w:val="1335"/>
        </w:trPr>
        <w:tc>
          <w:tcPr>
            <w:tcW w:w="9360" w:type="dxa"/>
            <w:gridSpan w:val="3"/>
          </w:tcPr>
          <w:p w14:paraId="0DFDBE61" w14:textId="77777777" w:rsidR="00046465" w:rsidRDefault="008134EB">
            <w:pPr>
              <w:pStyle w:val="TableParagraph"/>
              <w:tabs>
                <w:tab w:val="left" w:pos="9041"/>
              </w:tabs>
              <w:spacing w:before="7" w:line="390" w:lineRule="atLeast"/>
              <w:ind w:left="104" w:right="270"/>
              <w:jc w:val="both"/>
            </w:pPr>
            <w:r>
              <w:t>Name of entity:</w:t>
            </w:r>
            <w:r>
              <w:rPr>
                <w:spacing w:val="178"/>
              </w:rPr>
              <w:t xml:space="preserve"> </w:t>
            </w:r>
            <w:r>
              <w:rPr>
                <w:u w:val="single"/>
              </w:rPr>
              <w:tab/>
            </w:r>
            <w:r>
              <w:t xml:space="preserve"> Audit period:</w:t>
            </w:r>
            <w:r>
              <w:rPr>
                <w:spacing w:val="180"/>
              </w:rPr>
              <w:t xml:space="preserve"> </w:t>
            </w:r>
            <w:r>
              <w:rPr>
                <w:u w:val="single"/>
              </w:rPr>
              <w:tab/>
            </w:r>
            <w:r>
              <w:t xml:space="preserve"> Reviewed by:</w:t>
            </w:r>
            <w:r>
              <w:rPr>
                <w:spacing w:val="93"/>
              </w:rPr>
              <w:t xml:space="preserve"> </w:t>
            </w:r>
            <w:r>
              <w:rPr>
                <w:u w:val="single"/>
              </w:rPr>
              <w:tab/>
            </w:r>
          </w:p>
        </w:tc>
      </w:tr>
      <w:tr w:rsidR="00046465" w14:paraId="0DFDBE68" w14:textId="77777777">
        <w:trPr>
          <w:trHeight w:val="793"/>
        </w:trPr>
        <w:tc>
          <w:tcPr>
            <w:tcW w:w="6480" w:type="dxa"/>
            <w:tcBorders>
              <w:right w:val="single" w:sz="4" w:space="0" w:color="000000"/>
            </w:tcBorders>
          </w:tcPr>
          <w:p w14:paraId="0DFDBE63" w14:textId="77777777" w:rsidR="00046465" w:rsidRDefault="00046465">
            <w:pPr>
              <w:pStyle w:val="TableParagraph"/>
              <w:spacing w:before="144"/>
            </w:pPr>
          </w:p>
          <w:p w14:paraId="0DFDBE64" w14:textId="77777777" w:rsidR="00046465" w:rsidRDefault="008134EB">
            <w:pPr>
              <w:pStyle w:val="TableParagraph"/>
              <w:ind w:left="104"/>
              <w:rPr>
                <w:b/>
              </w:rPr>
            </w:pPr>
            <w:r>
              <w:rPr>
                <w:b/>
              </w:rPr>
              <w:t>Audit</w:t>
            </w:r>
            <w:r>
              <w:rPr>
                <w:b/>
                <w:spacing w:val="-7"/>
              </w:rPr>
              <w:t xml:space="preserve"> </w:t>
            </w:r>
            <w:r>
              <w:rPr>
                <w:b/>
                <w:spacing w:val="-2"/>
              </w:rPr>
              <w:t>procedures</w:t>
            </w:r>
          </w:p>
        </w:tc>
        <w:tc>
          <w:tcPr>
            <w:tcW w:w="1440" w:type="dxa"/>
            <w:tcBorders>
              <w:left w:val="single" w:sz="4" w:space="0" w:color="000000"/>
              <w:right w:val="single" w:sz="4" w:space="0" w:color="000000"/>
            </w:tcBorders>
          </w:tcPr>
          <w:p w14:paraId="0DFDBE65" w14:textId="77777777" w:rsidR="00046465" w:rsidRDefault="008134EB">
            <w:pPr>
              <w:pStyle w:val="TableParagraph"/>
              <w:spacing w:before="144"/>
              <w:ind w:left="122" w:right="151"/>
              <w:rPr>
                <w:b/>
              </w:rPr>
            </w:pPr>
            <w:r>
              <w:rPr>
                <w:b/>
                <w:spacing w:val="-2"/>
              </w:rPr>
              <w:t xml:space="preserve">Initials/ </w:t>
            </w:r>
            <w:r>
              <w:rPr>
                <w:b/>
                <w:spacing w:val="-4"/>
              </w:rPr>
              <w:t>date</w:t>
            </w:r>
          </w:p>
        </w:tc>
        <w:tc>
          <w:tcPr>
            <w:tcW w:w="1440" w:type="dxa"/>
            <w:tcBorders>
              <w:left w:val="single" w:sz="4" w:space="0" w:color="000000"/>
            </w:tcBorders>
          </w:tcPr>
          <w:p w14:paraId="0DFDBE66" w14:textId="77777777" w:rsidR="00046465" w:rsidRDefault="00046465">
            <w:pPr>
              <w:pStyle w:val="TableParagraph"/>
              <w:spacing w:before="144"/>
            </w:pPr>
          </w:p>
          <w:p w14:paraId="0DFDBE67" w14:textId="77777777" w:rsidR="00046465" w:rsidRDefault="008134EB">
            <w:pPr>
              <w:pStyle w:val="TableParagraph"/>
              <w:ind w:left="122"/>
              <w:rPr>
                <w:b/>
              </w:rPr>
            </w:pPr>
            <w:r>
              <w:rPr>
                <w:b/>
              </w:rPr>
              <w:t>Doc.</w:t>
            </w:r>
            <w:r>
              <w:rPr>
                <w:b/>
                <w:spacing w:val="-6"/>
              </w:rPr>
              <w:t xml:space="preserve"> </w:t>
            </w:r>
            <w:r>
              <w:rPr>
                <w:b/>
                <w:spacing w:val="-4"/>
              </w:rPr>
              <w:t>ref.</w:t>
            </w:r>
          </w:p>
        </w:tc>
      </w:tr>
      <w:tr w:rsidR="00046465" w14:paraId="0DFDBE6C" w14:textId="77777777">
        <w:trPr>
          <w:trHeight w:val="2059"/>
        </w:trPr>
        <w:tc>
          <w:tcPr>
            <w:tcW w:w="6480" w:type="dxa"/>
            <w:tcBorders>
              <w:bottom w:val="single" w:sz="6" w:space="0" w:color="000000"/>
              <w:right w:val="single" w:sz="6" w:space="0" w:color="000000"/>
            </w:tcBorders>
          </w:tcPr>
          <w:p w14:paraId="0DFDBE69" w14:textId="77777777" w:rsidR="00046465" w:rsidRDefault="008134EB">
            <w:pPr>
              <w:pStyle w:val="TableParagraph"/>
              <w:tabs>
                <w:tab w:val="left" w:pos="1064"/>
              </w:tabs>
              <w:spacing w:before="144"/>
              <w:ind w:left="1064" w:right="173" w:hanging="600"/>
            </w:pPr>
            <w:r>
              <w:rPr>
                <w:spacing w:val="-4"/>
              </w:rPr>
              <w:t>(c)</w:t>
            </w:r>
            <w:r>
              <w:tab/>
              <w:t>Determine whether the entity contributed the correct amount</w:t>
            </w:r>
            <w:r>
              <w:rPr>
                <w:spacing w:val="-6"/>
              </w:rPr>
              <w:t xml:space="preserve"> </w:t>
            </w:r>
            <w:r>
              <w:t>for</w:t>
            </w:r>
            <w:r>
              <w:rPr>
                <w:spacing w:val="-6"/>
              </w:rPr>
              <w:t xml:space="preserve"> </w:t>
            </w:r>
            <w:r>
              <w:t>the</w:t>
            </w:r>
            <w:r>
              <w:rPr>
                <w:spacing w:val="-6"/>
              </w:rPr>
              <w:t xml:space="preserve"> </w:t>
            </w:r>
            <w:r>
              <w:t>employee’s</w:t>
            </w:r>
            <w:r>
              <w:rPr>
                <w:spacing w:val="-6"/>
              </w:rPr>
              <w:t xml:space="preserve"> </w:t>
            </w:r>
            <w:r>
              <w:t>retirement</w:t>
            </w:r>
            <w:r>
              <w:rPr>
                <w:spacing w:val="-6"/>
              </w:rPr>
              <w:t xml:space="preserve"> </w:t>
            </w:r>
            <w:r>
              <w:t>for</w:t>
            </w:r>
            <w:r>
              <w:rPr>
                <w:spacing w:val="-6"/>
              </w:rPr>
              <w:t xml:space="preserve"> </w:t>
            </w:r>
            <w:r>
              <w:t>the</w:t>
            </w:r>
            <w:r>
              <w:rPr>
                <w:spacing w:val="-6"/>
              </w:rPr>
              <w:t xml:space="preserve"> </w:t>
            </w:r>
            <w:r>
              <w:t>selected pay period. Obtain an explanation and examine support for any differences between the entity contributions</w:t>
            </w:r>
            <w:r>
              <w:rPr>
                <w:spacing w:val="-4"/>
              </w:rPr>
              <w:t xml:space="preserve"> </w:t>
            </w:r>
            <w:r>
              <w:t>and</w:t>
            </w:r>
            <w:r>
              <w:rPr>
                <w:spacing w:val="-4"/>
              </w:rPr>
              <w:t xml:space="preserve"> </w:t>
            </w:r>
            <w:r>
              <w:t>the</w:t>
            </w:r>
            <w:r>
              <w:rPr>
                <w:spacing w:val="-4"/>
              </w:rPr>
              <w:t xml:space="preserve"> </w:t>
            </w:r>
            <w:r>
              <w:t>amount</w:t>
            </w:r>
            <w:r>
              <w:rPr>
                <w:spacing w:val="-4"/>
              </w:rPr>
              <w:t xml:space="preserve"> </w:t>
            </w:r>
            <w:r>
              <w:t>calculated</w:t>
            </w:r>
            <w:r>
              <w:rPr>
                <w:spacing w:val="-4"/>
              </w:rPr>
              <w:t xml:space="preserve"> </w:t>
            </w:r>
            <w:r>
              <w:t>using</w:t>
            </w:r>
            <w:r>
              <w:rPr>
                <w:spacing w:val="-5"/>
              </w:rPr>
              <w:t xml:space="preserve"> </w:t>
            </w:r>
            <w:r>
              <w:t>OPM’s normal-cost percentage. See FAM 811.02, Entity Contributions for Employee Retirement Benefits.</w:t>
            </w:r>
          </w:p>
        </w:tc>
        <w:tc>
          <w:tcPr>
            <w:tcW w:w="1440" w:type="dxa"/>
            <w:tcBorders>
              <w:left w:val="single" w:sz="6" w:space="0" w:color="000000"/>
              <w:bottom w:val="single" w:sz="6" w:space="0" w:color="000000"/>
              <w:right w:val="single" w:sz="6" w:space="0" w:color="000000"/>
            </w:tcBorders>
          </w:tcPr>
          <w:p w14:paraId="0DFDBE6A" w14:textId="77777777" w:rsidR="00046465" w:rsidRDefault="00046465">
            <w:pPr>
              <w:pStyle w:val="TableParagraph"/>
              <w:rPr>
                <w:rFonts w:ascii="Times New Roman"/>
                <w:sz w:val="20"/>
              </w:rPr>
            </w:pPr>
          </w:p>
        </w:tc>
        <w:tc>
          <w:tcPr>
            <w:tcW w:w="1440" w:type="dxa"/>
            <w:tcBorders>
              <w:left w:val="single" w:sz="6" w:space="0" w:color="000000"/>
              <w:bottom w:val="single" w:sz="6" w:space="0" w:color="000000"/>
            </w:tcBorders>
          </w:tcPr>
          <w:p w14:paraId="0DFDBE6B" w14:textId="77777777" w:rsidR="00046465" w:rsidRDefault="00046465">
            <w:pPr>
              <w:pStyle w:val="TableParagraph"/>
              <w:rPr>
                <w:rFonts w:ascii="Times New Roman"/>
                <w:sz w:val="20"/>
              </w:rPr>
            </w:pPr>
          </w:p>
        </w:tc>
      </w:tr>
      <w:tr w:rsidR="00046465" w14:paraId="0DFDBE75" w14:textId="77777777">
        <w:trPr>
          <w:trHeight w:val="8598"/>
        </w:trPr>
        <w:tc>
          <w:tcPr>
            <w:tcW w:w="6480" w:type="dxa"/>
            <w:tcBorders>
              <w:top w:val="single" w:sz="6" w:space="0" w:color="000000"/>
              <w:bottom w:val="single" w:sz="6" w:space="0" w:color="000000"/>
              <w:right w:val="single" w:sz="6" w:space="0" w:color="000000"/>
            </w:tcBorders>
          </w:tcPr>
          <w:p w14:paraId="0DFDBE6D" w14:textId="77777777" w:rsidR="00046465" w:rsidRDefault="008134EB">
            <w:pPr>
              <w:pStyle w:val="TableParagraph"/>
              <w:numPr>
                <w:ilvl w:val="0"/>
                <w:numId w:val="144"/>
              </w:numPr>
              <w:tabs>
                <w:tab w:val="left" w:pos="409"/>
                <w:tab w:val="left" w:pos="464"/>
              </w:tabs>
              <w:spacing w:before="145"/>
              <w:ind w:right="455" w:hanging="360"/>
            </w:pPr>
            <w:r>
              <w:t>To determine if amounts contributed by the entity are charged</w:t>
            </w:r>
            <w:r>
              <w:rPr>
                <w:spacing w:val="-5"/>
              </w:rPr>
              <w:t xml:space="preserve"> </w:t>
            </w:r>
            <w:r>
              <w:t>to</w:t>
            </w:r>
            <w:r>
              <w:rPr>
                <w:spacing w:val="-5"/>
              </w:rPr>
              <w:t xml:space="preserve"> </w:t>
            </w:r>
            <w:r>
              <w:t>the</w:t>
            </w:r>
            <w:r>
              <w:rPr>
                <w:spacing w:val="-5"/>
              </w:rPr>
              <w:t xml:space="preserve"> </w:t>
            </w:r>
            <w:r>
              <w:t>appropriation</w:t>
            </w:r>
            <w:r>
              <w:rPr>
                <w:spacing w:val="-4"/>
              </w:rPr>
              <w:t xml:space="preserve"> </w:t>
            </w:r>
            <w:r>
              <w:t>account</w:t>
            </w:r>
            <w:r>
              <w:rPr>
                <w:spacing w:val="-5"/>
              </w:rPr>
              <w:t xml:space="preserve"> </w:t>
            </w:r>
            <w:r>
              <w:t>or</w:t>
            </w:r>
            <w:r>
              <w:rPr>
                <w:spacing w:val="-5"/>
              </w:rPr>
              <w:t xml:space="preserve"> </w:t>
            </w:r>
            <w:r>
              <w:t>fund</w:t>
            </w:r>
            <w:r>
              <w:rPr>
                <w:spacing w:val="-5"/>
              </w:rPr>
              <w:t xml:space="preserve"> </w:t>
            </w:r>
            <w:r>
              <w:t>used</w:t>
            </w:r>
            <w:r>
              <w:rPr>
                <w:spacing w:val="-5"/>
              </w:rPr>
              <w:t xml:space="preserve"> </w:t>
            </w:r>
            <w:r>
              <w:t>to</w:t>
            </w:r>
            <w:r>
              <w:rPr>
                <w:spacing w:val="-5"/>
              </w:rPr>
              <w:t xml:space="preserve"> </w:t>
            </w:r>
            <w:r>
              <w:t xml:space="preserve">pay the employee for the selected pay period, complete the </w:t>
            </w:r>
            <w:r>
              <w:rPr>
                <w:spacing w:val="-2"/>
              </w:rPr>
              <w:t>following:</w:t>
            </w:r>
          </w:p>
          <w:p w14:paraId="0DFDBE6E" w14:textId="77777777" w:rsidR="00046465" w:rsidRDefault="008134EB">
            <w:pPr>
              <w:pStyle w:val="TableParagraph"/>
              <w:numPr>
                <w:ilvl w:val="1"/>
                <w:numId w:val="144"/>
              </w:numPr>
              <w:tabs>
                <w:tab w:val="left" w:pos="968"/>
                <w:tab w:val="left" w:pos="971"/>
              </w:tabs>
              <w:spacing w:before="143"/>
              <w:ind w:right="997" w:hanging="443"/>
            </w:pPr>
            <w:r>
              <w:t>Review</w:t>
            </w:r>
            <w:r>
              <w:rPr>
                <w:spacing w:val="-5"/>
              </w:rPr>
              <w:t xml:space="preserve"> </w:t>
            </w:r>
            <w:r>
              <w:t>the</w:t>
            </w:r>
            <w:r>
              <w:rPr>
                <w:spacing w:val="-6"/>
              </w:rPr>
              <w:t xml:space="preserve"> </w:t>
            </w:r>
            <w:r>
              <w:t>accounting</w:t>
            </w:r>
            <w:r>
              <w:rPr>
                <w:spacing w:val="-7"/>
              </w:rPr>
              <w:t xml:space="preserve"> </w:t>
            </w:r>
            <w:r>
              <w:t>codes</w:t>
            </w:r>
            <w:r>
              <w:rPr>
                <w:spacing w:val="-6"/>
              </w:rPr>
              <w:t xml:space="preserve"> </w:t>
            </w:r>
            <w:r>
              <w:t>indicated</w:t>
            </w:r>
            <w:r>
              <w:rPr>
                <w:spacing w:val="-6"/>
              </w:rPr>
              <w:t xml:space="preserve"> </w:t>
            </w:r>
            <w:r>
              <w:t>on</w:t>
            </w:r>
            <w:r>
              <w:rPr>
                <w:spacing w:val="-6"/>
              </w:rPr>
              <w:t xml:space="preserve"> </w:t>
            </w:r>
            <w:r>
              <w:t>the supporting documentation.</w:t>
            </w:r>
          </w:p>
          <w:p w14:paraId="0DFDBE6F" w14:textId="77777777" w:rsidR="00046465" w:rsidRDefault="008134EB">
            <w:pPr>
              <w:pStyle w:val="TableParagraph"/>
              <w:numPr>
                <w:ilvl w:val="1"/>
                <w:numId w:val="144"/>
              </w:numPr>
              <w:tabs>
                <w:tab w:val="left" w:pos="969"/>
                <w:tab w:val="left" w:pos="972"/>
              </w:tabs>
              <w:spacing w:before="144"/>
              <w:ind w:left="969" w:right="148" w:hanging="443"/>
            </w:pPr>
            <w:r>
              <w:t>Determine whether the accounting codes used to record the entity contribution are the same as those used for the related payroll expenditure and whether the codes and amounts agree to those recorded in the budgetary accounting records. (This step assumes other</w:t>
            </w:r>
            <w:r>
              <w:rPr>
                <w:spacing w:val="-6"/>
              </w:rPr>
              <w:t xml:space="preserve"> </w:t>
            </w:r>
            <w:r>
              <w:t>payroll</w:t>
            </w:r>
            <w:r>
              <w:rPr>
                <w:spacing w:val="-7"/>
              </w:rPr>
              <w:t xml:space="preserve"> </w:t>
            </w:r>
            <w:r>
              <w:t>testing</w:t>
            </w:r>
            <w:r>
              <w:rPr>
                <w:spacing w:val="-6"/>
              </w:rPr>
              <w:t xml:space="preserve"> </w:t>
            </w:r>
            <w:r>
              <w:t>would</w:t>
            </w:r>
            <w:r>
              <w:rPr>
                <w:spacing w:val="-6"/>
              </w:rPr>
              <w:t xml:space="preserve"> </w:t>
            </w:r>
            <w:r>
              <w:t>have</w:t>
            </w:r>
            <w:r>
              <w:rPr>
                <w:spacing w:val="-6"/>
              </w:rPr>
              <w:t xml:space="preserve"> </w:t>
            </w:r>
            <w:r>
              <w:t>included</w:t>
            </w:r>
            <w:r>
              <w:rPr>
                <w:spacing w:val="-6"/>
              </w:rPr>
              <w:t xml:space="preserve"> </w:t>
            </w:r>
            <w:r>
              <w:t>checking</w:t>
            </w:r>
            <w:r>
              <w:rPr>
                <w:spacing w:val="-6"/>
              </w:rPr>
              <w:t xml:space="preserve"> </w:t>
            </w:r>
            <w:r>
              <w:t>that the</w:t>
            </w:r>
            <w:r>
              <w:rPr>
                <w:spacing w:val="-7"/>
              </w:rPr>
              <w:t xml:space="preserve"> </w:t>
            </w:r>
            <w:r>
              <w:t>codes</w:t>
            </w:r>
            <w:r>
              <w:rPr>
                <w:spacing w:val="-7"/>
              </w:rPr>
              <w:t xml:space="preserve"> </w:t>
            </w:r>
            <w:r>
              <w:t>represent</w:t>
            </w:r>
            <w:r>
              <w:rPr>
                <w:spacing w:val="-7"/>
              </w:rPr>
              <w:t xml:space="preserve"> </w:t>
            </w:r>
            <w:r>
              <w:t>the</w:t>
            </w:r>
            <w:r>
              <w:rPr>
                <w:spacing w:val="-8"/>
              </w:rPr>
              <w:t xml:space="preserve"> </w:t>
            </w:r>
            <w:r>
              <w:t>proper</w:t>
            </w:r>
            <w:r>
              <w:rPr>
                <w:spacing w:val="-7"/>
              </w:rPr>
              <w:t xml:space="preserve"> </w:t>
            </w:r>
            <w:r>
              <w:t>appropriation</w:t>
            </w:r>
            <w:r>
              <w:rPr>
                <w:spacing w:val="-6"/>
              </w:rPr>
              <w:t xml:space="preserve"> </w:t>
            </w:r>
            <w:r>
              <w:rPr>
                <w:spacing w:val="-2"/>
              </w:rPr>
              <w:t>account.)</w:t>
            </w:r>
          </w:p>
          <w:p w14:paraId="0DFDBE70" w14:textId="77777777" w:rsidR="00046465" w:rsidRDefault="008134EB">
            <w:pPr>
              <w:pStyle w:val="TableParagraph"/>
              <w:numPr>
                <w:ilvl w:val="1"/>
                <w:numId w:val="144"/>
              </w:numPr>
              <w:tabs>
                <w:tab w:val="left" w:pos="969"/>
                <w:tab w:val="left" w:pos="973"/>
              </w:tabs>
              <w:spacing w:before="144"/>
              <w:ind w:left="969" w:right="232" w:hanging="443"/>
            </w:pPr>
            <w:r>
              <w:t>Consider the procedures performed on the entity’s budget controls over summarizing expenditure balances,</w:t>
            </w:r>
            <w:r>
              <w:rPr>
                <w:spacing w:val="-5"/>
              </w:rPr>
              <w:t xml:space="preserve"> </w:t>
            </w:r>
            <w:r>
              <w:t>as</w:t>
            </w:r>
            <w:r>
              <w:rPr>
                <w:spacing w:val="-5"/>
              </w:rPr>
              <w:t xml:space="preserve"> </w:t>
            </w:r>
            <w:r>
              <w:t>discussed</w:t>
            </w:r>
            <w:r>
              <w:rPr>
                <w:spacing w:val="-6"/>
              </w:rPr>
              <w:t xml:space="preserve"> </w:t>
            </w:r>
            <w:r>
              <w:t>in</w:t>
            </w:r>
            <w:r>
              <w:rPr>
                <w:spacing w:val="-5"/>
              </w:rPr>
              <w:t xml:space="preserve"> </w:t>
            </w:r>
            <w:r>
              <w:t>FAM</w:t>
            </w:r>
            <w:r>
              <w:rPr>
                <w:spacing w:val="-6"/>
              </w:rPr>
              <w:t xml:space="preserve"> </w:t>
            </w:r>
            <w:r>
              <w:t>395</w:t>
            </w:r>
            <w:r>
              <w:rPr>
                <w:spacing w:val="-5"/>
              </w:rPr>
              <w:t xml:space="preserve"> </w:t>
            </w:r>
            <w:r>
              <w:t>F,</w:t>
            </w:r>
            <w:r>
              <w:rPr>
                <w:spacing w:val="-5"/>
              </w:rPr>
              <w:t xml:space="preserve"> </w:t>
            </w:r>
            <w:r>
              <w:t>Budget</w:t>
            </w:r>
            <w:r>
              <w:rPr>
                <w:spacing w:val="-5"/>
              </w:rPr>
              <w:t xml:space="preserve"> </w:t>
            </w:r>
            <w:r>
              <w:t xml:space="preserve">Control </w:t>
            </w:r>
            <w:r>
              <w:rPr>
                <w:spacing w:val="-2"/>
              </w:rPr>
              <w:t>Objectives.</w:t>
            </w:r>
          </w:p>
          <w:p w14:paraId="0DFDBE71" w14:textId="77777777" w:rsidR="00046465" w:rsidRDefault="008134EB">
            <w:pPr>
              <w:pStyle w:val="TableParagraph"/>
              <w:spacing w:before="144"/>
              <w:ind w:left="968" w:right="191"/>
            </w:pPr>
            <w:r>
              <w:t xml:space="preserve">If the auditor has assessed the entity’s controls as </w:t>
            </w:r>
            <w:r>
              <w:rPr>
                <w:u w:val="single"/>
              </w:rPr>
              <w:t>effective</w:t>
            </w:r>
            <w:r>
              <w:t xml:space="preserve"> in achieving the control objective of summarizing expenditure balances, then further procedures are not necessary to obtain assurance as to</w:t>
            </w:r>
            <w:r>
              <w:rPr>
                <w:spacing w:val="-4"/>
              </w:rPr>
              <w:t xml:space="preserve"> </w:t>
            </w:r>
            <w:r>
              <w:t>whether</w:t>
            </w:r>
            <w:r>
              <w:rPr>
                <w:spacing w:val="-4"/>
              </w:rPr>
              <w:t xml:space="preserve"> </w:t>
            </w:r>
            <w:r>
              <w:t>the</w:t>
            </w:r>
            <w:r>
              <w:rPr>
                <w:spacing w:val="-4"/>
              </w:rPr>
              <w:t xml:space="preserve"> </w:t>
            </w:r>
            <w:r>
              <w:t>entity’s</w:t>
            </w:r>
            <w:r>
              <w:rPr>
                <w:spacing w:val="-4"/>
              </w:rPr>
              <w:t xml:space="preserve"> </w:t>
            </w:r>
            <w:r>
              <w:t>contributions</w:t>
            </w:r>
            <w:r>
              <w:rPr>
                <w:spacing w:val="-5"/>
              </w:rPr>
              <w:t xml:space="preserve"> </w:t>
            </w:r>
            <w:r>
              <w:t>are</w:t>
            </w:r>
            <w:r>
              <w:rPr>
                <w:spacing w:val="-4"/>
              </w:rPr>
              <w:t xml:space="preserve"> </w:t>
            </w:r>
            <w:r>
              <w:t>paid</w:t>
            </w:r>
            <w:r>
              <w:rPr>
                <w:spacing w:val="-4"/>
              </w:rPr>
              <w:t xml:space="preserve"> </w:t>
            </w:r>
            <w:r>
              <w:t>out</w:t>
            </w:r>
            <w:r>
              <w:rPr>
                <w:spacing w:val="-5"/>
              </w:rPr>
              <w:t xml:space="preserve"> </w:t>
            </w:r>
            <w:r>
              <w:t>of</w:t>
            </w:r>
            <w:r>
              <w:rPr>
                <w:spacing w:val="-4"/>
              </w:rPr>
              <w:t xml:space="preserve"> </w:t>
            </w:r>
            <w:r>
              <w:t>the proper appropriation account.</w:t>
            </w:r>
          </w:p>
          <w:p w14:paraId="0DFDBE72" w14:textId="77777777" w:rsidR="00046465" w:rsidRDefault="008134EB">
            <w:pPr>
              <w:pStyle w:val="TableParagraph"/>
              <w:spacing w:before="144"/>
              <w:ind w:left="968" w:right="125"/>
            </w:pPr>
            <w:r>
              <w:t xml:space="preserve">If the auditor has assessed the controls as </w:t>
            </w:r>
            <w:r>
              <w:rPr>
                <w:u w:val="single"/>
              </w:rPr>
              <w:t>ineffective</w:t>
            </w:r>
            <w:r>
              <w:t>, then the auditor should perform procedures to determine</w:t>
            </w:r>
            <w:r>
              <w:rPr>
                <w:spacing w:val="-7"/>
              </w:rPr>
              <w:t xml:space="preserve"> </w:t>
            </w:r>
            <w:r>
              <w:t>whether</w:t>
            </w:r>
            <w:r>
              <w:rPr>
                <w:spacing w:val="-7"/>
              </w:rPr>
              <w:t xml:space="preserve"> </w:t>
            </w:r>
            <w:r>
              <w:t>the</w:t>
            </w:r>
            <w:r>
              <w:rPr>
                <w:spacing w:val="-7"/>
              </w:rPr>
              <w:t xml:space="preserve"> </w:t>
            </w:r>
            <w:r>
              <w:t>entity</w:t>
            </w:r>
            <w:r>
              <w:rPr>
                <w:spacing w:val="-7"/>
              </w:rPr>
              <w:t xml:space="preserve"> </w:t>
            </w:r>
            <w:r>
              <w:t>has</w:t>
            </w:r>
            <w:r>
              <w:rPr>
                <w:spacing w:val="-7"/>
              </w:rPr>
              <w:t xml:space="preserve"> </w:t>
            </w:r>
            <w:r>
              <w:t>properly</w:t>
            </w:r>
            <w:r>
              <w:rPr>
                <w:spacing w:val="-7"/>
              </w:rPr>
              <w:t xml:space="preserve"> </w:t>
            </w:r>
            <w:r>
              <w:t>summarized the</w:t>
            </w:r>
            <w:r>
              <w:rPr>
                <w:spacing w:val="-2"/>
              </w:rPr>
              <w:t xml:space="preserve"> </w:t>
            </w:r>
            <w:r>
              <w:t>expenditure</w:t>
            </w:r>
            <w:r>
              <w:rPr>
                <w:spacing w:val="-2"/>
              </w:rPr>
              <w:t xml:space="preserve"> </w:t>
            </w:r>
            <w:r>
              <w:t>balances,</w:t>
            </w:r>
            <w:r>
              <w:rPr>
                <w:spacing w:val="-2"/>
              </w:rPr>
              <w:t xml:space="preserve"> </w:t>
            </w:r>
            <w:r>
              <w:t>as</w:t>
            </w:r>
            <w:r>
              <w:rPr>
                <w:spacing w:val="-2"/>
              </w:rPr>
              <w:t xml:space="preserve"> </w:t>
            </w:r>
            <w:r>
              <w:t>described</w:t>
            </w:r>
            <w:r>
              <w:rPr>
                <w:spacing w:val="-2"/>
              </w:rPr>
              <w:t xml:space="preserve"> </w:t>
            </w:r>
            <w:r>
              <w:t>in</w:t>
            </w:r>
            <w:r>
              <w:rPr>
                <w:spacing w:val="-2"/>
              </w:rPr>
              <w:t xml:space="preserve"> </w:t>
            </w:r>
            <w:r>
              <w:t>FAM</w:t>
            </w:r>
            <w:r>
              <w:rPr>
                <w:spacing w:val="-3"/>
              </w:rPr>
              <w:t xml:space="preserve"> </w:t>
            </w:r>
            <w:r>
              <w:t>495</w:t>
            </w:r>
            <w:r>
              <w:rPr>
                <w:spacing w:val="-2"/>
              </w:rPr>
              <w:t xml:space="preserve"> </w:t>
            </w:r>
            <w:r>
              <w:t>B, Example Procedures for Tests of Budget Information. See FAM 811.02, Entity Contributions for Employee Retirement Benefits.</w:t>
            </w:r>
          </w:p>
        </w:tc>
        <w:tc>
          <w:tcPr>
            <w:tcW w:w="1440" w:type="dxa"/>
            <w:tcBorders>
              <w:top w:val="single" w:sz="6" w:space="0" w:color="000000"/>
              <w:left w:val="single" w:sz="6" w:space="0" w:color="000000"/>
              <w:bottom w:val="single" w:sz="6" w:space="0" w:color="000000"/>
              <w:right w:val="single" w:sz="6" w:space="0" w:color="000000"/>
            </w:tcBorders>
          </w:tcPr>
          <w:p w14:paraId="0DFDBE73" w14:textId="77777777" w:rsidR="00046465" w:rsidRDefault="00046465">
            <w:pPr>
              <w:pStyle w:val="TableParagraph"/>
              <w:rPr>
                <w:rFonts w:ascii="Times New Roman"/>
                <w:sz w:val="20"/>
              </w:rPr>
            </w:pPr>
          </w:p>
        </w:tc>
        <w:tc>
          <w:tcPr>
            <w:tcW w:w="1440" w:type="dxa"/>
            <w:tcBorders>
              <w:top w:val="single" w:sz="6" w:space="0" w:color="000000"/>
              <w:left w:val="single" w:sz="6" w:space="0" w:color="000000"/>
              <w:bottom w:val="single" w:sz="6" w:space="0" w:color="000000"/>
            </w:tcBorders>
          </w:tcPr>
          <w:p w14:paraId="0DFDBE74" w14:textId="77777777" w:rsidR="00046465" w:rsidRDefault="00046465">
            <w:pPr>
              <w:pStyle w:val="TableParagraph"/>
              <w:rPr>
                <w:rFonts w:ascii="Times New Roman"/>
                <w:sz w:val="20"/>
              </w:rPr>
            </w:pPr>
          </w:p>
        </w:tc>
      </w:tr>
    </w:tbl>
    <w:p w14:paraId="0DFDBE76" w14:textId="77777777" w:rsidR="00046465" w:rsidRDefault="00046465">
      <w:pPr>
        <w:pStyle w:val="TableParagraph"/>
        <w:rPr>
          <w:rFonts w:ascii="Times New Roman"/>
          <w:sz w:val="20"/>
        </w:rPr>
        <w:sectPr w:rsidR="00046465">
          <w:pgSz w:w="12240" w:h="15840"/>
          <w:pgMar w:top="1340" w:right="720" w:bottom="940" w:left="1080" w:header="721" w:footer="742" w:gutter="0"/>
          <w:cols w:space="720"/>
        </w:sectPr>
      </w:pPr>
    </w:p>
    <w:p w14:paraId="0DFDBE77" w14:textId="77777777" w:rsidR="00046465" w:rsidRDefault="00046465">
      <w:pPr>
        <w:pStyle w:val="BodyText"/>
        <w:spacing w:before="9"/>
        <w:rPr>
          <w:sz w:val="11"/>
        </w:rPr>
      </w:pPr>
    </w:p>
    <w:tbl>
      <w:tblPr>
        <w:tblW w:w="0" w:type="auto"/>
        <w:tblInd w:w="40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480"/>
        <w:gridCol w:w="1440"/>
        <w:gridCol w:w="1440"/>
      </w:tblGrid>
      <w:tr w:rsidR="00046465" w14:paraId="0DFDBE79" w14:textId="77777777">
        <w:trPr>
          <w:trHeight w:val="1335"/>
        </w:trPr>
        <w:tc>
          <w:tcPr>
            <w:tcW w:w="9360" w:type="dxa"/>
            <w:gridSpan w:val="3"/>
          </w:tcPr>
          <w:p w14:paraId="0DFDBE78" w14:textId="77777777" w:rsidR="00046465" w:rsidRDefault="008134EB">
            <w:pPr>
              <w:pStyle w:val="TableParagraph"/>
              <w:tabs>
                <w:tab w:val="left" w:pos="9041"/>
              </w:tabs>
              <w:spacing w:before="7" w:line="390" w:lineRule="atLeast"/>
              <w:ind w:left="104" w:right="270"/>
              <w:jc w:val="both"/>
            </w:pPr>
            <w:r>
              <w:t>Name of entity:</w:t>
            </w:r>
            <w:r>
              <w:rPr>
                <w:spacing w:val="178"/>
              </w:rPr>
              <w:t xml:space="preserve"> </w:t>
            </w:r>
            <w:r>
              <w:rPr>
                <w:u w:val="single"/>
              </w:rPr>
              <w:tab/>
            </w:r>
            <w:r>
              <w:t xml:space="preserve"> Audit period:</w:t>
            </w:r>
            <w:r>
              <w:rPr>
                <w:spacing w:val="180"/>
              </w:rPr>
              <w:t xml:space="preserve"> </w:t>
            </w:r>
            <w:r>
              <w:rPr>
                <w:u w:val="single"/>
              </w:rPr>
              <w:tab/>
            </w:r>
            <w:r>
              <w:t xml:space="preserve"> Reviewed by:</w:t>
            </w:r>
            <w:r>
              <w:rPr>
                <w:spacing w:val="93"/>
              </w:rPr>
              <w:t xml:space="preserve"> </w:t>
            </w:r>
            <w:r>
              <w:rPr>
                <w:u w:val="single"/>
              </w:rPr>
              <w:tab/>
            </w:r>
          </w:p>
        </w:tc>
      </w:tr>
      <w:tr w:rsidR="00046465" w14:paraId="0DFDBE7F" w14:textId="77777777">
        <w:trPr>
          <w:trHeight w:val="793"/>
        </w:trPr>
        <w:tc>
          <w:tcPr>
            <w:tcW w:w="6480" w:type="dxa"/>
            <w:tcBorders>
              <w:right w:val="single" w:sz="4" w:space="0" w:color="000000"/>
            </w:tcBorders>
          </w:tcPr>
          <w:p w14:paraId="0DFDBE7A" w14:textId="77777777" w:rsidR="00046465" w:rsidRDefault="00046465">
            <w:pPr>
              <w:pStyle w:val="TableParagraph"/>
              <w:spacing w:before="144"/>
            </w:pPr>
          </w:p>
          <w:p w14:paraId="0DFDBE7B" w14:textId="77777777" w:rsidR="00046465" w:rsidRDefault="008134EB">
            <w:pPr>
              <w:pStyle w:val="TableParagraph"/>
              <w:ind w:left="104"/>
              <w:rPr>
                <w:b/>
              </w:rPr>
            </w:pPr>
            <w:r>
              <w:rPr>
                <w:b/>
              </w:rPr>
              <w:t>Audit</w:t>
            </w:r>
            <w:r>
              <w:rPr>
                <w:b/>
                <w:spacing w:val="-7"/>
              </w:rPr>
              <w:t xml:space="preserve"> </w:t>
            </w:r>
            <w:r>
              <w:rPr>
                <w:b/>
                <w:spacing w:val="-2"/>
              </w:rPr>
              <w:t>procedures</w:t>
            </w:r>
          </w:p>
        </w:tc>
        <w:tc>
          <w:tcPr>
            <w:tcW w:w="1440" w:type="dxa"/>
            <w:tcBorders>
              <w:left w:val="single" w:sz="4" w:space="0" w:color="000000"/>
              <w:right w:val="single" w:sz="4" w:space="0" w:color="000000"/>
            </w:tcBorders>
          </w:tcPr>
          <w:p w14:paraId="0DFDBE7C" w14:textId="77777777" w:rsidR="00046465" w:rsidRDefault="008134EB">
            <w:pPr>
              <w:pStyle w:val="TableParagraph"/>
              <w:spacing w:before="144"/>
              <w:ind w:left="122" w:right="151"/>
              <w:rPr>
                <w:b/>
              </w:rPr>
            </w:pPr>
            <w:r>
              <w:rPr>
                <w:b/>
                <w:spacing w:val="-2"/>
              </w:rPr>
              <w:t xml:space="preserve">Initials/ </w:t>
            </w:r>
            <w:r>
              <w:rPr>
                <w:b/>
                <w:spacing w:val="-4"/>
              </w:rPr>
              <w:t>date</w:t>
            </w:r>
          </w:p>
        </w:tc>
        <w:tc>
          <w:tcPr>
            <w:tcW w:w="1440" w:type="dxa"/>
            <w:tcBorders>
              <w:left w:val="single" w:sz="4" w:space="0" w:color="000000"/>
            </w:tcBorders>
          </w:tcPr>
          <w:p w14:paraId="0DFDBE7D" w14:textId="77777777" w:rsidR="00046465" w:rsidRDefault="00046465">
            <w:pPr>
              <w:pStyle w:val="TableParagraph"/>
              <w:spacing w:before="144"/>
            </w:pPr>
          </w:p>
          <w:p w14:paraId="0DFDBE7E" w14:textId="77777777" w:rsidR="00046465" w:rsidRDefault="008134EB">
            <w:pPr>
              <w:pStyle w:val="TableParagraph"/>
              <w:ind w:left="122"/>
              <w:rPr>
                <w:b/>
              </w:rPr>
            </w:pPr>
            <w:r>
              <w:rPr>
                <w:b/>
              </w:rPr>
              <w:t>Doc.</w:t>
            </w:r>
            <w:r>
              <w:rPr>
                <w:b/>
                <w:spacing w:val="-6"/>
              </w:rPr>
              <w:t xml:space="preserve"> </w:t>
            </w:r>
            <w:r>
              <w:rPr>
                <w:b/>
                <w:spacing w:val="-4"/>
              </w:rPr>
              <w:t>ref.</w:t>
            </w:r>
          </w:p>
        </w:tc>
      </w:tr>
      <w:tr w:rsidR="00046465" w14:paraId="0DFDBE83" w14:textId="77777777">
        <w:trPr>
          <w:trHeight w:val="2035"/>
        </w:trPr>
        <w:tc>
          <w:tcPr>
            <w:tcW w:w="6480" w:type="dxa"/>
            <w:tcBorders>
              <w:bottom w:val="single" w:sz="6" w:space="0" w:color="000000"/>
              <w:right w:val="single" w:sz="6" w:space="0" w:color="000000"/>
            </w:tcBorders>
          </w:tcPr>
          <w:p w14:paraId="0DFDBE80" w14:textId="77777777" w:rsidR="00046465" w:rsidRDefault="008134EB">
            <w:pPr>
              <w:pStyle w:val="TableParagraph"/>
              <w:spacing w:before="144"/>
              <w:ind w:left="407" w:right="116" w:hanging="303"/>
            </w:pPr>
            <w:r>
              <w:t>6.</w:t>
            </w:r>
            <w:r>
              <w:rPr>
                <w:spacing w:val="40"/>
              </w:rPr>
              <w:t xml:space="preserve"> </w:t>
            </w:r>
            <w:r>
              <w:t>Determine whether the entity has effective controls over the proper summarization of the amounts withheld from employees for retirement costs under this law and the entity contributions</w:t>
            </w:r>
            <w:r>
              <w:rPr>
                <w:spacing w:val="-4"/>
              </w:rPr>
              <w:t xml:space="preserve"> </w:t>
            </w:r>
            <w:r>
              <w:t>for</w:t>
            </w:r>
            <w:r>
              <w:rPr>
                <w:spacing w:val="-4"/>
              </w:rPr>
              <w:t xml:space="preserve"> </w:t>
            </w:r>
            <w:r>
              <w:t>remittance</w:t>
            </w:r>
            <w:r>
              <w:rPr>
                <w:spacing w:val="-4"/>
              </w:rPr>
              <w:t xml:space="preserve"> </w:t>
            </w:r>
            <w:r>
              <w:t>to</w:t>
            </w:r>
            <w:r>
              <w:rPr>
                <w:spacing w:val="-4"/>
              </w:rPr>
              <w:t xml:space="preserve"> </w:t>
            </w:r>
            <w:r>
              <w:t>Treasury.</w:t>
            </w:r>
            <w:r>
              <w:rPr>
                <w:spacing w:val="-4"/>
              </w:rPr>
              <w:t xml:space="preserve"> </w:t>
            </w:r>
            <w:r>
              <w:t>If</w:t>
            </w:r>
            <w:r>
              <w:rPr>
                <w:spacing w:val="-4"/>
              </w:rPr>
              <w:t xml:space="preserve"> </w:t>
            </w:r>
            <w:r>
              <w:t>the</w:t>
            </w:r>
            <w:r>
              <w:rPr>
                <w:spacing w:val="-4"/>
              </w:rPr>
              <w:t xml:space="preserve"> </w:t>
            </w:r>
            <w:r>
              <w:t>entity</w:t>
            </w:r>
            <w:r>
              <w:rPr>
                <w:spacing w:val="-4"/>
              </w:rPr>
              <w:t xml:space="preserve"> </w:t>
            </w:r>
            <w:r>
              <w:t>does</w:t>
            </w:r>
            <w:r>
              <w:rPr>
                <w:spacing w:val="-4"/>
              </w:rPr>
              <w:t xml:space="preserve"> </w:t>
            </w:r>
            <w:r>
              <w:t>not have effective controls for summarization, then test the summarization of the totals that include the items selected</w:t>
            </w:r>
            <w:r>
              <w:rPr>
                <w:spacing w:val="40"/>
              </w:rPr>
              <w:t xml:space="preserve"> </w:t>
            </w:r>
            <w:r>
              <w:t>for testing in step 1.</w:t>
            </w:r>
          </w:p>
        </w:tc>
        <w:tc>
          <w:tcPr>
            <w:tcW w:w="1440" w:type="dxa"/>
            <w:tcBorders>
              <w:left w:val="single" w:sz="6" w:space="0" w:color="000000"/>
              <w:bottom w:val="single" w:sz="6" w:space="0" w:color="000000"/>
              <w:right w:val="single" w:sz="6" w:space="0" w:color="000000"/>
            </w:tcBorders>
          </w:tcPr>
          <w:p w14:paraId="0DFDBE81" w14:textId="77777777" w:rsidR="00046465" w:rsidRDefault="00046465">
            <w:pPr>
              <w:pStyle w:val="TableParagraph"/>
              <w:rPr>
                <w:rFonts w:ascii="Times New Roman"/>
                <w:sz w:val="20"/>
              </w:rPr>
            </w:pPr>
          </w:p>
        </w:tc>
        <w:tc>
          <w:tcPr>
            <w:tcW w:w="1440" w:type="dxa"/>
            <w:tcBorders>
              <w:left w:val="single" w:sz="6" w:space="0" w:color="000000"/>
              <w:bottom w:val="single" w:sz="6" w:space="0" w:color="000000"/>
            </w:tcBorders>
          </w:tcPr>
          <w:p w14:paraId="0DFDBE82" w14:textId="77777777" w:rsidR="00046465" w:rsidRDefault="00046465">
            <w:pPr>
              <w:pStyle w:val="TableParagraph"/>
              <w:rPr>
                <w:rFonts w:ascii="Times New Roman"/>
                <w:sz w:val="20"/>
              </w:rPr>
            </w:pPr>
          </w:p>
        </w:tc>
      </w:tr>
      <w:tr w:rsidR="00046465" w14:paraId="0DFDBE87" w14:textId="77777777">
        <w:trPr>
          <w:trHeight w:val="2287"/>
        </w:trPr>
        <w:tc>
          <w:tcPr>
            <w:tcW w:w="6480" w:type="dxa"/>
            <w:tcBorders>
              <w:top w:val="single" w:sz="6" w:space="0" w:color="000000"/>
              <w:bottom w:val="single" w:sz="6" w:space="0" w:color="000000"/>
              <w:right w:val="single" w:sz="6" w:space="0" w:color="000000"/>
            </w:tcBorders>
          </w:tcPr>
          <w:p w14:paraId="0DFDBE84" w14:textId="77777777" w:rsidR="00046465" w:rsidRDefault="008134EB">
            <w:pPr>
              <w:pStyle w:val="TableParagraph"/>
              <w:spacing w:before="145"/>
              <w:ind w:left="407" w:right="122" w:hanging="303"/>
            </w:pPr>
            <w:r>
              <w:t>7.</w:t>
            </w:r>
            <w:r>
              <w:rPr>
                <w:spacing w:val="40"/>
              </w:rPr>
              <w:t xml:space="preserve"> </w:t>
            </w:r>
            <w:r>
              <w:t>Compare the combined totals of employee withholdings and entity contributions that include each selection made in step 1</w:t>
            </w:r>
            <w:r>
              <w:rPr>
                <w:spacing w:val="-2"/>
              </w:rPr>
              <w:t xml:space="preserve"> </w:t>
            </w:r>
            <w:r>
              <w:t>to</w:t>
            </w:r>
            <w:r>
              <w:rPr>
                <w:spacing w:val="-2"/>
              </w:rPr>
              <w:t xml:space="preserve"> </w:t>
            </w:r>
            <w:r>
              <w:t>the</w:t>
            </w:r>
            <w:r>
              <w:rPr>
                <w:spacing w:val="-2"/>
              </w:rPr>
              <w:t xml:space="preserve"> </w:t>
            </w:r>
            <w:r>
              <w:t>deposit</w:t>
            </w:r>
            <w:r>
              <w:rPr>
                <w:spacing w:val="-2"/>
              </w:rPr>
              <w:t xml:space="preserve"> </w:t>
            </w:r>
            <w:r>
              <w:t>made</w:t>
            </w:r>
            <w:r>
              <w:rPr>
                <w:spacing w:val="-2"/>
              </w:rPr>
              <w:t xml:space="preserve"> </w:t>
            </w:r>
            <w:r>
              <w:t>to</w:t>
            </w:r>
            <w:r>
              <w:rPr>
                <w:spacing w:val="-2"/>
              </w:rPr>
              <w:t xml:space="preserve"> </w:t>
            </w:r>
            <w:r>
              <w:t>Treasury</w:t>
            </w:r>
            <w:r>
              <w:rPr>
                <w:spacing w:val="-2"/>
              </w:rPr>
              <w:t xml:space="preserve"> </w:t>
            </w:r>
            <w:r>
              <w:t>and</w:t>
            </w:r>
            <w:r>
              <w:rPr>
                <w:spacing w:val="-2"/>
              </w:rPr>
              <w:t xml:space="preserve"> </w:t>
            </w:r>
            <w:r>
              <w:t>the</w:t>
            </w:r>
            <w:r>
              <w:rPr>
                <w:spacing w:val="-2"/>
              </w:rPr>
              <w:t xml:space="preserve"> </w:t>
            </w:r>
            <w:r>
              <w:t>remittance</w:t>
            </w:r>
            <w:r>
              <w:rPr>
                <w:spacing w:val="-2"/>
              </w:rPr>
              <w:t xml:space="preserve"> </w:t>
            </w:r>
            <w:r>
              <w:t>sent</w:t>
            </w:r>
            <w:r>
              <w:rPr>
                <w:spacing w:val="-2"/>
              </w:rPr>
              <w:t xml:space="preserve"> </w:t>
            </w:r>
            <w:r>
              <w:t>to OPM, and obtain explanation and examine support for any differences.</w:t>
            </w:r>
            <w:r>
              <w:rPr>
                <w:spacing w:val="-6"/>
              </w:rPr>
              <w:t xml:space="preserve"> </w:t>
            </w:r>
            <w:r>
              <w:t>The</w:t>
            </w:r>
            <w:r>
              <w:rPr>
                <w:spacing w:val="-5"/>
              </w:rPr>
              <w:t xml:space="preserve"> </w:t>
            </w:r>
            <w:r>
              <w:t>funds</w:t>
            </w:r>
            <w:r>
              <w:rPr>
                <w:spacing w:val="-5"/>
              </w:rPr>
              <w:t xml:space="preserve"> </w:t>
            </w:r>
            <w:r>
              <w:t>should</w:t>
            </w:r>
            <w:r>
              <w:rPr>
                <w:spacing w:val="-5"/>
              </w:rPr>
              <w:t xml:space="preserve"> </w:t>
            </w:r>
            <w:r>
              <w:t>be</w:t>
            </w:r>
            <w:r>
              <w:rPr>
                <w:spacing w:val="-5"/>
              </w:rPr>
              <w:t xml:space="preserve"> </w:t>
            </w:r>
            <w:r>
              <w:t>deposited</w:t>
            </w:r>
            <w:r>
              <w:rPr>
                <w:spacing w:val="-5"/>
              </w:rPr>
              <w:t xml:space="preserve"> </w:t>
            </w:r>
            <w:r>
              <w:t>into</w:t>
            </w:r>
            <w:r>
              <w:rPr>
                <w:spacing w:val="-5"/>
              </w:rPr>
              <w:t xml:space="preserve"> </w:t>
            </w:r>
            <w:r>
              <w:t>the</w:t>
            </w:r>
            <w:r>
              <w:rPr>
                <w:spacing w:val="-5"/>
              </w:rPr>
              <w:t xml:space="preserve"> </w:t>
            </w:r>
            <w:r>
              <w:t>Treasury to the credit of the Civil Service Retirement and Disability Fund. See FAM 811.03, Deposits into the Civil Service Retirement and Disability Fund.</w:t>
            </w:r>
          </w:p>
        </w:tc>
        <w:tc>
          <w:tcPr>
            <w:tcW w:w="1440" w:type="dxa"/>
            <w:tcBorders>
              <w:top w:val="single" w:sz="6" w:space="0" w:color="000000"/>
              <w:left w:val="single" w:sz="6" w:space="0" w:color="000000"/>
              <w:bottom w:val="single" w:sz="6" w:space="0" w:color="000000"/>
              <w:right w:val="single" w:sz="6" w:space="0" w:color="000000"/>
            </w:tcBorders>
          </w:tcPr>
          <w:p w14:paraId="0DFDBE85" w14:textId="77777777" w:rsidR="00046465" w:rsidRDefault="00046465">
            <w:pPr>
              <w:pStyle w:val="TableParagraph"/>
              <w:rPr>
                <w:rFonts w:ascii="Times New Roman"/>
                <w:sz w:val="20"/>
              </w:rPr>
            </w:pPr>
          </w:p>
        </w:tc>
        <w:tc>
          <w:tcPr>
            <w:tcW w:w="1440" w:type="dxa"/>
            <w:tcBorders>
              <w:top w:val="single" w:sz="6" w:space="0" w:color="000000"/>
              <w:left w:val="single" w:sz="6" w:space="0" w:color="000000"/>
              <w:bottom w:val="single" w:sz="6" w:space="0" w:color="000000"/>
            </w:tcBorders>
          </w:tcPr>
          <w:p w14:paraId="0DFDBE86" w14:textId="77777777" w:rsidR="00046465" w:rsidRDefault="00046465">
            <w:pPr>
              <w:pStyle w:val="TableParagraph"/>
              <w:rPr>
                <w:rFonts w:ascii="Times New Roman"/>
                <w:sz w:val="20"/>
              </w:rPr>
            </w:pPr>
          </w:p>
        </w:tc>
      </w:tr>
      <w:tr w:rsidR="00046465" w14:paraId="0DFDBE8F" w14:textId="77777777">
        <w:trPr>
          <w:trHeight w:val="5393"/>
        </w:trPr>
        <w:tc>
          <w:tcPr>
            <w:tcW w:w="6480" w:type="dxa"/>
            <w:tcBorders>
              <w:top w:val="single" w:sz="6" w:space="0" w:color="000000"/>
              <w:bottom w:val="single" w:sz="6" w:space="0" w:color="000000"/>
              <w:right w:val="single" w:sz="6" w:space="0" w:color="000000"/>
            </w:tcBorders>
          </w:tcPr>
          <w:p w14:paraId="0DFDBE88" w14:textId="77777777" w:rsidR="00046465" w:rsidRDefault="008134EB">
            <w:pPr>
              <w:pStyle w:val="TableParagraph"/>
              <w:numPr>
                <w:ilvl w:val="0"/>
                <w:numId w:val="143"/>
              </w:numPr>
              <w:tabs>
                <w:tab w:val="left" w:pos="404"/>
                <w:tab w:val="left" w:pos="409"/>
              </w:tabs>
              <w:spacing w:before="145"/>
              <w:ind w:right="234" w:hanging="300"/>
            </w:pPr>
            <w:r>
              <w:t>If the entity does not appear to be in compliance based on the results of tests performed, the auditor should discuss these</w:t>
            </w:r>
            <w:r>
              <w:rPr>
                <w:spacing w:val="-5"/>
              </w:rPr>
              <w:t xml:space="preserve"> </w:t>
            </w:r>
            <w:r>
              <w:t>matters</w:t>
            </w:r>
            <w:r>
              <w:rPr>
                <w:spacing w:val="-5"/>
              </w:rPr>
              <w:t xml:space="preserve"> </w:t>
            </w:r>
            <w:r>
              <w:t>with</w:t>
            </w:r>
            <w:r>
              <w:rPr>
                <w:spacing w:val="-5"/>
              </w:rPr>
              <w:t xml:space="preserve"> </w:t>
            </w:r>
            <w:r>
              <w:t>OGC</w:t>
            </w:r>
            <w:r>
              <w:rPr>
                <w:spacing w:val="-4"/>
              </w:rPr>
              <w:t xml:space="preserve"> </w:t>
            </w:r>
            <w:r>
              <w:t>and,</w:t>
            </w:r>
            <w:r>
              <w:rPr>
                <w:spacing w:val="-5"/>
              </w:rPr>
              <w:t xml:space="preserve"> </w:t>
            </w:r>
            <w:r>
              <w:t>when</w:t>
            </w:r>
            <w:r>
              <w:rPr>
                <w:spacing w:val="-5"/>
              </w:rPr>
              <w:t xml:space="preserve"> </w:t>
            </w:r>
            <w:r>
              <w:t>appropriate,</w:t>
            </w:r>
            <w:r>
              <w:rPr>
                <w:spacing w:val="-5"/>
              </w:rPr>
              <w:t xml:space="preserve"> </w:t>
            </w:r>
            <w:r>
              <w:t>the</w:t>
            </w:r>
            <w:r>
              <w:rPr>
                <w:spacing w:val="-5"/>
              </w:rPr>
              <w:t xml:space="preserve"> </w:t>
            </w:r>
            <w:r>
              <w:t xml:space="preserve">Special Investigator Unit to conclude whether noncompliance actually occurred and the implications of such noncompliance. For any noncompliance noted, the auditor </w:t>
            </w:r>
            <w:r>
              <w:rPr>
                <w:spacing w:val="-2"/>
              </w:rPr>
              <w:t>should</w:t>
            </w:r>
          </w:p>
          <w:p w14:paraId="0DFDBE89" w14:textId="77777777" w:rsidR="00046465" w:rsidRDefault="008134EB">
            <w:pPr>
              <w:pStyle w:val="TableParagraph"/>
              <w:numPr>
                <w:ilvl w:val="1"/>
                <w:numId w:val="143"/>
              </w:numPr>
              <w:tabs>
                <w:tab w:val="left" w:pos="702"/>
                <w:tab w:val="left" w:pos="704"/>
              </w:tabs>
              <w:spacing w:before="143"/>
              <w:ind w:right="153" w:hanging="271"/>
            </w:pPr>
            <w:r>
              <w:t>identify the control deficiencies that allowed the noncompliance</w:t>
            </w:r>
            <w:r>
              <w:rPr>
                <w:spacing w:val="-6"/>
              </w:rPr>
              <w:t xml:space="preserve"> </w:t>
            </w:r>
            <w:r>
              <w:t>to</w:t>
            </w:r>
            <w:r>
              <w:rPr>
                <w:spacing w:val="-6"/>
              </w:rPr>
              <w:t xml:space="preserve"> </w:t>
            </w:r>
            <w:r>
              <w:t>occur,</w:t>
            </w:r>
            <w:r>
              <w:rPr>
                <w:spacing w:val="-6"/>
              </w:rPr>
              <w:t xml:space="preserve"> </w:t>
            </w:r>
            <w:r>
              <w:t>if</w:t>
            </w:r>
            <w:r>
              <w:rPr>
                <w:spacing w:val="-6"/>
              </w:rPr>
              <w:t xml:space="preserve"> </w:t>
            </w:r>
            <w:r>
              <w:t>not</w:t>
            </w:r>
            <w:r>
              <w:rPr>
                <w:spacing w:val="-6"/>
              </w:rPr>
              <w:t xml:space="preserve"> </w:t>
            </w:r>
            <w:r>
              <w:t>previously</w:t>
            </w:r>
            <w:r>
              <w:rPr>
                <w:spacing w:val="-6"/>
              </w:rPr>
              <w:t xml:space="preserve"> </w:t>
            </w:r>
            <w:r>
              <w:t>identified</w:t>
            </w:r>
            <w:r>
              <w:rPr>
                <w:spacing w:val="-6"/>
              </w:rPr>
              <w:t xml:space="preserve"> </w:t>
            </w:r>
            <w:r>
              <w:t>during compliance control testing;</w:t>
            </w:r>
          </w:p>
          <w:p w14:paraId="0DFDBE8A" w14:textId="77777777" w:rsidR="00046465" w:rsidRDefault="008134EB">
            <w:pPr>
              <w:pStyle w:val="TableParagraph"/>
              <w:numPr>
                <w:ilvl w:val="1"/>
                <w:numId w:val="143"/>
              </w:numPr>
              <w:tabs>
                <w:tab w:val="left" w:pos="704"/>
              </w:tabs>
              <w:spacing w:before="144"/>
              <w:ind w:right="570"/>
            </w:pPr>
            <w:r>
              <w:t>determine</w:t>
            </w:r>
            <w:r>
              <w:rPr>
                <w:spacing w:val="-5"/>
              </w:rPr>
              <w:t xml:space="preserve"> </w:t>
            </w:r>
            <w:r>
              <w:t>the</w:t>
            </w:r>
            <w:r>
              <w:rPr>
                <w:spacing w:val="-5"/>
              </w:rPr>
              <w:t xml:space="preserve"> </w:t>
            </w:r>
            <w:r>
              <w:t>impact</w:t>
            </w:r>
            <w:r>
              <w:rPr>
                <w:spacing w:val="-5"/>
              </w:rPr>
              <w:t xml:space="preserve"> </w:t>
            </w:r>
            <w:r>
              <w:t>on</w:t>
            </w:r>
            <w:r>
              <w:rPr>
                <w:spacing w:val="-5"/>
              </w:rPr>
              <w:t xml:space="preserve"> </w:t>
            </w:r>
            <w:r>
              <w:t>the</w:t>
            </w:r>
            <w:r>
              <w:rPr>
                <w:spacing w:val="-5"/>
              </w:rPr>
              <w:t xml:space="preserve"> </w:t>
            </w:r>
            <w:r>
              <w:t>report</w:t>
            </w:r>
            <w:r>
              <w:rPr>
                <w:spacing w:val="-5"/>
              </w:rPr>
              <w:t xml:space="preserve"> </w:t>
            </w:r>
            <w:r>
              <w:t>on</w:t>
            </w:r>
            <w:r>
              <w:rPr>
                <w:spacing w:val="-5"/>
              </w:rPr>
              <w:t xml:space="preserve"> </w:t>
            </w:r>
            <w:r>
              <w:t>internal</w:t>
            </w:r>
            <w:r>
              <w:rPr>
                <w:spacing w:val="-5"/>
              </w:rPr>
              <w:t xml:space="preserve"> </w:t>
            </w:r>
            <w:r>
              <w:t>control over financial reporting (see the Internal Control subsection in FAM 580);</w:t>
            </w:r>
          </w:p>
          <w:p w14:paraId="0DFDBE8B" w14:textId="77777777" w:rsidR="00046465" w:rsidRDefault="008134EB">
            <w:pPr>
              <w:pStyle w:val="TableParagraph"/>
              <w:numPr>
                <w:ilvl w:val="1"/>
                <w:numId w:val="143"/>
              </w:numPr>
              <w:tabs>
                <w:tab w:val="left" w:pos="703"/>
              </w:tabs>
              <w:spacing w:before="144"/>
              <w:ind w:left="703" w:hanging="268"/>
            </w:pPr>
            <w:r>
              <w:t>consider</w:t>
            </w:r>
            <w:r>
              <w:rPr>
                <w:spacing w:val="-8"/>
              </w:rPr>
              <w:t xml:space="preserve"> </w:t>
            </w:r>
            <w:r>
              <w:t>the</w:t>
            </w:r>
            <w:r>
              <w:rPr>
                <w:spacing w:val="-9"/>
              </w:rPr>
              <w:t xml:space="preserve"> </w:t>
            </w:r>
            <w:r>
              <w:t>implications</w:t>
            </w:r>
            <w:r>
              <w:rPr>
                <w:spacing w:val="-8"/>
              </w:rPr>
              <w:t xml:space="preserve"> </w:t>
            </w:r>
            <w:r>
              <w:t>on</w:t>
            </w:r>
            <w:r>
              <w:rPr>
                <w:spacing w:val="-8"/>
              </w:rPr>
              <w:t xml:space="preserve"> </w:t>
            </w:r>
            <w:r>
              <w:t>the</w:t>
            </w:r>
            <w:r>
              <w:rPr>
                <w:spacing w:val="-7"/>
              </w:rPr>
              <w:t xml:space="preserve"> </w:t>
            </w:r>
            <w:r>
              <w:t>financial</w:t>
            </w:r>
            <w:r>
              <w:rPr>
                <w:spacing w:val="-8"/>
              </w:rPr>
              <w:t xml:space="preserve"> </w:t>
            </w:r>
            <w:r>
              <w:t>statements;</w:t>
            </w:r>
            <w:r>
              <w:rPr>
                <w:spacing w:val="-7"/>
              </w:rPr>
              <w:t xml:space="preserve"> </w:t>
            </w:r>
            <w:r>
              <w:rPr>
                <w:spacing w:val="-5"/>
              </w:rPr>
              <w:t>and</w:t>
            </w:r>
          </w:p>
          <w:p w14:paraId="0DFDBE8C" w14:textId="77777777" w:rsidR="00046465" w:rsidRDefault="008134EB">
            <w:pPr>
              <w:pStyle w:val="TableParagraph"/>
              <w:numPr>
                <w:ilvl w:val="1"/>
                <w:numId w:val="143"/>
              </w:numPr>
              <w:tabs>
                <w:tab w:val="left" w:pos="703"/>
                <w:tab w:val="left" w:pos="709"/>
              </w:tabs>
              <w:spacing w:before="144"/>
              <w:ind w:left="709" w:right="137" w:hanging="274"/>
            </w:pPr>
            <w:r>
              <w:t>report instances of noncompliance, as appropriate (see the Compliance with Applicable Laws, Regulations, Contracts,</w:t>
            </w:r>
            <w:r>
              <w:rPr>
                <w:spacing w:val="-6"/>
              </w:rPr>
              <w:t xml:space="preserve"> </w:t>
            </w:r>
            <w:r>
              <w:t>and</w:t>
            </w:r>
            <w:r>
              <w:rPr>
                <w:spacing w:val="-6"/>
              </w:rPr>
              <w:t xml:space="preserve"> </w:t>
            </w:r>
            <w:r>
              <w:t>Grant</w:t>
            </w:r>
            <w:r>
              <w:rPr>
                <w:spacing w:val="-6"/>
              </w:rPr>
              <w:t xml:space="preserve"> </w:t>
            </w:r>
            <w:r>
              <w:t>Agreements</w:t>
            </w:r>
            <w:r>
              <w:rPr>
                <w:spacing w:val="-6"/>
              </w:rPr>
              <w:t xml:space="preserve"> </w:t>
            </w:r>
            <w:r>
              <w:t>and</w:t>
            </w:r>
            <w:r>
              <w:rPr>
                <w:spacing w:val="-6"/>
              </w:rPr>
              <w:t xml:space="preserve"> </w:t>
            </w:r>
            <w:r>
              <w:t>Instances</w:t>
            </w:r>
            <w:r>
              <w:rPr>
                <w:spacing w:val="-7"/>
              </w:rPr>
              <w:t xml:space="preserve"> </w:t>
            </w:r>
            <w:r>
              <w:t>of</w:t>
            </w:r>
            <w:r>
              <w:rPr>
                <w:spacing w:val="-6"/>
              </w:rPr>
              <w:t xml:space="preserve"> </w:t>
            </w:r>
            <w:r>
              <w:t>Fraud subsection in FAM 580).</w:t>
            </w:r>
          </w:p>
        </w:tc>
        <w:tc>
          <w:tcPr>
            <w:tcW w:w="1440" w:type="dxa"/>
            <w:tcBorders>
              <w:top w:val="single" w:sz="6" w:space="0" w:color="000000"/>
              <w:left w:val="single" w:sz="6" w:space="0" w:color="000000"/>
              <w:bottom w:val="single" w:sz="6" w:space="0" w:color="000000"/>
              <w:right w:val="single" w:sz="6" w:space="0" w:color="000000"/>
            </w:tcBorders>
          </w:tcPr>
          <w:p w14:paraId="0DFDBE8D" w14:textId="77777777" w:rsidR="00046465" w:rsidRDefault="00046465">
            <w:pPr>
              <w:pStyle w:val="TableParagraph"/>
              <w:rPr>
                <w:rFonts w:ascii="Times New Roman"/>
                <w:sz w:val="20"/>
              </w:rPr>
            </w:pPr>
          </w:p>
        </w:tc>
        <w:tc>
          <w:tcPr>
            <w:tcW w:w="1440" w:type="dxa"/>
            <w:tcBorders>
              <w:top w:val="single" w:sz="6" w:space="0" w:color="000000"/>
              <w:left w:val="single" w:sz="6" w:space="0" w:color="000000"/>
              <w:bottom w:val="single" w:sz="6" w:space="0" w:color="000000"/>
            </w:tcBorders>
          </w:tcPr>
          <w:p w14:paraId="0DFDBE8E" w14:textId="77777777" w:rsidR="00046465" w:rsidRDefault="00046465">
            <w:pPr>
              <w:pStyle w:val="TableParagraph"/>
              <w:rPr>
                <w:rFonts w:ascii="Times New Roman"/>
                <w:sz w:val="20"/>
              </w:rPr>
            </w:pPr>
          </w:p>
        </w:tc>
      </w:tr>
      <w:tr w:rsidR="00046465" w14:paraId="0DFDBE93" w14:textId="77777777">
        <w:trPr>
          <w:trHeight w:val="795"/>
        </w:trPr>
        <w:tc>
          <w:tcPr>
            <w:tcW w:w="6480" w:type="dxa"/>
            <w:tcBorders>
              <w:top w:val="single" w:sz="6" w:space="0" w:color="000000"/>
              <w:right w:val="single" w:sz="6" w:space="0" w:color="000000"/>
            </w:tcBorders>
          </w:tcPr>
          <w:p w14:paraId="0DFDBE90" w14:textId="77777777" w:rsidR="00046465" w:rsidRDefault="008134EB">
            <w:pPr>
              <w:pStyle w:val="TableParagraph"/>
              <w:spacing w:before="145"/>
              <w:ind w:left="404" w:right="125" w:hanging="300"/>
            </w:pPr>
            <w:r>
              <w:t>9.</w:t>
            </w:r>
            <w:r>
              <w:rPr>
                <w:spacing w:val="40"/>
              </w:rPr>
              <w:t xml:space="preserve"> </w:t>
            </w:r>
            <w:r>
              <w:t>Document</w:t>
            </w:r>
            <w:r>
              <w:rPr>
                <w:spacing w:val="-5"/>
              </w:rPr>
              <w:t xml:space="preserve"> </w:t>
            </w:r>
            <w:r>
              <w:t>conclusions</w:t>
            </w:r>
            <w:r>
              <w:rPr>
                <w:spacing w:val="-5"/>
              </w:rPr>
              <w:t xml:space="preserve"> </w:t>
            </w:r>
            <w:r>
              <w:t>on</w:t>
            </w:r>
            <w:r>
              <w:rPr>
                <w:spacing w:val="-5"/>
              </w:rPr>
              <w:t xml:space="preserve"> </w:t>
            </w:r>
            <w:r>
              <w:t>compliance</w:t>
            </w:r>
            <w:r>
              <w:rPr>
                <w:spacing w:val="-5"/>
              </w:rPr>
              <w:t xml:space="preserve"> </w:t>
            </w:r>
            <w:r>
              <w:t>with</w:t>
            </w:r>
            <w:r>
              <w:rPr>
                <w:spacing w:val="-5"/>
              </w:rPr>
              <w:t xml:space="preserve"> </w:t>
            </w:r>
            <w:r>
              <w:t>each</w:t>
            </w:r>
            <w:r>
              <w:rPr>
                <w:spacing w:val="-5"/>
              </w:rPr>
              <w:t xml:space="preserve"> </w:t>
            </w:r>
            <w:r>
              <w:t>provision</w:t>
            </w:r>
            <w:r>
              <w:rPr>
                <w:spacing w:val="-5"/>
              </w:rPr>
              <w:t xml:space="preserve"> </w:t>
            </w:r>
            <w:r>
              <w:t>on Form 811, Compliance Summary.</w:t>
            </w:r>
          </w:p>
        </w:tc>
        <w:tc>
          <w:tcPr>
            <w:tcW w:w="1440" w:type="dxa"/>
            <w:tcBorders>
              <w:top w:val="single" w:sz="6" w:space="0" w:color="000000"/>
              <w:left w:val="single" w:sz="6" w:space="0" w:color="000000"/>
              <w:right w:val="single" w:sz="6" w:space="0" w:color="000000"/>
            </w:tcBorders>
          </w:tcPr>
          <w:p w14:paraId="0DFDBE91" w14:textId="77777777" w:rsidR="00046465" w:rsidRDefault="00046465">
            <w:pPr>
              <w:pStyle w:val="TableParagraph"/>
              <w:rPr>
                <w:rFonts w:ascii="Times New Roman"/>
                <w:sz w:val="20"/>
              </w:rPr>
            </w:pPr>
          </w:p>
        </w:tc>
        <w:tc>
          <w:tcPr>
            <w:tcW w:w="1440" w:type="dxa"/>
            <w:tcBorders>
              <w:top w:val="single" w:sz="6" w:space="0" w:color="000000"/>
              <w:left w:val="single" w:sz="6" w:space="0" w:color="000000"/>
            </w:tcBorders>
          </w:tcPr>
          <w:p w14:paraId="0DFDBE92" w14:textId="77777777" w:rsidR="00046465" w:rsidRDefault="00046465">
            <w:pPr>
              <w:pStyle w:val="TableParagraph"/>
              <w:rPr>
                <w:rFonts w:ascii="Times New Roman"/>
                <w:sz w:val="20"/>
              </w:rPr>
            </w:pPr>
          </w:p>
        </w:tc>
      </w:tr>
    </w:tbl>
    <w:p w14:paraId="0DFDBE94" w14:textId="77777777" w:rsidR="00046465" w:rsidRDefault="00046465">
      <w:pPr>
        <w:pStyle w:val="TableParagraph"/>
        <w:rPr>
          <w:rFonts w:ascii="Times New Roman"/>
          <w:sz w:val="20"/>
        </w:rPr>
        <w:sectPr w:rsidR="00046465">
          <w:pgSz w:w="12240" w:h="15840"/>
          <w:pgMar w:top="1340" w:right="720" w:bottom="940" w:left="1080" w:header="721" w:footer="742" w:gutter="0"/>
          <w:cols w:space="720"/>
        </w:sectPr>
      </w:pPr>
    </w:p>
    <w:p w14:paraId="0DFDBE95" w14:textId="77777777" w:rsidR="00046465" w:rsidRDefault="008134EB">
      <w:pPr>
        <w:spacing w:before="241"/>
        <w:ind w:left="360" w:right="749"/>
      </w:pPr>
      <w:r>
        <w:rPr>
          <w:b/>
        </w:rPr>
        <w:lastRenderedPageBreak/>
        <w:t>Note:</w:t>
      </w:r>
      <w:r>
        <w:rPr>
          <w:b/>
          <w:spacing w:val="80"/>
        </w:rPr>
        <w:t xml:space="preserve"> </w:t>
      </w:r>
      <w:r>
        <w:t>If the entity outsources payroll processing, then the entity remains responsible for compliance. Dividing responsibility for payroll processing activities between the entity and the service organization could make payroll testing more complicated; however, the same testing should</w:t>
      </w:r>
      <w:r>
        <w:rPr>
          <w:spacing w:val="-3"/>
        </w:rPr>
        <w:t xml:space="preserve"> </w:t>
      </w:r>
      <w:r>
        <w:t>be</w:t>
      </w:r>
      <w:r>
        <w:rPr>
          <w:spacing w:val="-3"/>
        </w:rPr>
        <w:t xml:space="preserve"> </w:t>
      </w:r>
      <w:r>
        <w:t>performed.</w:t>
      </w:r>
      <w:r>
        <w:rPr>
          <w:spacing w:val="-3"/>
        </w:rPr>
        <w:t xml:space="preserve"> </w:t>
      </w:r>
      <w:r>
        <w:t>The</w:t>
      </w:r>
      <w:r>
        <w:rPr>
          <w:spacing w:val="-3"/>
        </w:rPr>
        <w:t xml:space="preserve"> </w:t>
      </w:r>
      <w:r>
        <w:t>auditor</w:t>
      </w:r>
      <w:r>
        <w:rPr>
          <w:spacing w:val="-3"/>
        </w:rPr>
        <w:t xml:space="preserve"> </w:t>
      </w:r>
      <w:r>
        <w:t>may</w:t>
      </w:r>
      <w:r>
        <w:rPr>
          <w:spacing w:val="-3"/>
        </w:rPr>
        <w:t xml:space="preserve"> </w:t>
      </w:r>
      <w:r>
        <w:t>accomplish</w:t>
      </w:r>
      <w:r>
        <w:rPr>
          <w:spacing w:val="-3"/>
        </w:rPr>
        <w:t xml:space="preserve"> </w:t>
      </w:r>
      <w:r>
        <w:t>that</w:t>
      </w:r>
      <w:r>
        <w:rPr>
          <w:spacing w:val="-3"/>
        </w:rPr>
        <w:t xml:space="preserve"> </w:t>
      </w:r>
      <w:r>
        <w:t>testing</w:t>
      </w:r>
      <w:r>
        <w:rPr>
          <w:spacing w:val="-3"/>
        </w:rPr>
        <w:t xml:space="preserve"> </w:t>
      </w:r>
      <w:r>
        <w:t>with</w:t>
      </w:r>
      <w:r>
        <w:rPr>
          <w:spacing w:val="-3"/>
        </w:rPr>
        <w:t xml:space="preserve"> </w:t>
      </w:r>
      <w:r>
        <w:t>the</w:t>
      </w:r>
      <w:r>
        <w:rPr>
          <w:spacing w:val="-3"/>
        </w:rPr>
        <w:t xml:space="preserve"> </w:t>
      </w:r>
      <w:r>
        <w:t>assistance</w:t>
      </w:r>
      <w:r>
        <w:rPr>
          <w:spacing w:val="-3"/>
        </w:rPr>
        <w:t xml:space="preserve"> </w:t>
      </w:r>
      <w:r>
        <w:t>of</w:t>
      </w:r>
      <w:r>
        <w:rPr>
          <w:spacing w:val="-3"/>
        </w:rPr>
        <w:t xml:space="preserve"> </w:t>
      </w:r>
      <w:r>
        <w:t>the</w:t>
      </w:r>
      <w:r>
        <w:rPr>
          <w:spacing w:val="-3"/>
        </w:rPr>
        <w:t xml:space="preserve"> </w:t>
      </w:r>
      <w:r>
        <w:t xml:space="preserve">service auditor, which may issue an internal control report on the service organization under AT-C 320, </w:t>
      </w:r>
      <w:r>
        <w:rPr>
          <w:i/>
        </w:rPr>
        <w:t>Reporting on an Examination of Controls at a Service Organization Relevant to User Entities’ Internal Control Over Financial Reporting</w:t>
      </w:r>
      <w:r>
        <w:t xml:space="preserve">. Another approach may be for the service auditor to assist the entity’s auditor by performing agreed-upon procedures at the service organization (e.g., substantive testing) under AT-C 215, </w:t>
      </w:r>
      <w:r>
        <w:rPr>
          <w:i/>
        </w:rPr>
        <w:t xml:space="preserve">Agreed-Upon Procedures Engagements </w:t>
      </w:r>
      <w:r>
        <w:t xml:space="preserve">(see FAM </w:t>
      </w:r>
      <w:r>
        <w:rPr>
          <w:spacing w:val="-2"/>
        </w:rPr>
        <w:t>710).</w:t>
      </w:r>
    </w:p>
    <w:p w14:paraId="0DFDBE96" w14:textId="77777777" w:rsidR="00046465" w:rsidRDefault="00046465">
      <w:pPr>
        <w:sectPr w:rsidR="00046465">
          <w:pgSz w:w="12240" w:h="15840"/>
          <w:pgMar w:top="1340" w:right="720" w:bottom="940" w:left="1080" w:header="721" w:footer="742" w:gutter="0"/>
          <w:cols w:space="720"/>
        </w:sectPr>
      </w:pPr>
    </w:p>
    <w:p w14:paraId="0DFDBE97" w14:textId="77777777" w:rsidR="00046465" w:rsidRDefault="008134EB">
      <w:pPr>
        <w:spacing w:line="20" w:lineRule="exact"/>
        <w:ind w:left="510"/>
        <w:rPr>
          <w:sz w:val="2"/>
        </w:rPr>
      </w:pPr>
      <w:r>
        <w:rPr>
          <w:noProof/>
          <w:sz w:val="2"/>
        </w:rPr>
        <w:lastRenderedPageBreak/>
        <mc:AlternateContent>
          <mc:Choice Requires="wpg">
            <w:drawing>
              <wp:inline distT="0" distB="0" distL="0" distR="0" wp14:anchorId="0DFDD6F9" wp14:editId="0DFDD6FA">
                <wp:extent cx="5833110" cy="9525"/>
                <wp:effectExtent l="9525" t="0" r="0" b="0"/>
                <wp:docPr id="860"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3110" cy="9525"/>
                          <a:chOff x="0" y="0"/>
                          <a:chExt cx="5833110" cy="9525"/>
                        </a:xfrm>
                      </wpg:grpSpPr>
                      <wps:wsp>
                        <wps:cNvPr id="861" name="Graphic 861"/>
                        <wps:cNvSpPr/>
                        <wps:spPr>
                          <a:xfrm>
                            <a:off x="0" y="4762"/>
                            <a:ext cx="5833110" cy="1270"/>
                          </a:xfrm>
                          <a:custGeom>
                            <a:avLst/>
                            <a:gdLst/>
                            <a:ahLst/>
                            <a:cxnLst/>
                            <a:rect l="l" t="t" r="r" b="b"/>
                            <a:pathLst>
                              <a:path w="5833110">
                                <a:moveTo>
                                  <a:pt x="0" y="0"/>
                                </a:moveTo>
                                <a:lnTo>
                                  <a:pt x="583311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D9B0E54" id="Group 860" o:spid="_x0000_s1026" style="width:459.3pt;height:.75pt;mso-position-horizontal-relative:char;mso-position-vertical-relative:line" coordsize="583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">
                <v:shape id="Graphic 861" o:spid="_x0000_s1027" style="position:absolute;top:47;width:58331;height:13;visibility:visible;mso-wrap-style:square;v-text-anchor:top" coordsize="5833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" path="m,l5833110,e" filled="f">
                  <v:path arrowok="t"/>
                </v:shape>
                <w10:anchorlock/>
              </v:group>
            </w:pict>
          </mc:Fallback>
        </mc:AlternateContent>
      </w:r>
    </w:p>
    <w:p w14:paraId="0DFDBE98" w14:textId="77777777" w:rsidR="00046465" w:rsidRDefault="00046465">
      <w:pPr>
        <w:pStyle w:val="BodyText"/>
        <w:spacing w:before="79"/>
        <w:rPr>
          <w:sz w:val="60"/>
        </w:rPr>
      </w:pPr>
    </w:p>
    <w:p w14:paraId="0DFDBE99" w14:textId="77777777" w:rsidR="00046465" w:rsidRDefault="008134EB">
      <w:pPr>
        <w:pStyle w:val="Heading1"/>
      </w:pPr>
      <w:bookmarkStart w:id="251" w:name="Section_900_-_Substantive_Testing_Implem"/>
      <w:bookmarkEnd w:id="251"/>
      <w:r>
        <w:t>SECTION</w:t>
      </w:r>
      <w:r>
        <w:rPr>
          <w:spacing w:val="-4"/>
        </w:rPr>
        <w:t xml:space="preserve"> </w:t>
      </w:r>
      <w:r>
        <w:rPr>
          <w:spacing w:val="-5"/>
        </w:rPr>
        <w:t>900</w:t>
      </w:r>
    </w:p>
    <w:p w14:paraId="0DFDBE9A" w14:textId="77777777" w:rsidR="00046465" w:rsidRDefault="00046465">
      <w:pPr>
        <w:pStyle w:val="BodyText"/>
        <w:rPr>
          <w:sz w:val="20"/>
        </w:rPr>
      </w:pPr>
    </w:p>
    <w:p w14:paraId="0DFDBE9B" w14:textId="77777777" w:rsidR="00046465" w:rsidRDefault="008134EB">
      <w:pPr>
        <w:pStyle w:val="BodyText"/>
        <w:spacing w:before="129"/>
        <w:rPr>
          <w:sz w:val="20"/>
        </w:rPr>
      </w:pPr>
      <w:r>
        <w:rPr>
          <w:noProof/>
          <w:sz w:val="20"/>
        </w:rPr>
        <mc:AlternateContent>
          <mc:Choice Requires="wps">
            <w:drawing>
              <wp:anchor distT="0" distB="0" distL="0" distR="0" simplePos="0" relativeHeight="487712768" behindDoc="1" locked="0" layoutInCell="1" allowOverlap="1" wp14:anchorId="0DFDD6FB" wp14:editId="0DFDD6FC">
                <wp:simplePos x="0" y="0"/>
                <wp:positionH relativeFrom="page">
                  <wp:posOffset>996314</wp:posOffset>
                </wp:positionH>
                <wp:positionV relativeFrom="paragraph">
                  <wp:posOffset>243228</wp:posOffset>
                </wp:positionV>
                <wp:extent cx="5861685" cy="91440"/>
                <wp:effectExtent l="0" t="0" r="0" b="0"/>
                <wp:wrapTopAndBottom/>
                <wp:docPr id="862" name="Graphic 8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1685" cy="91440"/>
                        </a:xfrm>
                        <a:custGeom>
                          <a:avLst/>
                          <a:gdLst/>
                          <a:ahLst/>
                          <a:cxnLst/>
                          <a:rect l="l" t="t" r="r" b="b"/>
                          <a:pathLst>
                            <a:path w="5861685" h="91440">
                              <a:moveTo>
                                <a:pt x="5861685" y="0"/>
                              </a:moveTo>
                              <a:lnTo>
                                <a:pt x="0" y="0"/>
                              </a:lnTo>
                              <a:lnTo>
                                <a:pt x="0" y="91440"/>
                              </a:lnTo>
                              <a:lnTo>
                                <a:pt x="5861685" y="91440"/>
                              </a:lnTo>
                              <a:lnTo>
                                <a:pt x="586168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6720B1" id="Graphic 862" o:spid="_x0000_s1026" style="position:absolute;margin-left:78.45pt;margin-top:19.15pt;width:461.55pt;height:7.2pt;z-index:-15603712;visibility:visible;mso-wrap-style:square;mso-wrap-distance-left:0;mso-wrap-distance-top:0;mso-wrap-distance-right:0;mso-wrap-distance-bottom:0;mso-position-horizontal:absolute;mso-position-horizontal-relative:page;mso-position-vertical:absolute;mso-position-vertical-relative:text;v-text-anchor:top" coordsize="5861685,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" path="m5861685,l,,,91440r5861685,l5861685,xe" fillcolor="black" stroked="f">
                <v:path arrowok="t"/>
                <w10:wrap type="topAndBottom" anchorx="page"/>
              </v:shape>
            </w:pict>
          </mc:Fallback>
        </mc:AlternateContent>
      </w:r>
    </w:p>
    <w:p w14:paraId="0DFDBE9C" w14:textId="77777777" w:rsidR="00046465" w:rsidRDefault="008134EB">
      <w:pPr>
        <w:pStyle w:val="Heading2"/>
        <w:spacing w:before="360"/>
        <w:ind w:right="719"/>
      </w:pPr>
      <w:r>
        <w:t>Substantive</w:t>
      </w:r>
      <w:r>
        <w:rPr>
          <w:spacing w:val="-6"/>
        </w:rPr>
        <w:t xml:space="preserve"> </w:t>
      </w:r>
      <w:r>
        <w:t>Testing</w:t>
      </w:r>
      <w:r>
        <w:rPr>
          <w:spacing w:val="-4"/>
        </w:rPr>
        <w:t xml:space="preserve"> </w:t>
      </w:r>
      <w:r>
        <w:rPr>
          <w:spacing w:val="-2"/>
        </w:rPr>
        <w:t>Implementation</w:t>
      </w:r>
    </w:p>
    <w:p w14:paraId="0DFDBE9D" w14:textId="77777777" w:rsidR="00046465" w:rsidRDefault="008134EB">
      <w:pPr>
        <w:ind w:right="718"/>
        <w:jc w:val="right"/>
        <w:rPr>
          <w:sz w:val="48"/>
        </w:rPr>
      </w:pPr>
      <w:r>
        <w:rPr>
          <w:spacing w:val="-2"/>
          <w:sz w:val="48"/>
        </w:rPr>
        <w:t>Guidance</w:t>
      </w:r>
    </w:p>
    <w:p w14:paraId="0DFDBE9E" w14:textId="77777777" w:rsidR="00046465" w:rsidRDefault="00046465">
      <w:pPr>
        <w:pStyle w:val="BodyText"/>
        <w:rPr>
          <w:sz w:val="20"/>
        </w:rPr>
      </w:pPr>
    </w:p>
    <w:p w14:paraId="0DFDBE9F" w14:textId="77777777" w:rsidR="00046465" w:rsidRDefault="00046465">
      <w:pPr>
        <w:pStyle w:val="BodyText"/>
        <w:rPr>
          <w:sz w:val="20"/>
        </w:rPr>
      </w:pPr>
    </w:p>
    <w:p w14:paraId="0DFDBEA0" w14:textId="77777777" w:rsidR="00046465" w:rsidRDefault="00046465">
      <w:pPr>
        <w:pStyle w:val="BodyText"/>
        <w:rPr>
          <w:sz w:val="20"/>
        </w:rPr>
      </w:pPr>
    </w:p>
    <w:p w14:paraId="0DFDBEA1" w14:textId="77777777" w:rsidR="00046465" w:rsidRDefault="00046465">
      <w:pPr>
        <w:pStyle w:val="BodyText"/>
        <w:rPr>
          <w:sz w:val="20"/>
        </w:rPr>
      </w:pPr>
    </w:p>
    <w:p w14:paraId="0DFDBEA2" w14:textId="77777777" w:rsidR="00046465" w:rsidRDefault="00046465">
      <w:pPr>
        <w:pStyle w:val="BodyText"/>
        <w:rPr>
          <w:sz w:val="20"/>
        </w:rPr>
      </w:pPr>
    </w:p>
    <w:p w14:paraId="0DFDBEA3" w14:textId="77777777" w:rsidR="00046465" w:rsidRDefault="00046465">
      <w:pPr>
        <w:pStyle w:val="BodyText"/>
        <w:rPr>
          <w:sz w:val="20"/>
        </w:rPr>
      </w:pPr>
    </w:p>
    <w:p w14:paraId="0DFDBEA4" w14:textId="77777777" w:rsidR="00046465" w:rsidRDefault="00046465">
      <w:pPr>
        <w:pStyle w:val="BodyText"/>
        <w:rPr>
          <w:sz w:val="20"/>
        </w:rPr>
      </w:pPr>
    </w:p>
    <w:p w14:paraId="0DFDBEA5" w14:textId="77777777" w:rsidR="00046465" w:rsidRDefault="00046465">
      <w:pPr>
        <w:pStyle w:val="BodyText"/>
        <w:rPr>
          <w:sz w:val="20"/>
        </w:rPr>
      </w:pPr>
    </w:p>
    <w:p w14:paraId="0DFDBEA6" w14:textId="77777777" w:rsidR="00046465" w:rsidRDefault="00046465">
      <w:pPr>
        <w:pStyle w:val="BodyText"/>
        <w:rPr>
          <w:sz w:val="20"/>
        </w:rPr>
      </w:pPr>
    </w:p>
    <w:p w14:paraId="0DFDBEA7" w14:textId="77777777" w:rsidR="00046465" w:rsidRDefault="00046465">
      <w:pPr>
        <w:pStyle w:val="BodyText"/>
        <w:rPr>
          <w:sz w:val="20"/>
        </w:rPr>
      </w:pPr>
    </w:p>
    <w:p w14:paraId="0DFDBEA8" w14:textId="77777777" w:rsidR="00046465" w:rsidRDefault="00046465">
      <w:pPr>
        <w:pStyle w:val="BodyText"/>
        <w:rPr>
          <w:sz w:val="20"/>
        </w:rPr>
      </w:pPr>
    </w:p>
    <w:p w14:paraId="0DFDBEA9" w14:textId="77777777" w:rsidR="00046465" w:rsidRDefault="00046465">
      <w:pPr>
        <w:pStyle w:val="BodyText"/>
        <w:rPr>
          <w:sz w:val="20"/>
        </w:rPr>
      </w:pPr>
    </w:p>
    <w:p w14:paraId="0DFDBEAA" w14:textId="77777777" w:rsidR="00046465" w:rsidRDefault="00046465">
      <w:pPr>
        <w:pStyle w:val="BodyText"/>
        <w:rPr>
          <w:sz w:val="20"/>
        </w:rPr>
      </w:pPr>
    </w:p>
    <w:p w14:paraId="0DFDBEAB" w14:textId="77777777" w:rsidR="00046465" w:rsidRDefault="00046465">
      <w:pPr>
        <w:pStyle w:val="BodyText"/>
        <w:rPr>
          <w:sz w:val="20"/>
        </w:rPr>
      </w:pPr>
    </w:p>
    <w:p w14:paraId="0DFDBEAC" w14:textId="77777777" w:rsidR="00046465" w:rsidRDefault="00046465">
      <w:pPr>
        <w:pStyle w:val="BodyText"/>
        <w:rPr>
          <w:sz w:val="20"/>
        </w:rPr>
      </w:pPr>
    </w:p>
    <w:p w14:paraId="0DFDBEAD" w14:textId="77777777" w:rsidR="00046465" w:rsidRDefault="00046465">
      <w:pPr>
        <w:pStyle w:val="BodyText"/>
        <w:rPr>
          <w:sz w:val="20"/>
        </w:rPr>
      </w:pPr>
    </w:p>
    <w:p w14:paraId="0DFDBEAE" w14:textId="77777777" w:rsidR="00046465" w:rsidRDefault="00046465">
      <w:pPr>
        <w:pStyle w:val="BodyText"/>
        <w:rPr>
          <w:sz w:val="20"/>
        </w:rPr>
      </w:pPr>
    </w:p>
    <w:p w14:paraId="0DFDBEAF" w14:textId="77777777" w:rsidR="00046465" w:rsidRDefault="00046465">
      <w:pPr>
        <w:pStyle w:val="BodyText"/>
        <w:rPr>
          <w:sz w:val="20"/>
        </w:rPr>
      </w:pPr>
    </w:p>
    <w:p w14:paraId="0DFDBEB0" w14:textId="77777777" w:rsidR="00046465" w:rsidRDefault="00046465">
      <w:pPr>
        <w:pStyle w:val="BodyText"/>
        <w:rPr>
          <w:sz w:val="20"/>
        </w:rPr>
      </w:pPr>
    </w:p>
    <w:p w14:paraId="0DFDBEB1" w14:textId="77777777" w:rsidR="00046465" w:rsidRDefault="00046465">
      <w:pPr>
        <w:pStyle w:val="BodyText"/>
        <w:rPr>
          <w:sz w:val="20"/>
        </w:rPr>
      </w:pPr>
    </w:p>
    <w:p w14:paraId="0DFDBEB2" w14:textId="77777777" w:rsidR="00046465" w:rsidRDefault="00046465">
      <w:pPr>
        <w:pStyle w:val="BodyText"/>
        <w:rPr>
          <w:sz w:val="20"/>
        </w:rPr>
      </w:pPr>
    </w:p>
    <w:p w14:paraId="0DFDBEB3" w14:textId="77777777" w:rsidR="00046465" w:rsidRDefault="00046465">
      <w:pPr>
        <w:pStyle w:val="BodyText"/>
        <w:rPr>
          <w:sz w:val="20"/>
        </w:rPr>
      </w:pPr>
    </w:p>
    <w:p w14:paraId="0DFDBEB4" w14:textId="77777777" w:rsidR="00046465" w:rsidRDefault="00046465">
      <w:pPr>
        <w:pStyle w:val="BodyText"/>
        <w:rPr>
          <w:sz w:val="20"/>
        </w:rPr>
      </w:pPr>
    </w:p>
    <w:p w14:paraId="0DFDBEB5" w14:textId="77777777" w:rsidR="00046465" w:rsidRDefault="00046465">
      <w:pPr>
        <w:pStyle w:val="BodyText"/>
        <w:rPr>
          <w:sz w:val="20"/>
        </w:rPr>
      </w:pPr>
    </w:p>
    <w:p w14:paraId="0DFDBEB6" w14:textId="77777777" w:rsidR="00046465" w:rsidRDefault="00046465">
      <w:pPr>
        <w:pStyle w:val="BodyText"/>
        <w:rPr>
          <w:sz w:val="20"/>
        </w:rPr>
      </w:pPr>
    </w:p>
    <w:p w14:paraId="0DFDBEB7" w14:textId="77777777" w:rsidR="00046465" w:rsidRDefault="00046465">
      <w:pPr>
        <w:pStyle w:val="BodyText"/>
        <w:rPr>
          <w:sz w:val="20"/>
        </w:rPr>
      </w:pPr>
    </w:p>
    <w:p w14:paraId="0DFDBEB8" w14:textId="77777777" w:rsidR="00046465" w:rsidRDefault="00046465">
      <w:pPr>
        <w:pStyle w:val="BodyText"/>
        <w:rPr>
          <w:sz w:val="20"/>
        </w:rPr>
      </w:pPr>
    </w:p>
    <w:p w14:paraId="0DFDBEB9" w14:textId="77777777" w:rsidR="00046465" w:rsidRDefault="00046465">
      <w:pPr>
        <w:pStyle w:val="BodyText"/>
        <w:rPr>
          <w:sz w:val="20"/>
        </w:rPr>
      </w:pPr>
    </w:p>
    <w:p w14:paraId="0DFDBEBA" w14:textId="77777777" w:rsidR="00046465" w:rsidRDefault="00046465">
      <w:pPr>
        <w:pStyle w:val="BodyText"/>
        <w:rPr>
          <w:sz w:val="20"/>
        </w:rPr>
      </w:pPr>
    </w:p>
    <w:p w14:paraId="0DFDBEBB" w14:textId="77777777" w:rsidR="00046465" w:rsidRDefault="00046465">
      <w:pPr>
        <w:pStyle w:val="BodyText"/>
        <w:rPr>
          <w:sz w:val="20"/>
        </w:rPr>
      </w:pPr>
    </w:p>
    <w:p w14:paraId="0DFDBEBC" w14:textId="77777777" w:rsidR="00046465" w:rsidRDefault="00046465">
      <w:pPr>
        <w:pStyle w:val="BodyText"/>
        <w:rPr>
          <w:sz w:val="20"/>
        </w:rPr>
      </w:pPr>
    </w:p>
    <w:p w14:paraId="0DFDBEBD" w14:textId="77777777" w:rsidR="00046465" w:rsidRDefault="00046465">
      <w:pPr>
        <w:pStyle w:val="BodyText"/>
        <w:rPr>
          <w:sz w:val="20"/>
        </w:rPr>
      </w:pPr>
    </w:p>
    <w:p w14:paraId="0DFDBEBE" w14:textId="77777777" w:rsidR="00046465" w:rsidRDefault="00046465">
      <w:pPr>
        <w:pStyle w:val="BodyText"/>
        <w:rPr>
          <w:sz w:val="20"/>
        </w:rPr>
      </w:pPr>
    </w:p>
    <w:p w14:paraId="0DFDBEBF" w14:textId="77777777" w:rsidR="00046465" w:rsidRDefault="00046465">
      <w:pPr>
        <w:pStyle w:val="BodyText"/>
        <w:rPr>
          <w:sz w:val="20"/>
        </w:rPr>
      </w:pPr>
    </w:p>
    <w:p w14:paraId="0DFDBEC0" w14:textId="77777777" w:rsidR="00046465" w:rsidRDefault="00046465">
      <w:pPr>
        <w:pStyle w:val="BodyText"/>
        <w:rPr>
          <w:sz w:val="20"/>
        </w:rPr>
      </w:pPr>
    </w:p>
    <w:p w14:paraId="0DFDBEC1" w14:textId="77777777" w:rsidR="00046465" w:rsidRDefault="00046465">
      <w:pPr>
        <w:pStyle w:val="BodyText"/>
        <w:rPr>
          <w:sz w:val="20"/>
        </w:rPr>
      </w:pPr>
    </w:p>
    <w:p w14:paraId="0DFDBEC2" w14:textId="77777777" w:rsidR="00046465" w:rsidRDefault="00046465">
      <w:pPr>
        <w:pStyle w:val="BodyText"/>
        <w:rPr>
          <w:sz w:val="20"/>
        </w:rPr>
      </w:pPr>
    </w:p>
    <w:p w14:paraId="0DFDBEC3" w14:textId="77777777" w:rsidR="00046465" w:rsidRDefault="00046465">
      <w:pPr>
        <w:pStyle w:val="BodyText"/>
        <w:rPr>
          <w:sz w:val="20"/>
        </w:rPr>
      </w:pPr>
    </w:p>
    <w:p w14:paraId="0DFDBEC4" w14:textId="77777777" w:rsidR="00046465" w:rsidRDefault="00046465">
      <w:pPr>
        <w:pStyle w:val="BodyText"/>
        <w:rPr>
          <w:sz w:val="20"/>
        </w:rPr>
      </w:pPr>
    </w:p>
    <w:p w14:paraId="0DFDBEC5" w14:textId="77777777" w:rsidR="00046465" w:rsidRDefault="00046465">
      <w:pPr>
        <w:pStyle w:val="BodyText"/>
        <w:rPr>
          <w:sz w:val="20"/>
        </w:rPr>
      </w:pPr>
    </w:p>
    <w:p w14:paraId="0DFDBEC6" w14:textId="77777777" w:rsidR="00046465" w:rsidRDefault="00046465">
      <w:pPr>
        <w:pStyle w:val="BodyText"/>
        <w:rPr>
          <w:sz w:val="20"/>
        </w:rPr>
      </w:pPr>
    </w:p>
    <w:p w14:paraId="0DFDBEC7" w14:textId="77777777" w:rsidR="00046465" w:rsidRDefault="00046465">
      <w:pPr>
        <w:pStyle w:val="BodyText"/>
        <w:rPr>
          <w:sz w:val="20"/>
        </w:rPr>
      </w:pPr>
    </w:p>
    <w:p w14:paraId="0DFDBEC8" w14:textId="77777777" w:rsidR="00046465" w:rsidRDefault="00046465">
      <w:pPr>
        <w:pStyle w:val="BodyText"/>
        <w:rPr>
          <w:sz w:val="20"/>
        </w:rPr>
      </w:pPr>
    </w:p>
    <w:p w14:paraId="0DFDBEC9" w14:textId="77777777" w:rsidR="00046465" w:rsidRDefault="008134EB">
      <w:pPr>
        <w:pStyle w:val="BodyText"/>
        <w:spacing w:before="118"/>
        <w:rPr>
          <w:sz w:val="20"/>
        </w:rPr>
      </w:pPr>
      <w:r>
        <w:rPr>
          <w:noProof/>
          <w:sz w:val="20"/>
        </w:rPr>
        <mc:AlternateContent>
          <mc:Choice Requires="wpg">
            <w:drawing>
              <wp:anchor distT="0" distB="0" distL="0" distR="0" simplePos="0" relativeHeight="487713280" behindDoc="1" locked="0" layoutInCell="1" allowOverlap="1" wp14:anchorId="0DFDD6FD" wp14:editId="0DFDD6FE">
                <wp:simplePos x="0" y="0"/>
                <wp:positionH relativeFrom="page">
                  <wp:posOffset>941071</wp:posOffset>
                </wp:positionH>
                <wp:positionV relativeFrom="paragraph">
                  <wp:posOffset>236638</wp:posOffset>
                </wp:positionV>
                <wp:extent cx="5901690" cy="9525"/>
                <wp:effectExtent l="0" t="0" r="0" b="0"/>
                <wp:wrapTopAndBottom/>
                <wp:docPr id="863" name="Group 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1690" cy="9525"/>
                          <a:chOff x="0" y="0"/>
                          <a:chExt cx="5901690" cy="9525"/>
                        </a:xfrm>
                      </wpg:grpSpPr>
                      <wps:wsp>
                        <wps:cNvPr id="864" name="Graphic 864"/>
                        <wps:cNvSpPr/>
                        <wps:spPr>
                          <a:xfrm>
                            <a:off x="339090" y="4762"/>
                            <a:ext cx="5562600" cy="1270"/>
                          </a:xfrm>
                          <a:custGeom>
                            <a:avLst/>
                            <a:gdLst/>
                            <a:ahLst/>
                            <a:cxnLst/>
                            <a:rect l="l" t="t" r="r" b="b"/>
                            <a:pathLst>
                              <a:path w="5562600">
                                <a:moveTo>
                                  <a:pt x="0" y="0"/>
                                </a:moveTo>
                                <a:lnTo>
                                  <a:pt x="5562600" y="0"/>
                                </a:lnTo>
                              </a:path>
                            </a:pathLst>
                          </a:custGeom>
                          <a:ln w="9525">
                            <a:solidFill>
                              <a:srgbClr val="000000"/>
                            </a:solidFill>
                            <a:prstDash val="solid"/>
                          </a:ln>
                        </wps:spPr>
                        <wps:bodyPr wrap="square" lIns="0" tIns="0" rIns="0" bIns="0" rtlCol="0">
                          <a:prstTxWarp prst="textNoShape">
                            <a:avLst/>
                          </a:prstTxWarp>
                          <a:noAutofit/>
                        </wps:bodyPr>
                      </wps:wsp>
                      <wps:wsp>
                        <wps:cNvPr id="865" name="Graphic 865"/>
                        <wps:cNvSpPr/>
                        <wps:spPr>
                          <a:xfrm>
                            <a:off x="0" y="4762"/>
                            <a:ext cx="5562600" cy="1270"/>
                          </a:xfrm>
                          <a:custGeom>
                            <a:avLst/>
                            <a:gdLst/>
                            <a:ahLst/>
                            <a:cxnLst/>
                            <a:rect l="l" t="t" r="r" b="b"/>
                            <a:pathLst>
                              <a:path w="5562600">
                                <a:moveTo>
                                  <a:pt x="0" y="0"/>
                                </a:moveTo>
                                <a:lnTo>
                                  <a:pt x="556260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0254A0" id="Group 863" o:spid="_x0000_s1026" style="position:absolute;margin-left:74.1pt;margin-top:18.65pt;width:464.7pt;height:.75pt;z-index:-15603200;mso-wrap-distance-left:0;mso-wrap-distance-right:0;mso-position-horizontal-relative:page" coordsize="590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">
                <v:shape id="Graphic 864" o:spid="_x0000_s1027" style="position:absolute;left:3390;top:47;width:55626;height:13;visibility:visible;mso-wrap-style:square;v-text-anchor:top" coordsize="5562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" path="m,l5562600,e" filled="f">
                  <v:path arrowok="t"/>
                </v:shape>
                <v:shape id="Graphic 865" o:spid="_x0000_s1028" style="position:absolute;top:47;width:55626;height:13;visibility:visible;mso-wrap-style:square;v-text-anchor:top" coordsize="5562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" path="m,l5562600,e" filled="f">
                  <v:path arrowok="t"/>
                </v:shape>
                <w10:wrap type="topAndBottom" anchorx="page"/>
              </v:group>
            </w:pict>
          </mc:Fallback>
        </mc:AlternateContent>
      </w:r>
    </w:p>
    <w:p w14:paraId="0DFDBECA" w14:textId="77777777" w:rsidR="00046465" w:rsidRDefault="00046465">
      <w:pPr>
        <w:pStyle w:val="BodyText"/>
        <w:rPr>
          <w:sz w:val="20"/>
        </w:rPr>
        <w:sectPr w:rsidR="00046465">
          <w:headerReference w:type="default" r:id="rId162"/>
          <w:footerReference w:type="default" r:id="rId163"/>
          <w:pgSz w:w="12240" w:h="15840"/>
          <w:pgMar w:top="940" w:right="720" w:bottom="280" w:left="1080" w:header="0" w:footer="0" w:gutter="0"/>
          <w:cols w:space="720"/>
        </w:sectPr>
      </w:pPr>
    </w:p>
    <w:p w14:paraId="0DFDBECB" w14:textId="77777777" w:rsidR="00046465" w:rsidRDefault="008134EB">
      <w:pPr>
        <w:pStyle w:val="Heading3"/>
        <w:rPr>
          <w:u w:val="none"/>
        </w:rPr>
      </w:pPr>
      <w:bookmarkStart w:id="252" w:name="Contents_of_Substantive_Testing_Implemen"/>
      <w:bookmarkEnd w:id="252"/>
      <w:r>
        <w:lastRenderedPageBreak/>
        <w:t>Contents</w:t>
      </w:r>
      <w:r>
        <w:rPr>
          <w:spacing w:val="-14"/>
        </w:rPr>
        <w:t xml:space="preserve"> </w:t>
      </w:r>
      <w:r>
        <w:t>of</w:t>
      </w:r>
      <w:r>
        <w:rPr>
          <w:spacing w:val="-12"/>
        </w:rPr>
        <w:t xml:space="preserve"> </w:t>
      </w:r>
      <w:r>
        <w:t>Substantive</w:t>
      </w:r>
      <w:r>
        <w:rPr>
          <w:spacing w:val="-12"/>
        </w:rPr>
        <w:t xml:space="preserve"> </w:t>
      </w:r>
      <w:r>
        <w:t>Testing</w:t>
      </w:r>
      <w:r>
        <w:rPr>
          <w:spacing w:val="-12"/>
        </w:rPr>
        <w:t xml:space="preserve"> </w:t>
      </w:r>
      <w:r>
        <w:t>Implementation</w:t>
      </w:r>
      <w:r>
        <w:rPr>
          <w:spacing w:val="-11"/>
        </w:rPr>
        <w:t xml:space="preserve"> </w:t>
      </w:r>
      <w:r>
        <w:rPr>
          <w:spacing w:val="-2"/>
        </w:rPr>
        <w:t>Guidance</w:t>
      </w:r>
    </w:p>
    <w:p w14:paraId="0DFDBECC" w14:textId="77777777" w:rsidR="00046465" w:rsidRDefault="00046465">
      <w:pPr>
        <w:pStyle w:val="BodyText"/>
        <w:spacing w:before="138"/>
        <w:rPr>
          <w:b/>
          <w:sz w:val="20"/>
        </w:rPr>
      </w:pPr>
    </w:p>
    <w:tbl>
      <w:tblPr>
        <w:tblW w:w="0" w:type="auto"/>
        <w:tblInd w:w="588" w:type="dxa"/>
        <w:tblLayout w:type="fixed"/>
        <w:tblCellMar>
          <w:left w:w="0" w:type="dxa"/>
          <w:right w:w="0" w:type="dxa"/>
        </w:tblCellMar>
        <w:tblLook w:val="01E0" w:firstRow="1" w:lastRow="1" w:firstColumn="1" w:lastColumn="1" w:noHBand="0" w:noVBand="0"/>
      </w:tblPr>
      <w:tblGrid>
        <w:gridCol w:w="7861"/>
        <w:gridCol w:w="999"/>
      </w:tblGrid>
      <w:tr w:rsidR="00046465" w14:paraId="0DFDBECF" w14:textId="77777777">
        <w:trPr>
          <w:trHeight w:val="368"/>
        </w:trPr>
        <w:tc>
          <w:tcPr>
            <w:tcW w:w="7861" w:type="dxa"/>
          </w:tcPr>
          <w:p w14:paraId="0DFDBECD" w14:textId="77777777" w:rsidR="00046465" w:rsidRDefault="00046465">
            <w:pPr>
              <w:pStyle w:val="TableParagraph"/>
              <w:rPr>
                <w:rFonts w:ascii="Times New Roman"/>
              </w:rPr>
            </w:pPr>
          </w:p>
        </w:tc>
        <w:tc>
          <w:tcPr>
            <w:tcW w:w="999" w:type="dxa"/>
          </w:tcPr>
          <w:p w14:paraId="0DFDBECE" w14:textId="77777777" w:rsidR="00046465" w:rsidRDefault="008134EB">
            <w:pPr>
              <w:pStyle w:val="TableParagraph"/>
              <w:spacing w:line="245" w:lineRule="exact"/>
              <w:ind w:left="317"/>
              <w:rPr>
                <w:b/>
              </w:rPr>
            </w:pPr>
            <w:r>
              <w:rPr>
                <w:b/>
                <w:spacing w:val="-5"/>
              </w:rPr>
              <w:t>FAM</w:t>
            </w:r>
          </w:p>
        </w:tc>
      </w:tr>
      <w:tr w:rsidR="00046465" w14:paraId="0DFDBED2" w14:textId="77777777">
        <w:trPr>
          <w:trHeight w:val="492"/>
        </w:trPr>
        <w:tc>
          <w:tcPr>
            <w:tcW w:w="7861" w:type="dxa"/>
          </w:tcPr>
          <w:p w14:paraId="0DFDBED0" w14:textId="77777777" w:rsidR="00046465" w:rsidRDefault="008134EB">
            <w:pPr>
              <w:pStyle w:val="TableParagraph"/>
              <w:spacing w:before="115"/>
              <w:ind w:left="50"/>
            </w:pPr>
            <w:r>
              <w:t>Intragovernmental</w:t>
            </w:r>
            <w:r>
              <w:rPr>
                <w:spacing w:val="-11"/>
              </w:rPr>
              <w:t xml:space="preserve"> </w:t>
            </w:r>
            <w:r>
              <w:t>Activity</w:t>
            </w:r>
            <w:r>
              <w:rPr>
                <w:spacing w:val="-11"/>
              </w:rPr>
              <w:t xml:space="preserve"> </w:t>
            </w:r>
            <w:r>
              <w:t>and</w:t>
            </w:r>
            <w:r>
              <w:rPr>
                <w:spacing w:val="-11"/>
              </w:rPr>
              <w:t xml:space="preserve"> </w:t>
            </w:r>
            <w:r>
              <w:rPr>
                <w:spacing w:val="-2"/>
              </w:rPr>
              <w:t>Balances</w:t>
            </w:r>
          </w:p>
        </w:tc>
        <w:tc>
          <w:tcPr>
            <w:tcW w:w="999" w:type="dxa"/>
          </w:tcPr>
          <w:p w14:paraId="0DFDBED1" w14:textId="77777777" w:rsidR="00046465" w:rsidRDefault="008134EB">
            <w:pPr>
              <w:pStyle w:val="TableParagraph"/>
              <w:spacing w:before="115"/>
              <w:ind w:left="374"/>
            </w:pPr>
            <w:r>
              <w:rPr>
                <w:spacing w:val="-5"/>
              </w:rPr>
              <w:t>902</w:t>
            </w:r>
          </w:p>
        </w:tc>
      </w:tr>
      <w:tr w:rsidR="00046465" w14:paraId="0DFDBED5" w14:textId="77777777">
        <w:trPr>
          <w:trHeight w:val="493"/>
        </w:trPr>
        <w:tc>
          <w:tcPr>
            <w:tcW w:w="7861" w:type="dxa"/>
          </w:tcPr>
          <w:p w14:paraId="0DFDBED3" w14:textId="77777777" w:rsidR="00046465" w:rsidRDefault="008134EB">
            <w:pPr>
              <w:pStyle w:val="TableParagraph"/>
              <w:spacing w:before="116"/>
              <w:ind w:left="50"/>
            </w:pPr>
            <w:r>
              <w:t>Example</w:t>
            </w:r>
            <w:r>
              <w:rPr>
                <w:spacing w:val="-10"/>
              </w:rPr>
              <w:t xml:space="preserve"> </w:t>
            </w:r>
            <w:r>
              <w:t>Audit</w:t>
            </w:r>
            <w:r>
              <w:rPr>
                <w:spacing w:val="-9"/>
              </w:rPr>
              <w:t xml:space="preserve"> </w:t>
            </w:r>
            <w:r>
              <w:t>Procedures</w:t>
            </w:r>
            <w:r>
              <w:rPr>
                <w:spacing w:val="-9"/>
              </w:rPr>
              <w:t xml:space="preserve"> </w:t>
            </w:r>
            <w:r>
              <w:t>for</w:t>
            </w:r>
            <w:r>
              <w:rPr>
                <w:spacing w:val="-10"/>
              </w:rPr>
              <w:t xml:space="preserve"> </w:t>
            </w:r>
            <w:r>
              <w:t>Intragovernmental</w:t>
            </w:r>
            <w:r>
              <w:rPr>
                <w:spacing w:val="-9"/>
              </w:rPr>
              <w:t xml:space="preserve"> </w:t>
            </w:r>
            <w:r>
              <w:t>Activity</w:t>
            </w:r>
            <w:r>
              <w:rPr>
                <w:spacing w:val="-10"/>
              </w:rPr>
              <w:t xml:space="preserve"> </w:t>
            </w:r>
            <w:r>
              <w:t>and</w:t>
            </w:r>
            <w:r>
              <w:rPr>
                <w:spacing w:val="-10"/>
              </w:rPr>
              <w:t xml:space="preserve"> </w:t>
            </w:r>
            <w:r>
              <w:rPr>
                <w:spacing w:val="-2"/>
              </w:rPr>
              <w:t>Balances</w:t>
            </w:r>
          </w:p>
        </w:tc>
        <w:tc>
          <w:tcPr>
            <w:tcW w:w="999" w:type="dxa"/>
          </w:tcPr>
          <w:p w14:paraId="0DFDBED4" w14:textId="77777777" w:rsidR="00046465" w:rsidRDefault="008134EB">
            <w:pPr>
              <w:pStyle w:val="TableParagraph"/>
              <w:spacing w:before="116"/>
              <w:ind w:right="47"/>
              <w:jc w:val="right"/>
            </w:pPr>
            <w:r>
              <w:t>902</w:t>
            </w:r>
            <w:r>
              <w:rPr>
                <w:spacing w:val="-4"/>
              </w:rPr>
              <w:t xml:space="preserve"> </w:t>
            </w:r>
            <w:r>
              <w:rPr>
                <w:spacing w:val="-10"/>
              </w:rPr>
              <w:t>A</w:t>
            </w:r>
          </w:p>
        </w:tc>
      </w:tr>
      <w:tr w:rsidR="00046465" w14:paraId="0DFDBED8" w14:textId="77777777">
        <w:trPr>
          <w:trHeight w:val="493"/>
        </w:trPr>
        <w:tc>
          <w:tcPr>
            <w:tcW w:w="7861" w:type="dxa"/>
          </w:tcPr>
          <w:p w14:paraId="0DFDBED6" w14:textId="77777777" w:rsidR="00046465" w:rsidRDefault="008134EB">
            <w:pPr>
              <w:pStyle w:val="TableParagraph"/>
              <w:spacing w:before="116"/>
              <w:ind w:left="50"/>
            </w:pPr>
            <w:r>
              <w:t>Auditing</w:t>
            </w:r>
            <w:r>
              <w:rPr>
                <w:spacing w:val="-8"/>
              </w:rPr>
              <w:t xml:space="preserve"> </w:t>
            </w:r>
            <w:r>
              <w:t>Cost</w:t>
            </w:r>
            <w:r>
              <w:rPr>
                <w:spacing w:val="-7"/>
              </w:rPr>
              <w:t xml:space="preserve"> </w:t>
            </w:r>
            <w:r>
              <w:rPr>
                <w:spacing w:val="-2"/>
              </w:rPr>
              <w:t>Information</w:t>
            </w:r>
          </w:p>
        </w:tc>
        <w:tc>
          <w:tcPr>
            <w:tcW w:w="999" w:type="dxa"/>
          </w:tcPr>
          <w:p w14:paraId="0DFDBED7" w14:textId="77777777" w:rsidR="00046465" w:rsidRDefault="008134EB">
            <w:pPr>
              <w:pStyle w:val="TableParagraph"/>
              <w:spacing w:before="116"/>
              <w:ind w:left="374"/>
            </w:pPr>
            <w:r>
              <w:rPr>
                <w:spacing w:val="-5"/>
              </w:rPr>
              <w:t>903</w:t>
            </w:r>
          </w:p>
        </w:tc>
      </w:tr>
      <w:tr w:rsidR="00046465" w14:paraId="0DFDBEDB" w14:textId="77777777">
        <w:trPr>
          <w:trHeight w:val="493"/>
        </w:trPr>
        <w:tc>
          <w:tcPr>
            <w:tcW w:w="7861" w:type="dxa"/>
          </w:tcPr>
          <w:p w14:paraId="0DFDBED9" w14:textId="77777777" w:rsidR="00046465" w:rsidRDefault="008134EB">
            <w:pPr>
              <w:pStyle w:val="TableParagraph"/>
              <w:spacing w:before="116"/>
              <w:ind w:left="50"/>
            </w:pPr>
            <w:r>
              <w:t>Disclosure</w:t>
            </w:r>
            <w:r>
              <w:rPr>
                <w:spacing w:val="-11"/>
              </w:rPr>
              <w:t xml:space="preserve"> </w:t>
            </w:r>
            <w:r>
              <w:t>Entities,</w:t>
            </w:r>
            <w:r>
              <w:rPr>
                <w:spacing w:val="-11"/>
              </w:rPr>
              <w:t xml:space="preserve"> </w:t>
            </w:r>
            <w:r>
              <w:t>Related</w:t>
            </w:r>
            <w:r>
              <w:rPr>
                <w:spacing w:val="-10"/>
              </w:rPr>
              <w:t xml:space="preserve"> </w:t>
            </w:r>
            <w:r>
              <w:t>Parties,</w:t>
            </w:r>
            <w:r>
              <w:rPr>
                <w:spacing w:val="-10"/>
              </w:rPr>
              <w:t xml:space="preserve"> </w:t>
            </w:r>
            <w:r>
              <w:t>and</w:t>
            </w:r>
            <w:r>
              <w:rPr>
                <w:spacing w:val="-10"/>
              </w:rPr>
              <w:t xml:space="preserve"> </w:t>
            </w:r>
            <w:r>
              <w:t>Public-Private</w:t>
            </w:r>
            <w:r>
              <w:rPr>
                <w:spacing w:val="-10"/>
              </w:rPr>
              <w:t xml:space="preserve"> </w:t>
            </w:r>
            <w:r>
              <w:rPr>
                <w:spacing w:val="-2"/>
              </w:rPr>
              <w:t>Partnerships</w:t>
            </w:r>
          </w:p>
        </w:tc>
        <w:tc>
          <w:tcPr>
            <w:tcW w:w="999" w:type="dxa"/>
          </w:tcPr>
          <w:p w14:paraId="0DFDBEDA" w14:textId="77777777" w:rsidR="00046465" w:rsidRDefault="008134EB">
            <w:pPr>
              <w:pStyle w:val="TableParagraph"/>
              <w:spacing w:before="116"/>
              <w:ind w:left="374"/>
            </w:pPr>
            <w:r>
              <w:rPr>
                <w:spacing w:val="-5"/>
              </w:rPr>
              <w:t>904</w:t>
            </w:r>
          </w:p>
        </w:tc>
      </w:tr>
      <w:tr w:rsidR="00046465" w14:paraId="0DFDBEDE" w14:textId="77777777">
        <w:trPr>
          <w:trHeight w:val="492"/>
        </w:trPr>
        <w:tc>
          <w:tcPr>
            <w:tcW w:w="7861" w:type="dxa"/>
          </w:tcPr>
          <w:p w14:paraId="0DFDBEDC" w14:textId="77777777" w:rsidR="00046465" w:rsidRDefault="008134EB">
            <w:pPr>
              <w:pStyle w:val="TableParagraph"/>
              <w:spacing w:before="116"/>
              <w:ind w:left="50"/>
            </w:pPr>
            <w:r>
              <w:t>Auditing</w:t>
            </w:r>
            <w:r>
              <w:rPr>
                <w:spacing w:val="-11"/>
              </w:rPr>
              <w:t xml:space="preserve"> </w:t>
            </w:r>
            <w:r>
              <w:t>Accounting</w:t>
            </w:r>
            <w:r>
              <w:rPr>
                <w:spacing w:val="-11"/>
              </w:rPr>
              <w:t xml:space="preserve"> </w:t>
            </w:r>
            <w:r>
              <w:rPr>
                <w:spacing w:val="-2"/>
              </w:rPr>
              <w:t>Estimates</w:t>
            </w:r>
          </w:p>
        </w:tc>
        <w:tc>
          <w:tcPr>
            <w:tcW w:w="999" w:type="dxa"/>
          </w:tcPr>
          <w:p w14:paraId="0DFDBEDD" w14:textId="77777777" w:rsidR="00046465" w:rsidRDefault="008134EB">
            <w:pPr>
              <w:pStyle w:val="TableParagraph"/>
              <w:spacing w:before="116"/>
              <w:ind w:left="374"/>
            </w:pPr>
            <w:r>
              <w:rPr>
                <w:spacing w:val="-5"/>
              </w:rPr>
              <w:t>905</w:t>
            </w:r>
          </w:p>
        </w:tc>
      </w:tr>
      <w:tr w:rsidR="00046465" w14:paraId="0DFDBEE1" w14:textId="77777777">
        <w:trPr>
          <w:trHeight w:val="492"/>
        </w:trPr>
        <w:tc>
          <w:tcPr>
            <w:tcW w:w="7861" w:type="dxa"/>
          </w:tcPr>
          <w:p w14:paraId="0DFDBEDF" w14:textId="77777777" w:rsidR="00046465" w:rsidRDefault="008134EB">
            <w:pPr>
              <w:pStyle w:val="TableParagraph"/>
              <w:spacing w:before="115"/>
              <w:ind w:left="50"/>
            </w:pPr>
            <w:r>
              <w:t>Auditing</w:t>
            </w:r>
            <w:r>
              <w:rPr>
                <w:spacing w:val="-8"/>
              </w:rPr>
              <w:t xml:space="preserve"> </w:t>
            </w:r>
            <w:r>
              <w:t>Fund</w:t>
            </w:r>
            <w:r>
              <w:rPr>
                <w:spacing w:val="-7"/>
              </w:rPr>
              <w:t xml:space="preserve"> </w:t>
            </w:r>
            <w:r>
              <w:t>Balance</w:t>
            </w:r>
            <w:r>
              <w:rPr>
                <w:spacing w:val="-8"/>
              </w:rPr>
              <w:t xml:space="preserve"> </w:t>
            </w:r>
            <w:r>
              <w:t>with</w:t>
            </w:r>
            <w:r>
              <w:rPr>
                <w:spacing w:val="-7"/>
              </w:rPr>
              <w:t xml:space="preserve"> </w:t>
            </w:r>
            <w:r>
              <w:rPr>
                <w:spacing w:val="-2"/>
              </w:rPr>
              <w:t>Treasury</w:t>
            </w:r>
          </w:p>
        </w:tc>
        <w:tc>
          <w:tcPr>
            <w:tcW w:w="999" w:type="dxa"/>
          </w:tcPr>
          <w:p w14:paraId="0DFDBEE0" w14:textId="77777777" w:rsidR="00046465" w:rsidRDefault="008134EB">
            <w:pPr>
              <w:pStyle w:val="TableParagraph"/>
              <w:spacing w:before="115"/>
              <w:ind w:left="374"/>
            </w:pPr>
            <w:r>
              <w:rPr>
                <w:spacing w:val="-5"/>
              </w:rPr>
              <w:t>921</w:t>
            </w:r>
          </w:p>
        </w:tc>
      </w:tr>
      <w:tr w:rsidR="00046465" w14:paraId="0DFDBEE4" w14:textId="77777777">
        <w:trPr>
          <w:trHeight w:val="493"/>
        </w:trPr>
        <w:tc>
          <w:tcPr>
            <w:tcW w:w="7861" w:type="dxa"/>
          </w:tcPr>
          <w:p w14:paraId="0DFDBEE2" w14:textId="77777777" w:rsidR="00046465" w:rsidRDefault="008134EB">
            <w:pPr>
              <w:pStyle w:val="TableParagraph"/>
              <w:spacing w:before="116"/>
              <w:ind w:left="50"/>
            </w:pPr>
            <w:r>
              <w:t>Example</w:t>
            </w:r>
            <w:r>
              <w:rPr>
                <w:spacing w:val="-8"/>
              </w:rPr>
              <w:t xml:space="preserve"> </w:t>
            </w:r>
            <w:r>
              <w:t>Audit</w:t>
            </w:r>
            <w:r>
              <w:rPr>
                <w:spacing w:val="-8"/>
              </w:rPr>
              <w:t xml:space="preserve"> </w:t>
            </w:r>
            <w:r>
              <w:t>Procedures</w:t>
            </w:r>
            <w:r>
              <w:rPr>
                <w:spacing w:val="-6"/>
              </w:rPr>
              <w:t xml:space="preserve"> </w:t>
            </w:r>
            <w:r>
              <w:t>for</w:t>
            </w:r>
            <w:r>
              <w:rPr>
                <w:spacing w:val="-8"/>
              </w:rPr>
              <w:t xml:space="preserve"> </w:t>
            </w:r>
            <w:r>
              <w:t>Fund</w:t>
            </w:r>
            <w:r>
              <w:rPr>
                <w:spacing w:val="-9"/>
              </w:rPr>
              <w:t xml:space="preserve"> </w:t>
            </w:r>
            <w:r>
              <w:t>Balance</w:t>
            </w:r>
            <w:r>
              <w:rPr>
                <w:spacing w:val="-7"/>
              </w:rPr>
              <w:t xml:space="preserve"> </w:t>
            </w:r>
            <w:r>
              <w:t>with</w:t>
            </w:r>
            <w:r>
              <w:rPr>
                <w:spacing w:val="-8"/>
              </w:rPr>
              <w:t xml:space="preserve"> </w:t>
            </w:r>
            <w:r>
              <w:rPr>
                <w:spacing w:val="-2"/>
              </w:rPr>
              <w:t>Treasury</w:t>
            </w:r>
          </w:p>
        </w:tc>
        <w:tc>
          <w:tcPr>
            <w:tcW w:w="999" w:type="dxa"/>
          </w:tcPr>
          <w:p w14:paraId="0DFDBEE3" w14:textId="77777777" w:rsidR="00046465" w:rsidRDefault="008134EB">
            <w:pPr>
              <w:pStyle w:val="TableParagraph"/>
              <w:spacing w:before="116"/>
              <w:ind w:right="47"/>
              <w:jc w:val="right"/>
            </w:pPr>
            <w:r>
              <w:t>921</w:t>
            </w:r>
            <w:r>
              <w:rPr>
                <w:spacing w:val="-4"/>
              </w:rPr>
              <w:t xml:space="preserve"> </w:t>
            </w:r>
            <w:r>
              <w:rPr>
                <w:spacing w:val="-10"/>
              </w:rPr>
              <w:t>A</w:t>
            </w:r>
          </w:p>
        </w:tc>
      </w:tr>
      <w:tr w:rsidR="00046465" w14:paraId="0DFDBEE7" w14:textId="77777777">
        <w:trPr>
          <w:trHeight w:val="493"/>
        </w:trPr>
        <w:tc>
          <w:tcPr>
            <w:tcW w:w="7861" w:type="dxa"/>
          </w:tcPr>
          <w:p w14:paraId="0DFDBEE5" w14:textId="77777777" w:rsidR="00046465" w:rsidRDefault="008134EB">
            <w:pPr>
              <w:pStyle w:val="TableParagraph"/>
              <w:spacing w:before="116"/>
              <w:ind w:left="50"/>
            </w:pPr>
            <w:r>
              <w:t>Example</w:t>
            </w:r>
            <w:r>
              <w:rPr>
                <w:spacing w:val="-8"/>
              </w:rPr>
              <w:t xml:space="preserve"> </w:t>
            </w:r>
            <w:r>
              <w:t>Audit</w:t>
            </w:r>
            <w:r>
              <w:rPr>
                <w:spacing w:val="-7"/>
              </w:rPr>
              <w:t xml:space="preserve"> </w:t>
            </w:r>
            <w:r>
              <w:t>Procedures</w:t>
            </w:r>
            <w:r>
              <w:rPr>
                <w:spacing w:val="-8"/>
              </w:rPr>
              <w:t xml:space="preserve"> </w:t>
            </w:r>
            <w:r>
              <w:t>for</w:t>
            </w:r>
            <w:r>
              <w:rPr>
                <w:spacing w:val="-7"/>
              </w:rPr>
              <w:t xml:space="preserve"> </w:t>
            </w:r>
            <w:r>
              <w:t>Auditing</w:t>
            </w:r>
            <w:r>
              <w:rPr>
                <w:spacing w:val="-8"/>
              </w:rPr>
              <w:t xml:space="preserve"> </w:t>
            </w:r>
            <w:r>
              <w:t>TAS</w:t>
            </w:r>
            <w:r>
              <w:rPr>
                <w:spacing w:val="-7"/>
              </w:rPr>
              <w:t xml:space="preserve"> </w:t>
            </w:r>
            <w:r>
              <w:t>and</w:t>
            </w:r>
            <w:r>
              <w:rPr>
                <w:spacing w:val="-8"/>
              </w:rPr>
              <w:t xml:space="preserve"> </w:t>
            </w:r>
            <w:r>
              <w:rPr>
                <w:spacing w:val="-4"/>
              </w:rPr>
              <w:t>BETC</w:t>
            </w:r>
          </w:p>
        </w:tc>
        <w:tc>
          <w:tcPr>
            <w:tcW w:w="999" w:type="dxa"/>
          </w:tcPr>
          <w:p w14:paraId="0DFDBEE6" w14:textId="77777777" w:rsidR="00046465" w:rsidRDefault="008134EB">
            <w:pPr>
              <w:pStyle w:val="TableParagraph"/>
              <w:spacing w:before="116"/>
              <w:ind w:right="47"/>
              <w:jc w:val="right"/>
            </w:pPr>
            <w:r>
              <w:t>921</w:t>
            </w:r>
            <w:r>
              <w:rPr>
                <w:spacing w:val="-4"/>
              </w:rPr>
              <w:t xml:space="preserve"> </w:t>
            </w:r>
            <w:r>
              <w:rPr>
                <w:spacing w:val="-10"/>
              </w:rPr>
              <w:t>B</w:t>
            </w:r>
          </w:p>
        </w:tc>
      </w:tr>
      <w:tr w:rsidR="00046465" w14:paraId="0DFDBEEA" w14:textId="77777777">
        <w:trPr>
          <w:trHeight w:val="493"/>
        </w:trPr>
        <w:tc>
          <w:tcPr>
            <w:tcW w:w="7861" w:type="dxa"/>
          </w:tcPr>
          <w:p w14:paraId="0DFDBEE8" w14:textId="77777777" w:rsidR="00046465" w:rsidRDefault="008134EB">
            <w:pPr>
              <w:pStyle w:val="TableParagraph"/>
              <w:spacing w:before="116"/>
              <w:ind w:left="50"/>
            </w:pPr>
            <w:r>
              <w:t>Auditing</w:t>
            </w:r>
            <w:r>
              <w:rPr>
                <w:spacing w:val="-8"/>
              </w:rPr>
              <w:t xml:space="preserve"> </w:t>
            </w:r>
            <w:r>
              <w:t>PP&amp;E</w:t>
            </w:r>
            <w:r>
              <w:rPr>
                <w:spacing w:val="-7"/>
              </w:rPr>
              <w:t xml:space="preserve"> </w:t>
            </w:r>
            <w:r>
              <w:t>Land</w:t>
            </w:r>
            <w:r>
              <w:rPr>
                <w:spacing w:val="-8"/>
              </w:rPr>
              <w:t xml:space="preserve"> </w:t>
            </w:r>
            <w:r>
              <w:t>and</w:t>
            </w:r>
            <w:r>
              <w:rPr>
                <w:spacing w:val="-7"/>
              </w:rPr>
              <w:t xml:space="preserve"> </w:t>
            </w:r>
            <w:r>
              <w:t>Stewardship</w:t>
            </w:r>
            <w:r>
              <w:rPr>
                <w:spacing w:val="-8"/>
              </w:rPr>
              <w:t xml:space="preserve"> </w:t>
            </w:r>
            <w:r>
              <w:rPr>
                <w:spacing w:val="-4"/>
              </w:rPr>
              <w:t>Land</w:t>
            </w:r>
          </w:p>
        </w:tc>
        <w:tc>
          <w:tcPr>
            <w:tcW w:w="999" w:type="dxa"/>
          </w:tcPr>
          <w:p w14:paraId="0DFDBEE9" w14:textId="77777777" w:rsidR="00046465" w:rsidRDefault="008134EB">
            <w:pPr>
              <w:pStyle w:val="TableParagraph"/>
              <w:spacing w:before="116"/>
              <w:ind w:left="374"/>
            </w:pPr>
            <w:r>
              <w:rPr>
                <w:spacing w:val="-5"/>
              </w:rPr>
              <w:t>931</w:t>
            </w:r>
          </w:p>
        </w:tc>
      </w:tr>
      <w:tr w:rsidR="00046465" w14:paraId="0DFDBEED" w14:textId="77777777">
        <w:trPr>
          <w:trHeight w:val="492"/>
        </w:trPr>
        <w:tc>
          <w:tcPr>
            <w:tcW w:w="7861" w:type="dxa"/>
          </w:tcPr>
          <w:p w14:paraId="0DFDBEEB" w14:textId="77777777" w:rsidR="00046465" w:rsidRDefault="008134EB">
            <w:pPr>
              <w:pStyle w:val="TableParagraph"/>
              <w:spacing w:before="116"/>
              <w:ind w:left="50"/>
            </w:pPr>
            <w:r>
              <w:t>Auditing</w:t>
            </w:r>
            <w:r>
              <w:rPr>
                <w:spacing w:val="-10"/>
              </w:rPr>
              <w:t xml:space="preserve"> </w:t>
            </w:r>
            <w:r>
              <w:t>Heritage</w:t>
            </w:r>
            <w:r>
              <w:rPr>
                <w:spacing w:val="-9"/>
              </w:rPr>
              <w:t xml:space="preserve"> </w:t>
            </w:r>
            <w:r>
              <w:rPr>
                <w:spacing w:val="-2"/>
              </w:rPr>
              <w:t>Assets</w:t>
            </w:r>
          </w:p>
        </w:tc>
        <w:tc>
          <w:tcPr>
            <w:tcW w:w="999" w:type="dxa"/>
          </w:tcPr>
          <w:p w14:paraId="0DFDBEEC" w14:textId="77777777" w:rsidR="00046465" w:rsidRDefault="008134EB">
            <w:pPr>
              <w:pStyle w:val="TableParagraph"/>
              <w:spacing w:before="116"/>
              <w:ind w:left="374"/>
            </w:pPr>
            <w:r>
              <w:rPr>
                <w:spacing w:val="-5"/>
              </w:rPr>
              <w:t>932</w:t>
            </w:r>
          </w:p>
        </w:tc>
      </w:tr>
      <w:tr w:rsidR="00046465" w14:paraId="0DFDBEF0" w14:textId="77777777">
        <w:trPr>
          <w:trHeight w:val="621"/>
        </w:trPr>
        <w:tc>
          <w:tcPr>
            <w:tcW w:w="7861" w:type="dxa"/>
          </w:tcPr>
          <w:p w14:paraId="0DFDBEEE" w14:textId="77777777" w:rsidR="00046465" w:rsidRDefault="008134EB">
            <w:pPr>
              <w:pStyle w:val="TableParagraph"/>
              <w:spacing w:before="96" w:line="250" w:lineRule="atLeast"/>
              <w:ind w:left="50"/>
            </w:pPr>
            <w:r>
              <w:t>Auditing</w:t>
            </w:r>
            <w:r>
              <w:rPr>
                <w:spacing w:val="-4"/>
              </w:rPr>
              <w:t xml:space="preserve"> </w:t>
            </w:r>
            <w:r>
              <w:t>the</w:t>
            </w:r>
            <w:r>
              <w:rPr>
                <w:spacing w:val="-5"/>
              </w:rPr>
              <w:t xml:space="preserve"> </w:t>
            </w:r>
            <w:r>
              <w:t>Statement</w:t>
            </w:r>
            <w:r>
              <w:rPr>
                <w:spacing w:val="-4"/>
              </w:rPr>
              <w:t xml:space="preserve"> </w:t>
            </w:r>
            <w:r>
              <w:t>of</w:t>
            </w:r>
            <w:r>
              <w:rPr>
                <w:spacing w:val="-4"/>
              </w:rPr>
              <w:t xml:space="preserve"> </w:t>
            </w:r>
            <w:r>
              <w:t>Social</w:t>
            </w:r>
            <w:r>
              <w:rPr>
                <w:spacing w:val="-4"/>
              </w:rPr>
              <w:t xml:space="preserve"> </w:t>
            </w:r>
            <w:r>
              <w:t>Insurance</w:t>
            </w:r>
            <w:r>
              <w:rPr>
                <w:spacing w:val="-4"/>
              </w:rPr>
              <w:t xml:space="preserve"> </w:t>
            </w:r>
            <w:r>
              <w:t>and</w:t>
            </w:r>
            <w:r>
              <w:rPr>
                <w:spacing w:val="-4"/>
              </w:rPr>
              <w:t xml:space="preserve"> </w:t>
            </w:r>
            <w:r>
              <w:t>the</w:t>
            </w:r>
            <w:r>
              <w:rPr>
                <w:spacing w:val="-4"/>
              </w:rPr>
              <w:t xml:space="preserve"> </w:t>
            </w:r>
            <w:r>
              <w:t>Statement</w:t>
            </w:r>
            <w:r>
              <w:rPr>
                <w:spacing w:val="-3"/>
              </w:rPr>
              <w:t xml:space="preserve"> </w:t>
            </w:r>
            <w:r>
              <w:t>of</w:t>
            </w:r>
            <w:r>
              <w:rPr>
                <w:spacing w:val="-4"/>
              </w:rPr>
              <w:t xml:space="preserve"> </w:t>
            </w:r>
            <w:r>
              <w:t>Changes</w:t>
            </w:r>
            <w:r>
              <w:rPr>
                <w:spacing w:val="-4"/>
              </w:rPr>
              <w:t xml:space="preserve"> </w:t>
            </w:r>
            <w:r>
              <w:t>in Social Insurance Amounts</w:t>
            </w:r>
          </w:p>
        </w:tc>
        <w:tc>
          <w:tcPr>
            <w:tcW w:w="999" w:type="dxa"/>
          </w:tcPr>
          <w:p w14:paraId="0DFDBEEF" w14:textId="77777777" w:rsidR="00046465" w:rsidRDefault="008134EB">
            <w:pPr>
              <w:pStyle w:val="TableParagraph"/>
              <w:spacing w:before="117"/>
              <w:ind w:left="374"/>
            </w:pPr>
            <w:r>
              <w:rPr>
                <w:spacing w:val="-5"/>
              </w:rPr>
              <w:t>941</w:t>
            </w:r>
          </w:p>
        </w:tc>
      </w:tr>
    </w:tbl>
    <w:p w14:paraId="0DFDBEF1" w14:textId="77777777" w:rsidR="00046465" w:rsidRDefault="00046465">
      <w:pPr>
        <w:pStyle w:val="TableParagraph"/>
        <w:sectPr w:rsidR="00046465">
          <w:headerReference w:type="default" r:id="rId164"/>
          <w:footerReference w:type="default" r:id="rId165"/>
          <w:pgSz w:w="12240" w:h="15840"/>
          <w:pgMar w:top="1340" w:right="720" w:bottom="940" w:left="1080" w:header="721" w:footer="757" w:gutter="0"/>
          <w:cols w:space="720"/>
        </w:sectPr>
      </w:pPr>
    </w:p>
    <w:p w14:paraId="0DFDBEF2" w14:textId="77777777" w:rsidR="00046465" w:rsidRDefault="008134EB" w:rsidP="00672078">
      <w:pPr>
        <w:pStyle w:val="Heading3"/>
      </w:pPr>
      <w:bookmarkStart w:id="253" w:name="902_–_Intragovernmental_Activity_and_Bal"/>
      <w:bookmarkStart w:id="254" w:name="_bookmark139"/>
      <w:bookmarkEnd w:id="253"/>
      <w:bookmarkEnd w:id="254"/>
      <w:r>
        <w:lastRenderedPageBreak/>
        <w:t>902</w:t>
      </w:r>
      <w:r>
        <w:rPr>
          <w:spacing w:val="-8"/>
        </w:rPr>
        <w:t xml:space="preserve"> </w:t>
      </w:r>
      <w:r>
        <w:t>–</w:t>
      </w:r>
      <w:r>
        <w:rPr>
          <w:spacing w:val="-5"/>
        </w:rPr>
        <w:t xml:space="preserve"> </w:t>
      </w:r>
      <w:r>
        <w:t>Intragovernmental</w:t>
      </w:r>
      <w:r>
        <w:rPr>
          <w:spacing w:val="-17"/>
        </w:rPr>
        <w:t xml:space="preserve"> </w:t>
      </w:r>
      <w:r>
        <w:t>Activity</w:t>
      </w:r>
      <w:r>
        <w:rPr>
          <w:spacing w:val="-5"/>
        </w:rPr>
        <w:t xml:space="preserve"> </w:t>
      </w:r>
      <w:r>
        <w:t>and</w:t>
      </w:r>
      <w:r>
        <w:rPr>
          <w:spacing w:val="-5"/>
        </w:rPr>
        <w:t xml:space="preserve"> </w:t>
      </w:r>
      <w:r>
        <w:rPr>
          <w:spacing w:val="-2"/>
        </w:rPr>
        <w:t>Balances</w:t>
      </w:r>
    </w:p>
    <w:p w14:paraId="0DFDBEF3" w14:textId="77777777" w:rsidR="00046465" w:rsidRDefault="008134EB">
      <w:pPr>
        <w:pStyle w:val="ListParagraph"/>
        <w:numPr>
          <w:ilvl w:val="0"/>
          <w:numId w:val="7"/>
        </w:numPr>
        <w:tabs>
          <w:tab w:val="left" w:pos="1800"/>
        </w:tabs>
        <w:spacing w:before="239"/>
        <w:ind w:right="727"/>
      </w:pPr>
      <w:r>
        <w:t>This</w:t>
      </w:r>
      <w:r>
        <w:rPr>
          <w:spacing w:val="-4"/>
        </w:rPr>
        <w:t xml:space="preserve"> </w:t>
      </w:r>
      <w:r>
        <w:t>section</w:t>
      </w:r>
      <w:r>
        <w:rPr>
          <w:spacing w:val="-5"/>
        </w:rPr>
        <w:t xml:space="preserve"> </w:t>
      </w:r>
      <w:r>
        <w:t>provides</w:t>
      </w:r>
      <w:r>
        <w:rPr>
          <w:spacing w:val="-4"/>
        </w:rPr>
        <w:t xml:space="preserve"> </w:t>
      </w:r>
      <w:r>
        <w:t>guidance</w:t>
      </w:r>
      <w:r>
        <w:rPr>
          <w:spacing w:val="-4"/>
        </w:rPr>
        <w:t xml:space="preserve"> </w:t>
      </w:r>
      <w:r>
        <w:t>on</w:t>
      </w:r>
      <w:r>
        <w:rPr>
          <w:spacing w:val="-4"/>
        </w:rPr>
        <w:t xml:space="preserve"> </w:t>
      </w:r>
      <w:r>
        <w:t>the</w:t>
      </w:r>
      <w:r>
        <w:rPr>
          <w:spacing w:val="-4"/>
        </w:rPr>
        <w:t xml:space="preserve"> </w:t>
      </w:r>
      <w:r>
        <w:t>procedures</w:t>
      </w:r>
      <w:r>
        <w:rPr>
          <w:spacing w:val="-4"/>
        </w:rPr>
        <w:t xml:space="preserve"> </w:t>
      </w:r>
      <w:r>
        <w:t>that</w:t>
      </w:r>
      <w:r>
        <w:rPr>
          <w:spacing w:val="-4"/>
        </w:rPr>
        <w:t xml:space="preserve"> </w:t>
      </w:r>
      <w:r>
        <w:t>the</w:t>
      </w:r>
      <w:r>
        <w:rPr>
          <w:spacing w:val="-4"/>
        </w:rPr>
        <w:t xml:space="preserve"> </w:t>
      </w:r>
      <w:r>
        <w:t>auditor</w:t>
      </w:r>
      <w:r>
        <w:rPr>
          <w:spacing w:val="-4"/>
        </w:rPr>
        <w:t xml:space="preserve"> </w:t>
      </w:r>
      <w:r>
        <w:t>should</w:t>
      </w:r>
      <w:r>
        <w:rPr>
          <w:spacing w:val="-5"/>
        </w:rPr>
        <w:t xml:space="preserve"> </w:t>
      </w:r>
      <w:r>
        <w:t>perform with</w:t>
      </w:r>
      <w:r>
        <w:rPr>
          <w:spacing w:val="-1"/>
        </w:rPr>
        <w:t xml:space="preserve"> </w:t>
      </w:r>
      <w:r>
        <w:t>respect</w:t>
      </w:r>
      <w:r>
        <w:rPr>
          <w:spacing w:val="-2"/>
        </w:rPr>
        <w:t xml:space="preserve"> </w:t>
      </w:r>
      <w:r>
        <w:t>to</w:t>
      </w:r>
      <w:r>
        <w:rPr>
          <w:spacing w:val="-1"/>
        </w:rPr>
        <w:t xml:space="preserve"> </w:t>
      </w:r>
      <w:r>
        <w:t>intragovernmental</w:t>
      </w:r>
      <w:r>
        <w:rPr>
          <w:spacing w:val="-1"/>
        </w:rPr>
        <w:t xml:space="preserve"> </w:t>
      </w:r>
      <w:r>
        <w:t>activity</w:t>
      </w:r>
      <w:r>
        <w:rPr>
          <w:spacing w:val="-1"/>
        </w:rPr>
        <w:t xml:space="preserve"> </w:t>
      </w:r>
      <w:r>
        <w:t>(i.e.,</w:t>
      </w:r>
      <w:r>
        <w:rPr>
          <w:spacing w:val="-1"/>
        </w:rPr>
        <w:t xml:space="preserve"> </w:t>
      </w:r>
      <w:r>
        <w:t>costs</w:t>
      </w:r>
      <w:r>
        <w:rPr>
          <w:spacing w:val="-1"/>
        </w:rPr>
        <w:t xml:space="preserve"> </w:t>
      </w:r>
      <w:r>
        <w:t>and</w:t>
      </w:r>
      <w:r>
        <w:rPr>
          <w:spacing w:val="-1"/>
        </w:rPr>
        <w:t xml:space="preserve"> </w:t>
      </w:r>
      <w:r>
        <w:t>revenues)</w:t>
      </w:r>
      <w:r>
        <w:rPr>
          <w:spacing w:val="-1"/>
        </w:rPr>
        <w:t xml:space="preserve"> </w:t>
      </w:r>
      <w:r>
        <w:t>and</w:t>
      </w:r>
      <w:r>
        <w:rPr>
          <w:spacing w:val="-1"/>
        </w:rPr>
        <w:t xml:space="preserve"> </w:t>
      </w:r>
      <w:r>
        <w:t>balances (i.e., assets and liabilities). The U.S. government in its entirety is an economic entity and federal entities are components of that entity. Therefore, transactions between federal entities are considered intragovernmental. Within the U.S. government, many federal entities rely on other federal entities to help them achieve their missions and fulfill their operating objectives. These arrangements may be voluntary, stipulated by law, or established by mutual agreement of the entities involved. Note that activity and balances of the General Fund of the U.S. Government (General</w:t>
      </w:r>
      <w:r>
        <w:rPr>
          <w:spacing w:val="-1"/>
        </w:rPr>
        <w:t xml:space="preserve"> </w:t>
      </w:r>
      <w:r>
        <w:t>Fund)</w:t>
      </w:r>
      <w:hyperlink w:anchor="_bookmark140" w:history="1">
        <w:r>
          <w:rPr>
            <w:position w:val="7"/>
            <w:sz w:val="14"/>
          </w:rPr>
          <w:t>1</w:t>
        </w:r>
      </w:hyperlink>
      <w:r>
        <w:rPr>
          <w:spacing w:val="20"/>
          <w:position w:val="7"/>
          <w:sz w:val="14"/>
        </w:rPr>
        <w:t xml:space="preserve"> </w:t>
      </w:r>
      <w:r>
        <w:t>are</w:t>
      </w:r>
      <w:r>
        <w:rPr>
          <w:spacing w:val="-1"/>
        </w:rPr>
        <w:t xml:space="preserve"> </w:t>
      </w:r>
      <w:r>
        <w:t>intragovernmental</w:t>
      </w:r>
      <w:r>
        <w:rPr>
          <w:spacing w:val="-1"/>
        </w:rPr>
        <w:t xml:space="preserve"> </w:t>
      </w:r>
      <w:r>
        <w:t>and</w:t>
      </w:r>
      <w:r>
        <w:rPr>
          <w:spacing w:val="-1"/>
        </w:rPr>
        <w:t xml:space="preserve"> </w:t>
      </w:r>
      <w:r>
        <w:t>are</w:t>
      </w:r>
      <w:r>
        <w:rPr>
          <w:spacing w:val="-1"/>
        </w:rPr>
        <w:t xml:space="preserve"> </w:t>
      </w:r>
      <w:r>
        <w:t>therefore</w:t>
      </w:r>
      <w:r>
        <w:rPr>
          <w:spacing w:val="-1"/>
        </w:rPr>
        <w:t xml:space="preserve"> </w:t>
      </w:r>
      <w:r>
        <w:t>addressed in FAM 902 and 921.</w:t>
      </w:r>
    </w:p>
    <w:p w14:paraId="0DFDBEF4" w14:textId="77777777" w:rsidR="00046465" w:rsidRDefault="008134EB">
      <w:pPr>
        <w:pStyle w:val="BodyText"/>
        <w:spacing w:before="120"/>
        <w:ind w:left="1800" w:right="726"/>
      </w:pPr>
      <w:r>
        <w:t>In many cases, the entity receiving goods or services reimburses the providing entity in accordance with an agreed-upon price, which may or may not represent fair value. However, frequently one entity provides goods or services to another entity</w:t>
      </w:r>
      <w:r>
        <w:rPr>
          <w:spacing w:val="-3"/>
        </w:rPr>
        <w:t xml:space="preserve"> </w:t>
      </w:r>
      <w:r>
        <w:t>free</w:t>
      </w:r>
      <w:r>
        <w:rPr>
          <w:spacing w:val="-3"/>
        </w:rPr>
        <w:t xml:space="preserve"> </w:t>
      </w:r>
      <w:r>
        <w:t>of</w:t>
      </w:r>
      <w:r>
        <w:rPr>
          <w:spacing w:val="-4"/>
        </w:rPr>
        <w:t xml:space="preserve"> </w:t>
      </w:r>
      <w:r>
        <w:t>charge</w:t>
      </w:r>
      <w:r>
        <w:rPr>
          <w:spacing w:val="-3"/>
        </w:rPr>
        <w:t xml:space="preserve"> </w:t>
      </w:r>
      <w:r>
        <w:t>(without</w:t>
      </w:r>
      <w:r>
        <w:rPr>
          <w:spacing w:val="-3"/>
        </w:rPr>
        <w:t xml:space="preserve"> </w:t>
      </w:r>
      <w:r>
        <w:t>reimbursement),</w:t>
      </w:r>
      <w:r>
        <w:rPr>
          <w:spacing w:val="-3"/>
        </w:rPr>
        <w:t xml:space="preserve"> </w:t>
      </w:r>
      <w:r>
        <w:t>and</w:t>
      </w:r>
      <w:r>
        <w:rPr>
          <w:spacing w:val="-3"/>
        </w:rPr>
        <w:t xml:space="preserve"> </w:t>
      </w:r>
      <w:r>
        <w:t>the</w:t>
      </w:r>
      <w:r>
        <w:rPr>
          <w:spacing w:val="-3"/>
        </w:rPr>
        <w:t xml:space="preserve"> </w:t>
      </w:r>
      <w:r>
        <w:t>cost</w:t>
      </w:r>
      <w:r>
        <w:rPr>
          <w:spacing w:val="-4"/>
        </w:rPr>
        <w:t xml:space="preserve"> </w:t>
      </w:r>
      <w:r>
        <w:t>of</w:t>
      </w:r>
      <w:r>
        <w:rPr>
          <w:spacing w:val="-3"/>
        </w:rPr>
        <w:t xml:space="preserve"> </w:t>
      </w:r>
      <w:r>
        <w:t>such</w:t>
      </w:r>
      <w:r>
        <w:rPr>
          <w:spacing w:val="-3"/>
        </w:rPr>
        <w:t xml:space="preserve"> </w:t>
      </w:r>
      <w:r>
        <w:t>activity</w:t>
      </w:r>
      <w:r>
        <w:rPr>
          <w:spacing w:val="-3"/>
        </w:rPr>
        <w:t xml:space="preserve"> </w:t>
      </w:r>
      <w:r>
        <w:t>is</w:t>
      </w:r>
      <w:r>
        <w:rPr>
          <w:spacing w:val="-3"/>
        </w:rPr>
        <w:t xml:space="preserve"> </w:t>
      </w:r>
      <w:r>
        <w:t>paid with</w:t>
      </w:r>
      <w:r>
        <w:rPr>
          <w:spacing w:val="-2"/>
        </w:rPr>
        <w:t xml:space="preserve"> </w:t>
      </w:r>
      <w:r>
        <w:t>the</w:t>
      </w:r>
      <w:r>
        <w:rPr>
          <w:spacing w:val="-2"/>
        </w:rPr>
        <w:t xml:space="preserve"> </w:t>
      </w:r>
      <w:r>
        <w:t>providing</w:t>
      </w:r>
      <w:r>
        <w:rPr>
          <w:spacing w:val="-2"/>
        </w:rPr>
        <w:t xml:space="preserve"> </w:t>
      </w:r>
      <w:r>
        <w:t>entity’s</w:t>
      </w:r>
      <w:r>
        <w:rPr>
          <w:spacing w:val="-2"/>
        </w:rPr>
        <w:t xml:space="preserve"> </w:t>
      </w:r>
      <w:r>
        <w:t>appropriated</w:t>
      </w:r>
      <w:r>
        <w:rPr>
          <w:spacing w:val="-2"/>
        </w:rPr>
        <w:t xml:space="preserve"> </w:t>
      </w:r>
      <w:r>
        <w:t>funds.</w:t>
      </w:r>
      <w:r>
        <w:rPr>
          <w:spacing w:val="-2"/>
        </w:rPr>
        <w:t xml:space="preserve"> </w:t>
      </w:r>
      <w:r>
        <w:t>For</w:t>
      </w:r>
      <w:r>
        <w:rPr>
          <w:spacing w:val="-2"/>
        </w:rPr>
        <w:t xml:space="preserve"> </w:t>
      </w:r>
      <w:r>
        <w:t>example,</w:t>
      </w:r>
      <w:r>
        <w:rPr>
          <w:spacing w:val="-2"/>
        </w:rPr>
        <w:t xml:space="preserve"> </w:t>
      </w:r>
      <w:r>
        <w:t>the</w:t>
      </w:r>
      <w:r>
        <w:rPr>
          <w:spacing w:val="-2"/>
        </w:rPr>
        <w:t xml:space="preserve"> </w:t>
      </w:r>
      <w:r>
        <w:t>General</w:t>
      </w:r>
      <w:r>
        <w:rPr>
          <w:spacing w:val="-2"/>
        </w:rPr>
        <w:t xml:space="preserve"> </w:t>
      </w:r>
      <w:r>
        <w:t>Services Administration routinely provides property management services and contract award and administration services to other entities without charge.</w:t>
      </w:r>
    </w:p>
    <w:p w14:paraId="0DFDBEF5" w14:textId="77777777" w:rsidR="00046465" w:rsidRDefault="008134EB">
      <w:pPr>
        <w:pStyle w:val="ListParagraph"/>
        <w:numPr>
          <w:ilvl w:val="0"/>
          <w:numId w:val="7"/>
        </w:numPr>
        <w:tabs>
          <w:tab w:val="left" w:pos="1800"/>
        </w:tabs>
        <w:spacing w:before="121"/>
        <w:ind w:right="763"/>
      </w:pPr>
      <w:r>
        <w:t xml:space="preserve">Intragovernmental amounts represent activity and balances both </w:t>
      </w:r>
      <w:r>
        <w:rPr>
          <w:i/>
        </w:rPr>
        <w:t xml:space="preserve">within </w:t>
      </w:r>
      <w:r>
        <w:t xml:space="preserve">a federal entity and </w:t>
      </w:r>
      <w:r>
        <w:rPr>
          <w:i/>
        </w:rPr>
        <w:t xml:space="preserve">between </w:t>
      </w:r>
      <w:r>
        <w:t>federal entities. “Intra-entity” amounts are intragovernmental activity and balances within a federal entity (any federal agency, department, administration, or government corporation that is not part of a larger financial reporting</w:t>
      </w:r>
      <w:r>
        <w:rPr>
          <w:spacing w:val="-4"/>
        </w:rPr>
        <w:t xml:space="preserve"> </w:t>
      </w:r>
      <w:r>
        <w:t>entity</w:t>
      </w:r>
      <w:r>
        <w:rPr>
          <w:spacing w:val="-4"/>
        </w:rPr>
        <w:t xml:space="preserve"> </w:t>
      </w:r>
      <w:r>
        <w:t>other</w:t>
      </w:r>
      <w:r>
        <w:rPr>
          <w:spacing w:val="-4"/>
        </w:rPr>
        <w:t xml:space="preserve"> </w:t>
      </w:r>
      <w:r>
        <w:t>than</w:t>
      </w:r>
      <w:r>
        <w:rPr>
          <w:spacing w:val="-4"/>
        </w:rPr>
        <w:t xml:space="preserve"> </w:t>
      </w:r>
      <w:r>
        <w:t>the</w:t>
      </w:r>
      <w:r>
        <w:rPr>
          <w:spacing w:val="-4"/>
        </w:rPr>
        <w:t xml:space="preserve"> </w:t>
      </w:r>
      <w:r>
        <w:t>government</w:t>
      </w:r>
      <w:r>
        <w:rPr>
          <w:spacing w:val="-4"/>
        </w:rPr>
        <w:t xml:space="preserve"> </w:t>
      </w:r>
      <w:r>
        <w:t>as</w:t>
      </w:r>
      <w:r>
        <w:rPr>
          <w:spacing w:val="-4"/>
        </w:rPr>
        <w:t xml:space="preserve"> </w:t>
      </w:r>
      <w:r>
        <w:t>a</w:t>
      </w:r>
      <w:r>
        <w:rPr>
          <w:spacing w:val="-4"/>
        </w:rPr>
        <w:t xml:space="preserve"> </w:t>
      </w:r>
      <w:r>
        <w:t>whole).</w:t>
      </w:r>
      <w:r>
        <w:rPr>
          <w:spacing w:val="-4"/>
        </w:rPr>
        <w:t xml:space="preserve"> </w:t>
      </w:r>
      <w:r>
        <w:t>“Inter-entity”</w:t>
      </w:r>
      <w:r>
        <w:rPr>
          <w:spacing w:val="-4"/>
        </w:rPr>
        <w:t xml:space="preserve"> </w:t>
      </w:r>
      <w:r>
        <w:t>amounts</w:t>
      </w:r>
      <w:r>
        <w:rPr>
          <w:spacing w:val="-4"/>
        </w:rPr>
        <w:t xml:space="preserve"> </w:t>
      </w:r>
      <w:r>
        <w:t>are intragovernmental activity and balances between two federal entities that are trading partners. Intra-entity amounts and inter-entity amounts constitute intragovernmental activity and balances.</w:t>
      </w:r>
    </w:p>
    <w:p w14:paraId="0DFDBEF6" w14:textId="77777777" w:rsidR="00046465" w:rsidRDefault="008134EB">
      <w:pPr>
        <w:pStyle w:val="BodyText"/>
        <w:spacing w:before="120"/>
        <w:ind w:left="1799" w:right="749"/>
      </w:pPr>
      <w:r>
        <w:t>Although</w:t>
      </w:r>
      <w:r>
        <w:rPr>
          <w:spacing w:val="-3"/>
        </w:rPr>
        <w:t xml:space="preserve"> </w:t>
      </w:r>
      <w:r>
        <w:t>the</w:t>
      </w:r>
      <w:r>
        <w:rPr>
          <w:spacing w:val="-3"/>
        </w:rPr>
        <w:t xml:space="preserve"> </w:t>
      </w:r>
      <w:r>
        <w:t>Federal</w:t>
      </w:r>
      <w:r>
        <w:rPr>
          <w:spacing w:val="-3"/>
        </w:rPr>
        <w:t xml:space="preserve"> </w:t>
      </w:r>
      <w:r>
        <w:t>Accounting</w:t>
      </w:r>
      <w:r>
        <w:rPr>
          <w:spacing w:val="-3"/>
        </w:rPr>
        <w:t xml:space="preserve"> </w:t>
      </w:r>
      <w:r>
        <w:t>Standards</w:t>
      </w:r>
      <w:r>
        <w:rPr>
          <w:spacing w:val="-3"/>
        </w:rPr>
        <w:t xml:space="preserve"> </w:t>
      </w:r>
      <w:r>
        <w:t>Advisory</w:t>
      </w:r>
      <w:r>
        <w:rPr>
          <w:spacing w:val="-3"/>
        </w:rPr>
        <w:t xml:space="preserve"> </w:t>
      </w:r>
      <w:r>
        <w:t>Board</w:t>
      </w:r>
      <w:r>
        <w:rPr>
          <w:spacing w:val="-4"/>
        </w:rPr>
        <w:t xml:space="preserve"> </w:t>
      </w:r>
      <w:r>
        <w:t>(FASAB)</w:t>
      </w:r>
      <w:r>
        <w:rPr>
          <w:spacing w:val="-4"/>
        </w:rPr>
        <w:t xml:space="preserve"> </w:t>
      </w:r>
      <w:r>
        <w:t>has</w:t>
      </w:r>
      <w:r>
        <w:rPr>
          <w:spacing w:val="-3"/>
        </w:rPr>
        <w:t xml:space="preserve"> </w:t>
      </w:r>
      <w:r>
        <w:t>used various terms for intragovernmental amounts, it has predominately used “intra-entity” and “inter-entity” (as defined above), including in key intragovernmental pronouncements.</w:t>
      </w:r>
      <w:hyperlink w:anchor="_bookmark141" w:history="1">
        <w:r>
          <w:rPr>
            <w:position w:val="7"/>
            <w:sz w:val="14"/>
          </w:rPr>
          <w:t>2</w:t>
        </w:r>
      </w:hyperlink>
      <w:r>
        <w:rPr>
          <w:spacing w:val="39"/>
          <w:position w:val="7"/>
          <w:sz w:val="14"/>
        </w:rPr>
        <w:t xml:space="preserve"> </w:t>
      </w:r>
      <w:r>
        <w:t>In addition, Office of Management and Budget (OMB) reporting</w:t>
      </w:r>
      <w:r>
        <w:rPr>
          <w:spacing w:val="-3"/>
        </w:rPr>
        <w:t xml:space="preserve"> </w:t>
      </w:r>
      <w:r>
        <w:t>guidance</w:t>
      </w:r>
      <w:hyperlink w:anchor="_bookmark142" w:history="1">
        <w:r>
          <w:rPr>
            <w:position w:val="7"/>
            <w:sz w:val="14"/>
          </w:rPr>
          <w:t>3</w:t>
        </w:r>
      </w:hyperlink>
      <w:r>
        <w:rPr>
          <w:spacing w:val="18"/>
          <w:position w:val="7"/>
          <w:sz w:val="14"/>
        </w:rPr>
        <w:t xml:space="preserve"> </w:t>
      </w:r>
      <w:r>
        <w:t>uses</w:t>
      </w:r>
      <w:r>
        <w:rPr>
          <w:spacing w:val="-4"/>
        </w:rPr>
        <w:t xml:space="preserve"> </w:t>
      </w:r>
      <w:r>
        <w:t>“intra-entity”</w:t>
      </w:r>
      <w:r>
        <w:rPr>
          <w:spacing w:val="-4"/>
        </w:rPr>
        <w:t xml:space="preserve"> </w:t>
      </w:r>
      <w:r>
        <w:t>and</w:t>
      </w:r>
      <w:r>
        <w:rPr>
          <w:spacing w:val="-3"/>
        </w:rPr>
        <w:t xml:space="preserve"> </w:t>
      </w:r>
      <w:r>
        <w:t>“inter-entity.”</w:t>
      </w:r>
      <w:r>
        <w:rPr>
          <w:spacing w:val="-3"/>
        </w:rPr>
        <w:t xml:space="preserve"> </w:t>
      </w:r>
      <w:r>
        <w:t>In</w:t>
      </w:r>
      <w:r>
        <w:rPr>
          <w:spacing w:val="-3"/>
        </w:rPr>
        <w:t xml:space="preserve"> </w:t>
      </w:r>
      <w:r>
        <w:t>line</w:t>
      </w:r>
      <w:r>
        <w:rPr>
          <w:spacing w:val="-4"/>
        </w:rPr>
        <w:t xml:space="preserve"> </w:t>
      </w:r>
      <w:r>
        <w:t>with</w:t>
      </w:r>
      <w:r>
        <w:rPr>
          <w:spacing w:val="-3"/>
        </w:rPr>
        <w:t xml:space="preserve"> </w:t>
      </w:r>
      <w:r>
        <w:t>FASAB</w:t>
      </w:r>
      <w:r>
        <w:rPr>
          <w:spacing w:val="-3"/>
        </w:rPr>
        <w:t xml:space="preserve"> </w:t>
      </w:r>
      <w:r>
        <w:t>and OMB, the FAM uses “intra-entity” and “inter-entity” to refer to the two types of intragovernmental amounts.</w:t>
      </w:r>
    </w:p>
    <w:p w14:paraId="0DFDBEF7" w14:textId="77777777" w:rsidR="00046465" w:rsidRDefault="008134EB">
      <w:pPr>
        <w:pStyle w:val="ListParagraph"/>
        <w:numPr>
          <w:ilvl w:val="0"/>
          <w:numId w:val="7"/>
        </w:numPr>
        <w:tabs>
          <w:tab w:val="left" w:pos="1799"/>
        </w:tabs>
        <w:spacing w:before="119"/>
        <w:ind w:left="1799" w:right="1374"/>
      </w:pPr>
      <w:r>
        <w:t>Inter-entity</w:t>
      </w:r>
      <w:r>
        <w:rPr>
          <w:spacing w:val="-6"/>
        </w:rPr>
        <w:t xml:space="preserve"> </w:t>
      </w:r>
      <w:r>
        <w:t>intragovernmental</w:t>
      </w:r>
      <w:r>
        <w:rPr>
          <w:spacing w:val="-6"/>
        </w:rPr>
        <w:t xml:space="preserve"> </w:t>
      </w:r>
      <w:r>
        <w:t>differences</w:t>
      </w:r>
      <w:r>
        <w:rPr>
          <w:spacing w:val="-6"/>
        </w:rPr>
        <w:t xml:space="preserve"> </w:t>
      </w:r>
      <w:r>
        <w:t>have</w:t>
      </w:r>
      <w:r>
        <w:rPr>
          <w:spacing w:val="-7"/>
        </w:rPr>
        <w:t xml:space="preserve"> </w:t>
      </w:r>
      <w:r>
        <w:t>specific</w:t>
      </w:r>
      <w:r>
        <w:rPr>
          <w:spacing w:val="-6"/>
        </w:rPr>
        <w:t xml:space="preserve"> </w:t>
      </w:r>
      <w:r>
        <w:t>terminology.</w:t>
      </w:r>
      <w:r>
        <w:rPr>
          <w:spacing w:val="-6"/>
        </w:rPr>
        <w:t xml:space="preserve"> </w:t>
      </w:r>
      <w:r>
        <w:t>These differences occur when federal trading partners do not record the same transaction in the same time period for the same amount. Differences, if unresolved, are errors in the U.S. government’s consolidated financial</w:t>
      </w:r>
    </w:p>
    <w:p w14:paraId="0DFDBEF8" w14:textId="77777777" w:rsidR="00046465" w:rsidRDefault="00046465">
      <w:pPr>
        <w:pStyle w:val="BodyText"/>
        <w:rPr>
          <w:sz w:val="20"/>
        </w:rPr>
      </w:pPr>
    </w:p>
    <w:p w14:paraId="0DFDBEF9" w14:textId="77777777" w:rsidR="00046465" w:rsidRDefault="008134EB">
      <w:pPr>
        <w:pStyle w:val="BodyText"/>
        <w:spacing w:before="3"/>
        <w:rPr>
          <w:sz w:val="20"/>
        </w:rPr>
      </w:pPr>
      <w:r>
        <w:rPr>
          <w:noProof/>
          <w:sz w:val="20"/>
        </w:rPr>
        <mc:AlternateContent>
          <mc:Choice Requires="wps">
            <w:drawing>
              <wp:anchor distT="0" distB="0" distL="0" distR="0" simplePos="0" relativeHeight="487713792" behindDoc="1" locked="0" layoutInCell="1" allowOverlap="1" wp14:anchorId="0DFDD6FF" wp14:editId="0DFDD700">
                <wp:simplePos x="0" y="0"/>
                <wp:positionH relativeFrom="page">
                  <wp:posOffset>914400</wp:posOffset>
                </wp:positionH>
                <wp:positionV relativeFrom="paragraph">
                  <wp:posOffset>163478</wp:posOffset>
                </wp:positionV>
                <wp:extent cx="1828800" cy="5715"/>
                <wp:effectExtent l="0" t="0" r="0" b="0"/>
                <wp:wrapTopAndBottom/>
                <wp:docPr id="880" name="Graphic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A3BD92" id="Graphic 880" o:spid="_x0000_s1026" style="position:absolute;margin-left:1in;margin-top:12.85pt;width:2in;height:.45pt;z-index:-1560268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" path="m1828800,l,,,5334r1828800,l1828800,xe" fillcolor="black" stroked="f">
                <v:path arrowok="t"/>
                <w10:wrap type="topAndBottom" anchorx="page"/>
              </v:shape>
            </w:pict>
          </mc:Fallback>
        </mc:AlternateContent>
      </w:r>
    </w:p>
    <w:p w14:paraId="0DFDBEFA" w14:textId="77777777" w:rsidR="00046465" w:rsidRDefault="008134EB">
      <w:pPr>
        <w:spacing w:before="200" w:line="244" w:lineRule="auto"/>
        <w:ind w:left="360" w:right="749" w:hanging="1"/>
        <w:rPr>
          <w:sz w:val="18"/>
        </w:rPr>
      </w:pPr>
      <w:bookmarkStart w:id="255" w:name="_bookmark140"/>
      <w:bookmarkEnd w:id="255"/>
      <w:r>
        <w:rPr>
          <w:position w:val="7"/>
          <w:sz w:val="14"/>
        </w:rPr>
        <w:t>1</w:t>
      </w:r>
      <w:r>
        <w:rPr>
          <w:sz w:val="18"/>
        </w:rPr>
        <w:t>The</w:t>
      </w:r>
      <w:r>
        <w:rPr>
          <w:spacing w:val="-4"/>
          <w:sz w:val="18"/>
        </w:rPr>
        <w:t xml:space="preserve"> </w:t>
      </w:r>
      <w:r>
        <w:rPr>
          <w:sz w:val="18"/>
        </w:rPr>
        <w:t>General</w:t>
      </w:r>
      <w:r>
        <w:rPr>
          <w:spacing w:val="-3"/>
          <w:sz w:val="18"/>
        </w:rPr>
        <w:t xml:space="preserve"> </w:t>
      </w:r>
      <w:r>
        <w:rPr>
          <w:sz w:val="18"/>
        </w:rPr>
        <w:t>Fund</w:t>
      </w:r>
      <w:r>
        <w:rPr>
          <w:spacing w:val="-4"/>
          <w:sz w:val="18"/>
        </w:rPr>
        <w:t xml:space="preserve"> </w:t>
      </w:r>
      <w:r>
        <w:rPr>
          <w:sz w:val="18"/>
        </w:rPr>
        <w:t>of</w:t>
      </w:r>
      <w:r>
        <w:rPr>
          <w:spacing w:val="-3"/>
          <w:sz w:val="18"/>
        </w:rPr>
        <w:t xml:space="preserve"> </w:t>
      </w:r>
      <w:r>
        <w:rPr>
          <w:sz w:val="18"/>
        </w:rPr>
        <w:t>the</w:t>
      </w:r>
      <w:r>
        <w:rPr>
          <w:spacing w:val="-4"/>
          <w:sz w:val="18"/>
        </w:rPr>
        <w:t xml:space="preserve"> </w:t>
      </w:r>
      <w:r>
        <w:rPr>
          <w:sz w:val="18"/>
        </w:rPr>
        <w:t>U.S.</w:t>
      </w:r>
      <w:r>
        <w:rPr>
          <w:spacing w:val="-2"/>
          <w:sz w:val="18"/>
        </w:rPr>
        <w:t xml:space="preserve"> </w:t>
      </w:r>
      <w:r>
        <w:rPr>
          <w:sz w:val="18"/>
        </w:rPr>
        <w:t>Government</w:t>
      </w:r>
      <w:r>
        <w:rPr>
          <w:spacing w:val="-3"/>
          <w:sz w:val="18"/>
        </w:rPr>
        <w:t xml:space="preserve"> </w:t>
      </w:r>
      <w:r>
        <w:rPr>
          <w:sz w:val="18"/>
        </w:rPr>
        <w:t>is</w:t>
      </w:r>
      <w:r>
        <w:rPr>
          <w:spacing w:val="-2"/>
          <w:sz w:val="18"/>
        </w:rPr>
        <w:t xml:space="preserve"> </w:t>
      </w:r>
      <w:r>
        <w:rPr>
          <w:sz w:val="18"/>
        </w:rPr>
        <w:t>a</w:t>
      </w:r>
      <w:r>
        <w:rPr>
          <w:spacing w:val="-4"/>
          <w:sz w:val="18"/>
        </w:rPr>
        <w:t xml:space="preserve"> </w:t>
      </w:r>
      <w:r>
        <w:rPr>
          <w:sz w:val="18"/>
        </w:rPr>
        <w:t>component</w:t>
      </w:r>
      <w:r>
        <w:rPr>
          <w:spacing w:val="-2"/>
          <w:sz w:val="18"/>
        </w:rPr>
        <w:t xml:space="preserve"> </w:t>
      </w:r>
      <w:r>
        <w:rPr>
          <w:sz w:val="18"/>
        </w:rPr>
        <w:t>of</w:t>
      </w:r>
      <w:r>
        <w:rPr>
          <w:spacing w:val="-3"/>
          <w:sz w:val="18"/>
        </w:rPr>
        <w:t xml:space="preserve"> </w:t>
      </w:r>
      <w:r>
        <w:rPr>
          <w:sz w:val="18"/>
        </w:rPr>
        <w:t>the</w:t>
      </w:r>
      <w:r>
        <w:rPr>
          <w:spacing w:val="-4"/>
          <w:sz w:val="18"/>
        </w:rPr>
        <w:t xml:space="preserve"> </w:t>
      </w:r>
      <w:r>
        <w:rPr>
          <w:sz w:val="18"/>
        </w:rPr>
        <w:t>Department</w:t>
      </w:r>
      <w:r>
        <w:rPr>
          <w:spacing w:val="-3"/>
          <w:sz w:val="18"/>
        </w:rPr>
        <w:t xml:space="preserve"> </w:t>
      </w:r>
      <w:r>
        <w:rPr>
          <w:sz w:val="18"/>
        </w:rPr>
        <w:t>of</w:t>
      </w:r>
      <w:r>
        <w:rPr>
          <w:spacing w:val="-3"/>
          <w:sz w:val="18"/>
        </w:rPr>
        <w:t xml:space="preserve"> </w:t>
      </w:r>
      <w:r>
        <w:rPr>
          <w:sz w:val="18"/>
        </w:rPr>
        <w:t>the</w:t>
      </w:r>
      <w:r>
        <w:rPr>
          <w:spacing w:val="-4"/>
          <w:sz w:val="18"/>
        </w:rPr>
        <w:t xml:space="preserve"> </w:t>
      </w:r>
      <w:r>
        <w:rPr>
          <w:sz w:val="18"/>
        </w:rPr>
        <w:t>Treasury’s</w:t>
      </w:r>
      <w:r>
        <w:rPr>
          <w:spacing w:val="-3"/>
          <w:sz w:val="18"/>
        </w:rPr>
        <w:t xml:space="preserve"> </w:t>
      </w:r>
      <w:r>
        <w:rPr>
          <w:sz w:val="18"/>
        </w:rPr>
        <w:t>central</w:t>
      </w:r>
      <w:r>
        <w:rPr>
          <w:spacing w:val="-3"/>
          <w:sz w:val="18"/>
        </w:rPr>
        <w:t xml:space="preserve"> </w:t>
      </w:r>
      <w:r>
        <w:rPr>
          <w:sz w:val="18"/>
        </w:rPr>
        <w:t>accounting function. It is a stand-alone reporting entity that comprises the activities fundamental to funding the federal government (e.g., issued budget authority cash activity, and debt financing activities).</w:t>
      </w:r>
    </w:p>
    <w:p w14:paraId="0DFDBEFB" w14:textId="77777777" w:rsidR="00046465" w:rsidRDefault="008134EB">
      <w:pPr>
        <w:spacing w:before="122" w:line="249" w:lineRule="auto"/>
        <w:ind w:left="360" w:right="749" w:hanging="1"/>
        <w:rPr>
          <w:sz w:val="18"/>
        </w:rPr>
      </w:pPr>
      <w:bookmarkStart w:id="256" w:name="_bookmark141"/>
      <w:bookmarkEnd w:id="256"/>
      <w:r>
        <w:rPr>
          <w:position w:val="7"/>
          <w:sz w:val="14"/>
        </w:rPr>
        <w:t>2</w:t>
      </w:r>
      <w:r>
        <w:rPr>
          <w:sz w:val="18"/>
        </w:rPr>
        <w:t>See</w:t>
      </w:r>
      <w:r>
        <w:rPr>
          <w:spacing w:val="-4"/>
          <w:sz w:val="18"/>
        </w:rPr>
        <w:t xml:space="preserve"> </w:t>
      </w:r>
      <w:r>
        <w:rPr>
          <w:sz w:val="18"/>
        </w:rPr>
        <w:t>Statement</w:t>
      </w:r>
      <w:r>
        <w:rPr>
          <w:spacing w:val="-3"/>
          <w:sz w:val="18"/>
        </w:rPr>
        <w:t xml:space="preserve"> </w:t>
      </w:r>
      <w:r>
        <w:rPr>
          <w:sz w:val="18"/>
        </w:rPr>
        <w:t>of</w:t>
      </w:r>
      <w:r>
        <w:rPr>
          <w:spacing w:val="-3"/>
          <w:sz w:val="18"/>
        </w:rPr>
        <w:t xml:space="preserve"> </w:t>
      </w:r>
      <w:r>
        <w:rPr>
          <w:sz w:val="18"/>
        </w:rPr>
        <w:t>Federal</w:t>
      </w:r>
      <w:r>
        <w:rPr>
          <w:spacing w:val="-3"/>
          <w:sz w:val="18"/>
        </w:rPr>
        <w:t xml:space="preserve"> </w:t>
      </w:r>
      <w:r>
        <w:rPr>
          <w:sz w:val="18"/>
        </w:rPr>
        <w:t>Financial</w:t>
      </w:r>
      <w:r>
        <w:rPr>
          <w:spacing w:val="-3"/>
          <w:sz w:val="18"/>
        </w:rPr>
        <w:t xml:space="preserve"> </w:t>
      </w:r>
      <w:r>
        <w:rPr>
          <w:sz w:val="18"/>
        </w:rPr>
        <w:t>Accounting</w:t>
      </w:r>
      <w:r>
        <w:rPr>
          <w:spacing w:val="-4"/>
          <w:sz w:val="18"/>
        </w:rPr>
        <w:t xml:space="preserve"> </w:t>
      </w:r>
      <w:r>
        <w:rPr>
          <w:sz w:val="18"/>
        </w:rPr>
        <w:t>Standards</w:t>
      </w:r>
      <w:r>
        <w:rPr>
          <w:spacing w:val="-3"/>
          <w:sz w:val="18"/>
        </w:rPr>
        <w:t xml:space="preserve"> </w:t>
      </w:r>
      <w:r>
        <w:rPr>
          <w:sz w:val="18"/>
        </w:rPr>
        <w:t>(SFFAS</w:t>
      </w:r>
      <w:r>
        <w:rPr>
          <w:spacing w:val="-3"/>
          <w:sz w:val="18"/>
        </w:rPr>
        <w:t xml:space="preserve"> </w:t>
      </w:r>
      <w:r>
        <w:rPr>
          <w:sz w:val="18"/>
        </w:rPr>
        <w:t>4)</w:t>
      </w:r>
      <w:r>
        <w:rPr>
          <w:i/>
          <w:sz w:val="18"/>
        </w:rPr>
        <w:t>,</w:t>
      </w:r>
      <w:r>
        <w:rPr>
          <w:i/>
          <w:spacing w:val="-3"/>
          <w:sz w:val="18"/>
        </w:rPr>
        <w:t xml:space="preserve"> </w:t>
      </w:r>
      <w:r>
        <w:rPr>
          <w:i/>
          <w:sz w:val="18"/>
        </w:rPr>
        <w:t>Managerial</w:t>
      </w:r>
      <w:r>
        <w:rPr>
          <w:i/>
          <w:spacing w:val="-3"/>
          <w:sz w:val="18"/>
        </w:rPr>
        <w:t xml:space="preserve"> </w:t>
      </w:r>
      <w:r>
        <w:rPr>
          <w:i/>
          <w:sz w:val="18"/>
        </w:rPr>
        <w:t>Cost</w:t>
      </w:r>
      <w:r>
        <w:rPr>
          <w:i/>
          <w:spacing w:val="-3"/>
          <w:sz w:val="18"/>
        </w:rPr>
        <w:t xml:space="preserve"> </w:t>
      </w:r>
      <w:r>
        <w:rPr>
          <w:i/>
          <w:sz w:val="18"/>
        </w:rPr>
        <w:t>Accounting</w:t>
      </w:r>
      <w:r>
        <w:rPr>
          <w:i/>
          <w:spacing w:val="-4"/>
          <w:sz w:val="18"/>
        </w:rPr>
        <w:t xml:space="preserve"> </w:t>
      </w:r>
      <w:r>
        <w:rPr>
          <w:i/>
          <w:sz w:val="18"/>
        </w:rPr>
        <w:t>Concepts</w:t>
      </w:r>
      <w:r>
        <w:rPr>
          <w:i/>
          <w:spacing w:val="-3"/>
          <w:sz w:val="18"/>
        </w:rPr>
        <w:t xml:space="preserve"> </w:t>
      </w:r>
      <w:r>
        <w:rPr>
          <w:i/>
          <w:sz w:val="18"/>
        </w:rPr>
        <w:t xml:space="preserve">and Standards, </w:t>
      </w:r>
      <w:r>
        <w:rPr>
          <w:sz w:val="18"/>
        </w:rPr>
        <w:t xml:space="preserve">and SFFAS 55, </w:t>
      </w:r>
      <w:r>
        <w:rPr>
          <w:i/>
          <w:sz w:val="18"/>
        </w:rPr>
        <w:t>Amending Inter-entity Cost Provisions</w:t>
      </w:r>
      <w:r>
        <w:rPr>
          <w:sz w:val="18"/>
        </w:rPr>
        <w:t>.</w:t>
      </w:r>
    </w:p>
    <w:p w14:paraId="0DFDBEFC" w14:textId="77777777" w:rsidR="00046465" w:rsidRDefault="008134EB">
      <w:pPr>
        <w:spacing w:before="118" w:line="249" w:lineRule="auto"/>
        <w:ind w:left="359" w:right="749"/>
        <w:rPr>
          <w:sz w:val="18"/>
        </w:rPr>
      </w:pPr>
      <w:bookmarkStart w:id="257" w:name="_bookmark142"/>
      <w:bookmarkEnd w:id="257"/>
      <w:r>
        <w:rPr>
          <w:position w:val="7"/>
          <w:sz w:val="14"/>
        </w:rPr>
        <w:t>3</w:t>
      </w:r>
      <w:r>
        <w:rPr>
          <w:sz w:val="18"/>
        </w:rPr>
        <w:t>OMB</w:t>
      </w:r>
      <w:r>
        <w:rPr>
          <w:spacing w:val="-3"/>
          <w:sz w:val="18"/>
        </w:rPr>
        <w:t xml:space="preserve"> </w:t>
      </w:r>
      <w:r>
        <w:rPr>
          <w:sz w:val="18"/>
        </w:rPr>
        <w:t>reporting</w:t>
      </w:r>
      <w:r>
        <w:rPr>
          <w:spacing w:val="-2"/>
          <w:sz w:val="18"/>
        </w:rPr>
        <w:t xml:space="preserve"> </w:t>
      </w:r>
      <w:r>
        <w:rPr>
          <w:sz w:val="18"/>
        </w:rPr>
        <w:t>guidance</w:t>
      </w:r>
      <w:r>
        <w:rPr>
          <w:spacing w:val="-4"/>
          <w:sz w:val="18"/>
        </w:rPr>
        <w:t xml:space="preserve"> </w:t>
      </w:r>
      <w:r>
        <w:rPr>
          <w:sz w:val="18"/>
        </w:rPr>
        <w:t>in</w:t>
      </w:r>
      <w:r>
        <w:rPr>
          <w:spacing w:val="-4"/>
          <w:sz w:val="18"/>
        </w:rPr>
        <w:t xml:space="preserve"> </w:t>
      </w:r>
      <w:r>
        <w:rPr>
          <w:sz w:val="18"/>
        </w:rPr>
        <w:t>OMB</w:t>
      </w:r>
      <w:r>
        <w:rPr>
          <w:spacing w:val="-3"/>
          <w:sz w:val="18"/>
        </w:rPr>
        <w:t xml:space="preserve"> </w:t>
      </w:r>
      <w:r>
        <w:rPr>
          <w:sz w:val="18"/>
        </w:rPr>
        <w:t>Circular</w:t>
      </w:r>
      <w:r>
        <w:rPr>
          <w:spacing w:val="-3"/>
          <w:sz w:val="18"/>
        </w:rPr>
        <w:t xml:space="preserve"> </w:t>
      </w:r>
      <w:r>
        <w:rPr>
          <w:sz w:val="18"/>
        </w:rPr>
        <w:t>No.</w:t>
      </w:r>
      <w:r>
        <w:rPr>
          <w:spacing w:val="-3"/>
          <w:sz w:val="18"/>
        </w:rPr>
        <w:t xml:space="preserve"> </w:t>
      </w:r>
      <w:r>
        <w:rPr>
          <w:sz w:val="18"/>
        </w:rPr>
        <w:t>A-136,</w:t>
      </w:r>
      <w:r>
        <w:rPr>
          <w:spacing w:val="-3"/>
          <w:sz w:val="18"/>
        </w:rPr>
        <w:t xml:space="preserve"> </w:t>
      </w:r>
      <w:r>
        <w:rPr>
          <w:i/>
          <w:sz w:val="18"/>
        </w:rPr>
        <w:t>Financial</w:t>
      </w:r>
      <w:r>
        <w:rPr>
          <w:i/>
          <w:spacing w:val="-3"/>
          <w:sz w:val="18"/>
        </w:rPr>
        <w:t xml:space="preserve"> </w:t>
      </w:r>
      <w:r>
        <w:rPr>
          <w:i/>
          <w:sz w:val="18"/>
        </w:rPr>
        <w:t>Reporting</w:t>
      </w:r>
      <w:r>
        <w:rPr>
          <w:i/>
          <w:spacing w:val="-4"/>
          <w:sz w:val="18"/>
        </w:rPr>
        <w:t xml:space="preserve"> </w:t>
      </w:r>
      <w:r>
        <w:rPr>
          <w:i/>
          <w:sz w:val="18"/>
        </w:rPr>
        <w:t>Requirements</w:t>
      </w:r>
      <w:r>
        <w:rPr>
          <w:sz w:val="18"/>
        </w:rPr>
        <w:t>,</w:t>
      </w:r>
      <w:r>
        <w:rPr>
          <w:spacing w:val="-3"/>
          <w:sz w:val="18"/>
        </w:rPr>
        <w:t xml:space="preserve"> </w:t>
      </w:r>
      <w:r>
        <w:rPr>
          <w:sz w:val="18"/>
        </w:rPr>
        <w:t>is</w:t>
      </w:r>
      <w:r>
        <w:rPr>
          <w:spacing w:val="-3"/>
          <w:sz w:val="18"/>
        </w:rPr>
        <w:t xml:space="preserve"> </w:t>
      </w:r>
      <w:r>
        <w:rPr>
          <w:sz w:val="18"/>
        </w:rPr>
        <w:t>updated</w:t>
      </w:r>
      <w:r>
        <w:rPr>
          <w:spacing w:val="-4"/>
          <w:sz w:val="18"/>
        </w:rPr>
        <w:t xml:space="preserve"> </w:t>
      </w:r>
      <w:r>
        <w:rPr>
          <w:sz w:val="18"/>
        </w:rPr>
        <w:t>annually.</w:t>
      </w:r>
      <w:r>
        <w:rPr>
          <w:spacing w:val="-3"/>
          <w:sz w:val="18"/>
        </w:rPr>
        <w:t xml:space="preserve"> </w:t>
      </w:r>
      <w:r>
        <w:rPr>
          <w:sz w:val="18"/>
        </w:rPr>
        <w:t>Users should refer to the OMB reporting guidance applicable to the current financial audit.</w:t>
      </w:r>
    </w:p>
    <w:p w14:paraId="0DFDBEFD" w14:textId="77777777" w:rsidR="00046465" w:rsidRDefault="00046465">
      <w:pPr>
        <w:spacing w:line="249" w:lineRule="auto"/>
        <w:rPr>
          <w:sz w:val="18"/>
        </w:rPr>
        <w:sectPr w:rsidR="00046465">
          <w:headerReference w:type="default" r:id="rId166"/>
          <w:footerReference w:type="default" r:id="rId167"/>
          <w:pgSz w:w="12240" w:h="15840"/>
          <w:pgMar w:top="1340" w:right="720" w:bottom="940" w:left="1080" w:header="721" w:footer="757" w:gutter="0"/>
          <w:cols w:space="720"/>
        </w:sectPr>
      </w:pPr>
    </w:p>
    <w:p w14:paraId="0DFDBEFE" w14:textId="77777777" w:rsidR="00046465" w:rsidRDefault="008134EB">
      <w:pPr>
        <w:pStyle w:val="BodyText"/>
        <w:spacing w:before="121"/>
        <w:ind w:left="1800" w:right="726"/>
      </w:pPr>
      <w:r>
        <w:lastRenderedPageBreak/>
        <w:t xml:space="preserve">statements. At the entity level, intragovernmental amounts need to be </w:t>
      </w:r>
      <w:r>
        <w:rPr>
          <w:i/>
        </w:rPr>
        <w:t xml:space="preserve">reconciled </w:t>
      </w:r>
      <w:r>
        <w:t>with</w:t>
      </w:r>
      <w:r>
        <w:rPr>
          <w:spacing w:val="-4"/>
        </w:rPr>
        <w:t xml:space="preserve"> </w:t>
      </w:r>
      <w:r>
        <w:t>trading</w:t>
      </w:r>
      <w:r>
        <w:rPr>
          <w:spacing w:val="-5"/>
        </w:rPr>
        <w:t xml:space="preserve"> </w:t>
      </w:r>
      <w:r>
        <w:t>partners,</w:t>
      </w:r>
      <w:r>
        <w:rPr>
          <w:spacing w:val="-4"/>
        </w:rPr>
        <w:t xml:space="preserve"> </w:t>
      </w:r>
      <w:r>
        <w:t>and</w:t>
      </w:r>
      <w:r>
        <w:rPr>
          <w:spacing w:val="-4"/>
        </w:rPr>
        <w:t xml:space="preserve"> </w:t>
      </w:r>
      <w:r>
        <w:t>then</w:t>
      </w:r>
      <w:r>
        <w:rPr>
          <w:spacing w:val="-4"/>
        </w:rPr>
        <w:t xml:space="preserve"> </w:t>
      </w:r>
      <w:r>
        <w:t>any</w:t>
      </w:r>
      <w:r>
        <w:rPr>
          <w:spacing w:val="-4"/>
        </w:rPr>
        <w:t xml:space="preserve"> </w:t>
      </w:r>
      <w:r>
        <w:t>resulting</w:t>
      </w:r>
      <w:r>
        <w:rPr>
          <w:spacing w:val="-4"/>
        </w:rPr>
        <w:t xml:space="preserve"> </w:t>
      </w:r>
      <w:r>
        <w:t>differences</w:t>
      </w:r>
      <w:r>
        <w:rPr>
          <w:spacing w:val="-4"/>
        </w:rPr>
        <w:t xml:space="preserve"> </w:t>
      </w:r>
      <w:r>
        <w:t>need</w:t>
      </w:r>
      <w:r>
        <w:rPr>
          <w:spacing w:val="-4"/>
        </w:rPr>
        <w:t xml:space="preserve"> </w:t>
      </w:r>
      <w:r>
        <w:t>to</w:t>
      </w:r>
      <w:r>
        <w:rPr>
          <w:spacing w:val="-4"/>
        </w:rPr>
        <w:t xml:space="preserve"> </w:t>
      </w:r>
      <w:r>
        <w:t>be</w:t>
      </w:r>
      <w:r>
        <w:rPr>
          <w:spacing w:val="-4"/>
        </w:rPr>
        <w:t xml:space="preserve"> </w:t>
      </w:r>
      <w:r>
        <w:rPr>
          <w:i/>
        </w:rPr>
        <w:t>resolved</w:t>
      </w:r>
      <w:r>
        <w:t>.</w:t>
      </w:r>
      <w:r>
        <w:rPr>
          <w:spacing w:val="-3"/>
        </w:rPr>
        <w:t xml:space="preserve"> </w:t>
      </w:r>
      <w:r>
        <w:t>The terms used for intragovernmental differences are as follows:</w:t>
      </w:r>
    </w:p>
    <w:p w14:paraId="0DFDBEFF" w14:textId="77777777" w:rsidR="00046465" w:rsidRDefault="008134EB">
      <w:pPr>
        <w:pStyle w:val="ListParagraph"/>
        <w:numPr>
          <w:ilvl w:val="1"/>
          <w:numId w:val="7"/>
        </w:numPr>
        <w:tabs>
          <w:tab w:val="left" w:pos="2159"/>
        </w:tabs>
        <w:spacing w:before="119"/>
        <w:ind w:hanging="359"/>
      </w:pPr>
      <w:r>
        <w:rPr>
          <w:spacing w:val="-2"/>
        </w:rPr>
        <w:t>Reconciliation</w:t>
      </w:r>
    </w:p>
    <w:p w14:paraId="0DFDBF00" w14:textId="77777777" w:rsidR="00046465" w:rsidRDefault="008134EB">
      <w:pPr>
        <w:pStyle w:val="ListParagraph"/>
        <w:numPr>
          <w:ilvl w:val="2"/>
          <w:numId w:val="7"/>
        </w:numPr>
        <w:tabs>
          <w:tab w:val="left" w:pos="2519"/>
        </w:tabs>
        <w:ind w:right="1449"/>
      </w:pPr>
      <w:r>
        <w:rPr>
          <w:b/>
        </w:rPr>
        <w:t>Reconciled</w:t>
      </w:r>
      <w:r>
        <w:rPr>
          <w:b/>
          <w:spacing w:val="-4"/>
        </w:rPr>
        <w:t xml:space="preserve"> </w:t>
      </w:r>
      <w:r>
        <w:rPr>
          <w:b/>
        </w:rPr>
        <w:t>difference</w:t>
      </w:r>
      <w:r>
        <w:t>:</w:t>
      </w:r>
      <w:r>
        <w:rPr>
          <w:spacing w:val="-4"/>
        </w:rPr>
        <w:t xml:space="preserve"> </w:t>
      </w:r>
      <w:r>
        <w:t>the</w:t>
      </w:r>
      <w:r>
        <w:rPr>
          <w:spacing w:val="-4"/>
        </w:rPr>
        <w:t xml:space="preserve"> </w:t>
      </w:r>
      <w:r>
        <w:t>reason</w:t>
      </w:r>
      <w:r>
        <w:rPr>
          <w:spacing w:val="-4"/>
        </w:rPr>
        <w:t xml:space="preserve"> </w:t>
      </w:r>
      <w:r>
        <w:t>for</w:t>
      </w:r>
      <w:r>
        <w:rPr>
          <w:spacing w:val="-4"/>
        </w:rPr>
        <w:t xml:space="preserve"> </w:t>
      </w:r>
      <w:r>
        <w:t>the</w:t>
      </w:r>
      <w:r>
        <w:rPr>
          <w:spacing w:val="-4"/>
        </w:rPr>
        <w:t xml:space="preserve"> </w:t>
      </w:r>
      <w:r>
        <w:t>difference</w:t>
      </w:r>
      <w:r>
        <w:rPr>
          <w:spacing w:val="-4"/>
        </w:rPr>
        <w:t xml:space="preserve"> </w:t>
      </w:r>
      <w:r>
        <w:t>and</w:t>
      </w:r>
      <w:r>
        <w:rPr>
          <w:spacing w:val="-4"/>
        </w:rPr>
        <w:t xml:space="preserve"> </w:t>
      </w:r>
      <w:r>
        <w:t>its</w:t>
      </w:r>
      <w:r>
        <w:rPr>
          <w:spacing w:val="-5"/>
        </w:rPr>
        <w:t xml:space="preserve"> </w:t>
      </w:r>
      <w:r>
        <w:t>dollar amount is known and identified.</w:t>
      </w:r>
    </w:p>
    <w:p w14:paraId="0DFDBF01" w14:textId="77777777" w:rsidR="00046465" w:rsidRDefault="008134EB">
      <w:pPr>
        <w:pStyle w:val="ListParagraph"/>
        <w:numPr>
          <w:ilvl w:val="2"/>
          <w:numId w:val="7"/>
        </w:numPr>
        <w:tabs>
          <w:tab w:val="left" w:pos="2519"/>
        </w:tabs>
        <w:spacing w:before="118"/>
        <w:ind w:right="1230"/>
      </w:pPr>
      <w:r>
        <w:rPr>
          <w:b/>
        </w:rPr>
        <w:t>Unreconciled</w:t>
      </w:r>
      <w:r>
        <w:rPr>
          <w:b/>
          <w:spacing w:val="-5"/>
        </w:rPr>
        <w:t xml:space="preserve"> </w:t>
      </w:r>
      <w:r>
        <w:rPr>
          <w:b/>
        </w:rPr>
        <w:t>difference</w:t>
      </w:r>
      <w:r>
        <w:t>:</w:t>
      </w:r>
      <w:r>
        <w:rPr>
          <w:spacing w:val="-5"/>
        </w:rPr>
        <w:t xml:space="preserve"> </w:t>
      </w:r>
      <w:r>
        <w:t>the</w:t>
      </w:r>
      <w:r>
        <w:rPr>
          <w:spacing w:val="-5"/>
        </w:rPr>
        <w:t xml:space="preserve"> </w:t>
      </w:r>
      <w:r>
        <w:t>reason</w:t>
      </w:r>
      <w:r>
        <w:rPr>
          <w:spacing w:val="-5"/>
        </w:rPr>
        <w:t xml:space="preserve"> </w:t>
      </w:r>
      <w:r>
        <w:t>for</w:t>
      </w:r>
      <w:r>
        <w:rPr>
          <w:spacing w:val="-5"/>
        </w:rPr>
        <w:t xml:space="preserve"> </w:t>
      </w:r>
      <w:r>
        <w:t>the</w:t>
      </w:r>
      <w:r>
        <w:rPr>
          <w:spacing w:val="-5"/>
        </w:rPr>
        <w:t xml:space="preserve"> </w:t>
      </w:r>
      <w:r>
        <w:t>difference</w:t>
      </w:r>
      <w:r>
        <w:rPr>
          <w:spacing w:val="-5"/>
        </w:rPr>
        <w:t xml:space="preserve"> </w:t>
      </w:r>
      <w:r>
        <w:t>and</w:t>
      </w:r>
      <w:r>
        <w:rPr>
          <w:spacing w:val="-6"/>
        </w:rPr>
        <w:t xml:space="preserve"> </w:t>
      </w:r>
      <w:r>
        <w:t>its</w:t>
      </w:r>
      <w:r>
        <w:rPr>
          <w:spacing w:val="-5"/>
        </w:rPr>
        <w:t xml:space="preserve"> </w:t>
      </w:r>
      <w:r>
        <w:t>dollar amount is not known and identified.</w:t>
      </w:r>
    </w:p>
    <w:p w14:paraId="0DFDBF02" w14:textId="77777777" w:rsidR="00046465" w:rsidRDefault="008134EB">
      <w:pPr>
        <w:pStyle w:val="ListParagraph"/>
        <w:numPr>
          <w:ilvl w:val="1"/>
          <w:numId w:val="7"/>
        </w:numPr>
        <w:tabs>
          <w:tab w:val="left" w:pos="2158"/>
        </w:tabs>
        <w:spacing w:before="119"/>
        <w:ind w:left="2158" w:hanging="359"/>
      </w:pPr>
      <w:r>
        <w:rPr>
          <w:spacing w:val="-2"/>
        </w:rPr>
        <w:t>Resolution</w:t>
      </w:r>
    </w:p>
    <w:p w14:paraId="0DFDBF03" w14:textId="77777777" w:rsidR="00046465" w:rsidRDefault="008134EB">
      <w:pPr>
        <w:pStyle w:val="ListParagraph"/>
        <w:numPr>
          <w:ilvl w:val="2"/>
          <w:numId w:val="7"/>
        </w:numPr>
        <w:tabs>
          <w:tab w:val="left" w:pos="2519"/>
        </w:tabs>
        <w:ind w:right="766"/>
      </w:pPr>
      <w:r>
        <w:rPr>
          <w:b/>
        </w:rPr>
        <w:t>Resolved</w:t>
      </w:r>
      <w:r>
        <w:rPr>
          <w:b/>
          <w:spacing w:val="-5"/>
        </w:rPr>
        <w:t xml:space="preserve"> </w:t>
      </w:r>
      <w:r>
        <w:rPr>
          <w:b/>
        </w:rPr>
        <w:t>difference</w:t>
      </w:r>
      <w:r>
        <w:t>:</w:t>
      </w:r>
      <w:r>
        <w:rPr>
          <w:spacing w:val="-5"/>
        </w:rPr>
        <w:t xml:space="preserve"> </w:t>
      </w:r>
      <w:r>
        <w:t>the</w:t>
      </w:r>
      <w:r>
        <w:rPr>
          <w:spacing w:val="-5"/>
        </w:rPr>
        <w:t xml:space="preserve"> </w:t>
      </w:r>
      <w:r>
        <w:t>difference</w:t>
      </w:r>
      <w:r>
        <w:rPr>
          <w:spacing w:val="-6"/>
        </w:rPr>
        <w:t xml:space="preserve"> </w:t>
      </w:r>
      <w:r>
        <w:t>is</w:t>
      </w:r>
      <w:r>
        <w:rPr>
          <w:spacing w:val="-5"/>
        </w:rPr>
        <w:t xml:space="preserve"> </w:t>
      </w:r>
      <w:r>
        <w:t>reconciled</w:t>
      </w:r>
      <w:r>
        <w:rPr>
          <w:spacing w:val="-6"/>
        </w:rPr>
        <w:t xml:space="preserve"> </w:t>
      </w:r>
      <w:r>
        <w:t>and</w:t>
      </w:r>
      <w:r>
        <w:rPr>
          <w:spacing w:val="-5"/>
        </w:rPr>
        <w:t xml:space="preserve"> </w:t>
      </w:r>
      <w:r>
        <w:t>an</w:t>
      </w:r>
      <w:r>
        <w:rPr>
          <w:spacing w:val="-5"/>
        </w:rPr>
        <w:t xml:space="preserve"> </w:t>
      </w:r>
      <w:r>
        <w:t>adjustment</w:t>
      </w:r>
      <w:r>
        <w:rPr>
          <w:spacing w:val="-5"/>
        </w:rPr>
        <w:t xml:space="preserve"> </w:t>
      </w:r>
      <w:r>
        <w:t xml:space="preserve">was made to correct accounting records resulting in the difference no longer </w:t>
      </w:r>
      <w:r>
        <w:rPr>
          <w:spacing w:val="-2"/>
        </w:rPr>
        <w:t>existing.</w:t>
      </w:r>
    </w:p>
    <w:p w14:paraId="0DFDBF04" w14:textId="77777777" w:rsidR="00046465" w:rsidRDefault="008134EB">
      <w:pPr>
        <w:pStyle w:val="ListParagraph"/>
        <w:numPr>
          <w:ilvl w:val="2"/>
          <w:numId w:val="7"/>
        </w:numPr>
        <w:tabs>
          <w:tab w:val="left" w:pos="2519"/>
        </w:tabs>
        <w:spacing w:before="118"/>
        <w:ind w:right="1387"/>
      </w:pPr>
      <w:r>
        <w:rPr>
          <w:b/>
        </w:rPr>
        <w:t>Unresolved difference</w:t>
      </w:r>
      <w:r>
        <w:t>: a difference is reconciled; however, no adjustment</w:t>
      </w:r>
      <w:r>
        <w:rPr>
          <w:spacing w:val="-5"/>
        </w:rPr>
        <w:t xml:space="preserve"> </w:t>
      </w:r>
      <w:r>
        <w:t>was</w:t>
      </w:r>
      <w:r>
        <w:rPr>
          <w:spacing w:val="-5"/>
        </w:rPr>
        <w:t xml:space="preserve"> </w:t>
      </w:r>
      <w:r>
        <w:t>made</w:t>
      </w:r>
      <w:r>
        <w:rPr>
          <w:spacing w:val="-5"/>
        </w:rPr>
        <w:t xml:space="preserve"> </w:t>
      </w:r>
      <w:r>
        <w:t>to</w:t>
      </w:r>
      <w:r>
        <w:rPr>
          <w:spacing w:val="-5"/>
        </w:rPr>
        <w:t xml:space="preserve"> </w:t>
      </w:r>
      <w:r>
        <w:t>correct</w:t>
      </w:r>
      <w:r>
        <w:rPr>
          <w:spacing w:val="-5"/>
        </w:rPr>
        <w:t xml:space="preserve"> </w:t>
      </w:r>
      <w:r>
        <w:t>accounting</w:t>
      </w:r>
      <w:r>
        <w:rPr>
          <w:spacing w:val="-5"/>
        </w:rPr>
        <w:t xml:space="preserve"> </w:t>
      </w:r>
      <w:r>
        <w:t>records</w:t>
      </w:r>
      <w:r>
        <w:rPr>
          <w:spacing w:val="-5"/>
        </w:rPr>
        <w:t xml:space="preserve"> </w:t>
      </w:r>
      <w:r>
        <w:t>resulting</w:t>
      </w:r>
      <w:r>
        <w:rPr>
          <w:spacing w:val="-5"/>
        </w:rPr>
        <w:t xml:space="preserve"> </w:t>
      </w:r>
      <w:r>
        <w:t>in</w:t>
      </w:r>
      <w:r>
        <w:rPr>
          <w:spacing w:val="-5"/>
        </w:rPr>
        <w:t xml:space="preserve"> </w:t>
      </w:r>
      <w:r>
        <w:t>the difference continuing to exist.</w:t>
      </w:r>
    </w:p>
    <w:p w14:paraId="0DFDBF05" w14:textId="77777777" w:rsidR="00046465" w:rsidRDefault="008134EB">
      <w:pPr>
        <w:pStyle w:val="ListParagraph"/>
        <w:numPr>
          <w:ilvl w:val="0"/>
          <w:numId w:val="7"/>
        </w:numPr>
        <w:tabs>
          <w:tab w:val="left" w:pos="1799"/>
        </w:tabs>
        <w:spacing w:before="119"/>
        <w:ind w:left="1799" w:hanging="720"/>
      </w:pPr>
      <w:r>
        <w:t>Common</w:t>
      </w:r>
      <w:r>
        <w:rPr>
          <w:spacing w:val="-9"/>
        </w:rPr>
        <w:t xml:space="preserve"> </w:t>
      </w:r>
      <w:r>
        <w:t>examples</w:t>
      </w:r>
      <w:r>
        <w:rPr>
          <w:spacing w:val="-9"/>
        </w:rPr>
        <w:t xml:space="preserve"> </w:t>
      </w:r>
      <w:r>
        <w:t>of</w:t>
      </w:r>
      <w:r>
        <w:rPr>
          <w:spacing w:val="-8"/>
        </w:rPr>
        <w:t xml:space="preserve"> </w:t>
      </w:r>
      <w:r>
        <w:t>intragovernmental</w:t>
      </w:r>
      <w:r>
        <w:rPr>
          <w:spacing w:val="-9"/>
        </w:rPr>
        <w:t xml:space="preserve"> </w:t>
      </w:r>
      <w:r>
        <w:t>activity</w:t>
      </w:r>
      <w:r>
        <w:rPr>
          <w:spacing w:val="-10"/>
        </w:rPr>
        <w:t xml:space="preserve"> </w:t>
      </w:r>
      <w:r>
        <w:t>include</w:t>
      </w:r>
      <w:r>
        <w:rPr>
          <w:spacing w:val="-8"/>
        </w:rPr>
        <w:t xml:space="preserve"> </w:t>
      </w:r>
      <w:r>
        <w:t>the</w:t>
      </w:r>
      <w:r>
        <w:rPr>
          <w:spacing w:val="-9"/>
        </w:rPr>
        <w:t xml:space="preserve"> </w:t>
      </w:r>
      <w:r>
        <w:rPr>
          <w:spacing w:val="-2"/>
        </w:rPr>
        <w:t>following:</w:t>
      </w:r>
    </w:p>
    <w:p w14:paraId="0DFDBF06" w14:textId="77777777" w:rsidR="00046465" w:rsidRDefault="008134EB">
      <w:pPr>
        <w:pStyle w:val="ListParagraph"/>
        <w:numPr>
          <w:ilvl w:val="1"/>
          <w:numId w:val="7"/>
        </w:numPr>
        <w:tabs>
          <w:tab w:val="left" w:pos="2159"/>
        </w:tabs>
        <w:spacing w:before="119"/>
        <w:ind w:right="1541"/>
      </w:pPr>
      <w:r>
        <w:t>goods</w:t>
      </w:r>
      <w:r>
        <w:rPr>
          <w:spacing w:val="-4"/>
        </w:rPr>
        <w:t xml:space="preserve"> </w:t>
      </w:r>
      <w:r>
        <w:t>and</w:t>
      </w:r>
      <w:r>
        <w:rPr>
          <w:spacing w:val="-4"/>
        </w:rPr>
        <w:t xml:space="preserve"> </w:t>
      </w:r>
      <w:r>
        <w:t>services</w:t>
      </w:r>
      <w:r>
        <w:rPr>
          <w:spacing w:val="-4"/>
        </w:rPr>
        <w:t xml:space="preserve"> </w:t>
      </w:r>
      <w:r>
        <w:t>provided</w:t>
      </w:r>
      <w:r>
        <w:rPr>
          <w:spacing w:val="-4"/>
        </w:rPr>
        <w:t xml:space="preserve"> </w:t>
      </w:r>
      <w:r>
        <w:t>from</w:t>
      </w:r>
      <w:r>
        <w:rPr>
          <w:spacing w:val="-5"/>
        </w:rPr>
        <w:t xml:space="preserve"> </w:t>
      </w:r>
      <w:r>
        <w:t>one</w:t>
      </w:r>
      <w:r>
        <w:rPr>
          <w:spacing w:val="-4"/>
        </w:rPr>
        <w:t xml:space="preserve"> </w:t>
      </w:r>
      <w:r>
        <w:t>federal</w:t>
      </w:r>
      <w:r>
        <w:rPr>
          <w:spacing w:val="-4"/>
        </w:rPr>
        <w:t xml:space="preserve"> </w:t>
      </w:r>
      <w:r>
        <w:t>entity</w:t>
      </w:r>
      <w:r>
        <w:rPr>
          <w:spacing w:val="-4"/>
        </w:rPr>
        <w:t xml:space="preserve"> </w:t>
      </w:r>
      <w:r>
        <w:t>to</w:t>
      </w:r>
      <w:r>
        <w:rPr>
          <w:spacing w:val="-4"/>
        </w:rPr>
        <w:t xml:space="preserve"> </w:t>
      </w:r>
      <w:r>
        <w:t>another</w:t>
      </w:r>
      <w:r>
        <w:rPr>
          <w:spacing w:val="-4"/>
        </w:rPr>
        <w:t xml:space="preserve"> </w:t>
      </w:r>
      <w:r>
        <w:t xml:space="preserve">(trade </w:t>
      </w:r>
      <w:r>
        <w:rPr>
          <w:spacing w:val="-2"/>
        </w:rPr>
        <w:t>transactions);</w:t>
      </w:r>
    </w:p>
    <w:p w14:paraId="0DFDBF07" w14:textId="77777777" w:rsidR="00046465" w:rsidRDefault="008134EB">
      <w:pPr>
        <w:pStyle w:val="ListParagraph"/>
        <w:numPr>
          <w:ilvl w:val="1"/>
          <w:numId w:val="7"/>
        </w:numPr>
        <w:tabs>
          <w:tab w:val="left" w:pos="2157"/>
          <w:tab w:val="left" w:pos="2159"/>
        </w:tabs>
        <w:spacing w:before="121"/>
        <w:ind w:right="1076" w:hanging="361"/>
      </w:pPr>
      <w:r>
        <w:t>transfers</w:t>
      </w:r>
      <w:r>
        <w:rPr>
          <w:spacing w:val="-5"/>
        </w:rPr>
        <w:t xml:space="preserve"> </w:t>
      </w:r>
      <w:r>
        <w:t>between</w:t>
      </w:r>
      <w:r>
        <w:rPr>
          <w:spacing w:val="-5"/>
        </w:rPr>
        <w:t xml:space="preserve"> </w:t>
      </w:r>
      <w:r>
        <w:t>entities</w:t>
      </w:r>
      <w:r>
        <w:rPr>
          <w:spacing w:val="-5"/>
        </w:rPr>
        <w:t xml:space="preserve"> </w:t>
      </w:r>
      <w:r>
        <w:t>based</w:t>
      </w:r>
      <w:r>
        <w:rPr>
          <w:spacing w:val="-5"/>
        </w:rPr>
        <w:t xml:space="preserve"> </w:t>
      </w:r>
      <w:r>
        <w:t>on</w:t>
      </w:r>
      <w:r>
        <w:rPr>
          <w:spacing w:val="-6"/>
        </w:rPr>
        <w:t xml:space="preserve"> </w:t>
      </w:r>
      <w:r>
        <w:t>statutory</w:t>
      </w:r>
      <w:r>
        <w:rPr>
          <w:spacing w:val="-5"/>
        </w:rPr>
        <w:t xml:space="preserve"> </w:t>
      </w:r>
      <w:r>
        <w:t>authority</w:t>
      </w:r>
      <w:r>
        <w:rPr>
          <w:spacing w:val="-5"/>
        </w:rPr>
        <w:t xml:space="preserve"> </w:t>
      </w:r>
      <w:r>
        <w:t>(including</w:t>
      </w:r>
      <w:r>
        <w:rPr>
          <w:spacing w:val="-5"/>
        </w:rPr>
        <w:t xml:space="preserve"> </w:t>
      </w:r>
      <w:r>
        <w:t>transfers pursuant to agreements authorized by statute), expended appropriations, taxes and fees collected, collections for others, accounts receivable from appropriations, transfers payable, and custodial revenue;</w:t>
      </w:r>
    </w:p>
    <w:p w14:paraId="0DFDBF08" w14:textId="77777777" w:rsidR="00046465" w:rsidRDefault="008134EB">
      <w:pPr>
        <w:pStyle w:val="ListParagraph"/>
        <w:numPr>
          <w:ilvl w:val="1"/>
          <w:numId w:val="7"/>
        </w:numPr>
        <w:tabs>
          <w:tab w:val="left" w:pos="2159"/>
        </w:tabs>
        <w:spacing w:before="119"/>
        <w:ind w:right="881"/>
      </w:pPr>
      <w:r>
        <w:t>investments</w:t>
      </w:r>
      <w:r>
        <w:rPr>
          <w:spacing w:val="-5"/>
        </w:rPr>
        <w:t xml:space="preserve"> </w:t>
      </w:r>
      <w:r>
        <w:t>in</w:t>
      </w:r>
      <w:r>
        <w:rPr>
          <w:spacing w:val="-4"/>
        </w:rPr>
        <w:t xml:space="preserve"> </w:t>
      </w:r>
      <w:r>
        <w:t>federal</w:t>
      </w:r>
      <w:r>
        <w:rPr>
          <w:spacing w:val="-4"/>
        </w:rPr>
        <w:t xml:space="preserve"> </w:t>
      </w:r>
      <w:r>
        <w:t>securities</w:t>
      </w:r>
      <w:r>
        <w:rPr>
          <w:spacing w:val="-5"/>
        </w:rPr>
        <w:t xml:space="preserve"> </w:t>
      </w:r>
      <w:r>
        <w:t>issued</w:t>
      </w:r>
      <w:r>
        <w:rPr>
          <w:spacing w:val="-4"/>
        </w:rPr>
        <w:t xml:space="preserve"> </w:t>
      </w:r>
      <w:r>
        <w:t>by</w:t>
      </w:r>
      <w:r>
        <w:rPr>
          <w:spacing w:val="-4"/>
        </w:rPr>
        <w:t xml:space="preserve"> </w:t>
      </w:r>
      <w:r>
        <w:t>the</w:t>
      </w:r>
      <w:r>
        <w:rPr>
          <w:spacing w:val="-5"/>
        </w:rPr>
        <w:t xml:space="preserve"> </w:t>
      </w:r>
      <w:r>
        <w:t>Department</w:t>
      </w:r>
      <w:r>
        <w:rPr>
          <w:spacing w:val="-3"/>
        </w:rPr>
        <w:t xml:space="preserve"> </w:t>
      </w:r>
      <w:r>
        <w:t>of</w:t>
      </w:r>
      <w:r>
        <w:rPr>
          <w:spacing w:val="-4"/>
        </w:rPr>
        <w:t xml:space="preserve"> </w:t>
      </w:r>
      <w:r>
        <w:t>the</w:t>
      </w:r>
      <w:r>
        <w:rPr>
          <w:spacing w:val="-3"/>
        </w:rPr>
        <w:t xml:space="preserve"> </w:t>
      </w:r>
      <w:r>
        <w:t>Treasury’s Bureau of the Fiscal Service (Fiscal Service), including interest accruals, interest income and expense, and amortization of premiums and discounts;</w:t>
      </w:r>
    </w:p>
    <w:p w14:paraId="0DFDBF09" w14:textId="77777777" w:rsidR="00046465" w:rsidRDefault="008134EB">
      <w:pPr>
        <w:pStyle w:val="ListParagraph"/>
        <w:numPr>
          <w:ilvl w:val="1"/>
          <w:numId w:val="7"/>
        </w:numPr>
        <w:tabs>
          <w:tab w:val="left" w:pos="2159"/>
        </w:tabs>
        <w:spacing w:before="121"/>
        <w:ind w:right="1101"/>
      </w:pPr>
      <w:r>
        <w:t>borrowings</w:t>
      </w:r>
      <w:r>
        <w:rPr>
          <w:spacing w:val="-5"/>
        </w:rPr>
        <w:t xml:space="preserve"> </w:t>
      </w:r>
      <w:r>
        <w:t>from</w:t>
      </w:r>
      <w:r>
        <w:rPr>
          <w:spacing w:val="-5"/>
        </w:rPr>
        <w:t xml:space="preserve"> </w:t>
      </w:r>
      <w:r>
        <w:t>Fiscal</w:t>
      </w:r>
      <w:r>
        <w:rPr>
          <w:spacing w:val="-5"/>
        </w:rPr>
        <w:t xml:space="preserve"> </w:t>
      </w:r>
      <w:r>
        <w:t>Service</w:t>
      </w:r>
      <w:r>
        <w:rPr>
          <w:spacing w:val="-5"/>
        </w:rPr>
        <w:t xml:space="preserve"> </w:t>
      </w:r>
      <w:r>
        <w:t>and</w:t>
      </w:r>
      <w:r>
        <w:rPr>
          <w:spacing w:val="-5"/>
        </w:rPr>
        <w:t xml:space="preserve"> </w:t>
      </w:r>
      <w:r>
        <w:t>the</w:t>
      </w:r>
      <w:r>
        <w:rPr>
          <w:spacing w:val="-5"/>
        </w:rPr>
        <w:t xml:space="preserve"> </w:t>
      </w:r>
      <w:r>
        <w:t>Federal</w:t>
      </w:r>
      <w:r>
        <w:rPr>
          <w:spacing w:val="-5"/>
        </w:rPr>
        <w:t xml:space="preserve"> </w:t>
      </w:r>
      <w:r>
        <w:t>Financing</w:t>
      </w:r>
      <w:r>
        <w:rPr>
          <w:spacing w:val="-5"/>
        </w:rPr>
        <w:t xml:space="preserve"> </w:t>
      </w:r>
      <w:r>
        <w:t>Bank,</w:t>
      </w:r>
      <w:r>
        <w:rPr>
          <w:spacing w:val="-5"/>
        </w:rPr>
        <w:t xml:space="preserve"> </w:t>
      </w:r>
      <w:r>
        <w:t>including interest accruals, interest income, and expenses;</w:t>
      </w:r>
    </w:p>
    <w:p w14:paraId="0DFDBF0A" w14:textId="77777777" w:rsidR="00046465" w:rsidRDefault="008134EB">
      <w:pPr>
        <w:pStyle w:val="ListParagraph"/>
        <w:numPr>
          <w:ilvl w:val="1"/>
          <w:numId w:val="7"/>
        </w:numPr>
        <w:tabs>
          <w:tab w:val="left" w:pos="2158"/>
        </w:tabs>
        <w:spacing w:before="119"/>
        <w:ind w:left="2158" w:hanging="359"/>
        <w:rPr>
          <w:position w:val="7"/>
          <w:sz w:val="14"/>
        </w:rPr>
      </w:pPr>
      <w:r>
        <w:t>costs</w:t>
      </w:r>
      <w:r>
        <w:rPr>
          <w:spacing w:val="-6"/>
        </w:rPr>
        <w:t xml:space="preserve"> </w:t>
      </w:r>
      <w:r>
        <w:t>of</w:t>
      </w:r>
      <w:r>
        <w:rPr>
          <w:spacing w:val="-7"/>
        </w:rPr>
        <w:t xml:space="preserve"> </w:t>
      </w:r>
      <w:r>
        <w:t>litigation</w:t>
      </w:r>
      <w:r>
        <w:rPr>
          <w:spacing w:val="-6"/>
        </w:rPr>
        <w:t xml:space="preserve"> </w:t>
      </w:r>
      <w:r>
        <w:t>paid</w:t>
      </w:r>
      <w:r>
        <w:rPr>
          <w:spacing w:val="-6"/>
        </w:rPr>
        <w:t xml:space="preserve"> </w:t>
      </w:r>
      <w:r>
        <w:t>by</w:t>
      </w:r>
      <w:r>
        <w:rPr>
          <w:spacing w:val="-6"/>
        </w:rPr>
        <w:t xml:space="preserve"> </w:t>
      </w:r>
      <w:r>
        <w:t>the</w:t>
      </w:r>
      <w:r>
        <w:rPr>
          <w:spacing w:val="-6"/>
        </w:rPr>
        <w:t xml:space="preserve"> </w:t>
      </w:r>
      <w:r>
        <w:t>Treasury</w:t>
      </w:r>
      <w:r>
        <w:rPr>
          <w:spacing w:val="-6"/>
        </w:rPr>
        <w:t xml:space="preserve"> </w:t>
      </w:r>
      <w:r>
        <w:t>Judgment</w:t>
      </w:r>
      <w:r>
        <w:rPr>
          <w:spacing w:val="-5"/>
        </w:rPr>
        <w:t xml:space="preserve"> </w:t>
      </w:r>
      <w:r>
        <w:rPr>
          <w:spacing w:val="-2"/>
        </w:rPr>
        <w:t>Fund;</w:t>
      </w:r>
      <w:hyperlink w:anchor="_bookmark143" w:history="1">
        <w:r>
          <w:rPr>
            <w:spacing w:val="-2"/>
            <w:position w:val="7"/>
            <w:sz w:val="14"/>
          </w:rPr>
          <w:t>4</w:t>
        </w:r>
      </w:hyperlink>
    </w:p>
    <w:p w14:paraId="0DFDBF0B" w14:textId="77777777" w:rsidR="00046465" w:rsidRDefault="008134EB">
      <w:pPr>
        <w:pStyle w:val="ListParagraph"/>
        <w:numPr>
          <w:ilvl w:val="1"/>
          <w:numId w:val="7"/>
        </w:numPr>
        <w:tabs>
          <w:tab w:val="left" w:pos="2159"/>
        </w:tabs>
        <w:spacing w:before="121"/>
        <w:ind w:right="1223"/>
      </w:pPr>
      <w:r>
        <w:t>transactions</w:t>
      </w:r>
      <w:r>
        <w:rPr>
          <w:spacing w:val="-2"/>
        </w:rPr>
        <w:t xml:space="preserve"> </w:t>
      </w:r>
      <w:r>
        <w:t>with</w:t>
      </w:r>
      <w:r>
        <w:rPr>
          <w:spacing w:val="-1"/>
        </w:rPr>
        <w:t xml:space="preserve"> </w:t>
      </w:r>
      <w:r>
        <w:t>the</w:t>
      </w:r>
      <w:r>
        <w:rPr>
          <w:spacing w:val="-1"/>
        </w:rPr>
        <w:t xml:space="preserve"> </w:t>
      </w:r>
      <w:r>
        <w:t>Office</w:t>
      </w:r>
      <w:r>
        <w:rPr>
          <w:spacing w:val="-1"/>
        </w:rPr>
        <w:t xml:space="preserve"> </w:t>
      </w:r>
      <w:r>
        <w:t>of</w:t>
      </w:r>
      <w:r>
        <w:rPr>
          <w:spacing w:val="-1"/>
        </w:rPr>
        <w:t xml:space="preserve"> </w:t>
      </w:r>
      <w:r>
        <w:t>Personnel</w:t>
      </w:r>
      <w:r>
        <w:rPr>
          <w:spacing w:val="-1"/>
        </w:rPr>
        <w:t xml:space="preserve"> </w:t>
      </w:r>
      <w:r>
        <w:t>Management (OPM)</w:t>
      </w:r>
      <w:r>
        <w:rPr>
          <w:spacing w:val="-1"/>
        </w:rPr>
        <w:t xml:space="preserve"> </w:t>
      </w:r>
      <w:r>
        <w:t>relating</w:t>
      </w:r>
      <w:r>
        <w:rPr>
          <w:spacing w:val="-1"/>
        </w:rPr>
        <w:t xml:space="preserve"> </w:t>
      </w:r>
      <w:r>
        <w:t>to employee</w:t>
      </w:r>
      <w:r>
        <w:rPr>
          <w:spacing w:val="-5"/>
        </w:rPr>
        <w:t xml:space="preserve"> </w:t>
      </w:r>
      <w:r>
        <w:t>benefit</w:t>
      </w:r>
      <w:r>
        <w:rPr>
          <w:spacing w:val="-5"/>
        </w:rPr>
        <w:t xml:space="preserve"> </w:t>
      </w:r>
      <w:r>
        <w:t>programs,</w:t>
      </w:r>
      <w:r>
        <w:rPr>
          <w:spacing w:val="-5"/>
        </w:rPr>
        <w:t xml:space="preserve"> </w:t>
      </w:r>
      <w:r>
        <w:t>such</w:t>
      </w:r>
      <w:r>
        <w:rPr>
          <w:spacing w:val="-5"/>
        </w:rPr>
        <w:t xml:space="preserve"> </w:t>
      </w:r>
      <w:r>
        <w:t>as</w:t>
      </w:r>
      <w:r>
        <w:rPr>
          <w:spacing w:val="-5"/>
        </w:rPr>
        <w:t xml:space="preserve"> </w:t>
      </w:r>
      <w:r>
        <w:t>the</w:t>
      </w:r>
      <w:r>
        <w:rPr>
          <w:spacing w:val="-5"/>
        </w:rPr>
        <w:t xml:space="preserve"> </w:t>
      </w:r>
      <w:r>
        <w:t>Federal</w:t>
      </w:r>
      <w:r>
        <w:rPr>
          <w:spacing w:val="-5"/>
        </w:rPr>
        <w:t xml:space="preserve"> </w:t>
      </w:r>
      <w:r>
        <w:t>Employees’</w:t>
      </w:r>
      <w:r>
        <w:rPr>
          <w:spacing w:val="-5"/>
        </w:rPr>
        <w:t xml:space="preserve"> </w:t>
      </w:r>
      <w:r>
        <w:t>Retirement System, Civil Service Retirement System, and federal employees’ life insurance and health benefits programs, that include routine payments, imputed financing, and accruals; and</w:t>
      </w:r>
    </w:p>
    <w:p w14:paraId="0DFDBF0C" w14:textId="77777777" w:rsidR="00046465" w:rsidRDefault="008134EB">
      <w:pPr>
        <w:pStyle w:val="ListParagraph"/>
        <w:numPr>
          <w:ilvl w:val="1"/>
          <w:numId w:val="7"/>
        </w:numPr>
        <w:tabs>
          <w:tab w:val="left" w:pos="2160"/>
        </w:tabs>
        <w:ind w:left="2160" w:right="794"/>
      </w:pPr>
      <w:r>
        <w:t>transactions</w:t>
      </w:r>
      <w:r>
        <w:rPr>
          <w:spacing w:val="-5"/>
        </w:rPr>
        <w:t xml:space="preserve"> </w:t>
      </w:r>
      <w:r>
        <w:t>with</w:t>
      </w:r>
      <w:r>
        <w:rPr>
          <w:spacing w:val="-4"/>
        </w:rPr>
        <w:t xml:space="preserve"> </w:t>
      </w:r>
      <w:r>
        <w:t>the</w:t>
      </w:r>
      <w:r>
        <w:rPr>
          <w:spacing w:val="-4"/>
        </w:rPr>
        <w:t xml:space="preserve"> </w:t>
      </w:r>
      <w:r>
        <w:t>Department</w:t>
      </w:r>
      <w:r>
        <w:rPr>
          <w:spacing w:val="-4"/>
        </w:rPr>
        <w:t xml:space="preserve"> </w:t>
      </w:r>
      <w:r>
        <w:t>of</w:t>
      </w:r>
      <w:r>
        <w:rPr>
          <w:spacing w:val="-4"/>
        </w:rPr>
        <w:t xml:space="preserve"> </w:t>
      </w:r>
      <w:r>
        <w:t>Labor</w:t>
      </w:r>
      <w:r>
        <w:rPr>
          <w:spacing w:val="-4"/>
        </w:rPr>
        <w:t xml:space="preserve"> </w:t>
      </w:r>
      <w:r>
        <w:t>relating</w:t>
      </w:r>
      <w:r>
        <w:rPr>
          <w:spacing w:val="-4"/>
        </w:rPr>
        <w:t xml:space="preserve"> </w:t>
      </w:r>
      <w:r>
        <w:t>to</w:t>
      </w:r>
      <w:r>
        <w:rPr>
          <w:spacing w:val="-4"/>
        </w:rPr>
        <w:t xml:space="preserve"> </w:t>
      </w:r>
      <w:r>
        <w:t>the</w:t>
      </w:r>
      <w:r>
        <w:rPr>
          <w:spacing w:val="-4"/>
        </w:rPr>
        <w:t xml:space="preserve"> </w:t>
      </w:r>
      <w:r>
        <w:t>Federal</w:t>
      </w:r>
      <w:r>
        <w:rPr>
          <w:spacing w:val="-4"/>
        </w:rPr>
        <w:t xml:space="preserve"> </w:t>
      </w:r>
      <w:r>
        <w:t>Employees’ Compensation Act (FECA) that include routine payments to the department.</w:t>
      </w:r>
    </w:p>
    <w:p w14:paraId="0DFDBF0D" w14:textId="77777777" w:rsidR="00046465" w:rsidRDefault="00046465">
      <w:pPr>
        <w:pStyle w:val="BodyText"/>
        <w:rPr>
          <w:sz w:val="20"/>
        </w:rPr>
      </w:pPr>
    </w:p>
    <w:p w14:paraId="0DFDBF0E" w14:textId="77777777" w:rsidR="00046465" w:rsidRDefault="00046465">
      <w:pPr>
        <w:pStyle w:val="BodyText"/>
        <w:rPr>
          <w:sz w:val="20"/>
        </w:rPr>
      </w:pPr>
    </w:p>
    <w:p w14:paraId="0DFDBF0F" w14:textId="77777777" w:rsidR="00046465" w:rsidRDefault="008134EB">
      <w:pPr>
        <w:pStyle w:val="BodyText"/>
        <w:spacing w:before="79"/>
        <w:rPr>
          <w:sz w:val="20"/>
        </w:rPr>
      </w:pPr>
      <w:r>
        <w:rPr>
          <w:noProof/>
          <w:sz w:val="20"/>
        </w:rPr>
        <mc:AlternateContent>
          <mc:Choice Requires="wps">
            <w:drawing>
              <wp:anchor distT="0" distB="0" distL="0" distR="0" simplePos="0" relativeHeight="487714304" behindDoc="1" locked="0" layoutInCell="1" allowOverlap="1" wp14:anchorId="0DFDD701" wp14:editId="0DFDD702">
                <wp:simplePos x="0" y="0"/>
                <wp:positionH relativeFrom="page">
                  <wp:posOffset>914400</wp:posOffset>
                </wp:positionH>
                <wp:positionV relativeFrom="paragraph">
                  <wp:posOffset>211848</wp:posOffset>
                </wp:positionV>
                <wp:extent cx="1828800" cy="5715"/>
                <wp:effectExtent l="0" t="0" r="0" b="0"/>
                <wp:wrapTopAndBottom/>
                <wp:docPr id="888" name="Graphic 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45912D" id="Graphic 888" o:spid="_x0000_s1026" style="position:absolute;margin-left:1in;margin-top:16.7pt;width:2in;height:.45pt;z-index:-1560217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" path="m1828800,l,,,5334r1828800,l1828800,xe" fillcolor="black" stroked="f">
                <v:path arrowok="t"/>
                <w10:wrap type="topAndBottom" anchorx="page"/>
              </v:shape>
            </w:pict>
          </mc:Fallback>
        </mc:AlternateContent>
      </w:r>
    </w:p>
    <w:p w14:paraId="0DFDBF10" w14:textId="77777777" w:rsidR="00046465" w:rsidRDefault="008134EB">
      <w:pPr>
        <w:spacing w:before="200" w:line="242" w:lineRule="auto"/>
        <w:ind w:left="360" w:right="825" w:hanging="1"/>
        <w:rPr>
          <w:sz w:val="18"/>
        </w:rPr>
      </w:pPr>
      <w:bookmarkStart w:id="258" w:name="_bookmark143"/>
      <w:bookmarkEnd w:id="258"/>
      <w:r>
        <w:rPr>
          <w:position w:val="7"/>
          <w:sz w:val="14"/>
        </w:rPr>
        <w:t>4</w:t>
      </w:r>
      <w:r>
        <w:rPr>
          <w:sz w:val="18"/>
        </w:rPr>
        <w:t>A permanent, indefinite</w:t>
      </w:r>
      <w:r>
        <w:rPr>
          <w:spacing w:val="-1"/>
          <w:sz w:val="18"/>
        </w:rPr>
        <w:t xml:space="preserve"> </w:t>
      </w:r>
      <w:r>
        <w:rPr>
          <w:sz w:val="18"/>
        </w:rPr>
        <w:t>appropriation, commonly known as the</w:t>
      </w:r>
      <w:r>
        <w:rPr>
          <w:spacing w:val="-1"/>
          <w:sz w:val="18"/>
        </w:rPr>
        <w:t xml:space="preserve"> </w:t>
      </w:r>
      <w:r>
        <w:rPr>
          <w:sz w:val="18"/>
        </w:rPr>
        <w:t>Judgment Fund, is available</w:t>
      </w:r>
      <w:r>
        <w:rPr>
          <w:spacing w:val="-1"/>
          <w:sz w:val="18"/>
        </w:rPr>
        <w:t xml:space="preserve"> </w:t>
      </w:r>
      <w:r>
        <w:rPr>
          <w:sz w:val="18"/>
        </w:rPr>
        <w:t>to</w:t>
      </w:r>
      <w:r>
        <w:rPr>
          <w:spacing w:val="-1"/>
          <w:sz w:val="18"/>
        </w:rPr>
        <w:t xml:space="preserve"> </w:t>
      </w:r>
      <w:r>
        <w:rPr>
          <w:sz w:val="18"/>
        </w:rPr>
        <w:t>pay final judgments, settlement agreements, and certain</w:t>
      </w:r>
      <w:r>
        <w:rPr>
          <w:spacing w:val="-1"/>
          <w:sz w:val="18"/>
        </w:rPr>
        <w:t xml:space="preserve"> </w:t>
      </w:r>
      <w:r>
        <w:rPr>
          <w:sz w:val="18"/>
        </w:rPr>
        <w:t>types of administrative awards against the</w:t>
      </w:r>
      <w:r>
        <w:rPr>
          <w:spacing w:val="-1"/>
          <w:sz w:val="18"/>
        </w:rPr>
        <w:t xml:space="preserve"> </w:t>
      </w:r>
      <w:r>
        <w:rPr>
          <w:sz w:val="18"/>
        </w:rPr>
        <w:t>United</w:t>
      </w:r>
      <w:r>
        <w:rPr>
          <w:spacing w:val="-1"/>
          <w:sz w:val="18"/>
        </w:rPr>
        <w:t xml:space="preserve"> </w:t>
      </w:r>
      <w:r>
        <w:rPr>
          <w:sz w:val="18"/>
        </w:rPr>
        <w:t>States, and</w:t>
      </w:r>
      <w:r>
        <w:rPr>
          <w:spacing w:val="-1"/>
          <w:sz w:val="18"/>
        </w:rPr>
        <w:t xml:space="preserve"> </w:t>
      </w:r>
      <w:r>
        <w:rPr>
          <w:sz w:val="18"/>
        </w:rPr>
        <w:t>interest and</w:t>
      </w:r>
      <w:r>
        <w:rPr>
          <w:spacing w:val="-1"/>
          <w:sz w:val="18"/>
        </w:rPr>
        <w:t xml:space="preserve"> </w:t>
      </w:r>
      <w:r>
        <w:rPr>
          <w:sz w:val="18"/>
        </w:rPr>
        <w:t>costs specified in the judgments or otherwise authorized by law, when payment is not otherwise provided for. The Secretary of the Treasury certifies all payments from the fund. (See 31 U.S.C. § 1304, Judgments, awards, and compromise settlements.) FASAB Interpretation No. 2 clarifies how federal entities report the costs and liabilities arising</w:t>
      </w:r>
      <w:r>
        <w:rPr>
          <w:spacing w:val="-3"/>
          <w:sz w:val="18"/>
        </w:rPr>
        <w:t xml:space="preserve"> </w:t>
      </w:r>
      <w:r>
        <w:rPr>
          <w:sz w:val="18"/>
        </w:rPr>
        <w:t>from</w:t>
      </w:r>
      <w:r>
        <w:rPr>
          <w:spacing w:val="-2"/>
          <w:sz w:val="18"/>
        </w:rPr>
        <w:t xml:space="preserve"> </w:t>
      </w:r>
      <w:r>
        <w:rPr>
          <w:sz w:val="18"/>
        </w:rPr>
        <w:t>claims</w:t>
      </w:r>
      <w:r>
        <w:rPr>
          <w:spacing w:val="-2"/>
          <w:sz w:val="18"/>
        </w:rPr>
        <w:t xml:space="preserve"> </w:t>
      </w:r>
      <w:r>
        <w:rPr>
          <w:sz w:val="18"/>
        </w:rPr>
        <w:t>to</w:t>
      </w:r>
      <w:r>
        <w:rPr>
          <w:spacing w:val="-3"/>
          <w:sz w:val="18"/>
        </w:rPr>
        <w:t xml:space="preserve"> </w:t>
      </w:r>
      <w:r>
        <w:rPr>
          <w:sz w:val="18"/>
        </w:rPr>
        <w:t>be</w:t>
      </w:r>
      <w:r>
        <w:rPr>
          <w:spacing w:val="-3"/>
          <w:sz w:val="18"/>
        </w:rPr>
        <w:t xml:space="preserve"> </w:t>
      </w:r>
      <w:r>
        <w:rPr>
          <w:sz w:val="18"/>
        </w:rPr>
        <w:t>paid</w:t>
      </w:r>
      <w:r>
        <w:rPr>
          <w:spacing w:val="-3"/>
          <w:sz w:val="18"/>
        </w:rPr>
        <w:t xml:space="preserve"> </w:t>
      </w:r>
      <w:r>
        <w:rPr>
          <w:sz w:val="18"/>
        </w:rPr>
        <w:t>by</w:t>
      </w:r>
      <w:r>
        <w:rPr>
          <w:spacing w:val="-2"/>
          <w:sz w:val="18"/>
        </w:rPr>
        <w:t xml:space="preserve"> </w:t>
      </w:r>
      <w:r>
        <w:rPr>
          <w:sz w:val="18"/>
        </w:rPr>
        <w:t>the</w:t>
      </w:r>
      <w:r>
        <w:rPr>
          <w:spacing w:val="-3"/>
          <w:sz w:val="18"/>
        </w:rPr>
        <w:t xml:space="preserve"> </w:t>
      </w:r>
      <w:r>
        <w:rPr>
          <w:sz w:val="18"/>
        </w:rPr>
        <w:t>Judgment</w:t>
      </w:r>
      <w:r>
        <w:rPr>
          <w:spacing w:val="-2"/>
          <w:sz w:val="18"/>
        </w:rPr>
        <w:t xml:space="preserve"> </w:t>
      </w:r>
      <w:r>
        <w:rPr>
          <w:sz w:val="18"/>
        </w:rPr>
        <w:t>Fund</w:t>
      </w:r>
      <w:r>
        <w:rPr>
          <w:spacing w:val="-3"/>
          <w:sz w:val="18"/>
        </w:rPr>
        <w:t xml:space="preserve"> </w:t>
      </w:r>
      <w:r>
        <w:rPr>
          <w:sz w:val="18"/>
        </w:rPr>
        <w:t>and</w:t>
      </w:r>
      <w:r>
        <w:rPr>
          <w:spacing w:val="-3"/>
          <w:sz w:val="18"/>
        </w:rPr>
        <w:t xml:space="preserve"> </w:t>
      </w:r>
      <w:r>
        <w:rPr>
          <w:sz w:val="18"/>
        </w:rPr>
        <w:t>how</w:t>
      </w:r>
      <w:r>
        <w:rPr>
          <w:spacing w:val="-2"/>
          <w:sz w:val="18"/>
        </w:rPr>
        <w:t xml:space="preserve"> </w:t>
      </w:r>
      <w:r>
        <w:rPr>
          <w:sz w:val="18"/>
        </w:rPr>
        <w:t>the</w:t>
      </w:r>
      <w:r>
        <w:rPr>
          <w:spacing w:val="-3"/>
          <w:sz w:val="18"/>
        </w:rPr>
        <w:t xml:space="preserve"> </w:t>
      </w:r>
      <w:r>
        <w:rPr>
          <w:sz w:val="18"/>
        </w:rPr>
        <w:t>Judgment</w:t>
      </w:r>
      <w:r>
        <w:rPr>
          <w:spacing w:val="-2"/>
          <w:sz w:val="18"/>
        </w:rPr>
        <w:t xml:space="preserve"> </w:t>
      </w:r>
      <w:r>
        <w:rPr>
          <w:sz w:val="18"/>
        </w:rPr>
        <w:t>Fund</w:t>
      </w:r>
      <w:r>
        <w:rPr>
          <w:spacing w:val="-3"/>
          <w:sz w:val="18"/>
        </w:rPr>
        <w:t xml:space="preserve"> </w:t>
      </w:r>
      <w:r>
        <w:rPr>
          <w:sz w:val="18"/>
        </w:rPr>
        <w:t>accounts</w:t>
      </w:r>
      <w:r>
        <w:rPr>
          <w:spacing w:val="-2"/>
          <w:sz w:val="18"/>
        </w:rPr>
        <w:t xml:space="preserve"> </w:t>
      </w:r>
      <w:r>
        <w:rPr>
          <w:sz w:val="18"/>
        </w:rPr>
        <w:t>for</w:t>
      </w:r>
      <w:r>
        <w:rPr>
          <w:spacing w:val="-2"/>
          <w:sz w:val="18"/>
        </w:rPr>
        <w:t xml:space="preserve"> </w:t>
      </w:r>
      <w:r>
        <w:rPr>
          <w:sz w:val="18"/>
        </w:rPr>
        <w:t>the</w:t>
      </w:r>
      <w:r>
        <w:rPr>
          <w:spacing w:val="-3"/>
          <w:sz w:val="18"/>
        </w:rPr>
        <w:t xml:space="preserve"> </w:t>
      </w:r>
      <w:r>
        <w:rPr>
          <w:sz w:val="18"/>
        </w:rPr>
        <w:t>amounts</w:t>
      </w:r>
      <w:r>
        <w:rPr>
          <w:spacing w:val="-2"/>
          <w:sz w:val="18"/>
        </w:rPr>
        <w:t xml:space="preserve"> </w:t>
      </w:r>
      <w:r>
        <w:rPr>
          <w:sz w:val="18"/>
        </w:rPr>
        <w:t>that</w:t>
      </w:r>
      <w:r>
        <w:rPr>
          <w:spacing w:val="-2"/>
          <w:sz w:val="18"/>
        </w:rPr>
        <w:t xml:space="preserve"> </w:t>
      </w:r>
      <w:r>
        <w:rPr>
          <w:sz w:val="18"/>
        </w:rPr>
        <w:t>it</w:t>
      </w:r>
      <w:r>
        <w:rPr>
          <w:spacing w:val="-2"/>
          <w:sz w:val="18"/>
        </w:rPr>
        <w:t xml:space="preserve"> </w:t>
      </w:r>
      <w:r>
        <w:rPr>
          <w:sz w:val="18"/>
        </w:rPr>
        <w:t>is required to pay on behalf of federal entities.</w:t>
      </w:r>
    </w:p>
    <w:p w14:paraId="0DFDBF11" w14:textId="77777777" w:rsidR="00046465" w:rsidRDefault="00046465">
      <w:pPr>
        <w:spacing w:line="242" w:lineRule="auto"/>
        <w:rPr>
          <w:sz w:val="18"/>
        </w:rPr>
        <w:sectPr w:rsidR="00046465">
          <w:headerReference w:type="default" r:id="rId168"/>
          <w:footerReference w:type="default" r:id="rId169"/>
          <w:pgSz w:w="12240" w:h="15840"/>
          <w:pgMar w:top="1340" w:right="720" w:bottom="940" w:left="1080" w:header="721" w:footer="757" w:gutter="0"/>
          <w:pgNumType w:start="2"/>
          <w:cols w:space="720"/>
        </w:sectPr>
      </w:pPr>
    </w:p>
    <w:p w14:paraId="0DFDBF12" w14:textId="77777777" w:rsidR="00046465" w:rsidRDefault="008134EB">
      <w:pPr>
        <w:pStyle w:val="ListParagraph"/>
        <w:numPr>
          <w:ilvl w:val="0"/>
          <w:numId w:val="7"/>
        </w:numPr>
        <w:tabs>
          <w:tab w:val="left" w:pos="1800"/>
        </w:tabs>
        <w:spacing w:before="121"/>
        <w:ind w:right="798"/>
      </w:pPr>
      <w:r>
        <w:lastRenderedPageBreak/>
        <w:t>Without proper and timely reconciliation of intragovernmental activity and balances and resolution of intragovernmental differences, differences in these account</w:t>
      </w:r>
      <w:r>
        <w:rPr>
          <w:spacing w:val="-4"/>
        </w:rPr>
        <w:t xml:space="preserve"> </w:t>
      </w:r>
      <w:r>
        <w:t>balances</w:t>
      </w:r>
      <w:r>
        <w:rPr>
          <w:spacing w:val="-4"/>
        </w:rPr>
        <w:t xml:space="preserve"> </w:t>
      </w:r>
      <w:r>
        <w:t>could</w:t>
      </w:r>
      <w:r>
        <w:rPr>
          <w:spacing w:val="-4"/>
        </w:rPr>
        <w:t xml:space="preserve"> </w:t>
      </w:r>
      <w:r>
        <w:t>materially</w:t>
      </w:r>
      <w:r>
        <w:rPr>
          <w:spacing w:val="-4"/>
        </w:rPr>
        <w:t xml:space="preserve"> </w:t>
      </w:r>
      <w:r>
        <w:t>affect</w:t>
      </w:r>
      <w:r>
        <w:rPr>
          <w:spacing w:val="-4"/>
        </w:rPr>
        <w:t xml:space="preserve"> </w:t>
      </w:r>
      <w:r>
        <w:t>the</w:t>
      </w:r>
      <w:r>
        <w:rPr>
          <w:spacing w:val="-4"/>
        </w:rPr>
        <w:t xml:space="preserve"> </w:t>
      </w:r>
      <w:r>
        <w:t>balances</w:t>
      </w:r>
      <w:r>
        <w:rPr>
          <w:spacing w:val="-4"/>
        </w:rPr>
        <w:t xml:space="preserve"> </w:t>
      </w:r>
      <w:r>
        <w:t>at</w:t>
      </w:r>
      <w:r>
        <w:rPr>
          <w:spacing w:val="-4"/>
        </w:rPr>
        <w:t xml:space="preserve"> </w:t>
      </w:r>
      <w:r>
        <w:t>both</w:t>
      </w:r>
      <w:r>
        <w:rPr>
          <w:spacing w:val="-4"/>
        </w:rPr>
        <w:t xml:space="preserve"> </w:t>
      </w:r>
      <w:r>
        <w:t>the</w:t>
      </w:r>
      <w:r>
        <w:rPr>
          <w:spacing w:val="-4"/>
        </w:rPr>
        <w:t xml:space="preserve"> </w:t>
      </w:r>
      <w:r>
        <w:t>entity</w:t>
      </w:r>
      <w:r>
        <w:rPr>
          <w:spacing w:val="-4"/>
        </w:rPr>
        <w:t xml:space="preserve"> </w:t>
      </w:r>
      <w:r>
        <w:t>level</w:t>
      </w:r>
      <w:r>
        <w:rPr>
          <w:spacing w:val="-4"/>
        </w:rPr>
        <w:t xml:space="preserve"> </w:t>
      </w:r>
      <w:r>
        <w:t>and government-wide level. Entities should perform timely reconciliations of intragovernmental transactions with trading partners, as annual or quarterly reconciliations may not be sufficient to detect and resolve differences promptly.</w:t>
      </w:r>
    </w:p>
    <w:p w14:paraId="0DFDBF13" w14:textId="77777777" w:rsidR="00046465" w:rsidRDefault="008134EB">
      <w:pPr>
        <w:pStyle w:val="ListParagraph"/>
        <w:numPr>
          <w:ilvl w:val="0"/>
          <w:numId w:val="7"/>
        </w:numPr>
        <w:tabs>
          <w:tab w:val="left" w:pos="1800"/>
        </w:tabs>
        <w:ind w:right="752"/>
      </w:pPr>
      <w:r>
        <w:t>When preparing its financial statements, the entity eliminates intra-entity intragovernmental</w:t>
      </w:r>
      <w:r>
        <w:rPr>
          <w:spacing w:val="-6"/>
        </w:rPr>
        <w:t xml:space="preserve"> </w:t>
      </w:r>
      <w:r>
        <w:t>amounts.</w:t>
      </w:r>
      <w:r>
        <w:rPr>
          <w:spacing w:val="-6"/>
        </w:rPr>
        <w:t xml:space="preserve"> </w:t>
      </w:r>
      <w:r>
        <w:t>When</w:t>
      </w:r>
      <w:r>
        <w:rPr>
          <w:spacing w:val="-7"/>
        </w:rPr>
        <w:t xml:space="preserve"> </w:t>
      </w:r>
      <w:r>
        <w:t>preparing</w:t>
      </w:r>
      <w:r>
        <w:rPr>
          <w:spacing w:val="-6"/>
        </w:rPr>
        <w:t xml:space="preserve"> </w:t>
      </w:r>
      <w:r>
        <w:t>the</w:t>
      </w:r>
      <w:r>
        <w:rPr>
          <w:spacing w:val="-6"/>
        </w:rPr>
        <w:t xml:space="preserve"> </w:t>
      </w:r>
      <w:r>
        <w:t>U.S.</w:t>
      </w:r>
      <w:r>
        <w:rPr>
          <w:spacing w:val="-6"/>
        </w:rPr>
        <w:t xml:space="preserve"> </w:t>
      </w:r>
      <w:r>
        <w:t>government’s</w:t>
      </w:r>
      <w:r>
        <w:rPr>
          <w:spacing w:val="-6"/>
        </w:rPr>
        <w:t xml:space="preserve"> </w:t>
      </w:r>
      <w:r>
        <w:t>consolidated financial statements, Treasury eliminates intra-entity and inter-entity intragovernmental amounts. In cases where intragovernmental accounts are significantly out of balance, entities and Treasury may not be able to eliminate intragovernmental amounts from the entities’ and the U.S. government’s consolidated financial statements, respectively.</w:t>
      </w:r>
    </w:p>
    <w:p w14:paraId="0DFDBF14" w14:textId="77777777" w:rsidR="00046465" w:rsidRDefault="008134EB">
      <w:pPr>
        <w:pStyle w:val="Heading4"/>
      </w:pPr>
      <w:r>
        <w:t>Accounting</w:t>
      </w:r>
      <w:r>
        <w:rPr>
          <w:spacing w:val="-15"/>
        </w:rPr>
        <w:t xml:space="preserve"> </w:t>
      </w:r>
      <w:r>
        <w:t>and</w:t>
      </w:r>
      <w:r>
        <w:rPr>
          <w:spacing w:val="-14"/>
        </w:rPr>
        <w:t xml:space="preserve"> </w:t>
      </w:r>
      <w:r>
        <w:t>Reporting</w:t>
      </w:r>
      <w:r>
        <w:rPr>
          <w:spacing w:val="-13"/>
        </w:rPr>
        <w:t xml:space="preserve"> </w:t>
      </w:r>
      <w:r>
        <w:rPr>
          <w:spacing w:val="-2"/>
        </w:rPr>
        <w:t>Information</w:t>
      </w:r>
    </w:p>
    <w:p w14:paraId="0DFDBF15" w14:textId="77777777" w:rsidR="00046465" w:rsidRDefault="008134EB">
      <w:pPr>
        <w:pStyle w:val="Heading5"/>
        <w:spacing w:before="239"/>
        <w:ind w:left="392"/>
        <w:rPr>
          <w:u w:val="none"/>
        </w:rPr>
      </w:pPr>
      <w:bookmarkStart w:id="259" w:name="FASAB_Standards"/>
      <w:bookmarkEnd w:id="259"/>
      <w:r>
        <w:t>FASAB</w:t>
      </w:r>
      <w:r>
        <w:rPr>
          <w:spacing w:val="-2"/>
        </w:rPr>
        <w:t xml:space="preserve"> Standards</w:t>
      </w:r>
    </w:p>
    <w:p w14:paraId="0DFDBF16" w14:textId="77777777" w:rsidR="00046465" w:rsidRDefault="008134EB">
      <w:pPr>
        <w:pStyle w:val="ListParagraph"/>
        <w:numPr>
          <w:ilvl w:val="0"/>
          <w:numId w:val="7"/>
        </w:numPr>
        <w:tabs>
          <w:tab w:val="left" w:pos="1800"/>
        </w:tabs>
        <w:ind w:right="1081"/>
      </w:pPr>
      <w:r>
        <w:t xml:space="preserve">The </w:t>
      </w:r>
      <w:r>
        <w:rPr>
          <w:i/>
        </w:rPr>
        <w:t xml:space="preserve">FASAB Handbook of Federal Accounting Standards and Other Pronouncements, as Amended </w:t>
      </w:r>
      <w:r>
        <w:t>(FASAB Handbook) contains the body of accounting concepts and standards for the U.S. government. Some of the Statements of Federal Financial Accounting Standards (SFFAS) that address intragovernmental</w:t>
      </w:r>
      <w:r>
        <w:rPr>
          <w:spacing w:val="-4"/>
        </w:rPr>
        <w:t xml:space="preserve"> </w:t>
      </w:r>
      <w:r>
        <w:t>activity</w:t>
      </w:r>
      <w:r>
        <w:rPr>
          <w:spacing w:val="-4"/>
        </w:rPr>
        <w:t xml:space="preserve"> </w:t>
      </w:r>
      <w:r>
        <w:t>and</w:t>
      </w:r>
      <w:r>
        <w:rPr>
          <w:spacing w:val="-4"/>
        </w:rPr>
        <w:t xml:space="preserve"> </w:t>
      </w:r>
      <w:r>
        <w:t>balances</w:t>
      </w:r>
      <w:r>
        <w:rPr>
          <w:spacing w:val="-3"/>
        </w:rPr>
        <w:t xml:space="preserve"> </w:t>
      </w:r>
      <w:r>
        <w:t>include</w:t>
      </w:r>
      <w:r>
        <w:rPr>
          <w:spacing w:val="-5"/>
        </w:rPr>
        <w:t xml:space="preserve"> </w:t>
      </w:r>
      <w:r>
        <w:t>SFFAS</w:t>
      </w:r>
      <w:r>
        <w:rPr>
          <w:spacing w:val="-4"/>
        </w:rPr>
        <w:t xml:space="preserve"> </w:t>
      </w:r>
      <w:r>
        <w:t>4,</w:t>
      </w:r>
      <w:r>
        <w:rPr>
          <w:spacing w:val="-4"/>
        </w:rPr>
        <w:t xml:space="preserve"> </w:t>
      </w:r>
      <w:r>
        <w:t>5,</w:t>
      </w:r>
      <w:r>
        <w:rPr>
          <w:spacing w:val="-4"/>
        </w:rPr>
        <w:t xml:space="preserve"> </w:t>
      </w:r>
      <w:r>
        <w:t>and</w:t>
      </w:r>
      <w:r>
        <w:rPr>
          <w:spacing w:val="-4"/>
        </w:rPr>
        <w:t xml:space="preserve"> </w:t>
      </w:r>
      <w:r>
        <w:t>7,</w:t>
      </w:r>
      <w:r>
        <w:rPr>
          <w:spacing w:val="-4"/>
        </w:rPr>
        <w:t xml:space="preserve"> </w:t>
      </w:r>
      <w:r>
        <w:t>which</w:t>
      </w:r>
      <w:r>
        <w:rPr>
          <w:spacing w:val="-4"/>
        </w:rPr>
        <w:t xml:space="preserve"> </w:t>
      </w:r>
      <w:r>
        <w:t>are briefly discussed below. Auditors should refer to the FASAB Handbook for additional information related to intragovernmental activity and balances.</w:t>
      </w:r>
    </w:p>
    <w:p w14:paraId="0DFDBF17" w14:textId="77777777" w:rsidR="00046465" w:rsidRDefault="008134EB">
      <w:pPr>
        <w:pStyle w:val="ListParagraph"/>
        <w:numPr>
          <w:ilvl w:val="0"/>
          <w:numId w:val="7"/>
        </w:numPr>
        <w:tabs>
          <w:tab w:val="left" w:pos="1800"/>
        </w:tabs>
        <w:spacing w:before="119"/>
        <w:ind w:right="801"/>
      </w:pPr>
      <w:r>
        <w:t xml:space="preserve">SFFAS 4, </w:t>
      </w:r>
      <w:r>
        <w:rPr>
          <w:i/>
        </w:rPr>
        <w:t>Managerial Cost Accounting Standards and Concepts</w:t>
      </w:r>
      <w:r>
        <w:t xml:space="preserve">, and related interpretations address the accounting standards for inter-entity cost activity. SFFAS 5, </w:t>
      </w:r>
      <w:r>
        <w:rPr>
          <w:i/>
        </w:rPr>
        <w:t>Accounting for Liabilities of the Federal Government</w:t>
      </w:r>
      <w:r>
        <w:t>, addresses inter-entity</w:t>
      </w:r>
      <w:r>
        <w:rPr>
          <w:spacing w:val="-5"/>
        </w:rPr>
        <w:t xml:space="preserve"> </w:t>
      </w:r>
      <w:r>
        <w:t>liabilities,</w:t>
      </w:r>
      <w:r>
        <w:rPr>
          <w:spacing w:val="-5"/>
        </w:rPr>
        <w:t xml:space="preserve"> </w:t>
      </w:r>
      <w:r>
        <w:t>including</w:t>
      </w:r>
      <w:r>
        <w:rPr>
          <w:spacing w:val="-6"/>
        </w:rPr>
        <w:t xml:space="preserve"> </w:t>
      </w:r>
      <w:r>
        <w:t>federal</w:t>
      </w:r>
      <w:r>
        <w:rPr>
          <w:spacing w:val="-5"/>
        </w:rPr>
        <w:t xml:space="preserve"> </w:t>
      </w:r>
      <w:r>
        <w:t>debt,</w:t>
      </w:r>
      <w:r>
        <w:rPr>
          <w:spacing w:val="-5"/>
        </w:rPr>
        <w:t xml:space="preserve"> </w:t>
      </w:r>
      <w:r>
        <w:t>pensions,</w:t>
      </w:r>
      <w:r>
        <w:rPr>
          <w:spacing w:val="-6"/>
        </w:rPr>
        <w:t xml:space="preserve"> </w:t>
      </w:r>
      <w:r>
        <w:t>and</w:t>
      </w:r>
      <w:r>
        <w:rPr>
          <w:spacing w:val="-5"/>
        </w:rPr>
        <w:t xml:space="preserve"> </w:t>
      </w:r>
      <w:r>
        <w:t>retirement</w:t>
      </w:r>
      <w:r>
        <w:rPr>
          <w:spacing w:val="-5"/>
        </w:rPr>
        <w:t xml:space="preserve"> </w:t>
      </w:r>
      <w:r>
        <w:t>benefits.</w:t>
      </w:r>
      <w:r>
        <w:rPr>
          <w:spacing w:val="-6"/>
        </w:rPr>
        <w:t xml:space="preserve"> </w:t>
      </w:r>
      <w:r>
        <w:t xml:space="preserve">SFFAS 7, </w:t>
      </w:r>
      <w:r>
        <w:rPr>
          <w:i/>
        </w:rPr>
        <w:t>Accounting for Revenue and Other Financing Sources and Concepts for Reconciling Budgetary and Financial Accounting</w:t>
      </w:r>
      <w:r>
        <w:t>, as amended, addresses inter-entity revenue and requires disclosure of the nature of intragovernmental exchange transactions in which an entity provides goods or services at a price less than full cost or does not charge a price at all.</w:t>
      </w:r>
    </w:p>
    <w:p w14:paraId="0DFDBF18" w14:textId="77777777" w:rsidR="00046465" w:rsidRDefault="008134EB">
      <w:pPr>
        <w:pStyle w:val="ListParagraph"/>
        <w:numPr>
          <w:ilvl w:val="0"/>
          <w:numId w:val="7"/>
        </w:numPr>
        <w:tabs>
          <w:tab w:val="left" w:pos="1799"/>
        </w:tabs>
        <w:spacing w:before="121"/>
        <w:ind w:left="1799" w:right="761" w:hanging="720"/>
      </w:pPr>
      <w:r>
        <w:t xml:space="preserve">In accordance with SFFAS 4, as amended by SFFAS 55, </w:t>
      </w:r>
      <w:r>
        <w:rPr>
          <w:i/>
        </w:rPr>
        <w:t xml:space="preserve">Amending Inter-entity Cost Provisions, </w:t>
      </w:r>
      <w:r>
        <w:t>reporting entities’ costs are to incorporate the full cost of goods and services received</w:t>
      </w:r>
      <w:r>
        <w:rPr>
          <w:spacing w:val="-1"/>
        </w:rPr>
        <w:t xml:space="preserve"> </w:t>
      </w:r>
      <w:r>
        <w:t>from</w:t>
      </w:r>
      <w:r>
        <w:rPr>
          <w:spacing w:val="-1"/>
        </w:rPr>
        <w:t xml:space="preserve"> </w:t>
      </w:r>
      <w:r>
        <w:t>other entities, although there is flexibility for reporting imputed costs for non-business type activities.</w:t>
      </w:r>
      <w:hyperlink w:anchor="_bookmark144" w:history="1">
        <w:r>
          <w:rPr>
            <w:position w:val="7"/>
            <w:sz w:val="14"/>
          </w:rPr>
          <w:t>5</w:t>
        </w:r>
      </w:hyperlink>
      <w:r>
        <w:rPr>
          <w:spacing w:val="35"/>
          <w:position w:val="7"/>
          <w:sz w:val="14"/>
        </w:rPr>
        <w:t xml:space="preserve"> </w:t>
      </w:r>
      <w:r>
        <w:t>With the exception of imputed inter-entity costs for personnel benefits and the Treasury Judgment Fund settlements or as otherwise directed by OMB, imputed inter-entity costs for non-business type activities are not required to be recognized. Although not required to do so, an entity may still elect to recognize imputed cost and corresponding imputed financing for other types of inter-entity costs related to non-business type</w:t>
      </w:r>
      <w:r>
        <w:rPr>
          <w:spacing w:val="-3"/>
        </w:rPr>
        <w:t xml:space="preserve"> </w:t>
      </w:r>
      <w:r>
        <w:t>activities.</w:t>
      </w:r>
      <w:r>
        <w:rPr>
          <w:spacing w:val="-3"/>
        </w:rPr>
        <w:t xml:space="preserve"> </w:t>
      </w:r>
      <w:r>
        <w:t>The</w:t>
      </w:r>
      <w:r>
        <w:rPr>
          <w:spacing w:val="-3"/>
        </w:rPr>
        <w:t xml:space="preserve"> </w:t>
      </w:r>
      <w:r>
        <w:t>entity</w:t>
      </w:r>
      <w:r>
        <w:rPr>
          <w:spacing w:val="-4"/>
        </w:rPr>
        <w:t xml:space="preserve"> </w:t>
      </w:r>
      <w:r>
        <w:t>providing</w:t>
      </w:r>
      <w:r>
        <w:rPr>
          <w:spacing w:val="-3"/>
        </w:rPr>
        <w:t xml:space="preserve"> </w:t>
      </w:r>
      <w:r>
        <w:t>the</w:t>
      </w:r>
      <w:r>
        <w:rPr>
          <w:spacing w:val="-3"/>
        </w:rPr>
        <w:t xml:space="preserve"> </w:t>
      </w:r>
      <w:r>
        <w:t>goods</w:t>
      </w:r>
      <w:r>
        <w:rPr>
          <w:spacing w:val="-3"/>
        </w:rPr>
        <w:t xml:space="preserve"> </w:t>
      </w:r>
      <w:r>
        <w:t>or</w:t>
      </w:r>
      <w:r>
        <w:rPr>
          <w:spacing w:val="-3"/>
        </w:rPr>
        <w:t xml:space="preserve"> </w:t>
      </w:r>
      <w:r>
        <w:t>services</w:t>
      </w:r>
      <w:r>
        <w:rPr>
          <w:spacing w:val="-3"/>
        </w:rPr>
        <w:t xml:space="preserve"> </w:t>
      </w:r>
      <w:r>
        <w:t>has</w:t>
      </w:r>
      <w:r>
        <w:rPr>
          <w:spacing w:val="-4"/>
        </w:rPr>
        <w:t xml:space="preserve"> </w:t>
      </w:r>
      <w:r>
        <w:t>the</w:t>
      </w:r>
      <w:r>
        <w:rPr>
          <w:spacing w:val="-3"/>
        </w:rPr>
        <w:t xml:space="preserve"> </w:t>
      </w:r>
      <w:r>
        <w:t>responsibility</w:t>
      </w:r>
      <w:r>
        <w:rPr>
          <w:spacing w:val="-3"/>
        </w:rPr>
        <w:t xml:space="preserve"> </w:t>
      </w:r>
      <w:r>
        <w:t>to provide the receiving entity with information on the full cost of services either through billing or other means. The reporting entities are also to consult with the</w:t>
      </w:r>
    </w:p>
    <w:p w14:paraId="0DFDBF19" w14:textId="77777777" w:rsidR="00046465" w:rsidRDefault="00046465">
      <w:pPr>
        <w:pStyle w:val="BodyText"/>
        <w:rPr>
          <w:sz w:val="20"/>
        </w:rPr>
      </w:pPr>
    </w:p>
    <w:p w14:paraId="0DFDBF1A" w14:textId="77777777" w:rsidR="00046465" w:rsidRDefault="008134EB">
      <w:pPr>
        <w:pStyle w:val="BodyText"/>
        <w:spacing w:before="7"/>
        <w:rPr>
          <w:sz w:val="20"/>
        </w:rPr>
      </w:pPr>
      <w:r>
        <w:rPr>
          <w:noProof/>
          <w:sz w:val="20"/>
        </w:rPr>
        <mc:AlternateContent>
          <mc:Choice Requires="wps">
            <w:drawing>
              <wp:anchor distT="0" distB="0" distL="0" distR="0" simplePos="0" relativeHeight="487714816" behindDoc="1" locked="0" layoutInCell="1" allowOverlap="1" wp14:anchorId="0DFDD703" wp14:editId="0DFDD704">
                <wp:simplePos x="0" y="0"/>
                <wp:positionH relativeFrom="page">
                  <wp:posOffset>914400</wp:posOffset>
                </wp:positionH>
                <wp:positionV relativeFrom="paragraph">
                  <wp:posOffset>165970</wp:posOffset>
                </wp:positionV>
                <wp:extent cx="1828800" cy="5715"/>
                <wp:effectExtent l="0" t="0" r="0" b="0"/>
                <wp:wrapTopAndBottom/>
                <wp:docPr id="889" name="Graphic 8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5D0CD0" id="Graphic 889" o:spid="_x0000_s1026" style="position:absolute;margin-left:1in;margin-top:13.05pt;width:2in;height:.45pt;z-index:-1560166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" path="m1828800,l,,,5321r1828800,l1828800,xe" fillcolor="black" stroked="f">
                <v:path arrowok="t"/>
                <w10:wrap type="topAndBottom" anchorx="page"/>
              </v:shape>
            </w:pict>
          </mc:Fallback>
        </mc:AlternateContent>
      </w:r>
    </w:p>
    <w:p w14:paraId="0DFDBF1B" w14:textId="77777777" w:rsidR="00046465" w:rsidRDefault="008134EB">
      <w:pPr>
        <w:spacing w:before="202" w:line="249" w:lineRule="auto"/>
        <w:ind w:left="359" w:right="749"/>
        <w:rPr>
          <w:sz w:val="18"/>
        </w:rPr>
      </w:pPr>
      <w:bookmarkStart w:id="260" w:name="_bookmark144"/>
      <w:bookmarkEnd w:id="260"/>
      <w:r>
        <w:rPr>
          <w:position w:val="7"/>
          <w:sz w:val="14"/>
        </w:rPr>
        <w:t>5</w:t>
      </w:r>
      <w:r>
        <w:rPr>
          <w:sz w:val="18"/>
        </w:rPr>
        <w:t>Business-type</w:t>
      </w:r>
      <w:r>
        <w:rPr>
          <w:spacing w:val="-2"/>
          <w:sz w:val="18"/>
        </w:rPr>
        <w:t xml:space="preserve"> </w:t>
      </w:r>
      <w:r>
        <w:rPr>
          <w:sz w:val="18"/>
        </w:rPr>
        <w:t>activity</w:t>
      </w:r>
      <w:r>
        <w:rPr>
          <w:spacing w:val="-3"/>
          <w:sz w:val="18"/>
        </w:rPr>
        <w:t xml:space="preserve"> </w:t>
      </w:r>
      <w:r>
        <w:rPr>
          <w:sz w:val="18"/>
        </w:rPr>
        <w:t>is</w:t>
      </w:r>
      <w:r>
        <w:rPr>
          <w:spacing w:val="-3"/>
          <w:sz w:val="18"/>
        </w:rPr>
        <w:t xml:space="preserve"> </w:t>
      </w:r>
      <w:r>
        <w:rPr>
          <w:sz w:val="18"/>
        </w:rPr>
        <w:t>defined</w:t>
      </w:r>
      <w:r>
        <w:rPr>
          <w:spacing w:val="-4"/>
          <w:sz w:val="18"/>
        </w:rPr>
        <w:t xml:space="preserve"> </w:t>
      </w:r>
      <w:r>
        <w:rPr>
          <w:sz w:val="18"/>
        </w:rPr>
        <w:t>as</w:t>
      </w:r>
      <w:r>
        <w:rPr>
          <w:spacing w:val="-3"/>
          <w:sz w:val="18"/>
        </w:rPr>
        <w:t xml:space="preserve"> </w:t>
      </w:r>
      <w:r>
        <w:rPr>
          <w:sz w:val="18"/>
        </w:rPr>
        <w:t>a</w:t>
      </w:r>
      <w:r>
        <w:rPr>
          <w:spacing w:val="-4"/>
          <w:sz w:val="18"/>
        </w:rPr>
        <w:t xml:space="preserve"> </w:t>
      </w:r>
      <w:r>
        <w:rPr>
          <w:sz w:val="18"/>
        </w:rPr>
        <w:t>significantly</w:t>
      </w:r>
      <w:r>
        <w:rPr>
          <w:spacing w:val="-3"/>
          <w:sz w:val="18"/>
        </w:rPr>
        <w:t xml:space="preserve"> </w:t>
      </w:r>
      <w:r>
        <w:rPr>
          <w:sz w:val="18"/>
        </w:rPr>
        <w:t>self-sustaining</w:t>
      </w:r>
      <w:r>
        <w:rPr>
          <w:spacing w:val="-4"/>
          <w:sz w:val="18"/>
        </w:rPr>
        <w:t xml:space="preserve"> </w:t>
      </w:r>
      <w:r>
        <w:rPr>
          <w:sz w:val="18"/>
        </w:rPr>
        <w:t>activity</w:t>
      </w:r>
      <w:r>
        <w:rPr>
          <w:spacing w:val="-3"/>
          <w:sz w:val="18"/>
        </w:rPr>
        <w:t xml:space="preserve"> </w:t>
      </w:r>
      <w:r>
        <w:rPr>
          <w:sz w:val="18"/>
        </w:rPr>
        <w:t>which</w:t>
      </w:r>
      <w:r>
        <w:rPr>
          <w:spacing w:val="-4"/>
          <w:sz w:val="18"/>
        </w:rPr>
        <w:t xml:space="preserve"> </w:t>
      </w:r>
      <w:r>
        <w:rPr>
          <w:sz w:val="18"/>
        </w:rPr>
        <w:t>finances</w:t>
      </w:r>
      <w:r>
        <w:rPr>
          <w:spacing w:val="-3"/>
          <w:sz w:val="18"/>
        </w:rPr>
        <w:t xml:space="preserve"> </w:t>
      </w:r>
      <w:r>
        <w:rPr>
          <w:sz w:val="18"/>
        </w:rPr>
        <w:t>its</w:t>
      </w:r>
      <w:r>
        <w:rPr>
          <w:spacing w:val="-3"/>
          <w:sz w:val="18"/>
        </w:rPr>
        <w:t xml:space="preserve"> </w:t>
      </w:r>
      <w:r>
        <w:rPr>
          <w:sz w:val="18"/>
        </w:rPr>
        <w:t>continuing</w:t>
      </w:r>
      <w:r>
        <w:rPr>
          <w:spacing w:val="-4"/>
          <w:sz w:val="18"/>
        </w:rPr>
        <w:t xml:space="preserve"> </w:t>
      </w:r>
      <w:r>
        <w:rPr>
          <w:sz w:val="18"/>
        </w:rPr>
        <w:t>cycle</w:t>
      </w:r>
      <w:r>
        <w:rPr>
          <w:spacing w:val="-4"/>
          <w:sz w:val="18"/>
        </w:rPr>
        <w:t xml:space="preserve"> </w:t>
      </w:r>
      <w:r>
        <w:rPr>
          <w:sz w:val="18"/>
        </w:rPr>
        <w:t>of operations through collection of exchange revenue as defined in SFFAS 7.</w:t>
      </w:r>
    </w:p>
    <w:p w14:paraId="0DFDBF1C" w14:textId="77777777" w:rsidR="00046465" w:rsidRDefault="00046465">
      <w:pPr>
        <w:spacing w:line="249" w:lineRule="auto"/>
        <w:rPr>
          <w:sz w:val="18"/>
        </w:rPr>
        <w:sectPr w:rsidR="00046465">
          <w:pgSz w:w="12240" w:h="15840"/>
          <w:pgMar w:top="1340" w:right="720" w:bottom="940" w:left="1080" w:header="721" w:footer="757" w:gutter="0"/>
          <w:cols w:space="720"/>
        </w:sectPr>
      </w:pPr>
    </w:p>
    <w:p w14:paraId="0DFDBF1D" w14:textId="77777777" w:rsidR="00046465" w:rsidRDefault="008134EB">
      <w:pPr>
        <w:pStyle w:val="BodyText"/>
        <w:spacing w:before="121"/>
        <w:ind w:left="1800" w:right="971"/>
        <w:rPr>
          <w:position w:val="7"/>
          <w:sz w:val="14"/>
        </w:rPr>
      </w:pPr>
      <w:r>
        <w:lastRenderedPageBreak/>
        <w:t>funding and administering agencies, such as OPM, for information needed to properly</w:t>
      </w:r>
      <w:r>
        <w:rPr>
          <w:spacing w:val="-4"/>
        </w:rPr>
        <w:t xml:space="preserve"> </w:t>
      </w:r>
      <w:r>
        <w:t>record</w:t>
      </w:r>
      <w:r>
        <w:rPr>
          <w:spacing w:val="-4"/>
        </w:rPr>
        <w:t xml:space="preserve"> </w:t>
      </w:r>
      <w:r>
        <w:t>inter-entity</w:t>
      </w:r>
      <w:r>
        <w:rPr>
          <w:spacing w:val="-4"/>
        </w:rPr>
        <w:t xml:space="preserve"> </w:t>
      </w:r>
      <w:r>
        <w:t>costs.</w:t>
      </w:r>
      <w:r>
        <w:rPr>
          <w:spacing w:val="-4"/>
        </w:rPr>
        <w:t xml:space="preserve"> </w:t>
      </w:r>
      <w:r>
        <w:t>See</w:t>
      </w:r>
      <w:r>
        <w:rPr>
          <w:spacing w:val="-4"/>
        </w:rPr>
        <w:t xml:space="preserve"> </w:t>
      </w:r>
      <w:r>
        <w:t>OMB</w:t>
      </w:r>
      <w:r>
        <w:rPr>
          <w:spacing w:val="-4"/>
        </w:rPr>
        <w:t xml:space="preserve"> </w:t>
      </w:r>
      <w:r>
        <w:t>reporting</w:t>
      </w:r>
      <w:r>
        <w:rPr>
          <w:spacing w:val="-4"/>
        </w:rPr>
        <w:t xml:space="preserve"> </w:t>
      </w:r>
      <w:r>
        <w:t>guidance</w:t>
      </w:r>
      <w:r>
        <w:rPr>
          <w:spacing w:val="-4"/>
        </w:rPr>
        <w:t xml:space="preserve"> </w:t>
      </w:r>
      <w:r>
        <w:t>for</w:t>
      </w:r>
      <w:r>
        <w:rPr>
          <w:spacing w:val="-4"/>
        </w:rPr>
        <w:t xml:space="preserve"> </w:t>
      </w:r>
      <w:r>
        <w:t>examples</w:t>
      </w:r>
      <w:r>
        <w:rPr>
          <w:spacing w:val="-4"/>
        </w:rPr>
        <w:t xml:space="preserve"> </w:t>
      </w:r>
      <w:r>
        <w:t>of inter-entity costs that should be recognized.</w:t>
      </w:r>
      <w:hyperlink w:anchor="_bookmark145" w:history="1">
        <w:r>
          <w:rPr>
            <w:position w:val="7"/>
            <w:sz w:val="14"/>
          </w:rPr>
          <w:t>6</w:t>
        </w:r>
      </w:hyperlink>
    </w:p>
    <w:p w14:paraId="0DFDBF1E" w14:textId="77777777" w:rsidR="00046465" w:rsidRDefault="008134EB">
      <w:pPr>
        <w:pStyle w:val="Heading5"/>
        <w:spacing w:before="240"/>
        <w:ind w:left="392"/>
        <w:rPr>
          <w:u w:val="none"/>
        </w:rPr>
      </w:pPr>
      <w:bookmarkStart w:id="261" w:name="OMB_Reporting_Guidance"/>
      <w:bookmarkEnd w:id="261"/>
      <w:r>
        <w:t>OMB</w:t>
      </w:r>
      <w:r>
        <w:rPr>
          <w:spacing w:val="-3"/>
        </w:rPr>
        <w:t xml:space="preserve"> </w:t>
      </w:r>
      <w:r>
        <w:t>Reporting</w:t>
      </w:r>
      <w:r>
        <w:rPr>
          <w:spacing w:val="-3"/>
        </w:rPr>
        <w:t xml:space="preserve"> </w:t>
      </w:r>
      <w:r>
        <w:rPr>
          <w:spacing w:val="-2"/>
        </w:rPr>
        <w:t>Guidance</w:t>
      </w:r>
    </w:p>
    <w:p w14:paraId="0DFDBF1F" w14:textId="77777777" w:rsidR="00046465" w:rsidRDefault="008134EB">
      <w:pPr>
        <w:pStyle w:val="ListParagraph"/>
        <w:numPr>
          <w:ilvl w:val="0"/>
          <w:numId w:val="142"/>
        </w:numPr>
        <w:tabs>
          <w:tab w:val="left" w:pos="1800"/>
        </w:tabs>
        <w:spacing w:before="119"/>
        <w:ind w:right="872"/>
      </w:pPr>
      <w:r>
        <w:t>OMB</w:t>
      </w:r>
      <w:r>
        <w:rPr>
          <w:spacing w:val="-5"/>
        </w:rPr>
        <w:t xml:space="preserve"> </w:t>
      </w:r>
      <w:r>
        <w:t>reporting</w:t>
      </w:r>
      <w:r>
        <w:rPr>
          <w:spacing w:val="-4"/>
        </w:rPr>
        <w:t xml:space="preserve"> </w:t>
      </w:r>
      <w:r>
        <w:t>guidance</w:t>
      </w:r>
      <w:r>
        <w:rPr>
          <w:spacing w:val="-5"/>
        </w:rPr>
        <w:t xml:space="preserve"> </w:t>
      </w:r>
      <w:r>
        <w:t>states</w:t>
      </w:r>
      <w:r>
        <w:rPr>
          <w:spacing w:val="-4"/>
        </w:rPr>
        <w:t xml:space="preserve"> </w:t>
      </w:r>
      <w:r>
        <w:t>that</w:t>
      </w:r>
      <w:r>
        <w:rPr>
          <w:spacing w:val="-5"/>
        </w:rPr>
        <w:t xml:space="preserve"> </w:t>
      </w:r>
      <w:r>
        <w:t>in</w:t>
      </w:r>
      <w:r>
        <w:rPr>
          <w:spacing w:val="-4"/>
        </w:rPr>
        <w:t xml:space="preserve"> </w:t>
      </w:r>
      <w:r>
        <w:t>their</w:t>
      </w:r>
      <w:r>
        <w:rPr>
          <w:spacing w:val="-4"/>
        </w:rPr>
        <w:t xml:space="preserve"> </w:t>
      </w:r>
      <w:r>
        <w:t>audited</w:t>
      </w:r>
      <w:r>
        <w:rPr>
          <w:spacing w:val="-4"/>
        </w:rPr>
        <w:t xml:space="preserve"> </w:t>
      </w:r>
      <w:r>
        <w:t>financial</w:t>
      </w:r>
      <w:r>
        <w:rPr>
          <w:spacing w:val="-5"/>
        </w:rPr>
        <w:t xml:space="preserve"> </w:t>
      </w:r>
      <w:r>
        <w:t>statements,</w:t>
      </w:r>
      <w:r>
        <w:rPr>
          <w:spacing w:val="-4"/>
        </w:rPr>
        <w:t xml:space="preserve"> </w:t>
      </w:r>
      <w:r>
        <w:t>federal entities are to</w:t>
      </w:r>
    </w:p>
    <w:p w14:paraId="0DFDBF20" w14:textId="77777777" w:rsidR="00046465" w:rsidRDefault="008134EB">
      <w:pPr>
        <w:pStyle w:val="ListParagraph"/>
        <w:numPr>
          <w:ilvl w:val="1"/>
          <w:numId w:val="142"/>
        </w:numPr>
        <w:tabs>
          <w:tab w:val="left" w:pos="2159"/>
        </w:tabs>
        <w:ind w:left="2159" w:right="851"/>
      </w:pPr>
      <w:r>
        <w:t>report intragovernmental assets separately from assets associated with the Federal</w:t>
      </w:r>
      <w:r>
        <w:rPr>
          <w:spacing w:val="-4"/>
        </w:rPr>
        <w:t xml:space="preserve"> </w:t>
      </w:r>
      <w:r>
        <w:t>Reserve,</w:t>
      </w:r>
      <w:r>
        <w:rPr>
          <w:spacing w:val="-4"/>
        </w:rPr>
        <w:t xml:space="preserve"> </w:t>
      </w:r>
      <w:r>
        <w:t>government-sponsored</w:t>
      </w:r>
      <w:r>
        <w:rPr>
          <w:spacing w:val="-4"/>
        </w:rPr>
        <w:t xml:space="preserve"> </w:t>
      </w:r>
      <w:r>
        <w:t>enterprises,</w:t>
      </w:r>
      <w:hyperlink w:anchor="_bookmark146" w:history="1">
        <w:r>
          <w:rPr>
            <w:position w:val="7"/>
            <w:sz w:val="14"/>
          </w:rPr>
          <w:t>7</w:t>
        </w:r>
      </w:hyperlink>
      <w:r>
        <w:rPr>
          <w:spacing w:val="17"/>
          <w:position w:val="7"/>
          <w:sz w:val="14"/>
        </w:rPr>
        <w:t xml:space="preserve"> </w:t>
      </w:r>
      <w:r>
        <w:t>and</w:t>
      </w:r>
      <w:r>
        <w:rPr>
          <w:spacing w:val="-4"/>
        </w:rPr>
        <w:t xml:space="preserve"> </w:t>
      </w:r>
      <w:r>
        <w:t>other</w:t>
      </w:r>
      <w:r>
        <w:rPr>
          <w:spacing w:val="-4"/>
        </w:rPr>
        <w:t xml:space="preserve"> </w:t>
      </w:r>
      <w:r>
        <w:t>entities</w:t>
      </w:r>
      <w:r>
        <w:rPr>
          <w:spacing w:val="-5"/>
        </w:rPr>
        <w:t xml:space="preserve"> </w:t>
      </w:r>
      <w:r>
        <w:t>not considered to be consolidation entities</w:t>
      </w:r>
      <w:hyperlink w:anchor="_bookmark147" w:history="1">
        <w:r>
          <w:rPr>
            <w:position w:val="7"/>
            <w:sz w:val="14"/>
          </w:rPr>
          <w:t>8</w:t>
        </w:r>
      </w:hyperlink>
      <w:r>
        <w:rPr>
          <w:spacing w:val="36"/>
          <w:position w:val="7"/>
          <w:sz w:val="14"/>
        </w:rPr>
        <w:t xml:space="preserve"> </w:t>
      </w:r>
      <w:r>
        <w:t>(which would include organizations and individuals considered to be part of the general public);</w:t>
      </w:r>
    </w:p>
    <w:p w14:paraId="0DFDBF21" w14:textId="77777777" w:rsidR="00046465" w:rsidRDefault="008134EB">
      <w:pPr>
        <w:pStyle w:val="ListParagraph"/>
        <w:numPr>
          <w:ilvl w:val="1"/>
          <w:numId w:val="142"/>
        </w:numPr>
        <w:tabs>
          <w:tab w:val="left" w:pos="2159"/>
        </w:tabs>
        <w:spacing w:before="119"/>
        <w:ind w:left="2159" w:right="720"/>
      </w:pPr>
      <w:r>
        <w:t>report intragovernmental liabilities separately from claims against the entity</w:t>
      </w:r>
      <w:r>
        <w:rPr>
          <w:spacing w:val="40"/>
        </w:rPr>
        <w:t xml:space="preserve"> </w:t>
      </w:r>
      <w:r>
        <w:t>by the Federal Reserve, government-sponsored enterprises, and other entities not considered to be consolidation entities (which would include organizations</w:t>
      </w:r>
      <w:r>
        <w:rPr>
          <w:spacing w:val="-4"/>
        </w:rPr>
        <w:t xml:space="preserve"> </w:t>
      </w:r>
      <w:r>
        <w:t>and</w:t>
      </w:r>
      <w:r>
        <w:rPr>
          <w:spacing w:val="-4"/>
        </w:rPr>
        <w:t xml:space="preserve"> </w:t>
      </w:r>
      <w:r>
        <w:t>individuals</w:t>
      </w:r>
      <w:r>
        <w:rPr>
          <w:spacing w:val="-4"/>
        </w:rPr>
        <w:t xml:space="preserve"> </w:t>
      </w:r>
      <w:r>
        <w:t>considered</w:t>
      </w:r>
      <w:r>
        <w:rPr>
          <w:spacing w:val="-4"/>
        </w:rPr>
        <w:t xml:space="preserve"> </w:t>
      </w:r>
      <w:r>
        <w:t>to</w:t>
      </w:r>
      <w:r>
        <w:rPr>
          <w:spacing w:val="-4"/>
        </w:rPr>
        <w:t xml:space="preserve"> </w:t>
      </w:r>
      <w:r>
        <w:t>be</w:t>
      </w:r>
      <w:r>
        <w:rPr>
          <w:spacing w:val="-4"/>
        </w:rPr>
        <w:t xml:space="preserve"> </w:t>
      </w:r>
      <w:r>
        <w:t>part</w:t>
      </w:r>
      <w:r>
        <w:rPr>
          <w:spacing w:val="-4"/>
        </w:rPr>
        <w:t xml:space="preserve"> </w:t>
      </w:r>
      <w:r>
        <w:t>of</w:t>
      </w:r>
      <w:r>
        <w:rPr>
          <w:spacing w:val="-4"/>
        </w:rPr>
        <w:t xml:space="preserve"> </w:t>
      </w:r>
      <w:r>
        <w:t>the</w:t>
      </w:r>
      <w:r>
        <w:rPr>
          <w:spacing w:val="-4"/>
        </w:rPr>
        <w:t xml:space="preserve"> </w:t>
      </w:r>
      <w:r>
        <w:t>general</w:t>
      </w:r>
      <w:r>
        <w:rPr>
          <w:spacing w:val="-4"/>
        </w:rPr>
        <w:t xml:space="preserve"> </w:t>
      </w:r>
      <w:r>
        <w:t>public);</w:t>
      </w:r>
      <w:r>
        <w:rPr>
          <w:spacing w:val="-5"/>
        </w:rPr>
        <w:t xml:space="preserve"> </w:t>
      </w:r>
      <w:r>
        <w:t>and</w:t>
      </w:r>
    </w:p>
    <w:p w14:paraId="0DFDBF22" w14:textId="77777777" w:rsidR="00046465" w:rsidRDefault="008134EB">
      <w:pPr>
        <w:pStyle w:val="ListParagraph"/>
        <w:numPr>
          <w:ilvl w:val="1"/>
          <w:numId w:val="142"/>
        </w:numPr>
        <w:tabs>
          <w:tab w:val="left" w:pos="2159"/>
        </w:tabs>
        <w:spacing w:before="118"/>
        <w:ind w:left="2159" w:right="865"/>
      </w:pPr>
      <w:r>
        <w:t>disclose intragovernmental amounts separately from other amounts for (1) nonentity</w:t>
      </w:r>
      <w:r>
        <w:rPr>
          <w:spacing w:val="-2"/>
        </w:rPr>
        <w:t xml:space="preserve"> </w:t>
      </w:r>
      <w:r>
        <w:t>assets</w:t>
      </w:r>
      <w:r>
        <w:rPr>
          <w:spacing w:val="-3"/>
        </w:rPr>
        <w:t xml:space="preserve"> </w:t>
      </w:r>
      <w:r>
        <w:t>(held</w:t>
      </w:r>
      <w:r>
        <w:rPr>
          <w:spacing w:val="-3"/>
        </w:rPr>
        <w:t xml:space="preserve"> </w:t>
      </w:r>
      <w:r>
        <w:t>by</w:t>
      </w:r>
      <w:r>
        <w:rPr>
          <w:spacing w:val="-3"/>
        </w:rPr>
        <w:t xml:space="preserve"> </w:t>
      </w:r>
      <w:r>
        <w:t>but</w:t>
      </w:r>
      <w:r>
        <w:rPr>
          <w:spacing w:val="-3"/>
        </w:rPr>
        <w:t xml:space="preserve"> </w:t>
      </w:r>
      <w:r>
        <w:t>not</w:t>
      </w:r>
      <w:r>
        <w:rPr>
          <w:spacing w:val="-3"/>
        </w:rPr>
        <w:t xml:space="preserve"> </w:t>
      </w:r>
      <w:r>
        <w:t>available</w:t>
      </w:r>
      <w:r>
        <w:rPr>
          <w:spacing w:val="-3"/>
        </w:rPr>
        <w:t xml:space="preserve"> </w:t>
      </w:r>
      <w:r>
        <w:t>to</w:t>
      </w:r>
      <w:r>
        <w:rPr>
          <w:spacing w:val="-3"/>
        </w:rPr>
        <w:t xml:space="preserve"> </w:t>
      </w:r>
      <w:r>
        <w:t>the</w:t>
      </w:r>
      <w:r>
        <w:rPr>
          <w:spacing w:val="-3"/>
        </w:rPr>
        <w:t xml:space="preserve"> </w:t>
      </w:r>
      <w:r>
        <w:t>entity),</w:t>
      </w:r>
      <w:r>
        <w:rPr>
          <w:spacing w:val="-3"/>
        </w:rPr>
        <w:t xml:space="preserve"> </w:t>
      </w:r>
      <w:r>
        <w:t>(2)</w:t>
      </w:r>
      <w:r>
        <w:rPr>
          <w:spacing w:val="-5"/>
        </w:rPr>
        <w:t xml:space="preserve"> </w:t>
      </w:r>
      <w:r>
        <w:t>other</w:t>
      </w:r>
      <w:r>
        <w:rPr>
          <w:spacing w:val="-3"/>
        </w:rPr>
        <w:t xml:space="preserve"> </w:t>
      </w:r>
      <w:r>
        <w:t>assets,</w:t>
      </w:r>
      <w:r>
        <w:rPr>
          <w:spacing w:val="-3"/>
        </w:rPr>
        <w:t xml:space="preserve"> </w:t>
      </w:r>
      <w:r>
        <w:t>(3) liabilities not covered by budgetary resources, and (4) other liabilities.</w:t>
      </w:r>
    </w:p>
    <w:p w14:paraId="0DFDBF23" w14:textId="77777777" w:rsidR="00046465" w:rsidRDefault="008134EB">
      <w:pPr>
        <w:pStyle w:val="BodyText"/>
        <w:spacing w:before="119"/>
        <w:ind w:left="1800"/>
      </w:pPr>
      <w:r>
        <w:t>In</w:t>
      </w:r>
      <w:r>
        <w:rPr>
          <w:spacing w:val="-7"/>
        </w:rPr>
        <w:t xml:space="preserve"> </w:t>
      </w:r>
      <w:r>
        <w:t>addition,</w:t>
      </w:r>
      <w:r>
        <w:rPr>
          <w:spacing w:val="-8"/>
        </w:rPr>
        <w:t xml:space="preserve"> </w:t>
      </w:r>
      <w:r>
        <w:t>OMB</w:t>
      </w:r>
      <w:r>
        <w:rPr>
          <w:spacing w:val="-6"/>
        </w:rPr>
        <w:t xml:space="preserve"> </w:t>
      </w:r>
      <w:r>
        <w:t>reporting</w:t>
      </w:r>
      <w:r>
        <w:rPr>
          <w:spacing w:val="-7"/>
        </w:rPr>
        <w:t xml:space="preserve"> </w:t>
      </w:r>
      <w:r>
        <w:t>guidance</w:t>
      </w:r>
      <w:r>
        <w:rPr>
          <w:spacing w:val="-7"/>
        </w:rPr>
        <w:t xml:space="preserve"> </w:t>
      </w:r>
      <w:r>
        <w:t>states</w:t>
      </w:r>
      <w:r>
        <w:rPr>
          <w:spacing w:val="-7"/>
        </w:rPr>
        <w:t xml:space="preserve"> </w:t>
      </w:r>
      <w:r>
        <w:rPr>
          <w:spacing w:val="-4"/>
        </w:rPr>
        <w:t>that</w:t>
      </w:r>
    </w:p>
    <w:p w14:paraId="0DFDBF24" w14:textId="77777777" w:rsidR="00046465" w:rsidRDefault="008134EB">
      <w:pPr>
        <w:pStyle w:val="ListParagraph"/>
        <w:numPr>
          <w:ilvl w:val="1"/>
          <w:numId w:val="142"/>
        </w:numPr>
        <w:tabs>
          <w:tab w:val="left" w:pos="2160"/>
        </w:tabs>
        <w:spacing w:before="119"/>
        <w:ind w:right="842"/>
      </w:pPr>
      <w:r>
        <w:t>federal</w:t>
      </w:r>
      <w:r>
        <w:rPr>
          <w:spacing w:val="-5"/>
        </w:rPr>
        <w:t xml:space="preserve"> </w:t>
      </w:r>
      <w:r>
        <w:t>entities</w:t>
      </w:r>
      <w:r>
        <w:rPr>
          <w:spacing w:val="-5"/>
        </w:rPr>
        <w:t xml:space="preserve"> </w:t>
      </w:r>
      <w:r>
        <w:t>are</w:t>
      </w:r>
      <w:r>
        <w:rPr>
          <w:spacing w:val="-5"/>
        </w:rPr>
        <w:t xml:space="preserve"> </w:t>
      </w:r>
      <w:r>
        <w:t>to</w:t>
      </w:r>
      <w:r>
        <w:rPr>
          <w:spacing w:val="-5"/>
        </w:rPr>
        <w:t xml:space="preserve"> </w:t>
      </w:r>
      <w:r>
        <w:t>reconcile</w:t>
      </w:r>
      <w:r>
        <w:rPr>
          <w:spacing w:val="-5"/>
        </w:rPr>
        <w:t xml:space="preserve"> </w:t>
      </w:r>
      <w:r>
        <w:t>intragovernmental</w:t>
      </w:r>
      <w:r>
        <w:rPr>
          <w:spacing w:val="-5"/>
        </w:rPr>
        <w:t xml:space="preserve"> </w:t>
      </w:r>
      <w:r>
        <w:t>balances</w:t>
      </w:r>
      <w:r>
        <w:rPr>
          <w:spacing w:val="-5"/>
        </w:rPr>
        <w:t xml:space="preserve"> </w:t>
      </w:r>
      <w:r>
        <w:t>and</w:t>
      </w:r>
      <w:r>
        <w:rPr>
          <w:spacing w:val="-5"/>
        </w:rPr>
        <w:t xml:space="preserve"> </w:t>
      </w:r>
      <w:r>
        <w:t>transactions with trading partners and resolve any identified differences, throughout the fiscal year and at year-end, with the goal of resolving all differences prior to final submission of data for the U.S. government’s consolidated financial statements, and</w:t>
      </w:r>
    </w:p>
    <w:p w14:paraId="0DFDBF25" w14:textId="77777777" w:rsidR="00046465" w:rsidRDefault="008134EB">
      <w:pPr>
        <w:pStyle w:val="ListParagraph"/>
        <w:numPr>
          <w:ilvl w:val="1"/>
          <w:numId w:val="142"/>
        </w:numPr>
        <w:tabs>
          <w:tab w:val="left" w:pos="2160"/>
        </w:tabs>
        <w:spacing w:before="118"/>
        <w:ind w:right="719"/>
        <w:rPr>
          <w:position w:val="7"/>
          <w:sz w:val="14"/>
        </w:rPr>
      </w:pPr>
      <w:r>
        <w:t>federal entities significant to the U.S. government’s consolidated financial statements are to use a standardized balance sheet and include a note in their audited financial statements showing how line items in the financial statements</w:t>
      </w:r>
      <w:r>
        <w:rPr>
          <w:spacing w:val="-4"/>
        </w:rPr>
        <w:t xml:space="preserve"> </w:t>
      </w:r>
      <w:r>
        <w:t>relate</w:t>
      </w:r>
      <w:r>
        <w:rPr>
          <w:spacing w:val="-4"/>
        </w:rPr>
        <w:t xml:space="preserve"> </w:t>
      </w:r>
      <w:r>
        <w:t>to</w:t>
      </w:r>
      <w:r>
        <w:rPr>
          <w:spacing w:val="-4"/>
        </w:rPr>
        <w:t xml:space="preserve"> </w:t>
      </w:r>
      <w:r>
        <w:t>line</w:t>
      </w:r>
      <w:r>
        <w:rPr>
          <w:spacing w:val="-5"/>
        </w:rPr>
        <w:t xml:space="preserve"> </w:t>
      </w:r>
      <w:r>
        <w:t>items</w:t>
      </w:r>
      <w:r>
        <w:rPr>
          <w:spacing w:val="-4"/>
        </w:rPr>
        <w:t xml:space="preserve"> </w:t>
      </w:r>
      <w:r>
        <w:t>in</w:t>
      </w:r>
      <w:r>
        <w:rPr>
          <w:spacing w:val="-4"/>
        </w:rPr>
        <w:t xml:space="preserve"> </w:t>
      </w:r>
      <w:r>
        <w:t>the</w:t>
      </w:r>
      <w:r>
        <w:rPr>
          <w:spacing w:val="-5"/>
        </w:rPr>
        <w:t xml:space="preserve"> </w:t>
      </w:r>
      <w:r>
        <w:t>U.S.</w:t>
      </w:r>
      <w:r>
        <w:rPr>
          <w:spacing w:val="-4"/>
        </w:rPr>
        <w:t xml:space="preserve"> </w:t>
      </w:r>
      <w:r>
        <w:t>government’s</w:t>
      </w:r>
      <w:r>
        <w:rPr>
          <w:spacing w:val="-4"/>
        </w:rPr>
        <w:t xml:space="preserve"> </w:t>
      </w:r>
      <w:r>
        <w:t>consolidated</w:t>
      </w:r>
      <w:r>
        <w:rPr>
          <w:spacing w:val="-4"/>
        </w:rPr>
        <w:t xml:space="preserve"> </w:t>
      </w:r>
      <w:r>
        <w:t>financial statements, including intragovernmental line items that are later eliminated in compiling the U.S. government’s consolidated financial statements.</w:t>
      </w:r>
      <w:hyperlink w:anchor="_bookmark148" w:history="1">
        <w:r>
          <w:rPr>
            <w:position w:val="7"/>
            <w:sz w:val="14"/>
          </w:rPr>
          <w:t>9</w:t>
        </w:r>
      </w:hyperlink>
    </w:p>
    <w:p w14:paraId="0DFDBF26" w14:textId="77777777" w:rsidR="00046465" w:rsidRDefault="008134EB">
      <w:pPr>
        <w:pStyle w:val="BodyText"/>
        <w:spacing w:before="125"/>
        <w:rPr>
          <w:sz w:val="20"/>
        </w:rPr>
      </w:pPr>
      <w:r>
        <w:rPr>
          <w:noProof/>
          <w:sz w:val="20"/>
        </w:rPr>
        <mc:AlternateContent>
          <mc:Choice Requires="wps">
            <w:drawing>
              <wp:anchor distT="0" distB="0" distL="0" distR="0" simplePos="0" relativeHeight="487715328" behindDoc="1" locked="0" layoutInCell="1" allowOverlap="1" wp14:anchorId="0DFDD705" wp14:editId="0DFDD706">
                <wp:simplePos x="0" y="0"/>
                <wp:positionH relativeFrom="page">
                  <wp:posOffset>914400</wp:posOffset>
                </wp:positionH>
                <wp:positionV relativeFrom="paragraph">
                  <wp:posOffset>240874</wp:posOffset>
                </wp:positionV>
                <wp:extent cx="1828800" cy="5715"/>
                <wp:effectExtent l="0" t="0" r="0" b="0"/>
                <wp:wrapTopAndBottom/>
                <wp:docPr id="890" name="Graphic 8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09DC81" id="Graphic 890" o:spid="_x0000_s1026" style="position:absolute;margin-left:1in;margin-top:18.95pt;width:2in;height:.45pt;z-index:-1560115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" path="m1828800,l,,,5321r1828800,l1828800,xe" fillcolor="black" stroked="f">
                <v:path arrowok="t"/>
                <w10:wrap type="topAndBottom" anchorx="page"/>
              </v:shape>
            </w:pict>
          </mc:Fallback>
        </mc:AlternateContent>
      </w:r>
    </w:p>
    <w:p w14:paraId="0DFDBF27" w14:textId="77777777" w:rsidR="00046465" w:rsidRDefault="008134EB">
      <w:pPr>
        <w:spacing w:before="200" w:line="242" w:lineRule="auto"/>
        <w:ind w:left="359" w:right="749"/>
        <w:rPr>
          <w:sz w:val="18"/>
        </w:rPr>
      </w:pPr>
      <w:bookmarkStart w:id="262" w:name="_bookmark145"/>
      <w:bookmarkEnd w:id="262"/>
      <w:r>
        <w:rPr>
          <w:position w:val="7"/>
          <w:sz w:val="14"/>
        </w:rPr>
        <w:t>6</w:t>
      </w:r>
      <w:r>
        <w:rPr>
          <w:sz w:val="18"/>
        </w:rPr>
        <w:t>In</w:t>
      </w:r>
      <w:r>
        <w:rPr>
          <w:spacing w:val="-2"/>
          <w:sz w:val="18"/>
        </w:rPr>
        <w:t xml:space="preserve"> </w:t>
      </w:r>
      <w:r>
        <w:rPr>
          <w:sz w:val="18"/>
        </w:rPr>
        <w:t>accordance with</w:t>
      </w:r>
      <w:r>
        <w:rPr>
          <w:spacing w:val="-2"/>
          <w:sz w:val="18"/>
        </w:rPr>
        <w:t xml:space="preserve"> </w:t>
      </w:r>
      <w:r>
        <w:rPr>
          <w:sz w:val="18"/>
        </w:rPr>
        <w:t>OMB</w:t>
      </w:r>
      <w:r>
        <w:rPr>
          <w:spacing w:val="-1"/>
          <w:sz w:val="18"/>
        </w:rPr>
        <w:t xml:space="preserve"> </w:t>
      </w:r>
      <w:r>
        <w:rPr>
          <w:sz w:val="18"/>
        </w:rPr>
        <w:t>reporting</w:t>
      </w:r>
      <w:r>
        <w:rPr>
          <w:spacing w:val="-2"/>
          <w:sz w:val="18"/>
        </w:rPr>
        <w:t xml:space="preserve"> </w:t>
      </w:r>
      <w:r>
        <w:rPr>
          <w:sz w:val="18"/>
        </w:rPr>
        <w:t>guidance</w:t>
      </w:r>
      <w:r>
        <w:rPr>
          <w:i/>
          <w:sz w:val="18"/>
        </w:rPr>
        <w:t xml:space="preserve">, </w:t>
      </w:r>
      <w:r>
        <w:rPr>
          <w:sz w:val="18"/>
        </w:rPr>
        <w:t>unreimbursed</w:t>
      </w:r>
      <w:r>
        <w:rPr>
          <w:spacing w:val="-2"/>
          <w:sz w:val="18"/>
        </w:rPr>
        <w:t xml:space="preserve"> </w:t>
      </w:r>
      <w:r>
        <w:rPr>
          <w:sz w:val="18"/>
        </w:rPr>
        <w:t>costs</w:t>
      </w:r>
      <w:r>
        <w:rPr>
          <w:spacing w:val="-1"/>
          <w:sz w:val="18"/>
        </w:rPr>
        <w:t xml:space="preserve"> </w:t>
      </w:r>
      <w:r>
        <w:rPr>
          <w:sz w:val="18"/>
        </w:rPr>
        <w:t>that</w:t>
      </w:r>
      <w:r>
        <w:rPr>
          <w:spacing w:val="-1"/>
          <w:sz w:val="18"/>
        </w:rPr>
        <w:t xml:space="preserve"> </w:t>
      </w:r>
      <w:r>
        <w:rPr>
          <w:sz w:val="18"/>
        </w:rPr>
        <w:t>reporting</w:t>
      </w:r>
      <w:r>
        <w:rPr>
          <w:spacing w:val="-2"/>
          <w:sz w:val="18"/>
        </w:rPr>
        <w:t xml:space="preserve"> </w:t>
      </w:r>
      <w:r>
        <w:rPr>
          <w:sz w:val="18"/>
        </w:rPr>
        <w:t>entities</w:t>
      </w:r>
      <w:r>
        <w:rPr>
          <w:spacing w:val="-1"/>
          <w:sz w:val="18"/>
        </w:rPr>
        <w:t xml:space="preserve"> </w:t>
      </w:r>
      <w:r>
        <w:rPr>
          <w:sz w:val="18"/>
        </w:rPr>
        <w:t>are</w:t>
      </w:r>
      <w:r>
        <w:rPr>
          <w:spacing w:val="-2"/>
          <w:sz w:val="18"/>
        </w:rPr>
        <w:t xml:space="preserve"> </w:t>
      </w:r>
      <w:r>
        <w:rPr>
          <w:sz w:val="18"/>
        </w:rPr>
        <w:t>required</w:t>
      </w:r>
      <w:r>
        <w:rPr>
          <w:spacing w:val="-2"/>
          <w:sz w:val="18"/>
        </w:rPr>
        <w:t xml:space="preserve"> </w:t>
      </w:r>
      <w:r>
        <w:rPr>
          <w:sz w:val="18"/>
        </w:rPr>
        <w:t>to</w:t>
      </w:r>
      <w:r>
        <w:rPr>
          <w:spacing w:val="-2"/>
          <w:sz w:val="18"/>
        </w:rPr>
        <w:t xml:space="preserve"> </w:t>
      </w:r>
      <w:r>
        <w:rPr>
          <w:sz w:val="18"/>
        </w:rPr>
        <w:t xml:space="preserve">recognize include (1) employees’ pension and postretirement health and life insurance benefits; (2) other postemployment benefits for retired, terminated, and inactive employees, which include unemployment and workers compensation under the Federal Employees’ Compensation Act (5 U.S.C. chapter 81); and (3) losses in litigation proceedings (addressed in FASAB Interpretation No. 2, </w:t>
      </w:r>
      <w:r>
        <w:rPr>
          <w:i/>
          <w:sz w:val="18"/>
        </w:rPr>
        <w:t>Accounting for Treasury Judgment Fund Transactions</w:t>
      </w:r>
      <w:r>
        <w:rPr>
          <w:sz w:val="18"/>
        </w:rPr>
        <w:t>). For employee benefits,</w:t>
      </w:r>
      <w:r>
        <w:rPr>
          <w:spacing w:val="-2"/>
          <w:sz w:val="18"/>
        </w:rPr>
        <w:t xml:space="preserve"> </w:t>
      </w:r>
      <w:r>
        <w:rPr>
          <w:sz w:val="18"/>
        </w:rPr>
        <w:t>the</w:t>
      </w:r>
      <w:r>
        <w:rPr>
          <w:spacing w:val="-3"/>
          <w:sz w:val="18"/>
        </w:rPr>
        <w:t xml:space="preserve"> </w:t>
      </w:r>
      <w:r>
        <w:rPr>
          <w:sz w:val="18"/>
        </w:rPr>
        <w:t>imputed</w:t>
      </w:r>
      <w:r>
        <w:rPr>
          <w:spacing w:val="-3"/>
          <w:sz w:val="18"/>
        </w:rPr>
        <w:t xml:space="preserve"> </w:t>
      </w:r>
      <w:r>
        <w:rPr>
          <w:sz w:val="18"/>
        </w:rPr>
        <w:t>cost</w:t>
      </w:r>
      <w:r>
        <w:rPr>
          <w:spacing w:val="-2"/>
          <w:sz w:val="18"/>
        </w:rPr>
        <w:t xml:space="preserve"> </w:t>
      </w:r>
      <w:r>
        <w:rPr>
          <w:sz w:val="18"/>
        </w:rPr>
        <w:t>is</w:t>
      </w:r>
      <w:r>
        <w:rPr>
          <w:spacing w:val="-2"/>
          <w:sz w:val="18"/>
        </w:rPr>
        <w:t xml:space="preserve"> </w:t>
      </w:r>
      <w:r>
        <w:rPr>
          <w:sz w:val="18"/>
        </w:rPr>
        <w:t>the</w:t>
      </w:r>
      <w:r>
        <w:rPr>
          <w:spacing w:val="-3"/>
          <w:sz w:val="18"/>
        </w:rPr>
        <w:t xml:space="preserve"> </w:t>
      </w:r>
      <w:r>
        <w:rPr>
          <w:sz w:val="18"/>
        </w:rPr>
        <w:t>difference</w:t>
      </w:r>
      <w:r>
        <w:rPr>
          <w:spacing w:val="-3"/>
          <w:sz w:val="18"/>
        </w:rPr>
        <w:t xml:space="preserve"> </w:t>
      </w:r>
      <w:r>
        <w:rPr>
          <w:sz w:val="18"/>
        </w:rPr>
        <w:t>between</w:t>
      </w:r>
      <w:r>
        <w:rPr>
          <w:spacing w:val="-3"/>
          <w:sz w:val="18"/>
        </w:rPr>
        <w:t xml:space="preserve"> </w:t>
      </w:r>
      <w:r>
        <w:rPr>
          <w:sz w:val="18"/>
        </w:rPr>
        <w:t>employer</w:t>
      </w:r>
      <w:r>
        <w:rPr>
          <w:spacing w:val="-2"/>
          <w:sz w:val="18"/>
        </w:rPr>
        <w:t xml:space="preserve"> </w:t>
      </w:r>
      <w:r>
        <w:rPr>
          <w:sz w:val="18"/>
        </w:rPr>
        <w:t>and</w:t>
      </w:r>
      <w:r>
        <w:rPr>
          <w:spacing w:val="-3"/>
          <w:sz w:val="18"/>
        </w:rPr>
        <w:t xml:space="preserve"> </w:t>
      </w:r>
      <w:r>
        <w:rPr>
          <w:sz w:val="18"/>
        </w:rPr>
        <w:t>employee</w:t>
      </w:r>
      <w:r>
        <w:rPr>
          <w:spacing w:val="-3"/>
          <w:sz w:val="18"/>
        </w:rPr>
        <w:t xml:space="preserve"> </w:t>
      </w:r>
      <w:r>
        <w:rPr>
          <w:sz w:val="18"/>
        </w:rPr>
        <w:t>contributions</w:t>
      </w:r>
      <w:r>
        <w:rPr>
          <w:spacing w:val="-2"/>
          <w:sz w:val="18"/>
        </w:rPr>
        <w:t xml:space="preserve"> </w:t>
      </w:r>
      <w:r>
        <w:rPr>
          <w:sz w:val="18"/>
        </w:rPr>
        <w:t>and</w:t>
      </w:r>
      <w:r>
        <w:rPr>
          <w:spacing w:val="-3"/>
          <w:sz w:val="18"/>
        </w:rPr>
        <w:t xml:space="preserve"> </w:t>
      </w:r>
      <w:r>
        <w:rPr>
          <w:sz w:val="18"/>
        </w:rPr>
        <w:t>the</w:t>
      </w:r>
      <w:r>
        <w:rPr>
          <w:spacing w:val="-3"/>
          <w:sz w:val="18"/>
        </w:rPr>
        <w:t xml:space="preserve"> </w:t>
      </w:r>
      <w:r>
        <w:rPr>
          <w:sz w:val="18"/>
        </w:rPr>
        <w:t>total</w:t>
      </w:r>
      <w:r>
        <w:rPr>
          <w:spacing w:val="-2"/>
          <w:sz w:val="18"/>
        </w:rPr>
        <w:t xml:space="preserve"> </w:t>
      </w:r>
      <w:r>
        <w:rPr>
          <w:sz w:val="18"/>
        </w:rPr>
        <w:t>cost</w:t>
      </w:r>
      <w:r>
        <w:rPr>
          <w:spacing w:val="-2"/>
          <w:sz w:val="18"/>
        </w:rPr>
        <w:t xml:space="preserve"> </w:t>
      </w:r>
      <w:r>
        <w:rPr>
          <w:sz w:val="18"/>
        </w:rPr>
        <w:t>of</w:t>
      </w:r>
      <w:r>
        <w:rPr>
          <w:spacing w:val="-2"/>
          <w:sz w:val="18"/>
        </w:rPr>
        <w:t xml:space="preserve"> </w:t>
      </w:r>
      <w:r>
        <w:rPr>
          <w:sz w:val="18"/>
        </w:rPr>
        <w:t xml:space="preserve">the </w:t>
      </w:r>
      <w:r>
        <w:rPr>
          <w:spacing w:val="-2"/>
          <w:sz w:val="18"/>
        </w:rPr>
        <w:t>benefit.</w:t>
      </w:r>
    </w:p>
    <w:p w14:paraId="0DFDBF28" w14:textId="77777777" w:rsidR="00046465" w:rsidRDefault="008134EB">
      <w:pPr>
        <w:spacing w:before="120" w:line="242" w:lineRule="auto"/>
        <w:ind w:left="360" w:right="1197" w:hanging="1"/>
        <w:rPr>
          <w:sz w:val="18"/>
        </w:rPr>
      </w:pPr>
      <w:bookmarkStart w:id="263" w:name="_bookmark146"/>
      <w:bookmarkEnd w:id="263"/>
      <w:r>
        <w:rPr>
          <w:position w:val="7"/>
          <w:sz w:val="14"/>
        </w:rPr>
        <w:t>7</w:t>
      </w:r>
      <w:r>
        <w:rPr>
          <w:sz w:val="18"/>
        </w:rPr>
        <w:t>A</w:t>
      </w:r>
      <w:r>
        <w:rPr>
          <w:spacing w:val="-3"/>
          <w:sz w:val="18"/>
        </w:rPr>
        <w:t xml:space="preserve"> </w:t>
      </w:r>
      <w:r>
        <w:rPr>
          <w:sz w:val="18"/>
        </w:rPr>
        <w:t>government-sponsored</w:t>
      </w:r>
      <w:r>
        <w:rPr>
          <w:spacing w:val="-2"/>
          <w:sz w:val="18"/>
        </w:rPr>
        <w:t xml:space="preserve"> </w:t>
      </w:r>
      <w:r>
        <w:rPr>
          <w:sz w:val="18"/>
        </w:rPr>
        <w:t>enterprise</w:t>
      </w:r>
      <w:r>
        <w:rPr>
          <w:spacing w:val="-4"/>
          <w:sz w:val="18"/>
        </w:rPr>
        <w:t xml:space="preserve"> </w:t>
      </w:r>
      <w:r>
        <w:rPr>
          <w:sz w:val="18"/>
        </w:rPr>
        <w:t>is</w:t>
      </w:r>
      <w:r>
        <w:rPr>
          <w:spacing w:val="-3"/>
          <w:sz w:val="18"/>
        </w:rPr>
        <w:t xml:space="preserve"> </w:t>
      </w:r>
      <w:r>
        <w:rPr>
          <w:sz w:val="18"/>
        </w:rPr>
        <w:t>statutorily</w:t>
      </w:r>
      <w:r>
        <w:rPr>
          <w:spacing w:val="-3"/>
          <w:sz w:val="18"/>
        </w:rPr>
        <w:t xml:space="preserve"> </w:t>
      </w:r>
      <w:r>
        <w:rPr>
          <w:sz w:val="18"/>
        </w:rPr>
        <w:t>established</w:t>
      </w:r>
      <w:r>
        <w:rPr>
          <w:spacing w:val="-4"/>
          <w:sz w:val="18"/>
        </w:rPr>
        <w:t xml:space="preserve"> </w:t>
      </w:r>
      <w:r>
        <w:rPr>
          <w:sz w:val="18"/>
        </w:rPr>
        <w:t>with</w:t>
      </w:r>
      <w:r>
        <w:rPr>
          <w:spacing w:val="-4"/>
          <w:sz w:val="18"/>
        </w:rPr>
        <w:t xml:space="preserve"> </w:t>
      </w:r>
      <w:r>
        <w:rPr>
          <w:sz w:val="18"/>
        </w:rPr>
        <w:t>its</w:t>
      </w:r>
      <w:r>
        <w:rPr>
          <w:spacing w:val="-3"/>
          <w:sz w:val="18"/>
        </w:rPr>
        <w:t xml:space="preserve"> </w:t>
      </w:r>
      <w:r>
        <w:rPr>
          <w:sz w:val="18"/>
        </w:rPr>
        <w:t>particular</w:t>
      </w:r>
      <w:r>
        <w:rPr>
          <w:spacing w:val="-3"/>
          <w:sz w:val="18"/>
        </w:rPr>
        <w:t xml:space="preserve"> </w:t>
      </w:r>
      <w:r>
        <w:rPr>
          <w:sz w:val="18"/>
        </w:rPr>
        <w:t>attributes</w:t>
      </w:r>
      <w:r>
        <w:rPr>
          <w:spacing w:val="-3"/>
          <w:sz w:val="18"/>
        </w:rPr>
        <w:t xml:space="preserve"> </w:t>
      </w:r>
      <w:r>
        <w:rPr>
          <w:sz w:val="18"/>
        </w:rPr>
        <w:t>defined</w:t>
      </w:r>
      <w:r>
        <w:rPr>
          <w:spacing w:val="-4"/>
          <w:sz w:val="18"/>
        </w:rPr>
        <w:t xml:space="preserve"> </w:t>
      </w:r>
      <w:r>
        <w:rPr>
          <w:sz w:val="18"/>
        </w:rPr>
        <w:t>in</w:t>
      </w:r>
      <w:r>
        <w:rPr>
          <w:spacing w:val="-4"/>
          <w:sz w:val="18"/>
        </w:rPr>
        <w:t xml:space="preserve"> </w:t>
      </w:r>
      <w:r>
        <w:rPr>
          <w:sz w:val="18"/>
        </w:rPr>
        <w:t>its</w:t>
      </w:r>
      <w:r>
        <w:rPr>
          <w:spacing w:val="-3"/>
          <w:sz w:val="18"/>
        </w:rPr>
        <w:t xml:space="preserve"> </w:t>
      </w:r>
      <w:r>
        <w:rPr>
          <w:sz w:val="18"/>
        </w:rPr>
        <w:t>enabling statute and federal charter. Despite this diversity, there are at least four readily observable characteristics of government-sponsored</w:t>
      </w:r>
      <w:r>
        <w:rPr>
          <w:spacing w:val="-1"/>
          <w:sz w:val="18"/>
        </w:rPr>
        <w:t xml:space="preserve"> </w:t>
      </w:r>
      <w:r>
        <w:rPr>
          <w:sz w:val="18"/>
        </w:rPr>
        <w:t>enterprises: (1) private</w:t>
      </w:r>
      <w:r>
        <w:rPr>
          <w:spacing w:val="-1"/>
          <w:sz w:val="18"/>
        </w:rPr>
        <w:t xml:space="preserve"> </w:t>
      </w:r>
      <w:r>
        <w:rPr>
          <w:sz w:val="18"/>
        </w:rPr>
        <w:t>sector ownership, (2) limited competition, (3) activities limited</w:t>
      </w:r>
      <w:r>
        <w:rPr>
          <w:spacing w:val="-1"/>
          <w:sz w:val="18"/>
        </w:rPr>
        <w:t xml:space="preserve"> </w:t>
      </w:r>
      <w:r>
        <w:rPr>
          <w:sz w:val="18"/>
        </w:rPr>
        <w:t>by federal</w:t>
      </w:r>
      <w:r>
        <w:rPr>
          <w:spacing w:val="-2"/>
          <w:sz w:val="18"/>
        </w:rPr>
        <w:t xml:space="preserve"> </w:t>
      </w:r>
      <w:r>
        <w:rPr>
          <w:sz w:val="18"/>
        </w:rPr>
        <w:t>charter,</w:t>
      </w:r>
      <w:r>
        <w:rPr>
          <w:spacing w:val="-1"/>
          <w:sz w:val="18"/>
        </w:rPr>
        <w:t xml:space="preserve"> </w:t>
      </w:r>
      <w:r>
        <w:rPr>
          <w:sz w:val="18"/>
        </w:rPr>
        <w:t>and</w:t>
      </w:r>
      <w:r>
        <w:rPr>
          <w:spacing w:val="-3"/>
          <w:sz w:val="18"/>
        </w:rPr>
        <w:t xml:space="preserve"> </w:t>
      </w:r>
      <w:r>
        <w:rPr>
          <w:sz w:val="18"/>
        </w:rPr>
        <w:t>(4)</w:t>
      </w:r>
      <w:r>
        <w:rPr>
          <w:spacing w:val="-2"/>
          <w:sz w:val="18"/>
        </w:rPr>
        <w:t xml:space="preserve"> </w:t>
      </w:r>
      <w:r>
        <w:rPr>
          <w:sz w:val="18"/>
        </w:rPr>
        <w:t>chartered</w:t>
      </w:r>
      <w:r>
        <w:rPr>
          <w:spacing w:val="-3"/>
          <w:sz w:val="18"/>
        </w:rPr>
        <w:t xml:space="preserve"> </w:t>
      </w:r>
      <w:r>
        <w:rPr>
          <w:sz w:val="18"/>
        </w:rPr>
        <w:t>privileges</w:t>
      </w:r>
      <w:r>
        <w:rPr>
          <w:spacing w:val="-2"/>
          <w:sz w:val="18"/>
        </w:rPr>
        <w:t xml:space="preserve"> </w:t>
      </w:r>
      <w:r>
        <w:rPr>
          <w:sz w:val="18"/>
        </w:rPr>
        <w:t>that</w:t>
      </w:r>
      <w:r>
        <w:rPr>
          <w:spacing w:val="-2"/>
          <w:sz w:val="18"/>
        </w:rPr>
        <w:t xml:space="preserve"> </w:t>
      </w:r>
      <w:r>
        <w:rPr>
          <w:sz w:val="18"/>
        </w:rPr>
        <w:t>create</w:t>
      </w:r>
      <w:r>
        <w:rPr>
          <w:spacing w:val="-3"/>
          <w:sz w:val="18"/>
        </w:rPr>
        <w:t xml:space="preserve"> </w:t>
      </w:r>
      <w:r>
        <w:rPr>
          <w:sz w:val="18"/>
        </w:rPr>
        <w:t>an</w:t>
      </w:r>
      <w:r>
        <w:rPr>
          <w:spacing w:val="-3"/>
          <w:sz w:val="18"/>
        </w:rPr>
        <w:t xml:space="preserve"> </w:t>
      </w:r>
      <w:r>
        <w:rPr>
          <w:sz w:val="18"/>
        </w:rPr>
        <w:t>inferred</w:t>
      </w:r>
      <w:r>
        <w:rPr>
          <w:spacing w:val="-3"/>
          <w:sz w:val="18"/>
        </w:rPr>
        <w:t xml:space="preserve"> </w:t>
      </w:r>
      <w:r>
        <w:rPr>
          <w:sz w:val="18"/>
        </w:rPr>
        <w:t>federal</w:t>
      </w:r>
      <w:r>
        <w:rPr>
          <w:spacing w:val="-2"/>
          <w:sz w:val="18"/>
        </w:rPr>
        <w:t xml:space="preserve"> </w:t>
      </w:r>
      <w:r>
        <w:rPr>
          <w:sz w:val="18"/>
        </w:rPr>
        <w:t>guarantee</w:t>
      </w:r>
      <w:r>
        <w:rPr>
          <w:spacing w:val="-3"/>
          <w:sz w:val="18"/>
        </w:rPr>
        <w:t xml:space="preserve"> </w:t>
      </w:r>
      <w:r>
        <w:rPr>
          <w:sz w:val="18"/>
        </w:rPr>
        <w:t>of</w:t>
      </w:r>
      <w:r>
        <w:rPr>
          <w:spacing w:val="-2"/>
          <w:sz w:val="18"/>
        </w:rPr>
        <w:t xml:space="preserve"> </w:t>
      </w:r>
      <w:r>
        <w:rPr>
          <w:sz w:val="18"/>
        </w:rPr>
        <w:t>obligations</w:t>
      </w:r>
      <w:r>
        <w:rPr>
          <w:spacing w:val="-2"/>
          <w:sz w:val="18"/>
        </w:rPr>
        <w:t xml:space="preserve"> </w:t>
      </w:r>
      <w:r>
        <w:rPr>
          <w:sz w:val="18"/>
        </w:rPr>
        <w:t>(see</w:t>
      </w:r>
      <w:r>
        <w:rPr>
          <w:spacing w:val="-1"/>
          <w:sz w:val="18"/>
        </w:rPr>
        <w:t xml:space="preserve"> </w:t>
      </w:r>
      <w:r>
        <w:rPr>
          <w:sz w:val="18"/>
        </w:rPr>
        <w:t>FASAB Handbook, app. E).</w:t>
      </w:r>
    </w:p>
    <w:p w14:paraId="0DFDBF29" w14:textId="77777777" w:rsidR="00046465" w:rsidRDefault="008134EB">
      <w:pPr>
        <w:spacing w:before="123"/>
        <w:ind w:left="360"/>
        <w:rPr>
          <w:sz w:val="18"/>
        </w:rPr>
      </w:pPr>
      <w:bookmarkStart w:id="264" w:name="_bookmark147"/>
      <w:bookmarkEnd w:id="264"/>
      <w:r>
        <w:rPr>
          <w:position w:val="7"/>
          <w:sz w:val="14"/>
        </w:rPr>
        <w:t>8</w:t>
      </w:r>
      <w:r>
        <w:rPr>
          <w:sz w:val="18"/>
        </w:rPr>
        <w:t>Consolidation</w:t>
      </w:r>
      <w:r>
        <w:rPr>
          <w:spacing w:val="-5"/>
          <w:sz w:val="18"/>
        </w:rPr>
        <w:t xml:space="preserve"> </w:t>
      </w:r>
      <w:r>
        <w:rPr>
          <w:sz w:val="18"/>
        </w:rPr>
        <w:t>entities</w:t>
      </w:r>
      <w:r>
        <w:rPr>
          <w:spacing w:val="-3"/>
          <w:sz w:val="18"/>
        </w:rPr>
        <w:t xml:space="preserve"> </w:t>
      </w:r>
      <w:r>
        <w:rPr>
          <w:sz w:val="18"/>
        </w:rPr>
        <w:t>are</w:t>
      </w:r>
      <w:r>
        <w:rPr>
          <w:spacing w:val="-5"/>
          <w:sz w:val="18"/>
        </w:rPr>
        <w:t xml:space="preserve"> </w:t>
      </w:r>
      <w:r>
        <w:rPr>
          <w:sz w:val="18"/>
        </w:rPr>
        <w:t>entities</w:t>
      </w:r>
      <w:r>
        <w:rPr>
          <w:spacing w:val="-3"/>
          <w:sz w:val="18"/>
        </w:rPr>
        <w:t xml:space="preserve"> </w:t>
      </w:r>
      <w:r>
        <w:rPr>
          <w:sz w:val="18"/>
        </w:rPr>
        <w:t>that</w:t>
      </w:r>
      <w:r>
        <w:rPr>
          <w:spacing w:val="-4"/>
          <w:sz w:val="18"/>
        </w:rPr>
        <w:t xml:space="preserve"> </w:t>
      </w:r>
      <w:r>
        <w:rPr>
          <w:sz w:val="18"/>
        </w:rPr>
        <w:t>are</w:t>
      </w:r>
      <w:r>
        <w:rPr>
          <w:spacing w:val="-4"/>
          <w:sz w:val="18"/>
        </w:rPr>
        <w:t xml:space="preserve"> </w:t>
      </w:r>
      <w:r>
        <w:rPr>
          <w:sz w:val="18"/>
        </w:rPr>
        <w:t>consolidated</w:t>
      </w:r>
      <w:r>
        <w:rPr>
          <w:spacing w:val="-4"/>
          <w:sz w:val="18"/>
        </w:rPr>
        <w:t xml:space="preserve"> </w:t>
      </w:r>
      <w:r>
        <w:rPr>
          <w:sz w:val="18"/>
        </w:rPr>
        <w:t>in</w:t>
      </w:r>
      <w:r>
        <w:rPr>
          <w:spacing w:val="-5"/>
          <w:sz w:val="18"/>
        </w:rPr>
        <w:t xml:space="preserve"> </w:t>
      </w:r>
      <w:r>
        <w:rPr>
          <w:sz w:val="18"/>
        </w:rPr>
        <w:t>the</w:t>
      </w:r>
      <w:r>
        <w:rPr>
          <w:spacing w:val="-4"/>
          <w:sz w:val="18"/>
        </w:rPr>
        <w:t xml:space="preserve"> </w:t>
      </w:r>
      <w:r>
        <w:rPr>
          <w:sz w:val="18"/>
        </w:rPr>
        <w:t>U.S.</w:t>
      </w:r>
      <w:r>
        <w:rPr>
          <w:spacing w:val="-3"/>
          <w:sz w:val="18"/>
        </w:rPr>
        <w:t xml:space="preserve"> </w:t>
      </w:r>
      <w:r>
        <w:rPr>
          <w:sz w:val="18"/>
        </w:rPr>
        <w:t>government’s</w:t>
      </w:r>
      <w:r>
        <w:rPr>
          <w:spacing w:val="-4"/>
          <w:sz w:val="18"/>
        </w:rPr>
        <w:t xml:space="preserve"> </w:t>
      </w:r>
      <w:r>
        <w:rPr>
          <w:sz w:val="18"/>
        </w:rPr>
        <w:t>consolidated</w:t>
      </w:r>
      <w:r>
        <w:rPr>
          <w:spacing w:val="-4"/>
          <w:sz w:val="18"/>
        </w:rPr>
        <w:t xml:space="preserve"> </w:t>
      </w:r>
      <w:r>
        <w:rPr>
          <w:sz w:val="18"/>
        </w:rPr>
        <w:t>financial</w:t>
      </w:r>
      <w:r>
        <w:rPr>
          <w:spacing w:val="-2"/>
          <w:sz w:val="18"/>
        </w:rPr>
        <w:t xml:space="preserve"> statements.</w:t>
      </w:r>
    </w:p>
    <w:p w14:paraId="0DFDBF2A" w14:textId="77777777" w:rsidR="00046465" w:rsidRDefault="008134EB">
      <w:pPr>
        <w:spacing w:before="133" w:line="244" w:lineRule="auto"/>
        <w:ind w:left="360" w:right="749" w:hanging="1"/>
        <w:rPr>
          <w:sz w:val="18"/>
        </w:rPr>
      </w:pPr>
      <w:bookmarkStart w:id="265" w:name="_bookmark148"/>
      <w:bookmarkEnd w:id="265"/>
      <w:r>
        <w:rPr>
          <w:position w:val="7"/>
          <w:sz w:val="14"/>
        </w:rPr>
        <w:t>9</w:t>
      </w:r>
      <w:r>
        <w:rPr>
          <w:sz w:val="18"/>
        </w:rPr>
        <w:t>See TFM vol. 1, pt. 2, ch. 4700 (TFM 2-4700), for a listing of federal entities identified as significant to the U.S. government’s</w:t>
      </w:r>
      <w:r>
        <w:rPr>
          <w:spacing w:val="-4"/>
          <w:sz w:val="18"/>
        </w:rPr>
        <w:t xml:space="preserve"> </w:t>
      </w:r>
      <w:r>
        <w:rPr>
          <w:sz w:val="18"/>
        </w:rPr>
        <w:t>consolidated</w:t>
      </w:r>
      <w:r>
        <w:rPr>
          <w:spacing w:val="-5"/>
          <w:sz w:val="18"/>
        </w:rPr>
        <w:t xml:space="preserve"> </w:t>
      </w:r>
      <w:r>
        <w:rPr>
          <w:sz w:val="18"/>
        </w:rPr>
        <w:t>financial</w:t>
      </w:r>
      <w:r>
        <w:rPr>
          <w:spacing w:val="-4"/>
          <w:sz w:val="18"/>
        </w:rPr>
        <w:t xml:space="preserve"> </w:t>
      </w:r>
      <w:r>
        <w:rPr>
          <w:sz w:val="18"/>
        </w:rPr>
        <w:t>statements</w:t>
      </w:r>
      <w:r>
        <w:rPr>
          <w:spacing w:val="-4"/>
          <w:sz w:val="18"/>
        </w:rPr>
        <w:t xml:space="preserve"> </w:t>
      </w:r>
      <w:r>
        <w:rPr>
          <w:sz w:val="18"/>
        </w:rPr>
        <w:t>(significant</w:t>
      </w:r>
      <w:r>
        <w:rPr>
          <w:spacing w:val="-4"/>
          <w:sz w:val="18"/>
        </w:rPr>
        <w:t xml:space="preserve"> </w:t>
      </w:r>
      <w:r>
        <w:rPr>
          <w:sz w:val="18"/>
        </w:rPr>
        <w:t>entities).</w:t>
      </w:r>
      <w:r>
        <w:rPr>
          <w:spacing w:val="-4"/>
          <w:sz w:val="18"/>
        </w:rPr>
        <w:t xml:space="preserve"> </w:t>
      </w:r>
      <w:r>
        <w:rPr>
          <w:sz w:val="18"/>
        </w:rPr>
        <w:t>Significant</w:t>
      </w:r>
      <w:r>
        <w:rPr>
          <w:spacing w:val="-4"/>
          <w:sz w:val="18"/>
        </w:rPr>
        <w:t xml:space="preserve"> </w:t>
      </w:r>
      <w:r>
        <w:rPr>
          <w:sz w:val="18"/>
        </w:rPr>
        <w:t>entities</w:t>
      </w:r>
      <w:r>
        <w:rPr>
          <w:spacing w:val="-4"/>
          <w:sz w:val="18"/>
        </w:rPr>
        <w:t xml:space="preserve"> </w:t>
      </w:r>
      <w:r>
        <w:rPr>
          <w:sz w:val="18"/>
        </w:rPr>
        <w:t>that</w:t>
      </w:r>
      <w:r>
        <w:rPr>
          <w:spacing w:val="-4"/>
          <w:sz w:val="18"/>
        </w:rPr>
        <w:t xml:space="preserve"> </w:t>
      </w:r>
      <w:r>
        <w:rPr>
          <w:sz w:val="18"/>
        </w:rPr>
        <w:t>are</w:t>
      </w:r>
      <w:r>
        <w:rPr>
          <w:spacing w:val="-5"/>
          <w:sz w:val="18"/>
        </w:rPr>
        <w:t xml:space="preserve"> </w:t>
      </w:r>
      <w:r>
        <w:rPr>
          <w:sz w:val="18"/>
        </w:rPr>
        <w:t>Financial</w:t>
      </w:r>
      <w:r>
        <w:rPr>
          <w:spacing w:val="-4"/>
          <w:sz w:val="18"/>
        </w:rPr>
        <w:t xml:space="preserve"> </w:t>
      </w:r>
      <w:r>
        <w:rPr>
          <w:sz w:val="18"/>
        </w:rPr>
        <w:t>Accounting Standards Board reporters need to also report this note information and have it audited. Such information may be</w:t>
      </w:r>
    </w:p>
    <w:p w14:paraId="0DFDBF2B" w14:textId="77777777" w:rsidR="00046465" w:rsidRDefault="00046465">
      <w:pPr>
        <w:spacing w:line="244" w:lineRule="auto"/>
        <w:rPr>
          <w:sz w:val="18"/>
        </w:rPr>
        <w:sectPr w:rsidR="00046465">
          <w:pgSz w:w="12240" w:h="15840"/>
          <w:pgMar w:top="1340" w:right="720" w:bottom="940" w:left="1080" w:header="721" w:footer="757" w:gutter="0"/>
          <w:cols w:space="720"/>
        </w:sectPr>
      </w:pPr>
    </w:p>
    <w:p w14:paraId="0DFDBF2C" w14:textId="77777777" w:rsidR="00046465" w:rsidRDefault="008134EB">
      <w:pPr>
        <w:pStyle w:val="Heading5"/>
        <w:spacing w:before="121"/>
        <w:ind w:left="392"/>
        <w:rPr>
          <w:u w:val="none"/>
        </w:rPr>
      </w:pPr>
      <w:bookmarkStart w:id="266" w:name="Treasury_Financial_Manual"/>
      <w:bookmarkEnd w:id="266"/>
      <w:r>
        <w:lastRenderedPageBreak/>
        <w:t>Treasury</w:t>
      </w:r>
      <w:r>
        <w:rPr>
          <w:spacing w:val="-5"/>
        </w:rPr>
        <w:t xml:space="preserve"> </w:t>
      </w:r>
      <w:r>
        <w:t>Financial</w:t>
      </w:r>
      <w:r>
        <w:rPr>
          <w:spacing w:val="-3"/>
        </w:rPr>
        <w:t xml:space="preserve"> </w:t>
      </w:r>
      <w:r>
        <w:rPr>
          <w:spacing w:val="-2"/>
        </w:rPr>
        <w:t>Manual</w:t>
      </w:r>
    </w:p>
    <w:p w14:paraId="0DFDBF2D" w14:textId="77777777" w:rsidR="00046465" w:rsidRDefault="008134EB">
      <w:pPr>
        <w:pStyle w:val="ListParagraph"/>
        <w:numPr>
          <w:ilvl w:val="0"/>
          <w:numId w:val="142"/>
        </w:numPr>
        <w:tabs>
          <w:tab w:val="left" w:pos="1799"/>
        </w:tabs>
        <w:ind w:left="1799" w:right="946" w:hanging="720"/>
      </w:pPr>
      <w:r>
        <w:t xml:space="preserve">The </w:t>
      </w:r>
      <w:r>
        <w:rPr>
          <w:i/>
        </w:rPr>
        <w:t xml:space="preserve">Treasury Financial Manual </w:t>
      </w:r>
      <w:r>
        <w:t>(TFM), volume 1, part 2, chapter 4700 (TFM 2-4700),</w:t>
      </w:r>
      <w:r>
        <w:rPr>
          <w:spacing w:val="-13"/>
        </w:rPr>
        <w:t xml:space="preserve"> </w:t>
      </w:r>
      <w:r>
        <w:rPr>
          <w:i/>
        </w:rPr>
        <w:t>Federal Entity Reporting Requirements for the Financial Report of the United</w:t>
      </w:r>
      <w:r>
        <w:rPr>
          <w:i/>
          <w:spacing w:val="-5"/>
        </w:rPr>
        <w:t xml:space="preserve"> </w:t>
      </w:r>
      <w:r>
        <w:rPr>
          <w:i/>
        </w:rPr>
        <w:t>States</w:t>
      </w:r>
      <w:r>
        <w:rPr>
          <w:i/>
          <w:spacing w:val="-5"/>
        </w:rPr>
        <w:t xml:space="preserve"> </w:t>
      </w:r>
      <w:r>
        <w:rPr>
          <w:i/>
        </w:rPr>
        <w:t>Government</w:t>
      </w:r>
      <w:r>
        <w:t>,</w:t>
      </w:r>
      <w:r>
        <w:rPr>
          <w:spacing w:val="-5"/>
        </w:rPr>
        <w:t xml:space="preserve"> </w:t>
      </w:r>
      <w:r>
        <w:t>primarily</w:t>
      </w:r>
      <w:r>
        <w:rPr>
          <w:spacing w:val="-6"/>
        </w:rPr>
        <w:t xml:space="preserve"> </w:t>
      </w:r>
      <w:r>
        <w:t>section</w:t>
      </w:r>
      <w:r>
        <w:rPr>
          <w:spacing w:val="-5"/>
        </w:rPr>
        <w:t xml:space="preserve"> </w:t>
      </w:r>
      <w:r>
        <w:t>4750,</w:t>
      </w:r>
      <w:r>
        <w:rPr>
          <w:spacing w:val="-5"/>
        </w:rPr>
        <w:t xml:space="preserve"> </w:t>
      </w:r>
      <w:r>
        <w:t>provides</w:t>
      </w:r>
      <w:r>
        <w:rPr>
          <w:spacing w:val="-6"/>
        </w:rPr>
        <w:t xml:space="preserve"> </w:t>
      </w:r>
      <w:r>
        <w:t>extensive,</w:t>
      </w:r>
      <w:r>
        <w:rPr>
          <w:spacing w:val="-5"/>
        </w:rPr>
        <w:t xml:space="preserve"> </w:t>
      </w:r>
      <w:r>
        <w:t>detailed information on how federal entities are to properly account for, reconcile, and report intragovernmental activity and balances (and resolve intragovernmental differences).</w:t>
      </w:r>
      <w:hyperlink w:anchor="_bookmark149" w:history="1">
        <w:r>
          <w:rPr>
            <w:position w:val="7"/>
            <w:sz w:val="14"/>
          </w:rPr>
          <w:t>10</w:t>
        </w:r>
      </w:hyperlink>
      <w:r>
        <w:rPr>
          <w:spacing w:val="21"/>
          <w:position w:val="7"/>
          <w:sz w:val="14"/>
        </w:rPr>
        <w:t xml:space="preserve"> </w:t>
      </w:r>
      <w:r>
        <w:t>The TFM</w:t>
      </w:r>
      <w:r>
        <w:rPr>
          <w:spacing w:val="-1"/>
        </w:rPr>
        <w:t xml:space="preserve"> </w:t>
      </w:r>
      <w:r>
        <w:t>has various</w:t>
      </w:r>
      <w:r>
        <w:rPr>
          <w:spacing w:val="-1"/>
        </w:rPr>
        <w:t xml:space="preserve"> </w:t>
      </w:r>
      <w:r>
        <w:t>requirements for federal</w:t>
      </w:r>
      <w:r>
        <w:rPr>
          <w:spacing w:val="-1"/>
        </w:rPr>
        <w:t xml:space="preserve"> </w:t>
      </w:r>
      <w:r>
        <w:t>entities,</w:t>
      </w:r>
      <w:r>
        <w:rPr>
          <w:spacing w:val="-1"/>
        </w:rPr>
        <w:t xml:space="preserve"> </w:t>
      </w:r>
      <w:r>
        <w:t>including the following:</w:t>
      </w:r>
    </w:p>
    <w:p w14:paraId="0DFDBF2E" w14:textId="77777777" w:rsidR="00046465" w:rsidRDefault="008134EB">
      <w:pPr>
        <w:pStyle w:val="ListParagraph"/>
        <w:numPr>
          <w:ilvl w:val="1"/>
          <w:numId w:val="142"/>
        </w:numPr>
        <w:tabs>
          <w:tab w:val="left" w:pos="2159"/>
        </w:tabs>
        <w:ind w:left="2159" w:right="723"/>
      </w:pPr>
      <w:r>
        <w:t xml:space="preserve">Use the </w:t>
      </w:r>
      <w:r>
        <w:rPr>
          <w:i/>
        </w:rPr>
        <w:t xml:space="preserve">United States Standard General Ledger </w:t>
      </w:r>
      <w:r>
        <w:t>(USSGL) account attributes and domains to indicate the nature of account balances and to identify intragovernmental transactions. For example, the federal (i.e., intragovernmental)</w:t>
      </w:r>
      <w:r>
        <w:rPr>
          <w:spacing w:val="-5"/>
        </w:rPr>
        <w:t xml:space="preserve"> </w:t>
      </w:r>
      <w:r>
        <w:t>“F”</w:t>
      </w:r>
      <w:r>
        <w:rPr>
          <w:spacing w:val="-5"/>
        </w:rPr>
        <w:t xml:space="preserve"> </w:t>
      </w:r>
      <w:r>
        <w:t>attribute</w:t>
      </w:r>
      <w:r>
        <w:rPr>
          <w:spacing w:val="-5"/>
        </w:rPr>
        <w:t xml:space="preserve"> </w:t>
      </w:r>
      <w:r>
        <w:t>used</w:t>
      </w:r>
      <w:r>
        <w:rPr>
          <w:spacing w:val="-5"/>
        </w:rPr>
        <w:t xml:space="preserve"> </w:t>
      </w:r>
      <w:r>
        <w:t>in</w:t>
      </w:r>
      <w:r>
        <w:rPr>
          <w:spacing w:val="-5"/>
        </w:rPr>
        <w:t xml:space="preserve"> </w:t>
      </w:r>
      <w:r>
        <w:t>conjunction</w:t>
      </w:r>
      <w:r>
        <w:rPr>
          <w:spacing w:val="-5"/>
        </w:rPr>
        <w:t xml:space="preserve"> </w:t>
      </w:r>
      <w:r>
        <w:t>with</w:t>
      </w:r>
      <w:r>
        <w:rPr>
          <w:spacing w:val="-5"/>
        </w:rPr>
        <w:t xml:space="preserve"> </w:t>
      </w:r>
      <w:r>
        <w:t>USSGL</w:t>
      </w:r>
      <w:r>
        <w:rPr>
          <w:spacing w:val="-5"/>
        </w:rPr>
        <w:t xml:space="preserve"> </w:t>
      </w:r>
      <w:r>
        <w:t>account</w:t>
      </w:r>
      <w:r>
        <w:rPr>
          <w:spacing w:val="-5"/>
        </w:rPr>
        <w:t xml:space="preserve"> </w:t>
      </w:r>
      <w:r>
        <w:t>data enables</w:t>
      </w:r>
      <w:r>
        <w:rPr>
          <w:spacing w:val="-2"/>
        </w:rPr>
        <w:t xml:space="preserve"> </w:t>
      </w:r>
      <w:r>
        <w:t>Fiscal</w:t>
      </w:r>
      <w:r>
        <w:rPr>
          <w:spacing w:val="-2"/>
        </w:rPr>
        <w:t xml:space="preserve"> </w:t>
      </w:r>
      <w:r>
        <w:t>Service</w:t>
      </w:r>
      <w:r>
        <w:rPr>
          <w:spacing w:val="-3"/>
        </w:rPr>
        <w:t xml:space="preserve"> </w:t>
      </w:r>
      <w:r>
        <w:t>to</w:t>
      </w:r>
      <w:r>
        <w:rPr>
          <w:spacing w:val="-2"/>
        </w:rPr>
        <w:t xml:space="preserve"> </w:t>
      </w:r>
      <w:r>
        <w:t>prepare</w:t>
      </w:r>
      <w:r>
        <w:rPr>
          <w:spacing w:val="-2"/>
        </w:rPr>
        <w:t xml:space="preserve"> </w:t>
      </w:r>
      <w:r>
        <w:t>elimination</w:t>
      </w:r>
      <w:r>
        <w:rPr>
          <w:spacing w:val="-2"/>
        </w:rPr>
        <w:t xml:space="preserve"> </w:t>
      </w:r>
      <w:r>
        <w:t>entries</w:t>
      </w:r>
      <w:r>
        <w:rPr>
          <w:spacing w:val="-2"/>
        </w:rPr>
        <w:t xml:space="preserve"> </w:t>
      </w:r>
      <w:r>
        <w:t>for</w:t>
      </w:r>
      <w:r>
        <w:rPr>
          <w:spacing w:val="-2"/>
        </w:rPr>
        <w:t xml:space="preserve"> </w:t>
      </w:r>
      <w:r>
        <w:t>the</w:t>
      </w:r>
      <w:r>
        <w:rPr>
          <w:spacing w:val="-2"/>
        </w:rPr>
        <w:t xml:space="preserve"> </w:t>
      </w:r>
      <w:r>
        <w:t>government-wide financial statements.</w:t>
      </w:r>
    </w:p>
    <w:p w14:paraId="0DFDBF2F" w14:textId="77777777" w:rsidR="00046465" w:rsidRDefault="008134EB">
      <w:pPr>
        <w:pStyle w:val="ListParagraph"/>
        <w:numPr>
          <w:ilvl w:val="1"/>
          <w:numId w:val="142"/>
        </w:numPr>
        <w:tabs>
          <w:tab w:val="left" w:pos="2159"/>
        </w:tabs>
        <w:spacing w:before="118"/>
        <w:ind w:left="2159" w:right="1172"/>
        <w:rPr>
          <w:position w:val="7"/>
          <w:sz w:val="14"/>
        </w:rPr>
      </w:pPr>
      <w:r>
        <w:t>Add</w:t>
      </w:r>
      <w:r>
        <w:rPr>
          <w:spacing w:val="-4"/>
        </w:rPr>
        <w:t xml:space="preserve"> </w:t>
      </w:r>
      <w:r>
        <w:t>trading</w:t>
      </w:r>
      <w:r>
        <w:rPr>
          <w:spacing w:val="-4"/>
        </w:rPr>
        <w:t xml:space="preserve"> </w:t>
      </w:r>
      <w:r>
        <w:t>partner</w:t>
      </w:r>
      <w:r>
        <w:rPr>
          <w:spacing w:val="-4"/>
        </w:rPr>
        <w:t xml:space="preserve"> </w:t>
      </w:r>
      <w:r>
        <w:t>information</w:t>
      </w:r>
      <w:r>
        <w:rPr>
          <w:spacing w:val="-4"/>
        </w:rPr>
        <w:t xml:space="preserve"> </w:t>
      </w:r>
      <w:r>
        <w:t>to</w:t>
      </w:r>
      <w:r>
        <w:rPr>
          <w:spacing w:val="-4"/>
        </w:rPr>
        <w:t xml:space="preserve"> </w:t>
      </w:r>
      <w:r>
        <w:t>each</w:t>
      </w:r>
      <w:r>
        <w:rPr>
          <w:spacing w:val="-4"/>
        </w:rPr>
        <w:t xml:space="preserve"> </w:t>
      </w:r>
      <w:r>
        <w:t>USSGL</w:t>
      </w:r>
      <w:r>
        <w:rPr>
          <w:spacing w:val="-4"/>
        </w:rPr>
        <w:t xml:space="preserve"> </w:t>
      </w:r>
      <w:r>
        <w:t>account</w:t>
      </w:r>
      <w:r>
        <w:rPr>
          <w:spacing w:val="-4"/>
        </w:rPr>
        <w:t xml:space="preserve"> </w:t>
      </w:r>
      <w:r>
        <w:t>sent</w:t>
      </w:r>
      <w:r>
        <w:rPr>
          <w:spacing w:val="-5"/>
        </w:rPr>
        <w:t xml:space="preserve"> </w:t>
      </w:r>
      <w:r>
        <w:t>to</w:t>
      </w:r>
      <w:r>
        <w:rPr>
          <w:spacing w:val="-4"/>
        </w:rPr>
        <w:t xml:space="preserve"> </w:t>
      </w:r>
      <w:r>
        <w:t>Treasury when the USSGL account has the federal attribute “F.”</w:t>
      </w:r>
      <w:hyperlink w:anchor="_bookmark150" w:history="1">
        <w:r>
          <w:rPr>
            <w:position w:val="7"/>
            <w:sz w:val="14"/>
          </w:rPr>
          <w:t>11</w:t>
        </w:r>
      </w:hyperlink>
    </w:p>
    <w:p w14:paraId="0DFDBF30" w14:textId="77777777" w:rsidR="00046465" w:rsidRDefault="008134EB">
      <w:pPr>
        <w:pStyle w:val="ListParagraph"/>
        <w:numPr>
          <w:ilvl w:val="1"/>
          <w:numId w:val="142"/>
        </w:numPr>
        <w:tabs>
          <w:tab w:val="left" w:pos="2159"/>
        </w:tabs>
        <w:spacing w:before="118"/>
        <w:ind w:left="2159" w:right="1052"/>
      </w:pPr>
      <w:r>
        <w:t>Perform various actions throughout the year, including reporting intragovernmental</w:t>
      </w:r>
      <w:r>
        <w:rPr>
          <w:spacing w:val="-5"/>
        </w:rPr>
        <w:t xml:space="preserve"> </w:t>
      </w:r>
      <w:r>
        <w:t>data</w:t>
      </w:r>
      <w:r>
        <w:rPr>
          <w:spacing w:val="-5"/>
        </w:rPr>
        <w:t xml:space="preserve"> </w:t>
      </w:r>
      <w:r>
        <w:t>to</w:t>
      </w:r>
      <w:r>
        <w:rPr>
          <w:spacing w:val="-5"/>
        </w:rPr>
        <w:t xml:space="preserve"> </w:t>
      </w:r>
      <w:r>
        <w:t>Treasury,</w:t>
      </w:r>
      <w:r>
        <w:rPr>
          <w:spacing w:val="-6"/>
        </w:rPr>
        <w:t xml:space="preserve"> </w:t>
      </w:r>
      <w:r>
        <w:t>providing</w:t>
      </w:r>
      <w:r>
        <w:rPr>
          <w:spacing w:val="-4"/>
        </w:rPr>
        <w:t xml:space="preserve"> </w:t>
      </w:r>
      <w:r>
        <w:t>explanations</w:t>
      </w:r>
      <w:r>
        <w:rPr>
          <w:spacing w:val="-6"/>
        </w:rPr>
        <w:t xml:space="preserve"> </w:t>
      </w:r>
      <w:r>
        <w:t>to</w:t>
      </w:r>
      <w:r>
        <w:rPr>
          <w:spacing w:val="-5"/>
        </w:rPr>
        <w:t xml:space="preserve"> </w:t>
      </w:r>
      <w:r>
        <w:t>Treasury</w:t>
      </w:r>
      <w:r>
        <w:rPr>
          <w:spacing w:val="-6"/>
        </w:rPr>
        <w:t xml:space="preserve"> </w:t>
      </w:r>
      <w:r>
        <w:t>for the entities’ inter-entity intragovernmental differences, and working with trading partners to resolve differences.</w:t>
      </w:r>
    </w:p>
    <w:p w14:paraId="0DFDBF31" w14:textId="77777777" w:rsidR="00046465" w:rsidRDefault="008134EB">
      <w:pPr>
        <w:pStyle w:val="BodyText"/>
        <w:spacing w:before="118"/>
        <w:ind w:left="1799" w:right="749"/>
      </w:pPr>
      <w:r>
        <w:t>In</w:t>
      </w:r>
      <w:r>
        <w:rPr>
          <w:spacing w:val="-5"/>
        </w:rPr>
        <w:t xml:space="preserve"> </w:t>
      </w:r>
      <w:r>
        <w:t>addition</w:t>
      </w:r>
      <w:r>
        <w:rPr>
          <w:spacing w:val="-5"/>
        </w:rPr>
        <w:t xml:space="preserve"> </w:t>
      </w:r>
      <w:r>
        <w:t>to</w:t>
      </w:r>
      <w:r>
        <w:rPr>
          <w:spacing w:val="-5"/>
        </w:rPr>
        <w:t xml:space="preserve"> </w:t>
      </w:r>
      <w:r>
        <w:t>requirements,</w:t>
      </w:r>
      <w:r>
        <w:rPr>
          <w:spacing w:val="-5"/>
        </w:rPr>
        <w:t xml:space="preserve"> </w:t>
      </w:r>
      <w:r>
        <w:t>the</w:t>
      </w:r>
      <w:r>
        <w:rPr>
          <w:spacing w:val="-5"/>
        </w:rPr>
        <w:t xml:space="preserve"> </w:t>
      </w:r>
      <w:r>
        <w:t>TFM</w:t>
      </w:r>
      <w:r>
        <w:rPr>
          <w:spacing w:val="-6"/>
        </w:rPr>
        <w:t xml:space="preserve"> </w:t>
      </w:r>
      <w:r>
        <w:t>includes</w:t>
      </w:r>
      <w:r>
        <w:rPr>
          <w:spacing w:val="-5"/>
        </w:rPr>
        <w:t xml:space="preserve"> </w:t>
      </w:r>
      <w:r>
        <w:t>instructions</w:t>
      </w:r>
      <w:r>
        <w:rPr>
          <w:spacing w:val="-5"/>
        </w:rPr>
        <w:t xml:space="preserve"> </w:t>
      </w:r>
      <w:r>
        <w:t>for</w:t>
      </w:r>
      <w:r>
        <w:rPr>
          <w:spacing w:val="-5"/>
        </w:rPr>
        <w:t xml:space="preserve"> </w:t>
      </w:r>
      <w:r>
        <w:t>fulfilling requirements, including instructions for</w:t>
      </w:r>
    </w:p>
    <w:p w14:paraId="0DFDBF32" w14:textId="77777777" w:rsidR="00046465" w:rsidRDefault="008134EB">
      <w:pPr>
        <w:pStyle w:val="ListParagraph"/>
        <w:numPr>
          <w:ilvl w:val="1"/>
          <w:numId w:val="142"/>
        </w:numPr>
        <w:tabs>
          <w:tab w:val="left" w:pos="2159"/>
        </w:tabs>
        <w:ind w:left="2159" w:right="770"/>
      </w:pPr>
      <w:r>
        <w:t>addressing</w:t>
      </w:r>
      <w:r>
        <w:rPr>
          <w:spacing w:val="-6"/>
        </w:rPr>
        <w:t xml:space="preserve"> </w:t>
      </w:r>
      <w:r>
        <w:t>recurring</w:t>
      </w:r>
      <w:r>
        <w:rPr>
          <w:spacing w:val="-6"/>
        </w:rPr>
        <w:t xml:space="preserve"> </w:t>
      </w:r>
      <w:r>
        <w:t>intragovernmental</w:t>
      </w:r>
      <w:r>
        <w:rPr>
          <w:spacing w:val="-6"/>
        </w:rPr>
        <w:t xml:space="preserve"> </w:t>
      </w:r>
      <w:r>
        <w:t>differences</w:t>
      </w:r>
      <w:r>
        <w:rPr>
          <w:spacing w:val="-6"/>
        </w:rPr>
        <w:t xml:space="preserve"> </w:t>
      </w:r>
      <w:r>
        <w:t>by</w:t>
      </w:r>
      <w:r>
        <w:rPr>
          <w:spacing w:val="-6"/>
        </w:rPr>
        <w:t xml:space="preserve"> </w:t>
      </w:r>
      <w:r>
        <w:t>identifying</w:t>
      </w:r>
      <w:r>
        <w:rPr>
          <w:spacing w:val="-6"/>
        </w:rPr>
        <w:t xml:space="preserve"> </w:t>
      </w:r>
      <w:r>
        <w:t>root</w:t>
      </w:r>
      <w:r>
        <w:rPr>
          <w:spacing w:val="-6"/>
        </w:rPr>
        <w:t xml:space="preserve"> </w:t>
      </w:r>
      <w:r>
        <w:t>causes and implementing corrective action plans to resolve the root causes,</w:t>
      </w:r>
    </w:p>
    <w:p w14:paraId="0DFDBF33" w14:textId="77777777" w:rsidR="00046465" w:rsidRDefault="008134EB">
      <w:pPr>
        <w:pStyle w:val="ListParagraph"/>
        <w:numPr>
          <w:ilvl w:val="1"/>
          <w:numId w:val="142"/>
        </w:numPr>
        <w:tabs>
          <w:tab w:val="left" w:pos="2159"/>
        </w:tabs>
        <w:spacing w:before="118"/>
        <w:ind w:left="2159" w:right="1199"/>
        <w:jc w:val="both"/>
      </w:pPr>
      <w:r>
        <w:t>submitting</w:t>
      </w:r>
      <w:r>
        <w:rPr>
          <w:spacing w:val="-7"/>
        </w:rPr>
        <w:t xml:space="preserve"> </w:t>
      </w:r>
      <w:r>
        <w:t>intragovernmental</w:t>
      </w:r>
      <w:r>
        <w:rPr>
          <w:spacing w:val="-7"/>
        </w:rPr>
        <w:t xml:space="preserve"> </w:t>
      </w:r>
      <w:r>
        <w:t>differences</w:t>
      </w:r>
      <w:r>
        <w:rPr>
          <w:spacing w:val="-7"/>
        </w:rPr>
        <w:t xml:space="preserve"> </w:t>
      </w:r>
      <w:r>
        <w:t>to</w:t>
      </w:r>
      <w:r>
        <w:rPr>
          <w:spacing w:val="-7"/>
        </w:rPr>
        <w:t xml:space="preserve"> </w:t>
      </w:r>
      <w:r>
        <w:t>Treasury’s</w:t>
      </w:r>
      <w:r>
        <w:rPr>
          <w:spacing w:val="-7"/>
        </w:rPr>
        <w:t xml:space="preserve"> </w:t>
      </w:r>
      <w:r>
        <w:t>dispute</w:t>
      </w:r>
      <w:r>
        <w:rPr>
          <w:spacing w:val="-7"/>
        </w:rPr>
        <w:t xml:space="preserve"> </w:t>
      </w:r>
      <w:r>
        <w:t>resolution process when entities cannot resolve intragovernmental differences with trading partners, and</w:t>
      </w:r>
    </w:p>
    <w:p w14:paraId="0DFDBF34" w14:textId="77777777" w:rsidR="00046465" w:rsidRDefault="008134EB">
      <w:pPr>
        <w:pStyle w:val="ListParagraph"/>
        <w:numPr>
          <w:ilvl w:val="1"/>
          <w:numId w:val="142"/>
        </w:numPr>
        <w:tabs>
          <w:tab w:val="left" w:pos="2159"/>
        </w:tabs>
        <w:spacing w:before="119"/>
        <w:ind w:left="2159" w:right="1702"/>
        <w:jc w:val="both"/>
      </w:pPr>
      <w:r>
        <w:t>submitting</w:t>
      </w:r>
      <w:r>
        <w:rPr>
          <w:spacing w:val="-5"/>
        </w:rPr>
        <w:t xml:space="preserve"> </w:t>
      </w:r>
      <w:r>
        <w:t>year-end</w:t>
      </w:r>
      <w:r>
        <w:rPr>
          <w:spacing w:val="-5"/>
        </w:rPr>
        <w:t xml:space="preserve"> </w:t>
      </w:r>
      <w:r>
        <w:t>information</w:t>
      </w:r>
      <w:r>
        <w:rPr>
          <w:spacing w:val="-5"/>
        </w:rPr>
        <w:t xml:space="preserve"> </w:t>
      </w:r>
      <w:r>
        <w:t>to</w:t>
      </w:r>
      <w:r>
        <w:rPr>
          <w:spacing w:val="-5"/>
        </w:rPr>
        <w:t xml:space="preserve"> </w:t>
      </w:r>
      <w:r>
        <w:t>Treasury</w:t>
      </w:r>
      <w:r>
        <w:rPr>
          <w:spacing w:val="-5"/>
        </w:rPr>
        <w:t xml:space="preserve"> </w:t>
      </w:r>
      <w:r>
        <w:t>for</w:t>
      </w:r>
      <w:r>
        <w:rPr>
          <w:spacing w:val="-5"/>
        </w:rPr>
        <w:t xml:space="preserve"> </w:t>
      </w:r>
      <w:r>
        <w:t>inclusion</w:t>
      </w:r>
      <w:r>
        <w:rPr>
          <w:spacing w:val="-6"/>
        </w:rPr>
        <w:t xml:space="preserve"> </w:t>
      </w:r>
      <w:r>
        <w:t>in</w:t>
      </w:r>
      <w:r>
        <w:rPr>
          <w:spacing w:val="-5"/>
        </w:rPr>
        <w:t xml:space="preserve"> </w:t>
      </w:r>
      <w:r>
        <w:t>the</w:t>
      </w:r>
      <w:r>
        <w:rPr>
          <w:spacing w:val="-5"/>
        </w:rPr>
        <w:t xml:space="preserve"> </w:t>
      </w:r>
      <w:r>
        <w:t>U.S. government’s consolidated financial statements.</w:t>
      </w:r>
    </w:p>
    <w:p w14:paraId="0DFDBF35" w14:textId="77777777" w:rsidR="00046465" w:rsidRDefault="008134EB">
      <w:pPr>
        <w:pStyle w:val="BodyText"/>
        <w:spacing w:before="119"/>
        <w:ind w:left="1799"/>
        <w:jc w:val="both"/>
      </w:pPr>
      <w:r>
        <w:t>The</w:t>
      </w:r>
      <w:r>
        <w:rPr>
          <w:spacing w:val="-6"/>
        </w:rPr>
        <w:t xml:space="preserve"> </w:t>
      </w:r>
      <w:r>
        <w:t>TFM</w:t>
      </w:r>
      <w:r>
        <w:rPr>
          <w:spacing w:val="-7"/>
        </w:rPr>
        <w:t xml:space="preserve"> </w:t>
      </w:r>
      <w:r>
        <w:t>also</w:t>
      </w:r>
      <w:r>
        <w:rPr>
          <w:spacing w:val="-6"/>
        </w:rPr>
        <w:t xml:space="preserve"> </w:t>
      </w:r>
      <w:r>
        <w:t>includes</w:t>
      </w:r>
      <w:r>
        <w:rPr>
          <w:spacing w:val="-7"/>
        </w:rPr>
        <w:t xml:space="preserve"> </w:t>
      </w:r>
      <w:r>
        <w:t>various</w:t>
      </w:r>
      <w:r>
        <w:rPr>
          <w:spacing w:val="-6"/>
        </w:rPr>
        <w:t xml:space="preserve"> </w:t>
      </w:r>
      <w:r>
        <w:t>aids,</w:t>
      </w:r>
      <w:r>
        <w:rPr>
          <w:spacing w:val="-6"/>
        </w:rPr>
        <w:t xml:space="preserve"> </w:t>
      </w:r>
      <w:r>
        <w:rPr>
          <w:spacing w:val="-2"/>
        </w:rPr>
        <w:t>including</w:t>
      </w:r>
    </w:p>
    <w:p w14:paraId="0DFDBF36" w14:textId="77777777" w:rsidR="00046465" w:rsidRDefault="008134EB">
      <w:pPr>
        <w:pStyle w:val="ListParagraph"/>
        <w:numPr>
          <w:ilvl w:val="1"/>
          <w:numId w:val="142"/>
        </w:numPr>
        <w:tabs>
          <w:tab w:val="left" w:pos="2159"/>
        </w:tabs>
        <w:spacing w:before="119"/>
        <w:ind w:left="2159" w:right="733"/>
      </w:pPr>
      <w:r>
        <w:t>appendixes</w:t>
      </w:r>
      <w:r>
        <w:rPr>
          <w:spacing w:val="-6"/>
        </w:rPr>
        <w:t xml:space="preserve"> </w:t>
      </w:r>
      <w:r>
        <w:t>dedicated</w:t>
      </w:r>
      <w:r>
        <w:rPr>
          <w:spacing w:val="-5"/>
        </w:rPr>
        <w:t xml:space="preserve"> </w:t>
      </w:r>
      <w:r>
        <w:t>to</w:t>
      </w:r>
      <w:r>
        <w:rPr>
          <w:spacing w:val="-6"/>
        </w:rPr>
        <w:t xml:space="preserve"> </w:t>
      </w:r>
      <w:r>
        <w:t>explaining</w:t>
      </w:r>
      <w:r>
        <w:rPr>
          <w:spacing w:val="-6"/>
        </w:rPr>
        <w:t xml:space="preserve"> </w:t>
      </w:r>
      <w:r>
        <w:t>the</w:t>
      </w:r>
      <w:r>
        <w:rPr>
          <w:spacing w:val="-5"/>
        </w:rPr>
        <w:t xml:space="preserve"> </w:t>
      </w:r>
      <w:r>
        <w:t>proper</w:t>
      </w:r>
      <w:r>
        <w:rPr>
          <w:spacing w:val="-5"/>
        </w:rPr>
        <w:t xml:space="preserve"> </w:t>
      </w:r>
      <w:r>
        <w:t>recording</w:t>
      </w:r>
      <w:r>
        <w:rPr>
          <w:spacing w:val="-5"/>
        </w:rPr>
        <w:t xml:space="preserve"> </w:t>
      </w:r>
      <w:r>
        <w:t>of</w:t>
      </w:r>
      <w:r>
        <w:rPr>
          <w:spacing w:val="-5"/>
        </w:rPr>
        <w:t xml:space="preserve"> </w:t>
      </w:r>
      <w:r>
        <w:t>intragovernmental transactions for investments and borrowings, benefits, buy/sell, transfers, custodial and non-entity transactions, and the General Fund;</w:t>
      </w:r>
    </w:p>
    <w:p w14:paraId="0DFDBF37" w14:textId="77777777" w:rsidR="00046465" w:rsidRDefault="008134EB">
      <w:pPr>
        <w:pStyle w:val="ListParagraph"/>
        <w:numPr>
          <w:ilvl w:val="1"/>
          <w:numId w:val="142"/>
        </w:numPr>
        <w:tabs>
          <w:tab w:val="left" w:pos="2159"/>
        </w:tabs>
        <w:spacing w:before="119"/>
        <w:ind w:left="2159" w:right="733"/>
      </w:pPr>
      <w:r>
        <w:t>USSGL</w:t>
      </w:r>
      <w:r>
        <w:rPr>
          <w:spacing w:val="-5"/>
        </w:rPr>
        <w:t xml:space="preserve"> </w:t>
      </w:r>
      <w:r>
        <w:t>supplements</w:t>
      </w:r>
      <w:r>
        <w:rPr>
          <w:spacing w:val="-5"/>
        </w:rPr>
        <w:t xml:space="preserve"> </w:t>
      </w:r>
      <w:r>
        <w:t>providing</w:t>
      </w:r>
      <w:r>
        <w:rPr>
          <w:spacing w:val="-5"/>
        </w:rPr>
        <w:t xml:space="preserve"> </w:t>
      </w:r>
      <w:r>
        <w:t>guidance</w:t>
      </w:r>
      <w:r>
        <w:rPr>
          <w:spacing w:val="-5"/>
        </w:rPr>
        <w:t xml:space="preserve"> </w:t>
      </w:r>
      <w:r>
        <w:t>on</w:t>
      </w:r>
      <w:r>
        <w:rPr>
          <w:spacing w:val="-5"/>
        </w:rPr>
        <w:t xml:space="preserve"> </w:t>
      </w:r>
      <w:r>
        <w:t>accounting</w:t>
      </w:r>
      <w:r>
        <w:rPr>
          <w:spacing w:val="-5"/>
        </w:rPr>
        <w:t xml:space="preserve"> </w:t>
      </w:r>
      <w:r>
        <w:t>for</w:t>
      </w:r>
      <w:r>
        <w:rPr>
          <w:spacing w:val="-5"/>
        </w:rPr>
        <w:t xml:space="preserve"> </w:t>
      </w:r>
      <w:r>
        <w:t>transactions</w:t>
      </w:r>
      <w:r>
        <w:rPr>
          <w:spacing w:val="-4"/>
        </w:rPr>
        <w:t xml:space="preserve"> </w:t>
      </w:r>
      <w:r>
        <w:t>using standard accounts, including crosswalks indicating how the entities’ year-end information (which is submitted to Treasury) should be classified at the entity level and reported in the U.S. government’s consolidated financial statements; and</w:t>
      </w:r>
    </w:p>
    <w:p w14:paraId="0DFDBF38" w14:textId="77777777" w:rsidR="00046465" w:rsidRDefault="008134EB">
      <w:pPr>
        <w:pStyle w:val="BodyText"/>
        <w:spacing w:before="183"/>
        <w:rPr>
          <w:sz w:val="20"/>
        </w:rPr>
      </w:pPr>
      <w:r>
        <w:rPr>
          <w:noProof/>
          <w:sz w:val="20"/>
        </w:rPr>
        <mc:AlternateContent>
          <mc:Choice Requires="wps">
            <w:drawing>
              <wp:anchor distT="0" distB="0" distL="0" distR="0" simplePos="0" relativeHeight="487715840" behindDoc="1" locked="0" layoutInCell="1" allowOverlap="1" wp14:anchorId="0DFDD707" wp14:editId="0DFDD708">
                <wp:simplePos x="0" y="0"/>
                <wp:positionH relativeFrom="page">
                  <wp:posOffset>914400</wp:posOffset>
                </wp:positionH>
                <wp:positionV relativeFrom="paragraph">
                  <wp:posOffset>277936</wp:posOffset>
                </wp:positionV>
                <wp:extent cx="1828800" cy="5715"/>
                <wp:effectExtent l="0" t="0" r="0" b="0"/>
                <wp:wrapTopAndBottom/>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607356" id="Graphic 891" o:spid="_x0000_s1026" style="position:absolute;margin-left:1in;margin-top:21.9pt;width:2in;height:.45pt;z-index:-1560064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" path="m1828800,l,,,5321r1828800,l1828800,xe" fillcolor="black" stroked="f">
                <v:path arrowok="t"/>
                <w10:wrap type="topAndBottom" anchorx="page"/>
              </v:shape>
            </w:pict>
          </mc:Fallback>
        </mc:AlternateContent>
      </w:r>
    </w:p>
    <w:p w14:paraId="0DFDBF39" w14:textId="77777777" w:rsidR="00046465" w:rsidRDefault="008134EB">
      <w:pPr>
        <w:spacing w:before="196"/>
        <w:ind w:left="360" w:right="749"/>
        <w:rPr>
          <w:sz w:val="18"/>
        </w:rPr>
      </w:pPr>
      <w:r>
        <w:rPr>
          <w:sz w:val="18"/>
        </w:rPr>
        <w:t>reported</w:t>
      </w:r>
      <w:r>
        <w:rPr>
          <w:spacing w:val="-3"/>
          <w:sz w:val="18"/>
        </w:rPr>
        <w:t xml:space="preserve"> </w:t>
      </w:r>
      <w:r>
        <w:rPr>
          <w:sz w:val="18"/>
        </w:rPr>
        <w:t>by</w:t>
      </w:r>
      <w:r>
        <w:rPr>
          <w:spacing w:val="-2"/>
          <w:sz w:val="18"/>
        </w:rPr>
        <w:t xml:space="preserve"> </w:t>
      </w:r>
      <w:r>
        <w:rPr>
          <w:sz w:val="18"/>
        </w:rPr>
        <w:t>the</w:t>
      </w:r>
      <w:r>
        <w:rPr>
          <w:spacing w:val="-1"/>
          <w:sz w:val="18"/>
        </w:rPr>
        <w:t xml:space="preserve"> </w:t>
      </w:r>
      <w:r>
        <w:rPr>
          <w:sz w:val="18"/>
        </w:rPr>
        <w:t>significant</w:t>
      </w:r>
      <w:r>
        <w:rPr>
          <w:spacing w:val="-2"/>
          <w:sz w:val="18"/>
        </w:rPr>
        <w:t xml:space="preserve"> </w:t>
      </w:r>
      <w:r>
        <w:rPr>
          <w:sz w:val="18"/>
        </w:rPr>
        <w:t>entity</w:t>
      </w:r>
      <w:r>
        <w:rPr>
          <w:spacing w:val="-2"/>
          <w:sz w:val="18"/>
        </w:rPr>
        <w:t xml:space="preserve"> </w:t>
      </w:r>
      <w:r>
        <w:rPr>
          <w:sz w:val="18"/>
        </w:rPr>
        <w:t>in</w:t>
      </w:r>
      <w:r>
        <w:rPr>
          <w:spacing w:val="-3"/>
          <w:sz w:val="18"/>
        </w:rPr>
        <w:t xml:space="preserve"> </w:t>
      </w:r>
      <w:r>
        <w:rPr>
          <w:sz w:val="18"/>
        </w:rPr>
        <w:t>(i)</w:t>
      </w:r>
      <w:r>
        <w:rPr>
          <w:spacing w:val="-2"/>
          <w:sz w:val="18"/>
        </w:rPr>
        <w:t xml:space="preserve"> </w:t>
      </w:r>
      <w:r>
        <w:rPr>
          <w:sz w:val="18"/>
        </w:rPr>
        <w:t>its</w:t>
      </w:r>
      <w:r>
        <w:rPr>
          <w:spacing w:val="-2"/>
          <w:sz w:val="18"/>
        </w:rPr>
        <w:t xml:space="preserve"> </w:t>
      </w:r>
      <w:r>
        <w:rPr>
          <w:sz w:val="18"/>
        </w:rPr>
        <w:t>annual</w:t>
      </w:r>
      <w:r>
        <w:rPr>
          <w:spacing w:val="-2"/>
          <w:sz w:val="18"/>
        </w:rPr>
        <w:t xml:space="preserve"> </w:t>
      </w:r>
      <w:r>
        <w:rPr>
          <w:sz w:val="18"/>
        </w:rPr>
        <w:t>financial</w:t>
      </w:r>
      <w:r>
        <w:rPr>
          <w:spacing w:val="-2"/>
          <w:sz w:val="18"/>
        </w:rPr>
        <w:t xml:space="preserve"> </w:t>
      </w:r>
      <w:r>
        <w:rPr>
          <w:sz w:val="18"/>
        </w:rPr>
        <w:t>report</w:t>
      </w:r>
      <w:r>
        <w:rPr>
          <w:spacing w:val="-2"/>
          <w:sz w:val="18"/>
        </w:rPr>
        <w:t xml:space="preserve"> </w:t>
      </w:r>
      <w:r>
        <w:rPr>
          <w:sz w:val="18"/>
        </w:rPr>
        <w:t>within</w:t>
      </w:r>
      <w:r>
        <w:rPr>
          <w:spacing w:val="-3"/>
          <w:sz w:val="18"/>
        </w:rPr>
        <w:t xml:space="preserve"> </w:t>
      </w:r>
      <w:r>
        <w:rPr>
          <w:sz w:val="18"/>
        </w:rPr>
        <w:t>a</w:t>
      </w:r>
      <w:r>
        <w:rPr>
          <w:spacing w:val="-3"/>
          <w:sz w:val="18"/>
        </w:rPr>
        <w:t xml:space="preserve"> </w:t>
      </w:r>
      <w:r>
        <w:rPr>
          <w:sz w:val="18"/>
        </w:rPr>
        <w:t>note</w:t>
      </w:r>
      <w:r>
        <w:rPr>
          <w:spacing w:val="-3"/>
          <w:sz w:val="18"/>
        </w:rPr>
        <w:t xml:space="preserve"> </w:t>
      </w:r>
      <w:r>
        <w:rPr>
          <w:sz w:val="18"/>
        </w:rPr>
        <w:t>to</w:t>
      </w:r>
      <w:r>
        <w:rPr>
          <w:spacing w:val="-3"/>
          <w:sz w:val="18"/>
        </w:rPr>
        <w:t xml:space="preserve"> </w:t>
      </w:r>
      <w:r>
        <w:rPr>
          <w:sz w:val="18"/>
        </w:rPr>
        <w:t>the</w:t>
      </w:r>
      <w:r>
        <w:rPr>
          <w:spacing w:val="-3"/>
          <w:sz w:val="18"/>
        </w:rPr>
        <w:t xml:space="preserve"> </w:t>
      </w:r>
      <w:r>
        <w:rPr>
          <w:sz w:val="18"/>
        </w:rPr>
        <w:t>financial</w:t>
      </w:r>
      <w:r>
        <w:rPr>
          <w:spacing w:val="-2"/>
          <w:sz w:val="18"/>
        </w:rPr>
        <w:t xml:space="preserve"> </w:t>
      </w:r>
      <w:r>
        <w:rPr>
          <w:sz w:val="18"/>
        </w:rPr>
        <w:t>statements,</w:t>
      </w:r>
      <w:r>
        <w:rPr>
          <w:spacing w:val="-2"/>
          <w:sz w:val="18"/>
        </w:rPr>
        <w:t xml:space="preserve"> </w:t>
      </w:r>
      <w:r>
        <w:rPr>
          <w:sz w:val="18"/>
        </w:rPr>
        <w:t>(ii)</w:t>
      </w:r>
      <w:r>
        <w:rPr>
          <w:spacing w:val="-2"/>
          <w:sz w:val="18"/>
        </w:rPr>
        <w:t xml:space="preserve"> </w:t>
      </w:r>
      <w:r>
        <w:rPr>
          <w:sz w:val="18"/>
        </w:rPr>
        <w:t>a</w:t>
      </w:r>
      <w:r>
        <w:rPr>
          <w:spacing w:val="-3"/>
          <w:sz w:val="18"/>
        </w:rPr>
        <w:t xml:space="preserve"> </w:t>
      </w:r>
      <w:r>
        <w:rPr>
          <w:sz w:val="18"/>
        </w:rPr>
        <w:t>limited use audited financial statements as a note to the financial statements, or (iii) an audited note (an audit of a special element similar to a closing package).</w:t>
      </w:r>
    </w:p>
    <w:p w14:paraId="0DFDBF3A" w14:textId="77777777" w:rsidR="00046465" w:rsidRDefault="008134EB">
      <w:pPr>
        <w:spacing w:before="125"/>
        <w:ind w:left="360"/>
        <w:rPr>
          <w:sz w:val="18"/>
        </w:rPr>
      </w:pPr>
      <w:bookmarkStart w:id="267" w:name="_bookmark149"/>
      <w:bookmarkEnd w:id="267"/>
      <w:r>
        <w:rPr>
          <w:position w:val="7"/>
          <w:sz w:val="14"/>
        </w:rPr>
        <w:t>10</w:t>
      </w:r>
      <w:r>
        <w:rPr>
          <w:sz w:val="18"/>
        </w:rPr>
        <w:t>The</w:t>
      </w:r>
      <w:r>
        <w:rPr>
          <w:spacing w:val="-5"/>
          <w:sz w:val="18"/>
        </w:rPr>
        <w:t xml:space="preserve"> </w:t>
      </w:r>
      <w:r>
        <w:rPr>
          <w:sz w:val="18"/>
        </w:rPr>
        <w:t>TFM</w:t>
      </w:r>
      <w:r>
        <w:rPr>
          <w:spacing w:val="-4"/>
          <w:sz w:val="18"/>
        </w:rPr>
        <w:t xml:space="preserve"> </w:t>
      </w:r>
      <w:r>
        <w:rPr>
          <w:sz w:val="18"/>
        </w:rPr>
        <w:t>is</w:t>
      </w:r>
      <w:r>
        <w:rPr>
          <w:spacing w:val="-3"/>
          <w:sz w:val="18"/>
        </w:rPr>
        <w:t xml:space="preserve"> </w:t>
      </w:r>
      <w:r>
        <w:rPr>
          <w:sz w:val="18"/>
        </w:rPr>
        <w:t>available</w:t>
      </w:r>
      <w:r>
        <w:rPr>
          <w:spacing w:val="-5"/>
          <w:sz w:val="18"/>
        </w:rPr>
        <w:t xml:space="preserve"> </w:t>
      </w:r>
      <w:r>
        <w:rPr>
          <w:sz w:val="18"/>
        </w:rPr>
        <w:t>at</w:t>
      </w:r>
      <w:r>
        <w:rPr>
          <w:spacing w:val="-4"/>
          <w:sz w:val="18"/>
        </w:rPr>
        <w:t xml:space="preserve"> </w:t>
      </w:r>
      <w:hyperlink r:id="rId170">
        <w:r>
          <w:rPr>
            <w:color w:val="0000FF"/>
            <w:sz w:val="18"/>
          </w:rPr>
          <w:t>https://tfx.treasury.gov/tfm</w:t>
        </w:r>
      </w:hyperlink>
      <w:r>
        <w:rPr>
          <w:color w:val="0000FF"/>
          <w:spacing w:val="-2"/>
          <w:sz w:val="18"/>
        </w:rPr>
        <w:t xml:space="preserve"> </w:t>
      </w:r>
      <w:r>
        <w:rPr>
          <w:sz w:val="18"/>
        </w:rPr>
        <w:t>(accessed</w:t>
      </w:r>
      <w:r>
        <w:rPr>
          <w:spacing w:val="-4"/>
          <w:sz w:val="18"/>
        </w:rPr>
        <w:t xml:space="preserve"> </w:t>
      </w:r>
      <w:r>
        <w:rPr>
          <w:sz w:val="18"/>
        </w:rPr>
        <w:t>May</w:t>
      </w:r>
      <w:r>
        <w:rPr>
          <w:spacing w:val="-4"/>
          <w:sz w:val="18"/>
        </w:rPr>
        <w:t xml:space="preserve"> </w:t>
      </w:r>
      <w:r>
        <w:rPr>
          <w:sz w:val="18"/>
        </w:rPr>
        <w:t>29,</w:t>
      </w:r>
      <w:r>
        <w:rPr>
          <w:spacing w:val="-3"/>
          <w:sz w:val="18"/>
        </w:rPr>
        <w:t xml:space="preserve"> </w:t>
      </w:r>
      <w:r>
        <w:rPr>
          <w:spacing w:val="-2"/>
          <w:sz w:val="18"/>
        </w:rPr>
        <w:t>2026).</w:t>
      </w:r>
    </w:p>
    <w:p w14:paraId="0DFDBF3B" w14:textId="77777777" w:rsidR="00046465" w:rsidRDefault="008134EB">
      <w:pPr>
        <w:spacing w:before="134"/>
        <w:ind w:left="360"/>
        <w:rPr>
          <w:sz w:val="18"/>
        </w:rPr>
      </w:pPr>
      <w:bookmarkStart w:id="268" w:name="_bookmark150"/>
      <w:bookmarkEnd w:id="268"/>
      <w:r>
        <w:rPr>
          <w:position w:val="7"/>
          <w:sz w:val="14"/>
        </w:rPr>
        <w:t>11</w:t>
      </w:r>
      <w:r>
        <w:rPr>
          <w:sz w:val="18"/>
        </w:rPr>
        <w:t>Trading</w:t>
      </w:r>
      <w:r>
        <w:rPr>
          <w:spacing w:val="-6"/>
          <w:sz w:val="18"/>
        </w:rPr>
        <w:t xml:space="preserve"> </w:t>
      </w:r>
      <w:r>
        <w:rPr>
          <w:sz w:val="18"/>
        </w:rPr>
        <w:t>partners</w:t>
      </w:r>
      <w:r>
        <w:rPr>
          <w:spacing w:val="-3"/>
          <w:sz w:val="18"/>
        </w:rPr>
        <w:t xml:space="preserve"> </w:t>
      </w:r>
      <w:r>
        <w:rPr>
          <w:sz w:val="18"/>
        </w:rPr>
        <w:t>are</w:t>
      </w:r>
      <w:r>
        <w:rPr>
          <w:spacing w:val="-4"/>
          <w:sz w:val="18"/>
        </w:rPr>
        <w:t xml:space="preserve"> </w:t>
      </w:r>
      <w:r>
        <w:rPr>
          <w:sz w:val="18"/>
        </w:rPr>
        <w:t>federal</w:t>
      </w:r>
      <w:r>
        <w:rPr>
          <w:spacing w:val="-3"/>
          <w:sz w:val="18"/>
        </w:rPr>
        <w:t xml:space="preserve"> </w:t>
      </w:r>
      <w:r>
        <w:rPr>
          <w:sz w:val="18"/>
        </w:rPr>
        <w:t>agencies,</w:t>
      </w:r>
      <w:r>
        <w:rPr>
          <w:spacing w:val="-4"/>
          <w:sz w:val="18"/>
        </w:rPr>
        <w:t xml:space="preserve"> </w:t>
      </w:r>
      <w:r>
        <w:rPr>
          <w:sz w:val="18"/>
        </w:rPr>
        <w:t>departments,</w:t>
      </w:r>
      <w:r>
        <w:rPr>
          <w:spacing w:val="-3"/>
          <w:sz w:val="18"/>
        </w:rPr>
        <w:t xml:space="preserve"> </w:t>
      </w:r>
      <w:r>
        <w:rPr>
          <w:sz w:val="18"/>
        </w:rPr>
        <w:t>or</w:t>
      </w:r>
      <w:r>
        <w:rPr>
          <w:spacing w:val="-3"/>
          <w:sz w:val="18"/>
        </w:rPr>
        <w:t xml:space="preserve"> </w:t>
      </w:r>
      <w:r>
        <w:rPr>
          <w:sz w:val="18"/>
        </w:rPr>
        <w:t>entities</w:t>
      </w:r>
      <w:r>
        <w:rPr>
          <w:spacing w:val="-3"/>
          <w:sz w:val="18"/>
        </w:rPr>
        <w:t xml:space="preserve"> </w:t>
      </w:r>
      <w:r>
        <w:rPr>
          <w:sz w:val="18"/>
        </w:rPr>
        <w:t>participating</w:t>
      </w:r>
      <w:r>
        <w:rPr>
          <w:spacing w:val="-4"/>
          <w:sz w:val="18"/>
        </w:rPr>
        <w:t xml:space="preserve"> </w:t>
      </w:r>
      <w:r>
        <w:rPr>
          <w:sz w:val="18"/>
        </w:rPr>
        <w:t>in</w:t>
      </w:r>
      <w:r>
        <w:rPr>
          <w:spacing w:val="-4"/>
          <w:sz w:val="18"/>
        </w:rPr>
        <w:t xml:space="preserve"> </w:t>
      </w:r>
      <w:r>
        <w:rPr>
          <w:sz w:val="18"/>
        </w:rPr>
        <w:t>transactions</w:t>
      </w:r>
      <w:r>
        <w:rPr>
          <w:spacing w:val="-3"/>
          <w:sz w:val="18"/>
        </w:rPr>
        <w:t xml:space="preserve"> </w:t>
      </w:r>
      <w:r>
        <w:rPr>
          <w:sz w:val="18"/>
        </w:rPr>
        <w:t>with</w:t>
      </w:r>
      <w:r>
        <w:rPr>
          <w:spacing w:val="-4"/>
          <w:sz w:val="18"/>
        </w:rPr>
        <w:t xml:space="preserve"> </w:t>
      </w:r>
      <w:r>
        <w:rPr>
          <w:sz w:val="18"/>
        </w:rPr>
        <w:t>each</w:t>
      </w:r>
      <w:r>
        <w:rPr>
          <w:spacing w:val="-3"/>
          <w:sz w:val="18"/>
        </w:rPr>
        <w:t xml:space="preserve"> </w:t>
      </w:r>
      <w:r>
        <w:rPr>
          <w:spacing w:val="-2"/>
          <w:sz w:val="18"/>
        </w:rPr>
        <w:t>other.</w:t>
      </w:r>
    </w:p>
    <w:p w14:paraId="0DFDBF3C" w14:textId="77777777" w:rsidR="00046465" w:rsidRDefault="00046465">
      <w:pPr>
        <w:rPr>
          <w:sz w:val="18"/>
        </w:rPr>
        <w:sectPr w:rsidR="00046465">
          <w:pgSz w:w="12240" w:h="15840"/>
          <w:pgMar w:top="1340" w:right="720" w:bottom="940" w:left="1080" w:header="721" w:footer="757" w:gutter="0"/>
          <w:cols w:space="720"/>
        </w:sectPr>
      </w:pPr>
    </w:p>
    <w:p w14:paraId="0DFDBF3D" w14:textId="77777777" w:rsidR="00046465" w:rsidRDefault="008134EB">
      <w:pPr>
        <w:pStyle w:val="ListParagraph"/>
        <w:numPr>
          <w:ilvl w:val="1"/>
          <w:numId w:val="142"/>
        </w:numPr>
        <w:tabs>
          <w:tab w:val="left" w:pos="2159"/>
        </w:tabs>
        <w:spacing w:before="121"/>
        <w:ind w:left="2159" w:right="905"/>
        <w:rPr>
          <w:position w:val="7"/>
          <w:sz w:val="14"/>
        </w:rPr>
      </w:pPr>
      <w:r>
        <w:lastRenderedPageBreak/>
        <w:t>various</w:t>
      </w:r>
      <w:r>
        <w:rPr>
          <w:spacing w:val="-5"/>
        </w:rPr>
        <w:t xml:space="preserve"> </w:t>
      </w:r>
      <w:r>
        <w:t>tables</w:t>
      </w:r>
      <w:r>
        <w:rPr>
          <w:spacing w:val="-5"/>
        </w:rPr>
        <w:t xml:space="preserve"> </w:t>
      </w:r>
      <w:r>
        <w:t>listing</w:t>
      </w:r>
      <w:r>
        <w:rPr>
          <w:spacing w:val="-5"/>
        </w:rPr>
        <w:t xml:space="preserve"> </w:t>
      </w:r>
      <w:r>
        <w:t>federal</w:t>
      </w:r>
      <w:r>
        <w:rPr>
          <w:spacing w:val="-5"/>
        </w:rPr>
        <w:t xml:space="preserve"> </w:t>
      </w:r>
      <w:r>
        <w:t>entity</w:t>
      </w:r>
      <w:r>
        <w:rPr>
          <w:spacing w:val="-5"/>
        </w:rPr>
        <w:t xml:space="preserve"> </w:t>
      </w:r>
      <w:r>
        <w:t>identification</w:t>
      </w:r>
      <w:r>
        <w:rPr>
          <w:spacing w:val="-5"/>
        </w:rPr>
        <w:t xml:space="preserve"> </w:t>
      </w:r>
      <w:r>
        <w:t>codes,</w:t>
      </w:r>
      <w:r>
        <w:rPr>
          <w:spacing w:val="-5"/>
        </w:rPr>
        <w:t xml:space="preserve"> </w:t>
      </w:r>
      <w:r>
        <w:t>types</w:t>
      </w:r>
      <w:r>
        <w:rPr>
          <w:spacing w:val="-5"/>
        </w:rPr>
        <w:t xml:space="preserve"> </w:t>
      </w:r>
      <w:r>
        <w:t>of</w:t>
      </w:r>
      <w:r>
        <w:rPr>
          <w:spacing w:val="-5"/>
        </w:rPr>
        <w:t xml:space="preserve"> </w:t>
      </w:r>
      <w:r>
        <w:t>transactions per reciprocal category, USSGL accounts per reciprocal category, and authoritative sources for some transaction types.</w:t>
      </w:r>
      <w:hyperlink w:anchor="_bookmark151" w:history="1">
        <w:r>
          <w:rPr>
            <w:position w:val="7"/>
            <w:sz w:val="14"/>
          </w:rPr>
          <w:t>12</w:t>
        </w:r>
      </w:hyperlink>
    </w:p>
    <w:p w14:paraId="0DFDBF3E" w14:textId="77777777" w:rsidR="00046465" w:rsidRDefault="008134EB">
      <w:pPr>
        <w:pStyle w:val="Heading5"/>
        <w:spacing w:before="239"/>
        <w:ind w:left="392"/>
        <w:rPr>
          <w:u w:val="none"/>
        </w:rPr>
      </w:pPr>
      <w:bookmarkStart w:id="269" w:name="Management_Representations"/>
      <w:bookmarkEnd w:id="269"/>
      <w:r>
        <w:t>Management</w:t>
      </w:r>
      <w:r>
        <w:rPr>
          <w:spacing w:val="-6"/>
        </w:rPr>
        <w:t xml:space="preserve"> </w:t>
      </w:r>
      <w:r>
        <w:rPr>
          <w:spacing w:val="-2"/>
        </w:rPr>
        <w:t>Representations</w:t>
      </w:r>
    </w:p>
    <w:p w14:paraId="0DFDBF3F" w14:textId="77777777" w:rsidR="00046465" w:rsidRDefault="008134EB">
      <w:pPr>
        <w:pStyle w:val="ListParagraph"/>
        <w:numPr>
          <w:ilvl w:val="0"/>
          <w:numId w:val="142"/>
        </w:numPr>
        <w:tabs>
          <w:tab w:val="left" w:pos="1800"/>
        </w:tabs>
        <w:spacing w:before="119"/>
        <w:ind w:right="936"/>
      </w:pPr>
      <w:r>
        <w:t>To emphasize entity management’s responsibility for identifying intragovernmental transactions and balances and resolving inter-entity differences, intragovernmental representations are included in two year-end representations:</w:t>
      </w:r>
      <w:r>
        <w:rPr>
          <w:spacing w:val="-5"/>
        </w:rPr>
        <w:t xml:space="preserve"> </w:t>
      </w:r>
      <w:r>
        <w:t>(i)</w:t>
      </w:r>
      <w:r>
        <w:rPr>
          <w:spacing w:val="-5"/>
        </w:rPr>
        <w:t xml:space="preserve"> </w:t>
      </w:r>
      <w:r>
        <w:t>the</w:t>
      </w:r>
      <w:r>
        <w:rPr>
          <w:spacing w:val="-6"/>
        </w:rPr>
        <w:t xml:space="preserve"> </w:t>
      </w:r>
      <w:r>
        <w:t>management</w:t>
      </w:r>
      <w:r>
        <w:rPr>
          <w:spacing w:val="-5"/>
        </w:rPr>
        <w:t xml:space="preserve"> </w:t>
      </w:r>
      <w:r>
        <w:t>representation</w:t>
      </w:r>
      <w:r>
        <w:rPr>
          <w:spacing w:val="-5"/>
        </w:rPr>
        <w:t xml:space="preserve"> </w:t>
      </w:r>
      <w:r>
        <w:t>letter</w:t>
      </w:r>
      <w:r>
        <w:rPr>
          <w:spacing w:val="-5"/>
        </w:rPr>
        <w:t xml:space="preserve"> </w:t>
      </w:r>
      <w:r>
        <w:t>(which</w:t>
      </w:r>
      <w:r>
        <w:rPr>
          <w:spacing w:val="-5"/>
        </w:rPr>
        <w:t xml:space="preserve"> </w:t>
      </w:r>
      <w:r>
        <w:t>is</w:t>
      </w:r>
      <w:r>
        <w:rPr>
          <w:spacing w:val="-5"/>
        </w:rPr>
        <w:t xml:space="preserve"> </w:t>
      </w:r>
      <w:r>
        <w:t>provided</w:t>
      </w:r>
      <w:r>
        <w:rPr>
          <w:spacing w:val="-5"/>
        </w:rPr>
        <w:t xml:space="preserve"> </w:t>
      </w:r>
      <w:r>
        <w:t>for the</w:t>
      </w:r>
      <w:r>
        <w:rPr>
          <w:spacing w:val="-2"/>
        </w:rPr>
        <w:t xml:space="preserve"> </w:t>
      </w:r>
      <w:r>
        <w:t>audits</w:t>
      </w:r>
      <w:r>
        <w:rPr>
          <w:spacing w:val="-2"/>
        </w:rPr>
        <w:t xml:space="preserve"> </w:t>
      </w:r>
      <w:r>
        <w:t>of</w:t>
      </w:r>
      <w:r>
        <w:rPr>
          <w:spacing w:val="-3"/>
        </w:rPr>
        <w:t xml:space="preserve"> </w:t>
      </w:r>
      <w:r>
        <w:t>the</w:t>
      </w:r>
      <w:r>
        <w:rPr>
          <w:spacing w:val="-2"/>
        </w:rPr>
        <w:t xml:space="preserve"> </w:t>
      </w:r>
      <w:r>
        <w:t>entity’s</w:t>
      </w:r>
      <w:r>
        <w:rPr>
          <w:spacing w:val="-3"/>
        </w:rPr>
        <w:t xml:space="preserve"> </w:t>
      </w:r>
      <w:r>
        <w:t>financial</w:t>
      </w:r>
      <w:r>
        <w:rPr>
          <w:spacing w:val="-3"/>
        </w:rPr>
        <w:t xml:space="preserve"> </w:t>
      </w:r>
      <w:r>
        <w:t>statements)</w:t>
      </w:r>
      <w:r>
        <w:rPr>
          <w:spacing w:val="-2"/>
        </w:rPr>
        <w:t xml:space="preserve"> </w:t>
      </w:r>
      <w:r>
        <w:t>and</w:t>
      </w:r>
      <w:r>
        <w:rPr>
          <w:spacing w:val="-2"/>
        </w:rPr>
        <w:t xml:space="preserve"> </w:t>
      </w:r>
      <w:r>
        <w:t>(ii)</w:t>
      </w:r>
      <w:r>
        <w:rPr>
          <w:spacing w:val="-2"/>
        </w:rPr>
        <w:t xml:space="preserve"> </w:t>
      </w:r>
      <w:r>
        <w:t>the</w:t>
      </w:r>
      <w:r>
        <w:rPr>
          <w:spacing w:val="-2"/>
        </w:rPr>
        <w:t xml:space="preserve"> </w:t>
      </w:r>
      <w:r>
        <w:t>CFO</w:t>
      </w:r>
      <w:r>
        <w:rPr>
          <w:spacing w:val="-2"/>
        </w:rPr>
        <w:t xml:space="preserve"> </w:t>
      </w:r>
      <w:r>
        <w:t>Representations for Intragovernmental Activity and Balances form (which is provided to the entity’s IG, Fiscal Service, and GAO).</w:t>
      </w:r>
    </w:p>
    <w:p w14:paraId="0DFDBF40" w14:textId="77777777" w:rsidR="00046465" w:rsidRDefault="008134EB">
      <w:pPr>
        <w:pStyle w:val="BodyText"/>
        <w:spacing w:before="120"/>
        <w:ind w:left="1800" w:right="785"/>
      </w:pPr>
      <w:r>
        <w:t>The</w:t>
      </w:r>
      <w:r>
        <w:rPr>
          <w:spacing w:val="-5"/>
        </w:rPr>
        <w:t xml:space="preserve"> </w:t>
      </w:r>
      <w:r>
        <w:t>management</w:t>
      </w:r>
      <w:r>
        <w:rPr>
          <w:spacing w:val="-5"/>
        </w:rPr>
        <w:t xml:space="preserve"> </w:t>
      </w:r>
      <w:r>
        <w:t>representation</w:t>
      </w:r>
      <w:r>
        <w:rPr>
          <w:spacing w:val="-5"/>
        </w:rPr>
        <w:t xml:space="preserve"> </w:t>
      </w:r>
      <w:r>
        <w:t>letter</w:t>
      </w:r>
      <w:r>
        <w:rPr>
          <w:spacing w:val="-5"/>
        </w:rPr>
        <w:t xml:space="preserve"> </w:t>
      </w:r>
      <w:r>
        <w:t>includes</w:t>
      </w:r>
      <w:r>
        <w:rPr>
          <w:spacing w:val="-6"/>
        </w:rPr>
        <w:t xml:space="preserve"> </w:t>
      </w:r>
      <w:r>
        <w:t>both</w:t>
      </w:r>
      <w:r>
        <w:rPr>
          <w:spacing w:val="-5"/>
        </w:rPr>
        <w:t xml:space="preserve"> </w:t>
      </w:r>
      <w:r>
        <w:t>intragovernmental</w:t>
      </w:r>
      <w:r>
        <w:rPr>
          <w:spacing w:val="-5"/>
        </w:rPr>
        <w:t xml:space="preserve"> </w:t>
      </w:r>
      <w:r>
        <w:t>and</w:t>
      </w:r>
      <w:r>
        <w:rPr>
          <w:spacing w:val="-5"/>
        </w:rPr>
        <w:t xml:space="preserve"> </w:t>
      </w:r>
      <w:r>
        <w:t>non-intragovernmental representations. The intragovernmental representations include those for intra-entity intragovernmental eliminations, proper accounting and disclosure of transactions, and resolution (or inability to resolve) of inter-entity intragovernmental transactions with trading partners. Note that if the auditor believes that such representation is not supported by management, the auditor should assess the effect of the inadequate disclosure on the auditor’s opinion (see FAM 1001).</w:t>
      </w:r>
    </w:p>
    <w:p w14:paraId="0DFDBF41" w14:textId="77777777" w:rsidR="00046465" w:rsidRDefault="008134EB">
      <w:pPr>
        <w:pStyle w:val="ListParagraph"/>
        <w:numPr>
          <w:ilvl w:val="0"/>
          <w:numId w:val="142"/>
        </w:numPr>
        <w:tabs>
          <w:tab w:val="left" w:pos="1800"/>
        </w:tabs>
        <w:ind w:right="1265"/>
      </w:pPr>
      <w:r>
        <w:t>The</w:t>
      </w:r>
      <w:r>
        <w:rPr>
          <w:spacing w:val="-5"/>
        </w:rPr>
        <w:t xml:space="preserve"> </w:t>
      </w:r>
      <w:r>
        <w:t>CFO</w:t>
      </w:r>
      <w:r>
        <w:rPr>
          <w:spacing w:val="-6"/>
        </w:rPr>
        <w:t xml:space="preserve"> </w:t>
      </w:r>
      <w:r>
        <w:t>Representations</w:t>
      </w:r>
      <w:r>
        <w:rPr>
          <w:spacing w:val="-5"/>
        </w:rPr>
        <w:t xml:space="preserve"> </w:t>
      </w:r>
      <w:r>
        <w:t>for</w:t>
      </w:r>
      <w:r>
        <w:rPr>
          <w:spacing w:val="-5"/>
        </w:rPr>
        <w:t xml:space="preserve"> </w:t>
      </w:r>
      <w:r>
        <w:t>Intragovernmental</w:t>
      </w:r>
      <w:r>
        <w:rPr>
          <w:spacing w:val="-5"/>
        </w:rPr>
        <w:t xml:space="preserve"> </w:t>
      </w:r>
      <w:r>
        <w:t>Activity</w:t>
      </w:r>
      <w:r>
        <w:rPr>
          <w:spacing w:val="-6"/>
        </w:rPr>
        <w:t xml:space="preserve"> </w:t>
      </w:r>
      <w:r>
        <w:t>and</w:t>
      </w:r>
      <w:r>
        <w:rPr>
          <w:spacing w:val="-6"/>
        </w:rPr>
        <w:t xml:space="preserve"> </w:t>
      </w:r>
      <w:r>
        <w:t>Balances</w:t>
      </w:r>
      <w:r>
        <w:rPr>
          <w:spacing w:val="-5"/>
        </w:rPr>
        <w:t xml:space="preserve"> </w:t>
      </w:r>
      <w:r>
        <w:t xml:space="preserve">form </w:t>
      </w:r>
      <w:r>
        <w:rPr>
          <w:spacing w:val="-2"/>
        </w:rPr>
        <w:t>includes</w:t>
      </w:r>
    </w:p>
    <w:p w14:paraId="0DFDBF42" w14:textId="77777777" w:rsidR="00046465" w:rsidRDefault="008134EB">
      <w:pPr>
        <w:pStyle w:val="ListParagraph"/>
        <w:numPr>
          <w:ilvl w:val="1"/>
          <w:numId w:val="142"/>
        </w:numPr>
        <w:tabs>
          <w:tab w:val="left" w:pos="2160"/>
        </w:tabs>
        <w:ind w:right="953"/>
      </w:pPr>
      <w:r>
        <w:t>intragovernmental representations regarding the consistency between the information</w:t>
      </w:r>
      <w:r>
        <w:rPr>
          <w:spacing w:val="-4"/>
        </w:rPr>
        <w:t xml:space="preserve"> </w:t>
      </w:r>
      <w:r>
        <w:t>the</w:t>
      </w:r>
      <w:r>
        <w:rPr>
          <w:spacing w:val="-4"/>
        </w:rPr>
        <w:t xml:space="preserve"> </w:t>
      </w:r>
      <w:r>
        <w:t>entity</w:t>
      </w:r>
      <w:r>
        <w:rPr>
          <w:spacing w:val="-4"/>
        </w:rPr>
        <w:t xml:space="preserve"> </w:t>
      </w:r>
      <w:r>
        <w:t>submits</w:t>
      </w:r>
      <w:r>
        <w:rPr>
          <w:spacing w:val="-4"/>
        </w:rPr>
        <w:t xml:space="preserve"> </w:t>
      </w:r>
      <w:r>
        <w:t>to</w:t>
      </w:r>
      <w:r>
        <w:rPr>
          <w:spacing w:val="-4"/>
        </w:rPr>
        <w:t xml:space="preserve"> </w:t>
      </w:r>
      <w:r>
        <w:t>Treasury</w:t>
      </w:r>
      <w:r>
        <w:rPr>
          <w:spacing w:val="-4"/>
        </w:rPr>
        <w:t xml:space="preserve"> </w:t>
      </w:r>
      <w:r>
        <w:t>for</w:t>
      </w:r>
      <w:r>
        <w:rPr>
          <w:spacing w:val="-4"/>
        </w:rPr>
        <w:t xml:space="preserve"> </w:t>
      </w:r>
      <w:r>
        <w:t>consolidation</w:t>
      </w:r>
      <w:r>
        <w:rPr>
          <w:spacing w:val="-7"/>
        </w:rPr>
        <w:t xml:space="preserve"> </w:t>
      </w:r>
      <w:r>
        <w:t>and</w:t>
      </w:r>
      <w:r>
        <w:rPr>
          <w:spacing w:val="-4"/>
        </w:rPr>
        <w:t xml:space="preserve"> </w:t>
      </w:r>
      <w:r>
        <w:t>the</w:t>
      </w:r>
      <w:r>
        <w:rPr>
          <w:spacing w:val="-4"/>
        </w:rPr>
        <w:t xml:space="preserve"> </w:t>
      </w:r>
      <w:r>
        <w:t>sources of that information,</w:t>
      </w:r>
    </w:p>
    <w:p w14:paraId="0DFDBF43" w14:textId="77777777" w:rsidR="00046465" w:rsidRDefault="008134EB">
      <w:pPr>
        <w:pStyle w:val="ListParagraph"/>
        <w:numPr>
          <w:ilvl w:val="1"/>
          <w:numId w:val="142"/>
        </w:numPr>
        <w:tabs>
          <w:tab w:val="left" w:pos="2160"/>
        </w:tabs>
        <w:spacing w:before="118"/>
        <w:ind w:right="1343"/>
      </w:pPr>
      <w:r>
        <w:t>inter-entity</w:t>
      </w:r>
      <w:r>
        <w:rPr>
          <w:spacing w:val="-6"/>
        </w:rPr>
        <w:t xml:space="preserve"> </w:t>
      </w:r>
      <w:r>
        <w:t>intragovernmental</w:t>
      </w:r>
      <w:r>
        <w:rPr>
          <w:spacing w:val="-6"/>
        </w:rPr>
        <w:t xml:space="preserve"> </w:t>
      </w:r>
      <w:r>
        <w:t>activity</w:t>
      </w:r>
      <w:r>
        <w:rPr>
          <w:spacing w:val="-6"/>
        </w:rPr>
        <w:t xml:space="preserve"> </w:t>
      </w:r>
      <w:r>
        <w:t>and</w:t>
      </w:r>
      <w:r>
        <w:rPr>
          <w:spacing w:val="-6"/>
        </w:rPr>
        <w:t xml:space="preserve"> </w:t>
      </w:r>
      <w:r>
        <w:t>balances</w:t>
      </w:r>
      <w:r>
        <w:rPr>
          <w:spacing w:val="-6"/>
        </w:rPr>
        <w:t xml:space="preserve"> </w:t>
      </w:r>
      <w:r>
        <w:t>with</w:t>
      </w:r>
      <w:r>
        <w:rPr>
          <w:spacing w:val="-6"/>
        </w:rPr>
        <w:t xml:space="preserve"> </w:t>
      </w:r>
      <w:r>
        <w:t>specific</w:t>
      </w:r>
      <w:r>
        <w:rPr>
          <w:spacing w:val="-6"/>
        </w:rPr>
        <w:t xml:space="preserve"> </w:t>
      </w:r>
      <w:r>
        <w:t xml:space="preserve">trading </w:t>
      </w:r>
      <w:r>
        <w:rPr>
          <w:spacing w:val="-2"/>
        </w:rPr>
        <w:t>partners,</w:t>
      </w:r>
    </w:p>
    <w:p w14:paraId="0DFDBF44" w14:textId="77777777" w:rsidR="00046465" w:rsidRDefault="008134EB">
      <w:pPr>
        <w:pStyle w:val="ListParagraph"/>
        <w:numPr>
          <w:ilvl w:val="1"/>
          <w:numId w:val="142"/>
        </w:numPr>
        <w:tabs>
          <w:tab w:val="left" w:pos="2160"/>
        </w:tabs>
        <w:spacing w:before="118"/>
      </w:pPr>
      <w:r>
        <w:t>the</w:t>
      </w:r>
      <w:r>
        <w:rPr>
          <w:spacing w:val="-9"/>
        </w:rPr>
        <w:t xml:space="preserve"> </w:t>
      </w:r>
      <w:r>
        <w:t>independent</w:t>
      </w:r>
      <w:r>
        <w:rPr>
          <w:spacing w:val="-9"/>
        </w:rPr>
        <w:t xml:space="preserve"> </w:t>
      </w:r>
      <w:r>
        <w:t>auditor’s</w:t>
      </w:r>
      <w:r>
        <w:rPr>
          <w:spacing w:val="-9"/>
        </w:rPr>
        <w:t xml:space="preserve"> </w:t>
      </w:r>
      <w:r>
        <w:t>proposed</w:t>
      </w:r>
      <w:r>
        <w:rPr>
          <w:spacing w:val="-9"/>
        </w:rPr>
        <w:t xml:space="preserve"> </w:t>
      </w:r>
      <w:r>
        <w:rPr>
          <w:spacing w:val="-2"/>
        </w:rPr>
        <w:t>adjustments,</w:t>
      </w:r>
    </w:p>
    <w:p w14:paraId="0DFDBF45" w14:textId="77777777" w:rsidR="00046465" w:rsidRDefault="008134EB">
      <w:pPr>
        <w:pStyle w:val="ListParagraph"/>
        <w:numPr>
          <w:ilvl w:val="1"/>
          <w:numId w:val="142"/>
        </w:numPr>
        <w:tabs>
          <w:tab w:val="left" w:pos="2160"/>
        </w:tabs>
        <w:spacing w:before="119"/>
        <w:ind w:right="793"/>
      </w:pPr>
      <w:r>
        <w:t>the</w:t>
      </w:r>
      <w:r>
        <w:rPr>
          <w:spacing w:val="-6"/>
        </w:rPr>
        <w:t xml:space="preserve"> </w:t>
      </w:r>
      <w:r>
        <w:t>CFO’s</w:t>
      </w:r>
      <w:r>
        <w:rPr>
          <w:spacing w:val="-6"/>
        </w:rPr>
        <w:t xml:space="preserve"> </w:t>
      </w:r>
      <w:r>
        <w:t>monitoring</w:t>
      </w:r>
      <w:r>
        <w:rPr>
          <w:spacing w:val="-6"/>
        </w:rPr>
        <w:t xml:space="preserve"> </w:t>
      </w:r>
      <w:r>
        <w:t>of</w:t>
      </w:r>
      <w:r>
        <w:rPr>
          <w:spacing w:val="-6"/>
        </w:rPr>
        <w:t xml:space="preserve"> </w:t>
      </w:r>
      <w:r>
        <w:t>inter-entity</w:t>
      </w:r>
      <w:r>
        <w:rPr>
          <w:spacing w:val="-7"/>
        </w:rPr>
        <w:t xml:space="preserve"> </w:t>
      </w:r>
      <w:r>
        <w:t>intragovernmental</w:t>
      </w:r>
      <w:r>
        <w:rPr>
          <w:spacing w:val="-6"/>
        </w:rPr>
        <w:t xml:space="preserve"> </w:t>
      </w:r>
      <w:r>
        <w:t>differences</w:t>
      </w:r>
      <w:r>
        <w:rPr>
          <w:spacing w:val="-6"/>
        </w:rPr>
        <w:t xml:space="preserve"> </w:t>
      </w:r>
      <w:r>
        <w:t>throughout the year, and</w:t>
      </w:r>
    </w:p>
    <w:p w14:paraId="0DFDBF46" w14:textId="77777777" w:rsidR="00046465" w:rsidRDefault="008134EB">
      <w:pPr>
        <w:pStyle w:val="ListParagraph"/>
        <w:numPr>
          <w:ilvl w:val="1"/>
          <w:numId w:val="142"/>
        </w:numPr>
        <w:tabs>
          <w:tab w:val="left" w:pos="2160"/>
        </w:tabs>
        <w:spacing w:before="118"/>
        <w:ind w:right="1148"/>
      </w:pPr>
      <w:r>
        <w:t>the</w:t>
      </w:r>
      <w:r>
        <w:rPr>
          <w:spacing w:val="-5"/>
        </w:rPr>
        <w:t xml:space="preserve"> </w:t>
      </w:r>
      <w:r>
        <w:t>existence</w:t>
      </w:r>
      <w:r>
        <w:rPr>
          <w:spacing w:val="-5"/>
        </w:rPr>
        <w:t xml:space="preserve"> </w:t>
      </w:r>
      <w:r>
        <w:t>and</w:t>
      </w:r>
      <w:r>
        <w:rPr>
          <w:spacing w:val="-5"/>
        </w:rPr>
        <w:t xml:space="preserve"> </w:t>
      </w:r>
      <w:r>
        <w:t>assessment</w:t>
      </w:r>
      <w:r>
        <w:rPr>
          <w:spacing w:val="-5"/>
        </w:rPr>
        <w:t xml:space="preserve"> </w:t>
      </w:r>
      <w:r>
        <w:t>of</w:t>
      </w:r>
      <w:r>
        <w:rPr>
          <w:spacing w:val="-5"/>
        </w:rPr>
        <w:t xml:space="preserve"> </w:t>
      </w:r>
      <w:r>
        <w:t>internal</w:t>
      </w:r>
      <w:r>
        <w:rPr>
          <w:spacing w:val="-5"/>
        </w:rPr>
        <w:t xml:space="preserve"> </w:t>
      </w:r>
      <w:r>
        <w:t>controls</w:t>
      </w:r>
      <w:r>
        <w:rPr>
          <w:spacing w:val="-5"/>
        </w:rPr>
        <w:t xml:space="preserve"> </w:t>
      </w:r>
      <w:r>
        <w:t>over</w:t>
      </w:r>
      <w:r>
        <w:rPr>
          <w:spacing w:val="-5"/>
        </w:rPr>
        <w:t xml:space="preserve"> </w:t>
      </w:r>
      <w:r>
        <w:t>intragovernmental activity and balances (see TFM 2-4700, Appendix 4).</w:t>
      </w:r>
    </w:p>
    <w:p w14:paraId="0DFDBF47" w14:textId="77777777" w:rsidR="00046465" w:rsidRDefault="008134EB">
      <w:pPr>
        <w:pStyle w:val="Heading5"/>
        <w:spacing w:before="240"/>
        <w:ind w:left="392"/>
        <w:rPr>
          <w:u w:val="none"/>
        </w:rPr>
      </w:pPr>
      <w:bookmarkStart w:id="270" w:name="G-Invoicing_and_Intragovernmental_Paymen"/>
      <w:bookmarkEnd w:id="270"/>
      <w:r>
        <w:t>G-Invoicing</w:t>
      </w:r>
      <w:r>
        <w:rPr>
          <w:spacing w:val="-7"/>
        </w:rPr>
        <w:t xml:space="preserve"> </w:t>
      </w:r>
      <w:r>
        <w:t>and</w:t>
      </w:r>
      <w:r>
        <w:rPr>
          <w:spacing w:val="-5"/>
        </w:rPr>
        <w:t xml:space="preserve"> </w:t>
      </w:r>
      <w:r>
        <w:t>Intragovernmental</w:t>
      </w:r>
      <w:r>
        <w:rPr>
          <w:spacing w:val="-5"/>
        </w:rPr>
        <w:t xml:space="preserve"> </w:t>
      </w:r>
      <w:r>
        <w:t>Payment</w:t>
      </w:r>
      <w:r>
        <w:rPr>
          <w:spacing w:val="-4"/>
        </w:rPr>
        <w:t xml:space="preserve"> </w:t>
      </w:r>
      <w:r>
        <w:t>and</w:t>
      </w:r>
      <w:r>
        <w:rPr>
          <w:spacing w:val="-5"/>
        </w:rPr>
        <w:t xml:space="preserve"> </w:t>
      </w:r>
      <w:r>
        <w:t>Collection</w:t>
      </w:r>
      <w:r>
        <w:rPr>
          <w:spacing w:val="-5"/>
        </w:rPr>
        <w:t xml:space="preserve"> </w:t>
      </w:r>
      <w:r>
        <w:t>System</w:t>
      </w:r>
      <w:r>
        <w:rPr>
          <w:spacing w:val="-4"/>
        </w:rPr>
        <w:t xml:space="preserve"> </w:t>
      </w:r>
      <w:r>
        <w:rPr>
          <w:spacing w:val="-2"/>
        </w:rPr>
        <w:t>(IPAC)</w:t>
      </w:r>
    </w:p>
    <w:p w14:paraId="0DFDBF48" w14:textId="77777777" w:rsidR="00046465" w:rsidRDefault="008134EB">
      <w:pPr>
        <w:pStyle w:val="ListParagraph"/>
        <w:numPr>
          <w:ilvl w:val="0"/>
          <w:numId w:val="142"/>
        </w:numPr>
        <w:tabs>
          <w:tab w:val="left" w:pos="1800"/>
        </w:tabs>
        <w:spacing w:before="118"/>
        <w:ind w:right="761"/>
      </w:pPr>
      <w:r>
        <w:t>G-Invoicing is the primary method most federal entities use to bill and pay for services and supplies within the U.S. government electronically. G-Invoicing is used</w:t>
      </w:r>
      <w:r>
        <w:rPr>
          <w:spacing w:val="-3"/>
        </w:rPr>
        <w:t xml:space="preserve"> </w:t>
      </w:r>
      <w:r>
        <w:t>to</w:t>
      </w:r>
      <w:r>
        <w:rPr>
          <w:spacing w:val="-3"/>
        </w:rPr>
        <w:t xml:space="preserve"> </w:t>
      </w:r>
      <w:r>
        <w:t>communicate</w:t>
      </w:r>
      <w:r>
        <w:rPr>
          <w:spacing w:val="-3"/>
        </w:rPr>
        <w:t xml:space="preserve"> </w:t>
      </w:r>
      <w:r>
        <w:t>to</w:t>
      </w:r>
      <w:r>
        <w:rPr>
          <w:spacing w:val="-3"/>
        </w:rPr>
        <w:t xml:space="preserve"> </w:t>
      </w:r>
      <w:r>
        <w:t>Treasury</w:t>
      </w:r>
      <w:r>
        <w:rPr>
          <w:spacing w:val="-3"/>
        </w:rPr>
        <w:t xml:space="preserve"> </w:t>
      </w:r>
      <w:r>
        <w:t>and</w:t>
      </w:r>
      <w:r>
        <w:rPr>
          <w:spacing w:val="-3"/>
        </w:rPr>
        <w:t xml:space="preserve"> </w:t>
      </w:r>
      <w:r>
        <w:t>the</w:t>
      </w:r>
      <w:r>
        <w:rPr>
          <w:spacing w:val="-3"/>
        </w:rPr>
        <w:t xml:space="preserve"> </w:t>
      </w:r>
      <w:r>
        <w:t>trading</w:t>
      </w:r>
      <w:r>
        <w:rPr>
          <w:spacing w:val="-4"/>
        </w:rPr>
        <w:t xml:space="preserve"> </w:t>
      </w:r>
      <w:r>
        <w:t>partner</w:t>
      </w:r>
      <w:r>
        <w:rPr>
          <w:spacing w:val="-3"/>
        </w:rPr>
        <w:t xml:space="preserve"> </w:t>
      </w:r>
      <w:r>
        <w:t>that</w:t>
      </w:r>
      <w:r>
        <w:rPr>
          <w:spacing w:val="-3"/>
        </w:rPr>
        <w:t xml:space="preserve"> </w:t>
      </w:r>
      <w:r>
        <w:t>the</w:t>
      </w:r>
      <w:r>
        <w:rPr>
          <w:spacing w:val="-3"/>
        </w:rPr>
        <w:t xml:space="preserve"> </w:t>
      </w:r>
      <w:r>
        <w:t>online</w:t>
      </w:r>
      <w:r>
        <w:rPr>
          <w:spacing w:val="-3"/>
        </w:rPr>
        <w:t xml:space="preserve"> </w:t>
      </w:r>
      <w:r>
        <w:t>billing</w:t>
      </w:r>
      <w:r>
        <w:rPr>
          <w:spacing w:val="-3"/>
        </w:rPr>
        <w:t xml:space="preserve"> </w:t>
      </w:r>
      <w:r>
        <w:t>or payment for services and supplies has occurred. G-Invoicing is intended to be a control federal entities can use to reconcile their intragovernmental transactions</w:t>
      </w:r>
    </w:p>
    <w:p w14:paraId="0DFDBF49" w14:textId="77777777" w:rsidR="00046465" w:rsidRDefault="00046465">
      <w:pPr>
        <w:pStyle w:val="BodyText"/>
        <w:rPr>
          <w:sz w:val="20"/>
        </w:rPr>
      </w:pPr>
    </w:p>
    <w:p w14:paraId="0DFDBF4A" w14:textId="77777777" w:rsidR="00046465" w:rsidRDefault="00046465">
      <w:pPr>
        <w:pStyle w:val="BodyText"/>
        <w:rPr>
          <w:sz w:val="20"/>
        </w:rPr>
      </w:pPr>
    </w:p>
    <w:p w14:paraId="0DFDBF4B" w14:textId="77777777" w:rsidR="00046465" w:rsidRDefault="008134EB">
      <w:pPr>
        <w:pStyle w:val="BodyText"/>
        <w:spacing w:before="32"/>
        <w:rPr>
          <w:sz w:val="20"/>
        </w:rPr>
      </w:pPr>
      <w:r>
        <w:rPr>
          <w:noProof/>
          <w:sz w:val="20"/>
        </w:rPr>
        <mc:AlternateContent>
          <mc:Choice Requires="wps">
            <w:drawing>
              <wp:anchor distT="0" distB="0" distL="0" distR="0" simplePos="0" relativeHeight="487716352" behindDoc="1" locked="0" layoutInCell="1" allowOverlap="1" wp14:anchorId="0DFDD709" wp14:editId="0DFDD70A">
                <wp:simplePos x="0" y="0"/>
                <wp:positionH relativeFrom="page">
                  <wp:posOffset>914400</wp:posOffset>
                </wp:positionH>
                <wp:positionV relativeFrom="paragraph">
                  <wp:posOffset>181978</wp:posOffset>
                </wp:positionV>
                <wp:extent cx="1828800" cy="5715"/>
                <wp:effectExtent l="0" t="0" r="0" b="0"/>
                <wp:wrapTopAndBottom/>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18AECC" id="Graphic 892" o:spid="_x0000_s1026" style="position:absolute;margin-left:1in;margin-top:14.35pt;width:2in;height:.45pt;z-index:-1560012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" path="m1828800,l,,,5333r1828800,l1828800,xe" fillcolor="black" stroked="f">
                <v:path arrowok="t"/>
                <w10:wrap type="topAndBottom" anchorx="page"/>
              </v:shape>
            </w:pict>
          </mc:Fallback>
        </mc:AlternateContent>
      </w:r>
    </w:p>
    <w:p w14:paraId="0DFDBF4C" w14:textId="77777777" w:rsidR="00046465" w:rsidRDefault="008134EB">
      <w:pPr>
        <w:spacing w:before="200" w:line="242" w:lineRule="auto"/>
        <w:ind w:left="359" w:right="826"/>
        <w:rPr>
          <w:sz w:val="18"/>
        </w:rPr>
      </w:pPr>
      <w:bookmarkStart w:id="271" w:name="_bookmark151"/>
      <w:bookmarkEnd w:id="271"/>
      <w:r>
        <w:rPr>
          <w:position w:val="7"/>
          <w:sz w:val="14"/>
        </w:rPr>
        <w:t>12</w:t>
      </w:r>
      <w:r>
        <w:rPr>
          <w:sz w:val="18"/>
        </w:rPr>
        <w:t>Reciprocal accounts are offsetting USSGL accounts used by inter-entity trading partners to record transactions (e.g., a seller’s receivable account and a buyer’s corresponding payable account). Treasury groups these USSGL accounts</w:t>
      </w:r>
      <w:r>
        <w:rPr>
          <w:spacing w:val="-4"/>
          <w:sz w:val="18"/>
        </w:rPr>
        <w:t xml:space="preserve"> </w:t>
      </w:r>
      <w:r>
        <w:rPr>
          <w:sz w:val="18"/>
        </w:rPr>
        <w:t>into</w:t>
      </w:r>
      <w:r>
        <w:rPr>
          <w:spacing w:val="-5"/>
          <w:sz w:val="18"/>
        </w:rPr>
        <w:t xml:space="preserve"> </w:t>
      </w:r>
      <w:r>
        <w:rPr>
          <w:sz w:val="18"/>
        </w:rPr>
        <w:t>“reciprocal</w:t>
      </w:r>
      <w:r>
        <w:rPr>
          <w:spacing w:val="-4"/>
          <w:sz w:val="18"/>
        </w:rPr>
        <w:t xml:space="preserve"> </w:t>
      </w:r>
      <w:r>
        <w:rPr>
          <w:sz w:val="18"/>
        </w:rPr>
        <w:t>categories,”</w:t>
      </w:r>
      <w:r>
        <w:rPr>
          <w:spacing w:val="-4"/>
          <w:sz w:val="18"/>
        </w:rPr>
        <w:t xml:space="preserve"> </w:t>
      </w:r>
      <w:r>
        <w:rPr>
          <w:sz w:val="18"/>
        </w:rPr>
        <w:t>which</w:t>
      </w:r>
      <w:r>
        <w:rPr>
          <w:spacing w:val="-3"/>
          <w:sz w:val="18"/>
        </w:rPr>
        <w:t xml:space="preserve"> </w:t>
      </w:r>
      <w:r>
        <w:rPr>
          <w:sz w:val="18"/>
        </w:rPr>
        <w:t>Treasury</w:t>
      </w:r>
      <w:r>
        <w:rPr>
          <w:spacing w:val="-4"/>
          <w:sz w:val="18"/>
        </w:rPr>
        <w:t xml:space="preserve"> </w:t>
      </w:r>
      <w:r>
        <w:rPr>
          <w:sz w:val="18"/>
        </w:rPr>
        <w:t>uses</w:t>
      </w:r>
      <w:r>
        <w:rPr>
          <w:spacing w:val="-3"/>
          <w:sz w:val="18"/>
        </w:rPr>
        <w:t xml:space="preserve"> </w:t>
      </w:r>
      <w:r>
        <w:rPr>
          <w:sz w:val="18"/>
        </w:rPr>
        <w:t>to</w:t>
      </w:r>
      <w:r>
        <w:rPr>
          <w:spacing w:val="-5"/>
          <w:sz w:val="18"/>
        </w:rPr>
        <w:t xml:space="preserve"> </w:t>
      </w:r>
      <w:r>
        <w:rPr>
          <w:sz w:val="18"/>
        </w:rPr>
        <w:t>help</w:t>
      </w:r>
      <w:r>
        <w:rPr>
          <w:spacing w:val="-5"/>
          <w:sz w:val="18"/>
        </w:rPr>
        <w:t xml:space="preserve"> </w:t>
      </w:r>
      <w:r>
        <w:rPr>
          <w:sz w:val="18"/>
        </w:rPr>
        <w:t>manage</w:t>
      </w:r>
      <w:r>
        <w:rPr>
          <w:spacing w:val="-5"/>
          <w:sz w:val="18"/>
        </w:rPr>
        <w:t xml:space="preserve"> </w:t>
      </w:r>
      <w:r>
        <w:rPr>
          <w:sz w:val="18"/>
        </w:rPr>
        <w:t>intragovernmental</w:t>
      </w:r>
      <w:r>
        <w:rPr>
          <w:spacing w:val="-4"/>
          <w:sz w:val="18"/>
        </w:rPr>
        <w:t xml:space="preserve"> </w:t>
      </w:r>
      <w:r>
        <w:rPr>
          <w:sz w:val="18"/>
        </w:rPr>
        <w:t>transactions,</w:t>
      </w:r>
      <w:r>
        <w:rPr>
          <w:spacing w:val="-4"/>
          <w:sz w:val="18"/>
        </w:rPr>
        <w:t xml:space="preserve"> </w:t>
      </w:r>
      <w:r>
        <w:rPr>
          <w:sz w:val="18"/>
        </w:rPr>
        <w:t>including calculating</w:t>
      </w:r>
      <w:r>
        <w:rPr>
          <w:spacing w:val="-2"/>
          <w:sz w:val="18"/>
        </w:rPr>
        <w:t xml:space="preserve"> </w:t>
      </w:r>
      <w:r>
        <w:rPr>
          <w:sz w:val="18"/>
        </w:rPr>
        <w:t>intragovernmental differences</w:t>
      </w:r>
      <w:r>
        <w:rPr>
          <w:spacing w:val="-1"/>
          <w:sz w:val="18"/>
        </w:rPr>
        <w:t xml:space="preserve"> </w:t>
      </w:r>
      <w:r>
        <w:rPr>
          <w:sz w:val="18"/>
        </w:rPr>
        <w:t>between</w:t>
      </w:r>
      <w:r>
        <w:rPr>
          <w:spacing w:val="-2"/>
          <w:sz w:val="18"/>
        </w:rPr>
        <w:t xml:space="preserve"> </w:t>
      </w:r>
      <w:r>
        <w:rPr>
          <w:sz w:val="18"/>
        </w:rPr>
        <w:t>trading</w:t>
      </w:r>
      <w:r>
        <w:rPr>
          <w:spacing w:val="-2"/>
          <w:sz w:val="18"/>
        </w:rPr>
        <w:t xml:space="preserve"> </w:t>
      </w:r>
      <w:r>
        <w:rPr>
          <w:sz w:val="18"/>
        </w:rPr>
        <w:t>partners,</w:t>
      </w:r>
      <w:r>
        <w:rPr>
          <w:spacing w:val="-1"/>
          <w:sz w:val="18"/>
        </w:rPr>
        <w:t xml:space="preserve"> </w:t>
      </w:r>
      <w:r>
        <w:rPr>
          <w:sz w:val="18"/>
        </w:rPr>
        <w:t>assisting</w:t>
      </w:r>
      <w:r>
        <w:rPr>
          <w:spacing w:val="-2"/>
          <w:sz w:val="18"/>
        </w:rPr>
        <w:t xml:space="preserve"> </w:t>
      </w:r>
      <w:r>
        <w:rPr>
          <w:sz w:val="18"/>
        </w:rPr>
        <w:t>entities</w:t>
      </w:r>
      <w:r>
        <w:rPr>
          <w:spacing w:val="-1"/>
          <w:sz w:val="18"/>
        </w:rPr>
        <w:t xml:space="preserve"> </w:t>
      </w:r>
      <w:r>
        <w:rPr>
          <w:sz w:val="18"/>
        </w:rPr>
        <w:t>in</w:t>
      </w:r>
      <w:r>
        <w:rPr>
          <w:spacing w:val="-2"/>
          <w:sz w:val="18"/>
        </w:rPr>
        <w:t xml:space="preserve"> </w:t>
      </w:r>
      <w:r>
        <w:rPr>
          <w:sz w:val="18"/>
        </w:rPr>
        <w:t>resolving</w:t>
      </w:r>
      <w:r>
        <w:rPr>
          <w:spacing w:val="-2"/>
          <w:sz w:val="18"/>
        </w:rPr>
        <w:t xml:space="preserve"> </w:t>
      </w:r>
      <w:r>
        <w:rPr>
          <w:sz w:val="18"/>
        </w:rPr>
        <w:t>differences,</w:t>
      </w:r>
      <w:r>
        <w:rPr>
          <w:spacing w:val="-1"/>
          <w:sz w:val="18"/>
        </w:rPr>
        <w:t xml:space="preserve"> </w:t>
      </w:r>
      <w:r>
        <w:rPr>
          <w:sz w:val="18"/>
        </w:rPr>
        <w:t>and at year-end eliminating intragovernmental amounts from the U.S. government’s consolidated financial statements.</w:t>
      </w:r>
    </w:p>
    <w:p w14:paraId="0DFDBF4D" w14:textId="77777777" w:rsidR="00046465" w:rsidRDefault="00046465">
      <w:pPr>
        <w:spacing w:line="242" w:lineRule="auto"/>
        <w:rPr>
          <w:sz w:val="18"/>
        </w:rPr>
        <w:sectPr w:rsidR="00046465">
          <w:pgSz w:w="12240" w:h="15840"/>
          <w:pgMar w:top="1340" w:right="720" w:bottom="940" w:left="1080" w:header="721" w:footer="757" w:gutter="0"/>
          <w:cols w:space="720"/>
        </w:sectPr>
      </w:pPr>
    </w:p>
    <w:p w14:paraId="0DFDBF4E" w14:textId="77777777" w:rsidR="00046465" w:rsidRDefault="008134EB">
      <w:pPr>
        <w:pStyle w:val="BodyText"/>
        <w:spacing w:before="121"/>
        <w:ind w:left="1799" w:right="749"/>
      </w:pPr>
      <w:r>
        <w:lastRenderedPageBreak/>
        <w:t>associated</w:t>
      </w:r>
      <w:r>
        <w:rPr>
          <w:spacing w:val="-5"/>
        </w:rPr>
        <w:t xml:space="preserve"> </w:t>
      </w:r>
      <w:r>
        <w:t>with</w:t>
      </w:r>
      <w:r>
        <w:rPr>
          <w:spacing w:val="-4"/>
        </w:rPr>
        <w:t xml:space="preserve"> </w:t>
      </w:r>
      <w:r>
        <w:t>the</w:t>
      </w:r>
      <w:r>
        <w:rPr>
          <w:spacing w:val="-4"/>
        </w:rPr>
        <w:t xml:space="preserve"> </w:t>
      </w:r>
      <w:r>
        <w:t>buying</w:t>
      </w:r>
      <w:r>
        <w:rPr>
          <w:spacing w:val="-4"/>
        </w:rPr>
        <w:t xml:space="preserve"> </w:t>
      </w:r>
      <w:r>
        <w:t>and</w:t>
      </w:r>
      <w:r>
        <w:rPr>
          <w:spacing w:val="-4"/>
        </w:rPr>
        <w:t xml:space="preserve"> </w:t>
      </w:r>
      <w:r>
        <w:t>selling</w:t>
      </w:r>
      <w:r>
        <w:rPr>
          <w:spacing w:val="-4"/>
        </w:rPr>
        <w:t xml:space="preserve"> </w:t>
      </w:r>
      <w:r>
        <w:t>of</w:t>
      </w:r>
      <w:r>
        <w:rPr>
          <w:spacing w:val="-4"/>
        </w:rPr>
        <w:t xml:space="preserve"> </w:t>
      </w:r>
      <w:r>
        <w:t>goods</w:t>
      </w:r>
      <w:r>
        <w:rPr>
          <w:spacing w:val="-5"/>
        </w:rPr>
        <w:t xml:space="preserve"> </w:t>
      </w:r>
      <w:r>
        <w:t>and</w:t>
      </w:r>
      <w:r>
        <w:rPr>
          <w:spacing w:val="-4"/>
        </w:rPr>
        <w:t xml:space="preserve"> </w:t>
      </w:r>
      <w:r>
        <w:t>services</w:t>
      </w:r>
      <w:r>
        <w:rPr>
          <w:spacing w:val="-4"/>
        </w:rPr>
        <w:t xml:space="preserve"> </w:t>
      </w:r>
      <w:r>
        <w:t>with</w:t>
      </w:r>
      <w:r>
        <w:rPr>
          <w:spacing w:val="-4"/>
        </w:rPr>
        <w:t xml:space="preserve"> </w:t>
      </w:r>
      <w:r>
        <w:t>other</w:t>
      </w:r>
      <w:r>
        <w:rPr>
          <w:spacing w:val="-5"/>
        </w:rPr>
        <w:t xml:space="preserve"> </w:t>
      </w:r>
      <w:r>
        <w:t xml:space="preserve">federal </w:t>
      </w:r>
      <w:r>
        <w:rPr>
          <w:spacing w:val="-2"/>
        </w:rPr>
        <w:t>entities.</w:t>
      </w:r>
    </w:p>
    <w:p w14:paraId="0DFDBF4F" w14:textId="77777777" w:rsidR="00046465" w:rsidRDefault="008134EB">
      <w:pPr>
        <w:pStyle w:val="ListParagraph"/>
        <w:numPr>
          <w:ilvl w:val="0"/>
          <w:numId w:val="142"/>
        </w:numPr>
        <w:tabs>
          <w:tab w:val="left" w:pos="1800"/>
        </w:tabs>
        <w:spacing w:before="119"/>
        <w:ind w:right="961"/>
      </w:pPr>
      <w:r>
        <w:t>The servicing entity initiates a transaction within G-Invoicing to indicate that goods or services have been delivered or performed. The requesting entity initiates</w:t>
      </w:r>
      <w:r>
        <w:rPr>
          <w:spacing w:val="-5"/>
        </w:rPr>
        <w:t xml:space="preserve"> </w:t>
      </w:r>
      <w:r>
        <w:t>a</w:t>
      </w:r>
      <w:r>
        <w:rPr>
          <w:spacing w:val="-4"/>
        </w:rPr>
        <w:t xml:space="preserve"> </w:t>
      </w:r>
      <w:r>
        <w:t>transaction</w:t>
      </w:r>
      <w:r>
        <w:rPr>
          <w:spacing w:val="-4"/>
        </w:rPr>
        <w:t xml:space="preserve"> </w:t>
      </w:r>
      <w:r>
        <w:t>within</w:t>
      </w:r>
      <w:r>
        <w:rPr>
          <w:spacing w:val="-4"/>
        </w:rPr>
        <w:t xml:space="preserve"> </w:t>
      </w:r>
      <w:r>
        <w:t>G-Invoicing</w:t>
      </w:r>
      <w:r>
        <w:rPr>
          <w:spacing w:val="-4"/>
        </w:rPr>
        <w:t xml:space="preserve"> </w:t>
      </w:r>
      <w:r>
        <w:t>to</w:t>
      </w:r>
      <w:r>
        <w:rPr>
          <w:spacing w:val="-4"/>
        </w:rPr>
        <w:t xml:space="preserve"> </w:t>
      </w:r>
      <w:r>
        <w:t>indicate</w:t>
      </w:r>
      <w:r>
        <w:rPr>
          <w:spacing w:val="-4"/>
        </w:rPr>
        <w:t xml:space="preserve"> </w:t>
      </w:r>
      <w:r>
        <w:t>that</w:t>
      </w:r>
      <w:r>
        <w:rPr>
          <w:spacing w:val="-4"/>
        </w:rPr>
        <w:t xml:space="preserve"> </w:t>
      </w:r>
      <w:r>
        <w:t>goods</w:t>
      </w:r>
      <w:r>
        <w:rPr>
          <w:spacing w:val="-4"/>
        </w:rPr>
        <w:t xml:space="preserve"> </w:t>
      </w:r>
      <w:r>
        <w:t>or</w:t>
      </w:r>
      <w:r>
        <w:rPr>
          <w:spacing w:val="-4"/>
        </w:rPr>
        <w:t xml:space="preserve"> </w:t>
      </w:r>
      <w:r>
        <w:t>services</w:t>
      </w:r>
      <w:r>
        <w:rPr>
          <w:spacing w:val="-4"/>
        </w:rPr>
        <w:t xml:space="preserve"> </w:t>
      </w:r>
      <w:r>
        <w:t>were received and accepted. Once agreed-upon actions are complete within G-Invoicing, G-Invoicing facilitates payment for goods and services through the IPAC system.</w:t>
      </w:r>
    </w:p>
    <w:p w14:paraId="0DFDBF50" w14:textId="77777777" w:rsidR="00046465" w:rsidRDefault="008134EB">
      <w:pPr>
        <w:pStyle w:val="ListParagraph"/>
        <w:numPr>
          <w:ilvl w:val="0"/>
          <w:numId w:val="142"/>
        </w:numPr>
        <w:tabs>
          <w:tab w:val="left" w:pos="1800"/>
        </w:tabs>
        <w:ind w:right="788"/>
      </w:pPr>
      <w:r>
        <w:t>As with non-intragovernmental collections and payments, federal entities should record increases and decreases to their Fund Balance with Treasury (FBWT) accounts for IPAC collections and payments, respectively. IPAC information is reported to Treasury’s Central Accounting Reporting System (CARS), which provides</w:t>
      </w:r>
      <w:r>
        <w:rPr>
          <w:spacing w:val="-4"/>
        </w:rPr>
        <w:t xml:space="preserve"> </w:t>
      </w:r>
      <w:r>
        <w:t>FBWT</w:t>
      </w:r>
      <w:r>
        <w:rPr>
          <w:spacing w:val="-4"/>
        </w:rPr>
        <w:t xml:space="preserve"> </w:t>
      </w:r>
      <w:r>
        <w:t>account</w:t>
      </w:r>
      <w:r>
        <w:rPr>
          <w:spacing w:val="-5"/>
        </w:rPr>
        <w:t xml:space="preserve"> </w:t>
      </w:r>
      <w:r>
        <w:t>statements</w:t>
      </w:r>
      <w:r>
        <w:rPr>
          <w:spacing w:val="-4"/>
        </w:rPr>
        <w:t xml:space="preserve"> </w:t>
      </w:r>
      <w:r>
        <w:t>and</w:t>
      </w:r>
      <w:r>
        <w:rPr>
          <w:spacing w:val="-4"/>
        </w:rPr>
        <w:t xml:space="preserve"> </w:t>
      </w:r>
      <w:r>
        <w:t>other</w:t>
      </w:r>
      <w:r>
        <w:rPr>
          <w:spacing w:val="-4"/>
        </w:rPr>
        <w:t xml:space="preserve"> </w:t>
      </w:r>
      <w:r>
        <w:t>reports</w:t>
      </w:r>
      <w:r>
        <w:rPr>
          <w:spacing w:val="-4"/>
        </w:rPr>
        <w:t xml:space="preserve"> </w:t>
      </w:r>
      <w:r>
        <w:t>to</w:t>
      </w:r>
      <w:r>
        <w:rPr>
          <w:spacing w:val="-4"/>
        </w:rPr>
        <w:t xml:space="preserve"> </w:t>
      </w:r>
      <w:r>
        <w:t>federal</w:t>
      </w:r>
      <w:r>
        <w:rPr>
          <w:spacing w:val="-4"/>
        </w:rPr>
        <w:t xml:space="preserve"> </w:t>
      </w:r>
      <w:r>
        <w:t>entities.</w:t>
      </w:r>
      <w:r>
        <w:rPr>
          <w:spacing w:val="-5"/>
        </w:rPr>
        <w:t xml:space="preserve"> </w:t>
      </w:r>
      <w:r>
        <w:t>Regular reconciliation of entity FBWT records with Treasury records is a control activity related to maintaining the accuracy and reliability of entity FBWT records; additional guidance for auditing FBWT is provided in FAM 921.</w:t>
      </w:r>
    </w:p>
    <w:p w14:paraId="0DFDBF51" w14:textId="77777777" w:rsidR="00046465" w:rsidRDefault="008134EB">
      <w:pPr>
        <w:pStyle w:val="Heading4"/>
      </w:pPr>
      <w:r>
        <w:t>Audit</w:t>
      </w:r>
      <w:r>
        <w:rPr>
          <w:spacing w:val="-10"/>
        </w:rPr>
        <w:t xml:space="preserve"> </w:t>
      </w:r>
      <w:r>
        <w:rPr>
          <w:spacing w:val="-2"/>
        </w:rPr>
        <w:t>Procedures</w:t>
      </w:r>
    </w:p>
    <w:p w14:paraId="0DFDBF52" w14:textId="77777777" w:rsidR="00046465" w:rsidRDefault="008134EB">
      <w:pPr>
        <w:pStyle w:val="ListParagraph"/>
        <w:numPr>
          <w:ilvl w:val="0"/>
          <w:numId w:val="142"/>
        </w:numPr>
        <w:tabs>
          <w:tab w:val="left" w:pos="1800"/>
        </w:tabs>
        <w:ind w:right="1241"/>
      </w:pPr>
      <w:r>
        <w:t>The</w:t>
      </w:r>
      <w:r>
        <w:rPr>
          <w:spacing w:val="-5"/>
        </w:rPr>
        <w:t xml:space="preserve"> </w:t>
      </w:r>
      <w:r>
        <w:t>following</w:t>
      </w:r>
      <w:r>
        <w:rPr>
          <w:spacing w:val="-5"/>
        </w:rPr>
        <w:t xml:space="preserve"> </w:t>
      </w:r>
      <w:r>
        <w:t>are</w:t>
      </w:r>
      <w:r>
        <w:rPr>
          <w:spacing w:val="-5"/>
        </w:rPr>
        <w:t xml:space="preserve"> </w:t>
      </w:r>
      <w:r>
        <w:t>summary</w:t>
      </w:r>
      <w:r>
        <w:rPr>
          <w:spacing w:val="-5"/>
        </w:rPr>
        <w:t xml:space="preserve"> </w:t>
      </w:r>
      <w:r>
        <w:t>narrative</w:t>
      </w:r>
      <w:r>
        <w:rPr>
          <w:spacing w:val="-6"/>
        </w:rPr>
        <w:t xml:space="preserve"> </w:t>
      </w:r>
      <w:r>
        <w:t>descriptions</w:t>
      </w:r>
      <w:r>
        <w:rPr>
          <w:spacing w:val="-5"/>
        </w:rPr>
        <w:t xml:space="preserve"> </w:t>
      </w:r>
      <w:r>
        <w:t>of</w:t>
      </w:r>
      <w:r>
        <w:rPr>
          <w:spacing w:val="-5"/>
        </w:rPr>
        <w:t xml:space="preserve"> </w:t>
      </w:r>
      <w:r>
        <w:t>intragovernmental</w:t>
      </w:r>
      <w:r>
        <w:rPr>
          <w:spacing w:val="-5"/>
        </w:rPr>
        <w:t xml:space="preserve"> </w:t>
      </w:r>
      <w:r>
        <w:t>audit procedures. For examples of intragovernmental audit procedures, see</w:t>
      </w:r>
    </w:p>
    <w:p w14:paraId="0DFDBF53" w14:textId="77777777" w:rsidR="00046465" w:rsidRDefault="008134EB">
      <w:pPr>
        <w:pStyle w:val="BodyText"/>
        <w:ind w:left="1800"/>
      </w:pPr>
      <w:r>
        <w:t>FAM</w:t>
      </w:r>
      <w:r>
        <w:rPr>
          <w:spacing w:val="-6"/>
        </w:rPr>
        <w:t xml:space="preserve"> </w:t>
      </w:r>
      <w:r>
        <w:t>902</w:t>
      </w:r>
      <w:r>
        <w:rPr>
          <w:spacing w:val="-4"/>
        </w:rPr>
        <w:t xml:space="preserve"> </w:t>
      </w:r>
      <w:r>
        <w:rPr>
          <w:spacing w:val="-5"/>
        </w:rPr>
        <w:t>A.</w:t>
      </w:r>
    </w:p>
    <w:p w14:paraId="0DFDBF54" w14:textId="77777777" w:rsidR="00046465" w:rsidRDefault="008134EB">
      <w:pPr>
        <w:pStyle w:val="ListParagraph"/>
        <w:numPr>
          <w:ilvl w:val="0"/>
          <w:numId w:val="142"/>
        </w:numPr>
        <w:tabs>
          <w:tab w:val="left" w:pos="1800"/>
        </w:tabs>
        <w:ind w:right="762"/>
      </w:pPr>
      <w:r>
        <w:t>The auditor should assess inherent risk and control risk for risks of material misstatement</w:t>
      </w:r>
      <w:r>
        <w:rPr>
          <w:spacing w:val="-3"/>
        </w:rPr>
        <w:t xml:space="preserve"> </w:t>
      </w:r>
      <w:r>
        <w:t>due</w:t>
      </w:r>
      <w:r>
        <w:rPr>
          <w:spacing w:val="-3"/>
        </w:rPr>
        <w:t xml:space="preserve"> </w:t>
      </w:r>
      <w:r>
        <w:t>to</w:t>
      </w:r>
      <w:r>
        <w:rPr>
          <w:spacing w:val="-3"/>
        </w:rPr>
        <w:t xml:space="preserve"> </w:t>
      </w:r>
      <w:r>
        <w:t>fraud</w:t>
      </w:r>
      <w:r>
        <w:rPr>
          <w:spacing w:val="-3"/>
        </w:rPr>
        <w:t xml:space="preserve"> </w:t>
      </w:r>
      <w:r>
        <w:t>or</w:t>
      </w:r>
      <w:r>
        <w:rPr>
          <w:spacing w:val="-3"/>
        </w:rPr>
        <w:t xml:space="preserve"> </w:t>
      </w:r>
      <w:r>
        <w:t>error.</w:t>
      </w:r>
      <w:r>
        <w:rPr>
          <w:spacing w:val="-3"/>
        </w:rPr>
        <w:t xml:space="preserve"> </w:t>
      </w:r>
      <w:r>
        <w:t>For</w:t>
      </w:r>
      <w:r>
        <w:rPr>
          <w:spacing w:val="-3"/>
        </w:rPr>
        <w:t xml:space="preserve"> </w:t>
      </w:r>
      <w:r>
        <w:t>example,</w:t>
      </w:r>
      <w:r>
        <w:rPr>
          <w:spacing w:val="-3"/>
        </w:rPr>
        <w:t xml:space="preserve"> </w:t>
      </w:r>
      <w:r>
        <w:t>inherent</w:t>
      </w:r>
      <w:r>
        <w:rPr>
          <w:spacing w:val="-3"/>
        </w:rPr>
        <w:t xml:space="preserve"> </w:t>
      </w:r>
      <w:r>
        <w:t>risk</w:t>
      </w:r>
      <w:r>
        <w:rPr>
          <w:spacing w:val="-3"/>
        </w:rPr>
        <w:t xml:space="preserve"> </w:t>
      </w:r>
      <w:r>
        <w:t>may</w:t>
      </w:r>
      <w:r>
        <w:rPr>
          <w:spacing w:val="-3"/>
        </w:rPr>
        <w:t xml:space="preserve"> </w:t>
      </w:r>
      <w:r>
        <w:t>exist</w:t>
      </w:r>
      <w:r>
        <w:rPr>
          <w:spacing w:val="-4"/>
        </w:rPr>
        <w:t xml:space="preserve"> </w:t>
      </w:r>
      <w:r>
        <w:t xml:space="preserve">because of the nature of the intragovernmental activity, such as a significant volume or dollar amount of transactions, number of trading partners, or complexity of </w:t>
      </w:r>
      <w:r>
        <w:rPr>
          <w:spacing w:val="-2"/>
        </w:rPr>
        <w:t>transactions.</w:t>
      </w:r>
    </w:p>
    <w:p w14:paraId="0DFDBF55" w14:textId="77777777" w:rsidR="00046465" w:rsidRDefault="008134EB">
      <w:pPr>
        <w:pStyle w:val="ListParagraph"/>
        <w:numPr>
          <w:ilvl w:val="0"/>
          <w:numId w:val="142"/>
        </w:numPr>
        <w:tabs>
          <w:tab w:val="left" w:pos="1800"/>
        </w:tabs>
        <w:ind w:right="836"/>
      </w:pPr>
      <w:r>
        <w:t>The auditor</w:t>
      </w:r>
      <w:r>
        <w:rPr>
          <w:spacing w:val="-1"/>
        </w:rPr>
        <w:t xml:space="preserve"> </w:t>
      </w:r>
      <w:r>
        <w:t>should consider the risk of material misstatement in determining the nature, extent, and timing of control testing and substantive procedures for auditing intragovernmental activity and balances and evaluating the results of these procedures. Throughout the audit, the auditor evaluates the possible existence of material intragovernmental activity and balances that could affect the financial statements. The auditor also evaluates information concerning material</w:t>
      </w:r>
      <w:r>
        <w:rPr>
          <w:spacing w:val="-5"/>
        </w:rPr>
        <w:t xml:space="preserve"> </w:t>
      </w:r>
      <w:r>
        <w:t>intragovernmental</w:t>
      </w:r>
      <w:r>
        <w:rPr>
          <w:spacing w:val="-5"/>
        </w:rPr>
        <w:t xml:space="preserve"> </w:t>
      </w:r>
      <w:r>
        <w:t>activity</w:t>
      </w:r>
      <w:r>
        <w:rPr>
          <w:spacing w:val="-5"/>
        </w:rPr>
        <w:t xml:space="preserve"> </w:t>
      </w:r>
      <w:r>
        <w:t>and</w:t>
      </w:r>
      <w:r>
        <w:rPr>
          <w:spacing w:val="-5"/>
        </w:rPr>
        <w:t xml:space="preserve"> </w:t>
      </w:r>
      <w:r>
        <w:t>balances</w:t>
      </w:r>
      <w:r>
        <w:rPr>
          <w:spacing w:val="-6"/>
        </w:rPr>
        <w:t xml:space="preserve"> </w:t>
      </w:r>
      <w:r>
        <w:t>to</w:t>
      </w:r>
      <w:r>
        <w:rPr>
          <w:spacing w:val="-5"/>
        </w:rPr>
        <w:t xml:space="preserve"> </w:t>
      </w:r>
      <w:r>
        <w:t>determine</w:t>
      </w:r>
      <w:r>
        <w:rPr>
          <w:spacing w:val="-5"/>
        </w:rPr>
        <w:t xml:space="preserve"> </w:t>
      </w:r>
      <w:r>
        <w:t>the</w:t>
      </w:r>
      <w:r>
        <w:rPr>
          <w:spacing w:val="-5"/>
        </w:rPr>
        <w:t xml:space="preserve"> </w:t>
      </w:r>
      <w:r>
        <w:t>adequacy</w:t>
      </w:r>
      <w:r>
        <w:rPr>
          <w:spacing w:val="-5"/>
        </w:rPr>
        <w:t xml:space="preserve"> </w:t>
      </w:r>
      <w:r>
        <w:t>and appropriateness of note disclosures.</w:t>
      </w:r>
    </w:p>
    <w:p w14:paraId="0DFDBF56" w14:textId="77777777" w:rsidR="00046465" w:rsidRDefault="008134EB">
      <w:pPr>
        <w:pStyle w:val="ListParagraph"/>
        <w:numPr>
          <w:ilvl w:val="0"/>
          <w:numId w:val="142"/>
        </w:numPr>
        <w:tabs>
          <w:tab w:val="left" w:pos="1800"/>
        </w:tabs>
        <w:spacing w:before="119"/>
        <w:ind w:right="775"/>
      </w:pPr>
      <w:r>
        <w:t>The auditor generally should determine an intragovernmental materiality benchmark because combining all the accounts may distort the auditor’s judgment when designing the nature, extent, and timing of audit procedures. In determining the materiality benchmark, the auditor should decide how to handle significant intragovernmental balances (such as funds with the U.S. Treasury, U.S.</w:t>
      </w:r>
      <w:r>
        <w:rPr>
          <w:spacing w:val="-5"/>
        </w:rPr>
        <w:t xml:space="preserve"> </w:t>
      </w:r>
      <w:r>
        <w:t>Treasury</w:t>
      </w:r>
      <w:r>
        <w:rPr>
          <w:spacing w:val="-5"/>
        </w:rPr>
        <w:t xml:space="preserve"> </w:t>
      </w:r>
      <w:r>
        <w:t>securities,</w:t>
      </w:r>
      <w:r>
        <w:rPr>
          <w:spacing w:val="-5"/>
        </w:rPr>
        <w:t xml:space="preserve"> </w:t>
      </w:r>
      <w:r>
        <w:t>and</w:t>
      </w:r>
      <w:r>
        <w:rPr>
          <w:spacing w:val="-5"/>
        </w:rPr>
        <w:t xml:space="preserve"> </w:t>
      </w:r>
      <w:r>
        <w:t>inter-entity</w:t>
      </w:r>
      <w:r>
        <w:rPr>
          <w:spacing w:val="-5"/>
        </w:rPr>
        <w:t xml:space="preserve"> </w:t>
      </w:r>
      <w:r>
        <w:t>balances)</w:t>
      </w:r>
      <w:r>
        <w:rPr>
          <w:spacing w:val="-5"/>
        </w:rPr>
        <w:t xml:space="preserve"> </w:t>
      </w:r>
      <w:r>
        <w:t>and</w:t>
      </w:r>
      <w:r>
        <w:rPr>
          <w:spacing w:val="-5"/>
        </w:rPr>
        <w:t xml:space="preserve"> </w:t>
      </w:r>
      <w:r>
        <w:t>offsetting</w:t>
      </w:r>
      <w:r>
        <w:rPr>
          <w:spacing w:val="-5"/>
        </w:rPr>
        <w:t xml:space="preserve"> </w:t>
      </w:r>
      <w:r>
        <w:t>balances</w:t>
      </w:r>
      <w:r>
        <w:rPr>
          <w:spacing w:val="-5"/>
        </w:rPr>
        <w:t xml:space="preserve"> </w:t>
      </w:r>
      <w:r>
        <w:t>(such as future funding sources that offset certain liabilities and collections that are offset by transfers to other government entities) due to their levels of risk (see FAM 230).</w:t>
      </w:r>
    </w:p>
    <w:p w14:paraId="0DFDBF57" w14:textId="77777777" w:rsidR="00046465" w:rsidRDefault="008134EB">
      <w:pPr>
        <w:pStyle w:val="ListParagraph"/>
        <w:numPr>
          <w:ilvl w:val="0"/>
          <w:numId w:val="142"/>
        </w:numPr>
        <w:tabs>
          <w:tab w:val="left" w:pos="1800"/>
        </w:tabs>
        <w:spacing w:before="121"/>
        <w:ind w:right="749"/>
      </w:pPr>
      <w:r>
        <w:t>In</w:t>
      </w:r>
      <w:r>
        <w:rPr>
          <w:spacing w:val="-1"/>
        </w:rPr>
        <w:t xml:space="preserve"> </w:t>
      </w:r>
      <w:r>
        <w:t>gaining</w:t>
      </w:r>
      <w:r>
        <w:rPr>
          <w:spacing w:val="-1"/>
        </w:rPr>
        <w:t xml:space="preserve"> </w:t>
      </w:r>
      <w:r>
        <w:t>an</w:t>
      </w:r>
      <w:r>
        <w:rPr>
          <w:spacing w:val="-1"/>
        </w:rPr>
        <w:t xml:space="preserve"> </w:t>
      </w:r>
      <w:r>
        <w:t>understanding of</w:t>
      </w:r>
      <w:r>
        <w:rPr>
          <w:spacing w:val="-1"/>
        </w:rPr>
        <w:t xml:space="preserve"> </w:t>
      </w:r>
      <w:r>
        <w:t>the</w:t>
      </w:r>
      <w:r>
        <w:rPr>
          <w:spacing w:val="-1"/>
        </w:rPr>
        <w:t xml:space="preserve"> </w:t>
      </w:r>
      <w:r>
        <w:t>entity,</w:t>
      </w:r>
      <w:r>
        <w:rPr>
          <w:spacing w:val="-1"/>
        </w:rPr>
        <w:t xml:space="preserve"> </w:t>
      </w:r>
      <w:r>
        <w:t>including</w:t>
      </w:r>
      <w:r>
        <w:rPr>
          <w:spacing w:val="-1"/>
        </w:rPr>
        <w:t xml:space="preserve"> </w:t>
      </w:r>
      <w:r>
        <w:t>its</w:t>
      </w:r>
      <w:r>
        <w:rPr>
          <w:spacing w:val="-1"/>
        </w:rPr>
        <w:t xml:space="preserve"> </w:t>
      </w:r>
      <w:r>
        <w:t>internal</w:t>
      </w:r>
      <w:r>
        <w:rPr>
          <w:spacing w:val="-1"/>
        </w:rPr>
        <w:t xml:space="preserve"> </w:t>
      </w:r>
      <w:r>
        <w:t>control,</w:t>
      </w:r>
      <w:r>
        <w:rPr>
          <w:spacing w:val="-1"/>
        </w:rPr>
        <w:t xml:space="preserve"> </w:t>
      </w:r>
      <w:r>
        <w:t>the</w:t>
      </w:r>
      <w:r>
        <w:rPr>
          <w:spacing w:val="-1"/>
        </w:rPr>
        <w:t xml:space="preserve"> </w:t>
      </w:r>
      <w:r>
        <w:t>auditor should obtain an understanding of management responsibilities and the relationship</w:t>
      </w:r>
      <w:r>
        <w:rPr>
          <w:spacing w:val="-4"/>
        </w:rPr>
        <w:t xml:space="preserve"> </w:t>
      </w:r>
      <w:r>
        <w:t>of</w:t>
      </w:r>
      <w:r>
        <w:rPr>
          <w:spacing w:val="-3"/>
        </w:rPr>
        <w:t xml:space="preserve"> </w:t>
      </w:r>
      <w:r>
        <w:t>each</w:t>
      </w:r>
      <w:r>
        <w:rPr>
          <w:spacing w:val="-3"/>
        </w:rPr>
        <w:t xml:space="preserve"> </w:t>
      </w:r>
      <w:r>
        <w:t>component</w:t>
      </w:r>
      <w:r>
        <w:rPr>
          <w:spacing w:val="-3"/>
        </w:rPr>
        <w:t xml:space="preserve"> </w:t>
      </w:r>
      <w:r>
        <w:t>within</w:t>
      </w:r>
      <w:r>
        <w:rPr>
          <w:spacing w:val="-3"/>
        </w:rPr>
        <w:t xml:space="preserve"> </w:t>
      </w:r>
      <w:r>
        <w:t>the</w:t>
      </w:r>
      <w:r>
        <w:rPr>
          <w:spacing w:val="-3"/>
        </w:rPr>
        <w:t xml:space="preserve"> </w:t>
      </w:r>
      <w:r>
        <w:t>entity</w:t>
      </w:r>
      <w:r>
        <w:rPr>
          <w:spacing w:val="-3"/>
        </w:rPr>
        <w:t xml:space="preserve"> </w:t>
      </w:r>
      <w:r>
        <w:t>to</w:t>
      </w:r>
      <w:r>
        <w:rPr>
          <w:spacing w:val="-3"/>
        </w:rPr>
        <w:t xml:space="preserve"> </w:t>
      </w:r>
      <w:r>
        <w:t>the</w:t>
      </w:r>
      <w:r>
        <w:rPr>
          <w:spacing w:val="-3"/>
        </w:rPr>
        <w:t xml:space="preserve"> </w:t>
      </w:r>
      <w:r>
        <w:t>total</w:t>
      </w:r>
      <w:r>
        <w:rPr>
          <w:spacing w:val="-3"/>
        </w:rPr>
        <w:t xml:space="preserve"> </w:t>
      </w:r>
      <w:r>
        <w:t>entity</w:t>
      </w:r>
      <w:r>
        <w:rPr>
          <w:spacing w:val="-3"/>
        </w:rPr>
        <w:t xml:space="preserve"> </w:t>
      </w:r>
      <w:r>
        <w:t>(i.e.,</w:t>
      </w:r>
      <w:r>
        <w:rPr>
          <w:spacing w:val="-4"/>
        </w:rPr>
        <w:t xml:space="preserve"> </w:t>
      </w:r>
      <w:r>
        <w:t>intra-entity amounts) and of the entity to other federal entities (i.e., inter-entity amounts).</w:t>
      </w:r>
    </w:p>
    <w:p w14:paraId="0DFDBF58" w14:textId="77777777" w:rsidR="00046465" w:rsidRDefault="008134EB">
      <w:pPr>
        <w:pStyle w:val="BodyText"/>
        <w:spacing w:line="253" w:lineRule="exact"/>
        <w:ind w:left="1800"/>
      </w:pPr>
      <w:r>
        <w:t>This</w:t>
      </w:r>
      <w:r>
        <w:rPr>
          <w:spacing w:val="-9"/>
        </w:rPr>
        <w:t xml:space="preserve"> </w:t>
      </w:r>
      <w:r>
        <w:t>includes</w:t>
      </w:r>
      <w:r>
        <w:rPr>
          <w:spacing w:val="-8"/>
        </w:rPr>
        <w:t xml:space="preserve"> </w:t>
      </w:r>
      <w:r>
        <w:t>knowledge</w:t>
      </w:r>
      <w:r>
        <w:rPr>
          <w:spacing w:val="-9"/>
        </w:rPr>
        <w:t xml:space="preserve"> </w:t>
      </w:r>
      <w:r>
        <w:rPr>
          <w:spacing w:val="-5"/>
        </w:rPr>
        <w:t>of</w:t>
      </w:r>
    </w:p>
    <w:p w14:paraId="0DFDBF59" w14:textId="77777777" w:rsidR="00046465" w:rsidRDefault="00046465">
      <w:pPr>
        <w:pStyle w:val="BodyText"/>
        <w:spacing w:line="253" w:lineRule="exact"/>
        <w:sectPr w:rsidR="00046465">
          <w:pgSz w:w="12240" w:h="15840"/>
          <w:pgMar w:top="1340" w:right="720" w:bottom="940" w:left="1080" w:header="721" w:footer="757" w:gutter="0"/>
          <w:cols w:space="720"/>
        </w:sectPr>
      </w:pPr>
    </w:p>
    <w:p w14:paraId="0DFDBF5A" w14:textId="77777777" w:rsidR="00046465" w:rsidRDefault="008134EB">
      <w:pPr>
        <w:pStyle w:val="ListParagraph"/>
        <w:numPr>
          <w:ilvl w:val="1"/>
          <w:numId w:val="142"/>
        </w:numPr>
        <w:tabs>
          <w:tab w:val="left" w:pos="2159"/>
        </w:tabs>
        <w:spacing w:before="121"/>
        <w:ind w:left="2159" w:hanging="359"/>
      </w:pPr>
      <w:r>
        <w:lastRenderedPageBreak/>
        <w:t>the</w:t>
      </w:r>
      <w:r>
        <w:rPr>
          <w:spacing w:val="-7"/>
        </w:rPr>
        <w:t xml:space="preserve"> </w:t>
      </w:r>
      <w:r>
        <w:t>entity’s</w:t>
      </w:r>
      <w:r>
        <w:rPr>
          <w:spacing w:val="-6"/>
        </w:rPr>
        <w:t xml:space="preserve"> </w:t>
      </w:r>
      <w:r>
        <w:t>trading</w:t>
      </w:r>
      <w:r>
        <w:rPr>
          <w:spacing w:val="-6"/>
        </w:rPr>
        <w:t xml:space="preserve"> </w:t>
      </w:r>
      <w:r>
        <w:rPr>
          <w:spacing w:val="-2"/>
        </w:rPr>
        <w:t>partners;</w:t>
      </w:r>
    </w:p>
    <w:p w14:paraId="0DFDBF5B" w14:textId="77777777" w:rsidR="00046465" w:rsidRDefault="008134EB">
      <w:pPr>
        <w:pStyle w:val="ListParagraph"/>
        <w:numPr>
          <w:ilvl w:val="1"/>
          <w:numId w:val="142"/>
        </w:numPr>
        <w:tabs>
          <w:tab w:val="left" w:pos="2159"/>
        </w:tabs>
        <w:spacing w:before="118"/>
        <w:ind w:left="2159"/>
      </w:pPr>
      <w:r>
        <w:t>the</w:t>
      </w:r>
      <w:r>
        <w:rPr>
          <w:spacing w:val="-8"/>
        </w:rPr>
        <w:t xml:space="preserve"> </w:t>
      </w:r>
      <w:r>
        <w:t>nature</w:t>
      </w:r>
      <w:r>
        <w:rPr>
          <w:spacing w:val="-8"/>
        </w:rPr>
        <w:t xml:space="preserve"> </w:t>
      </w:r>
      <w:r>
        <w:t>of</w:t>
      </w:r>
      <w:r>
        <w:rPr>
          <w:spacing w:val="-8"/>
        </w:rPr>
        <w:t xml:space="preserve"> </w:t>
      </w:r>
      <w:r>
        <w:t>intragovernmental</w:t>
      </w:r>
      <w:r>
        <w:rPr>
          <w:spacing w:val="-8"/>
        </w:rPr>
        <w:t xml:space="preserve"> </w:t>
      </w:r>
      <w:r>
        <w:t>transactions</w:t>
      </w:r>
      <w:r>
        <w:rPr>
          <w:spacing w:val="-8"/>
        </w:rPr>
        <w:t xml:space="preserve"> </w:t>
      </w:r>
      <w:r>
        <w:t>that</w:t>
      </w:r>
      <w:r>
        <w:rPr>
          <w:spacing w:val="-9"/>
        </w:rPr>
        <w:t xml:space="preserve"> </w:t>
      </w:r>
      <w:r>
        <w:rPr>
          <w:spacing w:val="-2"/>
        </w:rPr>
        <w:t>occur;</w:t>
      </w:r>
    </w:p>
    <w:p w14:paraId="0DFDBF5C" w14:textId="77777777" w:rsidR="00046465" w:rsidRDefault="008134EB">
      <w:pPr>
        <w:pStyle w:val="ListParagraph"/>
        <w:numPr>
          <w:ilvl w:val="1"/>
          <w:numId w:val="142"/>
        </w:numPr>
        <w:tabs>
          <w:tab w:val="left" w:pos="2159"/>
        </w:tabs>
        <w:spacing w:before="118"/>
        <w:ind w:left="2159"/>
      </w:pPr>
      <w:r>
        <w:t>the</w:t>
      </w:r>
      <w:r>
        <w:rPr>
          <w:spacing w:val="-6"/>
        </w:rPr>
        <w:t xml:space="preserve"> </w:t>
      </w:r>
      <w:r>
        <w:t>volume</w:t>
      </w:r>
      <w:r>
        <w:rPr>
          <w:spacing w:val="-5"/>
        </w:rPr>
        <w:t xml:space="preserve"> </w:t>
      </w:r>
      <w:r>
        <w:t>and</w:t>
      </w:r>
      <w:r>
        <w:rPr>
          <w:spacing w:val="-5"/>
        </w:rPr>
        <w:t xml:space="preserve"> </w:t>
      </w:r>
      <w:r>
        <w:t>dollar</w:t>
      </w:r>
      <w:r>
        <w:rPr>
          <w:spacing w:val="-5"/>
        </w:rPr>
        <w:t xml:space="preserve"> </w:t>
      </w:r>
      <w:r>
        <w:t>amount</w:t>
      </w:r>
      <w:r>
        <w:rPr>
          <w:spacing w:val="-6"/>
        </w:rPr>
        <w:t xml:space="preserve"> </w:t>
      </w:r>
      <w:r>
        <w:t>of</w:t>
      </w:r>
      <w:r>
        <w:rPr>
          <w:spacing w:val="-5"/>
        </w:rPr>
        <w:t xml:space="preserve"> </w:t>
      </w:r>
      <w:r>
        <w:rPr>
          <w:spacing w:val="-2"/>
        </w:rPr>
        <w:t>transactions;</w:t>
      </w:r>
    </w:p>
    <w:p w14:paraId="0DFDBF5D" w14:textId="77777777" w:rsidR="00046465" w:rsidRDefault="008134EB">
      <w:pPr>
        <w:pStyle w:val="ListParagraph"/>
        <w:numPr>
          <w:ilvl w:val="1"/>
          <w:numId w:val="142"/>
        </w:numPr>
        <w:tabs>
          <w:tab w:val="left" w:pos="2159"/>
        </w:tabs>
        <w:spacing w:before="118"/>
        <w:ind w:left="2159" w:right="1942"/>
      </w:pPr>
      <w:r>
        <w:t>management’s</w:t>
      </w:r>
      <w:r>
        <w:rPr>
          <w:spacing w:val="-6"/>
        </w:rPr>
        <w:t xml:space="preserve"> </w:t>
      </w:r>
      <w:r>
        <w:t>attitude</w:t>
      </w:r>
      <w:r>
        <w:rPr>
          <w:spacing w:val="-6"/>
        </w:rPr>
        <w:t xml:space="preserve"> </w:t>
      </w:r>
      <w:r>
        <w:t>about</w:t>
      </w:r>
      <w:r>
        <w:rPr>
          <w:spacing w:val="-6"/>
        </w:rPr>
        <w:t xml:space="preserve"> </w:t>
      </w:r>
      <w:r>
        <w:t>and</w:t>
      </w:r>
      <w:r>
        <w:rPr>
          <w:spacing w:val="-6"/>
        </w:rPr>
        <w:t xml:space="preserve"> </w:t>
      </w:r>
      <w:r>
        <w:t>awareness</w:t>
      </w:r>
      <w:r>
        <w:rPr>
          <w:spacing w:val="-6"/>
        </w:rPr>
        <w:t xml:space="preserve"> </w:t>
      </w:r>
      <w:r>
        <w:t>of</w:t>
      </w:r>
      <w:r>
        <w:rPr>
          <w:spacing w:val="-6"/>
        </w:rPr>
        <w:t xml:space="preserve"> </w:t>
      </w:r>
      <w:r>
        <w:t>reconciliations</w:t>
      </w:r>
      <w:r>
        <w:rPr>
          <w:spacing w:val="-6"/>
        </w:rPr>
        <w:t xml:space="preserve"> </w:t>
      </w:r>
      <w:r>
        <w:t>of intragovernmental activity and balances and the resolution of intragovernmental differences with trading partners; and</w:t>
      </w:r>
    </w:p>
    <w:p w14:paraId="0DFDBF5E" w14:textId="77777777" w:rsidR="00046465" w:rsidRDefault="008134EB">
      <w:pPr>
        <w:pStyle w:val="ListParagraph"/>
        <w:numPr>
          <w:ilvl w:val="1"/>
          <w:numId w:val="142"/>
        </w:numPr>
        <w:tabs>
          <w:tab w:val="left" w:pos="2159"/>
        </w:tabs>
        <w:spacing w:before="118"/>
        <w:ind w:left="2159" w:right="1162"/>
      </w:pPr>
      <w:r>
        <w:t>the</w:t>
      </w:r>
      <w:r>
        <w:rPr>
          <w:spacing w:val="-4"/>
        </w:rPr>
        <w:t xml:space="preserve"> </w:t>
      </w:r>
      <w:r>
        <w:t>entity’s</w:t>
      </w:r>
      <w:r>
        <w:rPr>
          <w:spacing w:val="-5"/>
        </w:rPr>
        <w:t xml:space="preserve"> </w:t>
      </w:r>
      <w:r>
        <w:t>operations</w:t>
      </w:r>
      <w:r>
        <w:rPr>
          <w:spacing w:val="-4"/>
        </w:rPr>
        <w:t xml:space="preserve"> </w:t>
      </w:r>
      <w:r>
        <w:t>to</w:t>
      </w:r>
      <w:r>
        <w:rPr>
          <w:spacing w:val="-4"/>
        </w:rPr>
        <w:t xml:space="preserve"> </w:t>
      </w:r>
      <w:r>
        <w:t>identify,</w:t>
      </w:r>
      <w:r>
        <w:rPr>
          <w:spacing w:val="-4"/>
        </w:rPr>
        <w:t xml:space="preserve"> </w:t>
      </w:r>
      <w:r>
        <w:t>respond</w:t>
      </w:r>
      <w:r>
        <w:rPr>
          <w:spacing w:val="-4"/>
        </w:rPr>
        <w:t xml:space="preserve"> </w:t>
      </w:r>
      <w:r>
        <w:t>to,</w:t>
      </w:r>
      <w:r>
        <w:rPr>
          <w:spacing w:val="-4"/>
        </w:rPr>
        <w:t xml:space="preserve"> </w:t>
      </w:r>
      <w:r>
        <w:t>and</w:t>
      </w:r>
      <w:r>
        <w:rPr>
          <w:spacing w:val="-4"/>
        </w:rPr>
        <w:t xml:space="preserve"> </w:t>
      </w:r>
      <w:r>
        <w:t>resolve</w:t>
      </w:r>
      <w:r>
        <w:rPr>
          <w:spacing w:val="-4"/>
        </w:rPr>
        <w:t xml:space="preserve"> </w:t>
      </w:r>
      <w:r>
        <w:t>accounting</w:t>
      </w:r>
      <w:r>
        <w:rPr>
          <w:spacing w:val="-4"/>
        </w:rPr>
        <w:t xml:space="preserve"> </w:t>
      </w:r>
      <w:r>
        <w:t>and auditing problems.</w:t>
      </w:r>
    </w:p>
    <w:p w14:paraId="0DFDBF5F" w14:textId="77777777" w:rsidR="00046465" w:rsidRDefault="008134EB">
      <w:pPr>
        <w:pStyle w:val="ListParagraph"/>
        <w:numPr>
          <w:ilvl w:val="0"/>
          <w:numId w:val="142"/>
        </w:numPr>
        <w:tabs>
          <w:tab w:val="left" w:pos="1799"/>
        </w:tabs>
        <w:spacing w:before="119"/>
        <w:ind w:left="1799" w:right="1055"/>
      </w:pPr>
      <w:r>
        <w:t>The</w:t>
      </w:r>
      <w:r>
        <w:rPr>
          <w:spacing w:val="-4"/>
        </w:rPr>
        <w:t xml:space="preserve"> </w:t>
      </w:r>
      <w:r>
        <w:t>auditor</w:t>
      </w:r>
      <w:r>
        <w:rPr>
          <w:spacing w:val="-6"/>
        </w:rPr>
        <w:t xml:space="preserve"> </w:t>
      </w:r>
      <w:r>
        <w:t>should</w:t>
      </w:r>
      <w:r>
        <w:rPr>
          <w:spacing w:val="-4"/>
        </w:rPr>
        <w:t xml:space="preserve"> </w:t>
      </w:r>
      <w:r>
        <w:t>obtain</w:t>
      </w:r>
      <w:r>
        <w:rPr>
          <w:spacing w:val="-4"/>
        </w:rPr>
        <w:t xml:space="preserve"> </w:t>
      </w:r>
      <w:r>
        <w:t>an</w:t>
      </w:r>
      <w:r>
        <w:rPr>
          <w:spacing w:val="-4"/>
        </w:rPr>
        <w:t xml:space="preserve"> </w:t>
      </w:r>
      <w:r>
        <w:t>understanding</w:t>
      </w:r>
      <w:r>
        <w:rPr>
          <w:spacing w:val="-4"/>
        </w:rPr>
        <w:t xml:space="preserve"> </w:t>
      </w:r>
      <w:r>
        <w:t>of</w:t>
      </w:r>
      <w:r>
        <w:rPr>
          <w:spacing w:val="-4"/>
        </w:rPr>
        <w:t xml:space="preserve"> </w:t>
      </w:r>
      <w:r>
        <w:t>the</w:t>
      </w:r>
      <w:r>
        <w:rPr>
          <w:spacing w:val="-4"/>
        </w:rPr>
        <w:t xml:space="preserve"> </w:t>
      </w:r>
      <w:r>
        <w:t>following</w:t>
      </w:r>
      <w:r>
        <w:rPr>
          <w:spacing w:val="-2"/>
        </w:rPr>
        <w:t xml:space="preserve"> </w:t>
      </w:r>
      <w:r>
        <w:t>general</w:t>
      </w:r>
      <w:r>
        <w:rPr>
          <w:spacing w:val="-4"/>
        </w:rPr>
        <w:t xml:space="preserve"> </w:t>
      </w:r>
      <w:r>
        <w:t>phases</w:t>
      </w:r>
      <w:r>
        <w:rPr>
          <w:spacing w:val="-4"/>
        </w:rPr>
        <w:t xml:space="preserve"> </w:t>
      </w:r>
      <w:r>
        <w:t>of intragovernmental accounting and reporting:</w:t>
      </w:r>
    </w:p>
    <w:p w14:paraId="0DFDBF60" w14:textId="77777777" w:rsidR="00046465" w:rsidRDefault="008134EB">
      <w:pPr>
        <w:pStyle w:val="ListParagraph"/>
        <w:numPr>
          <w:ilvl w:val="0"/>
          <w:numId w:val="141"/>
        </w:numPr>
        <w:tabs>
          <w:tab w:val="left" w:pos="2158"/>
        </w:tabs>
        <w:ind w:left="2158" w:hanging="359"/>
      </w:pPr>
      <w:r>
        <w:rPr>
          <w:b/>
          <w:i/>
        </w:rPr>
        <w:t>Identifying</w:t>
      </w:r>
      <w:r>
        <w:rPr>
          <w:b/>
          <w:i/>
          <w:spacing w:val="-12"/>
        </w:rPr>
        <w:t xml:space="preserve"> </w:t>
      </w:r>
      <w:r>
        <w:t>and</w:t>
      </w:r>
      <w:r>
        <w:rPr>
          <w:spacing w:val="-12"/>
        </w:rPr>
        <w:t xml:space="preserve"> </w:t>
      </w:r>
      <w:r>
        <w:rPr>
          <w:b/>
          <w:i/>
        </w:rPr>
        <w:t>recording</w:t>
      </w:r>
      <w:r>
        <w:rPr>
          <w:b/>
          <w:i/>
          <w:spacing w:val="-11"/>
        </w:rPr>
        <w:t xml:space="preserve"> </w:t>
      </w:r>
      <w:r>
        <w:t>intragovernmental</w:t>
      </w:r>
      <w:r>
        <w:rPr>
          <w:spacing w:val="-11"/>
        </w:rPr>
        <w:t xml:space="preserve"> </w:t>
      </w:r>
      <w:r>
        <w:rPr>
          <w:spacing w:val="-2"/>
        </w:rPr>
        <w:t>transactions.</w:t>
      </w:r>
    </w:p>
    <w:p w14:paraId="0DFDBF61" w14:textId="77777777" w:rsidR="00046465" w:rsidRDefault="008134EB">
      <w:pPr>
        <w:pStyle w:val="ListParagraph"/>
        <w:numPr>
          <w:ilvl w:val="0"/>
          <w:numId w:val="141"/>
        </w:numPr>
        <w:tabs>
          <w:tab w:val="left" w:pos="2158"/>
        </w:tabs>
        <w:ind w:left="2158" w:right="771"/>
      </w:pPr>
      <w:r>
        <w:rPr>
          <w:b/>
          <w:i/>
        </w:rPr>
        <w:t xml:space="preserve">Reconciling </w:t>
      </w:r>
      <w:r>
        <w:t xml:space="preserve">the entity’s records of intragovernmental activity and balances and </w:t>
      </w:r>
      <w:r>
        <w:rPr>
          <w:b/>
          <w:i/>
        </w:rPr>
        <w:t xml:space="preserve">resolving </w:t>
      </w:r>
      <w:r>
        <w:t>intragovernmental differences (i.e., make adjustments so that the</w:t>
      </w:r>
      <w:r>
        <w:rPr>
          <w:spacing w:val="-4"/>
        </w:rPr>
        <w:t xml:space="preserve"> </w:t>
      </w:r>
      <w:r>
        <w:t>difference</w:t>
      </w:r>
      <w:r>
        <w:rPr>
          <w:spacing w:val="-4"/>
        </w:rPr>
        <w:t xml:space="preserve"> </w:t>
      </w:r>
      <w:r>
        <w:t>no</w:t>
      </w:r>
      <w:r>
        <w:rPr>
          <w:spacing w:val="-4"/>
        </w:rPr>
        <w:t xml:space="preserve"> </w:t>
      </w:r>
      <w:r>
        <w:t>longer</w:t>
      </w:r>
      <w:r>
        <w:rPr>
          <w:spacing w:val="-6"/>
        </w:rPr>
        <w:t xml:space="preserve"> </w:t>
      </w:r>
      <w:r>
        <w:t>exists)</w:t>
      </w:r>
      <w:r>
        <w:rPr>
          <w:spacing w:val="-4"/>
        </w:rPr>
        <w:t xml:space="preserve"> </w:t>
      </w:r>
      <w:r>
        <w:t>after</w:t>
      </w:r>
      <w:r>
        <w:rPr>
          <w:spacing w:val="-6"/>
        </w:rPr>
        <w:t xml:space="preserve"> </w:t>
      </w:r>
      <w:r>
        <w:t>appropriately</w:t>
      </w:r>
      <w:r>
        <w:rPr>
          <w:spacing w:val="-4"/>
        </w:rPr>
        <w:t xml:space="preserve"> </w:t>
      </w:r>
      <w:r>
        <w:t>researching</w:t>
      </w:r>
      <w:r>
        <w:rPr>
          <w:spacing w:val="-4"/>
        </w:rPr>
        <w:t xml:space="preserve"> </w:t>
      </w:r>
      <w:r>
        <w:t>the</w:t>
      </w:r>
      <w:r>
        <w:rPr>
          <w:spacing w:val="-4"/>
        </w:rPr>
        <w:t xml:space="preserve"> </w:t>
      </w:r>
      <w:r>
        <w:t>difference, and/or completing corrective actions that fixed the cause of the difference, or after Treasury issued a decision as part of its dispute resolution process. Entities should:</w:t>
      </w:r>
    </w:p>
    <w:p w14:paraId="0DFDBF62" w14:textId="77777777" w:rsidR="00046465" w:rsidRDefault="008134EB">
      <w:pPr>
        <w:pStyle w:val="ListParagraph"/>
        <w:numPr>
          <w:ilvl w:val="1"/>
          <w:numId w:val="141"/>
        </w:numPr>
        <w:tabs>
          <w:tab w:val="left" w:pos="2518"/>
        </w:tabs>
        <w:ind w:right="1048"/>
      </w:pPr>
      <w:r>
        <w:t>Coordinate</w:t>
      </w:r>
      <w:r>
        <w:rPr>
          <w:spacing w:val="-6"/>
        </w:rPr>
        <w:t xml:space="preserve"> </w:t>
      </w:r>
      <w:r>
        <w:t>with</w:t>
      </w:r>
      <w:r>
        <w:rPr>
          <w:spacing w:val="-6"/>
        </w:rPr>
        <w:t xml:space="preserve"> </w:t>
      </w:r>
      <w:r>
        <w:t>trading</w:t>
      </w:r>
      <w:r>
        <w:rPr>
          <w:spacing w:val="-7"/>
        </w:rPr>
        <w:t xml:space="preserve"> </w:t>
      </w:r>
      <w:r>
        <w:t>partners</w:t>
      </w:r>
      <w:r>
        <w:rPr>
          <w:spacing w:val="-6"/>
        </w:rPr>
        <w:t xml:space="preserve"> </w:t>
      </w:r>
      <w:r>
        <w:t>to</w:t>
      </w:r>
      <w:r>
        <w:rPr>
          <w:spacing w:val="-6"/>
        </w:rPr>
        <w:t xml:space="preserve"> </w:t>
      </w:r>
      <w:r>
        <w:t>reconcile</w:t>
      </w:r>
      <w:r>
        <w:rPr>
          <w:spacing w:val="-7"/>
        </w:rPr>
        <w:t xml:space="preserve"> </w:t>
      </w:r>
      <w:r>
        <w:t>intragovernmental</w:t>
      </w:r>
      <w:r>
        <w:rPr>
          <w:spacing w:val="-6"/>
        </w:rPr>
        <w:t xml:space="preserve"> </w:t>
      </w:r>
      <w:r>
        <w:t>activity and balances.</w:t>
      </w:r>
    </w:p>
    <w:p w14:paraId="0DFDBF63" w14:textId="77777777" w:rsidR="00046465" w:rsidRDefault="008134EB">
      <w:pPr>
        <w:pStyle w:val="ListParagraph"/>
        <w:numPr>
          <w:ilvl w:val="1"/>
          <w:numId w:val="141"/>
        </w:numPr>
        <w:tabs>
          <w:tab w:val="left" w:pos="2518"/>
        </w:tabs>
        <w:spacing w:before="118"/>
        <w:ind w:right="1265"/>
        <w:jc w:val="both"/>
      </w:pPr>
      <w:r>
        <w:t>Resolve differences by either recording an adjustment in the entity’s accounting</w:t>
      </w:r>
      <w:r>
        <w:rPr>
          <w:spacing w:val="-4"/>
        </w:rPr>
        <w:t xml:space="preserve"> </w:t>
      </w:r>
      <w:r>
        <w:t>records</w:t>
      </w:r>
      <w:r>
        <w:rPr>
          <w:spacing w:val="-4"/>
        </w:rPr>
        <w:t xml:space="preserve"> </w:t>
      </w:r>
      <w:r>
        <w:rPr>
          <w:b/>
        </w:rPr>
        <w:t>OR</w:t>
      </w:r>
      <w:r>
        <w:rPr>
          <w:b/>
          <w:spacing w:val="-4"/>
        </w:rPr>
        <w:t xml:space="preserve"> </w:t>
      </w:r>
      <w:r>
        <w:t>verifying</w:t>
      </w:r>
      <w:r>
        <w:rPr>
          <w:spacing w:val="-4"/>
        </w:rPr>
        <w:t xml:space="preserve"> </w:t>
      </w:r>
      <w:r>
        <w:t>that</w:t>
      </w:r>
      <w:r>
        <w:rPr>
          <w:spacing w:val="-5"/>
        </w:rPr>
        <w:t xml:space="preserve"> </w:t>
      </w:r>
      <w:r>
        <w:t>the</w:t>
      </w:r>
      <w:r>
        <w:rPr>
          <w:spacing w:val="-4"/>
        </w:rPr>
        <w:t xml:space="preserve"> </w:t>
      </w:r>
      <w:r>
        <w:t>trading</w:t>
      </w:r>
      <w:r>
        <w:rPr>
          <w:spacing w:val="-4"/>
        </w:rPr>
        <w:t xml:space="preserve"> </w:t>
      </w:r>
      <w:r>
        <w:t>partner</w:t>
      </w:r>
      <w:r>
        <w:rPr>
          <w:spacing w:val="-4"/>
        </w:rPr>
        <w:t xml:space="preserve"> </w:t>
      </w:r>
      <w:r>
        <w:t>recorded</w:t>
      </w:r>
      <w:r>
        <w:rPr>
          <w:spacing w:val="-4"/>
        </w:rPr>
        <w:t xml:space="preserve"> </w:t>
      </w:r>
      <w:r>
        <w:t>an adjustment in its accounting records.</w:t>
      </w:r>
    </w:p>
    <w:p w14:paraId="0DFDBF64" w14:textId="77777777" w:rsidR="00046465" w:rsidRDefault="008134EB">
      <w:pPr>
        <w:pStyle w:val="ListParagraph"/>
        <w:numPr>
          <w:ilvl w:val="0"/>
          <w:numId w:val="141"/>
        </w:numPr>
        <w:tabs>
          <w:tab w:val="left" w:pos="2158"/>
        </w:tabs>
        <w:spacing w:before="118"/>
        <w:ind w:left="2158" w:right="742"/>
      </w:pPr>
      <w:r>
        <w:rPr>
          <w:b/>
          <w:i/>
        </w:rPr>
        <w:t xml:space="preserve">Reporting </w:t>
      </w:r>
      <w:r>
        <w:t xml:space="preserve">intragovernmental activity and balances in the entity financial statements </w:t>
      </w:r>
      <w:r>
        <w:rPr>
          <w:b/>
        </w:rPr>
        <w:t xml:space="preserve">AND </w:t>
      </w:r>
      <w:r>
        <w:t>to Treasury for inclusion in the U.S. government’s consolidated financial statements (the entity’s intra-entity and inter-entity intragovernmental amounts are eliminated).</w:t>
      </w:r>
      <w:hyperlink w:anchor="_bookmark152" w:history="1">
        <w:r>
          <w:rPr>
            <w:position w:val="7"/>
            <w:sz w:val="14"/>
          </w:rPr>
          <w:t>13</w:t>
        </w:r>
      </w:hyperlink>
      <w:r>
        <w:rPr>
          <w:spacing w:val="40"/>
          <w:position w:val="7"/>
          <w:sz w:val="14"/>
        </w:rPr>
        <w:t xml:space="preserve"> </w:t>
      </w:r>
      <w:r>
        <w:t>Entities include intragovernmental activity and balances in the automated trial balance submissions to Treasury sent via the Governmentwide Treasury Account Symbol Adjusted Trial Balance System (GTAS). OMB reporting guidance</w:t>
      </w:r>
      <w:r>
        <w:rPr>
          <w:spacing w:val="40"/>
        </w:rPr>
        <w:t xml:space="preserve"> </w:t>
      </w:r>
      <w:r>
        <w:t xml:space="preserve">also requires significant entities to use a standardized balance sheet and include a note to the financial statements, titled </w:t>
      </w:r>
      <w:r>
        <w:rPr>
          <w:i/>
        </w:rPr>
        <w:t>Reclassification of Financial Statement</w:t>
      </w:r>
      <w:r>
        <w:rPr>
          <w:i/>
          <w:spacing w:val="-4"/>
        </w:rPr>
        <w:t xml:space="preserve"> </w:t>
      </w:r>
      <w:r>
        <w:rPr>
          <w:i/>
        </w:rPr>
        <w:t>Line</w:t>
      </w:r>
      <w:r>
        <w:rPr>
          <w:i/>
          <w:spacing w:val="-4"/>
        </w:rPr>
        <w:t xml:space="preserve"> </w:t>
      </w:r>
      <w:r>
        <w:rPr>
          <w:i/>
        </w:rPr>
        <w:t>Items</w:t>
      </w:r>
      <w:r>
        <w:rPr>
          <w:i/>
          <w:spacing w:val="-4"/>
        </w:rPr>
        <w:t xml:space="preserve"> </w:t>
      </w:r>
      <w:r>
        <w:rPr>
          <w:i/>
        </w:rPr>
        <w:t>for</w:t>
      </w:r>
      <w:r>
        <w:rPr>
          <w:i/>
          <w:spacing w:val="-4"/>
        </w:rPr>
        <w:t xml:space="preserve"> </w:t>
      </w:r>
      <w:r>
        <w:rPr>
          <w:i/>
        </w:rPr>
        <w:t>Financial</w:t>
      </w:r>
      <w:r>
        <w:rPr>
          <w:i/>
          <w:spacing w:val="-4"/>
        </w:rPr>
        <w:t xml:space="preserve"> </w:t>
      </w:r>
      <w:r>
        <w:rPr>
          <w:i/>
        </w:rPr>
        <w:t>Report</w:t>
      </w:r>
      <w:r>
        <w:rPr>
          <w:i/>
          <w:spacing w:val="-4"/>
        </w:rPr>
        <w:t xml:space="preserve"> </w:t>
      </w:r>
      <w:r>
        <w:rPr>
          <w:i/>
        </w:rPr>
        <w:t>Compilation</w:t>
      </w:r>
      <w:r>
        <w:rPr>
          <w:i/>
          <w:spacing w:val="-4"/>
        </w:rPr>
        <w:t xml:space="preserve"> </w:t>
      </w:r>
      <w:r>
        <w:rPr>
          <w:i/>
        </w:rPr>
        <w:t>Process</w:t>
      </w:r>
      <w:r>
        <w:t>,</w:t>
      </w:r>
      <w:r>
        <w:rPr>
          <w:spacing w:val="-4"/>
        </w:rPr>
        <w:t xml:space="preserve"> </w:t>
      </w:r>
      <w:r>
        <w:t>as</w:t>
      </w:r>
      <w:r>
        <w:rPr>
          <w:spacing w:val="-4"/>
        </w:rPr>
        <w:t xml:space="preserve"> </w:t>
      </w:r>
      <w:r>
        <w:t>discussed in the Accounting and Reporting Information: OMB Reporting Guidance subsection above.</w:t>
      </w:r>
    </w:p>
    <w:p w14:paraId="0DFDBF65" w14:textId="77777777" w:rsidR="00046465" w:rsidRDefault="008134EB">
      <w:pPr>
        <w:pStyle w:val="ListParagraph"/>
        <w:numPr>
          <w:ilvl w:val="0"/>
          <w:numId w:val="142"/>
        </w:numPr>
        <w:tabs>
          <w:tab w:val="left" w:pos="1800"/>
        </w:tabs>
        <w:spacing w:before="121"/>
        <w:ind w:right="921"/>
      </w:pPr>
      <w:r>
        <w:t>For</w:t>
      </w:r>
      <w:r>
        <w:rPr>
          <w:spacing w:val="-4"/>
        </w:rPr>
        <w:t xml:space="preserve"> </w:t>
      </w:r>
      <w:r>
        <w:t>all</w:t>
      </w:r>
      <w:r>
        <w:rPr>
          <w:spacing w:val="-4"/>
        </w:rPr>
        <w:t xml:space="preserve"> </w:t>
      </w:r>
      <w:r>
        <w:t>three</w:t>
      </w:r>
      <w:r>
        <w:rPr>
          <w:spacing w:val="-5"/>
        </w:rPr>
        <w:t xml:space="preserve"> </w:t>
      </w:r>
      <w:r>
        <w:t>general</w:t>
      </w:r>
      <w:r>
        <w:rPr>
          <w:spacing w:val="-4"/>
        </w:rPr>
        <w:t xml:space="preserve"> </w:t>
      </w:r>
      <w:r>
        <w:t>phases</w:t>
      </w:r>
      <w:r>
        <w:rPr>
          <w:spacing w:val="-3"/>
        </w:rPr>
        <w:t xml:space="preserve"> </w:t>
      </w:r>
      <w:r>
        <w:t>of</w:t>
      </w:r>
      <w:r>
        <w:rPr>
          <w:spacing w:val="-4"/>
        </w:rPr>
        <w:t xml:space="preserve"> </w:t>
      </w:r>
      <w:r>
        <w:t>intragovernmental</w:t>
      </w:r>
      <w:r>
        <w:rPr>
          <w:spacing w:val="-4"/>
        </w:rPr>
        <w:t xml:space="preserve"> </w:t>
      </w:r>
      <w:r>
        <w:t>accounting</w:t>
      </w:r>
      <w:r>
        <w:rPr>
          <w:spacing w:val="-5"/>
        </w:rPr>
        <w:t xml:space="preserve"> </w:t>
      </w:r>
      <w:r>
        <w:t>and</w:t>
      </w:r>
      <w:r>
        <w:rPr>
          <w:spacing w:val="-4"/>
        </w:rPr>
        <w:t xml:space="preserve"> </w:t>
      </w:r>
      <w:r>
        <w:t>reporting,</w:t>
      </w:r>
      <w:r>
        <w:rPr>
          <w:spacing w:val="-4"/>
        </w:rPr>
        <w:t xml:space="preserve"> </w:t>
      </w:r>
      <w:r>
        <w:t>the auditor should assess the design of control activities, and for control activities that have been designed and implemented effectively, test their operating effectiveness. This begins with the auditor identifying policies and procedures related to the entity’s ability to record, process, summarize, and report intragovernmental activity and balances by trading partner. A good design emphasizes the importance of identifying and classifying intragovernmental</w:t>
      </w:r>
    </w:p>
    <w:p w14:paraId="0DFDBF66" w14:textId="77777777" w:rsidR="00046465" w:rsidRDefault="008134EB">
      <w:pPr>
        <w:pStyle w:val="BodyText"/>
        <w:spacing w:before="165"/>
        <w:rPr>
          <w:sz w:val="20"/>
        </w:rPr>
      </w:pPr>
      <w:r>
        <w:rPr>
          <w:noProof/>
          <w:sz w:val="20"/>
        </w:rPr>
        <mc:AlternateContent>
          <mc:Choice Requires="wps">
            <w:drawing>
              <wp:anchor distT="0" distB="0" distL="0" distR="0" simplePos="0" relativeHeight="487716864" behindDoc="1" locked="0" layoutInCell="1" allowOverlap="1" wp14:anchorId="0DFDD70B" wp14:editId="0DFDD70C">
                <wp:simplePos x="0" y="0"/>
                <wp:positionH relativeFrom="page">
                  <wp:posOffset>914400</wp:posOffset>
                </wp:positionH>
                <wp:positionV relativeFrom="paragraph">
                  <wp:posOffset>266115</wp:posOffset>
                </wp:positionV>
                <wp:extent cx="1828800" cy="5715"/>
                <wp:effectExtent l="0" t="0" r="0" b="0"/>
                <wp:wrapTopAndBottom/>
                <wp:docPr id="893" name="Graphic 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103449" id="Graphic 893" o:spid="_x0000_s1026" style="position:absolute;margin-left:1in;margin-top:20.95pt;width:2in;height:.45pt;z-index:-1559961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" path="m1828800,l,,,5334r1828800,l1828800,xe" fillcolor="black" stroked="f">
                <v:path arrowok="t"/>
                <w10:wrap type="topAndBottom" anchorx="page"/>
              </v:shape>
            </w:pict>
          </mc:Fallback>
        </mc:AlternateContent>
      </w:r>
    </w:p>
    <w:p w14:paraId="0DFDBF67" w14:textId="77777777" w:rsidR="00046465" w:rsidRDefault="008134EB">
      <w:pPr>
        <w:spacing w:before="200" w:line="244" w:lineRule="auto"/>
        <w:ind w:left="359" w:right="742"/>
        <w:jc w:val="both"/>
        <w:rPr>
          <w:sz w:val="18"/>
        </w:rPr>
      </w:pPr>
      <w:bookmarkStart w:id="272" w:name="_bookmark152"/>
      <w:bookmarkEnd w:id="272"/>
      <w:r>
        <w:rPr>
          <w:position w:val="7"/>
          <w:sz w:val="14"/>
        </w:rPr>
        <w:t>13</w:t>
      </w:r>
      <w:r>
        <w:rPr>
          <w:sz w:val="18"/>
        </w:rPr>
        <w:t>There</w:t>
      </w:r>
      <w:r>
        <w:rPr>
          <w:spacing w:val="-4"/>
          <w:sz w:val="18"/>
        </w:rPr>
        <w:t xml:space="preserve"> </w:t>
      </w:r>
      <w:r>
        <w:rPr>
          <w:sz w:val="18"/>
        </w:rPr>
        <w:t>may</w:t>
      </w:r>
      <w:r>
        <w:rPr>
          <w:spacing w:val="-3"/>
          <w:sz w:val="18"/>
        </w:rPr>
        <w:t xml:space="preserve"> </w:t>
      </w:r>
      <w:r>
        <w:rPr>
          <w:sz w:val="18"/>
        </w:rPr>
        <w:t>be</w:t>
      </w:r>
      <w:r>
        <w:rPr>
          <w:spacing w:val="-2"/>
          <w:sz w:val="18"/>
        </w:rPr>
        <w:t xml:space="preserve"> </w:t>
      </w:r>
      <w:r>
        <w:rPr>
          <w:sz w:val="18"/>
        </w:rPr>
        <w:t>valid</w:t>
      </w:r>
      <w:r>
        <w:rPr>
          <w:spacing w:val="-4"/>
          <w:sz w:val="18"/>
        </w:rPr>
        <w:t xml:space="preserve"> </w:t>
      </w:r>
      <w:r>
        <w:rPr>
          <w:sz w:val="18"/>
        </w:rPr>
        <w:t>reasons</w:t>
      </w:r>
      <w:r>
        <w:rPr>
          <w:spacing w:val="-3"/>
          <w:sz w:val="18"/>
        </w:rPr>
        <w:t xml:space="preserve"> </w:t>
      </w:r>
      <w:r>
        <w:rPr>
          <w:sz w:val="18"/>
        </w:rPr>
        <w:t>to</w:t>
      </w:r>
      <w:r>
        <w:rPr>
          <w:spacing w:val="-4"/>
          <w:sz w:val="18"/>
        </w:rPr>
        <w:t xml:space="preserve"> </w:t>
      </w:r>
      <w:r>
        <w:rPr>
          <w:sz w:val="18"/>
        </w:rPr>
        <w:t>not</w:t>
      </w:r>
      <w:r>
        <w:rPr>
          <w:spacing w:val="-3"/>
          <w:sz w:val="18"/>
        </w:rPr>
        <w:t xml:space="preserve"> </w:t>
      </w:r>
      <w:r>
        <w:rPr>
          <w:sz w:val="18"/>
        </w:rPr>
        <w:t>eliminate</w:t>
      </w:r>
      <w:r>
        <w:rPr>
          <w:spacing w:val="-4"/>
          <w:sz w:val="18"/>
        </w:rPr>
        <w:t xml:space="preserve"> </w:t>
      </w:r>
      <w:r>
        <w:rPr>
          <w:sz w:val="18"/>
        </w:rPr>
        <w:t>certain</w:t>
      </w:r>
      <w:r>
        <w:rPr>
          <w:spacing w:val="-4"/>
          <w:sz w:val="18"/>
        </w:rPr>
        <w:t xml:space="preserve"> </w:t>
      </w:r>
      <w:r>
        <w:rPr>
          <w:sz w:val="18"/>
        </w:rPr>
        <w:t>intra-entity</w:t>
      </w:r>
      <w:r>
        <w:rPr>
          <w:spacing w:val="-3"/>
          <w:sz w:val="18"/>
        </w:rPr>
        <w:t xml:space="preserve"> </w:t>
      </w:r>
      <w:r>
        <w:rPr>
          <w:sz w:val="18"/>
        </w:rPr>
        <w:t>intragovernmental</w:t>
      </w:r>
      <w:r>
        <w:rPr>
          <w:spacing w:val="-3"/>
          <w:sz w:val="18"/>
        </w:rPr>
        <w:t xml:space="preserve"> </w:t>
      </w:r>
      <w:r>
        <w:rPr>
          <w:sz w:val="18"/>
        </w:rPr>
        <w:t>amounts</w:t>
      </w:r>
      <w:r>
        <w:rPr>
          <w:spacing w:val="-3"/>
          <w:sz w:val="18"/>
        </w:rPr>
        <w:t xml:space="preserve"> </w:t>
      </w:r>
      <w:r>
        <w:rPr>
          <w:sz w:val="18"/>
        </w:rPr>
        <w:t>from</w:t>
      </w:r>
      <w:r>
        <w:rPr>
          <w:spacing w:val="-3"/>
          <w:sz w:val="18"/>
        </w:rPr>
        <w:t xml:space="preserve"> </w:t>
      </w:r>
      <w:r>
        <w:rPr>
          <w:sz w:val="18"/>
        </w:rPr>
        <w:t>an</w:t>
      </w:r>
      <w:r>
        <w:rPr>
          <w:spacing w:val="-4"/>
          <w:sz w:val="18"/>
        </w:rPr>
        <w:t xml:space="preserve"> </w:t>
      </w:r>
      <w:r>
        <w:rPr>
          <w:sz w:val="18"/>
        </w:rPr>
        <w:t>entity’s</w:t>
      </w:r>
      <w:r>
        <w:rPr>
          <w:spacing w:val="-3"/>
          <w:sz w:val="18"/>
        </w:rPr>
        <w:t xml:space="preserve"> </w:t>
      </w:r>
      <w:r>
        <w:rPr>
          <w:sz w:val="18"/>
        </w:rPr>
        <w:t>financial statements.</w:t>
      </w:r>
      <w:r>
        <w:rPr>
          <w:spacing w:val="-2"/>
          <w:sz w:val="18"/>
        </w:rPr>
        <w:t xml:space="preserve"> </w:t>
      </w:r>
      <w:r>
        <w:rPr>
          <w:sz w:val="18"/>
        </w:rPr>
        <w:t>In</w:t>
      </w:r>
      <w:r>
        <w:rPr>
          <w:spacing w:val="-3"/>
          <w:sz w:val="18"/>
        </w:rPr>
        <w:t xml:space="preserve"> </w:t>
      </w:r>
      <w:r>
        <w:rPr>
          <w:sz w:val="18"/>
        </w:rPr>
        <w:t>such</w:t>
      </w:r>
      <w:r>
        <w:rPr>
          <w:spacing w:val="-3"/>
          <w:sz w:val="18"/>
        </w:rPr>
        <w:t xml:space="preserve"> </w:t>
      </w:r>
      <w:r>
        <w:rPr>
          <w:sz w:val="18"/>
        </w:rPr>
        <w:t>instances,</w:t>
      </w:r>
      <w:r>
        <w:rPr>
          <w:spacing w:val="-2"/>
          <w:sz w:val="18"/>
        </w:rPr>
        <w:t xml:space="preserve"> </w:t>
      </w:r>
      <w:r>
        <w:rPr>
          <w:sz w:val="18"/>
        </w:rPr>
        <w:t>the</w:t>
      </w:r>
      <w:r>
        <w:rPr>
          <w:spacing w:val="-3"/>
          <w:sz w:val="18"/>
        </w:rPr>
        <w:t xml:space="preserve"> </w:t>
      </w:r>
      <w:r>
        <w:rPr>
          <w:sz w:val="18"/>
        </w:rPr>
        <w:t>entity</w:t>
      </w:r>
      <w:r>
        <w:rPr>
          <w:spacing w:val="-2"/>
          <w:sz w:val="18"/>
        </w:rPr>
        <w:t xml:space="preserve"> </w:t>
      </w:r>
      <w:r>
        <w:rPr>
          <w:sz w:val="18"/>
        </w:rPr>
        <w:t>should</w:t>
      </w:r>
      <w:r>
        <w:rPr>
          <w:spacing w:val="-3"/>
          <w:sz w:val="18"/>
        </w:rPr>
        <w:t xml:space="preserve"> </w:t>
      </w:r>
      <w:r>
        <w:rPr>
          <w:sz w:val="18"/>
        </w:rPr>
        <w:t>communicate</w:t>
      </w:r>
      <w:r>
        <w:rPr>
          <w:spacing w:val="-3"/>
          <w:sz w:val="18"/>
        </w:rPr>
        <w:t xml:space="preserve"> </w:t>
      </w:r>
      <w:r>
        <w:rPr>
          <w:sz w:val="18"/>
        </w:rPr>
        <w:t>with</w:t>
      </w:r>
      <w:r>
        <w:rPr>
          <w:spacing w:val="-3"/>
          <w:sz w:val="18"/>
        </w:rPr>
        <w:t xml:space="preserve"> </w:t>
      </w:r>
      <w:r>
        <w:rPr>
          <w:sz w:val="18"/>
        </w:rPr>
        <w:t>Treasury</w:t>
      </w:r>
      <w:r>
        <w:rPr>
          <w:spacing w:val="-2"/>
          <w:sz w:val="18"/>
        </w:rPr>
        <w:t xml:space="preserve"> </w:t>
      </w:r>
      <w:r>
        <w:rPr>
          <w:sz w:val="18"/>
        </w:rPr>
        <w:t>in</w:t>
      </w:r>
      <w:r>
        <w:rPr>
          <w:spacing w:val="-3"/>
          <w:sz w:val="18"/>
        </w:rPr>
        <w:t xml:space="preserve"> </w:t>
      </w:r>
      <w:r>
        <w:rPr>
          <w:sz w:val="18"/>
        </w:rPr>
        <w:t>order</w:t>
      </w:r>
      <w:r>
        <w:rPr>
          <w:spacing w:val="-2"/>
          <w:sz w:val="18"/>
        </w:rPr>
        <w:t xml:space="preserve"> </w:t>
      </w:r>
      <w:r>
        <w:rPr>
          <w:sz w:val="18"/>
        </w:rPr>
        <w:t>for</w:t>
      </w:r>
      <w:r>
        <w:rPr>
          <w:spacing w:val="-2"/>
          <w:sz w:val="18"/>
        </w:rPr>
        <w:t xml:space="preserve"> </w:t>
      </w:r>
      <w:r>
        <w:rPr>
          <w:sz w:val="18"/>
        </w:rPr>
        <w:t>any</w:t>
      </w:r>
      <w:r>
        <w:rPr>
          <w:spacing w:val="-2"/>
          <w:sz w:val="18"/>
        </w:rPr>
        <w:t xml:space="preserve"> </w:t>
      </w:r>
      <w:r>
        <w:rPr>
          <w:sz w:val="18"/>
        </w:rPr>
        <w:t>needed</w:t>
      </w:r>
      <w:r>
        <w:rPr>
          <w:spacing w:val="-3"/>
          <w:sz w:val="18"/>
        </w:rPr>
        <w:t xml:space="preserve"> </w:t>
      </w:r>
      <w:r>
        <w:rPr>
          <w:sz w:val="18"/>
        </w:rPr>
        <w:t>journal</w:t>
      </w:r>
      <w:r>
        <w:rPr>
          <w:spacing w:val="-2"/>
          <w:sz w:val="18"/>
        </w:rPr>
        <w:t xml:space="preserve"> </w:t>
      </w:r>
      <w:r>
        <w:rPr>
          <w:sz w:val="18"/>
        </w:rPr>
        <w:t>entries</w:t>
      </w:r>
      <w:r>
        <w:rPr>
          <w:spacing w:val="-2"/>
          <w:sz w:val="18"/>
        </w:rPr>
        <w:t xml:space="preserve"> </w:t>
      </w:r>
      <w:r>
        <w:rPr>
          <w:sz w:val="18"/>
        </w:rPr>
        <w:t>to be recorded for the U.S. government’s consolidated financial statements.</w:t>
      </w:r>
    </w:p>
    <w:p w14:paraId="0DFDBF68" w14:textId="77777777" w:rsidR="00046465" w:rsidRDefault="00046465">
      <w:pPr>
        <w:spacing w:line="244" w:lineRule="auto"/>
        <w:jc w:val="both"/>
        <w:rPr>
          <w:sz w:val="18"/>
        </w:rPr>
        <w:sectPr w:rsidR="00046465">
          <w:pgSz w:w="12240" w:h="15840"/>
          <w:pgMar w:top="1340" w:right="720" w:bottom="940" w:left="1080" w:header="721" w:footer="757" w:gutter="0"/>
          <w:cols w:space="720"/>
        </w:sectPr>
      </w:pPr>
    </w:p>
    <w:p w14:paraId="0DFDBF69" w14:textId="77777777" w:rsidR="00046465" w:rsidRDefault="008134EB">
      <w:pPr>
        <w:pStyle w:val="BodyText"/>
        <w:spacing w:before="121"/>
        <w:ind w:left="1800" w:right="749"/>
      </w:pPr>
      <w:r>
        <w:lastRenderedPageBreak/>
        <w:t>transactions</w:t>
      </w:r>
      <w:r>
        <w:rPr>
          <w:spacing w:val="-5"/>
        </w:rPr>
        <w:t xml:space="preserve"> </w:t>
      </w:r>
      <w:r>
        <w:t>by</w:t>
      </w:r>
      <w:r>
        <w:rPr>
          <w:spacing w:val="-4"/>
        </w:rPr>
        <w:t xml:space="preserve"> </w:t>
      </w:r>
      <w:r>
        <w:t>trading</w:t>
      </w:r>
      <w:r>
        <w:rPr>
          <w:spacing w:val="-4"/>
        </w:rPr>
        <w:t xml:space="preserve"> </w:t>
      </w:r>
      <w:r>
        <w:t>partner</w:t>
      </w:r>
      <w:r>
        <w:rPr>
          <w:spacing w:val="-4"/>
        </w:rPr>
        <w:t xml:space="preserve"> </w:t>
      </w:r>
      <w:r>
        <w:t>when</w:t>
      </w:r>
      <w:r>
        <w:rPr>
          <w:spacing w:val="-4"/>
        </w:rPr>
        <w:t xml:space="preserve"> </w:t>
      </w:r>
      <w:r>
        <w:t>they</w:t>
      </w:r>
      <w:r>
        <w:rPr>
          <w:spacing w:val="-4"/>
        </w:rPr>
        <w:t xml:space="preserve"> </w:t>
      </w:r>
      <w:r>
        <w:t>are</w:t>
      </w:r>
      <w:r>
        <w:rPr>
          <w:spacing w:val="-4"/>
        </w:rPr>
        <w:t xml:space="preserve"> </w:t>
      </w:r>
      <w:r>
        <w:t>initiated</w:t>
      </w:r>
      <w:r>
        <w:rPr>
          <w:spacing w:val="-4"/>
        </w:rPr>
        <w:t xml:space="preserve"> </w:t>
      </w:r>
      <w:r>
        <w:t>and</w:t>
      </w:r>
      <w:r>
        <w:rPr>
          <w:spacing w:val="-4"/>
        </w:rPr>
        <w:t xml:space="preserve"> </w:t>
      </w:r>
      <w:r>
        <w:t>on</w:t>
      </w:r>
      <w:r>
        <w:rPr>
          <w:spacing w:val="-5"/>
        </w:rPr>
        <w:t xml:space="preserve"> </w:t>
      </w:r>
      <w:r>
        <w:t>all</w:t>
      </w:r>
      <w:r>
        <w:rPr>
          <w:spacing w:val="-4"/>
        </w:rPr>
        <w:t xml:space="preserve"> </w:t>
      </w:r>
      <w:r>
        <w:t xml:space="preserve">documentation thereafter. Without this initial identification, the entity’s financial management system may not be able to adequately track intragovernmental activity and </w:t>
      </w:r>
      <w:r>
        <w:rPr>
          <w:spacing w:val="-2"/>
        </w:rPr>
        <w:t>balances.</w:t>
      </w:r>
    </w:p>
    <w:p w14:paraId="0DFDBF6A" w14:textId="77777777" w:rsidR="00046465" w:rsidRDefault="008134EB">
      <w:pPr>
        <w:pStyle w:val="ListParagraph"/>
        <w:numPr>
          <w:ilvl w:val="0"/>
          <w:numId w:val="142"/>
        </w:numPr>
        <w:tabs>
          <w:tab w:val="left" w:pos="1800"/>
        </w:tabs>
        <w:ind w:right="737"/>
      </w:pPr>
      <w:r>
        <w:t>The auditor should design audit procedures to understand whether the entity uses other collection and payment methods (e.g., electronic funds transfer, checks,</w:t>
      </w:r>
      <w:r>
        <w:rPr>
          <w:spacing w:val="-5"/>
        </w:rPr>
        <w:t xml:space="preserve"> </w:t>
      </w:r>
      <w:r>
        <w:t>standard</w:t>
      </w:r>
      <w:r>
        <w:rPr>
          <w:spacing w:val="-4"/>
        </w:rPr>
        <w:t xml:space="preserve"> </w:t>
      </w:r>
      <w:r>
        <w:t>forms</w:t>
      </w:r>
      <w:r>
        <w:rPr>
          <w:spacing w:val="-4"/>
        </w:rPr>
        <w:t xml:space="preserve"> </w:t>
      </w:r>
      <w:r>
        <w:t>used</w:t>
      </w:r>
      <w:r>
        <w:rPr>
          <w:spacing w:val="-4"/>
        </w:rPr>
        <w:t xml:space="preserve"> </w:t>
      </w:r>
      <w:r>
        <w:t>to</w:t>
      </w:r>
      <w:r>
        <w:rPr>
          <w:spacing w:val="-4"/>
        </w:rPr>
        <w:t xml:space="preserve"> </w:t>
      </w:r>
      <w:r>
        <w:t>transfer</w:t>
      </w:r>
      <w:r>
        <w:rPr>
          <w:spacing w:val="-4"/>
        </w:rPr>
        <w:t xml:space="preserve"> </w:t>
      </w:r>
      <w:r>
        <w:t>funds</w:t>
      </w:r>
      <w:r>
        <w:rPr>
          <w:spacing w:val="-4"/>
        </w:rPr>
        <w:t xml:space="preserve"> </w:t>
      </w:r>
      <w:r>
        <w:t>between</w:t>
      </w:r>
      <w:r>
        <w:rPr>
          <w:spacing w:val="-4"/>
        </w:rPr>
        <w:t xml:space="preserve"> </w:t>
      </w:r>
      <w:r>
        <w:t>appropriations,</w:t>
      </w:r>
      <w:r>
        <w:rPr>
          <w:spacing w:val="-4"/>
        </w:rPr>
        <w:t xml:space="preserve"> </w:t>
      </w:r>
      <w:r>
        <w:t>and</w:t>
      </w:r>
      <w:r>
        <w:rPr>
          <w:spacing w:val="-3"/>
        </w:rPr>
        <w:t xml:space="preserve"> </w:t>
      </w:r>
      <w:r>
        <w:t>credit cards) in addition to the IPAC system to process intragovernmental activity and balances. The auditor should determine whether these methods affect the accuracy of intragovernmental activity and balances.</w:t>
      </w:r>
    </w:p>
    <w:p w14:paraId="0DFDBF6B" w14:textId="77777777" w:rsidR="00046465" w:rsidRDefault="008134EB">
      <w:pPr>
        <w:pStyle w:val="ListParagraph"/>
        <w:numPr>
          <w:ilvl w:val="0"/>
          <w:numId w:val="142"/>
        </w:numPr>
        <w:tabs>
          <w:tab w:val="left" w:pos="1800"/>
        </w:tabs>
        <w:ind w:right="786"/>
      </w:pPr>
      <w:r>
        <w:t>If</w:t>
      </w:r>
      <w:r>
        <w:rPr>
          <w:spacing w:val="-4"/>
        </w:rPr>
        <w:t xml:space="preserve"> </w:t>
      </w:r>
      <w:r>
        <w:t>the</w:t>
      </w:r>
      <w:r>
        <w:rPr>
          <w:spacing w:val="-4"/>
        </w:rPr>
        <w:t xml:space="preserve"> </w:t>
      </w:r>
      <w:r>
        <w:t>auditor</w:t>
      </w:r>
      <w:r>
        <w:rPr>
          <w:spacing w:val="-5"/>
        </w:rPr>
        <w:t xml:space="preserve"> </w:t>
      </w:r>
      <w:r>
        <w:t>determines</w:t>
      </w:r>
      <w:r>
        <w:rPr>
          <w:spacing w:val="-4"/>
        </w:rPr>
        <w:t xml:space="preserve"> </w:t>
      </w:r>
      <w:r>
        <w:t>that</w:t>
      </w:r>
      <w:r>
        <w:rPr>
          <w:spacing w:val="-4"/>
        </w:rPr>
        <w:t xml:space="preserve"> </w:t>
      </w:r>
      <w:r>
        <w:t>the</w:t>
      </w:r>
      <w:r>
        <w:rPr>
          <w:spacing w:val="-4"/>
        </w:rPr>
        <w:t xml:space="preserve"> </w:t>
      </w:r>
      <w:r>
        <w:t>entity’s</w:t>
      </w:r>
      <w:r>
        <w:rPr>
          <w:spacing w:val="-4"/>
        </w:rPr>
        <w:t xml:space="preserve"> </w:t>
      </w:r>
      <w:r>
        <w:t>reconciliation</w:t>
      </w:r>
      <w:r>
        <w:rPr>
          <w:spacing w:val="-4"/>
        </w:rPr>
        <w:t xml:space="preserve"> </w:t>
      </w:r>
      <w:r>
        <w:t>and</w:t>
      </w:r>
      <w:r>
        <w:rPr>
          <w:spacing w:val="-4"/>
        </w:rPr>
        <w:t xml:space="preserve"> </w:t>
      </w:r>
      <w:r>
        <w:t>resolution</w:t>
      </w:r>
      <w:r>
        <w:rPr>
          <w:spacing w:val="-5"/>
        </w:rPr>
        <w:t xml:space="preserve"> </w:t>
      </w:r>
      <w:r>
        <w:t>controls</w:t>
      </w:r>
      <w:r>
        <w:rPr>
          <w:spacing w:val="-4"/>
        </w:rPr>
        <w:t xml:space="preserve"> </w:t>
      </w:r>
      <w:r>
        <w:t>for intragovernmental transactions are not designed or implemented effectively, the auditor should consider the effect on the risk of material misstatement, the effect on substantive testing procedures, and whether to report a significant deficiency or material weakness in internal control. Where intragovernmental transactions are or could be material, significant additional work is usually necessary to express an unmodified opinion. In cases where the auditor finds significant deficiencies or material weaknesses in the intragovernmental resolution control and no other mitigating controls exist, the auditor must disclose this in the report or opinion on internal controls (FAM 580).</w:t>
      </w:r>
    </w:p>
    <w:p w14:paraId="0DFDBF6C" w14:textId="77777777" w:rsidR="00046465" w:rsidRDefault="008134EB">
      <w:pPr>
        <w:pStyle w:val="ListParagraph"/>
        <w:numPr>
          <w:ilvl w:val="0"/>
          <w:numId w:val="142"/>
        </w:numPr>
        <w:tabs>
          <w:tab w:val="left" w:pos="1800"/>
        </w:tabs>
        <w:ind w:right="748"/>
      </w:pPr>
      <w:r>
        <w:t>The auditor may detect misstatements during testing of intragovernmental transactions (i.e., a transaction was recorded with an incorrect amount) and testing of the entity’s reconciliation and resolution of intragovernmental differences.</w:t>
      </w:r>
      <w:r>
        <w:rPr>
          <w:spacing w:val="-5"/>
        </w:rPr>
        <w:t xml:space="preserve"> </w:t>
      </w:r>
      <w:r>
        <w:t>The</w:t>
      </w:r>
      <w:r>
        <w:rPr>
          <w:spacing w:val="-4"/>
        </w:rPr>
        <w:t xml:space="preserve"> </w:t>
      </w:r>
      <w:r>
        <w:rPr>
          <w:i/>
        </w:rPr>
        <w:t>reconciled</w:t>
      </w:r>
      <w:r>
        <w:rPr>
          <w:i/>
          <w:spacing w:val="-4"/>
        </w:rPr>
        <w:t xml:space="preserve"> </w:t>
      </w:r>
      <w:r>
        <w:t>intragovernmental</w:t>
      </w:r>
      <w:r>
        <w:rPr>
          <w:spacing w:val="-4"/>
        </w:rPr>
        <w:t xml:space="preserve"> </w:t>
      </w:r>
      <w:r>
        <w:t>differences</w:t>
      </w:r>
      <w:r>
        <w:rPr>
          <w:spacing w:val="-4"/>
        </w:rPr>
        <w:t xml:space="preserve"> </w:t>
      </w:r>
      <w:r>
        <w:t>are</w:t>
      </w:r>
      <w:r>
        <w:rPr>
          <w:spacing w:val="-5"/>
        </w:rPr>
        <w:t xml:space="preserve"> </w:t>
      </w:r>
      <w:r>
        <w:t>those</w:t>
      </w:r>
      <w:r>
        <w:rPr>
          <w:spacing w:val="-4"/>
        </w:rPr>
        <w:t xml:space="preserve"> </w:t>
      </w:r>
      <w:r>
        <w:t>for</w:t>
      </w:r>
      <w:r>
        <w:rPr>
          <w:spacing w:val="-4"/>
        </w:rPr>
        <w:t xml:space="preserve"> </w:t>
      </w:r>
      <w:r>
        <w:t>which</w:t>
      </w:r>
      <w:r>
        <w:rPr>
          <w:spacing w:val="-4"/>
        </w:rPr>
        <w:t xml:space="preserve"> </w:t>
      </w:r>
      <w:r>
        <w:t xml:space="preserve">the entity determined its cause but did not yet </w:t>
      </w:r>
      <w:r>
        <w:rPr>
          <w:i/>
        </w:rPr>
        <w:t xml:space="preserve">resolve </w:t>
      </w:r>
      <w:r>
        <w:t>the difference; therefore, the difference still exists at year-end. The unresolved intragovernmental differences are those for which</w:t>
      </w:r>
    </w:p>
    <w:p w14:paraId="0DFDBF6D" w14:textId="77777777" w:rsidR="00046465" w:rsidRDefault="008134EB">
      <w:pPr>
        <w:pStyle w:val="ListParagraph"/>
        <w:numPr>
          <w:ilvl w:val="1"/>
          <w:numId w:val="142"/>
        </w:numPr>
        <w:tabs>
          <w:tab w:val="left" w:pos="2160"/>
        </w:tabs>
        <w:ind w:right="880"/>
      </w:pPr>
      <w:r>
        <w:t>the entity appropriately researched and reconciled the difference with its trading partner; however, no adjustment was made to correct either the entity’s</w:t>
      </w:r>
      <w:r>
        <w:rPr>
          <w:spacing w:val="-5"/>
        </w:rPr>
        <w:t xml:space="preserve"> </w:t>
      </w:r>
      <w:r>
        <w:t>or</w:t>
      </w:r>
      <w:r>
        <w:rPr>
          <w:spacing w:val="-4"/>
        </w:rPr>
        <w:t xml:space="preserve"> </w:t>
      </w:r>
      <w:r>
        <w:t>the</w:t>
      </w:r>
      <w:r>
        <w:rPr>
          <w:spacing w:val="-4"/>
        </w:rPr>
        <w:t xml:space="preserve"> </w:t>
      </w:r>
      <w:r>
        <w:t>trading</w:t>
      </w:r>
      <w:r>
        <w:rPr>
          <w:spacing w:val="-4"/>
        </w:rPr>
        <w:t xml:space="preserve"> </w:t>
      </w:r>
      <w:r>
        <w:t>partner’s</w:t>
      </w:r>
      <w:r>
        <w:rPr>
          <w:spacing w:val="-4"/>
        </w:rPr>
        <w:t xml:space="preserve"> </w:t>
      </w:r>
      <w:r>
        <w:t>accounting</w:t>
      </w:r>
      <w:r>
        <w:rPr>
          <w:spacing w:val="-4"/>
        </w:rPr>
        <w:t xml:space="preserve"> </w:t>
      </w:r>
      <w:r>
        <w:t>records</w:t>
      </w:r>
      <w:r>
        <w:rPr>
          <w:spacing w:val="-4"/>
        </w:rPr>
        <w:t xml:space="preserve"> </w:t>
      </w:r>
      <w:r>
        <w:t>resulting</w:t>
      </w:r>
      <w:r>
        <w:rPr>
          <w:spacing w:val="-5"/>
        </w:rPr>
        <w:t xml:space="preserve"> </w:t>
      </w:r>
      <w:r>
        <w:t>in</w:t>
      </w:r>
      <w:r>
        <w:rPr>
          <w:spacing w:val="-4"/>
        </w:rPr>
        <w:t xml:space="preserve"> </w:t>
      </w:r>
      <w:r>
        <w:t>the</w:t>
      </w:r>
      <w:r>
        <w:rPr>
          <w:spacing w:val="-4"/>
        </w:rPr>
        <w:t xml:space="preserve"> </w:t>
      </w:r>
      <w:r>
        <w:t>difference continuing to exist or</w:t>
      </w:r>
    </w:p>
    <w:p w14:paraId="0DFDBF6E" w14:textId="77777777" w:rsidR="00046465" w:rsidRDefault="008134EB">
      <w:pPr>
        <w:pStyle w:val="ListParagraph"/>
        <w:numPr>
          <w:ilvl w:val="1"/>
          <w:numId w:val="142"/>
        </w:numPr>
        <w:tabs>
          <w:tab w:val="left" w:pos="2160"/>
        </w:tabs>
        <w:spacing w:before="118"/>
        <w:ind w:right="806"/>
      </w:pPr>
      <w:r>
        <w:t>Fiscal</w:t>
      </w:r>
      <w:r>
        <w:rPr>
          <w:spacing w:val="-4"/>
        </w:rPr>
        <w:t xml:space="preserve"> </w:t>
      </w:r>
      <w:r>
        <w:t>Service,</w:t>
      </w:r>
      <w:r>
        <w:rPr>
          <w:spacing w:val="-4"/>
        </w:rPr>
        <w:t xml:space="preserve"> </w:t>
      </w:r>
      <w:r>
        <w:t>as</w:t>
      </w:r>
      <w:r>
        <w:rPr>
          <w:spacing w:val="-4"/>
        </w:rPr>
        <w:t xml:space="preserve"> </w:t>
      </w:r>
      <w:r>
        <w:t>part</w:t>
      </w:r>
      <w:r>
        <w:rPr>
          <w:spacing w:val="-4"/>
        </w:rPr>
        <w:t xml:space="preserve"> </w:t>
      </w:r>
      <w:r>
        <w:t>of</w:t>
      </w:r>
      <w:r>
        <w:rPr>
          <w:spacing w:val="-4"/>
        </w:rPr>
        <w:t xml:space="preserve"> </w:t>
      </w:r>
      <w:r>
        <w:t>its</w:t>
      </w:r>
      <w:r>
        <w:rPr>
          <w:spacing w:val="-4"/>
        </w:rPr>
        <w:t xml:space="preserve"> </w:t>
      </w:r>
      <w:r>
        <w:t>dispute</w:t>
      </w:r>
      <w:r>
        <w:rPr>
          <w:spacing w:val="-5"/>
        </w:rPr>
        <w:t xml:space="preserve"> </w:t>
      </w:r>
      <w:r>
        <w:t>resolution</w:t>
      </w:r>
      <w:r>
        <w:rPr>
          <w:spacing w:val="-4"/>
        </w:rPr>
        <w:t xml:space="preserve"> </w:t>
      </w:r>
      <w:r>
        <w:t>process,</w:t>
      </w:r>
      <w:r>
        <w:rPr>
          <w:spacing w:val="-4"/>
        </w:rPr>
        <w:t xml:space="preserve"> </w:t>
      </w:r>
      <w:r>
        <w:t>may</w:t>
      </w:r>
      <w:r>
        <w:rPr>
          <w:spacing w:val="-3"/>
        </w:rPr>
        <w:t xml:space="preserve"> </w:t>
      </w:r>
      <w:r>
        <w:t>issue</w:t>
      </w:r>
      <w:r>
        <w:rPr>
          <w:spacing w:val="-4"/>
        </w:rPr>
        <w:t xml:space="preserve"> </w:t>
      </w:r>
      <w:r>
        <w:t>a</w:t>
      </w:r>
      <w:r>
        <w:rPr>
          <w:spacing w:val="-4"/>
        </w:rPr>
        <w:t xml:space="preserve"> </w:t>
      </w:r>
      <w:r>
        <w:t>decision in which the entity or the trading partner is to adjust its accounting records; however, this adjustment has not been made.</w:t>
      </w:r>
    </w:p>
    <w:p w14:paraId="0DFDBF6F" w14:textId="77777777" w:rsidR="00046465" w:rsidRDefault="008134EB">
      <w:pPr>
        <w:pStyle w:val="BodyText"/>
        <w:spacing w:before="118"/>
        <w:ind w:left="1800"/>
      </w:pPr>
      <w:r>
        <w:t>The</w:t>
      </w:r>
      <w:r>
        <w:rPr>
          <w:spacing w:val="-5"/>
        </w:rPr>
        <w:t xml:space="preserve"> </w:t>
      </w:r>
      <w:r>
        <w:t>auditor</w:t>
      </w:r>
      <w:r>
        <w:rPr>
          <w:spacing w:val="-6"/>
        </w:rPr>
        <w:t xml:space="preserve"> </w:t>
      </w:r>
      <w:r>
        <w:t>should</w:t>
      </w:r>
      <w:r>
        <w:rPr>
          <w:spacing w:val="-4"/>
        </w:rPr>
        <w:t xml:space="preserve"> </w:t>
      </w:r>
      <w:r>
        <w:t>document</w:t>
      </w:r>
      <w:r>
        <w:rPr>
          <w:spacing w:val="-5"/>
        </w:rPr>
        <w:t xml:space="preserve"> </w:t>
      </w:r>
      <w:r>
        <w:t>misstatements</w:t>
      </w:r>
      <w:r>
        <w:rPr>
          <w:spacing w:val="-5"/>
        </w:rPr>
        <w:t xml:space="preserve"> </w:t>
      </w:r>
      <w:r>
        <w:t>in</w:t>
      </w:r>
      <w:r>
        <w:rPr>
          <w:spacing w:val="-5"/>
        </w:rPr>
        <w:t xml:space="preserve"> </w:t>
      </w:r>
      <w:r>
        <w:t>the</w:t>
      </w:r>
      <w:r>
        <w:rPr>
          <w:spacing w:val="-5"/>
        </w:rPr>
        <w:t xml:space="preserve"> </w:t>
      </w:r>
      <w:r>
        <w:t>summary</w:t>
      </w:r>
      <w:r>
        <w:rPr>
          <w:spacing w:val="-4"/>
        </w:rPr>
        <w:t xml:space="preserve"> </w:t>
      </w:r>
      <w:r>
        <w:t>of</w:t>
      </w:r>
      <w:r>
        <w:rPr>
          <w:spacing w:val="-5"/>
        </w:rPr>
        <w:t xml:space="preserve"> </w:t>
      </w:r>
      <w:r>
        <w:t>uncorrected misstatements (see FAM 540 and FAM 595 C).</w:t>
      </w:r>
    </w:p>
    <w:p w14:paraId="0DFDBF70" w14:textId="77777777" w:rsidR="00046465" w:rsidRDefault="008134EB">
      <w:pPr>
        <w:pStyle w:val="ListParagraph"/>
        <w:numPr>
          <w:ilvl w:val="0"/>
          <w:numId w:val="142"/>
        </w:numPr>
        <w:tabs>
          <w:tab w:val="left" w:pos="1800"/>
        </w:tabs>
        <w:ind w:right="933"/>
      </w:pPr>
      <w:r>
        <w:t>To avoid duplicate procedures, the auditor should consider other intragovernmental related work (including FBWT) when designing the tests for intragovernmental activity and balances. Examples of audit procedures for the audit of intragovernmental activity and balances are in FAM 902 A. The audit procedures</w:t>
      </w:r>
      <w:r>
        <w:rPr>
          <w:spacing w:val="-4"/>
        </w:rPr>
        <w:t xml:space="preserve"> </w:t>
      </w:r>
      <w:r>
        <w:t>generally</w:t>
      </w:r>
      <w:r>
        <w:rPr>
          <w:spacing w:val="-3"/>
        </w:rPr>
        <w:t xml:space="preserve"> </w:t>
      </w:r>
      <w:r>
        <w:t>are</w:t>
      </w:r>
      <w:r>
        <w:rPr>
          <w:spacing w:val="-3"/>
        </w:rPr>
        <w:t xml:space="preserve"> </w:t>
      </w:r>
      <w:r>
        <w:t>customized</w:t>
      </w:r>
      <w:r>
        <w:rPr>
          <w:spacing w:val="-3"/>
        </w:rPr>
        <w:t xml:space="preserve"> </w:t>
      </w:r>
      <w:r>
        <w:t>by</w:t>
      </w:r>
      <w:r>
        <w:rPr>
          <w:spacing w:val="-3"/>
        </w:rPr>
        <w:t xml:space="preserve"> </w:t>
      </w:r>
      <w:r>
        <w:t>the</w:t>
      </w:r>
      <w:r>
        <w:rPr>
          <w:spacing w:val="-3"/>
        </w:rPr>
        <w:t xml:space="preserve"> </w:t>
      </w:r>
      <w:r>
        <w:t>auditor</w:t>
      </w:r>
      <w:r>
        <w:rPr>
          <w:spacing w:val="-3"/>
        </w:rPr>
        <w:t xml:space="preserve"> </w:t>
      </w:r>
      <w:r>
        <w:t>for</w:t>
      </w:r>
      <w:r>
        <w:rPr>
          <w:spacing w:val="-3"/>
        </w:rPr>
        <w:t xml:space="preserve"> </w:t>
      </w:r>
      <w:r>
        <w:t>the</w:t>
      </w:r>
      <w:r>
        <w:rPr>
          <w:spacing w:val="-3"/>
        </w:rPr>
        <w:t xml:space="preserve"> </w:t>
      </w:r>
      <w:r>
        <w:t>particular</w:t>
      </w:r>
      <w:r>
        <w:rPr>
          <w:spacing w:val="-3"/>
        </w:rPr>
        <w:t xml:space="preserve"> </w:t>
      </w:r>
      <w:r>
        <w:t>entity.</w:t>
      </w:r>
      <w:r>
        <w:rPr>
          <w:spacing w:val="-3"/>
        </w:rPr>
        <w:t xml:space="preserve"> </w:t>
      </w:r>
      <w:r>
        <w:t>For example, if the auditor determines that the intragovernmental accounts receivable</w:t>
      </w:r>
      <w:r>
        <w:rPr>
          <w:spacing w:val="-5"/>
        </w:rPr>
        <w:t xml:space="preserve"> </w:t>
      </w:r>
      <w:r>
        <w:t>line</w:t>
      </w:r>
      <w:r>
        <w:rPr>
          <w:spacing w:val="-4"/>
        </w:rPr>
        <w:t xml:space="preserve"> </w:t>
      </w:r>
      <w:r>
        <w:t>item</w:t>
      </w:r>
      <w:r>
        <w:rPr>
          <w:spacing w:val="-5"/>
        </w:rPr>
        <w:t xml:space="preserve"> </w:t>
      </w:r>
      <w:r>
        <w:t>is</w:t>
      </w:r>
      <w:r>
        <w:rPr>
          <w:spacing w:val="-4"/>
        </w:rPr>
        <w:t xml:space="preserve"> </w:t>
      </w:r>
      <w:r>
        <w:t>significant,</w:t>
      </w:r>
      <w:r>
        <w:rPr>
          <w:spacing w:val="-4"/>
        </w:rPr>
        <w:t xml:space="preserve"> </w:t>
      </w:r>
      <w:r>
        <w:t>the</w:t>
      </w:r>
      <w:r>
        <w:rPr>
          <w:spacing w:val="-4"/>
        </w:rPr>
        <w:t xml:space="preserve"> </w:t>
      </w:r>
      <w:r>
        <w:t>auditor</w:t>
      </w:r>
      <w:r>
        <w:rPr>
          <w:spacing w:val="-4"/>
        </w:rPr>
        <w:t xml:space="preserve"> </w:t>
      </w:r>
      <w:r>
        <w:t>generally</w:t>
      </w:r>
      <w:r>
        <w:rPr>
          <w:spacing w:val="-4"/>
        </w:rPr>
        <w:t xml:space="preserve"> </w:t>
      </w:r>
      <w:r>
        <w:t>should</w:t>
      </w:r>
      <w:r>
        <w:rPr>
          <w:spacing w:val="-4"/>
        </w:rPr>
        <w:t xml:space="preserve"> </w:t>
      </w:r>
      <w:r>
        <w:t>prepare</w:t>
      </w:r>
      <w:r>
        <w:rPr>
          <w:spacing w:val="-4"/>
        </w:rPr>
        <w:t xml:space="preserve"> </w:t>
      </w:r>
      <w:r>
        <w:t>separate audit procedures for this line item. In addition, for efficiency, the auditor may coordinate tests of intragovernmental activity and balances with tests of nonfederal activity and balances.</w:t>
      </w:r>
    </w:p>
    <w:p w14:paraId="0DFDBF71" w14:textId="77777777" w:rsidR="00046465" w:rsidRDefault="00046465">
      <w:pPr>
        <w:pStyle w:val="ListParagraph"/>
        <w:sectPr w:rsidR="00046465">
          <w:pgSz w:w="12240" w:h="15840"/>
          <w:pgMar w:top="1340" w:right="720" w:bottom="940" w:left="1080" w:header="721" w:footer="757" w:gutter="0"/>
          <w:cols w:space="720"/>
        </w:sectPr>
      </w:pPr>
    </w:p>
    <w:p w14:paraId="0DFDBF72" w14:textId="77777777" w:rsidR="00046465" w:rsidRDefault="008134EB">
      <w:pPr>
        <w:pStyle w:val="Heading3"/>
        <w:ind w:right="749"/>
        <w:rPr>
          <w:u w:val="none"/>
        </w:rPr>
      </w:pPr>
      <w:bookmarkStart w:id="273" w:name="902_A_–_Example_Audit_Procedures_for_Int"/>
      <w:bookmarkStart w:id="274" w:name="_bookmark153"/>
      <w:bookmarkEnd w:id="273"/>
      <w:bookmarkEnd w:id="274"/>
      <w:r>
        <w:lastRenderedPageBreak/>
        <w:t>902</w:t>
      </w:r>
      <w:r>
        <w:rPr>
          <w:spacing w:val="-18"/>
        </w:rPr>
        <w:t xml:space="preserve"> </w:t>
      </w:r>
      <w:r>
        <w:t>A</w:t>
      </w:r>
      <w:r>
        <w:rPr>
          <w:spacing w:val="-18"/>
        </w:rPr>
        <w:t xml:space="preserve"> </w:t>
      </w:r>
      <w:r>
        <w:t>–</w:t>
      </w:r>
      <w:r>
        <w:rPr>
          <w:spacing w:val="-5"/>
        </w:rPr>
        <w:t xml:space="preserve"> </w:t>
      </w:r>
      <w:r>
        <w:t>Example</w:t>
      </w:r>
      <w:r>
        <w:rPr>
          <w:spacing w:val="-18"/>
        </w:rPr>
        <w:t xml:space="preserve"> </w:t>
      </w:r>
      <w:r>
        <w:t>Audit</w:t>
      </w:r>
      <w:r>
        <w:rPr>
          <w:spacing w:val="-6"/>
        </w:rPr>
        <w:t xml:space="preserve"> </w:t>
      </w:r>
      <w:r>
        <w:t>Procedures</w:t>
      </w:r>
      <w:r>
        <w:rPr>
          <w:spacing w:val="-6"/>
        </w:rPr>
        <w:t xml:space="preserve"> </w:t>
      </w:r>
      <w:r>
        <w:t>for</w:t>
      </w:r>
      <w:r>
        <w:rPr>
          <w:spacing w:val="-6"/>
        </w:rPr>
        <w:t xml:space="preserve"> </w:t>
      </w:r>
      <w:r>
        <w:t>Intragovernmental</w:t>
      </w:r>
      <w:r>
        <w:rPr>
          <w:u w:val="none"/>
        </w:rPr>
        <w:t xml:space="preserve"> </w:t>
      </w:r>
      <w:r>
        <w:t>Activity and Balances</w:t>
      </w:r>
    </w:p>
    <w:p w14:paraId="0DFDBF73" w14:textId="77777777" w:rsidR="00046465" w:rsidRDefault="008134EB">
      <w:pPr>
        <w:pStyle w:val="BodyText"/>
        <w:spacing w:before="240"/>
        <w:ind w:left="360"/>
      </w:pPr>
      <w:r>
        <w:t>Note:</w:t>
      </w:r>
      <w:r>
        <w:rPr>
          <w:spacing w:val="-8"/>
        </w:rPr>
        <w:t xml:space="preserve"> </w:t>
      </w:r>
      <w:r>
        <w:t>See</w:t>
      </w:r>
      <w:r>
        <w:rPr>
          <w:spacing w:val="-7"/>
        </w:rPr>
        <w:t xml:space="preserve"> </w:t>
      </w:r>
      <w:r>
        <w:t>FAM</w:t>
      </w:r>
      <w:r>
        <w:rPr>
          <w:spacing w:val="-8"/>
        </w:rPr>
        <w:t xml:space="preserve"> </w:t>
      </w:r>
      <w:r>
        <w:t>902.02</w:t>
      </w:r>
      <w:r>
        <w:rPr>
          <w:spacing w:val="-7"/>
        </w:rPr>
        <w:t xml:space="preserve"> </w:t>
      </w:r>
      <w:r>
        <w:t>for</w:t>
      </w:r>
      <w:r>
        <w:rPr>
          <w:spacing w:val="-7"/>
        </w:rPr>
        <w:t xml:space="preserve"> </w:t>
      </w:r>
      <w:r>
        <w:t>definitions</w:t>
      </w:r>
      <w:r>
        <w:rPr>
          <w:spacing w:val="-8"/>
        </w:rPr>
        <w:t xml:space="preserve"> </w:t>
      </w:r>
      <w:r>
        <w:t>of</w:t>
      </w:r>
      <w:r>
        <w:rPr>
          <w:spacing w:val="-7"/>
        </w:rPr>
        <w:t xml:space="preserve"> </w:t>
      </w:r>
      <w:r>
        <w:t>intragovernmental</w:t>
      </w:r>
      <w:r>
        <w:rPr>
          <w:spacing w:val="-7"/>
        </w:rPr>
        <w:t xml:space="preserve"> </w:t>
      </w:r>
      <w:r>
        <w:rPr>
          <w:spacing w:val="-2"/>
        </w:rPr>
        <w:t>terms.</w:t>
      </w:r>
    </w:p>
    <w:p w14:paraId="0DFDBF74" w14:textId="77777777" w:rsidR="00046465" w:rsidRDefault="00046465">
      <w:pPr>
        <w:pStyle w:val="BodyText"/>
        <w:spacing w:before="37"/>
        <w:rPr>
          <w:sz w:val="20"/>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BF78" w14:textId="77777777">
        <w:trPr>
          <w:trHeight w:val="625"/>
        </w:trPr>
        <w:tc>
          <w:tcPr>
            <w:tcW w:w="6696" w:type="dxa"/>
            <w:tcBorders>
              <w:right w:val="single" w:sz="4" w:space="0" w:color="000000"/>
            </w:tcBorders>
          </w:tcPr>
          <w:p w14:paraId="0DFDBF75"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BF76"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BF77"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BF81" w14:textId="77777777">
        <w:trPr>
          <w:trHeight w:val="3694"/>
        </w:trPr>
        <w:tc>
          <w:tcPr>
            <w:tcW w:w="6696" w:type="dxa"/>
            <w:tcBorders>
              <w:bottom w:val="nil"/>
              <w:right w:val="single" w:sz="4" w:space="0" w:color="000000"/>
            </w:tcBorders>
          </w:tcPr>
          <w:p w14:paraId="0DFDBF79" w14:textId="77777777" w:rsidR="00046465" w:rsidRDefault="008134EB">
            <w:pPr>
              <w:pStyle w:val="TableParagraph"/>
              <w:spacing w:before="1"/>
              <w:ind w:left="92"/>
              <w:rPr>
                <w:b/>
              </w:rPr>
            </w:pPr>
            <w:r>
              <w:rPr>
                <w:b/>
                <w:u w:val="single"/>
              </w:rPr>
              <w:t>I.</w:t>
            </w:r>
            <w:r>
              <w:rPr>
                <w:b/>
                <w:spacing w:val="-2"/>
                <w:u w:val="single"/>
              </w:rPr>
              <w:t xml:space="preserve"> PLANNING</w:t>
            </w:r>
          </w:p>
          <w:p w14:paraId="0DFDBF7A" w14:textId="77777777" w:rsidR="00046465" w:rsidRDefault="008134EB">
            <w:pPr>
              <w:pStyle w:val="TableParagraph"/>
              <w:spacing w:before="119"/>
              <w:ind w:left="92" w:right="143"/>
              <w:jc w:val="both"/>
            </w:pPr>
            <w:r>
              <w:t>Obtain</w:t>
            </w:r>
            <w:r>
              <w:rPr>
                <w:spacing w:val="-1"/>
              </w:rPr>
              <w:t xml:space="preserve"> </w:t>
            </w:r>
            <w:r>
              <w:t>an</w:t>
            </w:r>
            <w:r>
              <w:rPr>
                <w:spacing w:val="-1"/>
              </w:rPr>
              <w:t xml:space="preserve"> </w:t>
            </w:r>
            <w:r>
              <w:t>understanding</w:t>
            </w:r>
            <w:r>
              <w:rPr>
                <w:spacing w:val="-1"/>
              </w:rPr>
              <w:t xml:space="preserve"> </w:t>
            </w:r>
            <w:r>
              <w:t>of</w:t>
            </w:r>
            <w:r>
              <w:rPr>
                <w:spacing w:val="-1"/>
              </w:rPr>
              <w:t xml:space="preserve"> </w:t>
            </w:r>
            <w:r>
              <w:t>the</w:t>
            </w:r>
            <w:r>
              <w:rPr>
                <w:spacing w:val="-1"/>
              </w:rPr>
              <w:t xml:space="preserve"> </w:t>
            </w:r>
            <w:r>
              <w:t>entity</w:t>
            </w:r>
            <w:r>
              <w:rPr>
                <w:spacing w:val="-1"/>
              </w:rPr>
              <w:t xml:space="preserve"> </w:t>
            </w:r>
            <w:r>
              <w:t>and</w:t>
            </w:r>
            <w:r>
              <w:rPr>
                <w:spacing w:val="-1"/>
              </w:rPr>
              <w:t xml:space="preserve"> </w:t>
            </w:r>
            <w:r>
              <w:t>its</w:t>
            </w:r>
            <w:r>
              <w:rPr>
                <w:spacing w:val="-1"/>
              </w:rPr>
              <w:t xml:space="preserve"> </w:t>
            </w:r>
            <w:r>
              <w:t>operations,</w:t>
            </w:r>
            <w:r>
              <w:rPr>
                <w:spacing w:val="-1"/>
              </w:rPr>
              <w:t xml:space="preserve"> </w:t>
            </w:r>
            <w:r>
              <w:t>including its</w:t>
            </w:r>
            <w:r>
              <w:rPr>
                <w:spacing w:val="-5"/>
              </w:rPr>
              <w:t xml:space="preserve"> </w:t>
            </w:r>
            <w:r>
              <w:t>internal</w:t>
            </w:r>
            <w:r>
              <w:rPr>
                <w:spacing w:val="-6"/>
              </w:rPr>
              <w:t xml:space="preserve"> </w:t>
            </w:r>
            <w:r>
              <w:t>control,</w:t>
            </w:r>
            <w:r>
              <w:rPr>
                <w:spacing w:val="-5"/>
              </w:rPr>
              <w:t xml:space="preserve"> </w:t>
            </w:r>
            <w:r>
              <w:t>that</w:t>
            </w:r>
            <w:r>
              <w:rPr>
                <w:spacing w:val="-5"/>
              </w:rPr>
              <w:t xml:space="preserve"> </w:t>
            </w:r>
            <w:r>
              <w:t>are</w:t>
            </w:r>
            <w:r>
              <w:rPr>
                <w:spacing w:val="-5"/>
              </w:rPr>
              <w:t xml:space="preserve"> </w:t>
            </w:r>
            <w:r>
              <w:t>significant</w:t>
            </w:r>
            <w:r>
              <w:rPr>
                <w:spacing w:val="-5"/>
              </w:rPr>
              <w:t xml:space="preserve"> </w:t>
            </w:r>
            <w:r>
              <w:t>to</w:t>
            </w:r>
            <w:r>
              <w:rPr>
                <w:spacing w:val="-5"/>
              </w:rPr>
              <w:t xml:space="preserve"> </w:t>
            </w:r>
            <w:r>
              <w:t>intragovernmental</w:t>
            </w:r>
            <w:r>
              <w:rPr>
                <w:spacing w:val="-5"/>
              </w:rPr>
              <w:t xml:space="preserve"> </w:t>
            </w:r>
            <w:r>
              <w:t>activity and balances (FAM 220).</w:t>
            </w:r>
          </w:p>
          <w:p w14:paraId="0DFDBF7B" w14:textId="77777777" w:rsidR="00046465" w:rsidRDefault="008134EB">
            <w:pPr>
              <w:pStyle w:val="TableParagraph"/>
              <w:numPr>
                <w:ilvl w:val="0"/>
                <w:numId w:val="140"/>
              </w:numPr>
              <w:tabs>
                <w:tab w:val="left" w:pos="810"/>
              </w:tabs>
              <w:spacing w:before="121"/>
              <w:ind w:left="810" w:hanging="502"/>
              <w:jc w:val="both"/>
            </w:pPr>
            <w:r>
              <w:t>Inquire</w:t>
            </w:r>
            <w:r>
              <w:rPr>
                <w:spacing w:val="-7"/>
              </w:rPr>
              <w:t xml:space="preserve"> </w:t>
            </w:r>
            <w:r>
              <w:t>of</w:t>
            </w:r>
            <w:r>
              <w:rPr>
                <w:spacing w:val="-6"/>
              </w:rPr>
              <w:t xml:space="preserve"> </w:t>
            </w:r>
            <w:r>
              <w:t>entity</w:t>
            </w:r>
            <w:r>
              <w:rPr>
                <w:spacing w:val="-7"/>
              </w:rPr>
              <w:t xml:space="preserve"> </w:t>
            </w:r>
            <w:r>
              <w:t>management</w:t>
            </w:r>
            <w:r>
              <w:rPr>
                <w:spacing w:val="-6"/>
              </w:rPr>
              <w:t xml:space="preserve"> </w:t>
            </w:r>
            <w:r>
              <w:t>about</w:t>
            </w:r>
            <w:r>
              <w:rPr>
                <w:spacing w:val="-6"/>
              </w:rPr>
              <w:t xml:space="preserve"> </w:t>
            </w:r>
            <w:r>
              <w:t>the</w:t>
            </w:r>
            <w:r>
              <w:rPr>
                <w:spacing w:val="-7"/>
              </w:rPr>
              <w:t xml:space="preserve"> </w:t>
            </w:r>
            <w:r>
              <w:rPr>
                <w:spacing w:val="-2"/>
              </w:rPr>
              <w:t>following:</w:t>
            </w:r>
          </w:p>
          <w:p w14:paraId="0DFDBF7C" w14:textId="77777777" w:rsidR="00046465" w:rsidRDefault="008134EB">
            <w:pPr>
              <w:pStyle w:val="TableParagraph"/>
              <w:numPr>
                <w:ilvl w:val="1"/>
                <w:numId w:val="140"/>
              </w:numPr>
              <w:tabs>
                <w:tab w:val="left" w:pos="1242"/>
                <w:tab w:val="left" w:pos="1244"/>
              </w:tabs>
              <w:spacing w:before="119"/>
              <w:ind w:right="468"/>
              <w:jc w:val="both"/>
            </w:pPr>
            <w:r>
              <w:t>The</w:t>
            </w:r>
            <w:r>
              <w:rPr>
                <w:spacing w:val="-4"/>
              </w:rPr>
              <w:t xml:space="preserve"> </w:t>
            </w:r>
            <w:r>
              <w:t>relationship</w:t>
            </w:r>
            <w:r>
              <w:rPr>
                <w:spacing w:val="-4"/>
              </w:rPr>
              <w:t xml:space="preserve"> </w:t>
            </w:r>
            <w:r>
              <w:t>of</w:t>
            </w:r>
            <w:r>
              <w:rPr>
                <w:spacing w:val="-4"/>
              </w:rPr>
              <w:t xml:space="preserve"> </w:t>
            </w:r>
            <w:r>
              <w:t>each</w:t>
            </w:r>
            <w:r>
              <w:rPr>
                <w:spacing w:val="-5"/>
              </w:rPr>
              <w:t xml:space="preserve"> </w:t>
            </w:r>
            <w:r>
              <w:t>unit</w:t>
            </w:r>
            <w:r>
              <w:rPr>
                <w:spacing w:val="-4"/>
              </w:rPr>
              <w:t xml:space="preserve"> </w:t>
            </w:r>
            <w:r>
              <w:t>within</w:t>
            </w:r>
            <w:r>
              <w:rPr>
                <w:spacing w:val="-4"/>
              </w:rPr>
              <w:t xml:space="preserve"> </w:t>
            </w:r>
            <w:r>
              <w:t>the</w:t>
            </w:r>
            <w:r>
              <w:rPr>
                <w:spacing w:val="-4"/>
              </w:rPr>
              <w:t xml:space="preserve"> </w:t>
            </w:r>
            <w:r>
              <w:t>entity</w:t>
            </w:r>
            <w:r>
              <w:rPr>
                <w:spacing w:val="-4"/>
              </w:rPr>
              <w:t xml:space="preserve"> </w:t>
            </w:r>
            <w:r>
              <w:t>to</w:t>
            </w:r>
            <w:r>
              <w:rPr>
                <w:spacing w:val="-4"/>
              </w:rPr>
              <w:t xml:space="preserve"> </w:t>
            </w:r>
            <w:r>
              <w:t>the total entity and of the entity to other entities.</w:t>
            </w:r>
          </w:p>
          <w:p w14:paraId="0DFDBF7D" w14:textId="77777777" w:rsidR="00046465" w:rsidRDefault="008134EB">
            <w:pPr>
              <w:pStyle w:val="TableParagraph"/>
              <w:numPr>
                <w:ilvl w:val="1"/>
                <w:numId w:val="140"/>
              </w:numPr>
              <w:tabs>
                <w:tab w:val="left" w:pos="1243"/>
                <w:tab w:val="left" w:pos="1245"/>
              </w:tabs>
              <w:spacing w:before="120"/>
              <w:ind w:left="1245" w:right="810"/>
              <w:jc w:val="both"/>
            </w:pPr>
            <w:r>
              <w:t>Management’s</w:t>
            </w:r>
            <w:r>
              <w:rPr>
                <w:spacing w:val="-8"/>
              </w:rPr>
              <w:t xml:space="preserve"> </w:t>
            </w:r>
            <w:r>
              <w:t>attitude</w:t>
            </w:r>
            <w:r>
              <w:rPr>
                <w:spacing w:val="-8"/>
              </w:rPr>
              <w:t xml:space="preserve"> </w:t>
            </w:r>
            <w:r>
              <w:t>and</w:t>
            </w:r>
            <w:r>
              <w:rPr>
                <w:spacing w:val="-8"/>
              </w:rPr>
              <w:t xml:space="preserve"> </w:t>
            </w:r>
            <w:r>
              <w:t>awareness</w:t>
            </w:r>
            <w:r>
              <w:rPr>
                <w:spacing w:val="-7"/>
              </w:rPr>
              <w:t xml:space="preserve"> </w:t>
            </w:r>
            <w:r>
              <w:t>of</w:t>
            </w:r>
            <w:r>
              <w:rPr>
                <w:spacing w:val="-8"/>
              </w:rPr>
              <w:t xml:space="preserve"> </w:t>
            </w:r>
            <w:r>
              <w:t>entity operations and internal controls with respect to intragovernmental accounting and reporting.</w:t>
            </w:r>
          </w:p>
          <w:p w14:paraId="0DFDBF7E" w14:textId="77777777" w:rsidR="00046465" w:rsidRDefault="008134EB">
            <w:pPr>
              <w:pStyle w:val="TableParagraph"/>
              <w:numPr>
                <w:ilvl w:val="1"/>
                <w:numId w:val="140"/>
              </w:numPr>
              <w:tabs>
                <w:tab w:val="left" w:pos="1243"/>
                <w:tab w:val="left" w:pos="1245"/>
              </w:tabs>
              <w:spacing w:before="120"/>
              <w:ind w:left="1245" w:right="1215" w:hanging="396"/>
              <w:jc w:val="both"/>
            </w:pPr>
            <w:r>
              <w:t>Three</w:t>
            </w:r>
            <w:r>
              <w:rPr>
                <w:spacing w:val="-9"/>
              </w:rPr>
              <w:t xml:space="preserve"> </w:t>
            </w:r>
            <w:r>
              <w:t>general</w:t>
            </w:r>
            <w:r>
              <w:rPr>
                <w:spacing w:val="-9"/>
              </w:rPr>
              <w:t xml:space="preserve"> </w:t>
            </w:r>
            <w:r>
              <w:t>phases</w:t>
            </w:r>
            <w:r>
              <w:rPr>
                <w:spacing w:val="-9"/>
              </w:rPr>
              <w:t xml:space="preserve"> </w:t>
            </w:r>
            <w:r>
              <w:t>of</w:t>
            </w:r>
            <w:r>
              <w:rPr>
                <w:spacing w:val="-10"/>
              </w:rPr>
              <w:t xml:space="preserve"> </w:t>
            </w:r>
            <w:r>
              <w:t>intragovernmental accounting and reporting:</w:t>
            </w:r>
          </w:p>
        </w:tc>
        <w:tc>
          <w:tcPr>
            <w:tcW w:w="1144" w:type="dxa"/>
            <w:vMerge w:val="restart"/>
            <w:tcBorders>
              <w:left w:val="single" w:sz="4" w:space="0" w:color="000000"/>
              <w:bottom w:val="single" w:sz="4" w:space="0" w:color="000000"/>
              <w:right w:val="single" w:sz="4" w:space="0" w:color="000000"/>
            </w:tcBorders>
          </w:tcPr>
          <w:p w14:paraId="0DFDBF7F" w14:textId="77777777" w:rsidR="00046465" w:rsidRDefault="00046465">
            <w:pPr>
              <w:pStyle w:val="TableParagraph"/>
              <w:rPr>
                <w:rFonts w:ascii="Times New Roman"/>
              </w:rPr>
            </w:pPr>
          </w:p>
        </w:tc>
        <w:tc>
          <w:tcPr>
            <w:tcW w:w="1229" w:type="dxa"/>
            <w:vMerge w:val="restart"/>
            <w:tcBorders>
              <w:left w:val="single" w:sz="4" w:space="0" w:color="000000"/>
              <w:bottom w:val="single" w:sz="4" w:space="0" w:color="000000"/>
            </w:tcBorders>
          </w:tcPr>
          <w:p w14:paraId="0DFDBF80" w14:textId="77777777" w:rsidR="00046465" w:rsidRDefault="00046465">
            <w:pPr>
              <w:pStyle w:val="TableParagraph"/>
              <w:rPr>
                <w:rFonts w:ascii="Times New Roman"/>
              </w:rPr>
            </w:pPr>
          </w:p>
        </w:tc>
      </w:tr>
      <w:tr w:rsidR="00046465" w14:paraId="0DFDBF89" w14:textId="77777777">
        <w:trPr>
          <w:trHeight w:val="7006"/>
        </w:trPr>
        <w:tc>
          <w:tcPr>
            <w:tcW w:w="6696" w:type="dxa"/>
            <w:tcBorders>
              <w:top w:val="nil"/>
              <w:bottom w:val="single" w:sz="4" w:space="0" w:color="000000"/>
              <w:right w:val="single" w:sz="4" w:space="0" w:color="000000"/>
            </w:tcBorders>
          </w:tcPr>
          <w:p w14:paraId="0DFDBF82" w14:textId="77777777" w:rsidR="00046465" w:rsidRDefault="008134EB">
            <w:pPr>
              <w:pStyle w:val="TableParagraph"/>
              <w:numPr>
                <w:ilvl w:val="0"/>
                <w:numId w:val="139"/>
              </w:numPr>
              <w:tabs>
                <w:tab w:val="left" w:pos="1653"/>
              </w:tabs>
              <w:spacing w:before="51"/>
              <w:ind w:right="575"/>
            </w:pPr>
            <w:r>
              <w:rPr>
                <w:b/>
                <w:i/>
              </w:rPr>
              <w:t>Identifying</w:t>
            </w:r>
            <w:r>
              <w:rPr>
                <w:b/>
                <w:i/>
                <w:spacing w:val="-13"/>
              </w:rPr>
              <w:t xml:space="preserve"> </w:t>
            </w:r>
            <w:r>
              <w:t>and</w:t>
            </w:r>
            <w:r>
              <w:rPr>
                <w:spacing w:val="-13"/>
              </w:rPr>
              <w:t xml:space="preserve"> </w:t>
            </w:r>
            <w:r>
              <w:rPr>
                <w:b/>
                <w:i/>
              </w:rPr>
              <w:t>recording</w:t>
            </w:r>
            <w:r>
              <w:rPr>
                <w:b/>
                <w:i/>
                <w:spacing w:val="-13"/>
              </w:rPr>
              <w:t xml:space="preserve"> </w:t>
            </w:r>
            <w:r>
              <w:t>intragovernmental activity and balances;</w:t>
            </w:r>
          </w:p>
          <w:p w14:paraId="0DFDBF83" w14:textId="77777777" w:rsidR="00046465" w:rsidRDefault="008134EB">
            <w:pPr>
              <w:pStyle w:val="TableParagraph"/>
              <w:numPr>
                <w:ilvl w:val="0"/>
                <w:numId w:val="139"/>
              </w:numPr>
              <w:tabs>
                <w:tab w:val="left" w:pos="1653"/>
              </w:tabs>
              <w:spacing w:before="121"/>
              <w:ind w:right="158" w:hanging="424"/>
            </w:pPr>
            <w:r>
              <w:rPr>
                <w:b/>
                <w:i/>
              </w:rPr>
              <w:t xml:space="preserve">Reconciling </w:t>
            </w:r>
            <w:r>
              <w:t xml:space="preserve">the entity’s records of intragovernmental activity and balances to those reported by trading partners and </w:t>
            </w:r>
            <w:r>
              <w:rPr>
                <w:b/>
                <w:i/>
              </w:rPr>
              <w:t xml:space="preserve">resolving </w:t>
            </w:r>
            <w:r>
              <w:t>intragovernmental differences (i.e., make adjustments so that differences no longer exist) after appropriately researching the difference, and/or</w:t>
            </w:r>
            <w:r>
              <w:rPr>
                <w:spacing w:val="-5"/>
              </w:rPr>
              <w:t xml:space="preserve"> </w:t>
            </w:r>
            <w:r>
              <w:t>completing</w:t>
            </w:r>
            <w:r>
              <w:rPr>
                <w:spacing w:val="-5"/>
              </w:rPr>
              <w:t xml:space="preserve"> </w:t>
            </w:r>
            <w:r>
              <w:t>corrective</w:t>
            </w:r>
            <w:r>
              <w:rPr>
                <w:spacing w:val="-5"/>
              </w:rPr>
              <w:t xml:space="preserve"> </w:t>
            </w:r>
            <w:r>
              <w:t>actions</w:t>
            </w:r>
            <w:r>
              <w:rPr>
                <w:spacing w:val="-5"/>
              </w:rPr>
              <w:t xml:space="preserve"> </w:t>
            </w:r>
            <w:r>
              <w:t>that</w:t>
            </w:r>
            <w:r>
              <w:rPr>
                <w:spacing w:val="-5"/>
              </w:rPr>
              <w:t xml:space="preserve"> </w:t>
            </w:r>
            <w:r>
              <w:t>fixed</w:t>
            </w:r>
            <w:r>
              <w:rPr>
                <w:spacing w:val="-5"/>
              </w:rPr>
              <w:t xml:space="preserve"> </w:t>
            </w:r>
            <w:r>
              <w:t>the cause</w:t>
            </w:r>
            <w:r>
              <w:rPr>
                <w:spacing w:val="-5"/>
              </w:rPr>
              <w:t xml:space="preserve"> </w:t>
            </w:r>
            <w:r>
              <w:t>of</w:t>
            </w:r>
            <w:r>
              <w:rPr>
                <w:spacing w:val="-5"/>
              </w:rPr>
              <w:t xml:space="preserve"> </w:t>
            </w:r>
            <w:r>
              <w:t>the</w:t>
            </w:r>
            <w:r>
              <w:rPr>
                <w:spacing w:val="-6"/>
              </w:rPr>
              <w:t xml:space="preserve"> </w:t>
            </w:r>
            <w:r>
              <w:t>difference,</w:t>
            </w:r>
            <w:r>
              <w:rPr>
                <w:spacing w:val="-6"/>
              </w:rPr>
              <w:t xml:space="preserve"> </w:t>
            </w:r>
            <w:r>
              <w:t>or</w:t>
            </w:r>
            <w:r>
              <w:rPr>
                <w:spacing w:val="-5"/>
              </w:rPr>
              <w:t xml:space="preserve"> </w:t>
            </w:r>
            <w:r>
              <w:t>after</w:t>
            </w:r>
            <w:r>
              <w:rPr>
                <w:spacing w:val="-5"/>
              </w:rPr>
              <w:t xml:space="preserve"> </w:t>
            </w:r>
            <w:r>
              <w:t>Treasury</w:t>
            </w:r>
            <w:r>
              <w:rPr>
                <w:spacing w:val="-5"/>
              </w:rPr>
              <w:t xml:space="preserve"> </w:t>
            </w:r>
            <w:r>
              <w:t>issued</w:t>
            </w:r>
            <w:r>
              <w:rPr>
                <w:spacing w:val="-6"/>
              </w:rPr>
              <w:t xml:space="preserve"> </w:t>
            </w:r>
            <w:r>
              <w:t xml:space="preserve">a decision as part of its dispute resolution process </w:t>
            </w:r>
            <w:r>
              <w:rPr>
                <w:spacing w:val="-4"/>
              </w:rPr>
              <w:t>by:</w:t>
            </w:r>
          </w:p>
          <w:p w14:paraId="0DFDBF84" w14:textId="77777777" w:rsidR="00046465" w:rsidRDefault="008134EB">
            <w:pPr>
              <w:pStyle w:val="TableParagraph"/>
              <w:numPr>
                <w:ilvl w:val="1"/>
                <w:numId w:val="139"/>
              </w:numPr>
              <w:tabs>
                <w:tab w:val="left" w:pos="2193"/>
              </w:tabs>
              <w:spacing w:before="119"/>
              <w:ind w:right="609"/>
            </w:pPr>
            <w:r>
              <w:t>coordinating with trading partners to reconcile</w:t>
            </w:r>
            <w:r>
              <w:rPr>
                <w:spacing w:val="-13"/>
              </w:rPr>
              <w:t xml:space="preserve"> </w:t>
            </w:r>
            <w:r>
              <w:t>intragovernmental</w:t>
            </w:r>
            <w:r>
              <w:rPr>
                <w:spacing w:val="-13"/>
              </w:rPr>
              <w:t xml:space="preserve"> </w:t>
            </w:r>
            <w:r>
              <w:t>activity</w:t>
            </w:r>
            <w:r>
              <w:rPr>
                <w:spacing w:val="-13"/>
              </w:rPr>
              <w:t xml:space="preserve"> </w:t>
            </w:r>
            <w:r>
              <w:t>and balances; and</w:t>
            </w:r>
          </w:p>
          <w:p w14:paraId="0DFDBF85" w14:textId="77777777" w:rsidR="00046465" w:rsidRDefault="008134EB">
            <w:pPr>
              <w:pStyle w:val="TableParagraph"/>
              <w:numPr>
                <w:ilvl w:val="1"/>
                <w:numId w:val="139"/>
              </w:numPr>
              <w:tabs>
                <w:tab w:val="left" w:pos="2193"/>
              </w:tabs>
              <w:spacing w:before="119"/>
              <w:ind w:right="157"/>
            </w:pPr>
            <w:r>
              <w:t xml:space="preserve">recording an adjustment in the entity's accounting records </w:t>
            </w:r>
            <w:r>
              <w:rPr>
                <w:b/>
              </w:rPr>
              <w:t xml:space="preserve">OR </w:t>
            </w:r>
            <w:r>
              <w:t>verifying that the trading</w:t>
            </w:r>
            <w:r>
              <w:rPr>
                <w:spacing w:val="-7"/>
              </w:rPr>
              <w:t xml:space="preserve"> </w:t>
            </w:r>
            <w:r>
              <w:t>partner</w:t>
            </w:r>
            <w:r>
              <w:rPr>
                <w:spacing w:val="-7"/>
              </w:rPr>
              <w:t xml:space="preserve"> </w:t>
            </w:r>
            <w:r>
              <w:t>recorded</w:t>
            </w:r>
            <w:r>
              <w:rPr>
                <w:spacing w:val="-7"/>
              </w:rPr>
              <w:t xml:space="preserve"> </w:t>
            </w:r>
            <w:r>
              <w:t>an</w:t>
            </w:r>
            <w:r>
              <w:rPr>
                <w:spacing w:val="-7"/>
              </w:rPr>
              <w:t xml:space="preserve"> </w:t>
            </w:r>
            <w:r>
              <w:t>adjustment</w:t>
            </w:r>
            <w:r>
              <w:rPr>
                <w:spacing w:val="-7"/>
              </w:rPr>
              <w:t xml:space="preserve"> </w:t>
            </w:r>
            <w:r>
              <w:t>in</w:t>
            </w:r>
            <w:r>
              <w:rPr>
                <w:spacing w:val="-7"/>
              </w:rPr>
              <w:t xml:space="preserve"> </w:t>
            </w:r>
            <w:r>
              <w:t>its accounting records; and</w:t>
            </w:r>
          </w:p>
          <w:p w14:paraId="0DFDBF86" w14:textId="77777777" w:rsidR="00046465" w:rsidRDefault="008134EB">
            <w:pPr>
              <w:pStyle w:val="TableParagraph"/>
              <w:numPr>
                <w:ilvl w:val="0"/>
                <w:numId w:val="139"/>
              </w:numPr>
              <w:tabs>
                <w:tab w:val="left" w:pos="1650"/>
                <w:tab w:val="left" w:pos="1653"/>
              </w:tabs>
              <w:spacing w:before="118"/>
              <w:ind w:right="121" w:hanging="389"/>
            </w:pPr>
            <w:r>
              <w:rPr>
                <w:b/>
                <w:i/>
              </w:rPr>
              <w:t xml:space="preserve">Reporting </w:t>
            </w:r>
            <w:r>
              <w:t>intragovernmental data in the entity financial</w:t>
            </w:r>
            <w:r>
              <w:rPr>
                <w:spacing w:val="-7"/>
              </w:rPr>
              <w:t xml:space="preserve"> </w:t>
            </w:r>
            <w:r>
              <w:t>statements</w:t>
            </w:r>
            <w:r>
              <w:rPr>
                <w:spacing w:val="-6"/>
              </w:rPr>
              <w:t xml:space="preserve"> </w:t>
            </w:r>
            <w:r>
              <w:rPr>
                <w:b/>
              </w:rPr>
              <w:t>AND</w:t>
            </w:r>
            <w:r>
              <w:rPr>
                <w:b/>
                <w:spacing w:val="-7"/>
              </w:rPr>
              <w:t xml:space="preserve"> </w:t>
            </w:r>
            <w:r>
              <w:t>to</w:t>
            </w:r>
            <w:r>
              <w:rPr>
                <w:spacing w:val="-6"/>
              </w:rPr>
              <w:t xml:space="preserve"> </w:t>
            </w:r>
            <w:r>
              <w:t>Treasury</w:t>
            </w:r>
            <w:r>
              <w:rPr>
                <w:spacing w:val="-6"/>
              </w:rPr>
              <w:t xml:space="preserve"> </w:t>
            </w:r>
            <w:r>
              <w:t>for</w:t>
            </w:r>
            <w:r>
              <w:rPr>
                <w:spacing w:val="-6"/>
              </w:rPr>
              <w:t xml:space="preserve"> </w:t>
            </w:r>
            <w:r>
              <w:t xml:space="preserve">inclusion in the U.S. government’s consolidated financial statement (the entity’s intra-entity and inter-entity intragovernmental amounts are eliminated). Note </w:t>
            </w:r>
            <w:r>
              <w:rPr>
                <w:spacing w:val="-4"/>
              </w:rPr>
              <w:t>that</w:t>
            </w:r>
          </w:p>
        </w:tc>
        <w:tc>
          <w:tcPr>
            <w:tcW w:w="1144" w:type="dxa"/>
            <w:vMerge/>
            <w:tcBorders>
              <w:top w:val="nil"/>
              <w:left w:val="single" w:sz="4" w:space="0" w:color="000000"/>
              <w:bottom w:val="single" w:sz="4" w:space="0" w:color="000000"/>
              <w:right w:val="single" w:sz="4" w:space="0" w:color="000000"/>
            </w:tcBorders>
          </w:tcPr>
          <w:p w14:paraId="0DFDBF87" w14:textId="77777777" w:rsidR="00046465" w:rsidRDefault="00046465">
            <w:pPr>
              <w:rPr>
                <w:sz w:val="2"/>
                <w:szCs w:val="2"/>
              </w:rPr>
            </w:pPr>
          </w:p>
        </w:tc>
        <w:tc>
          <w:tcPr>
            <w:tcW w:w="1229" w:type="dxa"/>
            <w:vMerge/>
            <w:tcBorders>
              <w:top w:val="nil"/>
              <w:left w:val="single" w:sz="4" w:space="0" w:color="000000"/>
              <w:bottom w:val="single" w:sz="4" w:space="0" w:color="000000"/>
            </w:tcBorders>
          </w:tcPr>
          <w:p w14:paraId="0DFDBF88" w14:textId="77777777" w:rsidR="00046465" w:rsidRDefault="00046465">
            <w:pPr>
              <w:rPr>
                <w:sz w:val="2"/>
                <w:szCs w:val="2"/>
              </w:rPr>
            </w:pPr>
          </w:p>
        </w:tc>
      </w:tr>
    </w:tbl>
    <w:p w14:paraId="0DFDBF8A" w14:textId="77777777" w:rsidR="00046465" w:rsidRDefault="00046465">
      <w:pPr>
        <w:rPr>
          <w:sz w:val="2"/>
          <w:szCs w:val="2"/>
        </w:rPr>
        <w:sectPr w:rsidR="00046465">
          <w:headerReference w:type="default" r:id="rId171"/>
          <w:footerReference w:type="default" r:id="rId172"/>
          <w:pgSz w:w="12240" w:h="15840"/>
          <w:pgMar w:top="1340" w:right="720" w:bottom="940" w:left="1080" w:header="721" w:footer="757" w:gutter="0"/>
          <w:pgNumType w:start="1"/>
          <w:cols w:space="720"/>
        </w:sectPr>
      </w:pPr>
    </w:p>
    <w:p w14:paraId="0DFDBF8B" w14:textId="77777777" w:rsidR="00046465" w:rsidRDefault="00046465">
      <w:pPr>
        <w:pStyle w:val="BodyText"/>
        <w:spacing w:before="9"/>
        <w:rPr>
          <w:sz w:val="11"/>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BF8F" w14:textId="77777777">
        <w:trPr>
          <w:trHeight w:val="625"/>
        </w:trPr>
        <w:tc>
          <w:tcPr>
            <w:tcW w:w="6696" w:type="dxa"/>
            <w:tcBorders>
              <w:right w:val="single" w:sz="4" w:space="0" w:color="000000"/>
            </w:tcBorders>
          </w:tcPr>
          <w:p w14:paraId="0DFDBF8C"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BF8D"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BF8E"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BF96" w14:textId="77777777">
        <w:trPr>
          <w:trHeight w:val="4407"/>
        </w:trPr>
        <w:tc>
          <w:tcPr>
            <w:tcW w:w="6696" w:type="dxa"/>
            <w:tcBorders>
              <w:bottom w:val="single" w:sz="4" w:space="0" w:color="000000"/>
              <w:right w:val="single" w:sz="4" w:space="0" w:color="000000"/>
            </w:tcBorders>
          </w:tcPr>
          <w:p w14:paraId="0DFDBF90" w14:textId="77777777" w:rsidR="00046465" w:rsidRDefault="008134EB">
            <w:pPr>
              <w:pStyle w:val="TableParagraph"/>
              <w:numPr>
                <w:ilvl w:val="0"/>
                <w:numId w:val="138"/>
              </w:numPr>
              <w:tabs>
                <w:tab w:val="left" w:pos="2144"/>
              </w:tabs>
              <w:spacing w:line="224" w:lineRule="exact"/>
            </w:pPr>
            <w:r>
              <w:t>for</w:t>
            </w:r>
            <w:r>
              <w:rPr>
                <w:spacing w:val="-7"/>
              </w:rPr>
              <w:t xml:space="preserve"> </w:t>
            </w:r>
            <w:r>
              <w:t>reporting</w:t>
            </w:r>
            <w:r>
              <w:rPr>
                <w:spacing w:val="-7"/>
              </w:rPr>
              <w:t xml:space="preserve"> </w:t>
            </w:r>
            <w:r>
              <w:t>to</w:t>
            </w:r>
            <w:r>
              <w:rPr>
                <w:spacing w:val="-6"/>
              </w:rPr>
              <w:t xml:space="preserve"> </w:t>
            </w:r>
            <w:r>
              <w:t>Treasury,</w:t>
            </w:r>
            <w:r>
              <w:rPr>
                <w:spacing w:val="-6"/>
              </w:rPr>
              <w:t xml:space="preserve"> </w:t>
            </w:r>
            <w:r>
              <w:t>entities</w:t>
            </w:r>
            <w:r>
              <w:rPr>
                <w:spacing w:val="-7"/>
              </w:rPr>
              <w:t xml:space="preserve"> </w:t>
            </w:r>
            <w:r>
              <w:rPr>
                <w:spacing w:val="-2"/>
              </w:rPr>
              <w:t>include</w:t>
            </w:r>
          </w:p>
          <w:p w14:paraId="0DFDBF91" w14:textId="77777777" w:rsidR="00046465" w:rsidRDefault="008134EB">
            <w:pPr>
              <w:pStyle w:val="TableParagraph"/>
              <w:ind w:left="2144" w:right="121"/>
            </w:pPr>
            <w:r>
              <w:t>intragovernmental activity and balances in the</w:t>
            </w:r>
            <w:r>
              <w:rPr>
                <w:spacing w:val="-8"/>
              </w:rPr>
              <w:t xml:space="preserve"> </w:t>
            </w:r>
            <w:r>
              <w:t>automated</w:t>
            </w:r>
            <w:r>
              <w:rPr>
                <w:spacing w:val="-8"/>
              </w:rPr>
              <w:t xml:space="preserve"> </w:t>
            </w:r>
            <w:r>
              <w:t>trial</w:t>
            </w:r>
            <w:r>
              <w:rPr>
                <w:spacing w:val="-8"/>
              </w:rPr>
              <w:t xml:space="preserve"> </w:t>
            </w:r>
            <w:r>
              <w:t>balance</w:t>
            </w:r>
            <w:r>
              <w:rPr>
                <w:spacing w:val="-8"/>
              </w:rPr>
              <w:t xml:space="preserve"> </w:t>
            </w:r>
            <w:r>
              <w:t>submissions</w:t>
            </w:r>
            <w:r>
              <w:rPr>
                <w:spacing w:val="-8"/>
              </w:rPr>
              <w:t xml:space="preserve"> </w:t>
            </w:r>
            <w:r>
              <w:t xml:space="preserve">sent via the Governmentwide Treasury Account Symbol Adjusted Trial Balance System </w:t>
            </w:r>
            <w:r>
              <w:rPr>
                <w:spacing w:val="-2"/>
              </w:rPr>
              <w:t>(GTAS);</w:t>
            </w:r>
          </w:p>
          <w:p w14:paraId="0DFDBF92" w14:textId="77777777" w:rsidR="00046465" w:rsidRDefault="008134EB">
            <w:pPr>
              <w:pStyle w:val="TableParagraph"/>
              <w:numPr>
                <w:ilvl w:val="0"/>
                <w:numId w:val="138"/>
              </w:numPr>
              <w:tabs>
                <w:tab w:val="left" w:pos="2144"/>
              </w:tabs>
              <w:spacing w:before="118"/>
              <w:ind w:right="143"/>
            </w:pPr>
            <w:r>
              <w:t>Office of Management and Budget (OMB) reporting guidance</w:t>
            </w:r>
            <w:hyperlink w:anchor="_bookmark154" w:history="1">
              <w:r>
                <w:rPr>
                  <w:position w:val="7"/>
                  <w:sz w:val="14"/>
                </w:rPr>
                <w:t>14</w:t>
              </w:r>
            </w:hyperlink>
            <w:r>
              <w:rPr>
                <w:spacing w:val="40"/>
                <w:position w:val="7"/>
                <w:sz w:val="14"/>
              </w:rPr>
              <w:t xml:space="preserve"> </w:t>
            </w:r>
            <w:r>
              <w:t>requires significant entities to use a standardized balance sheet and include a note in their audited financial statements</w:t>
            </w:r>
            <w:r>
              <w:rPr>
                <w:spacing w:val="-9"/>
              </w:rPr>
              <w:t xml:space="preserve"> </w:t>
            </w:r>
            <w:r>
              <w:t>titled</w:t>
            </w:r>
            <w:r>
              <w:rPr>
                <w:spacing w:val="-9"/>
              </w:rPr>
              <w:t xml:space="preserve"> </w:t>
            </w:r>
            <w:r>
              <w:rPr>
                <w:i/>
              </w:rPr>
              <w:t>Reclassification</w:t>
            </w:r>
            <w:r>
              <w:rPr>
                <w:i/>
                <w:spacing w:val="-9"/>
              </w:rPr>
              <w:t xml:space="preserve"> </w:t>
            </w:r>
            <w:r>
              <w:rPr>
                <w:i/>
              </w:rPr>
              <w:t>of</w:t>
            </w:r>
            <w:r>
              <w:rPr>
                <w:i/>
                <w:spacing w:val="-10"/>
              </w:rPr>
              <w:t xml:space="preserve"> </w:t>
            </w:r>
            <w:r>
              <w:rPr>
                <w:i/>
              </w:rPr>
              <w:t>Financial Statement Line Items for Financial Report Compilation Process</w:t>
            </w:r>
            <w:r>
              <w:t>; and</w:t>
            </w:r>
          </w:p>
          <w:p w14:paraId="0DFDBF93" w14:textId="77777777" w:rsidR="00046465" w:rsidRDefault="008134EB">
            <w:pPr>
              <w:pStyle w:val="TableParagraph"/>
              <w:numPr>
                <w:ilvl w:val="0"/>
                <w:numId w:val="138"/>
              </w:numPr>
              <w:tabs>
                <w:tab w:val="left" w:pos="2144"/>
              </w:tabs>
              <w:spacing w:before="119"/>
              <w:ind w:right="265"/>
            </w:pPr>
            <w:r>
              <w:t>reconciliation</w:t>
            </w:r>
            <w:r>
              <w:rPr>
                <w:spacing w:val="-8"/>
              </w:rPr>
              <w:t xml:space="preserve"> </w:t>
            </w:r>
            <w:r>
              <w:t>and</w:t>
            </w:r>
            <w:r>
              <w:rPr>
                <w:spacing w:val="-8"/>
              </w:rPr>
              <w:t xml:space="preserve"> </w:t>
            </w:r>
            <w:r>
              <w:t>resolution,</w:t>
            </w:r>
            <w:r>
              <w:rPr>
                <w:spacing w:val="-8"/>
              </w:rPr>
              <w:t xml:space="preserve"> </w:t>
            </w:r>
            <w:r>
              <w:t>described</w:t>
            </w:r>
            <w:r>
              <w:rPr>
                <w:spacing w:val="-8"/>
              </w:rPr>
              <w:t xml:space="preserve"> </w:t>
            </w:r>
            <w:r>
              <w:t>in</w:t>
            </w:r>
            <w:r>
              <w:rPr>
                <w:spacing w:val="-8"/>
              </w:rPr>
              <w:t xml:space="preserve"> </w:t>
            </w:r>
            <w:r>
              <w:t xml:space="preserve">ii. above, should occur prior to reporting to </w:t>
            </w:r>
            <w:r>
              <w:rPr>
                <w:spacing w:val="-2"/>
              </w:rPr>
              <w:t>Treasury.</w:t>
            </w:r>
          </w:p>
        </w:tc>
        <w:tc>
          <w:tcPr>
            <w:tcW w:w="1144" w:type="dxa"/>
            <w:tcBorders>
              <w:left w:val="single" w:sz="4" w:space="0" w:color="000000"/>
              <w:bottom w:val="single" w:sz="4" w:space="0" w:color="000000"/>
              <w:right w:val="single" w:sz="4" w:space="0" w:color="000000"/>
            </w:tcBorders>
          </w:tcPr>
          <w:p w14:paraId="0DFDBF94" w14:textId="77777777" w:rsidR="00046465" w:rsidRDefault="00046465">
            <w:pPr>
              <w:pStyle w:val="TableParagraph"/>
              <w:rPr>
                <w:rFonts w:ascii="Times New Roman"/>
                <w:sz w:val="20"/>
              </w:rPr>
            </w:pPr>
          </w:p>
        </w:tc>
        <w:tc>
          <w:tcPr>
            <w:tcW w:w="1229" w:type="dxa"/>
            <w:tcBorders>
              <w:left w:val="single" w:sz="4" w:space="0" w:color="000000"/>
              <w:bottom w:val="single" w:sz="4" w:space="0" w:color="000000"/>
            </w:tcBorders>
          </w:tcPr>
          <w:p w14:paraId="0DFDBF95" w14:textId="77777777" w:rsidR="00046465" w:rsidRDefault="00046465">
            <w:pPr>
              <w:pStyle w:val="TableParagraph"/>
              <w:rPr>
                <w:rFonts w:ascii="Times New Roman"/>
                <w:sz w:val="20"/>
              </w:rPr>
            </w:pPr>
          </w:p>
        </w:tc>
      </w:tr>
      <w:tr w:rsidR="00046465" w14:paraId="0DFDBF9D" w14:textId="77777777">
        <w:trPr>
          <w:trHeight w:val="4021"/>
        </w:trPr>
        <w:tc>
          <w:tcPr>
            <w:tcW w:w="6696" w:type="dxa"/>
            <w:tcBorders>
              <w:top w:val="single" w:sz="4" w:space="0" w:color="000000"/>
              <w:bottom w:val="single" w:sz="4" w:space="0" w:color="000000"/>
              <w:right w:val="single" w:sz="4" w:space="0" w:color="000000"/>
            </w:tcBorders>
          </w:tcPr>
          <w:p w14:paraId="0DFDBF97" w14:textId="77777777" w:rsidR="00046465" w:rsidRDefault="008134EB">
            <w:pPr>
              <w:pStyle w:val="TableParagraph"/>
              <w:numPr>
                <w:ilvl w:val="0"/>
                <w:numId w:val="137"/>
              </w:numPr>
              <w:tabs>
                <w:tab w:val="left" w:pos="812"/>
              </w:tabs>
              <w:spacing w:before="60"/>
              <w:ind w:right="326"/>
            </w:pPr>
            <w:r>
              <w:t>Obtain an understanding of significant accounting and auditing</w:t>
            </w:r>
            <w:r>
              <w:rPr>
                <w:spacing w:val="-7"/>
              </w:rPr>
              <w:t xml:space="preserve"> </w:t>
            </w:r>
            <w:r>
              <w:t>issues</w:t>
            </w:r>
            <w:r>
              <w:rPr>
                <w:spacing w:val="-7"/>
              </w:rPr>
              <w:t xml:space="preserve"> </w:t>
            </w:r>
            <w:r>
              <w:t>relevant</w:t>
            </w:r>
            <w:r>
              <w:rPr>
                <w:spacing w:val="-7"/>
              </w:rPr>
              <w:t xml:space="preserve"> </w:t>
            </w:r>
            <w:r>
              <w:t>to</w:t>
            </w:r>
            <w:r>
              <w:rPr>
                <w:spacing w:val="-7"/>
              </w:rPr>
              <w:t xml:space="preserve"> </w:t>
            </w:r>
            <w:r>
              <w:t>intragovernmental</w:t>
            </w:r>
            <w:r>
              <w:rPr>
                <w:spacing w:val="-7"/>
              </w:rPr>
              <w:t xml:space="preserve"> </w:t>
            </w:r>
            <w:r>
              <w:t>activity</w:t>
            </w:r>
            <w:r>
              <w:rPr>
                <w:spacing w:val="-7"/>
              </w:rPr>
              <w:t xml:space="preserve"> </w:t>
            </w:r>
            <w:r>
              <w:t>and balances</w:t>
            </w:r>
            <w:r>
              <w:rPr>
                <w:spacing w:val="-4"/>
              </w:rPr>
              <w:t xml:space="preserve"> </w:t>
            </w:r>
            <w:r>
              <w:t>by</w:t>
            </w:r>
            <w:r>
              <w:rPr>
                <w:spacing w:val="-6"/>
              </w:rPr>
              <w:t xml:space="preserve"> </w:t>
            </w:r>
            <w:r>
              <w:t>reading</w:t>
            </w:r>
            <w:r>
              <w:rPr>
                <w:spacing w:val="-5"/>
              </w:rPr>
              <w:t xml:space="preserve"> </w:t>
            </w:r>
            <w:r>
              <w:t>the</w:t>
            </w:r>
            <w:r>
              <w:rPr>
                <w:spacing w:val="-6"/>
              </w:rPr>
              <w:t xml:space="preserve"> </w:t>
            </w:r>
            <w:r>
              <w:t>entity’s</w:t>
            </w:r>
            <w:r>
              <w:rPr>
                <w:spacing w:val="-6"/>
              </w:rPr>
              <w:t xml:space="preserve"> </w:t>
            </w:r>
            <w:r>
              <w:t>prior</w:t>
            </w:r>
            <w:r>
              <w:rPr>
                <w:spacing w:val="-6"/>
              </w:rPr>
              <w:t xml:space="preserve"> </w:t>
            </w:r>
            <w:r>
              <w:t>year’s</w:t>
            </w:r>
            <w:r>
              <w:rPr>
                <w:spacing w:val="-5"/>
              </w:rPr>
              <w:t xml:space="preserve"> </w:t>
            </w:r>
            <w:r>
              <w:t>performance and accountability report or agency financial report.</w:t>
            </w:r>
          </w:p>
          <w:p w14:paraId="0DFDBF98" w14:textId="77777777" w:rsidR="00046465" w:rsidRDefault="008134EB">
            <w:pPr>
              <w:pStyle w:val="TableParagraph"/>
              <w:numPr>
                <w:ilvl w:val="1"/>
                <w:numId w:val="137"/>
              </w:numPr>
              <w:tabs>
                <w:tab w:val="left" w:pos="1298"/>
              </w:tabs>
              <w:spacing w:before="120"/>
            </w:pPr>
            <w:r>
              <w:t>Review</w:t>
            </w:r>
            <w:r>
              <w:rPr>
                <w:spacing w:val="-7"/>
              </w:rPr>
              <w:t xml:space="preserve"> </w:t>
            </w:r>
            <w:r>
              <w:t>the</w:t>
            </w:r>
            <w:r>
              <w:rPr>
                <w:spacing w:val="-6"/>
              </w:rPr>
              <w:t xml:space="preserve"> </w:t>
            </w:r>
            <w:r>
              <w:t>prior</w:t>
            </w:r>
            <w:r>
              <w:rPr>
                <w:spacing w:val="-6"/>
              </w:rPr>
              <w:t xml:space="preserve"> </w:t>
            </w:r>
            <w:r>
              <w:t>year</w:t>
            </w:r>
            <w:r>
              <w:rPr>
                <w:spacing w:val="-6"/>
              </w:rPr>
              <w:t xml:space="preserve"> </w:t>
            </w:r>
            <w:r>
              <w:t>auditors’</w:t>
            </w:r>
            <w:r>
              <w:rPr>
                <w:spacing w:val="-6"/>
              </w:rPr>
              <w:t xml:space="preserve"> </w:t>
            </w:r>
            <w:r>
              <w:rPr>
                <w:spacing w:val="-2"/>
              </w:rPr>
              <w:t>reports.</w:t>
            </w:r>
          </w:p>
          <w:p w14:paraId="0DFDBF99" w14:textId="77777777" w:rsidR="00046465" w:rsidRDefault="008134EB">
            <w:pPr>
              <w:pStyle w:val="TableParagraph"/>
              <w:numPr>
                <w:ilvl w:val="1"/>
                <w:numId w:val="137"/>
              </w:numPr>
              <w:tabs>
                <w:tab w:val="left" w:pos="1298"/>
              </w:tabs>
              <w:spacing w:before="119"/>
              <w:ind w:right="256"/>
              <w:rPr>
                <w:position w:val="7"/>
                <w:sz w:val="14"/>
              </w:rPr>
            </w:pPr>
            <w:r>
              <w:t>Review</w:t>
            </w:r>
            <w:r>
              <w:rPr>
                <w:spacing w:val="-10"/>
              </w:rPr>
              <w:t xml:space="preserve"> </w:t>
            </w:r>
            <w:r>
              <w:t>prior</w:t>
            </w:r>
            <w:r>
              <w:rPr>
                <w:spacing w:val="-10"/>
              </w:rPr>
              <w:t xml:space="preserve"> </w:t>
            </w:r>
            <w:r>
              <w:t>year-end</w:t>
            </w:r>
            <w:r>
              <w:rPr>
                <w:spacing w:val="-10"/>
              </w:rPr>
              <w:t xml:space="preserve"> </w:t>
            </w:r>
            <w:r>
              <w:t>intragovernmental</w:t>
            </w:r>
            <w:r>
              <w:rPr>
                <w:spacing w:val="-10"/>
              </w:rPr>
              <w:t xml:space="preserve"> </w:t>
            </w:r>
            <w:r>
              <w:t>differences reported by Treasury.</w:t>
            </w:r>
            <w:hyperlink w:anchor="_bookmark155" w:history="1">
              <w:r>
                <w:rPr>
                  <w:position w:val="7"/>
                  <w:sz w:val="14"/>
                </w:rPr>
                <w:t>15</w:t>
              </w:r>
            </w:hyperlink>
          </w:p>
          <w:p w14:paraId="0DFDBF9A" w14:textId="77777777" w:rsidR="00046465" w:rsidRDefault="008134EB">
            <w:pPr>
              <w:pStyle w:val="TableParagraph"/>
              <w:numPr>
                <w:ilvl w:val="1"/>
                <w:numId w:val="137"/>
              </w:numPr>
              <w:tabs>
                <w:tab w:val="left" w:pos="1298"/>
              </w:tabs>
              <w:spacing w:before="121"/>
              <w:ind w:right="146"/>
              <w:rPr>
                <w:position w:val="7"/>
                <w:sz w:val="14"/>
              </w:rPr>
            </w:pPr>
            <w:r>
              <w:t>Review</w:t>
            </w:r>
            <w:r>
              <w:rPr>
                <w:spacing w:val="-7"/>
              </w:rPr>
              <w:t xml:space="preserve"> </w:t>
            </w:r>
            <w:r>
              <w:t>journal</w:t>
            </w:r>
            <w:r>
              <w:rPr>
                <w:spacing w:val="-7"/>
              </w:rPr>
              <w:t xml:space="preserve"> </w:t>
            </w:r>
            <w:r>
              <w:t>vouchers</w:t>
            </w:r>
            <w:r>
              <w:rPr>
                <w:spacing w:val="-7"/>
              </w:rPr>
              <w:t xml:space="preserve"> </w:t>
            </w:r>
            <w:r>
              <w:t>recorded</w:t>
            </w:r>
            <w:r>
              <w:rPr>
                <w:spacing w:val="-7"/>
              </w:rPr>
              <w:t xml:space="preserve"> </w:t>
            </w:r>
            <w:r>
              <w:t>by</w:t>
            </w:r>
            <w:r>
              <w:rPr>
                <w:spacing w:val="-7"/>
              </w:rPr>
              <w:t xml:space="preserve"> </w:t>
            </w:r>
            <w:r>
              <w:t>Treasury</w:t>
            </w:r>
            <w:r>
              <w:rPr>
                <w:spacing w:val="-7"/>
              </w:rPr>
              <w:t xml:space="preserve"> </w:t>
            </w:r>
            <w:r>
              <w:t>during the prior year-end process for the U.S. government’s consolidated financial statements and determine whether (i) the underlying differences are still outstanding,</w:t>
            </w:r>
            <w:r>
              <w:rPr>
                <w:spacing w:val="-2"/>
              </w:rPr>
              <w:t xml:space="preserve"> </w:t>
            </w:r>
            <w:r>
              <w:t>(ii)</w:t>
            </w:r>
            <w:r>
              <w:rPr>
                <w:spacing w:val="-1"/>
              </w:rPr>
              <w:t xml:space="preserve"> </w:t>
            </w:r>
            <w:r>
              <w:t>authorized</w:t>
            </w:r>
            <w:r>
              <w:rPr>
                <w:spacing w:val="-1"/>
              </w:rPr>
              <w:t xml:space="preserve"> </w:t>
            </w:r>
            <w:r>
              <w:t>entity</w:t>
            </w:r>
            <w:r>
              <w:rPr>
                <w:spacing w:val="-1"/>
              </w:rPr>
              <w:t xml:space="preserve"> </w:t>
            </w:r>
            <w:r>
              <w:t>personnel</w:t>
            </w:r>
            <w:r>
              <w:rPr>
                <w:spacing w:val="-1"/>
              </w:rPr>
              <w:t xml:space="preserve"> </w:t>
            </w:r>
            <w:r>
              <w:t>approved the journal vouchers, and (iii) these journal vouchers will impact current year audit procedures.</w:t>
            </w:r>
            <w:hyperlink w:anchor="_bookmark156" w:history="1">
              <w:r>
                <w:rPr>
                  <w:position w:val="7"/>
                  <w:sz w:val="14"/>
                </w:rPr>
                <w:t>16</w:t>
              </w:r>
            </w:hyperlink>
          </w:p>
        </w:tc>
        <w:tc>
          <w:tcPr>
            <w:tcW w:w="1144" w:type="dxa"/>
            <w:tcBorders>
              <w:top w:val="single" w:sz="4" w:space="0" w:color="000000"/>
              <w:left w:val="single" w:sz="4" w:space="0" w:color="000000"/>
              <w:bottom w:val="single" w:sz="4" w:space="0" w:color="000000"/>
              <w:right w:val="single" w:sz="4" w:space="0" w:color="000000"/>
            </w:tcBorders>
          </w:tcPr>
          <w:p w14:paraId="0DFDBF9B"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BF9C" w14:textId="77777777" w:rsidR="00046465" w:rsidRDefault="00046465">
            <w:pPr>
              <w:pStyle w:val="TableParagraph"/>
              <w:rPr>
                <w:rFonts w:ascii="Times New Roman"/>
                <w:sz w:val="20"/>
              </w:rPr>
            </w:pPr>
          </w:p>
        </w:tc>
      </w:tr>
    </w:tbl>
    <w:p w14:paraId="0DFDBF9E" w14:textId="77777777" w:rsidR="00046465" w:rsidRDefault="00046465">
      <w:pPr>
        <w:pStyle w:val="BodyText"/>
        <w:rPr>
          <w:sz w:val="20"/>
        </w:rPr>
      </w:pPr>
    </w:p>
    <w:p w14:paraId="0DFDBF9F" w14:textId="77777777" w:rsidR="00046465" w:rsidRDefault="008134EB">
      <w:pPr>
        <w:pStyle w:val="BodyText"/>
        <w:spacing w:before="17"/>
        <w:rPr>
          <w:sz w:val="20"/>
        </w:rPr>
      </w:pPr>
      <w:r>
        <w:rPr>
          <w:noProof/>
          <w:sz w:val="20"/>
        </w:rPr>
        <mc:AlternateContent>
          <mc:Choice Requires="wps">
            <w:drawing>
              <wp:anchor distT="0" distB="0" distL="0" distR="0" simplePos="0" relativeHeight="487717376" behindDoc="1" locked="0" layoutInCell="1" allowOverlap="1" wp14:anchorId="0DFDD70D" wp14:editId="0DFDD70E">
                <wp:simplePos x="0" y="0"/>
                <wp:positionH relativeFrom="page">
                  <wp:posOffset>914400</wp:posOffset>
                </wp:positionH>
                <wp:positionV relativeFrom="paragraph">
                  <wp:posOffset>172605</wp:posOffset>
                </wp:positionV>
                <wp:extent cx="1828800" cy="5715"/>
                <wp:effectExtent l="0" t="0" r="0" b="0"/>
                <wp:wrapTopAndBottom/>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A62525" id="Graphic 901" o:spid="_x0000_s1026" style="position:absolute;margin-left:1in;margin-top:13.6pt;width:2in;height:.45pt;z-index:-1559910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" path="m1828800,l,,,5334r1828800,l1828800,xe" fillcolor="black" stroked="f">
                <v:path arrowok="t"/>
                <w10:wrap type="topAndBottom" anchorx="page"/>
              </v:shape>
            </w:pict>
          </mc:Fallback>
        </mc:AlternateContent>
      </w:r>
    </w:p>
    <w:p w14:paraId="0DFDBFA0" w14:textId="77777777" w:rsidR="00046465" w:rsidRDefault="008134EB">
      <w:pPr>
        <w:spacing w:before="202" w:line="249" w:lineRule="auto"/>
        <w:ind w:left="359" w:right="749"/>
        <w:rPr>
          <w:sz w:val="18"/>
        </w:rPr>
      </w:pPr>
      <w:bookmarkStart w:id="275" w:name="_bookmark154"/>
      <w:bookmarkEnd w:id="275"/>
      <w:r>
        <w:rPr>
          <w:position w:val="7"/>
          <w:sz w:val="14"/>
        </w:rPr>
        <w:t>14</w:t>
      </w:r>
      <w:r>
        <w:rPr>
          <w:sz w:val="18"/>
        </w:rPr>
        <w:t>OMB</w:t>
      </w:r>
      <w:r>
        <w:rPr>
          <w:spacing w:val="-3"/>
          <w:sz w:val="18"/>
        </w:rPr>
        <w:t xml:space="preserve"> </w:t>
      </w:r>
      <w:r>
        <w:rPr>
          <w:sz w:val="18"/>
        </w:rPr>
        <w:t>reporting</w:t>
      </w:r>
      <w:r>
        <w:rPr>
          <w:spacing w:val="-2"/>
          <w:sz w:val="18"/>
        </w:rPr>
        <w:t xml:space="preserve"> </w:t>
      </w:r>
      <w:r>
        <w:rPr>
          <w:sz w:val="18"/>
        </w:rPr>
        <w:t>guidance</w:t>
      </w:r>
      <w:r>
        <w:rPr>
          <w:spacing w:val="-4"/>
          <w:sz w:val="18"/>
        </w:rPr>
        <w:t xml:space="preserve"> </w:t>
      </w:r>
      <w:r>
        <w:rPr>
          <w:sz w:val="18"/>
        </w:rPr>
        <w:t>in</w:t>
      </w:r>
      <w:r>
        <w:rPr>
          <w:spacing w:val="-4"/>
          <w:sz w:val="18"/>
        </w:rPr>
        <w:t xml:space="preserve"> </w:t>
      </w:r>
      <w:r>
        <w:rPr>
          <w:sz w:val="18"/>
        </w:rPr>
        <w:t>OMB</w:t>
      </w:r>
      <w:r>
        <w:rPr>
          <w:spacing w:val="-3"/>
          <w:sz w:val="18"/>
        </w:rPr>
        <w:t xml:space="preserve"> </w:t>
      </w:r>
      <w:r>
        <w:rPr>
          <w:sz w:val="18"/>
        </w:rPr>
        <w:t>Circular</w:t>
      </w:r>
      <w:r>
        <w:rPr>
          <w:spacing w:val="-3"/>
          <w:sz w:val="18"/>
        </w:rPr>
        <w:t xml:space="preserve"> </w:t>
      </w:r>
      <w:r>
        <w:rPr>
          <w:sz w:val="18"/>
        </w:rPr>
        <w:t>No.</w:t>
      </w:r>
      <w:r>
        <w:rPr>
          <w:spacing w:val="-3"/>
          <w:sz w:val="18"/>
        </w:rPr>
        <w:t xml:space="preserve"> </w:t>
      </w:r>
      <w:r>
        <w:rPr>
          <w:sz w:val="18"/>
        </w:rPr>
        <w:t>A-136,</w:t>
      </w:r>
      <w:r>
        <w:rPr>
          <w:spacing w:val="-3"/>
          <w:sz w:val="18"/>
        </w:rPr>
        <w:t xml:space="preserve"> </w:t>
      </w:r>
      <w:r>
        <w:rPr>
          <w:i/>
          <w:sz w:val="18"/>
        </w:rPr>
        <w:t>Financial</w:t>
      </w:r>
      <w:r>
        <w:rPr>
          <w:i/>
          <w:spacing w:val="-3"/>
          <w:sz w:val="18"/>
        </w:rPr>
        <w:t xml:space="preserve"> </w:t>
      </w:r>
      <w:r>
        <w:rPr>
          <w:i/>
          <w:sz w:val="18"/>
        </w:rPr>
        <w:t>Reporting</w:t>
      </w:r>
      <w:r>
        <w:rPr>
          <w:i/>
          <w:spacing w:val="-4"/>
          <w:sz w:val="18"/>
        </w:rPr>
        <w:t xml:space="preserve"> </w:t>
      </w:r>
      <w:r>
        <w:rPr>
          <w:i/>
          <w:sz w:val="18"/>
        </w:rPr>
        <w:t>Requirements</w:t>
      </w:r>
      <w:r>
        <w:rPr>
          <w:sz w:val="18"/>
        </w:rPr>
        <w:t>,</w:t>
      </w:r>
      <w:r>
        <w:rPr>
          <w:spacing w:val="-3"/>
          <w:sz w:val="18"/>
        </w:rPr>
        <w:t xml:space="preserve"> </w:t>
      </w:r>
      <w:r>
        <w:rPr>
          <w:sz w:val="18"/>
        </w:rPr>
        <w:t>is</w:t>
      </w:r>
      <w:r>
        <w:rPr>
          <w:spacing w:val="-3"/>
          <w:sz w:val="18"/>
        </w:rPr>
        <w:t xml:space="preserve"> </w:t>
      </w:r>
      <w:r>
        <w:rPr>
          <w:sz w:val="18"/>
        </w:rPr>
        <w:t>updated</w:t>
      </w:r>
      <w:r>
        <w:rPr>
          <w:spacing w:val="-4"/>
          <w:sz w:val="18"/>
        </w:rPr>
        <w:t xml:space="preserve"> </w:t>
      </w:r>
      <w:r>
        <w:rPr>
          <w:sz w:val="18"/>
        </w:rPr>
        <w:t>annually.</w:t>
      </w:r>
      <w:r>
        <w:rPr>
          <w:spacing w:val="-3"/>
          <w:sz w:val="18"/>
        </w:rPr>
        <w:t xml:space="preserve"> </w:t>
      </w:r>
      <w:r>
        <w:rPr>
          <w:sz w:val="18"/>
        </w:rPr>
        <w:t>Users should refer to the OMB reporting guidance applicable to the current financial audit.</w:t>
      </w:r>
    </w:p>
    <w:p w14:paraId="0DFDBFA1" w14:textId="77777777" w:rsidR="00046465" w:rsidRDefault="008134EB">
      <w:pPr>
        <w:spacing w:before="116" w:line="242" w:lineRule="auto"/>
        <w:ind w:left="359" w:right="777"/>
        <w:rPr>
          <w:sz w:val="18"/>
        </w:rPr>
      </w:pPr>
      <w:bookmarkStart w:id="276" w:name="_bookmark155"/>
      <w:bookmarkEnd w:id="276"/>
      <w:r>
        <w:rPr>
          <w:position w:val="7"/>
          <w:sz w:val="14"/>
        </w:rPr>
        <w:t>15</w:t>
      </w:r>
      <w:r>
        <w:rPr>
          <w:sz w:val="18"/>
        </w:rPr>
        <w:t>Quarterly, Treasury generates and provides to entities various documents that report intragovernmental differences. Treasury provides entities with differences over established thresholds with Material Difference Reports (MDR), on which an entity provides Treasury explanations for its differences and provides significant entities with a scorecard containing metrics. Treasury also provides a concluding report that provides details (including the entities’ explanations)</w:t>
      </w:r>
      <w:r>
        <w:rPr>
          <w:spacing w:val="-3"/>
          <w:sz w:val="18"/>
        </w:rPr>
        <w:t xml:space="preserve"> </w:t>
      </w:r>
      <w:r>
        <w:rPr>
          <w:sz w:val="18"/>
        </w:rPr>
        <w:t>on</w:t>
      </w:r>
      <w:r>
        <w:rPr>
          <w:spacing w:val="-4"/>
          <w:sz w:val="18"/>
        </w:rPr>
        <w:t xml:space="preserve"> </w:t>
      </w:r>
      <w:r>
        <w:rPr>
          <w:sz w:val="18"/>
        </w:rPr>
        <w:t>all</w:t>
      </w:r>
      <w:r>
        <w:rPr>
          <w:spacing w:val="-3"/>
          <w:sz w:val="18"/>
        </w:rPr>
        <w:t xml:space="preserve"> </w:t>
      </w:r>
      <w:r>
        <w:rPr>
          <w:sz w:val="18"/>
        </w:rPr>
        <w:t>the</w:t>
      </w:r>
      <w:r>
        <w:rPr>
          <w:spacing w:val="-4"/>
          <w:sz w:val="18"/>
        </w:rPr>
        <w:t xml:space="preserve"> </w:t>
      </w:r>
      <w:r>
        <w:rPr>
          <w:sz w:val="18"/>
        </w:rPr>
        <w:t>significant</w:t>
      </w:r>
      <w:r>
        <w:rPr>
          <w:spacing w:val="-3"/>
          <w:sz w:val="18"/>
        </w:rPr>
        <w:t xml:space="preserve"> </w:t>
      </w:r>
      <w:r>
        <w:rPr>
          <w:sz w:val="18"/>
        </w:rPr>
        <w:t>differences</w:t>
      </w:r>
      <w:r>
        <w:rPr>
          <w:spacing w:val="-3"/>
          <w:sz w:val="18"/>
        </w:rPr>
        <w:t xml:space="preserve"> </w:t>
      </w:r>
      <w:r>
        <w:rPr>
          <w:sz w:val="18"/>
        </w:rPr>
        <w:t>(Comparative</w:t>
      </w:r>
      <w:r>
        <w:rPr>
          <w:spacing w:val="-2"/>
          <w:sz w:val="18"/>
        </w:rPr>
        <w:t xml:space="preserve"> </w:t>
      </w:r>
      <w:r>
        <w:rPr>
          <w:sz w:val="18"/>
        </w:rPr>
        <w:t>Status</w:t>
      </w:r>
      <w:r>
        <w:rPr>
          <w:spacing w:val="-3"/>
          <w:sz w:val="18"/>
        </w:rPr>
        <w:t xml:space="preserve"> </w:t>
      </w:r>
      <w:r>
        <w:rPr>
          <w:sz w:val="18"/>
        </w:rPr>
        <w:t>of</w:t>
      </w:r>
      <w:r>
        <w:rPr>
          <w:spacing w:val="-3"/>
          <w:sz w:val="18"/>
        </w:rPr>
        <w:t xml:space="preserve"> </w:t>
      </w:r>
      <w:r>
        <w:rPr>
          <w:sz w:val="18"/>
        </w:rPr>
        <w:t>Disposition</w:t>
      </w:r>
      <w:r>
        <w:rPr>
          <w:spacing w:val="-4"/>
          <w:sz w:val="18"/>
        </w:rPr>
        <w:t xml:space="preserve"> </w:t>
      </w:r>
      <w:r>
        <w:rPr>
          <w:sz w:val="18"/>
        </w:rPr>
        <w:t>Report,</w:t>
      </w:r>
      <w:r>
        <w:rPr>
          <w:spacing w:val="-3"/>
          <w:sz w:val="18"/>
        </w:rPr>
        <w:t xml:space="preserve"> </w:t>
      </w:r>
      <w:r>
        <w:rPr>
          <w:sz w:val="18"/>
        </w:rPr>
        <w:t>CSDR),</w:t>
      </w:r>
      <w:r>
        <w:rPr>
          <w:spacing w:val="-3"/>
          <w:sz w:val="18"/>
        </w:rPr>
        <w:t xml:space="preserve"> </w:t>
      </w:r>
      <w:r>
        <w:rPr>
          <w:sz w:val="18"/>
        </w:rPr>
        <w:t>and</w:t>
      </w:r>
      <w:r>
        <w:rPr>
          <w:spacing w:val="-4"/>
          <w:sz w:val="18"/>
        </w:rPr>
        <w:t xml:space="preserve"> </w:t>
      </w:r>
      <w:r>
        <w:rPr>
          <w:sz w:val="18"/>
        </w:rPr>
        <w:t>a</w:t>
      </w:r>
      <w:r>
        <w:rPr>
          <w:spacing w:val="-4"/>
          <w:sz w:val="18"/>
        </w:rPr>
        <w:t xml:space="preserve"> </w:t>
      </w:r>
      <w:r>
        <w:rPr>
          <w:sz w:val="18"/>
        </w:rPr>
        <w:t>spreadsheet that breaks down differences to the USSGL level (IGT Raw Data File). Entities work with their trading partners and use the CSDR and the IGT Raw Data File to reconcile intragovernmental amounts (research) and resolve resulting differences before the start of the next quarterly cycle.</w:t>
      </w:r>
    </w:p>
    <w:p w14:paraId="0DFDBFA2" w14:textId="77777777" w:rsidR="00046465" w:rsidRDefault="008134EB">
      <w:pPr>
        <w:spacing w:before="117" w:line="244" w:lineRule="auto"/>
        <w:ind w:left="359" w:right="749"/>
        <w:rPr>
          <w:sz w:val="18"/>
        </w:rPr>
      </w:pPr>
      <w:bookmarkStart w:id="277" w:name="_bookmark156"/>
      <w:bookmarkEnd w:id="277"/>
      <w:r>
        <w:rPr>
          <w:position w:val="7"/>
          <w:sz w:val="14"/>
        </w:rPr>
        <w:t>16</w:t>
      </w:r>
      <w:r>
        <w:rPr>
          <w:sz w:val="18"/>
        </w:rPr>
        <w:t>During the year-end consolidation process for the U.S. government’s financial statements, Treasury analyzes intragovernmental</w:t>
      </w:r>
      <w:r>
        <w:rPr>
          <w:spacing w:val="-3"/>
          <w:sz w:val="18"/>
        </w:rPr>
        <w:t xml:space="preserve"> </w:t>
      </w:r>
      <w:r>
        <w:rPr>
          <w:sz w:val="18"/>
        </w:rPr>
        <w:t>differences</w:t>
      </w:r>
      <w:r>
        <w:rPr>
          <w:spacing w:val="-2"/>
          <w:sz w:val="18"/>
        </w:rPr>
        <w:t xml:space="preserve"> </w:t>
      </w:r>
      <w:r>
        <w:rPr>
          <w:sz w:val="18"/>
        </w:rPr>
        <w:t>calculated</w:t>
      </w:r>
      <w:r>
        <w:rPr>
          <w:spacing w:val="-4"/>
          <w:sz w:val="18"/>
        </w:rPr>
        <w:t xml:space="preserve"> </w:t>
      </w:r>
      <w:r>
        <w:rPr>
          <w:sz w:val="18"/>
        </w:rPr>
        <w:t>to</w:t>
      </w:r>
      <w:r>
        <w:rPr>
          <w:spacing w:val="-4"/>
          <w:sz w:val="18"/>
        </w:rPr>
        <w:t xml:space="preserve"> </w:t>
      </w:r>
      <w:r>
        <w:rPr>
          <w:sz w:val="18"/>
        </w:rPr>
        <w:t>identify</w:t>
      </w:r>
      <w:r>
        <w:rPr>
          <w:spacing w:val="-3"/>
          <w:sz w:val="18"/>
        </w:rPr>
        <w:t xml:space="preserve"> </w:t>
      </w:r>
      <w:r>
        <w:rPr>
          <w:sz w:val="18"/>
        </w:rPr>
        <w:t>those</w:t>
      </w:r>
      <w:r>
        <w:rPr>
          <w:spacing w:val="-4"/>
          <w:sz w:val="18"/>
        </w:rPr>
        <w:t xml:space="preserve"> </w:t>
      </w:r>
      <w:r>
        <w:rPr>
          <w:sz w:val="18"/>
        </w:rPr>
        <w:t>that</w:t>
      </w:r>
      <w:r>
        <w:rPr>
          <w:spacing w:val="-3"/>
          <w:sz w:val="18"/>
        </w:rPr>
        <w:t xml:space="preserve"> </w:t>
      </w:r>
      <w:r>
        <w:rPr>
          <w:sz w:val="18"/>
        </w:rPr>
        <w:t>it</w:t>
      </w:r>
      <w:r>
        <w:rPr>
          <w:spacing w:val="-3"/>
          <w:sz w:val="18"/>
        </w:rPr>
        <w:t xml:space="preserve"> </w:t>
      </w:r>
      <w:r>
        <w:rPr>
          <w:sz w:val="18"/>
        </w:rPr>
        <w:t>can</w:t>
      </w:r>
      <w:r>
        <w:rPr>
          <w:spacing w:val="-4"/>
          <w:sz w:val="18"/>
        </w:rPr>
        <w:t xml:space="preserve"> </w:t>
      </w:r>
      <w:r>
        <w:rPr>
          <w:sz w:val="18"/>
        </w:rPr>
        <w:t>resolve</w:t>
      </w:r>
      <w:r>
        <w:rPr>
          <w:spacing w:val="-4"/>
          <w:sz w:val="18"/>
        </w:rPr>
        <w:t xml:space="preserve"> </w:t>
      </w:r>
      <w:r>
        <w:rPr>
          <w:sz w:val="18"/>
        </w:rPr>
        <w:t>by</w:t>
      </w:r>
      <w:r>
        <w:rPr>
          <w:spacing w:val="-3"/>
          <w:sz w:val="18"/>
        </w:rPr>
        <w:t xml:space="preserve"> </w:t>
      </w:r>
      <w:r>
        <w:rPr>
          <w:sz w:val="18"/>
        </w:rPr>
        <w:t>booking</w:t>
      </w:r>
      <w:r>
        <w:rPr>
          <w:spacing w:val="-4"/>
          <w:sz w:val="18"/>
        </w:rPr>
        <w:t xml:space="preserve"> </w:t>
      </w:r>
      <w:r>
        <w:rPr>
          <w:sz w:val="18"/>
        </w:rPr>
        <w:t>journal</w:t>
      </w:r>
      <w:r>
        <w:rPr>
          <w:spacing w:val="-3"/>
          <w:sz w:val="18"/>
        </w:rPr>
        <w:t xml:space="preserve"> </w:t>
      </w:r>
      <w:r>
        <w:rPr>
          <w:sz w:val="18"/>
        </w:rPr>
        <w:t>vouchers</w:t>
      </w:r>
      <w:r>
        <w:rPr>
          <w:spacing w:val="-2"/>
          <w:sz w:val="18"/>
        </w:rPr>
        <w:t xml:space="preserve"> </w:t>
      </w:r>
      <w:r>
        <w:rPr>
          <w:sz w:val="18"/>
        </w:rPr>
        <w:t>(JV).</w:t>
      </w:r>
      <w:r>
        <w:rPr>
          <w:spacing w:val="-3"/>
          <w:sz w:val="18"/>
        </w:rPr>
        <w:t xml:space="preserve"> </w:t>
      </w:r>
      <w:r>
        <w:rPr>
          <w:sz w:val="18"/>
        </w:rPr>
        <w:t>Doing so, Treasury changes the audited data the entities sent to it, which lessens the total intragovernmental differences</w:t>
      </w:r>
    </w:p>
    <w:p w14:paraId="0DFDBFA3" w14:textId="77777777" w:rsidR="00046465" w:rsidRDefault="00046465">
      <w:pPr>
        <w:spacing w:line="244" w:lineRule="auto"/>
        <w:rPr>
          <w:sz w:val="18"/>
        </w:rPr>
        <w:sectPr w:rsidR="00046465">
          <w:pgSz w:w="12240" w:h="15840"/>
          <w:pgMar w:top="1340" w:right="720" w:bottom="940" w:left="1080" w:header="721" w:footer="757" w:gutter="0"/>
          <w:cols w:space="720"/>
        </w:sectPr>
      </w:pPr>
    </w:p>
    <w:p w14:paraId="0DFDBFA4" w14:textId="77777777" w:rsidR="00046465" w:rsidRDefault="00046465">
      <w:pPr>
        <w:pStyle w:val="BodyText"/>
        <w:spacing w:before="9"/>
        <w:rPr>
          <w:sz w:val="11"/>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BFA8" w14:textId="77777777">
        <w:trPr>
          <w:trHeight w:val="625"/>
        </w:trPr>
        <w:tc>
          <w:tcPr>
            <w:tcW w:w="6696" w:type="dxa"/>
            <w:tcBorders>
              <w:right w:val="single" w:sz="4" w:space="0" w:color="000000"/>
            </w:tcBorders>
          </w:tcPr>
          <w:p w14:paraId="0DFDBFA5"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BFA6"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BFA7"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BFAD" w14:textId="77777777">
        <w:trPr>
          <w:trHeight w:val="2482"/>
        </w:trPr>
        <w:tc>
          <w:tcPr>
            <w:tcW w:w="6696" w:type="dxa"/>
            <w:tcBorders>
              <w:bottom w:val="single" w:sz="4" w:space="0" w:color="000000"/>
              <w:right w:val="single" w:sz="4" w:space="0" w:color="000000"/>
            </w:tcBorders>
          </w:tcPr>
          <w:p w14:paraId="0DFDBFA9" w14:textId="77777777" w:rsidR="00046465" w:rsidRDefault="008134EB">
            <w:pPr>
              <w:pStyle w:val="TableParagraph"/>
              <w:numPr>
                <w:ilvl w:val="0"/>
                <w:numId w:val="136"/>
              </w:numPr>
              <w:tabs>
                <w:tab w:val="left" w:pos="812"/>
              </w:tabs>
              <w:spacing w:before="25"/>
              <w:ind w:right="206"/>
            </w:pPr>
            <w:r>
              <w:t>Identify</w:t>
            </w:r>
            <w:r>
              <w:rPr>
                <w:spacing w:val="-7"/>
              </w:rPr>
              <w:t xml:space="preserve"> </w:t>
            </w:r>
            <w:r>
              <w:t>the</w:t>
            </w:r>
            <w:r>
              <w:rPr>
                <w:spacing w:val="-8"/>
              </w:rPr>
              <w:t xml:space="preserve"> </w:t>
            </w:r>
            <w:r>
              <w:t>entity’s</w:t>
            </w:r>
            <w:r>
              <w:rPr>
                <w:spacing w:val="-8"/>
              </w:rPr>
              <w:t xml:space="preserve"> </w:t>
            </w:r>
            <w:r>
              <w:t>accounting</w:t>
            </w:r>
            <w:r>
              <w:rPr>
                <w:spacing w:val="-7"/>
              </w:rPr>
              <w:t xml:space="preserve"> </w:t>
            </w:r>
            <w:r>
              <w:t>and</w:t>
            </w:r>
            <w:r>
              <w:rPr>
                <w:spacing w:val="-7"/>
              </w:rPr>
              <w:t xml:space="preserve"> </w:t>
            </w:r>
            <w:r>
              <w:t>reporting</w:t>
            </w:r>
            <w:r>
              <w:rPr>
                <w:spacing w:val="-7"/>
              </w:rPr>
              <w:t xml:space="preserve"> </w:t>
            </w:r>
            <w:r>
              <w:t>requirements for intragovernmental activity and balances such as by reading the following:</w:t>
            </w:r>
          </w:p>
          <w:p w14:paraId="0DFDBFAA" w14:textId="77777777" w:rsidR="00046465" w:rsidRDefault="008134EB">
            <w:pPr>
              <w:pStyle w:val="TableParagraph"/>
              <w:numPr>
                <w:ilvl w:val="1"/>
                <w:numId w:val="136"/>
              </w:numPr>
              <w:tabs>
                <w:tab w:val="left" w:pos="1244"/>
              </w:tabs>
              <w:spacing w:before="121"/>
              <w:ind w:right="259" w:hanging="396"/>
            </w:pPr>
            <w:r>
              <w:t xml:space="preserve">Applicable Federal Accounting Standards Advisory Board (FASAB) standards; OMB reporting guidance; and </w:t>
            </w:r>
            <w:r>
              <w:rPr>
                <w:i/>
              </w:rPr>
              <w:t>Treasury Financial Manual</w:t>
            </w:r>
            <w:r>
              <w:t>, volume 1, part 2, chapter</w:t>
            </w:r>
            <w:r>
              <w:rPr>
                <w:spacing w:val="-11"/>
              </w:rPr>
              <w:t xml:space="preserve"> </w:t>
            </w:r>
            <w:r>
              <w:t>4700</w:t>
            </w:r>
            <w:r>
              <w:rPr>
                <w:spacing w:val="-7"/>
              </w:rPr>
              <w:t xml:space="preserve"> </w:t>
            </w:r>
            <w:r>
              <w:t>(TFM</w:t>
            </w:r>
            <w:r>
              <w:rPr>
                <w:spacing w:val="-8"/>
              </w:rPr>
              <w:t xml:space="preserve"> </w:t>
            </w:r>
            <w:r>
              <w:t>2-4700),</w:t>
            </w:r>
            <w:r>
              <w:rPr>
                <w:spacing w:val="-21"/>
              </w:rPr>
              <w:t xml:space="preserve"> </w:t>
            </w:r>
            <w:r>
              <w:rPr>
                <w:i/>
              </w:rPr>
              <w:t>Federal</w:t>
            </w:r>
            <w:r>
              <w:rPr>
                <w:i/>
                <w:spacing w:val="-8"/>
              </w:rPr>
              <w:t xml:space="preserve"> </w:t>
            </w:r>
            <w:r>
              <w:rPr>
                <w:i/>
              </w:rPr>
              <w:t>Entity</w:t>
            </w:r>
            <w:r>
              <w:rPr>
                <w:i/>
                <w:spacing w:val="-6"/>
              </w:rPr>
              <w:t xml:space="preserve"> </w:t>
            </w:r>
            <w:r>
              <w:rPr>
                <w:i/>
              </w:rPr>
              <w:t xml:space="preserve">Reporting Requirements for the Financial Report of the United States Government </w:t>
            </w:r>
            <w:r>
              <w:t>(FR).</w:t>
            </w:r>
          </w:p>
        </w:tc>
        <w:tc>
          <w:tcPr>
            <w:tcW w:w="1144" w:type="dxa"/>
            <w:tcBorders>
              <w:left w:val="single" w:sz="4" w:space="0" w:color="000000"/>
              <w:bottom w:val="single" w:sz="4" w:space="0" w:color="000000"/>
              <w:right w:val="single" w:sz="4" w:space="0" w:color="000000"/>
            </w:tcBorders>
          </w:tcPr>
          <w:p w14:paraId="0DFDBFAB" w14:textId="77777777" w:rsidR="00046465" w:rsidRDefault="00046465">
            <w:pPr>
              <w:pStyle w:val="TableParagraph"/>
              <w:rPr>
                <w:rFonts w:ascii="Times New Roman"/>
                <w:sz w:val="20"/>
              </w:rPr>
            </w:pPr>
          </w:p>
        </w:tc>
        <w:tc>
          <w:tcPr>
            <w:tcW w:w="1229" w:type="dxa"/>
            <w:tcBorders>
              <w:left w:val="single" w:sz="4" w:space="0" w:color="000000"/>
              <w:bottom w:val="single" w:sz="4" w:space="0" w:color="000000"/>
            </w:tcBorders>
          </w:tcPr>
          <w:p w14:paraId="0DFDBFAC" w14:textId="77777777" w:rsidR="00046465" w:rsidRDefault="00046465">
            <w:pPr>
              <w:pStyle w:val="TableParagraph"/>
              <w:rPr>
                <w:rFonts w:ascii="Times New Roman"/>
                <w:sz w:val="20"/>
              </w:rPr>
            </w:pPr>
          </w:p>
        </w:tc>
      </w:tr>
      <w:tr w:rsidR="00046465" w14:paraId="0DFDBFB1" w14:textId="77777777">
        <w:trPr>
          <w:trHeight w:val="879"/>
        </w:trPr>
        <w:tc>
          <w:tcPr>
            <w:tcW w:w="6696" w:type="dxa"/>
            <w:tcBorders>
              <w:top w:val="single" w:sz="4" w:space="0" w:color="000000"/>
              <w:bottom w:val="single" w:sz="4" w:space="0" w:color="000000"/>
              <w:right w:val="single" w:sz="4" w:space="0" w:color="000000"/>
            </w:tcBorders>
          </w:tcPr>
          <w:p w14:paraId="0DFDBFAE" w14:textId="77777777" w:rsidR="00046465" w:rsidRDefault="008134EB">
            <w:pPr>
              <w:pStyle w:val="TableParagraph"/>
              <w:spacing w:before="60"/>
              <w:ind w:left="1244" w:right="433" w:hanging="397"/>
              <w:jc w:val="both"/>
            </w:pPr>
            <w:r>
              <w:t>b)</w:t>
            </w:r>
            <w:r>
              <w:rPr>
                <w:spacing w:val="80"/>
              </w:rPr>
              <w:t xml:space="preserve"> </w:t>
            </w:r>
            <w:r>
              <w:t>Entity</w:t>
            </w:r>
            <w:r>
              <w:rPr>
                <w:spacing w:val="-4"/>
              </w:rPr>
              <w:t xml:space="preserve"> </w:t>
            </w:r>
            <w:r>
              <w:t>policies</w:t>
            </w:r>
            <w:r>
              <w:rPr>
                <w:spacing w:val="-4"/>
              </w:rPr>
              <w:t xml:space="preserve"> </w:t>
            </w:r>
            <w:r>
              <w:t>and</w:t>
            </w:r>
            <w:r>
              <w:rPr>
                <w:spacing w:val="-4"/>
              </w:rPr>
              <w:t xml:space="preserve"> </w:t>
            </w:r>
            <w:r>
              <w:t>procedures</w:t>
            </w:r>
            <w:r>
              <w:rPr>
                <w:spacing w:val="-4"/>
              </w:rPr>
              <w:t xml:space="preserve"> </w:t>
            </w:r>
            <w:r>
              <w:t>covering</w:t>
            </w:r>
            <w:r>
              <w:rPr>
                <w:spacing w:val="-4"/>
              </w:rPr>
              <w:t xml:space="preserve"> </w:t>
            </w:r>
            <w:r>
              <w:t>the</w:t>
            </w:r>
            <w:r>
              <w:rPr>
                <w:spacing w:val="-4"/>
              </w:rPr>
              <w:t xml:space="preserve"> </w:t>
            </w:r>
            <w:r>
              <w:t>general accounting</w:t>
            </w:r>
            <w:r>
              <w:rPr>
                <w:spacing w:val="-2"/>
              </w:rPr>
              <w:t xml:space="preserve"> </w:t>
            </w:r>
            <w:r>
              <w:t>and</w:t>
            </w:r>
            <w:r>
              <w:rPr>
                <w:spacing w:val="-1"/>
              </w:rPr>
              <w:t xml:space="preserve"> </w:t>
            </w:r>
            <w:r>
              <w:t>reporting phases</w:t>
            </w:r>
            <w:r>
              <w:rPr>
                <w:spacing w:val="-1"/>
              </w:rPr>
              <w:t xml:space="preserve"> </w:t>
            </w:r>
            <w:r>
              <w:t>(see</w:t>
            </w:r>
            <w:r>
              <w:rPr>
                <w:spacing w:val="-1"/>
              </w:rPr>
              <w:t xml:space="preserve"> </w:t>
            </w:r>
            <w:r>
              <w:t>I.1.c</w:t>
            </w:r>
            <w:r>
              <w:rPr>
                <w:spacing w:val="-1"/>
              </w:rPr>
              <w:t xml:space="preserve"> </w:t>
            </w:r>
            <w:r>
              <w:t>above), including internal controls.</w:t>
            </w:r>
          </w:p>
        </w:tc>
        <w:tc>
          <w:tcPr>
            <w:tcW w:w="1144" w:type="dxa"/>
            <w:tcBorders>
              <w:top w:val="single" w:sz="4" w:space="0" w:color="000000"/>
              <w:left w:val="single" w:sz="4" w:space="0" w:color="000000"/>
              <w:bottom w:val="single" w:sz="4" w:space="0" w:color="000000"/>
              <w:right w:val="single" w:sz="4" w:space="0" w:color="000000"/>
            </w:tcBorders>
          </w:tcPr>
          <w:p w14:paraId="0DFDBFAF"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BFB0" w14:textId="77777777" w:rsidR="00046465" w:rsidRDefault="00046465">
            <w:pPr>
              <w:pStyle w:val="TableParagraph"/>
              <w:rPr>
                <w:rFonts w:ascii="Times New Roman"/>
                <w:sz w:val="20"/>
              </w:rPr>
            </w:pPr>
          </w:p>
        </w:tc>
      </w:tr>
      <w:tr w:rsidR="00046465" w14:paraId="0DFDBFB7" w14:textId="77777777">
        <w:trPr>
          <w:trHeight w:val="2889"/>
        </w:trPr>
        <w:tc>
          <w:tcPr>
            <w:tcW w:w="6696" w:type="dxa"/>
            <w:tcBorders>
              <w:top w:val="single" w:sz="4" w:space="0" w:color="000000"/>
              <w:bottom w:val="single" w:sz="4" w:space="0" w:color="000000"/>
              <w:right w:val="single" w:sz="4" w:space="0" w:color="000000"/>
            </w:tcBorders>
          </w:tcPr>
          <w:p w14:paraId="0DFDBFB2" w14:textId="77777777" w:rsidR="00046465" w:rsidRDefault="008134EB">
            <w:pPr>
              <w:pStyle w:val="TableParagraph"/>
              <w:numPr>
                <w:ilvl w:val="0"/>
                <w:numId w:val="135"/>
              </w:numPr>
              <w:tabs>
                <w:tab w:val="left" w:pos="812"/>
              </w:tabs>
              <w:spacing w:before="60"/>
              <w:ind w:right="214" w:hanging="505"/>
            </w:pPr>
            <w:r>
              <w:t>To</w:t>
            </w:r>
            <w:r>
              <w:rPr>
                <w:spacing w:val="-3"/>
              </w:rPr>
              <w:t xml:space="preserve"> </w:t>
            </w:r>
            <w:r>
              <w:t>identify</w:t>
            </w:r>
            <w:r>
              <w:rPr>
                <w:spacing w:val="-4"/>
              </w:rPr>
              <w:t xml:space="preserve"> </w:t>
            </w:r>
            <w:r>
              <w:t>material</w:t>
            </w:r>
            <w:r>
              <w:rPr>
                <w:spacing w:val="-3"/>
              </w:rPr>
              <w:t xml:space="preserve"> </w:t>
            </w:r>
            <w:r>
              <w:t>line</w:t>
            </w:r>
            <w:r>
              <w:rPr>
                <w:spacing w:val="-4"/>
              </w:rPr>
              <w:t xml:space="preserve"> </w:t>
            </w:r>
            <w:r>
              <w:t>items,</w:t>
            </w:r>
            <w:r>
              <w:rPr>
                <w:spacing w:val="-3"/>
              </w:rPr>
              <w:t xml:space="preserve"> </w:t>
            </w:r>
            <w:r>
              <w:t>accounts,</w:t>
            </w:r>
            <w:r>
              <w:rPr>
                <w:spacing w:val="-3"/>
              </w:rPr>
              <w:t xml:space="preserve"> </w:t>
            </w:r>
            <w:r>
              <w:t>note</w:t>
            </w:r>
            <w:r>
              <w:rPr>
                <w:spacing w:val="-3"/>
              </w:rPr>
              <w:t xml:space="preserve"> </w:t>
            </w:r>
            <w:r>
              <w:t>disclosures, and</w:t>
            </w:r>
            <w:r>
              <w:rPr>
                <w:spacing w:val="-5"/>
              </w:rPr>
              <w:t xml:space="preserve"> </w:t>
            </w:r>
            <w:r>
              <w:t>classes</w:t>
            </w:r>
            <w:r>
              <w:rPr>
                <w:spacing w:val="-6"/>
              </w:rPr>
              <w:t xml:space="preserve"> </w:t>
            </w:r>
            <w:r>
              <w:t>of</w:t>
            </w:r>
            <w:r>
              <w:rPr>
                <w:spacing w:val="-5"/>
              </w:rPr>
              <w:t xml:space="preserve"> </w:t>
            </w:r>
            <w:r>
              <w:t>transactions;</w:t>
            </w:r>
            <w:r>
              <w:rPr>
                <w:spacing w:val="-5"/>
              </w:rPr>
              <w:t xml:space="preserve"> </w:t>
            </w:r>
            <w:r>
              <w:t>and</w:t>
            </w:r>
            <w:r>
              <w:rPr>
                <w:spacing w:val="-5"/>
              </w:rPr>
              <w:t xml:space="preserve"> </w:t>
            </w:r>
            <w:r>
              <w:t>applicable</w:t>
            </w:r>
            <w:r>
              <w:rPr>
                <w:spacing w:val="-5"/>
              </w:rPr>
              <w:t xml:space="preserve"> </w:t>
            </w:r>
            <w:r>
              <w:t>assertions;</w:t>
            </w:r>
            <w:r>
              <w:rPr>
                <w:spacing w:val="-5"/>
              </w:rPr>
              <w:t xml:space="preserve"> </w:t>
            </w:r>
            <w:r>
              <w:t>for intragovernmental activity and balances, perform the following procedures:</w:t>
            </w:r>
          </w:p>
          <w:p w14:paraId="0DFDBFB3" w14:textId="77777777" w:rsidR="00046465" w:rsidRDefault="008134EB">
            <w:pPr>
              <w:pStyle w:val="TableParagraph"/>
              <w:numPr>
                <w:ilvl w:val="1"/>
                <w:numId w:val="135"/>
              </w:numPr>
              <w:tabs>
                <w:tab w:val="left" w:pos="1244"/>
              </w:tabs>
              <w:spacing w:before="119"/>
              <w:ind w:hanging="396"/>
            </w:pPr>
            <w:r>
              <w:t>Ask</w:t>
            </w:r>
            <w:r>
              <w:rPr>
                <w:spacing w:val="-7"/>
              </w:rPr>
              <w:t xml:space="preserve"> </w:t>
            </w:r>
            <w:r>
              <w:t>entity</w:t>
            </w:r>
            <w:r>
              <w:rPr>
                <w:spacing w:val="-6"/>
              </w:rPr>
              <w:t xml:space="preserve"> </w:t>
            </w:r>
            <w:r>
              <w:t>management</w:t>
            </w:r>
            <w:r>
              <w:rPr>
                <w:spacing w:val="-7"/>
              </w:rPr>
              <w:t xml:space="preserve"> </w:t>
            </w:r>
            <w:r>
              <w:t>to</w:t>
            </w:r>
            <w:r>
              <w:rPr>
                <w:spacing w:val="-6"/>
              </w:rPr>
              <w:t xml:space="preserve"> </w:t>
            </w:r>
            <w:r>
              <w:t>identify</w:t>
            </w:r>
            <w:r>
              <w:rPr>
                <w:spacing w:val="-7"/>
              </w:rPr>
              <w:t xml:space="preserve"> </w:t>
            </w:r>
            <w:r>
              <w:t>the</w:t>
            </w:r>
            <w:r>
              <w:rPr>
                <w:spacing w:val="-6"/>
              </w:rPr>
              <w:t xml:space="preserve"> </w:t>
            </w:r>
            <w:r>
              <w:rPr>
                <w:spacing w:val="-2"/>
              </w:rPr>
              <w:t>following:</w:t>
            </w:r>
          </w:p>
          <w:p w14:paraId="0DFDBFB4" w14:textId="77777777" w:rsidR="00046465" w:rsidRDefault="008134EB">
            <w:pPr>
              <w:pStyle w:val="TableParagraph"/>
              <w:numPr>
                <w:ilvl w:val="2"/>
                <w:numId w:val="135"/>
              </w:numPr>
              <w:tabs>
                <w:tab w:val="left" w:pos="1562"/>
              </w:tabs>
              <w:spacing w:before="120"/>
              <w:ind w:right="249"/>
            </w:pPr>
            <w:r>
              <w:t>The names of all intragovernmental trading partners, related contracts and agreements, and the volumes and dollar amounts of intragovernmental</w:t>
            </w:r>
            <w:r>
              <w:rPr>
                <w:spacing w:val="-8"/>
              </w:rPr>
              <w:t xml:space="preserve"> </w:t>
            </w:r>
            <w:r>
              <w:t>activity</w:t>
            </w:r>
            <w:r>
              <w:rPr>
                <w:spacing w:val="-8"/>
              </w:rPr>
              <w:t xml:space="preserve"> </w:t>
            </w:r>
            <w:r>
              <w:t>and</w:t>
            </w:r>
            <w:r>
              <w:rPr>
                <w:spacing w:val="-8"/>
              </w:rPr>
              <w:t xml:space="preserve"> </w:t>
            </w:r>
            <w:r>
              <w:t>balances</w:t>
            </w:r>
            <w:r>
              <w:rPr>
                <w:spacing w:val="-8"/>
              </w:rPr>
              <w:t xml:space="preserve"> </w:t>
            </w:r>
            <w:r>
              <w:t>with</w:t>
            </w:r>
            <w:r>
              <w:rPr>
                <w:spacing w:val="-8"/>
              </w:rPr>
              <w:t xml:space="preserve"> </w:t>
            </w:r>
            <w:r>
              <w:t>each trading partner.</w:t>
            </w:r>
          </w:p>
        </w:tc>
        <w:tc>
          <w:tcPr>
            <w:tcW w:w="1144" w:type="dxa"/>
            <w:tcBorders>
              <w:top w:val="single" w:sz="4" w:space="0" w:color="000000"/>
              <w:left w:val="single" w:sz="4" w:space="0" w:color="000000"/>
              <w:bottom w:val="single" w:sz="4" w:space="0" w:color="000000"/>
              <w:right w:val="single" w:sz="4" w:space="0" w:color="000000"/>
            </w:tcBorders>
          </w:tcPr>
          <w:p w14:paraId="0DFDBFB5"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BFB6" w14:textId="77777777" w:rsidR="00046465" w:rsidRDefault="00046465">
            <w:pPr>
              <w:pStyle w:val="TableParagraph"/>
              <w:rPr>
                <w:rFonts w:ascii="Times New Roman"/>
                <w:sz w:val="20"/>
              </w:rPr>
            </w:pPr>
          </w:p>
        </w:tc>
      </w:tr>
      <w:tr w:rsidR="00046465" w14:paraId="0DFDBFBB" w14:textId="77777777">
        <w:trPr>
          <w:trHeight w:val="626"/>
        </w:trPr>
        <w:tc>
          <w:tcPr>
            <w:tcW w:w="6696" w:type="dxa"/>
            <w:tcBorders>
              <w:top w:val="single" w:sz="4" w:space="0" w:color="000000"/>
              <w:bottom w:val="single" w:sz="4" w:space="0" w:color="000000"/>
              <w:right w:val="single" w:sz="4" w:space="0" w:color="000000"/>
            </w:tcBorders>
          </w:tcPr>
          <w:p w14:paraId="0DFDBFB8" w14:textId="77777777" w:rsidR="00046465" w:rsidRDefault="008134EB">
            <w:pPr>
              <w:pStyle w:val="TableParagraph"/>
              <w:tabs>
                <w:tab w:val="left" w:pos="1562"/>
              </w:tabs>
              <w:spacing w:before="60"/>
              <w:ind w:left="1562" w:right="1178" w:hanging="381"/>
            </w:pPr>
            <w:r>
              <w:rPr>
                <w:spacing w:val="-4"/>
              </w:rPr>
              <w:t>ii.</w:t>
            </w:r>
            <w:r>
              <w:tab/>
              <w:t>The nature and terms of all significant intragovernmental</w:t>
            </w:r>
            <w:r>
              <w:rPr>
                <w:spacing w:val="-13"/>
              </w:rPr>
              <w:t xml:space="preserve"> </w:t>
            </w:r>
            <w:r>
              <w:t>activity</w:t>
            </w:r>
            <w:r>
              <w:rPr>
                <w:spacing w:val="-13"/>
              </w:rPr>
              <w:t xml:space="preserve"> </w:t>
            </w:r>
            <w:r>
              <w:t>and</w:t>
            </w:r>
            <w:r>
              <w:rPr>
                <w:spacing w:val="-13"/>
              </w:rPr>
              <w:t xml:space="preserve"> </w:t>
            </w:r>
            <w:r>
              <w:t>balances.</w:t>
            </w:r>
          </w:p>
        </w:tc>
        <w:tc>
          <w:tcPr>
            <w:tcW w:w="1144" w:type="dxa"/>
            <w:tcBorders>
              <w:top w:val="single" w:sz="4" w:space="0" w:color="000000"/>
              <w:left w:val="single" w:sz="4" w:space="0" w:color="000000"/>
              <w:bottom w:val="single" w:sz="4" w:space="0" w:color="000000"/>
              <w:right w:val="single" w:sz="4" w:space="0" w:color="000000"/>
            </w:tcBorders>
          </w:tcPr>
          <w:p w14:paraId="0DFDBFB9"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BFBA" w14:textId="77777777" w:rsidR="00046465" w:rsidRDefault="00046465">
            <w:pPr>
              <w:pStyle w:val="TableParagraph"/>
              <w:rPr>
                <w:rFonts w:ascii="Times New Roman"/>
                <w:sz w:val="20"/>
              </w:rPr>
            </w:pPr>
          </w:p>
        </w:tc>
      </w:tr>
      <w:tr w:rsidR="00046465" w14:paraId="0DFDBFBF" w14:textId="77777777">
        <w:trPr>
          <w:trHeight w:val="1132"/>
        </w:trPr>
        <w:tc>
          <w:tcPr>
            <w:tcW w:w="6696" w:type="dxa"/>
            <w:tcBorders>
              <w:top w:val="single" w:sz="4" w:space="0" w:color="000000"/>
              <w:bottom w:val="single" w:sz="4" w:space="0" w:color="000000"/>
              <w:right w:val="single" w:sz="4" w:space="0" w:color="000000"/>
            </w:tcBorders>
          </w:tcPr>
          <w:p w14:paraId="0DFDBFBC" w14:textId="77777777" w:rsidR="00046465" w:rsidRDefault="008134EB">
            <w:pPr>
              <w:pStyle w:val="TableParagraph"/>
              <w:tabs>
                <w:tab w:val="left" w:pos="1562"/>
              </w:tabs>
              <w:spacing w:before="60"/>
              <w:ind w:left="1562" w:right="359" w:hanging="430"/>
            </w:pPr>
            <w:r>
              <w:rPr>
                <w:spacing w:val="-4"/>
              </w:rPr>
              <w:t>iii.</w:t>
            </w:r>
            <w:r>
              <w:tab/>
              <w:t>The intragovernmental differences that Treasury reported to the entity, are in Treasury’s dispute resolution process, or are being addressed by corrective</w:t>
            </w:r>
            <w:r>
              <w:rPr>
                <w:spacing w:val="-7"/>
              </w:rPr>
              <w:t xml:space="preserve"> </w:t>
            </w:r>
            <w:r>
              <w:t>actions</w:t>
            </w:r>
            <w:r>
              <w:rPr>
                <w:spacing w:val="-7"/>
              </w:rPr>
              <w:t xml:space="preserve"> </w:t>
            </w:r>
            <w:r>
              <w:t>that</w:t>
            </w:r>
            <w:r>
              <w:rPr>
                <w:spacing w:val="-7"/>
              </w:rPr>
              <w:t xml:space="preserve"> </w:t>
            </w:r>
            <w:r>
              <w:t>the</w:t>
            </w:r>
            <w:r>
              <w:rPr>
                <w:spacing w:val="-7"/>
              </w:rPr>
              <w:t xml:space="preserve"> </w:t>
            </w:r>
            <w:r>
              <w:t>entity</w:t>
            </w:r>
            <w:r>
              <w:rPr>
                <w:spacing w:val="-7"/>
              </w:rPr>
              <w:t xml:space="preserve"> </w:t>
            </w:r>
            <w:r>
              <w:t>is</w:t>
            </w:r>
            <w:r>
              <w:rPr>
                <w:spacing w:val="-7"/>
              </w:rPr>
              <w:t xml:space="preserve"> </w:t>
            </w:r>
            <w:r>
              <w:t>implementing.</w:t>
            </w:r>
          </w:p>
        </w:tc>
        <w:tc>
          <w:tcPr>
            <w:tcW w:w="1144" w:type="dxa"/>
            <w:tcBorders>
              <w:top w:val="single" w:sz="4" w:space="0" w:color="000000"/>
              <w:left w:val="single" w:sz="4" w:space="0" w:color="000000"/>
              <w:bottom w:val="single" w:sz="4" w:space="0" w:color="000000"/>
              <w:right w:val="single" w:sz="4" w:space="0" w:color="000000"/>
            </w:tcBorders>
          </w:tcPr>
          <w:p w14:paraId="0DFDBFBD"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BFBE" w14:textId="77777777" w:rsidR="00046465" w:rsidRDefault="00046465">
            <w:pPr>
              <w:pStyle w:val="TableParagraph"/>
              <w:rPr>
                <w:rFonts w:ascii="Times New Roman"/>
                <w:sz w:val="20"/>
              </w:rPr>
            </w:pPr>
          </w:p>
        </w:tc>
      </w:tr>
      <w:tr w:rsidR="00046465" w14:paraId="0DFDBFC3" w14:textId="77777777">
        <w:trPr>
          <w:trHeight w:val="1637"/>
        </w:trPr>
        <w:tc>
          <w:tcPr>
            <w:tcW w:w="6696" w:type="dxa"/>
            <w:tcBorders>
              <w:top w:val="single" w:sz="4" w:space="0" w:color="000000"/>
              <w:bottom w:val="single" w:sz="4" w:space="0" w:color="000000"/>
              <w:right w:val="single" w:sz="4" w:space="0" w:color="000000"/>
            </w:tcBorders>
          </w:tcPr>
          <w:p w14:paraId="0DFDBFC0" w14:textId="77777777" w:rsidR="00046465" w:rsidRDefault="008134EB">
            <w:pPr>
              <w:pStyle w:val="TableParagraph"/>
              <w:tabs>
                <w:tab w:val="left" w:pos="1244"/>
              </w:tabs>
              <w:spacing w:before="60"/>
              <w:ind w:left="1244" w:right="370" w:hanging="397"/>
            </w:pPr>
            <w:r>
              <w:rPr>
                <w:spacing w:val="-6"/>
              </w:rPr>
              <w:t>b)</w:t>
            </w:r>
            <w:r>
              <w:tab/>
              <w:t>Review vendor and customer master file listings, major contracts, and G-Invoicing/IPAC activity for intragovernmental trading partners to determine whether trading partner codes and other document identifiers</w:t>
            </w:r>
            <w:r>
              <w:rPr>
                <w:spacing w:val="-6"/>
              </w:rPr>
              <w:t xml:space="preserve"> </w:t>
            </w:r>
            <w:r>
              <w:t>are</w:t>
            </w:r>
            <w:r>
              <w:rPr>
                <w:spacing w:val="-5"/>
              </w:rPr>
              <w:t xml:space="preserve"> </w:t>
            </w:r>
            <w:r>
              <w:t>used</w:t>
            </w:r>
            <w:r>
              <w:rPr>
                <w:spacing w:val="-5"/>
              </w:rPr>
              <w:t xml:space="preserve"> </w:t>
            </w:r>
            <w:r>
              <w:t>in</w:t>
            </w:r>
            <w:r>
              <w:rPr>
                <w:spacing w:val="-5"/>
              </w:rPr>
              <w:t xml:space="preserve"> </w:t>
            </w:r>
            <w:r>
              <w:t>accordance</w:t>
            </w:r>
            <w:r>
              <w:rPr>
                <w:spacing w:val="-5"/>
              </w:rPr>
              <w:t xml:space="preserve"> </w:t>
            </w:r>
            <w:r>
              <w:t>with</w:t>
            </w:r>
            <w:r>
              <w:rPr>
                <w:spacing w:val="-5"/>
              </w:rPr>
              <w:t xml:space="preserve"> </w:t>
            </w:r>
            <w:r>
              <w:t>TFM</w:t>
            </w:r>
            <w:r>
              <w:rPr>
                <w:spacing w:val="-6"/>
              </w:rPr>
              <w:t xml:space="preserve"> </w:t>
            </w:r>
            <w:r>
              <w:t>chapter 4700 appendix 5.</w:t>
            </w:r>
          </w:p>
        </w:tc>
        <w:tc>
          <w:tcPr>
            <w:tcW w:w="1144" w:type="dxa"/>
            <w:tcBorders>
              <w:top w:val="single" w:sz="4" w:space="0" w:color="000000"/>
              <w:left w:val="single" w:sz="4" w:space="0" w:color="000000"/>
              <w:bottom w:val="single" w:sz="4" w:space="0" w:color="000000"/>
              <w:right w:val="single" w:sz="4" w:space="0" w:color="000000"/>
            </w:tcBorders>
          </w:tcPr>
          <w:p w14:paraId="0DFDBFC1"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BFC2" w14:textId="77777777" w:rsidR="00046465" w:rsidRDefault="00046465">
            <w:pPr>
              <w:pStyle w:val="TableParagraph"/>
              <w:rPr>
                <w:rFonts w:ascii="Times New Roman"/>
                <w:sz w:val="20"/>
              </w:rPr>
            </w:pPr>
          </w:p>
        </w:tc>
      </w:tr>
      <w:tr w:rsidR="00046465" w14:paraId="0DFDBFC8" w14:textId="77777777">
        <w:trPr>
          <w:trHeight w:val="1697"/>
        </w:trPr>
        <w:tc>
          <w:tcPr>
            <w:tcW w:w="6696" w:type="dxa"/>
            <w:tcBorders>
              <w:top w:val="single" w:sz="4" w:space="0" w:color="000000"/>
              <w:bottom w:val="single" w:sz="4" w:space="0" w:color="000000"/>
              <w:right w:val="single" w:sz="4" w:space="0" w:color="000000"/>
            </w:tcBorders>
          </w:tcPr>
          <w:p w14:paraId="0DFDBFC4" w14:textId="77777777" w:rsidR="00046465" w:rsidRDefault="008134EB">
            <w:pPr>
              <w:pStyle w:val="TableParagraph"/>
              <w:numPr>
                <w:ilvl w:val="0"/>
                <w:numId w:val="134"/>
              </w:numPr>
              <w:tabs>
                <w:tab w:val="left" w:pos="812"/>
              </w:tabs>
              <w:spacing w:before="60"/>
              <w:ind w:right="425"/>
            </w:pPr>
            <w:r>
              <w:t>To identify the systems or methods for the processing, accounting,</w:t>
            </w:r>
            <w:r>
              <w:rPr>
                <w:spacing w:val="-6"/>
              </w:rPr>
              <w:t xml:space="preserve"> </w:t>
            </w:r>
            <w:r>
              <w:t>and</w:t>
            </w:r>
            <w:r>
              <w:rPr>
                <w:spacing w:val="-5"/>
              </w:rPr>
              <w:t xml:space="preserve"> </w:t>
            </w:r>
            <w:r>
              <w:t>financial</w:t>
            </w:r>
            <w:r>
              <w:rPr>
                <w:spacing w:val="-5"/>
              </w:rPr>
              <w:t xml:space="preserve"> </w:t>
            </w:r>
            <w:r>
              <w:t>reporting</w:t>
            </w:r>
            <w:r>
              <w:rPr>
                <w:spacing w:val="-5"/>
              </w:rPr>
              <w:t xml:space="preserve"> </w:t>
            </w:r>
            <w:r>
              <w:t>of</w:t>
            </w:r>
            <w:r>
              <w:rPr>
                <w:spacing w:val="-6"/>
              </w:rPr>
              <w:t xml:space="preserve"> </w:t>
            </w:r>
            <w:r>
              <w:t>intragovernmental activity</w:t>
            </w:r>
            <w:r>
              <w:rPr>
                <w:spacing w:val="-7"/>
              </w:rPr>
              <w:t xml:space="preserve"> </w:t>
            </w:r>
            <w:r>
              <w:t>and</w:t>
            </w:r>
            <w:r>
              <w:rPr>
                <w:spacing w:val="-7"/>
              </w:rPr>
              <w:t xml:space="preserve"> </w:t>
            </w:r>
            <w:r>
              <w:t>balances,</w:t>
            </w:r>
            <w:r>
              <w:rPr>
                <w:spacing w:val="-7"/>
              </w:rPr>
              <w:t xml:space="preserve"> </w:t>
            </w:r>
            <w:r>
              <w:t>perform</w:t>
            </w:r>
            <w:r>
              <w:rPr>
                <w:spacing w:val="-7"/>
              </w:rPr>
              <w:t xml:space="preserve"> </w:t>
            </w:r>
            <w:r>
              <w:t>the</w:t>
            </w:r>
            <w:r>
              <w:rPr>
                <w:spacing w:val="-7"/>
              </w:rPr>
              <w:t xml:space="preserve"> </w:t>
            </w:r>
            <w:r>
              <w:t>following</w:t>
            </w:r>
            <w:r>
              <w:rPr>
                <w:spacing w:val="-7"/>
              </w:rPr>
              <w:t xml:space="preserve"> </w:t>
            </w:r>
            <w:r>
              <w:t>procedures:</w:t>
            </w:r>
          </w:p>
          <w:p w14:paraId="0DFDBFC5" w14:textId="77777777" w:rsidR="00046465" w:rsidRDefault="008134EB">
            <w:pPr>
              <w:pStyle w:val="TableParagraph"/>
              <w:numPr>
                <w:ilvl w:val="1"/>
                <w:numId w:val="134"/>
              </w:numPr>
              <w:tabs>
                <w:tab w:val="left" w:pos="1244"/>
              </w:tabs>
              <w:spacing w:before="99" w:line="250" w:lineRule="atLeast"/>
              <w:ind w:right="261" w:hanging="396"/>
            </w:pPr>
            <w:r>
              <w:t>Interview the entity’s key management about processes,</w:t>
            </w:r>
            <w:r>
              <w:rPr>
                <w:spacing w:val="-6"/>
              </w:rPr>
              <w:t xml:space="preserve"> </w:t>
            </w:r>
            <w:r>
              <w:t>for</w:t>
            </w:r>
            <w:r>
              <w:rPr>
                <w:spacing w:val="-6"/>
              </w:rPr>
              <w:t xml:space="preserve"> </w:t>
            </w:r>
            <w:r>
              <w:t>example,</w:t>
            </w:r>
            <w:r>
              <w:rPr>
                <w:spacing w:val="-6"/>
              </w:rPr>
              <w:t xml:space="preserve"> </w:t>
            </w:r>
            <w:r>
              <w:t>the</w:t>
            </w:r>
            <w:r>
              <w:rPr>
                <w:spacing w:val="-6"/>
              </w:rPr>
              <w:t xml:space="preserve"> </w:t>
            </w:r>
            <w:r>
              <w:t>systems</w:t>
            </w:r>
            <w:r>
              <w:rPr>
                <w:spacing w:val="-7"/>
              </w:rPr>
              <w:t xml:space="preserve"> </w:t>
            </w:r>
            <w:r>
              <w:t>or</w:t>
            </w:r>
            <w:r>
              <w:rPr>
                <w:spacing w:val="-6"/>
              </w:rPr>
              <w:t xml:space="preserve"> </w:t>
            </w:r>
            <w:r>
              <w:t>methods</w:t>
            </w:r>
            <w:r>
              <w:rPr>
                <w:spacing w:val="-6"/>
              </w:rPr>
              <w:t xml:space="preserve"> </w:t>
            </w:r>
            <w:r>
              <w:t>that are used to process intragovernmental activity and</w:t>
            </w:r>
          </w:p>
        </w:tc>
        <w:tc>
          <w:tcPr>
            <w:tcW w:w="1144" w:type="dxa"/>
            <w:tcBorders>
              <w:top w:val="single" w:sz="4" w:space="0" w:color="000000"/>
              <w:left w:val="single" w:sz="4" w:space="0" w:color="000000"/>
              <w:bottom w:val="single" w:sz="4" w:space="0" w:color="000000"/>
              <w:right w:val="single" w:sz="4" w:space="0" w:color="000000"/>
            </w:tcBorders>
          </w:tcPr>
          <w:p w14:paraId="0DFDBFC6"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BFC7" w14:textId="77777777" w:rsidR="00046465" w:rsidRDefault="00046465">
            <w:pPr>
              <w:pStyle w:val="TableParagraph"/>
              <w:rPr>
                <w:rFonts w:ascii="Times New Roman"/>
                <w:sz w:val="20"/>
              </w:rPr>
            </w:pPr>
          </w:p>
        </w:tc>
      </w:tr>
    </w:tbl>
    <w:p w14:paraId="0DFDBFC9" w14:textId="77777777" w:rsidR="00046465" w:rsidRDefault="008134EB">
      <w:pPr>
        <w:pStyle w:val="BodyText"/>
        <w:spacing w:before="72"/>
        <w:rPr>
          <w:sz w:val="20"/>
        </w:rPr>
      </w:pPr>
      <w:r>
        <w:rPr>
          <w:noProof/>
          <w:sz w:val="20"/>
        </w:rPr>
        <mc:AlternateContent>
          <mc:Choice Requires="wps">
            <w:drawing>
              <wp:anchor distT="0" distB="0" distL="0" distR="0" simplePos="0" relativeHeight="487717888" behindDoc="1" locked="0" layoutInCell="1" allowOverlap="1" wp14:anchorId="0DFDD70F" wp14:editId="0DFDD710">
                <wp:simplePos x="0" y="0"/>
                <wp:positionH relativeFrom="page">
                  <wp:posOffset>914400</wp:posOffset>
                </wp:positionH>
                <wp:positionV relativeFrom="paragraph">
                  <wp:posOffset>207403</wp:posOffset>
                </wp:positionV>
                <wp:extent cx="1828800" cy="5715"/>
                <wp:effectExtent l="0" t="0" r="0" b="0"/>
                <wp:wrapTopAndBottom/>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7F4E6C" id="Graphic 902" o:spid="_x0000_s1026" style="position:absolute;margin-left:1in;margin-top:16.35pt;width:2in;height:.45pt;z-index:-1559859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" path="m1828800,l,,,5321r1828800,l1828800,xe" fillcolor="black" stroked="f">
                <v:path arrowok="t"/>
                <w10:wrap type="topAndBottom" anchorx="page"/>
              </v:shape>
            </w:pict>
          </mc:Fallback>
        </mc:AlternateContent>
      </w:r>
    </w:p>
    <w:p w14:paraId="0DFDBFCA" w14:textId="77777777" w:rsidR="00046465" w:rsidRDefault="008134EB">
      <w:pPr>
        <w:spacing w:before="194"/>
        <w:ind w:left="360" w:right="749"/>
        <w:rPr>
          <w:sz w:val="18"/>
        </w:rPr>
      </w:pPr>
      <w:r>
        <w:rPr>
          <w:sz w:val="18"/>
        </w:rPr>
        <w:t>reported</w:t>
      </w:r>
      <w:r>
        <w:rPr>
          <w:spacing w:val="-4"/>
          <w:sz w:val="18"/>
        </w:rPr>
        <w:t xml:space="preserve"> </w:t>
      </w:r>
      <w:r>
        <w:rPr>
          <w:sz w:val="18"/>
        </w:rPr>
        <w:t>in</w:t>
      </w:r>
      <w:r>
        <w:rPr>
          <w:spacing w:val="-4"/>
          <w:sz w:val="18"/>
        </w:rPr>
        <w:t xml:space="preserve"> </w:t>
      </w:r>
      <w:r>
        <w:rPr>
          <w:sz w:val="18"/>
        </w:rPr>
        <w:t>the</w:t>
      </w:r>
      <w:r>
        <w:rPr>
          <w:spacing w:val="-2"/>
          <w:sz w:val="18"/>
        </w:rPr>
        <w:t xml:space="preserve"> </w:t>
      </w:r>
      <w:r>
        <w:rPr>
          <w:sz w:val="18"/>
        </w:rPr>
        <w:t>U.S.</w:t>
      </w:r>
      <w:r>
        <w:rPr>
          <w:spacing w:val="-3"/>
          <w:sz w:val="18"/>
        </w:rPr>
        <w:t xml:space="preserve"> </w:t>
      </w:r>
      <w:r>
        <w:rPr>
          <w:sz w:val="18"/>
        </w:rPr>
        <w:t>government’s</w:t>
      </w:r>
      <w:r>
        <w:rPr>
          <w:spacing w:val="-3"/>
          <w:sz w:val="18"/>
        </w:rPr>
        <w:t xml:space="preserve"> </w:t>
      </w:r>
      <w:r>
        <w:rPr>
          <w:sz w:val="18"/>
        </w:rPr>
        <w:t>consolidated</w:t>
      </w:r>
      <w:r>
        <w:rPr>
          <w:spacing w:val="-4"/>
          <w:sz w:val="18"/>
        </w:rPr>
        <w:t xml:space="preserve"> </w:t>
      </w:r>
      <w:r>
        <w:rPr>
          <w:sz w:val="18"/>
        </w:rPr>
        <w:t>financial</w:t>
      </w:r>
      <w:r>
        <w:rPr>
          <w:spacing w:val="-3"/>
          <w:sz w:val="18"/>
        </w:rPr>
        <w:t xml:space="preserve"> </w:t>
      </w:r>
      <w:r>
        <w:rPr>
          <w:sz w:val="18"/>
        </w:rPr>
        <w:t>statements.</w:t>
      </w:r>
      <w:r>
        <w:rPr>
          <w:spacing w:val="-3"/>
          <w:sz w:val="18"/>
        </w:rPr>
        <w:t xml:space="preserve"> </w:t>
      </w:r>
      <w:r>
        <w:rPr>
          <w:sz w:val="18"/>
        </w:rPr>
        <w:t>Treasury</w:t>
      </w:r>
      <w:r>
        <w:rPr>
          <w:spacing w:val="-3"/>
          <w:sz w:val="18"/>
        </w:rPr>
        <w:t xml:space="preserve"> </w:t>
      </w:r>
      <w:r>
        <w:rPr>
          <w:sz w:val="18"/>
        </w:rPr>
        <w:t>generally</w:t>
      </w:r>
      <w:r>
        <w:rPr>
          <w:spacing w:val="-3"/>
          <w:sz w:val="18"/>
        </w:rPr>
        <w:t xml:space="preserve"> </w:t>
      </w:r>
      <w:r>
        <w:rPr>
          <w:sz w:val="18"/>
        </w:rPr>
        <w:t>contacts</w:t>
      </w:r>
      <w:r>
        <w:rPr>
          <w:spacing w:val="-3"/>
          <w:sz w:val="18"/>
        </w:rPr>
        <w:t xml:space="preserve"> </w:t>
      </w:r>
      <w:r>
        <w:rPr>
          <w:sz w:val="18"/>
        </w:rPr>
        <w:t>the</w:t>
      </w:r>
      <w:r>
        <w:rPr>
          <w:spacing w:val="-4"/>
          <w:sz w:val="18"/>
        </w:rPr>
        <w:t xml:space="preserve"> </w:t>
      </w:r>
      <w:r>
        <w:rPr>
          <w:sz w:val="18"/>
        </w:rPr>
        <w:t>entities</w:t>
      </w:r>
      <w:r>
        <w:rPr>
          <w:spacing w:val="-3"/>
          <w:sz w:val="18"/>
        </w:rPr>
        <w:t xml:space="preserve"> </w:t>
      </w:r>
      <w:r>
        <w:rPr>
          <w:sz w:val="18"/>
        </w:rPr>
        <w:t>prior</w:t>
      </w:r>
      <w:r>
        <w:rPr>
          <w:spacing w:val="-3"/>
          <w:sz w:val="18"/>
        </w:rPr>
        <w:t xml:space="preserve"> </w:t>
      </w:r>
      <w:r>
        <w:rPr>
          <w:sz w:val="18"/>
        </w:rPr>
        <w:t>to making the JVs.</w:t>
      </w:r>
    </w:p>
    <w:p w14:paraId="0DFDBFCB" w14:textId="77777777" w:rsidR="00046465" w:rsidRDefault="00046465">
      <w:pPr>
        <w:rPr>
          <w:sz w:val="18"/>
        </w:rPr>
        <w:sectPr w:rsidR="00046465">
          <w:pgSz w:w="12240" w:h="15840"/>
          <w:pgMar w:top="1340" w:right="720" w:bottom="940" w:left="1080" w:header="721" w:footer="757" w:gutter="0"/>
          <w:cols w:space="720"/>
        </w:sectPr>
      </w:pPr>
    </w:p>
    <w:p w14:paraId="0DFDBFCC" w14:textId="77777777" w:rsidR="00046465" w:rsidRDefault="00046465">
      <w:pPr>
        <w:pStyle w:val="BodyText"/>
        <w:spacing w:before="9"/>
        <w:rPr>
          <w:sz w:val="11"/>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BFD0" w14:textId="77777777">
        <w:trPr>
          <w:trHeight w:val="625"/>
        </w:trPr>
        <w:tc>
          <w:tcPr>
            <w:tcW w:w="6696" w:type="dxa"/>
            <w:tcBorders>
              <w:right w:val="single" w:sz="4" w:space="0" w:color="000000"/>
            </w:tcBorders>
          </w:tcPr>
          <w:p w14:paraId="0DFDBFCD"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BFCE"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BFCF"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BFD5" w14:textId="77777777">
        <w:trPr>
          <w:trHeight w:val="784"/>
        </w:trPr>
        <w:tc>
          <w:tcPr>
            <w:tcW w:w="6696" w:type="dxa"/>
            <w:tcBorders>
              <w:bottom w:val="single" w:sz="4" w:space="0" w:color="000000"/>
              <w:right w:val="single" w:sz="4" w:space="0" w:color="000000"/>
            </w:tcBorders>
          </w:tcPr>
          <w:p w14:paraId="0DFDBFD1" w14:textId="77777777" w:rsidR="00046465" w:rsidRDefault="008134EB">
            <w:pPr>
              <w:pStyle w:val="TableParagraph"/>
              <w:spacing w:line="219" w:lineRule="exact"/>
              <w:ind w:left="1244"/>
            </w:pPr>
            <w:r>
              <w:t>balances</w:t>
            </w:r>
            <w:r>
              <w:rPr>
                <w:spacing w:val="-6"/>
              </w:rPr>
              <w:t xml:space="preserve"> </w:t>
            </w:r>
            <w:r>
              <w:t>for</w:t>
            </w:r>
            <w:r>
              <w:rPr>
                <w:spacing w:val="-7"/>
              </w:rPr>
              <w:t xml:space="preserve"> </w:t>
            </w:r>
            <w:r>
              <w:t>each</w:t>
            </w:r>
            <w:r>
              <w:rPr>
                <w:spacing w:val="-7"/>
              </w:rPr>
              <w:t xml:space="preserve"> </w:t>
            </w:r>
            <w:r>
              <w:t>audit</w:t>
            </w:r>
            <w:r>
              <w:rPr>
                <w:spacing w:val="-7"/>
              </w:rPr>
              <w:t xml:space="preserve"> </w:t>
            </w:r>
            <w:r>
              <w:t>cycle</w:t>
            </w:r>
            <w:r>
              <w:rPr>
                <w:spacing w:val="-7"/>
              </w:rPr>
              <w:t xml:space="preserve"> </w:t>
            </w:r>
            <w:r>
              <w:t>(e.g.,</w:t>
            </w:r>
            <w:r>
              <w:rPr>
                <w:spacing w:val="-7"/>
              </w:rPr>
              <w:t xml:space="preserve"> </w:t>
            </w:r>
            <w:r>
              <w:t>G-Invoicing,</w:t>
            </w:r>
            <w:r>
              <w:rPr>
                <w:spacing w:val="-7"/>
              </w:rPr>
              <w:t xml:space="preserve"> </w:t>
            </w:r>
            <w:r>
              <w:rPr>
                <w:spacing w:val="-2"/>
              </w:rPr>
              <w:t>IPAC,</w:t>
            </w:r>
          </w:p>
          <w:p w14:paraId="0DFDBFD2" w14:textId="77777777" w:rsidR="00046465" w:rsidRDefault="008134EB">
            <w:pPr>
              <w:pStyle w:val="TableParagraph"/>
              <w:ind w:left="1244"/>
            </w:pPr>
            <w:r>
              <w:t>credit</w:t>
            </w:r>
            <w:r>
              <w:rPr>
                <w:spacing w:val="-6"/>
              </w:rPr>
              <w:t xml:space="preserve"> </w:t>
            </w:r>
            <w:r>
              <w:t>cards,</w:t>
            </w:r>
            <w:r>
              <w:rPr>
                <w:spacing w:val="-7"/>
              </w:rPr>
              <w:t xml:space="preserve"> </w:t>
            </w:r>
            <w:r>
              <w:t>standard</w:t>
            </w:r>
            <w:r>
              <w:rPr>
                <w:spacing w:val="-6"/>
              </w:rPr>
              <w:t xml:space="preserve"> </w:t>
            </w:r>
            <w:r>
              <w:t>forms</w:t>
            </w:r>
            <w:r>
              <w:rPr>
                <w:spacing w:val="-6"/>
              </w:rPr>
              <w:t xml:space="preserve"> </w:t>
            </w:r>
            <w:r>
              <w:t>used</w:t>
            </w:r>
            <w:r>
              <w:rPr>
                <w:spacing w:val="-6"/>
              </w:rPr>
              <w:t xml:space="preserve"> </w:t>
            </w:r>
            <w:r>
              <w:t>to</w:t>
            </w:r>
            <w:r>
              <w:rPr>
                <w:spacing w:val="-6"/>
              </w:rPr>
              <w:t xml:space="preserve"> </w:t>
            </w:r>
            <w:r>
              <w:t>transfer</w:t>
            </w:r>
            <w:r>
              <w:rPr>
                <w:spacing w:val="-6"/>
              </w:rPr>
              <w:t xml:space="preserve"> </w:t>
            </w:r>
            <w:r>
              <w:t>funds between appropriations, etc.).</w:t>
            </w:r>
          </w:p>
        </w:tc>
        <w:tc>
          <w:tcPr>
            <w:tcW w:w="1144" w:type="dxa"/>
            <w:tcBorders>
              <w:left w:val="single" w:sz="4" w:space="0" w:color="000000"/>
              <w:bottom w:val="single" w:sz="4" w:space="0" w:color="000000"/>
              <w:right w:val="single" w:sz="4" w:space="0" w:color="000000"/>
            </w:tcBorders>
          </w:tcPr>
          <w:p w14:paraId="0DFDBFD3" w14:textId="77777777" w:rsidR="00046465" w:rsidRDefault="00046465">
            <w:pPr>
              <w:pStyle w:val="TableParagraph"/>
              <w:rPr>
                <w:rFonts w:ascii="Times New Roman"/>
                <w:sz w:val="20"/>
              </w:rPr>
            </w:pPr>
          </w:p>
        </w:tc>
        <w:tc>
          <w:tcPr>
            <w:tcW w:w="1229" w:type="dxa"/>
            <w:tcBorders>
              <w:left w:val="single" w:sz="4" w:space="0" w:color="000000"/>
              <w:bottom w:val="single" w:sz="4" w:space="0" w:color="000000"/>
            </w:tcBorders>
          </w:tcPr>
          <w:p w14:paraId="0DFDBFD4" w14:textId="77777777" w:rsidR="00046465" w:rsidRDefault="00046465">
            <w:pPr>
              <w:pStyle w:val="TableParagraph"/>
              <w:rPr>
                <w:rFonts w:ascii="Times New Roman"/>
                <w:sz w:val="20"/>
              </w:rPr>
            </w:pPr>
          </w:p>
        </w:tc>
      </w:tr>
      <w:tr w:rsidR="00046465" w14:paraId="0DFDBFD9" w14:textId="77777777">
        <w:trPr>
          <w:trHeight w:val="1131"/>
        </w:trPr>
        <w:tc>
          <w:tcPr>
            <w:tcW w:w="6696" w:type="dxa"/>
            <w:tcBorders>
              <w:top w:val="single" w:sz="4" w:space="0" w:color="000000"/>
              <w:bottom w:val="single" w:sz="4" w:space="0" w:color="000000"/>
              <w:right w:val="single" w:sz="4" w:space="0" w:color="000000"/>
            </w:tcBorders>
          </w:tcPr>
          <w:p w14:paraId="0DFDBFD6" w14:textId="77777777" w:rsidR="00046465" w:rsidRDefault="008134EB">
            <w:pPr>
              <w:pStyle w:val="TableParagraph"/>
              <w:spacing w:before="60"/>
              <w:ind w:left="1244" w:right="359" w:hanging="397"/>
              <w:jc w:val="both"/>
            </w:pPr>
            <w:r>
              <w:t>b)</w:t>
            </w:r>
            <w:r>
              <w:rPr>
                <w:spacing w:val="80"/>
              </w:rPr>
              <w:t xml:space="preserve"> </w:t>
            </w:r>
            <w:r>
              <w:t>Consider</w:t>
            </w:r>
            <w:r>
              <w:rPr>
                <w:spacing w:val="-4"/>
              </w:rPr>
              <w:t xml:space="preserve"> </w:t>
            </w:r>
            <w:r>
              <w:t>coordinating</w:t>
            </w:r>
            <w:r>
              <w:rPr>
                <w:spacing w:val="-4"/>
              </w:rPr>
              <w:t xml:space="preserve"> </w:t>
            </w:r>
            <w:r>
              <w:t>this</w:t>
            </w:r>
            <w:r>
              <w:rPr>
                <w:spacing w:val="-4"/>
              </w:rPr>
              <w:t xml:space="preserve"> </w:t>
            </w:r>
            <w:r>
              <w:t>work</w:t>
            </w:r>
            <w:r>
              <w:rPr>
                <w:spacing w:val="-4"/>
              </w:rPr>
              <w:t xml:space="preserve"> </w:t>
            </w:r>
            <w:r>
              <w:t>with</w:t>
            </w:r>
            <w:r>
              <w:rPr>
                <w:spacing w:val="-5"/>
              </w:rPr>
              <w:t xml:space="preserve"> </w:t>
            </w:r>
            <w:r>
              <w:t>the</w:t>
            </w:r>
            <w:r>
              <w:rPr>
                <w:spacing w:val="-4"/>
              </w:rPr>
              <w:t xml:space="preserve"> </w:t>
            </w:r>
            <w:r>
              <w:t>audit</w:t>
            </w:r>
            <w:r>
              <w:rPr>
                <w:spacing w:val="-4"/>
              </w:rPr>
              <w:t xml:space="preserve"> </w:t>
            </w:r>
            <w:r>
              <w:t>of</w:t>
            </w:r>
            <w:r>
              <w:rPr>
                <w:spacing w:val="-4"/>
              </w:rPr>
              <w:t xml:space="preserve"> </w:t>
            </w:r>
            <w:r>
              <w:t>like nonfederal</w:t>
            </w:r>
            <w:r>
              <w:rPr>
                <w:spacing w:val="-1"/>
              </w:rPr>
              <w:t xml:space="preserve"> </w:t>
            </w:r>
            <w:r>
              <w:t>(i.e.,</w:t>
            </w:r>
            <w:r>
              <w:rPr>
                <w:spacing w:val="-1"/>
              </w:rPr>
              <w:t xml:space="preserve"> </w:t>
            </w:r>
            <w:r>
              <w:t>non-intragovernmental)</w:t>
            </w:r>
            <w:r>
              <w:rPr>
                <w:spacing w:val="-1"/>
              </w:rPr>
              <w:t xml:space="preserve"> </w:t>
            </w:r>
            <w:r>
              <w:t>activity</w:t>
            </w:r>
            <w:r>
              <w:rPr>
                <w:spacing w:val="-1"/>
              </w:rPr>
              <w:t xml:space="preserve"> </w:t>
            </w:r>
            <w:r>
              <w:t>and balances (i.e., similar transactions by the entity with parties other than other federal entities).</w:t>
            </w:r>
          </w:p>
        </w:tc>
        <w:tc>
          <w:tcPr>
            <w:tcW w:w="1144" w:type="dxa"/>
            <w:tcBorders>
              <w:top w:val="single" w:sz="4" w:space="0" w:color="000000"/>
              <w:left w:val="single" w:sz="4" w:space="0" w:color="000000"/>
              <w:bottom w:val="single" w:sz="4" w:space="0" w:color="000000"/>
              <w:right w:val="single" w:sz="4" w:space="0" w:color="000000"/>
            </w:tcBorders>
          </w:tcPr>
          <w:p w14:paraId="0DFDBFD7"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BFD8" w14:textId="77777777" w:rsidR="00046465" w:rsidRDefault="00046465">
            <w:pPr>
              <w:pStyle w:val="TableParagraph"/>
              <w:rPr>
                <w:rFonts w:ascii="Times New Roman"/>
                <w:sz w:val="20"/>
              </w:rPr>
            </w:pPr>
          </w:p>
        </w:tc>
      </w:tr>
      <w:tr w:rsidR="00046465" w14:paraId="0DFDBFDD" w14:textId="77777777">
        <w:trPr>
          <w:trHeight w:val="1132"/>
        </w:trPr>
        <w:tc>
          <w:tcPr>
            <w:tcW w:w="6696" w:type="dxa"/>
            <w:tcBorders>
              <w:top w:val="single" w:sz="4" w:space="0" w:color="000000"/>
              <w:bottom w:val="single" w:sz="4" w:space="0" w:color="000000"/>
              <w:right w:val="single" w:sz="4" w:space="0" w:color="000000"/>
            </w:tcBorders>
          </w:tcPr>
          <w:p w14:paraId="0DFDBFDA" w14:textId="77777777" w:rsidR="00046465" w:rsidRDefault="008134EB">
            <w:pPr>
              <w:pStyle w:val="TableParagraph"/>
              <w:tabs>
                <w:tab w:val="left" w:pos="812"/>
              </w:tabs>
              <w:spacing w:before="61"/>
              <w:ind w:left="812" w:right="107" w:hanging="504"/>
            </w:pPr>
            <w:r>
              <w:rPr>
                <w:spacing w:val="-6"/>
              </w:rPr>
              <w:t>6)</w:t>
            </w:r>
            <w:r>
              <w:tab/>
              <w:t>Determine</w:t>
            </w:r>
            <w:r>
              <w:rPr>
                <w:spacing w:val="-3"/>
              </w:rPr>
              <w:t xml:space="preserve"> </w:t>
            </w:r>
            <w:r>
              <w:t>and</w:t>
            </w:r>
            <w:r>
              <w:rPr>
                <w:spacing w:val="-3"/>
              </w:rPr>
              <w:t xml:space="preserve"> </w:t>
            </w:r>
            <w:r>
              <w:t>document</w:t>
            </w:r>
            <w:r>
              <w:rPr>
                <w:spacing w:val="-3"/>
              </w:rPr>
              <w:t xml:space="preserve"> </w:t>
            </w:r>
            <w:r>
              <w:t>the</w:t>
            </w:r>
            <w:r>
              <w:rPr>
                <w:spacing w:val="-3"/>
              </w:rPr>
              <w:t xml:space="preserve"> </w:t>
            </w:r>
            <w:r>
              <w:t>intragovernmental</w:t>
            </w:r>
            <w:r>
              <w:rPr>
                <w:spacing w:val="-3"/>
              </w:rPr>
              <w:t xml:space="preserve"> </w:t>
            </w:r>
            <w:r>
              <w:t>materiality benchmark,</w:t>
            </w:r>
            <w:r>
              <w:rPr>
                <w:spacing w:val="-8"/>
              </w:rPr>
              <w:t xml:space="preserve"> </w:t>
            </w:r>
            <w:r>
              <w:t>materiality,</w:t>
            </w:r>
            <w:r>
              <w:rPr>
                <w:spacing w:val="-8"/>
              </w:rPr>
              <w:t xml:space="preserve"> </w:t>
            </w:r>
            <w:r>
              <w:t>and</w:t>
            </w:r>
            <w:r>
              <w:rPr>
                <w:spacing w:val="-8"/>
              </w:rPr>
              <w:t xml:space="preserve"> </w:t>
            </w:r>
            <w:r>
              <w:t>performance</w:t>
            </w:r>
            <w:r>
              <w:rPr>
                <w:spacing w:val="-8"/>
              </w:rPr>
              <w:t xml:space="preserve"> </w:t>
            </w:r>
            <w:r>
              <w:t>materiality,</w:t>
            </w:r>
            <w:r>
              <w:rPr>
                <w:spacing w:val="-8"/>
              </w:rPr>
              <w:t xml:space="preserve"> </w:t>
            </w:r>
            <w:r>
              <w:t>which are separate from those calculated for the financial statement audit (FAM 230).</w:t>
            </w:r>
          </w:p>
        </w:tc>
        <w:tc>
          <w:tcPr>
            <w:tcW w:w="1144" w:type="dxa"/>
            <w:tcBorders>
              <w:top w:val="single" w:sz="4" w:space="0" w:color="000000"/>
              <w:left w:val="single" w:sz="4" w:space="0" w:color="000000"/>
              <w:bottom w:val="single" w:sz="4" w:space="0" w:color="000000"/>
              <w:right w:val="single" w:sz="4" w:space="0" w:color="000000"/>
            </w:tcBorders>
          </w:tcPr>
          <w:p w14:paraId="0DFDBFDB"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BFDC" w14:textId="77777777" w:rsidR="00046465" w:rsidRDefault="00046465">
            <w:pPr>
              <w:pStyle w:val="TableParagraph"/>
              <w:rPr>
                <w:rFonts w:ascii="Times New Roman"/>
                <w:sz w:val="20"/>
              </w:rPr>
            </w:pPr>
          </w:p>
        </w:tc>
      </w:tr>
      <w:tr w:rsidR="00046465" w14:paraId="0DFDBFE1" w14:textId="77777777">
        <w:trPr>
          <w:trHeight w:val="1384"/>
        </w:trPr>
        <w:tc>
          <w:tcPr>
            <w:tcW w:w="6696" w:type="dxa"/>
            <w:tcBorders>
              <w:top w:val="single" w:sz="4" w:space="0" w:color="000000"/>
              <w:bottom w:val="single" w:sz="4" w:space="0" w:color="000000"/>
              <w:right w:val="single" w:sz="4" w:space="0" w:color="000000"/>
            </w:tcBorders>
          </w:tcPr>
          <w:p w14:paraId="0DFDBFDE" w14:textId="77777777" w:rsidR="00046465" w:rsidRDefault="008134EB">
            <w:pPr>
              <w:pStyle w:val="TableParagraph"/>
              <w:tabs>
                <w:tab w:val="left" w:pos="812"/>
              </w:tabs>
              <w:spacing w:before="60"/>
              <w:ind w:left="812" w:right="390" w:hanging="504"/>
            </w:pPr>
            <w:r>
              <w:rPr>
                <w:spacing w:val="-6"/>
              </w:rPr>
              <w:t>7)</w:t>
            </w:r>
            <w:r>
              <w:tab/>
              <w:t>Document the material line items, accounts, note disclosures, and classes of transactions; applicable assertions;</w:t>
            </w:r>
            <w:r>
              <w:rPr>
                <w:spacing w:val="-7"/>
              </w:rPr>
              <w:t xml:space="preserve"> </w:t>
            </w:r>
            <w:r>
              <w:t>identified</w:t>
            </w:r>
            <w:r>
              <w:rPr>
                <w:spacing w:val="-7"/>
              </w:rPr>
              <w:t xml:space="preserve"> </w:t>
            </w:r>
            <w:r>
              <w:t>risks</w:t>
            </w:r>
            <w:r>
              <w:rPr>
                <w:spacing w:val="-7"/>
              </w:rPr>
              <w:t xml:space="preserve"> </w:t>
            </w:r>
            <w:r>
              <w:t>of</w:t>
            </w:r>
            <w:r>
              <w:rPr>
                <w:spacing w:val="-7"/>
              </w:rPr>
              <w:t xml:space="preserve"> </w:t>
            </w:r>
            <w:r>
              <w:t>material</w:t>
            </w:r>
            <w:r>
              <w:rPr>
                <w:spacing w:val="-7"/>
              </w:rPr>
              <w:t xml:space="preserve"> </w:t>
            </w:r>
            <w:r>
              <w:t>misstatement,</w:t>
            </w:r>
            <w:r>
              <w:rPr>
                <w:spacing w:val="-7"/>
              </w:rPr>
              <w:t xml:space="preserve"> </w:t>
            </w:r>
            <w:r>
              <w:t>and inherent risk assessments on the line item risk analysis (LIRA) form (FAM 395 H) or equivalent.</w:t>
            </w:r>
          </w:p>
        </w:tc>
        <w:tc>
          <w:tcPr>
            <w:tcW w:w="1144" w:type="dxa"/>
            <w:tcBorders>
              <w:top w:val="single" w:sz="4" w:space="0" w:color="000000"/>
              <w:left w:val="single" w:sz="4" w:space="0" w:color="000000"/>
              <w:bottom w:val="single" w:sz="4" w:space="0" w:color="000000"/>
              <w:right w:val="single" w:sz="4" w:space="0" w:color="000000"/>
            </w:tcBorders>
          </w:tcPr>
          <w:p w14:paraId="0DFDBFDF"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BFE0" w14:textId="77777777" w:rsidR="00046465" w:rsidRDefault="00046465">
            <w:pPr>
              <w:pStyle w:val="TableParagraph"/>
              <w:rPr>
                <w:rFonts w:ascii="Times New Roman"/>
                <w:sz w:val="20"/>
              </w:rPr>
            </w:pPr>
          </w:p>
        </w:tc>
      </w:tr>
      <w:tr w:rsidR="00046465" w14:paraId="0DFDBFE3" w14:textId="77777777">
        <w:trPr>
          <w:trHeight w:val="467"/>
        </w:trPr>
        <w:tc>
          <w:tcPr>
            <w:tcW w:w="9069" w:type="dxa"/>
            <w:gridSpan w:val="3"/>
            <w:tcBorders>
              <w:top w:val="single" w:sz="4" w:space="0" w:color="000000"/>
              <w:bottom w:val="nil"/>
            </w:tcBorders>
          </w:tcPr>
          <w:p w14:paraId="0DFDBFE2" w14:textId="77777777" w:rsidR="00046465" w:rsidRDefault="008134EB">
            <w:pPr>
              <w:pStyle w:val="TableParagraph"/>
              <w:spacing w:before="121"/>
              <w:ind w:left="92"/>
              <w:rPr>
                <w:b/>
              </w:rPr>
            </w:pPr>
            <w:r>
              <w:rPr>
                <w:b/>
                <w:u w:val="single"/>
              </w:rPr>
              <w:t>II.</w:t>
            </w:r>
            <w:r>
              <w:rPr>
                <w:b/>
                <w:spacing w:val="-9"/>
                <w:u w:val="single"/>
              </w:rPr>
              <w:t xml:space="preserve"> </w:t>
            </w:r>
            <w:r>
              <w:rPr>
                <w:b/>
                <w:u w:val="single"/>
              </w:rPr>
              <w:t>INTERNAL</w:t>
            </w:r>
            <w:r>
              <w:rPr>
                <w:b/>
                <w:spacing w:val="-8"/>
                <w:u w:val="single"/>
              </w:rPr>
              <w:t xml:space="preserve"> </w:t>
            </w:r>
            <w:r>
              <w:rPr>
                <w:b/>
                <w:spacing w:val="-2"/>
                <w:u w:val="single"/>
              </w:rPr>
              <w:t>CONTROL</w:t>
            </w:r>
          </w:p>
        </w:tc>
      </w:tr>
      <w:tr w:rsidR="00046465" w14:paraId="0DFDBFE7" w14:textId="77777777">
        <w:trPr>
          <w:trHeight w:val="3416"/>
        </w:trPr>
        <w:tc>
          <w:tcPr>
            <w:tcW w:w="9069" w:type="dxa"/>
            <w:gridSpan w:val="3"/>
            <w:tcBorders>
              <w:top w:val="nil"/>
              <w:bottom w:val="single" w:sz="4" w:space="0" w:color="000000"/>
            </w:tcBorders>
          </w:tcPr>
          <w:p w14:paraId="0DFDBFE4" w14:textId="77777777" w:rsidR="00046465" w:rsidRDefault="008134EB">
            <w:pPr>
              <w:pStyle w:val="TableParagraph"/>
              <w:spacing w:before="85"/>
              <w:ind w:left="92" w:right="136" w:hanging="1"/>
            </w:pPr>
            <w:r>
              <w:t>Identify relevant control activities and determine whether they have been implemented (see FAM 350). A relevant control activity is an effectively designed control activity the auditor plans to test, that if implemented and operating effectively, would achieve specific control objectives that address identified risks of material misstatement at the assertion level.</w:t>
            </w:r>
            <w:r>
              <w:rPr>
                <w:spacing w:val="-4"/>
              </w:rPr>
              <w:t xml:space="preserve"> </w:t>
            </w:r>
            <w:r>
              <w:t>Audit</w:t>
            </w:r>
            <w:r>
              <w:rPr>
                <w:spacing w:val="-5"/>
              </w:rPr>
              <w:t xml:space="preserve"> </w:t>
            </w:r>
            <w:r>
              <w:t>procedures</w:t>
            </w:r>
            <w:r>
              <w:rPr>
                <w:spacing w:val="-4"/>
              </w:rPr>
              <w:t xml:space="preserve"> </w:t>
            </w:r>
            <w:r>
              <w:t>to</w:t>
            </w:r>
            <w:r>
              <w:rPr>
                <w:spacing w:val="-4"/>
              </w:rPr>
              <w:t xml:space="preserve"> </w:t>
            </w:r>
            <w:r>
              <w:t>help</w:t>
            </w:r>
            <w:r>
              <w:rPr>
                <w:spacing w:val="-4"/>
              </w:rPr>
              <w:t xml:space="preserve"> </w:t>
            </w:r>
            <w:r>
              <w:t>identify</w:t>
            </w:r>
            <w:r>
              <w:rPr>
                <w:spacing w:val="-4"/>
              </w:rPr>
              <w:t xml:space="preserve"> </w:t>
            </w:r>
            <w:r>
              <w:t>relevant</w:t>
            </w:r>
            <w:r>
              <w:rPr>
                <w:spacing w:val="-5"/>
              </w:rPr>
              <w:t xml:space="preserve"> </w:t>
            </w:r>
            <w:r>
              <w:t>control</w:t>
            </w:r>
            <w:r>
              <w:rPr>
                <w:spacing w:val="-4"/>
              </w:rPr>
              <w:t xml:space="preserve"> </w:t>
            </w:r>
            <w:r>
              <w:t>activities</w:t>
            </w:r>
            <w:r>
              <w:rPr>
                <w:spacing w:val="-4"/>
              </w:rPr>
              <w:t xml:space="preserve"> </w:t>
            </w:r>
            <w:r>
              <w:t>(existence,</w:t>
            </w:r>
            <w:r>
              <w:rPr>
                <w:spacing w:val="-4"/>
              </w:rPr>
              <w:t xml:space="preserve"> </w:t>
            </w:r>
            <w:r>
              <w:t>completeness, valuation, rights and obligations, presentation, and disclosure) are listed below per the general intragovernmental accounting and reporting phases.</w:t>
            </w:r>
          </w:p>
          <w:p w14:paraId="0DFDBFE5" w14:textId="77777777" w:rsidR="00046465" w:rsidRDefault="008134EB">
            <w:pPr>
              <w:pStyle w:val="TableParagraph"/>
              <w:spacing w:before="122"/>
              <w:ind w:left="92"/>
              <w:rPr>
                <w:sz w:val="20"/>
              </w:rPr>
            </w:pPr>
            <w:r>
              <w:rPr>
                <w:sz w:val="20"/>
              </w:rPr>
              <w:t>Note: Each general phase should include appropriate, effective controls (including documented policies</w:t>
            </w:r>
            <w:r>
              <w:rPr>
                <w:spacing w:val="-3"/>
                <w:sz w:val="20"/>
              </w:rPr>
              <w:t xml:space="preserve"> </w:t>
            </w:r>
            <w:r>
              <w:rPr>
                <w:sz w:val="20"/>
              </w:rPr>
              <w:t>and</w:t>
            </w:r>
            <w:r>
              <w:rPr>
                <w:spacing w:val="-4"/>
                <w:sz w:val="20"/>
              </w:rPr>
              <w:t xml:space="preserve"> </w:t>
            </w:r>
            <w:r>
              <w:rPr>
                <w:sz w:val="20"/>
              </w:rPr>
              <w:t>procedures).</w:t>
            </w:r>
            <w:r>
              <w:rPr>
                <w:spacing w:val="-6"/>
                <w:sz w:val="20"/>
              </w:rPr>
              <w:t xml:space="preserve"> </w:t>
            </w:r>
            <w:r>
              <w:rPr>
                <w:sz w:val="20"/>
              </w:rPr>
              <w:t>Without</w:t>
            </w:r>
            <w:r>
              <w:rPr>
                <w:spacing w:val="-4"/>
                <w:sz w:val="20"/>
              </w:rPr>
              <w:t xml:space="preserve"> </w:t>
            </w:r>
            <w:r>
              <w:rPr>
                <w:sz w:val="20"/>
              </w:rPr>
              <w:t>proper</w:t>
            </w:r>
            <w:r>
              <w:rPr>
                <w:spacing w:val="-3"/>
                <w:sz w:val="20"/>
              </w:rPr>
              <w:t xml:space="preserve"> </w:t>
            </w:r>
            <w:r>
              <w:rPr>
                <w:sz w:val="20"/>
              </w:rPr>
              <w:t>and</w:t>
            </w:r>
            <w:r>
              <w:rPr>
                <w:spacing w:val="-4"/>
                <w:sz w:val="20"/>
              </w:rPr>
              <w:t xml:space="preserve"> </w:t>
            </w:r>
            <w:r>
              <w:rPr>
                <w:sz w:val="20"/>
              </w:rPr>
              <w:t>timely</w:t>
            </w:r>
            <w:r>
              <w:rPr>
                <w:spacing w:val="-4"/>
                <w:sz w:val="20"/>
              </w:rPr>
              <w:t xml:space="preserve"> </w:t>
            </w:r>
            <w:r>
              <w:rPr>
                <w:sz w:val="20"/>
              </w:rPr>
              <w:t>reconciliation</w:t>
            </w:r>
            <w:r>
              <w:rPr>
                <w:spacing w:val="-5"/>
                <w:sz w:val="20"/>
              </w:rPr>
              <w:t xml:space="preserve"> </w:t>
            </w:r>
            <w:r>
              <w:rPr>
                <w:sz w:val="20"/>
              </w:rPr>
              <w:t>of</w:t>
            </w:r>
            <w:r>
              <w:rPr>
                <w:spacing w:val="-4"/>
                <w:sz w:val="20"/>
              </w:rPr>
              <w:t xml:space="preserve"> </w:t>
            </w:r>
            <w:r>
              <w:rPr>
                <w:sz w:val="20"/>
              </w:rPr>
              <w:t>intragovernmental</w:t>
            </w:r>
            <w:r>
              <w:rPr>
                <w:spacing w:val="-4"/>
                <w:sz w:val="20"/>
              </w:rPr>
              <w:t xml:space="preserve"> </w:t>
            </w:r>
            <w:r>
              <w:rPr>
                <w:sz w:val="20"/>
              </w:rPr>
              <w:t>activity</w:t>
            </w:r>
            <w:r>
              <w:rPr>
                <w:spacing w:val="-3"/>
                <w:sz w:val="20"/>
              </w:rPr>
              <w:t xml:space="preserve"> </w:t>
            </w:r>
            <w:r>
              <w:rPr>
                <w:sz w:val="20"/>
              </w:rPr>
              <w:t>and balances and resolution of intragovernmental differences, differences in these account balances could materially affect the balances at both the entity level and government-wide level.</w:t>
            </w:r>
          </w:p>
          <w:p w14:paraId="0DFDBFE6" w14:textId="77777777" w:rsidR="00046465" w:rsidRDefault="008134EB">
            <w:pPr>
              <w:pStyle w:val="TableParagraph"/>
              <w:ind w:left="92"/>
              <w:rPr>
                <w:sz w:val="20"/>
              </w:rPr>
            </w:pPr>
            <w:r>
              <w:rPr>
                <w:sz w:val="20"/>
              </w:rPr>
              <w:t>Consequently,</w:t>
            </w:r>
            <w:r>
              <w:rPr>
                <w:spacing w:val="-4"/>
                <w:sz w:val="20"/>
              </w:rPr>
              <w:t xml:space="preserve"> </w:t>
            </w:r>
            <w:r>
              <w:rPr>
                <w:sz w:val="20"/>
              </w:rPr>
              <w:t>a</w:t>
            </w:r>
            <w:r>
              <w:rPr>
                <w:spacing w:val="-4"/>
                <w:sz w:val="20"/>
              </w:rPr>
              <w:t xml:space="preserve"> </w:t>
            </w:r>
            <w:r>
              <w:rPr>
                <w:sz w:val="20"/>
              </w:rPr>
              <w:t>control</w:t>
            </w:r>
            <w:r>
              <w:rPr>
                <w:spacing w:val="-4"/>
                <w:sz w:val="20"/>
              </w:rPr>
              <w:t xml:space="preserve"> </w:t>
            </w:r>
            <w:r>
              <w:rPr>
                <w:sz w:val="20"/>
              </w:rPr>
              <w:t>objective</w:t>
            </w:r>
            <w:r>
              <w:rPr>
                <w:spacing w:val="-4"/>
                <w:sz w:val="20"/>
              </w:rPr>
              <w:t xml:space="preserve"> </w:t>
            </w:r>
            <w:r>
              <w:rPr>
                <w:sz w:val="20"/>
              </w:rPr>
              <w:t>is</w:t>
            </w:r>
            <w:r>
              <w:rPr>
                <w:spacing w:val="-3"/>
                <w:sz w:val="20"/>
              </w:rPr>
              <w:t xml:space="preserve"> </w:t>
            </w:r>
            <w:r>
              <w:rPr>
                <w:sz w:val="20"/>
              </w:rPr>
              <w:t>the</w:t>
            </w:r>
            <w:r>
              <w:rPr>
                <w:spacing w:val="-4"/>
                <w:sz w:val="20"/>
              </w:rPr>
              <w:t xml:space="preserve"> </w:t>
            </w:r>
            <w:r>
              <w:rPr>
                <w:sz w:val="20"/>
              </w:rPr>
              <w:t>timely</w:t>
            </w:r>
            <w:r>
              <w:rPr>
                <w:spacing w:val="-3"/>
                <w:sz w:val="20"/>
              </w:rPr>
              <w:t xml:space="preserve"> </w:t>
            </w:r>
            <w:r>
              <w:rPr>
                <w:sz w:val="20"/>
              </w:rPr>
              <w:t>resolution</w:t>
            </w:r>
            <w:r>
              <w:rPr>
                <w:spacing w:val="-4"/>
                <w:sz w:val="20"/>
              </w:rPr>
              <w:t xml:space="preserve"> </w:t>
            </w:r>
            <w:r>
              <w:rPr>
                <w:sz w:val="20"/>
              </w:rPr>
              <w:t>of</w:t>
            </w:r>
            <w:r>
              <w:rPr>
                <w:spacing w:val="-4"/>
                <w:sz w:val="20"/>
              </w:rPr>
              <w:t xml:space="preserve"> </w:t>
            </w:r>
            <w:r>
              <w:rPr>
                <w:sz w:val="20"/>
              </w:rPr>
              <w:t>intragovernmental</w:t>
            </w:r>
            <w:r>
              <w:rPr>
                <w:spacing w:val="-4"/>
                <w:sz w:val="20"/>
              </w:rPr>
              <w:t xml:space="preserve"> </w:t>
            </w:r>
            <w:r>
              <w:rPr>
                <w:sz w:val="20"/>
              </w:rPr>
              <w:t>differences</w:t>
            </w:r>
            <w:r>
              <w:rPr>
                <w:spacing w:val="-3"/>
                <w:sz w:val="20"/>
              </w:rPr>
              <w:t xml:space="preserve"> </w:t>
            </w:r>
            <w:r>
              <w:rPr>
                <w:sz w:val="20"/>
              </w:rPr>
              <w:t>(control objectives are documented in the specific control evaluation (SCE) worksheet discussed later).</w:t>
            </w:r>
          </w:p>
        </w:tc>
      </w:tr>
      <w:tr w:rsidR="00046465" w14:paraId="0DFDBFE9" w14:textId="77777777">
        <w:trPr>
          <w:trHeight w:val="372"/>
        </w:trPr>
        <w:tc>
          <w:tcPr>
            <w:tcW w:w="9069" w:type="dxa"/>
            <w:gridSpan w:val="3"/>
            <w:tcBorders>
              <w:top w:val="single" w:sz="4" w:space="0" w:color="000000"/>
              <w:bottom w:val="single" w:sz="4" w:space="0" w:color="000000"/>
            </w:tcBorders>
          </w:tcPr>
          <w:p w14:paraId="0DFDBFE8" w14:textId="77777777" w:rsidR="00046465" w:rsidRDefault="008134EB">
            <w:pPr>
              <w:pStyle w:val="TableParagraph"/>
              <w:tabs>
                <w:tab w:val="left" w:pos="1298"/>
              </w:tabs>
              <w:spacing w:before="61"/>
              <w:ind w:left="74"/>
              <w:rPr>
                <w:b/>
                <w:i/>
              </w:rPr>
            </w:pPr>
            <w:r>
              <w:rPr>
                <w:b/>
                <w:i/>
              </w:rPr>
              <w:t>Phase</w:t>
            </w:r>
            <w:r>
              <w:rPr>
                <w:b/>
                <w:i/>
                <w:spacing w:val="-8"/>
              </w:rPr>
              <w:t xml:space="preserve"> </w:t>
            </w:r>
            <w:r>
              <w:rPr>
                <w:b/>
                <w:i/>
                <w:spacing w:val="-5"/>
              </w:rPr>
              <w:t>I:</w:t>
            </w:r>
            <w:r>
              <w:rPr>
                <w:b/>
                <w:i/>
              </w:rPr>
              <w:tab/>
              <w:t>Identifying</w:t>
            </w:r>
            <w:r>
              <w:rPr>
                <w:b/>
                <w:i/>
                <w:spacing w:val="-10"/>
              </w:rPr>
              <w:t xml:space="preserve"> </w:t>
            </w:r>
            <w:r>
              <w:rPr>
                <w:b/>
                <w:i/>
              </w:rPr>
              <w:t>and</w:t>
            </w:r>
            <w:r>
              <w:rPr>
                <w:b/>
                <w:i/>
                <w:spacing w:val="-10"/>
              </w:rPr>
              <w:t xml:space="preserve"> </w:t>
            </w:r>
            <w:r>
              <w:rPr>
                <w:b/>
                <w:i/>
              </w:rPr>
              <w:t>recording</w:t>
            </w:r>
            <w:r>
              <w:rPr>
                <w:b/>
                <w:i/>
                <w:spacing w:val="-10"/>
              </w:rPr>
              <w:t xml:space="preserve"> </w:t>
            </w:r>
            <w:r>
              <w:rPr>
                <w:b/>
                <w:i/>
              </w:rPr>
              <w:t>intragovernmental</w:t>
            </w:r>
            <w:r>
              <w:rPr>
                <w:b/>
                <w:i/>
                <w:spacing w:val="-10"/>
              </w:rPr>
              <w:t xml:space="preserve"> </w:t>
            </w:r>
            <w:r>
              <w:rPr>
                <w:b/>
                <w:i/>
              </w:rPr>
              <w:t>activity</w:t>
            </w:r>
            <w:r>
              <w:rPr>
                <w:b/>
                <w:i/>
                <w:spacing w:val="-10"/>
              </w:rPr>
              <w:t xml:space="preserve"> </w:t>
            </w:r>
            <w:r>
              <w:rPr>
                <w:b/>
                <w:i/>
              </w:rPr>
              <w:t>and</w:t>
            </w:r>
            <w:r>
              <w:rPr>
                <w:b/>
                <w:i/>
                <w:spacing w:val="-10"/>
              </w:rPr>
              <w:t xml:space="preserve"> </w:t>
            </w:r>
            <w:r>
              <w:rPr>
                <w:b/>
                <w:i/>
                <w:spacing w:val="-2"/>
              </w:rPr>
              <w:t>balances</w:t>
            </w:r>
          </w:p>
        </w:tc>
      </w:tr>
      <w:tr w:rsidR="00046465" w14:paraId="0DFDBFF2" w14:textId="77777777">
        <w:trPr>
          <w:trHeight w:val="3529"/>
        </w:trPr>
        <w:tc>
          <w:tcPr>
            <w:tcW w:w="6696" w:type="dxa"/>
            <w:tcBorders>
              <w:top w:val="single" w:sz="4" w:space="0" w:color="000000"/>
              <w:bottom w:val="single" w:sz="4" w:space="0" w:color="000000"/>
              <w:right w:val="single" w:sz="4" w:space="0" w:color="000000"/>
            </w:tcBorders>
          </w:tcPr>
          <w:p w14:paraId="0DFDBFEA" w14:textId="77777777" w:rsidR="00046465" w:rsidRDefault="008134EB">
            <w:pPr>
              <w:pStyle w:val="TableParagraph"/>
              <w:numPr>
                <w:ilvl w:val="0"/>
                <w:numId w:val="133"/>
              </w:numPr>
              <w:tabs>
                <w:tab w:val="left" w:pos="846"/>
                <w:tab w:val="left" w:pos="848"/>
              </w:tabs>
              <w:spacing w:before="61"/>
              <w:ind w:right="168"/>
            </w:pPr>
            <w:r>
              <w:t>Determine, through inquiries of management, walk-throughs, reviews of prior years’ documentation, and the following</w:t>
            </w:r>
            <w:r>
              <w:rPr>
                <w:spacing w:val="-6"/>
              </w:rPr>
              <w:t xml:space="preserve"> </w:t>
            </w:r>
            <w:r>
              <w:t>procedures,</w:t>
            </w:r>
            <w:r>
              <w:rPr>
                <w:spacing w:val="-6"/>
              </w:rPr>
              <w:t xml:space="preserve"> </w:t>
            </w:r>
            <w:r>
              <w:t>how</w:t>
            </w:r>
            <w:r>
              <w:rPr>
                <w:spacing w:val="-7"/>
              </w:rPr>
              <w:t xml:space="preserve"> </w:t>
            </w:r>
            <w:r>
              <w:t>the</w:t>
            </w:r>
            <w:r>
              <w:rPr>
                <w:spacing w:val="-6"/>
              </w:rPr>
              <w:t xml:space="preserve"> </w:t>
            </w:r>
            <w:r>
              <w:t>entity</w:t>
            </w:r>
            <w:r>
              <w:rPr>
                <w:spacing w:val="-6"/>
              </w:rPr>
              <w:t xml:space="preserve"> </w:t>
            </w:r>
            <w:r>
              <w:t>identifies</w:t>
            </w:r>
            <w:r>
              <w:rPr>
                <w:spacing w:val="-6"/>
              </w:rPr>
              <w:t xml:space="preserve"> </w:t>
            </w:r>
            <w:r>
              <w:t>and</w:t>
            </w:r>
            <w:r>
              <w:rPr>
                <w:spacing w:val="-6"/>
              </w:rPr>
              <w:t xml:space="preserve"> </w:t>
            </w:r>
            <w:r>
              <w:t>records intragovernmental amounts.</w:t>
            </w:r>
          </w:p>
          <w:p w14:paraId="0DFDBFEB" w14:textId="77777777" w:rsidR="00046465" w:rsidRDefault="008134EB">
            <w:pPr>
              <w:pStyle w:val="TableParagraph"/>
              <w:numPr>
                <w:ilvl w:val="1"/>
                <w:numId w:val="133"/>
              </w:numPr>
              <w:tabs>
                <w:tab w:val="left" w:pos="1245"/>
              </w:tabs>
              <w:spacing w:before="119"/>
              <w:ind w:right="127"/>
            </w:pPr>
            <w:r>
              <w:t>Determine whether management reviews the current OMB,</w:t>
            </w:r>
            <w:r>
              <w:rPr>
                <w:spacing w:val="-6"/>
              </w:rPr>
              <w:t xml:space="preserve"> </w:t>
            </w:r>
            <w:r>
              <w:t>Treasury,</w:t>
            </w:r>
            <w:r>
              <w:rPr>
                <w:spacing w:val="-6"/>
              </w:rPr>
              <w:t xml:space="preserve"> </w:t>
            </w:r>
            <w:r>
              <w:t>and</w:t>
            </w:r>
            <w:r>
              <w:rPr>
                <w:spacing w:val="-6"/>
              </w:rPr>
              <w:t xml:space="preserve"> </w:t>
            </w:r>
            <w:r>
              <w:t>other</w:t>
            </w:r>
            <w:r>
              <w:rPr>
                <w:spacing w:val="-6"/>
              </w:rPr>
              <w:t xml:space="preserve"> </w:t>
            </w:r>
            <w:r>
              <w:t>guidance</w:t>
            </w:r>
            <w:r>
              <w:rPr>
                <w:spacing w:val="-7"/>
              </w:rPr>
              <w:t xml:space="preserve"> </w:t>
            </w:r>
            <w:r>
              <w:t>for</w:t>
            </w:r>
            <w:r>
              <w:rPr>
                <w:spacing w:val="-6"/>
              </w:rPr>
              <w:t xml:space="preserve"> </w:t>
            </w:r>
            <w:r>
              <w:t>identifying</w:t>
            </w:r>
            <w:r>
              <w:rPr>
                <w:spacing w:val="-6"/>
              </w:rPr>
              <w:t xml:space="preserve"> </w:t>
            </w:r>
            <w:r>
              <w:t>and recording</w:t>
            </w:r>
            <w:r>
              <w:rPr>
                <w:spacing w:val="-4"/>
              </w:rPr>
              <w:t xml:space="preserve"> </w:t>
            </w:r>
            <w:r>
              <w:t>intragovernmental</w:t>
            </w:r>
            <w:r>
              <w:rPr>
                <w:spacing w:val="-4"/>
              </w:rPr>
              <w:t xml:space="preserve"> </w:t>
            </w:r>
            <w:r>
              <w:t>activity</w:t>
            </w:r>
            <w:r>
              <w:rPr>
                <w:spacing w:val="-5"/>
              </w:rPr>
              <w:t xml:space="preserve"> </w:t>
            </w:r>
            <w:r>
              <w:t>and</w:t>
            </w:r>
            <w:r>
              <w:rPr>
                <w:spacing w:val="-4"/>
              </w:rPr>
              <w:t xml:space="preserve"> </w:t>
            </w:r>
            <w:r>
              <w:t>balances</w:t>
            </w:r>
            <w:r>
              <w:rPr>
                <w:spacing w:val="-2"/>
              </w:rPr>
              <w:t xml:space="preserve"> </w:t>
            </w:r>
            <w:r>
              <w:t xml:space="preserve">and updates the entity’s policies and procedures, such as </w:t>
            </w:r>
            <w:r>
              <w:rPr>
                <w:spacing w:val="-6"/>
              </w:rPr>
              <w:t>by</w:t>
            </w:r>
          </w:p>
          <w:p w14:paraId="0DFDBFEC" w14:textId="77777777" w:rsidR="00046465" w:rsidRDefault="008134EB">
            <w:pPr>
              <w:pStyle w:val="TableParagraph"/>
              <w:numPr>
                <w:ilvl w:val="2"/>
                <w:numId w:val="133"/>
              </w:numPr>
              <w:tabs>
                <w:tab w:val="left" w:pos="1652"/>
              </w:tabs>
              <w:spacing w:before="60"/>
              <w:ind w:hanging="422"/>
              <w:rPr>
                <w:i/>
              </w:rPr>
            </w:pPr>
            <w:r>
              <w:t>complying</w:t>
            </w:r>
            <w:r>
              <w:rPr>
                <w:spacing w:val="-8"/>
              </w:rPr>
              <w:t xml:space="preserve"> </w:t>
            </w:r>
            <w:r>
              <w:t>with</w:t>
            </w:r>
            <w:r>
              <w:rPr>
                <w:spacing w:val="-7"/>
              </w:rPr>
              <w:t xml:space="preserve"> </w:t>
            </w:r>
            <w:r>
              <w:t>the</w:t>
            </w:r>
            <w:r>
              <w:rPr>
                <w:spacing w:val="-7"/>
              </w:rPr>
              <w:t xml:space="preserve"> </w:t>
            </w:r>
            <w:r>
              <w:rPr>
                <w:i/>
              </w:rPr>
              <w:t>U.S.</w:t>
            </w:r>
            <w:r>
              <w:rPr>
                <w:i/>
                <w:spacing w:val="-7"/>
              </w:rPr>
              <w:t xml:space="preserve"> </w:t>
            </w:r>
            <w:r>
              <w:rPr>
                <w:i/>
              </w:rPr>
              <w:t>Standard</w:t>
            </w:r>
            <w:r>
              <w:rPr>
                <w:i/>
                <w:spacing w:val="-7"/>
              </w:rPr>
              <w:t xml:space="preserve"> </w:t>
            </w:r>
            <w:r>
              <w:rPr>
                <w:i/>
              </w:rPr>
              <w:t>General</w:t>
            </w:r>
            <w:r>
              <w:rPr>
                <w:i/>
                <w:spacing w:val="-7"/>
              </w:rPr>
              <w:t xml:space="preserve"> </w:t>
            </w:r>
            <w:r>
              <w:rPr>
                <w:i/>
                <w:spacing w:val="-2"/>
              </w:rPr>
              <w:t>Ledger</w:t>
            </w:r>
          </w:p>
          <w:p w14:paraId="0DFDBFED" w14:textId="77777777" w:rsidR="00046465" w:rsidRDefault="008134EB">
            <w:pPr>
              <w:pStyle w:val="TableParagraph"/>
              <w:spacing w:before="1"/>
              <w:ind w:left="1652"/>
            </w:pPr>
            <w:r>
              <w:t>(USSGL)</w:t>
            </w:r>
            <w:r>
              <w:rPr>
                <w:spacing w:val="-7"/>
              </w:rPr>
              <w:t xml:space="preserve"> </w:t>
            </w:r>
            <w:r>
              <w:t>at</w:t>
            </w:r>
            <w:r>
              <w:rPr>
                <w:spacing w:val="-7"/>
              </w:rPr>
              <w:t xml:space="preserve"> </w:t>
            </w:r>
            <w:r>
              <w:t>the</w:t>
            </w:r>
            <w:r>
              <w:rPr>
                <w:spacing w:val="-6"/>
              </w:rPr>
              <w:t xml:space="preserve"> </w:t>
            </w:r>
            <w:r>
              <w:t>transaction</w:t>
            </w:r>
            <w:r>
              <w:rPr>
                <w:spacing w:val="-7"/>
              </w:rPr>
              <w:t xml:space="preserve"> </w:t>
            </w:r>
            <w:r>
              <w:t>level</w:t>
            </w:r>
            <w:r>
              <w:rPr>
                <w:spacing w:val="-7"/>
              </w:rPr>
              <w:t xml:space="preserve"> </w:t>
            </w:r>
            <w:r>
              <w:t>by</w:t>
            </w:r>
            <w:r>
              <w:rPr>
                <w:spacing w:val="-6"/>
              </w:rPr>
              <w:t xml:space="preserve"> </w:t>
            </w:r>
            <w:r>
              <w:t>recording</w:t>
            </w:r>
            <w:r>
              <w:rPr>
                <w:spacing w:val="-7"/>
              </w:rPr>
              <w:t xml:space="preserve"> </w:t>
            </w:r>
            <w:r>
              <w:rPr>
                <w:spacing w:val="-5"/>
              </w:rPr>
              <w:t>(1)</w:t>
            </w:r>
          </w:p>
          <w:p w14:paraId="0DFDBFEE" w14:textId="77777777" w:rsidR="00046465" w:rsidRDefault="008134EB">
            <w:pPr>
              <w:pStyle w:val="TableParagraph"/>
              <w:spacing w:line="252" w:lineRule="exact"/>
              <w:ind w:left="1652"/>
            </w:pPr>
            <w:r>
              <w:t>the</w:t>
            </w:r>
            <w:r>
              <w:rPr>
                <w:spacing w:val="-9"/>
              </w:rPr>
              <w:t xml:space="preserve"> </w:t>
            </w:r>
            <w:r>
              <w:t>intragovernmental</w:t>
            </w:r>
            <w:r>
              <w:rPr>
                <w:spacing w:val="-9"/>
              </w:rPr>
              <w:t xml:space="preserve"> </w:t>
            </w:r>
            <w:r>
              <w:t>(i.e.,</w:t>
            </w:r>
            <w:r>
              <w:rPr>
                <w:spacing w:val="-8"/>
              </w:rPr>
              <w:t xml:space="preserve"> </w:t>
            </w:r>
            <w:r>
              <w:t>federal)</w:t>
            </w:r>
            <w:r>
              <w:rPr>
                <w:spacing w:val="-10"/>
              </w:rPr>
              <w:t xml:space="preserve"> </w:t>
            </w:r>
            <w:r>
              <w:t>attribute</w:t>
            </w:r>
            <w:r>
              <w:rPr>
                <w:spacing w:val="-9"/>
              </w:rPr>
              <w:t xml:space="preserve"> </w:t>
            </w:r>
            <w:r>
              <w:rPr>
                <w:spacing w:val="-4"/>
              </w:rPr>
              <w:t>“F,”</w:t>
            </w:r>
          </w:p>
          <w:p w14:paraId="0DFDBFEF" w14:textId="77777777" w:rsidR="00046465" w:rsidRDefault="008134EB">
            <w:pPr>
              <w:pStyle w:val="TableParagraph"/>
              <w:spacing w:line="234" w:lineRule="exact"/>
              <w:ind w:left="1652"/>
            </w:pPr>
            <w:r>
              <w:t>(2)</w:t>
            </w:r>
            <w:r>
              <w:rPr>
                <w:spacing w:val="-7"/>
              </w:rPr>
              <w:t xml:space="preserve"> </w:t>
            </w:r>
            <w:r>
              <w:t>one</w:t>
            </w:r>
            <w:r>
              <w:rPr>
                <w:spacing w:val="-7"/>
              </w:rPr>
              <w:t xml:space="preserve"> </w:t>
            </w:r>
            <w:r>
              <w:t>of</w:t>
            </w:r>
            <w:r>
              <w:rPr>
                <w:spacing w:val="-7"/>
              </w:rPr>
              <w:t xml:space="preserve"> </w:t>
            </w:r>
            <w:r>
              <w:t>the</w:t>
            </w:r>
            <w:r>
              <w:rPr>
                <w:spacing w:val="-7"/>
              </w:rPr>
              <w:t xml:space="preserve"> </w:t>
            </w:r>
            <w:r>
              <w:t>intragovernmental</w:t>
            </w:r>
            <w:r>
              <w:rPr>
                <w:spacing w:val="-7"/>
              </w:rPr>
              <w:t xml:space="preserve"> </w:t>
            </w:r>
            <w:r>
              <w:t>domains</w:t>
            </w:r>
            <w:r>
              <w:rPr>
                <w:spacing w:val="-7"/>
              </w:rPr>
              <w:t xml:space="preserve"> </w:t>
            </w:r>
            <w:r>
              <w:rPr>
                <w:spacing w:val="-4"/>
              </w:rPr>
              <w:t>(“F,”</w:t>
            </w:r>
          </w:p>
        </w:tc>
        <w:tc>
          <w:tcPr>
            <w:tcW w:w="1144" w:type="dxa"/>
            <w:tcBorders>
              <w:top w:val="single" w:sz="4" w:space="0" w:color="000000"/>
              <w:left w:val="single" w:sz="4" w:space="0" w:color="000000"/>
              <w:bottom w:val="single" w:sz="4" w:space="0" w:color="000000"/>
              <w:right w:val="single" w:sz="4" w:space="0" w:color="000000"/>
            </w:tcBorders>
          </w:tcPr>
          <w:p w14:paraId="0DFDBFF0"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BFF1" w14:textId="77777777" w:rsidR="00046465" w:rsidRDefault="00046465">
            <w:pPr>
              <w:pStyle w:val="TableParagraph"/>
              <w:rPr>
                <w:rFonts w:ascii="Times New Roman"/>
                <w:sz w:val="20"/>
              </w:rPr>
            </w:pPr>
          </w:p>
        </w:tc>
      </w:tr>
    </w:tbl>
    <w:p w14:paraId="0DFDBFF3" w14:textId="77777777" w:rsidR="00046465" w:rsidRDefault="00046465">
      <w:pPr>
        <w:pStyle w:val="TableParagraph"/>
        <w:rPr>
          <w:rFonts w:ascii="Times New Roman"/>
          <w:sz w:val="20"/>
        </w:rPr>
        <w:sectPr w:rsidR="00046465">
          <w:pgSz w:w="12240" w:h="15840"/>
          <w:pgMar w:top="1340" w:right="720" w:bottom="940" w:left="1080" w:header="721" w:footer="757" w:gutter="0"/>
          <w:cols w:space="720"/>
        </w:sectPr>
      </w:pPr>
    </w:p>
    <w:p w14:paraId="0DFDBFF4" w14:textId="77777777" w:rsidR="00046465" w:rsidRDefault="00046465">
      <w:pPr>
        <w:pStyle w:val="BodyText"/>
        <w:spacing w:before="9"/>
        <w:rPr>
          <w:sz w:val="11"/>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BFF8" w14:textId="77777777">
        <w:trPr>
          <w:trHeight w:val="625"/>
        </w:trPr>
        <w:tc>
          <w:tcPr>
            <w:tcW w:w="6696" w:type="dxa"/>
            <w:tcBorders>
              <w:right w:val="single" w:sz="4" w:space="0" w:color="000000"/>
            </w:tcBorders>
          </w:tcPr>
          <w:p w14:paraId="0DFDBFF5"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BFF6"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BFF7"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BFFE" w14:textId="77777777">
        <w:trPr>
          <w:trHeight w:val="978"/>
        </w:trPr>
        <w:tc>
          <w:tcPr>
            <w:tcW w:w="6696" w:type="dxa"/>
            <w:tcBorders>
              <w:bottom w:val="single" w:sz="4" w:space="0" w:color="000000"/>
              <w:right w:val="single" w:sz="4" w:space="0" w:color="000000"/>
            </w:tcBorders>
          </w:tcPr>
          <w:p w14:paraId="0DFDBFF9" w14:textId="77777777" w:rsidR="00046465" w:rsidRDefault="008134EB">
            <w:pPr>
              <w:pStyle w:val="TableParagraph"/>
              <w:spacing w:line="219" w:lineRule="exact"/>
              <w:ind w:left="1652"/>
            </w:pPr>
            <w:r>
              <w:t>“G,”</w:t>
            </w:r>
            <w:r>
              <w:rPr>
                <w:spacing w:val="-5"/>
              </w:rPr>
              <w:t xml:space="preserve"> </w:t>
            </w:r>
            <w:r>
              <w:t>or</w:t>
            </w:r>
            <w:r>
              <w:rPr>
                <w:spacing w:val="-4"/>
              </w:rPr>
              <w:t xml:space="preserve"> </w:t>
            </w:r>
            <w:r>
              <w:t>“Z”),</w:t>
            </w:r>
            <w:r>
              <w:rPr>
                <w:spacing w:val="-4"/>
              </w:rPr>
              <w:t xml:space="preserve"> </w:t>
            </w:r>
            <w:r>
              <w:t>and</w:t>
            </w:r>
            <w:r>
              <w:rPr>
                <w:spacing w:val="-4"/>
              </w:rPr>
              <w:t xml:space="preserve"> </w:t>
            </w:r>
            <w:r>
              <w:t>(3)</w:t>
            </w:r>
            <w:r>
              <w:rPr>
                <w:spacing w:val="-4"/>
              </w:rPr>
              <w:t xml:space="preserve"> </w:t>
            </w:r>
            <w:r>
              <w:t>the</w:t>
            </w:r>
            <w:r>
              <w:rPr>
                <w:spacing w:val="-5"/>
              </w:rPr>
              <w:t xml:space="preserve"> </w:t>
            </w:r>
            <w:r>
              <w:t>trading</w:t>
            </w:r>
            <w:r>
              <w:rPr>
                <w:spacing w:val="-4"/>
              </w:rPr>
              <w:t xml:space="preserve"> </w:t>
            </w:r>
            <w:r>
              <w:t>partner</w:t>
            </w:r>
            <w:r>
              <w:rPr>
                <w:spacing w:val="-5"/>
              </w:rPr>
              <w:t xml:space="preserve"> </w:t>
            </w:r>
            <w:r>
              <w:rPr>
                <w:spacing w:val="-2"/>
              </w:rPr>
              <w:t>identifier</w:t>
            </w:r>
          </w:p>
          <w:p w14:paraId="0DFDBFFA" w14:textId="77777777" w:rsidR="00046465" w:rsidRDefault="008134EB">
            <w:pPr>
              <w:pStyle w:val="TableParagraph"/>
              <w:ind w:left="1652"/>
            </w:pPr>
            <w:r>
              <w:t>code</w:t>
            </w:r>
            <w:r>
              <w:rPr>
                <w:spacing w:val="-7"/>
              </w:rPr>
              <w:t xml:space="preserve"> </w:t>
            </w:r>
            <w:r>
              <w:t>(TFM</w:t>
            </w:r>
            <w:r>
              <w:rPr>
                <w:spacing w:val="-7"/>
              </w:rPr>
              <w:t xml:space="preserve"> </w:t>
            </w:r>
            <w:r>
              <w:t>2-4700),</w:t>
            </w:r>
            <w:r>
              <w:rPr>
                <w:spacing w:val="-6"/>
              </w:rPr>
              <w:t xml:space="preserve"> </w:t>
            </w:r>
            <w:r>
              <w:rPr>
                <w:spacing w:val="-5"/>
              </w:rPr>
              <w:t>and</w:t>
            </w:r>
          </w:p>
          <w:p w14:paraId="0DFDBFFB" w14:textId="77777777" w:rsidR="00046465" w:rsidRDefault="008134EB">
            <w:pPr>
              <w:pStyle w:val="TableParagraph"/>
              <w:tabs>
                <w:tab w:val="left" w:pos="1652"/>
              </w:tabs>
              <w:spacing w:line="250" w:lineRule="atLeast"/>
              <w:ind w:left="1652" w:right="732" w:hanging="471"/>
              <w:rPr>
                <w:position w:val="7"/>
                <w:sz w:val="14"/>
              </w:rPr>
            </w:pPr>
            <w:r>
              <w:rPr>
                <w:spacing w:val="-4"/>
              </w:rPr>
              <w:t>ii.</w:t>
            </w:r>
            <w:r>
              <w:tab/>
              <w:t>using</w:t>
            </w:r>
            <w:r>
              <w:rPr>
                <w:spacing w:val="-8"/>
              </w:rPr>
              <w:t xml:space="preserve"> </w:t>
            </w:r>
            <w:r>
              <w:t>the</w:t>
            </w:r>
            <w:r>
              <w:rPr>
                <w:spacing w:val="-8"/>
              </w:rPr>
              <w:t xml:space="preserve"> </w:t>
            </w:r>
            <w:r>
              <w:t>correct</w:t>
            </w:r>
            <w:r>
              <w:rPr>
                <w:spacing w:val="-8"/>
              </w:rPr>
              <w:t xml:space="preserve"> </w:t>
            </w:r>
            <w:r>
              <w:t>reciprocal</w:t>
            </w:r>
            <w:r>
              <w:rPr>
                <w:spacing w:val="-8"/>
              </w:rPr>
              <w:t xml:space="preserve"> </w:t>
            </w:r>
            <w:r>
              <w:t>USSGL</w:t>
            </w:r>
            <w:r>
              <w:rPr>
                <w:spacing w:val="-7"/>
              </w:rPr>
              <w:t xml:space="preserve"> </w:t>
            </w:r>
            <w:r>
              <w:t>account categories in TFM 2-4700.</w:t>
            </w:r>
            <w:hyperlink w:anchor="_bookmark157" w:history="1">
              <w:r>
                <w:rPr>
                  <w:position w:val="7"/>
                  <w:sz w:val="14"/>
                </w:rPr>
                <w:t>17</w:t>
              </w:r>
            </w:hyperlink>
          </w:p>
        </w:tc>
        <w:tc>
          <w:tcPr>
            <w:tcW w:w="1144" w:type="dxa"/>
            <w:tcBorders>
              <w:left w:val="single" w:sz="4" w:space="0" w:color="000000"/>
              <w:bottom w:val="single" w:sz="4" w:space="0" w:color="000000"/>
              <w:right w:val="single" w:sz="4" w:space="0" w:color="000000"/>
            </w:tcBorders>
          </w:tcPr>
          <w:p w14:paraId="0DFDBFFC" w14:textId="77777777" w:rsidR="00046465" w:rsidRDefault="00046465">
            <w:pPr>
              <w:pStyle w:val="TableParagraph"/>
              <w:rPr>
                <w:rFonts w:ascii="Times New Roman"/>
                <w:sz w:val="20"/>
              </w:rPr>
            </w:pPr>
          </w:p>
        </w:tc>
        <w:tc>
          <w:tcPr>
            <w:tcW w:w="1229" w:type="dxa"/>
            <w:tcBorders>
              <w:left w:val="single" w:sz="4" w:space="0" w:color="000000"/>
              <w:bottom w:val="single" w:sz="4" w:space="0" w:color="000000"/>
            </w:tcBorders>
          </w:tcPr>
          <w:p w14:paraId="0DFDBFFD" w14:textId="77777777" w:rsidR="00046465" w:rsidRDefault="00046465">
            <w:pPr>
              <w:pStyle w:val="TableParagraph"/>
              <w:rPr>
                <w:rFonts w:ascii="Times New Roman"/>
                <w:sz w:val="20"/>
              </w:rPr>
            </w:pPr>
          </w:p>
        </w:tc>
      </w:tr>
      <w:tr w:rsidR="00046465" w14:paraId="0DFDC002" w14:textId="77777777">
        <w:trPr>
          <w:trHeight w:val="1384"/>
        </w:trPr>
        <w:tc>
          <w:tcPr>
            <w:tcW w:w="6696" w:type="dxa"/>
            <w:tcBorders>
              <w:top w:val="single" w:sz="4" w:space="0" w:color="000000"/>
              <w:bottom w:val="single" w:sz="4" w:space="0" w:color="000000"/>
              <w:right w:val="single" w:sz="4" w:space="0" w:color="000000"/>
            </w:tcBorders>
          </w:tcPr>
          <w:p w14:paraId="0DFDBFFF" w14:textId="77777777" w:rsidR="00046465" w:rsidRDefault="008134EB">
            <w:pPr>
              <w:pStyle w:val="TableParagraph"/>
              <w:tabs>
                <w:tab w:val="left" w:pos="1244"/>
              </w:tabs>
              <w:spacing w:before="60"/>
              <w:ind w:left="1244" w:right="470" w:hanging="397"/>
            </w:pPr>
            <w:r>
              <w:rPr>
                <w:spacing w:val="-6"/>
              </w:rPr>
              <w:t>b)</w:t>
            </w:r>
            <w:r>
              <w:tab/>
              <w:t>Determine whether the entity (i) identifies trading partners when transactions are initiated and on all documentation thereafter and (ii) reviews and approves</w:t>
            </w:r>
            <w:r>
              <w:rPr>
                <w:spacing w:val="-6"/>
              </w:rPr>
              <w:t xml:space="preserve"> </w:t>
            </w:r>
            <w:r>
              <w:t>the</w:t>
            </w:r>
            <w:r>
              <w:rPr>
                <w:spacing w:val="-6"/>
              </w:rPr>
              <w:t xml:space="preserve"> </w:t>
            </w:r>
            <w:r>
              <w:t>trading</w:t>
            </w:r>
            <w:r>
              <w:rPr>
                <w:spacing w:val="-6"/>
              </w:rPr>
              <w:t xml:space="preserve"> </w:t>
            </w:r>
            <w:r>
              <w:t>partner</w:t>
            </w:r>
            <w:r>
              <w:rPr>
                <w:spacing w:val="-6"/>
              </w:rPr>
              <w:t xml:space="preserve"> </w:t>
            </w:r>
            <w:r>
              <w:t>codes</w:t>
            </w:r>
            <w:r>
              <w:rPr>
                <w:spacing w:val="-7"/>
              </w:rPr>
              <w:t xml:space="preserve"> </w:t>
            </w:r>
            <w:r>
              <w:t>before</w:t>
            </w:r>
            <w:r>
              <w:rPr>
                <w:spacing w:val="-6"/>
              </w:rPr>
              <w:t xml:space="preserve"> </w:t>
            </w:r>
            <w:r>
              <w:t>they</w:t>
            </w:r>
            <w:r>
              <w:rPr>
                <w:spacing w:val="-7"/>
              </w:rPr>
              <w:t xml:space="preserve"> </w:t>
            </w:r>
            <w:r>
              <w:t>are entered into the system.</w:t>
            </w:r>
          </w:p>
        </w:tc>
        <w:tc>
          <w:tcPr>
            <w:tcW w:w="1144" w:type="dxa"/>
            <w:tcBorders>
              <w:top w:val="single" w:sz="4" w:space="0" w:color="000000"/>
              <w:left w:val="single" w:sz="4" w:space="0" w:color="000000"/>
              <w:bottom w:val="single" w:sz="4" w:space="0" w:color="000000"/>
              <w:right w:val="single" w:sz="4" w:space="0" w:color="000000"/>
            </w:tcBorders>
          </w:tcPr>
          <w:p w14:paraId="0DFDC000"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01" w14:textId="77777777" w:rsidR="00046465" w:rsidRDefault="00046465">
            <w:pPr>
              <w:pStyle w:val="TableParagraph"/>
              <w:rPr>
                <w:rFonts w:ascii="Times New Roman"/>
                <w:sz w:val="20"/>
              </w:rPr>
            </w:pPr>
          </w:p>
        </w:tc>
      </w:tr>
      <w:tr w:rsidR="00046465" w14:paraId="0DFDC006" w14:textId="77777777">
        <w:trPr>
          <w:trHeight w:val="1637"/>
        </w:trPr>
        <w:tc>
          <w:tcPr>
            <w:tcW w:w="6696" w:type="dxa"/>
            <w:tcBorders>
              <w:top w:val="single" w:sz="4" w:space="0" w:color="000000"/>
              <w:bottom w:val="single" w:sz="4" w:space="0" w:color="000000"/>
              <w:right w:val="single" w:sz="4" w:space="0" w:color="000000"/>
            </w:tcBorders>
          </w:tcPr>
          <w:p w14:paraId="0DFDC003" w14:textId="77777777" w:rsidR="00046465" w:rsidRDefault="008134EB">
            <w:pPr>
              <w:pStyle w:val="TableParagraph"/>
              <w:tabs>
                <w:tab w:val="left" w:pos="1244"/>
              </w:tabs>
              <w:spacing w:before="60"/>
              <w:ind w:left="1244" w:right="248" w:hanging="396"/>
            </w:pPr>
            <w:r>
              <w:rPr>
                <w:spacing w:val="-6"/>
              </w:rPr>
              <w:t>c)</w:t>
            </w:r>
            <w:r>
              <w:tab/>
              <w:t xml:space="preserve">Determine </w:t>
            </w:r>
            <w:r>
              <w:rPr>
                <w:i/>
              </w:rPr>
              <w:t xml:space="preserve">when </w:t>
            </w:r>
            <w:r>
              <w:t>the entity recognizes intragovernmental</w:t>
            </w:r>
            <w:r>
              <w:rPr>
                <w:spacing w:val="-8"/>
              </w:rPr>
              <w:t xml:space="preserve"> </w:t>
            </w:r>
            <w:r>
              <w:t>transactions</w:t>
            </w:r>
            <w:r>
              <w:rPr>
                <w:spacing w:val="-8"/>
              </w:rPr>
              <w:t xml:space="preserve"> </w:t>
            </w:r>
            <w:r>
              <w:t>and</w:t>
            </w:r>
            <w:r>
              <w:rPr>
                <w:spacing w:val="-8"/>
              </w:rPr>
              <w:t xml:space="preserve"> </w:t>
            </w:r>
            <w:r>
              <w:t>what</w:t>
            </w:r>
            <w:r>
              <w:rPr>
                <w:spacing w:val="-8"/>
              </w:rPr>
              <w:t xml:space="preserve"> </w:t>
            </w:r>
            <w:r>
              <w:t>controls</w:t>
            </w:r>
            <w:r>
              <w:rPr>
                <w:spacing w:val="-8"/>
              </w:rPr>
              <w:t xml:space="preserve"> </w:t>
            </w:r>
            <w:r>
              <w:t>are designed and implemented effectively to reasonably assure that the entity recognizes the transactions in the same period, and uses the same accounting methodology, as its trading partner.</w:t>
            </w:r>
          </w:p>
        </w:tc>
        <w:tc>
          <w:tcPr>
            <w:tcW w:w="1144" w:type="dxa"/>
            <w:tcBorders>
              <w:top w:val="single" w:sz="4" w:space="0" w:color="000000"/>
              <w:left w:val="single" w:sz="4" w:space="0" w:color="000000"/>
              <w:bottom w:val="single" w:sz="4" w:space="0" w:color="000000"/>
              <w:right w:val="single" w:sz="4" w:space="0" w:color="000000"/>
            </w:tcBorders>
          </w:tcPr>
          <w:p w14:paraId="0DFDC004"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05" w14:textId="77777777" w:rsidR="00046465" w:rsidRDefault="00046465">
            <w:pPr>
              <w:pStyle w:val="TableParagraph"/>
              <w:rPr>
                <w:rFonts w:ascii="Times New Roman"/>
                <w:sz w:val="20"/>
              </w:rPr>
            </w:pPr>
          </w:p>
        </w:tc>
      </w:tr>
      <w:tr w:rsidR="00046465" w14:paraId="0DFDC00A" w14:textId="77777777">
        <w:trPr>
          <w:trHeight w:val="3425"/>
        </w:trPr>
        <w:tc>
          <w:tcPr>
            <w:tcW w:w="9069" w:type="dxa"/>
            <w:gridSpan w:val="3"/>
            <w:tcBorders>
              <w:top w:val="single" w:sz="4" w:space="0" w:color="000000"/>
              <w:bottom w:val="single" w:sz="4" w:space="0" w:color="000000"/>
            </w:tcBorders>
          </w:tcPr>
          <w:p w14:paraId="0DFDC007" w14:textId="77777777" w:rsidR="00046465" w:rsidRDefault="008134EB">
            <w:pPr>
              <w:pStyle w:val="TableParagraph"/>
              <w:tabs>
                <w:tab w:val="left" w:pos="1298"/>
              </w:tabs>
              <w:spacing w:before="60"/>
              <w:ind w:left="1298" w:right="83" w:hanging="1225"/>
              <w:rPr>
                <w:b/>
                <w:i/>
              </w:rPr>
            </w:pPr>
            <w:r>
              <w:rPr>
                <w:b/>
                <w:i/>
              </w:rPr>
              <w:t>Phase II:</w:t>
            </w:r>
            <w:r>
              <w:rPr>
                <w:b/>
                <w:i/>
              </w:rPr>
              <w:tab/>
              <w:t>Reconciling entity’s records of intragovernmental activity and balances to those reported by trading partners and resolving intragovernmental differences (i.e., making adjustments so that differences no longer exist) after appropriately researching the difference, and/or completing corrective</w:t>
            </w:r>
            <w:r>
              <w:rPr>
                <w:b/>
                <w:i/>
                <w:spacing w:val="-4"/>
              </w:rPr>
              <w:t xml:space="preserve"> </w:t>
            </w:r>
            <w:r>
              <w:rPr>
                <w:b/>
                <w:i/>
              </w:rPr>
              <w:t>actions</w:t>
            </w:r>
            <w:r>
              <w:rPr>
                <w:b/>
                <w:i/>
                <w:spacing w:val="-4"/>
              </w:rPr>
              <w:t xml:space="preserve"> </w:t>
            </w:r>
            <w:r>
              <w:rPr>
                <w:b/>
                <w:i/>
              </w:rPr>
              <w:t>that</w:t>
            </w:r>
            <w:r>
              <w:rPr>
                <w:b/>
                <w:i/>
                <w:spacing w:val="-4"/>
              </w:rPr>
              <w:t xml:space="preserve"> </w:t>
            </w:r>
            <w:r>
              <w:rPr>
                <w:b/>
                <w:i/>
              </w:rPr>
              <w:t>fixed</w:t>
            </w:r>
            <w:r>
              <w:rPr>
                <w:b/>
                <w:i/>
                <w:spacing w:val="-4"/>
              </w:rPr>
              <w:t xml:space="preserve"> </w:t>
            </w:r>
            <w:r>
              <w:rPr>
                <w:b/>
                <w:i/>
              </w:rPr>
              <w:t>the</w:t>
            </w:r>
            <w:r>
              <w:rPr>
                <w:b/>
                <w:i/>
                <w:spacing w:val="-4"/>
              </w:rPr>
              <w:t xml:space="preserve"> </w:t>
            </w:r>
            <w:r>
              <w:rPr>
                <w:b/>
                <w:i/>
              </w:rPr>
              <w:t>cause</w:t>
            </w:r>
            <w:r>
              <w:rPr>
                <w:b/>
                <w:i/>
                <w:spacing w:val="-4"/>
              </w:rPr>
              <w:t xml:space="preserve"> </w:t>
            </w:r>
            <w:r>
              <w:rPr>
                <w:b/>
                <w:i/>
              </w:rPr>
              <w:t>of</w:t>
            </w:r>
            <w:r>
              <w:rPr>
                <w:b/>
                <w:i/>
                <w:spacing w:val="-4"/>
              </w:rPr>
              <w:t xml:space="preserve"> </w:t>
            </w:r>
            <w:r>
              <w:rPr>
                <w:b/>
                <w:i/>
              </w:rPr>
              <w:t>the</w:t>
            </w:r>
            <w:r>
              <w:rPr>
                <w:b/>
                <w:i/>
                <w:spacing w:val="-4"/>
              </w:rPr>
              <w:t xml:space="preserve"> </w:t>
            </w:r>
            <w:r>
              <w:rPr>
                <w:b/>
                <w:i/>
              </w:rPr>
              <w:t>difference,</w:t>
            </w:r>
            <w:r>
              <w:rPr>
                <w:b/>
                <w:i/>
                <w:spacing w:val="-4"/>
              </w:rPr>
              <w:t xml:space="preserve"> </w:t>
            </w:r>
            <w:r>
              <w:rPr>
                <w:b/>
                <w:i/>
              </w:rPr>
              <w:t>or</w:t>
            </w:r>
            <w:r>
              <w:rPr>
                <w:b/>
                <w:i/>
                <w:spacing w:val="-5"/>
              </w:rPr>
              <w:t xml:space="preserve"> </w:t>
            </w:r>
            <w:r>
              <w:rPr>
                <w:b/>
                <w:i/>
              </w:rPr>
              <w:t>after</w:t>
            </w:r>
            <w:r>
              <w:rPr>
                <w:b/>
                <w:i/>
                <w:spacing w:val="-5"/>
              </w:rPr>
              <w:t xml:space="preserve"> </w:t>
            </w:r>
            <w:r>
              <w:rPr>
                <w:b/>
                <w:i/>
              </w:rPr>
              <w:t xml:space="preserve">Treasury issued a decision as part of its dispute resolution process. Entities </w:t>
            </w:r>
            <w:r>
              <w:rPr>
                <w:b/>
                <w:i/>
                <w:spacing w:val="-2"/>
              </w:rPr>
              <w:t>should:</w:t>
            </w:r>
          </w:p>
          <w:p w14:paraId="0DFDC008" w14:textId="77777777" w:rsidR="00046465" w:rsidRDefault="008134EB">
            <w:pPr>
              <w:pStyle w:val="TableParagraph"/>
              <w:numPr>
                <w:ilvl w:val="0"/>
                <w:numId w:val="132"/>
              </w:numPr>
              <w:tabs>
                <w:tab w:val="left" w:pos="1832"/>
              </w:tabs>
              <w:spacing w:before="120"/>
              <w:ind w:right="505"/>
              <w:rPr>
                <w:b/>
                <w:i/>
              </w:rPr>
            </w:pPr>
            <w:r>
              <w:rPr>
                <w:b/>
                <w:i/>
              </w:rPr>
              <w:t>Coordinate</w:t>
            </w:r>
            <w:r>
              <w:rPr>
                <w:b/>
                <w:i/>
                <w:spacing w:val="-7"/>
              </w:rPr>
              <w:t xml:space="preserve"> </w:t>
            </w:r>
            <w:r>
              <w:rPr>
                <w:b/>
                <w:i/>
              </w:rPr>
              <w:t>with</w:t>
            </w:r>
            <w:r>
              <w:rPr>
                <w:b/>
                <w:i/>
                <w:spacing w:val="-7"/>
              </w:rPr>
              <w:t xml:space="preserve"> </w:t>
            </w:r>
            <w:r>
              <w:rPr>
                <w:b/>
                <w:i/>
              </w:rPr>
              <w:t>trading</w:t>
            </w:r>
            <w:r>
              <w:rPr>
                <w:b/>
                <w:i/>
                <w:spacing w:val="-7"/>
              </w:rPr>
              <w:t xml:space="preserve"> </w:t>
            </w:r>
            <w:r>
              <w:rPr>
                <w:b/>
                <w:i/>
              </w:rPr>
              <w:t>partners</w:t>
            </w:r>
            <w:r>
              <w:rPr>
                <w:b/>
                <w:i/>
                <w:spacing w:val="-7"/>
              </w:rPr>
              <w:t xml:space="preserve"> </w:t>
            </w:r>
            <w:r>
              <w:rPr>
                <w:b/>
                <w:i/>
              </w:rPr>
              <w:t>to</w:t>
            </w:r>
            <w:r>
              <w:rPr>
                <w:b/>
                <w:i/>
                <w:spacing w:val="-7"/>
              </w:rPr>
              <w:t xml:space="preserve"> </w:t>
            </w:r>
            <w:r>
              <w:rPr>
                <w:b/>
                <w:i/>
              </w:rPr>
              <w:t>reconcile</w:t>
            </w:r>
            <w:r>
              <w:rPr>
                <w:b/>
                <w:i/>
                <w:spacing w:val="-7"/>
              </w:rPr>
              <w:t xml:space="preserve"> </w:t>
            </w:r>
            <w:r>
              <w:rPr>
                <w:b/>
                <w:i/>
              </w:rPr>
              <w:t>intragovernmental activity and balances, and</w:t>
            </w:r>
          </w:p>
          <w:p w14:paraId="0DFDC009" w14:textId="77777777" w:rsidR="00046465" w:rsidRDefault="008134EB">
            <w:pPr>
              <w:pStyle w:val="TableParagraph"/>
              <w:numPr>
                <w:ilvl w:val="0"/>
                <w:numId w:val="132"/>
              </w:numPr>
              <w:tabs>
                <w:tab w:val="left" w:pos="1832"/>
              </w:tabs>
              <w:spacing w:before="118"/>
              <w:ind w:right="467"/>
              <w:rPr>
                <w:b/>
                <w:i/>
              </w:rPr>
            </w:pPr>
            <w:r>
              <w:rPr>
                <w:b/>
                <w:i/>
              </w:rPr>
              <w:t>Resolve differences by either recording an adjustment in the entity’s</w:t>
            </w:r>
            <w:r>
              <w:rPr>
                <w:b/>
                <w:i/>
                <w:spacing w:val="-5"/>
              </w:rPr>
              <w:t xml:space="preserve"> </w:t>
            </w:r>
            <w:r>
              <w:rPr>
                <w:b/>
                <w:i/>
              </w:rPr>
              <w:t>accounting</w:t>
            </w:r>
            <w:r>
              <w:rPr>
                <w:b/>
                <w:i/>
                <w:spacing w:val="-5"/>
              </w:rPr>
              <w:t xml:space="preserve"> </w:t>
            </w:r>
            <w:r>
              <w:rPr>
                <w:b/>
                <w:i/>
              </w:rPr>
              <w:t>records</w:t>
            </w:r>
            <w:r>
              <w:rPr>
                <w:b/>
                <w:i/>
                <w:spacing w:val="-5"/>
              </w:rPr>
              <w:t xml:space="preserve"> </w:t>
            </w:r>
            <w:r>
              <w:rPr>
                <w:b/>
                <w:i/>
              </w:rPr>
              <w:t>OR</w:t>
            </w:r>
            <w:r>
              <w:rPr>
                <w:b/>
                <w:i/>
                <w:spacing w:val="-6"/>
              </w:rPr>
              <w:t xml:space="preserve"> </w:t>
            </w:r>
            <w:r>
              <w:rPr>
                <w:b/>
                <w:i/>
              </w:rPr>
              <w:t>verifying</w:t>
            </w:r>
            <w:r>
              <w:rPr>
                <w:b/>
                <w:i/>
                <w:spacing w:val="-5"/>
              </w:rPr>
              <w:t xml:space="preserve"> </w:t>
            </w:r>
            <w:r>
              <w:rPr>
                <w:b/>
                <w:i/>
              </w:rPr>
              <w:t>that</w:t>
            </w:r>
            <w:r>
              <w:rPr>
                <w:b/>
                <w:i/>
                <w:spacing w:val="-5"/>
              </w:rPr>
              <w:t xml:space="preserve"> </w:t>
            </w:r>
            <w:r>
              <w:rPr>
                <w:b/>
                <w:i/>
              </w:rPr>
              <w:t>the</w:t>
            </w:r>
            <w:r>
              <w:rPr>
                <w:b/>
                <w:i/>
                <w:spacing w:val="-5"/>
              </w:rPr>
              <w:t xml:space="preserve"> </w:t>
            </w:r>
            <w:r>
              <w:rPr>
                <w:b/>
                <w:i/>
              </w:rPr>
              <w:t>trading</w:t>
            </w:r>
            <w:r>
              <w:rPr>
                <w:b/>
                <w:i/>
                <w:spacing w:val="-5"/>
              </w:rPr>
              <w:t xml:space="preserve"> </w:t>
            </w:r>
            <w:r>
              <w:rPr>
                <w:b/>
                <w:i/>
              </w:rPr>
              <w:t>partner recorded an adjustment in its accounting records.</w:t>
            </w:r>
          </w:p>
        </w:tc>
      </w:tr>
      <w:tr w:rsidR="00046465" w14:paraId="0DFDC00E" w14:textId="77777777">
        <w:trPr>
          <w:trHeight w:val="1132"/>
        </w:trPr>
        <w:tc>
          <w:tcPr>
            <w:tcW w:w="6696" w:type="dxa"/>
            <w:tcBorders>
              <w:top w:val="single" w:sz="4" w:space="0" w:color="000000"/>
              <w:bottom w:val="single" w:sz="4" w:space="0" w:color="000000"/>
              <w:right w:val="single" w:sz="4" w:space="0" w:color="000000"/>
            </w:tcBorders>
          </w:tcPr>
          <w:p w14:paraId="0DFDC00B" w14:textId="77777777" w:rsidR="00046465" w:rsidRDefault="008134EB">
            <w:pPr>
              <w:pStyle w:val="TableParagraph"/>
              <w:spacing w:before="60"/>
              <w:ind w:left="1172" w:right="121" w:hanging="360"/>
            </w:pPr>
            <w:r>
              <w:t>2)</w:t>
            </w:r>
            <w:r>
              <w:rPr>
                <w:spacing w:val="80"/>
              </w:rPr>
              <w:t xml:space="preserve"> </w:t>
            </w:r>
            <w:r>
              <w:t>Determine, through inquiries of management, walk-throughs, reviews of prior years’ documentation, and the</w:t>
            </w:r>
            <w:r>
              <w:rPr>
                <w:spacing w:val="-5"/>
              </w:rPr>
              <w:t xml:space="preserve"> </w:t>
            </w:r>
            <w:r>
              <w:t>following</w:t>
            </w:r>
            <w:r>
              <w:rPr>
                <w:spacing w:val="-6"/>
              </w:rPr>
              <w:t xml:space="preserve"> </w:t>
            </w:r>
            <w:r>
              <w:t>procedures,</w:t>
            </w:r>
            <w:r>
              <w:rPr>
                <w:spacing w:val="-6"/>
              </w:rPr>
              <w:t xml:space="preserve"> </w:t>
            </w:r>
            <w:r>
              <w:t>how</w:t>
            </w:r>
            <w:r>
              <w:rPr>
                <w:spacing w:val="-6"/>
              </w:rPr>
              <w:t xml:space="preserve"> </w:t>
            </w:r>
            <w:r>
              <w:t>the</w:t>
            </w:r>
            <w:r>
              <w:rPr>
                <w:spacing w:val="-5"/>
              </w:rPr>
              <w:t xml:space="preserve"> </w:t>
            </w:r>
            <w:r>
              <w:t>entity</w:t>
            </w:r>
            <w:r>
              <w:rPr>
                <w:spacing w:val="-5"/>
              </w:rPr>
              <w:t xml:space="preserve"> </w:t>
            </w:r>
            <w:r>
              <w:rPr>
                <w:u w:val="single"/>
              </w:rPr>
              <w:t>reconciles</w:t>
            </w:r>
            <w:r>
              <w:rPr>
                <w:spacing w:val="-4"/>
              </w:rPr>
              <w:t xml:space="preserve"> </w:t>
            </w:r>
            <w:r>
              <w:t>its intragovernmental amounts with its trading partners.</w:t>
            </w:r>
          </w:p>
        </w:tc>
        <w:tc>
          <w:tcPr>
            <w:tcW w:w="1144" w:type="dxa"/>
            <w:tcBorders>
              <w:top w:val="single" w:sz="4" w:space="0" w:color="000000"/>
              <w:left w:val="single" w:sz="4" w:space="0" w:color="000000"/>
              <w:bottom w:val="single" w:sz="4" w:space="0" w:color="000000"/>
              <w:right w:val="single" w:sz="4" w:space="0" w:color="000000"/>
            </w:tcBorders>
          </w:tcPr>
          <w:p w14:paraId="0DFDC00C"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0D" w14:textId="77777777" w:rsidR="00046465" w:rsidRDefault="00046465">
            <w:pPr>
              <w:pStyle w:val="TableParagraph"/>
              <w:rPr>
                <w:rFonts w:ascii="Times New Roman"/>
                <w:sz w:val="20"/>
              </w:rPr>
            </w:pPr>
          </w:p>
        </w:tc>
      </w:tr>
      <w:tr w:rsidR="00046465" w14:paraId="0DFDC012" w14:textId="77777777">
        <w:trPr>
          <w:trHeight w:val="1384"/>
        </w:trPr>
        <w:tc>
          <w:tcPr>
            <w:tcW w:w="6696" w:type="dxa"/>
            <w:tcBorders>
              <w:top w:val="single" w:sz="4" w:space="0" w:color="000000"/>
              <w:bottom w:val="single" w:sz="4" w:space="0" w:color="000000"/>
              <w:right w:val="single" w:sz="4" w:space="0" w:color="000000"/>
            </w:tcBorders>
          </w:tcPr>
          <w:p w14:paraId="0DFDC00F" w14:textId="77777777" w:rsidR="00046465" w:rsidRDefault="008134EB">
            <w:pPr>
              <w:pStyle w:val="TableParagraph"/>
              <w:spacing w:before="60"/>
              <w:ind w:left="1568" w:right="153" w:hanging="361"/>
            </w:pPr>
            <w:r>
              <w:t>a)</w:t>
            </w:r>
            <w:r>
              <w:rPr>
                <w:spacing w:val="80"/>
              </w:rPr>
              <w:t xml:space="preserve"> </w:t>
            </w:r>
            <w:r>
              <w:t>Determine whether the entity has established processes, including routine communication and confirmations, with each trading partner to reconcile</w:t>
            </w:r>
            <w:r>
              <w:rPr>
                <w:spacing w:val="-11"/>
              </w:rPr>
              <w:t xml:space="preserve"> </w:t>
            </w:r>
            <w:r>
              <w:t>intragovernmental</w:t>
            </w:r>
            <w:r>
              <w:rPr>
                <w:spacing w:val="-10"/>
              </w:rPr>
              <w:t xml:space="preserve"> </w:t>
            </w:r>
            <w:r>
              <w:t>activity</w:t>
            </w:r>
            <w:r>
              <w:rPr>
                <w:spacing w:val="-11"/>
              </w:rPr>
              <w:t xml:space="preserve"> </w:t>
            </w:r>
            <w:r>
              <w:t>and</w:t>
            </w:r>
            <w:r>
              <w:rPr>
                <w:spacing w:val="-10"/>
              </w:rPr>
              <w:t xml:space="preserve"> </w:t>
            </w:r>
            <w:r>
              <w:t xml:space="preserve">balances </w:t>
            </w:r>
            <w:r>
              <w:rPr>
                <w:spacing w:val="-2"/>
              </w:rPr>
              <w:t>timely.</w:t>
            </w:r>
          </w:p>
        </w:tc>
        <w:tc>
          <w:tcPr>
            <w:tcW w:w="1144" w:type="dxa"/>
            <w:tcBorders>
              <w:top w:val="single" w:sz="4" w:space="0" w:color="000000"/>
              <w:left w:val="single" w:sz="4" w:space="0" w:color="000000"/>
              <w:bottom w:val="single" w:sz="4" w:space="0" w:color="000000"/>
              <w:right w:val="single" w:sz="4" w:space="0" w:color="000000"/>
            </w:tcBorders>
          </w:tcPr>
          <w:p w14:paraId="0DFDC010"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11" w14:textId="77777777" w:rsidR="00046465" w:rsidRDefault="00046465">
            <w:pPr>
              <w:pStyle w:val="TableParagraph"/>
              <w:rPr>
                <w:rFonts w:ascii="Times New Roman"/>
                <w:sz w:val="20"/>
              </w:rPr>
            </w:pPr>
          </w:p>
        </w:tc>
      </w:tr>
      <w:tr w:rsidR="00046465" w14:paraId="0DFDC016" w14:textId="77777777">
        <w:trPr>
          <w:trHeight w:val="566"/>
        </w:trPr>
        <w:tc>
          <w:tcPr>
            <w:tcW w:w="6696" w:type="dxa"/>
            <w:tcBorders>
              <w:top w:val="single" w:sz="4" w:space="0" w:color="000000"/>
              <w:bottom w:val="single" w:sz="4" w:space="0" w:color="000000"/>
              <w:right w:val="single" w:sz="4" w:space="0" w:color="000000"/>
            </w:tcBorders>
          </w:tcPr>
          <w:p w14:paraId="0DFDC013" w14:textId="77777777" w:rsidR="00046465" w:rsidRDefault="008134EB">
            <w:pPr>
              <w:pStyle w:val="TableParagraph"/>
              <w:spacing w:before="40" w:line="250" w:lineRule="atLeast"/>
              <w:ind w:left="1568" w:right="121" w:hanging="360"/>
            </w:pPr>
            <w:r>
              <w:t>b)</w:t>
            </w:r>
            <w:r>
              <w:rPr>
                <w:spacing w:val="80"/>
              </w:rPr>
              <w:t xml:space="preserve"> </w:t>
            </w:r>
            <w:r>
              <w:t>Determine whether management reviews the current</w:t>
            </w:r>
            <w:r>
              <w:rPr>
                <w:spacing w:val="-6"/>
              </w:rPr>
              <w:t xml:space="preserve"> </w:t>
            </w:r>
            <w:r>
              <w:t>OMB,</w:t>
            </w:r>
            <w:r>
              <w:rPr>
                <w:spacing w:val="-6"/>
              </w:rPr>
              <w:t xml:space="preserve"> </w:t>
            </w:r>
            <w:r>
              <w:t>Treasury,</w:t>
            </w:r>
            <w:r>
              <w:rPr>
                <w:spacing w:val="-7"/>
              </w:rPr>
              <w:t xml:space="preserve"> </w:t>
            </w:r>
            <w:r>
              <w:t>and</w:t>
            </w:r>
            <w:r>
              <w:rPr>
                <w:spacing w:val="-6"/>
              </w:rPr>
              <w:t xml:space="preserve"> </w:t>
            </w:r>
            <w:r>
              <w:t>other</w:t>
            </w:r>
            <w:r>
              <w:rPr>
                <w:spacing w:val="-6"/>
              </w:rPr>
              <w:t xml:space="preserve"> </w:t>
            </w:r>
            <w:r>
              <w:t>guidance</w:t>
            </w:r>
            <w:r>
              <w:rPr>
                <w:spacing w:val="-6"/>
              </w:rPr>
              <w:t xml:space="preserve"> </w:t>
            </w:r>
            <w:r>
              <w:t>for</w:t>
            </w:r>
          </w:p>
        </w:tc>
        <w:tc>
          <w:tcPr>
            <w:tcW w:w="1144" w:type="dxa"/>
            <w:tcBorders>
              <w:top w:val="single" w:sz="4" w:space="0" w:color="000000"/>
              <w:left w:val="single" w:sz="4" w:space="0" w:color="000000"/>
              <w:bottom w:val="single" w:sz="4" w:space="0" w:color="000000"/>
              <w:right w:val="single" w:sz="4" w:space="0" w:color="000000"/>
            </w:tcBorders>
          </w:tcPr>
          <w:p w14:paraId="0DFDC014"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15" w14:textId="77777777" w:rsidR="00046465" w:rsidRDefault="00046465">
            <w:pPr>
              <w:pStyle w:val="TableParagraph"/>
              <w:rPr>
                <w:rFonts w:ascii="Times New Roman"/>
                <w:sz w:val="20"/>
              </w:rPr>
            </w:pPr>
          </w:p>
        </w:tc>
      </w:tr>
    </w:tbl>
    <w:p w14:paraId="0DFDC017" w14:textId="77777777" w:rsidR="00046465" w:rsidRDefault="008134EB">
      <w:pPr>
        <w:pStyle w:val="BodyText"/>
        <w:spacing w:before="153"/>
        <w:rPr>
          <w:sz w:val="20"/>
        </w:rPr>
      </w:pPr>
      <w:r>
        <w:rPr>
          <w:noProof/>
          <w:sz w:val="20"/>
        </w:rPr>
        <mc:AlternateContent>
          <mc:Choice Requires="wps">
            <w:drawing>
              <wp:anchor distT="0" distB="0" distL="0" distR="0" simplePos="0" relativeHeight="487718400" behindDoc="1" locked="0" layoutInCell="1" allowOverlap="1" wp14:anchorId="0DFDD711" wp14:editId="0DFDD712">
                <wp:simplePos x="0" y="0"/>
                <wp:positionH relativeFrom="page">
                  <wp:posOffset>914400</wp:posOffset>
                </wp:positionH>
                <wp:positionV relativeFrom="paragraph">
                  <wp:posOffset>258952</wp:posOffset>
                </wp:positionV>
                <wp:extent cx="1828800" cy="5715"/>
                <wp:effectExtent l="0" t="0" r="0" b="0"/>
                <wp:wrapTopAndBottom/>
                <wp:docPr id="903" name="Graphic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A1980B" id="Graphic 903" o:spid="_x0000_s1026" style="position:absolute;margin-left:1in;margin-top:20.4pt;width:2in;height:.45pt;z-index:-1559808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" path="m1828800,l,,,5333r1828800,l1828800,xe" fillcolor="black" stroked="f">
                <v:path arrowok="t"/>
                <w10:wrap type="topAndBottom" anchorx="page"/>
              </v:shape>
            </w:pict>
          </mc:Fallback>
        </mc:AlternateContent>
      </w:r>
    </w:p>
    <w:p w14:paraId="0DFDC018" w14:textId="77777777" w:rsidR="00046465" w:rsidRDefault="008134EB">
      <w:pPr>
        <w:spacing w:before="202" w:line="242" w:lineRule="auto"/>
        <w:ind w:left="359" w:right="805"/>
        <w:rPr>
          <w:sz w:val="18"/>
        </w:rPr>
      </w:pPr>
      <w:bookmarkStart w:id="278" w:name="_bookmark157"/>
      <w:bookmarkEnd w:id="278"/>
      <w:r>
        <w:rPr>
          <w:position w:val="7"/>
          <w:sz w:val="14"/>
        </w:rPr>
        <w:t>17</w:t>
      </w:r>
      <w:r>
        <w:rPr>
          <w:sz w:val="18"/>
        </w:rPr>
        <w:t>Reciprocal accounts are offsetting USSGL accounts used by inter-entity trading partners to record transactions (e.g., a seller’s receivable account and a buyer’s corresponding payable account). Treasury groups these USSGL accounts</w:t>
      </w:r>
      <w:r>
        <w:rPr>
          <w:spacing w:val="-2"/>
          <w:sz w:val="18"/>
        </w:rPr>
        <w:t xml:space="preserve"> </w:t>
      </w:r>
      <w:r>
        <w:rPr>
          <w:sz w:val="18"/>
        </w:rPr>
        <w:t>into</w:t>
      </w:r>
      <w:r>
        <w:rPr>
          <w:spacing w:val="-3"/>
          <w:sz w:val="18"/>
        </w:rPr>
        <w:t xml:space="preserve"> </w:t>
      </w:r>
      <w:r>
        <w:rPr>
          <w:sz w:val="18"/>
        </w:rPr>
        <w:t>“reciprocal</w:t>
      </w:r>
      <w:r>
        <w:rPr>
          <w:spacing w:val="-2"/>
          <w:sz w:val="18"/>
        </w:rPr>
        <w:t xml:space="preserve"> </w:t>
      </w:r>
      <w:r>
        <w:rPr>
          <w:sz w:val="18"/>
        </w:rPr>
        <w:t>categories,”</w:t>
      </w:r>
      <w:r>
        <w:rPr>
          <w:spacing w:val="-2"/>
          <w:sz w:val="18"/>
        </w:rPr>
        <w:t xml:space="preserve"> </w:t>
      </w:r>
      <w:r>
        <w:rPr>
          <w:sz w:val="18"/>
        </w:rPr>
        <w:t>which</w:t>
      </w:r>
      <w:r>
        <w:rPr>
          <w:spacing w:val="-1"/>
          <w:sz w:val="18"/>
        </w:rPr>
        <w:t xml:space="preserve"> </w:t>
      </w:r>
      <w:r>
        <w:rPr>
          <w:sz w:val="18"/>
        </w:rPr>
        <w:t>Treasury</w:t>
      </w:r>
      <w:r>
        <w:rPr>
          <w:spacing w:val="-2"/>
          <w:sz w:val="18"/>
        </w:rPr>
        <w:t xml:space="preserve"> </w:t>
      </w:r>
      <w:r>
        <w:rPr>
          <w:sz w:val="18"/>
        </w:rPr>
        <w:t>uses</w:t>
      </w:r>
      <w:r>
        <w:rPr>
          <w:spacing w:val="-1"/>
          <w:sz w:val="18"/>
        </w:rPr>
        <w:t xml:space="preserve"> </w:t>
      </w:r>
      <w:r>
        <w:rPr>
          <w:sz w:val="18"/>
        </w:rPr>
        <w:t>to</w:t>
      </w:r>
      <w:r>
        <w:rPr>
          <w:spacing w:val="-3"/>
          <w:sz w:val="18"/>
        </w:rPr>
        <w:t xml:space="preserve"> </w:t>
      </w:r>
      <w:r>
        <w:rPr>
          <w:sz w:val="18"/>
        </w:rPr>
        <w:t>help</w:t>
      </w:r>
      <w:r>
        <w:rPr>
          <w:spacing w:val="-3"/>
          <w:sz w:val="18"/>
        </w:rPr>
        <w:t xml:space="preserve"> </w:t>
      </w:r>
      <w:r>
        <w:rPr>
          <w:sz w:val="18"/>
        </w:rPr>
        <w:t>manage</w:t>
      </w:r>
      <w:r>
        <w:rPr>
          <w:spacing w:val="-3"/>
          <w:sz w:val="18"/>
        </w:rPr>
        <w:t xml:space="preserve"> </w:t>
      </w:r>
      <w:r>
        <w:rPr>
          <w:sz w:val="18"/>
        </w:rPr>
        <w:t>intragovernmental</w:t>
      </w:r>
      <w:r>
        <w:rPr>
          <w:spacing w:val="-2"/>
          <w:sz w:val="18"/>
        </w:rPr>
        <w:t xml:space="preserve"> </w:t>
      </w:r>
      <w:r>
        <w:rPr>
          <w:sz w:val="18"/>
        </w:rPr>
        <w:t>transactions,</w:t>
      </w:r>
      <w:r>
        <w:rPr>
          <w:spacing w:val="-2"/>
          <w:sz w:val="18"/>
        </w:rPr>
        <w:t xml:space="preserve"> </w:t>
      </w:r>
      <w:r>
        <w:rPr>
          <w:sz w:val="18"/>
        </w:rPr>
        <w:t>including calculating intragovernmental differences between trading partners, assisting entities in resolving differences, and at year-end</w:t>
      </w:r>
      <w:r>
        <w:rPr>
          <w:spacing w:val="-5"/>
          <w:sz w:val="18"/>
        </w:rPr>
        <w:t xml:space="preserve"> </w:t>
      </w:r>
      <w:r>
        <w:rPr>
          <w:sz w:val="18"/>
        </w:rPr>
        <w:t>eliminating</w:t>
      </w:r>
      <w:r>
        <w:rPr>
          <w:spacing w:val="-5"/>
          <w:sz w:val="18"/>
        </w:rPr>
        <w:t xml:space="preserve"> </w:t>
      </w:r>
      <w:r>
        <w:rPr>
          <w:sz w:val="18"/>
        </w:rPr>
        <w:t>intragovernmental</w:t>
      </w:r>
      <w:r>
        <w:rPr>
          <w:spacing w:val="-4"/>
          <w:sz w:val="18"/>
        </w:rPr>
        <w:t xml:space="preserve"> </w:t>
      </w:r>
      <w:r>
        <w:rPr>
          <w:sz w:val="18"/>
        </w:rPr>
        <w:t>amounts</w:t>
      </w:r>
      <w:r>
        <w:rPr>
          <w:spacing w:val="-4"/>
          <w:sz w:val="18"/>
        </w:rPr>
        <w:t xml:space="preserve"> </w:t>
      </w:r>
      <w:r>
        <w:rPr>
          <w:sz w:val="18"/>
        </w:rPr>
        <w:t>from</w:t>
      </w:r>
      <w:r>
        <w:rPr>
          <w:spacing w:val="-4"/>
          <w:sz w:val="18"/>
        </w:rPr>
        <w:t xml:space="preserve"> </w:t>
      </w:r>
      <w:r>
        <w:rPr>
          <w:sz w:val="18"/>
        </w:rPr>
        <w:t>the</w:t>
      </w:r>
      <w:r>
        <w:rPr>
          <w:spacing w:val="-5"/>
          <w:sz w:val="18"/>
        </w:rPr>
        <w:t xml:space="preserve"> </w:t>
      </w:r>
      <w:r>
        <w:rPr>
          <w:sz w:val="18"/>
        </w:rPr>
        <w:t>U.S.</w:t>
      </w:r>
      <w:r>
        <w:rPr>
          <w:spacing w:val="-4"/>
          <w:sz w:val="18"/>
        </w:rPr>
        <w:t xml:space="preserve"> </w:t>
      </w:r>
      <w:r>
        <w:rPr>
          <w:sz w:val="18"/>
        </w:rPr>
        <w:t>government’s</w:t>
      </w:r>
      <w:r>
        <w:rPr>
          <w:spacing w:val="-4"/>
          <w:sz w:val="18"/>
        </w:rPr>
        <w:t xml:space="preserve"> </w:t>
      </w:r>
      <w:r>
        <w:rPr>
          <w:sz w:val="18"/>
        </w:rPr>
        <w:t>consolidated</w:t>
      </w:r>
      <w:r>
        <w:rPr>
          <w:spacing w:val="-5"/>
          <w:sz w:val="18"/>
        </w:rPr>
        <w:t xml:space="preserve"> </w:t>
      </w:r>
      <w:r>
        <w:rPr>
          <w:sz w:val="18"/>
        </w:rPr>
        <w:t>financial</w:t>
      </w:r>
      <w:r>
        <w:rPr>
          <w:spacing w:val="-4"/>
          <w:sz w:val="18"/>
        </w:rPr>
        <w:t xml:space="preserve"> </w:t>
      </w:r>
      <w:r>
        <w:rPr>
          <w:sz w:val="18"/>
        </w:rPr>
        <w:t>statements</w:t>
      </w:r>
      <w:r>
        <w:rPr>
          <w:spacing w:val="-4"/>
          <w:sz w:val="18"/>
        </w:rPr>
        <w:t xml:space="preserve"> </w:t>
      </w:r>
      <w:r>
        <w:rPr>
          <w:sz w:val="18"/>
        </w:rPr>
        <w:t>(TFM 2-4700, appendices 2 and 3).</w:t>
      </w:r>
    </w:p>
    <w:p w14:paraId="0DFDC019" w14:textId="77777777" w:rsidR="00046465" w:rsidRDefault="00046465">
      <w:pPr>
        <w:spacing w:line="242" w:lineRule="auto"/>
        <w:rPr>
          <w:sz w:val="18"/>
        </w:rPr>
        <w:sectPr w:rsidR="00046465">
          <w:pgSz w:w="12240" w:h="15840"/>
          <w:pgMar w:top="1340" w:right="720" w:bottom="940" w:left="1080" w:header="721" w:footer="757" w:gutter="0"/>
          <w:cols w:space="720"/>
        </w:sectPr>
      </w:pPr>
    </w:p>
    <w:p w14:paraId="0DFDC01A" w14:textId="77777777" w:rsidR="00046465" w:rsidRDefault="00046465">
      <w:pPr>
        <w:pStyle w:val="BodyText"/>
        <w:spacing w:before="9"/>
        <w:rPr>
          <w:sz w:val="11"/>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C01E" w14:textId="77777777">
        <w:trPr>
          <w:trHeight w:val="625"/>
        </w:trPr>
        <w:tc>
          <w:tcPr>
            <w:tcW w:w="6696" w:type="dxa"/>
            <w:tcBorders>
              <w:right w:val="single" w:sz="4" w:space="0" w:color="000000"/>
            </w:tcBorders>
          </w:tcPr>
          <w:p w14:paraId="0DFDC01B"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C01C"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C01D"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C023" w14:textId="77777777">
        <w:trPr>
          <w:trHeight w:val="531"/>
        </w:trPr>
        <w:tc>
          <w:tcPr>
            <w:tcW w:w="6696" w:type="dxa"/>
            <w:tcBorders>
              <w:bottom w:val="single" w:sz="4" w:space="0" w:color="000000"/>
              <w:right w:val="single" w:sz="4" w:space="0" w:color="000000"/>
            </w:tcBorders>
          </w:tcPr>
          <w:p w14:paraId="0DFDC01F" w14:textId="77777777" w:rsidR="00046465" w:rsidRDefault="008134EB">
            <w:pPr>
              <w:pStyle w:val="TableParagraph"/>
              <w:spacing w:line="219" w:lineRule="exact"/>
              <w:ind w:left="1568"/>
            </w:pPr>
            <w:r>
              <w:t>reconciling</w:t>
            </w:r>
            <w:r>
              <w:rPr>
                <w:spacing w:val="-11"/>
              </w:rPr>
              <w:t xml:space="preserve"> </w:t>
            </w:r>
            <w:r>
              <w:t>intragovernmental</w:t>
            </w:r>
            <w:r>
              <w:rPr>
                <w:spacing w:val="-11"/>
              </w:rPr>
              <w:t xml:space="preserve"> </w:t>
            </w:r>
            <w:r>
              <w:t>activity</w:t>
            </w:r>
            <w:r>
              <w:rPr>
                <w:spacing w:val="-11"/>
              </w:rPr>
              <w:t xml:space="preserve"> </w:t>
            </w:r>
            <w:r>
              <w:t>and</w:t>
            </w:r>
            <w:r>
              <w:rPr>
                <w:spacing w:val="-11"/>
              </w:rPr>
              <w:t xml:space="preserve"> </w:t>
            </w:r>
            <w:r>
              <w:rPr>
                <w:spacing w:val="-2"/>
              </w:rPr>
              <w:t>balances</w:t>
            </w:r>
          </w:p>
          <w:p w14:paraId="0DFDC020" w14:textId="77777777" w:rsidR="00046465" w:rsidRDefault="008134EB">
            <w:pPr>
              <w:pStyle w:val="TableParagraph"/>
              <w:ind w:left="1568"/>
            </w:pPr>
            <w:r>
              <w:t>and</w:t>
            </w:r>
            <w:r>
              <w:rPr>
                <w:spacing w:val="-6"/>
              </w:rPr>
              <w:t xml:space="preserve"> </w:t>
            </w:r>
            <w:r>
              <w:t>updates</w:t>
            </w:r>
            <w:r>
              <w:rPr>
                <w:spacing w:val="-7"/>
              </w:rPr>
              <w:t xml:space="preserve"> </w:t>
            </w:r>
            <w:r>
              <w:t>the</w:t>
            </w:r>
            <w:r>
              <w:rPr>
                <w:spacing w:val="-6"/>
              </w:rPr>
              <w:t xml:space="preserve"> </w:t>
            </w:r>
            <w:r>
              <w:t>entity’s</w:t>
            </w:r>
            <w:r>
              <w:rPr>
                <w:spacing w:val="-6"/>
              </w:rPr>
              <w:t xml:space="preserve"> </w:t>
            </w:r>
            <w:r>
              <w:t>policies</w:t>
            </w:r>
            <w:r>
              <w:rPr>
                <w:spacing w:val="-6"/>
              </w:rPr>
              <w:t xml:space="preserve"> </w:t>
            </w:r>
            <w:r>
              <w:t>and</w:t>
            </w:r>
            <w:r>
              <w:rPr>
                <w:spacing w:val="-7"/>
              </w:rPr>
              <w:t xml:space="preserve"> </w:t>
            </w:r>
            <w:r>
              <w:rPr>
                <w:spacing w:val="-2"/>
              </w:rPr>
              <w:t>procedures.</w:t>
            </w:r>
          </w:p>
        </w:tc>
        <w:tc>
          <w:tcPr>
            <w:tcW w:w="1144" w:type="dxa"/>
            <w:tcBorders>
              <w:left w:val="single" w:sz="4" w:space="0" w:color="000000"/>
              <w:bottom w:val="single" w:sz="4" w:space="0" w:color="000000"/>
              <w:right w:val="single" w:sz="4" w:space="0" w:color="000000"/>
            </w:tcBorders>
          </w:tcPr>
          <w:p w14:paraId="0DFDC021" w14:textId="77777777" w:rsidR="00046465" w:rsidRDefault="00046465">
            <w:pPr>
              <w:pStyle w:val="TableParagraph"/>
              <w:rPr>
                <w:rFonts w:ascii="Times New Roman"/>
                <w:sz w:val="20"/>
              </w:rPr>
            </w:pPr>
          </w:p>
        </w:tc>
        <w:tc>
          <w:tcPr>
            <w:tcW w:w="1229" w:type="dxa"/>
            <w:tcBorders>
              <w:left w:val="single" w:sz="4" w:space="0" w:color="000000"/>
              <w:bottom w:val="single" w:sz="4" w:space="0" w:color="000000"/>
            </w:tcBorders>
          </w:tcPr>
          <w:p w14:paraId="0DFDC022" w14:textId="77777777" w:rsidR="00046465" w:rsidRDefault="00046465">
            <w:pPr>
              <w:pStyle w:val="TableParagraph"/>
              <w:rPr>
                <w:rFonts w:ascii="Times New Roman"/>
                <w:sz w:val="20"/>
              </w:rPr>
            </w:pPr>
          </w:p>
        </w:tc>
      </w:tr>
      <w:tr w:rsidR="00046465" w14:paraId="0DFDC028" w14:textId="77777777">
        <w:trPr>
          <w:trHeight w:val="2770"/>
        </w:trPr>
        <w:tc>
          <w:tcPr>
            <w:tcW w:w="6696" w:type="dxa"/>
            <w:tcBorders>
              <w:top w:val="single" w:sz="4" w:space="0" w:color="000000"/>
              <w:bottom w:val="single" w:sz="4" w:space="0" w:color="000000"/>
              <w:right w:val="single" w:sz="4" w:space="0" w:color="000000"/>
            </w:tcBorders>
          </w:tcPr>
          <w:p w14:paraId="0DFDC024" w14:textId="77777777" w:rsidR="00046465" w:rsidRDefault="008134EB">
            <w:pPr>
              <w:pStyle w:val="TableParagraph"/>
              <w:spacing w:before="60"/>
              <w:ind w:left="1568" w:right="45" w:hanging="360"/>
            </w:pPr>
            <w:r>
              <w:t>c)</w:t>
            </w:r>
            <w:r>
              <w:rPr>
                <w:spacing w:val="80"/>
              </w:rPr>
              <w:t xml:space="preserve"> </w:t>
            </w:r>
            <w:r>
              <w:t>Determine how often the entity reconciles its intragovernmental</w:t>
            </w:r>
            <w:r>
              <w:rPr>
                <w:spacing w:val="-8"/>
              </w:rPr>
              <w:t xml:space="preserve"> </w:t>
            </w:r>
            <w:r>
              <w:t>amounts</w:t>
            </w:r>
            <w:r>
              <w:rPr>
                <w:spacing w:val="-8"/>
              </w:rPr>
              <w:t xml:space="preserve"> </w:t>
            </w:r>
            <w:r>
              <w:t>with</w:t>
            </w:r>
            <w:r>
              <w:rPr>
                <w:spacing w:val="-8"/>
              </w:rPr>
              <w:t xml:space="preserve"> </w:t>
            </w:r>
            <w:r>
              <w:t>its</w:t>
            </w:r>
            <w:r>
              <w:rPr>
                <w:spacing w:val="-9"/>
              </w:rPr>
              <w:t xml:space="preserve"> </w:t>
            </w:r>
            <w:r>
              <w:t>trading</w:t>
            </w:r>
            <w:r>
              <w:rPr>
                <w:spacing w:val="-8"/>
              </w:rPr>
              <w:t xml:space="preserve"> </w:t>
            </w:r>
            <w:r>
              <w:t>partners (OMB reporting guidance requires reconciliation throughout the year).</w:t>
            </w:r>
          </w:p>
          <w:p w14:paraId="0DFDC025" w14:textId="77777777" w:rsidR="00046465" w:rsidRDefault="008134EB">
            <w:pPr>
              <w:pStyle w:val="TableParagraph"/>
              <w:spacing w:before="119"/>
              <w:ind w:left="1568" w:right="153"/>
            </w:pPr>
            <w:r>
              <w:t xml:space="preserve">Note: For the reasons discussed at the beginning of section II: Internal Control, in addition to differences that are significant to the entity, the entity should also work with trading partners to </w:t>
            </w:r>
            <w:r>
              <w:rPr>
                <w:i/>
              </w:rPr>
              <w:t>reconcile</w:t>
            </w:r>
            <w:r>
              <w:rPr>
                <w:i/>
                <w:spacing w:val="-6"/>
              </w:rPr>
              <w:t xml:space="preserve"> </w:t>
            </w:r>
            <w:r>
              <w:t>differences</w:t>
            </w:r>
            <w:r>
              <w:rPr>
                <w:spacing w:val="-6"/>
              </w:rPr>
              <w:t xml:space="preserve"> </w:t>
            </w:r>
            <w:r>
              <w:t>that</w:t>
            </w:r>
            <w:r>
              <w:rPr>
                <w:spacing w:val="-6"/>
              </w:rPr>
              <w:t xml:space="preserve"> </w:t>
            </w:r>
            <w:r>
              <w:t>are</w:t>
            </w:r>
            <w:r>
              <w:rPr>
                <w:spacing w:val="-6"/>
              </w:rPr>
              <w:t xml:space="preserve"> </w:t>
            </w:r>
            <w:r>
              <w:rPr>
                <w:i/>
              </w:rPr>
              <w:t>only</w:t>
            </w:r>
            <w:r>
              <w:rPr>
                <w:i/>
                <w:spacing w:val="-5"/>
              </w:rPr>
              <w:t xml:space="preserve"> </w:t>
            </w:r>
            <w:r>
              <w:t>significant</w:t>
            </w:r>
            <w:r>
              <w:rPr>
                <w:spacing w:val="-6"/>
              </w:rPr>
              <w:t xml:space="preserve"> </w:t>
            </w:r>
            <w:r>
              <w:t>to</w:t>
            </w:r>
            <w:r>
              <w:rPr>
                <w:spacing w:val="-6"/>
              </w:rPr>
              <w:t xml:space="preserve"> </w:t>
            </w:r>
            <w:r>
              <w:t>the trading partner (i.e., not significant to the entity).</w:t>
            </w:r>
          </w:p>
        </w:tc>
        <w:tc>
          <w:tcPr>
            <w:tcW w:w="1144" w:type="dxa"/>
            <w:tcBorders>
              <w:top w:val="single" w:sz="4" w:space="0" w:color="000000"/>
              <w:left w:val="single" w:sz="4" w:space="0" w:color="000000"/>
              <w:bottom w:val="single" w:sz="4" w:space="0" w:color="000000"/>
              <w:right w:val="single" w:sz="4" w:space="0" w:color="000000"/>
            </w:tcBorders>
          </w:tcPr>
          <w:p w14:paraId="0DFDC026"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27" w14:textId="77777777" w:rsidR="00046465" w:rsidRDefault="00046465">
            <w:pPr>
              <w:pStyle w:val="TableParagraph"/>
              <w:rPr>
                <w:rFonts w:ascii="Times New Roman"/>
                <w:sz w:val="20"/>
              </w:rPr>
            </w:pPr>
          </w:p>
        </w:tc>
      </w:tr>
      <w:tr w:rsidR="00046465" w14:paraId="0DFDC02C" w14:textId="77777777">
        <w:trPr>
          <w:trHeight w:val="1384"/>
        </w:trPr>
        <w:tc>
          <w:tcPr>
            <w:tcW w:w="6696" w:type="dxa"/>
            <w:tcBorders>
              <w:top w:val="single" w:sz="4" w:space="0" w:color="000000"/>
              <w:bottom w:val="single" w:sz="4" w:space="0" w:color="000000"/>
              <w:right w:val="single" w:sz="4" w:space="0" w:color="000000"/>
            </w:tcBorders>
          </w:tcPr>
          <w:p w14:paraId="0DFDC029" w14:textId="77777777" w:rsidR="00046465" w:rsidRDefault="008134EB">
            <w:pPr>
              <w:pStyle w:val="TableParagraph"/>
              <w:spacing w:before="60"/>
              <w:ind w:left="1568" w:right="107" w:hanging="361"/>
            </w:pPr>
            <w:r>
              <w:t>d)</w:t>
            </w:r>
            <w:r>
              <w:rPr>
                <w:spacing w:val="80"/>
              </w:rPr>
              <w:t xml:space="preserve"> </w:t>
            </w:r>
            <w:r>
              <w:t>Determine whether the entity maintains a current listing of its trading partners and monitors its reconciliation</w:t>
            </w:r>
            <w:r>
              <w:rPr>
                <w:spacing w:val="-6"/>
              </w:rPr>
              <w:t xml:space="preserve"> </w:t>
            </w:r>
            <w:r>
              <w:t>with</w:t>
            </w:r>
            <w:r>
              <w:rPr>
                <w:spacing w:val="-6"/>
              </w:rPr>
              <w:t xml:space="preserve"> </w:t>
            </w:r>
            <w:r>
              <w:t>those</w:t>
            </w:r>
            <w:r>
              <w:rPr>
                <w:spacing w:val="-7"/>
              </w:rPr>
              <w:t xml:space="preserve"> </w:t>
            </w:r>
            <w:r>
              <w:t>trading</w:t>
            </w:r>
            <w:r>
              <w:rPr>
                <w:spacing w:val="-6"/>
              </w:rPr>
              <w:t xml:space="preserve"> </w:t>
            </w:r>
            <w:r>
              <w:t>partners</w:t>
            </w:r>
            <w:r>
              <w:rPr>
                <w:spacing w:val="-6"/>
              </w:rPr>
              <w:t xml:space="preserve"> </w:t>
            </w:r>
            <w:r>
              <w:t>in</w:t>
            </w:r>
            <w:r>
              <w:rPr>
                <w:spacing w:val="-6"/>
              </w:rPr>
              <w:t xml:space="preserve"> </w:t>
            </w:r>
            <w:r>
              <w:t>order</w:t>
            </w:r>
            <w:r>
              <w:rPr>
                <w:spacing w:val="-6"/>
              </w:rPr>
              <w:t xml:space="preserve"> </w:t>
            </w:r>
            <w:r>
              <w:t>to assess the entity’s performance in timely reconciling with its trading partners.</w:t>
            </w:r>
          </w:p>
        </w:tc>
        <w:tc>
          <w:tcPr>
            <w:tcW w:w="1144" w:type="dxa"/>
            <w:tcBorders>
              <w:top w:val="single" w:sz="4" w:space="0" w:color="000000"/>
              <w:left w:val="single" w:sz="4" w:space="0" w:color="000000"/>
              <w:bottom w:val="single" w:sz="4" w:space="0" w:color="000000"/>
              <w:right w:val="single" w:sz="4" w:space="0" w:color="000000"/>
            </w:tcBorders>
          </w:tcPr>
          <w:p w14:paraId="0DFDC02A"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2B" w14:textId="77777777" w:rsidR="00046465" w:rsidRDefault="00046465">
            <w:pPr>
              <w:pStyle w:val="TableParagraph"/>
              <w:rPr>
                <w:rFonts w:ascii="Times New Roman"/>
                <w:sz w:val="20"/>
              </w:rPr>
            </w:pPr>
          </w:p>
        </w:tc>
      </w:tr>
      <w:tr w:rsidR="00046465" w14:paraId="0DFDC031" w14:textId="77777777">
        <w:trPr>
          <w:trHeight w:val="2397"/>
        </w:trPr>
        <w:tc>
          <w:tcPr>
            <w:tcW w:w="6696" w:type="dxa"/>
            <w:tcBorders>
              <w:top w:val="single" w:sz="4" w:space="0" w:color="000000"/>
              <w:bottom w:val="single" w:sz="4" w:space="0" w:color="000000"/>
              <w:right w:val="single" w:sz="4" w:space="0" w:color="000000"/>
            </w:tcBorders>
          </w:tcPr>
          <w:p w14:paraId="0DFDC02D" w14:textId="77777777" w:rsidR="00046465" w:rsidRDefault="008134EB">
            <w:pPr>
              <w:pStyle w:val="TableParagraph"/>
              <w:spacing w:before="60"/>
              <w:ind w:left="1568" w:right="45" w:hanging="361"/>
            </w:pPr>
            <w:r>
              <w:t>e)</w:t>
            </w:r>
            <w:r>
              <w:rPr>
                <w:spacing w:val="80"/>
              </w:rPr>
              <w:t xml:space="preserve"> </w:t>
            </w:r>
            <w:r>
              <w:t>Determine whether entity accountants and managers review journal vouchers recorded by Treasury</w:t>
            </w:r>
            <w:r>
              <w:rPr>
                <w:spacing w:val="-6"/>
              </w:rPr>
              <w:t xml:space="preserve"> </w:t>
            </w:r>
            <w:r>
              <w:t>during</w:t>
            </w:r>
            <w:r>
              <w:rPr>
                <w:spacing w:val="-6"/>
              </w:rPr>
              <w:t xml:space="preserve"> </w:t>
            </w:r>
            <w:r>
              <w:t>the</w:t>
            </w:r>
            <w:r>
              <w:rPr>
                <w:spacing w:val="-6"/>
              </w:rPr>
              <w:t xml:space="preserve"> </w:t>
            </w:r>
            <w:r>
              <w:t>prior</w:t>
            </w:r>
            <w:r>
              <w:rPr>
                <w:spacing w:val="-6"/>
              </w:rPr>
              <w:t xml:space="preserve"> </w:t>
            </w:r>
            <w:r>
              <w:t>year-end</w:t>
            </w:r>
            <w:r>
              <w:rPr>
                <w:spacing w:val="-6"/>
              </w:rPr>
              <w:t xml:space="preserve"> </w:t>
            </w:r>
            <w:r>
              <w:t>process</w:t>
            </w:r>
            <w:r>
              <w:rPr>
                <w:spacing w:val="-6"/>
              </w:rPr>
              <w:t xml:space="preserve"> </w:t>
            </w:r>
            <w:r>
              <w:t>for</w:t>
            </w:r>
            <w:r>
              <w:rPr>
                <w:spacing w:val="-6"/>
              </w:rPr>
              <w:t xml:space="preserve"> </w:t>
            </w:r>
            <w:r>
              <w:t>the</w:t>
            </w:r>
          </w:p>
          <w:p w14:paraId="0DFDC02E" w14:textId="77777777" w:rsidR="00046465" w:rsidRDefault="008134EB">
            <w:pPr>
              <w:pStyle w:val="TableParagraph"/>
              <w:ind w:left="1568" w:right="121"/>
            </w:pPr>
            <w:r>
              <w:t>U.S. government’s consolidated financial statements to determine whether (i) these differences are still outstanding and (ii) entity internal controls need to be improved so that intragovernmental</w:t>
            </w:r>
            <w:r>
              <w:rPr>
                <w:spacing w:val="-10"/>
              </w:rPr>
              <w:t xml:space="preserve"> </w:t>
            </w:r>
            <w:r>
              <w:t>information</w:t>
            </w:r>
            <w:r>
              <w:rPr>
                <w:spacing w:val="-10"/>
              </w:rPr>
              <w:t xml:space="preserve"> </w:t>
            </w:r>
            <w:r>
              <w:t>sent</w:t>
            </w:r>
            <w:r>
              <w:rPr>
                <w:spacing w:val="-10"/>
              </w:rPr>
              <w:t xml:space="preserve"> </w:t>
            </w:r>
            <w:r>
              <w:t>to</w:t>
            </w:r>
            <w:r>
              <w:rPr>
                <w:spacing w:val="-10"/>
              </w:rPr>
              <w:t xml:space="preserve"> </w:t>
            </w:r>
            <w:r>
              <w:t>Treasury eliminates in consolidation.</w:t>
            </w:r>
          </w:p>
        </w:tc>
        <w:tc>
          <w:tcPr>
            <w:tcW w:w="1144" w:type="dxa"/>
            <w:tcBorders>
              <w:top w:val="single" w:sz="4" w:space="0" w:color="000000"/>
              <w:left w:val="single" w:sz="4" w:space="0" w:color="000000"/>
              <w:bottom w:val="single" w:sz="4" w:space="0" w:color="000000"/>
              <w:right w:val="single" w:sz="4" w:space="0" w:color="000000"/>
            </w:tcBorders>
          </w:tcPr>
          <w:p w14:paraId="0DFDC02F"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30" w14:textId="77777777" w:rsidR="00046465" w:rsidRDefault="00046465">
            <w:pPr>
              <w:pStyle w:val="TableParagraph"/>
              <w:rPr>
                <w:rFonts w:ascii="Times New Roman"/>
                <w:sz w:val="20"/>
              </w:rPr>
            </w:pPr>
          </w:p>
        </w:tc>
      </w:tr>
      <w:tr w:rsidR="00046465" w14:paraId="0DFDC035" w14:textId="77777777">
        <w:trPr>
          <w:trHeight w:val="1131"/>
        </w:trPr>
        <w:tc>
          <w:tcPr>
            <w:tcW w:w="6696" w:type="dxa"/>
            <w:tcBorders>
              <w:top w:val="single" w:sz="4" w:space="0" w:color="000000"/>
              <w:bottom w:val="single" w:sz="4" w:space="0" w:color="000000"/>
              <w:right w:val="single" w:sz="4" w:space="0" w:color="000000"/>
            </w:tcBorders>
          </w:tcPr>
          <w:p w14:paraId="0DFDC032" w14:textId="77777777" w:rsidR="00046465" w:rsidRDefault="008134EB">
            <w:pPr>
              <w:pStyle w:val="TableParagraph"/>
              <w:tabs>
                <w:tab w:val="left" w:pos="1568"/>
              </w:tabs>
              <w:spacing w:before="60"/>
              <w:ind w:left="1568" w:right="194" w:hanging="360"/>
            </w:pPr>
            <w:r>
              <w:rPr>
                <w:spacing w:val="-6"/>
              </w:rPr>
              <w:t>f)</w:t>
            </w:r>
            <w:r>
              <w:tab/>
              <w:t>Determine</w:t>
            </w:r>
            <w:r>
              <w:rPr>
                <w:spacing w:val="-6"/>
              </w:rPr>
              <w:t xml:space="preserve"> </w:t>
            </w:r>
            <w:r>
              <w:t>whether</w:t>
            </w:r>
            <w:r>
              <w:rPr>
                <w:spacing w:val="-7"/>
              </w:rPr>
              <w:t xml:space="preserve"> </w:t>
            </w:r>
            <w:r>
              <w:t>the</w:t>
            </w:r>
            <w:r>
              <w:rPr>
                <w:spacing w:val="-7"/>
              </w:rPr>
              <w:t xml:space="preserve"> </w:t>
            </w:r>
            <w:r>
              <w:t>entity</w:t>
            </w:r>
            <w:r>
              <w:rPr>
                <w:spacing w:val="-7"/>
              </w:rPr>
              <w:t xml:space="preserve"> </w:t>
            </w:r>
            <w:r>
              <w:t>reviews</w:t>
            </w:r>
            <w:r>
              <w:rPr>
                <w:spacing w:val="-7"/>
              </w:rPr>
              <w:t xml:space="preserve"> </w:t>
            </w:r>
            <w:r>
              <w:t>the</w:t>
            </w:r>
            <w:r>
              <w:rPr>
                <w:spacing w:val="-7"/>
              </w:rPr>
              <w:t xml:space="preserve"> </w:t>
            </w:r>
            <w:r>
              <w:t>quarterly intragovernmental differences reported by Treasury,</w:t>
            </w:r>
            <w:r>
              <w:rPr>
                <w:spacing w:val="-4"/>
              </w:rPr>
              <w:t xml:space="preserve"> </w:t>
            </w:r>
            <w:r>
              <w:t>and</w:t>
            </w:r>
            <w:r>
              <w:rPr>
                <w:spacing w:val="-4"/>
              </w:rPr>
              <w:t xml:space="preserve"> </w:t>
            </w:r>
            <w:r>
              <w:t>reports</w:t>
            </w:r>
            <w:r>
              <w:rPr>
                <w:spacing w:val="-4"/>
              </w:rPr>
              <w:t xml:space="preserve"> </w:t>
            </w:r>
            <w:r>
              <w:t>to</w:t>
            </w:r>
            <w:r>
              <w:rPr>
                <w:spacing w:val="-4"/>
              </w:rPr>
              <w:t xml:space="preserve"> </w:t>
            </w:r>
            <w:r>
              <w:t>Treasury</w:t>
            </w:r>
            <w:r>
              <w:rPr>
                <w:spacing w:val="-5"/>
              </w:rPr>
              <w:t xml:space="preserve"> </w:t>
            </w:r>
            <w:r>
              <w:t>explanations</w:t>
            </w:r>
            <w:r>
              <w:rPr>
                <w:spacing w:val="-4"/>
              </w:rPr>
              <w:t xml:space="preserve"> </w:t>
            </w:r>
            <w:r>
              <w:t>for its differences.</w:t>
            </w:r>
          </w:p>
        </w:tc>
        <w:tc>
          <w:tcPr>
            <w:tcW w:w="1144" w:type="dxa"/>
            <w:tcBorders>
              <w:top w:val="single" w:sz="4" w:space="0" w:color="000000"/>
              <w:left w:val="single" w:sz="4" w:space="0" w:color="000000"/>
              <w:bottom w:val="single" w:sz="4" w:space="0" w:color="000000"/>
              <w:right w:val="single" w:sz="4" w:space="0" w:color="000000"/>
            </w:tcBorders>
          </w:tcPr>
          <w:p w14:paraId="0DFDC033"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34" w14:textId="77777777" w:rsidR="00046465" w:rsidRDefault="00046465">
            <w:pPr>
              <w:pStyle w:val="TableParagraph"/>
              <w:rPr>
                <w:rFonts w:ascii="Times New Roman"/>
                <w:sz w:val="20"/>
              </w:rPr>
            </w:pPr>
          </w:p>
        </w:tc>
      </w:tr>
      <w:tr w:rsidR="00046465" w14:paraId="0DFDC039" w14:textId="77777777">
        <w:trPr>
          <w:trHeight w:val="1132"/>
        </w:trPr>
        <w:tc>
          <w:tcPr>
            <w:tcW w:w="6696" w:type="dxa"/>
            <w:tcBorders>
              <w:top w:val="single" w:sz="4" w:space="0" w:color="000000"/>
              <w:bottom w:val="single" w:sz="4" w:space="0" w:color="000000"/>
              <w:right w:val="single" w:sz="4" w:space="0" w:color="000000"/>
            </w:tcBorders>
          </w:tcPr>
          <w:p w14:paraId="0DFDC036" w14:textId="77777777" w:rsidR="00046465" w:rsidRDefault="008134EB">
            <w:pPr>
              <w:pStyle w:val="TableParagraph"/>
              <w:spacing w:before="60"/>
              <w:ind w:left="1568" w:hanging="361"/>
            </w:pPr>
            <w:r>
              <w:t>g)</w:t>
            </w:r>
            <w:r>
              <w:rPr>
                <w:spacing w:val="80"/>
              </w:rPr>
              <w:t xml:space="preserve"> </w:t>
            </w:r>
            <w:r>
              <w:t>Determine whether management reviewed and approved</w:t>
            </w:r>
            <w:r>
              <w:rPr>
                <w:spacing w:val="-1"/>
              </w:rPr>
              <w:t xml:space="preserve"> </w:t>
            </w:r>
            <w:r>
              <w:t>the</w:t>
            </w:r>
            <w:r>
              <w:rPr>
                <w:spacing w:val="-1"/>
              </w:rPr>
              <w:t xml:space="preserve"> </w:t>
            </w:r>
            <w:r>
              <w:t>reasons</w:t>
            </w:r>
            <w:r>
              <w:rPr>
                <w:spacing w:val="-1"/>
              </w:rPr>
              <w:t xml:space="preserve"> </w:t>
            </w:r>
            <w:r>
              <w:t>for</w:t>
            </w:r>
            <w:r>
              <w:rPr>
                <w:spacing w:val="-1"/>
              </w:rPr>
              <w:t xml:space="preserve"> </w:t>
            </w:r>
            <w:r>
              <w:t>any</w:t>
            </w:r>
            <w:r>
              <w:rPr>
                <w:spacing w:val="-1"/>
              </w:rPr>
              <w:t xml:space="preserve"> </w:t>
            </w:r>
            <w:r>
              <w:t>differences</w:t>
            </w:r>
            <w:r>
              <w:rPr>
                <w:spacing w:val="-1"/>
              </w:rPr>
              <w:t xml:space="preserve"> </w:t>
            </w:r>
            <w:r>
              <w:t>identified and</w:t>
            </w:r>
            <w:r>
              <w:rPr>
                <w:spacing w:val="-7"/>
              </w:rPr>
              <w:t xml:space="preserve"> </w:t>
            </w:r>
            <w:r>
              <w:t>tracked,</w:t>
            </w:r>
            <w:r>
              <w:rPr>
                <w:spacing w:val="-8"/>
              </w:rPr>
              <w:t xml:space="preserve"> </w:t>
            </w:r>
            <w:r>
              <w:t>including</w:t>
            </w:r>
            <w:r>
              <w:rPr>
                <w:spacing w:val="-8"/>
              </w:rPr>
              <w:t xml:space="preserve"> </w:t>
            </w:r>
            <w:r>
              <w:t>any</w:t>
            </w:r>
            <w:r>
              <w:rPr>
                <w:spacing w:val="-7"/>
              </w:rPr>
              <w:t xml:space="preserve"> </w:t>
            </w:r>
            <w:r>
              <w:t>explanations</w:t>
            </w:r>
            <w:r>
              <w:rPr>
                <w:spacing w:val="-7"/>
              </w:rPr>
              <w:t xml:space="preserve"> </w:t>
            </w:r>
            <w:r>
              <w:t>reported</w:t>
            </w:r>
            <w:r>
              <w:rPr>
                <w:spacing w:val="-7"/>
              </w:rPr>
              <w:t xml:space="preserve"> </w:t>
            </w:r>
            <w:r>
              <w:t xml:space="preserve">to </w:t>
            </w:r>
            <w:r>
              <w:rPr>
                <w:spacing w:val="-2"/>
              </w:rPr>
              <w:t>Treasury.</w:t>
            </w:r>
          </w:p>
        </w:tc>
        <w:tc>
          <w:tcPr>
            <w:tcW w:w="1144" w:type="dxa"/>
            <w:tcBorders>
              <w:top w:val="single" w:sz="4" w:space="0" w:color="000000"/>
              <w:left w:val="single" w:sz="4" w:space="0" w:color="000000"/>
              <w:bottom w:val="single" w:sz="4" w:space="0" w:color="000000"/>
              <w:right w:val="single" w:sz="4" w:space="0" w:color="000000"/>
            </w:tcBorders>
          </w:tcPr>
          <w:p w14:paraId="0DFDC037"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38" w14:textId="77777777" w:rsidR="00046465" w:rsidRDefault="00046465">
            <w:pPr>
              <w:pStyle w:val="TableParagraph"/>
              <w:rPr>
                <w:rFonts w:ascii="Times New Roman"/>
                <w:sz w:val="20"/>
              </w:rPr>
            </w:pPr>
          </w:p>
        </w:tc>
      </w:tr>
      <w:tr w:rsidR="00046465" w14:paraId="0DFDC03D" w14:textId="77777777">
        <w:trPr>
          <w:trHeight w:val="1131"/>
        </w:trPr>
        <w:tc>
          <w:tcPr>
            <w:tcW w:w="6696" w:type="dxa"/>
            <w:tcBorders>
              <w:top w:val="single" w:sz="4" w:space="0" w:color="000000"/>
              <w:bottom w:val="single" w:sz="4" w:space="0" w:color="000000"/>
              <w:right w:val="single" w:sz="4" w:space="0" w:color="000000"/>
            </w:tcBorders>
          </w:tcPr>
          <w:p w14:paraId="0DFDC03A" w14:textId="77777777" w:rsidR="00046465" w:rsidRDefault="008134EB">
            <w:pPr>
              <w:pStyle w:val="TableParagraph"/>
              <w:spacing w:before="60"/>
              <w:ind w:left="1172" w:right="359" w:hanging="360"/>
            </w:pPr>
            <w:r>
              <w:t>3)</w:t>
            </w:r>
            <w:r>
              <w:rPr>
                <w:spacing w:val="80"/>
              </w:rPr>
              <w:t xml:space="preserve"> </w:t>
            </w:r>
            <w:r>
              <w:t>Determine, through inquiry of management, walk-throughs,</w:t>
            </w:r>
            <w:r>
              <w:rPr>
                <w:spacing w:val="-7"/>
              </w:rPr>
              <w:t xml:space="preserve"> </w:t>
            </w:r>
            <w:r>
              <w:t>reviews</w:t>
            </w:r>
            <w:r>
              <w:rPr>
                <w:spacing w:val="-7"/>
              </w:rPr>
              <w:t xml:space="preserve"> </w:t>
            </w:r>
            <w:r>
              <w:t>of</w:t>
            </w:r>
            <w:r>
              <w:rPr>
                <w:spacing w:val="-7"/>
              </w:rPr>
              <w:t xml:space="preserve"> </w:t>
            </w:r>
            <w:r>
              <w:t>prior</w:t>
            </w:r>
            <w:r>
              <w:rPr>
                <w:spacing w:val="-7"/>
              </w:rPr>
              <w:t xml:space="preserve"> </w:t>
            </w:r>
            <w:r>
              <w:t>years’</w:t>
            </w:r>
            <w:r>
              <w:rPr>
                <w:spacing w:val="-7"/>
              </w:rPr>
              <w:t xml:space="preserve"> </w:t>
            </w:r>
            <w:r>
              <w:t>documentation,</w:t>
            </w:r>
            <w:r>
              <w:rPr>
                <w:spacing w:val="-7"/>
              </w:rPr>
              <w:t xml:space="preserve"> </w:t>
            </w:r>
            <w:r>
              <w:t xml:space="preserve">and the following procedures, how the entity </w:t>
            </w:r>
            <w:r>
              <w:rPr>
                <w:u w:val="single"/>
              </w:rPr>
              <w:t>resolves</w:t>
            </w:r>
            <w:r>
              <w:t xml:space="preserve"> intragovernmental differences.</w:t>
            </w:r>
          </w:p>
        </w:tc>
        <w:tc>
          <w:tcPr>
            <w:tcW w:w="1144" w:type="dxa"/>
            <w:tcBorders>
              <w:top w:val="single" w:sz="4" w:space="0" w:color="000000"/>
              <w:left w:val="single" w:sz="4" w:space="0" w:color="000000"/>
              <w:bottom w:val="single" w:sz="4" w:space="0" w:color="000000"/>
              <w:right w:val="single" w:sz="4" w:space="0" w:color="000000"/>
            </w:tcBorders>
          </w:tcPr>
          <w:p w14:paraId="0DFDC03B"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3C" w14:textId="77777777" w:rsidR="00046465" w:rsidRDefault="00046465">
            <w:pPr>
              <w:pStyle w:val="TableParagraph"/>
              <w:rPr>
                <w:rFonts w:ascii="Times New Roman"/>
                <w:sz w:val="20"/>
              </w:rPr>
            </w:pPr>
          </w:p>
        </w:tc>
      </w:tr>
      <w:tr w:rsidR="00046465" w14:paraId="0DFDC041" w14:textId="77777777">
        <w:trPr>
          <w:trHeight w:val="1385"/>
        </w:trPr>
        <w:tc>
          <w:tcPr>
            <w:tcW w:w="6696" w:type="dxa"/>
            <w:tcBorders>
              <w:top w:val="single" w:sz="4" w:space="0" w:color="000000"/>
              <w:bottom w:val="single" w:sz="4" w:space="0" w:color="000000"/>
              <w:right w:val="single" w:sz="4" w:space="0" w:color="000000"/>
            </w:tcBorders>
          </w:tcPr>
          <w:p w14:paraId="0DFDC03E" w14:textId="77777777" w:rsidR="00046465" w:rsidRDefault="008134EB">
            <w:pPr>
              <w:pStyle w:val="TableParagraph"/>
              <w:spacing w:before="61"/>
              <w:ind w:left="1568" w:right="45" w:hanging="367"/>
            </w:pPr>
            <w:r>
              <w:t>a)</w:t>
            </w:r>
            <w:r>
              <w:rPr>
                <w:spacing w:val="80"/>
              </w:rPr>
              <w:t xml:space="preserve"> </w:t>
            </w:r>
            <w:r>
              <w:t>Determine whether the entity has established processes</w:t>
            </w:r>
            <w:r>
              <w:rPr>
                <w:spacing w:val="-11"/>
              </w:rPr>
              <w:t xml:space="preserve"> </w:t>
            </w:r>
            <w:r>
              <w:t>to</w:t>
            </w:r>
            <w:r>
              <w:rPr>
                <w:spacing w:val="-10"/>
              </w:rPr>
              <w:t xml:space="preserve"> </w:t>
            </w:r>
            <w:r>
              <w:t>resolve</w:t>
            </w:r>
            <w:r>
              <w:rPr>
                <w:spacing w:val="-10"/>
              </w:rPr>
              <w:t xml:space="preserve"> </w:t>
            </w:r>
            <w:r>
              <w:t>intragovernmental</w:t>
            </w:r>
            <w:r>
              <w:rPr>
                <w:spacing w:val="-10"/>
              </w:rPr>
              <w:t xml:space="preserve"> </w:t>
            </w:r>
            <w:r>
              <w:t>differences timely</w:t>
            </w:r>
            <w:r>
              <w:rPr>
                <w:spacing w:val="-6"/>
              </w:rPr>
              <w:t xml:space="preserve"> </w:t>
            </w:r>
            <w:r>
              <w:t>(OMB</w:t>
            </w:r>
            <w:r>
              <w:rPr>
                <w:spacing w:val="-5"/>
              </w:rPr>
              <w:t xml:space="preserve"> </w:t>
            </w:r>
            <w:r>
              <w:t>reporting</w:t>
            </w:r>
            <w:r>
              <w:rPr>
                <w:spacing w:val="-6"/>
              </w:rPr>
              <w:t xml:space="preserve"> </w:t>
            </w:r>
            <w:r>
              <w:t>guidance</w:t>
            </w:r>
            <w:r>
              <w:rPr>
                <w:spacing w:val="-6"/>
              </w:rPr>
              <w:t xml:space="preserve"> </w:t>
            </w:r>
            <w:r>
              <w:t>requires</w:t>
            </w:r>
            <w:r>
              <w:rPr>
                <w:spacing w:val="-6"/>
              </w:rPr>
              <w:t xml:space="preserve"> </w:t>
            </w:r>
            <w:r>
              <w:t>resolution of differences throughout the year with differences resolved by year-end).</w:t>
            </w:r>
          </w:p>
        </w:tc>
        <w:tc>
          <w:tcPr>
            <w:tcW w:w="1144" w:type="dxa"/>
            <w:tcBorders>
              <w:top w:val="single" w:sz="4" w:space="0" w:color="000000"/>
              <w:left w:val="single" w:sz="4" w:space="0" w:color="000000"/>
              <w:bottom w:val="single" w:sz="4" w:space="0" w:color="000000"/>
              <w:right w:val="single" w:sz="4" w:space="0" w:color="000000"/>
            </w:tcBorders>
          </w:tcPr>
          <w:p w14:paraId="0DFDC03F"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40" w14:textId="77777777" w:rsidR="00046465" w:rsidRDefault="00046465">
            <w:pPr>
              <w:pStyle w:val="TableParagraph"/>
              <w:rPr>
                <w:rFonts w:ascii="Times New Roman"/>
                <w:sz w:val="20"/>
              </w:rPr>
            </w:pPr>
          </w:p>
        </w:tc>
      </w:tr>
    </w:tbl>
    <w:p w14:paraId="0DFDC042" w14:textId="77777777" w:rsidR="00046465" w:rsidRDefault="00046465">
      <w:pPr>
        <w:pStyle w:val="TableParagraph"/>
        <w:rPr>
          <w:rFonts w:ascii="Times New Roman"/>
          <w:sz w:val="20"/>
        </w:rPr>
        <w:sectPr w:rsidR="00046465">
          <w:pgSz w:w="12240" w:h="15840"/>
          <w:pgMar w:top="1340" w:right="720" w:bottom="940" w:left="1080" w:header="721" w:footer="757" w:gutter="0"/>
          <w:cols w:space="720"/>
        </w:sectPr>
      </w:pPr>
    </w:p>
    <w:p w14:paraId="0DFDC043" w14:textId="77777777" w:rsidR="00046465" w:rsidRDefault="00046465">
      <w:pPr>
        <w:pStyle w:val="BodyText"/>
        <w:spacing w:before="9"/>
        <w:rPr>
          <w:sz w:val="11"/>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C047" w14:textId="77777777">
        <w:trPr>
          <w:trHeight w:val="625"/>
        </w:trPr>
        <w:tc>
          <w:tcPr>
            <w:tcW w:w="6696" w:type="dxa"/>
            <w:tcBorders>
              <w:right w:val="single" w:sz="4" w:space="0" w:color="000000"/>
            </w:tcBorders>
          </w:tcPr>
          <w:p w14:paraId="0DFDC044"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C045"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C046"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C04B" w14:textId="77777777">
        <w:trPr>
          <w:trHeight w:val="1351"/>
        </w:trPr>
        <w:tc>
          <w:tcPr>
            <w:tcW w:w="6696" w:type="dxa"/>
            <w:tcBorders>
              <w:bottom w:val="single" w:sz="4" w:space="0" w:color="000000"/>
              <w:right w:val="single" w:sz="4" w:space="0" w:color="000000"/>
            </w:tcBorders>
          </w:tcPr>
          <w:p w14:paraId="0DFDC048" w14:textId="77777777" w:rsidR="00046465" w:rsidRDefault="008134EB">
            <w:pPr>
              <w:pStyle w:val="TableParagraph"/>
              <w:spacing w:before="25"/>
              <w:ind w:left="1568" w:right="123"/>
            </w:pPr>
            <w:r>
              <w:t>Note: In addition to differences that are significant to the entity, the entity should also work with trading</w:t>
            </w:r>
            <w:r>
              <w:rPr>
                <w:spacing w:val="-4"/>
              </w:rPr>
              <w:t xml:space="preserve"> </w:t>
            </w:r>
            <w:r>
              <w:t>partners</w:t>
            </w:r>
            <w:r>
              <w:rPr>
                <w:spacing w:val="-4"/>
              </w:rPr>
              <w:t xml:space="preserve"> </w:t>
            </w:r>
            <w:r>
              <w:t>to</w:t>
            </w:r>
            <w:r>
              <w:rPr>
                <w:spacing w:val="-4"/>
              </w:rPr>
              <w:t xml:space="preserve"> </w:t>
            </w:r>
            <w:r>
              <w:rPr>
                <w:i/>
              </w:rPr>
              <w:t>resolve</w:t>
            </w:r>
            <w:r>
              <w:rPr>
                <w:i/>
                <w:spacing w:val="-4"/>
              </w:rPr>
              <w:t xml:space="preserve"> </w:t>
            </w:r>
            <w:r>
              <w:t>differences</w:t>
            </w:r>
            <w:r>
              <w:rPr>
                <w:spacing w:val="-4"/>
              </w:rPr>
              <w:t xml:space="preserve"> </w:t>
            </w:r>
            <w:r>
              <w:t>that</w:t>
            </w:r>
            <w:r>
              <w:rPr>
                <w:spacing w:val="-4"/>
              </w:rPr>
              <w:t xml:space="preserve"> </w:t>
            </w:r>
            <w:r>
              <w:t>are</w:t>
            </w:r>
            <w:r>
              <w:rPr>
                <w:spacing w:val="-4"/>
              </w:rPr>
              <w:t xml:space="preserve"> </w:t>
            </w:r>
            <w:r>
              <w:t>only significant</w:t>
            </w:r>
            <w:r>
              <w:rPr>
                <w:spacing w:val="-6"/>
              </w:rPr>
              <w:t xml:space="preserve"> </w:t>
            </w:r>
            <w:r>
              <w:t>to</w:t>
            </w:r>
            <w:r>
              <w:rPr>
                <w:spacing w:val="-6"/>
              </w:rPr>
              <w:t xml:space="preserve"> </w:t>
            </w:r>
            <w:r>
              <w:t>the</w:t>
            </w:r>
            <w:r>
              <w:rPr>
                <w:spacing w:val="-6"/>
              </w:rPr>
              <w:t xml:space="preserve"> </w:t>
            </w:r>
            <w:r>
              <w:t>trading</w:t>
            </w:r>
            <w:r>
              <w:rPr>
                <w:spacing w:val="-6"/>
              </w:rPr>
              <w:t xml:space="preserve"> </w:t>
            </w:r>
            <w:r>
              <w:t>partner</w:t>
            </w:r>
            <w:r>
              <w:rPr>
                <w:spacing w:val="-6"/>
              </w:rPr>
              <w:t xml:space="preserve"> </w:t>
            </w:r>
            <w:r>
              <w:t>(i.e.,</w:t>
            </w:r>
            <w:r>
              <w:rPr>
                <w:spacing w:val="-6"/>
              </w:rPr>
              <w:t xml:space="preserve"> </w:t>
            </w:r>
            <w:r>
              <w:t>not</w:t>
            </w:r>
            <w:r>
              <w:rPr>
                <w:spacing w:val="-6"/>
              </w:rPr>
              <w:t xml:space="preserve"> </w:t>
            </w:r>
            <w:r>
              <w:t>significant to the entity).</w:t>
            </w:r>
          </w:p>
        </w:tc>
        <w:tc>
          <w:tcPr>
            <w:tcW w:w="1144" w:type="dxa"/>
            <w:tcBorders>
              <w:left w:val="single" w:sz="4" w:space="0" w:color="000000"/>
              <w:bottom w:val="single" w:sz="4" w:space="0" w:color="000000"/>
              <w:right w:val="single" w:sz="4" w:space="0" w:color="000000"/>
            </w:tcBorders>
          </w:tcPr>
          <w:p w14:paraId="0DFDC049" w14:textId="77777777" w:rsidR="00046465" w:rsidRDefault="00046465">
            <w:pPr>
              <w:pStyle w:val="TableParagraph"/>
              <w:rPr>
                <w:rFonts w:ascii="Times New Roman"/>
                <w:sz w:val="20"/>
              </w:rPr>
            </w:pPr>
          </w:p>
        </w:tc>
        <w:tc>
          <w:tcPr>
            <w:tcW w:w="1229" w:type="dxa"/>
            <w:tcBorders>
              <w:left w:val="single" w:sz="4" w:space="0" w:color="000000"/>
              <w:bottom w:val="single" w:sz="4" w:space="0" w:color="000000"/>
            </w:tcBorders>
          </w:tcPr>
          <w:p w14:paraId="0DFDC04A" w14:textId="77777777" w:rsidR="00046465" w:rsidRDefault="00046465">
            <w:pPr>
              <w:pStyle w:val="TableParagraph"/>
              <w:rPr>
                <w:rFonts w:ascii="Times New Roman"/>
                <w:sz w:val="20"/>
              </w:rPr>
            </w:pPr>
          </w:p>
        </w:tc>
      </w:tr>
      <w:tr w:rsidR="00046465" w14:paraId="0DFDC04F" w14:textId="77777777">
        <w:trPr>
          <w:trHeight w:val="1131"/>
        </w:trPr>
        <w:tc>
          <w:tcPr>
            <w:tcW w:w="6696" w:type="dxa"/>
            <w:tcBorders>
              <w:top w:val="single" w:sz="4" w:space="0" w:color="000000"/>
              <w:bottom w:val="single" w:sz="4" w:space="0" w:color="000000"/>
              <w:right w:val="single" w:sz="4" w:space="0" w:color="000000"/>
            </w:tcBorders>
          </w:tcPr>
          <w:p w14:paraId="0DFDC04C" w14:textId="77777777" w:rsidR="00046465" w:rsidRDefault="008134EB">
            <w:pPr>
              <w:pStyle w:val="TableParagraph"/>
              <w:spacing w:before="60"/>
              <w:ind w:left="1568" w:right="248" w:hanging="367"/>
            </w:pPr>
            <w:r>
              <w:t>b)</w:t>
            </w:r>
            <w:r>
              <w:rPr>
                <w:spacing w:val="80"/>
              </w:rPr>
              <w:t xml:space="preserve"> </w:t>
            </w:r>
            <w:r>
              <w:t>Determine whether management reviews the current OMB, Treasury, and other guidance for resolving</w:t>
            </w:r>
            <w:r>
              <w:rPr>
                <w:spacing w:val="-11"/>
              </w:rPr>
              <w:t xml:space="preserve"> </w:t>
            </w:r>
            <w:r>
              <w:t>intragovernmental</w:t>
            </w:r>
            <w:r>
              <w:rPr>
                <w:spacing w:val="-10"/>
              </w:rPr>
              <w:t xml:space="preserve"> </w:t>
            </w:r>
            <w:r>
              <w:t>activity</w:t>
            </w:r>
            <w:r>
              <w:rPr>
                <w:spacing w:val="-11"/>
              </w:rPr>
              <w:t xml:space="preserve"> </w:t>
            </w:r>
            <w:r>
              <w:t>and</w:t>
            </w:r>
            <w:r>
              <w:rPr>
                <w:spacing w:val="-10"/>
              </w:rPr>
              <w:t xml:space="preserve"> </w:t>
            </w:r>
            <w:r>
              <w:t>balances and</w:t>
            </w:r>
            <w:r>
              <w:rPr>
                <w:spacing w:val="-6"/>
              </w:rPr>
              <w:t xml:space="preserve"> </w:t>
            </w:r>
            <w:r>
              <w:t>updates</w:t>
            </w:r>
            <w:r>
              <w:rPr>
                <w:spacing w:val="-7"/>
              </w:rPr>
              <w:t xml:space="preserve"> </w:t>
            </w:r>
            <w:r>
              <w:t>the</w:t>
            </w:r>
            <w:r>
              <w:rPr>
                <w:spacing w:val="-6"/>
              </w:rPr>
              <w:t xml:space="preserve"> </w:t>
            </w:r>
            <w:r>
              <w:t>entity’s</w:t>
            </w:r>
            <w:r>
              <w:rPr>
                <w:spacing w:val="-6"/>
              </w:rPr>
              <w:t xml:space="preserve"> </w:t>
            </w:r>
            <w:r>
              <w:t>policies</w:t>
            </w:r>
            <w:r>
              <w:rPr>
                <w:spacing w:val="-6"/>
              </w:rPr>
              <w:t xml:space="preserve"> </w:t>
            </w:r>
            <w:r>
              <w:t>and</w:t>
            </w:r>
            <w:r>
              <w:rPr>
                <w:spacing w:val="-7"/>
              </w:rPr>
              <w:t xml:space="preserve"> </w:t>
            </w:r>
            <w:r>
              <w:rPr>
                <w:spacing w:val="-2"/>
              </w:rPr>
              <w:t>procedures.</w:t>
            </w:r>
          </w:p>
        </w:tc>
        <w:tc>
          <w:tcPr>
            <w:tcW w:w="1144" w:type="dxa"/>
            <w:tcBorders>
              <w:top w:val="single" w:sz="4" w:space="0" w:color="000000"/>
              <w:left w:val="single" w:sz="4" w:space="0" w:color="000000"/>
              <w:bottom w:val="single" w:sz="4" w:space="0" w:color="000000"/>
              <w:right w:val="single" w:sz="4" w:space="0" w:color="000000"/>
            </w:tcBorders>
          </w:tcPr>
          <w:p w14:paraId="0DFDC04D"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4E" w14:textId="77777777" w:rsidR="00046465" w:rsidRDefault="00046465">
            <w:pPr>
              <w:pStyle w:val="TableParagraph"/>
              <w:rPr>
                <w:rFonts w:ascii="Times New Roman"/>
                <w:sz w:val="20"/>
              </w:rPr>
            </w:pPr>
          </w:p>
        </w:tc>
      </w:tr>
      <w:tr w:rsidR="00046465" w14:paraId="0DFDC053" w14:textId="77777777">
        <w:trPr>
          <w:trHeight w:val="1132"/>
        </w:trPr>
        <w:tc>
          <w:tcPr>
            <w:tcW w:w="6696" w:type="dxa"/>
            <w:tcBorders>
              <w:top w:val="single" w:sz="4" w:space="0" w:color="000000"/>
              <w:bottom w:val="single" w:sz="4" w:space="0" w:color="000000"/>
              <w:right w:val="single" w:sz="4" w:space="0" w:color="000000"/>
            </w:tcBorders>
          </w:tcPr>
          <w:p w14:paraId="0DFDC050" w14:textId="77777777" w:rsidR="00046465" w:rsidRDefault="008134EB">
            <w:pPr>
              <w:pStyle w:val="TableParagraph"/>
              <w:spacing w:before="60"/>
              <w:ind w:left="1568" w:right="248" w:hanging="367"/>
            </w:pPr>
            <w:r>
              <w:t>c)</w:t>
            </w:r>
            <w:r>
              <w:rPr>
                <w:spacing w:val="80"/>
              </w:rPr>
              <w:t xml:space="preserve"> </w:t>
            </w:r>
            <w:r>
              <w:t>Determine whether the entity maintains a current listing</w:t>
            </w:r>
            <w:r>
              <w:rPr>
                <w:spacing w:val="-6"/>
              </w:rPr>
              <w:t xml:space="preserve"> </w:t>
            </w:r>
            <w:r>
              <w:t>of</w:t>
            </w:r>
            <w:r>
              <w:rPr>
                <w:spacing w:val="-7"/>
              </w:rPr>
              <w:t xml:space="preserve"> </w:t>
            </w:r>
            <w:r>
              <w:t>its</w:t>
            </w:r>
            <w:r>
              <w:rPr>
                <w:spacing w:val="-7"/>
              </w:rPr>
              <w:t xml:space="preserve"> </w:t>
            </w:r>
            <w:r>
              <w:t>differences</w:t>
            </w:r>
            <w:r>
              <w:rPr>
                <w:spacing w:val="-7"/>
              </w:rPr>
              <w:t xml:space="preserve"> </w:t>
            </w:r>
            <w:r>
              <w:t>and</w:t>
            </w:r>
            <w:r>
              <w:rPr>
                <w:spacing w:val="-6"/>
              </w:rPr>
              <w:t xml:space="preserve"> </w:t>
            </w:r>
            <w:r>
              <w:t>whether</w:t>
            </w:r>
            <w:r>
              <w:rPr>
                <w:spacing w:val="-6"/>
              </w:rPr>
              <w:t xml:space="preserve"> </w:t>
            </w:r>
            <w:r>
              <w:t>management monitors it to assess the entity’s performance in timely resolving differences.</w:t>
            </w:r>
          </w:p>
        </w:tc>
        <w:tc>
          <w:tcPr>
            <w:tcW w:w="1144" w:type="dxa"/>
            <w:tcBorders>
              <w:top w:val="single" w:sz="4" w:space="0" w:color="000000"/>
              <w:left w:val="single" w:sz="4" w:space="0" w:color="000000"/>
              <w:bottom w:val="single" w:sz="4" w:space="0" w:color="000000"/>
              <w:right w:val="single" w:sz="4" w:space="0" w:color="000000"/>
            </w:tcBorders>
          </w:tcPr>
          <w:p w14:paraId="0DFDC051"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52" w14:textId="77777777" w:rsidR="00046465" w:rsidRDefault="00046465">
            <w:pPr>
              <w:pStyle w:val="TableParagraph"/>
              <w:rPr>
                <w:rFonts w:ascii="Times New Roman"/>
                <w:sz w:val="20"/>
              </w:rPr>
            </w:pPr>
          </w:p>
        </w:tc>
      </w:tr>
      <w:tr w:rsidR="00046465" w14:paraId="0DFDC057" w14:textId="77777777">
        <w:trPr>
          <w:trHeight w:val="1890"/>
        </w:trPr>
        <w:tc>
          <w:tcPr>
            <w:tcW w:w="6696" w:type="dxa"/>
            <w:tcBorders>
              <w:top w:val="single" w:sz="4" w:space="0" w:color="000000"/>
              <w:bottom w:val="single" w:sz="4" w:space="0" w:color="000000"/>
              <w:right w:val="single" w:sz="4" w:space="0" w:color="000000"/>
            </w:tcBorders>
          </w:tcPr>
          <w:p w14:paraId="0DFDC054" w14:textId="77777777" w:rsidR="00046465" w:rsidRDefault="008134EB">
            <w:pPr>
              <w:pStyle w:val="TableParagraph"/>
              <w:spacing w:before="60"/>
              <w:ind w:left="1568" w:right="359" w:hanging="367"/>
            </w:pPr>
            <w:r>
              <w:t>d)</w:t>
            </w:r>
            <w:r>
              <w:rPr>
                <w:spacing w:val="80"/>
              </w:rPr>
              <w:t xml:space="preserve"> </w:t>
            </w:r>
            <w:r>
              <w:t>Determine whether management identifies and approves adjustments before adjusting the accounting</w:t>
            </w:r>
            <w:r>
              <w:rPr>
                <w:spacing w:val="-7"/>
              </w:rPr>
              <w:t xml:space="preserve"> </w:t>
            </w:r>
            <w:r>
              <w:t>records.</w:t>
            </w:r>
            <w:r>
              <w:rPr>
                <w:spacing w:val="-7"/>
              </w:rPr>
              <w:t xml:space="preserve"> </w:t>
            </w:r>
            <w:r>
              <w:t>If</w:t>
            </w:r>
            <w:r>
              <w:rPr>
                <w:spacing w:val="-7"/>
              </w:rPr>
              <w:t xml:space="preserve"> </w:t>
            </w:r>
            <w:r>
              <w:t>the</w:t>
            </w:r>
            <w:r>
              <w:rPr>
                <w:spacing w:val="-7"/>
              </w:rPr>
              <w:t xml:space="preserve"> </w:t>
            </w:r>
            <w:r>
              <w:t>trading</w:t>
            </w:r>
            <w:r>
              <w:rPr>
                <w:spacing w:val="-7"/>
              </w:rPr>
              <w:t xml:space="preserve"> </w:t>
            </w:r>
            <w:r>
              <w:t>partners</w:t>
            </w:r>
            <w:r>
              <w:rPr>
                <w:spacing w:val="-7"/>
              </w:rPr>
              <w:t xml:space="preserve"> </w:t>
            </w:r>
            <w:r>
              <w:t>agree that an adjustment is required in the trading partner’s records, document what procedures management has to confirm that the trading partner agrees to record the adjustment.</w:t>
            </w:r>
          </w:p>
        </w:tc>
        <w:tc>
          <w:tcPr>
            <w:tcW w:w="1144" w:type="dxa"/>
            <w:tcBorders>
              <w:top w:val="single" w:sz="4" w:space="0" w:color="000000"/>
              <w:left w:val="single" w:sz="4" w:space="0" w:color="000000"/>
              <w:bottom w:val="single" w:sz="4" w:space="0" w:color="000000"/>
              <w:right w:val="single" w:sz="4" w:space="0" w:color="000000"/>
            </w:tcBorders>
          </w:tcPr>
          <w:p w14:paraId="0DFDC055"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56" w14:textId="77777777" w:rsidR="00046465" w:rsidRDefault="00046465">
            <w:pPr>
              <w:pStyle w:val="TableParagraph"/>
              <w:rPr>
                <w:rFonts w:ascii="Times New Roman"/>
                <w:sz w:val="20"/>
              </w:rPr>
            </w:pPr>
          </w:p>
        </w:tc>
      </w:tr>
      <w:tr w:rsidR="00046465" w14:paraId="0DFDC059" w14:textId="77777777">
        <w:trPr>
          <w:trHeight w:val="376"/>
        </w:trPr>
        <w:tc>
          <w:tcPr>
            <w:tcW w:w="9069" w:type="dxa"/>
            <w:gridSpan w:val="3"/>
            <w:tcBorders>
              <w:top w:val="single" w:sz="4" w:space="0" w:color="000000"/>
              <w:bottom w:val="nil"/>
            </w:tcBorders>
          </w:tcPr>
          <w:p w14:paraId="0DFDC058" w14:textId="77777777" w:rsidR="00046465" w:rsidRDefault="008134EB">
            <w:pPr>
              <w:pStyle w:val="TableParagraph"/>
              <w:tabs>
                <w:tab w:val="left" w:pos="1604"/>
              </w:tabs>
              <w:spacing w:before="60"/>
              <w:ind w:left="92"/>
              <w:rPr>
                <w:b/>
                <w:i/>
              </w:rPr>
            </w:pPr>
            <w:r>
              <w:rPr>
                <w:b/>
                <w:i/>
              </w:rPr>
              <w:t>Phase</w:t>
            </w:r>
            <w:r>
              <w:rPr>
                <w:b/>
                <w:i/>
                <w:spacing w:val="-8"/>
              </w:rPr>
              <w:t xml:space="preserve"> </w:t>
            </w:r>
            <w:r>
              <w:rPr>
                <w:b/>
                <w:i/>
                <w:spacing w:val="-4"/>
              </w:rPr>
              <w:t>III:</w:t>
            </w:r>
            <w:r>
              <w:rPr>
                <w:b/>
                <w:i/>
              </w:rPr>
              <w:tab/>
              <w:t>Reporting</w:t>
            </w:r>
            <w:r>
              <w:rPr>
                <w:b/>
                <w:i/>
                <w:spacing w:val="-12"/>
              </w:rPr>
              <w:t xml:space="preserve"> </w:t>
            </w:r>
            <w:r>
              <w:rPr>
                <w:b/>
                <w:i/>
              </w:rPr>
              <w:t>intragovernmental</w:t>
            </w:r>
            <w:r>
              <w:rPr>
                <w:b/>
                <w:i/>
                <w:spacing w:val="-11"/>
              </w:rPr>
              <w:t xml:space="preserve"> </w:t>
            </w:r>
            <w:r>
              <w:rPr>
                <w:b/>
                <w:i/>
              </w:rPr>
              <w:t>activity</w:t>
            </w:r>
            <w:r>
              <w:rPr>
                <w:b/>
                <w:i/>
                <w:spacing w:val="-11"/>
              </w:rPr>
              <w:t xml:space="preserve"> </w:t>
            </w:r>
            <w:r>
              <w:rPr>
                <w:b/>
                <w:i/>
              </w:rPr>
              <w:t>and</w:t>
            </w:r>
            <w:r>
              <w:rPr>
                <w:b/>
                <w:i/>
                <w:spacing w:val="-11"/>
              </w:rPr>
              <w:t xml:space="preserve"> </w:t>
            </w:r>
            <w:r>
              <w:rPr>
                <w:b/>
                <w:i/>
                <w:spacing w:val="-2"/>
              </w:rPr>
              <w:t>balances</w:t>
            </w:r>
          </w:p>
        </w:tc>
      </w:tr>
      <w:tr w:rsidR="00046465" w14:paraId="0DFDC05B" w14:textId="77777777">
        <w:trPr>
          <w:trHeight w:val="1956"/>
        </w:trPr>
        <w:tc>
          <w:tcPr>
            <w:tcW w:w="9069" w:type="dxa"/>
            <w:gridSpan w:val="3"/>
            <w:tcBorders>
              <w:top w:val="nil"/>
              <w:bottom w:val="single" w:sz="4" w:space="0" w:color="000000"/>
            </w:tcBorders>
          </w:tcPr>
          <w:p w14:paraId="0DFDC05A" w14:textId="77777777" w:rsidR="00046465" w:rsidRDefault="008134EB">
            <w:pPr>
              <w:pStyle w:val="TableParagraph"/>
              <w:spacing w:before="57"/>
              <w:ind w:left="92" w:right="136"/>
              <w:rPr>
                <w:sz w:val="20"/>
              </w:rPr>
            </w:pPr>
            <w:r>
              <w:rPr>
                <w:sz w:val="20"/>
              </w:rPr>
              <w:t>Note: This phase includes entity financial reporting, GTAS reporting, and reviews of GTAS generated</w:t>
            </w:r>
            <w:r>
              <w:rPr>
                <w:spacing w:val="-4"/>
                <w:sz w:val="20"/>
              </w:rPr>
              <w:t xml:space="preserve"> </w:t>
            </w:r>
            <w:r>
              <w:rPr>
                <w:sz w:val="20"/>
              </w:rPr>
              <w:t>reclassified</w:t>
            </w:r>
            <w:r>
              <w:rPr>
                <w:spacing w:val="-3"/>
                <w:sz w:val="20"/>
              </w:rPr>
              <w:t xml:space="preserve"> </w:t>
            </w:r>
            <w:r>
              <w:rPr>
                <w:sz w:val="20"/>
              </w:rPr>
              <w:t>financial</w:t>
            </w:r>
            <w:r>
              <w:rPr>
                <w:spacing w:val="-4"/>
                <w:sz w:val="20"/>
              </w:rPr>
              <w:t xml:space="preserve"> </w:t>
            </w:r>
            <w:r>
              <w:rPr>
                <w:sz w:val="20"/>
              </w:rPr>
              <w:t>statements,</w:t>
            </w:r>
            <w:r>
              <w:rPr>
                <w:spacing w:val="-3"/>
                <w:sz w:val="20"/>
              </w:rPr>
              <w:t xml:space="preserve"> </w:t>
            </w:r>
            <w:r>
              <w:rPr>
                <w:sz w:val="20"/>
              </w:rPr>
              <w:t>which</w:t>
            </w:r>
            <w:r>
              <w:rPr>
                <w:spacing w:val="-3"/>
                <w:sz w:val="20"/>
              </w:rPr>
              <w:t xml:space="preserve"> </w:t>
            </w:r>
            <w:r>
              <w:rPr>
                <w:sz w:val="20"/>
              </w:rPr>
              <w:t>are</w:t>
            </w:r>
            <w:r>
              <w:rPr>
                <w:spacing w:val="-3"/>
                <w:sz w:val="20"/>
              </w:rPr>
              <w:t xml:space="preserve"> </w:t>
            </w:r>
            <w:r>
              <w:rPr>
                <w:sz w:val="20"/>
              </w:rPr>
              <w:t>produced</w:t>
            </w:r>
            <w:r>
              <w:rPr>
                <w:spacing w:val="-3"/>
                <w:sz w:val="20"/>
              </w:rPr>
              <w:t xml:space="preserve"> </w:t>
            </w:r>
            <w:r>
              <w:rPr>
                <w:sz w:val="20"/>
              </w:rPr>
              <w:t>by</w:t>
            </w:r>
            <w:r>
              <w:rPr>
                <w:spacing w:val="-2"/>
                <w:sz w:val="20"/>
              </w:rPr>
              <w:t xml:space="preserve"> </w:t>
            </w:r>
            <w:r>
              <w:rPr>
                <w:sz w:val="20"/>
              </w:rPr>
              <w:t>GTAS</w:t>
            </w:r>
            <w:r>
              <w:rPr>
                <w:spacing w:val="-3"/>
                <w:sz w:val="20"/>
              </w:rPr>
              <w:t xml:space="preserve"> </w:t>
            </w:r>
            <w:r>
              <w:rPr>
                <w:sz w:val="20"/>
              </w:rPr>
              <w:t>using</w:t>
            </w:r>
            <w:r>
              <w:rPr>
                <w:spacing w:val="-3"/>
                <w:sz w:val="20"/>
              </w:rPr>
              <w:t xml:space="preserve"> </w:t>
            </w:r>
            <w:r>
              <w:rPr>
                <w:sz w:val="20"/>
              </w:rPr>
              <w:t>the</w:t>
            </w:r>
            <w:r>
              <w:rPr>
                <w:spacing w:val="-3"/>
                <w:sz w:val="20"/>
              </w:rPr>
              <w:t xml:space="preserve"> </w:t>
            </w:r>
            <w:r>
              <w:rPr>
                <w:sz w:val="20"/>
              </w:rPr>
              <w:t>automated</w:t>
            </w:r>
            <w:r>
              <w:rPr>
                <w:spacing w:val="-3"/>
                <w:sz w:val="20"/>
              </w:rPr>
              <w:t xml:space="preserve"> </w:t>
            </w:r>
            <w:r>
              <w:rPr>
                <w:sz w:val="20"/>
              </w:rPr>
              <w:t>trial balance information submitted by the entities. Significant entities should use the standardized balance</w:t>
            </w:r>
            <w:r>
              <w:rPr>
                <w:spacing w:val="-4"/>
                <w:sz w:val="20"/>
              </w:rPr>
              <w:t xml:space="preserve"> </w:t>
            </w:r>
            <w:r>
              <w:rPr>
                <w:sz w:val="20"/>
              </w:rPr>
              <w:t>sheet</w:t>
            </w:r>
            <w:r>
              <w:rPr>
                <w:spacing w:val="-3"/>
                <w:sz w:val="20"/>
              </w:rPr>
              <w:t xml:space="preserve"> </w:t>
            </w:r>
            <w:r>
              <w:rPr>
                <w:sz w:val="20"/>
              </w:rPr>
              <w:t>and</w:t>
            </w:r>
            <w:r>
              <w:rPr>
                <w:spacing w:val="-3"/>
                <w:sz w:val="20"/>
              </w:rPr>
              <w:t xml:space="preserve"> </w:t>
            </w:r>
            <w:r>
              <w:rPr>
                <w:sz w:val="20"/>
              </w:rPr>
              <w:t>include</w:t>
            </w:r>
            <w:r>
              <w:rPr>
                <w:spacing w:val="-4"/>
                <w:sz w:val="20"/>
              </w:rPr>
              <w:t xml:space="preserve"> </w:t>
            </w:r>
            <w:r>
              <w:rPr>
                <w:sz w:val="20"/>
              </w:rPr>
              <w:t>a</w:t>
            </w:r>
            <w:r>
              <w:rPr>
                <w:spacing w:val="-3"/>
                <w:sz w:val="20"/>
              </w:rPr>
              <w:t xml:space="preserve"> </w:t>
            </w:r>
            <w:r>
              <w:rPr>
                <w:i/>
                <w:sz w:val="20"/>
              </w:rPr>
              <w:t>Reclassification</w:t>
            </w:r>
            <w:r>
              <w:rPr>
                <w:i/>
                <w:spacing w:val="-3"/>
                <w:sz w:val="20"/>
              </w:rPr>
              <w:t xml:space="preserve"> </w:t>
            </w:r>
            <w:r>
              <w:rPr>
                <w:i/>
                <w:sz w:val="20"/>
              </w:rPr>
              <w:t>of</w:t>
            </w:r>
            <w:r>
              <w:rPr>
                <w:i/>
                <w:spacing w:val="-4"/>
                <w:sz w:val="20"/>
              </w:rPr>
              <w:t xml:space="preserve"> </w:t>
            </w:r>
            <w:r>
              <w:rPr>
                <w:i/>
                <w:sz w:val="20"/>
              </w:rPr>
              <w:t>Financial</w:t>
            </w:r>
            <w:r>
              <w:rPr>
                <w:i/>
                <w:spacing w:val="-3"/>
                <w:sz w:val="20"/>
              </w:rPr>
              <w:t xml:space="preserve"> </w:t>
            </w:r>
            <w:r>
              <w:rPr>
                <w:i/>
                <w:sz w:val="20"/>
              </w:rPr>
              <w:t>Statement</w:t>
            </w:r>
            <w:r>
              <w:rPr>
                <w:i/>
                <w:spacing w:val="-3"/>
                <w:sz w:val="20"/>
              </w:rPr>
              <w:t xml:space="preserve"> </w:t>
            </w:r>
            <w:r>
              <w:rPr>
                <w:i/>
                <w:sz w:val="20"/>
              </w:rPr>
              <w:t>Line</w:t>
            </w:r>
            <w:r>
              <w:rPr>
                <w:i/>
                <w:spacing w:val="-3"/>
                <w:sz w:val="20"/>
              </w:rPr>
              <w:t xml:space="preserve"> </w:t>
            </w:r>
            <w:r>
              <w:rPr>
                <w:i/>
                <w:sz w:val="20"/>
              </w:rPr>
              <w:t>Items</w:t>
            </w:r>
            <w:r>
              <w:rPr>
                <w:i/>
                <w:spacing w:val="-2"/>
                <w:sz w:val="20"/>
              </w:rPr>
              <w:t xml:space="preserve"> </w:t>
            </w:r>
            <w:r>
              <w:rPr>
                <w:i/>
                <w:sz w:val="20"/>
              </w:rPr>
              <w:t>for</w:t>
            </w:r>
            <w:r>
              <w:rPr>
                <w:i/>
                <w:spacing w:val="-2"/>
                <w:sz w:val="20"/>
              </w:rPr>
              <w:t xml:space="preserve"> </w:t>
            </w:r>
            <w:r>
              <w:rPr>
                <w:i/>
                <w:sz w:val="20"/>
              </w:rPr>
              <w:t>Financial</w:t>
            </w:r>
            <w:r>
              <w:rPr>
                <w:i/>
                <w:spacing w:val="-3"/>
                <w:sz w:val="20"/>
              </w:rPr>
              <w:t xml:space="preserve"> </w:t>
            </w:r>
            <w:r>
              <w:rPr>
                <w:i/>
                <w:sz w:val="20"/>
              </w:rPr>
              <w:t xml:space="preserve">Report Compilation Process </w:t>
            </w:r>
            <w:r>
              <w:rPr>
                <w:sz w:val="20"/>
              </w:rPr>
              <w:t>note in audited financial statements in accordance with OMB reporting guidance. Significant entities that are FASB reporters need to also report the note information and have it audited (see TFM 2-4705.25). Treasury uses this information to calculate the differences between trading partners on a quarterly basis (which the entities then need to resolve).</w:t>
            </w:r>
          </w:p>
        </w:tc>
      </w:tr>
      <w:tr w:rsidR="00046465" w14:paraId="0DFDC05F" w14:textId="77777777">
        <w:trPr>
          <w:trHeight w:val="1384"/>
        </w:trPr>
        <w:tc>
          <w:tcPr>
            <w:tcW w:w="6696" w:type="dxa"/>
            <w:tcBorders>
              <w:top w:val="single" w:sz="4" w:space="0" w:color="000000"/>
              <w:bottom w:val="single" w:sz="4" w:space="0" w:color="000000"/>
              <w:right w:val="single" w:sz="4" w:space="0" w:color="000000"/>
            </w:tcBorders>
          </w:tcPr>
          <w:p w14:paraId="0DFDC05C" w14:textId="77777777" w:rsidR="00046465" w:rsidRDefault="008134EB">
            <w:pPr>
              <w:pStyle w:val="TableParagraph"/>
              <w:spacing w:before="60"/>
              <w:ind w:left="1172" w:right="121" w:hanging="361"/>
            </w:pPr>
            <w:r>
              <w:t>4)</w:t>
            </w:r>
            <w:r>
              <w:rPr>
                <w:spacing w:val="80"/>
              </w:rPr>
              <w:t xml:space="preserve"> </w:t>
            </w:r>
            <w:r>
              <w:t>For</w:t>
            </w:r>
            <w:r>
              <w:rPr>
                <w:spacing w:val="-4"/>
              </w:rPr>
              <w:t xml:space="preserve"> </w:t>
            </w:r>
            <w:r>
              <w:t>each</w:t>
            </w:r>
            <w:r>
              <w:rPr>
                <w:spacing w:val="-4"/>
              </w:rPr>
              <w:t xml:space="preserve"> </w:t>
            </w:r>
            <w:r>
              <w:t>audit</w:t>
            </w:r>
            <w:r>
              <w:rPr>
                <w:spacing w:val="-4"/>
              </w:rPr>
              <w:t xml:space="preserve"> </w:t>
            </w:r>
            <w:r>
              <w:t>cycle,</w:t>
            </w:r>
            <w:r>
              <w:rPr>
                <w:spacing w:val="-4"/>
              </w:rPr>
              <w:t xml:space="preserve"> </w:t>
            </w:r>
            <w:r>
              <w:t>determine,</w:t>
            </w:r>
            <w:r>
              <w:rPr>
                <w:spacing w:val="-4"/>
              </w:rPr>
              <w:t xml:space="preserve"> </w:t>
            </w:r>
            <w:r>
              <w:t>through</w:t>
            </w:r>
            <w:r>
              <w:rPr>
                <w:spacing w:val="-4"/>
              </w:rPr>
              <w:t xml:space="preserve"> </w:t>
            </w:r>
            <w:r>
              <w:t>inquiries</w:t>
            </w:r>
            <w:r>
              <w:rPr>
                <w:spacing w:val="-4"/>
              </w:rPr>
              <w:t xml:space="preserve"> </w:t>
            </w:r>
            <w:r>
              <w:t>of management,</w:t>
            </w:r>
            <w:r>
              <w:rPr>
                <w:spacing w:val="-3"/>
              </w:rPr>
              <w:t xml:space="preserve"> </w:t>
            </w:r>
            <w:r>
              <w:t>walk-throughs,</w:t>
            </w:r>
            <w:r>
              <w:rPr>
                <w:spacing w:val="-3"/>
              </w:rPr>
              <w:t xml:space="preserve"> </w:t>
            </w:r>
            <w:r>
              <w:t>reviews</w:t>
            </w:r>
            <w:r>
              <w:rPr>
                <w:spacing w:val="-4"/>
              </w:rPr>
              <w:t xml:space="preserve"> </w:t>
            </w:r>
            <w:r>
              <w:t>of</w:t>
            </w:r>
            <w:r>
              <w:rPr>
                <w:spacing w:val="-3"/>
              </w:rPr>
              <w:t xml:space="preserve"> </w:t>
            </w:r>
            <w:r>
              <w:t>prior</w:t>
            </w:r>
            <w:r>
              <w:rPr>
                <w:spacing w:val="-3"/>
              </w:rPr>
              <w:t xml:space="preserve"> </w:t>
            </w:r>
            <w:r>
              <w:t>years’ documentation, and the following procedures, the entity’s policies and procedures for reporting intragovernmental activity and balances.</w:t>
            </w:r>
          </w:p>
        </w:tc>
        <w:tc>
          <w:tcPr>
            <w:tcW w:w="1144" w:type="dxa"/>
            <w:tcBorders>
              <w:top w:val="single" w:sz="4" w:space="0" w:color="000000"/>
              <w:left w:val="single" w:sz="4" w:space="0" w:color="000000"/>
              <w:bottom w:val="single" w:sz="4" w:space="0" w:color="000000"/>
              <w:right w:val="single" w:sz="4" w:space="0" w:color="000000"/>
            </w:tcBorders>
          </w:tcPr>
          <w:p w14:paraId="0DFDC05D"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5E" w14:textId="77777777" w:rsidR="00046465" w:rsidRDefault="00046465">
            <w:pPr>
              <w:pStyle w:val="TableParagraph"/>
              <w:rPr>
                <w:rFonts w:ascii="Times New Roman"/>
                <w:sz w:val="20"/>
              </w:rPr>
            </w:pPr>
          </w:p>
        </w:tc>
      </w:tr>
      <w:tr w:rsidR="00046465" w14:paraId="0DFDC063" w14:textId="77777777">
        <w:trPr>
          <w:trHeight w:val="1132"/>
        </w:trPr>
        <w:tc>
          <w:tcPr>
            <w:tcW w:w="6696" w:type="dxa"/>
            <w:tcBorders>
              <w:top w:val="single" w:sz="4" w:space="0" w:color="000000"/>
              <w:bottom w:val="single" w:sz="4" w:space="0" w:color="000000"/>
              <w:right w:val="single" w:sz="4" w:space="0" w:color="000000"/>
            </w:tcBorders>
          </w:tcPr>
          <w:p w14:paraId="0DFDC060" w14:textId="77777777" w:rsidR="00046465" w:rsidRDefault="008134EB">
            <w:pPr>
              <w:pStyle w:val="TableParagraph"/>
              <w:tabs>
                <w:tab w:val="left" w:pos="1568"/>
              </w:tabs>
              <w:spacing w:before="61"/>
              <w:ind w:left="1568" w:right="537" w:hanging="450"/>
            </w:pPr>
            <w:r>
              <w:rPr>
                <w:spacing w:val="-6"/>
              </w:rPr>
              <w:t>a)</w:t>
            </w:r>
            <w:r>
              <w:tab/>
              <w:t>Determine whether the entity has established processes</w:t>
            </w:r>
            <w:r>
              <w:rPr>
                <w:spacing w:val="-9"/>
              </w:rPr>
              <w:t xml:space="preserve"> </w:t>
            </w:r>
            <w:r>
              <w:t>for</w:t>
            </w:r>
            <w:r>
              <w:rPr>
                <w:spacing w:val="-8"/>
              </w:rPr>
              <w:t xml:space="preserve"> </w:t>
            </w:r>
            <w:r>
              <w:t>ensuring</w:t>
            </w:r>
            <w:r>
              <w:rPr>
                <w:spacing w:val="-9"/>
              </w:rPr>
              <w:t xml:space="preserve"> </w:t>
            </w:r>
            <w:r>
              <w:t>appropriate</w:t>
            </w:r>
            <w:r>
              <w:rPr>
                <w:spacing w:val="-8"/>
              </w:rPr>
              <w:t xml:space="preserve"> </w:t>
            </w:r>
            <w:r>
              <w:t>inclusion</w:t>
            </w:r>
            <w:r>
              <w:rPr>
                <w:spacing w:val="-8"/>
              </w:rPr>
              <w:t xml:space="preserve"> </w:t>
            </w:r>
            <w:r>
              <w:t>of intragovernmental activity and balances in its financial statements.</w:t>
            </w:r>
          </w:p>
        </w:tc>
        <w:tc>
          <w:tcPr>
            <w:tcW w:w="1144" w:type="dxa"/>
            <w:tcBorders>
              <w:top w:val="single" w:sz="4" w:space="0" w:color="000000"/>
              <w:left w:val="single" w:sz="4" w:space="0" w:color="000000"/>
              <w:bottom w:val="single" w:sz="4" w:space="0" w:color="000000"/>
              <w:right w:val="single" w:sz="4" w:space="0" w:color="000000"/>
            </w:tcBorders>
          </w:tcPr>
          <w:p w14:paraId="0DFDC061"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62" w14:textId="77777777" w:rsidR="00046465" w:rsidRDefault="00046465">
            <w:pPr>
              <w:pStyle w:val="TableParagraph"/>
              <w:rPr>
                <w:rFonts w:ascii="Times New Roman"/>
                <w:sz w:val="20"/>
              </w:rPr>
            </w:pPr>
          </w:p>
        </w:tc>
      </w:tr>
      <w:tr w:rsidR="00046465" w14:paraId="0DFDC067" w14:textId="77777777">
        <w:trPr>
          <w:trHeight w:val="1385"/>
        </w:trPr>
        <w:tc>
          <w:tcPr>
            <w:tcW w:w="6696" w:type="dxa"/>
            <w:tcBorders>
              <w:top w:val="single" w:sz="4" w:space="0" w:color="000000"/>
              <w:bottom w:val="single" w:sz="4" w:space="0" w:color="000000"/>
              <w:right w:val="single" w:sz="4" w:space="0" w:color="000000"/>
            </w:tcBorders>
          </w:tcPr>
          <w:p w14:paraId="0DFDC064" w14:textId="77777777" w:rsidR="00046465" w:rsidRDefault="008134EB">
            <w:pPr>
              <w:pStyle w:val="TableParagraph"/>
              <w:tabs>
                <w:tab w:val="left" w:pos="1568"/>
              </w:tabs>
              <w:spacing w:before="60"/>
              <w:ind w:left="1568" w:right="525" w:hanging="450"/>
            </w:pPr>
            <w:r>
              <w:rPr>
                <w:spacing w:val="-6"/>
              </w:rPr>
              <w:t>b)</w:t>
            </w:r>
            <w:r>
              <w:tab/>
              <w:t>Determine whether the entity has established processes</w:t>
            </w:r>
            <w:r>
              <w:rPr>
                <w:spacing w:val="-9"/>
              </w:rPr>
              <w:t xml:space="preserve"> </w:t>
            </w:r>
            <w:r>
              <w:t>for</w:t>
            </w:r>
            <w:r>
              <w:rPr>
                <w:spacing w:val="-8"/>
              </w:rPr>
              <w:t xml:space="preserve"> </w:t>
            </w:r>
            <w:r>
              <w:t>ensuring</w:t>
            </w:r>
            <w:r>
              <w:rPr>
                <w:spacing w:val="-9"/>
              </w:rPr>
              <w:t xml:space="preserve"> </w:t>
            </w:r>
            <w:r>
              <w:t>appropriate</w:t>
            </w:r>
            <w:r>
              <w:rPr>
                <w:spacing w:val="-9"/>
              </w:rPr>
              <w:t xml:space="preserve"> </w:t>
            </w:r>
            <w:r>
              <w:t>reporting</w:t>
            </w:r>
            <w:r>
              <w:rPr>
                <w:spacing w:val="-8"/>
              </w:rPr>
              <w:t xml:space="preserve"> </w:t>
            </w:r>
            <w:r>
              <w:t>of intragovernmental activity and balances to Treasury</w:t>
            </w:r>
            <w:r>
              <w:rPr>
                <w:spacing w:val="-6"/>
              </w:rPr>
              <w:t xml:space="preserve"> </w:t>
            </w:r>
            <w:r>
              <w:t>for</w:t>
            </w:r>
            <w:r>
              <w:rPr>
                <w:spacing w:val="-7"/>
              </w:rPr>
              <w:t xml:space="preserve"> </w:t>
            </w:r>
            <w:r>
              <w:t>inclusion</w:t>
            </w:r>
            <w:r>
              <w:rPr>
                <w:spacing w:val="-6"/>
              </w:rPr>
              <w:t xml:space="preserve"> </w:t>
            </w:r>
            <w:r>
              <w:t>in</w:t>
            </w:r>
            <w:r>
              <w:rPr>
                <w:spacing w:val="-7"/>
              </w:rPr>
              <w:t xml:space="preserve"> </w:t>
            </w:r>
            <w:r>
              <w:t>the</w:t>
            </w:r>
            <w:r>
              <w:rPr>
                <w:spacing w:val="-6"/>
              </w:rPr>
              <w:t xml:space="preserve"> </w:t>
            </w:r>
            <w:r>
              <w:t>U.S.</w:t>
            </w:r>
            <w:r>
              <w:rPr>
                <w:spacing w:val="-6"/>
              </w:rPr>
              <w:t xml:space="preserve"> </w:t>
            </w:r>
            <w:r>
              <w:t>government’s consolidated financial statements.</w:t>
            </w:r>
          </w:p>
        </w:tc>
        <w:tc>
          <w:tcPr>
            <w:tcW w:w="1144" w:type="dxa"/>
            <w:tcBorders>
              <w:top w:val="single" w:sz="4" w:space="0" w:color="000000"/>
              <w:left w:val="single" w:sz="4" w:space="0" w:color="000000"/>
              <w:bottom w:val="single" w:sz="4" w:space="0" w:color="000000"/>
              <w:right w:val="single" w:sz="4" w:space="0" w:color="000000"/>
            </w:tcBorders>
          </w:tcPr>
          <w:p w14:paraId="0DFDC065"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66" w14:textId="77777777" w:rsidR="00046465" w:rsidRDefault="00046465">
            <w:pPr>
              <w:pStyle w:val="TableParagraph"/>
              <w:rPr>
                <w:rFonts w:ascii="Times New Roman"/>
                <w:sz w:val="20"/>
              </w:rPr>
            </w:pPr>
          </w:p>
        </w:tc>
      </w:tr>
      <w:tr w:rsidR="00046465" w14:paraId="0DFDC06B" w14:textId="77777777">
        <w:trPr>
          <w:trHeight w:val="566"/>
        </w:trPr>
        <w:tc>
          <w:tcPr>
            <w:tcW w:w="6696" w:type="dxa"/>
            <w:tcBorders>
              <w:top w:val="single" w:sz="4" w:space="0" w:color="000000"/>
              <w:bottom w:val="single" w:sz="4" w:space="0" w:color="000000"/>
              <w:right w:val="single" w:sz="4" w:space="0" w:color="000000"/>
            </w:tcBorders>
          </w:tcPr>
          <w:p w14:paraId="0DFDC068" w14:textId="77777777" w:rsidR="00046465" w:rsidRDefault="008134EB">
            <w:pPr>
              <w:pStyle w:val="TableParagraph"/>
              <w:tabs>
                <w:tab w:val="left" w:pos="1568"/>
              </w:tabs>
              <w:spacing w:before="42" w:line="252" w:lineRule="exact"/>
              <w:ind w:left="1568" w:right="719" w:hanging="450"/>
            </w:pPr>
            <w:r>
              <w:rPr>
                <w:spacing w:val="-6"/>
              </w:rPr>
              <w:t>c)</w:t>
            </w:r>
            <w:r>
              <w:tab/>
              <w:t>Determine</w:t>
            </w:r>
            <w:r>
              <w:rPr>
                <w:spacing w:val="-9"/>
              </w:rPr>
              <w:t xml:space="preserve"> </w:t>
            </w:r>
            <w:r>
              <w:t>whether</w:t>
            </w:r>
            <w:r>
              <w:rPr>
                <w:spacing w:val="-10"/>
              </w:rPr>
              <w:t xml:space="preserve"> </w:t>
            </w:r>
            <w:r>
              <w:t>management</w:t>
            </w:r>
            <w:r>
              <w:rPr>
                <w:spacing w:val="-10"/>
              </w:rPr>
              <w:t xml:space="preserve"> </w:t>
            </w:r>
            <w:r>
              <w:t>reviews</w:t>
            </w:r>
            <w:r>
              <w:rPr>
                <w:spacing w:val="-10"/>
              </w:rPr>
              <w:t xml:space="preserve"> </w:t>
            </w:r>
            <w:r>
              <w:t>the current FASAB, OMB, Treasury, and other</w:t>
            </w:r>
          </w:p>
        </w:tc>
        <w:tc>
          <w:tcPr>
            <w:tcW w:w="1144" w:type="dxa"/>
            <w:tcBorders>
              <w:top w:val="single" w:sz="4" w:space="0" w:color="000000"/>
              <w:left w:val="single" w:sz="4" w:space="0" w:color="000000"/>
              <w:bottom w:val="single" w:sz="4" w:space="0" w:color="000000"/>
              <w:right w:val="single" w:sz="4" w:space="0" w:color="000000"/>
            </w:tcBorders>
          </w:tcPr>
          <w:p w14:paraId="0DFDC069"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6A" w14:textId="77777777" w:rsidR="00046465" w:rsidRDefault="00046465">
            <w:pPr>
              <w:pStyle w:val="TableParagraph"/>
              <w:rPr>
                <w:rFonts w:ascii="Times New Roman"/>
                <w:sz w:val="20"/>
              </w:rPr>
            </w:pPr>
          </w:p>
        </w:tc>
      </w:tr>
    </w:tbl>
    <w:p w14:paraId="0DFDC06C" w14:textId="77777777" w:rsidR="00046465" w:rsidRDefault="00046465">
      <w:pPr>
        <w:pStyle w:val="TableParagraph"/>
        <w:rPr>
          <w:rFonts w:ascii="Times New Roman"/>
          <w:sz w:val="20"/>
        </w:rPr>
        <w:sectPr w:rsidR="00046465">
          <w:pgSz w:w="12240" w:h="15840"/>
          <w:pgMar w:top="1340" w:right="720" w:bottom="940" w:left="1080" w:header="721" w:footer="757" w:gutter="0"/>
          <w:cols w:space="720"/>
        </w:sectPr>
      </w:pPr>
    </w:p>
    <w:p w14:paraId="0DFDC06D" w14:textId="77777777" w:rsidR="00046465" w:rsidRDefault="00046465">
      <w:pPr>
        <w:pStyle w:val="BodyText"/>
        <w:spacing w:before="9"/>
        <w:rPr>
          <w:sz w:val="11"/>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C071" w14:textId="77777777">
        <w:trPr>
          <w:trHeight w:val="625"/>
        </w:trPr>
        <w:tc>
          <w:tcPr>
            <w:tcW w:w="6696" w:type="dxa"/>
            <w:tcBorders>
              <w:right w:val="single" w:sz="4" w:space="0" w:color="000000"/>
            </w:tcBorders>
          </w:tcPr>
          <w:p w14:paraId="0DFDC06E"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C06F"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C070"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C076" w14:textId="77777777">
        <w:trPr>
          <w:trHeight w:val="784"/>
        </w:trPr>
        <w:tc>
          <w:tcPr>
            <w:tcW w:w="6696" w:type="dxa"/>
            <w:tcBorders>
              <w:bottom w:val="single" w:sz="4" w:space="0" w:color="000000"/>
              <w:right w:val="single" w:sz="4" w:space="0" w:color="000000"/>
            </w:tcBorders>
          </w:tcPr>
          <w:p w14:paraId="0DFDC072" w14:textId="77777777" w:rsidR="00046465" w:rsidRDefault="008134EB">
            <w:pPr>
              <w:pStyle w:val="TableParagraph"/>
              <w:spacing w:line="219" w:lineRule="exact"/>
              <w:ind w:left="1568"/>
            </w:pPr>
            <w:r>
              <w:t>guidance</w:t>
            </w:r>
            <w:r>
              <w:rPr>
                <w:spacing w:val="-11"/>
              </w:rPr>
              <w:t xml:space="preserve"> </w:t>
            </w:r>
            <w:r>
              <w:t>for</w:t>
            </w:r>
            <w:r>
              <w:rPr>
                <w:spacing w:val="-11"/>
              </w:rPr>
              <w:t xml:space="preserve"> </w:t>
            </w:r>
            <w:r>
              <w:t>reporting</w:t>
            </w:r>
            <w:r>
              <w:rPr>
                <w:spacing w:val="-10"/>
              </w:rPr>
              <w:t xml:space="preserve"> </w:t>
            </w:r>
            <w:r>
              <w:t>intragovernmental</w:t>
            </w:r>
            <w:r>
              <w:rPr>
                <w:spacing w:val="-10"/>
              </w:rPr>
              <w:t xml:space="preserve"> </w:t>
            </w:r>
            <w:r>
              <w:rPr>
                <w:spacing w:val="-2"/>
              </w:rPr>
              <w:t>activity</w:t>
            </w:r>
          </w:p>
          <w:p w14:paraId="0DFDC073" w14:textId="77777777" w:rsidR="00046465" w:rsidRDefault="008134EB">
            <w:pPr>
              <w:pStyle w:val="TableParagraph"/>
              <w:ind w:left="1568"/>
            </w:pPr>
            <w:r>
              <w:t>and</w:t>
            </w:r>
            <w:r>
              <w:rPr>
                <w:spacing w:val="-6"/>
              </w:rPr>
              <w:t xml:space="preserve"> </w:t>
            </w:r>
            <w:r>
              <w:t>balances</w:t>
            </w:r>
            <w:r>
              <w:rPr>
                <w:spacing w:val="-6"/>
              </w:rPr>
              <w:t xml:space="preserve"> </w:t>
            </w:r>
            <w:r>
              <w:t>and</w:t>
            </w:r>
            <w:r>
              <w:rPr>
                <w:spacing w:val="-6"/>
              </w:rPr>
              <w:t xml:space="preserve"> </w:t>
            </w:r>
            <w:r>
              <w:t>updates</w:t>
            </w:r>
            <w:r>
              <w:rPr>
                <w:spacing w:val="-6"/>
              </w:rPr>
              <w:t xml:space="preserve"> </w:t>
            </w:r>
            <w:r>
              <w:t>the</w:t>
            </w:r>
            <w:r>
              <w:rPr>
                <w:spacing w:val="-6"/>
              </w:rPr>
              <w:t xml:space="preserve"> </w:t>
            </w:r>
            <w:r>
              <w:t>entity’s</w:t>
            </w:r>
            <w:r>
              <w:rPr>
                <w:spacing w:val="-6"/>
              </w:rPr>
              <w:t xml:space="preserve"> </w:t>
            </w:r>
            <w:r>
              <w:t>policies</w:t>
            </w:r>
            <w:r>
              <w:rPr>
                <w:spacing w:val="-6"/>
              </w:rPr>
              <w:t xml:space="preserve"> </w:t>
            </w:r>
            <w:r>
              <w:t xml:space="preserve">and </w:t>
            </w:r>
            <w:r>
              <w:rPr>
                <w:spacing w:val="-2"/>
              </w:rPr>
              <w:t>procedures.</w:t>
            </w:r>
          </w:p>
        </w:tc>
        <w:tc>
          <w:tcPr>
            <w:tcW w:w="1144" w:type="dxa"/>
            <w:tcBorders>
              <w:left w:val="single" w:sz="4" w:space="0" w:color="000000"/>
              <w:bottom w:val="single" w:sz="4" w:space="0" w:color="000000"/>
              <w:right w:val="single" w:sz="4" w:space="0" w:color="000000"/>
            </w:tcBorders>
          </w:tcPr>
          <w:p w14:paraId="0DFDC074" w14:textId="77777777" w:rsidR="00046465" w:rsidRDefault="00046465">
            <w:pPr>
              <w:pStyle w:val="TableParagraph"/>
              <w:rPr>
                <w:rFonts w:ascii="Times New Roman"/>
                <w:sz w:val="20"/>
              </w:rPr>
            </w:pPr>
          </w:p>
        </w:tc>
        <w:tc>
          <w:tcPr>
            <w:tcW w:w="1229" w:type="dxa"/>
            <w:tcBorders>
              <w:left w:val="single" w:sz="4" w:space="0" w:color="000000"/>
              <w:bottom w:val="single" w:sz="4" w:space="0" w:color="000000"/>
            </w:tcBorders>
          </w:tcPr>
          <w:p w14:paraId="0DFDC075" w14:textId="77777777" w:rsidR="00046465" w:rsidRDefault="00046465">
            <w:pPr>
              <w:pStyle w:val="TableParagraph"/>
              <w:rPr>
                <w:rFonts w:ascii="Times New Roman"/>
                <w:sz w:val="20"/>
              </w:rPr>
            </w:pPr>
          </w:p>
        </w:tc>
      </w:tr>
      <w:tr w:rsidR="00046465" w14:paraId="0DFDC07A" w14:textId="77777777">
        <w:trPr>
          <w:trHeight w:val="1726"/>
        </w:trPr>
        <w:tc>
          <w:tcPr>
            <w:tcW w:w="6696" w:type="dxa"/>
            <w:tcBorders>
              <w:top w:val="single" w:sz="4" w:space="0" w:color="000000"/>
              <w:bottom w:val="single" w:sz="4" w:space="0" w:color="000000"/>
              <w:right w:val="single" w:sz="4" w:space="0" w:color="000000"/>
            </w:tcBorders>
          </w:tcPr>
          <w:p w14:paraId="0DFDC077" w14:textId="77777777" w:rsidR="00046465" w:rsidRDefault="008134EB">
            <w:pPr>
              <w:pStyle w:val="TableParagraph"/>
              <w:tabs>
                <w:tab w:val="left" w:pos="1568"/>
              </w:tabs>
              <w:spacing w:before="60"/>
              <w:ind w:left="1568" w:right="219" w:hanging="450"/>
            </w:pPr>
            <w:r>
              <w:rPr>
                <w:spacing w:val="-6"/>
              </w:rPr>
              <w:t>d)</w:t>
            </w:r>
            <w:r>
              <w:tab/>
              <w:t>Determine whether the entity has designed and implemented</w:t>
            </w:r>
            <w:r>
              <w:rPr>
                <w:spacing w:val="-9"/>
              </w:rPr>
              <w:t xml:space="preserve"> </w:t>
            </w:r>
            <w:r>
              <w:t>effective</w:t>
            </w:r>
            <w:r>
              <w:rPr>
                <w:spacing w:val="-10"/>
              </w:rPr>
              <w:t xml:space="preserve"> </w:t>
            </w:r>
            <w:r>
              <w:t>information</w:t>
            </w:r>
            <w:r>
              <w:rPr>
                <w:spacing w:val="-9"/>
              </w:rPr>
              <w:t xml:space="preserve"> </w:t>
            </w:r>
            <w:r>
              <w:t>system</w:t>
            </w:r>
            <w:r>
              <w:rPr>
                <w:spacing w:val="-10"/>
              </w:rPr>
              <w:t xml:space="preserve"> </w:t>
            </w:r>
            <w:r>
              <w:t>controls over reporting processes such as to reasonably assure that only appropriate personnel have access to financial reporting systems including GTAS and have appropriate roles assigned.</w:t>
            </w:r>
          </w:p>
        </w:tc>
        <w:tc>
          <w:tcPr>
            <w:tcW w:w="1144" w:type="dxa"/>
            <w:tcBorders>
              <w:top w:val="single" w:sz="4" w:space="0" w:color="000000"/>
              <w:left w:val="single" w:sz="4" w:space="0" w:color="000000"/>
              <w:bottom w:val="single" w:sz="4" w:space="0" w:color="000000"/>
              <w:right w:val="single" w:sz="4" w:space="0" w:color="000000"/>
            </w:tcBorders>
          </w:tcPr>
          <w:p w14:paraId="0DFDC078"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79" w14:textId="77777777" w:rsidR="00046465" w:rsidRDefault="00046465">
            <w:pPr>
              <w:pStyle w:val="TableParagraph"/>
              <w:rPr>
                <w:rFonts w:ascii="Times New Roman"/>
                <w:sz w:val="20"/>
              </w:rPr>
            </w:pPr>
          </w:p>
        </w:tc>
      </w:tr>
      <w:tr w:rsidR="00046465" w14:paraId="0DFDC081" w14:textId="77777777">
        <w:trPr>
          <w:trHeight w:val="2397"/>
        </w:trPr>
        <w:tc>
          <w:tcPr>
            <w:tcW w:w="6696" w:type="dxa"/>
            <w:tcBorders>
              <w:top w:val="single" w:sz="4" w:space="0" w:color="000000"/>
              <w:bottom w:val="single" w:sz="4" w:space="0" w:color="000000"/>
              <w:right w:val="single" w:sz="4" w:space="0" w:color="000000"/>
            </w:tcBorders>
          </w:tcPr>
          <w:p w14:paraId="0DFDC07B" w14:textId="77777777" w:rsidR="00046465" w:rsidRDefault="008134EB">
            <w:pPr>
              <w:pStyle w:val="TableParagraph"/>
              <w:numPr>
                <w:ilvl w:val="0"/>
                <w:numId w:val="131"/>
              </w:numPr>
              <w:tabs>
                <w:tab w:val="left" w:pos="1568"/>
              </w:tabs>
              <w:spacing w:before="61"/>
              <w:ind w:right="279"/>
            </w:pPr>
            <w:r>
              <w:t>Determine how the entity eliminates intra-entity activity</w:t>
            </w:r>
            <w:r>
              <w:rPr>
                <w:spacing w:val="-8"/>
              </w:rPr>
              <w:t xml:space="preserve"> </w:t>
            </w:r>
            <w:r>
              <w:t>from</w:t>
            </w:r>
            <w:r>
              <w:rPr>
                <w:spacing w:val="-8"/>
              </w:rPr>
              <w:t xml:space="preserve"> </w:t>
            </w:r>
            <w:r>
              <w:t>its</w:t>
            </w:r>
            <w:r>
              <w:rPr>
                <w:spacing w:val="-8"/>
              </w:rPr>
              <w:t xml:space="preserve"> </w:t>
            </w:r>
            <w:r>
              <w:t>consolidated</w:t>
            </w:r>
            <w:r>
              <w:rPr>
                <w:spacing w:val="-8"/>
              </w:rPr>
              <w:t xml:space="preserve"> </w:t>
            </w:r>
            <w:r>
              <w:t>financial</w:t>
            </w:r>
            <w:r>
              <w:rPr>
                <w:spacing w:val="-8"/>
              </w:rPr>
              <w:t xml:space="preserve"> </w:t>
            </w:r>
            <w:r>
              <w:t>statements.</w:t>
            </w:r>
          </w:p>
          <w:p w14:paraId="0DFDC07C" w14:textId="77777777" w:rsidR="00046465" w:rsidRDefault="008134EB">
            <w:pPr>
              <w:pStyle w:val="TableParagraph"/>
              <w:spacing w:line="252" w:lineRule="exact"/>
              <w:ind w:left="1568"/>
            </w:pPr>
            <w:r>
              <w:t>Also,</w:t>
            </w:r>
            <w:r>
              <w:rPr>
                <w:spacing w:val="-10"/>
              </w:rPr>
              <w:t xml:space="preserve"> </w:t>
            </w:r>
            <w:r>
              <w:t>determine</w:t>
            </w:r>
            <w:r>
              <w:rPr>
                <w:spacing w:val="-9"/>
              </w:rPr>
              <w:t xml:space="preserve"> </w:t>
            </w:r>
            <w:r>
              <w:rPr>
                <w:spacing w:val="-2"/>
              </w:rPr>
              <w:t>whether</w:t>
            </w:r>
          </w:p>
          <w:p w14:paraId="0DFDC07D" w14:textId="77777777" w:rsidR="00046465" w:rsidRDefault="008134EB">
            <w:pPr>
              <w:pStyle w:val="TableParagraph"/>
              <w:numPr>
                <w:ilvl w:val="1"/>
                <w:numId w:val="131"/>
              </w:numPr>
              <w:tabs>
                <w:tab w:val="left" w:pos="2012"/>
              </w:tabs>
              <w:spacing w:before="60"/>
              <w:ind w:right="152"/>
            </w:pPr>
            <w:r>
              <w:t>the</w:t>
            </w:r>
            <w:r>
              <w:rPr>
                <w:spacing w:val="-6"/>
              </w:rPr>
              <w:t xml:space="preserve"> </w:t>
            </w:r>
            <w:r>
              <w:t>entity</w:t>
            </w:r>
            <w:r>
              <w:rPr>
                <w:spacing w:val="-6"/>
              </w:rPr>
              <w:t xml:space="preserve"> </w:t>
            </w:r>
            <w:r>
              <w:t>generates</w:t>
            </w:r>
            <w:r>
              <w:rPr>
                <w:spacing w:val="-6"/>
              </w:rPr>
              <w:t xml:space="preserve"> </w:t>
            </w:r>
            <w:r>
              <w:t>year-end</w:t>
            </w:r>
            <w:r>
              <w:rPr>
                <w:spacing w:val="-6"/>
              </w:rPr>
              <w:t xml:space="preserve"> </w:t>
            </w:r>
            <w:r>
              <w:t>reports</w:t>
            </w:r>
            <w:r>
              <w:rPr>
                <w:spacing w:val="-6"/>
              </w:rPr>
              <w:t xml:space="preserve"> </w:t>
            </w:r>
            <w:r>
              <w:t>of</w:t>
            </w:r>
            <w:r>
              <w:rPr>
                <w:spacing w:val="-6"/>
              </w:rPr>
              <w:t xml:space="preserve"> </w:t>
            </w:r>
            <w:r>
              <w:t>all</w:t>
            </w:r>
            <w:r>
              <w:rPr>
                <w:spacing w:val="-6"/>
              </w:rPr>
              <w:t xml:space="preserve"> </w:t>
            </w:r>
            <w:r>
              <w:t>the intra-entity intragovernmental amounts to be eliminated from the entity’s financial statements, and</w:t>
            </w:r>
          </w:p>
          <w:p w14:paraId="0DFDC07E" w14:textId="77777777" w:rsidR="00046465" w:rsidRDefault="008134EB">
            <w:pPr>
              <w:pStyle w:val="TableParagraph"/>
              <w:numPr>
                <w:ilvl w:val="1"/>
                <w:numId w:val="131"/>
              </w:numPr>
              <w:tabs>
                <w:tab w:val="left" w:pos="2012"/>
              </w:tabs>
              <w:spacing w:line="254" w:lineRule="exact"/>
              <w:ind w:right="802" w:hanging="429"/>
            </w:pPr>
            <w:r>
              <w:t>management</w:t>
            </w:r>
            <w:r>
              <w:rPr>
                <w:spacing w:val="-10"/>
              </w:rPr>
              <w:t xml:space="preserve"> </w:t>
            </w:r>
            <w:r>
              <w:t>reviews</w:t>
            </w:r>
            <w:r>
              <w:rPr>
                <w:spacing w:val="-10"/>
              </w:rPr>
              <w:t xml:space="preserve"> </w:t>
            </w:r>
            <w:r>
              <w:t>and</w:t>
            </w:r>
            <w:r>
              <w:rPr>
                <w:spacing w:val="-10"/>
              </w:rPr>
              <w:t xml:space="preserve"> </w:t>
            </w:r>
            <w:r>
              <w:t>approves</w:t>
            </w:r>
            <w:r>
              <w:rPr>
                <w:spacing w:val="-10"/>
              </w:rPr>
              <w:t xml:space="preserve"> </w:t>
            </w:r>
            <w:r>
              <w:t>the results of the procedures.</w:t>
            </w:r>
          </w:p>
        </w:tc>
        <w:tc>
          <w:tcPr>
            <w:tcW w:w="1144" w:type="dxa"/>
            <w:tcBorders>
              <w:top w:val="single" w:sz="4" w:space="0" w:color="000000"/>
              <w:left w:val="single" w:sz="4" w:space="0" w:color="000000"/>
              <w:bottom w:val="single" w:sz="4" w:space="0" w:color="000000"/>
              <w:right w:val="single" w:sz="4" w:space="0" w:color="000000"/>
            </w:tcBorders>
          </w:tcPr>
          <w:p w14:paraId="0DFDC07F"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80" w14:textId="77777777" w:rsidR="00046465" w:rsidRDefault="00046465">
            <w:pPr>
              <w:pStyle w:val="TableParagraph"/>
              <w:rPr>
                <w:rFonts w:ascii="Times New Roman"/>
                <w:sz w:val="20"/>
              </w:rPr>
            </w:pPr>
          </w:p>
        </w:tc>
      </w:tr>
      <w:tr w:rsidR="00046465" w14:paraId="0DFDC085" w14:textId="77777777">
        <w:trPr>
          <w:trHeight w:val="2142"/>
        </w:trPr>
        <w:tc>
          <w:tcPr>
            <w:tcW w:w="6696" w:type="dxa"/>
            <w:tcBorders>
              <w:top w:val="single" w:sz="4" w:space="0" w:color="000000"/>
              <w:bottom w:val="single" w:sz="4" w:space="0" w:color="000000"/>
              <w:right w:val="single" w:sz="4" w:space="0" w:color="000000"/>
            </w:tcBorders>
          </w:tcPr>
          <w:p w14:paraId="0DFDC082" w14:textId="77777777" w:rsidR="00046465" w:rsidRDefault="008134EB">
            <w:pPr>
              <w:pStyle w:val="TableParagraph"/>
              <w:tabs>
                <w:tab w:val="left" w:pos="1568"/>
              </w:tabs>
              <w:spacing w:before="58"/>
              <w:ind w:left="1568" w:right="231" w:hanging="450"/>
            </w:pPr>
            <w:r>
              <w:rPr>
                <w:spacing w:val="-6"/>
              </w:rPr>
              <w:t>f)</w:t>
            </w:r>
            <w:r>
              <w:tab/>
              <w:t>Determine whether procedures, such as reconciliations (matching the data submitted to Treasury to the entity’s general ledger and/or subsidiary ledgers), are performed to ensure that the</w:t>
            </w:r>
            <w:r>
              <w:rPr>
                <w:spacing w:val="-7"/>
              </w:rPr>
              <w:t xml:space="preserve"> </w:t>
            </w:r>
            <w:r>
              <w:t>intragovernmental</w:t>
            </w:r>
            <w:r>
              <w:rPr>
                <w:spacing w:val="-7"/>
              </w:rPr>
              <w:t xml:space="preserve"> </w:t>
            </w:r>
            <w:r>
              <w:t>data</w:t>
            </w:r>
            <w:r>
              <w:rPr>
                <w:spacing w:val="-7"/>
              </w:rPr>
              <w:t xml:space="preserve"> </w:t>
            </w:r>
            <w:r>
              <w:t>included</w:t>
            </w:r>
            <w:r>
              <w:rPr>
                <w:spacing w:val="-8"/>
              </w:rPr>
              <w:t xml:space="preserve"> </w:t>
            </w:r>
            <w:r>
              <w:t>in</w:t>
            </w:r>
            <w:r>
              <w:rPr>
                <w:spacing w:val="-7"/>
              </w:rPr>
              <w:t xml:space="preserve"> </w:t>
            </w:r>
            <w:r>
              <w:t>the</w:t>
            </w:r>
            <w:r>
              <w:rPr>
                <w:spacing w:val="-7"/>
              </w:rPr>
              <w:t xml:space="preserve"> </w:t>
            </w:r>
            <w:r>
              <w:t xml:space="preserve">agency financial report or performance and accountability report and sent to Treasury and are accurate and </w:t>
            </w:r>
            <w:r>
              <w:rPr>
                <w:spacing w:val="-2"/>
              </w:rPr>
              <w:t>complete.</w:t>
            </w:r>
          </w:p>
        </w:tc>
        <w:tc>
          <w:tcPr>
            <w:tcW w:w="1144" w:type="dxa"/>
            <w:tcBorders>
              <w:top w:val="single" w:sz="4" w:space="0" w:color="000000"/>
              <w:left w:val="single" w:sz="4" w:space="0" w:color="000000"/>
              <w:bottom w:val="single" w:sz="4" w:space="0" w:color="000000"/>
              <w:right w:val="single" w:sz="4" w:space="0" w:color="000000"/>
            </w:tcBorders>
          </w:tcPr>
          <w:p w14:paraId="0DFDC083"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84" w14:textId="77777777" w:rsidR="00046465" w:rsidRDefault="00046465">
            <w:pPr>
              <w:pStyle w:val="TableParagraph"/>
              <w:rPr>
                <w:rFonts w:ascii="Times New Roman"/>
                <w:sz w:val="20"/>
              </w:rPr>
            </w:pPr>
          </w:p>
        </w:tc>
      </w:tr>
      <w:tr w:rsidR="00046465" w14:paraId="0DFDC08A" w14:textId="77777777">
        <w:trPr>
          <w:trHeight w:val="1637"/>
        </w:trPr>
        <w:tc>
          <w:tcPr>
            <w:tcW w:w="6696" w:type="dxa"/>
            <w:tcBorders>
              <w:top w:val="single" w:sz="4" w:space="0" w:color="000000"/>
              <w:bottom w:val="single" w:sz="4" w:space="0" w:color="000000"/>
              <w:right w:val="single" w:sz="4" w:space="0" w:color="000000"/>
            </w:tcBorders>
          </w:tcPr>
          <w:p w14:paraId="0DFDC086" w14:textId="77777777" w:rsidR="00046465" w:rsidRDefault="008134EB">
            <w:pPr>
              <w:pStyle w:val="TableParagraph"/>
              <w:tabs>
                <w:tab w:val="left" w:pos="1568"/>
              </w:tabs>
              <w:spacing w:before="60"/>
              <w:ind w:left="1568" w:right="134" w:hanging="450"/>
            </w:pPr>
            <w:r>
              <w:rPr>
                <w:spacing w:val="-6"/>
              </w:rPr>
              <w:t>g)</w:t>
            </w:r>
            <w:r>
              <w:tab/>
              <w:t>Determine the entity’s processes for reviewing its reclassified financial statement information from GTAS and preparing the note linking line items on the</w:t>
            </w:r>
            <w:r>
              <w:rPr>
                <w:spacing w:val="-5"/>
              </w:rPr>
              <w:t xml:space="preserve"> </w:t>
            </w:r>
            <w:r>
              <w:t>entity’s</w:t>
            </w:r>
            <w:r>
              <w:rPr>
                <w:spacing w:val="-5"/>
              </w:rPr>
              <w:t xml:space="preserve"> </w:t>
            </w:r>
            <w:r>
              <w:t>financial</w:t>
            </w:r>
            <w:r>
              <w:rPr>
                <w:spacing w:val="-5"/>
              </w:rPr>
              <w:t xml:space="preserve"> </w:t>
            </w:r>
            <w:r>
              <w:t>statements</w:t>
            </w:r>
            <w:r>
              <w:rPr>
                <w:spacing w:val="-5"/>
              </w:rPr>
              <w:t xml:space="preserve"> </w:t>
            </w:r>
            <w:r>
              <w:t>to</w:t>
            </w:r>
            <w:r>
              <w:rPr>
                <w:spacing w:val="-5"/>
              </w:rPr>
              <w:t xml:space="preserve"> </w:t>
            </w:r>
            <w:r>
              <w:t>line</w:t>
            </w:r>
            <w:r>
              <w:rPr>
                <w:spacing w:val="-5"/>
              </w:rPr>
              <w:t xml:space="preserve"> </w:t>
            </w:r>
            <w:r>
              <w:t>items</w:t>
            </w:r>
            <w:r>
              <w:rPr>
                <w:spacing w:val="-5"/>
              </w:rPr>
              <w:t xml:space="preserve"> </w:t>
            </w:r>
            <w:r>
              <w:t>on</w:t>
            </w:r>
            <w:r>
              <w:rPr>
                <w:spacing w:val="-5"/>
              </w:rPr>
              <w:t xml:space="preserve"> </w:t>
            </w:r>
            <w:r>
              <w:t>the</w:t>
            </w:r>
          </w:p>
          <w:p w14:paraId="0DFDC087" w14:textId="77777777" w:rsidR="00046465" w:rsidRDefault="008134EB">
            <w:pPr>
              <w:pStyle w:val="TableParagraph"/>
              <w:ind w:left="1568" w:right="121"/>
            </w:pPr>
            <w:r>
              <w:t>U.S.</w:t>
            </w:r>
            <w:r>
              <w:rPr>
                <w:spacing w:val="-13"/>
              </w:rPr>
              <w:t xml:space="preserve"> </w:t>
            </w:r>
            <w:r>
              <w:t>government’s</w:t>
            </w:r>
            <w:r>
              <w:rPr>
                <w:spacing w:val="-13"/>
              </w:rPr>
              <w:t xml:space="preserve"> </w:t>
            </w:r>
            <w:r>
              <w:t>consolidated</w:t>
            </w:r>
            <w:r>
              <w:rPr>
                <w:spacing w:val="-13"/>
              </w:rPr>
              <w:t xml:space="preserve"> </w:t>
            </w:r>
            <w:r>
              <w:t xml:space="preserve">financial </w:t>
            </w:r>
            <w:r>
              <w:rPr>
                <w:spacing w:val="-2"/>
              </w:rPr>
              <w:t>statements.</w:t>
            </w:r>
          </w:p>
        </w:tc>
        <w:tc>
          <w:tcPr>
            <w:tcW w:w="1144" w:type="dxa"/>
            <w:tcBorders>
              <w:top w:val="single" w:sz="4" w:space="0" w:color="000000"/>
              <w:left w:val="single" w:sz="4" w:space="0" w:color="000000"/>
              <w:bottom w:val="single" w:sz="4" w:space="0" w:color="000000"/>
              <w:right w:val="single" w:sz="4" w:space="0" w:color="000000"/>
            </w:tcBorders>
          </w:tcPr>
          <w:p w14:paraId="0DFDC088"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89" w14:textId="77777777" w:rsidR="00046465" w:rsidRDefault="00046465">
            <w:pPr>
              <w:pStyle w:val="TableParagraph"/>
              <w:rPr>
                <w:rFonts w:ascii="Times New Roman"/>
                <w:sz w:val="20"/>
              </w:rPr>
            </w:pPr>
          </w:p>
        </w:tc>
      </w:tr>
      <w:tr w:rsidR="00046465" w14:paraId="0DFDC08F" w14:textId="77777777">
        <w:trPr>
          <w:trHeight w:val="2024"/>
        </w:trPr>
        <w:tc>
          <w:tcPr>
            <w:tcW w:w="6696" w:type="dxa"/>
            <w:tcBorders>
              <w:top w:val="single" w:sz="4" w:space="0" w:color="000000"/>
              <w:bottom w:val="single" w:sz="4" w:space="0" w:color="000000"/>
              <w:right w:val="single" w:sz="4" w:space="0" w:color="000000"/>
            </w:tcBorders>
          </w:tcPr>
          <w:p w14:paraId="0DFDC08B" w14:textId="77777777" w:rsidR="00046465" w:rsidRDefault="008134EB">
            <w:pPr>
              <w:pStyle w:val="TableParagraph"/>
              <w:tabs>
                <w:tab w:val="left" w:pos="2012"/>
              </w:tabs>
              <w:ind w:left="2012" w:right="127" w:hanging="381"/>
            </w:pPr>
            <w:r>
              <w:rPr>
                <w:spacing w:val="-6"/>
              </w:rPr>
              <w:t>i.</w:t>
            </w:r>
            <w:r>
              <w:tab/>
              <w:t>For</w:t>
            </w:r>
            <w:r>
              <w:rPr>
                <w:spacing w:val="-8"/>
              </w:rPr>
              <w:t xml:space="preserve"> </w:t>
            </w:r>
            <w:r>
              <w:t>entities</w:t>
            </w:r>
            <w:r>
              <w:rPr>
                <w:spacing w:val="-8"/>
              </w:rPr>
              <w:t xml:space="preserve"> </w:t>
            </w:r>
            <w:r>
              <w:t>following</w:t>
            </w:r>
            <w:r>
              <w:rPr>
                <w:spacing w:val="-8"/>
              </w:rPr>
              <w:t xml:space="preserve"> </w:t>
            </w:r>
            <w:r>
              <w:t>the</w:t>
            </w:r>
            <w:r>
              <w:rPr>
                <w:spacing w:val="-8"/>
              </w:rPr>
              <w:t xml:space="preserve"> </w:t>
            </w:r>
            <w:r>
              <w:t>standardized</w:t>
            </w:r>
            <w:r>
              <w:rPr>
                <w:spacing w:val="-7"/>
              </w:rPr>
              <w:t xml:space="preserve"> </w:t>
            </w:r>
            <w:r>
              <w:t>balance sheet, perform observations and review the entity’s documentation (policies, directives, and procedures) for control activities for (i) using the USSGL chart of accounts and financial statement crosswalk and (ii) deriving</w:t>
            </w:r>
          </w:p>
          <w:p w14:paraId="0DFDC08C" w14:textId="77777777" w:rsidR="00046465" w:rsidRDefault="008134EB">
            <w:pPr>
              <w:pStyle w:val="TableParagraph"/>
              <w:spacing w:line="250" w:lineRule="atLeast"/>
              <w:ind w:left="2012"/>
            </w:pPr>
            <w:r>
              <w:t>the</w:t>
            </w:r>
            <w:r>
              <w:rPr>
                <w:spacing w:val="-8"/>
              </w:rPr>
              <w:t xml:space="preserve"> </w:t>
            </w:r>
            <w:r>
              <w:t>GTAS</w:t>
            </w:r>
            <w:r>
              <w:rPr>
                <w:spacing w:val="-8"/>
              </w:rPr>
              <w:t xml:space="preserve"> </w:t>
            </w:r>
            <w:r>
              <w:t>adjusted</w:t>
            </w:r>
            <w:r>
              <w:rPr>
                <w:spacing w:val="-8"/>
              </w:rPr>
              <w:t xml:space="preserve"> </w:t>
            </w:r>
            <w:r>
              <w:t>trial</w:t>
            </w:r>
            <w:r>
              <w:rPr>
                <w:spacing w:val="-8"/>
              </w:rPr>
              <w:t xml:space="preserve"> </w:t>
            </w:r>
            <w:r>
              <w:t>balance</w:t>
            </w:r>
            <w:r>
              <w:rPr>
                <w:spacing w:val="-8"/>
              </w:rPr>
              <w:t xml:space="preserve"> </w:t>
            </w:r>
            <w:r>
              <w:t>submissions from audited data.</w:t>
            </w:r>
          </w:p>
        </w:tc>
        <w:tc>
          <w:tcPr>
            <w:tcW w:w="1144" w:type="dxa"/>
            <w:tcBorders>
              <w:top w:val="single" w:sz="4" w:space="0" w:color="000000"/>
              <w:left w:val="single" w:sz="4" w:space="0" w:color="000000"/>
              <w:bottom w:val="single" w:sz="4" w:space="0" w:color="000000"/>
              <w:right w:val="single" w:sz="4" w:space="0" w:color="000000"/>
            </w:tcBorders>
          </w:tcPr>
          <w:p w14:paraId="0DFDC08D"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8E" w14:textId="77777777" w:rsidR="00046465" w:rsidRDefault="00046465">
            <w:pPr>
              <w:pStyle w:val="TableParagraph"/>
              <w:rPr>
                <w:rFonts w:ascii="Times New Roman"/>
                <w:sz w:val="20"/>
              </w:rPr>
            </w:pPr>
          </w:p>
        </w:tc>
      </w:tr>
      <w:tr w:rsidR="00046465" w14:paraId="0DFDC094" w14:textId="77777777">
        <w:trPr>
          <w:trHeight w:val="1518"/>
        </w:trPr>
        <w:tc>
          <w:tcPr>
            <w:tcW w:w="6696" w:type="dxa"/>
            <w:tcBorders>
              <w:top w:val="single" w:sz="4" w:space="0" w:color="000000"/>
              <w:bottom w:val="single" w:sz="4" w:space="0" w:color="000000"/>
              <w:right w:val="single" w:sz="4" w:space="0" w:color="000000"/>
            </w:tcBorders>
          </w:tcPr>
          <w:p w14:paraId="0DFDC090" w14:textId="77777777" w:rsidR="00046465" w:rsidRDefault="008134EB">
            <w:pPr>
              <w:pStyle w:val="TableParagraph"/>
              <w:tabs>
                <w:tab w:val="left" w:pos="2012"/>
              </w:tabs>
              <w:ind w:left="2012" w:right="153" w:hanging="429"/>
            </w:pPr>
            <w:r>
              <w:rPr>
                <w:spacing w:val="-4"/>
              </w:rPr>
              <w:t>ii.</w:t>
            </w:r>
            <w:r>
              <w:tab/>
              <w:t>For significant component entities that either did not (i) use the standardized balance sheet or</w:t>
            </w:r>
            <w:r>
              <w:rPr>
                <w:spacing w:val="-6"/>
              </w:rPr>
              <w:t xml:space="preserve"> </w:t>
            </w:r>
            <w:r>
              <w:t>(ii)</w:t>
            </w:r>
            <w:r>
              <w:rPr>
                <w:spacing w:val="-6"/>
              </w:rPr>
              <w:t xml:space="preserve"> </w:t>
            </w:r>
            <w:r>
              <w:t>present</w:t>
            </w:r>
            <w:r>
              <w:rPr>
                <w:spacing w:val="-6"/>
              </w:rPr>
              <w:t xml:space="preserve"> </w:t>
            </w:r>
            <w:r>
              <w:t>funds</w:t>
            </w:r>
            <w:r>
              <w:rPr>
                <w:spacing w:val="-6"/>
              </w:rPr>
              <w:t xml:space="preserve"> </w:t>
            </w:r>
            <w:r>
              <w:t>from</w:t>
            </w:r>
            <w:r>
              <w:rPr>
                <w:spacing w:val="-7"/>
              </w:rPr>
              <w:t xml:space="preserve"> </w:t>
            </w:r>
            <w:r>
              <w:t>dedicated</w:t>
            </w:r>
            <w:r>
              <w:rPr>
                <w:spacing w:val="-6"/>
              </w:rPr>
              <w:t xml:space="preserve"> </w:t>
            </w:r>
            <w:r>
              <w:t>collections using the table provided in OMB reporting</w:t>
            </w:r>
          </w:p>
          <w:p w14:paraId="0DFDC091" w14:textId="77777777" w:rsidR="00046465" w:rsidRDefault="008134EB">
            <w:pPr>
              <w:pStyle w:val="TableParagraph"/>
              <w:spacing w:line="254" w:lineRule="exact"/>
              <w:ind w:left="2012"/>
            </w:pPr>
            <w:r>
              <w:t>guidance, determine whether the entity appropriately</w:t>
            </w:r>
            <w:r>
              <w:rPr>
                <w:spacing w:val="-10"/>
              </w:rPr>
              <w:t xml:space="preserve"> </w:t>
            </w:r>
            <w:r>
              <w:t>included</w:t>
            </w:r>
            <w:r>
              <w:rPr>
                <w:spacing w:val="-10"/>
              </w:rPr>
              <w:t xml:space="preserve"> </w:t>
            </w:r>
            <w:r>
              <w:t>a</w:t>
            </w:r>
            <w:r>
              <w:rPr>
                <w:spacing w:val="-10"/>
              </w:rPr>
              <w:t xml:space="preserve"> </w:t>
            </w:r>
            <w:r>
              <w:t>reclassification</w:t>
            </w:r>
            <w:r>
              <w:rPr>
                <w:spacing w:val="-10"/>
              </w:rPr>
              <w:t xml:space="preserve"> </w:t>
            </w:r>
            <w:r>
              <w:t>table</w:t>
            </w:r>
          </w:p>
        </w:tc>
        <w:tc>
          <w:tcPr>
            <w:tcW w:w="1144" w:type="dxa"/>
            <w:tcBorders>
              <w:top w:val="single" w:sz="4" w:space="0" w:color="000000"/>
              <w:left w:val="single" w:sz="4" w:space="0" w:color="000000"/>
              <w:bottom w:val="single" w:sz="4" w:space="0" w:color="000000"/>
              <w:right w:val="single" w:sz="4" w:space="0" w:color="000000"/>
            </w:tcBorders>
          </w:tcPr>
          <w:p w14:paraId="0DFDC092"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93" w14:textId="77777777" w:rsidR="00046465" w:rsidRDefault="00046465">
            <w:pPr>
              <w:pStyle w:val="TableParagraph"/>
              <w:rPr>
                <w:rFonts w:ascii="Times New Roman"/>
                <w:sz w:val="20"/>
              </w:rPr>
            </w:pPr>
          </w:p>
        </w:tc>
      </w:tr>
    </w:tbl>
    <w:p w14:paraId="0DFDC095" w14:textId="77777777" w:rsidR="00046465" w:rsidRDefault="00046465">
      <w:pPr>
        <w:pStyle w:val="TableParagraph"/>
        <w:rPr>
          <w:rFonts w:ascii="Times New Roman"/>
          <w:sz w:val="20"/>
        </w:rPr>
        <w:sectPr w:rsidR="00046465">
          <w:pgSz w:w="12240" w:h="15840"/>
          <w:pgMar w:top="1340" w:right="720" w:bottom="940" w:left="1080" w:header="721" w:footer="757" w:gutter="0"/>
          <w:cols w:space="720"/>
        </w:sectPr>
      </w:pPr>
    </w:p>
    <w:p w14:paraId="0DFDC096" w14:textId="77777777" w:rsidR="00046465" w:rsidRDefault="00046465">
      <w:pPr>
        <w:pStyle w:val="BodyText"/>
        <w:spacing w:before="9"/>
        <w:rPr>
          <w:sz w:val="11"/>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C09A" w14:textId="77777777">
        <w:trPr>
          <w:trHeight w:val="625"/>
        </w:trPr>
        <w:tc>
          <w:tcPr>
            <w:tcW w:w="6696" w:type="dxa"/>
            <w:tcBorders>
              <w:right w:val="single" w:sz="4" w:space="0" w:color="000000"/>
            </w:tcBorders>
          </w:tcPr>
          <w:p w14:paraId="0DFDC097"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C098"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C099"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C09F" w14:textId="77777777">
        <w:trPr>
          <w:trHeight w:val="471"/>
        </w:trPr>
        <w:tc>
          <w:tcPr>
            <w:tcW w:w="6696" w:type="dxa"/>
            <w:tcBorders>
              <w:bottom w:val="single" w:sz="4" w:space="0" w:color="000000"/>
              <w:right w:val="single" w:sz="4" w:space="0" w:color="000000"/>
            </w:tcBorders>
          </w:tcPr>
          <w:p w14:paraId="0DFDC09B" w14:textId="77777777" w:rsidR="00046465" w:rsidRDefault="008134EB">
            <w:pPr>
              <w:pStyle w:val="TableParagraph"/>
              <w:spacing w:line="219" w:lineRule="exact"/>
              <w:ind w:left="2012"/>
            </w:pPr>
            <w:r>
              <w:t>for</w:t>
            </w:r>
            <w:r>
              <w:rPr>
                <w:spacing w:val="-5"/>
              </w:rPr>
              <w:t xml:space="preserve"> </w:t>
            </w:r>
            <w:r>
              <w:t>the</w:t>
            </w:r>
            <w:r>
              <w:rPr>
                <w:spacing w:val="-4"/>
              </w:rPr>
              <w:t xml:space="preserve"> </w:t>
            </w:r>
            <w:r>
              <w:t>balance</w:t>
            </w:r>
            <w:r>
              <w:rPr>
                <w:spacing w:val="-5"/>
              </w:rPr>
              <w:t xml:space="preserve"> </w:t>
            </w:r>
            <w:r>
              <w:t>sheet</w:t>
            </w:r>
            <w:r>
              <w:rPr>
                <w:spacing w:val="-4"/>
              </w:rPr>
              <w:t xml:space="preserve"> </w:t>
            </w:r>
            <w:r>
              <w:t>in</w:t>
            </w:r>
            <w:r>
              <w:rPr>
                <w:spacing w:val="-5"/>
              </w:rPr>
              <w:t xml:space="preserve"> </w:t>
            </w:r>
            <w:r>
              <w:t>the</w:t>
            </w:r>
            <w:r>
              <w:rPr>
                <w:spacing w:val="-4"/>
              </w:rPr>
              <w:t xml:space="preserve"> </w:t>
            </w:r>
            <w:r>
              <w:rPr>
                <w:spacing w:val="-2"/>
              </w:rPr>
              <w:t>reclassification</w:t>
            </w:r>
          </w:p>
          <w:p w14:paraId="0DFDC09C" w14:textId="77777777" w:rsidR="00046465" w:rsidRDefault="008134EB">
            <w:pPr>
              <w:pStyle w:val="TableParagraph"/>
              <w:spacing w:line="233" w:lineRule="exact"/>
              <w:ind w:left="2012"/>
            </w:pPr>
            <w:r>
              <w:t>note</w:t>
            </w:r>
            <w:r>
              <w:rPr>
                <w:spacing w:val="-6"/>
              </w:rPr>
              <w:t xml:space="preserve"> </w:t>
            </w:r>
            <w:r>
              <w:t>and</w:t>
            </w:r>
            <w:r>
              <w:rPr>
                <w:spacing w:val="-5"/>
              </w:rPr>
              <w:t xml:space="preserve"> </w:t>
            </w:r>
            <w:r>
              <w:t>perform</w:t>
            </w:r>
            <w:r>
              <w:rPr>
                <w:spacing w:val="-6"/>
              </w:rPr>
              <w:t xml:space="preserve"> </w:t>
            </w:r>
            <w:r>
              <w:t>step</w:t>
            </w:r>
            <w:r>
              <w:rPr>
                <w:spacing w:val="-5"/>
              </w:rPr>
              <w:t xml:space="preserve"> </w:t>
            </w:r>
            <w:r>
              <w:rPr>
                <w:spacing w:val="-4"/>
              </w:rPr>
              <w:t>iii.</w:t>
            </w:r>
          </w:p>
        </w:tc>
        <w:tc>
          <w:tcPr>
            <w:tcW w:w="1144" w:type="dxa"/>
            <w:tcBorders>
              <w:left w:val="single" w:sz="4" w:space="0" w:color="000000"/>
              <w:bottom w:val="single" w:sz="4" w:space="0" w:color="000000"/>
              <w:right w:val="single" w:sz="4" w:space="0" w:color="000000"/>
            </w:tcBorders>
          </w:tcPr>
          <w:p w14:paraId="0DFDC09D" w14:textId="77777777" w:rsidR="00046465" w:rsidRDefault="00046465">
            <w:pPr>
              <w:pStyle w:val="TableParagraph"/>
              <w:rPr>
                <w:rFonts w:ascii="Times New Roman"/>
                <w:sz w:val="20"/>
              </w:rPr>
            </w:pPr>
          </w:p>
        </w:tc>
        <w:tc>
          <w:tcPr>
            <w:tcW w:w="1229" w:type="dxa"/>
            <w:tcBorders>
              <w:left w:val="single" w:sz="4" w:space="0" w:color="000000"/>
              <w:bottom w:val="single" w:sz="4" w:space="0" w:color="000000"/>
            </w:tcBorders>
          </w:tcPr>
          <w:p w14:paraId="0DFDC09E" w14:textId="77777777" w:rsidR="00046465" w:rsidRDefault="00046465">
            <w:pPr>
              <w:pStyle w:val="TableParagraph"/>
              <w:rPr>
                <w:rFonts w:ascii="Times New Roman"/>
                <w:sz w:val="20"/>
              </w:rPr>
            </w:pPr>
          </w:p>
        </w:tc>
      </w:tr>
      <w:tr w:rsidR="00046465" w14:paraId="0DFDC0A4" w14:textId="77777777">
        <w:trPr>
          <w:trHeight w:val="4047"/>
        </w:trPr>
        <w:tc>
          <w:tcPr>
            <w:tcW w:w="6696" w:type="dxa"/>
            <w:tcBorders>
              <w:top w:val="single" w:sz="4" w:space="0" w:color="000000"/>
              <w:bottom w:val="single" w:sz="4" w:space="0" w:color="000000"/>
              <w:right w:val="single" w:sz="4" w:space="0" w:color="000000"/>
            </w:tcBorders>
          </w:tcPr>
          <w:p w14:paraId="0DFDC0A0" w14:textId="77777777" w:rsidR="00046465" w:rsidRDefault="008134EB">
            <w:pPr>
              <w:pStyle w:val="TableParagraph"/>
              <w:tabs>
                <w:tab w:val="left" w:pos="2012"/>
              </w:tabs>
              <w:ind w:left="2012" w:right="189" w:hanging="478"/>
            </w:pPr>
            <w:r>
              <w:rPr>
                <w:spacing w:val="-4"/>
              </w:rPr>
              <w:t>iii.</w:t>
            </w:r>
            <w:r>
              <w:tab/>
              <w:t>For the reclassification note, perform observations and review the entity’s documentation (policies, directives, and procedures) for control activities for (i) using the USSGL crosswalk to link accounting data to the GTAS trial balance, (ii) deriving the GTAS trial balance from audited data, (iii) ensuring the entity’s financial statements are accurately reflected on the left side of the reclassification note, (iv) verifying that the entity’s reclassified statement amounts are accurately reflected on the right side of the reclassification note, and (v) reconciling the reclassified</w:t>
            </w:r>
            <w:r>
              <w:rPr>
                <w:spacing w:val="-8"/>
              </w:rPr>
              <w:t xml:space="preserve"> </w:t>
            </w:r>
            <w:r>
              <w:t>statements</w:t>
            </w:r>
            <w:r>
              <w:rPr>
                <w:spacing w:val="-8"/>
              </w:rPr>
              <w:t xml:space="preserve"> </w:t>
            </w:r>
            <w:r>
              <w:t>to</w:t>
            </w:r>
            <w:r>
              <w:rPr>
                <w:spacing w:val="-8"/>
              </w:rPr>
              <w:t xml:space="preserve"> </w:t>
            </w:r>
            <w:r>
              <w:t>the</w:t>
            </w:r>
            <w:r>
              <w:rPr>
                <w:spacing w:val="-8"/>
              </w:rPr>
              <w:t xml:space="preserve"> </w:t>
            </w:r>
            <w:r>
              <w:t>entity’s</w:t>
            </w:r>
            <w:r>
              <w:rPr>
                <w:spacing w:val="-8"/>
              </w:rPr>
              <w:t xml:space="preserve"> </w:t>
            </w:r>
            <w:r>
              <w:t>financial</w:t>
            </w:r>
          </w:p>
          <w:p w14:paraId="0DFDC0A1" w14:textId="77777777" w:rsidR="00046465" w:rsidRDefault="008134EB">
            <w:pPr>
              <w:pStyle w:val="TableParagraph"/>
              <w:spacing w:line="252" w:lineRule="exact"/>
              <w:ind w:left="2012" w:right="219"/>
            </w:pPr>
            <w:r>
              <w:t>statements</w:t>
            </w:r>
            <w:r>
              <w:rPr>
                <w:spacing w:val="-5"/>
              </w:rPr>
              <w:t xml:space="preserve"> </w:t>
            </w:r>
            <w:r>
              <w:t>(i.e.,</w:t>
            </w:r>
            <w:r>
              <w:rPr>
                <w:spacing w:val="-5"/>
              </w:rPr>
              <w:t xml:space="preserve"> </w:t>
            </w:r>
            <w:r>
              <w:t>the</w:t>
            </w:r>
            <w:r>
              <w:rPr>
                <w:spacing w:val="-5"/>
              </w:rPr>
              <w:t xml:space="preserve"> </w:t>
            </w:r>
            <w:r>
              <w:t>right</w:t>
            </w:r>
            <w:r>
              <w:rPr>
                <w:spacing w:val="-6"/>
              </w:rPr>
              <w:t xml:space="preserve"> </w:t>
            </w:r>
            <w:r>
              <w:t>side</w:t>
            </w:r>
            <w:r>
              <w:rPr>
                <w:spacing w:val="-5"/>
              </w:rPr>
              <w:t xml:space="preserve"> </w:t>
            </w:r>
            <w:r>
              <w:t>to</w:t>
            </w:r>
            <w:r>
              <w:rPr>
                <w:spacing w:val="-5"/>
              </w:rPr>
              <w:t xml:space="preserve"> </w:t>
            </w:r>
            <w:r>
              <w:t>the</w:t>
            </w:r>
            <w:r>
              <w:rPr>
                <w:spacing w:val="-5"/>
              </w:rPr>
              <w:t xml:space="preserve"> </w:t>
            </w:r>
            <w:r>
              <w:t>left</w:t>
            </w:r>
            <w:r>
              <w:rPr>
                <w:spacing w:val="-5"/>
              </w:rPr>
              <w:t xml:space="preserve"> </w:t>
            </w:r>
            <w:r>
              <w:t>side of the note).</w:t>
            </w:r>
          </w:p>
        </w:tc>
        <w:tc>
          <w:tcPr>
            <w:tcW w:w="1144" w:type="dxa"/>
            <w:tcBorders>
              <w:top w:val="single" w:sz="4" w:space="0" w:color="000000"/>
              <w:left w:val="single" w:sz="4" w:space="0" w:color="000000"/>
              <w:bottom w:val="single" w:sz="4" w:space="0" w:color="000000"/>
              <w:right w:val="single" w:sz="4" w:space="0" w:color="000000"/>
            </w:tcBorders>
          </w:tcPr>
          <w:p w14:paraId="0DFDC0A2"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A3" w14:textId="77777777" w:rsidR="00046465" w:rsidRDefault="00046465">
            <w:pPr>
              <w:pStyle w:val="TableParagraph"/>
              <w:rPr>
                <w:rFonts w:ascii="Times New Roman"/>
                <w:sz w:val="20"/>
              </w:rPr>
            </w:pPr>
          </w:p>
        </w:tc>
      </w:tr>
      <w:tr w:rsidR="00046465" w14:paraId="0DFDC0A8" w14:textId="77777777">
        <w:trPr>
          <w:trHeight w:val="1132"/>
        </w:trPr>
        <w:tc>
          <w:tcPr>
            <w:tcW w:w="6696" w:type="dxa"/>
            <w:tcBorders>
              <w:top w:val="single" w:sz="4" w:space="0" w:color="000000"/>
              <w:bottom w:val="single" w:sz="4" w:space="0" w:color="000000"/>
              <w:right w:val="single" w:sz="4" w:space="0" w:color="000000"/>
            </w:tcBorders>
          </w:tcPr>
          <w:p w14:paraId="0DFDC0A5" w14:textId="77777777" w:rsidR="00046465" w:rsidRDefault="008134EB">
            <w:pPr>
              <w:pStyle w:val="TableParagraph"/>
              <w:tabs>
                <w:tab w:val="left" w:pos="1568"/>
              </w:tabs>
              <w:spacing w:before="61"/>
              <w:ind w:left="1568" w:right="121" w:hanging="450"/>
            </w:pPr>
            <w:r>
              <w:rPr>
                <w:spacing w:val="-6"/>
              </w:rPr>
              <w:t>h)</w:t>
            </w:r>
            <w:r>
              <w:tab/>
              <w:t>Determine whether management reviews and approves the results of the procedures done to assess</w:t>
            </w:r>
            <w:r>
              <w:rPr>
                <w:spacing w:val="-5"/>
              </w:rPr>
              <w:t xml:space="preserve"> </w:t>
            </w:r>
            <w:r>
              <w:t>the</w:t>
            </w:r>
            <w:r>
              <w:rPr>
                <w:spacing w:val="-4"/>
              </w:rPr>
              <w:t xml:space="preserve"> </w:t>
            </w:r>
            <w:r>
              <w:t>reports</w:t>
            </w:r>
            <w:r>
              <w:rPr>
                <w:spacing w:val="-4"/>
              </w:rPr>
              <w:t xml:space="preserve"> </w:t>
            </w:r>
            <w:r>
              <w:t>in</w:t>
            </w:r>
            <w:r>
              <w:rPr>
                <w:spacing w:val="-4"/>
              </w:rPr>
              <w:t xml:space="preserve"> </w:t>
            </w:r>
            <w:r>
              <w:t>“f”</w:t>
            </w:r>
            <w:r>
              <w:rPr>
                <w:spacing w:val="-6"/>
              </w:rPr>
              <w:t xml:space="preserve"> </w:t>
            </w:r>
            <w:r>
              <w:t>and</w:t>
            </w:r>
            <w:r>
              <w:rPr>
                <w:spacing w:val="-4"/>
              </w:rPr>
              <w:t xml:space="preserve"> </w:t>
            </w:r>
            <w:r>
              <w:t>“g”</w:t>
            </w:r>
            <w:r>
              <w:rPr>
                <w:spacing w:val="-4"/>
              </w:rPr>
              <w:t xml:space="preserve"> </w:t>
            </w:r>
            <w:r>
              <w:t>above</w:t>
            </w:r>
            <w:r>
              <w:rPr>
                <w:spacing w:val="-4"/>
              </w:rPr>
              <w:t xml:space="preserve"> </w:t>
            </w:r>
            <w:r>
              <w:t>for</w:t>
            </w:r>
            <w:r>
              <w:rPr>
                <w:spacing w:val="-4"/>
              </w:rPr>
              <w:t xml:space="preserve"> </w:t>
            </w:r>
            <w:r>
              <w:t>accuracy and completeness.</w:t>
            </w:r>
          </w:p>
        </w:tc>
        <w:tc>
          <w:tcPr>
            <w:tcW w:w="1144" w:type="dxa"/>
            <w:tcBorders>
              <w:top w:val="single" w:sz="4" w:space="0" w:color="000000"/>
              <w:left w:val="single" w:sz="4" w:space="0" w:color="000000"/>
              <w:bottom w:val="single" w:sz="4" w:space="0" w:color="000000"/>
              <w:right w:val="single" w:sz="4" w:space="0" w:color="000000"/>
            </w:tcBorders>
          </w:tcPr>
          <w:p w14:paraId="0DFDC0A6"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A7" w14:textId="77777777" w:rsidR="00046465" w:rsidRDefault="00046465">
            <w:pPr>
              <w:pStyle w:val="TableParagraph"/>
              <w:rPr>
                <w:rFonts w:ascii="Times New Roman"/>
                <w:sz w:val="20"/>
              </w:rPr>
            </w:pPr>
          </w:p>
        </w:tc>
      </w:tr>
      <w:tr w:rsidR="00046465" w14:paraId="0DFDC0AE" w14:textId="77777777">
        <w:trPr>
          <w:trHeight w:val="3781"/>
        </w:trPr>
        <w:tc>
          <w:tcPr>
            <w:tcW w:w="6696" w:type="dxa"/>
            <w:tcBorders>
              <w:top w:val="single" w:sz="4" w:space="0" w:color="000000"/>
              <w:bottom w:val="single" w:sz="4" w:space="0" w:color="000000"/>
              <w:right w:val="single" w:sz="4" w:space="0" w:color="000000"/>
            </w:tcBorders>
          </w:tcPr>
          <w:p w14:paraId="0DFDC0A9" w14:textId="77777777" w:rsidR="00046465" w:rsidRDefault="008134EB">
            <w:pPr>
              <w:pStyle w:val="TableParagraph"/>
              <w:tabs>
                <w:tab w:val="left" w:pos="1568"/>
              </w:tabs>
              <w:spacing w:before="60"/>
              <w:ind w:left="1568" w:right="536" w:hanging="396"/>
            </w:pPr>
            <w:r>
              <w:rPr>
                <w:spacing w:val="-6"/>
              </w:rPr>
              <w:t>i)</w:t>
            </w:r>
            <w:r>
              <w:tab/>
              <w:t>Determine whether the entity has developed processes</w:t>
            </w:r>
            <w:r>
              <w:rPr>
                <w:spacing w:val="-8"/>
              </w:rPr>
              <w:t xml:space="preserve"> </w:t>
            </w:r>
            <w:r>
              <w:t>for</w:t>
            </w:r>
            <w:r>
              <w:rPr>
                <w:spacing w:val="-7"/>
              </w:rPr>
              <w:t xml:space="preserve"> </w:t>
            </w:r>
            <w:r>
              <w:t>resolving</w:t>
            </w:r>
            <w:r>
              <w:rPr>
                <w:spacing w:val="-8"/>
              </w:rPr>
              <w:t xml:space="preserve"> </w:t>
            </w:r>
            <w:r>
              <w:t>differences</w:t>
            </w:r>
            <w:r>
              <w:rPr>
                <w:spacing w:val="-8"/>
              </w:rPr>
              <w:t xml:space="preserve"> </w:t>
            </w:r>
            <w:r>
              <w:t>in</w:t>
            </w:r>
            <w:r>
              <w:rPr>
                <w:spacing w:val="-7"/>
              </w:rPr>
              <w:t xml:space="preserve"> </w:t>
            </w:r>
            <w:r>
              <w:t>year-end activity and balances as part of its year-end reporting process.</w:t>
            </w:r>
          </w:p>
          <w:p w14:paraId="0DFDC0AA" w14:textId="77777777" w:rsidR="00046465" w:rsidRDefault="008134EB">
            <w:pPr>
              <w:pStyle w:val="TableParagraph"/>
              <w:spacing w:before="119"/>
              <w:ind w:left="1568"/>
            </w:pPr>
            <w:r>
              <w:t>Note: The status of entity efforts for phase II is important to consider as part of the year-end reporting</w:t>
            </w:r>
            <w:r>
              <w:rPr>
                <w:spacing w:val="-8"/>
              </w:rPr>
              <w:t xml:space="preserve"> </w:t>
            </w:r>
            <w:r>
              <w:t>process.</w:t>
            </w:r>
            <w:r>
              <w:rPr>
                <w:spacing w:val="-8"/>
              </w:rPr>
              <w:t xml:space="preserve"> </w:t>
            </w:r>
            <w:r>
              <w:t>Differences</w:t>
            </w:r>
            <w:r>
              <w:rPr>
                <w:spacing w:val="-8"/>
              </w:rPr>
              <w:t xml:space="preserve"> </w:t>
            </w:r>
            <w:r>
              <w:t>in</w:t>
            </w:r>
            <w:r>
              <w:rPr>
                <w:spacing w:val="-8"/>
              </w:rPr>
              <w:t xml:space="preserve"> </w:t>
            </w:r>
            <w:r>
              <w:t>amounts</w:t>
            </w:r>
            <w:r>
              <w:rPr>
                <w:spacing w:val="-8"/>
              </w:rPr>
              <w:t xml:space="preserve"> </w:t>
            </w:r>
            <w:r>
              <w:t>reported by trading partners through IPAC, GTAS, or other system should be resolved by year-end.</w:t>
            </w:r>
          </w:p>
          <w:p w14:paraId="0DFDC0AB" w14:textId="77777777" w:rsidR="00046465" w:rsidRDefault="008134EB">
            <w:pPr>
              <w:pStyle w:val="TableParagraph"/>
              <w:spacing w:before="1"/>
              <w:ind w:left="1568" w:right="121"/>
            </w:pPr>
            <w:r>
              <w:t>Information from these systems, including the GTAS raw data file, are available to entities. However, Treasury year-end scorecards for significant</w:t>
            </w:r>
            <w:r>
              <w:rPr>
                <w:spacing w:val="-6"/>
              </w:rPr>
              <w:t xml:space="preserve"> </w:t>
            </w:r>
            <w:r>
              <w:t>entities</w:t>
            </w:r>
            <w:r>
              <w:rPr>
                <w:spacing w:val="-6"/>
              </w:rPr>
              <w:t xml:space="preserve"> </w:t>
            </w:r>
            <w:r>
              <w:t>are</w:t>
            </w:r>
            <w:r>
              <w:rPr>
                <w:spacing w:val="-6"/>
              </w:rPr>
              <w:t xml:space="preserve"> </w:t>
            </w:r>
            <w:r>
              <w:t>not</w:t>
            </w:r>
            <w:r>
              <w:rPr>
                <w:spacing w:val="-6"/>
              </w:rPr>
              <w:t xml:space="preserve"> </w:t>
            </w:r>
            <w:r>
              <w:t>available</w:t>
            </w:r>
            <w:r>
              <w:rPr>
                <w:spacing w:val="-7"/>
              </w:rPr>
              <w:t xml:space="preserve"> </w:t>
            </w:r>
            <w:r>
              <w:t>until</w:t>
            </w:r>
            <w:r>
              <w:rPr>
                <w:spacing w:val="-6"/>
              </w:rPr>
              <w:t xml:space="preserve"> </w:t>
            </w:r>
            <w:r>
              <w:t>after</w:t>
            </w:r>
            <w:r>
              <w:rPr>
                <w:spacing w:val="-6"/>
              </w:rPr>
              <w:t xml:space="preserve"> </w:t>
            </w:r>
            <w:r>
              <w:t>year-end reporting deadlines.</w:t>
            </w:r>
          </w:p>
        </w:tc>
        <w:tc>
          <w:tcPr>
            <w:tcW w:w="1144" w:type="dxa"/>
            <w:tcBorders>
              <w:top w:val="single" w:sz="4" w:space="0" w:color="000000"/>
              <w:left w:val="single" w:sz="4" w:space="0" w:color="000000"/>
              <w:bottom w:val="single" w:sz="4" w:space="0" w:color="000000"/>
              <w:right w:val="single" w:sz="4" w:space="0" w:color="000000"/>
            </w:tcBorders>
          </w:tcPr>
          <w:p w14:paraId="0DFDC0AC"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AD" w14:textId="77777777" w:rsidR="00046465" w:rsidRDefault="00046465">
            <w:pPr>
              <w:pStyle w:val="TableParagraph"/>
              <w:rPr>
                <w:rFonts w:ascii="Times New Roman"/>
                <w:sz w:val="20"/>
              </w:rPr>
            </w:pPr>
          </w:p>
        </w:tc>
      </w:tr>
      <w:tr w:rsidR="00046465" w14:paraId="0DFDC0B2" w14:textId="77777777">
        <w:trPr>
          <w:trHeight w:val="764"/>
        </w:trPr>
        <w:tc>
          <w:tcPr>
            <w:tcW w:w="6696" w:type="dxa"/>
            <w:tcBorders>
              <w:top w:val="single" w:sz="4" w:space="0" w:color="000000"/>
              <w:bottom w:val="single" w:sz="4" w:space="0" w:color="000000"/>
              <w:right w:val="single" w:sz="4" w:space="0" w:color="000000"/>
            </w:tcBorders>
          </w:tcPr>
          <w:p w14:paraId="0DFDC0AF" w14:textId="77777777" w:rsidR="00046465" w:rsidRDefault="008134EB">
            <w:pPr>
              <w:pStyle w:val="TableParagraph"/>
              <w:tabs>
                <w:tab w:val="left" w:pos="1562"/>
              </w:tabs>
              <w:spacing w:before="60"/>
              <w:ind w:left="1562" w:right="504" w:hanging="396"/>
            </w:pPr>
            <w:r>
              <w:rPr>
                <w:spacing w:val="-6"/>
              </w:rPr>
              <w:t>j)</w:t>
            </w:r>
            <w:r>
              <w:tab/>
              <w:t>Determine whether management reviews and approves</w:t>
            </w:r>
            <w:r>
              <w:rPr>
                <w:spacing w:val="-5"/>
              </w:rPr>
              <w:t xml:space="preserve"> </w:t>
            </w:r>
            <w:r>
              <w:t>the</w:t>
            </w:r>
            <w:r>
              <w:rPr>
                <w:spacing w:val="-5"/>
              </w:rPr>
              <w:t xml:space="preserve"> </w:t>
            </w:r>
            <w:r>
              <w:t>results</w:t>
            </w:r>
            <w:r>
              <w:rPr>
                <w:spacing w:val="-5"/>
              </w:rPr>
              <w:t xml:space="preserve"> </w:t>
            </w:r>
            <w:r>
              <w:t>of</w:t>
            </w:r>
            <w:r>
              <w:rPr>
                <w:spacing w:val="-6"/>
              </w:rPr>
              <w:t xml:space="preserve"> </w:t>
            </w:r>
            <w:r>
              <w:t>procedures</w:t>
            </w:r>
            <w:r>
              <w:rPr>
                <w:spacing w:val="-5"/>
              </w:rPr>
              <w:t xml:space="preserve"> </w:t>
            </w:r>
            <w:r>
              <w:t>in</w:t>
            </w:r>
            <w:r>
              <w:rPr>
                <w:spacing w:val="-5"/>
              </w:rPr>
              <w:t xml:space="preserve"> </w:t>
            </w:r>
            <w:r>
              <w:t>“i”</w:t>
            </w:r>
            <w:r>
              <w:rPr>
                <w:spacing w:val="-5"/>
              </w:rPr>
              <w:t xml:space="preserve"> </w:t>
            </w:r>
            <w:r>
              <w:t>above.</w:t>
            </w:r>
          </w:p>
        </w:tc>
        <w:tc>
          <w:tcPr>
            <w:tcW w:w="1144" w:type="dxa"/>
            <w:tcBorders>
              <w:top w:val="single" w:sz="4" w:space="0" w:color="000000"/>
              <w:left w:val="single" w:sz="4" w:space="0" w:color="000000"/>
              <w:bottom w:val="single" w:sz="4" w:space="0" w:color="000000"/>
              <w:right w:val="single" w:sz="4" w:space="0" w:color="000000"/>
            </w:tcBorders>
          </w:tcPr>
          <w:p w14:paraId="0DFDC0B0"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B1" w14:textId="77777777" w:rsidR="00046465" w:rsidRDefault="00046465">
            <w:pPr>
              <w:pStyle w:val="TableParagraph"/>
              <w:rPr>
                <w:rFonts w:ascii="Times New Roman"/>
                <w:sz w:val="20"/>
              </w:rPr>
            </w:pPr>
          </w:p>
        </w:tc>
      </w:tr>
      <w:tr w:rsidR="00046465" w14:paraId="0DFDC0B4" w14:textId="77777777">
        <w:trPr>
          <w:trHeight w:val="372"/>
        </w:trPr>
        <w:tc>
          <w:tcPr>
            <w:tcW w:w="9069" w:type="dxa"/>
            <w:gridSpan w:val="3"/>
            <w:tcBorders>
              <w:top w:val="single" w:sz="4" w:space="0" w:color="000000"/>
              <w:bottom w:val="single" w:sz="4" w:space="0" w:color="000000"/>
            </w:tcBorders>
          </w:tcPr>
          <w:p w14:paraId="0DFDC0B3" w14:textId="77777777" w:rsidR="00046465" w:rsidRDefault="008134EB">
            <w:pPr>
              <w:pStyle w:val="TableParagraph"/>
              <w:spacing w:before="60"/>
              <w:ind w:left="92"/>
              <w:rPr>
                <w:b/>
                <w:i/>
              </w:rPr>
            </w:pPr>
            <w:r>
              <w:rPr>
                <w:b/>
                <w:i/>
                <w:spacing w:val="-2"/>
              </w:rPr>
              <w:t>Other</w:t>
            </w:r>
          </w:p>
        </w:tc>
      </w:tr>
      <w:tr w:rsidR="00046465" w14:paraId="0DFDC0B9" w14:textId="77777777">
        <w:trPr>
          <w:trHeight w:val="1325"/>
        </w:trPr>
        <w:tc>
          <w:tcPr>
            <w:tcW w:w="6696" w:type="dxa"/>
            <w:tcBorders>
              <w:top w:val="single" w:sz="4" w:space="0" w:color="000000"/>
              <w:bottom w:val="single" w:sz="4" w:space="0" w:color="000000"/>
              <w:right w:val="single" w:sz="4" w:space="0" w:color="000000"/>
            </w:tcBorders>
          </w:tcPr>
          <w:p w14:paraId="0DFDC0B5" w14:textId="77777777" w:rsidR="00046465" w:rsidRDefault="008134EB">
            <w:pPr>
              <w:pStyle w:val="TableParagraph"/>
              <w:spacing w:before="60"/>
              <w:ind w:left="1172" w:hanging="361"/>
            </w:pPr>
            <w:r>
              <w:t>5)</w:t>
            </w:r>
            <w:r>
              <w:rPr>
                <w:spacing w:val="80"/>
              </w:rPr>
              <w:t xml:space="preserve"> </w:t>
            </w:r>
            <w:r>
              <w:t>Coordinate with other audit cycles to determine if the entity has internal control deficiencies related to intragovernmental activity and balances, including</w:t>
            </w:r>
          </w:p>
          <w:p w14:paraId="0DFDC0B6" w14:textId="77777777" w:rsidR="00046465" w:rsidRDefault="008134EB">
            <w:pPr>
              <w:pStyle w:val="TableParagraph"/>
              <w:spacing w:line="252" w:lineRule="exact"/>
              <w:ind w:left="1172"/>
            </w:pPr>
            <w:r>
              <w:t>intragovernmental</w:t>
            </w:r>
            <w:r>
              <w:rPr>
                <w:spacing w:val="-10"/>
              </w:rPr>
              <w:t xml:space="preserve"> </w:t>
            </w:r>
            <w:r>
              <w:t>differences.</w:t>
            </w:r>
            <w:r>
              <w:rPr>
                <w:spacing w:val="-10"/>
              </w:rPr>
              <w:t xml:space="preserve"> </w:t>
            </w:r>
            <w:r>
              <w:t>For</w:t>
            </w:r>
            <w:r>
              <w:rPr>
                <w:spacing w:val="-10"/>
              </w:rPr>
              <w:t xml:space="preserve"> </w:t>
            </w:r>
            <w:r>
              <w:t>example,</w:t>
            </w:r>
            <w:r>
              <w:rPr>
                <w:spacing w:val="-10"/>
              </w:rPr>
              <w:t xml:space="preserve"> </w:t>
            </w:r>
            <w:r>
              <w:t>coordinate with the FBWT audit to determine if the entity has</w:t>
            </w:r>
          </w:p>
        </w:tc>
        <w:tc>
          <w:tcPr>
            <w:tcW w:w="1144" w:type="dxa"/>
            <w:tcBorders>
              <w:top w:val="single" w:sz="4" w:space="0" w:color="000000"/>
              <w:left w:val="single" w:sz="4" w:space="0" w:color="000000"/>
              <w:bottom w:val="single" w:sz="4" w:space="0" w:color="000000"/>
              <w:right w:val="single" w:sz="4" w:space="0" w:color="000000"/>
            </w:tcBorders>
          </w:tcPr>
          <w:p w14:paraId="0DFDC0B7"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B8" w14:textId="77777777" w:rsidR="00046465" w:rsidRDefault="00046465">
            <w:pPr>
              <w:pStyle w:val="TableParagraph"/>
              <w:rPr>
                <w:rFonts w:ascii="Times New Roman"/>
                <w:sz w:val="20"/>
              </w:rPr>
            </w:pPr>
          </w:p>
        </w:tc>
      </w:tr>
    </w:tbl>
    <w:p w14:paraId="0DFDC0BA" w14:textId="77777777" w:rsidR="00046465" w:rsidRDefault="00046465">
      <w:pPr>
        <w:pStyle w:val="TableParagraph"/>
        <w:rPr>
          <w:rFonts w:ascii="Times New Roman"/>
          <w:sz w:val="20"/>
        </w:rPr>
        <w:sectPr w:rsidR="00046465">
          <w:pgSz w:w="12240" w:h="15840"/>
          <w:pgMar w:top="1340" w:right="720" w:bottom="940" w:left="1080" w:header="721" w:footer="757" w:gutter="0"/>
          <w:cols w:space="720"/>
        </w:sectPr>
      </w:pPr>
    </w:p>
    <w:p w14:paraId="0DFDC0BB" w14:textId="77777777" w:rsidR="00046465" w:rsidRDefault="00046465">
      <w:pPr>
        <w:pStyle w:val="BodyText"/>
        <w:spacing w:before="9"/>
        <w:rPr>
          <w:sz w:val="11"/>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C0BF" w14:textId="77777777">
        <w:trPr>
          <w:trHeight w:val="625"/>
        </w:trPr>
        <w:tc>
          <w:tcPr>
            <w:tcW w:w="6696" w:type="dxa"/>
            <w:tcBorders>
              <w:right w:val="single" w:sz="4" w:space="0" w:color="000000"/>
            </w:tcBorders>
          </w:tcPr>
          <w:p w14:paraId="0DFDC0BC"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C0BD"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C0BE"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C0C4" w14:textId="77777777">
        <w:trPr>
          <w:trHeight w:val="531"/>
        </w:trPr>
        <w:tc>
          <w:tcPr>
            <w:tcW w:w="6696" w:type="dxa"/>
            <w:tcBorders>
              <w:bottom w:val="single" w:sz="4" w:space="0" w:color="000000"/>
              <w:right w:val="single" w:sz="4" w:space="0" w:color="000000"/>
            </w:tcBorders>
          </w:tcPr>
          <w:p w14:paraId="0DFDC0C0" w14:textId="77777777" w:rsidR="00046465" w:rsidRDefault="008134EB">
            <w:pPr>
              <w:pStyle w:val="TableParagraph"/>
              <w:spacing w:line="219" w:lineRule="exact"/>
              <w:ind w:left="1172"/>
            </w:pPr>
            <w:r>
              <w:t>issues</w:t>
            </w:r>
            <w:r>
              <w:rPr>
                <w:spacing w:val="-8"/>
              </w:rPr>
              <w:t xml:space="preserve"> </w:t>
            </w:r>
            <w:r>
              <w:t>on</w:t>
            </w:r>
            <w:r>
              <w:rPr>
                <w:spacing w:val="-8"/>
              </w:rPr>
              <w:t xml:space="preserve"> </w:t>
            </w:r>
            <w:r>
              <w:t>its</w:t>
            </w:r>
            <w:r>
              <w:rPr>
                <w:spacing w:val="-8"/>
              </w:rPr>
              <w:t xml:space="preserve"> </w:t>
            </w:r>
            <w:r>
              <w:t>FBWT/IPAC</w:t>
            </w:r>
            <w:r>
              <w:rPr>
                <w:spacing w:val="-8"/>
              </w:rPr>
              <w:t xml:space="preserve"> </w:t>
            </w:r>
            <w:r>
              <w:t>reconciliation,</w:t>
            </w:r>
            <w:r>
              <w:rPr>
                <w:spacing w:val="-8"/>
              </w:rPr>
              <w:t xml:space="preserve"> </w:t>
            </w:r>
            <w:r>
              <w:t>such</w:t>
            </w:r>
            <w:r>
              <w:rPr>
                <w:spacing w:val="-7"/>
              </w:rPr>
              <w:t xml:space="preserve"> </w:t>
            </w:r>
            <w:r>
              <w:rPr>
                <w:spacing w:val="-5"/>
              </w:rPr>
              <w:t>as</w:t>
            </w:r>
          </w:p>
          <w:p w14:paraId="0DFDC0C1" w14:textId="77777777" w:rsidR="00046465" w:rsidRDefault="008134EB">
            <w:pPr>
              <w:pStyle w:val="TableParagraph"/>
              <w:ind w:left="1172"/>
            </w:pPr>
            <w:r>
              <w:t>material</w:t>
            </w:r>
            <w:r>
              <w:rPr>
                <w:spacing w:val="-10"/>
              </w:rPr>
              <w:t xml:space="preserve"> </w:t>
            </w:r>
            <w:r>
              <w:t>unresolved</w:t>
            </w:r>
            <w:r>
              <w:rPr>
                <w:spacing w:val="-10"/>
              </w:rPr>
              <w:t xml:space="preserve"> </w:t>
            </w:r>
            <w:r>
              <w:rPr>
                <w:spacing w:val="-2"/>
              </w:rPr>
              <w:t>differences.</w:t>
            </w:r>
          </w:p>
        </w:tc>
        <w:tc>
          <w:tcPr>
            <w:tcW w:w="1144" w:type="dxa"/>
            <w:tcBorders>
              <w:left w:val="single" w:sz="4" w:space="0" w:color="000000"/>
              <w:bottom w:val="single" w:sz="4" w:space="0" w:color="000000"/>
              <w:right w:val="single" w:sz="4" w:space="0" w:color="000000"/>
            </w:tcBorders>
          </w:tcPr>
          <w:p w14:paraId="0DFDC0C2" w14:textId="77777777" w:rsidR="00046465" w:rsidRDefault="00046465">
            <w:pPr>
              <w:pStyle w:val="TableParagraph"/>
              <w:rPr>
                <w:rFonts w:ascii="Times New Roman"/>
                <w:sz w:val="20"/>
              </w:rPr>
            </w:pPr>
          </w:p>
        </w:tc>
        <w:tc>
          <w:tcPr>
            <w:tcW w:w="1229" w:type="dxa"/>
            <w:tcBorders>
              <w:left w:val="single" w:sz="4" w:space="0" w:color="000000"/>
              <w:bottom w:val="single" w:sz="4" w:space="0" w:color="000000"/>
            </w:tcBorders>
          </w:tcPr>
          <w:p w14:paraId="0DFDC0C3" w14:textId="77777777" w:rsidR="00046465" w:rsidRDefault="00046465">
            <w:pPr>
              <w:pStyle w:val="TableParagraph"/>
              <w:rPr>
                <w:rFonts w:ascii="Times New Roman"/>
                <w:sz w:val="20"/>
              </w:rPr>
            </w:pPr>
          </w:p>
        </w:tc>
      </w:tr>
      <w:tr w:rsidR="00046465" w14:paraId="0DFDC0CD" w14:textId="77777777">
        <w:trPr>
          <w:trHeight w:val="5020"/>
        </w:trPr>
        <w:tc>
          <w:tcPr>
            <w:tcW w:w="6696" w:type="dxa"/>
            <w:tcBorders>
              <w:top w:val="single" w:sz="4" w:space="0" w:color="000000"/>
              <w:bottom w:val="single" w:sz="4" w:space="0" w:color="000000"/>
              <w:right w:val="single" w:sz="4" w:space="0" w:color="000000"/>
            </w:tcBorders>
          </w:tcPr>
          <w:p w14:paraId="0DFDC0C5" w14:textId="77777777" w:rsidR="00046465" w:rsidRDefault="008134EB">
            <w:pPr>
              <w:pStyle w:val="TableParagraph"/>
              <w:numPr>
                <w:ilvl w:val="0"/>
                <w:numId w:val="130"/>
              </w:numPr>
              <w:tabs>
                <w:tab w:val="left" w:pos="1170"/>
                <w:tab w:val="left" w:pos="1172"/>
              </w:tabs>
              <w:spacing w:before="60"/>
              <w:ind w:right="1042"/>
            </w:pPr>
            <w:r>
              <w:t>Prepare</w:t>
            </w:r>
            <w:r>
              <w:rPr>
                <w:spacing w:val="-7"/>
              </w:rPr>
              <w:t xml:space="preserve"> </w:t>
            </w:r>
            <w:r>
              <w:t>or</w:t>
            </w:r>
            <w:r>
              <w:rPr>
                <w:spacing w:val="-7"/>
              </w:rPr>
              <w:t xml:space="preserve"> </w:t>
            </w:r>
            <w:r>
              <w:t>update</w:t>
            </w:r>
            <w:r>
              <w:rPr>
                <w:spacing w:val="-7"/>
              </w:rPr>
              <w:t xml:space="preserve"> </w:t>
            </w:r>
            <w:r>
              <w:t>the</w:t>
            </w:r>
            <w:r>
              <w:rPr>
                <w:spacing w:val="-7"/>
              </w:rPr>
              <w:t xml:space="preserve"> </w:t>
            </w:r>
            <w:r>
              <w:t>following</w:t>
            </w:r>
            <w:r>
              <w:rPr>
                <w:spacing w:val="-6"/>
              </w:rPr>
              <w:t xml:space="preserve"> </w:t>
            </w:r>
            <w:r>
              <w:t>documents</w:t>
            </w:r>
            <w:r>
              <w:rPr>
                <w:spacing w:val="-7"/>
              </w:rPr>
              <w:t xml:space="preserve"> </w:t>
            </w:r>
            <w:r>
              <w:t xml:space="preserve">or </w:t>
            </w:r>
            <w:r>
              <w:rPr>
                <w:spacing w:val="-2"/>
              </w:rPr>
              <w:t>equivalent:</w:t>
            </w:r>
          </w:p>
          <w:p w14:paraId="0DFDC0C6" w14:textId="77777777" w:rsidR="00046465" w:rsidRDefault="008134EB">
            <w:pPr>
              <w:pStyle w:val="TableParagraph"/>
              <w:numPr>
                <w:ilvl w:val="1"/>
                <w:numId w:val="130"/>
              </w:numPr>
              <w:tabs>
                <w:tab w:val="left" w:pos="1568"/>
              </w:tabs>
              <w:spacing w:before="120"/>
              <w:ind w:left="1568" w:hanging="396"/>
            </w:pPr>
            <w:r>
              <w:t>Cycle</w:t>
            </w:r>
            <w:r>
              <w:rPr>
                <w:spacing w:val="-9"/>
              </w:rPr>
              <w:t xml:space="preserve"> </w:t>
            </w:r>
            <w:r>
              <w:t>memorandum</w:t>
            </w:r>
            <w:r>
              <w:rPr>
                <w:spacing w:val="-10"/>
              </w:rPr>
              <w:t xml:space="preserve"> </w:t>
            </w:r>
            <w:r>
              <w:t>(FAM</w:t>
            </w:r>
            <w:r>
              <w:rPr>
                <w:spacing w:val="-9"/>
              </w:rPr>
              <w:t xml:space="preserve"> </w:t>
            </w:r>
            <w:r>
              <w:rPr>
                <w:spacing w:val="-2"/>
              </w:rPr>
              <w:t>390).</w:t>
            </w:r>
          </w:p>
          <w:p w14:paraId="0DFDC0C7" w14:textId="77777777" w:rsidR="00046465" w:rsidRDefault="008134EB">
            <w:pPr>
              <w:pStyle w:val="TableParagraph"/>
              <w:numPr>
                <w:ilvl w:val="1"/>
                <w:numId w:val="130"/>
              </w:numPr>
              <w:tabs>
                <w:tab w:val="left" w:pos="1569"/>
              </w:tabs>
              <w:spacing w:before="120"/>
              <w:ind w:right="500"/>
            </w:pPr>
            <w:r>
              <w:t>SCE</w:t>
            </w:r>
            <w:r>
              <w:rPr>
                <w:spacing w:val="-6"/>
              </w:rPr>
              <w:t xml:space="preserve"> </w:t>
            </w:r>
            <w:r>
              <w:t>worksheets</w:t>
            </w:r>
            <w:r>
              <w:rPr>
                <w:spacing w:val="-6"/>
              </w:rPr>
              <w:t xml:space="preserve"> </w:t>
            </w:r>
            <w:r>
              <w:t>(FAM</w:t>
            </w:r>
            <w:r>
              <w:rPr>
                <w:spacing w:val="-7"/>
              </w:rPr>
              <w:t xml:space="preserve"> </w:t>
            </w:r>
            <w:r>
              <w:t>395</w:t>
            </w:r>
            <w:r>
              <w:rPr>
                <w:spacing w:val="-6"/>
              </w:rPr>
              <w:t xml:space="preserve"> </w:t>
            </w:r>
            <w:r>
              <w:t>G)</w:t>
            </w:r>
            <w:r>
              <w:rPr>
                <w:spacing w:val="-6"/>
              </w:rPr>
              <w:t xml:space="preserve"> </w:t>
            </w:r>
            <w:r>
              <w:t>to</w:t>
            </w:r>
            <w:r>
              <w:rPr>
                <w:spacing w:val="-6"/>
              </w:rPr>
              <w:t xml:space="preserve"> </w:t>
            </w:r>
            <w:r>
              <w:t>document</w:t>
            </w:r>
            <w:r>
              <w:rPr>
                <w:spacing w:val="-6"/>
              </w:rPr>
              <w:t xml:space="preserve"> </w:t>
            </w:r>
            <w:r>
              <w:t>the identification of relevant control activities and whether they have been implemented.</w:t>
            </w:r>
          </w:p>
          <w:p w14:paraId="0DFDC0C8" w14:textId="77777777" w:rsidR="00046465" w:rsidRDefault="008134EB">
            <w:pPr>
              <w:pStyle w:val="TableParagraph"/>
              <w:spacing w:before="119"/>
              <w:ind w:left="1569" w:right="205" w:hanging="1"/>
              <w:jc w:val="both"/>
            </w:pPr>
            <w:r>
              <w:t>Note: The SCE worksheets are later updated with the</w:t>
            </w:r>
            <w:r>
              <w:rPr>
                <w:spacing w:val="-6"/>
              </w:rPr>
              <w:t xml:space="preserve"> </w:t>
            </w:r>
            <w:r>
              <w:t>results</w:t>
            </w:r>
            <w:r>
              <w:rPr>
                <w:spacing w:val="-6"/>
              </w:rPr>
              <w:t xml:space="preserve"> </w:t>
            </w:r>
            <w:r>
              <w:t>of</w:t>
            </w:r>
            <w:r>
              <w:rPr>
                <w:spacing w:val="-6"/>
              </w:rPr>
              <w:t xml:space="preserve"> </w:t>
            </w:r>
            <w:r>
              <w:t>testing</w:t>
            </w:r>
            <w:r>
              <w:rPr>
                <w:spacing w:val="-6"/>
              </w:rPr>
              <w:t xml:space="preserve"> </w:t>
            </w:r>
            <w:r>
              <w:t>control</w:t>
            </w:r>
            <w:r>
              <w:rPr>
                <w:spacing w:val="-6"/>
              </w:rPr>
              <w:t xml:space="preserve"> </w:t>
            </w:r>
            <w:r>
              <w:t>activities</w:t>
            </w:r>
            <w:r>
              <w:rPr>
                <w:spacing w:val="-7"/>
              </w:rPr>
              <w:t xml:space="preserve"> </w:t>
            </w:r>
            <w:r>
              <w:t>for</w:t>
            </w:r>
            <w:r>
              <w:rPr>
                <w:spacing w:val="-6"/>
              </w:rPr>
              <w:t xml:space="preserve"> </w:t>
            </w:r>
            <w:r>
              <w:t xml:space="preserve">operating </w:t>
            </w:r>
            <w:r>
              <w:rPr>
                <w:spacing w:val="-2"/>
              </w:rPr>
              <w:t>effectiveness.</w:t>
            </w:r>
          </w:p>
          <w:p w14:paraId="0DFDC0C9" w14:textId="77777777" w:rsidR="00046465" w:rsidRDefault="008134EB">
            <w:pPr>
              <w:pStyle w:val="TableParagraph"/>
              <w:numPr>
                <w:ilvl w:val="1"/>
                <w:numId w:val="130"/>
              </w:numPr>
              <w:tabs>
                <w:tab w:val="left" w:pos="1569"/>
              </w:tabs>
              <w:spacing w:before="121"/>
              <w:ind w:right="634" w:hanging="396"/>
            </w:pPr>
            <w:r>
              <w:t>LIRA forms (FAM 395 H) to document the assessment</w:t>
            </w:r>
            <w:r>
              <w:rPr>
                <w:spacing w:val="-6"/>
              </w:rPr>
              <w:t xml:space="preserve"> </w:t>
            </w:r>
            <w:r>
              <w:t>of</w:t>
            </w:r>
            <w:r>
              <w:rPr>
                <w:spacing w:val="-6"/>
              </w:rPr>
              <w:t xml:space="preserve"> </w:t>
            </w:r>
            <w:r>
              <w:t>control</w:t>
            </w:r>
            <w:r>
              <w:rPr>
                <w:spacing w:val="-6"/>
              </w:rPr>
              <w:t xml:space="preserve"> </w:t>
            </w:r>
            <w:r>
              <w:t>risk</w:t>
            </w:r>
            <w:r>
              <w:rPr>
                <w:spacing w:val="-6"/>
              </w:rPr>
              <w:t xml:space="preserve"> </w:t>
            </w:r>
            <w:r>
              <w:t>and</w:t>
            </w:r>
            <w:r>
              <w:rPr>
                <w:spacing w:val="-6"/>
              </w:rPr>
              <w:t xml:space="preserve"> </w:t>
            </w:r>
            <w:r>
              <w:t>risk</w:t>
            </w:r>
            <w:r>
              <w:rPr>
                <w:spacing w:val="-6"/>
              </w:rPr>
              <w:t xml:space="preserve"> </w:t>
            </w:r>
            <w:r>
              <w:t>of</w:t>
            </w:r>
            <w:r>
              <w:rPr>
                <w:spacing w:val="-6"/>
              </w:rPr>
              <w:t xml:space="preserve"> </w:t>
            </w:r>
            <w:r>
              <w:t xml:space="preserve">material </w:t>
            </w:r>
            <w:r>
              <w:rPr>
                <w:spacing w:val="-2"/>
              </w:rPr>
              <w:t>misstatement.</w:t>
            </w:r>
          </w:p>
          <w:p w14:paraId="0DFDC0CA" w14:textId="77777777" w:rsidR="00046465" w:rsidRDefault="008134EB">
            <w:pPr>
              <w:pStyle w:val="TableParagraph"/>
              <w:spacing w:before="119"/>
              <w:ind w:left="1245" w:right="194" w:hanging="1"/>
            </w:pPr>
            <w:r>
              <w:t>Note:</w:t>
            </w:r>
            <w:r>
              <w:rPr>
                <w:spacing w:val="-5"/>
              </w:rPr>
              <w:t xml:space="preserve"> </w:t>
            </w:r>
            <w:r>
              <w:t>The</w:t>
            </w:r>
            <w:r>
              <w:rPr>
                <w:spacing w:val="-5"/>
              </w:rPr>
              <w:t xml:space="preserve"> </w:t>
            </w:r>
            <w:r>
              <w:t>auditor</w:t>
            </w:r>
            <w:r>
              <w:rPr>
                <w:spacing w:val="-5"/>
              </w:rPr>
              <w:t xml:space="preserve"> </w:t>
            </w:r>
            <w:r>
              <w:t>should</w:t>
            </w:r>
            <w:r>
              <w:rPr>
                <w:spacing w:val="-5"/>
              </w:rPr>
              <w:t xml:space="preserve"> </w:t>
            </w:r>
            <w:r>
              <w:t>assess</w:t>
            </w:r>
            <w:r>
              <w:rPr>
                <w:spacing w:val="-4"/>
              </w:rPr>
              <w:t xml:space="preserve"> </w:t>
            </w:r>
            <w:r>
              <w:t>the</w:t>
            </w:r>
            <w:r>
              <w:rPr>
                <w:spacing w:val="-5"/>
              </w:rPr>
              <w:t xml:space="preserve"> </w:t>
            </w:r>
            <w:r>
              <w:t>risks</w:t>
            </w:r>
            <w:r>
              <w:rPr>
                <w:spacing w:val="-5"/>
              </w:rPr>
              <w:t xml:space="preserve"> </w:t>
            </w:r>
            <w:r>
              <w:t>of</w:t>
            </w:r>
            <w:r>
              <w:rPr>
                <w:spacing w:val="-5"/>
              </w:rPr>
              <w:t xml:space="preserve"> </w:t>
            </w:r>
            <w:r>
              <w:t>material misstatement in determining the nature, extent, and timing of control testing and substantive procedures for auditing intragovernmental activity and balances and in evaluating the results of these procedures.</w:t>
            </w:r>
          </w:p>
        </w:tc>
        <w:tc>
          <w:tcPr>
            <w:tcW w:w="1144" w:type="dxa"/>
            <w:tcBorders>
              <w:top w:val="single" w:sz="4" w:space="0" w:color="000000"/>
              <w:left w:val="single" w:sz="4" w:space="0" w:color="000000"/>
              <w:bottom w:val="single" w:sz="4" w:space="0" w:color="000000"/>
              <w:right w:val="single" w:sz="4" w:space="0" w:color="000000"/>
            </w:tcBorders>
          </w:tcPr>
          <w:p w14:paraId="0DFDC0CB"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CC" w14:textId="77777777" w:rsidR="00046465" w:rsidRDefault="00046465">
            <w:pPr>
              <w:pStyle w:val="TableParagraph"/>
              <w:rPr>
                <w:rFonts w:ascii="Times New Roman"/>
                <w:sz w:val="20"/>
              </w:rPr>
            </w:pPr>
          </w:p>
        </w:tc>
      </w:tr>
      <w:tr w:rsidR="00046465" w14:paraId="0DFDC0CF" w14:textId="77777777">
        <w:trPr>
          <w:trHeight w:val="467"/>
        </w:trPr>
        <w:tc>
          <w:tcPr>
            <w:tcW w:w="9069" w:type="dxa"/>
            <w:gridSpan w:val="3"/>
            <w:tcBorders>
              <w:top w:val="single" w:sz="4" w:space="0" w:color="000000"/>
              <w:bottom w:val="nil"/>
            </w:tcBorders>
          </w:tcPr>
          <w:p w14:paraId="0DFDC0CE" w14:textId="77777777" w:rsidR="00046465" w:rsidRDefault="008134EB">
            <w:pPr>
              <w:pStyle w:val="TableParagraph"/>
              <w:spacing w:before="121"/>
              <w:ind w:left="92"/>
              <w:rPr>
                <w:b/>
              </w:rPr>
            </w:pPr>
            <w:r>
              <w:rPr>
                <w:b/>
                <w:u w:val="single"/>
              </w:rPr>
              <w:t>III.</w:t>
            </w:r>
            <w:r>
              <w:rPr>
                <w:b/>
                <w:spacing w:val="-3"/>
                <w:u w:val="single"/>
              </w:rPr>
              <w:t xml:space="preserve"> </w:t>
            </w:r>
            <w:r>
              <w:rPr>
                <w:b/>
                <w:spacing w:val="-2"/>
                <w:u w:val="single"/>
              </w:rPr>
              <w:t>TESTING</w:t>
            </w:r>
          </w:p>
        </w:tc>
      </w:tr>
      <w:tr w:rsidR="00046465" w14:paraId="0DFDC0D3" w14:textId="77777777">
        <w:trPr>
          <w:trHeight w:val="3353"/>
        </w:trPr>
        <w:tc>
          <w:tcPr>
            <w:tcW w:w="9069" w:type="dxa"/>
            <w:gridSpan w:val="3"/>
            <w:tcBorders>
              <w:top w:val="nil"/>
              <w:bottom w:val="single" w:sz="4" w:space="0" w:color="000000"/>
            </w:tcBorders>
          </w:tcPr>
          <w:p w14:paraId="0DFDC0D0" w14:textId="77777777" w:rsidR="00046465" w:rsidRDefault="008134EB">
            <w:pPr>
              <w:pStyle w:val="TableParagraph"/>
              <w:spacing w:before="85"/>
              <w:ind w:left="92"/>
            </w:pPr>
            <w:r>
              <w:t xml:space="preserve">If the auditor preliminarily determines that the relevant control activities have been implemented, the auditor should test them to determine whether they are </w:t>
            </w:r>
            <w:r>
              <w:rPr>
                <w:i/>
              </w:rPr>
              <w:t>operating effectively</w:t>
            </w:r>
            <w:r>
              <w:t>.</w:t>
            </w:r>
            <w:r>
              <w:rPr>
                <w:spacing w:val="-5"/>
              </w:rPr>
              <w:t xml:space="preserve"> </w:t>
            </w:r>
            <w:r>
              <w:t>These</w:t>
            </w:r>
            <w:r>
              <w:rPr>
                <w:spacing w:val="-4"/>
              </w:rPr>
              <w:t xml:space="preserve"> </w:t>
            </w:r>
            <w:r>
              <w:t>procedures</w:t>
            </w:r>
            <w:r>
              <w:rPr>
                <w:spacing w:val="-4"/>
              </w:rPr>
              <w:t xml:space="preserve"> </w:t>
            </w:r>
            <w:r>
              <w:t>should</w:t>
            </w:r>
            <w:r>
              <w:rPr>
                <w:spacing w:val="-4"/>
              </w:rPr>
              <w:t xml:space="preserve"> </w:t>
            </w:r>
            <w:r>
              <w:t>be</w:t>
            </w:r>
            <w:r>
              <w:rPr>
                <w:spacing w:val="-4"/>
              </w:rPr>
              <w:t xml:space="preserve"> </w:t>
            </w:r>
            <w:r>
              <w:t>performed</w:t>
            </w:r>
            <w:r>
              <w:rPr>
                <w:spacing w:val="-4"/>
              </w:rPr>
              <w:t xml:space="preserve"> </w:t>
            </w:r>
            <w:r>
              <w:t>on</w:t>
            </w:r>
            <w:r>
              <w:rPr>
                <w:spacing w:val="-4"/>
              </w:rPr>
              <w:t xml:space="preserve"> </w:t>
            </w:r>
            <w:r>
              <w:t>an</w:t>
            </w:r>
            <w:r>
              <w:rPr>
                <w:spacing w:val="-4"/>
              </w:rPr>
              <w:t xml:space="preserve"> </w:t>
            </w:r>
            <w:r>
              <w:t>interim</w:t>
            </w:r>
            <w:r>
              <w:rPr>
                <w:spacing w:val="-5"/>
              </w:rPr>
              <w:t xml:space="preserve"> </w:t>
            </w:r>
            <w:r>
              <w:t>and</w:t>
            </w:r>
            <w:r>
              <w:rPr>
                <w:spacing w:val="-4"/>
              </w:rPr>
              <w:t xml:space="preserve"> </w:t>
            </w:r>
            <w:r>
              <w:t>year-end</w:t>
            </w:r>
            <w:r>
              <w:rPr>
                <w:spacing w:val="-4"/>
              </w:rPr>
              <w:t xml:space="preserve"> </w:t>
            </w:r>
            <w:r>
              <w:t>basis.</w:t>
            </w:r>
          </w:p>
          <w:p w14:paraId="0DFDC0D1" w14:textId="77777777" w:rsidR="00046465" w:rsidRDefault="008134EB">
            <w:pPr>
              <w:pStyle w:val="TableParagraph"/>
              <w:spacing w:before="121"/>
              <w:ind w:left="92" w:right="136"/>
            </w:pPr>
            <w:r>
              <w:t xml:space="preserve">However, if the auditor preliminarily determines that relevant control activities have </w:t>
            </w:r>
            <w:r>
              <w:rPr>
                <w:i/>
              </w:rPr>
              <w:t xml:space="preserve">not </w:t>
            </w:r>
            <w:r>
              <w:t>been implemented, the auditor should determine the effect on substantive testing procedures</w:t>
            </w:r>
            <w:r>
              <w:rPr>
                <w:spacing w:val="-4"/>
              </w:rPr>
              <w:t xml:space="preserve"> </w:t>
            </w:r>
            <w:r>
              <w:t>and</w:t>
            </w:r>
            <w:r>
              <w:rPr>
                <w:spacing w:val="-4"/>
              </w:rPr>
              <w:t xml:space="preserve"> </w:t>
            </w:r>
            <w:r>
              <w:t>whether</w:t>
            </w:r>
            <w:r>
              <w:rPr>
                <w:spacing w:val="-4"/>
              </w:rPr>
              <w:t xml:space="preserve"> </w:t>
            </w:r>
            <w:r>
              <w:t>to</w:t>
            </w:r>
            <w:r>
              <w:rPr>
                <w:spacing w:val="-4"/>
              </w:rPr>
              <w:t xml:space="preserve"> </w:t>
            </w:r>
            <w:r>
              <w:t>report</w:t>
            </w:r>
            <w:r>
              <w:rPr>
                <w:spacing w:val="-4"/>
              </w:rPr>
              <w:t xml:space="preserve"> </w:t>
            </w:r>
            <w:r>
              <w:t>a</w:t>
            </w:r>
            <w:r>
              <w:rPr>
                <w:spacing w:val="-4"/>
              </w:rPr>
              <w:t xml:space="preserve"> </w:t>
            </w:r>
            <w:r>
              <w:t>significant</w:t>
            </w:r>
            <w:r>
              <w:rPr>
                <w:spacing w:val="-4"/>
              </w:rPr>
              <w:t xml:space="preserve"> </w:t>
            </w:r>
            <w:r>
              <w:t>deficiency</w:t>
            </w:r>
            <w:r>
              <w:rPr>
                <w:spacing w:val="-4"/>
              </w:rPr>
              <w:t xml:space="preserve"> </w:t>
            </w:r>
            <w:r>
              <w:t>or</w:t>
            </w:r>
            <w:r>
              <w:rPr>
                <w:spacing w:val="-5"/>
              </w:rPr>
              <w:t xml:space="preserve"> </w:t>
            </w:r>
            <w:r>
              <w:t>material</w:t>
            </w:r>
            <w:r>
              <w:rPr>
                <w:spacing w:val="-4"/>
              </w:rPr>
              <w:t xml:space="preserve"> </w:t>
            </w:r>
            <w:r>
              <w:t>weakness</w:t>
            </w:r>
            <w:r>
              <w:rPr>
                <w:spacing w:val="-4"/>
              </w:rPr>
              <w:t xml:space="preserve"> </w:t>
            </w:r>
            <w:r>
              <w:t>in</w:t>
            </w:r>
            <w:r>
              <w:rPr>
                <w:spacing w:val="-4"/>
              </w:rPr>
              <w:t xml:space="preserve"> </w:t>
            </w:r>
            <w:r>
              <w:t>internal controls in the audit report. When intragovernmental activity and balances are material, significant additional work may be necessary to express an unmodified opinion on the financial statements.</w:t>
            </w:r>
          </w:p>
          <w:p w14:paraId="0DFDC0D2" w14:textId="77777777" w:rsidR="00046465" w:rsidRDefault="008134EB">
            <w:pPr>
              <w:pStyle w:val="TableParagraph"/>
              <w:spacing w:before="120"/>
              <w:ind w:left="92"/>
              <w:rPr>
                <w:sz w:val="20"/>
              </w:rPr>
            </w:pPr>
            <w:r>
              <w:rPr>
                <w:sz w:val="20"/>
              </w:rPr>
              <w:t>Note:</w:t>
            </w:r>
            <w:r>
              <w:rPr>
                <w:spacing w:val="-3"/>
                <w:sz w:val="20"/>
              </w:rPr>
              <w:t xml:space="preserve"> </w:t>
            </w:r>
            <w:r>
              <w:rPr>
                <w:sz w:val="20"/>
              </w:rPr>
              <w:t>Listed</w:t>
            </w:r>
            <w:r>
              <w:rPr>
                <w:spacing w:val="-3"/>
                <w:sz w:val="20"/>
              </w:rPr>
              <w:t xml:space="preserve"> </w:t>
            </w:r>
            <w:r>
              <w:rPr>
                <w:sz w:val="20"/>
              </w:rPr>
              <w:t>below</w:t>
            </w:r>
            <w:r>
              <w:rPr>
                <w:spacing w:val="-2"/>
                <w:sz w:val="20"/>
              </w:rPr>
              <w:t xml:space="preserve"> </w:t>
            </w:r>
            <w:r>
              <w:rPr>
                <w:sz w:val="20"/>
              </w:rPr>
              <w:t>are</w:t>
            </w:r>
            <w:r>
              <w:rPr>
                <w:spacing w:val="-3"/>
                <w:sz w:val="20"/>
              </w:rPr>
              <w:t xml:space="preserve"> </w:t>
            </w:r>
            <w:r>
              <w:rPr>
                <w:sz w:val="20"/>
              </w:rPr>
              <w:t>possible</w:t>
            </w:r>
            <w:r>
              <w:rPr>
                <w:spacing w:val="-3"/>
                <w:sz w:val="20"/>
              </w:rPr>
              <w:t xml:space="preserve"> </w:t>
            </w:r>
            <w:r>
              <w:rPr>
                <w:sz w:val="20"/>
              </w:rPr>
              <w:t>testing</w:t>
            </w:r>
            <w:r>
              <w:rPr>
                <w:spacing w:val="-3"/>
                <w:sz w:val="20"/>
              </w:rPr>
              <w:t xml:space="preserve"> </w:t>
            </w:r>
            <w:r>
              <w:rPr>
                <w:sz w:val="20"/>
              </w:rPr>
              <w:t>procedures.</w:t>
            </w:r>
            <w:r>
              <w:rPr>
                <w:spacing w:val="-5"/>
                <w:sz w:val="20"/>
              </w:rPr>
              <w:t xml:space="preserve"> </w:t>
            </w:r>
            <w:r>
              <w:rPr>
                <w:sz w:val="20"/>
              </w:rPr>
              <w:t>Select</w:t>
            </w:r>
            <w:r>
              <w:rPr>
                <w:spacing w:val="-3"/>
                <w:sz w:val="20"/>
              </w:rPr>
              <w:t xml:space="preserve"> </w:t>
            </w:r>
            <w:r>
              <w:rPr>
                <w:sz w:val="20"/>
              </w:rPr>
              <w:t>procedures</w:t>
            </w:r>
            <w:r>
              <w:rPr>
                <w:spacing w:val="-2"/>
                <w:sz w:val="20"/>
              </w:rPr>
              <w:t xml:space="preserve"> </w:t>
            </w:r>
            <w:r>
              <w:rPr>
                <w:sz w:val="20"/>
              </w:rPr>
              <w:t>that</w:t>
            </w:r>
            <w:r>
              <w:rPr>
                <w:spacing w:val="-3"/>
                <w:sz w:val="20"/>
              </w:rPr>
              <w:t xml:space="preserve"> </w:t>
            </w:r>
            <w:r>
              <w:rPr>
                <w:sz w:val="20"/>
              </w:rPr>
              <w:t>test</w:t>
            </w:r>
            <w:r>
              <w:rPr>
                <w:spacing w:val="-3"/>
                <w:sz w:val="20"/>
              </w:rPr>
              <w:t xml:space="preserve"> </w:t>
            </w:r>
            <w:r>
              <w:rPr>
                <w:sz w:val="20"/>
              </w:rPr>
              <w:t>the</w:t>
            </w:r>
            <w:r>
              <w:rPr>
                <w:spacing w:val="-3"/>
                <w:sz w:val="20"/>
              </w:rPr>
              <w:t xml:space="preserve"> </w:t>
            </w:r>
            <w:r>
              <w:rPr>
                <w:sz w:val="20"/>
              </w:rPr>
              <w:t>control</w:t>
            </w:r>
            <w:r>
              <w:rPr>
                <w:spacing w:val="-3"/>
                <w:sz w:val="20"/>
              </w:rPr>
              <w:t xml:space="preserve"> </w:t>
            </w:r>
            <w:r>
              <w:rPr>
                <w:sz w:val="20"/>
              </w:rPr>
              <w:t xml:space="preserve">activities found to be designed and implemented effectively. In addition, determine </w:t>
            </w:r>
            <w:r>
              <w:rPr>
                <w:i/>
                <w:sz w:val="20"/>
              </w:rPr>
              <w:t xml:space="preserve">when </w:t>
            </w:r>
            <w:r>
              <w:rPr>
                <w:sz w:val="20"/>
              </w:rPr>
              <w:t>during the year to perform the procedures.</w:t>
            </w:r>
          </w:p>
        </w:tc>
      </w:tr>
      <w:tr w:rsidR="00046465" w14:paraId="0DFDC0D5" w14:textId="77777777">
        <w:trPr>
          <w:trHeight w:val="372"/>
        </w:trPr>
        <w:tc>
          <w:tcPr>
            <w:tcW w:w="9069" w:type="dxa"/>
            <w:gridSpan w:val="3"/>
            <w:tcBorders>
              <w:top w:val="single" w:sz="4" w:space="0" w:color="000000"/>
              <w:bottom w:val="single" w:sz="4" w:space="0" w:color="000000"/>
            </w:tcBorders>
          </w:tcPr>
          <w:p w14:paraId="0DFDC0D4" w14:textId="77777777" w:rsidR="00046465" w:rsidRDefault="008134EB">
            <w:pPr>
              <w:pStyle w:val="TableParagraph"/>
              <w:tabs>
                <w:tab w:val="left" w:pos="1604"/>
              </w:tabs>
              <w:spacing w:before="60"/>
              <w:ind w:left="92"/>
              <w:rPr>
                <w:b/>
                <w:i/>
              </w:rPr>
            </w:pPr>
            <w:r>
              <w:rPr>
                <w:b/>
                <w:i/>
              </w:rPr>
              <w:t>Phase</w:t>
            </w:r>
            <w:r>
              <w:rPr>
                <w:b/>
                <w:i/>
                <w:spacing w:val="-8"/>
              </w:rPr>
              <w:t xml:space="preserve"> </w:t>
            </w:r>
            <w:r>
              <w:rPr>
                <w:b/>
                <w:i/>
                <w:spacing w:val="-5"/>
              </w:rPr>
              <w:t>I:</w:t>
            </w:r>
            <w:r>
              <w:rPr>
                <w:b/>
                <w:i/>
              </w:rPr>
              <w:tab/>
              <w:t>Identifying</w:t>
            </w:r>
            <w:r>
              <w:rPr>
                <w:b/>
                <w:i/>
                <w:spacing w:val="-10"/>
              </w:rPr>
              <w:t xml:space="preserve"> </w:t>
            </w:r>
            <w:r>
              <w:rPr>
                <w:b/>
                <w:i/>
              </w:rPr>
              <w:t>and</w:t>
            </w:r>
            <w:r>
              <w:rPr>
                <w:b/>
                <w:i/>
                <w:spacing w:val="-10"/>
              </w:rPr>
              <w:t xml:space="preserve"> </w:t>
            </w:r>
            <w:r>
              <w:rPr>
                <w:b/>
                <w:i/>
              </w:rPr>
              <w:t>recording</w:t>
            </w:r>
            <w:r>
              <w:rPr>
                <w:b/>
                <w:i/>
                <w:spacing w:val="-10"/>
              </w:rPr>
              <w:t xml:space="preserve"> </w:t>
            </w:r>
            <w:r>
              <w:rPr>
                <w:b/>
                <w:i/>
              </w:rPr>
              <w:t>intragovernmental</w:t>
            </w:r>
            <w:r>
              <w:rPr>
                <w:b/>
                <w:i/>
                <w:spacing w:val="-10"/>
              </w:rPr>
              <w:t xml:space="preserve"> </w:t>
            </w:r>
            <w:r>
              <w:rPr>
                <w:b/>
                <w:i/>
              </w:rPr>
              <w:t>activity</w:t>
            </w:r>
            <w:r>
              <w:rPr>
                <w:b/>
                <w:i/>
                <w:spacing w:val="-10"/>
              </w:rPr>
              <w:t xml:space="preserve"> </w:t>
            </w:r>
            <w:r>
              <w:rPr>
                <w:b/>
                <w:i/>
              </w:rPr>
              <w:t>and</w:t>
            </w:r>
            <w:r>
              <w:rPr>
                <w:b/>
                <w:i/>
                <w:spacing w:val="-10"/>
              </w:rPr>
              <w:t xml:space="preserve"> </w:t>
            </w:r>
            <w:r>
              <w:rPr>
                <w:b/>
                <w:i/>
                <w:spacing w:val="-2"/>
              </w:rPr>
              <w:t>balances</w:t>
            </w:r>
          </w:p>
        </w:tc>
      </w:tr>
      <w:tr w:rsidR="00046465" w14:paraId="0DFDC0D9" w14:textId="77777777">
        <w:trPr>
          <w:trHeight w:val="624"/>
        </w:trPr>
        <w:tc>
          <w:tcPr>
            <w:tcW w:w="6696" w:type="dxa"/>
            <w:tcBorders>
              <w:top w:val="single" w:sz="4" w:space="0" w:color="000000"/>
              <w:bottom w:val="nil"/>
              <w:right w:val="single" w:sz="4" w:space="0" w:color="000000"/>
            </w:tcBorders>
          </w:tcPr>
          <w:p w14:paraId="0DFDC0D6" w14:textId="77777777" w:rsidR="00046465" w:rsidRDefault="008134EB">
            <w:pPr>
              <w:pStyle w:val="TableParagraph"/>
              <w:spacing w:before="60"/>
              <w:ind w:left="759" w:hanging="361"/>
            </w:pPr>
            <w:r>
              <w:t>1)</w:t>
            </w:r>
            <w:r>
              <w:rPr>
                <w:spacing w:val="80"/>
              </w:rPr>
              <w:t xml:space="preserve"> </w:t>
            </w:r>
            <w:r>
              <w:t>Test</w:t>
            </w:r>
            <w:r>
              <w:rPr>
                <w:spacing w:val="-4"/>
              </w:rPr>
              <w:t xml:space="preserve"> </w:t>
            </w:r>
            <w:r>
              <w:t>relevant</w:t>
            </w:r>
            <w:r>
              <w:rPr>
                <w:spacing w:val="-4"/>
              </w:rPr>
              <w:t xml:space="preserve"> </w:t>
            </w:r>
            <w:r>
              <w:t>control</w:t>
            </w:r>
            <w:r>
              <w:rPr>
                <w:spacing w:val="-4"/>
              </w:rPr>
              <w:t xml:space="preserve"> </w:t>
            </w:r>
            <w:r>
              <w:t>activities</w:t>
            </w:r>
            <w:r>
              <w:rPr>
                <w:spacing w:val="-4"/>
              </w:rPr>
              <w:t xml:space="preserve"> </w:t>
            </w:r>
            <w:r>
              <w:t>in</w:t>
            </w:r>
            <w:r>
              <w:rPr>
                <w:spacing w:val="-4"/>
              </w:rPr>
              <w:t xml:space="preserve"> </w:t>
            </w:r>
            <w:r>
              <w:t>Phase</w:t>
            </w:r>
            <w:r>
              <w:rPr>
                <w:spacing w:val="-4"/>
              </w:rPr>
              <w:t xml:space="preserve"> </w:t>
            </w:r>
            <w:r>
              <w:t>I</w:t>
            </w:r>
            <w:r>
              <w:rPr>
                <w:spacing w:val="-4"/>
              </w:rPr>
              <w:t xml:space="preserve"> </w:t>
            </w:r>
            <w:r>
              <w:t>that</w:t>
            </w:r>
            <w:r>
              <w:rPr>
                <w:spacing w:val="-4"/>
              </w:rPr>
              <w:t xml:space="preserve"> </w:t>
            </w:r>
            <w:r>
              <w:t>have</w:t>
            </w:r>
            <w:r>
              <w:rPr>
                <w:spacing w:val="-4"/>
              </w:rPr>
              <w:t xml:space="preserve"> </w:t>
            </w:r>
            <w:r>
              <w:t xml:space="preserve">been </w:t>
            </w:r>
            <w:r>
              <w:rPr>
                <w:spacing w:val="-2"/>
              </w:rPr>
              <w:t>implemented.</w:t>
            </w:r>
          </w:p>
        </w:tc>
        <w:tc>
          <w:tcPr>
            <w:tcW w:w="1144" w:type="dxa"/>
            <w:vMerge w:val="restart"/>
            <w:tcBorders>
              <w:top w:val="single" w:sz="4" w:space="0" w:color="000000"/>
              <w:left w:val="single" w:sz="4" w:space="0" w:color="000000"/>
              <w:bottom w:val="single" w:sz="4" w:space="0" w:color="000000"/>
              <w:right w:val="single" w:sz="4" w:space="0" w:color="000000"/>
            </w:tcBorders>
          </w:tcPr>
          <w:p w14:paraId="0DFDC0D7" w14:textId="77777777" w:rsidR="00046465" w:rsidRDefault="00046465">
            <w:pPr>
              <w:pStyle w:val="TableParagraph"/>
              <w:rPr>
                <w:rFonts w:ascii="Times New Roman"/>
                <w:sz w:val="20"/>
              </w:rPr>
            </w:pPr>
          </w:p>
        </w:tc>
        <w:tc>
          <w:tcPr>
            <w:tcW w:w="1229" w:type="dxa"/>
            <w:vMerge w:val="restart"/>
            <w:tcBorders>
              <w:top w:val="single" w:sz="4" w:space="0" w:color="000000"/>
              <w:left w:val="single" w:sz="4" w:space="0" w:color="000000"/>
              <w:bottom w:val="single" w:sz="4" w:space="0" w:color="000000"/>
            </w:tcBorders>
          </w:tcPr>
          <w:p w14:paraId="0DFDC0D8" w14:textId="77777777" w:rsidR="00046465" w:rsidRDefault="00046465">
            <w:pPr>
              <w:pStyle w:val="TableParagraph"/>
              <w:rPr>
                <w:rFonts w:ascii="Times New Roman"/>
                <w:sz w:val="20"/>
              </w:rPr>
            </w:pPr>
          </w:p>
        </w:tc>
      </w:tr>
      <w:tr w:rsidR="00046465" w14:paraId="0DFDC0DD" w14:textId="77777777">
        <w:trPr>
          <w:trHeight w:val="1629"/>
        </w:trPr>
        <w:tc>
          <w:tcPr>
            <w:tcW w:w="6696" w:type="dxa"/>
            <w:tcBorders>
              <w:top w:val="nil"/>
              <w:bottom w:val="single" w:sz="4" w:space="0" w:color="000000"/>
              <w:right w:val="single" w:sz="4" w:space="0" w:color="000000"/>
            </w:tcBorders>
          </w:tcPr>
          <w:p w14:paraId="0DFDC0DA" w14:textId="77777777" w:rsidR="00046465" w:rsidRDefault="008134EB">
            <w:pPr>
              <w:pStyle w:val="TableParagraph"/>
              <w:tabs>
                <w:tab w:val="left" w:pos="1244"/>
              </w:tabs>
              <w:spacing w:before="51"/>
              <w:ind w:left="1244" w:right="188" w:hanging="396"/>
            </w:pPr>
            <w:r>
              <w:rPr>
                <w:spacing w:val="-6"/>
              </w:rPr>
              <w:t>a)</w:t>
            </w:r>
            <w:r>
              <w:tab/>
              <w:t>Review</w:t>
            </w:r>
            <w:r>
              <w:rPr>
                <w:spacing w:val="-5"/>
              </w:rPr>
              <w:t xml:space="preserve"> </w:t>
            </w:r>
            <w:r>
              <w:t>interagency</w:t>
            </w:r>
            <w:r>
              <w:rPr>
                <w:spacing w:val="-5"/>
              </w:rPr>
              <w:t xml:space="preserve"> </w:t>
            </w:r>
            <w:r>
              <w:t>(i.e.,</w:t>
            </w:r>
            <w:r>
              <w:rPr>
                <w:spacing w:val="-5"/>
              </w:rPr>
              <w:t xml:space="preserve"> </w:t>
            </w:r>
            <w:r>
              <w:t>inter-entity)</w:t>
            </w:r>
            <w:r>
              <w:rPr>
                <w:spacing w:val="-6"/>
              </w:rPr>
              <w:t xml:space="preserve"> </w:t>
            </w:r>
            <w:r>
              <w:t>agreements</w:t>
            </w:r>
            <w:r>
              <w:rPr>
                <w:spacing w:val="-5"/>
              </w:rPr>
              <w:t xml:space="preserve"> </w:t>
            </w:r>
            <w:r>
              <w:t>and test an audit sample of transactions to determine whether</w:t>
            </w:r>
            <w:r>
              <w:rPr>
                <w:spacing w:val="-5"/>
              </w:rPr>
              <w:t xml:space="preserve"> </w:t>
            </w:r>
            <w:r>
              <w:t>they</w:t>
            </w:r>
            <w:r>
              <w:rPr>
                <w:spacing w:val="-5"/>
              </w:rPr>
              <w:t xml:space="preserve"> </w:t>
            </w:r>
            <w:r>
              <w:t>are</w:t>
            </w:r>
            <w:r>
              <w:rPr>
                <w:spacing w:val="-5"/>
              </w:rPr>
              <w:t xml:space="preserve"> </w:t>
            </w:r>
            <w:r>
              <w:t>recorded</w:t>
            </w:r>
            <w:r>
              <w:rPr>
                <w:spacing w:val="-5"/>
              </w:rPr>
              <w:t xml:space="preserve"> </w:t>
            </w:r>
            <w:r>
              <w:t>in</w:t>
            </w:r>
            <w:r>
              <w:rPr>
                <w:spacing w:val="-5"/>
              </w:rPr>
              <w:t xml:space="preserve"> </w:t>
            </w:r>
            <w:r>
              <w:t>the</w:t>
            </w:r>
            <w:r>
              <w:rPr>
                <w:spacing w:val="-5"/>
              </w:rPr>
              <w:t xml:space="preserve"> </w:t>
            </w:r>
            <w:r>
              <w:t>general</w:t>
            </w:r>
            <w:r>
              <w:rPr>
                <w:spacing w:val="-5"/>
              </w:rPr>
              <w:t xml:space="preserve"> </w:t>
            </w:r>
            <w:r>
              <w:t>ledger</w:t>
            </w:r>
            <w:r>
              <w:rPr>
                <w:spacing w:val="-5"/>
              </w:rPr>
              <w:t xml:space="preserve"> </w:t>
            </w:r>
            <w:r>
              <w:t>in</w:t>
            </w:r>
            <w:r>
              <w:rPr>
                <w:spacing w:val="-5"/>
              </w:rPr>
              <w:t xml:space="preserve"> </w:t>
            </w:r>
            <w:r>
              <w:t xml:space="preserve">the proper period and with the proper dollar amount, trading partner code, domain, attribute, and USSGL </w:t>
            </w:r>
            <w:r>
              <w:rPr>
                <w:spacing w:val="-2"/>
              </w:rPr>
              <w:t>account.</w:t>
            </w:r>
          </w:p>
        </w:tc>
        <w:tc>
          <w:tcPr>
            <w:tcW w:w="1144" w:type="dxa"/>
            <w:vMerge/>
            <w:tcBorders>
              <w:top w:val="nil"/>
              <w:left w:val="single" w:sz="4" w:space="0" w:color="000000"/>
              <w:bottom w:val="single" w:sz="4" w:space="0" w:color="000000"/>
              <w:right w:val="single" w:sz="4" w:space="0" w:color="000000"/>
            </w:tcBorders>
          </w:tcPr>
          <w:p w14:paraId="0DFDC0DB" w14:textId="77777777" w:rsidR="00046465" w:rsidRDefault="00046465">
            <w:pPr>
              <w:rPr>
                <w:sz w:val="2"/>
                <w:szCs w:val="2"/>
              </w:rPr>
            </w:pPr>
          </w:p>
        </w:tc>
        <w:tc>
          <w:tcPr>
            <w:tcW w:w="1229" w:type="dxa"/>
            <w:vMerge/>
            <w:tcBorders>
              <w:top w:val="nil"/>
              <w:left w:val="single" w:sz="4" w:space="0" w:color="000000"/>
              <w:bottom w:val="single" w:sz="4" w:space="0" w:color="000000"/>
            </w:tcBorders>
          </w:tcPr>
          <w:p w14:paraId="0DFDC0DC" w14:textId="77777777" w:rsidR="00046465" w:rsidRDefault="00046465">
            <w:pPr>
              <w:rPr>
                <w:sz w:val="2"/>
                <w:szCs w:val="2"/>
              </w:rPr>
            </w:pPr>
          </w:p>
        </w:tc>
      </w:tr>
    </w:tbl>
    <w:p w14:paraId="0DFDC0DE" w14:textId="77777777" w:rsidR="00046465" w:rsidRDefault="00046465">
      <w:pPr>
        <w:rPr>
          <w:sz w:val="2"/>
          <w:szCs w:val="2"/>
        </w:rPr>
        <w:sectPr w:rsidR="00046465">
          <w:pgSz w:w="12240" w:h="15840"/>
          <w:pgMar w:top="1340" w:right="720" w:bottom="940" w:left="1080" w:header="721" w:footer="757" w:gutter="0"/>
          <w:cols w:space="720"/>
        </w:sectPr>
      </w:pPr>
    </w:p>
    <w:p w14:paraId="0DFDC0DF" w14:textId="77777777" w:rsidR="00046465" w:rsidRDefault="00046465">
      <w:pPr>
        <w:pStyle w:val="BodyText"/>
        <w:spacing w:before="9"/>
        <w:rPr>
          <w:sz w:val="11"/>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C0E3" w14:textId="77777777">
        <w:trPr>
          <w:trHeight w:val="625"/>
        </w:trPr>
        <w:tc>
          <w:tcPr>
            <w:tcW w:w="6696" w:type="dxa"/>
            <w:tcBorders>
              <w:right w:val="single" w:sz="4" w:space="0" w:color="000000"/>
            </w:tcBorders>
          </w:tcPr>
          <w:p w14:paraId="0DFDC0E0"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C0E1"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C0E2"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C0E7" w14:textId="77777777">
        <w:trPr>
          <w:trHeight w:val="2109"/>
        </w:trPr>
        <w:tc>
          <w:tcPr>
            <w:tcW w:w="6696" w:type="dxa"/>
            <w:tcBorders>
              <w:bottom w:val="single" w:sz="4" w:space="0" w:color="000000"/>
              <w:right w:val="single" w:sz="4" w:space="0" w:color="000000"/>
            </w:tcBorders>
          </w:tcPr>
          <w:p w14:paraId="0DFDC0E4" w14:textId="77777777" w:rsidR="00046465" w:rsidRDefault="008134EB">
            <w:pPr>
              <w:pStyle w:val="TableParagraph"/>
              <w:tabs>
                <w:tab w:val="left" w:pos="1244"/>
              </w:tabs>
              <w:spacing w:before="25"/>
              <w:ind w:left="1244" w:right="103" w:hanging="397"/>
            </w:pPr>
            <w:r>
              <w:rPr>
                <w:spacing w:val="-6"/>
              </w:rPr>
              <w:t>b)</w:t>
            </w:r>
            <w:r>
              <w:tab/>
              <w:t>Test an audit sample of intragovernmental activity and balances to determine whether they are recorded in the general ledger in the proper period and with the proper dollar amount, trading partner code, domain, attribute, and USSGL account. This includes sending confirmations</w:t>
            </w:r>
            <w:r>
              <w:rPr>
                <w:spacing w:val="-6"/>
              </w:rPr>
              <w:t xml:space="preserve"> </w:t>
            </w:r>
            <w:r>
              <w:t>to</w:t>
            </w:r>
            <w:r>
              <w:rPr>
                <w:spacing w:val="-6"/>
              </w:rPr>
              <w:t xml:space="preserve"> </w:t>
            </w:r>
            <w:r>
              <w:t>the</w:t>
            </w:r>
            <w:r>
              <w:rPr>
                <w:spacing w:val="-6"/>
              </w:rPr>
              <w:t xml:space="preserve"> </w:t>
            </w:r>
            <w:r>
              <w:t>trading</w:t>
            </w:r>
            <w:r>
              <w:rPr>
                <w:spacing w:val="-6"/>
              </w:rPr>
              <w:t xml:space="preserve"> </w:t>
            </w:r>
            <w:r>
              <w:t>partners</w:t>
            </w:r>
            <w:r>
              <w:rPr>
                <w:spacing w:val="-7"/>
              </w:rPr>
              <w:t xml:space="preserve"> </w:t>
            </w:r>
            <w:r>
              <w:t>to</w:t>
            </w:r>
            <w:r>
              <w:rPr>
                <w:spacing w:val="-6"/>
              </w:rPr>
              <w:t xml:space="preserve"> </w:t>
            </w:r>
            <w:r>
              <w:t>corroborate</w:t>
            </w:r>
            <w:r>
              <w:rPr>
                <w:spacing w:val="-6"/>
              </w:rPr>
              <w:t xml:space="preserve"> </w:t>
            </w:r>
            <w:r>
              <w:t>the existence, validity, and accuracy of the intragovernmental amounts.</w:t>
            </w:r>
          </w:p>
        </w:tc>
        <w:tc>
          <w:tcPr>
            <w:tcW w:w="1144" w:type="dxa"/>
            <w:tcBorders>
              <w:left w:val="single" w:sz="4" w:space="0" w:color="000000"/>
              <w:bottom w:val="single" w:sz="4" w:space="0" w:color="000000"/>
              <w:right w:val="single" w:sz="4" w:space="0" w:color="000000"/>
            </w:tcBorders>
          </w:tcPr>
          <w:p w14:paraId="0DFDC0E5" w14:textId="77777777" w:rsidR="00046465" w:rsidRDefault="00046465">
            <w:pPr>
              <w:pStyle w:val="TableParagraph"/>
              <w:rPr>
                <w:rFonts w:ascii="Times New Roman"/>
                <w:sz w:val="20"/>
              </w:rPr>
            </w:pPr>
          </w:p>
        </w:tc>
        <w:tc>
          <w:tcPr>
            <w:tcW w:w="1229" w:type="dxa"/>
            <w:tcBorders>
              <w:left w:val="single" w:sz="4" w:space="0" w:color="000000"/>
              <w:bottom w:val="single" w:sz="4" w:space="0" w:color="000000"/>
            </w:tcBorders>
          </w:tcPr>
          <w:p w14:paraId="0DFDC0E6" w14:textId="77777777" w:rsidR="00046465" w:rsidRDefault="00046465">
            <w:pPr>
              <w:pStyle w:val="TableParagraph"/>
              <w:rPr>
                <w:rFonts w:ascii="Times New Roman"/>
                <w:sz w:val="20"/>
              </w:rPr>
            </w:pPr>
          </w:p>
        </w:tc>
      </w:tr>
      <w:tr w:rsidR="00046465" w14:paraId="0DFDC0EB" w14:textId="77777777">
        <w:trPr>
          <w:trHeight w:val="879"/>
        </w:trPr>
        <w:tc>
          <w:tcPr>
            <w:tcW w:w="6696" w:type="dxa"/>
            <w:tcBorders>
              <w:top w:val="single" w:sz="4" w:space="0" w:color="000000"/>
              <w:bottom w:val="single" w:sz="4" w:space="0" w:color="000000"/>
              <w:right w:val="single" w:sz="4" w:space="0" w:color="000000"/>
            </w:tcBorders>
          </w:tcPr>
          <w:p w14:paraId="0DFDC0E8" w14:textId="77777777" w:rsidR="00046465" w:rsidRDefault="008134EB">
            <w:pPr>
              <w:pStyle w:val="TableParagraph"/>
              <w:spacing w:before="60"/>
              <w:ind w:left="1244" w:right="310" w:hanging="396"/>
              <w:jc w:val="both"/>
            </w:pPr>
            <w:r>
              <w:t>c)</w:t>
            </w:r>
            <w:r>
              <w:rPr>
                <w:spacing w:val="80"/>
              </w:rPr>
              <w:t xml:space="preserve"> </w:t>
            </w:r>
            <w:r>
              <w:t>Reconcile</w:t>
            </w:r>
            <w:r>
              <w:rPr>
                <w:spacing w:val="-2"/>
              </w:rPr>
              <w:t xml:space="preserve"> </w:t>
            </w:r>
            <w:r>
              <w:t>intragovernmental</w:t>
            </w:r>
            <w:r>
              <w:rPr>
                <w:spacing w:val="-2"/>
              </w:rPr>
              <w:t xml:space="preserve"> </w:t>
            </w:r>
            <w:r>
              <w:t>amounts</w:t>
            </w:r>
            <w:r>
              <w:rPr>
                <w:spacing w:val="-2"/>
              </w:rPr>
              <w:t xml:space="preserve"> </w:t>
            </w:r>
            <w:r>
              <w:t>in</w:t>
            </w:r>
            <w:r>
              <w:rPr>
                <w:spacing w:val="-2"/>
              </w:rPr>
              <w:t xml:space="preserve"> </w:t>
            </w:r>
            <w:r>
              <w:t>the</w:t>
            </w:r>
            <w:r>
              <w:rPr>
                <w:spacing w:val="-2"/>
              </w:rPr>
              <w:t xml:space="preserve"> </w:t>
            </w:r>
            <w:r>
              <w:t>general ledger,</w:t>
            </w:r>
            <w:r>
              <w:rPr>
                <w:spacing w:val="-6"/>
              </w:rPr>
              <w:t xml:space="preserve"> </w:t>
            </w:r>
            <w:r>
              <w:t>by</w:t>
            </w:r>
            <w:r>
              <w:rPr>
                <w:spacing w:val="-6"/>
              </w:rPr>
              <w:t xml:space="preserve"> </w:t>
            </w:r>
            <w:r>
              <w:t>trading</w:t>
            </w:r>
            <w:r>
              <w:rPr>
                <w:spacing w:val="-6"/>
              </w:rPr>
              <w:t xml:space="preserve"> </w:t>
            </w:r>
            <w:r>
              <w:t>partner</w:t>
            </w:r>
            <w:r>
              <w:rPr>
                <w:spacing w:val="-6"/>
              </w:rPr>
              <w:t xml:space="preserve"> </w:t>
            </w:r>
            <w:r>
              <w:t>and</w:t>
            </w:r>
            <w:r>
              <w:rPr>
                <w:spacing w:val="-6"/>
              </w:rPr>
              <w:t xml:space="preserve"> </w:t>
            </w:r>
            <w:r>
              <w:t>reciprocal</w:t>
            </w:r>
            <w:r>
              <w:rPr>
                <w:spacing w:val="-6"/>
              </w:rPr>
              <w:t xml:space="preserve"> </w:t>
            </w:r>
            <w:r>
              <w:t>category,</w:t>
            </w:r>
            <w:r>
              <w:rPr>
                <w:spacing w:val="-6"/>
              </w:rPr>
              <w:t xml:space="preserve"> </w:t>
            </w:r>
            <w:r>
              <w:t>to those in subsidiary ledgers.</w:t>
            </w:r>
          </w:p>
        </w:tc>
        <w:tc>
          <w:tcPr>
            <w:tcW w:w="1144" w:type="dxa"/>
            <w:tcBorders>
              <w:top w:val="single" w:sz="4" w:space="0" w:color="000000"/>
              <w:left w:val="single" w:sz="4" w:space="0" w:color="000000"/>
              <w:bottom w:val="single" w:sz="4" w:space="0" w:color="000000"/>
              <w:right w:val="single" w:sz="4" w:space="0" w:color="000000"/>
            </w:tcBorders>
          </w:tcPr>
          <w:p w14:paraId="0DFDC0E9"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EA" w14:textId="77777777" w:rsidR="00046465" w:rsidRDefault="00046465">
            <w:pPr>
              <w:pStyle w:val="TableParagraph"/>
              <w:rPr>
                <w:rFonts w:ascii="Times New Roman"/>
                <w:sz w:val="20"/>
              </w:rPr>
            </w:pPr>
          </w:p>
        </w:tc>
      </w:tr>
      <w:tr w:rsidR="00046465" w14:paraId="0DFDC0EF" w14:textId="77777777">
        <w:trPr>
          <w:trHeight w:val="879"/>
        </w:trPr>
        <w:tc>
          <w:tcPr>
            <w:tcW w:w="6696" w:type="dxa"/>
            <w:tcBorders>
              <w:top w:val="single" w:sz="4" w:space="0" w:color="000000"/>
              <w:bottom w:val="single" w:sz="4" w:space="0" w:color="000000"/>
              <w:right w:val="single" w:sz="4" w:space="0" w:color="000000"/>
            </w:tcBorders>
          </w:tcPr>
          <w:p w14:paraId="0DFDC0EC" w14:textId="77777777" w:rsidR="00046465" w:rsidRDefault="008134EB">
            <w:pPr>
              <w:pStyle w:val="TableParagraph"/>
              <w:spacing w:before="60"/>
              <w:ind w:left="1244" w:right="274" w:hanging="397"/>
              <w:jc w:val="both"/>
            </w:pPr>
            <w:r>
              <w:t>d)</w:t>
            </w:r>
            <w:r>
              <w:rPr>
                <w:spacing w:val="80"/>
              </w:rPr>
              <w:t xml:space="preserve"> </w:t>
            </w:r>
            <w:r>
              <w:t>Review</w:t>
            </w:r>
            <w:r>
              <w:rPr>
                <w:spacing w:val="-5"/>
              </w:rPr>
              <w:t xml:space="preserve"> </w:t>
            </w:r>
            <w:r>
              <w:t>all</w:t>
            </w:r>
            <w:r>
              <w:rPr>
                <w:spacing w:val="-4"/>
              </w:rPr>
              <w:t xml:space="preserve"> </w:t>
            </w:r>
            <w:r>
              <w:t>JV</w:t>
            </w:r>
            <w:r>
              <w:rPr>
                <w:spacing w:val="-4"/>
              </w:rPr>
              <w:t xml:space="preserve"> </w:t>
            </w:r>
            <w:r>
              <w:t>adjustments</w:t>
            </w:r>
            <w:r>
              <w:rPr>
                <w:spacing w:val="-4"/>
              </w:rPr>
              <w:t xml:space="preserve"> </w:t>
            </w:r>
            <w:r>
              <w:t>recorded</w:t>
            </w:r>
            <w:r>
              <w:rPr>
                <w:spacing w:val="-4"/>
              </w:rPr>
              <w:t xml:space="preserve"> </w:t>
            </w:r>
            <w:r>
              <w:t>from</w:t>
            </w:r>
            <w:r>
              <w:rPr>
                <w:spacing w:val="-5"/>
              </w:rPr>
              <w:t xml:space="preserve"> </w:t>
            </w:r>
            <w:r>
              <w:t>the</w:t>
            </w:r>
            <w:r>
              <w:rPr>
                <w:spacing w:val="-4"/>
              </w:rPr>
              <w:t xml:space="preserve"> </w:t>
            </w:r>
            <w:r>
              <w:t>point</w:t>
            </w:r>
            <w:r>
              <w:rPr>
                <w:spacing w:val="-4"/>
              </w:rPr>
              <w:t xml:space="preserve"> </w:t>
            </w:r>
            <w:r>
              <w:t>of the signed interagency agreement until liquidation of the obligation or unfilled customer order.</w:t>
            </w:r>
          </w:p>
        </w:tc>
        <w:tc>
          <w:tcPr>
            <w:tcW w:w="1144" w:type="dxa"/>
            <w:tcBorders>
              <w:top w:val="single" w:sz="4" w:space="0" w:color="000000"/>
              <w:left w:val="single" w:sz="4" w:space="0" w:color="000000"/>
              <w:bottom w:val="single" w:sz="4" w:space="0" w:color="000000"/>
              <w:right w:val="single" w:sz="4" w:space="0" w:color="000000"/>
            </w:tcBorders>
          </w:tcPr>
          <w:p w14:paraId="0DFDC0ED"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EE" w14:textId="77777777" w:rsidR="00046465" w:rsidRDefault="00046465">
            <w:pPr>
              <w:pStyle w:val="TableParagraph"/>
              <w:rPr>
                <w:rFonts w:ascii="Times New Roman"/>
                <w:sz w:val="20"/>
              </w:rPr>
            </w:pPr>
          </w:p>
        </w:tc>
      </w:tr>
      <w:tr w:rsidR="00046465" w14:paraId="0DFDC0F3" w14:textId="77777777">
        <w:trPr>
          <w:trHeight w:val="371"/>
        </w:trPr>
        <w:tc>
          <w:tcPr>
            <w:tcW w:w="6696" w:type="dxa"/>
            <w:tcBorders>
              <w:top w:val="single" w:sz="4" w:space="0" w:color="000000"/>
              <w:bottom w:val="nil"/>
              <w:right w:val="single" w:sz="4" w:space="0" w:color="000000"/>
            </w:tcBorders>
          </w:tcPr>
          <w:p w14:paraId="0DFDC0F0" w14:textId="77777777" w:rsidR="00046465" w:rsidRDefault="008134EB">
            <w:pPr>
              <w:pStyle w:val="TableParagraph"/>
              <w:spacing w:before="60"/>
              <w:ind w:left="452"/>
            </w:pPr>
            <w:r>
              <w:rPr>
                <w:u w:val="single"/>
              </w:rPr>
              <w:t>The</w:t>
            </w:r>
            <w:r>
              <w:rPr>
                <w:spacing w:val="-6"/>
                <w:u w:val="single"/>
              </w:rPr>
              <w:t xml:space="preserve"> </w:t>
            </w:r>
            <w:r>
              <w:rPr>
                <w:u w:val="single"/>
              </w:rPr>
              <w:t>following</w:t>
            </w:r>
            <w:r>
              <w:rPr>
                <w:spacing w:val="-6"/>
                <w:u w:val="single"/>
              </w:rPr>
              <w:t xml:space="preserve"> </w:t>
            </w:r>
            <w:r>
              <w:rPr>
                <w:u w:val="single"/>
              </w:rPr>
              <w:t>phase</w:t>
            </w:r>
            <w:r>
              <w:rPr>
                <w:spacing w:val="-6"/>
                <w:u w:val="single"/>
              </w:rPr>
              <w:t xml:space="preserve"> </w:t>
            </w:r>
            <w:r>
              <w:rPr>
                <w:u w:val="single"/>
              </w:rPr>
              <w:t>I</w:t>
            </w:r>
            <w:r>
              <w:rPr>
                <w:spacing w:val="-6"/>
                <w:u w:val="single"/>
              </w:rPr>
              <w:t xml:space="preserve"> </w:t>
            </w:r>
            <w:r>
              <w:rPr>
                <w:u w:val="single"/>
              </w:rPr>
              <w:t>procedures</w:t>
            </w:r>
            <w:r>
              <w:rPr>
                <w:spacing w:val="-7"/>
                <w:u w:val="single"/>
              </w:rPr>
              <w:t xml:space="preserve"> </w:t>
            </w:r>
            <w:r>
              <w:rPr>
                <w:u w:val="single"/>
              </w:rPr>
              <w:t>are</w:t>
            </w:r>
            <w:r>
              <w:rPr>
                <w:spacing w:val="-6"/>
                <w:u w:val="single"/>
              </w:rPr>
              <w:t xml:space="preserve"> </w:t>
            </w:r>
            <w:r>
              <w:rPr>
                <w:u w:val="single"/>
              </w:rPr>
              <w:t>done</w:t>
            </w:r>
            <w:r>
              <w:rPr>
                <w:spacing w:val="-6"/>
                <w:u w:val="single"/>
              </w:rPr>
              <w:t xml:space="preserve"> </w:t>
            </w:r>
            <w:r>
              <w:rPr>
                <w:u w:val="single"/>
              </w:rPr>
              <w:t>only</w:t>
            </w:r>
            <w:r>
              <w:rPr>
                <w:spacing w:val="-6"/>
                <w:u w:val="single"/>
              </w:rPr>
              <w:t xml:space="preserve"> </w:t>
            </w:r>
            <w:r>
              <w:rPr>
                <w:u w:val="single"/>
              </w:rPr>
              <w:t>at</w:t>
            </w:r>
            <w:r>
              <w:rPr>
                <w:spacing w:val="-6"/>
                <w:u w:val="single"/>
              </w:rPr>
              <w:t xml:space="preserve"> </w:t>
            </w:r>
            <w:r>
              <w:rPr>
                <w:u w:val="single"/>
              </w:rPr>
              <w:t>year-</w:t>
            </w:r>
            <w:r>
              <w:rPr>
                <w:spacing w:val="-5"/>
                <w:u w:val="single"/>
              </w:rPr>
              <w:t>end</w:t>
            </w:r>
          </w:p>
        </w:tc>
        <w:tc>
          <w:tcPr>
            <w:tcW w:w="1144" w:type="dxa"/>
            <w:vMerge w:val="restart"/>
            <w:tcBorders>
              <w:top w:val="single" w:sz="4" w:space="0" w:color="000000"/>
              <w:left w:val="single" w:sz="4" w:space="0" w:color="000000"/>
              <w:bottom w:val="single" w:sz="4" w:space="0" w:color="000000"/>
              <w:right w:val="single" w:sz="4" w:space="0" w:color="000000"/>
            </w:tcBorders>
          </w:tcPr>
          <w:p w14:paraId="0DFDC0F1" w14:textId="77777777" w:rsidR="00046465" w:rsidRDefault="00046465">
            <w:pPr>
              <w:pStyle w:val="TableParagraph"/>
              <w:rPr>
                <w:rFonts w:ascii="Times New Roman"/>
                <w:sz w:val="20"/>
              </w:rPr>
            </w:pPr>
          </w:p>
        </w:tc>
        <w:tc>
          <w:tcPr>
            <w:tcW w:w="1229" w:type="dxa"/>
            <w:vMerge w:val="restart"/>
            <w:tcBorders>
              <w:top w:val="single" w:sz="4" w:space="0" w:color="000000"/>
              <w:left w:val="single" w:sz="4" w:space="0" w:color="000000"/>
              <w:bottom w:val="single" w:sz="4" w:space="0" w:color="000000"/>
            </w:tcBorders>
          </w:tcPr>
          <w:p w14:paraId="0DFDC0F2" w14:textId="77777777" w:rsidR="00046465" w:rsidRDefault="00046465">
            <w:pPr>
              <w:pStyle w:val="TableParagraph"/>
              <w:rPr>
                <w:rFonts w:ascii="Times New Roman"/>
                <w:sz w:val="20"/>
              </w:rPr>
            </w:pPr>
          </w:p>
        </w:tc>
      </w:tr>
      <w:tr w:rsidR="00046465" w14:paraId="0DFDC0F7" w14:textId="77777777">
        <w:trPr>
          <w:trHeight w:val="1376"/>
        </w:trPr>
        <w:tc>
          <w:tcPr>
            <w:tcW w:w="6696" w:type="dxa"/>
            <w:tcBorders>
              <w:top w:val="nil"/>
              <w:bottom w:val="single" w:sz="4" w:space="0" w:color="000000"/>
              <w:right w:val="single" w:sz="4" w:space="0" w:color="000000"/>
            </w:tcBorders>
          </w:tcPr>
          <w:p w14:paraId="0DFDC0F4" w14:textId="77777777" w:rsidR="00046465" w:rsidRDefault="008134EB">
            <w:pPr>
              <w:pStyle w:val="TableParagraph"/>
              <w:tabs>
                <w:tab w:val="left" w:pos="1244"/>
              </w:tabs>
              <w:spacing w:before="50"/>
              <w:ind w:left="1244" w:right="406" w:hanging="397"/>
            </w:pPr>
            <w:r>
              <w:rPr>
                <w:spacing w:val="-6"/>
              </w:rPr>
              <w:t>e)</w:t>
            </w:r>
            <w:r>
              <w:tab/>
              <w:t>If</w:t>
            </w:r>
            <w:r>
              <w:rPr>
                <w:spacing w:val="-4"/>
              </w:rPr>
              <w:t xml:space="preserve"> </w:t>
            </w:r>
            <w:r>
              <w:t>misstatements</w:t>
            </w:r>
            <w:r>
              <w:rPr>
                <w:spacing w:val="-4"/>
              </w:rPr>
              <w:t xml:space="preserve"> </w:t>
            </w:r>
            <w:r>
              <w:t>are</w:t>
            </w:r>
            <w:r>
              <w:rPr>
                <w:spacing w:val="-4"/>
              </w:rPr>
              <w:t xml:space="preserve"> </w:t>
            </w:r>
            <w:r>
              <w:t>found</w:t>
            </w:r>
            <w:r>
              <w:rPr>
                <w:spacing w:val="-4"/>
              </w:rPr>
              <w:t xml:space="preserve"> </w:t>
            </w:r>
            <w:r>
              <w:t>(per</w:t>
            </w:r>
            <w:r>
              <w:rPr>
                <w:spacing w:val="-4"/>
              </w:rPr>
              <w:t xml:space="preserve"> </w:t>
            </w:r>
            <w:r>
              <w:t>above</w:t>
            </w:r>
            <w:r>
              <w:rPr>
                <w:spacing w:val="-4"/>
              </w:rPr>
              <w:t xml:space="preserve"> </w:t>
            </w:r>
            <w:r>
              <w:t>procedures), evaluate</w:t>
            </w:r>
            <w:r>
              <w:rPr>
                <w:spacing w:val="-6"/>
              </w:rPr>
              <w:t xml:space="preserve"> </w:t>
            </w:r>
            <w:r>
              <w:t>the</w:t>
            </w:r>
            <w:r>
              <w:rPr>
                <w:spacing w:val="-7"/>
              </w:rPr>
              <w:t xml:space="preserve"> </w:t>
            </w:r>
            <w:r>
              <w:t>effects</w:t>
            </w:r>
            <w:r>
              <w:rPr>
                <w:spacing w:val="-5"/>
              </w:rPr>
              <w:t xml:space="preserve"> </w:t>
            </w:r>
            <w:r>
              <w:t>on</w:t>
            </w:r>
            <w:r>
              <w:rPr>
                <w:spacing w:val="-6"/>
              </w:rPr>
              <w:t xml:space="preserve"> </w:t>
            </w:r>
            <w:r>
              <w:t>the</w:t>
            </w:r>
            <w:r>
              <w:rPr>
                <w:spacing w:val="-6"/>
              </w:rPr>
              <w:t xml:space="preserve"> </w:t>
            </w:r>
            <w:r>
              <w:t>financial</w:t>
            </w:r>
            <w:r>
              <w:rPr>
                <w:spacing w:val="-7"/>
              </w:rPr>
              <w:t xml:space="preserve"> </w:t>
            </w:r>
            <w:r>
              <w:t>statements</w:t>
            </w:r>
            <w:r>
              <w:rPr>
                <w:spacing w:val="-5"/>
              </w:rPr>
              <w:t xml:space="preserve"> </w:t>
            </w:r>
            <w:r>
              <w:t>and auditor’s reports in accordance with FAM 540 and accumulate</w:t>
            </w:r>
            <w:r>
              <w:rPr>
                <w:spacing w:val="-8"/>
              </w:rPr>
              <w:t xml:space="preserve"> </w:t>
            </w:r>
            <w:r>
              <w:t>misstatements</w:t>
            </w:r>
            <w:r>
              <w:rPr>
                <w:spacing w:val="-7"/>
              </w:rPr>
              <w:t xml:space="preserve"> </w:t>
            </w:r>
            <w:r>
              <w:t>in</w:t>
            </w:r>
            <w:r>
              <w:rPr>
                <w:spacing w:val="-7"/>
              </w:rPr>
              <w:t xml:space="preserve"> </w:t>
            </w:r>
            <w:r>
              <w:t>accordance</w:t>
            </w:r>
            <w:r>
              <w:rPr>
                <w:spacing w:val="-7"/>
              </w:rPr>
              <w:t xml:space="preserve"> </w:t>
            </w:r>
            <w:r>
              <w:t>with</w:t>
            </w:r>
            <w:r>
              <w:rPr>
                <w:spacing w:val="-8"/>
              </w:rPr>
              <w:t xml:space="preserve"> </w:t>
            </w:r>
            <w:r>
              <w:t>FAM 595 C. This is also noted at the end of phase III.</w:t>
            </w:r>
          </w:p>
        </w:tc>
        <w:tc>
          <w:tcPr>
            <w:tcW w:w="1144" w:type="dxa"/>
            <w:vMerge/>
            <w:tcBorders>
              <w:top w:val="nil"/>
              <w:left w:val="single" w:sz="4" w:space="0" w:color="000000"/>
              <w:bottom w:val="single" w:sz="4" w:space="0" w:color="000000"/>
              <w:right w:val="single" w:sz="4" w:space="0" w:color="000000"/>
            </w:tcBorders>
          </w:tcPr>
          <w:p w14:paraId="0DFDC0F5" w14:textId="77777777" w:rsidR="00046465" w:rsidRDefault="00046465">
            <w:pPr>
              <w:rPr>
                <w:sz w:val="2"/>
                <w:szCs w:val="2"/>
              </w:rPr>
            </w:pPr>
          </w:p>
        </w:tc>
        <w:tc>
          <w:tcPr>
            <w:tcW w:w="1229" w:type="dxa"/>
            <w:vMerge/>
            <w:tcBorders>
              <w:top w:val="nil"/>
              <w:left w:val="single" w:sz="4" w:space="0" w:color="000000"/>
              <w:bottom w:val="single" w:sz="4" w:space="0" w:color="000000"/>
            </w:tcBorders>
          </w:tcPr>
          <w:p w14:paraId="0DFDC0F6" w14:textId="77777777" w:rsidR="00046465" w:rsidRDefault="00046465">
            <w:pPr>
              <w:rPr>
                <w:sz w:val="2"/>
                <w:szCs w:val="2"/>
              </w:rPr>
            </w:pPr>
          </w:p>
        </w:tc>
      </w:tr>
      <w:tr w:rsidR="00046465" w14:paraId="0DFDC0FE" w14:textId="77777777">
        <w:trPr>
          <w:trHeight w:val="5286"/>
        </w:trPr>
        <w:tc>
          <w:tcPr>
            <w:tcW w:w="6696" w:type="dxa"/>
            <w:tcBorders>
              <w:top w:val="single" w:sz="4" w:space="0" w:color="000000"/>
              <w:bottom w:val="single" w:sz="4" w:space="0" w:color="000000"/>
              <w:right w:val="single" w:sz="4" w:space="0" w:color="000000"/>
            </w:tcBorders>
          </w:tcPr>
          <w:p w14:paraId="0DFDC0F8" w14:textId="77777777" w:rsidR="00046465" w:rsidRDefault="008134EB">
            <w:pPr>
              <w:pStyle w:val="TableParagraph"/>
              <w:numPr>
                <w:ilvl w:val="0"/>
                <w:numId w:val="129"/>
              </w:numPr>
              <w:tabs>
                <w:tab w:val="left" w:pos="1244"/>
              </w:tabs>
              <w:ind w:right="261"/>
              <w:jc w:val="both"/>
            </w:pPr>
            <w:r>
              <w:t>Determine</w:t>
            </w:r>
            <w:r>
              <w:rPr>
                <w:spacing w:val="-4"/>
              </w:rPr>
              <w:t xml:space="preserve"> </w:t>
            </w:r>
            <w:r>
              <w:t>if</w:t>
            </w:r>
            <w:r>
              <w:rPr>
                <w:spacing w:val="-4"/>
              </w:rPr>
              <w:t xml:space="preserve"> </w:t>
            </w:r>
            <w:r>
              <w:t>there</w:t>
            </w:r>
            <w:r>
              <w:rPr>
                <w:spacing w:val="-4"/>
              </w:rPr>
              <w:t xml:space="preserve"> </w:t>
            </w:r>
            <w:r>
              <w:t>are</w:t>
            </w:r>
            <w:r>
              <w:rPr>
                <w:spacing w:val="-4"/>
              </w:rPr>
              <w:t xml:space="preserve"> </w:t>
            </w:r>
            <w:r>
              <w:t>unrecorded</w:t>
            </w:r>
            <w:r>
              <w:rPr>
                <w:spacing w:val="-4"/>
              </w:rPr>
              <w:t xml:space="preserve"> </w:t>
            </w:r>
            <w:r>
              <w:t>transactions</w:t>
            </w:r>
            <w:r>
              <w:rPr>
                <w:spacing w:val="-5"/>
              </w:rPr>
              <w:t xml:space="preserve"> </w:t>
            </w:r>
            <w:r>
              <w:t>and</w:t>
            </w:r>
            <w:r>
              <w:rPr>
                <w:spacing w:val="-4"/>
              </w:rPr>
              <w:t xml:space="preserve"> </w:t>
            </w:r>
            <w:r>
              <w:t>if the</w:t>
            </w:r>
            <w:r>
              <w:rPr>
                <w:spacing w:val="-5"/>
              </w:rPr>
              <w:t xml:space="preserve"> </w:t>
            </w:r>
            <w:r>
              <w:t>transactions</w:t>
            </w:r>
            <w:r>
              <w:rPr>
                <w:spacing w:val="-5"/>
              </w:rPr>
              <w:t xml:space="preserve"> </w:t>
            </w:r>
            <w:r>
              <w:t>are</w:t>
            </w:r>
            <w:r>
              <w:rPr>
                <w:spacing w:val="-5"/>
              </w:rPr>
              <w:t xml:space="preserve"> </w:t>
            </w:r>
            <w:r>
              <w:t>recorded</w:t>
            </w:r>
            <w:r>
              <w:rPr>
                <w:spacing w:val="-5"/>
              </w:rPr>
              <w:t xml:space="preserve"> </w:t>
            </w:r>
            <w:r>
              <w:t>in</w:t>
            </w:r>
            <w:r>
              <w:rPr>
                <w:spacing w:val="-5"/>
              </w:rPr>
              <w:t xml:space="preserve"> </w:t>
            </w:r>
            <w:r>
              <w:t>the</w:t>
            </w:r>
            <w:r>
              <w:rPr>
                <w:spacing w:val="-5"/>
              </w:rPr>
              <w:t xml:space="preserve"> </w:t>
            </w:r>
            <w:r>
              <w:t>correct</w:t>
            </w:r>
            <w:r>
              <w:rPr>
                <w:spacing w:val="-5"/>
              </w:rPr>
              <w:t xml:space="preserve"> </w:t>
            </w:r>
            <w:r>
              <w:t>period</w:t>
            </w:r>
            <w:r>
              <w:rPr>
                <w:spacing w:val="-5"/>
              </w:rPr>
              <w:t xml:space="preserve"> </w:t>
            </w:r>
            <w:r>
              <w:t>by doing the following:</w:t>
            </w:r>
          </w:p>
          <w:p w14:paraId="0DFDC0F9" w14:textId="77777777" w:rsidR="00046465" w:rsidRDefault="008134EB">
            <w:pPr>
              <w:pStyle w:val="TableParagraph"/>
              <w:numPr>
                <w:ilvl w:val="1"/>
                <w:numId w:val="129"/>
              </w:numPr>
              <w:tabs>
                <w:tab w:val="left" w:pos="1616"/>
                <w:tab w:val="left" w:pos="1618"/>
              </w:tabs>
              <w:spacing w:before="119"/>
              <w:ind w:right="169"/>
            </w:pPr>
            <w:r>
              <w:t>Coordinating</w:t>
            </w:r>
            <w:r>
              <w:rPr>
                <w:spacing w:val="-5"/>
              </w:rPr>
              <w:t xml:space="preserve"> </w:t>
            </w:r>
            <w:r>
              <w:t>with</w:t>
            </w:r>
            <w:r>
              <w:rPr>
                <w:spacing w:val="-5"/>
              </w:rPr>
              <w:t xml:space="preserve"> </w:t>
            </w:r>
            <w:r>
              <w:t>the</w:t>
            </w:r>
            <w:r>
              <w:rPr>
                <w:spacing w:val="-5"/>
              </w:rPr>
              <w:t xml:space="preserve"> </w:t>
            </w:r>
            <w:r>
              <w:t>FBWT</w:t>
            </w:r>
            <w:r>
              <w:rPr>
                <w:spacing w:val="-5"/>
              </w:rPr>
              <w:t xml:space="preserve"> </w:t>
            </w:r>
            <w:r>
              <w:t>portion</w:t>
            </w:r>
            <w:r>
              <w:rPr>
                <w:spacing w:val="-5"/>
              </w:rPr>
              <w:t xml:space="preserve"> </w:t>
            </w:r>
            <w:r>
              <w:t>of</w:t>
            </w:r>
            <w:r>
              <w:rPr>
                <w:spacing w:val="-5"/>
              </w:rPr>
              <w:t xml:space="preserve"> </w:t>
            </w:r>
            <w:r>
              <w:t>the</w:t>
            </w:r>
            <w:r>
              <w:rPr>
                <w:spacing w:val="-5"/>
              </w:rPr>
              <w:t xml:space="preserve"> </w:t>
            </w:r>
            <w:r>
              <w:t>audit</w:t>
            </w:r>
            <w:r>
              <w:rPr>
                <w:spacing w:val="-6"/>
              </w:rPr>
              <w:t xml:space="preserve"> </w:t>
            </w:r>
            <w:r>
              <w:t>to review results of the FBWT reconciliation tests.</w:t>
            </w:r>
          </w:p>
          <w:p w14:paraId="0DFDC0FA" w14:textId="77777777" w:rsidR="00046465" w:rsidRDefault="008134EB">
            <w:pPr>
              <w:pStyle w:val="TableParagraph"/>
              <w:numPr>
                <w:ilvl w:val="1"/>
                <w:numId w:val="129"/>
              </w:numPr>
              <w:tabs>
                <w:tab w:val="left" w:pos="1615"/>
                <w:tab w:val="left" w:pos="1618"/>
              </w:tabs>
              <w:spacing w:before="120"/>
              <w:ind w:right="120" w:hanging="340"/>
            </w:pPr>
            <w:r>
              <w:t>Searching for unrecorded revenue, accounts receivable, purchases, and accounts payable. For example, select invoices XX days after year-end and trace to shipping records (or evidence of service performance). Determine whether the revenue</w:t>
            </w:r>
            <w:r>
              <w:rPr>
                <w:spacing w:val="-7"/>
              </w:rPr>
              <w:t xml:space="preserve"> </w:t>
            </w:r>
            <w:r>
              <w:t>and</w:t>
            </w:r>
            <w:r>
              <w:rPr>
                <w:spacing w:val="-8"/>
              </w:rPr>
              <w:t xml:space="preserve"> </w:t>
            </w:r>
            <w:r>
              <w:t>accounts</w:t>
            </w:r>
            <w:r>
              <w:rPr>
                <w:spacing w:val="-7"/>
              </w:rPr>
              <w:t xml:space="preserve"> </w:t>
            </w:r>
            <w:r>
              <w:t>receivable</w:t>
            </w:r>
            <w:r>
              <w:rPr>
                <w:spacing w:val="-7"/>
              </w:rPr>
              <w:t xml:space="preserve"> </w:t>
            </w:r>
            <w:r>
              <w:t>were</w:t>
            </w:r>
            <w:r>
              <w:rPr>
                <w:spacing w:val="-7"/>
              </w:rPr>
              <w:t xml:space="preserve"> </w:t>
            </w:r>
            <w:r>
              <w:t>recorded</w:t>
            </w:r>
            <w:r>
              <w:rPr>
                <w:spacing w:val="-7"/>
              </w:rPr>
              <w:t xml:space="preserve"> </w:t>
            </w:r>
            <w:r>
              <w:t>in the correct period. Alternatively, select invoices from shipping records to trading partners prior to year-end and trace to invoices.</w:t>
            </w:r>
          </w:p>
          <w:p w14:paraId="0DFDC0FB" w14:textId="77777777" w:rsidR="00046465" w:rsidRDefault="008134EB">
            <w:pPr>
              <w:pStyle w:val="TableParagraph"/>
              <w:spacing w:before="120"/>
              <w:ind w:left="1618" w:right="194"/>
            </w:pPr>
            <w:r>
              <w:t>Also, to test the completeness of amounts recorded as accounts payable at the balance sheet</w:t>
            </w:r>
            <w:r>
              <w:rPr>
                <w:spacing w:val="-6"/>
              </w:rPr>
              <w:t xml:space="preserve"> </w:t>
            </w:r>
            <w:r>
              <w:t>date,</w:t>
            </w:r>
            <w:r>
              <w:rPr>
                <w:spacing w:val="-7"/>
              </w:rPr>
              <w:t xml:space="preserve"> </w:t>
            </w:r>
            <w:r>
              <w:t>select</w:t>
            </w:r>
            <w:r>
              <w:rPr>
                <w:spacing w:val="-6"/>
              </w:rPr>
              <w:t xml:space="preserve"> </w:t>
            </w:r>
            <w:r>
              <w:t>disbursements</w:t>
            </w:r>
            <w:r>
              <w:rPr>
                <w:spacing w:val="-6"/>
              </w:rPr>
              <w:t xml:space="preserve"> </w:t>
            </w:r>
            <w:r>
              <w:t>after</w:t>
            </w:r>
            <w:r>
              <w:rPr>
                <w:spacing w:val="-6"/>
              </w:rPr>
              <w:t xml:space="preserve"> </w:t>
            </w:r>
            <w:r>
              <w:t>the</w:t>
            </w:r>
            <w:r>
              <w:rPr>
                <w:spacing w:val="-6"/>
              </w:rPr>
              <w:t xml:space="preserve"> </w:t>
            </w:r>
            <w:r>
              <w:t>end</w:t>
            </w:r>
            <w:r>
              <w:rPr>
                <w:spacing w:val="-6"/>
              </w:rPr>
              <w:t xml:space="preserve"> </w:t>
            </w:r>
            <w:r>
              <w:t>of the audit period and test whether the amounts were recorded in payables.</w:t>
            </w:r>
          </w:p>
        </w:tc>
        <w:tc>
          <w:tcPr>
            <w:tcW w:w="1144" w:type="dxa"/>
            <w:tcBorders>
              <w:top w:val="single" w:sz="4" w:space="0" w:color="000000"/>
              <w:left w:val="single" w:sz="4" w:space="0" w:color="000000"/>
              <w:bottom w:val="single" w:sz="4" w:space="0" w:color="000000"/>
              <w:right w:val="single" w:sz="4" w:space="0" w:color="000000"/>
            </w:tcBorders>
          </w:tcPr>
          <w:p w14:paraId="0DFDC0FC"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0FD" w14:textId="77777777" w:rsidR="00046465" w:rsidRDefault="00046465">
            <w:pPr>
              <w:pStyle w:val="TableParagraph"/>
              <w:rPr>
                <w:rFonts w:ascii="Times New Roman"/>
                <w:sz w:val="20"/>
              </w:rPr>
            </w:pPr>
          </w:p>
        </w:tc>
      </w:tr>
    </w:tbl>
    <w:p w14:paraId="0DFDC0FF" w14:textId="77777777" w:rsidR="00046465" w:rsidRDefault="00046465">
      <w:pPr>
        <w:pStyle w:val="TableParagraph"/>
        <w:rPr>
          <w:rFonts w:ascii="Times New Roman"/>
          <w:sz w:val="20"/>
        </w:rPr>
        <w:sectPr w:rsidR="00046465">
          <w:pgSz w:w="12240" w:h="15840"/>
          <w:pgMar w:top="1340" w:right="720" w:bottom="940" w:left="1080" w:header="721" w:footer="757" w:gutter="0"/>
          <w:cols w:space="720"/>
        </w:sectPr>
      </w:pPr>
    </w:p>
    <w:p w14:paraId="0DFDC100" w14:textId="77777777" w:rsidR="00046465" w:rsidRDefault="00046465">
      <w:pPr>
        <w:pStyle w:val="BodyText"/>
        <w:spacing w:before="9"/>
        <w:rPr>
          <w:sz w:val="11"/>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C104" w14:textId="77777777">
        <w:trPr>
          <w:trHeight w:val="625"/>
        </w:trPr>
        <w:tc>
          <w:tcPr>
            <w:tcW w:w="6696" w:type="dxa"/>
            <w:tcBorders>
              <w:right w:val="single" w:sz="4" w:space="0" w:color="000000"/>
            </w:tcBorders>
          </w:tcPr>
          <w:p w14:paraId="0DFDC101"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C102"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C103"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C109" w14:textId="77777777">
        <w:trPr>
          <w:trHeight w:val="3184"/>
        </w:trPr>
        <w:tc>
          <w:tcPr>
            <w:tcW w:w="9069" w:type="dxa"/>
            <w:gridSpan w:val="3"/>
            <w:tcBorders>
              <w:bottom w:val="nil"/>
            </w:tcBorders>
          </w:tcPr>
          <w:p w14:paraId="0DFDC105" w14:textId="77777777" w:rsidR="00046465" w:rsidRDefault="008134EB">
            <w:pPr>
              <w:pStyle w:val="TableParagraph"/>
              <w:tabs>
                <w:tab w:val="left" w:pos="1388"/>
              </w:tabs>
              <w:spacing w:before="25"/>
              <w:ind w:left="1388" w:right="163" w:hanging="1296"/>
              <w:rPr>
                <w:b/>
                <w:i/>
              </w:rPr>
            </w:pPr>
            <w:r>
              <w:rPr>
                <w:b/>
                <w:i/>
              </w:rPr>
              <w:t>Phase II:</w:t>
            </w:r>
            <w:r>
              <w:rPr>
                <w:b/>
                <w:i/>
              </w:rPr>
              <w:tab/>
              <w:t>Reconciling</w:t>
            </w:r>
            <w:r>
              <w:rPr>
                <w:b/>
                <w:i/>
                <w:spacing w:val="-6"/>
              </w:rPr>
              <w:t xml:space="preserve"> </w:t>
            </w:r>
            <w:r>
              <w:rPr>
                <w:b/>
                <w:i/>
              </w:rPr>
              <w:t>entity’s</w:t>
            </w:r>
            <w:r>
              <w:rPr>
                <w:b/>
                <w:i/>
                <w:spacing w:val="-6"/>
              </w:rPr>
              <w:t xml:space="preserve"> </w:t>
            </w:r>
            <w:r>
              <w:rPr>
                <w:b/>
                <w:i/>
              </w:rPr>
              <w:t>records</w:t>
            </w:r>
            <w:r>
              <w:rPr>
                <w:b/>
                <w:i/>
                <w:spacing w:val="-6"/>
              </w:rPr>
              <w:t xml:space="preserve"> </w:t>
            </w:r>
            <w:r>
              <w:rPr>
                <w:b/>
                <w:i/>
              </w:rPr>
              <w:t>of</w:t>
            </w:r>
            <w:r>
              <w:rPr>
                <w:b/>
                <w:i/>
                <w:spacing w:val="-6"/>
              </w:rPr>
              <w:t xml:space="preserve"> </w:t>
            </w:r>
            <w:r>
              <w:rPr>
                <w:b/>
                <w:i/>
              </w:rPr>
              <w:t>intragovernmental</w:t>
            </w:r>
            <w:r>
              <w:rPr>
                <w:b/>
                <w:i/>
                <w:spacing w:val="-6"/>
              </w:rPr>
              <w:t xml:space="preserve"> </w:t>
            </w:r>
            <w:r>
              <w:rPr>
                <w:b/>
                <w:i/>
              </w:rPr>
              <w:t>activity</w:t>
            </w:r>
            <w:r>
              <w:rPr>
                <w:b/>
                <w:i/>
                <w:spacing w:val="-6"/>
              </w:rPr>
              <w:t xml:space="preserve"> </w:t>
            </w:r>
            <w:r>
              <w:rPr>
                <w:b/>
                <w:i/>
              </w:rPr>
              <w:t>and</w:t>
            </w:r>
            <w:r>
              <w:rPr>
                <w:b/>
                <w:i/>
                <w:spacing w:val="-6"/>
              </w:rPr>
              <w:t xml:space="preserve"> </w:t>
            </w:r>
            <w:r>
              <w:rPr>
                <w:b/>
                <w:i/>
              </w:rPr>
              <w:t>balances to those reported by trading partners and resolving intragovernmental differences (i.e., making adjustments so that differences no longer exist) after appropriately researching the difference, and/or completing corrective actions that fixed the cause of the difference, or after Treasury issued a decision as part of its dispute resolution process.</w:t>
            </w:r>
          </w:p>
          <w:p w14:paraId="0DFDC106" w14:textId="77777777" w:rsidR="00046465" w:rsidRDefault="008134EB">
            <w:pPr>
              <w:pStyle w:val="TableParagraph"/>
              <w:ind w:left="1388"/>
              <w:rPr>
                <w:b/>
                <w:i/>
              </w:rPr>
            </w:pPr>
            <w:r>
              <w:rPr>
                <w:b/>
                <w:i/>
              </w:rPr>
              <w:t>Entities</w:t>
            </w:r>
            <w:r>
              <w:rPr>
                <w:b/>
                <w:i/>
                <w:spacing w:val="-9"/>
              </w:rPr>
              <w:t xml:space="preserve"> </w:t>
            </w:r>
            <w:r>
              <w:rPr>
                <w:b/>
                <w:i/>
                <w:spacing w:val="-2"/>
              </w:rPr>
              <w:t>should:</w:t>
            </w:r>
          </w:p>
          <w:p w14:paraId="0DFDC107" w14:textId="77777777" w:rsidR="00046465" w:rsidRDefault="008134EB">
            <w:pPr>
              <w:pStyle w:val="TableParagraph"/>
              <w:numPr>
                <w:ilvl w:val="0"/>
                <w:numId w:val="128"/>
              </w:numPr>
              <w:tabs>
                <w:tab w:val="left" w:pos="1802"/>
              </w:tabs>
              <w:spacing w:before="60"/>
              <w:ind w:right="571"/>
              <w:rPr>
                <w:b/>
                <w:i/>
              </w:rPr>
            </w:pPr>
            <w:r>
              <w:rPr>
                <w:b/>
                <w:i/>
              </w:rPr>
              <w:t>coordinate</w:t>
            </w:r>
            <w:r>
              <w:rPr>
                <w:b/>
                <w:i/>
                <w:spacing w:val="-7"/>
              </w:rPr>
              <w:t xml:space="preserve"> </w:t>
            </w:r>
            <w:r>
              <w:rPr>
                <w:b/>
                <w:i/>
              </w:rPr>
              <w:t>with</w:t>
            </w:r>
            <w:r>
              <w:rPr>
                <w:b/>
                <w:i/>
                <w:spacing w:val="-7"/>
              </w:rPr>
              <w:t xml:space="preserve"> </w:t>
            </w:r>
            <w:r>
              <w:rPr>
                <w:b/>
                <w:i/>
              </w:rPr>
              <w:t>trading</w:t>
            </w:r>
            <w:r>
              <w:rPr>
                <w:b/>
                <w:i/>
                <w:spacing w:val="-7"/>
              </w:rPr>
              <w:t xml:space="preserve"> </w:t>
            </w:r>
            <w:r>
              <w:rPr>
                <w:b/>
                <w:i/>
              </w:rPr>
              <w:t>partners</w:t>
            </w:r>
            <w:r>
              <w:rPr>
                <w:b/>
                <w:i/>
                <w:spacing w:val="-7"/>
              </w:rPr>
              <w:t xml:space="preserve"> </w:t>
            </w:r>
            <w:r>
              <w:rPr>
                <w:b/>
                <w:i/>
              </w:rPr>
              <w:t>to</w:t>
            </w:r>
            <w:r>
              <w:rPr>
                <w:b/>
                <w:i/>
                <w:spacing w:val="-7"/>
              </w:rPr>
              <w:t xml:space="preserve"> </w:t>
            </w:r>
            <w:r>
              <w:rPr>
                <w:b/>
                <w:i/>
              </w:rPr>
              <w:t>reconcile</w:t>
            </w:r>
            <w:r>
              <w:rPr>
                <w:b/>
                <w:i/>
                <w:spacing w:val="-7"/>
              </w:rPr>
              <w:t xml:space="preserve"> </w:t>
            </w:r>
            <w:r>
              <w:rPr>
                <w:b/>
                <w:i/>
              </w:rPr>
              <w:t>intragovernmental activity and balances and</w:t>
            </w:r>
          </w:p>
          <w:p w14:paraId="0DFDC108" w14:textId="77777777" w:rsidR="00046465" w:rsidRDefault="008134EB">
            <w:pPr>
              <w:pStyle w:val="TableParagraph"/>
              <w:numPr>
                <w:ilvl w:val="0"/>
                <w:numId w:val="128"/>
              </w:numPr>
              <w:tabs>
                <w:tab w:val="left" w:pos="1802"/>
              </w:tabs>
              <w:ind w:right="128"/>
              <w:rPr>
                <w:b/>
                <w:i/>
              </w:rPr>
            </w:pPr>
            <w:r>
              <w:rPr>
                <w:b/>
                <w:i/>
              </w:rPr>
              <w:t>resolve</w:t>
            </w:r>
            <w:r>
              <w:rPr>
                <w:b/>
                <w:i/>
                <w:spacing w:val="-4"/>
              </w:rPr>
              <w:t xml:space="preserve"> </w:t>
            </w:r>
            <w:r>
              <w:rPr>
                <w:b/>
                <w:i/>
              </w:rPr>
              <w:t>differences</w:t>
            </w:r>
            <w:r>
              <w:rPr>
                <w:b/>
                <w:i/>
                <w:spacing w:val="-5"/>
              </w:rPr>
              <w:t xml:space="preserve"> </w:t>
            </w:r>
            <w:r>
              <w:rPr>
                <w:b/>
                <w:i/>
              </w:rPr>
              <w:t>by</w:t>
            </w:r>
            <w:r>
              <w:rPr>
                <w:b/>
                <w:i/>
                <w:spacing w:val="-4"/>
              </w:rPr>
              <w:t xml:space="preserve"> </w:t>
            </w:r>
            <w:r>
              <w:rPr>
                <w:b/>
                <w:i/>
              </w:rPr>
              <w:t>either</w:t>
            </w:r>
            <w:r>
              <w:rPr>
                <w:b/>
                <w:i/>
                <w:spacing w:val="-5"/>
              </w:rPr>
              <w:t xml:space="preserve"> </w:t>
            </w:r>
            <w:r>
              <w:rPr>
                <w:b/>
                <w:i/>
              </w:rPr>
              <w:t>recording</w:t>
            </w:r>
            <w:r>
              <w:rPr>
                <w:b/>
                <w:i/>
                <w:spacing w:val="-4"/>
              </w:rPr>
              <w:t xml:space="preserve"> </w:t>
            </w:r>
            <w:r>
              <w:rPr>
                <w:b/>
                <w:i/>
              </w:rPr>
              <w:t>an</w:t>
            </w:r>
            <w:r>
              <w:rPr>
                <w:b/>
                <w:i/>
                <w:spacing w:val="-5"/>
              </w:rPr>
              <w:t xml:space="preserve"> </w:t>
            </w:r>
            <w:r>
              <w:rPr>
                <w:b/>
                <w:i/>
              </w:rPr>
              <w:t>adjustment</w:t>
            </w:r>
            <w:r>
              <w:rPr>
                <w:b/>
                <w:i/>
                <w:spacing w:val="-4"/>
              </w:rPr>
              <w:t xml:space="preserve"> </w:t>
            </w:r>
            <w:r>
              <w:rPr>
                <w:b/>
                <w:i/>
              </w:rPr>
              <w:t>in</w:t>
            </w:r>
            <w:r>
              <w:rPr>
                <w:b/>
                <w:i/>
                <w:spacing w:val="-5"/>
              </w:rPr>
              <w:t xml:space="preserve"> </w:t>
            </w:r>
            <w:r>
              <w:rPr>
                <w:b/>
                <w:i/>
              </w:rPr>
              <w:t>the</w:t>
            </w:r>
            <w:r>
              <w:rPr>
                <w:b/>
                <w:i/>
                <w:spacing w:val="-4"/>
              </w:rPr>
              <w:t xml:space="preserve"> </w:t>
            </w:r>
            <w:r>
              <w:rPr>
                <w:b/>
                <w:i/>
              </w:rPr>
              <w:t>entity’s accounting records OR verifying that the trading partner recorded an adjustment in its accounting records.</w:t>
            </w:r>
          </w:p>
        </w:tc>
      </w:tr>
      <w:tr w:rsidR="00046465" w14:paraId="0DFDC10B" w14:textId="77777777">
        <w:trPr>
          <w:trHeight w:val="606"/>
        </w:trPr>
        <w:tc>
          <w:tcPr>
            <w:tcW w:w="9069" w:type="dxa"/>
            <w:gridSpan w:val="3"/>
            <w:tcBorders>
              <w:top w:val="nil"/>
              <w:bottom w:val="single" w:sz="4" w:space="0" w:color="000000"/>
            </w:tcBorders>
          </w:tcPr>
          <w:p w14:paraId="0DFDC10A" w14:textId="77777777" w:rsidR="00046465" w:rsidRDefault="008134EB">
            <w:pPr>
              <w:pStyle w:val="TableParagraph"/>
              <w:spacing w:before="27"/>
              <w:ind w:left="92"/>
              <w:rPr>
                <w:sz w:val="20"/>
              </w:rPr>
            </w:pPr>
            <w:r>
              <w:rPr>
                <w:sz w:val="20"/>
              </w:rPr>
              <w:t>Exhibit</w:t>
            </w:r>
            <w:r>
              <w:rPr>
                <w:spacing w:val="-3"/>
                <w:sz w:val="20"/>
              </w:rPr>
              <w:t xml:space="preserve"> </w:t>
            </w:r>
            <w:r>
              <w:rPr>
                <w:sz w:val="20"/>
              </w:rPr>
              <w:t>I</w:t>
            </w:r>
            <w:r>
              <w:rPr>
                <w:spacing w:val="-3"/>
                <w:sz w:val="20"/>
              </w:rPr>
              <w:t xml:space="preserve"> </w:t>
            </w:r>
            <w:r>
              <w:rPr>
                <w:sz w:val="20"/>
              </w:rPr>
              <w:t>to</w:t>
            </w:r>
            <w:r>
              <w:rPr>
                <w:spacing w:val="-3"/>
                <w:sz w:val="20"/>
              </w:rPr>
              <w:t xml:space="preserve"> </w:t>
            </w:r>
            <w:r>
              <w:rPr>
                <w:sz w:val="20"/>
              </w:rPr>
              <w:t>FAM</w:t>
            </w:r>
            <w:r>
              <w:rPr>
                <w:spacing w:val="-3"/>
                <w:sz w:val="20"/>
              </w:rPr>
              <w:t xml:space="preserve"> </w:t>
            </w:r>
            <w:r>
              <w:rPr>
                <w:sz w:val="20"/>
              </w:rPr>
              <w:t>902</w:t>
            </w:r>
            <w:r>
              <w:rPr>
                <w:spacing w:val="-3"/>
                <w:sz w:val="20"/>
              </w:rPr>
              <w:t xml:space="preserve"> </w:t>
            </w:r>
            <w:r>
              <w:rPr>
                <w:sz w:val="20"/>
              </w:rPr>
              <w:t>A</w:t>
            </w:r>
            <w:r>
              <w:rPr>
                <w:spacing w:val="-3"/>
                <w:sz w:val="20"/>
              </w:rPr>
              <w:t xml:space="preserve"> </w:t>
            </w:r>
            <w:r>
              <w:rPr>
                <w:sz w:val="20"/>
              </w:rPr>
              <w:t>provides</w:t>
            </w:r>
            <w:r>
              <w:rPr>
                <w:spacing w:val="-2"/>
                <w:sz w:val="20"/>
              </w:rPr>
              <w:t xml:space="preserve"> </w:t>
            </w:r>
            <w:r>
              <w:rPr>
                <w:sz w:val="20"/>
              </w:rPr>
              <w:t>an</w:t>
            </w:r>
            <w:r>
              <w:rPr>
                <w:spacing w:val="-3"/>
                <w:sz w:val="20"/>
              </w:rPr>
              <w:t xml:space="preserve"> </w:t>
            </w:r>
            <w:r>
              <w:rPr>
                <w:sz w:val="20"/>
              </w:rPr>
              <w:t>illustration</w:t>
            </w:r>
            <w:r>
              <w:rPr>
                <w:spacing w:val="-3"/>
                <w:sz w:val="20"/>
              </w:rPr>
              <w:t xml:space="preserve"> </w:t>
            </w:r>
            <w:r>
              <w:rPr>
                <w:sz w:val="20"/>
              </w:rPr>
              <w:t>of</w:t>
            </w:r>
            <w:r>
              <w:rPr>
                <w:spacing w:val="-3"/>
                <w:sz w:val="20"/>
              </w:rPr>
              <w:t xml:space="preserve"> </w:t>
            </w:r>
            <w:r>
              <w:rPr>
                <w:sz w:val="20"/>
              </w:rPr>
              <w:t>a</w:t>
            </w:r>
            <w:r>
              <w:rPr>
                <w:spacing w:val="-3"/>
                <w:sz w:val="20"/>
              </w:rPr>
              <w:t xml:space="preserve"> </w:t>
            </w:r>
            <w:r>
              <w:rPr>
                <w:sz w:val="20"/>
              </w:rPr>
              <w:t>tool</w:t>
            </w:r>
            <w:r>
              <w:rPr>
                <w:spacing w:val="-3"/>
                <w:sz w:val="20"/>
              </w:rPr>
              <w:t xml:space="preserve"> </w:t>
            </w:r>
            <w:r>
              <w:rPr>
                <w:sz w:val="20"/>
              </w:rPr>
              <w:t>that</w:t>
            </w:r>
            <w:r>
              <w:rPr>
                <w:spacing w:val="-3"/>
                <w:sz w:val="20"/>
              </w:rPr>
              <w:t xml:space="preserve"> </w:t>
            </w:r>
            <w:r>
              <w:rPr>
                <w:sz w:val="20"/>
              </w:rPr>
              <w:t>may</w:t>
            </w:r>
            <w:r>
              <w:rPr>
                <w:spacing w:val="-2"/>
                <w:sz w:val="20"/>
              </w:rPr>
              <w:t xml:space="preserve"> </w:t>
            </w:r>
            <w:r>
              <w:rPr>
                <w:sz w:val="20"/>
              </w:rPr>
              <w:t>be</w:t>
            </w:r>
            <w:r>
              <w:rPr>
                <w:spacing w:val="-4"/>
                <w:sz w:val="20"/>
              </w:rPr>
              <w:t xml:space="preserve"> </w:t>
            </w:r>
            <w:r>
              <w:rPr>
                <w:sz w:val="20"/>
              </w:rPr>
              <w:t>used</w:t>
            </w:r>
            <w:r>
              <w:rPr>
                <w:spacing w:val="-3"/>
                <w:sz w:val="20"/>
              </w:rPr>
              <w:t xml:space="preserve"> </w:t>
            </w:r>
            <w:r>
              <w:rPr>
                <w:sz w:val="20"/>
              </w:rPr>
              <w:t>to</w:t>
            </w:r>
            <w:r>
              <w:rPr>
                <w:spacing w:val="-3"/>
                <w:sz w:val="20"/>
              </w:rPr>
              <w:t xml:space="preserve"> </w:t>
            </w:r>
            <w:r>
              <w:rPr>
                <w:sz w:val="20"/>
              </w:rPr>
              <w:t>summarize</w:t>
            </w:r>
            <w:r>
              <w:rPr>
                <w:spacing w:val="-3"/>
                <w:sz w:val="20"/>
              </w:rPr>
              <w:t xml:space="preserve"> </w:t>
            </w:r>
            <w:r>
              <w:rPr>
                <w:sz w:val="20"/>
              </w:rPr>
              <w:t>reconciling items and prove amounts between a buyer and a seller entity.</w:t>
            </w:r>
          </w:p>
        </w:tc>
      </w:tr>
      <w:tr w:rsidR="00046465" w14:paraId="0DFDC10F" w14:textId="77777777">
        <w:trPr>
          <w:trHeight w:val="624"/>
        </w:trPr>
        <w:tc>
          <w:tcPr>
            <w:tcW w:w="6696" w:type="dxa"/>
            <w:tcBorders>
              <w:top w:val="single" w:sz="4" w:space="0" w:color="000000"/>
              <w:bottom w:val="nil"/>
              <w:right w:val="single" w:sz="4" w:space="0" w:color="000000"/>
            </w:tcBorders>
          </w:tcPr>
          <w:p w14:paraId="0DFDC10C" w14:textId="77777777" w:rsidR="00046465" w:rsidRDefault="008134EB">
            <w:pPr>
              <w:pStyle w:val="TableParagraph"/>
              <w:spacing w:before="60"/>
              <w:ind w:left="849" w:hanging="451"/>
            </w:pPr>
            <w:r>
              <w:t>2)</w:t>
            </w:r>
            <w:r>
              <w:rPr>
                <w:spacing w:val="80"/>
              </w:rPr>
              <w:t xml:space="preserve"> </w:t>
            </w:r>
            <w:r>
              <w:t>Test</w:t>
            </w:r>
            <w:r>
              <w:rPr>
                <w:spacing w:val="-4"/>
              </w:rPr>
              <w:t xml:space="preserve"> </w:t>
            </w:r>
            <w:r>
              <w:t>relevant</w:t>
            </w:r>
            <w:r>
              <w:rPr>
                <w:spacing w:val="-4"/>
              </w:rPr>
              <w:t xml:space="preserve"> </w:t>
            </w:r>
            <w:r>
              <w:t>control</w:t>
            </w:r>
            <w:r>
              <w:rPr>
                <w:spacing w:val="-4"/>
              </w:rPr>
              <w:t xml:space="preserve"> </w:t>
            </w:r>
            <w:r>
              <w:t>activities</w:t>
            </w:r>
            <w:r>
              <w:rPr>
                <w:spacing w:val="-4"/>
              </w:rPr>
              <w:t xml:space="preserve"> </w:t>
            </w:r>
            <w:r>
              <w:t>in</w:t>
            </w:r>
            <w:r>
              <w:rPr>
                <w:spacing w:val="-4"/>
              </w:rPr>
              <w:t xml:space="preserve"> </w:t>
            </w:r>
            <w:r>
              <w:t>Phase</w:t>
            </w:r>
            <w:r>
              <w:rPr>
                <w:spacing w:val="-4"/>
              </w:rPr>
              <w:t xml:space="preserve"> </w:t>
            </w:r>
            <w:r>
              <w:t>II</w:t>
            </w:r>
            <w:r>
              <w:rPr>
                <w:spacing w:val="-4"/>
              </w:rPr>
              <w:t xml:space="preserve"> </w:t>
            </w:r>
            <w:r>
              <w:t>that</w:t>
            </w:r>
            <w:r>
              <w:rPr>
                <w:spacing w:val="-4"/>
              </w:rPr>
              <w:t xml:space="preserve"> </w:t>
            </w:r>
            <w:r>
              <w:t>have</w:t>
            </w:r>
            <w:r>
              <w:rPr>
                <w:spacing w:val="-4"/>
              </w:rPr>
              <w:t xml:space="preserve"> </w:t>
            </w:r>
            <w:r>
              <w:t xml:space="preserve">been </w:t>
            </w:r>
            <w:r>
              <w:rPr>
                <w:spacing w:val="-2"/>
              </w:rPr>
              <w:t>implemented.</w:t>
            </w:r>
          </w:p>
        </w:tc>
        <w:tc>
          <w:tcPr>
            <w:tcW w:w="1144" w:type="dxa"/>
            <w:vMerge w:val="restart"/>
            <w:tcBorders>
              <w:top w:val="single" w:sz="4" w:space="0" w:color="000000"/>
              <w:left w:val="single" w:sz="4" w:space="0" w:color="000000"/>
              <w:bottom w:val="single" w:sz="4" w:space="0" w:color="000000"/>
              <w:right w:val="single" w:sz="4" w:space="0" w:color="000000"/>
            </w:tcBorders>
          </w:tcPr>
          <w:p w14:paraId="0DFDC10D" w14:textId="77777777" w:rsidR="00046465" w:rsidRDefault="00046465">
            <w:pPr>
              <w:pStyle w:val="TableParagraph"/>
              <w:rPr>
                <w:rFonts w:ascii="Times New Roman"/>
                <w:sz w:val="20"/>
              </w:rPr>
            </w:pPr>
          </w:p>
        </w:tc>
        <w:tc>
          <w:tcPr>
            <w:tcW w:w="1229" w:type="dxa"/>
            <w:vMerge w:val="restart"/>
            <w:tcBorders>
              <w:top w:val="single" w:sz="4" w:space="0" w:color="000000"/>
              <w:left w:val="single" w:sz="4" w:space="0" w:color="000000"/>
              <w:bottom w:val="single" w:sz="4" w:space="0" w:color="000000"/>
            </w:tcBorders>
          </w:tcPr>
          <w:p w14:paraId="0DFDC10E" w14:textId="77777777" w:rsidR="00046465" w:rsidRDefault="00046465">
            <w:pPr>
              <w:pStyle w:val="TableParagraph"/>
              <w:rPr>
                <w:rFonts w:ascii="Times New Roman"/>
                <w:sz w:val="20"/>
              </w:rPr>
            </w:pPr>
          </w:p>
        </w:tc>
      </w:tr>
      <w:tr w:rsidR="00046465" w14:paraId="0DFDC115" w14:textId="77777777">
        <w:trPr>
          <w:trHeight w:val="3193"/>
        </w:trPr>
        <w:tc>
          <w:tcPr>
            <w:tcW w:w="6696" w:type="dxa"/>
            <w:tcBorders>
              <w:top w:val="nil"/>
              <w:bottom w:val="single" w:sz="4" w:space="0" w:color="000000"/>
              <w:right w:val="single" w:sz="4" w:space="0" w:color="000000"/>
            </w:tcBorders>
          </w:tcPr>
          <w:p w14:paraId="0DFDC110" w14:textId="77777777" w:rsidR="00046465" w:rsidRDefault="008134EB">
            <w:pPr>
              <w:pStyle w:val="TableParagraph"/>
              <w:numPr>
                <w:ilvl w:val="0"/>
                <w:numId w:val="127"/>
              </w:numPr>
              <w:tabs>
                <w:tab w:val="left" w:pos="1244"/>
              </w:tabs>
              <w:spacing w:before="51"/>
              <w:ind w:right="285"/>
            </w:pPr>
            <w:r>
              <w:t>Review evidence that the entity identified intragovernmental</w:t>
            </w:r>
            <w:r>
              <w:rPr>
                <w:spacing w:val="-8"/>
              </w:rPr>
              <w:t xml:space="preserve"> </w:t>
            </w:r>
            <w:r>
              <w:t>amounts</w:t>
            </w:r>
            <w:r>
              <w:rPr>
                <w:spacing w:val="-8"/>
              </w:rPr>
              <w:t xml:space="preserve"> </w:t>
            </w:r>
            <w:r>
              <w:t>and</w:t>
            </w:r>
            <w:r>
              <w:rPr>
                <w:spacing w:val="-8"/>
              </w:rPr>
              <w:t xml:space="preserve"> </w:t>
            </w:r>
            <w:r>
              <w:t>then</w:t>
            </w:r>
            <w:r>
              <w:rPr>
                <w:spacing w:val="-8"/>
              </w:rPr>
              <w:t xml:space="preserve"> </w:t>
            </w:r>
            <w:r>
              <w:t>contacted</w:t>
            </w:r>
            <w:r>
              <w:rPr>
                <w:spacing w:val="-9"/>
              </w:rPr>
              <w:t xml:space="preserve"> </w:t>
            </w:r>
            <w:r>
              <w:t xml:space="preserve">each trading partner to reconcile intragovernmental </w:t>
            </w:r>
            <w:r>
              <w:rPr>
                <w:spacing w:val="-2"/>
              </w:rPr>
              <w:t>amounts.</w:t>
            </w:r>
          </w:p>
          <w:p w14:paraId="0DFDC111" w14:textId="77777777" w:rsidR="00046465" w:rsidRDefault="008134EB">
            <w:pPr>
              <w:pStyle w:val="TableParagraph"/>
              <w:numPr>
                <w:ilvl w:val="1"/>
                <w:numId w:val="127"/>
              </w:numPr>
              <w:tabs>
                <w:tab w:val="left" w:pos="1708"/>
              </w:tabs>
              <w:spacing w:before="120"/>
              <w:ind w:right="311"/>
            </w:pPr>
            <w:r>
              <w:t>Determine whether each trading partner was contacted</w:t>
            </w:r>
            <w:r>
              <w:rPr>
                <w:spacing w:val="-10"/>
              </w:rPr>
              <w:t xml:space="preserve"> </w:t>
            </w:r>
            <w:r>
              <w:t>and</w:t>
            </w:r>
            <w:r>
              <w:rPr>
                <w:spacing w:val="-10"/>
              </w:rPr>
              <w:t xml:space="preserve"> </w:t>
            </w:r>
            <w:r>
              <w:t>intragovernmental</w:t>
            </w:r>
            <w:r>
              <w:rPr>
                <w:spacing w:val="-10"/>
              </w:rPr>
              <w:t xml:space="preserve"> </w:t>
            </w:r>
            <w:r>
              <w:t>amounts</w:t>
            </w:r>
            <w:r>
              <w:rPr>
                <w:spacing w:val="-10"/>
              </w:rPr>
              <w:t xml:space="preserve"> </w:t>
            </w:r>
            <w:r>
              <w:t>were compared in order to identify differences.</w:t>
            </w:r>
          </w:p>
          <w:p w14:paraId="0DFDC112" w14:textId="77777777" w:rsidR="00046465" w:rsidRDefault="008134EB">
            <w:pPr>
              <w:pStyle w:val="TableParagraph"/>
              <w:numPr>
                <w:ilvl w:val="1"/>
                <w:numId w:val="127"/>
              </w:numPr>
              <w:tabs>
                <w:tab w:val="left" w:pos="1708"/>
              </w:tabs>
              <w:spacing w:before="180"/>
              <w:ind w:right="423" w:hanging="360"/>
            </w:pPr>
            <w:r>
              <w:t>Consider sending confirmations to significant trading partners to corroborate the existence, validity,</w:t>
            </w:r>
            <w:r>
              <w:rPr>
                <w:spacing w:val="-8"/>
              </w:rPr>
              <w:t xml:space="preserve"> </w:t>
            </w:r>
            <w:r>
              <w:t>and</w:t>
            </w:r>
            <w:r>
              <w:rPr>
                <w:spacing w:val="-9"/>
              </w:rPr>
              <w:t xml:space="preserve"> </w:t>
            </w:r>
            <w:r>
              <w:t>accuracy</w:t>
            </w:r>
            <w:r>
              <w:rPr>
                <w:spacing w:val="-9"/>
              </w:rPr>
              <w:t xml:space="preserve"> </w:t>
            </w:r>
            <w:r>
              <w:t>of</w:t>
            </w:r>
            <w:r>
              <w:rPr>
                <w:spacing w:val="-9"/>
              </w:rPr>
              <w:t xml:space="preserve"> </w:t>
            </w:r>
            <w:r>
              <w:t>the</w:t>
            </w:r>
            <w:r>
              <w:rPr>
                <w:spacing w:val="-8"/>
              </w:rPr>
              <w:t xml:space="preserve"> </w:t>
            </w:r>
            <w:r>
              <w:t>intragovernmental amount recorded by the entity.</w:t>
            </w:r>
          </w:p>
        </w:tc>
        <w:tc>
          <w:tcPr>
            <w:tcW w:w="1144" w:type="dxa"/>
            <w:vMerge/>
            <w:tcBorders>
              <w:top w:val="nil"/>
              <w:left w:val="single" w:sz="4" w:space="0" w:color="000000"/>
              <w:bottom w:val="single" w:sz="4" w:space="0" w:color="000000"/>
              <w:right w:val="single" w:sz="4" w:space="0" w:color="000000"/>
            </w:tcBorders>
          </w:tcPr>
          <w:p w14:paraId="0DFDC113" w14:textId="77777777" w:rsidR="00046465" w:rsidRDefault="00046465">
            <w:pPr>
              <w:rPr>
                <w:sz w:val="2"/>
                <w:szCs w:val="2"/>
              </w:rPr>
            </w:pPr>
          </w:p>
        </w:tc>
        <w:tc>
          <w:tcPr>
            <w:tcW w:w="1229" w:type="dxa"/>
            <w:vMerge/>
            <w:tcBorders>
              <w:top w:val="nil"/>
              <w:left w:val="single" w:sz="4" w:space="0" w:color="000000"/>
              <w:bottom w:val="single" w:sz="4" w:space="0" w:color="000000"/>
            </w:tcBorders>
          </w:tcPr>
          <w:p w14:paraId="0DFDC114" w14:textId="77777777" w:rsidR="00046465" w:rsidRDefault="00046465">
            <w:pPr>
              <w:rPr>
                <w:sz w:val="2"/>
                <w:szCs w:val="2"/>
              </w:rPr>
            </w:pPr>
          </w:p>
        </w:tc>
      </w:tr>
      <w:tr w:rsidR="00046465" w14:paraId="0DFDC11A" w14:textId="77777777">
        <w:trPr>
          <w:trHeight w:val="2890"/>
        </w:trPr>
        <w:tc>
          <w:tcPr>
            <w:tcW w:w="6696" w:type="dxa"/>
            <w:tcBorders>
              <w:top w:val="single" w:sz="4" w:space="0" w:color="000000"/>
              <w:bottom w:val="single" w:sz="4" w:space="0" w:color="000000"/>
              <w:right w:val="single" w:sz="4" w:space="0" w:color="000000"/>
            </w:tcBorders>
          </w:tcPr>
          <w:p w14:paraId="0DFDC116" w14:textId="77777777" w:rsidR="00046465" w:rsidRDefault="008134EB">
            <w:pPr>
              <w:pStyle w:val="TableParagraph"/>
              <w:tabs>
                <w:tab w:val="left" w:pos="1244"/>
              </w:tabs>
              <w:spacing w:before="60"/>
              <w:ind w:left="1244" w:right="188" w:hanging="397"/>
            </w:pPr>
            <w:r>
              <w:rPr>
                <w:spacing w:val="-6"/>
              </w:rPr>
              <w:t>b)</w:t>
            </w:r>
            <w:r>
              <w:tab/>
              <w:t>For intragovernmental differences identified, determine whether the entity performed timely research</w:t>
            </w:r>
            <w:r>
              <w:rPr>
                <w:spacing w:val="-6"/>
              </w:rPr>
              <w:t xml:space="preserve"> </w:t>
            </w:r>
            <w:r>
              <w:t>to</w:t>
            </w:r>
            <w:r>
              <w:rPr>
                <w:spacing w:val="-7"/>
              </w:rPr>
              <w:t xml:space="preserve"> </w:t>
            </w:r>
            <w:r>
              <w:t>determine</w:t>
            </w:r>
            <w:r>
              <w:rPr>
                <w:spacing w:val="-6"/>
              </w:rPr>
              <w:t xml:space="preserve"> </w:t>
            </w:r>
            <w:r>
              <w:t>the</w:t>
            </w:r>
            <w:r>
              <w:rPr>
                <w:spacing w:val="-6"/>
              </w:rPr>
              <w:t xml:space="preserve"> </w:t>
            </w:r>
            <w:r>
              <w:t>reasons</w:t>
            </w:r>
            <w:r>
              <w:rPr>
                <w:spacing w:val="-6"/>
              </w:rPr>
              <w:t xml:space="preserve"> </w:t>
            </w:r>
            <w:r>
              <w:t>for</w:t>
            </w:r>
            <w:r>
              <w:rPr>
                <w:spacing w:val="-6"/>
              </w:rPr>
              <w:t xml:space="preserve"> </w:t>
            </w:r>
            <w:r>
              <w:t>the</w:t>
            </w:r>
            <w:r>
              <w:rPr>
                <w:spacing w:val="-6"/>
              </w:rPr>
              <w:t xml:space="preserve"> </w:t>
            </w:r>
            <w:r>
              <w:t>differences. When the entity is the receiver of the activity, contact trading partners for supporting documentation to confirm</w:t>
            </w:r>
            <w:r>
              <w:rPr>
                <w:spacing w:val="-1"/>
              </w:rPr>
              <w:t xml:space="preserve"> </w:t>
            </w:r>
            <w:r>
              <w:t>the balances. (Note: OMB reporting guidance requires reconciliation throughout the year with all differences resolved by year-end.)</w:t>
            </w:r>
          </w:p>
          <w:p w14:paraId="0DFDC117" w14:textId="77777777" w:rsidR="00046465" w:rsidRDefault="008134EB">
            <w:pPr>
              <w:pStyle w:val="TableParagraph"/>
              <w:spacing w:before="180"/>
              <w:ind w:left="1244"/>
            </w:pPr>
            <w:r>
              <w:t>If</w:t>
            </w:r>
            <w:r>
              <w:rPr>
                <w:spacing w:val="-5"/>
              </w:rPr>
              <w:t xml:space="preserve"> </w:t>
            </w:r>
            <w:r>
              <w:t>differences</w:t>
            </w:r>
            <w:r>
              <w:rPr>
                <w:spacing w:val="-5"/>
              </w:rPr>
              <w:t xml:space="preserve"> </w:t>
            </w:r>
            <w:r>
              <w:t>were</w:t>
            </w:r>
            <w:r>
              <w:rPr>
                <w:spacing w:val="-5"/>
              </w:rPr>
              <w:t xml:space="preserve"> </w:t>
            </w:r>
            <w:r>
              <w:t>not</w:t>
            </w:r>
            <w:r>
              <w:rPr>
                <w:spacing w:val="-5"/>
              </w:rPr>
              <w:t xml:space="preserve"> </w:t>
            </w:r>
            <w:r>
              <w:t>reconciled</w:t>
            </w:r>
            <w:r>
              <w:rPr>
                <w:spacing w:val="-5"/>
              </w:rPr>
              <w:t xml:space="preserve"> </w:t>
            </w:r>
            <w:r>
              <w:t>(i.e.,</w:t>
            </w:r>
            <w:r>
              <w:rPr>
                <w:spacing w:val="-5"/>
              </w:rPr>
              <w:t xml:space="preserve"> </w:t>
            </w:r>
            <w:r>
              <w:t>the</w:t>
            </w:r>
            <w:r>
              <w:rPr>
                <w:spacing w:val="-5"/>
              </w:rPr>
              <w:t xml:space="preserve"> </w:t>
            </w:r>
            <w:r>
              <w:t>reasons</w:t>
            </w:r>
            <w:r>
              <w:rPr>
                <w:spacing w:val="-5"/>
              </w:rPr>
              <w:t xml:space="preserve"> </w:t>
            </w:r>
            <w:r>
              <w:t>for the differences were not identified), determine why.</w:t>
            </w:r>
          </w:p>
        </w:tc>
        <w:tc>
          <w:tcPr>
            <w:tcW w:w="1144" w:type="dxa"/>
            <w:tcBorders>
              <w:top w:val="single" w:sz="4" w:space="0" w:color="000000"/>
              <w:left w:val="single" w:sz="4" w:space="0" w:color="000000"/>
              <w:bottom w:val="single" w:sz="4" w:space="0" w:color="000000"/>
              <w:right w:val="single" w:sz="4" w:space="0" w:color="000000"/>
            </w:tcBorders>
          </w:tcPr>
          <w:p w14:paraId="0DFDC118"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19" w14:textId="77777777" w:rsidR="00046465" w:rsidRDefault="00046465">
            <w:pPr>
              <w:pStyle w:val="TableParagraph"/>
              <w:rPr>
                <w:rFonts w:ascii="Times New Roman"/>
                <w:sz w:val="20"/>
              </w:rPr>
            </w:pPr>
          </w:p>
        </w:tc>
      </w:tr>
      <w:tr w:rsidR="00046465" w14:paraId="0DFDC11E" w14:textId="77777777">
        <w:trPr>
          <w:trHeight w:val="878"/>
        </w:trPr>
        <w:tc>
          <w:tcPr>
            <w:tcW w:w="6696" w:type="dxa"/>
            <w:tcBorders>
              <w:top w:val="single" w:sz="4" w:space="0" w:color="000000"/>
              <w:bottom w:val="single" w:sz="4" w:space="0" w:color="000000"/>
              <w:right w:val="single" w:sz="4" w:space="0" w:color="000000"/>
            </w:tcBorders>
          </w:tcPr>
          <w:p w14:paraId="0DFDC11B" w14:textId="77777777" w:rsidR="00046465" w:rsidRDefault="008134EB">
            <w:pPr>
              <w:pStyle w:val="TableParagraph"/>
              <w:tabs>
                <w:tab w:val="left" w:pos="1244"/>
              </w:tabs>
              <w:spacing w:before="60"/>
              <w:ind w:left="1244" w:right="310" w:hanging="396"/>
            </w:pPr>
            <w:r>
              <w:rPr>
                <w:spacing w:val="-6"/>
              </w:rPr>
              <w:t>c)</w:t>
            </w:r>
            <w:r>
              <w:tab/>
              <w:t>Review</w:t>
            </w:r>
            <w:r>
              <w:rPr>
                <w:spacing w:val="-7"/>
              </w:rPr>
              <w:t xml:space="preserve"> </w:t>
            </w:r>
            <w:r>
              <w:t>evidence</w:t>
            </w:r>
            <w:r>
              <w:rPr>
                <w:spacing w:val="-7"/>
              </w:rPr>
              <w:t xml:space="preserve"> </w:t>
            </w:r>
            <w:r>
              <w:t>of</w:t>
            </w:r>
            <w:r>
              <w:rPr>
                <w:spacing w:val="-7"/>
              </w:rPr>
              <w:t xml:space="preserve"> </w:t>
            </w:r>
            <w:r>
              <w:t>management’s</w:t>
            </w:r>
            <w:r>
              <w:rPr>
                <w:spacing w:val="-7"/>
              </w:rPr>
              <w:t xml:space="preserve"> </w:t>
            </w:r>
            <w:r>
              <w:t>monitoring</w:t>
            </w:r>
            <w:r>
              <w:rPr>
                <w:spacing w:val="-7"/>
              </w:rPr>
              <w:t xml:space="preserve"> </w:t>
            </w:r>
            <w:r>
              <w:t>of</w:t>
            </w:r>
            <w:r>
              <w:rPr>
                <w:spacing w:val="-7"/>
              </w:rPr>
              <w:t xml:space="preserve"> </w:t>
            </w:r>
            <w:r>
              <w:t>the timely reconciliation of differences to determine whether management’s monitoring is effective.</w:t>
            </w:r>
          </w:p>
        </w:tc>
        <w:tc>
          <w:tcPr>
            <w:tcW w:w="1144" w:type="dxa"/>
            <w:tcBorders>
              <w:top w:val="single" w:sz="4" w:space="0" w:color="000000"/>
              <w:left w:val="single" w:sz="4" w:space="0" w:color="000000"/>
              <w:bottom w:val="single" w:sz="4" w:space="0" w:color="000000"/>
              <w:right w:val="single" w:sz="4" w:space="0" w:color="000000"/>
            </w:tcBorders>
          </w:tcPr>
          <w:p w14:paraId="0DFDC11C"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1D" w14:textId="77777777" w:rsidR="00046465" w:rsidRDefault="00046465">
            <w:pPr>
              <w:pStyle w:val="TableParagraph"/>
              <w:rPr>
                <w:rFonts w:ascii="Times New Roman"/>
                <w:sz w:val="20"/>
              </w:rPr>
            </w:pPr>
          </w:p>
        </w:tc>
      </w:tr>
      <w:tr w:rsidR="00046465" w14:paraId="0DFDC123" w14:textId="77777777">
        <w:trPr>
          <w:trHeight w:val="820"/>
        </w:trPr>
        <w:tc>
          <w:tcPr>
            <w:tcW w:w="6696" w:type="dxa"/>
            <w:tcBorders>
              <w:top w:val="single" w:sz="4" w:space="0" w:color="000000"/>
              <w:bottom w:val="single" w:sz="4" w:space="0" w:color="000000"/>
              <w:right w:val="single" w:sz="4" w:space="0" w:color="000000"/>
            </w:tcBorders>
          </w:tcPr>
          <w:p w14:paraId="0DFDC11F" w14:textId="77777777" w:rsidR="00046465" w:rsidRDefault="008134EB">
            <w:pPr>
              <w:pStyle w:val="TableParagraph"/>
              <w:tabs>
                <w:tab w:val="left" w:pos="1244"/>
              </w:tabs>
              <w:spacing w:before="61"/>
              <w:ind w:left="1244" w:right="957" w:hanging="397"/>
            </w:pPr>
            <w:r>
              <w:rPr>
                <w:spacing w:val="-6"/>
              </w:rPr>
              <w:t>d)</w:t>
            </w:r>
            <w:r>
              <w:tab/>
              <w:t>For</w:t>
            </w:r>
            <w:r>
              <w:rPr>
                <w:spacing w:val="-10"/>
              </w:rPr>
              <w:t xml:space="preserve"> </w:t>
            </w:r>
            <w:r>
              <w:t>intragovernmental</w:t>
            </w:r>
            <w:r>
              <w:rPr>
                <w:spacing w:val="-10"/>
              </w:rPr>
              <w:t xml:space="preserve"> </w:t>
            </w:r>
            <w:r>
              <w:t>differences</w:t>
            </w:r>
            <w:r>
              <w:rPr>
                <w:spacing w:val="-10"/>
              </w:rPr>
              <w:t xml:space="preserve"> </w:t>
            </w:r>
            <w:r>
              <w:t>identified</w:t>
            </w:r>
            <w:r>
              <w:rPr>
                <w:spacing w:val="-10"/>
              </w:rPr>
              <w:t xml:space="preserve"> </w:t>
            </w:r>
            <w:r>
              <w:t>in Treasury quarterly reconciliations of GTAS</w:t>
            </w:r>
          </w:p>
          <w:p w14:paraId="0DFDC120" w14:textId="77777777" w:rsidR="00046465" w:rsidRDefault="008134EB">
            <w:pPr>
              <w:pStyle w:val="TableParagraph"/>
              <w:spacing w:line="233" w:lineRule="exact"/>
              <w:ind w:left="1244"/>
            </w:pPr>
            <w:r>
              <w:t>submissions,</w:t>
            </w:r>
            <w:r>
              <w:rPr>
                <w:spacing w:val="-9"/>
              </w:rPr>
              <w:t xml:space="preserve"> </w:t>
            </w:r>
            <w:r>
              <w:t>determine</w:t>
            </w:r>
            <w:r>
              <w:rPr>
                <w:spacing w:val="-9"/>
              </w:rPr>
              <w:t xml:space="preserve"> </w:t>
            </w:r>
            <w:r>
              <w:t>whether</w:t>
            </w:r>
            <w:r>
              <w:rPr>
                <w:spacing w:val="-8"/>
              </w:rPr>
              <w:t xml:space="preserve"> </w:t>
            </w:r>
            <w:r>
              <w:t>the</w:t>
            </w:r>
            <w:r>
              <w:rPr>
                <w:spacing w:val="-9"/>
              </w:rPr>
              <w:t xml:space="preserve"> </w:t>
            </w:r>
            <w:r>
              <w:t>entity</w:t>
            </w:r>
            <w:r>
              <w:rPr>
                <w:spacing w:val="-8"/>
              </w:rPr>
              <w:t xml:space="preserve"> </w:t>
            </w:r>
            <w:r>
              <w:rPr>
                <w:spacing w:val="-2"/>
              </w:rPr>
              <w:t>researched</w:t>
            </w:r>
          </w:p>
        </w:tc>
        <w:tc>
          <w:tcPr>
            <w:tcW w:w="1144" w:type="dxa"/>
            <w:tcBorders>
              <w:top w:val="single" w:sz="4" w:space="0" w:color="000000"/>
              <w:left w:val="single" w:sz="4" w:space="0" w:color="000000"/>
              <w:bottom w:val="single" w:sz="4" w:space="0" w:color="000000"/>
              <w:right w:val="single" w:sz="4" w:space="0" w:color="000000"/>
            </w:tcBorders>
          </w:tcPr>
          <w:p w14:paraId="0DFDC121"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22" w14:textId="77777777" w:rsidR="00046465" w:rsidRDefault="00046465">
            <w:pPr>
              <w:pStyle w:val="TableParagraph"/>
              <w:rPr>
                <w:rFonts w:ascii="Times New Roman"/>
                <w:sz w:val="20"/>
              </w:rPr>
            </w:pPr>
          </w:p>
        </w:tc>
      </w:tr>
    </w:tbl>
    <w:p w14:paraId="0DFDC124" w14:textId="77777777" w:rsidR="00046465" w:rsidRDefault="00046465">
      <w:pPr>
        <w:pStyle w:val="TableParagraph"/>
        <w:rPr>
          <w:rFonts w:ascii="Times New Roman"/>
          <w:sz w:val="20"/>
        </w:rPr>
        <w:sectPr w:rsidR="00046465">
          <w:pgSz w:w="12240" w:h="15840"/>
          <w:pgMar w:top="1340" w:right="720" w:bottom="940" w:left="1080" w:header="721" w:footer="757" w:gutter="0"/>
          <w:cols w:space="720"/>
        </w:sectPr>
      </w:pPr>
    </w:p>
    <w:p w14:paraId="0DFDC125" w14:textId="77777777" w:rsidR="00046465" w:rsidRDefault="00046465">
      <w:pPr>
        <w:pStyle w:val="BodyText"/>
        <w:spacing w:before="9"/>
        <w:rPr>
          <w:sz w:val="11"/>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C129" w14:textId="77777777">
        <w:trPr>
          <w:trHeight w:val="625"/>
        </w:trPr>
        <w:tc>
          <w:tcPr>
            <w:tcW w:w="6696" w:type="dxa"/>
            <w:tcBorders>
              <w:right w:val="single" w:sz="4" w:space="0" w:color="000000"/>
            </w:tcBorders>
          </w:tcPr>
          <w:p w14:paraId="0DFDC126"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C127"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C128"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C134" w14:textId="77777777">
        <w:trPr>
          <w:trHeight w:val="5103"/>
        </w:trPr>
        <w:tc>
          <w:tcPr>
            <w:tcW w:w="6696" w:type="dxa"/>
            <w:tcBorders>
              <w:bottom w:val="single" w:sz="4" w:space="0" w:color="000000"/>
              <w:right w:val="single" w:sz="4" w:space="0" w:color="000000"/>
            </w:tcBorders>
          </w:tcPr>
          <w:p w14:paraId="0DFDC12A" w14:textId="77777777" w:rsidR="00046465" w:rsidRDefault="008134EB">
            <w:pPr>
              <w:pStyle w:val="TableParagraph"/>
              <w:spacing w:line="219" w:lineRule="exact"/>
              <w:ind w:left="1244"/>
            </w:pPr>
            <w:r>
              <w:t>the</w:t>
            </w:r>
            <w:r>
              <w:rPr>
                <w:spacing w:val="-9"/>
              </w:rPr>
              <w:t xml:space="preserve"> </w:t>
            </w:r>
            <w:r>
              <w:t>differences,</w:t>
            </w:r>
            <w:r>
              <w:rPr>
                <w:spacing w:val="-9"/>
              </w:rPr>
              <w:t xml:space="preserve"> </w:t>
            </w:r>
            <w:r>
              <w:t>including</w:t>
            </w:r>
            <w:r>
              <w:rPr>
                <w:spacing w:val="-9"/>
              </w:rPr>
              <w:t xml:space="preserve"> </w:t>
            </w:r>
            <w:r>
              <w:t>contacting</w:t>
            </w:r>
            <w:r>
              <w:rPr>
                <w:spacing w:val="-9"/>
              </w:rPr>
              <w:t xml:space="preserve"> </w:t>
            </w:r>
            <w:r>
              <w:t>trading</w:t>
            </w:r>
            <w:r>
              <w:rPr>
                <w:spacing w:val="-8"/>
              </w:rPr>
              <w:t xml:space="preserve"> </w:t>
            </w:r>
            <w:r>
              <w:rPr>
                <w:spacing w:val="-2"/>
              </w:rPr>
              <w:t>partners</w:t>
            </w:r>
          </w:p>
          <w:p w14:paraId="0DFDC12B" w14:textId="77777777" w:rsidR="00046465" w:rsidRDefault="008134EB">
            <w:pPr>
              <w:pStyle w:val="TableParagraph"/>
              <w:ind w:left="1244"/>
            </w:pPr>
            <w:r>
              <w:t>and</w:t>
            </w:r>
            <w:r>
              <w:rPr>
                <w:spacing w:val="-5"/>
              </w:rPr>
              <w:t xml:space="preserve"> </w:t>
            </w:r>
            <w:r>
              <w:t>Treasury</w:t>
            </w:r>
            <w:r>
              <w:rPr>
                <w:spacing w:val="-5"/>
              </w:rPr>
              <w:t xml:space="preserve"> </w:t>
            </w:r>
            <w:r>
              <w:t>as</w:t>
            </w:r>
            <w:r>
              <w:rPr>
                <w:spacing w:val="-5"/>
              </w:rPr>
              <w:t xml:space="preserve"> </w:t>
            </w:r>
            <w:r>
              <w:t>needed,</w:t>
            </w:r>
            <w:r>
              <w:rPr>
                <w:spacing w:val="-5"/>
              </w:rPr>
              <w:t xml:space="preserve"> </w:t>
            </w:r>
            <w:r>
              <w:t>to</w:t>
            </w:r>
            <w:r>
              <w:rPr>
                <w:spacing w:val="-5"/>
              </w:rPr>
              <w:t xml:space="preserve"> </w:t>
            </w:r>
            <w:r>
              <w:t>determine</w:t>
            </w:r>
            <w:r>
              <w:rPr>
                <w:spacing w:val="-5"/>
              </w:rPr>
              <w:t xml:space="preserve"> </w:t>
            </w:r>
            <w:r>
              <w:t>the</w:t>
            </w:r>
            <w:r>
              <w:rPr>
                <w:spacing w:val="-5"/>
              </w:rPr>
              <w:t xml:space="preserve"> </w:t>
            </w:r>
            <w:r>
              <w:t>reasons</w:t>
            </w:r>
            <w:r>
              <w:rPr>
                <w:spacing w:val="-5"/>
              </w:rPr>
              <w:t xml:space="preserve"> </w:t>
            </w:r>
            <w:r>
              <w:t>for the differences.</w:t>
            </w:r>
          </w:p>
          <w:p w14:paraId="0DFDC12C" w14:textId="77777777" w:rsidR="00046465" w:rsidRDefault="008134EB">
            <w:pPr>
              <w:pStyle w:val="TableParagraph"/>
              <w:numPr>
                <w:ilvl w:val="0"/>
                <w:numId w:val="126"/>
              </w:numPr>
              <w:tabs>
                <w:tab w:val="left" w:pos="1707"/>
              </w:tabs>
              <w:spacing w:before="60"/>
              <w:ind w:right="201"/>
              <w:jc w:val="left"/>
            </w:pPr>
            <w:r>
              <w:t>Review</w:t>
            </w:r>
            <w:r>
              <w:rPr>
                <w:spacing w:val="-7"/>
              </w:rPr>
              <w:t xml:space="preserve"> </w:t>
            </w:r>
            <w:r>
              <w:t>and</w:t>
            </w:r>
            <w:r>
              <w:rPr>
                <w:spacing w:val="-6"/>
              </w:rPr>
              <w:t xml:space="preserve"> </w:t>
            </w:r>
            <w:r>
              <w:t>re-perform</w:t>
            </w:r>
            <w:r>
              <w:rPr>
                <w:spacing w:val="-7"/>
              </w:rPr>
              <w:t xml:space="preserve"> </w:t>
            </w:r>
            <w:r>
              <w:t>the</w:t>
            </w:r>
            <w:r>
              <w:rPr>
                <w:spacing w:val="-6"/>
              </w:rPr>
              <w:t xml:space="preserve"> </w:t>
            </w:r>
            <w:r>
              <w:t>entity’s</w:t>
            </w:r>
            <w:r>
              <w:rPr>
                <w:spacing w:val="-6"/>
              </w:rPr>
              <w:t xml:space="preserve"> </w:t>
            </w:r>
            <w:r>
              <w:t>procedures</w:t>
            </w:r>
            <w:r>
              <w:rPr>
                <w:spacing w:val="-6"/>
              </w:rPr>
              <w:t xml:space="preserve"> </w:t>
            </w:r>
            <w:r>
              <w:t xml:space="preserve">to ensure that the intragovernmental differences reports from Treasury were accurate and </w:t>
            </w:r>
            <w:r>
              <w:rPr>
                <w:spacing w:val="-2"/>
              </w:rPr>
              <w:t>complete.</w:t>
            </w:r>
          </w:p>
          <w:p w14:paraId="0DFDC12D" w14:textId="77777777" w:rsidR="00046465" w:rsidRDefault="008134EB">
            <w:pPr>
              <w:pStyle w:val="TableParagraph"/>
              <w:numPr>
                <w:ilvl w:val="0"/>
                <w:numId w:val="126"/>
              </w:numPr>
              <w:tabs>
                <w:tab w:val="left" w:pos="1707"/>
              </w:tabs>
              <w:ind w:right="286" w:hanging="417"/>
              <w:jc w:val="left"/>
            </w:pPr>
            <w:r>
              <w:t>Review</w:t>
            </w:r>
            <w:r>
              <w:rPr>
                <w:spacing w:val="-7"/>
              </w:rPr>
              <w:t xml:space="preserve"> </w:t>
            </w:r>
            <w:r>
              <w:t>the</w:t>
            </w:r>
            <w:r>
              <w:rPr>
                <w:spacing w:val="-6"/>
              </w:rPr>
              <w:t xml:space="preserve"> </w:t>
            </w:r>
            <w:r>
              <w:t>explanations</w:t>
            </w:r>
            <w:r>
              <w:rPr>
                <w:spacing w:val="-6"/>
              </w:rPr>
              <w:t xml:space="preserve"> </w:t>
            </w:r>
            <w:r>
              <w:t>that</w:t>
            </w:r>
            <w:r>
              <w:rPr>
                <w:spacing w:val="-6"/>
              </w:rPr>
              <w:t xml:space="preserve"> </w:t>
            </w:r>
            <w:r>
              <w:t>the</w:t>
            </w:r>
            <w:r>
              <w:rPr>
                <w:spacing w:val="-6"/>
              </w:rPr>
              <w:t xml:space="preserve"> </w:t>
            </w:r>
            <w:r>
              <w:t>entity</w:t>
            </w:r>
            <w:r>
              <w:rPr>
                <w:spacing w:val="-6"/>
              </w:rPr>
              <w:t xml:space="preserve"> </w:t>
            </w:r>
            <w:r>
              <w:t>provided Treasury to determine whether they were reasonable and supported.</w:t>
            </w:r>
          </w:p>
          <w:p w14:paraId="0DFDC12E" w14:textId="77777777" w:rsidR="00046465" w:rsidRDefault="008134EB">
            <w:pPr>
              <w:pStyle w:val="TableParagraph"/>
              <w:numPr>
                <w:ilvl w:val="0"/>
                <w:numId w:val="126"/>
              </w:numPr>
              <w:tabs>
                <w:tab w:val="left" w:pos="1707"/>
              </w:tabs>
              <w:ind w:right="227" w:hanging="465"/>
              <w:jc w:val="left"/>
            </w:pPr>
            <w:r>
              <w:t>Verify</w:t>
            </w:r>
            <w:r>
              <w:rPr>
                <w:spacing w:val="-7"/>
              </w:rPr>
              <w:t xml:space="preserve"> </w:t>
            </w:r>
            <w:r>
              <w:t>that</w:t>
            </w:r>
            <w:r>
              <w:rPr>
                <w:spacing w:val="-7"/>
              </w:rPr>
              <w:t xml:space="preserve"> </w:t>
            </w:r>
            <w:r>
              <w:t>the</w:t>
            </w:r>
            <w:r>
              <w:rPr>
                <w:spacing w:val="-7"/>
              </w:rPr>
              <w:t xml:space="preserve"> </w:t>
            </w:r>
            <w:r>
              <w:t>explanations</w:t>
            </w:r>
            <w:r>
              <w:rPr>
                <w:spacing w:val="-7"/>
              </w:rPr>
              <w:t xml:space="preserve"> </w:t>
            </w:r>
            <w:r>
              <w:t>were</w:t>
            </w:r>
            <w:r>
              <w:rPr>
                <w:spacing w:val="-7"/>
              </w:rPr>
              <w:t xml:space="preserve"> </w:t>
            </w:r>
            <w:r>
              <w:t>timely</w:t>
            </w:r>
            <w:r>
              <w:rPr>
                <w:spacing w:val="-7"/>
              </w:rPr>
              <w:t xml:space="preserve"> </w:t>
            </w:r>
            <w:r>
              <w:t>provided to Treasury (per the schedule in the TFM 2-</w:t>
            </w:r>
            <w:r>
              <w:rPr>
                <w:spacing w:val="-2"/>
              </w:rPr>
              <w:t>4700).</w:t>
            </w:r>
          </w:p>
          <w:p w14:paraId="0DFDC12F" w14:textId="77777777" w:rsidR="00046465" w:rsidRDefault="008134EB">
            <w:pPr>
              <w:pStyle w:val="TableParagraph"/>
              <w:numPr>
                <w:ilvl w:val="0"/>
                <w:numId w:val="126"/>
              </w:numPr>
              <w:tabs>
                <w:tab w:val="left" w:pos="1707"/>
              </w:tabs>
              <w:ind w:right="225" w:hanging="478"/>
              <w:jc w:val="left"/>
            </w:pPr>
            <w:r>
              <w:t>Verify that management reviewed and approved the</w:t>
            </w:r>
            <w:r>
              <w:rPr>
                <w:spacing w:val="-4"/>
              </w:rPr>
              <w:t xml:space="preserve"> </w:t>
            </w:r>
            <w:r>
              <w:t>results</w:t>
            </w:r>
            <w:r>
              <w:rPr>
                <w:spacing w:val="-5"/>
              </w:rPr>
              <w:t xml:space="preserve"> </w:t>
            </w:r>
            <w:r>
              <w:t>of</w:t>
            </w:r>
            <w:r>
              <w:rPr>
                <w:spacing w:val="-4"/>
              </w:rPr>
              <w:t xml:space="preserve"> </w:t>
            </w:r>
            <w:r>
              <w:t>the</w:t>
            </w:r>
            <w:r>
              <w:rPr>
                <w:spacing w:val="-5"/>
              </w:rPr>
              <w:t xml:space="preserve"> </w:t>
            </w:r>
            <w:r>
              <w:t>procedures</w:t>
            </w:r>
            <w:r>
              <w:rPr>
                <w:spacing w:val="-4"/>
              </w:rPr>
              <w:t xml:space="preserve"> </w:t>
            </w:r>
            <w:r>
              <w:t>in</w:t>
            </w:r>
            <w:r>
              <w:rPr>
                <w:spacing w:val="-5"/>
              </w:rPr>
              <w:t xml:space="preserve"> </w:t>
            </w:r>
            <w:r>
              <w:t>“i”</w:t>
            </w:r>
            <w:r>
              <w:rPr>
                <w:spacing w:val="-4"/>
              </w:rPr>
              <w:t xml:space="preserve"> </w:t>
            </w:r>
            <w:r>
              <w:t>and</w:t>
            </w:r>
            <w:r>
              <w:rPr>
                <w:spacing w:val="-5"/>
              </w:rPr>
              <w:t xml:space="preserve"> </w:t>
            </w:r>
            <w:r>
              <w:t>“ii”</w:t>
            </w:r>
            <w:r>
              <w:rPr>
                <w:spacing w:val="-4"/>
              </w:rPr>
              <w:t xml:space="preserve"> </w:t>
            </w:r>
            <w:r>
              <w:t>above.</w:t>
            </w:r>
          </w:p>
          <w:p w14:paraId="0DFDC130" w14:textId="77777777" w:rsidR="00046465" w:rsidRDefault="008134EB">
            <w:pPr>
              <w:pStyle w:val="TableParagraph"/>
              <w:numPr>
                <w:ilvl w:val="0"/>
                <w:numId w:val="126"/>
              </w:numPr>
              <w:tabs>
                <w:tab w:val="left" w:pos="1707"/>
              </w:tabs>
              <w:spacing w:before="2" w:line="237" w:lineRule="auto"/>
              <w:ind w:right="104" w:hanging="444"/>
              <w:jc w:val="left"/>
              <w:rPr>
                <w:sz w:val="24"/>
              </w:rPr>
            </w:pPr>
            <w:r>
              <w:t>Participate in the significant entity’s teleconferences with Treasury to discuss the entity’s</w:t>
            </w:r>
            <w:r>
              <w:rPr>
                <w:spacing w:val="-8"/>
              </w:rPr>
              <w:t xml:space="preserve"> </w:t>
            </w:r>
            <w:r>
              <w:t>draft</w:t>
            </w:r>
            <w:r>
              <w:rPr>
                <w:spacing w:val="-8"/>
              </w:rPr>
              <w:t xml:space="preserve"> </w:t>
            </w:r>
            <w:r>
              <w:t>scorecard,</w:t>
            </w:r>
            <w:r>
              <w:rPr>
                <w:spacing w:val="-8"/>
              </w:rPr>
              <w:t xml:space="preserve"> </w:t>
            </w:r>
            <w:r>
              <w:t>paying</w:t>
            </w:r>
            <w:r>
              <w:rPr>
                <w:spacing w:val="-7"/>
              </w:rPr>
              <w:t xml:space="preserve"> </w:t>
            </w:r>
            <w:r>
              <w:t>particular</w:t>
            </w:r>
            <w:r>
              <w:rPr>
                <w:spacing w:val="-7"/>
              </w:rPr>
              <w:t xml:space="preserve"> </w:t>
            </w:r>
            <w:r>
              <w:t>attention</w:t>
            </w:r>
          </w:p>
          <w:p w14:paraId="0DFDC131" w14:textId="77777777" w:rsidR="00046465" w:rsidRDefault="008134EB">
            <w:pPr>
              <w:pStyle w:val="TableParagraph"/>
              <w:spacing w:line="252" w:lineRule="exact"/>
              <w:ind w:left="1707"/>
            </w:pPr>
            <w:r>
              <w:t>to</w:t>
            </w:r>
            <w:r>
              <w:rPr>
                <w:spacing w:val="-8"/>
              </w:rPr>
              <w:t xml:space="preserve"> </w:t>
            </w:r>
            <w:r>
              <w:t>matters</w:t>
            </w:r>
            <w:r>
              <w:rPr>
                <w:spacing w:val="-8"/>
              </w:rPr>
              <w:t xml:space="preserve"> </w:t>
            </w:r>
            <w:r>
              <w:t>regarding</w:t>
            </w:r>
            <w:r>
              <w:rPr>
                <w:spacing w:val="-8"/>
              </w:rPr>
              <w:t xml:space="preserve"> </w:t>
            </w:r>
            <w:r>
              <w:t>reconciliation</w:t>
            </w:r>
            <w:r>
              <w:rPr>
                <w:spacing w:val="-8"/>
              </w:rPr>
              <w:t xml:space="preserve"> </w:t>
            </w:r>
            <w:r>
              <w:t>and</w:t>
            </w:r>
            <w:r>
              <w:rPr>
                <w:spacing w:val="-8"/>
              </w:rPr>
              <w:t xml:space="preserve"> </w:t>
            </w:r>
            <w:r>
              <w:t>the identification of causes of differences.</w:t>
            </w:r>
          </w:p>
        </w:tc>
        <w:tc>
          <w:tcPr>
            <w:tcW w:w="1144" w:type="dxa"/>
            <w:tcBorders>
              <w:left w:val="single" w:sz="4" w:space="0" w:color="000000"/>
              <w:bottom w:val="single" w:sz="4" w:space="0" w:color="000000"/>
              <w:right w:val="single" w:sz="4" w:space="0" w:color="000000"/>
            </w:tcBorders>
          </w:tcPr>
          <w:p w14:paraId="0DFDC132" w14:textId="77777777" w:rsidR="00046465" w:rsidRDefault="00046465">
            <w:pPr>
              <w:pStyle w:val="TableParagraph"/>
              <w:rPr>
                <w:rFonts w:ascii="Times New Roman"/>
                <w:sz w:val="20"/>
              </w:rPr>
            </w:pPr>
          </w:p>
        </w:tc>
        <w:tc>
          <w:tcPr>
            <w:tcW w:w="1229" w:type="dxa"/>
            <w:tcBorders>
              <w:left w:val="single" w:sz="4" w:space="0" w:color="000000"/>
              <w:bottom w:val="single" w:sz="4" w:space="0" w:color="000000"/>
            </w:tcBorders>
          </w:tcPr>
          <w:p w14:paraId="0DFDC133" w14:textId="77777777" w:rsidR="00046465" w:rsidRDefault="00046465">
            <w:pPr>
              <w:pStyle w:val="TableParagraph"/>
              <w:rPr>
                <w:rFonts w:ascii="Times New Roman"/>
                <w:sz w:val="20"/>
              </w:rPr>
            </w:pPr>
          </w:p>
        </w:tc>
      </w:tr>
      <w:tr w:rsidR="00046465" w14:paraId="0DFDC138" w14:textId="77777777">
        <w:trPr>
          <w:trHeight w:val="879"/>
        </w:trPr>
        <w:tc>
          <w:tcPr>
            <w:tcW w:w="6696" w:type="dxa"/>
            <w:tcBorders>
              <w:top w:val="single" w:sz="4" w:space="0" w:color="000000"/>
              <w:bottom w:val="single" w:sz="4" w:space="0" w:color="000000"/>
              <w:right w:val="single" w:sz="4" w:space="0" w:color="000000"/>
            </w:tcBorders>
          </w:tcPr>
          <w:p w14:paraId="0DFDC135" w14:textId="77777777" w:rsidR="00046465" w:rsidRDefault="008134EB">
            <w:pPr>
              <w:pStyle w:val="TableParagraph"/>
              <w:tabs>
                <w:tab w:val="left" w:pos="1244"/>
              </w:tabs>
              <w:spacing w:before="61"/>
              <w:ind w:left="1244" w:right="348" w:hanging="397"/>
            </w:pPr>
            <w:r>
              <w:rPr>
                <w:spacing w:val="-6"/>
              </w:rPr>
              <w:t>e)</w:t>
            </w:r>
            <w:r>
              <w:tab/>
              <w:t>Use</w:t>
            </w:r>
            <w:r>
              <w:rPr>
                <w:spacing w:val="-6"/>
              </w:rPr>
              <w:t xml:space="preserve"> </w:t>
            </w:r>
            <w:r>
              <w:t>auditor</w:t>
            </w:r>
            <w:r>
              <w:rPr>
                <w:spacing w:val="-8"/>
              </w:rPr>
              <w:t xml:space="preserve"> </w:t>
            </w:r>
            <w:r>
              <w:t>judgment</w:t>
            </w:r>
            <w:r>
              <w:rPr>
                <w:spacing w:val="-6"/>
              </w:rPr>
              <w:t xml:space="preserve"> </w:t>
            </w:r>
            <w:r>
              <w:t>to</w:t>
            </w:r>
            <w:r>
              <w:rPr>
                <w:spacing w:val="-6"/>
              </w:rPr>
              <w:t xml:space="preserve"> </w:t>
            </w:r>
            <w:r>
              <w:t>conclude</w:t>
            </w:r>
            <w:r>
              <w:rPr>
                <w:spacing w:val="-6"/>
              </w:rPr>
              <w:t xml:space="preserve"> </w:t>
            </w:r>
            <w:r>
              <w:t>whether</w:t>
            </w:r>
            <w:r>
              <w:rPr>
                <w:spacing w:val="-6"/>
              </w:rPr>
              <w:t xml:space="preserve"> </w:t>
            </w:r>
            <w:r>
              <w:t>the</w:t>
            </w:r>
            <w:r>
              <w:rPr>
                <w:spacing w:val="-6"/>
              </w:rPr>
              <w:t xml:space="preserve"> </w:t>
            </w:r>
            <w:r>
              <w:t xml:space="preserve">entity effectively worked with trading partners to reconcile </w:t>
            </w:r>
            <w:r>
              <w:rPr>
                <w:spacing w:val="-2"/>
              </w:rPr>
              <w:t>differences.</w:t>
            </w:r>
          </w:p>
        </w:tc>
        <w:tc>
          <w:tcPr>
            <w:tcW w:w="1144" w:type="dxa"/>
            <w:tcBorders>
              <w:top w:val="single" w:sz="4" w:space="0" w:color="000000"/>
              <w:left w:val="single" w:sz="4" w:space="0" w:color="000000"/>
              <w:bottom w:val="single" w:sz="4" w:space="0" w:color="000000"/>
              <w:right w:val="single" w:sz="4" w:space="0" w:color="000000"/>
            </w:tcBorders>
          </w:tcPr>
          <w:p w14:paraId="0DFDC136"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37" w14:textId="77777777" w:rsidR="00046465" w:rsidRDefault="00046465">
            <w:pPr>
              <w:pStyle w:val="TableParagraph"/>
              <w:rPr>
                <w:rFonts w:ascii="Times New Roman"/>
                <w:sz w:val="20"/>
              </w:rPr>
            </w:pPr>
          </w:p>
        </w:tc>
      </w:tr>
      <w:tr w:rsidR="00046465" w14:paraId="0DFDC13D" w14:textId="77777777">
        <w:trPr>
          <w:trHeight w:val="2517"/>
        </w:trPr>
        <w:tc>
          <w:tcPr>
            <w:tcW w:w="6696" w:type="dxa"/>
            <w:tcBorders>
              <w:top w:val="single" w:sz="4" w:space="0" w:color="000000"/>
              <w:bottom w:val="single" w:sz="4" w:space="0" w:color="000000"/>
              <w:right w:val="single" w:sz="4" w:space="0" w:color="000000"/>
            </w:tcBorders>
          </w:tcPr>
          <w:p w14:paraId="0DFDC139" w14:textId="77777777" w:rsidR="00046465" w:rsidRDefault="008134EB">
            <w:pPr>
              <w:pStyle w:val="TableParagraph"/>
              <w:tabs>
                <w:tab w:val="left" w:pos="752"/>
              </w:tabs>
              <w:ind w:left="752" w:right="168" w:hanging="450"/>
            </w:pPr>
            <w:r>
              <w:rPr>
                <w:spacing w:val="-6"/>
              </w:rPr>
              <w:t>3)</w:t>
            </w:r>
            <w:r>
              <w:tab/>
              <w:t>For</w:t>
            </w:r>
            <w:r>
              <w:rPr>
                <w:spacing w:val="-8"/>
              </w:rPr>
              <w:t xml:space="preserve"> </w:t>
            </w:r>
            <w:r>
              <w:t>any</w:t>
            </w:r>
            <w:r>
              <w:rPr>
                <w:spacing w:val="-8"/>
              </w:rPr>
              <w:t xml:space="preserve"> </w:t>
            </w:r>
            <w:r>
              <w:t>intragovernmental</w:t>
            </w:r>
            <w:r>
              <w:rPr>
                <w:spacing w:val="-8"/>
              </w:rPr>
              <w:t xml:space="preserve"> </w:t>
            </w:r>
            <w:r>
              <w:t>differences</w:t>
            </w:r>
            <w:r>
              <w:rPr>
                <w:spacing w:val="-8"/>
              </w:rPr>
              <w:t xml:space="preserve"> </w:t>
            </w:r>
            <w:r>
              <w:t>identified,</w:t>
            </w:r>
            <w:r>
              <w:rPr>
                <w:spacing w:val="-8"/>
              </w:rPr>
              <w:t xml:space="preserve"> </w:t>
            </w:r>
            <w:r>
              <w:t>determine whether the differences were timely resolved by either (i) recording an adjustment in the entity’s accounting records and/or (ii) verifying that the trading partner recorded an adjustment</w:t>
            </w:r>
            <w:r>
              <w:rPr>
                <w:spacing w:val="-3"/>
              </w:rPr>
              <w:t xml:space="preserve"> </w:t>
            </w:r>
            <w:r>
              <w:t>in</w:t>
            </w:r>
            <w:r>
              <w:rPr>
                <w:spacing w:val="-3"/>
              </w:rPr>
              <w:t xml:space="preserve"> </w:t>
            </w:r>
            <w:r>
              <w:t>its</w:t>
            </w:r>
            <w:r>
              <w:rPr>
                <w:spacing w:val="-3"/>
              </w:rPr>
              <w:t xml:space="preserve"> </w:t>
            </w:r>
            <w:r>
              <w:t>accounting</w:t>
            </w:r>
            <w:r>
              <w:rPr>
                <w:spacing w:val="-3"/>
              </w:rPr>
              <w:t xml:space="preserve"> </w:t>
            </w:r>
            <w:r>
              <w:t>records.</w:t>
            </w:r>
            <w:r>
              <w:rPr>
                <w:spacing w:val="-3"/>
              </w:rPr>
              <w:t xml:space="preserve"> </w:t>
            </w:r>
            <w:r>
              <w:t>(Note:</w:t>
            </w:r>
            <w:r>
              <w:rPr>
                <w:spacing w:val="-3"/>
              </w:rPr>
              <w:t xml:space="preserve"> </w:t>
            </w:r>
            <w:r>
              <w:t>OMB</w:t>
            </w:r>
            <w:r>
              <w:rPr>
                <w:spacing w:val="-2"/>
              </w:rPr>
              <w:t xml:space="preserve"> </w:t>
            </w:r>
            <w:r>
              <w:t>reporting guidance requires resolution of differences throughout the year with all differences resolved by year-end.)</w:t>
            </w:r>
          </w:p>
          <w:p w14:paraId="0DFDC13A" w14:textId="77777777" w:rsidR="00046465" w:rsidRDefault="008134EB">
            <w:pPr>
              <w:pStyle w:val="TableParagraph"/>
              <w:spacing w:before="120"/>
              <w:ind w:left="752" w:right="359" w:hanging="1"/>
            </w:pPr>
            <w:r>
              <w:t>If</w:t>
            </w:r>
            <w:r>
              <w:rPr>
                <w:spacing w:val="-6"/>
              </w:rPr>
              <w:t xml:space="preserve"> </w:t>
            </w:r>
            <w:r>
              <w:t>differences</w:t>
            </w:r>
            <w:r>
              <w:rPr>
                <w:spacing w:val="-6"/>
              </w:rPr>
              <w:t xml:space="preserve"> </w:t>
            </w:r>
            <w:r>
              <w:t>were</w:t>
            </w:r>
            <w:r>
              <w:rPr>
                <w:spacing w:val="-6"/>
              </w:rPr>
              <w:t xml:space="preserve"> </w:t>
            </w:r>
            <w:r>
              <w:t>not</w:t>
            </w:r>
            <w:r>
              <w:rPr>
                <w:spacing w:val="-6"/>
              </w:rPr>
              <w:t xml:space="preserve"> </w:t>
            </w:r>
            <w:r>
              <w:t>resolved</w:t>
            </w:r>
            <w:r>
              <w:rPr>
                <w:spacing w:val="-6"/>
              </w:rPr>
              <w:t xml:space="preserve"> </w:t>
            </w:r>
            <w:r>
              <w:t>by</w:t>
            </w:r>
            <w:r>
              <w:rPr>
                <w:spacing w:val="-6"/>
              </w:rPr>
              <w:t xml:space="preserve"> </w:t>
            </w:r>
            <w:r>
              <w:t>year-end,</w:t>
            </w:r>
            <w:r>
              <w:rPr>
                <w:spacing w:val="-6"/>
              </w:rPr>
              <w:t xml:space="preserve"> </w:t>
            </w:r>
            <w:r>
              <w:t xml:space="preserve">determine </w:t>
            </w:r>
            <w:r>
              <w:rPr>
                <w:spacing w:val="-4"/>
              </w:rPr>
              <w:t>why.</w:t>
            </w:r>
          </w:p>
        </w:tc>
        <w:tc>
          <w:tcPr>
            <w:tcW w:w="1144" w:type="dxa"/>
            <w:tcBorders>
              <w:top w:val="single" w:sz="4" w:space="0" w:color="000000"/>
              <w:left w:val="single" w:sz="4" w:space="0" w:color="000000"/>
              <w:bottom w:val="single" w:sz="4" w:space="0" w:color="000000"/>
              <w:right w:val="single" w:sz="4" w:space="0" w:color="000000"/>
            </w:tcBorders>
          </w:tcPr>
          <w:p w14:paraId="0DFDC13B"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3C" w14:textId="77777777" w:rsidR="00046465" w:rsidRDefault="00046465">
            <w:pPr>
              <w:pStyle w:val="TableParagraph"/>
              <w:rPr>
                <w:rFonts w:ascii="Times New Roman"/>
                <w:sz w:val="20"/>
              </w:rPr>
            </w:pPr>
          </w:p>
        </w:tc>
      </w:tr>
      <w:tr w:rsidR="00046465" w14:paraId="0DFDC141" w14:textId="77777777">
        <w:trPr>
          <w:trHeight w:val="626"/>
        </w:trPr>
        <w:tc>
          <w:tcPr>
            <w:tcW w:w="6696" w:type="dxa"/>
            <w:tcBorders>
              <w:top w:val="single" w:sz="4" w:space="0" w:color="000000"/>
              <w:bottom w:val="single" w:sz="4" w:space="0" w:color="000000"/>
              <w:right w:val="single" w:sz="4" w:space="0" w:color="000000"/>
            </w:tcBorders>
          </w:tcPr>
          <w:p w14:paraId="0DFDC13E" w14:textId="77777777" w:rsidR="00046465" w:rsidRDefault="008134EB">
            <w:pPr>
              <w:pStyle w:val="TableParagraph"/>
              <w:tabs>
                <w:tab w:val="left" w:pos="1244"/>
              </w:tabs>
              <w:spacing w:before="60"/>
              <w:ind w:left="1244" w:right="261" w:hanging="397"/>
            </w:pPr>
            <w:r>
              <w:rPr>
                <w:spacing w:val="-6"/>
              </w:rPr>
              <w:t>a)</w:t>
            </w:r>
            <w:r>
              <w:tab/>
              <w:t>Verify that management reviewed and approved the adjustments</w:t>
            </w:r>
            <w:r>
              <w:rPr>
                <w:spacing w:val="-9"/>
              </w:rPr>
              <w:t xml:space="preserve"> </w:t>
            </w:r>
            <w:r>
              <w:t>before</w:t>
            </w:r>
            <w:r>
              <w:rPr>
                <w:spacing w:val="-8"/>
              </w:rPr>
              <w:t xml:space="preserve"> </w:t>
            </w:r>
            <w:r>
              <w:t>adjusting</w:t>
            </w:r>
            <w:r>
              <w:rPr>
                <w:spacing w:val="-8"/>
              </w:rPr>
              <w:t xml:space="preserve"> </w:t>
            </w:r>
            <w:r>
              <w:t>the</w:t>
            </w:r>
            <w:r>
              <w:rPr>
                <w:spacing w:val="-8"/>
              </w:rPr>
              <w:t xml:space="preserve"> </w:t>
            </w:r>
            <w:r>
              <w:t>accounting</w:t>
            </w:r>
            <w:r>
              <w:rPr>
                <w:spacing w:val="-8"/>
              </w:rPr>
              <w:t xml:space="preserve"> </w:t>
            </w:r>
            <w:r>
              <w:t>records.</w:t>
            </w:r>
          </w:p>
        </w:tc>
        <w:tc>
          <w:tcPr>
            <w:tcW w:w="1144" w:type="dxa"/>
            <w:tcBorders>
              <w:top w:val="single" w:sz="4" w:space="0" w:color="000000"/>
              <w:left w:val="single" w:sz="4" w:space="0" w:color="000000"/>
              <w:bottom w:val="single" w:sz="4" w:space="0" w:color="000000"/>
              <w:right w:val="single" w:sz="4" w:space="0" w:color="000000"/>
            </w:tcBorders>
          </w:tcPr>
          <w:p w14:paraId="0DFDC13F"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40" w14:textId="77777777" w:rsidR="00046465" w:rsidRDefault="00046465">
            <w:pPr>
              <w:pStyle w:val="TableParagraph"/>
              <w:rPr>
                <w:rFonts w:ascii="Times New Roman"/>
                <w:sz w:val="20"/>
              </w:rPr>
            </w:pPr>
          </w:p>
        </w:tc>
      </w:tr>
      <w:tr w:rsidR="00046465" w14:paraId="0DFDC145" w14:textId="77777777">
        <w:trPr>
          <w:trHeight w:val="625"/>
        </w:trPr>
        <w:tc>
          <w:tcPr>
            <w:tcW w:w="6696" w:type="dxa"/>
            <w:tcBorders>
              <w:top w:val="single" w:sz="4" w:space="0" w:color="000000"/>
              <w:bottom w:val="single" w:sz="4" w:space="0" w:color="000000"/>
              <w:right w:val="single" w:sz="4" w:space="0" w:color="000000"/>
            </w:tcBorders>
          </w:tcPr>
          <w:p w14:paraId="0DFDC142" w14:textId="77777777" w:rsidR="00046465" w:rsidRDefault="008134EB">
            <w:pPr>
              <w:pStyle w:val="TableParagraph"/>
              <w:tabs>
                <w:tab w:val="left" w:pos="1244"/>
              </w:tabs>
              <w:spacing w:before="60"/>
              <w:ind w:left="1244" w:right="616" w:hanging="397"/>
            </w:pPr>
            <w:r>
              <w:rPr>
                <w:spacing w:val="-6"/>
              </w:rPr>
              <w:t>b)</w:t>
            </w:r>
            <w:r>
              <w:tab/>
              <w:t>Trace, from the source documents to the general ledger,</w:t>
            </w:r>
            <w:r>
              <w:rPr>
                <w:spacing w:val="-8"/>
              </w:rPr>
              <w:t xml:space="preserve"> </w:t>
            </w:r>
            <w:r>
              <w:t>the</w:t>
            </w:r>
            <w:r>
              <w:rPr>
                <w:spacing w:val="-8"/>
              </w:rPr>
              <w:t xml:space="preserve"> </w:t>
            </w:r>
            <w:r>
              <w:t>adjustments</w:t>
            </w:r>
            <w:r>
              <w:rPr>
                <w:spacing w:val="-8"/>
              </w:rPr>
              <w:t xml:space="preserve"> </w:t>
            </w:r>
            <w:r>
              <w:t>that</w:t>
            </w:r>
            <w:r>
              <w:rPr>
                <w:spacing w:val="-8"/>
              </w:rPr>
              <w:t xml:space="preserve"> </w:t>
            </w:r>
            <w:r>
              <w:t>resolved</w:t>
            </w:r>
            <w:r>
              <w:rPr>
                <w:spacing w:val="-9"/>
              </w:rPr>
              <w:t xml:space="preserve"> </w:t>
            </w:r>
            <w:r>
              <w:t>differences.</w:t>
            </w:r>
          </w:p>
        </w:tc>
        <w:tc>
          <w:tcPr>
            <w:tcW w:w="1144" w:type="dxa"/>
            <w:tcBorders>
              <w:top w:val="single" w:sz="4" w:space="0" w:color="000000"/>
              <w:left w:val="single" w:sz="4" w:space="0" w:color="000000"/>
              <w:bottom w:val="single" w:sz="4" w:space="0" w:color="000000"/>
              <w:right w:val="single" w:sz="4" w:space="0" w:color="000000"/>
            </w:tcBorders>
          </w:tcPr>
          <w:p w14:paraId="0DFDC143"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44" w14:textId="77777777" w:rsidR="00046465" w:rsidRDefault="00046465">
            <w:pPr>
              <w:pStyle w:val="TableParagraph"/>
              <w:rPr>
                <w:rFonts w:ascii="Times New Roman"/>
                <w:sz w:val="20"/>
              </w:rPr>
            </w:pPr>
          </w:p>
        </w:tc>
      </w:tr>
      <w:tr w:rsidR="00046465" w14:paraId="0DFDC149" w14:textId="77777777">
        <w:trPr>
          <w:trHeight w:val="879"/>
        </w:trPr>
        <w:tc>
          <w:tcPr>
            <w:tcW w:w="6696" w:type="dxa"/>
            <w:tcBorders>
              <w:top w:val="single" w:sz="4" w:space="0" w:color="000000"/>
              <w:bottom w:val="single" w:sz="4" w:space="0" w:color="000000"/>
              <w:right w:val="single" w:sz="4" w:space="0" w:color="000000"/>
            </w:tcBorders>
          </w:tcPr>
          <w:p w14:paraId="0DFDC146" w14:textId="77777777" w:rsidR="00046465" w:rsidRDefault="008134EB">
            <w:pPr>
              <w:pStyle w:val="TableParagraph"/>
              <w:tabs>
                <w:tab w:val="left" w:pos="1244"/>
              </w:tabs>
              <w:spacing w:before="60"/>
              <w:ind w:left="1244" w:right="310" w:hanging="396"/>
            </w:pPr>
            <w:r>
              <w:rPr>
                <w:spacing w:val="-6"/>
              </w:rPr>
              <w:t>c)</w:t>
            </w:r>
            <w:r>
              <w:tab/>
              <w:t>Review</w:t>
            </w:r>
            <w:r>
              <w:rPr>
                <w:spacing w:val="-7"/>
              </w:rPr>
              <w:t xml:space="preserve"> </w:t>
            </w:r>
            <w:r>
              <w:t>the</w:t>
            </w:r>
            <w:r>
              <w:rPr>
                <w:spacing w:val="-6"/>
              </w:rPr>
              <w:t xml:space="preserve"> </w:t>
            </w:r>
            <w:r>
              <w:t>evidence</w:t>
            </w:r>
            <w:r>
              <w:rPr>
                <w:spacing w:val="-6"/>
              </w:rPr>
              <w:t xml:space="preserve"> </w:t>
            </w:r>
            <w:r>
              <w:t>of</w:t>
            </w:r>
            <w:r>
              <w:rPr>
                <w:spacing w:val="-7"/>
              </w:rPr>
              <w:t xml:space="preserve"> </w:t>
            </w:r>
            <w:r>
              <w:t>management’s</w:t>
            </w:r>
            <w:r>
              <w:rPr>
                <w:spacing w:val="-6"/>
              </w:rPr>
              <w:t xml:space="preserve"> </w:t>
            </w:r>
            <w:r>
              <w:t>monitoring</w:t>
            </w:r>
            <w:r>
              <w:rPr>
                <w:spacing w:val="-6"/>
              </w:rPr>
              <w:t xml:space="preserve"> </w:t>
            </w:r>
            <w:r>
              <w:t>of the timely resolution of differences to determine whether management’s monitoring is effective.</w:t>
            </w:r>
          </w:p>
        </w:tc>
        <w:tc>
          <w:tcPr>
            <w:tcW w:w="1144" w:type="dxa"/>
            <w:tcBorders>
              <w:top w:val="single" w:sz="4" w:space="0" w:color="000000"/>
              <w:left w:val="single" w:sz="4" w:space="0" w:color="000000"/>
              <w:bottom w:val="single" w:sz="4" w:space="0" w:color="000000"/>
              <w:right w:val="single" w:sz="4" w:space="0" w:color="000000"/>
            </w:tcBorders>
          </w:tcPr>
          <w:p w14:paraId="0DFDC147"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48" w14:textId="77777777" w:rsidR="00046465" w:rsidRDefault="00046465">
            <w:pPr>
              <w:pStyle w:val="TableParagraph"/>
              <w:rPr>
                <w:rFonts w:ascii="Times New Roman"/>
                <w:sz w:val="20"/>
              </w:rPr>
            </w:pPr>
          </w:p>
        </w:tc>
      </w:tr>
      <w:tr w:rsidR="00046465" w14:paraId="0DFDC14D" w14:textId="77777777">
        <w:trPr>
          <w:trHeight w:val="952"/>
        </w:trPr>
        <w:tc>
          <w:tcPr>
            <w:tcW w:w="6696" w:type="dxa"/>
            <w:tcBorders>
              <w:top w:val="single" w:sz="4" w:space="0" w:color="000000"/>
              <w:bottom w:val="single" w:sz="4" w:space="0" w:color="000000"/>
              <w:right w:val="single" w:sz="4" w:space="0" w:color="000000"/>
            </w:tcBorders>
          </w:tcPr>
          <w:p w14:paraId="0DFDC14A" w14:textId="77777777" w:rsidR="00046465" w:rsidRDefault="008134EB">
            <w:pPr>
              <w:pStyle w:val="TableParagraph"/>
              <w:tabs>
                <w:tab w:val="left" w:pos="1244"/>
              </w:tabs>
              <w:spacing w:before="60"/>
              <w:ind w:left="1244" w:right="348" w:hanging="397"/>
            </w:pPr>
            <w:r>
              <w:rPr>
                <w:spacing w:val="-6"/>
              </w:rPr>
              <w:t>d)</w:t>
            </w:r>
            <w:r>
              <w:tab/>
              <w:t>Use</w:t>
            </w:r>
            <w:r>
              <w:rPr>
                <w:spacing w:val="-6"/>
              </w:rPr>
              <w:t xml:space="preserve"> </w:t>
            </w:r>
            <w:r>
              <w:t>auditor</w:t>
            </w:r>
            <w:r>
              <w:rPr>
                <w:spacing w:val="-8"/>
              </w:rPr>
              <w:t xml:space="preserve"> </w:t>
            </w:r>
            <w:r>
              <w:t>judgment</w:t>
            </w:r>
            <w:r>
              <w:rPr>
                <w:spacing w:val="-6"/>
              </w:rPr>
              <w:t xml:space="preserve"> </w:t>
            </w:r>
            <w:r>
              <w:t>to</w:t>
            </w:r>
            <w:r>
              <w:rPr>
                <w:spacing w:val="-6"/>
              </w:rPr>
              <w:t xml:space="preserve"> </w:t>
            </w:r>
            <w:r>
              <w:t>conclude</w:t>
            </w:r>
            <w:r>
              <w:rPr>
                <w:spacing w:val="-6"/>
              </w:rPr>
              <w:t xml:space="preserve"> </w:t>
            </w:r>
            <w:r>
              <w:t>whether</w:t>
            </w:r>
            <w:r>
              <w:rPr>
                <w:spacing w:val="-6"/>
              </w:rPr>
              <w:t xml:space="preserve"> </w:t>
            </w:r>
            <w:r>
              <w:t>the</w:t>
            </w:r>
            <w:r>
              <w:rPr>
                <w:spacing w:val="-6"/>
              </w:rPr>
              <w:t xml:space="preserve"> </w:t>
            </w:r>
            <w:r>
              <w:t xml:space="preserve">entity effectively worked with trading partners to resolve </w:t>
            </w:r>
            <w:r>
              <w:rPr>
                <w:spacing w:val="-2"/>
              </w:rPr>
              <w:t>differences.</w:t>
            </w:r>
          </w:p>
        </w:tc>
        <w:tc>
          <w:tcPr>
            <w:tcW w:w="1144" w:type="dxa"/>
            <w:tcBorders>
              <w:top w:val="single" w:sz="4" w:space="0" w:color="000000"/>
              <w:left w:val="single" w:sz="4" w:space="0" w:color="000000"/>
              <w:bottom w:val="single" w:sz="4" w:space="0" w:color="000000"/>
              <w:right w:val="single" w:sz="4" w:space="0" w:color="000000"/>
            </w:tcBorders>
          </w:tcPr>
          <w:p w14:paraId="0DFDC14B"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4C" w14:textId="77777777" w:rsidR="00046465" w:rsidRDefault="00046465">
            <w:pPr>
              <w:pStyle w:val="TableParagraph"/>
              <w:rPr>
                <w:rFonts w:ascii="Times New Roman"/>
                <w:sz w:val="20"/>
              </w:rPr>
            </w:pPr>
          </w:p>
        </w:tc>
      </w:tr>
    </w:tbl>
    <w:p w14:paraId="0DFDC14E" w14:textId="77777777" w:rsidR="00046465" w:rsidRDefault="00046465">
      <w:pPr>
        <w:pStyle w:val="TableParagraph"/>
        <w:rPr>
          <w:rFonts w:ascii="Times New Roman"/>
          <w:sz w:val="20"/>
        </w:rPr>
        <w:sectPr w:rsidR="00046465">
          <w:pgSz w:w="12240" w:h="15840"/>
          <w:pgMar w:top="1340" w:right="720" w:bottom="940" w:left="1080" w:header="721" w:footer="757" w:gutter="0"/>
          <w:cols w:space="720"/>
        </w:sectPr>
      </w:pPr>
    </w:p>
    <w:p w14:paraId="0DFDC14F" w14:textId="77777777" w:rsidR="00046465" w:rsidRDefault="00046465">
      <w:pPr>
        <w:pStyle w:val="BodyText"/>
        <w:spacing w:before="9"/>
        <w:rPr>
          <w:sz w:val="11"/>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C153" w14:textId="77777777">
        <w:trPr>
          <w:trHeight w:val="625"/>
        </w:trPr>
        <w:tc>
          <w:tcPr>
            <w:tcW w:w="6696" w:type="dxa"/>
            <w:tcBorders>
              <w:right w:val="single" w:sz="4" w:space="0" w:color="000000"/>
            </w:tcBorders>
          </w:tcPr>
          <w:p w14:paraId="0DFDC150"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C151"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C152"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C155" w14:textId="77777777">
        <w:trPr>
          <w:trHeight w:val="338"/>
        </w:trPr>
        <w:tc>
          <w:tcPr>
            <w:tcW w:w="9069" w:type="dxa"/>
            <w:gridSpan w:val="3"/>
            <w:tcBorders>
              <w:bottom w:val="single" w:sz="4" w:space="0" w:color="000000"/>
            </w:tcBorders>
          </w:tcPr>
          <w:p w14:paraId="0DFDC154" w14:textId="77777777" w:rsidR="00046465" w:rsidRDefault="008134EB">
            <w:pPr>
              <w:pStyle w:val="TableParagraph"/>
              <w:tabs>
                <w:tab w:val="left" w:pos="1604"/>
              </w:tabs>
              <w:spacing w:before="25"/>
              <w:ind w:left="92"/>
              <w:rPr>
                <w:b/>
                <w:i/>
              </w:rPr>
            </w:pPr>
            <w:r>
              <w:rPr>
                <w:b/>
                <w:i/>
              </w:rPr>
              <w:t>Phase</w:t>
            </w:r>
            <w:r>
              <w:rPr>
                <w:b/>
                <w:i/>
                <w:spacing w:val="-8"/>
              </w:rPr>
              <w:t xml:space="preserve"> </w:t>
            </w:r>
            <w:r>
              <w:rPr>
                <w:b/>
                <w:i/>
                <w:spacing w:val="-4"/>
              </w:rPr>
              <w:t>III:</w:t>
            </w:r>
            <w:r>
              <w:rPr>
                <w:b/>
                <w:i/>
              </w:rPr>
              <w:tab/>
              <w:t>Reporting</w:t>
            </w:r>
            <w:r>
              <w:rPr>
                <w:b/>
                <w:i/>
                <w:spacing w:val="-12"/>
              </w:rPr>
              <w:t xml:space="preserve"> </w:t>
            </w:r>
            <w:r>
              <w:rPr>
                <w:b/>
                <w:i/>
              </w:rPr>
              <w:t>intragovernmental</w:t>
            </w:r>
            <w:r>
              <w:rPr>
                <w:b/>
                <w:i/>
                <w:spacing w:val="-11"/>
              </w:rPr>
              <w:t xml:space="preserve"> </w:t>
            </w:r>
            <w:r>
              <w:rPr>
                <w:b/>
                <w:i/>
              </w:rPr>
              <w:t>activity</w:t>
            </w:r>
            <w:r>
              <w:rPr>
                <w:b/>
                <w:i/>
                <w:spacing w:val="-11"/>
              </w:rPr>
              <w:t xml:space="preserve"> </w:t>
            </w:r>
            <w:r>
              <w:rPr>
                <w:b/>
                <w:i/>
              </w:rPr>
              <w:t>and</w:t>
            </w:r>
            <w:r>
              <w:rPr>
                <w:b/>
                <w:i/>
                <w:spacing w:val="-11"/>
              </w:rPr>
              <w:t xml:space="preserve"> </w:t>
            </w:r>
            <w:r>
              <w:rPr>
                <w:b/>
                <w:i/>
                <w:spacing w:val="-2"/>
              </w:rPr>
              <w:t>balances</w:t>
            </w:r>
          </w:p>
        </w:tc>
      </w:tr>
      <w:tr w:rsidR="00046465" w14:paraId="0DFDC159" w14:textId="77777777">
        <w:trPr>
          <w:trHeight w:val="624"/>
        </w:trPr>
        <w:tc>
          <w:tcPr>
            <w:tcW w:w="6696" w:type="dxa"/>
            <w:tcBorders>
              <w:top w:val="single" w:sz="4" w:space="0" w:color="000000"/>
              <w:bottom w:val="nil"/>
              <w:right w:val="single" w:sz="4" w:space="0" w:color="000000"/>
            </w:tcBorders>
          </w:tcPr>
          <w:p w14:paraId="0DFDC156" w14:textId="77777777" w:rsidR="00046465" w:rsidRDefault="008134EB">
            <w:pPr>
              <w:pStyle w:val="TableParagraph"/>
              <w:tabs>
                <w:tab w:val="left" w:pos="758"/>
              </w:tabs>
              <w:spacing w:before="60"/>
              <w:ind w:left="758" w:right="331" w:hanging="450"/>
            </w:pPr>
            <w:r>
              <w:rPr>
                <w:spacing w:val="-6"/>
              </w:rPr>
              <w:t>4)</w:t>
            </w:r>
            <w:r>
              <w:tab/>
              <w:t>Test</w:t>
            </w:r>
            <w:r>
              <w:rPr>
                <w:spacing w:val="-4"/>
              </w:rPr>
              <w:t xml:space="preserve"> </w:t>
            </w:r>
            <w:r>
              <w:t>relevant</w:t>
            </w:r>
            <w:r>
              <w:rPr>
                <w:spacing w:val="-4"/>
              </w:rPr>
              <w:t xml:space="preserve"> </w:t>
            </w:r>
            <w:r>
              <w:t>control</w:t>
            </w:r>
            <w:r>
              <w:rPr>
                <w:spacing w:val="-4"/>
              </w:rPr>
              <w:t xml:space="preserve"> </w:t>
            </w:r>
            <w:r>
              <w:t>activities</w:t>
            </w:r>
            <w:r>
              <w:rPr>
                <w:spacing w:val="-5"/>
              </w:rPr>
              <w:t xml:space="preserve"> </w:t>
            </w:r>
            <w:r>
              <w:t>in</w:t>
            </w:r>
            <w:r>
              <w:rPr>
                <w:spacing w:val="-4"/>
              </w:rPr>
              <w:t xml:space="preserve"> </w:t>
            </w:r>
            <w:r>
              <w:t>Phase</w:t>
            </w:r>
            <w:r>
              <w:rPr>
                <w:spacing w:val="-4"/>
              </w:rPr>
              <w:t xml:space="preserve"> </w:t>
            </w:r>
            <w:r>
              <w:t>III</w:t>
            </w:r>
            <w:r>
              <w:rPr>
                <w:spacing w:val="-4"/>
              </w:rPr>
              <w:t xml:space="preserve"> </w:t>
            </w:r>
            <w:r>
              <w:t>that</w:t>
            </w:r>
            <w:r>
              <w:rPr>
                <w:spacing w:val="-5"/>
              </w:rPr>
              <w:t xml:space="preserve"> </w:t>
            </w:r>
            <w:r>
              <w:t>have</w:t>
            </w:r>
            <w:r>
              <w:rPr>
                <w:spacing w:val="-4"/>
              </w:rPr>
              <w:t xml:space="preserve"> </w:t>
            </w:r>
            <w:r>
              <w:t xml:space="preserve">been </w:t>
            </w:r>
            <w:r>
              <w:rPr>
                <w:spacing w:val="-2"/>
              </w:rPr>
              <w:t>implemented.</w:t>
            </w:r>
          </w:p>
        </w:tc>
        <w:tc>
          <w:tcPr>
            <w:tcW w:w="1144" w:type="dxa"/>
            <w:vMerge w:val="restart"/>
            <w:tcBorders>
              <w:top w:val="single" w:sz="4" w:space="0" w:color="000000"/>
              <w:left w:val="single" w:sz="4" w:space="0" w:color="000000"/>
              <w:bottom w:val="single" w:sz="4" w:space="0" w:color="000000"/>
              <w:right w:val="single" w:sz="4" w:space="0" w:color="000000"/>
            </w:tcBorders>
          </w:tcPr>
          <w:p w14:paraId="0DFDC157" w14:textId="77777777" w:rsidR="00046465" w:rsidRDefault="00046465">
            <w:pPr>
              <w:pStyle w:val="TableParagraph"/>
              <w:rPr>
                <w:rFonts w:ascii="Times New Roman"/>
                <w:sz w:val="20"/>
              </w:rPr>
            </w:pPr>
          </w:p>
        </w:tc>
        <w:tc>
          <w:tcPr>
            <w:tcW w:w="1229" w:type="dxa"/>
            <w:vMerge w:val="restart"/>
            <w:tcBorders>
              <w:top w:val="single" w:sz="4" w:space="0" w:color="000000"/>
              <w:left w:val="single" w:sz="4" w:space="0" w:color="000000"/>
              <w:bottom w:val="single" w:sz="4" w:space="0" w:color="000000"/>
            </w:tcBorders>
          </w:tcPr>
          <w:p w14:paraId="0DFDC158" w14:textId="77777777" w:rsidR="00046465" w:rsidRDefault="00046465">
            <w:pPr>
              <w:pStyle w:val="TableParagraph"/>
              <w:rPr>
                <w:rFonts w:ascii="Times New Roman"/>
                <w:sz w:val="20"/>
              </w:rPr>
            </w:pPr>
          </w:p>
        </w:tc>
      </w:tr>
      <w:tr w:rsidR="00046465" w14:paraId="0DFDC15E" w14:textId="77777777">
        <w:trPr>
          <w:trHeight w:val="1122"/>
        </w:trPr>
        <w:tc>
          <w:tcPr>
            <w:tcW w:w="6696" w:type="dxa"/>
            <w:tcBorders>
              <w:top w:val="nil"/>
              <w:bottom w:val="single" w:sz="4" w:space="0" w:color="000000"/>
              <w:right w:val="single" w:sz="4" w:space="0" w:color="000000"/>
            </w:tcBorders>
          </w:tcPr>
          <w:p w14:paraId="0DFDC15A" w14:textId="77777777" w:rsidR="00046465" w:rsidRDefault="008134EB">
            <w:pPr>
              <w:pStyle w:val="TableParagraph"/>
              <w:tabs>
                <w:tab w:val="left" w:pos="1244"/>
              </w:tabs>
              <w:spacing w:before="51"/>
              <w:ind w:left="1244" w:right="237" w:hanging="397"/>
            </w:pPr>
            <w:r>
              <w:rPr>
                <w:spacing w:val="-6"/>
              </w:rPr>
              <w:t>a)</w:t>
            </w:r>
            <w:r>
              <w:tab/>
              <w:t>Determine whether the entity appropriately summarized intragovernmental activity and balances in</w:t>
            </w:r>
            <w:r>
              <w:rPr>
                <w:spacing w:val="-6"/>
              </w:rPr>
              <w:t xml:space="preserve"> </w:t>
            </w:r>
            <w:r>
              <w:t>its</w:t>
            </w:r>
            <w:r>
              <w:rPr>
                <w:spacing w:val="-6"/>
              </w:rPr>
              <w:t xml:space="preserve"> </w:t>
            </w:r>
            <w:r>
              <w:t>financial</w:t>
            </w:r>
            <w:r>
              <w:rPr>
                <w:spacing w:val="-6"/>
              </w:rPr>
              <w:t xml:space="preserve"> </w:t>
            </w:r>
            <w:r>
              <w:t>statements</w:t>
            </w:r>
            <w:r>
              <w:rPr>
                <w:spacing w:val="-6"/>
              </w:rPr>
              <w:t xml:space="preserve"> </w:t>
            </w:r>
            <w:r>
              <w:t>in</w:t>
            </w:r>
            <w:r>
              <w:rPr>
                <w:spacing w:val="-6"/>
              </w:rPr>
              <w:t xml:space="preserve"> </w:t>
            </w:r>
            <w:r>
              <w:t>accordance</w:t>
            </w:r>
            <w:r>
              <w:rPr>
                <w:spacing w:val="-6"/>
              </w:rPr>
              <w:t xml:space="preserve"> </w:t>
            </w:r>
            <w:r>
              <w:t>with</w:t>
            </w:r>
            <w:r>
              <w:rPr>
                <w:spacing w:val="-6"/>
              </w:rPr>
              <w:t xml:space="preserve"> </w:t>
            </w:r>
            <w:r>
              <w:t>relevant</w:t>
            </w:r>
          </w:p>
          <w:p w14:paraId="0DFDC15B" w14:textId="77777777" w:rsidR="00046465" w:rsidRDefault="008134EB">
            <w:pPr>
              <w:pStyle w:val="TableParagraph"/>
              <w:spacing w:before="1"/>
              <w:ind w:left="1244"/>
            </w:pPr>
            <w:r>
              <w:t>U.S.</w:t>
            </w:r>
            <w:r>
              <w:rPr>
                <w:spacing w:val="-7"/>
              </w:rPr>
              <w:t xml:space="preserve"> </w:t>
            </w:r>
            <w:r>
              <w:t>GAAP,</w:t>
            </w:r>
            <w:r>
              <w:rPr>
                <w:spacing w:val="-5"/>
              </w:rPr>
              <w:t xml:space="preserve"> </w:t>
            </w:r>
            <w:r>
              <w:t>OMB,</w:t>
            </w:r>
            <w:r>
              <w:rPr>
                <w:spacing w:val="-6"/>
              </w:rPr>
              <w:t xml:space="preserve"> </w:t>
            </w:r>
            <w:r>
              <w:t>and</w:t>
            </w:r>
            <w:r>
              <w:rPr>
                <w:spacing w:val="-6"/>
              </w:rPr>
              <w:t xml:space="preserve"> </w:t>
            </w:r>
            <w:r>
              <w:t>Treasury</w:t>
            </w:r>
            <w:r>
              <w:rPr>
                <w:spacing w:val="-6"/>
              </w:rPr>
              <w:t xml:space="preserve"> </w:t>
            </w:r>
            <w:r>
              <w:rPr>
                <w:spacing w:val="-2"/>
              </w:rPr>
              <w:t>guidance.</w:t>
            </w:r>
          </w:p>
        </w:tc>
        <w:tc>
          <w:tcPr>
            <w:tcW w:w="1144" w:type="dxa"/>
            <w:vMerge/>
            <w:tcBorders>
              <w:top w:val="nil"/>
              <w:left w:val="single" w:sz="4" w:space="0" w:color="000000"/>
              <w:bottom w:val="single" w:sz="4" w:space="0" w:color="000000"/>
              <w:right w:val="single" w:sz="4" w:space="0" w:color="000000"/>
            </w:tcBorders>
          </w:tcPr>
          <w:p w14:paraId="0DFDC15C" w14:textId="77777777" w:rsidR="00046465" w:rsidRDefault="00046465">
            <w:pPr>
              <w:rPr>
                <w:sz w:val="2"/>
                <w:szCs w:val="2"/>
              </w:rPr>
            </w:pPr>
          </w:p>
        </w:tc>
        <w:tc>
          <w:tcPr>
            <w:tcW w:w="1229" w:type="dxa"/>
            <w:vMerge/>
            <w:tcBorders>
              <w:top w:val="nil"/>
              <w:left w:val="single" w:sz="4" w:space="0" w:color="000000"/>
              <w:bottom w:val="single" w:sz="4" w:space="0" w:color="000000"/>
            </w:tcBorders>
          </w:tcPr>
          <w:p w14:paraId="0DFDC15D" w14:textId="77777777" w:rsidR="00046465" w:rsidRDefault="00046465">
            <w:pPr>
              <w:rPr>
                <w:sz w:val="2"/>
                <w:szCs w:val="2"/>
              </w:rPr>
            </w:pPr>
          </w:p>
        </w:tc>
      </w:tr>
      <w:tr w:rsidR="00046465" w14:paraId="0DFDC162" w14:textId="77777777">
        <w:trPr>
          <w:trHeight w:val="879"/>
        </w:trPr>
        <w:tc>
          <w:tcPr>
            <w:tcW w:w="6696" w:type="dxa"/>
            <w:tcBorders>
              <w:top w:val="single" w:sz="4" w:space="0" w:color="000000"/>
              <w:bottom w:val="single" w:sz="4" w:space="0" w:color="000000"/>
              <w:right w:val="single" w:sz="4" w:space="0" w:color="000000"/>
            </w:tcBorders>
          </w:tcPr>
          <w:p w14:paraId="0DFDC15F" w14:textId="77777777" w:rsidR="00046465" w:rsidRDefault="008134EB">
            <w:pPr>
              <w:pStyle w:val="TableParagraph"/>
              <w:tabs>
                <w:tab w:val="left" w:pos="1244"/>
              </w:tabs>
              <w:spacing w:before="61"/>
              <w:ind w:left="1244" w:right="384" w:hanging="397"/>
            </w:pPr>
            <w:r>
              <w:rPr>
                <w:spacing w:val="-6"/>
              </w:rPr>
              <w:t>b)</w:t>
            </w:r>
            <w:r>
              <w:tab/>
              <w:t xml:space="preserve">Obtain a list of the entity’s year-end </w:t>
            </w:r>
            <w:r>
              <w:rPr>
                <w:b/>
              </w:rPr>
              <w:t xml:space="preserve">intra-entity </w:t>
            </w:r>
            <w:r>
              <w:t>intragovernmental</w:t>
            </w:r>
            <w:r>
              <w:rPr>
                <w:spacing w:val="-10"/>
              </w:rPr>
              <w:t xml:space="preserve"> </w:t>
            </w:r>
            <w:r>
              <w:t>amounts</w:t>
            </w:r>
            <w:r>
              <w:rPr>
                <w:spacing w:val="-10"/>
              </w:rPr>
              <w:t xml:space="preserve"> </w:t>
            </w:r>
            <w:r>
              <w:t>identified</w:t>
            </w:r>
            <w:r>
              <w:rPr>
                <w:spacing w:val="-10"/>
              </w:rPr>
              <w:t xml:space="preserve"> </w:t>
            </w:r>
            <w:r>
              <w:t>for</w:t>
            </w:r>
            <w:r>
              <w:rPr>
                <w:spacing w:val="-10"/>
              </w:rPr>
              <w:t xml:space="preserve"> </w:t>
            </w:r>
            <w:r>
              <w:t>elimination and verify for each that</w:t>
            </w:r>
          </w:p>
        </w:tc>
        <w:tc>
          <w:tcPr>
            <w:tcW w:w="1144" w:type="dxa"/>
            <w:tcBorders>
              <w:top w:val="single" w:sz="4" w:space="0" w:color="000000"/>
              <w:left w:val="single" w:sz="4" w:space="0" w:color="000000"/>
              <w:bottom w:val="single" w:sz="4" w:space="0" w:color="000000"/>
              <w:right w:val="single" w:sz="4" w:space="0" w:color="000000"/>
            </w:tcBorders>
          </w:tcPr>
          <w:p w14:paraId="0DFDC160"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61" w14:textId="77777777" w:rsidR="00046465" w:rsidRDefault="00046465">
            <w:pPr>
              <w:pStyle w:val="TableParagraph"/>
              <w:rPr>
                <w:rFonts w:ascii="Times New Roman"/>
                <w:sz w:val="20"/>
              </w:rPr>
            </w:pPr>
          </w:p>
        </w:tc>
      </w:tr>
      <w:tr w:rsidR="00046465" w14:paraId="0DFDC166" w14:textId="77777777">
        <w:trPr>
          <w:trHeight w:val="492"/>
        </w:trPr>
        <w:tc>
          <w:tcPr>
            <w:tcW w:w="6696" w:type="dxa"/>
            <w:tcBorders>
              <w:top w:val="single" w:sz="4" w:space="0" w:color="000000"/>
              <w:bottom w:val="single" w:sz="4" w:space="0" w:color="000000"/>
              <w:right w:val="single" w:sz="4" w:space="0" w:color="000000"/>
            </w:tcBorders>
          </w:tcPr>
          <w:p w14:paraId="0DFDC163" w14:textId="77777777" w:rsidR="00046465" w:rsidRDefault="008134EB">
            <w:pPr>
              <w:pStyle w:val="TableParagraph"/>
              <w:tabs>
                <w:tab w:val="left" w:pos="1797"/>
              </w:tabs>
              <w:spacing w:before="121"/>
              <w:ind w:left="1412"/>
            </w:pPr>
            <w:r>
              <w:rPr>
                <w:spacing w:val="-5"/>
              </w:rPr>
              <w:t>i.</w:t>
            </w:r>
            <w:r>
              <w:tab/>
              <w:t>an</w:t>
            </w:r>
            <w:r>
              <w:rPr>
                <w:spacing w:val="-7"/>
              </w:rPr>
              <w:t xml:space="preserve"> </w:t>
            </w:r>
            <w:r>
              <w:t>eliminating</w:t>
            </w:r>
            <w:r>
              <w:rPr>
                <w:spacing w:val="-6"/>
              </w:rPr>
              <w:t xml:space="preserve"> </w:t>
            </w:r>
            <w:r>
              <w:t>journal</w:t>
            </w:r>
            <w:r>
              <w:rPr>
                <w:spacing w:val="-7"/>
              </w:rPr>
              <w:t xml:space="preserve"> </w:t>
            </w:r>
            <w:r>
              <w:t>entry</w:t>
            </w:r>
            <w:r>
              <w:rPr>
                <w:spacing w:val="-6"/>
              </w:rPr>
              <w:t xml:space="preserve"> </w:t>
            </w:r>
            <w:r>
              <w:t>was</w:t>
            </w:r>
            <w:r>
              <w:rPr>
                <w:spacing w:val="-6"/>
              </w:rPr>
              <w:t xml:space="preserve"> </w:t>
            </w:r>
            <w:r>
              <w:t>done</w:t>
            </w:r>
            <w:r>
              <w:rPr>
                <w:spacing w:val="-7"/>
              </w:rPr>
              <w:t xml:space="preserve"> </w:t>
            </w:r>
            <w:r>
              <w:rPr>
                <w:spacing w:val="-5"/>
              </w:rPr>
              <w:t>and</w:t>
            </w:r>
          </w:p>
        </w:tc>
        <w:tc>
          <w:tcPr>
            <w:tcW w:w="1144" w:type="dxa"/>
            <w:tcBorders>
              <w:top w:val="single" w:sz="4" w:space="0" w:color="000000"/>
              <w:left w:val="single" w:sz="4" w:space="0" w:color="000000"/>
              <w:bottom w:val="single" w:sz="4" w:space="0" w:color="000000"/>
              <w:right w:val="single" w:sz="4" w:space="0" w:color="000000"/>
            </w:tcBorders>
          </w:tcPr>
          <w:p w14:paraId="0DFDC164"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65" w14:textId="77777777" w:rsidR="00046465" w:rsidRDefault="00046465">
            <w:pPr>
              <w:pStyle w:val="TableParagraph"/>
              <w:rPr>
                <w:rFonts w:ascii="Times New Roman"/>
                <w:sz w:val="20"/>
              </w:rPr>
            </w:pPr>
          </w:p>
        </w:tc>
      </w:tr>
      <w:tr w:rsidR="00046465" w14:paraId="0DFDC16A" w14:textId="77777777">
        <w:trPr>
          <w:trHeight w:val="746"/>
        </w:trPr>
        <w:tc>
          <w:tcPr>
            <w:tcW w:w="6696" w:type="dxa"/>
            <w:tcBorders>
              <w:top w:val="single" w:sz="4" w:space="0" w:color="000000"/>
              <w:bottom w:val="single" w:sz="4" w:space="0" w:color="000000"/>
              <w:right w:val="single" w:sz="4" w:space="0" w:color="000000"/>
            </w:tcBorders>
          </w:tcPr>
          <w:p w14:paraId="0DFDC167" w14:textId="77777777" w:rsidR="00046465" w:rsidRDefault="008134EB">
            <w:pPr>
              <w:pStyle w:val="TableParagraph"/>
              <w:tabs>
                <w:tab w:val="left" w:pos="1797"/>
              </w:tabs>
              <w:spacing w:before="121"/>
              <w:ind w:left="1797" w:right="149" w:hanging="435"/>
            </w:pPr>
            <w:r>
              <w:rPr>
                <w:spacing w:val="-4"/>
              </w:rPr>
              <w:t>ii.</w:t>
            </w:r>
            <w:r>
              <w:tab/>
              <w:t>management</w:t>
            </w:r>
            <w:r>
              <w:rPr>
                <w:spacing w:val="-8"/>
              </w:rPr>
              <w:t xml:space="preserve"> </w:t>
            </w:r>
            <w:r>
              <w:t>reviewed</w:t>
            </w:r>
            <w:r>
              <w:rPr>
                <w:spacing w:val="-8"/>
              </w:rPr>
              <w:t xml:space="preserve"> </w:t>
            </w:r>
            <w:r>
              <w:t>and</w:t>
            </w:r>
            <w:r>
              <w:rPr>
                <w:spacing w:val="-8"/>
              </w:rPr>
              <w:t xml:space="preserve"> </w:t>
            </w:r>
            <w:r>
              <w:t>approved</w:t>
            </w:r>
            <w:r>
              <w:rPr>
                <w:spacing w:val="-9"/>
              </w:rPr>
              <w:t xml:space="preserve"> </w:t>
            </w:r>
            <w:r>
              <w:t>the</w:t>
            </w:r>
            <w:r>
              <w:rPr>
                <w:spacing w:val="-8"/>
              </w:rPr>
              <w:t xml:space="preserve"> </w:t>
            </w:r>
            <w:r>
              <w:t>journal entry prior to booking the adjustment.</w:t>
            </w:r>
          </w:p>
        </w:tc>
        <w:tc>
          <w:tcPr>
            <w:tcW w:w="1144" w:type="dxa"/>
            <w:tcBorders>
              <w:top w:val="single" w:sz="4" w:space="0" w:color="000000"/>
              <w:left w:val="single" w:sz="4" w:space="0" w:color="000000"/>
              <w:bottom w:val="single" w:sz="4" w:space="0" w:color="000000"/>
              <w:right w:val="single" w:sz="4" w:space="0" w:color="000000"/>
            </w:tcBorders>
          </w:tcPr>
          <w:p w14:paraId="0DFDC168"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69" w14:textId="77777777" w:rsidR="00046465" w:rsidRDefault="00046465">
            <w:pPr>
              <w:pStyle w:val="TableParagraph"/>
              <w:rPr>
                <w:rFonts w:ascii="Times New Roman"/>
                <w:sz w:val="20"/>
              </w:rPr>
            </w:pPr>
          </w:p>
        </w:tc>
      </w:tr>
      <w:tr w:rsidR="00046465" w14:paraId="0DFDC16E" w14:textId="77777777">
        <w:trPr>
          <w:trHeight w:val="1385"/>
        </w:trPr>
        <w:tc>
          <w:tcPr>
            <w:tcW w:w="6696" w:type="dxa"/>
            <w:tcBorders>
              <w:top w:val="single" w:sz="4" w:space="0" w:color="000000"/>
              <w:bottom w:val="single" w:sz="4" w:space="0" w:color="000000"/>
              <w:right w:val="single" w:sz="4" w:space="0" w:color="000000"/>
            </w:tcBorders>
          </w:tcPr>
          <w:p w14:paraId="0DFDC16B" w14:textId="77777777" w:rsidR="00046465" w:rsidRDefault="008134EB">
            <w:pPr>
              <w:pStyle w:val="TableParagraph"/>
              <w:tabs>
                <w:tab w:val="left" w:pos="1244"/>
              </w:tabs>
              <w:spacing w:before="61"/>
              <w:ind w:left="1244" w:right="297" w:hanging="396"/>
            </w:pPr>
            <w:r>
              <w:rPr>
                <w:spacing w:val="-6"/>
              </w:rPr>
              <w:t>c)</w:t>
            </w:r>
            <w:r>
              <w:tab/>
              <w:t>Read FASAB and OMB reporting guidance to determine the requirements for reporting intragovernmental</w:t>
            </w:r>
            <w:r>
              <w:rPr>
                <w:spacing w:val="-8"/>
              </w:rPr>
              <w:t xml:space="preserve"> </w:t>
            </w:r>
            <w:r>
              <w:t>information</w:t>
            </w:r>
            <w:r>
              <w:rPr>
                <w:spacing w:val="-8"/>
              </w:rPr>
              <w:t xml:space="preserve"> </w:t>
            </w:r>
            <w:r>
              <w:t>in</w:t>
            </w:r>
            <w:r>
              <w:rPr>
                <w:spacing w:val="-8"/>
              </w:rPr>
              <w:t xml:space="preserve"> </w:t>
            </w:r>
            <w:r>
              <w:t>the</w:t>
            </w:r>
            <w:r>
              <w:rPr>
                <w:spacing w:val="-8"/>
              </w:rPr>
              <w:t xml:space="preserve"> </w:t>
            </w:r>
            <w:r>
              <w:t>entity’s</w:t>
            </w:r>
            <w:r>
              <w:rPr>
                <w:spacing w:val="-8"/>
              </w:rPr>
              <w:t xml:space="preserve"> </w:t>
            </w:r>
            <w:r>
              <w:t>financial statements. Review the information to determine whether the entity complies.</w:t>
            </w:r>
          </w:p>
        </w:tc>
        <w:tc>
          <w:tcPr>
            <w:tcW w:w="1144" w:type="dxa"/>
            <w:tcBorders>
              <w:top w:val="single" w:sz="4" w:space="0" w:color="000000"/>
              <w:left w:val="single" w:sz="4" w:space="0" w:color="000000"/>
              <w:bottom w:val="single" w:sz="4" w:space="0" w:color="000000"/>
              <w:right w:val="single" w:sz="4" w:space="0" w:color="000000"/>
            </w:tcBorders>
          </w:tcPr>
          <w:p w14:paraId="0DFDC16C"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6D" w14:textId="77777777" w:rsidR="00046465" w:rsidRDefault="00046465">
            <w:pPr>
              <w:pStyle w:val="TableParagraph"/>
              <w:rPr>
                <w:rFonts w:ascii="Times New Roman"/>
                <w:sz w:val="20"/>
              </w:rPr>
            </w:pPr>
          </w:p>
        </w:tc>
      </w:tr>
      <w:tr w:rsidR="00046465" w14:paraId="0DFDC172" w14:textId="77777777">
        <w:trPr>
          <w:trHeight w:val="1384"/>
        </w:trPr>
        <w:tc>
          <w:tcPr>
            <w:tcW w:w="6696" w:type="dxa"/>
            <w:tcBorders>
              <w:top w:val="single" w:sz="4" w:space="0" w:color="000000"/>
              <w:bottom w:val="single" w:sz="4" w:space="0" w:color="000000"/>
              <w:right w:val="single" w:sz="4" w:space="0" w:color="000000"/>
            </w:tcBorders>
          </w:tcPr>
          <w:p w14:paraId="0DFDC16F" w14:textId="77777777" w:rsidR="00046465" w:rsidRDefault="008134EB">
            <w:pPr>
              <w:pStyle w:val="TableParagraph"/>
              <w:tabs>
                <w:tab w:val="left" w:pos="1244"/>
              </w:tabs>
              <w:spacing w:before="60"/>
              <w:ind w:left="1244" w:right="213" w:hanging="397"/>
            </w:pPr>
            <w:r>
              <w:rPr>
                <w:spacing w:val="-6"/>
              </w:rPr>
              <w:t>d)</w:t>
            </w:r>
            <w:r>
              <w:tab/>
              <w:t>Reconcile the intragovernmental data submitted to Treasury to the entity’s general ledger and/or review and</w:t>
            </w:r>
            <w:r>
              <w:rPr>
                <w:spacing w:val="-4"/>
              </w:rPr>
              <w:t xml:space="preserve"> </w:t>
            </w:r>
            <w:r>
              <w:t>re-perform</w:t>
            </w:r>
            <w:r>
              <w:rPr>
                <w:spacing w:val="-5"/>
              </w:rPr>
              <w:t xml:space="preserve"> </w:t>
            </w:r>
            <w:r>
              <w:t>other</w:t>
            </w:r>
            <w:r>
              <w:rPr>
                <w:spacing w:val="-4"/>
              </w:rPr>
              <w:t xml:space="preserve"> </w:t>
            </w:r>
            <w:r>
              <w:t>procedures</w:t>
            </w:r>
            <w:r>
              <w:rPr>
                <w:spacing w:val="-4"/>
              </w:rPr>
              <w:t xml:space="preserve"> </w:t>
            </w:r>
            <w:r>
              <w:t>the</w:t>
            </w:r>
            <w:r>
              <w:rPr>
                <w:spacing w:val="-5"/>
              </w:rPr>
              <w:t xml:space="preserve"> </w:t>
            </w:r>
            <w:r>
              <w:t>entity</w:t>
            </w:r>
            <w:r>
              <w:rPr>
                <w:spacing w:val="-4"/>
              </w:rPr>
              <w:t xml:space="preserve"> </w:t>
            </w:r>
            <w:r>
              <w:t>performed to</w:t>
            </w:r>
            <w:r>
              <w:rPr>
                <w:spacing w:val="-5"/>
              </w:rPr>
              <w:t xml:space="preserve"> </w:t>
            </w:r>
            <w:r>
              <w:t>ensure</w:t>
            </w:r>
            <w:r>
              <w:rPr>
                <w:spacing w:val="-5"/>
              </w:rPr>
              <w:t xml:space="preserve"> </w:t>
            </w:r>
            <w:r>
              <w:t>that</w:t>
            </w:r>
            <w:r>
              <w:rPr>
                <w:spacing w:val="-5"/>
              </w:rPr>
              <w:t xml:space="preserve"> </w:t>
            </w:r>
            <w:r>
              <w:t>the</w:t>
            </w:r>
            <w:r>
              <w:rPr>
                <w:spacing w:val="-5"/>
              </w:rPr>
              <w:t xml:space="preserve"> </w:t>
            </w:r>
            <w:r>
              <w:t>data</w:t>
            </w:r>
            <w:r>
              <w:rPr>
                <w:spacing w:val="-5"/>
              </w:rPr>
              <w:t xml:space="preserve"> </w:t>
            </w:r>
            <w:r>
              <w:t>sent</w:t>
            </w:r>
            <w:r>
              <w:rPr>
                <w:spacing w:val="-5"/>
              </w:rPr>
              <w:t xml:space="preserve"> </w:t>
            </w:r>
            <w:r>
              <w:t>to</w:t>
            </w:r>
            <w:r>
              <w:rPr>
                <w:spacing w:val="-5"/>
              </w:rPr>
              <w:t xml:space="preserve"> </w:t>
            </w:r>
            <w:r>
              <w:t>Treasury</w:t>
            </w:r>
            <w:r>
              <w:rPr>
                <w:spacing w:val="-5"/>
              </w:rPr>
              <w:t xml:space="preserve"> </w:t>
            </w:r>
            <w:r>
              <w:t>was</w:t>
            </w:r>
            <w:r>
              <w:rPr>
                <w:spacing w:val="-5"/>
              </w:rPr>
              <w:t xml:space="preserve"> </w:t>
            </w:r>
            <w:r>
              <w:t>accurate and complete.</w:t>
            </w:r>
          </w:p>
        </w:tc>
        <w:tc>
          <w:tcPr>
            <w:tcW w:w="1144" w:type="dxa"/>
            <w:tcBorders>
              <w:top w:val="single" w:sz="4" w:space="0" w:color="000000"/>
              <w:left w:val="single" w:sz="4" w:space="0" w:color="000000"/>
              <w:bottom w:val="single" w:sz="4" w:space="0" w:color="000000"/>
              <w:right w:val="single" w:sz="4" w:space="0" w:color="000000"/>
            </w:tcBorders>
          </w:tcPr>
          <w:p w14:paraId="0DFDC170"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71" w14:textId="77777777" w:rsidR="00046465" w:rsidRDefault="00046465">
            <w:pPr>
              <w:pStyle w:val="TableParagraph"/>
              <w:rPr>
                <w:rFonts w:ascii="Times New Roman"/>
                <w:sz w:val="20"/>
              </w:rPr>
            </w:pPr>
          </w:p>
        </w:tc>
      </w:tr>
      <w:tr w:rsidR="00046465" w14:paraId="0DFDC176" w14:textId="77777777">
        <w:trPr>
          <w:trHeight w:val="626"/>
        </w:trPr>
        <w:tc>
          <w:tcPr>
            <w:tcW w:w="6696" w:type="dxa"/>
            <w:tcBorders>
              <w:top w:val="single" w:sz="4" w:space="0" w:color="000000"/>
              <w:bottom w:val="single" w:sz="4" w:space="0" w:color="000000"/>
              <w:right w:val="single" w:sz="4" w:space="0" w:color="000000"/>
            </w:tcBorders>
          </w:tcPr>
          <w:p w14:paraId="0DFDC173" w14:textId="77777777" w:rsidR="00046465" w:rsidRDefault="008134EB">
            <w:pPr>
              <w:pStyle w:val="TableParagraph"/>
              <w:tabs>
                <w:tab w:val="left" w:pos="1244"/>
              </w:tabs>
              <w:spacing w:before="60"/>
              <w:ind w:left="1244" w:right="237" w:hanging="397"/>
            </w:pPr>
            <w:r>
              <w:rPr>
                <w:spacing w:val="-6"/>
              </w:rPr>
              <w:t>e)</w:t>
            </w:r>
            <w:r>
              <w:tab/>
              <w:t>Verify</w:t>
            </w:r>
            <w:r>
              <w:rPr>
                <w:spacing w:val="-2"/>
              </w:rPr>
              <w:t xml:space="preserve"> </w:t>
            </w:r>
            <w:r>
              <w:t>that</w:t>
            </w:r>
            <w:r>
              <w:rPr>
                <w:spacing w:val="-2"/>
              </w:rPr>
              <w:t xml:space="preserve"> </w:t>
            </w:r>
            <w:r>
              <w:t>the</w:t>
            </w:r>
            <w:r>
              <w:rPr>
                <w:spacing w:val="-2"/>
              </w:rPr>
              <w:t xml:space="preserve"> </w:t>
            </w:r>
            <w:r>
              <w:t>results</w:t>
            </w:r>
            <w:r>
              <w:rPr>
                <w:spacing w:val="-2"/>
              </w:rPr>
              <w:t xml:space="preserve"> </w:t>
            </w:r>
            <w:r>
              <w:t>of</w:t>
            </w:r>
            <w:r>
              <w:rPr>
                <w:spacing w:val="-3"/>
              </w:rPr>
              <w:t xml:space="preserve"> </w:t>
            </w:r>
            <w:r>
              <w:t>the</w:t>
            </w:r>
            <w:r>
              <w:rPr>
                <w:spacing w:val="-2"/>
              </w:rPr>
              <w:t xml:space="preserve"> </w:t>
            </w:r>
            <w:r>
              <w:t>procedures</w:t>
            </w:r>
            <w:r>
              <w:rPr>
                <w:spacing w:val="-2"/>
              </w:rPr>
              <w:t xml:space="preserve"> </w:t>
            </w:r>
            <w:r>
              <w:t>in</w:t>
            </w:r>
            <w:r>
              <w:rPr>
                <w:spacing w:val="-2"/>
              </w:rPr>
              <w:t xml:space="preserve"> </w:t>
            </w:r>
            <w:r>
              <w:t>“a”</w:t>
            </w:r>
            <w:r>
              <w:rPr>
                <w:spacing w:val="-2"/>
              </w:rPr>
              <w:t xml:space="preserve"> </w:t>
            </w:r>
            <w:r>
              <w:t>and</w:t>
            </w:r>
            <w:r>
              <w:rPr>
                <w:spacing w:val="-2"/>
              </w:rPr>
              <w:t xml:space="preserve"> </w:t>
            </w:r>
            <w:r>
              <w:t>“d” above</w:t>
            </w:r>
            <w:r>
              <w:rPr>
                <w:spacing w:val="-7"/>
              </w:rPr>
              <w:t xml:space="preserve"> </w:t>
            </w:r>
            <w:r>
              <w:t>were</w:t>
            </w:r>
            <w:r>
              <w:rPr>
                <w:spacing w:val="-6"/>
              </w:rPr>
              <w:t xml:space="preserve"> </w:t>
            </w:r>
            <w:r>
              <w:t>reviewed</w:t>
            </w:r>
            <w:r>
              <w:rPr>
                <w:spacing w:val="-6"/>
              </w:rPr>
              <w:t xml:space="preserve"> </w:t>
            </w:r>
            <w:r>
              <w:t>and</w:t>
            </w:r>
            <w:r>
              <w:rPr>
                <w:spacing w:val="-6"/>
              </w:rPr>
              <w:t xml:space="preserve"> </w:t>
            </w:r>
            <w:r>
              <w:t>approved</w:t>
            </w:r>
            <w:r>
              <w:rPr>
                <w:spacing w:val="-7"/>
              </w:rPr>
              <w:t xml:space="preserve"> </w:t>
            </w:r>
            <w:r>
              <w:t>by</w:t>
            </w:r>
            <w:r>
              <w:rPr>
                <w:spacing w:val="-6"/>
              </w:rPr>
              <w:t xml:space="preserve"> </w:t>
            </w:r>
            <w:r>
              <w:rPr>
                <w:spacing w:val="-2"/>
              </w:rPr>
              <w:t>management.</w:t>
            </w:r>
          </w:p>
        </w:tc>
        <w:tc>
          <w:tcPr>
            <w:tcW w:w="1144" w:type="dxa"/>
            <w:tcBorders>
              <w:top w:val="single" w:sz="4" w:space="0" w:color="000000"/>
              <w:left w:val="single" w:sz="4" w:space="0" w:color="000000"/>
              <w:bottom w:val="single" w:sz="4" w:space="0" w:color="000000"/>
              <w:right w:val="single" w:sz="4" w:space="0" w:color="000000"/>
            </w:tcBorders>
          </w:tcPr>
          <w:p w14:paraId="0DFDC174"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75" w14:textId="77777777" w:rsidR="00046465" w:rsidRDefault="00046465">
            <w:pPr>
              <w:pStyle w:val="TableParagraph"/>
              <w:rPr>
                <w:rFonts w:ascii="Times New Roman"/>
                <w:sz w:val="20"/>
              </w:rPr>
            </w:pPr>
          </w:p>
        </w:tc>
      </w:tr>
      <w:tr w:rsidR="00046465" w14:paraId="0DFDC17A" w14:textId="77777777">
        <w:trPr>
          <w:trHeight w:val="1385"/>
        </w:trPr>
        <w:tc>
          <w:tcPr>
            <w:tcW w:w="6696" w:type="dxa"/>
            <w:tcBorders>
              <w:top w:val="single" w:sz="4" w:space="0" w:color="000000"/>
              <w:bottom w:val="single" w:sz="4" w:space="0" w:color="000000"/>
              <w:right w:val="single" w:sz="4" w:space="0" w:color="000000"/>
            </w:tcBorders>
          </w:tcPr>
          <w:p w14:paraId="0DFDC177" w14:textId="77777777" w:rsidR="00046465" w:rsidRDefault="008134EB">
            <w:pPr>
              <w:pStyle w:val="TableParagraph"/>
              <w:tabs>
                <w:tab w:val="left" w:pos="1244"/>
              </w:tabs>
              <w:spacing w:before="60"/>
              <w:ind w:left="1244" w:right="528" w:hanging="396"/>
            </w:pPr>
            <w:r>
              <w:rPr>
                <w:spacing w:val="-6"/>
              </w:rPr>
              <w:t>f)</w:t>
            </w:r>
            <w:r>
              <w:tab/>
              <w:t>Verify</w:t>
            </w:r>
            <w:r>
              <w:rPr>
                <w:spacing w:val="-6"/>
              </w:rPr>
              <w:t xml:space="preserve"> </w:t>
            </w:r>
            <w:r>
              <w:t>that</w:t>
            </w:r>
            <w:r>
              <w:rPr>
                <w:spacing w:val="-6"/>
              </w:rPr>
              <w:t xml:space="preserve"> </w:t>
            </w:r>
            <w:r>
              <w:t>entity</w:t>
            </w:r>
            <w:r>
              <w:rPr>
                <w:spacing w:val="-6"/>
              </w:rPr>
              <w:t xml:space="preserve"> </w:t>
            </w:r>
            <w:r>
              <w:t>personnel</w:t>
            </w:r>
            <w:r>
              <w:rPr>
                <w:spacing w:val="-6"/>
              </w:rPr>
              <w:t xml:space="preserve"> </w:t>
            </w:r>
            <w:r>
              <w:t>that</w:t>
            </w:r>
            <w:r>
              <w:rPr>
                <w:spacing w:val="-6"/>
              </w:rPr>
              <w:t xml:space="preserve"> </w:t>
            </w:r>
            <w:r>
              <w:t>accessed</w:t>
            </w:r>
            <w:r>
              <w:rPr>
                <w:spacing w:val="-6"/>
              </w:rPr>
              <w:t xml:space="preserve"> </w:t>
            </w:r>
            <w:r>
              <w:t>financial reporting systems, including Treasury’s GTAS, to report the entity’s intragovernmental data were (i) authorized by the entity to do so and (ii) have role descriptions that include this work.</w:t>
            </w:r>
          </w:p>
        </w:tc>
        <w:tc>
          <w:tcPr>
            <w:tcW w:w="1144" w:type="dxa"/>
            <w:tcBorders>
              <w:top w:val="single" w:sz="4" w:space="0" w:color="000000"/>
              <w:left w:val="single" w:sz="4" w:space="0" w:color="000000"/>
              <w:bottom w:val="single" w:sz="4" w:space="0" w:color="000000"/>
              <w:right w:val="single" w:sz="4" w:space="0" w:color="000000"/>
            </w:tcBorders>
          </w:tcPr>
          <w:p w14:paraId="0DFDC178"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79" w14:textId="77777777" w:rsidR="00046465" w:rsidRDefault="00046465">
            <w:pPr>
              <w:pStyle w:val="TableParagraph"/>
              <w:rPr>
                <w:rFonts w:ascii="Times New Roman"/>
                <w:sz w:val="20"/>
              </w:rPr>
            </w:pPr>
          </w:p>
        </w:tc>
      </w:tr>
      <w:tr w:rsidR="00046465" w14:paraId="0DFDC17E" w14:textId="77777777">
        <w:trPr>
          <w:trHeight w:val="1656"/>
        </w:trPr>
        <w:tc>
          <w:tcPr>
            <w:tcW w:w="6696" w:type="dxa"/>
            <w:tcBorders>
              <w:top w:val="single" w:sz="4" w:space="0" w:color="000000"/>
              <w:bottom w:val="single" w:sz="4" w:space="0" w:color="000000"/>
              <w:right w:val="single" w:sz="4" w:space="0" w:color="000000"/>
            </w:tcBorders>
          </w:tcPr>
          <w:p w14:paraId="0DFDC17B" w14:textId="77777777" w:rsidR="00046465" w:rsidRDefault="008134EB">
            <w:pPr>
              <w:pStyle w:val="TableParagraph"/>
              <w:tabs>
                <w:tab w:val="left" w:pos="1244"/>
              </w:tabs>
              <w:spacing w:before="60"/>
              <w:ind w:left="1244" w:right="616" w:hanging="397"/>
            </w:pPr>
            <w:r>
              <w:rPr>
                <w:spacing w:val="-6"/>
              </w:rPr>
              <w:t>g)</w:t>
            </w:r>
            <w:r>
              <w:tab/>
              <w:t>If the entity determines that it has recurring or permanent</w:t>
            </w:r>
            <w:r>
              <w:rPr>
                <w:spacing w:val="-7"/>
              </w:rPr>
              <w:t xml:space="preserve"> </w:t>
            </w:r>
            <w:r>
              <w:t>differences</w:t>
            </w:r>
            <w:r>
              <w:rPr>
                <w:spacing w:val="-7"/>
              </w:rPr>
              <w:t xml:space="preserve"> </w:t>
            </w:r>
            <w:r>
              <w:t>with</w:t>
            </w:r>
            <w:r>
              <w:rPr>
                <w:spacing w:val="-7"/>
              </w:rPr>
              <w:t xml:space="preserve"> </w:t>
            </w:r>
            <w:r>
              <w:t>its</w:t>
            </w:r>
            <w:r>
              <w:rPr>
                <w:spacing w:val="-7"/>
              </w:rPr>
              <w:t xml:space="preserve"> </w:t>
            </w:r>
            <w:r>
              <w:t>trading</w:t>
            </w:r>
            <w:r>
              <w:rPr>
                <w:spacing w:val="-7"/>
              </w:rPr>
              <w:t xml:space="preserve"> </w:t>
            </w:r>
            <w:r>
              <w:t>partner</w:t>
            </w:r>
            <w:r>
              <w:rPr>
                <w:spacing w:val="-7"/>
              </w:rPr>
              <w:t xml:space="preserve"> </w:t>
            </w:r>
            <w:r>
              <w:t>(for example, due to a difference in accounting methodology), inquire of management how it communicates this information to Treasury.</w:t>
            </w:r>
          </w:p>
        </w:tc>
        <w:tc>
          <w:tcPr>
            <w:tcW w:w="1144" w:type="dxa"/>
            <w:tcBorders>
              <w:top w:val="single" w:sz="4" w:space="0" w:color="000000"/>
              <w:left w:val="single" w:sz="4" w:space="0" w:color="000000"/>
              <w:bottom w:val="single" w:sz="4" w:space="0" w:color="000000"/>
              <w:right w:val="single" w:sz="4" w:space="0" w:color="000000"/>
            </w:tcBorders>
          </w:tcPr>
          <w:p w14:paraId="0DFDC17C"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7D" w14:textId="77777777" w:rsidR="00046465" w:rsidRDefault="00046465">
            <w:pPr>
              <w:pStyle w:val="TableParagraph"/>
              <w:rPr>
                <w:rFonts w:ascii="Times New Roman"/>
                <w:sz w:val="20"/>
              </w:rPr>
            </w:pPr>
          </w:p>
        </w:tc>
      </w:tr>
      <w:tr w:rsidR="00046465" w14:paraId="0DFDC180" w14:textId="77777777">
        <w:trPr>
          <w:trHeight w:val="372"/>
        </w:trPr>
        <w:tc>
          <w:tcPr>
            <w:tcW w:w="9069" w:type="dxa"/>
            <w:gridSpan w:val="3"/>
            <w:tcBorders>
              <w:top w:val="single" w:sz="4" w:space="0" w:color="000000"/>
              <w:bottom w:val="single" w:sz="4" w:space="0" w:color="000000"/>
            </w:tcBorders>
          </w:tcPr>
          <w:p w14:paraId="0DFDC17F" w14:textId="77777777" w:rsidR="00046465" w:rsidRDefault="008134EB">
            <w:pPr>
              <w:pStyle w:val="TableParagraph"/>
              <w:spacing w:before="60"/>
              <w:ind w:left="92"/>
              <w:rPr>
                <w:b/>
                <w:i/>
              </w:rPr>
            </w:pPr>
            <w:r>
              <w:rPr>
                <w:b/>
                <w:i/>
                <w:spacing w:val="-2"/>
              </w:rPr>
              <w:t>Other</w:t>
            </w:r>
          </w:p>
        </w:tc>
      </w:tr>
      <w:tr w:rsidR="00046465" w14:paraId="0DFDC185" w14:textId="77777777">
        <w:trPr>
          <w:trHeight w:val="1072"/>
        </w:trPr>
        <w:tc>
          <w:tcPr>
            <w:tcW w:w="6696" w:type="dxa"/>
            <w:tcBorders>
              <w:top w:val="single" w:sz="4" w:space="0" w:color="000000"/>
              <w:bottom w:val="single" w:sz="4" w:space="0" w:color="000000"/>
              <w:right w:val="single" w:sz="4" w:space="0" w:color="000000"/>
            </w:tcBorders>
          </w:tcPr>
          <w:p w14:paraId="0DFDC181" w14:textId="77777777" w:rsidR="00046465" w:rsidRDefault="008134EB">
            <w:pPr>
              <w:pStyle w:val="TableParagraph"/>
              <w:spacing w:before="60"/>
              <w:ind w:left="848" w:right="45" w:hanging="361"/>
            </w:pPr>
            <w:r>
              <w:t>5)</w:t>
            </w:r>
            <w:r>
              <w:rPr>
                <w:spacing w:val="80"/>
              </w:rPr>
              <w:t xml:space="preserve"> </w:t>
            </w:r>
            <w:r>
              <w:t>At</w:t>
            </w:r>
            <w:r>
              <w:rPr>
                <w:spacing w:val="-3"/>
              </w:rPr>
              <w:t xml:space="preserve"> </w:t>
            </w:r>
            <w:r>
              <w:t>the</w:t>
            </w:r>
            <w:r>
              <w:rPr>
                <w:spacing w:val="-3"/>
              </w:rPr>
              <w:t xml:space="preserve"> </w:t>
            </w:r>
            <w:r>
              <w:t>conclusion</w:t>
            </w:r>
            <w:r>
              <w:rPr>
                <w:spacing w:val="-3"/>
              </w:rPr>
              <w:t xml:space="preserve"> </w:t>
            </w:r>
            <w:r>
              <w:t>of</w:t>
            </w:r>
            <w:r>
              <w:rPr>
                <w:spacing w:val="-3"/>
              </w:rPr>
              <w:t xml:space="preserve"> </w:t>
            </w:r>
            <w:r>
              <w:t>interim</w:t>
            </w:r>
            <w:r>
              <w:rPr>
                <w:spacing w:val="-4"/>
              </w:rPr>
              <w:t xml:space="preserve"> </w:t>
            </w:r>
            <w:r>
              <w:t>testing,</w:t>
            </w:r>
            <w:r>
              <w:rPr>
                <w:spacing w:val="-4"/>
              </w:rPr>
              <w:t xml:space="preserve"> </w:t>
            </w:r>
            <w:r>
              <w:t>based</w:t>
            </w:r>
            <w:r>
              <w:rPr>
                <w:spacing w:val="-3"/>
              </w:rPr>
              <w:t xml:space="preserve"> </w:t>
            </w:r>
            <w:r>
              <w:t>on</w:t>
            </w:r>
            <w:r>
              <w:rPr>
                <w:spacing w:val="-3"/>
              </w:rPr>
              <w:t xml:space="preserve"> </w:t>
            </w:r>
            <w:r>
              <w:t>the</w:t>
            </w:r>
            <w:r>
              <w:rPr>
                <w:spacing w:val="-3"/>
              </w:rPr>
              <w:t xml:space="preserve"> </w:t>
            </w:r>
            <w:r>
              <w:t>results</w:t>
            </w:r>
            <w:r>
              <w:rPr>
                <w:spacing w:val="-3"/>
              </w:rPr>
              <w:t xml:space="preserve"> </w:t>
            </w:r>
            <w:r>
              <w:t>of testing,</w:t>
            </w:r>
            <w:r>
              <w:rPr>
                <w:spacing w:val="-7"/>
              </w:rPr>
              <w:t xml:space="preserve"> </w:t>
            </w:r>
            <w:r>
              <w:t>reassess</w:t>
            </w:r>
            <w:r>
              <w:rPr>
                <w:spacing w:val="-7"/>
              </w:rPr>
              <w:t xml:space="preserve"> </w:t>
            </w:r>
            <w:r>
              <w:t>the</w:t>
            </w:r>
            <w:r>
              <w:rPr>
                <w:spacing w:val="-7"/>
              </w:rPr>
              <w:t xml:space="preserve"> </w:t>
            </w:r>
            <w:r>
              <w:t>risk</w:t>
            </w:r>
            <w:r>
              <w:rPr>
                <w:spacing w:val="-8"/>
              </w:rPr>
              <w:t xml:space="preserve"> </w:t>
            </w:r>
            <w:r>
              <w:t>of</w:t>
            </w:r>
            <w:r>
              <w:rPr>
                <w:spacing w:val="-7"/>
              </w:rPr>
              <w:t xml:space="preserve"> </w:t>
            </w:r>
            <w:r>
              <w:t>material</w:t>
            </w:r>
            <w:r>
              <w:rPr>
                <w:spacing w:val="-7"/>
              </w:rPr>
              <w:t xml:space="preserve"> </w:t>
            </w:r>
            <w:r>
              <w:t>misstatement</w:t>
            </w:r>
            <w:r>
              <w:rPr>
                <w:spacing w:val="-6"/>
              </w:rPr>
              <w:t xml:space="preserve"> </w:t>
            </w:r>
            <w:r>
              <w:t>and</w:t>
            </w:r>
            <w:r>
              <w:rPr>
                <w:spacing w:val="-7"/>
              </w:rPr>
              <w:t xml:space="preserve"> </w:t>
            </w:r>
            <w:r>
              <w:rPr>
                <w:spacing w:val="-5"/>
              </w:rPr>
              <w:t>the</w:t>
            </w:r>
          </w:p>
          <w:p w14:paraId="0DFDC182" w14:textId="77777777" w:rsidR="00046465" w:rsidRDefault="008134EB">
            <w:pPr>
              <w:pStyle w:val="TableParagraph"/>
              <w:spacing w:line="254" w:lineRule="exact"/>
              <w:ind w:left="848"/>
            </w:pPr>
            <w:r>
              <w:t>overall audit assurance needed, then revise audit procedures.</w:t>
            </w:r>
            <w:r>
              <w:rPr>
                <w:spacing w:val="-7"/>
              </w:rPr>
              <w:t xml:space="preserve"> </w:t>
            </w:r>
            <w:r>
              <w:t>If</w:t>
            </w:r>
            <w:r>
              <w:rPr>
                <w:spacing w:val="-6"/>
              </w:rPr>
              <w:t xml:space="preserve"> </w:t>
            </w:r>
            <w:r>
              <w:t>material</w:t>
            </w:r>
            <w:r>
              <w:rPr>
                <w:spacing w:val="-6"/>
              </w:rPr>
              <w:t xml:space="preserve"> </w:t>
            </w:r>
            <w:r>
              <w:t>weaknesses</w:t>
            </w:r>
            <w:r>
              <w:rPr>
                <w:spacing w:val="-7"/>
              </w:rPr>
              <w:t xml:space="preserve"> </w:t>
            </w:r>
            <w:r>
              <w:t>or</w:t>
            </w:r>
            <w:r>
              <w:rPr>
                <w:spacing w:val="-6"/>
              </w:rPr>
              <w:t xml:space="preserve"> </w:t>
            </w:r>
            <w:r>
              <w:t>other</w:t>
            </w:r>
            <w:r>
              <w:rPr>
                <w:spacing w:val="-6"/>
              </w:rPr>
              <w:t xml:space="preserve"> </w:t>
            </w:r>
            <w:r>
              <w:t>significant</w:t>
            </w:r>
          </w:p>
        </w:tc>
        <w:tc>
          <w:tcPr>
            <w:tcW w:w="1144" w:type="dxa"/>
            <w:tcBorders>
              <w:top w:val="single" w:sz="4" w:space="0" w:color="000000"/>
              <w:left w:val="single" w:sz="4" w:space="0" w:color="000000"/>
              <w:bottom w:val="single" w:sz="4" w:space="0" w:color="000000"/>
              <w:right w:val="single" w:sz="4" w:space="0" w:color="000000"/>
            </w:tcBorders>
          </w:tcPr>
          <w:p w14:paraId="0DFDC183"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84" w14:textId="77777777" w:rsidR="00046465" w:rsidRDefault="00046465">
            <w:pPr>
              <w:pStyle w:val="TableParagraph"/>
              <w:rPr>
                <w:rFonts w:ascii="Times New Roman"/>
                <w:sz w:val="20"/>
              </w:rPr>
            </w:pPr>
          </w:p>
        </w:tc>
      </w:tr>
    </w:tbl>
    <w:p w14:paraId="0DFDC186" w14:textId="77777777" w:rsidR="00046465" w:rsidRDefault="00046465">
      <w:pPr>
        <w:pStyle w:val="TableParagraph"/>
        <w:rPr>
          <w:rFonts w:ascii="Times New Roman"/>
          <w:sz w:val="20"/>
        </w:rPr>
        <w:sectPr w:rsidR="00046465">
          <w:pgSz w:w="12240" w:h="15840"/>
          <w:pgMar w:top="1340" w:right="720" w:bottom="940" w:left="1080" w:header="721" w:footer="757" w:gutter="0"/>
          <w:cols w:space="720"/>
        </w:sectPr>
      </w:pPr>
    </w:p>
    <w:p w14:paraId="0DFDC187" w14:textId="77777777" w:rsidR="00046465" w:rsidRDefault="00046465">
      <w:pPr>
        <w:pStyle w:val="BodyText"/>
        <w:spacing w:before="9"/>
        <w:rPr>
          <w:sz w:val="11"/>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C18B" w14:textId="77777777">
        <w:trPr>
          <w:trHeight w:val="625"/>
        </w:trPr>
        <w:tc>
          <w:tcPr>
            <w:tcW w:w="6696" w:type="dxa"/>
            <w:tcBorders>
              <w:right w:val="single" w:sz="4" w:space="0" w:color="000000"/>
            </w:tcBorders>
          </w:tcPr>
          <w:p w14:paraId="0DFDC188"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C189"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C18A"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C190" w14:textId="77777777">
        <w:trPr>
          <w:trHeight w:val="531"/>
        </w:trPr>
        <w:tc>
          <w:tcPr>
            <w:tcW w:w="6696" w:type="dxa"/>
            <w:tcBorders>
              <w:bottom w:val="single" w:sz="4" w:space="0" w:color="000000"/>
              <w:right w:val="single" w:sz="4" w:space="0" w:color="000000"/>
            </w:tcBorders>
          </w:tcPr>
          <w:p w14:paraId="0DFDC18C" w14:textId="77777777" w:rsidR="00046465" w:rsidRDefault="008134EB">
            <w:pPr>
              <w:pStyle w:val="TableParagraph"/>
              <w:spacing w:line="219" w:lineRule="exact"/>
              <w:ind w:left="848"/>
            </w:pPr>
            <w:r>
              <w:t>deficiencies</w:t>
            </w:r>
            <w:r>
              <w:rPr>
                <w:spacing w:val="-10"/>
              </w:rPr>
              <w:t xml:space="preserve"> </w:t>
            </w:r>
            <w:r>
              <w:t>are</w:t>
            </w:r>
            <w:r>
              <w:rPr>
                <w:spacing w:val="-9"/>
              </w:rPr>
              <w:t xml:space="preserve"> </w:t>
            </w:r>
            <w:r>
              <w:t>identified,</w:t>
            </w:r>
            <w:r>
              <w:rPr>
                <w:spacing w:val="-10"/>
              </w:rPr>
              <w:t xml:space="preserve"> </w:t>
            </w:r>
            <w:r>
              <w:t>consider</w:t>
            </w:r>
            <w:r>
              <w:rPr>
                <w:spacing w:val="-9"/>
              </w:rPr>
              <w:t xml:space="preserve"> </w:t>
            </w:r>
            <w:r>
              <w:t>their</w:t>
            </w:r>
            <w:r>
              <w:rPr>
                <w:spacing w:val="-9"/>
              </w:rPr>
              <w:t xml:space="preserve"> </w:t>
            </w:r>
            <w:r>
              <w:t>implications</w:t>
            </w:r>
            <w:r>
              <w:rPr>
                <w:spacing w:val="-9"/>
              </w:rPr>
              <w:t xml:space="preserve"> </w:t>
            </w:r>
            <w:r>
              <w:rPr>
                <w:spacing w:val="-5"/>
              </w:rPr>
              <w:t>on</w:t>
            </w:r>
          </w:p>
          <w:p w14:paraId="0DFDC18D" w14:textId="77777777" w:rsidR="00046465" w:rsidRDefault="008134EB">
            <w:pPr>
              <w:pStyle w:val="TableParagraph"/>
              <w:ind w:left="848"/>
            </w:pPr>
            <w:r>
              <w:t>this</w:t>
            </w:r>
            <w:r>
              <w:rPr>
                <w:spacing w:val="-4"/>
              </w:rPr>
              <w:t xml:space="preserve"> </w:t>
            </w:r>
            <w:r>
              <w:t>risk</w:t>
            </w:r>
            <w:r>
              <w:rPr>
                <w:spacing w:val="-4"/>
              </w:rPr>
              <w:t xml:space="preserve"> </w:t>
            </w:r>
            <w:r>
              <w:rPr>
                <w:spacing w:val="-2"/>
              </w:rPr>
              <w:t>assessment.</w:t>
            </w:r>
          </w:p>
        </w:tc>
        <w:tc>
          <w:tcPr>
            <w:tcW w:w="1144" w:type="dxa"/>
            <w:tcBorders>
              <w:left w:val="single" w:sz="4" w:space="0" w:color="000000"/>
              <w:bottom w:val="single" w:sz="4" w:space="0" w:color="000000"/>
              <w:right w:val="single" w:sz="4" w:space="0" w:color="000000"/>
            </w:tcBorders>
          </w:tcPr>
          <w:p w14:paraId="0DFDC18E" w14:textId="77777777" w:rsidR="00046465" w:rsidRDefault="00046465">
            <w:pPr>
              <w:pStyle w:val="TableParagraph"/>
              <w:rPr>
                <w:rFonts w:ascii="Times New Roman"/>
                <w:sz w:val="20"/>
              </w:rPr>
            </w:pPr>
          </w:p>
        </w:tc>
        <w:tc>
          <w:tcPr>
            <w:tcW w:w="1229" w:type="dxa"/>
            <w:tcBorders>
              <w:left w:val="single" w:sz="4" w:space="0" w:color="000000"/>
              <w:bottom w:val="single" w:sz="4" w:space="0" w:color="000000"/>
            </w:tcBorders>
          </w:tcPr>
          <w:p w14:paraId="0DFDC18F" w14:textId="77777777" w:rsidR="00046465" w:rsidRDefault="00046465">
            <w:pPr>
              <w:pStyle w:val="TableParagraph"/>
              <w:rPr>
                <w:rFonts w:ascii="Times New Roman"/>
                <w:sz w:val="20"/>
              </w:rPr>
            </w:pPr>
          </w:p>
        </w:tc>
      </w:tr>
      <w:tr w:rsidR="00046465" w14:paraId="0DFDC197" w14:textId="77777777">
        <w:trPr>
          <w:trHeight w:val="4527"/>
        </w:trPr>
        <w:tc>
          <w:tcPr>
            <w:tcW w:w="6696" w:type="dxa"/>
            <w:tcBorders>
              <w:top w:val="single" w:sz="4" w:space="0" w:color="000000"/>
              <w:bottom w:val="single" w:sz="4" w:space="0" w:color="000000"/>
              <w:right w:val="single" w:sz="4" w:space="0" w:color="000000"/>
            </w:tcBorders>
          </w:tcPr>
          <w:p w14:paraId="0DFDC191" w14:textId="77777777" w:rsidR="00046465" w:rsidRDefault="008134EB">
            <w:pPr>
              <w:pStyle w:val="TableParagraph"/>
              <w:numPr>
                <w:ilvl w:val="0"/>
                <w:numId w:val="125"/>
              </w:numPr>
              <w:tabs>
                <w:tab w:val="left" w:pos="848"/>
              </w:tabs>
              <w:spacing w:before="60"/>
              <w:ind w:right="106"/>
            </w:pPr>
            <w:r>
              <w:t>Analytical</w:t>
            </w:r>
            <w:r>
              <w:rPr>
                <w:spacing w:val="-6"/>
              </w:rPr>
              <w:t xml:space="preserve"> </w:t>
            </w:r>
            <w:r>
              <w:t>procedures:</w:t>
            </w:r>
            <w:r>
              <w:rPr>
                <w:spacing w:val="-5"/>
              </w:rPr>
              <w:t xml:space="preserve"> </w:t>
            </w:r>
            <w:r>
              <w:t>After</w:t>
            </w:r>
            <w:r>
              <w:rPr>
                <w:spacing w:val="-5"/>
              </w:rPr>
              <w:t xml:space="preserve"> </w:t>
            </w:r>
            <w:r>
              <w:t>completing</w:t>
            </w:r>
            <w:r>
              <w:rPr>
                <w:spacing w:val="-5"/>
              </w:rPr>
              <w:t xml:space="preserve"> </w:t>
            </w:r>
            <w:r>
              <w:t>the</w:t>
            </w:r>
            <w:r>
              <w:rPr>
                <w:spacing w:val="-5"/>
              </w:rPr>
              <w:t xml:space="preserve"> </w:t>
            </w:r>
            <w:r>
              <w:t>tests</w:t>
            </w:r>
            <w:r>
              <w:rPr>
                <w:spacing w:val="-6"/>
              </w:rPr>
              <w:t xml:space="preserve"> </w:t>
            </w:r>
            <w:r>
              <w:t>of</w:t>
            </w:r>
            <w:r>
              <w:rPr>
                <w:spacing w:val="-5"/>
              </w:rPr>
              <w:t xml:space="preserve"> </w:t>
            </w:r>
            <w:r>
              <w:t>details, perform analytical procedures to determine whether balances are reasonable and reflect appropriate activity. For example, take the following actions:</w:t>
            </w:r>
          </w:p>
          <w:p w14:paraId="0DFDC192" w14:textId="77777777" w:rsidR="00046465" w:rsidRDefault="008134EB">
            <w:pPr>
              <w:pStyle w:val="TableParagraph"/>
              <w:numPr>
                <w:ilvl w:val="1"/>
                <w:numId w:val="125"/>
              </w:numPr>
              <w:tabs>
                <w:tab w:val="left" w:pos="1244"/>
              </w:tabs>
              <w:spacing w:before="119"/>
              <w:ind w:right="138"/>
            </w:pPr>
            <w:r>
              <w:t>Develop expectations of the accounts payable and receivable</w:t>
            </w:r>
            <w:r>
              <w:rPr>
                <w:spacing w:val="-6"/>
              </w:rPr>
              <w:t xml:space="preserve"> </w:t>
            </w:r>
            <w:r>
              <w:t>balances</w:t>
            </w:r>
            <w:r>
              <w:rPr>
                <w:spacing w:val="-6"/>
              </w:rPr>
              <w:t xml:space="preserve"> </w:t>
            </w:r>
            <w:r>
              <w:t>overall</w:t>
            </w:r>
            <w:r>
              <w:rPr>
                <w:spacing w:val="-6"/>
              </w:rPr>
              <w:t xml:space="preserve"> </w:t>
            </w:r>
            <w:r>
              <w:t>or</w:t>
            </w:r>
            <w:r>
              <w:rPr>
                <w:spacing w:val="-6"/>
              </w:rPr>
              <w:t xml:space="preserve"> </w:t>
            </w:r>
            <w:r>
              <w:t>for</w:t>
            </w:r>
            <w:r>
              <w:rPr>
                <w:spacing w:val="-6"/>
              </w:rPr>
              <w:t xml:space="preserve"> </w:t>
            </w:r>
            <w:r>
              <w:t>all</w:t>
            </w:r>
            <w:r>
              <w:rPr>
                <w:spacing w:val="-6"/>
              </w:rPr>
              <w:t xml:space="preserve"> </w:t>
            </w:r>
            <w:r>
              <w:t>significant</w:t>
            </w:r>
            <w:r>
              <w:rPr>
                <w:spacing w:val="-6"/>
              </w:rPr>
              <w:t xml:space="preserve"> </w:t>
            </w:r>
            <w:r>
              <w:t>trading partners in light of the payment cycle during the year. Then compare these to the recorded balances and investigate differences in the recorded balances.</w:t>
            </w:r>
          </w:p>
          <w:p w14:paraId="0DFDC193" w14:textId="77777777" w:rsidR="00046465" w:rsidRDefault="008134EB">
            <w:pPr>
              <w:pStyle w:val="TableParagraph"/>
              <w:numPr>
                <w:ilvl w:val="1"/>
                <w:numId w:val="125"/>
              </w:numPr>
              <w:tabs>
                <w:tab w:val="left" w:pos="1245"/>
              </w:tabs>
              <w:spacing w:before="121"/>
              <w:ind w:left="1245" w:right="322"/>
            </w:pPr>
            <w:r>
              <w:t>Develop</w:t>
            </w:r>
            <w:r>
              <w:rPr>
                <w:spacing w:val="-10"/>
              </w:rPr>
              <w:t xml:space="preserve"> </w:t>
            </w:r>
            <w:r>
              <w:t>expectations</w:t>
            </w:r>
            <w:r>
              <w:rPr>
                <w:spacing w:val="-10"/>
              </w:rPr>
              <w:t xml:space="preserve"> </w:t>
            </w:r>
            <w:r>
              <w:t>of</w:t>
            </w:r>
            <w:r>
              <w:rPr>
                <w:spacing w:val="-11"/>
              </w:rPr>
              <w:t xml:space="preserve"> </w:t>
            </w:r>
            <w:r>
              <w:t>recorded</w:t>
            </w:r>
            <w:r>
              <w:rPr>
                <w:spacing w:val="-10"/>
              </w:rPr>
              <w:t xml:space="preserve"> </w:t>
            </w:r>
            <w:r>
              <w:t>intragovernmental revenue overall or for all significant trading partners based on independent data. Then compare these to the recorded amounts and investigate differences in the recorded balance.</w:t>
            </w:r>
          </w:p>
          <w:p w14:paraId="0DFDC194" w14:textId="77777777" w:rsidR="00046465" w:rsidRDefault="008134EB">
            <w:pPr>
              <w:pStyle w:val="TableParagraph"/>
              <w:numPr>
                <w:ilvl w:val="1"/>
                <w:numId w:val="125"/>
              </w:numPr>
              <w:tabs>
                <w:tab w:val="left" w:pos="1245"/>
              </w:tabs>
              <w:spacing w:before="120"/>
              <w:ind w:left="1245" w:right="567" w:hanging="396"/>
            </w:pPr>
            <w:r>
              <w:t>Examine</w:t>
            </w:r>
            <w:r>
              <w:rPr>
                <w:spacing w:val="-7"/>
              </w:rPr>
              <w:t xml:space="preserve"> </w:t>
            </w:r>
            <w:r>
              <w:t>accounting</w:t>
            </w:r>
            <w:r>
              <w:rPr>
                <w:spacing w:val="-7"/>
              </w:rPr>
              <w:t xml:space="preserve"> </w:t>
            </w:r>
            <w:r>
              <w:t>records</w:t>
            </w:r>
            <w:r>
              <w:rPr>
                <w:spacing w:val="-7"/>
              </w:rPr>
              <w:t xml:space="preserve"> </w:t>
            </w:r>
            <w:r>
              <w:t>for</w:t>
            </w:r>
            <w:r>
              <w:rPr>
                <w:spacing w:val="-7"/>
              </w:rPr>
              <w:t xml:space="preserve"> </w:t>
            </w:r>
            <w:r>
              <w:t>large,</w:t>
            </w:r>
            <w:r>
              <w:rPr>
                <w:spacing w:val="-7"/>
              </w:rPr>
              <w:t xml:space="preserve"> </w:t>
            </w:r>
            <w:r>
              <w:t>unusual,</w:t>
            </w:r>
            <w:r>
              <w:rPr>
                <w:spacing w:val="-8"/>
              </w:rPr>
              <w:t xml:space="preserve"> </w:t>
            </w:r>
            <w:r>
              <w:t>or nonrecurring activity or balances.</w:t>
            </w:r>
          </w:p>
        </w:tc>
        <w:tc>
          <w:tcPr>
            <w:tcW w:w="1144" w:type="dxa"/>
            <w:tcBorders>
              <w:top w:val="single" w:sz="4" w:space="0" w:color="000000"/>
              <w:left w:val="single" w:sz="4" w:space="0" w:color="000000"/>
              <w:bottom w:val="single" w:sz="4" w:space="0" w:color="000000"/>
              <w:right w:val="single" w:sz="4" w:space="0" w:color="000000"/>
            </w:tcBorders>
          </w:tcPr>
          <w:p w14:paraId="0DFDC195"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96" w14:textId="77777777" w:rsidR="00046465" w:rsidRDefault="00046465">
            <w:pPr>
              <w:pStyle w:val="TableParagraph"/>
              <w:rPr>
                <w:rFonts w:ascii="Times New Roman"/>
                <w:sz w:val="20"/>
              </w:rPr>
            </w:pPr>
          </w:p>
        </w:tc>
      </w:tr>
      <w:tr w:rsidR="00046465" w14:paraId="0DFDC19E" w14:textId="77777777">
        <w:trPr>
          <w:trHeight w:val="6581"/>
        </w:trPr>
        <w:tc>
          <w:tcPr>
            <w:tcW w:w="6696" w:type="dxa"/>
            <w:tcBorders>
              <w:top w:val="single" w:sz="4" w:space="0" w:color="000000"/>
              <w:bottom w:val="single" w:sz="4" w:space="0" w:color="000000"/>
              <w:right w:val="single" w:sz="4" w:space="0" w:color="000000"/>
            </w:tcBorders>
          </w:tcPr>
          <w:p w14:paraId="0DFDC198" w14:textId="77777777" w:rsidR="00046465" w:rsidRDefault="008134EB">
            <w:pPr>
              <w:pStyle w:val="TableParagraph"/>
              <w:numPr>
                <w:ilvl w:val="0"/>
                <w:numId w:val="124"/>
              </w:numPr>
              <w:tabs>
                <w:tab w:val="left" w:pos="756"/>
                <w:tab w:val="left" w:pos="758"/>
              </w:tabs>
              <w:spacing w:before="61"/>
              <w:ind w:right="110"/>
            </w:pPr>
            <w:r>
              <w:t>The auditor may detect misstatements during testing of intragovernmental activity and balances (i.e., in phase I, a transaction was recorded with an incorrect amount) and testing of the entity’s reconciliation or resolution of inter-entity intragovernmental differences. (That is, in phase II, the reconciled intragovernmental differences are those for which the entity determined cause but did not yet resolve the differences; therefore, the differences still exist at year-end. The reconciled yet unresolved intragovernmental differences</w:t>
            </w:r>
            <w:r>
              <w:rPr>
                <w:spacing w:val="-6"/>
              </w:rPr>
              <w:t xml:space="preserve"> </w:t>
            </w:r>
            <w:r>
              <w:t>that</w:t>
            </w:r>
            <w:r>
              <w:rPr>
                <w:spacing w:val="-6"/>
              </w:rPr>
              <w:t xml:space="preserve"> </w:t>
            </w:r>
            <w:r>
              <w:t>are</w:t>
            </w:r>
            <w:r>
              <w:rPr>
                <w:spacing w:val="-6"/>
              </w:rPr>
              <w:t xml:space="preserve"> </w:t>
            </w:r>
            <w:r>
              <w:t>misstatements</w:t>
            </w:r>
            <w:r>
              <w:rPr>
                <w:spacing w:val="-6"/>
              </w:rPr>
              <w:t xml:space="preserve"> </w:t>
            </w:r>
            <w:r>
              <w:t>are</w:t>
            </w:r>
            <w:r>
              <w:rPr>
                <w:spacing w:val="-6"/>
              </w:rPr>
              <w:t xml:space="preserve"> </w:t>
            </w:r>
            <w:r>
              <w:t>those</w:t>
            </w:r>
            <w:r>
              <w:rPr>
                <w:spacing w:val="-6"/>
              </w:rPr>
              <w:t xml:space="preserve"> </w:t>
            </w:r>
            <w:r>
              <w:t>differences</w:t>
            </w:r>
            <w:r>
              <w:rPr>
                <w:spacing w:val="-6"/>
              </w:rPr>
              <w:t xml:space="preserve"> </w:t>
            </w:r>
            <w:r>
              <w:t xml:space="preserve">for </w:t>
            </w:r>
            <w:r>
              <w:rPr>
                <w:spacing w:val="-2"/>
              </w:rPr>
              <w:t>which</w:t>
            </w:r>
          </w:p>
          <w:p w14:paraId="0DFDC199" w14:textId="77777777" w:rsidR="00046465" w:rsidRDefault="008134EB">
            <w:pPr>
              <w:pStyle w:val="TableParagraph"/>
              <w:numPr>
                <w:ilvl w:val="1"/>
                <w:numId w:val="124"/>
              </w:numPr>
              <w:tabs>
                <w:tab w:val="left" w:pos="1209"/>
              </w:tabs>
              <w:spacing w:before="120"/>
              <w:ind w:right="209"/>
            </w:pPr>
            <w:r>
              <w:t>the</w:t>
            </w:r>
            <w:r>
              <w:rPr>
                <w:spacing w:val="-7"/>
              </w:rPr>
              <w:t xml:space="preserve"> </w:t>
            </w:r>
            <w:r>
              <w:t>entity</w:t>
            </w:r>
            <w:r>
              <w:rPr>
                <w:spacing w:val="-7"/>
              </w:rPr>
              <w:t xml:space="preserve"> </w:t>
            </w:r>
            <w:r>
              <w:t>appropriately</w:t>
            </w:r>
            <w:r>
              <w:rPr>
                <w:spacing w:val="-7"/>
              </w:rPr>
              <w:t xml:space="preserve"> </w:t>
            </w:r>
            <w:r>
              <w:t>researched</w:t>
            </w:r>
            <w:r>
              <w:rPr>
                <w:spacing w:val="-6"/>
              </w:rPr>
              <w:t xml:space="preserve"> </w:t>
            </w:r>
            <w:r>
              <w:t>and</w:t>
            </w:r>
            <w:r>
              <w:rPr>
                <w:spacing w:val="-7"/>
              </w:rPr>
              <w:t xml:space="preserve"> </w:t>
            </w:r>
            <w:r>
              <w:t>reconciled</w:t>
            </w:r>
            <w:r>
              <w:rPr>
                <w:spacing w:val="-7"/>
              </w:rPr>
              <w:t xml:space="preserve"> </w:t>
            </w:r>
            <w:r>
              <w:t>the difference with its trading partner, but no adjustment was made to accounting records, resulting in the difference continuing to exist, or</w:t>
            </w:r>
          </w:p>
          <w:p w14:paraId="0DFDC19A" w14:textId="77777777" w:rsidR="00046465" w:rsidRDefault="008134EB">
            <w:pPr>
              <w:pStyle w:val="TableParagraph"/>
              <w:numPr>
                <w:ilvl w:val="1"/>
                <w:numId w:val="124"/>
              </w:numPr>
              <w:tabs>
                <w:tab w:val="left" w:pos="1209"/>
              </w:tabs>
              <w:spacing w:before="117"/>
              <w:ind w:right="258"/>
            </w:pPr>
            <w:r>
              <w:t>Treasury’s</w:t>
            </w:r>
            <w:r>
              <w:rPr>
                <w:spacing w:val="-1"/>
              </w:rPr>
              <w:t xml:space="preserve"> </w:t>
            </w:r>
            <w:r>
              <w:t>Bureau of the Fiscal Service, as</w:t>
            </w:r>
            <w:r>
              <w:rPr>
                <w:spacing w:val="-1"/>
              </w:rPr>
              <w:t xml:space="preserve"> </w:t>
            </w:r>
            <w:r>
              <w:t>part</w:t>
            </w:r>
            <w:r>
              <w:rPr>
                <w:spacing w:val="-1"/>
              </w:rPr>
              <w:t xml:space="preserve"> </w:t>
            </w:r>
            <w:r>
              <w:t>of its dispute resolution process, may issue a decision in which the entity or its trading partner is to adjust its accounting</w:t>
            </w:r>
            <w:r>
              <w:rPr>
                <w:spacing w:val="-6"/>
              </w:rPr>
              <w:t xml:space="preserve"> </w:t>
            </w:r>
            <w:r>
              <w:t>records;</w:t>
            </w:r>
            <w:r>
              <w:rPr>
                <w:spacing w:val="-6"/>
              </w:rPr>
              <w:t xml:space="preserve"> </w:t>
            </w:r>
            <w:r>
              <w:t>however,</w:t>
            </w:r>
            <w:r>
              <w:rPr>
                <w:spacing w:val="-6"/>
              </w:rPr>
              <w:t xml:space="preserve"> </w:t>
            </w:r>
            <w:r>
              <w:t>this</w:t>
            </w:r>
            <w:r>
              <w:rPr>
                <w:spacing w:val="-6"/>
              </w:rPr>
              <w:t xml:space="preserve"> </w:t>
            </w:r>
            <w:r>
              <w:t>adjustment</w:t>
            </w:r>
            <w:r>
              <w:rPr>
                <w:spacing w:val="-6"/>
              </w:rPr>
              <w:t xml:space="preserve"> </w:t>
            </w:r>
            <w:r>
              <w:t>has</w:t>
            </w:r>
            <w:r>
              <w:rPr>
                <w:spacing w:val="-6"/>
              </w:rPr>
              <w:t xml:space="preserve"> </w:t>
            </w:r>
            <w:r>
              <w:t>not been made.)</w:t>
            </w:r>
          </w:p>
          <w:p w14:paraId="0DFDC19B" w14:textId="77777777" w:rsidR="00046465" w:rsidRDefault="008134EB">
            <w:pPr>
              <w:pStyle w:val="TableParagraph"/>
              <w:spacing w:before="60"/>
              <w:ind w:left="759" w:right="194"/>
            </w:pPr>
            <w:r>
              <w:t>The auditor should evaluate the effects of misstatements on the financial statements and auditor’s reports in accordance</w:t>
            </w:r>
            <w:r>
              <w:rPr>
                <w:spacing w:val="-7"/>
              </w:rPr>
              <w:t xml:space="preserve"> </w:t>
            </w:r>
            <w:r>
              <w:t>with</w:t>
            </w:r>
            <w:r>
              <w:rPr>
                <w:spacing w:val="-6"/>
              </w:rPr>
              <w:t xml:space="preserve"> </w:t>
            </w:r>
            <w:r>
              <w:t>FAM</w:t>
            </w:r>
            <w:r>
              <w:rPr>
                <w:spacing w:val="-7"/>
              </w:rPr>
              <w:t xml:space="preserve"> </w:t>
            </w:r>
            <w:r>
              <w:t>540</w:t>
            </w:r>
            <w:r>
              <w:rPr>
                <w:spacing w:val="-6"/>
              </w:rPr>
              <w:t xml:space="preserve"> </w:t>
            </w:r>
            <w:r>
              <w:t>and</w:t>
            </w:r>
            <w:r>
              <w:rPr>
                <w:spacing w:val="-6"/>
              </w:rPr>
              <w:t xml:space="preserve"> </w:t>
            </w:r>
            <w:r>
              <w:t>accumulate</w:t>
            </w:r>
            <w:r>
              <w:rPr>
                <w:spacing w:val="-6"/>
              </w:rPr>
              <w:t xml:space="preserve"> </w:t>
            </w:r>
            <w:r>
              <w:t>misstatements in accordance with FAM 595 C.</w:t>
            </w:r>
          </w:p>
        </w:tc>
        <w:tc>
          <w:tcPr>
            <w:tcW w:w="1144" w:type="dxa"/>
            <w:tcBorders>
              <w:top w:val="single" w:sz="4" w:space="0" w:color="000000"/>
              <w:left w:val="single" w:sz="4" w:space="0" w:color="000000"/>
              <w:bottom w:val="single" w:sz="4" w:space="0" w:color="000000"/>
              <w:right w:val="single" w:sz="4" w:space="0" w:color="000000"/>
            </w:tcBorders>
          </w:tcPr>
          <w:p w14:paraId="0DFDC19C"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9D" w14:textId="77777777" w:rsidR="00046465" w:rsidRDefault="00046465">
            <w:pPr>
              <w:pStyle w:val="TableParagraph"/>
              <w:rPr>
                <w:rFonts w:ascii="Times New Roman"/>
                <w:sz w:val="20"/>
              </w:rPr>
            </w:pPr>
          </w:p>
        </w:tc>
      </w:tr>
      <w:tr w:rsidR="00046465" w14:paraId="0DFDC1A2" w14:textId="77777777">
        <w:trPr>
          <w:trHeight w:val="759"/>
        </w:trPr>
        <w:tc>
          <w:tcPr>
            <w:tcW w:w="6696" w:type="dxa"/>
            <w:tcBorders>
              <w:top w:val="single" w:sz="4" w:space="0" w:color="000000"/>
              <w:bottom w:val="single" w:sz="4" w:space="0" w:color="000000"/>
              <w:right w:val="single" w:sz="4" w:space="0" w:color="000000"/>
            </w:tcBorders>
          </w:tcPr>
          <w:p w14:paraId="0DFDC19F" w14:textId="77777777" w:rsidR="00046465" w:rsidRDefault="008134EB">
            <w:pPr>
              <w:pStyle w:val="TableParagraph"/>
              <w:spacing w:line="254" w:lineRule="exact"/>
              <w:ind w:left="758" w:right="807" w:hanging="360"/>
              <w:jc w:val="both"/>
            </w:pPr>
            <w:r>
              <w:t>8)</w:t>
            </w:r>
            <w:r>
              <w:rPr>
                <w:spacing w:val="80"/>
              </w:rPr>
              <w:t xml:space="preserve"> </w:t>
            </w:r>
            <w:r>
              <w:t>Read</w:t>
            </w:r>
            <w:r>
              <w:rPr>
                <w:spacing w:val="-4"/>
              </w:rPr>
              <w:t xml:space="preserve"> </w:t>
            </w:r>
            <w:r>
              <w:t>the</w:t>
            </w:r>
            <w:r>
              <w:rPr>
                <w:spacing w:val="-4"/>
              </w:rPr>
              <w:t xml:space="preserve"> </w:t>
            </w:r>
            <w:r>
              <w:t>entity’s</w:t>
            </w:r>
            <w:r>
              <w:rPr>
                <w:spacing w:val="-4"/>
              </w:rPr>
              <w:t xml:space="preserve"> </w:t>
            </w:r>
            <w:r>
              <w:t>financial</w:t>
            </w:r>
            <w:r>
              <w:rPr>
                <w:spacing w:val="-4"/>
              </w:rPr>
              <w:t xml:space="preserve"> </w:t>
            </w:r>
            <w:r>
              <w:t>statements</w:t>
            </w:r>
            <w:r>
              <w:rPr>
                <w:spacing w:val="-4"/>
              </w:rPr>
              <w:t xml:space="preserve"> </w:t>
            </w:r>
            <w:r>
              <w:t>and</w:t>
            </w:r>
            <w:r>
              <w:rPr>
                <w:spacing w:val="-4"/>
              </w:rPr>
              <w:t xml:space="preserve"> </w:t>
            </w:r>
            <w:r>
              <w:t>notes</w:t>
            </w:r>
            <w:r>
              <w:rPr>
                <w:spacing w:val="-5"/>
              </w:rPr>
              <w:t xml:space="preserve"> </w:t>
            </w:r>
            <w:r>
              <w:t>and compare</w:t>
            </w:r>
            <w:r>
              <w:rPr>
                <w:spacing w:val="-5"/>
              </w:rPr>
              <w:t xml:space="preserve"> </w:t>
            </w:r>
            <w:r>
              <w:t>the</w:t>
            </w:r>
            <w:r>
              <w:rPr>
                <w:spacing w:val="-5"/>
              </w:rPr>
              <w:t xml:space="preserve"> </w:t>
            </w:r>
            <w:r>
              <w:t>reported</w:t>
            </w:r>
            <w:r>
              <w:rPr>
                <w:spacing w:val="-5"/>
              </w:rPr>
              <w:t xml:space="preserve"> </w:t>
            </w:r>
            <w:r>
              <w:t>intragovernmental</w:t>
            </w:r>
            <w:r>
              <w:rPr>
                <w:spacing w:val="-5"/>
              </w:rPr>
              <w:t xml:space="preserve"> </w:t>
            </w:r>
            <w:r>
              <w:t>activity</w:t>
            </w:r>
            <w:r>
              <w:rPr>
                <w:spacing w:val="-6"/>
              </w:rPr>
              <w:t xml:space="preserve"> </w:t>
            </w:r>
            <w:r>
              <w:t>and balances with the test results.</w:t>
            </w:r>
          </w:p>
        </w:tc>
        <w:tc>
          <w:tcPr>
            <w:tcW w:w="1144" w:type="dxa"/>
            <w:tcBorders>
              <w:top w:val="single" w:sz="4" w:space="0" w:color="000000"/>
              <w:left w:val="single" w:sz="4" w:space="0" w:color="000000"/>
              <w:bottom w:val="single" w:sz="4" w:space="0" w:color="000000"/>
              <w:right w:val="single" w:sz="4" w:space="0" w:color="000000"/>
            </w:tcBorders>
          </w:tcPr>
          <w:p w14:paraId="0DFDC1A0"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A1" w14:textId="77777777" w:rsidR="00046465" w:rsidRDefault="00046465">
            <w:pPr>
              <w:pStyle w:val="TableParagraph"/>
              <w:rPr>
                <w:rFonts w:ascii="Times New Roman"/>
                <w:sz w:val="20"/>
              </w:rPr>
            </w:pPr>
          </w:p>
        </w:tc>
      </w:tr>
    </w:tbl>
    <w:p w14:paraId="0DFDC1A3" w14:textId="77777777" w:rsidR="00046465" w:rsidRDefault="00046465">
      <w:pPr>
        <w:pStyle w:val="TableParagraph"/>
        <w:rPr>
          <w:rFonts w:ascii="Times New Roman"/>
          <w:sz w:val="20"/>
        </w:rPr>
        <w:sectPr w:rsidR="00046465">
          <w:pgSz w:w="12240" w:h="15840"/>
          <w:pgMar w:top="1340" w:right="720" w:bottom="940" w:left="1080" w:header="721" w:footer="757" w:gutter="0"/>
          <w:cols w:space="720"/>
        </w:sectPr>
      </w:pPr>
    </w:p>
    <w:p w14:paraId="0DFDC1A4" w14:textId="77777777" w:rsidR="00046465" w:rsidRDefault="00046465">
      <w:pPr>
        <w:pStyle w:val="BodyText"/>
        <w:spacing w:before="9"/>
        <w:rPr>
          <w:sz w:val="11"/>
        </w:rPr>
      </w:pPr>
    </w:p>
    <w:tbl>
      <w:tblPr>
        <w:tblW w:w="0" w:type="auto"/>
        <w:tblInd w:w="549"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696"/>
        <w:gridCol w:w="1144"/>
        <w:gridCol w:w="1229"/>
      </w:tblGrid>
      <w:tr w:rsidR="00046465" w14:paraId="0DFDC1A8" w14:textId="77777777">
        <w:trPr>
          <w:trHeight w:val="625"/>
        </w:trPr>
        <w:tc>
          <w:tcPr>
            <w:tcW w:w="6696" w:type="dxa"/>
            <w:tcBorders>
              <w:right w:val="single" w:sz="4" w:space="0" w:color="000000"/>
            </w:tcBorders>
          </w:tcPr>
          <w:p w14:paraId="0DFDC1A5" w14:textId="77777777" w:rsidR="00046465" w:rsidRDefault="008134EB">
            <w:pPr>
              <w:pStyle w:val="TableParagraph"/>
              <w:spacing w:before="120"/>
              <w:ind w:left="92"/>
              <w:rPr>
                <w:b/>
              </w:rPr>
            </w:pPr>
            <w:r>
              <w:rPr>
                <w:b/>
                <w:spacing w:val="-2"/>
              </w:rPr>
              <w:t>Procedures</w:t>
            </w:r>
          </w:p>
        </w:tc>
        <w:tc>
          <w:tcPr>
            <w:tcW w:w="1144" w:type="dxa"/>
            <w:tcBorders>
              <w:left w:val="single" w:sz="4" w:space="0" w:color="000000"/>
              <w:right w:val="single" w:sz="4" w:space="0" w:color="000000"/>
            </w:tcBorders>
          </w:tcPr>
          <w:p w14:paraId="0DFDC1A6" w14:textId="77777777" w:rsidR="00046465" w:rsidRDefault="008134EB">
            <w:pPr>
              <w:pStyle w:val="TableParagraph"/>
              <w:spacing w:before="100" w:line="250" w:lineRule="atLeast"/>
              <w:ind w:left="110"/>
              <w:rPr>
                <w:b/>
              </w:rPr>
            </w:pPr>
            <w:r>
              <w:rPr>
                <w:b/>
                <w:spacing w:val="-2"/>
              </w:rPr>
              <w:t xml:space="preserve">Initials/ </w:t>
            </w:r>
            <w:r>
              <w:rPr>
                <w:b/>
                <w:spacing w:val="-4"/>
              </w:rPr>
              <w:t>date</w:t>
            </w:r>
          </w:p>
        </w:tc>
        <w:tc>
          <w:tcPr>
            <w:tcW w:w="1229" w:type="dxa"/>
            <w:tcBorders>
              <w:left w:val="single" w:sz="4" w:space="0" w:color="000000"/>
            </w:tcBorders>
          </w:tcPr>
          <w:p w14:paraId="0DFDC1A7" w14:textId="77777777" w:rsidR="00046465" w:rsidRDefault="008134EB">
            <w:pPr>
              <w:pStyle w:val="TableParagraph"/>
              <w:spacing w:before="120"/>
              <w:ind w:left="109"/>
              <w:rPr>
                <w:b/>
              </w:rPr>
            </w:pPr>
            <w:r>
              <w:rPr>
                <w:b/>
              </w:rPr>
              <w:t>Doc.</w:t>
            </w:r>
            <w:r>
              <w:rPr>
                <w:b/>
                <w:spacing w:val="-6"/>
              </w:rPr>
              <w:t xml:space="preserve"> </w:t>
            </w:r>
            <w:r>
              <w:rPr>
                <w:b/>
                <w:spacing w:val="-4"/>
              </w:rPr>
              <w:t>ref.</w:t>
            </w:r>
          </w:p>
        </w:tc>
      </w:tr>
      <w:tr w:rsidR="00046465" w14:paraId="0DFDC1AD" w14:textId="77777777">
        <w:trPr>
          <w:trHeight w:val="978"/>
        </w:trPr>
        <w:tc>
          <w:tcPr>
            <w:tcW w:w="6696" w:type="dxa"/>
            <w:tcBorders>
              <w:bottom w:val="single" w:sz="4" w:space="0" w:color="000000"/>
              <w:right w:val="single" w:sz="4" w:space="0" w:color="000000"/>
            </w:tcBorders>
          </w:tcPr>
          <w:p w14:paraId="0DFDC1A9" w14:textId="77777777" w:rsidR="00046465" w:rsidRDefault="008134EB">
            <w:pPr>
              <w:pStyle w:val="TableParagraph"/>
              <w:spacing w:line="219" w:lineRule="exact"/>
              <w:ind w:left="398"/>
              <w:jc w:val="both"/>
            </w:pPr>
            <w:r>
              <w:t>9)</w:t>
            </w:r>
            <w:r>
              <w:rPr>
                <w:spacing w:val="55"/>
                <w:w w:val="150"/>
              </w:rPr>
              <w:t xml:space="preserve"> </w:t>
            </w:r>
            <w:r>
              <w:t>Communicate</w:t>
            </w:r>
            <w:r>
              <w:rPr>
                <w:spacing w:val="-7"/>
              </w:rPr>
              <w:t xml:space="preserve"> </w:t>
            </w:r>
            <w:r>
              <w:t>with</w:t>
            </w:r>
            <w:r>
              <w:rPr>
                <w:spacing w:val="-6"/>
              </w:rPr>
              <w:t xml:space="preserve"> </w:t>
            </w:r>
            <w:r>
              <w:t>trading</w:t>
            </w:r>
            <w:r>
              <w:rPr>
                <w:spacing w:val="-6"/>
              </w:rPr>
              <w:t xml:space="preserve"> </w:t>
            </w:r>
            <w:r>
              <w:t>partner</w:t>
            </w:r>
            <w:r>
              <w:rPr>
                <w:spacing w:val="-7"/>
              </w:rPr>
              <w:t xml:space="preserve"> </w:t>
            </w:r>
            <w:r>
              <w:t>entities’</w:t>
            </w:r>
            <w:r>
              <w:rPr>
                <w:spacing w:val="-6"/>
              </w:rPr>
              <w:t xml:space="preserve"> </w:t>
            </w:r>
            <w:r>
              <w:t>auditors</w:t>
            </w:r>
            <w:r>
              <w:rPr>
                <w:spacing w:val="-6"/>
              </w:rPr>
              <w:t xml:space="preserve"> </w:t>
            </w:r>
            <w:r>
              <w:rPr>
                <w:spacing w:val="-2"/>
              </w:rPr>
              <w:t>(with</w:t>
            </w:r>
          </w:p>
          <w:p w14:paraId="0DFDC1AA" w14:textId="77777777" w:rsidR="00046465" w:rsidRDefault="008134EB">
            <w:pPr>
              <w:pStyle w:val="TableParagraph"/>
              <w:spacing w:line="250" w:lineRule="atLeast"/>
              <w:ind w:left="758" w:right="771"/>
              <w:jc w:val="both"/>
            </w:pPr>
            <w:r>
              <w:t>entity</w:t>
            </w:r>
            <w:r>
              <w:rPr>
                <w:spacing w:val="-6"/>
              </w:rPr>
              <w:t xml:space="preserve"> </w:t>
            </w:r>
            <w:r>
              <w:t>permission)</w:t>
            </w:r>
            <w:r>
              <w:rPr>
                <w:spacing w:val="-6"/>
              </w:rPr>
              <w:t xml:space="preserve"> </w:t>
            </w:r>
            <w:r>
              <w:t>to</w:t>
            </w:r>
            <w:r>
              <w:rPr>
                <w:spacing w:val="-6"/>
              </w:rPr>
              <w:t xml:space="preserve"> </w:t>
            </w:r>
            <w:r>
              <w:t>determine</w:t>
            </w:r>
            <w:r>
              <w:rPr>
                <w:spacing w:val="-6"/>
              </w:rPr>
              <w:t xml:space="preserve"> </w:t>
            </w:r>
            <w:r>
              <w:t>whether</w:t>
            </w:r>
            <w:r>
              <w:rPr>
                <w:spacing w:val="-6"/>
              </w:rPr>
              <w:t xml:space="preserve"> </w:t>
            </w:r>
            <w:r>
              <w:t>issues</w:t>
            </w:r>
            <w:r>
              <w:rPr>
                <w:spacing w:val="-7"/>
              </w:rPr>
              <w:t xml:space="preserve"> </w:t>
            </w:r>
            <w:r>
              <w:t>these auditors identified affect</w:t>
            </w:r>
            <w:r>
              <w:rPr>
                <w:spacing w:val="-1"/>
              </w:rPr>
              <w:t xml:space="preserve"> </w:t>
            </w:r>
            <w:r>
              <w:t>the auditor’s conclusions on intragovernmental transactions.</w:t>
            </w:r>
          </w:p>
        </w:tc>
        <w:tc>
          <w:tcPr>
            <w:tcW w:w="1144" w:type="dxa"/>
            <w:tcBorders>
              <w:left w:val="single" w:sz="4" w:space="0" w:color="000000"/>
              <w:bottom w:val="single" w:sz="4" w:space="0" w:color="000000"/>
              <w:right w:val="single" w:sz="4" w:space="0" w:color="000000"/>
            </w:tcBorders>
          </w:tcPr>
          <w:p w14:paraId="0DFDC1AB" w14:textId="77777777" w:rsidR="00046465" w:rsidRDefault="00046465">
            <w:pPr>
              <w:pStyle w:val="TableParagraph"/>
              <w:rPr>
                <w:rFonts w:ascii="Times New Roman"/>
                <w:sz w:val="20"/>
              </w:rPr>
            </w:pPr>
          </w:p>
        </w:tc>
        <w:tc>
          <w:tcPr>
            <w:tcW w:w="1229" w:type="dxa"/>
            <w:tcBorders>
              <w:left w:val="single" w:sz="4" w:space="0" w:color="000000"/>
              <w:bottom w:val="single" w:sz="4" w:space="0" w:color="000000"/>
            </w:tcBorders>
          </w:tcPr>
          <w:p w14:paraId="0DFDC1AC" w14:textId="77777777" w:rsidR="00046465" w:rsidRDefault="00046465">
            <w:pPr>
              <w:pStyle w:val="TableParagraph"/>
              <w:rPr>
                <w:rFonts w:ascii="Times New Roman"/>
                <w:sz w:val="20"/>
              </w:rPr>
            </w:pPr>
          </w:p>
        </w:tc>
      </w:tr>
      <w:tr w:rsidR="00046465" w14:paraId="0DFDC1B1" w14:textId="77777777">
        <w:trPr>
          <w:trHeight w:val="505"/>
        </w:trPr>
        <w:tc>
          <w:tcPr>
            <w:tcW w:w="6696" w:type="dxa"/>
            <w:tcBorders>
              <w:top w:val="single" w:sz="4" w:space="0" w:color="000000"/>
              <w:bottom w:val="single" w:sz="4" w:space="0" w:color="000000"/>
              <w:right w:val="single" w:sz="4" w:space="0" w:color="000000"/>
            </w:tcBorders>
          </w:tcPr>
          <w:p w14:paraId="0DFDC1AE" w14:textId="77777777" w:rsidR="00046465" w:rsidRDefault="008134EB">
            <w:pPr>
              <w:pStyle w:val="TableParagraph"/>
              <w:spacing w:line="254" w:lineRule="exact"/>
              <w:ind w:left="758" w:hanging="360"/>
            </w:pPr>
            <w:r>
              <w:t>10)</w:t>
            </w:r>
            <w:r>
              <w:rPr>
                <w:spacing w:val="-19"/>
              </w:rPr>
              <w:t xml:space="preserve"> </w:t>
            </w:r>
            <w:r>
              <w:t>Summarize</w:t>
            </w:r>
            <w:r>
              <w:rPr>
                <w:spacing w:val="-9"/>
              </w:rPr>
              <w:t xml:space="preserve"> </w:t>
            </w:r>
            <w:r>
              <w:t>the</w:t>
            </w:r>
            <w:r>
              <w:rPr>
                <w:spacing w:val="-5"/>
              </w:rPr>
              <w:t xml:space="preserve"> </w:t>
            </w:r>
            <w:r>
              <w:t>results</w:t>
            </w:r>
            <w:r>
              <w:rPr>
                <w:spacing w:val="-5"/>
              </w:rPr>
              <w:t xml:space="preserve"> </w:t>
            </w:r>
            <w:r>
              <w:t>and</w:t>
            </w:r>
            <w:r>
              <w:rPr>
                <w:spacing w:val="-5"/>
              </w:rPr>
              <w:t xml:space="preserve"> </w:t>
            </w:r>
            <w:r>
              <w:t>propose</w:t>
            </w:r>
            <w:r>
              <w:rPr>
                <w:spacing w:val="-6"/>
              </w:rPr>
              <w:t xml:space="preserve"> </w:t>
            </w:r>
            <w:r>
              <w:t>any</w:t>
            </w:r>
            <w:r>
              <w:rPr>
                <w:spacing w:val="-4"/>
              </w:rPr>
              <w:t xml:space="preserve"> </w:t>
            </w:r>
            <w:r>
              <w:t>adjusting</w:t>
            </w:r>
            <w:r>
              <w:rPr>
                <w:spacing w:val="-5"/>
              </w:rPr>
              <w:t xml:space="preserve"> </w:t>
            </w:r>
            <w:r>
              <w:t>entries (FAM 595 C).</w:t>
            </w:r>
          </w:p>
        </w:tc>
        <w:tc>
          <w:tcPr>
            <w:tcW w:w="1144" w:type="dxa"/>
            <w:tcBorders>
              <w:top w:val="single" w:sz="4" w:space="0" w:color="000000"/>
              <w:left w:val="single" w:sz="4" w:space="0" w:color="000000"/>
              <w:bottom w:val="single" w:sz="4" w:space="0" w:color="000000"/>
              <w:right w:val="single" w:sz="4" w:space="0" w:color="000000"/>
            </w:tcBorders>
          </w:tcPr>
          <w:p w14:paraId="0DFDC1AF"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B0" w14:textId="77777777" w:rsidR="00046465" w:rsidRDefault="00046465">
            <w:pPr>
              <w:pStyle w:val="TableParagraph"/>
              <w:rPr>
                <w:rFonts w:ascii="Times New Roman"/>
                <w:sz w:val="20"/>
              </w:rPr>
            </w:pPr>
          </w:p>
        </w:tc>
      </w:tr>
      <w:tr w:rsidR="00046465" w14:paraId="0DFDC1B6" w14:textId="77777777">
        <w:trPr>
          <w:trHeight w:val="756"/>
        </w:trPr>
        <w:tc>
          <w:tcPr>
            <w:tcW w:w="6696" w:type="dxa"/>
            <w:tcBorders>
              <w:top w:val="single" w:sz="4" w:space="0" w:color="000000"/>
              <w:bottom w:val="single" w:sz="4" w:space="0" w:color="000000"/>
              <w:right w:val="single" w:sz="4" w:space="0" w:color="000000"/>
            </w:tcBorders>
          </w:tcPr>
          <w:p w14:paraId="0DFDC1B2" w14:textId="77777777" w:rsidR="00046465" w:rsidRDefault="008134EB">
            <w:pPr>
              <w:pStyle w:val="TableParagraph"/>
              <w:spacing w:line="251" w:lineRule="exact"/>
              <w:ind w:left="398"/>
            </w:pPr>
            <w:r>
              <w:t>11)</w:t>
            </w:r>
            <w:r>
              <w:rPr>
                <w:spacing w:val="-19"/>
              </w:rPr>
              <w:t xml:space="preserve"> </w:t>
            </w:r>
            <w:r>
              <w:t>Conclude</w:t>
            </w:r>
            <w:r>
              <w:rPr>
                <w:spacing w:val="-16"/>
              </w:rPr>
              <w:t xml:space="preserve"> </w:t>
            </w:r>
            <w:r>
              <w:t>on</w:t>
            </w:r>
            <w:r>
              <w:rPr>
                <w:spacing w:val="-9"/>
              </w:rPr>
              <w:t xml:space="preserve"> </w:t>
            </w:r>
            <w:r>
              <w:t>whether</w:t>
            </w:r>
            <w:r>
              <w:rPr>
                <w:spacing w:val="-9"/>
              </w:rPr>
              <w:t xml:space="preserve"> </w:t>
            </w:r>
            <w:r>
              <w:t>intragovernmental</w:t>
            </w:r>
            <w:r>
              <w:rPr>
                <w:spacing w:val="-10"/>
              </w:rPr>
              <w:t xml:space="preserve"> </w:t>
            </w:r>
            <w:r>
              <w:t>activity</w:t>
            </w:r>
            <w:r>
              <w:rPr>
                <w:spacing w:val="-10"/>
              </w:rPr>
              <w:t xml:space="preserve"> </w:t>
            </w:r>
            <w:r>
              <w:rPr>
                <w:spacing w:val="-5"/>
              </w:rPr>
              <w:t>and</w:t>
            </w:r>
          </w:p>
          <w:p w14:paraId="0DFDC1B3" w14:textId="77777777" w:rsidR="00046465" w:rsidRDefault="008134EB">
            <w:pPr>
              <w:pStyle w:val="TableParagraph"/>
              <w:spacing w:line="252" w:lineRule="exact"/>
              <w:ind w:left="758"/>
            </w:pPr>
            <w:r>
              <w:t>balances</w:t>
            </w:r>
            <w:r>
              <w:rPr>
                <w:spacing w:val="-6"/>
              </w:rPr>
              <w:t xml:space="preserve"> </w:t>
            </w:r>
            <w:r>
              <w:t>have</w:t>
            </w:r>
            <w:r>
              <w:rPr>
                <w:spacing w:val="-6"/>
              </w:rPr>
              <w:t xml:space="preserve"> </w:t>
            </w:r>
            <w:r>
              <w:t>been</w:t>
            </w:r>
            <w:r>
              <w:rPr>
                <w:spacing w:val="-6"/>
              </w:rPr>
              <w:t xml:space="preserve"> </w:t>
            </w:r>
            <w:r>
              <w:t>adequately</w:t>
            </w:r>
            <w:r>
              <w:rPr>
                <w:spacing w:val="-6"/>
              </w:rPr>
              <w:t xml:space="preserve"> </w:t>
            </w:r>
            <w:r>
              <w:t>accounted</w:t>
            </w:r>
            <w:r>
              <w:rPr>
                <w:spacing w:val="-6"/>
              </w:rPr>
              <w:t xml:space="preserve"> </w:t>
            </w:r>
            <w:r>
              <w:t>for</w:t>
            </w:r>
            <w:r>
              <w:rPr>
                <w:spacing w:val="-6"/>
              </w:rPr>
              <w:t xml:space="preserve"> </w:t>
            </w:r>
            <w:r>
              <w:t>and</w:t>
            </w:r>
            <w:r>
              <w:rPr>
                <w:spacing w:val="-6"/>
              </w:rPr>
              <w:t xml:space="preserve"> </w:t>
            </w:r>
            <w:r>
              <w:t>properly disclosed in the financial statements.</w:t>
            </w:r>
          </w:p>
        </w:tc>
        <w:tc>
          <w:tcPr>
            <w:tcW w:w="1144" w:type="dxa"/>
            <w:tcBorders>
              <w:top w:val="single" w:sz="4" w:space="0" w:color="000000"/>
              <w:left w:val="single" w:sz="4" w:space="0" w:color="000000"/>
              <w:bottom w:val="single" w:sz="4" w:space="0" w:color="000000"/>
              <w:right w:val="single" w:sz="4" w:space="0" w:color="000000"/>
            </w:tcBorders>
          </w:tcPr>
          <w:p w14:paraId="0DFDC1B4" w14:textId="77777777" w:rsidR="00046465" w:rsidRDefault="00046465">
            <w:pPr>
              <w:pStyle w:val="TableParagraph"/>
              <w:rPr>
                <w:rFonts w:ascii="Times New Roman"/>
                <w:sz w:val="20"/>
              </w:rPr>
            </w:pPr>
          </w:p>
        </w:tc>
        <w:tc>
          <w:tcPr>
            <w:tcW w:w="1229" w:type="dxa"/>
            <w:tcBorders>
              <w:top w:val="single" w:sz="4" w:space="0" w:color="000000"/>
              <w:left w:val="single" w:sz="4" w:space="0" w:color="000000"/>
              <w:bottom w:val="single" w:sz="4" w:space="0" w:color="000000"/>
            </w:tcBorders>
          </w:tcPr>
          <w:p w14:paraId="0DFDC1B5" w14:textId="77777777" w:rsidR="00046465" w:rsidRDefault="00046465">
            <w:pPr>
              <w:pStyle w:val="TableParagraph"/>
              <w:rPr>
                <w:rFonts w:ascii="Times New Roman"/>
                <w:sz w:val="20"/>
              </w:rPr>
            </w:pPr>
          </w:p>
        </w:tc>
      </w:tr>
      <w:tr w:rsidR="00046465" w14:paraId="0DFDC1BD" w14:textId="77777777">
        <w:trPr>
          <w:trHeight w:val="4155"/>
        </w:trPr>
        <w:tc>
          <w:tcPr>
            <w:tcW w:w="6696" w:type="dxa"/>
            <w:tcBorders>
              <w:top w:val="single" w:sz="4" w:space="0" w:color="000000"/>
              <w:right w:val="single" w:sz="4" w:space="0" w:color="000000"/>
            </w:tcBorders>
          </w:tcPr>
          <w:p w14:paraId="0DFDC1B7" w14:textId="77777777" w:rsidR="00046465" w:rsidRDefault="008134EB">
            <w:pPr>
              <w:pStyle w:val="TableParagraph"/>
              <w:spacing w:before="1"/>
              <w:ind w:left="758" w:hanging="360"/>
            </w:pPr>
            <w:r>
              <w:t>12)</w:t>
            </w:r>
            <w:r>
              <w:rPr>
                <w:spacing w:val="-19"/>
              </w:rPr>
              <w:t xml:space="preserve"> </w:t>
            </w:r>
            <w:r>
              <w:t>For</w:t>
            </w:r>
            <w:r>
              <w:rPr>
                <w:spacing w:val="-9"/>
              </w:rPr>
              <w:t xml:space="preserve"> </w:t>
            </w:r>
            <w:r>
              <w:t>journal</w:t>
            </w:r>
            <w:r>
              <w:rPr>
                <w:spacing w:val="-5"/>
              </w:rPr>
              <w:t xml:space="preserve"> </w:t>
            </w:r>
            <w:r>
              <w:t>vouchers</w:t>
            </w:r>
            <w:r>
              <w:rPr>
                <w:spacing w:val="-5"/>
              </w:rPr>
              <w:t xml:space="preserve"> </w:t>
            </w:r>
            <w:r>
              <w:t>identified</w:t>
            </w:r>
            <w:r>
              <w:rPr>
                <w:spacing w:val="-5"/>
              </w:rPr>
              <w:t xml:space="preserve"> </w:t>
            </w:r>
            <w:r>
              <w:t>by</w:t>
            </w:r>
            <w:r>
              <w:rPr>
                <w:spacing w:val="-5"/>
              </w:rPr>
              <w:t xml:space="preserve"> </w:t>
            </w:r>
            <w:r>
              <w:t>Treasury,</w:t>
            </w:r>
            <w:r>
              <w:rPr>
                <w:spacing w:val="-4"/>
              </w:rPr>
              <w:t xml:space="preserve"> </w:t>
            </w:r>
            <w:r>
              <w:t>perform</w:t>
            </w:r>
            <w:r>
              <w:rPr>
                <w:spacing w:val="-6"/>
              </w:rPr>
              <w:t xml:space="preserve"> </w:t>
            </w:r>
            <w:r>
              <w:t xml:space="preserve">the </w:t>
            </w:r>
            <w:r>
              <w:rPr>
                <w:spacing w:val="-2"/>
              </w:rPr>
              <w:t>following.</w:t>
            </w:r>
          </w:p>
          <w:p w14:paraId="0DFDC1B8" w14:textId="77777777" w:rsidR="00046465" w:rsidRDefault="008134EB">
            <w:pPr>
              <w:pStyle w:val="TableParagraph"/>
              <w:numPr>
                <w:ilvl w:val="0"/>
                <w:numId w:val="123"/>
              </w:numPr>
              <w:tabs>
                <w:tab w:val="left" w:pos="1165"/>
                <w:tab w:val="left" w:pos="1167"/>
              </w:tabs>
              <w:spacing w:before="119"/>
              <w:ind w:right="104"/>
            </w:pPr>
            <w:r>
              <w:t>For journal vouchers identified by Treasury in the prior year, verify that the entity this year (i) determined why Treasury, and not the entity, was able to resolve the differences and (ii) fixed the causes of these differences</w:t>
            </w:r>
            <w:r>
              <w:rPr>
                <w:spacing w:val="-5"/>
              </w:rPr>
              <w:t xml:space="preserve"> </w:t>
            </w:r>
            <w:r>
              <w:t>so</w:t>
            </w:r>
            <w:r>
              <w:rPr>
                <w:spacing w:val="-4"/>
              </w:rPr>
              <w:t xml:space="preserve"> </w:t>
            </w:r>
            <w:r>
              <w:t>that</w:t>
            </w:r>
            <w:r>
              <w:rPr>
                <w:spacing w:val="-4"/>
              </w:rPr>
              <w:t xml:space="preserve"> </w:t>
            </w:r>
            <w:r>
              <w:t>these</w:t>
            </w:r>
            <w:r>
              <w:rPr>
                <w:spacing w:val="-4"/>
              </w:rPr>
              <w:t xml:space="preserve"> </w:t>
            </w:r>
            <w:r>
              <w:t>differences</w:t>
            </w:r>
            <w:r>
              <w:rPr>
                <w:spacing w:val="-4"/>
              </w:rPr>
              <w:t xml:space="preserve"> </w:t>
            </w:r>
            <w:r>
              <w:t>will</w:t>
            </w:r>
            <w:r>
              <w:rPr>
                <w:spacing w:val="-4"/>
              </w:rPr>
              <w:t xml:space="preserve"> </w:t>
            </w:r>
            <w:r>
              <w:t>not</w:t>
            </w:r>
            <w:r>
              <w:rPr>
                <w:spacing w:val="-4"/>
              </w:rPr>
              <w:t xml:space="preserve"> </w:t>
            </w:r>
            <w:r>
              <w:t>exist</w:t>
            </w:r>
            <w:r>
              <w:rPr>
                <w:spacing w:val="-4"/>
              </w:rPr>
              <w:t xml:space="preserve"> </w:t>
            </w:r>
            <w:r>
              <w:t>at</w:t>
            </w:r>
            <w:r>
              <w:rPr>
                <w:spacing w:val="-4"/>
              </w:rPr>
              <w:t xml:space="preserve"> </w:t>
            </w:r>
            <w:r>
              <w:t>the end of this year.</w:t>
            </w:r>
          </w:p>
          <w:p w14:paraId="0DFDC1B9" w14:textId="77777777" w:rsidR="00046465" w:rsidRDefault="008134EB">
            <w:pPr>
              <w:pStyle w:val="TableParagraph"/>
              <w:numPr>
                <w:ilvl w:val="0"/>
                <w:numId w:val="123"/>
              </w:numPr>
              <w:tabs>
                <w:tab w:val="left" w:pos="1166"/>
                <w:tab w:val="left" w:pos="1168"/>
              </w:tabs>
              <w:spacing w:before="180"/>
              <w:ind w:left="1168" w:right="131"/>
            </w:pPr>
            <w:r>
              <w:t>For journal vouchers that may be proposed by Treasury</w:t>
            </w:r>
            <w:r>
              <w:rPr>
                <w:spacing w:val="-5"/>
              </w:rPr>
              <w:t xml:space="preserve"> </w:t>
            </w:r>
            <w:r>
              <w:t>this</w:t>
            </w:r>
            <w:r>
              <w:rPr>
                <w:spacing w:val="-5"/>
              </w:rPr>
              <w:t xml:space="preserve"> </w:t>
            </w:r>
            <w:r>
              <w:t>year,</w:t>
            </w:r>
            <w:r>
              <w:rPr>
                <w:spacing w:val="-5"/>
              </w:rPr>
              <w:t xml:space="preserve"> </w:t>
            </w:r>
            <w:r>
              <w:t>verify</w:t>
            </w:r>
            <w:r>
              <w:rPr>
                <w:spacing w:val="-5"/>
              </w:rPr>
              <w:t xml:space="preserve"> </w:t>
            </w:r>
            <w:r>
              <w:t>that</w:t>
            </w:r>
            <w:r>
              <w:rPr>
                <w:spacing w:val="-5"/>
              </w:rPr>
              <w:t xml:space="preserve"> </w:t>
            </w:r>
            <w:r>
              <w:t>the</w:t>
            </w:r>
            <w:r>
              <w:rPr>
                <w:spacing w:val="-5"/>
              </w:rPr>
              <w:t xml:space="preserve"> </w:t>
            </w:r>
            <w:r>
              <w:t>entity</w:t>
            </w:r>
            <w:r>
              <w:rPr>
                <w:spacing w:val="-5"/>
              </w:rPr>
              <w:t xml:space="preserve"> </w:t>
            </w:r>
            <w:r>
              <w:t>has</w:t>
            </w:r>
            <w:r>
              <w:rPr>
                <w:spacing w:val="-5"/>
              </w:rPr>
              <w:t xml:space="preserve"> </w:t>
            </w:r>
            <w:r>
              <w:t>procedures to ensure that the personnel the entity identified to review and approve Treasury’s proposed journal vouchers are (i) authorized by the entity to do so and</w:t>
            </w:r>
          </w:p>
          <w:p w14:paraId="0DFDC1BA" w14:textId="77777777" w:rsidR="00046465" w:rsidRDefault="008134EB">
            <w:pPr>
              <w:pStyle w:val="TableParagraph"/>
              <w:ind w:left="1168" w:right="359"/>
            </w:pPr>
            <w:r>
              <w:t>(ii)</w:t>
            </w:r>
            <w:r>
              <w:rPr>
                <w:spacing w:val="-7"/>
              </w:rPr>
              <w:t xml:space="preserve"> </w:t>
            </w:r>
            <w:r>
              <w:t>sufficiently</w:t>
            </w:r>
            <w:r>
              <w:rPr>
                <w:spacing w:val="-7"/>
              </w:rPr>
              <w:t xml:space="preserve"> </w:t>
            </w:r>
            <w:r>
              <w:t>knowledgeable</w:t>
            </w:r>
            <w:r>
              <w:rPr>
                <w:spacing w:val="-7"/>
              </w:rPr>
              <w:t xml:space="preserve"> </w:t>
            </w:r>
            <w:r>
              <w:t>and</w:t>
            </w:r>
            <w:r>
              <w:rPr>
                <w:spacing w:val="-7"/>
              </w:rPr>
              <w:t xml:space="preserve"> </w:t>
            </w:r>
            <w:r>
              <w:t>“senior”</w:t>
            </w:r>
            <w:r>
              <w:rPr>
                <w:spacing w:val="-7"/>
              </w:rPr>
              <w:t xml:space="preserve"> </w:t>
            </w:r>
            <w:r>
              <w:t>to</w:t>
            </w:r>
            <w:r>
              <w:rPr>
                <w:spacing w:val="-7"/>
              </w:rPr>
              <w:t xml:space="preserve"> </w:t>
            </w:r>
            <w:r>
              <w:t>make such a decision.</w:t>
            </w:r>
          </w:p>
        </w:tc>
        <w:tc>
          <w:tcPr>
            <w:tcW w:w="1144" w:type="dxa"/>
            <w:tcBorders>
              <w:top w:val="single" w:sz="4" w:space="0" w:color="000000"/>
              <w:left w:val="single" w:sz="4" w:space="0" w:color="000000"/>
              <w:right w:val="single" w:sz="4" w:space="0" w:color="000000"/>
            </w:tcBorders>
          </w:tcPr>
          <w:p w14:paraId="0DFDC1BB" w14:textId="77777777" w:rsidR="00046465" w:rsidRDefault="00046465">
            <w:pPr>
              <w:pStyle w:val="TableParagraph"/>
              <w:rPr>
                <w:rFonts w:ascii="Times New Roman"/>
                <w:sz w:val="20"/>
              </w:rPr>
            </w:pPr>
          </w:p>
        </w:tc>
        <w:tc>
          <w:tcPr>
            <w:tcW w:w="1229" w:type="dxa"/>
            <w:tcBorders>
              <w:top w:val="single" w:sz="4" w:space="0" w:color="000000"/>
              <w:left w:val="single" w:sz="4" w:space="0" w:color="000000"/>
            </w:tcBorders>
          </w:tcPr>
          <w:p w14:paraId="0DFDC1BC" w14:textId="77777777" w:rsidR="00046465" w:rsidRDefault="00046465">
            <w:pPr>
              <w:pStyle w:val="TableParagraph"/>
              <w:rPr>
                <w:rFonts w:ascii="Times New Roman"/>
                <w:sz w:val="20"/>
              </w:rPr>
            </w:pPr>
          </w:p>
        </w:tc>
      </w:tr>
    </w:tbl>
    <w:p w14:paraId="0DFDC1BE" w14:textId="77777777" w:rsidR="00046465" w:rsidRDefault="00046465">
      <w:pPr>
        <w:pStyle w:val="TableParagraph"/>
        <w:rPr>
          <w:rFonts w:ascii="Times New Roman"/>
          <w:sz w:val="20"/>
        </w:rPr>
        <w:sectPr w:rsidR="00046465">
          <w:pgSz w:w="12240" w:h="15840"/>
          <w:pgMar w:top="1340" w:right="720" w:bottom="940" w:left="1080" w:header="721" w:footer="757" w:gutter="0"/>
          <w:cols w:space="720"/>
        </w:sectPr>
      </w:pPr>
    </w:p>
    <w:tbl>
      <w:tblPr>
        <w:tblW w:w="0" w:type="auto"/>
        <w:tblInd w:w="368" w:type="dxa"/>
        <w:tblLayout w:type="fixed"/>
        <w:tblCellMar>
          <w:left w:w="0" w:type="dxa"/>
          <w:right w:w="0" w:type="dxa"/>
        </w:tblCellMar>
        <w:tblLook w:val="01E0" w:firstRow="1" w:lastRow="1" w:firstColumn="1" w:lastColumn="1" w:noHBand="0" w:noVBand="0"/>
      </w:tblPr>
      <w:tblGrid>
        <w:gridCol w:w="4797"/>
        <w:gridCol w:w="1141"/>
        <w:gridCol w:w="3422"/>
      </w:tblGrid>
      <w:tr w:rsidR="00046465" w14:paraId="0DFDC1C1" w14:textId="77777777">
        <w:trPr>
          <w:trHeight w:hRule="exact" w:val="148"/>
        </w:trPr>
        <w:tc>
          <w:tcPr>
            <w:tcW w:w="5938" w:type="dxa"/>
            <w:gridSpan w:val="2"/>
            <w:tcBorders>
              <w:top w:val="single" w:sz="18" w:space="0" w:color="000000"/>
              <w:bottom w:val="single" w:sz="4" w:space="0" w:color="000000"/>
            </w:tcBorders>
          </w:tcPr>
          <w:p w14:paraId="0DFDC1BF" w14:textId="77777777" w:rsidR="00046465" w:rsidRDefault="00046465">
            <w:pPr>
              <w:pStyle w:val="TableParagraph"/>
              <w:rPr>
                <w:rFonts w:ascii="Times New Roman"/>
                <w:sz w:val="6"/>
              </w:rPr>
            </w:pPr>
          </w:p>
        </w:tc>
        <w:tc>
          <w:tcPr>
            <w:tcW w:w="3422" w:type="dxa"/>
            <w:tcBorders>
              <w:top w:val="single" w:sz="18" w:space="0" w:color="000000"/>
              <w:bottom w:val="single" w:sz="4" w:space="0" w:color="000000"/>
            </w:tcBorders>
          </w:tcPr>
          <w:p w14:paraId="0DFDC1C0" w14:textId="77777777" w:rsidR="00046465" w:rsidRDefault="00046465">
            <w:pPr>
              <w:pStyle w:val="TableParagraph"/>
              <w:rPr>
                <w:rFonts w:ascii="Times New Roman"/>
                <w:sz w:val="6"/>
              </w:rPr>
            </w:pPr>
          </w:p>
        </w:tc>
      </w:tr>
      <w:tr w:rsidR="00046465" w14:paraId="0DFDC1C4" w14:textId="77777777">
        <w:trPr>
          <w:trHeight w:hRule="exact" w:val="708"/>
        </w:trPr>
        <w:tc>
          <w:tcPr>
            <w:tcW w:w="5938" w:type="dxa"/>
            <w:gridSpan w:val="2"/>
            <w:tcBorders>
              <w:top w:val="single" w:sz="4" w:space="0" w:color="000000"/>
              <w:left w:val="single" w:sz="4" w:space="0" w:color="000000"/>
            </w:tcBorders>
          </w:tcPr>
          <w:p w14:paraId="0DFDC1C2" w14:textId="77777777" w:rsidR="00046465" w:rsidRDefault="008134EB">
            <w:pPr>
              <w:pStyle w:val="TableParagraph"/>
              <w:spacing w:before="120"/>
              <w:ind w:left="1422" w:right="312" w:hanging="1168"/>
              <w:rPr>
                <w:b/>
                <w:sz w:val="20"/>
              </w:rPr>
            </w:pPr>
            <w:r>
              <w:rPr>
                <w:b/>
                <w:sz w:val="20"/>
              </w:rPr>
              <w:t>Reconciliation</w:t>
            </w:r>
            <w:r>
              <w:rPr>
                <w:b/>
                <w:spacing w:val="-6"/>
                <w:sz w:val="20"/>
              </w:rPr>
              <w:t xml:space="preserve"> </w:t>
            </w:r>
            <w:r>
              <w:rPr>
                <w:b/>
                <w:sz w:val="20"/>
              </w:rPr>
              <w:t>of</w:t>
            </w:r>
            <w:r>
              <w:rPr>
                <w:b/>
                <w:spacing w:val="-5"/>
                <w:sz w:val="20"/>
              </w:rPr>
              <w:t xml:space="preserve"> </w:t>
            </w:r>
            <w:r>
              <w:rPr>
                <w:b/>
                <w:sz w:val="20"/>
              </w:rPr>
              <w:t>Seller</w:t>
            </w:r>
            <w:r>
              <w:rPr>
                <w:b/>
                <w:spacing w:val="-6"/>
                <w:sz w:val="20"/>
              </w:rPr>
              <w:t xml:space="preserve"> </w:t>
            </w:r>
            <w:r>
              <w:rPr>
                <w:b/>
                <w:sz w:val="20"/>
              </w:rPr>
              <w:t>Entity</w:t>
            </w:r>
            <w:r>
              <w:rPr>
                <w:b/>
                <w:spacing w:val="-6"/>
                <w:sz w:val="20"/>
              </w:rPr>
              <w:t xml:space="preserve"> </w:t>
            </w:r>
            <w:r>
              <w:rPr>
                <w:b/>
                <w:sz w:val="20"/>
              </w:rPr>
              <w:t>Intragovernmental</w:t>
            </w:r>
            <w:r>
              <w:rPr>
                <w:b/>
                <w:spacing w:val="-8"/>
                <w:sz w:val="20"/>
              </w:rPr>
              <w:t xml:space="preserve"> </w:t>
            </w:r>
            <w:r>
              <w:rPr>
                <w:b/>
                <w:sz w:val="20"/>
              </w:rPr>
              <w:t>Earned Revenue with Buyer Entity Cost</w:t>
            </w:r>
          </w:p>
        </w:tc>
        <w:tc>
          <w:tcPr>
            <w:tcW w:w="3422" w:type="dxa"/>
            <w:tcBorders>
              <w:top w:val="single" w:sz="4" w:space="0" w:color="000000"/>
              <w:right w:val="single" w:sz="4" w:space="0" w:color="000000"/>
            </w:tcBorders>
          </w:tcPr>
          <w:p w14:paraId="0DFDC1C3" w14:textId="77777777" w:rsidR="00046465" w:rsidRDefault="008134EB">
            <w:pPr>
              <w:pStyle w:val="TableParagraph"/>
              <w:spacing w:before="120"/>
              <w:ind w:right="48"/>
              <w:jc w:val="center"/>
              <w:rPr>
                <w:b/>
                <w:sz w:val="20"/>
              </w:rPr>
            </w:pPr>
            <w:r>
              <w:rPr>
                <w:b/>
                <w:sz w:val="20"/>
              </w:rPr>
              <w:t>Exhibit</w:t>
            </w:r>
            <w:r>
              <w:rPr>
                <w:b/>
                <w:spacing w:val="-5"/>
                <w:sz w:val="20"/>
              </w:rPr>
              <w:t xml:space="preserve"> </w:t>
            </w:r>
            <w:r>
              <w:rPr>
                <w:b/>
                <w:spacing w:val="-10"/>
                <w:sz w:val="20"/>
              </w:rPr>
              <w:t>I</w:t>
            </w:r>
          </w:p>
        </w:tc>
      </w:tr>
      <w:tr w:rsidR="00046465" w14:paraId="0DFDC1CE" w14:textId="77777777">
        <w:trPr>
          <w:trHeight w:hRule="exact" w:val="1307"/>
        </w:trPr>
        <w:tc>
          <w:tcPr>
            <w:tcW w:w="4797" w:type="dxa"/>
            <w:tcBorders>
              <w:left w:val="single" w:sz="4" w:space="0" w:color="000000"/>
            </w:tcBorders>
          </w:tcPr>
          <w:p w14:paraId="0DFDC1C5" w14:textId="77777777" w:rsidR="00046465" w:rsidRDefault="008134EB">
            <w:pPr>
              <w:pStyle w:val="TableParagraph"/>
              <w:spacing w:before="117"/>
              <w:ind w:left="102"/>
              <w:rPr>
                <w:b/>
                <w:sz w:val="18"/>
              </w:rPr>
            </w:pPr>
            <w:r>
              <w:rPr>
                <w:b/>
                <w:sz w:val="18"/>
                <w:u w:val="single"/>
              </w:rPr>
              <w:t>Seller</w:t>
            </w:r>
            <w:r>
              <w:rPr>
                <w:b/>
                <w:spacing w:val="-3"/>
                <w:sz w:val="18"/>
                <w:u w:val="single"/>
              </w:rPr>
              <w:t xml:space="preserve"> </w:t>
            </w:r>
            <w:r>
              <w:rPr>
                <w:b/>
                <w:sz w:val="18"/>
                <w:u w:val="single"/>
              </w:rPr>
              <w:t>Entity</w:t>
            </w:r>
            <w:r>
              <w:rPr>
                <w:b/>
                <w:spacing w:val="-3"/>
                <w:sz w:val="18"/>
                <w:u w:val="single"/>
              </w:rPr>
              <w:t xml:space="preserve"> </w:t>
            </w:r>
            <w:r>
              <w:rPr>
                <w:b/>
                <w:sz w:val="18"/>
                <w:u w:val="single"/>
              </w:rPr>
              <w:t>–</w:t>
            </w:r>
            <w:r>
              <w:rPr>
                <w:b/>
                <w:spacing w:val="-4"/>
                <w:sz w:val="18"/>
                <w:u w:val="single"/>
              </w:rPr>
              <w:t xml:space="preserve"> </w:t>
            </w:r>
            <w:r>
              <w:rPr>
                <w:b/>
                <w:sz w:val="18"/>
                <w:u w:val="single"/>
              </w:rPr>
              <w:t>Trading</w:t>
            </w:r>
            <w:r>
              <w:rPr>
                <w:b/>
                <w:spacing w:val="-3"/>
                <w:sz w:val="18"/>
                <w:u w:val="single"/>
              </w:rPr>
              <w:t xml:space="preserve"> </w:t>
            </w:r>
            <w:r>
              <w:rPr>
                <w:b/>
                <w:sz w:val="18"/>
                <w:u w:val="single"/>
              </w:rPr>
              <w:t>Partner</w:t>
            </w:r>
            <w:r>
              <w:rPr>
                <w:b/>
                <w:spacing w:val="-2"/>
                <w:sz w:val="18"/>
                <w:u w:val="single"/>
              </w:rPr>
              <w:t xml:space="preserve"> </w:t>
            </w:r>
            <w:r>
              <w:rPr>
                <w:b/>
                <w:spacing w:val="-10"/>
                <w:sz w:val="18"/>
                <w:u w:val="single"/>
              </w:rPr>
              <w:t>1</w:t>
            </w:r>
          </w:p>
          <w:p w14:paraId="0DFDC1C6" w14:textId="77777777" w:rsidR="00046465" w:rsidRDefault="00046465">
            <w:pPr>
              <w:pStyle w:val="TableParagraph"/>
              <w:spacing w:before="31"/>
              <w:rPr>
                <w:sz w:val="18"/>
              </w:rPr>
            </w:pPr>
          </w:p>
          <w:p w14:paraId="0DFDC1C7" w14:textId="77777777" w:rsidR="00046465" w:rsidRDefault="008134EB">
            <w:pPr>
              <w:pStyle w:val="TableParagraph"/>
              <w:ind w:left="102"/>
              <w:rPr>
                <w:sz w:val="18"/>
              </w:rPr>
            </w:pPr>
            <w:r>
              <w:rPr>
                <w:sz w:val="18"/>
              </w:rPr>
              <w:t>Intragovernmental funds received for each revenue, FY 20XX, From Trading Partner 2 (General Ledger before adjustment)</w:t>
            </w:r>
            <w:r>
              <w:rPr>
                <w:spacing w:val="-23"/>
                <w:sz w:val="18"/>
              </w:rPr>
              <w:t xml:space="preserve"> </w:t>
            </w:r>
            <w:r>
              <w:rPr>
                <w:sz w:val="18"/>
              </w:rPr>
              <w:t>.........................................................................</w:t>
            </w:r>
          </w:p>
        </w:tc>
        <w:tc>
          <w:tcPr>
            <w:tcW w:w="1141" w:type="dxa"/>
          </w:tcPr>
          <w:p w14:paraId="0DFDC1C8" w14:textId="77777777" w:rsidR="00046465" w:rsidRDefault="00046465">
            <w:pPr>
              <w:pStyle w:val="TableParagraph"/>
              <w:rPr>
                <w:sz w:val="18"/>
              </w:rPr>
            </w:pPr>
          </w:p>
          <w:p w14:paraId="0DFDC1C9" w14:textId="77777777" w:rsidR="00046465" w:rsidRDefault="00046465">
            <w:pPr>
              <w:pStyle w:val="TableParagraph"/>
              <w:rPr>
                <w:sz w:val="18"/>
              </w:rPr>
            </w:pPr>
          </w:p>
          <w:p w14:paraId="0DFDC1CA" w14:textId="77777777" w:rsidR="00046465" w:rsidRDefault="00046465">
            <w:pPr>
              <w:pStyle w:val="TableParagraph"/>
              <w:rPr>
                <w:sz w:val="18"/>
              </w:rPr>
            </w:pPr>
          </w:p>
          <w:p w14:paraId="0DFDC1CB" w14:textId="77777777" w:rsidR="00046465" w:rsidRDefault="00046465">
            <w:pPr>
              <w:pStyle w:val="TableParagraph"/>
              <w:spacing w:before="149"/>
              <w:rPr>
                <w:sz w:val="18"/>
              </w:rPr>
            </w:pPr>
          </w:p>
          <w:p w14:paraId="0DFDC1CC" w14:textId="77777777" w:rsidR="00046465" w:rsidRDefault="008134EB">
            <w:pPr>
              <w:pStyle w:val="TableParagraph"/>
              <w:ind w:right="161"/>
              <w:jc w:val="right"/>
              <w:rPr>
                <w:sz w:val="18"/>
              </w:rPr>
            </w:pPr>
            <w:r>
              <w:rPr>
                <w:spacing w:val="-2"/>
                <w:sz w:val="18"/>
              </w:rPr>
              <w:t>$200,000</w:t>
            </w:r>
          </w:p>
        </w:tc>
        <w:tc>
          <w:tcPr>
            <w:tcW w:w="3422" w:type="dxa"/>
            <w:tcBorders>
              <w:right w:val="single" w:sz="4" w:space="0" w:color="000000"/>
            </w:tcBorders>
          </w:tcPr>
          <w:p w14:paraId="0DFDC1CD" w14:textId="77777777" w:rsidR="00046465" w:rsidRDefault="00046465">
            <w:pPr>
              <w:pStyle w:val="TableParagraph"/>
              <w:rPr>
                <w:rFonts w:ascii="Times New Roman"/>
                <w:sz w:val="18"/>
              </w:rPr>
            </w:pPr>
          </w:p>
        </w:tc>
      </w:tr>
      <w:tr w:rsidR="00046465" w14:paraId="0DFDC1D2" w14:textId="77777777">
        <w:trPr>
          <w:trHeight w:hRule="exact" w:val="446"/>
        </w:trPr>
        <w:tc>
          <w:tcPr>
            <w:tcW w:w="4797" w:type="dxa"/>
            <w:tcBorders>
              <w:left w:val="single" w:sz="4" w:space="0" w:color="000000"/>
            </w:tcBorders>
          </w:tcPr>
          <w:p w14:paraId="0DFDC1CF" w14:textId="77777777" w:rsidR="00046465" w:rsidRDefault="008134EB">
            <w:pPr>
              <w:pStyle w:val="TableParagraph"/>
              <w:spacing w:before="117"/>
              <w:ind w:left="102"/>
              <w:rPr>
                <w:sz w:val="18"/>
              </w:rPr>
            </w:pPr>
            <w:r>
              <w:rPr>
                <w:sz w:val="18"/>
              </w:rPr>
              <w:t>Less</w:t>
            </w:r>
            <w:r>
              <w:rPr>
                <w:spacing w:val="-3"/>
                <w:sz w:val="18"/>
              </w:rPr>
              <w:t xml:space="preserve"> </w:t>
            </w:r>
            <w:r>
              <w:rPr>
                <w:sz w:val="18"/>
              </w:rPr>
              <w:t>adjustment</w:t>
            </w:r>
            <w:r>
              <w:rPr>
                <w:spacing w:val="-3"/>
                <w:sz w:val="18"/>
              </w:rPr>
              <w:t xml:space="preserve"> </w:t>
            </w:r>
            <w:r>
              <w:rPr>
                <w:sz w:val="18"/>
              </w:rPr>
              <w:t>for</w:t>
            </w:r>
            <w:r>
              <w:rPr>
                <w:spacing w:val="-2"/>
                <w:sz w:val="18"/>
              </w:rPr>
              <w:t xml:space="preserve"> </w:t>
            </w:r>
            <w:r>
              <w:rPr>
                <w:sz w:val="18"/>
              </w:rPr>
              <w:t>timing</w:t>
            </w:r>
            <w:r>
              <w:rPr>
                <w:spacing w:val="-3"/>
                <w:sz w:val="18"/>
              </w:rPr>
              <w:t xml:space="preserve"> </w:t>
            </w:r>
            <w:r>
              <w:rPr>
                <w:spacing w:val="-2"/>
                <w:sz w:val="18"/>
              </w:rPr>
              <w:t>difference</w:t>
            </w:r>
          </w:p>
        </w:tc>
        <w:tc>
          <w:tcPr>
            <w:tcW w:w="1141" w:type="dxa"/>
          </w:tcPr>
          <w:p w14:paraId="0DFDC1D0" w14:textId="77777777" w:rsidR="00046465" w:rsidRDefault="00046465">
            <w:pPr>
              <w:pStyle w:val="TableParagraph"/>
              <w:rPr>
                <w:rFonts w:ascii="Times New Roman"/>
                <w:sz w:val="18"/>
              </w:rPr>
            </w:pPr>
          </w:p>
        </w:tc>
        <w:tc>
          <w:tcPr>
            <w:tcW w:w="3422" w:type="dxa"/>
            <w:tcBorders>
              <w:right w:val="single" w:sz="4" w:space="0" w:color="000000"/>
            </w:tcBorders>
          </w:tcPr>
          <w:p w14:paraId="0DFDC1D1" w14:textId="77777777" w:rsidR="00046465" w:rsidRDefault="00046465">
            <w:pPr>
              <w:pStyle w:val="TableParagraph"/>
              <w:rPr>
                <w:rFonts w:ascii="Times New Roman"/>
                <w:sz w:val="18"/>
              </w:rPr>
            </w:pPr>
          </w:p>
        </w:tc>
      </w:tr>
      <w:tr w:rsidR="00046465" w14:paraId="0DFDC1D8" w14:textId="77777777">
        <w:trPr>
          <w:trHeight w:hRule="exact" w:val="653"/>
        </w:trPr>
        <w:tc>
          <w:tcPr>
            <w:tcW w:w="4797" w:type="dxa"/>
            <w:tcBorders>
              <w:left w:val="single" w:sz="4" w:space="0" w:color="000000"/>
            </w:tcBorders>
          </w:tcPr>
          <w:p w14:paraId="0DFDC1D3" w14:textId="77777777" w:rsidR="00046465" w:rsidRDefault="008134EB">
            <w:pPr>
              <w:pStyle w:val="TableParagraph"/>
              <w:spacing w:before="116"/>
              <w:ind w:left="645"/>
              <w:rPr>
                <w:sz w:val="18"/>
              </w:rPr>
            </w:pPr>
            <w:r>
              <w:rPr>
                <w:sz w:val="18"/>
              </w:rPr>
              <w:t>Funds</w:t>
            </w:r>
            <w:r>
              <w:rPr>
                <w:spacing w:val="-3"/>
                <w:sz w:val="18"/>
              </w:rPr>
              <w:t xml:space="preserve"> </w:t>
            </w:r>
            <w:r>
              <w:rPr>
                <w:sz w:val="18"/>
              </w:rPr>
              <w:t>received</w:t>
            </w:r>
            <w:r>
              <w:rPr>
                <w:spacing w:val="-3"/>
                <w:sz w:val="18"/>
              </w:rPr>
              <w:t xml:space="preserve"> </w:t>
            </w:r>
            <w:r>
              <w:rPr>
                <w:sz w:val="18"/>
              </w:rPr>
              <w:t>but</w:t>
            </w:r>
            <w:r>
              <w:rPr>
                <w:spacing w:val="-3"/>
                <w:sz w:val="18"/>
              </w:rPr>
              <w:t xml:space="preserve"> </w:t>
            </w:r>
            <w:r>
              <w:rPr>
                <w:sz w:val="18"/>
              </w:rPr>
              <w:t>revenue</w:t>
            </w:r>
            <w:r>
              <w:rPr>
                <w:spacing w:val="-2"/>
                <w:sz w:val="18"/>
              </w:rPr>
              <w:t xml:space="preserve"> </w:t>
            </w:r>
            <w:r>
              <w:rPr>
                <w:sz w:val="18"/>
              </w:rPr>
              <w:t>unearned</w:t>
            </w:r>
            <w:r>
              <w:rPr>
                <w:spacing w:val="-3"/>
                <w:sz w:val="18"/>
              </w:rPr>
              <w:t xml:space="preserve"> </w:t>
            </w:r>
            <w:r>
              <w:rPr>
                <w:sz w:val="18"/>
              </w:rPr>
              <w:t>at</w:t>
            </w:r>
            <w:r>
              <w:rPr>
                <w:spacing w:val="-2"/>
                <w:sz w:val="18"/>
              </w:rPr>
              <w:t xml:space="preserve"> </w:t>
            </w:r>
            <w:r>
              <w:rPr>
                <w:spacing w:val="-5"/>
                <w:sz w:val="18"/>
              </w:rPr>
              <w:t>end</w:t>
            </w:r>
          </w:p>
          <w:p w14:paraId="0DFDC1D4" w14:textId="77777777" w:rsidR="00046465" w:rsidRDefault="008134EB">
            <w:pPr>
              <w:pStyle w:val="TableParagraph"/>
              <w:spacing w:before="2"/>
              <w:ind w:left="645"/>
              <w:rPr>
                <w:sz w:val="18"/>
              </w:rPr>
            </w:pPr>
            <w:r>
              <w:rPr>
                <w:sz w:val="18"/>
              </w:rPr>
              <w:t>of</w:t>
            </w:r>
            <w:r>
              <w:rPr>
                <w:spacing w:val="-5"/>
                <w:sz w:val="18"/>
              </w:rPr>
              <w:t xml:space="preserve"> </w:t>
            </w:r>
            <w:r>
              <w:rPr>
                <w:sz w:val="18"/>
              </w:rPr>
              <w:t>the</w:t>
            </w:r>
            <w:r>
              <w:rPr>
                <w:spacing w:val="-3"/>
                <w:sz w:val="18"/>
              </w:rPr>
              <w:t xml:space="preserve"> </w:t>
            </w:r>
            <w:r>
              <w:rPr>
                <w:sz w:val="18"/>
              </w:rPr>
              <w:t>current</w:t>
            </w:r>
            <w:r>
              <w:rPr>
                <w:spacing w:val="-2"/>
                <w:sz w:val="18"/>
              </w:rPr>
              <w:t xml:space="preserve"> </w:t>
            </w:r>
            <w:r>
              <w:rPr>
                <w:sz w:val="18"/>
              </w:rPr>
              <w:t>year</w:t>
            </w:r>
            <w:r>
              <w:rPr>
                <w:spacing w:val="-26"/>
                <w:sz w:val="18"/>
              </w:rPr>
              <w:t xml:space="preserve"> </w:t>
            </w:r>
            <w:r>
              <w:rPr>
                <w:spacing w:val="-2"/>
                <w:sz w:val="18"/>
              </w:rPr>
              <w:t>....................................................</w:t>
            </w:r>
          </w:p>
        </w:tc>
        <w:tc>
          <w:tcPr>
            <w:tcW w:w="1141" w:type="dxa"/>
          </w:tcPr>
          <w:p w14:paraId="0DFDC1D5" w14:textId="77777777" w:rsidR="00046465" w:rsidRDefault="00046465">
            <w:pPr>
              <w:pStyle w:val="TableParagraph"/>
              <w:spacing w:before="117"/>
              <w:rPr>
                <w:sz w:val="18"/>
              </w:rPr>
            </w:pPr>
          </w:p>
          <w:p w14:paraId="0DFDC1D6" w14:textId="77777777" w:rsidR="00046465" w:rsidRDefault="008134EB">
            <w:pPr>
              <w:pStyle w:val="TableParagraph"/>
              <w:spacing w:before="1"/>
              <w:ind w:right="162"/>
              <w:jc w:val="right"/>
              <w:rPr>
                <w:sz w:val="18"/>
              </w:rPr>
            </w:pPr>
            <w:r>
              <w:rPr>
                <w:noProof/>
                <w:sz w:val="18"/>
              </w:rPr>
              <mc:AlternateContent>
                <mc:Choice Requires="wpg">
                  <w:drawing>
                    <wp:anchor distT="0" distB="0" distL="0" distR="0" simplePos="0" relativeHeight="476184576" behindDoc="1" locked="0" layoutInCell="1" allowOverlap="1" wp14:anchorId="0DFDD713" wp14:editId="0DFDD714">
                      <wp:simplePos x="0" y="0"/>
                      <wp:positionH relativeFrom="column">
                        <wp:posOffset>724533</wp:posOffset>
                      </wp:positionH>
                      <wp:positionV relativeFrom="paragraph">
                        <wp:posOffset>12746</wp:posOffset>
                      </wp:positionV>
                      <wp:extent cx="451484" cy="4565015"/>
                      <wp:effectExtent l="0" t="0" r="0" b="0"/>
                      <wp:wrapNone/>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4" cy="4565015"/>
                                <a:chOff x="0" y="0"/>
                                <a:chExt cx="451484" cy="4565015"/>
                              </a:xfrm>
                            </wpg:grpSpPr>
                            <wps:wsp>
                              <wps:cNvPr id="911" name="Graphic 911"/>
                              <wps:cNvSpPr/>
                              <wps:spPr>
                                <a:xfrm>
                                  <a:off x="199237" y="4539612"/>
                                  <a:ext cx="247650" cy="1270"/>
                                </a:xfrm>
                                <a:custGeom>
                                  <a:avLst/>
                                  <a:gdLst/>
                                  <a:ahLst/>
                                  <a:cxnLst/>
                                  <a:rect l="l" t="t" r="r" b="b"/>
                                  <a:pathLst>
                                    <a:path w="247650">
                                      <a:moveTo>
                                        <a:pt x="247167"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12" name="Graphic 912"/>
                              <wps:cNvSpPr/>
                              <wps:spPr>
                                <a:xfrm>
                                  <a:off x="135742" y="4514215"/>
                                  <a:ext cx="76200" cy="50800"/>
                                </a:xfrm>
                                <a:custGeom>
                                  <a:avLst/>
                                  <a:gdLst/>
                                  <a:ahLst/>
                                  <a:cxnLst/>
                                  <a:rect l="l" t="t" r="r" b="b"/>
                                  <a:pathLst>
                                    <a:path w="76200" h="50800">
                                      <a:moveTo>
                                        <a:pt x="76200" y="0"/>
                                      </a:moveTo>
                                      <a:lnTo>
                                        <a:pt x="0" y="25399"/>
                                      </a:lnTo>
                                      <a:lnTo>
                                        <a:pt x="76200" y="50799"/>
                                      </a:lnTo>
                                      <a:lnTo>
                                        <a:pt x="76200" y="0"/>
                                      </a:lnTo>
                                      <a:close/>
                                    </a:path>
                                  </a:pathLst>
                                </a:custGeom>
                                <a:solidFill>
                                  <a:srgbClr val="000000"/>
                                </a:solidFill>
                              </wps:spPr>
                              <wps:bodyPr wrap="square" lIns="0" tIns="0" rIns="0" bIns="0" rtlCol="0">
                                <a:prstTxWarp prst="textNoShape">
                                  <a:avLst/>
                                </a:prstTxWarp>
                                <a:noAutofit/>
                              </wps:bodyPr>
                            </wps:wsp>
                            <wps:wsp>
                              <wps:cNvPr id="913" name="Graphic 913"/>
                              <wps:cNvSpPr/>
                              <wps:spPr>
                                <a:xfrm>
                                  <a:off x="173354" y="25397"/>
                                  <a:ext cx="273050" cy="1270"/>
                                </a:xfrm>
                                <a:custGeom>
                                  <a:avLst/>
                                  <a:gdLst/>
                                  <a:ahLst/>
                                  <a:cxnLst/>
                                  <a:rect l="l" t="t" r="r" b="b"/>
                                  <a:pathLst>
                                    <a:path w="273050">
                                      <a:moveTo>
                                        <a:pt x="273050"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14" name="Graphic 914"/>
                              <wps:cNvSpPr/>
                              <wps:spPr>
                                <a:xfrm>
                                  <a:off x="109853" y="0"/>
                                  <a:ext cx="76200" cy="50800"/>
                                </a:xfrm>
                                <a:custGeom>
                                  <a:avLst/>
                                  <a:gdLst/>
                                  <a:ahLst/>
                                  <a:cxnLst/>
                                  <a:rect l="l" t="t" r="r" b="b"/>
                                  <a:pathLst>
                                    <a:path w="76200" h="50800">
                                      <a:moveTo>
                                        <a:pt x="76200" y="0"/>
                                      </a:moveTo>
                                      <a:lnTo>
                                        <a:pt x="0" y="25400"/>
                                      </a:lnTo>
                                      <a:lnTo>
                                        <a:pt x="76200" y="50800"/>
                                      </a:lnTo>
                                      <a:lnTo>
                                        <a:pt x="76200" y="0"/>
                                      </a:lnTo>
                                      <a:close/>
                                    </a:path>
                                  </a:pathLst>
                                </a:custGeom>
                                <a:solidFill>
                                  <a:srgbClr val="000000"/>
                                </a:solidFill>
                              </wps:spPr>
                              <wps:bodyPr wrap="square" lIns="0" tIns="0" rIns="0" bIns="0" rtlCol="0">
                                <a:prstTxWarp prst="textNoShape">
                                  <a:avLst/>
                                </a:prstTxWarp>
                                <a:noAutofit/>
                              </wps:bodyPr>
                            </wps:wsp>
                            <wps:wsp>
                              <wps:cNvPr id="915" name="Graphic 915"/>
                              <wps:cNvSpPr/>
                              <wps:spPr>
                                <a:xfrm>
                                  <a:off x="446405" y="25397"/>
                                  <a:ext cx="1270" cy="4514215"/>
                                </a:xfrm>
                                <a:custGeom>
                                  <a:avLst/>
                                  <a:gdLst/>
                                  <a:ahLst/>
                                  <a:cxnLst/>
                                  <a:rect l="l" t="t" r="r" b="b"/>
                                  <a:pathLst>
                                    <a:path h="4514215">
                                      <a:moveTo>
                                        <a:pt x="0" y="4514214"/>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916" name="Graphic 916"/>
                              <wps:cNvSpPr/>
                              <wps:spPr>
                                <a:xfrm>
                                  <a:off x="83427" y="3868393"/>
                                  <a:ext cx="175895" cy="1270"/>
                                </a:xfrm>
                                <a:custGeom>
                                  <a:avLst/>
                                  <a:gdLst/>
                                  <a:ahLst/>
                                  <a:cxnLst/>
                                  <a:rect l="l" t="t" r="r" b="b"/>
                                  <a:pathLst>
                                    <a:path w="175895">
                                      <a:moveTo>
                                        <a:pt x="175653"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17" name="Graphic 917"/>
                              <wps:cNvSpPr/>
                              <wps:spPr>
                                <a:xfrm>
                                  <a:off x="19928" y="3842997"/>
                                  <a:ext cx="76200" cy="50800"/>
                                </a:xfrm>
                                <a:custGeom>
                                  <a:avLst/>
                                  <a:gdLst/>
                                  <a:ahLst/>
                                  <a:cxnLst/>
                                  <a:rect l="l" t="t" r="r" b="b"/>
                                  <a:pathLst>
                                    <a:path w="76200" h="50800">
                                      <a:moveTo>
                                        <a:pt x="76200" y="0"/>
                                      </a:moveTo>
                                      <a:lnTo>
                                        <a:pt x="0" y="25400"/>
                                      </a:lnTo>
                                      <a:lnTo>
                                        <a:pt x="76200" y="50800"/>
                                      </a:lnTo>
                                      <a:lnTo>
                                        <a:pt x="76200" y="0"/>
                                      </a:lnTo>
                                      <a:close/>
                                    </a:path>
                                  </a:pathLst>
                                </a:custGeom>
                                <a:solidFill>
                                  <a:srgbClr val="000000"/>
                                </a:solidFill>
                              </wps:spPr>
                              <wps:bodyPr wrap="square" lIns="0" tIns="0" rIns="0" bIns="0" rtlCol="0">
                                <a:prstTxWarp prst="textNoShape">
                                  <a:avLst/>
                                </a:prstTxWarp>
                                <a:noAutofit/>
                              </wps:bodyPr>
                            </wps:wsp>
                            <wps:wsp>
                              <wps:cNvPr id="918" name="Graphic 918"/>
                              <wps:cNvSpPr/>
                              <wps:spPr>
                                <a:xfrm>
                                  <a:off x="63501" y="769593"/>
                                  <a:ext cx="195580" cy="1270"/>
                                </a:xfrm>
                                <a:custGeom>
                                  <a:avLst/>
                                  <a:gdLst/>
                                  <a:ahLst/>
                                  <a:cxnLst/>
                                  <a:rect l="l" t="t" r="r" b="b"/>
                                  <a:pathLst>
                                    <a:path w="195580">
                                      <a:moveTo>
                                        <a:pt x="195579" y="0"/>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19" name="Graphic 919"/>
                              <wps:cNvSpPr/>
                              <wps:spPr>
                                <a:xfrm>
                                  <a:off x="0" y="744197"/>
                                  <a:ext cx="76200" cy="50800"/>
                                </a:xfrm>
                                <a:custGeom>
                                  <a:avLst/>
                                  <a:gdLst/>
                                  <a:ahLst/>
                                  <a:cxnLst/>
                                  <a:rect l="l" t="t" r="r" b="b"/>
                                  <a:pathLst>
                                    <a:path w="76200" h="50800">
                                      <a:moveTo>
                                        <a:pt x="76200" y="0"/>
                                      </a:moveTo>
                                      <a:lnTo>
                                        <a:pt x="0" y="25400"/>
                                      </a:lnTo>
                                      <a:lnTo>
                                        <a:pt x="76200" y="50800"/>
                                      </a:lnTo>
                                      <a:lnTo>
                                        <a:pt x="76200" y="0"/>
                                      </a:lnTo>
                                      <a:close/>
                                    </a:path>
                                  </a:pathLst>
                                </a:custGeom>
                                <a:solidFill>
                                  <a:srgbClr val="000000"/>
                                </a:solidFill>
                              </wps:spPr>
                              <wps:bodyPr wrap="square" lIns="0" tIns="0" rIns="0" bIns="0" rtlCol="0">
                                <a:prstTxWarp prst="textNoShape">
                                  <a:avLst/>
                                </a:prstTxWarp>
                                <a:noAutofit/>
                              </wps:bodyPr>
                            </wps:wsp>
                            <wps:wsp>
                              <wps:cNvPr id="920" name="Graphic 920"/>
                              <wps:cNvSpPr/>
                              <wps:spPr>
                                <a:xfrm>
                                  <a:off x="259081" y="769593"/>
                                  <a:ext cx="1270" cy="3098800"/>
                                </a:xfrm>
                                <a:custGeom>
                                  <a:avLst/>
                                  <a:gdLst/>
                                  <a:ahLst/>
                                  <a:cxnLst/>
                                  <a:rect l="l" t="t" r="r" b="b"/>
                                  <a:pathLst>
                                    <a:path h="3098800">
                                      <a:moveTo>
                                        <a:pt x="0" y="3098799"/>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88A1A7" id="Group 910" o:spid="_x0000_s1026" style="position:absolute;margin-left:57.05pt;margin-top:1pt;width:35.55pt;height:359.45pt;z-index:-27131904;mso-wrap-distance-left:0;mso-wrap-distance-right:0" coordsize="4514,4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">
                      <v:shape id="Graphic 911" o:spid="_x0000_s1027" style="position:absolute;left:1992;top:45396;width:2476;height:12;visibility:visible;mso-wrap-style:square;v-text-anchor:top" coordsize="247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" path="m247167,l,e" filled="f" strokeweight=".5pt">
                        <v:path arrowok="t"/>
                      </v:shape>
                      <v:shape id="Graphic 912" o:spid="_x0000_s1028" style="position:absolute;left:1357;top:45142;width:762;height:508;visibility:visible;mso-wrap-style:square;v-text-anchor:top" coordsize="762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" path="m76200,l,25399,76200,50799,76200,xe" fillcolor="black" stroked="f">
                        <v:path arrowok="t"/>
                      </v:shape>
                      <v:shape id="Graphic 913" o:spid="_x0000_s1029" style="position:absolute;left:1733;top:253;width:2731;height:13;visibility:visible;mso-wrap-style:square;v-text-anchor:top" coordsize="273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" path="m273050,l,e" filled="f" strokeweight=".5pt">
                        <v:path arrowok="t"/>
                      </v:shape>
                      <v:shape id="Graphic 914" o:spid="_x0000_s1030" style="position:absolute;left:1098;width:762;height:508;visibility:visible;mso-wrap-style:square;v-text-anchor:top" coordsize="762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" path="m76200,l,25400,76200,50800,76200,xe" fillcolor="black" stroked="f">
                        <v:path arrowok="t"/>
                      </v:shape>
                      <v:shape id="Graphic 915" o:spid="_x0000_s1031" style="position:absolute;left:4464;top:253;width:12;height:45143;visibility:visible;mso-wrap-style:square;v-text-anchor:top" coordsize="1270,451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" path="m,4514214l,e" filled="f">
                        <v:path arrowok="t"/>
                      </v:shape>
                      <v:shape id="Graphic 916" o:spid="_x0000_s1032" style="position:absolute;left:834;top:38683;width:1759;height:13;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" path="m175653,l,e" filled="f" strokeweight=".5pt">
                        <v:path arrowok="t"/>
                      </v:shape>
                      <v:shape id="Graphic 917" o:spid="_x0000_s1033" style="position:absolute;left:199;top:38429;width:762;height:508;visibility:visible;mso-wrap-style:square;v-text-anchor:top" coordsize="762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" path="m76200,l,25400,76200,50800,76200,xe" fillcolor="black" stroked="f">
                        <v:path arrowok="t"/>
                      </v:shape>
                      <v:shape id="Graphic 918" o:spid="_x0000_s1034" style="position:absolute;left:635;top:7695;width:1955;height:13;visibility:visible;mso-wrap-style:square;v-text-anchor:top" coordsize="1955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" path="m195579,l,e" filled="f" strokeweight=".5pt">
                        <v:path arrowok="t"/>
                      </v:shape>
                      <v:shape id="Graphic 919" o:spid="_x0000_s1035" style="position:absolute;top:7441;width:762;height:508;visibility:visible;mso-wrap-style:square;v-text-anchor:top" coordsize="762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" path="m76200,l,25400,76200,50800,76200,xe" fillcolor="black" stroked="f">
                        <v:path arrowok="t"/>
                      </v:shape>
                      <v:shape id="Graphic 920" o:spid="_x0000_s1036" style="position:absolute;left:2590;top:7695;width:13;height:30988;visibility:visible;mso-wrap-style:square;v-text-anchor:top" coordsize="1270,309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" path="m,3098799l,e" filled="f">
                        <v:path arrowok="t"/>
                      </v:shape>
                    </v:group>
                  </w:pict>
                </mc:Fallback>
              </mc:AlternateContent>
            </w:r>
            <w:r>
              <w:rPr>
                <w:spacing w:val="-2"/>
                <w:sz w:val="18"/>
              </w:rPr>
              <w:t>(20,000)</w:t>
            </w:r>
          </w:p>
        </w:tc>
        <w:tc>
          <w:tcPr>
            <w:tcW w:w="3422" w:type="dxa"/>
            <w:tcBorders>
              <w:right w:val="single" w:sz="4" w:space="0" w:color="000000"/>
            </w:tcBorders>
          </w:tcPr>
          <w:p w14:paraId="0DFDC1D7" w14:textId="77777777" w:rsidR="00046465" w:rsidRDefault="00046465">
            <w:pPr>
              <w:pStyle w:val="TableParagraph"/>
              <w:rPr>
                <w:rFonts w:ascii="Times New Roman"/>
                <w:sz w:val="18"/>
              </w:rPr>
            </w:pPr>
          </w:p>
        </w:tc>
      </w:tr>
      <w:tr w:rsidR="00046465" w14:paraId="0DFDC1DC" w14:textId="77777777">
        <w:trPr>
          <w:trHeight w:hRule="exact" w:val="446"/>
        </w:trPr>
        <w:tc>
          <w:tcPr>
            <w:tcW w:w="4797" w:type="dxa"/>
            <w:tcBorders>
              <w:left w:val="single" w:sz="4" w:space="0" w:color="000000"/>
            </w:tcBorders>
          </w:tcPr>
          <w:p w14:paraId="0DFDC1D9" w14:textId="77777777" w:rsidR="00046465" w:rsidRDefault="008134EB">
            <w:pPr>
              <w:pStyle w:val="TableParagraph"/>
              <w:spacing w:before="117"/>
              <w:ind w:left="102"/>
              <w:rPr>
                <w:sz w:val="18"/>
              </w:rPr>
            </w:pPr>
            <w:r>
              <w:rPr>
                <w:sz w:val="18"/>
              </w:rPr>
              <w:t>Add</w:t>
            </w:r>
            <w:r>
              <w:rPr>
                <w:spacing w:val="-4"/>
                <w:sz w:val="18"/>
              </w:rPr>
              <w:t xml:space="preserve"> </w:t>
            </w:r>
            <w:r>
              <w:rPr>
                <w:sz w:val="18"/>
              </w:rPr>
              <w:t>adjustment</w:t>
            </w:r>
            <w:r>
              <w:rPr>
                <w:spacing w:val="-2"/>
                <w:sz w:val="18"/>
              </w:rPr>
              <w:t xml:space="preserve"> </w:t>
            </w:r>
            <w:r>
              <w:rPr>
                <w:sz w:val="18"/>
              </w:rPr>
              <w:t>for</w:t>
            </w:r>
            <w:r>
              <w:rPr>
                <w:spacing w:val="-2"/>
                <w:sz w:val="18"/>
              </w:rPr>
              <w:t xml:space="preserve"> </w:t>
            </w:r>
            <w:r>
              <w:rPr>
                <w:sz w:val="18"/>
              </w:rPr>
              <w:t>timing</w:t>
            </w:r>
            <w:r>
              <w:rPr>
                <w:spacing w:val="-3"/>
                <w:sz w:val="18"/>
              </w:rPr>
              <w:t xml:space="preserve"> </w:t>
            </w:r>
            <w:r>
              <w:rPr>
                <w:spacing w:val="-2"/>
                <w:sz w:val="18"/>
              </w:rPr>
              <w:t>difference</w:t>
            </w:r>
          </w:p>
        </w:tc>
        <w:tc>
          <w:tcPr>
            <w:tcW w:w="1141" w:type="dxa"/>
            <w:vMerge w:val="restart"/>
          </w:tcPr>
          <w:p w14:paraId="0DFDC1DA" w14:textId="77777777" w:rsidR="00046465" w:rsidRDefault="00046465">
            <w:pPr>
              <w:pStyle w:val="TableParagraph"/>
              <w:rPr>
                <w:rFonts w:ascii="Times New Roman"/>
                <w:sz w:val="18"/>
              </w:rPr>
            </w:pPr>
          </w:p>
        </w:tc>
        <w:tc>
          <w:tcPr>
            <w:tcW w:w="3422" w:type="dxa"/>
            <w:vMerge w:val="restart"/>
            <w:tcBorders>
              <w:right w:val="single" w:sz="4" w:space="0" w:color="000000"/>
            </w:tcBorders>
          </w:tcPr>
          <w:p w14:paraId="0DFDC1DB" w14:textId="77777777" w:rsidR="00046465" w:rsidRDefault="008134EB">
            <w:pPr>
              <w:pStyle w:val="TableParagraph"/>
              <w:spacing w:before="116"/>
              <w:ind w:left="935" w:right="555"/>
              <w:jc w:val="both"/>
              <w:rPr>
                <w:i/>
                <w:sz w:val="18"/>
              </w:rPr>
            </w:pPr>
            <w:r>
              <w:rPr>
                <w:i/>
                <w:sz w:val="18"/>
              </w:rPr>
              <w:t>The</w:t>
            </w:r>
            <w:r>
              <w:rPr>
                <w:i/>
                <w:spacing w:val="-2"/>
                <w:sz w:val="18"/>
              </w:rPr>
              <w:t xml:space="preserve"> </w:t>
            </w:r>
            <w:r>
              <w:rPr>
                <w:i/>
                <w:sz w:val="18"/>
              </w:rPr>
              <w:t>contra</w:t>
            </w:r>
            <w:r>
              <w:rPr>
                <w:i/>
                <w:spacing w:val="-2"/>
                <w:sz w:val="18"/>
              </w:rPr>
              <w:t xml:space="preserve"> </w:t>
            </w:r>
            <w:r>
              <w:rPr>
                <w:i/>
                <w:sz w:val="18"/>
              </w:rPr>
              <w:t>accounts</w:t>
            </w:r>
            <w:r>
              <w:rPr>
                <w:i/>
                <w:spacing w:val="-1"/>
                <w:sz w:val="18"/>
              </w:rPr>
              <w:t xml:space="preserve"> </w:t>
            </w:r>
            <w:r>
              <w:rPr>
                <w:i/>
                <w:sz w:val="18"/>
              </w:rPr>
              <w:t>for timing</w:t>
            </w:r>
            <w:r>
              <w:rPr>
                <w:i/>
                <w:spacing w:val="-12"/>
                <w:sz w:val="18"/>
              </w:rPr>
              <w:t xml:space="preserve"> </w:t>
            </w:r>
            <w:r>
              <w:rPr>
                <w:i/>
                <w:sz w:val="18"/>
              </w:rPr>
              <w:t>items</w:t>
            </w:r>
            <w:r>
              <w:rPr>
                <w:i/>
                <w:spacing w:val="-11"/>
                <w:sz w:val="18"/>
              </w:rPr>
              <w:t xml:space="preserve"> </w:t>
            </w:r>
            <w:r>
              <w:rPr>
                <w:i/>
                <w:sz w:val="18"/>
              </w:rPr>
              <w:t>should</w:t>
            </w:r>
            <w:r>
              <w:rPr>
                <w:i/>
                <w:spacing w:val="-12"/>
                <w:sz w:val="18"/>
              </w:rPr>
              <w:t xml:space="preserve"> </w:t>
            </w:r>
            <w:r>
              <w:rPr>
                <w:i/>
                <w:sz w:val="18"/>
              </w:rPr>
              <w:t xml:space="preserve">also </w:t>
            </w:r>
            <w:r>
              <w:rPr>
                <w:i/>
                <w:spacing w:val="-2"/>
                <w:sz w:val="18"/>
              </w:rPr>
              <w:t>reconcile.</w:t>
            </w:r>
          </w:p>
        </w:tc>
      </w:tr>
      <w:tr w:rsidR="00046465" w14:paraId="0DFDC1E1" w14:textId="77777777">
        <w:trPr>
          <w:trHeight w:hRule="exact" w:val="311"/>
        </w:trPr>
        <w:tc>
          <w:tcPr>
            <w:tcW w:w="4797" w:type="dxa"/>
            <w:vMerge w:val="restart"/>
            <w:tcBorders>
              <w:left w:val="single" w:sz="4" w:space="0" w:color="000000"/>
            </w:tcBorders>
          </w:tcPr>
          <w:p w14:paraId="0DFDC1DD" w14:textId="77777777" w:rsidR="00046465" w:rsidRDefault="008134EB">
            <w:pPr>
              <w:pStyle w:val="TableParagraph"/>
              <w:spacing w:before="116"/>
              <w:ind w:left="645"/>
              <w:rPr>
                <w:sz w:val="18"/>
              </w:rPr>
            </w:pPr>
            <w:r>
              <w:rPr>
                <w:sz w:val="18"/>
              </w:rPr>
              <w:t>Earned</w:t>
            </w:r>
            <w:r>
              <w:rPr>
                <w:spacing w:val="-4"/>
                <w:sz w:val="18"/>
              </w:rPr>
              <w:t xml:space="preserve"> </w:t>
            </w:r>
            <w:r>
              <w:rPr>
                <w:sz w:val="18"/>
              </w:rPr>
              <w:t>revenue</w:t>
            </w:r>
            <w:r>
              <w:rPr>
                <w:spacing w:val="-4"/>
                <w:sz w:val="18"/>
              </w:rPr>
              <w:t xml:space="preserve"> </w:t>
            </w:r>
            <w:r>
              <w:rPr>
                <w:sz w:val="18"/>
              </w:rPr>
              <w:t>recognized</w:t>
            </w:r>
            <w:r>
              <w:rPr>
                <w:spacing w:val="-4"/>
                <w:sz w:val="18"/>
              </w:rPr>
              <w:t xml:space="preserve"> </w:t>
            </w:r>
            <w:r>
              <w:rPr>
                <w:sz w:val="18"/>
              </w:rPr>
              <w:t>on</w:t>
            </w:r>
            <w:r>
              <w:rPr>
                <w:spacing w:val="-4"/>
                <w:sz w:val="18"/>
              </w:rPr>
              <w:t xml:space="preserve"> </w:t>
            </w:r>
            <w:r>
              <w:rPr>
                <w:sz w:val="18"/>
              </w:rPr>
              <w:t>unbilled</w:t>
            </w:r>
            <w:r>
              <w:rPr>
                <w:spacing w:val="-3"/>
                <w:sz w:val="18"/>
              </w:rPr>
              <w:t xml:space="preserve"> </w:t>
            </w:r>
            <w:r>
              <w:rPr>
                <w:spacing w:val="-4"/>
                <w:sz w:val="18"/>
              </w:rPr>
              <w:t>work</w:t>
            </w:r>
          </w:p>
          <w:p w14:paraId="0DFDC1DE" w14:textId="77777777" w:rsidR="00046465" w:rsidRDefault="008134EB">
            <w:pPr>
              <w:pStyle w:val="TableParagraph"/>
              <w:spacing w:before="2" w:line="187" w:lineRule="exact"/>
              <w:ind w:left="645"/>
              <w:rPr>
                <w:sz w:val="18"/>
              </w:rPr>
            </w:pPr>
            <w:r>
              <w:rPr>
                <w:sz w:val="18"/>
              </w:rPr>
              <w:t>at</w:t>
            </w:r>
            <w:r>
              <w:rPr>
                <w:spacing w:val="-3"/>
                <w:sz w:val="18"/>
              </w:rPr>
              <w:t xml:space="preserve"> </w:t>
            </w:r>
            <w:r>
              <w:rPr>
                <w:sz w:val="18"/>
              </w:rPr>
              <w:t>the</w:t>
            </w:r>
            <w:r>
              <w:rPr>
                <w:spacing w:val="-2"/>
                <w:sz w:val="18"/>
              </w:rPr>
              <w:t xml:space="preserve"> </w:t>
            </w:r>
            <w:r>
              <w:rPr>
                <w:sz w:val="18"/>
              </w:rPr>
              <w:t>end</w:t>
            </w:r>
            <w:r>
              <w:rPr>
                <w:spacing w:val="-3"/>
                <w:sz w:val="18"/>
              </w:rPr>
              <w:t xml:space="preserve"> </w:t>
            </w:r>
            <w:r>
              <w:rPr>
                <w:sz w:val="18"/>
              </w:rPr>
              <w:t>of</w:t>
            </w:r>
            <w:r>
              <w:rPr>
                <w:spacing w:val="-1"/>
                <w:sz w:val="18"/>
              </w:rPr>
              <w:t xml:space="preserve"> </w:t>
            </w:r>
            <w:r>
              <w:rPr>
                <w:sz w:val="18"/>
              </w:rPr>
              <w:t>the</w:t>
            </w:r>
            <w:r>
              <w:rPr>
                <w:spacing w:val="-3"/>
                <w:sz w:val="18"/>
              </w:rPr>
              <w:t xml:space="preserve"> </w:t>
            </w:r>
            <w:r>
              <w:rPr>
                <w:sz w:val="18"/>
              </w:rPr>
              <w:t>current</w:t>
            </w:r>
            <w:r>
              <w:rPr>
                <w:spacing w:val="-1"/>
                <w:sz w:val="18"/>
              </w:rPr>
              <w:t xml:space="preserve"> </w:t>
            </w:r>
            <w:r>
              <w:rPr>
                <w:sz w:val="18"/>
              </w:rPr>
              <w:t>year</w:t>
            </w:r>
            <w:r>
              <w:rPr>
                <w:spacing w:val="-20"/>
                <w:sz w:val="18"/>
              </w:rPr>
              <w:t xml:space="preserve"> </w:t>
            </w:r>
            <w:r>
              <w:rPr>
                <w:spacing w:val="-2"/>
                <w:sz w:val="18"/>
              </w:rPr>
              <w:t>...................................</w:t>
            </w:r>
          </w:p>
        </w:tc>
        <w:tc>
          <w:tcPr>
            <w:tcW w:w="1141" w:type="dxa"/>
            <w:vMerge/>
            <w:tcBorders>
              <w:top w:val="nil"/>
            </w:tcBorders>
          </w:tcPr>
          <w:p w14:paraId="0DFDC1DF" w14:textId="77777777" w:rsidR="00046465" w:rsidRDefault="00046465">
            <w:pPr>
              <w:rPr>
                <w:sz w:val="2"/>
                <w:szCs w:val="2"/>
              </w:rPr>
            </w:pPr>
          </w:p>
        </w:tc>
        <w:tc>
          <w:tcPr>
            <w:tcW w:w="3422" w:type="dxa"/>
            <w:vMerge/>
            <w:tcBorders>
              <w:top w:val="nil"/>
              <w:right w:val="single" w:sz="4" w:space="0" w:color="000000"/>
            </w:tcBorders>
          </w:tcPr>
          <w:p w14:paraId="0DFDC1E0" w14:textId="77777777" w:rsidR="00046465" w:rsidRDefault="00046465">
            <w:pPr>
              <w:rPr>
                <w:sz w:val="2"/>
                <w:szCs w:val="2"/>
              </w:rPr>
            </w:pPr>
          </w:p>
        </w:tc>
      </w:tr>
      <w:tr w:rsidR="00046465" w14:paraId="0DFDC1E5" w14:textId="77777777">
        <w:trPr>
          <w:trHeight w:hRule="exact" w:val="220"/>
        </w:trPr>
        <w:tc>
          <w:tcPr>
            <w:tcW w:w="4797" w:type="dxa"/>
            <w:vMerge/>
            <w:tcBorders>
              <w:top w:val="nil"/>
              <w:left w:val="single" w:sz="4" w:space="0" w:color="000000"/>
            </w:tcBorders>
          </w:tcPr>
          <w:p w14:paraId="0DFDC1E2" w14:textId="77777777" w:rsidR="00046465" w:rsidRDefault="00046465">
            <w:pPr>
              <w:rPr>
                <w:sz w:val="2"/>
                <w:szCs w:val="2"/>
              </w:rPr>
            </w:pPr>
          </w:p>
        </w:tc>
        <w:tc>
          <w:tcPr>
            <w:tcW w:w="1141" w:type="dxa"/>
          </w:tcPr>
          <w:p w14:paraId="0DFDC1E3" w14:textId="77777777" w:rsidR="00046465" w:rsidRDefault="008134EB">
            <w:pPr>
              <w:pStyle w:val="TableParagraph"/>
              <w:spacing w:before="13" w:line="187" w:lineRule="exact"/>
              <w:ind w:right="161"/>
              <w:jc w:val="right"/>
              <w:rPr>
                <w:sz w:val="18"/>
              </w:rPr>
            </w:pPr>
            <w:r>
              <w:rPr>
                <w:spacing w:val="-2"/>
                <w:sz w:val="18"/>
                <w:u w:val="single"/>
              </w:rPr>
              <w:t>50,000</w:t>
            </w:r>
          </w:p>
        </w:tc>
        <w:tc>
          <w:tcPr>
            <w:tcW w:w="3422" w:type="dxa"/>
            <w:tcBorders>
              <w:right w:val="single" w:sz="4" w:space="0" w:color="000000"/>
            </w:tcBorders>
          </w:tcPr>
          <w:p w14:paraId="0DFDC1E4" w14:textId="77777777" w:rsidR="00046465" w:rsidRDefault="00046465">
            <w:pPr>
              <w:pStyle w:val="TableParagraph"/>
              <w:rPr>
                <w:rFonts w:ascii="Times New Roman"/>
                <w:sz w:val="8"/>
              </w:rPr>
            </w:pPr>
          </w:p>
        </w:tc>
      </w:tr>
      <w:tr w:rsidR="00046465" w14:paraId="0DFDC1EF" w14:textId="77777777">
        <w:trPr>
          <w:trHeight w:hRule="exact" w:val="984"/>
        </w:trPr>
        <w:tc>
          <w:tcPr>
            <w:tcW w:w="4797" w:type="dxa"/>
            <w:tcBorders>
              <w:left w:val="single" w:sz="4" w:space="0" w:color="000000"/>
              <w:right w:val="single" w:sz="6" w:space="0" w:color="000000"/>
            </w:tcBorders>
          </w:tcPr>
          <w:p w14:paraId="0DFDC1E6" w14:textId="77777777" w:rsidR="00046465" w:rsidRDefault="00046465">
            <w:pPr>
              <w:pStyle w:val="TableParagraph"/>
              <w:spacing w:before="31"/>
              <w:rPr>
                <w:sz w:val="18"/>
              </w:rPr>
            </w:pPr>
          </w:p>
          <w:p w14:paraId="0DFDC1E7" w14:textId="77777777" w:rsidR="00046465" w:rsidRDefault="008134EB">
            <w:pPr>
              <w:pStyle w:val="TableParagraph"/>
              <w:ind w:left="102"/>
              <w:rPr>
                <w:sz w:val="18"/>
              </w:rPr>
            </w:pPr>
            <w:r>
              <w:rPr>
                <w:sz w:val="18"/>
              </w:rPr>
              <w:t>Intragovernmental</w:t>
            </w:r>
            <w:r>
              <w:rPr>
                <w:spacing w:val="-4"/>
                <w:sz w:val="18"/>
              </w:rPr>
              <w:t xml:space="preserve"> </w:t>
            </w:r>
            <w:r>
              <w:rPr>
                <w:sz w:val="18"/>
              </w:rPr>
              <w:t>earned</w:t>
            </w:r>
            <w:r>
              <w:rPr>
                <w:spacing w:val="-4"/>
                <w:sz w:val="18"/>
              </w:rPr>
              <w:t xml:space="preserve"> </w:t>
            </w:r>
            <w:r>
              <w:rPr>
                <w:sz w:val="18"/>
              </w:rPr>
              <w:t>revenue</w:t>
            </w:r>
            <w:r>
              <w:rPr>
                <w:spacing w:val="-4"/>
                <w:sz w:val="18"/>
              </w:rPr>
              <w:t xml:space="preserve"> </w:t>
            </w:r>
            <w:r>
              <w:rPr>
                <w:sz w:val="18"/>
              </w:rPr>
              <w:t>–</w:t>
            </w:r>
            <w:r>
              <w:rPr>
                <w:spacing w:val="-3"/>
                <w:sz w:val="18"/>
              </w:rPr>
              <w:t xml:space="preserve"> </w:t>
            </w:r>
            <w:r>
              <w:rPr>
                <w:sz w:val="18"/>
              </w:rPr>
              <w:t>accrual</w:t>
            </w:r>
            <w:r>
              <w:rPr>
                <w:spacing w:val="-2"/>
                <w:sz w:val="18"/>
              </w:rPr>
              <w:t xml:space="preserve"> basis,</w:t>
            </w:r>
          </w:p>
          <w:p w14:paraId="0DFDC1E8" w14:textId="77777777" w:rsidR="00046465" w:rsidRDefault="008134EB">
            <w:pPr>
              <w:pStyle w:val="TableParagraph"/>
              <w:ind w:left="103"/>
              <w:rPr>
                <w:sz w:val="18"/>
              </w:rPr>
            </w:pPr>
            <w:r>
              <w:rPr>
                <w:sz w:val="18"/>
              </w:rPr>
              <w:t>FY 20XX, from Trading Partner 2 (General Ledger after adjustment)</w:t>
            </w:r>
            <w:r>
              <w:rPr>
                <w:spacing w:val="22"/>
                <w:sz w:val="18"/>
              </w:rPr>
              <w:t xml:space="preserve"> </w:t>
            </w:r>
            <w:r>
              <w:rPr>
                <w:sz w:val="18"/>
              </w:rPr>
              <w:t>........................................................................</w:t>
            </w:r>
          </w:p>
        </w:tc>
        <w:tc>
          <w:tcPr>
            <w:tcW w:w="1141" w:type="dxa"/>
            <w:tcBorders>
              <w:left w:val="single" w:sz="6" w:space="0" w:color="000000"/>
            </w:tcBorders>
          </w:tcPr>
          <w:p w14:paraId="0DFDC1E9" w14:textId="77777777" w:rsidR="00046465" w:rsidRDefault="00046465">
            <w:pPr>
              <w:pStyle w:val="TableParagraph"/>
              <w:rPr>
                <w:sz w:val="18"/>
              </w:rPr>
            </w:pPr>
          </w:p>
          <w:p w14:paraId="0DFDC1EA" w14:textId="77777777" w:rsidR="00046465" w:rsidRDefault="00046465">
            <w:pPr>
              <w:pStyle w:val="TableParagraph"/>
              <w:rPr>
                <w:sz w:val="18"/>
              </w:rPr>
            </w:pPr>
          </w:p>
          <w:p w14:paraId="0DFDC1EB" w14:textId="77777777" w:rsidR="00046465" w:rsidRDefault="00046465">
            <w:pPr>
              <w:pStyle w:val="TableParagraph"/>
              <w:spacing w:before="32"/>
              <w:rPr>
                <w:sz w:val="18"/>
              </w:rPr>
            </w:pPr>
          </w:p>
          <w:p w14:paraId="0DFDC1EC" w14:textId="77777777" w:rsidR="00046465" w:rsidRDefault="008134EB">
            <w:pPr>
              <w:pStyle w:val="TableParagraph"/>
              <w:ind w:right="161"/>
              <w:jc w:val="right"/>
              <w:rPr>
                <w:b/>
                <w:sz w:val="18"/>
              </w:rPr>
            </w:pPr>
            <w:r>
              <w:rPr>
                <w:b/>
                <w:noProof/>
                <w:sz w:val="18"/>
              </w:rPr>
              <mc:AlternateContent>
                <mc:Choice Requires="wpg">
                  <w:drawing>
                    <wp:anchor distT="0" distB="0" distL="0" distR="0" simplePos="0" relativeHeight="476185088" behindDoc="1" locked="0" layoutInCell="1" allowOverlap="1" wp14:anchorId="0DFDD715" wp14:editId="0DFDD716">
                      <wp:simplePos x="0" y="0"/>
                      <wp:positionH relativeFrom="column">
                        <wp:posOffset>0</wp:posOffset>
                      </wp:positionH>
                      <wp:positionV relativeFrom="paragraph">
                        <wp:posOffset>10346</wp:posOffset>
                      </wp:positionV>
                      <wp:extent cx="143510" cy="50800"/>
                      <wp:effectExtent l="0" t="0" r="0" b="0"/>
                      <wp:wrapNone/>
                      <wp:docPr id="921"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510" cy="50800"/>
                                <a:chOff x="0" y="0"/>
                                <a:chExt cx="143510" cy="50800"/>
                              </a:xfrm>
                            </wpg:grpSpPr>
                            <wps:wsp>
                              <wps:cNvPr id="922" name="Graphic 922"/>
                              <wps:cNvSpPr/>
                              <wps:spPr>
                                <a:xfrm>
                                  <a:off x="0" y="25403"/>
                                  <a:ext cx="80010" cy="1270"/>
                                </a:xfrm>
                                <a:custGeom>
                                  <a:avLst/>
                                  <a:gdLst/>
                                  <a:ahLst/>
                                  <a:cxnLst/>
                                  <a:rect l="l" t="t" r="r" b="b"/>
                                  <a:pathLst>
                                    <a:path w="80010">
                                      <a:moveTo>
                                        <a:pt x="0" y="0"/>
                                      </a:moveTo>
                                      <a:lnTo>
                                        <a:pt x="79527" y="0"/>
                                      </a:lnTo>
                                    </a:path>
                                  </a:pathLst>
                                </a:custGeom>
                                <a:ln w="6350">
                                  <a:solidFill>
                                    <a:srgbClr val="000000"/>
                                  </a:solidFill>
                                  <a:prstDash val="solid"/>
                                </a:ln>
                              </wps:spPr>
                              <wps:bodyPr wrap="square" lIns="0" tIns="0" rIns="0" bIns="0" rtlCol="0">
                                <a:prstTxWarp prst="textNoShape">
                                  <a:avLst/>
                                </a:prstTxWarp>
                                <a:noAutofit/>
                              </wps:bodyPr>
                            </wps:wsp>
                            <wps:wsp>
                              <wps:cNvPr id="923" name="Graphic 923"/>
                              <wps:cNvSpPr/>
                              <wps:spPr>
                                <a:xfrm>
                                  <a:off x="66822" y="0"/>
                                  <a:ext cx="76200" cy="50800"/>
                                </a:xfrm>
                                <a:custGeom>
                                  <a:avLst/>
                                  <a:gdLst/>
                                  <a:ahLst/>
                                  <a:cxnLst/>
                                  <a:rect l="l" t="t" r="r" b="b"/>
                                  <a:pathLst>
                                    <a:path w="76200" h="50800">
                                      <a:moveTo>
                                        <a:pt x="0" y="0"/>
                                      </a:moveTo>
                                      <a:lnTo>
                                        <a:pt x="0" y="50800"/>
                                      </a:lnTo>
                                      <a:lnTo>
                                        <a:pt x="76200" y="25400"/>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99FD63" id="Group 921" o:spid="_x0000_s1026" style="position:absolute;margin-left:0;margin-top:.8pt;width:11.3pt;height:4pt;z-index:-27131392;mso-wrap-distance-left:0;mso-wrap-distance-right:0" coordsize="14351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">
                      <v:shape id="Graphic 922" o:spid="_x0000_s1027" style="position:absolute;top:25403;width:80010;height:1270;visibility:visible;mso-wrap-style:square;v-text-anchor:top" coordsize="800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" path="m,l79527,e" filled="f" strokeweight=".5pt">
                        <v:path arrowok="t"/>
                      </v:shape>
                      <v:shape id="Graphic 923" o:spid="_x0000_s1028" style="position:absolute;left:66822;width:76200;height:50800;visibility:visible;mso-wrap-style:square;v-text-anchor:top" coordsize="762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" path="m,l,50800,76200,25400,,xe" fillcolor="black" stroked="f">
                        <v:path arrowok="t"/>
                      </v:shape>
                    </v:group>
                  </w:pict>
                </mc:Fallback>
              </mc:AlternateContent>
            </w:r>
            <w:r>
              <w:rPr>
                <w:b/>
                <w:spacing w:val="-2"/>
                <w:sz w:val="18"/>
                <w:u w:val="double"/>
              </w:rPr>
              <w:t>$230,000</w:t>
            </w:r>
          </w:p>
        </w:tc>
        <w:tc>
          <w:tcPr>
            <w:tcW w:w="3422" w:type="dxa"/>
            <w:vMerge w:val="restart"/>
            <w:tcBorders>
              <w:right w:val="single" w:sz="4" w:space="0" w:color="000000"/>
            </w:tcBorders>
          </w:tcPr>
          <w:p w14:paraId="0DFDC1ED" w14:textId="77777777" w:rsidR="00046465" w:rsidRDefault="00046465">
            <w:pPr>
              <w:pStyle w:val="TableParagraph"/>
              <w:spacing w:before="107"/>
              <w:rPr>
                <w:sz w:val="18"/>
              </w:rPr>
            </w:pPr>
          </w:p>
          <w:p w14:paraId="0DFDC1EE" w14:textId="77777777" w:rsidR="00046465" w:rsidRDefault="008134EB">
            <w:pPr>
              <w:pStyle w:val="TableParagraph"/>
              <w:ind w:left="935" w:right="90"/>
              <w:rPr>
                <w:i/>
                <w:sz w:val="18"/>
              </w:rPr>
            </w:pPr>
            <w:r>
              <w:rPr>
                <w:i/>
                <w:sz w:val="18"/>
              </w:rPr>
              <w:t>The Seller’s unearned revenue</w:t>
            </w:r>
            <w:r>
              <w:rPr>
                <w:i/>
                <w:spacing w:val="-15"/>
                <w:sz w:val="18"/>
              </w:rPr>
              <w:t xml:space="preserve"> </w:t>
            </w:r>
            <w:r>
              <w:rPr>
                <w:i/>
                <w:sz w:val="18"/>
              </w:rPr>
              <w:t>account</w:t>
            </w:r>
            <w:r>
              <w:rPr>
                <w:i/>
                <w:spacing w:val="-12"/>
                <w:sz w:val="18"/>
              </w:rPr>
              <w:t xml:space="preserve"> </w:t>
            </w:r>
            <w:r>
              <w:rPr>
                <w:i/>
                <w:sz w:val="18"/>
              </w:rPr>
              <w:t xml:space="preserve">(liability) should reconcile with the Buyer’s prepaid (asset) </w:t>
            </w:r>
            <w:r>
              <w:rPr>
                <w:i/>
                <w:spacing w:val="-2"/>
                <w:sz w:val="18"/>
              </w:rPr>
              <w:t>account.</w:t>
            </w:r>
          </w:p>
        </w:tc>
      </w:tr>
      <w:tr w:rsidR="00046465" w14:paraId="0DFDC1F3" w14:textId="77777777">
        <w:trPr>
          <w:trHeight w:hRule="exact" w:val="859"/>
        </w:trPr>
        <w:tc>
          <w:tcPr>
            <w:tcW w:w="4797" w:type="dxa"/>
            <w:tcBorders>
              <w:left w:val="single" w:sz="4" w:space="0" w:color="000000"/>
              <w:right w:val="single" w:sz="6" w:space="0" w:color="000000"/>
            </w:tcBorders>
          </w:tcPr>
          <w:p w14:paraId="0DFDC1F0" w14:textId="77777777" w:rsidR="00046465" w:rsidRDefault="008134EB">
            <w:pPr>
              <w:pStyle w:val="TableParagraph"/>
              <w:spacing w:before="115"/>
              <w:ind w:left="645" w:right="247"/>
              <w:rPr>
                <w:i/>
                <w:sz w:val="18"/>
              </w:rPr>
            </w:pPr>
            <w:r>
              <w:rPr>
                <w:i/>
                <w:sz w:val="18"/>
              </w:rPr>
              <w:t>When reconciled, Seller Revenue and Buyer Cost</w:t>
            </w:r>
            <w:r>
              <w:rPr>
                <w:i/>
                <w:spacing w:val="-6"/>
                <w:sz w:val="18"/>
              </w:rPr>
              <w:t xml:space="preserve"> </w:t>
            </w:r>
            <w:r>
              <w:rPr>
                <w:i/>
                <w:sz w:val="18"/>
              </w:rPr>
              <w:t>must</w:t>
            </w:r>
            <w:r>
              <w:rPr>
                <w:i/>
                <w:spacing w:val="-6"/>
                <w:sz w:val="18"/>
              </w:rPr>
              <w:t xml:space="preserve"> </w:t>
            </w:r>
            <w:r>
              <w:rPr>
                <w:i/>
                <w:sz w:val="18"/>
              </w:rPr>
              <w:t>agree</w:t>
            </w:r>
            <w:r>
              <w:rPr>
                <w:i/>
                <w:spacing w:val="-7"/>
                <w:sz w:val="18"/>
              </w:rPr>
              <w:t xml:space="preserve"> </w:t>
            </w:r>
            <w:r>
              <w:rPr>
                <w:i/>
                <w:sz w:val="18"/>
              </w:rPr>
              <w:t>after</w:t>
            </w:r>
            <w:r>
              <w:rPr>
                <w:i/>
                <w:spacing w:val="-6"/>
                <w:sz w:val="18"/>
              </w:rPr>
              <w:t xml:space="preserve"> </w:t>
            </w:r>
            <w:r>
              <w:rPr>
                <w:i/>
                <w:sz w:val="18"/>
              </w:rPr>
              <w:t>adjustments</w:t>
            </w:r>
            <w:r>
              <w:rPr>
                <w:i/>
                <w:spacing w:val="-6"/>
                <w:sz w:val="18"/>
              </w:rPr>
              <w:t xml:space="preserve"> </w:t>
            </w:r>
            <w:r>
              <w:rPr>
                <w:i/>
                <w:sz w:val="18"/>
              </w:rPr>
              <w:t>are</w:t>
            </w:r>
            <w:r>
              <w:rPr>
                <w:i/>
                <w:spacing w:val="-7"/>
                <w:sz w:val="18"/>
              </w:rPr>
              <w:t xml:space="preserve"> </w:t>
            </w:r>
            <w:r>
              <w:rPr>
                <w:i/>
                <w:sz w:val="18"/>
              </w:rPr>
              <w:t>recorded to correct for errors.</w:t>
            </w:r>
          </w:p>
        </w:tc>
        <w:tc>
          <w:tcPr>
            <w:tcW w:w="1141" w:type="dxa"/>
            <w:tcBorders>
              <w:left w:val="single" w:sz="6" w:space="0" w:color="000000"/>
            </w:tcBorders>
          </w:tcPr>
          <w:p w14:paraId="0DFDC1F1" w14:textId="77777777" w:rsidR="00046465" w:rsidRDefault="00046465">
            <w:pPr>
              <w:pStyle w:val="TableParagraph"/>
              <w:rPr>
                <w:rFonts w:ascii="Times New Roman"/>
                <w:sz w:val="18"/>
              </w:rPr>
            </w:pPr>
          </w:p>
        </w:tc>
        <w:tc>
          <w:tcPr>
            <w:tcW w:w="3422" w:type="dxa"/>
            <w:vMerge/>
            <w:tcBorders>
              <w:top w:val="nil"/>
              <w:right w:val="single" w:sz="4" w:space="0" w:color="000000"/>
            </w:tcBorders>
          </w:tcPr>
          <w:p w14:paraId="0DFDC1F2" w14:textId="77777777" w:rsidR="00046465" w:rsidRDefault="00046465">
            <w:pPr>
              <w:rPr>
                <w:sz w:val="2"/>
                <w:szCs w:val="2"/>
              </w:rPr>
            </w:pPr>
          </w:p>
        </w:tc>
      </w:tr>
      <w:tr w:rsidR="00046465" w14:paraId="0DFDC1FD" w14:textId="77777777">
        <w:trPr>
          <w:trHeight w:hRule="exact" w:val="1395"/>
        </w:trPr>
        <w:tc>
          <w:tcPr>
            <w:tcW w:w="4797" w:type="dxa"/>
            <w:tcBorders>
              <w:left w:val="single" w:sz="4" w:space="0" w:color="000000"/>
              <w:right w:val="single" w:sz="6" w:space="0" w:color="000000"/>
            </w:tcBorders>
          </w:tcPr>
          <w:p w14:paraId="0DFDC1F4" w14:textId="77777777" w:rsidR="00046465" w:rsidRDefault="008134EB">
            <w:pPr>
              <w:pStyle w:val="TableParagraph"/>
              <w:spacing w:before="117"/>
              <w:ind w:left="102"/>
              <w:rPr>
                <w:b/>
                <w:sz w:val="18"/>
              </w:rPr>
            </w:pPr>
            <w:r>
              <w:rPr>
                <w:b/>
                <w:sz w:val="18"/>
                <w:u w:val="single"/>
              </w:rPr>
              <w:t>Buyer</w:t>
            </w:r>
            <w:r>
              <w:rPr>
                <w:b/>
                <w:spacing w:val="-3"/>
                <w:sz w:val="18"/>
                <w:u w:val="single"/>
              </w:rPr>
              <w:t xml:space="preserve"> </w:t>
            </w:r>
            <w:r>
              <w:rPr>
                <w:b/>
                <w:sz w:val="18"/>
                <w:u w:val="single"/>
              </w:rPr>
              <w:t>Entity</w:t>
            </w:r>
            <w:r>
              <w:rPr>
                <w:b/>
                <w:spacing w:val="-3"/>
                <w:sz w:val="18"/>
                <w:u w:val="single"/>
              </w:rPr>
              <w:t xml:space="preserve"> </w:t>
            </w:r>
            <w:r>
              <w:rPr>
                <w:b/>
                <w:sz w:val="18"/>
                <w:u w:val="single"/>
              </w:rPr>
              <w:t>–</w:t>
            </w:r>
            <w:r>
              <w:rPr>
                <w:b/>
                <w:spacing w:val="-2"/>
                <w:sz w:val="18"/>
                <w:u w:val="single"/>
              </w:rPr>
              <w:t xml:space="preserve"> </w:t>
            </w:r>
            <w:r>
              <w:rPr>
                <w:b/>
                <w:sz w:val="18"/>
                <w:u w:val="single"/>
              </w:rPr>
              <w:t>Trading</w:t>
            </w:r>
            <w:r>
              <w:rPr>
                <w:b/>
                <w:spacing w:val="-3"/>
                <w:sz w:val="18"/>
                <w:u w:val="single"/>
              </w:rPr>
              <w:t xml:space="preserve"> </w:t>
            </w:r>
            <w:r>
              <w:rPr>
                <w:b/>
                <w:sz w:val="18"/>
                <w:u w:val="single"/>
              </w:rPr>
              <w:t>Partner</w:t>
            </w:r>
            <w:r>
              <w:rPr>
                <w:b/>
                <w:spacing w:val="-2"/>
                <w:sz w:val="18"/>
                <w:u w:val="single"/>
              </w:rPr>
              <w:t xml:space="preserve"> </w:t>
            </w:r>
            <w:r>
              <w:rPr>
                <w:b/>
                <w:spacing w:val="-10"/>
                <w:sz w:val="18"/>
                <w:u w:val="single"/>
              </w:rPr>
              <w:t>2</w:t>
            </w:r>
          </w:p>
          <w:p w14:paraId="0DFDC1F5" w14:textId="77777777" w:rsidR="00046465" w:rsidRDefault="00046465">
            <w:pPr>
              <w:pStyle w:val="TableParagraph"/>
              <w:spacing w:before="32"/>
              <w:rPr>
                <w:sz w:val="18"/>
              </w:rPr>
            </w:pPr>
          </w:p>
          <w:p w14:paraId="0DFDC1F6" w14:textId="77777777" w:rsidR="00046465" w:rsidRDefault="008134EB">
            <w:pPr>
              <w:pStyle w:val="TableParagraph"/>
              <w:ind w:left="103" w:right="28"/>
              <w:rPr>
                <w:sz w:val="18"/>
              </w:rPr>
            </w:pPr>
            <w:r>
              <w:rPr>
                <w:sz w:val="18"/>
              </w:rPr>
              <w:t>Intragovernmental purchases – cash basis, FY 20XX,</w:t>
            </w:r>
            <w:r>
              <w:rPr>
                <w:spacing w:val="40"/>
                <w:sz w:val="18"/>
              </w:rPr>
              <w:t xml:space="preserve"> </w:t>
            </w:r>
            <w:r>
              <w:rPr>
                <w:sz w:val="18"/>
              </w:rPr>
              <w:t>from Trading Partner 1 (General Ledger before adjustment)</w:t>
            </w:r>
            <w:r>
              <w:rPr>
                <w:spacing w:val="-23"/>
                <w:sz w:val="18"/>
              </w:rPr>
              <w:t xml:space="preserve"> </w:t>
            </w:r>
            <w:r>
              <w:rPr>
                <w:sz w:val="18"/>
              </w:rPr>
              <w:t>.........................................................................</w:t>
            </w:r>
          </w:p>
        </w:tc>
        <w:tc>
          <w:tcPr>
            <w:tcW w:w="1141" w:type="dxa"/>
            <w:tcBorders>
              <w:left w:val="single" w:sz="6" w:space="0" w:color="000000"/>
            </w:tcBorders>
          </w:tcPr>
          <w:p w14:paraId="0DFDC1F7" w14:textId="77777777" w:rsidR="00046465" w:rsidRDefault="00046465">
            <w:pPr>
              <w:pStyle w:val="TableParagraph"/>
              <w:rPr>
                <w:sz w:val="18"/>
              </w:rPr>
            </w:pPr>
          </w:p>
          <w:p w14:paraId="0DFDC1F8" w14:textId="77777777" w:rsidR="00046465" w:rsidRDefault="00046465">
            <w:pPr>
              <w:pStyle w:val="TableParagraph"/>
              <w:rPr>
                <w:sz w:val="18"/>
              </w:rPr>
            </w:pPr>
          </w:p>
          <w:p w14:paraId="0DFDC1F9" w14:textId="77777777" w:rsidR="00046465" w:rsidRDefault="00046465">
            <w:pPr>
              <w:pStyle w:val="TableParagraph"/>
              <w:rPr>
                <w:sz w:val="18"/>
              </w:rPr>
            </w:pPr>
          </w:p>
          <w:p w14:paraId="0DFDC1FA" w14:textId="77777777" w:rsidR="00046465" w:rsidRDefault="00046465">
            <w:pPr>
              <w:pStyle w:val="TableParagraph"/>
              <w:spacing w:before="151"/>
              <w:rPr>
                <w:sz w:val="18"/>
              </w:rPr>
            </w:pPr>
          </w:p>
          <w:p w14:paraId="0DFDC1FB" w14:textId="77777777" w:rsidR="00046465" w:rsidRDefault="008134EB">
            <w:pPr>
              <w:pStyle w:val="TableParagraph"/>
              <w:ind w:right="161"/>
              <w:jc w:val="right"/>
              <w:rPr>
                <w:sz w:val="18"/>
              </w:rPr>
            </w:pPr>
            <w:r>
              <w:rPr>
                <w:spacing w:val="-2"/>
                <w:sz w:val="18"/>
              </w:rPr>
              <w:t>$190,000</w:t>
            </w:r>
          </w:p>
        </w:tc>
        <w:tc>
          <w:tcPr>
            <w:tcW w:w="3422" w:type="dxa"/>
            <w:tcBorders>
              <w:right w:val="single" w:sz="4" w:space="0" w:color="000000"/>
            </w:tcBorders>
          </w:tcPr>
          <w:p w14:paraId="0DFDC1FC" w14:textId="77777777" w:rsidR="00046465" w:rsidRDefault="008134EB">
            <w:pPr>
              <w:pStyle w:val="TableParagraph"/>
              <w:spacing w:before="116"/>
              <w:ind w:left="935" w:right="90"/>
              <w:rPr>
                <w:i/>
                <w:sz w:val="18"/>
              </w:rPr>
            </w:pPr>
            <w:r>
              <w:rPr>
                <w:i/>
                <w:sz w:val="18"/>
              </w:rPr>
              <w:t>The Seller’s earned but unbilled receivable (asset) should reconcile with the Buyer’s</w:t>
            </w:r>
            <w:r>
              <w:rPr>
                <w:i/>
                <w:spacing w:val="-12"/>
                <w:sz w:val="18"/>
              </w:rPr>
              <w:t xml:space="preserve"> </w:t>
            </w:r>
            <w:r>
              <w:rPr>
                <w:i/>
                <w:sz w:val="18"/>
              </w:rPr>
              <w:t>accounts</w:t>
            </w:r>
            <w:r>
              <w:rPr>
                <w:i/>
                <w:spacing w:val="-12"/>
                <w:sz w:val="18"/>
              </w:rPr>
              <w:t xml:space="preserve"> </w:t>
            </w:r>
            <w:r>
              <w:rPr>
                <w:i/>
                <w:sz w:val="18"/>
              </w:rPr>
              <w:t>payable</w:t>
            </w:r>
            <w:r>
              <w:rPr>
                <w:i/>
                <w:spacing w:val="-12"/>
                <w:sz w:val="18"/>
              </w:rPr>
              <w:t xml:space="preserve"> </w:t>
            </w:r>
            <w:r>
              <w:rPr>
                <w:i/>
                <w:sz w:val="18"/>
              </w:rPr>
              <w:t xml:space="preserve">for unbilled work (liability) </w:t>
            </w:r>
            <w:r>
              <w:rPr>
                <w:i/>
                <w:spacing w:val="-2"/>
                <w:sz w:val="18"/>
              </w:rPr>
              <w:t>account.</w:t>
            </w:r>
          </w:p>
        </w:tc>
      </w:tr>
      <w:tr w:rsidR="00046465" w14:paraId="0DFDC201" w14:textId="77777777">
        <w:trPr>
          <w:trHeight w:hRule="exact" w:val="359"/>
        </w:trPr>
        <w:tc>
          <w:tcPr>
            <w:tcW w:w="4797" w:type="dxa"/>
            <w:tcBorders>
              <w:left w:val="single" w:sz="4" w:space="0" w:color="000000"/>
              <w:right w:val="single" w:sz="6" w:space="0" w:color="000000"/>
            </w:tcBorders>
          </w:tcPr>
          <w:p w14:paraId="0DFDC1FE" w14:textId="77777777" w:rsidR="00046465" w:rsidRDefault="008134EB">
            <w:pPr>
              <w:pStyle w:val="TableParagraph"/>
              <w:spacing w:before="29"/>
              <w:ind w:left="102"/>
              <w:rPr>
                <w:sz w:val="18"/>
              </w:rPr>
            </w:pPr>
            <w:r>
              <w:rPr>
                <w:spacing w:val="-4"/>
                <w:sz w:val="18"/>
              </w:rPr>
              <w:t>Add:</w:t>
            </w:r>
          </w:p>
        </w:tc>
        <w:tc>
          <w:tcPr>
            <w:tcW w:w="1141" w:type="dxa"/>
            <w:tcBorders>
              <w:left w:val="single" w:sz="6" w:space="0" w:color="000000"/>
            </w:tcBorders>
          </w:tcPr>
          <w:p w14:paraId="0DFDC1FF" w14:textId="77777777" w:rsidR="00046465" w:rsidRDefault="00046465">
            <w:pPr>
              <w:pStyle w:val="TableParagraph"/>
              <w:rPr>
                <w:rFonts w:ascii="Times New Roman"/>
                <w:sz w:val="18"/>
              </w:rPr>
            </w:pPr>
          </w:p>
        </w:tc>
        <w:tc>
          <w:tcPr>
            <w:tcW w:w="3422" w:type="dxa"/>
            <w:tcBorders>
              <w:right w:val="single" w:sz="4" w:space="0" w:color="000000"/>
            </w:tcBorders>
          </w:tcPr>
          <w:p w14:paraId="0DFDC200" w14:textId="77777777" w:rsidR="00046465" w:rsidRDefault="00046465">
            <w:pPr>
              <w:pStyle w:val="TableParagraph"/>
              <w:rPr>
                <w:rFonts w:ascii="Times New Roman"/>
                <w:sz w:val="18"/>
              </w:rPr>
            </w:pPr>
          </w:p>
        </w:tc>
      </w:tr>
      <w:tr w:rsidR="00046465" w14:paraId="0DFDC207" w14:textId="77777777">
        <w:trPr>
          <w:trHeight w:hRule="exact" w:val="861"/>
        </w:trPr>
        <w:tc>
          <w:tcPr>
            <w:tcW w:w="4797" w:type="dxa"/>
            <w:tcBorders>
              <w:left w:val="single" w:sz="4" w:space="0" w:color="000000"/>
              <w:right w:val="single" w:sz="6" w:space="0" w:color="000000"/>
            </w:tcBorders>
          </w:tcPr>
          <w:p w14:paraId="0DFDC202" w14:textId="77777777" w:rsidR="00046465" w:rsidRDefault="008134EB">
            <w:pPr>
              <w:pStyle w:val="TableParagraph"/>
              <w:spacing w:before="116"/>
              <w:ind w:left="645" w:right="28"/>
              <w:rPr>
                <w:sz w:val="18"/>
              </w:rPr>
            </w:pPr>
            <w:r>
              <w:rPr>
                <w:sz w:val="18"/>
              </w:rPr>
              <w:t>Adjustment for cutoff error identified during reconciliation process (funds sent to Trading Partner</w:t>
            </w:r>
            <w:r>
              <w:rPr>
                <w:spacing w:val="-4"/>
                <w:sz w:val="18"/>
              </w:rPr>
              <w:t xml:space="preserve"> </w:t>
            </w:r>
            <w:r>
              <w:rPr>
                <w:sz w:val="18"/>
              </w:rPr>
              <w:t>1</w:t>
            </w:r>
            <w:r>
              <w:rPr>
                <w:spacing w:val="-5"/>
                <w:sz w:val="18"/>
              </w:rPr>
              <w:t xml:space="preserve"> </w:t>
            </w:r>
            <w:r>
              <w:rPr>
                <w:sz w:val="18"/>
              </w:rPr>
              <w:t>but</w:t>
            </w:r>
            <w:r>
              <w:rPr>
                <w:spacing w:val="-4"/>
                <w:sz w:val="18"/>
              </w:rPr>
              <w:t xml:space="preserve"> </w:t>
            </w:r>
            <w:r>
              <w:rPr>
                <w:sz w:val="18"/>
              </w:rPr>
              <w:t>not</w:t>
            </w:r>
            <w:r>
              <w:rPr>
                <w:spacing w:val="-4"/>
                <w:sz w:val="18"/>
              </w:rPr>
              <w:t xml:space="preserve"> </w:t>
            </w:r>
            <w:r>
              <w:rPr>
                <w:sz w:val="18"/>
              </w:rPr>
              <w:t>recorded)</w:t>
            </w:r>
            <w:r>
              <w:rPr>
                <w:spacing w:val="23"/>
                <w:sz w:val="18"/>
              </w:rPr>
              <w:t xml:space="preserve"> </w:t>
            </w:r>
            <w:r>
              <w:rPr>
                <w:sz w:val="18"/>
              </w:rPr>
              <w:t>.....................................</w:t>
            </w:r>
          </w:p>
        </w:tc>
        <w:tc>
          <w:tcPr>
            <w:tcW w:w="1141" w:type="dxa"/>
            <w:tcBorders>
              <w:left w:val="single" w:sz="6" w:space="0" w:color="000000"/>
            </w:tcBorders>
          </w:tcPr>
          <w:p w14:paraId="0DFDC203" w14:textId="77777777" w:rsidR="00046465" w:rsidRDefault="00046465">
            <w:pPr>
              <w:pStyle w:val="TableParagraph"/>
              <w:rPr>
                <w:sz w:val="18"/>
              </w:rPr>
            </w:pPr>
          </w:p>
          <w:p w14:paraId="0DFDC204" w14:textId="77777777" w:rsidR="00046465" w:rsidRDefault="00046465">
            <w:pPr>
              <w:pStyle w:val="TableParagraph"/>
              <w:spacing w:before="118"/>
              <w:rPr>
                <w:sz w:val="18"/>
              </w:rPr>
            </w:pPr>
          </w:p>
          <w:p w14:paraId="0DFDC205" w14:textId="77777777" w:rsidR="00046465" w:rsidRDefault="008134EB">
            <w:pPr>
              <w:pStyle w:val="TableParagraph"/>
              <w:ind w:right="161"/>
              <w:jc w:val="right"/>
              <w:rPr>
                <w:sz w:val="18"/>
              </w:rPr>
            </w:pPr>
            <w:r>
              <w:rPr>
                <w:spacing w:val="-2"/>
                <w:sz w:val="18"/>
              </w:rPr>
              <w:t>10,000</w:t>
            </w:r>
          </w:p>
        </w:tc>
        <w:tc>
          <w:tcPr>
            <w:tcW w:w="3422" w:type="dxa"/>
            <w:tcBorders>
              <w:right w:val="single" w:sz="4" w:space="0" w:color="000000"/>
            </w:tcBorders>
          </w:tcPr>
          <w:p w14:paraId="0DFDC206" w14:textId="77777777" w:rsidR="00046465" w:rsidRDefault="00046465">
            <w:pPr>
              <w:pStyle w:val="TableParagraph"/>
              <w:rPr>
                <w:rFonts w:ascii="Times New Roman"/>
                <w:sz w:val="18"/>
              </w:rPr>
            </w:pPr>
          </w:p>
        </w:tc>
      </w:tr>
      <w:tr w:rsidR="00046465" w14:paraId="0DFDC20D" w14:textId="77777777">
        <w:trPr>
          <w:trHeight w:hRule="exact" w:val="654"/>
        </w:trPr>
        <w:tc>
          <w:tcPr>
            <w:tcW w:w="4797" w:type="dxa"/>
            <w:tcBorders>
              <w:left w:val="single" w:sz="4" w:space="0" w:color="000000"/>
              <w:right w:val="single" w:sz="6" w:space="0" w:color="000000"/>
            </w:tcBorders>
          </w:tcPr>
          <w:p w14:paraId="0DFDC208" w14:textId="77777777" w:rsidR="00046465" w:rsidRDefault="008134EB">
            <w:pPr>
              <w:pStyle w:val="TableParagraph"/>
              <w:spacing w:before="116"/>
              <w:ind w:left="645"/>
              <w:rPr>
                <w:sz w:val="18"/>
              </w:rPr>
            </w:pPr>
            <w:r>
              <w:rPr>
                <w:sz w:val="18"/>
              </w:rPr>
              <w:t>Adjustment</w:t>
            </w:r>
            <w:r>
              <w:rPr>
                <w:spacing w:val="-6"/>
                <w:sz w:val="18"/>
              </w:rPr>
              <w:t xml:space="preserve"> </w:t>
            </w:r>
            <w:r>
              <w:rPr>
                <w:sz w:val="18"/>
              </w:rPr>
              <w:t>for</w:t>
            </w:r>
            <w:r>
              <w:rPr>
                <w:spacing w:val="-3"/>
                <w:sz w:val="18"/>
              </w:rPr>
              <w:t xml:space="preserve"> </w:t>
            </w:r>
            <w:r>
              <w:rPr>
                <w:sz w:val="18"/>
              </w:rPr>
              <w:t>completed</w:t>
            </w:r>
            <w:r>
              <w:rPr>
                <w:spacing w:val="-4"/>
                <w:sz w:val="18"/>
              </w:rPr>
              <w:t xml:space="preserve"> </w:t>
            </w:r>
            <w:r>
              <w:rPr>
                <w:sz w:val="18"/>
              </w:rPr>
              <w:t>but</w:t>
            </w:r>
            <w:r>
              <w:rPr>
                <w:spacing w:val="-3"/>
                <w:sz w:val="18"/>
              </w:rPr>
              <w:t xml:space="preserve"> </w:t>
            </w:r>
            <w:r>
              <w:rPr>
                <w:sz w:val="18"/>
              </w:rPr>
              <w:t>unbilled</w:t>
            </w:r>
            <w:r>
              <w:rPr>
                <w:spacing w:val="-4"/>
                <w:sz w:val="18"/>
              </w:rPr>
              <w:t xml:space="preserve"> work</w:t>
            </w:r>
          </w:p>
          <w:p w14:paraId="0DFDC209" w14:textId="77777777" w:rsidR="00046465" w:rsidRDefault="008134EB">
            <w:pPr>
              <w:pStyle w:val="TableParagraph"/>
              <w:spacing w:before="2"/>
              <w:ind w:left="645"/>
              <w:rPr>
                <w:sz w:val="18"/>
              </w:rPr>
            </w:pPr>
            <w:r>
              <w:rPr>
                <w:sz w:val="18"/>
              </w:rPr>
              <w:t>at</w:t>
            </w:r>
            <w:r>
              <w:rPr>
                <w:spacing w:val="-3"/>
                <w:sz w:val="18"/>
              </w:rPr>
              <w:t xml:space="preserve"> </w:t>
            </w:r>
            <w:r>
              <w:rPr>
                <w:sz w:val="18"/>
              </w:rPr>
              <w:t>the</w:t>
            </w:r>
            <w:r>
              <w:rPr>
                <w:spacing w:val="-2"/>
                <w:sz w:val="18"/>
              </w:rPr>
              <w:t xml:space="preserve"> </w:t>
            </w:r>
            <w:r>
              <w:rPr>
                <w:sz w:val="18"/>
              </w:rPr>
              <w:t>end</w:t>
            </w:r>
            <w:r>
              <w:rPr>
                <w:spacing w:val="-3"/>
                <w:sz w:val="18"/>
              </w:rPr>
              <w:t xml:space="preserve"> </w:t>
            </w:r>
            <w:r>
              <w:rPr>
                <w:sz w:val="18"/>
              </w:rPr>
              <w:t>of</w:t>
            </w:r>
            <w:r>
              <w:rPr>
                <w:spacing w:val="-1"/>
                <w:sz w:val="18"/>
              </w:rPr>
              <w:t xml:space="preserve"> </w:t>
            </w:r>
            <w:r>
              <w:rPr>
                <w:sz w:val="18"/>
              </w:rPr>
              <w:t>the</w:t>
            </w:r>
            <w:r>
              <w:rPr>
                <w:spacing w:val="-3"/>
                <w:sz w:val="18"/>
              </w:rPr>
              <w:t xml:space="preserve"> </w:t>
            </w:r>
            <w:r>
              <w:rPr>
                <w:sz w:val="18"/>
              </w:rPr>
              <w:t>current</w:t>
            </w:r>
            <w:r>
              <w:rPr>
                <w:spacing w:val="-1"/>
                <w:sz w:val="18"/>
              </w:rPr>
              <w:t xml:space="preserve"> </w:t>
            </w:r>
            <w:r>
              <w:rPr>
                <w:sz w:val="18"/>
              </w:rPr>
              <w:t>year</w:t>
            </w:r>
            <w:r>
              <w:rPr>
                <w:spacing w:val="-20"/>
                <w:sz w:val="18"/>
              </w:rPr>
              <w:t xml:space="preserve"> </w:t>
            </w:r>
            <w:r>
              <w:rPr>
                <w:spacing w:val="-2"/>
                <w:sz w:val="18"/>
              </w:rPr>
              <w:t>...................................</w:t>
            </w:r>
          </w:p>
        </w:tc>
        <w:tc>
          <w:tcPr>
            <w:tcW w:w="1141" w:type="dxa"/>
            <w:tcBorders>
              <w:left w:val="single" w:sz="6" w:space="0" w:color="000000"/>
            </w:tcBorders>
          </w:tcPr>
          <w:p w14:paraId="0DFDC20A" w14:textId="77777777" w:rsidR="00046465" w:rsidRDefault="00046465">
            <w:pPr>
              <w:pStyle w:val="TableParagraph"/>
              <w:spacing w:before="117"/>
              <w:rPr>
                <w:sz w:val="18"/>
              </w:rPr>
            </w:pPr>
          </w:p>
          <w:p w14:paraId="0DFDC20B" w14:textId="77777777" w:rsidR="00046465" w:rsidRDefault="008134EB">
            <w:pPr>
              <w:pStyle w:val="TableParagraph"/>
              <w:spacing w:before="1"/>
              <w:ind w:right="161"/>
              <w:jc w:val="right"/>
              <w:rPr>
                <w:sz w:val="18"/>
              </w:rPr>
            </w:pPr>
            <w:r>
              <w:rPr>
                <w:spacing w:val="-2"/>
                <w:sz w:val="18"/>
              </w:rPr>
              <w:t>50,000</w:t>
            </w:r>
          </w:p>
        </w:tc>
        <w:tc>
          <w:tcPr>
            <w:tcW w:w="3422" w:type="dxa"/>
            <w:tcBorders>
              <w:right w:val="single" w:sz="4" w:space="0" w:color="000000"/>
            </w:tcBorders>
          </w:tcPr>
          <w:p w14:paraId="0DFDC20C" w14:textId="77777777" w:rsidR="00046465" w:rsidRDefault="00046465">
            <w:pPr>
              <w:pStyle w:val="TableParagraph"/>
              <w:rPr>
                <w:rFonts w:ascii="Times New Roman"/>
                <w:sz w:val="18"/>
              </w:rPr>
            </w:pPr>
          </w:p>
        </w:tc>
      </w:tr>
      <w:tr w:rsidR="00046465" w14:paraId="0DFDC211" w14:textId="77777777">
        <w:trPr>
          <w:trHeight w:hRule="exact" w:val="446"/>
        </w:trPr>
        <w:tc>
          <w:tcPr>
            <w:tcW w:w="4797" w:type="dxa"/>
            <w:tcBorders>
              <w:left w:val="single" w:sz="4" w:space="0" w:color="000000"/>
              <w:right w:val="single" w:sz="6" w:space="0" w:color="000000"/>
            </w:tcBorders>
          </w:tcPr>
          <w:p w14:paraId="0DFDC20E" w14:textId="77777777" w:rsidR="00046465" w:rsidRDefault="008134EB">
            <w:pPr>
              <w:pStyle w:val="TableParagraph"/>
              <w:spacing w:before="116"/>
              <w:ind w:left="102"/>
              <w:rPr>
                <w:sz w:val="18"/>
              </w:rPr>
            </w:pPr>
            <w:r>
              <w:rPr>
                <w:spacing w:val="-2"/>
                <w:sz w:val="18"/>
              </w:rPr>
              <w:t>Less:</w:t>
            </w:r>
          </w:p>
        </w:tc>
        <w:tc>
          <w:tcPr>
            <w:tcW w:w="1141" w:type="dxa"/>
            <w:tcBorders>
              <w:left w:val="single" w:sz="6" w:space="0" w:color="000000"/>
            </w:tcBorders>
          </w:tcPr>
          <w:p w14:paraId="0DFDC20F" w14:textId="77777777" w:rsidR="00046465" w:rsidRDefault="00046465">
            <w:pPr>
              <w:pStyle w:val="TableParagraph"/>
              <w:rPr>
                <w:rFonts w:ascii="Times New Roman"/>
                <w:sz w:val="18"/>
              </w:rPr>
            </w:pPr>
          </w:p>
        </w:tc>
        <w:tc>
          <w:tcPr>
            <w:tcW w:w="3422" w:type="dxa"/>
            <w:tcBorders>
              <w:right w:val="single" w:sz="4" w:space="0" w:color="000000"/>
            </w:tcBorders>
          </w:tcPr>
          <w:p w14:paraId="0DFDC210" w14:textId="77777777" w:rsidR="00046465" w:rsidRDefault="00046465">
            <w:pPr>
              <w:pStyle w:val="TableParagraph"/>
              <w:rPr>
                <w:rFonts w:ascii="Times New Roman"/>
                <w:sz w:val="18"/>
              </w:rPr>
            </w:pPr>
          </w:p>
        </w:tc>
      </w:tr>
      <w:tr w:rsidR="00046465" w14:paraId="0DFDC217" w14:textId="77777777">
        <w:trPr>
          <w:trHeight w:hRule="exact" w:val="654"/>
        </w:trPr>
        <w:tc>
          <w:tcPr>
            <w:tcW w:w="4797" w:type="dxa"/>
            <w:tcBorders>
              <w:left w:val="single" w:sz="4" w:space="0" w:color="000000"/>
              <w:right w:val="single" w:sz="6" w:space="0" w:color="000000"/>
            </w:tcBorders>
          </w:tcPr>
          <w:p w14:paraId="0DFDC212" w14:textId="77777777" w:rsidR="00046465" w:rsidRDefault="008134EB">
            <w:pPr>
              <w:pStyle w:val="TableParagraph"/>
              <w:spacing w:before="116"/>
              <w:ind w:left="645"/>
              <w:rPr>
                <w:sz w:val="18"/>
              </w:rPr>
            </w:pPr>
            <w:r>
              <w:rPr>
                <w:sz w:val="18"/>
              </w:rPr>
              <w:t>Funds</w:t>
            </w:r>
            <w:r>
              <w:rPr>
                <w:spacing w:val="-2"/>
                <w:sz w:val="18"/>
              </w:rPr>
              <w:t xml:space="preserve"> </w:t>
            </w:r>
            <w:r>
              <w:rPr>
                <w:sz w:val="18"/>
              </w:rPr>
              <w:t>paid</w:t>
            </w:r>
            <w:r>
              <w:rPr>
                <w:spacing w:val="-3"/>
                <w:sz w:val="18"/>
              </w:rPr>
              <w:t xml:space="preserve"> </w:t>
            </w:r>
            <w:r>
              <w:rPr>
                <w:sz w:val="18"/>
              </w:rPr>
              <w:t>in</w:t>
            </w:r>
            <w:r>
              <w:rPr>
                <w:spacing w:val="-2"/>
                <w:sz w:val="18"/>
              </w:rPr>
              <w:t xml:space="preserve"> </w:t>
            </w:r>
            <w:r>
              <w:rPr>
                <w:sz w:val="18"/>
              </w:rPr>
              <w:t>the</w:t>
            </w:r>
            <w:r>
              <w:rPr>
                <w:spacing w:val="-3"/>
                <w:sz w:val="18"/>
              </w:rPr>
              <w:t xml:space="preserve"> </w:t>
            </w:r>
            <w:r>
              <w:rPr>
                <w:sz w:val="18"/>
              </w:rPr>
              <w:t>current</w:t>
            </w:r>
            <w:r>
              <w:rPr>
                <w:spacing w:val="-1"/>
                <w:sz w:val="18"/>
              </w:rPr>
              <w:t xml:space="preserve"> </w:t>
            </w:r>
            <w:r>
              <w:rPr>
                <w:sz w:val="18"/>
              </w:rPr>
              <w:t>year,</w:t>
            </w:r>
            <w:r>
              <w:rPr>
                <w:spacing w:val="-2"/>
                <w:sz w:val="18"/>
              </w:rPr>
              <w:t xml:space="preserve"> </w:t>
            </w:r>
            <w:r>
              <w:rPr>
                <w:sz w:val="18"/>
              </w:rPr>
              <w:t>but</w:t>
            </w:r>
            <w:r>
              <w:rPr>
                <w:spacing w:val="-1"/>
                <w:sz w:val="18"/>
              </w:rPr>
              <w:t xml:space="preserve"> </w:t>
            </w:r>
            <w:r>
              <w:rPr>
                <w:spacing w:val="-2"/>
                <w:sz w:val="18"/>
              </w:rPr>
              <w:t>amount</w:t>
            </w:r>
          </w:p>
          <w:p w14:paraId="0DFDC213" w14:textId="77777777" w:rsidR="00046465" w:rsidRDefault="008134EB">
            <w:pPr>
              <w:pStyle w:val="TableParagraph"/>
              <w:spacing w:before="1"/>
              <w:ind w:left="645"/>
              <w:rPr>
                <w:sz w:val="18"/>
              </w:rPr>
            </w:pPr>
            <w:r>
              <w:rPr>
                <w:sz w:val="18"/>
              </w:rPr>
              <w:t>prepaid</w:t>
            </w:r>
            <w:r>
              <w:rPr>
                <w:spacing w:val="-3"/>
                <w:sz w:val="18"/>
              </w:rPr>
              <w:t xml:space="preserve"> </w:t>
            </w:r>
            <w:r>
              <w:rPr>
                <w:sz w:val="18"/>
              </w:rPr>
              <w:t>at</w:t>
            </w:r>
            <w:r>
              <w:rPr>
                <w:spacing w:val="-2"/>
                <w:sz w:val="18"/>
              </w:rPr>
              <w:t xml:space="preserve"> </w:t>
            </w:r>
            <w:r>
              <w:rPr>
                <w:sz w:val="18"/>
              </w:rPr>
              <w:t>end</w:t>
            </w:r>
            <w:r>
              <w:rPr>
                <w:spacing w:val="-1"/>
                <w:sz w:val="18"/>
              </w:rPr>
              <w:t xml:space="preserve"> </w:t>
            </w:r>
            <w:r>
              <w:rPr>
                <w:sz w:val="18"/>
              </w:rPr>
              <w:t>of</w:t>
            </w:r>
            <w:r>
              <w:rPr>
                <w:spacing w:val="-2"/>
                <w:sz w:val="18"/>
              </w:rPr>
              <w:t xml:space="preserve"> </w:t>
            </w:r>
            <w:r>
              <w:rPr>
                <w:sz w:val="18"/>
              </w:rPr>
              <w:t>current</w:t>
            </w:r>
            <w:r>
              <w:rPr>
                <w:spacing w:val="-2"/>
                <w:sz w:val="18"/>
              </w:rPr>
              <w:t xml:space="preserve"> </w:t>
            </w:r>
            <w:r>
              <w:rPr>
                <w:sz w:val="18"/>
              </w:rPr>
              <w:t>year</w:t>
            </w:r>
            <w:r>
              <w:rPr>
                <w:spacing w:val="28"/>
                <w:sz w:val="18"/>
              </w:rPr>
              <w:t xml:space="preserve"> </w:t>
            </w:r>
            <w:r>
              <w:rPr>
                <w:spacing w:val="-2"/>
                <w:sz w:val="18"/>
              </w:rPr>
              <w:t>.................................</w:t>
            </w:r>
          </w:p>
        </w:tc>
        <w:tc>
          <w:tcPr>
            <w:tcW w:w="1141" w:type="dxa"/>
            <w:tcBorders>
              <w:left w:val="single" w:sz="6" w:space="0" w:color="000000"/>
            </w:tcBorders>
          </w:tcPr>
          <w:p w14:paraId="0DFDC214" w14:textId="77777777" w:rsidR="00046465" w:rsidRDefault="00046465">
            <w:pPr>
              <w:pStyle w:val="TableParagraph"/>
              <w:spacing w:before="117"/>
              <w:rPr>
                <w:sz w:val="18"/>
              </w:rPr>
            </w:pPr>
          </w:p>
          <w:p w14:paraId="0DFDC215" w14:textId="77777777" w:rsidR="00046465" w:rsidRDefault="008134EB">
            <w:pPr>
              <w:pStyle w:val="TableParagraph"/>
              <w:ind w:right="162"/>
              <w:jc w:val="right"/>
              <w:rPr>
                <w:sz w:val="18"/>
              </w:rPr>
            </w:pPr>
            <w:r>
              <w:rPr>
                <w:spacing w:val="-2"/>
                <w:sz w:val="18"/>
                <w:u w:val="single"/>
              </w:rPr>
              <w:t>(20,000)</w:t>
            </w:r>
          </w:p>
        </w:tc>
        <w:tc>
          <w:tcPr>
            <w:tcW w:w="3422" w:type="dxa"/>
            <w:tcBorders>
              <w:right w:val="single" w:sz="4" w:space="0" w:color="000000"/>
            </w:tcBorders>
          </w:tcPr>
          <w:p w14:paraId="0DFDC216" w14:textId="77777777" w:rsidR="00046465" w:rsidRDefault="00046465">
            <w:pPr>
              <w:pStyle w:val="TableParagraph"/>
              <w:rPr>
                <w:rFonts w:ascii="Times New Roman"/>
                <w:sz w:val="18"/>
              </w:rPr>
            </w:pPr>
          </w:p>
        </w:tc>
      </w:tr>
      <w:tr w:rsidR="00046465" w14:paraId="0DFDC21B" w14:textId="77777777">
        <w:trPr>
          <w:trHeight w:hRule="exact" w:val="446"/>
        </w:trPr>
        <w:tc>
          <w:tcPr>
            <w:tcW w:w="4797" w:type="dxa"/>
            <w:tcBorders>
              <w:left w:val="single" w:sz="4" w:space="0" w:color="000000"/>
              <w:right w:val="single" w:sz="6" w:space="0" w:color="000000"/>
            </w:tcBorders>
          </w:tcPr>
          <w:p w14:paraId="0DFDC218" w14:textId="77777777" w:rsidR="00046465" w:rsidRDefault="008134EB">
            <w:pPr>
              <w:pStyle w:val="TableParagraph"/>
              <w:spacing w:before="117"/>
              <w:ind w:left="102"/>
              <w:rPr>
                <w:sz w:val="18"/>
              </w:rPr>
            </w:pPr>
            <w:r>
              <w:rPr>
                <w:sz w:val="18"/>
              </w:rPr>
              <w:t>General</w:t>
            </w:r>
            <w:r>
              <w:rPr>
                <w:spacing w:val="-4"/>
                <w:sz w:val="18"/>
              </w:rPr>
              <w:t xml:space="preserve"> </w:t>
            </w:r>
            <w:r>
              <w:rPr>
                <w:sz w:val="18"/>
              </w:rPr>
              <w:t>ledger</w:t>
            </w:r>
            <w:r>
              <w:rPr>
                <w:spacing w:val="-2"/>
                <w:sz w:val="18"/>
              </w:rPr>
              <w:t xml:space="preserve"> </w:t>
            </w:r>
            <w:r>
              <w:rPr>
                <w:sz w:val="18"/>
              </w:rPr>
              <w:t>after</w:t>
            </w:r>
            <w:r>
              <w:rPr>
                <w:spacing w:val="-3"/>
                <w:sz w:val="18"/>
              </w:rPr>
              <w:t xml:space="preserve"> </w:t>
            </w:r>
            <w:r>
              <w:rPr>
                <w:sz w:val="18"/>
              </w:rPr>
              <w:t>adjustment</w:t>
            </w:r>
            <w:r>
              <w:rPr>
                <w:spacing w:val="-4"/>
                <w:sz w:val="18"/>
              </w:rPr>
              <w:t xml:space="preserve"> </w:t>
            </w:r>
            <w:r>
              <w:rPr>
                <w:sz w:val="18"/>
              </w:rPr>
              <w:t>for</w:t>
            </w:r>
            <w:r>
              <w:rPr>
                <w:spacing w:val="-3"/>
                <w:sz w:val="18"/>
              </w:rPr>
              <w:t xml:space="preserve"> </w:t>
            </w:r>
            <w:r>
              <w:rPr>
                <w:sz w:val="18"/>
              </w:rPr>
              <w:t>Trading</w:t>
            </w:r>
            <w:r>
              <w:rPr>
                <w:spacing w:val="-2"/>
                <w:sz w:val="18"/>
              </w:rPr>
              <w:t xml:space="preserve"> </w:t>
            </w:r>
            <w:r>
              <w:rPr>
                <w:sz w:val="18"/>
              </w:rPr>
              <w:t>Partner</w:t>
            </w:r>
            <w:r>
              <w:rPr>
                <w:spacing w:val="-3"/>
                <w:sz w:val="18"/>
              </w:rPr>
              <w:t xml:space="preserve"> </w:t>
            </w:r>
            <w:r>
              <w:rPr>
                <w:spacing w:val="-10"/>
                <w:sz w:val="18"/>
              </w:rPr>
              <w:t>1</w:t>
            </w:r>
          </w:p>
        </w:tc>
        <w:tc>
          <w:tcPr>
            <w:tcW w:w="1141" w:type="dxa"/>
            <w:tcBorders>
              <w:left w:val="single" w:sz="6" w:space="0" w:color="000000"/>
            </w:tcBorders>
          </w:tcPr>
          <w:p w14:paraId="0DFDC219" w14:textId="77777777" w:rsidR="00046465" w:rsidRDefault="008134EB">
            <w:pPr>
              <w:pStyle w:val="TableParagraph"/>
              <w:spacing w:before="117"/>
              <w:ind w:right="161"/>
              <w:jc w:val="right"/>
              <w:rPr>
                <w:b/>
                <w:sz w:val="18"/>
              </w:rPr>
            </w:pPr>
            <w:r>
              <w:rPr>
                <w:b/>
                <w:noProof/>
                <w:sz w:val="18"/>
              </w:rPr>
              <mc:AlternateContent>
                <mc:Choice Requires="wpg">
                  <w:drawing>
                    <wp:anchor distT="0" distB="0" distL="0" distR="0" simplePos="0" relativeHeight="476185600" behindDoc="1" locked="0" layoutInCell="1" allowOverlap="1" wp14:anchorId="0DFDD717" wp14:editId="0DFDD718">
                      <wp:simplePos x="0" y="0"/>
                      <wp:positionH relativeFrom="column">
                        <wp:posOffset>0</wp:posOffset>
                      </wp:positionH>
                      <wp:positionV relativeFrom="paragraph">
                        <wp:posOffset>99424</wp:posOffset>
                      </wp:positionV>
                      <wp:extent cx="154940" cy="50800"/>
                      <wp:effectExtent l="0" t="0" r="0" b="0"/>
                      <wp:wrapNone/>
                      <wp:docPr id="924"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940" cy="50800"/>
                                <a:chOff x="0" y="0"/>
                                <a:chExt cx="154940" cy="50800"/>
                              </a:xfrm>
                            </wpg:grpSpPr>
                            <wps:wsp>
                              <wps:cNvPr id="925" name="Graphic 925"/>
                              <wps:cNvSpPr/>
                              <wps:spPr>
                                <a:xfrm>
                                  <a:off x="0" y="25403"/>
                                  <a:ext cx="91440" cy="1270"/>
                                </a:xfrm>
                                <a:custGeom>
                                  <a:avLst/>
                                  <a:gdLst/>
                                  <a:ahLst/>
                                  <a:cxnLst/>
                                  <a:rect l="l" t="t" r="r" b="b"/>
                                  <a:pathLst>
                                    <a:path w="91440">
                                      <a:moveTo>
                                        <a:pt x="0" y="0"/>
                                      </a:moveTo>
                                      <a:lnTo>
                                        <a:pt x="91440" y="0"/>
                                      </a:lnTo>
                                    </a:path>
                                  </a:pathLst>
                                </a:custGeom>
                                <a:ln w="6350">
                                  <a:solidFill>
                                    <a:srgbClr val="000000"/>
                                  </a:solidFill>
                                  <a:prstDash val="solid"/>
                                </a:ln>
                              </wps:spPr>
                              <wps:bodyPr wrap="square" lIns="0" tIns="0" rIns="0" bIns="0" rtlCol="0">
                                <a:prstTxWarp prst="textNoShape">
                                  <a:avLst/>
                                </a:prstTxWarp>
                                <a:noAutofit/>
                              </wps:bodyPr>
                            </wps:wsp>
                            <wps:wsp>
                              <wps:cNvPr id="926" name="Graphic 926"/>
                              <wps:cNvSpPr/>
                              <wps:spPr>
                                <a:xfrm>
                                  <a:off x="78741" y="0"/>
                                  <a:ext cx="76200" cy="50800"/>
                                </a:xfrm>
                                <a:custGeom>
                                  <a:avLst/>
                                  <a:gdLst/>
                                  <a:ahLst/>
                                  <a:cxnLst/>
                                  <a:rect l="l" t="t" r="r" b="b"/>
                                  <a:pathLst>
                                    <a:path w="76200" h="50800">
                                      <a:moveTo>
                                        <a:pt x="0" y="0"/>
                                      </a:moveTo>
                                      <a:lnTo>
                                        <a:pt x="0" y="50800"/>
                                      </a:lnTo>
                                      <a:lnTo>
                                        <a:pt x="76200" y="25400"/>
                                      </a:lnTo>
                                      <a:lnTo>
                                        <a:pt x="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FAFF1CC" id="Group 924" o:spid="_x0000_s1026" style="position:absolute;margin-left:0;margin-top:7.85pt;width:12.2pt;height:4pt;z-index:-27130880;mso-wrap-distance-left:0;mso-wrap-distance-right:0" coordsize="15494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">
                      <v:shape id="Graphic 925" o:spid="_x0000_s1027" style="position:absolute;top:25403;width:91440;height:1270;visibility:visible;mso-wrap-style:square;v-text-anchor:top" coordsize="914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" path="m,l91440,e" filled="f" strokeweight=".5pt">
                        <v:path arrowok="t"/>
                      </v:shape>
                      <v:shape id="Graphic 926" o:spid="_x0000_s1028" style="position:absolute;left:78741;width:76200;height:50800;visibility:visible;mso-wrap-style:square;v-text-anchor:top" coordsize="7620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" path="m,l,50800,76200,25400,,xe" fillcolor="black" stroked="f">
                        <v:path arrowok="t"/>
                      </v:shape>
                    </v:group>
                  </w:pict>
                </mc:Fallback>
              </mc:AlternateContent>
            </w:r>
            <w:r>
              <w:rPr>
                <w:b/>
                <w:spacing w:val="-2"/>
                <w:sz w:val="18"/>
              </w:rPr>
              <w:t>230,000</w:t>
            </w:r>
          </w:p>
        </w:tc>
        <w:tc>
          <w:tcPr>
            <w:tcW w:w="3422" w:type="dxa"/>
            <w:tcBorders>
              <w:right w:val="single" w:sz="4" w:space="0" w:color="000000"/>
            </w:tcBorders>
          </w:tcPr>
          <w:p w14:paraId="0DFDC21A" w14:textId="77777777" w:rsidR="00046465" w:rsidRDefault="00046465">
            <w:pPr>
              <w:pStyle w:val="TableParagraph"/>
              <w:rPr>
                <w:rFonts w:ascii="Times New Roman"/>
                <w:sz w:val="18"/>
              </w:rPr>
            </w:pPr>
          </w:p>
        </w:tc>
      </w:tr>
      <w:tr w:rsidR="00046465" w14:paraId="0DFDC220" w14:textId="77777777">
        <w:trPr>
          <w:trHeight w:hRule="exact" w:val="446"/>
        </w:trPr>
        <w:tc>
          <w:tcPr>
            <w:tcW w:w="4797" w:type="dxa"/>
            <w:tcBorders>
              <w:left w:val="single" w:sz="4" w:space="0" w:color="000000"/>
            </w:tcBorders>
          </w:tcPr>
          <w:p w14:paraId="0DFDC21C" w14:textId="77777777" w:rsidR="00046465" w:rsidRDefault="008134EB">
            <w:pPr>
              <w:pStyle w:val="TableParagraph"/>
              <w:spacing w:before="116"/>
              <w:ind w:left="102"/>
              <w:rPr>
                <w:sz w:val="18"/>
              </w:rPr>
            </w:pPr>
            <w:r>
              <w:rPr>
                <w:spacing w:val="-2"/>
                <w:sz w:val="18"/>
              </w:rPr>
              <w:t>Less:</w:t>
            </w:r>
          </w:p>
        </w:tc>
        <w:tc>
          <w:tcPr>
            <w:tcW w:w="1141" w:type="dxa"/>
          </w:tcPr>
          <w:p w14:paraId="0DFDC21D" w14:textId="77777777" w:rsidR="00046465" w:rsidRDefault="00046465">
            <w:pPr>
              <w:pStyle w:val="TableParagraph"/>
              <w:rPr>
                <w:rFonts w:ascii="Times New Roman"/>
                <w:sz w:val="18"/>
              </w:rPr>
            </w:pPr>
          </w:p>
        </w:tc>
        <w:tc>
          <w:tcPr>
            <w:tcW w:w="3422" w:type="dxa"/>
            <w:vMerge w:val="restart"/>
            <w:tcBorders>
              <w:right w:val="single" w:sz="4" w:space="0" w:color="000000"/>
            </w:tcBorders>
          </w:tcPr>
          <w:p w14:paraId="0DFDC21E" w14:textId="77777777" w:rsidR="00046465" w:rsidRDefault="00046465">
            <w:pPr>
              <w:pStyle w:val="TableParagraph"/>
              <w:spacing w:before="148"/>
              <w:rPr>
                <w:sz w:val="18"/>
              </w:rPr>
            </w:pPr>
          </w:p>
          <w:p w14:paraId="0DFDC21F" w14:textId="77777777" w:rsidR="00046465" w:rsidRDefault="008134EB">
            <w:pPr>
              <w:pStyle w:val="TableParagraph"/>
              <w:ind w:left="53" w:right="90"/>
              <w:rPr>
                <w:i/>
                <w:sz w:val="18"/>
              </w:rPr>
            </w:pPr>
            <w:r>
              <w:rPr>
                <w:i/>
                <w:sz w:val="18"/>
              </w:rPr>
              <w:t>When reconciled and adjusted, Seller Revenue</w:t>
            </w:r>
            <w:r>
              <w:rPr>
                <w:i/>
                <w:spacing w:val="-6"/>
                <w:sz w:val="18"/>
              </w:rPr>
              <w:t xml:space="preserve"> </w:t>
            </w:r>
            <w:r>
              <w:rPr>
                <w:i/>
                <w:sz w:val="18"/>
              </w:rPr>
              <w:t>and</w:t>
            </w:r>
            <w:r>
              <w:rPr>
                <w:i/>
                <w:spacing w:val="-6"/>
                <w:sz w:val="18"/>
              </w:rPr>
              <w:t xml:space="preserve"> </w:t>
            </w:r>
            <w:r>
              <w:rPr>
                <w:i/>
                <w:sz w:val="18"/>
              </w:rPr>
              <w:t>Buyer</w:t>
            </w:r>
            <w:r>
              <w:rPr>
                <w:i/>
                <w:spacing w:val="-7"/>
                <w:sz w:val="18"/>
              </w:rPr>
              <w:t xml:space="preserve"> </w:t>
            </w:r>
            <w:r>
              <w:rPr>
                <w:i/>
                <w:sz w:val="18"/>
              </w:rPr>
              <w:t>Cost</w:t>
            </w:r>
            <w:r>
              <w:rPr>
                <w:i/>
                <w:spacing w:val="-7"/>
                <w:sz w:val="18"/>
              </w:rPr>
              <w:t xml:space="preserve"> </w:t>
            </w:r>
            <w:r>
              <w:rPr>
                <w:i/>
                <w:sz w:val="18"/>
              </w:rPr>
              <w:t>may</w:t>
            </w:r>
            <w:r>
              <w:rPr>
                <w:i/>
                <w:spacing w:val="-7"/>
                <w:sz w:val="18"/>
              </w:rPr>
              <w:t xml:space="preserve"> </w:t>
            </w:r>
            <w:r>
              <w:rPr>
                <w:i/>
                <w:sz w:val="18"/>
              </w:rPr>
              <w:t>not</w:t>
            </w:r>
            <w:r>
              <w:rPr>
                <w:i/>
                <w:spacing w:val="-7"/>
                <w:sz w:val="18"/>
              </w:rPr>
              <w:t xml:space="preserve"> </w:t>
            </w:r>
            <w:r>
              <w:rPr>
                <w:i/>
                <w:sz w:val="18"/>
              </w:rPr>
              <w:t>agree because of timing differences. This difference should be resolved by year-</w:t>
            </w:r>
            <w:r>
              <w:rPr>
                <w:i/>
                <w:spacing w:val="-4"/>
                <w:sz w:val="18"/>
              </w:rPr>
              <w:t>end.</w:t>
            </w:r>
          </w:p>
        </w:tc>
      </w:tr>
      <w:tr w:rsidR="00046465" w14:paraId="0DFDC226" w14:textId="77777777">
        <w:trPr>
          <w:trHeight w:hRule="exact" w:val="653"/>
        </w:trPr>
        <w:tc>
          <w:tcPr>
            <w:tcW w:w="4797" w:type="dxa"/>
            <w:tcBorders>
              <w:left w:val="single" w:sz="4" w:space="0" w:color="000000"/>
            </w:tcBorders>
          </w:tcPr>
          <w:p w14:paraId="0DFDC221" w14:textId="77777777" w:rsidR="00046465" w:rsidRDefault="008134EB">
            <w:pPr>
              <w:pStyle w:val="TableParagraph"/>
              <w:spacing w:before="116"/>
              <w:ind w:left="645"/>
              <w:rPr>
                <w:sz w:val="18"/>
              </w:rPr>
            </w:pPr>
            <w:r>
              <w:rPr>
                <w:sz w:val="18"/>
              </w:rPr>
              <w:t>Reconciling</w:t>
            </w:r>
            <w:r>
              <w:rPr>
                <w:spacing w:val="-5"/>
                <w:sz w:val="18"/>
              </w:rPr>
              <w:t xml:space="preserve"> </w:t>
            </w:r>
            <w:r>
              <w:rPr>
                <w:sz w:val="18"/>
              </w:rPr>
              <w:t>item</w:t>
            </w:r>
            <w:r>
              <w:rPr>
                <w:spacing w:val="-4"/>
                <w:sz w:val="18"/>
              </w:rPr>
              <w:t xml:space="preserve"> </w:t>
            </w:r>
            <w:r>
              <w:rPr>
                <w:sz w:val="18"/>
              </w:rPr>
              <w:t>for</w:t>
            </w:r>
            <w:r>
              <w:rPr>
                <w:spacing w:val="-3"/>
                <w:sz w:val="18"/>
              </w:rPr>
              <w:t xml:space="preserve"> </w:t>
            </w:r>
            <w:r>
              <w:rPr>
                <w:sz w:val="18"/>
              </w:rPr>
              <w:t>purchases</w:t>
            </w:r>
            <w:r>
              <w:rPr>
                <w:spacing w:val="-4"/>
                <w:sz w:val="18"/>
              </w:rPr>
              <w:t xml:space="preserve"> </w:t>
            </w:r>
            <w:r>
              <w:rPr>
                <w:sz w:val="18"/>
              </w:rPr>
              <w:t>inventoried</w:t>
            </w:r>
            <w:r>
              <w:rPr>
                <w:spacing w:val="-2"/>
                <w:sz w:val="18"/>
              </w:rPr>
              <w:t xml:space="preserve"> </w:t>
            </w:r>
            <w:r>
              <w:rPr>
                <w:spacing w:val="-5"/>
                <w:sz w:val="18"/>
              </w:rPr>
              <w:t>at</w:t>
            </w:r>
          </w:p>
          <w:p w14:paraId="0DFDC222" w14:textId="77777777" w:rsidR="00046465" w:rsidRDefault="008134EB">
            <w:pPr>
              <w:pStyle w:val="TableParagraph"/>
              <w:spacing w:before="1"/>
              <w:ind w:left="645"/>
              <w:rPr>
                <w:sz w:val="18"/>
              </w:rPr>
            </w:pPr>
            <w:r>
              <w:rPr>
                <w:sz w:val="18"/>
              </w:rPr>
              <w:t>end</w:t>
            </w:r>
            <w:r>
              <w:rPr>
                <w:spacing w:val="-6"/>
                <w:sz w:val="18"/>
              </w:rPr>
              <w:t xml:space="preserve"> </w:t>
            </w:r>
            <w:r>
              <w:rPr>
                <w:sz w:val="18"/>
              </w:rPr>
              <w:t>of</w:t>
            </w:r>
            <w:r>
              <w:rPr>
                <w:spacing w:val="-2"/>
                <w:sz w:val="18"/>
              </w:rPr>
              <w:t xml:space="preserve"> </w:t>
            </w:r>
            <w:r>
              <w:rPr>
                <w:sz w:val="18"/>
              </w:rPr>
              <w:t>the</w:t>
            </w:r>
            <w:r>
              <w:rPr>
                <w:spacing w:val="-3"/>
                <w:sz w:val="18"/>
              </w:rPr>
              <w:t xml:space="preserve"> </w:t>
            </w:r>
            <w:r>
              <w:rPr>
                <w:sz w:val="18"/>
              </w:rPr>
              <w:t>current</w:t>
            </w:r>
            <w:r>
              <w:rPr>
                <w:spacing w:val="-1"/>
                <w:sz w:val="18"/>
              </w:rPr>
              <w:t xml:space="preserve"> </w:t>
            </w:r>
            <w:r>
              <w:rPr>
                <w:sz w:val="18"/>
              </w:rPr>
              <w:t>year</w:t>
            </w:r>
            <w:r>
              <w:rPr>
                <w:spacing w:val="-24"/>
                <w:sz w:val="18"/>
              </w:rPr>
              <w:t xml:space="preserve"> </w:t>
            </w:r>
            <w:r>
              <w:rPr>
                <w:spacing w:val="-2"/>
                <w:sz w:val="18"/>
              </w:rPr>
              <w:t>.............................................</w:t>
            </w:r>
          </w:p>
        </w:tc>
        <w:tc>
          <w:tcPr>
            <w:tcW w:w="1141" w:type="dxa"/>
          </w:tcPr>
          <w:p w14:paraId="0DFDC223" w14:textId="77777777" w:rsidR="00046465" w:rsidRDefault="00046465">
            <w:pPr>
              <w:pStyle w:val="TableParagraph"/>
              <w:spacing w:before="117"/>
              <w:rPr>
                <w:sz w:val="18"/>
              </w:rPr>
            </w:pPr>
          </w:p>
          <w:p w14:paraId="0DFDC224" w14:textId="77777777" w:rsidR="00046465" w:rsidRDefault="008134EB">
            <w:pPr>
              <w:pStyle w:val="TableParagraph"/>
              <w:ind w:right="162"/>
              <w:jc w:val="right"/>
              <w:rPr>
                <w:sz w:val="18"/>
              </w:rPr>
            </w:pPr>
            <w:r>
              <w:rPr>
                <w:spacing w:val="-2"/>
                <w:sz w:val="18"/>
                <w:u w:val="single"/>
              </w:rPr>
              <w:t>(50,000)</w:t>
            </w:r>
          </w:p>
        </w:tc>
        <w:tc>
          <w:tcPr>
            <w:tcW w:w="3422" w:type="dxa"/>
            <w:vMerge/>
            <w:tcBorders>
              <w:top w:val="nil"/>
              <w:right w:val="single" w:sz="4" w:space="0" w:color="000000"/>
            </w:tcBorders>
          </w:tcPr>
          <w:p w14:paraId="0DFDC225" w14:textId="77777777" w:rsidR="00046465" w:rsidRDefault="00046465">
            <w:pPr>
              <w:rPr>
                <w:sz w:val="2"/>
                <w:szCs w:val="2"/>
              </w:rPr>
            </w:pPr>
          </w:p>
        </w:tc>
      </w:tr>
      <w:tr w:rsidR="00046465" w14:paraId="0DFDC22A" w14:textId="77777777">
        <w:trPr>
          <w:trHeight w:hRule="exact" w:val="310"/>
        </w:trPr>
        <w:tc>
          <w:tcPr>
            <w:tcW w:w="4797" w:type="dxa"/>
            <w:vMerge w:val="restart"/>
            <w:tcBorders>
              <w:left w:val="single" w:sz="4" w:space="0" w:color="000000"/>
              <w:bottom w:val="single" w:sz="4" w:space="0" w:color="000000"/>
            </w:tcBorders>
          </w:tcPr>
          <w:p w14:paraId="0DFDC227" w14:textId="77777777" w:rsidR="00046465" w:rsidRDefault="008134EB">
            <w:pPr>
              <w:pStyle w:val="TableParagraph"/>
              <w:spacing w:before="116"/>
              <w:ind w:left="102"/>
              <w:rPr>
                <w:sz w:val="18"/>
              </w:rPr>
            </w:pPr>
            <w:r>
              <w:rPr>
                <w:sz w:val="18"/>
              </w:rPr>
              <w:t>Intragovernmental purchases included in cost – accrual basis,</w:t>
            </w:r>
            <w:r>
              <w:rPr>
                <w:spacing w:val="-5"/>
                <w:sz w:val="18"/>
              </w:rPr>
              <w:t xml:space="preserve"> </w:t>
            </w:r>
            <w:r>
              <w:rPr>
                <w:sz w:val="18"/>
              </w:rPr>
              <w:t>FY</w:t>
            </w:r>
            <w:r>
              <w:rPr>
                <w:spacing w:val="-3"/>
                <w:sz w:val="18"/>
              </w:rPr>
              <w:t xml:space="preserve"> </w:t>
            </w:r>
            <w:r>
              <w:rPr>
                <w:sz w:val="18"/>
              </w:rPr>
              <w:t>20XX,</w:t>
            </w:r>
            <w:r>
              <w:rPr>
                <w:spacing w:val="-3"/>
                <w:sz w:val="18"/>
              </w:rPr>
              <w:t xml:space="preserve"> </w:t>
            </w:r>
            <w:r>
              <w:rPr>
                <w:sz w:val="18"/>
              </w:rPr>
              <w:t>from</w:t>
            </w:r>
            <w:r>
              <w:rPr>
                <w:spacing w:val="-3"/>
                <w:sz w:val="18"/>
              </w:rPr>
              <w:t xml:space="preserve"> </w:t>
            </w:r>
            <w:r>
              <w:rPr>
                <w:sz w:val="18"/>
              </w:rPr>
              <w:t>Trading</w:t>
            </w:r>
            <w:r>
              <w:rPr>
                <w:spacing w:val="-4"/>
                <w:sz w:val="18"/>
              </w:rPr>
              <w:t xml:space="preserve"> </w:t>
            </w:r>
            <w:r>
              <w:rPr>
                <w:sz w:val="18"/>
              </w:rPr>
              <w:t>Partner</w:t>
            </w:r>
            <w:r>
              <w:rPr>
                <w:spacing w:val="-3"/>
                <w:sz w:val="18"/>
              </w:rPr>
              <w:t xml:space="preserve"> </w:t>
            </w:r>
            <w:r>
              <w:rPr>
                <w:sz w:val="18"/>
              </w:rPr>
              <w:t>1</w:t>
            </w:r>
            <w:r>
              <w:rPr>
                <w:spacing w:val="-16"/>
                <w:sz w:val="18"/>
              </w:rPr>
              <w:t xml:space="preserve"> </w:t>
            </w:r>
            <w:r>
              <w:rPr>
                <w:sz w:val="18"/>
              </w:rPr>
              <w:t>.............................</w:t>
            </w:r>
          </w:p>
        </w:tc>
        <w:tc>
          <w:tcPr>
            <w:tcW w:w="1141" w:type="dxa"/>
          </w:tcPr>
          <w:p w14:paraId="0DFDC228" w14:textId="77777777" w:rsidR="00046465" w:rsidRDefault="00046465">
            <w:pPr>
              <w:pStyle w:val="TableParagraph"/>
              <w:rPr>
                <w:rFonts w:ascii="Times New Roman"/>
                <w:sz w:val="18"/>
              </w:rPr>
            </w:pPr>
          </w:p>
        </w:tc>
        <w:tc>
          <w:tcPr>
            <w:tcW w:w="3422" w:type="dxa"/>
            <w:vMerge/>
            <w:tcBorders>
              <w:top w:val="nil"/>
              <w:right w:val="single" w:sz="4" w:space="0" w:color="000000"/>
            </w:tcBorders>
          </w:tcPr>
          <w:p w14:paraId="0DFDC229" w14:textId="77777777" w:rsidR="00046465" w:rsidRDefault="00046465">
            <w:pPr>
              <w:rPr>
                <w:sz w:val="2"/>
                <w:szCs w:val="2"/>
              </w:rPr>
            </w:pPr>
          </w:p>
        </w:tc>
      </w:tr>
      <w:tr w:rsidR="00046465" w14:paraId="0DFDC22E" w14:textId="77777777">
        <w:trPr>
          <w:trHeight w:hRule="exact" w:val="345"/>
        </w:trPr>
        <w:tc>
          <w:tcPr>
            <w:tcW w:w="4797" w:type="dxa"/>
            <w:vMerge/>
            <w:tcBorders>
              <w:top w:val="nil"/>
              <w:left w:val="single" w:sz="4" w:space="0" w:color="000000"/>
              <w:bottom w:val="single" w:sz="4" w:space="0" w:color="000000"/>
            </w:tcBorders>
          </w:tcPr>
          <w:p w14:paraId="0DFDC22B" w14:textId="77777777" w:rsidR="00046465" w:rsidRDefault="00046465">
            <w:pPr>
              <w:rPr>
                <w:sz w:val="2"/>
                <w:szCs w:val="2"/>
              </w:rPr>
            </w:pPr>
          </w:p>
        </w:tc>
        <w:tc>
          <w:tcPr>
            <w:tcW w:w="1141" w:type="dxa"/>
            <w:tcBorders>
              <w:bottom w:val="single" w:sz="4" w:space="0" w:color="000000"/>
            </w:tcBorders>
          </w:tcPr>
          <w:p w14:paraId="0DFDC22C" w14:textId="77777777" w:rsidR="00046465" w:rsidRDefault="008134EB">
            <w:pPr>
              <w:pStyle w:val="TableParagraph"/>
              <w:spacing w:before="13"/>
              <w:ind w:right="161"/>
              <w:jc w:val="right"/>
              <w:rPr>
                <w:b/>
                <w:sz w:val="18"/>
              </w:rPr>
            </w:pPr>
            <w:r>
              <w:rPr>
                <w:b/>
                <w:spacing w:val="-2"/>
                <w:sz w:val="18"/>
                <w:u w:val="double"/>
              </w:rPr>
              <w:t>$180,000</w:t>
            </w:r>
          </w:p>
        </w:tc>
        <w:tc>
          <w:tcPr>
            <w:tcW w:w="3422" w:type="dxa"/>
            <w:tcBorders>
              <w:bottom w:val="single" w:sz="4" w:space="0" w:color="000000"/>
              <w:right w:val="single" w:sz="4" w:space="0" w:color="000000"/>
            </w:tcBorders>
          </w:tcPr>
          <w:p w14:paraId="0DFDC22D" w14:textId="77777777" w:rsidR="00046465" w:rsidRDefault="00046465">
            <w:pPr>
              <w:pStyle w:val="TableParagraph"/>
              <w:rPr>
                <w:rFonts w:ascii="Times New Roman"/>
                <w:sz w:val="18"/>
              </w:rPr>
            </w:pPr>
          </w:p>
        </w:tc>
      </w:tr>
    </w:tbl>
    <w:p w14:paraId="0DFDC22F" w14:textId="77777777" w:rsidR="00046465" w:rsidRDefault="00046465">
      <w:pPr>
        <w:pStyle w:val="TableParagraph"/>
        <w:rPr>
          <w:rFonts w:ascii="Times New Roman"/>
          <w:sz w:val="18"/>
        </w:rPr>
        <w:sectPr w:rsidR="00046465">
          <w:headerReference w:type="default" r:id="rId173"/>
          <w:footerReference w:type="default" r:id="rId174"/>
          <w:pgSz w:w="12240" w:h="15840"/>
          <w:pgMar w:top="1300" w:right="720" w:bottom="940" w:left="1080" w:header="721" w:footer="757" w:gutter="0"/>
          <w:cols w:space="720"/>
        </w:sectPr>
      </w:pPr>
    </w:p>
    <w:p w14:paraId="0DFDC230" w14:textId="77777777" w:rsidR="00046465" w:rsidRDefault="008134EB">
      <w:pPr>
        <w:pStyle w:val="Heading3"/>
        <w:rPr>
          <w:u w:val="none"/>
        </w:rPr>
      </w:pPr>
      <w:bookmarkStart w:id="279" w:name="903_–_Auditing_Cost_Information"/>
      <w:bookmarkStart w:id="280" w:name="_bookmark158"/>
      <w:bookmarkEnd w:id="279"/>
      <w:bookmarkEnd w:id="280"/>
      <w:r>
        <w:lastRenderedPageBreak/>
        <w:t>903</w:t>
      </w:r>
      <w:r>
        <w:rPr>
          <w:spacing w:val="-4"/>
        </w:rPr>
        <w:t xml:space="preserve"> </w:t>
      </w:r>
      <w:r>
        <w:t>–</w:t>
      </w:r>
      <w:r>
        <w:rPr>
          <w:spacing w:val="-14"/>
        </w:rPr>
        <w:t xml:space="preserve"> </w:t>
      </w:r>
      <w:r>
        <w:t>Auditing</w:t>
      </w:r>
      <w:r>
        <w:rPr>
          <w:spacing w:val="-3"/>
        </w:rPr>
        <w:t xml:space="preserve"> </w:t>
      </w:r>
      <w:r>
        <w:t>Cost</w:t>
      </w:r>
      <w:r>
        <w:rPr>
          <w:spacing w:val="-3"/>
        </w:rPr>
        <w:t xml:space="preserve"> </w:t>
      </w:r>
      <w:r>
        <w:rPr>
          <w:spacing w:val="-2"/>
        </w:rPr>
        <w:t>Information</w:t>
      </w:r>
    </w:p>
    <w:p w14:paraId="0DFDC231" w14:textId="77777777" w:rsidR="00046465" w:rsidRDefault="00046465">
      <w:pPr>
        <w:pStyle w:val="BodyText"/>
        <w:spacing w:before="46"/>
        <w:rPr>
          <w:b/>
        </w:rPr>
      </w:pPr>
    </w:p>
    <w:p w14:paraId="0DFDC232" w14:textId="77777777" w:rsidR="00046465" w:rsidRDefault="008134EB">
      <w:pPr>
        <w:pStyle w:val="ListParagraph"/>
        <w:numPr>
          <w:ilvl w:val="0"/>
          <w:numId w:val="6"/>
        </w:numPr>
        <w:tabs>
          <w:tab w:val="left" w:pos="1800"/>
        </w:tabs>
        <w:spacing w:before="0"/>
        <w:ind w:right="885"/>
      </w:pPr>
      <w:r>
        <w:t>FAM 903 provides general guidance for auditors on identifying cost information and</w:t>
      </w:r>
      <w:r>
        <w:rPr>
          <w:spacing w:val="-5"/>
        </w:rPr>
        <w:t xml:space="preserve"> </w:t>
      </w:r>
      <w:r>
        <w:t>planning</w:t>
      </w:r>
      <w:r>
        <w:rPr>
          <w:spacing w:val="-5"/>
        </w:rPr>
        <w:t xml:space="preserve"> </w:t>
      </w:r>
      <w:r>
        <w:t>audit</w:t>
      </w:r>
      <w:r>
        <w:rPr>
          <w:spacing w:val="-5"/>
        </w:rPr>
        <w:t xml:space="preserve"> </w:t>
      </w:r>
      <w:r>
        <w:t>procedures.</w:t>
      </w:r>
      <w:r>
        <w:rPr>
          <w:spacing w:val="-5"/>
        </w:rPr>
        <w:t xml:space="preserve"> </w:t>
      </w:r>
      <w:r>
        <w:t>The</w:t>
      </w:r>
      <w:r>
        <w:rPr>
          <w:spacing w:val="-6"/>
        </w:rPr>
        <w:t xml:space="preserve"> </w:t>
      </w:r>
      <w:r>
        <w:t>auditor</w:t>
      </w:r>
      <w:r>
        <w:rPr>
          <w:spacing w:val="-5"/>
        </w:rPr>
        <w:t xml:space="preserve"> </w:t>
      </w:r>
      <w:r>
        <w:t>should</w:t>
      </w:r>
      <w:r>
        <w:rPr>
          <w:spacing w:val="-5"/>
        </w:rPr>
        <w:t xml:space="preserve"> </w:t>
      </w:r>
      <w:r>
        <w:t>coordinate</w:t>
      </w:r>
      <w:r>
        <w:rPr>
          <w:spacing w:val="-5"/>
        </w:rPr>
        <w:t xml:space="preserve"> </w:t>
      </w:r>
      <w:r>
        <w:t>these</w:t>
      </w:r>
      <w:r>
        <w:rPr>
          <w:spacing w:val="-5"/>
        </w:rPr>
        <w:t xml:space="preserve"> </w:t>
      </w:r>
      <w:r>
        <w:t>procedures with procedures for auditing various line items and accounts. The auditor is generally concerned about cost information for the following reasons:</w:t>
      </w:r>
    </w:p>
    <w:p w14:paraId="0DFDC233" w14:textId="77777777" w:rsidR="00046465" w:rsidRDefault="008134EB">
      <w:pPr>
        <w:pStyle w:val="ListParagraph"/>
        <w:numPr>
          <w:ilvl w:val="1"/>
          <w:numId w:val="6"/>
        </w:numPr>
        <w:tabs>
          <w:tab w:val="left" w:pos="2159"/>
        </w:tabs>
        <w:spacing w:before="121"/>
        <w:ind w:right="770"/>
      </w:pPr>
      <w:r>
        <w:t>The auditor should obtain sufficient evidence to determine whether costs are presented fairly in entity financial statements and are appropriately classified by designated program and net cost component (e.g., gross cost, earned revenue,</w:t>
      </w:r>
      <w:r>
        <w:rPr>
          <w:spacing w:val="-4"/>
        </w:rPr>
        <w:t xml:space="preserve"> </w:t>
      </w:r>
      <w:r>
        <w:t>and</w:t>
      </w:r>
      <w:r>
        <w:rPr>
          <w:spacing w:val="-4"/>
        </w:rPr>
        <w:t xml:space="preserve"> </w:t>
      </w:r>
      <w:r>
        <w:t>gain/loss</w:t>
      </w:r>
      <w:r>
        <w:rPr>
          <w:spacing w:val="-4"/>
        </w:rPr>
        <w:t xml:space="preserve"> </w:t>
      </w:r>
      <w:r>
        <w:t>from</w:t>
      </w:r>
      <w:r>
        <w:rPr>
          <w:spacing w:val="-5"/>
        </w:rPr>
        <w:t xml:space="preserve"> </w:t>
      </w:r>
      <w:r>
        <w:t>changes</w:t>
      </w:r>
      <w:r>
        <w:rPr>
          <w:spacing w:val="-4"/>
        </w:rPr>
        <w:t xml:space="preserve"> </w:t>
      </w:r>
      <w:r>
        <w:t>in</w:t>
      </w:r>
      <w:r>
        <w:rPr>
          <w:spacing w:val="-4"/>
        </w:rPr>
        <w:t xml:space="preserve"> </w:t>
      </w:r>
      <w:r>
        <w:t>assumptions).</w:t>
      </w:r>
      <w:r>
        <w:rPr>
          <w:spacing w:val="-4"/>
        </w:rPr>
        <w:t xml:space="preserve"> </w:t>
      </w:r>
      <w:r>
        <w:t>In</w:t>
      </w:r>
      <w:r>
        <w:rPr>
          <w:spacing w:val="-4"/>
        </w:rPr>
        <w:t xml:space="preserve"> </w:t>
      </w:r>
      <w:r>
        <w:t>addition,</w:t>
      </w:r>
      <w:r>
        <w:rPr>
          <w:spacing w:val="-4"/>
        </w:rPr>
        <w:t xml:space="preserve"> </w:t>
      </w:r>
      <w:r>
        <w:t>the</w:t>
      </w:r>
      <w:r>
        <w:rPr>
          <w:spacing w:val="-4"/>
        </w:rPr>
        <w:t xml:space="preserve"> </w:t>
      </w:r>
      <w:r>
        <w:t xml:space="preserve">auditor should determine whether costs are properly classified between intragovernmental and non-intragovernmental in the entity’s accounting records. Proper classification of costs at the entity level contribute to proper classification of costs in the consolidated financial statements of the U.S. </w:t>
      </w:r>
      <w:r>
        <w:rPr>
          <w:spacing w:val="-2"/>
        </w:rPr>
        <w:t>government.</w:t>
      </w:r>
    </w:p>
    <w:p w14:paraId="0DFDC234" w14:textId="77777777" w:rsidR="00046465" w:rsidRDefault="008134EB">
      <w:pPr>
        <w:pStyle w:val="ListParagraph"/>
        <w:numPr>
          <w:ilvl w:val="1"/>
          <w:numId w:val="6"/>
        </w:numPr>
        <w:tabs>
          <w:tab w:val="left" w:pos="2159"/>
        </w:tabs>
        <w:ind w:right="1026"/>
      </w:pPr>
      <w:r>
        <w:t>For</w:t>
      </w:r>
      <w:r>
        <w:rPr>
          <w:spacing w:val="-4"/>
        </w:rPr>
        <w:t xml:space="preserve"> </w:t>
      </w:r>
      <w:r>
        <w:t>CFO</w:t>
      </w:r>
      <w:r>
        <w:rPr>
          <w:spacing w:val="-5"/>
        </w:rPr>
        <w:t xml:space="preserve"> </w:t>
      </w:r>
      <w:r>
        <w:t>Act</w:t>
      </w:r>
      <w:r>
        <w:rPr>
          <w:spacing w:val="-4"/>
        </w:rPr>
        <w:t xml:space="preserve"> </w:t>
      </w:r>
      <w:r>
        <w:t>agencies,</w:t>
      </w:r>
      <w:r>
        <w:rPr>
          <w:spacing w:val="-4"/>
        </w:rPr>
        <w:t xml:space="preserve"> </w:t>
      </w:r>
      <w:r>
        <w:t>the</w:t>
      </w:r>
      <w:r>
        <w:rPr>
          <w:spacing w:val="-4"/>
        </w:rPr>
        <w:t xml:space="preserve"> </w:t>
      </w:r>
      <w:r>
        <w:t>auditor</w:t>
      </w:r>
      <w:r>
        <w:rPr>
          <w:spacing w:val="-4"/>
        </w:rPr>
        <w:t xml:space="preserve"> </w:t>
      </w:r>
      <w:r>
        <w:t>must</w:t>
      </w:r>
      <w:r>
        <w:rPr>
          <w:spacing w:val="-4"/>
        </w:rPr>
        <w:t xml:space="preserve"> </w:t>
      </w:r>
      <w:r>
        <w:t>evaluate</w:t>
      </w:r>
      <w:r>
        <w:rPr>
          <w:spacing w:val="-5"/>
        </w:rPr>
        <w:t xml:space="preserve"> </w:t>
      </w:r>
      <w:r>
        <w:t>whether</w:t>
      </w:r>
      <w:r>
        <w:rPr>
          <w:spacing w:val="-4"/>
        </w:rPr>
        <w:t xml:space="preserve"> </w:t>
      </w:r>
      <w:r>
        <w:t>agency</w:t>
      </w:r>
      <w:r>
        <w:rPr>
          <w:spacing w:val="-4"/>
        </w:rPr>
        <w:t xml:space="preserve"> </w:t>
      </w:r>
      <w:r>
        <w:t>financial management systems comply substantially with the three requirements of FFMIA, including applicable federal accounting standards, such as cost accounting standards.</w:t>
      </w:r>
    </w:p>
    <w:p w14:paraId="0DFDC235" w14:textId="77777777" w:rsidR="00046465" w:rsidRDefault="008134EB">
      <w:pPr>
        <w:pStyle w:val="ListParagraph"/>
        <w:numPr>
          <w:ilvl w:val="1"/>
          <w:numId w:val="6"/>
        </w:numPr>
        <w:tabs>
          <w:tab w:val="left" w:pos="2159"/>
        </w:tabs>
        <w:spacing w:before="119"/>
        <w:ind w:right="732"/>
      </w:pPr>
      <w:r>
        <w:t>Although the auditor does not opine on the MD&amp;A, cost information is important to the MD&amp;A, particularly as it relates to developing performance measures.</w:t>
      </w:r>
      <w:r>
        <w:rPr>
          <w:spacing w:val="-1"/>
        </w:rPr>
        <w:t xml:space="preserve"> </w:t>
      </w:r>
      <w:r>
        <w:t>The</w:t>
      </w:r>
      <w:r>
        <w:rPr>
          <w:spacing w:val="-1"/>
        </w:rPr>
        <w:t xml:space="preserve"> </w:t>
      </w:r>
      <w:r>
        <w:t>relevant</w:t>
      </w:r>
      <w:r>
        <w:rPr>
          <w:spacing w:val="-2"/>
        </w:rPr>
        <w:t xml:space="preserve"> </w:t>
      </w:r>
      <w:r>
        <w:t>accounting</w:t>
      </w:r>
      <w:r>
        <w:rPr>
          <w:spacing w:val="-2"/>
        </w:rPr>
        <w:t xml:space="preserve"> </w:t>
      </w:r>
      <w:r>
        <w:t>standard</w:t>
      </w:r>
      <w:r>
        <w:rPr>
          <w:spacing w:val="-1"/>
        </w:rPr>
        <w:t xml:space="preserve"> </w:t>
      </w:r>
      <w:r>
        <w:t>for</w:t>
      </w:r>
      <w:r>
        <w:rPr>
          <w:spacing w:val="-2"/>
        </w:rPr>
        <w:t xml:space="preserve"> </w:t>
      </w:r>
      <w:r>
        <w:t>cost</w:t>
      </w:r>
      <w:r>
        <w:rPr>
          <w:spacing w:val="-1"/>
        </w:rPr>
        <w:t xml:space="preserve"> </w:t>
      </w:r>
      <w:r>
        <w:t>information</w:t>
      </w:r>
      <w:r>
        <w:rPr>
          <w:spacing w:val="-1"/>
        </w:rPr>
        <w:t xml:space="preserve"> </w:t>
      </w:r>
      <w:r>
        <w:t>is</w:t>
      </w:r>
      <w:r>
        <w:rPr>
          <w:spacing w:val="-1"/>
        </w:rPr>
        <w:t xml:space="preserve"> </w:t>
      </w:r>
      <w:r>
        <w:t>SFFAS</w:t>
      </w:r>
      <w:r>
        <w:rPr>
          <w:spacing w:val="-1"/>
        </w:rPr>
        <w:t xml:space="preserve"> </w:t>
      </w:r>
      <w:r>
        <w:t xml:space="preserve">4, </w:t>
      </w:r>
      <w:r>
        <w:rPr>
          <w:i/>
        </w:rPr>
        <w:t>Managerial Cost Accounting</w:t>
      </w:r>
      <w:r>
        <w:t xml:space="preserve">, as amended by SFFAS 55, </w:t>
      </w:r>
      <w:r>
        <w:rPr>
          <w:i/>
        </w:rPr>
        <w:t>Amending Inter-entity</w:t>
      </w:r>
      <w:r>
        <w:rPr>
          <w:i/>
          <w:spacing w:val="-4"/>
        </w:rPr>
        <w:t xml:space="preserve"> </w:t>
      </w:r>
      <w:r>
        <w:rPr>
          <w:i/>
        </w:rPr>
        <w:t>Cost</w:t>
      </w:r>
      <w:r>
        <w:rPr>
          <w:i/>
          <w:spacing w:val="-5"/>
        </w:rPr>
        <w:t xml:space="preserve"> </w:t>
      </w:r>
      <w:r>
        <w:rPr>
          <w:i/>
        </w:rPr>
        <w:t>Provisions</w:t>
      </w:r>
      <w:r>
        <w:t>.</w:t>
      </w:r>
      <w:r>
        <w:rPr>
          <w:spacing w:val="-5"/>
        </w:rPr>
        <w:t xml:space="preserve"> </w:t>
      </w:r>
      <w:r>
        <w:t>These</w:t>
      </w:r>
      <w:r>
        <w:rPr>
          <w:spacing w:val="-4"/>
        </w:rPr>
        <w:t xml:space="preserve"> </w:t>
      </w:r>
      <w:r>
        <w:t>standards</w:t>
      </w:r>
      <w:r>
        <w:rPr>
          <w:spacing w:val="-3"/>
        </w:rPr>
        <w:t xml:space="preserve"> </w:t>
      </w:r>
      <w:r>
        <w:t>are</w:t>
      </w:r>
      <w:r>
        <w:rPr>
          <w:spacing w:val="-4"/>
        </w:rPr>
        <w:t xml:space="preserve"> </w:t>
      </w:r>
      <w:r>
        <w:t>relevant</w:t>
      </w:r>
      <w:r>
        <w:rPr>
          <w:spacing w:val="-4"/>
        </w:rPr>
        <w:t xml:space="preserve"> </w:t>
      </w:r>
      <w:r>
        <w:t>both</w:t>
      </w:r>
      <w:r>
        <w:rPr>
          <w:spacing w:val="-4"/>
        </w:rPr>
        <w:t xml:space="preserve"> </w:t>
      </w:r>
      <w:r>
        <w:t>to</w:t>
      </w:r>
      <w:r>
        <w:rPr>
          <w:spacing w:val="-4"/>
        </w:rPr>
        <w:t xml:space="preserve"> </w:t>
      </w:r>
      <w:r>
        <w:t>external</w:t>
      </w:r>
      <w:r>
        <w:rPr>
          <w:spacing w:val="-4"/>
        </w:rPr>
        <w:t xml:space="preserve"> </w:t>
      </w:r>
      <w:r>
        <w:t>financial reporting and to cost information for internal management reporting.</w:t>
      </w:r>
    </w:p>
    <w:p w14:paraId="0DFDC236" w14:textId="77777777" w:rsidR="00046465" w:rsidRDefault="008134EB">
      <w:pPr>
        <w:pStyle w:val="Heading4"/>
        <w:spacing w:before="181"/>
      </w:pPr>
      <w:bookmarkStart w:id="281" w:name="The_Effect_of_SFFAS_4_and_SFFAS_55"/>
      <w:bookmarkEnd w:id="281"/>
      <w:r>
        <w:t>The</w:t>
      </w:r>
      <w:r>
        <w:rPr>
          <w:spacing w:val="-8"/>
        </w:rPr>
        <w:t xml:space="preserve"> </w:t>
      </w:r>
      <w:r>
        <w:t>Effect</w:t>
      </w:r>
      <w:r>
        <w:rPr>
          <w:spacing w:val="-7"/>
        </w:rPr>
        <w:t xml:space="preserve"> </w:t>
      </w:r>
      <w:r>
        <w:t>of</w:t>
      </w:r>
      <w:r>
        <w:rPr>
          <w:spacing w:val="-7"/>
        </w:rPr>
        <w:t xml:space="preserve"> </w:t>
      </w:r>
      <w:r>
        <w:t>SFFAS</w:t>
      </w:r>
      <w:r>
        <w:rPr>
          <w:spacing w:val="-8"/>
        </w:rPr>
        <w:t xml:space="preserve"> </w:t>
      </w:r>
      <w:r>
        <w:t>4</w:t>
      </w:r>
      <w:r>
        <w:rPr>
          <w:spacing w:val="-7"/>
        </w:rPr>
        <w:t xml:space="preserve"> </w:t>
      </w:r>
      <w:r>
        <w:t>and</w:t>
      </w:r>
      <w:r>
        <w:rPr>
          <w:spacing w:val="-7"/>
        </w:rPr>
        <w:t xml:space="preserve"> </w:t>
      </w:r>
      <w:r>
        <w:t>SFFAS</w:t>
      </w:r>
      <w:r>
        <w:rPr>
          <w:spacing w:val="-8"/>
        </w:rPr>
        <w:t xml:space="preserve"> </w:t>
      </w:r>
      <w:r>
        <w:rPr>
          <w:spacing w:val="-7"/>
        </w:rPr>
        <w:t>55</w:t>
      </w:r>
    </w:p>
    <w:p w14:paraId="0DFDC237" w14:textId="77777777" w:rsidR="00046465" w:rsidRDefault="008134EB">
      <w:pPr>
        <w:pStyle w:val="ListParagraph"/>
        <w:numPr>
          <w:ilvl w:val="0"/>
          <w:numId w:val="6"/>
        </w:numPr>
        <w:tabs>
          <w:tab w:val="left" w:pos="1800"/>
        </w:tabs>
        <w:spacing w:before="119"/>
        <w:ind w:right="737"/>
      </w:pPr>
      <w:r>
        <w:t>SFFAS</w:t>
      </w:r>
      <w:r>
        <w:rPr>
          <w:spacing w:val="-4"/>
        </w:rPr>
        <w:t xml:space="preserve"> </w:t>
      </w:r>
      <w:r>
        <w:t>4,</w:t>
      </w:r>
      <w:r>
        <w:rPr>
          <w:spacing w:val="-4"/>
        </w:rPr>
        <w:t xml:space="preserve"> </w:t>
      </w:r>
      <w:r>
        <w:t>as</w:t>
      </w:r>
      <w:r>
        <w:rPr>
          <w:spacing w:val="-4"/>
        </w:rPr>
        <w:t xml:space="preserve"> </w:t>
      </w:r>
      <w:r>
        <w:t>amended</w:t>
      </w:r>
      <w:r>
        <w:rPr>
          <w:spacing w:val="-4"/>
        </w:rPr>
        <w:t xml:space="preserve"> </w:t>
      </w:r>
      <w:r>
        <w:t>by</w:t>
      </w:r>
      <w:r>
        <w:rPr>
          <w:spacing w:val="-4"/>
        </w:rPr>
        <w:t xml:space="preserve"> </w:t>
      </w:r>
      <w:r>
        <w:t>SFFAS</w:t>
      </w:r>
      <w:r>
        <w:rPr>
          <w:spacing w:val="-4"/>
        </w:rPr>
        <w:t xml:space="preserve"> </w:t>
      </w:r>
      <w:r>
        <w:t>55,</w:t>
      </w:r>
      <w:r>
        <w:rPr>
          <w:spacing w:val="-4"/>
        </w:rPr>
        <w:t xml:space="preserve"> </w:t>
      </w:r>
      <w:r>
        <w:t>establishes</w:t>
      </w:r>
      <w:r>
        <w:rPr>
          <w:spacing w:val="-4"/>
        </w:rPr>
        <w:t xml:space="preserve"> </w:t>
      </w:r>
      <w:r>
        <w:t>the</w:t>
      </w:r>
      <w:r>
        <w:rPr>
          <w:spacing w:val="-4"/>
        </w:rPr>
        <w:t xml:space="preserve"> </w:t>
      </w:r>
      <w:r>
        <w:t>concepts</w:t>
      </w:r>
      <w:r>
        <w:rPr>
          <w:spacing w:val="-4"/>
        </w:rPr>
        <w:t xml:space="preserve"> </w:t>
      </w:r>
      <w:r>
        <w:t>and</w:t>
      </w:r>
      <w:r>
        <w:rPr>
          <w:spacing w:val="-4"/>
        </w:rPr>
        <w:t xml:space="preserve"> </w:t>
      </w:r>
      <w:r>
        <w:t>standards</w:t>
      </w:r>
      <w:r>
        <w:rPr>
          <w:spacing w:val="-4"/>
        </w:rPr>
        <w:t xml:space="preserve"> </w:t>
      </w:r>
      <w:r>
        <w:t>for providing</w:t>
      </w:r>
      <w:r>
        <w:rPr>
          <w:spacing w:val="-1"/>
        </w:rPr>
        <w:t xml:space="preserve"> </w:t>
      </w:r>
      <w:r>
        <w:t>reliable</w:t>
      </w:r>
      <w:r>
        <w:rPr>
          <w:spacing w:val="-1"/>
        </w:rPr>
        <w:t xml:space="preserve"> </w:t>
      </w:r>
      <w:r>
        <w:t>and</w:t>
      </w:r>
      <w:r>
        <w:rPr>
          <w:spacing w:val="-1"/>
        </w:rPr>
        <w:t xml:space="preserve"> </w:t>
      </w:r>
      <w:r>
        <w:t>timely</w:t>
      </w:r>
      <w:r>
        <w:rPr>
          <w:spacing w:val="-1"/>
        </w:rPr>
        <w:t xml:space="preserve"> </w:t>
      </w:r>
      <w:r>
        <w:t>information</w:t>
      </w:r>
      <w:r>
        <w:rPr>
          <w:spacing w:val="-1"/>
        </w:rPr>
        <w:t xml:space="preserve"> </w:t>
      </w:r>
      <w:r>
        <w:t>on</w:t>
      </w:r>
      <w:r>
        <w:rPr>
          <w:spacing w:val="-1"/>
        </w:rPr>
        <w:t xml:space="preserve"> </w:t>
      </w:r>
      <w:r>
        <w:t>the</w:t>
      </w:r>
      <w:r>
        <w:rPr>
          <w:spacing w:val="-2"/>
        </w:rPr>
        <w:t xml:space="preserve"> </w:t>
      </w:r>
      <w:r>
        <w:t>full</w:t>
      </w:r>
      <w:r>
        <w:rPr>
          <w:spacing w:val="-1"/>
        </w:rPr>
        <w:t xml:space="preserve"> </w:t>
      </w:r>
      <w:r>
        <w:t>cost</w:t>
      </w:r>
      <w:r>
        <w:rPr>
          <w:spacing w:val="-2"/>
        </w:rPr>
        <w:t xml:space="preserve"> </w:t>
      </w:r>
      <w:r>
        <w:t>of</w:t>
      </w:r>
      <w:r>
        <w:rPr>
          <w:spacing w:val="-1"/>
        </w:rPr>
        <w:t xml:space="preserve"> </w:t>
      </w:r>
      <w:r>
        <w:t>federal</w:t>
      </w:r>
      <w:r>
        <w:rPr>
          <w:spacing w:val="-1"/>
        </w:rPr>
        <w:t xml:space="preserve"> </w:t>
      </w:r>
      <w:r>
        <w:t>programs,</w:t>
      </w:r>
      <w:r>
        <w:rPr>
          <w:spacing w:val="-1"/>
        </w:rPr>
        <w:t xml:space="preserve"> </w:t>
      </w:r>
      <w:r>
        <w:t>their activities, and outputs. The objectives of managerial cost information specified in SFFAS 4 are as follows:</w:t>
      </w:r>
    </w:p>
    <w:p w14:paraId="0DFDC238" w14:textId="77777777" w:rsidR="00046465" w:rsidRDefault="008134EB">
      <w:pPr>
        <w:pStyle w:val="ListParagraph"/>
        <w:numPr>
          <w:ilvl w:val="1"/>
          <w:numId w:val="6"/>
        </w:numPr>
        <w:tabs>
          <w:tab w:val="left" w:pos="2159"/>
        </w:tabs>
        <w:spacing w:before="121"/>
        <w:ind w:right="892"/>
      </w:pPr>
      <w:r>
        <w:t>To</w:t>
      </w:r>
      <w:r>
        <w:rPr>
          <w:spacing w:val="-4"/>
        </w:rPr>
        <w:t xml:space="preserve"> </w:t>
      </w:r>
      <w:r>
        <w:t>provide</w:t>
      </w:r>
      <w:r>
        <w:rPr>
          <w:spacing w:val="-4"/>
        </w:rPr>
        <w:t xml:space="preserve"> </w:t>
      </w:r>
      <w:r>
        <w:t>program</w:t>
      </w:r>
      <w:r>
        <w:rPr>
          <w:spacing w:val="-5"/>
        </w:rPr>
        <w:t xml:space="preserve"> </w:t>
      </w:r>
      <w:r>
        <w:t>managers</w:t>
      </w:r>
      <w:r>
        <w:rPr>
          <w:spacing w:val="-4"/>
        </w:rPr>
        <w:t xml:space="preserve"> </w:t>
      </w:r>
      <w:r>
        <w:t>with</w:t>
      </w:r>
      <w:r>
        <w:rPr>
          <w:spacing w:val="-4"/>
        </w:rPr>
        <w:t xml:space="preserve"> </w:t>
      </w:r>
      <w:r>
        <w:t>relevant</w:t>
      </w:r>
      <w:r>
        <w:rPr>
          <w:spacing w:val="-4"/>
        </w:rPr>
        <w:t xml:space="preserve"> </w:t>
      </w:r>
      <w:r>
        <w:t>and</w:t>
      </w:r>
      <w:r>
        <w:rPr>
          <w:spacing w:val="-5"/>
        </w:rPr>
        <w:t xml:space="preserve"> </w:t>
      </w:r>
      <w:r>
        <w:t>reliable</w:t>
      </w:r>
      <w:r>
        <w:rPr>
          <w:spacing w:val="-4"/>
        </w:rPr>
        <w:t xml:space="preserve"> </w:t>
      </w:r>
      <w:r>
        <w:t>information</w:t>
      </w:r>
      <w:r>
        <w:rPr>
          <w:spacing w:val="-4"/>
        </w:rPr>
        <w:t xml:space="preserve"> </w:t>
      </w:r>
      <w:r>
        <w:t>relating costs to outputs and activities. With this information, program managers should understand the costs of the activities they manage. The cost information should assist them in improving operational efficiency.</w:t>
      </w:r>
    </w:p>
    <w:p w14:paraId="0DFDC239" w14:textId="77777777" w:rsidR="00046465" w:rsidRDefault="008134EB">
      <w:pPr>
        <w:pStyle w:val="ListParagraph"/>
        <w:numPr>
          <w:ilvl w:val="1"/>
          <w:numId w:val="6"/>
        </w:numPr>
        <w:tabs>
          <w:tab w:val="left" w:pos="2159"/>
        </w:tabs>
        <w:ind w:right="917"/>
      </w:pPr>
      <w:r>
        <w:t>To</w:t>
      </w:r>
      <w:r>
        <w:rPr>
          <w:spacing w:val="-4"/>
        </w:rPr>
        <w:t xml:space="preserve"> </w:t>
      </w:r>
      <w:r>
        <w:t>provide</w:t>
      </w:r>
      <w:r>
        <w:rPr>
          <w:spacing w:val="-4"/>
        </w:rPr>
        <w:t xml:space="preserve"> </w:t>
      </w:r>
      <w:r>
        <w:t>relevant</w:t>
      </w:r>
      <w:r>
        <w:rPr>
          <w:spacing w:val="-4"/>
        </w:rPr>
        <w:t xml:space="preserve"> </w:t>
      </w:r>
      <w:r>
        <w:t>and</w:t>
      </w:r>
      <w:r>
        <w:rPr>
          <w:spacing w:val="-5"/>
        </w:rPr>
        <w:t xml:space="preserve"> </w:t>
      </w:r>
      <w:r>
        <w:t>reliable</w:t>
      </w:r>
      <w:r>
        <w:rPr>
          <w:spacing w:val="-4"/>
        </w:rPr>
        <w:t xml:space="preserve"> </w:t>
      </w:r>
      <w:r>
        <w:t>cost</w:t>
      </w:r>
      <w:r>
        <w:rPr>
          <w:spacing w:val="-5"/>
        </w:rPr>
        <w:t xml:space="preserve"> </w:t>
      </w:r>
      <w:r>
        <w:t>information</w:t>
      </w:r>
      <w:r>
        <w:rPr>
          <w:spacing w:val="-4"/>
        </w:rPr>
        <w:t xml:space="preserve"> </w:t>
      </w:r>
      <w:r>
        <w:t>to</w:t>
      </w:r>
      <w:r>
        <w:rPr>
          <w:spacing w:val="-4"/>
        </w:rPr>
        <w:t xml:space="preserve"> </w:t>
      </w:r>
      <w:r>
        <w:t>assist</w:t>
      </w:r>
      <w:r>
        <w:rPr>
          <w:spacing w:val="-4"/>
        </w:rPr>
        <w:t xml:space="preserve"> </w:t>
      </w:r>
      <w:r>
        <w:t>the</w:t>
      </w:r>
      <w:r>
        <w:rPr>
          <w:spacing w:val="-4"/>
        </w:rPr>
        <w:t xml:space="preserve"> </w:t>
      </w:r>
      <w:r>
        <w:t>Congress</w:t>
      </w:r>
      <w:r>
        <w:rPr>
          <w:spacing w:val="-4"/>
        </w:rPr>
        <w:t xml:space="preserve"> </w:t>
      </w:r>
      <w:r>
        <w:t>and executives in making decisions about allocating federal resources, authorizing and modifying programs, and evaluating program performance.</w:t>
      </w:r>
    </w:p>
    <w:p w14:paraId="0DFDC23A" w14:textId="77777777" w:rsidR="00046465" w:rsidRDefault="008134EB">
      <w:pPr>
        <w:pStyle w:val="ListParagraph"/>
        <w:numPr>
          <w:ilvl w:val="1"/>
          <w:numId w:val="6"/>
        </w:numPr>
        <w:tabs>
          <w:tab w:val="left" w:pos="2159"/>
        </w:tabs>
        <w:spacing w:before="119"/>
        <w:ind w:right="770"/>
      </w:pPr>
      <w:r>
        <w:t>To provide consistency between costs reported in general purpose financial reports</w:t>
      </w:r>
      <w:r>
        <w:rPr>
          <w:spacing w:val="-4"/>
        </w:rPr>
        <w:t xml:space="preserve"> </w:t>
      </w:r>
      <w:r>
        <w:t>and</w:t>
      </w:r>
      <w:r>
        <w:rPr>
          <w:spacing w:val="-5"/>
        </w:rPr>
        <w:t xml:space="preserve"> </w:t>
      </w:r>
      <w:r>
        <w:t>costs</w:t>
      </w:r>
      <w:r>
        <w:rPr>
          <w:spacing w:val="-4"/>
        </w:rPr>
        <w:t xml:space="preserve"> </w:t>
      </w:r>
      <w:r>
        <w:t>reported</w:t>
      </w:r>
      <w:r>
        <w:rPr>
          <w:spacing w:val="-4"/>
        </w:rPr>
        <w:t xml:space="preserve"> </w:t>
      </w:r>
      <w:r>
        <w:t>to</w:t>
      </w:r>
      <w:r>
        <w:rPr>
          <w:spacing w:val="-4"/>
        </w:rPr>
        <w:t xml:space="preserve"> </w:t>
      </w:r>
      <w:r>
        <w:t>program</w:t>
      </w:r>
      <w:r>
        <w:rPr>
          <w:spacing w:val="-5"/>
        </w:rPr>
        <w:t xml:space="preserve"> </w:t>
      </w:r>
      <w:r>
        <w:t>managers.</w:t>
      </w:r>
      <w:r>
        <w:rPr>
          <w:spacing w:val="-4"/>
        </w:rPr>
        <w:t xml:space="preserve"> </w:t>
      </w:r>
      <w:r>
        <w:t>This</w:t>
      </w:r>
      <w:r>
        <w:rPr>
          <w:spacing w:val="-4"/>
        </w:rPr>
        <w:t xml:space="preserve"> </w:t>
      </w:r>
      <w:r>
        <w:t>includes</w:t>
      </w:r>
      <w:r>
        <w:rPr>
          <w:spacing w:val="-4"/>
        </w:rPr>
        <w:t xml:space="preserve"> </w:t>
      </w:r>
      <w:r>
        <w:t>standardizing terminology to improve communication among federal organizations and users of cost information.</w:t>
      </w:r>
    </w:p>
    <w:p w14:paraId="0DFDC23B" w14:textId="77777777" w:rsidR="00046465" w:rsidRDefault="008134EB">
      <w:pPr>
        <w:pStyle w:val="ListParagraph"/>
        <w:numPr>
          <w:ilvl w:val="0"/>
          <w:numId w:val="6"/>
        </w:numPr>
        <w:tabs>
          <w:tab w:val="left" w:pos="1799"/>
        </w:tabs>
        <w:spacing w:before="121"/>
        <w:ind w:left="1799" w:right="872"/>
      </w:pPr>
      <w:r>
        <w:t>The</w:t>
      </w:r>
      <w:r>
        <w:rPr>
          <w:spacing w:val="-4"/>
        </w:rPr>
        <w:t xml:space="preserve"> </w:t>
      </w:r>
      <w:r>
        <w:t>first</w:t>
      </w:r>
      <w:r>
        <w:rPr>
          <w:spacing w:val="-4"/>
        </w:rPr>
        <w:t xml:space="preserve"> </w:t>
      </w:r>
      <w:r>
        <w:t>two</w:t>
      </w:r>
      <w:r>
        <w:rPr>
          <w:spacing w:val="-5"/>
        </w:rPr>
        <w:t xml:space="preserve"> </w:t>
      </w:r>
      <w:r>
        <w:t>objectives</w:t>
      </w:r>
      <w:r>
        <w:rPr>
          <w:spacing w:val="-4"/>
        </w:rPr>
        <w:t xml:space="preserve"> </w:t>
      </w:r>
      <w:r>
        <w:t>primarily</w:t>
      </w:r>
      <w:r>
        <w:rPr>
          <w:spacing w:val="-4"/>
        </w:rPr>
        <w:t xml:space="preserve"> </w:t>
      </w:r>
      <w:r>
        <w:t>address</w:t>
      </w:r>
      <w:r>
        <w:rPr>
          <w:spacing w:val="-4"/>
        </w:rPr>
        <w:t xml:space="preserve"> </w:t>
      </w:r>
      <w:r>
        <w:t>the</w:t>
      </w:r>
      <w:r>
        <w:rPr>
          <w:spacing w:val="-4"/>
        </w:rPr>
        <w:t xml:space="preserve"> </w:t>
      </w:r>
      <w:r>
        <w:t>managerial</w:t>
      </w:r>
      <w:r>
        <w:rPr>
          <w:spacing w:val="-4"/>
        </w:rPr>
        <w:t xml:space="preserve"> </w:t>
      </w:r>
      <w:r>
        <w:t>use</w:t>
      </w:r>
      <w:r>
        <w:rPr>
          <w:spacing w:val="-5"/>
        </w:rPr>
        <w:t xml:space="preserve"> </w:t>
      </w:r>
      <w:r>
        <w:t>of</w:t>
      </w:r>
      <w:r>
        <w:rPr>
          <w:spacing w:val="-4"/>
        </w:rPr>
        <w:t xml:space="preserve"> </w:t>
      </w:r>
      <w:r>
        <w:t>cost</w:t>
      </w:r>
      <w:r>
        <w:rPr>
          <w:spacing w:val="-4"/>
        </w:rPr>
        <w:t xml:space="preserve"> </w:t>
      </w:r>
      <w:r>
        <w:t>information in improving operating efficiency and cost-effectiveness, making planning and budgeting decisions, and measuring performance. The third objective primarily addresses external financial reporting, which can be achieved by reporting cost information</w:t>
      </w:r>
      <w:r>
        <w:rPr>
          <w:spacing w:val="-4"/>
        </w:rPr>
        <w:t xml:space="preserve"> </w:t>
      </w:r>
      <w:r>
        <w:t>in</w:t>
      </w:r>
      <w:r>
        <w:rPr>
          <w:spacing w:val="-4"/>
        </w:rPr>
        <w:t xml:space="preserve"> </w:t>
      </w:r>
      <w:r>
        <w:t>financial</w:t>
      </w:r>
      <w:r>
        <w:rPr>
          <w:spacing w:val="-5"/>
        </w:rPr>
        <w:t xml:space="preserve"> </w:t>
      </w:r>
      <w:r>
        <w:t>statements</w:t>
      </w:r>
      <w:r>
        <w:rPr>
          <w:spacing w:val="-4"/>
        </w:rPr>
        <w:t xml:space="preserve"> </w:t>
      </w:r>
      <w:r>
        <w:t>that</w:t>
      </w:r>
      <w:r>
        <w:rPr>
          <w:spacing w:val="-4"/>
        </w:rPr>
        <w:t xml:space="preserve"> </w:t>
      </w:r>
      <w:r>
        <w:t>is</w:t>
      </w:r>
      <w:r>
        <w:rPr>
          <w:spacing w:val="-4"/>
        </w:rPr>
        <w:t xml:space="preserve"> </w:t>
      </w:r>
      <w:r>
        <w:t>consistent</w:t>
      </w:r>
      <w:r>
        <w:rPr>
          <w:spacing w:val="-4"/>
        </w:rPr>
        <w:t xml:space="preserve"> </w:t>
      </w:r>
      <w:r>
        <w:t>with</w:t>
      </w:r>
      <w:r>
        <w:rPr>
          <w:spacing w:val="-4"/>
        </w:rPr>
        <w:t xml:space="preserve"> </w:t>
      </w:r>
      <w:r>
        <w:t>costs</w:t>
      </w:r>
      <w:r>
        <w:rPr>
          <w:spacing w:val="-4"/>
        </w:rPr>
        <w:t xml:space="preserve"> </w:t>
      </w:r>
      <w:r>
        <w:t>generated</w:t>
      </w:r>
      <w:r>
        <w:rPr>
          <w:spacing w:val="-5"/>
        </w:rPr>
        <w:t xml:space="preserve"> </w:t>
      </w:r>
      <w:r>
        <w:t>by</w:t>
      </w:r>
      <w:r>
        <w:rPr>
          <w:spacing w:val="-4"/>
        </w:rPr>
        <w:t xml:space="preserve"> </w:t>
      </w:r>
      <w:r>
        <w:t>the</w:t>
      </w:r>
    </w:p>
    <w:p w14:paraId="0DFDC23C" w14:textId="77777777" w:rsidR="00046465" w:rsidRDefault="00046465">
      <w:pPr>
        <w:pStyle w:val="ListParagraph"/>
        <w:sectPr w:rsidR="00046465">
          <w:headerReference w:type="default" r:id="rId175"/>
          <w:footerReference w:type="default" r:id="rId176"/>
          <w:pgSz w:w="12240" w:h="15840"/>
          <w:pgMar w:top="1340" w:right="720" w:bottom="940" w:left="1080" w:header="721" w:footer="757" w:gutter="0"/>
          <w:pgNumType w:start="1"/>
          <w:cols w:space="720"/>
        </w:sectPr>
      </w:pPr>
    </w:p>
    <w:p w14:paraId="0DFDC23D" w14:textId="77777777" w:rsidR="00046465" w:rsidRDefault="008134EB">
      <w:pPr>
        <w:pStyle w:val="BodyText"/>
        <w:spacing w:before="121"/>
        <w:ind w:left="1800" w:right="773"/>
      </w:pPr>
      <w:r>
        <w:lastRenderedPageBreak/>
        <w:t>cost accounting process. Because of the differences in the three objectives, some</w:t>
      </w:r>
      <w:r>
        <w:rPr>
          <w:spacing w:val="-4"/>
        </w:rPr>
        <w:t xml:space="preserve"> </w:t>
      </w:r>
      <w:r>
        <w:t>requirements</w:t>
      </w:r>
      <w:r>
        <w:rPr>
          <w:spacing w:val="-4"/>
        </w:rPr>
        <w:t xml:space="preserve"> </w:t>
      </w:r>
      <w:r>
        <w:t>in</w:t>
      </w:r>
      <w:r>
        <w:rPr>
          <w:spacing w:val="-4"/>
        </w:rPr>
        <w:t xml:space="preserve"> </w:t>
      </w:r>
      <w:r>
        <w:t>SFFAS</w:t>
      </w:r>
      <w:r>
        <w:rPr>
          <w:spacing w:val="-4"/>
        </w:rPr>
        <w:t xml:space="preserve"> </w:t>
      </w:r>
      <w:r>
        <w:t>4</w:t>
      </w:r>
      <w:r>
        <w:rPr>
          <w:spacing w:val="-4"/>
        </w:rPr>
        <w:t xml:space="preserve"> </w:t>
      </w:r>
      <w:r>
        <w:t>are</w:t>
      </w:r>
      <w:r>
        <w:rPr>
          <w:spacing w:val="-4"/>
        </w:rPr>
        <w:t xml:space="preserve"> </w:t>
      </w:r>
      <w:r>
        <w:t>relevant</w:t>
      </w:r>
      <w:r>
        <w:rPr>
          <w:spacing w:val="-4"/>
        </w:rPr>
        <w:t xml:space="preserve"> </w:t>
      </w:r>
      <w:r>
        <w:t>to</w:t>
      </w:r>
      <w:r>
        <w:rPr>
          <w:spacing w:val="-5"/>
        </w:rPr>
        <w:t xml:space="preserve"> </w:t>
      </w:r>
      <w:r>
        <w:t>managerial</w:t>
      </w:r>
      <w:r>
        <w:rPr>
          <w:spacing w:val="-4"/>
        </w:rPr>
        <w:t xml:space="preserve"> </w:t>
      </w:r>
      <w:r>
        <w:t>decision</w:t>
      </w:r>
      <w:r>
        <w:rPr>
          <w:spacing w:val="-4"/>
        </w:rPr>
        <w:t xml:space="preserve"> </w:t>
      </w:r>
      <w:r>
        <w:t>making</w:t>
      </w:r>
      <w:r>
        <w:rPr>
          <w:spacing w:val="-4"/>
        </w:rPr>
        <w:t xml:space="preserve"> </w:t>
      </w:r>
      <w:r>
        <w:t>and operations improvement, while some requirements are relevant to external financial reporting.</w:t>
      </w:r>
    </w:p>
    <w:p w14:paraId="0DFDC23E" w14:textId="77777777" w:rsidR="00046465" w:rsidRDefault="008134EB">
      <w:pPr>
        <w:pStyle w:val="ListParagraph"/>
        <w:numPr>
          <w:ilvl w:val="0"/>
          <w:numId w:val="6"/>
        </w:numPr>
        <w:tabs>
          <w:tab w:val="left" w:pos="1800"/>
        </w:tabs>
        <w:ind w:right="775"/>
      </w:pPr>
      <w:r>
        <w:t>The</w:t>
      </w:r>
      <w:r>
        <w:rPr>
          <w:spacing w:val="-2"/>
        </w:rPr>
        <w:t xml:space="preserve"> </w:t>
      </w:r>
      <w:r>
        <w:t>cost</w:t>
      </w:r>
      <w:r>
        <w:rPr>
          <w:spacing w:val="-2"/>
        </w:rPr>
        <w:t xml:space="preserve"> </w:t>
      </w:r>
      <w:r>
        <w:t>accounting</w:t>
      </w:r>
      <w:r>
        <w:rPr>
          <w:spacing w:val="-2"/>
        </w:rPr>
        <w:t xml:space="preserve"> </w:t>
      </w:r>
      <w:r>
        <w:t>concepts</w:t>
      </w:r>
      <w:r>
        <w:rPr>
          <w:spacing w:val="-2"/>
        </w:rPr>
        <w:t xml:space="preserve"> </w:t>
      </w:r>
      <w:r>
        <w:t>section</w:t>
      </w:r>
      <w:r>
        <w:rPr>
          <w:spacing w:val="-2"/>
        </w:rPr>
        <w:t xml:space="preserve"> </w:t>
      </w:r>
      <w:r>
        <w:t>of</w:t>
      </w:r>
      <w:r>
        <w:rPr>
          <w:spacing w:val="-2"/>
        </w:rPr>
        <w:t xml:space="preserve"> </w:t>
      </w:r>
      <w:r>
        <w:t>SFFAS</w:t>
      </w:r>
      <w:r>
        <w:rPr>
          <w:spacing w:val="-2"/>
        </w:rPr>
        <w:t xml:space="preserve"> </w:t>
      </w:r>
      <w:r>
        <w:t>4</w:t>
      </w:r>
      <w:r>
        <w:rPr>
          <w:spacing w:val="-2"/>
        </w:rPr>
        <w:t xml:space="preserve"> </w:t>
      </w:r>
      <w:r>
        <w:t>(paras.</w:t>
      </w:r>
      <w:r>
        <w:rPr>
          <w:spacing w:val="-2"/>
        </w:rPr>
        <w:t xml:space="preserve"> </w:t>
      </w:r>
      <w:r>
        <w:t>41-66)</w:t>
      </w:r>
      <w:r>
        <w:rPr>
          <w:spacing w:val="-2"/>
        </w:rPr>
        <w:t xml:space="preserve"> </w:t>
      </w:r>
      <w:r>
        <w:t>establishes</w:t>
      </w:r>
      <w:r>
        <w:rPr>
          <w:spacing w:val="-2"/>
        </w:rPr>
        <w:t xml:space="preserve"> </w:t>
      </w:r>
      <w:r>
        <w:t>the overall</w:t>
      </w:r>
      <w:r>
        <w:rPr>
          <w:spacing w:val="-4"/>
        </w:rPr>
        <w:t xml:space="preserve"> </w:t>
      </w:r>
      <w:r>
        <w:t>goals</w:t>
      </w:r>
      <w:r>
        <w:rPr>
          <w:spacing w:val="-4"/>
        </w:rPr>
        <w:t xml:space="preserve"> </w:t>
      </w:r>
      <w:r>
        <w:t>of</w:t>
      </w:r>
      <w:r>
        <w:rPr>
          <w:spacing w:val="-4"/>
        </w:rPr>
        <w:t xml:space="preserve"> </w:t>
      </w:r>
      <w:r>
        <w:t>cost</w:t>
      </w:r>
      <w:r>
        <w:rPr>
          <w:spacing w:val="-4"/>
        </w:rPr>
        <w:t xml:space="preserve"> </w:t>
      </w:r>
      <w:r>
        <w:t>accounting</w:t>
      </w:r>
      <w:r>
        <w:rPr>
          <w:spacing w:val="-4"/>
        </w:rPr>
        <w:t xml:space="preserve"> </w:t>
      </w:r>
      <w:r>
        <w:t>for</w:t>
      </w:r>
      <w:r>
        <w:rPr>
          <w:spacing w:val="-4"/>
        </w:rPr>
        <w:t xml:space="preserve"> </w:t>
      </w:r>
      <w:r>
        <w:t>federal</w:t>
      </w:r>
      <w:r>
        <w:rPr>
          <w:spacing w:val="-4"/>
        </w:rPr>
        <w:t xml:space="preserve"> </w:t>
      </w:r>
      <w:r>
        <w:t>agencies.</w:t>
      </w:r>
      <w:r>
        <w:rPr>
          <w:spacing w:val="-4"/>
        </w:rPr>
        <w:t xml:space="preserve"> </w:t>
      </w:r>
      <w:r>
        <w:t>Managerial</w:t>
      </w:r>
      <w:r>
        <w:rPr>
          <w:spacing w:val="-4"/>
        </w:rPr>
        <w:t xml:space="preserve"> </w:t>
      </w:r>
      <w:r>
        <w:t>cost</w:t>
      </w:r>
      <w:r>
        <w:rPr>
          <w:spacing w:val="-5"/>
        </w:rPr>
        <w:t xml:space="preserve"> </w:t>
      </w:r>
      <w:r>
        <w:t>accounting should be a fundamental part of the financial management system and, to the extent practicable, be integrated with the other parts of the system. Managerial costing should use a basis of accounting, recognition, and measurement that is appropriate for the intended purpose. Cost information developed for various purposes should be drawn from a common data source, and output reports should be reconcilable to each other.</w:t>
      </w:r>
    </w:p>
    <w:p w14:paraId="0DFDC23F" w14:textId="77777777" w:rsidR="00046465" w:rsidRDefault="008134EB">
      <w:pPr>
        <w:pStyle w:val="ListParagraph"/>
        <w:numPr>
          <w:ilvl w:val="0"/>
          <w:numId w:val="6"/>
        </w:numPr>
        <w:tabs>
          <w:tab w:val="left" w:pos="1800"/>
        </w:tabs>
        <w:ind w:right="800"/>
      </w:pPr>
      <w:r>
        <w:t>The five fundamental standards for managerial cost accounting set forth in SFFAS</w:t>
      </w:r>
      <w:r>
        <w:rPr>
          <w:spacing w:val="-4"/>
        </w:rPr>
        <w:t xml:space="preserve"> </w:t>
      </w:r>
      <w:r>
        <w:t>4</w:t>
      </w:r>
      <w:r>
        <w:rPr>
          <w:spacing w:val="-4"/>
        </w:rPr>
        <w:t xml:space="preserve"> </w:t>
      </w:r>
      <w:r>
        <w:t>(paras.</w:t>
      </w:r>
      <w:r>
        <w:rPr>
          <w:spacing w:val="-4"/>
        </w:rPr>
        <w:t xml:space="preserve"> </w:t>
      </w:r>
      <w:r>
        <w:t>67-162)</w:t>
      </w:r>
      <w:r>
        <w:rPr>
          <w:spacing w:val="-4"/>
        </w:rPr>
        <w:t xml:space="preserve"> </w:t>
      </w:r>
      <w:r>
        <w:t>are</w:t>
      </w:r>
      <w:r>
        <w:rPr>
          <w:spacing w:val="-4"/>
        </w:rPr>
        <w:t xml:space="preserve"> </w:t>
      </w:r>
      <w:r>
        <w:t>important</w:t>
      </w:r>
      <w:r>
        <w:rPr>
          <w:spacing w:val="-4"/>
        </w:rPr>
        <w:t xml:space="preserve"> </w:t>
      </w:r>
      <w:r>
        <w:t>for</w:t>
      </w:r>
      <w:r>
        <w:rPr>
          <w:spacing w:val="-4"/>
        </w:rPr>
        <w:t xml:space="preserve"> </w:t>
      </w:r>
      <w:r>
        <w:t>the</w:t>
      </w:r>
      <w:r>
        <w:rPr>
          <w:spacing w:val="-5"/>
        </w:rPr>
        <w:t xml:space="preserve"> </w:t>
      </w:r>
      <w:r>
        <w:t>auditor.</w:t>
      </w:r>
      <w:r>
        <w:rPr>
          <w:spacing w:val="-4"/>
        </w:rPr>
        <w:t xml:space="preserve"> </w:t>
      </w:r>
      <w:r>
        <w:t>These</w:t>
      </w:r>
      <w:r>
        <w:rPr>
          <w:spacing w:val="-4"/>
        </w:rPr>
        <w:t xml:space="preserve"> </w:t>
      </w:r>
      <w:r>
        <w:t>standards</w:t>
      </w:r>
      <w:r>
        <w:rPr>
          <w:spacing w:val="-4"/>
        </w:rPr>
        <w:t xml:space="preserve"> </w:t>
      </w:r>
      <w:r>
        <w:t>will</w:t>
      </w:r>
      <w:r>
        <w:rPr>
          <w:spacing w:val="-4"/>
        </w:rPr>
        <w:t xml:space="preserve"> </w:t>
      </w:r>
      <w:r>
        <w:t>lead to the development of accurate and consistent cost information for internal and external reporting by federal agencies. The five standards are as follows:</w:t>
      </w:r>
    </w:p>
    <w:p w14:paraId="0DFDC240" w14:textId="77777777" w:rsidR="00046465" w:rsidRDefault="008134EB">
      <w:pPr>
        <w:pStyle w:val="ListParagraph"/>
        <w:numPr>
          <w:ilvl w:val="1"/>
          <w:numId w:val="6"/>
        </w:numPr>
        <w:tabs>
          <w:tab w:val="left" w:pos="2160"/>
        </w:tabs>
        <w:ind w:left="2160" w:right="892"/>
      </w:pPr>
      <w:r>
        <w:rPr>
          <w:u w:val="single"/>
        </w:rPr>
        <w:t>Requirement</w:t>
      </w:r>
      <w:r>
        <w:rPr>
          <w:spacing w:val="-4"/>
          <w:u w:val="single"/>
        </w:rPr>
        <w:t xml:space="preserve"> </w:t>
      </w:r>
      <w:r>
        <w:rPr>
          <w:u w:val="single"/>
        </w:rPr>
        <w:t>for</w:t>
      </w:r>
      <w:r>
        <w:rPr>
          <w:spacing w:val="-4"/>
          <w:u w:val="single"/>
        </w:rPr>
        <w:t xml:space="preserve"> </w:t>
      </w:r>
      <w:r>
        <w:rPr>
          <w:u w:val="single"/>
        </w:rPr>
        <w:t>cost</w:t>
      </w:r>
      <w:r>
        <w:rPr>
          <w:spacing w:val="-4"/>
          <w:u w:val="single"/>
        </w:rPr>
        <w:t xml:space="preserve"> </w:t>
      </w:r>
      <w:r>
        <w:rPr>
          <w:u w:val="single"/>
        </w:rPr>
        <w:t>accounting</w:t>
      </w:r>
      <w:r>
        <w:t>:</w:t>
      </w:r>
      <w:r>
        <w:rPr>
          <w:spacing w:val="-4"/>
        </w:rPr>
        <w:t xml:space="preserve"> </w:t>
      </w:r>
      <w:r>
        <w:t>Each</w:t>
      </w:r>
      <w:r>
        <w:rPr>
          <w:spacing w:val="-4"/>
        </w:rPr>
        <w:t xml:space="preserve"> </w:t>
      </w:r>
      <w:r>
        <w:t>reporting</w:t>
      </w:r>
      <w:r>
        <w:rPr>
          <w:spacing w:val="-5"/>
        </w:rPr>
        <w:t xml:space="preserve"> </w:t>
      </w:r>
      <w:r>
        <w:t>entity</w:t>
      </w:r>
      <w:r>
        <w:rPr>
          <w:spacing w:val="-4"/>
        </w:rPr>
        <w:t xml:space="preserve"> </w:t>
      </w:r>
      <w:r>
        <w:t>is</w:t>
      </w:r>
      <w:r>
        <w:rPr>
          <w:spacing w:val="-5"/>
        </w:rPr>
        <w:t xml:space="preserve"> </w:t>
      </w:r>
      <w:r>
        <w:t>to</w:t>
      </w:r>
      <w:r>
        <w:rPr>
          <w:spacing w:val="-4"/>
        </w:rPr>
        <w:t xml:space="preserve"> </w:t>
      </w:r>
      <w:r>
        <w:t>accumulate</w:t>
      </w:r>
      <w:r>
        <w:rPr>
          <w:spacing w:val="-4"/>
        </w:rPr>
        <w:t xml:space="preserve"> </w:t>
      </w:r>
      <w:r>
        <w:t>and regularly report the cost of its activities for management information.</w:t>
      </w:r>
    </w:p>
    <w:p w14:paraId="0DFDC241" w14:textId="77777777" w:rsidR="00046465" w:rsidRDefault="008134EB">
      <w:pPr>
        <w:pStyle w:val="ListParagraph"/>
        <w:numPr>
          <w:ilvl w:val="1"/>
          <w:numId w:val="6"/>
        </w:numPr>
        <w:tabs>
          <w:tab w:val="left" w:pos="2160"/>
        </w:tabs>
        <w:spacing w:before="119"/>
        <w:ind w:left="2160" w:right="783"/>
        <w:rPr>
          <w:position w:val="7"/>
          <w:sz w:val="14"/>
        </w:rPr>
      </w:pPr>
      <w:r>
        <w:rPr>
          <w:u w:val="single"/>
        </w:rPr>
        <w:t>Responsibility segments</w:t>
      </w:r>
      <w:r>
        <w:t>: Management of each reporting entity is to define and</w:t>
      </w:r>
      <w:r>
        <w:rPr>
          <w:spacing w:val="-4"/>
        </w:rPr>
        <w:t xml:space="preserve"> </w:t>
      </w:r>
      <w:r>
        <w:t>establish</w:t>
      </w:r>
      <w:r>
        <w:rPr>
          <w:spacing w:val="-4"/>
        </w:rPr>
        <w:t xml:space="preserve"> </w:t>
      </w:r>
      <w:r>
        <w:t>responsibility</w:t>
      </w:r>
      <w:r>
        <w:rPr>
          <w:spacing w:val="-4"/>
        </w:rPr>
        <w:t xml:space="preserve"> </w:t>
      </w:r>
      <w:r>
        <w:t>segments</w:t>
      </w:r>
      <w:r>
        <w:rPr>
          <w:spacing w:val="-4"/>
        </w:rPr>
        <w:t xml:space="preserve"> </w:t>
      </w:r>
      <w:r>
        <w:t>and</w:t>
      </w:r>
      <w:r>
        <w:rPr>
          <w:spacing w:val="-4"/>
        </w:rPr>
        <w:t xml:space="preserve"> </w:t>
      </w:r>
      <w:r>
        <w:t>report</w:t>
      </w:r>
      <w:r>
        <w:rPr>
          <w:spacing w:val="-5"/>
        </w:rPr>
        <w:t xml:space="preserve"> </w:t>
      </w:r>
      <w:r>
        <w:t>the</w:t>
      </w:r>
      <w:r>
        <w:rPr>
          <w:spacing w:val="-4"/>
        </w:rPr>
        <w:t xml:space="preserve"> </w:t>
      </w:r>
      <w:r>
        <w:t>costs</w:t>
      </w:r>
      <w:r>
        <w:rPr>
          <w:spacing w:val="-5"/>
        </w:rPr>
        <w:t xml:space="preserve"> </w:t>
      </w:r>
      <w:r>
        <w:t>of</w:t>
      </w:r>
      <w:r>
        <w:rPr>
          <w:spacing w:val="-5"/>
        </w:rPr>
        <w:t xml:space="preserve"> </w:t>
      </w:r>
      <w:r>
        <w:t>each</w:t>
      </w:r>
      <w:r>
        <w:rPr>
          <w:spacing w:val="-4"/>
        </w:rPr>
        <w:t xml:space="preserve"> </w:t>
      </w:r>
      <w:r>
        <w:t xml:space="preserve">segment’s </w:t>
      </w:r>
      <w:r>
        <w:rPr>
          <w:spacing w:val="-2"/>
        </w:rPr>
        <w:t>outputs.</w:t>
      </w:r>
      <w:hyperlink w:anchor="_bookmark159" w:history="1">
        <w:r>
          <w:rPr>
            <w:spacing w:val="-2"/>
            <w:position w:val="7"/>
            <w:sz w:val="14"/>
          </w:rPr>
          <w:t>18</w:t>
        </w:r>
      </w:hyperlink>
    </w:p>
    <w:p w14:paraId="0DFDC242" w14:textId="77777777" w:rsidR="00046465" w:rsidRDefault="008134EB">
      <w:pPr>
        <w:pStyle w:val="ListParagraph"/>
        <w:numPr>
          <w:ilvl w:val="1"/>
          <w:numId w:val="6"/>
        </w:numPr>
        <w:tabs>
          <w:tab w:val="left" w:pos="2158"/>
          <w:tab w:val="left" w:pos="2160"/>
        </w:tabs>
        <w:spacing w:before="121"/>
        <w:ind w:left="2160" w:right="792" w:hanging="361"/>
      </w:pPr>
      <w:r>
        <w:rPr>
          <w:u w:val="single"/>
        </w:rPr>
        <w:t>Full costs</w:t>
      </w:r>
      <w:r>
        <w:t>: Reporting entities are to report the full costs of outputs, which is the</w:t>
      </w:r>
      <w:r>
        <w:rPr>
          <w:spacing w:val="-3"/>
        </w:rPr>
        <w:t xml:space="preserve"> </w:t>
      </w:r>
      <w:r>
        <w:t>total</w:t>
      </w:r>
      <w:r>
        <w:rPr>
          <w:spacing w:val="-4"/>
        </w:rPr>
        <w:t xml:space="preserve"> </w:t>
      </w:r>
      <w:r>
        <w:t>amount</w:t>
      </w:r>
      <w:r>
        <w:rPr>
          <w:spacing w:val="-3"/>
        </w:rPr>
        <w:t xml:space="preserve"> </w:t>
      </w:r>
      <w:r>
        <w:t>of</w:t>
      </w:r>
      <w:r>
        <w:rPr>
          <w:spacing w:val="-4"/>
        </w:rPr>
        <w:t xml:space="preserve"> </w:t>
      </w:r>
      <w:r>
        <w:t>resources</w:t>
      </w:r>
      <w:r>
        <w:rPr>
          <w:spacing w:val="-3"/>
        </w:rPr>
        <w:t xml:space="preserve"> </w:t>
      </w:r>
      <w:r>
        <w:t>used</w:t>
      </w:r>
      <w:r>
        <w:rPr>
          <w:spacing w:val="-4"/>
        </w:rPr>
        <w:t xml:space="preserve"> </w:t>
      </w:r>
      <w:r>
        <w:t>to</w:t>
      </w:r>
      <w:r>
        <w:rPr>
          <w:spacing w:val="-3"/>
        </w:rPr>
        <w:t xml:space="preserve"> </w:t>
      </w:r>
      <w:r>
        <w:t>produce</w:t>
      </w:r>
      <w:r>
        <w:rPr>
          <w:spacing w:val="-4"/>
        </w:rPr>
        <w:t xml:space="preserve"> </w:t>
      </w:r>
      <w:r>
        <w:t>an</w:t>
      </w:r>
      <w:r>
        <w:rPr>
          <w:spacing w:val="-3"/>
        </w:rPr>
        <w:t xml:space="preserve"> </w:t>
      </w:r>
      <w:r>
        <w:t>output,</w:t>
      </w:r>
      <w:r>
        <w:rPr>
          <w:spacing w:val="-4"/>
        </w:rPr>
        <w:t xml:space="preserve"> </w:t>
      </w:r>
      <w:r>
        <w:t>including</w:t>
      </w:r>
      <w:r>
        <w:rPr>
          <w:spacing w:val="-3"/>
        </w:rPr>
        <w:t xml:space="preserve"> </w:t>
      </w:r>
      <w:r>
        <w:t>direct</w:t>
      </w:r>
      <w:r>
        <w:rPr>
          <w:spacing w:val="-4"/>
        </w:rPr>
        <w:t xml:space="preserve"> </w:t>
      </w:r>
      <w:r>
        <w:t>and indirect costs.</w:t>
      </w:r>
    </w:p>
    <w:p w14:paraId="0DFDC243" w14:textId="77777777" w:rsidR="00046465" w:rsidRDefault="008134EB">
      <w:pPr>
        <w:pStyle w:val="ListParagraph"/>
        <w:numPr>
          <w:ilvl w:val="2"/>
          <w:numId w:val="6"/>
        </w:numPr>
        <w:tabs>
          <w:tab w:val="left" w:pos="2519"/>
        </w:tabs>
        <w:ind w:right="847"/>
      </w:pPr>
      <w:r>
        <w:rPr>
          <w:u w:val="single"/>
        </w:rPr>
        <w:t>Nonproduction</w:t>
      </w:r>
      <w:r>
        <w:rPr>
          <w:spacing w:val="-5"/>
          <w:u w:val="single"/>
        </w:rPr>
        <w:t xml:space="preserve"> </w:t>
      </w:r>
      <w:r>
        <w:rPr>
          <w:u w:val="single"/>
        </w:rPr>
        <w:t>costs</w:t>
      </w:r>
      <w:r>
        <w:t>:</w:t>
      </w:r>
      <w:r>
        <w:rPr>
          <w:spacing w:val="-5"/>
        </w:rPr>
        <w:t xml:space="preserve"> </w:t>
      </w:r>
      <w:r>
        <w:t>Per</w:t>
      </w:r>
      <w:r>
        <w:rPr>
          <w:spacing w:val="-5"/>
        </w:rPr>
        <w:t xml:space="preserve"> </w:t>
      </w:r>
      <w:r>
        <w:t>SFFAS</w:t>
      </w:r>
      <w:r>
        <w:rPr>
          <w:spacing w:val="-5"/>
        </w:rPr>
        <w:t xml:space="preserve"> </w:t>
      </w:r>
      <w:r>
        <w:t>4,</w:t>
      </w:r>
      <w:r>
        <w:rPr>
          <w:spacing w:val="-4"/>
        </w:rPr>
        <w:t xml:space="preserve"> </w:t>
      </w:r>
      <w:r>
        <w:t>paragraph</w:t>
      </w:r>
      <w:r>
        <w:rPr>
          <w:spacing w:val="-5"/>
        </w:rPr>
        <w:t xml:space="preserve"> </w:t>
      </w:r>
      <w:r>
        <w:t>104,</w:t>
      </w:r>
      <w:r>
        <w:rPr>
          <w:spacing w:val="-5"/>
        </w:rPr>
        <w:t xml:space="preserve"> </w:t>
      </w:r>
      <w:r>
        <w:t>nonproduction</w:t>
      </w:r>
      <w:r>
        <w:rPr>
          <w:spacing w:val="-5"/>
        </w:rPr>
        <w:t xml:space="preserve"> </w:t>
      </w:r>
      <w:r>
        <w:t>costs are costs linked to events other than the production of goods and services. Examples include other post-employment benefits,</w:t>
      </w:r>
      <w:hyperlink w:anchor="_bookmark160" w:history="1">
        <w:r>
          <w:rPr>
            <w:position w:val="7"/>
            <w:sz w:val="14"/>
          </w:rPr>
          <w:t>19</w:t>
        </w:r>
      </w:hyperlink>
      <w:r>
        <w:rPr>
          <w:spacing w:val="40"/>
          <w:position w:val="7"/>
          <w:sz w:val="14"/>
        </w:rPr>
        <w:t xml:space="preserve"> </w:t>
      </w:r>
      <w:r>
        <w:t xml:space="preserve">reorganization, and certain nonrecurring cleanup costs. SFFAS 4, paragraph 104, states that assigning nonproduction costs to goods or services produced would distort production costs. Also, OMB Circular A-136 requires that material nonproduction costs be disclosed in a note to the financial statements or separately reported on the statement of net </w:t>
      </w:r>
      <w:r>
        <w:rPr>
          <w:spacing w:val="-2"/>
        </w:rPr>
        <w:t>cost.</w:t>
      </w:r>
    </w:p>
    <w:p w14:paraId="0DFDC244" w14:textId="77777777" w:rsidR="00046465" w:rsidRDefault="008134EB">
      <w:pPr>
        <w:pStyle w:val="ListParagraph"/>
        <w:numPr>
          <w:ilvl w:val="1"/>
          <w:numId w:val="6"/>
        </w:numPr>
        <w:tabs>
          <w:tab w:val="left" w:pos="2160"/>
        </w:tabs>
        <w:spacing w:before="118"/>
        <w:ind w:left="2160" w:right="830"/>
      </w:pPr>
      <w:r>
        <w:rPr>
          <w:u w:val="single"/>
        </w:rPr>
        <w:t>Inter-entity</w:t>
      </w:r>
      <w:r>
        <w:rPr>
          <w:spacing w:val="-1"/>
          <w:u w:val="single"/>
        </w:rPr>
        <w:t xml:space="preserve"> </w:t>
      </w:r>
      <w:r>
        <w:rPr>
          <w:u w:val="single"/>
        </w:rPr>
        <w:t>costs</w:t>
      </w:r>
      <w:r>
        <w:t>:</w:t>
      </w:r>
      <w:r>
        <w:rPr>
          <w:spacing w:val="-1"/>
        </w:rPr>
        <w:t xml:space="preserve"> </w:t>
      </w:r>
      <w:r>
        <w:t>Each</w:t>
      </w:r>
      <w:r>
        <w:rPr>
          <w:spacing w:val="-1"/>
        </w:rPr>
        <w:t xml:space="preserve"> </w:t>
      </w:r>
      <w:r>
        <w:t>entity’s</w:t>
      </w:r>
      <w:r>
        <w:rPr>
          <w:spacing w:val="-2"/>
        </w:rPr>
        <w:t xml:space="preserve"> </w:t>
      </w:r>
      <w:r>
        <w:t>costs</w:t>
      </w:r>
      <w:r>
        <w:rPr>
          <w:spacing w:val="-2"/>
        </w:rPr>
        <w:t xml:space="preserve"> </w:t>
      </w:r>
      <w:r>
        <w:t>are</w:t>
      </w:r>
      <w:r>
        <w:rPr>
          <w:spacing w:val="-1"/>
        </w:rPr>
        <w:t xml:space="preserve"> </w:t>
      </w:r>
      <w:r>
        <w:t>to</w:t>
      </w:r>
      <w:r>
        <w:rPr>
          <w:spacing w:val="-1"/>
        </w:rPr>
        <w:t xml:space="preserve"> </w:t>
      </w:r>
      <w:r>
        <w:t>incorporate</w:t>
      </w:r>
      <w:r>
        <w:rPr>
          <w:spacing w:val="-1"/>
        </w:rPr>
        <w:t xml:space="preserve"> </w:t>
      </w:r>
      <w:r>
        <w:t>the</w:t>
      </w:r>
      <w:r>
        <w:rPr>
          <w:spacing w:val="-1"/>
        </w:rPr>
        <w:t xml:space="preserve"> </w:t>
      </w:r>
      <w:r>
        <w:t>full</w:t>
      </w:r>
      <w:r>
        <w:rPr>
          <w:spacing w:val="-2"/>
        </w:rPr>
        <w:t xml:space="preserve"> </w:t>
      </w:r>
      <w:r>
        <w:t>cost</w:t>
      </w:r>
      <w:r>
        <w:rPr>
          <w:spacing w:val="-1"/>
        </w:rPr>
        <w:t xml:space="preserve"> </w:t>
      </w:r>
      <w:r>
        <w:t>of</w:t>
      </w:r>
      <w:r>
        <w:rPr>
          <w:spacing w:val="-1"/>
        </w:rPr>
        <w:t xml:space="preserve"> </w:t>
      </w:r>
      <w:r>
        <w:t>goods and services received from other entities. SFFAS 55 allows flexibility for reporting imputed costs for non-business activities. Specifically, with the exception of imputed inter-entity costs for personnel benefits and the Treasury Judgment Fund settlements or as otherwise directed by the Office of</w:t>
      </w:r>
      <w:r>
        <w:rPr>
          <w:spacing w:val="-4"/>
        </w:rPr>
        <w:t xml:space="preserve"> </w:t>
      </w:r>
      <w:r>
        <w:t>Management</w:t>
      </w:r>
      <w:r>
        <w:rPr>
          <w:spacing w:val="-4"/>
        </w:rPr>
        <w:t xml:space="preserve"> </w:t>
      </w:r>
      <w:r>
        <w:t>and</w:t>
      </w:r>
      <w:r>
        <w:rPr>
          <w:spacing w:val="-4"/>
        </w:rPr>
        <w:t xml:space="preserve"> </w:t>
      </w:r>
      <w:r>
        <w:t>Budget,</w:t>
      </w:r>
      <w:r>
        <w:rPr>
          <w:spacing w:val="-4"/>
        </w:rPr>
        <w:t xml:space="preserve"> </w:t>
      </w:r>
      <w:r>
        <w:t>imputed</w:t>
      </w:r>
      <w:r>
        <w:rPr>
          <w:spacing w:val="-4"/>
        </w:rPr>
        <w:t xml:space="preserve"> </w:t>
      </w:r>
      <w:r>
        <w:t>inter-entity</w:t>
      </w:r>
      <w:r>
        <w:rPr>
          <w:spacing w:val="-5"/>
        </w:rPr>
        <w:t xml:space="preserve"> </w:t>
      </w:r>
      <w:r>
        <w:t>costs</w:t>
      </w:r>
      <w:r>
        <w:rPr>
          <w:spacing w:val="-4"/>
        </w:rPr>
        <w:t xml:space="preserve"> </w:t>
      </w:r>
      <w:r>
        <w:t>for</w:t>
      </w:r>
      <w:r>
        <w:rPr>
          <w:spacing w:val="-4"/>
        </w:rPr>
        <w:t xml:space="preserve"> </w:t>
      </w:r>
      <w:r>
        <w:t>non-business</w:t>
      </w:r>
      <w:r>
        <w:rPr>
          <w:spacing w:val="-5"/>
        </w:rPr>
        <w:t xml:space="preserve"> </w:t>
      </w:r>
      <w:r>
        <w:t>type activities are not required to be recognized. Although not required to do so,</w:t>
      </w:r>
    </w:p>
    <w:p w14:paraId="0DFDC245" w14:textId="77777777" w:rsidR="00046465" w:rsidRDefault="008134EB">
      <w:pPr>
        <w:pStyle w:val="BodyText"/>
        <w:spacing w:before="200"/>
        <w:rPr>
          <w:sz w:val="20"/>
        </w:rPr>
      </w:pPr>
      <w:r>
        <w:rPr>
          <w:noProof/>
          <w:sz w:val="20"/>
        </w:rPr>
        <mc:AlternateContent>
          <mc:Choice Requires="wps">
            <w:drawing>
              <wp:anchor distT="0" distB="0" distL="0" distR="0" simplePos="0" relativeHeight="487720448" behindDoc="1" locked="0" layoutInCell="1" allowOverlap="1" wp14:anchorId="0DFDD719" wp14:editId="0DFDD71A">
                <wp:simplePos x="0" y="0"/>
                <wp:positionH relativeFrom="page">
                  <wp:posOffset>914400</wp:posOffset>
                </wp:positionH>
                <wp:positionV relativeFrom="paragraph">
                  <wp:posOffset>288376</wp:posOffset>
                </wp:positionV>
                <wp:extent cx="1828800" cy="5715"/>
                <wp:effectExtent l="0" t="0" r="0" b="0"/>
                <wp:wrapTopAndBottom/>
                <wp:docPr id="934" name="Graphic 9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B6CD34" id="Graphic 934" o:spid="_x0000_s1026" style="position:absolute;margin-left:1in;margin-top:22.7pt;width:2in;height:.45pt;z-index:-1559603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" path="m1828800,l,,,5321r1828800,l1828800,xe" fillcolor="black" stroked="f">
                <v:path arrowok="t"/>
                <w10:wrap type="topAndBottom" anchorx="page"/>
              </v:shape>
            </w:pict>
          </mc:Fallback>
        </mc:AlternateContent>
      </w:r>
    </w:p>
    <w:p w14:paraId="0DFDC246" w14:textId="77777777" w:rsidR="00046465" w:rsidRDefault="00046465">
      <w:pPr>
        <w:pStyle w:val="BodyText"/>
        <w:spacing w:before="53"/>
        <w:rPr>
          <w:sz w:val="18"/>
        </w:rPr>
      </w:pPr>
    </w:p>
    <w:p w14:paraId="0DFDC247" w14:textId="77777777" w:rsidR="00046465" w:rsidRDefault="008134EB">
      <w:pPr>
        <w:spacing w:line="249" w:lineRule="auto"/>
        <w:ind w:left="359" w:right="749"/>
        <w:rPr>
          <w:sz w:val="18"/>
        </w:rPr>
      </w:pPr>
      <w:bookmarkStart w:id="282" w:name="_bookmark159"/>
      <w:bookmarkEnd w:id="282"/>
      <w:r>
        <w:rPr>
          <w:position w:val="7"/>
          <w:sz w:val="14"/>
        </w:rPr>
        <w:t>18</w:t>
      </w:r>
      <w:r>
        <w:rPr>
          <w:sz w:val="18"/>
        </w:rPr>
        <w:t>OMB</w:t>
      </w:r>
      <w:r>
        <w:rPr>
          <w:spacing w:val="-3"/>
          <w:sz w:val="18"/>
        </w:rPr>
        <w:t xml:space="preserve"> </w:t>
      </w:r>
      <w:r>
        <w:rPr>
          <w:sz w:val="18"/>
        </w:rPr>
        <w:t>Circular</w:t>
      </w:r>
      <w:r>
        <w:rPr>
          <w:spacing w:val="-2"/>
          <w:sz w:val="18"/>
        </w:rPr>
        <w:t xml:space="preserve"> </w:t>
      </w:r>
      <w:r>
        <w:rPr>
          <w:sz w:val="18"/>
        </w:rPr>
        <w:t>No.</w:t>
      </w:r>
      <w:r>
        <w:rPr>
          <w:spacing w:val="-3"/>
          <w:sz w:val="18"/>
        </w:rPr>
        <w:t xml:space="preserve"> </w:t>
      </w:r>
      <w:r>
        <w:rPr>
          <w:sz w:val="18"/>
        </w:rPr>
        <w:t>A-136,</w:t>
      </w:r>
      <w:r>
        <w:rPr>
          <w:spacing w:val="-3"/>
          <w:sz w:val="18"/>
        </w:rPr>
        <w:t xml:space="preserve"> </w:t>
      </w:r>
      <w:r>
        <w:rPr>
          <w:i/>
          <w:sz w:val="18"/>
        </w:rPr>
        <w:t>Financial</w:t>
      </w:r>
      <w:r>
        <w:rPr>
          <w:i/>
          <w:spacing w:val="-3"/>
          <w:sz w:val="18"/>
        </w:rPr>
        <w:t xml:space="preserve"> </w:t>
      </w:r>
      <w:r>
        <w:rPr>
          <w:i/>
          <w:sz w:val="18"/>
        </w:rPr>
        <w:t>Reporting</w:t>
      </w:r>
      <w:r>
        <w:rPr>
          <w:i/>
          <w:spacing w:val="-4"/>
          <w:sz w:val="18"/>
        </w:rPr>
        <w:t xml:space="preserve"> </w:t>
      </w:r>
      <w:r>
        <w:rPr>
          <w:i/>
          <w:sz w:val="18"/>
        </w:rPr>
        <w:t>Requirements</w:t>
      </w:r>
      <w:r>
        <w:rPr>
          <w:sz w:val="18"/>
        </w:rPr>
        <w:t>,</w:t>
      </w:r>
      <w:r>
        <w:rPr>
          <w:spacing w:val="-3"/>
          <w:sz w:val="18"/>
        </w:rPr>
        <w:t xml:space="preserve"> </w:t>
      </w:r>
      <w:r>
        <w:rPr>
          <w:sz w:val="18"/>
        </w:rPr>
        <w:t>indicates</w:t>
      </w:r>
      <w:r>
        <w:rPr>
          <w:spacing w:val="-3"/>
          <w:sz w:val="18"/>
        </w:rPr>
        <w:t xml:space="preserve"> </w:t>
      </w:r>
      <w:r>
        <w:rPr>
          <w:sz w:val="18"/>
        </w:rPr>
        <w:t>that</w:t>
      </w:r>
      <w:r>
        <w:rPr>
          <w:spacing w:val="-3"/>
          <w:sz w:val="18"/>
        </w:rPr>
        <w:t xml:space="preserve"> </w:t>
      </w:r>
      <w:r>
        <w:rPr>
          <w:sz w:val="18"/>
        </w:rPr>
        <w:t>entities</w:t>
      </w:r>
      <w:r>
        <w:rPr>
          <w:spacing w:val="-3"/>
          <w:sz w:val="18"/>
        </w:rPr>
        <w:t xml:space="preserve"> </w:t>
      </w:r>
      <w:r>
        <w:rPr>
          <w:sz w:val="18"/>
        </w:rPr>
        <w:t>should</w:t>
      </w:r>
      <w:r>
        <w:rPr>
          <w:spacing w:val="-4"/>
          <w:sz w:val="18"/>
        </w:rPr>
        <w:t xml:space="preserve"> </w:t>
      </w:r>
      <w:r>
        <w:rPr>
          <w:sz w:val="18"/>
        </w:rPr>
        <w:t>report</w:t>
      </w:r>
      <w:r>
        <w:rPr>
          <w:spacing w:val="-3"/>
          <w:sz w:val="18"/>
        </w:rPr>
        <w:t xml:space="preserve"> </w:t>
      </w:r>
      <w:r>
        <w:rPr>
          <w:sz w:val="18"/>
        </w:rPr>
        <w:t>costs</w:t>
      </w:r>
      <w:r>
        <w:rPr>
          <w:spacing w:val="-3"/>
          <w:sz w:val="18"/>
        </w:rPr>
        <w:t xml:space="preserve"> </w:t>
      </w:r>
      <w:r>
        <w:rPr>
          <w:sz w:val="18"/>
        </w:rPr>
        <w:t>by</w:t>
      </w:r>
      <w:r>
        <w:rPr>
          <w:spacing w:val="-3"/>
          <w:sz w:val="18"/>
        </w:rPr>
        <w:t xml:space="preserve"> </w:t>
      </w:r>
      <w:r>
        <w:rPr>
          <w:sz w:val="18"/>
        </w:rPr>
        <w:t>major program. Most view the terms “responsibility segment” and “major programs” as interchangeable.</w:t>
      </w:r>
    </w:p>
    <w:p w14:paraId="0DFDC248" w14:textId="77777777" w:rsidR="00046465" w:rsidRDefault="008134EB">
      <w:pPr>
        <w:spacing w:before="118" w:line="242" w:lineRule="auto"/>
        <w:ind w:left="360" w:right="749" w:hanging="1"/>
        <w:rPr>
          <w:sz w:val="18"/>
        </w:rPr>
      </w:pPr>
      <w:bookmarkStart w:id="283" w:name="_bookmark160"/>
      <w:bookmarkEnd w:id="283"/>
      <w:r>
        <w:rPr>
          <w:position w:val="7"/>
          <w:sz w:val="14"/>
        </w:rPr>
        <w:t>19</w:t>
      </w:r>
      <w:r>
        <w:rPr>
          <w:sz w:val="18"/>
        </w:rPr>
        <w:t>Other post-employment benefits are provided to former or inactive employees, their beneficiaries, and covered dependents</w:t>
      </w:r>
      <w:r>
        <w:rPr>
          <w:spacing w:val="-3"/>
          <w:sz w:val="18"/>
        </w:rPr>
        <w:t xml:space="preserve"> </w:t>
      </w:r>
      <w:r>
        <w:rPr>
          <w:sz w:val="18"/>
        </w:rPr>
        <w:t>outside</w:t>
      </w:r>
      <w:r>
        <w:rPr>
          <w:spacing w:val="-4"/>
          <w:sz w:val="18"/>
        </w:rPr>
        <w:t xml:space="preserve"> </w:t>
      </w:r>
      <w:r>
        <w:rPr>
          <w:sz w:val="18"/>
        </w:rPr>
        <w:t>pension</w:t>
      </w:r>
      <w:r>
        <w:rPr>
          <w:spacing w:val="-4"/>
          <w:sz w:val="18"/>
        </w:rPr>
        <w:t xml:space="preserve"> </w:t>
      </w:r>
      <w:r>
        <w:rPr>
          <w:sz w:val="18"/>
        </w:rPr>
        <w:t>or</w:t>
      </w:r>
      <w:r>
        <w:rPr>
          <w:spacing w:val="-3"/>
          <w:sz w:val="18"/>
        </w:rPr>
        <w:t xml:space="preserve"> </w:t>
      </w:r>
      <w:r>
        <w:rPr>
          <w:sz w:val="18"/>
        </w:rPr>
        <w:t>other</w:t>
      </w:r>
      <w:r>
        <w:rPr>
          <w:spacing w:val="-3"/>
          <w:sz w:val="18"/>
        </w:rPr>
        <w:t xml:space="preserve"> </w:t>
      </w:r>
      <w:r>
        <w:rPr>
          <w:sz w:val="18"/>
        </w:rPr>
        <w:t>retirement</w:t>
      </w:r>
      <w:r>
        <w:rPr>
          <w:spacing w:val="-3"/>
          <w:sz w:val="18"/>
        </w:rPr>
        <w:t xml:space="preserve"> </w:t>
      </w:r>
      <w:r>
        <w:rPr>
          <w:sz w:val="18"/>
        </w:rPr>
        <w:t>benefit</w:t>
      </w:r>
      <w:r>
        <w:rPr>
          <w:spacing w:val="-3"/>
          <w:sz w:val="18"/>
        </w:rPr>
        <w:t xml:space="preserve"> </w:t>
      </w:r>
      <w:r>
        <w:rPr>
          <w:sz w:val="18"/>
        </w:rPr>
        <w:t>plans.</w:t>
      </w:r>
      <w:r>
        <w:rPr>
          <w:spacing w:val="-3"/>
          <w:sz w:val="18"/>
        </w:rPr>
        <w:t xml:space="preserve"> </w:t>
      </w:r>
      <w:r>
        <w:rPr>
          <w:sz w:val="18"/>
        </w:rPr>
        <w:t>These</w:t>
      </w:r>
      <w:r>
        <w:rPr>
          <w:spacing w:val="-3"/>
          <w:sz w:val="18"/>
        </w:rPr>
        <w:t xml:space="preserve"> </w:t>
      </w:r>
      <w:r>
        <w:rPr>
          <w:sz w:val="18"/>
        </w:rPr>
        <w:t>benefits</w:t>
      </w:r>
      <w:r>
        <w:rPr>
          <w:spacing w:val="-3"/>
          <w:sz w:val="18"/>
        </w:rPr>
        <w:t xml:space="preserve"> </w:t>
      </w:r>
      <w:r>
        <w:rPr>
          <w:sz w:val="18"/>
        </w:rPr>
        <w:t>include</w:t>
      </w:r>
      <w:r>
        <w:rPr>
          <w:spacing w:val="-4"/>
          <w:sz w:val="18"/>
        </w:rPr>
        <w:t xml:space="preserve"> </w:t>
      </w:r>
      <w:r>
        <w:rPr>
          <w:sz w:val="18"/>
        </w:rPr>
        <w:t>special</w:t>
      </w:r>
      <w:r>
        <w:rPr>
          <w:spacing w:val="-4"/>
          <w:sz w:val="18"/>
        </w:rPr>
        <w:t xml:space="preserve"> </w:t>
      </w:r>
      <w:r>
        <w:rPr>
          <w:sz w:val="18"/>
        </w:rPr>
        <w:t>termination</w:t>
      </w:r>
      <w:r>
        <w:rPr>
          <w:spacing w:val="-4"/>
          <w:sz w:val="18"/>
        </w:rPr>
        <w:t xml:space="preserve"> </w:t>
      </w:r>
      <w:r>
        <w:rPr>
          <w:sz w:val="18"/>
        </w:rPr>
        <w:t>benefits (such as specially authorized separation incentive programs), salary continuation, severance benefits, and continuation of health care or other benefits.</w:t>
      </w:r>
    </w:p>
    <w:p w14:paraId="0DFDC249" w14:textId="77777777" w:rsidR="00046465" w:rsidRDefault="00046465">
      <w:pPr>
        <w:spacing w:line="242" w:lineRule="auto"/>
        <w:rPr>
          <w:sz w:val="18"/>
        </w:rPr>
        <w:sectPr w:rsidR="00046465">
          <w:pgSz w:w="12240" w:h="15840"/>
          <w:pgMar w:top="1340" w:right="720" w:bottom="940" w:left="1080" w:header="721" w:footer="757" w:gutter="0"/>
          <w:cols w:space="720"/>
        </w:sectPr>
      </w:pPr>
    </w:p>
    <w:p w14:paraId="0DFDC24A" w14:textId="77777777" w:rsidR="00046465" w:rsidRDefault="008134EB">
      <w:pPr>
        <w:pStyle w:val="BodyText"/>
        <w:spacing w:before="121"/>
        <w:ind w:left="2160" w:right="749"/>
      </w:pPr>
      <w:r>
        <w:lastRenderedPageBreak/>
        <w:t>an</w:t>
      </w:r>
      <w:r>
        <w:rPr>
          <w:spacing w:val="-4"/>
        </w:rPr>
        <w:t xml:space="preserve"> </w:t>
      </w:r>
      <w:r>
        <w:t>entity</w:t>
      </w:r>
      <w:r>
        <w:rPr>
          <w:spacing w:val="-4"/>
        </w:rPr>
        <w:t xml:space="preserve"> </w:t>
      </w:r>
      <w:r>
        <w:t>may</w:t>
      </w:r>
      <w:r>
        <w:rPr>
          <w:spacing w:val="-4"/>
        </w:rPr>
        <w:t xml:space="preserve"> </w:t>
      </w:r>
      <w:r>
        <w:t>still</w:t>
      </w:r>
      <w:r>
        <w:rPr>
          <w:spacing w:val="-4"/>
        </w:rPr>
        <w:t xml:space="preserve"> </w:t>
      </w:r>
      <w:r>
        <w:t>elect</w:t>
      </w:r>
      <w:r>
        <w:rPr>
          <w:spacing w:val="-5"/>
        </w:rPr>
        <w:t xml:space="preserve"> </w:t>
      </w:r>
      <w:r>
        <w:t>to</w:t>
      </w:r>
      <w:r>
        <w:rPr>
          <w:spacing w:val="-4"/>
        </w:rPr>
        <w:t xml:space="preserve"> </w:t>
      </w:r>
      <w:r>
        <w:t>recognize</w:t>
      </w:r>
      <w:r>
        <w:rPr>
          <w:spacing w:val="-5"/>
        </w:rPr>
        <w:t xml:space="preserve"> </w:t>
      </w:r>
      <w:r>
        <w:t>imputed</w:t>
      </w:r>
      <w:r>
        <w:rPr>
          <w:spacing w:val="-4"/>
        </w:rPr>
        <w:t xml:space="preserve"> </w:t>
      </w:r>
      <w:r>
        <w:t>cost</w:t>
      </w:r>
      <w:r>
        <w:rPr>
          <w:spacing w:val="-4"/>
        </w:rPr>
        <w:t xml:space="preserve"> </w:t>
      </w:r>
      <w:r>
        <w:t>and</w:t>
      </w:r>
      <w:r>
        <w:rPr>
          <w:spacing w:val="-4"/>
        </w:rPr>
        <w:t xml:space="preserve"> </w:t>
      </w:r>
      <w:r>
        <w:t>corresponding</w:t>
      </w:r>
      <w:r>
        <w:rPr>
          <w:spacing w:val="-4"/>
        </w:rPr>
        <w:t xml:space="preserve"> </w:t>
      </w:r>
      <w:r>
        <w:t xml:space="preserve">imputed financing for other types of inter-entity costs related to non-business type </w:t>
      </w:r>
      <w:r>
        <w:rPr>
          <w:spacing w:val="-2"/>
        </w:rPr>
        <w:t>activities.</w:t>
      </w:r>
    </w:p>
    <w:p w14:paraId="0DFDC24B" w14:textId="77777777" w:rsidR="00046465" w:rsidRDefault="008134EB">
      <w:pPr>
        <w:pStyle w:val="ListParagraph"/>
        <w:numPr>
          <w:ilvl w:val="1"/>
          <w:numId w:val="6"/>
        </w:numPr>
        <w:tabs>
          <w:tab w:val="left" w:pos="2160"/>
        </w:tabs>
        <w:spacing w:before="119"/>
        <w:ind w:left="2160" w:right="733"/>
      </w:pPr>
      <w:r>
        <w:rPr>
          <w:u w:val="single"/>
        </w:rPr>
        <w:t>Costing methodology</w:t>
      </w:r>
      <w:r>
        <w:t>: The costs of resources that directly or indirectly contribute</w:t>
      </w:r>
      <w:r>
        <w:rPr>
          <w:spacing w:val="-4"/>
        </w:rPr>
        <w:t xml:space="preserve"> </w:t>
      </w:r>
      <w:r>
        <w:t>to</w:t>
      </w:r>
      <w:r>
        <w:rPr>
          <w:spacing w:val="-5"/>
        </w:rPr>
        <w:t xml:space="preserve"> </w:t>
      </w:r>
      <w:r>
        <w:t>the</w:t>
      </w:r>
      <w:r>
        <w:rPr>
          <w:spacing w:val="-4"/>
        </w:rPr>
        <w:t xml:space="preserve"> </w:t>
      </w:r>
      <w:r>
        <w:t>production</w:t>
      </w:r>
      <w:r>
        <w:rPr>
          <w:spacing w:val="-4"/>
        </w:rPr>
        <w:t xml:space="preserve"> </w:t>
      </w:r>
      <w:r>
        <w:t>of</w:t>
      </w:r>
      <w:r>
        <w:rPr>
          <w:spacing w:val="-4"/>
        </w:rPr>
        <w:t xml:space="preserve"> </w:t>
      </w:r>
      <w:r>
        <w:t>outputs</w:t>
      </w:r>
      <w:r>
        <w:rPr>
          <w:spacing w:val="-4"/>
        </w:rPr>
        <w:t xml:space="preserve"> </w:t>
      </w:r>
      <w:r>
        <w:t>are</w:t>
      </w:r>
      <w:r>
        <w:rPr>
          <w:spacing w:val="-4"/>
        </w:rPr>
        <w:t xml:space="preserve"> </w:t>
      </w:r>
      <w:r>
        <w:t>to</w:t>
      </w:r>
      <w:r>
        <w:rPr>
          <w:spacing w:val="-4"/>
        </w:rPr>
        <w:t xml:space="preserve"> </w:t>
      </w:r>
      <w:r>
        <w:t>be</w:t>
      </w:r>
      <w:r>
        <w:rPr>
          <w:spacing w:val="-4"/>
        </w:rPr>
        <w:t xml:space="preserve"> </w:t>
      </w:r>
      <w:r>
        <w:t>accumulated</w:t>
      </w:r>
      <w:r>
        <w:rPr>
          <w:spacing w:val="-5"/>
        </w:rPr>
        <w:t xml:space="preserve"> </w:t>
      </w:r>
      <w:r>
        <w:t>and</w:t>
      </w:r>
      <w:r>
        <w:rPr>
          <w:spacing w:val="-4"/>
        </w:rPr>
        <w:t xml:space="preserve"> </w:t>
      </w:r>
      <w:r>
        <w:t>assigned</w:t>
      </w:r>
      <w:r>
        <w:rPr>
          <w:spacing w:val="-4"/>
        </w:rPr>
        <w:t xml:space="preserve"> </w:t>
      </w:r>
      <w:r>
        <w:t>to outputs using appropriate methodologies (see FAM 903.07).</w:t>
      </w:r>
    </w:p>
    <w:p w14:paraId="0DFDC24C" w14:textId="77777777" w:rsidR="00046465" w:rsidRDefault="008134EB">
      <w:pPr>
        <w:pStyle w:val="Heading4"/>
      </w:pPr>
      <w:r>
        <w:t>Audit</w:t>
      </w:r>
      <w:r>
        <w:rPr>
          <w:spacing w:val="-10"/>
        </w:rPr>
        <w:t xml:space="preserve"> </w:t>
      </w:r>
      <w:r>
        <w:rPr>
          <w:spacing w:val="-2"/>
        </w:rPr>
        <w:t>Procedures</w:t>
      </w:r>
    </w:p>
    <w:p w14:paraId="0DFDC24D" w14:textId="77777777" w:rsidR="00046465" w:rsidRDefault="008134EB">
      <w:pPr>
        <w:pStyle w:val="ListParagraph"/>
        <w:numPr>
          <w:ilvl w:val="0"/>
          <w:numId w:val="6"/>
        </w:numPr>
        <w:tabs>
          <w:tab w:val="left" w:pos="1799"/>
        </w:tabs>
        <w:ind w:left="1799" w:right="726" w:hanging="720"/>
      </w:pPr>
      <w:r>
        <w:t>As part of understanding the entity’s operations, the auditor generally should obtain an overview of how the entity applies FASAB cost standards. This may be done</w:t>
      </w:r>
      <w:r>
        <w:rPr>
          <w:spacing w:val="-4"/>
        </w:rPr>
        <w:t xml:space="preserve"> </w:t>
      </w:r>
      <w:r>
        <w:t>by</w:t>
      </w:r>
      <w:r>
        <w:rPr>
          <w:spacing w:val="-4"/>
        </w:rPr>
        <w:t xml:space="preserve"> </w:t>
      </w:r>
      <w:r>
        <w:t>inquiry,</w:t>
      </w:r>
      <w:r>
        <w:rPr>
          <w:spacing w:val="-4"/>
        </w:rPr>
        <w:t xml:space="preserve"> </w:t>
      </w:r>
      <w:r>
        <w:t>observation,</w:t>
      </w:r>
      <w:r>
        <w:rPr>
          <w:spacing w:val="-4"/>
        </w:rPr>
        <w:t xml:space="preserve"> </w:t>
      </w:r>
      <w:r>
        <w:t>and</w:t>
      </w:r>
      <w:r>
        <w:rPr>
          <w:spacing w:val="-4"/>
        </w:rPr>
        <w:t xml:space="preserve"> </w:t>
      </w:r>
      <w:r>
        <w:t>walk-through</w:t>
      </w:r>
      <w:r>
        <w:rPr>
          <w:spacing w:val="-5"/>
        </w:rPr>
        <w:t xml:space="preserve"> </w:t>
      </w:r>
      <w:r>
        <w:t>procedures.</w:t>
      </w:r>
      <w:r>
        <w:rPr>
          <w:spacing w:val="-5"/>
        </w:rPr>
        <w:t xml:space="preserve"> </w:t>
      </w:r>
      <w:r>
        <w:t>The</w:t>
      </w:r>
      <w:r>
        <w:rPr>
          <w:spacing w:val="-4"/>
        </w:rPr>
        <w:t xml:space="preserve"> </w:t>
      </w:r>
      <w:r>
        <w:t>auditor</w:t>
      </w:r>
      <w:r>
        <w:rPr>
          <w:spacing w:val="-6"/>
        </w:rPr>
        <w:t xml:space="preserve"> </w:t>
      </w:r>
      <w:r>
        <w:t>generally should determine what substantive testing procedures are appropriate and may coordinate testing with other control and substantive procedures. Based on the understanding of entity operations, the auditor should determine whether the statement of net cost is designed to include all costs of entity programs. Also, in testing the statement of net cost, the auditor generally should test the assertions related to costs, including whether expenses are properly classified in the statement of net cost. Based on FAM 395 B, examples of control objectives by assertion related to costs are provided below.</w:t>
      </w:r>
    </w:p>
    <w:p w14:paraId="0DFDC24E" w14:textId="77777777" w:rsidR="00046465" w:rsidRDefault="008134EB">
      <w:pPr>
        <w:spacing w:before="120"/>
        <w:ind w:left="1800"/>
        <w:rPr>
          <w:b/>
        </w:rPr>
      </w:pPr>
      <w:r>
        <w:rPr>
          <w:b/>
        </w:rPr>
        <w:t>EXISTENCE</w:t>
      </w:r>
      <w:r>
        <w:rPr>
          <w:b/>
          <w:spacing w:val="-10"/>
        </w:rPr>
        <w:t xml:space="preserve"> </w:t>
      </w:r>
      <w:r>
        <w:rPr>
          <w:b/>
        </w:rPr>
        <w:t>OR</w:t>
      </w:r>
      <w:r>
        <w:rPr>
          <w:b/>
          <w:spacing w:val="-9"/>
        </w:rPr>
        <w:t xml:space="preserve"> </w:t>
      </w:r>
      <w:r>
        <w:rPr>
          <w:b/>
          <w:spacing w:val="-2"/>
        </w:rPr>
        <w:t>OCCURRENCE</w:t>
      </w:r>
    </w:p>
    <w:p w14:paraId="0DFDC24F" w14:textId="77777777" w:rsidR="00046465" w:rsidRDefault="008134EB">
      <w:pPr>
        <w:pStyle w:val="ListParagraph"/>
        <w:numPr>
          <w:ilvl w:val="0"/>
          <w:numId w:val="122"/>
        </w:numPr>
        <w:tabs>
          <w:tab w:val="left" w:pos="2159"/>
        </w:tabs>
        <w:ind w:right="880"/>
      </w:pPr>
      <w:r>
        <w:rPr>
          <w:b/>
        </w:rPr>
        <w:t>Occurrence/validity</w:t>
      </w:r>
      <w:r>
        <w:t>—(1) Recorded costs, underlying goods and services received,</w:t>
      </w:r>
      <w:r>
        <w:rPr>
          <w:spacing w:val="-4"/>
        </w:rPr>
        <w:t xml:space="preserve"> </w:t>
      </w:r>
      <w:r>
        <w:t>and</w:t>
      </w:r>
      <w:r>
        <w:rPr>
          <w:spacing w:val="-4"/>
        </w:rPr>
        <w:t xml:space="preserve"> </w:t>
      </w:r>
      <w:r>
        <w:t>related</w:t>
      </w:r>
      <w:r>
        <w:rPr>
          <w:spacing w:val="-4"/>
        </w:rPr>
        <w:t xml:space="preserve"> </w:t>
      </w:r>
      <w:r>
        <w:t>processing</w:t>
      </w:r>
      <w:r>
        <w:rPr>
          <w:spacing w:val="-5"/>
        </w:rPr>
        <w:t xml:space="preserve"> </w:t>
      </w:r>
      <w:r>
        <w:t>procedures</w:t>
      </w:r>
      <w:r>
        <w:rPr>
          <w:spacing w:val="-4"/>
        </w:rPr>
        <w:t xml:space="preserve"> </w:t>
      </w:r>
      <w:r>
        <w:t>are</w:t>
      </w:r>
      <w:r>
        <w:rPr>
          <w:spacing w:val="-4"/>
        </w:rPr>
        <w:t xml:space="preserve"> </w:t>
      </w:r>
      <w:r>
        <w:t>authorized</w:t>
      </w:r>
      <w:r>
        <w:rPr>
          <w:spacing w:val="-5"/>
        </w:rPr>
        <w:t xml:space="preserve"> </w:t>
      </w:r>
      <w:r>
        <w:t>by</w:t>
      </w:r>
      <w:r>
        <w:rPr>
          <w:spacing w:val="-4"/>
        </w:rPr>
        <w:t xml:space="preserve"> </w:t>
      </w:r>
      <w:r>
        <w:t>federal</w:t>
      </w:r>
      <w:r>
        <w:rPr>
          <w:spacing w:val="-4"/>
        </w:rPr>
        <w:t xml:space="preserve"> </w:t>
      </w:r>
      <w:r>
        <w:t>laws, regulations, contracts, grant agreements, and management policy. (2) Appropriate individuals approve recorded costs in accordance with management’s general or specific criteria. (3) Recorded costs represent goods</w:t>
      </w:r>
      <w:r>
        <w:rPr>
          <w:spacing w:val="-3"/>
        </w:rPr>
        <w:t xml:space="preserve"> </w:t>
      </w:r>
      <w:r>
        <w:t>and</w:t>
      </w:r>
      <w:r>
        <w:rPr>
          <w:spacing w:val="-3"/>
        </w:rPr>
        <w:t xml:space="preserve"> </w:t>
      </w:r>
      <w:r>
        <w:t>services</w:t>
      </w:r>
      <w:r>
        <w:rPr>
          <w:spacing w:val="-3"/>
        </w:rPr>
        <w:t xml:space="preserve"> </w:t>
      </w:r>
      <w:r>
        <w:t>actually</w:t>
      </w:r>
      <w:r>
        <w:rPr>
          <w:spacing w:val="-3"/>
        </w:rPr>
        <w:t xml:space="preserve"> </w:t>
      </w:r>
      <w:r>
        <w:t>received</w:t>
      </w:r>
      <w:r>
        <w:rPr>
          <w:spacing w:val="-4"/>
        </w:rPr>
        <w:t xml:space="preserve"> </w:t>
      </w:r>
      <w:r>
        <w:t>by</w:t>
      </w:r>
      <w:r>
        <w:rPr>
          <w:spacing w:val="-3"/>
        </w:rPr>
        <w:t xml:space="preserve"> </w:t>
      </w:r>
      <w:r>
        <w:t>the</w:t>
      </w:r>
      <w:r>
        <w:rPr>
          <w:spacing w:val="-3"/>
        </w:rPr>
        <w:t xml:space="preserve"> </w:t>
      </w:r>
      <w:r>
        <w:t>entity.</w:t>
      </w:r>
      <w:r>
        <w:rPr>
          <w:spacing w:val="-3"/>
        </w:rPr>
        <w:t xml:space="preserve"> </w:t>
      </w:r>
      <w:r>
        <w:t>(4)</w:t>
      </w:r>
      <w:r>
        <w:rPr>
          <w:spacing w:val="-3"/>
        </w:rPr>
        <w:t xml:space="preserve"> </w:t>
      </w:r>
      <w:r>
        <w:t>Costs</w:t>
      </w:r>
      <w:r>
        <w:rPr>
          <w:spacing w:val="-4"/>
        </w:rPr>
        <w:t xml:space="preserve"> </w:t>
      </w:r>
      <w:r>
        <w:t>are</w:t>
      </w:r>
      <w:r>
        <w:rPr>
          <w:spacing w:val="-3"/>
        </w:rPr>
        <w:t xml:space="preserve"> </w:t>
      </w:r>
      <w:r>
        <w:t>recorded</w:t>
      </w:r>
      <w:r>
        <w:rPr>
          <w:spacing w:val="-3"/>
        </w:rPr>
        <w:t xml:space="preserve"> </w:t>
      </w:r>
      <w:r>
        <w:t>in the proper accounts.</w:t>
      </w:r>
    </w:p>
    <w:p w14:paraId="0DFDC250" w14:textId="77777777" w:rsidR="00046465" w:rsidRDefault="008134EB">
      <w:pPr>
        <w:pStyle w:val="ListParagraph"/>
        <w:numPr>
          <w:ilvl w:val="0"/>
          <w:numId w:val="122"/>
        </w:numPr>
        <w:tabs>
          <w:tab w:val="left" w:pos="2159"/>
        </w:tabs>
        <w:spacing w:before="118"/>
        <w:ind w:right="956"/>
      </w:pPr>
      <w:r>
        <w:rPr>
          <w:b/>
        </w:rPr>
        <w:t>Cutoff</w:t>
      </w:r>
      <w:r>
        <w:t>—Costs</w:t>
      </w:r>
      <w:r>
        <w:rPr>
          <w:spacing w:val="-5"/>
        </w:rPr>
        <w:t xml:space="preserve"> </w:t>
      </w:r>
      <w:r>
        <w:t>recorded</w:t>
      </w:r>
      <w:r>
        <w:rPr>
          <w:spacing w:val="-6"/>
        </w:rPr>
        <w:t xml:space="preserve"> </w:t>
      </w:r>
      <w:r>
        <w:t>in</w:t>
      </w:r>
      <w:r>
        <w:rPr>
          <w:spacing w:val="-5"/>
        </w:rPr>
        <w:t xml:space="preserve"> </w:t>
      </w:r>
      <w:r>
        <w:t>the</w:t>
      </w:r>
      <w:r>
        <w:rPr>
          <w:spacing w:val="-5"/>
        </w:rPr>
        <w:t xml:space="preserve"> </w:t>
      </w:r>
      <w:r>
        <w:t>current</w:t>
      </w:r>
      <w:r>
        <w:rPr>
          <w:spacing w:val="-5"/>
        </w:rPr>
        <w:t xml:space="preserve"> </w:t>
      </w:r>
      <w:r>
        <w:t>period</w:t>
      </w:r>
      <w:r>
        <w:rPr>
          <w:spacing w:val="-5"/>
        </w:rPr>
        <w:t xml:space="preserve"> </w:t>
      </w:r>
      <w:r>
        <w:t>represent</w:t>
      </w:r>
      <w:r>
        <w:rPr>
          <w:spacing w:val="-5"/>
        </w:rPr>
        <w:t xml:space="preserve"> </w:t>
      </w:r>
      <w:r>
        <w:t>goods</w:t>
      </w:r>
      <w:r>
        <w:rPr>
          <w:spacing w:val="-5"/>
        </w:rPr>
        <w:t xml:space="preserve"> </w:t>
      </w:r>
      <w:r>
        <w:t>and</w:t>
      </w:r>
      <w:r>
        <w:rPr>
          <w:spacing w:val="-5"/>
        </w:rPr>
        <w:t xml:space="preserve"> </w:t>
      </w:r>
      <w:r>
        <w:t>services received during the current period.</w:t>
      </w:r>
    </w:p>
    <w:p w14:paraId="0DFDC251" w14:textId="77777777" w:rsidR="00046465" w:rsidRDefault="008134EB">
      <w:pPr>
        <w:pStyle w:val="ListParagraph"/>
        <w:numPr>
          <w:ilvl w:val="0"/>
          <w:numId w:val="122"/>
        </w:numPr>
        <w:tabs>
          <w:tab w:val="left" w:pos="2159"/>
        </w:tabs>
        <w:spacing w:before="118"/>
      </w:pPr>
      <w:r>
        <w:rPr>
          <w:b/>
        </w:rPr>
        <w:t>Summarization</w:t>
      </w:r>
      <w:r>
        <w:t>—The</w:t>
      </w:r>
      <w:r>
        <w:rPr>
          <w:spacing w:val="-9"/>
        </w:rPr>
        <w:t xml:space="preserve"> </w:t>
      </w:r>
      <w:r>
        <w:t>summarization</w:t>
      </w:r>
      <w:r>
        <w:rPr>
          <w:spacing w:val="-9"/>
        </w:rPr>
        <w:t xml:space="preserve"> </w:t>
      </w:r>
      <w:r>
        <w:t>of</w:t>
      </w:r>
      <w:r>
        <w:rPr>
          <w:spacing w:val="-9"/>
        </w:rPr>
        <w:t xml:space="preserve"> </w:t>
      </w:r>
      <w:r>
        <w:t>recorded</w:t>
      </w:r>
      <w:r>
        <w:rPr>
          <w:spacing w:val="-9"/>
        </w:rPr>
        <w:t xml:space="preserve"> </w:t>
      </w:r>
      <w:r>
        <w:t>costs</w:t>
      </w:r>
      <w:r>
        <w:rPr>
          <w:spacing w:val="-10"/>
        </w:rPr>
        <w:t xml:space="preserve"> </w:t>
      </w:r>
      <w:r>
        <w:t>is</w:t>
      </w:r>
      <w:r>
        <w:rPr>
          <w:spacing w:val="-9"/>
        </w:rPr>
        <w:t xml:space="preserve"> </w:t>
      </w:r>
      <w:r>
        <w:t>not</w:t>
      </w:r>
      <w:r>
        <w:rPr>
          <w:spacing w:val="-9"/>
        </w:rPr>
        <w:t xml:space="preserve"> </w:t>
      </w:r>
      <w:r>
        <w:rPr>
          <w:spacing w:val="-2"/>
        </w:rPr>
        <w:t>overstated.</w:t>
      </w:r>
    </w:p>
    <w:p w14:paraId="0DFDC252" w14:textId="77777777" w:rsidR="00046465" w:rsidRDefault="008134EB">
      <w:pPr>
        <w:spacing w:before="119"/>
        <w:ind w:left="1799"/>
        <w:rPr>
          <w:b/>
        </w:rPr>
      </w:pPr>
      <w:r>
        <w:rPr>
          <w:b/>
          <w:spacing w:val="-2"/>
        </w:rPr>
        <w:t>COMPLETENESS</w:t>
      </w:r>
    </w:p>
    <w:p w14:paraId="0DFDC253" w14:textId="77777777" w:rsidR="00046465" w:rsidRDefault="008134EB">
      <w:pPr>
        <w:pStyle w:val="ListParagraph"/>
        <w:numPr>
          <w:ilvl w:val="0"/>
          <w:numId w:val="122"/>
        </w:numPr>
        <w:tabs>
          <w:tab w:val="left" w:pos="2159"/>
        </w:tabs>
        <w:spacing w:before="119"/>
        <w:ind w:right="1346"/>
      </w:pPr>
      <w:r>
        <w:rPr>
          <w:b/>
        </w:rPr>
        <w:t>Transaction</w:t>
      </w:r>
      <w:r>
        <w:rPr>
          <w:b/>
          <w:spacing w:val="-5"/>
        </w:rPr>
        <w:t xml:space="preserve"> </w:t>
      </w:r>
      <w:r>
        <w:rPr>
          <w:b/>
        </w:rPr>
        <w:t>completeness</w:t>
      </w:r>
      <w:r>
        <w:t>—All</w:t>
      </w:r>
      <w:r>
        <w:rPr>
          <w:spacing w:val="-5"/>
        </w:rPr>
        <w:t xml:space="preserve"> </w:t>
      </w:r>
      <w:r>
        <w:t>valid</w:t>
      </w:r>
      <w:r>
        <w:rPr>
          <w:spacing w:val="-5"/>
        </w:rPr>
        <w:t xml:space="preserve"> </w:t>
      </w:r>
      <w:r>
        <w:t>costs</w:t>
      </w:r>
      <w:r>
        <w:rPr>
          <w:spacing w:val="-5"/>
        </w:rPr>
        <w:t xml:space="preserve"> </w:t>
      </w:r>
      <w:r>
        <w:t>are</w:t>
      </w:r>
      <w:r>
        <w:rPr>
          <w:spacing w:val="-5"/>
        </w:rPr>
        <w:t xml:space="preserve"> </w:t>
      </w:r>
      <w:r>
        <w:t>recorded</w:t>
      </w:r>
      <w:r>
        <w:rPr>
          <w:spacing w:val="-5"/>
        </w:rPr>
        <w:t xml:space="preserve"> </w:t>
      </w:r>
      <w:r>
        <w:t>in</w:t>
      </w:r>
      <w:r>
        <w:rPr>
          <w:spacing w:val="-5"/>
        </w:rPr>
        <w:t xml:space="preserve"> </w:t>
      </w:r>
      <w:r>
        <w:t>the</w:t>
      </w:r>
      <w:r>
        <w:rPr>
          <w:spacing w:val="-5"/>
        </w:rPr>
        <w:t xml:space="preserve"> </w:t>
      </w:r>
      <w:r>
        <w:t xml:space="preserve">proper </w:t>
      </w:r>
      <w:r>
        <w:rPr>
          <w:spacing w:val="-2"/>
        </w:rPr>
        <w:t>accounts.</w:t>
      </w:r>
    </w:p>
    <w:p w14:paraId="0DFDC254" w14:textId="77777777" w:rsidR="00046465" w:rsidRDefault="008134EB">
      <w:pPr>
        <w:pStyle w:val="ListParagraph"/>
        <w:numPr>
          <w:ilvl w:val="0"/>
          <w:numId w:val="122"/>
        </w:numPr>
        <w:tabs>
          <w:tab w:val="left" w:pos="2159"/>
        </w:tabs>
        <w:spacing w:before="119"/>
        <w:ind w:right="760"/>
      </w:pPr>
      <w:r>
        <w:rPr>
          <w:b/>
        </w:rPr>
        <w:t>Cutoff</w:t>
      </w:r>
      <w:r>
        <w:t>—All</w:t>
      </w:r>
      <w:r>
        <w:rPr>
          <w:spacing w:val="-3"/>
        </w:rPr>
        <w:t xml:space="preserve"> </w:t>
      </w:r>
      <w:r>
        <w:t>goods</w:t>
      </w:r>
      <w:r>
        <w:rPr>
          <w:spacing w:val="-4"/>
        </w:rPr>
        <w:t xml:space="preserve"> </w:t>
      </w:r>
      <w:r>
        <w:t>and</w:t>
      </w:r>
      <w:r>
        <w:rPr>
          <w:spacing w:val="-4"/>
        </w:rPr>
        <w:t xml:space="preserve"> </w:t>
      </w:r>
      <w:r>
        <w:t>services</w:t>
      </w:r>
      <w:r>
        <w:rPr>
          <w:spacing w:val="-4"/>
        </w:rPr>
        <w:t xml:space="preserve"> </w:t>
      </w:r>
      <w:r>
        <w:t>received</w:t>
      </w:r>
      <w:r>
        <w:rPr>
          <w:spacing w:val="-4"/>
        </w:rPr>
        <w:t xml:space="preserve"> </w:t>
      </w:r>
      <w:r>
        <w:t>in</w:t>
      </w:r>
      <w:r>
        <w:rPr>
          <w:spacing w:val="-4"/>
        </w:rPr>
        <w:t xml:space="preserve"> </w:t>
      </w:r>
      <w:r>
        <w:t>the</w:t>
      </w:r>
      <w:r>
        <w:rPr>
          <w:spacing w:val="-5"/>
        </w:rPr>
        <w:t xml:space="preserve"> </w:t>
      </w:r>
      <w:r>
        <w:t>current</w:t>
      </w:r>
      <w:r>
        <w:rPr>
          <w:spacing w:val="-4"/>
        </w:rPr>
        <w:t xml:space="preserve"> </w:t>
      </w:r>
      <w:r>
        <w:t>period</w:t>
      </w:r>
      <w:r>
        <w:rPr>
          <w:spacing w:val="-4"/>
        </w:rPr>
        <w:t xml:space="preserve"> </w:t>
      </w:r>
      <w:r>
        <w:t>are</w:t>
      </w:r>
      <w:r>
        <w:rPr>
          <w:spacing w:val="-4"/>
        </w:rPr>
        <w:t xml:space="preserve"> </w:t>
      </w:r>
      <w:r>
        <w:t>recorded</w:t>
      </w:r>
      <w:r>
        <w:rPr>
          <w:spacing w:val="-4"/>
        </w:rPr>
        <w:t xml:space="preserve"> </w:t>
      </w:r>
      <w:r>
        <w:t>in the current period.</w:t>
      </w:r>
    </w:p>
    <w:p w14:paraId="0DFDC255" w14:textId="77777777" w:rsidR="00046465" w:rsidRDefault="008134EB">
      <w:pPr>
        <w:pStyle w:val="ListParagraph"/>
        <w:numPr>
          <w:ilvl w:val="0"/>
          <w:numId w:val="122"/>
        </w:numPr>
        <w:tabs>
          <w:tab w:val="left" w:pos="2159"/>
        </w:tabs>
        <w:spacing w:before="118"/>
      </w:pPr>
      <w:r>
        <w:rPr>
          <w:b/>
        </w:rPr>
        <w:t>Summarization</w:t>
      </w:r>
      <w:r>
        <w:t>—The</w:t>
      </w:r>
      <w:r>
        <w:rPr>
          <w:spacing w:val="-9"/>
        </w:rPr>
        <w:t xml:space="preserve"> </w:t>
      </w:r>
      <w:r>
        <w:t>summarization</w:t>
      </w:r>
      <w:r>
        <w:rPr>
          <w:spacing w:val="-9"/>
        </w:rPr>
        <w:t xml:space="preserve"> </w:t>
      </w:r>
      <w:r>
        <w:t>of</w:t>
      </w:r>
      <w:r>
        <w:rPr>
          <w:spacing w:val="-9"/>
        </w:rPr>
        <w:t xml:space="preserve"> </w:t>
      </w:r>
      <w:r>
        <w:t>recorded</w:t>
      </w:r>
      <w:r>
        <w:rPr>
          <w:spacing w:val="-9"/>
        </w:rPr>
        <w:t xml:space="preserve"> </w:t>
      </w:r>
      <w:r>
        <w:t>costs</w:t>
      </w:r>
      <w:r>
        <w:rPr>
          <w:spacing w:val="-10"/>
        </w:rPr>
        <w:t xml:space="preserve"> </w:t>
      </w:r>
      <w:r>
        <w:t>is</w:t>
      </w:r>
      <w:r>
        <w:rPr>
          <w:spacing w:val="-9"/>
        </w:rPr>
        <w:t xml:space="preserve"> </w:t>
      </w:r>
      <w:r>
        <w:t>not</w:t>
      </w:r>
      <w:r>
        <w:rPr>
          <w:spacing w:val="-9"/>
        </w:rPr>
        <w:t xml:space="preserve"> </w:t>
      </w:r>
      <w:r>
        <w:rPr>
          <w:spacing w:val="-2"/>
        </w:rPr>
        <w:t>understated.</w:t>
      </w:r>
    </w:p>
    <w:p w14:paraId="0DFDC256" w14:textId="77777777" w:rsidR="00046465" w:rsidRDefault="008134EB">
      <w:pPr>
        <w:spacing w:before="118"/>
        <w:ind w:left="1799"/>
        <w:rPr>
          <w:b/>
        </w:rPr>
      </w:pPr>
      <w:r>
        <w:rPr>
          <w:b/>
          <w:spacing w:val="-2"/>
        </w:rPr>
        <w:t>ACCURACY</w:t>
      </w:r>
    </w:p>
    <w:p w14:paraId="0DFDC257" w14:textId="77777777" w:rsidR="00046465" w:rsidRDefault="008134EB">
      <w:pPr>
        <w:pStyle w:val="ListParagraph"/>
        <w:numPr>
          <w:ilvl w:val="0"/>
          <w:numId w:val="122"/>
        </w:numPr>
        <w:tabs>
          <w:tab w:val="left" w:pos="2159"/>
        </w:tabs>
        <w:ind w:right="1100" w:hanging="361"/>
      </w:pPr>
      <w:r>
        <w:rPr>
          <w:b/>
        </w:rPr>
        <w:t>Accuracy</w:t>
      </w:r>
      <w:r>
        <w:t>—Amounts</w:t>
      </w:r>
      <w:r>
        <w:rPr>
          <w:spacing w:val="-5"/>
        </w:rPr>
        <w:t xml:space="preserve"> </w:t>
      </w:r>
      <w:r>
        <w:t>and</w:t>
      </w:r>
      <w:r>
        <w:rPr>
          <w:spacing w:val="-5"/>
        </w:rPr>
        <w:t xml:space="preserve"> </w:t>
      </w:r>
      <w:r>
        <w:t>other</w:t>
      </w:r>
      <w:r>
        <w:rPr>
          <w:spacing w:val="-5"/>
        </w:rPr>
        <w:t xml:space="preserve"> </w:t>
      </w:r>
      <w:r>
        <w:t>data</w:t>
      </w:r>
      <w:r>
        <w:rPr>
          <w:spacing w:val="-6"/>
        </w:rPr>
        <w:t xml:space="preserve"> </w:t>
      </w:r>
      <w:r>
        <w:t>relating</w:t>
      </w:r>
      <w:r>
        <w:rPr>
          <w:spacing w:val="-5"/>
        </w:rPr>
        <w:t xml:space="preserve"> </w:t>
      </w:r>
      <w:r>
        <w:t>to</w:t>
      </w:r>
      <w:r>
        <w:rPr>
          <w:spacing w:val="-5"/>
        </w:rPr>
        <w:t xml:space="preserve"> </w:t>
      </w:r>
      <w:r>
        <w:t>recorded</w:t>
      </w:r>
      <w:r>
        <w:rPr>
          <w:spacing w:val="-4"/>
        </w:rPr>
        <w:t xml:space="preserve"> </w:t>
      </w:r>
      <w:r>
        <w:t>costs</w:t>
      </w:r>
      <w:r>
        <w:rPr>
          <w:spacing w:val="-5"/>
        </w:rPr>
        <w:t xml:space="preserve"> </w:t>
      </w:r>
      <w:r>
        <w:t>have</w:t>
      </w:r>
      <w:r>
        <w:rPr>
          <w:spacing w:val="-5"/>
        </w:rPr>
        <w:t xml:space="preserve"> </w:t>
      </w:r>
      <w:r>
        <w:t>been appropriately recorded.</w:t>
      </w:r>
    </w:p>
    <w:p w14:paraId="0DFDC258" w14:textId="77777777" w:rsidR="00046465" w:rsidRDefault="008134EB">
      <w:pPr>
        <w:spacing w:before="119"/>
        <w:ind w:left="1799"/>
        <w:rPr>
          <w:b/>
        </w:rPr>
      </w:pPr>
      <w:r>
        <w:rPr>
          <w:b/>
        </w:rPr>
        <w:t>PRESENTATION</w:t>
      </w:r>
      <w:r>
        <w:rPr>
          <w:b/>
          <w:spacing w:val="-17"/>
        </w:rPr>
        <w:t xml:space="preserve"> </w:t>
      </w:r>
      <w:r>
        <w:rPr>
          <w:b/>
        </w:rPr>
        <w:t>AND</w:t>
      </w:r>
      <w:r>
        <w:rPr>
          <w:b/>
          <w:spacing w:val="-13"/>
        </w:rPr>
        <w:t xml:space="preserve"> </w:t>
      </w:r>
      <w:r>
        <w:rPr>
          <w:b/>
          <w:spacing w:val="-2"/>
        </w:rPr>
        <w:t>DISCLOSURE</w:t>
      </w:r>
    </w:p>
    <w:p w14:paraId="0DFDC259" w14:textId="77777777" w:rsidR="00046465" w:rsidRDefault="008134EB">
      <w:pPr>
        <w:pStyle w:val="ListParagraph"/>
        <w:numPr>
          <w:ilvl w:val="0"/>
          <w:numId w:val="122"/>
        </w:numPr>
        <w:tabs>
          <w:tab w:val="left" w:pos="2159"/>
        </w:tabs>
        <w:ind w:right="967"/>
      </w:pPr>
      <w:r>
        <w:rPr>
          <w:b/>
        </w:rPr>
        <w:t>Presentation</w:t>
      </w:r>
      <w:r>
        <w:t>—Cost</w:t>
      </w:r>
      <w:r>
        <w:rPr>
          <w:spacing w:val="-6"/>
        </w:rPr>
        <w:t xml:space="preserve"> </w:t>
      </w:r>
      <w:r>
        <w:t>information</w:t>
      </w:r>
      <w:r>
        <w:rPr>
          <w:spacing w:val="-6"/>
        </w:rPr>
        <w:t xml:space="preserve"> </w:t>
      </w:r>
      <w:r>
        <w:t>in</w:t>
      </w:r>
      <w:r>
        <w:rPr>
          <w:spacing w:val="-6"/>
        </w:rPr>
        <w:t xml:space="preserve"> </w:t>
      </w:r>
      <w:r>
        <w:t>the</w:t>
      </w:r>
      <w:r>
        <w:rPr>
          <w:spacing w:val="-6"/>
        </w:rPr>
        <w:t xml:space="preserve"> </w:t>
      </w:r>
      <w:r>
        <w:t>financial</w:t>
      </w:r>
      <w:r>
        <w:rPr>
          <w:spacing w:val="-7"/>
        </w:rPr>
        <w:t xml:space="preserve"> </w:t>
      </w:r>
      <w:r>
        <w:t>statements</w:t>
      </w:r>
      <w:r>
        <w:rPr>
          <w:spacing w:val="-5"/>
        </w:rPr>
        <w:t xml:space="preserve"> </w:t>
      </w:r>
      <w:r>
        <w:t>is</w:t>
      </w:r>
      <w:r>
        <w:rPr>
          <w:spacing w:val="-7"/>
        </w:rPr>
        <w:t xml:space="preserve"> </w:t>
      </w:r>
      <w:r>
        <w:t>appropriately aggregated or disaggregated and is clearly described.</w:t>
      </w:r>
    </w:p>
    <w:p w14:paraId="0DFDC25A" w14:textId="77777777" w:rsidR="00046465" w:rsidRDefault="00046465">
      <w:pPr>
        <w:pStyle w:val="ListParagraph"/>
        <w:sectPr w:rsidR="00046465">
          <w:pgSz w:w="12240" w:h="15840"/>
          <w:pgMar w:top="1340" w:right="720" w:bottom="940" w:left="1080" w:header="721" w:footer="757" w:gutter="0"/>
          <w:cols w:space="720"/>
        </w:sectPr>
      </w:pPr>
    </w:p>
    <w:p w14:paraId="0DFDC25B" w14:textId="77777777" w:rsidR="00046465" w:rsidRDefault="008134EB">
      <w:pPr>
        <w:pStyle w:val="ListParagraph"/>
        <w:numPr>
          <w:ilvl w:val="1"/>
          <w:numId w:val="122"/>
        </w:numPr>
        <w:tabs>
          <w:tab w:val="left" w:pos="2519"/>
        </w:tabs>
        <w:spacing w:before="134" w:line="223" w:lineRule="auto"/>
        <w:ind w:right="1082"/>
        <w:rPr>
          <w:position w:val="7"/>
          <w:sz w:val="14"/>
        </w:rPr>
      </w:pPr>
      <w:r>
        <w:lastRenderedPageBreak/>
        <w:t>If</w:t>
      </w:r>
      <w:r>
        <w:rPr>
          <w:spacing w:val="-5"/>
        </w:rPr>
        <w:t xml:space="preserve"> </w:t>
      </w:r>
      <w:r>
        <w:t>applicable,</w:t>
      </w:r>
      <w:r>
        <w:rPr>
          <w:spacing w:val="-5"/>
        </w:rPr>
        <w:t xml:space="preserve"> </w:t>
      </w:r>
      <w:r>
        <w:t>nonproduction</w:t>
      </w:r>
      <w:r>
        <w:rPr>
          <w:spacing w:val="-5"/>
        </w:rPr>
        <w:t xml:space="preserve"> </w:t>
      </w:r>
      <w:r>
        <w:t>costs</w:t>
      </w:r>
      <w:r>
        <w:rPr>
          <w:spacing w:val="-5"/>
        </w:rPr>
        <w:t xml:space="preserve"> </w:t>
      </w:r>
      <w:r>
        <w:t>are</w:t>
      </w:r>
      <w:r>
        <w:rPr>
          <w:spacing w:val="-5"/>
        </w:rPr>
        <w:t xml:space="preserve"> </w:t>
      </w:r>
      <w:r>
        <w:t>disclosed</w:t>
      </w:r>
      <w:r>
        <w:rPr>
          <w:spacing w:val="-6"/>
        </w:rPr>
        <w:t xml:space="preserve"> </w:t>
      </w:r>
      <w:r>
        <w:t>or</w:t>
      </w:r>
      <w:r>
        <w:rPr>
          <w:spacing w:val="-5"/>
        </w:rPr>
        <w:t xml:space="preserve"> </w:t>
      </w:r>
      <w:r>
        <w:t>reported</w:t>
      </w:r>
      <w:r>
        <w:rPr>
          <w:spacing w:val="-5"/>
        </w:rPr>
        <w:t xml:space="preserve"> </w:t>
      </w:r>
      <w:r>
        <w:t>separately from production costs.</w:t>
      </w:r>
      <w:hyperlink w:anchor="_bookmark161" w:history="1">
        <w:r>
          <w:rPr>
            <w:position w:val="7"/>
            <w:sz w:val="14"/>
          </w:rPr>
          <w:t>20</w:t>
        </w:r>
      </w:hyperlink>
    </w:p>
    <w:p w14:paraId="0DFDC25C" w14:textId="77777777" w:rsidR="00046465" w:rsidRDefault="008134EB">
      <w:pPr>
        <w:pStyle w:val="ListParagraph"/>
        <w:numPr>
          <w:ilvl w:val="0"/>
          <w:numId w:val="122"/>
        </w:numPr>
        <w:tabs>
          <w:tab w:val="left" w:pos="2159"/>
        </w:tabs>
        <w:spacing w:before="123"/>
        <w:ind w:right="1113"/>
      </w:pPr>
      <w:r>
        <w:rPr>
          <w:b/>
        </w:rPr>
        <w:t>Consistency</w:t>
      </w:r>
      <w:r>
        <w:t>—Costs</w:t>
      </w:r>
      <w:r>
        <w:rPr>
          <w:spacing w:val="-5"/>
        </w:rPr>
        <w:t xml:space="preserve"> </w:t>
      </w:r>
      <w:r>
        <w:t>in</w:t>
      </w:r>
      <w:r>
        <w:rPr>
          <w:spacing w:val="-6"/>
        </w:rPr>
        <w:t xml:space="preserve"> </w:t>
      </w:r>
      <w:r>
        <w:t>the</w:t>
      </w:r>
      <w:r>
        <w:rPr>
          <w:spacing w:val="-5"/>
        </w:rPr>
        <w:t xml:space="preserve"> </w:t>
      </w:r>
      <w:r>
        <w:t>financial</w:t>
      </w:r>
      <w:r>
        <w:rPr>
          <w:spacing w:val="-6"/>
        </w:rPr>
        <w:t xml:space="preserve"> </w:t>
      </w:r>
      <w:r>
        <w:t>statements</w:t>
      </w:r>
      <w:r>
        <w:rPr>
          <w:spacing w:val="-5"/>
        </w:rPr>
        <w:t xml:space="preserve"> </w:t>
      </w:r>
      <w:r>
        <w:t>are</w:t>
      </w:r>
      <w:r>
        <w:rPr>
          <w:spacing w:val="-5"/>
        </w:rPr>
        <w:t xml:space="preserve"> </w:t>
      </w:r>
      <w:r>
        <w:t>based</w:t>
      </w:r>
      <w:r>
        <w:rPr>
          <w:spacing w:val="-5"/>
        </w:rPr>
        <w:t xml:space="preserve"> </w:t>
      </w:r>
      <w:r>
        <w:t>on</w:t>
      </w:r>
      <w:r>
        <w:rPr>
          <w:spacing w:val="-5"/>
        </w:rPr>
        <w:t xml:space="preserve"> </w:t>
      </w:r>
      <w:r>
        <w:t>accounting principles that are applied consistently from period to period.</w:t>
      </w:r>
    </w:p>
    <w:p w14:paraId="0DFDC25D" w14:textId="77777777" w:rsidR="00046465" w:rsidRDefault="008134EB">
      <w:pPr>
        <w:pStyle w:val="ListParagraph"/>
        <w:numPr>
          <w:ilvl w:val="0"/>
          <w:numId w:val="122"/>
        </w:numPr>
        <w:tabs>
          <w:tab w:val="left" w:pos="2159"/>
        </w:tabs>
        <w:spacing w:before="118"/>
        <w:ind w:right="758"/>
      </w:pPr>
      <w:r>
        <w:rPr>
          <w:b/>
        </w:rPr>
        <w:t>Disclosure</w:t>
      </w:r>
      <w:r>
        <w:t>—Note disclosures related to costs are appropriately measured and described and are relevant and understandable in the context of U.S. GAAP.</w:t>
      </w:r>
      <w:r>
        <w:rPr>
          <w:spacing w:val="-3"/>
        </w:rPr>
        <w:t xml:space="preserve"> </w:t>
      </w:r>
      <w:r>
        <w:t>All</w:t>
      </w:r>
      <w:r>
        <w:rPr>
          <w:spacing w:val="-4"/>
        </w:rPr>
        <w:t xml:space="preserve"> </w:t>
      </w:r>
      <w:r>
        <w:t>note</w:t>
      </w:r>
      <w:r>
        <w:rPr>
          <w:spacing w:val="-4"/>
        </w:rPr>
        <w:t xml:space="preserve"> </w:t>
      </w:r>
      <w:r>
        <w:t>disclosures</w:t>
      </w:r>
      <w:r>
        <w:rPr>
          <w:spacing w:val="-4"/>
        </w:rPr>
        <w:t xml:space="preserve"> </w:t>
      </w:r>
      <w:r>
        <w:t>related</w:t>
      </w:r>
      <w:r>
        <w:rPr>
          <w:spacing w:val="-4"/>
        </w:rPr>
        <w:t xml:space="preserve"> </w:t>
      </w:r>
      <w:r>
        <w:t>to</w:t>
      </w:r>
      <w:r>
        <w:rPr>
          <w:spacing w:val="-4"/>
        </w:rPr>
        <w:t xml:space="preserve"> </w:t>
      </w:r>
      <w:r>
        <w:t>costs</w:t>
      </w:r>
      <w:r>
        <w:rPr>
          <w:spacing w:val="-4"/>
        </w:rPr>
        <w:t xml:space="preserve"> </w:t>
      </w:r>
      <w:r>
        <w:t>that</w:t>
      </w:r>
      <w:r>
        <w:rPr>
          <w:spacing w:val="-5"/>
        </w:rPr>
        <w:t xml:space="preserve"> </w:t>
      </w:r>
      <w:r>
        <w:t>should</w:t>
      </w:r>
      <w:r>
        <w:rPr>
          <w:spacing w:val="-4"/>
        </w:rPr>
        <w:t xml:space="preserve"> </w:t>
      </w:r>
      <w:r>
        <w:t>have</w:t>
      </w:r>
      <w:r>
        <w:rPr>
          <w:spacing w:val="-5"/>
        </w:rPr>
        <w:t xml:space="preserve"> </w:t>
      </w:r>
      <w:r>
        <w:t>been</w:t>
      </w:r>
      <w:r>
        <w:rPr>
          <w:spacing w:val="-4"/>
        </w:rPr>
        <w:t xml:space="preserve"> </w:t>
      </w:r>
      <w:r>
        <w:t>included</w:t>
      </w:r>
      <w:r>
        <w:rPr>
          <w:spacing w:val="-4"/>
        </w:rPr>
        <w:t xml:space="preserve"> </w:t>
      </w:r>
      <w:r>
        <w:t>in the financial statements have been included. Disclosed costs represent goods and services actually received by the entity.</w:t>
      </w:r>
    </w:p>
    <w:p w14:paraId="0DFDC25E" w14:textId="77777777" w:rsidR="00046465" w:rsidRDefault="008134EB">
      <w:pPr>
        <w:pStyle w:val="ListParagraph"/>
        <w:numPr>
          <w:ilvl w:val="0"/>
          <w:numId w:val="6"/>
        </w:numPr>
        <w:tabs>
          <w:tab w:val="left" w:pos="1800"/>
        </w:tabs>
        <w:spacing w:before="118"/>
        <w:ind w:right="727"/>
      </w:pPr>
      <w:r>
        <w:t>SFFAS 4 discusses three methods of assigning costs: directly tracing costs, assigning costs on a cause-and-effect basis, and allocating costs on a reasonable and consistent basis. Although the standard discusses these three methods</w:t>
      </w:r>
      <w:r>
        <w:rPr>
          <w:spacing w:val="-3"/>
        </w:rPr>
        <w:t xml:space="preserve"> </w:t>
      </w:r>
      <w:r>
        <w:t>in</w:t>
      </w:r>
      <w:r>
        <w:rPr>
          <w:spacing w:val="-3"/>
        </w:rPr>
        <w:t xml:space="preserve"> </w:t>
      </w:r>
      <w:r>
        <w:t>relation</w:t>
      </w:r>
      <w:r>
        <w:rPr>
          <w:spacing w:val="-3"/>
        </w:rPr>
        <w:t xml:space="preserve"> </w:t>
      </w:r>
      <w:r>
        <w:t>to</w:t>
      </w:r>
      <w:r>
        <w:rPr>
          <w:spacing w:val="-3"/>
        </w:rPr>
        <w:t xml:space="preserve"> </w:t>
      </w:r>
      <w:r>
        <w:t>assigning</w:t>
      </w:r>
      <w:r>
        <w:rPr>
          <w:spacing w:val="-3"/>
        </w:rPr>
        <w:t xml:space="preserve"> </w:t>
      </w:r>
      <w:r>
        <w:t>costs</w:t>
      </w:r>
      <w:r>
        <w:rPr>
          <w:spacing w:val="-2"/>
        </w:rPr>
        <w:t xml:space="preserve"> </w:t>
      </w:r>
      <w:r>
        <w:t>to</w:t>
      </w:r>
      <w:r>
        <w:rPr>
          <w:spacing w:val="-3"/>
        </w:rPr>
        <w:t xml:space="preserve"> </w:t>
      </w:r>
      <w:r>
        <w:t>responsibility</w:t>
      </w:r>
      <w:r>
        <w:rPr>
          <w:spacing w:val="-3"/>
        </w:rPr>
        <w:t xml:space="preserve"> </w:t>
      </w:r>
      <w:r>
        <w:t>segments</w:t>
      </w:r>
      <w:r>
        <w:rPr>
          <w:spacing w:val="-3"/>
        </w:rPr>
        <w:t xml:space="preserve"> </w:t>
      </w:r>
      <w:r>
        <w:t>and</w:t>
      </w:r>
      <w:r>
        <w:rPr>
          <w:spacing w:val="-3"/>
        </w:rPr>
        <w:t xml:space="preserve"> </w:t>
      </w:r>
      <w:r>
        <w:t>outputs,</w:t>
      </w:r>
      <w:r>
        <w:rPr>
          <w:spacing w:val="-3"/>
        </w:rPr>
        <w:t xml:space="preserve"> </w:t>
      </w:r>
      <w:r>
        <w:t>the methods</w:t>
      </w:r>
      <w:r>
        <w:rPr>
          <w:spacing w:val="-4"/>
        </w:rPr>
        <w:t xml:space="preserve"> </w:t>
      </w:r>
      <w:r>
        <w:t>are</w:t>
      </w:r>
      <w:r>
        <w:rPr>
          <w:spacing w:val="-4"/>
        </w:rPr>
        <w:t xml:space="preserve"> </w:t>
      </w:r>
      <w:r>
        <w:t>also</w:t>
      </w:r>
      <w:r>
        <w:rPr>
          <w:spacing w:val="-4"/>
        </w:rPr>
        <w:t xml:space="preserve"> </w:t>
      </w:r>
      <w:r>
        <w:t>applicable</w:t>
      </w:r>
      <w:r>
        <w:rPr>
          <w:spacing w:val="-4"/>
        </w:rPr>
        <w:t xml:space="preserve"> </w:t>
      </w:r>
      <w:r>
        <w:t>to</w:t>
      </w:r>
      <w:r>
        <w:rPr>
          <w:spacing w:val="-4"/>
        </w:rPr>
        <w:t xml:space="preserve"> </w:t>
      </w:r>
      <w:r>
        <w:t>assigning</w:t>
      </w:r>
      <w:r>
        <w:rPr>
          <w:spacing w:val="-4"/>
        </w:rPr>
        <w:t xml:space="preserve"> </w:t>
      </w:r>
      <w:r>
        <w:t>costs</w:t>
      </w:r>
      <w:r>
        <w:rPr>
          <w:spacing w:val="-4"/>
        </w:rPr>
        <w:t xml:space="preserve"> </w:t>
      </w:r>
      <w:r>
        <w:t>to</w:t>
      </w:r>
      <w:r>
        <w:rPr>
          <w:spacing w:val="-4"/>
        </w:rPr>
        <w:t xml:space="preserve"> </w:t>
      </w:r>
      <w:r>
        <w:t>financial</w:t>
      </w:r>
      <w:r>
        <w:rPr>
          <w:spacing w:val="-5"/>
        </w:rPr>
        <w:t xml:space="preserve"> </w:t>
      </w:r>
      <w:r>
        <w:t>statement</w:t>
      </w:r>
      <w:r>
        <w:rPr>
          <w:spacing w:val="-4"/>
        </w:rPr>
        <w:t xml:space="preserve"> </w:t>
      </w:r>
      <w:r>
        <w:t>line</w:t>
      </w:r>
      <w:r>
        <w:rPr>
          <w:spacing w:val="-4"/>
        </w:rPr>
        <w:t xml:space="preserve"> </w:t>
      </w:r>
      <w:r>
        <w:t>items</w:t>
      </w:r>
      <w:r>
        <w:rPr>
          <w:spacing w:val="-4"/>
        </w:rPr>
        <w:t xml:space="preserve"> </w:t>
      </w:r>
      <w:r>
        <w:t>in the statement of net cost, generally by program, and in the notes by budget functional classification. The different methods of assigning costs may require different auditing procedures for determining whether costs are properly</w:t>
      </w:r>
      <w:r>
        <w:rPr>
          <w:spacing w:val="40"/>
        </w:rPr>
        <w:t xml:space="preserve"> </w:t>
      </w:r>
      <w:r>
        <w:t>classified in the statement of net cost by program.</w:t>
      </w:r>
    </w:p>
    <w:p w14:paraId="0DFDC25F" w14:textId="77777777" w:rsidR="00046465" w:rsidRDefault="008134EB">
      <w:pPr>
        <w:pStyle w:val="ListParagraph"/>
        <w:numPr>
          <w:ilvl w:val="0"/>
          <w:numId w:val="6"/>
        </w:numPr>
        <w:tabs>
          <w:tab w:val="left" w:pos="1800"/>
        </w:tabs>
        <w:ind w:right="753"/>
      </w:pPr>
      <w:r>
        <w:t>For</w:t>
      </w:r>
      <w:r>
        <w:rPr>
          <w:spacing w:val="-4"/>
        </w:rPr>
        <w:t xml:space="preserve"> </w:t>
      </w:r>
      <w:r>
        <w:t>directly</w:t>
      </w:r>
      <w:r>
        <w:rPr>
          <w:spacing w:val="-5"/>
        </w:rPr>
        <w:t xml:space="preserve"> </w:t>
      </w:r>
      <w:r>
        <w:t>traced</w:t>
      </w:r>
      <w:r>
        <w:rPr>
          <w:spacing w:val="-4"/>
        </w:rPr>
        <w:t xml:space="preserve"> </w:t>
      </w:r>
      <w:r>
        <w:t>costs</w:t>
      </w:r>
      <w:r>
        <w:rPr>
          <w:spacing w:val="-5"/>
        </w:rPr>
        <w:t xml:space="preserve"> </w:t>
      </w:r>
      <w:r>
        <w:t>(such</w:t>
      </w:r>
      <w:r>
        <w:rPr>
          <w:spacing w:val="-4"/>
        </w:rPr>
        <w:t xml:space="preserve"> </w:t>
      </w:r>
      <w:r>
        <w:t>as</w:t>
      </w:r>
      <w:r>
        <w:rPr>
          <w:spacing w:val="-4"/>
        </w:rPr>
        <w:t xml:space="preserve"> </w:t>
      </w:r>
      <w:r>
        <w:t>materials</w:t>
      </w:r>
      <w:r>
        <w:rPr>
          <w:spacing w:val="-4"/>
        </w:rPr>
        <w:t xml:space="preserve"> </w:t>
      </w:r>
      <w:r>
        <w:t>used</w:t>
      </w:r>
      <w:r>
        <w:rPr>
          <w:spacing w:val="-5"/>
        </w:rPr>
        <w:t xml:space="preserve"> </w:t>
      </w:r>
      <w:r>
        <w:t>in</w:t>
      </w:r>
      <w:r>
        <w:rPr>
          <w:spacing w:val="-4"/>
        </w:rPr>
        <w:t xml:space="preserve"> </w:t>
      </w:r>
      <w:r>
        <w:t>production</w:t>
      </w:r>
      <w:r>
        <w:rPr>
          <w:spacing w:val="-4"/>
        </w:rPr>
        <w:t xml:space="preserve"> </w:t>
      </w:r>
      <w:r>
        <w:t>or</w:t>
      </w:r>
      <w:r>
        <w:rPr>
          <w:spacing w:val="-4"/>
        </w:rPr>
        <w:t xml:space="preserve"> </w:t>
      </w:r>
      <w:r>
        <w:t>employees</w:t>
      </w:r>
      <w:r>
        <w:rPr>
          <w:spacing w:val="-4"/>
        </w:rPr>
        <w:t xml:space="preserve"> </w:t>
      </w:r>
      <w:r>
        <w:t>who worked on an output), the auditor generally should test whether costs were assigned to the appropriate program and/or budget functional classification.</w:t>
      </w:r>
    </w:p>
    <w:p w14:paraId="0DFDC260" w14:textId="77777777" w:rsidR="00046465" w:rsidRDefault="008134EB">
      <w:pPr>
        <w:pStyle w:val="ListParagraph"/>
        <w:numPr>
          <w:ilvl w:val="0"/>
          <w:numId w:val="6"/>
        </w:numPr>
        <w:tabs>
          <w:tab w:val="left" w:pos="1800"/>
        </w:tabs>
        <w:spacing w:before="121"/>
        <w:ind w:right="775"/>
      </w:pPr>
      <w:r>
        <w:t>In some cases, costs may be assigned on a cause-and-effect basis, by</w:t>
      </w:r>
      <w:r>
        <w:rPr>
          <w:spacing w:val="-1"/>
        </w:rPr>
        <w:t xml:space="preserve"> </w:t>
      </w:r>
      <w:r>
        <w:t>grouping costs into cost pools where an intermediate activity may be a link between the cause and the effect. For example, an IT department may provide support to other</w:t>
      </w:r>
      <w:r>
        <w:rPr>
          <w:spacing w:val="-4"/>
        </w:rPr>
        <w:t xml:space="preserve"> </w:t>
      </w:r>
      <w:r>
        <w:t>departments.</w:t>
      </w:r>
      <w:r>
        <w:rPr>
          <w:spacing w:val="-4"/>
        </w:rPr>
        <w:t xml:space="preserve"> </w:t>
      </w:r>
      <w:r>
        <w:t>The</w:t>
      </w:r>
      <w:r>
        <w:rPr>
          <w:spacing w:val="-4"/>
        </w:rPr>
        <w:t xml:space="preserve"> </w:t>
      </w:r>
      <w:r>
        <w:t>IT</w:t>
      </w:r>
      <w:r>
        <w:rPr>
          <w:spacing w:val="-4"/>
        </w:rPr>
        <w:t xml:space="preserve"> </w:t>
      </w:r>
      <w:r>
        <w:t>department</w:t>
      </w:r>
      <w:r>
        <w:rPr>
          <w:spacing w:val="-4"/>
        </w:rPr>
        <w:t xml:space="preserve"> </w:t>
      </w:r>
      <w:r>
        <w:t>may</w:t>
      </w:r>
      <w:r>
        <w:rPr>
          <w:spacing w:val="-4"/>
        </w:rPr>
        <w:t xml:space="preserve"> </w:t>
      </w:r>
      <w:r>
        <w:t>assign</w:t>
      </w:r>
      <w:r>
        <w:rPr>
          <w:spacing w:val="-4"/>
        </w:rPr>
        <w:t xml:space="preserve"> </w:t>
      </w:r>
      <w:r>
        <w:t>costs</w:t>
      </w:r>
      <w:r>
        <w:rPr>
          <w:spacing w:val="-4"/>
        </w:rPr>
        <w:t xml:space="preserve"> </w:t>
      </w:r>
      <w:r>
        <w:t>to</w:t>
      </w:r>
      <w:r>
        <w:rPr>
          <w:spacing w:val="-7"/>
        </w:rPr>
        <w:t xml:space="preserve"> </w:t>
      </w:r>
      <w:r>
        <w:t>other</w:t>
      </w:r>
      <w:r>
        <w:rPr>
          <w:spacing w:val="-4"/>
        </w:rPr>
        <w:t xml:space="preserve"> </w:t>
      </w:r>
      <w:r>
        <w:t>departments</w:t>
      </w:r>
      <w:r>
        <w:rPr>
          <w:spacing w:val="-4"/>
        </w:rPr>
        <w:t xml:space="preserve"> </w:t>
      </w:r>
      <w:r>
        <w:t xml:space="preserve">on a cause-and-effect basis by first assigning costs to an intermediate activity, such as hardware installation or software design. The costs in these pools may then be further assigned to other departments based on their use of these technical </w:t>
      </w:r>
      <w:r>
        <w:rPr>
          <w:spacing w:val="-2"/>
        </w:rPr>
        <w:t>services.</w:t>
      </w:r>
    </w:p>
    <w:p w14:paraId="0DFDC261" w14:textId="77777777" w:rsidR="00046465" w:rsidRDefault="008134EB">
      <w:pPr>
        <w:pStyle w:val="BodyText"/>
        <w:spacing w:before="119"/>
        <w:ind w:left="1800" w:right="749"/>
      </w:pPr>
      <w:r>
        <w:t>In auditing these types of costs, the auditor generally should test whether costs are</w:t>
      </w:r>
      <w:r>
        <w:rPr>
          <w:spacing w:val="-4"/>
        </w:rPr>
        <w:t xml:space="preserve"> </w:t>
      </w:r>
      <w:r>
        <w:t>assigned</w:t>
      </w:r>
      <w:r>
        <w:rPr>
          <w:spacing w:val="-4"/>
        </w:rPr>
        <w:t xml:space="preserve"> </w:t>
      </w:r>
      <w:r>
        <w:t>to</w:t>
      </w:r>
      <w:r>
        <w:rPr>
          <w:spacing w:val="-4"/>
        </w:rPr>
        <w:t xml:space="preserve"> </w:t>
      </w:r>
      <w:r>
        <w:t>the</w:t>
      </w:r>
      <w:r>
        <w:rPr>
          <w:spacing w:val="-4"/>
        </w:rPr>
        <w:t xml:space="preserve"> </w:t>
      </w:r>
      <w:r>
        <w:t>appropriate</w:t>
      </w:r>
      <w:r>
        <w:rPr>
          <w:spacing w:val="-4"/>
        </w:rPr>
        <w:t xml:space="preserve"> </w:t>
      </w:r>
      <w:r>
        <w:t>cost</w:t>
      </w:r>
      <w:r>
        <w:rPr>
          <w:spacing w:val="-5"/>
        </w:rPr>
        <w:t xml:space="preserve"> </w:t>
      </w:r>
      <w:r>
        <w:t>pool</w:t>
      </w:r>
      <w:r>
        <w:rPr>
          <w:spacing w:val="-4"/>
        </w:rPr>
        <w:t xml:space="preserve"> </w:t>
      </w:r>
      <w:r>
        <w:t>(e.g.,</w:t>
      </w:r>
      <w:r>
        <w:rPr>
          <w:spacing w:val="-4"/>
        </w:rPr>
        <w:t xml:space="preserve"> </w:t>
      </w:r>
      <w:r>
        <w:t>hardware</w:t>
      </w:r>
      <w:r>
        <w:rPr>
          <w:spacing w:val="-4"/>
        </w:rPr>
        <w:t xml:space="preserve"> </w:t>
      </w:r>
      <w:r>
        <w:t>installation</w:t>
      </w:r>
      <w:r>
        <w:rPr>
          <w:spacing w:val="-4"/>
        </w:rPr>
        <w:t xml:space="preserve"> </w:t>
      </w:r>
      <w:r>
        <w:t>or</w:t>
      </w:r>
      <w:r>
        <w:rPr>
          <w:spacing w:val="-5"/>
        </w:rPr>
        <w:t xml:space="preserve"> </w:t>
      </w:r>
      <w:r>
        <w:t>software design)</w:t>
      </w:r>
      <w:r>
        <w:rPr>
          <w:spacing w:val="-4"/>
        </w:rPr>
        <w:t xml:space="preserve"> </w:t>
      </w:r>
      <w:r>
        <w:t>and</w:t>
      </w:r>
      <w:r>
        <w:rPr>
          <w:spacing w:val="-5"/>
        </w:rPr>
        <w:t xml:space="preserve"> </w:t>
      </w:r>
      <w:r>
        <w:t>also</w:t>
      </w:r>
      <w:r>
        <w:rPr>
          <w:spacing w:val="-4"/>
        </w:rPr>
        <w:t xml:space="preserve"> </w:t>
      </w:r>
      <w:r>
        <w:t>whether</w:t>
      </w:r>
      <w:r>
        <w:rPr>
          <w:spacing w:val="-4"/>
        </w:rPr>
        <w:t xml:space="preserve"> </w:t>
      </w:r>
      <w:r>
        <w:t>costs</w:t>
      </w:r>
      <w:r>
        <w:rPr>
          <w:spacing w:val="-4"/>
        </w:rPr>
        <w:t xml:space="preserve"> </w:t>
      </w:r>
      <w:r>
        <w:t>are</w:t>
      </w:r>
      <w:r>
        <w:rPr>
          <w:spacing w:val="-4"/>
        </w:rPr>
        <w:t xml:space="preserve"> </w:t>
      </w:r>
      <w:r>
        <w:t>appropriately</w:t>
      </w:r>
      <w:r>
        <w:rPr>
          <w:spacing w:val="-5"/>
        </w:rPr>
        <w:t xml:space="preserve"> </w:t>
      </w:r>
      <w:r>
        <w:t>summarized</w:t>
      </w:r>
      <w:r>
        <w:rPr>
          <w:spacing w:val="-4"/>
        </w:rPr>
        <w:t xml:space="preserve"> </w:t>
      </w:r>
      <w:r>
        <w:t>in</w:t>
      </w:r>
      <w:r>
        <w:rPr>
          <w:spacing w:val="-4"/>
        </w:rPr>
        <w:t xml:space="preserve"> </w:t>
      </w:r>
      <w:r>
        <w:t>the</w:t>
      </w:r>
      <w:r>
        <w:rPr>
          <w:spacing w:val="-4"/>
        </w:rPr>
        <w:t xml:space="preserve"> </w:t>
      </w:r>
      <w:r>
        <w:t>pool.</w:t>
      </w:r>
      <w:r>
        <w:rPr>
          <w:spacing w:val="-5"/>
        </w:rPr>
        <w:t xml:space="preserve"> </w:t>
      </w:r>
      <w:r>
        <w:t xml:space="preserve">When costs are assigned to other departments, the auditor generally should test whether costs assigned are based on appropriate usage information, cost assignments are reasonable and consistent, and they are mathematically </w:t>
      </w:r>
      <w:r>
        <w:rPr>
          <w:spacing w:val="-2"/>
        </w:rPr>
        <w:t>accurate.</w:t>
      </w:r>
    </w:p>
    <w:p w14:paraId="0DFDC262" w14:textId="77777777" w:rsidR="00046465" w:rsidRDefault="008134EB">
      <w:pPr>
        <w:pStyle w:val="ListParagraph"/>
        <w:numPr>
          <w:ilvl w:val="0"/>
          <w:numId w:val="121"/>
        </w:numPr>
        <w:tabs>
          <w:tab w:val="left" w:pos="1800"/>
        </w:tabs>
        <w:ind w:right="862"/>
      </w:pPr>
      <w:r>
        <w:t>If it is not economically feasible to either directly trace or assign costs on a cause-and-effect basis, the entity may allocate costs. This is commonly done with costs such as general management, depreciation, rent, maintenance, security, and utilities that various segments use. These costs are generally accumulated</w:t>
      </w:r>
      <w:r>
        <w:rPr>
          <w:spacing w:val="-4"/>
        </w:rPr>
        <w:t xml:space="preserve"> </w:t>
      </w:r>
      <w:r>
        <w:t>in</w:t>
      </w:r>
      <w:r>
        <w:rPr>
          <w:spacing w:val="-4"/>
        </w:rPr>
        <w:t xml:space="preserve"> </w:t>
      </w:r>
      <w:r>
        <w:t>cost</w:t>
      </w:r>
      <w:r>
        <w:rPr>
          <w:spacing w:val="-4"/>
        </w:rPr>
        <w:t xml:space="preserve"> </w:t>
      </w:r>
      <w:r>
        <w:t>pools</w:t>
      </w:r>
      <w:r>
        <w:rPr>
          <w:spacing w:val="-4"/>
        </w:rPr>
        <w:t xml:space="preserve"> </w:t>
      </w:r>
      <w:r>
        <w:t>and</w:t>
      </w:r>
      <w:r>
        <w:rPr>
          <w:spacing w:val="-4"/>
        </w:rPr>
        <w:t xml:space="preserve"> </w:t>
      </w:r>
      <w:r>
        <w:t>allocated</w:t>
      </w:r>
      <w:r>
        <w:rPr>
          <w:spacing w:val="-4"/>
        </w:rPr>
        <w:t xml:space="preserve"> </w:t>
      </w:r>
      <w:r>
        <w:t>to</w:t>
      </w:r>
      <w:r>
        <w:rPr>
          <w:spacing w:val="-4"/>
        </w:rPr>
        <w:t xml:space="preserve"> </w:t>
      </w:r>
      <w:r>
        <w:t>segments</w:t>
      </w:r>
      <w:r>
        <w:rPr>
          <w:spacing w:val="-4"/>
        </w:rPr>
        <w:t xml:space="preserve"> </w:t>
      </w:r>
      <w:r>
        <w:t>or</w:t>
      </w:r>
      <w:r>
        <w:rPr>
          <w:spacing w:val="-4"/>
        </w:rPr>
        <w:t xml:space="preserve"> </w:t>
      </w:r>
      <w:r>
        <w:t>outputs</w:t>
      </w:r>
      <w:r>
        <w:rPr>
          <w:spacing w:val="-4"/>
        </w:rPr>
        <w:t xml:space="preserve"> </w:t>
      </w:r>
      <w:r>
        <w:t>(or</w:t>
      </w:r>
      <w:r>
        <w:rPr>
          <w:spacing w:val="-4"/>
        </w:rPr>
        <w:t xml:space="preserve"> </w:t>
      </w:r>
      <w:r>
        <w:t>programs</w:t>
      </w:r>
      <w:r>
        <w:rPr>
          <w:spacing w:val="-4"/>
        </w:rPr>
        <w:t xml:space="preserve"> </w:t>
      </w:r>
      <w:r>
        <w:t>or budget functional classifications) using a cost driver, such as number of employees,</w:t>
      </w:r>
      <w:r>
        <w:rPr>
          <w:spacing w:val="-3"/>
        </w:rPr>
        <w:t xml:space="preserve"> </w:t>
      </w:r>
      <w:r>
        <w:t>square</w:t>
      </w:r>
      <w:r>
        <w:rPr>
          <w:spacing w:val="-2"/>
        </w:rPr>
        <w:t xml:space="preserve"> </w:t>
      </w:r>
      <w:r>
        <w:t>footage</w:t>
      </w:r>
      <w:r>
        <w:rPr>
          <w:spacing w:val="-2"/>
        </w:rPr>
        <w:t xml:space="preserve"> </w:t>
      </w:r>
      <w:r>
        <w:t>of</w:t>
      </w:r>
      <w:r>
        <w:rPr>
          <w:spacing w:val="-2"/>
        </w:rPr>
        <w:t xml:space="preserve"> </w:t>
      </w:r>
      <w:r>
        <w:t>office</w:t>
      </w:r>
      <w:r>
        <w:rPr>
          <w:spacing w:val="-3"/>
        </w:rPr>
        <w:t xml:space="preserve"> </w:t>
      </w:r>
      <w:r>
        <w:t>space,</w:t>
      </w:r>
      <w:r>
        <w:rPr>
          <w:spacing w:val="-2"/>
        </w:rPr>
        <w:t xml:space="preserve"> </w:t>
      </w:r>
      <w:r>
        <w:t>or</w:t>
      </w:r>
      <w:r>
        <w:rPr>
          <w:spacing w:val="-2"/>
        </w:rPr>
        <w:t xml:space="preserve"> </w:t>
      </w:r>
      <w:r>
        <w:t>amount</w:t>
      </w:r>
      <w:r>
        <w:rPr>
          <w:spacing w:val="-2"/>
        </w:rPr>
        <w:t xml:space="preserve"> </w:t>
      </w:r>
      <w:r>
        <w:t>of</w:t>
      </w:r>
      <w:r>
        <w:rPr>
          <w:spacing w:val="-2"/>
        </w:rPr>
        <w:t xml:space="preserve"> </w:t>
      </w:r>
      <w:r>
        <w:t>direct</w:t>
      </w:r>
      <w:r>
        <w:rPr>
          <w:spacing w:val="-2"/>
        </w:rPr>
        <w:t xml:space="preserve"> </w:t>
      </w:r>
      <w:r>
        <w:t>costs</w:t>
      </w:r>
      <w:r>
        <w:rPr>
          <w:spacing w:val="-2"/>
        </w:rPr>
        <w:t xml:space="preserve"> </w:t>
      </w:r>
      <w:r>
        <w:t>incurred</w:t>
      </w:r>
      <w:r>
        <w:rPr>
          <w:spacing w:val="-2"/>
        </w:rPr>
        <w:t xml:space="preserve"> </w:t>
      </w:r>
      <w:r>
        <w:t>in</w:t>
      </w:r>
    </w:p>
    <w:p w14:paraId="0DFDC263" w14:textId="77777777" w:rsidR="00046465" w:rsidRDefault="008134EB">
      <w:pPr>
        <w:pStyle w:val="BodyText"/>
        <w:spacing w:before="213"/>
        <w:rPr>
          <w:sz w:val="20"/>
        </w:rPr>
      </w:pPr>
      <w:r>
        <w:rPr>
          <w:noProof/>
          <w:sz w:val="20"/>
        </w:rPr>
        <mc:AlternateContent>
          <mc:Choice Requires="wps">
            <w:drawing>
              <wp:anchor distT="0" distB="0" distL="0" distR="0" simplePos="0" relativeHeight="487720960" behindDoc="1" locked="0" layoutInCell="1" allowOverlap="1" wp14:anchorId="0DFDD71B" wp14:editId="0DFDD71C">
                <wp:simplePos x="0" y="0"/>
                <wp:positionH relativeFrom="page">
                  <wp:posOffset>914400</wp:posOffset>
                </wp:positionH>
                <wp:positionV relativeFrom="paragraph">
                  <wp:posOffset>297060</wp:posOffset>
                </wp:positionV>
                <wp:extent cx="1828800" cy="5715"/>
                <wp:effectExtent l="0" t="0" r="0" b="0"/>
                <wp:wrapTopAndBottom/>
                <wp:docPr id="935" name="Graphic 9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157C9C" id="Graphic 935" o:spid="_x0000_s1026" style="position:absolute;margin-left:1in;margin-top:23.4pt;width:2in;height:.45pt;z-index:-1559552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" path="m1828800,l,,,5334r1828800,l1828800,xe" fillcolor="black" stroked="f">
                <v:path arrowok="t"/>
                <w10:wrap type="topAndBottom" anchorx="page"/>
              </v:shape>
            </w:pict>
          </mc:Fallback>
        </mc:AlternateContent>
      </w:r>
    </w:p>
    <w:p w14:paraId="0DFDC264" w14:textId="77777777" w:rsidR="00046465" w:rsidRDefault="00046465">
      <w:pPr>
        <w:pStyle w:val="BodyText"/>
        <w:spacing w:before="53"/>
        <w:rPr>
          <w:sz w:val="18"/>
        </w:rPr>
      </w:pPr>
    </w:p>
    <w:p w14:paraId="0DFDC265" w14:textId="77777777" w:rsidR="00046465" w:rsidRDefault="008134EB">
      <w:pPr>
        <w:spacing w:line="244" w:lineRule="auto"/>
        <w:ind w:left="360" w:right="749" w:hanging="1"/>
        <w:rPr>
          <w:sz w:val="18"/>
        </w:rPr>
      </w:pPr>
      <w:bookmarkStart w:id="284" w:name="_bookmark161"/>
      <w:bookmarkEnd w:id="284"/>
      <w:r>
        <w:rPr>
          <w:position w:val="7"/>
          <w:sz w:val="14"/>
        </w:rPr>
        <w:t>20</w:t>
      </w:r>
      <w:r>
        <w:rPr>
          <w:sz w:val="18"/>
        </w:rPr>
        <w:t>Reporting</w:t>
      </w:r>
      <w:r>
        <w:rPr>
          <w:spacing w:val="-4"/>
          <w:sz w:val="18"/>
        </w:rPr>
        <w:t xml:space="preserve"> </w:t>
      </w:r>
      <w:r>
        <w:rPr>
          <w:sz w:val="18"/>
        </w:rPr>
        <w:t>entities</w:t>
      </w:r>
      <w:r>
        <w:rPr>
          <w:spacing w:val="-3"/>
          <w:sz w:val="18"/>
        </w:rPr>
        <w:t xml:space="preserve"> </w:t>
      </w:r>
      <w:r>
        <w:rPr>
          <w:sz w:val="18"/>
        </w:rPr>
        <w:t>may</w:t>
      </w:r>
      <w:r>
        <w:rPr>
          <w:spacing w:val="-3"/>
          <w:sz w:val="18"/>
        </w:rPr>
        <w:t xml:space="preserve"> </w:t>
      </w:r>
      <w:r>
        <w:rPr>
          <w:sz w:val="18"/>
        </w:rPr>
        <w:t>report</w:t>
      </w:r>
      <w:r>
        <w:rPr>
          <w:spacing w:val="-2"/>
          <w:sz w:val="18"/>
        </w:rPr>
        <w:t xml:space="preserve"> </w:t>
      </w:r>
      <w:r>
        <w:rPr>
          <w:sz w:val="18"/>
        </w:rPr>
        <w:t>nonproduction</w:t>
      </w:r>
      <w:r>
        <w:rPr>
          <w:spacing w:val="-4"/>
          <w:sz w:val="18"/>
        </w:rPr>
        <w:t xml:space="preserve"> </w:t>
      </w:r>
      <w:r>
        <w:rPr>
          <w:sz w:val="18"/>
        </w:rPr>
        <w:t>costs</w:t>
      </w:r>
      <w:r>
        <w:rPr>
          <w:spacing w:val="-3"/>
          <w:sz w:val="18"/>
        </w:rPr>
        <w:t xml:space="preserve"> </w:t>
      </w:r>
      <w:r>
        <w:rPr>
          <w:sz w:val="18"/>
        </w:rPr>
        <w:t>separately</w:t>
      </w:r>
      <w:r>
        <w:rPr>
          <w:spacing w:val="-3"/>
          <w:sz w:val="18"/>
        </w:rPr>
        <w:t xml:space="preserve"> </w:t>
      </w:r>
      <w:r>
        <w:rPr>
          <w:sz w:val="18"/>
        </w:rPr>
        <w:t>from</w:t>
      </w:r>
      <w:r>
        <w:rPr>
          <w:spacing w:val="-3"/>
          <w:sz w:val="18"/>
        </w:rPr>
        <w:t xml:space="preserve"> </w:t>
      </w:r>
      <w:r>
        <w:rPr>
          <w:sz w:val="18"/>
        </w:rPr>
        <w:t>production</w:t>
      </w:r>
      <w:r>
        <w:rPr>
          <w:spacing w:val="-4"/>
          <w:sz w:val="18"/>
        </w:rPr>
        <w:t xml:space="preserve"> </w:t>
      </w:r>
      <w:r>
        <w:rPr>
          <w:sz w:val="18"/>
        </w:rPr>
        <w:t>costs</w:t>
      </w:r>
      <w:r>
        <w:rPr>
          <w:spacing w:val="-3"/>
          <w:sz w:val="18"/>
        </w:rPr>
        <w:t xml:space="preserve"> </w:t>
      </w:r>
      <w:r>
        <w:rPr>
          <w:sz w:val="18"/>
        </w:rPr>
        <w:t>within</w:t>
      </w:r>
      <w:r>
        <w:rPr>
          <w:spacing w:val="-2"/>
          <w:sz w:val="18"/>
        </w:rPr>
        <w:t xml:space="preserve"> </w:t>
      </w:r>
      <w:r>
        <w:rPr>
          <w:sz w:val="18"/>
        </w:rPr>
        <w:t>a</w:t>
      </w:r>
      <w:r>
        <w:rPr>
          <w:spacing w:val="-4"/>
          <w:sz w:val="18"/>
        </w:rPr>
        <w:t xml:space="preserve"> </w:t>
      </w:r>
      <w:r>
        <w:rPr>
          <w:sz w:val="18"/>
        </w:rPr>
        <w:t>reported</w:t>
      </w:r>
      <w:r>
        <w:rPr>
          <w:spacing w:val="-4"/>
          <w:sz w:val="18"/>
        </w:rPr>
        <w:t xml:space="preserve"> </w:t>
      </w:r>
      <w:r>
        <w:rPr>
          <w:sz w:val="18"/>
        </w:rPr>
        <w:t>responsibility segment (or major program) or may report nonproduction costs separately from the reporting segments (or major programs) as costs not assigned to programs.</w:t>
      </w:r>
    </w:p>
    <w:p w14:paraId="0DFDC266" w14:textId="77777777" w:rsidR="00046465" w:rsidRDefault="00046465">
      <w:pPr>
        <w:spacing w:line="244" w:lineRule="auto"/>
        <w:rPr>
          <w:sz w:val="18"/>
        </w:rPr>
        <w:sectPr w:rsidR="00046465">
          <w:pgSz w:w="12240" w:h="15840"/>
          <w:pgMar w:top="1340" w:right="720" w:bottom="940" w:left="1080" w:header="721" w:footer="757" w:gutter="0"/>
          <w:cols w:space="720"/>
        </w:sectPr>
      </w:pPr>
    </w:p>
    <w:p w14:paraId="0DFDC267" w14:textId="77777777" w:rsidR="00046465" w:rsidRDefault="008134EB">
      <w:pPr>
        <w:pStyle w:val="BodyText"/>
        <w:spacing w:before="121"/>
        <w:ind w:left="1800"/>
      </w:pPr>
      <w:r>
        <w:rPr>
          <w:spacing w:val="-2"/>
        </w:rPr>
        <w:lastRenderedPageBreak/>
        <w:t>segments.</w:t>
      </w:r>
    </w:p>
    <w:p w14:paraId="0DFDC268" w14:textId="77777777" w:rsidR="00046465" w:rsidRDefault="008134EB">
      <w:pPr>
        <w:pStyle w:val="BodyText"/>
        <w:spacing w:before="120"/>
        <w:ind w:left="1800" w:right="749"/>
      </w:pPr>
      <w:r>
        <w:t>In auditing these allocated costs, the auditor generally should test whether the costs</w:t>
      </w:r>
      <w:r>
        <w:rPr>
          <w:spacing w:val="-4"/>
        </w:rPr>
        <w:t xml:space="preserve"> </w:t>
      </w:r>
      <w:r>
        <w:t>are</w:t>
      </w:r>
      <w:r>
        <w:rPr>
          <w:spacing w:val="-4"/>
        </w:rPr>
        <w:t xml:space="preserve"> </w:t>
      </w:r>
      <w:r>
        <w:t>assigned</w:t>
      </w:r>
      <w:r>
        <w:rPr>
          <w:spacing w:val="-4"/>
        </w:rPr>
        <w:t xml:space="preserve"> </w:t>
      </w:r>
      <w:r>
        <w:t>to</w:t>
      </w:r>
      <w:r>
        <w:rPr>
          <w:spacing w:val="-4"/>
        </w:rPr>
        <w:t xml:space="preserve"> </w:t>
      </w:r>
      <w:r>
        <w:t>the</w:t>
      </w:r>
      <w:r>
        <w:rPr>
          <w:spacing w:val="-4"/>
        </w:rPr>
        <w:t xml:space="preserve"> </w:t>
      </w:r>
      <w:r>
        <w:t>appropriate</w:t>
      </w:r>
      <w:r>
        <w:rPr>
          <w:spacing w:val="-4"/>
        </w:rPr>
        <w:t xml:space="preserve"> </w:t>
      </w:r>
      <w:r>
        <w:t>cost</w:t>
      </w:r>
      <w:r>
        <w:rPr>
          <w:spacing w:val="-4"/>
        </w:rPr>
        <w:t xml:space="preserve"> </w:t>
      </w:r>
      <w:r>
        <w:t>pool</w:t>
      </w:r>
      <w:r>
        <w:rPr>
          <w:spacing w:val="-5"/>
        </w:rPr>
        <w:t xml:space="preserve"> </w:t>
      </w:r>
      <w:r>
        <w:t>and</w:t>
      </w:r>
      <w:r>
        <w:rPr>
          <w:spacing w:val="-4"/>
        </w:rPr>
        <w:t xml:space="preserve"> </w:t>
      </w:r>
      <w:r>
        <w:t>summarized</w:t>
      </w:r>
      <w:r>
        <w:rPr>
          <w:spacing w:val="-4"/>
        </w:rPr>
        <w:t xml:space="preserve"> </w:t>
      </w:r>
      <w:r>
        <w:t>appropriately. The auditor also generally should determine whether the allocation basis is reasonable and consistent, the mathematical allocation is correct, and an allocation is appropriate in the circumstances.</w:t>
      </w:r>
    </w:p>
    <w:p w14:paraId="0DFDC269" w14:textId="77777777" w:rsidR="00046465" w:rsidRDefault="008134EB">
      <w:pPr>
        <w:pStyle w:val="ListParagraph"/>
        <w:numPr>
          <w:ilvl w:val="0"/>
          <w:numId w:val="121"/>
        </w:numPr>
        <w:tabs>
          <w:tab w:val="left" w:pos="1800"/>
        </w:tabs>
        <w:ind w:right="898"/>
      </w:pPr>
      <w:r>
        <w:t>Given the requirement to disclose nonproduction costs or separately report nonproduction costs from production costs, auditors need to be aware of the definition</w:t>
      </w:r>
      <w:r>
        <w:rPr>
          <w:spacing w:val="-5"/>
        </w:rPr>
        <w:t xml:space="preserve"> </w:t>
      </w:r>
      <w:r>
        <w:t>of</w:t>
      </w:r>
      <w:r>
        <w:rPr>
          <w:spacing w:val="-6"/>
        </w:rPr>
        <w:t xml:space="preserve"> </w:t>
      </w:r>
      <w:r>
        <w:t>nonproduction</w:t>
      </w:r>
      <w:r>
        <w:rPr>
          <w:spacing w:val="-5"/>
        </w:rPr>
        <w:t xml:space="preserve"> </w:t>
      </w:r>
      <w:r>
        <w:t>costs</w:t>
      </w:r>
      <w:r>
        <w:rPr>
          <w:spacing w:val="-5"/>
        </w:rPr>
        <w:t xml:space="preserve"> </w:t>
      </w:r>
      <w:r>
        <w:t>and</w:t>
      </w:r>
      <w:r>
        <w:rPr>
          <w:spacing w:val="-5"/>
        </w:rPr>
        <w:t xml:space="preserve"> </w:t>
      </w:r>
      <w:r>
        <w:t>the</w:t>
      </w:r>
      <w:r>
        <w:rPr>
          <w:spacing w:val="-5"/>
        </w:rPr>
        <w:t xml:space="preserve"> </w:t>
      </w:r>
      <w:r>
        <w:t>corresponding</w:t>
      </w:r>
      <w:r>
        <w:rPr>
          <w:spacing w:val="-5"/>
        </w:rPr>
        <w:t xml:space="preserve"> </w:t>
      </w:r>
      <w:r>
        <w:t>reporting</w:t>
      </w:r>
      <w:r>
        <w:rPr>
          <w:spacing w:val="-5"/>
        </w:rPr>
        <w:t xml:space="preserve"> </w:t>
      </w:r>
      <w:r>
        <w:t>requirements. Auditors should include procedures to identify potential material nonproduction costs and, if such costs exist, perform sufficient audit procedures to assure that such costs are properly disclosed or reported.</w:t>
      </w:r>
    </w:p>
    <w:p w14:paraId="0DFDC26A" w14:textId="77777777" w:rsidR="00046465" w:rsidRDefault="008134EB">
      <w:pPr>
        <w:pStyle w:val="ListParagraph"/>
        <w:numPr>
          <w:ilvl w:val="0"/>
          <w:numId w:val="121"/>
        </w:numPr>
        <w:tabs>
          <w:tab w:val="left" w:pos="1800"/>
        </w:tabs>
        <w:ind w:right="748"/>
      </w:pPr>
      <w:r>
        <w:t>The entity exercises professional judgment in determining the line item and programs to include in its statement of net cost. The auditor generally should consider</w:t>
      </w:r>
      <w:r>
        <w:rPr>
          <w:spacing w:val="-4"/>
        </w:rPr>
        <w:t xml:space="preserve"> </w:t>
      </w:r>
      <w:r>
        <w:t>whether</w:t>
      </w:r>
      <w:r>
        <w:rPr>
          <w:spacing w:val="-4"/>
        </w:rPr>
        <w:t xml:space="preserve"> </w:t>
      </w:r>
      <w:r>
        <w:t>such</w:t>
      </w:r>
      <w:r>
        <w:rPr>
          <w:spacing w:val="-4"/>
        </w:rPr>
        <w:t xml:space="preserve"> </w:t>
      </w:r>
      <w:r>
        <w:t>classifications</w:t>
      </w:r>
      <w:r>
        <w:rPr>
          <w:spacing w:val="-4"/>
        </w:rPr>
        <w:t xml:space="preserve"> </w:t>
      </w:r>
      <w:r>
        <w:t>are</w:t>
      </w:r>
      <w:r>
        <w:rPr>
          <w:spacing w:val="-4"/>
        </w:rPr>
        <w:t xml:space="preserve"> </w:t>
      </w:r>
      <w:r>
        <w:t>reasonable</w:t>
      </w:r>
      <w:r>
        <w:rPr>
          <w:spacing w:val="-4"/>
        </w:rPr>
        <w:t xml:space="preserve"> </w:t>
      </w:r>
      <w:r>
        <w:t>in</w:t>
      </w:r>
      <w:r>
        <w:rPr>
          <w:spacing w:val="-4"/>
        </w:rPr>
        <w:t xml:space="preserve"> </w:t>
      </w:r>
      <w:r>
        <w:t>the</w:t>
      </w:r>
      <w:r>
        <w:rPr>
          <w:spacing w:val="-4"/>
        </w:rPr>
        <w:t xml:space="preserve"> </w:t>
      </w:r>
      <w:r>
        <w:t>circumstances</w:t>
      </w:r>
      <w:r>
        <w:rPr>
          <w:spacing w:val="-3"/>
        </w:rPr>
        <w:t xml:space="preserve"> </w:t>
      </w:r>
      <w:r>
        <w:t>and</w:t>
      </w:r>
      <w:r>
        <w:rPr>
          <w:spacing w:val="-4"/>
        </w:rPr>
        <w:t xml:space="preserve"> </w:t>
      </w:r>
      <w:r>
        <w:t xml:space="preserve">to ensure that cost assignment methods and procedures are reasonable and </w:t>
      </w:r>
      <w:r>
        <w:rPr>
          <w:spacing w:val="-2"/>
        </w:rPr>
        <w:t>documented.</w:t>
      </w:r>
    </w:p>
    <w:p w14:paraId="0DFDC26B" w14:textId="77777777" w:rsidR="00046465" w:rsidRDefault="008134EB">
      <w:pPr>
        <w:pStyle w:val="Heading4"/>
        <w:spacing w:before="240"/>
      </w:pPr>
      <w:bookmarkStart w:id="285" w:name="Federal_Financial_Management_Improvement"/>
      <w:bookmarkEnd w:id="285"/>
      <w:r>
        <w:t>Federal</w:t>
      </w:r>
      <w:r>
        <w:rPr>
          <w:spacing w:val="-13"/>
        </w:rPr>
        <w:t xml:space="preserve"> </w:t>
      </w:r>
      <w:r>
        <w:t>Financial</w:t>
      </w:r>
      <w:r>
        <w:rPr>
          <w:spacing w:val="-12"/>
        </w:rPr>
        <w:t xml:space="preserve"> </w:t>
      </w:r>
      <w:r>
        <w:t>Management</w:t>
      </w:r>
      <w:r>
        <w:rPr>
          <w:spacing w:val="-12"/>
        </w:rPr>
        <w:t xml:space="preserve"> </w:t>
      </w:r>
      <w:r>
        <w:t>Improvement</w:t>
      </w:r>
      <w:r>
        <w:rPr>
          <w:spacing w:val="-12"/>
        </w:rPr>
        <w:t xml:space="preserve"> </w:t>
      </w:r>
      <w:r>
        <w:t>Act</w:t>
      </w:r>
      <w:r>
        <w:rPr>
          <w:spacing w:val="-12"/>
        </w:rPr>
        <w:t xml:space="preserve"> </w:t>
      </w:r>
      <w:r>
        <w:t>of</w:t>
      </w:r>
      <w:r>
        <w:rPr>
          <w:spacing w:val="-12"/>
        </w:rPr>
        <w:t xml:space="preserve"> </w:t>
      </w:r>
      <w:r>
        <w:t>1996</w:t>
      </w:r>
      <w:r>
        <w:rPr>
          <w:spacing w:val="-12"/>
        </w:rPr>
        <w:t xml:space="preserve"> </w:t>
      </w:r>
      <w:r>
        <w:rPr>
          <w:spacing w:val="-2"/>
        </w:rPr>
        <w:t>(FFMIA)</w:t>
      </w:r>
    </w:p>
    <w:p w14:paraId="0DFDC26C" w14:textId="77777777" w:rsidR="00046465" w:rsidRDefault="008134EB">
      <w:pPr>
        <w:pStyle w:val="ListParagraph"/>
        <w:numPr>
          <w:ilvl w:val="0"/>
          <w:numId w:val="121"/>
        </w:numPr>
        <w:tabs>
          <w:tab w:val="left" w:pos="1799"/>
        </w:tabs>
        <w:ind w:left="1799" w:right="862" w:hanging="720"/>
      </w:pPr>
      <w:r>
        <w:t>For audits of the CFO Act agencies, the auditor must evaluate whether agency financial</w:t>
      </w:r>
      <w:r>
        <w:rPr>
          <w:spacing w:val="-5"/>
        </w:rPr>
        <w:t xml:space="preserve"> </w:t>
      </w:r>
      <w:r>
        <w:t>management</w:t>
      </w:r>
      <w:r>
        <w:rPr>
          <w:spacing w:val="-5"/>
        </w:rPr>
        <w:t xml:space="preserve"> </w:t>
      </w:r>
      <w:r>
        <w:t>systems</w:t>
      </w:r>
      <w:r>
        <w:rPr>
          <w:spacing w:val="-5"/>
        </w:rPr>
        <w:t xml:space="preserve"> </w:t>
      </w:r>
      <w:r>
        <w:t>comply</w:t>
      </w:r>
      <w:r>
        <w:rPr>
          <w:spacing w:val="-5"/>
        </w:rPr>
        <w:t xml:space="preserve"> </w:t>
      </w:r>
      <w:r>
        <w:t>substantially</w:t>
      </w:r>
      <w:r>
        <w:rPr>
          <w:spacing w:val="-4"/>
        </w:rPr>
        <w:t xml:space="preserve"> </w:t>
      </w:r>
      <w:r>
        <w:t>with</w:t>
      </w:r>
      <w:r>
        <w:rPr>
          <w:spacing w:val="-5"/>
        </w:rPr>
        <w:t xml:space="preserve"> </w:t>
      </w:r>
      <w:r>
        <w:t>the</w:t>
      </w:r>
      <w:r>
        <w:rPr>
          <w:spacing w:val="-6"/>
        </w:rPr>
        <w:t xml:space="preserve"> </w:t>
      </w:r>
      <w:r>
        <w:t>three</w:t>
      </w:r>
      <w:r>
        <w:rPr>
          <w:spacing w:val="-5"/>
        </w:rPr>
        <w:t xml:space="preserve"> </w:t>
      </w:r>
      <w:r>
        <w:t>requirements of FFMIA (see FAM 701). To determine compliance with SFFAS 4 and SFFAS 55 for the purposes of FFMIA, the auditor generally should ask the following questions (which relate to the standards discussed in FAM 903.05):</w:t>
      </w:r>
    </w:p>
    <w:p w14:paraId="0DFDC26D" w14:textId="77777777" w:rsidR="00046465" w:rsidRDefault="008134EB">
      <w:pPr>
        <w:pStyle w:val="ListParagraph"/>
        <w:numPr>
          <w:ilvl w:val="1"/>
          <w:numId w:val="121"/>
        </w:numPr>
        <w:tabs>
          <w:tab w:val="left" w:pos="2158"/>
        </w:tabs>
        <w:ind w:left="2158" w:hanging="359"/>
      </w:pPr>
      <w:r>
        <w:t>Has</w:t>
      </w:r>
      <w:r>
        <w:rPr>
          <w:spacing w:val="-7"/>
        </w:rPr>
        <w:t xml:space="preserve"> </w:t>
      </w:r>
      <w:r>
        <w:t>the</w:t>
      </w:r>
      <w:r>
        <w:rPr>
          <w:spacing w:val="-7"/>
        </w:rPr>
        <w:t xml:space="preserve"> </w:t>
      </w:r>
      <w:r>
        <w:t>agency</w:t>
      </w:r>
      <w:r>
        <w:rPr>
          <w:spacing w:val="-7"/>
        </w:rPr>
        <w:t xml:space="preserve"> </w:t>
      </w:r>
      <w:r>
        <w:t>defined</w:t>
      </w:r>
      <w:r>
        <w:rPr>
          <w:spacing w:val="-8"/>
        </w:rPr>
        <w:t xml:space="preserve"> </w:t>
      </w:r>
      <w:r>
        <w:t>its</w:t>
      </w:r>
      <w:r>
        <w:rPr>
          <w:spacing w:val="-7"/>
        </w:rPr>
        <w:t xml:space="preserve"> </w:t>
      </w:r>
      <w:r>
        <w:t>responsibility</w:t>
      </w:r>
      <w:r>
        <w:rPr>
          <w:spacing w:val="-7"/>
        </w:rPr>
        <w:t xml:space="preserve"> </w:t>
      </w:r>
      <w:r>
        <w:t>segments</w:t>
      </w:r>
      <w:r>
        <w:rPr>
          <w:spacing w:val="-6"/>
        </w:rPr>
        <w:t xml:space="preserve"> </w:t>
      </w:r>
      <w:r>
        <w:t>to</w:t>
      </w:r>
      <w:r>
        <w:rPr>
          <w:spacing w:val="-7"/>
        </w:rPr>
        <w:t xml:space="preserve"> </w:t>
      </w:r>
      <w:r>
        <w:t>delineate</w:t>
      </w:r>
      <w:r>
        <w:rPr>
          <w:spacing w:val="-7"/>
        </w:rPr>
        <w:t xml:space="preserve"> </w:t>
      </w:r>
      <w:r>
        <w:rPr>
          <w:spacing w:val="-2"/>
        </w:rPr>
        <w:t>costs?</w:t>
      </w:r>
    </w:p>
    <w:p w14:paraId="0DFDC26E" w14:textId="77777777" w:rsidR="00046465" w:rsidRDefault="008134EB">
      <w:pPr>
        <w:pStyle w:val="ListParagraph"/>
        <w:numPr>
          <w:ilvl w:val="1"/>
          <w:numId w:val="121"/>
        </w:numPr>
        <w:tabs>
          <w:tab w:val="left" w:pos="2159"/>
        </w:tabs>
        <w:ind w:right="1443"/>
      </w:pPr>
      <w:r>
        <w:t>Does</w:t>
      </w:r>
      <w:r>
        <w:rPr>
          <w:spacing w:val="-5"/>
        </w:rPr>
        <w:t xml:space="preserve"> </w:t>
      </w:r>
      <w:r>
        <w:t>the</w:t>
      </w:r>
      <w:r>
        <w:rPr>
          <w:spacing w:val="-5"/>
        </w:rPr>
        <w:t xml:space="preserve"> </w:t>
      </w:r>
      <w:r>
        <w:t>agency</w:t>
      </w:r>
      <w:r>
        <w:rPr>
          <w:spacing w:val="-5"/>
        </w:rPr>
        <w:t xml:space="preserve"> </w:t>
      </w:r>
      <w:r>
        <w:t>properly</w:t>
      </w:r>
      <w:r>
        <w:rPr>
          <w:spacing w:val="-5"/>
        </w:rPr>
        <w:t xml:space="preserve"> </w:t>
      </w:r>
      <w:r>
        <w:t>accumulate</w:t>
      </w:r>
      <w:r>
        <w:rPr>
          <w:spacing w:val="-5"/>
        </w:rPr>
        <w:t xml:space="preserve"> </w:t>
      </w:r>
      <w:r>
        <w:t>full</w:t>
      </w:r>
      <w:r>
        <w:rPr>
          <w:spacing w:val="-5"/>
        </w:rPr>
        <w:t xml:space="preserve"> </w:t>
      </w:r>
      <w:r>
        <w:t>costs</w:t>
      </w:r>
      <w:r>
        <w:rPr>
          <w:spacing w:val="-5"/>
        </w:rPr>
        <w:t xml:space="preserve"> </w:t>
      </w:r>
      <w:r>
        <w:t>by</w:t>
      </w:r>
      <w:r>
        <w:rPr>
          <w:spacing w:val="-5"/>
        </w:rPr>
        <w:t xml:space="preserve"> </w:t>
      </w:r>
      <w:r>
        <w:t>those</w:t>
      </w:r>
      <w:r>
        <w:rPr>
          <w:spacing w:val="-5"/>
        </w:rPr>
        <w:t xml:space="preserve"> </w:t>
      </w:r>
      <w:r>
        <w:t xml:space="preserve">responsibility </w:t>
      </w:r>
      <w:r>
        <w:rPr>
          <w:spacing w:val="-2"/>
        </w:rPr>
        <w:t>segments?</w:t>
      </w:r>
    </w:p>
    <w:p w14:paraId="0DFDC26F" w14:textId="77777777" w:rsidR="00046465" w:rsidRDefault="008134EB">
      <w:pPr>
        <w:pStyle w:val="ListParagraph"/>
        <w:numPr>
          <w:ilvl w:val="1"/>
          <w:numId w:val="121"/>
        </w:numPr>
        <w:tabs>
          <w:tab w:val="left" w:pos="2159"/>
        </w:tabs>
        <w:spacing w:before="119"/>
        <w:ind w:right="1086"/>
      </w:pPr>
      <w:r>
        <w:t>Has</w:t>
      </w:r>
      <w:r>
        <w:rPr>
          <w:spacing w:val="-4"/>
        </w:rPr>
        <w:t xml:space="preserve"> </w:t>
      </w:r>
      <w:r>
        <w:t>the</w:t>
      </w:r>
      <w:r>
        <w:rPr>
          <w:spacing w:val="-4"/>
        </w:rPr>
        <w:t xml:space="preserve"> </w:t>
      </w:r>
      <w:r>
        <w:t>agency</w:t>
      </w:r>
      <w:r>
        <w:rPr>
          <w:spacing w:val="-4"/>
        </w:rPr>
        <w:t xml:space="preserve"> </w:t>
      </w:r>
      <w:r>
        <w:t>accounted</w:t>
      </w:r>
      <w:r>
        <w:rPr>
          <w:spacing w:val="-4"/>
        </w:rPr>
        <w:t xml:space="preserve"> </w:t>
      </w:r>
      <w:r>
        <w:t>for</w:t>
      </w:r>
      <w:r>
        <w:rPr>
          <w:spacing w:val="-4"/>
        </w:rPr>
        <w:t xml:space="preserve"> </w:t>
      </w:r>
      <w:r>
        <w:t>the</w:t>
      </w:r>
      <w:r>
        <w:rPr>
          <w:spacing w:val="-4"/>
        </w:rPr>
        <w:t xml:space="preserve"> </w:t>
      </w:r>
      <w:r>
        <w:t>full</w:t>
      </w:r>
      <w:r>
        <w:rPr>
          <w:spacing w:val="-4"/>
        </w:rPr>
        <w:t xml:space="preserve"> </w:t>
      </w:r>
      <w:r>
        <w:t>costs</w:t>
      </w:r>
      <w:r>
        <w:rPr>
          <w:spacing w:val="-5"/>
        </w:rPr>
        <w:t xml:space="preserve"> </w:t>
      </w:r>
      <w:r>
        <w:t>(including</w:t>
      </w:r>
      <w:r>
        <w:rPr>
          <w:spacing w:val="-4"/>
        </w:rPr>
        <w:t xml:space="preserve"> </w:t>
      </w:r>
      <w:r>
        <w:t>inter-entity</w:t>
      </w:r>
      <w:r>
        <w:rPr>
          <w:spacing w:val="-4"/>
        </w:rPr>
        <w:t xml:space="preserve"> </w:t>
      </w:r>
      <w:r>
        <w:t>costs)</w:t>
      </w:r>
      <w:r>
        <w:rPr>
          <w:spacing w:val="-4"/>
        </w:rPr>
        <w:t xml:space="preserve"> </w:t>
      </w:r>
      <w:r>
        <w:t xml:space="preserve">of products, services, or outputs to be externally reported at the entity-wide </w:t>
      </w:r>
      <w:r>
        <w:rPr>
          <w:spacing w:val="-2"/>
        </w:rPr>
        <w:t>level?</w:t>
      </w:r>
    </w:p>
    <w:p w14:paraId="0DFDC270" w14:textId="77777777" w:rsidR="00046465" w:rsidRDefault="008134EB">
      <w:pPr>
        <w:pStyle w:val="ListParagraph"/>
        <w:numPr>
          <w:ilvl w:val="1"/>
          <w:numId w:val="121"/>
        </w:numPr>
        <w:tabs>
          <w:tab w:val="left" w:pos="2159"/>
        </w:tabs>
        <w:spacing w:before="121"/>
        <w:ind w:right="843"/>
      </w:pPr>
      <w:r>
        <w:t>Has</w:t>
      </w:r>
      <w:r>
        <w:rPr>
          <w:spacing w:val="-3"/>
        </w:rPr>
        <w:t xml:space="preserve"> </w:t>
      </w:r>
      <w:r>
        <w:t>the</w:t>
      </w:r>
      <w:r>
        <w:rPr>
          <w:spacing w:val="-3"/>
        </w:rPr>
        <w:t xml:space="preserve"> </w:t>
      </w:r>
      <w:r>
        <w:t>agency</w:t>
      </w:r>
      <w:r>
        <w:rPr>
          <w:spacing w:val="-3"/>
        </w:rPr>
        <w:t xml:space="preserve"> </w:t>
      </w:r>
      <w:r>
        <w:t>accounted</w:t>
      </w:r>
      <w:r>
        <w:rPr>
          <w:spacing w:val="-3"/>
        </w:rPr>
        <w:t xml:space="preserve"> </w:t>
      </w:r>
      <w:r>
        <w:t>for</w:t>
      </w:r>
      <w:r>
        <w:rPr>
          <w:spacing w:val="-3"/>
        </w:rPr>
        <w:t xml:space="preserve"> </w:t>
      </w:r>
      <w:r>
        <w:t>the</w:t>
      </w:r>
      <w:r>
        <w:rPr>
          <w:spacing w:val="-3"/>
        </w:rPr>
        <w:t xml:space="preserve"> </w:t>
      </w:r>
      <w:r>
        <w:t>full</w:t>
      </w:r>
      <w:r>
        <w:rPr>
          <w:spacing w:val="-3"/>
        </w:rPr>
        <w:t xml:space="preserve"> </w:t>
      </w:r>
      <w:r>
        <w:t>cost</w:t>
      </w:r>
      <w:r>
        <w:rPr>
          <w:spacing w:val="-3"/>
        </w:rPr>
        <w:t xml:space="preserve"> </w:t>
      </w:r>
      <w:r>
        <w:t>of</w:t>
      </w:r>
      <w:r>
        <w:rPr>
          <w:spacing w:val="-3"/>
        </w:rPr>
        <w:t xml:space="preserve"> </w:t>
      </w:r>
      <w:r>
        <w:t>resources</w:t>
      </w:r>
      <w:r>
        <w:rPr>
          <w:spacing w:val="-3"/>
        </w:rPr>
        <w:t xml:space="preserve"> </w:t>
      </w:r>
      <w:r>
        <w:t>that</w:t>
      </w:r>
      <w:r>
        <w:rPr>
          <w:spacing w:val="-4"/>
        </w:rPr>
        <w:t xml:space="preserve"> </w:t>
      </w:r>
      <w:r>
        <w:t>contribute</w:t>
      </w:r>
      <w:r>
        <w:rPr>
          <w:spacing w:val="-3"/>
        </w:rPr>
        <w:t xml:space="preserve"> </w:t>
      </w:r>
      <w:r>
        <w:t>to</w:t>
      </w:r>
      <w:r>
        <w:rPr>
          <w:spacing w:val="-4"/>
        </w:rPr>
        <w:t xml:space="preserve"> </w:t>
      </w:r>
      <w:r>
        <w:t>the production of outputs by individual responsibility segment using appropriate costing methodologies (see FAM 903.07)?</w:t>
      </w:r>
    </w:p>
    <w:p w14:paraId="0DFDC271" w14:textId="77777777" w:rsidR="00046465" w:rsidRDefault="008134EB">
      <w:pPr>
        <w:pStyle w:val="ListParagraph"/>
        <w:numPr>
          <w:ilvl w:val="1"/>
          <w:numId w:val="121"/>
        </w:numPr>
        <w:tabs>
          <w:tab w:val="left" w:pos="2157"/>
          <w:tab w:val="left" w:pos="2159"/>
        </w:tabs>
        <w:spacing w:before="119"/>
        <w:ind w:right="745" w:hanging="361"/>
      </w:pPr>
      <w:r>
        <w:t>Has</w:t>
      </w:r>
      <w:r>
        <w:rPr>
          <w:spacing w:val="-3"/>
        </w:rPr>
        <w:t xml:space="preserve"> </w:t>
      </w:r>
      <w:r>
        <w:t>the</w:t>
      </w:r>
      <w:r>
        <w:rPr>
          <w:spacing w:val="-3"/>
        </w:rPr>
        <w:t xml:space="preserve"> </w:t>
      </w:r>
      <w:r>
        <w:t>agency</w:t>
      </w:r>
      <w:r>
        <w:rPr>
          <w:spacing w:val="-3"/>
        </w:rPr>
        <w:t xml:space="preserve"> </w:t>
      </w:r>
      <w:r>
        <w:t>reported</w:t>
      </w:r>
      <w:r>
        <w:rPr>
          <w:spacing w:val="-4"/>
        </w:rPr>
        <w:t xml:space="preserve"> </w:t>
      </w:r>
      <w:r>
        <w:t>full</w:t>
      </w:r>
      <w:r>
        <w:rPr>
          <w:spacing w:val="-3"/>
        </w:rPr>
        <w:t xml:space="preserve"> </w:t>
      </w:r>
      <w:r>
        <w:t>costs</w:t>
      </w:r>
      <w:r>
        <w:rPr>
          <w:spacing w:val="-3"/>
        </w:rPr>
        <w:t xml:space="preserve"> </w:t>
      </w:r>
      <w:r>
        <w:t>in</w:t>
      </w:r>
      <w:r>
        <w:rPr>
          <w:spacing w:val="-4"/>
        </w:rPr>
        <w:t xml:space="preserve"> </w:t>
      </w:r>
      <w:r>
        <w:t>the</w:t>
      </w:r>
      <w:r>
        <w:rPr>
          <w:spacing w:val="-3"/>
        </w:rPr>
        <w:t xml:space="preserve"> </w:t>
      </w:r>
      <w:r>
        <w:t>year-end</w:t>
      </w:r>
      <w:r>
        <w:rPr>
          <w:spacing w:val="-3"/>
        </w:rPr>
        <w:t xml:space="preserve"> </w:t>
      </w:r>
      <w:r>
        <w:t>financial</w:t>
      </w:r>
      <w:r>
        <w:rPr>
          <w:spacing w:val="-4"/>
        </w:rPr>
        <w:t xml:space="preserve"> </w:t>
      </w:r>
      <w:r>
        <w:t>statements</w:t>
      </w:r>
      <w:r>
        <w:rPr>
          <w:spacing w:val="-3"/>
        </w:rPr>
        <w:t xml:space="preserve"> </w:t>
      </w:r>
      <w:r>
        <w:t>on</w:t>
      </w:r>
      <w:r>
        <w:rPr>
          <w:spacing w:val="-3"/>
        </w:rPr>
        <w:t xml:space="preserve"> </w:t>
      </w:r>
      <w:r>
        <w:t>the accrual basis of accounting?</w:t>
      </w:r>
    </w:p>
    <w:p w14:paraId="0DFDC272" w14:textId="77777777" w:rsidR="00046465" w:rsidRDefault="008134EB">
      <w:pPr>
        <w:pStyle w:val="ListParagraph"/>
        <w:numPr>
          <w:ilvl w:val="1"/>
          <w:numId w:val="121"/>
        </w:numPr>
        <w:tabs>
          <w:tab w:val="left" w:pos="2159"/>
        </w:tabs>
        <w:ind w:right="1295"/>
      </w:pPr>
      <w:r>
        <w:t>Are</w:t>
      </w:r>
      <w:r>
        <w:rPr>
          <w:spacing w:val="-4"/>
        </w:rPr>
        <w:t xml:space="preserve"> </w:t>
      </w:r>
      <w:r>
        <w:t>costs</w:t>
      </w:r>
      <w:r>
        <w:rPr>
          <w:spacing w:val="-4"/>
        </w:rPr>
        <w:t xml:space="preserve"> </w:t>
      </w:r>
      <w:r>
        <w:t>reported</w:t>
      </w:r>
      <w:r>
        <w:rPr>
          <w:spacing w:val="-4"/>
        </w:rPr>
        <w:t xml:space="preserve"> </w:t>
      </w:r>
      <w:r>
        <w:t>for</w:t>
      </w:r>
      <w:r>
        <w:rPr>
          <w:spacing w:val="-4"/>
        </w:rPr>
        <w:t xml:space="preserve"> </w:t>
      </w:r>
      <w:r>
        <w:t>external</w:t>
      </w:r>
      <w:r>
        <w:rPr>
          <w:spacing w:val="-4"/>
        </w:rPr>
        <w:t xml:space="preserve"> </w:t>
      </w:r>
      <w:r>
        <w:t>financial</w:t>
      </w:r>
      <w:r>
        <w:rPr>
          <w:spacing w:val="-4"/>
        </w:rPr>
        <w:t xml:space="preserve"> </w:t>
      </w:r>
      <w:r>
        <w:t>reporting</w:t>
      </w:r>
      <w:r>
        <w:rPr>
          <w:spacing w:val="-4"/>
        </w:rPr>
        <w:t xml:space="preserve"> </w:t>
      </w:r>
      <w:r>
        <w:t>and</w:t>
      </w:r>
      <w:r>
        <w:rPr>
          <w:spacing w:val="-4"/>
        </w:rPr>
        <w:t xml:space="preserve"> </w:t>
      </w:r>
      <w:r>
        <w:t>those</w:t>
      </w:r>
      <w:r>
        <w:rPr>
          <w:spacing w:val="-5"/>
        </w:rPr>
        <w:t xml:space="preserve"> </w:t>
      </w:r>
      <w:r>
        <w:t>reported</w:t>
      </w:r>
      <w:r>
        <w:rPr>
          <w:spacing w:val="-4"/>
        </w:rPr>
        <w:t xml:space="preserve"> </w:t>
      </w:r>
      <w:r>
        <w:t>for internal management reporting consistent and reconcilable?</w:t>
      </w:r>
    </w:p>
    <w:p w14:paraId="0DFDC273" w14:textId="77777777" w:rsidR="00046465" w:rsidRDefault="008134EB">
      <w:pPr>
        <w:pStyle w:val="ListParagraph"/>
        <w:numPr>
          <w:ilvl w:val="1"/>
          <w:numId w:val="121"/>
        </w:numPr>
        <w:tabs>
          <w:tab w:val="left" w:pos="2158"/>
        </w:tabs>
        <w:spacing w:before="121"/>
        <w:ind w:left="2158" w:hanging="359"/>
      </w:pPr>
      <w:r>
        <w:t>How</w:t>
      </w:r>
      <w:r>
        <w:rPr>
          <w:spacing w:val="-10"/>
        </w:rPr>
        <w:t xml:space="preserve"> </w:t>
      </w:r>
      <w:r>
        <w:t>does</w:t>
      </w:r>
      <w:r>
        <w:rPr>
          <w:spacing w:val="-9"/>
        </w:rPr>
        <w:t xml:space="preserve"> </w:t>
      </w:r>
      <w:r>
        <w:t>management</w:t>
      </w:r>
      <w:r>
        <w:rPr>
          <w:spacing w:val="-8"/>
        </w:rPr>
        <w:t xml:space="preserve"> </w:t>
      </w:r>
      <w:r>
        <w:t>determine</w:t>
      </w:r>
      <w:r>
        <w:rPr>
          <w:spacing w:val="-9"/>
        </w:rPr>
        <w:t xml:space="preserve"> </w:t>
      </w:r>
      <w:r>
        <w:t>compliance</w:t>
      </w:r>
      <w:r>
        <w:rPr>
          <w:spacing w:val="-9"/>
        </w:rPr>
        <w:t xml:space="preserve"> </w:t>
      </w:r>
      <w:r>
        <w:t>with</w:t>
      </w:r>
      <w:r>
        <w:rPr>
          <w:spacing w:val="-8"/>
        </w:rPr>
        <w:t xml:space="preserve"> </w:t>
      </w:r>
      <w:r>
        <w:rPr>
          <w:spacing w:val="-2"/>
        </w:rPr>
        <w:t>FFMIA?</w:t>
      </w:r>
    </w:p>
    <w:p w14:paraId="0DFDC274" w14:textId="77777777" w:rsidR="00046465" w:rsidRDefault="008134EB">
      <w:pPr>
        <w:pStyle w:val="BodyText"/>
        <w:spacing w:before="119"/>
        <w:ind w:left="1799"/>
      </w:pPr>
      <w:r>
        <w:t>The</w:t>
      </w:r>
      <w:r>
        <w:rPr>
          <w:spacing w:val="-7"/>
        </w:rPr>
        <w:t xml:space="preserve"> </w:t>
      </w:r>
      <w:r>
        <w:t>auditor</w:t>
      </w:r>
      <w:r>
        <w:rPr>
          <w:spacing w:val="-8"/>
        </w:rPr>
        <w:t xml:space="preserve"> </w:t>
      </w:r>
      <w:r>
        <w:t>generally</w:t>
      </w:r>
      <w:r>
        <w:rPr>
          <w:spacing w:val="-7"/>
        </w:rPr>
        <w:t xml:space="preserve"> </w:t>
      </w:r>
      <w:r>
        <w:t>should</w:t>
      </w:r>
      <w:r>
        <w:rPr>
          <w:spacing w:val="-7"/>
        </w:rPr>
        <w:t xml:space="preserve"> </w:t>
      </w:r>
      <w:r>
        <w:t>combine</w:t>
      </w:r>
      <w:r>
        <w:rPr>
          <w:spacing w:val="-6"/>
        </w:rPr>
        <w:t xml:space="preserve"> </w:t>
      </w:r>
      <w:r>
        <w:t>this</w:t>
      </w:r>
      <w:r>
        <w:rPr>
          <w:spacing w:val="-7"/>
        </w:rPr>
        <w:t xml:space="preserve"> </w:t>
      </w:r>
      <w:r>
        <w:t>inquiry</w:t>
      </w:r>
      <w:r>
        <w:rPr>
          <w:spacing w:val="-6"/>
        </w:rPr>
        <w:t xml:space="preserve"> </w:t>
      </w:r>
      <w:r>
        <w:t>with</w:t>
      </w:r>
      <w:r>
        <w:rPr>
          <w:spacing w:val="-7"/>
        </w:rPr>
        <w:t xml:space="preserve"> </w:t>
      </w:r>
      <w:r>
        <w:t>the</w:t>
      </w:r>
      <w:r>
        <w:rPr>
          <w:spacing w:val="-6"/>
        </w:rPr>
        <w:t xml:space="preserve"> </w:t>
      </w:r>
      <w:r>
        <w:t>procedures</w:t>
      </w:r>
      <w:r>
        <w:rPr>
          <w:spacing w:val="-7"/>
        </w:rPr>
        <w:t xml:space="preserve"> </w:t>
      </w:r>
      <w:r>
        <w:t>in</w:t>
      </w:r>
      <w:r>
        <w:rPr>
          <w:spacing w:val="-7"/>
        </w:rPr>
        <w:t xml:space="preserve"> </w:t>
      </w:r>
      <w:r>
        <w:rPr>
          <w:spacing w:val="-5"/>
        </w:rPr>
        <w:t>FAM</w:t>
      </w:r>
    </w:p>
    <w:p w14:paraId="0DFDC275" w14:textId="77777777" w:rsidR="00046465" w:rsidRDefault="008134EB">
      <w:pPr>
        <w:pStyle w:val="BodyText"/>
        <w:ind w:left="1799" w:right="797"/>
      </w:pPr>
      <w:r>
        <w:t>903.06 and consider the outcome in concluding about compliance with the cost accounting</w:t>
      </w:r>
      <w:r>
        <w:rPr>
          <w:spacing w:val="-5"/>
        </w:rPr>
        <w:t xml:space="preserve"> </w:t>
      </w:r>
      <w:r>
        <w:t>requirements</w:t>
      </w:r>
      <w:r>
        <w:rPr>
          <w:spacing w:val="-5"/>
        </w:rPr>
        <w:t xml:space="preserve"> </w:t>
      </w:r>
      <w:r>
        <w:t>under</w:t>
      </w:r>
      <w:r>
        <w:rPr>
          <w:spacing w:val="-5"/>
        </w:rPr>
        <w:t xml:space="preserve"> </w:t>
      </w:r>
      <w:r>
        <w:t>FFMIA.</w:t>
      </w:r>
      <w:r>
        <w:rPr>
          <w:spacing w:val="-5"/>
        </w:rPr>
        <w:t xml:space="preserve"> </w:t>
      </w:r>
      <w:r>
        <w:t>Also,</w:t>
      </w:r>
      <w:r>
        <w:rPr>
          <w:spacing w:val="-5"/>
        </w:rPr>
        <w:t xml:space="preserve"> </w:t>
      </w:r>
      <w:r>
        <w:t>the</w:t>
      </w:r>
      <w:r>
        <w:rPr>
          <w:spacing w:val="-6"/>
        </w:rPr>
        <w:t xml:space="preserve"> </w:t>
      </w:r>
      <w:r>
        <w:t>auditor</w:t>
      </w:r>
      <w:r>
        <w:rPr>
          <w:spacing w:val="-5"/>
        </w:rPr>
        <w:t xml:space="preserve"> </w:t>
      </w:r>
      <w:r>
        <w:t>generally</w:t>
      </w:r>
      <w:r>
        <w:rPr>
          <w:spacing w:val="-5"/>
        </w:rPr>
        <w:t xml:space="preserve"> </w:t>
      </w:r>
      <w:r>
        <w:t>should</w:t>
      </w:r>
      <w:r>
        <w:rPr>
          <w:spacing w:val="-6"/>
        </w:rPr>
        <w:t xml:space="preserve"> </w:t>
      </w:r>
      <w:r>
        <w:t>review evidence supporting management’s assertions in response to these questions, as further discussed in FAM 701.</w:t>
      </w:r>
    </w:p>
    <w:p w14:paraId="0DFDC276" w14:textId="77777777" w:rsidR="00046465" w:rsidRDefault="00046465">
      <w:pPr>
        <w:pStyle w:val="BodyText"/>
        <w:sectPr w:rsidR="00046465">
          <w:pgSz w:w="12240" w:h="15840"/>
          <w:pgMar w:top="1340" w:right="720" w:bottom="940" w:left="1080" w:header="721" w:footer="757" w:gutter="0"/>
          <w:cols w:space="720"/>
        </w:sectPr>
      </w:pPr>
    </w:p>
    <w:p w14:paraId="0DFDC277" w14:textId="77777777" w:rsidR="00046465" w:rsidRDefault="008134EB">
      <w:pPr>
        <w:pStyle w:val="Heading3"/>
        <w:rPr>
          <w:u w:val="none"/>
        </w:rPr>
      </w:pPr>
      <w:bookmarkStart w:id="286" w:name="904_–_Disclosure_Entities,_Related_Parti"/>
      <w:bookmarkStart w:id="287" w:name="_bookmark162"/>
      <w:bookmarkEnd w:id="286"/>
      <w:bookmarkEnd w:id="287"/>
      <w:r>
        <w:lastRenderedPageBreak/>
        <w:t>904</w:t>
      </w:r>
      <w:r>
        <w:rPr>
          <w:spacing w:val="-6"/>
        </w:rPr>
        <w:t xml:space="preserve"> </w:t>
      </w:r>
      <w:r>
        <w:t>–</w:t>
      </w:r>
      <w:r>
        <w:rPr>
          <w:spacing w:val="-6"/>
        </w:rPr>
        <w:t xml:space="preserve"> </w:t>
      </w:r>
      <w:r>
        <w:t>Disclosure</w:t>
      </w:r>
      <w:r>
        <w:rPr>
          <w:spacing w:val="-6"/>
        </w:rPr>
        <w:t xml:space="preserve"> </w:t>
      </w:r>
      <w:r>
        <w:t>Entities,</w:t>
      </w:r>
      <w:r>
        <w:rPr>
          <w:spacing w:val="-6"/>
        </w:rPr>
        <w:t xml:space="preserve"> </w:t>
      </w:r>
      <w:r>
        <w:t>Related</w:t>
      </w:r>
      <w:r>
        <w:rPr>
          <w:spacing w:val="-6"/>
        </w:rPr>
        <w:t xml:space="preserve"> </w:t>
      </w:r>
      <w:r>
        <w:t>Parties,</w:t>
      </w:r>
      <w:r>
        <w:rPr>
          <w:spacing w:val="-6"/>
        </w:rPr>
        <w:t xml:space="preserve"> </w:t>
      </w:r>
      <w:r>
        <w:t>and</w:t>
      </w:r>
      <w:r>
        <w:rPr>
          <w:spacing w:val="-5"/>
        </w:rPr>
        <w:t xml:space="preserve"> </w:t>
      </w:r>
      <w:r>
        <w:t>Public-Private</w:t>
      </w:r>
      <w:r>
        <w:rPr>
          <w:u w:val="none"/>
        </w:rPr>
        <w:t xml:space="preserve"> </w:t>
      </w:r>
      <w:r>
        <w:rPr>
          <w:spacing w:val="-2"/>
        </w:rPr>
        <w:t>Partnerships</w:t>
      </w:r>
    </w:p>
    <w:p w14:paraId="0DFDC278" w14:textId="77777777" w:rsidR="00046465" w:rsidRDefault="008134EB">
      <w:pPr>
        <w:pStyle w:val="ListParagraph"/>
        <w:numPr>
          <w:ilvl w:val="0"/>
          <w:numId w:val="5"/>
        </w:numPr>
        <w:tabs>
          <w:tab w:val="left" w:pos="1799"/>
        </w:tabs>
        <w:spacing w:before="240"/>
        <w:ind w:right="738" w:hanging="720"/>
      </w:pPr>
      <w:r>
        <w:t>Under</w:t>
      </w:r>
      <w:r>
        <w:rPr>
          <w:spacing w:val="-4"/>
        </w:rPr>
        <w:t xml:space="preserve"> </w:t>
      </w:r>
      <w:r>
        <w:t>FASAB</w:t>
      </w:r>
      <w:r>
        <w:rPr>
          <w:spacing w:val="-4"/>
        </w:rPr>
        <w:t xml:space="preserve"> </w:t>
      </w:r>
      <w:r>
        <w:t>standards,</w:t>
      </w:r>
      <w:r>
        <w:rPr>
          <w:spacing w:val="-4"/>
        </w:rPr>
        <w:t xml:space="preserve"> </w:t>
      </w:r>
      <w:r>
        <w:t>organizations</w:t>
      </w:r>
      <w:r>
        <w:rPr>
          <w:spacing w:val="-4"/>
        </w:rPr>
        <w:t xml:space="preserve"> </w:t>
      </w:r>
      <w:r>
        <w:t>are</w:t>
      </w:r>
      <w:r>
        <w:rPr>
          <w:spacing w:val="-4"/>
        </w:rPr>
        <w:t xml:space="preserve"> </w:t>
      </w:r>
      <w:r>
        <w:t>considered</w:t>
      </w:r>
      <w:r>
        <w:rPr>
          <w:spacing w:val="-4"/>
        </w:rPr>
        <w:t xml:space="preserve"> </w:t>
      </w:r>
      <w:r>
        <w:t>to</w:t>
      </w:r>
      <w:r>
        <w:rPr>
          <w:spacing w:val="-4"/>
        </w:rPr>
        <w:t xml:space="preserve"> </w:t>
      </w:r>
      <w:r>
        <w:t>be</w:t>
      </w:r>
      <w:r>
        <w:rPr>
          <w:spacing w:val="-4"/>
        </w:rPr>
        <w:t xml:space="preserve"> </w:t>
      </w:r>
      <w:r>
        <w:t>related</w:t>
      </w:r>
      <w:r>
        <w:rPr>
          <w:spacing w:val="-4"/>
        </w:rPr>
        <w:t xml:space="preserve"> </w:t>
      </w:r>
      <w:r>
        <w:t>parties</w:t>
      </w:r>
      <w:r>
        <w:rPr>
          <w:spacing w:val="-4"/>
        </w:rPr>
        <w:t xml:space="preserve"> </w:t>
      </w:r>
      <w:r>
        <w:t>if</w:t>
      </w:r>
      <w:r>
        <w:rPr>
          <w:spacing w:val="-4"/>
        </w:rPr>
        <w:t xml:space="preserve"> </w:t>
      </w:r>
      <w:r>
        <w:t>the existing relationship or one party to the existing relationship has the ability to exercise significant influence over the other party’s policy decisions. In the</w:t>
      </w:r>
      <w:r>
        <w:rPr>
          <w:spacing w:val="40"/>
        </w:rPr>
        <w:t xml:space="preserve"> </w:t>
      </w:r>
      <w:r>
        <w:t>federal</w:t>
      </w:r>
      <w:r>
        <w:rPr>
          <w:spacing w:val="-2"/>
        </w:rPr>
        <w:t xml:space="preserve"> </w:t>
      </w:r>
      <w:r>
        <w:t>government,</w:t>
      </w:r>
      <w:r>
        <w:rPr>
          <w:spacing w:val="-2"/>
        </w:rPr>
        <w:t xml:space="preserve"> </w:t>
      </w:r>
      <w:r>
        <w:t>there</w:t>
      </w:r>
      <w:r>
        <w:rPr>
          <w:spacing w:val="-2"/>
        </w:rPr>
        <w:t xml:space="preserve"> </w:t>
      </w:r>
      <w:r>
        <w:t>are</w:t>
      </w:r>
      <w:r>
        <w:rPr>
          <w:spacing w:val="-2"/>
        </w:rPr>
        <w:t xml:space="preserve"> </w:t>
      </w:r>
      <w:r>
        <w:t>additional</w:t>
      </w:r>
      <w:r>
        <w:rPr>
          <w:spacing w:val="-2"/>
        </w:rPr>
        <w:t xml:space="preserve"> </w:t>
      </w:r>
      <w:r>
        <w:t>relationships</w:t>
      </w:r>
      <w:r>
        <w:rPr>
          <w:spacing w:val="-2"/>
        </w:rPr>
        <w:t xml:space="preserve"> </w:t>
      </w:r>
      <w:r>
        <w:t>that</w:t>
      </w:r>
      <w:r>
        <w:rPr>
          <w:spacing w:val="-2"/>
        </w:rPr>
        <w:t xml:space="preserve"> </w:t>
      </w:r>
      <w:r>
        <w:t>present</w:t>
      </w:r>
      <w:r>
        <w:rPr>
          <w:spacing w:val="-2"/>
        </w:rPr>
        <w:t xml:space="preserve"> </w:t>
      </w:r>
      <w:r>
        <w:t>risks</w:t>
      </w:r>
      <w:r>
        <w:rPr>
          <w:spacing w:val="-2"/>
        </w:rPr>
        <w:t xml:space="preserve"> </w:t>
      </w:r>
      <w:r>
        <w:t>similar</w:t>
      </w:r>
      <w:r>
        <w:rPr>
          <w:spacing w:val="-2"/>
        </w:rPr>
        <w:t xml:space="preserve"> </w:t>
      </w:r>
      <w:r>
        <w:t xml:space="preserve">to related parties, as defined by FASAB. These include disclosure entities and public-private partnerships. Consequently, while AU-C 550, </w:t>
      </w:r>
      <w:r>
        <w:rPr>
          <w:i/>
        </w:rPr>
        <w:t>Related Parties</w:t>
      </w:r>
      <w:r>
        <w:t>, addresses only related parties, the auditor should extend the audit procedures in AU-C 550 to disclosure entities; public-private partnerships; and other relationships, transactions, and balances that present similar risks. The requirements for relationships and transactions with disclosure entities, related parties, and public-private partnerships are discussed in this section and in FAM 220, 265, 280, 340, and 550. Note that FASAB and the Financial Accounting Standards Board (FASB) provide different definitions for related parties.</w:t>
      </w:r>
    </w:p>
    <w:p w14:paraId="0DFDC279" w14:textId="77777777" w:rsidR="00046465" w:rsidRDefault="008134EB">
      <w:pPr>
        <w:pStyle w:val="BodyText"/>
        <w:ind w:left="1800" w:right="844" w:hanging="1"/>
      </w:pPr>
      <w:r>
        <w:t>Procedures</w:t>
      </w:r>
      <w:r>
        <w:rPr>
          <w:spacing w:val="-6"/>
        </w:rPr>
        <w:t xml:space="preserve"> </w:t>
      </w:r>
      <w:r>
        <w:t>pertaining</w:t>
      </w:r>
      <w:r>
        <w:rPr>
          <w:spacing w:val="-5"/>
        </w:rPr>
        <w:t xml:space="preserve"> </w:t>
      </w:r>
      <w:r>
        <w:t>to</w:t>
      </w:r>
      <w:r>
        <w:rPr>
          <w:spacing w:val="-6"/>
        </w:rPr>
        <w:t xml:space="preserve"> </w:t>
      </w:r>
      <w:r>
        <w:t>disclosure</w:t>
      </w:r>
      <w:r>
        <w:rPr>
          <w:spacing w:val="-6"/>
        </w:rPr>
        <w:t xml:space="preserve"> </w:t>
      </w:r>
      <w:r>
        <w:t>entities</w:t>
      </w:r>
      <w:r>
        <w:rPr>
          <w:spacing w:val="-5"/>
        </w:rPr>
        <w:t xml:space="preserve"> </w:t>
      </w:r>
      <w:r>
        <w:t>and</w:t>
      </w:r>
      <w:r>
        <w:rPr>
          <w:spacing w:val="-6"/>
        </w:rPr>
        <w:t xml:space="preserve"> </w:t>
      </w:r>
      <w:r>
        <w:t>public-private</w:t>
      </w:r>
      <w:r>
        <w:rPr>
          <w:spacing w:val="-5"/>
        </w:rPr>
        <w:t xml:space="preserve"> </w:t>
      </w:r>
      <w:r>
        <w:t>partnerships</w:t>
      </w:r>
      <w:r>
        <w:rPr>
          <w:spacing w:val="-5"/>
        </w:rPr>
        <w:t xml:space="preserve"> </w:t>
      </w:r>
      <w:r>
        <w:t>do not apply to entities issuing financial statements in accordance with FASB accounting standards.</w:t>
      </w:r>
    </w:p>
    <w:p w14:paraId="0DFDC27A" w14:textId="77777777" w:rsidR="00046465" w:rsidRDefault="008134EB">
      <w:pPr>
        <w:pStyle w:val="BodyText"/>
        <w:spacing w:before="120"/>
        <w:ind w:left="1800" w:right="749"/>
      </w:pPr>
      <w:r>
        <w:t>In addition, there may be similar risks of material misstatement related to intragovernmental transactions and balances. Generally, the FAM addresses intragovernmental</w:t>
      </w:r>
      <w:r>
        <w:rPr>
          <w:spacing w:val="-6"/>
        </w:rPr>
        <w:t xml:space="preserve"> </w:t>
      </w:r>
      <w:r>
        <w:t>transactions</w:t>
      </w:r>
      <w:r>
        <w:rPr>
          <w:spacing w:val="-6"/>
        </w:rPr>
        <w:t xml:space="preserve"> </w:t>
      </w:r>
      <w:r>
        <w:t>and</w:t>
      </w:r>
      <w:r>
        <w:rPr>
          <w:spacing w:val="-7"/>
        </w:rPr>
        <w:t xml:space="preserve"> </w:t>
      </w:r>
      <w:r>
        <w:t>balances</w:t>
      </w:r>
      <w:r>
        <w:rPr>
          <w:spacing w:val="-7"/>
        </w:rPr>
        <w:t xml:space="preserve"> </w:t>
      </w:r>
      <w:r>
        <w:t>separately</w:t>
      </w:r>
      <w:r>
        <w:rPr>
          <w:spacing w:val="-6"/>
        </w:rPr>
        <w:t xml:space="preserve"> </w:t>
      </w:r>
      <w:r>
        <w:t>given</w:t>
      </w:r>
      <w:r>
        <w:rPr>
          <w:spacing w:val="-6"/>
        </w:rPr>
        <w:t xml:space="preserve"> </w:t>
      </w:r>
      <w:r>
        <w:t>their</w:t>
      </w:r>
      <w:r>
        <w:rPr>
          <w:spacing w:val="-6"/>
        </w:rPr>
        <w:t xml:space="preserve"> </w:t>
      </w:r>
      <w:r>
        <w:t>significance and prevalence. For example, see FAM 230, 902, 921, and 1001.</w:t>
      </w:r>
    </w:p>
    <w:p w14:paraId="0DFDC27B" w14:textId="77777777" w:rsidR="00046465" w:rsidRDefault="008134EB">
      <w:pPr>
        <w:pStyle w:val="ListParagraph"/>
        <w:numPr>
          <w:ilvl w:val="0"/>
          <w:numId w:val="5"/>
        </w:numPr>
        <w:tabs>
          <w:tab w:val="left" w:pos="1800"/>
        </w:tabs>
        <w:spacing w:before="119"/>
        <w:ind w:left="1800" w:right="873"/>
      </w:pPr>
      <w:r>
        <w:t>As</w:t>
      </w:r>
      <w:r>
        <w:rPr>
          <w:spacing w:val="-3"/>
        </w:rPr>
        <w:t xml:space="preserve"> </w:t>
      </w:r>
      <w:r>
        <w:t>discussed</w:t>
      </w:r>
      <w:r>
        <w:rPr>
          <w:spacing w:val="-3"/>
        </w:rPr>
        <w:t xml:space="preserve"> </w:t>
      </w:r>
      <w:r>
        <w:t>in</w:t>
      </w:r>
      <w:r>
        <w:rPr>
          <w:spacing w:val="-3"/>
        </w:rPr>
        <w:t xml:space="preserve"> </w:t>
      </w:r>
      <w:r>
        <w:t>FAM</w:t>
      </w:r>
      <w:r>
        <w:rPr>
          <w:spacing w:val="-4"/>
        </w:rPr>
        <w:t xml:space="preserve"> </w:t>
      </w:r>
      <w:r>
        <w:t>420,</w:t>
      </w:r>
      <w:r>
        <w:rPr>
          <w:spacing w:val="-3"/>
        </w:rPr>
        <w:t xml:space="preserve"> </w:t>
      </w:r>
      <w:r>
        <w:t>the</w:t>
      </w:r>
      <w:r>
        <w:rPr>
          <w:spacing w:val="-3"/>
        </w:rPr>
        <w:t xml:space="preserve"> </w:t>
      </w:r>
      <w:r>
        <w:t>auditor</w:t>
      </w:r>
      <w:r>
        <w:rPr>
          <w:spacing w:val="-3"/>
        </w:rPr>
        <w:t xml:space="preserve"> </w:t>
      </w:r>
      <w:r>
        <w:t>is</w:t>
      </w:r>
      <w:r>
        <w:rPr>
          <w:spacing w:val="-3"/>
        </w:rPr>
        <w:t xml:space="preserve"> </w:t>
      </w:r>
      <w:r>
        <w:t>to</w:t>
      </w:r>
      <w:r>
        <w:rPr>
          <w:spacing w:val="-3"/>
        </w:rPr>
        <w:t xml:space="preserve"> </w:t>
      </w:r>
      <w:r>
        <w:t>design</w:t>
      </w:r>
      <w:r>
        <w:rPr>
          <w:spacing w:val="-3"/>
        </w:rPr>
        <w:t xml:space="preserve"> </w:t>
      </w:r>
      <w:r>
        <w:t>and</w:t>
      </w:r>
      <w:r>
        <w:rPr>
          <w:spacing w:val="-3"/>
        </w:rPr>
        <w:t xml:space="preserve"> </w:t>
      </w:r>
      <w:r>
        <w:t>perform</w:t>
      </w:r>
      <w:r>
        <w:rPr>
          <w:spacing w:val="-4"/>
        </w:rPr>
        <w:t xml:space="preserve"> </w:t>
      </w:r>
      <w:r>
        <w:t>audit</w:t>
      </w:r>
      <w:r>
        <w:rPr>
          <w:spacing w:val="-3"/>
        </w:rPr>
        <w:t xml:space="preserve"> </w:t>
      </w:r>
      <w:r>
        <w:t>procedures whose nature, timing, and extent respond to the risks of material misstatement, including risks arising from the entity’s failure to appropriately account for or disclose relationships, transactions, or balances with disclosure entities, related parties, and public-private partnerships.</w:t>
      </w:r>
    </w:p>
    <w:p w14:paraId="0DFDC27C" w14:textId="77777777" w:rsidR="00046465" w:rsidRDefault="008134EB">
      <w:pPr>
        <w:pStyle w:val="ListParagraph"/>
        <w:numPr>
          <w:ilvl w:val="0"/>
          <w:numId w:val="5"/>
        </w:numPr>
        <w:tabs>
          <w:tab w:val="left" w:pos="1800"/>
        </w:tabs>
        <w:ind w:left="1800" w:right="859"/>
      </w:pPr>
      <w:r>
        <w:t>With respect to disclosure entities, related parties, and public-private partnerships,</w:t>
      </w:r>
      <w:r>
        <w:rPr>
          <w:spacing w:val="-4"/>
        </w:rPr>
        <w:t xml:space="preserve"> </w:t>
      </w:r>
      <w:r>
        <w:t>the</w:t>
      </w:r>
      <w:r>
        <w:rPr>
          <w:spacing w:val="-4"/>
        </w:rPr>
        <w:t xml:space="preserve"> </w:t>
      </w:r>
      <w:r>
        <w:t>objectives</w:t>
      </w:r>
      <w:r>
        <w:rPr>
          <w:spacing w:val="-4"/>
        </w:rPr>
        <w:t xml:space="preserve"> </w:t>
      </w:r>
      <w:r>
        <w:t>of</w:t>
      </w:r>
      <w:r>
        <w:rPr>
          <w:spacing w:val="-4"/>
        </w:rPr>
        <w:t xml:space="preserve"> </w:t>
      </w:r>
      <w:r>
        <w:t>the</w:t>
      </w:r>
      <w:r>
        <w:rPr>
          <w:spacing w:val="-4"/>
        </w:rPr>
        <w:t xml:space="preserve"> </w:t>
      </w:r>
      <w:r>
        <w:t>auditor</w:t>
      </w:r>
      <w:r>
        <w:rPr>
          <w:spacing w:val="-4"/>
        </w:rPr>
        <w:t xml:space="preserve"> </w:t>
      </w:r>
      <w:r>
        <w:t>are</w:t>
      </w:r>
      <w:r>
        <w:rPr>
          <w:spacing w:val="-4"/>
        </w:rPr>
        <w:t xml:space="preserve"> </w:t>
      </w:r>
      <w:r>
        <w:t>to</w:t>
      </w:r>
      <w:r>
        <w:rPr>
          <w:spacing w:val="-5"/>
        </w:rPr>
        <w:t xml:space="preserve"> </w:t>
      </w:r>
      <w:r>
        <w:t>do</w:t>
      </w:r>
      <w:r>
        <w:rPr>
          <w:spacing w:val="-4"/>
        </w:rPr>
        <w:t xml:space="preserve"> </w:t>
      </w:r>
      <w:r>
        <w:t>the</w:t>
      </w:r>
      <w:r>
        <w:rPr>
          <w:spacing w:val="-4"/>
        </w:rPr>
        <w:t xml:space="preserve"> </w:t>
      </w:r>
      <w:r>
        <w:t>following</w:t>
      </w:r>
      <w:r>
        <w:rPr>
          <w:spacing w:val="-4"/>
        </w:rPr>
        <w:t xml:space="preserve"> </w:t>
      </w:r>
      <w:r>
        <w:t>(AU-C</w:t>
      </w:r>
      <w:r>
        <w:rPr>
          <w:spacing w:val="-3"/>
        </w:rPr>
        <w:t xml:space="preserve"> </w:t>
      </w:r>
      <w:r>
        <w:t>550.09):</w:t>
      </w:r>
    </w:p>
    <w:p w14:paraId="0DFDC27D" w14:textId="77777777" w:rsidR="00046465" w:rsidRDefault="008134EB">
      <w:pPr>
        <w:pStyle w:val="ListParagraph"/>
        <w:numPr>
          <w:ilvl w:val="1"/>
          <w:numId w:val="5"/>
        </w:numPr>
        <w:tabs>
          <w:tab w:val="left" w:pos="2160"/>
        </w:tabs>
        <w:spacing w:before="121"/>
        <w:ind w:right="805"/>
      </w:pPr>
      <w:r>
        <w:t>Obtain</w:t>
      </w:r>
      <w:r>
        <w:rPr>
          <w:spacing w:val="-4"/>
        </w:rPr>
        <w:t xml:space="preserve"> </w:t>
      </w:r>
      <w:r>
        <w:t>an</w:t>
      </w:r>
      <w:r>
        <w:rPr>
          <w:spacing w:val="-4"/>
        </w:rPr>
        <w:t xml:space="preserve"> </w:t>
      </w:r>
      <w:r>
        <w:t>understanding</w:t>
      </w:r>
      <w:r>
        <w:rPr>
          <w:spacing w:val="-4"/>
        </w:rPr>
        <w:t xml:space="preserve"> </w:t>
      </w:r>
      <w:r>
        <w:t>of</w:t>
      </w:r>
      <w:r>
        <w:rPr>
          <w:spacing w:val="-4"/>
        </w:rPr>
        <w:t xml:space="preserve"> </w:t>
      </w:r>
      <w:r>
        <w:t>the</w:t>
      </w:r>
      <w:r>
        <w:rPr>
          <w:spacing w:val="-3"/>
        </w:rPr>
        <w:t xml:space="preserve"> </w:t>
      </w:r>
      <w:r>
        <w:t>relationships</w:t>
      </w:r>
      <w:r>
        <w:rPr>
          <w:spacing w:val="-4"/>
        </w:rPr>
        <w:t xml:space="preserve"> </w:t>
      </w:r>
      <w:r>
        <w:t>and</w:t>
      </w:r>
      <w:r>
        <w:rPr>
          <w:spacing w:val="-4"/>
        </w:rPr>
        <w:t xml:space="preserve"> </w:t>
      </w:r>
      <w:r>
        <w:t>transactions</w:t>
      </w:r>
      <w:r>
        <w:rPr>
          <w:spacing w:val="-4"/>
        </w:rPr>
        <w:t xml:space="preserve"> </w:t>
      </w:r>
      <w:r>
        <w:t>sufficient</w:t>
      </w:r>
      <w:r>
        <w:rPr>
          <w:spacing w:val="-5"/>
        </w:rPr>
        <w:t xml:space="preserve"> </w:t>
      </w:r>
      <w:r>
        <w:t>to</w:t>
      </w:r>
      <w:r>
        <w:rPr>
          <w:spacing w:val="-4"/>
        </w:rPr>
        <w:t xml:space="preserve"> </w:t>
      </w:r>
      <w:r>
        <w:t>be able to</w:t>
      </w:r>
    </w:p>
    <w:p w14:paraId="0DFDC27E" w14:textId="77777777" w:rsidR="00046465" w:rsidRDefault="008134EB">
      <w:pPr>
        <w:pStyle w:val="ListParagraph"/>
        <w:numPr>
          <w:ilvl w:val="2"/>
          <w:numId w:val="5"/>
        </w:numPr>
        <w:tabs>
          <w:tab w:val="left" w:pos="2520"/>
        </w:tabs>
        <w:ind w:right="912"/>
      </w:pPr>
      <w:r>
        <w:t>recognize fraud risk factors, if any, arising from those relationships and transactions</w:t>
      </w:r>
      <w:r>
        <w:rPr>
          <w:spacing w:val="-5"/>
        </w:rPr>
        <w:t xml:space="preserve"> </w:t>
      </w:r>
      <w:r>
        <w:t>that</w:t>
      </w:r>
      <w:r>
        <w:rPr>
          <w:spacing w:val="-4"/>
        </w:rPr>
        <w:t xml:space="preserve"> </w:t>
      </w:r>
      <w:r>
        <w:t>are</w:t>
      </w:r>
      <w:r>
        <w:rPr>
          <w:spacing w:val="-4"/>
        </w:rPr>
        <w:t xml:space="preserve"> </w:t>
      </w:r>
      <w:r>
        <w:t>relevant</w:t>
      </w:r>
      <w:r>
        <w:rPr>
          <w:spacing w:val="-4"/>
        </w:rPr>
        <w:t xml:space="preserve"> </w:t>
      </w:r>
      <w:r>
        <w:t>to</w:t>
      </w:r>
      <w:r>
        <w:rPr>
          <w:spacing w:val="-4"/>
        </w:rPr>
        <w:t xml:space="preserve"> </w:t>
      </w:r>
      <w:r>
        <w:t>the</w:t>
      </w:r>
      <w:r>
        <w:rPr>
          <w:spacing w:val="-5"/>
        </w:rPr>
        <w:t xml:space="preserve"> </w:t>
      </w:r>
      <w:r>
        <w:t>identification</w:t>
      </w:r>
      <w:r>
        <w:rPr>
          <w:spacing w:val="-5"/>
        </w:rPr>
        <w:t xml:space="preserve"> </w:t>
      </w:r>
      <w:r>
        <w:t>and</w:t>
      </w:r>
      <w:r>
        <w:rPr>
          <w:spacing w:val="-4"/>
        </w:rPr>
        <w:t xml:space="preserve"> </w:t>
      </w:r>
      <w:r>
        <w:t>assessment</w:t>
      </w:r>
      <w:r>
        <w:rPr>
          <w:spacing w:val="-4"/>
        </w:rPr>
        <w:t xml:space="preserve"> </w:t>
      </w:r>
      <w:r>
        <w:t>of</w:t>
      </w:r>
      <w:r>
        <w:rPr>
          <w:spacing w:val="-4"/>
        </w:rPr>
        <w:t xml:space="preserve"> </w:t>
      </w:r>
      <w:r>
        <w:t>the risks of material misstatement due to fraud and</w:t>
      </w:r>
    </w:p>
    <w:p w14:paraId="0DFDC27F" w14:textId="77777777" w:rsidR="00046465" w:rsidRDefault="008134EB">
      <w:pPr>
        <w:pStyle w:val="ListParagraph"/>
        <w:numPr>
          <w:ilvl w:val="2"/>
          <w:numId w:val="5"/>
        </w:numPr>
        <w:tabs>
          <w:tab w:val="left" w:pos="2520"/>
        </w:tabs>
        <w:spacing w:before="118"/>
        <w:ind w:right="1116"/>
      </w:pPr>
      <w:r>
        <w:t>conclude,</w:t>
      </w:r>
      <w:r>
        <w:rPr>
          <w:spacing w:val="-4"/>
        </w:rPr>
        <w:t xml:space="preserve"> </w:t>
      </w:r>
      <w:r>
        <w:t>based</w:t>
      </w:r>
      <w:r>
        <w:rPr>
          <w:spacing w:val="-4"/>
        </w:rPr>
        <w:t xml:space="preserve"> </w:t>
      </w:r>
      <w:r>
        <w:t>on</w:t>
      </w:r>
      <w:r>
        <w:rPr>
          <w:spacing w:val="-4"/>
        </w:rPr>
        <w:t xml:space="preserve"> </w:t>
      </w:r>
      <w:r>
        <w:t>the</w:t>
      </w:r>
      <w:r>
        <w:rPr>
          <w:spacing w:val="-5"/>
        </w:rPr>
        <w:t xml:space="preserve"> </w:t>
      </w:r>
      <w:r>
        <w:t>audit</w:t>
      </w:r>
      <w:r>
        <w:rPr>
          <w:spacing w:val="-4"/>
        </w:rPr>
        <w:t xml:space="preserve"> </w:t>
      </w:r>
      <w:r>
        <w:t>evidence</w:t>
      </w:r>
      <w:r>
        <w:rPr>
          <w:spacing w:val="-4"/>
        </w:rPr>
        <w:t xml:space="preserve"> </w:t>
      </w:r>
      <w:r>
        <w:t>obtained,</w:t>
      </w:r>
      <w:r>
        <w:rPr>
          <w:spacing w:val="-5"/>
        </w:rPr>
        <w:t xml:space="preserve"> </w:t>
      </w:r>
      <w:r>
        <w:t>whether</w:t>
      </w:r>
      <w:r>
        <w:rPr>
          <w:spacing w:val="-4"/>
        </w:rPr>
        <w:t xml:space="preserve"> </w:t>
      </w:r>
      <w:r>
        <w:t>the</w:t>
      </w:r>
      <w:r>
        <w:rPr>
          <w:spacing w:val="-4"/>
        </w:rPr>
        <w:t xml:space="preserve"> </w:t>
      </w:r>
      <w:r>
        <w:t>financial statements, insofar as they are affected by those relationships and transactions, achieve fair presentation.</w:t>
      </w:r>
    </w:p>
    <w:p w14:paraId="0DFDC280" w14:textId="77777777" w:rsidR="00046465" w:rsidRDefault="008134EB">
      <w:pPr>
        <w:pStyle w:val="ListParagraph"/>
        <w:numPr>
          <w:ilvl w:val="1"/>
          <w:numId w:val="5"/>
        </w:numPr>
        <w:tabs>
          <w:tab w:val="left" w:pos="2160"/>
        </w:tabs>
        <w:spacing w:before="118"/>
        <w:ind w:right="927"/>
      </w:pPr>
      <w:r>
        <w:t>Obtain</w:t>
      </w:r>
      <w:r>
        <w:rPr>
          <w:spacing w:val="-5"/>
        </w:rPr>
        <w:t xml:space="preserve"> </w:t>
      </w:r>
      <w:r>
        <w:t>sufficient</w:t>
      </w:r>
      <w:r>
        <w:rPr>
          <w:spacing w:val="-5"/>
        </w:rPr>
        <w:t xml:space="preserve"> </w:t>
      </w:r>
      <w:r>
        <w:t>appropriate</w:t>
      </w:r>
      <w:r>
        <w:rPr>
          <w:spacing w:val="-5"/>
        </w:rPr>
        <w:t xml:space="preserve"> </w:t>
      </w:r>
      <w:r>
        <w:t>audit</w:t>
      </w:r>
      <w:r>
        <w:rPr>
          <w:spacing w:val="-5"/>
        </w:rPr>
        <w:t xml:space="preserve"> </w:t>
      </w:r>
      <w:r>
        <w:t>evidence</w:t>
      </w:r>
      <w:r>
        <w:rPr>
          <w:spacing w:val="-5"/>
        </w:rPr>
        <w:t xml:space="preserve"> </w:t>
      </w:r>
      <w:r>
        <w:t>about</w:t>
      </w:r>
      <w:r>
        <w:rPr>
          <w:spacing w:val="-6"/>
        </w:rPr>
        <w:t xml:space="preserve"> </w:t>
      </w:r>
      <w:r>
        <w:t>whether</w:t>
      </w:r>
      <w:r>
        <w:rPr>
          <w:spacing w:val="-5"/>
        </w:rPr>
        <w:t xml:space="preserve"> </w:t>
      </w:r>
      <w:r>
        <w:t>the</w:t>
      </w:r>
      <w:r>
        <w:rPr>
          <w:spacing w:val="-4"/>
        </w:rPr>
        <w:t xml:space="preserve"> </w:t>
      </w:r>
      <w:r>
        <w:t>relationships and transactions have been appropriately identified, accounted for, and disclosed in the financial statements.</w:t>
      </w:r>
    </w:p>
    <w:p w14:paraId="0DFDC281" w14:textId="77777777" w:rsidR="00046465" w:rsidRDefault="008134EB">
      <w:pPr>
        <w:pStyle w:val="BodyText"/>
        <w:spacing w:before="121"/>
        <w:ind w:left="1800" w:right="749"/>
      </w:pPr>
      <w:r>
        <w:t>Further, the nature of relationships and transactions with disclosure entities, related</w:t>
      </w:r>
      <w:r>
        <w:rPr>
          <w:spacing w:val="-4"/>
        </w:rPr>
        <w:t xml:space="preserve"> </w:t>
      </w:r>
      <w:r>
        <w:t>parties,</w:t>
      </w:r>
      <w:r>
        <w:rPr>
          <w:spacing w:val="-4"/>
        </w:rPr>
        <w:t xml:space="preserve"> </w:t>
      </w:r>
      <w:r>
        <w:t>and</w:t>
      </w:r>
      <w:r>
        <w:rPr>
          <w:spacing w:val="-4"/>
        </w:rPr>
        <w:t xml:space="preserve"> </w:t>
      </w:r>
      <w:r>
        <w:t>public-private</w:t>
      </w:r>
      <w:r>
        <w:rPr>
          <w:spacing w:val="-4"/>
        </w:rPr>
        <w:t xml:space="preserve"> </w:t>
      </w:r>
      <w:r>
        <w:t>partnerships</w:t>
      </w:r>
      <w:r>
        <w:rPr>
          <w:spacing w:val="-4"/>
        </w:rPr>
        <w:t xml:space="preserve"> </w:t>
      </w:r>
      <w:r>
        <w:t>may,</w:t>
      </w:r>
      <w:r>
        <w:rPr>
          <w:spacing w:val="-4"/>
        </w:rPr>
        <w:t xml:space="preserve"> </w:t>
      </w:r>
      <w:r>
        <w:t>in</w:t>
      </w:r>
      <w:r>
        <w:rPr>
          <w:spacing w:val="-4"/>
        </w:rPr>
        <w:t xml:space="preserve"> </w:t>
      </w:r>
      <w:r>
        <w:t>some</w:t>
      </w:r>
      <w:r>
        <w:rPr>
          <w:spacing w:val="-5"/>
        </w:rPr>
        <w:t xml:space="preserve"> </w:t>
      </w:r>
      <w:r>
        <w:t>circumstances,</w:t>
      </w:r>
      <w:r>
        <w:rPr>
          <w:spacing w:val="-4"/>
        </w:rPr>
        <w:t xml:space="preserve"> </w:t>
      </w:r>
      <w:r>
        <w:t>give rise to higher risks of material misstatement of the financial statements than transactions with unrelated parties (AU-C 550.03). For example,</w:t>
      </w:r>
    </w:p>
    <w:p w14:paraId="0DFDC282" w14:textId="77777777" w:rsidR="00046465" w:rsidRDefault="00046465">
      <w:pPr>
        <w:pStyle w:val="BodyText"/>
        <w:sectPr w:rsidR="00046465">
          <w:headerReference w:type="default" r:id="rId177"/>
          <w:footerReference w:type="default" r:id="rId178"/>
          <w:pgSz w:w="12240" w:h="15840"/>
          <w:pgMar w:top="1340" w:right="720" w:bottom="940" w:left="1080" w:header="721" w:footer="757" w:gutter="0"/>
          <w:cols w:space="720"/>
        </w:sectPr>
      </w:pPr>
    </w:p>
    <w:p w14:paraId="0DFDC283" w14:textId="77777777" w:rsidR="00046465" w:rsidRDefault="008134EB">
      <w:pPr>
        <w:pStyle w:val="ListParagraph"/>
        <w:numPr>
          <w:ilvl w:val="0"/>
          <w:numId w:val="120"/>
        </w:numPr>
        <w:tabs>
          <w:tab w:val="left" w:pos="2159"/>
        </w:tabs>
        <w:spacing w:before="121"/>
        <w:ind w:right="1406"/>
      </w:pPr>
      <w:r>
        <w:lastRenderedPageBreak/>
        <w:t>disclosure</w:t>
      </w:r>
      <w:r>
        <w:rPr>
          <w:spacing w:val="-6"/>
        </w:rPr>
        <w:t xml:space="preserve"> </w:t>
      </w:r>
      <w:r>
        <w:t>entities,</w:t>
      </w:r>
      <w:r>
        <w:rPr>
          <w:spacing w:val="-6"/>
        </w:rPr>
        <w:t xml:space="preserve"> </w:t>
      </w:r>
      <w:r>
        <w:t>related</w:t>
      </w:r>
      <w:r>
        <w:rPr>
          <w:spacing w:val="-6"/>
        </w:rPr>
        <w:t xml:space="preserve"> </w:t>
      </w:r>
      <w:r>
        <w:t>parties,</w:t>
      </w:r>
      <w:r>
        <w:rPr>
          <w:spacing w:val="-6"/>
        </w:rPr>
        <w:t xml:space="preserve"> </w:t>
      </w:r>
      <w:r>
        <w:t>and</w:t>
      </w:r>
      <w:r>
        <w:rPr>
          <w:spacing w:val="-6"/>
        </w:rPr>
        <w:t xml:space="preserve"> </w:t>
      </w:r>
      <w:r>
        <w:t>public-private</w:t>
      </w:r>
      <w:r>
        <w:rPr>
          <w:spacing w:val="-6"/>
        </w:rPr>
        <w:t xml:space="preserve"> </w:t>
      </w:r>
      <w:r>
        <w:t>partnerships</w:t>
      </w:r>
      <w:r>
        <w:rPr>
          <w:spacing w:val="-5"/>
        </w:rPr>
        <w:t xml:space="preserve"> </w:t>
      </w:r>
      <w:r>
        <w:t>may operate through an extensive and complex range of relationships and structures, with a corresponding increase in the complexity of the transactions involved;</w:t>
      </w:r>
    </w:p>
    <w:p w14:paraId="0DFDC284" w14:textId="77777777" w:rsidR="00046465" w:rsidRDefault="008134EB">
      <w:pPr>
        <w:pStyle w:val="ListParagraph"/>
        <w:numPr>
          <w:ilvl w:val="0"/>
          <w:numId w:val="120"/>
        </w:numPr>
        <w:tabs>
          <w:tab w:val="left" w:pos="2159"/>
        </w:tabs>
        <w:spacing w:before="118"/>
        <w:ind w:right="976"/>
      </w:pPr>
      <w:r>
        <w:t>information systems may be ineffective at identifying or summarizing transactions</w:t>
      </w:r>
      <w:r>
        <w:rPr>
          <w:spacing w:val="-5"/>
        </w:rPr>
        <w:t xml:space="preserve"> </w:t>
      </w:r>
      <w:r>
        <w:t>and</w:t>
      </w:r>
      <w:r>
        <w:rPr>
          <w:spacing w:val="-5"/>
        </w:rPr>
        <w:t xml:space="preserve"> </w:t>
      </w:r>
      <w:r>
        <w:t>outstanding</w:t>
      </w:r>
      <w:r>
        <w:rPr>
          <w:spacing w:val="-5"/>
        </w:rPr>
        <w:t xml:space="preserve"> </w:t>
      </w:r>
      <w:r>
        <w:t>balances</w:t>
      </w:r>
      <w:r>
        <w:rPr>
          <w:spacing w:val="-5"/>
        </w:rPr>
        <w:t xml:space="preserve"> </w:t>
      </w:r>
      <w:r>
        <w:t>between</w:t>
      </w:r>
      <w:r>
        <w:rPr>
          <w:spacing w:val="-5"/>
        </w:rPr>
        <w:t xml:space="preserve"> </w:t>
      </w:r>
      <w:r>
        <w:t>an</w:t>
      </w:r>
      <w:r>
        <w:rPr>
          <w:spacing w:val="-4"/>
        </w:rPr>
        <w:t xml:space="preserve"> </w:t>
      </w:r>
      <w:r>
        <w:t>entity</w:t>
      </w:r>
      <w:r>
        <w:rPr>
          <w:spacing w:val="-5"/>
        </w:rPr>
        <w:t xml:space="preserve"> </w:t>
      </w:r>
      <w:r>
        <w:t>and</w:t>
      </w:r>
      <w:r>
        <w:rPr>
          <w:spacing w:val="-5"/>
        </w:rPr>
        <w:t xml:space="preserve"> </w:t>
      </w:r>
      <w:r>
        <w:t>its</w:t>
      </w:r>
      <w:r>
        <w:rPr>
          <w:spacing w:val="-5"/>
        </w:rPr>
        <w:t xml:space="preserve"> </w:t>
      </w:r>
      <w:r>
        <w:t>disclosure entities, related parties, and public-private partnerships;</w:t>
      </w:r>
    </w:p>
    <w:p w14:paraId="0DFDC285" w14:textId="77777777" w:rsidR="00046465" w:rsidRDefault="008134EB">
      <w:pPr>
        <w:pStyle w:val="ListParagraph"/>
        <w:numPr>
          <w:ilvl w:val="0"/>
          <w:numId w:val="120"/>
        </w:numPr>
        <w:tabs>
          <w:tab w:val="left" w:pos="2160"/>
        </w:tabs>
        <w:spacing w:before="118"/>
        <w:ind w:left="2160" w:right="1453" w:hanging="361"/>
      </w:pPr>
      <w:r>
        <w:t>transactions</w:t>
      </w:r>
      <w:r>
        <w:rPr>
          <w:spacing w:val="-6"/>
        </w:rPr>
        <w:t xml:space="preserve"> </w:t>
      </w:r>
      <w:r>
        <w:t>with</w:t>
      </w:r>
      <w:r>
        <w:rPr>
          <w:spacing w:val="-5"/>
        </w:rPr>
        <w:t xml:space="preserve"> </w:t>
      </w:r>
      <w:r>
        <w:t>disclosure</w:t>
      </w:r>
      <w:r>
        <w:rPr>
          <w:spacing w:val="-5"/>
        </w:rPr>
        <w:t xml:space="preserve"> </w:t>
      </w:r>
      <w:r>
        <w:t>entities,</w:t>
      </w:r>
      <w:r>
        <w:rPr>
          <w:spacing w:val="-6"/>
        </w:rPr>
        <w:t xml:space="preserve"> </w:t>
      </w:r>
      <w:r>
        <w:t>related</w:t>
      </w:r>
      <w:r>
        <w:rPr>
          <w:spacing w:val="-5"/>
        </w:rPr>
        <w:t xml:space="preserve"> </w:t>
      </w:r>
      <w:r>
        <w:t>parties,</w:t>
      </w:r>
      <w:r>
        <w:rPr>
          <w:spacing w:val="-5"/>
        </w:rPr>
        <w:t xml:space="preserve"> </w:t>
      </w:r>
      <w:r>
        <w:t>and</w:t>
      </w:r>
      <w:r>
        <w:rPr>
          <w:spacing w:val="-5"/>
        </w:rPr>
        <w:t xml:space="preserve"> </w:t>
      </w:r>
      <w:r>
        <w:t>public-private partnerships may not be conducted under normal market terms and conditions</w:t>
      </w:r>
      <w:r>
        <w:rPr>
          <w:spacing w:val="-3"/>
        </w:rPr>
        <w:t xml:space="preserve"> </w:t>
      </w:r>
      <w:r>
        <w:t>(for</w:t>
      </w:r>
      <w:r>
        <w:rPr>
          <w:spacing w:val="-2"/>
        </w:rPr>
        <w:t xml:space="preserve"> </w:t>
      </w:r>
      <w:r>
        <w:t>example,</w:t>
      </w:r>
      <w:r>
        <w:rPr>
          <w:spacing w:val="-2"/>
        </w:rPr>
        <w:t xml:space="preserve"> </w:t>
      </w:r>
      <w:r>
        <w:t>some</w:t>
      </w:r>
      <w:r>
        <w:rPr>
          <w:spacing w:val="-2"/>
        </w:rPr>
        <w:t xml:space="preserve"> </w:t>
      </w:r>
      <w:r>
        <w:t>transactions</w:t>
      </w:r>
      <w:r>
        <w:rPr>
          <w:spacing w:val="-2"/>
        </w:rPr>
        <w:t xml:space="preserve"> </w:t>
      </w:r>
      <w:r>
        <w:t>may</w:t>
      </w:r>
      <w:r>
        <w:rPr>
          <w:spacing w:val="-3"/>
        </w:rPr>
        <w:t xml:space="preserve"> </w:t>
      </w:r>
      <w:r>
        <w:t>be</w:t>
      </w:r>
      <w:r>
        <w:rPr>
          <w:spacing w:val="-2"/>
        </w:rPr>
        <w:t xml:space="preserve"> </w:t>
      </w:r>
      <w:r>
        <w:t>conducted</w:t>
      </w:r>
      <w:r>
        <w:rPr>
          <w:spacing w:val="-2"/>
        </w:rPr>
        <w:t xml:space="preserve"> </w:t>
      </w:r>
      <w:r>
        <w:t>with</w:t>
      </w:r>
      <w:r>
        <w:rPr>
          <w:spacing w:val="-2"/>
        </w:rPr>
        <w:t xml:space="preserve"> </w:t>
      </w:r>
      <w:r>
        <w:t>no exchange of consideration); and</w:t>
      </w:r>
    </w:p>
    <w:p w14:paraId="0DFDC286" w14:textId="77777777" w:rsidR="00046465" w:rsidRDefault="008134EB">
      <w:pPr>
        <w:pStyle w:val="ListParagraph"/>
        <w:numPr>
          <w:ilvl w:val="0"/>
          <w:numId w:val="120"/>
        </w:numPr>
        <w:tabs>
          <w:tab w:val="left" w:pos="2158"/>
          <w:tab w:val="left" w:pos="2160"/>
        </w:tabs>
        <w:spacing w:before="118"/>
        <w:ind w:left="2160" w:right="1417" w:hanging="361"/>
        <w:jc w:val="both"/>
      </w:pPr>
      <w:r>
        <w:t>transactions</w:t>
      </w:r>
      <w:r>
        <w:rPr>
          <w:spacing w:val="-1"/>
        </w:rPr>
        <w:t xml:space="preserve"> </w:t>
      </w:r>
      <w:r>
        <w:t>with disclosure entities,</w:t>
      </w:r>
      <w:r>
        <w:rPr>
          <w:spacing w:val="-1"/>
        </w:rPr>
        <w:t xml:space="preserve"> </w:t>
      </w:r>
      <w:r>
        <w:t>related parties, and public-private partnerships</w:t>
      </w:r>
      <w:r>
        <w:rPr>
          <w:spacing w:val="-5"/>
        </w:rPr>
        <w:t xml:space="preserve"> </w:t>
      </w:r>
      <w:r>
        <w:t>may</w:t>
      </w:r>
      <w:r>
        <w:rPr>
          <w:spacing w:val="-4"/>
        </w:rPr>
        <w:t xml:space="preserve"> </w:t>
      </w:r>
      <w:r>
        <w:t>be</w:t>
      </w:r>
      <w:r>
        <w:rPr>
          <w:spacing w:val="-4"/>
        </w:rPr>
        <w:t xml:space="preserve"> </w:t>
      </w:r>
      <w:r>
        <w:t>motivated</w:t>
      </w:r>
      <w:r>
        <w:rPr>
          <w:spacing w:val="-4"/>
        </w:rPr>
        <w:t xml:space="preserve"> </w:t>
      </w:r>
      <w:r>
        <w:t>solely</w:t>
      </w:r>
      <w:r>
        <w:rPr>
          <w:spacing w:val="-5"/>
        </w:rPr>
        <w:t xml:space="preserve"> </w:t>
      </w:r>
      <w:r>
        <w:t>or</w:t>
      </w:r>
      <w:r>
        <w:rPr>
          <w:spacing w:val="-4"/>
        </w:rPr>
        <w:t xml:space="preserve"> </w:t>
      </w:r>
      <w:r>
        <w:t>in</w:t>
      </w:r>
      <w:r>
        <w:rPr>
          <w:spacing w:val="-4"/>
        </w:rPr>
        <w:t xml:space="preserve"> </w:t>
      </w:r>
      <w:r>
        <w:t>large</w:t>
      </w:r>
      <w:r>
        <w:rPr>
          <w:spacing w:val="-5"/>
        </w:rPr>
        <w:t xml:space="preserve"> </w:t>
      </w:r>
      <w:r>
        <w:t>measure</w:t>
      </w:r>
      <w:r>
        <w:rPr>
          <w:spacing w:val="-4"/>
        </w:rPr>
        <w:t xml:space="preserve"> </w:t>
      </w:r>
      <w:r>
        <w:t>to</w:t>
      </w:r>
      <w:r>
        <w:rPr>
          <w:spacing w:val="-4"/>
        </w:rPr>
        <w:t xml:space="preserve"> </w:t>
      </w:r>
      <w:r>
        <w:t>engage</w:t>
      </w:r>
      <w:r>
        <w:rPr>
          <w:spacing w:val="-4"/>
        </w:rPr>
        <w:t xml:space="preserve"> </w:t>
      </w:r>
      <w:r>
        <w:t>in fraudulent financial reporting or conceal misappropriation of assets.</w:t>
      </w:r>
    </w:p>
    <w:p w14:paraId="0DFDC287" w14:textId="77777777" w:rsidR="00046465" w:rsidRDefault="008134EB">
      <w:pPr>
        <w:pStyle w:val="ListParagraph"/>
        <w:numPr>
          <w:ilvl w:val="0"/>
          <w:numId w:val="5"/>
        </w:numPr>
        <w:tabs>
          <w:tab w:val="left" w:pos="1800"/>
        </w:tabs>
        <w:spacing w:before="119"/>
        <w:ind w:left="1800" w:right="919"/>
      </w:pPr>
      <w:r>
        <w:t>The auditor should inspect the following for indications of the existence of relationships</w:t>
      </w:r>
      <w:r>
        <w:rPr>
          <w:spacing w:val="-4"/>
        </w:rPr>
        <w:t xml:space="preserve"> </w:t>
      </w:r>
      <w:r>
        <w:t>or</w:t>
      </w:r>
      <w:r>
        <w:rPr>
          <w:spacing w:val="-4"/>
        </w:rPr>
        <w:t xml:space="preserve"> </w:t>
      </w:r>
      <w:r>
        <w:t>transactions</w:t>
      </w:r>
      <w:r>
        <w:rPr>
          <w:spacing w:val="-4"/>
        </w:rPr>
        <w:t xml:space="preserve"> </w:t>
      </w:r>
      <w:r>
        <w:t>with</w:t>
      </w:r>
      <w:r>
        <w:rPr>
          <w:spacing w:val="-4"/>
        </w:rPr>
        <w:t xml:space="preserve"> </w:t>
      </w:r>
      <w:r>
        <w:t>disclosure</w:t>
      </w:r>
      <w:r>
        <w:rPr>
          <w:spacing w:val="-4"/>
        </w:rPr>
        <w:t xml:space="preserve"> </w:t>
      </w:r>
      <w:r>
        <w:t>entities,</w:t>
      </w:r>
      <w:r>
        <w:rPr>
          <w:spacing w:val="-4"/>
        </w:rPr>
        <w:t xml:space="preserve"> </w:t>
      </w:r>
      <w:r>
        <w:t>related</w:t>
      </w:r>
      <w:r>
        <w:rPr>
          <w:spacing w:val="-5"/>
        </w:rPr>
        <w:t xml:space="preserve"> </w:t>
      </w:r>
      <w:r>
        <w:t>parties,</w:t>
      </w:r>
      <w:r>
        <w:rPr>
          <w:spacing w:val="-4"/>
        </w:rPr>
        <w:t xml:space="preserve"> </w:t>
      </w:r>
      <w:r>
        <w:t>and</w:t>
      </w:r>
      <w:r>
        <w:rPr>
          <w:spacing w:val="-5"/>
        </w:rPr>
        <w:t xml:space="preserve"> </w:t>
      </w:r>
      <w:r>
        <w:t>public-private</w:t>
      </w:r>
      <w:r>
        <w:rPr>
          <w:spacing w:val="-4"/>
        </w:rPr>
        <w:t xml:space="preserve"> </w:t>
      </w:r>
      <w:r>
        <w:t>partnerships</w:t>
      </w:r>
      <w:r>
        <w:rPr>
          <w:spacing w:val="-4"/>
        </w:rPr>
        <w:t xml:space="preserve"> </w:t>
      </w:r>
      <w:r>
        <w:t>that</w:t>
      </w:r>
      <w:r>
        <w:rPr>
          <w:spacing w:val="-5"/>
        </w:rPr>
        <w:t xml:space="preserve"> </w:t>
      </w:r>
      <w:r>
        <w:t>management</w:t>
      </w:r>
      <w:r>
        <w:rPr>
          <w:spacing w:val="-4"/>
        </w:rPr>
        <w:t xml:space="preserve"> </w:t>
      </w:r>
      <w:r>
        <w:t>has</w:t>
      </w:r>
      <w:r>
        <w:rPr>
          <w:spacing w:val="-4"/>
        </w:rPr>
        <w:t xml:space="preserve"> </w:t>
      </w:r>
      <w:r>
        <w:t>not</w:t>
      </w:r>
      <w:r>
        <w:rPr>
          <w:spacing w:val="-4"/>
        </w:rPr>
        <w:t xml:space="preserve"> </w:t>
      </w:r>
      <w:r>
        <w:t>previously</w:t>
      </w:r>
      <w:r>
        <w:rPr>
          <w:spacing w:val="-4"/>
        </w:rPr>
        <w:t xml:space="preserve"> </w:t>
      </w:r>
      <w:r>
        <w:t>identified</w:t>
      </w:r>
      <w:r>
        <w:rPr>
          <w:spacing w:val="-4"/>
        </w:rPr>
        <w:t xml:space="preserve"> </w:t>
      </w:r>
      <w:r>
        <w:t>or</w:t>
      </w:r>
      <w:r>
        <w:rPr>
          <w:spacing w:val="-4"/>
        </w:rPr>
        <w:t xml:space="preserve"> </w:t>
      </w:r>
      <w:r>
        <w:t>disclosed to the auditor (AU-C 550.17):</w:t>
      </w:r>
    </w:p>
    <w:p w14:paraId="0DFDC288" w14:textId="77777777" w:rsidR="00046465" w:rsidRDefault="008134EB">
      <w:pPr>
        <w:pStyle w:val="ListParagraph"/>
        <w:numPr>
          <w:ilvl w:val="1"/>
          <w:numId w:val="5"/>
        </w:numPr>
        <w:tabs>
          <w:tab w:val="left" w:pos="2159"/>
        </w:tabs>
        <w:ind w:left="2159" w:hanging="359"/>
        <w:jc w:val="both"/>
      </w:pPr>
      <w:r>
        <w:t>bank</w:t>
      </w:r>
      <w:r>
        <w:rPr>
          <w:spacing w:val="-6"/>
        </w:rPr>
        <w:t xml:space="preserve"> </w:t>
      </w:r>
      <w:r>
        <w:t>and</w:t>
      </w:r>
      <w:r>
        <w:rPr>
          <w:spacing w:val="-6"/>
        </w:rPr>
        <w:t xml:space="preserve"> </w:t>
      </w:r>
      <w:r>
        <w:t>legal</w:t>
      </w:r>
      <w:r>
        <w:rPr>
          <w:spacing w:val="-6"/>
        </w:rPr>
        <w:t xml:space="preserve"> </w:t>
      </w:r>
      <w:r>
        <w:t>confirmations</w:t>
      </w:r>
      <w:r>
        <w:rPr>
          <w:spacing w:val="-6"/>
        </w:rPr>
        <w:t xml:space="preserve"> </w:t>
      </w:r>
      <w:r>
        <w:t>obtained</w:t>
      </w:r>
      <w:r>
        <w:rPr>
          <w:spacing w:val="-6"/>
        </w:rPr>
        <w:t xml:space="preserve"> </w:t>
      </w:r>
      <w:r>
        <w:t>as</w:t>
      </w:r>
      <w:r>
        <w:rPr>
          <w:spacing w:val="-5"/>
        </w:rPr>
        <w:t xml:space="preserve"> </w:t>
      </w:r>
      <w:r>
        <w:t>part</w:t>
      </w:r>
      <w:r>
        <w:rPr>
          <w:spacing w:val="-6"/>
        </w:rPr>
        <w:t xml:space="preserve"> </w:t>
      </w:r>
      <w:r>
        <w:t>of</w:t>
      </w:r>
      <w:r>
        <w:rPr>
          <w:spacing w:val="-7"/>
        </w:rPr>
        <w:t xml:space="preserve"> </w:t>
      </w:r>
      <w:r>
        <w:t>the</w:t>
      </w:r>
      <w:r>
        <w:rPr>
          <w:spacing w:val="-6"/>
        </w:rPr>
        <w:t xml:space="preserve"> </w:t>
      </w:r>
      <w:r>
        <w:t>auditor’s</w:t>
      </w:r>
      <w:r>
        <w:rPr>
          <w:spacing w:val="-5"/>
        </w:rPr>
        <w:t xml:space="preserve"> </w:t>
      </w:r>
      <w:r>
        <w:rPr>
          <w:spacing w:val="-2"/>
        </w:rPr>
        <w:t>procedures,</w:t>
      </w:r>
    </w:p>
    <w:p w14:paraId="0DFDC289" w14:textId="77777777" w:rsidR="00046465" w:rsidRDefault="008134EB">
      <w:pPr>
        <w:pStyle w:val="ListParagraph"/>
        <w:numPr>
          <w:ilvl w:val="1"/>
          <w:numId w:val="5"/>
        </w:numPr>
        <w:tabs>
          <w:tab w:val="left" w:pos="2160"/>
        </w:tabs>
        <w:ind w:right="1122"/>
        <w:jc w:val="both"/>
      </w:pPr>
      <w:r>
        <w:t>minutes</w:t>
      </w:r>
      <w:r>
        <w:rPr>
          <w:spacing w:val="-3"/>
        </w:rPr>
        <w:t xml:space="preserve"> </w:t>
      </w:r>
      <w:r>
        <w:t>of</w:t>
      </w:r>
      <w:r>
        <w:rPr>
          <w:spacing w:val="-3"/>
        </w:rPr>
        <w:t xml:space="preserve"> </w:t>
      </w:r>
      <w:r>
        <w:t>meetings</w:t>
      </w:r>
      <w:r>
        <w:rPr>
          <w:spacing w:val="-3"/>
        </w:rPr>
        <w:t xml:space="preserve"> </w:t>
      </w:r>
      <w:r>
        <w:t>of</w:t>
      </w:r>
      <w:r>
        <w:rPr>
          <w:spacing w:val="-3"/>
        </w:rPr>
        <w:t xml:space="preserve"> </w:t>
      </w:r>
      <w:r>
        <w:t>those</w:t>
      </w:r>
      <w:r>
        <w:rPr>
          <w:spacing w:val="-3"/>
        </w:rPr>
        <w:t xml:space="preserve"> </w:t>
      </w:r>
      <w:r>
        <w:t>charged</w:t>
      </w:r>
      <w:r>
        <w:rPr>
          <w:spacing w:val="-3"/>
        </w:rPr>
        <w:t xml:space="preserve"> </w:t>
      </w:r>
      <w:r>
        <w:t>with</w:t>
      </w:r>
      <w:r>
        <w:rPr>
          <w:spacing w:val="-3"/>
        </w:rPr>
        <w:t xml:space="preserve"> </w:t>
      </w:r>
      <w:r>
        <w:t>governance</w:t>
      </w:r>
      <w:r>
        <w:rPr>
          <w:spacing w:val="-2"/>
        </w:rPr>
        <w:t xml:space="preserve"> </w:t>
      </w:r>
      <w:r>
        <w:t>and</w:t>
      </w:r>
      <w:r>
        <w:rPr>
          <w:spacing w:val="-4"/>
        </w:rPr>
        <w:t xml:space="preserve"> </w:t>
      </w:r>
      <w:r>
        <w:t>summaries</w:t>
      </w:r>
      <w:r>
        <w:rPr>
          <w:spacing w:val="-3"/>
        </w:rPr>
        <w:t xml:space="preserve"> </w:t>
      </w:r>
      <w:r>
        <w:t>of actions</w:t>
      </w:r>
      <w:r>
        <w:rPr>
          <w:spacing w:val="-4"/>
        </w:rPr>
        <w:t xml:space="preserve"> </w:t>
      </w:r>
      <w:r>
        <w:t>of</w:t>
      </w:r>
      <w:r>
        <w:rPr>
          <w:spacing w:val="-4"/>
        </w:rPr>
        <w:t xml:space="preserve"> </w:t>
      </w:r>
      <w:r>
        <w:t>recent</w:t>
      </w:r>
      <w:r>
        <w:rPr>
          <w:spacing w:val="-4"/>
        </w:rPr>
        <w:t xml:space="preserve"> </w:t>
      </w:r>
      <w:r>
        <w:t>meetings</w:t>
      </w:r>
      <w:r>
        <w:rPr>
          <w:spacing w:val="-4"/>
        </w:rPr>
        <w:t xml:space="preserve"> </w:t>
      </w:r>
      <w:r>
        <w:t>for</w:t>
      </w:r>
      <w:r>
        <w:rPr>
          <w:spacing w:val="-4"/>
        </w:rPr>
        <w:t xml:space="preserve"> </w:t>
      </w:r>
      <w:r>
        <w:t>which</w:t>
      </w:r>
      <w:r>
        <w:rPr>
          <w:spacing w:val="-5"/>
        </w:rPr>
        <w:t xml:space="preserve"> </w:t>
      </w:r>
      <w:r>
        <w:t>minutes</w:t>
      </w:r>
      <w:r>
        <w:rPr>
          <w:spacing w:val="-4"/>
        </w:rPr>
        <w:t xml:space="preserve"> </w:t>
      </w:r>
      <w:r>
        <w:t>have</w:t>
      </w:r>
      <w:r>
        <w:rPr>
          <w:spacing w:val="-4"/>
        </w:rPr>
        <w:t xml:space="preserve"> </w:t>
      </w:r>
      <w:r>
        <w:t>not</w:t>
      </w:r>
      <w:r>
        <w:rPr>
          <w:spacing w:val="-4"/>
        </w:rPr>
        <w:t xml:space="preserve"> </w:t>
      </w:r>
      <w:r>
        <w:t>yet</w:t>
      </w:r>
      <w:r>
        <w:rPr>
          <w:spacing w:val="-4"/>
        </w:rPr>
        <w:t xml:space="preserve"> </w:t>
      </w:r>
      <w:r>
        <w:t>been</w:t>
      </w:r>
      <w:r>
        <w:rPr>
          <w:spacing w:val="-4"/>
        </w:rPr>
        <w:t xml:space="preserve"> </w:t>
      </w:r>
      <w:r>
        <w:t xml:space="preserve">prepared, </w:t>
      </w:r>
      <w:r>
        <w:rPr>
          <w:spacing w:val="-4"/>
        </w:rPr>
        <w:t>and</w:t>
      </w:r>
    </w:p>
    <w:p w14:paraId="0DFDC28A" w14:textId="77777777" w:rsidR="00046465" w:rsidRDefault="008134EB">
      <w:pPr>
        <w:pStyle w:val="ListParagraph"/>
        <w:numPr>
          <w:ilvl w:val="1"/>
          <w:numId w:val="5"/>
        </w:numPr>
        <w:tabs>
          <w:tab w:val="left" w:pos="2159"/>
        </w:tabs>
        <w:ind w:left="2159" w:hanging="359"/>
        <w:jc w:val="both"/>
      </w:pPr>
      <w:r>
        <w:t>other</w:t>
      </w:r>
      <w:r>
        <w:rPr>
          <w:spacing w:val="-8"/>
        </w:rPr>
        <w:t xml:space="preserve"> </w:t>
      </w:r>
      <w:r>
        <w:t>records</w:t>
      </w:r>
      <w:r>
        <w:rPr>
          <w:spacing w:val="-7"/>
        </w:rPr>
        <w:t xml:space="preserve"> </w:t>
      </w:r>
      <w:r>
        <w:t>or</w:t>
      </w:r>
      <w:r>
        <w:rPr>
          <w:spacing w:val="-7"/>
        </w:rPr>
        <w:t xml:space="preserve"> </w:t>
      </w:r>
      <w:r>
        <w:t>documents</w:t>
      </w:r>
      <w:r>
        <w:rPr>
          <w:spacing w:val="-7"/>
        </w:rPr>
        <w:t xml:space="preserve"> </w:t>
      </w:r>
      <w:r>
        <w:t>considered</w:t>
      </w:r>
      <w:r>
        <w:rPr>
          <w:spacing w:val="-8"/>
        </w:rPr>
        <w:t xml:space="preserve"> </w:t>
      </w:r>
      <w:r>
        <w:t>necessary</w:t>
      </w:r>
      <w:r>
        <w:rPr>
          <w:spacing w:val="-7"/>
        </w:rPr>
        <w:t xml:space="preserve"> </w:t>
      </w:r>
      <w:r>
        <w:t>in</w:t>
      </w:r>
      <w:r>
        <w:rPr>
          <w:spacing w:val="-7"/>
        </w:rPr>
        <w:t xml:space="preserve"> </w:t>
      </w:r>
      <w:r>
        <w:t>the</w:t>
      </w:r>
      <w:r>
        <w:rPr>
          <w:spacing w:val="-7"/>
        </w:rPr>
        <w:t xml:space="preserve"> </w:t>
      </w:r>
      <w:r>
        <w:rPr>
          <w:spacing w:val="-2"/>
        </w:rPr>
        <w:t>circumstances.</w:t>
      </w:r>
    </w:p>
    <w:p w14:paraId="0DFDC28B" w14:textId="77777777" w:rsidR="00046465" w:rsidRDefault="008134EB">
      <w:pPr>
        <w:pStyle w:val="ListParagraph"/>
        <w:numPr>
          <w:ilvl w:val="0"/>
          <w:numId w:val="5"/>
        </w:numPr>
        <w:tabs>
          <w:tab w:val="left" w:pos="1800"/>
        </w:tabs>
        <w:ind w:left="1800" w:right="1071"/>
      </w:pPr>
      <w:r>
        <w:t>If the auditor identifies significant unusual transactions (i.e., those outside the entity’s</w:t>
      </w:r>
      <w:r>
        <w:rPr>
          <w:spacing w:val="-5"/>
        </w:rPr>
        <w:t xml:space="preserve"> </w:t>
      </w:r>
      <w:r>
        <w:t>normal</w:t>
      </w:r>
      <w:r>
        <w:rPr>
          <w:spacing w:val="-4"/>
        </w:rPr>
        <w:t xml:space="preserve"> </w:t>
      </w:r>
      <w:r>
        <w:t>course</w:t>
      </w:r>
      <w:r>
        <w:rPr>
          <w:spacing w:val="-4"/>
        </w:rPr>
        <w:t xml:space="preserve"> </w:t>
      </w:r>
      <w:r>
        <w:t>of</w:t>
      </w:r>
      <w:r>
        <w:rPr>
          <w:spacing w:val="-4"/>
        </w:rPr>
        <w:t xml:space="preserve"> </w:t>
      </w:r>
      <w:r>
        <w:t>business),</w:t>
      </w:r>
      <w:r>
        <w:rPr>
          <w:spacing w:val="-4"/>
        </w:rPr>
        <w:t xml:space="preserve"> </w:t>
      </w:r>
      <w:r>
        <w:t>the</w:t>
      </w:r>
      <w:r>
        <w:rPr>
          <w:spacing w:val="-4"/>
        </w:rPr>
        <w:t xml:space="preserve"> </w:t>
      </w:r>
      <w:r>
        <w:t>auditor</w:t>
      </w:r>
      <w:r>
        <w:rPr>
          <w:spacing w:val="-6"/>
        </w:rPr>
        <w:t xml:space="preserve"> </w:t>
      </w:r>
      <w:r>
        <w:t>should</w:t>
      </w:r>
      <w:r>
        <w:rPr>
          <w:spacing w:val="-4"/>
        </w:rPr>
        <w:t xml:space="preserve"> </w:t>
      </w:r>
      <w:r>
        <w:t>inquire</w:t>
      </w:r>
      <w:r>
        <w:rPr>
          <w:spacing w:val="-4"/>
        </w:rPr>
        <w:t xml:space="preserve"> </w:t>
      </w:r>
      <w:r>
        <w:t>of</w:t>
      </w:r>
      <w:r>
        <w:rPr>
          <w:spacing w:val="-4"/>
        </w:rPr>
        <w:t xml:space="preserve"> </w:t>
      </w:r>
      <w:r>
        <w:t>management about the following (AU-C 550.18):</w:t>
      </w:r>
    </w:p>
    <w:p w14:paraId="0DFDC28C" w14:textId="77777777" w:rsidR="00046465" w:rsidRDefault="008134EB">
      <w:pPr>
        <w:pStyle w:val="ListParagraph"/>
        <w:numPr>
          <w:ilvl w:val="1"/>
          <w:numId w:val="5"/>
        </w:numPr>
        <w:tabs>
          <w:tab w:val="left" w:pos="2159"/>
        </w:tabs>
        <w:ind w:left="2159" w:hanging="359"/>
      </w:pPr>
      <w:r>
        <w:t>the</w:t>
      </w:r>
      <w:r>
        <w:rPr>
          <w:spacing w:val="-7"/>
        </w:rPr>
        <w:t xml:space="preserve"> </w:t>
      </w:r>
      <w:r>
        <w:t>nature</w:t>
      </w:r>
      <w:r>
        <w:rPr>
          <w:spacing w:val="-6"/>
        </w:rPr>
        <w:t xml:space="preserve"> </w:t>
      </w:r>
      <w:r>
        <w:t>of</w:t>
      </w:r>
      <w:r>
        <w:rPr>
          <w:spacing w:val="-6"/>
        </w:rPr>
        <w:t xml:space="preserve"> </w:t>
      </w:r>
      <w:r>
        <w:t>these</w:t>
      </w:r>
      <w:r>
        <w:rPr>
          <w:spacing w:val="-6"/>
        </w:rPr>
        <w:t xml:space="preserve"> </w:t>
      </w:r>
      <w:r>
        <w:t>transactions</w:t>
      </w:r>
      <w:r>
        <w:rPr>
          <w:spacing w:val="-6"/>
        </w:rPr>
        <w:t xml:space="preserve"> </w:t>
      </w:r>
      <w:r>
        <w:rPr>
          <w:spacing w:val="-5"/>
        </w:rPr>
        <w:t>and</w:t>
      </w:r>
    </w:p>
    <w:p w14:paraId="0DFDC28D" w14:textId="77777777" w:rsidR="00046465" w:rsidRDefault="008134EB">
      <w:pPr>
        <w:pStyle w:val="ListParagraph"/>
        <w:numPr>
          <w:ilvl w:val="1"/>
          <w:numId w:val="5"/>
        </w:numPr>
        <w:tabs>
          <w:tab w:val="left" w:pos="2158"/>
          <w:tab w:val="left" w:pos="2160"/>
        </w:tabs>
        <w:spacing w:before="119"/>
        <w:ind w:right="1212" w:hanging="361"/>
      </w:pPr>
      <w:r>
        <w:t>whether</w:t>
      </w:r>
      <w:r>
        <w:rPr>
          <w:spacing w:val="-6"/>
        </w:rPr>
        <w:t xml:space="preserve"> </w:t>
      </w:r>
      <w:r>
        <w:t>disclosure</w:t>
      </w:r>
      <w:r>
        <w:rPr>
          <w:spacing w:val="-6"/>
        </w:rPr>
        <w:t xml:space="preserve"> </w:t>
      </w:r>
      <w:r>
        <w:t>entities,</w:t>
      </w:r>
      <w:r>
        <w:rPr>
          <w:spacing w:val="-6"/>
        </w:rPr>
        <w:t xml:space="preserve"> </w:t>
      </w:r>
      <w:r>
        <w:t>related</w:t>
      </w:r>
      <w:r>
        <w:rPr>
          <w:spacing w:val="-7"/>
        </w:rPr>
        <w:t xml:space="preserve"> </w:t>
      </w:r>
      <w:r>
        <w:t>parties,</w:t>
      </w:r>
      <w:r>
        <w:rPr>
          <w:spacing w:val="-6"/>
        </w:rPr>
        <w:t xml:space="preserve"> </w:t>
      </w:r>
      <w:r>
        <w:t>or</w:t>
      </w:r>
      <w:r>
        <w:rPr>
          <w:spacing w:val="-6"/>
        </w:rPr>
        <w:t xml:space="preserve"> </w:t>
      </w:r>
      <w:r>
        <w:t>public-private</w:t>
      </w:r>
      <w:r>
        <w:rPr>
          <w:spacing w:val="-7"/>
        </w:rPr>
        <w:t xml:space="preserve"> </w:t>
      </w:r>
      <w:r>
        <w:t>partnerships could be involved.</w:t>
      </w:r>
    </w:p>
    <w:p w14:paraId="0DFDC28E" w14:textId="77777777" w:rsidR="00046465" w:rsidRDefault="008134EB">
      <w:pPr>
        <w:pStyle w:val="BodyText"/>
        <w:spacing w:before="121"/>
        <w:ind w:left="1800" w:right="751"/>
      </w:pPr>
      <w:r>
        <w:t>Further,</w:t>
      </w:r>
      <w:r>
        <w:rPr>
          <w:spacing w:val="-4"/>
        </w:rPr>
        <w:t xml:space="preserve"> </w:t>
      </w:r>
      <w:r>
        <w:t>if</w:t>
      </w:r>
      <w:r>
        <w:rPr>
          <w:spacing w:val="-4"/>
        </w:rPr>
        <w:t xml:space="preserve"> </w:t>
      </w:r>
      <w:r>
        <w:t>the</w:t>
      </w:r>
      <w:r>
        <w:rPr>
          <w:spacing w:val="-4"/>
        </w:rPr>
        <w:t xml:space="preserve"> </w:t>
      </w:r>
      <w:r>
        <w:t>auditor</w:t>
      </w:r>
      <w:r>
        <w:rPr>
          <w:spacing w:val="-4"/>
        </w:rPr>
        <w:t xml:space="preserve"> </w:t>
      </w:r>
      <w:r>
        <w:t>identifies</w:t>
      </w:r>
      <w:r>
        <w:rPr>
          <w:spacing w:val="-4"/>
        </w:rPr>
        <w:t xml:space="preserve"> </w:t>
      </w:r>
      <w:r>
        <w:t>fraud</w:t>
      </w:r>
      <w:r>
        <w:rPr>
          <w:spacing w:val="-5"/>
        </w:rPr>
        <w:t xml:space="preserve"> </w:t>
      </w:r>
      <w:r>
        <w:t>risk</w:t>
      </w:r>
      <w:r>
        <w:rPr>
          <w:spacing w:val="-4"/>
        </w:rPr>
        <w:t xml:space="preserve"> </w:t>
      </w:r>
      <w:r>
        <w:t>factors</w:t>
      </w:r>
      <w:r>
        <w:rPr>
          <w:spacing w:val="-4"/>
        </w:rPr>
        <w:t xml:space="preserve"> </w:t>
      </w:r>
      <w:r>
        <w:t>(including</w:t>
      </w:r>
      <w:r>
        <w:rPr>
          <w:spacing w:val="-5"/>
        </w:rPr>
        <w:t xml:space="preserve"> </w:t>
      </w:r>
      <w:r>
        <w:t>circumstances</w:t>
      </w:r>
      <w:r>
        <w:rPr>
          <w:spacing w:val="-5"/>
        </w:rPr>
        <w:t xml:space="preserve"> </w:t>
      </w:r>
      <w:r>
        <w:t>relating to the existence of a disclosure entity, related party, or public-private partnership with dominant influence) when performing the risk assessment procedures in FAM 265 and related activities in connection with such entities, the auditor</w:t>
      </w:r>
      <w:r>
        <w:rPr>
          <w:spacing w:val="40"/>
        </w:rPr>
        <w:t xml:space="preserve"> </w:t>
      </w:r>
      <w:r>
        <w:t>should consider such information when identifying and assessing the risks of material misstatement due to fraud (AU-C 550.21).</w:t>
      </w:r>
    </w:p>
    <w:p w14:paraId="0DFDC28F" w14:textId="77777777" w:rsidR="00046465" w:rsidRDefault="008134EB">
      <w:pPr>
        <w:pStyle w:val="ListParagraph"/>
        <w:numPr>
          <w:ilvl w:val="0"/>
          <w:numId w:val="5"/>
        </w:numPr>
        <w:tabs>
          <w:tab w:val="left" w:pos="1800"/>
        </w:tabs>
        <w:ind w:left="1800" w:right="725"/>
      </w:pPr>
      <w:r>
        <w:t>The auditor should design and perform further audit procedures to obtain sufficient appropriate audit evidence about the risks of material misstatement associated with relationships and transactions with disclosure entities, related parties, and public-private partnerships. The auditor should evaluate whether the entity has properly identified these relationships and transactions. Evaluating whether an entity has properly identified these relationships and transactions involves more than assessing the entity’s process. The evaluation should include procedures to test the accuracy and completeness of the relationships and transactions</w:t>
      </w:r>
      <w:r>
        <w:rPr>
          <w:spacing w:val="-5"/>
        </w:rPr>
        <w:t xml:space="preserve"> </w:t>
      </w:r>
      <w:r>
        <w:t>that</w:t>
      </w:r>
      <w:r>
        <w:rPr>
          <w:spacing w:val="-4"/>
        </w:rPr>
        <w:t xml:space="preserve"> </w:t>
      </w:r>
      <w:r>
        <w:t>the</w:t>
      </w:r>
      <w:r>
        <w:rPr>
          <w:spacing w:val="-4"/>
        </w:rPr>
        <w:t xml:space="preserve"> </w:t>
      </w:r>
      <w:r>
        <w:t>entity</w:t>
      </w:r>
      <w:r>
        <w:rPr>
          <w:spacing w:val="-4"/>
        </w:rPr>
        <w:t xml:space="preserve"> </w:t>
      </w:r>
      <w:r>
        <w:t>identified,</w:t>
      </w:r>
      <w:r>
        <w:rPr>
          <w:spacing w:val="-5"/>
        </w:rPr>
        <w:t xml:space="preserve"> </w:t>
      </w:r>
      <w:r>
        <w:t>taking</w:t>
      </w:r>
      <w:r>
        <w:rPr>
          <w:spacing w:val="-4"/>
        </w:rPr>
        <w:t xml:space="preserve"> </w:t>
      </w:r>
      <w:r>
        <w:t>into</w:t>
      </w:r>
      <w:r>
        <w:rPr>
          <w:spacing w:val="-5"/>
        </w:rPr>
        <w:t xml:space="preserve"> </w:t>
      </w:r>
      <w:r>
        <w:t>account</w:t>
      </w:r>
      <w:r>
        <w:rPr>
          <w:spacing w:val="-4"/>
        </w:rPr>
        <w:t xml:space="preserve"> </w:t>
      </w:r>
      <w:r>
        <w:t>the</w:t>
      </w:r>
      <w:r>
        <w:rPr>
          <w:spacing w:val="-5"/>
        </w:rPr>
        <w:t xml:space="preserve"> </w:t>
      </w:r>
      <w:r>
        <w:t>information</w:t>
      </w:r>
      <w:r>
        <w:rPr>
          <w:spacing w:val="-4"/>
        </w:rPr>
        <w:t xml:space="preserve"> </w:t>
      </w:r>
      <w:r>
        <w:t>gathered during the audit. (AU-C 550.22)</w:t>
      </w:r>
    </w:p>
    <w:p w14:paraId="0DFDC290" w14:textId="77777777" w:rsidR="00046465" w:rsidRDefault="00046465">
      <w:pPr>
        <w:pStyle w:val="ListParagraph"/>
        <w:sectPr w:rsidR="00046465">
          <w:headerReference w:type="default" r:id="rId179"/>
          <w:footerReference w:type="default" r:id="rId180"/>
          <w:pgSz w:w="12240" w:h="15840"/>
          <w:pgMar w:top="1340" w:right="720" w:bottom="940" w:left="1080" w:header="721" w:footer="757" w:gutter="0"/>
          <w:pgNumType w:start="2"/>
          <w:cols w:space="720"/>
        </w:sectPr>
      </w:pPr>
    </w:p>
    <w:p w14:paraId="0DFDC291" w14:textId="77777777" w:rsidR="00046465" w:rsidRDefault="008134EB">
      <w:pPr>
        <w:pStyle w:val="ListParagraph"/>
        <w:numPr>
          <w:ilvl w:val="0"/>
          <w:numId w:val="5"/>
        </w:numPr>
        <w:tabs>
          <w:tab w:val="left" w:pos="1800"/>
        </w:tabs>
        <w:spacing w:before="121"/>
        <w:ind w:left="1800" w:right="897"/>
      </w:pPr>
      <w:r>
        <w:lastRenderedPageBreak/>
        <w:t>The auditor should perform procedures on balances with disclosure entities, related parties, and public-private partnerships as of concurrent dates, even if fiscal years of the respective entities differ. The procedures performed should address</w:t>
      </w:r>
      <w:r>
        <w:rPr>
          <w:spacing w:val="-4"/>
        </w:rPr>
        <w:t xml:space="preserve"> </w:t>
      </w:r>
      <w:r>
        <w:t>the</w:t>
      </w:r>
      <w:r>
        <w:rPr>
          <w:spacing w:val="-5"/>
        </w:rPr>
        <w:t xml:space="preserve"> </w:t>
      </w:r>
      <w:r>
        <w:t>risks</w:t>
      </w:r>
      <w:r>
        <w:rPr>
          <w:spacing w:val="-4"/>
        </w:rPr>
        <w:t xml:space="preserve"> </w:t>
      </w:r>
      <w:r>
        <w:t>of</w:t>
      </w:r>
      <w:r>
        <w:rPr>
          <w:spacing w:val="-4"/>
        </w:rPr>
        <w:t xml:space="preserve"> </w:t>
      </w:r>
      <w:r>
        <w:t>material</w:t>
      </w:r>
      <w:r>
        <w:rPr>
          <w:spacing w:val="-4"/>
        </w:rPr>
        <w:t xml:space="preserve"> </w:t>
      </w:r>
      <w:r>
        <w:t>misstatement</w:t>
      </w:r>
      <w:r>
        <w:rPr>
          <w:spacing w:val="-4"/>
        </w:rPr>
        <w:t xml:space="preserve"> </w:t>
      </w:r>
      <w:r>
        <w:t>associated</w:t>
      </w:r>
      <w:r>
        <w:rPr>
          <w:spacing w:val="-4"/>
        </w:rPr>
        <w:t xml:space="preserve"> </w:t>
      </w:r>
      <w:r>
        <w:t>with</w:t>
      </w:r>
      <w:r>
        <w:rPr>
          <w:spacing w:val="-4"/>
        </w:rPr>
        <w:t xml:space="preserve"> </w:t>
      </w:r>
      <w:r>
        <w:t>the</w:t>
      </w:r>
      <w:r>
        <w:rPr>
          <w:spacing w:val="-4"/>
        </w:rPr>
        <w:t xml:space="preserve"> </w:t>
      </w:r>
      <w:r>
        <w:t>entity’s</w:t>
      </w:r>
      <w:r>
        <w:rPr>
          <w:spacing w:val="-4"/>
        </w:rPr>
        <w:t xml:space="preserve"> </w:t>
      </w:r>
      <w:r>
        <w:t>accounts with these entities. (AU-C 550.23)</w:t>
      </w:r>
    </w:p>
    <w:p w14:paraId="0DFDC292" w14:textId="77777777" w:rsidR="00046465" w:rsidRDefault="008134EB">
      <w:pPr>
        <w:pStyle w:val="ListParagraph"/>
        <w:numPr>
          <w:ilvl w:val="0"/>
          <w:numId w:val="5"/>
        </w:numPr>
        <w:tabs>
          <w:tab w:val="left" w:pos="1800"/>
        </w:tabs>
        <w:ind w:left="1800" w:right="777"/>
      </w:pPr>
      <w:r>
        <w:t>If the auditor identifies arrangements or information that suggests the existence of relationships or transactions with disclosure entities, related parties, or public-private partnerships that management has not previously identified or disclosed to the auditor, the auditor should determine whether the underlying circumstances</w:t>
      </w:r>
      <w:r>
        <w:rPr>
          <w:spacing w:val="-5"/>
        </w:rPr>
        <w:t xml:space="preserve"> </w:t>
      </w:r>
      <w:r>
        <w:t>confirm</w:t>
      </w:r>
      <w:r>
        <w:rPr>
          <w:spacing w:val="-6"/>
        </w:rPr>
        <w:t xml:space="preserve"> </w:t>
      </w:r>
      <w:r>
        <w:t>the</w:t>
      </w:r>
      <w:r>
        <w:rPr>
          <w:spacing w:val="-5"/>
        </w:rPr>
        <w:t xml:space="preserve"> </w:t>
      </w:r>
      <w:r>
        <w:t>existence</w:t>
      </w:r>
      <w:r>
        <w:rPr>
          <w:spacing w:val="-5"/>
        </w:rPr>
        <w:t xml:space="preserve"> </w:t>
      </w:r>
      <w:r>
        <w:t>of</w:t>
      </w:r>
      <w:r>
        <w:rPr>
          <w:spacing w:val="-5"/>
        </w:rPr>
        <w:t xml:space="preserve"> </w:t>
      </w:r>
      <w:r>
        <w:t>those</w:t>
      </w:r>
      <w:r>
        <w:rPr>
          <w:spacing w:val="-5"/>
        </w:rPr>
        <w:t xml:space="preserve"> </w:t>
      </w:r>
      <w:r>
        <w:t>relationships</w:t>
      </w:r>
      <w:r>
        <w:rPr>
          <w:spacing w:val="-5"/>
        </w:rPr>
        <w:t xml:space="preserve"> </w:t>
      </w:r>
      <w:r>
        <w:t>or</w:t>
      </w:r>
      <w:r>
        <w:rPr>
          <w:spacing w:val="-5"/>
        </w:rPr>
        <w:t xml:space="preserve"> </w:t>
      </w:r>
      <w:r>
        <w:t>transactions</w:t>
      </w:r>
      <w:r>
        <w:rPr>
          <w:spacing w:val="-5"/>
        </w:rPr>
        <w:t xml:space="preserve"> </w:t>
      </w:r>
      <w:r>
        <w:t xml:space="preserve">(AU-C </w:t>
      </w:r>
      <w:r>
        <w:rPr>
          <w:spacing w:val="-2"/>
        </w:rPr>
        <w:t>550.24).</w:t>
      </w:r>
    </w:p>
    <w:p w14:paraId="0DFDC293" w14:textId="77777777" w:rsidR="00046465" w:rsidRDefault="008134EB">
      <w:pPr>
        <w:pStyle w:val="ListParagraph"/>
        <w:numPr>
          <w:ilvl w:val="0"/>
          <w:numId w:val="5"/>
        </w:numPr>
        <w:tabs>
          <w:tab w:val="left" w:pos="1800"/>
        </w:tabs>
        <w:ind w:left="1800" w:right="1071"/>
      </w:pPr>
      <w:r>
        <w:t>If the auditor identifies disclosure entities, related parties, or public-private partnerships or significant transactions with them that management has not previously</w:t>
      </w:r>
      <w:r>
        <w:rPr>
          <w:spacing w:val="-4"/>
        </w:rPr>
        <w:t xml:space="preserve"> </w:t>
      </w:r>
      <w:r>
        <w:t>identified</w:t>
      </w:r>
      <w:r>
        <w:rPr>
          <w:spacing w:val="-4"/>
        </w:rPr>
        <w:t xml:space="preserve"> </w:t>
      </w:r>
      <w:r>
        <w:t>or</w:t>
      </w:r>
      <w:r>
        <w:rPr>
          <w:spacing w:val="-4"/>
        </w:rPr>
        <w:t xml:space="preserve"> </w:t>
      </w:r>
      <w:r>
        <w:t>disclosed</w:t>
      </w:r>
      <w:r>
        <w:rPr>
          <w:spacing w:val="-5"/>
        </w:rPr>
        <w:t xml:space="preserve"> </w:t>
      </w:r>
      <w:r>
        <w:t>to</w:t>
      </w:r>
      <w:r>
        <w:rPr>
          <w:spacing w:val="-4"/>
        </w:rPr>
        <w:t xml:space="preserve"> </w:t>
      </w:r>
      <w:r>
        <w:t>the</w:t>
      </w:r>
      <w:r>
        <w:rPr>
          <w:spacing w:val="-4"/>
        </w:rPr>
        <w:t xml:space="preserve"> </w:t>
      </w:r>
      <w:r>
        <w:t>auditor,</w:t>
      </w:r>
      <w:r>
        <w:rPr>
          <w:spacing w:val="-4"/>
        </w:rPr>
        <w:t xml:space="preserve"> </w:t>
      </w:r>
      <w:r>
        <w:t>the</w:t>
      </w:r>
      <w:r>
        <w:rPr>
          <w:spacing w:val="-4"/>
        </w:rPr>
        <w:t xml:space="preserve"> </w:t>
      </w:r>
      <w:r>
        <w:t>auditor</w:t>
      </w:r>
      <w:r>
        <w:rPr>
          <w:spacing w:val="-4"/>
        </w:rPr>
        <w:t xml:space="preserve"> </w:t>
      </w:r>
      <w:r>
        <w:t>should</w:t>
      </w:r>
      <w:r>
        <w:rPr>
          <w:spacing w:val="-4"/>
        </w:rPr>
        <w:t xml:space="preserve"> </w:t>
      </w:r>
      <w:r>
        <w:t>perform</w:t>
      </w:r>
      <w:r>
        <w:rPr>
          <w:spacing w:val="-5"/>
        </w:rPr>
        <w:t xml:space="preserve"> </w:t>
      </w:r>
      <w:r>
        <w:t>the following (AU-C 550.25):</w:t>
      </w:r>
    </w:p>
    <w:p w14:paraId="0DFDC294" w14:textId="77777777" w:rsidR="00046465" w:rsidRDefault="008134EB">
      <w:pPr>
        <w:pStyle w:val="ListParagraph"/>
        <w:numPr>
          <w:ilvl w:val="1"/>
          <w:numId w:val="5"/>
        </w:numPr>
        <w:tabs>
          <w:tab w:val="left" w:pos="2160"/>
        </w:tabs>
        <w:ind w:right="917"/>
      </w:pPr>
      <w:r>
        <w:t>Promptly</w:t>
      </w:r>
      <w:r>
        <w:rPr>
          <w:spacing w:val="-4"/>
        </w:rPr>
        <w:t xml:space="preserve"> </w:t>
      </w:r>
      <w:r>
        <w:t>communicate</w:t>
      </w:r>
      <w:r>
        <w:rPr>
          <w:spacing w:val="-4"/>
        </w:rPr>
        <w:t xml:space="preserve"> </w:t>
      </w:r>
      <w:r>
        <w:t>the</w:t>
      </w:r>
      <w:r>
        <w:rPr>
          <w:spacing w:val="-4"/>
        </w:rPr>
        <w:t xml:space="preserve"> </w:t>
      </w:r>
      <w:r>
        <w:t>relevant</w:t>
      </w:r>
      <w:r>
        <w:rPr>
          <w:spacing w:val="-4"/>
        </w:rPr>
        <w:t xml:space="preserve"> </w:t>
      </w:r>
      <w:r>
        <w:t>information</w:t>
      </w:r>
      <w:r>
        <w:rPr>
          <w:spacing w:val="-4"/>
        </w:rPr>
        <w:t xml:space="preserve"> </w:t>
      </w:r>
      <w:r>
        <w:t>to</w:t>
      </w:r>
      <w:r>
        <w:rPr>
          <w:spacing w:val="-4"/>
        </w:rPr>
        <w:t xml:space="preserve"> </w:t>
      </w:r>
      <w:r>
        <w:t>the</w:t>
      </w:r>
      <w:r>
        <w:rPr>
          <w:spacing w:val="-4"/>
        </w:rPr>
        <w:t xml:space="preserve"> </w:t>
      </w:r>
      <w:r>
        <w:t>other</w:t>
      </w:r>
      <w:r>
        <w:rPr>
          <w:spacing w:val="-6"/>
        </w:rPr>
        <w:t xml:space="preserve"> </w:t>
      </w:r>
      <w:r>
        <w:t>members</w:t>
      </w:r>
      <w:r>
        <w:rPr>
          <w:spacing w:val="-4"/>
        </w:rPr>
        <w:t xml:space="preserve"> </w:t>
      </w:r>
      <w:r>
        <w:t>of</w:t>
      </w:r>
      <w:r>
        <w:rPr>
          <w:spacing w:val="-3"/>
        </w:rPr>
        <w:t xml:space="preserve"> </w:t>
      </w:r>
      <w:r>
        <w:t>the engagement team.</w:t>
      </w:r>
    </w:p>
    <w:p w14:paraId="0DFDC295" w14:textId="77777777" w:rsidR="00046465" w:rsidRDefault="008134EB">
      <w:pPr>
        <w:pStyle w:val="ListParagraph"/>
        <w:numPr>
          <w:ilvl w:val="1"/>
          <w:numId w:val="5"/>
        </w:numPr>
        <w:tabs>
          <w:tab w:val="left" w:pos="2160"/>
        </w:tabs>
        <w:ind w:right="1013"/>
      </w:pPr>
      <w:r>
        <w:t>Request</w:t>
      </w:r>
      <w:r>
        <w:rPr>
          <w:spacing w:val="-5"/>
        </w:rPr>
        <w:t xml:space="preserve"> </w:t>
      </w:r>
      <w:r>
        <w:t>that</w:t>
      </w:r>
      <w:r>
        <w:rPr>
          <w:spacing w:val="-5"/>
        </w:rPr>
        <w:t xml:space="preserve"> </w:t>
      </w:r>
      <w:r>
        <w:t>management</w:t>
      </w:r>
      <w:r>
        <w:rPr>
          <w:spacing w:val="-5"/>
        </w:rPr>
        <w:t xml:space="preserve"> </w:t>
      </w:r>
      <w:r>
        <w:t>identify</w:t>
      </w:r>
      <w:r>
        <w:rPr>
          <w:spacing w:val="-5"/>
        </w:rPr>
        <w:t xml:space="preserve"> </w:t>
      </w:r>
      <w:r>
        <w:t>all</w:t>
      </w:r>
      <w:r>
        <w:rPr>
          <w:spacing w:val="-5"/>
        </w:rPr>
        <w:t xml:space="preserve"> </w:t>
      </w:r>
      <w:r>
        <w:t>transactions</w:t>
      </w:r>
      <w:r>
        <w:rPr>
          <w:spacing w:val="-5"/>
        </w:rPr>
        <w:t xml:space="preserve"> </w:t>
      </w:r>
      <w:r>
        <w:t>with</w:t>
      </w:r>
      <w:r>
        <w:rPr>
          <w:spacing w:val="-5"/>
        </w:rPr>
        <w:t xml:space="preserve"> </w:t>
      </w:r>
      <w:r>
        <w:t>the</w:t>
      </w:r>
      <w:r>
        <w:rPr>
          <w:spacing w:val="-5"/>
        </w:rPr>
        <w:t xml:space="preserve"> </w:t>
      </w:r>
      <w:r>
        <w:t>newly</w:t>
      </w:r>
      <w:r>
        <w:rPr>
          <w:spacing w:val="-5"/>
        </w:rPr>
        <w:t xml:space="preserve"> </w:t>
      </w:r>
      <w:r>
        <w:t>identified disclosure entities, related parties, and public-private partnerships for the auditor’s further evaluation.</w:t>
      </w:r>
    </w:p>
    <w:p w14:paraId="0DFDC296" w14:textId="77777777" w:rsidR="00046465" w:rsidRDefault="008134EB">
      <w:pPr>
        <w:pStyle w:val="ListParagraph"/>
        <w:numPr>
          <w:ilvl w:val="1"/>
          <w:numId w:val="5"/>
        </w:numPr>
        <w:tabs>
          <w:tab w:val="left" w:pos="2160"/>
        </w:tabs>
        <w:spacing w:before="119"/>
        <w:ind w:right="1052"/>
      </w:pPr>
      <w:r>
        <w:t>Inquire why the entity’s controls over relationships and transactions with disclosure</w:t>
      </w:r>
      <w:r>
        <w:rPr>
          <w:spacing w:val="-5"/>
        </w:rPr>
        <w:t xml:space="preserve"> </w:t>
      </w:r>
      <w:r>
        <w:t>entities,</w:t>
      </w:r>
      <w:r>
        <w:rPr>
          <w:spacing w:val="-5"/>
        </w:rPr>
        <w:t xml:space="preserve"> </w:t>
      </w:r>
      <w:r>
        <w:t>related</w:t>
      </w:r>
      <w:r>
        <w:rPr>
          <w:spacing w:val="-5"/>
        </w:rPr>
        <w:t xml:space="preserve"> </w:t>
      </w:r>
      <w:r>
        <w:t>parties,</w:t>
      </w:r>
      <w:r>
        <w:rPr>
          <w:spacing w:val="-5"/>
        </w:rPr>
        <w:t xml:space="preserve"> </w:t>
      </w:r>
      <w:r>
        <w:t>and</w:t>
      </w:r>
      <w:r>
        <w:rPr>
          <w:spacing w:val="-5"/>
        </w:rPr>
        <w:t xml:space="preserve"> </w:t>
      </w:r>
      <w:r>
        <w:t>public-private</w:t>
      </w:r>
      <w:r>
        <w:rPr>
          <w:spacing w:val="-5"/>
        </w:rPr>
        <w:t xml:space="preserve"> </w:t>
      </w:r>
      <w:r>
        <w:t>partnerships</w:t>
      </w:r>
      <w:r>
        <w:rPr>
          <w:spacing w:val="-5"/>
        </w:rPr>
        <w:t xml:space="preserve"> </w:t>
      </w:r>
      <w:r>
        <w:t>failed</w:t>
      </w:r>
      <w:r>
        <w:rPr>
          <w:spacing w:val="-5"/>
        </w:rPr>
        <w:t xml:space="preserve"> </w:t>
      </w:r>
      <w:r>
        <w:t>to identify or disclose those relationships or transactions.</w:t>
      </w:r>
    </w:p>
    <w:p w14:paraId="0DFDC297" w14:textId="77777777" w:rsidR="00046465" w:rsidRDefault="008134EB">
      <w:pPr>
        <w:pStyle w:val="ListParagraph"/>
        <w:numPr>
          <w:ilvl w:val="1"/>
          <w:numId w:val="5"/>
        </w:numPr>
        <w:tabs>
          <w:tab w:val="left" w:pos="2160"/>
        </w:tabs>
        <w:spacing w:before="121"/>
        <w:ind w:right="941"/>
      </w:pPr>
      <w:r>
        <w:t>Perform appropriate substantive audit procedures relating to such newly identified</w:t>
      </w:r>
      <w:r>
        <w:rPr>
          <w:spacing w:val="-6"/>
        </w:rPr>
        <w:t xml:space="preserve"> </w:t>
      </w:r>
      <w:r>
        <w:t>disclosure</w:t>
      </w:r>
      <w:r>
        <w:rPr>
          <w:spacing w:val="-6"/>
        </w:rPr>
        <w:t xml:space="preserve"> </w:t>
      </w:r>
      <w:r>
        <w:t>entities,</w:t>
      </w:r>
      <w:r>
        <w:rPr>
          <w:spacing w:val="-6"/>
        </w:rPr>
        <w:t xml:space="preserve"> </w:t>
      </w:r>
      <w:r>
        <w:t>related</w:t>
      </w:r>
      <w:r>
        <w:rPr>
          <w:spacing w:val="-7"/>
        </w:rPr>
        <w:t xml:space="preserve"> </w:t>
      </w:r>
      <w:r>
        <w:t>parties,</w:t>
      </w:r>
      <w:r>
        <w:rPr>
          <w:spacing w:val="-6"/>
        </w:rPr>
        <w:t xml:space="preserve"> </w:t>
      </w:r>
      <w:r>
        <w:t>and</w:t>
      </w:r>
      <w:r>
        <w:rPr>
          <w:spacing w:val="-7"/>
        </w:rPr>
        <w:t xml:space="preserve"> </w:t>
      </w:r>
      <w:r>
        <w:t>public-private</w:t>
      </w:r>
      <w:r>
        <w:rPr>
          <w:spacing w:val="-6"/>
        </w:rPr>
        <w:t xml:space="preserve"> </w:t>
      </w:r>
      <w:r>
        <w:t>partnerships or significant transactions with them.</w:t>
      </w:r>
    </w:p>
    <w:p w14:paraId="0DFDC298" w14:textId="77777777" w:rsidR="00046465" w:rsidRDefault="008134EB">
      <w:pPr>
        <w:pStyle w:val="ListParagraph"/>
        <w:numPr>
          <w:ilvl w:val="1"/>
          <w:numId w:val="5"/>
        </w:numPr>
        <w:tabs>
          <w:tab w:val="left" w:pos="2160"/>
        </w:tabs>
        <w:spacing w:before="119"/>
        <w:ind w:right="879"/>
      </w:pPr>
      <w:r>
        <w:t>Reconsider</w:t>
      </w:r>
      <w:r>
        <w:rPr>
          <w:spacing w:val="-6"/>
        </w:rPr>
        <w:t xml:space="preserve"> </w:t>
      </w:r>
      <w:r>
        <w:t>the</w:t>
      </w:r>
      <w:r>
        <w:rPr>
          <w:spacing w:val="-4"/>
        </w:rPr>
        <w:t xml:space="preserve"> </w:t>
      </w:r>
      <w:r>
        <w:t>risk</w:t>
      </w:r>
      <w:r>
        <w:rPr>
          <w:spacing w:val="-4"/>
        </w:rPr>
        <w:t xml:space="preserve"> </w:t>
      </w:r>
      <w:r>
        <w:t>that</w:t>
      </w:r>
      <w:r>
        <w:rPr>
          <w:spacing w:val="-5"/>
        </w:rPr>
        <w:t xml:space="preserve"> </w:t>
      </w:r>
      <w:r>
        <w:t>other</w:t>
      </w:r>
      <w:r>
        <w:rPr>
          <w:spacing w:val="-4"/>
        </w:rPr>
        <w:t xml:space="preserve"> </w:t>
      </w:r>
      <w:r>
        <w:t>disclosure</w:t>
      </w:r>
      <w:r>
        <w:rPr>
          <w:spacing w:val="-4"/>
        </w:rPr>
        <w:t xml:space="preserve"> </w:t>
      </w:r>
      <w:r>
        <w:t>entities,</w:t>
      </w:r>
      <w:r>
        <w:rPr>
          <w:spacing w:val="-4"/>
        </w:rPr>
        <w:t xml:space="preserve"> </w:t>
      </w:r>
      <w:r>
        <w:t>related</w:t>
      </w:r>
      <w:r>
        <w:rPr>
          <w:spacing w:val="-4"/>
        </w:rPr>
        <w:t xml:space="preserve"> </w:t>
      </w:r>
      <w:r>
        <w:t>parties,</w:t>
      </w:r>
      <w:r>
        <w:rPr>
          <w:spacing w:val="-4"/>
        </w:rPr>
        <w:t xml:space="preserve"> </w:t>
      </w:r>
      <w:r>
        <w:t>and</w:t>
      </w:r>
      <w:r>
        <w:rPr>
          <w:spacing w:val="-4"/>
        </w:rPr>
        <w:t xml:space="preserve"> </w:t>
      </w:r>
      <w:r>
        <w:t>public-private partnerships or significant transactions with them may exist that management has not previously identified or disclosed to the auditor and perform additional audit procedures as necessary.</w:t>
      </w:r>
    </w:p>
    <w:p w14:paraId="0DFDC299" w14:textId="77777777" w:rsidR="00046465" w:rsidRDefault="008134EB">
      <w:pPr>
        <w:pStyle w:val="ListParagraph"/>
        <w:numPr>
          <w:ilvl w:val="1"/>
          <w:numId w:val="5"/>
        </w:numPr>
        <w:tabs>
          <w:tab w:val="left" w:pos="2160"/>
        </w:tabs>
        <w:ind w:right="1528"/>
      </w:pPr>
      <w:r>
        <w:t>Evaluate</w:t>
      </w:r>
      <w:r>
        <w:rPr>
          <w:spacing w:val="-5"/>
        </w:rPr>
        <w:t xml:space="preserve"> </w:t>
      </w:r>
      <w:r>
        <w:t>the</w:t>
      </w:r>
      <w:r>
        <w:rPr>
          <w:spacing w:val="-6"/>
        </w:rPr>
        <w:t xml:space="preserve"> </w:t>
      </w:r>
      <w:r>
        <w:t>implications</w:t>
      </w:r>
      <w:r>
        <w:rPr>
          <w:spacing w:val="-6"/>
        </w:rPr>
        <w:t xml:space="preserve"> </w:t>
      </w:r>
      <w:r>
        <w:t>for</w:t>
      </w:r>
      <w:r>
        <w:rPr>
          <w:spacing w:val="-5"/>
        </w:rPr>
        <w:t xml:space="preserve"> </w:t>
      </w:r>
      <w:r>
        <w:t>the</w:t>
      </w:r>
      <w:r>
        <w:rPr>
          <w:spacing w:val="-5"/>
        </w:rPr>
        <w:t xml:space="preserve"> </w:t>
      </w:r>
      <w:r>
        <w:t>audit</w:t>
      </w:r>
      <w:r>
        <w:rPr>
          <w:spacing w:val="-6"/>
        </w:rPr>
        <w:t xml:space="preserve"> </w:t>
      </w:r>
      <w:r>
        <w:t>if</w:t>
      </w:r>
      <w:r>
        <w:rPr>
          <w:spacing w:val="-5"/>
        </w:rPr>
        <w:t xml:space="preserve"> </w:t>
      </w:r>
      <w:r>
        <w:t>management’s</w:t>
      </w:r>
      <w:r>
        <w:rPr>
          <w:spacing w:val="-5"/>
        </w:rPr>
        <w:t xml:space="preserve"> </w:t>
      </w:r>
      <w:r>
        <w:t>nondisclosure appears intentional (and therefore indicative of a risk of material misstatement due to fraud).</w:t>
      </w:r>
    </w:p>
    <w:p w14:paraId="0DFDC29A" w14:textId="77777777" w:rsidR="00046465" w:rsidRDefault="008134EB">
      <w:pPr>
        <w:pStyle w:val="ListParagraph"/>
        <w:numPr>
          <w:ilvl w:val="0"/>
          <w:numId w:val="119"/>
        </w:numPr>
        <w:tabs>
          <w:tab w:val="left" w:pos="1800"/>
        </w:tabs>
        <w:spacing w:before="121"/>
        <w:ind w:right="812"/>
      </w:pPr>
      <w:r>
        <w:t>For</w:t>
      </w:r>
      <w:r>
        <w:rPr>
          <w:spacing w:val="-4"/>
        </w:rPr>
        <w:t xml:space="preserve"> </w:t>
      </w:r>
      <w:r>
        <w:t>identified</w:t>
      </w:r>
      <w:r>
        <w:rPr>
          <w:spacing w:val="-4"/>
        </w:rPr>
        <w:t xml:space="preserve"> </w:t>
      </w:r>
      <w:r>
        <w:t>significant</w:t>
      </w:r>
      <w:r>
        <w:rPr>
          <w:spacing w:val="-5"/>
        </w:rPr>
        <w:t xml:space="preserve"> </w:t>
      </w:r>
      <w:r>
        <w:t>transactions</w:t>
      </w:r>
      <w:r>
        <w:rPr>
          <w:spacing w:val="-5"/>
        </w:rPr>
        <w:t xml:space="preserve"> </w:t>
      </w:r>
      <w:r>
        <w:t>with</w:t>
      </w:r>
      <w:r>
        <w:rPr>
          <w:spacing w:val="-4"/>
        </w:rPr>
        <w:t xml:space="preserve"> </w:t>
      </w:r>
      <w:r>
        <w:t>disclosure</w:t>
      </w:r>
      <w:r>
        <w:rPr>
          <w:spacing w:val="-4"/>
        </w:rPr>
        <w:t xml:space="preserve"> </w:t>
      </w:r>
      <w:r>
        <w:t>entities,</w:t>
      </w:r>
      <w:r>
        <w:rPr>
          <w:spacing w:val="-5"/>
        </w:rPr>
        <w:t xml:space="preserve"> </w:t>
      </w:r>
      <w:r>
        <w:t>related</w:t>
      </w:r>
      <w:r>
        <w:rPr>
          <w:spacing w:val="-4"/>
        </w:rPr>
        <w:t xml:space="preserve"> </w:t>
      </w:r>
      <w:r>
        <w:t>parties,</w:t>
      </w:r>
      <w:r>
        <w:rPr>
          <w:spacing w:val="-4"/>
        </w:rPr>
        <w:t xml:space="preserve"> </w:t>
      </w:r>
      <w:r>
        <w:t>and public-private partnerships that are required to be disclosed in the financial statements or determined to be a significant risk, the auditor should perform the following (AU-C 550.26):</w:t>
      </w:r>
    </w:p>
    <w:p w14:paraId="0DFDC29B" w14:textId="77777777" w:rsidR="00046465" w:rsidRDefault="008134EB">
      <w:pPr>
        <w:pStyle w:val="ListParagraph"/>
        <w:numPr>
          <w:ilvl w:val="1"/>
          <w:numId w:val="119"/>
        </w:numPr>
        <w:tabs>
          <w:tab w:val="left" w:pos="2159"/>
        </w:tabs>
        <w:spacing w:before="119"/>
        <w:ind w:left="2159" w:hanging="359"/>
      </w:pPr>
      <w:r>
        <w:t>Read</w:t>
      </w:r>
      <w:r>
        <w:rPr>
          <w:spacing w:val="-7"/>
        </w:rPr>
        <w:t xml:space="preserve"> </w:t>
      </w:r>
      <w:r>
        <w:t>the</w:t>
      </w:r>
      <w:r>
        <w:rPr>
          <w:spacing w:val="-6"/>
        </w:rPr>
        <w:t xml:space="preserve"> </w:t>
      </w:r>
      <w:r>
        <w:t>underlying</w:t>
      </w:r>
      <w:r>
        <w:rPr>
          <w:spacing w:val="-7"/>
        </w:rPr>
        <w:t xml:space="preserve"> </w:t>
      </w:r>
      <w:r>
        <w:t>contracts</w:t>
      </w:r>
      <w:r>
        <w:rPr>
          <w:spacing w:val="-6"/>
        </w:rPr>
        <w:t xml:space="preserve"> </w:t>
      </w:r>
      <w:r>
        <w:t>or</w:t>
      </w:r>
      <w:r>
        <w:rPr>
          <w:spacing w:val="-7"/>
        </w:rPr>
        <w:t xml:space="preserve"> </w:t>
      </w:r>
      <w:r>
        <w:t>agreements,</w:t>
      </w:r>
      <w:r>
        <w:rPr>
          <w:spacing w:val="-6"/>
        </w:rPr>
        <w:t xml:space="preserve"> </w:t>
      </w:r>
      <w:r>
        <w:t>if</w:t>
      </w:r>
      <w:r>
        <w:rPr>
          <w:spacing w:val="-7"/>
        </w:rPr>
        <w:t xml:space="preserve"> </w:t>
      </w:r>
      <w:r>
        <w:t>any,</w:t>
      </w:r>
      <w:r>
        <w:rPr>
          <w:spacing w:val="-6"/>
        </w:rPr>
        <w:t xml:space="preserve"> </w:t>
      </w:r>
      <w:r>
        <w:t>and</w:t>
      </w:r>
      <w:r>
        <w:rPr>
          <w:spacing w:val="-7"/>
        </w:rPr>
        <w:t xml:space="preserve"> </w:t>
      </w:r>
      <w:r>
        <w:t>evaluate</w:t>
      </w:r>
      <w:r>
        <w:rPr>
          <w:spacing w:val="-6"/>
        </w:rPr>
        <w:t xml:space="preserve"> </w:t>
      </w:r>
      <w:r>
        <w:rPr>
          <w:spacing w:val="-2"/>
        </w:rPr>
        <w:t>whether</w:t>
      </w:r>
    </w:p>
    <w:p w14:paraId="0DFDC29C" w14:textId="77777777" w:rsidR="00046465" w:rsidRDefault="008134EB">
      <w:pPr>
        <w:pStyle w:val="ListParagraph"/>
        <w:numPr>
          <w:ilvl w:val="2"/>
          <w:numId w:val="119"/>
        </w:numPr>
        <w:tabs>
          <w:tab w:val="left" w:pos="2520"/>
        </w:tabs>
        <w:ind w:right="994"/>
      </w:pPr>
      <w:r>
        <w:t>the</w:t>
      </w:r>
      <w:r>
        <w:rPr>
          <w:spacing w:val="-4"/>
        </w:rPr>
        <w:t xml:space="preserve"> </w:t>
      </w:r>
      <w:r>
        <w:t>business</w:t>
      </w:r>
      <w:r>
        <w:rPr>
          <w:spacing w:val="-4"/>
        </w:rPr>
        <w:t xml:space="preserve"> </w:t>
      </w:r>
      <w:r>
        <w:t>purpose</w:t>
      </w:r>
      <w:r>
        <w:rPr>
          <w:spacing w:val="-4"/>
        </w:rPr>
        <w:t xml:space="preserve"> </w:t>
      </w:r>
      <w:r>
        <w:t>(or</w:t>
      </w:r>
      <w:r>
        <w:rPr>
          <w:spacing w:val="-4"/>
        </w:rPr>
        <w:t xml:space="preserve"> </w:t>
      </w:r>
      <w:r>
        <w:t>lack</w:t>
      </w:r>
      <w:r>
        <w:rPr>
          <w:spacing w:val="-4"/>
        </w:rPr>
        <w:t xml:space="preserve"> </w:t>
      </w:r>
      <w:r>
        <w:t>thereof)</w:t>
      </w:r>
      <w:r>
        <w:rPr>
          <w:spacing w:val="-4"/>
        </w:rPr>
        <w:t xml:space="preserve"> </w:t>
      </w:r>
      <w:r>
        <w:t>of</w:t>
      </w:r>
      <w:r>
        <w:rPr>
          <w:spacing w:val="-4"/>
        </w:rPr>
        <w:t xml:space="preserve"> </w:t>
      </w:r>
      <w:r>
        <w:t>the</w:t>
      </w:r>
      <w:r>
        <w:rPr>
          <w:spacing w:val="-4"/>
        </w:rPr>
        <w:t xml:space="preserve"> </w:t>
      </w:r>
      <w:r>
        <w:t>transactions</w:t>
      </w:r>
      <w:r>
        <w:rPr>
          <w:spacing w:val="-5"/>
        </w:rPr>
        <w:t xml:space="preserve"> </w:t>
      </w:r>
      <w:r>
        <w:t>suggests</w:t>
      </w:r>
      <w:r>
        <w:rPr>
          <w:spacing w:val="-4"/>
        </w:rPr>
        <w:t xml:space="preserve"> </w:t>
      </w:r>
      <w:r>
        <w:t>that they may have been entered into to engage in fraudulent financial reporting or to conceal misappropriation of assets,</w:t>
      </w:r>
    </w:p>
    <w:p w14:paraId="0DFDC29D" w14:textId="77777777" w:rsidR="00046465" w:rsidRDefault="008134EB">
      <w:pPr>
        <w:pStyle w:val="ListParagraph"/>
        <w:numPr>
          <w:ilvl w:val="2"/>
          <w:numId w:val="119"/>
        </w:numPr>
        <w:tabs>
          <w:tab w:val="left" w:pos="2520"/>
        </w:tabs>
        <w:spacing w:before="119"/>
        <w:ind w:right="1754"/>
      </w:pPr>
      <w:r>
        <w:t>the</w:t>
      </w:r>
      <w:r>
        <w:rPr>
          <w:spacing w:val="-5"/>
        </w:rPr>
        <w:t xml:space="preserve"> </w:t>
      </w:r>
      <w:r>
        <w:t>terms</w:t>
      </w:r>
      <w:r>
        <w:rPr>
          <w:spacing w:val="-5"/>
        </w:rPr>
        <w:t xml:space="preserve"> </w:t>
      </w:r>
      <w:r>
        <w:t>of</w:t>
      </w:r>
      <w:r>
        <w:rPr>
          <w:spacing w:val="-5"/>
        </w:rPr>
        <w:t xml:space="preserve"> </w:t>
      </w:r>
      <w:r>
        <w:t>the</w:t>
      </w:r>
      <w:r>
        <w:rPr>
          <w:spacing w:val="-5"/>
        </w:rPr>
        <w:t xml:space="preserve"> </w:t>
      </w:r>
      <w:r>
        <w:t>transactions</w:t>
      </w:r>
      <w:r>
        <w:rPr>
          <w:spacing w:val="-5"/>
        </w:rPr>
        <w:t xml:space="preserve"> </w:t>
      </w:r>
      <w:r>
        <w:t>are</w:t>
      </w:r>
      <w:r>
        <w:rPr>
          <w:spacing w:val="-5"/>
        </w:rPr>
        <w:t xml:space="preserve"> </w:t>
      </w:r>
      <w:r>
        <w:t>consistent</w:t>
      </w:r>
      <w:r>
        <w:rPr>
          <w:spacing w:val="-5"/>
        </w:rPr>
        <w:t xml:space="preserve"> </w:t>
      </w:r>
      <w:r>
        <w:t>with</w:t>
      </w:r>
      <w:r>
        <w:rPr>
          <w:spacing w:val="-6"/>
        </w:rPr>
        <w:t xml:space="preserve"> </w:t>
      </w:r>
      <w:r>
        <w:t>management’s explanations, and</w:t>
      </w:r>
    </w:p>
    <w:p w14:paraId="0DFDC29E" w14:textId="77777777" w:rsidR="00046465" w:rsidRDefault="008134EB">
      <w:pPr>
        <w:pStyle w:val="ListParagraph"/>
        <w:numPr>
          <w:ilvl w:val="2"/>
          <w:numId w:val="119"/>
        </w:numPr>
        <w:tabs>
          <w:tab w:val="left" w:pos="2519"/>
        </w:tabs>
        <w:spacing w:before="118"/>
        <w:ind w:left="2519"/>
      </w:pPr>
      <w:r>
        <w:t>the</w:t>
      </w:r>
      <w:r>
        <w:rPr>
          <w:spacing w:val="-8"/>
        </w:rPr>
        <w:t xml:space="preserve"> </w:t>
      </w:r>
      <w:r>
        <w:t>transactions</w:t>
      </w:r>
      <w:r>
        <w:rPr>
          <w:spacing w:val="-7"/>
        </w:rPr>
        <w:t xml:space="preserve"> </w:t>
      </w:r>
      <w:r>
        <w:t>have</w:t>
      </w:r>
      <w:r>
        <w:rPr>
          <w:spacing w:val="-8"/>
        </w:rPr>
        <w:t xml:space="preserve"> </w:t>
      </w:r>
      <w:r>
        <w:t>been</w:t>
      </w:r>
      <w:r>
        <w:rPr>
          <w:spacing w:val="-7"/>
        </w:rPr>
        <w:t xml:space="preserve"> </w:t>
      </w:r>
      <w:r>
        <w:t>appropriately</w:t>
      </w:r>
      <w:r>
        <w:rPr>
          <w:spacing w:val="-7"/>
        </w:rPr>
        <w:t xml:space="preserve"> </w:t>
      </w:r>
      <w:r>
        <w:t>accounted</w:t>
      </w:r>
      <w:r>
        <w:rPr>
          <w:spacing w:val="-8"/>
        </w:rPr>
        <w:t xml:space="preserve"> </w:t>
      </w:r>
      <w:r>
        <w:t>for</w:t>
      </w:r>
      <w:r>
        <w:rPr>
          <w:spacing w:val="-7"/>
        </w:rPr>
        <w:t xml:space="preserve"> </w:t>
      </w:r>
      <w:r>
        <w:t>and</w:t>
      </w:r>
      <w:r>
        <w:rPr>
          <w:spacing w:val="-8"/>
        </w:rPr>
        <w:t xml:space="preserve"> </w:t>
      </w:r>
      <w:r>
        <w:rPr>
          <w:spacing w:val="-2"/>
        </w:rPr>
        <w:t>disclosed.</w:t>
      </w:r>
    </w:p>
    <w:p w14:paraId="0DFDC29F" w14:textId="77777777" w:rsidR="00046465" w:rsidRDefault="00046465">
      <w:pPr>
        <w:pStyle w:val="ListParagraph"/>
        <w:sectPr w:rsidR="00046465">
          <w:pgSz w:w="12240" w:h="15840"/>
          <w:pgMar w:top="1340" w:right="720" w:bottom="940" w:left="1080" w:header="721" w:footer="757" w:gutter="0"/>
          <w:cols w:space="720"/>
        </w:sectPr>
      </w:pPr>
    </w:p>
    <w:p w14:paraId="0DFDC2A0" w14:textId="77777777" w:rsidR="00046465" w:rsidRDefault="008134EB">
      <w:pPr>
        <w:pStyle w:val="ListParagraph"/>
        <w:numPr>
          <w:ilvl w:val="1"/>
          <w:numId w:val="119"/>
        </w:numPr>
        <w:tabs>
          <w:tab w:val="left" w:pos="2159"/>
        </w:tabs>
        <w:spacing w:before="121"/>
        <w:ind w:left="2159" w:right="1686"/>
      </w:pPr>
      <w:r>
        <w:lastRenderedPageBreak/>
        <w:t>Obtain</w:t>
      </w:r>
      <w:r>
        <w:rPr>
          <w:spacing w:val="-5"/>
        </w:rPr>
        <w:t xml:space="preserve"> </w:t>
      </w:r>
      <w:r>
        <w:t>audit</w:t>
      </w:r>
      <w:r>
        <w:rPr>
          <w:spacing w:val="-5"/>
        </w:rPr>
        <w:t xml:space="preserve"> </w:t>
      </w:r>
      <w:r>
        <w:t>evidence</w:t>
      </w:r>
      <w:r>
        <w:rPr>
          <w:spacing w:val="-5"/>
        </w:rPr>
        <w:t xml:space="preserve"> </w:t>
      </w:r>
      <w:r>
        <w:t>that</w:t>
      </w:r>
      <w:r>
        <w:rPr>
          <w:spacing w:val="-5"/>
        </w:rPr>
        <w:t xml:space="preserve"> </w:t>
      </w:r>
      <w:r>
        <w:t>the</w:t>
      </w:r>
      <w:r>
        <w:rPr>
          <w:spacing w:val="-5"/>
        </w:rPr>
        <w:t xml:space="preserve"> </w:t>
      </w:r>
      <w:r>
        <w:t>transactions</w:t>
      </w:r>
      <w:r>
        <w:rPr>
          <w:spacing w:val="-5"/>
        </w:rPr>
        <w:t xml:space="preserve"> </w:t>
      </w:r>
      <w:r>
        <w:t>have</w:t>
      </w:r>
      <w:r>
        <w:rPr>
          <w:spacing w:val="-6"/>
        </w:rPr>
        <w:t xml:space="preserve"> </w:t>
      </w:r>
      <w:r>
        <w:t>been</w:t>
      </w:r>
      <w:r>
        <w:rPr>
          <w:spacing w:val="-5"/>
        </w:rPr>
        <w:t xml:space="preserve"> </w:t>
      </w:r>
      <w:r>
        <w:t>appropriately authorized and approved.</w:t>
      </w:r>
    </w:p>
    <w:p w14:paraId="0DFDC2A1" w14:textId="77777777" w:rsidR="00046465" w:rsidRDefault="008134EB">
      <w:pPr>
        <w:pStyle w:val="BodyText"/>
        <w:spacing w:before="119"/>
        <w:ind w:left="1800" w:right="749"/>
      </w:pPr>
      <w:r>
        <w:t>If management has made an assertion in the financial statements to the effect that a transaction with a disclosure entity, related party, or public-private partnership was conducted on terms equivalent to those prevailing in an arm’s length</w:t>
      </w:r>
      <w:r>
        <w:rPr>
          <w:spacing w:val="-5"/>
        </w:rPr>
        <w:t xml:space="preserve"> </w:t>
      </w:r>
      <w:r>
        <w:t>transaction,</w:t>
      </w:r>
      <w:r>
        <w:rPr>
          <w:spacing w:val="-5"/>
        </w:rPr>
        <w:t xml:space="preserve"> </w:t>
      </w:r>
      <w:r>
        <w:t>the</w:t>
      </w:r>
      <w:r>
        <w:rPr>
          <w:spacing w:val="-5"/>
        </w:rPr>
        <w:t xml:space="preserve"> </w:t>
      </w:r>
      <w:r>
        <w:t>auditor</w:t>
      </w:r>
      <w:r>
        <w:rPr>
          <w:spacing w:val="-5"/>
        </w:rPr>
        <w:t xml:space="preserve"> </w:t>
      </w:r>
      <w:r>
        <w:t>should</w:t>
      </w:r>
      <w:r>
        <w:rPr>
          <w:spacing w:val="-5"/>
        </w:rPr>
        <w:t xml:space="preserve"> </w:t>
      </w:r>
      <w:r>
        <w:t>obtain</w:t>
      </w:r>
      <w:r>
        <w:rPr>
          <w:spacing w:val="-5"/>
        </w:rPr>
        <w:t xml:space="preserve"> </w:t>
      </w:r>
      <w:r>
        <w:t>sufficient</w:t>
      </w:r>
      <w:r>
        <w:rPr>
          <w:spacing w:val="-5"/>
        </w:rPr>
        <w:t xml:space="preserve"> </w:t>
      </w:r>
      <w:r>
        <w:t>appropriate</w:t>
      </w:r>
      <w:r>
        <w:rPr>
          <w:spacing w:val="-5"/>
        </w:rPr>
        <w:t xml:space="preserve"> </w:t>
      </w:r>
      <w:r>
        <w:t>audit</w:t>
      </w:r>
      <w:r>
        <w:rPr>
          <w:spacing w:val="-5"/>
        </w:rPr>
        <w:t xml:space="preserve"> </w:t>
      </w:r>
      <w:r>
        <w:t>evidence about the assertion (AU-C 550.27).</w:t>
      </w:r>
    </w:p>
    <w:p w14:paraId="0DFDC2A2" w14:textId="77777777" w:rsidR="00046465" w:rsidRDefault="00046465">
      <w:pPr>
        <w:pStyle w:val="BodyText"/>
        <w:sectPr w:rsidR="00046465">
          <w:pgSz w:w="12240" w:h="15840"/>
          <w:pgMar w:top="1340" w:right="720" w:bottom="940" w:left="1080" w:header="721" w:footer="757" w:gutter="0"/>
          <w:cols w:space="720"/>
        </w:sectPr>
      </w:pPr>
    </w:p>
    <w:p w14:paraId="0DFDC2A3" w14:textId="77777777" w:rsidR="00046465" w:rsidRDefault="008134EB">
      <w:pPr>
        <w:pStyle w:val="Heading3"/>
        <w:rPr>
          <w:u w:val="none"/>
        </w:rPr>
      </w:pPr>
      <w:bookmarkStart w:id="288" w:name="905_–_Auditing_Accounting_Estimates"/>
      <w:bookmarkStart w:id="289" w:name="_bookmark163"/>
      <w:bookmarkEnd w:id="288"/>
      <w:bookmarkEnd w:id="289"/>
      <w:r>
        <w:lastRenderedPageBreak/>
        <w:t>905</w:t>
      </w:r>
      <w:r>
        <w:rPr>
          <w:spacing w:val="-7"/>
        </w:rPr>
        <w:t xml:space="preserve"> </w:t>
      </w:r>
      <w:r>
        <w:t>–</w:t>
      </w:r>
      <w:r>
        <w:rPr>
          <w:spacing w:val="-16"/>
        </w:rPr>
        <w:t xml:space="preserve"> </w:t>
      </w:r>
      <w:r>
        <w:t>Auditing</w:t>
      </w:r>
      <w:r>
        <w:rPr>
          <w:spacing w:val="-16"/>
        </w:rPr>
        <w:t xml:space="preserve"> </w:t>
      </w:r>
      <w:r>
        <w:t>Accounting</w:t>
      </w:r>
      <w:r>
        <w:rPr>
          <w:spacing w:val="-4"/>
        </w:rPr>
        <w:t xml:space="preserve"> </w:t>
      </w:r>
      <w:r>
        <w:rPr>
          <w:spacing w:val="-2"/>
        </w:rPr>
        <w:t>Estimates</w:t>
      </w:r>
    </w:p>
    <w:p w14:paraId="0DFDC2A4" w14:textId="77777777" w:rsidR="00046465" w:rsidRDefault="00046465">
      <w:pPr>
        <w:pStyle w:val="BodyText"/>
        <w:spacing w:before="38"/>
        <w:rPr>
          <w:b/>
          <w:sz w:val="28"/>
        </w:rPr>
      </w:pPr>
    </w:p>
    <w:p w14:paraId="0DFDC2A5" w14:textId="77777777" w:rsidR="00046465" w:rsidRDefault="008134EB">
      <w:pPr>
        <w:pStyle w:val="Heading4"/>
        <w:spacing w:before="1"/>
      </w:pPr>
      <w:r>
        <w:rPr>
          <w:spacing w:val="-2"/>
        </w:rPr>
        <w:t>Overview</w:t>
      </w:r>
    </w:p>
    <w:p w14:paraId="0DFDC2A6" w14:textId="77777777" w:rsidR="00046465" w:rsidRDefault="008134EB">
      <w:pPr>
        <w:pStyle w:val="ListParagraph"/>
        <w:numPr>
          <w:ilvl w:val="0"/>
          <w:numId w:val="4"/>
        </w:numPr>
        <w:tabs>
          <w:tab w:val="left" w:pos="1800"/>
        </w:tabs>
        <w:spacing w:before="119"/>
        <w:ind w:right="811"/>
      </w:pPr>
      <w:r>
        <w:t>This section provides guidance for auditing accounting estimates and related note disclosures. Accounting estimates vary widely in nature</w:t>
      </w:r>
      <w:r>
        <w:rPr>
          <w:spacing w:val="-1"/>
        </w:rPr>
        <w:t xml:space="preserve"> </w:t>
      </w:r>
      <w:r>
        <w:t>and are required to be made by management when the monetary amounts cannot be directly observed.</w:t>
      </w:r>
      <w:r>
        <w:rPr>
          <w:spacing w:val="-4"/>
        </w:rPr>
        <w:t xml:space="preserve"> </w:t>
      </w:r>
      <w:r>
        <w:t>The</w:t>
      </w:r>
      <w:r>
        <w:rPr>
          <w:spacing w:val="-4"/>
        </w:rPr>
        <w:t xml:space="preserve"> </w:t>
      </w:r>
      <w:r>
        <w:t>measurement</w:t>
      </w:r>
      <w:r>
        <w:rPr>
          <w:spacing w:val="-4"/>
        </w:rPr>
        <w:t xml:space="preserve"> </w:t>
      </w:r>
      <w:r>
        <w:t>of</w:t>
      </w:r>
      <w:r>
        <w:rPr>
          <w:spacing w:val="-4"/>
        </w:rPr>
        <w:t xml:space="preserve"> </w:t>
      </w:r>
      <w:r>
        <w:t>these</w:t>
      </w:r>
      <w:r>
        <w:rPr>
          <w:spacing w:val="-4"/>
        </w:rPr>
        <w:t xml:space="preserve"> </w:t>
      </w:r>
      <w:r>
        <w:t>monetary</w:t>
      </w:r>
      <w:r>
        <w:rPr>
          <w:spacing w:val="-4"/>
        </w:rPr>
        <w:t xml:space="preserve"> </w:t>
      </w:r>
      <w:r>
        <w:t>amounts</w:t>
      </w:r>
      <w:r>
        <w:rPr>
          <w:spacing w:val="-4"/>
        </w:rPr>
        <w:t xml:space="preserve"> </w:t>
      </w:r>
      <w:r>
        <w:t>is</w:t>
      </w:r>
      <w:r>
        <w:rPr>
          <w:spacing w:val="-5"/>
        </w:rPr>
        <w:t xml:space="preserve"> </w:t>
      </w:r>
      <w:r>
        <w:t>subject</w:t>
      </w:r>
      <w:r>
        <w:rPr>
          <w:spacing w:val="-4"/>
        </w:rPr>
        <w:t xml:space="preserve"> </w:t>
      </w:r>
      <w:r>
        <w:t>to</w:t>
      </w:r>
      <w:r>
        <w:rPr>
          <w:spacing w:val="-4"/>
        </w:rPr>
        <w:t xml:space="preserve"> </w:t>
      </w:r>
      <w:r>
        <w:t>estimation uncertainty, which reflects inherent limitations in knowledge or data. These limitations give rise to inherent subjectivity and variation in the measurement outcomes. The process of making accounting estimates involves selecting and applying a method using assumptions and data, which requires judgment by management and can give rise to complexity in measurement. (AU-C 540.02)</w:t>
      </w:r>
    </w:p>
    <w:p w14:paraId="0DFDC2A7" w14:textId="77777777" w:rsidR="00046465" w:rsidRDefault="008134EB">
      <w:pPr>
        <w:pStyle w:val="ListParagraph"/>
        <w:numPr>
          <w:ilvl w:val="0"/>
          <w:numId w:val="4"/>
        </w:numPr>
        <w:tabs>
          <w:tab w:val="left" w:pos="1800"/>
        </w:tabs>
        <w:ind w:right="897"/>
      </w:pPr>
      <w:r>
        <w:t>The</w:t>
      </w:r>
      <w:r>
        <w:rPr>
          <w:spacing w:val="-4"/>
        </w:rPr>
        <w:t xml:space="preserve"> </w:t>
      </w:r>
      <w:r>
        <w:t>following</w:t>
      </w:r>
      <w:r>
        <w:rPr>
          <w:spacing w:val="-4"/>
        </w:rPr>
        <w:t xml:space="preserve"> </w:t>
      </w:r>
      <w:r>
        <w:t>terms</w:t>
      </w:r>
      <w:r>
        <w:rPr>
          <w:spacing w:val="-4"/>
        </w:rPr>
        <w:t xml:space="preserve"> </w:t>
      </w:r>
      <w:r>
        <w:t>are</w:t>
      </w:r>
      <w:r>
        <w:rPr>
          <w:spacing w:val="-4"/>
        </w:rPr>
        <w:t xml:space="preserve"> </w:t>
      </w:r>
      <w:r>
        <w:t>used</w:t>
      </w:r>
      <w:r>
        <w:rPr>
          <w:spacing w:val="-4"/>
        </w:rPr>
        <w:t xml:space="preserve"> </w:t>
      </w:r>
      <w:r>
        <w:t>throughout</w:t>
      </w:r>
      <w:r>
        <w:rPr>
          <w:spacing w:val="-4"/>
        </w:rPr>
        <w:t xml:space="preserve"> </w:t>
      </w:r>
      <w:r>
        <w:t>this</w:t>
      </w:r>
      <w:r>
        <w:rPr>
          <w:spacing w:val="-4"/>
        </w:rPr>
        <w:t xml:space="preserve"> </w:t>
      </w:r>
      <w:r>
        <w:t>section</w:t>
      </w:r>
      <w:r>
        <w:rPr>
          <w:spacing w:val="-3"/>
        </w:rPr>
        <w:t xml:space="preserve"> </w:t>
      </w:r>
      <w:r>
        <w:t>to</w:t>
      </w:r>
      <w:r>
        <w:rPr>
          <w:spacing w:val="-4"/>
        </w:rPr>
        <w:t xml:space="preserve"> </w:t>
      </w:r>
      <w:r>
        <w:t>describe</w:t>
      </w:r>
      <w:r>
        <w:rPr>
          <w:spacing w:val="-4"/>
        </w:rPr>
        <w:t xml:space="preserve"> </w:t>
      </w:r>
      <w:r>
        <w:t>management’s process for making accounting estimates:</w:t>
      </w:r>
    </w:p>
    <w:p w14:paraId="0DFDC2A8" w14:textId="77777777" w:rsidR="00046465" w:rsidRDefault="008134EB">
      <w:pPr>
        <w:pStyle w:val="ListParagraph"/>
        <w:numPr>
          <w:ilvl w:val="1"/>
          <w:numId w:val="4"/>
        </w:numPr>
        <w:tabs>
          <w:tab w:val="left" w:pos="2160"/>
        </w:tabs>
        <w:ind w:right="832"/>
      </w:pPr>
      <w:r>
        <w:t xml:space="preserve">A </w:t>
      </w:r>
      <w:r>
        <w:rPr>
          <w:b/>
        </w:rPr>
        <w:t xml:space="preserve">method </w:t>
      </w:r>
      <w:r>
        <w:t>is a measurement technique used by management to make an accounting estimate in accordance with the required measurement basis. A method</w:t>
      </w:r>
      <w:r>
        <w:rPr>
          <w:spacing w:val="-4"/>
        </w:rPr>
        <w:t xml:space="preserve"> </w:t>
      </w:r>
      <w:r>
        <w:t>is</w:t>
      </w:r>
      <w:r>
        <w:rPr>
          <w:spacing w:val="-4"/>
        </w:rPr>
        <w:t xml:space="preserve"> </w:t>
      </w:r>
      <w:r>
        <w:t>applied</w:t>
      </w:r>
      <w:r>
        <w:rPr>
          <w:spacing w:val="-4"/>
        </w:rPr>
        <w:t xml:space="preserve"> </w:t>
      </w:r>
      <w:r>
        <w:t>using</w:t>
      </w:r>
      <w:r>
        <w:rPr>
          <w:spacing w:val="-5"/>
        </w:rPr>
        <w:t xml:space="preserve"> </w:t>
      </w:r>
      <w:r>
        <w:t>a</w:t>
      </w:r>
      <w:r>
        <w:rPr>
          <w:spacing w:val="-4"/>
        </w:rPr>
        <w:t xml:space="preserve"> </w:t>
      </w:r>
      <w:r>
        <w:t>computational</w:t>
      </w:r>
      <w:r>
        <w:rPr>
          <w:spacing w:val="-4"/>
        </w:rPr>
        <w:t xml:space="preserve"> </w:t>
      </w:r>
      <w:r>
        <w:t>tool</w:t>
      </w:r>
      <w:r>
        <w:rPr>
          <w:spacing w:val="-4"/>
        </w:rPr>
        <w:t xml:space="preserve"> </w:t>
      </w:r>
      <w:r>
        <w:t>or</w:t>
      </w:r>
      <w:r>
        <w:rPr>
          <w:spacing w:val="-6"/>
        </w:rPr>
        <w:t xml:space="preserve"> </w:t>
      </w:r>
      <w:r>
        <w:t>process,</w:t>
      </w:r>
      <w:r>
        <w:rPr>
          <w:spacing w:val="-5"/>
        </w:rPr>
        <w:t xml:space="preserve"> </w:t>
      </w:r>
      <w:r>
        <w:t>sometimes</w:t>
      </w:r>
      <w:r>
        <w:rPr>
          <w:spacing w:val="-4"/>
        </w:rPr>
        <w:t xml:space="preserve"> </w:t>
      </w:r>
      <w:r>
        <w:t xml:space="preserve">referred to as a </w:t>
      </w:r>
      <w:r>
        <w:rPr>
          <w:b/>
        </w:rPr>
        <w:t>model</w:t>
      </w:r>
      <w:r>
        <w:t>, and involves applying assumptions and data and taking into account a set of relationships between them (AU-C 540.A2). Examples of models include</w:t>
      </w:r>
    </w:p>
    <w:p w14:paraId="0DFDC2A9" w14:textId="77777777" w:rsidR="00046465" w:rsidRDefault="008134EB">
      <w:pPr>
        <w:pStyle w:val="ListParagraph"/>
        <w:numPr>
          <w:ilvl w:val="2"/>
          <w:numId w:val="4"/>
        </w:numPr>
        <w:tabs>
          <w:tab w:val="left" w:pos="2520"/>
        </w:tabs>
        <w:ind w:right="823"/>
      </w:pPr>
      <w:r>
        <w:t>an expected credit loss model that uses a complex set of historical data and</w:t>
      </w:r>
      <w:r>
        <w:rPr>
          <w:spacing w:val="-4"/>
        </w:rPr>
        <w:t xml:space="preserve"> </w:t>
      </w:r>
      <w:r>
        <w:t>assumptions</w:t>
      </w:r>
      <w:r>
        <w:rPr>
          <w:spacing w:val="-4"/>
        </w:rPr>
        <w:t xml:space="preserve"> </w:t>
      </w:r>
      <w:r>
        <w:t>about</w:t>
      </w:r>
      <w:r>
        <w:rPr>
          <w:spacing w:val="-4"/>
        </w:rPr>
        <w:t xml:space="preserve"> </w:t>
      </w:r>
      <w:r>
        <w:t>future</w:t>
      </w:r>
      <w:r>
        <w:rPr>
          <w:spacing w:val="-4"/>
        </w:rPr>
        <w:t xml:space="preserve"> </w:t>
      </w:r>
      <w:r>
        <w:t>developments</w:t>
      </w:r>
      <w:r>
        <w:rPr>
          <w:spacing w:val="-4"/>
        </w:rPr>
        <w:t xml:space="preserve"> </w:t>
      </w:r>
      <w:r>
        <w:t>in</w:t>
      </w:r>
      <w:r>
        <w:rPr>
          <w:spacing w:val="-4"/>
        </w:rPr>
        <w:t xml:space="preserve"> </w:t>
      </w:r>
      <w:r>
        <w:t>a</w:t>
      </w:r>
      <w:r>
        <w:rPr>
          <w:spacing w:val="-4"/>
        </w:rPr>
        <w:t xml:space="preserve"> </w:t>
      </w:r>
      <w:r>
        <w:t>variety</w:t>
      </w:r>
      <w:r>
        <w:rPr>
          <w:spacing w:val="-4"/>
        </w:rPr>
        <w:t xml:space="preserve"> </w:t>
      </w:r>
      <w:r>
        <w:t>of</w:t>
      </w:r>
      <w:r>
        <w:rPr>
          <w:spacing w:val="-4"/>
        </w:rPr>
        <w:t xml:space="preserve"> </w:t>
      </w:r>
      <w:r>
        <w:t>entity-specific scenarios that may be difficult to predict (AU-C 540.A67) and</w:t>
      </w:r>
    </w:p>
    <w:p w14:paraId="0DFDC2AA" w14:textId="77777777" w:rsidR="00046465" w:rsidRDefault="008134EB">
      <w:pPr>
        <w:pStyle w:val="ListParagraph"/>
        <w:numPr>
          <w:ilvl w:val="2"/>
          <w:numId w:val="4"/>
        </w:numPr>
        <w:tabs>
          <w:tab w:val="left" w:pos="2520"/>
        </w:tabs>
        <w:spacing w:before="118"/>
        <w:ind w:right="1154"/>
      </w:pPr>
      <w:r>
        <w:t>a</w:t>
      </w:r>
      <w:r>
        <w:rPr>
          <w:spacing w:val="-4"/>
        </w:rPr>
        <w:t xml:space="preserve"> </w:t>
      </w:r>
      <w:r>
        <w:t>valuation</w:t>
      </w:r>
      <w:r>
        <w:rPr>
          <w:spacing w:val="-5"/>
        </w:rPr>
        <w:t xml:space="preserve"> </w:t>
      </w:r>
      <w:r>
        <w:t>model</w:t>
      </w:r>
      <w:r>
        <w:rPr>
          <w:spacing w:val="-4"/>
        </w:rPr>
        <w:t xml:space="preserve"> </w:t>
      </w:r>
      <w:r>
        <w:t>that</w:t>
      </w:r>
      <w:r>
        <w:rPr>
          <w:spacing w:val="-4"/>
        </w:rPr>
        <w:t xml:space="preserve"> </w:t>
      </w:r>
      <w:r>
        <w:t>calculates</w:t>
      </w:r>
      <w:r>
        <w:rPr>
          <w:spacing w:val="-5"/>
        </w:rPr>
        <w:t xml:space="preserve"> </w:t>
      </w:r>
      <w:r>
        <w:t>the</w:t>
      </w:r>
      <w:r>
        <w:rPr>
          <w:spacing w:val="-4"/>
        </w:rPr>
        <w:t xml:space="preserve"> </w:t>
      </w:r>
      <w:r>
        <w:t>present</w:t>
      </w:r>
      <w:r>
        <w:rPr>
          <w:spacing w:val="-4"/>
        </w:rPr>
        <w:t xml:space="preserve"> </w:t>
      </w:r>
      <w:r>
        <w:t>value</w:t>
      </w:r>
      <w:r>
        <w:rPr>
          <w:spacing w:val="-4"/>
        </w:rPr>
        <w:t xml:space="preserve"> </w:t>
      </w:r>
      <w:r>
        <w:t>of</w:t>
      </w:r>
      <w:r>
        <w:rPr>
          <w:spacing w:val="-4"/>
        </w:rPr>
        <w:t xml:space="preserve"> </w:t>
      </w:r>
      <w:r>
        <w:t>expected</w:t>
      </w:r>
      <w:r>
        <w:rPr>
          <w:spacing w:val="-4"/>
        </w:rPr>
        <w:t xml:space="preserve"> </w:t>
      </w:r>
      <w:r>
        <w:t>future cash flows (AU-C 540.A39).</w:t>
      </w:r>
    </w:p>
    <w:p w14:paraId="0DFDC2AB" w14:textId="77777777" w:rsidR="00046465" w:rsidRDefault="008134EB">
      <w:pPr>
        <w:pStyle w:val="ListParagraph"/>
        <w:numPr>
          <w:ilvl w:val="1"/>
          <w:numId w:val="4"/>
        </w:numPr>
        <w:tabs>
          <w:tab w:val="left" w:pos="2160"/>
        </w:tabs>
        <w:spacing w:before="118"/>
        <w:ind w:right="760"/>
      </w:pPr>
      <w:r>
        <w:rPr>
          <w:b/>
        </w:rPr>
        <w:t xml:space="preserve">Assumptions </w:t>
      </w:r>
      <w:r>
        <w:t>involve judgment based on available information, such as the choice of an interest rate or a discount rate, or judgments about future conditions</w:t>
      </w:r>
      <w:r>
        <w:rPr>
          <w:spacing w:val="-5"/>
        </w:rPr>
        <w:t xml:space="preserve"> </w:t>
      </w:r>
      <w:r>
        <w:t>or</w:t>
      </w:r>
      <w:r>
        <w:rPr>
          <w:spacing w:val="-4"/>
        </w:rPr>
        <w:t xml:space="preserve"> </w:t>
      </w:r>
      <w:r>
        <w:t>events.</w:t>
      </w:r>
      <w:r>
        <w:rPr>
          <w:spacing w:val="-4"/>
        </w:rPr>
        <w:t xml:space="preserve"> </w:t>
      </w:r>
      <w:r>
        <w:t>An</w:t>
      </w:r>
      <w:r>
        <w:rPr>
          <w:spacing w:val="-5"/>
        </w:rPr>
        <w:t xml:space="preserve"> </w:t>
      </w:r>
      <w:r>
        <w:t>assumption</w:t>
      </w:r>
      <w:r>
        <w:rPr>
          <w:spacing w:val="-5"/>
        </w:rPr>
        <w:t xml:space="preserve"> </w:t>
      </w:r>
      <w:r>
        <w:t>may</w:t>
      </w:r>
      <w:r>
        <w:rPr>
          <w:spacing w:val="-4"/>
        </w:rPr>
        <w:t xml:space="preserve"> </w:t>
      </w:r>
      <w:r>
        <w:t>be</w:t>
      </w:r>
      <w:r>
        <w:rPr>
          <w:spacing w:val="-4"/>
        </w:rPr>
        <w:t xml:space="preserve"> </w:t>
      </w:r>
      <w:r>
        <w:t>selected</w:t>
      </w:r>
      <w:r>
        <w:rPr>
          <w:spacing w:val="-4"/>
        </w:rPr>
        <w:t xml:space="preserve"> </w:t>
      </w:r>
      <w:r>
        <w:t>by</w:t>
      </w:r>
      <w:r>
        <w:rPr>
          <w:spacing w:val="-4"/>
        </w:rPr>
        <w:t xml:space="preserve"> </w:t>
      </w:r>
      <w:r>
        <w:t>management</w:t>
      </w:r>
      <w:r>
        <w:rPr>
          <w:spacing w:val="-4"/>
        </w:rPr>
        <w:t xml:space="preserve"> </w:t>
      </w:r>
      <w:r>
        <w:t>from</w:t>
      </w:r>
      <w:r>
        <w:rPr>
          <w:spacing w:val="-5"/>
        </w:rPr>
        <w:t xml:space="preserve"> </w:t>
      </w:r>
      <w:r>
        <w:t>a range of appropriate alternatives (AU-C 540.A3). Assumptions that are made or identified by management’s specialists become management’s assumptions when used by management in making an accounting estimate (AU-C 540.A130).</w:t>
      </w:r>
    </w:p>
    <w:p w14:paraId="0DFDC2AC" w14:textId="77777777" w:rsidR="00046465" w:rsidRDefault="008134EB">
      <w:pPr>
        <w:pStyle w:val="ListParagraph"/>
        <w:numPr>
          <w:ilvl w:val="1"/>
          <w:numId w:val="4"/>
        </w:numPr>
        <w:tabs>
          <w:tab w:val="left" w:pos="2159"/>
        </w:tabs>
        <w:ind w:left="2159" w:right="783"/>
      </w:pPr>
      <w:r>
        <w:rPr>
          <w:b/>
        </w:rPr>
        <w:t xml:space="preserve">Data </w:t>
      </w:r>
      <w:r>
        <w:t>refers to information that can be obtained through direct observation or from an external party (AU-C 540.A4). Data can be generated within the entity</w:t>
      </w:r>
      <w:r>
        <w:rPr>
          <w:spacing w:val="-1"/>
        </w:rPr>
        <w:t xml:space="preserve"> </w:t>
      </w:r>
      <w:r>
        <w:t>or</w:t>
      </w:r>
      <w:r>
        <w:rPr>
          <w:spacing w:val="-1"/>
        </w:rPr>
        <w:t xml:space="preserve"> </w:t>
      </w:r>
      <w:r>
        <w:t>externally,</w:t>
      </w:r>
      <w:r>
        <w:rPr>
          <w:spacing w:val="-1"/>
        </w:rPr>
        <w:t xml:space="preserve"> </w:t>
      </w:r>
      <w:r>
        <w:t>obtained</w:t>
      </w:r>
      <w:r>
        <w:rPr>
          <w:spacing w:val="-1"/>
        </w:rPr>
        <w:t xml:space="preserve"> </w:t>
      </w:r>
      <w:r>
        <w:t>from</w:t>
      </w:r>
      <w:r>
        <w:rPr>
          <w:spacing w:val="-2"/>
        </w:rPr>
        <w:t xml:space="preserve"> </w:t>
      </w:r>
      <w:r>
        <w:t>a</w:t>
      </w:r>
      <w:r>
        <w:rPr>
          <w:spacing w:val="-1"/>
        </w:rPr>
        <w:t xml:space="preserve"> </w:t>
      </w:r>
      <w:r>
        <w:t>system</w:t>
      </w:r>
      <w:r>
        <w:rPr>
          <w:spacing w:val="-2"/>
        </w:rPr>
        <w:t xml:space="preserve"> </w:t>
      </w:r>
      <w:r>
        <w:t>that</w:t>
      </w:r>
      <w:r>
        <w:rPr>
          <w:spacing w:val="-2"/>
        </w:rPr>
        <w:t xml:space="preserve"> </w:t>
      </w:r>
      <w:r>
        <w:t>is</w:t>
      </w:r>
      <w:r>
        <w:rPr>
          <w:spacing w:val="-1"/>
        </w:rPr>
        <w:t xml:space="preserve"> </w:t>
      </w:r>
      <w:r>
        <w:t>either</w:t>
      </w:r>
      <w:r>
        <w:rPr>
          <w:spacing w:val="-1"/>
        </w:rPr>
        <w:t xml:space="preserve"> </w:t>
      </w:r>
      <w:r>
        <w:t>within</w:t>
      </w:r>
      <w:r>
        <w:rPr>
          <w:spacing w:val="-1"/>
        </w:rPr>
        <w:t xml:space="preserve"> </w:t>
      </w:r>
      <w:r>
        <w:t>or</w:t>
      </w:r>
      <w:r>
        <w:rPr>
          <w:spacing w:val="-1"/>
        </w:rPr>
        <w:t xml:space="preserve"> </w:t>
      </w:r>
      <w:r>
        <w:t>outside</w:t>
      </w:r>
      <w:r>
        <w:rPr>
          <w:spacing w:val="-2"/>
        </w:rPr>
        <w:t xml:space="preserve"> </w:t>
      </w:r>
      <w:r>
        <w:t>the general or subsidiary ledgers, observable in contracts, or observable in legislative or regulatory pronouncements (AU-C 540.A6). Examples of data include</w:t>
      </w:r>
      <w:r>
        <w:rPr>
          <w:spacing w:val="-4"/>
        </w:rPr>
        <w:t xml:space="preserve"> </w:t>
      </w:r>
      <w:r>
        <w:t>prices</w:t>
      </w:r>
      <w:r>
        <w:rPr>
          <w:spacing w:val="-4"/>
        </w:rPr>
        <w:t xml:space="preserve"> </w:t>
      </w:r>
      <w:r>
        <w:t>generated</w:t>
      </w:r>
      <w:r>
        <w:rPr>
          <w:spacing w:val="-4"/>
        </w:rPr>
        <w:t xml:space="preserve"> </w:t>
      </w:r>
      <w:r>
        <w:t>by</w:t>
      </w:r>
      <w:r>
        <w:rPr>
          <w:spacing w:val="-4"/>
        </w:rPr>
        <w:t xml:space="preserve"> </w:t>
      </w:r>
      <w:r>
        <w:t>market</w:t>
      </w:r>
      <w:r>
        <w:rPr>
          <w:spacing w:val="-4"/>
        </w:rPr>
        <w:t xml:space="preserve"> </w:t>
      </w:r>
      <w:r>
        <w:t>transactions</w:t>
      </w:r>
      <w:r>
        <w:rPr>
          <w:spacing w:val="-5"/>
        </w:rPr>
        <w:t xml:space="preserve"> </w:t>
      </w:r>
      <w:r>
        <w:t>and</w:t>
      </w:r>
      <w:r>
        <w:rPr>
          <w:spacing w:val="-4"/>
        </w:rPr>
        <w:t xml:space="preserve"> </w:t>
      </w:r>
      <w:r>
        <w:t>historical</w:t>
      </w:r>
      <w:r>
        <w:rPr>
          <w:spacing w:val="-4"/>
        </w:rPr>
        <w:t xml:space="preserve"> </w:t>
      </w:r>
      <w:r>
        <w:t>prices</w:t>
      </w:r>
      <w:r>
        <w:rPr>
          <w:spacing w:val="-4"/>
        </w:rPr>
        <w:t xml:space="preserve"> </w:t>
      </w:r>
      <w:r>
        <w:t>or</w:t>
      </w:r>
      <w:r>
        <w:rPr>
          <w:spacing w:val="-6"/>
        </w:rPr>
        <w:t xml:space="preserve"> </w:t>
      </w:r>
      <w:r>
        <w:t>other terms included in contracts, such as a contracted interest rate or payment schedule (AU-C 540.A5).</w:t>
      </w:r>
    </w:p>
    <w:p w14:paraId="0DFDC2AD" w14:textId="77777777" w:rsidR="00046465" w:rsidRDefault="008134EB">
      <w:pPr>
        <w:pStyle w:val="ListParagraph"/>
        <w:numPr>
          <w:ilvl w:val="0"/>
          <w:numId w:val="4"/>
        </w:numPr>
        <w:tabs>
          <w:tab w:val="left" w:pos="1800"/>
        </w:tabs>
        <w:spacing w:before="121"/>
        <w:ind w:right="849"/>
      </w:pPr>
      <w:r>
        <w:t>Although</w:t>
      </w:r>
      <w:r>
        <w:rPr>
          <w:spacing w:val="-4"/>
        </w:rPr>
        <w:t xml:space="preserve"> </w:t>
      </w:r>
      <w:r>
        <w:t>this</w:t>
      </w:r>
      <w:r>
        <w:rPr>
          <w:spacing w:val="-4"/>
        </w:rPr>
        <w:t xml:space="preserve"> </w:t>
      </w:r>
      <w:r>
        <w:t>section</w:t>
      </w:r>
      <w:r>
        <w:rPr>
          <w:spacing w:val="-4"/>
        </w:rPr>
        <w:t xml:space="preserve"> </w:t>
      </w:r>
      <w:r>
        <w:t>applies</w:t>
      </w:r>
      <w:r>
        <w:rPr>
          <w:spacing w:val="-4"/>
        </w:rPr>
        <w:t xml:space="preserve"> </w:t>
      </w:r>
      <w:r>
        <w:t>to</w:t>
      </w:r>
      <w:r>
        <w:rPr>
          <w:spacing w:val="-4"/>
        </w:rPr>
        <w:t xml:space="preserve"> </w:t>
      </w:r>
      <w:r>
        <w:t>all</w:t>
      </w:r>
      <w:r>
        <w:rPr>
          <w:spacing w:val="-4"/>
        </w:rPr>
        <w:t xml:space="preserve"> </w:t>
      </w:r>
      <w:r>
        <w:t>accounting</w:t>
      </w:r>
      <w:r>
        <w:rPr>
          <w:spacing w:val="-4"/>
        </w:rPr>
        <w:t xml:space="preserve"> </w:t>
      </w:r>
      <w:r>
        <w:t>estimates,</w:t>
      </w:r>
      <w:r>
        <w:rPr>
          <w:spacing w:val="-4"/>
        </w:rPr>
        <w:t xml:space="preserve"> </w:t>
      </w:r>
      <w:r>
        <w:t>the</w:t>
      </w:r>
      <w:r>
        <w:rPr>
          <w:spacing w:val="-4"/>
        </w:rPr>
        <w:t xml:space="preserve"> </w:t>
      </w:r>
      <w:r>
        <w:t>degree</w:t>
      </w:r>
      <w:r>
        <w:rPr>
          <w:spacing w:val="-4"/>
        </w:rPr>
        <w:t xml:space="preserve"> </w:t>
      </w:r>
      <w:r>
        <w:t>to</w:t>
      </w:r>
      <w:r>
        <w:rPr>
          <w:spacing w:val="-5"/>
        </w:rPr>
        <w:t xml:space="preserve"> </w:t>
      </w:r>
      <w:r>
        <w:t>which</w:t>
      </w:r>
      <w:r>
        <w:rPr>
          <w:spacing w:val="-4"/>
        </w:rPr>
        <w:t xml:space="preserve"> </w:t>
      </w:r>
      <w:r>
        <w:t>an accounting estimate is subject to estimation uncertainty will vary substantially.</w:t>
      </w:r>
    </w:p>
    <w:p w14:paraId="0DFDC2AE" w14:textId="77777777" w:rsidR="00046465" w:rsidRDefault="008134EB">
      <w:pPr>
        <w:pStyle w:val="BodyText"/>
        <w:ind w:left="1800" w:right="749"/>
      </w:pPr>
      <w:r>
        <w:t>The nature, timing, and extent of the risk assessment and further audit procedures</w:t>
      </w:r>
      <w:r>
        <w:rPr>
          <w:spacing w:val="-5"/>
        </w:rPr>
        <w:t xml:space="preserve"> </w:t>
      </w:r>
      <w:r>
        <w:t>will</w:t>
      </w:r>
      <w:r>
        <w:rPr>
          <w:spacing w:val="-4"/>
        </w:rPr>
        <w:t xml:space="preserve"> </w:t>
      </w:r>
      <w:r>
        <w:t>vary</w:t>
      </w:r>
      <w:r>
        <w:rPr>
          <w:spacing w:val="-4"/>
        </w:rPr>
        <w:t xml:space="preserve"> </w:t>
      </w:r>
      <w:r>
        <w:t>in</w:t>
      </w:r>
      <w:r>
        <w:rPr>
          <w:spacing w:val="-4"/>
        </w:rPr>
        <w:t xml:space="preserve"> </w:t>
      </w:r>
      <w:r>
        <w:t>relation</w:t>
      </w:r>
      <w:r>
        <w:rPr>
          <w:spacing w:val="-4"/>
        </w:rPr>
        <w:t xml:space="preserve"> </w:t>
      </w:r>
      <w:r>
        <w:t>to</w:t>
      </w:r>
      <w:r>
        <w:rPr>
          <w:spacing w:val="-4"/>
        </w:rPr>
        <w:t xml:space="preserve"> </w:t>
      </w:r>
      <w:r>
        <w:t>the</w:t>
      </w:r>
      <w:r>
        <w:rPr>
          <w:spacing w:val="-4"/>
        </w:rPr>
        <w:t xml:space="preserve"> </w:t>
      </w:r>
      <w:r>
        <w:t>estimation</w:t>
      </w:r>
      <w:r>
        <w:rPr>
          <w:spacing w:val="-5"/>
        </w:rPr>
        <w:t xml:space="preserve"> </w:t>
      </w:r>
      <w:r>
        <w:t>uncertainty</w:t>
      </w:r>
      <w:r>
        <w:rPr>
          <w:spacing w:val="-5"/>
        </w:rPr>
        <w:t xml:space="preserve"> </w:t>
      </w:r>
      <w:r>
        <w:t>and</w:t>
      </w:r>
      <w:r>
        <w:rPr>
          <w:spacing w:val="-4"/>
        </w:rPr>
        <w:t xml:space="preserve"> </w:t>
      </w:r>
      <w:r>
        <w:t>the</w:t>
      </w:r>
      <w:r>
        <w:rPr>
          <w:spacing w:val="-4"/>
        </w:rPr>
        <w:t xml:space="preserve"> </w:t>
      </w:r>
      <w:r>
        <w:t>assessment of the related risks of material misstatement. For certain accounting estimates, estimation uncertainty may be very low, based on their nature, and the</w:t>
      </w:r>
    </w:p>
    <w:p w14:paraId="0DFDC2AF" w14:textId="77777777" w:rsidR="00046465" w:rsidRDefault="00046465">
      <w:pPr>
        <w:pStyle w:val="BodyText"/>
        <w:sectPr w:rsidR="00046465">
          <w:headerReference w:type="default" r:id="rId181"/>
          <w:footerReference w:type="default" r:id="rId182"/>
          <w:pgSz w:w="12240" w:h="15840"/>
          <w:pgMar w:top="1340" w:right="720" w:bottom="940" w:left="1080" w:header="721" w:footer="757" w:gutter="0"/>
          <w:cols w:space="720"/>
        </w:sectPr>
      </w:pPr>
    </w:p>
    <w:p w14:paraId="0DFDC2B0" w14:textId="77777777" w:rsidR="00046465" w:rsidRDefault="008134EB">
      <w:pPr>
        <w:pStyle w:val="BodyText"/>
        <w:spacing w:before="121"/>
        <w:ind w:left="1800" w:right="749"/>
      </w:pPr>
      <w:r>
        <w:lastRenderedPageBreak/>
        <w:t>complexity and subjectivity involved in making them may also be very low. For such accounting estimates, the risk assessment procedures and further audit procedures</w:t>
      </w:r>
      <w:r>
        <w:rPr>
          <w:spacing w:val="-5"/>
        </w:rPr>
        <w:t xml:space="preserve"> </w:t>
      </w:r>
      <w:r>
        <w:t>would</w:t>
      </w:r>
      <w:r>
        <w:rPr>
          <w:spacing w:val="-4"/>
        </w:rPr>
        <w:t xml:space="preserve"> </w:t>
      </w:r>
      <w:r>
        <w:t>not</w:t>
      </w:r>
      <w:r>
        <w:rPr>
          <w:spacing w:val="-4"/>
        </w:rPr>
        <w:t xml:space="preserve"> </w:t>
      </w:r>
      <w:r>
        <w:t>be</w:t>
      </w:r>
      <w:r>
        <w:rPr>
          <w:spacing w:val="-4"/>
        </w:rPr>
        <w:t xml:space="preserve"> </w:t>
      </w:r>
      <w:r>
        <w:t>expected</w:t>
      </w:r>
      <w:r>
        <w:rPr>
          <w:spacing w:val="-4"/>
        </w:rPr>
        <w:t xml:space="preserve"> </w:t>
      </w:r>
      <w:r>
        <w:t>to</w:t>
      </w:r>
      <w:r>
        <w:rPr>
          <w:spacing w:val="-4"/>
        </w:rPr>
        <w:t xml:space="preserve"> </w:t>
      </w:r>
      <w:r>
        <w:t>be</w:t>
      </w:r>
      <w:r>
        <w:rPr>
          <w:spacing w:val="-4"/>
        </w:rPr>
        <w:t xml:space="preserve"> </w:t>
      </w:r>
      <w:r>
        <w:t>extensive.</w:t>
      </w:r>
      <w:r>
        <w:rPr>
          <w:spacing w:val="-4"/>
        </w:rPr>
        <w:t xml:space="preserve"> </w:t>
      </w:r>
      <w:r>
        <w:t>When</w:t>
      </w:r>
      <w:r>
        <w:rPr>
          <w:spacing w:val="-4"/>
        </w:rPr>
        <w:t xml:space="preserve"> </w:t>
      </w:r>
      <w:r>
        <w:t>estimation</w:t>
      </w:r>
      <w:r>
        <w:rPr>
          <w:spacing w:val="-4"/>
        </w:rPr>
        <w:t xml:space="preserve"> </w:t>
      </w:r>
      <w:r>
        <w:t>uncertainty, complexity, or subjectivity are very high, such procedures would be expected to be much more extensive. (AU-C 540.03)</w:t>
      </w:r>
    </w:p>
    <w:p w14:paraId="0DFDC2B1" w14:textId="77777777" w:rsidR="00046465" w:rsidRDefault="008134EB">
      <w:pPr>
        <w:pStyle w:val="ListParagraph"/>
        <w:numPr>
          <w:ilvl w:val="0"/>
          <w:numId w:val="4"/>
        </w:numPr>
        <w:tabs>
          <w:tab w:val="left" w:pos="1799"/>
        </w:tabs>
        <w:ind w:left="1799" w:right="735"/>
      </w:pPr>
      <w:r>
        <w:t>Examples of accounting estimates include fair value of assets or liabilities; allowance for loss on accounts receivable; depreciation of property and equipment; employee retirement benefits liabilities; outcome of pending litigation; and</w:t>
      </w:r>
      <w:r>
        <w:rPr>
          <w:spacing w:val="-4"/>
        </w:rPr>
        <w:t xml:space="preserve"> </w:t>
      </w:r>
      <w:r>
        <w:t>valuation</w:t>
      </w:r>
      <w:r>
        <w:rPr>
          <w:spacing w:val="-4"/>
        </w:rPr>
        <w:t xml:space="preserve"> </w:t>
      </w:r>
      <w:r>
        <w:t>of</w:t>
      </w:r>
      <w:r>
        <w:rPr>
          <w:spacing w:val="-4"/>
        </w:rPr>
        <w:t xml:space="preserve"> </w:t>
      </w:r>
      <w:r>
        <w:t>financial</w:t>
      </w:r>
      <w:r>
        <w:rPr>
          <w:spacing w:val="-4"/>
        </w:rPr>
        <w:t xml:space="preserve"> </w:t>
      </w:r>
      <w:r>
        <w:t>instruments</w:t>
      </w:r>
      <w:r>
        <w:rPr>
          <w:spacing w:val="-4"/>
        </w:rPr>
        <w:t xml:space="preserve"> </w:t>
      </w:r>
      <w:r>
        <w:t>and</w:t>
      </w:r>
      <w:r>
        <w:rPr>
          <w:spacing w:val="-4"/>
        </w:rPr>
        <w:t xml:space="preserve"> </w:t>
      </w:r>
      <w:r>
        <w:t>infrastructure</w:t>
      </w:r>
      <w:r>
        <w:rPr>
          <w:spacing w:val="-4"/>
        </w:rPr>
        <w:t xml:space="preserve"> </w:t>
      </w:r>
      <w:r>
        <w:t>assets,</w:t>
      </w:r>
      <w:r>
        <w:rPr>
          <w:spacing w:val="-4"/>
        </w:rPr>
        <w:t xml:space="preserve"> </w:t>
      </w:r>
      <w:r>
        <w:t>such</w:t>
      </w:r>
      <w:r>
        <w:rPr>
          <w:spacing w:val="-4"/>
        </w:rPr>
        <w:t xml:space="preserve"> </w:t>
      </w:r>
      <w:r>
        <w:t>as</w:t>
      </w:r>
      <w:r>
        <w:rPr>
          <w:spacing w:val="-5"/>
        </w:rPr>
        <w:t xml:space="preserve"> </w:t>
      </w:r>
      <w:r>
        <w:t>buildings and roadways. Depending on the nature of a particular accounting estimate, the susceptibility of an assertion to a misstatement that could be material may be subject to or affected by estimation uncertainty, complexity, subjectivity, or other inherent risk factors, and the interrelationship among them (AU-C 540.04). See AU-C 540.A152 for a detailed discussion on inherent risk factors related to accounting estimates.</w:t>
      </w:r>
    </w:p>
    <w:p w14:paraId="0DFDC2B2" w14:textId="77777777" w:rsidR="00046465" w:rsidRDefault="008134EB">
      <w:pPr>
        <w:pStyle w:val="ListParagraph"/>
        <w:numPr>
          <w:ilvl w:val="0"/>
          <w:numId w:val="4"/>
        </w:numPr>
        <w:tabs>
          <w:tab w:val="left" w:pos="1800"/>
        </w:tabs>
        <w:ind w:right="725"/>
      </w:pPr>
      <w:r>
        <w:t>The exercise of professional skepticism in relation to accounting estimates is affected by the auditor’s consideration of inherent risk factors, and its importance increases when accounting estimates are subject to a greater degree of estimation uncertainty or are affected to a greater degree by complexity, subjectivity, or other inherent risk factors. Similarly, the exercise of professional skepticism is important when there is greater susceptibility to misstatement due</w:t>
      </w:r>
      <w:r>
        <w:rPr>
          <w:spacing w:val="40"/>
        </w:rPr>
        <w:t xml:space="preserve"> </w:t>
      </w:r>
      <w:r>
        <w:t>to</w:t>
      </w:r>
      <w:r>
        <w:rPr>
          <w:spacing w:val="-3"/>
        </w:rPr>
        <w:t xml:space="preserve"> </w:t>
      </w:r>
      <w:r>
        <w:t>management</w:t>
      </w:r>
      <w:r>
        <w:rPr>
          <w:spacing w:val="-3"/>
        </w:rPr>
        <w:t xml:space="preserve"> </w:t>
      </w:r>
      <w:r>
        <w:t>bias</w:t>
      </w:r>
      <w:r>
        <w:rPr>
          <w:spacing w:val="-3"/>
        </w:rPr>
        <w:t xml:space="preserve"> </w:t>
      </w:r>
      <w:r>
        <w:t>or</w:t>
      </w:r>
      <w:r>
        <w:rPr>
          <w:spacing w:val="-3"/>
        </w:rPr>
        <w:t xml:space="preserve"> </w:t>
      </w:r>
      <w:r>
        <w:t>other</w:t>
      </w:r>
      <w:r>
        <w:rPr>
          <w:spacing w:val="-3"/>
        </w:rPr>
        <w:t xml:space="preserve"> </w:t>
      </w:r>
      <w:r>
        <w:t>fraud</w:t>
      </w:r>
      <w:r>
        <w:rPr>
          <w:spacing w:val="-3"/>
        </w:rPr>
        <w:t xml:space="preserve"> </w:t>
      </w:r>
      <w:r>
        <w:t>risk</w:t>
      </w:r>
      <w:r>
        <w:rPr>
          <w:spacing w:val="-3"/>
        </w:rPr>
        <w:t xml:space="preserve"> </w:t>
      </w:r>
      <w:r>
        <w:t>factors</w:t>
      </w:r>
      <w:r>
        <w:rPr>
          <w:spacing w:val="-3"/>
        </w:rPr>
        <w:t xml:space="preserve"> </w:t>
      </w:r>
      <w:r>
        <w:t>insofar</w:t>
      </w:r>
      <w:r>
        <w:rPr>
          <w:spacing w:val="-3"/>
        </w:rPr>
        <w:t xml:space="preserve"> </w:t>
      </w:r>
      <w:r>
        <w:t>as</w:t>
      </w:r>
      <w:r>
        <w:rPr>
          <w:spacing w:val="-3"/>
        </w:rPr>
        <w:t xml:space="preserve"> </w:t>
      </w:r>
      <w:r>
        <w:t>they</w:t>
      </w:r>
      <w:r>
        <w:rPr>
          <w:spacing w:val="-3"/>
        </w:rPr>
        <w:t xml:space="preserve"> </w:t>
      </w:r>
      <w:r>
        <w:t>affect</w:t>
      </w:r>
      <w:r>
        <w:rPr>
          <w:spacing w:val="-3"/>
        </w:rPr>
        <w:t xml:space="preserve"> </w:t>
      </w:r>
      <w:r>
        <w:t>inherent</w:t>
      </w:r>
      <w:r>
        <w:rPr>
          <w:spacing w:val="-3"/>
        </w:rPr>
        <w:t xml:space="preserve"> </w:t>
      </w:r>
      <w:r>
        <w:t>risk. (AU-C 540.07)</w:t>
      </w:r>
    </w:p>
    <w:p w14:paraId="0DFDC2B3" w14:textId="77777777" w:rsidR="00046465" w:rsidRDefault="008134EB">
      <w:pPr>
        <w:pStyle w:val="BodyText"/>
        <w:spacing w:before="120"/>
        <w:ind w:left="1800" w:right="749"/>
      </w:pPr>
      <w:r>
        <w:t>Although there may be no single way in which the auditor’s exercise of professional skepticism is documented, the audit documentation may nevertheless provide evidence of the auditor’s exercise of professional skepticism. For example, in relation to accounting estimates, when the audit evidence obtained includes evidence that both corroborates and contradicts management’s assertions, the documentation may include how the auditor evaluated</w:t>
      </w:r>
      <w:r>
        <w:rPr>
          <w:spacing w:val="-4"/>
        </w:rPr>
        <w:t xml:space="preserve"> </w:t>
      </w:r>
      <w:r>
        <w:t>that</w:t>
      </w:r>
      <w:r>
        <w:rPr>
          <w:spacing w:val="-4"/>
        </w:rPr>
        <w:t xml:space="preserve"> </w:t>
      </w:r>
      <w:r>
        <w:t>evidence,</w:t>
      </w:r>
      <w:r>
        <w:rPr>
          <w:spacing w:val="-5"/>
        </w:rPr>
        <w:t xml:space="preserve"> </w:t>
      </w:r>
      <w:r>
        <w:t>including</w:t>
      </w:r>
      <w:r>
        <w:rPr>
          <w:spacing w:val="-5"/>
        </w:rPr>
        <w:t xml:space="preserve"> </w:t>
      </w:r>
      <w:r>
        <w:t>professional</w:t>
      </w:r>
      <w:r>
        <w:rPr>
          <w:spacing w:val="-5"/>
        </w:rPr>
        <w:t xml:space="preserve"> </w:t>
      </w:r>
      <w:r>
        <w:t>judgments</w:t>
      </w:r>
      <w:r>
        <w:rPr>
          <w:spacing w:val="-4"/>
        </w:rPr>
        <w:t xml:space="preserve"> </w:t>
      </w:r>
      <w:r>
        <w:t>made</w:t>
      </w:r>
      <w:r>
        <w:rPr>
          <w:spacing w:val="-4"/>
        </w:rPr>
        <w:t xml:space="preserve"> </w:t>
      </w:r>
      <w:r>
        <w:t>in</w:t>
      </w:r>
      <w:r>
        <w:rPr>
          <w:spacing w:val="-4"/>
        </w:rPr>
        <w:t xml:space="preserve"> </w:t>
      </w:r>
      <w:r>
        <w:t>forming</w:t>
      </w:r>
      <w:r>
        <w:rPr>
          <w:spacing w:val="-4"/>
        </w:rPr>
        <w:t xml:space="preserve"> </w:t>
      </w:r>
      <w:r>
        <w:t>a conclusion about the sufficiency and appropriateness of the audit evidence obtained. (AU-C 540.A151)</w:t>
      </w:r>
    </w:p>
    <w:p w14:paraId="0DFDC2B4" w14:textId="77777777" w:rsidR="00046465" w:rsidRDefault="008134EB">
      <w:pPr>
        <w:pStyle w:val="Heading4"/>
        <w:spacing w:before="240"/>
      </w:pPr>
      <w:r>
        <w:t>Audit</w:t>
      </w:r>
      <w:r>
        <w:rPr>
          <w:spacing w:val="-10"/>
        </w:rPr>
        <w:t xml:space="preserve"> </w:t>
      </w:r>
      <w:r>
        <w:rPr>
          <w:spacing w:val="-2"/>
        </w:rPr>
        <w:t>Procedures</w:t>
      </w:r>
    </w:p>
    <w:p w14:paraId="0DFDC2B5" w14:textId="77777777" w:rsidR="00046465" w:rsidRDefault="008134EB">
      <w:pPr>
        <w:pStyle w:val="ListParagraph"/>
        <w:numPr>
          <w:ilvl w:val="0"/>
          <w:numId w:val="4"/>
        </w:numPr>
        <w:tabs>
          <w:tab w:val="left" w:pos="1800"/>
        </w:tabs>
        <w:spacing w:before="119"/>
        <w:ind w:right="860"/>
      </w:pPr>
      <w:r>
        <w:t>The objective of the auditor is to obtain sufficient appropriate audit evidence about</w:t>
      </w:r>
      <w:r>
        <w:rPr>
          <w:spacing w:val="-4"/>
        </w:rPr>
        <w:t xml:space="preserve"> </w:t>
      </w:r>
      <w:r>
        <w:t>whether</w:t>
      </w:r>
      <w:r>
        <w:rPr>
          <w:spacing w:val="-4"/>
        </w:rPr>
        <w:t xml:space="preserve"> </w:t>
      </w:r>
      <w:r>
        <w:t>accounting</w:t>
      </w:r>
      <w:r>
        <w:rPr>
          <w:spacing w:val="-4"/>
        </w:rPr>
        <w:t xml:space="preserve"> </w:t>
      </w:r>
      <w:r>
        <w:t>estimates</w:t>
      </w:r>
      <w:r>
        <w:rPr>
          <w:spacing w:val="-4"/>
        </w:rPr>
        <w:t xml:space="preserve"> </w:t>
      </w:r>
      <w:r>
        <w:t>in</w:t>
      </w:r>
      <w:r>
        <w:rPr>
          <w:spacing w:val="-4"/>
        </w:rPr>
        <w:t xml:space="preserve"> </w:t>
      </w:r>
      <w:r>
        <w:t>the</w:t>
      </w:r>
      <w:r>
        <w:rPr>
          <w:spacing w:val="-4"/>
        </w:rPr>
        <w:t xml:space="preserve"> </w:t>
      </w:r>
      <w:r>
        <w:t>financial</w:t>
      </w:r>
      <w:r>
        <w:rPr>
          <w:spacing w:val="-4"/>
        </w:rPr>
        <w:t xml:space="preserve"> </w:t>
      </w:r>
      <w:r>
        <w:t>statements</w:t>
      </w:r>
      <w:r>
        <w:rPr>
          <w:spacing w:val="-4"/>
        </w:rPr>
        <w:t xml:space="preserve"> </w:t>
      </w:r>
      <w:r>
        <w:t>and</w:t>
      </w:r>
      <w:r>
        <w:rPr>
          <w:spacing w:val="-4"/>
        </w:rPr>
        <w:t xml:space="preserve"> </w:t>
      </w:r>
      <w:r>
        <w:t>related</w:t>
      </w:r>
      <w:r>
        <w:rPr>
          <w:spacing w:val="-4"/>
        </w:rPr>
        <w:t xml:space="preserve"> </w:t>
      </w:r>
      <w:r>
        <w:t>note disclosures are reasonable in the context of the applicable financial reporting framework (generally U.S. GAAP) (AU-C 540.10). Reasonable, in this context, means that the relevant requirements of the framework have been applied appropriately, including those that address the following (AU-C 540.08):</w:t>
      </w:r>
    </w:p>
    <w:p w14:paraId="0DFDC2B6" w14:textId="77777777" w:rsidR="00046465" w:rsidRDefault="008134EB">
      <w:pPr>
        <w:pStyle w:val="ListParagraph"/>
        <w:numPr>
          <w:ilvl w:val="1"/>
          <w:numId w:val="4"/>
        </w:numPr>
        <w:tabs>
          <w:tab w:val="left" w:pos="2159"/>
        </w:tabs>
        <w:spacing w:before="121"/>
        <w:ind w:left="2159" w:right="1124"/>
      </w:pPr>
      <w:r>
        <w:t>the</w:t>
      </w:r>
      <w:r>
        <w:rPr>
          <w:spacing w:val="-4"/>
        </w:rPr>
        <w:t xml:space="preserve"> </w:t>
      </w:r>
      <w:r>
        <w:t>development</w:t>
      </w:r>
      <w:r>
        <w:rPr>
          <w:spacing w:val="-4"/>
        </w:rPr>
        <w:t xml:space="preserve"> </w:t>
      </w:r>
      <w:r>
        <w:t>of</w:t>
      </w:r>
      <w:r>
        <w:rPr>
          <w:spacing w:val="-4"/>
        </w:rPr>
        <w:t xml:space="preserve"> </w:t>
      </w:r>
      <w:r>
        <w:t>the</w:t>
      </w:r>
      <w:r>
        <w:rPr>
          <w:spacing w:val="-4"/>
        </w:rPr>
        <w:t xml:space="preserve"> </w:t>
      </w:r>
      <w:r>
        <w:t>accounting</w:t>
      </w:r>
      <w:r>
        <w:rPr>
          <w:spacing w:val="-5"/>
        </w:rPr>
        <w:t xml:space="preserve"> </w:t>
      </w:r>
      <w:r>
        <w:t>estimate,</w:t>
      </w:r>
      <w:r>
        <w:rPr>
          <w:spacing w:val="-4"/>
        </w:rPr>
        <w:t xml:space="preserve"> </w:t>
      </w:r>
      <w:r>
        <w:t>including</w:t>
      </w:r>
      <w:r>
        <w:rPr>
          <w:spacing w:val="-4"/>
        </w:rPr>
        <w:t xml:space="preserve"> </w:t>
      </w:r>
      <w:r>
        <w:t>the</w:t>
      </w:r>
      <w:r>
        <w:rPr>
          <w:spacing w:val="-5"/>
        </w:rPr>
        <w:t xml:space="preserve"> </w:t>
      </w:r>
      <w:r>
        <w:t>selection</w:t>
      </w:r>
      <w:r>
        <w:rPr>
          <w:spacing w:val="-5"/>
        </w:rPr>
        <w:t xml:space="preserve"> </w:t>
      </w:r>
      <w:r>
        <w:t>of</w:t>
      </w:r>
      <w:r>
        <w:rPr>
          <w:spacing w:val="-5"/>
        </w:rPr>
        <w:t xml:space="preserve"> </w:t>
      </w:r>
      <w:r>
        <w:t>the method, assumptions, and data in view of the nature of the accounting estimate and the facts and circumstances of the entity;</w:t>
      </w:r>
    </w:p>
    <w:p w14:paraId="0DFDC2B7" w14:textId="77777777" w:rsidR="00046465" w:rsidRDefault="008134EB">
      <w:pPr>
        <w:pStyle w:val="ListParagraph"/>
        <w:numPr>
          <w:ilvl w:val="1"/>
          <w:numId w:val="4"/>
        </w:numPr>
        <w:tabs>
          <w:tab w:val="left" w:pos="2158"/>
        </w:tabs>
        <w:ind w:left="2158" w:hanging="359"/>
      </w:pPr>
      <w:r>
        <w:t>the</w:t>
      </w:r>
      <w:r>
        <w:rPr>
          <w:spacing w:val="-8"/>
        </w:rPr>
        <w:t xml:space="preserve"> </w:t>
      </w:r>
      <w:r>
        <w:t>selection</w:t>
      </w:r>
      <w:r>
        <w:rPr>
          <w:spacing w:val="-8"/>
        </w:rPr>
        <w:t xml:space="preserve"> </w:t>
      </w:r>
      <w:r>
        <w:t>of</w:t>
      </w:r>
      <w:r>
        <w:rPr>
          <w:spacing w:val="-8"/>
        </w:rPr>
        <w:t xml:space="preserve"> </w:t>
      </w:r>
      <w:r>
        <w:t>management’s</w:t>
      </w:r>
      <w:r>
        <w:rPr>
          <w:spacing w:val="-8"/>
        </w:rPr>
        <w:t xml:space="preserve"> </w:t>
      </w:r>
      <w:r>
        <w:t>point</w:t>
      </w:r>
      <w:r>
        <w:rPr>
          <w:spacing w:val="-8"/>
        </w:rPr>
        <w:t xml:space="preserve"> </w:t>
      </w:r>
      <w:r>
        <w:t>estimate;</w:t>
      </w:r>
      <w:r>
        <w:rPr>
          <w:spacing w:val="-8"/>
        </w:rPr>
        <w:t xml:space="preserve"> </w:t>
      </w:r>
      <w:r>
        <w:rPr>
          <w:spacing w:val="-5"/>
        </w:rPr>
        <w:t>and</w:t>
      </w:r>
    </w:p>
    <w:p w14:paraId="0DFDC2B8" w14:textId="77777777" w:rsidR="00046465" w:rsidRDefault="008134EB">
      <w:pPr>
        <w:pStyle w:val="ListParagraph"/>
        <w:numPr>
          <w:ilvl w:val="1"/>
          <w:numId w:val="4"/>
        </w:numPr>
        <w:tabs>
          <w:tab w:val="left" w:pos="2159"/>
        </w:tabs>
        <w:spacing w:before="119"/>
        <w:ind w:left="2159" w:right="1126"/>
      </w:pPr>
      <w:r>
        <w:t>the</w:t>
      </w:r>
      <w:r>
        <w:rPr>
          <w:spacing w:val="-5"/>
        </w:rPr>
        <w:t xml:space="preserve"> </w:t>
      </w:r>
      <w:r>
        <w:t>note</w:t>
      </w:r>
      <w:r>
        <w:rPr>
          <w:spacing w:val="-5"/>
        </w:rPr>
        <w:t xml:space="preserve"> </w:t>
      </w:r>
      <w:r>
        <w:t>disclosures</w:t>
      </w:r>
      <w:r>
        <w:rPr>
          <w:spacing w:val="-5"/>
        </w:rPr>
        <w:t xml:space="preserve"> </w:t>
      </w:r>
      <w:r>
        <w:t>about</w:t>
      </w:r>
      <w:r>
        <w:rPr>
          <w:spacing w:val="-5"/>
        </w:rPr>
        <w:t xml:space="preserve"> </w:t>
      </w:r>
      <w:r>
        <w:t>the</w:t>
      </w:r>
      <w:r>
        <w:rPr>
          <w:spacing w:val="-5"/>
        </w:rPr>
        <w:t xml:space="preserve"> </w:t>
      </w:r>
      <w:r>
        <w:t>accounting</w:t>
      </w:r>
      <w:r>
        <w:rPr>
          <w:spacing w:val="-5"/>
        </w:rPr>
        <w:t xml:space="preserve"> </w:t>
      </w:r>
      <w:r>
        <w:t>estimate,</w:t>
      </w:r>
      <w:r>
        <w:rPr>
          <w:spacing w:val="-5"/>
        </w:rPr>
        <w:t xml:space="preserve"> </w:t>
      </w:r>
      <w:r>
        <w:t>including</w:t>
      </w:r>
      <w:r>
        <w:rPr>
          <w:spacing w:val="-5"/>
        </w:rPr>
        <w:t xml:space="preserve"> </w:t>
      </w:r>
      <w:r>
        <w:t>those</w:t>
      </w:r>
      <w:r>
        <w:rPr>
          <w:spacing w:val="-5"/>
        </w:rPr>
        <w:t xml:space="preserve"> </w:t>
      </w:r>
      <w:r>
        <w:t>about how the accounting estimate was developed and that explain the nature, extent, and sources of estimation uncertainty.</w:t>
      </w:r>
    </w:p>
    <w:p w14:paraId="0DFDC2B9" w14:textId="77777777" w:rsidR="00046465" w:rsidRDefault="00046465">
      <w:pPr>
        <w:pStyle w:val="ListParagraph"/>
        <w:sectPr w:rsidR="00046465">
          <w:headerReference w:type="default" r:id="rId183"/>
          <w:footerReference w:type="default" r:id="rId184"/>
          <w:pgSz w:w="12240" w:h="15840"/>
          <w:pgMar w:top="1340" w:right="720" w:bottom="940" w:left="1080" w:header="721" w:footer="757" w:gutter="0"/>
          <w:pgNumType w:start="2"/>
          <w:cols w:space="720"/>
        </w:sectPr>
      </w:pPr>
    </w:p>
    <w:p w14:paraId="0DFDC2BA" w14:textId="77777777" w:rsidR="00046465" w:rsidRDefault="008134EB">
      <w:pPr>
        <w:pStyle w:val="ListParagraph"/>
        <w:numPr>
          <w:ilvl w:val="0"/>
          <w:numId w:val="4"/>
        </w:numPr>
        <w:tabs>
          <w:tab w:val="left" w:pos="1800"/>
        </w:tabs>
        <w:spacing w:before="121"/>
        <w:ind w:right="751"/>
      </w:pPr>
      <w:r>
        <w:lastRenderedPageBreak/>
        <w:t>With respect to accounting estimates, the auditor should determine whether the engagement</w:t>
      </w:r>
      <w:r>
        <w:rPr>
          <w:spacing w:val="-4"/>
        </w:rPr>
        <w:t xml:space="preserve"> </w:t>
      </w:r>
      <w:r>
        <w:t>team</w:t>
      </w:r>
      <w:r>
        <w:rPr>
          <w:spacing w:val="-5"/>
        </w:rPr>
        <w:t xml:space="preserve"> </w:t>
      </w:r>
      <w:r>
        <w:t>requires</w:t>
      </w:r>
      <w:r>
        <w:rPr>
          <w:spacing w:val="-4"/>
        </w:rPr>
        <w:t xml:space="preserve"> </w:t>
      </w:r>
      <w:r>
        <w:t>specialized</w:t>
      </w:r>
      <w:r>
        <w:rPr>
          <w:spacing w:val="-4"/>
        </w:rPr>
        <w:t xml:space="preserve"> </w:t>
      </w:r>
      <w:r>
        <w:t>skills</w:t>
      </w:r>
      <w:r>
        <w:rPr>
          <w:spacing w:val="-4"/>
        </w:rPr>
        <w:t xml:space="preserve"> </w:t>
      </w:r>
      <w:r>
        <w:t>or</w:t>
      </w:r>
      <w:r>
        <w:rPr>
          <w:spacing w:val="-4"/>
        </w:rPr>
        <w:t xml:space="preserve"> </w:t>
      </w:r>
      <w:r>
        <w:t>knowledge</w:t>
      </w:r>
      <w:r>
        <w:rPr>
          <w:spacing w:val="-4"/>
        </w:rPr>
        <w:t xml:space="preserve"> </w:t>
      </w:r>
      <w:r>
        <w:t>to</w:t>
      </w:r>
      <w:r>
        <w:rPr>
          <w:spacing w:val="-4"/>
        </w:rPr>
        <w:t xml:space="preserve"> </w:t>
      </w:r>
      <w:r>
        <w:t>design</w:t>
      </w:r>
      <w:r>
        <w:rPr>
          <w:spacing w:val="-4"/>
        </w:rPr>
        <w:t xml:space="preserve"> </w:t>
      </w:r>
      <w:r>
        <w:t>and</w:t>
      </w:r>
      <w:r>
        <w:rPr>
          <w:spacing w:val="-5"/>
        </w:rPr>
        <w:t xml:space="preserve"> </w:t>
      </w:r>
      <w:r>
        <w:t>perform audit procedures to respond to risks of material misstatement or to evaluate the audit evidence obtained (AU-C 540.14). Certain accounting estimates may require review by accounting specialists (see FAM 620). When using the work of management’s specialists, the guidance in FAM 905 may assist the auditor in evaluating the appropriateness of the specialist’s work as audit evidence for a significant assertion (AU-C 540.30). See FAM 625 for guidance on using the work of managements’ specialists.</w:t>
      </w:r>
    </w:p>
    <w:p w14:paraId="0DFDC2BB" w14:textId="77777777" w:rsidR="00046465" w:rsidRDefault="008134EB">
      <w:pPr>
        <w:pStyle w:val="ListParagraph"/>
        <w:numPr>
          <w:ilvl w:val="0"/>
          <w:numId w:val="4"/>
        </w:numPr>
        <w:tabs>
          <w:tab w:val="left" w:pos="1800"/>
        </w:tabs>
        <w:ind w:right="811" w:hanging="720"/>
      </w:pPr>
      <w:r>
        <w:t>As discussed in FAM 420, the auditor performs risk assessment procedures in the planning and internal control phases of the audit and performs further audit procedures in the testing phase that are responsive to the risks of material misstatement at the assertion level, considering the reasons for the assessment given</w:t>
      </w:r>
      <w:r>
        <w:rPr>
          <w:spacing w:val="-3"/>
        </w:rPr>
        <w:t xml:space="preserve"> </w:t>
      </w:r>
      <w:r>
        <w:t>to</w:t>
      </w:r>
      <w:r>
        <w:rPr>
          <w:spacing w:val="-3"/>
        </w:rPr>
        <w:t xml:space="preserve"> </w:t>
      </w:r>
      <w:r>
        <w:t>those</w:t>
      </w:r>
      <w:r>
        <w:rPr>
          <w:spacing w:val="-3"/>
        </w:rPr>
        <w:t xml:space="preserve"> </w:t>
      </w:r>
      <w:r>
        <w:t>risks.</w:t>
      </w:r>
      <w:r>
        <w:rPr>
          <w:spacing w:val="-3"/>
        </w:rPr>
        <w:t xml:space="preserve"> </w:t>
      </w:r>
      <w:r>
        <w:t>The</w:t>
      </w:r>
      <w:r>
        <w:rPr>
          <w:spacing w:val="-3"/>
        </w:rPr>
        <w:t xml:space="preserve"> </w:t>
      </w:r>
      <w:r>
        <w:t>auditor’s</w:t>
      </w:r>
      <w:r>
        <w:rPr>
          <w:spacing w:val="-3"/>
        </w:rPr>
        <w:t xml:space="preserve"> </w:t>
      </w:r>
      <w:r>
        <w:t>further</w:t>
      </w:r>
      <w:r>
        <w:rPr>
          <w:spacing w:val="-3"/>
        </w:rPr>
        <w:t xml:space="preserve"> </w:t>
      </w:r>
      <w:r>
        <w:t>audit</w:t>
      </w:r>
      <w:r>
        <w:rPr>
          <w:spacing w:val="-4"/>
        </w:rPr>
        <w:t xml:space="preserve"> </w:t>
      </w:r>
      <w:r>
        <w:t>procedures</w:t>
      </w:r>
      <w:r>
        <w:rPr>
          <w:spacing w:val="-4"/>
        </w:rPr>
        <w:t xml:space="preserve"> </w:t>
      </w:r>
      <w:r>
        <w:t>should</w:t>
      </w:r>
      <w:r>
        <w:rPr>
          <w:spacing w:val="-3"/>
        </w:rPr>
        <w:t xml:space="preserve"> </w:t>
      </w:r>
      <w:r>
        <w:t>include</w:t>
      </w:r>
      <w:r>
        <w:rPr>
          <w:spacing w:val="-3"/>
        </w:rPr>
        <w:t xml:space="preserve"> </w:t>
      </w:r>
      <w:r>
        <w:t>one</w:t>
      </w:r>
      <w:r>
        <w:rPr>
          <w:spacing w:val="-3"/>
        </w:rPr>
        <w:t xml:space="preserve"> </w:t>
      </w:r>
      <w:r>
        <w:t>or more of the following approaches (AU-C 540.17):</w:t>
      </w:r>
    </w:p>
    <w:p w14:paraId="0DFDC2BC" w14:textId="77777777" w:rsidR="00046465" w:rsidRDefault="008134EB">
      <w:pPr>
        <w:pStyle w:val="ListParagraph"/>
        <w:numPr>
          <w:ilvl w:val="1"/>
          <w:numId w:val="4"/>
        </w:numPr>
        <w:tabs>
          <w:tab w:val="left" w:pos="2159"/>
        </w:tabs>
        <w:ind w:left="2159" w:right="819"/>
      </w:pPr>
      <w:r>
        <w:t>obtaining</w:t>
      </w:r>
      <w:r>
        <w:rPr>
          <w:spacing w:val="-3"/>
        </w:rPr>
        <w:t xml:space="preserve"> </w:t>
      </w:r>
      <w:r>
        <w:t>audit</w:t>
      </w:r>
      <w:r>
        <w:rPr>
          <w:spacing w:val="-3"/>
        </w:rPr>
        <w:t xml:space="preserve"> </w:t>
      </w:r>
      <w:r>
        <w:t>evidence</w:t>
      </w:r>
      <w:r>
        <w:rPr>
          <w:spacing w:val="-4"/>
        </w:rPr>
        <w:t xml:space="preserve"> </w:t>
      </w:r>
      <w:r>
        <w:t>from</w:t>
      </w:r>
      <w:r>
        <w:rPr>
          <w:spacing w:val="-4"/>
        </w:rPr>
        <w:t xml:space="preserve"> </w:t>
      </w:r>
      <w:r>
        <w:t>events</w:t>
      </w:r>
      <w:r>
        <w:rPr>
          <w:spacing w:val="-3"/>
        </w:rPr>
        <w:t xml:space="preserve"> </w:t>
      </w:r>
      <w:r>
        <w:t>occurring</w:t>
      </w:r>
      <w:r>
        <w:rPr>
          <w:spacing w:val="-3"/>
        </w:rPr>
        <w:t xml:space="preserve"> </w:t>
      </w:r>
      <w:r>
        <w:t>up</w:t>
      </w:r>
      <w:r>
        <w:rPr>
          <w:spacing w:val="-3"/>
        </w:rPr>
        <w:t xml:space="preserve"> </w:t>
      </w:r>
      <w:r>
        <w:t>to</w:t>
      </w:r>
      <w:r>
        <w:rPr>
          <w:spacing w:val="-3"/>
        </w:rPr>
        <w:t xml:space="preserve"> </w:t>
      </w:r>
      <w:r>
        <w:t>the</w:t>
      </w:r>
      <w:r>
        <w:rPr>
          <w:spacing w:val="-3"/>
        </w:rPr>
        <w:t xml:space="preserve"> </w:t>
      </w:r>
      <w:r>
        <w:t>date</w:t>
      </w:r>
      <w:r>
        <w:rPr>
          <w:spacing w:val="-4"/>
        </w:rPr>
        <w:t xml:space="preserve"> </w:t>
      </w:r>
      <w:r>
        <w:t>of</w:t>
      </w:r>
      <w:r>
        <w:rPr>
          <w:spacing w:val="-3"/>
        </w:rPr>
        <w:t xml:space="preserve"> </w:t>
      </w:r>
      <w:r>
        <w:t>the</w:t>
      </w:r>
      <w:r>
        <w:rPr>
          <w:spacing w:val="-3"/>
        </w:rPr>
        <w:t xml:space="preserve"> </w:t>
      </w:r>
      <w:r>
        <w:t>auditor’s report (see FAM 905.09 and AU-C 540.A91–.A93),</w:t>
      </w:r>
    </w:p>
    <w:p w14:paraId="0DFDC2BD" w14:textId="77777777" w:rsidR="00046465" w:rsidRDefault="008134EB">
      <w:pPr>
        <w:pStyle w:val="ListParagraph"/>
        <w:numPr>
          <w:ilvl w:val="1"/>
          <w:numId w:val="4"/>
        </w:numPr>
        <w:tabs>
          <w:tab w:val="left" w:pos="2159"/>
        </w:tabs>
        <w:ind w:left="2159" w:hanging="359"/>
      </w:pPr>
      <w:r>
        <w:t>testing</w:t>
      </w:r>
      <w:r>
        <w:rPr>
          <w:spacing w:val="-8"/>
        </w:rPr>
        <w:t xml:space="preserve"> </w:t>
      </w:r>
      <w:r>
        <w:t>how</w:t>
      </w:r>
      <w:r>
        <w:rPr>
          <w:spacing w:val="-9"/>
        </w:rPr>
        <w:t xml:space="preserve"> </w:t>
      </w:r>
      <w:r>
        <w:t>management</w:t>
      </w:r>
      <w:r>
        <w:rPr>
          <w:spacing w:val="-7"/>
        </w:rPr>
        <w:t xml:space="preserve"> </w:t>
      </w:r>
      <w:r>
        <w:t>made</w:t>
      </w:r>
      <w:r>
        <w:rPr>
          <w:spacing w:val="-7"/>
        </w:rPr>
        <w:t xml:space="preserve"> </w:t>
      </w:r>
      <w:r>
        <w:t>the</w:t>
      </w:r>
      <w:r>
        <w:rPr>
          <w:spacing w:val="-7"/>
        </w:rPr>
        <w:t xml:space="preserve"> </w:t>
      </w:r>
      <w:r>
        <w:t>accounting</w:t>
      </w:r>
      <w:r>
        <w:rPr>
          <w:spacing w:val="-8"/>
        </w:rPr>
        <w:t xml:space="preserve"> </w:t>
      </w:r>
      <w:r>
        <w:t>estimate</w:t>
      </w:r>
      <w:r>
        <w:rPr>
          <w:spacing w:val="-6"/>
        </w:rPr>
        <w:t xml:space="preserve"> </w:t>
      </w:r>
      <w:r>
        <w:t>(see</w:t>
      </w:r>
      <w:r>
        <w:rPr>
          <w:spacing w:val="-8"/>
        </w:rPr>
        <w:t xml:space="preserve"> </w:t>
      </w:r>
      <w:r>
        <w:t>FAM</w:t>
      </w:r>
      <w:r>
        <w:rPr>
          <w:spacing w:val="-8"/>
        </w:rPr>
        <w:t xml:space="preserve"> </w:t>
      </w:r>
      <w:r>
        <w:rPr>
          <w:spacing w:val="-2"/>
        </w:rPr>
        <w:t>905.10–</w:t>
      </w:r>
    </w:p>
    <w:p w14:paraId="0DFDC2BE" w14:textId="77777777" w:rsidR="00046465" w:rsidRDefault="008134EB">
      <w:pPr>
        <w:pStyle w:val="BodyText"/>
        <w:ind w:left="2159"/>
      </w:pPr>
      <w:r>
        <w:t>.15</w:t>
      </w:r>
      <w:r>
        <w:rPr>
          <w:spacing w:val="-8"/>
        </w:rPr>
        <w:t xml:space="preserve"> </w:t>
      </w:r>
      <w:r>
        <w:t>and</w:t>
      </w:r>
      <w:r>
        <w:rPr>
          <w:spacing w:val="-8"/>
        </w:rPr>
        <w:t xml:space="preserve"> </w:t>
      </w:r>
      <w:r>
        <w:t>AU-C</w:t>
      </w:r>
      <w:r>
        <w:rPr>
          <w:spacing w:val="-9"/>
        </w:rPr>
        <w:t xml:space="preserve"> </w:t>
      </w:r>
      <w:r>
        <w:t>540.A94–.A117),</w:t>
      </w:r>
      <w:r>
        <w:rPr>
          <w:spacing w:val="-8"/>
        </w:rPr>
        <w:t xml:space="preserve"> </w:t>
      </w:r>
      <w:r>
        <w:rPr>
          <w:spacing w:val="-5"/>
        </w:rPr>
        <w:t>or</w:t>
      </w:r>
    </w:p>
    <w:p w14:paraId="0DFDC2BF" w14:textId="77777777" w:rsidR="00046465" w:rsidRDefault="008134EB">
      <w:pPr>
        <w:pStyle w:val="ListParagraph"/>
        <w:numPr>
          <w:ilvl w:val="1"/>
          <w:numId w:val="4"/>
        </w:numPr>
        <w:tabs>
          <w:tab w:val="left" w:pos="2159"/>
        </w:tabs>
        <w:spacing w:before="119"/>
        <w:ind w:left="2159" w:right="1100"/>
      </w:pPr>
      <w:r>
        <w:t>developing</w:t>
      </w:r>
      <w:r>
        <w:rPr>
          <w:spacing w:val="-5"/>
        </w:rPr>
        <w:t xml:space="preserve"> </w:t>
      </w:r>
      <w:r>
        <w:t>an</w:t>
      </w:r>
      <w:r>
        <w:rPr>
          <w:spacing w:val="-4"/>
        </w:rPr>
        <w:t xml:space="preserve"> </w:t>
      </w:r>
      <w:r>
        <w:t>auditor’s</w:t>
      </w:r>
      <w:r>
        <w:rPr>
          <w:spacing w:val="-4"/>
        </w:rPr>
        <w:t xml:space="preserve"> </w:t>
      </w:r>
      <w:r>
        <w:t>point</w:t>
      </w:r>
      <w:r>
        <w:rPr>
          <w:spacing w:val="-4"/>
        </w:rPr>
        <w:t xml:space="preserve"> </w:t>
      </w:r>
      <w:r>
        <w:t>estimate</w:t>
      </w:r>
      <w:r>
        <w:rPr>
          <w:spacing w:val="-4"/>
        </w:rPr>
        <w:t xml:space="preserve"> </w:t>
      </w:r>
      <w:r>
        <w:t>or</w:t>
      </w:r>
      <w:r>
        <w:rPr>
          <w:spacing w:val="-4"/>
        </w:rPr>
        <w:t xml:space="preserve"> </w:t>
      </w:r>
      <w:r>
        <w:t>range</w:t>
      </w:r>
      <w:r>
        <w:rPr>
          <w:spacing w:val="-4"/>
        </w:rPr>
        <w:t xml:space="preserve"> </w:t>
      </w:r>
      <w:r>
        <w:t>(see</w:t>
      </w:r>
      <w:r>
        <w:rPr>
          <w:spacing w:val="-4"/>
        </w:rPr>
        <w:t xml:space="preserve"> </w:t>
      </w:r>
      <w:r>
        <w:t>FAM</w:t>
      </w:r>
      <w:r>
        <w:rPr>
          <w:spacing w:val="-5"/>
        </w:rPr>
        <w:t xml:space="preserve"> </w:t>
      </w:r>
      <w:r>
        <w:t>905.16–.17</w:t>
      </w:r>
      <w:r>
        <w:rPr>
          <w:spacing w:val="-4"/>
        </w:rPr>
        <w:t xml:space="preserve"> </w:t>
      </w:r>
      <w:r>
        <w:t>and AU-C 540.A118–.A125).</w:t>
      </w:r>
    </w:p>
    <w:p w14:paraId="0DFDC2C0" w14:textId="77777777" w:rsidR="00046465" w:rsidRDefault="008134EB">
      <w:pPr>
        <w:pStyle w:val="BodyText"/>
        <w:spacing w:before="121"/>
        <w:ind w:left="1799" w:right="844"/>
      </w:pPr>
      <w:r>
        <w:t>The auditor’s further audit procedures should take into account that the higher the</w:t>
      </w:r>
      <w:r>
        <w:rPr>
          <w:spacing w:val="-4"/>
        </w:rPr>
        <w:t xml:space="preserve"> </w:t>
      </w:r>
      <w:r>
        <w:t>risk</w:t>
      </w:r>
      <w:r>
        <w:rPr>
          <w:spacing w:val="-4"/>
        </w:rPr>
        <w:t xml:space="preserve"> </w:t>
      </w:r>
      <w:r>
        <w:t>of</w:t>
      </w:r>
      <w:r>
        <w:rPr>
          <w:spacing w:val="-4"/>
        </w:rPr>
        <w:t xml:space="preserve"> </w:t>
      </w:r>
      <w:r>
        <w:t>material</w:t>
      </w:r>
      <w:r>
        <w:rPr>
          <w:spacing w:val="-4"/>
        </w:rPr>
        <w:t xml:space="preserve"> </w:t>
      </w:r>
      <w:r>
        <w:t>misstatement,</w:t>
      </w:r>
      <w:r>
        <w:rPr>
          <w:spacing w:val="-4"/>
        </w:rPr>
        <w:t xml:space="preserve"> </w:t>
      </w:r>
      <w:r>
        <w:t>the</w:t>
      </w:r>
      <w:r>
        <w:rPr>
          <w:spacing w:val="-4"/>
        </w:rPr>
        <w:t xml:space="preserve"> </w:t>
      </w:r>
      <w:r>
        <w:t>more</w:t>
      </w:r>
      <w:r>
        <w:rPr>
          <w:spacing w:val="-4"/>
        </w:rPr>
        <w:t xml:space="preserve"> </w:t>
      </w:r>
      <w:r>
        <w:t>persuasive</w:t>
      </w:r>
      <w:r>
        <w:rPr>
          <w:spacing w:val="-4"/>
        </w:rPr>
        <w:t xml:space="preserve"> </w:t>
      </w:r>
      <w:r>
        <w:t>the</w:t>
      </w:r>
      <w:r>
        <w:rPr>
          <w:spacing w:val="-4"/>
        </w:rPr>
        <w:t xml:space="preserve"> </w:t>
      </w:r>
      <w:r>
        <w:t>audit</w:t>
      </w:r>
      <w:r>
        <w:rPr>
          <w:spacing w:val="-4"/>
        </w:rPr>
        <w:t xml:space="preserve"> </w:t>
      </w:r>
      <w:r>
        <w:t>evidence</w:t>
      </w:r>
      <w:r>
        <w:rPr>
          <w:spacing w:val="-5"/>
        </w:rPr>
        <w:t xml:space="preserve"> </w:t>
      </w:r>
      <w:r>
        <w:t>needs to be. The auditor should design and perform further audit procedures in a manner that is not biased toward obtaining audit evidence that may be corroborative</w:t>
      </w:r>
      <w:r>
        <w:rPr>
          <w:spacing w:val="-3"/>
        </w:rPr>
        <w:t xml:space="preserve"> </w:t>
      </w:r>
      <w:r>
        <w:t>or</w:t>
      </w:r>
      <w:r>
        <w:rPr>
          <w:spacing w:val="-3"/>
        </w:rPr>
        <w:t xml:space="preserve"> </w:t>
      </w:r>
      <w:r>
        <w:t>toward</w:t>
      </w:r>
      <w:r>
        <w:rPr>
          <w:spacing w:val="-3"/>
        </w:rPr>
        <w:t xml:space="preserve"> </w:t>
      </w:r>
      <w:r>
        <w:t>excluding</w:t>
      </w:r>
      <w:r>
        <w:rPr>
          <w:spacing w:val="-4"/>
        </w:rPr>
        <w:t xml:space="preserve"> </w:t>
      </w:r>
      <w:r>
        <w:t>audit</w:t>
      </w:r>
      <w:r>
        <w:rPr>
          <w:spacing w:val="-3"/>
        </w:rPr>
        <w:t xml:space="preserve"> </w:t>
      </w:r>
      <w:r>
        <w:t>evidence</w:t>
      </w:r>
      <w:r>
        <w:rPr>
          <w:spacing w:val="-3"/>
        </w:rPr>
        <w:t xml:space="preserve"> </w:t>
      </w:r>
      <w:r>
        <w:t>that</w:t>
      </w:r>
      <w:r>
        <w:rPr>
          <w:spacing w:val="-3"/>
        </w:rPr>
        <w:t xml:space="preserve"> </w:t>
      </w:r>
      <w:r>
        <w:t>may</w:t>
      </w:r>
      <w:r>
        <w:rPr>
          <w:spacing w:val="-3"/>
        </w:rPr>
        <w:t xml:space="preserve"> </w:t>
      </w:r>
      <w:r>
        <w:t>be</w:t>
      </w:r>
      <w:r>
        <w:rPr>
          <w:spacing w:val="-3"/>
        </w:rPr>
        <w:t xml:space="preserve"> </w:t>
      </w:r>
      <w:r>
        <w:t>contradictory</w:t>
      </w:r>
      <w:r>
        <w:rPr>
          <w:spacing w:val="-1"/>
        </w:rPr>
        <w:t xml:space="preserve"> </w:t>
      </w:r>
      <w:r>
        <w:t>(AU-C 540.17).</w:t>
      </w:r>
    </w:p>
    <w:p w14:paraId="0DFDC2C1" w14:textId="77777777" w:rsidR="00046465" w:rsidRDefault="008134EB">
      <w:pPr>
        <w:pStyle w:val="ListParagraph"/>
        <w:numPr>
          <w:ilvl w:val="0"/>
          <w:numId w:val="4"/>
        </w:numPr>
        <w:tabs>
          <w:tab w:val="left" w:pos="1799"/>
        </w:tabs>
        <w:ind w:left="1799" w:right="750"/>
      </w:pPr>
      <w:r>
        <w:t>When the auditor’s further audit procedures include obtaining audit evidence</w:t>
      </w:r>
      <w:r>
        <w:rPr>
          <w:spacing w:val="40"/>
        </w:rPr>
        <w:t xml:space="preserve"> </w:t>
      </w:r>
      <w:r>
        <w:t>from events occurring up to the date of the auditor’s report, the auditor should evaluate</w:t>
      </w:r>
      <w:r>
        <w:rPr>
          <w:spacing w:val="-4"/>
        </w:rPr>
        <w:t xml:space="preserve"> </w:t>
      </w:r>
      <w:r>
        <w:t>whether</w:t>
      </w:r>
      <w:r>
        <w:rPr>
          <w:spacing w:val="-4"/>
        </w:rPr>
        <w:t xml:space="preserve"> </w:t>
      </w:r>
      <w:r>
        <w:t>such</w:t>
      </w:r>
      <w:r>
        <w:rPr>
          <w:spacing w:val="-4"/>
        </w:rPr>
        <w:t xml:space="preserve"> </w:t>
      </w:r>
      <w:r>
        <w:t>audit</w:t>
      </w:r>
      <w:r>
        <w:rPr>
          <w:spacing w:val="-4"/>
        </w:rPr>
        <w:t xml:space="preserve"> </w:t>
      </w:r>
      <w:r>
        <w:t>evidence</w:t>
      </w:r>
      <w:r>
        <w:rPr>
          <w:spacing w:val="-4"/>
        </w:rPr>
        <w:t xml:space="preserve"> </w:t>
      </w:r>
      <w:r>
        <w:t>is</w:t>
      </w:r>
      <w:r>
        <w:rPr>
          <w:spacing w:val="-4"/>
        </w:rPr>
        <w:t xml:space="preserve"> </w:t>
      </w:r>
      <w:r>
        <w:t>sufficient</w:t>
      </w:r>
      <w:r>
        <w:rPr>
          <w:spacing w:val="-4"/>
        </w:rPr>
        <w:t xml:space="preserve"> </w:t>
      </w:r>
      <w:r>
        <w:t>and</w:t>
      </w:r>
      <w:r>
        <w:rPr>
          <w:spacing w:val="-4"/>
        </w:rPr>
        <w:t xml:space="preserve"> </w:t>
      </w:r>
      <w:r>
        <w:t>appropriate</w:t>
      </w:r>
      <w:r>
        <w:rPr>
          <w:spacing w:val="-4"/>
        </w:rPr>
        <w:t xml:space="preserve"> </w:t>
      </w:r>
      <w:r>
        <w:t>to</w:t>
      </w:r>
      <w:r>
        <w:rPr>
          <w:spacing w:val="-4"/>
        </w:rPr>
        <w:t xml:space="preserve"> </w:t>
      </w:r>
      <w:r>
        <w:t>address</w:t>
      </w:r>
      <w:r>
        <w:rPr>
          <w:spacing w:val="-4"/>
        </w:rPr>
        <w:t xml:space="preserve"> </w:t>
      </w:r>
      <w:r>
        <w:t>the risks of material misstatement relating to the accounting estimate, taking into account that changes in circumstances and other relevant conditions between the event and the measurement date may affect the relevance of such audit evidence in the context of the applicable financial reporting framework (generally U.S.</w:t>
      </w:r>
      <w:r>
        <w:rPr>
          <w:spacing w:val="-3"/>
        </w:rPr>
        <w:t xml:space="preserve"> </w:t>
      </w:r>
      <w:r>
        <w:t>GAAP)</w:t>
      </w:r>
      <w:r>
        <w:rPr>
          <w:spacing w:val="-2"/>
        </w:rPr>
        <w:t xml:space="preserve"> </w:t>
      </w:r>
      <w:r>
        <w:t>(AU-C</w:t>
      </w:r>
      <w:r>
        <w:rPr>
          <w:spacing w:val="-4"/>
        </w:rPr>
        <w:t xml:space="preserve"> </w:t>
      </w:r>
      <w:r>
        <w:t>540.20).</w:t>
      </w:r>
      <w:r>
        <w:rPr>
          <w:spacing w:val="-3"/>
        </w:rPr>
        <w:t xml:space="preserve"> </w:t>
      </w:r>
      <w:r>
        <w:t>For</w:t>
      </w:r>
      <w:r>
        <w:rPr>
          <w:spacing w:val="-3"/>
        </w:rPr>
        <w:t xml:space="preserve"> </w:t>
      </w:r>
      <w:r>
        <w:t>some</w:t>
      </w:r>
      <w:r>
        <w:rPr>
          <w:spacing w:val="-3"/>
        </w:rPr>
        <w:t xml:space="preserve"> </w:t>
      </w:r>
      <w:r>
        <w:t>accounting</w:t>
      </w:r>
      <w:r>
        <w:rPr>
          <w:spacing w:val="-3"/>
        </w:rPr>
        <w:t xml:space="preserve"> </w:t>
      </w:r>
      <w:r>
        <w:t>estimates,</w:t>
      </w:r>
      <w:r>
        <w:rPr>
          <w:spacing w:val="-3"/>
        </w:rPr>
        <w:t xml:space="preserve"> </w:t>
      </w:r>
      <w:r>
        <w:t>events</w:t>
      </w:r>
      <w:r>
        <w:rPr>
          <w:spacing w:val="-3"/>
        </w:rPr>
        <w:t xml:space="preserve"> </w:t>
      </w:r>
      <w:r>
        <w:t>occurring</w:t>
      </w:r>
      <w:r>
        <w:rPr>
          <w:spacing w:val="-3"/>
        </w:rPr>
        <w:t xml:space="preserve"> </w:t>
      </w:r>
      <w:r>
        <w:t>up to the date of the auditor’s report are unlikely to provide sufficient appropriate audit</w:t>
      </w:r>
      <w:r>
        <w:rPr>
          <w:spacing w:val="-3"/>
        </w:rPr>
        <w:t xml:space="preserve"> </w:t>
      </w:r>
      <w:r>
        <w:t>evidence</w:t>
      </w:r>
      <w:r>
        <w:rPr>
          <w:spacing w:val="-3"/>
        </w:rPr>
        <w:t xml:space="preserve"> </w:t>
      </w:r>
      <w:r>
        <w:t>regarding</w:t>
      </w:r>
      <w:r>
        <w:rPr>
          <w:spacing w:val="-4"/>
        </w:rPr>
        <w:t xml:space="preserve"> </w:t>
      </w:r>
      <w:r>
        <w:t>the</w:t>
      </w:r>
      <w:r>
        <w:rPr>
          <w:spacing w:val="-3"/>
        </w:rPr>
        <w:t xml:space="preserve"> </w:t>
      </w:r>
      <w:r>
        <w:t>accounting</w:t>
      </w:r>
      <w:r>
        <w:rPr>
          <w:spacing w:val="-3"/>
        </w:rPr>
        <w:t xml:space="preserve"> </w:t>
      </w:r>
      <w:r>
        <w:t>estimate.</w:t>
      </w:r>
      <w:r>
        <w:rPr>
          <w:spacing w:val="-3"/>
        </w:rPr>
        <w:t xml:space="preserve"> </w:t>
      </w:r>
      <w:r>
        <w:t>For</w:t>
      </w:r>
      <w:r>
        <w:rPr>
          <w:spacing w:val="-3"/>
        </w:rPr>
        <w:t xml:space="preserve"> </w:t>
      </w:r>
      <w:r>
        <w:t>example,</w:t>
      </w:r>
      <w:r>
        <w:rPr>
          <w:spacing w:val="-3"/>
        </w:rPr>
        <w:t xml:space="preserve"> </w:t>
      </w:r>
      <w:r>
        <w:t>the</w:t>
      </w:r>
      <w:r>
        <w:rPr>
          <w:spacing w:val="-3"/>
        </w:rPr>
        <w:t xml:space="preserve"> </w:t>
      </w:r>
      <w:r>
        <w:t>conditions</w:t>
      </w:r>
      <w:r>
        <w:rPr>
          <w:spacing w:val="-3"/>
        </w:rPr>
        <w:t xml:space="preserve"> </w:t>
      </w:r>
      <w:r>
        <w:t>or events relating to some accounting estimates develop only over an extended period. Also, because of the measurement objective of fair value accounting estimates, information after the period-end may not reflect the events or conditions existing at the balance sheet date and, therefore, may not be relevant to the measurement of the fair value accounting estimate. (AU-C 540.A92)</w:t>
      </w:r>
    </w:p>
    <w:p w14:paraId="0DFDC2C2" w14:textId="77777777" w:rsidR="00046465" w:rsidRDefault="008134EB">
      <w:pPr>
        <w:pStyle w:val="ListParagraph"/>
        <w:numPr>
          <w:ilvl w:val="0"/>
          <w:numId w:val="118"/>
        </w:numPr>
        <w:tabs>
          <w:tab w:val="left" w:pos="1799"/>
        </w:tabs>
        <w:ind w:right="936"/>
      </w:pPr>
      <w:r>
        <w:t>When testing how management made the accounting estimate, the auditor’s further</w:t>
      </w:r>
      <w:r>
        <w:rPr>
          <w:spacing w:val="-5"/>
        </w:rPr>
        <w:t xml:space="preserve"> </w:t>
      </w:r>
      <w:r>
        <w:t>audit</w:t>
      </w:r>
      <w:r>
        <w:rPr>
          <w:spacing w:val="-6"/>
        </w:rPr>
        <w:t xml:space="preserve"> </w:t>
      </w:r>
      <w:r>
        <w:t>procedures</w:t>
      </w:r>
      <w:r>
        <w:rPr>
          <w:spacing w:val="-6"/>
        </w:rPr>
        <w:t xml:space="preserve"> </w:t>
      </w:r>
      <w:r>
        <w:t>should</w:t>
      </w:r>
      <w:r>
        <w:rPr>
          <w:spacing w:val="-5"/>
        </w:rPr>
        <w:t xml:space="preserve"> </w:t>
      </w:r>
      <w:r>
        <w:t>include</w:t>
      </w:r>
      <w:r>
        <w:rPr>
          <w:spacing w:val="-5"/>
        </w:rPr>
        <w:t xml:space="preserve"> </w:t>
      </w:r>
      <w:r>
        <w:t>procedures,</w:t>
      </w:r>
      <w:r>
        <w:rPr>
          <w:spacing w:val="-5"/>
        </w:rPr>
        <w:t xml:space="preserve"> </w:t>
      </w:r>
      <w:r>
        <w:t>designed</w:t>
      </w:r>
      <w:r>
        <w:rPr>
          <w:spacing w:val="-5"/>
        </w:rPr>
        <w:t xml:space="preserve"> </w:t>
      </w:r>
      <w:r>
        <w:t>and</w:t>
      </w:r>
      <w:r>
        <w:rPr>
          <w:spacing w:val="-5"/>
        </w:rPr>
        <w:t xml:space="preserve"> </w:t>
      </w:r>
      <w:r>
        <w:t>performed</w:t>
      </w:r>
      <w:r>
        <w:rPr>
          <w:spacing w:val="-5"/>
        </w:rPr>
        <w:t xml:space="preserve"> </w:t>
      </w:r>
      <w:r>
        <w:t>in accordance with FAM 905.11 through .14, to obtain sufficient appropriate audit evidence regarding the risks of material misstatement relating to the following (AU-C 540.21):</w:t>
      </w:r>
    </w:p>
    <w:p w14:paraId="0DFDC2C3" w14:textId="77777777" w:rsidR="00046465" w:rsidRDefault="00046465">
      <w:pPr>
        <w:pStyle w:val="ListParagraph"/>
        <w:sectPr w:rsidR="00046465">
          <w:pgSz w:w="12240" w:h="15840"/>
          <w:pgMar w:top="1340" w:right="720" w:bottom="940" w:left="1080" w:header="721" w:footer="757" w:gutter="0"/>
          <w:cols w:space="720"/>
        </w:sectPr>
      </w:pPr>
    </w:p>
    <w:p w14:paraId="0DFDC2C4" w14:textId="77777777" w:rsidR="00046465" w:rsidRDefault="008134EB">
      <w:pPr>
        <w:pStyle w:val="ListParagraph"/>
        <w:numPr>
          <w:ilvl w:val="1"/>
          <w:numId w:val="118"/>
        </w:numPr>
        <w:tabs>
          <w:tab w:val="left" w:pos="2159"/>
        </w:tabs>
        <w:spacing w:before="121"/>
        <w:ind w:right="1101"/>
      </w:pPr>
      <w:r>
        <w:lastRenderedPageBreak/>
        <w:t>the</w:t>
      </w:r>
      <w:r>
        <w:rPr>
          <w:spacing w:val="-5"/>
        </w:rPr>
        <w:t xml:space="preserve"> </w:t>
      </w:r>
      <w:r>
        <w:t>selection</w:t>
      </w:r>
      <w:r>
        <w:rPr>
          <w:spacing w:val="-5"/>
        </w:rPr>
        <w:t xml:space="preserve"> </w:t>
      </w:r>
      <w:r>
        <w:t>and</w:t>
      </w:r>
      <w:r>
        <w:rPr>
          <w:spacing w:val="-5"/>
        </w:rPr>
        <w:t xml:space="preserve"> </w:t>
      </w:r>
      <w:r>
        <w:t>application</w:t>
      </w:r>
      <w:r>
        <w:rPr>
          <w:spacing w:val="-5"/>
        </w:rPr>
        <w:t xml:space="preserve"> </w:t>
      </w:r>
      <w:r>
        <w:t>of</w:t>
      </w:r>
      <w:r>
        <w:rPr>
          <w:spacing w:val="-5"/>
        </w:rPr>
        <w:t xml:space="preserve"> </w:t>
      </w:r>
      <w:r>
        <w:t>the</w:t>
      </w:r>
      <w:r>
        <w:rPr>
          <w:spacing w:val="-6"/>
        </w:rPr>
        <w:t xml:space="preserve"> </w:t>
      </w:r>
      <w:r>
        <w:t>methods,</w:t>
      </w:r>
      <w:r>
        <w:rPr>
          <w:spacing w:val="-5"/>
        </w:rPr>
        <w:t xml:space="preserve"> </w:t>
      </w:r>
      <w:r>
        <w:t>significant</w:t>
      </w:r>
      <w:r>
        <w:rPr>
          <w:spacing w:val="-5"/>
        </w:rPr>
        <w:t xml:space="preserve"> </w:t>
      </w:r>
      <w:r>
        <w:t>assumptions,</w:t>
      </w:r>
      <w:r>
        <w:rPr>
          <w:spacing w:val="-5"/>
        </w:rPr>
        <w:t xml:space="preserve"> </w:t>
      </w:r>
      <w:r>
        <w:t>and data used by management in making the accounting estimate and</w:t>
      </w:r>
    </w:p>
    <w:p w14:paraId="0DFDC2C5" w14:textId="77777777" w:rsidR="00046465" w:rsidRDefault="008134EB">
      <w:pPr>
        <w:pStyle w:val="ListParagraph"/>
        <w:numPr>
          <w:ilvl w:val="1"/>
          <w:numId w:val="118"/>
        </w:numPr>
        <w:tabs>
          <w:tab w:val="left" w:pos="2159"/>
        </w:tabs>
        <w:spacing w:before="119"/>
        <w:ind w:right="1124"/>
      </w:pPr>
      <w:r>
        <w:t>how</w:t>
      </w:r>
      <w:r>
        <w:rPr>
          <w:spacing w:val="-5"/>
        </w:rPr>
        <w:t xml:space="preserve"> </w:t>
      </w:r>
      <w:r>
        <w:t>management</w:t>
      </w:r>
      <w:r>
        <w:rPr>
          <w:spacing w:val="-4"/>
        </w:rPr>
        <w:t xml:space="preserve"> </w:t>
      </w:r>
      <w:r>
        <w:t>selected</w:t>
      </w:r>
      <w:r>
        <w:rPr>
          <w:spacing w:val="-4"/>
        </w:rPr>
        <w:t xml:space="preserve"> </w:t>
      </w:r>
      <w:r>
        <w:t>the</w:t>
      </w:r>
      <w:r>
        <w:rPr>
          <w:spacing w:val="-4"/>
        </w:rPr>
        <w:t xml:space="preserve"> </w:t>
      </w:r>
      <w:r>
        <w:t>point</w:t>
      </w:r>
      <w:r>
        <w:rPr>
          <w:spacing w:val="-5"/>
        </w:rPr>
        <w:t xml:space="preserve"> </w:t>
      </w:r>
      <w:r>
        <w:t>estimate</w:t>
      </w:r>
      <w:r>
        <w:rPr>
          <w:spacing w:val="-4"/>
        </w:rPr>
        <w:t xml:space="preserve"> </w:t>
      </w:r>
      <w:r>
        <w:t>and</w:t>
      </w:r>
      <w:r>
        <w:rPr>
          <w:spacing w:val="-4"/>
        </w:rPr>
        <w:t xml:space="preserve"> </w:t>
      </w:r>
      <w:r>
        <w:t>developed</w:t>
      </w:r>
      <w:r>
        <w:rPr>
          <w:spacing w:val="-5"/>
        </w:rPr>
        <w:t xml:space="preserve"> </w:t>
      </w:r>
      <w:r>
        <w:t>related</w:t>
      </w:r>
      <w:r>
        <w:rPr>
          <w:spacing w:val="-4"/>
        </w:rPr>
        <w:t xml:space="preserve"> </w:t>
      </w:r>
      <w:r>
        <w:t>note disclosures about estimation uncertainty.</w:t>
      </w:r>
    </w:p>
    <w:p w14:paraId="0DFDC2C6" w14:textId="77777777" w:rsidR="00046465" w:rsidRDefault="008134EB">
      <w:pPr>
        <w:pStyle w:val="ListParagraph"/>
        <w:numPr>
          <w:ilvl w:val="0"/>
          <w:numId w:val="118"/>
        </w:numPr>
        <w:tabs>
          <w:tab w:val="left" w:pos="1800"/>
        </w:tabs>
        <w:spacing w:before="121"/>
        <w:ind w:left="1800" w:right="1031"/>
      </w:pPr>
      <w:r>
        <w:t>In applying the requirements of FAM 905.10, with respect to methods, the auditor’s</w:t>
      </w:r>
      <w:r>
        <w:rPr>
          <w:spacing w:val="-5"/>
        </w:rPr>
        <w:t xml:space="preserve"> </w:t>
      </w:r>
      <w:r>
        <w:t>further</w:t>
      </w:r>
      <w:r>
        <w:rPr>
          <w:spacing w:val="-5"/>
        </w:rPr>
        <w:t xml:space="preserve"> </w:t>
      </w:r>
      <w:r>
        <w:t>audit</w:t>
      </w:r>
      <w:r>
        <w:rPr>
          <w:spacing w:val="-5"/>
        </w:rPr>
        <w:t xml:space="preserve"> </w:t>
      </w:r>
      <w:r>
        <w:t>procedures</w:t>
      </w:r>
      <w:r>
        <w:rPr>
          <w:spacing w:val="-5"/>
        </w:rPr>
        <w:t xml:space="preserve"> </w:t>
      </w:r>
      <w:r>
        <w:t>should</w:t>
      </w:r>
      <w:r>
        <w:rPr>
          <w:spacing w:val="-5"/>
        </w:rPr>
        <w:t xml:space="preserve"> </w:t>
      </w:r>
      <w:r>
        <w:t>address</w:t>
      </w:r>
      <w:r>
        <w:rPr>
          <w:spacing w:val="-5"/>
        </w:rPr>
        <w:t xml:space="preserve"> </w:t>
      </w:r>
      <w:r>
        <w:t>the</w:t>
      </w:r>
      <w:r>
        <w:rPr>
          <w:spacing w:val="-5"/>
        </w:rPr>
        <w:t xml:space="preserve"> </w:t>
      </w:r>
      <w:r>
        <w:t>following</w:t>
      </w:r>
      <w:r>
        <w:rPr>
          <w:spacing w:val="-5"/>
        </w:rPr>
        <w:t xml:space="preserve"> </w:t>
      </w:r>
      <w:r>
        <w:t>(AU-C</w:t>
      </w:r>
      <w:r>
        <w:rPr>
          <w:spacing w:val="-5"/>
        </w:rPr>
        <w:t xml:space="preserve"> </w:t>
      </w:r>
      <w:r>
        <w:t>540.22):</w:t>
      </w:r>
    </w:p>
    <w:p w14:paraId="0DFDC2C7" w14:textId="77777777" w:rsidR="00046465" w:rsidRDefault="008134EB">
      <w:pPr>
        <w:pStyle w:val="ListParagraph"/>
        <w:numPr>
          <w:ilvl w:val="1"/>
          <w:numId w:val="118"/>
        </w:numPr>
        <w:tabs>
          <w:tab w:val="left" w:pos="2159"/>
        </w:tabs>
        <w:ind w:right="1025"/>
      </w:pPr>
      <w:r>
        <w:t>whether</w:t>
      </w:r>
      <w:r>
        <w:rPr>
          <w:spacing w:val="-4"/>
        </w:rPr>
        <w:t xml:space="preserve"> </w:t>
      </w:r>
      <w:r>
        <w:t>the</w:t>
      </w:r>
      <w:r>
        <w:rPr>
          <w:spacing w:val="-4"/>
        </w:rPr>
        <w:t xml:space="preserve"> </w:t>
      </w:r>
      <w:r>
        <w:t>method</w:t>
      </w:r>
      <w:r>
        <w:rPr>
          <w:spacing w:val="-4"/>
        </w:rPr>
        <w:t xml:space="preserve"> </w:t>
      </w:r>
      <w:r>
        <w:t>selected</w:t>
      </w:r>
      <w:r>
        <w:rPr>
          <w:spacing w:val="-4"/>
        </w:rPr>
        <w:t xml:space="preserve"> </w:t>
      </w:r>
      <w:r>
        <w:t>is</w:t>
      </w:r>
      <w:r>
        <w:rPr>
          <w:spacing w:val="-4"/>
        </w:rPr>
        <w:t xml:space="preserve"> </w:t>
      </w:r>
      <w:r>
        <w:t>appropriate</w:t>
      </w:r>
      <w:r>
        <w:rPr>
          <w:spacing w:val="-4"/>
        </w:rPr>
        <w:t xml:space="preserve"> </w:t>
      </w:r>
      <w:r>
        <w:t>in</w:t>
      </w:r>
      <w:r>
        <w:rPr>
          <w:spacing w:val="-4"/>
        </w:rPr>
        <w:t xml:space="preserve"> </w:t>
      </w:r>
      <w:r>
        <w:t>the</w:t>
      </w:r>
      <w:r>
        <w:rPr>
          <w:spacing w:val="-4"/>
        </w:rPr>
        <w:t xml:space="preserve"> </w:t>
      </w:r>
      <w:r>
        <w:t>context</w:t>
      </w:r>
      <w:r>
        <w:rPr>
          <w:spacing w:val="-4"/>
        </w:rPr>
        <w:t xml:space="preserve"> </w:t>
      </w:r>
      <w:r>
        <w:t>of</w:t>
      </w:r>
      <w:r>
        <w:rPr>
          <w:spacing w:val="-5"/>
        </w:rPr>
        <w:t xml:space="preserve"> </w:t>
      </w:r>
      <w:r>
        <w:t>the</w:t>
      </w:r>
      <w:r>
        <w:rPr>
          <w:spacing w:val="-4"/>
        </w:rPr>
        <w:t xml:space="preserve"> </w:t>
      </w:r>
      <w:r>
        <w:t>applicable financial reporting framework (generally U.S. GAAP) and, if applicable, changes from the method used in prior periods are appropriate;</w:t>
      </w:r>
    </w:p>
    <w:p w14:paraId="0DFDC2C8" w14:textId="77777777" w:rsidR="00046465" w:rsidRDefault="008134EB">
      <w:pPr>
        <w:pStyle w:val="ListParagraph"/>
        <w:numPr>
          <w:ilvl w:val="1"/>
          <w:numId w:val="118"/>
        </w:numPr>
        <w:tabs>
          <w:tab w:val="left" w:pos="2159"/>
        </w:tabs>
        <w:spacing w:before="119"/>
        <w:ind w:right="1114"/>
      </w:pPr>
      <w:r>
        <w:t>whether</w:t>
      </w:r>
      <w:r>
        <w:rPr>
          <w:spacing w:val="-4"/>
        </w:rPr>
        <w:t xml:space="preserve"> </w:t>
      </w:r>
      <w:r>
        <w:t>judgments</w:t>
      </w:r>
      <w:r>
        <w:rPr>
          <w:spacing w:val="-4"/>
        </w:rPr>
        <w:t xml:space="preserve"> </w:t>
      </w:r>
      <w:r>
        <w:t>made</w:t>
      </w:r>
      <w:r>
        <w:rPr>
          <w:spacing w:val="-4"/>
        </w:rPr>
        <w:t xml:space="preserve"> </w:t>
      </w:r>
      <w:r>
        <w:t>in</w:t>
      </w:r>
      <w:r>
        <w:rPr>
          <w:spacing w:val="-4"/>
        </w:rPr>
        <w:t xml:space="preserve"> </w:t>
      </w:r>
      <w:r>
        <w:t>selecting</w:t>
      </w:r>
      <w:r>
        <w:rPr>
          <w:spacing w:val="-4"/>
        </w:rPr>
        <w:t xml:space="preserve"> </w:t>
      </w:r>
      <w:r>
        <w:t>the</w:t>
      </w:r>
      <w:r>
        <w:rPr>
          <w:spacing w:val="-4"/>
        </w:rPr>
        <w:t xml:space="preserve"> </w:t>
      </w:r>
      <w:r>
        <w:t>method</w:t>
      </w:r>
      <w:r>
        <w:rPr>
          <w:spacing w:val="-4"/>
        </w:rPr>
        <w:t xml:space="preserve"> </w:t>
      </w:r>
      <w:r>
        <w:t>give</w:t>
      </w:r>
      <w:r>
        <w:rPr>
          <w:spacing w:val="-4"/>
        </w:rPr>
        <w:t xml:space="preserve"> </w:t>
      </w:r>
      <w:r>
        <w:t>rise</w:t>
      </w:r>
      <w:r>
        <w:rPr>
          <w:spacing w:val="-5"/>
        </w:rPr>
        <w:t xml:space="preserve"> </w:t>
      </w:r>
      <w:r>
        <w:t>to</w:t>
      </w:r>
      <w:r>
        <w:rPr>
          <w:spacing w:val="-4"/>
        </w:rPr>
        <w:t xml:space="preserve"> </w:t>
      </w:r>
      <w:r>
        <w:t>indicators</w:t>
      </w:r>
      <w:r>
        <w:rPr>
          <w:spacing w:val="-5"/>
        </w:rPr>
        <w:t xml:space="preserve"> </w:t>
      </w:r>
      <w:r>
        <w:t>of possible management bias;</w:t>
      </w:r>
    </w:p>
    <w:p w14:paraId="0DFDC2C9" w14:textId="77777777" w:rsidR="00046465" w:rsidRDefault="008134EB">
      <w:pPr>
        <w:pStyle w:val="ListParagraph"/>
        <w:numPr>
          <w:ilvl w:val="1"/>
          <w:numId w:val="118"/>
        </w:numPr>
        <w:tabs>
          <w:tab w:val="left" w:pos="2159"/>
        </w:tabs>
        <w:spacing w:before="121"/>
        <w:ind w:right="918"/>
      </w:pPr>
      <w:r>
        <w:t>whether</w:t>
      </w:r>
      <w:r>
        <w:rPr>
          <w:spacing w:val="-4"/>
        </w:rPr>
        <w:t xml:space="preserve"> </w:t>
      </w:r>
      <w:r>
        <w:t>the</w:t>
      </w:r>
      <w:r>
        <w:rPr>
          <w:spacing w:val="-4"/>
        </w:rPr>
        <w:t xml:space="preserve"> </w:t>
      </w:r>
      <w:r>
        <w:t>calculations</w:t>
      </w:r>
      <w:r>
        <w:rPr>
          <w:spacing w:val="-5"/>
        </w:rPr>
        <w:t xml:space="preserve"> </w:t>
      </w:r>
      <w:r>
        <w:t>are</w:t>
      </w:r>
      <w:r>
        <w:rPr>
          <w:spacing w:val="-4"/>
        </w:rPr>
        <w:t xml:space="preserve"> </w:t>
      </w:r>
      <w:r>
        <w:t>applied</w:t>
      </w:r>
      <w:r>
        <w:rPr>
          <w:spacing w:val="-4"/>
        </w:rPr>
        <w:t xml:space="preserve"> </w:t>
      </w:r>
      <w:r>
        <w:t>in</w:t>
      </w:r>
      <w:r>
        <w:rPr>
          <w:spacing w:val="-4"/>
        </w:rPr>
        <w:t xml:space="preserve"> </w:t>
      </w:r>
      <w:r>
        <w:t>accordance</w:t>
      </w:r>
      <w:r>
        <w:rPr>
          <w:spacing w:val="-4"/>
        </w:rPr>
        <w:t xml:space="preserve"> </w:t>
      </w:r>
      <w:r>
        <w:t>with</w:t>
      </w:r>
      <w:r>
        <w:rPr>
          <w:spacing w:val="-4"/>
        </w:rPr>
        <w:t xml:space="preserve"> </w:t>
      </w:r>
      <w:r>
        <w:t>the</w:t>
      </w:r>
      <w:r>
        <w:rPr>
          <w:spacing w:val="-4"/>
        </w:rPr>
        <w:t xml:space="preserve"> </w:t>
      </w:r>
      <w:r>
        <w:t>method</w:t>
      </w:r>
      <w:r>
        <w:rPr>
          <w:spacing w:val="-4"/>
        </w:rPr>
        <w:t xml:space="preserve"> </w:t>
      </w:r>
      <w:r>
        <w:t>and</w:t>
      </w:r>
      <w:r>
        <w:rPr>
          <w:spacing w:val="-4"/>
        </w:rPr>
        <w:t xml:space="preserve"> </w:t>
      </w:r>
      <w:r>
        <w:t>are mathematically accurate;</w:t>
      </w:r>
    </w:p>
    <w:p w14:paraId="0DFDC2CA" w14:textId="77777777" w:rsidR="00046465" w:rsidRDefault="008134EB">
      <w:pPr>
        <w:pStyle w:val="ListParagraph"/>
        <w:numPr>
          <w:ilvl w:val="1"/>
          <w:numId w:val="118"/>
        </w:numPr>
        <w:tabs>
          <w:tab w:val="left" w:pos="2159"/>
        </w:tabs>
        <w:spacing w:before="119"/>
        <w:ind w:right="979"/>
      </w:pPr>
      <w:r>
        <w:t>when</w:t>
      </w:r>
      <w:r>
        <w:rPr>
          <w:spacing w:val="-5"/>
        </w:rPr>
        <w:t xml:space="preserve"> </w:t>
      </w:r>
      <w:r>
        <w:t>management’s</w:t>
      </w:r>
      <w:r>
        <w:rPr>
          <w:spacing w:val="-5"/>
        </w:rPr>
        <w:t xml:space="preserve"> </w:t>
      </w:r>
      <w:r>
        <w:t>application</w:t>
      </w:r>
      <w:r>
        <w:rPr>
          <w:spacing w:val="-5"/>
        </w:rPr>
        <w:t xml:space="preserve"> </w:t>
      </w:r>
      <w:r>
        <w:t>of</w:t>
      </w:r>
      <w:r>
        <w:rPr>
          <w:spacing w:val="-5"/>
        </w:rPr>
        <w:t xml:space="preserve"> </w:t>
      </w:r>
      <w:r>
        <w:t>the</w:t>
      </w:r>
      <w:r>
        <w:rPr>
          <w:spacing w:val="-5"/>
        </w:rPr>
        <w:t xml:space="preserve"> </w:t>
      </w:r>
      <w:r>
        <w:t>method</w:t>
      </w:r>
      <w:r>
        <w:rPr>
          <w:spacing w:val="-5"/>
        </w:rPr>
        <w:t xml:space="preserve"> </w:t>
      </w:r>
      <w:r>
        <w:t>involves</w:t>
      </w:r>
      <w:r>
        <w:rPr>
          <w:spacing w:val="-6"/>
        </w:rPr>
        <w:t xml:space="preserve"> </w:t>
      </w:r>
      <w:r>
        <w:t>complex</w:t>
      </w:r>
      <w:r>
        <w:rPr>
          <w:spacing w:val="-5"/>
        </w:rPr>
        <w:t xml:space="preserve"> </w:t>
      </w:r>
      <w:r>
        <w:t xml:space="preserve">modeling, whether judgments have been applied consistently, and whether, when </w:t>
      </w:r>
      <w:r>
        <w:rPr>
          <w:spacing w:val="-2"/>
        </w:rPr>
        <w:t>applicable,</w:t>
      </w:r>
    </w:p>
    <w:p w14:paraId="0DFDC2CB" w14:textId="77777777" w:rsidR="00046465" w:rsidRDefault="008134EB">
      <w:pPr>
        <w:pStyle w:val="ListParagraph"/>
        <w:numPr>
          <w:ilvl w:val="2"/>
          <w:numId w:val="118"/>
        </w:numPr>
        <w:tabs>
          <w:tab w:val="left" w:pos="2519"/>
        </w:tabs>
        <w:ind w:right="1206"/>
      </w:pPr>
      <w:r>
        <w:t>the design of the model meets the measurement objective of the applicable financial reporting framework (generally U.S. GAAP), is appropriate</w:t>
      </w:r>
      <w:r>
        <w:rPr>
          <w:spacing w:val="-5"/>
        </w:rPr>
        <w:t xml:space="preserve"> </w:t>
      </w:r>
      <w:r>
        <w:t>in</w:t>
      </w:r>
      <w:r>
        <w:rPr>
          <w:spacing w:val="-5"/>
        </w:rPr>
        <w:t xml:space="preserve"> </w:t>
      </w:r>
      <w:r>
        <w:t>the</w:t>
      </w:r>
      <w:r>
        <w:rPr>
          <w:spacing w:val="-5"/>
        </w:rPr>
        <w:t xml:space="preserve"> </w:t>
      </w:r>
      <w:r>
        <w:t>circumstances,</w:t>
      </w:r>
      <w:r>
        <w:rPr>
          <w:spacing w:val="-5"/>
        </w:rPr>
        <w:t xml:space="preserve"> </w:t>
      </w:r>
      <w:r>
        <w:t>and</w:t>
      </w:r>
      <w:r>
        <w:rPr>
          <w:spacing w:val="-5"/>
        </w:rPr>
        <w:t xml:space="preserve"> </w:t>
      </w:r>
      <w:r>
        <w:t>if</w:t>
      </w:r>
      <w:r>
        <w:rPr>
          <w:spacing w:val="-5"/>
        </w:rPr>
        <w:t xml:space="preserve"> </w:t>
      </w:r>
      <w:r>
        <w:t>applicable,</w:t>
      </w:r>
      <w:r>
        <w:rPr>
          <w:spacing w:val="-5"/>
        </w:rPr>
        <w:t xml:space="preserve"> </w:t>
      </w:r>
      <w:r>
        <w:t>changes</w:t>
      </w:r>
      <w:r>
        <w:rPr>
          <w:spacing w:val="-5"/>
        </w:rPr>
        <w:t xml:space="preserve"> </w:t>
      </w:r>
      <w:r>
        <w:t>from</w:t>
      </w:r>
      <w:r>
        <w:rPr>
          <w:spacing w:val="-6"/>
        </w:rPr>
        <w:t xml:space="preserve"> </w:t>
      </w:r>
      <w:r>
        <w:t>the prior period’s model are appropriate in the circumstances and</w:t>
      </w:r>
    </w:p>
    <w:p w14:paraId="0DFDC2CC" w14:textId="77777777" w:rsidR="00046465" w:rsidRDefault="008134EB">
      <w:pPr>
        <w:pStyle w:val="ListParagraph"/>
        <w:numPr>
          <w:ilvl w:val="2"/>
          <w:numId w:val="118"/>
        </w:numPr>
        <w:tabs>
          <w:tab w:val="left" w:pos="2519"/>
        </w:tabs>
        <w:spacing w:before="119"/>
        <w:ind w:right="1098"/>
      </w:pPr>
      <w:r>
        <w:t>adjustments to the output of the model are consistent with the measurement</w:t>
      </w:r>
      <w:r>
        <w:rPr>
          <w:spacing w:val="-6"/>
        </w:rPr>
        <w:t xml:space="preserve"> </w:t>
      </w:r>
      <w:r>
        <w:t>objective</w:t>
      </w:r>
      <w:r>
        <w:rPr>
          <w:spacing w:val="-7"/>
        </w:rPr>
        <w:t xml:space="preserve"> </w:t>
      </w:r>
      <w:r>
        <w:t>of</w:t>
      </w:r>
      <w:r>
        <w:rPr>
          <w:spacing w:val="-6"/>
        </w:rPr>
        <w:t xml:space="preserve"> </w:t>
      </w:r>
      <w:r>
        <w:t>the</w:t>
      </w:r>
      <w:r>
        <w:rPr>
          <w:spacing w:val="-6"/>
        </w:rPr>
        <w:t xml:space="preserve"> </w:t>
      </w:r>
      <w:r>
        <w:t>applicable</w:t>
      </w:r>
      <w:r>
        <w:rPr>
          <w:spacing w:val="-6"/>
        </w:rPr>
        <w:t xml:space="preserve"> </w:t>
      </w:r>
      <w:r>
        <w:t>financial</w:t>
      </w:r>
      <w:r>
        <w:rPr>
          <w:spacing w:val="-6"/>
        </w:rPr>
        <w:t xml:space="preserve"> </w:t>
      </w:r>
      <w:r>
        <w:t>reporting</w:t>
      </w:r>
      <w:r>
        <w:rPr>
          <w:spacing w:val="-6"/>
        </w:rPr>
        <w:t xml:space="preserve"> </w:t>
      </w:r>
      <w:r>
        <w:t>framework (generally U.S. GAAP) and are appropriate in the circumstances; and</w:t>
      </w:r>
    </w:p>
    <w:p w14:paraId="0DFDC2CD" w14:textId="77777777" w:rsidR="00046465" w:rsidRDefault="008134EB">
      <w:pPr>
        <w:pStyle w:val="ListParagraph"/>
        <w:numPr>
          <w:ilvl w:val="1"/>
          <w:numId w:val="118"/>
        </w:numPr>
        <w:tabs>
          <w:tab w:val="left" w:pos="2249"/>
        </w:tabs>
        <w:spacing w:before="118"/>
        <w:ind w:left="2249" w:right="1010"/>
      </w:pPr>
      <w:r>
        <w:t>whether</w:t>
      </w:r>
      <w:r>
        <w:rPr>
          <w:spacing w:val="-4"/>
        </w:rPr>
        <w:t xml:space="preserve"> </w:t>
      </w:r>
      <w:r>
        <w:t>the</w:t>
      </w:r>
      <w:r>
        <w:rPr>
          <w:spacing w:val="-4"/>
        </w:rPr>
        <w:t xml:space="preserve"> </w:t>
      </w:r>
      <w:r>
        <w:t>integrity</w:t>
      </w:r>
      <w:r>
        <w:rPr>
          <w:spacing w:val="-4"/>
        </w:rPr>
        <w:t xml:space="preserve"> </w:t>
      </w:r>
      <w:r>
        <w:t>of</w:t>
      </w:r>
      <w:r>
        <w:rPr>
          <w:spacing w:val="-4"/>
        </w:rPr>
        <w:t xml:space="preserve"> </w:t>
      </w:r>
      <w:r>
        <w:t>the</w:t>
      </w:r>
      <w:r>
        <w:rPr>
          <w:spacing w:val="-4"/>
        </w:rPr>
        <w:t xml:space="preserve"> </w:t>
      </w:r>
      <w:r>
        <w:t>significant</w:t>
      </w:r>
      <w:r>
        <w:rPr>
          <w:spacing w:val="-4"/>
        </w:rPr>
        <w:t xml:space="preserve"> </w:t>
      </w:r>
      <w:r>
        <w:t>assumptions</w:t>
      </w:r>
      <w:r>
        <w:rPr>
          <w:spacing w:val="-4"/>
        </w:rPr>
        <w:t xml:space="preserve"> </w:t>
      </w:r>
      <w:r>
        <w:t>and</w:t>
      </w:r>
      <w:r>
        <w:rPr>
          <w:spacing w:val="-4"/>
        </w:rPr>
        <w:t xml:space="preserve"> </w:t>
      </w:r>
      <w:r>
        <w:t>the</w:t>
      </w:r>
      <w:r>
        <w:rPr>
          <w:spacing w:val="-4"/>
        </w:rPr>
        <w:t xml:space="preserve"> </w:t>
      </w:r>
      <w:r>
        <w:t>data</w:t>
      </w:r>
      <w:r>
        <w:rPr>
          <w:spacing w:val="-4"/>
        </w:rPr>
        <w:t xml:space="preserve"> </w:t>
      </w:r>
      <w:r>
        <w:t>has</w:t>
      </w:r>
      <w:r>
        <w:rPr>
          <w:spacing w:val="-4"/>
        </w:rPr>
        <w:t xml:space="preserve"> </w:t>
      </w:r>
      <w:r>
        <w:t>been maintained in applying the method.</w:t>
      </w:r>
    </w:p>
    <w:p w14:paraId="0DFDC2CE" w14:textId="77777777" w:rsidR="00046465" w:rsidRDefault="008134EB">
      <w:pPr>
        <w:pStyle w:val="ListParagraph"/>
        <w:numPr>
          <w:ilvl w:val="0"/>
          <w:numId w:val="118"/>
        </w:numPr>
        <w:tabs>
          <w:tab w:val="left" w:pos="1800"/>
        </w:tabs>
        <w:ind w:left="1800" w:right="849"/>
      </w:pPr>
      <w:r>
        <w:t>In applying the requirements of FAM 905.10, with respect to significant assumptions,</w:t>
      </w:r>
      <w:r>
        <w:rPr>
          <w:spacing w:val="-5"/>
        </w:rPr>
        <w:t xml:space="preserve"> </w:t>
      </w:r>
      <w:r>
        <w:t>the</w:t>
      </w:r>
      <w:r>
        <w:rPr>
          <w:spacing w:val="-5"/>
        </w:rPr>
        <w:t xml:space="preserve"> </w:t>
      </w:r>
      <w:r>
        <w:t>auditor’s</w:t>
      </w:r>
      <w:r>
        <w:rPr>
          <w:spacing w:val="-5"/>
        </w:rPr>
        <w:t xml:space="preserve"> </w:t>
      </w:r>
      <w:r>
        <w:t>further</w:t>
      </w:r>
      <w:r>
        <w:rPr>
          <w:spacing w:val="-5"/>
        </w:rPr>
        <w:t xml:space="preserve"> </w:t>
      </w:r>
      <w:r>
        <w:t>audit</w:t>
      </w:r>
      <w:r>
        <w:rPr>
          <w:spacing w:val="-5"/>
        </w:rPr>
        <w:t xml:space="preserve"> </w:t>
      </w:r>
      <w:r>
        <w:t>procedures</w:t>
      </w:r>
      <w:r>
        <w:rPr>
          <w:spacing w:val="-5"/>
        </w:rPr>
        <w:t xml:space="preserve"> </w:t>
      </w:r>
      <w:r>
        <w:t>should</w:t>
      </w:r>
      <w:r>
        <w:rPr>
          <w:spacing w:val="-5"/>
        </w:rPr>
        <w:t xml:space="preserve"> </w:t>
      </w:r>
      <w:r>
        <w:t>address</w:t>
      </w:r>
      <w:r>
        <w:rPr>
          <w:spacing w:val="-5"/>
        </w:rPr>
        <w:t xml:space="preserve"> </w:t>
      </w:r>
      <w:r>
        <w:t>the</w:t>
      </w:r>
      <w:r>
        <w:rPr>
          <w:spacing w:val="-5"/>
        </w:rPr>
        <w:t xml:space="preserve"> </w:t>
      </w:r>
      <w:r>
        <w:t>following (AU-C 540.23):</w:t>
      </w:r>
    </w:p>
    <w:p w14:paraId="0DFDC2CF" w14:textId="77777777" w:rsidR="00046465" w:rsidRDefault="008134EB">
      <w:pPr>
        <w:pStyle w:val="ListParagraph"/>
        <w:numPr>
          <w:ilvl w:val="1"/>
          <w:numId w:val="118"/>
        </w:numPr>
        <w:tabs>
          <w:tab w:val="left" w:pos="2159"/>
        </w:tabs>
        <w:spacing w:before="119"/>
        <w:ind w:right="1257"/>
      </w:pPr>
      <w:r>
        <w:t>whether</w:t>
      </w:r>
      <w:r>
        <w:rPr>
          <w:spacing w:val="-4"/>
        </w:rPr>
        <w:t xml:space="preserve"> </w:t>
      </w:r>
      <w:r>
        <w:t>the</w:t>
      </w:r>
      <w:r>
        <w:rPr>
          <w:spacing w:val="-4"/>
        </w:rPr>
        <w:t xml:space="preserve"> </w:t>
      </w:r>
      <w:r>
        <w:t>significant</w:t>
      </w:r>
      <w:r>
        <w:rPr>
          <w:spacing w:val="-4"/>
        </w:rPr>
        <w:t xml:space="preserve"> </w:t>
      </w:r>
      <w:r>
        <w:t>assumptions</w:t>
      </w:r>
      <w:r>
        <w:rPr>
          <w:spacing w:val="-5"/>
        </w:rPr>
        <w:t xml:space="preserve"> </w:t>
      </w:r>
      <w:r>
        <w:t>are</w:t>
      </w:r>
      <w:r>
        <w:rPr>
          <w:spacing w:val="-4"/>
        </w:rPr>
        <w:t xml:space="preserve"> </w:t>
      </w:r>
      <w:r>
        <w:t>appropriate</w:t>
      </w:r>
      <w:r>
        <w:rPr>
          <w:spacing w:val="-4"/>
        </w:rPr>
        <w:t xml:space="preserve"> </w:t>
      </w:r>
      <w:r>
        <w:t>in</w:t>
      </w:r>
      <w:r>
        <w:rPr>
          <w:spacing w:val="-4"/>
        </w:rPr>
        <w:t xml:space="preserve"> </w:t>
      </w:r>
      <w:r>
        <w:t>the</w:t>
      </w:r>
      <w:r>
        <w:rPr>
          <w:spacing w:val="-4"/>
        </w:rPr>
        <w:t xml:space="preserve"> </w:t>
      </w:r>
      <w:r>
        <w:t>context</w:t>
      </w:r>
      <w:r>
        <w:rPr>
          <w:spacing w:val="-4"/>
        </w:rPr>
        <w:t xml:space="preserve"> </w:t>
      </w:r>
      <w:r>
        <w:t>of</w:t>
      </w:r>
      <w:r>
        <w:rPr>
          <w:spacing w:val="-4"/>
        </w:rPr>
        <w:t xml:space="preserve"> </w:t>
      </w:r>
      <w:r>
        <w:t>the applicable financial reporting framework (generally U.S. GAAP) and, if applicable, changes from prior periods are appropriate;</w:t>
      </w:r>
    </w:p>
    <w:p w14:paraId="0DFDC2D0" w14:textId="77777777" w:rsidR="00046465" w:rsidRDefault="008134EB">
      <w:pPr>
        <w:pStyle w:val="ListParagraph"/>
        <w:numPr>
          <w:ilvl w:val="1"/>
          <w:numId w:val="118"/>
        </w:numPr>
        <w:tabs>
          <w:tab w:val="left" w:pos="2160"/>
        </w:tabs>
        <w:spacing w:before="121"/>
        <w:ind w:left="2160" w:right="818"/>
      </w:pPr>
      <w:r>
        <w:t>whether</w:t>
      </w:r>
      <w:r>
        <w:rPr>
          <w:spacing w:val="-4"/>
        </w:rPr>
        <w:t xml:space="preserve"> </w:t>
      </w:r>
      <w:r>
        <w:t>judgments</w:t>
      </w:r>
      <w:r>
        <w:rPr>
          <w:spacing w:val="-4"/>
        </w:rPr>
        <w:t xml:space="preserve"> </w:t>
      </w:r>
      <w:r>
        <w:t>made</w:t>
      </w:r>
      <w:r>
        <w:rPr>
          <w:spacing w:val="-4"/>
        </w:rPr>
        <w:t xml:space="preserve"> </w:t>
      </w:r>
      <w:r>
        <w:t>in</w:t>
      </w:r>
      <w:r>
        <w:rPr>
          <w:spacing w:val="-4"/>
        </w:rPr>
        <w:t xml:space="preserve"> </w:t>
      </w:r>
      <w:r>
        <w:t>selecting</w:t>
      </w:r>
      <w:r>
        <w:rPr>
          <w:spacing w:val="-4"/>
        </w:rPr>
        <w:t xml:space="preserve"> </w:t>
      </w:r>
      <w:r>
        <w:t>the</w:t>
      </w:r>
      <w:r>
        <w:rPr>
          <w:spacing w:val="-4"/>
        </w:rPr>
        <w:t xml:space="preserve"> </w:t>
      </w:r>
      <w:r>
        <w:t>significant</w:t>
      </w:r>
      <w:r>
        <w:rPr>
          <w:spacing w:val="-4"/>
        </w:rPr>
        <w:t xml:space="preserve"> </w:t>
      </w:r>
      <w:r>
        <w:t>assumptions</w:t>
      </w:r>
      <w:r>
        <w:rPr>
          <w:spacing w:val="-4"/>
        </w:rPr>
        <w:t xml:space="preserve"> </w:t>
      </w:r>
      <w:r>
        <w:t>give</w:t>
      </w:r>
      <w:r>
        <w:rPr>
          <w:spacing w:val="-5"/>
        </w:rPr>
        <w:t xml:space="preserve"> </w:t>
      </w:r>
      <w:r>
        <w:t>rise</w:t>
      </w:r>
      <w:r>
        <w:rPr>
          <w:spacing w:val="-4"/>
        </w:rPr>
        <w:t xml:space="preserve"> </w:t>
      </w:r>
      <w:r>
        <w:t>to indicators of possible management bias;</w:t>
      </w:r>
    </w:p>
    <w:p w14:paraId="0DFDC2D1" w14:textId="77777777" w:rsidR="00046465" w:rsidRDefault="008134EB">
      <w:pPr>
        <w:pStyle w:val="ListParagraph"/>
        <w:numPr>
          <w:ilvl w:val="1"/>
          <w:numId w:val="118"/>
        </w:numPr>
        <w:tabs>
          <w:tab w:val="left" w:pos="2160"/>
        </w:tabs>
        <w:spacing w:before="119"/>
        <w:ind w:left="2160" w:right="930"/>
      </w:pPr>
      <w:r>
        <w:t>whether</w:t>
      </w:r>
      <w:r>
        <w:rPr>
          <w:spacing w:val="-4"/>
        </w:rPr>
        <w:t xml:space="preserve"> </w:t>
      </w:r>
      <w:r>
        <w:t>the</w:t>
      </w:r>
      <w:r>
        <w:rPr>
          <w:spacing w:val="-4"/>
        </w:rPr>
        <w:t xml:space="preserve"> </w:t>
      </w:r>
      <w:r>
        <w:t>significant</w:t>
      </w:r>
      <w:r>
        <w:rPr>
          <w:spacing w:val="-4"/>
        </w:rPr>
        <w:t xml:space="preserve"> </w:t>
      </w:r>
      <w:r>
        <w:t>assumptions</w:t>
      </w:r>
      <w:r>
        <w:rPr>
          <w:spacing w:val="-5"/>
        </w:rPr>
        <w:t xml:space="preserve"> </w:t>
      </w:r>
      <w:r>
        <w:t>are</w:t>
      </w:r>
      <w:r>
        <w:rPr>
          <w:spacing w:val="-4"/>
        </w:rPr>
        <w:t xml:space="preserve"> </w:t>
      </w:r>
      <w:r>
        <w:t>consistent</w:t>
      </w:r>
      <w:r>
        <w:rPr>
          <w:spacing w:val="-4"/>
        </w:rPr>
        <w:t xml:space="preserve"> </w:t>
      </w:r>
      <w:r>
        <w:t>with</w:t>
      </w:r>
      <w:r>
        <w:rPr>
          <w:spacing w:val="-4"/>
        </w:rPr>
        <w:t xml:space="preserve"> </w:t>
      </w:r>
      <w:r>
        <w:t>each</w:t>
      </w:r>
      <w:r>
        <w:rPr>
          <w:spacing w:val="-5"/>
        </w:rPr>
        <w:t xml:space="preserve"> </w:t>
      </w:r>
      <w:r>
        <w:t>other</w:t>
      </w:r>
      <w:r>
        <w:rPr>
          <w:spacing w:val="-4"/>
        </w:rPr>
        <w:t xml:space="preserve"> </w:t>
      </w:r>
      <w:r>
        <w:t>and</w:t>
      </w:r>
      <w:r>
        <w:rPr>
          <w:spacing w:val="-4"/>
        </w:rPr>
        <w:t xml:space="preserve"> </w:t>
      </w:r>
      <w:r>
        <w:t>with those</w:t>
      </w:r>
      <w:r>
        <w:rPr>
          <w:spacing w:val="-3"/>
        </w:rPr>
        <w:t xml:space="preserve"> </w:t>
      </w:r>
      <w:r>
        <w:t>used</w:t>
      </w:r>
      <w:r>
        <w:rPr>
          <w:spacing w:val="-3"/>
        </w:rPr>
        <w:t xml:space="preserve"> </w:t>
      </w:r>
      <w:r>
        <w:t>in</w:t>
      </w:r>
      <w:r>
        <w:rPr>
          <w:spacing w:val="-3"/>
        </w:rPr>
        <w:t xml:space="preserve"> </w:t>
      </w:r>
      <w:r>
        <w:t>other</w:t>
      </w:r>
      <w:r>
        <w:rPr>
          <w:spacing w:val="-3"/>
        </w:rPr>
        <w:t xml:space="preserve"> </w:t>
      </w:r>
      <w:r>
        <w:t>accounting</w:t>
      </w:r>
      <w:r>
        <w:rPr>
          <w:spacing w:val="-3"/>
        </w:rPr>
        <w:t xml:space="preserve"> </w:t>
      </w:r>
      <w:r>
        <w:t>estimates,</w:t>
      </w:r>
      <w:r>
        <w:rPr>
          <w:spacing w:val="-3"/>
        </w:rPr>
        <w:t xml:space="preserve"> </w:t>
      </w:r>
      <w:r>
        <w:t>or</w:t>
      </w:r>
      <w:r>
        <w:rPr>
          <w:spacing w:val="-3"/>
        </w:rPr>
        <w:t xml:space="preserve"> </w:t>
      </w:r>
      <w:r>
        <w:t>with</w:t>
      </w:r>
      <w:r>
        <w:rPr>
          <w:spacing w:val="-4"/>
        </w:rPr>
        <w:t xml:space="preserve"> </w:t>
      </w:r>
      <w:r>
        <w:t>related</w:t>
      </w:r>
      <w:r>
        <w:rPr>
          <w:spacing w:val="-3"/>
        </w:rPr>
        <w:t xml:space="preserve"> </w:t>
      </w:r>
      <w:r>
        <w:t>assumptions</w:t>
      </w:r>
      <w:r>
        <w:rPr>
          <w:spacing w:val="-3"/>
        </w:rPr>
        <w:t xml:space="preserve"> </w:t>
      </w:r>
      <w:r>
        <w:t>used in other areas of the entity’s activities, based on the auditor’s knowledge obtained in the audit; and</w:t>
      </w:r>
    </w:p>
    <w:p w14:paraId="0DFDC2D2" w14:textId="77777777" w:rsidR="00046465" w:rsidRDefault="008134EB">
      <w:pPr>
        <w:pStyle w:val="ListParagraph"/>
        <w:numPr>
          <w:ilvl w:val="1"/>
          <w:numId w:val="118"/>
        </w:numPr>
        <w:tabs>
          <w:tab w:val="left" w:pos="2160"/>
        </w:tabs>
        <w:spacing w:before="121"/>
        <w:ind w:left="2160" w:right="1111"/>
      </w:pPr>
      <w:r>
        <w:t>when</w:t>
      </w:r>
      <w:r>
        <w:rPr>
          <w:spacing w:val="-4"/>
        </w:rPr>
        <w:t xml:space="preserve"> </w:t>
      </w:r>
      <w:r>
        <w:t>applicable,</w:t>
      </w:r>
      <w:r>
        <w:rPr>
          <w:spacing w:val="-4"/>
        </w:rPr>
        <w:t xml:space="preserve"> </w:t>
      </w:r>
      <w:r>
        <w:t>whether</w:t>
      </w:r>
      <w:r>
        <w:rPr>
          <w:spacing w:val="-4"/>
        </w:rPr>
        <w:t xml:space="preserve"> </w:t>
      </w:r>
      <w:r>
        <w:t>management</w:t>
      </w:r>
      <w:r>
        <w:rPr>
          <w:spacing w:val="-4"/>
        </w:rPr>
        <w:t xml:space="preserve"> </w:t>
      </w:r>
      <w:r>
        <w:t>has</w:t>
      </w:r>
      <w:r>
        <w:rPr>
          <w:spacing w:val="-4"/>
        </w:rPr>
        <w:t xml:space="preserve"> </w:t>
      </w:r>
      <w:r>
        <w:t>the</w:t>
      </w:r>
      <w:r>
        <w:rPr>
          <w:spacing w:val="-4"/>
        </w:rPr>
        <w:t xml:space="preserve"> </w:t>
      </w:r>
      <w:r>
        <w:t>intent</w:t>
      </w:r>
      <w:r>
        <w:rPr>
          <w:spacing w:val="-4"/>
        </w:rPr>
        <w:t xml:space="preserve"> </w:t>
      </w:r>
      <w:r>
        <w:t>to</w:t>
      </w:r>
      <w:r>
        <w:rPr>
          <w:spacing w:val="-4"/>
        </w:rPr>
        <w:t xml:space="preserve"> </w:t>
      </w:r>
      <w:r>
        <w:t>carry</w:t>
      </w:r>
      <w:r>
        <w:rPr>
          <w:spacing w:val="-4"/>
        </w:rPr>
        <w:t xml:space="preserve"> </w:t>
      </w:r>
      <w:r>
        <w:t>out</w:t>
      </w:r>
      <w:r>
        <w:rPr>
          <w:spacing w:val="-4"/>
        </w:rPr>
        <w:t xml:space="preserve"> </w:t>
      </w:r>
      <w:r>
        <w:t>specific courses of action and has the ability to do so.</w:t>
      </w:r>
    </w:p>
    <w:p w14:paraId="0DFDC2D3" w14:textId="77777777" w:rsidR="00046465" w:rsidRDefault="008134EB">
      <w:pPr>
        <w:pStyle w:val="ListParagraph"/>
        <w:numPr>
          <w:ilvl w:val="0"/>
          <w:numId w:val="118"/>
        </w:numPr>
        <w:tabs>
          <w:tab w:val="left" w:pos="1800"/>
        </w:tabs>
        <w:spacing w:before="119"/>
        <w:ind w:left="1800" w:right="1006"/>
      </w:pPr>
      <w:r>
        <w:t>In</w:t>
      </w:r>
      <w:r>
        <w:rPr>
          <w:spacing w:val="-3"/>
        </w:rPr>
        <w:t xml:space="preserve"> </w:t>
      </w:r>
      <w:r>
        <w:t>applying</w:t>
      </w:r>
      <w:r>
        <w:rPr>
          <w:spacing w:val="-3"/>
        </w:rPr>
        <w:t xml:space="preserve"> </w:t>
      </w:r>
      <w:r>
        <w:t>the</w:t>
      </w:r>
      <w:r>
        <w:rPr>
          <w:spacing w:val="-3"/>
        </w:rPr>
        <w:t xml:space="preserve"> </w:t>
      </w:r>
      <w:r>
        <w:t>requirements</w:t>
      </w:r>
      <w:r>
        <w:rPr>
          <w:spacing w:val="-3"/>
        </w:rPr>
        <w:t xml:space="preserve"> </w:t>
      </w:r>
      <w:r>
        <w:t>of</w:t>
      </w:r>
      <w:r>
        <w:rPr>
          <w:spacing w:val="-3"/>
        </w:rPr>
        <w:t xml:space="preserve"> </w:t>
      </w:r>
      <w:r>
        <w:t>FAM</w:t>
      </w:r>
      <w:r>
        <w:rPr>
          <w:spacing w:val="-4"/>
        </w:rPr>
        <w:t xml:space="preserve"> </w:t>
      </w:r>
      <w:r>
        <w:t>905.10,</w:t>
      </w:r>
      <w:r>
        <w:rPr>
          <w:spacing w:val="-3"/>
        </w:rPr>
        <w:t xml:space="preserve"> </w:t>
      </w:r>
      <w:r>
        <w:t>with</w:t>
      </w:r>
      <w:r>
        <w:rPr>
          <w:spacing w:val="-3"/>
        </w:rPr>
        <w:t xml:space="preserve"> </w:t>
      </w:r>
      <w:r>
        <w:t>respect</w:t>
      </w:r>
      <w:r>
        <w:rPr>
          <w:spacing w:val="-3"/>
        </w:rPr>
        <w:t xml:space="preserve"> </w:t>
      </w:r>
      <w:r>
        <w:t>to</w:t>
      </w:r>
      <w:r>
        <w:rPr>
          <w:spacing w:val="-4"/>
        </w:rPr>
        <w:t xml:space="preserve"> </w:t>
      </w:r>
      <w:r>
        <w:t>data,</w:t>
      </w:r>
      <w:r>
        <w:rPr>
          <w:spacing w:val="-3"/>
        </w:rPr>
        <w:t xml:space="preserve"> </w:t>
      </w:r>
      <w:r>
        <w:t>the</w:t>
      </w:r>
      <w:r>
        <w:rPr>
          <w:spacing w:val="-3"/>
        </w:rPr>
        <w:t xml:space="preserve"> </w:t>
      </w:r>
      <w:r>
        <w:t>auditor’s further audit procedures should address the following (AU-C 540.24):</w:t>
      </w:r>
    </w:p>
    <w:p w14:paraId="0DFDC2D4" w14:textId="77777777" w:rsidR="00046465" w:rsidRDefault="008134EB">
      <w:pPr>
        <w:pStyle w:val="ListParagraph"/>
        <w:numPr>
          <w:ilvl w:val="1"/>
          <w:numId w:val="118"/>
        </w:numPr>
        <w:tabs>
          <w:tab w:val="left" w:pos="2160"/>
        </w:tabs>
        <w:spacing w:before="121"/>
        <w:ind w:left="2160" w:right="893"/>
      </w:pPr>
      <w:r>
        <w:t>whether the data are appropriate in the context of the applicable financial reporting</w:t>
      </w:r>
      <w:r>
        <w:rPr>
          <w:spacing w:val="-5"/>
        </w:rPr>
        <w:t xml:space="preserve"> </w:t>
      </w:r>
      <w:r>
        <w:t>framework</w:t>
      </w:r>
      <w:r>
        <w:rPr>
          <w:spacing w:val="-5"/>
        </w:rPr>
        <w:t xml:space="preserve"> </w:t>
      </w:r>
      <w:r>
        <w:t>(generally</w:t>
      </w:r>
      <w:r>
        <w:rPr>
          <w:spacing w:val="-5"/>
        </w:rPr>
        <w:t xml:space="preserve"> </w:t>
      </w:r>
      <w:r>
        <w:t>U.S.</w:t>
      </w:r>
      <w:r>
        <w:rPr>
          <w:spacing w:val="-6"/>
        </w:rPr>
        <w:t xml:space="preserve"> </w:t>
      </w:r>
      <w:r>
        <w:t>GAAP),</w:t>
      </w:r>
      <w:r>
        <w:rPr>
          <w:spacing w:val="-5"/>
        </w:rPr>
        <w:t xml:space="preserve"> </w:t>
      </w:r>
      <w:r>
        <w:t>and</w:t>
      </w:r>
      <w:r>
        <w:rPr>
          <w:spacing w:val="-4"/>
        </w:rPr>
        <w:t xml:space="preserve"> </w:t>
      </w:r>
      <w:r>
        <w:t>if</w:t>
      </w:r>
      <w:r>
        <w:rPr>
          <w:spacing w:val="-5"/>
        </w:rPr>
        <w:t xml:space="preserve"> </w:t>
      </w:r>
      <w:r>
        <w:t>applicable,</w:t>
      </w:r>
      <w:r>
        <w:rPr>
          <w:spacing w:val="-5"/>
        </w:rPr>
        <w:t xml:space="preserve"> </w:t>
      </w:r>
      <w:r>
        <w:t>changes</w:t>
      </w:r>
      <w:r>
        <w:rPr>
          <w:spacing w:val="-5"/>
        </w:rPr>
        <w:t xml:space="preserve"> </w:t>
      </w:r>
      <w:r>
        <w:t>from prior periods are appropriate;</w:t>
      </w:r>
    </w:p>
    <w:p w14:paraId="0DFDC2D5" w14:textId="77777777" w:rsidR="00046465" w:rsidRDefault="00046465">
      <w:pPr>
        <w:pStyle w:val="ListParagraph"/>
        <w:sectPr w:rsidR="00046465">
          <w:pgSz w:w="12240" w:h="15840"/>
          <w:pgMar w:top="1340" w:right="720" w:bottom="1020" w:left="1080" w:header="721" w:footer="757" w:gutter="0"/>
          <w:cols w:space="720"/>
        </w:sectPr>
      </w:pPr>
    </w:p>
    <w:p w14:paraId="0DFDC2D6" w14:textId="77777777" w:rsidR="00046465" w:rsidRDefault="008134EB">
      <w:pPr>
        <w:pStyle w:val="ListParagraph"/>
        <w:numPr>
          <w:ilvl w:val="1"/>
          <w:numId w:val="118"/>
        </w:numPr>
        <w:tabs>
          <w:tab w:val="left" w:pos="2159"/>
        </w:tabs>
        <w:spacing w:before="121"/>
        <w:ind w:right="1417"/>
      </w:pPr>
      <w:r>
        <w:lastRenderedPageBreak/>
        <w:t>whether</w:t>
      </w:r>
      <w:r>
        <w:rPr>
          <w:spacing w:val="-4"/>
        </w:rPr>
        <w:t xml:space="preserve"> </w:t>
      </w:r>
      <w:r>
        <w:t>judgments</w:t>
      </w:r>
      <w:r>
        <w:rPr>
          <w:spacing w:val="-4"/>
        </w:rPr>
        <w:t xml:space="preserve"> </w:t>
      </w:r>
      <w:r>
        <w:t>made</w:t>
      </w:r>
      <w:r>
        <w:rPr>
          <w:spacing w:val="-4"/>
        </w:rPr>
        <w:t xml:space="preserve"> </w:t>
      </w:r>
      <w:r>
        <w:t>in</w:t>
      </w:r>
      <w:r>
        <w:rPr>
          <w:spacing w:val="-4"/>
        </w:rPr>
        <w:t xml:space="preserve"> </w:t>
      </w:r>
      <w:r>
        <w:t>selecting</w:t>
      </w:r>
      <w:r>
        <w:rPr>
          <w:spacing w:val="-4"/>
        </w:rPr>
        <w:t xml:space="preserve"> </w:t>
      </w:r>
      <w:r>
        <w:t>the</w:t>
      </w:r>
      <w:r>
        <w:rPr>
          <w:spacing w:val="-4"/>
        </w:rPr>
        <w:t xml:space="preserve"> </w:t>
      </w:r>
      <w:r>
        <w:t>data</w:t>
      </w:r>
      <w:r>
        <w:rPr>
          <w:spacing w:val="-4"/>
        </w:rPr>
        <w:t xml:space="preserve"> </w:t>
      </w:r>
      <w:r>
        <w:t>give</w:t>
      </w:r>
      <w:r>
        <w:rPr>
          <w:spacing w:val="-4"/>
        </w:rPr>
        <w:t xml:space="preserve"> </w:t>
      </w:r>
      <w:r>
        <w:t>rise</w:t>
      </w:r>
      <w:r>
        <w:rPr>
          <w:spacing w:val="-4"/>
        </w:rPr>
        <w:t xml:space="preserve"> </w:t>
      </w:r>
      <w:r>
        <w:t>to</w:t>
      </w:r>
      <w:r>
        <w:rPr>
          <w:spacing w:val="-5"/>
        </w:rPr>
        <w:t xml:space="preserve"> </w:t>
      </w:r>
      <w:r>
        <w:t>indicators</w:t>
      </w:r>
      <w:r>
        <w:rPr>
          <w:spacing w:val="-4"/>
        </w:rPr>
        <w:t xml:space="preserve"> </w:t>
      </w:r>
      <w:r>
        <w:t>of possible management bias;</w:t>
      </w:r>
    </w:p>
    <w:p w14:paraId="0DFDC2D7" w14:textId="77777777" w:rsidR="00046465" w:rsidRDefault="008134EB">
      <w:pPr>
        <w:pStyle w:val="ListParagraph"/>
        <w:numPr>
          <w:ilvl w:val="1"/>
          <w:numId w:val="118"/>
        </w:numPr>
        <w:tabs>
          <w:tab w:val="left" w:pos="2159"/>
        </w:tabs>
        <w:ind w:hanging="359"/>
      </w:pPr>
      <w:r>
        <w:t>whether</w:t>
      </w:r>
      <w:r>
        <w:rPr>
          <w:spacing w:val="-7"/>
        </w:rPr>
        <w:t xml:space="preserve"> </w:t>
      </w:r>
      <w:r>
        <w:t>the</w:t>
      </w:r>
      <w:r>
        <w:rPr>
          <w:spacing w:val="-6"/>
        </w:rPr>
        <w:t xml:space="preserve"> </w:t>
      </w:r>
      <w:r>
        <w:t>data</w:t>
      </w:r>
      <w:r>
        <w:rPr>
          <w:spacing w:val="-6"/>
        </w:rPr>
        <w:t xml:space="preserve"> </w:t>
      </w:r>
      <w:r>
        <w:t>are</w:t>
      </w:r>
      <w:r>
        <w:rPr>
          <w:spacing w:val="-6"/>
        </w:rPr>
        <w:t xml:space="preserve"> </w:t>
      </w:r>
      <w:r>
        <w:t>relevant</w:t>
      </w:r>
      <w:r>
        <w:rPr>
          <w:spacing w:val="-7"/>
        </w:rPr>
        <w:t xml:space="preserve"> </w:t>
      </w:r>
      <w:r>
        <w:t>and</w:t>
      </w:r>
      <w:r>
        <w:rPr>
          <w:spacing w:val="-6"/>
        </w:rPr>
        <w:t xml:space="preserve"> </w:t>
      </w:r>
      <w:r>
        <w:t>reliable</w:t>
      </w:r>
      <w:r>
        <w:rPr>
          <w:spacing w:val="-6"/>
        </w:rPr>
        <w:t xml:space="preserve"> </w:t>
      </w:r>
      <w:r>
        <w:t>in</w:t>
      </w:r>
      <w:r>
        <w:rPr>
          <w:spacing w:val="-6"/>
        </w:rPr>
        <w:t xml:space="preserve"> </w:t>
      </w:r>
      <w:r>
        <w:t>the</w:t>
      </w:r>
      <w:r>
        <w:rPr>
          <w:spacing w:val="-8"/>
        </w:rPr>
        <w:t xml:space="preserve"> </w:t>
      </w:r>
      <w:r>
        <w:t>circumstances;</w:t>
      </w:r>
      <w:r>
        <w:rPr>
          <w:spacing w:val="-6"/>
        </w:rPr>
        <w:t xml:space="preserve"> </w:t>
      </w:r>
      <w:r>
        <w:rPr>
          <w:spacing w:val="-5"/>
        </w:rPr>
        <w:t>and</w:t>
      </w:r>
    </w:p>
    <w:p w14:paraId="0DFDC2D8" w14:textId="77777777" w:rsidR="00046465" w:rsidRDefault="008134EB">
      <w:pPr>
        <w:pStyle w:val="ListParagraph"/>
        <w:numPr>
          <w:ilvl w:val="1"/>
          <w:numId w:val="118"/>
        </w:numPr>
        <w:tabs>
          <w:tab w:val="left" w:pos="2159"/>
        </w:tabs>
        <w:spacing w:before="119"/>
        <w:ind w:right="1393"/>
      </w:pPr>
      <w:r>
        <w:t>whether</w:t>
      </w:r>
      <w:r>
        <w:rPr>
          <w:spacing w:val="-5"/>
        </w:rPr>
        <w:t xml:space="preserve"> </w:t>
      </w:r>
      <w:r>
        <w:t>the</w:t>
      </w:r>
      <w:r>
        <w:rPr>
          <w:spacing w:val="-5"/>
        </w:rPr>
        <w:t xml:space="preserve"> </w:t>
      </w:r>
      <w:r>
        <w:t>data</w:t>
      </w:r>
      <w:r>
        <w:rPr>
          <w:spacing w:val="-5"/>
        </w:rPr>
        <w:t xml:space="preserve"> </w:t>
      </w:r>
      <w:r>
        <w:t>have</w:t>
      </w:r>
      <w:r>
        <w:rPr>
          <w:spacing w:val="-5"/>
        </w:rPr>
        <w:t xml:space="preserve"> </w:t>
      </w:r>
      <w:r>
        <w:t>been</w:t>
      </w:r>
      <w:r>
        <w:rPr>
          <w:spacing w:val="-5"/>
        </w:rPr>
        <w:t xml:space="preserve"> </w:t>
      </w:r>
      <w:r>
        <w:t>appropriately</w:t>
      </w:r>
      <w:r>
        <w:rPr>
          <w:spacing w:val="-5"/>
        </w:rPr>
        <w:t xml:space="preserve"> </w:t>
      </w:r>
      <w:r>
        <w:t>understood</w:t>
      </w:r>
      <w:r>
        <w:rPr>
          <w:spacing w:val="-5"/>
        </w:rPr>
        <w:t xml:space="preserve"> </w:t>
      </w:r>
      <w:r>
        <w:t>or</w:t>
      </w:r>
      <w:r>
        <w:rPr>
          <w:spacing w:val="-5"/>
        </w:rPr>
        <w:t xml:space="preserve"> </w:t>
      </w:r>
      <w:r>
        <w:t>interpreted</w:t>
      </w:r>
      <w:r>
        <w:rPr>
          <w:spacing w:val="-5"/>
        </w:rPr>
        <w:t xml:space="preserve"> </w:t>
      </w:r>
      <w:r>
        <w:t>by management, including with respect to contractual terms.</w:t>
      </w:r>
    </w:p>
    <w:p w14:paraId="0DFDC2D9" w14:textId="77777777" w:rsidR="00046465" w:rsidRDefault="008134EB">
      <w:pPr>
        <w:pStyle w:val="ListParagraph"/>
        <w:numPr>
          <w:ilvl w:val="0"/>
          <w:numId w:val="118"/>
        </w:numPr>
        <w:tabs>
          <w:tab w:val="left" w:pos="1799"/>
        </w:tabs>
        <w:spacing w:before="121"/>
        <w:ind w:right="825"/>
      </w:pPr>
      <w:r>
        <w:t>In applying the requirements of FAM 905.10, the auditor’s further audit procedures should address whether, in the context of the applicable financial reporting</w:t>
      </w:r>
      <w:r>
        <w:rPr>
          <w:spacing w:val="-5"/>
        </w:rPr>
        <w:t xml:space="preserve"> </w:t>
      </w:r>
      <w:r>
        <w:t>framework</w:t>
      </w:r>
      <w:r>
        <w:rPr>
          <w:spacing w:val="-5"/>
        </w:rPr>
        <w:t xml:space="preserve"> </w:t>
      </w:r>
      <w:r>
        <w:t>(generally</w:t>
      </w:r>
      <w:r>
        <w:rPr>
          <w:spacing w:val="-5"/>
        </w:rPr>
        <w:t xml:space="preserve"> </w:t>
      </w:r>
      <w:r>
        <w:t>U.S.</w:t>
      </w:r>
      <w:r>
        <w:rPr>
          <w:spacing w:val="-6"/>
        </w:rPr>
        <w:t xml:space="preserve"> </w:t>
      </w:r>
      <w:r>
        <w:t>GAAP),</w:t>
      </w:r>
      <w:r>
        <w:rPr>
          <w:spacing w:val="-4"/>
        </w:rPr>
        <w:t xml:space="preserve"> </w:t>
      </w:r>
      <w:r>
        <w:t>management</w:t>
      </w:r>
      <w:r>
        <w:rPr>
          <w:spacing w:val="-5"/>
        </w:rPr>
        <w:t xml:space="preserve"> </w:t>
      </w:r>
      <w:r>
        <w:t>has</w:t>
      </w:r>
      <w:r>
        <w:rPr>
          <w:spacing w:val="-5"/>
        </w:rPr>
        <w:t xml:space="preserve"> </w:t>
      </w:r>
      <w:r>
        <w:t>taken</w:t>
      </w:r>
      <w:r>
        <w:rPr>
          <w:spacing w:val="-5"/>
        </w:rPr>
        <w:t xml:space="preserve"> </w:t>
      </w:r>
      <w:r>
        <w:t>appropriate steps to</w:t>
      </w:r>
    </w:p>
    <w:p w14:paraId="0DFDC2DA" w14:textId="77777777" w:rsidR="00046465" w:rsidRDefault="008134EB">
      <w:pPr>
        <w:pStyle w:val="ListParagraph"/>
        <w:numPr>
          <w:ilvl w:val="1"/>
          <w:numId w:val="118"/>
        </w:numPr>
        <w:tabs>
          <w:tab w:val="left" w:pos="2158"/>
        </w:tabs>
        <w:spacing w:before="119"/>
        <w:ind w:left="2158" w:hanging="359"/>
      </w:pPr>
      <w:r>
        <w:t>understand</w:t>
      </w:r>
      <w:r>
        <w:rPr>
          <w:spacing w:val="-13"/>
        </w:rPr>
        <w:t xml:space="preserve"> </w:t>
      </w:r>
      <w:r>
        <w:t>estimation</w:t>
      </w:r>
      <w:r>
        <w:rPr>
          <w:spacing w:val="-11"/>
        </w:rPr>
        <w:t xml:space="preserve"> </w:t>
      </w:r>
      <w:r>
        <w:t>uncertainty</w:t>
      </w:r>
      <w:r>
        <w:rPr>
          <w:spacing w:val="-11"/>
        </w:rPr>
        <w:t xml:space="preserve"> </w:t>
      </w:r>
      <w:r>
        <w:rPr>
          <w:spacing w:val="-5"/>
        </w:rPr>
        <w:t>and</w:t>
      </w:r>
    </w:p>
    <w:p w14:paraId="0DFDC2DB" w14:textId="77777777" w:rsidR="00046465" w:rsidRDefault="008134EB">
      <w:pPr>
        <w:pStyle w:val="ListParagraph"/>
        <w:numPr>
          <w:ilvl w:val="1"/>
          <w:numId w:val="118"/>
        </w:numPr>
        <w:tabs>
          <w:tab w:val="left" w:pos="2159"/>
        </w:tabs>
        <w:ind w:right="734"/>
      </w:pPr>
      <w:r>
        <w:t>address</w:t>
      </w:r>
      <w:r>
        <w:rPr>
          <w:spacing w:val="-5"/>
        </w:rPr>
        <w:t xml:space="preserve"> </w:t>
      </w:r>
      <w:r>
        <w:t>estimation</w:t>
      </w:r>
      <w:r>
        <w:rPr>
          <w:spacing w:val="-5"/>
        </w:rPr>
        <w:t xml:space="preserve"> </w:t>
      </w:r>
      <w:r>
        <w:t>uncertainty</w:t>
      </w:r>
      <w:r>
        <w:rPr>
          <w:spacing w:val="-4"/>
        </w:rPr>
        <w:t xml:space="preserve"> </w:t>
      </w:r>
      <w:r>
        <w:t>by</w:t>
      </w:r>
      <w:r>
        <w:rPr>
          <w:spacing w:val="-6"/>
        </w:rPr>
        <w:t xml:space="preserve"> </w:t>
      </w:r>
      <w:r>
        <w:t>selecting</w:t>
      </w:r>
      <w:r>
        <w:rPr>
          <w:spacing w:val="-5"/>
        </w:rPr>
        <w:t xml:space="preserve"> </w:t>
      </w:r>
      <w:r>
        <w:t>an</w:t>
      </w:r>
      <w:r>
        <w:rPr>
          <w:spacing w:val="-5"/>
        </w:rPr>
        <w:t xml:space="preserve"> </w:t>
      </w:r>
      <w:r>
        <w:t>appropriate</w:t>
      </w:r>
      <w:r>
        <w:rPr>
          <w:spacing w:val="-5"/>
        </w:rPr>
        <w:t xml:space="preserve"> </w:t>
      </w:r>
      <w:r>
        <w:t>point</w:t>
      </w:r>
      <w:r>
        <w:rPr>
          <w:spacing w:val="-5"/>
        </w:rPr>
        <w:t xml:space="preserve"> </w:t>
      </w:r>
      <w:r>
        <w:t>estimate</w:t>
      </w:r>
      <w:r>
        <w:rPr>
          <w:spacing w:val="-5"/>
        </w:rPr>
        <w:t xml:space="preserve"> </w:t>
      </w:r>
      <w:r>
        <w:t xml:space="preserve">and by developing related note disclosures about estimation uncertainty (AU-C </w:t>
      </w:r>
      <w:r>
        <w:rPr>
          <w:spacing w:val="-2"/>
        </w:rPr>
        <w:t>540.25).</w:t>
      </w:r>
    </w:p>
    <w:p w14:paraId="0DFDC2DC" w14:textId="77777777" w:rsidR="00046465" w:rsidRDefault="008134EB">
      <w:pPr>
        <w:pStyle w:val="BodyText"/>
        <w:spacing w:before="120"/>
        <w:ind w:left="1799" w:right="749"/>
      </w:pPr>
      <w:r>
        <w:t>Relevant</w:t>
      </w:r>
      <w:r>
        <w:rPr>
          <w:spacing w:val="-6"/>
        </w:rPr>
        <w:t xml:space="preserve"> </w:t>
      </w:r>
      <w:r>
        <w:t>considerations</w:t>
      </w:r>
      <w:r>
        <w:rPr>
          <w:spacing w:val="-7"/>
        </w:rPr>
        <w:t xml:space="preserve"> </w:t>
      </w:r>
      <w:r>
        <w:t>regarding</w:t>
      </w:r>
      <w:r>
        <w:rPr>
          <w:spacing w:val="-6"/>
        </w:rPr>
        <w:t xml:space="preserve"> </w:t>
      </w:r>
      <w:r>
        <w:t>whether</w:t>
      </w:r>
      <w:r>
        <w:rPr>
          <w:spacing w:val="-6"/>
        </w:rPr>
        <w:t xml:space="preserve"> </w:t>
      </w:r>
      <w:r>
        <w:t>management</w:t>
      </w:r>
      <w:r>
        <w:rPr>
          <w:spacing w:val="-6"/>
        </w:rPr>
        <w:t xml:space="preserve"> </w:t>
      </w:r>
      <w:r>
        <w:t>has</w:t>
      </w:r>
      <w:r>
        <w:rPr>
          <w:spacing w:val="-6"/>
        </w:rPr>
        <w:t xml:space="preserve"> </w:t>
      </w:r>
      <w:r>
        <w:t>taken</w:t>
      </w:r>
      <w:r>
        <w:rPr>
          <w:spacing w:val="-6"/>
        </w:rPr>
        <w:t xml:space="preserve"> </w:t>
      </w:r>
      <w:r>
        <w:t>appropriate steps to understand and address estimation uncertainty may include whether management has</w:t>
      </w:r>
    </w:p>
    <w:p w14:paraId="0DFDC2DD" w14:textId="77777777" w:rsidR="00046465" w:rsidRDefault="008134EB">
      <w:pPr>
        <w:pStyle w:val="ListParagraph"/>
        <w:numPr>
          <w:ilvl w:val="2"/>
          <w:numId w:val="118"/>
        </w:numPr>
        <w:tabs>
          <w:tab w:val="left" w:pos="2159"/>
        </w:tabs>
        <w:ind w:left="2159" w:right="844"/>
      </w:pPr>
      <w:r>
        <w:t>understood the estimation uncertainty by identifying the sources and assessing the degree of inherent variability in the measurement outcomes and</w:t>
      </w:r>
      <w:r>
        <w:rPr>
          <w:spacing w:val="-5"/>
        </w:rPr>
        <w:t xml:space="preserve"> </w:t>
      </w:r>
      <w:r>
        <w:t>the</w:t>
      </w:r>
      <w:r>
        <w:rPr>
          <w:spacing w:val="-5"/>
        </w:rPr>
        <w:t xml:space="preserve"> </w:t>
      </w:r>
      <w:r>
        <w:t>resulting</w:t>
      </w:r>
      <w:r>
        <w:rPr>
          <w:spacing w:val="-5"/>
        </w:rPr>
        <w:t xml:space="preserve"> </w:t>
      </w:r>
      <w:r>
        <w:t>range</w:t>
      </w:r>
      <w:r>
        <w:rPr>
          <w:spacing w:val="-5"/>
        </w:rPr>
        <w:t xml:space="preserve"> </w:t>
      </w:r>
      <w:r>
        <w:t>of</w:t>
      </w:r>
      <w:r>
        <w:rPr>
          <w:spacing w:val="-5"/>
        </w:rPr>
        <w:t xml:space="preserve"> </w:t>
      </w:r>
      <w:r>
        <w:t>reasonably</w:t>
      </w:r>
      <w:r>
        <w:rPr>
          <w:spacing w:val="-6"/>
        </w:rPr>
        <w:t xml:space="preserve"> </w:t>
      </w:r>
      <w:r>
        <w:t>possible</w:t>
      </w:r>
      <w:r>
        <w:rPr>
          <w:spacing w:val="-6"/>
        </w:rPr>
        <w:t xml:space="preserve"> </w:t>
      </w:r>
      <w:r>
        <w:t>measurement</w:t>
      </w:r>
      <w:r>
        <w:rPr>
          <w:spacing w:val="-5"/>
        </w:rPr>
        <w:t xml:space="preserve"> </w:t>
      </w:r>
      <w:r>
        <w:t>outcomes</w:t>
      </w:r>
      <w:r>
        <w:rPr>
          <w:spacing w:val="-3"/>
        </w:rPr>
        <w:t xml:space="preserve"> </w:t>
      </w:r>
      <w:r>
        <w:t>(AU-C 540.A109a);</w:t>
      </w:r>
    </w:p>
    <w:p w14:paraId="0DFDC2DE" w14:textId="77777777" w:rsidR="00046465" w:rsidRDefault="008134EB">
      <w:pPr>
        <w:pStyle w:val="ListParagraph"/>
        <w:numPr>
          <w:ilvl w:val="2"/>
          <w:numId w:val="118"/>
        </w:numPr>
        <w:tabs>
          <w:tab w:val="left" w:pos="2159"/>
        </w:tabs>
        <w:spacing w:before="119"/>
        <w:ind w:left="2159" w:right="1100"/>
      </w:pPr>
      <w:r>
        <w:t>identified</w:t>
      </w:r>
      <w:r>
        <w:rPr>
          <w:spacing w:val="-4"/>
        </w:rPr>
        <w:t xml:space="preserve"> </w:t>
      </w:r>
      <w:r>
        <w:t>the</w:t>
      </w:r>
      <w:r>
        <w:rPr>
          <w:spacing w:val="-4"/>
        </w:rPr>
        <w:t xml:space="preserve"> </w:t>
      </w:r>
      <w:r>
        <w:t>degree</w:t>
      </w:r>
      <w:r>
        <w:rPr>
          <w:spacing w:val="-4"/>
        </w:rPr>
        <w:t xml:space="preserve"> </w:t>
      </w:r>
      <w:r>
        <w:t>to</w:t>
      </w:r>
      <w:r>
        <w:rPr>
          <w:spacing w:val="-5"/>
        </w:rPr>
        <w:t xml:space="preserve"> </w:t>
      </w:r>
      <w:r>
        <w:t>which,</w:t>
      </w:r>
      <w:r>
        <w:rPr>
          <w:spacing w:val="-4"/>
        </w:rPr>
        <w:t xml:space="preserve"> </w:t>
      </w:r>
      <w:r>
        <w:t>in</w:t>
      </w:r>
      <w:r>
        <w:rPr>
          <w:spacing w:val="-4"/>
        </w:rPr>
        <w:t xml:space="preserve"> </w:t>
      </w:r>
      <w:r>
        <w:t>the</w:t>
      </w:r>
      <w:r>
        <w:rPr>
          <w:spacing w:val="-5"/>
        </w:rPr>
        <w:t xml:space="preserve"> </w:t>
      </w:r>
      <w:r>
        <w:t>measurement</w:t>
      </w:r>
      <w:r>
        <w:rPr>
          <w:spacing w:val="-4"/>
        </w:rPr>
        <w:t xml:space="preserve"> </w:t>
      </w:r>
      <w:r>
        <w:t>process,</w:t>
      </w:r>
      <w:r>
        <w:rPr>
          <w:spacing w:val="-5"/>
        </w:rPr>
        <w:t xml:space="preserve"> </w:t>
      </w:r>
      <w:r>
        <w:t>complexity</w:t>
      </w:r>
      <w:r>
        <w:rPr>
          <w:spacing w:val="-4"/>
        </w:rPr>
        <w:t xml:space="preserve"> </w:t>
      </w:r>
      <w:r>
        <w:t>or subjectivity affect the risk of material misstatement, and addressed the resulting potential for misstatement by applying</w:t>
      </w:r>
    </w:p>
    <w:p w14:paraId="0DFDC2DF" w14:textId="77777777" w:rsidR="00046465" w:rsidRDefault="008134EB">
      <w:pPr>
        <w:pStyle w:val="ListParagraph"/>
        <w:numPr>
          <w:ilvl w:val="3"/>
          <w:numId w:val="118"/>
        </w:numPr>
        <w:tabs>
          <w:tab w:val="left" w:pos="2518"/>
        </w:tabs>
        <w:spacing w:before="118"/>
        <w:ind w:left="2518" w:hanging="359"/>
      </w:pPr>
      <w:r>
        <w:t>appropriate</w:t>
      </w:r>
      <w:r>
        <w:rPr>
          <w:spacing w:val="-10"/>
        </w:rPr>
        <w:t xml:space="preserve"> </w:t>
      </w:r>
      <w:r>
        <w:t>skills</w:t>
      </w:r>
      <w:r>
        <w:rPr>
          <w:spacing w:val="-8"/>
        </w:rPr>
        <w:t xml:space="preserve"> </w:t>
      </w:r>
      <w:r>
        <w:t>and</w:t>
      </w:r>
      <w:r>
        <w:rPr>
          <w:spacing w:val="-8"/>
        </w:rPr>
        <w:t xml:space="preserve"> </w:t>
      </w:r>
      <w:r>
        <w:t>knowledge</w:t>
      </w:r>
      <w:r>
        <w:rPr>
          <w:spacing w:val="-8"/>
        </w:rPr>
        <w:t xml:space="preserve"> </w:t>
      </w:r>
      <w:r>
        <w:t>in</w:t>
      </w:r>
      <w:r>
        <w:rPr>
          <w:spacing w:val="-10"/>
        </w:rPr>
        <w:t xml:space="preserve"> </w:t>
      </w:r>
      <w:r>
        <w:t>making</w:t>
      </w:r>
      <w:r>
        <w:rPr>
          <w:spacing w:val="-8"/>
        </w:rPr>
        <w:t xml:space="preserve"> </w:t>
      </w:r>
      <w:r>
        <w:t>accounting</w:t>
      </w:r>
      <w:r>
        <w:rPr>
          <w:spacing w:val="-8"/>
        </w:rPr>
        <w:t xml:space="preserve"> </w:t>
      </w:r>
      <w:r>
        <w:t>estimates</w:t>
      </w:r>
      <w:r>
        <w:rPr>
          <w:spacing w:val="-8"/>
        </w:rPr>
        <w:t xml:space="preserve"> </w:t>
      </w:r>
      <w:r>
        <w:rPr>
          <w:spacing w:val="-5"/>
        </w:rPr>
        <w:t>and</w:t>
      </w:r>
    </w:p>
    <w:p w14:paraId="0DFDC2E0" w14:textId="77777777" w:rsidR="00046465" w:rsidRDefault="008134EB">
      <w:pPr>
        <w:pStyle w:val="ListParagraph"/>
        <w:numPr>
          <w:ilvl w:val="3"/>
          <w:numId w:val="118"/>
        </w:numPr>
        <w:tabs>
          <w:tab w:val="left" w:pos="2519"/>
        </w:tabs>
        <w:spacing w:before="113" w:line="223" w:lineRule="auto"/>
        <w:ind w:right="850"/>
      </w:pPr>
      <w:r>
        <w:t>professional</w:t>
      </w:r>
      <w:r>
        <w:rPr>
          <w:spacing w:val="-7"/>
        </w:rPr>
        <w:t xml:space="preserve"> </w:t>
      </w:r>
      <w:r>
        <w:t>judgment,</w:t>
      </w:r>
      <w:r>
        <w:rPr>
          <w:spacing w:val="-6"/>
        </w:rPr>
        <w:t xml:space="preserve"> </w:t>
      </w:r>
      <w:r>
        <w:t>including</w:t>
      </w:r>
      <w:r>
        <w:rPr>
          <w:spacing w:val="-6"/>
        </w:rPr>
        <w:t xml:space="preserve"> </w:t>
      </w:r>
      <w:r>
        <w:t>identifying</w:t>
      </w:r>
      <w:r>
        <w:rPr>
          <w:spacing w:val="-6"/>
        </w:rPr>
        <w:t xml:space="preserve"> </w:t>
      </w:r>
      <w:r>
        <w:t>and</w:t>
      </w:r>
      <w:r>
        <w:rPr>
          <w:spacing w:val="-7"/>
        </w:rPr>
        <w:t xml:space="preserve"> </w:t>
      </w:r>
      <w:r>
        <w:t>addressing</w:t>
      </w:r>
      <w:r>
        <w:rPr>
          <w:spacing w:val="-7"/>
        </w:rPr>
        <w:t xml:space="preserve"> </w:t>
      </w:r>
      <w:r>
        <w:t>susceptibility to management bias (AU-C 540.A109b); and</w:t>
      </w:r>
    </w:p>
    <w:p w14:paraId="0DFDC2E1" w14:textId="77777777" w:rsidR="00046465" w:rsidRDefault="008134EB">
      <w:pPr>
        <w:pStyle w:val="ListParagraph"/>
        <w:numPr>
          <w:ilvl w:val="2"/>
          <w:numId w:val="118"/>
        </w:numPr>
        <w:tabs>
          <w:tab w:val="left" w:pos="2159"/>
        </w:tabs>
        <w:spacing w:before="123"/>
        <w:ind w:left="2159" w:right="843"/>
      </w:pPr>
      <w:r>
        <w:t>developed note disclosures about estimation uncertainty that appropriately describe</w:t>
      </w:r>
      <w:r>
        <w:rPr>
          <w:spacing w:val="-3"/>
        </w:rPr>
        <w:t xml:space="preserve"> </w:t>
      </w:r>
      <w:r>
        <w:t>the</w:t>
      </w:r>
      <w:r>
        <w:rPr>
          <w:spacing w:val="-4"/>
        </w:rPr>
        <w:t xml:space="preserve"> </w:t>
      </w:r>
      <w:r>
        <w:t>amount</w:t>
      </w:r>
      <w:r>
        <w:rPr>
          <w:spacing w:val="-3"/>
        </w:rPr>
        <w:t xml:space="preserve"> </w:t>
      </w:r>
      <w:r>
        <w:t>as</w:t>
      </w:r>
      <w:r>
        <w:rPr>
          <w:spacing w:val="-3"/>
        </w:rPr>
        <w:t xml:space="preserve"> </w:t>
      </w:r>
      <w:r>
        <w:t>an</w:t>
      </w:r>
      <w:r>
        <w:rPr>
          <w:spacing w:val="-3"/>
        </w:rPr>
        <w:t xml:space="preserve"> </w:t>
      </w:r>
      <w:r>
        <w:t>estimate</w:t>
      </w:r>
      <w:r>
        <w:rPr>
          <w:spacing w:val="-3"/>
        </w:rPr>
        <w:t xml:space="preserve"> </w:t>
      </w:r>
      <w:r>
        <w:t>and</w:t>
      </w:r>
      <w:r>
        <w:rPr>
          <w:spacing w:val="-3"/>
        </w:rPr>
        <w:t xml:space="preserve"> </w:t>
      </w:r>
      <w:r>
        <w:t>explain</w:t>
      </w:r>
      <w:r>
        <w:rPr>
          <w:spacing w:val="-4"/>
        </w:rPr>
        <w:t xml:space="preserve"> </w:t>
      </w:r>
      <w:r>
        <w:t>the</w:t>
      </w:r>
      <w:r>
        <w:rPr>
          <w:spacing w:val="-3"/>
        </w:rPr>
        <w:t xml:space="preserve"> </w:t>
      </w:r>
      <w:r>
        <w:t>nature</w:t>
      </w:r>
      <w:r>
        <w:rPr>
          <w:spacing w:val="-3"/>
        </w:rPr>
        <w:t xml:space="preserve"> </w:t>
      </w:r>
      <w:r>
        <w:t>and</w:t>
      </w:r>
      <w:r>
        <w:rPr>
          <w:spacing w:val="-3"/>
        </w:rPr>
        <w:t xml:space="preserve"> </w:t>
      </w:r>
      <w:r>
        <w:t>limitations</w:t>
      </w:r>
      <w:r>
        <w:rPr>
          <w:spacing w:val="-3"/>
        </w:rPr>
        <w:t xml:space="preserve"> </w:t>
      </w:r>
      <w:r>
        <w:t>of the estimation process, including the variability of the reasonably possible measurement outcomes (AU-C 540.A110).</w:t>
      </w:r>
    </w:p>
    <w:p w14:paraId="0DFDC2E2" w14:textId="77777777" w:rsidR="00046465" w:rsidRDefault="008134EB">
      <w:pPr>
        <w:pStyle w:val="ListParagraph"/>
        <w:numPr>
          <w:ilvl w:val="0"/>
          <w:numId w:val="118"/>
        </w:numPr>
        <w:tabs>
          <w:tab w:val="left" w:pos="1797"/>
          <w:tab w:val="left" w:pos="1799"/>
        </w:tabs>
        <w:spacing w:before="118"/>
        <w:ind w:right="1705"/>
        <w:jc w:val="both"/>
      </w:pPr>
      <w:r>
        <w:t>When, in the auditor’s judgment based on the audit evidence obtained, management</w:t>
      </w:r>
      <w:r>
        <w:rPr>
          <w:spacing w:val="-5"/>
        </w:rPr>
        <w:t xml:space="preserve"> </w:t>
      </w:r>
      <w:r>
        <w:t>has</w:t>
      </w:r>
      <w:r>
        <w:rPr>
          <w:spacing w:val="-5"/>
        </w:rPr>
        <w:t xml:space="preserve"> </w:t>
      </w:r>
      <w:r>
        <w:t>not</w:t>
      </w:r>
      <w:r>
        <w:rPr>
          <w:spacing w:val="-5"/>
        </w:rPr>
        <w:t xml:space="preserve"> </w:t>
      </w:r>
      <w:r>
        <w:t>taken</w:t>
      </w:r>
      <w:r>
        <w:rPr>
          <w:spacing w:val="-5"/>
        </w:rPr>
        <w:t xml:space="preserve"> </w:t>
      </w:r>
      <w:r>
        <w:t>appropriate</w:t>
      </w:r>
      <w:r>
        <w:rPr>
          <w:spacing w:val="-5"/>
        </w:rPr>
        <w:t xml:space="preserve"> </w:t>
      </w:r>
      <w:r>
        <w:t>steps</w:t>
      </w:r>
      <w:r>
        <w:rPr>
          <w:spacing w:val="-5"/>
        </w:rPr>
        <w:t xml:space="preserve"> </w:t>
      </w:r>
      <w:r>
        <w:t>to</w:t>
      </w:r>
      <w:r>
        <w:rPr>
          <w:spacing w:val="-6"/>
        </w:rPr>
        <w:t xml:space="preserve"> </w:t>
      </w:r>
      <w:r>
        <w:t>understand</w:t>
      </w:r>
      <w:r>
        <w:rPr>
          <w:spacing w:val="-6"/>
        </w:rPr>
        <w:t xml:space="preserve"> </w:t>
      </w:r>
      <w:r>
        <w:t>or</w:t>
      </w:r>
      <w:r>
        <w:rPr>
          <w:spacing w:val="-5"/>
        </w:rPr>
        <w:t xml:space="preserve"> </w:t>
      </w:r>
      <w:r>
        <w:t>address estimation uncertainty, the auditor should (AU-C 540.26):</w:t>
      </w:r>
    </w:p>
    <w:p w14:paraId="0DFDC2E3" w14:textId="77777777" w:rsidR="00046465" w:rsidRDefault="008134EB">
      <w:pPr>
        <w:pStyle w:val="ListParagraph"/>
        <w:numPr>
          <w:ilvl w:val="1"/>
          <w:numId w:val="118"/>
        </w:numPr>
        <w:tabs>
          <w:tab w:val="left" w:pos="2159"/>
        </w:tabs>
        <w:spacing w:before="121"/>
        <w:ind w:right="1382"/>
      </w:pPr>
      <w:r>
        <w:t>request</w:t>
      </w:r>
      <w:r>
        <w:rPr>
          <w:spacing w:val="-6"/>
        </w:rPr>
        <w:t xml:space="preserve"> </w:t>
      </w:r>
      <w:r>
        <w:t>that</w:t>
      </w:r>
      <w:r>
        <w:rPr>
          <w:spacing w:val="-7"/>
        </w:rPr>
        <w:t xml:space="preserve"> </w:t>
      </w:r>
      <w:r>
        <w:t>management</w:t>
      </w:r>
      <w:r>
        <w:rPr>
          <w:spacing w:val="-6"/>
        </w:rPr>
        <w:t xml:space="preserve"> </w:t>
      </w:r>
      <w:r>
        <w:t>perform</w:t>
      </w:r>
      <w:r>
        <w:rPr>
          <w:spacing w:val="-7"/>
        </w:rPr>
        <w:t xml:space="preserve"> </w:t>
      </w:r>
      <w:r>
        <w:t>additional</w:t>
      </w:r>
      <w:r>
        <w:rPr>
          <w:spacing w:val="-6"/>
        </w:rPr>
        <w:t xml:space="preserve"> </w:t>
      </w:r>
      <w:r>
        <w:t>procedures</w:t>
      </w:r>
      <w:r>
        <w:rPr>
          <w:spacing w:val="-6"/>
        </w:rPr>
        <w:t xml:space="preserve"> </w:t>
      </w:r>
      <w:r>
        <w:t>to</w:t>
      </w:r>
      <w:r>
        <w:rPr>
          <w:spacing w:val="-6"/>
        </w:rPr>
        <w:t xml:space="preserve"> </w:t>
      </w:r>
      <w:r>
        <w:t>understand estimation uncertainty, or address it by reconsidering the selection of management’s point estimate or considering providing additional note disclosures relating to the estimation uncertainty, and evaluate management’s responses;</w:t>
      </w:r>
    </w:p>
    <w:p w14:paraId="0DFDC2E4" w14:textId="77777777" w:rsidR="00046465" w:rsidRDefault="008134EB">
      <w:pPr>
        <w:pStyle w:val="ListParagraph"/>
        <w:numPr>
          <w:ilvl w:val="1"/>
          <w:numId w:val="118"/>
        </w:numPr>
        <w:tabs>
          <w:tab w:val="left" w:pos="2159"/>
        </w:tabs>
        <w:ind w:right="734"/>
      </w:pPr>
      <w:r>
        <w:t>to the extent practicable, develop an auditor’s point estimate or range, in accordance with FAM 905.16 and .17, if the auditor determines that management’s</w:t>
      </w:r>
      <w:r>
        <w:rPr>
          <w:spacing w:val="-5"/>
        </w:rPr>
        <w:t xml:space="preserve"> </w:t>
      </w:r>
      <w:r>
        <w:t>response</w:t>
      </w:r>
      <w:r>
        <w:rPr>
          <w:spacing w:val="-6"/>
        </w:rPr>
        <w:t xml:space="preserve"> </w:t>
      </w:r>
      <w:r>
        <w:t>to</w:t>
      </w:r>
      <w:r>
        <w:rPr>
          <w:spacing w:val="-5"/>
        </w:rPr>
        <w:t xml:space="preserve"> </w:t>
      </w:r>
      <w:r>
        <w:t>the</w:t>
      </w:r>
      <w:r>
        <w:rPr>
          <w:spacing w:val="-5"/>
        </w:rPr>
        <w:t xml:space="preserve"> </w:t>
      </w:r>
      <w:r>
        <w:t>auditor’s</w:t>
      </w:r>
      <w:r>
        <w:rPr>
          <w:spacing w:val="-5"/>
        </w:rPr>
        <w:t xml:space="preserve"> </w:t>
      </w:r>
      <w:r>
        <w:t>request</w:t>
      </w:r>
      <w:r>
        <w:rPr>
          <w:spacing w:val="-6"/>
        </w:rPr>
        <w:t xml:space="preserve"> </w:t>
      </w:r>
      <w:r>
        <w:t>does</w:t>
      </w:r>
      <w:r>
        <w:rPr>
          <w:spacing w:val="-5"/>
        </w:rPr>
        <w:t xml:space="preserve"> </w:t>
      </w:r>
      <w:r>
        <w:t>not</w:t>
      </w:r>
      <w:r>
        <w:rPr>
          <w:spacing w:val="-5"/>
        </w:rPr>
        <w:t xml:space="preserve"> </w:t>
      </w:r>
      <w:r>
        <w:t>sufficiently</w:t>
      </w:r>
      <w:r>
        <w:rPr>
          <w:spacing w:val="-5"/>
        </w:rPr>
        <w:t xml:space="preserve"> </w:t>
      </w:r>
      <w:r>
        <w:t>address estimation uncertainty; and</w:t>
      </w:r>
    </w:p>
    <w:p w14:paraId="0DFDC2E5" w14:textId="77777777" w:rsidR="00046465" w:rsidRDefault="008134EB">
      <w:pPr>
        <w:pStyle w:val="ListParagraph"/>
        <w:numPr>
          <w:ilvl w:val="1"/>
          <w:numId w:val="118"/>
        </w:numPr>
        <w:tabs>
          <w:tab w:val="left" w:pos="2159"/>
        </w:tabs>
        <w:spacing w:before="119"/>
        <w:ind w:right="1127"/>
      </w:pPr>
      <w:r>
        <w:t>evaluate whether a deficiency in internal control exists and, if so, communicate</w:t>
      </w:r>
      <w:r>
        <w:rPr>
          <w:spacing w:val="-5"/>
        </w:rPr>
        <w:t xml:space="preserve"> </w:t>
      </w:r>
      <w:r>
        <w:t>the</w:t>
      </w:r>
      <w:r>
        <w:rPr>
          <w:spacing w:val="-5"/>
        </w:rPr>
        <w:t xml:space="preserve"> </w:t>
      </w:r>
      <w:r>
        <w:t>matter</w:t>
      </w:r>
      <w:r>
        <w:rPr>
          <w:spacing w:val="-5"/>
        </w:rPr>
        <w:t xml:space="preserve"> </w:t>
      </w:r>
      <w:r>
        <w:t>in</w:t>
      </w:r>
      <w:r>
        <w:rPr>
          <w:spacing w:val="-5"/>
        </w:rPr>
        <w:t xml:space="preserve"> </w:t>
      </w:r>
      <w:r>
        <w:t>accordance</w:t>
      </w:r>
      <w:r>
        <w:rPr>
          <w:spacing w:val="-5"/>
        </w:rPr>
        <w:t xml:space="preserve"> </w:t>
      </w:r>
      <w:r>
        <w:t>with</w:t>
      </w:r>
      <w:r>
        <w:rPr>
          <w:spacing w:val="-5"/>
        </w:rPr>
        <w:t xml:space="preserve"> </w:t>
      </w:r>
      <w:r>
        <w:t>the</w:t>
      </w:r>
      <w:r>
        <w:rPr>
          <w:spacing w:val="-6"/>
        </w:rPr>
        <w:t xml:space="preserve"> </w:t>
      </w:r>
      <w:r>
        <w:t>Communicate</w:t>
      </w:r>
      <w:r>
        <w:rPr>
          <w:spacing w:val="-5"/>
        </w:rPr>
        <w:t xml:space="preserve"> </w:t>
      </w:r>
      <w:r>
        <w:t>with</w:t>
      </w:r>
      <w:r>
        <w:rPr>
          <w:spacing w:val="-5"/>
        </w:rPr>
        <w:t xml:space="preserve"> </w:t>
      </w:r>
      <w:r>
        <w:t>Those</w:t>
      </w:r>
    </w:p>
    <w:p w14:paraId="0DFDC2E6" w14:textId="77777777" w:rsidR="00046465" w:rsidRDefault="00046465">
      <w:pPr>
        <w:pStyle w:val="ListParagraph"/>
        <w:sectPr w:rsidR="00046465">
          <w:pgSz w:w="12240" w:h="15840"/>
          <w:pgMar w:top="1340" w:right="720" w:bottom="940" w:left="1080" w:header="721" w:footer="757" w:gutter="0"/>
          <w:cols w:space="720"/>
        </w:sectPr>
      </w:pPr>
    </w:p>
    <w:p w14:paraId="0DFDC2E7" w14:textId="77777777" w:rsidR="00046465" w:rsidRDefault="008134EB">
      <w:pPr>
        <w:pStyle w:val="BodyText"/>
        <w:spacing w:before="121"/>
        <w:ind w:left="2160" w:right="749"/>
      </w:pPr>
      <w:r>
        <w:lastRenderedPageBreak/>
        <w:t>Charged</w:t>
      </w:r>
      <w:r>
        <w:rPr>
          <w:spacing w:val="-5"/>
        </w:rPr>
        <w:t xml:space="preserve"> </w:t>
      </w:r>
      <w:r>
        <w:t>with</w:t>
      </w:r>
      <w:r>
        <w:rPr>
          <w:spacing w:val="-5"/>
        </w:rPr>
        <w:t xml:space="preserve"> </w:t>
      </w:r>
      <w:r>
        <w:t>Governance</w:t>
      </w:r>
      <w:r>
        <w:rPr>
          <w:spacing w:val="-5"/>
        </w:rPr>
        <w:t xml:space="preserve"> </w:t>
      </w:r>
      <w:r>
        <w:t>subsection</w:t>
      </w:r>
      <w:r>
        <w:rPr>
          <w:spacing w:val="-5"/>
        </w:rPr>
        <w:t xml:space="preserve"> </w:t>
      </w:r>
      <w:r>
        <w:t>in</w:t>
      </w:r>
      <w:r>
        <w:rPr>
          <w:spacing w:val="-5"/>
        </w:rPr>
        <w:t xml:space="preserve"> </w:t>
      </w:r>
      <w:r>
        <w:t>FAM</w:t>
      </w:r>
      <w:r>
        <w:rPr>
          <w:spacing w:val="-6"/>
        </w:rPr>
        <w:t xml:space="preserve"> </w:t>
      </w:r>
      <w:r>
        <w:t>550</w:t>
      </w:r>
      <w:r>
        <w:rPr>
          <w:spacing w:val="-5"/>
        </w:rPr>
        <w:t xml:space="preserve"> </w:t>
      </w:r>
      <w:r>
        <w:t>and</w:t>
      </w:r>
      <w:r>
        <w:rPr>
          <w:spacing w:val="-5"/>
        </w:rPr>
        <w:t xml:space="preserve"> </w:t>
      </w:r>
      <w:r>
        <w:t>Internal</w:t>
      </w:r>
      <w:r>
        <w:rPr>
          <w:spacing w:val="-5"/>
        </w:rPr>
        <w:t xml:space="preserve"> </w:t>
      </w:r>
      <w:r>
        <w:t>Control subsection in FAM 580.</w:t>
      </w:r>
    </w:p>
    <w:p w14:paraId="0DFDC2E8" w14:textId="77777777" w:rsidR="00046465" w:rsidRDefault="008134EB">
      <w:pPr>
        <w:pStyle w:val="ListParagraph"/>
        <w:numPr>
          <w:ilvl w:val="0"/>
          <w:numId w:val="118"/>
        </w:numPr>
        <w:tabs>
          <w:tab w:val="left" w:pos="1799"/>
        </w:tabs>
        <w:spacing w:before="119"/>
        <w:ind w:right="749" w:hanging="720"/>
      </w:pPr>
      <w:r>
        <w:t>When the auditor develops a point estimate or range to evaluate management’s point estimate and related note disclosures about estimation uncertainty, including when determined necessary in FAM</w:t>
      </w:r>
      <w:r>
        <w:rPr>
          <w:spacing w:val="-1"/>
        </w:rPr>
        <w:t xml:space="preserve"> </w:t>
      </w:r>
      <w:r>
        <w:t>905.15b, the auditor’s further audit procedures should include procedures to evaluate whether the methods, assumptions, or data used are appropriate in the context of the applicable financial reporting framework (generally U.S. GAAP). Regardless of whether the auditor uses management’s or the auditor’s own methods, assumptions, or data, these further audit procedures should be designed and performed to address the matters</w:t>
      </w:r>
      <w:r>
        <w:rPr>
          <w:spacing w:val="-3"/>
        </w:rPr>
        <w:t xml:space="preserve"> </w:t>
      </w:r>
      <w:r>
        <w:t>in</w:t>
      </w:r>
      <w:r>
        <w:rPr>
          <w:spacing w:val="-3"/>
        </w:rPr>
        <w:t xml:space="preserve"> </w:t>
      </w:r>
      <w:r>
        <w:t>FAM</w:t>
      </w:r>
      <w:r>
        <w:rPr>
          <w:spacing w:val="-4"/>
        </w:rPr>
        <w:t xml:space="preserve"> </w:t>
      </w:r>
      <w:r>
        <w:t>905.11</w:t>
      </w:r>
      <w:r>
        <w:rPr>
          <w:spacing w:val="-3"/>
        </w:rPr>
        <w:t xml:space="preserve"> </w:t>
      </w:r>
      <w:r>
        <w:t>through</w:t>
      </w:r>
      <w:r>
        <w:rPr>
          <w:spacing w:val="-3"/>
        </w:rPr>
        <w:t xml:space="preserve"> </w:t>
      </w:r>
      <w:r>
        <w:t>.13</w:t>
      </w:r>
      <w:r>
        <w:rPr>
          <w:spacing w:val="-3"/>
        </w:rPr>
        <w:t xml:space="preserve"> </w:t>
      </w:r>
      <w:r>
        <w:t>(AU-C</w:t>
      </w:r>
      <w:r>
        <w:rPr>
          <w:spacing w:val="-4"/>
        </w:rPr>
        <w:t xml:space="preserve"> </w:t>
      </w:r>
      <w:r>
        <w:t>540.27).</w:t>
      </w:r>
      <w:r>
        <w:rPr>
          <w:spacing w:val="-3"/>
        </w:rPr>
        <w:t xml:space="preserve"> </w:t>
      </w:r>
      <w:r>
        <w:t>The</w:t>
      </w:r>
      <w:r>
        <w:rPr>
          <w:spacing w:val="-3"/>
        </w:rPr>
        <w:t xml:space="preserve"> </w:t>
      </w:r>
      <w:r>
        <w:t>auditor</w:t>
      </w:r>
      <w:r>
        <w:rPr>
          <w:spacing w:val="-3"/>
        </w:rPr>
        <w:t xml:space="preserve"> </w:t>
      </w:r>
      <w:r>
        <w:t>may</w:t>
      </w:r>
      <w:r>
        <w:rPr>
          <w:spacing w:val="-3"/>
        </w:rPr>
        <w:t xml:space="preserve"> </w:t>
      </w:r>
      <w:r>
        <w:t>also</w:t>
      </w:r>
      <w:r>
        <w:rPr>
          <w:spacing w:val="-4"/>
        </w:rPr>
        <w:t xml:space="preserve"> </w:t>
      </w:r>
      <w:r>
        <w:t>develop a point estimate or range for only part of the accounting estimate (e.g., for a particular assumption or when only a certain part of the accounting estimate is giving rise to the risk of material misstatement) (AU-C 540.A122).</w:t>
      </w:r>
    </w:p>
    <w:p w14:paraId="0DFDC2E9" w14:textId="77777777" w:rsidR="00046465" w:rsidRDefault="008134EB">
      <w:pPr>
        <w:pStyle w:val="ListParagraph"/>
        <w:numPr>
          <w:ilvl w:val="0"/>
          <w:numId w:val="118"/>
        </w:numPr>
        <w:tabs>
          <w:tab w:val="left" w:pos="1800"/>
        </w:tabs>
        <w:spacing w:before="121"/>
        <w:ind w:left="1800" w:hanging="720"/>
      </w:pPr>
      <w:r>
        <w:t>If</w:t>
      </w:r>
      <w:r>
        <w:rPr>
          <w:spacing w:val="-6"/>
        </w:rPr>
        <w:t xml:space="preserve"> </w:t>
      </w:r>
      <w:r>
        <w:t>the</w:t>
      </w:r>
      <w:r>
        <w:rPr>
          <w:spacing w:val="-6"/>
        </w:rPr>
        <w:t xml:space="preserve"> </w:t>
      </w:r>
      <w:r>
        <w:t>auditor</w:t>
      </w:r>
      <w:r>
        <w:rPr>
          <w:spacing w:val="-6"/>
        </w:rPr>
        <w:t xml:space="preserve"> </w:t>
      </w:r>
      <w:r>
        <w:t>develops</w:t>
      </w:r>
      <w:r>
        <w:rPr>
          <w:spacing w:val="-6"/>
        </w:rPr>
        <w:t xml:space="preserve"> </w:t>
      </w:r>
      <w:r>
        <w:t>an</w:t>
      </w:r>
      <w:r>
        <w:rPr>
          <w:spacing w:val="-6"/>
        </w:rPr>
        <w:t xml:space="preserve"> </w:t>
      </w:r>
      <w:r>
        <w:t>auditor’s</w:t>
      </w:r>
      <w:r>
        <w:rPr>
          <w:spacing w:val="-5"/>
        </w:rPr>
        <w:t xml:space="preserve"> </w:t>
      </w:r>
      <w:r>
        <w:t>range,</w:t>
      </w:r>
      <w:r>
        <w:rPr>
          <w:spacing w:val="-6"/>
        </w:rPr>
        <w:t xml:space="preserve"> </w:t>
      </w:r>
      <w:r>
        <w:t>the</w:t>
      </w:r>
      <w:r>
        <w:rPr>
          <w:spacing w:val="-5"/>
        </w:rPr>
        <w:t xml:space="preserve"> </w:t>
      </w:r>
      <w:r>
        <w:t>auditor</w:t>
      </w:r>
      <w:r>
        <w:rPr>
          <w:spacing w:val="-6"/>
        </w:rPr>
        <w:t xml:space="preserve"> </w:t>
      </w:r>
      <w:r>
        <w:rPr>
          <w:spacing w:val="-2"/>
        </w:rPr>
        <w:t>should</w:t>
      </w:r>
    </w:p>
    <w:p w14:paraId="0DFDC2EA" w14:textId="77777777" w:rsidR="00046465" w:rsidRDefault="008134EB">
      <w:pPr>
        <w:pStyle w:val="ListParagraph"/>
        <w:numPr>
          <w:ilvl w:val="1"/>
          <w:numId w:val="118"/>
        </w:numPr>
        <w:tabs>
          <w:tab w:val="left" w:pos="2160"/>
        </w:tabs>
        <w:ind w:left="2160" w:right="832"/>
      </w:pPr>
      <w:r>
        <w:t>determine that the range includes only amounts that are supported by sufficient</w:t>
      </w:r>
      <w:r>
        <w:rPr>
          <w:spacing w:val="-4"/>
        </w:rPr>
        <w:t xml:space="preserve"> </w:t>
      </w:r>
      <w:r>
        <w:t>appropriate</w:t>
      </w:r>
      <w:r>
        <w:rPr>
          <w:spacing w:val="-4"/>
        </w:rPr>
        <w:t xml:space="preserve"> </w:t>
      </w:r>
      <w:r>
        <w:t>audit</w:t>
      </w:r>
      <w:r>
        <w:rPr>
          <w:spacing w:val="-4"/>
        </w:rPr>
        <w:t xml:space="preserve"> </w:t>
      </w:r>
      <w:r>
        <w:t>evidence</w:t>
      </w:r>
      <w:r>
        <w:rPr>
          <w:spacing w:val="-5"/>
        </w:rPr>
        <w:t xml:space="preserve"> </w:t>
      </w:r>
      <w:r>
        <w:t>and</w:t>
      </w:r>
      <w:r>
        <w:rPr>
          <w:spacing w:val="-4"/>
        </w:rPr>
        <w:t xml:space="preserve"> </w:t>
      </w:r>
      <w:r>
        <w:t>have</w:t>
      </w:r>
      <w:r>
        <w:rPr>
          <w:spacing w:val="-4"/>
        </w:rPr>
        <w:t xml:space="preserve"> </w:t>
      </w:r>
      <w:r>
        <w:t>been</w:t>
      </w:r>
      <w:r>
        <w:rPr>
          <w:spacing w:val="-4"/>
        </w:rPr>
        <w:t xml:space="preserve"> </w:t>
      </w:r>
      <w:r>
        <w:t>evaluated</w:t>
      </w:r>
      <w:r>
        <w:rPr>
          <w:spacing w:val="-4"/>
        </w:rPr>
        <w:t xml:space="preserve"> </w:t>
      </w:r>
      <w:r>
        <w:t>by</w:t>
      </w:r>
      <w:r>
        <w:rPr>
          <w:spacing w:val="-4"/>
        </w:rPr>
        <w:t xml:space="preserve"> </w:t>
      </w:r>
      <w:r>
        <w:t>the</w:t>
      </w:r>
      <w:r>
        <w:rPr>
          <w:spacing w:val="-4"/>
        </w:rPr>
        <w:t xml:space="preserve"> </w:t>
      </w:r>
      <w:r>
        <w:t>auditor to be reasonable in the context of the measurement objectives and other requirements of the applicable financial reporting framework (generally U.S.</w:t>
      </w:r>
    </w:p>
    <w:p w14:paraId="0DFDC2EB" w14:textId="77777777" w:rsidR="00046465" w:rsidRDefault="008134EB">
      <w:pPr>
        <w:pStyle w:val="BodyText"/>
        <w:spacing w:line="253" w:lineRule="exact"/>
        <w:ind w:left="2160"/>
      </w:pPr>
      <w:r>
        <w:t>GAAP)</w:t>
      </w:r>
      <w:r>
        <w:rPr>
          <w:spacing w:val="-8"/>
        </w:rPr>
        <w:t xml:space="preserve"> </w:t>
      </w:r>
      <w:r>
        <w:rPr>
          <w:spacing w:val="-5"/>
        </w:rPr>
        <w:t>and</w:t>
      </w:r>
    </w:p>
    <w:p w14:paraId="0DFDC2EC" w14:textId="77777777" w:rsidR="00046465" w:rsidRDefault="008134EB">
      <w:pPr>
        <w:pStyle w:val="ListParagraph"/>
        <w:numPr>
          <w:ilvl w:val="1"/>
          <w:numId w:val="118"/>
        </w:numPr>
        <w:tabs>
          <w:tab w:val="left" w:pos="2160"/>
        </w:tabs>
        <w:ind w:left="2160" w:right="979"/>
      </w:pPr>
      <w:r>
        <w:t>design</w:t>
      </w:r>
      <w:r>
        <w:rPr>
          <w:spacing w:val="-5"/>
        </w:rPr>
        <w:t xml:space="preserve"> </w:t>
      </w:r>
      <w:r>
        <w:t>and</w:t>
      </w:r>
      <w:r>
        <w:rPr>
          <w:spacing w:val="-6"/>
        </w:rPr>
        <w:t xml:space="preserve"> </w:t>
      </w:r>
      <w:r>
        <w:t>perform</w:t>
      </w:r>
      <w:r>
        <w:rPr>
          <w:spacing w:val="-6"/>
        </w:rPr>
        <w:t xml:space="preserve"> </w:t>
      </w:r>
      <w:r>
        <w:t>further</w:t>
      </w:r>
      <w:r>
        <w:rPr>
          <w:spacing w:val="-5"/>
        </w:rPr>
        <w:t xml:space="preserve"> </w:t>
      </w:r>
      <w:r>
        <w:t>audit</w:t>
      </w:r>
      <w:r>
        <w:rPr>
          <w:spacing w:val="-5"/>
        </w:rPr>
        <w:t xml:space="preserve"> </w:t>
      </w:r>
      <w:r>
        <w:t>procedures</w:t>
      </w:r>
      <w:r>
        <w:rPr>
          <w:spacing w:val="-5"/>
        </w:rPr>
        <w:t xml:space="preserve"> </w:t>
      </w:r>
      <w:r>
        <w:t>to</w:t>
      </w:r>
      <w:r>
        <w:rPr>
          <w:spacing w:val="-6"/>
        </w:rPr>
        <w:t xml:space="preserve"> </w:t>
      </w:r>
      <w:r>
        <w:t>obtain</w:t>
      </w:r>
      <w:r>
        <w:rPr>
          <w:spacing w:val="-5"/>
        </w:rPr>
        <w:t xml:space="preserve"> </w:t>
      </w:r>
      <w:r>
        <w:t>sufficient</w:t>
      </w:r>
      <w:r>
        <w:rPr>
          <w:spacing w:val="-5"/>
        </w:rPr>
        <w:t xml:space="preserve"> </w:t>
      </w:r>
      <w:r>
        <w:t>appropriate audit evidence regarding the risks of material misstatement relating to the note disclosures in the financial statements that describe the estimation uncertainty (AU-C 540.28).</w:t>
      </w:r>
    </w:p>
    <w:p w14:paraId="0DFDC2ED" w14:textId="77777777" w:rsidR="00046465" w:rsidRDefault="008134EB">
      <w:pPr>
        <w:pStyle w:val="BodyText"/>
        <w:spacing w:before="119"/>
        <w:ind w:left="1800" w:right="844"/>
      </w:pPr>
      <w:r>
        <w:t>With respect to item a, the auditor is not expected to obtain audit evidence to support</w:t>
      </w:r>
      <w:r>
        <w:rPr>
          <w:spacing w:val="-4"/>
        </w:rPr>
        <w:t xml:space="preserve"> </w:t>
      </w:r>
      <w:r>
        <w:t>each</w:t>
      </w:r>
      <w:r>
        <w:rPr>
          <w:spacing w:val="-4"/>
        </w:rPr>
        <w:t xml:space="preserve"> </w:t>
      </w:r>
      <w:r>
        <w:t>possible</w:t>
      </w:r>
      <w:r>
        <w:rPr>
          <w:spacing w:val="-5"/>
        </w:rPr>
        <w:t xml:space="preserve"> </w:t>
      </w:r>
      <w:r>
        <w:t>outcome</w:t>
      </w:r>
      <w:r>
        <w:rPr>
          <w:spacing w:val="-4"/>
        </w:rPr>
        <w:t xml:space="preserve"> </w:t>
      </w:r>
      <w:r>
        <w:t>in</w:t>
      </w:r>
      <w:r>
        <w:rPr>
          <w:spacing w:val="-4"/>
        </w:rPr>
        <w:t xml:space="preserve"> </w:t>
      </w:r>
      <w:r>
        <w:t>the</w:t>
      </w:r>
      <w:r>
        <w:rPr>
          <w:spacing w:val="-4"/>
        </w:rPr>
        <w:t xml:space="preserve"> </w:t>
      </w:r>
      <w:r>
        <w:t>range</w:t>
      </w:r>
      <w:r>
        <w:rPr>
          <w:spacing w:val="-4"/>
        </w:rPr>
        <w:t xml:space="preserve"> </w:t>
      </w:r>
      <w:r>
        <w:t>individually.</w:t>
      </w:r>
      <w:r>
        <w:rPr>
          <w:spacing w:val="-4"/>
        </w:rPr>
        <w:t xml:space="preserve"> </w:t>
      </w:r>
      <w:r>
        <w:t>Rather,</w:t>
      </w:r>
      <w:r>
        <w:rPr>
          <w:spacing w:val="-4"/>
        </w:rPr>
        <w:t xml:space="preserve"> </w:t>
      </w:r>
      <w:r>
        <w:t>the</w:t>
      </w:r>
      <w:r>
        <w:rPr>
          <w:spacing w:val="-4"/>
        </w:rPr>
        <w:t xml:space="preserve"> </w:t>
      </w:r>
      <w:r>
        <w:t>auditor</w:t>
      </w:r>
      <w:r>
        <w:rPr>
          <w:spacing w:val="-4"/>
        </w:rPr>
        <w:t xml:space="preserve"> </w:t>
      </w:r>
      <w:r>
        <w:t>is likely</w:t>
      </w:r>
      <w:r>
        <w:rPr>
          <w:spacing w:val="-3"/>
        </w:rPr>
        <w:t xml:space="preserve"> </w:t>
      </w:r>
      <w:r>
        <w:t>to</w:t>
      </w:r>
      <w:r>
        <w:rPr>
          <w:spacing w:val="-3"/>
        </w:rPr>
        <w:t xml:space="preserve"> </w:t>
      </w:r>
      <w:r>
        <w:t>obtain</w:t>
      </w:r>
      <w:r>
        <w:rPr>
          <w:spacing w:val="-3"/>
        </w:rPr>
        <w:t xml:space="preserve"> </w:t>
      </w:r>
      <w:r>
        <w:t>evidence</w:t>
      </w:r>
      <w:r>
        <w:rPr>
          <w:spacing w:val="-4"/>
        </w:rPr>
        <w:t xml:space="preserve"> </w:t>
      </w:r>
      <w:r>
        <w:t>to</w:t>
      </w:r>
      <w:r>
        <w:rPr>
          <w:spacing w:val="-3"/>
        </w:rPr>
        <w:t xml:space="preserve"> </w:t>
      </w:r>
      <w:r>
        <w:t>determine</w:t>
      </w:r>
      <w:r>
        <w:rPr>
          <w:spacing w:val="-3"/>
        </w:rPr>
        <w:t xml:space="preserve"> </w:t>
      </w:r>
      <w:r>
        <w:t>that</w:t>
      </w:r>
      <w:r>
        <w:rPr>
          <w:spacing w:val="-3"/>
        </w:rPr>
        <w:t xml:space="preserve"> </w:t>
      </w:r>
      <w:r>
        <w:t>the</w:t>
      </w:r>
      <w:r>
        <w:rPr>
          <w:spacing w:val="-3"/>
        </w:rPr>
        <w:t xml:space="preserve"> </w:t>
      </w:r>
      <w:r>
        <w:t>points</w:t>
      </w:r>
      <w:r>
        <w:rPr>
          <w:spacing w:val="-3"/>
        </w:rPr>
        <w:t xml:space="preserve"> </w:t>
      </w:r>
      <w:r>
        <w:t>at</w:t>
      </w:r>
      <w:r>
        <w:rPr>
          <w:spacing w:val="-3"/>
        </w:rPr>
        <w:t xml:space="preserve"> </w:t>
      </w:r>
      <w:r>
        <w:t>both</w:t>
      </w:r>
      <w:r>
        <w:rPr>
          <w:spacing w:val="-3"/>
        </w:rPr>
        <w:t xml:space="preserve"> </w:t>
      </w:r>
      <w:r>
        <w:t>ends</w:t>
      </w:r>
      <w:r>
        <w:rPr>
          <w:spacing w:val="-3"/>
        </w:rPr>
        <w:t xml:space="preserve"> </w:t>
      </w:r>
      <w:r>
        <w:t>of</w:t>
      </w:r>
      <w:r>
        <w:rPr>
          <w:spacing w:val="-3"/>
        </w:rPr>
        <w:t xml:space="preserve"> </w:t>
      </w:r>
      <w:r>
        <w:t>the</w:t>
      </w:r>
      <w:r>
        <w:rPr>
          <w:spacing w:val="-3"/>
        </w:rPr>
        <w:t xml:space="preserve"> </w:t>
      </w:r>
      <w:r>
        <w:t>range are reasonable in the circumstances, thereby supporting that amounts falling between those two points also are reasonable (AU-C 540.A124).</w:t>
      </w:r>
    </w:p>
    <w:p w14:paraId="0DFDC2EE" w14:textId="77777777" w:rsidR="00046465" w:rsidRDefault="008134EB">
      <w:pPr>
        <w:pStyle w:val="BodyText"/>
        <w:spacing w:before="120"/>
        <w:ind w:left="1800" w:right="749"/>
      </w:pPr>
      <w:r>
        <w:t>The auditor may conclude that a range that is multiples of materiality is, in the auditor’s judgment, appropriate in the circumstances. When this is the case, the auditor’s evaluation of the reasonableness of the note disclosures about estimation</w:t>
      </w:r>
      <w:r>
        <w:rPr>
          <w:spacing w:val="-6"/>
        </w:rPr>
        <w:t xml:space="preserve"> </w:t>
      </w:r>
      <w:r>
        <w:t>uncertainty</w:t>
      </w:r>
      <w:r>
        <w:rPr>
          <w:spacing w:val="-6"/>
        </w:rPr>
        <w:t xml:space="preserve"> </w:t>
      </w:r>
      <w:r>
        <w:t>becomes</w:t>
      </w:r>
      <w:r>
        <w:rPr>
          <w:spacing w:val="-6"/>
        </w:rPr>
        <w:t xml:space="preserve"> </w:t>
      </w:r>
      <w:r>
        <w:t>increasingly</w:t>
      </w:r>
      <w:r>
        <w:rPr>
          <w:spacing w:val="-7"/>
        </w:rPr>
        <w:t xml:space="preserve"> </w:t>
      </w:r>
      <w:r>
        <w:t>important,</w:t>
      </w:r>
      <w:r>
        <w:rPr>
          <w:spacing w:val="-6"/>
        </w:rPr>
        <w:t xml:space="preserve"> </w:t>
      </w:r>
      <w:r>
        <w:t>particularly</w:t>
      </w:r>
      <w:r>
        <w:rPr>
          <w:spacing w:val="-6"/>
        </w:rPr>
        <w:t xml:space="preserve"> </w:t>
      </w:r>
      <w:r>
        <w:t>whether</w:t>
      </w:r>
      <w:r>
        <w:rPr>
          <w:spacing w:val="-6"/>
        </w:rPr>
        <w:t xml:space="preserve"> </w:t>
      </w:r>
      <w:r>
        <w:t>such note disclosures appropriately convey the high degree of estimation uncertainty and the range of possible outcomes. (AU-C 540.A125)</w:t>
      </w:r>
    </w:p>
    <w:p w14:paraId="0DFDC2EF" w14:textId="77777777" w:rsidR="00046465" w:rsidRDefault="008134EB">
      <w:pPr>
        <w:pStyle w:val="ListParagraph"/>
        <w:numPr>
          <w:ilvl w:val="0"/>
          <w:numId w:val="118"/>
        </w:numPr>
        <w:tabs>
          <w:tab w:val="left" w:pos="1800"/>
        </w:tabs>
        <w:ind w:left="1800" w:right="823"/>
      </w:pPr>
      <w:r>
        <w:t>The auditor should evaluate whether judgments and decisions made by management in making accounting estimates included in the financial statements, even if they are individually reasonable, are indicators of possible management bias. When indicators of possible management bias are identified, the</w:t>
      </w:r>
      <w:r>
        <w:rPr>
          <w:spacing w:val="-4"/>
        </w:rPr>
        <w:t xml:space="preserve"> </w:t>
      </w:r>
      <w:r>
        <w:t>auditor</w:t>
      </w:r>
      <w:r>
        <w:rPr>
          <w:spacing w:val="-4"/>
        </w:rPr>
        <w:t xml:space="preserve"> </w:t>
      </w:r>
      <w:r>
        <w:t>should</w:t>
      </w:r>
      <w:r>
        <w:rPr>
          <w:spacing w:val="-4"/>
        </w:rPr>
        <w:t xml:space="preserve"> </w:t>
      </w:r>
      <w:r>
        <w:t>evaluate</w:t>
      </w:r>
      <w:r>
        <w:rPr>
          <w:spacing w:val="-4"/>
        </w:rPr>
        <w:t xml:space="preserve"> </w:t>
      </w:r>
      <w:r>
        <w:t>the</w:t>
      </w:r>
      <w:r>
        <w:rPr>
          <w:spacing w:val="-4"/>
        </w:rPr>
        <w:t xml:space="preserve"> </w:t>
      </w:r>
      <w:r>
        <w:t>implications</w:t>
      </w:r>
      <w:r>
        <w:rPr>
          <w:spacing w:val="-4"/>
        </w:rPr>
        <w:t xml:space="preserve"> </w:t>
      </w:r>
      <w:r>
        <w:t>for</w:t>
      </w:r>
      <w:r>
        <w:rPr>
          <w:spacing w:val="-4"/>
        </w:rPr>
        <w:t xml:space="preserve"> </w:t>
      </w:r>
      <w:r>
        <w:t>the</w:t>
      </w:r>
      <w:r>
        <w:rPr>
          <w:spacing w:val="-4"/>
        </w:rPr>
        <w:t xml:space="preserve"> </w:t>
      </w:r>
      <w:r>
        <w:t>audit.</w:t>
      </w:r>
      <w:r>
        <w:rPr>
          <w:spacing w:val="-4"/>
        </w:rPr>
        <w:t xml:space="preserve"> </w:t>
      </w:r>
      <w:r>
        <w:t>When</w:t>
      </w:r>
      <w:r>
        <w:rPr>
          <w:spacing w:val="-4"/>
        </w:rPr>
        <w:t xml:space="preserve"> </w:t>
      </w:r>
      <w:r>
        <w:t>there</w:t>
      </w:r>
      <w:r>
        <w:rPr>
          <w:spacing w:val="-4"/>
        </w:rPr>
        <w:t xml:space="preserve"> </w:t>
      </w:r>
      <w:r>
        <w:t>is</w:t>
      </w:r>
      <w:r>
        <w:rPr>
          <w:spacing w:val="-5"/>
        </w:rPr>
        <w:t xml:space="preserve"> </w:t>
      </w:r>
      <w:r>
        <w:t>intention to mislead, management bias is fraudulent in nature. (AU-C 540.32)</w:t>
      </w:r>
    </w:p>
    <w:p w14:paraId="0DFDC2F0" w14:textId="77777777" w:rsidR="00046465" w:rsidRDefault="008134EB">
      <w:pPr>
        <w:pStyle w:val="BodyText"/>
        <w:spacing w:before="121"/>
        <w:ind w:left="1800" w:right="749"/>
      </w:pPr>
      <w:r>
        <w:t>Examples</w:t>
      </w:r>
      <w:r>
        <w:rPr>
          <w:spacing w:val="-4"/>
        </w:rPr>
        <w:t xml:space="preserve"> </w:t>
      </w:r>
      <w:r>
        <w:t>of</w:t>
      </w:r>
      <w:r>
        <w:rPr>
          <w:spacing w:val="-4"/>
        </w:rPr>
        <w:t xml:space="preserve"> </w:t>
      </w:r>
      <w:r>
        <w:t>indicators</w:t>
      </w:r>
      <w:r>
        <w:rPr>
          <w:spacing w:val="-5"/>
        </w:rPr>
        <w:t xml:space="preserve"> </w:t>
      </w:r>
      <w:r>
        <w:t>of</w:t>
      </w:r>
      <w:r>
        <w:rPr>
          <w:spacing w:val="-4"/>
        </w:rPr>
        <w:t xml:space="preserve"> </w:t>
      </w:r>
      <w:r>
        <w:t>possible</w:t>
      </w:r>
      <w:r>
        <w:rPr>
          <w:spacing w:val="-4"/>
        </w:rPr>
        <w:t xml:space="preserve"> </w:t>
      </w:r>
      <w:r>
        <w:t>management</w:t>
      </w:r>
      <w:r>
        <w:rPr>
          <w:spacing w:val="-4"/>
        </w:rPr>
        <w:t xml:space="preserve"> </w:t>
      </w:r>
      <w:r>
        <w:t>bias</w:t>
      </w:r>
      <w:r>
        <w:rPr>
          <w:spacing w:val="-4"/>
        </w:rPr>
        <w:t xml:space="preserve"> </w:t>
      </w:r>
      <w:r>
        <w:t>with</w:t>
      </w:r>
      <w:r>
        <w:rPr>
          <w:spacing w:val="-4"/>
        </w:rPr>
        <w:t xml:space="preserve"> </w:t>
      </w:r>
      <w:r>
        <w:t>respect</w:t>
      </w:r>
      <w:r>
        <w:rPr>
          <w:spacing w:val="-4"/>
        </w:rPr>
        <w:t xml:space="preserve"> </w:t>
      </w:r>
      <w:r>
        <w:t>to</w:t>
      </w:r>
      <w:r>
        <w:rPr>
          <w:spacing w:val="-4"/>
        </w:rPr>
        <w:t xml:space="preserve"> </w:t>
      </w:r>
      <w:r>
        <w:t>accounting estimates include</w:t>
      </w:r>
    </w:p>
    <w:p w14:paraId="0DFDC2F1" w14:textId="77777777" w:rsidR="00046465" w:rsidRDefault="008134EB">
      <w:pPr>
        <w:pStyle w:val="ListParagraph"/>
        <w:numPr>
          <w:ilvl w:val="0"/>
          <w:numId w:val="117"/>
        </w:numPr>
        <w:tabs>
          <w:tab w:val="left" w:pos="2160"/>
        </w:tabs>
        <w:ind w:right="1369"/>
      </w:pPr>
      <w:r>
        <w:t>changes in an accounting estimate, or method for making it, when management</w:t>
      </w:r>
      <w:r>
        <w:rPr>
          <w:spacing w:val="-4"/>
        </w:rPr>
        <w:t xml:space="preserve"> </w:t>
      </w:r>
      <w:r>
        <w:t>has</w:t>
      </w:r>
      <w:r>
        <w:rPr>
          <w:spacing w:val="-4"/>
        </w:rPr>
        <w:t xml:space="preserve"> </w:t>
      </w:r>
      <w:r>
        <w:t>made</w:t>
      </w:r>
      <w:r>
        <w:rPr>
          <w:spacing w:val="-4"/>
        </w:rPr>
        <w:t xml:space="preserve"> </w:t>
      </w:r>
      <w:r>
        <w:t>a</w:t>
      </w:r>
      <w:r>
        <w:rPr>
          <w:spacing w:val="-4"/>
        </w:rPr>
        <w:t xml:space="preserve"> </w:t>
      </w:r>
      <w:r>
        <w:t>subjective</w:t>
      </w:r>
      <w:r>
        <w:rPr>
          <w:spacing w:val="-5"/>
        </w:rPr>
        <w:t xml:space="preserve"> </w:t>
      </w:r>
      <w:r>
        <w:t>assessment</w:t>
      </w:r>
      <w:r>
        <w:rPr>
          <w:spacing w:val="-5"/>
        </w:rPr>
        <w:t xml:space="preserve"> </w:t>
      </w:r>
      <w:r>
        <w:t>that</w:t>
      </w:r>
      <w:r>
        <w:rPr>
          <w:spacing w:val="-4"/>
        </w:rPr>
        <w:t xml:space="preserve"> </w:t>
      </w:r>
      <w:r>
        <w:t>there</w:t>
      </w:r>
      <w:r>
        <w:rPr>
          <w:spacing w:val="-4"/>
        </w:rPr>
        <w:t xml:space="preserve"> </w:t>
      </w:r>
      <w:r>
        <w:t>has</w:t>
      </w:r>
      <w:r>
        <w:rPr>
          <w:spacing w:val="-4"/>
        </w:rPr>
        <w:t xml:space="preserve"> </w:t>
      </w:r>
      <w:r>
        <w:t>been</w:t>
      </w:r>
      <w:r>
        <w:rPr>
          <w:spacing w:val="-4"/>
        </w:rPr>
        <w:t xml:space="preserve"> </w:t>
      </w:r>
      <w:r>
        <w:t>a change in circumstances;</w:t>
      </w:r>
    </w:p>
    <w:p w14:paraId="0DFDC2F2" w14:textId="77777777" w:rsidR="00046465" w:rsidRDefault="00046465">
      <w:pPr>
        <w:pStyle w:val="ListParagraph"/>
        <w:sectPr w:rsidR="00046465">
          <w:pgSz w:w="12240" w:h="15840"/>
          <w:pgMar w:top="1340" w:right="720" w:bottom="940" w:left="1080" w:header="721" w:footer="757" w:gutter="0"/>
          <w:cols w:space="720"/>
        </w:sectPr>
      </w:pPr>
    </w:p>
    <w:p w14:paraId="0DFDC2F3" w14:textId="77777777" w:rsidR="00046465" w:rsidRDefault="008134EB">
      <w:pPr>
        <w:pStyle w:val="ListParagraph"/>
        <w:numPr>
          <w:ilvl w:val="0"/>
          <w:numId w:val="117"/>
        </w:numPr>
        <w:tabs>
          <w:tab w:val="left" w:pos="2159"/>
        </w:tabs>
        <w:spacing w:before="121"/>
        <w:ind w:left="2159" w:right="1015"/>
      </w:pPr>
      <w:r>
        <w:lastRenderedPageBreak/>
        <w:t>selection</w:t>
      </w:r>
      <w:r>
        <w:rPr>
          <w:spacing w:val="-5"/>
        </w:rPr>
        <w:t xml:space="preserve"> </w:t>
      </w:r>
      <w:r>
        <w:t>or</w:t>
      </w:r>
      <w:r>
        <w:rPr>
          <w:spacing w:val="-6"/>
        </w:rPr>
        <w:t xml:space="preserve"> </w:t>
      </w:r>
      <w:r>
        <w:t>development</w:t>
      </w:r>
      <w:r>
        <w:rPr>
          <w:spacing w:val="-4"/>
        </w:rPr>
        <w:t xml:space="preserve"> </w:t>
      </w:r>
      <w:r>
        <w:t>of</w:t>
      </w:r>
      <w:r>
        <w:rPr>
          <w:spacing w:val="-4"/>
        </w:rPr>
        <w:t xml:space="preserve"> </w:t>
      </w:r>
      <w:r>
        <w:t>significant</w:t>
      </w:r>
      <w:r>
        <w:rPr>
          <w:spacing w:val="-4"/>
        </w:rPr>
        <w:t xml:space="preserve"> </w:t>
      </w:r>
      <w:r>
        <w:t>assumptions</w:t>
      </w:r>
      <w:r>
        <w:rPr>
          <w:spacing w:val="-4"/>
        </w:rPr>
        <w:t xml:space="preserve"> </w:t>
      </w:r>
      <w:r>
        <w:t>or</w:t>
      </w:r>
      <w:r>
        <w:rPr>
          <w:spacing w:val="-4"/>
        </w:rPr>
        <w:t xml:space="preserve"> </w:t>
      </w:r>
      <w:r>
        <w:t>the</w:t>
      </w:r>
      <w:r>
        <w:rPr>
          <w:spacing w:val="-4"/>
        </w:rPr>
        <w:t xml:space="preserve"> </w:t>
      </w:r>
      <w:r>
        <w:t>data</w:t>
      </w:r>
      <w:r>
        <w:rPr>
          <w:spacing w:val="-4"/>
        </w:rPr>
        <w:t xml:space="preserve"> </w:t>
      </w:r>
      <w:r>
        <w:t>that</w:t>
      </w:r>
      <w:r>
        <w:rPr>
          <w:spacing w:val="-4"/>
        </w:rPr>
        <w:t xml:space="preserve"> </w:t>
      </w:r>
      <w:r>
        <w:t>yield</w:t>
      </w:r>
      <w:r>
        <w:rPr>
          <w:spacing w:val="-4"/>
        </w:rPr>
        <w:t xml:space="preserve"> </w:t>
      </w:r>
      <w:r>
        <w:t>a point estimate favorable for management objectives; and</w:t>
      </w:r>
    </w:p>
    <w:p w14:paraId="0DFDC2F4" w14:textId="77777777" w:rsidR="00046465" w:rsidRDefault="008134EB">
      <w:pPr>
        <w:pStyle w:val="ListParagraph"/>
        <w:numPr>
          <w:ilvl w:val="0"/>
          <w:numId w:val="117"/>
        </w:numPr>
        <w:tabs>
          <w:tab w:val="left" w:pos="2159"/>
        </w:tabs>
        <w:spacing w:before="118"/>
        <w:ind w:left="2159" w:right="1456"/>
      </w:pPr>
      <w:r>
        <w:t>selection</w:t>
      </w:r>
      <w:r>
        <w:rPr>
          <w:spacing w:val="-4"/>
        </w:rPr>
        <w:t xml:space="preserve"> </w:t>
      </w:r>
      <w:r>
        <w:t>of</w:t>
      </w:r>
      <w:r>
        <w:rPr>
          <w:spacing w:val="-4"/>
        </w:rPr>
        <w:t xml:space="preserve"> </w:t>
      </w:r>
      <w:r>
        <w:t>a</w:t>
      </w:r>
      <w:r>
        <w:rPr>
          <w:spacing w:val="-3"/>
        </w:rPr>
        <w:t xml:space="preserve"> </w:t>
      </w:r>
      <w:r>
        <w:t>point</w:t>
      </w:r>
      <w:r>
        <w:rPr>
          <w:spacing w:val="-3"/>
        </w:rPr>
        <w:t xml:space="preserve"> </w:t>
      </w:r>
      <w:r>
        <w:t>estimate</w:t>
      </w:r>
      <w:r>
        <w:rPr>
          <w:spacing w:val="-3"/>
        </w:rPr>
        <w:t xml:space="preserve"> </w:t>
      </w:r>
      <w:r>
        <w:t>that</w:t>
      </w:r>
      <w:r>
        <w:rPr>
          <w:spacing w:val="-3"/>
        </w:rPr>
        <w:t xml:space="preserve"> </w:t>
      </w:r>
      <w:r>
        <w:t>may</w:t>
      </w:r>
      <w:r>
        <w:rPr>
          <w:spacing w:val="-3"/>
        </w:rPr>
        <w:t xml:space="preserve"> </w:t>
      </w:r>
      <w:r>
        <w:t>indicate</w:t>
      </w:r>
      <w:r>
        <w:rPr>
          <w:spacing w:val="-4"/>
        </w:rPr>
        <w:t xml:space="preserve"> </w:t>
      </w:r>
      <w:r>
        <w:t>a</w:t>
      </w:r>
      <w:r>
        <w:rPr>
          <w:spacing w:val="-3"/>
        </w:rPr>
        <w:t xml:space="preserve"> </w:t>
      </w:r>
      <w:r>
        <w:t>pattern</w:t>
      </w:r>
      <w:r>
        <w:rPr>
          <w:spacing w:val="-3"/>
        </w:rPr>
        <w:t xml:space="preserve"> </w:t>
      </w:r>
      <w:r>
        <w:t>of</w:t>
      </w:r>
      <w:r>
        <w:rPr>
          <w:spacing w:val="-4"/>
        </w:rPr>
        <w:t xml:space="preserve"> </w:t>
      </w:r>
      <w:r>
        <w:t>optimism</w:t>
      </w:r>
      <w:r>
        <w:rPr>
          <w:spacing w:val="-4"/>
        </w:rPr>
        <w:t xml:space="preserve"> </w:t>
      </w:r>
      <w:r>
        <w:t>or pessimism (AU-C 540.A134).</w:t>
      </w:r>
    </w:p>
    <w:p w14:paraId="0DFDC2F5" w14:textId="77777777" w:rsidR="00046465" w:rsidRDefault="008134EB">
      <w:pPr>
        <w:pStyle w:val="BodyText"/>
        <w:spacing w:before="118"/>
        <w:ind w:left="1799" w:right="727"/>
      </w:pPr>
      <w:r>
        <w:t>When such indicators are identified,</w:t>
      </w:r>
      <w:r>
        <w:rPr>
          <w:spacing w:val="-1"/>
        </w:rPr>
        <w:t xml:space="preserve"> </w:t>
      </w:r>
      <w:r>
        <w:t>there may be a risk of material misstatement either at the assertion or financial statement level. Indicators of possible management bias themselves do not constitute misstatements for the purposes of drawing conclusions about the reasonableness of individual accounting estimates (see FAM 540.03). However, in some cases, the audit evidence may point</w:t>
      </w:r>
      <w:r>
        <w:rPr>
          <w:spacing w:val="-4"/>
        </w:rPr>
        <w:t xml:space="preserve"> </w:t>
      </w:r>
      <w:r>
        <w:t>to</w:t>
      </w:r>
      <w:r>
        <w:rPr>
          <w:spacing w:val="-4"/>
        </w:rPr>
        <w:t xml:space="preserve"> </w:t>
      </w:r>
      <w:r>
        <w:t>a</w:t>
      </w:r>
      <w:r>
        <w:rPr>
          <w:spacing w:val="-4"/>
        </w:rPr>
        <w:t xml:space="preserve"> </w:t>
      </w:r>
      <w:r>
        <w:t>misstatement</w:t>
      </w:r>
      <w:r>
        <w:rPr>
          <w:spacing w:val="-4"/>
        </w:rPr>
        <w:t xml:space="preserve"> </w:t>
      </w:r>
      <w:r>
        <w:t>rather</w:t>
      </w:r>
      <w:r>
        <w:rPr>
          <w:spacing w:val="-4"/>
        </w:rPr>
        <w:t xml:space="preserve"> </w:t>
      </w:r>
      <w:r>
        <w:t>than</w:t>
      </w:r>
      <w:r>
        <w:rPr>
          <w:spacing w:val="-4"/>
        </w:rPr>
        <w:t xml:space="preserve"> </w:t>
      </w:r>
      <w:r>
        <w:t>simply</w:t>
      </w:r>
      <w:r>
        <w:rPr>
          <w:spacing w:val="-4"/>
        </w:rPr>
        <w:t xml:space="preserve"> </w:t>
      </w:r>
      <w:r>
        <w:t>an</w:t>
      </w:r>
      <w:r>
        <w:rPr>
          <w:spacing w:val="-4"/>
        </w:rPr>
        <w:t xml:space="preserve"> </w:t>
      </w:r>
      <w:r>
        <w:t>indicator</w:t>
      </w:r>
      <w:r>
        <w:rPr>
          <w:spacing w:val="-4"/>
        </w:rPr>
        <w:t xml:space="preserve"> </w:t>
      </w:r>
      <w:r>
        <w:t>of</w:t>
      </w:r>
      <w:r>
        <w:rPr>
          <w:spacing w:val="-4"/>
        </w:rPr>
        <w:t xml:space="preserve"> </w:t>
      </w:r>
      <w:r>
        <w:t>management</w:t>
      </w:r>
      <w:r>
        <w:rPr>
          <w:spacing w:val="-4"/>
        </w:rPr>
        <w:t xml:space="preserve"> </w:t>
      </w:r>
      <w:r>
        <w:t>bias.</w:t>
      </w:r>
      <w:r>
        <w:rPr>
          <w:spacing w:val="-4"/>
        </w:rPr>
        <w:t xml:space="preserve"> </w:t>
      </w:r>
      <w:r>
        <w:t>(AU-C 540.A134)</w:t>
      </w:r>
    </w:p>
    <w:p w14:paraId="0DFDC2F6" w14:textId="77777777" w:rsidR="00046465" w:rsidRDefault="008134EB">
      <w:pPr>
        <w:pStyle w:val="ListParagraph"/>
        <w:numPr>
          <w:ilvl w:val="0"/>
          <w:numId w:val="118"/>
        </w:numPr>
        <w:tabs>
          <w:tab w:val="left" w:pos="1799"/>
        </w:tabs>
        <w:ind w:right="724" w:hanging="720"/>
      </w:pPr>
      <w:r>
        <w:t>As discussed in FAM 350, for those control activities that have been suitably designed and implemented, the auditor should perform sufficient tests of such control activities to conclude whether the control activities are operating effectively (i.e., sufficient tests of control activities to support a low level of assessed control risk). In relation to accounting estimates, the auditor’s tests of such controls should be responsive to the reasons for the assessment given to the risks of material misstatement. In designing and performing tests of controls, the</w:t>
      </w:r>
      <w:r>
        <w:rPr>
          <w:spacing w:val="-2"/>
        </w:rPr>
        <w:t xml:space="preserve"> </w:t>
      </w:r>
      <w:r>
        <w:t>auditor</w:t>
      </w:r>
      <w:r>
        <w:rPr>
          <w:spacing w:val="-2"/>
        </w:rPr>
        <w:t xml:space="preserve"> </w:t>
      </w:r>
      <w:r>
        <w:t>should</w:t>
      </w:r>
      <w:r>
        <w:rPr>
          <w:spacing w:val="-2"/>
        </w:rPr>
        <w:t xml:space="preserve"> </w:t>
      </w:r>
      <w:r>
        <w:t>obtain</w:t>
      </w:r>
      <w:r>
        <w:rPr>
          <w:spacing w:val="-3"/>
        </w:rPr>
        <w:t xml:space="preserve"> </w:t>
      </w:r>
      <w:r>
        <w:t>more</w:t>
      </w:r>
      <w:r>
        <w:rPr>
          <w:spacing w:val="-2"/>
        </w:rPr>
        <w:t xml:space="preserve"> </w:t>
      </w:r>
      <w:r>
        <w:t>persuasive</w:t>
      </w:r>
      <w:r>
        <w:rPr>
          <w:spacing w:val="-2"/>
        </w:rPr>
        <w:t xml:space="preserve"> </w:t>
      </w:r>
      <w:r>
        <w:t>audit</w:t>
      </w:r>
      <w:r>
        <w:rPr>
          <w:spacing w:val="-3"/>
        </w:rPr>
        <w:t xml:space="preserve"> </w:t>
      </w:r>
      <w:r>
        <w:t>evidence</w:t>
      </w:r>
      <w:r>
        <w:rPr>
          <w:spacing w:val="-2"/>
        </w:rPr>
        <w:t xml:space="preserve"> </w:t>
      </w:r>
      <w:r>
        <w:t>the</w:t>
      </w:r>
      <w:r>
        <w:rPr>
          <w:spacing w:val="-2"/>
        </w:rPr>
        <w:t xml:space="preserve"> </w:t>
      </w:r>
      <w:r>
        <w:t>greater</w:t>
      </w:r>
      <w:r>
        <w:rPr>
          <w:spacing w:val="-2"/>
        </w:rPr>
        <w:t xml:space="preserve"> </w:t>
      </w:r>
      <w:r>
        <w:t>the</w:t>
      </w:r>
      <w:r>
        <w:rPr>
          <w:spacing w:val="-2"/>
        </w:rPr>
        <w:t xml:space="preserve"> </w:t>
      </w:r>
      <w:r>
        <w:t>reliance the auditor places on the effectiveness of a control. (AU-C 540.18) See AU-C 540.A86 through .A89 for auditor considerations when testing controls related to accounting</w:t>
      </w:r>
      <w:r>
        <w:rPr>
          <w:spacing w:val="-5"/>
        </w:rPr>
        <w:t xml:space="preserve"> </w:t>
      </w:r>
      <w:r>
        <w:t>estimates.</w:t>
      </w:r>
      <w:r>
        <w:rPr>
          <w:spacing w:val="-3"/>
        </w:rPr>
        <w:t xml:space="preserve"> </w:t>
      </w:r>
      <w:r>
        <w:t>Based</w:t>
      </w:r>
      <w:r>
        <w:rPr>
          <w:spacing w:val="-4"/>
        </w:rPr>
        <w:t xml:space="preserve"> </w:t>
      </w:r>
      <w:r>
        <w:t>on</w:t>
      </w:r>
      <w:r>
        <w:rPr>
          <w:spacing w:val="-4"/>
        </w:rPr>
        <w:t xml:space="preserve"> </w:t>
      </w:r>
      <w:r>
        <w:t>AU-C</w:t>
      </w:r>
      <w:r>
        <w:rPr>
          <w:spacing w:val="-5"/>
        </w:rPr>
        <w:t xml:space="preserve"> </w:t>
      </w:r>
      <w:r>
        <w:t>540.19,</w:t>
      </w:r>
      <w:r>
        <w:rPr>
          <w:spacing w:val="-4"/>
        </w:rPr>
        <w:t xml:space="preserve"> </w:t>
      </w:r>
      <w:r>
        <w:t>when</w:t>
      </w:r>
      <w:r>
        <w:rPr>
          <w:spacing w:val="-4"/>
        </w:rPr>
        <w:t xml:space="preserve"> </w:t>
      </w:r>
      <w:r>
        <w:t>the</w:t>
      </w:r>
      <w:r>
        <w:rPr>
          <w:spacing w:val="-4"/>
        </w:rPr>
        <w:t xml:space="preserve"> </w:t>
      </w:r>
      <w:r>
        <w:t>approach</w:t>
      </w:r>
      <w:r>
        <w:rPr>
          <w:spacing w:val="-4"/>
        </w:rPr>
        <w:t xml:space="preserve"> </w:t>
      </w:r>
      <w:r>
        <w:t>to</w:t>
      </w:r>
      <w:r>
        <w:rPr>
          <w:spacing w:val="-4"/>
        </w:rPr>
        <w:t xml:space="preserve"> </w:t>
      </w:r>
      <w:r>
        <w:t>a</w:t>
      </w:r>
      <w:r>
        <w:rPr>
          <w:spacing w:val="-4"/>
        </w:rPr>
        <w:t xml:space="preserve"> </w:t>
      </w:r>
      <w:r>
        <w:t>significant risk relating to an accounting estimate consists only of substantive procedures (i.e., controls are not suitably designed and implemented), the auditor’s procedures should include tests of details.</w:t>
      </w:r>
    </w:p>
    <w:p w14:paraId="0DFDC2F7" w14:textId="77777777" w:rsidR="00046465" w:rsidRDefault="008134EB">
      <w:pPr>
        <w:pStyle w:val="ListParagraph"/>
        <w:numPr>
          <w:ilvl w:val="0"/>
          <w:numId w:val="118"/>
        </w:numPr>
        <w:tabs>
          <w:tab w:val="left" w:pos="1800"/>
        </w:tabs>
        <w:ind w:left="1800" w:right="752"/>
      </w:pPr>
      <w:r>
        <w:t>Based on the results of risk assessment procedures performed in the planning and internal control phases, the auditor should design and perform further audit procedures to obtain sufficient appropriate audit evidence regarding the risks of material misstatement at the assertion level for note disclosures related to an accounting</w:t>
      </w:r>
      <w:r>
        <w:rPr>
          <w:spacing w:val="-6"/>
        </w:rPr>
        <w:t xml:space="preserve"> </w:t>
      </w:r>
      <w:r>
        <w:t>estimate,</w:t>
      </w:r>
      <w:r>
        <w:rPr>
          <w:spacing w:val="-5"/>
        </w:rPr>
        <w:t xml:space="preserve"> </w:t>
      </w:r>
      <w:r>
        <w:t>including</w:t>
      </w:r>
      <w:r>
        <w:rPr>
          <w:spacing w:val="-5"/>
        </w:rPr>
        <w:t xml:space="preserve"> </w:t>
      </w:r>
      <w:r>
        <w:t>those</w:t>
      </w:r>
      <w:r>
        <w:rPr>
          <w:spacing w:val="-5"/>
        </w:rPr>
        <w:t xml:space="preserve"> </w:t>
      </w:r>
      <w:r>
        <w:t>procedures</w:t>
      </w:r>
      <w:r>
        <w:rPr>
          <w:spacing w:val="-5"/>
        </w:rPr>
        <w:t xml:space="preserve"> </w:t>
      </w:r>
      <w:r>
        <w:t>related</w:t>
      </w:r>
      <w:r>
        <w:rPr>
          <w:spacing w:val="-5"/>
        </w:rPr>
        <w:t xml:space="preserve"> </w:t>
      </w:r>
      <w:r>
        <w:t>to</w:t>
      </w:r>
      <w:r>
        <w:rPr>
          <w:spacing w:val="-6"/>
        </w:rPr>
        <w:t xml:space="preserve"> </w:t>
      </w:r>
      <w:r>
        <w:t>estimation</w:t>
      </w:r>
      <w:r>
        <w:rPr>
          <w:spacing w:val="-5"/>
        </w:rPr>
        <w:t xml:space="preserve"> </w:t>
      </w:r>
      <w:r>
        <w:t>uncertainty as discussed in FAM 905.14b and .17b (AU-C 540.31).</w:t>
      </w:r>
    </w:p>
    <w:p w14:paraId="0DFDC2F8" w14:textId="77777777" w:rsidR="00046465" w:rsidRDefault="008134EB">
      <w:pPr>
        <w:pStyle w:val="ListParagraph"/>
        <w:numPr>
          <w:ilvl w:val="0"/>
          <w:numId w:val="118"/>
        </w:numPr>
        <w:tabs>
          <w:tab w:val="left" w:pos="1800"/>
        </w:tabs>
        <w:spacing w:before="121"/>
        <w:ind w:left="1800" w:right="801"/>
      </w:pPr>
      <w:r>
        <w:t>The</w:t>
      </w:r>
      <w:r>
        <w:rPr>
          <w:spacing w:val="-4"/>
        </w:rPr>
        <w:t xml:space="preserve"> </w:t>
      </w:r>
      <w:r>
        <w:t>auditor</w:t>
      </w:r>
      <w:r>
        <w:rPr>
          <w:spacing w:val="-6"/>
        </w:rPr>
        <w:t xml:space="preserve"> </w:t>
      </w:r>
      <w:r>
        <w:t>should</w:t>
      </w:r>
      <w:r>
        <w:rPr>
          <w:spacing w:val="-4"/>
        </w:rPr>
        <w:t xml:space="preserve"> </w:t>
      </w:r>
      <w:r>
        <w:t>evaluate,</w:t>
      </w:r>
      <w:r>
        <w:rPr>
          <w:spacing w:val="-4"/>
        </w:rPr>
        <w:t xml:space="preserve"> </w:t>
      </w:r>
      <w:r>
        <w:t>based</w:t>
      </w:r>
      <w:r>
        <w:rPr>
          <w:spacing w:val="-5"/>
        </w:rPr>
        <w:t xml:space="preserve"> </w:t>
      </w:r>
      <w:r>
        <w:t>on</w:t>
      </w:r>
      <w:r>
        <w:rPr>
          <w:spacing w:val="-4"/>
        </w:rPr>
        <w:t xml:space="preserve"> </w:t>
      </w:r>
      <w:r>
        <w:t>the</w:t>
      </w:r>
      <w:r>
        <w:rPr>
          <w:spacing w:val="-4"/>
        </w:rPr>
        <w:t xml:space="preserve"> </w:t>
      </w:r>
      <w:r>
        <w:t>audit</w:t>
      </w:r>
      <w:r>
        <w:rPr>
          <w:spacing w:val="-5"/>
        </w:rPr>
        <w:t xml:space="preserve"> </w:t>
      </w:r>
      <w:r>
        <w:t>procedures</w:t>
      </w:r>
      <w:r>
        <w:rPr>
          <w:spacing w:val="-5"/>
        </w:rPr>
        <w:t xml:space="preserve"> </w:t>
      </w:r>
      <w:r>
        <w:t>performed</w:t>
      </w:r>
      <w:r>
        <w:rPr>
          <w:spacing w:val="-4"/>
        </w:rPr>
        <w:t xml:space="preserve"> </w:t>
      </w:r>
      <w:r>
        <w:t>and</w:t>
      </w:r>
      <w:r>
        <w:rPr>
          <w:spacing w:val="-4"/>
        </w:rPr>
        <w:t xml:space="preserve"> </w:t>
      </w:r>
      <w:r>
        <w:t>audit evidence obtained, whether (AU-C 540.33):</w:t>
      </w:r>
    </w:p>
    <w:p w14:paraId="0DFDC2F9" w14:textId="77777777" w:rsidR="00046465" w:rsidRDefault="008134EB">
      <w:pPr>
        <w:pStyle w:val="ListParagraph"/>
        <w:numPr>
          <w:ilvl w:val="1"/>
          <w:numId w:val="118"/>
        </w:numPr>
        <w:tabs>
          <w:tab w:val="left" w:pos="2160"/>
        </w:tabs>
        <w:spacing w:before="119"/>
        <w:ind w:left="2160" w:right="930"/>
        <w:jc w:val="both"/>
      </w:pPr>
      <w:r>
        <w:t>the</w:t>
      </w:r>
      <w:r>
        <w:rPr>
          <w:spacing w:val="-1"/>
        </w:rPr>
        <w:t xml:space="preserve"> </w:t>
      </w:r>
      <w:r>
        <w:t>assessments</w:t>
      </w:r>
      <w:r>
        <w:rPr>
          <w:spacing w:val="-1"/>
        </w:rPr>
        <w:t xml:space="preserve"> </w:t>
      </w:r>
      <w:r>
        <w:t>of</w:t>
      </w:r>
      <w:r>
        <w:rPr>
          <w:spacing w:val="-1"/>
        </w:rPr>
        <w:t xml:space="preserve"> </w:t>
      </w:r>
      <w:r>
        <w:t>the</w:t>
      </w:r>
      <w:r>
        <w:rPr>
          <w:spacing w:val="-1"/>
        </w:rPr>
        <w:t xml:space="preserve"> </w:t>
      </w:r>
      <w:r>
        <w:t>risks</w:t>
      </w:r>
      <w:r>
        <w:rPr>
          <w:spacing w:val="-1"/>
        </w:rPr>
        <w:t xml:space="preserve"> </w:t>
      </w:r>
      <w:r>
        <w:t>of</w:t>
      </w:r>
      <w:r>
        <w:rPr>
          <w:spacing w:val="-2"/>
        </w:rPr>
        <w:t xml:space="preserve"> </w:t>
      </w:r>
      <w:r>
        <w:t>material</w:t>
      </w:r>
      <w:r>
        <w:rPr>
          <w:spacing w:val="-1"/>
        </w:rPr>
        <w:t xml:space="preserve"> </w:t>
      </w:r>
      <w:r>
        <w:t>misstatement</w:t>
      </w:r>
      <w:r>
        <w:rPr>
          <w:spacing w:val="-1"/>
        </w:rPr>
        <w:t xml:space="preserve"> </w:t>
      </w:r>
      <w:r>
        <w:t>at</w:t>
      </w:r>
      <w:r>
        <w:rPr>
          <w:spacing w:val="-1"/>
        </w:rPr>
        <w:t xml:space="preserve"> </w:t>
      </w:r>
      <w:r>
        <w:t>the</w:t>
      </w:r>
      <w:r>
        <w:rPr>
          <w:spacing w:val="-1"/>
        </w:rPr>
        <w:t xml:space="preserve"> </w:t>
      </w:r>
      <w:r>
        <w:t>assertion</w:t>
      </w:r>
      <w:r>
        <w:rPr>
          <w:spacing w:val="-2"/>
        </w:rPr>
        <w:t xml:space="preserve"> </w:t>
      </w:r>
      <w:r>
        <w:t>level remain</w:t>
      </w:r>
      <w:r>
        <w:rPr>
          <w:spacing w:val="-5"/>
        </w:rPr>
        <w:t xml:space="preserve"> </w:t>
      </w:r>
      <w:r>
        <w:t>appropriate,</w:t>
      </w:r>
      <w:r>
        <w:rPr>
          <w:spacing w:val="-5"/>
        </w:rPr>
        <w:t xml:space="preserve"> </w:t>
      </w:r>
      <w:r>
        <w:t>including</w:t>
      </w:r>
      <w:r>
        <w:rPr>
          <w:spacing w:val="-5"/>
        </w:rPr>
        <w:t xml:space="preserve"> </w:t>
      </w:r>
      <w:r>
        <w:t>when</w:t>
      </w:r>
      <w:r>
        <w:rPr>
          <w:spacing w:val="-5"/>
        </w:rPr>
        <w:t xml:space="preserve"> </w:t>
      </w:r>
      <w:r>
        <w:t>indicators</w:t>
      </w:r>
      <w:r>
        <w:rPr>
          <w:spacing w:val="-6"/>
        </w:rPr>
        <w:t xml:space="preserve"> </w:t>
      </w:r>
      <w:r>
        <w:t>of</w:t>
      </w:r>
      <w:r>
        <w:rPr>
          <w:spacing w:val="-6"/>
        </w:rPr>
        <w:t xml:space="preserve"> </w:t>
      </w:r>
      <w:r>
        <w:t>possible</w:t>
      </w:r>
      <w:r>
        <w:rPr>
          <w:spacing w:val="-6"/>
        </w:rPr>
        <w:t xml:space="preserve"> </w:t>
      </w:r>
      <w:r>
        <w:t>management</w:t>
      </w:r>
      <w:r>
        <w:rPr>
          <w:spacing w:val="-5"/>
        </w:rPr>
        <w:t xml:space="preserve"> </w:t>
      </w:r>
      <w:r>
        <w:t>bias have been identified;</w:t>
      </w:r>
    </w:p>
    <w:p w14:paraId="0DFDC2FA" w14:textId="77777777" w:rsidR="00046465" w:rsidRDefault="008134EB">
      <w:pPr>
        <w:pStyle w:val="ListParagraph"/>
        <w:numPr>
          <w:ilvl w:val="1"/>
          <w:numId w:val="118"/>
        </w:numPr>
        <w:tabs>
          <w:tab w:val="left" w:pos="2160"/>
        </w:tabs>
        <w:ind w:left="2160" w:right="1087"/>
      </w:pPr>
      <w:r>
        <w:t>management’s decisions relating to the recognition, measurement, presentation,</w:t>
      </w:r>
      <w:r>
        <w:rPr>
          <w:spacing w:val="-4"/>
        </w:rPr>
        <w:t xml:space="preserve"> </w:t>
      </w:r>
      <w:r>
        <w:t>and</w:t>
      </w:r>
      <w:r>
        <w:rPr>
          <w:spacing w:val="-4"/>
        </w:rPr>
        <w:t xml:space="preserve"> </w:t>
      </w:r>
      <w:r>
        <w:t>disclosure</w:t>
      </w:r>
      <w:r>
        <w:rPr>
          <w:spacing w:val="-4"/>
        </w:rPr>
        <w:t xml:space="preserve"> </w:t>
      </w:r>
      <w:r>
        <w:t>of</w:t>
      </w:r>
      <w:r>
        <w:rPr>
          <w:spacing w:val="-4"/>
        </w:rPr>
        <w:t xml:space="preserve"> </w:t>
      </w:r>
      <w:r>
        <w:t>these</w:t>
      </w:r>
      <w:r>
        <w:rPr>
          <w:spacing w:val="-5"/>
        </w:rPr>
        <w:t xml:space="preserve"> </w:t>
      </w:r>
      <w:r>
        <w:t>accounting</w:t>
      </w:r>
      <w:r>
        <w:rPr>
          <w:spacing w:val="-5"/>
        </w:rPr>
        <w:t xml:space="preserve"> </w:t>
      </w:r>
      <w:r>
        <w:t>estimates</w:t>
      </w:r>
      <w:r>
        <w:rPr>
          <w:spacing w:val="-4"/>
        </w:rPr>
        <w:t xml:space="preserve"> </w:t>
      </w:r>
      <w:r>
        <w:t>in</w:t>
      </w:r>
      <w:r>
        <w:rPr>
          <w:spacing w:val="-5"/>
        </w:rPr>
        <w:t xml:space="preserve"> </w:t>
      </w:r>
      <w:r>
        <w:t>the</w:t>
      </w:r>
      <w:r>
        <w:rPr>
          <w:spacing w:val="-4"/>
        </w:rPr>
        <w:t xml:space="preserve"> </w:t>
      </w:r>
      <w:r>
        <w:t>financial statements are in accordance with the applicable financial reporting framework (generally U.S. GAAP); and</w:t>
      </w:r>
    </w:p>
    <w:p w14:paraId="0DFDC2FB" w14:textId="77777777" w:rsidR="00046465" w:rsidRDefault="008134EB">
      <w:pPr>
        <w:pStyle w:val="ListParagraph"/>
        <w:numPr>
          <w:ilvl w:val="1"/>
          <w:numId w:val="118"/>
        </w:numPr>
        <w:tabs>
          <w:tab w:val="left" w:pos="2159"/>
        </w:tabs>
        <w:ind w:hanging="359"/>
      </w:pPr>
      <w:r>
        <w:t>sufficient</w:t>
      </w:r>
      <w:r>
        <w:rPr>
          <w:spacing w:val="-8"/>
        </w:rPr>
        <w:t xml:space="preserve"> </w:t>
      </w:r>
      <w:r>
        <w:t>appropriate</w:t>
      </w:r>
      <w:r>
        <w:rPr>
          <w:spacing w:val="-8"/>
        </w:rPr>
        <w:t xml:space="preserve"> </w:t>
      </w:r>
      <w:r>
        <w:t>audit</w:t>
      </w:r>
      <w:r>
        <w:rPr>
          <w:spacing w:val="-7"/>
        </w:rPr>
        <w:t xml:space="preserve"> </w:t>
      </w:r>
      <w:r>
        <w:t>evidence</w:t>
      </w:r>
      <w:r>
        <w:rPr>
          <w:spacing w:val="-9"/>
        </w:rPr>
        <w:t xml:space="preserve"> </w:t>
      </w:r>
      <w:r>
        <w:t>has</w:t>
      </w:r>
      <w:r>
        <w:rPr>
          <w:spacing w:val="-8"/>
        </w:rPr>
        <w:t xml:space="preserve"> </w:t>
      </w:r>
      <w:r>
        <w:t>been</w:t>
      </w:r>
      <w:r>
        <w:rPr>
          <w:spacing w:val="-7"/>
        </w:rPr>
        <w:t xml:space="preserve"> </w:t>
      </w:r>
      <w:r>
        <w:rPr>
          <w:spacing w:val="-2"/>
        </w:rPr>
        <w:t>obtained.</w:t>
      </w:r>
    </w:p>
    <w:p w14:paraId="0DFDC2FC" w14:textId="77777777" w:rsidR="00046465" w:rsidRDefault="008134EB">
      <w:pPr>
        <w:pStyle w:val="BodyText"/>
        <w:spacing w:before="120"/>
        <w:ind w:left="1800" w:right="726"/>
      </w:pPr>
      <w:r>
        <w:t>In making this evaluation, the auditor should take into account all relevant audit evidence</w:t>
      </w:r>
      <w:r>
        <w:rPr>
          <w:spacing w:val="-4"/>
        </w:rPr>
        <w:t xml:space="preserve"> </w:t>
      </w:r>
      <w:r>
        <w:t>obtained,</w:t>
      </w:r>
      <w:r>
        <w:rPr>
          <w:spacing w:val="-4"/>
        </w:rPr>
        <w:t xml:space="preserve"> </w:t>
      </w:r>
      <w:r>
        <w:t>whether</w:t>
      </w:r>
      <w:r>
        <w:rPr>
          <w:spacing w:val="-4"/>
        </w:rPr>
        <w:t xml:space="preserve"> </w:t>
      </w:r>
      <w:r>
        <w:t>corroborative</w:t>
      </w:r>
      <w:r>
        <w:rPr>
          <w:spacing w:val="-4"/>
        </w:rPr>
        <w:t xml:space="preserve"> </w:t>
      </w:r>
      <w:r>
        <w:t>or</w:t>
      </w:r>
      <w:r>
        <w:rPr>
          <w:spacing w:val="-4"/>
        </w:rPr>
        <w:t xml:space="preserve"> </w:t>
      </w:r>
      <w:r>
        <w:t>contradictory.</w:t>
      </w:r>
      <w:r>
        <w:rPr>
          <w:spacing w:val="-4"/>
        </w:rPr>
        <w:t xml:space="preserve"> </w:t>
      </w:r>
      <w:r>
        <w:t>If</w:t>
      </w:r>
      <w:r>
        <w:rPr>
          <w:spacing w:val="-4"/>
        </w:rPr>
        <w:t xml:space="preserve"> </w:t>
      </w:r>
      <w:r>
        <w:t>the</w:t>
      </w:r>
      <w:r>
        <w:rPr>
          <w:spacing w:val="-4"/>
        </w:rPr>
        <w:t xml:space="preserve"> </w:t>
      </w:r>
      <w:r>
        <w:t>auditor</w:t>
      </w:r>
      <w:r>
        <w:rPr>
          <w:spacing w:val="-4"/>
        </w:rPr>
        <w:t xml:space="preserve"> </w:t>
      </w:r>
      <w:r>
        <w:t>is</w:t>
      </w:r>
      <w:r>
        <w:rPr>
          <w:spacing w:val="-5"/>
        </w:rPr>
        <w:t xml:space="preserve"> </w:t>
      </w:r>
      <w:r>
        <w:t>unable to obtain sufficient appropriate audit evidence, the auditor should evaluate the implications for the audit or the auditor’s opinion on the financial statements in accordance with FAM 580.43 (AU-C 540.34). With respect to accounting estimates that have not been recognized, a particular focus of the auditor’s</w:t>
      </w:r>
    </w:p>
    <w:p w14:paraId="0DFDC2FD" w14:textId="77777777" w:rsidR="00046465" w:rsidRDefault="00046465">
      <w:pPr>
        <w:pStyle w:val="BodyText"/>
        <w:sectPr w:rsidR="00046465">
          <w:pgSz w:w="12240" w:h="15840"/>
          <w:pgMar w:top="1340" w:right="720" w:bottom="940" w:left="1080" w:header="721" w:footer="757" w:gutter="0"/>
          <w:cols w:space="720"/>
        </w:sectPr>
      </w:pPr>
    </w:p>
    <w:p w14:paraId="0DFDC2FE" w14:textId="77777777" w:rsidR="00046465" w:rsidRDefault="008134EB">
      <w:pPr>
        <w:pStyle w:val="BodyText"/>
        <w:spacing w:before="121"/>
        <w:ind w:left="1800" w:right="749"/>
      </w:pPr>
      <w:r>
        <w:lastRenderedPageBreak/>
        <w:t>evaluation</w:t>
      </w:r>
      <w:r>
        <w:rPr>
          <w:spacing w:val="-5"/>
        </w:rPr>
        <w:t xml:space="preserve"> </w:t>
      </w:r>
      <w:r>
        <w:t>may</w:t>
      </w:r>
      <w:r>
        <w:rPr>
          <w:spacing w:val="-4"/>
        </w:rPr>
        <w:t xml:space="preserve"> </w:t>
      </w:r>
      <w:r>
        <w:t>be</w:t>
      </w:r>
      <w:r>
        <w:rPr>
          <w:spacing w:val="-4"/>
        </w:rPr>
        <w:t xml:space="preserve"> </w:t>
      </w:r>
      <w:r>
        <w:t>whether</w:t>
      </w:r>
      <w:r>
        <w:rPr>
          <w:spacing w:val="-4"/>
        </w:rPr>
        <w:t xml:space="preserve"> </w:t>
      </w:r>
      <w:r>
        <w:t>the</w:t>
      </w:r>
      <w:r>
        <w:rPr>
          <w:spacing w:val="-4"/>
        </w:rPr>
        <w:t xml:space="preserve"> </w:t>
      </w:r>
      <w:r>
        <w:t>recognition</w:t>
      </w:r>
      <w:r>
        <w:rPr>
          <w:spacing w:val="-4"/>
        </w:rPr>
        <w:t xml:space="preserve"> </w:t>
      </w:r>
      <w:r>
        <w:t>criteria</w:t>
      </w:r>
      <w:r>
        <w:rPr>
          <w:spacing w:val="-4"/>
        </w:rPr>
        <w:t xml:space="preserve"> </w:t>
      </w:r>
      <w:r>
        <w:t>of</w:t>
      </w:r>
      <w:r>
        <w:rPr>
          <w:spacing w:val="-4"/>
        </w:rPr>
        <w:t xml:space="preserve"> </w:t>
      </w:r>
      <w:r>
        <w:t>the</w:t>
      </w:r>
      <w:r>
        <w:rPr>
          <w:spacing w:val="-4"/>
        </w:rPr>
        <w:t xml:space="preserve"> </w:t>
      </w:r>
      <w:r>
        <w:t>applicable</w:t>
      </w:r>
      <w:r>
        <w:rPr>
          <w:spacing w:val="-4"/>
        </w:rPr>
        <w:t xml:space="preserve"> </w:t>
      </w:r>
      <w:r>
        <w:t xml:space="preserve">financial reporting framework (generally U.S. GAAP) have, in fact, been met (AU-C </w:t>
      </w:r>
      <w:r>
        <w:rPr>
          <w:spacing w:val="-2"/>
        </w:rPr>
        <w:t>540.A138).</w:t>
      </w:r>
    </w:p>
    <w:p w14:paraId="0DFDC2FF" w14:textId="77777777" w:rsidR="00046465" w:rsidRDefault="008134EB">
      <w:pPr>
        <w:pStyle w:val="ListParagraph"/>
        <w:numPr>
          <w:ilvl w:val="0"/>
          <w:numId w:val="118"/>
        </w:numPr>
        <w:tabs>
          <w:tab w:val="left" w:pos="1800"/>
        </w:tabs>
        <w:spacing w:before="119"/>
        <w:ind w:left="1800" w:right="762"/>
      </w:pPr>
      <w:r>
        <w:t>The</w:t>
      </w:r>
      <w:r>
        <w:rPr>
          <w:spacing w:val="-2"/>
        </w:rPr>
        <w:t xml:space="preserve"> </w:t>
      </w:r>
      <w:r>
        <w:t>auditor</w:t>
      </w:r>
      <w:r>
        <w:rPr>
          <w:spacing w:val="-3"/>
        </w:rPr>
        <w:t xml:space="preserve"> </w:t>
      </w:r>
      <w:r>
        <w:t>should</w:t>
      </w:r>
      <w:r>
        <w:rPr>
          <w:spacing w:val="-2"/>
        </w:rPr>
        <w:t xml:space="preserve"> </w:t>
      </w:r>
      <w:r>
        <w:t>determine</w:t>
      </w:r>
      <w:r>
        <w:rPr>
          <w:spacing w:val="-2"/>
        </w:rPr>
        <w:t xml:space="preserve"> </w:t>
      </w:r>
      <w:r>
        <w:t>whether</w:t>
      </w:r>
      <w:r>
        <w:rPr>
          <w:spacing w:val="-2"/>
        </w:rPr>
        <w:t xml:space="preserve"> </w:t>
      </w:r>
      <w:r>
        <w:t>the</w:t>
      </w:r>
      <w:r>
        <w:rPr>
          <w:spacing w:val="-2"/>
        </w:rPr>
        <w:t xml:space="preserve"> </w:t>
      </w:r>
      <w:r>
        <w:t>accounting</w:t>
      </w:r>
      <w:r>
        <w:rPr>
          <w:spacing w:val="-2"/>
        </w:rPr>
        <w:t xml:space="preserve"> </w:t>
      </w:r>
      <w:r>
        <w:t>estimates</w:t>
      </w:r>
      <w:r>
        <w:rPr>
          <w:spacing w:val="-2"/>
        </w:rPr>
        <w:t xml:space="preserve"> </w:t>
      </w:r>
      <w:r>
        <w:t>and</w:t>
      </w:r>
      <w:r>
        <w:rPr>
          <w:spacing w:val="-2"/>
        </w:rPr>
        <w:t xml:space="preserve"> </w:t>
      </w:r>
      <w:r>
        <w:t>related</w:t>
      </w:r>
      <w:r>
        <w:rPr>
          <w:spacing w:val="-2"/>
        </w:rPr>
        <w:t xml:space="preserve"> </w:t>
      </w:r>
      <w:r>
        <w:t>note disclosures are either reasonable in the context of the financial reporting framework (generally U.S. GAAP) or are misstated (AU-C 540.35). The greater the degree to which an accounting estimate is subject to estimation uncertainty, the</w:t>
      </w:r>
      <w:r>
        <w:rPr>
          <w:spacing w:val="-3"/>
        </w:rPr>
        <w:t xml:space="preserve"> </w:t>
      </w:r>
      <w:r>
        <w:t>more</w:t>
      </w:r>
      <w:r>
        <w:rPr>
          <w:spacing w:val="-3"/>
        </w:rPr>
        <w:t xml:space="preserve"> </w:t>
      </w:r>
      <w:r>
        <w:t>likely</w:t>
      </w:r>
      <w:r>
        <w:rPr>
          <w:spacing w:val="-3"/>
        </w:rPr>
        <w:t xml:space="preserve"> </w:t>
      </w:r>
      <w:r>
        <w:t>the</w:t>
      </w:r>
      <w:r>
        <w:rPr>
          <w:spacing w:val="-3"/>
        </w:rPr>
        <w:t xml:space="preserve"> </w:t>
      </w:r>
      <w:r>
        <w:t>risks</w:t>
      </w:r>
      <w:r>
        <w:rPr>
          <w:spacing w:val="-4"/>
        </w:rPr>
        <w:t xml:space="preserve"> </w:t>
      </w:r>
      <w:r>
        <w:t>of</w:t>
      </w:r>
      <w:r>
        <w:rPr>
          <w:spacing w:val="-3"/>
        </w:rPr>
        <w:t xml:space="preserve"> </w:t>
      </w:r>
      <w:r>
        <w:t>material</w:t>
      </w:r>
      <w:r>
        <w:rPr>
          <w:spacing w:val="-3"/>
        </w:rPr>
        <w:t xml:space="preserve"> </w:t>
      </w:r>
      <w:r>
        <w:t>misstatement</w:t>
      </w:r>
      <w:r>
        <w:rPr>
          <w:spacing w:val="-3"/>
        </w:rPr>
        <w:t xml:space="preserve"> </w:t>
      </w:r>
      <w:r>
        <w:t>will</w:t>
      </w:r>
      <w:r>
        <w:rPr>
          <w:spacing w:val="-3"/>
        </w:rPr>
        <w:t xml:space="preserve"> </w:t>
      </w:r>
      <w:r>
        <w:t>be</w:t>
      </w:r>
      <w:r>
        <w:rPr>
          <w:spacing w:val="-3"/>
        </w:rPr>
        <w:t xml:space="preserve"> </w:t>
      </w:r>
      <w:r>
        <w:t>assessed</w:t>
      </w:r>
      <w:r>
        <w:rPr>
          <w:spacing w:val="-3"/>
        </w:rPr>
        <w:t xml:space="preserve"> </w:t>
      </w:r>
      <w:r>
        <w:t>as</w:t>
      </w:r>
      <w:r>
        <w:rPr>
          <w:spacing w:val="-3"/>
        </w:rPr>
        <w:t xml:space="preserve"> </w:t>
      </w:r>
      <w:r>
        <w:t>higher</w:t>
      </w:r>
      <w:r>
        <w:rPr>
          <w:spacing w:val="-3"/>
        </w:rPr>
        <w:t xml:space="preserve"> </w:t>
      </w:r>
      <w:r>
        <w:t>and, therefore, the more persuasive the audit evidence needs to be to determine whether management’s point estimate and related disclosures about estimation uncertainty are reasonable in the context of the applicable financial reporting framework (generally U.S. GAAP), or are misstated (AU-C 540.A113).</w:t>
      </w:r>
    </w:p>
    <w:p w14:paraId="0DFDC300" w14:textId="77777777" w:rsidR="00046465" w:rsidRDefault="008134EB">
      <w:pPr>
        <w:pStyle w:val="ListParagraph"/>
        <w:numPr>
          <w:ilvl w:val="0"/>
          <w:numId w:val="118"/>
        </w:numPr>
        <w:tabs>
          <w:tab w:val="left" w:pos="1800"/>
        </w:tabs>
        <w:spacing w:before="121"/>
        <w:ind w:left="1800" w:right="737"/>
      </w:pPr>
      <w:r>
        <w:t>In relation to the accounting estimates, the auditor should also evaluate whether management</w:t>
      </w:r>
      <w:r>
        <w:rPr>
          <w:spacing w:val="-5"/>
        </w:rPr>
        <w:t xml:space="preserve"> </w:t>
      </w:r>
      <w:r>
        <w:t>has</w:t>
      </w:r>
      <w:r>
        <w:rPr>
          <w:spacing w:val="-5"/>
        </w:rPr>
        <w:t xml:space="preserve"> </w:t>
      </w:r>
      <w:r>
        <w:t>included</w:t>
      </w:r>
      <w:r>
        <w:rPr>
          <w:spacing w:val="-5"/>
        </w:rPr>
        <w:t xml:space="preserve"> </w:t>
      </w:r>
      <w:r>
        <w:t>note</w:t>
      </w:r>
      <w:r>
        <w:rPr>
          <w:spacing w:val="-4"/>
        </w:rPr>
        <w:t xml:space="preserve"> </w:t>
      </w:r>
      <w:r>
        <w:t>disclosures</w:t>
      </w:r>
      <w:r>
        <w:rPr>
          <w:spacing w:val="-5"/>
        </w:rPr>
        <w:t xml:space="preserve"> </w:t>
      </w:r>
      <w:r>
        <w:t>beyond</w:t>
      </w:r>
      <w:r>
        <w:rPr>
          <w:spacing w:val="-5"/>
        </w:rPr>
        <w:t xml:space="preserve"> </w:t>
      </w:r>
      <w:r>
        <w:t>those</w:t>
      </w:r>
      <w:r>
        <w:rPr>
          <w:spacing w:val="-5"/>
        </w:rPr>
        <w:t xml:space="preserve"> </w:t>
      </w:r>
      <w:r>
        <w:t>specifically</w:t>
      </w:r>
      <w:r>
        <w:rPr>
          <w:spacing w:val="-5"/>
        </w:rPr>
        <w:t xml:space="preserve"> </w:t>
      </w:r>
      <w:r>
        <w:t>required</w:t>
      </w:r>
      <w:r>
        <w:rPr>
          <w:spacing w:val="-5"/>
        </w:rPr>
        <w:t xml:space="preserve"> </w:t>
      </w:r>
      <w:r>
        <w:t>by the framework that are necessary to achieve the fair presentation of the financial statements as a whole (AU-C 540.36).</w:t>
      </w:r>
    </w:p>
    <w:p w14:paraId="0DFDC301" w14:textId="77777777" w:rsidR="00046465" w:rsidRDefault="008134EB">
      <w:pPr>
        <w:pStyle w:val="BodyText"/>
        <w:spacing w:before="120"/>
        <w:ind w:left="1800" w:right="749"/>
      </w:pPr>
      <w:r>
        <w:t>Additionally, the auditor should evaluate whether accounting estimates, while individually reasonable, consistently overstate or understate components of the financial</w:t>
      </w:r>
      <w:r>
        <w:rPr>
          <w:spacing w:val="-5"/>
        </w:rPr>
        <w:t xml:space="preserve"> </w:t>
      </w:r>
      <w:r>
        <w:t>statements,</w:t>
      </w:r>
      <w:r>
        <w:rPr>
          <w:spacing w:val="-4"/>
        </w:rPr>
        <w:t xml:space="preserve"> </w:t>
      </w:r>
      <w:r>
        <w:t>such</w:t>
      </w:r>
      <w:r>
        <w:rPr>
          <w:spacing w:val="-4"/>
        </w:rPr>
        <w:t xml:space="preserve"> </w:t>
      </w:r>
      <w:r>
        <w:t>as</w:t>
      </w:r>
      <w:r>
        <w:rPr>
          <w:spacing w:val="-4"/>
        </w:rPr>
        <w:t xml:space="preserve"> </w:t>
      </w:r>
      <w:r>
        <w:t>total</w:t>
      </w:r>
      <w:r>
        <w:rPr>
          <w:spacing w:val="-4"/>
        </w:rPr>
        <w:t xml:space="preserve"> </w:t>
      </w:r>
      <w:r>
        <w:t>assets</w:t>
      </w:r>
      <w:r>
        <w:rPr>
          <w:spacing w:val="-4"/>
        </w:rPr>
        <w:t xml:space="preserve"> </w:t>
      </w:r>
      <w:r>
        <w:t>or</w:t>
      </w:r>
      <w:r>
        <w:rPr>
          <w:spacing w:val="-4"/>
        </w:rPr>
        <w:t xml:space="preserve"> </w:t>
      </w:r>
      <w:r>
        <w:t>total</w:t>
      </w:r>
      <w:r>
        <w:rPr>
          <w:spacing w:val="-5"/>
        </w:rPr>
        <w:t xml:space="preserve"> </w:t>
      </w:r>
      <w:r>
        <w:t>expenditures,</w:t>
      </w:r>
      <w:r>
        <w:rPr>
          <w:spacing w:val="-4"/>
        </w:rPr>
        <w:t xml:space="preserve"> </w:t>
      </w:r>
      <w:r>
        <w:t>and</w:t>
      </w:r>
      <w:r>
        <w:rPr>
          <w:spacing w:val="-4"/>
        </w:rPr>
        <w:t xml:space="preserve"> </w:t>
      </w:r>
      <w:r>
        <w:t>indicate</w:t>
      </w:r>
      <w:r>
        <w:rPr>
          <w:spacing w:val="-4"/>
        </w:rPr>
        <w:t xml:space="preserve"> </w:t>
      </w:r>
      <w:r>
        <w:t>that possible management bias exists in the accounting estimates. If so, the auditor should evaluate the effects on the financial statements in addition to any uncorrected misstatements when determining the appropriate type of opinion.</w:t>
      </w:r>
    </w:p>
    <w:p w14:paraId="0DFDC302" w14:textId="77777777" w:rsidR="00046465" w:rsidRDefault="008134EB">
      <w:pPr>
        <w:pStyle w:val="BodyText"/>
        <w:ind w:left="1800"/>
      </w:pPr>
      <w:r>
        <w:t>See</w:t>
      </w:r>
      <w:r>
        <w:rPr>
          <w:spacing w:val="-6"/>
        </w:rPr>
        <w:t xml:space="preserve"> </w:t>
      </w:r>
      <w:r>
        <w:t>FAM</w:t>
      </w:r>
      <w:r>
        <w:rPr>
          <w:spacing w:val="-7"/>
        </w:rPr>
        <w:t xml:space="preserve"> </w:t>
      </w:r>
      <w:r>
        <w:t>540</w:t>
      </w:r>
      <w:r>
        <w:rPr>
          <w:spacing w:val="-5"/>
        </w:rPr>
        <w:t xml:space="preserve"> </w:t>
      </w:r>
      <w:r>
        <w:t>for</w:t>
      </w:r>
      <w:r>
        <w:rPr>
          <w:spacing w:val="-6"/>
        </w:rPr>
        <w:t xml:space="preserve"> </w:t>
      </w:r>
      <w:r>
        <w:t>further</w:t>
      </w:r>
      <w:r>
        <w:rPr>
          <w:spacing w:val="-5"/>
        </w:rPr>
        <w:t xml:space="preserve"> </w:t>
      </w:r>
      <w:r>
        <w:t>guidance</w:t>
      </w:r>
      <w:r>
        <w:rPr>
          <w:spacing w:val="-6"/>
        </w:rPr>
        <w:t xml:space="preserve"> </w:t>
      </w:r>
      <w:r>
        <w:t>on</w:t>
      </w:r>
      <w:r>
        <w:rPr>
          <w:spacing w:val="-6"/>
        </w:rPr>
        <w:t xml:space="preserve"> </w:t>
      </w:r>
      <w:r>
        <w:t>uncorrected</w:t>
      </w:r>
      <w:r>
        <w:rPr>
          <w:spacing w:val="-7"/>
        </w:rPr>
        <w:t xml:space="preserve"> </w:t>
      </w:r>
      <w:r>
        <w:rPr>
          <w:spacing w:val="-2"/>
        </w:rPr>
        <w:t>misstatements.</w:t>
      </w:r>
    </w:p>
    <w:p w14:paraId="0DFDC303" w14:textId="77777777" w:rsidR="00046465" w:rsidRDefault="008134EB">
      <w:pPr>
        <w:pStyle w:val="ListParagraph"/>
        <w:numPr>
          <w:ilvl w:val="0"/>
          <w:numId w:val="118"/>
        </w:numPr>
        <w:tabs>
          <w:tab w:val="left" w:pos="1801"/>
        </w:tabs>
        <w:spacing w:line="253" w:lineRule="exact"/>
        <w:ind w:left="1801" w:hanging="720"/>
      </w:pPr>
      <w:r>
        <w:t>For</w:t>
      </w:r>
      <w:r>
        <w:rPr>
          <w:spacing w:val="-9"/>
        </w:rPr>
        <w:t xml:space="preserve"> </w:t>
      </w:r>
      <w:r>
        <w:t>documentation</w:t>
      </w:r>
      <w:r>
        <w:rPr>
          <w:spacing w:val="-9"/>
        </w:rPr>
        <w:t xml:space="preserve"> </w:t>
      </w:r>
      <w:r>
        <w:t>requirements</w:t>
      </w:r>
      <w:r>
        <w:rPr>
          <w:spacing w:val="-8"/>
        </w:rPr>
        <w:t xml:space="preserve"> </w:t>
      </w:r>
      <w:r>
        <w:t>related</w:t>
      </w:r>
      <w:r>
        <w:rPr>
          <w:spacing w:val="-9"/>
        </w:rPr>
        <w:t xml:space="preserve"> </w:t>
      </w:r>
      <w:r>
        <w:t>to</w:t>
      </w:r>
      <w:r>
        <w:rPr>
          <w:spacing w:val="-9"/>
        </w:rPr>
        <w:t xml:space="preserve"> </w:t>
      </w:r>
      <w:r>
        <w:t>accounting</w:t>
      </w:r>
      <w:r>
        <w:rPr>
          <w:spacing w:val="-9"/>
        </w:rPr>
        <w:t xml:space="preserve"> </w:t>
      </w:r>
      <w:r>
        <w:t>estimates,</w:t>
      </w:r>
      <w:r>
        <w:rPr>
          <w:spacing w:val="-8"/>
        </w:rPr>
        <w:t xml:space="preserve"> </w:t>
      </w:r>
      <w:r>
        <w:t>see</w:t>
      </w:r>
      <w:r>
        <w:rPr>
          <w:spacing w:val="-9"/>
        </w:rPr>
        <w:t xml:space="preserve"> </w:t>
      </w:r>
      <w:r>
        <w:rPr>
          <w:spacing w:val="-5"/>
        </w:rPr>
        <w:t>FAM</w:t>
      </w:r>
    </w:p>
    <w:p w14:paraId="0DFDC304" w14:textId="77777777" w:rsidR="00046465" w:rsidRDefault="008134EB">
      <w:pPr>
        <w:pStyle w:val="BodyText"/>
        <w:ind w:left="1801"/>
      </w:pPr>
      <w:r>
        <w:t>290.04</w:t>
      </w:r>
      <w:r>
        <w:rPr>
          <w:spacing w:val="-5"/>
        </w:rPr>
        <w:t xml:space="preserve"> </w:t>
      </w:r>
      <w:r>
        <w:t>(entity</w:t>
      </w:r>
      <w:r>
        <w:rPr>
          <w:spacing w:val="-5"/>
        </w:rPr>
        <w:t xml:space="preserve"> </w:t>
      </w:r>
      <w:r>
        <w:t>profile),</w:t>
      </w:r>
      <w:r>
        <w:rPr>
          <w:spacing w:val="-5"/>
        </w:rPr>
        <w:t xml:space="preserve"> </w:t>
      </w:r>
      <w:r>
        <w:t>390.06</w:t>
      </w:r>
      <w:r>
        <w:rPr>
          <w:spacing w:val="-4"/>
        </w:rPr>
        <w:t xml:space="preserve"> </w:t>
      </w:r>
      <w:r>
        <w:t>(cycle</w:t>
      </w:r>
      <w:r>
        <w:rPr>
          <w:spacing w:val="-6"/>
        </w:rPr>
        <w:t xml:space="preserve"> </w:t>
      </w:r>
      <w:r>
        <w:t>memorandums),</w:t>
      </w:r>
      <w:r>
        <w:rPr>
          <w:spacing w:val="-5"/>
        </w:rPr>
        <w:t xml:space="preserve"> </w:t>
      </w:r>
      <w:r>
        <w:t>and</w:t>
      </w:r>
      <w:r>
        <w:rPr>
          <w:spacing w:val="-5"/>
        </w:rPr>
        <w:t xml:space="preserve"> </w:t>
      </w:r>
      <w:r>
        <w:t>490.06f</w:t>
      </w:r>
      <w:r>
        <w:rPr>
          <w:spacing w:val="-5"/>
        </w:rPr>
        <w:t xml:space="preserve"> </w:t>
      </w:r>
      <w:r>
        <w:t>(testing</w:t>
      </w:r>
      <w:r>
        <w:rPr>
          <w:spacing w:val="-5"/>
        </w:rPr>
        <w:t xml:space="preserve"> </w:t>
      </w:r>
      <w:r>
        <w:t xml:space="preserve">phase </w:t>
      </w:r>
      <w:r>
        <w:rPr>
          <w:spacing w:val="-2"/>
        </w:rPr>
        <w:t>documentation).</w:t>
      </w:r>
    </w:p>
    <w:p w14:paraId="0DFDC305" w14:textId="77777777" w:rsidR="00046465" w:rsidRDefault="00046465">
      <w:pPr>
        <w:pStyle w:val="BodyText"/>
        <w:sectPr w:rsidR="00046465">
          <w:pgSz w:w="12240" w:h="15840"/>
          <w:pgMar w:top="1340" w:right="720" w:bottom="940" w:left="1080" w:header="721" w:footer="757" w:gutter="0"/>
          <w:cols w:space="720"/>
        </w:sectPr>
      </w:pPr>
    </w:p>
    <w:p w14:paraId="0DFDC306" w14:textId="77777777" w:rsidR="00046465" w:rsidRDefault="008134EB">
      <w:pPr>
        <w:pStyle w:val="Heading3"/>
        <w:rPr>
          <w:u w:val="none"/>
        </w:rPr>
      </w:pPr>
      <w:bookmarkStart w:id="290" w:name="921_–_Auditing_Fund_Balance_with_Treasur"/>
      <w:bookmarkStart w:id="291" w:name="_bookmark164"/>
      <w:bookmarkEnd w:id="290"/>
      <w:bookmarkEnd w:id="291"/>
      <w:r>
        <w:lastRenderedPageBreak/>
        <w:t>921</w:t>
      </w:r>
      <w:r>
        <w:rPr>
          <w:spacing w:val="-6"/>
        </w:rPr>
        <w:t xml:space="preserve"> </w:t>
      </w:r>
      <w:r>
        <w:t>–</w:t>
      </w:r>
      <w:r>
        <w:rPr>
          <w:spacing w:val="-16"/>
        </w:rPr>
        <w:t xml:space="preserve"> </w:t>
      </w:r>
      <w:r>
        <w:t>Auditing</w:t>
      </w:r>
      <w:r>
        <w:rPr>
          <w:spacing w:val="-3"/>
        </w:rPr>
        <w:t xml:space="preserve"> </w:t>
      </w:r>
      <w:r>
        <w:t>Fund</w:t>
      </w:r>
      <w:r>
        <w:rPr>
          <w:spacing w:val="-4"/>
        </w:rPr>
        <w:t xml:space="preserve"> </w:t>
      </w:r>
      <w:r>
        <w:t>Balance</w:t>
      </w:r>
      <w:r>
        <w:rPr>
          <w:spacing w:val="-3"/>
        </w:rPr>
        <w:t xml:space="preserve"> </w:t>
      </w:r>
      <w:r>
        <w:t>with</w:t>
      </w:r>
      <w:r>
        <w:rPr>
          <w:spacing w:val="-3"/>
        </w:rPr>
        <w:t xml:space="preserve"> </w:t>
      </w:r>
      <w:r>
        <w:rPr>
          <w:spacing w:val="-2"/>
        </w:rPr>
        <w:t>Treasury</w:t>
      </w:r>
    </w:p>
    <w:p w14:paraId="0DFDC307" w14:textId="77777777" w:rsidR="00046465" w:rsidRDefault="00046465">
      <w:pPr>
        <w:pStyle w:val="BodyText"/>
        <w:spacing w:before="38"/>
        <w:rPr>
          <w:b/>
          <w:sz w:val="28"/>
        </w:rPr>
      </w:pPr>
    </w:p>
    <w:p w14:paraId="0DFDC308" w14:textId="77777777" w:rsidR="00046465" w:rsidRDefault="008134EB">
      <w:pPr>
        <w:pStyle w:val="Heading4"/>
        <w:spacing w:before="1"/>
      </w:pPr>
      <w:bookmarkStart w:id="292" w:name="Overview"/>
      <w:bookmarkEnd w:id="292"/>
      <w:r>
        <w:rPr>
          <w:spacing w:val="-2"/>
        </w:rPr>
        <w:t>Overview</w:t>
      </w:r>
    </w:p>
    <w:p w14:paraId="0DFDC309" w14:textId="77777777" w:rsidR="00046465" w:rsidRDefault="008134EB">
      <w:pPr>
        <w:pStyle w:val="ListParagraph"/>
        <w:numPr>
          <w:ilvl w:val="0"/>
          <w:numId w:val="3"/>
        </w:numPr>
        <w:tabs>
          <w:tab w:val="left" w:pos="1800"/>
        </w:tabs>
        <w:spacing w:before="119"/>
        <w:ind w:right="812"/>
      </w:pPr>
      <w:r>
        <w:t>This section provides guidance on auditing fund balance with Treasury (FBWT) accounts. A federal entity’s FBWT account (USSGL account 1010) is an intragovernmental asset account, unique to the U.S. government, representing the</w:t>
      </w:r>
      <w:r>
        <w:rPr>
          <w:spacing w:val="-3"/>
        </w:rPr>
        <w:t xml:space="preserve"> </w:t>
      </w:r>
      <w:r>
        <w:t>aggregate</w:t>
      </w:r>
      <w:r>
        <w:rPr>
          <w:spacing w:val="-3"/>
        </w:rPr>
        <w:t xml:space="preserve"> </w:t>
      </w:r>
      <w:r>
        <w:t>amount</w:t>
      </w:r>
      <w:r>
        <w:rPr>
          <w:spacing w:val="-3"/>
        </w:rPr>
        <w:t xml:space="preserve"> </w:t>
      </w:r>
      <w:r>
        <w:t>of</w:t>
      </w:r>
      <w:r>
        <w:rPr>
          <w:spacing w:val="-3"/>
        </w:rPr>
        <w:t xml:space="preserve"> </w:t>
      </w:r>
      <w:r>
        <w:t>funds</w:t>
      </w:r>
      <w:r>
        <w:rPr>
          <w:spacing w:val="-3"/>
        </w:rPr>
        <w:t xml:space="preserve"> </w:t>
      </w:r>
      <w:r>
        <w:t>with</w:t>
      </w:r>
      <w:r>
        <w:rPr>
          <w:spacing w:val="-4"/>
        </w:rPr>
        <w:t xml:space="preserve"> </w:t>
      </w:r>
      <w:r>
        <w:t>Treasury</w:t>
      </w:r>
      <w:r>
        <w:rPr>
          <w:spacing w:val="-3"/>
        </w:rPr>
        <w:t xml:space="preserve"> </w:t>
      </w:r>
      <w:r>
        <w:t>for</w:t>
      </w:r>
      <w:r>
        <w:rPr>
          <w:spacing w:val="-4"/>
        </w:rPr>
        <w:t xml:space="preserve"> </w:t>
      </w:r>
      <w:r>
        <w:t>which</w:t>
      </w:r>
      <w:r>
        <w:rPr>
          <w:spacing w:val="-3"/>
        </w:rPr>
        <w:t xml:space="preserve"> </w:t>
      </w:r>
      <w:r>
        <w:t>the</w:t>
      </w:r>
      <w:r>
        <w:rPr>
          <w:spacing w:val="-3"/>
        </w:rPr>
        <w:t xml:space="preserve"> </w:t>
      </w:r>
      <w:r>
        <w:t>entity</w:t>
      </w:r>
      <w:r>
        <w:rPr>
          <w:spacing w:val="-3"/>
        </w:rPr>
        <w:t xml:space="preserve"> </w:t>
      </w:r>
      <w:r>
        <w:t>is</w:t>
      </w:r>
      <w:r>
        <w:rPr>
          <w:spacing w:val="-4"/>
        </w:rPr>
        <w:t xml:space="preserve"> </w:t>
      </w:r>
      <w:r>
        <w:t>authorized</w:t>
      </w:r>
      <w:r>
        <w:rPr>
          <w:spacing w:val="-3"/>
        </w:rPr>
        <w:t xml:space="preserve"> </w:t>
      </w:r>
      <w:r>
        <w:t>to make</w:t>
      </w:r>
      <w:r>
        <w:rPr>
          <w:spacing w:val="-1"/>
        </w:rPr>
        <w:t xml:space="preserve"> </w:t>
      </w:r>
      <w:r>
        <w:t>expenditures</w:t>
      </w:r>
      <w:r>
        <w:rPr>
          <w:spacing w:val="-1"/>
        </w:rPr>
        <w:t xml:space="preserve"> </w:t>
      </w:r>
      <w:r>
        <w:t>and</w:t>
      </w:r>
      <w:r>
        <w:rPr>
          <w:spacing w:val="-2"/>
        </w:rPr>
        <w:t xml:space="preserve"> </w:t>
      </w:r>
      <w:r>
        <w:t>pay</w:t>
      </w:r>
      <w:r>
        <w:rPr>
          <w:spacing w:val="-1"/>
        </w:rPr>
        <w:t xml:space="preserve"> </w:t>
      </w:r>
      <w:r>
        <w:t>liabilities.</w:t>
      </w:r>
      <w:r>
        <w:rPr>
          <w:spacing w:val="-1"/>
        </w:rPr>
        <w:t xml:space="preserve"> </w:t>
      </w:r>
      <w:r>
        <w:t>From</w:t>
      </w:r>
      <w:r>
        <w:rPr>
          <w:spacing w:val="-2"/>
        </w:rPr>
        <w:t xml:space="preserve"> </w:t>
      </w:r>
      <w:r>
        <w:t>the</w:t>
      </w:r>
      <w:r>
        <w:rPr>
          <w:spacing w:val="-1"/>
        </w:rPr>
        <w:t xml:space="preserve"> </w:t>
      </w:r>
      <w:r>
        <w:t>entity’s</w:t>
      </w:r>
      <w:r>
        <w:rPr>
          <w:spacing w:val="-2"/>
        </w:rPr>
        <w:t xml:space="preserve"> </w:t>
      </w:r>
      <w:r>
        <w:t>perspective,</w:t>
      </w:r>
      <w:r>
        <w:rPr>
          <w:spacing w:val="-1"/>
        </w:rPr>
        <w:t xml:space="preserve"> </w:t>
      </w:r>
      <w:r>
        <w:t>FBWT</w:t>
      </w:r>
      <w:r>
        <w:rPr>
          <w:spacing w:val="-1"/>
        </w:rPr>
        <w:t xml:space="preserve"> </w:t>
      </w:r>
      <w:r>
        <w:t>is</w:t>
      </w:r>
      <w:r>
        <w:rPr>
          <w:spacing w:val="-1"/>
        </w:rPr>
        <w:t xml:space="preserve"> </w:t>
      </w:r>
      <w:r>
        <w:t xml:space="preserve">an asset because it represents the entity’s claim to the federal government’s </w:t>
      </w:r>
      <w:r>
        <w:rPr>
          <w:spacing w:val="-2"/>
        </w:rPr>
        <w:t>resources.</w:t>
      </w:r>
    </w:p>
    <w:p w14:paraId="0DFDC30A" w14:textId="77777777" w:rsidR="00046465" w:rsidRDefault="008134EB">
      <w:pPr>
        <w:pStyle w:val="ListParagraph"/>
        <w:numPr>
          <w:ilvl w:val="0"/>
          <w:numId w:val="3"/>
        </w:numPr>
        <w:tabs>
          <w:tab w:val="left" w:pos="1799"/>
        </w:tabs>
        <w:spacing w:before="119"/>
        <w:ind w:left="1799" w:right="740" w:hanging="720"/>
      </w:pPr>
      <w:r>
        <w:t>Entities</w:t>
      </w:r>
      <w:r>
        <w:rPr>
          <w:spacing w:val="-4"/>
        </w:rPr>
        <w:t xml:space="preserve"> </w:t>
      </w:r>
      <w:r>
        <w:t>record</w:t>
      </w:r>
      <w:r>
        <w:rPr>
          <w:spacing w:val="-4"/>
        </w:rPr>
        <w:t xml:space="preserve"> </w:t>
      </w:r>
      <w:r>
        <w:t>their</w:t>
      </w:r>
      <w:r>
        <w:rPr>
          <w:spacing w:val="-4"/>
        </w:rPr>
        <w:t xml:space="preserve"> </w:t>
      </w:r>
      <w:r>
        <w:t>budget</w:t>
      </w:r>
      <w:r>
        <w:rPr>
          <w:spacing w:val="-4"/>
        </w:rPr>
        <w:t xml:space="preserve"> </w:t>
      </w:r>
      <w:r>
        <w:t>authority</w:t>
      </w:r>
      <w:r>
        <w:rPr>
          <w:spacing w:val="-5"/>
        </w:rPr>
        <w:t xml:space="preserve"> </w:t>
      </w:r>
      <w:r>
        <w:t>in</w:t>
      </w:r>
      <w:r>
        <w:rPr>
          <w:spacing w:val="-4"/>
        </w:rPr>
        <w:t xml:space="preserve"> </w:t>
      </w:r>
      <w:r>
        <w:t>FBWT</w:t>
      </w:r>
      <w:r>
        <w:rPr>
          <w:spacing w:val="-4"/>
        </w:rPr>
        <w:t xml:space="preserve"> </w:t>
      </w:r>
      <w:r>
        <w:t>accounts</w:t>
      </w:r>
      <w:r>
        <w:rPr>
          <w:spacing w:val="-4"/>
        </w:rPr>
        <w:t xml:space="preserve"> </w:t>
      </w:r>
      <w:r>
        <w:t>with</w:t>
      </w:r>
      <w:r>
        <w:rPr>
          <w:spacing w:val="-5"/>
        </w:rPr>
        <w:t xml:space="preserve"> </w:t>
      </w:r>
      <w:r>
        <w:t>an</w:t>
      </w:r>
      <w:r>
        <w:rPr>
          <w:spacing w:val="-4"/>
        </w:rPr>
        <w:t xml:space="preserve"> </w:t>
      </w:r>
      <w:r>
        <w:t>offsetting</w:t>
      </w:r>
      <w:r>
        <w:rPr>
          <w:spacing w:val="-5"/>
        </w:rPr>
        <w:t xml:space="preserve"> </w:t>
      </w:r>
      <w:r>
        <w:t>amount to unexpended appropriations (USSGL account series 3100). FBWT increases</w:t>
      </w:r>
      <w:r>
        <w:rPr>
          <w:spacing w:val="40"/>
        </w:rPr>
        <w:t xml:space="preserve"> </w:t>
      </w:r>
      <w:r>
        <w:t>as funding is obtained (for example, through appropriations, nonexpenditure transfers, amounts borrowed, or offsetting collections</w:t>
      </w:r>
      <w:hyperlink w:anchor="_bookmark165" w:history="1">
        <w:r>
          <w:rPr>
            <w:position w:val="7"/>
            <w:sz w:val="14"/>
          </w:rPr>
          <w:t>21</w:t>
        </w:r>
      </w:hyperlink>
      <w:r>
        <w:t>) and decreases as amounts are disbursed (for example, through cash or intragovernmental payments).</w:t>
      </w:r>
      <w:hyperlink w:anchor="_bookmark166" w:history="1">
        <w:r>
          <w:rPr>
            <w:position w:val="7"/>
            <w:sz w:val="14"/>
          </w:rPr>
          <w:t>22</w:t>
        </w:r>
      </w:hyperlink>
      <w:r>
        <w:rPr>
          <w:spacing w:val="37"/>
          <w:position w:val="7"/>
          <w:sz w:val="14"/>
        </w:rPr>
        <w:t xml:space="preserve"> </w:t>
      </w:r>
      <w:r>
        <w:t>Most entities have multiple FBWT accounts funded by different appropriations that are included in the financial statement FBWT line item.</w:t>
      </w:r>
      <w:hyperlink w:anchor="_bookmark167" w:history="1">
        <w:r>
          <w:rPr>
            <w:position w:val="7"/>
            <w:sz w:val="14"/>
          </w:rPr>
          <w:t>23</w:t>
        </w:r>
      </w:hyperlink>
      <w:r>
        <w:rPr>
          <w:spacing w:val="40"/>
          <w:position w:val="7"/>
          <w:sz w:val="14"/>
        </w:rPr>
        <w:t xml:space="preserve"> </w:t>
      </w:r>
      <w:r>
        <w:t>These accounts are identified by specific Treasury account symbols (TAS).</w:t>
      </w:r>
    </w:p>
    <w:p w14:paraId="0DFDC30B" w14:textId="77777777" w:rsidR="00046465" w:rsidRDefault="008134EB">
      <w:pPr>
        <w:spacing w:before="1"/>
        <w:ind w:left="1799" w:right="749"/>
      </w:pPr>
      <w:r>
        <w:t xml:space="preserve">Treasury maintains the </w:t>
      </w:r>
      <w:r>
        <w:rPr>
          <w:i/>
        </w:rPr>
        <w:t>Federal Accounting Symbols and Titles (FAST) Book</w:t>
      </w:r>
      <w:r>
        <w:t>, which</w:t>
      </w:r>
      <w:r>
        <w:rPr>
          <w:spacing w:val="-4"/>
        </w:rPr>
        <w:t xml:space="preserve"> </w:t>
      </w:r>
      <w:r>
        <w:t>lists</w:t>
      </w:r>
      <w:r>
        <w:rPr>
          <w:spacing w:val="-4"/>
        </w:rPr>
        <w:t xml:space="preserve"> </w:t>
      </w:r>
      <w:r>
        <w:t>receipt,</w:t>
      </w:r>
      <w:r>
        <w:rPr>
          <w:spacing w:val="-4"/>
        </w:rPr>
        <w:t xml:space="preserve"> </w:t>
      </w:r>
      <w:r>
        <w:t>appropriation,</w:t>
      </w:r>
      <w:r>
        <w:rPr>
          <w:spacing w:val="-4"/>
        </w:rPr>
        <w:t xml:space="preserve"> </w:t>
      </w:r>
      <w:r>
        <w:t>and</w:t>
      </w:r>
      <w:r>
        <w:rPr>
          <w:spacing w:val="-4"/>
        </w:rPr>
        <w:t xml:space="preserve"> </w:t>
      </w:r>
      <w:r>
        <w:t>other</w:t>
      </w:r>
      <w:r>
        <w:rPr>
          <w:spacing w:val="-4"/>
        </w:rPr>
        <w:t xml:space="preserve"> </w:t>
      </w:r>
      <w:r>
        <w:t>fund</w:t>
      </w:r>
      <w:r>
        <w:rPr>
          <w:spacing w:val="-5"/>
        </w:rPr>
        <w:t xml:space="preserve"> </w:t>
      </w:r>
      <w:r>
        <w:t>account</w:t>
      </w:r>
      <w:r>
        <w:rPr>
          <w:spacing w:val="-4"/>
        </w:rPr>
        <w:t xml:space="preserve"> </w:t>
      </w:r>
      <w:r>
        <w:t>symbols</w:t>
      </w:r>
      <w:r>
        <w:rPr>
          <w:spacing w:val="-3"/>
        </w:rPr>
        <w:t xml:space="preserve"> </w:t>
      </w:r>
      <w:r>
        <w:t>and</w:t>
      </w:r>
      <w:r>
        <w:rPr>
          <w:spacing w:val="-4"/>
        </w:rPr>
        <w:t xml:space="preserve"> </w:t>
      </w:r>
      <w:r>
        <w:t>titles</w:t>
      </w:r>
      <w:r>
        <w:rPr>
          <w:spacing w:val="-4"/>
        </w:rPr>
        <w:t xml:space="preserve"> </w:t>
      </w:r>
      <w:r>
        <w:t>that Treasury assigns.</w:t>
      </w:r>
    </w:p>
    <w:p w14:paraId="0DFDC30C" w14:textId="77777777" w:rsidR="00046465" w:rsidRDefault="008134EB">
      <w:pPr>
        <w:pStyle w:val="ListParagraph"/>
        <w:numPr>
          <w:ilvl w:val="0"/>
          <w:numId w:val="3"/>
        </w:numPr>
        <w:tabs>
          <w:tab w:val="left" w:pos="1799"/>
        </w:tabs>
        <w:spacing w:before="119"/>
        <w:ind w:left="1799" w:right="1363"/>
      </w:pPr>
      <w:r>
        <w:t>This</w:t>
      </w:r>
      <w:r>
        <w:rPr>
          <w:spacing w:val="-4"/>
        </w:rPr>
        <w:t xml:space="preserve"> </w:t>
      </w:r>
      <w:r>
        <w:t>section</w:t>
      </w:r>
      <w:r>
        <w:rPr>
          <w:spacing w:val="-5"/>
        </w:rPr>
        <w:t xml:space="preserve"> </w:t>
      </w:r>
      <w:r>
        <w:t>also</w:t>
      </w:r>
      <w:r>
        <w:rPr>
          <w:spacing w:val="-4"/>
        </w:rPr>
        <w:t xml:space="preserve"> </w:t>
      </w:r>
      <w:r>
        <w:t>provides</w:t>
      </w:r>
      <w:r>
        <w:rPr>
          <w:spacing w:val="-4"/>
        </w:rPr>
        <w:t xml:space="preserve"> </w:t>
      </w:r>
      <w:r>
        <w:t>guidance</w:t>
      </w:r>
      <w:r>
        <w:rPr>
          <w:spacing w:val="-5"/>
        </w:rPr>
        <w:t xml:space="preserve"> </w:t>
      </w:r>
      <w:r>
        <w:t>to</w:t>
      </w:r>
      <w:r>
        <w:rPr>
          <w:spacing w:val="-4"/>
        </w:rPr>
        <w:t xml:space="preserve"> </w:t>
      </w:r>
      <w:r>
        <w:t>the</w:t>
      </w:r>
      <w:r>
        <w:rPr>
          <w:spacing w:val="-4"/>
        </w:rPr>
        <w:t xml:space="preserve"> </w:t>
      </w:r>
      <w:r>
        <w:t>auditor</w:t>
      </w:r>
      <w:r>
        <w:rPr>
          <w:spacing w:val="-4"/>
        </w:rPr>
        <w:t xml:space="preserve"> </w:t>
      </w:r>
      <w:r>
        <w:t>when</w:t>
      </w:r>
      <w:r>
        <w:rPr>
          <w:spacing w:val="-4"/>
        </w:rPr>
        <w:t xml:space="preserve"> </w:t>
      </w:r>
      <w:r>
        <w:t>auditing</w:t>
      </w:r>
      <w:r>
        <w:rPr>
          <w:spacing w:val="-4"/>
        </w:rPr>
        <w:t xml:space="preserve"> </w:t>
      </w:r>
      <w:r>
        <w:t>TASs</w:t>
      </w:r>
      <w:r>
        <w:rPr>
          <w:spacing w:val="-4"/>
        </w:rPr>
        <w:t xml:space="preserve"> </w:t>
      </w:r>
      <w:r>
        <w:t>and business event type codes (BETC) associated with FBWT transactions.</w:t>
      </w:r>
    </w:p>
    <w:p w14:paraId="0DFDC30D" w14:textId="77777777" w:rsidR="00046465" w:rsidRDefault="008134EB">
      <w:pPr>
        <w:pStyle w:val="BodyText"/>
        <w:spacing w:before="1"/>
        <w:ind w:left="1799" w:right="749"/>
      </w:pPr>
      <w:r>
        <w:t>Determining</w:t>
      </w:r>
      <w:r>
        <w:rPr>
          <w:spacing w:val="-4"/>
        </w:rPr>
        <w:t xml:space="preserve"> </w:t>
      </w:r>
      <w:r>
        <w:t>the</w:t>
      </w:r>
      <w:r>
        <w:rPr>
          <w:spacing w:val="-4"/>
        </w:rPr>
        <w:t xml:space="preserve"> </w:t>
      </w:r>
      <w:r>
        <w:t>accuracy</w:t>
      </w:r>
      <w:r>
        <w:rPr>
          <w:spacing w:val="-4"/>
        </w:rPr>
        <w:t xml:space="preserve"> </w:t>
      </w:r>
      <w:r>
        <w:t>of</w:t>
      </w:r>
      <w:r>
        <w:rPr>
          <w:spacing w:val="-4"/>
        </w:rPr>
        <w:t xml:space="preserve"> </w:t>
      </w:r>
      <w:r>
        <w:t>TASs</w:t>
      </w:r>
      <w:r>
        <w:rPr>
          <w:spacing w:val="-4"/>
        </w:rPr>
        <w:t xml:space="preserve"> </w:t>
      </w:r>
      <w:r>
        <w:t>and</w:t>
      </w:r>
      <w:r>
        <w:rPr>
          <w:spacing w:val="-4"/>
        </w:rPr>
        <w:t xml:space="preserve"> </w:t>
      </w:r>
      <w:r>
        <w:t>BETCs</w:t>
      </w:r>
      <w:r>
        <w:rPr>
          <w:spacing w:val="-4"/>
        </w:rPr>
        <w:t xml:space="preserve"> </w:t>
      </w:r>
      <w:r>
        <w:t>assigned</w:t>
      </w:r>
      <w:r>
        <w:rPr>
          <w:spacing w:val="-4"/>
        </w:rPr>
        <w:t xml:space="preserve"> </w:t>
      </w:r>
      <w:r>
        <w:t>to</w:t>
      </w:r>
      <w:r>
        <w:rPr>
          <w:spacing w:val="-4"/>
        </w:rPr>
        <w:t xml:space="preserve"> </w:t>
      </w:r>
      <w:r>
        <w:t>FBWT</w:t>
      </w:r>
      <w:r>
        <w:rPr>
          <w:spacing w:val="-4"/>
        </w:rPr>
        <w:t xml:space="preserve"> </w:t>
      </w:r>
      <w:r>
        <w:t>transactions</w:t>
      </w:r>
      <w:r>
        <w:rPr>
          <w:spacing w:val="-4"/>
        </w:rPr>
        <w:t xml:space="preserve"> </w:t>
      </w:r>
      <w:r>
        <w:t>is essential to determining whether the entities’ financial statements are consistent with the U.S. government’s consolidated financial statements.</w:t>
      </w:r>
    </w:p>
    <w:p w14:paraId="0DFDC30E" w14:textId="77777777" w:rsidR="00046465" w:rsidRDefault="008134EB">
      <w:pPr>
        <w:pStyle w:val="ListParagraph"/>
        <w:numPr>
          <w:ilvl w:val="1"/>
          <w:numId w:val="3"/>
        </w:numPr>
        <w:tabs>
          <w:tab w:val="left" w:pos="2159"/>
        </w:tabs>
        <w:spacing w:before="119"/>
        <w:ind w:right="771"/>
      </w:pPr>
      <w:r>
        <w:t>A TAS is used to represent the federal entity’s individual receipt, appropriation, outlay, and other fund account symbols as assigned by Treasury.</w:t>
      </w:r>
      <w:r>
        <w:rPr>
          <w:spacing w:val="-4"/>
        </w:rPr>
        <w:t xml:space="preserve"> </w:t>
      </w:r>
      <w:r>
        <w:t>It</w:t>
      </w:r>
      <w:r>
        <w:rPr>
          <w:spacing w:val="-4"/>
        </w:rPr>
        <w:t xml:space="preserve"> </w:t>
      </w:r>
      <w:r>
        <w:t>is</w:t>
      </w:r>
      <w:r>
        <w:rPr>
          <w:spacing w:val="-4"/>
        </w:rPr>
        <w:t xml:space="preserve"> </w:t>
      </w:r>
      <w:r>
        <w:t>composed</w:t>
      </w:r>
      <w:r>
        <w:rPr>
          <w:spacing w:val="-5"/>
        </w:rPr>
        <w:t xml:space="preserve"> </w:t>
      </w:r>
      <w:r>
        <w:t>of</w:t>
      </w:r>
      <w:r>
        <w:rPr>
          <w:spacing w:val="-4"/>
        </w:rPr>
        <w:t xml:space="preserve"> </w:t>
      </w:r>
      <w:r>
        <w:t>various</w:t>
      </w:r>
      <w:r>
        <w:rPr>
          <w:spacing w:val="-5"/>
        </w:rPr>
        <w:t xml:space="preserve"> </w:t>
      </w:r>
      <w:r>
        <w:t>components</w:t>
      </w:r>
      <w:r>
        <w:rPr>
          <w:spacing w:val="-4"/>
        </w:rPr>
        <w:t xml:space="preserve"> </w:t>
      </w:r>
      <w:r>
        <w:t>(e.g.,</w:t>
      </w:r>
      <w:r>
        <w:rPr>
          <w:spacing w:val="-4"/>
        </w:rPr>
        <w:t xml:space="preserve"> </w:t>
      </w:r>
      <w:r>
        <w:t>agency</w:t>
      </w:r>
      <w:r>
        <w:rPr>
          <w:spacing w:val="-5"/>
        </w:rPr>
        <w:t xml:space="preserve"> </w:t>
      </w:r>
      <w:r>
        <w:t>identifier</w:t>
      </w:r>
      <w:r>
        <w:rPr>
          <w:spacing w:val="-6"/>
        </w:rPr>
        <w:t xml:space="preserve"> </w:t>
      </w:r>
      <w:r>
        <w:t xml:space="preserve">code, beginning period of availability, ending period of availability, and main account). For a list of all components and the definition of each component, see </w:t>
      </w:r>
      <w:hyperlink r:id="rId185">
        <w:r>
          <w:rPr>
            <w:color w:val="0000FF"/>
          </w:rPr>
          <w:t>https://fiscal.treasury.gov/accounting/central-accounting-reporting-</w:t>
        </w:r>
      </w:hyperlink>
      <w:hyperlink r:id="rId186">
        <w:r>
          <w:rPr>
            <w:color w:val="0000FF"/>
          </w:rPr>
          <w:t>system-cars/faqs</w:t>
        </w:r>
      </w:hyperlink>
      <w:r>
        <w:rPr>
          <w:color w:val="0000FF"/>
        </w:rPr>
        <w:t xml:space="preserve"> </w:t>
      </w:r>
      <w:r>
        <w:t>(accessed May 29, 2026).</w:t>
      </w:r>
    </w:p>
    <w:p w14:paraId="0DFDC30F" w14:textId="77777777" w:rsidR="00046465" w:rsidRDefault="008134EB">
      <w:pPr>
        <w:pStyle w:val="BodyText"/>
        <w:spacing w:before="113"/>
        <w:rPr>
          <w:sz w:val="20"/>
        </w:rPr>
      </w:pPr>
      <w:r>
        <w:rPr>
          <w:noProof/>
          <w:sz w:val="20"/>
        </w:rPr>
        <mc:AlternateContent>
          <mc:Choice Requires="wps">
            <w:drawing>
              <wp:anchor distT="0" distB="0" distL="0" distR="0" simplePos="0" relativeHeight="487721472" behindDoc="1" locked="0" layoutInCell="1" allowOverlap="1" wp14:anchorId="0DFDD71D" wp14:editId="0DFDD71E">
                <wp:simplePos x="0" y="0"/>
                <wp:positionH relativeFrom="page">
                  <wp:posOffset>914400</wp:posOffset>
                </wp:positionH>
                <wp:positionV relativeFrom="paragraph">
                  <wp:posOffset>233648</wp:posOffset>
                </wp:positionV>
                <wp:extent cx="1828800" cy="5715"/>
                <wp:effectExtent l="0" t="0" r="0" b="0"/>
                <wp:wrapTopAndBottom/>
                <wp:docPr id="971" name="Graphic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F377F3" id="Graphic 971" o:spid="_x0000_s1026" style="position:absolute;margin-left:1in;margin-top:18.4pt;width:2in;height:.45pt;z-index:-1559500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" path="m1828800,l,,,5321r1828800,l1828800,xe" fillcolor="black" stroked="f">
                <v:path arrowok="t"/>
                <w10:wrap type="topAndBottom" anchorx="page"/>
              </v:shape>
            </w:pict>
          </mc:Fallback>
        </mc:AlternateContent>
      </w:r>
    </w:p>
    <w:p w14:paraId="0DFDC310" w14:textId="77777777" w:rsidR="00046465" w:rsidRDefault="008134EB">
      <w:pPr>
        <w:spacing w:before="200" w:line="242" w:lineRule="auto"/>
        <w:ind w:left="359" w:right="751"/>
        <w:rPr>
          <w:sz w:val="18"/>
        </w:rPr>
      </w:pPr>
      <w:bookmarkStart w:id="293" w:name="_bookmark165"/>
      <w:bookmarkEnd w:id="293"/>
      <w:r>
        <w:rPr>
          <w:position w:val="7"/>
          <w:sz w:val="14"/>
        </w:rPr>
        <w:t>21</w:t>
      </w:r>
      <w:r>
        <w:rPr>
          <w:sz w:val="18"/>
        </w:rPr>
        <w:t>Offsetting collections are those authorized by law to be credited to appropriation or expenditure accounts. Governmental receipts,</w:t>
      </w:r>
      <w:r>
        <w:rPr>
          <w:spacing w:val="-1"/>
          <w:sz w:val="18"/>
        </w:rPr>
        <w:t xml:space="preserve"> </w:t>
      </w:r>
      <w:r>
        <w:rPr>
          <w:sz w:val="18"/>
        </w:rPr>
        <w:t>such</w:t>
      </w:r>
      <w:r>
        <w:rPr>
          <w:spacing w:val="-2"/>
          <w:sz w:val="18"/>
        </w:rPr>
        <w:t xml:space="preserve"> </w:t>
      </w:r>
      <w:r>
        <w:rPr>
          <w:sz w:val="18"/>
        </w:rPr>
        <w:t>as</w:t>
      </w:r>
      <w:r>
        <w:rPr>
          <w:spacing w:val="-1"/>
          <w:sz w:val="18"/>
        </w:rPr>
        <w:t xml:space="preserve"> </w:t>
      </w:r>
      <w:r>
        <w:rPr>
          <w:sz w:val="18"/>
        </w:rPr>
        <w:t>income</w:t>
      </w:r>
      <w:r>
        <w:rPr>
          <w:spacing w:val="-2"/>
          <w:sz w:val="18"/>
        </w:rPr>
        <w:t xml:space="preserve"> </w:t>
      </w:r>
      <w:r>
        <w:rPr>
          <w:sz w:val="18"/>
        </w:rPr>
        <w:t>tax</w:t>
      </w:r>
      <w:r>
        <w:rPr>
          <w:spacing w:val="-1"/>
          <w:sz w:val="18"/>
        </w:rPr>
        <w:t xml:space="preserve"> </w:t>
      </w:r>
      <w:r>
        <w:rPr>
          <w:sz w:val="18"/>
        </w:rPr>
        <w:t>collections,</w:t>
      </w:r>
      <w:r>
        <w:rPr>
          <w:spacing w:val="-1"/>
          <w:sz w:val="18"/>
        </w:rPr>
        <w:t xml:space="preserve"> </w:t>
      </w:r>
      <w:r>
        <w:rPr>
          <w:sz w:val="18"/>
        </w:rPr>
        <w:t>are generally</w:t>
      </w:r>
      <w:r>
        <w:rPr>
          <w:spacing w:val="-1"/>
          <w:sz w:val="18"/>
        </w:rPr>
        <w:t xml:space="preserve"> </w:t>
      </w:r>
      <w:r>
        <w:rPr>
          <w:sz w:val="18"/>
        </w:rPr>
        <w:t>not</w:t>
      </w:r>
      <w:r>
        <w:rPr>
          <w:spacing w:val="-1"/>
          <w:sz w:val="18"/>
        </w:rPr>
        <w:t xml:space="preserve"> </w:t>
      </w:r>
      <w:r>
        <w:rPr>
          <w:sz w:val="18"/>
        </w:rPr>
        <w:t>available</w:t>
      </w:r>
      <w:r>
        <w:rPr>
          <w:spacing w:val="-2"/>
          <w:sz w:val="18"/>
        </w:rPr>
        <w:t xml:space="preserve"> </w:t>
      </w:r>
      <w:r>
        <w:rPr>
          <w:sz w:val="18"/>
        </w:rPr>
        <w:t>for</w:t>
      </w:r>
      <w:r>
        <w:rPr>
          <w:spacing w:val="-1"/>
          <w:sz w:val="18"/>
        </w:rPr>
        <w:t xml:space="preserve"> </w:t>
      </w:r>
      <w:r>
        <w:rPr>
          <w:sz w:val="18"/>
        </w:rPr>
        <w:t>expenditure by</w:t>
      </w:r>
      <w:r>
        <w:rPr>
          <w:spacing w:val="-1"/>
          <w:sz w:val="18"/>
        </w:rPr>
        <w:t xml:space="preserve"> </w:t>
      </w:r>
      <w:r>
        <w:rPr>
          <w:sz w:val="18"/>
        </w:rPr>
        <w:t>federal</w:t>
      </w:r>
      <w:r>
        <w:rPr>
          <w:spacing w:val="-1"/>
          <w:sz w:val="18"/>
        </w:rPr>
        <w:t xml:space="preserve"> </w:t>
      </w:r>
      <w:r>
        <w:rPr>
          <w:sz w:val="18"/>
        </w:rPr>
        <w:t>entities; spending authority must be granted through appropriations acts or other statutes. All receipts that are not earmarked by law for specific purposes are recorded in receipt accounts of the General Fund of the U.S. Government (General Fund).</w:t>
      </w:r>
      <w:r>
        <w:rPr>
          <w:spacing w:val="-3"/>
          <w:sz w:val="18"/>
        </w:rPr>
        <w:t xml:space="preserve"> </w:t>
      </w:r>
      <w:r>
        <w:rPr>
          <w:sz w:val="18"/>
        </w:rPr>
        <w:t>The</w:t>
      </w:r>
      <w:r>
        <w:rPr>
          <w:spacing w:val="-4"/>
          <w:sz w:val="18"/>
        </w:rPr>
        <w:t xml:space="preserve"> </w:t>
      </w:r>
      <w:r>
        <w:rPr>
          <w:sz w:val="18"/>
        </w:rPr>
        <w:t>General</w:t>
      </w:r>
      <w:r>
        <w:rPr>
          <w:spacing w:val="-3"/>
          <w:sz w:val="18"/>
        </w:rPr>
        <w:t xml:space="preserve"> </w:t>
      </w:r>
      <w:r>
        <w:rPr>
          <w:sz w:val="18"/>
        </w:rPr>
        <w:t>Fund</w:t>
      </w:r>
      <w:r>
        <w:rPr>
          <w:spacing w:val="-4"/>
          <w:sz w:val="18"/>
        </w:rPr>
        <w:t xml:space="preserve"> </w:t>
      </w:r>
      <w:r>
        <w:rPr>
          <w:sz w:val="18"/>
        </w:rPr>
        <w:t>is</w:t>
      </w:r>
      <w:r>
        <w:rPr>
          <w:spacing w:val="-3"/>
          <w:sz w:val="18"/>
        </w:rPr>
        <w:t xml:space="preserve"> </w:t>
      </w:r>
      <w:r>
        <w:rPr>
          <w:sz w:val="18"/>
        </w:rPr>
        <w:t>a</w:t>
      </w:r>
      <w:r>
        <w:rPr>
          <w:spacing w:val="-2"/>
          <w:sz w:val="18"/>
        </w:rPr>
        <w:t xml:space="preserve"> </w:t>
      </w:r>
      <w:r>
        <w:rPr>
          <w:sz w:val="18"/>
        </w:rPr>
        <w:t>component</w:t>
      </w:r>
      <w:r>
        <w:rPr>
          <w:spacing w:val="-3"/>
          <w:sz w:val="18"/>
        </w:rPr>
        <w:t xml:space="preserve"> </w:t>
      </w:r>
      <w:r>
        <w:rPr>
          <w:sz w:val="18"/>
        </w:rPr>
        <w:t>of</w:t>
      </w:r>
      <w:r>
        <w:rPr>
          <w:spacing w:val="-3"/>
          <w:sz w:val="18"/>
        </w:rPr>
        <w:t xml:space="preserve"> </w:t>
      </w:r>
      <w:r>
        <w:rPr>
          <w:sz w:val="18"/>
        </w:rPr>
        <w:t>Treasury’s</w:t>
      </w:r>
      <w:r>
        <w:rPr>
          <w:spacing w:val="-3"/>
          <w:sz w:val="18"/>
        </w:rPr>
        <w:t xml:space="preserve"> </w:t>
      </w:r>
      <w:r>
        <w:rPr>
          <w:sz w:val="18"/>
        </w:rPr>
        <w:t>central</w:t>
      </w:r>
      <w:r>
        <w:rPr>
          <w:spacing w:val="-3"/>
          <w:sz w:val="18"/>
        </w:rPr>
        <w:t xml:space="preserve"> </w:t>
      </w:r>
      <w:r>
        <w:rPr>
          <w:sz w:val="18"/>
        </w:rPr>
        <w:t>accounting</w:t>
      </w:r>
      <w:r>
        <w:rPr>
          <w:spacing w:val="-4"/>
          <w:sz w:val="18"/>
        </w:rPr>
        <w:t xml:space="preserve"> </w:t>
      </w:r>
      <w:r>
        <w:rPr>
          <w:sz w:val="18"/>
        </w:rPr>
        <w:t>function.</w:t>
      </w:r>
      <w:r>
        <w:rPr>
          <w:spacing w:val="-3"/>
          <w:sz w:val="18"/>
        </w:rPr>
        <w:t xml:space="preserve"> </w:t>
      </w:r>
      <w:r>
        <w:rPr>
          <w:sz w:val="18"/>
        </w:rPr>
        <w:t>It</w:t>
      </w:r>
      <w:r>
        <w:rPr>
          <w:spacing w:val="-3"/>
          <w:sz w:val="18"/>
        </w:rPr>
        <w:t xml:space="preserve"> </w:t>
      </w:r>
      <w:r>
        <w:rPr>
          <w:sz w:val="18"/>
        </w:rPr>
        <w:t>is</w:t>
      </w:r>
      <w:r>
        <w:rPr>
          <w:spacing w:val="-3"/>
          <w:sz w:val="18"/>
        </w:rPr>
        <w:t xml:space="preserve"> </w:t>
      </w:r>
      <w:r>
        <w:rPr>
          <w:sz w:val="18"/>
        </w:rPr>
        <w:t>a</w:t>
      </w:r>
      <w:r>
        <w:rPr>
          <w:spacing w:val="-4"/>
          <w:sz w:val="18"/>
        </w:rPr>
        <w:t xml:space="preserve"> </w:t>
      </w:r>
      <w:r>
        <w:rPr>
          <w:sz w:val="18"/>
        </w:rPr>
        <w:t>stand-alone</w:t>
      </w:r>
      <w:r>
        <w:rPr>
          <w:spacing w:val="-4"/>
          <w:sz w:val="18"/>
        </w:rPr>
        <w:t xml:space="preserve"> </w:t>
      </w:r>
      <w:r>
        <w:rPr>
          <w:sz w:val="18"/>
        </w:rPr>
        <w:t>reporting</w:t>
      </w:r>
      <w:r>
        <w:rPr>
          <w:spacing w:val="-4"/>
          <w:sz w:val="18"/>
        </w:rPr>
        <w:t xml:space="preserve"> </w:t>
      </w:r>
      <w:r>
        <w:rPr>
          <w:sz w:val="18"/>
        </w:rPr>
        <w:t>entity that comprises the activities fundamental to funding the federal government (e.g., issued budget authority cash activity and debt financing activities). Entities record General Fund receipts as FBWT and a custodial liability with the General Fund throughout the fiscal year. At fiscal year-end, entities transfer these receipts to the General Fund,</w:t>
      </w:r>
      <w:r>
        <w:rPr>
          <w:spacing w:val="40"/>
          <w:sz w:val="18"/>
        </w:rPr>
        <w:t xml:space="preserve"> </w:t>
      </w:r>
      <w:r>
        <w:rPr>
          <w:sz w:val="18"/>
        </w:rPr>
        <w:t>which decreases FBWT.</w:t>
      </w:r>
    </w:p>
    <w:p w14:paraId="0DFDC311" w14:textId="77777777" w:rsidR="00046465" w:rsidRDefault="008134EB">
      <w:pPr>
        <w:spacing w:before="116" w:line="244" w:lineRule="auto"/>
        <w:ind w:left="359" w:right="749"/>
        <w:rPr>
          <w:sz w:val="18"/>
        </w:rPr>
      </w:pPr>
      <w:bookmarkStart w:id="294" w:name="_bookmark166"/>
      <w:bookmarkEnd w:id="294"/>
      <w:r>
        <w:rPr>
          <w:position w:val="7"/>
          <w:sz w:val="14"/>
        </w:rPr>
        <w:t>22</w:t>
      </w:r>
      <w:r>
        <w:rPr>
          <w:sz w:val="18"/>
        </w:rPr>
        <w:t>An entity’s FBWT is reduced by (1) disbursements made to pay liabilities or to purchase assets, goods, and services; (2) investments in U.S. securities (securities issued by Treasury or other federal government entities); (3) cancellation</w:t>
      </w:r>
      <w:r>
        <w:rPr>
          <w:spacing w:val="-4"/>
          <w:sz w:val="18"/>
        </w:rPr>
        <w:t xml:space="preserve"> </w:t>
      </w:r>
      <w:r>
        <w:rPr>
          <w:sz w:val="18"/>
        </w:rPr>
        <w:t>of</w:t>
      </w:r>
      <w:r>
        <w:rPr>
          <w:spacing w:val="-2"/>
          <w:sz w:val="18"/>
        </w:rPr>
        <w:t xml:space="preserve"> </w:t>
      </w:r>
      <w:r>
        <w:rPr>
          <w:sz w:val="18"/>
        </w:rPr>
        <w:t>expired</w:t>
      </w:r>
      <w:r>
        <w:rPr>
          <w:spacing w:val="-4"/>
          <w:sz w:val="18"/>
        </w:rPr>
        <w:t xml:space="preserve"> </w:t>
      </w:r>
      <w:r>
        <w:rPr>
          <w:sz w:val="18"/>
        </w:rPr>
        <w:t>appropriations;</w:t>
      </w:r>
      <w:r>
        <w:rPr>
          <w:spacing w:val="-3"/>
          <w:sz w:val="18"/>
        </w:rPr>
        <w:t xml:space="preserve"> </w:t>
      </w:r>
      <w:r>
        <w:rPr>
          <w:sz w:val="18"/>
        </w:rPr>
        <w:t>(4)</w:t>
      </w:r>
      <w:r>
        <w:rPr>
          <w:spacing w:val="-3"/>
          <w:sz w:val="18"/>
        </w:rPr>
        <w:t xml:space="preserve"> </w:t>
      </w:r>
      <w:r>
        <w:rPr>
          <w:sz w:val="18"/>
        </w:rPr>
        <w:t>transfers</w:t>
      </w:r>
      <w:r>
        <w:rPr>
          <w:spacing w:val="-3"/>
          <w:sz w:val="18"/>
        </w:rPr>
        <w:t xml:space="preserve"> </w:t>
      </w:r>
      <w:r>
        <w:rPr>
          <w:sz w:val="18"/>
        </w:rPr>
        <w:t>and</w:t>
      </w:r>
      <w:r>
        <w:rPr>
          <w:spacing w:val="-4"/>
          <w:sz w:val="18"/>
        </w:rPr>
        <w:t xml:space="preserve"> </w:t>
      </w:r>
      <w:r>
        <w:rPr>
          <w:sz w:val="18"/>
        </w:rPr>
        <w:t>reimbursements</w:t>
      </w:r>
      <w:r>
        <w:rPr>
          <w:spacing w:val="-3"/>
          <w:sz w:val="18"/>
        </w:rPr>
        <w:t xml:space="preserve"> </w:t>
      </w:r>
      <w:r>
        <w:rPr>
          <w:sz w:val="18"/>
        </w:rPr>
        <w:t>to</w:t>
      </w:r>
      <w:r>
        <w:rPr>
          <w:spacing w:val="-4"/>
          <w:sz w:val="18"/>
        </w:rPr>
        <w:t xml:space="preserve"> </w:t>
      </w:r>
      <w:r>
        <w:rPr>
          <w:sz w:val="18"/>
        </w:rPr>
        <w:t>other</w:t>
      </w:r>
      <w:r>
        <w:rPr>
          <w:spacing w:val="-3"/>
          <w:sz w:val="18"/>
        </w:rPr>
        <w:t xml:space="preserve"> </w:t>
      </w:r>
      <w:r>
        <w:rPr>
          <w:sz w:val="18"/>
        </w:rPr>
        <w:t>entities</w:t>
      </w:r>
      <w:r>
        <w:rPr>
          <w:spacing w:val="-2"/>
          <w:sz w:val="18"/>
        </w:rPr>
        <w:t xml:space="preserve"> </w:t>
      </w:r>
      <w:r>
        <w:rPr>
          <w:sz w:val="18"/>
        </w:rPr>
        <w:t>or</w:t>
      </w:r>
      <w:r>
        <w:rPr>
          <w:spacing w:val="-3"/>
          <w:sz w:val="18"/>
        </w:rPr>
        <w:t xml:space="preserve"> </w:t>
      </w:r>
      <w:r>
        <w:rPr>
          <w:sz w:val="18"/>
        </w:rPr>
        <w:t>to</w:t>
      </w:r>
      <w:r>
        <w:rPr>
          <w:spacing w:val="-4"/>
          <w:sz w:val="18"/>
        </w:rPr>
        <w:t xml:space="preserve"> </w:t>
      </w:r>
      <w:r>
        <w:rPr>
          <w:sz w:val="18"/>
        </w:rPr>
        <w:t>the</w:t>
      </w:r>
      <w:r>
        <w:rPr>
          <w:spacing w:val="-3"/>
          <w:sz w:val="18"/>
        </w:rPr>
        <w:t xml:space="preserve"> </w:t>
      </w:r>
      <w:r>
        <w:rPr>
          <w:sz w:val="18"/>
        </w:rPr>
        <w:t>General</w:t>
      </w:r>
      <w:r>
        <w:rPr>
          <w:spacing w:val="-3"/>
          <w:sz w:val="18"/>
        </w:rPr>
        <w:t xml:space="preserve"> </w:t>
      </w:r>
      <w:r>
        <w:rPr>
          <w:sz w:val="18"/>
        </w:rPr>
        <w:t>Fund;</w:t>
      </w:r>
      <w:r>
        <w:rPr>
          <w:spacing w:val="-2"/>
          <w:sz w:val="18"/>
        </w:rPr>
        <w:t xml:space="preserve"> </w:t>
      </w:r>
      <w:r>
        <w:rPr>
          <w:sz w:val="18"/>
        </w:rPr>
        <w:t>and</w:t>
      </w:r>
    </w:p>
    <w:p w14:paraId="0DFDC312" w14:textId="77777777" w:rsidR="00046465" w:rsidRDefault="008134EB">
      <w:pPr>
        <w:spacing w:line="204" w:lineRule="exact"/>
        <w:ind w:left="359"/>
        <w:rPr>
          <w:sz w:val="18"/>
        </w:rPr>
      </w:pPr>
      <w:r>
        <w:rPr>
          <w:sz w:val="18"/>
        </w:rPr>
        <w:t>(5)</w:t>
      </w:r>
      <w:r>
        <w:rPr>
          <w:spacing w:val="-3"/>
          <w:sz w:val="18"/>
        </w:rPr>
        <w:t xml:space="preserve"> </w:t>
      </w:r>
      <w:r>
        <w:rPr>
          <w:sz w:val="18"/>
        </w:rPr>
        <w:t>sequestration</w:t>
      </w:r>
      <w:r>
        <w:rPr>
          <w:spacing w:val="-2"/>
          <w:sz w:val="18"/>
        </w:rPr>
        <w:t xml:space="preserve"> </w:t>
      </w:r>
      <w:r>
        <w:rPr>
          <w:sz w:val="18"/>
        </w:rPr>
        <w:t>or</w:t>
      </w:r>
      <w:r>
        <w:rPr>
          <w:spacing w:val="-2"/>
          <w:sz w:val="18"/>
        </w:rPr>
        <w:t xml:space="preserve"> </w:t>
      </w:r>
      <w:r>
        <w:rPr>
          <w:sz w:val="18"/>
        </w:rPr>
        <w:t>rescission</w:t>
      </w:r>
      <w:r>
        <w:rPr>
          <w:spacing w:val="-3"/>
          <w:sz w:val="18"/>
        </w:rPr>
        <w:t xml:space="preserve"> </w:t>
      </w:r>
      <w:r>
        <w:rPr>
          <w:sz w:val="18"/>
        </w:rPr>
        <w:t>of</w:t>
      </w:r>
      <w:r>
        <w:rPr>
          <w:spacing w:val="-2"/>
          <w:sz w:val="18"/>
        </w:rPr>
        <w:t xml:space="preserve"> appropriations.</w:t>
      </w:r>
    </w:p>
    <w:p w14:paraId="0DFDC313" w14:textId="77777777" w:rsidR="00046465" w:rsidRDefault="008134EB">
      <w:pPr>
        <w:spacing w:before="124"/>
        <w:ind w:left="360"/>
        <w:rPr>
          <w:sz w:val="18"/>
        </w:rPr>
      </w:pPr>
      <w:bookmarkStart w:id="295" w:name="_bookmark167"/>
      <w:bookmarkEnd w:id="295"/>
      <w:r>
        <w:rPr>
          <w:position w:val="7"/>
          <w:sz w:val="14"/>
        </w:rPr>
        <w:t>23</w:t>
      </w:r>
      <w:r>
        <w:rPr>
          <w:sz w:val="18"/>
        </w:rPr>
        <w:t>Appropriations</w:t>
      </w:r>
      <w:r>
        <w:rPr>
          <w:spacing w:val="-5"/>
          <w:sz w:val="18"/>
        </w:rPr>
        <w:t xml:space="preserve"> </w:t>
      </w:r>
      <w:r>
        <w:rPr>
          <w:sz w:val="18"/>
        </w:rPr>
        <w:t>may</w:t>
      </w:r>
      <w:r>
        <w:rPr>
          <w:spacing w:val="-3"/>
          <w:sz w:val="18"/>
        </w:rPr>
        <w:t xml:space="preserve"> </w:t>
      </w:r>
      <w:r>
        <w:rPr>
          <w:sz w:val="18"/>
        </w:rPr>
        <w:t>be</w:t>
      </w:r>
      <w:r>
        <w:rPr>
          <w:spacing w:val="-4"/>
          <w:sz w:val="18"/>
        </w:rPr>
        <w:t xml:space="preserve"> </w:t>
      </w:r>
      <w:r>
        <w:rPr>
          <w:sz w:val="18"/>
        </w:rPr>
        <w:t>annual,</w:t>
      </w:r>
      <w:r>
        <w:rPr>
          <w:spacing w:val="-3"/>
          <w:sz w:val="18"/>
        </w:rPr>
        <w:t xml:space="preserve"> </w:t>
      </w:r>
      <w:r>
        <w:rPr>
          <w:sz w:val="18"/>
        </w:rPr>
        <w:t>multiyear,</w:t>
      </w:r>
      <w:r>
        <w:rPr>
          <w:spacing w:val="-3"/>
          <w:sz w:val="18"/>
        </w:rPr>
        <w:t xml:space="preserve"> </w:t>
      </w:r>
      <w:r>
        <w:rPr>
          <w:sz w:val="18"/>
        </w:rPr>
        <w:t>or</w:t>
      </w:r>
      <w:r>
        <w:rPr>
          <w:spacing w:val="-3"/>
          <w:sz w:val="18"/>
        </w:rPr>
        <w:t xml:space="preserve"> </w:t>
      </w:r>
      <w:r>
        <w:rPr>
          <w:sz w:val="18"/>
        </w:rPr>
        <w:t>no</w:t>
      </w:r>
      <w:r>
        <w:rPr>
          <w:spacing w:val="-4"/>
          <w:sz w:val="18"/>
        </w:rPr>
        <w:t xml:space="preserve"> year.</w:t>
      </w:r>
    </w:p>
    <w:p w14:paraId="0DFDC314" w14:textId="77777777" w:rsidR="00046465" w:rsidRDefault="00046465">
      <w:pPr>
        <w:rPr>
          <w:sz w:val="18"/>
        </w:rPr>
        <w:sectPr w:rsidR="00046465">
          <w:headerReference w:type="default" r:id="rId187"/>
          <w:footerReference w:type="default" r:id="rId188"/>
          <w:pgSz w:w="12240" w:h="15840"/>
          <w:pgMar w:top="1340" w:right="720" w:bottom="940" w:left="1080" w:header="721" w:footer="757" w:gutter="0"/>
          <w:cols w:space="720"/>
        </w:sectPr>
      </w:pPr>
    </w:p>
    <w:p w14:paraId="0DFDC315" w14:textId="77777777" w:rsidR="00046465" w:rsidRDefault="008134EB">
      <w:pPr>
        <w:pStyle w:val="ListParagraph"/>
        <w:numPr>
          <w:ilvl w:val="1"/>
          <w:numId w:val="3"/>
        </w:numPr>
        <w:tabs>
          <w:tab w:val="left" w:pos="2159"/>
        </w:tabs>
        <w:spacing w:before="121"/>
        <w:ind w:right="880"/>
        <w:rPr>
          <w:position w:val="7"/>
          <w:sz w:val="14"/>
        </w:rPr>
      </w:pPr>
      <w:r>
        <w:lastRenderedPageBreak/>
        <w:t>A BETC is a code that indicates the type of activity being reported, such as payments, collections, and investments, and the effect that activity has against the TAS balance. Fiscal Service periodically develops new BETCs and</w:t>
      </w:r>
      <w:r>
        <w:rPr>
          <w:spacing w:val="-4"/>
        </w:rPr>
        <w:t xml:space="preserve"> </w:t>
      </w:r>
      <w:r>
        <w:t>provides</w:t>
      </w:r>
      <w:r>
        <w:rPr>
          <w:spacing w:val="-4"/>
        </w:rPr>
        <w:t xml:space="preserve"> </w:t>
      </w:r>
      <w:r>
        <w:t>guidance</w:t>
      </w:r>
      <w:r>
        <w:rPr>
          <w:spacing w:val="-5"/>
        </w:rPr>
        <w:t xml:space="preserve"> </w:t>
      </w:r>
      <w:r>
        <w:t>on</w:t>
      </w:r>
      <w:r>
        <w:rPr>
          <w:spacing w:val="-4"/>
        </w:rPr>
        <w:t xml:space="preserve"> </w:t>
      </w:r>
      <w:r>
        <w:t>its</w:t>
      </w:r>
      <w:r>
        <w:rPr>
          <w:spacing w:val="-4"/>
        </w:rPr>
        <w:t xml:space="preserve"> </w:t>
      </w:r>
      <w:r>
        <w:t>website</w:t>
      </w:r>
      <w:r>
        <w:rPr>
          <w:spacing w:val="-4"/>
        </w:rPr>
        <w:t xml:space="preserve"> </w:t>
      </w:r>
      <w:r>
        <w:t>to</w:t>
      </w:r>
      <w:r>
        <w:rPr>
          <w:spacing w:val="-4"/>
        </w:rPr>
        <w:t xml:space="preserve"> </w:t>
      </w:r>
      <w:r>
        <w:t>help</w:t>
      </w:r>
      <w:r>
        <w:rPr>
          <w:spacing w:val="-4"/>
        </w:rPr>
        <w:t xml:space="preserve"> </w:t>
      </w:r>
      <w:r>
        <w:t>entities</w:t>
      </w:r>
      <w:r>
        <w:rPr>
          <w:spacing w:val="-4"/>
        </w:rPr>
        <w:t xml:space="preserve"> </w:t>
      </w:r>
      <w:r>
        <w:t>properly</w:t>
      </w:r>
      <w:r>
        <w:rPr>
          <w:spacing w:val="-4"/>
        </w:rPr>
        <w:t xml:space="preserve"> </w:t>
      </w:r>
      <w:r>
        <w:t>assign</w:t>
      </w:r>
      <w:r>
        <w:rPr>
          <w:spacing w:val="-5"/>
        </w:rPr>
        <w:t xml:space="preserve"> </w:t>
      </w:r>
      <w:r>
        <w:t>BETCs to FBWT transactions.</w:t>
      </w:r>
      <w:hyperlink w:anchor="_bookmark168" w:history="1">
        <w:r>
          <w:rPr>
            <w:position w:val="7"/>
            <w:sz w:val="14"/>
          </w:rPr>
          <w:t>24</w:t>
        </w:r>
      </w:hyperlink>
    </w:p>
    <w:p w14:paraId="0DFDC316" w14:textId="77777777" w:rsidR="00046465" w:rsidRDefault="008134EB">
      <w:pPr>
        <w:pStyle w:val="ListParagraph"/>
        <w:numPr>
          <w:ilvl w:val="0"/>
          <w:numId w:val="3"/>
        </w:numPr>
        <w:tabs>
          <w:tab w:val="left" w:pos="1800"/>
        </w:tabs>
        <w:ind w:right="773"/>
      </w:pPr>
      <w:r>
        <w:t>Entities may also maintain specific types of FBWT accounts, such as those for collections pending litigation; amounts awaiting determination of the proper accounting disposition; or moneys that the entity is holding in the capacity of a banker or agent for others, such as nonentity, trust, or escrow accounts. Certain funds</w:t>
      </w:r>
      <w:r>
        <w:rPr>
          <w:spacing w:val="-4"/>
        </w:rPr>
        <w:t xml:space="preserve"> </w:t>
      </w:r>
      <w:r>
        <w:t>from</w:t>
      </w:r>
      <w:r>
        <w:rPr>
          <w:spacing w:val="-5"/>
        </w:rPr>
        <w:t xml:space="preserve"> </w:t>
      </w:r>
      <w:r>
        <w:t>dedicated</w:t>
      </w:r>
      <w:r>
        <w:rPr>
          <w:spacing w:val="-4"/>
        </w:rPr>
        <w:t xml:space="preserve"> </w:t>
      </w:r>
      <w:r>
        <w:t>collections</w:t>
      </w:r>
      <w:r>
        <w:rPr>
          <w:spacing w:val="-3"/>
        </w:rPr>
        <w:t xml:space="preserve"> </w:t>
      </w:r>
      <w:r>
        <w:t>may</w:t>
      </w:r>
      <w:r>
        <w:rPr>
          <w:spacing w:val="-5"/>
        </w:rPr>
        <w:t xml:space="preserve"> </w:t>
      </w:r>
      <w:r>
        <w:t>also</w:t>
      </w:r>
      <w:r>
        <w:rPr>
          <w:spacing w:val="-4"/>
        </w:rPr>
        <w:t xml:space="preserve"> </w:t>
      </w:r>
      <w:r>
        <w:t>be</w:t>
      </w:r>
      <w:r>
        <w:rPr>
          <w:spacing w:val="-4"/>
        </w:rPr>
        <w:t xml:space="preserve"> </w:t>
      </w:r>
      <w:r>
        <w:t>designated</w:t>
      </w:r>
      <w:r>
        <w:rPr>
          <w:spacing w:val="-3"/>
        </w:rPr>
        <w:t xml:space="preserve"> </w:t>
      </w:r>
      <w:r>
        <w:t>for</w:t>
      </w:r>
      <w:r>
        <w:rPr>
          <w:spacing w:val="-4"/>
        </w:rPr>
        <w:t xml:space="preserve"> </w:t>
      </w:r>
      <w:r>
        <w:t>specific</w:t>
      </w:r>
      <w:r>
        <w:rPr>
          <w:spacing w:val="-4"/>
        </w:rPr>
        <w:t xml:space="preserve"> </w:t>
      </w:r>
      <w:r>
        <w:t>purposes</w:t>
      </w:r>
      <w:r>
        <w:rPr>
          <w:spacing w:val="-4"/>
        </w:rPr>
        <w:t xml:space="preserve"> </w:t>
      </w:r>
      <w:r>
        <w:t>or restricted use.</w:t>
      </w:r>
    </w:p>
    <w:p w14:paraId="0DFDC317" w14:textId="77777777" w:rsidR="00046465" w:rsidRDefault="008134EB">
      <w:pPr>
        <w:pStyle w:val="ListParagraph"/>
        <w:numPr>
          <w:ilvl w:val="0"/>
          <w:numId w:val="3"/>
        </w:numPr>
        <w:tabs>
          <w:tab w:val="left" w:pos="1800"/>
        </w:tabs>
        <w:ind w:right="748"/>
        <w:rPr>
          <w:position w:val="7"/>
          <w:sz w:val="14"/>
        </w:rPr>
      </w:pPr>
      <w:r>
        <w:t>Entities may have FBWT balances in clearing accounts due to unidentified and unclassified transactions. Clearing accounts include both suspense and default accounts and are identified by specific TASs. Clearing accounts are used to temporarily record transactions prior to recording them in the proper FBWT account.</w:t>
      </w:r>
      <w:r>
        <w:rPr>
          <w:spacing w:val="-3"/>
        </w:rPr>
        <w:t xml:space="preserve"> </w:t>
      </w:r>
      <w:r>
        <w:t>A</w:t>
      </w:r>
      <w:r>
        <w:rPr>
          <w:spacing w:val="-3"/>
        </w:rPr>
        <w:t xml:space="preserve"> </w:t>
      </w:r>
      <w:r>
        <w:t>clearing</w:t>
      </w:r>
      <w:r>
        <w:rPr>
          <w:spacing w:val="-3"/>
        </w:rPr>
        <w:t xml:space="preserve"> </w:t>
      </w:r>
      <w:r>
        <w:t>account</w:t>
      </w:r>
      <w:r>
        <w:rPr>
          <w:spacing w:val="-3"/>
        </w:rPr>
        <w:t xml:space="preserve"> </w:t>
      </w:r>
      <w:r>
        <w:t>is</w:t>
      </w:r>
      <w:r>
        <w:rPr>
          <w:spacing w:val="-3"/>
        </w:rPr>
        <w:t xml:space="preserve"> </w:t>
      </w:r>
      <w:r>
        <w:t>used</w:t>
      </w:r>
      <w:r>
        <w:rPr>
          <w:spacing w:val="-4"/>
        </w:rPr>
        <w:t xml:space="preserve"> </w:t>
      </w:r>
      <w:r>
        <w:t>because</w:t>
      </w:r>
      <w:r>
        <w:rPr>
          <w:spacing w:val="-3"/>
        </w:rPr>
        <w:t xml:space="preserve"> </w:t>
      </w:r>
      <w:r>
        <w:t>the</w:t>
      </w:r>
      <w:r>
        <w:rPr>
          <w:spacing w:val="-4"/>
        </w:rPr>
        <w:t xml:space="preserve"> </w:t>
      </w:r>
      <w:r>
        <w:t>proper</w:t>
      </w:r>
      <w:r>
        <w:rPr>
          <w:spacing w:val="-3"/>
        </w:rPr>
        <w:t xml:space="preserve"> </w:t>
      </w:r>
      <w:r>
        <w:t>FBWT</w:t>
      </w:r>
      <w:r>
        <w:rPr>
          <w:spacing w:val="-3"/>
        </w:rPr>
        <w:t xml:space="preserve"> </w:t>
      </w:r>
      <w:r>
        <w:t>account</w:t>
      </w:r>
      <w:r>
        <w:rPr>
          <w:spacing w:val="-4"/>
        </w:rPr>
        <w:t xml:space="preserve"> </w:t>
      </w:r>
      <w:r>
        <w:t>could</w:t>
      </w:r>
      <w:r>
        <w:rPr>
          <w:spacing w:val="-3"/>
        </w:rPr>
        <w:t xml:space="preserve"> </w:t>
      </w:r>
      <w:r>
        <w:t xml:space="preserve">not be determined at the time the transaction was recorded. When the proper account is determined, the </w:t>
      </w:r>
      <w:r>
        <w:rPr>
          <w:i/>
        </w:rPr>
        <w:t xml:space="preserve">Treasury Financial Manual </w:t>
      </w:r>
      <w:r>
        <w:t>(TFM) requires that the entity</w:t>
      </w:r>
      <w:r>
        <w:rPr>
          <w:spacing w:val="-3"/>
        </w:rPr>
        <w:t xml:space="preserve"> </w:t>
      </w:r>
      <w:r>
        <w:t>move</w:t>
      </w:r>
      <w:r>
        <w:rPr>
          <w:spacing w:val="-4"/>
        </w:rPr>
        <w:t xml:space="preserve"> </w:t>
      </w:r>
      <w:r>
        <w:t>the</w:t>
      </w:r>
      <w:r>
        <w:rPr>
          <w:spacing w:val="-3"/>
        </w:rPr>
        <w:t xml:space="preserve"> </w:t>
      </w:r>
      <w:r>
        <w:t>amount</w:t>
      </w:r>
      <w:r>
        <w:rPr>
          <w:spacing w:val="-3"/>
        </w:rPr>
        <w:t xml:space="preserve"> </w:t>
      </w:r>
      <w:r>
        <w:t>from</w:t>
      </w:r>
      <w:r>
        <w:rPr>
          <w:spacing w:val="-4"/>
        </w:rPr>
        <w:t xml:space="preserve"> </w:t>
      </w:r>
      <w:r>
        <w:t>the</w:t>
      </w:r>
      <w:r>
        <w:rPr>
          <w:spacing w:val="-3"/>
        </w:rPr>
        <w:t xml:space="preserve"> </w:t>
      </w:r>
      <w:r>
        <w:t>clearing</w:t>
      </w:r>
      <w:r>
        <w:rPr>
          <w:spacing w:val="-3"/>
        </w:rPr>
        <w:t xml:space="preserve"> </w:t>
      </w:r>
      <w:r>
        <w:t>account</w:t>
      </w:r>
      <w:r>
        <w:rPr>
          <w:spacing w:val="-4"/>
        </w:rPr>
        <w:t xml:space="preserve"> </w:t>
      </w:r>
      <w:r>
        <w:t>to</w:t>
      </w:r>
      <w:r>
        <w:rPr>
          <w:spacing w:val="-3"/>
        </w:rPr>
        <w:t xml:space="preserve"> </w:t>
      </w:r>
      <w:r>
        <w:t>the</w:t>
      </w:r>
      <w:r>
        <w:rPr>
          <w:spacing w:val="-3"/>
        </w:rPr>
        <w:t xml:space="preserve"> </w:t>
      </w:r>
      <w:r>
        <w:t>proper</w:t>
      </w:r>
      <w:r>
        <w:rPr>
          <w:spacing w:val="-3"/>
        </w:rPr>
        <w:t xml:space="preserve"> </w:t>
      </w:r>
      <w:r>
        <w:t>account</w:t>
      </w:r>
      <w:r>
        <w:rPr>
          <w:spacing w:val="-4"/>
        </w:rPr>
        <w:t xml:space="preserve"> </w:t>
      </w:r>
      <w:r>
        <w:t>within</w:t>
      </w:r>
      <w:r>
        <w:rPr>
          <w:spacing w:val="-3"/>
        </w:rPr>
        <w:t xml:space="preserve"> </w:t>
      </w:r>
      <w:r>
        <w:t>60 business days. The TFM also requires CFOs or their designees to certify suspense account balances to Fiscal Service annually, at year-end. Also, Fiscal Service measures entities’ usage of default and suspense accounts and scores entities accordingly.</w:t>
      </w:r>
      <w:hyperlink w:anchor="_bookmark169" w:history="1">
        <w:r>
          <w:rPr>
            <w:position w:val="7"/>
            <w:sz w:val="14"/>
          </w:rPr>
          <w:t>25</w:t>
        </w:r>
      </w:hyperlink>
    </w:p>
    <w:p w14:paraId="0DFDC318" w14:textId="77777777" w:rsidR="00046465" w:rsidRDefault="008134EB">
      <w:pPr>
        <w:pStyle w:val="Heading4"/>
        <w:spacing w:before="240"/>
      </w:pPr>
      <w:bookmarkStart w:id="296" w:name="TAS_and_BETC"/>
      <w:bookmarkEnd w:id="296"/>
      <w:r>
        <w:t>TAS</w:t>
      </w:r>
      <w:r>
        <w:rPr>
          <w:spacing w:val="-8"/>
        </w:rPr>
        <w:t xml:space="preserve"> </w:t>
      </w:r>
      <w:r>
        <w:t>and</w:t>
      </w:r>
      <w:r>
        <w:rPr>
          <w:spacing w:val="-5"/>
        </w:rPr>
        <w:t xml:space="preserve"> </w:t>
      </w:r>
      <w:r>
        <w:rPr>
          <w:spacing w:val="-4"/>
        </w:rPr>
        <w:t>BETC</w:t>
      </w:r>
    </w:p>
    <w:p w14:paraId="0DFDC319" w14:textId="77777777" w:rsidR="00046465" w:rsidRDefault="008134EB">
      <w:pPr>
        <w:pStyle w:val="ListParagraph"/>
        <w:numPr>
          <w:ilvl w:val="0"/>
          <w:numId w:val="3"/>
        </w:numPr>
        <w:tabs>
          <w:tab w:val="left" w:pos="1800"/>
        </w:tabs>
        <w:ind w:right="775"/>
        <w:rPr>
          <w:position w:val="7"/>
          <w:sz w:val="14"/>
        </w:rPr>
      </w:pPr>
      <w:r>
        <w:t>Determining</w:t>
      </w:r>
      <w:r>
        <w:rPr>
          <w:spacing w:val="-4"/>
        </w:rPr>
        <w:t xml:space="preserve"> </w:t>
      </w:r>
      <w:r>
        <w:t>the</w:t>
      </w:r>
      <w:r>
        <w:rPr>
          <w:spacing w:val="-4"/>
        </w:rPr>
        <w:t xml:space="preserve"> </w:t>
      </w:r>
      <w:r>
        <w:t>accuracy</w:t>
      </w:r>
      <w:r>
        <w:rPr>
          <w:spacing w:val="-4"/>
        </w:rPr>
        <w:t xml:space="preserve"> </w:t>
      </w:r>
      <w:r>
        <w:t>of</w:t>
      </w:r>
      <w:r>
        <w:rPr>
          <w:spacing w:val="-4"/>
        </w:rPr>
        <w:t xml:space="preserve"> </w:t>
      </w:r>
      <w:r>
        <w:t>TASs</w:t>
      </w:r>
      <w:r>
        <w:rPr>
          <w:spacing w:val="-4"/>
        </w:rPr>
        <w:t xml:space="preserve"> </w:t>
      </w:r>
      <w:r>
        <w:t>and</w:t>
      </w:r>
      <w:r>
        <w:rPr>
          <w:spacing w:val="-4"/>
        </w:rPr>
        <w:t xml:space="preserve"> </w:t>
      </w:r>
      <w:r>
        <w:t>BETCs</w:t>
      </w:r>
      <w:r>
        <w:rPr>
          <w:spacing w:val="-4"/>
        </w:rPr>
        <w:t xml:space="preserve"> </w:t>
      </w:r>
      <w:r>
        <w:t>assigned</w:t>
      </w:r>
      <w:r>
        <w:rPr>
          <w:spacing w:val="-4"/>
        </w:rPr>
        <w:t xml:space="preserve"> </w:t>
      </w:r>
      <w:r>
        <w:t>to</w:t>
      </w:r>
      <w:r>
        <w:rPr>
          <w:spacing w:val="-4"/>
        </w:rPr>
        <w:t xml:space="preserve"> </w:t>
      </w:r>
      <w:r>
        <w:t>FBWT</w:t>
      </w:r>
      <w:r>
        <w:rPr>
          <w:spacing w:val="-4"/>
        </w:rPr>
        <w:t xml:space="preserve"> </w:t>
      </w:r>
      <w:r>
        <w:t>transactions</w:t>
      </w:r>
      <w:r>
        <w:rPr>
          <w:spacing w:val="-4"/>
        </w:rPr>
        <w:t xml:space="preserve"> </w:t>
      </w:r>
      <w:r>
        <w:t>is essential to determining whether the entities’ financial statements are consistent with the U.S. government’s consolidated financial statements, including the Statements</w:t>
      </w:r>
      <w:r>
        <w:rPr>
          <w:spacing w:val="-2"/>
        </w:rPr>
        <w:t xml:space="preserve"> </w:t>
      </w:r>
      <w:r>
        <w:t>of</w:t>
      </w:r>
      <w:r>
        <w:rPr>
          <w:spacing w:val="-2"/>
        </w:rPr>
        <w:t xml:space="preserve"> </w:t>
      </w:r>
      <w:r>
        <w:t>Changes</w:t>
      </w:r>
      <w:r>
        <w:rPr>
          <w:spacing w:val="-2"/>
        </w:rPr>
        <w:t xml:space="preserve"> </w:t>
      </w:r>
      <w:r>
        <w:t>in</w:t>
      </w:r>
      <w:r>
        <w:rPr>
          <w:spacing w:val="-2"/>
        </w:rPr>
        <w:t xml:space="preserve"> </w:t>
      </w:r>
      <w:r>
        <w:t>Cash</w:t>
      </w:r>
      <w:r>
        <w:rPr>
          <w:spacing w:val="-2"/>
        </w:rPr>
        <w:t xml:space="preserve"> </w:t>
      </w:r>
      <w:r>
        <w:t>Balance</w:t>
      </w:r>
      <w:r>
        <w:rPr>
          <w:spacing w:val="-2"/>
        </w:rPr>
        <w:t xml:space="preserve"> </w:t>
      </w:r>
      <w:r>
        <w:t>from</w:t>
      </w:r>
      <w:r>
        <w:rPr>
          <w:spacing w:val="-3"/>
        </w:rPr>
        <w:t xml:space="preserve"> </w:t>
      </w:r>
      <w:r>
        <w:t>Budget</w:t>
      </w:r>
      <w:r>
        <w:rPr>
          <w:spacing w:val="-2"/>
        </w:rPr>
        <w:t xml:space="preserve"> </w:t>
      </w:r>
      <w:r>
        <w:t>and</w:t>
      </w:r>
      <w:r>
        <w:rPr>
          <w:spacing w:val="-2"/>
        </w:rPr>
        <w:t xml:space="preserve"> </w:t>
      </w:r>
      <w:r>
        <w:t>Other</w:t>
      </w:r>
      <w:r>
        <w:rPr>
          <w:spacing w:val="-2"/>
        </w:rPr>
        <w:t xml:space="preserve"> </w:t>
      </w:r>
      <w:r>
        <w:t>Activities</w:t>
      </w:r>
      <w:r>
        <w:rPr>
          <w:spacing w:val="-1"/>
        </w:rPr>
        <w:t xml:space="preserve"> </w:t>
      </w:r>
      <w:r>
        <w:t>(Cash Statement) and the budget receipts and outlays included therein.</w:t>
      </w:r>
      <w:hyperlink w:anchor="_bookmark170" w:history="1">
        <w:r>
          <w:rPr>
            <w:position w:val="7"/>
            <w:sz w:val="14"/>
          </w:rPr>
          <w:t>26</w:t>
        </w:r>
      </w:hyperlink>
    </w:p>
    <w:p w14:paraId="0DFDC31A" w14:textId="77777777" w:rsidR="00046465" w:rsidRDefault="008134EB">
      <w:pPr>
        <w:pStyle w:val="ListParagraph"/>
        <w:numPr>
          <w:ilvl w:val="0"/>
          <w:numId w:val="3"/>
        </w:numPr>
        <w:tabs>
          <w:tab w:val="left" w:pos="1800"/>
        </w:tabs>
        <w:ind w:right="790"/>
      </w:pPr>
      <w:r>
        <w:t>Entities are responsible for assigning the appropriate TAS and BETC to each FBWT</w:t>
      </w:r>
      <w:r>
        <w:rPr>
          <w:spacing w:val="-5"/>
        </w:rPr>
        <w:t xml:space="preserve"> </w:t>
      </w:r>
      <w:r>
        <w:t>transaction</w:t>
      </w:r>
      <w:r>
        <w:rPr>
          <w:spacing w:val="-5"/>
        </w:rPr>
        <w:t xml:space="preserve"> </w:t>
      </w:r>
      <w:r>
        <w:t>reported</w:t>
      </w:r>
      <w:r>
        <w:rPr>
          <w:spacing w:val="-5"/>
        </w:rPr>
        <w:t xml:space="preserve"> </w:t>
      </w:r>
      <w:r>
        <w:t>in</w:t>
      </w:r>
      <w:r>
        <w:rPr>
          <w:spacing w:val="-5"/>
        </w:rPr>
        <w:t xml:space="preserve"> </w:t>
      </w:r>
      <w:r>
        <w:t>the</w:t>
      </w:r>
      <w:r>
        <w:rPr>
          <w:spacing w:val="-5"/>
        </w:rPr>
        <w:t xml:space="preserve"> </w:t>
      </w:r>
      <w:r>
        <w:t>Central</w:t>
      </w:r>
      <w:r>
        <w:rPr>
          <w:spacing w:val="-5"/>
        </w:rPr>
        <w:t xml:space="preserve"> </w:t>
      </w:r>
      <w:r>
        <w:t>Accounting</w:t>
      </w:r>
      <w:r>
        <w:rPr>
          <w:spacing w:val="-5"/>
        </w:rPr>
        <w:t xml:space="preserve"> </w:t>
      </w:r>
      <w:r>
        <w:t>Reporting</w:t>
      </w:r>
      <w:r>
        <w:rPr>
          <w:spacing w:val="-5"/>
        </w:rPr>
        <w:t xml:space="preserve"> </w:t>
      </w:r>
      <w:r>
        <w:t>System</w:t>
      </w:r>
      <w:r>
        <w:rPr>
          <w:spacing w:val="-5"/>
        </w:rPr>
        <w:t xml:space="preserve"> </w:t>
      </w:r>
      <w:r>
        <w:t>(CARS). Fiscal Service uses TASs and BETCs to produce the Cash Statement. The primary purpose of the Cash Statement is to report how the annual budget surplus or deficit relates to the change in the U.S. government’s cash balance and</w:t>
      </w:r>
      <w:r>
        <w:rPr>
          <w:spacing w:val="-2"/>
        </w:rPr>
        <w:t xml:space="preserve"> </w:t>
      </w:r>
      <w:r>
        <w:t>federal</w:t>
      </w:r>
      <w:r>
        <w:rPr>
          <w:spacing w:val="-3"/>
        </w:rPr>
        <w:t xml:space="preserve"> </w:t>
      </w:r>
      <w:r>
        <w:t>debt.</w:t>
      </w:r>
      <w:r>
        <w:rPr>
          <w:spacing w:val="-2"/>
        </w:rPr>
        <w:t xml:space="preserve"> </w:t>
      </w:r>
      <w:r>
        <w:t>Fiscal</w:t>
      </w:r>
      <w:r>
        <w:rPr>
          <w:spacing w:val="-3"/>
        </w:rPr>
        <w:t xml:space="preserve"> </w:t>
      </w:r>
      <w:r>
        <w:t>Service</w:t>
      </w:r>
      <w:r>
        <w:rPr>
          <w:spacing w:val="-2"/>
        </w:rPr>
        <w:t xml:space="preserve"> </w:t>
      </w:r>
      <w:r>
        <w:t>uses</w:t>
      </w:r>
      <w:r>
        <w:rPr>
          <w:spacing w:val="-2"/>
        </w:rPr>
        <w:t xml:space="preserve"> </w:t>
      </w:r>
      <w:r>
        <w:t>automated</w:t>
      </w:r>
      <w:r>
        <w:rPr>
          <w:spacing w:val="-2"/>
        </w:rPr>
        <w:t xml:space="preserve"> </w:t>
      </w:r>
      <w:r>
        <w:t>logic</w:t>
      </w:r>
      <w:r>
        <w:rPr>
          <w:spacing w:val="-2"/>
        </w:rPr>
        <w:t xml:space="preserve"> </w:t>
      </w:r>
      <w:r>
        <w:t>(a</w:t>
      </w:r>
      <w:r>
        <w:rPr>
          <w:spacing w:val="-2"/>
        </w:rPr>
        <w:t xml:space="preserve"> </w:t>
      </w:r>
      <w:r>
        <w:t>set</w:t>
      </w:r>
      <w:r>
        <w:rPr>
          <w:spacing w:val="-3"/>
        </w:rPr>
        <w:t xml:space="preserve"> </w:t>
      </w:r>
      <w:r>
        <w:t>of</w:t>
      </w:r>
      <w:r>
        <w:rPr>
          <w:spacing w:val="-2"/>
        </w:rPr>
        <w:t xml:space="preserve"> </w:t>
      </w:r>
      <w:r>
        <w:t>mapping</w:t>
      </w:r>
      <w:r>
        <w:rPr>
          <w:spacing w:val="-2"/>
        </w:rPr>
        <w:t xml:space="preserve"> </w:t>
      </w:r>
      <w:r>
        <w:t>rules)</w:t>
      </w:r>
      <w:r>
        <w:rPr>
          <w:spacing w:val="-2"/>
        </w:rPr>
        <w:t xml:space="preserve"> </w:t>
      </w:r>
      <w:r>
        <w:t>to assign each</w:t>
      </w:r>
      <w:r>
        <w:rPr>
          <w:spacing w:val="-1"/>
        </w:rPr>
        <w:t xml:space="preserve"> </w:t>
      </w:r>
      <w:r>
        <w:t>transaction</w:t>
      </w:r>
      <w:r>
        <w:rPr>
          <w:spacing w:val="-1"/>
        </w:rPr>
        <w:t xml:space="preserve"> </w:t>
      </w:r>
      <w:r>
        <w:t>in CARS to a line item</w:t>
      </w:r>
      <w:r>
        <w:rPr>
          <w:spacing w:val="-1"/>
        </w:rPr>
        <w:t xml:space="preserve"> </w:t>
      </w:r>
      <w:r>
        <w:t>on the Cash Statement based on its TAS and BETC.</w:t>
      </w:r>
    </w:p>
    <w:p w14:paraId="0DFDC31B" w14:textId="77777777" w:rsidR="00046465" w:rsidRDefault="00046465">
      <w:pPr>
        <w:pStyle w:val="BodyText"/>
        <w:rPr>
          <w:sz w:val="20"/>
        </w:rPr>
      </w:pPr>
    </w:p>
    <w:p w14:paraId="0DFDC31C" w14:textId="77777777" w:rsidR="00046465" w:rsidRDefault="00046465">
      <w:pPr>
        <w:pStyle w:val="BodyText"/>
        <w:rPr>
          <w:sz w:val="20"/>
        </w:rPr>
      </w:pPr>
    </w:p>
    <w:p w14:paraId="0DFDC31D" w14:textId="77777777" w:rsidR="00046465" w:rsidRDefault="00046465">
      <w:pPr>
        <w:pStyle w:val="BodyText"/>
        <w:rPr>
          <w:sz w:val="20"/>
        </w:rPr>
      </w:pPr>
    </w:p>
    <w:p w14:paraId="0DFDC31E" w14:textId="77777777" w:rsidR="00046465" w:rsidRDefault="008134EB">
      <w:pPr>
        <w:pStyle w:val="BodyText"/>
        <w:spacing w:before="169"/>
        <w:rPr>
          <w:sz w:val="20"/>
        </w:rPr>
      </w:pPr>
      <w:r>
        <w:rPr>
          <w:noProof/>
          <w:sz w:val="20"/>
        </w:rPr>
        <mc:AlternateContent>
          <mc:Choice Requires="wps">
            <w:drawing>
              <wp:anchor distT="0" distB="0" distL="0" distR="0" simplePos="0" relativeHeight="487721984" behindDoc="1" locked="0" layoutInCell="1" allowOverlap="1" wp14:anchorId="0DFDD71F" wp14:editId="0DFDD720">
                <wp:simplePos x="0" y="0"/>
                <wp:positionH relativeFrom="page">
                  <wp:posOffset>914400</wp:posOffset>
                </wp:positionH>
                <wp:positionV relativeFrom="paragraph">
                  <wp:posOffset>268655</wp:posOffset>
                </wp:positionV>
                <wp:extent cx="1828800" cy="5715"/>
                <wp:effectExtent l="0" t="0" r="0" b="0"/>
                <wp:wrapTopAndBottom/>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9920F" id="Graphic 979" o:spid="_x0000_s1026" style="position:absolute;margin-left:1in;margin-top:21.15pt;width:2in;height:.45pt;z-index:-1559449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" path="m1828800,l,,,5321r1828800,l1828800,xe" fillcolor="black" stroked="f">
                <v:path arrowok="t"/>
                <w10:wrap type="topAndBottom" anchorx="page"/>
              </v:shape>
            </w:pict>
          </mc:Fallback>
        </mc:AlternateContent>
      </w:r>
    </w:p>
    <w:p w14:paraId="0DFDC31F" w14:textId="77777777" w:rsidR="00046465" w:rsidRDefault="008134EB">
      <w:pPr>
        <w:spacing w:before="200" w:line="249" w:lineRule="auto"/>
        <w:ind w:left="359" w:right="1421"/>
        <w:jc w:val="both"/>
        <w:rPr>
          <w:sz w:val="18"/>
        </w:rPr>
      </w:pPr>
      <w:bookmarkStart w:id="297" w:name="_bookmark168"/>
      <w:bookmarkEnd w:id="297"/>
      <w:r>
        <w:rPr>
          <w:position w:val="7"/>
          <w:sz w:val="14"/>
        </w:rPr>
        <w:t>24</w:t>
      </w:r>
      <w:r>
        <w:rPr>
          <w:sz w:val="18"/>
        </w:rPr>
        <w:t>Fiscal</w:t>
      </w:r>
      <w:r>
        <w:rPr>
          <w:spacing w:val="-4"/>
          <w:sz w:val="18"/>
        </w:rPr>
        <w:t xml:space="preserve"> </w:t>
      </w:r>
      <w:r>
        <w:rPr>
          <w:sz w:val="18"/>
        </w:rPr>
        <w:t>Service</w:t>
      </w:r>
      <w:r>
        <w:rPr>
          <w:spacing w:val="-5"/>
          <w:sz w:val="18"/>
        </w:rPr>
        <w:t xml:space="preserve"> </w:t>
      </w:r>
      <w:r>
        <w:rPr>
          <w:sz w:val="18"/>
        </w:rPr>
        <w:t>provides</w:t>
      </w:r>
      <w:r>
        <w:rPr>
          <w:spacing w:val="-4"/>
          <w:sz w:val="18"/>
        </w:rPr>
        <w:t xml:space="preserve"> </w:t>
      </w:r>
      <w:r>
        <w:rPr>
          <w:sz w:val="18"/>
        </w:rPr>
        <w:t>a</w:t>
      </w:r>
      <w:r>
        <w:rPr>
          <w:spacing w:val="-5"/>
          <w:sz w:val="18"/>
        </w:rPr>
        <w:t xml:space="preserve"> </w:t>
      </w:r>
      <w:r>
        <w:rPr>
          <w:sz w:val="18"/>
        </w:rPr>
        <w:t>listing</w:t>
      </w:r>
      <w:r>
        <w:rPr>
          <w:spacing w:val="-5"/>
          <w:sz w:val="18"/>
        </w:rPr>
        <w:t xml:space="preserve"> </w:t>
      </w:r>
      <w:r>
        <w:rPr>
          <w:sz w:val="18"/>
        </w:rPr>
        <w:t>of</w:t>
      </w:r>
      <w:r>
        <w:rPr>
          <w:spacing w:val="-4"/>
          <w:sz w:val="18"/>
        </w:rPr>
        <w:t xml:space="preserve"> </w:t>
      </w:r>
      <w:r>
        <w:rPr>
          <w:sz w:val="18"/>
        </w:rPr>
        <w:t>BETCs</w:t>
      </w:r>
      <w:r>
        <w:rPr>
          <w:spacing w:val="-4"/>
          <w:sz w:val="18"/>
        </w:rPr>
        <w:t xml:space="preserve"> </w:t>
      </w:r>
      <w:r>
        <w:rPr>
          <w:sz w:val="18"/>
        </w:rPr>
        <w:t>on</w:t>
      </w:r>
      <w:r>
        <w:rPr>
          <w:spacing w:val="-5"/>
          <w:sz w:val="18"/>
        </w:rPr>
        <w:t xml:space="preserve"> </w:t>
      </w:r>
      <w:r>
        <w:rPr>
          <w:sz w:val="18"/>
        </w:rPr>
        <w:t>its</w:t>
      </w:r>
      <w:r>
        <w:rPr>
          <w:spacing w:val="-4"/>
          <w:sz w:val="18"/>
        </w:rPr>
        <w:t xml:space="preserve"> </w:t>
      </w:r>
      <w:r>
        <w:rPr>
          <w:sz w:val="18"/>
        </w:rPr>
        <w:t>website.</w:t>
      </w:r>
      <w:r>
        <w:rPr>
          <w:spacing w:val="-4"/>
          <w:sz w:val="18"/>
        </w:rPr>
        <w:t xml:space="preserve"> </w:t>
      </w:r>
      <w:r>
        <w:rPr>
          <w:sz w:val="18"/>
        </w:rPr>
        <w:t>See</w:t>
      </w:r>
      <w:r>
        <w:rPr>
          <w:spacing w:val="-5"/>
          <w:sz w:val="18"/>
        </w:rPr>
        <w:t xml:space="preserve"> </w:t>
      </w:r>
      <w:hyperlink r:id="rId189">
        <w:r>
          <w:rPr>
            <w:color w:val="0000FF"/>
            <w:sz w:val="18"/>
          </w:rPr>
          <w:t>https://fiscal.treasury.gov/accounting/central-</w:t>
        </w:r>
      </w:hyperlink>
      <w:hyperlink r:id="rId190">
        <w:r>
          <w:rPr>
            <w:color w:val="0000FF"/>
            <w:sz w:val="18"/>
          </w:rPr>
          <w:t>accounting-reporting-system-cars/faqs</w:t>
        </w:r>
      </w:hyperlink>
      <w:r>
        <w:rPr>
          <w:color w:val="0000FF"/>
          <w:sz w:val="18"/>
        </w:rPr>
        <w:t xml:space="preserve"> </w:t>
      </w:r>
      <w:r>
        <w:rPr>
          <w:sz w:val="18"/>
        </w:rPr>
        <w:t>(accessed May 29, 2026).</w:t>
      </w:r>
    </w:p>
    <w:p w14:paraId="0DFDC320" w14:textId="77777777" w:rsidR="00046465" w:rsidRDefault="008134EB">
      <w:pPr>
        <w:spacing w:before="177"/>
        <w:ind w:left="360"/>
        <w:jc w:val="both"/>
        <w:rPr>
          <w:sz w:val="18"/>
        </w:rPr>
      </w:pPr>
      <w:bookmarkStart w:id="298" w:name="_bookmark169"/>
      <w:bookmarkEnd w:id="298"/>
      <w:r>
        <w:rPr>
          <w:position w:val="7"/>
          <w:sz w:val="14"/>
        </w:rPr>
        <w:t>25</w:t>
      </w:r>
      <w:r>
        <w:rPr>
          <w:sz w:val="18"/>
        </w:rPr>
        <w:t>See</w:t>
      </w:r>
      <w:r>
        <w:rPr>
          <w:spacing w:val="-6"/>
          <w:sz w:val="18"/>
        </w:rPr>
        <w:t xml:space="preserve"> </w:t>
      </w:r>
      <w:r>
        <w:rPr>
          <w:i/>
          <w:sz w:val="18"/>
        </w:rPr>
        <w:t>Treasury</w:t>
      </w:r>
      <w:r>
        <w:rPr>
          <w:i/>
          <w:spacing w:val="-2"/>
          <w:sz w:val="18"/>
        </w:rPr>
        <w:t xml:space="preserve"> </w:t>
      </w:r>
      <w:r>
        <w:rPr>
          <w:i/>
          <w:sz w:val="18"/>
        </w:rPr>
        <w:t>Financial</w:t>
      </w:r>
      <w:r>
        <w:rPr>
          <w:i/>
          <w:spacing w:val="-3"/>
          <w:sz w:val="18"/>
        </w:rPr>
        <w:t xml:space="preserve"> </w:t>
      </w:r>
      <w:r>
        <w:rPr>
          <w:i/>
          <w:sz w:val="18"/>
        </w:rPr>
        <w:t>Manual</w:t>
      </w:r>
      <w:r>
        <w:rPr>
          <w:sz w:val="18"/>
        </w:rPr>
        <w:t>,</w:t>
      </w:r>
      <w:r>
        <w:rPr>
          <w:spacing w:val="-3"/>
          <w:sz w:val="18"/>
        </w:rPr>
        <w:t xml:space="preserve"> </w:t>
      </w:r>
      <w:r>
        <w:rPr>
          <w:sz w:val="18"/>
        </w:rPr>
        <w:t>vol.</w:t>
      </w:r>
      <w:r>
        <w:rPr>
          <w:spacing w:val="-3"/>
          <w:sz w:val="18"/>
        </w:rPr>
        <w:t xml:space="preserve"> </w:t>
      </w:r>
      <w:r>
        <w:rPr>
          <w:sz w:val="18"/>
        </w:rPr>
        <w:t>1,</w:t>
      </w:r>
      <w:r>
        <w:rPr>
          <w:spacing w:val="-3"/>
          <w:sz w:val="18"/>
        </w:rPr>
        <w:t xml:space="preserve"> </w:t>
      </w:r>
      <w:r>
        <w:rPr>
          <w:sz w:val="18"/>
        </w:rPr>
        <w:t>pt.</w:t>
      </w:r>
      <w:r>
        <w:rPr>
          <w:spacing w:val="-3"/>
          <w:sz w:val="18"/>
        </w:rPr>
        <w:t xml:space="preserve"> </w:t>
      </w:r>
      <w:r>
        <w:rPr>
          <w:sz w:val="18"/>
        </w:rPr>
        <w:t>2,</w:t>
      </w:r>
      <w:r>
        <w:rPr>
          <w:spacing w:val="-3"/>
          <w:sz w:val="18"/>
        </w:rPr>
        <w:t xml:space="preserve"> </w:t>
      </w:r>
      <w:r>
        <w:rPr>
          <w:sz w:val="18"/>
        </w:rPr>
        <w:t>ch.</w:t>
      </w:r>
      <w:r>
        <w:rPr>
          <w:spacing w:val="-3"/>
          <w:sz w:val="18"/>
        </w:rPr>
        <w:t xml:space="preserve"> </w:t>
      </w:r>
      <w:r>
        <w:rPr>
          <w:sz w:val="18"/>
        </w:rPr>
        <w:t>5100,</w:t>
      </w:r>
      <w:r>
        <w:rPr>
          <w:spacing w:val="-3"/>
          <w:sz w:val="18"/>
        </w:rPr>
        <w:t xml:space="preserve"> </w:t>
      </w:r>
      <w:r>
        <w:rPr>
          <w:i/>
          <w:sz w:val="18"/>
        </w:rPr>
        <w:t>Section</w:t>
      </w:r>
      <w:r>
        <w:rPr>
          <w:i/>
          <w:spacing w:val="-4"/>
          <w:sz w:val="18"/>
        </w:rPr>
        <w:t xml:space="preserve"> </w:t>
      </w:r>
      <w:r>
        <w:rPr>
          <w:i/>
          <w:sz w:val="18"/>
        </w:rPr>
        <w:t>5135—Budget</w:t>
      </w:r>
      <w:r>
        <w:rPr>
          <w:i/>
          <w:spacing w:val="-3"/>
          <w:sz w:val="18"/>
        </w:rPr>
        <w:t xml:space="preserve"> </w:t>
      </w:r>
      <w:r>
        <w:rPr>
          <w:i/>
          <w:sz w:val="18"/>
        </w:rPr>
        <w:t>Clearing</w:t>
      </w:r>
      <w:r>
        <w:rPr>
          <w:i/>
          <w:spacing w:val="-3"/>
          <w:sz w:val="18"/>
        </w:rPr>
        <w:t xml:space="preserve"> </w:t>
      </w:r>
      <w:r>
        <w:rPr>
          <w:i/>
          <w:spacing w:val="-2"/>
          <w:sz w:val="18"/>
        </w:rPr>
        <w:t>Accounts</w:t>
      </w:r>
      <w:r>
        <w:rPr>
          <w:spacing w:val="-2"/>
          <w:sz w:val="18"/>
        </w:rPr>
        <w:t>.</w:t>
      </w:r>
    </w:p>
    <w:p w14:paraId="0DFDC321" w14:textId="77777777" w:rsidR="00046465" w:rsidRDefault="008134EB">
      <w:pPr>
        <w:spacing w:before="134" w:line="244" w:lineRule="auto"/>
        <w:ind w:left="359" w:right="1330"/>
        <w:jc w:val="both"/>
        <w:rPr>
          <w:sz w:val="18"/>
        </w:rPr>
      </w:pPr>
      <w:bookmarkStart w:id="299" w:name="_bookmark170"/>
      <w:bookmarkEnd w:id="299"/>
      <w:r>
        <w:rPr>
          <w:position w:val="7"/>
          <w:sz w:val="14"/>
        </w:rPr>
        <w:t>26</w:t>
      </w:r>
      <w:r>
        <w:rPr>
          <w:sz w:val="18"/>
        </w:rPr>
        <w:t>Statement</w:t>
      </w:r>
      <w:r>
        <w:rPr>
          <w:spacing w:val="-4"/>
          <w:sz w:val="18"/>
        </w:rPr>
        <w:t xml:space="preserve"> </w:t>
      </w:r>
      <w:r>
        <w:rPr>
          <w:sz w:val="18"/>
        </w:rPr>
        <w:t>of</w:t>
      </w:r>
      <w:r>
        <w:rPr>
          <w:spacing w:val="-4"/>
          <w:sz w:val="18"/>
        </w:rPr>
        <w:t xml:space="preserve"> </w:t>
      </w:r>
      <w:r>
        <w:rPr>
          <w:sz w:val="18"/>
        </w:rPr>
        <w:t>Federal</w:t>
      </w:r>
      <w:r>
        <w:rPr>
          <w:spacing w:val="-4"/>
          <w:sz w:val="18"/>
        </w:rPr>
        <w:t xml:space="preserve"> </w:t>
      </w:r>
      <w:r>
        <w:rPr>
          <w:sz w:val="18"/>
        </w:rPr>
        <w:t>Financial</w:t>
      </w:r>
      <w:r>
        <w:rPr>
          <w:spacing w:val="-4"/>
          <w:sz w:val="18"/>
        </w:rPr>
        <w:t xml:space="preserve"> </w:t>
      </w:r>
      <w:r>
        <w:rPr>
          <w:sz w:val="18"/>
        </w:rPr>
        <w:t>Accounting</w:t>
      </w:r>
      <w:r>
        <w:rPr>
          <w:spacing w:val="-4"/>
          <w:sz w:val="18"/>
        </w:rPr>
        <w:t xml:space="preserve"> </w:t>
      </w:r>
      <w:r>
        <w:rPr>
          <w:sz w:val="18"/>
        </w:rPr>
        <w:t>Standards</w:t>
      </w:r>
      <w:r>
        <w:rPr>
          <w:spacing w:val="-4"/>
          <w:sz w:val="18"/>
        </w:rPr>
        <w:t xml:space="preserve"> </w:t>
      </w:r>
      <w:r>
        <w:rPr>
          <w:sz w:val="18"/>
        </w:rPr>
        <w:t>(SFFAS)</w:t>
      </w:r>
      <w:r>
        <w:rPr>
          <w:spacing w:val="-4"/>
          <w:sz w:val="18"/>
        </w:rPr>
        <w:t xml:space="preserve"> </w:t>
      </w:r>
      <w:r>
        <w:rPr>
          <w:sz w:val="18"/>
        </w:rPr>
        <w:t>24,</w:t>
      </w:r>
      <w:r>
        <w:rPr>
          <w:spacing w:val="-4"/>
          <w:sz w:val="18"/>
        </w:rPr>
        <w:t xml:space="preserve"> </w:t>
      </w:r>
      <w:r>
        <w:rPr>
          <w:i/>
          <w:sz w:val="18"/>
        </w:rPr>
        <w:t>Selected</w:t>
      </w:r>
      <w:r>
        <w:rPr>
          <w:i/>
          <w:spacing w:val="-4"/>
          <w:sz w:val="18"/>
        </w:rPr>
        <w:t xml:space="preserve"> </w:t>
      </w:r>
      <w:r>
        <w:rPr>
          <w:i/>
          <w:sz w:val="18"/>
        </w:rPr>
        <w:t>Standards</w:t>
      </w:r>
      <w:r>
        <w:rPr>
          <w:i/>
          <w:spacing w:val="-4"/>
          <w:sz w:val="18"/>
        </w:rPr>
        <w:t xml:space="preserve"> </w:t>
      </w:r>
      <w:r>
        <w:rPr>
          <w:i/>
          <w:sz w:val="18"/>
        </w:rPr>
        <w:t>for</w:t>
      </w:r>
      <w:r>
        <w:rPr>
          <w:i/>
          <w:spacing w:val="-4"/>
          <w:sz w:val="18"/>
        </w:rPr>
        <w:t xml:space="preserve"> </w:t>
      </w:r>
      <w:r>
        <w:rPr>
          <w:i/>
          <w:sz w:val="18"/>
        </w:rPr>
        <w:t>the</w:t>
      </w:r>
      <w:r>
        <w:rPr>
          <w:i/>
          <w:spacing w:val="-4"/>
          <w:sz w:val="18"/>
        </w:rPr>
        <w:t xml:space="preserve"> </w:t>
      </w:r>
      <w:r>
        <w:rPr>
          <w:i/>
          <w:sz w:val="18"/>
        </w:rPr>
        <w:t>Consolidated Financial</w:t>
      </w:r>
      <w:r>
        <w:rPr>
          <w:i/>
          <w:spacing w:val="-1"/>
          <w:sz w:val="18"/>
        </w:rPr>
        <w:t xml:space="preserve"> </w:t>
      </w:r>
      <w:r>
        <w:rPr>
          <w:i/>
          <w:sz w:val="18"/>
        </w:rPr>
        <w:t>Report</w:t>
      </w:r>
      <w:r>
        <w:rPr>
          <w:i/>
          <w:spacing w:val="-1"/>
          <w:sz w:val="18"/>
        </w:rPr>
        <w:t xml:space="preserve"> </w:t>
      </w:r>
      <w:r>
        <w:rPr>
          <w:i/>
          <w:sz w:val="18"/>
        </w:rPr>
        <w:t>of</w:t>
      </w:r>
      <w:r>
        <w:rPr>
          <w:i/>
          <w:spacing w:val="-1"/>
          <w:sz w:val="18"/>
        </w:rPr>
        <w:t xml:space="preserve"> </w:t>
      </w:r>
      <w:r>
        <w:rPr>
          <w:i/>
          <w:sz w:val="18"/>
        </w:rPr>
        <w:t>the</w:t>
      </w:r>
      <w:r>
        <w:rPr>
          <w:i/>
          <w:spacing w:val="-2"/>
          <w:sz w:val="18"/>
        </w:rPr>
        <w:t xml:space="preserve"> </w:t>
      </w:r>
      <w:r>
        <w:rPr>
          <w:i/>
          <w:sz w:val="18"/>
        </w:rPr>
        <w:t>United States</w:t>
      </w:r>
      <w:r>
        <w:rPr>
          <w:i/>
          <w:spacing w:val="-1"/>
          <w:sz w:val="18"/>
        </w:rPr>
        <w:t xml:space="preserve"> </w:t>
      </w:r>
      <w:r>
        <w:rPr>
          <w:i/>
          <w:sz w:val="18"/>
        </w:rPr>
        <w:t>Government</w:t>
      </w:r>
      <w:r>
        <w:rPr>
          <w:sz w:val="18"/>
        </w:rPr>
        <w:t>,</w:t>
      </w:r>
      <w:r>
        <w:rPr>
          <w:spacing w:val="-1"/>
          <w:sz w:val="18"/>
        </w:rPr>
        <w:t xml:space="preserve"> </w:t>
      </w:r>
      <w:r>
        <w:rPr>
          <w:sz w:val="18"/>
        </w:rPr>
        <w:t>requires</w:t>
      </w:r>
      <w:r>
        <w:rPr>
          <w:spacing w:val="-1"/>
          <w:sz w:val="18"/>
        </w:rPr>
        <w:t xml:space="preserve"> </w:t>
      </w:r>
      <w:r>
        <w:rPr>
          <w:sz w:val="18"/>
        </w:rPr>
        <w:t>that</w:t>
      </w:r>
      <w:r>
        <w:rPr>
          <w:spacing w:val="-1"/>
          <w:sz w:val="18"/>
        </w:rPr>
        <w:t xml:space="preserve"> </w:t>
      </w:r>
      <w:r>
        <w:rPr>
          <w:sz w:val="18"/>
        </w:rPr>
        <w:t>the</w:t>
      </w:r>
      <w:r>
        <w:rPr>
          <w:spacing w:val="-2"/>
          <w:sz w:val="18"/>
        </w:rPr>
        <w:t xml:space="preserve"> </w:t>
      </w:r>
      <w:r>
        <w:rPr>
          <w:sz w:val="18"/>
        </w:rPr>
        <w:t>Cash Statement</w:t>
      </w:r>
      <w:r>
        <w:rPr>
          <w:spacing w:val="-1"/>
          <w:sz w:val="18"/>
        </w:rPr>
        <w:t xml:space="preserve"> </w:t>
      </w:r>
      <w:r>
        <w:rPr>
          <w:sz w:val="18"/>
        </w:rPr>
        <w:t>be</w:t>
      </w:r>
      <w:r>
        <w:rPr>
          <w:spacing w:val="-2"/>
          <w:sz w:val="18"/>
        </w:rPr>
        <w:t xml:space="preserve"> </w:t>
      </w:r>
      <w:r>
        <w:rPr>
          <w:sz w:val="18"/>
        </w:rPr>
        <w:t>presented</w:t>
      </w:r>
      <w:r>
        <w:rPr>
          <w:spacing w:val="-2"/>
          <w:sz w:val="18"/>
        </w:rPr>
        <w:t xml:space="preserve"> </w:t>
      </w:r>
      <w:r>
        <w:rPr>
          <w:sz w:val="18"/>
        </w:rPr>
        <w:t>in</w:t>
      </w:r>
      <w:r>
        <w:rPr>
          <w:spacing w:val="-2"/>
          <w:sz w:val="18"/>
        </w:rPr>
        <w:t xml:space="preserve"> </w:t>
      </w:r>
      <w:r>
        <w:rPr>
          <w:sz w:val="18"/>
        </w:rPr>
        <w:t>the U.S. government’s consolidated financial statements.</w:t>
      </w:r>
    </w:p>
    <w:p w14:paraId="0DFDC322" w14:textId="77777777" w:rsidR="00046465" w:rsidRDefault="00046465">
      <w:pPr>
        <w:spacing w:line="244" w:lineRule="auto"/>
        <w:jc w:val="both"/>
        <w:rPr>
          <w:sz w:val="18"/>
        </w:rPr>
        <w:sectPr w:rsidR="00046465">
          <w:headerReference w:type="default" r:id="rId191"/>
          <w:footerReference w:type="default" r:id="rId192"/>
          <w:pgSz w:w="12240" w:h="15840"/>
          <w:pgMar w:top="1340" w:right="720" w:bottom="940" w:left="1080" w:header="721" w:footer="757" w:gutter="0"/>
          <w:pgNumType w:start="2"/>
          <w:cols w:space="720"/>
        </w:sectPr>
      </w:pPr>
    </w:p>
    <w:p w14:paraId="0DFDC323" w14:textId="77777777" w:rsidR="00046465" w:rsidRDefault="008134EB">
      <w:pPr>
        <w:pStyle w:val="ListParagraph"/>
        <w:numPr>
          <w:ilvl w:val="0"/>
          <w:numId w:val="3"/>
        </w:numPr>
        <w:tabs>
          <w:tab w:val="left" w:pos="1800"/>
        </w:tabs>
        <w:spacing w:before="121"/>
        <w:ind w:right="1167"/>
      </w:pPr>
      <w:r>
        <w:lastRenderedPageBreak/>
        <w:t>Since</w:t>
      </w:r>
      <w:r>
        <w:rPr>
          <w:spacing w:val="-4"/>
        </w:rPr>
        <w:t xml:space="preserve"> </w:t>
      </w:r>
      <w:r>
        <w:t>entities</w:t>
      </w:r>
      <w:r>
        <w:rPr>
          <w:spacing w:val="-4"/>
        </w:rPr>
        <w:t xml:space="preserve"> </w:t>
      </w:r>
      <w:r>
        <w:t>assign</w:t>
      </w:r>
      <w:r>
        <w:rPr>
          <w:spacing w:val="-5"/>
        </w:rPr>
        <w:t xml:space="preserve"> </w:t>
      </w:r>
      <w:r>
        <w:t>the</w:t>
      </w:r>
      <w:r>
        <w:rPr>
          <w:spacing w:val="-5"/>
        </w:rPr>
        <w:t xml:space="preserve"> </w:t>
      </w:r>
      <w:r>
        <w:t>TAS</w:t>
      </w:r>
      <w:r>
        <w:rPr>
          <w:spacing w:val="-4"/>
        </w:rPr>
        <w:t xml:space="preserve"> </w:t>
      </w:r>
      <w:r>
        <w:t>and</w:t>
      </w:r>
      <w:r>
        <w:rPr>
          <w:spacing w:val="-4"/>
        </w:rPr>
        <w:t xml:space="preserve"> </w:t>
      </w:r>
      <w:r>
        <w:t>BETC</w:t>
      </w:r>
      <w:r>
        <w:rPr>
          <w:spacing w:val="-5"/>
        </w:rPr>
        <w:t xml:space="preserve"> </w:t>
      </w:r>
      <w:r>
        <w:t>data</w:t>
      </w:r>
      <w:r>
        <w:rPr>
          <w:spacing w:val="-4"/>
        </w:rPr>
        <w:t xml:space="preserve"> </w:t>
      </w:r>
      <w:r>
        <w:t>elements</w:t>
      </w:r>
      <w:r>
        <w:rPr>
          <w:spacing w:val="-4"/>
        </w:rPr>
        <w:t xml:space="preserve"> </w:t>
      </w:r>
      <w:r>
        <w:t>to</w:t>
      </w:r>
      <w:r>
        <w:rPr>
          <w:spacing w:val="-4"/>
        </w:rPr>
        <w:t xml:space="preserve"> </w:t>
      </w:r>
      <w:r>
        <w:t>most</w:t>
      </w:r>
      <w:r>
        <w:rPr>
          <w:spacing w:val="-4"/>
        </w:rPr>
        <w:t xml:space="preserve"> </w:t>
      </w:r>
      <w:r>
        <w:t>transactions, entities are responsible for classifying these transactions appropriately.</w:t>
      </w:r>
      <w:hyperlink w:anchor="_bookmark171" w:history="1">
        <w:r>
          <w:rPr>
            <w:position w:val="7"/>
            <w:sz w:val="14"/>
          </w:rPr>
          <w:t>27</w:t>
        </w:r>
      </w:hyperlink>
      <w:r>
        <w:rPr>
          <w:spacing w:val="29"/>
          <w:position w:val="7"/>
          <w:sz w:val="14"/>
        </w:rPr>
        <w:t xml:space="preserve"> </w:t>
      </w:r>
      <w:r>
        <w:t>As such, entities maintain all the detailed information supporting assignment of these data elements and are responsible for the related internal controls.</w:t>
      </w:r>
    </w:p>
    <w:p w14:paraId="0DFDC324" w14:textId="77777777" w:rsidR="00046465" w:rsidRDefault="008134EB">
      <w:pPr>
        <w:pStyle w:val="ListParagraph"/>
        <w:numPr>
          <w:ilvl w:val="0"/>
          <w:numId w:val="3"/>
        </w:numPr>
        <w:tabs>
          <w:tab w:val="left" w:pos="1799"/>
        </w:tabs>
        <w:ind w:left="1799" w:right="842" w:hanging="720"/>
      </w:pPr>
      <w:r>
        <w:t>Entities classify collections transactions with a TAS and BETC through CARS’s Shared</w:t>
      </w:r>
      <w:r>
        <w:rPr>
          <w:spacing w:val="-4"/>
        </w:rPr>
        <w:t xml:space="preserve"> </w:t>
      </w:r>
      <w:r>
        <w:t>Accounting</w:t>
      </w:r>
      <w:r>
        <w:rPr>
          <w:spacing w:val="-4"/>
        </w:rPr>
        <w:t xml:space="preserve"> </w:t>
      </w:r>
      <w:r>
        <w:t>Module</w:t>
      </w:r>
      <w:r>
        <w:rPr>
          <w:spacing w:val="-4"/>
        </w:rPr>
        <w:t xml:space="preserve"> </w:t>
      </w:r>
      <w:r>
        <w:t>(SAM).</w:t>
      </w:r>
      <w:hyperlink w:anchor="_bookmark172" w:history="1">
        <w:r>
          <w:rPr>
            <w:position w:val="7"/>
            <w:sz w:val="14"/>
          </w:rPr>
          <w:t>28</w:t>
        </w:r>
      </w:hyperlink>
      <w:r>
        <w:rPr>
          <w:spacing w:val="17"/>
          <w:position w:val="7"/>
          <w:sz w:val="14"/>
        </w:rPr>
        <w:t xml:space="preserve"> </w:t>
      </w:r>
      <w:r>
        <w:t>Collection</w:t>
      </w:r>
      <w:r>
        <w:rPr>
          <w:spacing w:val="-4"/>
        </w:rPr>
        <w:t xml:space="preserve"> </w:t>
      </w:r>
      <w:r>
        <w:t>reporting</w:t>
      </w:r>
      <w:r>
        <w:rPr>
          <w:spacing w:val="-4"/>
        </w:rPr>
        <w:t xml:space="preserve"> </w:t>
      </w:r>
      <w:r>
        <w:t>systems</w:t>
      </w:r>
      <w:r>
        <w:rPr>
          <w:spacing w:val="-4"/>
        </w:rPr>
        <w:t xml:space="preserve"> </w:t>
      </w:r>
      <w:r>
        <w:t>(e.g.,</w:t>
      </w:r>
      <w:r>
        <w:rPr>
          <w:spacing w:val="-4"/>
        </w:rPr>
        <w:t xml:space="preserve"> </w:t>
      </w:r>
      <w:r>
        <w:t>Pay.gov and OTCnet) process collections received and automatically code each with a TAS</w:t>
      </w:r>
      <w:r>
        <w:rPr>
          <w:spacing w:val="-3"/>
        </w:rPr>
        <w:t xml:space="preserve"> </w:t>
      </w:r>
      <w:r>
        <w:t>and</w:t>
      </w:r>
      <w:r>
        <w:rPr>
          <w:spacing w:val="-3"/>
        </w:rPr>
        <w:t xml:space="preserve"> </w:t>
      </w:r>
      <w:r>
        <w:t>BETC</w:t>
      </w:r>
      <w:r>
        <w:rPr>
          <w:spacing w:val="-4"/>
        </w:rPr>
        <w:t xml:space="preserve"> </w:t>
      </w:r>
      <w:r>
        <w:t>or</w:t>
      </w:r>
      <w:r>
        <w:rPr>
          <w:spacing w:val="-3"/>
        </w:rPr>
        <w:t xml:space="preserve"> </w:t>
      </w:r>
      <w:r>
        <w:t>a</w:t>
      </w:r>
      <w:r>
        <w:rPr>
          <w:spacing w:val="-3"/>
        </w:rPr>
        <w:t xml:space="preserve"> </w:t>
      </w:r>
      <w:r>
        <w:t>Classification</w:t>
      </w:r>
      <w:r>
        <w:rPr>
          <w:spacing w:val="-3"/>
        </w:rPr>
        <w:t xml:space="preserve"> </w:t>
      </w:r>
      <w:r>
        <w:t>Key</w:t>
      </w:r>
      <w:r>
        <w:rPr>
          <w:spacing w:val="-3"/>
        </w:rPr>
        <w:t xml:space="preserve"> </w:t>
      </w:r>
      <w:r>
        <w:t>(C-Key)</w:t>
      </w:r>
      <w:r>
        <w:rPr>
          <w:spacing w:val="-3"/>
        </w:rPr>
        <w:t xml:space="preserve"> </w:t>
      </w:r>
      <w:r>
        <w:t>based</w:t>
      </w:r>
      <w:r>
        <w:rPr>
          <w:spacing w:val="-3"/>
        </w:rPr>
        <w:t xml:space="preserve"> </w:t>
      </w:r>
      <w:r>
        <w:t>on</w:t>
      </w:r>
      <w:r>
        <w:rPr>
          <w:spacing w:val="-3"/>
        </w:rPr>
        <w:t xml:space="preserve"> </w:t>
      </w:r>
      <w:r>
        <w:t>the</w:t>
      </w:r>
      <w:r>
        <w:rPr>
          <w:spacing w:val="-3"/>
        </w:rPr>
        <w:t xml:space="preserve"> </w:t>
      </w:r>
      <w:r>
        <w:t>Cash</w:t>
      </w:r>
      <w:r>
        <w:rPr>
          <w:spacing w:val="-3"/>
        </w:rPr>
        <w:t xml:space="preserve"> </w:t>
      </w:r>
      <w:r>
        <w:t>Flow</w:t>
      </w:r>
      <w:r>
        <w:rPr>
          <w:spacing w:val="-4"/>
        </w:rPr>
        <w:t xml:space="preserve"> </w:t>
      </w:r>
      <w:r>
        <w:t>Profiles (CFP) that the entity set up in SAM).</w:t>
      </w:r>
      <w:hyperlink w:anchor="_bookmark173" w:history="1">
        <w:r>
          <w:rPr>
            <w:position w:val="7"/>
            <w:sz w:val="14"/>
          </w:rPr>
          <w:t>29</w:t>
        </w:r>
      </w:hyperlink>
      <w:r>
        <w:rPr>
          <w:spacing w:val="33"/>
          <w:position w:val="7"/>
          <w:sz w:val="14"/>
        </w:rPr>
        <w:t xml:space="preserve"> </w:t>
      </w:r>
      <w:r>
        <w:t>For transactions that cannot be automatically coded with the correct TASs and BETCs, entities use clearing TASs and BETCs or set up default rules in CFPs to temporarily record the transactions and subsequently research and reclassify these transactions to the appropriate TASs and BETCs.</w:t>
      </w:r>
    </w:p>
    <w:p w14:paraId="0DFDC325" w14:textId="77777777" w:rsidR="00046465" w:rsidRDefault="008134EB">
      <w:pPr>
        <w:pStyle w:val="ListParagraph"/>
        <w:numPr>
          <w:ilvl w:val="0"/>
          <w:numId w:val="116"/>
        </w:numPr>
        <w:tabs>
          <w:tab w:val="left" w:pos="1799"/>
        </w:tabs>
        <w:spacing w:before="119"/>
        <w:ind w:left="1799" w:right="922"/>
      </w:pPr>
      <w:r>
        <w:t>C-Keys are necessary if the collection reporting system does not permit the selection of the TAS and BETC. Fiscal Service requires entities to map the C-Key value to the TAS and BETC combination in their CFPs and uploading the CFPs in SAM. Entities are also responsible for mapping the C-Key in the collection</w:t>
      </w:r>
      <w:r>
        <w:rPr>
          <w:spacing w:val="-4"/>
        </w:rPr>
        <w:t xml:space="preserve"> </w:t>
      </w:r>
      <w:r>
        <w:t>reporting</w:t>
      </w:r>
      <w:r>
        <w:rPr>
          <w:spacing w:val="-4"/>
        </w:rPr>
        <w:t xml:space="preserve"> </w:t>
      </w:r>
      <w:r>
        <w:t>system.</w:t>
      </w:r>
      <w:r>
        <w:rPr>
          <w:spacing w:val="-4"/>
        </w:rPr>
        <w:t xml:space="preserve"> </w:t>
      </w:r>
      <w:r>
        <w:t>If</w:t>
      </w:r>
      <w:r>
        <w:rPr>
          <w:spacing w:val="-4"/>
        </w:rPr>
        <w:t xml:space="preserve"> </w:t>
      </w:r>
      <w:r>
        <w:t>a</w:t>
      </w:r>
      <w:r>
        <w:rPr>
          <w:spacing w:val="-4"/>
        </w:rPr>
        <w:t xml:space="preserve"> </w:t>
      </w:r>
      <w:r>
        <w:t>C-Key</w:t>
      </w:r>
      <w:r>
        <w:rPr>
          <w:spacing w:val="-4"/>
        </w:rPr>
        <w:t xml:space="preserve"> </w:t>
      </w:r>
      <w:r>
        <w:t>sent</w:t>
      </w:r>
      <w:r>
        <w:rPr>
          <w:spacing w:val="-4"/>
        </w:rPr>
        <w:t xml:space="preserve"> </w:t>
      </w:r>
      <w:r>
        <w:t>from</w:t>
      </w:r>
      <w:r>
        <w:rPr>
          <w:spacing w:val="-5"/>
        </w:rPr>
        <w:t xml:space="preserve"> </w:t>
      </w:r>
      <w:r>
        <w:t>the</w:t>
      </w:r>
      <w:r>
        <w:rPr>
          <w:spacing w:val="-4"/>
        </w:rPr>
        <w:t xml:space="preserve"> </w:t>
      </w:r>
      <w:r>
        <w:t>collection</w:t>
      </w:r>
      <w:r>
        <w:rPr>
          <w:spacing w:val="-4"/>
        </w:rPr>
        <w:t xml:space="preserve"> </w:t>
      </w:r>
      <w:r>
        <w:t>reporting</w:t>
      </w:r>
      <w:r>
        <w:rPr>
          <w:spacing w:val="-4"/>
        </w:rPr>
        <w:t xml:space="preserve"> </w:t>
      </w:r>
      <w:r>
        <w:t>system did</w:t>
      </w:r>
      <w:r>
        <w:rPr>
          <w:spacing w:val="-2"/>
        </w:rPr>
        <w:t xml:space="preserve"> </w:t>
      </w:r>
      <w:r>
        <w:t>not</w:t>
      </w:r>
      <w:r>
        <w:rPr>
          <w:spacing w:val="-2"/>
        </w:rPr>
        <w:t xml:space="preserve"> </w:t>
      </w:r>
      <w:r>
        <w:t>match</w:t>
      </w:r>
      <w:r>
        <w:rPr>
          <w:spacing w:val="-2"/>
        </w:rPr>
        <w:t xml:space="preserve"> </w:t>
      </w:r>
      <w:r>
        <w:t>a</w:t>
      </w:r>
      <w:r>
        <w:rPr>
          <w:spacing w:val="-2"/>
        </w:rPr>
        <w:t xml:space="preserve"> </w:t>
      </w:r>
      <w:r>
        <w:t>C-Key</w:t>
      </w:r>
      <w:r>
        <w:rPr>
          <w:spacing w:val="-2"/>
        </w:rPr>
        <w:t xml:space="preserve"> </w:t>
      </w:r>
      <w:r>
        <w:t>set</w:t>
      </w:r>
      <w:r>
        <w:rPr>
          <w:spacing w:val="-2"/>
        </w:rPr>
        <w:t xml:space="preserve"> </w:t>
      </w:r>
      <w:r>
        <w:t>up</w:t>
      </w:r>
      <w:r>
        <w:rPr>
          <w:spacing w:val="-2"/>
        </w:rPr>
        <w:t xml:space="preserve"> </w:t>
      </w:r>
      <w:r>
        <w:t>in</w:t>
      </w:r>
      <w:r>
        <w:rPr>
          <w:spacing w:val="-2"/>
        </w:rPr>
        <w:t xml:space="preserve"> </w:t>
      </w:r>
      <w:r>
        <w:t>the</w:t>
      </w:r>
      <w:r>
        <w:rPr>
          <w:spacing w:val="-3"/>
        </w:rPr>
        <w:t xml:space="preserve"> </w:t>
      </w:r>
      <w:r>
        <w:t>entity’s</w:t>
      </w:r>
      <w:r>
        <w:rPr>
          <w:spacing w:val="-2"/>
        </w:rPr>
        <w:t xml:space="preserve"> </w:t>
      </w:r>
      <w:r>
        <w:t>CFP,</w:t>
      </w:r>
      <w:r>
        <w:rPr>
          <w:spacing w:val="-2"/>
        </w:rPr>
        <w:t xml:space="preserve"> </w:t>
      </w:r>
      <w:r>
        <w:t>then</w:t>
      </w:r>
      <w:r>
        <w:rPr>
          <w:spacing w:val="-2"/>
        </w:rPr>
        <w:t xml:space="preserve"> </w:t>
      </w:r>
      <w:r>
        <w:t>a</w:t>
      </w:r>
      <w:r>
        <w:rPr>
          <w:spacing w:val="-2"/>
        </w:rPr>
        <w:t xml:space="preserve"> </w:t>
      </w:r>
      <w:r>
        <w:t>default</w:t>
      </w:r>
      <w:r>
        <w:rPr>
          <w:spacing w:val="-2"/>
        </w:rPr>
        <w:t xml:space="preserve"> </w:t>
      </w:r>
      <w:r>
        <w:t>TAS</w:t>
      </w:r>
      <w:r>
        <w:rPr>
          <w:spacing w:val="-2"/>
        </w:rPr>
        <w:t xml:space="preserve"> </w:t>
      </w:r>
      <w:r>
        <w:t>and</w:t>
      </w:r>
      <w:r>
        <w:rPr>
          <w:spacing w:val="-2"/>
        </w:rPr>
        <w:t xml:space="preserve"> </w:t>
      </w:r>
      <w:r>
        <w:t>BETC will be assigned automatically, and the entity will need to reclassify the default TAS and BETC subsequently. Entities are responsible for maintaining the consistency between the C-Keys set up in the collection reporting systems and the C-Keys set up in the CFPs.</w:t>
      </w:r>
    </w:p>
    <w:p w14:paraId="0DFDC326" w14:textId="77777777" w:rsidR="00046465" w:rsidRDefault="008134EB">
      <w:pPr>
        <w:pStyle w:val="ListParagraph"/>
        <w:numPr>
          <w:ilvl w:val="0"/>
          <w:numId w:val="116"/>
        </w:numPr>
        <w:tabs>
          <w:tab w:val="left" w:pos="1800"/>
        </w:tabs>
        <w:spacing w:before="121"/>
        <w:ind w:right="776"/>
      </w:pPr>
      <w:r>
        <w:t>Entities with disbursements (payments) processed through Treasury Disbursing Offices are responsible for submitting accurate payment schedules to Fiscal Service,</w:t>
      </w:r>
      <w:r>
        <w:rPr>
          <w:spacing w:val="-4"/>
        </w:rPr>
        <w:t xml:space="preserve"> </w:t>
      </w:r>
      <w:r>
        <w:t>including</w:t>
      </w:r>
      <w:r>
        <w:rPr>
          <w:spacing w:val="-4"/>
        </w:rPr>
        <w:t xml:space="preserve"> </w:t>
      </w:r>
      <w:r>
        <w:t>classifying</w:t>
      </w:r>
      <w:r>
        <w:rPr>
          <w:spacing w:val="-4"/>
        </w:rPr>
        <w:t xml:space="preserve"> </w:t>
      </w:r>
      <w:r>
        <w:t>each</w:t>
      </w:r>
      <w:r>
        <w:rPr>
          <w:spacing w:val="-4"/>
        </w:rPr>
        <w:t xml:space="preserve"> </w:t>
      </w:r>
      <w:r>
        <w:t>payment</w:t>
      </w:r>
      <w:r>
        <w:rPr>
          <w:spacing w:val="-4"/>
        </w:rPr>
        <w:t xml:space="preserve"> </w:t>
      </w:r>
      <w:r>
        <w:t>with</w:t>
      </w:r>
      <w:r>
        <w:rPr>
          <w:spacing w:val="-4"/>
        </w:rPr>
        <w:t xml:space="preserve"> </w:t>
      </w:r>
      <w:r>
        <w:t>the</w:t>
      </w:r>
      <w:r>
        <w:rPr>
          <w:spacing w:val="-4"/>
        </w:rPr>
        <w:t xml:space="preserve"> </w:t>
      </w:r>
      <w:r>
        <w:t>appropriate</w:t>
      </w:r>
      <w:r>
        <w:rPr>
          <w:spacing w:val="-4"/>
        </w:rPr>
        <w:t xml:space="preserve"> </w:t>
      </w:r>
      <w:r>
        <w:t>TAS</w:t>
      </w:r>
      <w:r>
        <w:rPr>
          <w:spacing w:val="-4"/>
        </w:rPr>
        <w:t xml:space="preserve"> </w:t>
      </w:r>
      <w:r>
        <w:t>and</w:t>
      </w:r>
      <w:r>
        <w:rPr>
          <w:spacing w:val="-4"/>
        </w:rPr>
        <w:t xml:space="preserve"> </w:t>
      </w:r>
      <w:r>
        <w:t>BETC. Entities submit payment requests via the Secure Payment System (SPS) and must include a TAS and BETC for each payment. An entity’s invoice processing system may automatically assign TASs and BETCs to the payment schedule based on invoice attributes such as fund code, line of accounting, organization code, program code, or object class code. After a payment is processed, if SAM determines that the assigned TAS and BETC are invalid, it assigns the affected payment a default TAS and BETC selected by the entity.</w:t>
      </w:r>
    </w:p>
    <w:p w14:paraId="0DFDC327" w14:textId="77777777" w:rsidR="00046465" w:rsidRDefault="008134EB">
      <w:pPr>
        <w:pStyle w:val="ListParagraph"/>
        <w:numPr>
          <w:ilvl w:val="0"/>
          <w:numId w:val="116"/>
        </w:numPr>
        <w:tabs>
          <w:tab w:val="left" w:pos="1800"/>
        </w:tabs>
        <w:ind w:right="908" w:hanging="720"/>
      </w:pPr>
      <w:r>
        <w:t>Entities use G-Invoicing to initiate interagency buy/sell transactions, which are subsequently</w:t>
      </w:r>
      <w:r>
        <w:rPr>
          <w:spacing w:val="-5"/>
        </w:rPr>
        <w:t xml:space="preserve"> </w:t>
      </w:r>
      <w:r>
        <w:t>processed</w:t>
      </w:r>
      <w:r>
        <w:rPr>
          <w:spacing w:val="-6"/>
        </w:rPr>
        <w:t xml:space="preserve"> </w:t>
      </w:r>
      <w:r>
        <w:t>through</w:t>
      </w:r>
      <w:r>
        <w:rPr>
          <w:spacing w:val="-5"/>
        </w:rPr>
        <w:t xml:space="preserve"> </w:t>
      </w:r>
      <w:r>
        <w:t>the</w:t>
      </w:r>
      <w:r>
        <w:rPr>
          <w:spacing w:val="-6"/>
        </w:rPr>
        <w:t xml:space="preserve"> </w:t>
      </w:r>
      <w:r>
        <w:t>IPAC</w:t>
      </w:r>
      <w:r>
        <w:rPr>
          <w:spacing w:val="-6"/>
        </w:rPr>
        <w:t xml:space="preserve"> </w:t>
      </w:r>
      <w:r>
        <w:t>system.</w:t>
      </w:r>
      <w:r>
        <w:rPr>
          <w:spacing w:val="-5"/>
        </w:rPr>
        <w:t xml:space="preserve"> </w:t>
      </w:r>
      <w:r>
        <w:t>G-Invoicing</w:t>
      </w:r>
      <w:r>
        <w:rPr>
          <w:spacing w:val="-5"/>
        </w:rPr>
        <w:t xml:space="preserve"> </w:t>
      </w:r>
      <w:r>
        <w:t>requires</w:t>
      </w:r>
      <w:r>
        <w:rPr>
          <w:spacing w:val="-5"/>
        </w:rPr>
        <w:t xml:space="preserve"> </w:t>
      </w:r>
      <w:r>
        <w:t>entities to assign an appropriate TAS and BETC when initiating the transaction.</w:t>
      </w:r>
    </w:p>
    <w:p w14:paraId="0DFDC328" w14:textId="77777777" w:rsidR="00046465" w:rsidRDefault="008134EB">
      <w:pPr>
        <w:pStyle w:val="ListParagraph"/>
        <w:numPr>
          <w:ilvl w:val="0"/>
          <w:numId w:val="116"/>
        </w:numPr>
        <w:tabs>
          <w:tab w:val="left" w:pos="1800"/>
        </w:tabs>
        <w:ind w:right="861"/>
      </w:pPr>
      <w:r>
        <w:t>Entities</w:t>
      </w:r>
      <w:r>
        <w:rPr>
          <w:spacing w:val="-4"/>
        </w:rPr>
        <w:t xml:space="preserve"> </w:t>
      </w:r>
      <w:r>
        <w:t>report</w:t>
      </w:r>
      <w:r>
        <w:rPr>
          <w:spacing w:val="-4"/>
        </w:rPr>
        <w:t xml:space="preserve"> </w:t>
      </w:r>
      <w:r>
        <w:t>two</w:t>
      </w:r>
      <w:r>
        <w:rPr>
          <w:spacing w:val="-4"/>
        </w:rPr>
        <w:t xml:space="preserve"> </w:t>
      </w:r>
      <w:r>
        <w:t>types</w:t>
      </w:r>
      <w:r>
        <w:rPr>
          <w:spacing w:val="-4"/>
        </w:rPr>
        <w:t xml:space="preserve"> </w:t>
      </w:r>
      <w:r>
        <w:t>of</w:t>
      </w:r>
      <w:r>
        <w:rPr>
          <w:spacing w:val="-4"/>
        </w:rPr>
        <w:t xml:space="preserve"> </w:t>
      </w:r>
      <w:r>
        <w:t>transactions</w:t>
      </w:r>
      <w:r>
        <w:rPr>
          <w:spacing w:val="-4"/>
        </w:rPr>
        <w:t xml:space="preserve"> </w:t>
      </w:r>
      <w:r>
        <w:t>related</w:t>
      </w:r>
      <w:r>
        <w:rPr>
          <w:spacing w:val="-4"/>
        </w:rPr>
        <w:t xml:space="preserve"> </w:t>
      </w:r>
      <w:r>
        <w:t>to</w:t>
      </w:r>
      <w:r>
        <w:rPr>
          <w:spacing w:val="-4"/>
        </w:rPr>
        <w:t xml:space="preserve"> </w:t>
      </w:r>
      <w:r>
        <w:t>TASs</w:t>
      </w:r>
      <w:r>
        <w:rPr>
          <w:spacing w:val="-4"/>
        </w:rPr>
        <w:t xml:space="preserve"> </w:t>
      </w:r>
      <w:r>
        <w:t>and</w:t>
      </w:r>
      <w:r>
        <w:rPr>
          <w:spacing w:val="-4"/>
        </w:rPr>
        <w:t xml:space="preserve"> </w:t>
      </w:r>
      <w:r>
        <w:t>BETCs</w:t>
      </w:r>
      <w:r>
        <w:rPr>
          <w:spacing w:val="-4"/>
        </w:rPr>
        <w:t xml:space="preserve"> </w:t>
      </w:r>
      <w:r>
        <w:t>through</w:t>
      </w:r>
      <w:r>
        <w:rPr>
          <w:spacing w:val="-4"/>
        </w:rPr>
        <w:t xml:space="preserve"> </w:t>
      </w:r>
      <w:r>
        <w:t>the reclassification process via the CARS Classification Transactions and Accountability (CTA) module:</w:t>
      </w:r>
    </w:p>
    <w:p w14:paraId="0DFDC329" w14:textId="77777777" w:rsidR="00046465" w:rsidRDefault="00046465">
      <w:pPr>
        <w:pStyle w:val="BodyText"/>
        <w:rPr>
          <w:sz w:val="20"/>
        </w:rPr>
      </w:pPr>
    </w:p>
    <w:p w14:paraId="0DFDC32A" w14:textId="77777777" w:rsidR="00046465" w:rsidRDefault="00046465">
      <w:pPr>
        <w:pStyle w:val="BodyText"/>
        <w:rPr>
          <w:sz w:val="20"/>
        </w:rPr>
      </w:pPr>
    </w:p>
    <w:p w14:paraId="0DFDC32B" w14:textId="77777777" w:rsidR="00046465" w:rsidRDefault="008134EB">
      <w:pPr>
        <w:pStyle w:val="BodyText"/>
        <w:spacing w:before="82"/>
        <w:rPr>
          <w:sz w:val="20"/>
        </w:rPr>
      </w:pPr>
      <w:r>
        <w:rPr>
          <w:noProof/>
          <w:sz w:val="20"/>
        </w:rPr>
        <mc:AlternateContent>
          <mc:Choice Requires="wps">
            <w:drawing>
              <wp:anchor distT="0" distB="0" distL="0" distR="0" simplePos="0" relativeHeight="487722496" behindDoc="1" locked="0" layoutInCell="1" allowOverlap="1" wp14:anchorId="0DFDD721" wp14:editId="0DFDD722">
                <wp:simplePos x="0" y="0"/>
                <wp:positionH relativeFrom="page">
                  <wp:posOffset>914400</wp:posOffset>
                </wp:positionH>
                <wp:positionV relativeFrom="paragraph">
                  <wp:posOffset>213421</wp:posOffset>
                </wp:positionV>
                <wp:extent cx="1828800" cy="5715"/>
                <wp:effectExtent l="0" t="0" r="0" b="0"/>
                <wp:wrapTopAndBottom/>
                <wp:docPr id="980" name="Graphic 9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9C1EEA" id="Graphic 980" o:spid="_x0000_s1026" style="position:absolute;margin-left:1in;margin-top:16.8pt;width:2in;height:.45pt;z-index:-1559398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" path="m1828800,l,,,5321r1828800,l1828800,xe" fillcolor="black" stroked="f">
                <v:path arrowok="t"/>
                <w10:wrap type="topAndBottom" anchorx="page"/>
              </v:shape>
            </w:pict>
          </mc:Fallback>
        </mc:AlternateContent>
      </w:r>
    </w:p>
    <w:p w14:paraId="0DFDC32C" w14:textId="77777777" w:rsidR="00046465" w:rsidRDefault="00046465">
      <w:pPr>
        <w:pStyle w:val="BodyText"/>
        <w:spacing w:before="53"/>
        <w:rPr>
          <w:sz w:val="18"/>
        </w:rPr>
      </w:pPr>
    </w:p>
    <w:p w14:paraId="0DFDC32D" w14:textId="77777777" w:rsidR="00046465" w:rsidRDefault="008134EB">
      <w:pPr>
        <w:spacing w:line="249" w:lineRule="auto"/>
        <w:ind w:left="359" w:right="749"/>
        <w:rPr>
          <w:sz w:val="18"/>
        </w:rPr>
      </w:pPr>
      <w:bookmarkStart w:id="300" w:name="_bookmark171"/>
      <w:bookmarkEnd w:id="300"/>
      <w:r>
        <w:rPr>
          <w:position w:val="7"/>
          <w:sz w:val="14"/>
        </w:rPr>
        <w:t>27</w:t>
      </w:r>
      <w:r>
        <w:rPr>
          <w:sz w:val="18"/>
        </w:rPr>
        <w:t>Fiscal</w:t>
      </w:r>
      <w:r>
        <w:rPr>
          <w:spacing w:val="-3"/>
          <w:sz w:val="18"/>
        </w:rPr>
        <w:t xml:space="preserve"> </w:t>
      </w:r>
      <w:r>
        <w:rPr>
          <w:sz w:val="18"/>
        </w:rPr>
        <w:t>Service</w:t>
      </w:r>
      <w:r>
        <w:rPr>
          <w:spacing w:val="-4"/>
          <w:sz w:val="18"/>
        </w:rPr>
        <w:t xml:space="preserve"> </w:t>
      </w:r>
      <w:r>
        <w:rPr>
          <w:sz w:val="18"/>
        </w:rPr>
        <w:t>assigns</w:t>
      </w:r>
      <w:r>
        <w:rPr>
          <w:spacing w:val="-3"/>
          <w:sz w:val="18"/>
        </w:rPr>
        <w:t xml:space="preserve"> </w:t>
      </w:r>
      <w:r>
        <w:rPr>
          <w:sz w:val="18"/>
        </w:rPr>
        <w:t>TASs</w:t>
      </w:r>
      <w:r>
        <w:rPr>
          <w:spacing w:val="-3"/>
          <w:sz w:val="18"/>
        </w:rPr>
        <w:t xml:space="preserve"> </w:t>
      </w:r>
      <w:r>
        <w:rPr>
          <w:sz w:val="18"/>
        </w:rPr>
        <w:t>and</w:t>
      </w:r>
      <w:r>
        <w:rPr>
          <w:spacing w:val="-4"/>
          <w:sz w:val="18"/>
        </w:rPr>
        <w:t xml:space="preserve"> </w:t>
      </w:r>
      <w:r>
        <w:rPr>
          <w:sz w:val="18"/>
        </w:rPr>
        <w:t>BETCs</w:t>
      </w:r>
      <w:r>
        <w:rPr>
          <w:spacing w:val="-3"/>
          <w:sz w:val="18"/>
        </w:rPr>
        <w:t xml:space="preserve"> </w:t>
      </w:r>
      <w:r>
        <w:rPr>
          <w:sz w:val="18"/>
        </w:rPr>
        <w:t>to</w:t>
      </w:r>
      <w:r>
        <w:rPr>
          <w:spacing w:val="-4"/>
          <w:sz w:val="18"/>
        </w:rPr>
        <w:t xml:space="preserve"> </w:t>
      </w:r>
      <w:r>
        <w:rPr>
          <w:sz w:val="18"/>
        </w:rPr>
        <w:t>certain</w:t>
      </w:r>
      <w:r>
        <w:rPr>
          <w:spacing w:val="-4"/>
          <w:sz w:val="18"/>
        </w:rPr>
        <w:t xml:space="preserve"> </w:t>
      </w:r>
      <w:r>
        <w:rPr>
          <w:sz w:val="18"/>
        </w:rPr>
        <w:t>transactions,</w:t>
      </w:r>
      <w:r>
        <w:rPr>
          <w:spacing w:val="-3"/>
          <w:sz w:val="18"/>
        </w:rPr>
        <w:t xml:space="preserve"> </w:t>
      </w:r>
      <w:r>
        <w:rPr>
          <w:sz w:val="18"/>
        </w:rPr>
        <w:t>such</w:t>
      </w:r>
      <w:r>
        <w:rPr>
          <w:spacing w:val="-4"/>
          <w:sz w:val="18"/>
        </w:rPr>
        <w:t xml:space="preserve"> </w:t>
      </w:r>
      <w:r>
        <w:rPr>
          <w:sz w:val="18"/>
        </w:rPr>
        <w:t>as</w:t>
      </w:r>
      <w:r>
        <w:rPr>
          <w:spacing w:val="-2"/>
          <w:sz w:val="18"/>
        </w:rPr>
        <w:t xml:space="preserve"> </w:t>
      </w:r>
      <w:r>
        <w:rPr>
          <w:sz w:val="18"/>
        </w:rPr>
        <w:t>appropriation</w:t>
      </w:r>
      <w:r>
        <w:rPr>
          <w:spacing w:val="-4"/>
          <w:sz w:val="18"/>
        </w:rPr>
        <w:t xml:space="preserve"> </w:t>
      </w:r>
      <w:r>
        <w:rPr>
          <w:sz w:val="18"/>
        </w:rPr>
        <w:t>warrants,</w:t>
      </w:r>
      <w:r>
        <w:rPr>
          <w:spacing w:val="-3"/>
          <w:sz w:val="18"/>
        </w:rPr>
        <w:t xml:space="preserve"> </w:t>
      </w:r>
      <w:r>
        <w:rPr>
          <w:sz w:val="18"/>
        </w:rPr>
        <w:t>that</w:t>
      </w:r>
      <w:r>
        <w:rPr>
          <w:spacing w:val="-3"/>
          <w:sz w:val="18"/>
        </w:rPr>
        <w:t xml:space="preserve"> </w:t>
      </w:r>
      <w:r>
        <w:rPr>
          <w:sz w:val="18"/>
        </w:rPr>
        <w:t>it</w:t>
      </w:r>
      <w:r>
        <w:rPr>
          <w:spacing w:val="-3"/>
          <w:sz w:val="18"/>
        </w:rPr>
        <w:t xml:space="preserve"> </w:t>
      </w:r>
      <w:r>
        <w:rPr>
          <w:sz w:val="18"/>
        </w:rPr>
        <w:t>initiates</w:t>
      </w:r>
      <w:r>
        <w:rPr>
          <w:spacing w:val="-3"/>
          <w:sz w:val="18"/>
        </w:rPr>
        <w:t xml:space="preserve"> </w:t>
      </w:r>
      <w:r>
        <w:rPr>
          <w:sz w:val="18"/>
        </w:rPr>
        <w:t>on behalf of entities.</w:t>
      </w:r>
    </w:p>
    <w:p w14:paraId="0DFDC32E" w14:textId="77777777" w:rsidR="00046465" w:rsidRDefault="008134EB">
      <w:pPr>
        <w:spacing w:before="117" w:line="249" w:lineRule="auto"/>
        <w:ind w:left="359" w:right="749"/>
        <w:rPr>
          <w:sz w:val="18"/>
        </w:rPr>
      </w:pPr>
      <w:bookmarkStart w:id="301" w:name="_bookmark172"/>
      <w:bookmarkEnd w:id="301"/>
      <w:r>
        <w:rPr>
          <w:position w:val="7"/>
          <w:sz w:val="14"/>
        </w:rPr>
        <w:t>28</w:t>
      </w:r>
      <w:r>
        <w:rPr>
          <w:sz w:val="18"/>
        </w:rPr>
        <w:t>See</w:t>
      </w:r>
      <w:r>
        <w:rPr>
          <w:spacing w:val="-4"/>
          <w:sz w:val="18"/>
        </w:rPr>
        <w:t xml:space="preserve"> </w:t>
      </w:r>
      <w:r>
        <w:rPr>
          <w:sz w:val="18"/>
        </w:rPr>
        <w:t>the</w:t>
      </w:r>
      <w:r>
        <w:rPr>
          <w:spacing w:val="-4"/>
          <w:sz w:val="18"/>
        </w:rPr>
        <w:t xml:space="preserve"> </w:t>
      </w:r>
      <w:r>
        <w:rPr>
          <w:sz w:val="18"/>
        </w:rPr>
        <w:t>Accounting</w:t>
      </w:r>
      <w:r>
        <w:rPr>
          <w:spacing w:val="-4"/>
          <w:sz w:val="18"/>
        </w:rPr>
        <w:t xml:space="preserve"> </w:t>
      </w:r>
      <w:r>
        <w:rPr>
          <w:sz w:val="18"/>
        </w:rPr>
        <w:t>and</w:t>
      </w:r>
      <w:r>
        <w:rPr>
          <w:spacing w:val="-4"/>
          <w:sz w:val="18"/>
        </w:rPr>
        <w:t xml:space="preserve"> </w:t>
      </w:r>
      <w:r>
        <w:rPr>
          <w:sz w:val="18"/>
        </w:rPr>
        <w:t>Reporting</w:t>
      </w:r>
      <w:r>
        <w:rPr>
          <w:spacing w:val="-4"/>
          <w:sz w:val="18"/>
        </w:rPr>
        <w:t xml:space="preserve"> </w:t>
      </w:r>
      <w:r>
        <w:rPr>
          <w:sz w:val="18"/>
        </w:rPr>
        <w:t>Information:</w:t>
      </w:r>
      <w:r>
        <w:rPr>
          <w:spacing w:val="-3"/>
          <w:sz w:val="18"/>
        </w:rPr>
        <w:t xml:space="preserve"> </w:t>
      </w:r>
      <w:r>
        <w:rPr>
          <w:sz w:val="18"/>
        </w:rPr>
        <w:t>G-Invoicing</w:t>
      </w:r>
      <w:r>
        <w:rPr>
          <w:spacing w:val="-2"/>
          <w:sz w:val="18"/>
        </w:rPr>
        <w:t xml:space="preserve"> </w:t>
      </w:r>
      <w:r>
        <w:rPr>
          <w:sz w:val="18"/>
        </w:rPr>
        <w:t>and</w:t>
      </w:r>
      <w:r>
        <w:rPr>
          <w:spacing w:val="-4"/>
          <w:sz w:val="18"/>
        </w:rPr>
        <w:t xml:space="preserve"> </w:t>
      </w:r>
      <w:r>
        <w:rPr>
          <w:sz w:val="18"/>
        </w:rPr>
        <w:t>Intragovernmental</w:t>
      </w:r>
      <w:r>
        <w:rPr>
          <w:spacing w:val="-3"/>
          <w:sz w:val="18"/>
        </w:rPr>
        <w:t xml:space="preserve"> </w:t>
      </w:r>
      <w:r>
        <w:rPr>
          <w:sz w:val="18"/>
        </w:rPr>
        <w:t>Payment</w:t>
      </w:r>
      <w:r>
        <w:rPr>
          <w:spacing w:val="-3"/>
          <w:sz w:val="18"/>
        </w:rPr>
        <w:t xml:space="preserve"> </w:t>
      </w:r>
      <w:r>
        <w:rPr>
          <w:sz w:val="18"/>
        </w:rPr>
        <w:t>and</w:t>
      </w:r>
      <w:r>
        <w:rPr>
          <w:spacing w:val="-4"/>
          <w:sz w:val="18"/>
        </w:rPr>
        <w:t xml:space="preserve"> </w:t>
      </w:r>
      <w:r>
        <w:rPr>
          <w:sz w:val="18"/>
        </w:rPr>
        <w:t>Collection</w:t>
      </w:r>
      <w:r>
        <w:rPr>
          <w:spacing w:val="-4"/>
          <w:sz w:val="18"/>
        </w:rPr>
        <w:t xml:space="preserve"> </w:t>
      </w:r>
      <w:r>
        <w:rPr>
          <w:sz w:val="18"/>
        </w:rPr>
        <w:t>System (IPAC) subsection in FAM 902.</w:t>
      </w:r>
    </w:p>
    <w:p w14:paraId="0DFDC32F" w14:textId="77777777" w:rsidR="00046465" w:rsidRDefault="008134EB">
      <w:pPr>
        <w:spacing w:before="118" w:line="249" w:lineRule="auto"/>
        <w:ind w:left="360" w:right="726" w:hanging="1"/>
        <w:rPr>
          <w:sz w:val="18"/>
        </w:rPr>
      </w:pPr>
      <w:bookmarkStart w:id="302" w:name="_bookmark173"/>
      <w:bookmarkEnd w:id="302"/>
      <w:r>
        <w:rPr>
          <w:position w:val="7"/>
          <w:sz w:val="14"/>
        </w:rPr>
        <w:t>29</w:t>
      </w:r>
      <w:r>
        <w:rPr>
          <w:sz w:val="18"/>
        </w:rPr>
        <w:t>A</w:t>
      </w:r>
      <w:r>
        <w:rPr>
          <w:spacing w:val="-2"/>
          <w:sz w:val="18"/>
        </w:rPr>
        <w:t xml:space="preserve"> </w:t>
      </w:r>
      <w:r>
        <w:rPr>
          <w:sz w:val="18"/>
        </w:rPr>
        <w:t>C-Key</w:t>
      </w:r>
      <w:r>
        <w:rPr>
          <w:spacing w:val="-2"/>
          <w:sz w:val="18"/>
        </w:rPr>
        <w:t xml:space="preserve"> </w:t>
      </w:r>
      <w:r>
        <w:rPr>
          <w:sz w:val="18"/>
        </w:rPr>
        <w:t>is</w:t>
      </w:r>
      <w:r>
        <w:rPr>
          <w:spacing w:val="-2"/>
          <w:sz w:val="18"/>
        </w:rPr>
        <w:t xml:space="preserve"> </w:t>
      </w:r>
      <w:r>
        <w:rPr>
          <w:sz w:val="18"/>
        </w:rPr>
        <w:t>a</w:t>
      </w:r>
      <w:r>
        <w:rPr>
          <w:spacing w:val="-3"/>
          <w:sz w:val="18"/>
        </w:rPr>
        <w:t xml:space="preserve"> </w:t>
      </w:r>
      <w:r>
        <w:rPr>
          <w:sz w:val="18"/>
        </w:rPr>
        <w:t>unique</w:t>
      </w:r>
      <w:r>
        <w:rPr>
          <w:spacing w:val="-3"/>
          <w:sz w:val="18"/>
        </w:rPr>
        <w:t xml:space="preserve"> </w:t>
      </w:r>
      <w:r>
        <w:rPr>
          <w:sz w:val="18"/>
        </w:rPr>
        <w:t>agency</w:t>
      </w:r>
      <w:r>
        <w:rPr>
          <w:spacing w:val="-2"/>
          <w:sz w:val="18"/>
        </w:rPr>
        <w:t xml:space="preserve"> </w:t>
      </w:r>
      <w:r>
        <w:rPr>
          <w:sz w:val="18"/>
        </w:rPr>
        <w:t>account</w:t>
      </w:r>
      <w:r>
        <w:rPr>
          <w:spacing w:val="-2"/>
          <w:sz w:val="18"/>
        </w:rPr>
        <w:t xml:space="preserve"> </w:t>
      </w:r>
      <w:r>
        <w:rPr>
          <w:sz w:val="18"/>
        </w:rPr>
        <w:t>code</w:t>
      </w:r>
      <w:r>
        <w:rPr>
          <w:spacing w:val="-3"/>
          <w:sz w:val="18"/>
        </w:rPr>
        <w:t xml:space="preserve"> </w:t>
      </w:r>
      <w:r>
        <w:rPr>
          <w:sz w:val="18"/>
        </w:rPr>
        <w:t>that</w:t>
      </w:r>
      <w:r>
        <w:rPr>
          <w:spacing w:val="-2"/>
          <w:sz w:val="18"/>
        </w:rPr>
        <w:t xml:space="preserve"> </w:t>
      </w:r>
      <w:r>
        <w:rPr>
          <w:sz w:val="18"/>
        </w:rPr>
        <w:t>maps</w:t>
      </w:r>
      <w:r>
        <w:rPr>
          <w:spacing w:val="-2"/>
          <w:sz w:val="18"/>
        </w:rPr>
        <w:t xml:space="preserve"> </w:t>
      </w:r>
      <w:r>
        <w:rPr>
          <w:sz w:val="18"/>
        </w:rPr>
        <w:t>to</w:t>
      </w:r>
      <w:r>
        <w:rPr>
          <w:spacing w:val="-3"/>
          <w:sz w:val="18"/>
        </w:rPr>
        <w:t xml:space="preserve"> </w:t>
      </w:r>
      <w:r>
        <w:rPr>
          <w:sz w:val="18"/>
        </w:rPr>
        <w:t>valid</w:t>
      </w:r>
      <w:r>
        <w:rPr>
          <w:spacing w:val="-3"/>
          <w:sz w:val="18"/>
        </w:rPr>
        <w:t xml:space="preserve"> </w:t>
      </w:r>
      <w:r>
        <w:rPr>
          <w:sz w:val="18"/>
        </w:rPr>
        <w:t>TAS</w:t>
      </w:r>
      <w:r>
        <w:rPr>
          <w:spacing w:val="-2"/>
          <w:sz w:val="18"/>
        </w:rPr>
        <w:t xml:space="preserve"> </w:t>
      </w:r>
      <w:r>
        <w:rPr>
          <w:sz w:val="18"/>
        </w:rPr>
        <w:t>and</w:t>
      </w:r>
      <w:r>
        <w:rPr>
          <w:spacing w:val="-3"/>
          <w:sz w:val="18"/>
        </w:rPr>
        <w:t xml:space="preserve"> </w:t>
      </w:r>
      <w:r>
        <w:rPr>
          <w:sz w:val="18"/>
        </w:rPr>
        <w:t>BETC</w:t>
      </w:r>
      <w:r>
        <w:rPr>
          <w:spacing w:val="-2"/>
          <w:sz w:val="18"/>
        </w:rPr>
        <w:t xml:space="preserve"> </w:t>
      </w:r>
      <w:r>
        <w:rPr>
          <w:sz w:val="18"/>
        </w:rPr>
        <w:t>classification</w:t>
      </w:r>
      <w:r>
        <w:rPr>
          <w:spacing w:val="-3"/>
          <w:sz w:val="18"/>
        </w:rPr>
        <w:t xml:space="preserve"> </w:t>
      </w:r>
      <w:r>
        <w:rPr>
          <w:sz w:val="18"/>
        </w:rPr>
        <w:t>for</w:t>
      </w:r>
      <w:r>
        <w:rPr>
          <w:spacing w:val="-1"/>
          <w:sz w:val="18"/>
        </w:rPr>
        <w:t xml:space="preserve"> </w:t>
      </w:r>
      <w:r>
        <w:rPr>
          <w:sz w:val="18"/>
        </w:rPr>
        <w:t>collections</w:t>
      </w:r>
      <w:r>
        <w:rPr>
          <w:spacing w:val="-2"/>
          <w:sz w:val="18"/>
        </w:rPr>
        <w:t xml:space="preserve"> </w:t>
      </w:r>
      <w:r>
        <w:rPr>
          <w:sz w:val="18"/>
        </w:rPr>
        <w:t>processed through that account in Fiscal Service’s SAM.</w:t>
      </w:r>
    </w:p>
    <w:p w14:paraId="0DFDC330" w14:textId="77777777" w:rsidR="00046465" w:rsidRDefault="00046465">
      <w:pPr>
        <w:spacing w:line="249" w:lineRule="auto"/>
        <w:rPr>
          <w:sz w:val="18"/>
        </w:rPr>
        <w:sectPr w:rsidR="00046465">
          <w:pgSz w:w="12240" w:h="15840"/>
          <w:pgMar w:top="1340" w:right="720" w:bottom="940" w:left="1080" w:header="721" w:footer="757" w:gutter="0"/>
          <w:cols w:space="720"/>
        </w:sectPr>
      </w:pPr>
    </w:p>
    <w:p w14:paraId="0DFDC331" w14:textId="77777777" w:rsidR="00046465" w:rsidRDefault="008134EB">
      <w:pPr>
        <w:pStyle w:val="ListParagraph"/>
        <w:numPr>
          <w:ilvl w:val="1"/>
          <w:numId w:val="116"/>
        </w:numPr>
        <w:tabs>
          <w:tab w:val="left" w:pos="2159"/>
        </w:tabs>
        <w:spacing w:before="121"/>
        <w:ind w:right="782"/>
      </w:pPr>
      <w:r>
        <w:lastRenderedPageBreak/>
        <w:t>The first type of transaction is the submission of noncash transactions, such as accruals and amortization. Entities typically record accruals and amortization</w:t>
      </w:r>
      <w:r>
        <w:rPr>
          <w:spacing w:val="-5"/>
        </w:rPr>
        <w:t xml:space="preserve"> </w:t>
      </w:r>
      <w:r>
        <w:t>in</w:t>
      </w:r>
      <w:r>
        <w:rPr>
          <w:spacing w:val="-5"/>
        </w:rPr>
        <w:t xml:space="preserve"> </w:t>
      </w:r>
      <w:r>
        <w:t>their</w:t>
      </w:r>
      <w:r>
        <w:rPr>
          <w:spacing w:val="-5"/>
        </w:rPr>
        <w:t xml:space="preserve"> </w:t>
      </w:r>
      <w:r>
        <w:t>financial</w:t>
      </w:r>
      <w:r>
        <w:rPr>
          <w:spacing w:val="-5"/>
        </w:rPr>
        <w:t xml:space="preserve"> </w:t>
      </w:r>
      <w:r>
        <w:t>management</w:t>
      </w:r>
      <w:r>
        <w:rPr>
          <w:spacing w:val="-5"/>
        </w:rPr>
        <w:t xml:space="preserve"> </w:t>
      </w:r>
      <w:r>
        <w:t>systems</w:t>
      </w:r>
      <w:r>
        <w:rPr>
          <w:spacing w:val="-5"/>
        </w:rPr>
        <w:t xml:space="preserve"> </w:t>
      </w:r>
      <w:r>
        <w:t>and</w:t>
      </w:r>
      <w:r>
        <w:rPr>
          <w:spacing w:val="-5"/>
        </w:rPr>
        <w:t xml:space="preserve"> </w:t>
      </w:r>
      <w:r>
        <w:t>subsequently</w:t>
      </w:r>
      <w:r>
        <w:rPr>
          <w:spacing w:val="-6"/>
        </w:rPr>
        <w:t xml:space="preserve"> </w:t>
      </w:r>
      <w:r>
        <w:t>submit reclassification entries via the CTA module for CARS reporting. TAS and BETC information must be included in such an entry.</w:t>
      </w:r>
    </w:p>
    <w:p w14:paraId="0DFDC332" w14:textId="77777777" w:rsidR="00046465" w:rsidRDefault="008134EB">
      <w:pPr>
        <w:pStyle w:val="Heading5"/>
        <w:spacing w:before="238"/>
        <w:ind w:left="392"/>
        <w:rPr>
          <w:u w:val="none"/>
        </w:rPr>
      </w:pPr>
      <w:bookmarkStart w:id="303" w:name="Central_Accounting_Reporting_System"/>
      <w:bookmarkEnd w:id="303"/>
      <w:r>
        <w:t>Central</w:t>
      </w:r>
      <w:r>
        <w:rPr>
          <w:spacing w:val="-5"/>
        </w:rPr>
        <w:t xml:space="preserve"> </w:t>
      </w:r>
      <w:r>
        <w:t>Accounting</w:t>
      </w:r>
      <w:r>
        <w:rPr>
          <w:spacing w:val="-5"/>
        </w:rPr>
        <w:t xml:space="preserve"> </w:t>
      </w:r>
      <w:r>
        <w:t>Reporting</w:t>
      </w:r>
      <w:r>
        <w:rPr>
          <w:spacing w:val="-5"/>
        </w:rPr>
        <w:t xml:space="preserve"> </w:t>
      </w:r>
      <w:r>
        <w:rPr>
          <w:spacing w:val="-2"/>
        </w:rPr>
        <w:t>System</w:t>
      </w:r>
    </w:p>
    <w:p w14:paraId="0DFDC333" w14:textId="77777777" w:rsidR="00046465" w:rsidRDefault="008134EB">
      <w:pPr>
        <w:pStyle w:val="ListParagraph"/>
        <w:numPr>
          <w:ilvl w:val="0"/>
          <w:numId w:val="116"/>
        </w:numPr>
        <w:tabs>
          <w:tab w:val="left" w:pos="1799"/>
        </w:tabs>
        <w:ind w:left="1799" w:hanging="719"/>
      </w:pPr>
      <w:r>
        <w:t>Fiscal</w:t>
      </w:r>
      <w:r>
        <w:rPr>
          <w:spacing w:val="-6"/>
        </w:rPr>
        <w:t xml:space="preserve"> </w:t>
      </w:r>
      <w:r>
        <w:t>Service</w:t>
      </w:r>
      <w:r>
        <w:rPr>
          <w:spacing w:val="-6"/>
        </w:rPr>
        <w:t xml:space="preserve"> </w:t>
      </w:r>
      <w:r>
        <w:t>is</w:t>
      </w:r>
      <w:r>
        <w:rPr>
          <w:spacing w:val="-6"/>
        </w:rPr>
        <w:t xml:space="preserve"> </w:t>
      </w:r>
      <w:r>
        <w:t>the</w:t>
      </w:r>
      <w:r>
        <w:rPr>
          <w:spacing w:val="-6"/>
        </w:rPr>
        <w:t xml:space="preserve"> </w:t>
      </w:r>
      <w:r>
        <w:t>entity</w:t>
      </w:r>
      <w:r>
        <w:rPr>
          <w:spacing w:val="-6"/>
        </w:rPr>
        <w:t xml:space="preserve"> </w:t>
      </w:r>
      <w:r>
        <w:t>responsible</w:t>
      </w:r>
      <w:r>
        <w:rPr>
          <w:spacing w:val="-6"/>
        </w:rPr>
        <w:t xml:space="preserve"> </w:t>
      </w:r>
      <w:r>
        <w:t>for</w:t>
      </w:r>
      <w:r>
        <w:rPr>
          <w:spacing w:val="-6"/>
        </w:rPr>
        <w:t xml:space="preserve"> </w:t>
      </w:r>
      <w:r>
        <w:t>accounting</w:t>
      </w:r>
      <w:r>
        <w:rPr>
          <w:spacing w:val="-6"/>
        </w:rPr>
        <w:t xml:space="preserve"> </w:t>
      </w:r>
      <w:r>
        <w:t>for</w:t>
      </w:r>
      <w:r>
        <w:rPr>
          <w:spacing w:val="-6"/>
        </w:rPr>
        <w:t xml:space="preserve"> </w:t>
      </w:r>
      <w:r>
        <w:t>the</w:t>
      </w:r>
      <w:r>
        <w:rPr>
          <w:spacing w:val="-6"/>
        </w:rPr>
        <w:t xml:space="preserve"> </w:t>
      </w:r>
      <w:r>
        <w:t>cash</w:t>
      </w:r>
      <w:r>
        <w:rPr>
          <w:spacing w:val="-6"/>
        </w:rPr>
        <w:t xml:space="preserve"> </w:t>
      </w:r>
      <w:r>
        <w:t>activity</w:t>
      </w:r>
      <w:r>
        <w:rPr>
          <w:spacing w:val="-6"/>
        </w:rPr>
        <w:t xml:space="preserve"> </w:t>
      </w:r>
      <w:r>
        <w:t>of</w:t>
      </w:r>
      <w:r>
        <w:rPr>
          <w:spacing w:val="-6"/>
        </w:rPr>
        <w:t xml:space="preserve"> </w:t>
      </w:r>
      <w:r>
        <w:rPr>
          <w:spacing w:val="-5"/>
        </w:rPr>
        <w:t>the</w:t>
      </w:r>
    </w:p>
    <w:p w14:paraId="0DFDC334" w14:textId="77777777" w:rsidR="00046465" w:rsidRDefault="008134EB">
      <w:pPr>
        <w:pStyle w:val="BodyText"/>
        <w:ind w:left="1800" w:right="749"/>
      </w:pPr>
      <w:r>
        <w:t>U.S.</w:t>
      </w:r>
      <w:r>
        <w:rPr>
          <w:spacing w:val="-4"/>
        </w:rPr>
        <w:t xml:space="preserve"> </w:t>
      </w:r>
      <w:r>
        <w:t>government,</w:t>
      </w:r>
      <w:r>
        <w:rPr>
          <w:spacing w:val="-4"/>
        </w:rPr>
        <w:t xml:space="preserve"> </w:t>
      </w:r>
      <w:r>
        <w:t>which</w:t>
      </w:r>
      <w:r>
        <w:rPr>
          <w:spacing w:val="-4"/>
        </w:rPr>
        <w:t xml:space="preserve"> </w:t>
      </w:r>
      <w:r>
        <w:t>is</w:t>
      </w:r>
      <w:r>
        <w:rPr>
          <w:spacing w:val="-4"/>
        </w:rPr>
        <w:t xml:space="preserve"> </w:t>
      </w:r>
      <w:r>
        <w:t>affected</w:t>
      </w:r>
      <w:r>
        <w:rPr>
          <w:spacing w:val="-7"/>
        </w:rPr>
        <w:t xml:space="preserve"> </w:t>
      </w:r>
      <w:r>
        <w:t>by</w:t>
      </w:r>
      <w:r>
        <w:rPr>
          <w:spacing w:val="-4"/>
        </w:rPr>
        <w:t xml:space="preserve"> </w:t>
      </w:r>
      <w:r>
        <w:t>FBWT</w:t>
      </w:r>
      <w:r>
        <w:rPr>
          <w:spacing w:val="-4"/>
        </w:rPr>
        <w:t xml:space="preserve"> </w:t>
      </w:r>
      <w:r>
        <w:t>activity</w:t>
      </w:r>
      <w:r>
        <w:rPr>
          <w:spacing w:val="-4"/>
        </w:rPr>
        <w:t xml:space="preserve"> </w:t>
      </w:r>
      <w:r>
        <w:t>reported</w:t>
      </w:r>
      <w:r>
        <w:rPr>
          <w:spacing w:val="-4"/>
        </w:rPr>
        <w:t xml:space="preserve"> </w:t>
      </w:r>
      <w:r>
        <w:t>by</w:t>
      </w:r>
      <w:r>
        <w:rPr>
          <w:spacing w:val="-4"/>
        </w:rPr>
        <w:t xml:space="preserve"> </w:t>
      </w:r>
      <w:r>
        <w:t>entities.</w:t>
      </w:r>
      <w:r>
        <w:rPr>
          <w:spacing w:val="-4"/>
        </w:rPr>
        <w:t xml:space="preserve"> </w:t>
      </w:r>
      <w:r>
        <w:t>Fiscal Service maintains CARS for government-wide accounting and reporting purposes.</w:t>
      </w:r>
      <w:hyperlink w:anchor="_bookmark174" w:history="1">
        <w:r>
          <w:rPr>
            <w:position w:val="7"/>
            <w:sz w:val="14"/>
          </w:rPr>
          <w:t>30</w:t>
        </w:r>
      </w:hyperlink>
      <w:r>
        <w:rPr>
          <w:spacing w:val="30"/>
          <w:position w:val="7"/>
          <w:sz w:val="14"/>
        </w:rPr>
        <w:t xml:space="preserve"> </w:t>
      </w:r>
      <w:r>
        <w:t>CARS enables entities to classify and transmit FBWT transactions with TASs and BETCs on a transactional level upon initiation (i.e., full-CARS reporting).</w:t>
      </w:r>
      <w:hyperlink w:anchor="_bookmark175" w:history="1">
        <w:r>
          <w:rPr>
            <w:position w:val="7"/>
            <w:sz w:val="14"/>
          </w:rPr>
          <w:t>31</w:t>
        </w:r>
      </w:hyperlink>
      <w:r>
        <w:rPr>
          <w:spacing w:val="37"/>
          <w:position w:val="7"/>
          <w:sz w:val="14"/>
        </w:rPr>
        <w:t xml:space="preserve"> </w:t>
      </w:r>
      <w:r>
        <w:t>CARS provides the following functions relevant to the FBWT reporting process:</w:t>
      </w:r>
    </w:p>
    <w:p w14:paraId="0DFDC335" w14:textId="77777777" w:rsidR="00046465" w:rsidRDefault="008134EB">
      <w:pPr>
        <w:pStyle w:val="ListParagraph"/>
        <w:numPr>
          <w:ilvl w:val="1"/>
          <w:numId w:val="116"/>
        </w:numPr>
        <w:tabs>
          <w:tab w:val="left" w:pos="2160"/>
        </w:tabs>
        <w:ind w:left="2160" w:right="1198" w:hanging="361"/>
        <w:rPr>
          <w:position w:val="7"/>
          <w:sz w:val="14"/>
        </w:rPr>
      </w:pPr>
      <w:r>
        <w:t>Captures appropriation,</w:t>
      </w:r>
      <w:hyperlink w:anchor="_bookmark176" w:history="1">
        <w:r>
          <w:rPr>
            <w:position w:val="7"/>
            <w:sz w:val="14"/>
          </w:rPr>
          <w:t>32</w:t>
        </w:r>
      </w:hyperlink>
      <w:r>
        <w:rPr>
          <w:spacing w:val="40"/>
          <w:position w:val="7"/>
          <w:sz w:val="14"/>
        </w:rPr>
        <w:t xml:space="preserve"> </w:t>
      </w:r>
      <w:r>
        <w:t>collection and disbursement (including intragovernmental),</w:t>
      </w:r>
      <w:r>
        <w:rPr>
          <w:spacing w:val="-5"/>
        </w:rPr>
        <w:t xml:space="preserve"> </w:t>
      </w:r>
      <w:r>
        <w:t>and</w:t>
      </w:r>
      <w:r>
        <w:rPr>
          <w:spacing w:val="-5"/>
        </w:rPr>
        <w:t xml:space="preserve"> </w:t>
      </w:r>
      <w:r>
        <w:t>other</w:t>
      </w:r>
      <w:r>
        <w:rPr>
          <w:spacing w:val="-5"/>
        </w:rPr>
        <w:t xml:space="preserve"> </w:t>
      </w:r>
      <w:r>
        <w:t>FBWT</w:t>
      </w:r>
      <w:r>
        <w:rPr>
          <w:spacing w:val="-5"/>
        </w:rPr>
        <w:t xml:space="preserve"> </w:t>
      </w:r>
      <w:r>
        <w:t>activity</w:t>
      </w:r>
      <w:r>
        <w:rPr>
          <w:spacing w:val="-5"/>
        </w:rPr>
        <w:t xml:space="preserve"> </w:t>
      </w:r>
      <w:r>
        <w:t>by</w:t>
      </w:r>
      <w:r>
        <w:rPr>
          <w:spacing w:val="-6"/>
        </w:rPr>
        <w:t xml:space="preserve"> </w:t>
      </w:r>
      <w:r>
        <w:t>TAS,</w:t>
      </w:r>
      <w:r>
        <w:rPr>
          <w:spacing w:val="-5"/>
        </w:rPr>
        <w:t xml:space="preserve"> </w:t>
      </w:r>
      <w:r>
        <w:t>BETC,</w:t>
      </w:r>
      <w:r>
        <w:rPr>
          <w:spacing w:val="-4"/>
        </w:rPr>
        <w:t xml:space="preserve"> </w:t>
      </w:r>
      <w:r>
        <w:t>and</w:t>
      </w:r>
      <w:r>
        <w:rPr>
          <w:spacing w:val="-5"/>
        </w:rPr>
        <w:t xml:space="preserve"> </w:t>
      </w:r>
      <w:r>
        <w:t>Agency Location Code.</w:t>
      </w:r>
      <w:hyperlink w:anchor="_bookmark177" w:history="1">
        <w:r>
          <w:rPr>
            <w:position w:val="7"/>
            <w:sz w:val="14"/>
          </w:rPr>
          <w:t>33</w:t>
        </w:r>
      </w:hyperlink>
    </w:p>
    <w:p w14:paraId="0DFDC336" w14:textId="77777777" w:rsidR="00046465" w:rsidRDefault="008134EB">
      <w:pPr>
        <w:pStyle w:val="ListParagraph"/>
        <w:numPr>
          <w:ilvl w:val="1"/>
          <w:numId w:val="116"/>
        </w:numPr>
        <w:tabs>
          <w:tab w:val="left" w:pos="2159"/>
        </w:tabs>
        <w:spacing w:before="118"/>
        <w:ind w:right="732"/>
      </w:pPr>
      <w:r>
        <w:t>Allows entities access to transaction information reported through Fiscal Service</w:t>
      </w:r>
      <w:r>
        <w:rPr>
          <w:spacing w:val="-5"/>
        </w:rPr>
        <w:t xml:space="preserve"> </w:t>
      </w:r>
      <w:r>
        <w:t>collection</w:t>
      </w:r>
      <w:r>
        <w:rPr>
          <w:spacing w:val="-5"/>
        </w:rPr>
        <w:t xml:space="preserve"> </w:t>
      </w:r>
      <w:r>
        <w:t>reporting</w:t>
      </w:r>
      <w:r>
        <w:rPr>
          <w:spacing w:val="-5"/>
        </w:rPr>
        <w:t xml:space="preserve"> </w:t>
      </w:r>
      <w:r>
        <w:t>systems,</w:t>
      </w:r>
      <w:r>
        <w:rPr>
          <w:spacing w:val="-5"/>
        </w:rPr>
        <w:t xml:space="preserve"> </w:t>
      </w:r>
      <w:r>
        <w:t>payment</w:t>
      </w:r>
      <w:r>
        <w:rPr>
          <w:spacing w:val="-5"/>
        </w:rPr>
        <w:t xml:space="preserve"> </w:t>
      </w:r>
      <w:r>
        <w:t>information</w:t>
      </w:r>
      <w:r>
        <w:rPr>
          <w:spacing w:val="-5"/>
        </w:rPr>
        <w:t xml:space="preserve"> </w:t>
      </w:r>
      <w:r>
        <w:t>systems,</w:t>
      </w:r>
      <w:r>
        <w:rPr>
          <w:spacing w:val="-5"/>
        </w:rPr>
        <w:t xml:space="preserve"> </w:t>
      </w:r>
      <w:r>
        <w:t>and</w:t>
      </w:r>
      <w:r>
        <w:rPr>
          <w:spacing w:val="-5"/>
        </w:rPr>
        <w:t xml:space="preserve"> </w:t>
      </w:r>
      <w:r>
        <w:t>other sources to support research and reconciliation of Fiscal Service and entity FBWT records. Allows entities to process nonexpenditure transfers in the CARS Agency Transaction Module.</w:t>
      </w:r>
    </w:p>
    <w:p w14:paraId="0DFDC337" w14:textId="77777777" w:rsidR="00046465" w:rsidRDefault="008134EB">
      <w:pPr>
        <w:pStyle w:val="ListParagraph"/>
        <w:numPr>
          <w:ilvl w:val="1"/>
          <w:numId w:val="116"/>
        </w:numPr>
        <w:tabs>
          <w:tab w:val="left" w:pos="2160"/>
        </w:tabs>
        <w:spacing w:before="118"/>
        <w:ind w:left="2160" w:right="977"/>
      </w:pPr>
      <w:r>
        <w:t>Allows entities to report some information, such as adjustments or other supplementary</w:t>
      </w:r>
      <w:r>
        <w:rPr>
          <w:spacing w:val="-5"/>
        </w:rPr>
        <w:t xml:space="preserve"> </w:t>
      </w:r>
      <w:r>
        <w:t>information,</w:t>
      </w:r>
      <w:r>
        <w:rPr>
          <w:spacing w:val="-5"/>
        </w:rPr>
        <w:t xml:space="preserve"> </w:t>
      </w:r>
      <w:r>
        <w:t>directly</w:t>
      </w:r>
      <w:r>
        <w:rPr>
          <w:spacing w:val="-5"/>
        </w:rPr>
        <w:t xml:space="preserve"> </w:t>
      </w:r>
      <w:r>
        <w:t>to</w:t>
      </w:r>
      <w:r>
        <w:rPr>
          <w:spacing w:val="-5"/>
        </w:rPr>
        <w:t xml:space="preserve"> </w:t>
      </w:r>
      <w:r>
        <w:t>CARS</w:t>
      </w:r>
      <w:r>
        <w:rPr>
          <w:spacing w:val="-5"/>
        </w:rPr>
        <w:t xml:space="preserve"> </w:t>
      </w:r>
      <w:r>
        <w:t>using</w:t>
      </w:r>
      <w:r>
        <w:rPr>
          <w:spacing w:val="-5"/>
        </w:rPr>
        <w:t xml:space="preserve"> </w:t>
      </w:r>
      <w:r>
        <w:t>the</w:t>
      </w:r>
      <w:r>
        <w:rPr>
          <w:spacing w:val="-4"/>
        </w:rPr>
        <w:t xml:space="preserve"> </w:t>
      </w:r>
      <w:r>
        <w:t>CARS</w:t>
      </w:r>
      <w:r>
        <w:rPr>
          <w:spacing w:val="-5"/>
        </w:rPr>
        <w:t xml:space="preserve"> </w:t>
      </w:r>
      <w:r>
        <w:t>CTA</w:t>
      </w:r>
      <w:r>
        <w:rPr>
          <w:spacing w:val="-4"/>
        </w:rPr>
        <w:t xml:space="preserve"> </w:t>
      </w:r>
      <w:r>
        <w:t>module.</w:t>
      </w:r>
    </w:p>
    <w:p w14:paraId="0DFDC338" w14:textId="77777777" w:rsidR="00046465" w:rsidRDefault="008134EB">
      <w:pPr>
        <w:pStyle w:val="ListParagraph"/>
        <w:numPr>
          <w:ilvl w:val="1"/>
          <w:numId w:val="116"/>
        </w:numPr>
        <w:tabs>
          <w:tab w:val="left" w:pos="2160"/>
        </w:tabs>
        <w:spacing w:before="118"/>
        <w:ind w:left="2160" w:right="1002" w:hanging="361"/>
      </w:pPr>
      <w:r>
        <w:t>Provides</w:t>
      </w:r>
      <w:r>
        <w:rPr>
          <w:spacing w:val="-4"/>
        </w:rPr>
        <w:t xml:space="preserve"> </w:t>
      </w:r>
      <w:r>
        <w:t>Statements</w:t>
      </w:r>
      <w:r>
        <w:rPr>
          <w:spacing w:val="-5"/>
        </w:rPr>
        <w:t xml:space="preserve"> </w:t>
      </w:r>
      <w:r>
        <w:t>of</w:t>
      </w:r>
      <w:r>
        <w:rPr>
          <w:spacing w:val="-5"/>
        </w:rPr>
        <w:t xml:space="preserve"> </w:t>
      </w:r>
      <w:r>
        <w:t>Differences</w:t>
      </w:r>
      <w:r>
        <w:rPr>
          <w:spacing w:val="-6"/>
        </w:rPr>
        <w:t xml:space="preserve"> </w:t>
      </w:r>
      <w:r>
        <w:t>for</w:t>
      </w:r>
      <w:r>
        <w:rPr>
          <w:spacing w:val="-5"/>
        </w:rPr>
        <w:t xml:space="preserve"> </w:t>
      </w:r>
      <w:r>
        <w:t>differences</w:t>
      </w:r>
      <w:r>
        <w:rPr>
          <w:spacing w:val="-5"/>
        </w:rPr>
        <w:t xml:space="preserve"> </w:t>
      </w:r>
      <w:r>
        <w:t>between</w:t>
      </w:r>
      <w:r>
        <w:rPr>
          <w:spacing w:val="-5"/>
        </w:rPr>
        <w:t xml:space="preserve"> </w:t>
      </w:r>
      <w:r>
        <w:t>(1)</w:t>
      </w:r>
      <w:r>
        <w:rPr>
          <w:spacing w:val="-5"/>
        </w:rPr>
        <w:t xml:space="preserve"> </w:t>
      </w:r>
      <w:r>
        <w:t>information reported by entities into CARS via the CTA module and (2) information reported to CARS by Fiscal Service collection reporting systems and payment information systems.</w:t>
      </w:r>
    </w:p>
    <w:p w14:paraId="0DFDC339" w14:textId="77777777" w:rsidR="00046465" w:rsidRDefault="008134EB">
      <w:pPr>
        <w:pStyle w:val="ListParagraph"/>
        <w:numPr>
          <w:ilvl w:val="1"/>
          <w:numId w:val="116"/>
        </w:numPr>
        <w:tabs>
          <w:tab w:val="left" w:pos="2160"/>
        </w:tabs>
        <w:spacing w:before="119"/>
        <w:ind w:left="2160" w:right="780" w:hanging="361"/>
      </w:pPr>
      <w:r>
        <w:t>Provides entities with FBWT Account Statements. Treasury provides these statements</w:t>
      </w:r>
      <w:r>
        <w:rPr>
          <w:spacing w:val="-4"/>
        </w:rPr>
        <w:t xml:space="preserve"> </w:t>
      </w:r>
      <w:r>
        <w:t>by</w:t>
      </w:r>
      <w:r>
        <w:rPr>
          <w:spacing w:val="-4"/>
        </w:rPr>
        <w:t xml:space="preserve"> </w:t>
      </w:r>
      <w:r>
        <w:t>TAS</w:t>
      </w:r>
      <w:r>
        <w:rPr>
          <w:spacing w:val="-5"/>
        </w:rPr>
        <w:t xml:space="preserve"> </w:t>
      </w:r>
      <w:r>
        <w:t>and</w:t>
      </w:r>
      <w:r>
        <w:rPr>
          <w:spacing w:val="-4"/>
        </w:rPr>
        <w:t xml:space="preserve"> </w:t>
      </w:r>
      <w:r>
        <w:t>Agency</w:t>
      </w:r>
      <w:r>
        <w:rPr>
          <w:spacing w:val="-4"/>
        </w:rPr>
        <w:t xml:space="preserve"> </w:t>
      </w:r>
      <w:r>
        <w:t>Location</w:t>
      </w:r>
      <w:r>
        <w:rPr>
          <w:spacing w:val="-4"/>
        </w:rPr>
        <w:t xml:space="preserve"> </w:t>
      </w:r>
      <w:r>
        <w:t>Code,</w:t>
      </w:r>
      <w:r>
        <w:rPr>
          <w:spacing w:val="-3"/>
        </w:rPr>
        <w:t xml:space="preserve"> </w:t>
      </w:r>
      <w:r>
        <w:t>and</w:t>
      </w:r>
      <w:r>
        <w:rPr>
          <w:spacing w:val="-4"/>
        </w:rPr>
        <w:t xml:space="preserve"> </w:t>
      </w:r>
      <w:r>
        <w:t>the</w:t>
      </w:r>
      <w:r>
        <w:rPr>
          <w:spacing w:val="-4"/>
        </w:rPr>
        <w:t xml:space="preserve"> </w:t>
      </w:r>
      <w:r>
        <w:t>statements</w:t>
      </w:r>
      <w:r>
        <w:rPr>
          <w:spacing w:val="-4"/>
        </w:rPr>
        <w:t xml:space="preserve"> </w:t>
      </w:r>
      <w:r>
        <w:t>include</w:t>
      </w:r>
      <w:r>
        <w:rPr>
          <w:spacing w:val="-4"/>
        </w:rPr>
        <w:t xml:space="preserve"> </w:t>
      </w:r>
      <w:r>
        <w:t>a roll</w:t>
      </w:r>
      <w:r>
        <w:rPr>
          <w:spacing w:val="-3"/>
        </w:rPr>
        <w:t xml:space="preserve"> </w:t>
      </w:r>
      <w:r>
        <w:t>forward</w:t>
      </w:r>
      <w:r>
        <w:rPr>
          <w:spacing w:val="-3"/>
        </w:rPr>
        <w:t xml:space="preserve"> </w:t>
      </w:r>
      <w:r>
        <w:t>of</w:t>
      </w:r>
      <w:r>
        <w:rPr>
          <w:spacing w:val="-3"/>
        </w:rPr>
        <w:t xml:space="preserve"> </w:t>
      </w:r>
      <w:r>
        <w:t>the</w:t>
      </w:r>
      <w:r>
        <w:rPr>
          <w:spacing w:val="-3"/>
        </w:rPr>
        <w:t xml:space="preserve"> </w:t>
      </w:r>
      <w:r>
        <w:t>previous</w:t>
      </w:r>
      <w:r>
        <w:rPr>
          <w:spacing w:val="-3"/>
        </w:rPr>
        <w:t xml:space="preserve"> </w:t>
      </w:r>
      <w:r>
        <w:t>month’s</w:t>
      </w:r>
      <w:r>
        <w:rPr>
          <w:spacing w:val="-4"/>
        </w:rPr>
        <w:t xml:space="preserve"> </w:t>
      </w:r>
      <w:r>
        <w:t>balance;</w:t>
      </w:r>
      <w:r>
        <w:rPr>
          <w:spacing w:val="-2"/>
        </w:rPr>
        <w:t xml:space="preserve"> </w:t>
      </w:r>
      <w:r>
        <w:t>the</w:t>
      </w:r>
      <w:r>
        <w:rPr>
          <w:spacing w:val="-4"/>
        </w:rPr>
        <w:t xml:space="preserve"> </w:t>
      </w:r>
      <w:r>
        <w:t>current</w:t>
      </w:r>
      <w:r>
        <w:rPr>
          <w:spacing w:val="-3"/>
        </w:rPr>
        <w:t xml:space="preserve"> </w:t>
      </w:r>
      <w:r>
        <w:t>month’s</w:t>
      </w:r>
      <w:r>
        <w:rPr>
          <w:spacing w:val="-3"/>
        </w:rPr>
        <w:t xml:space="preserve"> </w:t>
      </w:r>
      <w:r>
        <w:t>activity;</w:t>
      </w:r>
      <w:r>
        <w:rPr>
          <w:spacing w:val="-3"/>
        </w:rPr>
        <w:t xml:space="preserve"> </w:t>
      </w:r>
      <w:r>
        <w:t>and other account activity, such as supplemental appropriations, rescissions, nonexpenditure transfers, and activity reported by other entities. Entities can use these reports to reconcile FBWT.</w:t>
      </w:r>
    </w:p>
    <w:p w14:paraId="0DFDC33A" w14:textId="77777777" w:rsidR="00046465" w:rsidRDefault="008134EB">
      <w:pPr>
        <w:pStyle w:val="BodyText"/>
        <w:spacing w:before="177"/>
        <w:rPr>
          <w:sz w:val="20"/>
        </w:rPr>
      </w:pPr>
      <w:r>
        <w:rPr>
          <w:noProof/>
          <w:sz w:val="20"/>
        </w:rPr>
        <mc:AlternateContent>
          <mc:Choice Requires="wps">
            <w:drawing>
              <wp:anchor distT="0" distB="0" distL="0" distR="0" simplePos="0" relativeHeight="487723008" behindDoc="1" locked="0" layoutInCell="1" allowOverlap="1" wp14:anchorId="0DFDD723" wp14:editId="0DFDD724">
                <wp:simplePos x="0" y="0"/>
                <wp:positionH relativeFrom="page">
                  <wp:posOffset>914400</wp:posOffset>
                </wp:positionH>
                <wp:positionV relativeFrom="paragraph">
                  <wp:posOffset>274226</wp:posOffset>
                </wp:positionV>
                <wp:extent cx="1828800" cy="5715"/>
                <wp:effectExtent l="0" t="0" r="0" b="0"/>
                <wp:wrapTopAndBottom/>
                <wp:docPr id="981"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BFBEF5" id="Graphic 981" o:spid="_x0000_s1026" style="position:absolute;margin-left:1in;margin-top:21.6pt;width:2in;height:.45pt;z-index:-1559347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" path="m1828800,l,,,5333r1828800,l1828800,xe" fillcolor="black" stroked="f">
                <v:path arrowok="t"/>
                <w10:wrap type="topAndBottom" anchorx="page"/>
              </v:shape>
            </w:pict>
          </mc:Fallback>
        </mc:AlternateContent>
      </w:r>
    </w:p>
    <w:p w14:paraId="0DFDC33B" w14:textId="77777777" w:rsidR="00046465" w:rsidRDefault="00046465">
      <w:pPr>
        <w:pStyle w:val="BodyText"/>
        <w:spacing w:before="54"/>
        <w:rPr>
          <w:sz w:val="18"/>
        </w:rPr>
      </w:pPr>
    </w:p>
    <w:p w14:paraId="0DFDC33C" w14:textId="77777777" w:rsidR="00046465" w:rsidRDefault="008134EB">
      <w:pPr>
        <w:spacing w:before="1" w:line="249" w:lineRule="auto"/>
        <w:ind w:left="359" w:right="749"/>
        <w:rPr>
          <w:sz w:val="18"/>
        </w:rPr>
      </w:pPr>
      <w:bookmarkStart w:id="304" w:name="_bookmark174"/>
      <w:bookmarkEnd w:id="304"/>
      <w:r>
        <w:rPr>
          <w:position w:val="7"/>
          <w:sz w:val="14"/>
        </w:rPr>
        <w:t>30</w:t>
      </w:r>
      <w:r>
        <w:rPr>
          <w:sz w:val="18"/>
        </w:rPr>
        <w:t>CARS</w:t>
      </w:r>
      <w:r>
        <w:rPr>
          <w:spacing w:val="-3"/>
          <w:sz w:val="18"/>
        </w:rPr>
        <w:t xml:space="preserve"> </w:t>
      </w:r>
      <w:r>
        <w:rPr>
          <w:sz w:val="18"/>
        </w:rPr>
        <w:t>provides</w:t>
      </w:r>
      <w:r>
        <w:rPr>
          <w:spacing w:val="-3"/>
          <w:sz w:val="18"/>
        </w:rPr>
        <w:t xml:space="preserve"> </w:t>
      </w:r>
      <w:r>
        <w:rPr>
          <w:sz w:val="18"/>
        </w:rPr>
        <w:t>accounting</w:t>
      </w:r>
      <w:r>
        <w:rPr>
          <w:spacing w:val="-4"/>
          <w:sz w:val="18"/>
        </w:rPr>
        <w:t xml:space="preserve"> </w:t>
      </w:r>
      <w:r>
        <w:rPr>
          <w:sz w:val="18"/>
        </w:rPr>
        <w:t>for</w:t>
      </w:r>
      <w:r>
        <w:rPr>
          <w:spacing w:val="-3"/>
          <w:sz w:val="18"/>
        </w:rPr>
        <w:t xml:space="preserve"> </w:t>
      </w:r>
      <w:r>
        <w:rPr>
          <w:sz w:val="18"/>
        </w:rPr>
        <w:t>each</w:t>
      </w:r>
      <w:r>
        <w:rPr>
          <w:spacing w:val="-4"/>
          <w:sz w:val="18"/>
        </w:rPr>
        <w:t xml:space="preserve"> </w:t>
      </w:r>
      <w:r>
        <w:rPr>
          <w:sz w:val="18"/>
        </w:rPr>
        <w:t>appropriation,</w:t>
      </w:r>
      <w:r>
        <w:rPr>
          <w:spacing w:val="-3"/>
          <w:sz w:val="18"/>
        </w:rPr>
        <w:t xml:space="preserve"> </w:t>
      </w:r>
      <w:r>
        <w:rPr>
          <w:sz w:val="18"/>
        </w:rPr>
        <w:t>fund,</w:t>
      </w:r>
      <w:r>
        <w:rPr>
          <w:spacing w:val="-3"/>
          <w:sz w:val="18"/>
        </w:rPr>
        <w:t xml:space="preserve"> </w:t>
      </w:r>
      <w:r>
        <w:rPr>
          <w:sz w:val="18"/>
        </w:rPr>
        <w:t>and</w:t>
      </w:r>
      <w:r>
        <w:rPr>
          <w:spacing w:val="-4"/>
          <w:sz w:val="18"/>
        </w:rPr>
        <w:t xml:space="preserve"> </w:t>
      </w:r>
      <w:r>
        <w:rPr>
          <w:sz w:val="18"/>
        </w:rPr>
        <w:t>receipt</w:t>
      </w:r>
      <w:r>
        <w:rPr>
          <w:spacing w:val="-3"/>
          <w:sz w:val="18"/>
        </w:rPr>
        <w:t xml:space="preserve"> </w:t>
      </w:r>
      <w:r>
        <w:rPr>
          <w:sz w:val="18"/>
        </w:rPr>
        <w:t>account’s</w:t>
      </w:r>
      <w:r>
        <w:rPr>
          <w:spacing w:val="-3"/>
          <w:sz w:val="18"/>
        </w:rPr>
        <w:t xml:space="preserve"> </w:t>
      </w:r>
      <w:r>
        <w:rPr>
          <w:sz w:val="18"/>
        </w:rPr>
        <w:t>FBWT,</w:t>
      </w:r>
      <w:r>
        <w:rPr>
          <w:spacing w:val="-4"/>
          <w:sz w:val="18"/>
        </w:rPr>
        <w:t xml:space="preserve"> </w:t>
      </w:r>
      <w:r>
        <w:rPr>
          <w:sz w:val="18"/>
        </w:rPr>
        <w:t>as</w:t>
      </w:r>
      <w:r>
        <w:rPr>
          <w:spacing w:val="-4"/>
          <w:sz w:val="18"/>
        </w:rPr>
        <w:t xml:space="preserve"> </w:t>
      </w:r>
      <w:r>
        <w:rPr>
          <w:sz w:val="18"/>
        </w:rPr>
        <w:t>well</w:t>
      </w:r>
      <w:r>
        <w:rPr>
          <w:spacing w:val="-3"/>
          <w:sz w:val="18"/>
        </w:rPr>
        <w:t xml:space="preserve"> </w:t>
      </w:r>
      <w:r>
        <w:rPr>
          <w:sz w:val="18"/>
        </w:rPr>
        <w:t>as</w:t>
      </w:r>
      <w:r>
        <w:rPr>
          <w:spacing w:val="-2"/>
          <w:sz w:val="18"/>
        </w:rPr>
        <w:t xml:space="preserve"> </w:t>
      </w:r>
      <w:r>
        <w:rPr>
          <w:sz w:val="18"/>
        </w:rPr>
        <w:t>accounting</w:t>
      </w:r>
      <w:r>
        <w:rPr>
          <w:spacing w:val="-4"/>
          <w:sz w:val="18"/>
        </w:rPr>
        <w:t xml:space="preserve"> </w:t>
      </w:r>
      <w:r>
        <w:rPr>
          <w:sz w:val="18"/>
        </w:rPr>
        <w:t>for government cash and monetary assets.</w:t>
      </w:r>
    </w:p>
    <w:p w14:paraId="0DFDC33D" w14:textId="77777777" w:rsidR="00046465" w:rsidRDefault="008134EB">
      <w:pPr>
        <w:spacing w:before="116" w:line="242" w:lineRule="auto"/>
        <w:ind w:left="359" w:right="749"/>
        <w:rPr>
          <w:sz w:val="18"/>
        </w:rPr>
      </w:pPr>
      <w:bookmarkStart w:id="305" w:name="_bookmark175"/>
      <w:bookmarkEnd w:id="305"/>
      <w:r>
        <w:rPr>
          <w:position w:val="7"/>
          <w:sz w:val="14"/>
        </w:rPr>
        <w:t>31</w:t>
      </w:r>
      <w:r>
        <w:rPr>
          <w:sz w:val="18"/>
        </w:rPr>
        <w:t>Not all entities have implemented such capability and instead report summarized transactions each month to Treasury’s CARS (i.e., non-CARS reporting). Treasury hopes to transition the remaining entities to full-CARS reporting</w:t>
      </w:r>
      <w:r>
        <w:rPr>
          <w:spacing w:val="-4"/>
          <w:sz w:val="18"/>
        </w:rPr>
        <w:t xml:space="preserve"> </w:t>
      </w:r>
      <w:r>
        <w:rPr>
          <w:sz w:val="18"/>
        </w:rPr>
        <w:t>in</w:t>
      </w:r>
      <w:r>
        <w:rPr>
          <w:spacing w:val="-4"/>
          <w:sz w:val="18"/>
        </w:rPr>
        <w:t xml:space="preserve"> </w:t>
      </w:r>
      <w:r>
        <w:rPr>
          <w:sz w:val="18"/>
        </w:rPr>
        <w:t>the</w:t>
      </w:r>
      <w:r>
        <w:rPr>
          <w:spacing w:val="-2"/>
          <w:sz w:val="18"/>
        </w:rPr>
        <w:t xml:space="preserve"> </w:t>
      </w:r>
      <w:r>
        <w:rPr>
          <w:sz w:val="18"/>
        </w:rPr>
        <w:t>coming</w:t>
      </w:r>
      <w:r>
        <w:rPr>
          <w:spacing w:val="-4"/>
          <w:sz w:val="18"/>
        </w:rPr>
        <w:t xml:space="preserve"> </w:t>
      </w:r>
      <w:r>
        <w:rPr>
          <w:sz w:val="18"/>
        </w:rPr>
        <w:t>years.</w:t>
      </w:r>
      <w:r>
        <w:rPr>
          <w:spacing w:val="-3"/>
          <w:sz w:val="18"/>
        </w:rPr>
        <w:t xml:space="preserve"> </w:t>
      </w:r>
      <w:r>
        <w:rPr>
          <w:sz w:val="18"/>
        </w:rPr>
        <w:t>Therefore,</w:t>
      </w:r>
      <w:r>
        <w:rPr>
          <w:spacing w:val="-3"/>
          <w:sz w:val="18"/>
        </w:rPr>
        <w:t xml:space="preserve"> </w:t>
      </w:r>
      <w:r>
        <w:rPr>
          <w:sz w:val="18"/>
        </w:rPr>
        <w:t>the</w:t>
      </w:r>
      <w:r>
        <w:rPr>
          <w:spacing w:val="-2"/>
          <w:sz w:val="18"/>
        </w:rPr>
        <w:t xml:space="preserve"> </w:t>
      </w:r>
      <w:r>
        <w:rPr>
          <w:sz w:val="18"/>
        </w:rPr>
        <w:t>guidance</w:t>
      </w:r>
      <w:r>
        <w:rPr>
          <w:spacing w:val="-4"/>
          <w:sz w:val="18"/>
        </w:rPr>
        <w:t xml:space="preserve"> </w:t>
      </w:r>
      <w:r>
        <w:rPr>
          <w:sz w:val="18"/>
        </w:rPr>
        <w:t>in</w:t>
      </w:r>
      <w:r>
        <w:rPr>
          <w:spacing w:val="-4"/>
          <w:sz w:val="18"/>
        </w:rPr>
        <w:t xml:space="preserve"> </w:t>
      </w:r>
      <w:r>
        <w:rPr>
          <w:sz w:val="18"/>
        </w:rPr>
        <w:t>FAM</w:t>
      </w:r>
      <w:r>
        <w:rPr>
          <w:spacing w:val="-3"/>
          <w:sz w:val="18"/>
        </w:rPr>
        <w:t xml:space="preserve"> </w:t>
      </w:r>
      <w:r>
        <w:rPr>
          <w:sz w:val="18"/>
        </w:rPr>
        <w:t>921</w:t>
      </w:r>
      <w:r>
        <w:rPr>
          <w:spacing w:val="-4"/>
          <w:sz w:val="18"/>
        </w:rPr>
        <w:t xml:space="preserve"> </w:t>
      </w:r>
      <w:r>
        <w:rPr>
          <w:sz w:val="18"/>
        </w:rPr>
        <w:t>focuses</w:t>
      </w:r>
      <w:r>
        <w:rPr>
          <w:spacing w:val="-2"/>
          <w:sz w:val="18"/>
        </w:rPr>
        <w:t xml:space="preserve"> </w:t>
      </w:r>
      <w:r>
        <w:rPr>
          <w:sz w:val="18"/>
        </w:rPr>
        <w:t>on</w:t>
      </w:r>
      <w:r>
        <w:rPr>
          <w:spacing w:val="-4"/>
          <w:sz w:val="18"/>
        </w:rPr>
        <w:t xml:space="preserve"> </w:t>
      </w:r>
      <w:r>
        <w:rPr>
          <w:sz w:val="18"/>
        </w:rPr>
        <w:t>processes</w:t>
      </w:r>
      <w:r>
        <w:rPr>
          <w:spacing w:val="-3"/>
          <w:sz w:val="18"/>
        </w:rPr>
        <w:t xml:space="preserve"> </w:t>
      </w:r>
      <w:r>
        <w:rPr>
          <w:sz w:val="18"/>
        </w:rPr>
        <w:t>associated</w:t>
      </w:r>
      <w:r>
        <w:rPr>
          <w:spacing w:val="-4"/>
          <w:sz w:val="18"/>
        </w:rPr>
        <w:t xml:space="preserve"> </w:t>
      </w:r>
      <w:r>
        <w:rPr>
          <w:sz w:val="18"/>
        </w:rPr>
        <w:t>with</w:t>
      </w:r>
      <w:r>
        <w:rPr>
          <w:spacing w:val="-2"/>
          <w:sz w:val="18"/>
        </w:rPr>
        <w:t xml:space="preserve"> </w:t>
      </w:r>
      <w:r>
        <w:rPr>
          <w:sz w:val="18"/>
        </w:rPr>
        <w:t xml:space="preserve">full-CARS </w:t>
      </w:r>
      <w:r>
        <w:rPr>
          <w:spacing w:val="-2"/>
          <w:sz w:val="18"/>
        </w:rPr>
        <w:t>reporting.</w:t>
      </w:r>
    </w:p>
    <w:p w14:paraId="0DFDC33E" w14:textId="77777777" w:rsidR="00046465" w:rsidRDefault="008134EB">
      <w:pPr>
        <w:spacing w:before="65" w:line="249" w:lineRule="auto"/>
        <w:ind w:left="359" w:right="844"/>
        <w:rPr>
          <w:sz w:val="18"/>
        </w:rPr>
      </w:pPr>
      <w:bookmarkStart w:id="306" w:name="_bookmark176"/>
      <w:bookmarkEnd w:id="306"/>
      <w:r>
        <w:rPr>
          <w:position w:val="7"/>
          <w:sz w:val="14"/>
        </w:rPr>
        <w:t>32</w:t>
      </w:r>
      <w:r>
        <w:rPr>
          <w:sz w:val="18"/>
        </w:rPr>
        <w:t>Fiscal</w:t>
      </w:r>
      <w:r>
        <w:rPr>
          <w:spacing w:val="-3"/>
          <w:sz w:val="18"/>
        </w:rPr>
        <w:t xml:space="preserve"> </w:t>
      </w:r>
      <w:r>
        <w:rPr>
          <w:sz w:val="18"/>
        </w:rPr>
        <w:t>Service</w:t>
      </w:r>
      <w:r>
        <w:rPr>
          <w:spacing w:val="-4"/>
          <w:sz w:val="18"/>
        </w:rPr>
        <w:t xml:space="preserve"> </w:t>
      </w:r>
      <w:r>
        <w:rPr>
          <w:sz w:val="18"/>
        </w:rPr>
        <w:t>records</w:t>
      </w:r>
      <w:r>
        <w:rPr>
          <w:spacing w:val="-3"/>
          <w:sz w:val="18"/>
        </w:rPr>
        <w:t xml:space="preserve"> </w:t>
      </w:r>
      <w:r>
        <w:rPr>
          <w:sz w:val="18"/>
        </w:rPr>
        <w:t>appropriation</w:t>
      </w:r>
      <w:r>
        <w:rPr>
          <w:spacing w:val="-4"/>
          <w:sz w:val="18"/>
        </w:rPr>
        <w:t xml:space="preserve"> </w:t>
      </w:r>
      <w:r>
        <w:rPr>
          <w:sz w:val="18"/>
        </w:rPr>
        <w:t>authority</w:t>
      </w:r>
      <w:r>
        <w:rPr>
          <w:spacing w:val="-3"/>
          <w:sz w:val="18"/>
        </w:rPr>
        <w:t xml:space="preserve"> </w:t>
      </w:r>
      <w:r>
        <w:rPr>
          <w:sz w:val="18"/>
        </w:rPr>
        <w:t>in</w:t>
      </w:r>
      <w:r>
        <w:rPr>
          <w:spacing w:val="-4"/>
          <w:sz w:val="18"/>
        </w:rPr>
        <w:t xml:space="preserve"> </w:t>
      </w:r>
      <w:r>
        <w:rPr>
          <w:sz w:val="18"/>
        </w:rPr>
        <w:t>CARS</w:t>
      </w:r>
      <w:r>
        <w:rPr>
          <w:spacing w:val="-3"/>
          <w:sz w:val="18"/>
        </w:rPr>
        <w:t xml:space="preserve"> </w:t>
      </w:r>
      <w:r>
        <w:rPr>
          <w:sz w:val="18"/>
        </w:rPr>
        <w:t>using</w:t>
      </w:r>
      <w:r>
        <w:rPr>
          <w:spacing w:val="-4"/>
          <w:sz w:val="18"/>
        </w:rPr>
        <w:t xml:space="preserve"> </w:t>
      </w:r>
      <w:r>
        <w:rPr>
          <w:sz w:val="18"/>
        </w:rPr>
        <w:t>annual</w:t>
      </w:r>
      <w:r>
        <w:rPr>
          <w:spacing w:val="-3"/>
          <w:sz w:val="18"/>
        </w:rPr>
        <w:t xml:space="preserve"> </w:t>
      </w:r>
      <w:r>
        <w:rPr>
          <w:sz w:val="18"/>
        </w:rPr>
        <w:t>appropriations</w:t>
      </w:r>
      <w:r>
        <w:rPr>
          <w:spacing w:val="-3"/>
          <w:sz w:val="18"/>
        </w:rPr>
        <w:t xml:space="preserve"> </w:t>
      </w:r>
      <w:r>
        <w:rPr>
          <w:sz w:val="18"/>
        </w:rPr>
        <w:t>acts</w:t>
      </w:r>
      <w:r>
        <w:rPr>
          <w:spacing w:val="-3"/>
          <w:sz w:val="18"/>
        </w:rPr>
        <w:t xml:space="preserve"> </w:t>
      </w:r>
      <w:r>
        <w:rPr>
          <w:sz w:val="18"/>
        </w:rPr>
        <w:t>and</w:t>
      </w:r>
      <w:r>
        <w:rPr>
          <w:spacing w:val="-4"/>
          <w:sz w:val="18"/>
        </w:rPr>
        <w:t xml:space="preserve"> </w:t>
      </w:r>
      <w:r>
        <w:rPr>
          <w:sz w:val="18"/>
        </w:rPr>
        <w:t>other</w:t>
      </w:r>
      <w:r>
        <w:rPr>
          <w:spacing w:val="-3"/>
          <w:sz w:val="18"/>
        </w:rPr>
        <w:t xml:space="preserve"> </w:t>
      </w:r>
      <w:r>
        <w:rPr>
          <w:sz w:val="18"/>
        </w:rPr>
        <w:t xml:space="preserve">relevant </w:t>
      </w:r>
      <w:r>
        <w:rPr>
          <w:spacing w:val="-2"/>
          <w:sz w:val="18"/>
        </w:rPr>
        <w:t>statutes.</w:t>
      </w:r>
    </w:p>
    <w:p w14:paraId="0DFDC33F" w14:textId="77777777" w:rsidR="00046465" w:rsidRDefault="008134EB">
      <w:pPr>
        <w:spacing w:before="118" w:line="242" w:lineRule="auto"/>
        <w:ind w:left="359" w:right="749"/>
        <w:rPr>
          <w:sz w:val="18"/>
        </w:rPr>
      </w:pPr>
      <w:bookmarkStart w:id="307" w:name="_bookmark177"/>
      <w:bookmarkEnd w:id="307"/>
      <w:r>
        <w:rPr>
          <w:position w:val="7"/>
          <w:sz w:val="14"/>
        </w:rPr>
        <w:t>33</w:t>
      </w:r>
      <w:r>
        <w:rPr>
          <w:sz w:val="18"/>
        </w:rPr>
        <w:t>The Agency Location Code is a unique four-digit or eight-digit numerical identifier assigned to entity accounting offices</w:t>
      </w:r>
      <w:r>
        <w:rPr>
          <w:spacing w:val="-3"/>
          <w:sz w:val="18"/>
        </w:rPr>
        <w:t xml:space="preserve"> </w:t>
      </w:r>
      <w:r>
        <w:rPr>
          <w:sz w:val="18"/>
        </w:rPr>
        <w:t>for</w:t>
      </w:r>
      <w:r>
        <w:rPr>
          <w:spacing w:val="-3"/>
          <w:sz w:val="18"/>
        </w:rPr>
        <w:t xml:space="preserve"> </w:t>
      </w:r>
      <w:r>
        <w:rPr>
          <w:sz w:val="18"/>
        </w:rPr>
        <w:t>reporting</w:t>
      </w:r>
      <w:r>
        <w:rPr>
          <w:spacing w:val="-4"/>
          <w:sz w:val="18"/>
        </w:rPr>
        <w:t xml:space="preserve"> </w:t>
      </w:r>
      <w:r>
        <w:rPr>
          <w:sz w:val="18"/>
        </w:rPr>
        <w:t>collection</w:t>
      </w:r>
      <w:r>
        <w:rPr>
          <w:spacing w:val="-4"/>
          <w:sz w:val="18"/>
        </w:rPr>
        <w:t xml:space="preserve"> </w:t>
      </w:r>
      <w:r>
        <w:rPr>
          <w:sz w:val="18"/>
        </w:rPr>
        <w:t>and</w:t>
      </w:r>
      <w:r>
        <w:rPr>
          <w:spacing w:val="-4"/>
          <w:sz w:val="18"/>
        </w:rPr>
        <w:t xml:space="preserve"> </w:t>
      </w:r>
      <w:r>
        <w:rPr>
          <w:sz w:val="18"/>
        </w:rPr>
        <w:t>disbursement</w:t>
      </w:r>
      <w:r>
        <w:rPr>
          <w:spacing w:val="-3"/>
          <w:sz w:val="18"/>
        </w:rPr>
        <w:t xml:space="preserve"> </w:t>
      </w:r>
      <w:r>
        <w:rPr>
          <w:sz w:val="18"/>
        </w:rPr>
        <w:t>activity.</w:t>
      </w:r>
      <w:r>
        <w:rPr>
          <w:spacing w:val="-3"/>
          <w:sz w:val="18"/>
        </w:rPr>
        <w:t xml:space="preserve"> </w:t>
      </w:r>
      <w:r>
        <w:rPr>
          <w:sz w:val="18"/>
        </w:rPr>
        <w:t>Entities</w:t>
      </w:r>
      <w:r>
        <w:rPr>
          <w:spacing w:val="-3"/>
          <w:sz w:val="18"/>
        </w:rPr>
        <w:t xml:space="preserve"> </w:t>
      </w:r>
      <w:r>
        <w:rPr>
          <w:sz w:val="18"/>
        </w:rPr>
        <w:t>that</w:t>
      </w:r>
      <w:r>
        <w:rPr>
          <w:spacing w:val="-3"/>
          <w:sz w:val="18"/>
        </w:rPr>
        <w:t xml:space="preserve"> </w:t>
      </w:r>
      <w:r>
        <w:rPr>
          <w:sz w:val="18"/>
        </w:rPr>
        <w:t>use</w:t>
      </w:r>
      <w:r>
        <w:rPr>
          <w:spacing w:val="-4"/>
          <w:sz w:val="18"/>
        </w:rPr>
        <w:t xml:space="preserve"> </w:t>
      </w:r>
      <w:r>
        <w:rPr>
          <w:sz w:val="18"/>
        </w:rPr>
        <w:t>Treasury</w:t>
      </w:r>
      <w:r>
        <w:rPr>
          <w:spacing w:val="-3"/>
          <w:sz w:val="18"/>
        </w:rPr>
        <w:t xml:space="preserve"> </w:t>
      </w:r>
      <w:r>
        <w:rPr>
          <w:sz w:val="18"/>
        </w:rPr>
        <w:t>Disbursing</w:t>
      </w:r>
      <w:r>
        <w:rPr>
          <w:spacing w:val="-4"/>
          <w:sz w:val="18"/>
        </w:rPr>
        <w:t xml:space="preserve"> </w:t>
      </w:r>
      <w:r>
        <w:rPr>
          <w:sz w:val="18"/>
        </w:rPr>
        <w:t>Offices</w:t>
      </w:r>
      <w:r>
        <w:rPr>
          <w:spacing w:val="-2"/>
          <w:sz w:val="18"/>
        </w:rPr>
        <w:t xml:space="preserve"> </w:t>
      </w:r>
      <w:r>
        <w:rPr>
          <w:sz w:val="18"/>
        </w:rPr>
        <w:t>have</w:t>
      </w:r>
      <w:r>
        <w:rPr>
          <w:spacing w:val="-4"/>
          <w:sz w:val="18"/>
        </w:rPr>
        <w:t xml:space="preserve"> </w:t>
      </w:r>
      <w:r>
        <w:rPr>
          <w:sz w:val="18"/>
        </w:rPr>
        <w:t>an</w:t>
      </w:r>
      <w:r>
        <w:rPr>
          <w:spacing w:val="-4"/>
          <w:sz w:val="18"/>
        </w:rPr>
        <w:t xml:space="preserve"> </w:t>
      </w:r>
      <w:r>
        <w:rPr>
          <w:sz w:val="18"/>
        </w:rPr>
        <w:t>eight-digit identifier, while entities that have their own disbursing authority have a four-digit identifier. Entities must have valid Agency Location Codes to process transactions for authorized TASs.</w:t>
      </w:r>
    </w:p>
    <w:p w14:paraId="0DFDC340" w14:textId="77777777" w:rsidR="00046465" w:rsidRDefault="00046465">
      <w:pPr>
        <w:spacing w:line="242" w:lineRule="auto"/>
        <w:rPr>
          <w:sz w:val="18"/>
        </w:rPr>
        <w:sectPr w:rsidR="00046465">
          <w:pgSz w:w="12240" w:h="15840"/>
          <w:pgMar w:top="1340" w:right="720" w:bottom="940" w:left="1080" w:header="721" w:footer="757" w:gutter="0"/>
          <w:cols w:space="720"/>
        </w:sectPr>
      </w:pPr>
    </w:p>
    <w:p w14:paraId="0DFDC341" w14:textId="77777777" w:rsidR="00046465" w:rsidRDefault="008134EB">
      <w:pPr>
        <w:pStyle w:val="Heading5"/>
        <w:spacing w:before="121"/>
        <w:ind w:left="392"/>
        <w:rPr>
          <w:u w:val="none"/>
        </w:rPr>
      </w:pPr>
      <w:bookmarkStart w:id="308" w:name="Reconciliations"/>
      <w:bookmarkEnd w:id="308"/>
      <w:r>
        <w:rPr>
          <w:spacing w:val="-2"/>
        </w:rPr>
        <w:lastRenderedPageBreak/>
        <w:t>Reconciliations</w:t>
      </w:r>
    </w:p>
    <w:p w14:paraId="0DFDC342" w14:textId="77777777" w:rsidR="00046465" w:rsidRDefault="008134EB">
      <w:pPr>
        <w:pStyle w:val="ListParagraph"/>
        <w:numPr>
          <w:ilvl w:val="0"/>
          <w:numId w:val="116"/>
        </w:numPr>
        <w:tabs>
          <w:tab w:val="left" w:pos="1800"/>
        </w:tabs>
        <w:spacing w:before="240"/>
        <w:ind w:right="774"/>
        <w:rPr>
          <w:position w:val="7"/>
          <w:sz w:val="14"/>
        </w:rPr>
      </w:pPr>
      <w:r>
        <w:t>An entity’s regular reconciliation of its internal FBWT records with FBWT activity reported to CARS via other sources (e.g., collection reporting systems and payment information systems) is a control activity in maintaining the accuracy and reliability of entity FBWT records. Effective reconciliations serve as a detection control for identifying unauthorized and unrecorded transactions at the entities and at Treasury. Reconciliations are also important in providing an accurate measurement of the status of available resources, which is helpful in preventing</w:t>
      </w:r>
      <w:r>
        <w:rPr>
          <w:spacing w:val="-6"/>
        </w:rPr>
        <w:t xml:space="preserve"> </w:t>
      </w:r>
      <w:r>
        <w:t>entity</w:t>
      </w:r>
      <w:r>
        <w:rPr>
          <w:spacing w:val="-6"/>
        </w:rPr>
        <w:t xml:space="preserve"> </w:t>
      </w:r>
      <w:r>
        <w:t>disbursements</w:t>
      </w:r>
      <w:r>
        <w:rPr>
          <w:spacing w:val="-6"/>
        </w:rPr>
        <w:t xml:space="preserve"> </w:t>
      </w:r>
      <w:r>
        <w:t>from</w:t>
      </w:r>
      <w:r>
        <w:rPr>
          <w:spacing w:val="-6"/>
        </w:rPr>
        <w:t xml:space="preserve"> </w:t>
      </w:r>
      <w:r>
        <w:t>exceeding</w:t>
      </w:r>
      <w:r>
        <w:rPr>
          <w:spacing w:val="-7"/>
        </w:rPr>
        <w:t xml:space="preserve"> </w:t>
      </w:r>
      <w:r>
        <w:t>appropriated</w:t>
      </w:r>
      <w:r>
        <w:rPr>
          <w:spacing w:val="-6"/>
        </w:rPr>
        <w:t xml:space="preserve"> </w:t>
      </w:r>
      <w:r>
        <w:t>amounts.</w:t>
      </w:r>
      <w:r>
        <w:rPr>
          <w:spacing w:val="-6"/>
        </w:rPr>
        <w:t xml:space="preserve"> </w:t>
      </w:r>
      <w:r>
        <w:t>Treasury provides the following examples of reconciliations that entities can perform.</w:t>
      </w:r>
      <w:hyperlink w:anchor="_bookmark178" w:history="1">
        <w:r>
          <w:rPr>
            <w:position w:val="7"/>
            <w:sz w:val="14"/>
          </w:rPr>
          <w:t>34</w:t>
        </w:r>
      </w:hyperlink>
    </w:p>
    <w:p w14:paraId="0DFDC343" w14:textId="77777777" w:rsidR="00046465" w:rsidRDefault="008134EB">
      <w:pPr>
        <w:pStyle w:val="ListParagraph"/>
        <w:numPr>
          <w:ilvl w:val="0"/>
          <w:numId w:val="115"/>
        </w:numPr>
        <w:tabs>
          <w:tab w:val="left" w:pos="2160"/>
        </w:tabs>
        <w:spacing w:before="119"/>
        <w:ind w:right="991"/>
      </w:pPr>
      <w:r>
        <w:rPr>
          <w:b/>
        </w:rPr>
        <w:t>FBWT</w:t>
      </w:r>
      <w:r>
        <w:rPr>
          <w:b/>
          <w:spacing w:val="-4"/>
        </w:rPr>
        <w:t xml:space="preserve"> </w:t>
      </w:r>
      <w:r>
        <w:rPr>
          <w:b/>
        </w:rPr>
        <w:t>reconciliation</w:t>
      </w:r>
      <w:r>
        <w:rPr>
          <w:b/>
          <w:spacing w:val="-5"/>
        </w:rPr>
        <w:t xml:space="preserve"> </w:t>
      </w:r>
      <w:r>
        <w:rPr>
          <w:b/>
        </w:rPr>
        <w:t>by</w:t>
      </w:r>
      <w:r>
        <w:rPr>
          <w:b/>
          <w:spacing w:val="-5"/>
        </w:rPr>
        <w:t xml:space="preserve"> </w:t>
      </w:r>
      <w:r>
        <w:rPr>
          <w:b/>
        </w:rPr>
        <w:t>TAS:</w:t>
      </w:r>
      <w:r>
        <w:rPr>
          <w:b/>
          <w:spacing w:val="-5"/>
        </w:rPr>
        <w:t xml:space="preserve"> </w:t>
      </w:r>
      <w:r>
        <w:t>Entails</w:t>
      </w:r>
      <w:r>
        <w:rPr>
          <w:spacing w:val="-5"/>
        </w:rPr>
        <w:t xml:space="preserve"> </w:t>
      </w:r>
      <w:r>
        <w:t>matching</w:t>
      </w:r>
      <w:r>
        <w:rPr>
          <w:spacing w:val="-6"/>
        </w:rPr>
        <w:t xml:space="preserve"> </w:t>
      </w:r>
      <w:r>
        <w:t>the</w:t>
      </w:r>
      <w:r>
        <w:rPr>
          <w:spacing w:val="-5"/>
        </w:rPr>
        <w:t xml:space="preserve"> </w:t>
      </w:r>
      <w:r>
        <w:t>balance</w:t>
      </w:r>
      <w:r>
        <w:rPr>
          <w:spacing w:val="-6"/>
        </w:rPr>
        <w:t xml:space="preserve"> </w:t>
      </w:r>
      <w:r>
        <w:t>on</w:t>
      </w:r>
      <w:r>
        <w:rPr>
          <w:spacing w:val="-5"/>
        </w:rPr>
        <w:t xml:space="preserve"> </w:t>
      </w:r>
      <w:r>
        <w:t>Treasury’s CARS account statement by TAS with the corresponding balance in the entity’s accounting records.</w:t>
      </w:r>
    </w:p>
    <w:p w14:paraId="0DFDC344" w14:textId="77777777" w:rsidR="00046465" w:rsidRDefault="008134EB">
      <w:pPr>
        <w:pStyle w:val="ListParagraph"/>
        <w:numPr>
          <w:ilvl w:val="0"/>
          <w:numId w:val="115"/>
        </w:numPr>
        <w:tabs>
          <w:tab w:val="left" w:pos="2159"/>
        </w:tabs>
        <w:spacing w:before="121"/>
        <w:ind w:left="2159" w:right="882"/>
      </w:pPr>
      <w:r>
        <w:rPr>
          <w:b/>
        </w:rPr>
        <w:t xml:space="preserve">Cash activity reconciliation by Agency Location Code and by source/sending trading partner: </w:t>
      </w:r>
      <w:r>
        <w:t>Entails matching transaction amounts reported</w:t>
      </w:r>
      <w:r>
        <w:rPr>
          <w:spacing w:val="-5"/>
        </w:rPr>
        <w:t xml:space="preserve"> </w:t>
      </w:r>
      <w:r>
        <w:t>in</w:t>
      </w:r>
      <w:r>
        <w:rPr>
          <w:spacing w:val="-6"/>
        </w:rPr>
        <w:t xml:space="preserve"> </w:t>
      </w:r>
      <w:r>
        <w:t>Treasury’s</w:t>
      </w:r>
      <w:r>
        <w:rPr>
          <w:spacing w:val="-6"/>
        </w:rPr>
        <w:t xml:space="preserve"> </w:t>
      </w:r>
      <w:r>
        <w:t>CARS</w:t>
      </w:r>
      <w:r>
        <w:rPr>
          <w:spacing w:val="-4"/>
        </w:rPr>
        <w:t xml:space="preserve"> </w:t>
      </w:r>
      <w:r>
        <w:t>Agency</w:t>
      </w:r>
      <w:r>
        <w:rPr>
          <w:spacing w:val="-5"/>
        </w:rPr>
        <w:t xml:space="preserve"> </w:t>
      </w:r>
      <w:r>
        <w:t>Location</w:t>
      </w:r>
      <w:r>
        <w:rPr>
          <w:spacing w:val="-6"/>
        </w:rPr>
        <w:t xml:space="preserve"> </w:t>
      </w:r>
      <w:r>
        <w:t>Code</w:t>
      </w:r>
      <w:r>
        <w:rPr>
          <w:spacing w:val="-5"/>
        </w:rPr>
        <w:t xml:space="preserve"> </w:t>
      </w:r>
      <w:r>
        <w:t>account</w:t>
      </w:r>
      <w:r>
        <w:rPr>
          <w:spacing w:val="-5"/>
        </w:rPr>
        <w:t xml:space="preserve"> </w:t>
      </w:r>
      <w:r>
        <w:t>statement</w:t>
      </w:r>
      <w:r>
        <w:rPr>
          <w:spacing w:val="-5"/>
        </w:rPr>
        <w:t xml:space="preserve"> </w:t>
      </w:r>
      <w:r>
        <w:t>with those recorded in the entity’s accounting records.</w:t>
      </w:r>
    </w:p>
    <w:p w14:paraId="0DFDC345" w14:textId="77777777" w:rsidR="00046465" w:rsidRDefault="008134EB">
      <w:pPr>
        <w:pStyle w:val="ListParagraph"/>
        <w:numPr>
          <w:ilvl w:val="0"/>
          <w:numId w:val="115"/>
        </w:numPr>
        <w:tabs>
          <w:tab w:val="left" w:pos="2159"/>
        </w:tabs>
        <w:ind w:left="2159" w:right="967"/>
      </w:pPr>
      <w:r>
        <w:rPr>
          <w:b/>
        </w:rPr>
        <w:t>TAS</w:t>
      </w:r>
      <w:r>
        <w:rPr>
          <w:b/>
          <w:spacing w:val="-5"/>
        </w:rPr>
        <w:t xml:space="preserve"> </w:t>
      </w:r>
      <w:r>
        <w:rPr>
          <w:b/>
        </w:rPr>
        <w:t>and</w:t>
      </w:r>
      <w:r>
        <w:rPr>
          <w:b/>
          <w:spacing w:val="-5"/>
        </w:rPr>
        <w:t xml:space="preserve"> </w:t>
      </w:r>
      <w:r>
        <w:rPr>
          <w:b/>
        </w:rPr>
        <w:t>BETC</w:t>
      </w:r>
      <w:r>
        <w:rPr>
          <w:b/>
          <w:spacing w:val="-6"/>
        </w:rPr>
        <w:t xml:space="preserve"> </w:t>
      </w:r>
      <w:r>
        <w:rPr>
          <w:b/>
        </w:rPr>
        <w:t>reconciliation:</w:t>
      </w:r>
      <w:r>
        <w:rPr>
          <w:b/>
          <w:spacing w:val="-5"/>
        </w:rPr>
        <w:t xml:space="preserve"> </w:t>
      </w:r>
      <w:r>
        <w:t>Entails</w:t>
      </w:r>
      <w:r>
        <w:rPr>
          <w:spacing w:val="-5"/>
        </w:rPr>
        <w:t xml:space="preserve"> </w:t>
      </w:r>
      <w:r>
        <w:t>incorporating</w:t>
      </w:r>
      <w:r>
        <w:rPr>
          <w:spacing w:val="-5"/>
        </w:rPr>
        <w:t xml:space="preserve"> </w:t>
      </w:r>
      <w:r>
        <w:t>a</w:t>
      </w:r>
      <w:r>
        <w:rPr>
          <w:spacing w:val="-5"/>
        </w:rPr>
        <w:t xml:space="preserve"> </w:t>
      </w:r>
      <w:r>
        <w:t>reconciliation</w:t>
      </w:r>
      <w:r>
        <w:rPr>
          <w:spacing w:val="-5"/>
        </w:rPr>
        <w:t xml:space="preserve"> </w:t>
      </w:r>
      <w:r>
        <w:t>at</w:t>
      </w:r>
      <w:r>
        <w:rPr>
          <w:spacing w:val="-5"/>
        </w:rPr>
        <w:t xml:space="preserve"> </w:t>
      </w:r>
      <w:r>
        <w:t>the TAS and BETC level as part of the cash activity reconciliation by Agency Location Code and by source/sending trading partner.</w:t>
      </w:r>
    </w:p>
    <w:p w14:paraId="0DFDC346" w14:textId="77777777" w:rsidR="00046465" w:rsidRDefault="008134EB">
      <w:pPr>
        <w:pStyle w:val="ListParagraph"/>
        <w:numPr>
          <w:ilvl w:val="0"/>
          <w:numId w:val="116"/>
        </w:numPr>
        <w:tabs>
          <w:tab w:val="left" w:pos="1799"/>
        </w:tabs>
        <w:spacing w:before="119"/>
        <w:ind w:left="1799" w:right="972"/>
        <w:rPr>
          <w:position w:val="7"/>
          <w:sz w:val="14"/>
        </w:rPr>
      </w:pPr>
      <w:r>
        <w:t>Most</w:t>
      </w:r>
      <w:r>
        <w:rPr>
          <w:spacing w:val="-3"/>
        </w:rPr>
        <w:t xml:space="preserve"> </w:t>
      </w:r>
      <w:r>
        <w:t>entities</w:t>
      </w:r>
      <w:r>
        <w:rPr>
          <w:spacing w:val="-3"/>
        </w:rPr>
        <w:t xml:space="preserve"> </w:t>
      </w:r>
      <w:r>
        <w:t>process</w:t>
      </w:r>
      <w:r>
        <w:rPr>
          <w:spacing w:val="-4"/>
        </w:rPr>
        <w:t xml:space="preserve"> </w:t>
      </w:r>
      <w:r>
        <w:t>their</w:t>
      </w:r>
      <w:r>
        <w:rPr>
          <w:spacing w:val="-3"/>
        </w:rPr>
        <w:t xml:space="preserve"> </w:t>
      </w:r>
      <w:r>
        <w:t>collections</w:t>
      </w:r>
      <w:r>
        <w:rPr>
          <w:spacing w:val="-3"/>
        </w:rPr>
        <w:t xml:space="preserve"> </w:t>
      </w:r>
      <w:r>
        <w:t>through</w:t>
      </w:r>
      <w:r>
        <w:rPr>
          <w:spacing w:val="-3"/>
        </w:rPr>
        <w:t xml:space="preserve"> </w:t>
      </w:r>
      <w:r>
        <w:t>collection</w:t>
      </w:r>
      <w:r>
        <w:rPr>
          <w:spacing w:val="-3"/>
        </w:rPr>
        <w:t xml:space="preserve"> </w:t>
      </w:r>
      <w:r>
        <w:t>reporting</w:t>
      </w:r>
      <w:r>
        <w:rPr>
          <w:spacing w:val="-3"/>
        </w:rPr>
        <w:t xml:space="preserve"> </w:t>
      </w:r>
      <w:r>
        <w:t>systems</w:t>
      </w:r>
      <w:r>
        <w:rPr>
          <w:spacing w:val="-3"/>
        </w:rPr>
        <w:t xml:space="preserve"> </w:t>
      </w:r>
      <w:r>
        <w:t>and disbursements</w:t>
      </w:r>
      <w:r>
        <w:rPr>
          <w:spacing w:val="-5"/>
        </w:rPr>
        <w:t xml:space="preserve"> </w:t>
      </w:r>
      <w:r>
        <w:t>(payments)</w:t>
      </w:r>
      <w:r>
        <w:rPr>
          <w:spacing w:val="-5"/>
        </w:rPr>
        <w:t xml:space="preserve"> </w:t>
      </w:r>
      <w:r>
        <w:t>through</w:t>
      </w:r>
      <w:r>
        <w:rPr>
          <w:spacing w:val="-6"/>
        </w:rPr>
        <w:t xml:space="preserve"> </w:t>
      </w:r>
      <w:r>
        <w:t>Treasury</w:t>
      </w:r>
      <w:r>
        <w:rPr>
          <w:spacing w:val="-5"/>
        </w:rPr>
        <w:t xml:space="preserve"> </w:t>
      </w:r>
      <w:r>
        <w:t>Disbursing</w:t>
      </w:r>
      <w:r>
        <w:rPr>
          <w:spacing w:val="-5"/>
        </w:rPr>
        <w:t xml:space="preserve"> </w:t>
      </w:r>
      <w:r>
        <w:t>Offices.</w:t>
      </w:r>
      <w:r>
        <w:rPr>
          <w:spacing w:val="-5"/>
        </w:rPr>
        <w:t xml:space="preserve"> </w:t>
      </w:r>
      <w:r>
        <w:t>Other</w:t>
      </w:r>
      <w:r>
        <w:rPr>
          <w:spacing w:val="-7"/>
        </w:rPr>
        <w:t xml:space="preserve"> </w:t>
      </w:r>
      <w:r>
        <w:t>entities, which have authority to collect or disburse funds on their own behalf, may reconcile collection and disbursement activity recorded in their general ledger directly with collections and disbursements reports from the Federal Reserve Bank systems.</w:t>
      </w:r>
      <w:hyperlink w:anchor="_bookmark179" w:history="1">
        <w:r>
          <w:rPr>
            <w:position w:val="7"/>
            <w:sz w:val="14"/>
          </w:rPr>
          <w:t>35</w:t>
        </w:r>
      </w:hyperlink>
    </w:p>
    <w:p w14:paraId="0DFDC347" w14:textId="77777777" w:rsidR="00046465" w:rsidRDefault="008134EB">
      <w:pPr>
        <w:pStyle w:val="Heading4"/>
      </w:pPr>
      <w:bookmarkStart w:id="309" w:name="Additional_Resources_for_Accounting_and_"/>
      <w:bookmarkEnd w:id="309"/>
      <w:r>
        <w:t>Additional</w:t>
      </w:r>
      <w:r>
        <w:rPr>
          <w:spacing w:val="-14"/>
        </w:rPr>
        <w:t xml:space="preserve"> </w:t>
      </w:r>
      <w:r>
        <w:t>Resources</w:t>
      </w:r>
      <w:r>
        <w:rPr>
          <w:spacing w:val="-13"/>
        </w:rPr>
        <w:t xml:space="preserve"> </w:t>
      </w:r>
      <w:r>
        <w:t>for</w:t>
      </w:r>
      <w:r>
        <w:rPr>
          <w:spacing w:val="-14"/>
        </w:rPr>
        <w:t xml:space="preserve"> </w:t>
      </w:r>
      <w:r>
        <w:t>Accounting</w:t>
      </w:r>
      <w:r>
        <w:rPr>
          <w:spacing w:val="-14"/>
        </w:rPr>
        <w:t xml:space="preserve"> </w:t>
      </w:r>
      <w:r>
        <w:t>and</w:t>
      </w:r>
      <w:r>
        <w:rPr>
          <w:spacing w:val="-14"/>
        </w:rPr>
        <w:t xml:space="preserve"> </w:t>
      </w:r>
      <w:r>
        <w:t>Reporting</w:t>
      </w:r>
      <w:r>
        <w:rPr>
          <w:spacing w:val="-13"/>
        </w:rPr>
        <w:t xml:space="preserve"> </w:t>
      </w:r>
      <w:r>
        <w:rPr>
          <w:spacing w:val="-2"/>
        </w:rPr>
        <w:t>Information</w:t>
      </w:r>
    </w:p>
    <w:p w14:paraId="0DFDC348" w14:textId="77777777" w:rsidR="00046465" w:rsidRDefault="008134EB">
      <w:pPr>
        <w:pStyle w:val="ListParagraph"/>
        <w:numPr>
          <w:ilvl w:val="0"/>
          <w:numId w:val="116"/>
        </w:numPr>
        <w:tabs>
          <w:tab w:val="left" w:pos="1800"/>
        </w:tabs>
        <w:spacing w:before="119"/>
        <w:ind w:right="850"/>
      </w:pPr>
      <w:r>
        <w:t>To</w:t>
      </w:r>
      <w:r>
        <w:rPr>
          <w:spacing w:val="-4"/>
        </w:rPr>
        <w:t xml:space="preserve"> </w:t>
      </w:r>
      <w:r>
        <w:t>obtain</w:t>
      </w:r>
      <w:r>
        <w:rPr>
          <w:spacing w:val="-4"/>
        </w:rPr>
        <w:t xml:space="preserve"> </w:t>
      </w:r>
      <w:r>
        <w:t>a</w:t>
      </w:r>
      <w:r>
        <w:rPr>
          <w:spacing w:val="-4"/>
        </w:rPr>
        <w:t xml:space="preserve"> </w:t>
      </w:r>
      <w:r>
        <w:t>further</w:t>
      </w:r>
      <w:r>
        <w:rPr>
          <w:spacing w:val="-4"/>
        </w:rPr>
        <w:t xml:space="preserve"> </w:t>
      </w:r>
      <w:r>
        <w:t>understanding</w:t>
      </w:r>
      <w:r>
        <w:rPr>
          <w:spacing w:val="-4"/>
        </w:rPr>
        <w:t xml:space="preserve"> </w:t>
      </w:r>
      <w:r>
        <w:t>of</w:t>
      </w:r>
      <w:r>
        <w:rPr>
          <w:spacing w:val="-5"/>
        </w:rPr>
        <w:t xml:space="preserve"> </w:t>
      </w:r>
      <w:r>
        <w:t>entity’s</w:t>
      </w:r>
      <w:r>
        <w:rPr>
          <w:spacing w:val="-5"/>
        </w:rPr>
        <w:t xml:space="preserve"> </w:t>
      </w:r>
      <w:r>
        <w:t>accounting</w:t>
      </w:r>
      <w:r>
        <w:rPr>
          <w:spacing w:val="-4"/>
        </w:rPr>
        <w:t xml:space="preserve"> </w:t>
      </w:r>
      <w:r>
        <w:t>and</w:t>
      </w:r>
      <w:r>
        <w:rPr>
          <w:spacing w:val="-4"/>
        </w:rPr>
        <w:t xml:space="preserve"> </w:t>
      </w:r>
      <w:r>
        <w:t>reporting</w:t>
      </w:r>
      <w:r>
        <w:rPr>
          <w:spacing w:val="-4"/>
        </w:rPr>
        <w:t xml:space="preserve"> </w:t>
      </w:r>
      <w:r>
        <w:t>for</w:t>
      </w:r>
      <w:r>
        <w:rPr>
          <w:spacing w:val="-6"/>
        </w:rPr>
        <w:t xml:space="preserve"> </w:t>
      </w:r>
      <w:r>
        <w:t>FBWT, the auditor may refer to</w:t>
      </w:r>
    </w:p>
    <w:p w14:paraId="0DFDC349" w14:textId="77777777" w:rsidR="00046465" w:rsidRDefault="008134EB">
      <w:pPr>
        <w:pStyle w:val="ListParagraph"/>
        <w:numPr>
          <w:ilvl w:val="1"/>
          <w:numId w:val="116"/>
        </w:numPr>
        <w:tabs>
          <w:tab w:val="left" w:pos="2159"/>
        </w:tabs>
        <w:ind w:right="1073"/>
      </w:pPr>
      <w:r>
        <w:t xml:space="preserve">Fiscal Service’s CARS website at </w:t>
      </w:r>
      <w:hyperlink r:id="rId193">
        <w:r>
          <w:rPr>
            <w:color w:val="0000FF"/>
            <w:spacing w:val="-2"/>
          </w:rPr>
          <w:t>https://fiscal.treasury.gov/accounting/central-accounting-reporting-system-</w:t>
        </w:r>
      </w:hyperlink>
      <w:hyperlink r:id="rId194">
        <w:r>
          <w:rPr>
            <w:color w:val="0000FF"/>
          </w:rPr>
          <w:t>cars</w:t>
        </w:r>
      </w:hyperlink>
      <w:r>
        <w:rPr>
          <w:color w:val="0000FF"/>
        </w:rPr>
        <w:t xml:space="preserve"> </w:t>
      </w:r>
      <w:r>
        <w:t>(accessed May 29, 2026);</w:t>
      </w:r>
    </w:p>
    <w:p w14:paraId="0DFDC34A" w14:textId="77777777" w:rsidR="00046465" w:rsidRDefault="008134EB">
      <w:pPr>
        <w:pStyle w:val="ListParagraph"/>
        <w:numPr>
          <w:ilvl w:val="1"/>
          <w:numId w:val="116"/>
        </w:numPr>
        <w:tabs>
          <w:tab w:val="left" w:pos="2160"/>
        </w:tabs>
        <w:spacing w:before="119"/>
        <w:ind w:left="2160" w:right="1073"/>
      </w:pPr>
      <w:r>
        <w:t xml:space="preserve">Fiscal Service’s FBWT website at </w:t>
      </w:r>
      <w:hyperlink r:id="rId195">
        <w:r>
          <w:rPr>
            <w:color w:val="0000FF"/>
            <w:spacing w:val="-2"/>
          </w:rPr>
          <w:t>https://fiscal.treasury.gov/accounting/central-accounting-reporting-system-</w:t>
        </w:r>
      </w:hyperlink>
      <w:hyperlink r:id="rId196">
        <w:r>
          <w:rPr>
            <w:color w:val="0000FF"/>
          </w:rPr>
          <w:t>cars/fund-balance-with-treasury</w:t>
        </w:r>
      </w:hyperlink>
      <w:r>
        <w:rPr>
          <w:color w:val="0000FF"/>
        </w:rPr>
        <w:t xml:space="preserve"> </w:t>
      </w:r>
      <w:r>
        <w:t>(accessed May 29, 2026);</w:t>
      </w:r>
    </w:p>
    <w:p w14:paraId="0DFDC34B" w14:textId="77777777" w:rsidR="00046465" w:rsidRDefault="00046465">
      <w:pPr>
        <w:pStyle w:val="BodyText"/>
        <w:rPr>
          <w:sz w:val="20"/>
        </w:rPr>
      </w:pPr>
    </w:p>
    <w:p w14:paraId="0DFDC34C" w14:textId="77777777" w:rsidR="00046465" w:rsidRDefault="00046465">
      <w:pPr>
        <w:pStyle w:val="BodyText"/>
        <w:rPr>
          <w:sz w:val="20"/>
        </w:rPr>
      </w:pPr>
    </w:p>
    <w:p w14:paraId="0DFDC34D" w14:textId="77777777" w:rsidR="00046465" w:rsidRDefault="00046465">
      <w:pPr>
        <w:pStyle w:val="BodyText"/>
        <w:rPr>
          <w:sz w:val="20"/>
        </w:rPr>
      </w:pPr>
    </w:p>
    <w:p w14:paraId="0DFDC34E" w14:textId="77777777" w:rsidR="00046465" w:rsidRDefault="008134EB">
      <w:pPr>
        <w:pStyle w:val="BodyText"/>
        <w:spacing w:before="186"/>
        <w:rPr>
          <w:sz w:val="20"/>
        </w:rPr>
      </w:pPr>
      <w:r>
        <w:rPr>
          <w:noProof/>
          <w:sz w:val="20"/>
        </w:rPr>
        <mc:AlternateContent>
          <mc:Choice Requires="wps">
            <w:drawing>
              <wp:anchor distT="0" distB="0" distL="0" distR="0" simplePos="0" relativeHeight="487723520" behindDoc="1" locked="0" layoutInCell="1" allowOverlap="1" wp14:anchorId="0DFDD725" wp14:editId="0DFDD726">
                <wp:simplePos x="0" y="0"/>
                <wp:positionH relativeFrom="page">
                  <wp:posOffset>914400</wp:posOffset>
                </wp:positionH>
                <wp:positionV relativeFrom="paragraph">
                  <wp:posOffset>279750</wp:posOffset>
                </wp:positionV>
                <wp:extent cx="1828800" cy="5715"/>
                <wp:effectExtent l="0" t="0" r="0" b="0"/>
                <wp:wrapTopAndBottom/>
                <wp:docPr id="982" name="Graphic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3DE09D" id="Graphic 982" o:spid="_x0000_s1026" style="position:absolute;margin-left:1in;margin-top:22.05pt;width:2in;height:.45pt;z-index:-1559296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" path="m1828800,l,,,5321r1828800,l1828800,xe" fillcolor="black" stroked="f">
                <v:path arrowok="t"/>
                <w10:wrap type="topAndBottom" anchorx="page"/>
              </v:shape>
            </w:pict>
          </mc:Fallback>
        </mc:AlternateContent>
      </w:r>
    </w:p>
    <w:p w14:paraId="0DFDC34F" w14:textId="77777777" w:rsidR="00046465" w:rsidRDefault="00046465">
      <w:pPr>
        <w:pStyle w:val="BodyText"/>
        <w:spacing w:before="53"/>
        <w:rPr>
          <w:sz w:val="18"/>
        </w:rPr>
      </w:pPr>
    </w:p>
    <w:p w14:paraId="0DFDC350" w14:textId="77777777" w:rsidR="00046465" w:rsidRDefault="008134EB">
      <w:pPr>
        <w:spacing w:line="249" w:lineRule="auto"/>
        <w:ind w:left="359" w:right="929"/>
        <w:rPr>
          <w:sz w:val="18"/>
        </w:rPr>
      </w:pPr>
      <w:bookmarkStart w:id="310" w:name="_bookmark178"/>
      <w:bookmarkEnd w:id="310"/>
      <w:r>
        <w:rPr>
          <w:position w:val="7"/>
          <w:sz w:val="14"/>
        </w:rPr>
        <w:t>34</w:t>
      </w:r>
      <w:r>
        <w:rPr>
          <w:sz w:val="18"/>
        </w:rPr>
        <w:t>Detailed</w:t>
      </w:r>
      <w:r>
        <w:rPr>
          <w:spacing w:val="-7"/>
          <w:sz w:val="18"/>
        </w:rPr>
        <w:t xml:space="preserve"> </w:t>
      </w:r>
      <w:r>
        <w:rPr>
          <w:sz w:val="18"/>
        </w:rPr>
        <w:t>requirements</w:t>
      </w:r>
      <w:r>
        <w:rPr>
          <w:spacing w:val="-7"/>
          <w:sz w:val="18"/>
        </w:rPr>
        <w:t xml:space="preserve"> </w:t>
      </w:r>
      <w:r>
        <w:rPr>
          <w:sz w:val="18"/>
        </w:rPr>
        <w:t>can</w:t>
      </w:r>
      <w:r>
        <w:rPr>
          <w:spacing w:val="-7"/>
          <w:sz w:val="18"/>
        </w:rPr>
        <w:t xml:space="preserve"> </w:t>
      </w:r>
      <w:r>
        <w:rPr>
          <w:sz w:val="18"/>
        </w:rPr>
        <w:t>be</w:t>
      </w:r>
      <w:r>
        <w:rPr>
          <w:spacing w:val="-6"/>
          <w:sz w:val="18"/>
        </w:rPr>
        <w:t xml:space="preserve"> </w:t>
      </w:r>
      <w:r>
        <w:rPr>
          <w:sz w:val="18"/>
        </w:rPr>
        <w:t>found</w:t>
      </w:r>
      <w:r>
        <w:rPr>
          <w:spacing w:val="-7"/>
          <w:sz w:val="18"/>
        </w:rPr>
        <w:t xml:space="preserve"> </w:t>
      </w:r>
      <w:r>
        <w:rPr>
          <w:sz w:val="18"/>
        </w:rPr>
        <w:t>at</w:t>
      </w:r>
      <w:r>
        <w:rPr>
          <w:spacing w:val="-7"/>
          <w:sz w:val="18"/>
        </w:rPr>
        <w:t xml:space="preserve"> </w:t>
      </w:r>
      <w:hyperlink r:id="rId197">
        <w:r>
          <w:rPr>
            <w:color w:val="0000FF"/>
            <w:sz w:val="18"/>
          </w:rPr>
          <w:t>https://fiscal.treasury.gov/accounting/central-accounting-reporting-system-</w:t>
        </w:r>
      </w:hyperlink>
      <w:hyperlink r:id="rId198">
        <w:r>
          <w:rPr>
            <w:color w:val="0000FF"/>
            <w:sz w:val="18"/>
          </w:rPr>
          <w:t>cars/types-of-reconciliations-agencies</w:t>
        </w:r>
      </w:hyperlink>
      <w:r>
        <w:rPr>
          <w:color w:val="0000FF"/>
          <w:sz w:val="18"/>
        </w:rPr>
        <w:t xml:space="preserve"> </w:t>
      </w:r>
      <w:r>
        <w:rPr>
          <w:sz w:val="18"/>
        </w:rPr>
        <w:t>(accessed May 29, 2026).</w:t>
      </w:r>
    </w:p>
    <w:p w14:paraId="0DFDC351" w14:textId="77777777" w:rsidR="00046465" w:rsidRDefault="008134EB">
      <w:pPr>
        <w:spacing w:before="118"/>
        <w:ind w:left="360"/>
        <w:rPr>
          <w:sz w:val="18"/>
        </w:rPr>
      </w:pPr>
      <w:bookmarkStart w:id="311" w:name="_bookmark179"/>
      <w:bookmarkEnd w:id="311"/>
      <w:r>
        <w:rPr>
          <w:position w:val="7"/>
          <w:sz w:val="14"/>
        </w:rPr>
        <w:t>35</w:t>
      </w:r>
      <w:r>
        <w:rPr>
          <w:sz w:val="18"/>
        </w:rPr>
        <w:t>A</w:t>
      </w:r>
      <w:r>
        <w:rPr>
          <w:spacing w:val="-5"/>
          <w:sz w:val="18"/>
        </w:rPr>
        <w:t xml:space="preserve"> </w:t>
      </w:r>
      <w:r>
        <w:rPr>
          <w:sz w:val="18"/>
        </w:rPr>
        <w:t>non-Treasury</w:t>
      </w:r>
      <w:r>
        <w:rPr>
          <w:spacing w:val="-2"/>
          <w:sz w:val="18"/>
        </w:rPr>
        <w:t xml:space="preserve"> </w:t>
      </w:r>
      <w:r>
        <w:rPr>
          <w:sz w:val="18"/>
        </w:rPr>
        <w:t>Disbursing</w:t>
      </w:r>
      <w:r>
        <w:rPr>
          <w:spacing w:val="-3"/>
          <w:sz w:val="18"/>
        </w:rPr>
        <w:t xml:space="preserve"> </w:t>
      </w:r>
      <w:r>
        <w:rPr>
          <w:sz w:val="18"/>
        </w:rPr>
        <w:t>Office</w:t>
      </w:r>
      <w:r>
        <w:rPr>
          <w:spacing w:val="-3"/>
          <w:sz w:val="18"/>
        </w:rPr>
        <w:t xml:space="preserve"> </w:t>
      </w:r>
      <w:r>
        <w:rPr>
          <w:sz w:val="18"/>
        </w:rPr>
        <w:t>is</w:t>
      </w:r>
      <w:r>
        <w:rPr>
          <w:spacing w:val="-3"/>
          <w:sz w:val="18"/>
        </w:rPr>
        <w:t xml:space="preserve"> </w:t>
      </w:r>
      <w:r>
        <w:rPr>
          <w:sz w:val="18"/>
        </w:rPr>
        <w:t>a</w:t>
      </w:r>
      <w:r>
        <w:rPr>
          <w:spacing w:val="-3"/>
          <w:sz w:val="18"/>
        </w:rPr>
        <w:t xml:space="preserve"> </w:t>
      </w:r>
      <w:r>
        <w:rPr>
          <w:sz w:val="18"/>
        </w:rPr>
        <w:t>U.S.</w:t>
      </w:r>
      <w:r>
        <w:rPr>
          <w:spacing w:val="-2"/>
          <w:sz w:val="18"/>
        </w:rPr>
        <w:t xml:space="preserve"> </w:t>
      </w:r>
      <w:r>
        <w:rPr>
          <w:sz w:val="18"/>
        </w:rPr>
        <w:t>government</w:t>
      </w:r>
      <w:r>
        <w:rPr>
          <w:spacing w:val="-2"/>
          <w:sz w:val="18"/>
        </w:rPr>
        <w:t xml:space="preserve"> </w:t>
      </w:r>
      <w:r>
        <w:rPr>
          <w:sz w:val="18"/>
        </w:rPr>
        <w:t>entity</w:t>
      </w:r>
      <w:r>
        <w:rPr>
          <w:spacing w:val="-2"/>
          <w:sz w:val="18"/>
        </w:rPr>
        <w:t xml:space="preserve"> </w:t>
      </w:r>
      <w:r>
        <w:rPr>
          <w:sz w:val="18"/>
        </w:rPr>
        <w:t>other</w:t>
      </w:r>
      <w:r>
        <w:rPr>
          <w:spacing w:val="-2"/>
          <w:sz w:val="18"/>
        </w:rPr>
        <w:t xml:space="preserve"> </w:t>
      </w:r>
      <w:r>
        <w:rPr>
          <w:sz w:val="18"/>
        </w:rPr>
        <w:t>than</w:t>
      </w:r>
      <w:r>
        <w:rPr>
          <w:spacing w:val="-3"/>
          <w:sz w:val="18"/>
        </w:rPr>
        <w:t xml:space="preserve"> </w:t>
      </w:r>
      <w:r>
        <w:rPr>
          <w:sz w:val="18"/>
        </w:rPr>
        <w:t>Fiscal</w:t>
      </w:r>
      <w:r>
        <w:rPr>
          <w:spacing w:val="-2"/>
          <w:sz w:val="18"/>
        </w:rPr>
        <w:t xml:space="preserve"> </w:t>
      </w:r>
      <w:r>
        <w:rPr>
          <w:sz w:val="18"/>
        </w:rPr>
        <w:t>Service</w:t>
      </w:r>
      <w:r>
        <w:rPr>
          <w:spacing w:val="-3"/>
          <w:sz w:val="18"/>
        </w:rPr>
        <w:t xml:space="preserve"> </w:t>
      </w:r>
      <w:r>
        <w:rPr>
          <w:sz w:val="18"/>
        </w:rPr>
        <w:t>that</w:t>
      </w:r>
      <w:r>
        <w:rPr>
          <w:spacing w:val="-2"/>
          <w:sz w:val="18"/>
        </w:rPr>
        <w:t xml:space="preserve"> </w:t>
      </w:r>
      <w:r>
        <w:rPr>
          <w:sz w:val="18"/>
        </w:rPr>
        <w:t>is</w:t>
      </w:r>
      <w:r>
        <w:rPr>
          <w:spacing w:val="-2"/>
          <w:sz w:val="18"/>
        </w:rPr>
        <w:t xml:space="preserve"> </w:t>
      </w:r>
      <w:r>
        <w:rPr>
          <w:sz w:val="18"/>
        </w:rPr>
        <w:t>authorized</w:t>
      </w:r>
      <w:r>
        <w:rPr>
          <w:spacing w:val="-1"/>
          <w:sz w:val="18"/>
        </w:rPr>
        <w:t xml:space="preserve"> </w:t>
      </w:r>
      <w:r>
        <w:rPr>
          <w:sz w:val="18"/>
        </w:rPr>
        <w:t>to</w:t>
      </w:r>
      <w:r>
        <w:rPr>
          <w:spacing w:val="-3"/>
          <w:sz w:val="18"/>
        </w:rPr>
        <w:t xml:space="preserve"> </w:t>
      </w:r>
      <w:r>
        <w:rPr>
          <w:spacing w:val="-2"/>
          <w:sz w:val="18"/>
        </w:rPr>
        <w:t>issue</w:t>
      </w:r>
    </w:p>
    <w:p w14:paraId="0DFDC352" w14:textId="77777777" w:rsidR="00046465" w:rsidRDefault="008134EB">
      <w:pPr>
        <w:spacing w:before="8"/>
        <w:ind w:left="360" w:right="773"/>
        <w:rPr>
          <w:sz w:val="18"/>
        </w:rPr>
      </w:pPr>
      <w:r>
        <w:rPr>
          <w:sz w:val="18"/>
        </w:rPr>
        <w:t>U.S. government payments. The Federal Reserve Bank systems that process the collections and disbursements (e.g.,</w:t>
      </w:r>
      <w:r>
        <w:rPr>
          <w:spacing w:val="-3"/>
          <w:sz w:val="18"/>
        </w:rPr>
        <w:t xml:space="preserve"> </w:t>
      </w:r>
      <w:r>
        <w:rPr>
          <w:sz w:val="18"/>
        </w:rPr>
        <w:t>Direct</w:t>
      </w:r>
      <w:r>
        <w:rPr>
          <w:spacing w:val="-3"/>
          <w:sz w:val="18"/>
        </w:rPr>
        <w:t xml:space="preserve"> </w:t>
      </w:r>
      <w:r>
        <w:rPr>
          <w:sz w:val="18"/>
        </w:rPr>
        <w:t>Voucher</w:t>
      </w:r>
      <w:r>
        <w:rPr>
          <w:spacing w:val="-3"/>
          <w:sz w:val="18"/>
        </w:rPr>
        <w:t xml:space="preserve"> </w:t>
      </w:r>
      <w:r>
        <w:rPr>
          <w:sz w:val="18"/>
        </w:rPr>
        <w:t>System,</w:t>
      </w:r>
      <w:r>
        <w:rPr>
          <w:spacing w:val="-3"/>
          <w:sz w:val="18"/>
        </w:rPr>
        <w:t xml:space="preserve"> </w:t>
      </w:r>
      <w:r>
        <w:rPr>
          <w:sz w:val="18"/>
        </w:rPr>
        <w:t>Enterprise</w:t>
      </w:r>
      <w:r>
        <w:rPr>
          <w:spacing w:val="-4"/>
          <w:sz w:val="18"/>
        </w:rPr>
        <w:t xml:space="preserve"> </w:t>
      </w:r>
      <w:r>
        <w:rPr>
          <w:sz w:val="18"/>
        </w:rPr>
        <w:t>Accounting</w:t>
      </w:r>
      <w:r>
        <w:rPr>
          <w:spacing w:val="-4"/>
          <w:sz w:val="18"/>
        </w:rPr>
        <w:t xml:space="preserve"> </w:t>
      </w:r>
      <w:r>
        <w:rPr>
          <w:sz w:val="18"/>
        </w:rPr>
        <w:t>System,</w:t>
      </w:r>
      <w:r>
        <w:rPr>
          <w:spacing w:val="-3"/>
          <w:sz w:val="18"/>
        </w:rPr>
        <w:t xml:space="preserve"> </w:t>
      </w:r>
      <w:r>
        <w:rPr>
          <w:sz w:val="18"/>
        </w:rPr>
        <w:t>etc.)</w:t>
      </w:r>
      <w:r>
        <w:rPr>
          <w:spacing w:val="-3"/>
          <w:sz w:val="18"/>
        </w:rPr>
        <w:t xml:space="preserve"> </w:t>
      </w:r>
      <w:r>
        <w:rPr>
          <w:sz w:val="18"/>
        </w:rPr>
        <w:t>provide</w:t>
      </w:r>
      <w:r>
        <w:rPr>
          <w:spacing w:val="-4"/>
          <w:sz w:val="18"/>
        </w:rPr>
        <w:t xml:space="preserve"> </w:t>
      </w:r>
      <w:r>
        <w:rPr>
          <w:sz w:val="18"/>
        </w:rPr>
        <w:t>unique</w:t>
      </w:r>
      <w:r>
        <w:rPr>
          <w:spacing w:val="-4"/>
          <w:sz w:val="18"/>
        </w:rPr>
        <w:t xml:space="preserve"> </w:t>
      </w:r>
      <w:r>
        <w:rPr>
          <w:sz w:val="18"/>
        </w:rPr>
        <w:t>identifying</w:t>
      </w:r>
      <w:r>
        <w:rPr>
          <w:spacing w:val="-4"/>
          <w:sz w:val="18"/>
        </w:rPr>
        <w:t xml:space="preserve"> </w:t>
      </w:r>
      <w:r>
        <w:rPr>
          <w:sz w:val="18"/>
        </w:rPr>
        <w:t>information</w:t>
      </w:r>
      <w:r>
        <w:rPr>
          <w:spacing w:val="-4"/>
          <w:sz w:val="18"/>
        </w:rPr>
        <w:t xml:space="preserve"> </w:t>
      </w:r>
      <w:r>
        <w:rPr>
          <w:sz w:val="18"/>
        </w:rPr>
        <w:t>that</w:t>
      </w:r>
      <w:r>
        <w:rPr>
          <w:spacing w:val="-3"/>
          <w:sz w:val="18"/>
        </w:rPr>
        <w:t xml:space="preserve"> </w:t>
      </w:r>
      <w:r>
        <w:rPr>
          <w:sz w:val="18"/>
        </w:rPr>
        <w:t>can</w:t>
      </w:r>
      <w:r>
        <w:rPr>
          <w:spacing w:val="-4"/>
          <w:sz w:val="18"/>
        </w:rPr>
        <w:t xml:space="preserve"> </w:t>
      </w:r>
      <w:r>
        <w:rPr>
          <w:sz w:val="18"/>
        </w:rPr>
        <w:t>be used to reconcile the activity.</w:t>
      </w:r>
    </w:p>
    <w:p w14:paraId="0DFDC353" w14:textId="77777777" w:rsidR="00046465" w:rsidRDefault="00046465">
      <w:pPr>
        <w:rPr>
          <w:sz w:val="18"/>
        </w:rPr>
        <w:sectPr w:rsidR="00046465">
          <w:pgSz w:w="12240" w:h="15840"/>
          <w:pgMar w:top="1340" w:right="720" w:bottom="940" w:left="1080" w:header="721" w:footer="757" w:gutter="0"/>
          <w:cols w:space="720"/>
        </w:sectPr>
      </w:pPr>
    </w:p>
    <w:p w14:paraId="0DFDC354" w14:textId="77777777" w:rsidR="00046465" w:rsidRDefault="008134EB">
      <w:pPr>
        <w:pStyle w:val="ListParagraph"/>
        <w:numPr>
          <w:ilvl w:val="0"/>
          <w:numId w:val="114"/>
        </w:numPr>
        <w:tabs>
          <w:tab w:val="left" w:pos="2159"/>
        </w:tabs>
        <w:spacing w:before="121"/>
        <w:ind w:right="769"/>
      </w:pPr>
      <w:r>
        <w:lastRenderedPageBreak/>
        <w:t xml:space="preserve">Treasury Financial Manual, Volume I, Part II, Chapter 5100, </w:t>
      </w:r>
      <w:r>
        <w:rPr>
          <w:i/>
        </w:rPr>
        <w:t>Fund Balance with</w:t>
      </w:r>
      <w:r>
        <w:rPr>
          <w:i/>
          <w:spacing w:val="-9"/>
        </w:rPr>
        <w:t xml:space="preserve"> </w:t>
      </w:r>
      <w:r>
        <w:rPr>
          <w:i/>
        </w:rPr>
        <w:t>Treasury</w:t>
      </w:r>
      <w:r>
        <w:rPr>
          <w:i/>
          <w:spacing w:val="-9"/>
        </w:rPr>
        <w:t xml:space="preserve"> </w:t>
      </w:r>
      <w:r>
        <w:rPr>
          <w:i/>
        </w:rPr>
        <w:t>Accounts</w:t>
      </w:r>
      <w:r>
        <w:t>,</w:t>
      </w:r>
      <w:r>
        <w:rPr>
          <w:spacing w:val="-10"/>
        </w:rPr>
        <w:t xml:space="preserve"> </w:t>
      </w:r>
      <w:r>
        <w:t>at</w:t>
      </w:r>
      <w:r>
        <w:rPr>
          <w:spacing w:val="-9"/>
        </w:rPr>
        <w:t xml:space="preserve"> </w:t>
      </w:r>
      <w:hyperlink r:id="rId199">
        <w:r>
          <w:rPr>
            <w:color w:val="0000FF"/>
          </w:rPr>
          <w:t>https://tfx.treasury.gov/tfm/volume1/part2/chapter-</w:t>
        </w:r>
      </w:hyperlink>
      <w:hyperlink r:id="rId200">
        <w:r>
          <w:rPr>
            <w:color w:val="0000FF"/>
          </w:rPr>
          <w:t>5100-fund-balance-treasury-accounts</w:t>
        </w:r>
      </w:hyperlink>
      <w:r>
        <w:rPr>
          <w:color w:val="0000FF"/>
        </w:rPr>
        <w:t xml:space="preserve"> </w:t>
      </w:r>
      <w:r>
        <w:t>(accessed May 29, 2026);</w:t>
      </w:r>
    </w:p>
    <w:p w14:paraId="0DFDC355" w14:textId="77777777" w:rsidR="00046465" w:rsidRDefault="008134EB">
      <w:pPr>
        <w:pStyle w:val="ListParagraph"/>
        <w:numPr>
          <w:ilvl w:val="0"/>
          <w:numId w:val="114"/>
        </w:numPr>
        <w:tabs>
          <w:tab w:val="left" w:pos="2160"/>
        </w:tabs>
        <w:spacing w:before="118"/>
        <w:ind w:left="2160" w:right="1002" w:hanging="361"/>
      </w:pPr>
      <w:r>
        <w:rPr>
          <w:i/>
        </w:rPr>
        <w:t>FAST</w:t>
      </w:r>
      <w:r>
        <w:rPr>
          <w:i/>
          <w:spacing w:val="-10"/>
        </w:rPr>
        <w:t xml:space="preserve"> </w:t>
      </w:r>
      <w:r>
        <w:rPr>
          <w:i/>
        </w:rPr>
        <w:t>Book</w:t>
      </w:r>
      <w:r>
        <w:rPr>
          <w:i/>
          <w:spacing w:val="-10"/>
        </w:rPr>
        <w:t xml:space="preserve"> </w:t>
      </w:r>
      <w:r>
        <w:t>at</w:t>
      </w:r>
      <w:r>
        <w:rPr>
          <w:spacing w:val="-10"/>
        </w:rPr>
        <w:t xml:space="preserve"> </w:t>
      </w:r>
      <w:hyperlink r:id="rId201">
        <w:r>
          <w:rPr>
            <w:color w:val="0000FF"/>
          </w:rPr>
          <w:t>https://tfx.treasury.gov/reference-books/fast-book</w:t>
        </w:r>
      </w:hyperlink>
      <w:r>
        <w:rPr>
          <w:color w:val="0000FF"/>
          <w:spacing w:val="-9"/>
        </w:rPr>
        <w:t xml:space="preserve"> </w:t>
      </w:r>
      <w:r>
        <w:t>(accessed May 29, 2026);</w:t>
      </w:r>
    </w:p>
    <w:p w14:paraId="0DFDC356" w14:textId="77777777" w:rsidR="00046465" w:rsidRDefault="008134EB">
      <w:pPr>
        <w:pStyle w:val="ListParagraph"/>
        <w:numPr>
          <w:ilvl w:val="0"/>
          <w:numId w:val="114"/>
        </w:numPr>
        <w:tabs>
          <w:tab w:val="left" w:pos="2160"/>
        </w:tabs>
        <w:spacing w:before="118"/>
        <w:ind w:left="2160" w:right="1073"/>
      </w:pPr>
      <w:r>
        <w:t xml:space="preserve">Fiscal Service’s BETC listing and guidance at </w:t>
      </w:r>
      <w:hyperlink r:id="rId202">
        <w:r>
          <w:rPr>
            <w:color w:val="0000FF"/>
            <w:spacing w:val="-2"/>
          </w:rPr>
          <w:t>https://fiscal.treasury.gov/accounting/central-accounting-reporting-system-</w:t>
        </w:r>
      </w:hyperlink>
      <w:hyperlink r:id="rId203">
        <w:r>
          <w:rPr>
            <w:color w:val="0000FF"/>
          </w:rPr>
          <w:t>cars/faqs</w:t>
        </w:r>
      </w:hyperlink>
      <w:r>
        <w:rPr>
          <w:color w:val="0000FF"/>
        </w:rPr>
        <w:t xml:space="preserve"> </w:t>
      </w:r>
      <w:r>
        <w:t>(accessed May 29, 2026)</w:t>
      </w:r>
    </w:p>
    <w:p w14:paraId="0DFDC357" w14:textId="77777777" w:rsidR="00046465" w:rsidRDefault="008134EB">
      <w:pPr>
        <w:pStyle w:val="ListParagraph"/>
        <w:numPr>
          <w:ilvl w:val="0"/>
          <w:numId w:val="114"/>
        </w:numPr>
        <w:tabs>
          <w:tab w:val="left" w:pos="2160"/>
        </w:tabs>
        <w:spacing w:before="119"/>
        <w:ind w:left="2160"/>
      </w:pPr>
      <w:r>
        <w:t>OMB</w:t>
      </w:r>
      <w:r>
        <w:rPr>
          <w:spacing w:val="-8"/>
        </w:rPr>
        <w:t xml:space="preserve"> </w:t>
      </w:r>
      <w:r>
        <w:t>Circular</w:t>
      </w:r>
      <w:r>
        <w:rPr>
          <w:spacing w:val="-8"/>
        </w:rPr>
        <w:t xml:space="preserve"> </w:t>
      </w:r>
      <w:r>
        <w:t>No.</w:t>
      </w:r>
      <w:r>
        <w:rPr>
          <w:spacing w:val="-8"/>
        </w:rPr>
        <w:t xml:space="preserve"> </w:t>
      </w:r>
      <w:r>
        <w:t>A-136,</w:t>
      </w:r>
      <w:r>
        <w:rPr>
          <w:spacing w:val="-8"/>
        </w:rPr>
        <w:t xml:space="preserve"> </w:t>
      </w:r>
      <w:r>
        <w:rPr>
          <w:i/>
        </w:rPr>
        <w:t>Financial</w:t>
      </w:r>
      <w:r>
        <w:rPr>
          <w:i/>
          <w:spacing w:val="-9"/>
        </w:rPr>
        <w:t xml:space="preserve"> </w:t>
      </w:r>
      <w:r>
        <w:rPr>
          <w:i/>
        </w:rPr>
        <w:t>Reporting</w:t>
      </w:r>
      <w:r>
        <w:rPr>
          <w:i/>
          <w:spacing w:val="-7"/>
        </w:rPr>
        <w:t xml:space="preserve"> </w:t>
      </w:r>
      <w:r>
        <w:rPr>
          <w:i/>
          <w:spacing w:val="-2"/>
        </w:rPr>
        <w:t>Requirements</w:t>
      </w:r>
      <w:r>
        <w:rPr>
          <w:spacing w:val="-2"/>
        </w:rPr>
        <w:t>;</w:t>
      </w:r>
    </w:p>
    <w:p w14:paraId="0DFDC358" w14:textId="77777777" w:rsidR="00046465" w:rsidRDefault="008134EB">
      <w:pPr>
        <w:pStyle w:val="ListParagraph"/>
        <w:numPr>
          <w:ilvl w:val="0"/>
          <w:numId w:val="114"/>
        </w:numPr>
        <w:tabs>
          <w:tab w:val="left" w:pos="2160"/>
        </w:tabs>
        <w:spacing w:before="118"/>
        <w:ind w:left="2160"/>
      </w:pPr>
      <w:r>
        <w:t>SFFAS</w:t>
      </w:r>
      <w:r>
        <w:rPr>
          <w:spacing w:val="-7"/>
        </w:rPr>
        <w:t xml:space="preserve"> </w:t>
      </w:r>
      <w:r>
        <w:t>1,</w:t>
      </w:r>
      <w:r>
        <w:rPr>
          <w:spacing w:val="-6"/>
        </w:rPr>
        <w:t xml:space="preserve"> </w:t>
      </w:r>
      <w:r>
        <w:rPr>
          <w:i/>
        </w:rPr>
        <w:t>Accounting</w:t>
      </w:r>
      <w:r>
        <w:rPr>
          <w:i/>
          <w:spacing w:val="-7"/>
        </w:rPr>
        <w:t xml:space="preserve"> </w:t>
      </w:r>
      <w:r>
        <w:rPr>
          <w:i/>
        </w:rPr>
        <w:t>for</w:t>
      </w:r>
      <w:r>
        <w:rPr>
          <w:i/>
          <w:spacing w:val="-6"/>
        </w:rPr>
        <w:t xml:space="preserve"> </w:t>
      </w:r>
      <w:r>
        <w:rPr>
          <w:i/>
        </w:rPr>
        <w:t>Selected</w:t>
      </w:r>
      <w:r>
        <w:rPr>
          <w:i/>
          <w:spacing w:val="-7"/>
        </w:rPr>
        <w:t xml:space="preserve"> </w:t>
      </w:r>
      <w:r>
        <w:rPr>
          <w:i/>
        </w:rPr>
        <w:t>Assets</w:t>
      </w:r>
      <w:r>
        <w:rPr>
          <w:i/>
          <w:spacing w:val="-6"/>
        </w:rPr>
        <w:t xml:space="preserve"> </w:t>
      </w:r>
      <w:r>
        <w:rPr>
          <w:i/>
        </w:rPr>
        <w:t>and</w:t>
      </w:r>
      <w:r>
        <w:rPr>
          <w:i/>
          <w:spacing w:val="-7"/>
        </w:rPr>
        <w:t xml:space="preserve"> </w:t>
      </w:r>
      <w:r>
        <w:rPr>
          <w:i/>
          <w:spacing w:val="-2"/>
        </w:rPr>
        <w:t>Liabilities</w:t>
      </w:r>
      <w:r>
        <w:rPr>
          <w:spacing w:val="-2"/>
        </w:rPr>
        <w:t>;</w:t>
      </w:r>
    </w:p>
    <w:p w14:paraId="0DFDC359" w14:textId="77777777" w:rsidR="00046465" w:rsidRDefault="008134EB">
      <w:pPr>
        <w:pStyle w:val="ListParagraph"/>
        <w:numPr>
          <w:ilvl w:val="0"/>
          <w:numId w:val="114"/>
        </w:numPr>
        <w:tabs>
          <w:tab w:val="left" w:pos="2160"/>
        </w:tabs>
        <w:spacing w:before="118"/>
        <w:ind w:left="2160" w:right="915"/>
      </w:pPr>
      <w:r>
        <w:t>SFFAS</w:t>
      </w:r>
      <w:r>
        <w:rPr>
          <w:spacing w:val="-4"/>
        </w:rPr>
        <w:t xml:space="preserve"> </w:t>
      </w:r>
      <w:r>
        <w:t>24,</w:t>
      </w:r>
      <w:r>
        <w:rPr>
          <w:spacing w:val="-3"/>
        </w:rPr>
        <w:t xml:space="preserve"> </w:t>
      </w:r>
      <w:r>
        <w:rPr>
          <w:i/>
        </w:rPr>
        <w:t>Selected</w:t>
      </w:r>
      <w:r>
        <w:rPr>
          <w:i/>
          <w:spacing w:val="-4"/>
        </w:rPr>
        <w:t xml:space="preserve"> </w:t>
      </w:r>
      <w:r>
        <w:rPr>
          <w:i/>
        </w:rPr>
        <w:t>Standards</w:t>
      </w:r>
      <w:r>
        <w:rPr>
          <w:i/>
          <w:spacing w:val="-4"/>
        </w:rPr>
        <w:t xml:space="preserve"> </w:t>
      </w:r>
      <w:r>
        <w:rPr>
          <w:i/>
        </w:rPr>
        <w:t>for</w:t>
      </w:r>
      <w:r>
        <w:rPr>
          <w:i/>
          <w:spacing w:val="-6"/>
        </w:rPr>
        <w:t xml:space="preserve"> </w:t>
      </w:r>
      <w:r>
        <w:rPr>
          <w:i/>
        </w:rPr>
        <w:t>the</w:t>
      </w:r>
      <w:r>
        <w:rPr>
          <w:i/>
          <w:spacing w:val="-4"/>
        </w:rPr>
        <w:t xml:space="preserve"> </w:t>
      </w:r>
      <w:r>
        <w:rPr>
          <w:i/>
        </w:rPr>
        <w:t>Consolidated</w:t>
      </w:r>
      <w:r>
        <w:rPr>
          <w:i/>
          <w:spacing w:val="-4"/>
        </w:rPr>
        <w:t xml:space="preserve"> </w:t>
      </w:r>
      <w:r>
        <w:rPr>
          <w:i/>
        </w:rPr>
        <w:t>Financial</w:t>
      </w:r>
      <w:r>
        <w:rPr>
          <w:i/>
          <w:spacing w:val="-4"/>
        </w:rPr>
        <w:t xml:space="preserve"> </w:t>
      </w:r>
      <w:r>
        <w:rPr>
          <w:i/>
        </w:rPr>
        <w:t>Report</w:t>
      </w:r>
      <w:r>
        <w:rPr>
          <w:i/>
          <w:spacing w:val="-4"/>
        </w:rPr>
        <w:t xml:space="preserve"> </w:t>
      </w:r>
      <w:r>
        <w:rPr>
          <w:i/>
        </w:rPr>
        <w:t>of</w:t>
      </w:r>
      <w:r>
        <w:rPr>
          <w:i/>
          <w:spacing w:val="-4"/>
        </w:rPr>
        <w:t xml:space="preserve"> </w:t>
      </w:r>
      <w:r>
        <w:rPr>
          <w:i/>
        </w:rPr>
        <w:t xml:space="preserve">the United States Government, </w:t>
      </w:r>
      <w:r>
        <w:t>and</w:t>
      </w:r>
    </w:p>
    <w:p w14:paraId="0DFDC35A" w14:textId="77777777" w:rsidR="00046465" w:rsidRDefault="008134EB">
      <w:pPr>
        <w:pStyle w:val="ListParagraph"/>
        <w:numPr>
          <w:ilvl w:val="0"/>
          <w:numId w:val="114"/>
        </w:numPr>
        <w:tabs>
          <w:tab w:val="left" w:pos="2160"/>
        </w:tabs>
        <w:spacing w:before="118"/>
        <w:ind w:left="2160"/>
      </w:pPr>
      <w:r>
        <w:t>entity</w:t>
      </w:r>
      <w:r>
        <w:rPr>
          <w:spacing w:val="-8"/>
        </w:rPr>
        <w:t xml:space="preserve"> </w:t>
      </w:r>
      <w:r>
        <w:t>accounting</w:t>
      </w:r>
      <w:r>
        <w:rPr>
          <w:spacing w:val="-8"/>
        </w:rPr>
        <w:t xml:space="preserve"> </w:t>
      </w:r>
      <w:r>
        <w:t>policies</w:t>
      </w:r>
      <w:r>
        <w:rPr>
          <w:spacing w:val="-7"/>
        </w:rPr>
        <w:t xml:space="preserve"> </w:t>
      </w:r>
      <w:r>
        <w:t>and</w:t>
      </w:r>
      <w:r>
        <w:rPr>
          <w:spacing w:val="-8"/>
        </w:rPr>
        <w:t xml:space="preserve"> </w:t>
      </w:r>
      <w:r>
        <w:t>procedures</w:t>
      </w:r>
      <w:r>
        <w:rPr>
          <w:spacing w:val="-7"/>
        </w:rPr>
        <w:t xml:space="preserve"> </w:t>
      </w:r>
      <w:r>
        <w:t>for</w:t>
      </w:r>
      <w:r>
        <w:rPr>
          <w:spacing w:val="-8"/>
        </w:rPr>
        <w:t xml:space="preserve"> </w:t>
      </w:r>
      <w:r>
        <w:t>FBWT</w:t>
      </w:r>
      <w:r>
        <w:rPr>
          <w:spacing w:val="-7"/>
        </w:rPr>
        <w:t xml:space="preserve"> </w:t>
      </w:r>
      <w:r>
        <w:rPr>
          <w:spacing w:val="-2"/>
        </w:rPr>
        <w:t>accounts.</w:t>
      </w:r>
    </w:p>
    <w:p w14:paraId="0DFDC35B" w14:textId="77777777" w:rsidR="00046465" w:rsidRDefault="008134EB">
      <w:pPr>
        <w:pStyle w:val="Heading4"/>
        <w:spacing w:before="239"/>
      </w:pPr>
      <w:bookmarkStart w:id="312" w:name="Audit_Issues"/>
      <w:bookmarkEnd w:id="312"/>
      <w:r>
        <w:t>Audit</w:t>
      </w:r>
      <w:r>
        <w:rPr>
          <w:spacing w:val="-10"/>
        </w:rPr>
        <w:t xml:space="preserve"> </w:t>
      </w:r>
      <w:r>
        <w:rPr>
          <w:spacing w:val="-2"/>
        </w:rPr>
        <w:t>Issues</w:t>
      </w:r>
    </w:p>
    <w:p w14:paraId="0DFDC35C" w14:textId="77777777" w:rsidR="00046465" w:rsidRDefault="008134EB">
      <w:pPr>
        <w:pStyle w:val="ListParagraph"/>
        <w:numPr>
          <w:ilvl w:val="0"/>
          <w:numId w:val="116"/>
        </w:numPr>
        <w:tabs>
          <w:tab w:val="left" w:pos="1800"/>
        </w:tabs>
        <w:spacing w:before="119"/>
        <w:ind w:right="836"/>
      </w:pPr>
      <w:r>
        <w:t>Ineffective processes and controls over FBWT accounts may result in material misstatements in the amount of funds available for expenditure from each appropriation or may result in an entity’s disbursements exceeding appropriated amounts.</w:t>
      </w:r>
      <w:hyperlink w:anchor="_bookmark180" w:history="1">
        <w:r>
          <w:rPr>
            <w:position w:val="7"/>
            <w:sz w:val="14"/>
          </w:rPr>
          <w:t>36</w:t>
        </w:r>
      </w:hyperlink>
      <w:r>
        <w:rPr>
          <w:spacing w:val="35"/>
          <w:position w:val="7"/>
          <w:sz w:val="14"/>
        </w:rPr>
        <w:t xml:space="preserve"> </w:t>
      </w:r>
      <w:r>
        <w:t>For example, entities may not have effective processes to properly record</w:t>
      </w:r>
      <w:r>
        <w:rPr>
          <w:spacing w:val="-4"/>
        </w:rPr>
        <w:t xml:space="preserve"> </w:t>
      </w:r>
      <w:r>
        <w:t>and</w:t>
      </w:r>
      <w:r>
        <w:rPr>
          <w:spacing w:val="-4"/>
        </w:rPr>
        <w:t xml:space="preserve"> </w:t>
      </w:r>
      <w:r>
        <w:t>reconcile</w:t>
      </w:r>
      <w:r>
        <w:rPr>
          <w:spacing w:val="-5"/>
        </w:rPr>
        <w:t xml:space="preserve"> </w:t>
      </w:r>
      <w:r>
        <w:t>collection</w:t>
      </w:r>
      <w:r>
        <w:rPr>
          <w:spacing w:val="-4"/>
        </w:rPr>
        <w:t xml:space="preserve"> </w:t>
      </w:r>
      <w:r>
        <w:t>and</w:t>
      </w:r>
      <w:r>
        <w:rPr>
          <w:spacing w:val="-4"/>
        </w:rPr>
        <w:t xml:space="preserve"> </w:t>
      </w:r>
      <w:r>
        <w:t>disbursement</w:t>
      </w:r>
      <w:r>
        <w:rPr>
          <w:spacing w:val="-4"/>
        </w:rPr>
        <w:t xml:space="preserve"> </w:t>
      </w:r>
      <w:r>
        <w:t>activity</w:t>
      </w:r>
      <w:r>
        <w:rPr>
          <w:spacing w:val="-3"/>
        </w:rPr>
        <w:t xml:space="preserve"> </w:t>
      </w:r>
      <w:r>
        <w:t>by</w:t>
      </w:r>
      <w:r>
        <w:rPr>
          <w:spacing w:val="-4"/>
        </w:rPr>
        <w:t xml:space="preserve"> </w:t>
      </w:r>
      <w:r>
        <w:t>TAS,</w:t>
      </w:r>
      <w:r>
        <w:rPr>
          <w:spacing w:val="-4"/>
        </w:rPr>
        <w:t xml:space="preserve"> </w:t>
      </w:r>
      <w:r>
        <w:t>may</w:t>
      </w:r>
      <w:r>
        <w:rPr>
          <w:spacing w:val="-4"/>
        </w:rPr>
        <w:t xml:space="preserve"> </w:t>
      </w:r>
      <w:r>
        <w:t>arbitrarily adjust accounts</w:t>
      </w:r>
      <w:r>
        <w:rPr>
          <w:spacing w:val="-1"/>
        </w:rPr>
        <w:t xml:space="preserve"> </w:t>
      </w:r>
      <w:r>
        <w:t>to the</w:t>
      </w:r>
      <w:r>
        <w:rPr>
          <w:spacing w:val="-1"/>
        </w:rPr>
        <w:t xml:space="preserve"> </w:t>
      </w:r>
      <w:r>
        <w:t>amounts reported</w:t>
      </w:r>
      <w:r>
        <w:rPr>
          <w:spacing w:val="-1"/>
        </w:rPr>
        <w:t xml:space="preserve"> </w:t>
      </w:r>
      <w:r>
        <w:t>by Treasury,</w:t>
      </w:r>
      <w:r>
        <w:rPr>
          <w:spacing w:val="-1"/>
        </w:rPr>
        <w:t xml:space="preserve"> </w:t>
      </w:r>
      <w:r>
        <w:t>or may</w:t>
      </w:r>
      <w:r>
        <w:rPr>
          <w:spacing w:val="-2"/>
        </w:rPr>
        <w:t xml:space="preserve"> </w:t>
      </w:r>
      <w:r>
        <w:t xml:space="preserve">record differences in clearing accounts without adequately researching their causes. Unreconciled differences recorded in clearing accounts represent transactions that the entity has not properly recorded to the appropriate accounts. Additionally, an entity’s failure to reconcile its FBWT accounts timely makes it more difficult to identify and resolve intragovernmental differences as time passes and to identify erroneous or fraudulent transactions in time for the entity to take appropriate </w:t>
      </w:r>
      <w:r>
        <w:rPr>
          <w:spacing w:val="-2"/>
        </w:rPr>
        <w:t>actions.</w:t>
      </w:r>
    </w:p>
    <w:p w14:paraId="0DFDC35D" w14:textId="77777777" w:rsidR="00046465" w:rsidRDefault="008134EB">
      <w:pPr>
        <w:pStyle w:val="ListParagraph"/>
        <w:numPr>
          <w:ilvl w:val="0"/>
          <w:numId w:val="116"/>
        </w:numPr>
        <w:tabs>
          <w:tab w:val="left" w:pos="1800"/>
        </w:tabs>
        <w:spacing w:before="121"/>
        <w:ind w:right="996" w:hanging="720"/>
      </w:pPr>
      <w:r>
        <w:t>Entities’ implementation of CARS reporting has varied. Most entities have transitioned to full-CARS reporting for their daily collection and disbursement activities. However, for entities that continue to report transactions to CARS monthly,</w:t>
      </w:r>
      <w:r>
        <w:rPr>
          <w:spacing w:val="-4"/>
        </w:rPr>
        <w:t xml:space="preserve"> </w:t>
      </w:r>
      <w:r>
        <w:t>there</w:t>
      </w:r>
      <w:r>
        <w:rPr>
          <w:spacing w:val="-4"/>
        </w:rPr>
        <w:t xml:space="preserve"> </w:t>
      </w:r>
      <w:r>
        <w:t>is</w:t>
      </w:r>
      <w:r>
        <w:rPr>
          <w:spacing w:val="-4"/>
        </w:rPr>
        <w:t xml:space="preserve"> </w:t>
      </w:r>
      <w:r>
        <w:t>increased</w:t>
      </w:r>
      <w:r>
        <w:rPr>
          <w:spacing w:val="-4"/>
        </w:rPr>
        <w:t xml:space="preserve"> </w:t>
      </w:r>
      <w:r>
        <w:t>audit</w:t>
      </w:r>
      <w:r>
        <w:rPr>
          <w:spacing w:val="-4"/>
        </w:rPr>
        <w:t xml:space="preserve"> </w:t>
      </w:r>
      <w:r>
        <w:t>risk</w:t>
      </w:r>
      <w:r>
        <w:rPr>
          <w:spacing w:val="-5"/>
        </w:rPr>
        <w:t xml:space="preserve"> </w:t>
      </w:r>
      <w:r>
        <w:t>associated</w:t>
      </w:r>
      <w:r>
        <w:rPr>
          <w:spacing w:val="-5"/>
        </w:rPr>
        <w:t xml:space="preserve"> </w:t>
      </w:r>
      <w:r>
        <w:t>with</w:t>
      </w:r>
      <w:r>
        <w:rPr>
          <w:spacing w:val="-4"/>
        </w:rPr>
        <w:t xml:space="preserve"> </w:t>
      </w:r>
      <w:r>
        <w:t>FBWT</w:t>
      </w:r>
      <w:r>
        <w:rPr>
          <w:spacing w:val="-4"/>
        </w:rPr>
        <w:t xml:space="preserve"> </w:t>
      </w:r>
      <w:r>
        <w:t>as</w:t>
      </w:r>
      <w:r>
        <w:rPr>
          <w:spacing w:val="-4"/>
        </w:rPr>
        <w:t xml:space="preserve"> </w:t>
      </w:r>
      <w:r>
        <w:t>entities</w:t>
      </w:r>
      <w:r>
        <w:rPr>
          <w:spacing w:val="-3"/>
        </w:rPr>
        <w:t xml:space="preserve"> </w:t>
      </w:r>
      <w:r>
        <w:t>resolve outstanding Statements of Differences, which result from differences between amounts reported by the (1) source systems (e.g., Collection Information Repository</w:t>
      </w:r>
      <w:r>
        <w:rPr>
          <w:spacing w:val="-2"/>
        </w:rPr>
        <w:t xml:space="preserve"> </w:t>
      </w:r>
      <w:r>
        <w:t>(CIR),</w:t>
      </w:r>
      <w:r>
        <w:rPr>
          <w:spacing w:val="-2"/>
        </w:rPr>
        <w:t xml:space="preserve"> </w:t>
      </w:r>
      <w:r>
        <w:t>Payment</w:t>
      </w:r>
      <w:r>
        <w:rPr>
          <w:spacing w:val="-2"/>
        </w:rPr>
        <w:t xml:space="preserve"> </w:t>
      </w:r>
      <w:r>
        <w:t>Information</w:t>
      </w:r>
      <w:r>
        <w:rPr>
          <w:spacing w:val="-2"/>
        </w:rPr>
        <w:t xml:space="preserve"> </w:t>
      </w:r>
      <w:r>
        <w:t>Repository</w:t>
      </w:r>
      <w:r>
        <w:rPr>
          <w:spacing w:val="-2"/>
        </w:rPr>
        <w:t xml:space="preserve"> </w:t>
      </w:r>
      <w:r>
        <w:t>(PIR),</w:t>
      </w:r>
      <w:r>
        <w:rPr>
          <w:spacing w:val="-2"/>
        </w:rPr>
        <w:t xml:space="preserve"> </w:t>
      </w:r>
      <w:r>
        <w:t>etc.)</w:t>
      </w:r>
      <w:r>
        <w:rPr>
          <w:spacing w:val="-2"/>
        </w:rPr>
        <w:t xml:space="preserve"> </w:t>
      </w:r>
      <w:r>
        <w:t>and</w:t>
      </w:r>
      <w:r>
        <w:rPr>
          <w:spacing w:val="-2"/>
        </w:rPr>
        <w:t xml:space="preserve"> </w:t>
      </w:r>
      <w:r>
        <w:t>(2)</w:t>
      </w:r>
      <w:r>
        <w:rPr>
          <w:spacing w:val="-2"/>
        </w:rPr>
        <w:t xml:space="preserve"> </w:t>
      </w:r>
      <w:r>
        <w:t>monthly submissions by entities.</w:t>
      </w:r>
    </w:p>
    <w:p w14:paraId="0DFDC35E" w14:textId="77777777" w:rsidR="00046465" w:rsidRDefault="008134EB">
      <w:pPr>
        <w:pStyle w:val="ListParagraph"/>
        <w:numPr>
          <w:ilvl w:val="0"/>
          <w:numId w:val="116"/>
        </w:numPr>
        <w:tabs>
          <w:tab w:val="left" w:pos="1800"/>
        </w:tabs>
        <w:spacing w:before="119"/>
        <w:ind w:right="1020"/>
      </w:pPr>
      <w:r>
        <w:t>Most of the transaction data reported to CARS from the source systems (e.g., CIR, PIR, etc.) include TAS and BETC classification information necessary to populate</w:t>
      </w:r>
      <w:r>
        <w:rPr>
          <w:spacing w:val="-4"/>
        </w:rPr>
        <w:t xml:space="preserve"> </w:t>
      </w:r>
      <w:r>
        <w:t>the</w:t>
      </w:r>
      <w:r>
        <w:rPr>
          <w:spacing w:val="-5"/>
        </w:rPr>
        <w:t xml:space="preserve"> </w:t>
      </w:r>
      <w:r>
        <w:t>line</w:t>
      </w:r>
      <w:r>
        <w:rPr>
          <w:spacing w:val="-4"/>
        </w:rPr>
        <w:t xml:space="preserve"> </w:t>
      </w:r>
      <w:r>
        <w:t>items</w:t>
      </w:r>
      <w:r>
        <w:rPr>
          <w:spacing w:val="-4"/>
        </w:rPr>
        <w:t xml:space="preserve"> </w:t>
      </w:r>
      <w:r>
        <w:t>of</w:t>
      </w:r>
      <w:r>
        <w:rPr>
          <w:spacing w:val="-4"/>
        </w:rPr>
        <w:t xml:space="preserve"> </w:t>
      </w:r>
      <w:r>
        <w:t>the</w:t>
      </w:r>
      <w:r>
        <w:rPr>
          <w:spacing w:val="-4"/>
        </w:rPr>
        <w:t xml:space="preserve"> </w:t>
      </w:r>
      <w:r>
        <w:t>Cash</w:t>
      </w:r>
      <w:r>
        <w:rPr>
          <w:spacing w:val="-4"/>
        </w:rPr>
        <w:t xml:space="preserve"> </w:t>
      </w:r>
      <w:r>
        <w:t>Statement.</w:t>
      </w:r>
      <w:r>
        <w:rPr>
          <w:spacing w:val="-4"/>
        </w:rPr>
        <w:t xml:space="preserve"> </w:t>
      </w:r>
      <w:r>
        <w:t>However,</w:t>
      </w:r>
      <w:r>
        <w:rPr>
          <w:spacing w:val="-4"/>
        </w:rPr>
        <w:t xml:space="preserve"> </w:t>
      </w:r>
      <w:r>
        <w:t>certain</w:t>
      </w:r>
      <w:r>
        <w:rPr>
          <w:spacing w:val="-4"/>
        </w:rPr>
        <w:t xml:space="preserve"> </w:t>
      </w:r>
      <w:r>
        <w:t>entities</w:t>
      </w:r>
      <w:r>
        <w:rPr>
          <w:spacing w:val="-4"/>
        </w:rPr>
        <w:t xml:space="preserve"> </w:t>
      </w:r>
      <w:r>
        <w:t>report TAS and BETC classification information to CARS for their transaction data separate from the information reported from the source systems. In addition,</w:t>
      </w:r>
    </w:p>
    <w:p w14:paraId="0DFDC35F" w14:textId="77777777" w:rsidR="00046465" w:rsidRDefault="00046465">
      <w:pPr>
        <w:pStyle w:val="BodyText"/>
        <w:rPr>
          <w:sz w:val="20"/>
        </w:rPr>
      </w:pPr>
    </w:p>
    <w:p w14:paraId="0DFDC360" w14:textId="77777777" w:rsidR="00046465" w:rsidRDefault="00046465">
      <w:pPr>
        <w:pStyle w:val="BodyText"/>
        <w:rPr>
          <w:sz w:val="20"/>
        </w:rPr>
      </w:pPr>
    </w:p>
    <w:p w14:paraId="0DFDC361" w14:textId="77777777" w:rsidR="00046465" w:rsidRDefault="00046465">
      <w:pPr>
        <w:pStyle w:val="BodyText"/>
        <w:rPr>
          <w:sz w:val="20"/>
        </w:rPr>
      </w:pPr>
    </w:p>
    <w:p w14:paraId="0DFDC362" w14:textId="77777777" w:rsidR="00046465" w:rsidRDefault="008134EB">
      <w:pPr>
        <w:pStyle w:val="BodyText"/>
        <w:spacing w:before="74"/>
        <w:rPr>
          <w:sz w:val="20"/>
        </w:rPr>
      </w:pPr>
      <w:r>
        <w:rPr>
          <w:noProof/>
          <w:sz w:val="20"/>
        </w:rPr>
        <mc:AlternateContent>
          <mc:Choice Requires="wps">
            <w:drawing>
              <wp:anchor distT="0" distB="0" distL="0" distR="0" simplePos="0" relativeHeight="487724032" behindDoc="1" locked="0" layoutInCell="1" allowOverlap="1" wp14:anchorId="0DFDD727" wp14:editId="0DFDD728">
                <wp:simplePos x="0" y="0"/>
                <wp:positionH relativeFrom="page">
                  <wp:posOffset>914400</wp:posOffset>
                </wp:positionH>
                <wp:positionV relativeFrom="paragraph">
                  <wp:posOffset>208358</wp:posOffset>
                </wp:positionV>
                <wp:extent cx="1828800" cy="5715"/>
                <wp:effectExtent l="0" t="0" r="0" b="0"/>
                <wp:wrapTopAndBottom/>
                <wp:docPr id="983" name="Graphic 9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D7BE8" id="Graphic 983" o:spid="_x0000_s1026" style="position:absolute;margin-left:1in;margin-top:16.4pt;width:2in;height:.45pt;z-index:-1559244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" path="m1828800,l,,,5333r1828800,l1828800,xe" fillcolor="black" stroked="f">
                <v:path arrowok="t"/>
                <w10:wrap type="topAndBottom" anchorx="page"/>
              </v:shape>
            </w:pict>
          </mc:Fallback>
        </mc:AlternateContent>
      </w:r>
    </w:p>
    <w:p w14:paraId="0DFDC363" w14:textId="77777777" w:rsidR="00046465" w:rsidRDefault="00046465">
      <w:pPr>
        <w:pStyle w:val="BodyText"/>
        <w:spacing w:before="53"/>
        <w:rPr>
          <w:sz w:val="18"/>
        </w:rPr>
      </w:pPr>
    </w:p>
    <w:p w14:paraId="0DFDC364" w14:textId="77777777" w:rsidR="00046465" w:rsidRDefault="008134EB">
      <w:pPr>
        <w:ind w:left="360"/>
        <w:rPr>
          <w:sz w:val="18"/>
        </w:rPr>
      </w:pPr>
      <w:bookmarkStart w:id="313" w:name="_bookmark180"/>
      <w:bookmarkEnd w:id="313"/>
      <w:r>
        <w:rPr>
          <w:position w:val="7"/>
          <w:sz w:val="14"/>
        </w:rPr>
        <w:t>36</w:t>
      </w:r>
      <w:r>
        <w:rPr>
          <w:sz w:val="18"/>
        </w:rPr>
        <w:t>See</w:t>
      </w:r>
      <w:r>
        <w:rPr>
          <w:spacing w:val="-6"/>
          <w:sz w:val="18"/>
        </w:rPr>
        <w:t xml:space="preserve"> </w:t>
      </w:r>
      <w:r>
        <w:rPr>
          <w:sz w:val="18"/>
        </w:rPr>
        <w:t>also</w:t>
      </w:r>
      <w:r>
        <w:rPr>
          <w:spacing w:val="-3"/>
          <w:sz w:val="18"/>
        </w:rPr>
        <w:t xml:space="preserve"> </w:t>
      </w:r>
      <w:r>
        <w:rPr>
          <w:sz w:val="18"/>
        </w:rPr>
        <w:t>FAM</w:t>
      </w:r>
      <w:r>
        <w:rPr>
          <w:spacing w:val="-2"/>
          <w:sz w:val="18"/>
        </w:rPr>
        <w:t xml:space="preserve"> </w:t>
      </w:r>
      <w:r>
        <w:rPr>
          <w:sz w:val="18"/>
        </w:rPr>
        <w:t>803</w:t>
      </w:r>
      <w:r>
        <w:rPr>
          <w:spacing w:val="-4"/>
          <w:sz w:val="18"/>
        </w:rPr>
        <w:t xml:space="preserve"> </w:t>
      </w:r>
      <w:r>
        <w:rPr>
          <w:sz w:val="18"/>
        </w:rPr>
        <w:t>for</w:t>
      </w:r>
      <w:r>
        <w:rPr>
          <w:spacing w:val="-2"/>
          <w:sz w:val="18"/>
        </w:rPr>
        <w:t xml:space="preserve"> </w:t>
      </w:r>
      <w:r>
        <w:rPr>
          <w:sz w:val="18"/>
        </w:rPr>
        <w:t>testing</w:t>
      </w:r>
      <w:r>
        <w:rPr>
          <w:spacing w:val="-3"/>
          <w:sz w:val="18"/>
        </w:rPr>
        <w:t xml:space="preserve"> </w:t>
      </w:r>
      <w:r>
        <w:rPr>
          <w:sz w:val="18"/>
        </w:rPr>
        <w:t>an</w:t>
      </w:r>
      <w:r>
        <w:rPr>
          <w:spacing w:val="-4"/>
          <w:sz w:val="18"/>
        </w:rPr>
        <w:t xml:space="preserve"> </w:t>
      </w:r>
      <w:r>
        <w:rPr>
          <w:sz w:val="18"/>
        </w:rPr>
        <w:t>entity’s</w:t>
      </w:r>
      <w:r>
        <w:rPr>
          <w:spacing w:val="-2"/>
          <w:sz w:val="18"/>
        </w:rPr>
        <w:t xml:space="preserve"> </w:t>
      </w:r>
      <w:r>
        <w:rPr>
          <w:sz w:val="18"/>
        </w:rPr>
        <w:t>compliance</w:t>
      </w:r>
      <w:r>
        <w:rPr>
          <w:spacing w:val="-3"/>
          <w:sz w:val="18"/>
        </w:rPr>
        <w:t xml:space="preserve"> </w:t>
      </w:r>
      <w:r>
        <w:rPr>
          <w:sz w:val="18"/>
        </w:rPr>
        <w:t>with</w:t>
      </w:r>
      <w:r>
        <w:rPr>
          <w:spacing w:val="-4"/>
          <w:sz w:val="18"/>
        </w:rPr>
        <w:t xml:space="preserve"> </w:t>
      </w:r>
      <w:r>
        <w:rPr>
          <w:sz w:val="18"/>
        </w:rPr>
        <w:t>the</w:t>
      </w:r>
      <w:r>
        <w:rPr>
          <w:spacing w:val="-3"/>
          <w:sz w:val="18"/>
        </w:rPr>
        <w:t xml:space="preserve"> </w:t>
      </w:r>
      <w:r>
        <w:rPr>
          <w:sz w:val="18"/>
        </w:rPr>
        <w:t>Antideficiency</w:t>
      </w:r>
      <w:r>
        <w:rPr>
          <w:spacing w:val="-2"/>
          <w:sz w:val="18"/>
        </w:rPr>
        <w:t xml:space="preserve"> </w:t>
      </w:r>
      <w:r>
        <w:rPr>
          <w:spacing w:val="-4"/>
          <w:sz w:val="18"/>
        </w:rPr>
        <w:t>Act.</w:t>
      </w:r>
    </w:p>
    <w:p w14:paraId="0DFDC365" w14:textId="77777777" w:rsidR="00046465" w:rsidRDefault="00046465">
      <w:pPr>
        <w:rPr>
          <w:sz w:val="18"/>
        </w:rPr>
        <w:sectPr w:rsidR="00046465">
          <w:pgSz w:w="12240" w:h="15840"/>
          <w:pgMar w:top="1340" w:right="720" w:bottom="940" w:left="1080" w:header="721" w:footer="757" w:gutter="0"/>
          <w:cols w:space="720"/>
        </w:sectPr>
      </w:pPr>
    </w:p>
    <w:p w14:paraId="0DFDC366" w14:textId="77777777" w:rsidR="00046465" w:rsidRDefault="008134EB">
      <w:pPr>
        <w:pStyle w:val="BodyText"/>
        <w:spacing w:before="121"/>
        <w:ind w:left="1800" w:right="749"/>
        <w:rPr>
          <w:position w:val="7"/>
          <w:sz w:val="14"/>
        </w:rPr>
      </w:pPr>
      <w:r>
        <w:lastRenderedPageBreak/>
        <w:t>entities</w:t>
      </w:r>
      <w:r>
        <w:rPr>
          <w:spacing w:val="-4"/>
        </w:rPr>
        <w:t xml:space="preserve"> </w:t>
      </w:r>
      <w:r>
        <w:t>may</w:t>
      </w:r>
      <w:r>
        <w:rPr>
          <w:spacing w:val="-5"/>
        </w:rPr>
        <w:t xml:space="preserve"> </w:t>
      </w:r>
      <w:r>
        <w:t>submit</w:t>
      </w:r>
      <w:r>
        <w:rPr>
          <w:spacing w:val="-4"/>
        </w:rPr>
        <w:t xml:space="preserve"> </w:t>
      </w:r>
      <w:r>
        <w:t>reclassifications</w:t>
      </w:r>
      <w:r>
        <w:rPr>
          <w:spacing w:val="-5"/>
        </w:rPr>
        <w:t xml:space="preserve"> </w:t>
      </w:r>
      <w:r>
        <w:t>to</w:t>
      </w:r>
      <w:r>
        <w:rPr>
          <w:spacing w:val="-4"/>
        </w:rPr>
        <w:t xml:space="preserve"> </w:t>
      </w:r>
      <w:r>
        <w:t>transaction</w:t>
      </w:r>
      <w:r>
        <w:rPr>
          <w:spacing w:val="-4"/>
        </w:rPr>
        <w:t xml:space="preserve"> </w:t>
      </w:r>
      <w:r>
        <w:t>data</w:t>
      </w:r>
      <w:r>
        <w:rPr>
          <w:spacing w:val="-4"/>
        </w:rPr>
        <w:t xml:space="preserve"> </w:t>
      </w:r>
      <w:r>
        <w:t>previously</w:t>
      </w:r>
      <w:r>
        <w:rPr>
          <w:spacing w:val="-4"/>
        </w:rPr>
        <w:t xml:space="preserve"> </w:t>
      </w:r>
      <w:r>
        <w:t>reported</w:t>
      </w:r>
      <w:r>
        <w:rPr>
          <w:spacing w:val="-4"/>
        </w:rPr>
        <w:t xml:space="preserve"> </w:t>
      </w:r>
      <w:r>
        <w:t>to CARS at a summary level.</w:t>
      </w:r>
      <w:hyperlink w:anchor="_bookmark181" w:history="1">
        <w:r>
          <w:rPr>
            <w:position w:val="7"/>
            <w:sz w:val="14"/>
          </w:rPr>
          <w:t>37</w:t>
        </w:r>
      </w:hyperlink>
    </w:p>
    <w:p w14:paraId="0DFDC367" w14:textId="77777777" w:rsidR="00046465" w:rsidRDefault="008134EB">
      <w:pPr>
        <w:pStyle w:val="Heading4"/>
      </w:pPr>
      <w:r>
        <w:t>Audit</w:t>
      </w:r>
      <w:r>
        <w:rPr>
          <w:spacing w:val="-10"/>
        </w:rPr>
        <w:t xml:space="preserve"> </w:t>
      </w:r>
      <w:r>
        <w:rPr>
          <w:spacing w:val="-2"/>
        </w:rPr>
        <w:t>Procedures</w:t>
      </w:r>
    </w:p>
    <w:p w14:paraId="0DFDC368" w14:textId="77777777" w:rsidR="00046465" w:rsidRDefault="008134EB">
      <w:pPr>
        <w:pStyle w:val="ListParagraph"/>
        <w:numPr>
          <w:ilvl w:val="0"/>
          <w:numId w:val="116"/>
        </w:numPr>
        <w:tabs>
          <w:tab w:val="left" w:pos="1800"/>
        </w:tabs>
        <w:spacing w:before="119"/>
        <w:ind w:right="887"/>
      </w:pPr>
      <w:r>
        <w:t>Since FBWT is an intragovernmental item, except for fiduciary or other nonfederal non-entity FBWT, auditors should incorporate FBWT as part of procedures</w:t>
      </w:r>
      <w:r>
        <w:rPr>
          <w:spacing w:val="-5"/>
        </w:rPr>
        <w:t xml:space="preserve"> </w:t>
      </w:r>
      <w:r>
        <w:t>for</w:t>
      </w:r>
      <w:r>
        <w:rPr>
          <w:spacing w:val="-5"/>
        </w:rPr>
        <w:t xml:space="preserve"> </w:t>
      </w:r>
      <w:r>
        <w:t>auditing</w:t>
      </w:r>
      <w:r>
        <w:rPr>
          <w:spacing w:val="-5"/>
        </w:rPr>
        <w:t xml:space="preserve"> </w:t>
      </w:r>
      <w:r>
        <w:t>intragovernmental</w:t>
      </w:r>
      <w:r>
        <w:rPr>
          <w:spacing w:val="-5"/>
        </w:rPr>
        <w:t xml:space="preserve"> </w:t>
      </w:r>
      <w:r>
        <w:t>activity</w:t>
      </w:r>
      <w:r>
        <w:rPr>
          <w:spacing w:val="-5"/>
        </w:rPr>
        <w:t xml:space="preserve"> </w:t>
      </w:r>
      <w:r>
        <w:t>and</w:t>
      </w:r>
      <w:r>
        <w:rPr>
          <w:spacing w:val="-5"/>
        </w:rPr>
        <w:t xml:space="preserve"> </w:t>
      </w:r>
      <w:r>
        <w:t>balances</w:t>
      </w:r>
      <w:r>
        <w:rPr>
          <w:spacing w:val="-5"/>
        </w:rPr>
        <w:t xml:space="preserve"> </w:t>
      </w:r>
      <w:r>
        <w:t>(see</w:t>
      </w:r>
      <w:r>
        <w:rPr>
          <w:spacing w:val="-5"/>
        </w:rPr>
        <w:t xml:space="preserve"> </w:t>
      </w:r>
      <w:r>
        <w:t>FAM</w:t>
      </w:r>
      <w:r>
        <w:rPr>
          <w:spacing w:val="-6"/>
        </w:rPr>
        <w:t xml:space="preserve"> </w:t>
      </w:r>
      <w:r>
        <w:t>902). For examples of FBWT audit procedures, see FAM 921 A.</w:t>
      </w:r>
    </w:p>
    <w:p w14:paraId="0DFDC369" w14:textId="77777777" w:rsidR="00046465" w:rsidRDefault="008134EB">
      <w:pPr>
        <w:pStyle w:val="ListParagraph"/>
        <w:numPr>
          <w:ilvl w:val="0"/>
          <w:numId w:val="116"/>
        </w:numPr>
        <w:tabs>
          <w:tab w:val="left" w:pos="1799"/>
        </w:tabs>
        <w:ind w:left="1799" w:right="871" w:hanging="720"/>
      </w:pPr>
      <w:r>
        <w:t>As discussed in FAM 921.06, determining the appropriateness of TASs and BETCs assigned to FBWT transactions is essential to determining whether entities’ financial statements are consistent with the U.S. government’s consolidated</w:t>
      </w:r>
      <w:r>
        <w:rPr>
          <w:spacing w:val="-4"/>
        </w:rPr>
        <w:t xml:space="preserve"> </w:t>
      </w:r>
      <w:r>
        <w:t>financial</w:t>
      </w:r>
      <w:r>
        <w:rPr>
          <w:spacing w:val="-5"/>
        </w:rPr>
        <w:t xml:space="preserve"> </w:t>
      </w:r>
      <w:r>
        <w:t>statements,</w:t>
      </w:r>
      <w:r>
        <w:rPr>
          <w:spacing w:val="-4"/>
        </w:rPr>
        <w:t xml:space="preserve"> </w:t>
      </w:r>
      <w:r>
        <w:t>including</w:t>
      </w:r>
      <w:r>
        <w:rPr>
          <w:spacing w:val="-4"/>
        </w:rPr>
        <w:t xml:space="preserve"> </w:t>
      </w:r>
      <w:r>
        <w:t>the</w:t>
      </w:r>
      <w:r>
        <w:rPr>
          <w:spacing w:val="-5"/>
        </w:rPr>
        <w:t xml:space="preserve"> </w:t>
      </w:r>
      <w:r>
        <w:t>Cash</w:t>
      </w:r>
      <w:r>
        <w:rPr>
          <w:spacing w:val="-4"/>
        </w:rPr>
        <w:t xml:space="preserve"> </w:t>
      </w:r>
      <w:r>
        <w:t>Statement</w:t>
      </w:r>
      <w:r>
        <w:rPr>
          <w:spacing w:val="-3"/>
        </w:rPr>
        <w:t xml:space="preserve"> </w:t>
      </w:r>
      <w:r>
        <w:t>and</w:t>
      </w:r>
      <w:r>
        <w:rPr>
          <w:spacing w:val="-4"/>
        </w:rPr>
        <w:t xml:space="preserve"> </w:t>
      </w:r>
      <w:r>
        <w:t>the</w:t>
      </w:r>
      <w:r>
        <w:rPr>
          <w:spacing w:val="-4"/>
        </w:rPr>
        <w:t xml:space="preserve"> </w:t>
      </w:r>
      <w:r>
        <w:t>budget receipts</w:t>
      </w:r>
      <w:r>
        <w:rPr>
          <w:spacing w:val="-4"/>
        </w:rPr>
        <w:t xml:space="preserve"> </w:t>
      </w:r>
      <w:r>
        <w:t>and</w:t>
      </w:r>
      <w:r>
        <w:rPr>
          <w:spacing w:val="-5"/>
        </w:rPr>
        <w:t xml:space="preserve"> </w:t>
      </w:r>
      <w:r>
        <w:t>outlays</w:t>
      </w:r>
      <w:r>
        <w:rPr>
          <w:spacing w:val="-5"/>
        </w:rPr>
        <w:t xml:space="preserve"> </w:t>
      </w:r>
      <w:r>
        <w:t>included</w:t>
      </w:r>
      <w:r>
        <w:rPr>
          <w:spacing w:val="-4"/>
        </w:rPr>
        <w:t xml:space="preserve"> </w:t>
      </w:r>
      <w:r>
        <w:t>therein.</w:t>
      </w:r>
      <w:r>
        <w:rPr>
          <w:spacing w:val="-4"/>
        </w:rPr>
        <w:t xml:space="preserve"> </w:t>
      </w:r>
      <w:r>
        <w:t>For</w:t>
      </w:r>
      <w:r>
        <w:rPr>
          <w:spacing w:val="-4"/>
        </w:rPr>
        <w:t xml:space="preserve"> </w:t>
      </w:r>
      <w:r>
        <w:t>examples</w:t>
      </w:r>
      <w:r>
        <w:rPr>
          <w:spacing w:val="-4"/>
        </w:rPr>
        <w:t xml:space="preserve"> </w:t>
      </w:r>
      <w:r>
        <w:t>of</w:t>
      </w:r>
      <w:r>
        <w:rPr>
          <w:spacing w:val="-4"/>
        </w:rPr>
        <w:t xml:space="preserve"> </w:t>
      </w:r>
      <w:r>
        <w:t>audit</w:t>
      </w:r>
      <w:r>
        <w:rPr>
          <w:spacing w:val="-4"/>
        </w:rPr>
        <w:t xml:space="preserve"> </w:t>
      </w:r>
      <w:r>
        <w:t>procedures</w:t>
      </w:r>
      <w:r>
        <w:rPr>
          <w:spacing w:val="-4"/>
        </w:rPr>
        <w:t xml:space="preserve"> </w:t>
      </w:r>
      <w:r>
        <w:t>that</w:t>
      </w:r>
      <w:r>
        <w:rPr>
          <w:spacing w:val="-4"/>
        </w:rPr>
        <w:t xml:space="preserve"> </w:t>
      </w:r>
      <w:r>
        <w:t>the auditor</w:t>
      </w:r>
      <w:r>
        <w:rPr>
          <w:spacing w:val="-4"/>
        </w:rPr>
        <w:t xml:space="preserve"> </w:t>
      </w:r>
      <w:r>
        <w:t>may</w:t>
      </w:r>
      <w:r>
        <w:rPr>
          <w:spacing w:val="-4"/>
        </w:rPr>
        <w:t xml:space="preserve"> </w:t>
      </w:r>
      <w:r>
        <w:t>perform</w:t>
      </w:r>
      <w:r>
        <w:rPr>
          <w:spacing w:val="-5"/>
        </w:rPr>
        <w:t xml:space="preserve"> </w:t>
      </w:r>
      <w:r>
        <w:t>to</w:t>
      </w:r>
      <w:r>
        <w:rPr>
          <w:spacing w:val="-4"/>
        </w:rPr>
        <w:t xml:space="preserve"> </w:t>
      </w:r>
      <w:r>
        <w:t>determine</w:t>
      </w:r>
      <w:r>
        <w:rPr>
          <w:spacing w:val="-4"/>
        </w:rPr>
        <w:t xml:space="preserve"> </w:t>
      </w:r>
      <w:r>
        <w:t>the</w:t>
      </w:r>
      <w:r>
        <w:rPr>
          <w:spacing w:val="-4"/>
        </w:rPr>
        <w:t xml:space="preserve"> </w:t>
      </w:r>
      <w:r>
        <w:t>appropriateness</w:t>
      </w:r>
      <w:r>
        <w:rPr>
          <w:spacing w:val="-4"/>
        </w:rPr>
        <w:t xml:space="preserve"> </w:t>
      </w:r>
      <w:r>
        <w:t>of</w:t>
      </w:r>
      <w:r>
        <w:rPr>
          <w:spacing w:val="-4"/>
        </w:rPr>
        <w:t xml:space="preserve"> </w:t>
      </w:r>
      <w:r>
        <w:t>TASs</w:t>
      </w:r>
      <w:r>
        <w:rPr>
          <w:spacing w:val="-4"/>
        </w:rPr>
        <w:t xml:space="preserve"> </w:t>
      </w:r>
      <w:r>
        <w:t>and</w:t>
      </w:r>
      <w:r>
        <w:rPr>
          <w:spacing w:val="-4"/>
        </w:rPr>
        <w:t xml:space="preserve"> </w:t>
      </w:r>
      <w:r>
        <w:t>BETCs,</w:t>
      </w:r>
      <w:r>
        <w:rPr>
          <w:spacing w:val="-4"/>
        </w:rPr>
        <w:t xml:space="preserve"> </w:t>
      </w:r>
      <w:r>
        <w:t>see FAM 921 B.</w:t>
      </w:r>
    </w:p>
    <w:p w14:paraId="0DFDC36A" w14:textId="77777777" w:rsidR="00046465" w:rsidRDefault="00046465">
      <w:pPr>
        <w:pStyle w:val="BodyText"/>
        <w:rPr>
          <w:sz w:val="20"/>
        </w:rPr>
      </w:pPr>
    </w:p>
    <w:p w14:paraId="0DFDC36B" w14:textId="77777777" w:rsidR="00046465" w:rsidRDefault="00046465">
      <w:pPr>
        <w:pStyle w:val="BodyText"/>
        <w:rPr>
          <w:sz w:val="20"/>
        </w:rPr>
      </w:pPr>
    </w:p>
    <w:p w14:paraId="0DFDC36C" w14:textId="77777777" w:rsidR="00046465" w:rsidRDefault="00046465">
      <w:pPr>
        <w:pStyle w:val="BodyText"/>
        <w:rPr>
          <w:sz w:val="20"/>
        </w:rPr>
      </w:pPr>
    </w:p>
    <w:p w14:paraId="0DFDC36D" w14:textId="77777777" w:rsidR="00046465" w:rsidRDefault="00046465">
      <w:pPr>
        <w:pStyle w:val="BodyText"/>
        <w:rPr>
          <w:sz w:val="20"/>
        </w:rPr>
      </w:pPr>
    </w:p>
    <w:p w14:paraId="0DFDC36E" w14:textId="77777777" w:rsidR="00046465" w:rsidRDefault="00046465">
      <w:pPr>
        <w:pStyle w:val="BodyText"/>
        <w:rPr>
          <w:sz w:val="20"/>
        </w:rPr>
      </w:pPr>
    </w:p>
    <w:p w14:paraId="0DFDC36F" w14:textId="77777777" w:rsidR="00046465" w:rsidRDefault="00046465">
      <w:pPr>
        <w:pStyle w:val="BodyText"/>
        <w:rPr>
          <w:sz w:val="20"/>
        </w:rPr>
      </w:pPr>
    </w:p>
    <w:p w14:paraId="0DFDC370" w14:textId="77777777" w:rsidR="00046465" w:rsidRDefault="00046465">
      <w:pPr>
        <w:pStyle w:val="BodyText"/>
        <w:rPr>
          <w:sz w:val="20"/>
        </w:rPr>
      </w:pPr>
    </w:p>
    <w:p w14:paraId="0DFDC371" w14:textId="77777777" w:rsidR="00046465" w:rsidRDefault="00046465">
      <w:pPr>
        <w:pStyle w:val="BodyText"/>
        <w:rPr>
          <w:sz w:val="20"/>
        </w:rPr>
      </w:pPr>
    </w:p>
    <w:p w14:paraId="0DFDC372" w14:textId="77777777" w:rsidR="00046465" w:rsidRDefault="00046465">
      <w:pPr>
        <w:pStyle w:val="BodyText"/>
        <w:rPr>
          <w:sz w:val="20"/>
        </w:rPr>
      </w:pPr>
    </w:p>
    <w:p w14:paraId="0DFDC373" w14:textId="77777777" w:rsidR="00046465" w:rsidRDefault="00046465">
      <w:pPr>
        <w:pStyle w:val="BodyText"/>
        <w:rPr>
          <w:sz w:val="20"/>
        </w:rPr>
      </w:pPr>
    </w:p>
    <w:p w14:paraId="0DFDC374" w14:textId="77777777" w:rsidR="00046465" w:rsidRDefault="00046465">
      <w:pPr>
        <w:pStyle w:val="BodyText"/>
        <w:rPr>
          <w:sz w:val="20"/>
        </w:rPr>
      </w:pPr>
    </w:p>
    <w:p w14:paraId="0DFDC375" w14:textId="77777777" w:rsidR="00046465" w:rsidRDefault="00046465">
      <w:pPr>
        <w:pStyle w:val="BodyText"/>
        <w:rPr>
          <w:sz w:val="20"/>
        </w:rPr>
      </w:pPr>
    </w:p>
    <w:p w14:paraId="0DFDC376" w14:textId="77777777" w:rsidR="00046465" w:rsidRDefault="00046465">
      <w:pPr>
        <w:pStyle w:val="BodyText"/>
        <w:rPr>
          <w:sz w:val="20"/>
        </w:rPr>
      </w:pPr>
    </w:p>
    <w:p w14:paraId="0DFDC377" w14:textId="77777777" w:rsidR="00046465" w:rsidRDefault="00046465">
      <w:pPr>
        <w:pStyle w:val="BodyText"/>
        <w:rPr>
          <w:sz w:val="20"/>
        </w:rPr>
      </w:pPr>
    </w:p>
    <w:p w14:paraId="0DFDC378" w14:textId="77777777" w:rsidR="00046465" w:rsidRDefault="00046465">
      <w:pPr>
        <w:pStyle w:val="BodyText"/>
        <w:rPr>
          <w:sz w:val="20"/>
        </w:rPr>
      </w:pPr>
    </w:p>
    <w:p w14:paraId="0DFDC379" w14:textId="77777777" w:rsidR="00046465" w:rsidRDefault="00046465">
      <w:pPr>
        <w:pStyle w:val="BodyText"/>
        <w:rPr>
          <w:sz w:val="20"/>
        </w:rPr>
      </w:pPr>
    </w:p>
    <w:p w14:paraId="0DFDC37A" w14:textId="77777777" w:rsidR="00046465" w:rsidRDefault="00046465">
      <w:pPr>
        <w:pStyle w:val="BodyText"/>
        <w:rPr>
          <w:sz w:val="20"/>
        </w:rPr>
      </w:pPr>
    </w:p>
    <w:p w14:paraId="0DFDC37B" w14:textId="77777777" w:rsidR="00046465" w:rsidRDefault="00046465">
      <w:pPr>
        <w:pStyle w:val="BodyText"/>
        <w:rPr>
          <w:sz w:val="20"/>
        </w:rPr>
      </w:pPr>
    </w:p>
    <w:p w14:paraId="0DFDC37C" w14:textId="77777777" w:rsidR="00046465" w:rsidRDefault="00046465">
      <w:pPr>
        <w:pStyle w:val="BodyText"/>
        <w:rPr>
          <w:sz w:val="20"/>
        </w:rPr>
      </w:pPr>
    </w:p>
    <w:p w14:paraId="0DFDC37D" w14:textId="77777777" w:rsidR="00046465" w:rsidRDefault="00046465">
      <w:pPr>
        <w:pStyle w:val="BodyText"/>
        <w:rPr>
          <w:sz w:val="20"/>
        </w:rPr>
      </w:pPr>
    </w:p>
    <w:p w14:paraId="0DFDC37E" w14:textId="77777777" w:rsidR="00046465" w:rsidRDefault="00046465">
      <w:pPr>
        <w:pStyle w:val="BodyText"/>
        <w:rPr>
          <w:sz w:val="20"/>
        </w:rPr>
      </w:pPr>
    </w:p>
    <w:p w14:paraId="0DFDC37F" w14:textId="77777777" w:rsidR="00046465" w:rsidRDefault="00046465">
      <w:pPr>
        <w:pStyle w:val="BodyText"/>
        <w:rPr>
          <w:sz w:val="20"/>
        </w:rPr>
      </w:pPr>
    </w:p>
    <w:p w14:paraId="0DFDC380" w14:textId="77777777" w:rsidR="00046465" w:rsidRDefault="00046465">
      <w:pPr>
        <w:pStyle w:val="BodyText"/>
        <w:rPr>
          <w:sz w:val="20"/>
        </w:rPr>
      </w:pPr>
    </w:p>
    <w:p w14:paraId="0DFDC381" w14:textId="77777777" w:rsidR="00046465" w:rsidRDefault="00046465">
      <w:pPr>
        <w:pStyle w:val="BodyText"/>
        <w:rPr>
          <w:sz w:val="20"/>
        </w:rPr>
      </w:pPr>
    </w:p>
    <w:p w14:paraId="0DFDC382" w14:textId="77777777" w:rsidR="00046465" w:rsidRDefault="00046465">
      <w:pPr>
        <w:pStyle w:val="BodyText"/>
        <w:rPr>
          <w:sz w:val="20"/>
        </w:rPr>
      </w:pPr>
    </w:p>
    <w:p w14:paraId="0DFDC383" w14:textId="77777777" w:rsidR="00046465" w:rsidRDefault="00046465">
      <w:pPr>
        <w:pStyle w:val="BodyText"/>
        <w:rPr>
          <w:sz w:val="20"/>
        </w:rPr>
      </w:pPr>
    </w:p>
    <w:p w14:paraId="0DFDC384" w14:textId="77777777" w:rsidR="00046465" w:rsidRDefault="00046465">
      <w:pPr>
        <w:pStyle w:val="BodyText"/>
        <w:rPr>
          <w:sz w:val="20"/>
        </w:rPr>
      </w:pPr>
    </w:p>
    <w:p w14:paraId="0DFDC385" w14:textId="77777777" w:rsidR="00046465" w:rsidRDefault="00046465">
      <w:pPr>
        <w:pStyle w:val="BodyText"/>
        <w:rPr>
          <w:sz w:val="20"/>
        </w:rPr>
      </w:pPr>
    </w:p>
    <w:p w14:paraId="0DFDC386" w14:textId="77777777" w:rsidR="00046465" w:rsidRDefault="00046465">
      <w:pPr>
        <w:pStyle w:val="BodyText"/>
        <w:rPr>
          <w:sz w:val="20"/>
        </w:rPr>
      </w:pPr>
    </w:p>
    <w:p w14:paraId="0DFDC387" w14:textId="77777777" w:rsidR="00046465" w:rsidRDefault="00046465">
      <w:pPr>
        <w:pStyle w:val="BodyText"/>
        <w:rPr>
          <w:sz w:val="20"/>
        </w:rPr>
      </w:pPr>
    </w:p>
    <w:p w14:paraId="0DFDC388" w14:textId="77777777" w:rsidR="00046465" w:rsidRDefault="00046465">
      <w:pPr>
        <w:pStyle w:val="BodyText"/>
        <w:rPr>
          <w:sz w:val="20"/>
        </w:rPr>
      </w:pPr>
    </w:p>
    <w:p w14:paraId="0DFDC389" w14:textId="77777777" w:rsidR="00046465" w:rsidRDefault="00046465">
      <w:pPr>
        <w:pStyle w:val="BodyText"/>
        <w:rPr>
          <w:sz w:val="20"/>
        </w:rPr>
      </w:pPr>
    </w:p>
    <w:p w14:paraId="0DFDC38A" w14:textId="77777777" w:rsidR="00046465" w:rsidRDefault="008134EB">
      <w:pPr>
        <w:pStyle w:val="BodyText"/>
        <w:spacing w:before="96"/>
        <w:rPr>
          <w:sz w:val="20"/>
        </w:rPr>
      </w:pPr>
      <w:r>
        <w:rPr>
          <w:noProof/>
          <w:sz w:val="20"/>
        </w:rPr>
        <mc:AlternateContent>
          <mc:Choice Requires="wps">
            <w:drawing>
              <wp:anchor distT="0" distB="0" distL="0" distR="0" simplePos="0" relativeHeight="487724544" behindDoc="1" locked="0" layoutInCell="1" allowOverlap="1" wp14:anchorId="0DFDD729" wp14:editId="0DFDD72A">
                <wp:simplePos x="0" y="0"/>
                <wp:positionH relativeFrom="page">
                  <wp:posOffset>914400</wp:posOffset>
                </wp:positionH>
                <wp:positionV relativeFrom="paragraph">
                  <wp:posOffset>222841</wp:posOffset>
                </wp:positionV>
                <wp:extent cx="1828800" cy="5715"/>
                <wp:effectExtent l="0" t="0" r="0" b="0"/>
                <wp:wrapTopAndBottom/>
                <wp:docPr id="984" name="Graphic 9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AEA558" id="Graphic 984" o:spid="_x0000_s1026" style="position:absolute;margin-left:1in;margin-top:17.55pt;width:2in;height:.45pt;z-index:-1559193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" path="m1828800,l,,,5333r1828800,l1828800,xe" fillcolor="black" stroked="f">
                <v:path arrowok="t"/>
                <w10:wrap type="topAndBottom" anchorx="page"/>
              </v:shape>
            </w:pict>
          </mc:Fallback>
        </mc:AlternateContent>
      </w:r>
    </w:p>
    <w:p w14:paraId="0DFDC38B" w14:textId="77777777" w:rsidR="00046465" w:rsidRDefault="00046465">
      <w:pPr>
        <w:pStyle w:val="BodyText"/>
        <w:spacing w:before="53"/>
        <w:rPr>
          <w:sz w:val="18"/>
        </w:rPr>
      </w:pPr>
    </w:p>
    <w:p w14:paraId="0DFDC38C" w14:textId="77777777" w:rsidR="00046465" w:rsidRDefault="008134EB">
      <w:pPr>
        <w:spacing w:line="242" w:lineRule="auto"/>
        <w:ind w:left="359" w:right="749"/>
        <w:rPr>
          <w:sz w:val="18"/>
        </w:rPr>
      </w:pPr>
      <w:bookmarkStart w:id="314" w:name="_bookmark181"/>
      <w:bookmarkEnd w:id="314"/>
      <w:r>
        <w:rPr>
          <w:position w:val="7"/>
          <w:sz w:val="14"/>
        </w:rPr>
        <w:t>37</w:t>
      </w:r>
      <w:r>
        <w:rPr>
          <w:sz w:val="18"/>
        </w:rPr>
        <w:t>Fiscal Service developed a remediation plan to address its inability to readily trace the final TAS and BETC classification to the original transaction reported by a source system. Fiscal Service also met with entities to gain an understanding of their ability to provide reclassification information at the proper level of detail to achieve traceability to</w:t>
      </w:r>
      <w:r>
        <w:rPr>
          <w:spacing w:val="-4"/>
          <w:sz w:val="18"/>
        </w:rPr>
        <w:t xml:space="preserve"> </w:t>
      </w:r>
      <w:r>
        <w:rPr>
          <w:sz w:val="18"/>
        </w:rPr>
        <w:t>the</w:t>
      </w:r>
      <w:r>
        <w:rPr>
          <w:spacing w:val="-4"/>
          <w:sz w:val="18"/>
        </w:rPr>
        <w:t xml:space="preserve"> </w:t>
      </w:r>
      <w:r>
        <w:rPr>
          <w:sz w:val="18"/>
        </w:rPr>
        <w:t>original</w:t>
      </w:r>
      <w:r>
        <w:rPr>
          <w:spacing w:val="-3"/>
          <w:sz w:val="18"/>
        </w:rPr>
        <w:t xml:space="preserve"> </w:t>
      </w:r>
      <w:r>
        <w:rPr>
          <w:sz w:val="18"/>
        </w:rPr>
        <w:t>transactions.</w:t>
      </w:r>
      <w:r>
        <w:rPr>
          <w:spacing w:val="-3"/>
          <w:sz w:val="18"/>
        </w:rPr>
        <w:t xml:space="preserve"> </w:t>
      </w:r>
      <w:r>
        <w:rPr>
          <w:sz w:val="18"/>
        </w:rPr>
        <w:t>Fiscal</w:t>
      </w:r>
      <w:r>
        <w:rPr>
          <w:spacing w:val="-3"/>
          <w:sz w:val="18"/>
        </w:rPr>
        <w:t xml:space="preserve"> </w:t>
      </w:r>
      <w:r>
        <w:rPr>
          <w:sz w:val="18"/>
        </w:rPr>
        <w:t>Service</w:t>
      </w:r>
      <w:r>
        <w:rPr>
          <w:spacing w:val="-4"/>
          <w:sz w:val="18"/>
        </w:rPr>
        <w:t xml:space="preserve"> </w:t>
      </w:r>
      <w:r>
        <w:rPr>
          <w:sz w:val="18"/>
        </w:rPr>
        <w:t>also</w:t>
      </w:r>
      <w:r>
        <w:rPr>
          <w:spacing w:val="-4"/>
          <w:sz w:val="18"/>
        </w:rPr>
        <w:t xml:space="preserve"> </w:t>
      </w:r>
      <w:r>
        <w:rPr>
          <w:sz w:val="18"/>
        </w:rPr>
        <w:t>plans</w:t>
      </w:r>
      <w:r>
        <w:rPr>
          <w:spacing w:val="-3"/>
          <w:sz w:val="18"/>
        </w:rPr>
        <w:t xml:space="preserve"> </w:t>
      </w:r>
      <w:r>
        <w:rPr>
          <w:sz w:val="18"/>
        </w:rPr>
        <w:t>to</w:t>
      </w:r>
      <w:r>
        <w:rPr>
          <w:spacing w:val="-4"/>
          <w:sz w:val="18"/>
        </w:rPr>
        <w:t xml:space="preserve"> </w:t>
      </w:r>
      <w:r>
        <w:rPr>
          <w:sz w:val="18"/>
        </w:rPr>
        <w:t>improve</w:t>
      </w:r>
      <w:r>
        <w:rPr>
          <w:spacing w:val="-4"/>
          <w:sz w:val="18"/>
        </w:rPr>
        <w:t xml:space="preserve"> </w:t>
      </w:r>
      <w:r>
        <w:rPr>
          <w:sz w:val="18"/>
        </w:rPr>
        <w:t>the</w:t>
      </w:r>
      <w:r>
        <w:rPr>
          <w:spacing w:val="-4"/>
          <w:sz w:val="18"/>
        </w:rPr>
        <w:t xml:space="preserve"> </w:t>
      </w:r>
      <w:r>
        <w:rPr>
          <w:sz w:val="18"/>
        </w:rPr>
        <w:t>reclassification</w:t>
      </w:r>
      <w:r>
        <w:rPr>
          <w:spacing w:val="-4"/>
          <w:sz w:val="18"/>
        </w:rPr>
        <w:t xml:space="preserve"> </w:t>
      </w:r>
      <w:r>
        <w:rPr>
          <w:sz w:val="18"/>
        </w:rPr>
        <w:t>submission</w:t>
      </w:r>
      <w:r>
        <w:rPr>
          <w:spacing w:val="-2"/>
          <w:sz w:val="18"/>
        </w:rPr>
        <w:t xml:space="preserve"> </w:t>
      </w:r>
      <w:r>
        <w:rPr>
          <w:sz w:val="18"/>
        </w:rPr>
        <w:t>process</w:t>
      </w:r>
      <w:r>
        <w:rPr>
          <w:spacing w:val="-2"/>
          <w:sz w:val="18"/>
        </w:rPr>
        <w:t xml:space="preserve"> </w:t>
      </w:r>
      <w:r>
        <w:rPr>
          <w:sz w:val="18"/>
        </w:rPr>
        <w:t>within</w:t>
      </w:r>
      <w:r>
        <w:rPr>
          <w:spacing w:val="-4"/>
          <w:sz w:val="18"/>
        </w:rPr>
        <w:t xml:space="preserve"> </w:t>
      </w:r>
      <w:r>
        <w:rPr>
          <w:sz w:val="18"/>
        </w:rPr>
        <w:t>CARS to reasonably assure that entities report reclassification data at the appropriate detailed level.</w:t>
      </w:r>
    </w:p>
    <w:p w14:paraId="0DFDC38D" w14:textId="77777777" w:rsidR="00046465" w:rsidRDefault="00046465">
      <w:pPr>
        <w:spacing w:line="242" w:lineRule="auto"/>
        <w:rPr>
          <w:sz w:val="18"/>
        </w:rPr>
        <w:sectPr w:rsidR="00046465">
          <w:pgSz w:w="12240" w:h="15840"/>
          <w:pgMar w:top="1340" w:right="720" w:bottom="940" w:left="1080" w:header="721" w:footer="757" w:gutter="0"/>
          <w:cols w:space="720"/>
        </w:sectPr>
      </w:pPr>
    </w:p>
    <w:p w14:paraId="0DFDC38E" w14:textId="77777777" w:rsidR="00046465" w:rsidRDefault="008134EB">
      <w:pPr>
        <w:pStyle w:val="Heading3"/>
        <w:ind w:right="749"/>
        <w:rPr>
          <w:u w:val="none"/>
        </w:rPr>
      </w:pPr>
      <w:bookmarkStart w:id="315" w:name="921_A_–_Example_Audit_Procedures_for_Fun"/>
      <w:bookmarkStart w:id="316" w:name="_bookmark182"/>
      <w:bookmarkEnd w:id="315"/>
      <w:bookmarkEnd w:id="316"/>
      <w:r>
        <w:lastRenderedPageBreak/>
        <w:t>921</w:t>
      </w:r>
      <w:r>
        <w:rPr>
          <w:spacing w:val="-17"/>
        </w:rPr>
        <w:t xml:space="preserve"> </w:t>
      </w:r>
      <w:r>
        <w:t>A</w:t>
      </w:r>
      <w:r>
        <w:rPr>
          <w:spacing w:val="-17"/>
        </w:rPr>
        <w:t xml:space="preserve"> </w:t>
      </w:r>
      <w:r>
        <w:t>–</w:t>
      </w:r>
      <w:r>
        <w:rPr>
          <w:spacing w:val="-4"/>
        </w:rPr>
        <w:t xml:space="preserve"> </w:t>
      </w:r>
      <w:r>
        <w:t>Example</w:t>
      </w:r>
      <w:r>
        <w:rPr>
          <w:spacing w:val="-17"/>
        </w:rPr>
        <w:t xml:space="preserve"> </w:t>
      </w:r>
      <w:r>
        <w:t>Audit</w:t>
      </w:r>
      <w:r>
        <w:rPr>
          <w:spacing w:val="-5"/>
        </w:rPr>
        <w:t xml:space="preserve"> </w:t>
      </w:r>
      <w:r>
        <w:t>Procedures</w:t>
      </w:r>
      <w:r>
        <w:rPr>
          <w:spacing w:val="-5"/>
        </w:rPr>
        <w:t xml:space="preserve"> </w:t>
      </w:r>
      <w:r>
        <w:t>for</w:t>
      </w:r>
      <w:r>
        <w:rPr>
          <w:spacing w:val="-5"/>
        </w:rPr>
        <w:t xml:space="preserve"> </w:t>
      </w:r>
      <w:r>
        <w:t>Fund</w:t>
      </w:r>
      <w:r>
        <w:rPr>
          <w:spacing w:val="-5"/>
        </w:rPr>
        <w:t xml:space="preserve"> </w:t>
      </w:r>
      <w:r>
        <w:t>Balance</w:t>
      </w:r>
      <w:r>
        <w:rPr>
          <w:spacing w:val="-4"/>
        </w:rPr>
        <w:t xml:space="preserve"> </w:t>
      </w:r>
      <w:r>
        <w:t>with</w:t>
      </w:r>
      <w:r>
        <w:rPr>
          <w:u w:val="none"/>
        </w:rPr>
        <w:t xml:space="preserve"> </w:t>
      </w:r>
      <w:r>
        <w:rPr>
          <w:spacing w:val="-2"/>
        </w:rPr>
        <w:t>Treasury</w:t>
      </w:r>
    </w:p>
    <w:p w14:paraId="0DFDC38F" w14:textId="77777777" w:rsidR="00046465" w:rsidRDefault="00046465">
      <w:pPr>
        <w:pStyle w:val="BodyText"/>
        <w:rPr>
          <w:b/>
          <w:sz w:val="20"/>
        </w:rPr>
      </w:pPr>
    </w:p>
    <w:p w14:paraId="0DFDC390" w14:textId="77777777" w:rsidR="00046465" w:rsidRDefault="00046465">
      <w:pPr>
        <w:pStyle w:val="BodyText"/>
        <w:spacing w:before="70"/>
        <w:rPr>
          <w:b/>
          <w:sz w:val="20"/>
        </w:rPr>
      </w:pPr>
    </w:p>
    <w:tbl>
      <w:tblPr>
        <w:tblW w:w="0" w:type="auto"/>
        <w:tblInd w:w="51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719"/>
        <w:gridCol w:w="1427"/>
        <w:gridCol w:w="1061"/>
      </w:tblGrid>
      <w:tr w:rsidR="00046465" w14:paraId="0DFDC394" w14:textId="77777777">
        <w:trPr>
          <w:trHeight w:val="505"/>
        </w:trPr>
        <w:tc>
          <w:tcPr>
            <w:tcW w:w="6719" w:type="dxa"/>
            <w:tcBorders>
              <w:right w:val="single" w:sz="4" w:space="0" w:color="000000"/>
            </w:tcBorders>
          </w:tcPr>
          <w:p w14:paraId="0DFDC391" w14:textId="77777777" w:rsidR="00046465" w:rsidRDefault="008134EB">
            <w:pPr>
              <w:pStyle w:val="TableParagraph"/>
              <w:spacing w:before="1"/>
              <w:ind w:left="92"/>
              <w:rPr>
                <w:b/>
              </w:rPr>
            </w:pPr>
            <w:r>
              <w:rPr>
                <w:b/>
                <w:spacing w:val="-2"/>
              </w:rPr>
              <w:t>Procedures</w:t>
            </w:r>
          </w:p>
        </w:tc>
        <w:tc>
          <w:tcPr>
            <w:tcW w:w="1427" w:type="dxa"/>
            <w:tcBorders>
              <w:left w:val="single" w:sz="4" w:space="0" w:color="000000"/>
              <w:right w:val="single" w:sz="4" w:space="0" w:color="000000"/>
            </w:tcBorders>
          </w:tcPr>
          <w:p w14:paraId="0DFDC392" w14:textId="77777777" w:rsidR="00046465" w:rsidRDefault="008134EB">
            <w:pPr>
              <w:pStyle w:val="TableParagraph"/>
              <w:spacing w:before="1"/>
              <w:ind w:left="108"/>
              <w:rPr>
                <w:b/>
              </w:rPr>
            </w:pPr>
            <w:r>
              <w:rPr>
                <w:b/>
                <w:spacing w:val="-2"/>
              </w:rPr>
              <w:t>Initials/date</w:t>
            </w:r>
          </w:p>
        </w:tc>
        <w:tc>
          <w:tcPr>
            <w:tcW w:w="1061" w:type="dxa"/>
            <w:tcBorders>
              <w:left w:val="single" w:sz="4" w:space="0" w:color="000000"/>
            </w:tcBorders>
          </w:tcPr>
          <w:p w14:paraId="0DFDC393" w14:textId="77777777" w:rsidR="00046465" w:rsidRDefault="008134EB">
            <w:pPr>
              <w:pStyle w:val="TableParagraph"/>
              <w:spacing w:line="252" w:lineRule="exact"/>
              <w:ind w:left="109" w:right="443"/>
              <w:rPr>
                <w:b/>
              </w:rPr>
            </w:pPr>
            <w:r>
              <w:rPr>
                <w:b/>
                <w:spacing w:val="-4"/>
              </w:rPr>
              <w:t>Doc. ref.</w:t>
            </w:r>
          </w:p>
        </w:tc>
      </w:tr>
      <w:tr w:rsidR="00046465" w14:paraId="0DFDC396" w14:textId="77777777">
        <w:trPr>
          <w:trHeight w:val="494"/>
        </w:trPr>
        <w:tc>
          <w:tcPr>
            <w:tcW w:w="9207" w:type="dxa"/>
            <w:gridSpan w:val="3"/>
            <w:tcBorders>
              <w:bottom w:val="single" w:sz="4" w:space="0" w:color="000000"/>
            </w:tcBorders>
          </w:tcPr>
          <w:p w14:paraId="0DFDC395" w14:textId="77777777" w:rsidR="00046465" w:rsidRDefault="008134EB">
            <w:pPr>
              <w:pStyle w:val="TableParagraph"/>
              <w:spacing w:before="121"/>
              <w:ind w:left="92"/>
              <w:rPr>
                <w:b/>
              </w:rPr>
            </w:pPr>
            <w:r>
              <w:rPr>
                <w:b/>
              </w:rPr>
              <w:t>I.</w:t>
            </w:r>
            <w:r>
              <w:rPr>
                <w:b/>
                <w:spacing w:val="-7"/>
              </w:rPr>
              <w:t xml:space="preserve"> </w:t>
            </w:r>
            <w:r>
              <w:rPr>
                <w:b/>
              </w:rPr>
              <w:t>Planning</w:t>
            </w:r>
            <w:r>
              <w:rPr>
                <w:b/>
                <w:spacing w:val="-7"/>
              </w:rPr>
              <w:t xml:space="preserve"> </w:t>
            </w:r>
            <w:r>
              <w:rPr>
                <w:b/>
              </w:rPr>
              <w:t>and</w:t>
            </w:r>
            <w:r>
              <w:rPr>
                <w:b/>
                <w:spacing w:val="-7"/>
              </w:rPr>
              <w:t xml:space="preserve"> </w:t>
            </w:r>
            <w:r>
              <w:rPr>
                <w:b/>
              </w:rPr>
              <w:t>Internal</w:t>
            </w:r>
            <w:r>
              <w:rPr>
                <w:b/>
                <w:spacing w:val="-7"/>
              </w:rPr>
              <w:t xml:space="preserve"> </w:t>
            </w:r>
            <w:r>
              <w:rPr>
                <w:b/>
              </w:rPr>
              <w:t>Control</w:t>
            </w:r>
            <w:r>
              <w:rPr>
                <w:b/>
                <w:spacing w:val="-7"/>
              </w:rPr>
              <w:t xml:space="preserve"> </w:t>
            </w:r>
            <w:r>
              <w:rPr>
                <w:b/>
                <w:spacing w:val="-2"/>
              </w:rPr>
              <w:t>Phase</w:t>
            </w:r>
          </w:p>
        </w:tc>
      </w:tr>
      <w:tr w:rsidR="00046465" w14:paraId="0DFDC39A" w14:textId="77777777">
        <w:trPr>
          <w:trHeight w:val="1211"/>
        </w:trPr>
        <w:tc>
          <w:tcPr>
            <w:tcW w:w="6719" w:type="dxa"/>
            <w:tcBorders>
              <w:top w:val="single" w:sz="4" w:space="0" w:color="000000"/>
              <w:bottom w:val="single" w:sz="4" w:space="0" w:color="000000"/>
              <w:right w:val="single" w:sz="4" w:space="0" w:color="000000"/>
            </w:tcBorders>
          </w:tcPr>
          <w:p w14:paraId="0DFDC397" w14:textId="77777777" w:rsidR="00046465" w:rsidRDefault="008134EB">
            <w:pPr>
              <w:pStyle w:val="TableParagraph"/>
              <w:spacing w:before="99"/>
              <w:ind w:left="485" w:right="176" w:hanging="350"/>
            </w:pPr>
            <w:r>
              <w:t>1)</w:t>
            </w:r>
            <w:r>
              <w:rPr>
                <w:spacing w:val="80"/>
              </w:rPr>
              <w:t xml:space="preserve"> </w:t>
            </w:r>
            <w:r>
              <w:t>To obtain an understanding of the entity’s environment, internal control over fund balance with Treasury (FBWT) accounting,</w:t>
            </w:r>
            <w:r>
              <w:rPr>
                <w:spacing w:val="-7"/>
              </w:rPr>
              <w:t xml:space="preserve"> </w:t>
            </w:r>
            <w:r>
              <w:t>and</w:t>
            </w:r>
            <w:r>
              <w:rPr>
                <w:spacing w:val="-6"/>
              </w:rPr>
              <w:t xml:space="preserve"> </w:t>
            </w:r>
            <w:r>
              <w:t>reconciliation</w:t>
            </w:r>
            <w:r>
              <w:rPr>
                <w:spacing w:val="-6"/>
              </w:rPr>
              <w:t xml:space="preserve"> </w:t>
            </w:r>
            <w:r>
              <w:t>process</w:t>
            </w:r>
            <w:r>
              <w:rPr>
                <w:spacing w:val="-6"/>
              </w:rPr>
              <w:t xml:space="preserve"> </w:t>
            </w:r>
            <w:r>
              <w:t>in</w:t>
            </w:r>
            <w:r>
              <w:rPr>
                <w:spacing w:val="-6"/>
              </w:rPr>
              <w:t xml:space="preserve"> </w:t>
            </w:r>
            <w:r>
              <w:t>the</w:t>
            </w:r>
            <w:r>
              <w:rPr>
                <w:spacing w:val="-6"/>
              </w:rPr>
              <w:t xml:space="preserve"> </w:t>
            </w:r>
            <w:r>
              <w:t>planning</w:t>
            </w:r>
            <w:r>
              <w:rPr>
                <w:spacing w:val="-6"/>
              </w:rPr>
              <w:t xml:space="preserve"> </w:t>
            </w:r>
            <w:r>
              <w:t>and internal control phase of the audit:</w:t>
            </w:r>
          </w:p>
        </w:tc>
        <w:tc>
          <w:tcPr>
            <w:tcW w:w="1427" w:type="dxa"/>
            <w:tcBorders>
              <w:top w:val="single" w:sz="4" w:space="0" w:color="000000"/>
              <w:left w:val="single" w:sz="4" w:space="0" w:color="000000"/>
              <w:bottom w:val="single" w:sz="4" w:space="0" w:color="000000"/>
              <w:right w:val="single" w:sz="4" w:space="0" w:color="000000"/>
            </w:tcBorders>
          </w:tcPr>
          <w:p w14:paraId="0DFDC398" w14:textId="77777777" w:rsidR="00046465" w:rsidRDefault="00046465">
            <w:pPr>
              <w:pStyle w:val="TableParagraph"/>
              <w:rPr>
                <w:rFonts w:ascii="Times New Roman"/>
              </w:rPr>
            </w:pPr>
          </w:p>
        </w:tc>
        <w:tc>
          <w:tcPr>
            <w:tcW w:w="1061" w:type="dxa"/>
            <w:tcBorders>
              <w:top w:val="single" w:sz="4" w:space="0" w:color="000000"/>
              <w:left w:val="single" w:sz="4" w:space="0" w:color="000000"/>
              <w:bottom w:val="single" w:sz="4" w:space="0" w:color="000000"/>
            </w:tcBorders>
          </w:tcPr>
          <w:p w14:paraId="0DFDC399" w14:textId="77777777" w:rsidR="00046465" w:rsidRDefault="00046465">
            <w:pPr>
              <w:pStyle w:val="TableParagraph"/>
              <w:rPr>
                <w:rFonts w:ascii="Times New Roman"/>
              </w:rPr>
            </w:pPr>
          </w:p>
        </w:tc>
      </w:tr>
      <w:tr w:rsidR="00046465" w14:paraId="0DFDC39E" w14:textId="77777777">
        <w:trPr>
          <w:trHeight w:val="958"/>
        </w:trPr>
        <w:tc>
          <w:tcPr>
            <w:tcW w:w="6719" w:type="dxa"/>
            <w:tcBorders>
              <w:top w:val="single" w:sz="4" w:space="0" w:color="000000"/>
              <w:bottom w:val="single" w:sz="4" w:space="0" w:color="000000"/>
              <w:right w:val="single" w:sz="4" w:space="0" w:color="000000"/>
            </w:tcBorders>
          </w:tcPr>
          <w:p w14:paraId="0DFDC39B" w14:textId="77777777" w:rsidR="00046465" w:rsidRDefault="008134EB">
            <w:pPr>
              <w:pStyle w:val="TableParagraph"/>
              <w:spacing w:before="99"/>
              <w:ind w:left="845" w:right="855" w:hanging="357"/>
              <w:jc w:val="both"/>
            </w:pPr>
            <w:r>
              <w:t>a)</w:t>
            </w:r>
            <w:r>
              <w:rPr>
                <w:spacing w:val="40"/>
              </w:rPr>
              <w:t xml:space="preserve"> </w:t>
            </w:r>
            <w:r>
              <w:t>Identify</w:t>
            </w:r>
            <w:r>
              <w:rPr>
                <w:spacing w:val="-5"/>
              </w:rPr>
              <w:t xml:space="preserve"> </w:t>
            </w:r>
            <w:r>
              <w:t>the</w:t>
            </w:r>
            <w:r>
              <w:rPr>
                <w:spacing w:val="-5"/>
              </w:rPr>
              <w:t xml:space="preserve"> </w:t>
            </w:r>
            <w:r>
              <w:t>entity’s</w:t>
            </w:r>
            <w:r>
              <w:rPr>
                <w:spacing w:val="-5"/>
              </w:rPr>
              <w:t xml:space="preserve"> </w:t>
            </w:r>
            <w:r>
              <w:t>FBWT</w:t>
            </w:r>
            <w:r>
              <w:rPr>
                <w:spacing w:val="-5"/>
              </w:rPr>
              <w:t xml:space="preserve"> </w:t>
            </w:r>
            <w:r>
              <w:t>accounting</w:t>
            </w:r>
            <w:r>
              <w:rPr>
                <w:spacing w:val="-5"/>
              </w:rPr>
              <w:t xml:space="preserve"> </w:t>
            </w:r>
            <w:r>
              <w:t>and</w:t>
            </w:r>
            <w:r>
              <w:rPr>
                <w:spacing w:val="-5"/>
              </w:rPr>
              <w:t xml:space="preserve"> </w:t>
            </w:r>
            <w:r>
              <w:t xml:space="preserve">reporting policies and procedures and applicable accounting </w:t>
            </w:r>
            <w:r>
              <w:rPr>
                <w:spacing w:val="-2"/>
              </w:rPr>
              <w:t>guidance.</w:t>
            </w:r>
          </w:p>
        </w:tc>
        <w:tc>
          <w:tcPr>
            <w:tcW w:w="1427" w:type="dxa"/>
            <w:tcBorders>
              <w:top w:val="single" w:sz="4" w:space="0" w:color="000000"/>
              <w:left w:val="single" w:sz="4" w:space="0" w:color="000000"/>
              <w:bottom w:val="single" w:sz="4" w:space="0" w:color="000000"/>
              <w:right w:val="single" w:sz="4" w:space="0" w:color="000000"/>
            </w:tcBorders>
          </w:tcPr>
          <w:p w14:paraId="0DFDC39C" w14:textId="77777777" w:rsidR="00046465" w:rsidRDefault="00046465">
            <w:pPr>
              <w:pStyle w:val="TableParagraph"/>
              <w:rPr>
                <w:rFonts w:ascii="Times New Roman"/>
              </w:rPr>
            </w:pPr>
          </w:p>
        </w:tc>
        <w:tc>
          <w:tcPr>
            <w:tcW w:w="1061" w:type="dxa"/>
            <w:tcBorders>
              <w:top w:val="single" w:sz="4" w:space="0" w:color="000000"/>
              <w:left w:val="single" w:sz="4" w:space="0" w:color="000000"/>
              <w:bottom w:val="single" w:sz="4" w:space="0" w:color="000000"/>
            </w:tcBorders>
          </w:tcPr>
          <w:p w14:paraId="0DFDC39D" w14:textId="77777777" w:rsidR="00046465" w:rsidRDefault="00046465">
            <w:pPr>
              <w:pStyle w:val="TableParagraph"/>
              <w:rPr>
                <w:rFonts w:ascii="Times New Roman"/>
              </w:rPr>
            </w:pPr>
          </w:p>
        </w:tc>
      </w:tr>
      <w:tr w:rsidR="00046465" w14:paraId="0DFDC3A2" w14:textId="77777777">
        <w:trPr>
          <w:trHeight w:val="1212"/>
        </w:trPr>
        <w:tc>
          <w:tcPr>
            <w:tcW w:w="6719" w:type="dxa"/>
            <w:tcBorders>
              <w:top w:val="single" w:sz="4" w:space="0" w:color="000000"/>
              <w:bottom w:val="single" w:sz="4" w:space="0" w:color="000000"/>
              <w:right w:val="single" w:sz="4" w:space="0" w:color="000000"/>
            </w:tcBorders>
          </w:tcPr>
          <w:p w14:paraId="0DFDC39F" w14:textId="77777777" w:rsidR="00046465" w:rsidRDefault="008134EB">
            <w:pPr>
              <w:pStyle w:val="TableParagraph"/>
              <w:spacing w:before="100"/>
              <w:ind w:left="844" w:right="34" w:hanging="357"/>
            </w:pPr>
            <w:r>
              <w:t>b)</w:t>
            </w:r>
            <w:r>
              <w:rPr>
                <w:spacing w:val="80"/>
              </w:rPr>
              <w:t xml:space="preserve"> </w:t>
            </w:r>
            <w:r>
              <w:t>Read</w:t>
            </w:r>
            <w:r>
              <w:rPr>
                <w:spacing w:val="-5"/>
              </w:rPr>
              <w:t xml:space="preserve"> </w:t>
            </w:r>
            <w:r>
              <w:t>prior-year</w:t>
            </w:r>
            <w:r>
              <w:rPr>
                <w:spacing w:val="-5"/>
              </w:rPr>
              <w:t xml:space="preserve"> </w:t>
            </w:r>
            <w:r>
              <w:t>audit</w:t>
            </w:r>
            <w:r>
              <w:rPr>
                <w:spacing w:val="-5"/>
              </w:rPr>
              <w:t xml:space="preserve"> </w:t>
            </w:r>
            <w:r>
              <w:t>documentation,</w:t>
            </w:r>
            <w:r>
              <w:rPr>
                <w:spacing w:val="-5"/>
              </w:rPr>
              <w:t xml:space="preserve"> </w:t>
            </w:r>
            <w:r>
              <w:t>financial</w:t>
            </w:r>
            <w:r>
              <w:rPr>
                <w:spacing w:val="-5"/>
              </w:rPr>
              <w:t xml:space="preserve"> </w:t>
            </w:r>
            <w:r>
              <w:t>statements, and related audit reports to determine if there were any audit issues, matters for further consideration, significant deficiencies, or material weaknesses related to FBWT.</w:t>
            </w:r>
          </w:p>
        </w:tc>
        <w:tc>
          <w:tcPr>
            <w:tcW w:w="1427" w:type="dxa"/>
            <w:tcBorders>
              <w:top w:val="single" w:sz="4" w:space="0" w:color="000000"/>
              <w:left w:val="single" w:sz="4" w:space="0" w:color="000000"/>
              <w:bottom w:val="single" w:sz="4" w:space="0" w:color="000000"/>
              <w:right w:val="single" w:sz="4" w:space="0" w:color="000000"/>
            </w:tcBorders>
          </w:tcPr>
          <w:p w14:paraId="0DFDC3A0" w14:textId="77777777" w:rsidR="00046465" w:rsidRDefault="00046465">
            <w:pPr>
              <w:pStyle w:val="TableParagraph"/>
              <w:rPr>
                <w:rFonts w:ascii="Times New Roman"/>
              </w:rPr>
            </w:pPr>
          </w:p>
        </w:tc>
        <w:tc>
          <w:tcPr>
            <w:tcW w:w="1061" w:type="dxa"/>
            <w:tcBorders>
              <w:top w:val="single" w:sz="4" w:space="0" w:color="000000"/>
              <w:left w:val="single" w:sz="4" w:space="0" w:color="000000"/>
              <w:bottom w:val="single" w:sz="4" w:space="0" w:color="000000"/>
            </w:tcBorders>
          </w:tcPr>
          <w:p w14:paraId="0DFDC3A1" w14:textId="77777777" w:rsidR="00046465" w:rsidRDefault="00046465">
            <w:pPr>
              <w:pStyle w:val="TableParagraph"/>
              <w:rPr>
                <w:rFonts w:ascii="Times New Roman"/>
              </w:rPr>
            </w:pPr>
          </w:p>
        </w:tc>
      </w:tr>
      <w:tr w:rsidR="00046465" w14:paraId="0DFDC3A6" w14:textId="77777777">
        <w:trPr>
          <w:trHeight w:val="705"/>
        </w:trPr>
        <w:tc>
          <w:tcPr>
            <w:tcW w:w="6719" w:type="dxa"/>
            <w:tcBorders>
              <w:top w:val="single" w:sz="4" w:space="0" w:color="000000"/>
              <w:bottom w:val="single" w:sz="4" w:space="0" w:color="000000"/>
              <w:right w:val="single" w:sz="4" w:space="0" w:color="000000"/>
            </w:tcBorders>
          </w:tcPr>
          <w:p w14:paraId="0DFDC3A3" w14:textId="77777777" w:rsidR="00046465" w:rsidRDefault="008134EB">
            <w:pPr>
              <w:pStyle w:val="TableParagraph"/>
              <w:spacing w:before="99"/>
              <w:ind w:left="845" w:hanging="357"/>
            </w:pPr>
            <w:r>
              <w:t>c)</w:t>
            </w:r>
            <w:r>
              <w:rPr>
                <w:spacing w:val="80"/>
              </w:rPr>
              <w:t xml:space="preserve"> </w:t>
            </w:r>
            <w:r>
              <w:t>Identify</w:t>
            </w:r>
            <w:r>
              <w:rPr>
                <w:spacing w:val="-5"/>
              </w:rPr>
              <w:t xml:space="preserve"> </w:t>
            </w:r>
            <w:r>
              <w:t>FBWT</w:t>
            </w:r>
            <w:r>
              <w:rPr>
                <w:spacing w:val="-5"/>
              </w:rPr>
              <w:t xml:space="preserve"> </w:t>
            </w:r>
            <w:r>
              <w:t>general</w:t>
            </w:r>
            <w:r>
              <w:rPr>
                <w:spacing w:val="-6"/>
              </w:rPr>
              <w:t xml:space="preserve"> </w:t>
            </w:r>
            <w:r>
              <w:t>ledger</w:t>
            </w:r>
            <w:r>
              <w:rPr>
                <w:spacing w:val="-5"/>
              </w:rPr>
              <w:t xml:space="preserve"> </w:t>
            </w:r>
            <w:r>
              <w:t>accounts</w:t>
            </w:r>
            <w:r>
              <w:rPr>
                <w:spacing w:val="-4"/>
              </w:rPr>
              <w:t xml:space="preserve"> </w:t>
            </w:r>
            <w:r>
              <w:t>and</w:t>
            </w:r>
            <w:r>
              <w:rPr>
                <w:spacing w:val="-5"/>
              </w:rPr>
              <w:t xml:space="preserve"> </w:t>
            </w:r>
            <w:r>
              <w:t>analytically review with prior-year data.</w:t>
            </w:r>
          </w:p>
        </w:tc>
        <w:tc>
          <w:tcPr>
            <w:tcW w:w="1427" w:type="dxa"/>
            <w:tcBorders>
              <w:top w:val="single" w:sz="4" w:space="0" w:color="000000"/>
              <w:left w:val="single" w:sz="4" w:space="0" w:color="000000"/>
              <w:bottom w:val="single" w:sz="4" w:space="0" w:color="000000"/>
              <w:right w:val="single" w:sz="4" w:space="0" w:color="000000"/>
            </w:tcBorders>
          </w:tcPr>
          <w:p w14:paraId="0DFDC3A4" w14:textId="77777777" w:rsidR="00046465" w:rsidRDefault="00046465">
            <w:pPr>
              <w:pStyle w:val="TableParagraph"/>
              <w:rPr>
                <w:rFonts w:ascii="Times New Roman"/>
              </w:rPr>
            </w:pPr>
          </w:p>
        </w:tc>
        <w:tc>
          <w:tcPr>
            <w:tcW w:w="1061" w:type="dxa"/>
            <w:tcBorders>
              <w:top w:val="single" w:sz="4" w:space="0" w:color="000000"/>
              <w:left w:val="single" w:sz="4" w:space="0" w:color="000000"/>
              <w:bottom w:val="single" w:sz="4" w:space="0" w:color="000000"/>
            </w:tcBorders>
          </w:tcPr>
          <w:p w14:paraId="0DFDC3A5" w14:textId="77777777" w:rsidR="00046465" w:rsidRDefault="00046465">
            <w:pPr>
              <w:pStyle w:val="TableParagraph"/>
              <w:rPr>
                <w:rFonts w:ascii="Times New Roman"/>
              </w:rPr>
            </w:pPr>
          </w:p>
        </w:tc>
      </w:tr>
      <w:tr w:rsidR="00046465" w14:paraId="0DFDC3AA" w14:textId="77777777">
        <w:trPr>
          <w:trHeight w:val="706"/>
        </w:trPr>
        <w:tc>
          <w:tcPr>
            <w:tcW w:w="6719" w:type="dxa"/>
            <w:tcBorders>
              <w:top w:val="single" w:sz="4" w:space="0" w:color="000000"/>
              <w:bottom w:val="single" w:sz="4" w:space="0" w:color="000000"/>
              <w:right w:val="single" w:sz="4" w:space="0" w:color="000000"/>
            </w:tcBorders>
          </w:tcPr>
          <w:p w14:paraId="0DFDC3A7" w14:textId="77777777" w:rsidR="00046465" w:rsidRDefault="008134EB">
            <w:pPr>
              <w:pStyle w:val="TableParagraph"/>
              <w:spacing w:before="100"/>
              <w:ind w:left="845" w:hanging="357"/>
            </w:pPr>
            <w:r>
              <w:t>d)</w:t>
            </w:r>
            <w:r>
              <w:rPr>
                <w:spacing w:val="80"/>
              </w:rPr>
              <w:t xml:space="preserve"> </w:t>
            </w:r>
            <w:r>
              <w:t>Interview</w:t>
            </w:r>
            <w:r>
              <w:rPr>
                <w:spacing w:val="-4"/>
              </w:rPr>
              <w:t xml:space="preserve"> </w:t>
            </w:r>
            <w:r>
              <w:t>key</w:t>
            </w:r>
            <w:r>
              <w:rPr>
                <w:spacing w:val="-4"/>
              </w:rPr>
              <w:t xml:space="preserve"> </w:t>
            </w:r>
            <w:r>
              <w:t>entity</w:t>
            </w:r>
            <w:r>
              <w:rPr>
                <w:spacing w:val="-5"/>
              </w:rPr>
              <w:t xml:space="preserve"> </w:t>
            </w:r>
            <w:r>
              <w:t>staff</w:t>
            </w:r>
            <w:r>
              <w:rPr>
                <w:spacing w:val="-5"/>
              </w:rPr>
              <w:t xml:space="preserve"> </w:t>
            </w:r>
            <w:r>
              <w:t>about</w:t>
            </w:r>
            <w:r>
              <w:rPr>
                <w:spacing w:val="-4"/>
              </w:rPr>
              <w:t xml:space="preserve"> </w:t>
            </w:r>
            <w:r>
              <w:t>their</w:t>
            </w:r>
            <w:r>
              <w:rPr>
                <w:spacing w:val="-5"/>
              </w:rPr>
              <w:t xml:space="preserve"> </w:t>
            </w:r>
            <w:r>
              <w:t>FBWT</w:t>
            </w:r>
            <w:r>
              <w:rPr>
                <w:spacing w:val="-4"/>
              </w:rPr>
              <w:t xml:space="preserve"> </w:t>
            </w:r>
            <w:r>
              <w:t>procedures</w:t>
            </w:r>
            <w:r>
              <w:rPr>
                <w:spacing w:val="-4"/>
              </w:rPr>
              <w:t xml:space="preserve"> </w:t>
            </w:r>
            <w:r>
              <w:t xml:space="preserve">and </w:t>
            </w:r>
            <w:r>
              <w:rPr>
                <w:spacing w:val="-2"/>
              </w:rPr>
              <w:t>controls.</w:t>
            </w:r>
          </w:p>
        </w:tc>
        <w:tc>
          <w:tcPr>
            <w:tcW w:w="1427" w:type="dxa"/>
            <w:tcBorders>
              <w:top w:val="single" w:sz="4" w:space="0" w:color="000000"/>
              <w:left w:val="single" w:sz="4" w:space="0" w:color="000000"/>
              <w:bottom w:val="single" w:sz="4" w:space="0" w:color="000000"/>
              <w:right w:val="single" w:sz="4" w:space="0" w:color="000000"/>
            </w:tcBorders>
          </w:tcPr>
          <w:p w14:paraId="0DFDC3A8" w14:textId="77777777" w:rsidR="00046465" w:rsidRDefault="00046465">
            <w:pPr>
              <w:pStyle w:val="TableParagraph"/>
              <w:rPr>
                <w:rFonts w:ascii="Times New Roman"/>
              </w:rPr>
            </w:pPr>
          </w:p>
        </w:tc>
        <w:tc>
          <w:tcPr>
            <w:tcW w:w="1061" w:type="dxa"/>
            <w:tcBorders>
              <w:top w:val="single" w:sz="4" w:space="0" w:color="000000"/>
              <w:left w:val="single" w:sz="4" w:space="0" w:color="000000"/>
              <w:bottom w:val="single" w:sz="4" w:space="0" w:color="000000"/>
            </w:tcBorders>
          </w:tcPr>
          <w:p w14:paraId="0DFDC3A9" w14:textId="77777777" w:rsidR="00046465" w:rsidRDefault="00046465">
            <w:pPr>
              <w:pStyle w:val="TableParagraph"/>
              <w:rPr>
                <w:rFonts w:ascii="Times New Roman"/>
              </w:rPr>
            </w:pPr>
          </w:p>
        </w:tc>
      </w:tr>
      <w:tr w:rsidR="00046465" w14:paraId="0DFDC3AE" w14:textId="77777777">
        <w:trPr>
          <w:trHeight w:val="1464"/>
        </w:trPr>
        <w:tc>
          <w:tcPr>
            <w:tcW w:w="6719" w:type="dxa"/>
            <w:tcBorders>
              <w:top w:val="single" w:sz="4" w:space="0" w:color="000000"/>
              <w:bottom w:val="single" w:sz="4" w:space="0" w:color="000000"/>
              <w:right w:val="single" w:sz="4" w:space="0" w:color="000000"/>
            </w:tcBorders>
          </w:tcPr>
          <w:p w14:paraId="0DFDC3AB" w14:textId="77777777" w:rsidR="00046465" w:rsidRDefault="008134EB">
            <w:pPr>
              <w:pStyle w:val="TableParagraph"/>
              <w:spacing w:before="99"/>
              <w:ind w:left="845" w:right="176" w:hanging="357"/>
            </w:pPr>
            <w:r>
              <w:t>e)</w:t>
            </w:r>
            <w:r>
              <w:rPr>
                <w:spacing w:val="80"/>
              </w:rPr>
              <w:t xml:space="preserve"> </w:t>
            </w:r>
            <w:r>
              <w:t>Determine how, in conjunction with work performed on other</w:t>
            </w:r>
            <w:r>
              <w:rPr>
                <w:spacing w:val="-6"/>
              </w:rPr>
              <w:t xml:space="preserve"> </w:t>
            </w:r>
            <w:r>
              <w:t>audit</w:t>
            </w:r>
            <w:r>
              <w:rPr>
                <w:spacing w:val="-6"/>
              </w:rPr>
              <w:t xml:space="preserve"> </w:t>
            </w:r>
            <w:r>
              <w:t>cycles,</w:t>
            </w:r>
            <w:r>
              <w:rPr>
                <w:spacing w:val="-7"/>
              </w:rPr>
              <w:t xml:space="preserve"> </w:t>
            </w:r>
            <w:r>
              <w:t>the</w:t>
            </w:r>
            <w:r>
              <w:rPr>
                <w:spacing w:val="-6"/>
              </w:rPr>
              <w:t xml:space="preserve"> </w:t>
            </w:r>
            <w:r>
              <w:t>entity</w:t>
            </w:r>
            <w:r>
              <w:rPr>
                <w:spacing w:val="-6"/>
              </w:rPr>
              <w:t xml:space="preserve"> </w:t>
            </w:r>
            <w:r>
              <w:t>processes</w:t>
            </w:r>
            <w:r>
              <w:rPr>
                <w:spacing w:val="-6"/>
              </w:rPr>
              <w:t xml:space="preserve"> </w:t>
            </w:r>
            <w:r>
              <w:t>FBWT</w:t>
            </w:r>
            <w:r>
              <w:rPr>
                <w:spacing w:val="-6"/>
              </w:rPr>
              <w:t xml:space="preserve"> </w:t>
            </w:r>
            <w:r>
              <w:t>collections and disbursements, either through Treasury Disbursing Offices, entity disbursing centers, Federal Reserve Bank systems, or a combination of these.</w:t>
            </w:r>
          </w:p>
        </w:tc>
        <w:tc>
          <w:tcPr>
            <w:tcW w:w="1427" w:type="dxa"/>
            <w:tcBorders>
              <w:top w:val="single" w:sz="4" w:space="0" w:color="000000"/>
              <w:left w:val="single" w:sz="4" w:space="0" w:color="000000"/>
              <w:bottom w:val="single" w:sz="4" w:space="0" w:color="000000"/>
              <w:right w:val="single" w:sz="4" w:space="0" w:color="000000"/>
            </w:tcBorders>
          </w:tcPr>
          <w:p w14:paraId="0DFDC3AC" w14:textId="77777777" w:rsidR="00046465" w:rsidRDefault="00046465">
            <w:pPr>
              <w:pStyle w:val="TableParagraph"/>
              <w:rPr>
                <w:rFonts w:ascii="Times New Roman"/>
              </w:rPr>
            </w:pPr>
          </w:p>
        </w:tc>
        <w:tc>
          <w:tcPr>
            <w:tcW w:w="1061" w:type="dxa"/>
            <w:tcBorders>
              <w:top w:val="single" w:sz="4" w:space="0" w:color="000000"/>
              <w:left w:val="single" w:sz="4" w:space="0" w:color="000000"/>
              <w:bottom w:val="single" w:sz="4" w:space="0" w:color="000000"/>
            </w:tcBorders>
          </w:tcPr>
          <w:p w14:paraId="0DFDC3AD" w14:textId="77777777" w:rsidR="00046465" w:rsidRDefault="00046465">
            <w:pPr>
              <w:pStyle w:val="TableParagraph"/>
              <w:rPr>
                <w:rFonts w:ascii="Times New Roman"/>
              </w:rPr>
            </w:pPr>
          </w:p>
        </w:tc>
      </w:tr>
      <w:tr w:rsidR="00046465" w14:paraId="0DFDC3B2" w14:textId="77777777">
        <w:trPr>
          <w:trHeight w:val="1211"/>
        </w:trPr>
        <w:tc>
          <w:tcPr>
            <w:tcW w:w="6719" w:type="dxa"/>
            <w:tcBorders>
              <w:top w:val="single" w:sz="4" w:space="0" w:color="000000"/>
              <w:bottom w:val="single" w:sz="4" w:space="0" w:color="000000"/>
              <w:right w:val="single" w:sz="4" w:space="0" w:color="000000"/>
            </w:tcBorders>
          </w:tcPr>
          <w:p w14:paraId="0DFDC3AF" w14:textId="77777777" w:rsidR="00046465" w:rsidRDefault="008134EB">
            <w:pPr>
              <w:pStyle w:val="TableParagraph"/>
              <w:tabs>
                <w:tab w:val="left" w:pos="845"/>
              </w:tabs>
              <w:spacing w:before="99"/>
              <w:ind w:left="845" w:right="475" w:hanging="357"/>
            </w:pPr>
            <w:r>
              <w:rPr>
                <w:spacing w:val="-6"/>
              </w:rPr>
              <w:t>f)</w:t>
            </w:r>
            <w:r>
              <w:tab/>
              <w:t>Obtain an understanding of the significant financial management systems and relevant internal controls, including</w:t>
            </w:r>
            <w:r>
              <w:rPr>
                <w:spacing w:val="-7"/>
              </w:rPr>
              <w:t xml:space="preserve"> </w:t>
            </w:r>
            <w:r>
              <w:t>information</w:t>
            </w:r>
            <w:r>
              <w:rPr>
                <w:spacing w:val="-6"/>
              </w:rPr>
              <w:t xml:space="preserve"> </w:t>
            </w:r>
            <w:r>
              <w:t>system</w:t>
            </w:r>
            <w:r>
              <w:rPr>
                <w:spacing w:val="-7"/>
              </w:rPr>
              <w:t xml:space="preserve"> </w:t>
            </w:r>
            <w:r>
              <w:t>controls,</w:t>
            </w:r>
            <w:r>
              <w:rPr>
                <w:spacing w:val="-6"/>
              </w:rPr>
              <w:t xml:space="preserve"> </w:t>
            </w:r>
            <w:r>
              <w:t>used</w:t>
            </w:r>
            <w:r>
              <w:rPr>
                <w:spacing w:val="-6"/>
              </w:rPr>
              <w:t xml:space="preserve"> </w:t>
            </w:r>
            <w:r>
              <w:t>in</w:t>
            </w:r>
            <w:r>
              <w:rPr>
                <w:spacing w:val="-6"/>
              </w:rPr>
              <w:t xml:space="preserve"> </w:t>
            </w:r>
            <w:r>
              <w:t>reporting and accounting for FBWT activity and balances.</w:t>
            </w:r>
          </w:p>
        </w:tc>
        <w:tc>
          <w:tcPr>
            <w:tcW w:w="1427" w:type="dxa"/>
            <w:tcBorders>
              <w:top w:val="single" w:sz="4" w:space="0" w:color="000000"/>
              <w:left w:val="single" w:sz="4" w:space="0" w:color="000000"/>
              <w:bottom w:val="single" w:sz="4" w:space="0" w:color="000000"/>
              <w:right w:val="single" w:sz="4" w:space="0" w:color="000000"/>
            </w:tcBorders>
          </w:tcPr>
          <w:p w14:paraId="0DFDC3B0" w14:textId="77777777" w:rsidR="00046465" w:rsidRDefault="00046465">
            <w:pPr>
              <w:pStyle w:val="TableParagraph"/>
              <w:rPr>
                <w:rFonts w:ascii="Times New Roman"/>
              </w:rPr>
            </w:pPr>
          </w:p>
        </w:tc>
        <w:tc>
          <w:tcPr>
            <w:tcW w:w="1061" w:type="dxa"/>
            <w:tcBorders>
              <w:top w:val="single" w:sz="4" w:space="0" w:color="000000"/>
              <w:left w:val="single" w:sz="4" w:space="0" w:color="000000"/>
              <w:bottom w:val="single" w:sz="4" w:space="0" w:color="000000"/>
            </w:tcBorders>
          </w:tcPr>
          <w:p w14:paraId="0DFDC3B1" w14:textId="77777777" w:rsidR="00046465" w:rsidRDefault="00046465">
            <w:pPr>
              <w:pStyle w:val="TableParagraph"/>
              <w:rPr>
                <w:rFonts w:ascii="Times New Roman"/>
              </w:rPr>
            </w:pPr>
          </w:p>
        </w:tc>
      </w:tr>
      <w:tr w:rsidR="00046465" w14:paraId="0DFDC3B6" w14:textId="77777777">
        <w:trPr>
          <w:trHeight w:val="1212"/>
        </w:trPr>
        <w:tc>
          <w:tcPr>
            <w:tcW w:w="6719" w:type="dxa"/>
            <w:tcBorders>
              <w:top w:val="single" w:sz="4" w:space="0" w:color="000000"/>
              <w:bottom w:val="single" w:sz="4" w:space="0" w:color="000000"/>
              <w:right w:val="single" w:sz="4" w:space="0" w:color="000000"/>
            </w:tcBorders>
          </w:tcPr>
          <w:p w14:paraId="0DFDC3B3" w14:textId="77777777" w:rsidR="00046465" w:rsidRDefault="008134EB">
            <w:pPr>
              <w:pStyle w:val="TableParagraph"/>
              <w:spacing w:before="100"/>
              <w:ind w:left="845" w:right="97" w:hanging="357"/>
            </w:pPr>
            <w:r>
              <w:t>g)</w:t>
            </w:r>
            <w:r>
              <w:rPr>
                <w:spacing w:val="80"/>
              </w:rPr>
              <w:t xml:space="preserve"> </w:t>
            </w:r>
            <w:r>
              <w:t>Identify and document relevant control activities related to FBWT and determine whether they have been implemented</w:t>
            </w:r>
            <w:r>
              <w:rPr>
                <w:spacing w:val="-5"/>
              </w:rPr>
              <w:t xml:space="preserve"> </w:t>
            </w:r>
            <w:r>
              <w:t>(see</w:t>
            </w:r>
            <w:r>
              <w:rPr>
                <w:spacing w:val="-5"/>
              </w:rPr>
              <w:t xml:space="preserve"> </w:t>
            </w:r>
            <w:r>
              <w:t>FAM</w:t>
            </w:r>
            <w:r>
              <w:rPr>
                <w:spacing w:val="-6"/>
              </w:rPr>
              <w:t xml:space="preserve"> </w:t>
            </w:r>
            <w:r>
              <w:t>350),</w:t>
            </w:r>
            <w:r>
              <w:rPr>
                <w:spacing w:val="-5"/>
              </w:rPr>
              <w:t xml:space="preserve"> </w:t>
            </w:r>
            <w:r>
              <w:t>such</w:t>
            </w:r>
            <w:r>
              <w:rPr>
                <w:spacing w:val="-5"/>
              </w:rPr>
              <w:t xml:space="preserve"> </w:t>
            </w:r>
            <w:r>
              <w:t>as</w:t>
            </w:r>
            <w:r>
              <w:rPr>
                <w:spacing w:val="-5"/>
              </w:rPr>
              <w:t xml:space="preserve"> </w:t>
            </w:r>
            <w:r>
              <w:t>through</w:t>
            </w:r>
            <w:r>
              <w:rPr>
                <w:spacing w:val="-5"/>
              </w:rPr>
              <w:t xml:space="preserve"> </w:t>
            </w:r>
            <w:r>
              <w:t>the</w:t>
            </w:r>
            <w:r>
              <w:rPr>
                <w:spacing w:val="-5"/>
              </w:rPr>
              <w:t xml:space="preserve"> </w:t>
            </w:r>
            <w:r>
              <w:t>following audit procedures.</w:t>
            </w:r>
          </w:p>
        </w:tc>
        <w:tc>
          <w:tcPr>
            <w:tcW w:w="1427" w:type="dxa"/>
            <w:tcBorders>
              <w:top w:val="single" w:sz="4" w:space="0" w:color="000000"/>
              <w:left w:val="single" w:sz="4" w:space="0" w:color="000000"/>
              <w:bottom w:val="single" w:sz="4" w:space="0" w:color="000000"/>
              <w:right w:val="single" w:sz="4" w:space="0" w:color="000000"/>
            </w:tcBorders>
          </w:tcPr>
          <w:p w14:paraId="0DFDC3B4" w14:textId="77777777" w:rsidR="00046465" w:rsidRDefault="00046465">
            <w:pPr>
              <w:pStyle w:val="TableParagraph"/>
              <w:rPr>
                <w:rFonts w:ascii="Times New Roman"/>
              </w:rPr>
            </w:pPr>
          </w:p>
        </w:tc>
        <w:tc>
          <w:tcPr>
            <w:tcW w:w="1061" w:type="dxa"/>
            <w:tcBorders>
              <w:top w:val="single" w:sz="4" w:space="0" w:color="000000"/>
              <w:left w:val="single" w:sz="4" w:space="0" w:color="000000"/>
              <w:bottom w:val="single" w:sz="4" w:space="0" w:color="000000"/>
            </w:tcBorders>
          </w:tcPr>
          <w:p w14:paraId="0DFDC3B5" w14:textId="77777777" w:rsidR="00046465" w:rsidRDefault="00046465">
            <w:pPr>
              <w:pStyle w:val="TableParagraph"/>
              <w:rPr>
                <w:rFonts w:ascii="Times New Roman"/>
              </w:rPr>
            </w:pPr>
          </w:p>
        </w:tc>
      </w:tr>
      <w:tr w:rsidR="00046465" w14:paraId="0DFDC3BA" w14:textId="77777777">
        <w:trPr>
          <w:trHeight w:val="1465"/>
        </w:trPr>
        <w:tc>
          <w:tcPr>
            <w:tcW w:w="6719" w:type="dxa"/>
            <w:tcBorders>
              <w:top w:val="single" w:sz="4" w:space="0" w:color="000000"/>
              <w:right w:val="single" w:sz="4" w:space="0" w:color="000000"/>
            </w:tcBorders>
          </w:tcPr>
          <w:p w14:paraId="0DFDC3B7" w14:textId="77777777" w:rsidR="00046465" w:rsidRDefault="008134EB">
            <w:pPr>
              <w:pStyle w:val="TableParagraph"/>
              <w:spacing w:before="99"/>
              <w:ind w:left="1205" w:right="176" w:hanging="291"/>
            </w:pPr>
            <w:r>
              <w:t>i.</w:t>
            </w:r>
            <w:r>
              <w:rPr>
                <w:spacing w:val="80"/>
              </w:rPr>
              <w:t xml:space="preserve"> </w:t>
            </w:r>
            <w:r>
              <w:t>Obtain an understanding of the CARS reporting processes</w:t>
            </w:r>
            <w:r>
              <w:rPr>
                <w:spacing w:val="-7"/>
              </w:rPr>
              <w:t xml:space="preserve"> </w:t>
            </w:r>
            <w:r>
              <w:t>and</w:t>
            </w:r>
            <w:r>
              <w:rPr>
                <w:spacing w:val="-6"/>
              </w:rPr>
              <w:t xml:space="preserve"> </w:t>
            </w:r>
            <w:r>
              <w:t>procedures,</w:t>
            </w:r>
            <w:r>
              <w:rPr>
                <w:spacing w:val="-6"/>
              </w:rPr>
              <w:t xml:space="preserve"> </w:t>
            </w:r>
            <w:r>
              <w:t>including</w:t>
            </w:r>
            <w:r>
              <w:rPr>
                <w:spacing w:val="-7"/>
              </w:rPr>
              <w:t xml:space="preserve"> </w:t>
            </w:r>
            <w:r>
              <w:t>how</w:t>
            </w:r>
            <w:r>
              <w:rPr>
                <w:spacing w:val="-7"/>
              </w:rPr>
              <w:t xml:space="preserve"> </w:t>
            </w:r>
            <w:r>
              <w:t>the</w:t>
            </w:r>
            <w:r>
              <w:rPr>
                <w:spacing w:val="-6"/>
              </w:rPr>
              <w:t xml:space="preserve"> </w:t>
            </w:r>
            <w:r>
              <w:t>entity reports</w:t>
            </w:r>
            <w:r>
              <w:rPr>
                <w:spacing w:val="-6"/>
              </w:rPr>
              <w:t xml:space="preserve"> </w:t>
            </w:r>
            <w:r>
              <w:t>increases</w:t>
            </w:r>
            <w:r>
              <w:rPr>
                <w:spacing w:val="-6"/>
              </w:rPr>
              <w:t xml:space="preserve"> </w:t>
            </w:r>
            <w:r>
              <w:t>(such</w:t>
            </w:r>
            <w:r>
              <w:rPr>
                <w:spacing w:val="-7"/>
              </w:rPr>
              <w:t xml:space="preserve"> </w:t>
            </w:r>
            <w:r>
              <w:t>as</w:t>
            </w:r>
            <w:r>
              <w:rPr>
                <w:spacing w:val="-6"/>
              </w:rPr>
              <w:t xml:space="preserve"> </w:t>
            </w:r>
            <w:r>
              <w:t>receipts</w:t>
            </w:r>
            <w:r>
              <w:rPr>
                <w:spacing w:val="-7"/>
              </w:rPr>
              <w:t xml:space="preserve"> </w:t>
            </w:r>
            <w:r>
              <w:t>and</w:t>
            </w:r>
            <w:r>
              <w:rPr>
                <w:spacing w:val="-6"/>
              </w:rPr>
              <w:t xml:space="preserve"> </w:t>
            </w:r>
            <w:r>
              <w:t>collections) and decreases (such as disbursements and investments) to CARS.</w:t>
            </w:r>
          </w:p>
        </w:tc>
        <w:tc>
          <w:tcPr>
            <w:tcW w:w="1427" w:type="dxa"/>
            <w:tcBorders>
              <w:top w:val="single" w:sz="4" w:space="0" w:color="000000"/>
              <w:left w:val="single" w:sz="4" w:space="0" w:color="000000"/>
              <w:right w:val="single" w:sz="4" w:space="0" w:color="000000"/>
            </w:tcBorders>
          </w:tcPr>
          <w:p w14:paraId="0DFDC3B8" w14:textId="77777777" w:rsidR="00046465" w:rsidRDefault="00046465">
            <w:pPr>
              <w:pStyle w:val="TableParagraph"/>
              <w:rPr>
                <w:rFonts w:ascii="Times New Roman"/>
              </w:rPr>
            </w:pPr>
          </w:p>
        </w:tc>
        <w:tc>
          <w:tcPr>
            <w:tcW w:w="1061" w:type="dxa"/>
            <w:tcBorders>
              <w:top w:val="single" w:sz="4" w:space="0" w:color="000000"/>
              <w:left w:val="single" w:sz="4" w:space="0" w:color="000000"/>
            </w:tcBorders>
          </w:tcPr>
          <w:p w14:paraId="0DFDC3B9" w14:textId="77777777" w:rsidR="00046465" w:rsidRDefault="00046465">
            <w:pPr>
              <w:pStyle w:val="TableParagraph"/>
              <w:rPr>
                <w:rFonts w:ascii="Times New Roman"/>
              </w:rPr>
            </w:pPr>
          </w:p>
        </w:tc>
      </w:tr>
    </w:tbl>
    <w:p w14:paraId="0DFDC3BB" w14:textId="77777777" w:rsidR="00046465" w:rsidRDefault="00046465">
      <w:pPr>
        <w:pStyle w:val="TableParagraph"/>
        <w:rPr>
          <w:rFonts w:ascii="Times New Roman"/>
        </w:rPr>
        <w:sectPr w:rsidR="00046465">
          <w:headerReference w:type="default" r:id="rId204"/>
          <w:footerReference w:type="default" r:id="rId205"/>
          <w:pgSz w:w="12240" w:h="15840"/>
          <w:pgMar w:top="1340" w:right="720" w:bottom="940" w:left="1080" w:header="721" w:footer="757" w:gutter="0"/>
          <w:pgNumType w:start="1"/>
          <w:cols w:space="720"/>
        </w:sectPr>
      </w:pPr>
    </w:p>
    <w:p w14:paraId="0DFDC3BC" w14:textId="77777777" w:rsidR="00046465" w:rsidRDefault="00046465">
      <w:pPr>
        <w:pStyle w:val="BodyText"/>
        <w:spacing w:before="9"/>
        <w:rPr>
          <w:b/>
          <w:sz w:val="11"/>
        </w:rPr>
      </w:pPr>
    </w:p>
    <w:tbl>
      <w:tblPr>
        <w:tblW w:w="0" w:type="auto"/>
        <w:tblInd w:w="51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719"/>
        <w:gridCol w:w="1427"/>
        <w:gridCol w:w="1061"/>
      </w:tblGrid>
      <w:tr w:rsidR="00046465" w14:paraId="0DFDC3C0" w14:textId="77777777">
        <w:trPr>
          <w:trHeight w:val="505"/>
        </w:trPr>
        <w:tc>
          <w:tcPr>
            <w:tcW w:w="6719" w:type="dxa"/>
            <w:tcBorders>
              <w:right w:val="single" w:sz="4" w:space="0" w:color="000000"/>
            </w:tcBorders>
          </w:tcPr>
          <w:p w14:paraId="0DFDC3BD" w14:textId="77777777" w:rsidR="00046465" w:rsidRDefault="008134EB">
            <w:pPr>
              <w:pStyle w:val="TableParagraph"/>
              <w:ind w:left="92"/>
              <w:rPr>
                <w:b/>
              </w:rPr>
            </w:pPr>
            <w:r>
              <w:rPr>
                <w:b/>
                <w:spacing w:val="-2"/>
              </w:rPr>
              <w:t>Procedures</w:t>
            </w:r>
          </w:p>
        </w:tc>
        <w:tc>
          <w:tcPr>
            <w:tcW w:w="1427" w:type="dxa"/>
            <w:tcBorders>
              <w:left w:val="single" w:sz="4" w:space="0" w:color="000000"/>
              <w:right w:val="single" w:sz="4" w:space="0" w:color="000000"/>
            </w:tcBorders>
          </w:tcPr>
          <w:p w14:paraId="0DFDC3BE" w14:textId="77777777" w:rsidR="00046465" w:rsidRDefault="008134EB">
            <w:pPr>
              <w:pStyle w:val="TableParagraph"/>
              <w:ind w:left="108"/>
              <w:rPr>
                <w:b/>
              </w:rPr>
            </w:pPr>
            <w:r>
              <w:rPr>
                <w:b/>
                <w:spacing w:val="-2"/>
              </w:rPr>
              <w:t>Initials/date</w:t>
            </w:r>
          </w:p>
        </w:tc>
        <w:tc>
          <w:tcPr>
            <w:tcW w:w="1061" w:type="dxa"/>
            <w:tcBorders>
              <w:left w:val="single" w:sz="4" w:space="0" w:color="000000"/>
            </w:tcBorders>
          </w:tcPr>
          <w:p w14:paraId="0DFDC3BF" w14:textId="77777777" w:rsidR="00046465" w:rsidRDefault="008134EB">
            <w:pPr>
              <w:pStyle w:val="TableParagraph"/>
              <w:spacing w:line="250" w:lineRule="atLeast"/>
              <w:ind w:left="109" w:right="443"/>
              <w:rPr>
                <w:b/>
              </w:rPr>
            </w:pPr>
            <w:r>
              <w:rPr>
                <w:b/>
                <w:spacing w:val="-4"/>
              </w:rPr>
              <w:t>Doc. ref.</w:t>
            </w:r>
          </w:p>
        </w:tc>
      </w:tr>
      <w:tr w:rsidR="00046465" w14:paraId="0DFDC3C4" w14:textId="77777777">
        <w:trPr>
          <w:trHeight w:val="1683"/>
        </w:trPr>
        <w:tc>
          <w:tcPr>
            <w:tcW w:w="6719" w:type="dxa"/>
            <w:tcBorders>
              <w:bottom w:val="single" w:sz="4" w:space="0" w:color="000000"/>
              <w:right w:val="single" w:sz="4" w:space="0" w:color="000000"/>
            </w:tcBorders>
          </w:tcPr>
          <w:p w14:paraId="0DFDC3C1" w14:textId="77777777" w:rsidR="00046465" w:rsidRDefault="008134EB">
            <w:pPr>
              <w:pStyle w:val="TableParagraph"/>
              <w:spacing w:before="65"/>
              <w:ind w:left="1205" w:right="97" w:hanging="340"/>
            </w:pPr>
            <w:r>
              <w:t>ii.</w:t>
            </w:r>
            <w:r>
              <w:rPr>
                <w:spacing w:val="80"/>
              </w:rPr>
              <w:t xml:space="preserve"> </w:t>
            </w:r>
            <w:r>
              <w:t>Obtain an understanding and walk through entity internal controls over its FBWT reconciliation process for FBWT balances and FBWT activity, including procedures</w:t>
            </w:r>
            <w:r>
              <w:rPr>
                <w:spacing w:val="-7"/>
              </w:rPr>
              <w:t xml:space="preserve"> </w:t>
            </w:r>
            <w:r>
              <w:t>for</w:t>
            </w:r>
            <w:r>
              <w:rPr>
                <w:spacing w:val="-7"/>
              </w:rPr>
              <w:t xml:space="preserve"> </w:t>
            </w:r>
            <w:r>
              <w:t>aging</w:t>
            </w:r>
            <w:r>
              <w:rPr>
                <w:spacing w:val="-7"/>
              </w:rPr>
              <w:t xml:space="preserve"> </w:t>
            </w:r>
            <w:r>
              <w:t>and</w:t>
            </w:r>
            <w:r>
              <w:rPr>
                <w:spacing w:val="-8"/>
              </w:rPr>
              <w:t xml:space="preserve"> </w:t>
            </w:r>
            <w:r>
              <w:t>timely</w:t>
            </w:r>
            <w:r>
              <w:rPr>
                <w:spacing w:val="-7"/>
              </w:rPr>
              <w:t xml:space="preserve"> </w:t>
            </w:r>
            <w:r>
              <w:t>resolving</w:t>
            </w:r>
            <w:r>
              <w:rPr>
                <w:spacing w:val="-7"/>
              </w:rPr>
              <w:t xml:space="preserve"> </w:t>
            </w:r>
            <w:r>
              <w:t>unreconciled differences, and determine whether reconciliation controls have been implemented effectively.</w:t>
            </w:r>
          </w:p>
        </w:tc>
        <w:tc>
          <w:tcPr>
            <w:tcW w:w="1427" w:type="dxa"/>
            <w:tcBorders>
              <w:left w:val="single" w:sz="4" w:space="0" w:color="000000"/>
              <w:bottom w:val="single" w:sz="4" w:space="0" w:color="000000"/>
              <w:right w:val="single" w:sz="4" w:space="0" w:color="000000"/>
            </w:tcBorders>
          </w:tcPr>
          <w:p w14:paraId="0DFDC3C2" w14:textId="77777777" w:rsidR="00046465" w:rsidRDefault="00046465">
            <w:pPr>
              <w:pStyle w:val="TableParagraph"/>
              <w:rPr>
                <w:rFonts w:ascii="Times New Roman"/>
                <w:sz w:val="20"/>
              </w:rPr>
            </w:pPr>
          </w:p>
        </w:tc>
        <w:tc>
          <w:tcPr>
            <w:tcW w:w="1061" w:type="dxa"/>
            <w:tcBorders>
              <w:left w:val="single" w:sz="4" w:space="0" w:color="000000"/>
              <w:bottom w:val="single" w:sz="4" w:space="0" w:color="000000"/>
            </w:tcBorders>
          </w:tcPr>
          <w:p w14:paraId="0DFDC3C3" w14:textId="77777777" w:rsidR="00046465" w:rsidRDefault="00046465">
            <w:pPr>
              <w:pStyle w:val="TableParagraph"/>
              <w:rPr>
                <w:rFonts w:ascii="Times New Roman"/>
                <w:sz w:val="20"/>
              </w:rPr>
            </w:pPr>
          </w:p>
        </w:tc>
      </w:tr>
      <w:tr w:rsidR="00046465" w14:paraId="0DFDC3C8" w14:textId="77777777">
        <w:trPr>
          <w:trHeight w:val="1211"/>
        </w:trPr>
        <w:tc>
          <w:tcPr>
            <w:tcW w:w="6719" w:type="dxa"/>
            <w:tcBorders>
              <w:top w:val="single" w:sz="4" w:space="0" w:color="000000"/>
              <w:bottom w:val="single" w:sz="4" w:space="0" w:color="000000"/>
              <w:right w:val="single" w:sz="4" w:space="0" w:color="000000"/>
            </w:tcBorders>
          </w:tcPr>
          <w:p w14:paraId="0DFDC3C5" w14:textId="77777777" w:rsidR="00046465" w:rsidRDefault="008134EB">
            <w:pPr>
              <w:pStyle w:val="TableParagraph"/>
              <w:spacing w:before="99"/>
              <w:ind w:left="1205" w:right="176" w:hanging="388"/>
            </w:pPr>
            <w:r>
              <w:t>iii.</w:t>
            </w:r>
            <w:r>
              <w:rPr>
                <w:spacing w:val="80"/>
              </w:rPr>
              <w:t xml:space="preserve"> </w:t>
            </w:r>
            <w:r>
              <w:t>Identify</w:t>
            </w:r>
            <w:r>
              <w:rPr>
                <w:spacing w:val="-4"/>
              </w:rPr>
              <w:t xml:space="preserve"> </w:t>
            </w:r>
            <w:r>
              <w:t>clearing</w:t>
            </w:r>
            <w:r>
              <w:rPr>
                <w:spacing w:val="-4"/>
              </w:rPr>
              <w:t xml:space="preserve"> </w:t>
            </w:r>
            <w:r>
              <w:t>accounts</w:t>
            </w:r>
            <w:r>
              <w:rPr>
                <w:spacing w:val="-4"/>
              </w:rPr>
              <w:t xml:space="preserve"> </w:t>
            </w:r>
            <w:r>
              <w:t>that</w:t>
            </w:r>
            <w:r>
              <w:rPr>
                <w:spacing w:val="-4"/>
              </w:rPr>
              <w:t xml:space="preserve"> </w:t>
            </w:r>
            <w:r>
              <w:t>the</w:t>
            </w:r>
            <w:r>
              <w:rPr>
                <w:spacing w:val="-4"/>
              </w:rPr>
              <w:t xml:space="preserve"> </w:t>
            </w:r>
            <w:r>
              <w:t>entity</w:t>
            </w:r>
            <w:r>
              <w:rPr>
                <w:spacing w:val="-4"/>
              </w:rPr>
              <w:t xml:space="preserve"> </w:t>
            </w:r>
            <w:r>
              <w:t>uses</w:t>
            </w:r>
            <w:r>
              <w:rPr>
                <w:spacing w:val="-4"/>
              </w:rPr>
              <w:t xml:space="preserve"> </w:t>
            </w:r>
            <w:r>
              <w:t>to</w:t>
            </w:r>
            <w:r>
              <w:rPr>
                <w:spacing w:val="-4"/>
              </w:rPr>
              <w:t xml:space="preserve"> </w:t>
            </w:r>
            <w:r>
              <w:t>report unreconciled</w:t>
            </w:r>
            <w:r>
              <w:rPr>
                <w:spacing w:val="-8"/>
              </w:rPr>
              <w:t xml:space="preserve"> </w:t>
            </w:r>
            <w:r>
              <w:t>differences</w:t>
            </w:r>
            <w:r>
              <w:rPr>
                <w:spacing w:val="-8"/>
              </w:rPr>
              <w:t xml:space="preserve"> </w:t>
            </w:r>
            <w:r>
              <w:t>and</w:t>
            </w:r>
            <w:r>
              <w:rPr>
                <w:spacing w:val="-8"/>
              </w:rPr>
              <w:t xml:space="preserve"> </w:t>
            </w:r>
            <w:r>
              <w:t>determine</w:t>
            </w:r>
            <w:r>
              <w:rPr>
                <w:spacing w:val="-8"/>
              </w:rPr>
              <w:t xml:space="preserve"> </w:t>
            </w:r>
            <w:r>
              <w:t>if</w:t>
            </w:r>
            <w:r>
              <w:rPr>
                <w:spacing w:val="-8"/>
              </w:rPr>
              <w:t xml:space="preserve"> </w:t>
            </w:r>
            <w:r>
              <w:t xml:space="preserve">transactions are classified to the proper accounts in a timely </w:t>
            </w:r>
            <w:r>
              <w:rPr>
                <w:spacing w:val="-2"/>
              </w:rPr>
              <w:t>manner.</w:t>
            </w:r>
          </w:p>
        </w:tc>
        <w:tc>
          <w:tcPr>
            <w:tcW w:w="1427" w:type="dxa"/>
            <w:tcBorders>
              <w:top w:val="single" w:sz="4" w:space="0" w:color="000000"/>
              <w:left w:val="single" w:sz="4" w:space="0" w:color="000000"/>
              <w:bottom w:val="single" w:sz="4" w:space="0" w:color="000000"/>
              <w:right w:val="single" w:sz="4" w:space="0" w:color="000000"/>
            </w:tcBorders>
          </w:tcPr>
          <w:p w14:paraId="0DFDC3C6"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3C7" w14:textId="77777777" w:rsidR="00046465" w:rsidRDefault="00046465">
            <w:pPr>
              <w:pStyle w:val="TableParagraph"/>
              <w:rPr>
                <w:rFonts w:ascii="Times New Roman"/>
                <w:sz w:val="20"/>
              </w:rPr>
            </w:pPr>
          </w:p>
        </w:tc>
      </w:tr>
      <w:tr w:rsidR="00046465" w14:paraId="0DFDC3CC" w14:textId="77777777">
        <w:trPr>
          <w:trHeight w:val="1212"/>
        </w:trPr>
        <w:tc>
          <w:tcPr>
            <w:tcW w:w="6719" w:type="dxa"/>
            <w:tcBorders>
              <w:top w:val="single" w:sz="4" w:space="0" w:color="000000"/>
              <w:bottom w:val="single" w:sz="4" w:space="0" w:color="000000"/>
              <w:right w:val="single" w:sz="4" w:space="0" w:color="000000"/>
            </w:tcBorders>
          </w:tcPr>
          <w:p w14:paraId="0DFDC3C9" w14:textId="77777777" w:rsidR="00046465" w:rsidRDefault="008134EB">
            <w:pPr>
              <w:pStyle w:val="TableParagraph"/>
              <w:spacing w:before="100"/>
              <w:ind w:left="1205" w:right="176" w:hanging="401"/>
            </w:pPr>
            <w:r>
              <w:t>iv.</w:t>
            </w:r>
            <w:r>
              <w:rPr>
                <w:spacing w:val="80"/>
              </w:rPr>
              <w:t xml:space="preserve"> </w:t>
            </w:r>
            <w:r>
              <w:t>Obtain</w:t>
            </w:r>
            <w:r>
              <w:rPr>
                <w:spacing w:val="-4"/>
              </w:rPr>
              <w:t xml:space="preserve"> </w:t>
            </w:r>
            <w:r>
              <w:t>an</w:t>
            </w:r>
            <w:r>
              <w:rPr>
                <w:spacing w:val="-4"/>
              </w:rPr>
              <w:t xml:space="preserve"> </w:t>
            </w:r>
            <w:r>
              <w:t>understanding</w:t>
            </w:r>
            <w:r>
              <w:rPr>
                <w:spacing w:val="-4"/>
              </w:rPr>
              <w:t xml:space="preserve"> </w:t>
            </w:r>
            <w:r>
              <w:t>of</w:t>
            </w:r>
            <w:r>
              <w:rPr>
                <w:spacing w:val="-4"/>
              </w:rPr>
              <w:t xml:space="preserve"> </w:t>
            </w:r>
            <w:r>
              <w:t>the</w:t>
            </w:r>
            <w:r>
              <w:rPr>
                <w:spacing w:val="-4"/>
              </w:rPr>
              <w:t xml:space="preserve"> </w:t>
            </w:r>
            <w:r>
              <w:t>entity’s</w:t>
            </w:r>
            <w:r>
              <w:rPr>
                <w:spacing w:val="-4"/>
              </w:rPr>
              <w:t xml:space="preserve"> </w:t>
            </w:r>
            <w:r>
              <w:t>procedures</w:t>
            </w:r>
            <w:r>
              <w:rPr>
                <w:spacing w:val="-4"/>
              </w:rPr>
              <w:t xml:space="preserve"> </w:t>
            </w:r>
            <w:r>
              <w:t>for recording and tracking adjustments to clearing accounts and assess the effect of clearing account balances on the entity’s FBWT at fiscal year-end.</w:t>
            </w:r>
          </w:p>
        </w:tc>
        <w:tc>
          <w:tcPr>
            <w:tcW w:w="1427" w:type="dxa"/>
            <w:tcBorders>
              <w:top w:val="single" w:sz="4" w:space="0" w:color="000000"/>
              <w:left w:val="single" w:sz="4" w:space="0" w:color="000000"/>
              <w:bottom w:val="single" w:sz="4" w:space="0" w:color="000000"/>
              <w:right w:val="single" w:sz="4" w:space="0" w:color="000000"/>
            </w:tcBorders>
          </w:tcPr>
          <w:p w14:paraId="0DFDC3CA"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3CB" w14:textId="77777777" w:rsidR="00046465" w:rsidRDefault="00046465">
            <w:pPr>
              <w:pStyle w:val="TableParagraph"/>
              <w:rPr>
                <w:rFonts w:ascii="Times New Roman"/>
                <w:sz w:val="20"/>
              </w:rPr>
            </w:pPr>
          </w:p>
        </w:tc>
      </w:tr>
      <w:tr w:rsidR="00046465" w14:paraId="0DFDC3D0" w14:textId="77777777">
        <w:trPr>
          <w:trHeight w:val="1211"/>
        </w:trPr>
        <w:tc>
          <w:tcPr>
            <w:tcW w:w="6719" w:type="dxa"/>
            <w:tcBorders>
              <w:top w:val="single" w:sz="4" w:space="0" w:color="000000"/>
              <w:bottom w:val="single" w:sz="4" w:space="0" w:color="000000"/>
              <w:right w:val="single" w:sz="4" w:space="0" w:color="000000"/>
            </w:tcBorders>
          </w:tcPr>
          <w:p w14:paraId="0DFDC3CD" w14:textId="77777777" w:rsidR="00046465" w:rsidRDefault="008134EB">
            <w:pPr>
              <w:pStyle w:val="TableParagraph"/>
              <w:spacing w:before="99"/>
              <w:ind w:left="1205" w:right="176" w:hanging="352"/>
            </w:pPr>
            <w:r>
              <w:t>v.</w:t>
            </w:r>
            <w:r>
              <w:rPr>
                <w:spacing w:val="80"/>
              </w:rPr>
              <w:t xml:space="preserve"> </w:t>
            </w:r>
            <w:r>
              <w:t>Determine</w:t>
            </w:r>
            <w:r>
              <w:rPr>
                <w:spacing w:val="-3"/>
              </w:rPr>
              <w:t xml:space="preserve"> </w:t>
            </w:r>
            <w:r>
              <w:t>whether</w:t>
            </w:r>
            <w:r>
              <w:rPr>
                <w:spacing w:val="-4"/>
              </w:rPr>
              <w:t xml:space="preserve"> </w:t>
            </w:r>
            <w:r>
              <w:t>the</w:t>
            </w:r>
            <w:r>
              <w:rPr>
                <w:spacing w:val="-4"/>
              </w:rPr>
              <w:t xml:space="preserve"> </w:t>
            </w:r>
            <w:r>
              <w:t>entity</w:t>
            </w:r>
            <w:r>
              <w:rPr>
                <w:spacing w:val="-4"/>
              </w:rPr>
              <w:t xml:space="preserve"> </w:t>
            </w:r>
            <w:r>
              <w:t>is</w:t>
            </w:r>
            <w:r>
              <w:rPr>
                <w:spacing w:val="-5"/>
              </w:rPr>
              <w:t xml:space="preserve"> </w:t>
            </w:r>
            <w:r>
              <w:t>properly</w:t>
            </w:r>
            <w:r>
              <w:rPr>
                <w:spacing w:val="-4"/>
              </w:rPr>
              <w:t xml:space="preserve"> </w:t>
            </w:r>
            <w:r>
              <w:t>accounting</w:t>
            </w:r>
            <w:r>
              <w:rPr>
                <w:spacing w:val="-4"/>
              </w:rPr>
              <w:t xml:space="preserve"> </w:t>
            </w:r>
            <w:r>
              <w:t xml:space="preserve">for the FBWT line item in accordance with U.S. GAAP (see FAM 2010, </w:t>
            </w:r>
            <w:r>
              <w:rPr>
                <w:i/>
              </w:rPr>
              <w:t xml:space="preserve">Federal Financial Reporting </w:t>
            </w:r>
            <w:r>
              <w:rPr>
                <w:i/>
                <w:spacing w:val="-2"/>
              </w:rPr>
              <w:t>Checklist</w:t>
            </w:r>
            <w:r>
              <w:rPr>
                <w:spacing w:val="-2"/>
              </w:rPr>
              <w:t>.)</w:t>
            </w:r>
          </w:p>
        </w:tc>
        <w:tc>
          <w:tcPr>
            <w:tcW w:w="1427" w:type="dxa"/>
            <w:tcBorders>
              <w:top w:val="single" w:sz="4" w:space="0" w:color="000000"/>
              <w:left w:val="single" w:sz="4" w:space="0" w:color="000000"/>
              <w:bottom w:val="single" w:sz="4" w:space="0" w:color="000000"/>
              <w:right w:val="single" w:sz="4" w:space="0" w:color="000000"/>
            </w:tcBorders>
          </w:tcPr>
          <w:p w14:paraId="0DFDC3CE"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3CF" w14:textId="77777777" w:rsidR="00046465" w:rsidRDefault="00046465">
            <w:pPr>
              <w:pStyle w:val="TableParagraph"/>
              <w:rPr>
                <w:rFonts w:ascii="Times New Roman"/>
                <w:sz w:val="20"/>
              </w:rPr>
            </w:pPr>
          </w:p>
        </w:tc>
      </w:tr>
      <w:tr w:rsidR="00046465" w14:paraId="0DFDC3D4" w14:textId="77777777">
        <w:trPr>
          <w:trHeight w:val="1211"/>
        </w:trPr>
        <w:tc>
          <w:tcPr>
            <w:tcW w:w="6719" w:type="dxa"/>
            <w:tcBorders>
              <w:top w:val="single" w:sz="4" w:space="0" w:color="000000"/>
              <w:bottom w:val="single" w:sz="4" w:space="0" w:color="000000"/>
              <w:right w:val="single" w:sz="4" w:space="0" w:color="000000"/>
            </w:tcBorders>
          </w:tcPr>
          <w:p w14:paraId="0DFDC3D1" w14:textId="77777777" w:rsidR="00046465" w:rsidRDefault="008134EB">
            <w:pPr>
              <w:pStyle w:val="TableParagraph"/>
              <w:spacing w:before="99"/>
              <w:ind w:left="845" w:hanging="361"/>
            </w:pPr>
            <w:r>
              <w:t>h)</w:t>
            </w:r>
            <w:r>
              <w:rPr>
                <w:spacing w:val="80"/>
              </w:rPr>
              <w:t xml:space="preserve"> </w:t>
            </w:r>
            <w:r>
              <w:t>Document results in a cycle memo, walk-through, specific control</w:t>
            </w:r>
            <w:r>
              <w:rPr>
                <w:spacing w:val="-6"/>
              </w:rPr>
              <w:t xml:space="preserve"> </w:t>
            </w:r>
            <w:r>
              <w:t>evaluation</w:t>
            </w:r>
            <w:r>
              <w:rPr>
                <w:spacing w:val="-6"/>
              </w:rPr>
              <w:t xml:space="preserve"> </w:t>
            </w:r>
            <w:r>
              <w:t>(SCE)</w:t>
            </w:r>
            <w:r>
              <w:rPr>
                <w:spacing w:val="-6"/>
              </w:rPr>
              <w:t xml:space="preserve"> </w:t>
            </w:r>
            <w:r>
              <w:t>worksheet,</w:t>
            </w:r>
            <w:r>
              <w:rPr>
                <w:spacing w:val="-7"/>
              </w:rPr>
              <w:t xml:space="preserve"> </w:t>
            </w:r>
            <w:r>
              <w:t>line</w:t>
            </w:r>
            <w:r>
              <w:rPr>
                <w:spacing w:val="-6"/>
              </w:rPr>
              <w:t xml:space="preserve"> </w:t>
            </w:r>
            <w:r>
              <w:t>item</w:t>
            </w:r>
            <w:r>
              <w:rPr>
                <w:spacing w:val="-7"/>
              </w:rPr>
              <w:t xml:space="preserve"> </w:t>
            </w:r>
            <w:r>
              <w:t>risk</w:t>
            </w:r>
            <w:r>
              <w:rPr>
                <w:spacing w:val="-6"/>
              </w:rPr>
              <w:t xml:space="preserve"> </w:t>
            </w:r>
            <w:r>
              <w:t>analysis (LIRA) form, matter for further consideration, or other documents as appropriate.</w:t>
            </w:r>
          </w:p>
        </w:tc>
        <w:tc>
          <w:tcPr>
            <w:tcW w:w="1427" w:type="dxa"/>
            <w:tcBorders>
              <w:top w:val="single" w:sz="4" w:space="0" w:color="000000"/>
              <w:left w:val="single" w:sz="4" w:space="0" w:color="000000"/>
              <w:bottom w:val="single" w:sz="4" w:space="0" w:color="000000"/>
              <w:right w:val="single" w:sz="4" w:space="0" w:color="000000"/>
            </w:tcBorders>
          </w:tcPr>
          <w:p w14:paraId="0DFDC3D2"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3D3" w14:textId="77777777" w:rsidR="00046465" w:rsidRDefault="00046465">
            <w:pPr>
              <w:pStyle w:val="TableParagraph"/>
              <w:rPr>
                <w:rFonts w:ascii="Times New Roman"/>
                <w:sz w:val="20"/>
              </w:rPr>
            </w:pPr>
          </w:p>
        </w:tc>
      </w:tr>
      <w:tr w:rsidR="00046465" w14:paraId="0DFDC3D6" w14:textId="77777777">
        <w:trPr>
          <w:trHeight w:val="453"/>
        </w:trPr>
        <w:tc>
          <w:tcPr>
            <w:tcW w:w="9207" w:type="dxa"/>
            <w:gridSpan w:val="3"/>
            <w:tcBorders>
              <w:top w:val="single" w:sz="4" w:space="0" w:color="000000"/>
              <w:bottom w:val="single" w:sz="4" w:space="0" w:color="000000"/>
            </w:tcBorders>
          </w:tcPr>
          <w:p w14:paraId="0DFDC3D5" w14:textId="77777777" w:rsidR="00046465" w:rsidRDefault="008134EB">
            <w:pPr>
              <w:pStyle w:val="TableParagraph"/>
              <w:spacing w:before="99"/>
              <w:ind w:left="92"/>
              <w:rPr>
                <w:b/>
              </w:rPr>
            </w:pPr>
            <w:r>
              <w:rPr>
                <w:b/>
              </w:rPr>
              <w:t>II.</w:t>
            </w:r>
            <w:r>
              <w:rPr>
                <w:b/>
                <w:spacing w:val="-5"/>
              </w:rPr>
              <w:t xml:space="preserve"> </w:t>
            </w:r>
            <w:r>
              <w:rPr>
                <w:b/>
              </w:rPr>
              <w:t>Testing</w:t>
            </w:r>
            <w:r>
              <w:rPr>
                <w:b/>
                <w:spacing w:val="-5"/>
              </w:rPr>
              <w:t xml:space="preserve"> </w:t>
            </w:r>
            <w:r>
              <w:rPr>
                <w:b/>
                <w:spacing w:val="-2"/>
              </w:rPr>
              <w:t>Phase</w:t>
            </w:r>
          </w:p>
        </w:tc>
      </w:tr>
      <w:tr w:rsidR="00046465" w14:paraId="0DFDC3DA" w14:textId="77777777">
        <w:trPr>
          <w:trHeight w:val="1716"/>
        </w:trPr>
        <w:tc>
          <w:tcPr>
            <w:tcW w:w="6719" w:type="dxa"/>
            <w:tcBorders>
              <w:top w:val="single" w:sz="4" w:space="0" w:color="000000"/>
              <w:bottom w:val="nil"/>
              <w:right w:val="single" w:sz="4" w:space="0" w:color="000000"/>
            </w:tcBorders>
          </w:tcPr>
          <w:p w14:paraId="0DFDC3D7" w14:textId="77777777" w:rsidR="00046465" w:rsidRDefault="008134EB">
            <w:pPr>
              <w:pStyle w:val="TableParagraph"/>
              <w:tabs>
                <w:tab w:val="left" w:pos="708"/>
              </w:tabs>
              <w:spacing w:before="99"/>
              <w:ind w:left="708" w:right="233" w:hanging="616"/>
            </w:pPr>
            <w:r>
              <w:rPr>
                <w:spacing w:val="-6"/>
              </w:rPr>
              <w:t>1)</w:t>
            </w:r>
            <w:r>
              <w:tab/>
              <w:t>In the testing phase of the audit, perform control tests to assess the operating effectiveness of relevant control activities related to FBWT that have been implemented (including</w:t>
            </w:r>
            <w:r>
              <w:rPr>
                <w:spacing w:val="-4"/>
              </w:rPr>
              <w:t xml:space="preserve"> </w:t>
            </w:r>
            <w:r>
              <w:t>the</w:t>
            </w:r>
            <w:r>
              <w:rPr>
                <w:spacing w:val="-4"/>
              </w:rPr>
              <w:t xml:space="preserve"> </w:t>
            </w:r>
            <w:r>
              <w:t>controls</w:t>
            </w:r>
            <w:r>
              <w:rPr>
                <w:spacing w:val="-4"/>
              </w:rPr>
              <w:t xml:space="preserve"> </w:t>
            </w:r>
            <w:r>
              <w:t>over</w:t>
            </w:r>
            <w:r>
              <w:rPr>
                <w:spacing w:val="-4"/>
              </w:rPr>
              <w:t xml:space="preserve"> </w:t>
            </w:r>
            <w:r>
              <w:t>the</w:t>
            </w:r>
            <w:r>
              <w:rPr>
                <w:spacing w:val="-4"/>
              </w:rPr>
              <w:t xml:space="preserve"> </w:t>
            </w:r>
            <w:r>
              <w:t>areas</w:t>
            </w:r>
            <w:r>
              <w:rPr>
                <w:spacing w:val="-4"/>
              </w:rPr>
              <w:t xml:space="preserve"> </w:t>
            </w:r>
            <w:r>
              <w:t>in</w:t>
            </w:r>
            <w:r>
              <w:rPr>
                <w:spacing w:val="-4"/>
              </w:rPr>
              <w:t xml:space="preserve"> </w:t>
            </w:r>
            <w:r>
              <w:t>steps</w:t>
            </w:r>
            <w:r>
              <w:rPr>
                <w:spacing w:val="-4"/>
              </w:rPr>
              <w:t xml:space="preserve"> </w:t>
            </w:r>
            <w:r>
              <w:t>1</w:t>
            </w:r>
            <w:r>
              <w:rPr>
                <w:spacing w:val="-5"/>
              </w:rPr>
              <w:t xml:space="preserve"> </w:t>
            </w:r>
            <w:r>
              <w:t>a–e</w:t>
            </w:r>
            <w:r>
              <w:rPr>
                <w:spacing w:val="-4"/>
              </w:rPr>
              <w:t xml:space="preserve"> </w:t>
            </w:r>
            <w:r>
              <w:t>below) and perform substantive procedures to gather sufficient, appropriate</w:t>
            </w:r>
            <w:r>
              <w:rPr>
                <w:spacing w:val="-5"/>
              </w:rPr>
              <w:t xml:space="preserve"> </w:t>
            </w:r>
            <w:r>
              <w:t>audit</w:t>
            </w:r>
            <w:r>
              <w:rPr>
                <w:spacing w:val="-4"/>
              </w:rPr>
              <w:t xml:space="preserve"> </w:t>
            </w:r>
            <w:r>
              <w:t>evidence</w:t>
            </w:r>
            <w:r>
              <w:rPr>
                <w:spacing w:val="-4"/>
              </w:rPr>
              <w:t xml:space="preserve"> </w:t>
            </w:r>
            <w:r>
              <w:t>to</w:t>
            </w:r>
            <w:r>
              <w:rPr>
                <w:spacing w:val="-4"/>
              </w:rPr>
              <w:t xml:space="preserve"> </w:t>
            </w:r>
            <w:r>
              <w:t>determine</w:t>
            </w:r>
            <w:r>
              <w:rPr>
                <w:spacing w:val="-4"/>
              </w:rPr>
              <w:t xml:space="preserve"> </w:t>
            </w:r>
            <w:r>
              <w:t>whether</w:t>
            </w:r>
            <w:r>
              <w:rPr>
                <w:spacing w:val="-4"/>
              </w:rPr>
              <w:t xml:space="preserve"> </w:t>
            </w:r>
            <w:r>
              <w:t>the</w:t>
            </w:r>
            <w:r>
              <w:rPr>
                <w:spacing w:val="-4"/>
              </w:rPr>
              <w:t xml:space="preserve"> </w:t>
            </w:r>
            <w:r>
              <w:t>entity:</w:t>
            </w:r>
          </w:p>
        </w:tc>
        <w:tc>
          <w:tcPr>
            <w:tcW w:w="1427" w:type="dxa"/>
            <w:vMerge w:val="restart"/>
            <w:tcBorders>
              <w:top w:val="single" w:sz="4" w:space="0" w:color="000000"/>
              <w:left w:val="single" w:sz="4" w:space="0" w:color="000000"/>
              <w:bottom w:val="single" w:sz="4" w:space="0" w:color="000000"/>
              <w:right w:val="single" w:sz="4" w:space="0" w:color="000000"/>
            </w:tcBorders>
          </w:tcPr>
          <w:p w14:paraId="0DFDC3D8" w14:textId="77777777" w:rsidR="00046465" w:rsidRDefault="00046465">
            <w:pPr>
              <w:pStyle w:val="TableParagraph"/>
              <w:rPr>
                <w:rFonts w:ascii="Times New Roman"/>
                <w:sz w:val="20"/>
              </w:rPr>
            </w:pPr>
          </w:p>
        </w:tc>
        <w:tc>
          <w:tcPr>
            <w:tcW w:w="1061" w:type="dxa"/>
            <w:vMerge w:val="restart"/>
            <w:tcBorders>
              <w:top w:val="single" w:sz="4" w:space="0" w:color="000000"/>
              <w:left w:val="single" w:sz="4" w:space="0" w:color="000000"/>
              <w:bottom w:val="single" w:sz="4" w:space="0" w:color="000000"/>
            </w:tcBorders>
          </w:tcPr>
          <w:p w14:paraId="0DFDC3D9" w14:textId="77777777" w:rsidR="00046465" w:rsidRDefault="00046465">
            <w:pPr>
              <w:pStyle w:val="TableParagraph"/>
              <w:rPr>
                <w:rFonts w:ascii="Times New Roman"/>
                <w:sz w:val="20"/>
              </w:rPr>
            </w:pPr>
          </w:p>
        </w:tc>
      </w:tr>
      <w:tr w:rsidR="00046465" w14:paraId="0DFDC3DF" w14:textId="77777777">
        <w:trPr>
          <w:trHeight w:val="3679"/>
        </w:trPr>
        <w:tc>
          <w:tcPr>
            <w:tcW w:w="6719" w:type="dxa"/>
            <w:tcBorders>
              <w:top w:val="nil"/>
              <w:bottom w:val="single" w:sz="4" w:space="0" w:color="000000"/>
              <w:right w:val="single" w:sz="4" w:space="0" w:color="000000"/>
            </w:tcBorders>
          </w:tcPr>
          <w:p w14:paraId="0DFDC3DB" w14:textId="77777777" w:rsidR="00046465" w:rsidRDefault="008134EB">
            <w:pPr>
              <w:pStyle w:val="TableParagraph"/>
              <w:numPr>
                <w:ilvl w:val="0"/>
                <w:numId w:val="113"/>
              </w:numPr>
              <w:tabs>
                <w:tab w:val="left" w:pos="1115"/>
              </w:tabs>
              <w:spacing w:before="91"/>
              <w:ind w:right="318"/>
            </w:pPr>
            <w:r>
              <w:t>Properly</w:t>
            </w:r>
            <w:r>
              <w:rPr>
                <w:spacing w:val="-6"/>
              </w:rPr>
              <w:t xml:space="preserve"> </w:t>
            </w:r>
            <w:r>
              <w:t>and</w:t>
            </w:r>
            <w:r>
              <w:rPr>
                <w:spacing w:val="-6"/>
              </w:rPr>
              <w:t xml:space="preserve"> </w:t>
            </w:r>
            <w:r>
              <w:t>timely</w:t>
            </w:r>
            <w:r>
              <w:rPr>
                <w:spacing w:val="-6"/>
              </w:rPr>
              <w:t xml:space="preserve"> </w:t>
            </w:r>
            <w:r>
              <w:t>records</w:t>
            </w:r>
            <w:r>
              <w:rPr>
                <w:spacing w:val="-6"/>
              </w:rPr>
              <w:t xml:space="preserve"> </w:t>
            </w:r>
            <w:r>
              <w:t>and</w:t>
            </w:r>
            <w:r>
              <w:rPr>
                <w:spacing w:val="-6"/>
              </w:rPr>
              <w:t xml:space="preserve"> </w:t>
            </w:r>
            <w:r>
              <w:t>reports</w:t>
            </w:r>
            <w:r>
              <w:rPr>
                <w:spacing w:val="-6"/>
              </w:rPr>
              <w:t xml:space="preserve"> </w:t>
            </w:r>
            <w:r>
              <w:t>collection</w:t>
            </w:r>
            <w:r>
              <w:rPr>
                <w:spacing w:val="-6"/>
              </w:rPr>
              <w:t xml:space="preserve"> </w:t>
            </w:r>
            <w:r>
              <w:t>and disbursement</w:t>
            </w:r>
            <w:r>
              <w:rPr>
                <w:spacing w:val="-5"/>
              </w:rPr>
              <w:t xml:space="preserve"> </w:t>
            </w:r>
            <w:r>
              <w:t>activity</w:t>
            </w:r>
            <w:r>
              <w:rPr>
                <w:spacing w:val="-5"/>
              </w:rPr>
              <w:t xml:space="preserve"> </w:t>
            </w:r>
            <w:r>
              <w:t>in</w:t>
            </w:r>
            <w:r>
              <w:rPr>
                <w:spacing w:val="-6"/>
              </w:rPr>
              <w:t xml:space="preserve"> </w:t>
            </w:r>
            <w:r>
              <w:t>its</w:t>
            </w:r>
            <w:r>
              <w:rPr>
                <w:spacing w:val="-5"/>
              </w:rPr>
              <w:t xml:space="preserve"> </w:t>
            </w:r>
            <w:r>
              <w:t>FBWT</w:t>
            </w:r>
            <w:r>
              <w:rPr>
                <w:spacing w:val="-5"/>
              </w:rPr>
              <w:t xml:space="preserve"> </w:t>
            </w:r>
            <w:r>
              <w:t>accounts,</w:t>
            </w:r>
            <w:r>
              <w:rPr>
                <w:spacing w:val="-5"/>
              </w:rPr>
              <w:t xml:space="preserve"> </w:t>
            </w:r>
            <w:r>
              <w:t>including:</w:t>
            </w:r>
          </w:p>
          <w:p w14:paraId="0DFDC3DC" w14:textId="77777777" w:rsidR="00046465" w:rsidRDefault="008134EB">
            <w:pPr>
              <w:pStyle w:val="TableParagraph"/>
              <w:numPr>
                <w:ilvl w:val="1"/>
                <w:numId w:val="113"/>
              </w:numPr>
              <w:tabs>
                <w:tab w:val="left" w:pos="1565"/>
              </w:tabs>
              <w:spacing w:before="199"/>
              <w:ind w:right="98"/>
            </w:pPr>
            <w:r>
              <w:t>Whether the entity records FBWT collection and disbursement</w:t>
            </w:r>
            <w:r>
              <w:rPr>
                <w:spacing w:val="-8"/>
              </w:rPr>
              <w:t xml:space="preserve"> </w:t>
            </w:r>
            <w:r>
              <w:t>transactions</w:t>
            </w:r>
            <w:r>
              <w:rPr>
                <w:spacing w:val="-8"/>
              </w:rPr>
              <w:t xml:space="preserve"> </w:t>
            </w:r>
            <w:r>
              <w:t>in</w:t>
            </w:r>
            <w:r>
              <w:rPr>
                <w:spacing w:val="-8"/>
              </w:rPr>
              <w:t xml:space="preserve"> </w:t>
            </w:r>
            <w:r>
              <w:t>the</w:t>
            </w:r>
            <w:r>
              <w:rPr>
                <w:spacing w:val="-8"/>
              </w:rPr>
              <w:t xml:space="preserve"> </w:t>
            </w:r>
            <w:r>
              <w:t>appropriate</w:t>
            </w:r>
            <w:r>
              <w:rPr>
                <w:spacing w:val="-8"/>
              </w:rPr>
              <w:t xml:space="preserve"> </w:t>
            </w:r>
            <w:r>
              <w:t>FBWT accounts in the entity’s general ledger. (This step may</w:t>
            </w:r>
            <w:r>
              <w:rPr>
                <w:spacing w:val="-5"/>
              </w:rPr>
              <w:t xml:space="preserve"> </w:t>
            </w:r>
            <w:r>
              <w:t>be</w:t>
            </w:r>
            <w:r>
              <w:rPr>
                <w:spacing w:val="-5"/>
              </w:rPr>
              <w:t xml:space="preserve"> </w:t>
            </w:r>
            <w:r>
              <w:t>done</w:t>
            </w:r>
            <w:r>
              <w:rPr>
                <w:spacing w:val="-5"/>
              </w:rPr>
              <w:t xml:space="preserve"> </w:t>
            </w:r>
            <w:r>
              <w:t>in</w:t>
            </w:r>
            <w:r>
              <w:rPr>
                <w:spacing w:val="-5"/>
              </w:rPr>
              <w:t xml:space="preserve"> </w:t>
            </w:r>
            <w:r>
              <w:t>conjunction</w:t>
            </w:r>
            <w:r>
              <w:rPr>
                <w:spacing w:val="-5"/>
              </w:rPr>
              <w:t xml:space="preserve"> </w:t>
            </w:r>
            <w:r>
              <w:t>with</w:t>
            </w:r>
            <w:r>
              <w:rPr>
                <w:spacing w:val="-5"/>
              </w:rPr>
              <w:t xml:space="preserve"> </w:t>
            </w:r>
            <w:r>
              <w:t>work</w:t>
            </w:r>
            <w:r>
              <w:rPr>
                <w:spacing w:val="-5"/>
              </w:rPr>
              <w:t xml:space="preserve"> </w:t>
            </w:r>
            <w:r>
              <w:t>performed</w:t>
            </w:r>
            <w:r>
              <w:rPr>
                <w:spacing w:val="-5"/>
              </w:rPr>
              <w:t xml:space="preserve"> </w:t>
            </w:r>
            <w:r>
              <w:t>on other cycles. Review entity FBWT general ledger account records for all entity TASs and Agency Location Codes to identify any recorded transactions that were not included in testing in conjunction with other cycles and, if transactions were not included, determine whether additional transaction testing is needed.)</w:t>
            </w:r>
          </w:p>
        </w:tc>
        <w:tc>
          <w:tcPr>
            <w:tcW w:w="1427" w:type="dxa"/>
            <w:vMerge/>
            <w:tcBorders>
              <w:top w:val="nil"/>
              <w:left w:val="single" w:sz="4" w:space="0" w:color="000000"/>
              <w:bottom w:val="single" w:sz="4" w:space="0" w:color="000000"/>
              <w:right w:val="single" w:sz="4" w:space="0" w:color="000000"/>
            </w:tcBorders>
          </w:tcPr>
          <w:p w14:paraId="0DFDC3DD" w14:textId="77777777" w:rsidR="00046465" w:rsidRDefault="00046465">
            <w:pPr>
              <w:rPr>
                <w:sz w:val="2"/>
                <w:szCs w:val="2"/>
              </w:rPr>
            </w:pPr>
          </w:p>
        </w:tc>
        <w:tc>
          <w:tcPr>
            <w:tcW w:w="1061" w:type="dxa"/>
            <w:vMerge/>
            <w:tcBorders>
              <w:top w:val="nil"/>
              <w:left w:val="single" w:sz="4" w:space="0" w:color="000000"/>
              <w:bottom w:val="single" w:sz="4" w:space="0" w:color="000000"/>
            </w:tcBorders>
          </w:tcPr>
          <w:p w14:paraId="0DFDC3DE" w14:textId="77777777" w:rsidR="00046465" w:rsidRDefault="00046465">
            <w:pPr>
              <w:rPr>
                <w:sz w:val="2"/>
                <w:szCs w:val="2"/>
              </w:rPr>
            </w:pPr>
          </w:p>
        </w:tc>
      </w:tr>
    </w:tbl>
    <w:p w14:paraId="0DFDC3E0" w14:textId="77777777" w:rsidR="00046465" w:rsidRDefault="00046465">
      <w:pPr>
        <w:rPr>
          <w:sz w:val="2"/>
          <w:szCs w:val="2"/>
        </w:rPr>
        <w:sectPr w:rsidR="00046465">
          <w:pgSz w:w="12240" w:h="15840"/>
          <w:pgMar w:top="1340" w:right="720" w:bottom="940" w:left="1080" w:header="721" w:footer="757" w:gutter="0"/>
          <w:cols w:space="720"/>
        </w:sectPr>
      </w:pPr>
    </w:p>
    <w:p w14:paraId="0DFDC3E1" w14:textId="77777777" w:rsidR="00046465" w:rsidRDefault="00046465">
      <w:pPr>
        <w:pStyle w:val="BodyText"/>
        <w:spacing w:before="9"/>
        <w:rPr>
          <w:b/>
          <w:sz w:val="11"/>
        </w:rPr>
      </w:pPr>
    </w:p>
    <w:tbl>
      <w:tblPr>
        <w:tblW w:w="0" w:type="auto"/>
        <w:tblInd w:w="51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719"/>
        <w:gridCol w:w="1427"/>
        <w:gridCol w:w="1061"/>
      </w:tblGrid>
      <w:tr w:rsidR="00046465" w14:paraId="0DFDC3E5" w14:textId="77777777">
        <w:trPr>
          <w:trHeight w:val="505"/>
        </w:trPr>
        <w:tc>
          <w:tcPr>
            <w:tcW w:w="6719" w:type="dxa"/>
            <w:tcBorders>
              <w:right w:val="single" w:sz="4" w:space="0" w:color="000000"/>
            </w:tcBorders>
          </w:tcPr>
          <w:p w14:paraId="0DFDC3E2" w14:textId="77777777" w:rsidR="00046465" w:rsidRDefault="008134EB">
            <w:pPr>
              <w:pStyle w:val="TableParagraph"/>
              <w:ind w:left="92"/>
              <w:rPr>
                <w:b/>
              </w:rPr>
            </w:pPr>
            <w:r>
              <w:rPr>
                <w:b/>
                <w:spacing w:val="-2"/>
              </w:rPr>
              <w:t>Procedures</w:t>
            </w:r>
          </w:p>
        </w:tc>
        <w:tc>
          <w:tcPr>
            <w:tcW w:w="1427" w:type="dxa"/>
            <w:tcBorders>
              <w:left w:val="single" w:sz="4" w:space="0" w:color="000000"/>
              <w:right w:val="single" w:sz="4" w:space="0" w:color="000000"/>
            </w:tcBorders>
          </w:tcPr>
          <w:p w14:paraId="0DFDC3E3" w14:textId="77777777" w:rsidR="00046465" w:rsidRDefault="008134EB">
            <w:pPr>
              <w:pStyle w:val="TableParagraph"/>
              <w:ind w:left="108"/>
              <w:rPr>
                <w:b/>
              </w:rPr>
            </w:pPr>
            <w:r>
              <w:rPr>
                <w:b/>
                <w:spacing w:val="-2"/>
              </w:rPr>
              <w:t>Initials/date</w:t>
            </w:r>
          </w:p>
        </w:tc>
        <w:tc>
          <w:tcPr>
            <w:tcW w:w="1061" w:type="dxa"/>
            <w:tcBorders>
              <w:left w:val="single" w:sz="4" w:space="0" w:color="000000"/>
            </w:tcBorders>
          </w:tcPr>
          <w:p w14:paraId="0DFDC3E4" w14:textId="77777777" w:rsidR="00046465" w:rsidRDefault="008134EB">
            <w:pPr>
              <w:pStyle w:val="TableParagraph"/>
              <w:spacing w:line="250" w:lineRule="atLeast"/>
              <w:ind w:left="109" w:right="443"/>
              <w:rPr>
                <w:b/>
              </w:rPr>
            </w:pPr>
            <w:r>
              <w:rPr>
                <w:b/>
                <w:spacing w:val="-4"/>
              </w:rPr>
              <w:t>Doc. ref.</w:t>
            </w:r>
          </w:p>
        </w:tc>
      </w:tr>
      <w:tr w:rsidR="00046465" w14:paraId="0DFDC3E9" w14:textId="77777777">
        <w:trPr>
          <w:trHeight w:val="1926"/>
        </w:trPr>
        <w:tc>
          <w:tcPr>
            <w:tcW w:w="6719" w:type="dxa"/>
            <w:tcBorders>
              <w:bottom w:val="single" w:sz="4" w:space="0" w:color="000000"/>
              <w:right w:val="single" w:sz="4" w:space="0" w:color="000000"/>
            </w:tcBorders>
          </w:tcPr>
          <w:p w14:paraId="0DFDC3E6" w14:textId="77777777" w:rsidR="00046465" w:rsidRDefault="008134EB">
            <w:pPr>
              <w:pStyle w:val="TableParagraph"/>
              <w:tabs>
                <w:tab w:val="left" w:pos="1564"/>
              </w:tabs>
              <w:spacing w:before="55"/>
              <w:ind w:left="1565" w:right="124" w:hanging="430"/>
            </w:pPr>
            <w:r>
              <w:rPr>
                <w:spacing w:val="-4"/>
              </w:rPr>
              <w:t>ii.</w:t>
            </w:r>
            <w:r>
              <w:tab/>
              <w:t>Whether the entity recorded nonexpenditure transactions that affect FBWT (e.g., appropriation warrants, transfers, rescissions, and credit reform) in</w:t>
            </w:r>
            <w:r>
              <w:rPr>
                <w:spacing w:val="-7"/>
              </w:rPr>
              <w:t xml:space="preserve"> </w:t>
            </w:r>
            <w:r>
              <w:t>the</w:t>
            </w:r>
            <w:r>
              <w:rPr>
                <w:spacing w:val="-7"/>
              </w:rPr>
              <w:t xml:space="preserve"> </w:t>
            </w:r>
            <w:r>
              <w:t>appropriate</w:t>
            </w:r>
            <w:r>
              <w:rPr>
                <w:spacing w:val="-7"/>
              </w:rPr>
              <w:t xml:space="preserve"> </w:t>
            </w:r>
            <w:r>
              <w:t>FBWT</w:t>
            </w:r>
            <w:r>
              <w:rPr>
                <w:spacing w:val="-7"/>
              </w:rPr>
              <w:t xml:space="preserve"> </w:t>
            </w:r>
            <w:r>
              <w:t>accounts</w:t>
            </w:r>
            <w:r>
              <w:rPr>
                <w:spacing w:val="-8"/>
              </w:rPr>
              <w:t xml:space="preserve"> </w:t>
            </w:r>
            <w:r>
              <w:t>and</w:t>
            </w:r>
            <w:r>
              <w:rPr>
                <w:spacing w:val="-7"/>
              </w:rPr>
              <w:t xml:space="preserve"> </w:t>
            </w:r>
            <w:r>
              <w:t xml:space="preserve">investigated significant differences found. (This step may be done in conjunction with work performed on other </w:t>
            </w:r>
            <w:r>
              <w:rPr>
                <w:spacing w:val="-2"/>
              </w:rPr>
              <w:t>cycles.)</w:t>
            </w:r>
          </w:p>
        </w:tc>
        <w:tc>
          <w:tcPr>
            <w:tcW w:w="1427" w:type="dxa"/>
            <w:tcBorders>
              <w:left w:val="single" w:sz="4" w:space="0" w:color="000000"/>
              <w:bottom w:val="single" w:sz="4" w:space="0" w:color="000000"/>
              <w:right w:val="single" w:sz="4" w:space="0" w:color="000000"/>
            </w:tcBorders>
          </w:tcPr>
          <w:p w14:paraId="0DFDC3E7" w14:textId="77777777" w:rsidR="00046465" w:rsidRDefault="00046465">
            <w:pPr>
              <w:pStyle w:val="TableParagraph"/>
              <w:rPr>
                <w:rFonts w:ascii="Times New Roman"/>
                <w:sz w:val="20"/>
              </w:rPr>
            </w:pPr>
          </w:p>
        </w:tc>
        <w:tc>
          <w:tcPr>
            <w:tcW w:w="1061" w:type="dxa"/>
            <w:tcBorders>
              <w:left w:val="single" w:sz="4" w:space="0" w:color="000000"/>
              <w:bottom w:val="single" w:sz="4" w:space="0" w:color="000000"/>
            </w:tcBorders>
          </w:tcPr>
          <w:p w14:paraId="0DFDC3E8" w14:textId="77777777" w:rsidR="00046465" w:rsidRDefault="00046465">
            <w:pPr>
              <w:pStyle w:val="TableParagraph"/>
              <w:rPr>
                <w:rFonts w:ascii="Times New Roman"/>
                <w:sz w:val="20"/>
              </w:rPr>
            </w:pPr>
          </w:p>
        </w:tc>
      </w:tr>
      <w:tr w:rsidR="00046465" w14:paraId="0DFDC3ED" w14:textId="77777777">
        <w:trPr>
          <w:trHeight w:val="959"/>
        </w:trPr>
        <w:tc>
          <w:tcPr>
            <w:tcW w:w="6719" w:type="dxa"/>
            <w:tcBorders>
              <w:top w:val="single" w:sz="4" w:space="0" w:color="000000"/>
              <w:bottom w:val="single" w:sz="4" w:space="0" w:color="000000"/>
              <w:right w:val="single" w:sz="4" w:space="0" w:color="000000"/>
            </w:tcBorders>
          </w:tcPr>
          <w:p w14:paraId="0DFDC3EA" w14:textId="77777777" w:rsidR="00046465" w:rsidRDefault="008134EB">
            <w:pPr>
              <w:pStyle w:val="TableParagraph"/>
              <w:spacing w:before="100"/>
              <w:ind w:left="1025" w:right="97" w:hanging="357"/>
            </w:pPr>
            <w:r>
              <w:t>b)</w:t>
            </w:r>
            <w:r>
              <w:rPr>
                <w:spacing w:val="80"/>
              </w:rPr>
              <w:t xml:space="preserve"> </w:t>
            </w:r>
            <w:r>
              <w:t>Timely</w:t>
            </w:r>
            <w:r>
              <w:rPr>
                <w:spacing w:val="-5"/>
              </w:rPr>
              <w:t xml:space="preserve"> </w:t>
            </w:r>
            <w:r>
              <w:t>investigates</w:t>
            </w:r>
            <w:r>
              <w:rPr>
                <w:spacing w:val="-5"/>
              </w:rPr>
              <w:t xml:space="preserve"> </w:t>
            </w:r>
            <w:r>
              <w:t>FBWT</w:t>
            </w:r>
            <w:r>
              <w:rPr>
                <w:spacing w:val="-5"/>
              </w:rPr>
              <w:t xml:space="preserve"> </w:t>
            </w:r>
            <w:r>
              <w:t>balances</w:t>
            </w:r>
            <w:r>
              <w:rPr>
                <w:spacing w:val="-5"/>
              </w:rPr>
              <w:t xml:space="preserve"> </w:t>
            </w:r>
            <w:r>
              <w:t>recorded</w:t>
            </w:r>
            <w:r>
              <w:rPr>
                <w:spacing w:val="-5"/>
              </w:rPr>
              <w:t xml:space="preserve"> </w:t>
            </w:r>
            <w:r>
              <w:t>to</w:t>
            </w:r>
            <w:r>
              <w:rPr>
                <w:spacing w:val="-5"/>
              </w:rPr>
              <w:t xml:space="preserve"> </w:t>
            </w:r>
            <w:r>
              <w:t>clearing TASs and classifies the balances to the proper TASs in the entity’s general ledger and CARS.</w:t>
            </w:r>
          </w:p>
        </w:tc>
        <w:tc>
          <w:tcPr>
            <w:tcW w:w="1427" w:type="dxa"/>
            <w:tcBorders>
              <w:top w:val="single" w:sz="4" w:space="0" w:color="000000"/>
              <w:left w:val="single" w:sz="4" w:space="0" w:color="000000"/>
              <w:bottom w:val="single" w:sz="4" w:space="0" w:color="000000"/>
              <w:right w:val="single" w:sz="4" w:space="0" w:color="000000"/>
            </w:tcBorders>
          </w:tcPr>
          <w:p w14:paraId="0DFDC3EB"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3EC" w14:textId="77777777" w:rsidR="00046465" w:rsidRDefault="00046465">
            <w:pPr>
              <w:pStyle w:val="TableParagraph"/>
              <w:rPr>
                <w:rFonts w:ascii="Times New Roman"/>
                <w:sz w:val="20"/>
              </w:rPr>
            </w:pPr>
          </w:p>
        </w:tc>
      </w:tr>
      <w:tr w:rsidR="00046465" w14:paraId="0DFDC3F4" w14:textId="77777777">
        <w:trPr>
          <w:trHeight w:val="5054"/>
        </w:trPr>
        <w:tc>
          <w:tcPr>
            <w:tcW w:w="6719" w:type="dxa"/>
            <w:tcBorders>
              <w:top w:val="single" w:sz="4" w:space="0" w:color="000000"/>
              <w:bottom w:val="single" w:sz="4" w:space="0" w:color="000000"/>
              <w:right w:val="single" w:sz="4" w:space="0" w:color="000000"/>
            </w:tcBorders>
          </w:tcPr>
          <w:p w14:paraId="0DFDC3EE" w14:textId="77777777" w:rsidR="00046465" w:rsidRDefault="008134EB">
            <w:pPr>
              <w:pStyle w:val="TableParagraph"/>
              <w:numPr>
                <w:ilvl w:val="0"/>
                <w:numId w:val="112"/>
              </w:numPr>
              <w:tabs>
                <w:tab w:val="left" w:pos="1023"/>
                <w:tab w:val="left" w:pos="1025"/>
              </w:tabs>
              <w:spacing w:before="99"/>
              <w:ind w:right="859"/>
            </w:pPr>
            <w:r>
              <w:t>Periodically</w:t>
            </w:r>
            <w:r>
              <w:rPr>
                <w:spacing w:val="-7"/>
              </w:rPr>
              <w:t xml:space="preserve"> </w:t>
            </w:r>
            <w:r>
              <w:t>and</w:t>
            </w:r>
            <w:r>
              <w:rPr>
                <w:spacing w:val="-6"/>
              </w:rPr>
              <w:t xml:space="preserve"> </w:t>
            </w:r>
            <w:r>
              <w:t>at</w:t>
            </w:r>
            <w:r>
              <w:rPr>
                <w:spacing w:val="-6"/>
              </w:rPr>
              <w:t xml:space="preserve"> </w:t>
            </w:r>
            <w:r>
              <w:t>year-end,</w:t>
            </w:r>
            <w:r>
              <w:rPr>
                <w:spacing w:val="-6"/>
              </w:rPr>
              <w:t xml:space="preserve"> </w:t>
            </w:r>
            <w:r>
              <w:t>reconciles</w:t>
            </w:r>
            <w:r>
              <w:rPr>
                <w:spacing w:val="-6"/>
              </w:rPr>
              <w:t xml:space="preserve"> </w:t>
            </w:r>
            <w:r>
              <w:t>its</w:t>
            </w:r>
            <w:r>
              <w:rPr>
                <w:spacing w:val="-6"/>
              </w:rPr>
              <w:t xml:space="preserve"> </w:t>
            </w:r>
            <w:r>
              <w:t>FBWT account balance and activity, including:</w:t>
            </w:r>
          </w:p>
          <w:p w14:paraId="0DFDC3EF" w14:textId="77777777" w:rsidR="00046465" w:rsidRDefault="008134EB">
            <w:pPr>
              <w:pStyle w:val="TableParagraph"/>
              <w:numPr>
                <w:ilvl w:val="1"/>
                <w:numId w:val="112"/>
              </w:numPr>
              <w:tabs>
                <w:tab w:val="left" w:pos="1606"/>
                <w:tab w:val="left" w:pos="1618"/>
              </w:tabs>
              <w:spacing w:before="100"/>
              <w:ind w:right="106" w:hanging="298"/>
              <w:jc w:val="left"/>
            </w:pPr>
            <w:r>
              <w:t>Reconciling FBWT collection and disbursement activity with CARS, collection systems, Treasury Disbursing</w:t>
            </w:r>
            <w:r>
              <w:rPr>
                <w:spacing w:val="-7"/>
              </w:rPr>
              <w:t xml:space="preserve"> </w:t>
            </w:r>
            <w:r>
              <w:t>Offices,</w:t>
            </w:r>
            <w:r>
              <w:rPr>
                <w:spacing w:val="-6"/>
              </w:rPr>
              <w:t xml:space="preserve"> </w:t>
            </w:r>
            <w:r>
              <w:t>the</w:t>
            </w:r>
            <w:r>
              <w:rPr>
                <w:spacing w:val="-7"/>
              </w:rPr>
              <w:t xml:space="preserve"> </w:t>
            </w:r>
            <w:r>
              <w:t>entity</w:t>
            </w:r>
            <w:r>
              <w:rPr>
                <w:spacing w:val="-6"/>
              </w:rPr>
              <w:t xml:space="preserve"> </w:t>
            </w:r>
            <w:r>
              <w:t>disbursing</w:t>
            </w:r>
            <w:r>
              <w:rPr>
                <w:spacing w:val="-6"/>
              </w:rPr>
              <w:t xml:space="preserve"> </w:t>
            </w:r>
            <w:r>
              <w:t>center,</w:t>
            </w:r>
            <w:r>
              <w:rPr>
                <w:spacing w:val="-7"/>
              </w:rPr>
              <w:t xml:space="preserve"> </w:t>
            </w:r>
            <w:r>
              <w:t>the Federal Reserve Bank system, or other reporting sources, depending on the entity’s processes. (This step may be done in conjunction with work performed on other cycles.)</w:t>
            </w:r>
          </w:p>
          <w:p w14:paraId="0DFDC3F0" w14:textId="77777777" w:rsidR="00046465" w:rsidRDefault="008134EB">
            <w:pPr>
              <w:pStyle w:val="TableParagraph"/>
              <w:numPr>
                <w:ilvl w:val="1"/>
                <w:numId w:val="112"/>
              </w:numPr>
              <w:tabs>
                <w:tab w:val="left" w:pos="1606"/>
              </w:tabs>
              <w:spacing w:before="102"/>
              <w:ind w:left="1606" w:hanging="334"/>
              <w:jc w:val="left"/>
            </w:pPr>
            <w:r>
              <w:t>Reconciling</w:t>
            </w:r>
            <w:r>
              <w:rPr>
                <w:spacing w:val="-9"/>
              </w:rPr>
              <w:t xml:space="preserve"> </w:t>
            </w:r>
            <w:r>
              <w:t>FBWT</w:t>
            </w:r>
            <w:r>
              <w:rPr>
                <w:spacing w:val="-9"/>
              </w:rPr>
              <w:t xml:space="preserve"> </w:t>
            </w:r>
            <w:r>
              <w:t>balance</w:t>
            </w:r>
            <w:r>
              <w:rPr>
                <w:spacing w:val="-8"/>
              </w:rPr>
              <w:t xml:space="preserve"> </w:t>
            </w:r>
            <w:r>
              <w:t>with</w:t>
            </w:r>
            <w:r>
              <w:rPr>
                <w:spacing w:val="-8"/>
              </w:rPr>
              <w:t xml:space="preserve"> </w:t>
            </w:r>
            <w:r>
              <w:rPr>
                <w:spacing w:val="-4"/>
              </w:rPr>
              <w:t>CARS.</w:t>
            </w:r>
          </w:p>
          <w:p w14:paraId="0DFDC3F1" w14:textId="77777777" w:rsidR="00046465" w:rsidRDefault="008134EB">
            <w:pPr>
              <w:pStyle w:val="TableParagraph"/>
              <w:numPr>
                <w:ilvl w:val="1"/>
                <w:numId w:val="112"/>
              </w:numPr>
              <w:tabs>
                <w:tab w:val="left" w:pos="1605"/>
                <w:tab w:val="left" w:pos="1619"/>
              </w:tabs>
              <w:spacing w:before="99"/>
              <w:ind w:left="1619" w:right="276" w:hanging="395"/>
              <w:jc w:val="left"/>
            </w:pPr>
            <w:r>
              <w:t>Researching</w:t>
            </w:r>
            <w:r>
              <w:rPr>
                <w:spacing w:val="-8"/>
              </w:rPr>
              <w:t xml:space="preserve"> </w:t>
            </w:r>
            <w:r>
              <w:t>and</w:t>
            </w:r>
            <w:r>
              <w:rPr>
                <w:spacing w:val="-8"/>
              </w:rPr>
              <w:t xml:space="preserve"> </w:t>
            </w:r>
            <w:r>
              <w:t>resolving</w:t>
            </w:r>
            <w:r>
              <w:rPr>
                <w:spacing w:val="-8"/>
              </w:rPr>
              <w:t xml:space="preserve"> </w:t>
            </w:r>
            <w:r>
              <w:t>the</w:t>
            </w:r>
            <w:r>
              <w:rPr>
                <w:spacing w:val="-8"/>
              </w:rPr>
              <w:t xml:space="preserve"> </w:t>
            </w:r>
            <w:r>
              <w:t>underlying</w:t>
            </w:r>
            <w:r>
              <w:rPr>
                <w:spacing w:val="-8"/>
              </w:rPr>
              <w:t xml:space="preserve"> </w:t>
            </w:r>
            <w:r>
              <w:t>causes of differences between Treasury FBWT reports (such as CARS FBWT Account Statements) and entity records (including the collection and disbursement activity flowing through the FBWT accounts and the account balances each month) and reviewing and making any needed adjustments timely.</w:t>
            </w:r>
          </w:p>
        </w:tc>
        <w:tc>
          <w:tcPr>
            <w:tcW w:w="1427" w:type="dxa"/>
            <w:tcBorders>
              <w:top w:val="single" w:sz="4" w:space="0" w:color="000000"/>
              <w:left w:val="single" w:sz="4" w:space="0" w:color="000000"/>
              <w:bottom w:val="single" w:sz="4" w:space="0" w:color="000000"/>
              <w:right w:val="single" w:sz="4" w:space="0" w:color="000000"/>
            </w:tcBorders>
          </w:tcPr>
          <w:p w14:paraId="0DFDC3F2"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3F3" w14:textId="77777777" w:rsidR="00046465" w:rsidRDefault="00046465">
            <w:pPr>
              <w:pStyle w:val="TableParagraph"/>
              <w:rPr>
                <w:rFonts w:ascii="Times New Roman"/>
                <w:sz w:val="20"/>
              </w:rPr>
            </w:pPr>
          </w:p>
        </w:tc>
      </w:tr>
      <w:tr w:rsidR="00046465" w14:paraId="0DFDC3F8" w14:textId="77777777">
        <w:trPr>
          <w:trHeight w:val="705"/>
        </w:trPr>
        <w:tc>
          <w:tcPr>
            <w:tcW w:w="6719" w:type="dxa"/>
            <w:tcBorders>
              <w:top w:val="single" w:sz="4" w:space="0" w:color="000000"/>
              <w:bottom w:val="single" w:sz="4" w:space="0" w:color="000000"/>
              <w:right w:val="single" w:sz="4" w:space="0" w:color="000000"/>
            </w:tcBorders>
          </w:tcPr>
          <w:p w14:paraId="0DFDC3F5" w14:textId="77777777" w:rsidR="00046465" w:rsidRDefault="008134EB">
            <w:pPr>
              <w:pStyle w:val="TableParagraph"/>
              <w:spacing w:before="99"/>
              <w:ind w:left="1025" w:hanging="357"/>
            </w:pPr>
            <w:r>
              <w:t>d)</w:t>
            </w:r>
            <w:r>
              <w:rPr>
                <w:spacing w:val="80"/>
              </w:rPr>
              <w:t xml:space="preserve"> </w:t>
            </w:r>
            <w:r>
              <w:t>Appropriately</w:t>
            </w:r>
            <w:r>
              <w:rPr>
                <w:spacing w:val="-5"/>
              </w:rPr>
              <w:t xml:space="preserve"> </w:t>
            </w:r>
            <w:r>
              <w:t>records</w:t>
            </w:r>
            <w:r>
              <w:rPr>
                <w:spacing w:val="-5"/>
              </w:rPr>
              <w:t xml:space="preserve"> </w:t>
            </w:r>
            <w:r>
              <w:t>and</w:t>
            </w:r>
            <w:r>
              <w:rPr>
                <w:spacing w:val="-5"/>
              </w:rPr>
              <w:t xml:space="preserve"> </w:t>
            </w:r>
            <w:r>
              <w:t>reviews</w:t>
            </w:r>
            <w:r>
              <w:rPr>
                <w:spacing w:val="-5"/>
              </w:rPr>
              <w:t xml:space="preserve"> </w:t>
            </w:r>
            <w:r>
              <w:t>any</w:t>
            </w:r>
            <w:r>
              <w:rPr>
                <w:spacing w:val="-5"/>
              </w:rPr>
              <w:t xml:space="preserve"> </w:t>
            </w:r>
            <w:r>
              <w:t>adjusting</w:t>
            </w:r>
            <w:r>
              <w:rPr>
                <w:spacing w:val="-6"/>
              </w:rPr>
              <w:t xml:space="preserve"> </w:t>
            </w:r>
            <w:r>
              <w:t>journal vouchers recorded to FBWT accounts.</w:t>
            </w:r>
          </w:p>
        </w:tc>
        <w:tc>
          <w:tcPr>
            <w:tcW w:w="1427" w:type="dxa"/>
            <w:tcBorders>
              <w:top w:val="single" w:sz="4" w:space="0" w:color="000000"/>
              <w:left w:val="single" w:sz="4" w:space="0" w:color="000000"/>
              <w:bottom w:val="single" w:sz="4" w:space="0" w:color="000000"/>
              <w:right w:val="single" w:sz="4" w:space="0" w:color="000000"/>
            </w:tcBorders>
          </w:tcPr>
          <w:p w14:paraId="0DFDC3F6"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3F7" w14:textId="77777777" w:rsidR="00046465" w:rsidRDefault="00046465">
            <w:pPr>
              <w:pStyle w:val="TableParagraph"/>
              <w:rPr>
                <w:rFonts w:ascii="Times New Roman"/>
                <w:sz w:val="20"/>
              </w:rPr>
            </w:pPr>
          </w:p>
        </w:tc>
      </w:tr>
      <w:tr w:rsidR="00046465" w14:paraId="0DFDC3FC" w14:textId="77777777">
        <w:trPr>
          <w:trHeight w:val="959"/>
        </w:trPr>
        <w:tc>
          <w:tcPr>
            <w:tcW w:w="6719" w:type="dxa"/>
            <w:tcBorders>
              <w:top w:val="single" w:sz="4" w:space="0" w:color="000000"/>
              <w:bottom w:val="single" w:sz="4" w:space="0" w:color="000000"/>
              <w:right w:val="single" w:sz="4" w:space="0" w:color="000000"/>
            </w:tcBorders>
          </w:tcPr>
          <w:p w14:paraId="0DFDC3F9" w14:textId="77777777" w:rsidR="00046465" w:rsidRDefault="008134EB">
            <w:pPr>
              <w:pStyle w:val="TableParagraph"/>
              <w:spacing w:before="100"/>
              <w:ind w:left="1025" w:right="176" w:hanging="357"/>
              <w:rPr>
                <w:position w:val="7"/>
                <w:sz w:val="14"/>
              </w:rPr>
            </w:pPr>
            <w:r>
              <w:t>e)</w:t>
            </w:r>
            <w:r>
              <w:rPr>
                <w:spacing w:val="80"/>
              </w:rPr>
              <w:t xml:space="preserve"> </w:t>
            </w:r>
            <w:r>
              <w:t>Discloses</w:t>
            </w:r>
            <w:r>
              <w:rPr>
                <w:spacing w:val="-4"/>
              </w:rPr>
              <w:t xml:space="preserve"> </w:t>
            </w:r>
            <w:r>
              <w:t>the</w:t>
            </w:r>
            <w:r>
              <w:rPr>
                <w:spacing w:val="-4"/>
              </w:rPr>
              <w:t xml:space="preserve"> </w:t>
            </w:r>
            <w:r>
              <w:t>status</w:t>
            </w:r>
            <w:r>
              <w:rPr>
                <w:spacing w:val="-4"/>
              </w:rPr>
              <w:t xml:space="preserve"> </w:t>
            </w:r>
            <w:r>
              <w:t>of</w:t>
            </w:r>
            <w:r>
              <w:rPr>
                <w:spacing w:val="-4"/>
              </w:rPr>
              <w:t xml:space="preserve"> </w:t>
            </w:r>
            <w:r>
              <w:t>accounts,</w:t>
            </w:r>
            <w:r>
              <w:rPr>
                <w:spacing w:val="-5"/>
              </w:rPr>
              <w:t xml:space="preserve"> </w:t>
            </w:r>
            <w:r>
              <w:t>such</w:t>
            </w:r>
            <w:r>
              <w:rPr>
                <w:spacing w:val="-4"/>
              </w:rPr>
              <w:t xml:space="preserve"> </w:t>
            </w:r>
            <w:r>
              <w:t>as</w:t>
            </w:r>
            <w:r>
              <w:rPr>
                <w:spacing w:val="-4"/>
              </w:rPr>
              <w:t xml:space="preserve"> </w:t>
            </w:r>
            <w:r>
              <w:t>open,</w:t>
            </w:r>
            <w:r>
              <w:rPr>
                <w:spacing w:val="-4"/>
              </w:rPr>
              <w:t xml:space="preserve"> </w:t>
            </w:r>
            <w:r>
              <w:t>expired, or canceled, and whether each account is appropriately included in the FBWT line item.</w:t>
            </w:r>
            <w:hyperlink w:anchor="_bookmark183" w:history="1">
              <w:r>
                <w:rPr>
                  <w:position w:val="7"/>
                  <w:sz w:val="14"/>
                </w:rPr>
                <w:t>38</w:t>
              </w:r>
            </w:hyperlink>
          </w:p>
        </w:tc>
        <w:tc>
          <w:tcPr>
            <w:tcW w:w="1427" w:type="dxa"/>
            <w:tcBorders>
              <w:top w:val="single" w:sz="4" w:space="0" w:color="000000"/>
              <w:left w:val="single" w:sz="4" w:space="0" w:color="000000"/>
              <w:bottom w:val="single" w:sz="4" w:space="0" w:color="000000"/>
              <w:right w:val="single" w:sz="4" w:space="0" w:color="000000"/>
            </w:tcBorders>
          </w:tcPr>
          <w:p w14:paraId="0DFDC3FA"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3FB" w14:textId="77777777" w:rsidR="00046465" w:rsidRDefault="00046465">
            <w:pPr>
              <w:pStyle w:val="TableParagraph"/>
              <w:rPr>
                <w:rFonts w:ascii="Times New Roman"/>
                <w:sz w:val="20"/>
              </w:rPr>
            </w:pPr>
          </w:p>
        </w:tc>
      </w:tr>
      <w:tr w:rsidR="00046465" w14:paraId="0DFDC401" w14:textId="77777777">
        <w:trPr>
          <w:trHeight w:val="1131"/>
        </w:trPr>
        <w:tc>
          <w:tcPr>
            <w:tcW w:w="6719" w:type="dxa"/>
            <w:tcBorders>
              <w:top w:val="single" w:sz="4" w:space="0" w:color="000000"/>
              <w:right w:val="single" w:sz="4" w:space="0" w:color="000000"/>
            </w:tcBorders>
          </w:tcPr>
          <w:p w14:paraId="0DFDC3FD" w14:textId="77777777" w:rsidR="00046465" w:rsidRDefault="008134EB">
            <w:pPr>
              <w:pStyle w:val="TableParagraph"/>
              <w:spacing w:before="104" w:line="235" w:lineRule="auto"/>
              <w:ind w:left="485" w:hanging="408"/>
            </w:pPr>
            <w:r>
              <w:rPr>
                <w:sz w:val="24"/>
              </w:rPr>
              <w:t>2)</w:t>
            </w:r>
            <w:r>
              <w:rPr>
                <w:spacing w:val="80"/>
                <w:sz w:val="24"/>
              </w:rPr>
              <w:t xml:space="preserve"> </w:t>
            </w:r>
            <w:r>
              <w:t>Perform procedures to determine the materiality of gross unreconciled differences and clearing account balances by</w:t>
            </w:r>
          </w:p>
          <w:p w14:paraId="0DFDC3FE" w14:textId="77777777" w:rsidR="00046465" w:rsidRDefault="008134EB">
            <w:pPr>
              <w:pStyle w:val="TableParagraph"/>
              <w:spacing w:line="250" w:lineRule="atLeast"/>
              <w:ind w:left="485" w:right="176"/>
            </w:pPr>
            <w:r>
              <w:t>analyzing the aggregate absolute values and resulting effect on</w:t>
            </w:r>
            <w:r>
              <w:rPr>
                <w:spacing w:val="-5"/>
              </w:rPr>
              <w:t xml:space="preserve"> </w:t>
            </w:r>
            <w:r>
              <w:t>the</w:t>
            </w:r>
            <w:r>
              <w:rPr>
                <w:spacing w:val="-5"/>
              </w:rPr>
              <w:t xml:space="preserve"> </w:t>
            </w:r>
            <w:r>
              <w:t>financial</w:t>
            </w:r>
            <w:r>
              <w:rPr>
                <w:spacing w:val="-5"/>
              </w:rPr>
              <w:t xml:space="preserve"> </w:t>
            </w:r>
            <w:r>
              <w:t>statements.</w:t>
            </w:r>
            <w:r>
              <w:rPr>
                <w:spacing w:val="-5"/>
              </w:rPr>
              <w:t xml:space="preserve"> </w:t>
            </w:r>
            <w:r>
              <w:t>(As</w:t>
            </w:r>
            <w:r>
              <w:rPr>
                <w:spacing w:val="-5"/>
              </w:rPr>
              <w:t xml:space="preserve"> </w:t>
            </w:r>
            <w:r>
              <w:t>each</w:t>
            </w:r>
            <w:r>
              <w:rPr>
                <w:spacing w:val="-5"/>
              </w:rPr>
              <w:t xml:space="preserve"> </w:t>
            </w:r>
            <w:r>
              <w:t>difference</w:t>
            </w:r>
            <w:r>
              <w:rPr>
                <w:spacing w:val="-6"/>
              </w:rPr>
              <w:t xml:space="preserve"> </w:t>
            </w:r>
            <w:r>
              <w:t>represents</w:t>
            </w:r>
            <w:r>
              <w:rPr>
                <w:spacing w:val="-5"/>
              </w:rPr>
              <w:t xml:space="preserve"> </w:t>
            </w:r>
            <w:r>
              <w:t>a</w:t>
            </w:r>
          </w:p>
        </w:tc>
        <w:tc>
          <w:tcPr>
            <w:tcW w:w="1427" w:type="dxa"/>
            <w:tcBorders>
              <w:top w:val="single" w:sz="4" w:space="0" w:color="000000"/>
              <w:left w:val="single" w:sz="4" w:space="0" w:color="000000"/>
              <w:right w:val="single" w:sz="4" w:space="0" w:color="000000"/>
            </w:tcBorders>
          </w:tcPr>
          <w:p w14:paraId="0DFDC3FF" w14:textId="77777777" w:rsidR="00046465" w:rsidRDefault="00046465">
            <w:pPr>
              <w:pStyle w:val="TableParagraph"/>
              <w:rPr>
                <w:rFonts w:ascii="Times New Roman"/>
                <w:sz w:val="20"/>
              </w:rPr>
            </w:pPr>
          </w:p>
        </w:tc>
        <w:tc>
          <w:tcPr>
            <w:tcW w:w="1061" w:type="dxa"/>
            <w:tcBorders>
              <w:top w:val="single" w:sz="4" w:space="0" w:color="000000"/>
              <w:left w:val="single" w:sz="4" w:space="0" w:color="000000"/>
            </w:tcBorders>
          </w:tcPr>
          <w:p w14:paraId="0DFDC400" w14:textId="77777777" w:rsidR="00046465" w:rsidRDefault="00046465">
            <w:pPr>
              <w:pStyle w:val="TableParagraph"/>
              <w:rPr>
                <w:rFonts w:ascii="Times New Roman"/>
                <w:sz w:val="20"/>
              </w:rPr>
            </w:pPr>
          </w:p>
        </w:tc>
      </w:tr>
    </w:tbl>
    <w:p w14:paraId="0DFDC402" w14:textId="77777777" w:rsidR="00046465" w:rsidRDefault="008134EB">
      <w:pPr>
        <w:pStyle w:val="BodyText"/>
        <w:spacing w:before="192"/>
        <w:rPr>
          <w:b/>
          <w:sz w:val="20"/>
        </w:rPr>
      </w:pPr>
      <w:r>
        <w:rPr>
          <w:b/>
          <w:noProof/>
          <w:sz w:val="20"/>
        </w:rPr>
        <mc:AlternateContent>
          <mc:Choice Requires="wps">
            <w:drawing>
              <wp:anchor distT="0" distB="0" distL="0" distR="0" simplePos="0" relativeHeight="487725056" behindDoc="1" locked="0" layoutInCell="1" allowOverlap="1" wp14:anchorId="0DFDD72B" wp14:editId="0DFDD72C">
                <wp:simplePos x="0" y="0"/>
                <wp:positionH relativeFrom="page">
                  <wp:posOffset>914400</wp:posOffset>
                </wp:positionH>
                <wp:positionV relativeFrom="paragraph">
                  <wp:posOffset>283476</wp:posOffset>
                </wp:positionV>
                <wp:extent cx="1828800" cy="5715"/>
                <wp:effectExtent l="0" t="0" r="0" b="0"/>
                <wp:wrapTopAndBottom/>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E44CC0" id="Graphic 992" o:spid="_x0000_s1026" style="position:absolute;margin-left:1in;margin-top:22.3pt;width:2in;height:.45pt;z-index:-1559142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" path="m1828800,l,,,5321r1828800,l1828800,xe" fillcolor="black" stroked="f">
                <v:path arrowok="t"/>
                <w10:wrap type="topAndBottom" anchorx="page"/>
              </v:shape>
            </w:pict>
          </mc:Fallback>
        </mc:AlternateContent>
      </w:r>
    </w:p>
    <w:p w14:paraId="0DFDC403" w14:textId="77777777" w:rsidR="00046465" w:rsidRDefault="008134EB">
      <w:pPr>
        <w:spacing w:before="196"/>
        <w:ind w:left="360" w:right="844" w:hanging="1"/>
        <w:rPr>
          <w:sz w:val="18"/>
        </w:rPr>
      </w:pPr>
      <w:bookmarkStart w:id="317" w:name="_bookmark183"/>
      <w:bookmarkEnd w:id="317"/>
      <w:r>
        <w:rPr>
          <w:position w:val="7"/>
          <w:sz w:val="14"/>
        </w:rPr>
        <w:t>38</w:t>
      </w:r>
      <w:r>
        <w:rPr>
          <w:sz w:val="18"/>
        </w:rPr>
        <w:t>The</w:t>
      </w:r>
      <w:r>
        <w:rPr>
          <w:spacing w:val="-5"/>
          <w:sz w:val="18"/>
        </w:rPr>
        <w:t xml:space="preserve"> </w:t>
      </w:r>
      <w:r>
        <w:rPr>
          <w:sz w:val="18"/>
        </w:rPr>
        <w:t>cancellation</w:t>
      </w:r>
      <w:r>
        <w:rPr>
          <w:spacing w:val="-4"/>
          <w:sz w:val="18"/>
        </w:rPr>
        <w:t xml:space="preserve"> </w:t>
      </w:r>
      <w:r>
        <w:rPr>
          <w:sz w:val="18"/>
        </w:rPr>
        <w:t>of</w:t>
      </w:r>
      <w:r>
        <w:rPr>
          <w:spacing w:val="-3"/>
          <w:sz w:val="18"/>
        </w:rPr>
        <w:t xml:space="preserve"> </w:t>
      </w:r>
      <w:r>
        <w:rPr>
          <w:sz w:val="18"/>
        </w:rPr>
        <w:t>expired</w:t>
      </w:r>
      <w:r>
        <w:rPr>
          <w:spacing w:val="-4"/>
          <w:sz w:val="18"/>
        </w:rPr>
        <w:t xml:space="preserve"> </w:t>
      </w:r>
      <w:r>
        <w:rPr>
          <w:sz w:val="18"/>
        </w:rPr>
        <w:t>appropriations</w:t>
      </w:r>
      <w:r>
        <w:rPr>
          <w:spacing w:val="-3"/>
          <w:sz w:val="18"/>
        </w:rPr>
        <w:t xml:space="preserve"> </w:t>
      </w:r>
      <w:r>
        <w:rPr>
          <w:sz w:val="18"/>
        </w:rPr>
        <w:t>reduces</w:t>
      </w:r>
      <w:r>
        <w:rPr>
          <w:spacing w:val="-3"/>
          <w:sz w:val="18"/>
        </w:rPr>
        <w:t xml:space="preserve"> </w:t>
      </w:r>
      <w:r>
        <w:rPr>
          <w:sz w:val="18"/>
        </w:rPr>
        <w:t>an</w:t>
      </w:r>
      <w:r>
        <w:rPr>
          <w:spacing w:val="-4"/>
          <w:sz w:val="18"/>
        </w:rPr>
        <w:t xml:space="preserve"> </w:t>
      </w:r>
      <w:r>
        <w:rPr>
          <w:sz w:val="18"/>
        </w:rPr>
        <w:t>entity’s</w:t>
      </w:r>
      <w:r>
        <w:rPr>
          <w:spacing w:val="-3"/>
          <w:sz w:val="18"/>
        </w:rPr>
        <w:t xml:space="preserve"> </w:t>
      </w:r>
      <w:r>
        <w:rPr>
          <w:sz w:val="18"/>
        </w:rPr>
        <w:t>FBWT</w:t>
      </w:r>
      <w:r>
        <w:rPr>
          <w:rFonts w:ascii="Century" w:hAnsi="Century"/>
          <w:sz w:val="24"/>
        </w:rPr>
        <w:t>.</w:t>
      </w:r>
      <w:r>
        <w:rPr>
          <w:rFonts w:ascii="Century" w:hAnsi="Century"/>
          <w:spacing w:val="-17"/>
          <w:sz w:val="24"/>
        </w:rPr>
        <w:t xml:space="preserve"> </w:t>
      </w:r>
      <w:r>
        <w:rPr>
          <w:sz w:val="18"/>
        </w:rPr>
        <w:t>An</w:t>
      </w:r>
      <w:r>
        <w:rPr>
          <w:spacing w:val="-3"/>
          <w:sz w:val="18"/>
        </w:rPr>
        <w:t xml:space="preserve"> </w:t>
      </w:r>
      <w:r>
        <w:rPr>
          <w:sz w:val="18"/>
        </w:rPr>
        <w:t>expired</w:t>
      </w:r>
      <w:r>
        <w:rPr>
          <w:spacing w:val="-4"/>
          <w:sz w:val="18"/>
        </w:rPr>
        <w:t xml:space="preserve"> </w:t>
      </w:r>
      <w:r>
        <w:rPr>
          <w:sz w:val="18"/>
        </w:rPr>
        <w:t>account</w:t>
      </w:r>
      <w:r>
        <w:rPr>
          <w:spacing w:val="-3"/>
          <w:sz w:val="18"/>
        </w:rPr>
        <w:t xml:space="preserve"> </w:t>
      </w:r>
      <w:r>
        <w:rPr>
          <w:sz w:val="18"/>
        </w:rPr>
        <w:t>holds</w:t>
      </w:r>
      <w:r>
        <w:rPr>
          <w:spacing w:val="-3"/>
          <w:sz w:val="18"/>
        </w:rPr>
        <w:t xml:space="preserve"> </w:t>
      </w:r>
      <w:r>
        <w:rPr>
          <w:sz w:val="18"/>
        </w:rPr>
        <w:t>expired</w:t>
      </w:r>
      <w:r>
        <w:rPr>
          <w:spacing w:val="-4"/>
          <w:sz w:val="18"/>
        </w:rPr>
        <w:t xml:space="preserve"> </w:t>
      </w:r>
      <w:r>
        <w:rPr>
          <w:sz w:val="18"/>
        </w:rPr>
        <w:t>budget authority.</w:t>
      </w:r>
      <w:r>
        <w:rPr>
          <w:spacing w:val="-2"/>
          <w:sz w:val="18"/>
        </w:rPr>
        <w:t xml:space="preserve"> </w:t>
      </w:r>
      <w:r>
        <w:rPr>
          <w:sz w:val="18"/>
        </w:rPr>
        <w:t>The</w:t>
      </w:r>
      <w:r>
        <w:rPr>
          <w:spacing w:val="-3"/>
          <w:sz w:val="18"/>
        </w:rPr>
        <w:t xml:space="preserve"> </w:t>
      </w:r>
      <w:r>
        <w:rPr>
          <w:sz w:val="18"/>
        </w:rPr>
        <w:t>expired</w:t>
      </w:r>
      <w:r>
        <w:rPr>
          <w:spacing w:val="-3"/>
          <w:sz w:val="18"/>
        </w:rPr>
        <w:t xml:space="preserve"> </w:t>
      </w:r>
      <w:r>
        <w:rPr>
          <w:sz w:val="18"/>
        </w:rPr>
        <w:t>budget</w:t>
      </w:r>
      <w:r>
        <w:rPr>
          <w:spacing w:val="-2"/>
          <w:sz w:val="18"/>
        </w:rPr>
        <w:t xml:space="preserve"> </w:t>
      </w:r>
      <w:r>
        <w:rPr>
          <w:sz w:val="18"/>
        </w:rPr>
        <w:t>authority</w:t>
      </w:r>
      <w:r>
        <w:rPr>
          <w:spacing w:val="-2"/>
          <w:sz w:val="18"/>
        </w:rPr>
        <w:t xml:space="preserve"> </w:t>
      </w:r>
      <w:r>
        <w:rPr>
          <w:sz w:val="18"/>
        </w:rPr>
        <w:t>retains</w:t>
      </w:r>
      <w:r>
        <w:rPr>
          <w:spacing w:val="-2"/>
          <w:sz w:val="18"/>
        </w:rPr>
        <w:t xml:space="preserve"> </w:t>
      </w:r>
      <w:r>
        <w:rPr>
          <w:sz w:val="18"/>
        </w:rPr>
        <w:t>its</w:t>
      </w:r>
      <w:r>
        <w:rPr>
          <w:spacing w:val="-2"/>
          <w:sz w:val="18"/>
        </w:rPr>
        <w:t xml:space="preserve"> </w:t>
      </w:r>
      <w:r>
        <w:rPr>
          <w:sz w:val="18"/>
        </w:rPr>
        <w:t>fiscal</w:t>
      </w:r>
      <w:r>
        <w:rPr>
          <w:spacing w:val="-2"/>
          <w:sz w:val="18"/>
        </w:rPr>
        <w:t xml:space="preserve"> </w:t>
      </w:r>
      <w:r>
        <w:rPr>
          <w:sz w:val="18"/>
        </w:rPr>
        <w:t>year</w:t>
      </w:r>
      <w:r>
        <w:rPr>
          <w:spacing w:val="-2"/>
          <w:sz w:val="18"/>
        </w:rPr>
        <w:t xml:space="preserve"> </w:t>
      </w:r>
      <w:r>
        <w:rPr>
          <w:sz w:val="18"/>
        </w:rPr>
        <w:t>(or</w:t>
      </w:r>
      <w:r>
        <w:rPr>
          <w:spacing w:val="-2"/>
          <w:sz w:val="18"/>
        </w:rPr>
        <w:t xml:space="preserve"> </w:t>
      </w:r>
      <w:r>
        <w:rPr>
          <w:sz w:val="18"/>
        </w:rPr>
        <w:t>multiyear)</w:t>
      </w:r>
      <w:r>
        <w:rPr>
          <w:spacing w:val="-1"/>
          <w:sz w:val="18"/>
        </w:rPr>
        <w:t xml:space="preserve"> </w:t>
      </w:r>
      <w:r>
        <w:rPr>
          <w:sz w:val="18"/>
        </w:rPr>
        <w:t>identity</w:t>
      </w:r>
      <w:r>
        <w:rPr>
          <w:spacing w:val="-2"/>
          <w:sz w:val="18"/>
        </w:rPr>
        <w:t xml:space="preserve"> </w:t>
      </w:r>
      <w:r>
        <w:rPr>
          <w:sz w:val="18"/>
        </w:rPr>
        <w:t>for</w:t>
      </w:r>
      <w:r>
        <w:rPr>
          <w:spacing w:val="-2"/>
          <w:sz w:val="18"/>
        </w:rPr>
        <w:t xml:space="preserve"> </w:t>
      </w:r>
      <w:r>
        <w:rPr>
          <w:sz w:val="18"/>
        </w:rPr>
        <w:t>an</w:t>
      </w:r>
      <w:r>
        <w:rPr>
          <w:spacing w:val="-3"/>
          <w:sz w:val="18"/>
        </w:rPr>
        <w:t xml:space="preserve"> </w:t>
      </w:r>
      <w:r>
        <w:rPr>
          <w:sz w:val="18"/>
        </w:rPr>
        <w:t>additional</w:t>
      </w:r>
      <w:r>
        <w:rPr>
          <w:spacing w:val="-2"/>
          <w:sz w:val="18"/>
        </w:rPr>
        <w:t xml:space="preserve"> </w:t>
      </w:r>
      <w:r>
        <w:rPr>
          <w:sz w:val="18"/>
        </w:rPr>
        <w:t>5</w:t>
      </w:r>
      <w:r>
        <w:rPr>
          <w:spacing w:val="-3"/>
          <w:sz w:val="18"/>
        </w:rPr>
        <w:t xml:space="preserve"> </w:t>
      </w:r>
      <w:r>
        <w:rPr>
          <w:sz w:val="18"/>
        </w:rPr>
        <w:t>fiscal</w:t>
      </w:r>
      <w:r>
        <w:rPr>
          <w:spacing w:val="-2"/>
          <w:sz w:val="18"/>
        </w:rPr>
        <w:t xml:space="preserve"> </w:t>
      </w:r>
      <w:r>
        <w:rPr>
          <w:sz w:val="18"/>
        </w:rPr>
        <w:t xml:space="preserve">years. After the 5-year period has elapsed, all obligated and unobligated balances are canceled, the expired account is closed, and all remaining funds are returned to the General Fund and are thereafter no longer available for any </w:t>
      </w:r>
      <w:r>
        <w:rPr>
          <w:spacing w:val="-2"/>
          <w:sz w:val="18"/>
        </w:rPr>
        <w:t>purpose.</w:t>
      </w:r>
    </w:p>
    <w:p w14:paraId="0DFDC404" w14:textId="77777777" w:rsidR="00046465" w:rsidRDefault="00046465">
      <w:pPr>
        <w:rPr>
          <w:sz w:val="18"/>
        </w:rPr>
        <w:sectPr w:rsidR="00046465">
          <w:pgSz w:w="12240" w:h="15840"/>
          <w:pgMar w:top="1340" w:right="720" w:bottom="940" w:left="1080" w:header="721" w:footer="757" w:gutter="0"/>
          <w:cols w:space="720"/>
        </w:sectPr>
      </w:pPr>
    </w:p>
    <w:p w14:paraId="0DFDC405" w14:textId="77777777" w:rsidR="00046465" w:rsidRDefault="00046465">
      <w:pPr>
        <w:pStyle w:val="BodyText"/>
        <w:spacing w:before="9"/>
        <w:rPr>
          <w:sz w:val="11"/>
        </w:rPr>
      </w:pPr>
    </w:p>
    <w:tbl>
      <w:tblPr>
        <w:tblW w:w="0" w:type="auto"/>
        <w:tblInd w:w="51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719"/>
        <w:gridCol w:w="1427"/>
        <w:gridCol w:w="1061"/>
      </w:tblGrid>
      <w:tr w:rsidR="00046465" w14:paraId="0DFDC409" w14:textId="77777777">
        <w:trPr>
          <w:trHeight w:val="505"/>
        </w:trPr>
        <w:tc>
          <w:tcPr>
            <w:tcW w:w="6719" w:type="dxa"/>
            <w:tcBorders>
              <w:right w:val="single" w:sz="4" w:space="0" w:color="000000"/>
            </w:tcBorders>
          </w:tcPr>
          <w:p w14:paraId="0DFDC406" w14:textId="77777777" w:rsidR="00046465" w:rsidRDefault="008134EB">
            <w:pPr>
              <w:pStyle w:val="TableParagraph"/>
              <w:ind w:left="92"/>
              <w:rPr>
                <w:b/>
              </w:rPr>
            </w:pPr>
            <w:r>
              <w:rPr>
                <w:b/>
                <w:spacing w:val="-2"/>
              </w:rPr>
              <w:t>Procedures</w:t>
            </w:r>
          </w:p>
        </w:tc>
        <w:tc>
          <w:tcPr>
            <w:tcW w:w="1427" w:type="dxa"/>
            <w:tcBorders>
              <w:left w:val="single" w:sz="4" w:space="0" w:color="000000"/>
              <w:right w:val="single" w:sz="4" w:space="0" w:color="000000"/>
            </w:tcBorders>
          </w:tcPr>
          <w:p w14:paraId="0DFDC407" w14:textId="77777777" w:rsidR="00046465" w:rsidRDefault="008134EB">
            <w:pPr>
              <w:pStyle w:val="TableParagraph"/>
              <w:ind w:left="108"/>
              <w:rPr>
                <w:b/>
              </w:rPr>
            </w:pPr>
            <w:r>
              <w:rPr>
                <w:b/>
                <w:spacing w:val="-2"/>
              </w:rPr>
              <w:t>Initials/date</w:t>
            </w:r>
          </w:p>
        </w:tc>
        <w:tc>
          <w:tcPr>
            <w:tcW w:w="1061" w:type="dxa"/>
            <w:tcBorders>
              <w:left w:val="single" w:sz="4" w:space="0" w:color="000000"/>
            </w:tcBorders>
          </w:tcPr>
          <w:p w14:paraId="0DFDC408" w14:textId="77777777" w:rsidR="00046465" w:rsidRDefault="008134EB">
            <w:pPr>
              <w:pStyle w:val="TableParagraph"/>
              <w:spacing w:line="250" w:lineRule="atLeast"/>
              <w:ind w:left="109" w:right="443"/>
              <w:rPr>
                <w:b/>
              </w:rPr>
            </w:pPr>
            <w:r>
              <w:rPr>
                <w:b/>
                <w:spacing w:val="-4"/>
              </w:rPr>
              <w:t>Doc. ref.</w:t>
            </w:r>
          </w:p>
        </w:tc>
      </w:tr>
      <w:tr w:rsidR="00046465" w14:paraId="0DFDC40D" w14:textId="77777777">
        <w:trPr>
          <w:trHeight w:val="1872"/>
        </w:trPr>
        <w:tc>
          <w:tcPr>
            <w:tcW w:w="6719" w:type="dxa"/>
            <w:tcBorders>
              <w:bottom w:val="single" w:sz="4" w:space="0" w:color="000000"/>
              <w:right w:val="single" w:sz="4" w:space="0" w:color="000000"/>
            </w:tcBorders>
          </w:tcPr>
          <w:p w14:paraId="0DFDC40A" w14:textId="77777777" w:rsidR="00046465" w:rsidRDefault="008134EB">
            <w:pPr>
              <w:pStyle w:val="TableParagraph"/>
              <w:ind w:left="485" w:right="187"/>
            </w:pPr>
            <w:r>
              <w:t>potential misstatement, the roll-up and netting of debits and credits can significantly understate the total outstanding differences.) Evaluate the significance of these unreconciled differences,</w:t>
            </w:r>
            <w:r>
              <w:rPr>
                <w:spacing w:val="-7"/>
              </w:rPr>
              <w:t xml:space="preserve"> </w:t>
            </w:r>
            <w:r>
              <w:t>clearing,</w:t>
            </w:r>
            <w:r>
              <w:rPr>
                <w:spacing w:val="-7"/>
              </w:rPr>
              <w:t xml:space="preserve"> </w:t>
            </w:r>
            <w:r>
              <w:t>suspense,</w:t>
            </w:r>
            <w:r>
              <w:rPr>
                <w:spacing w:val="-7"/>
              </w:rPr>
              <w:t xml:space="preserve"> </w:t>
            </w:r>
            <w:r>
              <w:t>and</w:t>
            </w:r>
            <w:r>
              <w:rPr>
                <w:spacing w:val="-7"/>
              </w:rPr>
              <w:t xml:space="preserve"> </w:t>
            </w:r>
            <w:r>
              <w:t>default</w:t>
            </w:r>
            <w:r>
              <w:rPr>
                <w:spacing w:val="-7"/>
              </w:rPr>
              <w:t xml:space="preserve"> </w:t>
            </w:r>
            <w:r>
              <w:t>account</w:t>
            </w:r>
            <w:r>
              <w:rPr>
                <w:spacing w:val="-7"/>
              </w:rPr>
              <w:t xml:space="preserve"> </w:t>
            </w:r>
            <w:r>
              <w:t xml:space="preserve">balances to the entity’s financial statements and consider additional follow-up, testing, and appropriate note disclosures, as </w:t>
            </w:r>
            <w:r>
              <w:rPr>
                <w:spacing w:val="-2"/>
              </w:rPr>
              <w:t>necessary.</w:t>
            </w:r>
          </w:p>
        </w:tc>
        <w:tc>
          <w:tcPr>
            <w:tcW w:w="1427" w:type="dxa"/>
            <w:tcBorders>
              <w:left w:val="single" w:sz="4" w:space="0" w:color="000000"/>
              <w:bottom w:val="single" w:sz="4" w:space="0" w:color="000000"/>
              <w:right w:val="single" w:sz="4" w:space="0" w:color="000000"/>
            </w:tcBorders>
          </w:tcPr>
          <w:p w14:paraId="0DFDC40B" w14:textId="77777777" w:rsidR="00046465" w:rsidRDefault="00046465">
            <w:pPr>
              <w:pStyle w:val="TableParagraph"/>
              <w:rPr>
                <w:rFonts w:ascii="Times New Roman"/>
                <w:sz w:val="20"/>
              </w:rPr>
            </w:pPr>
          </w:p>
        </w:tc>
        <w:tc>
          <w:tcPr>
            <w:tcW w:w="1061" w:type="dxa"/>
            <w:tcBorders>
              <w:left w:val="single" w:sz="4" w:space="0" w:color="000000"/>
              <w:bottom w:val="single" w:sz="4" w:space="0" w:color="000000"/>
            </w:tcBorders>
          </w:tcPr>
          <w:p w14:paraId="0DFDC40C" w14:textId="77777777" w:rsidR="00046465" w:rsidRDefault="00046465">
            <w:pPr>
              <w:pStyle w:val="TableParagraph"/>
              <w:rPr>
                <w:rFonts w:ascii="Times New Roman"/>
                <w:sz w:val="20"/>
              </w:rPr>
            </w:pPr>
          </w:p>
        </w:tc>
      </w:tr>
      <w:tr w:rsidR="00046465" w14:paraId="0DFDC40F" w14:textId="77777777">
        <w:trPr>
          <w:trHeight w:val="451"/>
        </w:trPr>
        <w:tc>
          <w:tcPr>
            <w:tcW w:w="9207" w:type="dxa"/>
            <w:gridSpan w:val="3"/>
            <w:tcBorders>
              <w:top w:val="single" w:sz="4" w:space="0" w:color="000000"/>
              <w:bottom w:val="single" w:sz="4" w:space="0" w:color="000000"/>
            </w:tcBorders>
          </w:tcPr>
          <w:p w14:paraId="0DFDC40E" w14:textId="77777777" w:rsidR="00046465" w:rsidRDefault="008134EB">
            <w:pPr>
              <w:pStyle w:val="TableParagraph"/>
              <w:spacing w:before="99"/>
              <w:ind w:left="92"/>
              <w:rPr>
                <w:b/>
              </w:rPr>
            </w:pPr>
            <w:r>
              <w:rPr>
                <w:b/>
              </w:rPr>
              <w:t>III.</w:t>
            </w:r>
            <w:r>
              <w:rPr>
                <w:b/>
                <w:spacing w:val="-8"/>
              </w:rPr>
              <w:t xml:space="preserve"> </w:t>
            </w:r>
            <w:r>
              <w:rPr>
                <w:b/>
              </w:rPr>
              <w:t>Reporting</w:t>
            </w:r>
            <w:r>
              <w:rPr>
                <w:b/>
                <w:spacing w:val="-7"/>
              </w:rPr>
              <w:t xml:space="preserve"> </w:t>
            </w:r>
            <w:r>
              <w:rPr>
                <w:b/>
                <w:spacing w:val="-2"/>
              </w:rPr>
              <w:t>Phase</w:t>
            </w:r>
          </w:p>
        </w:tc>
      </w:tr>
      <w:tr w:rsidR="00046465" w14:paraId="0DFDC413" w14:textId="77777777">
        <w:trPr>
          <w:trHeight w:val="706"/>
        </w:trPr>
        <w:tc>
          <w:tcPr>
            <w:tcW w:w="6719" w:type="dxa"/>
            <w:tcBorders>
              <w:top w:val="single" w:sz="4" w:space="0" w:color="000000"/>
              <w:bottom w:val="single" w:sz="4" w:space="0" w:color="000000"/>
              <w:right w:val="single" w:sz="4" w:space="0" w:color="000000"/>
            </w:tcBorders>
          </w:tcPr>
          <w:p w14:paraId="0DFDC410" w14:textId="77777777" w:rsidR="00046465" w:rsidRDefault="008134EB">
            <w:pPr>
              <w:pStyle w:val="TableParagraph"/>
              <w:spacing w:before="100"/>
              <w:ind w:left="485" w:right="176" w:hanging="353"/>
            </w:pPr>
            <w:r>
              <w:t>1)</w:t>
            </w:r>
            <w:r>
              <w:rPr>
                <w:spacing w:val="80"/>
              </w:rPr>
              <w:t xml:space="preserve"> </w:t>
            </w:r>
            <w:r>
              <w:t>Prepare</w:t>
            </w:r>
            <w:r>
              <w:rPr>
                <w:spacing w:val="-4"/>
              </w:rPr>
              <w:t xml:space="preserve"> </w:t>
            </w:r>
            <w:r>
              <w:t>lead</w:t>
            </w:r>
            <w:r>
              <w:rPr>
                <w:spacing w:val="-4"/>
              </w:rPr>
              <w:t xml:space="preserve"> </w:t>
            </w:r>
            <w:r>
              <w:t>schedule</w:t>
            </w:r>
            <w:r>
              <w:rPr>
                <w:spacing w:val="-5"/>
              </w:rPr>
              <w:t xml:space="preserve"> </w:t>
            </w:r>
            <w:r>
              <w:t>of</w:t>
            </w:r>
            <w:r>
              <w:rPr>
                <w:spacing w:val="-4"/>
              </w:rPr>
              <w:t xml:space="preserve"> </w:t>
            </w:r>
            <w:r>
              <w:t>general</w:t>
            </w:r>
            <w:r>
              <w:rPr>
                <w:spacing w:val="-4"/>
              </w:rPr>
              <w:t xml:space="preserve"> </w:t>
            </w:r>
            <w:r>
              <w:t>ledger</w:t>
            </w:r>
            <w:r>
              <w:rPr>
                <w:spacing w:val="-4"/>
              </w:rPr>
              <w:t xml:space="preserve"> </w:t>
            </w:r>
            <w:r>
              <w:t>accounts</w:t>
            </w:r>
            <w:r>
              <w:rPr>
                <w:spacing w:val="-4"/>
              </w:rPr>
              <w:t xml:space="preserve"> </w:t>
            </w:r>
            <w:r>
              <w:t>that constitute FBWT.</w:t>
            </w:r>
          </w:p>
        </w:tc>
        <w:tc>
          <w:tcPr>
            <w:tcW w:w="1427" w:type="dxa"/>
            <w:tcBorders>
              <w:top w:val="single" w:sz="4" w:space="0" w:color="000000"/>
              <w:left w:val="single" w:sz="4" w:space="0" w:color="000000"/>
              <w:bottom w:val="single" w:sz="4" w:space="0" w:color="000000"/>
              <w:right w:val="single" w:sz="4" w:space="0" w:color="000000"/>
            </w:tcBorders>
          </w:tcPr>
          <w:p w14:paraId="0DFDC411"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412" w14:textId="77777777" w:rsidR="00046465" w:rsidRDefault="00046465">
            <w:pPr>
              <w:pStyle w:val="TableParagraph"/>
              <w:rPr>
                <w:rFonts w:ascii="Times New Roman"/>
                <w:sz w:val="20"/>
              </w:rPr>
            </w:pPr>
          </w:p>
        </w:tc>
      </w:tr>
      <w:tr w:rsidR="00046465" w14:paraId="0DFDC417" w14:textId="77777777">
        <w:trPr>
          <w:trHeight w:val="1211"/>
        </w:trPr>
        <w:tc>
          <w:tcPr>
            <w:tcW w:w="6719" w:type="dxa"/>
            <w:tcBorders>
              <w:top w:val="single" w:sz="4" w:space="0" w:color="000000"/>
              <w:bottom w:val="single" w:sz="4" w:space="0" w:color="000000"/>
              <w:right w:val="single" w:sz="4" w:space="0" w:color="000000"/>
            </w:tcBorders>
          </w:tcPr>
          <w:p w14:paraId="0DFDC414" w14:textId="77777777" w:rsidR="00046465" w:rsidRDefault="008134EB">
            <w:pPr>
              <w:pStyle w:val="TableParagraph"/>
              <w:spacing w:before="99"/>
              <w:ind w:left="485" w:hanging="353"/>
            </w:pPr>
            <w:r>
              <w:t>2)</w:t>
            </w:r>
            <w:r>
              <w:rPr>
                <w:spacing w:val="80"/>
              </w:rPr>
              <w:t xml:space="preserve"> </w:t>
            </w:r>
            <w:r>
              <w:t>To</w:t>
            </w:r>
            <w:r>
              <w:rPr>
                <w:spacing w:val="-4"/>
              </w:rPr>
              <w:t xml:space="preserve"> </w:t>
            </w:r>
            <w:r>
              <w:t>assess</w:t>
            </w:r>
            <w:r>
              <w:rPr>
                <w:spacing w:val="-4"/>
              </w:rPr>
              <w:t xml:space="preserve"> </w:t>
            </w:r>
            <w:r>
              <w:t>whether</w:t>
            </w:r>
            <w:r>
              <w:rPr>
                <w:spacing w:val="-4"/>
              </w:rPr>
              <w:t xml:space="preserve"> </w:t>
            </w:r>
            <w:r>
              <w:t>the</w:t>
            </w:r>
            <w:r>
              <w:rPr>
                <w:spacing w:val="-4"/>
              </w:rPr>
              <w:t xml:space="preserve"> </w:t>
            </w:r>
            <w:r>
              <w:t>presentation</w:t>
            </w:r>
            <w:r>
              <w:rPr>
                <w:spacing w:val="-5"/>
              </w:rPr>
              <w:t xml:space="preserve"> </w:t>
            </w:r>
            <w:r>
              <w:t>of</w:t>
            </w:r>
            <w:r>
              <w:rPr>
                <w:spacing w:val="-4"/>
              </w:rPr>
              <w:t xml:space="preserve"> </w:t>
            </w:r>
            <w:r>
              <w:t>the</w:t>
            </w:r>
            <w:r>
              <w:rPr>
                <w:spacing w:val="-4"/>
              </w:rPr>
              <w:t xml:space="preserve"> </w:t>
            </w:r>
            <w:r>
              <w:t>financial</w:t>
            </w:r>
            <w:r>
              <w:rPr>
                <w:spacing w:val="-4"/>
              </w:rPr>
              <w:t xml:space="preserve"> </w:t>
            </w:r>
            <w:r>
              <w:t>statements and</w:t>
            </w:r>
            <w:r>
              <w:rPr>
                <w:spacing w:val="-2"/>
              </w:rPr>
              <w:t xml:space="preserve"> </w:t>
            </w:r>
            <w:r>
              <w:t>note</w:t>
            </w:r>
            <w:r>
              <w:rPr>
                <w:spacing w:val="-2"/>
              </w:rPr>
              <w:t xml:space="preserve"> </w:t>
            </w:r>
            <w:r>
              <w:t>disclosures</w:t>
            </w:r>
            <w:r>
              <w:rPr>
                <w:spacing w:val="-2"/>
              </w:rPr>
              <w:t xml:space="preserve"> </w:t>
            </w:r>
            <w:r>
              <w:t>for</w:t>
            </w:r>
            <w:r>
              <w:rPr>
                <w:spacing w:val="-4"/>
              </w:rPr>
              <w:t xml:space="preserve"> </w:t>
            </w:r>
            <w:r>
              <w:t>the</w:t>
            </w:r>
            <w:r>
              <w:rPr>
                <w:spacing w:val="-2"/>
              </w:rPr>
              <w:t xml:space="preserve"> </w:t>
            </w:r>
            <w:r>
              <w:t>FBWT</w:t>
            </w:r>
            <w:r>
              <w:rPr>
                <w:spacing w:val="-2"/>
              </w:rPr>
              <w:t xml:space="preserve"> </w:t>
            </w:r>
            <w:r>
              <w:t>line</w:t>
            </w:r>
            <w:r>
              <w:rPr>
                <w:spacing w:val="-2"/>
              </w:rPr>
              <w:t xml:space="preserve"> </w:t>
            </w:r>
            <w:r>
              <w:t>item</w:t>
            </w:r>
            <w:r>
              <w:rPr>
                <w:spacing w:val="-3"/>
              </w:rPr>
              <w:t xml:space="preserve"> </w:t>
            </w:r>
            <w:r>
              <w:t>are</w:t>
            </w:r>
            <w:r>
              <w:rPr>
                <w:spacing w:val="-2"/>
              </w:rPr>
              <w:t xml:space="preserve"> </w:t>
            </w:r>
            <w:r>
              <w:t>in</w:t>
            </w:r>
            <w:r>
              <w:rPr>
                <w:spacing w:val="-2"/>
              </w:rPr>
              <w:t xml:space="preserve"> </w:t>
            </w:r>
            <w:r>
              <w:t xml:space="preserve">accordance with U.S. GAAP, determine whether the entity has done the </w:t>
            </w:r>
            <w:r>
              <w:rPr>
                <w:spacing w:val="-2"/>
              </w:rPr>
              <w:t>following:</w:t>
            </w:r>
          </w:p>
        </w:tc>
        <w:tc>
          <w:tcPr>
            <w:tcW w:w="1427" w:type="dxa"/>
            <w:tcBorders>
              <w:top w:val="single" w:sz="4" w:space="0" w:color="000000"/>
              <w:left w:val="single" w:sz="4" w:space="0" w:color="000000"/>
              <w:bottom w:val="single" w:sz="4" w:space="0" w:color="000000"/>
              <w:right w:val="single" w:sz="4" w:space="0" w:color="000000"/>
            </w:tcBorders>
          </w:tcPr>
          <w:p w14:paraId="0DFDC415"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416" w14:textId="77777777" w:rsidR="00046465" w:rsidRDefault="00046465">
            <w:pPr>
              <w:pStyle w:val="TableParagraph"/>
              <w:rPr>
                <w:rFonts w:ascii="Times New Roman"/>
                <w:sz w:val="20"/>
              </w:rPr>
            </w:pPr>
          </w:p>
        </w:tc>
      </w:tr>
      <w:tr w:rsidR="00046465" w14:paraId="0DFDC41B" w14:textId="77777777">
        <w:trPr>
          <w:trHeight w:val="706"/>
        </w:trPr>
        <w:tc>
          <w:tcPr>
            <w:tcW w:w="6719" w:type="dxa"/>
            <w:tcBorders>
              <w:top w:val="single" w:sz="4" w:space="0" w:color="000000"/>
              <w:bottom w:val="single" w:sz="4" w:space="0" w:color="000000"/>
              <w:right w:val="single" w:sz="4" w:space="0" w:color="000000"/>
            </w:tcBorders>
          </w:tcPr>
          <w:p w14:paraId="0DFDC418" w14:textId="77777777" w:rsidR="00046465" w:rsidRDefault="008134EB">
            <w:pPr>
              <w:pStyle w:val="TableParagraph"/>
              <w:tabs>
                <w:tab w:val="left" w:pos="934"/>
              </w:tabs>
              <w:spacing w:before="100"/>
              <w:ind w:left="935" w:right="1215" w:hanging="450"/>
            </w:pPr>
            <w:r>
              <w:rPr>
                <w:spacing w:val="-6"/>
              </w:rPr>
              <w:t>a)</w:t>
            </w:r>
            <w:r>
              <w:tab/>
              <w:t>Disclosed</w:t>
            </w:r>
            <w:r>
              <w:rPr>
                <w:spacing w:val="-9"/>
              </w:rPr>
              <w:t xml:space="preserve"> </w:t>
            </w:r>
            <w:r>
              <w:t>and</w:t>
            </w:r>
            <w:r>
              <w:rPr>
                <w:spacing w:val="-9"/>
              </w:rPr>
              <w:t xml:space="preserve"> </w:t>
            </w:r>
            <w:r>
              <w:t>explained</w:t>
            </w:r>
            <w:r>
              <w:rPr>
                <w:spacing w:val="-9"/>
              </w:rPr>
              <w:t xml:space="preserve"> </w:t>
            </w:r>
            <w:r>
              <w:t>material</w:t>
            </w:r>
            <w:r>
              <w:rPr>
                <w:spacing w:val="-9"/>
              </w:rPr>
              <w:t xml:space="preserve"> </w:t>
            </w:r>
            <w:r>
              <w:t>unreconciled differences in the note disclosures.</w:t>
            </w:r>
          </w:p>
        </w:tc>
        <w:tc>
          <w:tcPr>
            <w:tcW w:w="1427" w:type="dxa"/>
            <w:tcBorders>
              <w:top w:val="single" w:sz="4" w:space="0" w:color="000000"/>
              <w:left w:val="single" w:sz="4" w:space="0" w:color="000000"/>
              <w:bottom w:val="single" w:sz="4" w:space="0" w:color="000000"/>
              <w:right w:val="single" w:sz="4" w:space="0" w:color="000000"/>
            </w:tcBorders>
          </w:tcPr>
          <w:p w14:paraId="0DFDC419"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41A" w14:textId="77777777" w:rsidR="00046465" w:rsidRDefault="00046465">
            <w:pPr>
              <w:pStyle w:val="TableParagraph"/>
              <w:rPr>
                <w:rFonts w:ascii="Times New Roman"/>
                <w:sz w:val="20"/>
              </w:rPr>
            </w:pPr>
          </w:p>
        </w:tc>
      </w:tr>
      <w:tr w:rsidR="00046465" w14:paraId="0DFDC41F" w14:textId="77777777">
        <w:trPr>
          <w:trHeight w:val="958"/>
        </w:trPr>
        <w:tc>
          <w:tcPr>
            <w:tcW w:w="6719" w:type="dxa"/>
            <w:tcBorders>
              <w:top w:val="single" w:sz="4" w:space="0" w:color="000000"/>
              <w:bottom w:val="single" w:sz="4" w:space="0" w:color="000000"/>
              <w:right w:val="single" w:sz="4" w:space="0" w:color="000000"/>
            </w:tcBorders>
          </w:tcPr>
          <w:p w14:paraId="0DFDC41C" w14:textId="77777777" w:rsidR="00046465" w:rsidRDefault="008134EB">
            <w:pPr>
              <w:pStyle w:val="TableParagraph"/>
              <w:tabs>
                <w:tab w:val="left" w:pos="934"/>
              </w:tabs>
              <w:spacing w:before="99"/>
              <w:ind w:left="935" w:right="374" w:hanging="450"/>
            </w:pPr>
            <w:r>
              <w:rPr>
                <w:spacing w:val="-6"/>
              </w:rPr>
              <w:t>b)</w:t>
            </w:r>
            <w:r>
              <w:tab/>
              <w:t>Disclosed material unreconciled differences that were written</w:t>
            </w:r>
            <w:r>
              <w:rPr>
                <w:spacing w:val="-4"/>
              </w:rPr>
              <w:t xml:space="preserve"> </w:t>
            </w:r>
            <w:r>
              <w:t>off</w:t>
            </w:r>
            <w:r>
              <w:rPr>
                <w:spacing w:val="-4"/>
              </w:rPr>
              <w:t xml:space="preserve"> </w:t>
            </w:r>
            <w:r>
              <w:t>by</w:t>
            </w:r>
            <w:r>
              <w:rPr>
                <w:spacing w:val="-4"/>
              </w:rPr>
              <w:t xml:space="preserve"> </w:t>
            </w:r>
            <w:r>
              <w:t>the</w:t>
            </w:r>
            <w:r>
              <w:rPr>
                <w:spacing w:val="-4"/>
              </w:rPr>
              <w:t xml:space="preserve"> </w:t>
            </w:r>
            <w:r>
              <w:t>entity</w:t>
            </w:r>
            <w:r>
              <w:rPr>
                <w:spacing w:val="-5"/>
              </w:rPr>
              <w:t xml:space="preserve"> </w:t>
            </w:r>
            <w:r>
              <w:t>during</w:t>
            </w:r>
            <w:r>
              <w:rPr>
                <w:spacing w:val="-4"/>
              </w:rPr>
              <w:t xml:space="preserve"> </w:t>
            </w:r>
            <w:r>
              <w:t>the</w:t>
            </w:r>
            <w:r>
              <w:rPr>
                <w:spacing w:val="-4"/>
              </w:rPr>
              <w:t xml:space="preserve"> </w:t>
            </w:r>
            <w:r>
              <w:t>fiscal</w:t>
            </w:r>
            <w:r>
              <w:rPr>
                <w:spacing w:val="-4"/>
              </w:rPr>
              <w:t xml:space="preserve"> </w:t>
            </w:r>
            <w:r>
              <w:t>year</w:t>
            </w:r>
            <w:r>
              <w:rPr>
                <w:spacing w:val="-5"/>
              </w:rPr>
              <w:t xml:space="preserve"> </w:t>
            </w:r>
            <w:r>
              <w:t>in</w:t>
            </w:r>
            <w:r>
              <w:rPr>
                <w:spacing w:val="-5"/>
              </w:rPr>
              <w:t xml:space="preserve"> </w:t>
            </w:r>
            <w:r>
              <w:t>the</w:t>
            </w:r>
            <w:r>
              <w:rPr>
                <w:spacing w:val="-4"/>
              </w:rPr>
              <w:t xml:space="preserve"> </w:t>
            </w:r>
            <w:r>
              <w:t xml:space="preserve">note </w:t>
            </w:r>
            <w:r>
              <w:rPr>
                <w:spacing w:val="-2"/>
              </w:rPr>
              <w:t>disclosures.</w:t>
            </w:r>
          </w:p>
        </w:tc>
        <w:tc>
          <w:tcPr>
            <w:tcW w:w="1427" w:type="dxa"/>
            <w:tcBorders>
              <w:top w:val="single" w:sz="4" w:space="0" w:color="000000"/>
              <w:left w:val="single" w:sz="4" w:space="0" w:color="000000"/>
              <w:bottom w:val="single" w:sz="4" w:space="0" w:color="000000"/>
              <w:right w:val="single" w:sz="4" w:space="0" w:color="000000"/>
            </w:tcBorders>
          </w:tcPr>
          <w:p w14:paraId="0DFDC41D"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41E" w14:textId="77777777" w:rsidR="00046465" w:rsidRDefault="00046465">
            <w:pPr>
              <w:pStyle w:val="TableParagraph"/>
              <w:rPr>
                <w:rFonts w:ascii="Times New Roman"/>
                <w:sz w:val="20"/>
              </w:rPr>
            </w:pPr>
          </w:p>
        </w:tc>
      </w:tr>
      <w:tr w:rsidR="00046465" w14:paraId="0DFDC423" w14:textId="77777777">
        <w:trPr>
          <w:trHeight w:val="453"/>
        </w:trPr>
        <w:tc>
          <w:tcPr>
            <w:tcW w:w="6719" w:type="dxa"/>
            <w:tcBorders>
              <w:top w:val="single" w:sz="4" w:space="0" w:color="000000"/>
              <w:bottom w:val="single" w:sz="4" w:space="0" w:color="000000"/>
              <w:right w:val="single" w:sz="4" w:space="0" w:color="000000"/>
            </w:tcBorders>
          </w:tcPr>
          <w:p w14:paraId="0DFDC420" w14:textId="77777777" w:rsidR="00046465" w:rsidRDefault="008134EB">
            <w:pPr>
              <w:pStyle w:val="TableParagraph"/>
              <w:tabs>
                <w:tab w:val="left" w:pos="934"/>
              </w:tabs>
              <w:spacing w:before="100"/>
              <w:ind w:left="485"/>
            </w:pPr>
            <w:r>
              <w:rPr>
                <w:spacing w:val="-5"/>
              </w:rPr>
              <w:t>c)</w:t>
            </w:r>
            <w:r>
              <w:tab/>
              <w:t>Disclosed</w:t>
            </w:r>
            <w:r>
              <w:rPr>
                <w:spacing w:val="-11"/>
              </w:rPr>
              <w:t xml:space="preserve"> </w:t>
            </w:r>
            <w:r>
              <w:t>material</w:t>
            </w:r>
            <w:r>
              <w:rPr>
                <w:spacing w:val="-10"/>
              </w:rPr>
              <w:t xml:space="preserve"> </w:t>
            </w:r>
            <w:r>
              <w:rPr>
                <w:spacing w:val="-2"/>
              </w:rPr>
              <w:t>restrictions.</w:t>
            </w:r>
          </w:p>
        </w:tc>
        <w:tc>
          <w:tcPr>
            <w:tcW w:w="1427" w:type="dxa"/>
            <w:tcBorders>
              <w:top w:val="single" w:sz="4" w:space="0" w:color="000000"/>
              <w:left w:val="single" w:sz="4" w:space="0" w:color="000000"/>
              <w:bottom w:val="single" w:sz="4" w:space="0" w:color="000000"/>
              <w:right w:val="single" w:sz="4" w:space="0" w:color="000000"/>
            </w:tcBorders>
          </w:tcPr>
          <w:p w14:paraId="0DFDC421"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422" w14:textId="77777777" w:rsidR="00046465" w:rsidRDefault="00046465">
            <w:pPr>
              <w:pStyle w:val="TableParagraph"/>
              <w:rPr>
                <w:rFonts w:ascii="Times New Roman"/>
                <w:sz w:val="20"/>
              </w:rPr>
            </w:pPr>
          </w:p>
        </w:tc>
      </w:tr>
      <w:tr w:rsidR="00046465" w14:paraId="0DFDC427" w14:textId="77777777">
        <w:trPr>
          <w:trHeight w:val="1211"/>
        </w:trPr>
        <w:tc>
          <w:tcPr>
            <w:tcW w:w="6719" w:type="dxa"/>
            <w:tcBorders>
              <w:top w:val="single" w:sz="4" w:space="0" w:color="000000"/>
              <w:bottom w:val="single" w:sz="4" w:space="0" w:color="000000"/>
              <w:right w:val="single" w:sz="4" w:space="0" w:color="000000"/>
            </w:tcBorders>
          </w:tcPr>
          <w:p w14:paraId="0DFDC424" w14:textId="77777777" w:rsidR="00046465" w:rsidRDefault="008134EB">
            <w:pPr>
              <w:pStyle w:val="TableParagraph"/>
              <w:tabs>
                <w:tab w:val="left" w:pos="934"/>
              </w:tabs>
              <w:spacing w:before="100"/>
              <w:ind w:left="935" w:right="287" w:hanging="451"/>
            </w:pPr>
            <w:r>
              <w:rPr>
                <w:spacing w:val="-6"/>
              </w:rPr>
              <w:t>d)</w:t>
            </w:r>
            <w:r>
              <w:tab/>
              <w:t>Recorded</w:t>
            </w:r>
            <w:r>
              <w:rPr>
                <w:spacing w:val="-6"/>
              </w:rPr>
              <w:t xml:space="preserve"> </w:t>
            </w:r>
            <w:r>
              <w:t>the</w:t>
            </w:r>
            <w:r>
              <w:rPr>
                <w:spacing w:val="-6"/>
              </w:rPr>
              <w:t xml:space="preserve"> </w:t>
            </w:r>
            <w:r>
              <w:t>auditor’s</w:t>
            </w:r>
            <w:r>
              <w:rPr>
                <w:spacing w:val="-6"/>
              </w:rPr>
              <w:t xml:space="preserve"> </w:t>
            </w:r>
            <w:r>
              <w:t>proposed</w:t>
            </w:r>
            <w:r>
              <w:rPr>
                <w:spacing w:val="-6"/>
              </w:rPr>
              <w:t xml:space="preserve"> </w:t>
            </w:r>
            <w:r>
              <w:t>audit</w:t>
            </w:r>
            <w:r>
              <w:rPr>
                <w:spacing w:val="-6"/>
              </w:rPr>
              <w:t xml:space="preserve"> </w:t>
            </w:r>
            <w:r>
              <w:t>adjustments</w:t>
            </w:r>
            <w:r>
              <w:rPr>
                <w:spacing w:val="-6"/>
              </w:rPr>
              <w:t xml:space="preserve"> </w:t>
            </w:r>
            <w:r>
              <w:t>or,</w:t>
            </w:r>
            <w:r>
              <w:rPr>
                <w:spacing w:val="-6"/>
              </w:rPr>
              <w:t xml:space="preserve"> </w:t>
            </w:r>
            <w:r>
              <w:t>if the</w:t>
            </w:r>
            <w:r>
              <w:rPr>
                <w:spacing w:val="-4"/>
              </w:rPr>
              <w:t xml:space="preserve"> </w:t>
            </w:r>
            <w:r>
              <w:t>adjustments</w:t>
            </w:r>
            <w:r>
              <w:rPr>
                <w:spacing w:val="-4"/>
              </w:rPr>
              <w:t xml:space="preserve"> </w:t>
            </w:r>
            <w:r>
              <w:t>are</w:t>
            </w:r>
            <w:r>
              <w:rPr>
                <w:spacing w:val="-4"/>
              </w:rPr>
              <w:t xml:space="preserve"> </w:t>
            </w:r>
            <w:r>
              <w:t>immaterial,</w:t>
            </w:r>
            <w:r>
              <w:rPr>
                <w:spacing w:val="-4"/>
              </w:rPr>
              <w:t xml:space="preserve"> </w:t>
            </w:r>
            <w:r>
              <w:t>included</w:t>
            </w:r>
            <w:r>
              <w:rPr>
                <w:spacing w:val="-4"/>
              </w:rPr>
              <w:t xml:space="preserve"> </w:t>
            </w:r>
            <w:r>
              <w:t>the</w:t>
            </w:r>
            <w:r>
              <w:rPr>
                <w:spacing w:val="-4"/>
              </w:rPr>
              <w:t xml:space="preserve"> </w:t>
            </w:r>
            <w:r>
              <w:t>amounts</w:t>
            </w:r>
            <w:r>
              <w:rPr>
                <w:spacing w:val="-4"/>
              </w:rPr>
              <w:t xml:space="preserve"> </w:t>
            </w:r>
            <w:r>
              <w:t>in the summary of uncorrected misstatements attached to the management representation letter (see FAM 1001).</w:t>
            </w:r>
          </w:p>
        </w:tc>
        <w:tc>
          <w:tcPr>
            <w:tcW w:w="1427" w:type="dxa"/>
            <w:tcBorders>
              <w:top w:val="single" w:sz="4" w:space="0" w:color="000000"/>
              <w:left w:val="single" w:sz="4" w:space="0" w:color="000000"/>
              <w:bottom w:val="single" w:sz="4" w:space="0" w:color="000000"/>
              <w:right w:val="single" w:sz="4" w:space="0" w:color="000000"/>
            </w:tcBorders>
          </w:tcPr>
          <w:p w14:paraId="0DFDC425"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426" w14:textId="77777777" w:rsidR="00046465" w:rsidRDefault="00046465">
            <w:pPr>
              <w:pStyle w:val="TableParagraph"/>
              <w:rPr>
                <w:rFonts w:ascii="Times New Roman"/>
                <w:sz w:val="20"/>
              </w:rPr>
            </w:pPr>
          </w:p>
        </w:tc>
      </w:tr>
      <w:tr w:rsidR="00046465" w14:paraId="0DFDC42B" w14:textId="77777777">
        <w:trPr>
          <w:trHeight w:val="706"/>
        </w:trPr>
        <w:tc>
          <w:tcPr>
            <w:tcW w:w="6719" w:type="dxa"/>
            <w:tcBorders>
              <w:top w:val="single" w:sz="4" w:space="0" w:color="000000"/>
              <w:bottom w:val="single" w:sz="4" w:space="0" w:color="000000"/>
              <w:right w:val="single" w:sz="4" w:space="0" w:color="000000"/>
            </w:tcBorders>
          </w:tcPr>
          <w:p w14:paraId="0DFDC428" w14:textId="77777777" w:rsidR="00046465" w:rsidRDefault="008134EB">
            <w:pPr>
              <w:pStyle w:val="TableParagraph"/>
              <w:tabs>
                <w:tab w:val="left" w:pos="934"/>
              </w:tabs>
              <w:spacing w:before="100"/>
              <w:ind w:left="935" w:right="1034" w:hanging="450"/>
            </w:pPr>
            <w:r>
              <w:rPr>
                <w:spacing w:val="-6"/>
              </w:rPr>
              <w:t>e)</w:t>
            </w:r>
            <w:r>
              <w:tab/>
              <w:t>Completed</w:t>
            </w:r>
            <w:r>
              <w:rPr>
                <w:spacing w:val="-6"/>
              </w:rPr>
              <w:t xml:space="preserve"> </w:t>
            </w:r>
            <w:r>
              <w:t>the</w:t>
            </w:r>
            <w:r>
              <w:rPr>
                <w:spacing w:val="-6"/>
              </w:rPr>
              <w:t xml:space="preserve"> </w:t>
            </w:r>
            <w:r>
              <w:t>portion</w:t>
            </w:r>
            <w:r>
              <w:rPr>
                <w:spacing w:val="-6"/>
              </w:rPr>
              <w:t xml:space="preserve"> </w:t>
            </w:r>
            <w:r>
              <w:t>of</w:t>
            </w:r>
            <w:r>
              <w:rPr>
                <w:spacing w:val="-6"/>
              </w:rPr>
              <w:t xml:space="preserve"> </w:t>
            </w:r>
            <w:r>
              <w:t>the</w:t>
            </w:r>
            <w:r>
              <w:rPr>
                <w:spacing w:val="-6"/>
              </w:rPr>
              <w:t xml:space="preserve"> </w:t>
            </w:r>
            <w:r>
              <w:t>FAM</w:t>
            </w:r>
            <w:r>
              <w:rPr>
                <w:spacing w:val="-6"/>
              </w:rPr>
              <w:t xml:space="preserve"> </w:t>
            </w:r>
            <w:r>
              <w:t>2010,</w:t>
            </w:r>
            <w:r>
              <w:rPr>
                <w:spacing w:val="-6"/>
              </w:rPr>
              <w:t xml:space="preserve"> </w:t>
            </w:r>
            <w:r>
              <w:rPr>
                <w:i/>
              </w:rPr>
              <w:t>Federal Financial Reporting Checklist</w:t>
            </w:r>
            <w:r>
              <w:t>, related to FBWT.</w:t>
            </w:r>
          </w:p>
        </w:tc>
        <w:tc>
          <w:tcPr>
            <w:tcW w:w="1427" w:type="dxa"/>
            <w:tcBorders>
              <w:top w:val="single" w:sz="4" w:space="0" w:color="000000"/>
              <w:left w:val="single" w:sz="4" w:space="0" w:color="000000"/>
              <w:bottom w:val="single" w:sz="4" w:space="0" w:color="000000"/>
              <w:right w:val="single" w:sz="4" w:space="0" w:color="000000"/>
            </w:tcBorders>
          </w:tcPr>
          <w:p w14:paraId="0DFDC429"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42A" w14:textId="77777777" w:rsidR="00046465" w:rsidRDefault="00046465">
            <w:pPr>
              <w:pStyle w:val="TableParagraph"/>
              <w:rPr>
                <w:rFonts w:ascii="Times New Roman"/>
                <w:sz w:val="20"/>
              </w:rPr>
            </w:pPr>
          </w:p>
        </w:tc>
      </w:tr>
      <w:tr w:rsidR="00046465" w14:paraId="0DFDC42F" w14:textId="77777777">
        <w:trPr>
          <w:trHeight w:val="706"/>
        </w:trPr>
        <w:tc>
          <w:tcPr>
            <w:tcW w:w="6719" w:type="dxa"/>
            <w:tcBorders>
              <w:top w:val="single" w:sz="4" w:space="0" w:color="000000"/>
              <w:bottom w:val="single" w:sz="4" w:space="0" w:color="000000"/>
              <w:right w:val="single" w:sz="4" w:space="0" w:color="000000"/>
            </w:tcBorders>
          </w:tcPr>
          <w:p w14:paraId="0DFDC42C" w14:textId="77777777" w:rsidR="00046465" w:rsidRDefault="008134EB">
            <w:pPr>
              <w:pStyle w:val="TableParagraph"/>
              <w:spacing w:before="99"/>
              <w:ind w:left="485" w:right="176" w:hanging="350"/>
            </w:pPr>
            <w:r>
              <w:t>3)</w:t>
            </w:r>
            <w:r>
              <w:rPr>
                <w:spacing w:val="80"/>
              </w:rPr>
              <w:t xml:space="preserve"> </w:t>
            </w:r>
            <w:r>
              <w:t>Document</w:t>
            </w:r>
            <w:r>
              <w:rPr>
                <w:spacing w:val="-4"/>
              </w:rPr>
              <w:t xml:space="preserve"> </w:t>
            </w:r>
            <w:r>
              <w:t>the</w:t>
            </w:r>
            <w:r>
              <w:rPr>
                <w:spacing w:val="-4"/>
              </w:rPr>
              <w:t xml:space="preserve"> </w:t>
            </w:r>
            <w:r>
              <w:t>results</w:t>
            </w:r>
            <w:r>
              <w:rPr>
                <w:spacing w:val="-5"/>
              </w:rPr>
              <w:t xml:space="preserve"> </w:t>
            </w:r>
            <w:r>
              <w:t>in</w:t>
            </w:r>
            <w:r>
              <w:rPr>
                <w:spacing w:val="-5"/>
              </w:rPr>
              <w:t xml:space="preserve"> </w:t>
            </w:r>
            <w:r>
              <w:t>a</w:t>
            </w:r>
            <w:r>
              <w:rPr>
                <w:spacing w:val="-4"/>
              </w:rPr>
              <w:t xml:space="preserve"> </w:t>
            </w:r>
            <w:r>
              <w:t>summary</w:t>
            </w:r>
            <w:r>
              <w:rPr>
                <w:spacing w:val="-4"/>
              </w:rPr>
              <w:t xml:space="preserve"> </w:t>
            </w:r>
            <w:r>
              <w:t>memo</w:t>
            </w:r>
            <w:r>
              <w:rPr>
                <w:spacing w:val="-4"/>
              </w:rPr>
              <w:t xml:space="preserve"> </w:t>
            </w:r>
            <w:r>
              <w:t>or</w:t>
            </w:r>
            <w:r>
              <w:rPr>
                <w:spacing w:val="-4"/>
              </w:rPr>
              <w:t xml:space="preserve"> </w:t>
            </w:r>
            <w:r>
              <w:t>other</w:t>
            </w:r>
            <w:r>
              <w:rPr>
                <w:spacing w:val="-4"/>
              </w:rPr>
              <w:t xml:space="preserve"> </w:t>
            </w:r>
            <w:r>
              <w:t>document as appropriate.</w:t>
            </w:r>
          </w:p>
        </w:tc>
        <w:tc>
          <w:tcPr>
            <w:tcW w:w="1427" w:type="dxa"/>
            <w:tcBorders>
              <w:top w:val="single" w:sz="4" w:space="0" w:color="000000"/>
              <w:left w:val="single" w:sz="4" w:space="0" w:color="000000"/>
              <w:bottom w:val="single" w:sz="4" w:space="0" w:color="000000"/>
              <w:right w:val="single" w:sz="4" w:space="0" w:color="000000"/>
            </w:tcBorders>
          </w:tcPr>
          <w:p w14:paraId="0DFDC42D"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42E" w14:textId="77777777" w:rsidR="00046465" w:rsidRDefault="00046465">
            <w:pPr>
              <w:pStyle w:val="TableParagraph"/>
              <w:rPr>
                <w:rFonts w:ascii="Times New Roman"/>
                <w:sz w:val="20"/>
              </w:rPr>
            </w:pPr>
          </w:p>
        </w:tc>
      </w:tr>
      <w:tr w:rsidR="00046465" w14:paraId="0DFDC438" w14:textId="77777777">
        <w:trPr>
          <w:trHeight w:val="2803"/>
        </w:trPr>
        <w:tc>
          <w:tcPr>
            <w:tcW w:w="6719" w:type="dxa"/>
            <w:tcBorders>
              <w:top w:val="single" w:sz="4" w:space="0" w:color="000000"/>
              <w:bottom w:val="single" w:sz="4" w:space="0" w:color="000000"/>
              <w:right w:val="single" w:sz="4" w:space="0" w:color="000000"/>
            </w:tcBorders>
          </w:tcPr>
          <w:p w14:paraId="0DFDC430" w14:textId="77777777" w:rsidR="00046465" w:rsidRDefault="008134EB">
            <w:pPr>
              <w:pStyle w:val="TableParagraph"/>
              <w:spacing w:before="99"/>
              <w:ind w:left="485" w:hanging="350"/>
            </w:pPr>
            <w:r>
              <w:t>4)</w:t>
            </w:r>
            <w:r>
              <w:rPr>
                <w:spacing w:val="80"/>
              </w:rPr>
              <w:t xml:space="preserve"> </w:t>
            </w:r>
            <w:r>
              <w:t>As</w:t>
            </w:r>
            <w:r>
              <w:rPr>
                <w:spacing w:val="-4"/>
              </w:rPr>
              <w:t xml:space="preserve"> </w:t>
            </w:r>
            <w:r>
              <w:t>necessary,</w:t>
            </w:r>
            <w:r>
              <w:rPr>
                <w:spacing w:val="-4"/>
              </w:rPr>
              <w:t xml:space="preserve"> </w:t>
            </w:r>
            <w:r>
              <w:t>complete</w:t>
            </w:r>
            <w:r>
              <w:rPr>
                <w:spacing w:val="-5"/>
              </w:rPr>
              <w:t xml:space="preserve"> </w:t>
            </w:r>
            <w:r>
              <w:t>other</w:t>
            </w:r>
            <w:r>
              <w:rPr>
                <w:spacing w:val="-4"/>
              </w:rPr>
              <w:t xml:space="preserve"> </w:t>
            </w:r>
            <w:r>
              <w:t>audit</w:t>
            </w:r>
            <w:r>
              <w:rPr>
                <w:spacing w:val="-4"/>
              </w:rPr>
              <w:t xml:space="preserve"> </w:t>
            </w:r>
            <w:r>
              <w:t>procedures</w:t>
            </w:r>
            <w:r>
              <w:rPr>
                <w:spacing w:val="-4"/>
              </w:rPr>
              <w:t xml:space="preserve"> </w:t>
            </w:r>
            <w:r>
              <w:t>for</w:t>
            </w:r>
            <w:r>
              <w:rPr>
                <w:spacing w:val="-4"/>
              </w:rPr>
              <w:t xml:space="preserve"> </w:t>
            </w:r>
            <w:r>
              <w:t>FBWT, including tests of entity</w:t>
            </w:r>
          </w:p>
          <w:p w14:paraId="0DFDC431" w14:textId="77777777" w:rsidR="00046465" w:rsidRDefault="008134EB">
            <w:pPr>
              <w:pStyle w:val="TableParagraph"/>
              <w:numPr>
                <w:ilvl w:val="0"/>
                <w:numId w:val="111"/>
              </w:numPr>
              <w:tabs>
                <w:tab w:val="left" w:pos="844"/>
              </w:tabs>
              <w:spacing w:before="100" w:line="269" w:lineRule="exact"/>
            </w:pPr>
            <w:r>
              <w:t>fund</w:t>
            </w:r>
            <w:r>
              <w:rPr>
                <w:spacing w:val="-5"/>
              </w:rPr>
              <w:t xml:space="preserve"> </w:t>
            </w:r>
            <w:r>
              <w:rPr>
                <w:spacing w:val="-2"/>
              </w:rPr>
              <w:t>controls,</w:t>
            </w:r>
          </w:p>
          <w:p w14:paraId="0DFDC432" w14:textId="77777777" w:rsidR="00046465" w:rsidRDefault="008134EB">
            <w:pPr>
              <w:pStyle w:val="TableParagraph"/>
              <w:numPr>
                <w:ilvl w:val="0"/>
                <w:numId w:val="111"/>
              </w:numPr>
              <w:tabs>
                <w:tab w:val="left" w:pos="844"/>
              </w:tabs>
              <w:ind w:right="404"/>
            </w:pPr>
            <w:r>
              <w:t>cash</w:t>
            </w:r>
            <w:r>
              <w:rPr>
                <w:spacing w:val="-5"/>
              </w:rPr>
              <w:t xml:space="preserve"> </w:t>
            </w:r>
            <w:r>
              <w:t>on</w:t>
            </w:r>
            <w:r>
              <w:rPr>
                <w:spacing w:val="-5"/>
              </w:rPr>
              <w:t xml:space="preserve"> </w:t>
            </w:r>
            <w:r>
              <w:t>deposit</w:t>
            </w:r>
            <w:r>
              <w:rPr>
                <w:spacing w:val="-5"/>
              </w:rPr>
              <w:t xml:space="preserve"> </w:t>
            </w:r>
            <w:r>
              <w:t>bank</w:t>
            </w:r>
            <w:r>
              <w:rPr>
                <w:spacing w:val="-5"/>
              </w:rPr>
              <w:t xml:space="preserve"> </w:t>
            </w:r>
            <w:r>
              <w:t>accounts</w:t>
            </w:r>
            <w:r>
              <w:rPr>
                <w:spacing w:val="-5"/>
              </w:rPr>
              <w:t xml:space="preserve"> </w:t>
            </w:r>
            <w:r>
              <w:t>and</w:t>
            </w:r>
            <w:r>
              <w:rPr>
                <w:spacing w:val="-6"/>
              </w:rPr>
              <w:t xml:space="preserve"> </w:t>
            </w:r>
            <w:r>
              <w:t>petty</w:t>
            </w:r>
            <w:r>
              <w:rPr>
                <w:spacing w:val="-5"/>
              </w:rPr>
              <w:t xml:space="preserve"> </w:t>
            </w:r>
            <w:r>
              <w:t>cash</w:t>
            </w:r>
            <w:r>
              <w:rPr>
                <w:spacing w:val="-5"/>
              </w:rPr>
              <w:t xml:space="preserve"> </w:t>
            </w:r>
            <w:r>
              <w:t xml:space="preserve">(imprest) </w:t>
            </w:r>
            <w:r>
              <w:rPr>
                <w:spacing w:val="-2"/>
              </w:rPr>
              <w:t>funds,</w:t>
            </w:r>
          </w:p>
          <w:p w14:paraId="0DFDC433" w14:textId="77777777" w:rsidR="00046465" w:rsidRDefault="008134EB">
            <w:pPr>
              <w:pStyle w:val="TableParagraph"/>
              <w:numPr>
                <w:ilvl w:val="0"/>
                <w:numId w:val="111"/>
              </w:numPr>
              <w:tabs>
                <w:tab w:val="left" w:pos="844"/>
              </w:tabs>
              <w:ind w:right="270"/>
            </w:pPr>
            <w:r>
              <w:t>steps</w:t>
            </w:r>
            <w:r>
              <w:rPr>
                <w:spacing w:val="-5"/>
              </w:rPr>
              <w:t xml:space="preserve"> </w:t>
            </w:r>
            <w:r>
              <w:t>to</w:t>
            </w:r>
            <w:r>
              <w:rPr>
                <w:spacing w:val="-5"/>
              </w:rPr>
              <w:t xml:space="preserve"> </w:t>
            </w:r>
            <w:r>
              <w:t>test</w:t>
            </w:r>
            <w:r>
              <w:rPr>
                <w:spacing w:val="-6"/>
              </w:rPr>
              <w:t xml:space="preserve"> </w:t>
            </w:r>
            <w:r>
              <w:t>the</w:t>
            </w:r>
            <w:r>
              <w:rPr>
                <w:spacing w:val="-5"/>
              </w:rPr>
              <w:t xml:space="preserve"> </w:t>
            </w:r>
            <w:r>
              <w:t>specific</w:t>
            </w:r>
            <w:r>
              <w:rPr>
                <w:spacing w:val="-6"/>
              </w:rPr>
              <w:t xml:space="preserve"> </w:t>
            </w:r>
            <w:r>
              <w:t>requirements</w:t>
            </w:r>
            <w:r>
              <w:rPr>
                <w:spacing w:val="-5"/>
              </w:rPr>
              <w:t xml:space="preserve"> </w:t>
            </w:r>
            <w:r>
              <w:t>or</w:t>
            </w:r>
            <w:r>
              <w:rPr>
                <w:spacing w:val="-5"/>
              </w:rPr>
              <w:t xml:space="preserve"> </w:t>
            </w:r>
            <w:r>
              <w:t>compliance</w:t>
            </w:r>
            <w:r>
              <w:rPr>
                <w:spacing w:val="-5"/>
              </w:rPr>
              <w:t xml:space="preserve"> </w:t>
            </w:r>
            <w:r>
              <w:t>with selected provisions of applicable laws and regulations related to certain types of FBWT accounts,</w:t>
            </w:r>
          </w:p>
          <w:p w14:paraId="0DFDC434" w14:textId="77777777" w:rsidR="00046465" w:rsidRDefault="008134EB">
            <w:pPr>
              <w:pStyle w:val="TableParagraph"/>
              <w:numPr>
                <w:ilvl w:val="0"/>
                <w:numId w:val="111"/>
              </w:numPr>
              <w:tabs>
                <w:tab w:val="left" w:pos="844"/>
              </w:tabs>
              <w:spacing w:line="267" w:lineRule="exact"/>
            </w:pPr>
            <w:r>
              <w:t>reconciliations</w:t>
            </w:r>
            <w:r>
              <w:rPr>
                <w:spacing w:val="-9"/>
              </w:rPr>
              <w:t xml:space="preserve"> </w:t>
            </w:r>
            <w:r>
              <w:t>of</w:t>
            </w:r>
            <w:r>
              <w:rPr>
                <w:spacing w:val="-9"/>
              </w:rPr>
              <w:t xml:space="preserve"> </w:t>
            </w:r>
            <w:r>
              <w:t>proprietary</w:t>
            </w:r>
            <w:r>
              <w:rPr>
                <w:spacing w:val="-9"/>
              </w:rPr>
              <w:t xml:space="preserve"> </w:t>
            </w:r>
            <w:r>
              <w:t>and</w:t>
            </w:r>
            <w:r>
              <w:rPr>
                <w:spacing w:val="-9"/>
              </w:rPr>
              <w:t xml:space="preserve"> </w:t>
            </w:r>
            <w:r>
              <w:t>budgetary</w:t>
            </w:r>
            <w:r>
              <w:rPr>
                <w:spacing w:val="-9"/>
              </w:rPr>
              <w:t xml:space="preserve"> </w:t>
            </w:r>
            <w:r>
              <w:t>amounts,</w:t>
            </w:r>
            <w:r>
              <w:rPr>
                <w:spacing w:val="-9"/>
              </w:rPr>
              <w:t xml:space="preserve"> </w:t>
            </w:r>
            <w:r>
              <w:rPr>
                <w:spacing w:val="-5"/>
              </w:rPr>
              <w:t>and</w:t>
            </w:r>
          </w:p>
          <w:p w14:paraId="0DFDC435" w14:textId="77777777" w:rsidR="00046465" w:rsidRDefault="008134EB">
            <w:pPr>
              <w:pStyle w:val="TableParagraph"/>
              <w:numPr>
                <w:ilvl w:val="0"/>
                <w:numId w:val="111"/>
              </w:numPr>
              <w:tabs>
                <w:tab w:val="left" w:pos="845"/>
              </w:tabs>
              <w:spacing w:line="247" w:lineRule="exact"/>
              <w:ind w:left="845"/>
            </w:pPr>
            <w:r>
              <w:t>year-end</w:t>
            </w:r>
            <w:r>
              <w:rPr>
                <w:spacing w:val="-7"/>
              </w:rPr>
              <w:t xml:space="preserve"> </w:t>
            </w:r>
            <w:r>
              <w:t>reporting</w:t>
            </w:r>
            <w:r>
              <w:rPr>
                <w:spacing w:val="-7"/>
              </w:rPr>
              <w:t xml:space="preserve"> </w:t>
            </w:r>
            <w:r>
              <w:t>to</w:t>
            </w:r>
            <w:r>
              <w:rPr>
                <w:spacing w:val="-7"/>
              </w:rPr>
              <w:t xml:space="preserve"> </w:t>
            </w:r>
            <w:r>
              <w:t>Treasury</w:t>
            </w:r>
            <w:r>
              <w:rPr>
                <w:spacing w:val="-7"/>
              </w:rPr>
              <w:t xml:space="preserve"> </w:t>
            </w:r>
            <w:r>
              <w:t>and</w:t>
            </w:r>
            <w:r>
              <w:rPr>
                <w:spacing w:val="-8"/>
              </w:rPr>
              <w:t xml:space="preserve"> </w:t>
            </w:r>
            <w:r>
              <w:rPr>
                <w:spacing w:val="-4"/>
              </w:rPr>
              <w:t>OMB.</w:t>
            </w:r>
          </w:p>
        </w:tc>
        <w:tc>
          <w:tcPr>
            <w:tcW w:w="1427" w:type="dxa"/>
            <w:tcBorders>
              <w:top w:val="single" w:sz="4" w:space="0" w:color="000000"/>
              <w:left w:val="single" w:sz="4" w:space="0" w:color="000000"/>
              <w:bottom w:val="single" w:sz="4" w:space="0" w:color="000000"/>
              <w:right w:val="single" w:sz="4" w:space="0" w:color="000000"/>
            </w:tcBorders>
          </w:tcPr>
          <w:p w14:paraId="0DFDC436" w14:textId="77777777" w:rsidR="00046465" w:rsidRDefault="00046465">
            <w:pPr>
              <w:pStyle w:val="TableParagraph"/>
              <w:rPr>
                <w:rFonts w:ascii="Times New Roman"/>
                <w:sz w:val="20"/>
              </w:rPr>
            </w:pPr>
          </w:p>
        </w:tc>
        <w:tc>
          <w:tcPr>
            <w:tcW w:w="1061" w:type="dxa"/>
            <w:tcBorders>
              <w:top w:val="single" w:sz="4" w:space="0" w:color="000000"/>
              <w:left w:val="single" w:sz="4" w:space="0" w:color="000000"/>
              <w:bottom w:val="single" w:sz="4" w:space="0" w:color="000000"/>
            </w:tcBorders>
          </w:tcPr>
          <w:p w14:paraId="0DFDC437" w14:textId="77777777" w:rsidR="00046465" w:rsidRDefault="00046465">
            <w:pPr>
              <w:pStyle w:val="TableParagraph"/>
              <w:rPr>
                <w:rFonts w:ascii="Times New Roman"/>
                <w:sz w:val="20"/>
              </w:rPr>
            </w:pPr>
          </w:p>
        </w:tc>
      </w:tr>
      <w:tr w:rsidR="00046465" w14:paraId="0DFDC43A" w14:textId="77777777">
        <w:trPr>
          <w:trHeight w:val="453"/>
        </w:trPr>
        <w:tc>
          <w:tcPr>
            <w:tcW w:w="9207" w:type="dxa"/>
            <w:gridSpan w:val="3"/>
            <w:tcBorders>
              <w:top w:val="single" w:sz="4" w:space="0" w:color="000000"/>
            </w:tcBorders>
          </w:tcPr>
          <w:p w14:paraId="0DFDC439" w14:textId="77777777" w:rsidR="00046465" w:rsidRDefault="008134EB">
            <w:pPr>
              <w:pStyle w:val="TableParagraph"/>
              <w:spacing w:before="99"/>
              <w:ind w:left="92"/>
            </w:pPr>
            <w:r>
              <w:t>Note:</w:t>
            </w:r>
            <w:r>
              <w:rPr>
                <w:spacing w:val="-6"/>
              </w:rPr>
              <w:t xml:space="preserve"> </w:t>
            </w:r>
            <w:r>
              <w:t>These</w:t>
            </w:r>
            <w:r>
              <w:rPr>
                <w:spacing w:val="-5"/>
              </w:rPr>
              <w:t xml:space="preserve"> </w:t>
            </w:r>
            <w:r>
              <w:t>audit</w:t>
            </w:r>
            <w:r>
              <w:rPr>
                <w:spacing w:val="-5"/>
              </w:rPr>
              <w:t xml:space="preserve"> </w:t>
            </w:r>
            <w:r>
              <w:t>procedures</w:t>
            </w:r>
            <w:r>
              <w:rPr>
                <w:spacing w:val="-6"/>
              </w:rPr>
              <w:t xml:space="preserve"> </w:t>
            </w:r>
            <w:r>
              <w:t>are</w:t>
            </w:r>
            <w:r>
              <w:rPr>
                <w:spacing w:val="-5"/>
              </w:rPr>
              <w:t xml:space="preserve"> </w:t>
            </w:r>
            <w:r>
              <w:t>not</w:t>
            </w:r>
            <w:r>
              <w:rPr>
                <w:spacing w:val="-5"/>
              </w:rPr>
              <w:t xml:space="preserve"> </w:t>
            </w:r>
            <w:r>
              <w:t>intended</w:t>
            </w:r>
            <w:r>
              <w:rPr>
                <w:spacing w:val="-6"/>
              </w:rPr>
              <w:t xml:space="preserve"> </w:t>
            </w:r>
            <w:r>
              <w:t>to</w:t>
            </w:r>
            <w:r>
              <w:rPr>
                <w:spacing w:val="-5"/>
              </w:rPr>
              <w:t xml:space="preserve"> </w:t>
            </w:r>
            <w:r>
              <w:t>be</w:t>
            </w:r>
            <w:r>
              <w:rPr>
                <w:spacing w:val="-5"/>
              </w:rPr>
              <w:t xml:space="preserve"> </w:t>
            </w:r>
            <w:r>
              <w:t>all</w:t>
            </w:r>
            <w:r>
              <w:rPr>
                <w:spacing w:val="-6"/>
              </w:rPr>
              <w:t xml:space="preserve"> </w:t>
            </w:r>
            <w:r>
              <w:rPr>
                <w:spacing w:val="-2"/>
              </w:rPr>
              <w:t>inclusive.</w:t>
            </w:r>
          </w:p>
        </w:tc>
      </w:tr>
    </w:tbl>
    <w:p w14:paraId="0DFDC43B" w14:textId="77777777" w:rsidR="00046465" w:rsidRDefault="00046465">
      <w:pPr>
        <w:pStyle w:val="TableParagraph"/>
        <w:sectPr w:rsidR="00046465">
          <w:pgSz w:w="12240" w:h="15840"/>
          <w:pgMar w:top="1340" w:right="720" w:bottom="940" w:left="1080" w:header="721" w:footer="757" w:gutter="0"/>
          <w:cols w:space="720"/>
        </w:sectPr>
      </w:pPr>
    </w:p>
    <w:p w14:paraId="0DFDC43C" w14:textId="77777777" w:rsidR="00046465" w:rsidRDefault="008134EB">
      <w:pPr>
        <w:pStyle w:val="Heading3"/>
        <w:ind w:right="773"/>
        <w:rPr>
          <w:u w:val="none"/>
        </w:rPr>
      </w:pPr>
      <w:bookmarkStart w:id="318" w:name="921_B_–_Example_Audit_Procedures_for_Aud"/>
      <w:bookmarkStart w:id="319" w:name="_bookmark184"/>
      <w:bookmarkEnd w:id="318"/>
      <w:bookmarkEnd w:id="319"/>
      <w:r>
        <w:lastRenderedPageBreak/>
        <w:t>921</w:t>
      </w:r>
      <w:r>
        <w:rPr>
          <w:spacing w:val="-8"/>
        </w:rPr>
        <w:t xml:space="preserve"> </w:t>
      </w:r>
      <w:r>
        <w:t>B</w:t>
      </w:r>
      <w:r>
        <w:rPr>
          <w:spacing w:val="-7"/>
        </w:rPr>
        <w:t xml:space="preserve"> </w:t>
      </w:r>
      <w:r>
        <w:t>–</w:t>
      </w:r>
      <w:r>
        <w:rPr>
          <w:spacing w:val="-7"/>
        </w:rPr>
        <w:t xml:space="preserve"> </w:t>
      </w:r>
      <w:r>
        <w:t>Example</w:t>
      </w:r>
      <w:r>
        <w:rPr>
          <w:spacing w:val="-19"/>
        </w:rPr>
        <w:t xml:space="preserve"> </w:t>
      </w:r>
      <w:r>
        <w:t>Audit</w:t>
      </w:r>
      <w:r>
        <w:rPr>
          <w:spacing w:val="-8"/>
        </w:rPr>
        <w:t xml:space="preserve"> </w:t>
      </w:r>
      <w:r>
        <w:t>Procedures</w:t>
      </w:r>
      <w:r>
        <w:rPr>
          <w:spacing w:val="-8"/>
        </w:rPr>
        <w:t xml:space="preserve"> </w:t>
      </w:r>
      <w:r>
        <w:t>for</w:t>
      </w:r>
      <w:r>
        <w:rPr>
          <w:spacing w:val="-18"/>
        </w:rPr>
        <w:t xml:space="preserve"> </w:t>
      </w:r>
      <w:r>
        <w:t>Auditing</w:t>
      </w:r>
      <w:r>
        <w:rPr>
          <w:spacing w:val="-8"/>
        </w:rPr>
        <w:t xml:space="preserve"> </w:t>
      </w:r>
      <w:r>
        <w:t>TAS</w:t>
      </w:r>
      <w:r>
        <w:rPr>
          <w:spacing w:val="-8"/>
        </w:rPr>
        <w:t xml:space="preserve"> </w:t>
      </w:r>
      <w:r>
        <w:t>and</w:t>
      </w:r>
      <w:r>
        <w:rPr>
          <w:u w:val="none"/>
        </w:rPr>
        <w:t xml:space="preserve"> </w:t>
      </w:r>
      <w:r>
        <w:rPr>
          <w:spacing w:val="-4"/>
        </w:rPr>
        <w:t>BETC</w:t>
      </w:r>
    </w:p>
    <w:p w14:paraId="0DFDC43D" w14:textId="77777777" w:rsidR="00046465" w:rsidRDefault="00046465">
      <w:pPr>
        <w:pStyle w:val="BodyText"/>
        <w:spacing w:before="24"/>
        <w:rPr>
          <w:b/>
          <w:sz w:val="20"/>
        </w:rPr>
      </w:pPr>
    </w:p>
    <w:tbl>
      <w:tblPr>
        <w:tblW w:w="0" w:type="auto"/>
        <w:tblInd w:w="51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287"/>
        <w:gridCol w:w="973"/>
        <w:gridCol w:w="1949"/>
      </w:tblGrid>
      <w:tr w:rsidR="00046465" w14:paraId="0DFDC441" w14:textId="77777777">
        <w:trPr>
          <w:trHeight w:val="745"/>
        </w:trPr>
        <w:tc>
          <w:tcPr>
            <w:tcW w:w="6287" w:type="dxa"/>
            <w:tcBorders>
              <w:right w:val="single" w:sz="4" w:space="0" w:color="000000"/>
            </w:tcBorders>
          </w:tcPr>
          <w:p w14:paraId="0DFDC43E" w14:textId="77777777" w:rsidR="00046465" w:rsidRDefault="008134EB">
            <w:pPr>
              <w:pStyle w:val="TableParagraph"/>
              <w:spacing w:before="121"/>
              <w:ind w:left="92"/>
              <w:rPr>
                <w:b/>
                <w:sz w:val="28"/>
              </w:rPr>
            </w:pPr>
            <w:r>
              <w:rPr>
                <w:b/>
                <w:spacing w:val="-2"/>
                <w:sz w:val="28"/>
              </w:rPr>
              <w:t>Procedures</w:t>
            </w:r>
          </w:p>
        </w:tc>
        <w:tc>
          <w:tcPr>
            <w:tcW w:w="973" w:type="dxa"/>
            <w:tcBorders>
              <w:left w:val="single" w:sz="4" w:space="0" w:color="000000"/>
              <w:right w:val="single" w:sz="4" w:space="0" w:color="000000"/>
            </w:tcBorders>
          </w:tcPr>
          <w:p w14:paraId="0DFDC43F" w14:textId="77777777" w:rsidR="00046465" w:rsidRDefault="008134EB">
            <w:pPr>
              <w:pStyle w:val="TableParagraph"/>
              <w:spacing w:before="121"/>
              <w:ind w:left="110"/>
              <w:rPr>
                <w:b/>
              </w:rPr>
            </w:pPr>
            <w:r>
              <w:rPr>
                <w:b/>
                <w:spacing w:val="-2"/>
              </w:rPr>
              <w:t xml:space="preserve">Initials/ </w:t>
            </w:r>
            <w:r>
              <w:rPr>
                <w:b/>
                <w:spacing w:val="-4"/>
              </w:rPr>
              <w:t>date</w:t>
            </w:r>
          </w:p>
        </w:tc>
        <w:tc>
          <w:tcPr>
            <w:tcW w:w="1949" w:type="dxa"/>
            <w:tcBorders>
              <w:left w:val="single" w:sz="4" w:space="0" w:color="000000"/>
            </w:tcBorders>
          </w:tcPr>
          <w:p w14:paraId="0DFDC440" w14:textId="77777777" w:rsidR="00046465" w:rsidRDefault="008134EB">
            <w:pPr>
              <w:pStyle w:val="TableParagraph"/>
              <w:spacing w:before="121"/>
              <w:ind w:left="110"/>
              <w:rPr>
                <w:b/>
              </w:rPr>
            </w:pPr>
            <w:r>
              <w:rPr>
                <w:b/>
              </w:rPr>
              <w:t>Doc.</w:t>
            </w:r>
            <w:r>
              <w:rPr>
                <w:b/>
                <w:spacing w:val="-6"/>
              </w:rPr>
              <w:t xml:space="preserve"> </w:t>
            </w:r>
            <w:r>
              <w:rPr>
                <w:b/>
                <w:spacing w:val="-4"/>
              </w:rPr>
              <w:t>ref.</w:t>
            </w:r>
          </w:p>
        </w:tc>
      </w:tr>
      <w:tr w:rsidR="00046465" w14:paraId="0DFDC443" w14:textId="77777777">
        <w:trPr>
          <w:trHeight w:val="517"/>
        </w:trPr>
        <w:tc>
          <w:tcPr>
            <w:tcW w:w="9209" w:type="dxa"/>
            <w:gridSpan w:val="3"/>
            <w:tcBorders>
              <w:bottom w:val="single" w:sz="4" w:space="0" w:color="000000"/>
            </w:tcBorders>
          </w:tcPr>
          <w:p w14:paraId="0DFDC442" w14:textId="77777777" w:rsidR="00046465" w:rsidRDefault="008134EB">
            <w:pPr>
              <w:pStyle w:val="TableParagraph"/>
              <w:spacing w:before="122"/>
              <w:ind w:left="125"/>
              <w:rPr>
                <w:b/>
                <w:sz w:val="24"/>
              </w:rPr>
            </w:pPr>
            <w:r>
              <w:rPr>
                <w:b/>
                <w:sz w:val="24"/>
                <w:u w:val="single"/>
              </w:rPr>
              <w:t>I.</w:t>
            </w:r>
            <w:r>
              <w:rPr>
                <w:b/>
                <w:spacing w:val="-5"/>
                <w:sz w:val="24"/>
                <w:u w:val="single"/>
              </w:rPr>
              <w:t xml:space="preserve"> </w:t>
            </w:r>
            <w:r>
              <w:rPr>
                <w:b/>
                <w:sz w:val="24"/>
                <w:u w:val="single"/>
              </w:rPr>
              <w:t>Planning</w:t>
            </w:r>
            <w:r>
              <w:rPr>
                <w:b/>
                <w:spacing w:val="-4"/>
                <w:sz w:val="24"/>
                <w:u w:val="single"/>
              </w:rPr>
              <w:t xml:space="preserve"> </w:t>
            </w:r>
            <w:r>
              <w:rPr>
                <w:b/>
                <w:sz w:val="24"/>
                <w:u w:val="single"/>
              </w:rPr>
              <w:t>and</w:t>
            </w:r>
            <w:r>
              <w:rPr>
                <w:b/>
                <w:spacing w:val="-3"/>
                <w:sz w:val="24"/>
                <w:u w:val="single"/>
              </w:rPr>
              <w:t xml:space="preserve"> </w:t>
            </w:r>
            <w:r>
              <w:rPr>
                <w:b/>
                <w:sz w:val="24"/>
                <w:u w:val="single"/>
              </w:rPr>
              <w:t>Internal</w:t>
            </w:r>
            <w:r>
              <w:rPr>
                <w:b/>
                <w:spacing w:val="-2"/>
                <w:sz w:val="24"/>
                <w:u w:val="single"/>
              </w:rPr>
              <w:t xml:space="preserve"> </w:t>
            </w:r>
            <w:r>
              <w:rPr>
                <w:b/>
                <w:sz w:val="24"/>
                <w:u w:val="single"/>
              </w:rPr>
              <w:t>Control</w:t>
            </w:r>
            <w:r>
              <w:rPr>
                <w:b/>
                <w:spacing w:val="-4"/>
                <w:sz w:val="24"/>
                <w:u w:val="single"/>
              </w:rPr>
              <w:t xml:space="preserve"> </w:t>
            </w:r>
            <w:r>
              <w:rPr>
                <w:b/>
                <w:spacing w:val="-2"/>
                <w:sz w:val="24"/>
                <w:u w:val="single"/>
              </w:rPr>
              <w:t>Phase</w:t>
            </w:r>
          </w:p>
        </w:tc>
      </w:tr>
      <w:tr w:rsidR="00046465" w14:paraId="0DFDC447" w14:textId="77777777">
        <w:trPr>
          <w:trHeight w:val="744"/>
        </w:trPr>
        <w:tc>
          <w:tcPr>
            <w:tcW w:w="6287" w:type="dxa"/>
            <w:tcBorders>
              <w:top w:val="single" w:sz="4" w:space="0" w:color="000000"/>
              <w:bottom w:val="nil"/>
              <w:right w:val="single" w:sz="4" w:space="0" w:color="000000"/>
            </w:tcBorders>
          </w:tcPr>
          <w:p w14:paraId="0DFDC444" w14:textId="77777777" w:rsidR="00046465" w:rsidRDefault="008134EB">
            <w:pPr>
              <w:pStyle w:val="TableParagraph"/>
              <w:tabs>
                <w:tab w:val="left" w:pos="485"/>
              </w:tabs>
              <w:spacing w:before="120"/>
              <w:ind w:left="485" w:right="135" w:hanging="409"/>
            </w:pPr>
            <w:r>
              <w:rPr>
                <w:spacing w:val="-6"/>
              </w:rPr>
              <w:t>1)</w:t>
            </w:r>
            <w:r>
              <w:tab/>
              <w:t>To</w:t>
            </w:r>
            <w:r>
              <w:rPr>
                <w:spacing w:val="-5"/>
              </w:rPr>
              <w:t xml:space="preserve"> </w:t>
            </w:r>
            <w:r>
              <w:t>obtain</w:t>
            </w:r>
            <w:r>
              <w:rPr>
                <w:spacing w:val="-5"/>
              </w:rPr>
              <w:t xml:space="preserve"> </w:t>
            </w:r>
            <w:r>
              <w:t>an</w:t>
            </w:r>
            <w:r>
              <w:rPr>
                <w:spacing w:val="-6"/>
              </w:rPr>
              <w:t xml:space="preserve"> </w:t>
            </w:r>
            <w:r>
              <w:t>understanding</w:t>
            </w:r>
            <w:r>
              <w:rPr>
                <w:spacing w:val="-5"/>
              </w:rPr>
              <w:t xml:space="preserve"> </w:t>
            </w:r>
            <w:r>
              <w:t>of</w:t>
            </w:r>
            <w:r>
              <w:rPr>
                <w:spacing w:val="-5"/>
              </w:rPr>
              <w:t xml:space="preserve"> </w:t>
            </w:r>
            <w:r>
              <w:t>the</w:t>
            </w:r>
            <w:r>
              <w:rPr>
                <w:spacing w:val="-5"/>
              </w:rPr>
              <w:t xml:space="preserve"> </w:t>
            </w:r>
            <w:r>
              <w:t>entity’s</w:t>
            </w:r>
            <w:r>
              <w:rPr>
                <w:spacing w:val="-5"/>
              </w:rPr>
              <w:t xml:space="preserve"> </w:t>
            </w:r>
            <w:r>
              <w:t>CARS</w:t>
            </w:r>
            <w:r>
              <w:rPr>
                <w:spacing w:val="-5"/>
              </w:rPr>
              <w:t xml:space="preserve"> </w:t>
            </w:r>
            <w:r>
              <w:t>reporting processes and procedures:</w:t>
            </w:r>
          </w:p>
        </w:tc>
        <w:tc>
          <w:tcPr>
            <w:tcW w:w="973" w:type="dxa"/>
            <w:vMerge w:val="restart"/>
            <w:tcBorders>
              <w:top w:val="single" w:sz="4" w:space="0" w:color="000000"/>
              <w:left w:val="single" w:sz="4" w:space="0" w:color="000000"/>
              <w:bottom w:val="single" w:sz="4" w:space="0" w:color="000000"/>
              <w:right w:val="single" w:sz="4" w:space="0" w:color="000000"/>
            </w:tcBorders>
          </w:tcPr>
          <w:p w14:paraId="0DFDC445" w14:textId="77777777" w:rsidR="00046465" w:rsidRDefault="00046465">
            <w:pPr>
              <w:pStyle w:val="TableParagraph"/>
              <w:rPr>
                <w:rFonts w:ascii="Times New Roman"/>
              </w:rPr>
            </w:pPr>
          </w:p>
        </w:tc>
        <w:tc>
          <w:tcPr>
            <w:tcW w:w="1949" w:type="dxa"/>
            <w:vMerge w:val="restart"/>
            <w:tcBorders>
              <w:top w:val="single" w:sz="4" w:space="0" w:color="000000"/>
              <w:left w:val="single" w:sz="4" w:space="0" w:color="000000"/>
              <w:bottom w:val="single" w:sz="4" w:space="0" w:color="000000"/>
            </w:tcBorders>
          </w:tcPr>
          <w:p w14:paraId="0DFDC446" w14:textId="77777777" w:rsidR="00046465" w:rsidRDefault="00046465">
            <w:pPr>
              <w:pStyle w:val="TableParagraph"/>
              <w:rPr>
                <w:rFonts w:ascii="Times New Roman"/>
              </w:rPr>
            </w:pPr>
          </w:p>
        </w:tc>
      </w:tr>
      <w:tr w:rsidR="00046465" w14:paraId="0DFDC44B" w14:textId="77777777">
        <w:trPr>
          <w:trHeight w:val="989"/>
        </w:trPr>
        <w:tc>
          <w:tcPr>
            <w:tcW w:w="6287" w:type="dxa"/>
            <w:tcBorders>
              <w:top w:val="nil"/>
              <w:bottom w:val="single" w:sz="4" w:space="0" w:color="000000"/>
              <w:right w:val="single" w:sz="4" w:space="0" w:color="000000"/>
            </w:tcBorders>
          </w:tcPr>
          <w:p w14:paraId="0DFDC448" w14:textId="77777777" w:rsidR="00046465" w:rsidRDefault="008134EB">
            <w:pPr>
              <w:pStyle w:val="TableParagraph"/>
              <w:spacing w:before="111"/>
              <w:ind w:left="845" w:right="136" w:hanging="361"/>
            </w:pPr>
            <w:r>
              <w:t>a)</w:t>
            </w:r>
            <w:r>
              <w:rPr>
                <w:spacing w:val="80"/>
              </w:rPr>
              <w:t xml:space="preserve"> </w:t>
            </w:r>
            <w:r>
              <w:t>Determine</w:t>
            </w:r>
            <w:r>
              <w:rPr>
                <w:spacing w:val="-4"/>
              </w:rPr>
              <w:t xml:space="preserve"> </w:t>
            </w:r>
            <w:r>
              <w:t>how,</w:t>
            </w:r>
            <w:r>
              <w:rPr>
                <w:spacing w:val="-4"/>
              </w:rPr>
              <w:t xml:space="preserve"> </w:t>
            </w:r>
            <w:r>
              <w:t>in</w:t>
            </w:r>
            <w:r>
              <w:rPr>
                <w:spacing w:val="-4"/>
              </w:rPr>
              <w:t xml:space="preserve"> </w:t>
            </w:r>
            <w:r>
              <w:t>conjunction</w:t>
            </w:r>
            <w:r>
              <w:rPr>
                <w:spacing w:val="-4"/>
              </w:rPr>
              <w:t xml:space="preserve"> </w:t>
            </w:r>
            <w:r>
              <w:t>with</w:t>
            </w:r>
            <w:r>
              <w:rPr>
                <w:spacing w:val="-5"/>
              </w:rPr>
              <w:t xml:space="preserve"> </w:t>
            </w:r>
            <w:r>
              <w:t>work</w:t>
            </w:r>
            <w:r>
              <w:rPr>
                <w:spacing w:val="-4"/>
              </w:rPr>
              <w:t xml:space="preserve"> </w:t>
            </w:r>
            <w:r>
              <w:t>performed</w:t>
            </w:r>
            <w:r>
              <w:rPr>
                <w:spacing w:val="-4"/>
              </w:rPr>
              <w:t xml:space="preserve"> </w:t>
            </w:r>
            <w:r>
              <w:t>on other audit cycles, the entity assigns TASs and</w:t>
            </w:r>
            <w:r>
              <w:rPr>
                <w:spacing w:val="40"/>
              </w:rPr>
              <w:t xml:space="preserve"> </w:t>
            </w:r>
            <w:r>
              <w:t>BETCs to FBWT activity in CARS, including</w:t>
            </w:r>
          </w:p>
        </w:tc>
        <w:tc>
          <w:tcPr>
            <w:tcW w:w="973" w:type="dxa"/>
            <w:vMerge/>
            <w:tcBorders>
              <w:top w:val="nil"/>
              <w:left w:val="single" w:sz="4" w:space="0" w:color="000000"/>
              <w:bottom w:val="single" w:sz="4" w:space="0" w:color="000000"/>
              <w:right w:val="single" w:sz="4" w:space="0" w:color="000000"/>
            </w:tcBorders>
          </w:tcPr>
          <w:p w14:paraId="0DFDC449" w14:textId="77777777" w:rsidR="00046465" w:rsidRDefault="00046465">
            <w:pPr>
              <w:rPr>
                <w:sz w:val="2"/>
                <w:szCs w:val="2"/>
              </w:rPr>
            </w:pPr>
          </w:p>
        </w:tc>
        <w:tc>
          <w:tcPr>
            <w:tcW w:w="1949" w:type="dxa"/>
            <w:vMerge/>
            <w:tcBorders>
              <w:top w:val="nil"/>
              <w:left w:val="single" w:sz="4" w:space="0" w:color="000000"/>
              <w:bottom w:val="single" w:sz="4" w:space="0" w:color="000000"/>
            </w:tcBorders>
          </w:tcPr>
          <w:p w14:paraId="0DFDC44A" w14:textId="77777777" w:rsidR="00046465" w:rsidRDefault="00046465">
            <w:pPr>
              <w:rPr>
                <w:sz w:val="2"/>
                <w:szCs w:val="2"/>
              </w:rPr>
            </w:pPr>
          </w:p>
        </w:tc>
      </w:tr>
      <w:tr w:rsidR="00046465" w14:paraId="0DFDC44F" w14:textId="77777777">
        <w:trPr>
          <w:trHeight w:val="1252"/>
        </w:trPr>
        <w:tc>
          <w:tcPr>
            <w:tcW w:w="6287" w:type="dxa"/>
            <w:tcBorders>
              <w:top w:val="single" w:sz="4" w:space="0" w:color="000000"/>
              <w:bottom w:val="single" w:sz="4" w:space="0" w:color="000000"/>
              <w:right w:val="single" w:sz="4" w:space="0" w:color="000000"/>
            </w:tcBorders>
          </w:tcPr>
          <w:p w14:paraId="0DFDC44C" w14:textId="77777777" w:rsidR="00046465" w:rsidRDefault="008134EB">
            <w:pPr>
              <w:pStyle w:val="TableParagraph"/>
              <w:spacing w:before="120"/>
              <w:ind w:left="1115" w:hanging="291"/>
            </w:pPr>
            <w:r>
              <w:t>i.</w:t>
            </w:r>
            <w:r>
              <w:rPr>
                <w:spacing w:val="80"/>
              </w:rPr>
              <w:t xml:space="preserve"> </w:t>
            </w:r>
            <w:r>
              <w:t>how the entity uses its invoice processing systems, Treasury collection reporting systems, G-Invoicing, and</w:t>
            </w:r>
            <w:r>
              <w:rPr>
                <w:spacing w:val="-5"/>
              </w:rPr>
              <w:t xml:space="preserve"> </w:t>
            </w:r>
            <w:r>
              <w:t>the</w:t>
            </w:r>
            <w:r>
              <w:rPr>
                <w:spacing w:val="-5"/>
              </w:rPr>
              <w:t xml:space="preserve"> </w:t>
            </w:r>
            <w:r>
              <w:t>IPAC</w:t>
            </w:r>
            <w:r>
              <w:rPr>
                <w:spacing w:val="-5"/>
              </w:rPr>
              <w:t xml:space="preserve"> </w:t>
            </w:r>
            <w:r>
              <w:t>system</w:t>
            </w:r>
            <w:r>
              <w:rPr>
                <w:spacing w:val="-5"/>
              </w:rPr>
              <w:t xml:space="preserve"> </w:t>
            </w:r>
            <w:r>
              <w:t>to</w:t>
            </w:r>
            <w:r>
              <w:rPr>
                <w:spacing w:val="-5"/>
              </w:rPr>
              <w:t xml:space="preserve"> </w:t>
            </w:r>
            <w:r>
              <w:t>assign</w:t>
            </w:r>
            <w:r>
              <w:rPr>
                <w:spacing w:val="-5"/>
              </w:rPr>
              <w:t xml:space="preserve"> </w:t>
            </w:r>
            <w:r>
              <w:t>TASs</w:t>
            </w:r>
            <w:r>
              <w:rPr>
                <w:spacing w:val="-5"/>
              </w:rPr>
              <w:t xml:space="preserve"> </w:t>
            </w:r>
            <w:r>
              <w:t>and</w:t>
            </w:r>
            <w:r>
              <w:rPr>
                <w:spacing w:val="-5"/>
              </w:rPr>
              <w:t xml:space="preserve"> </w:t>
            </w:r>
            <w:r>
              <w:t>BETCs</w:t>
            </w:r>
            <w:r>
              <w:rPr>
                <w:spacing w:val="-5"/>
              </w:rPr>
              <w:t xml:space="preserve"> </w:t>
            </w:r>
            <w:r>
              <w:t>to FBWT activity;</w:t>
            </w:r>
          </w:p>
        </w:tc>
        <w:tc>
          <w:tcPr>
            <w:tcW w:w="973" w:type="dxa"/>
            <w:tcBorders>
              <w:top w:val="single" w:sz="4" w:space="0" w:color="000000"/>
              <w:left w:val="single" w:sz="4" w:space="0" w:color="000000"/>
              <w:bottom w:val="single" w:sz="4" w:space="0" w:color="000000"/>
              <w:right w:val="single" w:sz="4" w:space="0" w:color="000000"/>
            </w:tcBorders>
          </w:tcPr>
          <w:p w14:paraId="0DFDC44D" w14:textId="77777777" w:rsidR="00046465" w:rsidRDefault="00046465">
            <w:pPr>
              <w:pStyle w:val="TableParagraph"/>
              <w:rPr>
                <w:rFonts w:ascii="Times New Roman"/>
              </w:rPr>
            </w:pPr>
          </w:p>
        </w:tc>
        <w:tc>
          <w:tcPr>
            <w:tcW w:w="1949" w:type="dxa"/>
            <w:tcBorders>
              <w:top w:val="single" w:sz="4" w:space="0" w:color="000000"/>
              <w:left w:val="single" w:sz="4" w:space="0" w:color="000000"/>
              <w:bottom w:val="single" w:sz="4" w:space="0" w:color="000000"/>
            </w:tcBorders>
          </w:tcPr>
          <w:p w14:paraId="0DFDC44E" w14:textId="77777777" w:rsidR="00046465" w:rsidRDefault="00046465">
            <w:pPr>
              <w:pStyle w:val="TableParagraph"/>
              <w:rPr>
                <w:rFonts w:ascii="Times New Roman"/>
              </w:rPr>
            </w:pPr>
          </w:p>
        </w:tc>
      </w:tr>
      <w:tr w:rsidR="00046465" w14:paraId="0DFDC453" w14:textId="77777777">
        <w:trPr>
          <w:trHeight w:val="999"/>
        </w:trPr>
        <w:tc>
          <w:tcPr>
            <w:tcW w:w="6287" w:type="dxa"/>
            <w:tcBorders>
              <w:top w:val="single" w:sz="4" w:space="0" w:color="000000"/>
              <w:bottom w:val="single" w:sz="4" w:space="0" w:color="000000"/>
              <w:right w:val="single" w:sz="4" w:space="0" w:color="000000"/>
            </w:tcBorders>
          </w:tcPr>
          <w:p w14:paraId="0DFDC450" w14:textId="77777777" w:rsidR="00046465" w:rsidRDefault="008134EB">
            <w:pPr>
              <w:pStyle w:val="TableParagraph"/>
              <w:spacing w:before="120"/>
              <w:ind w:left="1115" w:right="447" w:hanging="340"/>
              <w:jc w:val="both"/>
            </w:pPr>
            <w:r>
              <w:t>ii.</w:t>
            </w:r>
            <w:r>
              <w:rPr>
                <w:spacing w:val="80"/>
              </w:rPr>
              <w:t xml:space="preserve"> </w:t>
            </w:r>
            <w:r>
              <w:t>whether</w:t>
            </w:r>
            <w:r>
              <w:rPr>
                <w:spacing w:val="-2"/>
              </w:rPr>
              <w:t xml:space="preserve"> </w:t>
            </w:r>
            <w:r>
              <w:t>the</w:t>
            </w:r>
            <w:r>
              <w:rPr>
                <w:spacing w:val="-2"/>
              </w:rPr>
              <w:t xml:space="preserve"> </w:t>
            </w:r>
            <w:r>
              <w:t>entity</w:t>
            </w:r>
            <w:r>
              <w:rPr>
                <w:spacing w:val="-2"/>
              </w:rPr>
              <w:t xml:space="preserve"> </w:t>
            </w:r>
            <w:r>
              <w:t>relies</w:t>
            </w:r>
            <w:r>
              <w:rPr>
                <w:spacing w:val="-2"/>
              </w:rPr>
              <w:t xml:space="preserve"> </w:t>
            </w:r>
            <w:r>
              <w:t>on</w:t>
            </w:r>
            <w:r>
              <w:rPr>
                <w:spacing w:val="-2"/>
              </w:rPr>
              <w:t xml:space="preserve"> </w:t>
            </w:r>
            <w:r>
              <w:t>IS</w:t>
            </w:r>
            <w:r>
              <w:rPr>
                <w:spacing w:val="-2"/>
              </w:rPr>
              <w:t xml:space="preserve"> </w:t>
            </w:r>
            <w:r>
              <w:t>controls</w:t>
            </w:r>
            <w:r>
              <w:rPr>
                <w:spacing w:val="-2"/>
              </w:rPr>
              <w:t xml:space="preserve"> </w:t>
            </w:r>
            <w:r>
              <w:t>to</w:t>
            </w:r>
            <w:r>
              <w:rPr>
                <w:spacing w:val="-2"/>
              </w:rPr>
              <w:t xml:space="preserve"> </w:t>
            </w:r>
            <w:r>
              <w:t>assign TASs</w:t>
            </w:r>
            <w:r>
              <w:rPr>
                <w:spacing w:val="-5"/>
              </w:rPr>
              <w:t xml:space="preserve"> </w:t>
            </w:r>
            <w:r>
              <w:t>and</w:t>
            </w:r>
            <w:r>
              <w:rPr>
                <w:spacing w:val="-5"/>
              </w:rPr>
              <w:t xml:space="preserve"> </w:t>
            </w:r>
            <w:r>
              <w:t>BETCs</w:t>
            </w:r>
            <w:r>
              <w:rPr>
                <w:spacing w:val="-5"/>
              </w:rPr>
              <w:t xml:space="preserve"> </w:t>
            </w:r>
            <w:r>
              <w:t>to</w:t>
            </w:r>
            <w:r>
              <w:rPr>
                <w:spacing w:val="-5"/>
              </w:rPr>
              <w:t xml:space="preserve"> </w:t>
            </w:r>
            <w:r>
              <w:t>FBWT</w:t>
            </w:r>
            <w:r>
              <w:rPr>
                <w:spacing w:val="-5"/>
              </w:rPr>
              <w:t xml:space="preserve"> </w:t>
            </w:r>
            <w:r>
              <w:t>activity</w:t>
            </w:r>
            <w:r>
              <w:rPr>
                <w:spacing w:val="-5"/>
              </w:rPr>
              <w:t xml:space="preserve"> </w:t>
            </w:r>
            <w:r>
              <w:t>in</w:t>
            </w:r>
            <w:r>
              <w:rPr>
                <w:spacing w:val="-5"/>
              </w:rPr>
              <w:t xml:space="preserve"> </w:t>
            </w:r>
            <w:r>
              <w:t>its</w:t>
            </w:r>
            <w:r>
              <w:rPr>
                <w:spacing w:val="-5"/>
              </w:rPr>
              <w:t xml:space="preserve"> </w:t>
            </w:r>
            <w:r>
              <w:t>general ledger or CARS; and</w:t>
            </w:r>
          </w:p>
        </w:tc>
        <w:tc>
          <w:tcPr>
            <w:tcW w:w="973" w:type="dxa"/>
            <w:tcBorders>
              <w:top w:val="single" w:sz="4" w:space="0" w:color="000000"/>
              <w:left w:val="single" w:sz="4" w:space="0" w:color="000000"/>
              <w:bottom w:val="single" w:sz="4" w:space="0" w:color="000000"/>
              <w:right w:val="single" w:sz="4" w:space="0" w:color="000000"/>
            </w:tcBorders>
          </w:tcPr>
          <w:p w14:paraId="0DFDC451" w14:textId="77777777" w:rsidR="00046465" w:rsidRDefault="00046465">
            <w:pPr>
              <w:pStyle w:val="TableParagraph"/>
              <w:rPr>
                <w:rFonts w:ascii="Times New Roman"/>
              </w:rPr>
            </w:pPr>
          </w:p>
        </w:tc>
        <w:tc>
          <w:tcPr>
            <w:tcW w:w="1949" w:type="dxa"/>
            <w:tcBorders>
              <w:top w:val="single" w:sz="4" w:space="0" w:color="000000"/>
              <w:left w:val="single" w:sz="4" w:space="0" w:color="000000"/>
              <w:bottom w:val="single" w:sz="4" w:space="0" w:color="000000"/>
            </w:tcBorders>
          </w:tcPr>
          <w:p w14:paraId="0DFDC452" w14:textId="77777777" w:rsidR="00046465" w:rsidRDefault="00046465">
            <w:pPr>
              <w:pStyle w:val="TableParagraph"/>
              <w:rPr>
                <w:rFonts w:ascii="Times New Roman"/>
              </w:rPr>
            </w:pPr>
          </w:p>
        </w:tc>
      </w:tr>
      <w:tr w:rsidR="00046465" w14:paraId="0DFDC457" w14:textId="77777777">
        <w:trPr>
          <w:trHeight w:val="1504"/>
        </w:trPr>
        <w:tc>
          <w:tcPr>
            <w:tcW w:w="6287" w:type="dxa"/>
            <w:tcBorders>
              <w:top w:val="single" w:sz="4" w:space="0" w:color="000000"/>
              <w:bottom w:val="single" w:sz="4" w:space="0" w:color="000000"/>
              <w:right w:val="single" w:sz="4" w:space="0" w:color="000000"/>
            </w:tcBorders>
          </w:tcPr>
          <w:p w14:paraId="0DFDC454" w14:textId="77777777" w:rsidR="00046465" w:rsidRDefault="008134EB">
            <w:pPr>
              <w:pStyle w:val="TableParagraph"/>
              <w:spacing w:before="120"/>
              <w:ind w:left="1115" w:hanging="388"/>
            </w:pPr>
            <w:r>
              <w:t>iii.</w:t>
            </w:r>
            <w:r>
              <w:rPr>
                <w:spacing w:val="80"/>
              </w:rPr>
              <w:t xml:space="preserve"> </w:t>
            </w:r>
            <w:r>
              <w:t>to what extent the entity relies on service organizations</w:t>
            </w:r>
            <w:r>
              <w:rPr>
                <w:spacing w:val="-1"/>
              </w:rPr>
              <w:t xml:space="preserve"> </w:t>
            </w:r>
            <w:r>
              <w:t>to</w:t>
            </w:r>
            <w:r>
              <w:rPr>
                <w:spacing w:val="-2"/>
              </w:rPr>
              <w:t xml:space="preserve"> </w:t>
            </w:r>
            <w:r>
              <w:t>assign</w:t>
            </w:r>
            <w:r>
              <w:rPr>
                <w:spacing w:val="-3"/>
              </w:rPr>
              <w:t xml:space="preserve"> </w:t>
            </w:r>
            <w:r>
              <w:t>TASs</w:t>
            </w:r>
            <w:r>
              <w:rPr>
                <w:spacing w:val="-2"/>
              </w:rPr>
              <w:t xml:space="preserve"> </w:t>
            </w:r>
            <w:r>
              <w:t>and</w:t>
            </w:r>
            <w:r>
              <w:rPr>
                <w:spacing w:val="-2"/>
              </w:rPr>
              <w:t xml:space="preserve"> </w:t>
            </w:r>
            <w:r>
              <w:t>BETCs</w:t>
            </w:r>
            <w:r>
              <w:rPr>
                <w:spacing w:val="-2"/>
              </w:rPr>
              <w:t xml:space="preserve"> </w:t>
            </w:r>
            <w:r>
              <w:t>to</w:t>
            </w:r>
            <w:r>
              <w:rPr>
                <w:spacing w:val="-2"/>
              </w:rPr>
              <w:t xml:space="preserve"> </w:t>
            </w:r>
            <w:r>
              <w:t>FBWT activity</w:t>
            </w:r>
            <w:r>
              <w:rPr>
                <w:spacing w:val="-5"/>
              </w:rPr>
              <w:t xml:space="preserve"> </w:t>
            </w:r>
            <w:r>
              <w:t>in</w:t>
            </w:r>
            <w:r>
              <w:rPr>
                <w:spacing w:val="-5"/>
              </w:rPr>
              <w:t xml:space="preserve"> </w:t>
            </w:r>
            <w:r>
              <w:t>the</w:t>
            </w:r>
            <w:r>
              <w:rPr>
                <w:spacing w:val="-5"/>
              </w:rPr>
              <w:t xml:space="preserve"> </w:t>
            </w:r>
            <w:r>
              <w:t>entity’s</w:t>
            </w:r>
            <w:r>
              <w:rPr>
                <w:spacing w:val="-5"/>
              </w:rPr>
              <w:t xml:space="preserve"> </w:t>
            </w:r>
            <w:r>
              <w:t>general</w:t>
            </w:r>
            <w:r>
              <w:rPr>
                <w:spacing w:val="-5"/>
              </w:rPr>
              <w:t xml:space="preserve"> </w:t>
            </w:r>
            <w:r>
              <w:t>ledger</w:t>
            </w:r>
            <w:r>
              <w:rPr>
                <w:spacing w:val="-6"/>
              </w:rPr>
              <w:t xml:space="preserve"> </w:t>
            </w:r>
            <w:r>
              <w:t>or</w:t>
            </w:r>
            <w:r>
              <w:rPr>
                <w:spacing w:val="-5"/>
              </w:rPr>
              <w:t xml:space="preserve"> </w:t>
            </w:r>
            <w:r>
              <w:t>in</w:t>
            </w:r>
            <w:r>
              <w:rPr>
                <w:spacing w:val="-5"/>
              </w:rPr>
              <w:t xml:space="preserve"> </w:t>
            </w:r>
            <w:r>
              <w:t>CARS</w:t>
            </w:r>
            <w:r>
              <w:rPr>
                <w:spacing w:val="-4"/>
              </w:rPr>
              <w:t xml:space="preserve"> </w:t>
            </w:r>
            <w:r>
              <w:t>via initiating</w:t>
            </w:r>
            <w:r>
              <w:rPr>
                <w:spacing w:val="-9"/>
              </w:rPr>
              <w:t xml:space="preserve"> </w:t>
            </w:r>
            <w:r>
              <w:t>transactions</w:t>
            </w:r>
            <w:r>
              <w:rPr>
                <w:spacing w:val="-8"/>
              </w:rPr>
              <w:t xml:space="preserve"> </w:t>
            </w:r>
            <w:r>
              <w:t>or</w:t>
            </w:r>
            <w:r>
              <w:rPr>
                <w:spacing w:val="-9"/>
              </w:rPr>
              <w:t xml:space="preserve"> </w:t>
            </w:r>
            <w:r>
              <w:t>reclassifying</w:t>
            </w:r>
            <w:r>
              <w:rPr>
                <w:spacing w:val="-8"/>
              </w:rPr>
              <w:t xml:space="preserve"> </w:t>
            </w:r>
            <w:r>
              <w:t>existing</w:t>
            </w:r>
            <w:r>
              <w:rPr>
                <w:spacing w:val="-8"/>
              </w:rPr>
              <w:t xml:space="preserve"> </w:t>
            </w:r>
            <w:r>
              <w:t>TASs and BETCs on behalf of the entity.</w:t>
            </w:r>
          </w:p>
        </w:tc>
        <w:tc>
          <w:tcPr>
            <w:tcW w:w="973" w:type="dxa"/>
            <w:tcBorders>
              <w:top w:val="single" w:sz="4" w:space="0" w:color="000000"/>
              <w:left w:val="single" w:sz="4" w:space="0" w:color="000000"/>
              <w:bottom w:val="single" w:sz="4" w:space="0" w:color="000000"/>
              <w:right w:val="single" w:sz="4" w:space="0" w:color="000000"/>
            </w:tcBorders>
          </w:tcPr>
          <w:p w14:paraId="0DFDC455" w14:textId="77777777" w:rsidR="00046465" w:rsidRDefault="00046465">
            <w:pPr>
              <w:pStyle w:val="TableParagraph"/>
              <w:rPr>
                <w:rFonts w:ascii="Times New Roman"/>
              </w:rPr>
            </w:pPr>
          </w:p>
        </w:tc>
        <w:tc>
          <w:tcPr>
            <w:tcW w:w="1949" w:type="dxa"/>
            <w:tcBorders>
              <w:top w:val="single" w:sz="4" w:space="0" w:color="000000"/>
              <w:left w:val="single" w:sz="4" w:space="0" w:color="000000"/>
              <w:bottom w:val="single" w:sz="4" w:space="0" w:color="000000"/>
            </w:tcBorders>
          </w:tcPr>
          <w:p w14:paraId="0DFDC456" w14:textId="77777777" w:rsidR="00046465" w:rsidRDefault="00046465">
            <w:pPr>
              <w:pStyle w:val="TableParagraph"/>
              <w:rPr>
                <w:rFonts w:ascii="Times New Roman"/>
              </w:rPr>
            </w:pPr>
          </w:p>
        </w:tc>
      </w:tr>
      <w:tr w:rsidR="00046465" w14:paraId="0DFDC45B" w14:textId="77777777">
        <w:trPr>
          <w:trHeight w:val="2010"/>
        </w:trPr>
        <w:tc>
          <w:tcPr>
            <w:tcW w:w="6287" w:type="dxa"/>
            <w:tcBorders>
              <w:top w:val="single" w:sz="4" w:space="0" w:color="000000"/>
              <w:bottom w:val="single" w:sz="4" w:space="0" w:color="000000"/>
              <w:right w:val="single" w:sz="4" w:space="0" w:color="000000"/>
            </w:tcBorders>
          </w:tcPr>
          <w:p w14:paraId="0DFDC458" w14:textId="77777777" w:rsidR="00046465" w:rsidRDefault="008134EB">
            <w:pPr>
              <w:pStyle w:val="TableParagraph"/>
              <w:spacing w:before="120"/>
              <w:ind w:left="845" w:right="121" w:hanging="361"/>
            </w:pPr>
            <w:r>
              <w:t>b)</w:t>
            </w:r>
            <w:r>
              <w:rPr>
                <w:spacing w:val="80"/>
              </w:rPr>
              <w:t xml:space="preserve"> </w:t>
            </w:r>
            <w:r>
              <w:t>Identify and document relevant control activities related</w:t>
            </w:r>
            <w:r>
              <w:rPr>
                <w:spacing w:val="-6"/>
              </w:rPr>
              <w:t xml:space="preserve"> </w:t>
            </w:r>
            <w:r>
              <w:t>to</w:t>
            </w:r>
            <w:r>
              <w:rPr>
                <w:spacing w:val="-6"/>
              </w:rPr>
              <w:t xml:space="preserve"> </w:t>
            </w:r>
            <w:r>
              <w:t>assigning</w:t>
            </w:r>
            <w:r>
              <w:rPr>
                <w:spacing w:val="-6"/>
              </w:rPr>
              <w:t xml:space="preserve"> </w:t>
            </w:r>
            <w:r>
              <w:t>appropriate</w:t>
            </w:r>
            <w:r>
              <w:rPr>
                <w:spacing w:val="-6"/>
              </w:rPr>
              <w:t xml:space="preserve"> </w:t>
            </w:r>
            <w:r>
              <w:t>TASs</w:t>
            </w:r>
            <w:r>
              <w:rPr>
                <w:spacing w:val="-6"/>
              </w:rPr>
              <w:t xml:space="preserve"> </w:t>
            </w:r>
            <w:r>
              <w:t>and</w:t>
            </w:r>
            <w:r>
              <w:rPr>
                <w:spacing w:val="-6"/>
              </w:rPr>
              <w:t xml:space="preserve"> </w:t>
            </w:r>
            <w:r>
              <w:t>BETCs</w:t>
            </w:r>
            <w:r>
              <w:rPr>
                <w:spacing w:val="-6"/>
              </w:rPr>
              <w:t xml:space="preserve"> </w:t>
            </w:r>
            <w:r>
              <w:t xml:space="preserve">and determine whether they have been implemented (see FAM 350). Procedures for identifying relevant control activities related to accuracy and determining whether they have been implemented may include the </w:t>
            </w:r>
            <w:r>
              <w:rPr>
                <w:spacing w:val="-2"/>
              </w:rPr>
              <w:t>following.</w:t>
            </w:r>
          </w:p>
        </w:tc>
        <w:tc>
          <w:tcPr>
            <w:tcW w:w="973" w:type="dxa"/>
            <w:tcBorders>
              <w:top w:val="single" w:sz="4" w:space="0" w:color="000000"/>
              <w:left w:val="single" w:sz="4" w:space="0" w:color="000000"/>
              <w:bottom w:val="single" w:sz="4" w:space="0" w:color="000000"/>
              <w:right w:val="single" w:sz="4" w:space="0" w:color="000000"/>
            </w:tcBorders>
          </w:tcPr>
          <w:p w14:paraId="0DFDC459" w14:textId="77777777" w:rsidR="00046465" w:rsidRDefault="00046465">
            <w:pPr>
              <w:pStyle w:val="TableParagraph"/>
              <w:rPr>
                <w:rFonts w:ascii="Times New Roman"/>
              </w:rPr>
            </w:pPr>
          </w:p>
        </w:tc>
        <w:tc>
          <w:tcPr>
            <w:tcW w:w="1949" w:type="dxa"/>
            <w:tcBorders>
              <w:top w:val="single" w:sz="4" w:space="0" w:color="000000"/>
              <w:left w:val="single" w:sz="4" w:space="0" w:color="000000"/>
              <w:bottom w:val="single" w:sz="4" w:space="0" w:color="000000"/>
            </w:tcBorders>
          </w:tcPr>
          <w:p w14:paraId="0DFDC45A" w14:textId="77777777" w:rsidR="00046465" w:rsidRDefault="00046465">
            <w:pPr>
              <w:pStyle w:val="TableParagraph"/>
              <w:rPr>
                <w:rFonts w:ascii="Times New Roman"/>
              </w:rPr>
            </w:pPr>
          </w:p>
        </w:tc>
      </w:tr>
      <w:tr w:rsidR="00046465" w14:paraId="0DFDC45F" w14:textId="77777777">
        <w:trPr>
          <w:trHeight w:val="746"/>
        </w:trPr>
        <w:tc>
          <w:tcPr>
            <w:tcW w:w="6287" w:type="dxa"/>
            <w:tcBorders>
              <w:top w:val="single" w:sz="4" w:space="0" w:color="000000"/>
              <w:bottom w:val="single" w:sz="4" w:space="0" w:color="000000"/>
              <w:right w:val="single" w:sz="4" w:space="0" w:color="000000"/>
            </w:tcBorders>
          </w:tcPr>
          <w:p w14:paraId="0DFDC45C" w14:textId="77777777" w:rsidR="00046465" w:rsidRDefault="008134EB">
            <w:pPr>
              <w:pStyle w:val="TableParagraph"/>
              <w:spacing w:before="120"/>
              <w:ind w:left="1115" w:hanging="291"/>
            </w:pPr>
            <w:r>
              <w:t>i.</w:t>
            </w:r>
            <w:r>
              <w:rPr>
                <w:spacing w:val="80"/>
              </w:rPr>
              <w:t xml:space="preserve"> </w:t>
            </w:r>
            <w:r>
              <w:t>Perform</w:t>
            </w:r>
            <w:r>
              <w:rPr>
                <w:spacing w:val="-5"/>
              </w:rPr>
              <w:t xml:space="preserve"> </w:t>
            </w:r>
            <w:r>
              <w:t>a</w:t>
            </w:r>
            <w:r>
              <w:rPr>
                <w:spacing w:val="-4"/>
              </w:rPr>
              <w:t xml:space="preserve"> </w:t>
            </w:r>
            <w:r>
              <w:t>walk-through</w:t>
            </w:r>
            <w:r>
              <w:rPr>
                <w:spacing w:val="-5"/>
              </w:rPr>
              <w:t xml:space="preserve"> </w:t>
            </w:r>
            <w:r>
              <w:t>of</w:t>
            </w:r>
            <w:r>
              <w:rPr>
                <w:spacing w:val="-4"/>
              </w:rPr>
              <w:t xml:space="preserve"> </w:t>
            </w:r>
            <w:r>
              <w:t>the</w:t>
            </w:r>
            <w:r>
              <w:rPr>
                <w:spacing w:val="-4"/>
              </w:rPr>
              <w:t xml:space="preserve"> </w:t>
            </w:r>
            <w:r>
              <w:t>entity’s</w:t>
            </w:r>
            <w:r>
              <w:rPr>
                <w:spacing w:val="-4"/>
              </w:rPr>
              <w:t xml:space="preserve"> </w:t>
            </w:r>
            <w:r>
              <w:t>FBWT reconciliation by TAS and BETC.</w:t>
            </w:r>
          </w:p>
        </w:tc>
        <w:tc>
          <w:tcPr>
            <w:tcW w:w="973" w:type="dxa"/>
            <w:tcBorders>
              <w:top w:val="single" w:sz="4" w:space="0" w:color="000000"/>
              <w:left w:val="single" w:sz="4" w:space="0" w:color="000000"/>
              <w:bottom w:val="single" w:sz="4" w:space="0" w:color="000000"/>
              <w:right w:val="single" w:sz="4" w:space="0" w:color="000000"/>
            </w:tcBorders>
          </w:tcPr>
          <w:p w14:paraId="0DFDC45D" w14:textId="77777777" w:rsidR="00046465" w:rsidRDefault="00046465">
            <w:pPr>
              <w:pStyle w:val="TableParagraph"/>
              <w:rPr>
                <w:rFonts w:ascii="Times New Roman"/>
              </w:rPr>
            </w:pPr>
          </w:p>
        </w:tc>
        <w:tc>
          <w:tcPr>
            <w:tcW w:w="1949" w:type="dxa"/>
            <w:tcBorders>
              <w:top w:val="single" w:sz="4" w:space="0" w:color="000000"/>
              <w:left w:val="single" w:sz="4" w:space="0" w:color="000000"/>
              <w:bottom w:val="single" w:sz="4" w:space="0" w:color="000000"/>
            </w:tcBorders>
          </w:tcPr>
          <w:p w14:paraId="0DFDC45E" w14:textId="77777777" w:rsidR="00046465" w:rsidRDefault="00046465">
            <w:pPr>
              <w:pStyle w:val="TableParagraph"/>
              <w:rPr>
                <w:rFonts w:ascii="Times New Roman"/>
              </w:rPr>
            </w:pPr>
          </w:p>
        </w:tc>
      </w:tr>
      <w:tr w:rsidR="00046465" w14:paraId="0DFDC464" w14:textId="77777777">
        <w:trPr>
          <w:trHeight w:val="1892"/>
        </w:trPr>
        <w:tc>
          <w:tcPr>
            <w:tcW w:w="6287" w:type="dxa"/>
            <w:tcBorders>
              <w:top w:val="single" w:sz="4" w:space="0" w:color="000000"/>
              <w:right w:val="single" w:sz="4" w:space="0" w:color="000000"/>
            </w:tcBorders>
          </w:tcPr>
          <w:p w14:paraId="0DFDC460" w14:textId="77777777" w:rsidR="00046465" w:rsidRDefault="008134EB">
            <w:pPr>
              <w:pStyle w:val="TableParagraph"/>
              <w:spacing w:before="120"/>
              <w:ind w:left="1115" w:right="66" w:hanging="340"/>
            </w:pPr>
            <w:r>
              <w:t>ii.</w:t>
            </w:r>
            <w:r>
              <w:rPr>
                <w:spacing w:val="80"/>
              </w:rPr>
              <w:t xml:space="preserve"> </w:t>
            </w:r>
            <w:r>
              <w:t>Review entity policies and procedures relevant to assigning</w:t>
            </w:r>
            <w:r>
              <w:rPr>
                <w:spacing w:val="-6"/>
              </w:rPr>
              <w:t xml:space="preserve"> </w:t>
            </w:r>
            <w:r>
              <w:t>TASs</w:t>
            </w:r>
            <w:r>
              <w:rPr>
                <w:spacing w:val="-5"/>
              </w:rPr>
              <w:t xml:space="preserve"> </w:t>
            </w:r>
            <w:r>
              <w:t>and</w:t>
            </w:r>
            <w:r>
              <w:rPr>
                <w:spacing w:val="-5"/>
              </w:rPr>
              <w:t xml:space="preserve"> </w:t>
            </w:r>
            <w:r>
              <w:t>BETCs</w:t>
            </w:r>
            <w:r>
              <w:rPr>
                <w:spacing w:val="-5"/>
              </w:rPr>
              <w:t xml:space="preserve"> </w:t>
            </w:r>
            <w:r>
              <w:t>to</w:t>
            </w:r>
            <w:r>
              <w:rPr>
                <w:spacing w:val="-5"/>
              </w:rPr>
              <w:t xml:space="preserve"> </w:t>
            </w:r>
            <w:r>
              <w:t>FBWT</w:t>
            </w:r>
            <w:r>
              <w:rPr>
                <w:spacing w:val="-5"/>
              </w:rPr>
              <w:t xml:space="preserve"> </w:t>
            </w:r>
            <w:r>
              <w:t>activity</w:t>
            </w:r>
            <w:r>
              <w:rPr>
                <w:spacing w:val="-5"/>
              </w:rPr>
              <w:t xml:space="preserve"> </w:t>
            </w:r>
            <w:r>
              <w:t>and,</w:t>
            </w:r>
            <w:r>
              <w:rPr>
                <w:spacing w:val="-5"/>
              </w:rPr>
              <w:t xml:space="preserve"> </w:t>
            </w:r>
            <w:r>
              <w:t>if relevant, reclassifying FBWT activity with appropriate TASs and BETCs in CARS. For example, the entity may use a default TAS and</w:t>
            </w:r>
          </w:p>
          <w:p w14:paraId="0DFDC461" w14:textId="77777777" w:rsidR="00046465" w:rsidRDefault="008134EB">
            <w:pPr>
              <w:pStyle w:val="TableParagraph"/>
              <w:spacing w:line="250" w:lineRule="atLeast"/>
              <w:ind w:left="1115" w:hanging="1"/>
            </w:pPr>
            <w:r>
              <w:t>BETC</w:t>
            </w:r>
            <w:r>
              <w:rPr>
                <w:spacing w:val="-7"/>
              </w:rPr>
              <w:t xml:space="preserve"> </w:t>
            </w:r>
            <w:r>
              <w:t>for</w:t>
            </w:r>
            <w:r>
              <w:rPr>
                <w:spacing w:val="-6"/>
              </w:rPr>
              <w:t xml:space="preserve"> </w:t>
            </w:r>
            <w:r>
              <w:t>all</w:t>
            </w:r>
            <w:r>
              <w:rPr>
                <w:spacing w:val="-6"/>
              </w:rPr>
              <w:t xml:space="preserve"> </w:t>
            </w:r>
            <w:r>
              <w:t>disbursement</w:t>
            </w:r>
            <w:r>
              <w:rPr>
                <w:spacing w:val="-6"/>
              </w:rPr>
              <w:t xml:space="preserve"> </w:t>
            </w:r>
            <w:r>
              <w:t>transactions</w:t>
            </w:r>
            <w:r>
              <w:rPr>
                <w:spacing w:val="-6"/>
              </w:rPr>
              <w:t xml:space="preserve"> </w:t>
            </w:r>
            <w:r>
              <w:t>and</w:t>
            </w:r>
            <w:r>
              <w:rPr>
                <w:spacing w:val="-6"/>
              </w:rPr>
              <w:t xml:space="preserve"> </w:t>
            </w:r>
            <w:r>
              <w:t>may need to review the activity to determine if some</w:t>
            </w:r>
          </w:p>
        </w:tc>
        <w:tc>
          <w:tcPr>
            <w:tcW w:w="973" w:type="dxa"/>
            <w:tcBorders>
              <w:top w:val="single" w:sz="4" w:space="0" w:color="000000"/>
              <w:left w:val="single" w:sz="4" w:space="0" w:color="000000"/>
              <w:right w:val="single" w:sz="4" w:space="0" w:color="000000"/>
            </w:tcBorders>
          </w:tcPr>
          <w:p w14:paraId="0DFDC462" w14:textId="77777777" w:rsidR="00046465" w:rsidRDefault="00046465">
            <w:pPr>
              <w:pStyle w:val="TableParagraph"/>
              <w:rPr>
                <w:rFonts w:ascii="Times New Roman"/>
              </w:rPr>
            </w:pPr>
          </w:p>
        </w:tc>
        <w:tc>
          <w:tcPr>
            <w:tcW w:w="1949" w:type="dxa"/>
            <w:tcBorders>
              <w:top w:val="single" w:sz="4" w:space="0" w:color="000000"/>
              <w:left w:val="single" w:sz="4" w:space="0" w:color="000000"/>
            </w:tcBorders>
          </w:tcPr>
          <w:p w14:paraId="0DFDC463" w14:textId="77777777" w:rsidR="00046465" w:rsidRDefault="00046465">
            <w:pPr>
              <w:pStyle w:val="TableParagraph"/>
              <w:rPr>
                <w:rFonts w:ascii="Times New Roman"/>
              </w:rPr>
            </w:pPr>
          </w:p>
        </w:tc>
      </w:tr>
    </w:tbl>
    <w:p w14:paraId="0DFDC465" w14:textId="77777777" w:rsidR="00046465" w:rsidRDefault="00046465">
      <w:pPr>
        <w:pStyle w:val="TableParagraph"/>
        <w:rPr>
          <w:rFonts w:ascii="Times New Roman"/>
        </w:rPr>
        <w:sectPr w:rsidR="00046465">
          <w:headerReference w:type="default" r:id="rId206"/>
          <w:footerReference w:type="default" r:id="rId207"/>
          <w:pgSz w:w="12240" w:h="15840"/>
          <w:pgMar w:top="1340" w:right="720" w:bottom="940" w:left="1080" w:header="721" w:footer="757" w:gutter="0"/>
          <w:pgNumType w:start="1"/>
          <w:cols w:space="720"/>
        </w:sectPr>
      </w:pPr>
    </w:p>
    <w:p w14:paraId="0DFDC466" w14:textId="77777777" w:rsidR="00046465" w:rsidRDefault="00046465">
      <w:pPr>
        <w:pStyle w:val="BodyText"/>
        <w:spacing w:before="9"/>
        <w:rPr>
          <w:b/>
          <w:sz w:val="11"/>
        </w:rPr>
      </w:pPr>
    </w:p>
    <w:tbl>
      <w:tblPr>
        <w:tblW w:w="0" w:type="auto"/>
        <w:tblInd w:w="51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287"/>
        <w:gridCol w:w="973"/>
        <w:gridCol w:w="1949"/>
      </w:tblGrid>
      <w:tr w:rsidR="00046465" w14:paraId="0DFDC46A" w14:textId="77777777">
        <w:trPr>
          <w:trHeight w:val="745"/>
        </w:trPr>
        <w:tc>
          <w:tcPr>
            <w:tcW w:w="6287" w:type="dxa"/>
            <w:tcBorders>
              <w:right w:val="single" w:sz="4" w:space="0" w:color="000000"/>
            </w:tcBorders>
          </w:tcPr>
          <w:p w14:paraId="0DFDC467" w14:textId="77777777" w:rsidR="00046465" w:rsidRDefault="008134EB">
            <w:pPr>
              <w:pStyle w:val="TableParagraph"/>
              <w:spacing w:before="120"/>
              <w:ind w:left="92"/>
              <w:rPr>
                <w:b/>
                <w:sz w:val="28"/>
              </w:rPr>
            </w:pPr>
            <w:r>
              <w:rPr>
                <w:b/>
                <w:spacing w:val="-2"/>
                <w:sz w:val="28"/>
              </w:rPr>
              <w:t>Procedures</w:t>
            </w:r>
          </w:p>
        </w:tc>
        <w:tc>
          <w:tcPr>
            <w:tcW w:w="973" w:type="dxa"/>
            <w:tcBorders>
              <w:left w:val="single" w:sz="4" w:space="0" w:color="000000"/>
              <w:right w:val="single" w:sz="4" w:space="0" w:color="000000"/>
            </w:tcBorders>
          </w:tcPr>
          <w:p w14:paraId="0DFDC468" w14:textId="77777777" w:rsidR="00046465" w:rsidRDefault="008134EB">
            <w:pPr>
              <w:pStyle w:val="TableParagraph"/>
              <w:spacing w:before="120"/>
              <w:ind w:left="110"/>
              <w:rPr>
                <w:b/>
              </w:rPr>
            </w:pPr>
            <w:r>
              <w:rPr>
                <w:b/>
                <w:spacing w:val="-2"/>
              </w:rPr>
              <w:t xml:space="preserve">Initials/ </w:t>
            </w:r>
            <w:r>
              <w:rPr>
                <w:b/>
                <w:spacing w:val="-4"/>
              </w:rPr>
              <w:t>date</w:t>
            </w:r>
          </w:p>
        </w:tc>
        <w:tc>
          <w:tcPr>
            <w:tcW w:w="1949" w:type="dxa"/>
            <w:tcBorders>
              <w:left w:val="single" w:sz="4" w:space="0" w:color="000000"/>
            </w:tcBorders>
          </w:tcPr>
          <w:p w14:paraId="0DFDC469" w14:textId="77777777" w:rsidR="00046465" w:rsidRDefault="008134EB">
            <w:pPr>
              <w:pStyle w:val="TableParagraph"/>
              <w:spacing w:before="120"/>
              <w:ind w:left="110"/>
              <w:rPr>
                <w:b/>
              </w:rPr>
            </w:pPr>
            <w:r>
              <w:rPr>
                <w:b/>
              </w:rPr>
              <w:t>Doc.</w:t>
            </w:r>
            <w:r>
              <w:rPr>
                <w:b/>
                <w:spacing w:val="-6"/>
              </w:rPr>
              <w:t xml:space="preserve"> </w:t>
            </w:r>
            <w:r>
              <w:rPr>
                <w:b/>
                <w:spacing w:val="-4"/>
              </w:rPr>
              <w:t>ref.</w:t>
            </w:r>
          </w:p>
        </w:tc>
      </w:tr>
      <w:tr w:rsidR="00046465" w14:paraId="0DFDC46E" w14:textId="77777777">
        <w:trPr>
          <w:trHeight w:val="626"/>
        </w:trPr>
        <w:tc>
          <w:tcPr>
            <w:tcW w:w="6287" w:type="dxa"/>
            <w:tcBorders>
              <w:bottom w:val="single" w:sz="4" w:space="0" w:color="000000"/>
              <w:right w:val="single" w:sz="4" w:space="0" w:color="000000"/>
            </w:tcBorders>
          </w:tcPr>
          <w:p w14:paraId="0DFDC46B" w14:textId="77777777" w:rsidR="00046465" w:rsidRDefault="008134EB">
            <w:pPr>
              <w:pStyle w:val="TableParagraph"/>
              <w:ind w:left="1115"/>
            </w:pPr>
            <w:r>
              <w:t>transactions</w:t>
            </w:r>
            <w:r>
              <w:rPr>
                <w:spacing w:val="-7"/>
              </w:rPr>
              <w:t xml:space="preserve"> </w:t>
            </w:r>
            <w:r>
              <w:t>need</w:t>
            </w:r>
            <w:r>
              <w:rPr>
                <w:spacing w:val="-6"/>
              </w:rPr>
              <w:t xml:space="preserve"> </w:t>
            </w:r>
            <w:r>
              <w:t>to</w:t>
            </w:r>
            <w:r>
              <w:rPr>
                <w:spacing w:val="-6"/>
              </w:rPr>
              <w:t xml:space="preserve"> </w:t>
            </w:r>
            <w:r>
              <w:t>be</w:t>
            </w:r>
            <w:r>
              <w:rPr>
                <w:spacing w:val="-7"/>
              </w:rPr>
              <w:t xml:space="preserve"> </w:t>
            </w:r>
            <w:r>
              <w:t>reclassified</w:t>
            </w:r>
            <w:r>
              <w:rPr>
                <w:spacing w:val="-6"/>
              </w:rPr>
              <w:t xml:space="preserve"> </w:t>
            </w:r>
            <w:r>
              <w:t>to</w:t>
            </w:r>
            <w:r>
              <w:rPr>
                <w:spacing w:val="-6"/>
              </w:rPr>
              <w:t xml:space="preserve"> </w:t>
            </w:r>
            <w:r>
              <w:t>different</w:t>
            </w:r>
            <w:r>
              <w:rPr>
                <w:spacing w:val="-6"/>
              </w:rPr>
              <w:t xml:space="preserve"> </w:t>
            </w:r>
            <w:r>
              <w:t>TAS or BETC.</w:t>
            </w:r>
          </w:p>
        </w:tc>
        <w:tc>
          <w:tcPr>
            <w:tcW w:w="973" w:type="dxa"/>
            <w:tcBorders>
              <w:left w:val="single" w:sz="4" w:space="0" w:color="000000"/>
              <w:bottom w:val="single" w:sz="4" w:space="0" w:color="000000"/>
              <w:right w:val="single" w:sz="4" w:space="0" w:color="000000"/>
            </w:tcBorders>
          </w:tcPr>
          <w:p w14:paraId="0DFDC46C" w14:textId="77777777" w:rsidR="00046465" w:rsidRDefault="00046465">
            <w:pPr>
              <w:pStyle w:val="TableParagraph"/>
              <w:rPr>
                <w:rFonts w:ascii="Times New Roman"/>
              </w:rPr>
            </w:pPr>
          </w:p>
        </w:tc>
        <w:tc>
          <w:tcPr>
            <w:tcW w:w="1949" w:type="dxa"/>
            <w:tcBorders>
              <w:left w:val="single" w:sz="4" w:space="0" w:color="000000"/>
              <w:bottom w:val="single" w:sz="4" w:space="0" w:color="000000"/>
            </w:tcBorders>
          </w:tcPr>
          <w:p w14:paraId="0DFDC46D" w14:textId="77777777" w:rsidR="00046465" w:rsidRDefault="00046465">
            <w:pPr>
              <w:pStyle w:val="TableParagraph"/>
              <w:rPr>
                <w:rFonts w:ascii="Times New Roman"/>
              </w:rPr>
            </w:pPr>
          </w:p>
        </w:tc>
      </w:tr>
      <w:tr w:rsidR="00046465" w14:paraId="0DFDC472" w14:textId="77777777">
        <w:trPr>
          <w:trHeight w:val="999"/>
        </w:trPr>
        <w:tc>
          <w:tcPr>
            <w:tcW w:w="6287" w:type="dxa"/>
            <w:tcBorders>
              <w:top w:val="single" w:sz="4" w:space="0" w:color="000000"/>
              <w:bottom w:val="single" w:sz="4" w:space="0" w:color="000000"/>
              <w:right w:val="single" w:sz="4" w:space="0" w:color="000000"/>
            </w:tcBorders>
          </w:tcPr>
          <w:p w14:paraId="0DFDC46F" w14:textId="77777777" w:rsidR="00046465" w:rsidRDefault="008134EB">
            <w:pPr>
              <w:pStyle w:val="TableParagraph"/>
              <w:spacing w:before="120"/>
              <w:ind w:left="1115" w:hanging="388"/>
            </w:pPr>
            <w:r>
              <w:t>iii.</w:t>
            </w:r>
            <w:r>
              <w:rPr>
                <w:spacing w:val="80"/>
              </w:rPr>
              <w:t xml:space="preserve"> </w:t>
            </w:r>
            <w:r>
              <w:t>Interview</w:t>
            </w:r>
            <w:r>
              <w:rPr>
                <w:spacing w:val="-4"/>
              </w:rPr>
              <w:t xml:space="preserve"> </w:t>
            </w:r>
            <w:r>
              <w:t>key</w:t>
            </w:r>
            <w:r>
              <w:rPr>
                <w:spacing w:val="-3"/>
              </w:rPr>
              <w:t xml:space="preserve"> </w:t>
            </w:r>
            <w:r>
              <w:t>entity</w:t>
            </w:r>
            <w:r>
              <w:rPr>
                <w:spacing w:val="-4"/>
              </w:rPr>
              <w:t xml:space="preserve"> </w:t>
            </w:r>
            <w:r>
              <w:t>staff</w:t>
            </w:r>
            <w:r>
              <w:rPr>
                <w:spacing w:val="-4"/>
              </w:rPr>
              <w:t xml:space="preserve"> </w:t>
            </w:r>
            <w:r>
              <w:t>about</w:t>
            </w:r>
            <w:r>
              <w:rPr>
                <w:spacing w:val="-3"/>
              </w:rPr>
              <w:t xml:space="preserve"> </w:t>
            </w:r>
            <w:r>
              <w:t>their</w:t>
            </w:r>
            <w:r>
              <w:rPr>
                <w:spacing w:val="-5"/>
              </w:rPr>
              <w:t xml:space="preserve"> </w:t>
            </w:r>
            <w:r>
              <w:t>TAS</w:t>
            </w:r>
            <w:r>
              <w:rPr>
                <w:spacing w:val="-3"/>
              </w:rPr>
              <w:t xml:space="preserve"> </w:t>
            </w:r>
            <w:r>
              <w:t>and</w:t>
            </w:r>
            <w:r>
              <w:rPr>
                <w:spacing w:val="-3"/>
              </w:rPr>
              <w:t xml:space="preserve"> </w:t>
            </w:r>
            <w:r>
              <w:t xml:space="preserve">BETC assignment and reclassification procedures and </w:t>
            </w:r>
            <w:r>
              <w:rPr>
                <w:spacing w:val="-2"/>
              </w:rPr>
              <w:t>controls.</w:t>
            </w:r>
          </w:p>
        </w:tc>
        <w:tc>
          <w:tcPr>
            <w:tcW w:w="973" w:type="dxa"/>
            <w:tcBorders>
              <w:top w:val="single" w:sz="4" w:space="0" w:color="000000"/>
              <w:left w:val="single" w:sz="4" w:space="0" w:color="000000"/>
              <w:bottom w:val="single" w:sz="4" w:space="0" w:color="000000"/>
              <w:right w:val="single" w:sz="4" w:space="0" w:color="000000"/>
            </w:tcBorders>
          </w:tcPr>
          <w:p w14:paraId="0DFDC470" w14:textId="77777777" w:rsidR="00046465" w:rsidRDefault="00046465">
            <w:pPr>
              <w:pStyle w:val="TableParagraph"/>
              <w:rPr>
                <w:rFonts w:ascii="Times New Roman"/>
              </w:rPr>
            </w:pPr>
          </w:p>
        </w:tc>
        <w:tc>
          <w:tcPr>
            <w:tcW w:w="1949" w:type="dxa"/>
            <w:tcBorders>
              <w:top w:val="single" w:sz="4" w:space="0" w:color="000000"/>
              <w:left w:val="single" w:sz="4" w:space="0" w:color="000000"/>
              <w:bottom w:val="single" w:sz="4" w:space="0" w:color="000000"/>
            </w:tcBorders>
          </w:tcPr>
          <w:p w14:paraId="0DFDC471" w14:textId="77777777" w:rsidR="00046465" w:rsidRDefault="00046465">
            <w:pPr>
              <w:pStyle w:val="TableParagraph"/>
              <w:rPr>
                <w:rFonts w:ascii="Times New Roman"/>
              </w:rPr>
            </w:pPr>
          </w:p>
        </w:tc>
      </w:tr>
      <w:tr w:rsidR="00046465" w14:paraId="0DFDC476" w14:textId="77777777">
        <w:trPr>
          <w:trHeight w:val="999"/>
        </w:trPr>
        <w:tc>
          <w:tcPr>
            <w:tcW w:w="6287" w:type="dxa"/>
            <w:tcBorders>
              <w:top w:val="single" w:sz="4" w:space="0" w:color="000000"/>
              <w:bottom w:val="single" w:sz="4" w:space="0" w:color="000000"/>
              <w:right w:val="single" w:sz="4" w:space="0" w:color="000000"/>
            </w:tcBorders>
          </w:tcPr>
          <w:p w14:paraId="0DFDC473" w14:textId="77777777" w:rsidR="00046465" w:rsidRDefault="008134EB">
            <w:pPr>
              <w:pStyle w:val="TableParagraph"/>
              <w:spacing w:before="120"/>
              <w:ind w:left="845" w:right="329" w:hanging="360"/>
            </w:pPr>
            <w:r>
              <w:t>c)</w:t>
            </w:r>
            <w:r>
              <w:rPr>
                <w:spacing w:val="80"/>
              </w:rPr>
              <w:t xml:space="preserve"> </w:t>
            </w:r>
            <w:r>
              <w:t>Document results in a cycle memo, walk-through, matter</w:t>
            </w:r>
            <w:r>
              <w:rPr>
                <w:spacing w:val="-7"/>
              </w:rPr>
              <w:t xml:space="preserve"> </w:t>
            </w:r>
            <w:r>
              <w:t>for</w:t>
            </w:r>
            <w:r>
              <w:rPr>
                <w:spacing w:val="-7"/>
              </w:rPr>
              <w:t xml:space="preserve"> </w:t>
            </w:r>
            <w:r>
              <w:t>further</w:t>
            </w:r>
            <w:r>
              <w:rPr>
                <w:spacing w:val="-7"/>
              </w:rPr>
              <w:t xml:space="preserve"> </w:t>
            </w:r>
            <w:r>
              <w:t>consideration,</w:t>
            </w:r>
            <w:r>
              <w:rPr>
                <w:spacing w:val="-7"/>
              </w:rPr>
              <w:t xml:space="preserve"> </w:t>
            </w:r>
            <w:r>
              <w:t>or</w:t>
            </w:r>
            <w:r>
              <w:rPr>
                <w:spacing w:val="-7"/>
              </w:rPr>
              <w:t xml:space="preserve"> </w:t>
            </w:r>
            <w:r>
              <w:t>other</w:t>
            </w:r>
            <w:r>
              <w:rPr>
                <w:spacing w:val="-7"/>
              </w:rPr>
              <w:t xml:space="preserve"> </w:t>
            </w:r>
            <w:r>
              <w:t>documents as appropriate.</w:t>
            </w:r>
          </w:p>
        </w:tc>
        <w:tc>
          <w:tcPr>
            <w:tcW w:w="973" w:type="dxa"/>
            <w:tcBorders>
              <w:top w:val="single" w:sz="4" w:space="0" w:color="000000"/>
              <w:left w:val="single" w:sz="4" w:space="0" w:color="000000"/>
              <w:bottom w:val="single" w:sz="4" w:space="0" w:color="000000"/>
              <w:right w:val="single" w:sz="4" w:space="0" w:color="000000"/>
            </w:tcBorders>
          </w:tcPr>
          <w:p w14:paraId="0DFDC474" w14:textId="77777777" w:rsidR="00046465" w:rsidRDefault="00046465">
            <w:pPr>
              <w:pStyle w:val="TableParagraph"/>
              <w:rPr>
                <w:rFonts w:ascii="Times New Roman"/>
              </w:rPr>
            </w:pPr>
          </w:p>
        </w:tc>
        <w:tc>
          <w:tcPr>
            <w:tcW w:w="1949" w:type="dxa"/>
            <w:tcBorders>
              <w:top w:val="single" w:sz="4" w:space="0" w:color="000000"/>
              <w:left w:val="single" w:sz="4" w:space="0" w:color="000000"/>
              <w:bottom w:val="single" w:sz="4" w:space="0" w:color="000000"/>
            </w:tcBorders>
          </w:tcPr>
          <w:p w14:paraId="0DFDC475" w14:textId="77777777" w:rsidR="00046465" w:rsidRDefault="00046465">
            <w:pPr>
              <w:pStyle w:val="TableParagraph"/>
              <w:rPr>
                <w:rFonts w:ascii="Times New Roman"/>
              </w:rPr>
            </w:pPr>
          </w:p>
        </w:tc>
      </w:tr>
      <w:tr w:rsidR="00046465" w14:paraId="0DFDC47A" w14:textId="77777777">
        <w:trPr>
          <w:trHeight w:val="512"/>
        </w:trPr>
        <w:tc>
          <w:tcPr>
            <w:tcW w:w="6287" w:type="dxa"/>
            <w:tcBorders>
              <w:top w:val="single" w:sz="4" w:space="0" w:color="000000"/>
              <w:bottom w:val="single" w:sz="4" w:space="0" w:color="000000"/>
              <w:right w:val="single" w:sz="4" w:space="0" w:color="000000"/>
            </w:tcBorders>
          </w:tcPr>
          <w:p w14:paraId="0DFDC477" w14:textId="77777777" w:rsidR="00046465" w:rsidRDefault="008134EB">
            <w:pPr>
              <w:pStyle w:val="TableParagraph"/>
              <w:spacing w:before="120"/>
              <w:ind w:left="127"/>
              <w:rPr>
                <w:b/>
              </w:rPr>
            </w:pPr>
            <w:r>
              <w:rPr>
                <w:b/>
              </w:rPr>
              <w:t>II.</w:t>
            </w:r>
            <w:r>
              <w:rPr>
                <w:b/>
                <w:spacing w:val="-5"/>
              </w:rPr>
              <w:t xml:space="preserve"> </w:t>
            </w:r>
            <w:r>
              <w:rPr>
                <w:b/>
              </w:rPr>
              <w:t>Testing</w:t>
            </w:r>
            <w:r>
              <w:rPr>
                <w:b/>
                <w:spacing w:val="-5"/>
              </w:rPr>
              <w:t xml:space="preserve"> </w:t>
            </w:r>
            <w:r>
              <w:rPr>
                <w:b/>
                <w:spacing w:val="-2"/>
              </w:rPr>
              <w:t>Phase</w:t>
            </w:r>
          </w:p>
        </w:tc>
        <w:tc>
          <w:tcPr>
            <w:tcW w:w="973" w:type="dxa"/>
            <w:tcBorders>
              <w:top w:val="single" w:sz="4" w:space="0" w:color="000000"/>
              <w:left w:val="single" w:sz="4" w:space="0" w:color="000000"/>
              <w:bottom w:val="single" w:sz="4" w:space="0" w:color="000000"/>
              <w:right w:val="single" w:sz="4" w:space="0" w:color="000000"/>
            </w:tcBorders>
          </w:tcPr>
          <w:p w14:paraId="0DFDC478" w14:textId="77777777" w:rsidR="00046465" w:rsidRDefault="00046465">
            <w:pPr>
              <w:pStyle w:val="TableParagraph"/>
              <w:rPr>
                <w:rFonts w:ascii="Times New Roman"/>
              </w:rPr>
            </w:pPr>
          </w:p>
        </w:tc>
        <w:tc>
          <w:tcPr>
            <w:tcW w:w="1949" w:type="dxa"/>
            <w:tcBorders>
              <w:top w:val="single" w:sz="4" w:space="0" w:color="000000"/>
              <w:left w:val="single" w:sz="4" w:space="0" w:color="000000"/>
              <w:bottom w:val="single" w:sz="4" w:space="0" w:color="000000"/>
            </w:tcBorders>
          </w:tcPr>
          <w:p w14:paraId="0DFDC479" w14:textId="77777777" w:rsidR="00046465" w:rsidRDefault="00046465">
            <w:pPr>
              <w:pStyle w:val="TableParagraph"/>
              <w:rPr>
                <w:rFonts w:ascii="Times New Roman"/>
              </w:rPr>
            </w:pPr>
          </w:p>
        </w:tc>
      </w:tr>
      <w:tr w:rsidR="00046465" w14:paraId="0DFDC482" w14:textId="77777777">
        <w:trPr>
          <w:trHeight w:val="9043"/>
        </w:trPr>
        <w:tc>
          <w:tcPr>
            <w:tcW w:w="6287" w:type="dxa"/>
            <w:tcBorders>
              <w:top w:val="single" w:sz="4" w:space="0" w:color="000000"/>
              <w:right w:val="single" w:sz="4" w:space="0" w:color="000000"/>
            </w:tcBorders>
          </w:tcPr>
          <w:p w14:paraId="0DFDC47B" w14:textId="77777777" w:rsidR="00046465" w:rsidRDefault="008134EB">
            <w:pPr>
              <w:pStyle w:val="TableParagraph"/>
              <w:numPr>
                <w:ilvl w:val="0"/>
                <w:numId w:val="110"/>
              </w:numPr>
              <w:tabs>
                <w:tab w:val="left" w:pos="485"/>
              </w:tabs>
              <w:spacing w:before="120"/>
              <w:ind w:right="98"/>
            </w:pPr>
            <w:r>
              <w:t>In the testing phase of the audit, perform control testing to assess the operating effectiveness of relevant control activities that have been implemented (including the controls over the areas in steps 1 a–b below), and</w:t>
            </w:r>
            <w:r>
              <w:rPr>
                <w:spacing w:val="40"/>
              </w:rPr>
              <w:t xml:space="preserve"> </w:t>
            </w:r>
            <w:r>
              <w:t>perform substantive procedures to gather sufficient appropriate</w:t>
            </w:r>
            <w:r>
              <w:rPr>
                <w:spacing w:val="-7"/>
              </w:rPr>
              <w:t xml:space="preserve"> </w:t>
            </w:r>
            <w:r>
              <w:t>audit</w:t>
            </w:r>
            <w:r>
              <w:rPr>
                <w:spacing w:val="-6"/>
              </w:rPr>
              <w:t xml:space="preserve"> </w:t>
            </w:r>
            <w:r>
              <w:t>evidence</w:t>
            </w:r>
            <w:r>
              <w:rPr>
                <w:spacing w:val="-6"/>
              </w:rPr>
              <w:t xml:space="preserve"> </w:t>
            </w:r>
            <w:r>
              <w:t>to</w:t>
            </w:r>
            <w:r>
              <w:rPr>
                <w:spacing w:val="-6"/>
              </w:rPr>
              <w:t xml:space="preserve"> </w:t>
            </w:r>
            <w:r>
              <w:t>determine</w:t>
            </w:r>
            <w:r>
              <w:rPr>
                <w:spacing w:val="-6"/>
              </w:rPr>
              <w:t xml:space="preserve"> </w:t>
            </w:r>
            <w:r>
              <w:t>whether</w:t>
            </w:r>
            <w:r>
              <w:rPr>
                <w:spacing w:val="-6"/>
              </w:rPr>
              <w:t xml:space="preserve"> </w:t>
            </w:r>
            <w:r>
              <w:t>the</w:t>
            </w:r>
            <w:r>
              <w:rPr>
                <w:spacing w:val="-6"/>
              </w:rPr>
              <w:t xml:space="preserve"> </w:t>
            </w:r>
            <w:r>
              <w:t>entity does the following:</w:t>
            </w:r>
          </w:p>
          <w:p w14:paraId="0DFDC47C" w14:textId="77777777" w:rsidR="00046465" w:rsidRDefault="008134EB">
            <w:pPr>
              <w:pStyle w:val="TableParagraph"/>
              <w:numPr>
                <w:ilvl w:val="1"/>
                <w:numId w:val="110"/>
              </w:numPr>
              <w:tabs>
                <w:tab w:val="left" w:pos="843"/>
                <w:tab w:val="left" w:pos="845"/>
              </w:tabs>
              <w:spacing w:before="240"/>
              <w:ind w:right="216"/>
            </w:pPr>
            <w:r>
              <w:t>Properly and timely assigns appropriate TASs and BETCs to its collection and disbursement activity in CARS. Assigning an appropriate TAS includes the TAS components, including the agency identifier, period of availability, and main account code. (This step</w:t>
            </w:r>
            <w:r>
              <w:rPr>
                <w:spacing w:val="-5"/>
              </w:rPr>
              <w:t xml:space="preserve"> </w:t>
            </w:r>
            <w:r>
              <w:t>may</w:t>
            </w:r>
            <w:r>
              <w:rPr>
                <w:spacing w:val="-5"/>
              </w:rPr>
              <w:t xml:space="preserve"> </w:t>
            </w:r>
            <w:r>
              <w:t>be</w:t>
            </w:r>
            <w:r>
              <w:rPr>
                <w:spacing w:val="-5"/>
              </w:rPr>
              <w:t xml:space="preserve"> </w:t>
            </w:r>
            <w:r>
              <w:t>done</w:t>
            </w:r>
            <w:r>
              <w:rPr>
                <w:spacing w:val="-5"/>
              </w:rPr>
              <w:t xml:space="preserve"> </w:t>
            </w:r>
            <w:r>
              <w:t>in</w:t>
            </w:r>
            <w:r>
              <w:rPr>
                <w:spacing w:val="-5"/>
              </w:rPr>
              <w:t xml:space="preserve"> </w:t>
            </w:r>
            <w:r>
              <w:t>conjunction</w:t>
            </w:r>
            <w:r>
              <w:rPr>
                <w:spacing w:val="-5"/>
              </w:rPr>
              <w:t xml:space="preserve"> </w:t>
            </w:r>
            <w:r>
              <w:t>with</w:t>
            </w:r>
            <w:r>
              <w:rPr>
                <w:spacing w:val="-6"/>
              </w:rPr>
              <w:t xml:space="preserve"> </w:t>
            </w:r>
            <w:r>
              <w:t>work</w:t>
            </w:r>
            <w:r>
              <w:rPr>
                <w:spacing w:val="-5"/>
              </w:rPr>
              <w:t xml:space="preserve"> </w:t>
            </w:r>
            <w:r>
              <w:t>performed on other cycles.) The auditor may:</w:t>
            </w:r>
          </w:p>
          <w:p w14:paraId="0DFDC47D" w14:textId="77777777" w:rsidR="00046465" w:rsidRDefault="008134EB">
            <w:pPr>
              <w:pStyle w:val="TableParagraph"/>
              <w:numPr>
                <w:ilvl w:val="2"/>
                <w:numId w:val="110"/>
              </w:numPr>
              <w:tabs>
                <w:tab w:val="left" w:pos="1113"/>
                <w:tab w:val="left" w:pos="1115"/>
              </w:tabs>
              <w:spacing w:before="239"/>
              <w:ind w:right="153"/>
              <w:jc w:val="left"/>
            </w:pPr>
            <w:r>
              <w:t>Review the entity’s cash flow profiles, C-Keys, and TAS</w:t>
            </w:r>
            <w:r>
              <w:rPr>
                <w:spacing w:val="-7"/>
              </w:rPr>
              <w:t xml:space="preserve"> </w:t>
            </w:r>
            <w:r>
              <w:t>and</w:t>
            </w:r>
            <w:r>
              <w:rPr>
                <w:spacing w:val="-7"/>
              </w:rPr>
              <w:t xml:space="preserve"> </w:t>
            </w:r>
            <w:r>
              <w:t>BETC</w:t>
            </w:r>
            <w:r>
              <w:rPr>
                <w:spacing w:val="-8"/>
              </w:rPr>
              <w:t xml:space="preserve"> </w:t>
            </w:r>
            <w:r>
              <w:t>combinations</w:t>
            </w:r>
            <w:r>
              <w:rPr>
                <w:spacing w:val="-7"/>
              </w:rPr>
              <w:t xml:space="preserve"> </w:t>
            </w:r>
            <w:r>
              <w:t>to</w:t>
            </w:r>
            <w:r>
              <w:rPr>
                <w:spacing w:val="-7"/>
              </w:rPr>
              <w:t xml:space="preserve"> </w:t>
            </w:r>
            <w:r>
              <w:t>determine</w:t>
            </w:r>
            <w:r>
              <w:rPr>
                <w:spacing w:val="-7"/>
              </w:rPr>
              <w:t xml:space="preserve"> </w:t>
            </w:r>
            <w:r>
              <w:t>whether they</w:t>
            </w:r>
            <w:r>
              <w:rPr>
                <w:spacing w:val="-4"/>
              </w:rPr>
              <w:t xml:space="preserve"> </w:t>
            </w:r>
            <w:r>
              <w:t>are</w:t>
            </w:r>
            <w:r>
              <w:rPr>
                <w:spacing w:val="-4"/>
              </w:rPr>
              <w:t xml:space="preserve"> </w:t>
            </w:r>
            <w:r>
              <w:t>appropriate</w:t>
            </w:r>
            <w:r>
              <w:rPr>
                <w:spacing w:val="-4"/>
              </w:rPr>
              <w:t xml:space="preserve"> </w:t>
            </w:r>
            <w:r>
              <w:t>based</w:t>
            </w:r>
            <w:r>
              <w:rPr>
                <w:spacing w:val="-4"/>
              </w:rPr>
              <w:t xml:space="preserve"> </w:t>
            </w:r>
            <w:r>
              <w:t>on</w:t>
            </w:r>
            <w:r>
              <w:rPr>
                <w:spacing w:val="-4"/>
              </w:rPr>
              <w:t xml:space="preserve"> </w:t>
            </w:r>
            <w:r>
              <w:t>transaction</w:t>
            </w:r>
            <w:r>
              <w:rPr>
                <w:spacing w:val="-4"/>
              </w:rPr>
              <w:t xml:space="preserve"> </w:t>
            </w:r>
            <w:r>
              <w:t>type,</w:t>
            </w:r>
            <w:r>
              <w:rPr>
                <w:spacing w:val="-5"/>
              </w:rPr>
              <w:t xml:space="preserve"> </w:t>
            </w:r>
            <w:r>
              <w:t xml:space="preserve">the </w:t>
            </w:r>
            <w:r>
              <w:rPr>
                <w:i/>
              </w:rPr>
              <w:t>FAST Book</w:t>
            </w:r>
            <w:r>
              <w:t>, and Treasury’s BETC guidance.</w:t>
            </w:r>
          </w:p>
          <w:p w14:paraId="0DFDC47E" w14:textId="77777777" w:rsidR="00046465" w:rsidRDefault="008134EB">
            <w:pPr>
              <w:pStyle w:val="TableParagraph"/>
              <w:numPr>
                <w:ilvl w:val="2"/>
                <w:numId w:val="110"/>
              </w:numPr>
              <w:tabs>
                <w:tab w:val="left" w:pos="1112"/>
                <w:tab w:val="left" w:pos="1115"/>
              </w:tabs>
              <w:spacing w:before="241"/>
              <w:ind w:right="203" w:hanging="340"/>
              <w:jc w:val="left"/>
            </w:pPr>
            <w:r>
              <w:t>Test</w:t>
            </w:r>
            <w:r>
              <w:rPr>
                <w:spacing w:val="-7"/>
              </w:rPr>
              <w:t xml:space="preserve"> </w:t>
            </w:r>
            <w:r>
              <w:t>controls</w:t>
            </w:r>
            <w:r>
              <w:rPr>
                <w:spacing w:val="-7"/>
              </w:rPr>
              <w:t xml:space="preserve"> </w:t>
            </w:r>
            <w:r>
              <w:t>over</w:t>
            </w:r>
            <w:r>
              <w:rPr>
                <w:spacing w:val="-7"/>
              </w:rPr>
              <w:t xml:space="preserve"> </w:t>
            </w:r>
            <w:r>
              <w:t>assigning</w:t>
            </w:r>
            <w:r>
              <w:rPr>
                <w:spacing w:val="-7"/>
              </w:rPr>
              <w:t xml:space="preserve"> </w:t>
            </w:r>
            <w:r>
              <w:t>appropriate</w:t>
            </w:r>
            <w:r>
              <w:rPr>
                <w:spacing w:val="-6"/>
              </w:rPr>
              <w:t xml:space="preserve"> </w:t>
            </w:r>
            <w:r>
              <w:t>TASs</w:t>
            </w:r>
            <w:r>
              <w:rPr>
                <w:spacing w:val="-7"/>
              </w:rPr>
              <w:t xml:space="preserve"> </w:t>
            </w:r>
            <w:r>
              <w:t>and BETCs to disbursements through the entity’s invoice processing systems.</w:t>
            </w:r>
          </w:p>
          <w:p w14:paraId="0DFDC47F" w14:textId="77777777" w:rsidR="00046465" w:rsidRDefault="008134EB">
            <w:pPr>
              <w:pStyle w:val="TableParagraph"/>
              <w:numPr>
                <w:ilvl w:val="2"/>
                <w:numId w:val="110"/>
              </w:numPr>
              <w:tabs>
                <w:tab w:val="left" w:pos="1112"/>
                <w:tab w:val="left" w:pos="1115"/>
              </w:tabs>
              <w:spacing w:before="240"/>
              <w:ind w:right="130" w:hanging="388"/>
              <w:jc w:val="left"/>
            </w:pPr>
            <w:r>
              <w:t>Assess the appropriateness of TASs and BETCs assigned to FBWT transactions (including collections, nonpayroll costs, and payroll costs) in CARS through substantive testing of a nonstatistical selection of transactions or by using samples selected for testing by other cycles. Determining whether FBWT is recorded to the appropriate TAS may also be tested as part of budget</w:t>
            </w:r>
            <w:r>
              <w:rPr>
                <w:spacing w:val="-6"/>
              </w:rPr>
              <w:t xml:space="preserve"> </w:t>
            </w:r>
            <w:r>
              <w:t>information</w:t>
            </w:r>
            <w:r>
              <w:rPr>
                <w:spacing w:val="-6"/>
              </w:rPr>
              <w:t xml:space="preserve"> </w:t>
            </w:r>
            <w:r>
              <w:t>(FAM</w:t>
            </w:r>
            <w:r>
              <w:rPr>
                <w:spacing w:val="-7"/>
              </w:rPr>
              <w:t xml:space="preserve"> </w:t>
            </w:r>
            <w:r>
              <w:t>495</w:t>
            </w:r>
            <w:r>
              <w:rPr>
                <w:spacing w:val="-6"/>
              </w:rPr>
              <w:t xml:space="preserve"> </w:t>
            </w:r>
            <w:r>
              <w:t>B)</w:t>
            </w:r>
            <w:r>
              <w:rPr>
                <w:spacing w:val="-6"/>
              </w:rPr>
              <w:t xml:space="preserve"> </w:t>
            </w:r>
            <w:r>
              <w:t>or</w:t>
            </w:r>
            <w:r>
              <w:rPr>
                <w:spacing w:val="-5"/>
              </w:rPr>
              <w:t xml:space="preserve"> </w:t>
            </w:r>
            <w:r>
              <w:t>compliance</w:t>
            </w:r>
            <w:r>
              <w:rPr>
                <w:spacing w:val="-7"/>
              </w:rPr>
              <w:t xml:space="preserve"> </w:t>
            </w:r>
            <w:r>
              <w:t>with the Antideficiency Act (FAM 803).</w:t>
            </w:r>
          </w:p>
        </w:tc>
        <w:tc>
          <w:tcPr>
            <w:tcW w:w="973" w:type="dxa"/>
            <w:tcBorders>
              <w:top w:val="single" w:sz="4" w:space="0" w:color="000000"/>
              <w:left w:val="single" w:sz="4" w:space="0" w:color="000000"/>
              <w:right w:val="single" w:sz="4" w:space="0" w:color="000000"/>
            </w:tcBorders>
          </w:tcPr>
          <w:p w14:paraId="0DFDC480" w14:textId="77777777" w:rsidR="00046465" w:rsidRDefault="00046465">
            <w:pPr>
              <w:pStyle w:val="TableParagraph"/>
              <w:rPr>
                <w:rFonts w:ascii="Times New Roman"/>
              </w:rPr>
            </w:pPr>
          </w:p>
        </w:tc>
        <w:tc>
          <w:tcPr>
            <w:tcW w:w="1949" w:type="dxa"/>
            <w:tcBorders>
              <w:top w:val="single" w:sz="4" w:space="0" w:color="000000"/>
              <w:left w:val="single" w:sz="4" w:space="0" w:color="000000"/>
            </w:tcBorders>
          </w:tcPr>
          <w:p w14:paraId="0DFDC481" w14:textId="77777777" w:rsidR="00046465" w:rsidRDefault="00046465">
            <w:pPr>
              <w:pStyle w:val="TableParagraph"/>
              <w:rPr>
                <w:rFonts w:ascii="Times New Roman"/>
              </w:rPr>
            </w:pPr>
          </w:p>
        </w:tc>
      </w:tr>
    </w:tbl>
    <w:p w14:paraId="0DFDC483" w14:textId="77777777" w:rsidR="00046465" w:rsidRDefault="00046465">
      <w:pPr>
        <w:pStyle w:val="TableParagraph"/>
        <w:rPr>
          <w:rFonts w:ascii="Times New Roman"/>
        </w:rPr>
        <w:sectPr w:rsidR="00046465">
          <w:pgSz w:w="12240" w:h="15840"/>
          <w:pgMar w:top="1340" w:right="720" w:bottom="940" w:left="1080" w:header="721" w:footer="757" w:gutter="0"/>
          <w:cols w:space="720"/>
        </w:sectPr>
      </w:pPr>
    </w:p>
    <w:p w14:paraId="0DFDC484" w14:textId="77777777" w:rsidR="00046465" w:rsidRDefault="00046465">
      <w:pPr>
        <w:pStyle w:val="BodyText"/>
        <w:spacing w:before="9"/>
        <w:rPr>
          <w:b/>
          <w:sz w:val="11"/>
        </w:rPr>
      </w:pPr>
    </w:p>
    <w:tbl>
      <w:tblPr>
        <w:tblW w:w="0" w:type="auto"/>
        <w:tblInd w:w="513"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6287"/>
        <w:gridCol w:w="973"/>
        <w:gridCol w:w="1949"/>
      </w:tblGrid>
      <w:tr w:rsidR="00046465" w14:paraId="0DFDC488" w14:textId="77777777">
        <w:trPr>
          <w:trHeight w:val="745"/>
        </w:trPr>
        <w:tc>
          <w:tcPr>
            <w:tcW w:w="6287" w:type="dxa"/>
            <w:tcBorders>
              <w:right w:val="single" w:sz="4" w:space="0" w:color="000000"/>
            </w:tcBorders>
          </w:tcPr>
          <w:p w14:paraId="0DFDC485" w14:textId="77777777" w:rsidR="00046465" w:rsidRDefault="008134EB">
            <w:pPr>
              <w:pStyle w:val="TableParagraph"/>
              <w:spacing w:before="120"/>
              <w:ind w:left="92"/>
              <w:rPr>
                <w:b/>
                <w:sz w:val="28"/>
              </w:rPr>
            </w:pPr>
            <w:r>
              <w:rPr>
                <w:b/>
                <w:spacing w:val="-2"/>
                <w:sz w:val="28"/>
              </w:rPr>
              <w:t>Procedures</w:t>
            </w:r>
          </w:p>
        </w:tc>
        <w:tc>
          <w:tcPr>
            <w:tcW w:w="973" w:type="dxa"/>
            <w:tcBorders>
              <w:left w:val="single" w:sz="4" w:space="0" w:color="000000"/>
              <w:right w:val="single" w:sz="4" w:space="0" w:color="000000"/>
            </w:tcBorders>
          </w:tcPr>
          <w:p w14:paraId="0DFDC486" w14:textId="77777777" w:rsidR="00046465" w:rsidRDefault="008134EB">
            <w:pPr>
              <w:pStyle w:val="TableParagraph"/>
              <w:spacing w:before="120"/>
              <w:ind w:left="110"/>
              <w:rPr>
                <w:b/>
              </w:rPr>
            </w:pPr>
            <w:r>
              <w:rPr>
                <w:b/>
                <w:spacing w:val="-2"/>
              </w:rPr>
              <w:t xml:space="preserve">Initials/ </w:t>
            </w:r>
            <w:r>
              <w:rPr>
                <w:b/>
                <w:spacing w:val="-4"/>
              </w:rPr>
              <w:t>date</w:t>
            </w:r>
          </w:p>
        </w:tc>
        <w:tc>
          <w:tcPr>
            <w:tcW w:w="1949" w:type="dxa"/>
            <w:tcBorders>
              <w:left w:val="single" w:sz="4" w:space="0" w:color="000000"/>
            </w:tcBorders>
          </w:tcPr>
          <w:p w14:paraId="0DFDC487" w14:textId="77777777" w:rsidR="00046465" w:rsidRDefault="008134EB">
            <w:pPr>
              <w:pStyle w:val="TableParagraph"/>
              <w:spacing w:before="120"/>
              <w:ind w:left="110"/>
              <w:rPr>
                <w:b/>
              </w:rPr>
            </w:pPr>
            <w:r>
              <w:rPr>
                <w:b/>
              </w:rPr>
              <w:t>Doc.</w:t>
            </w:r>
            <w:r>
              <w:rPr>
                <w:b/>
                <w:spacing w:val="-6"/>
              </w:rPr>
              <w:t xml:space="preserve"> </w:t>
            </w:r>
            <w:r>
              <w:rPr>
                <w:b/>
                <w:spacing w:val="-4"/>
              </w:rPr>
              <w:t>ref.</w:t>
            </w:r>
          </w:p>
        </w:tc>
      </w:tr>
      <w:tr w:rsidR="00046465" w14:paraId="0DFDC492" w14:textId="77777777">
        <w:trPr>
          <w:trHeight w:val="6451"/>
        </w:trPr>
        <w:tc>
          <w:tcPr>
            <w:tcW w:w="6287" w:type="dxa"/>
            <w:tcBorders>
              <w:bottom w:val="single" w:sz="4" w:space="0" w:color="000000"/>
              <w:right w:val="single" w:sz="4" w:space="0" w:color="000000"/>
            </w:tcBorders>
          </w:tcPr>
          <w:p w14:paraId="0DFDC489" w14:textId="77777777" w:rsidR="00046465" w:rsidRDefault="008134EB">
            <w:pPr>
              <w:pStyle w:val="TableParagraph"/>
              <w:ind w:left="1115"/>
            </w:pPr>
            <w:r>
              <w:t>Note: Consider the need to remove FBWT transactions reported that do not originate from source systems (e.g., CIR, PIR, etc.), including reclassifications,</w:t>
            </w:r>
            <w:r>
              <w:rPr>
                <w:spacing w:val="-7"/>
              </w:rPr>
              <w:t xml:space="preserve"> </w:t>
            </w:r>
            <w:r>
              <w:t>from</w:t>
            </w:r>
            <w:r>
              <w:rPr>
                <w:spacing w:val="-7"/>
              </w:rPr>
              <w:t xml:space="preserve"> </w:t>
            </w:r>
            <w:r>
              <w:t>this</w:t>
            </w:r>
            <w:r>
              <w:rPr>
                <w:spacing w:val="-7"/>
              </w:rPr>
              <w:t xml:space="preserve"> </w:t>
            </w:r>
            <w:r>
              <w:t>testing,</w:t>
            </w:r>
            <w:r>
              <w:rPr>
                <w:spacing w:val="-7"/>
              </w:rPr>
              <w:t xml:space="preserve"> </w:t>
            </w:r>
            <w:r>
              <w:t>as</w:t>
            </w:r>
            <w:r>
              <w:rPr>
                <w:spacing w:val="-7"/>
              </w:rPr>
              <w:t xml:space="preserve"> </w:t>
            </w:r>
            <w:r>
              <w:t>discussed</w:t>
            </w:r>
            <w:r>
              <w:rPr>
                <w:spacing w:val="-7"/>
              </w:rPr>
              <w:t xml:space="preserve"> </w:t>
            </w:r>
            <w:r>
              <w:t>in FAM 921.13.</w:t>
            </w:r>
          </w:p>
          <w:p w14:paraId="0DFDC48A" w14:textId="77777777" w:rsidR="00046465" w:rsidRDefault="008134EB">
            <w:pPr>
              <w:pStyle w:val="TableParagraph"/>
              <w:numPr>
                <w:ilvl w:val="0"/>
                <w:numId w:val="109"/>
              </w:numPr>
              <w:tabs>
                <w:tab w:val="left" w:pos="1473"/>
                <w:tab w:val="left" w:pos="1475"/>
              </w:tabs>
              <w:spacing w:before="120"/>
              <w:ind w:right="576"/>
              <w:jc w:val="left"/>
            </w:pPr>
            <w:r>
              <w:t>To determine the nature and timing of the transaction,</w:t>
            </w:r>
            <w:r>
              <w:rPr>
                <w:spacing w:val="-14"/>
              </w:rPr>
              <w:t xml:space="preserve"> </w:t>
            </w:r>
            <w:r>
              <w:t>supporting</w:t>
            </w:r>
            <w:r>
              <w:rPr>
                <w:spacing w:val="-13"/>
              </w:rPr>
              <w:t xml:space="preserve"> </w:t>
            </w:r>
            <w:r>
              <w:t>documentation</w:t>
            </w:r>
            <w:r>
              <w:rPr>
                <w:spacing w:val="-13"/>
              </w:rPr>
              <w:t xml:space="preserve"> </w:t>
            </w:r>
            <w:r>
              <w:t>may include the following:</w:t>
            </w:r>
          </w:p>
          <w:p w14:paraId="0DFDC48B" w14:textId="77777777" w:rsidR="00046465" w:rsidRDefault="008134EB">
            <w:pPr>
              <w:pStyle w:val="TableParagraph"/>
              <w:numPr>
                <w:ilvl w:val="1"/>
                <w:numId w:val="109"/>
              </w:numPr>
              <w:tabs>
                <w:tab w:val="left" w:pos="1835"/>
              </w:tabs>
              <w:spacing w:before="120"/>
            </w:pPr>
            <w:r>
              <w:t>For</w:t>
            </w:r>
            <w:r>
              <w:rPr>
                <w:spacing w:val="-7"/>
              </w:rPr>
              <w:t xml:space="preserve"> </w:t>
            </w:r>
            <w:r>
              <w:t>collections:</w:t>
            </w:r>
            <w:r>
              <w:rPr>
                <w:spacing w:val="-6"/>
              </w:rPr>
              <w:t xml:space="preserve"> </w:t>
            </w:r>
            <w:r>
              <w:t>check,</w:t>
            </w:r>
            <w:r>
              <w:rPr>
                <w:spacing w:val="-6"/>
              </w:rPr>
              <w:t xml:space="preserve"> </w:t>
            </w:r>
            <w:r>
              <w:t>wire,</w:t>
            </w:r>
            <w:r>
              <w:rPr>
                <w:spacing w:val="-6"/>
              </w:rPr>
              <w:t xml:space="preserve"> </w:t>
            </w:r>
            <w:r>
              <w:t>or</w:t>
            </w:r>
            <w:r>
              <w:rPr>
                <w:spacing w:val="-6"/>
              </w:rPr>
              <w:t xml:space="preserve"> </w:t>
            </w:r>
            <w:r>
              <w:t>CIR</w:t>
            </w:r>
            <w:r>
              <w:rPr>
                <w:spacing w:val="-7"/>
              </w:rPr>
              <w:t xml:space="preserve"> </w:t>
            </w:r>
            <w:r>
              <w:rPr>
                <w:spacing w:val="-2"/>
              </w:rPr>
              <w:t>report</w:t>
            </w:r>
          </w:p>
          <w:p w14:paraId="0DFDC48C" w14:textId="77777777" w:rsidR="00046465" w:rsidRDefault="008134EB">
            <w:pPr>
              <w:pStyle w:val="TableParagraph"/>
              <w:numPr>
                <w:ilvl w:val="1"/>
                <w:numId w:val="109"/>
              </w:numPr>
              <w:tabs>
                <w:tab w:val="left" w:pos="1835"/>
              </w:tabs>
              <w:spacing w:before="118"/>
              <w:ind w:right="706"/>
            </w:pPr>
            <w:r>
              <w:t>For</w:t>
            </w:r>
            <w:r>
              <w:rPr>
                <w:spacing w:val="-14"/>
              </w:rPr>
              <w:t xml:space="preserve"> </w:t>
            </w:r>
            <w:r>
              <w:t>nonpayroll</w:t>
            </w:r>
            <w:r>
              <w:rPr>
                <w:spacing w:val="-14"/>
              </w:rPr>
              <w:t xml:space="preserve"> </w:t>
            </w:r>
            <w:r>
              <w:t>transactions:</w:t>
            </w:r>
            <w:r>
              <w:rPr>
                <w:spacing w:val="-14"/>
              </w:rPr>
              <w:t xml:space="preserve"> </w:t>
            </w:r>
            <w:r>
              <w:t>obligating document, invoice, purchase card statement, or travel voucher</w:t>
            </w:r>
          </w:p>
          <w:p w14:paraId="0DFDC48D" w14:textId="77777777" w:rsidR="00046465" w:rsidRDefault="008134EB">
            <w:pPr>
              <w:pStyle w:val="TableParagraph"/>
              <w:numPr>
                <w:ilvl w:val="1"/>
                <w:numId w:val="109"/>
              </w:numPr>
              <w:tabs>
                <w:tab w:val="left" w:pos="1835"/>
              </w:tabs>
              <w:spacing w:before="119"/>
              <w:ind w:right="227" w:hanging="319"/>
            </w:pPr>
            <w:r>
              <w:t>For payroll transactions: time and attendance</w:t>
            </w:r>
            <w:r>
              <w:rPr>
                <w:spacing w:val="-11"/>
              </w:rPr>
              <w:t xml:space="preserve"> </w:t>
            </w:r>
            <w:r>
              <w:t>sheet,</w:t>
            </w:r>
            <w:r>
              <w:rPr>
                <w:spacing w:val="-10"/>
              </w:rPr>
              <w:t xml:space="preserve"> </w:t>
            </w:r>
            <w:r>
              <w:t>Notification</w:t>
            </w:r>
            <w:r>
              <w:rPr>
                <w:spacing w:val="-10"/>
              </w:rPr>
              <w:t xml:space="preserve"> </w:t>
            </w:r>
            <w:r>
              <w:t>of</w:t>
            </w:r>
            <w:r>
              <w:rPr>
                <w:spacing w:val="-10"/>
              </w:rPr>
              <w:t xml:space="preserve"> </w:t>
            </w:r>
            <w:r>
              <w:t>Personnel Action</w:t>
            </w:r>
            <w:r>
              <w:rPr>
                <w:spacing w:val="-1"/>
              </w:rPr>
              <w:t xml:space="preserve"> </w:t>
            </w:r>
            <w:r>
              <w:t>(SF-50),</w:t>
            </w:r>
            <w:r>
              <w:rPr>
                <w:spacing w:val="-1"/>
              </w:rPr>
              <w:t xml:space="preserve"> </w:t>
            </w:r>
            <w:r>
              <w:t>and</w:t>
            </w:r>
            <w:r>
              <w:rPr>
                <w:spacing w:val="-1"/>
              </w:rPr>
              <w:t xml:space="preserve"> </w:t>
            </w:r>
            <w:r>
              <w:t>Request</w:t>
            </w:r>
            <w:r>
              <w:rPr>
                <w:spacing w:val="-1"/>
              </w:rPr>
              <w:t xml:space="preserve"> </w:t>
            </w:r>
            <w:r>
              <w:t>for</w:t>
            </w:r>
            <w:r>
              <w:rPr>
                <w:spacing w:val="-1"/>
              </w:rPr>
              <w:t xml:space="preserve"> </w:t>
            </w:r>
            <w:r>
              <w:t>Personnel Action (SF-52)</w:t>
            </w:r>
          </w:p>
          <w:p w14:paraId="0DFDC48E" w14:textId="77777777" w:rsidR="00046465" w:rsidRDefault="008134EB">
            <w:pPr>
              <w:pStyle w:val="TableParagraph"/>
              <w:numPr>
                <w:ilvl w:val="0"/>
                <w:numId w:val="109"/>
              </w:numPr>
              <w:tabs>
                <w:tab w:val="left" w:pos="1563"/>
                <w:tab w:val="left" w:pos="1565"/>
              </w:tabs>
              <w:spacing w:before="119"/>
              <w:ind w:left="1565" w:right="215"/>
              <w:jc w:val="left"/>
            </w:pPr>
            <w:r>
              <w:t>To</w:t>
            </w:r>
            <w:r>
              <w:rPr>
                <w:spacing w:val="-7"/>
              </w:rPr>
              <w:t xml:space="preserve"> </w:t>
            </w:r>
            <w:r>
              <w:t>determine</w:t>
            </w:r>
            <w:r>
              <w:rPr>
                <w:spacing w:val="-7"/>
              </w:rPr>
              <w:t xml:space="preserve"> </w:t>
            </w:r>
            <w:r>
              <w:t>the</w:t>
            </w:r>
            <w:r>
              <w:rPr>
                <w:spacing w:val="-7"/>
              </w:rPr>
              <w:t xml:space="preserve"> </w:t>
            </w:r>
            <w:r>
              <w:t>appropriate</w:t>
            </w:r>
            <w:r>
              <w:rPr>
                <w:spacing w:val="-7"/>
              </w:rPr>
              <w:t xml:space="preserve"> </w:t>
            </w:r>
            <w:r>
              <w:t>TAS,</w:t>
            </w:r>
            <w:r>
              <w:rPr>
                <w:spacing w:val="-7"/>
              </w:rPr>
              <w:t xml:space="preserve"> </w:t>
            </w:r>
            <w:r>
              <w:t xml:space="preserve">supporting documentation may include the </w:t>
            </w:r>
            <w:r>
              <w:rPr>
                <w:i/>
              </w:rPr>
              <w:t xml:space="preserve">FAST Book </w:t>
            </w:r>
            <w:r>
              <w:t>and the appropriation law.</w:t>
            </w:r>
          </w:p>
          <w:p w14:paraId="0DFDC48F" w14:textId="77777777" w:rsidR="00046465" w:rsidRDefault="008134EB">
            <w:pPr>
              <w:pStyle w:val="TableParagraph"/>
              <w:numPr>
                <w:ilvl w:val="0"/>
                <w:numId w:val="109"/>
              </w:numPr>
              <w:tabs>
                <w:tab w:val="left" w:pos="1563"/>
                <w:tab w:val="left" w:pos="1565"/>
              </w:tabs>
              <w:spacing w:before="119"/>
              <w:ind w:left="1565" w:right="925"/>
              <w:jc w:val="left"/>
            </w:pPr>
            <w:r>
              <w:t>To determine the appropriate BETC, supporting</w:t>
            </w:r>
            <w:r>
              <w:rPr>
                <w:spacing w:val="-13"/>
              </w:rPr>
              <w:t xml:space="preserve"> </w:t>
            </w:r>
            <w:r>
              <w:t>documentation</w:t>
            </w:r>
            <w:r>
              <w:rPr>
                <w:spacing w:val="-13"/>
              </w:rPr>
              <w:t xml:space="preserve"> </w:t>
            </w:r>
            <w:r>
              <w:t>may</w:t>
            </w:r>
            <w:r>
              <w:rPr>
                <w:spacing w:val="-13"/>
              </w:rPr>
              <w:t xml:space="preserve"> </w:t>
            </w:r>
            <w:r>
              <w:t>include Treasury’s BETC guidance.</w:t>
            </w:r>
          </w:p>
        </w:tc>
        <w:tc>
          <w:tcPr>
            <w:tcW w:w="973" w:type="dxa"/>
            <w:tcBorders>
              <w:left w:val="single" w:sz="4" w:space="0" w:color="000000"/>
              <w:bottom w:val="single" w:sz="4" w:space="0" w:color="000000"/>
              <w:right w:val="single" w:sz="4" w:space="0" w:color="000000"/>
            </w:tcBorders>
          </w:tcPr>
          <w:p w14:paraId="0DFDC490" w14:textId="77777777" w:rsidR="00046465" w:rsidRDefault="00046465">
            <w:pPr>
              <w:pStyle w:val="TableParagraph"/>
              <w:rPr>
                <w:rFonts w:ascii="Times New Roman"/>
              </w:rPr>
            </w:pPr>
          </w:p>
        </w:tc>
        <w:tc>
          <w:tcPr>
            <w:tcW w:w="1949" w:type="dxa"/>
            <w:tcBorders>
              <w:left w:val="single" w:sz="4" w:space="0" w:color="000000"/>
              <w:bottom w:val="single" w:sz="4" w:space="0" w:color="000000"/>
            </w:tcBorders>
          </w:tcPr>
          <w:p w14:paraId="0DFDC491" w14:textId="77777777" w:rsidR="00046465" w:rsidRDefault="00046465">
            <w:pPr>
              <w:pStyle w:val="TableParagraph"/>
              <w:rPr>
                <w:rFonts w:ascii="Times New Roman"/>
              </w:rPr>
            </w:pPr>
          </w:p>
        </w:tc>
      </w:tr>
      <w:tr w:rsidR="00046465" w14:paraId="0DFDC496" w14:textId="77777777">
        <w:trPr>
          <w:trHeight w:val="1757"/>
        </w:trPr>
        <w:tc>
          <w:tcPr>
            <w:tcW w:w="6287" w:type="dxa"/>
            <w:tcBorders>
              <w:top w:val="single" w:sz="4" w:space="0" w:color="000000"/>
              <w:bottom w:val="single" w:sz="4" w:space="0" w:color="000000"/>
              <w:right w:val="single" w:sz="4" w:space="0" w:color="000000"/>
            </w:tcBorders>
          </w:tcPr>
          <w:p w14:paraId="0DFDC493" w14:textId="77777777" w:rsidR="00046465" w:rsidRDefault="008134EB">
            <w:pPr>
              <w:pStyle w:val="TableParagraph"/>
              <w:spacing w:before="120"/>
              <w:ind w:left="845" w:hanging="361"/>
            </w:pPr>
            <w:r>
              <w:t>b)</w:t>
            </w:r>
            <w:r>
              <w:rPr>
                <w:spacing w:val="80"/>
              </w:rPr>
              <w:t xml:space="preserve"> </w:t>
            </w:r>
            <w:r>
              <w:t>Periodically and at year-end, reconciles its FBWT account</w:t>
            </w:r>
            <w:r>
              <w:rPr>
                <w:spacing w:val="-6"/>
              </w:rPr>
              <w:t xml:space="preserve"> </w:t>
            </w:r>
            <w:r>
              <w:t>activity</w:t>
            </w:r>
            <w:r>
              <w:rPr>
                <w:spacing w:val="-6"/>
              </w:rPr>
              <w:t xml:space="preserve"> </w:t>
            </w:r>
            <w:r>
              <w:t>with</w:t>
            </w:r>
            <w:r>
              <w:rPr>
                <w:spacing w:val="-6"/>
              </w:rPr>
              <w:t xml:space="preserve"> </w:t>
            </w:r>
            <w:r>
              <w:t>CARS,</w:t>
            </w:r>
            <w:r>
              <w:rPr>
                <w:spacing w:val="-6"/>
              </w:rPr>
              <w:t xml:space="preserve"> </w:t>
            </w:r>
            <w:r>
              <w:t>including</w:t>
            </w:r>
            <w:r>
              <w:rPr>
                <w:spacing w:val="-6"/>
              </w:rPr>
              <w:t xml:space="preserve"> </w:t>
            </w:r>
            <w:r>
              <w:t>activity</w:t>
            </w:r>
            <w:r>
              <w:rPr>
                <w:spacing w:val="-6"/>
              </w:rPr>
              <w:t xml:space="preserve"> </w:t>
            </w:r>
            <w:r>
              <w:t>by</w:t>
            </w:r>
            <w:r>
              <w:rPr>
                <w:spacing w:val="-7"/>
              </w:rPr>
              <w:t xml:space="preserve"> </w:t>
            </w:r>
            <w:r>
              <w:t>TAS and BETC. Researches and resolves the underlying causes of differences between CARS and entity records, and reviews and makes any needed adjustments in CARS timely.</w:t>
            </w:r>
          </w:p>
        </w:tc>
        <w:tc>
          <w:tcPr>
            <w:tcW w:w="973" w:type="dxa"/>
            <w:tcBorders>
              <w:top w:val="single" w:sz="4" w:space="0" w:color="000000"/>
              <w:left w:val="single" w:sz="4" w:space="0" w:color="000000"/>
              <w:bottom w:val="single" w:sz="4" w:space="0" w:color="000000"/>
              <w:right w:val="single" w:sz="4" w:space="0" w:color="000000"/>
            </w:tcBorders>
          </w:tcPr>
          <w:p w14:paraId="0DFDC494" w14:textId="77777777" w:rsidR="00046465" w:rsidRDefault="00046465">
            <w:pPr>
              <w:pStyle w:val="TableParagraph"/>
              <w:rPr>
                <w:rFonts w:ascii="Times New Roman"/>
              </w:rPr>
            </w:pPr>
          </w:p>
        </w:tc>
        <w:tc>
          <w:tcPr>
            <w:tcW w:w="1949" w:type="dxa"/>
            <w:tcBorders>
              <w:top w:val="single" w:sz="4" w:space="0" w:color="000000"/>
              <w:left w:val="single" w:sz="4" w:space="0" w:color="000000"/>
              <w:bottom w:val="single" w:sz="4" w:space="0" w:color="000000"/>
            </w:tcBorders>
          </w:tcPr>
          <w:p w14:paraId="0DFDC495" w14:textId="77777777" w:rsidR="00046465" w:rsidRDefault="00046465">
            <w:pPr>
              <w:pStyle w:val="TableParagraph"/>
              <w:rPr>
                <w:rFonts w:ascii="Times New Roman"/>
              </w:rPr>
            </w:pPr>
          </w:p>
        </w:tc>
      </w:tr>
      <w:tr w:rsidR="00046465" w14:paraId="0DFDC49A" w14:textId="77777777">
        <w:trPr>
          <w:trHeight w:val="1251"/>
        </w:trPr>
        <w:tc>
          <w:tcPr>
            <w:tcW w:w="6287" w:type="dxa"/>
            <w:tcBorders>
              <w:top w:val="single" w:sz="4" w:space="0" w:color="000000"/>
              <w:bottom w:val="single" w:sz="4" w:space="0" w:color="000000"/>
              <w:right w:val="single" w:sz="4" w:space="0" w:color="000000"/>
            </w:tcBorders>
          </w:tcPr>
          <w:p w14:paraId="0DFDC497" w14:textId="77777777" w:rsidR="00046465" w:rsidRDefault="008134EB">
            <w:pPr>
              <w:pStyle w:val="TableParagraph"/>
              <w:tabs>
                <w:tab w:val="left" w:pos="485"/>
              </w:tabs>
              <w:spacing w:before="120"/>
              <w:ind w:left="485" w:right="329" w:hanging="429"/>
            </w:pPr>
            <w:r>
              <w:rPr>
                <w:spacing w:val="-6"/>
              </w:rPr>
              <w:t>2)</w:t>
            </w:r>
            <w:r>
              <w:tab/>
              <w:t>Evaluate the significance of misstatements at the TAS/BETC level using the materiality used to evaluate FBWT</w:t>
            </w:r>
            <w:r>
              <w:rPr>
                <w:spacing w:val="-5"/>
              </w:rPr>
              <w:t xml:space="preserve"> </w:t>
            </w:r>
            <w:r>
              <w:t>misstatements</w:t>
            </w:r>
            <w:r>
              <w:rPr>
                <w:spacing w:val="-5"/>
              </w:rPr>
              <w:t xml:space="preserve"> </w:t>
            </w:r>
            <w:r>
              <w:t>and</w:t>
            </w:r>
            <w:r>
              <w:rPr>
                <w:spacing w:val="-5"/>
              </w:rPr>
              <w:t xml:space="preserve"> </w:t>
            </w:r>
            <w:r>
              <w:t>consider</w:t>
            </w:r>
            <w:r>
              <w:rPr>
                <w:spacing w:val="-5"/>
              </w:rPr>
              <w:t xml:space="preserve"> </w:t>
            </w:r>
            <w:r>
              <w:t>additional</w:t>
            </w:r>
            <w:r>
              <w:rPr>
                <w:spacing w:val="-5"/>
              </w:rPr>
              <w:t xml:space="preserve"> </w:t>
            </w:r>
            <w:r>
              <w:t>follow-up, testing,</w:t>
            </w:r>
            <w:r>
              <w:rPr>
                <w:spacing w:val="-8"/>
              </w:rPr>
              <w:t xml:space="preserve"> </w:t>
            </w:r>
            <w:r>
              <w:t>and</w:t>
            </w:r>
            <w:r>
              <w:rPr>
                <w:spacing w:val="-7"/>
              </w:rPr>
              <w:t xml:space="preserve"> </w:t>
            </w:r>
            <w:r>
              <w:t>appropriate</w:t>
            </w:r>
            <w:r>
              <w:rPr>
                <w:spacing w:val="-8"/>
              </w:rPr>
              <w:t xml:space="preserve"> </w:t>
            </w:r>
            <w:r>
              <w:t>note</w:t>
            </w:r>
            <w:r>
              <w:rPr>
                <w:spacing w:val="-7"/>
              </w:rPr>
              <w:t xml:space="preserve"> </w:t>
            </w:r>
            <w:r>
              <w:t>disclosures,</w:t>
            </w:r>
            <w:r>
              <w:rPr>
                <w:spacing w:val="-7"/>
              </w:rPr>
              <w:t xml:space="preserve"> </w:t>
            </w:r>
            <w:r>
              <w:t>as</w:t>
            </w:r>
            <w:r>
              <w:rPr>
                <w:spacing w:val="-7"/>
              </w:rPr>
              <w:t xml:space="preserve"> </w:t>
            </w:r>
            <w:r>
              <w:rPr>
                <w:spacing w:val="-2"/>
              </w:rPr>
              <w:t>necessary.</w:t>
            </w:r>
          </w:p>
        </w:tc>
        <w:tc>
          <w:tcPr>
            <w:tcW w:w="973" w:type="dxa"/>
            <w:tcBorders>
              <w:top w:val="single" w:sz="4" w:space="0" w:color="000000"/>
              <w:left w:val="single" w:sz="4" w:space="0" w:color="000000"/>
              <w:bottom w:val="single" w:sz="4" w:space="0" w:color="000000"/>
              <w:right w:val="single" w:sz="4" w:space="0" w:color="000000"/>
            </w:tcBorders>
          </w:tcPr>
          <w:p w14:paraId="0DFDC498" w14:textId="77777777" w:rsidR="00046465" w:rsidRDefault="00046465">
            <w:pPr>
              <w:pStyle w:val="TableParagraph"/>
              <w:rPr>
                <w:rFonts w:ascii="Times New Roman"/>
              </w:rPr>
            </w:pPr>
          </w:p>
        </w:tc>
        <w:tc>
          <w:tcPr>
            <w:tcW w:w="1949" w:type="dxa"/>
            <w:tcBorders>
              <w:top w:val="single" w:sz="4" w:space="0" w:color="000000"/>
              <w:left w:val="single" w:sz="4" w:space="0" w:color="000000"/>
              <w:bottom w:val="single" w:sz="4" w:space="0" w:color="000000"/>
            </w:tcBorders>
          </w:tcPr>
          <w:p w14:paraId="0DFDC499" w14:textId="77777777" w:rsidR="00046465" w:rsidRDefault="00046465">
            <w:pPr>
              <w:pStyle w:val="TableParagraph"/>
              <w:rPr>
                <w:rFonts w:ascii="Times New Roman"/>
              </w:rPr>
            </w:pPr>
          </w:p>
        </w:tc>
      </w:tr>
      <w:tr w:rsidR="00046465" w14:paraId="0DFDC49E" w14:textId="77777777">
        <w:trPr>
          <w:trHeight w:val="747"/>
        </w:trPr>
        <w:tc>
          <w:tcPr>
            <w:tcW w:w="6287" w:type="dxa"/>
            <w:tcBorders>
              <w:top w:val="single" w:sz="4" w:space="0" w:color="000000"/>
              <w:right w:val="single" w:sz="4" w:space="0" w:color="000000"/>
            </w:tcBorders>
          </w:tcPr>
          <w:p w14:paraId="0DFDC49B" w14:textId="77777777" w:rsidR="00046465" w:rsidRDefault="008134EB">
            <w:pPr>
              <w:pStyle w:val="TableParagraph"/>
              <w:tabs>
                <w:tab w:val="left" w:pos="485"/>
              </w:tabs>
              <w:spacing w:before="121"/>
              <w:ind w:left="485" w:right="822" w:hanging="429"/>
            </w:pPr>
            <w:r>
              <w:rPr>
                <w:spacing w:val="-6"/>
              </w:rPr>
              <w:t>3)</w:t>
            </w:r>
            <w:r>
              <w:tab/>
              <w:t>Document</w:t>
            </w:r>
            <w:r>
              <w:rPr>
                <w:spacing w:val="-5"/>
              </w:rPr>
              <w:t xml:space="preserve"> </w:t>
            </w:r>
            <w:r>
              <w:t>the</w:t>
            </w:r>
            <w:r>
              <w:rPr>
                <w:spacing w:val="-5"/>
              </w:rPr>
              <w:t xml:space="preserve"> </w:t>
            </w:r>
            <w:r>
              <w:t>results</w:t>
            </w:r>
            <w:r>
              <w:rPr>
                <w:spacing w:val="-6"/>
              </w:rPr>
              <w:t xml:space="preserve"> </w:t>
            </w:r>
            <w:r>
              <w:t>in</w:t>
            </w:r>
            <w:r>
              <w:rPr>
                <w:spacing w:val="-6"/>
              </w:rPr>
              <w:t xml:space="preserve"> </w:t>
            </w:r>
            <w:r>
              <w:t>a</w:t>
            </w:r>
            <w:r>
              <w:rPr>
                <w:spacing w:val="-5"/>
              </w:rPr>
              <w:t xml:space="preserve"> </w:t>
            </w:r>
            <w:r>
              <w:t>summary</w:t>
            </w:r>
            <w:r>
              <w:rPr>
                <w:spacing w:val="-5"/>
              </w:rPr>
              <w:t xml:space="preserve"> </w:t>
            </w:r>
            <w:r>
              <w:t>memo</w:t>
            </w:r>
            <w:r>
              <w:rPr>
                <w:spacing w:val="-5"/>
              </w:rPr>
              <w:t xml:space="preserve"> </w:t>
            </w:r>
            <w:r>
              <w:t>or</w:t>
            </w:r>
            <w:r>
              <w:rPr>
                <w:spacing w:val="-5"/>
              </w:rPr>
              <w:t xml:space="preserve"> </w:t>
            </w:r>
            <w:r>
              <w:t>other document, as appropriate.</w:t>
            </w:r>
          </w:p>
        </w:tc>
        <w:tc>
          <w:tcPr>
            <w:tcW w:w="973" w:type="dxa"/>
            <w:tcBorders>
              <w:top w:val="single" w:sz="4" w:space="0" w:color="000000"/>
              <w:left w:val="single" w:sz="4" w:space="0" w:color="000000"/>
              <w:right w:val="single" w:sz="4" w:space="0" w:color="000000"/>
            </w:tcBorders>
          </w:tcPr>
          <w:p w14:paraId="0DFDC49C" w14:textId="77777777" w:rsidR="00046465" w:rsidRDefault="00046465">
            <w:pPr>
              <w:pStyle w:val="TableParagraph"/>
              <w:rPr>
                <w:rFonts w:ascii="Times New Roman"/>
              </w:rPr>
            </w:pPr>
          </w:p>
        </w:tc>
        <w:tc>
          <w:tcPr>
            <w:tcW w:w="1949" w:type="dxa"/>
            <w:tcBorders>
              <w:top w:val="single" w:sz="4" w:space="0" w:color="000000"/>
              <w:left w:val="single" w:sz="4" w:space="0" w:color="000000"/>
            </w:tcBorders>
          </w:tcPr>
          <w:p w14:paraId="0DFDC49D" w14:textId="77777777" w:rsidR="00046465" w:rsidRDefault="00046465">
            <w:pPr>
              <w:pStyle w:val="TableParagraph"/>
              <w:rPr>
                <w:rFonts w:ascii="Times New Roman"/>
              </w:rPr>
            </w:pPr>
          </w:p>
        </w:tc>
      </w:tr>
    </w:tbl>
    <w:p w14:paraId="0DFDC49F" w14:textId="77777777" w:rsidR="00046465" w:rsidRDefault="00046465">
      <w:pPr>
        <w:pStyle w:val="TableParagraph"/>
        <w:rPr>
          <w:rFonts w:ascii="Times New Roman"/>
        </w:rPr>
        <w:sectPr w:rsidR="00046465">
          <w:pgSz w:w="12240" w:h="15840"/>
          <w:pgMar w:top="1340" w:right="720" w:bottom="940" w:left="1080" w:header="721" w:footer="757" w:gutter="0"/>
          <w:cols w:space="720"/>
        </w:sectPr>
      </w:pPr>
    </w:p>
    <w:p w14:paraId="0DFDC4A0" w14:textId="77777777" w:rsidR="00046465" w:rsidRDefault="008134EB">
      <w:pPr>
        <w:spacing w:before="241"/>
        <w:ind w:left="360"/>
        <w:rPr>
          <w:b/>
          <w:sz w:val="32"/>
        </w:rPr>
      </w:pPr>
      <w:bookmarkStart w:id="320" w:name="931_–_Auditing_PP&amp;E_Land_and_Stewardship"/>
      <w:bookmarkStart w:id="321" w:name="_bookmark185"/>
      <w:bookmarkEnd w:id="320"/>
      <w:bookmarkEnd w:id="321"/>
      <w:r>
        <w:rPr>
          <w:b/>
          <w:sz w:val="32"/>
          <w:u w:val="single"/>
        </w:rPr>
        <w:lastRenderedPageBreak/>
        <w:t>931</w:t>
      </w:r>
      <w:r>
        <w:rPr>
          <w:b/>
          <w:spacing w:val="-7"/>
          <w:sz w:val="32"/>
          <w:u w:val="single"/>
        </w:rPr>
        <w:t xml:space="preserve"> </w:t>
      </w:r>
      <w:r>
        <w:rPr>
          <w:b/>
          <w:sz w:val="32"/>
          <w:u w:val="single"/>
        </w:rPr>
        <w:t>–</w:t>
      </w:r>
      <w:r>
        <w:rPr>
          <w:b/>
          <w:spacing w:val="-15"/>
          <w:sz w:val="32"/>
          <w:u w:val="single"/>
        </w:rPr>
        <w:t xml:space="preserve"> </w:t>
      </w:r>
      <w:r>
        <w:rPr>
          <w:b/>
          <w:sz w:val="32"/>
          <w:u w:val="single"/>
        </w:rPr>
        <w:t>Auditing</w:t>
      </w:r>
      <w:r>
        <w:rPr>
          <w:b/>
          <w:spacing w:val="-5"/>
          <w:sz w:val="32"/>
          <w:u w:val="single"/>
        </w:rPr>
        <w:t xml:space="preserve"> </w:t>
      </w:r>
      <w:r>
        <w:rPr>
          <w:b/>
          <w:sz w:val="32"/>
          <w:u w:val="single"/>
        </w:rPr>
        <w:t>PP&amp;E</w:t>
      </w:r>
      <w:r>
        <w:rPr>
          <w:b/>
          <w:spacing w:val="-4"/>
          <w:sz w:val="32"/>
          <w:u w:val="single"/>
        </w:rPr>
        <w:t xml:space="preserve"> </w:t>
      </w:r>
      <w:r>
        <w:rPr>
          <w:b/>
          <w:sz w:val="32"/>
          <w:u w:val="single"/>
        </w:rPr>
        <w:t>Land</w:t>
      </w:r>
      <w:r>
        <w:rPr>
          <w:b/>
          <w:spacing w:val="-4"/>
          <w:sz w:val="32"/>
          <w:u w:val="single"/>
        </w:rPr>
        <w:t xml:space="preserve"> </w:t>
      </w:r>
      <w:r>
        <w:rPr>
          <w:b/>
          <w:sz w:val="32"/>
          <w:u w:val="single"/>
        </w:rPr>
        <w:t>and</w:t>
      </w:r>
      <w:r>
        <w:rPr>
          <w:b/>
          <w:spacing w:val="-4"/>
          <w:sz w:val="32"/>
          <w:u w:val="single"/>
        </w:rPr>
        <w:t xml:space="preserve"> </w:t>
      </w:r>
      <w:r>
        <w:rPr>
          <w:b/>
          <w:sz w:val="32"/>
          <w:u w:val="single"/>
        </w:rPr>
        <w:t>Stewardship</w:t>
      </w:r>
      <w:r>
        <w:rPr>
          <w:b/>
          <w:spacing w:val="-4"/>
          <w:sz w:val="32"/>
          <w:u w:val="single"/>
        </w:rPr>
        <w:t xml:space="preserve"> Land</w:t>
      </w:r>
    </w:p>
    <w:p w14:paraId="0DFDC4A1" w14:textId="77777777" w:rsidR="00046465" w:rsidRDefault="008134EB">
      <w:pPr>
        <w:pStyle w:val="ListParagraph"/>
        <w:numPr>
          <w:ilvl w:val="0"/>
          <w:numId w:val="2"/>
        </w:numPr>
        <w:tabs>
          <w:tab w:val="left" w:pos="1800"/>
        </w:tabs>
        <w:spacing w:before="239"/>
        <w:ind w:right="946"/>
        <w:rPr>
          <w:position w:val="7"/>
          <w:sz w:val="14"/>
        </w:rPr>
      </w:pPr>
      <w:r>
        <w:t xml:space="preserve">SFFAS 59, </w:t>
      </w:r>
      <w:r>
        <w:rPr>
          <w:i/>
        </w:rPr>
        <w:t>Accounting and Reporting of Government Land</w:t>
      </w:r>
      <w:r>
        <w:t>, as clarified by Technical</w:t>
      </w:r>
      <w:r>
        <w:rPr>
          <w:spacing w:val="-5"/>
        </w:rPr>
        <w:t xml:space="preserve"> </w:t>
      </w:r>
      <w:r>
        <w:t>Bulletin</w:t>
      </w:r>
      <w:r>
        <w:rPr>
          <w:spacing w:val="-5"/>
        </w:rPr>
        <w:t xml:space="preserve"> </w:t>
      </w:r>
      <w:r>
        <w:t>(TB)</w:t>
      </w:r>
      <w:r>
        <w:rPr>
          <w:spacing w:val="-7"/>
        </w:rPr>
        <w:t xml:space="preserve"> </w:t>
      </w:r>
      <w:r>
        <w:t>2025-1,</w:t>
      </w:r>
      <w:r>
        <w:rPr>
          <w:spacing w:val="-4"/>
        </w:rPr>
        <w:t xml:space="preserve"> </w:t>
      </w:r>
      <w:r>
        <w:rPr>
          <w:i/>
        </w:rPr>
        <w:t>Technical</w:t>
      </w:r>
      <w:r>
        <w:rPr>
          <w:i/>
          <w:spacing w:val="-5"/>
        </w:rPr>
        <w:t xml:space="preserve"> </w:t>
      </w:r>
      <w:r>
        <w:rPr>
          <w:i/>
        </w:rPr>
        <w:t>Clarifications:</w:t>
      </w:r>
      <w:r>
        <w:rPr>
          <w:i/>
          <w:spacing w:val="-5"/>
        </w:rPr>
        <w:t xml:space="preserve"> </w:t>
      </w:r>
      <w:r>
        <w:rPr>
          <w:i/>
        </w:rPr>
        <w:t>SFFAS</w:t>
      </w:r>
      <w:r>
        <w:rPr>
          <w:i/>
          <w:spacing w:val="-5"/>
        </w:rPr>
        <w:t xml:space="preserve"> </w:t>
      </w:r>
      <w:r>
        <w:rPr>
          <w:i/>
        </w:rPr>
        <w:t>59,</w:t>
      </w:r>
      <w:r>
        <w:rPr>
          <w:i/>
          <w:spacing w:val="-5"/>
        </w:rPr>
        <w:t xml:space="preserve"> </w:t>
      </w:r>
      <w:r>
        <w:rPr>
          <w:i/>
        </w:rPr>
        <w:t>Accounting and Reporting of Government Land</w:t>
      </w:r>
      <w:r>
        <w:t>, addresses the reporting</w:t>
      </w:r>
      <w:r>
        <w:rPr>
          <w:spacing w:val="-1"/>
        </w:rPr>
        <w:t xml:space="preserve"> </w:t>
      </w:r>
      <w:r>
        <w:t>of property,</w:t>
      </w:r>
      <w:r>
        <w:rPr>
          <w:spacing w:val="-1"/>
        </w:rPr>
        <w:t xml:space="preserve"> </w:t>
      </w:r>
      <w:r>
        <w:t>plant, and equipment (PP&amp;E) land and permanent land rights (referred to as PP&amp;E land), as well as the reporting of stewardship land and permanent land rights (referred to as stewardship land).</w:t>
      </w:r>
      <w:hyperlink w:anchor="_bookmark186" w:history="1">
        <w:r>
          <w:rPr>
            <w:position w:val="7"/>
            <w:sz w:val="14"/>
          </w:rPr>
          <w:t>39</w:t>
        </w:r>
      </w:hyperlink>
    </w:p>
    <w:p w14:paraId="0DFDC4A2" w14:textId="77777777" w:rsidR="00046465" w:rsidRDefault="008134EB">
      <w:pPr>
        <w:pStyle w:val="ListParagraph"/>
        <w:numPr>
          <w:ilvl w:val="1"/>
          <w:numId w:val="2"/>
        </w:numPr>
        <w:tabs>
          <w:tab w:val="left" w:pos="2159"/>
        </w:tabs>
        <w:ind w:right="967"/>
        <w:jc w:val="both"/>
      </w:pPr>
      <w:r>
        <w:rPr>
          <w:b/>
        </w:rPr>
        <w:t>PP&amp;E</w:t>
      </w:r>
      <w:r>
        <w:rPr>
          <w:b/>
          <w:spacing w:val="-1"/>
        </w:rPr>
        <w:t xml:space="preserve"> </w:t>
      </w:r>
      <w:r>
        <w:rPr>
          <w:b/>
        </w:rPr>
        <w:t>land</w:t>
      </w:r>
      <w:r>
        <w:rPr>
          <w:b/>
          <w:spacing w:val="-1"/>
        </w:rPr>
        <w:t xml:space="preserve"> </w:t>
      </w:r>
      <w:r>
        <w:t>includes</w:t>
      </w:r>
      <w:r>
        <w:rPr>
          <w:spacing w:val="-1"/>
        </w:rPr>
        <w:t xml:space="preserve"> </w:t>
      </w:r>
      <w:r>
        <w:t>land</w:t>
      </w:r>
      <w:r>
        <w:rPr>
          <w:spacing w:val="-1"/>
        </w:rPr>
        <w:t xml:space="preserve"> </w:t>
      </w:r>
      <w:r>
        <w:t>acquired</w:t>
      </w:r>
      <w:r>
        <w:rPr>
          <w:spacing w:val="-1"/>
        </w:rPr>
        <w:t xml:space="preserve"> </w:t>
      </w:r>
      <w:r>
        <w:t>for</w:t>
      </w:r>
      <w:r>
        <w:rPr>
          <w:spacing w:val="-1"/>
        </w:rPr>
        <w:t xml:space="preserve"> </w:t>
      </w:r>
      <w:r>
        <w:t>or</w:t>
      </w:r>
      <w:r>
        <w:rPr>
          <w:spacing w:val="-1"/>
        </w:rPr>
        <w:t xml:space="preserve"> </w:t>
      </w:r>
      <w:r>
        <w:t>in</w:t>
      </w:r>
      <w:r>
        <w:rPr>
          <w:spacing w:val="-1"/>
        </w:rPr>
        <w:t xml:space="preserve"> </w:t>
      </w:r>
      <w:r>
        <w:t>connection</w:t>
      </w:r>
      <w:r>
        <w:rPr>
          <w:spacing w:val="-1"/>
        </w:rPr>
        <w:t xml:space="preserve"> </w:t>
      </w:r>
      <w:r>
        <w:t>with</w:t>
      </w:r>
      <w:r>
        <w:rPr>
          <w:spacing w:val="-1"/>
        </w:rPr>
        <w:t xml:space="preserve"> </w:t>
      </w:r>
      <w:r>
        <w:t>other</w:t>
      </w:r>
      <w:r>
        <w:rPr>
          <w:spacing w:val="-1"/>
        </w:rPr>
        <w:t xml:space="preserve"> </w:t>
      </w:r>
      <w:r>
        <w:t>PP&amp;E</w:t>
      </w:r>
      <w:r>
        <w:rPr>
          <w:spacing w:val="-1"/>
        </w:rPr>
        <w:t xml:space="preserve"> </w:t>
      </w:r>
      <w:r>
        <w:t>for construction</w:t>
      </w:r>
      <w:r>
        <w:rPr>
          <w:spacing w:val="-1"/>
        </w:rPr>
        <w:t xml:space="preserve"> </w:t>
      </w:r>
      <w:r>
        <w:t>purposes.</w:t>
      </w:r>
      <w:r>
        <w:rPr>
          <w:spacing w:val="-1"/>
        </w:rPr>
        <w:t xml:space="preserve"> </w:t>
      </w:r>
      <w:r>
        <w:t>PP&amp;E land excludes</w:t>
      </w:r>
      <w:r>
        <w:rPr>
          <w:spacing w:val="-1"/>
        </w:rPr>
        <w:t xml:space="preserve"> </w:t>
      </w:r>
      <w:r>
        <w:t>withdrawn public lands</w:t>
      </w:r>
      <w:r>
        <w:rPr>
          <w:spacing w:val="-1"/>
        </w:rPr>
        <w:t xml:space="preserve"> </w:t>
      </w:r>
      <w:r>
        <w:t>or land restricted</w:t>
      </w:r>
      <w:r>
        <w:rPr>
          <w:spacing w:val="-5"/>
        </w:rPr>
        <w:t xml:space="preserve"> </w:t>
      </w:r>
      <w:r>
        <w:t>for</w:t>
      </w:r>
      <w:r>
        <w:rPr>
          <w:spacing w:val="-6"/>
        </w:rPr>
        <w:t xml:space="preserve"> </w:t>
      </w:r>
      <w:r>
        <w:t>conservation,</w:t>
      </w:r>
      <w:r>
        <w:rPr>
          <w:spacing w:val="-5"/>
        </w:rPr>
        <w:t xml:space="preserve"> </w:t>
      </w:r>
      <w:r>
        <w:t>preservation,</w:t>
      </w:r>
      <w:r>
        <w:rPr>
          <w:spacing w:val="-5"/>
        </w:rPr>
        <w:t xml:space="preserve"> </w:t>
      </w:r>
      <w:r>
        <w:t>historical,</w:t>
      </w:r>
      <w:r>
        <w:rPr>
          <w:spacing w:val="-5"/>
        </w:rPr>
        <w:t xml:space="preserve"> </w:t>
      </w:r>
      <w:r>
        <w:t>or</w:t>
      </w:r>
      <w:r>
        <w:rPr>
          <w:spacing w:val="-5"/>
        </w:rPr>
        <w:t xml:space="preserve"> </w:t>
      </w:r>
      <w:r>
        <w:t>other</w:t>
      </w:r>
      <w:r>
        <w:rPr>
          <w:spacing w:val="-5"/>
        </w:rPr>
        <w:t xml:space="preserve"> </w:t>
      </w:r>
      <w:r>
        <w:t>like</w:t>
      </w:r>
      <w:r>
        <w:rPr>
          <w:spacing w:val="-5"/>
        </w:rPr>
        <w:t xml:space="preserve"> </w:t>
      </w:r>
      <w:r>
        <w:t>restrictions.</w:t>
      </w:r>
    </w:p>
    <w:p w14:paraId="0DFDC4A3" w14:textId="77777777" w:rsidR="00046465" w:rsidRDefault="008134EB">
      <w:pPr>
        <w:pStyle w:val="ListParagraph"/>
        <w:numPr>
          <w:ilvl w:val="1"/>
          <w:numId w:val="2"/>
        </w:numPr>
        <w:tabs>
          <w:tab w:val="left" w:pos="2159"/>
        </w:tabs>
        <w:spacing w:before="121"/>
        <w:ind w:right="832"/>
      </w:pPr>
      <w:r>
        <w:rPr>
          <w:b/>
        </w:rPr>
        <w:t xml:space="preserve">Stewardship land </w:t>
      </w:r>
      <w:r>
        <w:t>includes public domain and land owned by the federal government, intended to be held indefinitely. Examples of stewardship land include land used as forest lands and national parks and for wildlife and grazing.</w:t>
      </w:r>
      <w:r>
        <w:rPr>
          <w:spacing w:val="-5"/>
        </w:rPr>
        <w:t xml:space="preserve"> </w:t>
      </w:r>
      <w:r>
        <w:t>It</w:t>
      </w:r>
      <w:r>
        <w:rPr>
          <w:spacing w:val="-5"/>
        </w:rPr>
        <w:t xml:space="preserve"> </w:t>
      </w:r>
      <w:r>
        <w:t>excludes</w:t>
      </w:r>
      <w:r>
        <w:rPr>
          <w:spacing w:val="-6"/>
        </w:rPr>
        <w:t xml:space="preserve"> </w:t>
      </w:r>
      <w:r>
        <w:t>natural</w:t>
      </w:r>
      <w:r>
        <w:rPr>
          <w:spacing w:val="-5"/>
        </w:rPr>
        <w:t xml:space="preserve"> </w:t>
      </w:r>
      <w:r>
        <w:t>resources</w:t>
      </w:r>
      <w:r>
        <w:rPr>
          <w:spacing w:val="-5"/>
        </w:rPr>
        <w:t xml:space="preserve"> </w:t>
      </w:r>
      <w:r>
        <w:t>(e.g.,</w:t>
      </w:r>
      <w:r>
        <w:rPr>
          <w:spacing w:val="-5"/>
        </w:rPr>
        <w:t xml:space="preserve"> </w:t>
      </w:r>
      <w:r>
        <w:t>minerals,</w:t>
      </w:r>
      <w:r>
        <w:rPr>
          <w:spacing w:val="-5"/>
        </w:rPr>
        <w:t xml:space="preserve"> </w:t>
      </w:r>
      <w:r>
        <w:t>timber,</w:t>
      </w:r>
      <w:r>
        <w:rPr>
          <w:spacing w:val="-5"/>
        </w:rPr>
        <w:t xml:space="preserve"> </w:t>
      </w:r>
      <w:r>
        <w:t>and</w:t>
      </w:r>
      <w:r>
        <w:rPr>
          <w:spacing w:val="-5"/>
        </w:rPr>
        <w:t xml:space="preserve"> </w:t>
      </w:r>
      <w:r>
        <w:t>petroleum) related to the land.</w:t>
      </w:r>
    </w:p>
    <w:p w14:paraId="0DFDC4A4" w14:textId="77777777" w:rsidR="00046465" w:rsidRDefault="008134EB">
      <w:pPr>
        <w:pStyle w:val="ListParagraph"/>
        <w:numPr>
          <w:ilvl w:val="0"/>
          <w:numId w:val="2"/>
        </w:numPr>
        <w:tabs>
          <w:tab w:val="left" w:pos="1800"/>
        </w:tabs>
        <w:ind w:right="876"/>
      </w:pPr>
      <w:r>
        <w:t>SFFAS 59 requires PP&amp;E land and stewardship land to be reported using estimated</w:t>
      </w:r>
      <w:r>
        <w:rPr>
          <w:spacing w:val="-2"/>
        </w:rPr>
        <w:t xml:space="preserve"> </w:t>
      </w:r>
      <w:r>
        <w:t>acres.</w:t>
      </w:r>
      <w:hyperlink w:anchor="_bookmark187" w:history="1">
        <w:r>
          <w:rPr>
            <w:position w:val="7"/>
            <w:sz w:val="14"/>
          </w:rPr>
          <w:t>40</w:t>
        </w:r>
      </w:hyperlink>
      <w:r>
        <w:rPr>
          <w:spacing w:val="19"/>
          <w:position w:val="7"/>
          <w:sz w:val="14"/>
        </w:rPr>
        <w:t xml:space="preserve"> </w:t>
      </w:r>
      <w:r>
        <w:t>FASAB</w:t>
      </w:r>
      <w:r>
        <w:rPr>
          <w:spacing w:val="-2"/>
        </w:rPr>
        <w:t xml:space="preserve"> </w:t>
      </w:r>
      <w:r>
        <w:t>has</w:t>
      </w:r>
      <w:r>
        <w:rPr>
          <w:spacing w:val="-2"/>
        </w:rPr>
        <w:t xml:space="preserve"> </w:t>
      </w:r>
      <w:r>
        <w:t>stated</w:t>
      </w:r>
      <w:r>
        <w:rPr>
          <w:spacing w:val="-3"/>
        </w:rPr>
        <w:t xml:space="preserve"> </w:t>
      </w:r>
      <w:r>
        <w:t>that</w:t>
      </w:r>
      <w:r>
        <w:rPr>
          <w:spacing w:val="-2"/>
        </w:rPr>
        <w:t xml:space="preserve"> </w:t>
      </w:r>
      <w:r>
        <w:t>it</w:t>
      </w:r>
      <w:r>
        <w:rPr>
          <w:spacing w:val="-2"/>
        </w:rPr>
        <w:t xml:space="preserve"> </w:t>
      </w:r>
      <w:r>
        <w:t>(1)</w:t>
      </w:r>
      <w:r>
        <w:rPr>
          <w:spacing w:val="-2"/>
        </w:rPr>
        <w:t xml:space="preserve"> </w:t>
      </w:r>
      <w:r>
        <w:t>does</w:t>
      </w:r>
      <w:r>
        <w:rPr>
          <w:spacing w:val="-2"/>
        </w:rPr>
        <w:t xml:space="preserve"> </w:t>
      </w:r>
      <w:r>
        <w:t>not</w:t>
      </w:r>
      <w:r>
        <w:rPr>
          <w:spacing w:val="-2"/>
        </w:rPr>
        <w:t xml:space="preserve"> </w:t>
      </w:r>
      <w:r>
        <w:t>seek</w:t>
      </w:r>
      <w:r>
        <w:rPr>
          <w:spacing w:val="-2"/>
        </w:rPr>
        <w:t xml:space="preserve"> </w:t>
      </w:r>
      <w:r>
        <w:t>exact</w:t>
      </w:r>
      <w:r>
        <w:rPr>
          <w:spacing w:val="-2"/>
        </w:rPr>
        <w:t xml:space="preserve"> </w:t>
      </w:r>
      <w:r>
        <w:t>precision</w:t>
      </w:r>
      <w:r>
        <w:rPr>
          <w:spacing w:val="-2"/>
        </w:rPr>
        <w:t xml:space="preserve"> </w:t>
      </w:r>
      <w:r>
        <w:t>in determining</w:t>
      </w:r>
      <w:r>
        <w:rPr>
          <w:spacing w:val="-1"/>
        </w:rPr>
        <w:t xml:space="preserve"> </w:t>
      </w:r>
      <w:r>
        <w:t>estimated</w:t>
      </w:r>
      <w:r>
        <w:rPr>
          <w:spacing w:val="-1"/>
        </w:rPr>
        <w:t xml:space="preserve"> </w:t>
      </w:r>
      <w:r>
        <w:t>acres</w:t>
      </w:r>
      <w:r>
        <w:rPr>
          <w:spacing w:val="-1"/>
        </w:rPr>
        <w:t xml:space="preserve"> </w:t>
      </w:r>
      <w:r>
        <w:t>or</w:t>
      </w:r>
      <w:r>
        <w:rPr>
          <w:spacing w:val="-1"/>
        </w:rPr>
        <w:t xml:space="preserve"> </w:t>
      </w:r>
      <w:r>
        <w:t>predominant</w:t>
      </w:r>
      <w:r>
        <w:rPr>
          <w:spacing w:val="-1"/>
        </w:rPr>
        <w:t xml:space="preserve"> </w:t>
      </w:r>
      <w:r>
        <w:t>use</w:t>
      </w:r>
      <w:r>
        <w:rPr>
          <w:spacing w:val="-1"/>
        </w:rPr>
        <w:t xml:space="preserve"> </w:t>
      </w:r>
      <w:r>
        <w:t>assessments</w:t>
      </w:r>
      <w:r>
        <w:rPr>
          <w:spacing w:val="-1"/>
        </w:rPr>
        <w:t xml:space="preserve"> </w:t>
      </w:r>
      <w:r>
        <w:t>and</w:t>
      </w:r>
      <w:r>
        <w:rPr>
          <w:spacing w:val="-1"/>
        </w:rPr>
        <w:t xml:space="preserve"> </w:t>
      </w:r>
      <w:r>
        <w:t>(2)</w:t>
      </w:r>
      <w:r>
        <w:rPr>
          <w:spacing w:val="-1"/>
        </w:rPr>
        <w:t xml:space="preserve"> </w:t>
      </w:r>
      <w:r>
        <w:t>does</w:t>
      </w:r>
      <w:r>
        <w:rPr>
          <w:spacing w:val="-1"/>
        </w:rPr>
        <w:t xml:space="preserve"> </w:t>
      </w:r>
      <w:r>
        <w:t>not intend to direct or prescribe the use of any particular approach. This guidance refers to estimated acres as “acres” or “acreage.”</w:t>
      </w:r>
    </w:p>
    <w:p w14:paraId="0DFDC4A5" w14:textId="77777777" w:rsidR="00046465" w:rsidRDefault="008134EB">
      <w:pPr>
        <w:pStyle w:val="BodyText"/>
        <w:spacing w:before="120"/>
        <w:ind w:left="1800"/>
      </w:pPr>
      <w:r>
        <w:t>SFFAS</w:t>
      </w:r>
      <w:r>
        <w:rPr>
          <w:spacing w:val="-7"/>
        </w:rPr>
        <w:t xml:space="preserve"> </w:t>
      </w:r>
      <w:r>
        <w:t>59</w:t>
      </w:r>
      <w:r>
        <w:rPr>
          <w:spacing w:val="-6"/>
        </w:rPr>
        <w:t xml:space="preserve"> </w:t>
      </w:r>
      <w:r>
        <w:t>requirements</w:t>
      </w:r>
      <w:r>
        <w:rPr>
          <w:spacing w:val="-6"/>
        </w:rPr>
        <w:t xml:space="preserve"> </w:t>
      </w:r>
      <w:r>
        <w:t>include</w:t>
      </w:r>
      <w:r>
        <w:rPr>
          <w:spacing w:val="-7"/>
        </w:rPr>
        <w:t xml:space="preserve"> </w:t>
      </w:r>
      <w:r>
        <w:t>reporting</w:t>
      </w:r>
      <w:r>
        <w:rPr>
          <w:spacing w:val="-6"/>
        </w:rPr>
        <w:t xml:space="preserve"> </w:t>
      </w:r>
      <w:r>
        <w:t>the</w:t>
      </w:r>
      <w:r>
        <w:rPr>
          <w:spacing w:val="-6"/>
        </w:rPr>
        <w:t xml:space="preserve"> </w:t>
      </w:r>
      <w:r>
        <w:t>following</w:t>
      </w:r>
      <w:r>
        <w:rPr>
          <w:spacing w:val="-6"/>
        </w:rPr>
        <w:t xml:space="preserve"> </w:t>
      </w:r>
      <w:r>
        <w:t>in</w:t>
      </w:r>
      <w:r>
        <w:rPr>
          <w:spacing w:val="-7"/>
        </w:rPr>
        <w:t xml:space="preserve"> </w:t>
      </w:r>
      <w:r>
        <w:t>a</w:t>
      </w:r>
      <w:r>
        <w:rPr>
          <w:spacing w:val="-6"/>
        </w:rPr>
        <w:t xml:space="preserve"> </w:t>
      </w:r>
      <w:r>
        <w:t>note</w:t>
      </w:r>
      <w:r>
        <w:rPr>
          <w:spacing w:val="-6"/>
        </w:rPr>
        <w:t xml:space="preserve"> </w:t>
      </w:r>
      <w:r>
        <w:rPr>
          <w:spacing w:val="-2"/>
        </w:rPr>
        <w:t>disclosure:</w:t>
      </w:r>
    </w:p>
    <w:p w14:paraId="0DFDC4A6" w14:textId="77777777" w:rsidR="00046465" w:rsidRDefault="008134EB">
      <w:pPr>
        <w:pStyle w:val="ListParagraph"/>
        <w:numPr>
          <w:ilvl w:val="1"/>
          <w:numId w:val="2"/>
        </w:numPr>
        <w:tabs>
          <w:tab w:val="left" w:pos="2159"/>
        </w:tabs>
        <w:ind w:hanging="359"/>
      </w:pPr>
      <w:r>
        <w:t>Acres</w:t>
      </w:r>
      <w:r>
        <w:rPr>
          <w:spacing w:val="-7"/>
        </w:rPr>
        <w:t xml:space="preserve"> </w:t>
      </w:r>
      <w:r>
        <w:t>of</w:t>
      </w:r>
      <w:r>
        <w:rPr>
          <w:spacing w:val="-6"/>
        </w:rPr>
        <w:t xml:space="preserve"> </w:t>
      </w:r>
      <w:r>
        <w:t>PP&amp;E</w:t>
      </w:r>
      <w:r>
        <w:rPr>
          <w:spacing w:val="-6"/>
        </w:rPr>
        <w:t xml:space="preserve"> </w:t>
      </w:r>
      <w:r>
        <w:t>land</w:t>
      </w:r>
      <w:r>
        <w:rPr>
          <w:spacing w:val="-7"/>
        </w:rPr>
        <w:t xml:space="preserve"> </w:t>
      </w:r>
      <w:r>
        <w:t>and</w:t>
      </w:r>
      <w:r>
        <w:rPr>
          <w:spacing w:val="-6"/>
        </w:rPr>
        <w:t xml:space="preserve"> </w:t>
      </w:r>
      <w:r>
        <w:t>stewardship</w:t>
      </w:r>
      <w:r>
        <w:rPr>
          <w:spacing w:val="-6"/>
        </w:rPr>
        <w:t xml:space="preserve"> </w:t>
      </w:r>
      <w:r>
        <w:rPr>
          <w:spacing w:val="-2"/>
        </w:rPr>
        <w:t>land.</w:t>
      </w:r>
    </w:p>
    <w:p w14:paraId="0DFDC4A7" w14:textId="77777777" w:rsidR="00046465" w:rsidRDefault="008134EB">
      <w:pPr>
        <w:pStyle w:val="ListParagraph"/>
        <w:numPr>
          <w:ilvl w:val="1"/>
          <w:numId w:val="2"/>
        </w:numPr>
        <w:tabs>
          <w:tab w:val="left" w:pos="2159"/>
        </w:tabs>
        <w:ind w:right="745"/>
        <w:rPr>
          <w:position w:val="7"/>
          <w:sz w:val="14"/>
        </w:rPr>
      </w:pPr>
      <w:r>
        <w:t>Within</w:t>
      </w:r>
      <w:r>
        <w:rPr>
          <w:spacing w:val="-4"/>
        </w:rPr>
        <w:t xml:space="preserve"> </w:t>
      </w:r>
      <w:r>
        <w:t>each</w:t>
      </w:r>
      <w:r>
        <w:rPr>
          <w:spacing w:val="-5"/>
        </w:rPr>
        <w:t xml:space="preserve"> </w:t>
      </w:r>
      <w:r>
        <w:t>category</w:t>
      </w:r>
      <w:r>
        <w:rPr>
          <w:spacing w:val="-4"/>
        </w:rPr>
        <w:t xml:space="preserve"> </w:t>
      </w:r>
      <w:r>
        <w:t>of</w:t>
      </w:r>
      <w:r>
        <w:rPr>
          <w:spacing w:val="-5"/>
        </w:rPr>
        <w:t xml:space="preserve"> </w:t>
      </w:r>
      <w:r>
        <w:t>PP&amp;E</w:t>
      </w:r>
      <w:r>
        <w:rPr>
          <w:spacing w:val="-4"/>
        </w:rPr>
        <w:t xml:space="preserve"> </w:t>
      </w:r>
      <w:r>
        <w:t>land</w:t>
      </w:r>
      <w:r>
        <w:rPr>
          <w:spacing w:val="-3"/>
        </w:rPr>
        <w:t xml:space="preserve"> </w:t>
      </w:r>
      <w:r>
        <w:t>and</w:t>
      </w:r>
      <w:r>
        <w:rPr>
          <w:spacing w:val="-4"/>
        </w:rPr>
        <w:t xml:space="preserve"> </w:t>
      </w:r>
      <w:r>
        <w:t>stewardship</w:t>
      </w:r>
      <w:r>
        <w:rPr>
          <w:spacing w:val="-4"/>
        </w:rPr>
        <w:t xml:space="preserve"> </w:t>
      </w:r>
      <w:r>
        <w:t>land,</w:t>
      </w:r>
      <w:r>
        <w:rPr>
          <w:spacing w:val="-4"/>
        </w:rPr>
        <w:t xml:space="preserve"> </w:t>
      </w:r>
      <w:r>
        <w:t>estimated</w:t>
      </w:r>
      <w:r>
        <w:rPr>
          <w:spacing w:val="-4"/>
        </w:rPr>
        <w:t xml:space="preserve"> </w:t>
      </w:r>
      <w:r>
        <w:t>acres</w:t>
      </w:r>
      <w:r>
        <w:rPr>
          <w:spacing w:val="-4"/>
        </w:rPr>
        <w:t xml:space="preserve"> </w:t>
      </w:r>
      <w:r>
        <w:t>by three predominant use subcategories—conservation and preservation land, operational land, and commercial use land.</w:t>
      </w:r>
      <w:hyperlink w:anchor="_bookmark188" w:history="1">
        <w:r>
          <w:rPr>
            <w:position w:val="7"/>
            <w:sz w:val="14"/>
          </w:rPr>
          <w:t>41</w:t>
        </w:r>
      </w:hyperlink>
    </w:p>
    <w:p w14:paraId="0DFDC4A8" w14:textId="77777777" w:rsidR="00046465" w:rsidRDefault="00046465">
      <w:pPr>
        <w:pStyle w:val="BodyText"/>
        <w:rPr>
          <w:sz w:val="20"/>
        </w:rPr>
      </w:pPr>
    </w:p>
    <w:p w14:paraId="0DFDC4A9" w14:textId="77777777" w:rsidR="00046465" w:rsidRDefault="008134EB">
      <w:pPr>
        <w:pStyle w:val="BodyText"/>
        <w:spacing w:before="153"/>
        <w:rPr>
          <w:sz w:val="20"/>
        </w:rPr>
      </w:pPr>
      <w:r>
        <w:rPr>
          <w:noProof/>
          <w:sz w:val="20"/>
        </w:rPr>
        <mc:AlternateContent>
          <mc:Choice Requires="wps">
            <w:drawing>
              <wp:anchor distT="0" distB="0" distL="0" distR="0" simplePos="0" relativeHeight="487725568" behindDoc="1" locked="0" layoutInCell="1" allowOverlap="1" wp14:anchorId="0DFDD72D" wp14:editId="0DFDD72E">
                <wp:simplePos x="0" y="0"/>
                <wp:positionH relativeFrom="page">
                  <wp:posOffset>914400</wp:posOffset>
                </wp:positionH>
                <wp:positionV relativeFrom="paragraph">
                  <wp:posOffset>258550</wp:posOffset>
                </wp:positionV>
                <wp:extent cx="1828800" cy="5715"/>
                <wp:effectExtent l="0" t="0" r="0" b="0"/>
                <wp:wrapTopAndBottom/>
                <wp:docPr id="1007" name="Graphic 1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E02856" id="Graphic 1007" o:spid="_x0000_s1026" style="position:absolute;margin-left:1in;margin-top:20.35pt;width:2in;height:.45pt;z-index:-1559091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" path="m1828800,l,,,5334r1828800,l1828800,xe" fillcolor="black" stroked="f">
                <v:path arrowok="t"/>
                <w10:wrap type="topAndBottom" anchorx="page"/>
              </v:shape>
            </w:pict>
          </mc:Fallback>
        </mc:AlternateContent>
      </w:r>
    </w:p>
    <w:p w14:paraId="0DFDC4AA" w14:textId="77777777" w:rsidR="00046465" w:rsidRDefault="00046465">
      <w:pPr>
        <w:pStyle w:val="BodyText"/>
        <w:spacing w:before="54"/>
        <w:rPr>
          <w:sz w:val="18"/>
        </w:rPr>
      </w:pPr>
    </w:p>
    <w:p w14:paraId="0DFDC4AB" w14:textId="77777777" w:rsidR="00046465" w:rsidRDefault="008134EB">
      <w:pPr>
        <w:spacing w:before="1" w:line="242" w:lineRule="auto"/>
        <w:ind w:left="359" w:right="726"/>
        <w:rPr>
          <w:sz w:val="18"/>
        </w:rPr>
      </w:pPr>
      <w:bookmarkStart w:id="322" w:name="_bookmark186"/>
      <w:bookmarkEnd w:id="322"/>
      <w:r>
        <w:rPr>
          <w:position w:val="7"/>
          <w:sz w:val="14"/>
        </w:rPr>
        <w:t>39</w:t>
      </w:r>
      <w:r>
        <w:rPr>
          <w:sz w:val="18"/>
        </w:rPr>
        <w:t>Land is the solid part of the surface of the earth and excludes natural resources related to land (i.e., depletable resources such as mineral deposits and petroleum, renewable resources such as timber, and the outer continental shelf resources). Land rights are interests and privileges held by the entity in land owned by others, such as leaseholds,</w:t>
      </w:r>
      <w:r>
        <w:rPr>
          <w:spacing w:val="-3"/>
          <w:sz w:val="18"/>
        </w:rPr>
        <w:t xml:space="preserve"> </w:t>
      </w:r>
      <w:r>
        <w:rPr>
          <w:sz w:val="18"/>
        </w:rPr>
        <w:t>easements,</w:t>
      </w:r>
      <w:r>
        <w:rPr>
          <w:spacing w:val="-3"/>
          <w:sz w:val="18"/>
        </w:rPr>
        <w:t xml:space="preserve"> </w:t>
      </w:r>
      <w:r>
        <w:rPr>
          <w:sz w:val="18"/>
        </w:rPr>
        <w:t>water</w:t>
      </w:r>
      <w:r>
        <w:rPr>
          <w:spacing w:val="-2"/>
          <w:sz w:val="18"/>
        </w:rPr>
        <w:t xml:space="preserve"> </w:t>
      </w:r>
      <w:r>
        <w:rPr>
          <w:sz w:val="18"/>
        </w:rPr>
        <w:t>and</w:t>
      </w:r>
      <w:r>
        <w:rPr>
          <w:spacing w:val="-4"/>
          <w:sz w:val="18"/>
        </w:rPr>
        <w:t xml:space="preserve"> </w:t>
      </w:r>
      <w:r>
        <w:rPr>
          <w:sz w:val="18"/>
        </w:rPr>
        <w:t>waterpower</w:t>
      </w:r>
      <w:r>
        <w:rPr>
          <w:spacing w:val="-3"/>
          <w:sz w:val="18"/>
        </w:rPr>
        <w:t xml:space="preserve"> </w:t>
      </w:r>
      <w:r>
        <w:rPr>
          <w:sz w:val="18"/>
        </w:rPr>
        <w:t>rights,</w:t>
      </w:r>
      <w:r>
        <w:rPr>
          <w:spacing w:val="-3"/>
          <w:sz w:val="18"/>
        </w:rPr>
        <w:t xml:space="preserve"> </w:t>
      </w:r>
      <w:r>
        <w:rPr>
          <w:sz w:val="18"/>
        </w:rPr>
        <w:t>diversion</w:t>
      </w:r>
      <w:r>
        <w:rPr>
          <w:spacing w:val="-4"/>
          <w:sz w:val="18"/>
        </w:rPr>
        <w:t xml:space="preserve"> </w:t>
      </w:r>
      <w:r>
        <w:rPr>
          <w:sz w:val="18"/>
        </w:rPr>
        <w:t>rights,</w:t>
      </w:r>
      <w:r>
        <w:rPr>
          <w:spacing w:val="-3"/>
          <w:sz w:val="18"/>
        </w:rPr>
        <w:t xml:space="preserve"> </w:t>
      </w:r>
      <w:r>
        <w:rPr>
          <w:sz w:val="18"/>
        </w:rPr>
        <w:t>submersion</w:t>
      </w:r>
      <w:r>
        <w:rPr>
          <w:spacing w:val="-4"/>
          <w:sz w:val="18"/>
        </w:rPr>
        <w:t xml:space="preserve"> </w:t>
      </w:r>
      <w:r>
        <w:rPr>
          <w:sz w:val="18"/>
        </w:rPr>
        <w:t>rights,</w:t>
      </w:r>
      <w:r>
        <w:rPr>
          <w:spacing w:val="-2"/>
          <w:sz w:val="18"/>
        </w:rPr>
        <w:t xml:space="preserve"> </w:t>
      </w:r>
      <w:r>
        <w:rPr>
          <w:sz w:val="18"/>
        </w:rPr>
        <w:t>rights-of-way,</w:t>
      </w:r>
      <w:r>
        <w:rPr>
          <w:spacing w:val="-2"/>
          <w:sz w:val="18"/>
        </w:rPr>
        <w:t xml:space="preserve"> </w:t>
      </w:r>
      <w:r>
        <w:rPr>
          <w:sz w:val="18"/>
        </w:rPr>
        <w:t>and</w:t>
      </w:r>
      <w:r>
        <w:rPr>
          <w:spacing w:val="-4"/>
          <w:sz w:val="18"/>
        </w:rPr>
        <w:t xml:space="preserve"> </w:t>
      </w:r>
      <w:r>
        <w:rPr>
          <w:sz w:val="18"/>
        </w:rPr>
        <w:t>other</w:t>
      </w:r>
      <w:r>
        <w:rPr>
          <w:spacing w:val="-3"/>
          <w:sz w:val="18"/>
        </w:rPr>
        <w:t xml:space="preserve"> </w:t>
      </w:r>
      <w:r>
        <w:rPr>
          <w:sz w:val="18"/>
        </w:rPr>
        <w:t xml:space="preserve">like interests in land. Land rights, such as easements or rights-of-way, for an unspecified period of time or unlimited duration are considered permanent land rights. Temporary land rights are for a specified period of time or limited </w:t>
      </w:r>
      <w:r>
        <w:rPr>
          <w:spacing w:val="-2"/>
          <w:sz w:val="18"/>
        </w:rPr>
        <w:t>duration.</w:t>
      </w:r>
    </w:p>
    <w:p w14:paraId="0DFDC4AC" w14:textId="77777777" w:rsidR="00046465" w:rsidRDefault="008134EB">
      <w:pPr>
        <w:spacing w:before="118" w:line="244" w:lineRule="auto"/>
        <w:ind w:left="359" w:right="749"/>
        <w:rPr>
          <w:sz w:val="18"/>
        </w:rPr>
      </w:pPr>
      <w:bookmarkStart w:id="323" w:name="_bookmark187"/>
      <w:bookmarkEnd w:id="323"/>
      <w:r>
        <w:rPr>
          <w:position w:val="7"/>
          <w:sz w:val="14"/>
        </w:rPr>
        <w:t>40</w:t>
      </w:r>
      <w:r>
        <w:rPr>
          <w:sz w:val="18"/>
        </w:rPr>
        <w:t>SFFAS 59 does not apply to (1) land held in trust or administered on behalf of Indian tribal governments or individual</w:t>
      </w:r>
      <w:r>
        <w:rPr>
          <w:spacing w:val="-3"/>
          <w:sz w:val="18"/>
        </w:rPr>
        <w:t xml:space="preserve"> </w:t>
      </w:r>
      <w:r>
        <w:rPr>
          <w:sz w:val="18"/>
        </w:rPr>
        <w:t>Indian</w:t>
      </w:r>
      <w:r>
        <w:rPr>
          <w:spacing w:val="-4"/>
          <w:sz w:val="18"/>
        </w:rPr>
        <w:t xml:space="preserve"> </w:t>
      </w:r>
      <w:r>
        <w:rPr>
          <w:sz w:val="18"/>
        </w:rPr>
        <w:t>land</w:t>
      </w:r>
      <w:r>
        <w:rPr>
          <w:spacing w:val="-4"/>
          <w:sz w:val="18"/>
        </w:rPr>
        <w:t xml:space="preserve"> </w:t>
      </w:r>
      <w:r>
        <w:rPr>
          <w:sz w:val="18"/>
        </w:rPr>
        <w:t>or</w:t>
      </w:r>
      <w:r>
        <w:rPr>
          <w:spacing w:val="-3"/>
          <w:sz w:val="18"/>
        </w:rPr>
        <w:t xml:space="preserve"> </w:t>
      </w:r>
      <w:r>
        <w:rPr>
          <w:sz w:val="18"/>
        </w:rPr>
        <w:t>(2)</w:t>
      </w:r>
      <w:r>
        <w:rPr>
          <w:spacing w:val="-3"/>
          <w:sz w:val="18"/>
        </w:rPr>
        <w:t xml:space="preserve"> </w:t>
      </w:r>
      <w:r>
        <w:rPr>
          <w:sz w:val="18"/>
        </w:rPr>
        <w:t>the</w:t>
      </w:r>
      <w:r>
        <w:rPr>
          <w:spacing w:val="-4"/>
          <w:sz w:val="18"/>
        </w:rPr>
        <w:t xml:space="preserve"> </w:t>
      </w:r>
      <w:r>
        <w:rPr>
          <w:sz w:val="18"/>
        </w:rPr>
        <w:t>outer</w:t>
      </w:r>
      <w:r>
        <w:rPr>
          <w:spacing w:val="-3"/>
          <w:sz w:val="18"/>
        </w:rPr>
        <w:t xml:space="preserve"> </w:t>
      </w:r>
      <w:r>
        <w:rPr>
          <w:sz w:val="18"/>
        </w:rPr>
        <w:t>continental</w:t>
      </w:r>
      <w:r>
        <w:rPr>
          <w:spacing w:val="-3"/>
          <w:sz w:val="18"/>
        </w:rPr>
        <w:t xml:space="preserve"> </w:t>
      </w:r>
      <w:r>
        <w:rPr>
          <w:sz w:val="18"/>
        </w:rPr>
        <w:t>shelf</w:t>
      </w:r>
      <w:r>
        <w:rPr>
          <w:spacing w:val="-3"/>
          <w:sz w:val="18"/>
        </w:rPr>
        <w:t xml:space="preserve"> </w:t>
      </w:r>
      <w:r>
        <w:rPr>
          <w:sz w:val="18"/>
        </w:rPr>
        <w:t>(i.e.,</w:t>
      </w:r>
      <w:r>
        <w:rPr>
          <w:spacing w:val="-3"/>
          <w:sz w:val="18"/>
        </w:rPr>
        <w:t xml:space="preserve"> </w:t>
      </w:r>
      <w:r>
        <w:rPr>
          <w:sz w:val="18"/>
        </w:rPr>
        <w:t>the</w:t>
      </w:r>
      <w:r>
        <w:rPr>
          <w:spacing w:val="-4"/>
          <w:sz w:val="18"/>
        </w:rPr>
        <w:t xml:space="preserve"> </w:t>
      </w:r>
      <w:r>
        <w:rPr>
          <w:sz w:val="18"/>
        </w:rPr>
        <w:t>seabed,</w:t>
      </w:r>
      <w:r>
        <w:rPr>
          <w:spacing w:val="-3"/>
          <w:sz w:val="18"/>
        </w:rPr>
        <w:t xml:space="preserve"> </w:t>
      </w:r>
      <w:r>
        <w:rPr>
          <w:sz w:val="18"/>
        </w:rPr>
        <w:t>subsoil,</w:t>
      </w:r>
      <w:r>
        <w:rPr>
          <w:spacing w:val="-3"/>
          <w:sz w:val="18"/>
        </w:rPr>
        <w:t xml:space="preserve"> </w:t>
      </w:r>
      <w:r>
        <w:rPr>
          <w:sz w:val="18"/>
        </w:rPr>
        <w:t>and</w:t>
      </w:r>
      <w:r>
        <w:rPr>
          <w:spacing w:val="-4"/>
          <w:sz w:val="18"/>
        </w:rPr>
        <w:t xml:space="preserve"> </w:t>
      </w:r>
      <w:r>
        <w:rPr>
          <w:sz w:val="18"/>
        </w:rPr>
        <w:t>energy</w:t>
      </w:r>
      <w:r>
        <w:rPr>
          <w:spacing w:val="-3"/>
          <w:sz w:val="18"/>
        </w:rPr>
        <w:t xml:space="preserve"> </w:t>
      </w:r>
      <w:r>
        <w:rPr>
          <w:sz w:val="18"/>
        </w:rPr>
        <w:t>or</w:t>
      </w:r>
      <w:r>
        <w:rPr>
          <w:spacing w:val="-3"/>
          <w:sz w:val="18"/>
        </w:rPr>
        <w:t xml:space="preserve"> </w:t>
      </w:r>
      <w:r>
        <w:rPr>
          <w:sz w:val="18"/>
        </w:rPr>
        <w:t>mineral</w:t>
      </w:r>
      <w:r>
        <w:rPr>
          <w:spacing w:val="-3"/>
          <w:sz w:val="18"/>
        </w:rPr>
        <w:t xml:space="preserve"> </w:t>
      </w:r>
      <w:r>
        <w:rPr>
          <w:sz w:val="18"/>
        </w:rPr>
        <w:t>resources derived therefrom).</w:t>
      </w:r>
    </w:p>
    <w:p w14:paraId="0DFDC4AD" w14:textId="77777777" w:rsidR="00046465" w:rsidRDefault="008134EB">
      <w:pPr>
        <w:spacing w:before="121"/>
        <w:ind w:left="359" w:right="735"/>
        <w:rPr>
          <w:sz w:val="18"/>
        </w:rPr>
      </w:pPr>
      <w:bookmarkStart w:id="324" w:name="_bookmark188"/>
      <w:bookmarkEnd w:id="324"/>
      <w:r>
        <w:rPr>
          <w:position w:val="7"/>
          <w:sz w:val="14"/>
        </w:rPr>
        <w:t>41</w:t>
      </w:r>
      <w:r>
        <w:rPr>
          <w:sz w:val="18"/>
        </w:rPr>
        <w:t>Predominant use is the major or primary current use of an asset during the reporting period and does not include incidental or infrequent uses of the asset. Moreover, predominant use can change between reporting periods. An asset’s predominant use should be consistent with the entity’s authorizing legislation but may not always be consistent</w:t>
      </w:r>
      <w:r>
        <w:rPr>
          <w:spacing w:val="-1"/>
          <w:sz w:val="18"/>
        </w:rPr>
        <w:t xml:space="preserve"> </w:t>
      </w:r>
      <w:r>
        <w:rPr>
          <w:sz w:val="18"/>
        </w:rPr>
        <w:t>with the</w:t>
      </w:r>
      <w:r>
        <w:rPr>
          <w:spacing w:val="-2"/>
          <w:sz w:val="18"/>
        </w:rPr>
        <w:t xml:space="preserve"> </w:t>
      </w:r>
      <w:r>
        <w:rPr>
          <w:sz w:val="18"/>
        </w:rPr>
        <w:t>original</w:t>
      </w:r>
      <w:r>
        <w:rPr>
          <w:spacing w:val="-1"/>
          <w:sz w:val="18"/>
        </w:rPr>
        <w:t xml:space="preserve"> </w:t>
      </w:r>
      <w:r>
        <w:rPr>
          <w:sz w:val="18"/>
        </w:rPr>
        <w:t>intent</w:t>
      </w:r>
      <w:r>
        <w:rPr>
          <w:spacing w:val="-1"/>
          <w:sz w:val="18"/>
        </w:rPr>
        <w:t xml:space="preserve"> </w:t>
      </w:r>
      <w:r>
        <w:rPr>
          <w:sz w:val="18"/>
        </w:rPr>
        <w:t>or</w:t>
      </w:r>
      <w:r>
        <w:rPr>
          <w:spacing w:val="-1"/>
          <w:sz w:val="18"/>
        </w:rPr>
        <w:t xml:space="preserve"> </w:t>
      </w:r>
      <w:r>
        <w:rPr>
          <w:sz w:val="18"/>
        </w:rPr>
        <w:t>reason why</w:t>
      </w:r>
      <w:r>
        <w:rPr>
          <w:spacing w:val="-1"/>
          <w:sz w:val="18"/>
        </w:rPr>
        <w:t xml:space="preserve"> </w:t>
      </w:r>
      <w:r>
        <w:rPr>
          <w:sz w:val="18"/>
        </w:rPr>
        <w:t>the</w:t>
      </w:r>
      <w:r>
        <w:rPr>
          <w:spacing w:val="-2"/>
          <w:sz w:val="18"/>
        </w:rPr>
        <w:t xml:space="preserve"> </w:t>
      </w:r>
      <w:r>
        <w:rPr>
          <w:sz w:val="18"/>
        </w:rPr>
        <w:t>asset was</w:t>
      </w:r>
      <w:r>
        <w:rPr>
          <w:spacing w:val="-1"/>
          <w:sz w:val="18"/>
        </w:rPr>
        <w:t xml:space="preserve"> </w:t>
      </w:r>
      <w:r>
        <w:rPr>
          <w:sz w:val="18"/>
        </w:rPr>
        <w:t>initially</w:t>
      </w:r>
      <w:r>
        <w:rPr>
          <w:spacing w:val="-1"/>
          <w:sz w:val="18"/>
        </w:rPr>
        <w:t xml:space="preserve"> </w:t>
      </w:r>
      <w:r>
        <w:rPr>
          <w:sz w:val="18"/>
        </w:rPr>
        <w:t>acquired.</w:t>
      </w:r>
      <w:r>
        <w:rPr>
          <w:spacing w:val="-1"/>
          <w:sz w:val="18"/>
        </w:rPr>
        <w:t xml:space="preserve"> </w:t>
      </w:r>
      <w:r>
        <w:rPr>
          <w:sz w:val="18"/>
        </w:rPr>
        <w:t>See</w:t>
      </w:r>
      <w:r>
        <w:rPr>
          <w:spacing w:val="-2"/>
          <w:sz w:val="18"/>
        </w:rPr>
        <w:t xml:space="preserve"> </w:t>
      </w:r>
      <w:r>
        <w:rPr>
          <w:sz w:val="18"/>
        </w:rPr>
        <w:t>SFFAS</w:t>
      </w:r>
      <w:r>
        <w:rPr>
          <w:spacing w:val="-1"/>
          <w:sz w:val="18"/>
        </w:rPr>
        <w:t xml:space="preserve"> </w:t>
      </w:r>
      <w:r>
        <w:rPr>
          <w:sz w:val="18"/>
        </w:rPr>
        <w:t>59,</w:t>
      </w:r>
      <w:r>
        <w:rPr>
          <w:spacing w:val="-1"/>
          <w:sz w:val="18"/>
        </w:rPr>
        <w:t xml:space="preserve"> </w:t>
      </w:r>
      <w:r>
        <w:rPr>
          <w:sz w:val="18"/>
        </w:rPr>
        <w:t>para.</w:t>
      </w:r>
      <w:r>
        <w:rPr>
          <w:spacing w:val="-1"/>
          <w:sz w:val="18"/>
        </w:rPr>
        <w:t xml:space="preserve"> </w:t>
      </w:r>
      <w:r>
        <w:rPr>
          <w:sz w:val="18"/>
        </w:rPr>
        <w:t>6.</w:t>
      </w:r>
      <w:r>
        <w:rPr>
          <w:spacing w:val="-1"/>
          <w:sz w:val="18"/>
        </w:rPr>
        <w:t xml:space="preserve"> </w:t>
      </w:r>
      <w:r>
        <w:rPr>
          <w:sz w:val="18"/>
        </w:rPr>
        <w:t>Though</w:t>
      </w:r>
      <w:r>
        <w:rPr>
          <w:spacing w:val="-2"/>
          <w:sz w:val="18"/>
        </w:rPr>
        <w:t xml:space="preserve"> </w:t>
      </w:r>
      <w:r>
        <w:rPr>
          <w:sz w:val="18"/>
        </w:rPr>
        <w:t>they are separate categories, conservation and preservation land are closely linked. Each involves a certain type or</w:t>
      </w:r>
      <w:r>
        <w:rPr>
          <w:spacing w:val="40"/>
          <w:sz w:val="18"/>
        </w:rPr>
        <w:t xml:space="preserve"> </w:t>
      </w:r>
      <w:r>
        <w:rPr>
          <w:sz w:val="18"/>
        </w:rPr>
        <w:t>degree of protection. Specifically, conservation is generally associated with the protection and proper use of natural resources, whereas preservation is associated with the protection of buildings, objects, and landscapes. Operational land is used for land and land rights that have general or administrative purposes. Commercial use land is used where land and permanent land rights generate inflows of resources derived from the land itself or activities that nonfederal</w:t>
      </w:r>
      <w:r>
        <w:rPr>
          <w:spacing w:val="-3"/>
          <w:sz w:val="18"/>
        </w:rPr>
        <w:t xml:space="preserve"> </w:t>
      </w:r>
      <w:r>
        <w:rPr>
          <w:sz w:val="18"/>
        </w:rPr>
        <w:t>third</w:t>
      </w:r>
      <w:r>
        <w:rPr>
          <w:spacing w:val="-4"/>
          <w:sz w:val="18"/>
        </w:rPr>
        <w:t xml:space="preserve"> </w:t>
      </w:r>
      <w:r>
        <w:rPr>
          <w:sz w:val="18"/>
        </w:rPr>
        <w:t>parties</w:t>
      </w:r>
      <w:r>
        <w:rPr>
          <w:spacing w:val="-3"/>
          <w:sz w:val="18"/>
        </w:rPr>
        <w:t xml:space="preserve"> </w:t>
      </w:r>
      <w:r>
        <w:rPr>
          <w:sz w:val="18"/>
        </w:rPr>
        <w:t>perform</w:t>
      </w:r>
      <w:r>
        <w:rPr>
          <w:spacing w:val="-3"/>
          <w:sz w:val="18"/>
        </w:rPr>
        <w:t xml:space="preserve"> </w:t>
      </w:r>
      <w:r>
        <w:rPr>
          <w:sz w:val="18"/>
        </w:rPr>
        <w:t>on</w:t>
      </w:r>
      <w:r>
        <w:rPr>
          <w:spacing w:val="-4"/>
          <w:sz w:val="18"/>
        </w:rPr>
        <w:t xml:space="preserve"> </w:t>
      </w:r>
      <w:r>
        <w:rPr>
          <w:sz w:val="18"/>
        </w:rPr>
        <w:t>the</w:t>
      </w:r>
      <w:r>
        <w:rPr>
          <w:spacing w:val="-4"/>
          <w:sz w:val="18"/>
        </w:rPr>
        <w:t xml:space="preserve"> </w:t>
      </w:r>
      <w:r>
        <w:rPr>
          <w:sz w:val="18"/>
        </w:rPr>
        <w:t>land,</w:t>
      </w:r>
      <w:r>
        <w:rPr>
          <w:spacing w:val="-3"/>
          <w:sz w:val="18"/>
        </w:rPr>
        <w:t xml:space="preserve"> </w:t>
      </w:r>
      <w:r>
        <w:rPr>
          <w:sz w:val="18"/>
        </w:rPr>
        <w:t>usually</w:t>
      </w:r>
      <w:r>
        <w:rPr>
          <w:spacing w:val="-3"/>
          <w:sz w:val="18"/>
        </w:rPr>
        <w:t xml:space="preserve"> </w:t>
      </w:r>
      <w:r>
        <w:rPr>
          <w:sz w:val="18"/>
        </w:rPr>
        <w:t>through</w:t>
      </w:r>
      <w:r>
        <w:rPr>
          <w:spacing w:val="-2"/>
          <w:sz w:val="18"/>
        </w:rPr>
        <w:t xml:space="preserve"> </w:t>
      </w:r>
      <w:r>
        <w:rPr>
          <w:sz w:val="18"/>
        </w:rPr>
        <w:t>special</w:t>
      </w:r>
      <w:r>
        <w:rPr>
          <w:spacing w:val="-3"/>
          <w:sz w:val="18"/>
        </w:rPr>
        <w:t xml:space="preserve"> </w:t>
      </w:r>
      <w:r>
        <w:rPr>
          <w:sz w:val="18"/>
        </w:rPr>
        <w:t>use</w:t>
      </w:r>
      <w:r>
        <w:rPr>
          <w:spacing w:val="-4"/>
          <w:sz w:val="18"/>
        </w:rPr>
        <w:t xml:space="preserve"> </w:t>
      </w:r>
      <w:r>
        <w:rPr>
          <w:sz w:val="18"/>
        </w:rPr>
        <w:t>permits,</w:t>
      </w:r>
      <w:r>
        <w:rPr>
          <w:spacing w:val="-3"/>
          <w:sz w:val="18"/>
        </w:rPr>
        <w:t xml:space="preserve"> </w:t>
      </w:r>
      <w:r>
        <w:rPr>
          <w:sz w:val="18"/>
        </w:rPr>
        <w:t>right-of-way</w:t>
      </w:r>
      <w:r>
        <w:rPr>
          <w:spacing w:val="-3"/>
          <w:sz w:val="18"/>
        </w:rPr>
        <w:t xml:space="preserve"> </w:t>
      </w:r>
      <w:r>
        <w:rPr>
          <w:sz w:val="18"/>
        </w:rPr>
        <w:t>grants,</w:t>
      </w:r>
      <w:r>
        <w:rPr>
          <w:spacing w:val="-3"/>
          <w:sz w:val="18"/>
        </w:rPr>
        <w:t xml:space="preserve"> </w:t>
      </w:r>
      <w:r>
        <w:rPr>
          <w:sz w:val="18"/>
        </w:rPr>
        <w:t>and</w:t>
      </w:r>
      <w:r>
        <w:rPr>
          <w:spacing w:val="-4"/>
          <w:sz w:val="18"/>
        </w:rPr>
        <w:t xml:space="preserve"> </w:t>
      </w:r>
      <w:r>
        <w:rPr>
          <w:sz w:val="18"/>
        </w:rPr>
        <w:t>leases.</w:t>
      </w:r>
      <w:r>
        <w:rPr>
          <w:spacing w:val="-3"/>
          <w:sz w:val="18"/>
        </w:rPr>
        <w:t xml:space="preserve"> </w:t>
      </w:r>
      <w:r>
        <w:rPr>
          <w:sz w:val="18"/>
        </w:rPr>
        <w:t>See SFFAS 59, app. B, Illustrations, for specific examples of all three predominant use subcategories.</w:t>
      </w:r>
    </w:p>
    <w:p w14:paraId="0DFDC4AE" w14:textId="77777777" w:rsidR="00046465" w:rsidRDefault="00046465">
      <w:pPr>
        <w:rPr>
          <w:sz w:val="18"/>
        </w:rPr>
        <w:sectPr w:rsidR="00046465">
          <w:headerReference w:type="default" r:id="rId208"/>
          <w:footerReference w:type="default" r:id="rId209"/>
          <w:pgSz w:w="12240" w:h="15840"/>
          <w:pgMar w:top="1340" w:right="720" w:bottom="940" w:left="1080" w:header="721" w:footer="757" w:gutter="0"/>
          <w:pgNumType w:start="1"/>
          <w:cols w:space="720"/>
        </w:sectPr>
      </w:pPr>
    </w:p>
    <w:p w14:paraId="0DFDC4AF" w14:textId="77777777" w:rsidR="00046465" w:rsidRDefault="008134EB">
      <w:pPr>
        <w:pStyle w:val="ListParagraph"/>
        <w:numPr>
          <w:ilvl w:val="1"/>
          <w:numId w:val="2"/>
        </w:numPr>
        <w:tabs>
          <w:tab w:val="left" w:pos="2159"/>
        </w:tabs>
        <w:spacing w:before="121"/>
        <w:ind w:hanging="359"/>
      </w:pPr>
      <w:r>
        <w:lastRenderedPageBreak/>
        <w:t>Acres</w:t>
      </w:r>
      <w:r>
        <w:rPr>
          <w:spacing w:val="-6"/>
        </w:rPr>
        <w:t xml:space="preserve"> </w:t>
      </w:r>
      <w:r>
        <w:t>of</w:t>
      </w:r>
      <w:r>
        <w:rPr>
          <w:spacing w:val="-6"/>
        </w:rPr>
        <w:t xml:space="preserve"> </w:t>
      </w:r>
      <w:r>
        <w:t>PP&amp;E</w:t>
      </w:r>
      <w:r>
        <w:rPr>
          <w:spacing w:val="-5"/>
        </w:rPr>
        <w:t xml:space="preserve"> </w:t>
      </w:r>
      <w:r>
        <w:t>land</w:t>
      </w:r>
      <w:r>
        <w:rPr>
          <w:spacing w:val="-6"/>
        </w:rPr>
        <w:t xml:space="preserve"> </w:t>
      </w:r>
      <w:r>
        <w:t>and</w:t>
      </w:r>
      <w:r>
        <w:rPr>
          <w:spacing w:val="-5"/>
        </w:rPr>
        <w:t xml:space="preserve"> </w:t>
      </w:r>
      <w:r>
        <w:t>stewardship</w:t>
      </w:r>
      <w:r>
        <w:rPr>
          <w:spacing w:val="-6"/>
        </w:rPr>
        <w:t xml:space="preserve"> </w:t>
      </w:r>
      <w:r>
        <w:t>land</w:t>
      </w:r>
      <w:r>
        <w:rPr>
          <w:spacing w:val="-5"/>
        </w:rPr>
        <w:t xml:space="preserve"> </w:t>
      </w:r>
      <w:r>
        <w:t>held</w:t>
      </w:r>
      <w:r>
        <w:rPr>
          <w:spacing w:val="-6"/>
        </w:rPr>
        <w:t xml:space="preserve"> </w:t>
      </w:r>
      <w:r>
        <w:t>for</w:t>
      </w:r>
      <w:r>
        <w:rPr>
          <w:spacing w:val="-5"/>
        </w:rPr>
        <w:t xml:space="preserve"> </w:t>
      </w:r>
      <w:r>
        <w:t>disposal</w:t>
      </w:r>
      <w:r>
        <w:rPr>
          <w:spacing w:val="-8"/>
        </w:rPr>
        <w:t xml:space="preserve"> </w:t>
      </w:r>
      <w:r>
        <w:t>or</w:t>
      </w:r>
      <w:r>
        <w:rPr>
          <w:spacing w:val="-5"/>
        </w:rPr>
        <w:t xml:space="preserve"> </w:t>
      </w:r>
      <w:r>
        <w:rPr>
          <w:spacing w:val="-2"/>
        </w:rPr>
        <w:t>exchange.</w:t>
      </w:r>
    </w:p>
    <w:p w14:paraId="0DFDC4B0" w14:textId="77777777" w:rsidR="00046465" w:rsidRDefault="008134EB">
      <w:pPr>
        <w:pStyle w:val="ListParagraph"/>
        <w:numPr>
          <w:ilvl w:val="1"/>
          <w:numId w:val="2"/>
        </w:numPr>
        <w:tabs>
          <w:tab w:val="left" w:pos="2159"/>
        </w:tabs>
        <w:ind w:right="721"/>
      </w:pPr>
      <w:r>
        <w:t>Land</w:t>
      </w:r>
      <w:r>
        <w:rPr>
          <w:spacing w:val="-4"/>
        </w:rPr>
        <w:t xml:space="preserve"> </w:t>
      </w:r>
      <w:r>
        <w:t>rights</w:t>
      </w:r>
      <w:r>
        <w:rPr>
          <w:spacing w:val="-4"/>
        </w:rPr>
        <w:t xml:space="preserve"> </w:t>
      </w:r>
      <w:r>
        <w:t>information,</w:t>
      </w:r>
      <w:r>
        <w:rPr>
          <w:spacing w:val="-4"/>
        </w:rPr>
        <w:t xml:space="preserve"> </w:t>
      </w:r>
      <w:r>
        <w:t>whether</w:t>
      </w:r>
      <w:r>
        <w:rPr>
          <w:spacing w:val="-4"/>
        </w:rPr>
        <w:t xml:space="preserve"> </w:t>
      </w:r>
      <w:r>
        <w:t>such</w:t>
      </w:r>
      <w:r>
        <w:rPr>
          <w:spacing w:val="-4"/>
        </w:rPr>
        <w:t xml:space="preserve"> </w:t>
      </w:r>
      <w:r>
        <w:t>rights</w:t>
      </w:r>
      <w:r>
        <w:rPr>
          <w:spacing w:val="-4"/>
        </w:rPr>
        <w:t xml:space="preserve"> </w:t>
      </w:r>
      <w:r>
        <w:t>are</w:t>
      </w:r>
      <w:r>
        <w:rPr>
          <w:spacing w:val="-5"/>
        </w:rPr>
        <w:t xml:space="preserve"> </w:t>
      </w:r>
      <w:r>
        <w:t>permanent</w:t>
      </w:r>
      <w:r>
        <w:rPr>
          <w:spacing w:val="-4"/>
        </w:rPr>
        <w:t xml:space="preserve"> </w:t>
      </w:r>
      <w:r>
        <w:t>or</w:t>
      </w:r>
      <w:r>
        <w:rPr>
          <w:spacing w:val="-4"/>
        </w:rPr>
        <w:t xml:space="preserve"> </w:t>
      </w:r>
      <w:r>
        <w:t>temporary,</w:t>
      </w:r>
      <w:r>
        <w:rPr>
          <w:spacing w:val="-4"/>
        </w:rPr>
        <w:t xml:space="preserve"> </w:t>
      </w:r>
      <w:r>
        <w:t>and amounts paid during the year to maintain such rights.</w:t>
      </w:r>
    </w:p>
    <w:p w14:paraId="0DFDC4B1" w14:textId="77777777" w:rsidR="00046465" w:rsidRDefault="008134EB">
      <w:pPr>
        <w:pStyle w:val="ListParagraph"/>
        <w:numPr>
          <w:ilvl w:val="0"/>
          <w:numId w:val="2"/>
        </w:numPr>
        <w:tabs>
          <w:tab w:val="left" w:pos="1799"/>
        </w:tabs>
        <w:spacing w:before="119"/>
        <w:ind w:left="1799" w:right="751"/>
      </w:pPr>
      <w:r>
        <w:t>There are many complexities associated with federal land. The history of U.S. land includes territory ceded by the original 13 colonies, territorial annexations, land purchases, and land acquired by treaty. In SFFAS 59 and TB 2025-1, FASAB</w:t>
      </w:r>
      <w:r>
        <w:rPr>
          <w:spacing w:val="-5"/>
        </w:rPr>
        <w:t xml:space="preserve"> </w:t>
      </w:r>
      <w:r>
        <w:t>addressed</w:t>
      </w:r>
      <w:r>
        <w:rPr>
          <w:spacing w:val="-5"/>
        </w:rPr>
        <w:t xml:space="preserve"> </w:t>
      </w:r>
      <w:r>
        <w:t>concerns</w:t>
      </w:r>
      <w:r>
        <w:rPr>
          <w:spacing w:val="-5"/>
        </w:rPr>
        <w:t xml:space="preserve"> </w:t>
      </w:r>
      <w:r>
        <w:t>associated</w:t>
      </w:r>
      <w:r>
        <w:rPr>
          <w:spacing w:val="-5"/>
        </w:rPr>
        <w:t xml:space="preserve"> </w:t>
      </w:r>
      <w:r>
        <w:t>with</w:t>
      </w:r>
      <w:r>
        <w:rPr>
          <w:spacing w:val="-5"/>
        </w:rPr>
        <w:t xml:space="preserve"> </w:t>
      </w:r>
      <w:r>
        <w:t>federal</w:t>
      </w:r>
      <w:r>
        <w:rPr>
          <w:spacing w:val="-5"/>
        </w:rPr>
        <w:t xml:space="preserve"> </w:t>
      </w:r>
      <w:r>
        <w:t>entities</w:t>
      </w:r>
      <w:r>
        <w:rPr>
          <w:spacing w:val="-5"/>
        </w:rPr>
        <w:t xml:space="preserve"> </w:t>
      </w:r>
      <w:r>
        <w:t>having</w:t>
      </w:r>
      <w:r>
        <w:rPr>
          <w:spacing w:val="-6"/>
        </w:rPr>
        <w:t xml:space="preserve"> </w:t>
      </w:r>
      <w:r>
        <w:t>corroborating documents to support federal ownership of PP&amp;E land and stewardship land.</w:t>
      </w:r>
    </w:p>
    <w:p w14:paraId="0DFDC4B2" w14:textId="77777777" w:rsidR="00046465" w:rsidRDefault="008134EB">
      <w:pPr>
        <w:pStyle w:val="BodyText"/>
        <w:ind w:left="1799" w:right="844"/>
      </w:pPr>
      <w:r>
        <w:t>Early acquisitions and disposals of federal land were not documented like modern</w:t>
      </w:r>
      <w:r>
        <w:rPr>
          <w:spacing w:val="-4"/>
        </w:rPr>
        <w:t xml:space="preserve"> </w:t>
      </w:r>
      <w:r>
        <w:t>land</w:t>
      </w:r>
      <w:r>
        <w:rPr>
          <w:spacing w:val="-4"/>
        </w:rPr>
        <w:t xml:space="preserve"> </w:t>
      </w:r>
      <w:r>
        <w:t>transactions.</w:t>
      </w:r>
      <w:r>
        <w:rPr>
          <w:spacing w:val="-4"/>
        </w:rPr>
        <w:t xml:space="preserve"> </w:t>
      </w:r>
      <w:r>
        <w:t>Land</w:t>
      </w:r>
      <w:r>
        <w:rPr>
          <w:spacing w:val="-4"/>
        </w:rPr>
        <w:t xml:space="preserve"> </w:t>
      </w:r>
      <w:r>
        <w:t>records</w:t>
      </w:r>
      <w:r>
        <w:rPr>
          <w:spacing w:val="-4"/>
        </w:rPr>
        <w:t xml:space="preserve"> </w:t>
      </w:r>
      <w:r>
        <w:t>and</w:t>
      </w:r>
      <w:r>
        <w:rPr>
          <w:spacing w:val="-4"/>
        </w:rPr>
        <w:t xml:space="preserve"> </w:t>
      </w:r>
      <w:r>
        <w:t>detailed</w:t>
      </w:r>
      <w:r>
        <w:rPr>
          <w:spacing w:val="-3"/>
        </w:rPr>
        <w:t xml:space="preserve"> </w:t>
      </w:r>
      <w:r>
        <w:t>listings</w:t>
      </w:r>
      <w:r>
        <w:rPr>
          <w:spacing w:val="-4"/>
        </w:rPr>
        <w:t xml:space="preserve"> </w:t>
      </w:r>
      <w:r>
        <w:t>from</w:t>
      </w:r>
      <w:r>
        <w:rPr>
          <w:spacing w:val="-5"/>
        </w:rPr>
        <w:t xml:space="preserve"> </w:t>
      </w:r>
      <w:r>
        <w:t>early</w:t>
      </w:r>
      <w:r>
        <w:rPr>
          <w:spacing w:val="-4"/>
        </w:rPr>
        <w:t xml:space="preserve"> </w:t>
      </w:r>
      <w:r>
        <w:t>periods of the nation’s history may not exist. FASAB concluded that “management’s assertions</w:t>
      </w:r>
      <w:r>
        <w:rPr>
          <w:spacing w:val="-4"/>
        </w:rPr>
        <w:t xml:space="preserve"> </w:t>
      </w:r>
      <w:r>
        <w:t>concerning</w:t>
      </w:r>
      <w:r>
        <w:rPr>
          <w:spacing w:val="-4"/>
        </w:rPr>
        <w:t xml:space="preserve"> </w:t>
      </w:r>
      <w:r>
        <w:t>land</w:t>
      </w:r>
      <w:r>
        <w:rPr>
          <w:spacing w:val="-4"/>
        </w:rPr>
        <w:t xml:space="preserve"> </w:t>
      </w:r>
      <w:r>
        <w:t>ownership</w:t>
      </w:r>
      <w:r>
        <w:rPr>
          <w:spacing w:val="-4"/>
        </w:rPr>
        <w:t xml:space="preserve"> </w:t>
      </w:r>
      <w:r>
        <w:t>and</w:t>
      </w:r>
      <w:r>
        <w:rPr>
          <w:spacing w:val="-4"/>
        </w:rPr>
        <w:t xml:space="preserve"> </w:t>
      </w:r>
      <w:r>
        <w:t>its</w:t>
      </w:r>
      <w:r>
        <w:rPr>
          <w:spacing w:val="-4"/>
        </w:rPr>
        <w:t xml:space="preserve"> </w:t>
      </w:r>
      <w:r>
        <w:t>related</w:t>
      </w:r>
      <w:r>
        <w:rPr>
          <w:spacing w:val="-4"/>
        </w:rPr>
        <w:t xml:space="preserve"> </w:t>
      </w:r>
      <w:r>
        <w:t>estimates</w:t>
      </w:r>
      <w:r>
        <w:rPr>
          <w:spacing w:val="-4"/>
        </w:rPr>
        <w:t xml:space="preserve"> </w:t>
      </w:r>
      <w:r>
        <w:t>of</w:t>
      </w:r>
      <w:r>
        <w:rPr>
          <w:spacing w:val="-4"/>
        </w:rPr>
        <w:t xml:space="preserve"> </w:t>
      </w:r>
      <w:r>
        <w:t>acres</w:t>
      </w:r>
      <w:r>
        <w:rPr>
          <w:spacing w:val="-4"/>
        </w:rPr>
        <w:t xml:space="preserve"> </w:t>
      </w:r>
      <w:r>
        <w:t>of</w:t>
      </w:r>
      <w:r>
        <w:rPr>
          <w:spacing w:val="-4"/>
        </w:rPr>
        <w:t xml:space="preserve"> </w:t>
      </w:r>
      <w:r>
        <w:t>land and permanent land rights must be based on non-traditional supporting documentation and reasonable acre estimates, respectively.”</w:t>
      </w:r>
    </w:p>
    <w:p w14:paraId="0DFDC4B3" w14:textId="77777777" w:rsidR="00046465" w:rsidRDefault="008134EB">
      <w:pPr>
        <w:pStyle w:val="ListParagraph"/>
        <w:numPr>
          <w:ilvl w:val="0"/>
          <w:numId w:val="2"/>
        </w:numPr>
        <w:tabs>
          <w:tab w:val="left" w:pos="1800"/>
        </w:tabs>
        <w:ind w:right="726"/>
      </w:pPr>
      <w:r>
        <w:t>SFFAS</w:t>
      </w:r>
      <w:r>
        <w:rPr>
          <w:spacing w:val="-4"/>
        </w:rPr>
        <w:t xml:space="preserve"> </w:t>
      </w:r>
      <w:r>
        <w:t>59</w:t>
      </w:r>
      <w:r>
        <w:rPr>
          <w:spacing w:val="-4"/>
        </w:rPr>
        <w:t xml:space="preserve"> </w:t>
      </w:r>
      <w:r>
        <w:t>also</w:t>
      </w:r>
      <w:r>
        <w:rPr>
          <w:spacing w:val="-4"/>
        </w:rPr>
        <w:t xml:space="preserve"> </w:t>
      </w:r>
      <w:r>
        <w:t>states</w:t>
      </w:r>
      <w:r>
        <w:rPr>
          <w:spacing w:val="-4"/>
        </w:rPr>
        <w:t xml:space="preserve"> </w:t>
      </w:r>
      <w:r>
        <w:t>that</w:t>
      </w:r>
      <w:r>
        <w:rPr>
          <w:spacing w:val="-4"/>
        </w:rPr>
        <w:t xml:space="preserve"> </w:t>
      </w:r>
      <w:r>
        <w:t>the</w:t>
      </w:r>
      <w:r>
        <w:rPr>
          <w:spacing w:val="-4"/>
        </w:rPr>
        <w:t xml:space="preserve"> </w:t>
      </w:r>
      <w:r>
        <w:t>preparer</w:t>
      </w:r>
      <w:r>
        <w:rPr>
          <w:spacing w:val="-4"/>
        </w:rPr>
        <w:t xml:space="preserve"> </w:t>
      </w:r>
      <w:r>
        <w:t>should</w:t>
      </w:r>
      <w:r>
        <w:rPr>
          <w:spacing w:val="-4"/>
        </w:rPr>
        <w:t xml:space="preserve"> </w:t>
      </w:r>
      <w:r>
        <w:t>determine</w:t>
      </w:r>
      <w:r>
        <w:rPr>
          <w:spacing w:val="-4"/>
        </w:rPr>
        <w:t xml:space="preserve"> </w:t>
      </w:r>
      <w:r>
        <w:t>the</w:t>
      </w:r>
      <w:r>
        <w:rPr>
          <w:spacing w:val="-4"/>
        </w:rPr>
        <w:t xml:space="preserve"> </w:t>
      </w:r>
      <w:r>
        <w:t>level</w:t>
      </w:r>
      <w:r>
        <w:rPr>
          <w:spacing w:val="-4"/>
        </w:rPr>
        <w:t xml:space="preserve"> </w:t>
      </w:r>
      <w:r>
        <w:t>of</w:t>
      </w:r>
      <w:r>
        <w:rPr>
          <w:spacing w:val="-4"/>
        </w:rPr>
        <w:t xml:space="preserve"> </w:t>
      </w:r>
      <w:r>
        <w:t>aggregation of land and permanent land rights that it uses to decide predominant use by considering the entity’s mission, types of land use, and how it manages those assets. For example, the entity may determine that predominant use is determined by national park or forest. Further, the entity may determine that the predominant use of a national park or forest is conservation and preservation, even though some uses of the national park or forest are for operational or commercial use but are not predominant uses.</w:t>
      </w:r>
    </w:p>
    <w:p w14:paraId="0DFDC4B4" w14:textId="77777777" w:rsidR="00046465" w:rsidRDefault="008134EB">
      <w:pPr>
        <w:pStyle w:val="ListParagraph"/>
        <w:numPr>
          <w:ilvl w:val="0"/>
          <w:numId w:val="2"/>
        </w:numPr>
        <w:tabs>
          <w:tab w:val="left" w:pos="1800"/>
        </w:tabs>
        <w:spacing w:before="121"/>
        <w:ind w:right="1228"/>
      </w:pPr>
      <w:r>
        <w:t>To</w:t>
      </w:r>
      <w:r>
        <w:rPr>
          <w:spacing w:val="-5"/>
        </w:rPr>
        <w:t xml:space="preserve"> </w:t>
      </w:r>
      <w:r>
        <w:t>understand</w:t>
      </w:r>
      <w:r>
        <w:rPr>
          <w:spacing w:val="-5"/>
        </w:rPr>
        <w:t xml:space="preserve"> </w:t>
      </w:r>
      <w:r>
        <w:t>the</w:t>
      </w:r>
      <w:r>
        <w:rPr>
          <w:spacing w:val="-5"/>
        </w:rPr>
        <w:t xml:space="preserve"> </w:t>
      </w:r>
      <w:r>
        <w:t>accounting</w:t>
      </w:r>
      <w:r>
        <w:rPr>
          <w:spacing w:val="-5"/>
        </w:rPr>
        <w:t xml:space="preserve"> </w:t>
      </w:r>
      <w:r>
        <w:t>and</w:t>
      </w:r>
      <w:r>
        <w:rPr>
          <w:spacing w:val="-5"/>
        </w:rPr>
        <w:t xml:space="preserve"> </w:t>
      </w:r>
      <w:r>
        <w:t>reporting</w:t>
      </w:r>
      <w:r>
        <w:rPr>
          <w:spacing w:val="-5"/>
        </w:rPr>
        <w:t xml:space="preserve"> </w:t>
      </w:r>
      <w:r>
        <w:t>requirements</w:t>
      </w:r>
      <w:r>
        <w:rPr>
          <w:spacing w:val="-5"/>
        </w:rPr>
        <w:t xml:space="preserve"> </w:t>
      </w:r>
      <w:r>
        <w:t>of</w:t>
      </w:r>
      <w:r>
        <w:rPr>
          <w:spacing w:val="-5"/>
        </w:rPr>
        <w:t xml:space="preserve"> </w:t>
      </w:r>
      <w:r>
        <w:t>PP&amp;E</w:t>
      </w:r>
      <w:r>
        <w:rPr>
          <w:spacing w:val="-5"/>
        </w:rPr>
        <w:t xml:space="preserve"> </w:t>
      </w:r>
      <w:r>
        <w:t>land</w:t>
      </w:r>
      <w:r>
        <w:rPr>
          <w:spacing w:val="-4"/>
        </w:rPr>
        <w:t xml:space="preserve"> </w:t>
      </w:r>
      <w:r>
        <w:t>and stewardship land, refer to the following, as appropriate.</w:t>
      </w:r>
    </w:p>
    <w:p w14:paraId="0DFDC4B5" w14:textId="77777777" w:rsidR="00046465" w:rsidRDefault="008134EB">
      <w:pPr>
        <w:pStyle w:val="ListParagraph"/>
        <w:numPr>
          <w:ilvl w:val="1"/>
          <w:numId w:val="2"/>
        </w:numPr>
        <w:tabs>
          <w:tab w:val="left" w:pos="2159"/>
        </w:tabs>
        <w:ind w:hanging="359"/>
        <w:rPr>
          <w:i/>
        </w:rPr>
      </w:pPr>
      <w:r>
        <w:t>SFFAS</w:t>
      </w:r>
      <w:r>
        <w:rPr>
          <w:spacing w:val="-8"/>
        </w:rPr>
        <w:t xml:space="preserve"> </w:t>
      </w:r>
      <w:r>
        <w:t>59,</w:t>
      </w:r>
      <w:r>
        <w:rPr>
          <w:spacing w:val="-7"/>
        </w:rPr>
        <w:t xml:space="preserve"> </w:t>
      </w:r>
      <w:r>
        <w:rPr>
          <w:i/>
        </w:rPr>
        <w:t>Accounting</w:t>
      </w:r>
      <w:r>
        <w:rPr>
          <w:i/>
          <w:spacing w:val="-9"/>
        </w:rPr>
        <w:t xml:space="preserve"> </w:t>
      </w:r>
      <w:r>
        <w:rPr>
          <w:i/>
        </w:rPr>
        <w:t>and</w:t>
      </w:r>
      <w:r>
        <w:rPr>
          <w:i/>
          <w:spacing w:val="-7"/>
        </w:rPr>
        <w:t xml:space="preserve"> </w:t>
      </w:r>
      <w:r>
        <w:rPr>
          <w:i/>
        </w:rPr>
        <w:t>Reporting</w:t>
      </w:r>
      <w:r>
        <w:rPr>
          <w:i/>
          <w:spacing w:val="-8"/>
        </w:rPr>
        <w:t xml:space="preserve"> </w:t>
      </w:r>
      <w:r>
        <w:rPr>
          <w:i/>
        </w:rPr>
        <w:t>of</w:t>
      </w:r>
      <w:r>
        <w:rPr>
          <w:i/>
          <w:spacing w:val="-8"/>
        </w:rPr>
        <w:t xml:space="preserve"> </w:t>
      </w:r>
      <w:r>
        <w:rPr>
          <w:i/>
        </w:rPr>
        <w:t>Government</w:t>
      </w:r>
      <w:r>
        <w:rPr>
          <w:i/>
          <w:spacing w:val="-8"/>
        </w:rPr>
        <w:t xml:space="preserve"> </w:t>
      </w:r>
      <w:r>
        <w:rPr>
          <w:i/>
          <w:spacing w:val="-4"/>
        </w:rPr>
        <w:t>Land</w:t>
      </w:r>
    </w:p>
    <w:p w14:paraId="0DFDC4B6" w14:textId="77777777" w:rsidR="00046465" w:rsidRDefault="008134EB">
      <w:pPr>
        <w:pStyle w:val="ListParagraph"/>
        <w:numPr>
          <w:ilvl w:val="1"/>
          <w:numId w:val="2"/>
        </w:numPr>
        <w:tabs>
          <w:tab w:val="left" w:pos="2158"/>
        </w:tabs>
        <w:spacing w:before="119"/>
        <w:ind w:left="2158" w:hanging="359"/>
        <w:rPr>
          <w:i/>
        </w:rPr>
      </w:pPr>
      <w:r>
        <w:t>SFFAS</w:t>
      </w:r>
      <w:r>
        <w:rPr>
          <w:spacing w:val="-7"/>
        </w:rPr>
        <w:t xml:space="preserve"> </w:t>
      </w:r>
      <w:r>
        <w:t>6,</w:t>
      </w:r>
      <w:r>
        <w:rPr>
          <w:spacing w:val="-6"/>
        </w:rPr>
        <w:t xml:space="preserve"> </w:t>
      </w:r>
      <w:r>
        <w:rPr>
          <w:i/>
        </w:rPr>
        <w:t>Accounting</w:t>
      </w:r>
      <w:r>
        <w:rPr>
          <w:i/>
          <w:spacing w:val="-7"/>
        </w:rPr>
        <w:t xml:space="preserve"> </w:t>
      </w:r>
      <w:r>
        <w:rPr>
          <w:i/>
        </w:rPr>
        <w:t>for</w:t>
      </w:r>
      <w:r>
        <w:rPr>
          <w:i/>
          <w:spacing w:val="-6"/>
        </w:rPr>
        <w:t xml:space="preserve"> </w:t>
      </w:r>
      <w:r>
        <w:rPr>
          <w:i/>
        </w:rPr>
        <w:t>Property,</w:t>
      </w:r>
      <w:r>
        <w:rPr>
          <w:i/>
          <w:spacing w:val="-6"/>
        </w:rPr>
        <w:t xml:space="preserve"> </w:t>
      </w:r>
      <w:r>
        <w:rPr>
          <w:i/>
        </w:rPr>
        <w:t>Plant,</w:t>
      </w:r>
      <w:r>
        <w:rPr>
          <w:i/>
          <w:spacing w:val="-7"/>
        </w:rPr>
        <w:t xml:space="preserve"> </w:t>
      </w:r>
      <w:r>
        <w:rPr>
          <w:i/>
        </w:rPr>
        <w:t>and</w:t>
      </w:r>
      <w:r>
        <w:rPr>
          <w:i/>
          <w:spacing w:val="-6"/>
        </w:rPr>
        <w:t xml:space="preserve"> </w:t>
      </w:r>
      <w:r>
        <w:rPr>
          <w:i/>
          <w:spacing w:val="-2"/>
        </w:rPr>
        <w:t>Equipment</w:t>
      </w:r>
    </w:p>
    <w:p w14:paraId="0DFDC4B7" w14:textId="77777777" w:rsidR="00046465" w:rsidRDefault="008134EB">
      <w:pPr>
        <w:pStyle w:val="ListParagraph"/>
        <w:numPr>
          <w:ilvl w:val="1"/>
          <w:numId w:val="2"/>
        </w:numPr>
        <w:tabs>
          <w:tab w:val="left" w:pos="2158"/>
        </w:tabs>
        <w:ind w:left="2158" w:hanging="359"/>
        <w:rPr>
          <w:i/>
        </w:rPr>
      </w:pPr>
      <w:r>
        <w:t>SFFAS</w:t>
      </w:r>
      <w:r>
        <w:rPr>
          <w:spacing w:val="-8"/>
        </w:rPr>
        <w:t xml:space="preserve"> </w:t>
      </w:r>
      <w:r>
        <w:t>29,</w:t>
      </w:r>
      <w:r>
        <w:rPr>
          <w:spacing w:val="-8"/>
        </w:rPr>
        <w:t xml:space="preserve"> </w:t>
      </w:r>
      <w:r>
        <w:rPr>
          <w:i/>
        </w:rPr>
        <w:t>Heritage</w:t>
      </w:r>
      <w:r>
        <w:rPr>
          <w:i/>
          <w:spacing w:val="-7"/>
        </w:rPr>
        <w:t xml:space="preserve"> </w:t>
      </w:r>
      <w:r>
        <w:rPr>
          <w:i/>
        </w:rPr>
        <w:t>Assets</w:t>
      </w:r>
      <w:r>
        <w:rPr>
          <w:i/>
          <w:spacing w:val="-8"/>
        </w:rPr>
        <w:t xml:space="preserve"> </w:t>
      </w:r>
      <w:r>
        <w:rPr>
          <w:i/>
        </w:rPr>
        <w:t>and</w:t>
      </w:r>
      <w:r>
        <w:rPr>
          <w:i/>
          <w:spacing w:val="-8"/>
        </w:rPr>
        <w:t xml:space="preserve"> </w:t>
      </w:r>
      <w:r>
        <w:rPr>
          <w:i/>
        </w:rPr>
        <w:t>Stewardship</w:t>
      </w:r>
      <w:r>
        <w:rPr>
          <w:i/>
          <w:spacing w:val="-8"/>
        </w:rPr>
        <w:t xml:space="preserve"> </w:t>
      </w:r>
      <w:r>
        <w:rPr>
          <w:i/>
          <w:spacing w:val="-4"/>
        </w:rPr>
        <w:t>Land</w:t>
      </w:r>
    </w:p>
    <w:p w14:paraId="0DFDC4B8" w14:textId="77777777" w:rsidR="00046465" w:rsidRDefault="008134EB">
      <w:pPr>
        <w:pStyle w:val="ListParagraph"/>
        <w:numPr>
          <w:ilvl w:val="1"/>
          <w:numId w:val="2"/>
        </w:numPr>
        <w:tabs>
          <w:tab w:val="left" w:pos="2159"/>
        </w:tabs>
        <w:spacing w:before="121"/>
        <w:ind w:right="830"/>
        <w:rPr>
          <w:position w:val="7"/>
          <w:sz w:val="14"/>
        </w:rPr>
      </w:pPr>
      <w:r>
        <w:t>TB</w:t>
      </w:r>
      <w:r>
        <w:rPr>
          <w:spacing w:val="-4"/>
        </w:rPr>
        <w:t xml:space="preserve"> </w:t>
      </w:r>
      <w:r>
        <w:t>2025-1,</w:t>
      </w:r>
      <w:r>
        <w:rPr>
          <w:spacing w:val="-4"/>
        </w:rPr>
        <w:t xml:space="preserve"> </w:t>
      </w:r>
      <w:r>
        <w:rPr>
          <w:i/>
        </w:rPr>
        <w:t>Technical</w:t>
      </w:r>
      <w:r>
        <w:rPr>
          <w:i/>
          <w:spacing w:val="-4"/>
        </w:rPr>
        <w:t xml:space="preserve"> </w:t>
      </w:r>
      <w:r>
        <w:rPr>
          <w:i/>
        </w:rPr>
        <w:t>Clarifications:</w:t>
      </w:r>
      <w:r>
        <w:rPr>
          <w:i/>
          <w:spacing w:val="-5"/>
        </w:rPr>
        <w:t xml:space="preserve"> </w:t>
      </w:r>
      <w:r>
        <w:rPr>
          <w:i/>
        </w:rPr>
        <w:t>SFFAS</w:t>
      </w:r>
      <w:r>
        <w:rPr>
          <w:i/>
          <w:spacing w:val="-4"/>
        </w:rPr>
        <w:t xml:space="preserve"> </w:t>
      </w:r>
      <w:r>
        <w:rPr>
          <w:i/>
        </w:rPr>
        <w:t>59,</w:t>
      </w:r>
      <w:r>
        <w:rPr>
          <w:i/>
          <w:spacing w:val="-3"/>
        </w:rPr>
        <w:t xml:space="preserve"> </w:t>
      </w:r>
      <w:r>
        <w:rPr>
          <w:i/>
        </w:rPr>
        <w:t>Accounting</w:t>
      </w:r>
      <w:r>
        <w:rPr>
          <w:i/>
          <w:spacing w:val="-5"/>
        </w:rPr>
        <w:t xml:space="preserve"> </w:t>
      </w:r>
      <w:r>
        <w:rPr>
          <w:i/>
        </w:rPr>
        <w:t>and</w:t>
      </w:r>
      <w:r>
        <w:rPr>
          <w:i/>
          <w:spacing w:val="-4"/>
        </w:rPr>
        <w:t xml:space="preserve"> </w:t>
      </w:r>
      <w:r>
        <w:rPr>
          <w:i/>
        </w:rPr>
        <w:t>Reporting</w:t>
      </w:r>
      <w:r>
        <w:rPr>
          <w:i/>
          <w:spacing w:val="-4"/>
        </w:rPr>
        <w:t xml:space="preserve"> </w:t>
      </w:r>
      <w:r>
        <w:rPr>
          <w:i/>
        </w:rPr>
        <w:t>of Government Land</w:t>
      </w:r>
      <w:hyperlink w:anchor="_bookmark189" w:history="1">
        <w:r>
          <w:rPr>
            <w:position w:val="7"/>
            <w:sz w:val="14"/>
          </w:rPr>
          <w:t>42</w:t>
        </w:r>
      </w:hyperlink>
    </w:p>
    <w:p w14:paraId="0DFDC4B9" w14:textId="77777777" w:rsidR="00046465" w:rsidRDefault="008134EB">
      <w:pPr>
        <w:pStyle w:val="ListParagraph"/>
        <w:numPr>
          <w:ilvl w:val="1"/>
          <w:numId w:val="2"/>
        </w:numPr>
        <w:tabs>
          <w:tab w:val="left" w:pos="2158"/>
          <w:tab w:val="left" w:pos="2160"/>
        </w:tabs>
        <w:spacing w:before="119"/>
        <w:ind w:left="2160" w:right="1346" w:hanging="361"/>
        <w:rPr>
          <w:position w:val="7"/>
          <w:sz w:val="14"/>
        </w:rPr>
      </w:pPr>
      <w:r>
        <w:t>Office</w:t>
      </w:r>
      <w:r>
        <w:rPr>
          <w:spacing w:val="-5"/>
        </w:rPr>
        <w:t xml:space="preserve"> </w:t>
      </w:r>
      <w:r>
        <w:t>of</w:t>
      </w:r>
      <w:r>
        <w:rPr>
          <w:spacing w:val="-5"/>
        </w:rPr>
        <w:t xml:space="preserve"> </w:t>
      </w:r>
      <w:r>
        <w:t>Management</w:t>
      </w:r>
      <w:r>
        <w:rPr>
          <w:spacing w:val="-5"/>
        </w:rPr>
        <w:t xml:space="preserve"> </w:t>
      </w:r>
      <w:r>
        <w:t>and</w:t>
      </w:r>
      <w:r>
        <w:rPr>
          <w:spacing w:val="-5"/>
        </w:rPr>
        <w:t xml:space="preserve"> </w:t>
      </w:r>
      <w:r>
        <w:t>Budget</w:t>
      </w:r>
      <w:r>
        <w:rPr>
          <w:spacing w:val="-5"/>
        </w:rPr>
        <w:t xml:space="preserve"> </w:t>
      </w:r>
      <w:r>
        <w:t>(OMB)</w:t>
      </w:r>
      <w:r>
        <w:rPr>
          <w:spacing w:val="-5"/>
        </w:rPr>
        <w:t xml:space="preserve"> </w:t>
      </w:r>
      <w:r>
        <w:t>Circular</w:t>
      </w:r>
      <w:r>
        <w:rPr>
          <w:spacing w:val="-5"/>
        </w:rPr>
        <w:t xml:space="preserve"> </w:t>
      </w:r>
      <w:r>
        <w:t>No.</w:t>
      </w:r>
      <w:r>
        <w:rPr>
          <w:spacing w:val="-5"/>
        </w:rPr>
        <w:t xml:space="preserve"> </w:t>
      </w:r>
      <w:r>
        <w:t>A-136,</w:t>
      </w:r>
      <w:r>
        <w:rPr>
          <w:spacing w:val="-5"/>
        </w:rPr>
        <w:t xml:space="preserve"> </w:t>
      </w:r>
      <w:r>
        <w:rPr>
          <w:i/>
        </w:rPr>
        <w:t>Financial Reporting Requirements</w:t>
      </w:r>
      <w:hyperlink w:anchor="_bookmark190" w:history="1">
        <w:r>
          <w:rPr>
            <w:position w:val="7"/>
            <w:sz w:val="14"/>
          </w:rPr>
          <w:t>43</w:t>
        </w:r>
      </w:hyperlink>
    </w:p>
    <w:p w14:paraId="0DFDC4BA" w14:textId="77777777" w:rsidR="00046465" w:rsidRDefault="008134EB">
      <w:pPr>
        <w:pStyle w:val="Heading4"/>
        <w:spacing w:before="121"/>
      </w:pPr>
      <w:r>
        <w:t>Audit</w:t>
      </w:r>
      <w:r>
        <w:rPr>
          <w:spacing w:val="-10"/>
        </w:rPr>
        <w:t xml:space="preserve"> </w:t>
      </w:r>
      <w:r>
        <w:rPr>
          <w:spacing w:val="-2"/>
        </w:rPr>
        <w:t>Procedures</w:t>
      </w:r>
    </w:p>
    <w:p w14:paraId="0DFDC4BB" w14:textId="77777777" w:rsidR="00046465" w:rsidRDefault="008134EB">
      <w:pPr>
        <w:pStyle w:val="ListParagraph"/>
        <w:numPr>
          <w:ilvl w:val="0"/>
          <w:numId w:val="2"/>
        </w:numPr>
        <w:tabs>
          <w:tab w:val="left" w:pos="1800"/>
        </w:tabs>
        <w:spacing w:before="119"/>
        <w:ind w:right="739"/>
      </w:pPr>
      <w:r>
        <w:t>The</w:t>
      </w:r>
      <w:r>
        <w:rPr>
          <w:spacing w:val="-4"/>
        </w:rPr>
        <w:t xml:space="preserve"> </w:t>
      </w:r>
      <w:r>
        <w:t>auditor</w:t>
      </w:r>
      <w:r>
        <w:rPr>
          <w:spacing w:val="-5"/>
        </w:rPr>
        <w:t xml:space="preserve"> </w:t>
      </w:r>
      <w:r>
        <w:t>should</w:t>
      </w:r>
      <w:r>
        <w:rPr>
          <w:spacing w:val="-4"/>
        </w:rPr>
        <w:t xml:space="preserve"> </w:t>
      </w:r>
      <w:r>
        <w:t>determine</w:t>
      </w:r>
      <w:r>
        <w:rPr>
          <w:spacing w:val="-4"/>
        </w:rPr>
        <w:t xml:space="preserve"> </w:t>
      </w:r>
      <w:r>
        <w:t>whether</w:t>
      </w:r>
      <w:r>
        <w:rPr>
          <w:spacing w:val="-4"/>
        </w:rPr>
        <w:t xml:space="preserve"> </w:t>
      </w:r>
      <w:r>
        <w:t>land</w:t>
      </w:r>
      <w:r>
        <w:rPr>
          <w:spacing w:val="-4"/>
        </w:rPr>
        <w:t xml:space="preserve"> </w:t>
      </w:r>
      <w:r>
        <w:t>is</w:t>
      </w:r>
      <w:r>
        <w:rPr>
          <w:spacing w:val="-4"/>
        </w:rPr>
        <w:t xml:space="preserve"> </w:t>
      </w:r>
      <w:r>
        <w:t>material</w:t>
      </w:r>
      <w:r>
        <w:rPr>
          <w:spacing w:val="-4"/>
        </w:rPr>
        <w:t xml:space="preserve"> </w:t>
      </w:r>
      <w:r>
        <w:t>to</w:t>
      </w:r>
      <w:r>
        <w:rPr>
          <w:spacing w:val="-4"/>
        </w:rPr>
        <w:t xml:space="preserve"> </w:t>
      </w:r>
      <w:r>
        <w:t>the</w:t>
      </w:r>
      <w:r>
        <w:rPr>
          <w:spacing w:val="-4"/>
        </w:rPr>
        <w:t xml:space="preserve"> </w:t>
      </w:r>
      <w:r>
        <w:t>entity</w:t>
      </w:r>
      <w:r>
        <w:rPr>
          <w:spacing w:val="-4"/>
        </w:rPr>
        <w:t xml:space="preserve"> </w:t>
      </w:r>
      <w:r>
        <w:t>and</w:t>
      </w:r>
      <w:r>
        <w:rPr>
          <w:spacing w:val="-4"/>
        </w:rPr>
        <w:t xml:space="preserve"> </w:t>
      </w:r>
      <w:r>
        <w:t>document that determination. In making this determination, the auditor considers the significance of land acreage to the entity and relevant factors, including how land is used in operations, whether it is important to the entity’s operations or its mission, whether it drives major expenses of the entity, and whether it provides certain revenue to the entity.</w:t>
      </w:r>
    </w:p>
    <w:p w14:paraId="0DFDC4BC" w14:textId="77777777" w:rsidR="00046465" w:rsidRDefault="008134EB">
      <w:pPr>
        <w:pStyle w:val="BodyText"/>
        <w:spacing w:before="172"/>
        <w:rPr>
          <w:sz w:val="20"/>
        </w:rPr>
      </w:pPr>
      <w:r>
        <w:rPr>
          <w:noProof/>
          <w:sz w:val="20"/>
        </w:rPr>
        <mc:AlternateContent>
          <mc:Choice Requires="wps">
            <w:drawing>
              <wp:anchor distT="0" distB="0" distL="0" distR="0" simplePos="0" relativeHeight="487726080" behindDoc="1" locked="0" layoutInCell="1" allowOverlap="1" wp14:anchorId="0DFDD72F" wp14:editId="0DFDD730">
                <wp:simplePos x="0" y="0"/>
                <wp:positionH relativeFrom="page">
                  <wp:posOffset>914400</wp:posOffset>
                </wp:positionH>
                <wp:positionV relativeFrom="paragraph">
                  <wp:posOffset>270917</wp:posOffset>
                </wp:positionV>
                <wp:extent cx="1828800" cy="5715"/>
                <wp:effectExtent l="0" t="0" r="0" b="0"/>
                <wp:wrapTopAndBottom/>
                <wp:docPr id="100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4E1C12" id="Graphic 1008" o:spid="_x0000_s1026" style="position:absolute;margin-left:1in;margin-top:21.35pt;width:2in;height:.45pt;z-index:-1559040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" path="m1828800,l,,,5321r1828800,l1828800,xe" fillcolor="black" stroked="f">
                <v:path arrowok="t"/>
                <w10:wrap type="topAndBottom" anchorx="page"/>
              </v:shape>
            </w:pict>
          </mc:Fallback>
        </mc:AlternateContent>
      </w:r>
    </w:p>
    <w:p w14:paraId="0DFDC4BD" w14:textId="77777777" w:rsidR="00046465" w:rsidRDefault="00046465">
      <w:pPr>
        <w:pStyle w:val="BodyText"/>
        <w:spacing w:before="53"/>
        <w:rPr>
          <w:sz w:val="18"/>
        </w:rPr>
      </w:pPr>
    </w:p>
    <w:p w14:paraId="0DFDC4BE" w14:textId="77777777" w:rsidR="00046465" w:rsidRDefault="008134EB">
      <w:pPr>
        <w:spacing w:line="242" w:lineRule="auto"/>
        <w:ind w:left="359" w:right="844"/>
        <w:rPr>
          <w:sz w:val="18"/>
        </w:rPr>
      </w:pPr>
      <w:bookmarkStart w:id="325" w:name="_bookmark189"/>
      <w:bookmarkEnd w:id="325"/>
      <w:r>
        <w:rPr>
          <w:position w:val="7"/>
          <w:sz w:val="14"/>
        </w:rPr>
        <w:t>42</w:t>
      </w:r>
      <w:r>
        <w:rPr>
          <w:sz w:val="18"/>
        </w:rPr>
        <w:t>TB</w:t>
      </w:r>
      <w:r>
        <w:rPr>
          <w:spacing w:val="-3"/>
          <w:sz w:val="18"/>
        </w:rPr>
        <w:t xml:space="preserve"> </w:t>
      </w:r>
      <w:r>
        <w:rPr>
          <w:sz w:val="18"/>
        </w:rPr>
        <w:t>2025-1</w:t>
      </w:r>
      <w:r>
        <w:rPr>
          <w:spacing w:val="-4"/>
          <w:sz w:val="18"/>
        </w:rPr>
        <w:t xml:space="preserve"> </w:t>
      </w:r>
      <w:r>
        <w:rPr>
          <w:sz w:val="18"/>
        </w:rPr>
        <w:t>provides</w:t>
      </w:r>
      <w:r>
        <w:rPr>
          <w:spacing w:val="-3"/>
          <w:sz w:val="18"/>
        </w:rPr>
        <w:t xml:space="preserve"> </w:t>
      </w:r>
      <w:r>
        <w:rPr>
          <w:sz w:val="18"/>
        </w:rPr>
        <w:t>guidance</w:t>
      </w:r>
      <w:r>
        <w:rPr>
          <w:spacing w:val="-2"/>
          <w:sz w:val="18"/>
        </w:rPr>
        <w:t xml:space="preserve"> </w:t>
      </w:r>
      <w:r>
        <w:rPr>
          <w:sz w:val="18"/>
        </w:rPr>
        <w:t>on,</w:t>
      </w:r>
      <w:r>
        <w:rPr>
          <w:spacing w:val="-3"/>
          <w:sz w:val="18"/>
        </w:rPr>
        <w:t xml:space="preserve"> </w:t>
      </w:r>
      <w:r>
        <w:rPr>
          <w:sz w:val="18"/>
        </w:rPr>
        <w:t>among</w:t>
      </w:r>
      <w:r>
        <w:rPr>
          <w:spacing w:val="-2"/>
          <w:sz w:val="18"/>
        </w:rPr>
        <w:t xml:space="preserve"> </w:t>
      </w:r>
      <w:r>
        <w:rPr>
          <w:sz w:val="18"/>
        </w:rPr>
        <w:t>other</w:t>
      </w:r>
      <w:r>
        <w:rPr>
          <w:spacing w:val="-3"/>
          <w:sz w:val="18"/>
        </w:rPr>
        <w:t xml:space="preserve"> </w:t>
      </w:r>
      <w:r>
        <w:rPr>
          <w:sz w:val="18"/>
        </w:rPr>
        <w:t>things,</w:t>
      </w:r>
      <w:r>
        <w:rPr>
          <w:spacing w:val="-3"/>
          <w:sz w:val="18"/>
        </w:rPr>
        <w:t xml:space="preserve"> </w:t>
      </w:r>
      <w:r>
        <w:rPr>
          <w:sz w:val="18"/>
        </w:rPr>
        <w:t>(1)</w:t>
      </w:r>
      <w:r>
        <w:rPr>
          <w:spacing w:val="-3"/>
          <w:sz w:val="18"/>
        </w:rPr>
        <w:t xml:space="preserve"> </w:t>
      </w:r>
      <w:r>
        <w:rPr>
          <w:sz w:val="18"/>
        </w:rPr>
        <w:t>PP&amp;E</w:t>
      </w:r>
      <w:r>
        <w:rPr>
          <w:spacing w:val="-3"/>
          <w:sz w:val="18"/>
        </w:rPr>
        <w:t xml:space="preserve"> </w:t>
      </w:r>
      <w:r>
        <w:rPr>
          <w:sz w:val="18"/>
        </w:rPr>
        <w:t>land</w:t>
      </w:r>
      <w:r>
        <w:rPr>
          <w:spacing w:val="-4"/>
          <w:sz w:val="18"/>
        </w:rPr>
        <w:t xml:space="preserve"> </w:t>
      </w:r>
      <w:r>
        <w:rPr>
          <w:sz w:val="18"/>
        </w:rPr>
        <w:t>and</w:t>
      </w:r>
      <w:r>
        <w:rPr>
          <w:spacing w:val="-2"/>
          <w:sz w:val="18"/>
        </w:rPr>
        <w:t xml:space="preserve"> </w:t>
      </w:r>
      <w:r>
        <w:rPr>
          <w:sz w:val="18"/>
        </w:rPr>
        <w:t>stewardship</w:t>
      </w:r>
      <w:r>
        <w:rPr>
          <w:spacing w:val="-4"/>
          <w:sz w:val="18"/>
        </w:rPr>
        <w:t xml:space="preserve"> </w:t>
      </w:r>
      <w:r>
        <w:rPr>
          <w:sz w:val="18"/>
        </w:rPr>
        <w:t>land</w:t>
      </w:r>
      <w:r>
        <w:rPr>
          <w:spacing w:val="-4"/>
          <w:sz w:val="18"/>
        </w:rPr>
        <w:t xml:space="preserve"> </w:t>
      </w:r>
      <w:r>
        <w:rPr>
          <w:sz w:val="18"/>
        </w:rPr>
        <w:t>categorization</w:t>
      </w:r>
      <w:r>
        <w:rPr>
          <w:spacing w:val="-4"/>
          <w:sz w:val="18"/>
        </w:rPr>
        <w:t xml:space="preserve"> </w:t>
      </w:r>
      <w:r>
        <w:rPr>
          <w:sz w:val="18"/>
        </w:rPr>
        <w:t>(based on acquisition as well as intended use), (2) reporting submerged land, and (3) ownership and supporting documentation when there may be de facto ownership without title documentation. It also includes disclosure requirements for entities with significant submerged non-outer continental shelf land.</w:t>
      </w:r>
    </w:p>
    <w:p w14:paraId="0DFDC4BF" w14:textId="77777777" w:rsidR="00046465" w:rsidRDefault="008134EB">
      <w:pPr>
        <w:spacing w:before="127" w:line="249" w:lineRule="auto"/>
        <w:ind w:left="359" w:right="749"/>
        <w:rPr>
          <w:sz w:val="18"/>
        </w:rPr>
      </w:pPr>
      <w:bookmarkStart w:id="326" w:name="_bookmark190"/>
      <w:bookmarkEnd w:id="326"/>
      <w:r>
        <w:rPr>
          <w:position w:val="7"/>
          <w:sz w:val="14"/>
        </w:rPr>
        <w:t>43</w:t>
      </w:r>
      <w:r>
        <w:rPr>
          <w:sz w:val="18"/>
        </w:rPr>
        <w:t>OMB</w:t>
      </w:r>
      <w:r>
        <w:rPr>
          <w:spacing w:val="-2"/>
          <w:sz w:val="18"/>
        </w:rPr>
        <w:t xml:space="preserve"> </w:t>
      </w:r>
      <w:r>
        <w:rPr>
          <w:sz w:val="18"/>
        </w:rPr>
        <w:t>reporting</w:t>
      </w:r>
      <w:r>
        <w:rPr>
          <w:spacing w:val="-1"/>
          <w:sz w:val="18"/>
        </w:rPr>
        <w:t xml:space="preserve"> </w:t>
      </w:r>
      <w:r>
        <w:rPr>
          <w:sz w:val="18"/>
        </w:rPr>
        <w:t>guidance</w:t>
      </w:r>
      <w:r>
        <w:rPr>
          <w:spacing w:val="-3"/>
          <w:sz w:val="18"/>
        </w:rPr>
        <w:t xml:space="preserve"> </w:t>
      </w:r>
      <w:r>
        <w:rPr>
          <w:sz w:val="18"/>
        </w:rPr>
        <w:t>in</w:t>
      </w:r>
      <w:r>
        <w:rPr>
          <w:spacing w:val="-3"/>
          <w:sz w:val="18"/>
        </w:rPr>
        <w:t xml:space="preserve"> </w:t>
      </w:r>
      <w:r>
        <w:rPr>
          <w:sz w:val="18"/>
        </w:rPr>
        <w:t>OMB</w:t>
      </w:r>
      <w:r>
        <w:rPr>
          <w:spacing w:val="-2"/>
          <w:sz w:val="18"/>
        </w:rPr>
        <w:t xml:space="preserve"> </w:t>
      </w:r>
      <w:r>
        <w:rPr>
          <w:sz w:val="18"/>
        </w:rPr>
        <w:t>Circular</w:t>
      </w:r>
      <w:r>
        <w:rPr>
          <w:spacing w:val="-2"/>
          <w:sz w:val="18"/>
        </w:rPr>
        <w:t xml:space="preserve"> </w:t>
      </w:r>
      <w:r>
        <w:rPr>
          <w:sz w:val="18"/>
        </w:rPr>
        <w:t>No.</w:t>
      </w:r>
      <w:r>
        <w:rPr>
          <w:spacing w:val="-2"/>
          <w:sz w:val="18"/>
        </w:rPr>
        <w:t xml:space="preserve"> </w:t>
      </w:r>
      <w:r>
        <w:rPr>
          <w:sz w:val="18"/>
        </w:rPr>
        <w:t>A-136</w:t>
      </w:r>
      <w:r>
        <w:rPr>
          <w:spacing w:val="-3"/>
          <w:sz w:val="18"/>
        </w:rPr>
        <w:t xml:space="preserve"> </w:t>
      </w:r>
      <w:r>
        <w:rPr>
          <w:sz w:val="18"/>
        </w:rPr>
        <w:t>is</w:t>
      </w:r>
      <w:r>
        <w:rPr>
          <w:spacing w:val="-2"/>
          <w:sz w:val="18"/>
        </w:rPr>
        <w:t xml:space="preserve"> </w:t>
      </w:r>
      <w:r>
        <w:rPr>
          <w:sz w:val="18"/>
        </w:rPr>
        <w:t>updated</w:t>
      </w:r>
      <w:r>
        <w:rPr>
          <w:spacing w:val="-3"/>
          <w:sz w:val="18"/>
        </w:rPr>
        <w:t xml:space="preserve"> </w:t>
      </w:r>
      <w:r>
        <w:rPr>
          <w:sz w:val="18"/>
        </w:rPr>
        <w:t>annually.</w:t>
      </w:r>
      <w:r>
        <w:rPr>
          <w:spacing w:val="-2"/>
          <w:sz w:val="18"/>
        </w:rPr>
        <w:t xml:space="preserve"> </w:t>
      </w:r>
      <w:r>
        <w:rPr>
          <w:sz w:val="18"/>
        </w:rPr>
        <w:t>Users</w:t>
      </w:r>
      <w:r>
        <w:rPr>
          <w:spacing w:val="-2"/>
          <w:sz w:val="18"/>
        </w:rPr>
        <w:t xml:space="preserve"> </w:t>
      </w:r>
      <w:r>
        <w:rPr>
          <w:sz w:val="18"/>
        </w:rPr>
        <w:t>should</w:t>
      </w:r>
      <w:r>
        <w:rPr>
          <w:spacing w:val="-3"/>
          <w:sz w:val="18"/>
        </w:rPr>
        <w:t xml:space="preserve"> </w:t>
      </w:r>
      <w:r>
        <w:rPr>
          <w:sz w:val="18"/>
        </w:rPr>
        <w:t>refer</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OMB</w:t>
      </w:r>
      <w:r>
        <w:rPr>
          <w:spacing w:val="-3"/>
          <w:sz w:val="18"/>
        </w:rPr>
        <w:t xml:space="preserve"> </w:t>
      </w:r>
      <w:r>
        <w:rPr>
          <w:sz w:val="18"/>
        </w:rPr>
        <w:t>reporting guidance applicable to the current financial audit.</w:t>
      </w:r>
    </w:p>
    <w:p w14:paraId="0DFDC4C0" w14:textId="77777777" w:rsidR="00046465" w:rsidRDefault="00046465">
      <w:pPr>
        <w:spacing w:line="249" w:lineRule="auto"/>
        <w:rPr>
          <w:sz w:val="18"/>
        </w:rPr>
        <w:sectPr w:rsidR="00046465">
          <w:pgSz w:w="12240" w:h="15840"/>
          <w:pgMar w:top="1340" w:right="720" w:bottom="940" w:left="1080" w:header="721" w:footer="757" w:gutter="0"/>
          <w:cols w:space="720"/>
        </w:sectPr>
      </w:pPr>
    </w:p>
    <w:p w14:paraId="0DFDC4C1" w14:textId="77777777" w:rsidR="00046465" w:rsidRDefault="008134EB">
      <w:pPr>
        <w:pStyle w:val="ListParagraph"/>
        <w:numPr>
          <w:ilvl w:val="0"/>
          <w:numId w:val="2"/>
        </w:numPr>
        <w:tabs>
          <w:tab w:val="left" w:pos="1798"/>
          <w:tab w:val="left" w:pos="1800"/>
        </w:tabs>
        <w:spacing w:before="121"/>
        <w:ind w:right="810"/>
        <w:jc w:val="both"/>
      </w:pPr>
      <w:r>
        <w:lastRenderedPageBreak/>
        <w:t>The</w:t>
      </w:r>
      <w:r>
        <w:rPr>
          <w:spacing w:val="-4"/>
        </w:rPr>
        <w:t xml:space="preserve"> </w:t>
      </w:r>
      <w:r>
        <w:t>auditor’s</w:t>
      </w:r>
      <w:r>
        <w:rPr>
          <w:spacing w:val="-4"/>
        </w:rPr>
        <w:t xml:space="preserve"> </w:t>
      </w:r>
      <w:r>
        <w:t>procedures</w:t>
      </w:r>
      <w:r>
        <w:rPr>
          <w:spacing w:val="-4"/>
        </w:rPr>
        <w:t xml:space="preserve"> </w:t>
      </w:r>
      <w:r>
        <w:t>for</w:t>
      </w:r>
      <w:r>
        <w:rPr>
          <w:spacing w:val="-4"/>
        </w:rPr>
        <w:t xml:space="preserve"> </w:t>
      </w:r>
      <w:r>
        <w:t>land</w:t>
      </w:r>
      <w:r>
        <w:rPr>
          <w:spacing w:val="-4"/>
        </w:rPr>
        <w:t xml:space="preserve"> </w:t>
      </w:r>
      <w:r>
        <w:t>are</w:t>
      </w:r>
      <w:r>
        <w:rPr>
          <w:spacing w:val="-4"/>
        </w:rPr>
        <w:t xml:space="preserve"> </w:t>
      </w:r>
      <w:r>
        <w:t>organized</w:t>
      </w:r>
      <w:r>
        <w:rPr>
          <w:spacing w:val="-5"/>
        </w:rPr>
        <w:t xml:space="preserve"> </w:t>
      </w:r>
      <w:r>
        <w:t>into</w:t>
      </w:r>
      <w:r>
        <w:rPr>
          <w:spacing w:val="-4"/>
        </w:rPr>
        <w:t xml:space="preserve"> </w:t>
      </w:r>
      <w:r>
        <w:t>the</w:t>
      </w:r>
      <w:r>
        <w:rPr>
          <w:spacing w:val="-4"/>
        </w:rPr>
        <w:t xml:space="preserve"> </w:t>
      </w:r>
      <w:r>
        <w:t>FAM</w:t>
      </w:r>
      <w:r>
        <w:rPr>
          <w:spacing w:val="-5"/>
        </w:rPr>
        <w:t xml:space="preserve"> </w:t>
      </w:r>
      <w:r>
        <w:t>phases—planning, internal control, testing, and reporting.</w:t>
      </w:r>
    </w:p>
    <w:p w14:paraId="0DFDC4C2" w14:textId="77777777" w:rsidR="00046465" w:rsidRDefault="008134EB">
      <w:pPr>
        <w:pStyle w:val="Heading5"/>
        <w:spacing w:before="121"/>
        <w:ind w:left="392"/>
        <w:jc w:val="both"/>
        <w:rPr>
          <w:u w:val="none"/>
        </w:rPr>
      </w:pPr>
      <w:r>
        <w:t>Planning</w:t>
      </w:r>
      <w:r>
        <w:rPr>
          <w:spacing w:val="-5"/>
        </w:rPr>
        <w:t xml:space="preserve"> </w:t>
      </w:r>
      <w:r>
        <w:rPr>
          <w:spacing w:val="-2"/>
        </w:rPr>
        <w:t>Phase</w:t>
      </w:r>
    </w:p>
    <w:p w14:paraId="0DFDC4C3" w14:textId="77777777" w:rsidR="00046465" w:rsidRDefault="008134EB">
      <w:pPr>
        <w:pStyle w:val="ListParagraph"/>
        <w:numPr>
          <w:ilvl w:val="0"/>
          <w:numId w:val="2"/>
        </w:numPr>
        <w:tabs>
          <w:tab w:val="left" w:pos="1799"/>
        </w:tabs>
        <w:spacing w:before="119"/>
        <w:ind w:left="1799" w:hanging="719"/>
        <w:jc w:val="both"/>
      </w:pPr>
      <w:r>
        <w:t>In</w:t>
      </w:r>
      <w:r>
        <w:rPr>
          <w:spacing w:val="-5"/>
        </w:rPr>
        <w:t xml:space="preserve"> </w:t>
      </w:r>
      <w:r>
        <w:t>the</w:t>
      </w:r>
      <w:r>
        <w:rPr>
          <w:spacing w:val="-5"/>
        </w:rPr>
        <w:t xml:space="preserve"> </w:t>
      </w:r>
      <w:r>
        <w:t>planning</w:t>
      </w:r>
      <w:r>
        <w:rPr>
          <w:spacing w:val="-4"/>
        </w:rPr>
        <w:t xml:space="preserve"> </w:t>
      </w:r>
      <w:r>
        <w:t>phase</w:t>
      </w:r>
      <w:r>
        <w:rPr>
          <w:spacing w:val="-5"/>
        </w:rPr>
        <w:t xml:space="preserve"> </w:t>
      </w:r>
      <w:r>
        <w:t>of</w:t>
      </w:r>
      <w:r>
        <w:rPr>
          <w:spacing w:val="-5"/>
        </w:rPr>
        <w:t xml:space="preserve"> </w:t>
      </w:r>
      <w:r>
        <w:t>the</w:t>
      </w:r>
      <w:r>
        <w:rPr>
          <w:spacing w:val="-5"/>
        </w:rPr>
        <w:t xml:space="preserve"> </w:t>
      </w:r>
      <w:r>
        <w:t>audit,</w:t>
      </w:r>
      <w:r>
        <w:rPr>
          <w:spacing w:val="-4"/>
        </w:rPr>
        <w:t xml:space="preserve"> </w:t>
      </w:r>
      <w:r>
        <w:t>the</w:t>
      </w:r>
      <w:r>
        <w:rPr>
          <w:spacing w:val="-5"/>
        </w:rPr>
        <w:t xml:space="preserve"> </w:t>
      </w:r>
      <w:r>
        <w:t>auditor</w:t>
      </w:r>
      <w:r>
        <w:rPr>
          <w:spacing w:val="-4"/>
        </w:rPr>
        <w:t xml:space="preserve"> </w:t>
      </w:r>
      <w:r>
        <w:t>should</w:t>
      </w:r>
      <w:r>
        <w:rPr>
          <w:spacing w:val="-4"/>
        </w:rPr>
        <w:t xml:space="preserve"> </w:t>
      </w:r>
      <w:r>
        <w:t>do</w:t>
      </w:r>
      <w:r>
        <w:rPr>
          <w:spacing w:val="-4"/>
        </w:rPr>
        <w:t xml:space="preserve"> </w:t>
      </w:r>
      <w:r>
        <w:t>the</w:t>
      </w:r>
      <w:r>
        <w:rPr>
          <w:spacing w:val="-5"/>
        </w:rPr>
        <w:t xml:space="preserve"> </w:t>
      </w:r>
      <w:r>
        <w:rPr>
          <w:spacing w:val="-2"/>
        </w:rPr>
        <w:t>following:</w:t>
      </w:r>
    </w:p>
    <w:p w14:paraId="0DFDC4C4" w14:textId="77777777" w:rsidR="00046465" w:rsidRDefault="008134EB">
      <w:pPr>
        <w:pStyle w:val="ListParagraph"/>
        <w:numPr>
          <w:ilvl w:val="1"/>
          <w:numId w:val="2"/>
        </w:numPr>
        <w:tabs>
          <w:tab w:val="left" w:pos="2159"/>
        </w:tabs>
        <w:spacing w:before="119"/>
        <w:ind w:right="977"/>
        <w:jc w:val="both"/>
      </w:pPr>
      <w:r>
        <w:t>Understand significant accounting, auditing, and</w:t>
      </w:r>
      <w:r>
        <w:rPr>
          <w:spacing w:val="-1"/>
        </w:rPr>
        <w:t xml:space="preserve"> </w:t>
      </w:r>
      <w:r>
        <w:t>reporting issues for PP&amp;E land</w:t>
      </w:r>
      <w:r>
        <w:rPr>
          <w:spacing w:val="-4"/>
        </w:rPr>
        <w:t xml:space="preserve"> </w:t>
      </w:r>
      <w:r>
        <w:t>and</w:t>
      </w:r>
      <w:r>
        <w:rPr>
          <w:spacing w:val="-4"/>
        </w:rPr>
        <w:t xml:space="preserve"> </w:t>
      </w:r>
      <w:r>
        <w:t>stewardship</w:t>
      </w:r>
      <w:r>
        <w:rPr>
          <w:spacing w:val="-4"/>
        </w:rPr>
        <w:t xml:space="preserve"> </w:t>
      </w:r>
      <w:r>
        <w:t>land,</w:t>
      </w:r>
      <w:r>
        <w:rPr>
          <w:spacing w:val="-3"/>
        </w:rPr>
        <w:t xml:space="preserve"> </w:t>
      </w:r>
      <w:r>
        <w:t>such</w:t>
      </w:r>
      <w:r>
        <w:rPr>
          <w:spacing w:val="-4"/>
        </w:rPr>
        <w:t xml:space="preserve"> </w:t>
      </w:r>
      <w:r>
        <w:t>as</w:t>
      </w:r>
      <w:r>
        <w:rPr>
          <w:spacing w:val="-5"/>
        </w:rPr>
        <w:t xml:space="preserve"> </w:t>
      </w:r>
      <w:r>
        <w:t>those</w:t>
      </w:r>
      <w:r>
        <w:rPr>
          <w:spacing w:val="-4"/>
        </w:rPr>
        <w:t xml:space="preserve"> </w:t>
      </w:r>
      <w:r>
        <w:t>reported</w:t>
      </w:r>
      <w:r>
        <w:rPr>
          <w:spacing w:val="-4"/>
        </w:rPr>
        <w:t xml:space="preserve"> </w:t>
      </w:r>
      <w:r>
        <w:t>by</w:t>
      </w:r>
      <w:r>
        <w:rPr>
          <w:spacing w:val="-4"/>
        </w:rPr>
        <w:t xml:space="preserve"> </w:t>
      </w:r>
      <w:r>
        <w:t>management</w:t>
      </w:r>
      <w:r>
        <w:rPr>
          <w:spacing w:val="-4"/>
        </w:rPr>
        <w:t xml:space="preserve"> </w:t>
      </w:r>
      <w:r>
        <w:t>or</w:t>
      </w:r>
      <w:r>
        <w:rPr>
          <w:spacing w:val="-4"/>
        </w:rPr>
        <w:t xml:space="preserve"> </w:t>
      </w:r>
      <w:r>
        <w:t>their contractors and by auditors.</w:t>
      </w:r>
    </w:p>
    <w:p w14:paraId="0DFDC4C5" w14:textId="77777777" w:rsidR="00046465" w:rsidRDefault="008134EB">
      <w:pPr>
        <w:pStyle w:val="ListParagraph"/>
        <w:numPr>
          <w:ilvl w:val="1"/>
          <w:numId w:val="2"/>
        </w:numPr>
        <w:tabs>
          <w:tab w:val="left" w:pos="2159"/>
        </w:tabs>
        <w:spacing w:before="121"/>
        <w:ind w:right="917"/>
        <w:jc w:val="both"/>
      </w:pPr>
      <w:r>
        <w:t>Understand</w:t>
      </w:r>
      <w:r>
        <w:rPr>
          <w:spacing w:val="-6"/>
        </w:rPr>
        <w:t xml:space="preserve"> </w:t>
      </w:r>
      <w:r>
        <w:t>the</w:t>
      </w:r>
      <w:r>
        <w:rPr>
          <w:spacing w:val="-6"/>
        </w:rPr>
        <w:t xml:space="preserve"> </w:t>
      </w:r>
      <w:r>
        <w:t>entity’s</w:t>
      </w:r>
      <w:r>
        <w:rPr>
          <w:spacing w:val="-6"/>
        </w:rPr>
        <w:t xml:space="preserve"> </w:t>
      </w:r>
      <w:r>
        <w:t>policies,</w:t>
      </w:r>
      <w:r>
        <w:rPr>
          <w:spacing w:val="-6"/>
        </w:rPr>
        <w:t xml:space="preserve"> </w:t>
      </w:r>
      <w:r>
        <w:t>processes,</w:t>
      </w:r>
      <w:r>
        <w:rPr>
          <w:spacing w:val="-6"/>
        </w:rPr>
        <w:t xml:space="preserve"> </w:t>
      </w:r>
      <w:r>
        <w:t>methodologies,</w:t>
      </w:r>
      <w:r>
        <w:rPr>
          <w:spacing w:val="-6"/>
        </w:rPr>
        <w:t xml:space="preserve"> </w:t>
      </w:r>
      <w:r>
        <w:t>and</w:t>
      </w:r>
      <w:r>
        <w:rPr>
          <w:spacing w:val="-6"/>
        </w:rPr>
        <w:t xml:space="preserve"> </w:t>
      </w:r>
      <w:r>
        <w:t>information systems for</w:t>
      </w:r>
    </w:p>
    <w:p w14:paraId="0DFDC4C6" w14:textId="77777777" w:rsidR="00046465" w:rsidRDefault="008134EB">
      <w:pPr>
        <w:pStyle w:val="ListParagraph"/>
        <w:numPr>
          <w:ilvl w:val="2"/>
          <w:numId w:val="2"/>
        </w:numPr>
        <w:tabs>
          <w:tab w:val="left" w:pos="2519"/>
        </w:tabs>
        <w:spacing w:before="119"/>
        <w:ind w:right="851"/>
      </w:pPr>
      <w:r>
        <w:t>maintaining</w:t>
      </w:r>
      <w:r>
        <w:rPr>
          <w:spacing w:val="-4"/>
        </w:rPr>
        <w:t xml:space="preserve"> </w:t>
      </w:r>
      <w:r>
        <w:t>information</w:t>
      </w:r>
      <w:r>
        <w:rPr>
          <w:spacing w:val="-4"/>
        </w:rPr>
        <w:t xml:space="preserve"> </w:t>
      </w:r>
      <w:r>
        <w:t>on</w:t>
      </w:r>
      <w:r>
        <w:rPr>
          <w:spacing w:val="-4"/>
        </w:rPr>
        <w:t xml:space="preserve"> </w:t>
      </w:r>
      <w:r>
        <w:t>land,</w:t>
      </w:r>
      <w:r>
        <w:rPr>
          <w:spacing w:val="-4"/>
        </w:rPr>
        <w:t xml:space="preserve"> </w:t>
      </w:r>
      <w:r>
        <w:t>including</w:t>
      </w:r>
      <w:r>
        <w:rPr>
          <w:spacing w:val="-4"/>
        </w:rPr>
        <w:t xml:space="preserve"> </w:t>
      </w:r>
      <w:r>
        <w:t>how</w:t>
      </w:r>
      <w:r>
        <w:rPr>
          <w:spacing w:val="-5"/>
        </w:rPr>
        <w:t xml:space="preserve"> </w:t>
      </w:r>
      <w:r>
        <w:t>land</w:t>
      </w:r>
      <w:r>
        <w:rPr>
          <w:spacing w:val="-4"/>
        </w:rPr>
        <w:t xml:space="preserve"> </w:t>
      </w:r>
      <w:r>
        <w:t>relates</w:t>
      </w:r>
      <w:r>
        <w:rPr>
          <w:spacing w:val="-4"/>
        </w:rPr>
        <w:t xml:space="preserve"> </w:t>
      </w:r>
      <w:r>
        <w:t>to</w:t>
      </w:r>
      <w:r>
        <w:rPr>
          <w:spacing w:val="-4"/>
        </w:rPr>
        <w:t xml:space="preserve"> </w:t>
      </w:r>
      <w:r>
        <w:t>the</w:t>
      </w:r>
      <w:r>
        <w:rPr>
          <w:spacing w:val="-4"/>
        </w:rPr>
        <w:t xml:space="preserve"> </w:t>
      </w:r>
      <w:r>
        <w:t xml:space="preserve">entity’s </w:t>
      </w:r>
      <w:r>
        <w:rPr>
          <w:spacing w:val="-2"/>
        </w:rPr>
        <w:t>mission;</w:t>
      </w:r>
    </w:p>
    <w:p w14:paraId="0DFDC4C7" w14:textId="77777777" w:rsidR="00046465" w:rsidRDefault="008134EB">
      <w:pPr>
        <w:pStyle w:val="ListParagraph"/>
        <w:numPr>
          <w:ilvl w:val="2"/>
          <w:numId w:val="2"/>
        </w:numPr>
        <w:tabs>
          <w:tab w:val="left" w:pos="2519"/>
        </w:tabs>
        <w:spacing w:before="118"/>
      </w:pPr>
      <w:r>
        <w:t>classifying</w:t>
      </w:r>
      <w:r>
        <w:rPr>
          <w:spacing w:val="-8"/>
        </w:rPr>
        <w:t xml:space="preserve"> </w:t>
      </w:r>
      <w:r>
        <w:t>acreage</w:t>
      </w:r>
      <w:r>
        <w:rPr>
          <w:spacing w:val="-7"/>
        </w:rPr>
        <w:t xml:space="preserve"> </w:t>
      </w:r>
      <w:r>
        <w:t>into</w:t>
      </w:r>
      <w:r>
        <w:rPr>
          <w:spacing w:val="-8"/>
        </w:rPr>
        <w:t xml:space="preserve"> </w:t>
      </w:r>
      <w:r>
        <w:t>PP&amp;E</w:t>
      </w:r>
      <w:r>
        <w:rPr>
          <w:spacing w:val="-8"/>
        </w:rPr>
        <w:t xml:space="preserve"> </w:t>
      </w:r>
      <w:r>
        <w:t>land</w:t>
      </w:r>
      <w:r>
        <w:rPr>
          <w:spacing w:val="-6"/>
        </w:rPr>
        <w:t xml:space="preserve"> </w:t>
      </w:r>
      <w:r>
        <w:t>or</w:t>
      </w:r>
      <w:r>
        <w:rPr>
          <w:spacing w:val="-8"/>
        </w:rPr>
        <w:t xml:space="preserve"> </w:t>
      </w:r>
      <w:r>
        <w:t>stewardship</w:t>
      </w:r>
      <w:r>
        <w:rPr>
          <w:spacing w:val="-7"/>
        </w:rPr>
        <w:t xml:space="preserve"> </w:t>
      </w:r>
      <w:r>
        <w:rPr>
          <w:spacing w:val="-2"/>
        </w:rPr>
        <w:t>land;</w:t>
      </w:r>
    </w:p>
    <w:p w14:paraId="0DFDC4C8" w14:textId="77777777" w:rsidR="00046465" w:rsidRDefault="008134EB">
      <w:pPr>
        <w:pStyle w:val="ListParagraph"/>
        <w:numPr>
          <w:ilvl w:val="2"/>
          <w:numId w:val="2"/>
        </w:numPr>
        <w:tabs>
          <w:tab w:val="left" w:pos="2519"/>
        </w:tabs>
        <w:spacing w:before="119"/>
      </w:pPr>
      <w:r>
        <w:t>estimating</w:t>
      </w:r>
      <w:r>
        <w:rPr>
          <w:spacing w:val="-12"/>
        </w:rPr>
        <w:t xml:space="preserve"> </w:t>
      </w:r>
      <w:r>
        <w:rPr>
          <w:spacing w:val="-2"/>
        </w:rPr>
        <w:t>acreage;</w:t>
      </w:r>
    </w:p>
    <w:p w14:paraId="0DFDC4C9" w14:textId="77777777" w:rsidR="00046465" w:rsidRDefault="008134EB">
      <w:pPr>
        <w:pStyle w:val="ListParagraph"/>
        <w:numPr>
          <w:ilvl w:val="2"/>
          <w:numId w:val="2"/>
        </w:numPr>
        <w:tabs>
          <w:tab w:val="left" w:pos="2519"/>
        </w:tabs>
        <w:spacing w:before="118"/>
        <w:ind w:right="766"/>
      </w:pPr>
      <w:r>
        <w:t>summarizing</w:t>
      </w:r>
      <w:r>
        <w:rPr>
          <w:spacing w:val="-5"/>
        </w:rPr>
        <w:t xml:space="preserve"> </w:t>
      </w:r>
      <w:r>
        <w:t>and</w:t>
      </w:r>
      <w:r>
        <w:rPr>
          <w:spacing w:val="-5"/>
        </w:rPr>
        <w:t xml:space="preserve"> </w:t>
      </w:r>
      <w:r>
        <w:t>reconciling</w:t>
      </w:r>
      <w:r>
        <w:rPr>
          <w:spacing w:val="-5"/>
        </w:rPr>
        <w:t xml:space="preserve"> </w:t>
      </w:r>
      <w:r>
        <w:t>acreage</w:t>
      </w:r>
      <w:r>
        <w:rPr>
          <w:spacing w:val="-5"/>
        </w:rPr>
        <w:t xml:space="preserve"> </w:t>
      </w:r>
      <w:r>
        <w:t>of</w:t>
      </w:r>
      <w:r>
        <w:rPr>
          <w:spacing w:val="-5"/>
        </w:rPr>
        <w:t xml:space="preserve"> </w:t>
      </w:r>
      <w:r>
        <w:t>PP&amp;E</w:t>
      </w:r>
      <w:r>
        <w:rPr>
          <w:spacing w:val="-4"/>
        </w:rPr>
        <w:t xml:space="preserve"> </w:t>
      </w:r>
      <w:r>
        <w:t>land</w:t>
      </w:r>
      <w:r>
        <w:rPr>
          <w:spacing w:val="-5"/>
        </w:rPr>
        <w:t xml:space="preserve"> </w:t>
      </w:r>
      <w:r>
        <w:t>and</w:t>
      </w:r>
      <w:r>
        <w:rPr>
          <w:spacing w:val="-5"/>
        </w:rPr>
        <w:t xml:space="preserve"> </w:t>
      </w:r>
      <w:r>
        <w:t>stewardship</w:t>
      </w:r>
      <w:r>
        <w:rPr>
          <w:spacing w:val="-5"/>
        </w:rPr>
        <w:t xml:space="preserve"> </w:t>
      </w:r>
      <w:r>
        <w:t>land to underlying records;</w:t>
      </w:r>
    </w:p>
    <w:p w14:paraId="0DFDC4CA" w14:textId="77777777" w:rsidR="00046465" w:rsidRDefault="008134EB">
      <w:pPr>
        <w:pStyle w:val="ListParagraph"/>
        <w:numPr>
          <w:ilvl w:val="2"/>
          <w:numId w:val="2"/>
        </w:numPr>
        <w:tabs>
          <w:tab w:val="left" w:pos="2519"/>
        </w:tabs>
        <w:spacing w:before="119"/>
        <w:ind w:right="751"/>
      </w:pPr>
      <w:r>
        <w:t>determining</w:t>
      </w:r>
      <w:r>
        <w:rPr>
          <w:spacing w:val="-4"/>
        </w:rPr>
        <w:t xml:space="preserve"> </w:t>
      </w:r>
      <w:r>
        <w:t>the</w:t>
      </w:r>
      <w:r>
        <w:rPr>
          <w:spacing w:val="-4"/>
        </w:rPr>
        <w:t xml:space="preserve"> </w:t>
      </w:r>
      <w:r>
        <w:t>level</w:t>
      </w:r>
      <w:r>
        <w:rPr>
          <w:spacing w:val="-4"/>
        </w:rPr>
        <w:t xml:space="preserve"> </w:t>
      </w:r>
      <w:r>
        <w:t>of</w:t>
      </w:r>
      <w:r>
        <w:rPr>
          <w:spacing w:val="-5"/>
        </w:rPr>
        <w:t xml:space="preserve"> </w:t>
      </w:r>
      <w:r>
        <w:t>aggregation</w:t>
      </w:r>
      <w:r>
        <w:rPr>
          <w:spacing w:val="-5"/>
        </w:rPr>
        <w:t xml:space="preserve"> </w:t>
      </w:r>
      <w:r>
        <w:t>the</w:t>
      </w:r>
      <w:r>
        <w:rPr>
          <w:spacing w:val="-4"/>
        </w:rPr>
        <w:t xml:space="preserve"> </w:t>
      </w:r>
      <w:r>
        <w:t>entity</w:t>
      </w:r>
      <w:r>
        <w:rPr>
          <w:spacing w:val="-4"/>
        </w:rPr>
        <w:t xml:space="preserve"> </w:t>
      </w:r>
      <w:r>
        <w:t>used</w:t>
      </w:r>
      <w:r>
        <w:rPr>
          <w:spacing w:val="-4"/>
        </w:rPr>
        <w:t xml:space="preserve"> </w:t>
      </w:r>
      <w:r>
        <w:t>to</w:t>
      </w:r>
      <w:r>
        <w:rPr>
          <w:spacing w:val="-4"/>
        </w:rPr>
        <w:t xml:space="preserve"> </w:t>
      </w:r>
      <w:r>
        <w:t>categorize</w:t>
      </w:r>
      <w:r>
        <w:rPr>
          <w:spacing w:val="-4"/>
        </w:rPr>
        <w:t xml:space="preserve"> </w:t>
      </w:r>
      <w:r>
        <w:t>acreage into predominant use subcategories;</w:t>
      </w:r>
    </w:p>
    <w:p w14:paraId="0DFDC4CB" w14:textId="77777777" w:rsidR="00046465" w:rsidRDefault="008134EB">
      <w:pPr>
        <w:pStyle w:val="ListParagraph"/>
        <w:numPr>
          <w:ilvl w:val="2"/>
          <w:numId w:val="2"/>
        </w:numPr>
        <w:tabs>
          <w:tab w:val="left" w:pos="2519"/>
        </w:tabs>
        <w:spacing w:before="118"/>
      </w:pPr>
      <w:r>
        <w:t>categorizing</w:t>
      </w:r>
      <w:r>
        <w:rPr>
          <w:spacing w:val="-10"/>
        </w:rPr>
        <w:t xml:space="preserve"> </w:t>
      </w:r>
      <w:r>
        <w:t>acreage</w:t>
      </w:r>
      <w:r>
        <w:rPr>
          <w:spacing w:val="-8"/>
        </w:rPr>
        <w:t xml:space="preserve"> </w:t>
      </w:r>
      <w:r>
        <w:t>into</w:t>
      </w:r>
      <w:r>
        <w:rPr>
          <w:spacing w:val="-9"/>
        </w:rPr>
        <w:t xml:space="preserve"> </w:t>
      </w:r>
      <w:r>
        <w:t>predominant</w:t>
      </w:r>
      <w:r>
        <w:rPr>
          <w:spacing w:val="-8"/>
        </w:rPr>
        <w:t xml:space="preserve"> </w:t>
      </w:r>
      <w:r>
        <w:t>use</w:t>
      </w:r>
      <w:r>
        <w:rPr>
          <w:spacing w:val="-9"/>
        </w:rPr>
        <w:t xml:space="preserve"> </w:t>
      </w:r>
      <w:r>
        <w:rPr>
          <w:spacing w:val="-2"/>
        </w:rPr>
        <w:t>subcategories;</w:t>
      </w:r>
    </w:p>
    <w:p w14:paraId="0DFDC4CC" w14:textId="77777777" w:rsidR="00046465" w:rsidRDefault="008134EB">
      <w:pPr>
        <w:pStyle w:val="ListParagraph"/>
        <w:numPr>
          <w:ilvl w:val="2"/>
          <w:numId w:val="2"/>
        </w:numPr>
        <w:tabs>
          <w:tab w:val="left" w:pos="2519"/>
        </w:tabs>
        <w:spacing w:before="118"/>
        <w:rPr>
          <w:position w:val="7"/>
          <w:sz w:val="14"/>
        </w:rPr>
      </w:pPr>
      <w:r>
        <w:t>identifying</w:t>
      </w:r>
      <w:r>
        <w:rPr>
          <w:spacing w:val="-8"/>
        </w:rPr>
        <w:t xml:space="preserve"> </w:t>
      </w:r>
      <w:r>
        <w:t>and</w:t>
      </w:r>
      <w:r>
        <w:rPr>
          <w:spacing w:val="-7"/>
        </w:rPr>
        <w:t xml:space="preserve"> </w:t>
      </w:r>
      <w:r>
        <w:t>recording</w:t>
      </w:r>
      <w:r>
        <w:rPr>
          <w:spacing w:val="-8"/>
        </w:rPr>
        <w:t xml:space="preserve"> </w:t>
      </w:r>
      <w:r>
        <w:t>land</w:t>
      </w:r>
      <w:r>
        <w:rPr>
          <w:spacing w:val="-7"/>
        </w:rPr>
        <w:t xml:space="preserve"> </w:t>
      </w:r>
      <w:r>
        <w:rPr>
          <w:spacing w:val="-2"/>
        </w:rPr>
        <w:t>activity;</w:t>
      </w:r>
      <w:hyperlink w:anchor="_bookmark191" w:history="1">
        <w:r>
          <w:rPr>
            <w:spacing w:val="-2"/>
            <w:position w:val="7"/>
            <w:sz w:val="14"/>
          </w:rPr>
          <w:t>44</w:t>
        </w:r>
      </w:hyperlink>
    </w:p>
    <w:p w14:paraId="0DFDC4CD" w14:textId="77777777" w:rsidR="00046465" w:rsidRDefault="008134EB">
      <w:pPr>
        <w:pStyle w:val="ListParagraph"/>
        <w:numPr>
          <w:ilvl w:val="2"/>
          <w:numId w:val="2"/>
        </w:numPr>
        <w:tabs>
          <w:tab w:val="left" w:pos="2519"/>
        </w:tabs>
        <w:spacing w:before="118"/>
        <w:ind w:hanging="359"/>
      </w:pPr>
      <w:r>
        <w:t>identifying</w:t>
      </w:r>
      <w:r>
        <w:rPr>
          <w:spacing w:val="-7"/>
        </w:rPr>
        <w:t xml:space="preserve"> </w:t>
      </w:r>
      <w:r>
        <w:t>land</w:t>
      </w:r>
      <w:r>
        <w:rPr>
          <w:spacing w:val="-5"/>
        </w:rPr>
        <w:t xml:space="preserve"> </w:t>
      </w:r>
      <w:r>
        <w:t>held</w:t>
      </w:r>
      <w:r>
        <w:rPr>
          <w:spacing w:val="-6"/>
        </w:rPr>
        <w:t xml:space="preserve"> </w:t>
      </w:r>
      <w:r>
        <w:t>for</w:t>
      </w:r>
      <w:r>
        <w:rPr>
          <w:spacing w:val="-5"/>
        </w:rPr>
        <w:t xml:space="preserve"> </w:t>
      </w:r>
      <w:r>
        <w:t>disposal</w:t>
      </w:r>
      <w:r>
        <w:rPr>
          <w:spacing w:val="-6"/>
        </w:rPr>
        <w:t xml:space="preserve"> </w:t>
      </w:r>
      <w:r>
        <w:t>or</w:t>
      </w:r>
      <w:r>
        <w:rPr>
          <w:spacing w:val="-7"/>
        </w:rPr>
        <w:t xml:space="preserve"> </w:t>
      </w:r>
      <w:r>
        <w:rPr>
          <w:spacing w:val="-2"/>
        </w:rPr>
        <w:t>exchange;</w:t>
      </w:r>
    </w:p>
    <w:p w14:paraId="0DFDC4CE" w14:textId="77777777" w:rsidR="00046465" w:rsidRDefault="008134EB">
      <w:pPr>
        <w:pStyle w:val="ListParagraph"/>
        <w:numPr>
          <w:ilvl w:val="2"/>
          <w:numId w:val="2"/>
        </w:numPr>
        <w:tabs>
          <w:tab w:val="left" w:pos="2519"/>
        </w:tabs>
        <w:spacing w:before="118"/>
        <w:ind w:right="800"/>
      </w:pPr>
      <w:r>
        <w:t>identifying changes between reporting periods in the predominant use of land</w:t>
      </w:r>
      <w:r>
        <w:rPr>
          <w:spacing w:val="-4"/>
        </w:rPr>
        <w:t xml:space="preserve"> </w:t>
      </w:r>
      <w:r>
        <w:t>and</w:t>
      </w:r>
      <w:r>
        <w:rPr>
          <w:spacing w:val="-4"/>
        </w:rPr>
        <w:t xml:space="preserve"> </w:t>
      </w:r>
      <w:r>
        <w:t>recording</w:t>
      </w:r>
      <w:r>
        <w:rPr>
          <w:spacing w:val="-4"/>
        </w:rPr>
        <w:t xml:space="preserve"> </w:t>
      </w:r>
      <w:r>
        <w:t>those</w:t>
      </w:r>
      <w:r>
        <w:rPr>
          <w:spacing w:val="-5"/>
        </w:rPr>
        <w:t xml:space="preserve"> </w:t>
      </w:r>
      <w:r>
        <w:t>changes</w:t>
      </w:r>
      <w:r>
        <w:rPr>
          <w:spacing w:val="-4"/>
        </w:rPr>
        <w:t xml:space="preserve"> </w:t>
      </w:r>
      <w:r>
        <w:t>to</w:t>
      </w:r>
      <w:r>
        <w:rPr>
          <w:spacing w:val="-5"/>
        </w:rPr>
        <w:t xml:space="preserve"> </w:t>
      </w:r>
      <w:r>
        <w:t>the</w:t>
      </w:r>
      <w:r>
        <w:rPr>
          <w:spacing w:val="-4"/>
        </w:rPr>
        <w:t xml:space="preserve"> </w:t>
      </w:r>
      <w:r>
        <w:t>predominant</w:t>
      </w:r>
      <w:r>
        <w:rPr>
          <w:spacing w:val="-4"/>
        </w:rPr>
        <w:t xml:space="preserve"> </w:t>
      </w:r>
      <w:r>
        <w:t>use</w:t>
      </w:r>
      <w:r>
        <w:rPr>
          <w:spacing w:val="-4"/>
        </w:rPr>
        <w:t xml:space="preserve"> </w:t>
      </w:r>
      <w:r>
        <w:t xml:space="preserve">subcategories; </w:t>
      </w:r>
      <w:r>
        <w:rPr>
          <w:spacing w:val="-4"/>
        </w:rPr>
        <w:t>and</w:t>
      </w:r>
    </w:p>
    <w:p w14:paraId="0DFDC4CF" w14:textId="77777777" w:rsidR="00046465" w:rsidRDefault="008134EB">
      <w:pPr>
        <w:pStyle w:val="ListParagraph"/>
        <w:numPr>
          <w:ilvl w:val="2"/>
          <w:numId w:val="2"/>
        </w:numPr>
        <w:tabs>
          <w:tab w:val="left" w:pos="2519"/>
        </w:tabs>
        <w:spacing w:before="119"/>
        <w:ind w:right="1047"/>
      </w:pPr>
      <w:r>
        <w:t>reporting</w:t>
      </w:r>
      <w:r>
        <w:rPr>
          <w:spacing w:val="-5"/>
        </w:rPr>
        <w:t xml:space="preserve"> </w:t>
      </w:r>
      <w:r>
        <w:t>land</w:t>
      </w:r>
      <w:r>
        <w:rPr>
          <w:spacing w:val="-5"/>
        </w:rPr>
        <w:t xml:space="preserve"> </w:t>
      </w:r>
      <w:r>
        <w:t>rights</w:t>
      </w:r>
      <w:r>
        <w:rPr>
          <w:spacing w:val="-5"/>
        </w:rPr>
        <w:t xml:space="preserve"> </w:t>
      </w:r>
      <w:r>
        <w:t>information,</w:t>
      </w:r>
      <w:r>
        <w:rPr>
          <w:spacing w:val="-5"/>
        </w:rPr>
        <w:t xml:space="preserve"> </w:t>
      </w:r>
      <w:r>
        <w:t>whether</w:t>
      </w:r>
      <w:r>
        <w:rPr>
          <w:spacing w:val="-5"/>
        </w:rPr>
        <w:t xml:space="preserve"> </w:t>
      </w:r>
      <w:r>
        <w:t>such</w:t>
      </w:r>
      <w:r>
        <w:rPr>
          <w:spacing w:val="-5"/>
        </w:rPr>
        <w:t xml:space="preserve"> </w:t>
      </w:r>
      <w:r>
        <w:t>rights</w:t>
      </w:r>
      <w:r>
        <w:rPr>
          <w:spacing w:val="-5"/>
        </w:rPr>
        <w:t xml:space="preserve"> </w:t>
      </w:r>
      <w:r>
        <w:t>are</w:t>
      </w:r>
      <w:r>
        <w:rPr>
          <w:spacing w:val="-5"/>
        </w:rPr>
        <w:t xml:space="preserve"> </w:t>
      </w:r>
      <w:r>
        <w:t>permanent</w:t>
      </w:r>
      <w:r>
        <w:rPr>
          <w:spacing w:val="-5"/>
        </w:rPr>
        <w:t xml:space="preserve"> </w:t>
      </w:r>
      <w:r>
        <w:t>or temporary, and amounts paid to maintain such rights.</w:t>
      </w:r>
    </w:p>
    <w:p w14:paraId="0DFDC4D0" w14:textId="77777777" w:rsidR="00046465" w:rsidRDefault="008134EB">
      <w:pPr>
        <w:pStyle w:val="ListParagraph"/>
        <w:numPr>
          <w:ilvl w:val="0"/>
          <w:numId w:val="2"/>
        </w:numPr>
        <w:tabs>
          <w:tab w:val="left" w:pos="1797"/>
          <w:tab w:val="left" w:pos="1799"/>
        </w:tabs>
        <w:spacing w:before="119"/>
        <w:ind w:left="1799" w:right="763"/>
        <w:jc w:val="both"/>
      </w:pPr>
      <w:r>
        <w:t>The</w:t>
      </w:r>
      <w:r>
        <w:rPr>
          <w:spacing w:val="-4"/>
        </w:rPr>
        <w:t xml:space="preserve"> </w:t>
      </w:r>
      <w:r>
        <w:t>auditor</w:t>
      </w:r>
      <w:r>
        <w:rPr>
          <w:spacing w:val="-5"/>
        </w:rPr>
        <w:t xml:space="preserve"> </w:t>
      </w:r>
      <w:r>
        <w:t>should</w:t>
      </w:r>
      <w:r>
        <w:rPr>
          <w:spacing w:val="-4"/>
        </w:rPr>
        <w:t xml:space="preserve"> </w:t>
      </w:r>
      <w:r>
        <w:t>determine</w:t>
      </w:r>
      <w:r>
        <w:rPr>
          <w:spacing w:val="-4"/>
        </w:rPr>
        <w:t xml:space="preserve"> </w:t>
      </w:r>
      <w:r>
        <w:t>materiality</w:t>
      </w:r>
      <w:r>
        <w:rPr>
          <w:spacing w:val="-4"/>
        </w:rPr>
        <w:t xml:space="preserve"> </w:t>
      </w:r>
      <w:r>
        <w:t>levels</w:t>
      </w:r>
      <w:r>
        <w:rPr>
          <w:spacing w:val="-3"/>
        </w:rPr>
        <w:t xml:space="preserve"> </w:t>
      </w:r>
      <w:r>
        <w:t>for</w:t>
      </w:r>
      <w:r>
        <w:rPr>
          <w:spacing w:val="-4"/>
        </w:rPr>
        <w:t xml:space="preserve"> </w:t>
      </w:r>
      <w:r>
        <w:t>total</w:t>
      </w:r>
      <w:r>
        <w:rPr>
          <w:spacing w:val="-4"/>
        </w:rPr>
        <w:t xml:space="preserve"> </w:t>
      </w:r>
      <w:r>
        <w:t>land</w:t>
      </w:r>
      <w:r>
        <w:rPr>
          <w:spacing w:val="-4"/>
        </w:rPr>
        <w:t xml:space="preserve"> </w:t>
      </w:r>
      <w:r>
        <w:t>acreage</w:t>
      </w:r>
      <w:r>
        <w:rPr>
          <w:spacing w:val="-4"/>
        </w:rPr>
        <w:t xml:space="preserve"> </w:t>
      </w:r>
      <w:r>
        <w:t>(PP&amp;E</w:t>
      </w:r>
      <w:r>
        <w:rPr>
          <w:spacing w:val="-4"/>
        </w:rPr>
        <w:t xml:space="preserve"> </w:t>
      </w:r>
      <w:r>
        <w:t>land and stewardship land) for purposes of planning and performing audit procedures related to reported land information.</w:t>
      </w:r>
    </w:p>
    <w:p w14:paraId="0DFDC4D1" w14:textId="77777777" w:rsidR="00046465" w:rsidRDefault="008134EB">
      <w:pPr>
        <w:pStyle w:val="ListParagraph"/>
        <w:numPr>
          <w:ilvl w:val="1"/>
          <w:numId w:val="2"/>
        </w:numPr>
        <w:tabs>
          <w:tab w:val="left" w:pos="2159"/>
        </w:tabs>
        <w:spacing w:before="119"/>
        <w:ind w:right="844"/>
      </w:pPr>
      <w:r>
        <w:rPr>
          <w:b/>
        </w:rPr>
        <w:t>Materiality.</w:t>
      </w:r>
      <w:r>
        <w:rPr>
          <w:b/>
          <w:spacing w:val="-4"/>
        </w:rPr>
        <w:t xml:space="preserve"> </w:t>
      </w:r>
      <w:r>
        <w:t>The</w:t>
      </w:r>
      <w:r>
        <w:rPr>
          <w:spacing w:val="-4"/>
        </w:rPr>
        <w:t xml:space="preserve"> </w:t>
      </w:r>
      <w:r>
        <w:t>auditor</w:t>
      </w:r>
      <w:r>
        <w:rPr>
          <w:spacing w:val="-6"/>
        </w:rPr>
        <w:t xml:space="preserve"> </w:t>
      </w:r>
      <w:r>
        <w:t>should</w:t>
      </w:r>
      <w:r>
        <w:rPr>
          <w:spacing w:val="-4"/>
        </w:rPr>
        <w:t xml:space="preserve"> </w:t>
      </w:r>
      <w:r>
        <w:t>generally</w:t>
      </w:r>
      <w:r>
        <w:rPr>
          <w:spacing w:val="-4"/>
        </w:rPr>
        <w:t xml:space="preserve"> </w:t>
      </w:r>
      <w:r>
        <w:t>use</w:t>
      </w:r>
      <w:r>
        <w:rPr>
          <w:spacing w:val="-4"/>
        </w:rPr>
        <w:t xml:space="preserve"> </w:t>
      </w:r>
      <w:r>
        <w:t>5</w:t>
      </w:r>
      <w:r>
        <w:rPr>
          <w:spacing w:val="-5"/>
        </w:rPr>
        <w:t xml:space="preserve"> </w:t>
      </w:r>
      <w:r>
        <w:t>percent</w:t>
      </w:r>
      <w:r>
        <w:rPr>
          <w:spacing w:val="-4"/>
        </w:rPr>
        <w:t xml:space="preserve"> </w:t>
      </w:r>
      <w:r>
        <w:t>of</w:t>
      </w:r>
      <w:r>
        <w:rPr>
          <w:spacing w:val="-4"/>
        </w:rPr>
        <w:t xml:space="preserve"> </w:t>
      </w:r>
      <w:r>
        <w:t>total</w:t>
      </w:r>
      <w:r>
        <w:rPr>
          <w:spacing w:val="-4"/>
        </w:rPr>
        <w:t xml:space="preserve"> </w:t>
      </w:r>
      <w:r>
        <w:t>land</w:t>
      </w:r>
      <w:r>
        <w:rPr>
          <w:spacing w:val="-4"/>
        </w:rPr>
        <w:t xml:space="preserve"> </w:t>
      </w:r>
      <w:r>
        <w:t>acreage as materiality but may reduce materiality based on professional judgment.</w:t>
      </w:r>
    </w:p>
    <w:p w14:paraId="0DFDC4D2" w14:textId="77777777" w:rsidR="00046465" w:rsidRDefault="008134EB">
      <w:pPr>
        <w:pStyle w:val="ListParagraph"/>
        <w:numPr>
          <w:ilvl w:val="1"/>
          <w:numId w:val="2"/>
        </w:numPr>
        <w:tabs>
          <w:tab w:val="left" w:pos="2159"/>
        </w:tabs>
        <w:ind w:right="869"/>
      </w:pPr>
      <w:r>
        <w:rPr>
          <w:b/>
        </w:rPr>
        <w:t>Performance</w:t>
      </w:r>
      <w:r>
        <w:rPr>
          <w:b/>
          <w:spacing w:val="-5"/>
        </w:rPr>
        <w:t xml:space="preserve"> </w:t>
      </w:r>
      <w:r>
        <w:rPr>
          <w:b/>
        </w:rPr>
        <w:t>materiality.</w:t>
      </w:r>
      <w:r>
        <w:rPr>
          <w:b/>
          <w:spacing w:val="-5"/>
        </w:rPr>
        <w:t xml:space="preserve"> </w:t>
      </w:r>
      <w:r>
        <w:t>The</w:t>
      </w:r>
      <w:r>
        <w:rPr>
          <w:spacing w:val="-5"/>
        </w:rPr>
        <w:t xml:space="preserve"> </w:t>
      </w:r>
      <w:r>
        <w:t>auditor</w:t>
      </w:r>
      <w:r>
        <w:rPr>
          <w:spacing w:val="-5"/>
        </w:rPr>
        <w:t xml:space="preserve"> </w:t>
      </w:r>
      <w:r>
        <w:t>should</w:t>
      </w:r>
      <w:r>
        <w:rPr>
          <w:spacing w:val="-5"/>
        </w:rPr>
        <w:t xml:space="preserve"> </w:t>
      </w:r>
      <w:r>
        <w:t>set</w:t>
      </w:r>
      <w:r>
        <w:rPr>
          <w:spacing w:val="-5"/>
        </w:rPr>
        <w:t xml:space="preserve"> </w:t>
      </w:r>
      <w:r>
        <w:t>performance</w:t>
      </w:r>
      <w:r>
        <w:rPr>
          <w:spacing w:val="-5"/>
        </w:rPr>
        <w:t xml:space="preserve"> </w:t>
      </w:r>
      <w:r>
        <w:t>materiality</w:t>
      </w:r>
      <w:r>
        <w:rPr>
          <w:spacing w:val="-5"/>
        </w:rPr>
        <w:t xml:space="preserve"> </w:t>
      </w:r>
      <w:r>
        <w:t>to reduce to an appropriately low level the probability that the aggregate of uncorrected and undetected misstatements exceeds materiality for land.</w:t>
      </w:r>
    </w:p>
    <w:p w14:paraId="0DFDC4D3" w14:textId="77777777" w:rsidR="00046465" w:rsidRDefault="008134EB">
      <w:pPr>
        <w:pStyle w:val="ListParagraph"/>
        <w:numPr>
          <w:ilvl w:val="1"/>
          <w:numId w:val="2"/>
        </w:numPr>
        <w:tabs>
          <w:tab w:val="left" w:pos="2159"/>
        </w:tabs>
        <w:ind w:right="881"/>
      </w:pPr>
      <w:r>
        <w:rPr>
          <w:b/>
        </w:rPr>
        <w:t>Tolerable</w:t>
      </w:r>
      <w:r>
        <w:rPr>
          <w:b/>
          <w:spacing w:val="-1"/>
        </w:rPr>
        <w:t xml:space="preserve"> </w:t>
      </w:r>
      <w:r>
        <w:rPr>
          <w:b/>
        </w:rPr>
        <w:t xml:space="preserve">misstatement. </w:t>
      </w:r>
      <w:r>
        <w:t>Based on professional judgment, the auditor</w:t>
      </w:r>
      <w:r>
        <w:rPr>
          <w:spacing w:val="-2"/>
        </w:rPr>
        <w:t xml:space="preserve"> </w:t>
      </w:r>
      <w:r>
        <w:t>may set</w:t>
      </w:r>
      <w:r>
        <w:rPr>
          <w:spacing w:val="-4"/>
        </w:rPr>
        <w:t xml:space="preserve"> </w:t>
      </w:r>
      <w:r>
        <w:t>tolerable</w:t>
      </w:r>
      <w:r>
        <w:rPr>
          <w:spacing w:val="-5"/>
        </w:rPr>
        <w:t xml:space="preserve"> </w:t>
      </w:r>
      <w:r>
        <w:t>misstatement</w:t>
      </w:r>
      <w:r>
        <w:rPr>
          <w:spacing w:val="-4"/>
        </w:rPr>
        <w:t xml:space="preserve"> </w:t>
      </w:r>
      <w:r>
        <w:t>equal</w:t>
      </w:r>
      <w:r>
        <w:rPr>
          <w:spacing w:val="-4"/>
        </w:rPr>
        <w:t xml:space="preserve"> </w:t>
      </w:r>
      <w:r>
        <w:t>to</w:t>
      </w:r>
      <w:r>
        <w:rPr>
          <w:spacing w:val="-4"/>
        </w:rPr>
        <w:t xml:space="preserve"> </w:t>
      </w:r>
      <w:r>
        <w:t>or</w:t>
      </w:r>
      <w:r>
        <w:rPr>
          <w:spacing w:val="-4"/>
        </w:rPr>
        <w:t xml:space="preserve"> </w:t>
      </w:r>
      <w:r>
        <w:t>less</w:t>
      </w:r>
      <w:r>
        <w:rPr>
          <w:spacing w:val="-4"/>
        </w:rPr>
        <w:t xml:space="preserve"> </w:t>
      </w:r>
      <w:r>
        <w:t>than</w:t>
      </w:r>
      <w:r>
        <w:rPr>
          <w:spacing w:val="-4"/>
        </w:rPr>
        <w:t xml:space="preserve"> </w:t>
      </w:r>
      <w:r>
        <w:t>performance</w:t>
      </w:r>
      <w:r>
        <w:rPr>
          <w:spacing w:val="-4"/>
        </w:rPr>
        <w:t xml:space="preserve"> </w:t>
      </w:r>
      <w:r>
        <w:t>materiality</w:t>
      </w:r>
      <w:r>
        <w:rPr>
          <w:spacing w:val="-4"/>
        </w:rPr>
        <w:t xml:space="preserve"> </w:t>
      </w:r>
      <w:r>
        <w:t>and may establish different quantities of tolerable misstatement for substantive sampling procedures of PP&amp;E land and stewardship land.</w:t>
      </w:r>
    </w:p>
    <w:p w14:paraId="0DFDC4D4" w14:textId="77777777" w:rsidR="00046465" w:rsidRDefault="00046465">
      <w:pPr>
        <w:pStyle w:val="BodyText"/>
        <w:rPr>
          <w:sz w:val="20"/>
        </w:rPr>
      </w:pPr>
    </w:p>
    <w:p w14:paraId="0DFDC4D5" w14:textId="77777777" w:rsidR="00046465" w:rsidRDefault="008134EB">
      <w:pPr>
        <w:pStyle w:val="BodyText"/>
        <w:spacing w:before="40"/>
        <w:rPr>
          <w:sz w:val="20"/>
        </w:rPr>
      </w:pPr>
      <w:r>
        <w:rPr>
          <w:noProof/>
          <w:sz w:val="20"/>
        </w:rPr>
        <mc:AlternateContent>
          <mc:Choice Requires="wps">
            <w:drawing>
              <wp:anchor distT="0" distB="0" distL="0" distR="0" simplePos="0" relativeHeight="487726592" behindDoc="1" locked="0" layoutInCell="1" allowOverlap="1" wp14:anchorId="0DFDD731" wp14:editId="0DFDD732">
                <wp:simplePos x="0" y="0"/>
                <wp:positionH relativeFrom="page">
                  <wp:posOffset>914400</wp:posOffset>
                </wp:positionH>
                <wp:positionV relativeFrom="paragraph">
                  <wp:posOffset>186935</wp:posOffset>
                </wp:positionV>
                <wp:extent cx="1828800" cy="5715"/>
                <wp:effectExtent l="0" t="0" r="0" b="0"/>
                <wp:wrapTopAndBottom/>
                <wp:docPr id="1009" name="Graphic 1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CB14FA" id="Graphic 1009" o:spid="_x0000_s1026" style="position:absolute;margin-left:1in;margin-top:14.7pt;width:2in;height:.45pt;z-index:-1558988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" path="m1828800,l,,,5334r1828800,l1828800,xe" fillcolor="black" stroked="f">
                <v:path arrowok="t"/>
                <w10:wrap type="topAndBottom" anchorx="page"/>
              </v:shape>
            </w:pict>
          </mc:Fallback>
        </mc:AlternateContent>
      </w:r>
    </w:p>
    <w:p w14:paraId="0DFDC4D6" w14:textId="77777777" w:rsidR="00046465" w:rsidRDefault="00046465">
      <w:pPr>
        <w:pStyle w:val="BodyText"/>
        <w:spacing w:before="53"/>
        <w:rPr>
          <w:sz w:val="18"/>
        </w:rPr>
      </w:pPr>
    </w:p>
    <w:p w14:paraId="0DFDC4D7" w14:textId="77777777" w:rsidR="00046465" w:rsidRDefault="008134EB">
      <w:pPr>
        <w:spacing w:line="244" w:lineRule="auto"/>
        <w:ind w:left="359" w:right="773"/>
        <w:rPr>
          <w:sz w:val="18"/>
        </w:rPr>
      </w:pPr>
      <w:bookmarkStart w:id="327" w:name="_bookmark191"/>
      <w:bookmarkEnd w:id="327"/>
      <w:r>
        <w:rPr>
          <w:position w:val="7"/>
          <w:sz w:val="14"/>
        </w:rPr>
        <w:t>44</w:t>
      </w:r>
      <w:r>
        <w:rPr>
          <w:sz w:val="18"/>
        </w:rPr>
        <w:t>Land</w:t>
      </w:r>
      <w:r>
        <w:rPr>
          <w:spacing w:val="-4"/>
          <w:sz w:val="18"/>
        </w:rPr>
        <w:t xml:space="preserve"> </w:t>
      </w:r>
      <w:r>
        <w:rPr>
          <w:sz w:val="18"/>
        </w:rPr>
        <w:t>activity</w:t>
      </w:r>
      <w:r>
        <w:rPr>
          <w:spacing w:val="-3"/>
          <w:sz w:val="18"/>
        </w:rPr>
        <w:t xml:space="preserve"> </w:t>
      </w:r>
      <w:r>
        <w:rPr>
          <w:sz w:val="18"/>
        </w:rPr>
        <w:t>is</w:t>
      </w:r>
      <w:r>
        <w:rPr>
          <w:spacing w:val="-2"/>
          <w:sz w:val="18"/>
        </w:rPr>
        <w:t xml:space="preserve"> </w:t>
      </w:r>
      <w:r>
        <w:rPr>
          <w:sz w:val="18"/>
        </w:rPr>
        <w:t>defined</w:t>
      </w:r>
      <w:r>
        <w:rPr>
          <w:spacing w:val="-4"/>
          <w:sz w:val="18"/>
        </w:rPr>
        <w:t xml:space="preserve"> </w:t>
      </w:r>
      <w:r>
        <w:rPr>
          <w:sz w:val="18"/>
        </w:rPr>
        <w:t>as</w:t>
      </w:r>
      <w:r>
        <w:rPr>
          <w:spacing w:val="-3"/>
          <w:sz w:val="18"/>
        </w:rPr>
        <w:t xml:space="preserve"> </w:t>
      </w:r>
      <w:r>
        <w:rPr>
          <w:sz w:val="18"/>
        </w:rPr>
        <w:t>increases</w:t>
      </w:r>
      <w:r>
        <w:rPr>
          <w:spacing w:val="-3"/>
          <w:sz w:val="18"/>
        </w:rPr>
        <w:t xml:space="preserve"> </w:t>
      </w:r>
      <w:r>
        <w:rPr>
          <w:sz w:val="18"/>
        </w:rPr>
        <w:t>and</w:t>
      </w:r>
      <w:r>
        <w:rPr>
          <w:spacing w:val="-4"/>
          <w:sz w:val="18"/>
        </w:rPr>
        <w:t xml:space="preserve"> </w:t>
      </w:r>
      <w:r>
        <w:rPr>
          <w:sz w:val="18"/>
        </w:rPr>
        <w:t>decreases</w:t>
      </w:r>
      <w:r>
        <w:rPr>
          <w:spacing w:val="-3"/>
          <w:sz w:val="18"/>
        </w:rPr>
        <w:t xml:space="preserve"> </w:t>
      </w:r>
      <w:r>
        <w:rPr>
          <w:sz w:val="18"/>
        </w:rPr>
        <w:t>in</w:t>
      </w:r>
      <w:r>
        <w:rPr>
          <w:spacing w:val="-4"/>
          <w:sz w:val="18"/>
        </w:rPr>
        <w:t xml:space="preserve"> </w:t>
      </w:r>
      <w:r>
        <w:rPr>
          <w:sz w:val="18"/>
        </w:rPr>
        <w:t>acreage</w:t>
      </w:r>
      <w:r>
        <w:rPr>
          <w:spacing w:val="-4"/>
          <w:sz w:val="18"/>
        </w:rPr>
        <w:t xml:space="preserve"> </w:t>
      </w:r>
      <w:r>
        <w:rPr>
          <w:sz w:val="18"/>
        </w:rPr>
        <w:t>that</w:t>
      </w:r>
      <w:r>
        <w:rPr>
          <w:spacing w:val="-3"/>
          <w:sz w:val="18"/>
        </w:rPr>
        <w:t xml:space="preserve"> </w:t>
      </w:r>
      <w:r>
        <w:rPr>
          <w:sz w:val="18"/>
        </w:rPr>
        <w:t>result</w:t>
      </w:r>
      <w:r>
        <w:rPr>
          <w:spacing w:val="-3"/>
          <w:sz w:val="18"/>
        </w:rPr>
        <w:t xml:space="preserve"> </w:t>
      </w:r>
      <w:r>
        <w:rPr>
          <w:sz w:val="18"/>
        </w:rPr>
        <w:t>from</w:t>
      </w:r>
      <w:r>
        <w:rPr>
          <w:spacing w:val="-3"/>
          <w:sz w:val="18"/>
        </w:rPr>
        <w:t xml:space="preserve"> </w:t>
      </w:r>
      <w:r>
        <w:rPr>
          <w:sz w:val="18"/>
        </w:rPr>
        <w:t>acquisition,</w:t>
      </w:r>
      <w:r>
        <w:rPr>
          <w:spacing w:val="-3"/>
          <w:sz w:val="18"/>
        </w:rPr>
        <w:t xml:space="preserve"> </w:t>
      </w:r>
      <w:r>
        <w:rPr>
          <w:sz w:val="18"/>
        </w:rPr>
        <w:t>transfer,</w:t>
      </w:r>
      <w:r>
        <w:rPr>
          <w:spacing w:val="-3"/>
          <w:sz w:val="18"/>
        </w:rPr>
        <w:t xml:space="preserve"> </w:t>
      </w:r>
      <w:r>
        <w:rPr>
          <w:sz w:val="18"/>
        </w:rPr>
        <w:t>land</w:t>
      </w:r>
      <w:r>
        <w:rPr>
          <w:spacing w:val="-4"/>
          <w:sz w:val="18"/>
        </w:rPr>
        <w:t xml:space="preserve"> </w:t>
      </w:r>
      <w:r>
        <w:rPr>
          <w:sz w:val="18"/>
        </w:rPr>
        <w:t>swap, donation, land grant, eminent domain, or other means, such as sales or adjustments based on land surveys that occur during the reporting period.</w:t>
      </w:r>
    </w:p>
    <w:p w14:paraId="0DFDC4D8" w14:textId="77777777" w:rsidR="00046465" w:rsidRDefault="00046465">
      <w:pPr>
        <w:spacing w:line="244" w:lineRule="auto"/>
        <w:rPr>
          <w:sz w:val="18"/>
        </w:rPr>
        <w:sectPr w:rsidR="00046465">
          <w:pgSz w:w="12240" w:h="15840"/>
          <w:pgMar w:top="1340" w:right="720" w:bottom="940" w:left="1080" w:header="721" w:footer="757" w:gutter="0"/>
          <w:cols w:space="720"/>
        </w:sectPr>
      </w:pPr>
    </w:p>
    <w:p w14:paraId="0DFDC4D9" w14:textId="77777777" w:rsidR="00046465" w:rsidRDefault="008134EB">
      <w:pPr>
        <w:pStyle w:val="ListParagraph"/>
        <w:numPr>
          <w:ilvl w:val="0"/>
          <w:numId w:val="107"/>
        </w:numPr>
        <w:tabs>
          <w:tab w:val="left" w:pos="1800"/>
        </w:tabs>
        <w:spacing w:before="121"/>
        <w:ind w:right="797"/>
      </w:pPr>
      <w:r>
        <w:lastRenderedPageBreak/>
        <w:t>For (1) total acreage of PP&amp;E land, including the entity’s categorization of acreage by predominant use subcategory and (2) total acreage of stewardship land, including the entity’s categorization of acreage by predominant use subcategory, the auditor should identify risks of material misstatement at the assertion level (see table 931.1 for land-related assertions). For each identified risk of material misstatement at the assertion level, the auditor should assess inherent</w:t>
      </w:r>
      <w:r>
        <w:rPr>
          <w:spacing w:val="-4"/>
        </w:rPr>
        <w:t xml:space="preserve"> </w:t>
      </w:r>
      <w:r>
        <w:t>risk</w:t>
      </w:r>
      <w:r>
        <w:rPr>
          <w:spacing w:val="-5"/>
        </w:rPr>
        <w:t xml:space="preserve"> </w:t>
      </w:r>
      <w:r>
        <w:t>at</w:t>
      </w:r>
      <w:r>
        <w:rPr>
          <w:spacing w:val="-4"/>
        </w:rPr>
        <w:t xml:space="preserve"> </w:t>
      </w:r>
      <w:r>
        <w:t>remote,</w:t>
      </w:r>
      <w:r>
        <w:rPr>
          <w:spacing w:val="-4"/>
        </w:rPr>
        <w:t xml:space="preserve"> </w:t>
      </w:r>
      <w:r>
        <w:t>low,</w:t>
      </w:r>
      <w:r>
        <w:rPr>
          <w:spacing w:val="-4"/>
        </w:rPr>
        <w:t xml:space="preserve"> </w:t>
      </w:r>
      <w:r>
        <w:t>moderate,</w:t>
      </w:r>
      <w:r>
        <w:rPr>
          <w:spacing w:val="-4"/>
        </w:rPr>
        <w:t xml:space="preserve"> </w:t>
      </w:r>
      <w:r>
        <w:t>or</w:t>
      </w:r>
      <w:r>
        <w:rPr>
          <w:spacing w:val="-4"/>
        </w:rPr>
        <w:t xml:space="preserve"> </w:t>
      </w:r>
      <w:r>
        <w:t>high,</w:t>
      </w:r>
      <w:r>
        <w:rPr>
          <w:spacing w:val="-4"/>
        </w:rPr>
        <w:t xml:space="preserve"> </w:t>
      </w:r>
      <w:r>
        <w:t>considering</w:t>
      </w:r>
      <w:r>
        <w:rPr>
          <w:spacing w:val="-4"/>
        </w:rPr>
        <w:t xml:space="preserve"> </w:t>
      </w:r>
      <w:r>
        <w:t>relevant</w:t>
      </w:r>
      <w:r>
        <w:rPr>
          <w:spacing w:val="-4"/>
        </w:rPr>
        <w:t xml:space="preserve"> </w:t>
      </w:r>
      <w:r>
        <w:t>inherent</w:t>
      </w:r>
      <w:r>
        <w:rPr>
          <w:spacing w:val="-4"/>
        </w:rPr>
        <w:t xml:space="preserve"> </w:t>
      </w:r>
      <w:r>
        <w:t>risk factors</w:t>
      </w:r>
      <w:r>
        <w:rPr>
          <w:spacing w:val="-1"/>
        </w:rPr>
        <w:t xml:space="preserve"> </w:t>
      </w:r>
      <w:r>
        <w:t>(see</w:t>
      </w:r>
      <w:r>
        <w:rPr>
          <w:spacing w:val="-2"/>
        </w:rPr>
        <w:t xml:space="preserve"> </w:t>
      </w:r>
      <w:r>
        <w:t>FAM</w:t>
      </w:r>
      <w:r>
        <w:rPr>
          <w:spacing w:val="-2"/>
        </w:rPr>
        <w:t xml:space="preserve"> </w:t>
      </w:r>
      <w:r>
        <w:t>265.25).</w:t>
      </w:r>
      <w:r>
        <w:rPr>
          <w:spacing w:val="-1"/>
        </w:rPr>
        <w:t xml:space="preserve"> </w:t>
      </w:r>
      <w:r>
        <w:t>Inherent</w:t>
      </w:r>
      <w:r>
        <w:rPr>
          <w:spacing w:val="-1"/>
        </w:rPr>
        <w:t xml:space="preserve"> </w:t>
      </w:r>
      <w:r>
        <w:t>risk</w:t>
      </w:r>
      <w:r>
        <w:rPr>
          <w:spacing w:val="-1"/>
        </w:rPr>
        <w:t xml:space="preserve"> </w:t>
      </w:r>
      <w:r>
        <w:t>factors</w:t>
      </w:r>
      <w:r>
        <w:rPr>
          <w:spacing w:val="-1"/>
        </w:rPr>
        <w:t xml:space="preserve"> </w:t>
      </w:r>
      <w:r>
        <w:t>may</w:t>
      </w:r>
      <w:r>
        <w:rPr>
          <w:spacing w:val="-1"/>
        </w:rPr>
        <w:t xml:space="preserve"> </w:t>
      </w:r>
      <w:r>
        <w:t>include</w:t>
      </w:r>
      <w:r>
        <w:rPr>
          <w:spacing w:val="-2"/>
        </w:rPr>
        <w:t xml:space="preserve"> </w:t>
      </w:r>
      <w:r>
        <w:t>(1)</w:t>
      </w:r>
      <w:r>
        <w:rPr>
          <w:spacing w:val="-1"/>
        </w:rPr>
        <w:t xml:space="preserve"> </w:t>
      </w:r>
      <w:r>
        <w:t>the</w:t>
      </w:r>
      <w:r>
        <w:rPr>
          <w:spacing w:val="-1"/>
        </w:rPr>
        <w:t xml:space="preserve"> </w:t>
      </w:r>
      <w:r>
        <w:t>complexity</w:t>
      </w:r>
      <w:r>
        <w:rPr>
          <w:spacing w:val="-1"/>
        </w:rPr>
        <w:t xml:space="preserve"> </w:t>
      </w:r>
      <w:r>
        <w:t>of implementing a new standard based on acreage estimates; (2) the development of estimates and new methodologies based on management judgment; and (3) new or repurposed information systems that may not adequately support the activities related to acquiring, disposing, maintaining, and tracking estimated acreage of land.</w:t>
      </w:r>
    </w:p>
    <w:p w14:paraId="0DFDC4DA" w14:textId="77777777" w:rsidR="00046465" w:rsidRDefault="008134EB">
      <w:pPr>
        <w:pStyle w:val="ListParagraph"/>
        <w:numPr>
          <w:ilvl w:val="0"/>
          <w:numId w:val="107"/>
        </w:numPr>
        <w:tabs>
          <w:tab w:val="left" w:pos="1800"/>
        </w:tabs>
        <w:spacing w:before="119"/>
        <w:ind w:right="1997"/>
      </w:pPr>
      <w:r>
        <w:t>The</w:t>
      </w:r>
      <w:r>
        <w:rPr>
          <w:spacing w:val="-5"/>
        </w:rPr>
        <w:t xml:space="preserve"> </w:t>
      </w:r>
      <w:r>
        <w:t>auditor’s</w:t>
      </w:r>
      <w:r>
        <w:rPr>
          <w:spacing w:val="-5"/>
        </w:rPr>
        <w:t xml:space="preserve"> </w:t>
      </w:r>
      <w:r>
        <w:t>documentation</w:t>
      </w:r>
      <w:r>
        <w:rPr>
          <w:spacing w:val="-5"/>
        </w:rPr>
        <w:t xml:space="preserve"> </w:t>
      </w:r>
      <w:r>
        <w:t>of</w:t>
      </w:r>
      <w:r>
        <w:rPr>
          <w:spacing w:val="-5"/>
        </w:rPr>
        <w:t xml:space="preserve"> </w:t>
      </w:r>
      <w:r>
        <w:t>the</w:t>
      </w:r>
      <w:r>
        <w:rPr>
          <w:spacing w:val="-5"/>
        </w:rPr>
        <w:t xml:space="preserve"> </w:t>
      </w:r>
      <w:r>
        <w:t>planning</w:t>
      </w:r>
      <w:r>
        <w:rPr>
          <w:spacing w:val="-5"/>
        </w:rPr>
        <w:t xml:space="preserve"> </w:t>
      </w:r>
      <w:r>
        <w:t>phase</w:t>
      </w:r>
      <w:r>
        <w:rPr>
          <w:spacing w:val="-5"/>
        </w:rPr>
        <w:t xml:space="preserve"> </w:t>
      </w:r>
      <w:r>
        <w:t>should</w:t>
      </w:r>
      <w:r>
        <w:rPr>
          <w:spacing w:val="-5"/>
        </w:rPr>
        <w:t xml:space="preserve"> </w:t>
      </w:r>
      <w:r>
        <w:t>follow</w:t>
      </w:r>
      <w:r>
        <w:rPr>
          <w:spacing w:val="-5"/>
        </w:rPr>
        <w:t xml:space="preserve"> </w:t>
      </w:r>
      <w:r>
        <w:t>the requirements in FAM 290, as applicable.</w:t>
      </w:r>
    </w:p>
    <w:p w14:paraId="0DFDC4DB" w14:textId="77777777" w:rsidR="00046465" w:rsidRDefault="008134EB">
      <w:pPr>
        <w:pStyle w:val="Heading5"/>
        <w:spacing w:before="121"/>
        <w:ind w:left="392"/>
        <w:rPr>
          <w:u w:val="none"/>
        </w:rPr>
      </w:pPr>
      <w:r>
        <w:t>Internal</w:t>
      </w:r>
      <w:r>
        <w:rPr>
          <w:spacing w:val="-4"/>
        </w:rPr>
        <w:t xml:space="preserve"> </w:t>
      </w:r>
      <w:r>
        <w:t>Control</w:t>
      </w:r>
      <w:r>
        <w:rPr>
          <w:spacing w:val="-3"/>
        </w:rPr>
        <w:t xml:space="preserve"> </w:t>
      </w:r>
      <w:r>
        <w:rPr>
          <w:spacing w:val="-2"/>
        </w:rPr>
        <w:t>Phase</w:t>
      </w:r>
    </w:p>
    <w:p w14:paraId="0DFDC4DC" w14:textId="77777777" w:rsidR="00046465" w:rsidRDefault="008134EB">
      <w:pPr>
        <w:pStyle w:val="ListParagraph"/>
        <w:numPr>
          <w:ilvl w:val="0"/>
          <w:numId w:val="107"/>
        </w:numPr>
        <w:tabs>
          <w:tab w:val="left" w:pos="1800"/>
        </w:tabs>
        <w:ind w:right="948"/>
      </w:pPr>
      <w:r>
        <w:t>For</w:t>
      </w:r>
      <w:r>
        <w:rPr>
          <w:spacing w:val="-4"/>
        </w:rPr>
        <w:t xml:space="preserve"> </w:t>
      </w:r>
      <w:r>
        <w:t>each</w:t>
      </w:r>
      <w:r>
        <w:rPr>
          <w:spacing w:val="-4"/>
        </w:rPr>
        <w:t xml:space="preserve"> </w:t>
      </w:r>
      <w:r>
        <w:t>identified</w:t>
      </w:r>
      <w:r>
        <w:rPr>
          <w:spacing w:val="-4"/>
        </w:rPr>
        <w:t xml:space="preserve"> </w:t>
      </w:r>
      <w:r>
        <w:t>risk</w:t>
      </w:r>
      <w:r>
        <w:rPr>
          <w:spacing w:val="-4"/>
        </w:rPr>
        <w:t xml:space="preserve"> </w:t>
      </w:r>
      <w:r>
        <w:t>of</w:t>
      </w:r>
      <w:r>
        <w:rPr>
          <w:spacing w:val="-4"/>
        </w:rPr>
        <w:t xml:space="preserve"> </w:t>
      </w:r>
      <w:r>
        <w:t>material</w:t>
      </w:r>
      <w:r>
        <w:rPr>
          <w:spacing w:val="-4"/>
        </w:rPr>
        <w:t xml:space="preserve"> </w:t>
      </w:r>
      <w:r>
        <w:t>misstatement</w:t>
      </w:r>
      <w:r>
        <w:rPr>
          <w:spacing w:val="-4"/>
        </w:rPr>
        <w:t xml:space="preserve"> </w:t>
      </w:r>
      <w:r>
        <w:t>at</w:t>
      </w:r>
      <w:r>
        <w:rPr>
          <w:spacing w:val="-4"/>
        </w:rPr>
        <w:t xml:space="preserve"> </w:t>
      </w:r>
      <w:r>
        <w:t>the</w:t>
      </w:r>
      <w:r>
        <w:rPr>
          <w:spacing w:val="-4"/>
        </w:rPr>
        <w:t xml:space="preserve"> </w:t>
      </w:r>
      <w:r>
        <w:t>assertion</w:t>
      </w:r>
      <w:r>
        <w:rPr>
          <w:spacing w:val="-4"/>
        </w:rPr>
        <w:t xml:space="preserve"> </w:t>
      </w:r>
      <w:r>
        <w:t>level</w:t>
      </w:r>
      <w:r>
        <w:rPr>
          <w:spacing w:val="-4"/>
        </w:rPr>
        <w:t xml:space="preserve"> </w:t>
      </w:r>
      <w:r>
        <w:t>for</w:t>
      </w:r>
      <w:r>
        <w:rPr>
          <w:spacing w:val="-5"/>
        </w:rPr>
        <w:t xml:space="preserve"> </w:t>
      </w:r>
      <w:r>
        <w:t>which inherent risk is more than remote, the auditor should identify the control objectives</w:t>
      </w:r>
      <w:r>
        <w:rPr>
          <w:spacing w:val="-3"/>
        </w:rPr>
        <w:t xml:space="preserve"> </w:t>
      </w:r>
      <w:r>
        <w:t>that</w:t>
      </w:r>
      <w:r>
        <w:rPr>
          <w:spacing w:val="-3"/>
        </w:rPr>
        <w:t xml:space="preserve"> </w:t>
      </w:r>
      <w:r>
        <w:t>could</w:t>
      </w:r>
      <w:r>
        <w:rPr>
          <w:spacing w:val="-3"/>
        </w:rPr>
        <w:t xml:space="preserve"> </w:t>
      </w:r>
      <w:r>
        <w:t>prevent,</w:t>
      </w:r>
      <w:r>
        <w:rPr>
          <w:spacing w:val="-3"/>
        </w:rPr>
        <w:t xml:space="preserve"> </w:t>
      </w:r>
      <w:r>
        <w:t>or</w:t>
      </w:r>
      <w:r>
        <w:rPr>
          <w:spacing w:val="-3"/>
        </w:rPr>
        <w:t xml:space="preserve"> </w:t>
      </w:r>
      <w:r>
        <w:t>detect</w:t>
      </w:r>
      <w:r>
        <w:rPr>
          <w:spacing w:val="-3"/>
        </w:rPr>
        <w:t xml:space="preserve"> </w:t>
      </w:r>
      <w:r>
        <w:t>and</w:t>
      </w:r>
      <w:r>
        <w:rPr>
          <w:spacing w:val="-3"/>
        </w:rPr>
        <w:t xml:space="preserve"> </w:t>
      </w:r>
      <w:r>
        <w:t>correct,</w:t>
      </w:r>
      <w:r>
        <w:rPr>
          <w:spacing w:val="-3"/>
        </w:rPr>
        <w:t xml:space="preserve"> </w:t>
      </w:r>
      <w:r>
        <w:t>the</w:t>
      </w:r>
      <w:r>
        <w:rPr>
          <w:spacing w:val="-3"/>
        </w:rPr>
        <w:t xml:space="preserve"> </w:t>
      </w:r>
      <w:r>
        <w:t>potential</w:t>
      </w:r>
      <w:r>
        <w:rPr>
          <w:spacing w:val="-3"/>
        </w:rPr>
        <w:t xml:space="preserve"> </w:t>
      </w:r>
      <w:r>
        <w:t>misstatement. For each control objective identified, the auditor should identify the control activities that, if effectively designed, implemented, and operating, would allow management to achieve the control objective. See FAM 340.</w:t>
      </w:r>
    </w:p>
    <w:p w14:paraId="0DFDC4DD" w14:textId="77777777" w:rsidR="00046465" w:rsidRDefault="008134EB">
      <w:pPr>
        <w:pStyle w:val="ListParagraph"/>
        <w:numPr>
          <w:ilvl w:val="0"/>
          <w:numId w:val="107"/>
        </w:numPr>
        <w:tabs>
          <w:tab w:val="left" w:pos="1800"/>
        </w:tabs>
        <w:ind w:right="836"/>
      </w:pPr>
      <w:r>
        <w:t>Table</w:t>
      </w:r>
      <w:r>
        <w:rPr>
          <w:spacing w:val="-4"/>
        </w:rPr>
        <w:t xml:space="preserve"> </w:t>
      </w:r>
      <w:r>
        <w:t>931.1</w:t>
      </w:r>
      <w:r>
        <w:rPr>
          <w:spacing w:val="-5"/>
        </w:rPr>
        <w:t xml:space="preserve"> </w:t>
      </w:r>
      <w:r>
        <w:t>provides</w:t>
      </w:r>
      <w:r>
        <w:rPr>
          <w:spacing w:val="-4"/>
        </w:rPr>
        <w:t xml:space="preserve"> </w:t>
      </w:r>
      <w:r>
        <w:t>guidance</w:t>
      </w:r>
      <w:r>
        <w:rPr>
          <w:spacing w:val="-4"/>
        </w:rPr>
        <w:t xml:space="preserve"> </w:t>
      </w:r>
      <w:r>
        <w:t>on</w:t>
      </w:r>
      <w:r>
        <w:rPr>
          <w:spacing w:val="-4"/>
        </w:rPr>
        <w:t xml:space="preserve"> </w:t>
      </w:r>
      <w:r>
        <w:t>identifying</w:t>
      </w:r>
      <w:r>
        <w:rPr>
          <w:spacing w:val="-5"/>
        </w:rPr>
        <w:t xml:space="preserve"> </w:t>
      </w:r>
      <w:r>
        <w:t>control</w:t>
      </w:r>
      <w:r>
        <w:rPr>
          <w:spacing w:val="-4"/>
        </w:rPr>
        <w:t xml:space="preserve"> </w:t>
      </w:r>
      <w:r>
        <w:t>activities</w:t>
      </w:r>
      <w:r>
        <w:rPr>
          <w:spacing w:val="-4"/>
        </w:rPr>
        <w:t xml:space="preserve"> </w:t>
      </w:r>
      <w:r>
        <w:t>for</w:t>
      </w:r>
      <w:r>
        <w:rPr>
          <w:spacing w:val="-4"/>
        </w:rPr>
        <w:t xml:space="preserve"> </w:t>
      </w:r>
      <w:r>
        <w:t>each</w:t>
      </w:r>
      <w:r>
        <w:rPr>
          <w:spacing w:val="-4"/>
        </w:rPr>
        <w:t xml:space="preserve"> </w:t>
      </w:r>
      <w:r>
        <w:t>assertion (existence, occurrence, completeness, accuracy, rights, and presentation), as well as segregation of duties, and related control objective(s).</w:t>
      </w:r>
    </w:p>
    <w:p w14:paraId="0DFDC4DE" w14:textId="77777777" w:rsidR="00046465" w:rsidRDefault="00046465">
      <w:pPr>
        <w:pStyle w:val="ListParagraph"/>
        <w:sectPr w:rsidR="00046465">
          <w:pgSz w:w="12240" w:h="15840"/>
          <w:pgMar w:top="1340" w:right="720" w:bottom="940" w:left="1080" w:header="721" w:footer="757" w:gutter="0"/>
          <w:cols w:space="720"/>
        </w:sectPr>
      </w:pPr>
    </w:p>
    <w:p w14:paraId="0DFDC4DF" w14:textId="77777777" w:rsidR="00046465" w:rsidRDefault="00046465">
      <w:pPr>
        <w:pStyle w:val="BodyText"/>
        <w:rPr>
          <w:sz w:val="20"/>
        </w:rPr>
      </w:pPr>
    </w:p>
    <w:p w14:paraId="0DFDC4E0" w14:textId="77777777" w:rsidR="00046465" w:rsidRDefault="00046465">
      <w:pPr>
        <w:pStyle w:val="BodyText"/>
        <w:spacing w:before="72" w:after="1"/>
        <w:rPr>
          <w:sz w:val="20"/>
        </w:r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7"/>
        <w:gridCol w:w="2513"/>
        <w:gridCol w:w="4770"/>
      </w:tblGrid>
      <w:tr w:rsidR="00046465" w14:paraId="0DFDC4E5" w14:textId="77777777">
        <w:trPr>
          <w:trHeight w:hRule="exact" w:val="466"/>
        </w:trPr>
        <w:tc>
          <w:tcPr>
            <w:tcW w:w="2347" w:type="dxa"/>
            <w:tcBorders>
              <w:right w:val="single" w:sz="6" w:space="0" w:color="000000"/>
            </w:tcBorders>
            <w:shd w:val="clear" w:color="auto" w:fill="BEBEBE"/>
          </w:tcPr>
          <w:p w14:paraId="0DFDC4E1" w14:textId="77777777" w:rsidR="00046465" w:rsidRDefault="008134EB">
            <w:pPr>
              <w:pStyle w:val="TableParagraph"/>
              <w:spacing w:line="206" w:lineRule="exact"/>
              <w:ind w:left="58" w:right="3"/>
              <w:jc w:val="center"/>
              <w:rPr>
                <w:b/>
                <w:sz w:val="18"/>
              </w:rPr>
            </w:pPr>
            <w:r>
              <w:rPr>
                <w:b/>
                <w:spacing w:val="-2"/>
                <w:sz w:val="18"/>
              </w:rPr>
              <w:t>Assertion/</w:t>
            </w:r>
          </w:p>
          <w:p w14:paraId="0DFDC4E2" w14:textId="77777777" w:rsidR="00046465" w:rsidRDefault="008134EB">
            <w:pPr>
              <w:pStyle w:val="TableParagraph"/>
              <w:spacing w:before="39" w:line="192" w:lineRule="exact"/>
              <w:ind w:left="58"/>
              <w:jc w:val="center"/>
              <w:rPr>
                <w:b/>
                <w:sz w:val="18"/>
              </w:rPr>
            </w:pPr>
            <w:r>
              <w:rPr>
                <w:b/>
                <w:sz w:val="18"/>
              </w:rPr>
              <w:t>segregation</w:t>
            </w:r>
            <w:r>
              <w:rPr>
                <w:b/>
                <w:spacing w:val="-3"/>
                <w:sz w:val="18"/>
              </w:rPr>
              <w:t xml:space="preserve"> </w:t>
            </w:r>
            <w:r>
              <w:rPr>
                <w:b/>
                <w:sz w:val="18"/>
              </w:rPr>
              <w:t>of</w:t>
            </w:r>
            <w:r>
              <w:rPr>
                <w:b/>
                <w:spacing w:val="-3"/>
                <w:sz w:val="18"/>
              </w:rPr>
              <w:t xml:space="preserve"> </w:t>
            </w:r>
            <w:r>
              <w:rPr>
                <w:b/>
                <w:spacing w:val="-2"/>
                <w:sz w:val="18"/>
              </w:rPr>
              <w:t>duties</w:t>
            </w:r>
          </w:p>
        </w:tc>
        <w:tc>
          <w:tcPr>
            <w:tcW w:w="2513" w:type="dxa"/>
            <w:tcBorders>
              <w:left w:val="single" w:sz="6" w:space="0" w:color="000000"/>
              <w:bottom w:val="single" w:sz="6" w:space="0" w:color="000000"/>
              <w:right w:val="single" w:sz="6" w:space="0" w:color="000000"/>
            </w:tcBorders>
            <w:shd w:val="clear" w:color="auto" w:fill="BEBEBE"/>
          </w:tcPr>
          <w:p w14:paraId="0DFDC4E3" w14:textId="77777777" w:rsidR="00046465" w:rsidRDefault="008134EB">
            <w:pPr>
              <w:pStyle w:val="TableParagraph"/>
              <w:spacing w:line="206" w:lineRule="exact"/>
              <w:ind w:left="537"/>
              <w:rPr>
                <w:b/>
                <w:sz w:val="18"/>
              </w:rPr>
            </w:pPr>
            <w:r>
              <w:rPr>
                <w:b/>
                <w:sz w:val="18"/>
              </w:rPr>
              <w:t>Control</w:t>
            </w:r>
            <w:r>
              <w:rPr>
                <w:b/>
                <w:spacing w:val="-5"/>
                <w:sz w:val="18"/>
              </w:rPr>
              <w:t xml:space="preserve"> </w:t>
            </w:r>
            <w:r>
              <w:rPr>
                <w:b/>
                <w:spacing w:val="-2"/>
                <w:sz w:val="18"/>
              </w:rPr>
              <w:t>objective</w:t>
            </w:r>
          </w:p>
        </w:tc>
        <w:tc>
          <w:tcPr>
            <w:tcW w:w="4770" w:type="dxa"/>
            <w:tcBorders>
              <w:left w:val="single" w:sz="6" w:space="0" w:color="000000"/>
              <w:bottom w:val="single" w:sz="6" w:space="0" w:color="000000"/>
            </w:tcBorders>
            <w:shd w:val="clear" w:color="auto" w:fill="BEBEBE"/>
          </w:tcPr>
          <w:p w14:paraId="0DFDC4E4" w14:textId="77777777" w:rsidR="00046465" w:rsidRDefault="008134EB">
            <w:pPr>
              <w:pStyle w:val="TableParagraph"/>
              <w:spacing w:line="206" w:lineRule="exact"/>
              <w:ind w:left="1204"/>
              <w:rPr>
                <w:b/>
                <w:sz w:val="18"/>
              </w:rPr>
            </w:pPr>
            <w:r>
              <w:rPr>
                <w:b/>
                <w:sz w:val="18"/>
              </w:rPr>
              <w:t>Identifying</w:t>
            </w:r>
            <w:r>
              <w:rPr>
                <w:b/>
                <w:spacing w:val="-3"/>
                <w:sz w:val="18"/>
              </w:rPr>
              <w:t xml:space="preserve"> </w:t>
            </w:r>
            <w:r>
              <w:rPr>
                <w:b/>
                <w:sz w:val="18"/>
              </w:rPr>
              <w:t>control</w:t>
            </w:r>
            <w:r>
              <w:rPr>
                <w:b/>
                <w:spacing w:val="-3"/>
                <w:sz w:val="18"/>
              </w:rPr>
              <w:t xml:space="preserve"> </w:t>
            </w:r>
            <w:r>
              <w:rPr>
                <w:b/>
                <w:spacing w:val="-2"/>
                <w:sz w:val="18"/>
              </w:rPr>
              <w:t>activities</w:t>
            </w:r>
          </w:p>
        </w:tc>
      </w:tr>
      <w:tr w:rsidR="00046465" w14:paraId="0DFDC4E9" w14:textId="77777777">
        <w:trPr>
          <w:trHeight w:hRule="exact" w:val="285"/>
        </w:trPr>
        <w:tc>
          <w:tcPr>
            <w:tcW w:w="2347" w:type="dxa"/>
            <w:vMerge w:val="restart"/>
            <w:tcBorders>
              <w:right w:val="single" w:sz="6" w:space="0" w:color="000000"/>
            </w:tcBorders>
          </w:tcPr>
          <w:p w14:paraId="0DFDC4E6" w14:textId="77777777" w:rsidR="00046465" w:rsidRDefault="008134EB">
            <w:pPr>
              <w:pStyle w:val="TableParagraph"/>
              <w:spacing w:before="38"/>
              <w:ind w:left="57"/>
              <w:rPr>
                <w:b/>
                <w:sz w:val="18"/>
              </w:rPr>
            </w:pPr>
            <w:r>
              <w:rPr>
                <w:b/>
                <w:spacing w:val="-2"/>
                <w:sz w:val="18"/>
              </w:rPr>
              <w:t>Existence</w:t>
            </w:r>
          </w:p>
          <w:p w14:paraId="0DFDC4E7" w14:textId="77777777" w:rsidR="00046465" w:rsidRDefault="008134EB">
            <w:pPr>
              <w:pStyle w:val="TableParagraph"/>
              <w:spacing w:before="45" w:line="235" w:lineRule="auto"/>
              <w:ind w:left="267" w:hanging="212"/>
              <w:rPr>
                <w:position w:val="6"/>
                <w:sz w:val="12"/>
              </w:rPr>
            </w:pPr>
            <w:r>
              <w:rPr>
                <w:sz w:val="18"/>
              </w:rPr>
              <w:t>1.</w:t>
            </w:r>
            <w:r>
              <w:rPr>
                <w:spacing w:val="-10"/>
                <w:sz w:val="18"/>
              </w:rPr>
              <w:t xml:space="preserve"> </w:t>
            </w:r>
            <w:r>
              <w:rPr>
                <w:sz w:val="18"/>
              </w:rPr>
              <w:t>Recorded</w:t>
            </w:r>
            <w:r>
              <w:rPr>
                <w:spacing w:val="-7"/>
                <w:sz w:val="18"/>
              </w:rPr>
              <w:t xml:space="preserve"> </w:t>
            </w:r>
            <w:r>
              <w:rPr>
                <w:sz w:val="18"/>
              </w:rPr>
              <w:t>land</w:t>
            </w:r>
            <w:r>
              <w:rPr>
                <w:spacing w:val="-8"/>
                <w:sz w:val="18"/>
              </w:rPr>
              <w:t xml:space="preserve"> </w:t>
            </w:r>
            <w:r>
              <w:rPr>
                <w:sz w:val="18"/>
              </w:rPr>
              <w:t>exists</w:t>
            </w:r>
            <w:r>
              <w:rPr>
                <w:spacing w:val="-13"/>
                <w:sz w:val="18"/>
              </w:rPr>
              <w:t xml:space="preserve"> </w:t>
            </w:r>
            <w:r>
              <w:rPr>
                <w:sz w:val="18"/>
              </w:rPr>
              <w:t>at</w:t>
            </w:r>
            <w:r>
              <w:rPr>
                <w:spacing w:val="-12"/>
                <w:sz w:val="18"/>
              </w:rPr>
              <w:t xml:space="preserve"> </w:t>
            </w:r>
            <w:r>
              <w:rPr>
                <w:sz w:val="18"/>
              </w:rPr>
              <w:t>a given</w:t>
            </w:r>
            <w:r>
              <w:rPr>
                <w:spacing w:val="-13"/>
                <w:sz w:val="18"/>
              </w:rPr>
              <w:t xml:space="preserve"> </w:t>
            </w:r>
            <w:r>
              <w:rPr>
                <w:sz w:val="18"/>
              </w:rPr>
              <w:t>date.</w:t>
            </w:r>
            <w:r>
              <w:rPr>
                <w:position w:val="6"/>
                <w:sz w:val="12"/>
              </w:rPr>
              <w:t>a</w:t>
            </w:r>
          </w:p>
        </w:tc>
        <w:tc>
          <w:tcPr>
            <w:tcW w:w="7283" w:type="dxa"/>
            <w:gridSpan w:val="2"/>
            <w:tcBorders>
              <w:top w:val="single" w:sz="6" w:space="0" w:color="000000"/>
              <w:left w:val="single" w:sz="6" w:space="0" w:color="000000"/>
              <w:bottom w:val="single" w:sz="6" w:space="0" w:color="000000"/>
            </w:tcBorders>
            <w:shd w:val="clear" w:color="auto" w:fill="D9D9D9"/>
          </w:tcPr>
          <w:p w14:paraId="0DFDC4E8" w14:textId="77777777" w:rsidR="00046465" w:rsidRDefault="008134EB">
            <w:pPr>
              <w:pStyle w:val="TableParagraph"/>
              <w:ind w:left="42" w:right="3"/>
              <w:jc w:val="center"/>
              <w:rPr>
                <w:b/>
                <w:sz w:val="18"/>
              </w:rPr>
            </w:pPr>
            <w:r>
              <w:rPr>
                <w:b/>
                <w:spacing w:val="-2"/>
                <w:sz w:val="18"/>
              </w:rPr>
              <w:t>Balance</w:t>
            </w:r>
          </w:p>
        </w:tc>
      </w:tr>
      <w:tr w:rsidR="00046465" w14:paraId="0DFDC4EE" w14:textId="77777777">
        <w:trPr>
          <w:trHeight w:hRule="exact" w:val="1412"/>
        </w:trPr>
        <w:tc>
          <w:tcPr>
            <w:tcW w:w="2347" w:type="dxa"/>
            <w:vMerge/>
            <w:tcBorders>
              <w:top w:val="nil"/>
              <w:right w:val="single" w:sz="6" w:space="0" w:color="000000"/>
            </w:tcBorders>
          </w:tcPr>
          <w:p w14:paraId="0DFDC4EA" w14:textId="77777777" w:rsidR="00046465" w:rsidRDefault="00046465">
            <w:pPr>
              <w:rPr>
                <w:sz w:val="2"/>
                <w:szCs w:val="2"/>
              </w:rPr>
            </w:pPr>
          </w:p>
        </w:tc>
        <w:tc>
          <w:tcPr>
            <w:tcW w:w="2513" w:type="dxa"/>
            <w:tcBorders>
              <w:top w:val="single" w:sz="6" w:space="0" w:color="000000"/>
              <w:left w:val="single" w:sz="6" w:space="0" w:color="000000"/>
              <w:bottom w:val="single" w:sz="6" w:space="0" w:color="000000"/>
              <w:right w:val="single" w:sz="6" w:space="0" w:color="000000"/>
            </w:tcBorders>
          </w:tcPr>
          <w:p w14:paraId="0DFDC4EB" w14:textId="77777777" w:rsidR="00046465" w:rsidRDefault="008134EB">
            <w:pPr>
              <w:pStyle w:val="TableParagraph"/>
              <w:ind w:left="358" w:right="188" w:hanging="270"/>
              <w:rPr>
                <w:sz w:val="18"/>
              </w:rPr>
            </w:pPr>
            <w:r>
              <w:rPr>
                <w:sz w:val="18"/>
              </w:rPr>
              <w:t>a.</w:t>
            </w:r>
            <w:r>
              <w:rPr>
                <w:spacing w:val="10"/>
                <w:sz w:val="18"/>
              </w:rPr>
              <w:t xml:space="preserve"> </w:t>
            </w:r>
            <w:r>
              <w:rPr>
                <w:sz w:val="18"/>
              </w:rPr>
              <w:t>Land</w:t>
            </w:r>
            <w:r>
              <w:rPr>
                <w:spacing w:val="-12"/>
                <w:sz w:val="18"/>
              </w:rPr>
              <w:t xml:space="preserve"> </w:t>
            </w:r>
            <w:r>
              <w:rPr>
                <w:sz w:val="18"/>
              </w:rPr>
              <w:t>exists</w:t>
            </w:r>
            <w:r>
              <w:rPr>
                <w:spacing w:val="-13"/>
                <w:sz w:val="18"/>
              </w:rPr>
              <w:t xml:space="preserve"> </w:t>
            </w:r>
            <w:r>
              <w:rPr>
                <w:sz w:val="18"/>
              </w:rPr>
              <w:t>at</w:t>
            </w:r>
            <w:r>
              <w:rPr>
                <w:spacing w:val="-12"/>
                <w:sz w:val="18"/>
              </w:rPr>
              <w:t xml:space="preserve"> </w:t>
            </w:r>
            <w:r>
              <w:rPr>
                <w:sz w:val="18"/>
              </w:rPr>
              <w:t>a</w:t>
            </w:r>
            <w:r>
              <w:rPr>
                <w:spacing w:val="-13"/>
                <w:sz w:val="18"/>
              </w:rPr>
              <w:t xml:space="preserve"> </w:t>
            </w:r>
            <w:r>
              <w:rPr>
                <w:sz w:val="18"/>
              </w:rPr>
              <w:t xml:space="preserve">given </w:t>
            </w:r>
            <w:r>
              <w:rPr>
                <w:spacing w:val="-2"/>
                <w:sz w:val="18"/>
              </w:rPr>
              <w:t>date.</w:t>
            </w:r>
          </w:p>
        </w:tc>
        <w:tc>
          <w:tcPr>
            <w:tcW w:w="4770" w:type="dxa"/>
            <w:tcBorders>
              <w:top w:val="single" w:sz="6" w:space="0" w:color="000000"/>
              <w:left w:val="single" w:sz="6" w:space="0" w:color="000000"/>
              <w:bottom w:val="single" w:sz="6" w:space="0" w:color="000000"/>
            </w:tcBorders>
          </w:tcPr>
          <w:p w14:paraId="0DFDC4EC" w14:textId="77777777" w:rsidR="00046465" w:rsidRDefault="008134EB">
            <w:pPr>
              <w:pStyle w:val="TableParagraph"/>
              <w:numPr>
                <w:ilvl w:val="0"/>
                <w:numId w:val="106"/>
              </w:numPr>
              <w:tabs>
                <w:tab w:val="left" w:pos="272"/>
              </w:tabs>
              <w:ind w:right="242"/>
              <w:rPr>
                <w:position w:val="6"/>
                <w:sz w:val="12"/>
              </w:rPr>
            </w:pPr>
            <w:r>
              <w:rPr>
                <w:sz w:val="18"/>
              </w:rPr>
              <w:t>How</w:t>
            </w:r>
            <w:r>
              <w:rPr>
                <w:spacing w:val="-5"/>
                <w:sz w:val="18"/>
              </w:rPr>
              <w:t xml:space="preserve"> </w:t>
            </w:r>
            <w:r>
              <w:rPr>
                <w:sz w:val="18"/>
              </w:rPr>
              <w:t>does</w:t>
            </w:r>
            <w:r>
              <w:rPr>
                <w:spacing w:val="-5"/>
                <w:sz w:val="18"/>
              </w:rPr>
              <w:t xml:space="preserve"> </w:t>
            </w:r>
            <w:r>
              <w:rPr>
                <w:sz w:val="18"/>
              </w:rPr>
              <w:t>the</w:t>
            </w:r>
            <w:r>
              <w:rPr>
                <w:spacing w:val="-4"/>
                <w:sz w:val="18"/>
              </w:rPr>
              <w:t xml:space="preserve"> </w:t>
            </w:r>
            <w:r>
              <w:rPr>
                <w:sz w:val="18"/>
              </w:rPr>
              <w:t>entity</w:t>
            </w:r>
            <w:r>
              <w:rPr>
                <w:spacing w:val="-5"/>
                <w:sz w:val="18"/>
              </w:rPr>
              <w:t xml:space="preserve"> </w:t>
            </w:r>
            <w:r>
              <w:rPr>
                <w:sz w:val="18"/>
              </w:rPr>
              <w:t>reasonably</w:t>
            </w:r>
            <w:r>
              <w:rPr>
                <w:spacing w:val="-5"/>
                <w:sz w:val="18"/>
              </w:rPr>
              <w:t xml:space="preserve"> </w:t>
            </w:r>
            <w:r>
              <w:rPr>
                <w:sz w:val="18"/>
              </w:rPr>
              <w:t>assure</w:t>
            </w:r>
            <w:r>
              <w:rPr>
                <w:spacing w:val="-6"/>
                <w:sz w:val="18"/>
              </w:rPr>
              <w:t xml:space="preserve"> </w:t>
            </w:r>
            <w:r>
              <w:rPr>
                <w:sz w:val="18"/>
              </w:rPr>
              <w:t>that</w:t>
            </w:r>
            <w:r>
              <w:rPr>
                <w:spacing w:val="-5"/>
                <w:sz w:val="18"/>
              </w:rPr>
              <w:t xml:space="preserve"> </w:t>
            </w:r>
            <w:r>
              <w:rPr>
                <w:sz w:val="18"/>
              </w:rPr>
              <w:t>land</w:t>
            </w:r>
            <w:r>
              <w:rPr>
                <w:spacing w:val="-6"/>
                <w:sz w:val="18"/>
              </w:rPr>
              <w:t xml:space="preserve"> </w:t>
            </w:r>
            <w:r>
              <w:rPr>
                <w:sz w:val="18"/>
              </w:rPr>
              <w:t xml:space="preserve">(i.e., parcel or unit of land) in underlying land records </w:t>
            </w:r>
            <w:r>
              <w:rPr>
                <w:spacing w:val="-2"/>
                <w:sz w:val="18"/>
              </w:rPr>
              <w:t>exists?</w:t>
            </w:r>
            <w:r>
              <w:rPr>
                <w:spacing w:val="-2"/>
                <w:position w:val="6"/>
                <w:sz w:val="12"/>
              </w:rPr>
              <w:t>b</w:t>
            </w:r>
          </w:p>
          <w:p w14:paraId="0DFDC4ED" w14:textId="77777777" w:rsidR="00046465" w:rsidRDefault="008134EB">
            <w:pPr>
              <w:pStyle w:val="TableParagraph"/>
              <w:numPr>
                <w:ilvl w:val="0"/>
                <w:numId w:val="106"/>
              </w:numPr>
              <w:tabs>
                <w:tab w:val="left" w:pos="272"/>
              </w:tabs>
              <w:spacing w:before="59"/>
              <w:ind w:right="353"/>
              <w:rPr>
                <w:sz w:val="18"/>
              </w:rPr>
            </w:pPr>
            <w:r>
              <w:rPr>
                <w:sz w:val="18"/>
              </w:rPr>
              <w:t>If</w:t>
            </w:r>
            <w:r>
              <w:rPr>
                <w:spacing w:val="-6"/>
                <w:sz w:val="18"/>
              </w:rPr>
              <w:t xml:space="preserve"> </w:t>
            </w:r>
            <w:r>
              <w:rPr>
                <w:sz w:val="18"/>
              </w:rPr>
              <w:t>applicable,</w:t>
            </w:r>
            <w:r>
              <w:rPr>
                <w:spacing w:val="-6"/>
                <w:sz w:val="18"/>
              </w:rPr>
              <w:t xml:space="preserve"> </w:t>
            </w:r>
            <w:r>
              <w:rPr>
                <w:sz w:val="18"/>
              </w:rPr>
              <w:t>how</w:t>
            </w:r>
            <w:r>
              <w:rPr>
                <w:spacing w:val="-6"/>
                <w:sz w:val="18"/>
              </w:rPr>
              <w:t xml:space="preserve"> </w:t>
            </w:r>
            <w:r>
              <w:rPr>
                <w:sz w:val="18"/>
              </w:rPr>
              <w:t>does</w:t>
            </w:r>
            <w:r>
              <w:rPr>
                <w:spacing w:val="-6"/>
                <w:sz w:val="18"/>
              </w:rPr>
              <w:t xml:space="preserve"> </w:t>
            </w:r>
            <w:r>
              <w:rPr>
                <w:sz w:val="18"/>
              </w:rPr>
              <w:t>the</w:t>
            </w:r>
            <w:r>
              <w:rPr>
                <w:spacing w:val="-7"/>
                <w:sz w:val="18"/>
              </w:rPr>
              <w:t xml:space="preserve"> </w:t>
            </w:r>
            <w:r>
              <w:rPr>
                <w:sz w:val="18"/>
              </w:rPr>
              <w:t>entity</w:t>
            </w:r>
            <w:r>
              <w:rPr>
                <w:spacing w:val="-6"/>
                <w:sz w:val="18"/>
              </w:rPr>
              <w:t xml:space="preserve"> </w:t>
            </w:r>
            <w:r>
              <w:rPr>
                <w:sz w:val="18"/>
              </w:rPr>
              <w:t>reasonably</w:t>
            </w:r>
            <w:r>
              <w:rPr>
                <w:spacing w:val="-5"/>
                <w:sz w:val="18"/>
              </w:rPr>
              <w:t xml:space="preserve"> </w:t>
            </w:r>
            <w:r>
              <w:rPr>
                <w:sz w:val="18"/>
              </w:rPr>
              <w:t>assure that it does not include, if material, land that is managed and reported by another federal entity?</w:t>
            </w:r>
          </w:p>
        </w:tc>
      </w:tr>
      <w:tr w:rsidR="00046465" w14:paraId="0DFDC4F3" w14:textId="77777777">
        <w:trPr>
          <w:trHeight w:hRule="exact" w:val="1427"/>
        </w:trPr>
        <w:tc>
          <w:tcPr>
            <w:tcW w:w="2347" w:type="dxa"/>
            <w:vMerge/>
            <w:tcBorders>
              <w:top w:val="nil"/>
              <w:right w:val="single" w:sz="6" w:space="0" w:color="000000"/>
            </w:tcBorders>
          </w:tcPr>
          <w:p w14:paraId="0DFDC4EF" w14:textId="77777777" w:rsidR="00046465" w:rsidRDefault="00046465">
            <w:pPr>
              <w:rPr>
                <w:sz w:val="2"/>
                <w:szCs w:val="2"/>
              </w:rPr>
            </w:pPr>
          </w:p>
        </w:tc>
        <w:tc>
          <w:tcPr>
            <w:tcW w:w="2513" w:type="dxa"/>
            <w:tcBorders>
              <w:top w:val="single" w:sz="6" w:space="0" w:color="000000"/>
              <w:left w:val="single" w:sz="6" w:space="0" w:color="000000"/>
              <w:bottom w:val="single" w:sz="6" w:space="0" w:color="000000"/>
              <w:right w:val="single" w:sz="6" w:space="0" w:color="000000"/>
            </w:tcBorders>
          </w:tcPr>
          <w:p w14:paraId="0DFDC4F0" w14:textId="77777777" w:rsidR="00046465" w:rsidRDefault="008134EB">
            <w:pPr>
              <w:pStyle w:val="TableParagraph"/>
              <w:ind w:left="358" w:right="188" w:hanging="270"/>
              <w:rPr>
                <w:sz w:val="18"/>
              </w:rPr>
            </w:pPr>
            <w:r>
              <w:rPr>
                <w:sz w:val="18"/>
              </w:rPr>
              <w:t>b.</w:t>
            </w:r>
            <w:r>
              <w:rPr>
                <w:spacing w:val="40"/>
                <w:sz w:val="18"/>
              </w:rPr>
              <w:t xml:space="preserve"> </w:t>
            </w:r>
            <w:r>
              <w:rPr>
                <w:sz w:val="18"/>
              </w:rPr>
              <w:t>Land is properly classified</w:t>
            </w:r>
            <w:r>
              <w:rPr>
                <w:spacing w:val="-13"/>
                <w:sz w:val="18"/>
              </w:rPr>
              <w:t xml:space="preserve"> </w:t>
            </w:r>
            <w:r>
              <w:rPr>
                <w:sz w:val="18"/>
              </w:rPr>
              <w:t>in</w:t>
            </w:r>
            <w:r>
              <w:rPr>
                <w:spacing w:val="-12"/>
                <w:sz w:val="18"/>
              </w:rPr>
              <w:t xml:space="preserve"> </w:t>
            </w:r>
            <w:r>
              <w:rPr>
                <w:sz w:val="18"/>
              </w:rPr>
              <w:t>the</w:t>
            </w:r>
            <w:r>
              <w:rPr>
                <w:spacing w:val="-13"/>
                <w:sz w:val="18"/>
              </w:rPr>
              <w:t xml:space="preserve"> </w:t>
            </w:r>
            <w:r>
              <w:rPr>
                <w:sz w:val="18"/>
              </w:rPr>
              <w:t xml:space="preserve">entity’s </w:t>
            </w:r>
            <w:r>
              <w:rPr>
                <w:spacing w:val="-2"/>
                <w:sz w:val="18"/>
              </w:rPr>
              <w:t>records</w:t>
            </w:r>
            <w:r>
              <w:rPr>
                <w:spacing w:val="-14"/>
                <w:sz w:val="18"/>
              </w:rPr>
              <w:t xml:space="preserve"> </w:t>
            </w:r>
            <w:r>
              <w:rPr>
                <w:spacing w:val="-2"/>
                <w:sz w:val="18"/>
              </w:rPr>
              <w:t>between</w:t>
            </w:r>
            <w:r>
              <w:rPr>
                <w:spacing w:val="-12"/>
                <w:sz w:val="18"/>
              </w:rPr>
              <w:t xml:space="preserve"> </w:t>
            </w:r>
            <w:r>
              <w:rPr>
                <w:spacing w:val="-2"/>
                <w:sz w:val="18"/>
              </w:rPr>
              <w:t xml:space="preserve">PP&amp;E </w:t>
            </w:r>
            <w:r>
              <w:rPr>
                <w:sz w:val="18"/>
              </w:rPr>
              <w:t xml:space="preserve">land and stewardship </w:t>
            </w:r>
            <w:r>
              <w:rPr>
                <w:spacing w:val="-2"/>
                <w:sz w:val="18"/>
              </w:rPr>
              <w:t>land.</w:t>
            </w:r>
          </w:p>
        </w:tc>
        <w:tc>
          <w:tcPr>
            <w:tcW w:w="4770" w:type="dxa"/>
            <w:tcBorders>
              <w:top w:val="single" w:sz="6" w:space="0" w:color="000000"/>
              <w:left w:val="single" w:sz="6" w:space="0" w:color="000000"/>
              <w:bottom w:val="single" w:sz="6" w:space="0" w:color="000000"/>
            </w:tcBorders>
          </w:tcPr>
          <w:p w14:paraId="0DFDC4F1" w14:textId="77777777" w:rsidR="00046465" w:rsidRDefault="008134EB">
            <w:pPr>
              <w:pStyle w:val="TableParagraph"/>
              <w:numPr>
                <w:ilvl w:val="0"/>
                <w:numId w:val="105"/>
              </w:numPr>
              <w:tabs>
                <w:tab w:val="left" w:pos="267"/>
              </w:tabs>
              <w:spacing w:before="1"/>
              <w:ind w:right="509"/>
              <w:rPr>
                <w:rFonts w:ascii="Symbol" w:hAnsi="Symbol"/>
                <w:sz w:val="18"/>
              </w:rPr>
            </w:pPr>
            <w:r>
              <w:rPr>
                <w:sz w:val="18"/>
              </w:rPr>
              <w:t>How</w:t>
            </w:r>
            <w:r>
              <w:rPr>
                <w:spacing w:val="-11"/>
                <w:sz w:val="18"/>
              </w:rPr>
              <w:t xml:space="preserve"> </w:t>
            </w:r>
            <w:r>
              <w:rPr>
                <w:sz w:val="18"/>
              </w:rPr>
              <w:t>does</w:t>
            </w:r>
            <w:r>
              <w:rPr>
                <w:spacing w:val="-11"/>
                <w:sz w:val="18"/>
              </w:rPr>
              <w:t xml:space="preserve"> </w:t>
            </w:r>
            <w:r>
              <w:rPr>
                <w:sz w:val="18"/>
              </w:rPr>
              <w:t>the</w:t>
            </w:r>
            <w:r>
              <w:rPr>
                <w:spacing w:val="-10"/>
                <w:sz w:val="18"/>
              </w:rPr>
              <w:t xml:space="preserve"> </w:t>
            </w:r>
            <w:r>
              <w:rPr>
                <w:sz w:val="18"/>
              </w:rPr>
              <w:t>entity</w:t>
            </w:r>
            <w:r>
              <w:rPr>
                <w:spacing w:val="-11"/>
                <w:sz w:val="18"/>
              </w:rPr>
              <w:t xml:space="preserve"> </w:t>
            </w:r>
            <w:r>
              <w:rPr>
                <w:sz w:val="18"/>
              </w:rPr>
              <w:t>reasonably</w:t>
            </w:r>
            <w:r>
              <w:rPr>
                <w:spacing w:val="-11"/>
                <w:sz w:val="18"/>
              </w:rPr>
              <w:t xml:space="preserve"> </w:t>
            </w:r>
            <w:r>
              <w:rPr>
                <w:sz w:val="18"/>
              </w:rPr>
              <w:t>assure</w:t>
            </w:r>
            <w:r>
              <w:rPr>
                <w:spacing w:val="-11"/>
                <w:sz w:val="18"/>
              </w:rPr>
              <w:t xml:space="preserve"> </w:t>
            </w:r>
            <w:r>
              <w:rPr>
                <w:sz w:val="18"/>
              </w:rPr>
              <w:t>that</w:t>
            </w:r>
            <w:r>
              <w:rPr>
                <w:spacing w:val="-11"/>
                <w:sz w:val="18"/>
              </w:rPr>
              <w:t xml:space="preserve"> </w:t>
            </w:r>
            <w:r>
              <w:rPr>
                <w:sz w:val="18"/>
              </w:rPr>
              <w:t>land</w:t>
            </w:r>
            <w:r>
              <w:rPr>
                <w:spacing w:val="-11"/>
                <w:sz w:val="18"/>
              </w:rPr>
              <w:t xml:space="preserve"> </w:t>
            </w:r>
            <w:r>
              <w:rPr>
                <w:sz w:val="18"/>
              </w:rPr>
              <w:t xml:space="preserve">is properly classified as PP&amp;E land or stewardship </w:t>
            </w:r>
            <w:r>
              <w:rPr>
                <w:spacing w:val="-2"/>
                <w:sz w:val="18"/>
              </w:rPr>
              <w:t>land?</w:t>
            </w:r>
          </w:p>
          <w:p w14:paraId="0DFDC4F2" w14:textId="77777777" w:rsidR="00046465" w:rsidRDefault="008134EB">
            <w:pPr>
              <w:pStyle w:val="TableParagraph"/>
              <w:numPr>
                <w:ilvl w:val="0"/>
                <w:numId w:val="105"/>
              </w:numPr>
              <w:tabs>
                <w:tab w:val="left" w:pos="258"/>
              </w:tabs>
              <w:spacing w:before="48" w:line="235" w:lineRule="auto"/>
              <w:ind w:left="258" w:right="531" w:hanging="173"/>
              <w:rPr>
                <w:rFonts w:ascii="Symbol" w:hAnsi="Symbol"/>
              </w:rPr>
            </w:pPr>
            <w:r>
              <w:rPr>
                <w:sz w:val="18"/>
              </w:rPr>
              <w:t>What are the entity’s policies and procedures to reasonably</w:t>
            </w:r>
            <w:r>
              <w:rPr>
                <w:spacing w:val="-13"/>
                <w:sz w:val="18"/>
              </w:rPr>
              <w:t xml:space="preserve"> </w:t>
            </w:r>
            <w:r>
              <w:rPr>
                <w:sz w:val="18"/>
              </w:rPr>
              <w:t>assure</w:t>
            </w:r>
            <w:r>
              <w:rPr>
                <w:spacing w:val="-12"/>
                <w:sz w:val="18"/>
              </w:rPr>
              <w:t xml:space="preserve"> </w:t>
            </w:r>
            <w:r>
              <w:rPr>
                <w:sz w:val="18"/>
              </w:rPr>
              <w:t>the</w:t>
            </w:r>
            <w:r>
              <w:rPr>
                <w:spacing w:val="-13"/>
                <w:sz w:val="18"/>
              </w:rPr>
              <w:t xml:space="preserve"> </w:t>
            </w:r>
            <w:r>
              <w:rPr>
                <w:sz w:val="18"/>
              </w:rPr>
              <w:t>recording</w:t>
            </w:r>
            <w:r>
              <w:rPr>
                <w:spacing w:val="-12"/>
                <w:sz w:val="18"/>
              </w:rPr>
              <w:t xml:space="preserve"> </w:t>
            </w:r>
            <w:r>
              <w:rPr>
                <w:sz w:val="18"/>
              </w:rPr>
              <w:t>and</w:t>
            </w:r>
            <w:r>
              <w:rPr>
                <w:spacing w:val="-12"/>
                <w:sz w:val="18"/>
              </w:rPr>
              <w:t xml:space="preserve"> </w:t>
            </w:r>
            <w:r>
              <w:rPr>
                <w:sz w:val="18"/>
              </w:rPr>
              <w:t>classifying</w:t>
            </w:r>
            <w:r>
              <w:rPr>
                <w:spacing w:val="-13"/>
                <w:sz w:val="18"/>
              </w:rPr>
              <w:t xml:space="preserve"> </w:t>
            </w:r>
            <w:r>
              <w:rPr>
                <w:sz w:val="18"/>
              </w:rPr>
              <w:t>of PP&amp;E land and stewardship land?</w:t>
            </w:r>
          </w:p>
        </w:tc>
      </w:tr>
      <w:tr w:rsidR="00046465" w14:paraId="0DFDC4F6" w14:textId="77777777">
        <w:trPr>
          <w:trHeight w:hRule="exact" w:val="284"/>
        </w:trPr>
        <w:tc>
          <w:tcPr>
            <w:tcW w:w="2347" w:type="dxa"/>
            <w:tcBorders>
              <w:bottom w:val="nil"/>
              <w:right w:val="single" w:sz="6" w:space="0" w:color="000000"/>
            </w:tcBorders>
          </w:tcPr>
          <w:p w14:paraId="0DFDC4F4" w14:textId="77777777" w:rsidR="00046465" w:rsidRDefault="008134EB">
            <w:pPr>
              <w:pStyle w:val="TableParagraph"/>
              <w:spacing w:before="41"/>
              <w:ind w:left="57"/>
              <w:rPr>
                <w:b/>
                <w:sz w:val="18"/>
              </w:rPr>
            </w:pPr>
            <w:r>
              <w:rPr>
                <w:b/>
                <w:spacing w:val="-2"/>
                <w:sz w:val="18"/>
              </w:rPr>
              <w:t>Occurrence</w:t>
            </w:r>
          </w:p>
        </w:tc>
        <w:tc>
          <w:tcPr>
            <w:tcW w:w="7283" w:type="dxa"/>
            <w:gridSpan w:val="2"/>
            <w:tcBorders>
              <w:top w:val="single" w:sz="6" w:space="0" w:color="000000"/>
              <w:left w:val="single" w:sz="6" w:space="0" w:color="000000"/>
              <w:bottom w:val="single" w:sz="6" w:space="0" w:color="000000"/>
            </w:tcBorders>
            <w:shd w:val="clear" w:color="auto" w:fill="D9D9D9"/>
          </w:tcPr>
          <w:p w14:paraId="0DFDC4F5" w14:textId="77777777" w:rsidR="00046465" w:rsidRDefault="008134EB">
            <w:pPr>
              <w:pStyle w:val="TableParagraph"/>
              <w:spacing w:line="206" w:lineRule="exact"/>
              <w:ind w:left="42"/>
              <w:jc w:val="center"/>
              <w:rPr>
                <w:b/>
                <w:sz w:val="18"/>
              </w:rPr>
            </w:pPr>
            <w:r>
              <w:rPr>
                <w:b/>
                <w:spacing w:val="-2"/>
                <w:sz w:val="18"/>
              </w:rPr>
              <w:t>Activity</w:t>
            </w:r>
          </w:p>
        </w:tc>
      </w:tr>
      <w:tr w:rsidR="00046465" w14:paraId="0DFDC4FA" w14:textId="77777777">
        <w:trPr>
          <w:trHeight w:hRule="exact" w:val="676"/>
        </w:trPr>
        <w:tc>
          <w:tcPr>
            <w:tcW w:w="2347" w:type="dxa"/>
            <w:tcBorders>
              <w:top w:val="nil"/>
              <w:bottom w:val="nil"/>
              <w:right w:val="single" w:sz="6" w:space="0" w:color="000000"/>
            </w:tcBorders>
          </w:tcPr>
          <w:p w14:paraId="0DFDC4F7" w14:textId="77777777" w:rsidR="00046465" w:rsidRDefault="008134EB">
            <w:pPr>
              <w:pStyle w:val="TableParagraph"/>
              <w:ind w:left="267" w:right="116" w:hanging="209"/>
              <w:rPr>
                <w:sz w:val="18"/>
              </w:rPr>
            </w:pPr>
            <w:r>
              <w:rPr>
                <w:sz w:val="18"/>
              </w:rPr>
              <w:t xml:space="preserve">2. Recorded land activity </w:t>
            </w:r>
            <w:r>
              <w:rPr>
                <w:spacing w:val="-2"/>
                <w:sz w:val="18"/>
              </w:rPr>
              <w:t>and</w:t>
            </w:r>
            <w:r>
              <w:rPr>
                <w:spacing w:val="-10"/>
                <w:sz w:val="18"/>
              </w:rPr>
              <w:t xml:space="preserve"> </w:t>
            </w:r>
            <w:r>
              <w:rPr>
                <w:spacing w:val="-2"/>
                <w:sz w:val="18"/>
              </w:rPr>
              <w:t>events</w:t>
            </w:r>
            <w:r>
              <w:rPr>
                <w:spacing w:val="-9"/>
                <w:sz w:val="18"/>
              </w:rPr>
              <w:t xml:space="preserve"> </w:t>
            </w:r>
            <w:r>
              <w:rPr>
                <w:spacing w:val="-2"/>
                <w:sz w:val="18"/>
              </w:rPr>
              <w:t>occurred</w:t>
            </w:r>
            <w:r>
              <w:rPr>
                <w:spacing w:val="-12"/>
                <w:sz w:val="18"/>
              </w:rPr>
              <w:t xml:space="preserve"> </w:t>
            </w:r>
            <w:r>
              <w:rPr>
                <w:spacing w:val="-2"/>
                <w:sz w:val="18"/>
              </w:rPr>
              <w:t xml:space="preserve">and </w:t>
            </w:r>
            <w:r>
              <w:rPr>
                <w:sz w:val="18"/>
              </w:rPr>
              <w:t>pertain to the entity.</w:t>
            </w:r>
          </w:p>
        </w:tc>
        <w:tc>
          <w:tcPr>
            <w:tcW w:w="2513" w:type="dxa"/>
            <w:tcBorders>
              <w:top w:val="single" w:sz="6" w:space="0" w:color="000000"/>
              <w:left w:val="single" w:sz="6" w:space="0" w:color="000000"/>
              <w:bottom w:val="nil"/>
              <w:right w:val="single" w:sz="6" w:space="0" w:color="000000"/>
            </w:tcBorders>
          </w:tcPr>
          <w:p w14:paraId="0DFDC4F8" w14:textId="77777777" w:rsidR="00046465" w:rsidRDefault="008134EB">
            <w:pPr>
              <w:pStyle w:val="TableParagraph"/>
              <w:spacing w:before="24"/>
              <w:ind w:left="88" w:right="188"/>
              <w:rPr>
                <w:sz w:val="18"/>
              </w:rPr>
            </w:pPr>
            <w:r>
              <w:rPr>
                <w:sz w:val="18"/>
              </w:rPr>
              <w:t>Recorded</w:t>
            </w:r>
            <w:r>
              <w:rPr>
                <w:spacing w:val="-13"/>
                <w:sz w:val="18"/>
              </w:rPr>
              <w:t xml:space="preserve"> </w:t>
            </w:r>
            <w:r>
              <w:rPr>
                <w:sz w:val="18"/>
              </w:rPr>
              <w:t>land</w:t>
            </w:r>
            <w:r>
              <w:rPr>
                <w:spacing w:val="-12"/>
                <w:sz w:val="18"/>
              </w:rPr>
              <w:t xml:space="preserve"> </w:t>
            </w:r>
            <w:r>
              <w:rPr>
                <w:sz w:val="18"/>
              </w:rPr>
              <w:t>activity</w:t>
            </w:r>
            <w:r>
              <w:rPr>
                <w:spacing w:val="-13"/>
                <w:sz w:val="18"/>
              </w:rPr>
              <w:t xml:space="preserve"> </w:t>
            </w:r>
            <w:r>
              <w:rPr>
                <w:sz w:val="18"/>
              </w:rPr>
              <w:t>and events actually occurred and pertain to the entity.</w:t>
            </w:r>
          </w:p>
        </w:tc>
        <w:tc>
          <w:tcPr>
            <w:tcW w:w="4770" w:type="dxa"/>
            <w:tcBorders>
              <w:top w:val="single" w:sz="6" w:space="0" w:color="000000"/>
              <w:left w:val="single" w:sz="6" w:space="0" w:color="000000"/>
              <w:bottom w:val="nil"/>
            </w:tcBorders>
          </w:tcPr>
          <w:p w14:paraId="0DFDC4F9" w14:textId="77777777" w:rsidR="00046465" w:rsidRDefault="008134EB">
            <w:pPr>
              <w:pStyle w:val="TableParagraph"/>
              <w:numPr>
                <w:ilvl w:val="0"/>
                <w:numId w:val="104"/>
              </w:numPr>
              <w:tabs>
                <w:tab w:val="left" w:pos="272"/>
              </w:tabs>
              <w:ind w:right="273"/>
              <w:rPr>
                <w:sz w:val="18"/>
              </w:rPr>
            </w:pPr>
            <w:r>
              <w:rPr>
                <w:sz w:val="18"/>
              </w:rPr>
              <w:t>How</w:t>
            </w:r>
            <w:r>
              <w:rPr>
                <w:spacing w:val="-6"/>
                <w:sz w:val="18"/>
              </w:rPr>
              <w:t xml:space="preserve"> </w:t>
            </w:r>
            <w:r>
              <w:rPr>
                <w:sz w:val="18"/>
              </w:rPr>
              <w:t>does</w:t>
            </w:r>
            <w:r>
              <w:rPr>
                <w:spacing w:val="-6"/>
                <w:sz w:val="18"/>
              </w:rPr>
              <w:t xml:space="preserve"> </w:t>
            </w:r>
            <w:r>
              <w:rPr>
                <w:sz w:val="18"/>
              </w:rPr>
              <w:t>the</w:t>
            </w:r>
            <w:r>
              <w:rPr>
                <w:spacing w:val="-5"/>
                <w:sz w:val="18"/>
              </w:rPr>
              <w:t xml:space="preserve"> </w:t>
            </w:r>
            <w:r>
              <w:rPr>
                <w:sz w:val="18"/>
              </w:rPr>
              <w:t>entity</w:t>
            </w:r>
            <w:r>
              <w:rPr>
                <w:spacing w:val="-6"/>
                <w:sz w:val="18"/>
              </w:rPr>
              <w:t xml:space="preserve"> </w:t>
            </w:r>
            <w:r>
              <w:rPr>
                <w:sz w:val="18"/>
              </w:rPr>
              <w:t>reasonably</w:t>
            </w:r>
            <w:r>
              <w:rPr>
                <w:spacing w:val="-6"/>
                <w:sz w:val="18"/>
              </w:rPr>
              <w:t xml:space="preserve"> </w:t>
            </w:r>
            <w:r>
              <w:rPr>
                <w:sz w:val="18"/>
              </w:rPr>
              <w:t>assure</w:t>
            </w:r>
            <w:r>
              <w:rPr>
                <w:spacing w:val="-7"/>
                <w:sz w:val="18"/>
              </w:rPr>
              <w:t xml:space="preserve"> </w:t>
            </w:r>
            <w:r>
              <w:rPr>
                <w:sz w:val="18"/>
              </w:rPr>
              <w:t>that</w:t>
            </w:r>
            <w:r>
              <w:rPr>
                <w:spacing w:val="-6"/>
                <w:sz w:val="18"/>
              </w:rPr>
              <w:t xml:space="preserve"> </w:t>
            </w:r>
            <w:r>
              <w:rPr>
                <w:sz w:val="18"/>
              </w:rPr>
              <w:t>recorded land activity and events are authorized by federal laws, regulations, and management policy?</w:t>
            </w:r>
          </w:p>
        </w:tc>
      </w:tr>
      <w:tr w:rsidR="00046465" w14:paraId="0DFDC4FE" w14:textId="77777777">
        <w:trPr>
          <w:trHeight w:hRule="exact" w:val="1102"/>
        </w:trPr>
        <w:tc>
          <w:tcPr>
            <w:tcW w:w="2347" w:type="dxa"/>
            <w:tcBorders>
              <w:top w:val="nil"/>
              <w:bottom w:val="nil"/>
              <w:right w:val="single" w:sz="6" w:space="0" w:color="000000"/>
            </w:tcBorders>
          </w:tcPr>
          <w:p w14:paraId="0DFDC4FB" w14:textId="77777777" w:rsidR="00046465" w:rsidRDefault="00046465">
            <w:pPr>
              <w:pStyle w:val="TableParagraph"/>
              <w:rPr>
                <w:rFonts w:ascii="Times New Roman"/>
                <w:sz w:val="18"/>
              </w:rPr>
            </w:pPr>
          </w:p>
        </w:tc>
        <w:tc>
          <w:tcPr>
            <w:tcW w:w="2513" w:type="dxa"/>
            <w:tcBorders>
              <w:top w:val="nil"/>
              <w:left w:val="single" w:sz="6" w:space="0" w:color="000000"/>
              <w:bottom w:val="nil"/>
              <w:right w:val="single" w:sz="6" w:space="0" w:color="000000"/>
            </w:tcBorders>
          </w:tcPr>
          <w:p w14:paraId="0DFDC4FC" w14:textId="77777777" w:rsidR="00046465" w:rsidRDefault="00046465">
            <w:pPr>
              <w:pStyle w:val="TableParagraph"/>
              <w:rPr>
                <w:rFonts w:ascii="Times New Roman"/>
                <w:sz w:val="18"/>
              </w:rPr>
            </w:pPr>
          </w:p>
        </w:tc>
        <w:tc>
          <w:tcPr>
            <w:tcW w:w="4770" w:type="dxa"/>
            <w:tcBorders>
              <w:top w:val="nil"/>
              <w:left w:val="single" w:sz="6" w:space="0" w:color="000000"/>
              <w:bottom w:val="nil"/>
            </w:tcBorders>
          </w:tcPr>
          <w:p w14:paraId="0DFDC4FD" w14:textId="77777777" w:rsidR="00046465" w:rsidRDefault="008134EB">
            <w:pPr>
              <w:pStyle w:val="TableParagraph"/>
              <w:numPr>
                <w:ilvl w:val="0"/>
                <w:numId w:val="103"/>
              </w:numPr>
              <w:tabs>
                <w:tab w:val="left" w:pos="272"/>
              </w:tabs>
              <w:spacing w:before="24"/>
              <w:ind w:right="522"/>
              <w:rPr>
                <w:sz w:val="18"/>
              </w:rPr>
            </w:pPr>
            <w:r>
              <w:rPr>
                <w:sz w:val="18"/>
              </w:rPr>
              <w:t>How does the entity reasonably assure that appropriate individuals approve land activity and events</w:t>
            </w:r>
            <w:r>
              <w:rPr>
                <w:spacing w:val="-12"/>
                <w:sz w:val="18"/>
              </w:rPr>
              <w:t xml:space="preserve"> </w:t>
            </w:r>
            <w:r>
              <w:rPr>
                <w:sz w:val="18"/>
              </w:rPr>
              <w:t>(i.e.,</w:t>
            </w:r>
            <w:r>
              <w:rPr>
                <w:spacing w:val="-12"/>
                <w:sz w:val="18"/>
              </w:rPr>
              <w:t xml:space="preserve"> </w:t>
            </w:r>
            <w:r>
              <w:rPr>
                <w:sz w:val="18"/>
              </w:rPr>
              <w:t>acquiring</w:t>
            </w:r>
            <w:r>
              <w:rPr>
                <w:spacing w:val="-12"/>
                <w:sz w:val="18"/>
              </w:rPr>
              <w:t xml:space="preserve"> </w:t>
            </w:r>
            <w:r>
              <w:rPr>
                <w:sz w:val="18"/>
              </w:rPr>
              <w:t>and</w:t>
            </w:r>
            <w:r>
              <w:rPr>
                <w:spacing w:val="-13"/>
                <w:sz w:val="18"/>
              </w:rPr>
              <w:t xml:space="preserve"> </w:t>
            </w:r>
            <w:r>
              <w:rPr>
                <w:sz w:val="18"/>
              </w:rPr>
              <w:t>disposing</w:t>
            </w:r>
            <w:r>
              <w:rPr>
                <w:spacing w:val="-7"/>
                <w:sz w:val="18"/>
              </w:rPr>
              <w:t xml:space="preserve"> </w:t>
            </w:r>
            <w:r>
              <w:rPr>
                <w:sz w:val="18"/>
              </w:rPr>
              <w:t>of</w:t>
            </w:r>
            <w:r>
              <w:rPr>
                <w:spacing w:val="-11"/>
                <w:sz w:val="18"/>
              </w:rPr>
              <w:t xml:space="preserve"> </w:t>
            </w:r>
            <w:r>
              <w:rPr>
                <w:sz w:val="18"/>
              </w:rPr>
              <w:t>PP&amp;E</w:t>
            </w:r>
            <w:r>
              <w:rPr>
                <w:spacing w:val="-6"/>
                <w:sz w:val="18"/>
              </w:rPr>
              <w:t xml:space="preserve"> </w:t>
            </w:r>
            <w:r>
              <w:rPr>
                <w:sz w:val="18"/>
              </w:rPr>
              <w:t>land and stewardship land) in accordance with management’s policy?</w:t>
            </w:r>
          </w:p>
        </w:tc>
      </w:tr>
      <w:tr w:rsidR="00046465" w14:paraId="0DFDC502" w14:textId="77777777">
        <w:trPr>
          <w:trHeight w:hRule="exact" w:val="936"/>
        </w:trPr>
        <w:tc>
          <w:tcPr>
            <w:tcW w:w="2347" w:type="dxa"/>
            <w:tcBorders>
              <w:top w:val="nil"/>
              <w:bottom w:val="single" w:sz="6" w:space="0" w:color="000000"/>
              <w:right w:val="single" w:sz="6" w:space="0" w:color="000000"/>
            </w:tcBorders>
          </w:tcPr>
          <w:p w14:paraId="0DFDC4FF" w14:textId="77777777" w:rsidR="00046465" w:rsidRDefault="00046465">
            <w:pPr>
              <w:pStyle w:val="TableParagraph"/>
              <w:rPr>
                <w:rFonts w:ascii="Times New Roman"/>
                <w:sz w:val="18"/>
              </w:rPr>
            </w:pPr>
          </w:p>
        </w:tc>
        <w:tc>
          <w:tcPr>
            <w:tcW w:w="2513" w:type="dxa"/>
            <w:tcBorders>
              <w:top w:val="nil"/>
              <w:left w:val="single" w:sz="6" w:space="0" w:color="000000"/>
              <w:bottom w:val="single" w:sz="6" w:space="0" w:color="000000"/>
              <w:right w:val="single" w:sz="6" w:space="0" w:color="000000"/>
            </w:tcBorders>
          </w:tcPr>
          <w:p w14:paraId="0DFDC500" w14:textId="77777777" w:rsidR="00046465" w:rsidRDefault="00046465">
            <w:pPr>
              <w:pStyle w:val="TableParagraph"/>
              <w:rPr>
                <w:rFonts w:ascii="Times New Roman"/>
                <w:sz w:val="18"/>
              </w:rPr>
            </w:pPr>
          </w:p>
        </w:tc>
        <w:tc>
          <w:tcPr>
            <w:tcW w:w="4770" w:type="dxa"/>
            <w:tcBorders>
              <w:top w:val="nil"/>
              <w:left w:val="single" w:sz="6" w:space="0" w:color="000000"/>
              <w:bottom w:val="single" w:sz="6" w:space="0" w:color="000000"/>
            </w:tcBorders>
          </w:tcPr>
          <w:p w14:paraId="0DFDC501" w14:textId="77777777" w:rsidR="00046465" w:rsidRDefault="008134EB">
            <w:pPr>
              <w:pStyle w:val="TableParagraph"/>
              <w:numPr>
                <w:ilvl w:val="0"/>
                <w:numId w:val="102"/>
              </w:numPr>
              <w:tabs>
                <w:tab w:val="left" w:pos="271"/>
              </w:tabs>
              <w:spacing w:before="29"/>
              <w:ind w:right="304"/>
              <w:rPr>
                <w:sz w:val="18"/>
              </w:rPr>
            </w:pPr>
            <w:r>
              <w:rPr>
                <w:sz w:val="18"/>
              </w:rPr>
              <w:t>How does the entity reasonably assure that land activity and events recorded in the current period occurred</w:t>
            </w:r>
            <w:r>
              <w:rPr>
                <w:spacing w:val="-11"/>
                <w:sz w:val="18"/>
              </w:rPr>
              <w:t xml:space="preserve"> </w:t>
            </w:r>
            <w:r>
              <w:rPr>
                <w:sz w:val="18"/>
              </w:rPr>
              <w:t>and</w:t>
            </w:r>
            <w:r>
              <w:rPr>
                <w:spacing w:val="-12"/>
                <w:sz w:val="18"/>
              </w:rPr>
              <w:t xml:space="preserve"> </w:t>
            </w:r>
            <w:r>
              <w:rPr>
                <w:sz w:val="18"/>
              </w:rPr>
              <w:t>are</w:t>
            </w:r>
            <w:r>
              <w:rPr>
                <w:spacing w:val="-11"/>
                <w:sz w:val="18"/>
              </w:rPr>
              <w:t xml:space="preserve"> </w:t>
            </w:r>
            <w:r>
              <w:rPr>
                <w:sz w:val="18"/>
              </w:rPr>
              <w:t>properly</w:t>
            </w:r>
            <w:r>
              <w:rPr>
                <w:spacing w:val="-11"/>
                <w:sz w:val="18"/>
              </w:rPr>
              <w:t xml:space="preserve"> </w:t>
            </w:r>
            <w:r>
              <w:rPr>
                <w:sz w:val="18"/>
              </w:rPr>
              <w:t>classified</w:t>
            </w:r>
            <w:r>
              <w:rPr>
                <w:spacing w:val="-12"/>
                <w:sz w:val="18"/>
              </w:rPr>
              <w:t xml:space="preserve"> </w:t>
            </w:r>
            <w:r>
              <w:rPr>
                <w:sz w:val="18"/>
              </w:rPr>
              <w:t>as</w:t>
            </w:r>
            <w:r>
              <w:rPr>
                <w:spacing w:val="-11"/>
                <w:sz w:val="18"/>
              </w:rPr>
              <w:t xml:space="preserve"> </w:t>
            </w:r>
            <w:r>
              <w:rPr>
                <w:sz w:val="18"/>
              </w:rPr>
              <w:t>PP&amp;E</w:t>
            </w:r>
            <w:r>
              <w:rPr>
                <w:spacing w:val="-10"/>
                <w:sz w:val="18"/>
              </w:rPr>
              <w:t xml:space="preserve"> </w:t>
            </w:r>
            <w:r>
              <w:rPr>
                <w:sz w:val="18"/>
              </w:rPr>
              <w:t>land</w:t>
            </w:r>
            <w:r>
              <w:rPr>
                <w:spacing w:val="-6"/>
                <w:sz w:val="18"/>
              </w:rPr>
              <w:t xml:space="preserve"> </w:t>
            </w:r>
            <w:r>
              <w:rPr>
                <w:sz w:val="18"/>
              </w:rPr>
              <w:t>or stewardship land?</w:t>
            </w:r>
          </w:p>
        </w:tc>
      </w:tr>
      <w:tr w:rsidR="00046465" w14:paraId="0DFDC506" w14:textId="77777777">
        <w:trPr>
          <w:trHeight w:hRule="exact" w:val="285"/>
        </w:trPr>
        <w:tc>
          <w:tcPr>
            <w:tcW w:w="2347" w:type="dxa"/>
            <w:vMerge w:val="restart"/>
            <w:tcBorders>
              <w:top w:val="single" w:sz="6" w:space="0" w:color="000000"/>
              <w:bottom w:val="single" w:sz="6" w:space="0" w:color="000000"/>
              <w:right w:val="single" w:sz="6" w:space="0" w:color="000000"/>
            </w:tcBorders>
          </w:tcPr>
          <w:p w14:paraId="0DFDC503" w14:textId="77777777" w:rsidR="00046465" w:rsidRDefault="008134EB">
            <w:pPr>
              <w:pStyle w:val="TableParagraph"/>
              <w:spacing w:before="21"/>
              <w:ind w:left="58"/>
              <w:rPr>
                <w:b/>
                <w:sz w:val="18"/>
              </w:rPr>
            </w:pPr>
            <w:r>
              <w:rPr>
                <w:b/>
                <w:spacing w:val="-2"/>
                <w:sz w:val="18"/>
              </w:rPr>
              <w:t>Completeness</w:t>
            </w:r>
          </w:p>
          <w:p w14:paraId="0DFDC504" w14:textId="77777777" w:rsidR="00046465" w:rsidRDefault="008134EB">
            <w:pPr>
              <w:pStyle w:val="TableParagraph"/>
              <w:spacing w:before="2"/>
              <w:ind w:left="268" w:right="45" w:hanging="181"/>
              <w:rPr>
                <w:sz w:val="18"/>
              </w:rPr>
            </w:pPr>
            <w:r>
              <w:rPr>
                <w:sz w:val="18"/>
              </w:rPr>
              <w:t>1.</w:t>
            </w:r>
            <w:r>
              <w:rPr>
                <w:spacing w:val="-20"/>
                <w:sz w:val="18"/>
              </w:rPr>
              <w:t xml:space="preserve"> </w:t>
            </w:r>
            <w:r>
              <w:rPr>
                <w:sz w:val="18"/>
              </w:rPr>
              <w:t>All</w:t>
            </w:r>
            <w:r>
              <w:rPr>
                <w:spacing w:val="-14"/>
                <w:sz w:val="18"/>
              </w:rPr>
              <w:t xml:space="preserve"> </w:t>
            </w:r>
            <w:r>
              <w:rPr>
                <w:sz w:val="18"/>
              </w:rPr>
              <w:t>land</w:t>
            </w:r>
            <w:r>
              <w:rPr>
                <w:spacing w:val="-13"/>
                <w:sz w:val="18"/>
              </w:rPr>
              <w:t xml:space="preserve"> </w:t>
            </w:r>
            <w:r>
              <w:rPr>
                <w:sz w:val="18"/>
              </w:rPr>
              <w:t>that</w:t>
            </w:r>
            <w:r>
              <w:rPr>
                <w:spacing w:val="-12"/>
                <w:sz w:val="18"/>
              </w:rPr>
              <w:t xml:space="preserve"> </w:t>
            </w:r>
            <w:r>
              <w:rPr>
                <w:sz w:val="18"/>
              </w:rPr>
              <w:t>should</w:t>
            </w:r>
            <w:r>
              <w:rPr>
                <w:spacing w:val="-13"/>
                <w:sz w:val="18"/>
              </w:rPr>
              <w:t xml:space="preserve"> </w:t>
            </w:r>
            <w:r>
              <w:rPr>
                <w:sz w:val="18"/>
              </w:rPr>
              <w:t>have been</w:t>
            </w:r>
            <w:r>
              <w:rPr>
                <w:spacing w:val="-12"/>
                <w:sz w:val="18"/>
              </w:rPr>
              <w:t xml:space="preserve"> </w:t>
            </w:r>
            <w:r>
              <w:rPr>
                <w:sz w:val="18"/>
              </w:rPr>
              <w:t>recorded</w:t>
            </w:r>
            <w:r>
              <w:rPr>
                <w:spacing w:val="-10"/>
                <w:sz w:val="18"/>
              </w:rPr>
              <w:t xml:space="preserve"> </w:t>
            </w:r>
            <w:r>
              <w:rPr>
                <w:sz w:val="18"/>
              </w:rPr>
              <w:t>as</w:t>
            </w:r>
            <w:r>
              <w:rPr>
                <w:spacing w:val="-11"/>
                <w:sz w:val="18"/>
              </w:rPr>
              <w:t xml:space="preserve"> </w:t>
            </w:r>
            <w:r>
              <w:rPr>
                <w:sz w:val="18"/>
              </w:rPr>
              <w:t>PP&amp;E land and stewardship land is recorded in the proper period.</w:t>
            </w:r>
          </w:p>
        </w:tc>
        <w:tc>
          <w:tcPr>
            <w:tcW w:w="7283" w:type="dxa"/>
            <w:gridSpan w:val="2"/>
            <w:tcBorders>
              <w:top w:val="single" w:sz="6" w:space="0" w:color="000000"/>
              <w:left w:val="single" w:sz="6" w:space="0" w:color="000000"/>
              <w:bottom w:val="single" w:sz="6" w:space="0" w:color="000000"/>
            </w:tcBorders>
            <w:shd w:val="clear" w:color="auto" w:fill="D9D9D9"/>
          </w:tcPr>
          <w:p w14:paraId="0DFDC505" w14:textId="77777777" w:rsidR="00046465" w:rsidRDefault="008134EB">
            <w:pPr>
              <w:pStyle w:val="TableParagraph"/>
              <w:spacing w:before="24"/>
              <w:ind w:left="42" w:right="32"/>
              <w:jc w:val="center"/>
              <w:rPr>
                <w:b/>
                <w:sz w:val="18"/>
              </w:rPr>
            </w:pPr>
            <w:r>
              <w:rPr>
                <w:b/>
                <w:spacing w:val="-2"/>
                <w:sz w:val="18"/>
              </w:rPr>
              <w:t>Balance</w:t>
            </w:r>
          </w:p>
        </w:tc>
      </w:tr>
      <w:tr w:rsidR="00046465" w14:paraId="0DFDC50B" w14:textId="77777777">
        <w:trPr>
          <w:trHeight w:hRule="exact" w:val="1608"/>
        </w:trPr>
        <w:tc>
          <w:tcPr>
            <w:tcW w:w="2347" w:type="dxa"/>
            <w:vMerge/>
            <w:tcBorders>
              <w:top w:val="nil"/>
              <w:bottom w:val="single" w:sz="6" w:space="0" w:color="000000"/>
              <w:right w:val="single" w:sz="6" w:space="0" w:color="000000"/>
            </w:tcBorders>
          </w:tcPr>
          <w:p w14:paraId="0DFDC507" w14:textId="77777777" w:rsidR="00046465" w:rsidRDefault="00046465">
            <w:pPr>
              <w:rPr>
                <w:sz w:val="2"/>
                <w:szCs w:val="2"/>
              </w:rPr>
            </w:pPr>
          </w:p>
        </w:tc>
        <w:tc>
          <w:tcPr>
            <w:tcW w:w="2513" w:type="dxa"/>
            <w:tcBorders>
              <w:top w:val="single" w:sz="6" w:space="0" w:color="000000"/>
              <w:left w:val="single" w:sz="6" w:space="0" w:color="000000"/>
              <w:bottom w:val="single" w:sz="6" w:space="0" w:color="000000"/>
              <w:right w:val="single" w:sz="6" w:space="0" w:color="000000"/>
            </w:tcBorders>
          </w:tcPr>
          <w:p w14:paraId="0DFDC508" w14:textId="77777777" w:rsidR="00046465" w:rsidRDefault="008134EB">
            <w:pPr>
              <w:pStyle w:val="TableParagraph"/>
              <w:ind w:left="57"/>
              <w:rPr>
                <w:sz w:val="18"/>
              </w:rPr>
            </w:pPr>
            <w:r>
              <w:rPr>
                <w:sz w:val="18"/>
              </w:rPr>
              <w:t>PP&amp;E</w:t>
            </w:r>
            <w:r>
              <w:rPr>
                <w:spacing w:val="-13"/>
                <w:sz w:val="18"/>
              </w:rPr>
              <w:t xml:space="preserve"> </w:t>
            </w:r>
            <w:r>
              <w:rPr>
                <w:sz w:val="18"/>
              </w:rPr>
              <w:t>land</w:t>
            </w:r>
            <w:r>
              <w:rPr>
                <w:spacing w:val="-12"/>
                <w:sz w:val="18"/>
              </w:rPr>
              <w:t xml:space="preserve"> </w:t>
            </w:r>
            <w:r>
              <w:rPr>
                <w:sz w:val="18"/>
              </w:rPr>
              <w:t>and</w:t>
            </w:r>
            <w:r>
              <w:rPr>
                <w:spacing w:val="-13"/>
                <w:sz w:val="18"/>
              </w:rPr>
              <w:t xml:space="preserve"> </w:t>
            </w:r>
            <w:r>
              <w:rPr>
                <w:sz w:val="18"/>
              </w:rPr>
              <w:t>stewardship land</w:t>
            </w:r>
            <w:r>
              <w:rPr>
                <w:spacing w:val="-3"/>
                <w:sz w:val="18"/>
              </w:rPr>
              <w:t xml:space="preserve"> </w:t>
            </w:r>
            <w:r>
              <w:rPr>
                <w:sz w:val="18"/>
              </w:rPr>
              <w:t>that</w:t>
            </w:r>
            <w:r>
              <w:rPr>
                <w:spacing w:val="-3"/>
                <w:sz w:val="18"/>
              </w:rPr>
              <w:t xml:space="preserve"> </w:t>
            </w:r>
            <w:r>
              <w:rPr>
                <w:sz w:val="18"/>
              </w:rPr>
              <w:t>should have been recorded is recorded in the proper period.</w:t>
            </w:r>
          </w:p>
        </w:tc>
        <w:tc>
          <w:tcPr>
            <w:tcW w:w="4770" w:type="dxa"/>
            <w:tcBorders>
              <w:top w:val="single" w:sz="6" w:space="0" w:color="000000"/>
              <w:left w:val="single" w:sz="6" w:space="0" w:color="000000"/>
              <w:bottom w:val="single" w:sz="6" w:space="0" w:color="000000"/>
            </w:tcBorders>
          </w:tcPr>
          <w:p w14:paraId="0DFDC509" w14:textId="77777777" w:rsidR="00046465" w:rsidRDefault="008134EB">
            <w:pPr>
              <w:pStyle w:val="TableParagraph"/>
              <w:numPr>
                <w:ilvl w:val="0"/>
                <w:numId w:val="101"/>
              </w:numPr>
              <w:tabs>
                <w:tab w:val="left" w:pos="327"/>
                <w:tab w:val="left" w:pos="330"/>
              </w:tabs>
              <w:ind w:right="294" w:hanging="188"/>
              <w:rPr>
                <w:sz w:val="18"/>
              </w:rPr>
            </w:pPr>
            <w:r>
              <w:rPr>
                <w:sz w:val="18"/>
              </w:rPr>
              <w:t>How does the entity reasonably assure that underlying</w:t>
            </w:r>
            <w:r>
              <w:rPr>
                <w:spacing w:val="-11"/>
                <w:sz w:val="18"/>
              </w:rPr>
              <w:t xml:space="preserve"> </w:t>
            </w:r>
            <w:r>
              <w:rPr>
                <w:sz w:val="18"/>
              </w:rPr>
              <w:t>records</w:t>
            </w:r>
            <w:r>
              <w:rPr>
                <w:spacing w:val="-11"/>
                <w:sz w:val="18"/>
              </w:rPr>
              <w:t xml:space="preserve"> </w:t>
            </w:r>
            <w:r>
              <w:rPr>
                <w:sz w:val="18"/>
              </w:rPr>
              <w:t>of</w:t>
            </w:r>
            <w:r>
              <w:rPr>
                <w:spacing w:val="-11"/>
                <w:sz w:val="18"/>
              </w:rPr>
              <w:t xml:space="preserve"> </w:t>
            </w:r>
            <w:r>
              <w:rPr>
                <w:sz w:val="18"/>
              </w:rPr>
              <w:t>land</w:t>
            </w:r>
            <w:r>
              <w:rPr>
                <w:spacing w:val="-12"/>
                <w:sz w:val="18"/>
              </w:rPr>
              <w:t xml:space="preserve"> </w:t>
            </w:r>
            <w:r>
              <w:rPr>
                <w:sz w:val="18"/>
              </w:rPr>
              <w:t>are</w:t>
            </w:r>
            <w:r>
              <w:rPr>
                <w:spacing w:val="-13"/>
                <w:sz w:val="18"/>
              </w:rPr>
              <w:t xml:space="preserve"> </w:t>
            </w:r>
            <w:r>
              <w:rPr>
                <w:sz w:val="18"/>
              </w:rPr>
              <w:t>reconciled</w:t>
            </w:r>
            <w:r>
              <w:rPr>
                <w:spacing w:val="-12"/>
                <w:sz w:val="18"/>
              </w:rPr>
              <w:t xml:space="preserve"> </w:t>
            </w:r>
            <w:r>
              <w:rPr>
                <w:sz w:val="18"/>
              </w:rPr>
              <w:t>to</w:t>
            </w:r>
            <w:r>
              <w:rPr>
                <w:spacing w:val="-13"/>
                <w:sz w:val="18"/>
              </w:rPr>
              <w:t xml:space="preserve"> </w:t>
            </w:r>
            <w:r>
              <w:rPr>
                <w:sz w:val="18"/>
              </w:rPr>
              <w:t xml:space="preserve">reported </w:t>
            </w:r>
            <w:r>
              <w:rPr>
                <w:spacing w:val="-4"/>
                <w:sz w:val="18"/>
              </w:rPr>
              <w:t>land?</w:t>
            </w:r>
          </w:p>
          <w:p w14:paraId="0DFDC50A" w14:textId="77777777" w:rsidR="00046465" w:rsidRDefault="008134EB">
            <w:pPr>
              <w:pStyle w:val="TableParagraph"/>
              <w:numPr>
                <w:ilvl w:val="0"/>
                <w:numId w:val="101"/>
              </w:numPr>
              <w:tabs>
                <w:tab w:val="left" w:pos="327"/>
                <w:tab w:val="left" w:pos="330"/>
              </w:tabs>
              <w:spacing w:before="58"/>
              <w:ind w:right="374" w:hanging="188"/>
              <w:rPr>
                <w:sz w:val="18"/>
              </w:rPr>
            </w:pPr>
            <w:r>
              <w:rPr>
                <w:sz w:val="18"/>
              </w:rPr>
              <w:t>How does the entity reasonably assure that it periodically</w:t>
            </w:r>
            <w:r>
              <w:rPr>
                <w:spacing w:val="-13"/>
                <w:sz w:val="18"/>
              </w:rPr>
              <w:t xml:space="preserve"> </w:t>
            </w:r>
            <w:r>
              <w:rPr>
                <w:sz w:val="18"/>
              </w:rPr>
              <w:t>reconciles</w:t>
            </w:r>
            <w:r>
              <w:rPr>
                <w:spacing w:val="-12"/>
                <w:sz w:val="18"/>
              </w:rPr>
              <w:t xml:space="preserve"> </w:t>
            </w:r>
            <w:r>
              <w:rPr>
                <w:sz w:val="18"/>
              </w:rPr>
              <w:t>documentation</w:t>
            </w:r>
            <w:r>
              <w:rPr>
                <w:spacing w:val="-13"/>
                <w:sz w:val="18"/>
              </w:rPr>
              <w:t xml:space="preserve"> </w:t>
            </w:r>
            <w:r>
              <w:rPr>
                <w:sz w:val="18"/>
              </w:rPr>
              <w:t>of</w:t>
            </w:r>
            <w:r>
              <w:rPr>
                <w:spacing w:val="-12"/>
                <w:sz w:val="18"/>
              </w:rPr>
              <w:t xml:space="preserve"> </w:t>
            </w:r>
            <w:r>
              <w:rPr>
                <w:sz w:val="18"/>
              </w:rPr>
              <w:t>land</w:t>
            </w:r>
            <w:r>
              <w:rPr>
                <w:spacing w:val="-13"/>
                <w:sz w:val="18"/>
              </w:rPr>
              <w:t xml:space="preserve"> </w:t>
            </w:r>
            <w:r>
              <w:rPr>
                <w:sz w:val="18"/>
              </w:rPr>
              <w:t>under the</w:t>
            </w:r>
            <w:r>
              <w:rPr>
                <w:spacing w:val="-5"/>
                <w:sz w:val="18"/>
              </w:rPr>
              <w:t xml:space="preserve"> </w:t>
            </w:r>
            <w:r>
              <w:rPr>
                <w:sz w:val="18"/>
              </w:rPr>
              <w:t>entity’s</w:t>
            </w:r>
            <w:r>
              <w:rPr>
                <w:spacing w:val="-4"/>
                <w:sz w:val="18"/>
              </w:rPr>
              <w:t xml:space="preserve"> </w:t>
            </w:r>
            <w:r>
              <w:rPr>
                <w:sz w:val="18"/>
              </w:rPr>
              <w:t>management</w:t>
            </w:r>
            <w:r>
              <w:rPr>
                <w:spacing w:val="-4"/>
                <w:sz w:val="18"/>
              </w:rPr>
              <w:t xml:space="preserve"> </w:t>
            </w:r>
            <w:r>
              <w:rPr>
                <w:sz w:val="18"/>
              </w:rPr>
              <w:t>or</w:t>
            </w:r>
            <w:r>
              <w:rPr>
                <w:spacing w:val="-4"/>
                <w:sz w:val="18"/>
              </w:rPr>
              <w:t xml:space="preserve"> </w:t>
            </w:r>
            <w:r>
              <w:rPr>
                <w:sz w:val="18"/>
              </w:rPr>
              <w:t>control</w:t>
            </w:r>
            <w:r>
              <w:rPr>
                <w:spacing w:val="-4"/>
                <w:sz w:val="18"/>
              </w:rPr>
              <w:t xml:space="preserve"> </w:t>
            </w:r>
            <w:r>
              <w:rPr>
                <w:sz w:val="18"/>
              </w:rPr>
              <w:t>with</w:t>
            </w:r>
            <w:r>
              <w:rPr>
                <w:spacing w:val="-5"/>
                <w:sz w:val="18"/>
              </w:rPr>
              <w:t xml:space="preserve"> </w:t>
            </w:r>
            <w:r>
              <w:rPr>
                <w:sz w:val="18"/>
              </w:rPr>
              <w:t>the</w:t>
            </w:r>
            <w:r>
              <w:rPr>
                <w:spacing w:val="-5"/>
                <w:sz w:val="18"/>
              </w:rPr>
              <w:t xml:space="preserve"> </w:t>
            </w:r>
            <w:r>
              <w:rPr>
                <w:sz w:val="18"/>
              </w:rPr>
              <w:t>entity’s recorded land?</w:t>
            </w:r>
          </w:p>
        </w:tc>
      </w:tr>
      <w:tr w:rsidR="00046465" w14:paraId="0DFDC50E" w14:textId="77777777">
        <w:trPr>
          <w:trHeight w:hRule="exact" w:val="256"/>
        </w:trPr>
        <w:tc>
          <w:tcPr>
            <w:tcW w:w="2347" w:type="dxa"/>
            <w:tcBorders>
              <w:top w:val="single" w:sz="6" w:space="0" w:color="000000"/>
              <w:bottom w:val="nil"/>
              <w:right w:val="single" w:sz="6" w:space="0" w:color="000000"/>
            </w:tcBorders>
          </w:tcPr>
          <w:p w14:paraId="0DFDC50C" w14:textId="77777777" w:rsidR="00046465" w:rsidRDefault="008134EB">
            <w:pPr>
              <w:pStyle w:val="TableParagraph"/>
              <w:spacing w:before="39" w:line="190" w:lineRule="exact"/>
              <w:ind w:left="86"/>
              <w:rPr>
                <w:sz w:val="18"/>
              </w:rPr>
            </w:pPr>
            <w:r>
              <w:rPr>
                <w:sz w:val="18"/>
              </w:rPr>
              <w:t>2.</w:t>
            </w:r>
            <w:r>
              <w:rPr>
                <w:spacing w:val="-2"/>
                <w:sz w:val="18"/>
              </w:rPr>
              <w:t xml:space="preserve"> </w:t>
            </w:r>
            <w:r>
              <w:rPr>
                <w:sz w:val="18"/>
              </w:rPr>
              <w:t>All</w:t>
            </w:r>
            <w:r>
              <w:rPr>
                <w:spacing w:val="-2"/>
                <w:sz w:val="18"/>
              </w:rPr>
              <w:t xml:space="preserve"> </w:t>
            </w:r>
            <w:r>
              <w:rPr>
                <w:sz w:val="18"/>
              </w:rPr>
              <w:t>land</w:t>
            </w:r>
            <w:r>
              <w:rPr>
                <w:spacing w:val="-3"/>
                <w:sz w:val="18"/>
              </w:rPr>
              <w:t xml:space="preserve"> </w:t>
            </w:r>
            <w:r>
              <w:rPr>
                <w:sz w:val="18"/>
              </w:rPr>
              <w:t>activity</w:t>
            </w:r>
            <w:r>
              <w:rPr>
                <w:spacing w:val="-1"/>
                <w:sz w:val="18"/>
              </w:rPr>
              <w:t xml:space="preserve"> </w:t>
            </w:r>
            <w:r>
              <w:rPr>
                <w:spacing w:val="-5"/>
                <w:sz w:val="18"/>
              </w:rPr>
              <w:t>and</w:t>
            </w:r>
          </w:p>
        </w:tc>
        <w:tc>
          <w:tcPr>
            <w:tcW w:w="7283" w:type="dxa"/>
            <w:gridSpan w:val="2"/>
            <w:vMerge w:val="restart"/>
            <w:tcBorders>
              <w:top w:val="single" w:sz="6" w:space="0" w:color="000000"/>
              <w:left w:val="single" w:sz="6" w:space="0" w:color="000000"/>
              <w:bottom w:val="single" w:sz="6" w:space="0" w:color="000000"/>
            </w:tcBorders>
            <w:shd w:val="clear" w:color="auto" w:fill="D9D9D9"/>
          </w:tcPr>
          <w:p w14:paraId="0DFDC50D" w14:textId="77777777" w:rsidR="00046465" w:rsidRDefault="008134EB">
            <w:pPr>
              <w:pStyle w:val="TableParagraph"/>
              <w:spacing w:before="41"/>
              <w:ind w:left="42" w:right="29"/>
              <w:jc w:val="center"/>
              <w:rPr>
                <w:b/>
                <w:sz w:val="18"/>
              </w:rPr>
            </w:pPr>
            <w:r>
              <w:rPr>
                <w:b/>
                <w:spacing w:val="-2"/>
                <w:sz w:val="18"/>
              </w:rPr>
              <w:t>Activity</w:t>
            </w:r>
          </w:p>
        </w:tc>
      </w:tr>
      <w:tr w:rsidR="00046465" w14:paraId="0DFDC511" w14:textId="77777777">
        <w:trPr>
          <w:trHeight w:hRule="exact" w:val="44"/>
        </w:trPr>
        <w:tc>
          <w:tcPr>
            <w:tcW w:w="2347" w:type="dxa"/>
            <w:vMerge w:val="restart"/>
            <w:tcBorders>
              <w:top w:val="nil"/>
              <w:bottom w:val="nil"/>
              <w:right w:val="single" w:sz="6" w:space="0" w:color="000000"/>
            </w:tcBorders>
          </w:tcPr>
          <w:p w14:paraId="0DFDC50F" w14:textId="77777777" w:rsidR="00046465" w:rsidRDefault="008134EB">
            <w:pPr>
              <w:pStyle w:val="TableParagraph"/>
              <w:spacing w:line="186" w:lineRule="exact"/>
              <w:ind w:left="272"/>
              <w:rPr>
                <w:sz w:val="18"/>
              </w:rPr>
            </w:pPr>
            <w:r>
              <w:rPr>
                <w:spacing w:val="-2"/>
                <w:sz w:val="18"/>
              </w:rPr>
              <w:t>events</w:t>
            </w:r>
            <w:r>
              <w:rPr>
                <w:spacing w:val="-5"/>
                <w:sz w:val="18"/>
              </w:rPr>
              <w:t xml:space="preserve"> </w:t>
            </w:r>
            <w:r>
              <w:rPr>
                <w:spacing w:val="-2"/>
                <w:sz w:val="18"/>
              </w:rPr>
              <w:t>that</w:t>
            </w:r>
            <w:r>
              <w:rPr>
                <w:spacing w:val="-4"/>
                <w:sz w:val="18"/>
              </w:rPr>
              <w:t xml:space="preserve"> </w:t>
            </w:r>
            <w:r>
              <w:rPr>
                <w:spacing w:val="-2"/>
                <w:sz w:val="18"/>
              </w:rPr>
              <w:t>should</w:t>
            </w:r>
            <w:r>
              <w:rPr>
                <w:spacing w:val="-6"/>
                <w:sz w:val="18"/>
              </w:rPr>
              <w:t xml:space="preserve"> </w:t>
            </w:r>
            <w:r>
              <w:rPr>
                <w:spacing w:val="-4"/>
                <w:sz w:val="18"/>
              </w:rPr>
              <w:t>have</w:t>
            </w:r>
          </w:p>
        </w:tc>
        <w:tc>
          <w:tcPr>
            <w:tcW w:w="7283" w:type="dxa"/>
            <w:gridSpan w:val="2"/>
            <w:vMerge/>
            <w:tcBorders>
              <w:top w:val="nil"/>
              <w:left w:val="single" w:sz="6" w:space="0" w:color="000000"/>
              <w:bottom w:val="single" w:sz="6" w:space="0" w:color="000000"/>
            </w:tcBorders>
            <w:shd w:val="clear" w:color="auto" w:fill="D9D9D9"/>
          </w:tcPr>
          <w:p w14:paraId="0DFDC510" w14:textId="77777777" w:rsidR="00046465" w:rsidRDefault="00046465">
            <w:pPr>
              <w:rPr>
                <w:sz w:val="2"/>
                <w:szCs w:val="2"/>
              </w:rPr>
            </w:pPr>
          </w:p>
        </w:tc>
      </w:tr>
      <w:tr w:rsidR="00046465" w14:paraId="0DFDC515" w14:textId="77777777">
        <w:trPr>
          <w:trHeight w:hRule="exact" w:val="162"/>
        </w:trPr>
        <w:tc>
          <w:tcPr>
            <w:tcW w:w="2347" w:type="dxa"/>
            <w:vMerge/>
            <w:tcBorders>
              <w:top w:val="nil"/>
              <w:bottom w:val="nil"/>
              <w:right w:val="single" w:sz="6" w:space="0" w:color="000000"/>
            </w:tcBorders>
          </w:tcPr>
          <w:p w14:paraId="0DFDC512" w14:textId="77777777" w:rsidR="00046465" w:rsidRDefault="00046465">
            <w:pPr>
              <w:rPr>
                <w:sz w:val="2"/>
                <w:szCs w:val="2"/>
              </w:rPr>
            </w:pPr>
          </w:p>
        </w:tc>
        <w:tc>
          <w:tcPr>
            <w:tcW w:w="2513" w:type="dxa"/>
            <w:vMerge w:val="restart"/>
            <w:tcBorders>
              <w:top w:val="single" w:sz="6" w:space="0" w:color="000000"/>
              <w:left w:val="single" w:sz="6" w:space="0" w:color="000000"/>
              <w:bottom w:val="single" w:sz="6" w:space="0" w:color="000000"/>
              <w:right w:val="single" w:sz="6" w:space="0" w:color="000000"/>
            </w:tcBorders>
          </w:tcPr>
          <w:p w14:paraId="0DFDC513" w14:textId="77777777" w:rsidR="00046465" w:rsidRDefault="008134EB">
            <w:pPr>
              <w:pStyle w:val="TableParagraph"/>
              <w:ind w:left="342" w:hanging="270"/>
              <w:rPr>
                <w:sz w:val="18"/>
              </w:rPr>
            </w:pPr>
            <w:r>
              <w:rPr>
                <w:sz w:val="18"/>
              </w:rPr>
              <w:t>a.</w:t>
            </w:r>
            <w:r>
              <w:rPr>
                <w:spacing w:val="19"/>
                <w:sz w:val="18"/>
              </w:rPr>
              <w:t xml:space="preserve"> </w:t>
            </w:r>
            <w:r>
              <w:rPr>
                <w:sz w:val="18"/>
              </w:rPr>
              <w:t>All</w:t>
            </w:r>
            <w:r>
              <w:rPr>
                <w:spacing w:val="-12"/>
                <w:sz w:val="18"/>
              </w:rPr>
              <w:t xml:space="preserve"> </w:t>
            </w:r>
            <w:r>
              <w:rPr>
                <w:sz w:val="18"/>
              </w:rPr>
              <w:t>valid</w:t>
            </w:r>
            <w:r>
              <w:rPr>
                <w:spacing w:val="-13"/>
                <w:sz w:val="18"/>
              </w:rPr>
              <w:t xml:space="preserve"> </w:t>
            </w:r>
            <w:r>
              <w:rPr>
                <w:sz w:val="18"/>
              </w:rPr>
              <w:t>land</w:t>
            </w:r>
            <w:r>
              <w:rPr>
                <w:spacing w:val="-12"/>
                <w:sz w:val="18"/>
              </w:rPr>
              <w:t xml:space="preserve"> </w:t>
            </w:r>
            <w:r>
              <w:rPr>
                <w:sz w:val="18"/>
              </w:rPr>
              <w:t>activity</w:t>
            </w:r>
            <w:r>
              <w:rPr>
                <w:spacing w:val="-13"/>
                <w:sz w:val="18"/>
              </w:rPr>
              <w:t xml:space="preserve"> </w:t>
            </w:r>
            <w:r>
              <w:rPr>
                <w:sz w:val="18"/>
              </w:rPr>
              <w:t xml:space="preserve">and events for land are </w:t>
            </w:r>
            <w:r>
              <w:rPr>
                <w:spacing w:val="-2"/>
                <w:sz w:val="18"/>
              </w:rPr>
              <w:t>recorded.</w:t>
            </w:r>
          </w:p>
        </w:tc>
        <w:tc>
          <w:tcPr>
            <w:tcW w:w="4770" w:type="dxa"/>
            <w:vMerge w:val="restart"/>
            <w:tcBorders>
              <w:top w:val="single" w:sz="6" w:space="0" w:color="000000"/>
              <w:left w:val="single" w:sz="6" w:space="0" w:color="000000"/>
              <w:bottom w:val="single" w:sz="6" w:space="0" w:color="000000"/>
            </w:tcBorders>
          </w:tcPr>
          <w:p w14:paraId="0DFDC514" w14:textId="77777777" w:rsidR="00046465" w:rsidRDefault="008134EB">
            <w:pPr>
              <w:pStyle w:val="TableParagraph"/>
              <w:numPr>
                <w:ilvl w:val="0"/>
                <w:numId w:val="100"/>
              </w:numPr>
              <w:tabs>
                <w:tab w:val="left" w:pos="328"/>
              </w:tabs>
              <w:ind w:right="276"/>
              <w:rPr>
                <w:sz w:val="18"/>
              </w:rPr>
            </w:pPr>
            <w:r>
              <w:rPr>
                <w:sz w:val="18"/>
              </w:rPr>
              <w:t>How does the entity reasonably assure that all valid PP&amp;E</w:t>
            </w:r>
            <w:r>
              <w:rPr>
                <w:spacing w:val="-6"/>
                <w:sz w:val="18"/>
              </w:rPr>
              <w:t xml:space="preserve"> </w:t>
            </w:r>
            <w:r>
              <w:rPr>
                <w:sz w:val="18"/>
              </w:rPr>
              <w:t>land</w:t>
            </w:r>
            <w:r>
              <w:rPr>
                <w:spacing w:val="-5"/>
                <w:sz w:val="18"/>
              </w:rPr>
              <w:t xml:space="preserve"> </w:t>
            </w:r>
            <w:r>
              <w:rPr>
                <w:sz w:val="18"/>
              </w:rPr>
              <w:t>and</w:t>
            </w:r>
            <w:r>
              <w:rPr>
                <w:spacing w:val="-5"/>
                <w:sz w:val="18"/>
              </w:rPr>
              <w:t xml:space="preserve"> </w:t>
            </w:r>
            <w:r>
              <w:rPr>
                <w:sz w:val="18"/>
              </w:rPr>
              <w:t>stewardship</w:t>
            </w:r>
            <w:r>
              <w:rPr>
                <w:spacing w:val="-7"/>
                <w:sz w:val="18"/>
              </w:rPr>
              <w:t xml:space="preserve"> </w:t>
            </w:r>
            <w:r>
              <w:rPr>
                <w:sz w:val="18"/>
              </w:rPr>
              <w:t>land</w:t>
            </w:r>
            <w:r>
              <w:rPr>
                <w:spacing w:val="-7"/>
                <w:sz w:val="18"/>
              </w:rPr>
              <w:t xml:space="preserve"> </w:t>
            </w:r>
            <w:r>
              <w:rPr>
                <w:sz w:val="18"/>
              </w:rPr>
              <w:t>activity</w:t>
            </w:r>
            <w:r>
              <w:rPr>
                <w:spacing w:val="-6"/>
                <w:sz w:val="18"/>
              </w:rPr>
              <w:t xml:space="preserve"> </w:t>
            </w:r>
            <w:r>
              <w:rPr>
                <w:sz w:val="18"/>
              </w:rPr>
              <w:t>and</w:t>
            </w:r>
            <w:r>
              <w:rPr>
                <w:spacing w:val="-5"/>
                <w:sz w:val="18"/>
              </w:rPr>
              <w:t xml:space="preserve"> </w:t>
            </w:r>
            <w:r>
              <w:rPr>
                <w:sz w:val="18"/>
              </w:rPr>
              <w:t>events are appropriately recorded as PP&amp;E land and stewardship land?</w:t>
            </w:r>
          </w:p>
        </w:tc>
      </w:tr>
      <w:tr w:rsidR="00046465" w14:paraId="0DFDC519" w14:textId="77777777">
        <w:trPr>
          <w:trHeight w:hRule="exact" w:val="206"/>
        </w:trPr>
        <w:tc>
          <w:tcPr>
            <w:tcW w:w="2347" w:type="dxa"/>
            <w:tcBorders>
              <w:top w:val="nil"/>
              <w:bottom w:val="nil"/>
              <w:right w:val="single" w:sz="6" w:space="0" w:color="000000"/>
            </w:tcBorders>
          </w:tcPr>
          <w:p w14:paraId="0DFDC516" w14:textId="77777777" w:rsidR="00046465" w:rsidRDefault="008134EB">
            <w:pPr>
              <w:pStyle w:val="TableParagraph"/>
              <w:spacing w:line="187" w:lineRule="exact"/>
              <w:ind w:left="272"/>
              <w:rPr>
                <w:sz w:val="18"/>
              </w:rPr>
            </w:pPr>
            <w:r>
              <w:rPr>
                <w:sz w:val="18"/>
              </w:rPr>
              <w:t>been</w:t>
            </w:r>
            <w:r>
              <w:rPr>
                <w:spacing w:val="-4"/>
                <w:sz w:val="18"/>
              </w:rPr>
              <w:t xml:space="preserve"> </w:t>
            </w:r>
            <w:r>
              <w:rPr>
                <w:sz w:val="18"/>
              </w:rPr>
              <w:t>recorded</w:t>
            </w:r>
            <w:r>
              <w:rPr>
                <w:spacing w:val="-1"/>
                <w:sz w:val="18"/>
              </w:rPr>
              <w:t xml:space="preserve"> </w:t>
            </w:r>
            <w:r>
              <w:rPr>
                <w:spacing w:val="-5"/>
                <w:sz w:val="18"/>
              </w:rPr>
              <w:t>are</w:t>
            </w:r>
          </w:p>
        </w:tc>
        <w:tc>
          <w:tcPr>
            <w:tcW w:w="2513" w:type="dxa"/>
            <w:vMerge/>
            <w:tcBorders>
              <w:top w:val="nil"/>
              <w:left w:val="single" w:sz="6" w:space="0" w:color="000000"/>
              <w:bottom w:val="single" w:sz="6" w:space="0" w:color="000000"/>
              <w:right w:val="single" w:sz="6" w:space="0" w:color="000000"/>
            </w:tcBorders>
          </w:tcPr>
          <w:p w14:paraId="0DFDC517" w14:textId="77777777" w:rsidR="00046465" w:rsidRDefault="00046465">
            <w:pPr>
              <w:rPr>
                <w:sz w:val="2"/>
                <w:szCs w:val="2"/>
              </w:rPr>
            </w:pPr>
          </w:p>
        </w:tc>
        <w:tc>
          <w:tcPr>
            <w:tcW w:w="4770" w:type="dxa"/>
            <w:vMerge/>
            <w:tcBorders>
              <w:top w:val="nil"/>
              <w:left w:val="single" w:sz="6" w:space="0" w:color="000000"/>
              <w:bottom w:val="single" w:sz="6" w:space="0" w:color="000000"/>
            </w:tcBorders>
          </w:tcPr>
          <w:p w14:paraId="0DFDC518" w14:textId="77777777" w:rsidR="00046465" w:rsidRDefault="00046465">
            <w:pPr>
              <w:rPr>
                <w:sz w:val="2"/>
                <w:szCs w:val="2"/>
              </w:rPr>
            </w:pPr>
          </w:p>
        </w:tc>
      </w:tr>
      <w:tr w:rsidR="00046465" w14:paraId="0DFDC51D" w14:textId="77777777">
        <w:trPr>
          <w:trHeight w:hRule="exact" w:val="548"/>
        </w:trPr>
        <w:tc>
          <w:tcPr>
            <w:tcW w:w="2347" w:type="dxa"/>
            <w:tcBorders>
              <w:top w:val="nil"/>
              <w:bottom w:val="nil"/>
              <w:right w:val="single" w:sz="6" w:space="0" w:color="000000"/>
            </w:tcBorders>
          </w:tcPr>
          <w:p w14:paraId="0DFDC51A" w14:textId="77777777" w:rsidR="00046465" w:rsidRDefault="008134EB">
            <w:pPr>
              <w:pStyle w:val="TableParagraph"/>
              <w:spacing w:line="204" w:lineRule="exact"/>
              <w:ind w:left="272"/>
              <w:rPr>
                <w:sz w:val="18"/>
              </w:rPr>
            </w:pPr>
            <w:r>
              <w:rPr>
                <w:sz w:val="18"/>
              </w:rPr>
              <w:t>recorded</w:t>
            </w:r>
            <w:r>
              <w:rPr>
                <w:spacing w:val="-3"/>
                <w:sz w:val="18"/>
              </w:rPr>
              <w:t xml:space="preserve"> </w:t>
            </w:r>
            <w:r>
              <w:rPr>
                <w:sz w:val="18"/>
              </w:rPr>
              <w:t>in</w:t>
            </w:r>
            <w:r>
              <w:rPr>
                <w:spacing w:val="-2"/>
                <w:sz w:val="18"/>
              </w:rPr>
              <w:t xml:space="preserve"> </w:t>
            </w:r>
            <w:r>
              <w:rPr>
                <w:sz w:val="18"/>
              </w:rPr>
              <w:t xml:space="preserve">the </w:t>
            </w:r>
            <w:r>
              <w:rPr>
                <w:spacing w:val="-2"/>
                <w:sz w:val="18"/>
              </w:rPr>
              <w:t>period.</w:t>
            </w:r>
          </w:p>
        </w:tc>
        <w:tc>
          <w:tcPr>
            <w:tcW w:w="2513" w:type="dxa"/>
            <w:vMerge/>
            <w:tcBorders>
              <w:top w:val="nil"/>
              <w:left w:val="single" w:sz="6" w:space="0" w:color="000000"/>
              <w:bottom w:val="single" w:sz="6" w:space="0" w:color="000000"/>
              <w:right w:val="single" w:sz="6" w:space="0" w:color="000000"/>
            </w:tcBorders>
          </w:tcPr>
          <w:p w14:paraId="0DFDC51B" w14:textId="77777777" w:rsidR="00046465" w:rsidRDefault="00046465">
            <w:pPr>
              <w:rPr>
                <w:sz w:val="2"/>
                <w:szCs w:val="2"/>
              </w:rPr>
            </w:pPr>
          </w:p>
        </w:tc>
        <w:tc>
          <w:tcPr>
            <w:tcW w:w="4770" w:type="dxa"/>
            <w:vMerge/>
            <w:tcBorders>
              <w:top w:val="nil"/>
              <w:left w:val="single" w:sz="6" w:space="0" w:color="000000"/>
              <w:bottom w:val="single" w:sz="6" w:space="0" w:color="000000"/>
            </w:tcBorders>
          </w:tcPr>
          <w:p w14:paraId="0DFDC51C" w14:textId="77777777" w:rsidR="00046465" w:rsidRDefault="00046465">
            <w:pPr>
              <w:rPr>
                <w:sz w:val="2"/>
                <w:szCs w:val="2"/>
              </w:rPr>
            </w:pPr>
          </w:p>
        </w:tc>
      </w:tr>
      <w:tr w:rsidR="00046465" w14:paraId="0DFDC521" w14:textId="77777777">
        <w:trPr>
          <w:trHeight w:hRule="exact" w:val="1107"/>
        </w:trPr>
        <w:tc>
          <w:tcPr>
            <w:tcW w:w="2347" w:type="dxa"/>
            <w:tcBorders>
              <w:top w:val="nil"/>
              <w:right w:val="single" w:sz="6" w:space="0" w:color="000000"/>
            </w:tcBorders>
          </w:tcPr>
          <w:p w14:paraId="0DFDC51E" w14:textId="77777777" w:rsidR="00046465" w:rsidRDefault="00046465">
            <w:pPr>
              <w:pStyle w:val="TableParagraph"/>
              <w:rPr>
                <w:rFonts w:ascii="Times New Roman"/>
                <w:sz w:val="18"/>
              </w:rPr>
            </w:pPr>
          </w:p>
        </w:tc>
        <w:tc>
          <w:tcPr>
            <w:tcW w:w="2513" w:type="dxa"/>
            <w:tcBorders>
              <w:top w:val="single" w:sz="6" w:space="0" w:color="000000"/>
              <w:left w:val="single" w:sz="6" w:space="0" w:color="000000"/>
              <w:right w:val="single" w:sz="6" w:space="0" w:color="000000"/>
            </w:tcBorders>
          </w:tcPr>
          <w:p w14:paraId="0DFDC51F" w14:textId="77777777" w:rsidR="00046465" w:rsidRDefault="008134EB">
            <w:pPr>
              <w:pStyle w:val="TableParagraph"/>
              <w:ind w:left="342" w:right="70" w:hanging="270"/>
              <w:rPr>
                <w:sz w:val="18"/>
              </w:rPr>
            </w:pPr>
            <w:r>
              <w:rPr>
                <w:sz w:val="18"/>
              </w:rPr>
              <w:t>b.</w:t>
            </w:r>
            <w:r>
              <w:rPr>
                <w:spacing w:val="26"/>
                <w:sz w:val="18"/>
              </w:rPr>
              <w:t xml:space="preserve"> </w:t>
            </w:r>
            <w:r>
              <w:rPr>
                <w:sz w:val="18"/>
              </w:rPr>
              <w:t>All</w:t>
            </w:r>
            <w:r>
              <w:rPr>
                <w:spacing w:val="-8"/>
                <w:sz w:val="18"/>
              </w:rPr>
              <w:t xml:space="preserve"> </w:t>
            </w:r>
            <w:r>
              <w:rPr>
                <w:sz w:val="18"/>
              </w:rPr>
              <w:t>land</w:t>
            </w:r>
            <w:r>
              <w:rPr>
                <w:spacing w:val="-9"/>
                <w:sz w:val="18"/>
              </w:rPr>
              <w:t xml:space="preserve"> </w:t>
            </w:r>
            <w:r>
              <w:rPr>
                <w:sz w:val="18"/>
              </w:rPr>
              <w:t>activity</w:t>
            </w:r>
            <w:r>
              <w:rPr>
                <w:spacing w:val="-8"/>
                <w:sz w:val="18"/>
              </w:rPr>
              <w:t xml:space="preserve"> </w:t>
            </w:r>
            <w:r>
              <w:rPr>
                <w:sz w:val="18"/>
              </w:rPr>
              <w:t>and</w:t>
            </w:r>
            <w:r>
              <w:rPr>
                <w:spacing w:val="-9"/>
                <w:sz w:val="18"/>
              </w:rPr>
              <w:t xml:space="preserve"> </w:t>
            </w:r>
            <w:r>
              <w:rPr>
                <w:sz w:val="18"/>
              </w:rPr>
              <w:t xml:space="preserve">events that occurred in the current period are recorded in the current </w:t>
            </w:r>
            <w:r>
              <w:rPr>
                <w:spacing w:val="-2"/>
                <w:sz w:val="18"/>
              </w:rPr>
              <w:t>period.</w:t>
            </w:r>
          </w:p>
        </w:tc>
        <w:tc>
          <w:tcPr>
            <w:tcW w:w="4770" w:type="dxa"/>
            <w:tcBorders>
              <w:top w:val="single" w:sz="6" w:space="0" w:color="000000"/>
              <w:left w:val="single" w:sz="6" w:space="0" w:color="000000"/>
            </w:tcBorders>
          </w:tcPr>
          <w:p w14:paraId="0DFDC520" w14:textId="77777777" w:rsidR="00046465" w:rsidRDefault="008134EB">
            <w:pPr>
              <w:pStyle w:val="TableParagraph"/>
              <w:numPr>
                <w:ilvl w:val="0"/>
                <w:numId w:val="99"/>
              </w:numPr>
              <w:tabs>
                <w:tab w:val="left" w:pos="328"/>
              </w:tabs>
              <w:ind w:right="268"/>
              <w:rPr>
                <w:sz w:val="18"/>
              </w:rPr>
            </w:pPr>
            <w:r>
              <w:rPr>
                <w:sz w:val="18"/>
              </w:rPr>
              <w:t>How does the entity reasonably assure that activity and</w:t>
            </w:r>
            <w:r>
              <w:rPr>
                <w:spacing w:val="-6"/>
                <w:sz w:val="18"/>
              </w:rPr>
              <w:t xml:space="preserve"> </w:t>
            </w:r>
            <w:r>
              <w:rPr>
                <w:sz w:val="18"/>
              </w:rPr>
              <w:t>events</w:t>
            </w:r>
            <w:r>
              <w:rPr>
                <w:spacing w:val="-6"/>
                <w:sz w:val="18"/>
              </w:rPr>
              <w:t xml:space="preserve"> </w:t>
            </w:r>
            <w:r>
              <w:rPr>
                <w:sz w:val="18"/>
              </w:rPr>
              <w:t>for</w:t>
            </w:r>
            <w:r>
              <w:rPr>
                <w:spacing w:val="-6"/>
                <w:sz w:val="18"/>
              </w:rPr>
              <w:t xml:space="preserve"> </w:t>
            </w:r>
            <w:r>
              <w:rPr>
                <w:sz w:val="18"/>
              </w:rPr>
              <w:t>PP&amp;E</w:t>
            </w:r>
            <w:r>
              <w:rPr>
                <w:spacing w:val="-6"/>
                <w:sz w:val="18"/>
              </w:rPr>
              <w:t xml:space="preserve"> </w:t>
            </w:r>
            <w:r>
              <w:rPr>
                <w:sz w:val="18"/>
              </w:rPr>
              <w:t>land</w:t>
            </w:r>
            <w:r>
              <w:rPr>
                <w:spacing w:val="-5"/>
                <w:sz w:val="18"/>
              </w:rPr>
              <w:t xml:space="preserve"> </w:t>
            </w:r>
            <w:r>
              <w:rPr>
                <w:sz w:val="18"/>
              </w:rPr>
              <w:t>and</w:t>
            </w:r>
            <w:r>
              <w:rPr>
                <w:spacing w:val="-5"/>
                <w:sz w:val="18"/>
              </w:rPr>
              <w:t xml:space="preserve"> </w:t>
            </w:r>
            <w:r>
              <w:rPr>
                <w:sz w:val="18"/>
              </w:rPr>
              <w:t>stewardship</w:t>
            </w:r>
            <w:r>
              <w:rPr>
                <w:spacing w:val="-6"/>
                <w:sz w:val="18"/>
              </w:rPr>
              <w:t xml:space="preserve"> </w:t>
            </w:r>
            <w:r>
              <w:rPr>
                <w:sz w:val="18"/>
              </w:rPr>
              <w:t>land</w:t>
            </w:r>
            <w:r>
              <w:rPr>
                <w:spacing w:val="-6"/>
                <w:sz w:val="18"/>
              </w:rPr>
              <w:t xml:space="preserve"> </w:t>
            </w:r>
            <w:r>
              <w:rPr>
                <w:sz w:val="18"/>
              </w:rPr>
              <w:t>that occurred in the current period are recorded in the current period?</w:t>
            </w:r>
          </w:p>
        </w:tc>
      </w:tr>
      <w:tr w:rsidR="00046465" w14:paraId="0DFDC525" w14:textId="77777777">
        <w:trPr>
          <w:trHeight w:hRule="exact" w:val="298"/>
        </w:trPr>
        <w:tc>
          <w:tcPr>
            <w:tcW w:w="2347" w:type="dxa"/>
            <w:vMerge w:val="restart"/>
            <w:tcBorders>
              <w:left w:val="single" w:sz="6" w:space="0" w:color="000000"/>
              <w:bottom w:val="single" w:sz="6" w:space="0" w:color="000000"/>
              <w:right w:val="single" w:sz="6" w:space="0" w:color="000000"/>
            </w:tcBorders>
          </w:tcPr>
          <w:p w14:paraId="0DFDC522" w14:textId="77777777" w:rsidR="00046465" w:rsidRDefault="008134EB">
            <w:pPr>
              <w:pStyle w:val="TableParagraph"/>
              <w:spacing w:before="37"/>
              <w:ind w:left="57"/>
              <w:rPr>
                <w:b/>
                <w:sz w:val="18"/>
              </w:rPr>
            </w:pPr>
            <w:r>
              <w:rPr>
                <w:b/>
                <w:spacing w:val="-2"/>
                <w:sz w:val="18"/>
              </w:rPr>
              <w:t>Accuracy</w:t>
            </w:r>
          </w:p>
          <w:p w14:paraId="0DFDC523" w14:textId="77777777" w:rsidR="00046465" w:rsidRDefault="008134EB">
            <w:pPr>
              <w:pStyle w:val="TableParagraph"/>
              <w:spacing w:before="2"/>
              <w:ind w:left="267" w:right="471" w:hanging="180"/>
              <w:rPr>
                <w:sz w:val="18"/>
              </w:rPr>
            </w:pPr>
            <w:r>
              <w:rPr>
                <w:sz w:val="18"/>
              </w:rPr>
              <w:t>1.</w:t>
            </w:r>
            <w:r>
              <w:rPr>
                <w:spacing w:val="-11"/>
                <w:sz w:val="18"/>
              </w:rPr>
              <w:t xml:space="preserve"> </w:t>
            </w:r>
            <w:r>
              <w:rPr>
                <w:sz w:val="18"/>
              </w:rPr>
              <w:t>Land</w:t>
            </w:r>
            <w:r>
              <w:rPr>
                <w:spacing w:val="-10"/>
                <w:sz w:val="18"/>
              </w:rPr>
              <w:t xml:space="preserve"> </w:t>
            </w:r>
            <w:r>
              <w:rPr>
                <w:sz w:val="18"/>
              </w:rPr>
              <w:t>acreage</w:t>
            </w:r>
            <w:r>
              <w:rPr>
                <w:spacing w:val="-12"/>
                <w:sz w:val="18"/>
              </w:rPr>
              <w:t xml:space="preserve"> </w:t>
            </w:r>
            <w:r>
              <w:rPr>
                <w:sz w:val="18"/>
              </w:rPr>
              <w:t xml:space="preserve">is recorded at </w:t>
            </w:r>
            <w:r>
              <w:rPr>
                <w:spacing w:val="-2"/>
                <w:sz w:val="18"/>
              </w:rPr>
              <w:t>appropriate amounts.</w:t>
            </w:r>
          </w:p>
        </w:tc>
        <w:tc>
          <w:tcPr>
            <w:tcW w:w="7283" w:type="dxa"/>
            <w:gridSpan w:val="2"/>
            <w:tcBorders>
              <w:left w:val="single" w:sz="6" w:space="0" w:color="000000"/>
              <w:bottom w:val="single" w:sz="6" w:space="0" w:color="000000"/>
            </w:tcBorders>
            <w:shd w:val="clear" w:color="auto" w:fill="D9D9D9"/>
          </w:tcPr>
          <w:p w14:paraId="0DFDC524" w14:textId="77777777" w:rsidR="00046465" w:rsidRDefault="008134EB">
            <w:pPr>
              <w:pStyle w:val="TableParagraph"/>
              <w:spacing w:before="39"/>
              <w:ind w:left="42" w:right="32"/>
              <w:jc w:val="center"/>
              <w:rPr>
                <w:b/>
                <w:sz w:val="18"/>
              </w:rPr>
            </w:pPr>
            <w:r>
              <w:rPr>
                <w:b/>
                <w:spacing w:val="-2"/>
                <w:sz w:val="18"/>
              </w:rPr>
              <w:t>Balance</w:t>
            </w:r>
          </w:p>
        </w:tc>
      </w:tr>
      <w:tr w:rsidR="00046465" w14:paraId="0DFDC52A" w14:textId="77777777">
        <w:trPr>
          <w:trHeight w:hRule="exact" w:val="1197"/>
        </w:trPr>
        <w:tc>
          <w:tcPr>
            <w:tcW w:w="2347" w:type="dxa"/>
            <w:vMerge/>
            <w:tcBorders>
              <w:top w:val="nil"/>
              <w:left w:val="single" w:sz="6" w:space="0" w:color="000000"/>
              <w:bottom w:val="single" w:sz="6" w:space="0" w:color="000000"/>
              <w:right w:val="single" w:sz="6" w:space="0" w:color="000000"/>
            </w:tcBorders>
          </w:tcPr>
          <w:p w14:paraId="0DFDC526" w14:textId="77777777" w:rsidR="00046465" w:rsidRDefault="00046465">
            <w:pPr>
              <w:rPr>
                <w:sz w:val="2"/>
                <w:szCs w:val="2"/>
              </w:rPr>
            </w:pPr>
          </w:p>
        </w:tc>
        <w:tc>
          <w:tcPr>
            <w:tcW w:w="2513" w:type="dxa"/>
            <w:tcBorders>
              <w:top w:val="single" w:sz="6" w:space="0" w:color="000000"/>
              <w:left w:val="single" w:sz="6" w:space="0" w:color="000000"/>
              <w:bottom w:val="single" w:sz="6" w:space="0" w:color="000000"/>
              <w:right w:val="single" w:sz="6" w:space="0" w:color="000000"/>
            </w:tcBorders>
          </w:tcPr>
          <w:p w14:paraId="0DFDC527" w14:textId="77777777" w:rsidR="00046465" w:rsidRDefault="008134EB">
            <w:pPr>
              <w:pStyle w:val="TableParagraph"/>
              <w:ind w:left="342" w:right="376" w:hanging="270"/>
              <w:rPr>
                <w:sz w:val="18"/>
              </w:rPr>
            </w:pPr>
            <w:r>
              <w:rPr>
                <w:sz w:val="18"/>
              </w:rPr>
              <w:t>a.</w:t>
            </w:r>
            <w:r>
              <w:rPr>
                <w:spacing w:val="40"/>
                <w:sz w:val="18"/>
              </w:rPr>
              <w:t xml:space="preserve"> </w:t>
            </w:r>
            <w:r>
              <w:rPr>
                <w:sz w:val="18"/>
              </w:rPr>
              <w:t xml:space="preserve">Land acreage is recorded at </w:t>
            </w:r>
            <w:r>
              <w:rPr>
                <w:spacing w:val="-2"/>
                <w:sz w:val="18"/>
              </w:rPr>
              <w:t>appropriate</w:t>
            </w:r>
            <w:r>
              <w:rPr>
                <w:spacing w:val="-14"/>
                <w:sz w:val="18"/>
              </w:rPr>
              <w:t xml:space="preserve"> </w:t>
            </w:r>
            <w:r>
              <w:rPr>
                <w:spacing w:val="-2"/>
                <w:sz w:val="18"/>
              </w:rPr>
              <w:t>amounts.</w:t>
            </w:r>
          </w:p>
        </w:tc>
        <w:tc>
          <w:tcPr>
            <w:tcW w:w="4770" w:type="dxa"/>
            <w:tcBorders>
              <w:top w:val="single" w:sz="6" w:space="0" w:color="000000"/>
              <w:left w:val="single" w:sz="6" w:space="0" w:color="000000"/>
              <w:bottom w:val="single" w:sz="6" w:space="0" w:color="000000"/>
            </w:tcBorders>
          </w:tcPr>
          <w:p w14:paraId="0DFDC528" w14:textId="77777777" w:rsidR="00046465" w:rsidRDefault="008134EB">
            <w:pPr>
              <w:pStyle w:val="TableParagraph"/>
              <w:numPr>
                <w:ilvl w:val="0"/>
                <w:numId w:val="98"/>
              </w:numPr>
              <w:tabs>
                <w:tab w:val="left" w:pos="328"/>
              </w:tabs>
              <w:ind w:right="315"/>
              <w:rPr>
                <w:sz w:val="18"/>
              </w:rPr>
            </w:pPr>
            <w:r>
              <w:rPr>
                <w:sz w:val="18"/>
              </w:rPr>
              <w:t>How</w:t>
            </w:r>
            <w:r>
              <w:rPr>
                <w:spacing w:val="-12"/>
                <w:sz w:val="18"/>
              </w:rPr>
              <w:t xml:space="preserve"> </w:t>
            </w:r>
            <w:r>
              <w:rPr>
                <w:sz w:val="18"/>
              </w:rPr>
              <w:t>does</w:t>
            </w:r>
            <w:r>
              <w:rPr>
                <w:spacing w:val="-12"/>
                <w:sz w:val="18"/>
              </w:rPr>
              <w:t xml:space="preserve"> </w:t>
            </w:r>
            <w:r>
              <w:rPr>
                <w:sz w:val="18"/>
              </w:rPr>
              <w:t>the</w:t>
            </w:r>
            <w:r>
              <w:rPr>
                <w:spacing w:val="-10"/>
                <w:sz w:val="18"/>
              </w:rPr>
              <w:t xml:space="preserve"> </w:t>
            </w:r>
            <w:r>
              <w:rPr>
                <w:sz w:val="18"/>
              </w:rPr>
              <w:t>entity</w:t>
            </w:r>
            <w:r>
              <w:rPr>
                <w:spacing w:val="-12"/>
                <w:sz w:val="18"/>
              </w:rPr>
              <w:t xml:space="preserve"> </w:t>
            </w:r>
            <w:r>
              <w:rPr>
                <w:sz w:val="18"/>
              </w:rPr>
              <w:t>reasonably</w:t>
            </w:r>
            <w:r>
              <w:rPr>
                <w:spacing w:val="-12"/>
                <w:sz w:val="18"/>
              </w:rPr>
              <w:t xml:space="preserve"> </w:t>
            </w:r>
            <w:r>
              <w:rPr>
                <w:sz w:val="18"/>
              </w:rPr>
              <w:t>assure</w:t>
            </w:r>
            <w:r>
              <w:rPr>
                <w:spacing w:val="-12"/>
                <w:sz w:val="18"/>
              </w:rPr>
              <w:t xml:space="preserve"> </w:t>
            </w:r>
            <w:r>
              <w:rPr>
                <w:sz w:val="18"/>
              </w:rPr>
              <w:t>that</w:t>
            </w:r>
            <w:r>
              <w:rPr>
                <w:spacing w:val="-12"/>
                <w:sz w:val="18"/>
              </w:rPr>
              <w:t xml:space="preserve"> </w:t>
            </w:r>
            <w:r>
              <w:rPr>
                <w:sz w:val="18"/>
              </w:rPr>
              <w:t>acreage for</w:t>
            </w:r>
            <w:r>
              <w:rPr>
                <w:spacing w:val="-7"/>
                <w:sz w:val="18"/>
              </w:rPr>
              <w:t xml:space="preserve"> </w:t>
            </w:r>
            <w:r>
              <w:rPr>
                <w:sz w:val="18"/>
              </w:rPr>
              <w:t>PP&amp;E</w:t>
            </w:r>
            <w:r>
              <w:rPr>
                <w:spacing w:val="-7"/>
                <w:sz w:val="18"/>
              </w:rPr>
              <w:t xml:space="preserve"> </w:t>
            </w:r>
            <w:r>
              <w:rPr>
                <w:sz w:val="18"/>
              </w:rPr>
              <w:t>land</w:t>
            </w:r>
            <w:r>
              <w:rPr>
                <w:spacing w:val="-6"/>
                <w:sz w:val="18"/>
              </w:rPr>
              <w:t xml:space="preserve"> </w:t>
            </w:r>
            <w:r>
              <w:rPr>
                <w:sz w:val="18"/>
              </w:rPr>
              <w:t>and</w:t>
            </w:r>
            <w:r>
              <w:rPr>
                <w:spacing w:val="-8"/>
                <w:sz w:val="18"/>
              </w:rPr>
              <w:t xml:space="preserve"> </w:t>
            </w:r>
            <w:r>
              <w:rPr>
                <w:sz w:val="18"/>
              </w:rPr>
              <w:t>stewardship</w:t>
            </w:r>
            <w:r>
              <w:rPr>
                <w:spacing w:val="-8"/>
                <w:sz w:val="18"/>
              </w:rPr>
              <w:t xml:space="preserve"> </w:t>
            </w:r>
            <w:r>
              <w:rPr>
                <w:sz w:val="18"/>
              </w:rPr>
              <w:t>land</w:t>
            </w:r>
            <w:r>
              <w:rPr>
                <w:spacing w:val="-8"/>
                <w:sz w:val="18"/>
              </w:rPr>
              <w:t xml:space="preserve"> </w:t>
            </w:r>
            <w:r>
              <w:rPr>
                <w:sz w:val="18"/>
              </w:rPr>
              <w:t>is</w:t>
            </w:r>
            <w:r>
              <w:rPr>
                <w:spacing w:val="-7"/>
                <w:sz w:val="18"/>
              </w:rPr>
              <w:t xml:space="preserve"> </w:t>
            </w:r>
            <w:r>
              <w:rPr>
                <w:sz w:val="18"/>
              </w:rPr>
              <w:t>appropriate?</w:t>
            </w:r>
          </w:p>
          <w:p w14:paraId="0DFDC529" w14:textId="77777777" w:rsidR="00046465" w:rsidRDefault="008134EB">
            <w:pPr>
              <w:pStyle w:val="TableParagraph"/>
              <w:numPr>
                <w:ilvl w:val="0"/>
                <w:numId w:val="98"/>
              </w:numPr>
              <w:tabs>
                <w:tab w:val="left" w:pos="328"/>
              </w:tabs>
              <w:spacing w:before="57"/>
              <w:ind w:right="287"/>
              <w:rPr>
                <w:sz w:val="18"/>
              </w:rPr>
            </w:pPr>
            <w:r>
              <w:rPr>
                <w:sz w:val="18"/>
              </w:rPr>
              <w:t>What are the entity’s policies and procedures for conducting</w:t>
            </w:r>
            <w:r>
              <w:rPr>
                <w:spacing w:val="-12"/>
                <w:sz w:val="18"/>
              </w:rPr>
              <w:t xml:space="preserve"> </w:t>
            </w:r>
            <w:r>
              <w:rPr>
                <w:sz w:val="18"/>
              </w:rPr>
              <w:t>surveys</w:t>
            </w:r>
            <w:r>
              <w:rPr>
                <w:spacing w:val="-12"/>
                <w:sz w:val="18"/>
              </w:rPr>
              <w:t xml:space="preserve"> </w:t>
            </w:r>
            <w:r>
              <w:rPr>
                <w:sz w:val="18"/>
              </w:rPr>
              <w:t>of</w:t>
            </w:r>
            <w:r>
              <w:rPr>
                <w:spacing w:val="-12"/>
                <w:sz w:val="18"/>
              </w:rPr>
              <w:t xml:space="preserve"> </w:t>
            </w:r>
            <w:r>
              <w:rPr>
                <w:sz w:val="18"/>
              </w:rPr>
              <w:t>land</w:t>
            </w:r>
            <w:r>
              <w:rPr>
                <w:spacing w:val="-11"/>
                <w:sz w:val="18"/>
              </w:rPr>
              <w:t xml:space="preserve"> </w:t>
            </w:r>
            <w:r>
              <w:rPr>
                <w:sz w:val="18"/>
              </w:rPr>
              <w:t>acreage</w:t>
            </w:r>
            <w:r>
              <w:rPr>
                <w:spacing w:val="-12"/>
                <w:sz w:val="18"/>
              </w:rPr>
              <w:t xml:space="preserve"> </w:t>
            </w:r>
            <w:r>
              <w:rPr>
                <w:sz w:val="18"/>
              </w:rPr>
              <w:t>to</w:t>
            </w:r>
            <w:r>
              <w:rPr>
                <w:spacing w:val="-13"/>
                <w:sz w:val="18"/>
              </w:rPr>
              <w:t xml:space="preserve"> </w:t>
            </w:r>
            <w:r>
              <w:rPr>
                <w:sz w:val="18"/>
              </w:rPr>
              <w:t>determine</w:t>
            </w:r>
            <w:r>
              <w:rPr>
                <w:spacing w:val="-11"/>
                <w:sz w:val="18"/>
              </w:rPr>
              <w:t xml:space="preserve"> </w:t>
            </w:r>
            <w:r>
              <w:rPr>
                <w:sz w:val="18"/>
              </w:rPr>
              <w:t>the recorded acreage in the underlying records?</w:t>
            </w:r>
          </w:p>
        </w:tc>
      </w:tr>
    </w:tbl>
    <w:p w14:paraId="0DFDC52B" w14:textId="77777777" w:rsidR="00046465" w:rsidRDefault="00046465">
      <w:pPr>
        <w:pStyle w:val="TableParagraph"/>
        <w:rPr>
          <w:sz w:val="18"/>
        </w:rPr>
        <w:sectPr w:rsidR="00046465">
          <w:headerReference w:type="default" r:id="rId210"/>
          <w:footerReference w:type="default" r:id="rId211"/>
          <w:pgSz w:w="12240" w:h="15840"/>
          <w:pgMar w:top="1340" w:right="720" w:bottom="940" w:left="1080" w:header="721" w:footer="757" w:gutter="0"/>
          <w:cols w:space="720"/>
        </w:sectPr>
      </w:pPr>
    </w:p>
    <w:p w14:paraId="0DFDC52C" w14:textId="77777777" w:rsidR="00046465" w:rsidRDefault="00046465">
      <w:pPr>
        <w:pStyle w:val="BodyText"/>
        <w:rPr>
          <w:sz w:val="20"/>
        </w:rPr>
      </w:pPr>
    </w:p>
    <w:p w14:paraId="0DFDC52D" w14:textId="77777777" w:rsidR="00046465" w:rsidRDefault="00046465">
      <w:pPr>
        <w:pStyle w:val="BodyText"/>
        <w:spacing w:before="72" w:after="1"/>
        <w:rPr>
          <w:sz w:val="20"/>
        </w:rPr>
      </w:pPr>
    </w:p>
    <w:tbl>
      <w:tblPr>
        <w:tblW w:w="0" w:type="auto"/>
        <w:tblInd w:w="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6"/>
        <w:gridCol w:w="2513"/>
        <w:gridCol w:w="4769"/>
      </w:tblGrid>
      <w:tr w:rsidR="00046465" w14:paraId="0DFDC532" w14:textId="77777777">
        <w:trPr>
          <w:trHeight w:val="454"/>
        </w:trPr>
        <w:tc>
          <w:tcPr>
            <w:tcW w:w="2346" w:type="dxa"/>
            <w:tcBorders>
              <w:right w:val="single" w:sz="6" w:space="0" w:color="000000"/>
            </w:tcBorders>
            <w:shd w:val="clear" w:color="auto" w:fill="BEBEBE"/>
          </w:tcPr>
          <w:p w14:paraId="0DFDC52E" w14:textId="77777777" w:rsidR="00046465" w:rsidRDefault="008134EB">
            <w:pPr>
              <w:pStyle w:val="TableParagraph"/>
              <w:spacing w:line="206" w:lineRule="exact"/>
              <w:ind w:left="66" w:right="3"/>
              <w:jc w:val="center"/>
              <w:rPr>
                <w:b/>
                <w:sz w:val="18"/>
              </w:rPr>
            </w:pPr>
            <w:r>
              <w:rPr>
                <w:b/>
                <w:spacing w:val="-2"/>
                <w:sz w:val="18"/>
              </w:rPr>
              <w:t>Assertion/</w:t>
            </w:r>
          </w:p>
          <w:p w14:paraId="0DFDC52F" w14:textId="77777777" w:rsidR="00046465" w:rsidRDefault="008134EB">
            <w:pPr>
              <w:pStyle w:val="TableParagraph"/>
              <w:spacing w:before="39" w:line="189" w:lineRule="exact"/>
              <w:ind w:left="66"/>
              <w:jc w:val="center"/>
              <w:rPr>
                <w:b/>
                <w:sz w:val="18"/>
              </w:rPr>
            </w:pPr>
            <w:r>
              <w:rPr>
                <w:b/>
                <w:sz w:val="18"/>
              </w:rPr>
              <w:t>segregation</w:t>
            </w:r>
            <w:r>
              <w:rPr>
                <w:b/>
                <w:spacing w:val="-3"/>
                <w:sz w:val="18"/>
              </w:rPr>
              <w:t xml:space="preserve"> </w:t>
            </w:r>
            <w:r>
              <w:rPr>
                <w:b/>
                <w:sz w:val="18"/>
              </w:rPr>
              <w:t>of</w:t>
            </w:r>
            <w:r>
              <w:rPr>
                <w:b/>
                <w:spacing w:val="-3"/>
                <w:sz w:val="18"/>
              </w:rPr>
              <w:t xml:space="preserve"> </w:t>
            </w:r>
            <w:r>
              <w:rPr>
                <w:b/>
                <w:spacing w:val="-2"/>
                <w:sz w:val="18"/>
              </w:rPr>
              <w:t>duties</w:t>
            </w:r>
          </w:p>
        </w:tc>
        <w:tc>
          <w:tcPr>
            <w:tcW w:w="2513" w:type="dxa"/>
            <w:tcBorders>
              <w:left w:val="single" w:sz="6" w:space="0" w:color="000000"/>
              <w:bottom w:val="single" w:sz="6" w:space="0" w:color="000000"/>
              <w:right w:val="single" w:sz="6" w:space="0" w:color="000000"/>
            </w:tcBorders>
            <w:shd w:val="clear" w:color="auto" w:fill="BEBEBE"/>
          </w:tcPr>
          <w:p w14:paraId="0DFDC530" w14:textId="77777777" w:rsidR="00046465" w:rsidRDefault="008134EB">
            <w:pPr>
              <w:pStyle w:val="TableParagraph"/>
              <w:spacing w:line="206" w:lineRule="exact"/>
              <w:ind w:left="538"/>
              <w:rPr>
                <w:b/>
                <w:sz w:val="18"/>
              </w:rPr>
            </w:pPr>
            <w:r>
              <w:rPr>
                <w:b/>
                <w:sz w:val="18"/>
              </w:rPr>
              <w:t>Control</w:t>
            </w:r>
            <w:r>
              <w:rPr>
                <w:b/>
                <w:spacing w:val="-5"/>
                <w:sz w:val="18"/>
              </w:rPr>
              <w:t xml:space="preserve"> </w:t>
            </w:r>
            <w:r>
              <w:rPr>
                <w:b/>
                <w:spacing w:val="-2"/>
                <w:sz w:val="18"/>
              </w:rPr>
              <w:t>objective</w:t>
            </w:r>
          </w:p>
        </w:tc>
        <w:tc>
          <w:tcPr>
            <w:tcW w:w="4769" w:type="dxa"/>
            <w:tcBorders>
              <w:left w:val="single" w:sz="6" w:space="0" w:color="000000"/>
              <w:bottom w:val="single" w:sz="6" w:space="0" w:color="000000"/>
            </w:tcBorders>
            <w:shd w:val="clear" w:color="auto" w:fill="BEBEBE"/>
          </w:tcPr>
          <w:p w14:paraId="0DFDC531" w14:textId="77777777" w:rsidR="00046465" w:rsidRDefault="008134EB">
            <w:pPr>
              <w:pStyle w:val="TableParagraph"/>
              <w:spacing w:line="206" w:lineRule="exact"/>
              <w:ind w:left="1212"/>
              <w:rPr>
                <w:b/>
                <w:sz w:val="18"/>
              </w:rPr>
            </w:pPr>
            <w:r>
              <w:rPr>
                <w:b/>
                <w:sz w:val="18"/>
              </w:rPr>
              <w:t>Identifying</w:t>
            </w:r>
            <w:r>
              <w:rPr>
                <w:b/>
                <w:spacing w:val="-3"/>
                <w:sz w:val="18"/>
              </w:rPr>
              <w:t xml:space="preserve"> </w:t>
            </w:r>
            <w:r>
              <w:rPr>
                <w:b/>
                <w:sz w:val="18"/>
              </w:rPr>
              <w:t>control</w:t>
            </w:r>
            <w:r>
              <w:rPr>
                <w:b/>
                <w:spacing w:val="-3"/>
                <w:sz w:val="18"/>
              </w:rPr>
              <w:t xml:space="preserve"> </w:t>
            </w:r>
            <w:r>
              <w:rPr>
                <w:b/>
                <w:spacing w:val="-2"/>
                <w:sz w:val="18"/>
              </w:rPr>
              <w:t>activities</w:t>
            </w:r>
          </w:p>
        </w:tc>
      </w:tr>
      <w:tr w:rsidR="00046465" w14:paraId="0DFDC537" w14:textId="77777777">
        <w:trPr>
          <w:trHeight w:val="1654"/>
        </w:trPr>
        <w:tc>
          <w:tcPr>
            <w:tcW w:w="2346" w:type="dxa"/>
            <w:tcBorders>
              <w:left w:val="single" w:sz="6" w:space="0" w:color="000000"/>
              <w:right w:val="single" w:sz="6" w:space="0" w:color="000000"/>
            </w:tcBorders>
          </w:tcPr>
          <w:p w14:paraId="0DFDC533" w14:textId="77777777" w:rsidR="00046465" w:rsidRDefault="00046465">
            <w:pPr>
              <w:pStyle w:val="TableParagraph"/>
              <w:rPr>
                <w:rFonts w:ascii="Times New Roman"/>
                <w:sz w:val="18"/>
              </w:rPr>
            </w:pPr>
          </w:p>
        </w:tc>
        <w:tc>
          <w:tcPr>
            <w:tcW w:w="2513" w:type="dxa"/>
            <w:tcBorders>
              <w:top w:val="single" w:sz="6" w:space="0" w:color="000000"/>
              <w:left w:val="single" w:sz="6" w:space="0" w:color="000000"/>
              <w:right w:val="single" w:sz="6" w:space="0" w:color="000000"/>
            </w:tcBorders>
          </w:tcPr>
          <w:p w14:paraId="0DFDC534" w14:textId="77777777" w:rsidR="00046465" w:rsidRDefault="008134EB">
            <w:pPr>
              <w:pStyle w:val="TableParagraph"/>
              <w:ind w:left="344" w:right="188" w:hanging="270"/>
              <w:rPr>
                <w:sz w:val="18"/>
              </w:rPr>
            </w:pPr>
            <w:r>
              <w:rPr>
                <w:sz w:val="18"/>
              </w:rPr>
              <w:t>b.</w:t>
            </w:r>
            <w:r>
              <w:rPr>
                <w:spacing w:val="14"/>
                <w:sz w:val="18"/>
              </w:rPr>
              <w:t xml:space="preserve"> </w:t>
            </w:r>
            <w:r>
              <w:rPr>
                <w:sz w:val="18"/>
              </w:rPr>
              <w:t>Reported</w:t>
            </w:r>
            <w:r>
              <w:rPr>
                <w:spacing w:val="-12"/>
                <w:sz w:val="18"/>
              </w:rPr>
              <w:t xml:space="preserve"> </w:t>
            </w:r>
            <w:r>
              <w:rPr>
                <w:sz w:val="18"/>
              </w:rPr>
              <w:t>land</w:t>
            </w:r>
            <w:r>
              <w:rPr>
                <w:spacing w:val="-13"/>
                <w:sz w:val="18"/>
              </w:rPr>
              <w:t xml:space="preserve"> </w:t>
            </w:r>
            <w:r>
              <w:rPr>
                <w:sz w:val="18"/>
              </w:rPr>
              <w:t>acreage</w:t>
            </w:r>
            <w:r>
              <w:rPr>
                <w:spacing w:val="-12"/>
                <w:sz w:val="18"/>
              </w:rPr>
              <w:t xml:space="preserve"> </w:t>
            </w:r>
            <w:r>
              <w:rPr>
                <w:sz w:val="18"/>
              </w:rPr>
              <w:t>is supported</w:t>
            </w:r>
            <w:r>
              <w:rPr>
                <w:spacing w:val="-2"/>
                <w:sz w:val="18"/>
              </w:rPr>
              <w:t xml:space="preserve"> </w:t>
            </w:r>
            <w:r>
              <w:rPr>
                <w:sz w:val="18"/>
              </w:rPr>
              <w:t>by</w:t>
            </w:r>
            <w:r>
              <w:rPr>
                <w:spacing w:val="-1"/>
                <w:sz w:val="18"/>
              </w:rPr>
              <w:t xml:space="preserve"> </w:t>
            </w:r>
            <w:r>
              <w:rPr>
                <w:sz w:val="18"/>
              </w:rPr>
              <w:t>underlying records that are accurately summarized and reconciled.</w:t>
            </w:r>
          </w:p>
        </w:tc>
        <w:tc>
          <w:tcPr>
            <w:tcW w:w="4769" w:type="dxa"/>
            <w:tcBorders>
              <w:top w:val="single" w:sz="6" w:space="0" w:color="000000"/>
              <w:left w:val="single" w:sz="6" w:space="0" w:color="000000"/>
            </w:tcBorders>
          </w:tcPr>
          <w:p w14:paraId="0DFDC535" w14:textId="77777777" w:rsidR="00046465" w:rsidRDefault="008134EB">
            <w:pPr>
              <w:pStyle w:val="TableParagraph"/>
              <w:numPr>
                <w:ilvl w:val="0"/>
                <w:numId w:val="97"/>
              </w:numPr>
              <w:tabs>
                <w:tab w:val="left" w:pos="333"/>
                <w:tab w:val="left" w:pos="339"/>
              </w:tabs>
              <w:spacing w:before="1"/>
              <w:ind w:right="346" w:hanging="188"/>
              <w:rPr>
                <w:sz w:val="18"/>
              </w:rPr>
            </w:pPr>
            <w:r>
              <w:rPr>
                <w:sz w:val="18"/>
              </w:rPr>
              <w:t>How does the entity reasonably assure that summarized</w:t>
            </w:r>
            <w:r>
              <w:rPr>
                <w:spacing w:val="-13"/>
                <w:sz w:val="18"/>
              </w:rPr>
              <w:t xml:space="preserve"> </w:t>
            </w:r>
            <w:r>
              <w:rPr>
                <w:sz w:val="18"/>
              </w:rPr>
              <w:t>underlying</w:t>
            </w:r>
            <w:r>
              <w:rPr>
                <w:spacing w:val="-12"/>
                <w:sz w:val="18"/>
              </w:rPr>
              <w:t xml:space="preserve"> </w:t>
            </w:r>
            <w:r>
              <w:rPr>
                <w:sz w:val="18"/>
              </w:rPr>
              <w:t>records</w:t>
            </w:r>
            <w:r>
              <w:rPr>
                <w:spacing w:val="-13"/>
                <w:sz w:val="18"/>
              </w:rPr>
              <w:t xml:space="preserve"> </w:t>
            </w:r>
            <w:r>
              <w:rPr>
                <w:sz w:val="18"/>
              </w:rPr>
              <w:t>of</w:t>
            </w:r>
            <w:r>
              <w:rPr>
                <w:spacing w:val="-12"/>
                <w:sz w:val="18"/>
              </w:rPr>
              <w:t xml:space="preserve"> </w:t>
            </w:r>
            <w:r>
              <w:rPr>
                <w:sz w:val="18"/>
              </w:rPr>
              <w:t>land</w:t>
            </w:r>
            <w:r>
              <w:rPr>
                <w:spacing w:val="-13"/>
                <w:sz w:val="18"/>
              </w:rPr>
              <w:t xml:space="preserve"> </w:t>
            </w:r>
            <w:r>
              <w:rPr>
                <w:sz w:val="18"/>
              </w:rPr>
              <w:t>acreage</w:t>
            </w:r>
            <w:r>
              <w:rPr>
                <w:spacing w:val="-13"/>
                <w:sz w:val="18"/>
              </w:rPr>
              <w:t xml:space="preserve"> </w:t>
            </w:r>
            <w:r>
              <w:rPr>
                <w:sz w:val="18"/>
              </w:rPr>
              <w:t>are reconciled to reported land acreage?</w:t>
            </w:r>
          </w:p>
          <w:p w14:paraId="0DFDC536" w14:textId="77777777" w:rsidR="00046465" w:rsidRDefault="008134EB">
            <w:pPr>
              <w:pStyle w:val="TableParagraph"/>
              <w:numPr>
                <w:ilvl w:val="0"/>
                <w:numId w:val="97"/>
              </w:numPr>
              <w:tabs>
                <w:tab w:val="left" w:pos="335"/>
              </w:tabs>
              <w:spacing w:before="58"/>
              <w:ind w:left="335" w:right="128" w:hanging="180"/>
              <w:rPr>
                <w:sz w:val="18"/>
              </w:rPr>
            </w:pPr>
            <w:r>
              <w:rPr>
                <w:sz w:val="18"/>
              </w:rPr>
              <w:t>How</w:t>
            </w:r>
            <w:r>
              <w:rPr>
                <w:spacing w:val="-5"/>
                <w:sz w:val="18"/>
              </w:rPr>
              <w:t xml:space="preserve"> </w:t>
            </w:r>
            <w:r>
              <w:rPr>
                <w:sz w:val="18"/>
              </w:rPr>
              <w:t>does</w:t>
            </w:r>
            <w:r>
              <w:rPr>
                <w:spacing w:val="-5"/>
                <w:sz w:val="18"/>
              </w:rPr>
              <w:t xml:space="preserve"> </w:t>
            </w:r>
            <w:r>
              <w:rPr>
                <w:sz w:val="18"/>
              </w:rPr>
              <w:t>the</w:t>
            </w:r>
            <w:r>
              <w:rPr>
                <w:spacing w:val="-4"/>
                <w:sz w:val="18"/>
              </w:rPr>
              <w:t xml:space="preserve"> </w:t>
            </w:r>
            <w:r>
              <w:rPr>
                <w:sz w:val="18"/>
              </w:rPr>
              <w:t>entity</w:t>
            </w:r>
            <w:r>
              <w:rPr>
                <w:spacing w:val="-5"/>
                <w:sz w:val="18"/>
              </w:rPr>
              <w:t xml:space="preserve"> </w:t>
            </w:r>
            <w:r>
              <w:rPr>
                <w:sz w:val="18"/>
              </w:rPr>
              <w:t>reasonably</w:t>
            </w:r>
            <w:r>
              <w:rPr>
                <w:spacing w:val="-5"/>
                <w:sz w:val="18"/>
              </w:rPr>
              <w:t xml:space="preserve"> </w:t>
            </w:r>
            <w:r>
              <w:rPr>
                <w:sz w:val="18"/>
              </w:rPr>
              <w:t>assure</w:t>
            </w:r>
            <w:r>
              <w:rPr>
                <w:spacing w:val="-6"/>
                <w:sz w:val="18"/>
              </w:rPr>
              <w:t xml:space="preserve"> </w:t>
            </w:r>
            <w:r>
              <w:rPr>
                <w:sz w:val="18"/>
              </w:rPr>
              <w:t>that</w:t>
            </w:r>
            <w:r>
              <w:rPr>
                <w:spacing w:val="-5"/>
                <w:sz w:val="18"/>
              </w:rPr>
              <w:t xml:space="preserve"> </w:t>
            </w:r>
            <w:r>
              <w:rPr>
                <w:sz w:val="18"/>
              </w:rPr>
              <w:t>it</w:t>
            </w:r>
            <w:r>
              <w:rPr>
                <w:spacing w:val="-5"/>
                <w:sz w:val="18"/>
              </w:rPr>
              <w:t xml:space="preserve"> </w:t>
            </w:r>
            <w:r>
              <w:rPr>
                <w:sz w:val="18"/>
              </w:rPr>
              <w:t>properly categorizes land and other numerical information into predominant use subcategories in accordance with SFFAS 59, TB 2025-1, and OMB Circular A-136?</w:t>
            </w:r>
          </w:p>
        </w:tc>
      </w:tr>
      <w:tr w:rsidR="00046465" w14:paraId="0DFDC53A" w14:textId="77777777">
        <w:trPr>
          <w:trHeight w:val="285"/>
        </w:trPr>
        <w:tc>
          <w:tcPr>
            <w:tcW w:w="2346" w:type="dxa"/>
            <w:vMerge w:val="restart"/>
            <w:tcBorders>
              <w:bottom w:val="single" w:sz="6" w:space="0" w:color="000000"/>
              <w:right w:val="single" w:sz="6" w:space="0" w:color="000000"/>
            </w:tcBorders>
          </w:tcPr>
          <w:p w14:paraId="0DFDC538" w14:textId="77777777" w:rsidR="00046465" w:rsidRDefault="008134EB">
            <w:pPr>
              <w:pStyle w:val="TableParagraph"/>
              <w:ind w:left="275" w:hanging="180"/>
              <w:rPr>
                <w:sz w:val="18"/>
              </w:rPr>
            </w:pPr>
            <w:r>
              <w:rPr>
                <w:sz w:val="18"/>
              </w:rPr>
              <w:t>2.</w:t>
            </w:r>
            <w:r>
              <w:rPr>
                <w:spacing w:val="-20"/>
                <w:sz w:val="18"/>
              </w:rPr>
              <w:t xml:space="preserve"> </w:t>
            </w:r>
            <w:r>
              <w:rPr>
                <w:sz w:val="18"/>
              </w:rPr>
              <w:t>Amounts</w:t>
            </w:r>
            <w:r>
              <w:rPr>
                <w:spacing w:val="-13"/>
                <w:sz w:val="18"/>
              </w:rPr>
              <w:t xml:space="preserve"> </w:t>
            </w:r>
            <w:r>
              <w:rPr>
                <w:sz w:val="18"/>
              </w:rPr>
              <w:t>and</w:t>
            </w:r>
            <w:r>
              <w:rPr>
                <w:spacing w:val="-12"/>
                <w:sz w:val="18"/>
              </w:rPr>
              <w:t xml:space="preserve"> </w:t>
            </w:r>
            <w:r>
              <w:rPr>
                <w:sz w:val="18"/>
              </w:rPr>
              <w:t>other</w:t>
            </w:r>
            <w:r>
              <w:rPr>
                <w:spacing w:val="-13"/>
                <w:sz w:val="18"/>
              </w:rPr>
              <w:t xml:space="preserve"> </w:t>
            </w:r>
            <w:r>
              <w:rPr>
                <w:sz w:val="18"/>
              </w:rPr>
              <w:t xml:space="preserve">data </w:t>
            </w:r>
            <w:r>
              <w:rPr>
                <w:spacing w:val="-2"/>
                <w:sz w:val="18"/>
              </w:rPr>
              <w:t>relating</w:t>
            </w:r>
            <w:r>
              <w:rPr>
                <w:spacing w:val="-11"/>
                <w:sz w:val="18"/>
              </w:rPr>
              <w:t xml:space="preserve"> </w:t>
            </w:r>
            <w:r>
              <w:rPr>
                <w:spacing w:val="-2"/>
                <w:sz w:val="18"/>
              </w:rPr>
              <w:t>to</w:t>
            </w:r>
            <w:r>
              <w:rPr>
                <w:spacing w:val="-10"/>
                <w:sz w:val="18"/>
              </w:rPr>
              <w:t xml:space="preserve"> </w:t>
            </w:r>
            <w:r>
              <w:rPr>
                <w:spacing w:val="-2"/>
                <w:sz w:val="18"/>
              </w:rPr>
              <w:t>recorded</w:t>
            </w:r>
            <w:r>
              <w:rPr>
                <w:spacing w:val="-11"/>
                <w:sz w:val="18"/>
              </w:rPr>
              <w:t xml:space="preserve"> </w:t>
            </w:r>
            <w:r>
              <w:rPr>
                <w:spacing w:val="-2"/>
                <w:sz w:val="18"/>
              </w:rPr>
              <w:t xml:space="preserve">land </w:t>
            </w:r>
            <w:r>
              <w:rPr>
                <w:sz w:val="18"/>
              </w:rPr>
              <w:t>acreage activity and events have been appropriately recorded.</w:t>
            </w:r>
          </w:p>
        </w:tc>
        <w:tc>
          <w:tcPr>
            <w:tcW w:w="7282" w:type="dxa"/>
            <w:gridSpan w:val="2"/>
            <w:tcBorders>
              <w:left w:val="single" w:sz="6" w:space="0" w:color="000000"/>
              <w:bottom w:val="single" w:sz="6" w:space="0" w:color="000000"/>
            </w:tcBorders>
            <w:shd w:val="clear" w:color="auto" w:fill="D9D9D9"/>
          </w:tcPr>
          <w:p w14:paraId="0DFDC539" w14:textId="77777777" w:rsidR="00046465" w:rsidRDefault="008134EB">
            <w:pPr>
              <w:pStyle w:val="TableParagraph"/>
              <w:spacing w:before="38"/>
              <w:ind w:left="107" w:right="84"/>
              <w:jc w:val="center"/>
              <w:rPr>
                <w:b/>
                <w:sz w:val="18"/>
              </w:rPr>
            </w:pPr>
            <w:r>
              <w:rPr>
                <w:b/>
                <w:spacing w:val="-2"/>
                <w:sz w:val="18"/>
              </w:rPr>
              <w:t>Activity</w:t>
            </w:r>
          </w:p>
        </w:tc>
      </w:tr>
      <w:tr w:rsidR="00046465" w14:paraId="0DFDC53F" w14:textId="77777777">
        <w:trPr>
          <w:trHeight w:val="1722"/>
        </w:trPr>
        <w:tc>
          <w:tcPr>
            <w:tcW w:w="2346" w:type="dxa"/>
            <w:vMerge/>
            <w:tcBorders>
              <w:top w:val="nil"/>
              <w:bottom w:val="single" w:sz="6" w:space="0" w:color="000000"/>
              <w:right w:val="single" w:sz="6" w:space="0" w:color="000000"/>
            </w:tcBorders>
          </w:tcPr>
          <w:p w14:paraId="0DFDC53B" w14:textId="77777777" w:rsidR="00046465" w:rsidRDefault="00046465">
            <w:pPr>
              <w:rPr>
                <w:sz w:val="2"/>
                <w:szCs w:val="2"/>
              </w:rPr>
            </w:pPr>
          </w:p>
        </w:tc>
        <w:tc>
          <w:tcPr>
            <w:tcW w:w="2513" w:type="dxa"/>
            <w:tcBorders>
              <w:top w:val="single" w:sz="6" w:space="0" w:color="000000"/>
              <w:left w:val="single" w:sz="6" w:space="0" w:color="000000"/>
              <w:bottom w:val="single" w:sz="6" w:space="0" w:color="000000"/>
              <w:right w:val="single" w:sz="6" w:space="0" w:color="000000"/>
            </w:tcBorders>
          </w:tcPr>
          <w:p w14:paraId="0DFDC53C" w14:textId="77777777" w:rsidR="00046465" w:rsidRDefault="008134EB">
            <w:pPr>
              <w:pStyle w:val="TableParagraph"/>
              <w:ind w:left="58"/>
              <w:rPr>
                <w:sz w:val="18"/>
              </w:rPr>
            </w:pPr>
            <w:r>
              <w:rPr>
                <w:sz w:val="18"/>
              </w:rPr>
              <w:t xml:space="preserve">Amounts and other data relating to recorded land </w:t>
            </w:r>
            <w:r>
              <w:rPr>
                <w:spacing w:val="-2"/>
                <w:sz w:val="18"/>
              </w:rPr>
              <w:t>acreage</w:t>
            </w:r>
            <w:r>
              <w:rPr>
                <w:spacing w:val="-11"/>
                <w:sz w:val="18"/>
              </w:rPr>
              <w:t xml:space="preserve"> </w:t>
            </w:r>
            <w:r>
              <w:rPr>
                <w:spacing w:val="-2"/>
                <w:sz w:val="18"/>
              </w:rPr>
              <w:t>activity</w:t>
            </w:r>
            <w:r>
              <w:rPr>
                <w:spacing w:val="-9"/>
                <w:sz w:val="18"/>
              </w:rPr>
              <w:t xml:space="preserve"> </w:t>
            </w:r>
            <w:r>
              <w:rPr>
                <w:spacing w:val="-2"/>
                <w:sz w:val="18"/>
              </w:rPr>
              <w:t>and</w:t>
            </w:r>
            <w:r>
              <w:rPr>
                <w:spacing w:val="-11"/>
                <w:sz w:val="18"/>
              </w:rPr>
              <w:t xml:space="preserve"> </w:t>
            </w:r>
            <w:r>
              <w:rPr>
                <w:spacing w:val="-2"/>
                <w:sz w:val="18"/>
              </w:rPr>
              <w:t xml:space="preserve">events </w:t>
            </w:r>
            <w:r>
              <w:rPr>
                <w:sz w:val="18"/>
              </w:rPr>
              <w:t xml:space="preserve">have been appropriately </w:t>
            </w:r>
            <w:r>
              <w:rPr>
                <w:spacing w:val="-2"/>
                <w:sz w:val="18"/>
              </w:rPr>
              <w:t>recorded.</w:t>
            </w:r>
          </w:p>
        </w:tc>
        <w:tc>
          <w:tcPr>
            <w:tcW w:w="4769" w:type="dxa"/>
            <w:tcBorders>
              <w:top w:val="single" w:sz="6" w:space="0" w:color="000000"/>
              <w:left w:val="single" w:sz="6" w:space="0" w:color="000000"/>
              <w:bottom w:val="single" w:sz="6" w:space="0" w:color="000000"/>
            </w:tcBorders>
          </w:tcPr>
          <w:p w14:paraId="0DFDC53D" w14:textId="77777777" w:rsidR="00046465" w:rsidRDefault="008134EB">
            <w:pPr>
              <w:pStyle w:val="TableParagraph"/>
              <w:numPr>
                <w:ilvl w:val="0"/>
                <w:numId w:val="96"/>
              </w:numPr>
              <w:tabs>
                <w:tab w:val="left" w:pos="336"/>
              </w:tabs>
              <w:ind w:right="317"/>
              <w:rPr>
                <w:sz w:val="18"/>
              </w:rPr>
            </w:pPr>
            <w:r>
              <w:rPr>
                <w:sz w:val="18"/>
              </w:rPr>
              <w:t>How</w:t>
            </w:r>
            <w:r>
              <w:rPr>
                <w:spacing w:val="-10"/>
                <w:sz w:val="18"/>
              </w:rPr>
              <w:t xml:space="preserve"> </w:t>
            </w:r>
            <w:r>
              <w:rPr>
                <w:sz w:val="18"/>
              </w:rPr>
              <w:t>does</w:t>
            </w:r>
            <w:r>
              <w:rPr>
                <w:spacing w:val="-10"/>
                <w:sz w:val="18"/>
              </w:rPr>
              <w:t xml:space="preserve"> </w:t>
            </w:r>
            <w:r>
              <w:rPr>
                <w:sz w:val="18"/>
              </w:rPr>
              <w:t>the</w:t>
            </w:r>
            <w:r>
              <w:rPr>
                <w:spacing w:val="-10"/>
                <w:sz w:val="18"/>
              </w:rPr>
              <w:t xml:space="preserve"> </w:t>
            </w:r>
            <w:r>
              <w:rPr>
                <w:sz w:val="18"/>
              </w:rPr>
              <w:t>entity</w:t>
            </w:r>
            <w:r>
              <w:rPr>
                <w:spacing w:val="-10"/>
                <w:sz w:val="18"/>
              </w:rPr>
              <w:t xml:space="preserve"> </w:t>
            </w:r>
            <w:r>
              <w:rPr>
                <w:sz w:val="18"/>
              </w:rPr>
              <w:t>reasonably</w:t>
            </w:r>
            <w:r>
              <w:rPr>
                <w:spacing w:val="-10"/>
                <w:sz w:val="18"/>
              </w:rPr>
              <w:t xml:space="preserve"> </w:t>
            </w:r>
            <w:r>
              <w:rPr>
                <w:sz w:val="18"/>
              </w:rPr>
              <w:t>assure</w:t>
            </w:r>
            <w:r>
              <w:rPr>
                <w:spacing w:val="-11"/>
                <w:sz w:val="18"/>
              </w:rPr>
              <w:t xml:space="preserve"> </w:t>
            </w:r>
            <w:r>
              <w:rPr>
                <w:sz w:val="18"/>
              </w:rPr>
              <w:t>that</w:t>
            </w:r>
            <w:r>
              <w:rPr>
                <w:spacing w:val="-10"/>
                <w:sz w:val="18"/>
              </w:rPr>
              <w:t xml:space="preserve"> </w:t>
            </w:r>
            <w:r>
              <w:rPr>
                <w:sz w:val="18"/>
              </w:rPr>
              <w:t>the</w:t>
            </w:r>
            <w:r>
              <w:rPr>
                <w:spacing w:val="-10"/>
                <w:sz w:val="18"/>
              </w:rPr>
              <w:t xml:space="preserve"> </w:t>
            </w:r>
            <w:r>
              <w:rPr>
                <w:sz w:val="18"/>
              </w:rPr>
              <w:t xml:space="preserve">land acreage activity and events are supported by documentation and have been appropriately </w:t>
            </w:r>
            <w:r>
              <w:rPr>
                <w:spacing w:val="-2"/>
                <w:sz w:val="18"/>
              </w:rPr>
              <w:t>recorded?</w:t>
            </w:r>
          </w:p>
          <w:p w14:paraId="0DFDC53E" w14:textId="77777777" w:rsidR="00046465" w:rsidRDefault="008134EB">
            <w:pPr>
              <w:pStyle w:val="TableParagraph"/>
              <w:numPr>
                <w:ilvl w:val="0"/>
                <w:numId w:val="96"/>
              </w:numPr>
              <w:tabs>
                <w:tab w:val="left" w:pos="336"/>
              </w:tabs>
              <w:spacing w:before="58"/>
              <w:ind w:right="382"/>
              <w:rPr>
                <w:sz w:val="18"/>
              </w:rPr>
            </w:pPr>
            <w:r>
              <w:rPr>
                <w:sz w:val="18"/>
              </w:rPr>
              <w:t>How does the entity reasonably assure that the activity</w:t>
            </w:r>
            <w:r>
              <w:rPr>
                <w:spacing w:val="-13"/>
                <w:sz w:val="18"/>
              </w:rPr>
              <w:t xml:space="preserve"> </w:t>
            </w:r>
            <w:r>
              <w:rPr>
                <w:sz w:val="18"/>
              </w:rPr>
              <w:t>for</w:t>
            </w:r>
            <w:r>
              <w:rPr>
                <w:spacing w:val="-12"/>
                <w:sz w:val="18"/>
              </w:rPr>
              <w:t xml:space="preserve"> </w:t>
            </w:r>
            <w:r>
              <w:rPr>
                <w:sz w:val="18"/>
              </w:rPr>
              <w:t>land</w:t>
            </w:r>
            <w:r>
              <w:rPr>
                <w:spacing w:val="-9"/>
                <w:sz w:val="18"/>
              </w:rPr>
              <w:t xml:space="preserve"> </w:t>
            </w:r>
            <w:r>
              <w:rPr>
                <w:sz w:val="18"/>
              </w:rPr>
              <w:t>acreage</w:t>
            </w:r>
            <w:r>
              <w:rPr>
                <w:spacing w:val="-13"/>
                <w:sz w:val="18"/>
              </w:rPr>
              <w:t xml:space="preserve"> </w:t>
            </w:r>
            <w:r>
              <w:rPr>
                <w:sz w:val="18"/>
              </w:rPr>
              <w:t>reported</w:t>
            </w:r>
            <w:r>
              <w:rPr>
                <w:spacing w:val="-12"/>
                <w:sz w:val="18"/>
              </w:rPr>
              <w:t xml:space="preserve"> </w:t>
            </w:r>
            <w:r>
              <w:rPr>
                <w:sz w:val="18"/>
              </w:rPr>
              <w:t>during</w:t>
            </w:r>
            <w:r>
              <w:rPr>
                <w:spacing w:val="-13"/>
                <w:sz w:val="18"/>
              </w:rPr>
              <w:t xml:space="preserve"> </w:t>
            </w:r>
            <w:r>
              <w:rPr>
                <w:sz w:val="18"/>
              </w:rPr>
              <w:t>the</w:t>
            </w:r>
            <w:r>
              <w:rPr>
                <w:spacing w:val="-12"/>
                <w:sz w:val="18"/>
              </w:rPr>
              <w:t xml:space="preserve"> </w:t>
            </w:r>
            <w:r>
              <w:rPr>
                <w:sz w:val="18"/>
              </w:rPr>
              <w:t>current period is summarized and reconciled?</w:t>
            </w:r>
          </w:p>
        </w:tc>
      </w:tr>
      <w:tr w:rsidR="00046465" w14:paraId="0DFDC543" w14:textId="77777777">
        <w:trPr>
          <w:trHeight w:val="286"/>
        </w:trPr>
        <w:tc>
          <w:tcPr>
            <w:tcW w:w="2346" w:type="dxa"/>
            <w:vMerge w:val="restart"/>
            <w:tcBorders>
              <w:top w:val="single" w:sz="6" w:space="0" w:color="000000"/>
              <w:right w:val="single" w:sz="6" w:space="0" w:color="000000"/>
            </w:tcBorders>
          </w:tcPr>
          <w:p w14:paraId="0DFDC540" w14:textId="77777777" w:rsidR="00046465" w:rsidRDefault="008134EB">
            <w:pPr>
              <w:pStyle w:val="TableParagraph"/>
              <w:spacing w:before="38"/>
              <w:ind w:left="65"/>
              <w:rPr>
                <w:b/>
                <w:sz w:val="18"/>
              </w:rPr>
            </w:pPr>
            <w:r>
              <w:rPr>
                <w:b/>
                <w:spacing w:val="-2"/>
                <w:sz w:val="18"/>
              </w:rPr>
              <w:t>Rights</w:t>
            </w:r>
          </w:p>
          <w:p w14:paraId="0DFDC541" w14:textId="77777777" w:rsidR="00046465" w:rsidRDefault="008134EB">
            <w:pPr>
              <w:pStyle w:val="TableParagraph"/>
              <w:spacing w:before="2"/>
              <w:ind w:left="271" w:right="61" w:hanging="207"/>
              <w:rPr>
                <w:sz w:val="18"/>
              </w:rPr>
            </w:pPr>
            <w:r>
              <w:rPr>
                <w:sz w:val="18"/>
              </w:rPr>
              <w:t>1.</w:t>
            </w:r>
            <w:r>
              <w:rPr>
                <w:spacing w:val="-13"/>
                <w:sz w:val="18"/>
              </w:rPr>
              <w:t xml:space="preserve"> </w:t>
            </w:r>
            <w:r>
              <w:rPr>
                <w:sz w:val="18"/>
              </w:rPr>
              <w:t>The</w:t>
            </w:r>
            <w:r>
              <w:rPr>
                <w:spacing w:val="-12"/>
                <w:sz w:val="18"/>
              </w:rPr>
              <w:t xml:space="preserve"> </w:t>
            </w:r>
            <w:r>
              <w:rPr>
                <w:sz w:val="18"/>
              </w:rPr>
              <w:t>federal</w:t>
            </w:r>
            <w:r>
              <w:rPr>
                <w:spacing w:val="-13"/>
                <w:sz w:val="18"/>
              </w:rPr>
              <w:t xml:space="preserve"> </w:t>
            </w:r>
            <w:r>
              <w:rPr>
                <w:sz w:val="18"/>
              </w:rPr>
              <w:t>government has rights to the land, and</w:t>
            </w:r>
            <w:r>
              <w:rPr>
                <w:spacing w:val="-3"/>
                <w:sz w:val="18"/>
              </w:rPr>
              <w:t xml:space="preserve"> </w:t>
            </w:r>
            <w:r>
              <w:rPr>
                <w:sz w:val="18"/>
              </w:rPr>
              <w:t>the</w:t>
            </w:r>
            <w:r>
              <w:rPr>
                <w:spacing w:val="-1"/>
                <w:sz w:val="18"/>
              </w:rPr>
              <w:t xml:space="preserve"> </w:t>
            </w:r>
            <w:r>
              <w:rPr>
                <w:sz w:val="18"/>
              </w:rPr>
              <w:t>entity</w:t>
            </w:r>
            <w:r>
              <w:rPr>
                <w:spacing w:val="-2"/>
                <w:sz w:val="18"/>
              </w:rPr>
              <w:t xml:space="preserve"> </w:t>
            </w:r>
            <w:r>
              <w:rPr>
                <w:sz w:val="18"/>
              </w:rPr>
              <w:t>has</w:t>
            </w:r>
            <w:r>
              <w:rPr>
                <w:spacing w:val="-2"/>
                <w:sz w:val="18"/>
              </w:rPr>
              <w:t xml:space="preserve"> </w:t>
            </w:r>
            <w:r>
              <w:rPr>
                <w:sz w:val="18"/>
              </w:rPr>
              <w:t>been assigned responsibility for managing and reporting the land.</w:t>
            </w:r>
          </w:p>
        </w:tc>
        <w:tc>
          <w:tcPr>
            <w:tcW w:w="7282" w:type="dxa"/>
            <w:gridSpan w:val="2"/>
            <w:tcBorders>
              <w:top w:val="single" w:sz="6" w:space="0" w:color="000000"/>
              <w:left w:val="single" w:sz="6" w:space="0" w:color="000000"/>
              <w:bottom w:val="single" w:sz="6" w:space="0" w:color="000000"/>
            </w:tcBorders>
            <w:shd w:val="clear" w:color="auto" w:fill="D9D9D9"/>
          </w:tcPr>
          <w:p w14:paraId="0DFDC542" w14:textId="77777777" w:rsidR="00046465" w:rsidRDefault="008134EB">
            <w:pPr>
              <w:pStyle w:val="TableParagraph"/>
              <w:spacing w:before="41"/>
              <w:ind w:left="107"/>
              <w:jc w:val="center"/>
              <w:rPr>
                <w:b/>
                <w:sz w:val="18"/>
              </w:rPr>
            </w:pPr>
            <w:r>
              <w:rPr>
                <w:b/>
                <w:spacing w:val="-2"/>
                <w:sz w:val="18"/>
              </w:rPr>
              <w:t>Balance</w:t>
            </w:r>
          </w:p>
        </w:tc>
      </w:tr>
      <w:tr w:rsidR="00046465" w14:paraId="0DFDC548" w14:textId="77777777">
        <w:trPr>
          <w:trHeight w:val="2262"/>
        </w:trPr>
        <w:tc>
          <w:tcPr>
            <w:tcW w:w="2346" w:type="dxa"/>
            <w:vMerge/>
            <w:tcBorders>
              <w:top w:val="nil"/>
              <w:right w:val="single" w:sz="6" w:space="0" w:color="000000"/>
            </w:tcBorders>
          </w:tcPr>
          <w:p w14:paraId="0DFDC544" w14:textId="77777777" w:rsidR="00046465" w:rsidRDefault="00046465">
            <w:pPr>
              <w:rPr>
                <w:sz w:val="2"/>
                <w:szCs w:val="2"/>
              </w:rPr>
            </w:pPr>
          </w:p>
        </w:tc>
        <w:tc>
          <w:tcPr>
            <w:tcW w:w="2513" w:type="dxa"/>
            <w:tcBorders>
              <w:top w:val="single" w:sz="6" w:space="0" w:color="000000"/>
              <w:left w:val="single" w:sz="6" w:space="0" w:color="000000"/>
              <w:right w:val="single" w:sz="6" w:space="0" w:color="000000"/>
            </w:tcBorders>
          </w:tcPr>
          <w:p w14:paraId="0DFDC545" w14:textId="77777777" w:rsidR="00046465" w:rsidRDefault="008134EB">
            <w:pPr>
              <w:pStyle w:val="TableParagraph"/>
              <w:ind w:left="58" w:right="188"/>
              <w:rPr>
                <w:sz w:val="18"/>
              </w:rPr>
            </w:pPr>
            <w:r>
              <w:rPr>
                <w:spacing w:val="-2"/>
                <w:sz w:val="18"/>
              </w:rPr>
              <w:t>The</w:t>
            </w:r>
            <w:r>
              <w:rPr>
                <w:spacing w:val="-12"/>
                <w:sz w:val="18"/>
              </w:rPr>
              <w:t xml:space="preserve"> </w:t>
            </w:r>
            <w:r>
              <w:rPr>
                <w:spacing w:val="-2"/>
                <w:sz w:val="18"/>
              </w:rPr>
              <w:t>federal</w:t>
            </w:r>
            <w:r>
              <w:rPr>
                <w:spacing w:val="-10"/>
                <w:sz w:val="18"/>
              </w:rPr>
              <w:t xml:space="preserve"> </w:t>
            </w:r>
            <w:r>
              <w:rPr>
                <w:spacing w:val="-2"/>
                <w:sz w:val="18"/>
              </w:rPr>
              <w:t>government</w:t>
            </w:r>
            <w:r>
              <w:rPr>
                <w:spacing w:val="-11"/>
                <w:sz w:val="18"/>
              </w:rPr>
              <w:t xml:space="preserve"> </w:t>
            </w:r>
            <w:r>
              <w:rPr>
                <w:spacing w:val="-2"/>
                <w:sz w:val="18"/>
              </w:rPr>
              <w:t xml:space="preserve">has </w:t>
            </w:r>
            <w:r>
              <w:rPr>
                <w:sz w:val="18"/>
              </w:rPr>
              <w:t>rights to the land, and the entity has been assigned responsibility for managing and reporting the land.</w:t>
            </w:r>
          </w:p>
        </w:tc>
        <w:tc>
          <w:tcPr>
            <w:tcW w:w="4769" w:type="dxa"/>
            <w:tcBorders>
              <w:top w:val="single" w:sz="6" w:space="0" w:color="000000"/>
              <w:left w:val="single" w:sz="6" w:space="0" w:color="000000"/>
            </w:tcBorders>
          </w:tcPr>
          <w:p w14:paraId="0DFDC546" w14:textId="77777777" w:rsidR="00046465" w:rsidRDefault="008134EB">
            <w:pPr>
              <w:pStyle w:val="TableParagraph"/>
              <w:numPr>
                <w:ilvl w:val="0"/>
                <w:numId w:val="95"/>
              </w:numPr>
              <w:tabs>
                <w:tab w:val="left" w:pos="336"/>
              </w:tabs>
              <w:ind w:right="179"/>
              <w:rPr>
                <w:sz w:val="18"/>
              </w:rPr>
            </w:pPr>
            <w:r>
              <w:rPr>
                <w:sz w:val="18"/>
              </w:rPr>
              <w:t>How does the entity reasonably assure that PP&amp;E land and stewardship land are supported by documentation that provides evidence of federal ownership</w:t>
            </w:r>
            <w:r>
              <w:rPr>
                <w:spacing w:val="-12"/>
                <w:sz w:val="18"/>
              </w:rPr>
              <w:t xml:space="preserve"> </w:t>
            </w:r>
            <w:r>
              <w:rPr>
                <w:sz w:val="18"/>
              </w:rPr>
              <w:t>or</w:t>
            </w:r>
            <w:r>
              <w:rPr>
                <w:spacing w:val="-12"/>
                <w:sz w:val="18"/>
              </w:rPr>
              <w:t xml:space="preserve"> </w:t>
            </w:r>
            <w:r>
              <w:rPr>
                <w:sz w:val="18"/>
              </w:rPr>
              <w:t>the</w:t>
            </w:r>
            <w:r>
              <w:rPr>
                <w:spacing w:val="-13"/>
                <w:sz w:val="18"/>
              </w:rPr>
              <w:t xml:space="preserve"> </w:t>
            </w:r>
            <w:r>
              <w:rPr>
                <w:sz w:val="18"/>
              </w:rPr>
              <w:t>federal</w:t>
            </w:r>
            <w:r>
              <w:rPr>
                <w:spacing w:val="-11"/>
                <w:sz w:val="18"/>
              </w:rPr>
              <w:t xml:space="preserve"> </w:t>
            </w:r>
            <w:r>
              <w:rPr>
                <w:sz w:val="18"/>
              </w:rPr>
              <w:t>government’s</w:t>
            </w:r>
            <w:r>
              <w:rPr>
                <w:spacing w:val="-12"/>
                <w:sz w:val="18"/>
              </w:rPr>
              <w:t xml:space="preserve"> </w:t>
            </w:r>
            <w:r>
              <w:rPr>
                <w:sz w:val="18"/>
              </w:rPr>
              <w:t>interest</w:t>
            </w:r>
            <w:r>
              <w:rPr>
                <w:spacing w:val="-12"/>
                <w:sz w:val="18"/>
              </w:rPr>
              <w:t xml:space="preserve"> </w:t>
            </w:r>
            <w:r>
              <w:rPr>
                <w:sz w:val="18"/>
              </w:rPr>
              <w:t>in</w:t>
            </w:r>
            <w:r>
              <w:rPr>
                <w:spacing w:val="-13"/>
                <w:sz w:val="18"/>
              </w:rPr>
              <w:t xml:space="preserve"> </w:t>
            </w:r>
            <w:r>
              <w:rPr>
                <w:sz w:val="18"/>
              </w:rPr>
              <w:t xml:space="preserve">land </w:t>
            </w:r>
            <w:r>
              <w:rPr>
                <w:spacing w:val="-2"/>
                <w:sz w:val="18"/>
              </w:rPr>
              <w:t>rights?</w:t>
            </w:r>
          </w:p>
          <w:p w14:paraId="0DFDC547" w14:textId="77777777" w:rsidR="00046465" w:rsidRDefault="008134EB">
            <w:pPr>
              <w:pStyle w:val="TableParagraph"/>
              <w:numPr>
                <w:ilvl w:val="0"/>
                <w:numId w:val="95"/>
              </w:numPr>
              <w:tabs>
                <w:tab w:val="left" w:pos="334"/>
                <w:tab w:val="left" w:pos="336"/>
              </w:tabs>
              <w:spacing w:before="58"/>
              <w:ind w:right="397" w:hanging="181"/>
              <w:rPr>
                <w:sz w:val="18"/>
              </w:rPr>
            </w:pPr>
            <w:r>
              <w:rPr>
                <w:sz w:val="18"/>
              </w:rPr>
              <w:t>How does the entity reasonably assure</w:t>
            </w:r>
            <w:r>
              <w:rPr>
                <w:spacing w:val="-2"/>
                <w:sz w:val="18"/>
              </w:rPr>
              <w:t xml:space="preserve"> </w:t>
            </w:r>
            <w:r>
              <w:rPr>
                <w:sz w:val="18"/>
              </w:rPr>
              <w:t>that PP&amp;E land and stewardship land are supported by documentation indicating that the entity has been assigned</w:t>
            </w:r>
            <w:r>
              <w:rPr>
                <w:spacing w:val="-9"/>
                <w:sz w:val="18"/>
              </w:rPr>
              <w:t xml:space="preserve"> </w:t>
            </w:r>
            <w:r>
              <w:rPr>
                <w:sz w:val="18"/>
              </w:rPr>
              <w:t>responsibility</w:t>
            </w:r>
            <w:r>
              <w:rPr>
                <w:spacing w:val="-8"/>
                <w:sz w:val="18"/>
              </w:rPr>
              <w:t xml:space="preserve"> </w:t>
            </w:r>
            <w:r>
              <w:rPr>
                <w:sz w:val="18"/>
              </w:rPr>
              <w:t>for</w:t>
            </w:r>
            <w:r>
              <w:rPr>
                <w:spacing w:val="-8"/>
                <w:sz w:val="18"/>
              </w:rPr>
              <w:t xml:space="preserve"> </w:t>
            </w:r>
            <w:r>
              <w:rPr>
                <w:sz w:val="18"/>
              </w:rPr>
              <w:t>managing</w:t>
            </w:r>
            <w:r>
              <w:rPr>
                <w:spacing w:val="-7"/>
                <w:sz w:val="18"/>
              </w:rPr>
              <w:t xml:space="preserve"> </w:t>
            </w:r>
            <w:r>
              <w:rPr>
                <w:sz w:val="18"/>
              </w:rPr>
              <w:t>and</w:t>
            </w:r>
            <w:r>
              <w:rPr>
                <w:spacing w:val="-9"/>
                <w:sz w:val="18"/>
              </w:rPr>
              <w:t xml:space="preserve"> </w:t>
            </w:r>
            <w:r>
              <w:rPr>
                <w:sz w:val="18"/>
              </w:rPr>
              <w:t>reporting the land?</w:t>
            </w:r>
          </w:p>
        </w:tc>
      </w:tr>
      <w:tr w:rsidR="00046465" w14:paraId="0DFDC54D" w14:textId="77777777">
        <w:trPr>
          <w:trHeight w:val="269"/>
        </w:trPr>
        <w:tc>
          <w:tcPr>
            <w:tcW w:w="2346" w:type="dxa"/>
            <w:vMerge w:val="restart"/>
            <w:tcBorders>
              <w:bottom w:val="single" w:sz="6" w:space="0" w:color="000000"/>
              <w:right w:val="single" w:sz="6" w:space="0" w:color="000000"/>
            </w:tcBorders>
          </w:tcPr>
          <w:p w14:paraId="0DFDC549" w14:textId="77777777" w:rsidR="00046465" w:rsidRDefault="008134EB">
            <w:pPr>
              <w:pStyle w:val="TableParagraph"/>
              <w:spacing w:before="21"/>
              <w:ind w:left="64"/>
              <w:rPr>
                <w:b/>
                <w:sz w:val="18"/>
              </w:rPr>
            </w:pPr>
            <w:r>
              <w:rPr>
                <w:b/>
                <w:spacing w:val="-2"/>
                <w:sz w:val="18"/>
              </w:rPr>
              <w:t>Presentation</w:t>
            </w:r>
          </w:p>
          <w:p w14:paraId="0DFDC54A" w14:textId="77777777" w:rsidR="00046465" w:rsidRDefault="008134EB">
            <w:pPr>
              <w:pStyle w:val="TableParagraph"/>
              <w:spacing w:before="2"/>
              <w:ind w:left="268" w:hanging="206"/>
              <w:rPr>
                <w:sz w:val="18"/>
              </w:rPr>
            </w:pPr>
            <w:r>
              <w:rPr>
                <w:sz w:val="18"/>
              </w:rPr>
              <w:t>1. The note disclosure narrative</w:t>
            </w:r>
            <w:r>
              <w:rPr>
                <w:spacing w:val="-15"/>
                <w:sz w:val="18"/>
              </w:rPr>
              <w:t xml:space="preserve"> </w:t>
            </w:r>
            <w:r>
              <w:rPr>
                <w:sz w:val="18"/>
              </w:rPr>
              <w:t>is</w:t>
            </w:r>
            <w:r>
              <w:rPr>
                <w:spacing w:val="-12"/>
                <w:sz w:val="18"/>
              </w:rPr>
              <w:t xml:space="preserve"> </w:t>
            </w:r>
            <w:r>
              <w:rPr>
                <w:sz w:val="18"/>
              </w:rPr>
              <w:t>appropriately and clearly presented in accordance SFFAS 59, TB 2025-1, and OMB</w:t>
            </w:r>
          </w:p>
          <w:p w14:paraId="0DFDC54B" w14:textId="77777777" w:rsidR="00046465" w:rsidRDefault="008134EB">
            <w:pPr>
              <w:pStyle w:val="TableParagraph"/>
              <w:spacing w:line="207" w:lineRule="exact"/>
              <w:ind w:left="268"/>
              <w:rPr>
                <w:sz w:val="18"/>
              </w:rPr>
            </w:pPr>
            <w:r>
              <w:rPr>
                <w:sz w:val="18"/>
              </w:rPr>
              <w:t>Circular</w:t>
            </w:r>
            <w:r>
              <w:rPr>
                <w:spacing w:val="-8"/>
                <w:sz w:val="18"/>
              </w:rPr>
              <w:t xml:space="preserve"> </w:t>
            </w:r>
            <w:r>
              <w:rPr>
                <w:sz w:val="18"/>
              </w:rPr>
              <w:t>A-</w:t>
            </w:r>
            <w:r>
              <w:rPr>
                <w:spacing w:val="-4"/>
                <w:sz w:val="18"/>
              </w:rPr>
              <w:t>136.</w:t>
            </w:r>
          </w:p>
        </w:tc>
        <w:tc>
          <w:tcPr>
            <w:tcW w:w="7282" w:type="dxa"/>
            <w:gridSpan w:val="2"/>
            <w:tcBorders>
              <w:left w:val="single" w:sz="6" w:space="0" w:color="000000"/>
              <w:bottom w:val="single" w:sz="6" w:space="0" w:color="000000"/>
            </w:tcBorders>
            <w:shd w:val="clear" w:color="auto" w:fill="D9D9D9"/>
          </w:tcPr>
          <w:p w14:paraId="0DFDC54C" w14:textId="77777777" w:rsidR="00046465" w:rsidRDefault="008134EB">
            <w:pPr>
              <w:pStyle w:val="TableParagraph"/>
              <w:spacing w:before="23"/>
              <w:ind w:left="107" w:right="91"/>
              <w:jc w:val="center"/>
              <w:rPr>
                <w:b/>
                <w:sz w:val="18"/>
              </w:rPr>
            </w:pPr>
            <w:r>
              <w:rPr>
                <w:b/>
                <w:spacing w:val="-2"/>
                <w:sz w:val="18"/>
              </w:rPr>
              <w:t>Balance</w:t>
            </w:r>
          </w:p>
        </w:tc>
      </w:tr>
      <w:tr w:rsidR="00046465" w14:paraId="0DFDC552" w14:textId="77777777">
        <w:trPr>
          <w:trHeight w:val="1335"/>
        </w:trPr>
        <w:tc>
          <w:tcPr>
            <w:tcW w:w="2346" w:type="dxa"/>
            <w:vMerge/>
            <w:tcBorders>
              <w:top w:val="nil"/>
              <w:bottom w:val="single" w:sz="6" w:space="0" w:color="000000"/>
              <w:right w:val="single" w:sz="6" w:space="0" w:color="000000"/>
            </w:tcBorders>
          </w:tcPr>
          <w:p w14:paraId="0DFDC54E" w14:textId="77777777" w:rsidR="00046465" w:rsidRDefault="00046465">
            <w:pPr>
              <w:rPr>
                <w:sz w:val="2"/>
                <w:szCs w:val="2"/>
              </w:rPr>
            </w:pPr>
          </w:p>
        </w:tc>
        <w:tc>
          <w:tcPr>
            <w:tcW w:w="2513" w:type="dxa"/>
            <w:tcBorders>
              <w:top w:val="single" w:sz="6" w:space="0" w:color="000000"/>
              <w:left w:val="single" w:sz="6" w:space="0" w:color="000000"/>
              <w:bottom w:val="single" w:sz="6" w:space="0" w:color="000000"/>
              <w:right w:val="single" w:sz="6" w:space="0" w:color="000000"/>
            </w:tcBorders>
          </w:tcPr>
          <w:p w14:paraId="0DFDC54F" w14:textId="77777777" w:rsidR="00046465" w:rsidRDefault="008134EB">
            <w:pPr>
              <w:pStyle w:val="TableParagraph"/>
              <w:ind w:left="56" w:right="130"/>
              <w:rPr>
                <w:sz w:val="18"/>
              </w:rPr>
            </w:pPr>
            <w:r>
              <w:rPr>
                <w:sz w:val="18"/>
              </w:rPr>
              <w:t>The</w:t>
            </w:r>
            <w:r>
              <w:rPr>
                <w:spacing w:val="-13"/>
                <w:sz w:val="18"/>
              </w:rPr>
              <w:t xml:space="preserve"> </w:t>
            </w:r>
            <w:r>
              <w:rPr>
                <w:sz w:val="18"/>
              </w:rPr>
              <w:t>note</w:t>
            </w:r>
            <w:r>
              <w:rPr>
                <w:spacing w:val="-12"/>
                <w:sz w:val="18"/>
              </w:rPr>
              <w:t xml:space="preserve"> </w:t>
            </w:r>
            <w:r>
              <w:rPr>
                <w:sz w:val="18"/>
              </w:rPr>
              <w:t>disclosure</w:t>
            </w:r>
            <w:r>
              <w:rPr>
                <w:spacing w:val="-13"/>
                <w:sz w:val="18"/>
              </w:rPr>
              <w:t xml:space="preserve"> </w:t>
            </w:r>
            <w:r>
              <w:rPr>
                <w:sz w:val="18"/>
              </w:rPr>
              <w:t>narrative is appropriately and clearly presented in accordance</w:t>
            </w:r>
            <w:r>
              <w:rPr>
                <w:spacing w:val="40"/>
                <w:sz w:val="18"/>
              </w:rPr>
              <w:t xml:space="preserve"> </w:t>
            </w:r>
            <w:r>
              <w:rPr>
                <w:sz w:val="18"/>
              </w:rPr>
              <w:t>with SFFAS 59, TB 2025-1,</w:t>
            </w:r>
          </w:p>
          <w:p w14:paraId="0DFDC550" w14:textId="77777777" w:rsidR="00046465" w:rsidRDefault="008134EB">
            <w:pPr>
              <w:pStyle w:val="TableParagraph"/>
              <w:ind w:left="56"/>
              <w:rPr>
                <w:sz w:val="18"/>
              </w:rPr>
            </w:pPr>
            <w:r>
              <w:rPr>
                <w:sz w:val="18"/>
              </w:rPr>
              <w:t>and</w:t>
            </w:r>
            <w:r>
              <w:rPr>
                <w:spacing w:val="-5"/>
                <w:sz w:val="18"/>
              </w:rPr>
              <w:t xml:space="preserve"> </w:t>
            </w:r>
            <w:r>
              <w:rPr>
                <w:sz w:val="18"/>
              </w:rPr>
              <w:t>OMB</w:t>
            </w:r>
            <w:r>
              <w:rPr>
                <w:spacing w:val="-2"/>
                <w:sz w:val="18"/>
              </w:rPr>
              <w:t xml:space="preserve"> </w:t>
            </w:r>
            <w:r>
              <w:rPr>
                <w:sz w:val="18"/>
              </w:rPr>
              <w:t>Circular</w:t>
            </w:r>
            <w:r>
              <w:rPr>
                <w:spacing w:val="-2"/>
                <w:sz w:val="18"/>
              </w:rPr>
              <w:t xml:space="preserve"> </w:t>
            </w:r>
            <w:r>
              <w:rPr>
                <w:sz w:val="18"/>
              </w:rPr>
              <w:t>A-</w:t>
            </w:r>
            <w:r>
              <w:rPr>
                <w:spacing w:val="-4"/>
                <w:sz w:val="18"/>
              </w:rPr>
              <w:t>136.</w:t>
            </w:r>
          </w:p>
        </w:tc>
        <w:tc>
          <w:tcPr>
            <w:tcW w:w="4769" w:type="dxa"/>
            <w:tcBorders>
              <w:top w:val="single" w:sz="6" w:space="0" w:color="000000"/>
              <w:left w:val="single" w:sz="6" w:space="0" w:color="000000"/>
              <w:bottom w:val="single" w:sz="6" w:space="0" w:color="000000"/>
            </w:tcBorders>
          </w:tcPr>
          <w:p w14:paraId="0DFDC551" w14:textId="77777777" w:rsidR="00046465" w:rsidRDefault="008134EB">
            <w:pPr>
              <w:pStyle w:val="TableParagraph"/>
              <w:numPr>
                <w:ilvl w:val="0"/>
                <w:numId w:val="94"/>
              </w:numPr>
              <w:tabs>
                <w:tab w:val="left" w:pos="351"/>
                <w:tab w:val="left" w:pos="353"/>
              </w:tabs>
              <w:ind w:right="319"/>
              <w:rPr>
                <w:sz w:val="18"/>
              </w:rPr>
            </w:pPr>
            <w:r>
              <w:rPr>
                <w:sz w:val="18"/>
              </w:rPr>
              <w:t>How</w:t>
            </w:r>
            <w:r>
              <w:rPr>
                <w:spacing w:val="-5"/>
                <w:sz w:val="18"/>
              </w:rPr>
              <w:t xml:space="preserve"> </w:t>
            </w:r>
            <w:r>
              <w:rPr>
                <w:sz w:val="18"/>
              </w:rPr>
              <w:t>does</w:t>
            </w:r>
            <w:r>
              <w:rPr>
                <w:spacing w:val="-5"/>
                <w:sz w:val="18"/>
              </w:rPr>
              <w:t xml:space="preserve"> </w:t>
            </w:r>
            <w:r>
              <w:rPr>
                <w:sz w:val="18"/>
              </w:rPr>
              <w:t>the</w:t>
            </w:r>
            <w:r>
              <w:rPr>
                <w:spacing w:val="-4"/>
                <w:sz w:val="18"/>
              </w:rPr>
              <w:t xml:space="preserve"> </w:t>
            </w:r>
            <w:r>
              <w:rPr>
                <w:sz w:val="18"/>
              </w:rPr>
              <w:t>entity</w:t>
            </w:r>
            <w:r>
              <w:rPr>
                <w:spacing w:val="-5"/>
                <w:sz w:val="18"/>
              </w:rPr>
              <w:t xml:space="preserve"> </w:t>
            </w:r>
            <w:r>
              <w:rPr>
                <w:sz w:val="18"/>
              </w:rPr>
              <w:t>reasonably</w:t>
            </w:r>
            <w:r>
              <w:rPr>
                <w:spacing w:val="-5"/>
                <w:sz w:val="18"/>
              </w:rPr>
              <w:t xml:space="preserve"> </w:t>
            </w:r>
            <w:r>
              <w:rPr>
                <w:sz w:val="18"/>
              </w:rPr>
              <w:t>assure</w:t>
            </w:r>
            <w:r>
              <w:rPr>
                <w:spacing w:val="-6"/>
                <w:sz w:val="18"/>
              </w:rPr>
              <w:t xml:space="preserve"> </w:t>
            </w:r>
            <w:r>
              <w:rPr>
                <w:sz w:val="18"/>
              </w:rPr>
              <w:t>that</w:t>
            </w:r>
            <w:r>
              <w:rPr>
                <w:spacing w:val="-5"/>
                <w:sz w:val="18"/>
              </w:rPr>
              <w:t xml:space="preserve"> </w:t>
            </w:r>
            <w:r>
              <w:rPr>
                <w:sz w:val="18"/>
              </w:rPr>
              <w:t>its</w:t>
            </w:r>
            <w:r>
              <w:rPr>
                <w:spacing w:val="-5"/>
                <w:sz w:val="18"/>
              </w:rPr>
              <w:t xml:space="preserve"> </w:t>
            </w:r>
            <w:r>
              <w:rPr>
                <w:sz w:val="18"/>
              </w:rPr>
              <w:t>note disclosure narrative for land is appropriately and clearly presented in accordance with SFFAS 59,</w:t>
            </w:r>
            <w:r>
              <w:rPr>
                <w:spacing w:val="40"/>
                <w:sz w:val="18"/>
              </w:rPr>
              <w:t xml:space="preserve"> </w:t>
            </w:r>
            <w:r>
              <w:rPr>
                <w:sz w:val="18"/>
              </w:rPr>
              <w:t>TB 2025-1, and OMB Circular A-136?</w:t>
            </w:r>
          </w:p>
        </w:tc>
      </w:tr>
      <w:tr w:rsidR="00046465" w14:paraId="0DFDC558" w14:textId="77777777">
        <w:trPr>
          <w:trHeight w:val="2509"/>
        </w:trPr>
        <w:tc>
          <w:tcPr>
            <w:tcW w:w="2346" w:type="dxa"/>
            <w:tcBorders>
              <w:top w:val="single" w:sz="6" w:space="0" w:color="000000"/>
              <w:bottom w:val="single" w:sz="6" w:space="0" w:color="000000"/>
              <w:right w:val="single" w:sz="6" w:space="0" w:color="000000"/>
            </w:tcBorders>
          </w:tcPr>
          <w:p w14:paraId="0DFDC553" w14:textId="77777777" w:rsidR="00046465" w:rsidRDefault="008134EB">
            <w:pPr>
              <w:pStyle w:val="TableParagraph"/>
              <w:ind w:left="268" w:right="132" w:hanging="180"/>
              <w:rPr>
                <w:sz w:val="18"/>
              </w:rPr>
            </w:pPr>
            <w:r>
              <w:rPr>
                <w:sz w:val="18"/>
              </w:rPr>
              <w:t xml:space="preserve">2. Numerical and other information for land presented in the note disclosure is </w:t>
            </w:r>
            <w:r>
              <w:rPr>
                <w:spacing w:val="-2"/>
                <w:sz w:val="18"/>
              </w:rPr>
              <w:t>appropriately</w:t>
            </w:r>
            <w:r>
              <w:rPr>
                <w:sz w:val="18"/>
              </w:rPr>
              <w:t xml:space="preserve"> aggregated or disaggregated and clearly described in accordance</w:t>
            </w:r>
            <w:r>
              <w:rPr>
                <w:spacing w:val="-15"/>
                <w:sz w:val="18"/>
              </w:rPr>
              <w:t xml:space="preserve"> </w:t>
            </w:r>
            <w:r>
              <w:rPr>
                <w:sz w:val="18"/>
              </w:rPr>
              <w:t>with</w:t>
            </w:r>
            <w:r>
              <w:rPr>
                <w:spacing w:val="-12"/>
                <w:sz w:val="18"/>
              </w:rPr>
              <w:t xml:space="preserve"> </w:t>
            </w:r>
            <w:r>
              <w:rPr>
                <w:sz w:val="18"/>
              </w:rPr>
              <w:t>SFFAS 59, TB 2025-1, and</w:t>
            </w:r>
          </w:p>
          <w:p w14:paraId="0DFDC554" w14:textId="77777777" w:rsidR="00046465" w:rsidRDefault="008134EB">
            <w:pPr>
              <w:pStyle w:val="TableParagraph"/>
              <w:ind w:left="268"/>
              <w:rPr>
                <w:sz w:val="18"/>
              </w:rPr>
            </w:pPr>
            <w:r>
              <w:rPr>
                <w:sz w:val="18"/>
              </w:rPr>
              <w:t>OMB</w:t>
            </w:r>
            <w:r>
              <w:rPr>
                <w:spacing w:val="-4"/>
                <w:sz w:val="18"/>
              </w:rPr>
              <w:t xml:space="preserve"> </w:t>
            </w:r>
            <w:r>
              <w:rPr>
                <w:sz w:val="18"/>
              </w:rPr>
              <w:t>Circular</w:t>
            </w:r>
            <w:r>
              <w:rPr>
                <w:spacing w:val="-2"/>
                <w:sz w:val="18"/>
              </w:rPr>
              <w:t xml:space="preserve"> </w:t>
            </w:r>
            <w:r>
              <w:rPr>
                <w:sz w:val="18"/>
              </w:rPr>
              <w:t>A-</w:t>
            </w:r>
            <w:r>
              <w:rPr>
                <w:spacing w:val="-4"/>
                <w:sz w:val="18"/>
              </w:rPr>
              <w:t>136.</w:t>
            </w:r>
          </w:p>
        </w:tc>
        <w:tc>
          <w:tcPr>
            <w:tcW w:w="2513" w:type="dxa"/>
            <w:tcBorders>
              <w:top w:val="single" w:sz="6" w:space="0" w:color="000000"/>
              <w:left w:val="single" w:sz="6" w:space="0" w:color="000000"/>
              <w:bottom w:val="single" w:sz="6" w:space="0" w:color="000000"/>
              <w:right w:val="single" w:sz="6" w:space="0" w:color="000000"/>
            </w:tcBorders>
          </w:tcPr>
          <w:p w14:paraId="0DFDC555" w14:textId="77777777" w:rsidR="00046465" w:rsidRDefault="008134EB">
            <w:pPr>
              <w:pStyle w:val="TableParagraph"/>
              <w:ind w:left="58"/>
              <w:rPr>
                <w:sz w:val="18"/>
              </w:rPr>
            </w:pPr>
            <w:r>
              <w:rPr>
                <w:sz w:val="18"/>
              </w:rPr>
              <w:t>Numerical and other information relating to land presented in the note disclosure is appropriately aggregated</w:t>
            </w:r>
            <w:r>
              <w:rPr>
                <w:spacing w:val="-15"/>
                <w:sz w:val="18"/>
              </w:rPr>
              <w:t xml:space="preserve"> </w:t>
            </w:r>
            <w:r>
              <w:rPr>
                <w:sz w:val="18"/>
              </w:rPr>
              <w:t>or</w:t>
            </w:r>
            <w:r>
              <w:rPr>
                <w:spacing w:val="-12"/>
                <w:sz w:val="18"/>
              </w:rPr>
              <w:t xml:space="preserve"> </w:t>
            </w:r>
            <w:r>
              <w:rPr>
                <w:sz w:val="18"/>
              </w:rPr>
              <w:t>disaggregated and is clearly described in accordance with SFFAS 59, TB 2025-1, and OMB</w:t>
            </w:r>
          </w:p>
          <w:p w14:paraId="0DFDC556" w14:textId="77777777" w:rsidR="00046465" w:rsidRDefault="008134EB">
            <w:pPr>
              <w:pStyle w:val="TableParagraph"/>
              <w:ind w:left="58"/>
              <w:rPr>
                <w:sz w:val="18"/>
              </w:rPr>
            </w:pPr>
            <w:r>
              <w:rPr>
                <w:sz w:val="18"/>
              </w:rPr>
              <w:t>Circular</w:t>
            </w:r>
            <w:r>
              <w:rPr>
                <w:spacing w:val="-8"/>
                <w:sz w:val="18"/>
              </w:rPr>
              <w:t xml:space="preserve"> </w:t>
            </w:r>
            <w:r>
              <w:rPr>
                <w:sz w:val="18"/>
              </w:rPr>
              <w:t>A-</w:t>
            </w:r>
            <w:r>
              <w:rPr>
                <w:spacing w:val="-4"/>
                <w:sz w:val="18"/>
              </w:rPr>
              <w:t>136.</w:t>
            </w:r>
          </w:p>
        </w:tc>
        <w:tc>
          <w:tcPr>
            <w:tcW w:w="4769" w:type="dxa"/>
            <w:tcBorders>
              <w:top w:val="single" w:sz="6" w:space="0" w:color="000000"/>
              <w:left w:val="single" w:sz="6" w:space="0" w:color="000000"/>
              <w:bottom w:val="single" w:sz="6" w:space="0" w:color="000000"/>
            </w:tcBorders>
          </w:tcPr>
          <w:p w14:paraId="0DFDC557" w14:textId="77777777" w:rsidR="00046465" w:rsidRDefault="008134EB">
            <w:pPr>
              <w:pStyle w:val="TableParagraph"/>
              <w:numPr>
                <w:ilvl w:val="0"/>
                <w:numId w:val="93"/>
              </w:numPr>
              <w:tabs>
                <w:tab w:val="left" w:pos="351"/>
                <w:tab w:val="left" w:pos="353"/>
              </w:tabs>
              <w:ind w:right="149"/>
              <w:rPr>
                <w:position w:val="6"/>
                <w:sz w:val="12"/>
              </w:rPr>
            </w:pPr>
            <w:r>
              <w:rPr>
                <w:sz w:val="18"/>
              </w:rPr>
              <w:t>How does the entity reasonably assure that its presentation of numerical and other information for land in the note disclosure is appropriately aggregated</w:t>
            </w:r>
            <w:r>
              <w:rPr>
                <w:spacing w:val="-7"/>
                <w:sz w:val="18"/>
              </w:rPr>
              <w:t xml:space="preserve"> </w:t>
            </w:r>
            <w:r>
              <w:rPr>
                <w:sz w:val="18"/>
              </w:rPr>
              <w:t>or</w:t>
            </w:r>
            <w:r>
              <w:rPr>
                <w:spacing w:val="-6"/>
                <w:sz w:val="18"/>
              </w:rPr>
              <w:t xml:space="preserve"> </w:t>
            </w:r>
            <w:r>
              <w:rPr>
                <w:sz w:val="18"/>
              </w:rPr>
              <w:t>disaggregated</w:t>
            </w:r>
            <w:r>
              <w:rPr>
                <w:spacing w:val="-7"/>
                <w:sz w:val="18"/>
              </w:rPr>
              <w:t xml:space="preserve"> </w:t>
            </w:r>
            <w:r>
              <w:rPr>
                <w:sz w:val="18"/>
              </w:rPr>
              <w:t>and</w:t>
            </w:r>
            <w:r>
              <w:rPr>
                <w:spacing w:val="-7"/>
                <w:sz w:val="18"/>
              </w:rPr>
              <w:t xml:space="preserve"> </w:t>
            </w:r>
            <w:r>
              <w:rPr>
                <w:sz w:val="18"/>
              </w:rPr>
              <w:t>clearly</w:t>
            </w:r>
            <w:r>
              <w:rPr>
                <w:spacing w:val="-6"/>
                <w:sz w:val="18"/>
              </w:rPr>
              <w:t xml:space="preserve"> </w:t>
            </w:r>
            <w:r>
              <w:rPr>
                <w:sz w:val="18"/>
              </w:rPr>
              <w:t>described</w:t>
            </w:r>
            <w:r>
              <w:rPr>
                <w:spacing w:val="-7"/>
                <w:sz w:val="18"/>
              </w:rPr>
              <w:t xml:space="preserve"> </w:t>
            </w:r>
            <w:r>
              <w:rPr>
                <w:sz w:val="18"/>
              </w:rPr>
              <w:t>in accordance with SFFAS 59, TB 2025-1, and OMB Circular A-136?</w:t>
            </w:r>
            <w:r>
              <w:rPr>
                <w:position w:val="6"/>
                <w:sz w:val="12"/>
              </w:rPr>
              <w:t>c</w:t>
            </w:r>
          </w:p>
        </w:tc>
      </w:tr>
      <w:tr w:rsidR="00046465" w14:paraId="0DFDC55D" w14:textId="77777777">
        <w:trPr>
          <w:trHeight w:val="1470"/>
        </w:trPr>
        <w:tc>
          <w:tcPr>
            <w:tcW w:w="2346" w:type="dxa"/>
            <w:tcBorders>
              <w:top w:val="single" w:sz="6" w:space="0" w:color="000000"/>
              <w:bottom w:val="single" w:sz="6" w:space="0" w:color="000000"/>
              <w:right w:val="single" w:sz="6" w:space="0" w:color="000000"/>
            </w:tcBorders>
          </w:tcPr>
          <w:p w14:paraId="0DFDC559" w14:textId="77777777" w:rsidR="00046465" w:rsidRDefault="008134EB">
            <w:pPr>
              <w:pStyle w:val="TableParagraph"/>
              <w:ind w:left="265" w:hanging="202"/>
              <w:rPr>
                <w:sz w:val="18"/>
              </w:rPr>
            </w:pPr>
            <w:r>
              <w:rPr>
                <w:sz w:val="18"/>
              </w:rPr>
              <w:t>3. Numerical and other information for land is in accordance with SFFAS 59,</w:t>
            </w:r>
            <w:r>
              <w:rPr>
                <w:spacing w:val="-10"/>
                <w:sz w:val="18"/>
              </w:rPr>
              <w:t xml:space="preserve"> </w:t>
            </w:r>
            <w:r>
              <w:rPr>
                <w:sz w:val="18"/>
              </w:rPr>
              <w:t>TB</w:t>
            </w:r>
            <w:r>
              <w:rPr>
                <w:spacing w:val="-10"/>
                <w:sz w:val="18"/>
              </w:rPr>
              <w:t xml:space="preserve"> </w:t>
            </w:r>
            <w:r>
              <w:rPr>
                <w:sz w:val="18"/>
              </w:rPr>
              <w:t>2025-1,</w:t>
            </w:r>
            <w:r>
              <w:rPr>
                <w:spacing w:val="-13"/>
                <w:sz w:val="18"/>
              </w:rPr>
              <w:t xml:space="preserve"> </w:t>
            </w:r>
            <w:r>
              <w:rPr>
                <w:sz w:val="18"/>
              </w:rPr>
              <w:t>and</w:t>
            </w:r>
            <w:r>
              <w:rPr>
                <w:spacing w:val="-10"/>
                <w:sz w:val="18"/>
              </w:rPr>
              <w:t xml:space="preserve"> </w:t>
            </w:r>
            <w:r>
              <w:rPr>
                <w:sz w:val="18"/>
              </w:rPr>
              <w:t>OMB</w:t>
            </w:r>
          </w:p>
          <w:p w14:paraId="0DFDC55A" w14:textId="77777777" w:rsidR="00046465" w:rsidRDefault="008134EB">
            <w:pPr>
              <w:pStyle w:val="TableParagraph"/>
              <w:ind w:left="265"/>
              <w:rPr>
                <w:sz w:val="18"/>
              </w:rPr>
            </w:pPr>
            <w:r>
              <w:rPr>
                <w:sz w:val="18"/>
              </w:rPr>
              <w:t xml:space="preserve">Circular A-136 and </w:t>
            </w:r>
            <w:r>
              <w:rPr>
                <w:spacing w:val="-2"/>
                <w:sz w:val="18"/>
              </w:rPr>
              <w:t>consistently</w:t>
            </w:r>
            <w:r>
              <w:rPr>
                <w:spacing w:val="-11"/>
                <w:sz w:val="18"/>
              </w:rPr>
              <w:t xml:space="preserve"> </w:t>
            </w:r>
            <w:r>
              <w:rPr>
                <w:spacing w:val="-2"/>
                <w:sz w:val="18"/>
              </w:rPr>
              <w:t>applied.</w:t>
            </w:r>
          </w:p>
        </w:tc>
        <w:tc>
          <w:tcPr>
            <w:tcW w:w="2513" w:type="dxa"/>
            <w:tcBorders>
              <w:top w:val="single" w:sz="6" w:space="0" w:color="000000"/>
              <w:left w:val="single" w:sz="6" w:space="0" w:color="000000"/>
              <w:bottom w:val="single" w:sz="6" w:space="0" w:color="000000"/>
              <w:right w:val="single" w:sz="6" w:space="0" w:color="000000"/>
            </w:tcBorders>
          </w:tcPr>
          <w:p w14:paraId="0DFDC55B" w14:textId="77777777" w:rsidR="00046465" w:rsidRDefault="008134EB">
            <w:pPr>
              <w:pStyle w:val="TableParagraph"/>
              <w:ind w:left="56" w:right="17"/>
              <w:rPr>
                <w:sz w:val="18"/>
              </w:rPr>
            </w:pPr>
            <w:r>
              <w:rPr>
                <w:sz w:val="18"/>
              </w:rPr>
              <w:t>Numerical and other information for land is in accordance with SFFAS 59, TB 2025-1, and OMB Circular A-136</w:t>
            </w:r>
            <w:r>
              <w:rPr>
                <w:spacing w:val="-13"/>
                <w:sz w:val="18"/>
              </w:rPr>
              <w:t xml:space="preserve"> </w:t>
            </w:r>
            <w:r>
              <w:rPr>
                <w:sz w:val="18"/>
              </w:rPr>
              <w:t>and</w:t>
            </w:r>
            <w:r>
              <w:rPr>
                <w:spacing w:val="-12"/>
                <w:sz w:val="18"/>
              </w:rPr>
              <w:t xml:space="preserve"> </w:t>
            </w:r>
            <w:r>
              <w:rPr>
                <w:sz w:val="18"/>
              </w:rPr>
              <w:t>consistently</w:t>
            </w:r>
            <w:r>
              <w:rPr>
                <w:spacing w:val="-13"/>
                <w:sz w:val="18"/>
              </w:rPr>
              <w:t xml:space="preserve"> </w:t>
            </w:r>
            <w:r>
              <w:rPr>
                <w:sz w:val="18"/>
              </w:rPr>
              <w:t>applied from period to period.</w:t>
            </w:r>
          </w:p>
        </w:tc>
        <w:tc>
          <w:tcPr>
            <w:tcW w:w="4769" w:type="dxa"/>
            <w:tcBorders>
              <w:top w:val="single" w:sz="6" w:space="0" w:color="000000"/>
              <w:left w:val="single" w:sz="6" w:space="0" w:color="000000"/>
              <w:bottom w:val="single" w:sz="6" w:space="0" w:color="000000"/>
            </w:tcBorders>
          </w:tcPr>
          <w:p w14:paraId="0DFDC55C" w14:textId="77777777" w:rsidR="00046465" w:rsidRDefault="008134EB">
            <w:pPr>
              <w:pStyle w:val="TableParagraph"/>
              <w:numPr>
                <w:ilvl w:val="0"/>
                <w:numId w:val="92"/>
              </w:numPr>
              <w:tabs>
                <w:tab w:val="left" w:pos="351"/>
                <w:tab w:val="left" w:pos="353"/>
              </w:tabs>
              <w:spacing w:before="1"/>
              <w:ind w:right="161"/>
              <w:rPr>
                <w:sz w:val="18"/>
              </w:rPr>
            </w:pPr>
            <w:r>
              <w:rPr>
                <w:sz w:val="18"/>
              </w:rPr>
              <w:t>How</w:t>
            </w:r>
            <w:r>
              <w:rPr>
                <w:spacing w:val="-12"/>
                <w:sz w:val="18"/>
              </w:rPr>
              <w:t xml:space="preserve"> </w:t>
            </w:r>
            <w:r>
              <w:rPr>
                <w:sz w:val="18"/>
              </w:rPr>
              <w:t>does</w:t>
            </w:r>
            <w:r>
              <w:rPr>
                <w:spacing w:val="-12"/>
                <w:sz w:val="18"/>
              </w:rPr>
              <w:t xml:space="preserve"> </w:t>
            </w:r>
            <w:r>
              <w:rPr>
                <w:sz w:val="18"/>
              </w:rPr>
              <w:t>the</w:t>
            </w:r>
            <w:r>
              <w:rPr>
                <w:spacing w:val="-10"/>
                <w:sz w:val="18"/>
              </w:rPr>
              <w:t xml:space="preserve"> </w:t>
            </w:r>
            <w:r>
              <w:rPr>
                <w:sz w:val="18"/>
              </w:rPr>
              <w:t>entity</w:t>
            </w:r>
            <w:r>
              <w:rPr>
                <w:spacing w:val="-12"/>
                <w:sz w:val="18"/>
              </w:rPr>
              <w:t xml:space="preserve"> </w:t>
            </w:r>
            <w:r>
              <w:rPr>
                <w:sz w:val="18"/>
              </w:rPr>
              <w:t>reasonably</w:t>
            </w:r>
            <w:r>
              <w:rPr>
                <w:spacing w:val="-12"/>
                <w:sz w:val="18"/>
              </w:rPr>
              <w:t xml:space="preserve"> </w:t>
            </w:r>
            <w:r>
              <w:rPr>
                <w:sz w:val="18"/>
              </w:rPr>
              <w:t>assure</w:t>
            </w:r>
            <w:r>
              <w:rPr>
                <w:spacing w:val="-13"/>
                <w:sz w:val="18"/>
              </w:rPr>
              <w:t xml:space="preserve"> </w:t>
            </w:r>
            <w:r>
              <w:rPr>
                <w:sz w:val="18"/>
              </w:rPr>
              <w:t>that</w:t>
            </w:r>
            <w:r>
              <w:rPr>
                <w:spacing w:val="-11"/>
                <w:sz w:val="18"/>
              </w:rPr>
              <w:t xml:space="preserve"> </w:t>
            </w:r>
            <w:r>
              <w:rPr>
                <w:sz w:val="18"/>
              </w:rPr>
              <w:t>numerical and other information for land is presented in accordance with SFFAS 59, TB 2025-1, and OMB Circular A-136 and consistently applied?</w:t>
            </w:r>
          </w:p>
        </w:tc>
      </w:tr>
    </w:tbl>
    <w:p w14:paraId="0DFDC55E" w14:textId="77777777" w:rsidR="00046465" w:rsidRDefault="00046465">
      <w:pPr>
        <w:pStyle w:val="TableParagraph"/>
        <w:rPr>
          <w:sz w:val="18"/>
        </w:rPr>
        <w:sectPr w:rsidR="00046465">
          <w:pgSz w:w="12240" w:h="15840"/>
          <w:pgMar w:top="1340" w:right="720" w:bottom="940" w:left="1080" w:header="721" w:footer="757" w:gutter="0"/>
          <w:cols w:space="720"/>
        </w:sectPr>
      </w:pPr>
    </w:p>
    <w:p w14:paraId="0DFDC55F" w14:textId="77777777" w:rsidR="00046465" w:rsidRDefault="00046465">
      <w:pPr>
        <w:pStyle w:val="BodyText"/>
        <w:rPr>
          <w:sz w:val="20"/>
        </w:rPr>
      </w:pPr>
    </w:p>
    <w:p w14:paraId="0DFDC560" w14:textId="77777777" w:rsidR="00046465" w:rsidRDefault="00046465">
      <w:pPr>
        <w:pStyle w:val="BodyText"/>
        <w:spacing w:before="75"/>
        <w:rPr>
          <w:sz w:val="20"/>
        </w:rPr>
      </w:pPr>
    </w:p>
    <w:tbl>
      <w:tblPr>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4"/>
        <w:gridCol w:w="2517"/>
        <w:gridCol w:w="4771"/>
      </w:tblGrid>
      <w:tr w:rsidR="00046465" w14:paraId="0DFDC565" w14:textId="77777777">
        <w:trPr>
          <w:trHeight w:val="454"/>
        </w:trPr>
        <w:tc>
          <w:tcPr>
            <w:tcW w:w="2344" w:type="dxa"/>
            <w:tcBorders>
              <w:bottom w:val="single" w:sz="6" w:space="0" w:color="000000"/>
              <w:right w:val="single" w:sz="6" w:space="0" w:color="000000"/>
            </w:tcBorders>
            <w:shd w:val="clear" w:color="auto" w:fill="BEBEBE"/>
          </w:tcPr>
          <w:p w14:paraId="0DFDC561" w14:textId="77777777" w:rsidR="00046465" w:rsidRDefault="008134EB">
            <w:pPr>
              <w:pStyle w:val="TableParagraph"/>
              <w:spacing w:line="206" w:lineRule="exact"/>
              <w:ind w:left="63" w:right="2"/>
              <w:jc w:val="center"/>
              <w:rPr>
                <w:b/>
                <w:sz w:val="18"/>
              </w:rPr>
            </w:pPr>
            <w:r>
              <w:rPr>
                <w:b/>
                <w:spacing w:val="-2"/>
                <w:sz w:val="18"/>
              </w:rPr>
              <w:t>Assertion/</w:t>
            </w:r>
          </w:p>
          <w:p w14:paraId="0DFDC562" w14:textId="77777777" w:rsidR="00046465" w:rsidRDefault="008134EB">
            <w:pPr>
              <w:pStyle w:val="TableParagraph"/>
              <w:spacing w:before="39" w:line="189" w:lineRule="exact"/>
              <w:ind w:left="63"/>
              <w:jc w:val="center"/>
              <w:rPr>
                <w:b/>
                <w:sz w:val="18"/>
              </w:rPr>
            </w:pPr>
            <w:r>
              <w:rPr>
                <w:b/>
                <w:sz w:val="18"/>
              </w:rPr>
              <w:t>segregation</w:t>
            </w:r>
            <w:r>
              <w:rPr>
                <w:b/>
                <w:spacing w:val="-3"/>
                <w:sz w:val="18"/>
              </w:rPr>
              <w:t xml:space="preserve"> </w:t>
            </w:r>
            <w:r>
              <w:rPr>
                <w:b/>
                <w:sz w:val="18"/>
              </w:rPr>
              <w:t>of</w:t>
            </w:r>
            <w:r>
              <w:rPr>
                <w:b/>
                <w:spacing w:val="-3"/>
                <w:sz w:val="18"/>
              </w:rPr>
              <w:t xml:space="preserve"> </w:t>
            </w:r>
            <w:r>
              <w:rPr>
                <w:b/>
                <w:spacing w:val="-2"/>
                <w:sz w:val="18"/>
              </w:rPr>
              <w:t>duties</w:t>
            </w:r>
          </w:p>
        </w:tc>
        <w:tc>
          <w:tcPr>
            <w:tcW w:w="2517" w:type="dxa"/>
            <w:tcBorders>
              <w:left w:val="single" w:sz="6" w:space="0" w:color="000000"/>
              <w:bottom w:val="single" w:sz="6" w:space="0" w:color="000000"/>
              <w:right w:val="single" w:sz="6" w:space="0" w:color="000000"/>
            </w:tcBorders>
            <w:shd w:val="clear" w:color="auto" w:fill="BEBEBE"/>
          </w:tcPr>
          <w:p w14:paraId="0DFDC563" w14:textId="77777777" w:rsidR="00046465" w:rsidRDefault="008134EB">
            <w:pPr>
              <w:pStyle w:val="TableParagraph"/>
              <w:spacing w:line="206" w:lineRule="exact"/>
              <w:ind w:left="538"/>
              <w:rPr>
                <w:b/>
                <w:sz w:val="18"/>
              </w:rPr>
            </w:pPr>
            <w:r>
              <w:rPr>
                <w:b/>
                <w:sz w:val="18"/>
              </w:rPr>
              <w:t>Control</w:t>
            </w:r>
            <w:r>
              <w:rPr>
                <w:b/>
                <w:spacing w:val="-5"/>
                <w:sz w:val="18"/>
              </w:rPr>
              <w:t xml:space="preserve"> </w:t>
            </w:r>
            <w:r>
              <w:rPr>
                <w:b/>
                <w:spacing w:val="-2"/>
                <w:sz w:val="18"/>
              </w:rPr>
              <w:t>objective</w:t>
            </w:r>
          </w:p>
        </w:tc>
        <w:tc>
          <w:tcPr>
            <w:tcW w:w="4771" w:type="dxa"/>
            <w:tcBorders>
              <w:left w:val="single" w:sz="6" w:space="0" w:color="000000"/>
              <w:bottom w:val="single" w:sz="6" w:space="0" w:color="000000"/>
            </w:tcBorders>
            <w:shd w:val="clear" w:color="auto" w:fill="BEBEBE"/>
          </w:tcPr>
          <w:p w14:paraId="0DFDC564" w14:textId="77777777" w:rsidR="00046465" w:rsidRDefault="008134EB">
            <w:pPr>
              <w:pStyle w:val="TableParagraph"/>
              <w:spacing w:line="206" w:lineRule="exact"/>
              <w:ind w:left="1208"/>
              <w:rPr>
                <w:b/>
                <w:sz w:val="18"/>
              </w:rPr>
            </w:pPr>
            <w:r>
              <w:rPr>
                <w:b/>
                <w:sz w:val="18"/>
              </w:rPr>
              <w:t>Identifying</w:t>
            </w:r>
            <w:r>
              <w:rPr>
                <w:b/>
                <w:spacing w:val="-3"/>
                <w:sz w:val="18"/>
              </w:rPr>
              <w:t xml:space="preserve"> </w:t>
            </w:r>
            <w:r>
              <w:rPr>
                <w:b/>
                <w:sz w:val="18"/>
              </w:rPr>
              <w:t>control</w:t>
            </w:r>
            <w:r>
              <w:rPr>
                <w:b/>
                <w:spacing w:val="-3"/>
                <w:sz w:val="18"/>
              </w:rPr>
              <w:t xml:space="preserve"> </w:t>
            </w:r>
            <w:r>
              <w:rPr>
                <w:b/>
                <w:spacing w:val="-2"/>
                <w:sz w:val="18"/>
              </w:rPr>
              <w:t>activities</w:t>
            </w:r>
          </w:p>
        </w:tc>
      </w:tr>
      <w:tr w:rsidR="00046465" w14:paraId="0DFDC56C" w14:textId="77777777">
        <w:trPr>
          <w:trHeight w:val="3225"/>
        </w:trPr>
        <w:tc>
          <w:tcPr>
            <w:tcW w:w="2344" w:type="dxa"/>
            <w:tcBorders>
              <w:top w:val="single" w:sz="6" w:space="0" w:color="000000"/>
              <w:bottom w:val="single" w:sz="6" w:space="0" w:color="000000"/>
              <w:right w:val="single" w:sz="6" w:space="0" w:color="000000"/>
            </w:tcBorders>
          </w:tcPr>
          <w:p w14:paraId="0DFDC566" w14:textId="77777777" w:rsidR="00046465" w:rsidRDefault="008134EB">
            <w:pPr>
              <w:pStyle w:val="TableParagraph"/>
              <w:ind w:left="276" w:right="73" w:hanging="186"/>
              <w:rPr>
                <w:sz w:val="18"/>
              </w:rPr>
            </w:pPr>
            <w:r>
              <w:rPr>
                <w:sz w:val="18"/>
              </w:rPr>
              <w:t xml:space="preserve">4. Numerical and other information is </w:t>
            </w:r>
            <w:r>
              <w:rPr>
                <w:spacing w:val="-2"/>
                <w:sz w:val="18"/>
              </w:rPr>
              <w:t>appropriately</w:t>
            </w:r>
            <w:r>
              <w:rPr>
                <w:spacing w:val="-13"/>
                <w:sz w:val="18"/>
              </w:rPr>
              <w:t xml:space="preserve"> </w:t>
            </w:r>
            <w:r>
              <w:rPr>
                <w:spacing w:val="-2"/>
                <w:sz w:val="18"/>
              </w:rPr>
              <w:t xml:space="preserve">measured </w:t>
            </w:r>
            <w:r>
              <w:rPr>
                <w:sz w:val="18"/>
              </w:rPr>
              <w:t>and described and is relevant and understandable in the context of the requirements</w:t>
            </w:r>
            <w:r>
              <w:rPr>
                <w:spacing w:val="-15"/>
                <w:sz w:val="18"/>
              </w:rPr>
              <w:t xml:space="preserve"> </w:t>
            </w:r>
            <w:r>
              <w:rPr>
                <w:sz w:val="18"/>
              </w:rPr>
              <w:t>of</w:t>
            </w:r>
            <w:r>
              <w:rPr>
                <w:spacing w:val="-12"/>
                <w:sz w:val="18"/>
              </w:rPr>
              <w:t xml:space="preserve"> </w:t>
            </w:r>
            <w:r>
              <w:rPr>
                <w:sz w:val="18"/>
              </w:rPr>
              <w:t>SFFAS 59, TB 2025-1, and</w:t>
            </w:r>
          </w:p>
          <w:p w14:paraId="0DFDC567" w14:textId="77777777" w:rsidR="00046465" w:rsidRDefault="008134EB">
            <w:pPr>
              <w:pStyle w:val="TableParagraph"/>
              <w:ind w:left="276" w:right="73"/>
              <w:rPr>
                <w:sz w:val="18"/>
              </w:rPr>
            </w:pPr>
            <w:r>
              <w:rPr>
                <w:sz w:val="18"/>
              </w:rPr>
              <w:t>OMB</w:t>
            </w:r>
            <w:r>
              <w:rPr>
                <w:spacing w:val="-13"/>
                <w:sz w:val="18"/>
              </w:rPr>
              <w:t xml:space="preserve"> </w:t>
            </w:r>
            <w:r>
              <w:rPr>
                <w:sz w:val="18"/>
              </w:rPr>
              <w:t>Circular</w:t>
            </w:r>
            <w:r>
              <w:rPr>
                <w:spacing w:val="-12"/>
                <w:sz w:val="18"/>
              </w:rPr>
              <w:t xml:space="preserve"> </w:t>
            </w:r>
            <w:r>
              <w:rPr>
                <w:sz w:val="18"/>
              </w:rPr>
              <w:t>A-136.</w:t>
            </w:r>
            <w:r>
              <w:rPr>
                <w:spacing w:val="-13"/>
                <w:sz w:val="18"/>
              </w:rPr>
              <w:t xml:space="preserve"> </w:t>
            </w:r>
            <w:r>
              <w:rPr>
                <w:sz w:val="18"/>
              </w:rPr>
              <w:t>All numerical and other information that should have been included in the</w:t>
            </w:r>
            <w:r>
              <w:rPr>
                <w:spacing w:val="-22"/>
                <w:sz w:val="18"/>
              </w:rPr>
              <w:t xml:space="preserve"> </w:t>
            </w:r>
            <w:r>
              <w:rPr>
                <w:sz w:val="18"/>
              </w:rPr>
              <w:t>note</w:t>
            </w:r>
            <w:r>
              <w:rPr>
                <w:spacing w:val="-22"/>
                <w:sz w:val="18"/>
              </w:rPr>
              <w:t xml:space="preserve"> </w:t>
            </w:r>
            <w:r>
              <w:rPr>
                <w:sz w:val="18"/>
              </w:rPr>
              <w:t>disclosure</w:t>
            </w:r>
            <w:r>
              <w:rPr>
                <w:spacing w:val="-21"/>
                <w:sz w:val="18"/>
              </w:rPr>
              <w:t xml:space="preserve"> </w:t>
            </w:r>
            <w:r>
              <w:rPr>
                <w:sz w:val="18"/>
              </w:rPr>
              <w:t>has been included.</w:t>
            </w:r>
          </w:p>
        </w:tc>
        <w:tc>
          <w:tcPr>
            <w:tcW w:w="2517" w:type="dxa"/>
            <w:tcBorders>
              <w:top w:val="single" w:sz="6" w:space="0" w:color="000000"/>
              <w:left w:val="single" w:sz="6" w:space="0" w:color="000000"/>
              <w:bottom w:val="single" w:sz="6" w:space="0" w:color="000000"/>
              <w:right w:val="single" w:sz="6" w:space="0" w:color="000000"/>
            </w:tcBorders>
          </w:tcPr>
          <w:p w14:paraId="0DFDC568" w14:textId="77777777" w:rsidR="00046465" w:rsidRDefault="008134EB">
            <w:pPr>
              <w:pStyle w:val="TableParagraph"/>
              <w:ind w:left="55" w:right="95"/>
              <w:rPr>
                <w:sz w:val="18"/>
              </w:rPr>
            </w:pPr>
            <w:r>
              <w:rPr>
                <w:sz w:val="18"/>
              </w:rPr>
              <w:t>Numerical and other information is appropriately measured</w:t>
            </w:r>
            <w:r>
              <w:rPr>
                <w:spacing w:val="-4"/>
                <w:sz w:val="18"/>
              </w:rPr>
              <w:t xml:space="preserve"> </w:t>
            </w:r>
            <w:r>
              <w:rPr>
                <w:sz w:val="18"/>
              </w:rPr>
              <w:t>and</w:t>
            </w:r>
            <w:r>
              <w:rPr>
                <w:spacing w:val="-2"/>
                <w:sz w:val="18"/>
              </w:rPr>
              <w:t xml:space="preserve"> </w:t>
            </w:r>
            <w:r>
              <w:rPr>
                <w:sz w:val="18"/>
              </w:rPr>
              <w:t>described</w:t>
            </w:r>
            <w:r>
              <w:rPr>
                <w:spacing w:val="-4"/>
                <w:sz w:val="18"/>
              </w:rPr>
              <w:t xml:space="preserve"> </w:t>
            </w:r>
            <w:r>
              <w:rPr>
                <w:sz w:val="18"/>
              </w:rPr>
              <w:t>and is relevant and understandable</w:t>
            </w:r>
            <w:r>
              <w:rPr>
                <w:spacing w:val="-13"/>
                <w:sz w:val="18"/>
              </w:rPr>
              <w:t xml:space="preserve"> </w:t>
            </w:r>
            <w:r>
              <w:rPr>
                <w:sz w:val="18"/>
              </w:rPr>
              <w:t>in</w:t>
            </w:r>
            <w:r>
              <w:rPr>
                <w:spacing w:val="-12"/>
                <w:sz w:val="18"/>
              </w:rPr>
              <w:t xml:space="preserve"> </w:t>
            </w:r>
            <w:r>
              <w:rPr>
                <w:sz w:val="18"/>
              </w:rPr>
              <w:t>the</w:t>
            </w:r>
            <w:r>
              <w:rPr>
                <w:spacing w:val="-13"/>
                <w:sz w:val="18"/>
              </w:rPr>
              <w:t xml:space="preserve"> </w:t>
            </w:r>
            <w:r>
              <w:rPr>
                <w:sz w:val="18"/>
              </w:rPr>
              <w:t>context of the requirements of</w:t>
            </w:r>
            <w:r>
              <w:rPr>
                <w:spacing w:val="40"/>
                <w:sz w:val="18"/>
              </w:rPr>
              <w:t xml:space="preserve"> </w:t>
            </w:r>
            <w:r>
              <w:rPr>
                <w:sz w:val="18"/>
              </w:rPr>
              <w:t>SFFAS 59, TB 2025-1, and</w:t>
            </w:r>
          </w:p>
          <w:p w14:paraId="0DFDC569" w14:textId="77777777" w:rsidR="00046465" w:rsidRDefault="008134EB">
            <w:pPr>
              <w:pStyle w:val="TableParagraph"/>
              <w:ind w:left="55" w:right="163"/>
              <w:rPr>
                <w:sz w:val="18"/>
              </w:rPr>
            </w:pPr>
            <w:r>
              <w:rPr>
                <w:sz w:val="18"/>
              </w:rPr>
              <w:t>OMB Circular A-136</w:t>
            </w:r>
            <w:r>
              <w:t xml:space="preserve">. </w:t>
            </w:r>
            <w:r>
              <w:rPr>
                <w:sz w:val="18"/>
              </w:rPr>
              <w:t>All numerical and other information</w:t>
            </w:r>
            <w:r>
              <w:rPr>
                <w:spacing w:val="-13"/>
                <w:sz w:val="18"/>
              </w:rPr>
              <w:t xml:space="preserve"> </w:t>
            </w:r>
            <w:r>
              <w:rPr>
                <w:sz w:val="18"/>
              </w:rPr>
              <w:t>that</w:t>
            </w:r>
            <w:r>
              <w:rPr>
                <w:spacing w:val="-12"/>
                <w:sz w:val="18"/>
              </w:rPr>
              <w:t xml:space="preserve"> </w:t>
            </w:r>
            <w:r>
              <w:rPr>
                <w:sz w:val="18"/>
              </w:rPr>
              <w:t>should</w:t>
            </w:r>
            <w:r>
              <w:rPr>
                <w:spacing w:val="-13"/>
                <w:sz w:val="18"/>
              </w:rPr>
              <w:t xml:space="preserve"> </w:t>
            </w:r>
            <w:r>
              <w:rPr>
                <w:sz w:val="18"/>
              </w:rPr>
              <w:t xml:space="preserve">have been included in the note disclosure has been </w:t>
            </w:r>
            <w:r>
              <w:rPr>
                <w:spacing w:val="-2"/>
                <w:sz w:val="18"/>
              </w:rPr>
              <w:t>included.</w:t>
            </w:r>
          </w:p>
        </w:tc>
        <w:tc>
          <w:tcPr>
            <w:tcW w:w="4771" w:type="dxa"/>
            <w:tcBorders>
              <w:top w:val="single" w:sz="6" w:space="0" w:color="000000"/>
              <w:left w:val="single" w:sz="6" w:space="0" w:color="000000"/>
              <w:bottom w:val="single" w:sz="6" w:space="0" w:color="000000"/>
            </w:tcBorders>
          </w:tcPr>
          <w:p w14:paraId="0DFDC56A" w14:textId="77777777" w:rsidR="00046465" w:rsidRDefault="008134EB">
            <w:pPr>
              <w:pStyle w:val="TableParagraph"/>
              <w:numPr>
                <w:ilvl w:val="0"/>
                <w:numId w:val="91"/>
              </w:numPr>
              <w:tabs>
                <w:tab w:val="left" w:pos="347"/>
                <w:tab w:val="left" w:pos="349"/>
              </w:tabs>
              <w:spacing w:before="1"/>
              <w:ind w:right="156"/>
              <w:rPr>
                <w:sz w:val="18"/>
              </w:rPr>
            </w:pPr>
            <w:r>
              <w:rPr>
                <w:sz w:val="18"/>
              </w:rPr>
              <w:t>How</w:t>
            </w:r>
            <w:r>
              <w:rPr>
                <w:spacing w:val="-10"/>
                <w:sz w:val="18"/>
              </w:rPr>
              <w:t xml:space="preserve"> </w:t>
            </w:r>
            <w:r>
              <w:rPr>
                <w:sz w:val="18"/>
              </w:rPr>
              <w:t>does</w:t>
            </w:r>
            <w:r>
              <w:rPr>
                <w:spacing w:val="-10"/>
                <w:sz w:val="18"/>
              </w:rPr>
              <w:t xml:space="preserve"> </w:t>
            </w:r>
            <w:r>
              <w:rPr>
                <w:sz w:val="18"/>
              </w:rPr>
              <w:t>the</w:t>
            </w:r>
            <w:r>
              <w:rPr>
                <w:spacing w:val="-8"/>
                <w:sz w:val="18"/>
              </w:rPr>
              <w:t xml:space="preserve"> </w:t>
            </w:r>
            <w:r>
              <w:rPr>
                <w:sz w:val="18"/>
              </w:rPr>
              <w:t>entity</w:t>
            </w:r>
            <w:r>
              <w:rPr>
                <w:spacing w:val="-10"/>
                <w:sz w:val="18"/>
              </w:rPr>
              <w:t xml:space="preserve"> </w:t>
            </w:r>
            <w:r>
              <w:rPr>
                <w:sz w:val="18"/>
              </w:rPr>
              <w:t>reasonably</w:t>
            </w:r>
            <w:r>
              <w:rPr>
                <w:spacing w:val="-10"/>
                <w:sz w:val="18"/>
              </w:rPr>
              <w:t xml:space="preserve"> </w:t>
            </w:r>
            <w:r>
              <w:rPr>
                <w:sz w:val="18"/>
              </w:rPr>
              <w:t>assure</w:t>
            </w:r>
            <w:r>
              <w:rPr>
                <w:spacing w:val="-12"/>
                <w:sz w:val="18"/>
              </w:rPr>
              <w:t xml:space="preserve"> </w:t>
            </w:r>
            <w:r>
              <w:rPr>
                <w:sz w:val="18"/>
              </w:rPr>
              <w:t>that</w:t>
            </w:r>
            <w:r>
              <w:rPr>
                <w:spacing w:val="-10"/>
                <w:sz w:val="18"/>
              </w:rPr>
              <w:t xml:space="preserve"> </w:t>
            </w:r>
            <w:r>
              <w:rPr>
                <w:sz w:val="18"/>
              </w:rPr>
              <w:t>numerical and other information is appropriately measured and described and is relevant and understandable in the context</w:t>
            </w:r>
            <w:r>
              <w:rPr>
                <w:spacing w:val="-5"/>
                <w:sz w:val="18"/>
              </w:rPr>
              <w:t xml:space="preserve"> </w:t>
            </w:r>
            <w:r>
              <w:rPr>
                <w:sz w:val="18"/>
              </w:rPr>
              <w:t>of</w:t>
            </w:r>
            <w:r>
              <w:rPr>
                <w:spacing w:val="-5"/>
                <w:sz w:val="18"/>
              </w:rPr>
              <w:t xml:space="preserve"> </w:t>
            </w:r>
            <w:r>
              <w:rPr>
                <w:sz w:val="18"/>
              </w:rPr>
              <w:t>the</w:t>
            </w:r>
            <w:r>
              <w:rPr>
                <w:spacing w:val="-6"/>
                <w:sz w:val="18"/>
              </w:rPr>
              <w:t xml:space="preserve"> </w:t>
            </w:r>
            <w:r>
              <w:rPr>
                <w:sz w:val="18"/>
              </w:rPr>
              <w:t>requirements</w:t>
            </w:r>
            <w:r>
              <w:rPr>
                <w:spacing w:val="-5"/>
                <w:sz w:val="18"/>
              </w:rPr>
              <w:t xml:space="preserve"> </w:t>
            </w:r>
            <w:r>
              <w:rPr>
                <w:sz w:val="18"/>
              </w:rPr>
              <w:t>of</w:t>
            </w:r>
            <w:r>
              <w:rPr>
                <w:spacing w:val="-5"/>
                <w:sz w:val="18"/>
              </w:rPr>
              <w:t xml:space="preserve"> </w:t>
            </w:r>
            <w:r>
              <w:rPr>
                <w:sz w:val="18"/>
              </w:rPr>
              <w:t>SFFAS</w:t>
            </w:r>
            <w:r>
              <w:rPr>
                <w:spacing w:val="-5"/>
                <w:sz w:val="18"/>
              </w:rPr>
              <w:t xml:space="preserve"> </w:t>
            </w:r>
            <w:r>
              <w:rPr>
                <w:sz w:val="18"/>
              </w:rPr>
              <w:t>59,</w:t>
            </w:r>
            <w:r>
              <w:rPr>
                <w:spacing w:val="-5"/>
                <w:sz w:val="18"/>
              </w:rPr>
              <w:t xml:space="preserve"> </w:t>
            </w:r>
            <w:r>
              <w:rPr>
                <w:sz w:val="18"/>
              </w:rPr>
              <w:t>TB</w:t>
            </w:r>
            <w:r>
              <w:rPr>
                <w:spacing w:val="-6"/>
                <w:sz w:val="18"/>
              </w:rPr>
              <w:t xml:space="preserve"> </w:t>
            </w:r>
            <w:r>
              <w:rPr>
                <w:sz w:val="18"/>
              </w:rPr>
              <w:t>2025-1, and OMB Circular A-136?</w:t>
            </w:r>
          </w:p>
          <w:p w14:paraId="0DFDC56B" w14:textId="77777777" w:rsidR="00046465" w:rsidRDefault="008134EB">
            <w:pPr>
              <w:pStyle w:val="TableParagraph"/>
              <w:numPr>
                <w:ilvl w:val="0"/>
                <w:numId w:val="91"/>
              </w:numPr>
              <w:tabs>
                <w:tab w:val="left" w:pos="347"/>
                <w:tab w:val="left" w:pos="349"/>
              </w:tabs>
              <w:spacing w:before="57"/>
              <w:ind w:right="546"/>
              <w:rPr>
                <w:sz w:val="18"/>
              </w:rPr>
            </w:pPr>
            <w:r>
              <w:rPr>
                <w:sz w:val="18"/>
              </w:rPr>
              <w:t>How does the entity reasonably assure that all numerical</w:t>
            </w:r>
            <w:r>
              <w:rPr>
                <w:spacing w:val="-13"/>
                <w:sz w:val="18"/>
              </w:rPr>
              <w:t xml:space="preserve"> </w:t>
            </w:r>
            <w:r>
              <w:rPr>
                <w:sz w:val="18"/>
              </w:rPr>
              <w:t>and</w:t>
            </w:r>
            <w:r>
              <w:rPr>
                <w:spacing w:val="-12"/>
                <w:sz w:val="18"/>
              </w:rPr>
              <w:t xml:space="preserve"> </w:t>
            </w:r>
            <w:r>
              <w:rPr>
                <w:sz w:val="18"/>
              </w:rPr>
              <w:t>other</w:t>
            </w:r>
            <w:r>
              <w:rPr>
                <w:spacing w:val="-13"/>
                <w:sz w:val="18"/>
              </w:rPr>
              <w:t xml:space="preserve"> </w:t>
            </w:r>
            <w:r>
              <w:rPr>
                <w:sz w:val="18"/>
              </w:rPr>
              <w:t>information</w:t>
            </w:r>
            <w:r>
              <w:rPr>
                <w:spacing w:val="-12"/>
                <w:sz w:val="18"/>
              </w:rPr>
              <w:t xml:space="preserve"> </w:t>
            </w:r>
            <w:r>
              <w:rPr>
                <w:sz w:val="18"/>
              </w:rPr>
              <w:t>that</w:t>
            </w:r>
            <w:r>
              <w:rPr>
                <w:spacing w:val="-13"/>
                <w:sz w:val="18"/>
              </w:rPr>
              <w:t xml:space="preserve"> </w:t>
            </w:r>
            <w:r>
              <w:rPr>
                <w:sz w:val="18"/>
              </w:rPr>
              <w:t>should</w:t>
            </w:r>
            <w:r>
              <w:rPr>
                <w:spacing w:val="-13"/>
                <w:sz w:val="18"/>
              </w:rPr>
              <w:t xml:space="preserve"> </w:t>
            </w:r>
            <w:r>
              <w:rPr>
                <w:sz w:val="18"/>
              </w:rPr>
              <w:t xml:space="preserve">have been included in the note disclosure has been </w:t>
            </w:r>
            <w:r>
              <w:rPr>
                <w:spacing w:val="-2"/>
                <w:sz w:val="18"/>
              </w:rPr>
              <w:t>included?</w:t>
            </w:r>
          </w:p>
        </w:tc>
      </w:tr>
      <w:tr w:rsidR="00046465" w14:paraId="0DFDC56F" w14:textId="77777777">
        <w:trPr>
          <w:trHeight w:val="287"/>
        </w:trPr>
        <w:tc>
          <w:tcPr>
            <w:tcW w:w="2344" w:type="dxa"/>
            <w:vMerge w:val="restart"/>
            <w:tcBorders>
              <w:top w:val="single" w:sz="6" w:space="0" w:color="000000"/>
              <w:right w:val="single" w:sz="6" w:space="0" w:color="000000"/>
            </w:tcBorders>
          </w:tcPr>
          <w:p w14:paraId="0DFDC56D" w14:textId="77777777" w:rsidR="00046465" w:rsidRDefault="008134EB">
            <w:pPr>
              <w:pStyle w:val="TableParagraph"/>
              <w:spacing w:before="1"/>
              <w:ind w:left="62"/>
              <w:rPr>
                <w:b/>
                <w:sz w:val="18"/>
              </w:rPr>
            </w:pPr>
            <w:r>
              <w:rPr>
                <w:b/>
                <w:sz w:val="18"/>
              </w:rPr>
              <w:t>Segregation</w:t>
            </w:r>
            <w:r>
              <w:rPr>
                <w:b/>
                <w:spacing w:val="-3"/>
                <w:sz w:val="18"/>
              </w:rPr>
              <w:t xml:space="preserve"> </w:t>
            </w:r>
            <w:r>
              <w:rPr>
                <w:b/>
                <w:sz w:val="18"/>
              </w:rPr>
              <w:t>of</w:t>
            </w:r>
            <w:r>
              <w:rPr>
                <w:b/>
                <w:spacing w:val="-3"/>
                <w:sz w:val="18"/>
              </w:rPr>
              <w:t xml:space="preserve"> </w:t>
            </w:r>
            <w:r>
              <w:rPr>
                <w:b/>
                <w:spacing w:val="-2"/>
                <w:sz w:val="18"/>
              </w:rPr>
              <w:t>duties</w:t>
            </w:r>
          </w:p>
        </w:tc>
        <w:tc>
          <w:tcPr>
            <w:tcW w:w="7288" w:type="dxa"/>
            <w:gridSpan w:val="2"/>
            <w:tcBorders>
              <w:top w:val="single" w:sz="6" w:space="0" w:color="000000"/>
              <w:left w:val="single" w:sz="6" w:space="0" w:color="000000"/>
              <w:bottom w:val="single" w:sz="6" w:space="0" w:color="000000"/>
            </w:tcBorders>
            <w:shd w:val="clear" w:color="auto" w:fill="D9D9D9"/>
          </w:tcPr>
          <w:p w14:paraId="0DFDC56E" w14:textId="77777777" w:rsidR="00046465" w:rsidRDefault="008134EB">
            <w:pPr>
              <w:pStyle w:val="TableParagraph"/>
              <w:spacing w:before="42"/>
              <w:ind w:left="12"/>
              <w:jc w:val="center"/>
              <w:rPr>
                <w:b/>
                <w:sz w:val="18"/>
              </w:rPr>
            </w:pPr>
            <w:r>
              <w:rPr>
                <w:b/>
                <w:spacing w:val="-2"/>
                <w:sz w:val="18"/>
              </w:rPr>
              <w:t>Activity</w:t>
            </w:r>
          </w:p>
        </w:tc>
      </w:tr>
      <w:tr w:rsidR="00046465" w14:paraId="0DFDC573" w14:textId="77777777">
        <w:trPr>
          <w:trHeight w:val="1302"/>
        </w:trPr>
        <w:tc>
          <w:tcPr>
            <w:tcW w:w="2344" w:type="dxa"/>
            <w:vMerge/>
            <w:tcBorders>
              <w:top w:val="nil"/>
              <w:right w:val="single" w:sz="6" w:space="0" w:color="000000"/>
            </w:tcBorders>
          </w:tcPr>
          <w:p w14:paraId="0DFDC570" w14:textId="77777777" w:rsidR="00046465" w:rsidRDefault="00046465">
            <w:pPr>
              <w:rPr>
                <w:sz w:val="2"/>
                <w:szCs w:val="2"/>
              </w:rPr>
            </w:pPr>
          </w:p>
        </w:tc>
        <w:tc>
          <w:tcPr>
            <w:tcW w:w="2517" w:type="dxa"/>
            <w:tcBorders>
              <w:top w:val="single" w:sz="6" w:space="0" w:color="000000"/>
              <w:left w:val="single" w:sz="6" w:space="0" w:color="000000"/>
              <w:right w:val="single" w:sz="6" w:space="0" w:color="000000"/>
            </w:tcBorders>
          </w:tcPr>
          <w:p w14:paraId="0DFDC571" w14:textId="77777777" w:rsidR="00046465" w:rsidRDefault="008134EB">
            <w:pPr>
              <w:pStyle w:val="TableParagraph"/>
              <w:ind w:left="55" w:right="267"/>
              <w:rPr>
                <w:sz w:val="18"/>
              </w:rPr>
            </w:pPr>
            <w:r>
              <w:rPr>
                <w:sz w:val="18"/>
              </w:rPr>
              <w:t>Persons do not have uncontrolled</w:t>
            </w:r>
            <w:r>
              <w:rPr>
                <w:spacing w:val="-13"/>
                <w:sz w:val="18"/>
              </w:rPr>
              <w:t xml:space="preserve"> </w:t>
            </w:r>
            <w:r>
              <w:rPr>
                <w:sz w:val="18"/>
              </w:rPr>
              <w:t>access</w:t>
            </w:r>
            <w:r>
              <w:rPr>
                <w:spacing w:val="-12"/>
                <w:sz w:val="18"/>
              </w:rPr>
              <w:t xml:space="preserve"> </w:t>
            </w:r>
            <w:r>
              <w:rPr>
                <w:sz w:val="18"/>
              </w:rPr>
              <w:t>to</w:t>
            </w:r>
            <w:r>
              <w:rPr>
                <w:spacing w:val="-13"/>
                <w:sz w:val="18"/>
              </w:rPr>
              <w:t xml:space="preserve"> </w:t>
            </w:r>
            <w:r>
              <w:rPr>
                <w:sz w:val="18"/>
              </w:rPr>
              <w:t>land records; they are not assigned duties that would allow them to both commit and</w:t>
            </w:r>
            <w:r>
              <w:rPr>
                <w:spacing w:val="-15"/>
                <w:sz w:val="18"/>
              </w:rPr>
              <w:t xml:space="preserve"> </w:t>
            </w:r>
            <w:r>
              <w:rPr>
                <w:sz w:val="18"/>
              </w:rPr>
              <w:t>conceal</w:t>
            </w:r>
            <w:r>
              <w:rPr>
                <w:spacing w:val="-12"/>
                <w:sz w:val="18"/>
              </w:rPr>
              <w:t xml:space="preserve"> </w:t>
            </w:r>
            <w:r>
              <w:rPr>
                <w:sz w:val="18"/>
              </w:rPr>
              <w:t>errors</w:t>
            </w:r>
            <w:r>
              <w:rPr>
                <w:spacing w:val="-13"/>
                <w:sz w:val="18"/>
              </w:rPr>
              <w:t xml:space="preserve"> </w:t>
            </w:r>
            <w:r>
              <w:rPr>
                <w:sz w:val="18"/>
              </w:rPr>
              <w:t>or</w:t>
            </w:r>
            <w:r>
              <w:rPr>
                <w:spacing w:val="-12"/>
                <w:sz w:val="18"/>
              </w:rPr>
              <w:t xml:space="preserve"> </w:t>
            </w:r>
            <w:r>
              <w:rPr>
                <w:sz w:val="18"/>
              </w:rPr>
              <w:t>fraud.</w:t>
            </w:r>
          </w:p>
        </w:tc>
        <w:tc>
          <w:tcPr>
            <w:tcW w:w="4771" w:type="dxa"/>
            <w:tcBorders>
              <w:top w:val="single" w:sz="6" w:space="0" w:color="000000"/>
              <w:left w:val="single" w:sz="6" w:space="0" w:color="000000"/>
            </w:tcBorders>
          </w:tcPr>
          <w:p w14:paraId="0DFDC572" w14:textId="77777777" w:rsidR="00046465" w:rsidRDefault="008134EB">
            <w:pPr>
              <w:pStyle w:val="TableParagraph"/>
              <w:numPr>
                <w:ilvl w:val="0"/>
                <w:numId w:val="90"/>
              </w:numPr>
              <w:tabs>
                <w:tab w:val="left" w:pos="332"/>
              </w:tabs>
              <w:ind w:right="187"/>
              <w:jc w:val="both"/>
              <w:rPr>
                <w:sz w:val="18"/>
              </w:rPr>
            </w:pPr>
            <w:r>
              <w:rPr>
                <w:sz w:val="18"/>
              </w:rPr>
              <w:t>How does the entity assign and approve appropriate access to land records to reasonably assure there is no uncontrolled access?</w:t>
            </w:r>
          </w:p>
        </w:tc>
      </w:tr>
    </w:tbl>
    <w:p w14:paraId="0DFDC574" w14:textId="77777777" w:rsidR="00046465" w:rsidRDefault="008134EB">
      <w:pPr>
        <w:spacing w:before="56"/>
        <w:ind w:left="448"/>
        <w:rPr>
          <w:sz w:val="18"/>
        </w:rPr>
      </w:pPr>
      <w:r>
        <w:rPr>
          <w:position w:val="6"/>
          <w:sz w:val="12"/>
        </w:rPr>
        <w:t>a</w:t>
      </w:r>
      <w:r>
        <w:rPr>
          <w:sz w:val="18"/>
        </w:rPr>
        <w:t>Land</w:t>
      </w:r>
      <w:r>
        <w:rPr>
          <w:spacing w:val="-5"/>
          <w:sz w:val="18"/>
        </w:rPr>
        <w:t xml:space="preserve"> </w:t>
      </w:r>
      <w:r>
        <w:rPr>
          <w:sz w:val="18"/>
        </w:rPr>
        <w:t>includes</w:t>
      </w:r>
      <w:r>
        <w:rPr>
          <w:spacing w:val="-2"/>
          <w:sz w:val="18"/>
        </w:rPr>
        <w:t xml:space="preserve"> </w:t>
      </w:r>
      <w:r>
        <w:rPr>
          <w:sz w:val="18"/>
        </w:rPr>
        <w:t>permanent</w:t>
      </w:r>
      <w:r>
        <w:rPr>
          <w:spacing w:val="-3"/>
          <w:sz w:val="18"/>
        </w:rPr>
        <w:t xml:space="preserve"> </w:t>
      </w:r>
      <w:r>
        <w:rPr>
          <w:sz w:val="18"/>
        </w:rPr>
        <w:t>land</w:t>
      </w:r>
      <w:r>
        <w:rPr>
          <w:spacing w:val="-4"/>
          <w:sz w:val="18"/>
        </w:rPr>
        <w:t xml:space="preserve"> </w:t>
      </w:r>
      <w:r>
        <w:rPr>
          <w:spacing w:val="-2"/>
          <w:sz w:val="18"/>
        </w:rPr>
        <w:t>rights.</w:t>
      </w:r>
    </w:p>
    <w:p w14:paraId="0DFDC575" w14:textId="77777777" w:rsidR="00046465" w:rsidRDefault="008134EB">
      <w:pPr>
        <w:spacing w:before="57"/>
        <w:ind w:left="450"/>
        <w:rPr>
          <w:sz w:val="18"/>
        </w:rPr>
      </w:pPr>
      <w:r>
        <w:rPr>
          <w:position w:val="6"/>
          <w:sz w:val="12"/>
        </w:rPr>
        <w:t>b</w:t>
      </w:r>
      <w:r>
        <w:rPr>
          <w:sz w:val="18"/>
        </w:rPr>
        <w:t>There</w:t>
      </w:r>
      <w:r>
        <w:rPr>
          <w:spacing w:val="-5"/>
          <w:sz w:val="18"/>
        </w:rPr>
        <w:t xml:space="preserve"> </w:t>
      </w:r>
      <w:r>
        <w:rPr>
          <w:sz w:val="18"/>
        </w:rPr>
        <w:t>may</w:t>
      </w:r>
      <w:r>
        <w:rPr>
          <w:spacing w:val="-3"/>
          <w:sz w:val="18"/>
        </w:rPr>
        <w:t xml:space="preserve"> </w:t>
      </w:r>
      <w:r>
        <w:rPr>
          <w:sz w:val="18"/>
        </w:rPr>
        <w:t>be</w:t>
      </w:r>
      <w:r>
        <w:rPr>
          <w:spacing w:val="-1"/>
          <w:sz w:val="18"/>
        </w:rPr>
        <w:t xml:space="preserve"> </w:t>
      </w:r>
      <w:r>
        <w:rPr>
          <w:sz w:val="18"/>
        </w:rPr>
        <w:t>control</w:t>
      </w:r>
      <w:r>
        <w:rPr>
          <w:spacing w:val="-3"/>
          <w:sz w:val="18"/>
        </w:rPr>
        <w:t xml:space="preserve"> </w:t>
      </w:r>
      <w:r>
        <w:rPr>
          <w:sz w:val="18"/>
        </w:rPr>
        <w:t>activities</w:t>
      </w:r>
      <w:r>
        <w:rPr>
          <w:spacing w:val="-3"/>
          <w:sz w:val="18"/>
        </w:rPr>
        <w:t xml:space="preserve"> </w:t>
      </w:r>
      <w:r>
        <w:rPr>
          <w:sz w:val="18"/>
        </w:rPr>
        <w:t>that</w:t>
      </w:r>
      <w:r>
        <w:rPr>
          <w:spacing w:val="-2"/>
          <w:sz w:val="18"/>
        </w:rPr>
        <w:t xml:space="preserve"> </w:t>
      </w:r>
      <w:r>
        <w:rPr>
          <w:sz w:val="18"/>
        </w:rPr>
        <w:t>address</w:t>
      </w:r>
      <w:r>
        <w:rPr>
          <w:spacing w:val="-2"/>
          <w:sz w:val="18"/>
        </w:rPr>
        <w:t xml:space="preserve"> </w:t>
      </w:r>
      <w:r>
        <w:rPr>
          <w:sz w:val="18"/>
        </w:rPr>
        <w:t>multiple</w:t>
      </w:r>
      <w:r>
        <w:rPr>
          <w:spacing w:val="-3"/>
          <w:sz w:val="18"/>
        </w:rPr>
        <w:t xml:space="preserve"> </w:t>
      </w:r>
      <w:r>
        <w:rPr>
          <w:sz w:val="18"/>
        </w:rPr>
        <w:t>assertions</w:t>
      </w:r>
      <w:r>
        <w:rPr>
          <w:spacing w:val="-3"/>
          <w:sz w:val="18"/>
        </w:rPr>
        <w:t xml:space="preserve"> </w:t>
      </w:r>
      <w:r>
        <w:rPr>
          <w:sz w:val="18"/>
        </w:rPr>
        <w:t>(e.g.,</w:t>
      </w:r>
      <w:r>
        <w:rPr>
          <w:spacing w:val="-3"/>
          <w:sz w:val="18"/>
        </w:rPr>
        <w:t xml:space="preserve"> </w:t>
      </w:r>
      <w:r>
        <w:rPr>
          <w:sz w:val="18"/>
        </w:rPr>
        <w:t>existence,</w:t>
      </w:r>
      <w:r>
        <w:rPr>
          <w:spacing w:val="-2"/>
          <w:sz w:val="18"/>
        </w:rPr>
        <w:t xml:space="preserve"> </w:t>
      </w:r>
      <w:r>
        <w:rPr>
          <w:sz w:val="18"/>
        </w:rPr>
        <w:t>accuracy,</w:t>
      </w:r>
      <w:r>
        <w:rPr>
          <w:spacing w:val="-3"/>
          <w:sz w:val="18"/>
        </w:rPr>
        <w:t xml:space="preserve"> </w:t>
      </w:r>
      <w:r>
        <w:rPr>
          <w:sz w:val="18"/>
        </w:rPr>
        <w:t>and</w:t>
      </w:r>
      <w:r>
        <w:rPr>
          <w:spacing w:val="-3"/>
          <w:sz w:val="18"/>
        </w:rPr>
        <w:t xml:space="preserve"> </w:t>
      </w:r>
      <w:r>
        <w:rPr>
          <w:spacing w:val="-2"/>
          <w:sz w:val="18"/>
        </w:rPr>
        <w:t>rights).</w:t>
      </w:r>
    </w:p>
    <w:p w14:paraId="0DFDC576" w14:textId="77777777" w:rsidR="00046465" w:rsidRDefault="008134EB">
      <w:pPr>
        <w:spacing w:before="55"/>
        <w:ind w:left="539" w:right="1325" w:hanging="92"/>
        <w:rPr>
          <w:sz w:val="18"/>
        </w:rPr>
      </w:pPr>
      <w:r>
        <w:rPr>
          <w:position w:val="6"/>
          <w:sz w:val="12"/>
        </w:rPr>
        <w:t>c</w:t>
      </w:r>
      <w:r>
        <w:rPr>
          <w:sz w:val="18"/>
        </w:rPr>
        <w:t>The</w:t>
      </w:r>
      <w:r>
        <w:rPr>
          <w:spacing w:val="-3"/>
          <w:sz w:val="18"/>
        </w:rPr>
        <w:t xml:space="preserve"> </w:t>
      </w:r>
      <w:r>
        <w:rPr>
          <w:sz w:val="18"/>
        </w:rPr>
        <w:t>entity</w:t>
      </w:r>
      <w:r>
        <w:rPr>
          <w:spacing w:val="-2"/>
          <w:sz w:val="18"/>
        </w:rPr>
        <w:t xml:space="preserve"> </w:t>
      </w:r>
      <w:r>
        <w:rPr>
          <w:sz w:val="18"/>
        </w:rPr>
        <w:t>should</w:t>
      </w:r>
      <w:r>
        <w:rPr>
          <w:spacing w:val="-3"/>
          <w:sz w:val="18"/>
        </w:rPr>
        <w:t xml:space="preserve"> </w:t>
      </w:r>
      <w:r>
        <w:rPr>
          <w:sz w:val="18"/>
        </w:rPr>
        <w:t>determine</w:t>
      </w:r>
      <w:r>
        <w:rPr>
          <w:spacing w:val="-3"/>
          <w:sz w:val="18"/>
        </w:rPr>
        <w:t xml:space="preserve"> </w:t>
      </w:r>
      <w:r>
        <w:rPr>
          <w:sz w:val="18"/>
        </w:rPr>
        <w:t>the</w:t>
      </w:r>
      <w:r>
        <w:rPr>
          <w:spacing w:val="-3"/>
          <w:sz w:val="18"/>
        </w:rPr>
        <w:t xml:space="preserve"> </w:t>
      </w:r>
      <w:r>
        <w:rPr>
          <w:sz w:val="18"/>
        </w:rPr>
        <w:t>level</w:t>
      </w:r>
      <w:r>
        <w:rPr>
          <w:spacing w:val="-2"/>
          <w:sz w:val="18"/>
        </w:rPr>
        <w:t xml:space="preserve"> </w:t>
      </w:r>
      <w:r>
        <w:rPr>
          <w:sz w:val="18"/>
        </w:rPr>
        <w:t>of</w:t>
      </w:r>
      <w:r>
        <w:rPr>
          <w:spacing w:val="-2"/>
          <w:sz w:val="18"/>
        </w:rPr>
        <w:t xml:space="preserve"> </w:t>
      </w:r>
      <w:r>
        <w:rPr>
          <w:sz w:val="18"/>
        </w:rPr>
        <w:t>aggregation</w:t>
      </w:r>
      <w:r>
        <w:rPr>
          <w:spacing w:val="-3"/>
          <w:sz w:val="18"/>
        </w:rPr>
        <w:t xml:space="preserve"> </w:t>
      </w:r>
      <w:r>
        <w:rPr>
          <w:sz w:val="18"/>
        </w:rPr>
        <w:t>of</w:t>
      </w:r>
      <w:r>
        <w:rPr>
          <w:spacing w:val="-2"/>
          <w:sz w:val="18"/>
        </w:rPr>
        <w:t xml:space="preserve"> </w:t>
      </w:r>
      <w:r>
        <w:rPr>
          <w:sz w:val="18"/>
        </w:rPr>
        <w:t>PP&amp;E</w:t>
      </w:r>
      <w:r>
        <w:rPr>
          <w:spacing w:val="-2"/>
          <w:sz w:val="18"/>
        </w:rPr>
        <w:t xml:space="preserve"> </w:t>
      </w:r>
      <w:r>
        <w:rPr>
          <w:sz w:val="18"/>
        </w:rPr>
        <w:t>land</w:t>
      </w:r>
      <w:r>
        <w:rPr>
          <w:spacing w:val="-3"/>
          <w:sz w:val="18"/>
        </w:rPr>
        <w:t xml:space="preserve"> </w:t>
      </w:r>
      <w:r>
        <w:rPr>
          <w:sz w:val="18"/>
        </w:rPr>
        <w:t>and</w:t>
      </w:r>
      <w:r>
        <w:rPr>
          <w:spacing w:val="-3"/>
          <w:sz w:val="18"/>
        </w:rPr>
        <w:t xml:space="preserve"> </w:t>
      </w:r>
      <w:r>
        <w:rPr>
          <w:sz w:val="18"/>
        </w:rPr>
        <w:t>stewardship</w:t>
      </w:r>
      <w:r>
        <w:rPr>
          <w:spacing w:val="-3"/>
          <w:sz w:val="18"/>
        </w:rPr>
        <w:t xml:space="preserve"> </w:t>
      </w:r>
      <w:r>
        <w:rPr>
          <w:sz w:val="18"/>
        </w:rPr>
        <w:t>land</w:t>
      </w:r>
      <w:r>
        <w:rPr>
          <w:spacing w:val="-1"/>
          <w:sz w:val="18"/>
        </w:rPr>
        <w:t xml:space="preserve"> </w:t>
      </w:r>
      <w:r>
        <w:rPr>
          <w:sz w:val="18"/>
        </w:rPr>
        <w:t>by</w:t>
      </w:r>
      <w:r>
        <w:rPr>
          <w:spacing w:val="-2"/>
          <w:sz w:val="18"/>
        </w:rPr>
        <w:t xml:space="preserve"> </w:t>
      </w:r>
      <w:r>
        <w:rPr>
          <w:sz w:val="18"/>
        </w:rPr>
        <w:t>factors</w:t>
      </w:r>
      <w:r>
        <w:rPr>
          <w:spacing w:val="-2"/>
          <w:sz w:val="18"/>
        </w:rPr>
        <w:t xml:space="preserve"> </w:t>
      </w:r>
      <w:r>
        <w:rPr>
          <w:sz w:val="18"/>
        </w:rPr>
        <w:t>including the entity’s mission, types of land use, and how it manages the land. It would be helpful if the entity documented the rationale for its approach to aggregation.</w:t>
      </w:r>
    </w:p>
    <w:p w14:paraId="0DFDC577" w14:textId="77777777" w:rsidR="00046465" w:rsidRDefault="00046465">
      <w:pPr>
        <w:pStyle w:val="BodyText"/>
        <w:spacing w:before="69"/>
        <w:rPr>
          <w:sz w:val="18"/>
        </w:rPr>
      </w:pPr>
    </w:p>
    <w:p w14:paraId="0DFDC578" w14:textId="77777777" w:rsidR="00046465" w:rsidRDefault="008134EB">
      <w:pPr>
        <w:pStyle w:val="ListParagraph"/>
        <w:numPr>
          <w:ilvl w:val="0"/>
          <w:numId w:val="107"/>
        </w:numPr>
        <w:tabs>
          <w:tab w:val="left" w:pos="1800"/>
        </w:tabs>
        <w:spacing w:before="0"/>
        <w:ind w:right="1179"/>
      </w:pPr>
      <w:r>
        <w:t>The auditor should evaluate the design, implementation, and operating effectiveness</w:t>
      </w:r>
      <w:r>
        <w:rPr>
          <w:spacing w:val="-4"/>
        </w:rPr>
        <w:t xml:space="preserve"> </w:t>
      </w:r>
      <w:r>
        <w:t>of</w:t>
      </w:r>
      <w:r>
        <w:rPr>
          <w:spacing w:val="-4"/>
        </w:rPr>
        <w:t xml:space="preserve"> </w:t>
      </w:r>
      <w:r>
        <w:t>the</w:t>
      </w:r>
      <w:r>
        <w:rPr>
          <w:spacing w:val="-4"/>
        </w:rPr>
        <w:t xml:space="preserve"> </w:t>
      </w:r>
      <w:r>
        <w:t>control</w:t>
      </w:r>
      <w:r>
        <w:rPr>
          <w:spacing w:val="-4"/>
        </w:rPr>
        <w:t xml:space="preserve"> </w:t>
      </w:r>
      <w:r>
        <w:t>activities</w:t>
      </w:r>
      <w:r>
        <w:rPr>
          <w:spacing w:val="-5"/>
        </w:rPr>
        <w:t xml:space="preserve"> </w:t>
      </w:r>
      <w:r>
        <w:t>identified</w:t>
      </w:r>
      <w:r>
        <w:rPr>
          <w:spacing w:val="-4"/>
        </w:rPr>
        <w:t xml:space="preserve"> </w:t>
      </w:r>
      <w:r>
        <w:t>following</w:t>
      </w:r>
      <w:r>
        <w:rPr>
          <w:spacing w:val="-4"/>
        </w:rPr>
        <w:t xml:space="preserve"> </w:t>
      </w:r>
      <w:r>
        <w:t>the</w:t>
      </w:r>
      <w:r>
        <w:rPr>
          <w:spacing w:val="-4"/>
        </w:rPr>
        <w:t xml:space="preserve"> </w:t>
      </w:r>
      <w:r>
        <w:t>guidance</w:t>
      </w:r>
      <w:r>
        <w:rPr>
          <w:spacing w:val="-4"/>
        </w:rPr>
        <w:t xml:space="preserve"> </w:t>
      </w:r>
      <w:r>
        <w:t>in</w:t>
      </w:r>
      <w:r>
        <w:rPr>
          <w:spacing w:val="-4"/>
        </w:rPr>
        <w:t xml:space="preserve"> </w:t>
      </w:r>
      <w:r>
        <w:t>FAM 340, 350, and 360.</w:t>
      </w:r>
    </w:p>
    <w:p w14:paraId="0DFDC579" w14:textId="77777777" w:rsidR="00046465" w:rsidRDefault="008134EB">
      <w:pPr>
        <w:pStyle w:val="ListParagraph"/>
        <w:numPr>
          <w:ilvl w:val="0"/>
          <w:numId w:val="107"/>
        </w:numPr>
        <w:tabs>
          <w:tab w:val="left" w:pos="1800"/>
        </w:tabs>
        <w:ind w:right="765"/>
      </w:pPr>
      <w:r>
        <w:t>The auditor should determine whether internal control provides reasonable assurance that control objectives are achieved. For each control objective that is not achieved, the auditor should obtain sufficient information to identify the underlying internal control deficiencies and report such control deficiencies to management.</w:t>
      </w:r>
      <w:r>
        <w:rPr>
          <w:spacing w:val="-4"/>
        </w:rPr>
        <w:t xml:space="preserve"> </w:t>
      </w:r>
      <w:r>
        <w:t>For</w:t>
      </w:r>
      <w:r>
        <w:rPr>
          <w:spacing w:val="-4"/>
        </w:rPr>
        <w:t xml:space="preserve"> </w:t>
      </w:r>
      <w:r>
        <w:t>each</w:t>
      </w:r>
      <w:r>
        <w:rPr>
          <w:spacing w:val="-4"/>
        </w:rPr>
        <w:t xml:space="preserve"> </w:t>
      </w:r>
      <w:r>
        <w:t>identified</w:t>
      </w:r>
      <w:r>
        <w:rPr>
          <w:spacing w:val="-4"/>
        </w:rPr>
        <w:t xml:space="preserve"> </w:t>
      </w:r>
      <w:r>
        <w:t>risk</w:t>
      </w:r>
      <w:r>
        <w:rPr>
          <w:spacing w:val="-4"/>
        </w:rPr>
        <w:t xml:space="preserve"> </w:t>
      </w:r>
      <w:r>
        <w:t>of</w:t>
      </w:r>
      <w:r>
        <w:rPr>
          <w:spacing w:val="-4"/>
        </w:rPr>
        <w:t xml:space="preserve"> </w:t>
      </w:r>
      <w:r>
        <w:t>material</w:t>
      </w:r>
      <w:r>
        <w:rPr>
          <w:spacing w:val="-5"/>
        </w:rPr>
        <w:t xml:space="preserve"> </w:t>
      </w:r>
      <w:r>
        <w:t>misstatement</w:t>
      </w:r>
      <w:r>
        <w:rPr>
          <w:spacing w:val="-4"/>
        </w:rPr>
        <w:t xml:space="preserve"> </w:t>
      </w:r>
      <w:r>
        <w:t>for</w:t>
      </w:r>
      <w:r>
        <w:rPr>
          <w:spacing w:val="-4"/>
        </w:rPr>
        <w:t xml:space="preserve"> </w:t>
      </w:r>
      <w:r>
        <w:t>which</w:t>
      </w:r>
      <w:r>
        <w:rPr>
          <w:spacing w:val="-5"/>
        </w:rPr>
        <w:t xml:space="preserve"> </w:t>
      </w:r>
      <w:r>
        <w:t>inherent risk is more than remote, the auditor should preliminarily assess control risk and the risk of material misstatement and reevaluate this assessment after completing the testing phase. See FAM 370.</w:t>
      </w:r>
    </w:p>
    <w:p w14:paraId="0DFDC57A" w14:textId="77777777" w:rsidR="00046465" w:rsidRDefault="008134EB">
      <w:pPr>
        <w:pStyle w:val="ListParagraph"/>
        <w:numPr>
          <w:ilvl w:val="0"/>
          <w:numId w:val="107"/>
        </w:numPr>
        <w:tabs>
          <w:tab w:val="left" w:pos="1800"/>
        </w:tabs>
        <w:ind w:right="1045"/>
      </w:pPr>
      <w:r>
        <w:t>The</w:t>
      </w:r>
      <w:r>
        <w:rPr>
          <w:spacing w:val="-4"/>
        </w:rPr>
        <w:t xml:space="preserve"> </w:t>
      </w:r>
      <w:r>
        <w:t>auditor</w:t>
      </w:r>
      <w:r>
        <w:rPr>
          <w:spacing w:val="-6"/>
        </w:rPr>
        <w:t xml:space="preserve"> </w:t>
      </w:r>
      <w:r>
        <w:t>should</w:t>
      </w:r>
      <w:r>
        <w:rPr>
          <w:spacing w:val="-3"/>
        </w:rPr>
        <w:t xml:space="preserve"> </w:t>
      </w:r>
      <w:r>
        <w:t>prepare</w:t>
      </w:r>
      <w:r>
        <w:rPr>
          <w:spacing w:val="-4"/>
        </w:rPr>
        <w:t xml:space="preserve"> </w:t>
      </w:r>
      <w:r>
        <w:t>or</w:t>
      </w:r>
      <w:r>
        <w:rPr>
          <w:spacing w:val="-4"/>
        </w:rPr>
        <w:t xml:space="preserve"> </w:t>
      </w:r>
      <w:r>
        <w:t>update</w:t>
      </w:r>
      <w:r>
        <w:rPr>
          <w:spacing w:val="-4"/>
        </w:rPr>
        <w:t xml:space="preserve"> </w:t>
      </w:r>
      <w:r>
        <w:t>the</w:t>
      </w:r>
      <w:r>
        <w:rPr>
          <w:spacing w:val="-3"/>
        </w:rPr>
        <w:t xml:space="preserve"> </w:t>
      </w:r>
      <w:r>
        <w:t>cycle</w:t>
      </w:r>
      <w:r>
        <w:rPr>
          <w:spacing w:val="-5"/>
        </w:rPr>
        <w:t xml:space="preserve"> </w:t>
      </w:r>
      <w:r>
        <w:t>memorandum,</w:t>
      </w:r>
      <w:r>
        <w:rPr>
          <w:spacing w:val="-4"/>
        </w:rPr>
        <w:t xml:space="preserve"> </w:t>
      </w:r>
      <w:r>
        <w:t>flowchart,</w:t>
      </w:r>
      <w:r>
        <w:rPr>
          <w:spacing w:val="-4"/>
        </w:rPr>
        <w:t xml:space="preserve"> </w:t>
      </w:r>
      <w:r>
        <w:t>LIRA form, and SCE worksheet, as applicable. See FAM 390, 395 H, and 395 G.</w:t>
      </w:r>
    </w:p>
    <w:p w14:paraId="0DFDC57B" w14:textId="77777777" w:rsidR="00046465" w:rsidRDefault="008134EB">
      <w:pPr>
        <w:pStyle w:val="Heading5"/>
        <w:ind w:left="392"/>
        <w:rPr>
          <w:u w:val="none"/>
        </w:rPr>
      </w:pPr>
      <w:r>
        <w:t>Testing</w:t>
      </w:r>
      <w:r>
        <w:rPr>
          <w:spacing w:val="-2"/>
        </w:rPr>
        <w:t xml:space="preserve"> Phase</w:t>
      </w:r>
    </w:p>
    <w:p w14:paraId="0DFDC57C" w14:textId="77777777" w:rsidR="00046465" w:rsidRDefault="008134EB">
      <w:pPr>
        <w:pStyle w:val="ListParagraph"/>
        <w:numPr>
          <w:ilvl w:val="0"/>
          <w:numId w:val="107"/>
        </w:numPr>
        <w:tabs>
          <w:tab w:val="left" w:pos="1800"/>
        </w:tabs>
        <w:spacing w:before="119"/>
        <w:ind w:right="725"/>
      </w:pPr>
      <w:r>
        <w:t>For</w:t>
      </w:r>
      <w:r>
        <w:rPr>
          <w:spacing w:val="-4"/>
        </w:rPr>
        <w:t xml:space="preserve"> </w:t>
      </w:r>
      <w:r>
        <w:t>PP&amp;E</w:t>
      </w:r>
      <w:r>
        <w:rPr>
          <w:spacing w:val="-4"/>
        </w:rPr>
        <w:t xml:space="preserve"> </w:t>
      </w:r>
      <w:r>
        <w:t>land</w:t>
      </w:r>
      <w:r>
        <w:rPr>
          <w:spacing w:val="-4"/>
        </w:rPr>
        <w:t xml:space="preserve"> </w:t>
      </w:r>
      <w:r>
        <w:t>and</w:t>
      </w:r>
      <w:r>
        <w:rPr>
          <w:spacing w:val="-4"/>
        </w:rPr>
        <w:t xml:space="preserve"> </w:t>
      </w:r>
      <w:r>
        <w:t>stewardship</w:t>
      </w:r>
      <w:r>
        <w:rPr>
          <w:spacing w:val="-4"/>
        </w:rPr>
        <w:t xml:space="preserve"> </w:t>
      </w:r>
      <w:r>
        <w:t>land,</w:t>
      </w:r>
      <w:r>
        <w:rPr>
          <w:spacing w:val="-4"/>
        </w:rPr>
        <w:t xml:space="preserve"> </w:t>
      </w:r>
      <w:r>
        <w:t>the</w:t>
      </w:r>
      <w:r>
        <w:rPr>
          <w:spacing w:val="-4"/>
        </w:rPr>
        <w:t xml:space="preserve"> </w:t>
      </w:r>
      <w:r>
        <w:t>auditor</w:t>
      </w:r>
      <w:r>
        <w:rPr>
          <w:spacing w:val="-6"/>
        </w:rPr>
        <w:t xml:space="preserve"> </w:t>
      </w:r>
      <w:r>
        <w:t>should</w:t>
      </w:r>
      <w:r>
        <w:rPr>
          <w:spacing w:val="-4"/>
        </w:rPr>
        <w:t xml:space="preserve"> </w:t>
      </w:r>
      <w:r>
        <w:t>determine</w:t>
      </w:r>
      <w:r>
        <w:rPr>
          <w:spacing w:val="-4"/>
        </w:rPr>
        <w:t xml:space="preserve"> </w:t>
      </w:r>
      <w:r>
        <w:t>the</w:t>
      </w:r>
      <w:r>
        <w:rPr>
          <w:spacing w:val="-4"/>
        </w:rPr>
        <w:t xml:space="preserve"> </w:t>
      </w:r>
      <w:r>
        <w:t>significant assertions, which are those that have one or more identified risks of material misstatement for which inherent risk is more than remote. For each significant assertion,</w:t>
      </w:r>
      <w:r>
        <w:rPr>
          <w:spacing w:val="-2"/>
        </w:rPr>
        <w:t xml:space="preserve"> </w:t>
      </w:r>
      <w:r>
        <w:t>the</w:t>
      </w:r>
      <w:r>
        <w:rPr>
          <w:spacing w:val="-2"/>
        </w:rPr>
        <w:t xml:space="preserve"> </w:t>
      </w:r>
      <w:r>
        <w:t>auditor</w:t>
      </w:r>
      <w:r>
        <w:rPr>
          <w:spacing w:val="-2"/>
        </w:rPr>
        <w:t xml:space="preserve"> </w:t>
      </w:r>
      <w:r>
        <w:t>should</w:t>
      </w:r>
      <w:r>
        <w:rPr>
          <w:spacing w:val="-2"/>
        </w:rPr>
        <w:t xml:space="preserve"> </w:t>
      </w:r>
      <w:r>
        <w:t>perform</w:t>
      </w:r>
      <w:r>
        <w:rPr>
          <w:spacing w:val="-3"/>
        </w:rPr>
        <w:t xml:space="preserve"> </w:t>
      </w:r>
      <w:r>
        <w:t>substantive</w:t>
      </w:r>
      <w:r>
        <w:rPr>
          <w:spacing w:val="-2"/>
        </w:rPr>
        <w:t xml:space="preserve"> </w:t>
      </w:r>
      <w:r>
        <w:t>testing</w:t>
      </w:r>
      <w:r>
        <w:rPr>
          <w:spacing w:val="-2"/>
        </w:rPr>
        <w:t xml:space="preserve"> </w:t>
      </w:r>
      <w:r>
        <w:t>procedures</w:t>
      </w:r>
      <w:r>
        <w:rPr>
          <w:spacing w:val="-2"/>
        </w:rPr>
        <w:t xml:space="preserve"> </w:t>
      </w:r>
      <w:r>
        <w:t>using</w:t>
      </w:r>
      <w:r>
        <w:rPr>
          <w:spacing w:val="-2"/>
        </w:rPr>
        <w:t xml:space="preserve"> </w:t>
      </w:r>
      <w:r>
        <w:t>one</w:t>
      </w:r>
      <w:r>
        <w:rPr>
          <w:spacing w:val="-2"/>
        </w:rPr>
        <w:t xml:space="preserve"> </w:t>
      </w:r>
      <w:r>
        <w:t>of two approaches:</w:t>
      </w:r>
    </w:p>
    <w:p w14:paraId="0DFDC57D" w14:textId="77777777" w:rsidR="00046465" w:rsidRDefault="008134EB">
      <w:pPr>
        <w:pStyle w:val="ListParagraph"/>
        <w:numPr>
          <w:ilvl w:val="1"/>
          <w:numId w:val="107"/>
        </w:numPr>
        <w:tabs>
          <w:tab w:val="left" w:pos="2159"/>
        </w:tabs>
        <w:ind w:left="2159" w:hanging="359"/>
      </w:pPr>
      <w:r>
        <w:t>testing</w:t>
      </w:r>
      <w:r>
        <w:rPr>
          <w:spacing w:val="-8"/>
        </w:rPr>
        <w:t xml:space="preserve"> </w:t>
      </w:r>
      <w:r>
        <w:t>the</w:t>
      </w:r>
      <w:r>
        <w:rPr>
          <w:spacing w:val="-8"/>
        </w:rPr>
        <w:t xml:space="preserve"> </w:t>
      </w:r>
      <w:r>
        <w:t>current-year</w:t>
      </w:r>
      <w:r>
        <w:rPr>
          <w:spacing w:val="-7"/>
        </w:rPr>
        <w:t xml:space="preserve"> </w:t>
      </w:r>
      <w:r>
        <w:t>ending</w:t>
      </w:r>
      <w:r>
        <w:rPr>
          <w:spacing w:val="-8"/>
        </w:rPr>
        <w:t xml:space="preserve"> </w:t>
      </w:r>
      <w:r>
        <w:t>balance</w:t>
      </w:r>
      <w:r>
        <w:rPr>
          <w:spacing w:val="-7"/>
        </w:rPr>
        <w:t xml:space="preserve"> </w:t>
      </w:r>
      <w:r>
        <w:rPr>
          <w:spacing w:val="-5"/>
        </w:rPr>
        <w:t>or</w:t>
      </w:r>
    </w:p>
    <w:p w14:paraId="0DFDC57E" w14:textId="77777777" w:rsidR="00046465" w:rsidRDefault="00046465">
      <w:pPr>
        <w:pStyle w:val="ListParagraph"/>
        <w:sectPr w:rsidR="00046465">
          <w:pgSz w:w="12240" w:h="15840"/>
          <w:pgMar w:top="1340" w:right="720" w:bottom="940" w:left="1080" w:header="721" w:footer="757" w:gutter="0"/>
          <w:cols w:space="720"/>
        </w:sectPr>
      </w:pPr>
    </w:p>
    <w:p w14:paraId="0DFDC57F" w14:textId="77777777" w:rsidR="00046465" w:rsidRDefault="008134EB">
      <w:pPr>
        <w:pStyle w:val="ListParagraph"/>
        <w:numPr>
          <w:ilvl w:val="1"/>
          <w:numId w:val="107"/>
        </w:numPr>
        <w:tabs>
          <w:tab w:val="left" w:pos="2159"/>
        </w:tabs>
        <w:spacing w:before="121"/>
        <w:ind w:left="2159" w:right="841"/>
      </w:pPr>
      <w:r>
        <w:lastRenderedPageBreak/>
        <w:t>testing</w:t>
      </w:r>
      <w:r>
        <w:rPr>
          <w:spacing w:val="-4"/>
        </w:rPr>
        <w:t xml:space="preserve"> </w:t>
      </w:r>
      <w:r>
        <w:t>the</w:t>
      </w:r>
      <w:r>
        <w:rPr>
          <w:spacing w:val="-4"/>
        </w:rPr>
        <w:t xml:space="preserve"> </w:t>
      </w:r>
      <w:r>
        <w:t>current-year</w:t>
      </w:r>
      <w:r>
        <w:rPr>
          <w:spacing w:val="-4"/>
        </w:rPr>
        <w:t xml:space="preserve"> </w:t>
      </w:r>
      <w:r>
        <w:t>activity</w:t>
      </w:r>
      <w:r>
        <w:rPr>
          <w:spacing w:val="-3"/>
        </w:rPr>
        <w:t xml:space="preserve"> </w:t>
      </w:r>
      <w:r>
        <w:t>if</w:t>
      </w:r>
      <w:r>
        <w:rPr>
          <w:spacing w:val="-4"/>
        </w:rPr>
        <w:t xml:space="preserve"> </w:t>
      </w:r>
      <w:r>
        <w:t>the</w:t>
      </w:r>
      <w:r>
        <w:rPr>
          <w:spacing w:val="-5"/>
        </w:rPr>
        <w:t xml:space="preserve"> </w:t>
      </w:r>
      <w:r>
        <w:t>auditor</w:t>
      </w:r>
      <w:r>
        <w:rPr>
          <w:spacing w:val="-4"/>
        </w:rPr>
        <w:t xml:space="preserve"> </w:t>
      </w:r>
      <w:r>
        <w:t>has</w:t>
      </w:r>
      <w:r>
        <w:rPr>
          <w:spacing w:val="-5"/>
        </w:rPr>
        <w:t xml:space="preserve"> </w:t>
      </w:r>
      <w:r>
        <w:t>evidence</w:t>
      </w:r>
      <w:r>
        <w:rPr>
          <w:spacing w:val="-4"/>
        </w:rPr>
        <w:t xml:space="preserve"> </w:t>
      </w:r>
      <w:r>
        <w:t>that</w:t>
      </w:r>
      <w:r>
        <w:rPr>
          <w:spacing w:val="-4"/>
        </w:rPr>
        <w:t xml:space="preserve"> </w:t>
      </w:r>
      <w:r>
        <w:t>the</w:t>
      </w:r>
      <w:r>
        <w:rPr>
          <w:spacing w:val="-4"/>
        </w:rPr>
        <w:t xml:space="preserve"> </w:t>
      </w:r>
      <w:r>
        <w:t>beginning balance is correct.</w:t>
      </w:r>
    </w:p>
    <w:p w14:paraId="0DFDC580" w14:textId="77777777" w:rsidR="00046465" w:rsidRDefault="008134EB">
      <w:pPr>
        <w:pStyle w:val="BodyText"/>
        <w:spacing w:before="119"/>
        <w:ind w:left="1799" w:right="749"/>
      </w:pPr>
      <w:r>
        <w:t>In</w:t>
      </w:r>
      <w:r>
        <w:rPr>
          <w:spacing w:val="-4"/>
        </w:rPr>
        <w:t xml:space="preserve"> </w:t>
      </w:r>
      <w:r>
        <w:t>substantive</w:t>
      </w:r>
      <w:r>
        <w:rPr>
          <w:spacing w:val="-4"/>
        </w:rPr>
        <w:t xml:space="preserve"> </w:t>
      </w:r>
      <w:r>
        <w:t>testing,</w:t>
      </w:r>
      <w:r>
        <w:rPr>
          <w:spacing w:val="-5"/>
        </w:rPr>
        <w:t xml:space="preserve"> </w:t>
      </w:r>
      <w:r>
        <w:t>the</w:t>
      </w:r>
      <w:r>
        <w:rPr>
          <w:spacing w:val="-4"/>
        </w:rPr>
        <w:t xml:space="preserve"> </w:t>
      </w:r>
      <w:r>
        <w:t>auditor</w:t>
      </w:r>
      <w:r>
        <w:rPr>
          <w:spacing w:val="-4"/>
        </w:rPr>
        <w:t xml:space="preserve"> </w:t>
      </w:r>
      <w:r>
        <w:t>considers</w:t>
      </w:r>
      <w:r>
        <w:rPr>
          <w:spacing w:val="-4"/>
        </w:rPr>
        <w:t xml:space="preserve"> </w:t>
      </w:r>
      <w:r>
        <w:t>materiality</w:t>
      </w:r>
      <w:r>
        <w:rPr>
          <w:spacing w:val="-4"/>
        </w:rPr>
        <w:t xml:space="preserve"> </w:t>
      </w:r>
      <w:r>
        <w:t>and</w:t>
      </w:r>
      <w:r>
        <w:rPr>
          <w:spacing w:val="-5"/>
        </w:rPr>
        <w:t xml:space="preserve"> </w:t>
      </w:r>
      <w:r>
        <w:t>risk</w:t>
      </w:r>
      <w:r>
        <w:rPr>
          <w:spacing w:val="-4"/>
        </w:rPr>
        <w:t xml:space="preserve"> </w:t>
      </w:r>
      <w:r>
        <w:t>of</w:t>
      </w:r>
      <w:r>
        <w:rPr>
          <w:spacing w:val="-4"/>
        </w:rPr>
        <w:t xml:space="preserve"> </w:t>
      </w:r>
      <w:r>
        <w:t>material misstatement related to land. See FAM 470.</w:t>
      </w:r>
    </w:p>
    <w:p w14:paraId="0DFDC581" w14:textId="77777777" w:rsidR="00046465" w:rsidRDefault="008134EB">
      <w:pPr>
        <w:pStyle w:val="ListParagraph"/>
        <w:numPr>
          <w:ilvl w:val="0"/>
          <w:numId w:val="107"/>
        </w:numPr>
        <w:tabs>
          <w:tab w:val="left" w:pos="1799"/>
        </w:tabs>
        <w:spacing w:before="121"/>
        <w:ind w:left="1799" w:right="922"/>
      </w:pPr>
      <w:r>
        <w:t>Below</w:t>
      </w:r>
      <w:r>
        <w:rPr>
          <w:spacing w:val="-4"/>
        </w:rPr>
        <w:t xml:space="preserve"> </w:t>
      </w:r>
      <w:r>
        <w:t>is</w:t>
      </w:r>
      <w:r>
        <w:rPr>
          <w:spacing w:val="-3"/>
        </w:rPr>
        <w:t xml:space="preserve"> </w:t>
      </w:r>
      <w:r>
        <w:t>guidance</w:t>
      </w:r>
      <w:r>
        <w:rPr>
          <w:spacing w:val="-3"/>
        </w:rPr>
        <w:t xml:space="preserve"> </w:t>
      </w:r>
      <w:r>
        <w:t>on</w:t>
      </w:r>
      <w:r>
        <w:rPr>
          <w:spacing w:val="-3"/>
        </w:rPr>
        <w:t xml:space="preserve"> </w:t>
      </w:r>
      <w:r>
        <w:t>substantive</w:t>
      </w:r>
      <w:r>
        <w:rPr>
          <w:spacing w:val="-3"/>
        </w:rPr>
        <w:t xml:space="preserve"> </w:t>
      </w:r>
      <w:r>
        <w:t>testing</w:t>
      </w:r>
      <w:r>
        <w:rPr>
          <w:spacing w:val="-3"/>
        </w:rPr>
        <w:t xml:space="preserve"> </w:t>
      </w:r>
      <w:r>
        <w:t>procedures</w:t>
      </w:r>
      <w:r>
        <w:rPr>
          <w:spacing w:val="-3"/>
        </w:rPr>
        <w:t xml:space="preserve"> </w:t>
      </w:r>
      <w:r>
        <w:t>for</w:t>
      </w:r>
      <w:r>
        <w:rPr>
          <w:spacing w:val="-3"/>
        </w:rPr>
        <w:t xml:space="preserve"> </w:t>
      </w:r>
      <w:r>
        <w:t>testing</w:t>
      </w:r>
      <w:r>
        <w:rPr>
          <w:spacing w:val="-3"/>
        </w:rPr>
        <w:t xml:space="preserve"> </w:t>
      </w:r>
      <w:r>
        <w:t>PP&amp;E</w:t>
      </w:r>
      <w:r>
        <w:rPr>
          <w:spacing w:val="-3"/>
        </w:rPr>
        <w:t xml:space="preserve"> </w:t>
      </w:r>
      <w:r>
        <w:t>land</w:t>
      </w:r>
      <w:r>
        <w:rPr>
          <w:spacing w:val="-3"/>
        </w:rPr>
        <w:t xml:space="preserve"> </w:t>
      </w:r>
      <w:r>
        <w:t>and stewardship</w:t>
      </w:r>
      <w:r>
        <w:rPr>
          <w:spacing w:val="-6"/>
        </w:rPr>
        <w:t xml:space="preserve"> </w:t>
      </w:r>
      <w:r>
        <w:t>land</w:t>
      </w:r>
      <w:r>
        <w:rPr>
          <w:spacing w:val="-5"/>
        </w:rPr>
        <w:t xml:space="preserve"> </w:t>
      </w:r>
      <w:r>
        <w:t>balance</w:t>
      </w:r>
      <w:r>
        <w:rPr>
          <w:spacing w:val="-5"/>
        </w:rPr>
        <w:t xml:space="preserve"> </w:t>
      </w:r>
      <w:r>
        <w:t>and</w:t>
      </w:r>
      <w:r>
        <w:rPr>
          <w:spacing w:val="-5"/>
        </w:rPr>
        <w:t xml:space="preserve"> </w:t>
      </w:r>
      <w:r>
        <w:t>activity.</w:t>
      </w:r>
      <w:r>
        <w:rPr>
          <w:spacing w:val="-5"/>
        </w:rPr>
        <w:t xml:space="preserve"> </w:t>
      </w:r>
      <w:r>
        <w:t>The</w:t>
      </w:r>
      <w:r>
        <w:rPr>
          <w:spacing w:val="-5"/>
        </w:rPr>
        <w:t xml:space="preserve"> </w:t>
      </w:r>
      <w:r>
        <w:t>auditor</w:t>
      </w:r>
      <w:r>
        <w:rPr>
          <w:spacing w:val="-5"/>
        </w:rPr>
        <w:t xml:space="preserve"> </w:t>
      </w:r>
      <w:r>
        <w:t>should</w:t>
      </w:r>
      <w:r>
        <w:rPr>
          <w:spacing w:val="-5"/>
        </w:rPr>
        <w:t xml:space="preserve"> </w:t>
      </w:r>
      <w:r>
        <w:t>exercise</w:t>
      </w:r>
      <w:r>
        <w:rPr>
          <w:spacing w:val="-5"/>
        </w:rPr>
        <w:t xml:space="preserve"> </w:t>
      </w:r>
      <w:r>
        <w:t>professional judgment in determining the extent of audit procedures on the balance and activity. Once the auditor obtains sufficient audit evidence to conclude that the land acreage beginning balance (prior-year ending balance) is fairly stated, the auditor may decide to focus primarily on testing the current year’s land activity and perform more limited procedures on the ending balance, as the land information generally does not significantly change absent significant acquisitions, dispositions, or transfers.</w:t>
      </w:r>
    </w:p>
    <w:p w14:paraId="0DFDC582" w14:textId="77777777" w:rsidR="00046465" w:rsidRDefault="008134EB">
      <w:pPr>
        <w:spacing w:before="241"/>
        <w:ind w:left="392"/>
        <w:rPr>
          <w:b/>
          <w:sz w:val="24"/>
        </w:rPr>
      </w:pPr>
      <w:bookmarkStart w:id="328" w:name="Balance_Testing"/>
      <w:bookmarkEnd w:id="328"/>
      <w:r>
        <w:rPr>
          <w:b/>
          <w:sz w:val="24"/>
        </w:rPr>
        <w:t>Balance</w:t>
      </w:r>
      <w:r>
        <w:rPr>
          <w:b/>
          <w:spacing w:val="-7"/>
          <w:sz w:val="24"/>
        </w:rPr>
        <w:t xml:space="preserve"> </w:t>
      </w:r>
      <w:r>
        <w:rPr>
          <w:b/>
          <w:spacing w:val="-2"/>
          <w:sz w:val="24"/>
        </w:rPr>
        <w:t>Testing</w:t>
      </w:r>
    </w:p>
    <w:p w14:paraId="0DFDC583" w14:textId="77777777" w:rsidR="00046465" w:rsidRDefault="008134EB">
      <w:pPr>
        <w:pStyle w:val="ListParagraph"/>
        <w:numPr>
          <w:ilvl w:val="0"/>
          <w:numId w:val="107"/>
        </w:numPr>
        <w:tabs>
          <w:tab w:val="left" w:pos="1799"/>
        </w:tabs>
        <w:spacing w:before="118"/>
        <w:ind w:left="1799" w:right="774" w:hanging="720"/>
      </w:pPr>
      <w:r>
        <w:t>When testing the land balance, the auditor may perform substantive testing as provided</w:t>
      </w:r>
      <w:r>
        <w:rPr>
          <w:spacing w:val="-4"/>
        </w:rPr>
        <w:t xml:space="preserve"> </w:t>
      </w:r>
      <w:r>
        <w:t>in</w:t>
      </w:r>
      <w:r>
        <w:rPr>
          <w:spacing w:val="-4"/>
        </w:rPr>
        <w:t xml:space="preserve"> </w:t>
      </w:r>
      <w:r>
        <w:t>table</w:t>
      </w:r>
      <w:r>
        <w:rPr>
          <w:spacing w:val="-4"/>
        </w:rPr>
        <w:t xml:space="preserve"> </w:t>
      </w:r>
      <w:r>
        <w:t>931.2</w:t>
      </w:r>
      <w:r>
        <w:rPr>
          <w:spacing w:val="-3"/>
        </w:rPr>
        <w:t xml:space="preserve"> </w:t>
      </w:r>
      <w:r>
        <w:t>for</w:t>
      </w:r>
      <w:r>
        <w:rPr>
          <w:spacing w:val="-4"/>
        </w:rPr>
        <w:t xml:space="preserve"> </w:t>
      </w:r>
      <w:r>
        <w:t>each</w:t>
      </w:r>
      <w:r>
        <w:rPr>
          <w:spacing w:val="-4"/>
        </w:rPr>
        <w:t xml:space="preserve"> </w:t>
      </w:r>
      <w:r>
        <w:t>significant</w:t>
      </w:r>
      <w:r>
        <w:rPr>
          <w:spacing w:val="-4"/>
        </w:rPr>
        <w:t xml:space="preserve"> </w:t>
      </w:r>
      <w:r>
        <w:t>assertion.</w:t>
      </w:r>
      <w:r>
        <w:rPr>
          <w:spacing w:val="-4"/>
        </w:rPr>
        <w:t xml:space="preserve"> </w:t>
      </w:r>
      <w:r>
        <w:t>Depending</w:t>
      </w:r>
      <w:r>
        <w:rPr>
          <w:spacing w:val="-4"/>
        </w:rPr>
        <w:t xml:space="preserve"> </w:t>
      </w:r>
      <w:r>
        <w:t>on</w:t>
      </w:r>
      <w:r>
        <w:rPr>
          <w:spacing w:val="-4"/>
        </w:rPr>
        <w:t xml:space="preserve"> </w:t>
      </w:r>
      <w:r>
        <w:t>the</w:t>
      </w:r>
      <w:r>
        <w:rPr>
          <w:spacing w:val="-5"/>
        </w:rPr>
        <w:t xml:space="preserve"> </w:t>
      </w:r>
      <w:r>
        <w:t>nature</w:t>
      </w:r>
      <w:r>
        <w:rPr>
          <w:spacing w:val="-4"/>
        </w:rPr>
        <w:t xml:space="preserve"> </w:t>
      </w:r>
      <w:r>
        <w:t>of an entity’s land records, land units selected for testing may be</w:t>
      </w:r>
    </w:p>
    <w:p w14:paraId="0DFDC584" w14:textId="77777777" w:rsidR="00046465" w:rsidRDefault="008134EB">
      <w:pPr>
        <w:pStyle w:val="ListParagraph"/>
        <w:numPr>
          <w:ilvl w:val="1"/>
          <w:numId w:val="107"/>
        </w:numPr>
        <w:tabs>
          <w:tab w:val="left" w:pos="2158"/>
        </w:tabs>
        <w:spacing w:before="121"/>
        <w:ind w:left="2158" w:hanging="359"/>
      </w:pPr>
      <w:r>
        <w:t>aggregated</w:t>
      </w:r>
      <w:r>
        <w:rPr>
          <w:spacing w:val="-8"/>
        </w:rPr>
        <w:t xml:space="preserve"> </w:t>
      </w:r>
      <w:r>
        <w:t>land</w:t>
      </w:r>
      <w:r>
        <w:rPr>
          <w:spacing w:val="-8"/>
        </w:rPr>
        <w:t xml:space="preserve"> </w:t>
      </w:r>
      <w:r>
        <w:t>units</w:t>
      </w:r>
      <w:r>
        <w:rPr>
          <w:spacing w:val="-7"/>
        </w:rPr>
        <w:t xml:space="preserve"> </w:t>
      </w:r>
      <w:r>
        <w:t>used</w:t>
      </w:r>
      <w:r>
        <w:rPr>
          <w:spacing w:val="-8"/>
        </w:rPr>
        <w:t xml:space="preserve"> </w:t>
      </w:r>
      <w:r>
        <w:t>to</w:t>
      </w:r>
      <w:r>
        <w:rPr>
          <w:spacing w:val="-7"/>
        </w:rPr>
        <w:t xml:space="preserve"> </w:t>
      </w:r>
      <w:r>
        <w:t>determine</w:t>
      </w:r>
      <w:r>
        <w:rPr>
          <w:spacing w:val="-8"/>
        </w:rPr>
        <w:t xml:space="preserve"> </w:t>
      </w:r>
      <w:r>
        <w:t>predominant</w:t>
      </w:r>
      <w:r>
        <w:rPr>
          <w:spacing w:val="-7"/>
        </w:rPr>
        <w:t xml:space="preserve"> </w:t>
      </w:r>
      <w:r>
        <w:rPr>
          <w:spacing w:val="-4"/>
        </w:rPr>
        <w:t>use,</w:t>
      </w:r>
    </w:p>
    <w:p w14:paraId="0DFDC585" w14:textId="77777777" w:rsidR="00046465" w:rsidRDefault="008134EB">
      <w:pPr>
        <w:pStyle w:val="ListParagraph"/>
        <w:numPr>
          <w:ilvl w:val="1"/>
          <w:numId w:val="107"/>
        </w:numPr>
        <w:tabs>
          <w:tab w:val="left" w:pos="2158"/>
        </w:tabs>
        <w:ind w:left="2158" w:hanging="359"/>
      </w:pPr>
      <w:r>
        <w:t>other</w:t>
      </w:r>
      <w:r>
        <w:rPr>
          <w:spacing w:val="-9"/>
        </w:rPr>
        <w:t xml:space="preserve"> </w:t>
      </w:r>
      <w:r>
        <w:t>appropriate</w:t>
      </w:r>
      <w:r>
        <w:rPr>
          <w:spacing w:val="-8"/>
        </w:rPr>
        <w:t xml:space="preserve"> </w:t>
      </w:r>
      <w:r>
        <w:t>land</w:t>
      </w:r>
      <w:r>
        <w:rPr>
          <w:spacing w:val="-9"/>
        </w:rPr>
        <w:t xml:space="preserve"> </w:t>
      </w:r>
      <w:r>
        <w:t>aggregation,</w:t>
      </w:r>
      <w:r>
        <w:rPr>
          <w:spacing w:val="-9"/>
        </w:rPr>
        <w:t xml:space="preserve"> </w:t>
      </w:r>
      <w:r>
        <w:rPr>
          <w:spacing w:val="-5"/>
        </w:rPr>
        <w:t>or</w:t>
      </w:r>
    </w:p>
    <w:p w14:paraId="0DFDC586" w14:textId="77777777" w:rsidR="00046465" w:rsidRDefault="008134EB">
      <w:pPr>
        <w:pStyle w:val="ListParagraph"/>
        <w:numPr>
          <w:ilvl w:val="1"/>
          <w:numId w:val="107"/>
        </w:numPr>
        <w:tabs>
          <w:tab w:val="left" w:pos="2158"/>
        </w:tabs>
        <w:ind w:left="2158" w:hanging="359"/>
      </w:pPr>
      <w:r>
        <w:t>individual</w:t>
      </w:r>
      <w:r>
        <w:rPr>
          <w:spacing w:val="-8"/>
        </w:rPr>
        <w:t xml:space="preserve"> </w:t>
      </w:r>
      <w:r>
        <w:t>land</w:t>
      </w:r>
      <w:r>
        <w:rPr>
          <w:spacing w:val="-8"/>
        </w:rPr>
        <w:t xml:space="preserve"> </w:t>
      </w:r>
      <w:r>
        <w:rPr>
          <w:spacing w:val="-2"/>
        </w:rPr>
        <w:t>parcels.</w:t>
      </w:r>
    </w:p>
    <w:p w14:paraId="0DFDC587" w14:textId="77777777" w:rsidR="00046465" w:rsidRDefault="008134EB">
      <w:pPr>
        <w:pStyle w:val="BodyText"/>
        <w:spacing w:before="119"/>
        <w:ind w:left="1799" w:right="749"/>
      </w:pPr>
      <w:r>
        <w:t>If aggregated land units are used, the auditor may make a sub-selection of individual</w:t>
      </w:r>
      <w:r>
        <w:rPr>
          <w:spacing w:val="-4"/>
        </w:rPr>
        <w:t xml:space="preserve"> </w:t>
      </w:r>
      <w:r>
        <w:t>units</w:t>
      </w:r>
      <w:r>
        <w:rPr>
          <w:spacing w:val="-4"/>
        </w:rPr>
        <w:t xml:space="preserve"> </w:t>
      </w:r>
      <w:r>
        <w:t>for</w:t>
      </w:r>
      <w:r>
        <w:rPr>
          <w:spacing w:val="-4"/>
        </w:rPr>
        <w:t xml:space="preserve"> </w:t>
      </w:r>
      <w:r>
        <w:t>testing</w:t>
      </w:r>
      <w:r>
        <w:rPr>
          <w:spacing w:val="-4"/>
        </w:rPr>
        <w:t xml:space="preserve"> </w:t>
      </w:r>
      <w:r>
        <w:t>existence,</w:t>
      </w:r>
      <w:r>
        <w:rPr>
          <w:spacing w:val="-5"/>
        </w:rPr>
        <w:t xml:space="preserve"> </w:t>
      </w:r>
      <w:r>
        <w:t>accuracy,</w:t>
      </w:r>
      <w:r>
        <w:rPr>
          <w:spacing w:val="-4"/>
        </w:rPr>
        <w:t xml:space="preserve"> </w:t>
      </w:r>
      <w:r>
        <w:t>and</w:t>
      </w:r>
      <w:r>
        <w:rPr>
          <w:spacing w:val="-4"/>
        </w:rPr>
        <w:t xml:space="preserve"> </w:t>
      </w:r>
      <w:r>
        <w:t>rights</w:t>
      </w:r>
      <w:r>
        <w:rPr>
          <w:spacing w:val="-4"/>
        </w:rPr>
        <w:t xml:space="preserve"> </w:t>
      </w:r>
      <w:r>
        <w:t>based</w:t>
      </w:r>
      <w:r>
        <w:rPr>
          <w:spacing w:val="-4"/>
        </w:rPr>
        <w:t xml:space="preserve"> </w:t>
      </w:r>
      <w:r>
        <w:t>on</w:t>
      </w:r>
      <w:r>
        <w:rPr>
          <w:spacing w:val="-4"/>
        </w:rPr>
        <w:t xml:space="preserve"> </w:t>
      </w:r>
      <w:r>
        <w:t>the</w:t>
      </w:r>
      <w:r>
        <w:rPr>
          <w:spacing w:val="-4"/>
        </w:rPr>
        <w:t xml:space="preserve"> </w:t>
      </w:r>
      <w:r>
        <w:t>auditor’s consideration of the effectiveness and efficiency of such testing.</w:t>
      </w:r>
    </w:p>
    <w:p w14:paraId="0DFDC588" w14:textId="77777777" w:rsidR="00046465" w:rsidRDefault="008134EB">
      <w:pPr>
        <w:pStyle w:val="BodyText"/>
        <w:spacing w:before="121"/>
        <w:ind w:left="1799" w:right="844"/>
      </w:pPr>
      <w:r>
        <w:t>If</w:t>
      </w:r>
      <w:r>
        <w:rPr>
          <w:spacing w:val="-4"/>
        </w:rPr>
        <w:t xml:space="preserve"> </w:t>
      </w:r>
      <w:r>
        <w:t>permanent</w:t>
      </w:r>
      <w:r>
        <w:rPr>
          <w:spacing w:val="-4"/>
        </w:rPr>
        <w:t xml:space="preserve"> </w:t>
      </w:r>
      <w:r>
        <w:t>land</w:t>
      </w:r>
      <w:r>
        <w:rPr>
          <w:spacing w:val="-4"/>
        </w:rPr>
        <w:t xml:space="preserve"> </w:t>
      </w:r>
      <w:r>
        <w:t>rights</w:t>
      </w:r>
      <w:r>
        <w:rPr>
          <w:spacing w:val="-5"/>
        </w:rPr>
        <w:t xml:space="preserve"> </w:t>
      </w:r>
      <w:r>
        <w:t>are</w:t>
      </w:r>
      <w:r>
        <w:rPr>
          <w:spacing w:val="-4"/>
        </w:rPr>
        <w:t xml:space="preserve"> </w:t>
      </w:r>
      <w:r>
        <w:t>included</w:t>
      </w:r>
      <w:r>
        <w:rPr>
          <w:spacing w:val="-5"/>
        </w:rPr>
        <w:t xml:space="preserve"> </w:t>
      </w:r>
      <w:r>
        <w:t>in</w:t>
      </w:r>
      <w:r>
        <w:rPr>
          <w:spacing w:val="-4"/>
        </w:rPr>
        <w:t xml:space="preserve"> </w:t>
      </w:r>
      <w:r>
        <w:t>separate</w:t>
      </w:r>
      <w:r>
        <w:rPr>
          <w:spacing w:val="-5"/>
        </w:rPr>
        <w:t xml:space="preserve"> </w:t>
      </w:r>
      <w:r>
        <w:t>records</w:t>
      </w:r>
      <w:r>
        <w:rPr>
          <w:spacing w:val="-4"/>
        </w:rPr>
        <w:t xml:space="preserve"> </w:t>
      </w:r>
      <w:r>
        <w:t>and</w:t>
      </w:r>
      <w:r>
        <w:rPr>
          <w:spacing w:val="-5"/>
        </w:rPr>
        <w:t xml:space="preserve"> </w:t>
      </w:r>
      <w:r>
        <w:t>deemed</w:t>
      </w:r>
      <w:r>
        <w:rPr>
          <w:spacing w:val="-4"/>
        </w:rPr>
        <w:t xml:space="preserve"> </w:t>
      </w:r>
      <w:r>
        <w:t>material, the auditor may make a separate selection of those records and perform the tests shown in table 931.2.</w:t>
      </w:r>
    </w:p>
    <w:p w14:paraId="0DFDC589" w14:textId="77777777" w:rsidR="00046465" w:rsidRDefault="00046465">
      <w:pPr>
        <w:pStyle w:val="BodyText"/>
        <w:sectPr w:rsidR="00046465">
          <w:headerReference w:type="default" r:id="rId212"/>
          <w:footerReference w:type="default" r:id="rId213"/>
          <w:pgSz w:w="12240" w:h="15840"/>
          <w:pgMar w:top="1340" w:right="720" w:bottom="940" w:left="1080" w:header="721" w:footer="757" w:gutter="0"/>
          <w:cols w:space="720"/>
        </w:sectPr>
      </w:pPr>
    </w:p>
    <w:p w14:paraId="0DFDC58A" w14:textId="77777777" w:rsidR="00046465" w:rsidRDefault="008134EB">
      <w:pPr>
        <w:spacing w:before="121" w:after="60"/>
        <w:ind w:left="360"/>
        <w:rPr>
          <w:b/>
          <w:sz w:val="18"/>
        </w:rPr>
      </w:pPr>
      <w:r>
        <w:rPr>
          <w:b/>
          <w:sz w:val="18"/>
        </w:rPr>
        <w:lastRenderedPageBreak/>
        <w:t>Table</w:t>
      </w:r>
      <w:r>
        <w:rPr>
          <w:b/>
          <w:spacing w:val="-14"/>
          <w:sz w:val="18"/>
        </w:rPr>
        <w:t xml:space="preserve"> </w:t>
      </w:r>
      <w:r>
        <w:rPr>
          <w:b/>
          <w:sz w:val="18"/>
        </w:rPr>
        <w:t>931.2:</w:t>
      </w:r>
      <w:r>
        <w:rPr>
          <w:b/>
          <w:spacing w:val="-10"/>
          <w:sz w:val="18"/>
        </w:rPr>
        <w:t xml:space="preserve"> </w:t>
      </w:r>
      <w:r>
        <w:rPr>
          <w:b/>
          <w:sz w:val="18"/>
        </w:rPr>
        <w:t>Substantive</w:t>
      </w:r>
      <w:r>
        <w:rPr>
          <w:b/>
          <w:spacing w:val="-12"/>
          <w:sz w:val="18"/>
        </w:rPr>
        <w:t xml:space="preserve"> </w:t>
      </w:r>
      <w:r>
        <w:rPr>
          <w:b/>
          <w:sz w:val="18"/>
        </w:rPr>
        <w:t>Testing</w:t>
      </w:r>
      <w:r>
        <w:rPr>
          <w:b/>
          <w:spacing w:val="-8"/>
          <w:sz w:val="18"/>
        </w:rPr>
        <w:t xml:space="preserve"> </w:t>
      </w:r>
      <w:r>
        <w:rPr>
          <w:b/>
          <w:sz w:val="18"/>
        </w:rPr>
        <w:t>of</w:t>
      </w:r>
      <w:r>
        <w:rPr>
          <w:b/>
          <w:spacing w:val="-11"/>
          <w:sz w:val="18"/>
        </w:rPr>
        <w:t xml:space="preserve"> </w:t>
      </w:r>
      <w:r>
        <w:rPr>
          <w:b/>
          <w:sz w:val="18"/>
        </w:rPr>
        <w:t>PP&amp;E</w:t>
      </w:r>
      <w:r>
        <w:rPr>
          <w:b/>
          <w:spacing w:val="-9"/>
          <w:sz w:val="18"/>
        </w:rPr>
        <w:t xml:space="preserve"> </w:t>
      </w:r>
      <w:r>
        <w:rPr>
          <w:b/>
          <w:sz w:val="18"/>
        </w:rPr>
        <w:t>Land</w:t>
      </w:r>
      <w:r>
        <w:rPr>
          <w:b/>
          <w:spacing w:val="-9"/>
          <w:sz w:val="18"/>
        </w:rPr>
        <w:t xml:space="preserve"> </w:t>
      </w:r>
      <w:r>
        <w:rPr>
          <w:b/>
          <w:sz w:val="18"/>
        </w:rPr>
        <w:t>and</w:t>
      </w:r>
      <w:r>
        <w:rPr>
          <w:b/>
          <w:spacing w:val="-11"/>
          <w:sz w:val="18"/>
        </w:rPr>
        <w:t xml:space="preserve"> </w:t>
      </w:r>
      <w:r>
        <w:rPr>
          <w:b/>
          <w:sz w:val="18"/>
        </w:rPr>
        <w:t>Stewardship</w:t>
      </w:r>
      <w:r>
        <w:rPr>
          <w:b/>
          <w:spacing w:val="-7"/>
          <w:sz w:val="18"/>
        </w:rPr>
        <w:t xml:space="preserve"> </w:t>
      </w:r>
      <w:r>
        <w:rPr>
          <w:b/>
          <w:sz w:val="18"/>
        </w:rPr>
        <w:t>Land</w:t>
      </w:r>
      <w:r>
        <w:rPr>
          <w:b/>
          <w:spacing w:val="-12"/>
          <w:sz w:val="18"/>
        </w:rPr>
        <w:t xml:space="preserve"> </w:t>
      </w:r>
      <w:r>
        <w:rPr>
          <w:b/>
          <w:spacing w:val="-2"/>
          <w:sz w:val="18"/>
        </w:rPr>
        <w:t>Balance</w:t>
      </w: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10"/>
        <w:gridCol w:w="7140"/>
      </w:tblGrid>
      <w:tr w:rsidR="00046465" w14:paraId="0DFDC58D" w14:textId="77777777">
        <w:trPr>
          <w:trHeight w:val="287"/>
        </w:trPr>
        <w:tc>
          <w:tcPr>
            <w:tcW w:w="2210" w:type="dxa"/>
            <w:tcBorders>
              <w:bottom w:val="single" w:sz="12" w:space="0" w:color="000000"/>
            </w:tcBorders>
            <w:shd w:val="clear" w:color="auto" w:fill="BEBEBE"/>
          </w:tcPr>
          <w:p w14:paraId="0DFDC58B" w14:textId="77777777" w:rsidR="00046465" w:rsidRDefault="008134EB">
            <w:pPr>
              <w:pStyle w:val="TableParagraph"/>
              <w:spacing w:before="39"/>
              <w:ind w:left="62"/>
              <w:rPr>
                <w:b/>
                <w:sz w:val="18"/>
              </w:rPr>
            </w:pPr>
            <w:r>
              <w:rPr>
                <w:b/>
                <w:spacing w:val="-2"/>
                <w:sz w:val="18"/>
              </w:rPr>
              <w:t>Assertion</w:t>
            </w:r>
          </w:p>
        </w:tc>
        <w:tc>
          <w:tcPr>
            <w:tcW w:w="7140" w:type="dxa"/>
            <w:tcBorders>
              <w:bottom w:val="single" w:sz="12" w:space="0" w:color="000000"/>
            </w:tcBorders>
            <w:shd w:val="clear" w:color="auto" w:fill="BEBEBE"/>
          </w:tcPr>
          <w:p w14:paraId="0DFDC58C" w14:textId="77777777" w:rsidR="00046465" w:rsidRDefault="008134EB">
            <w:pPr>
              <w:pStyle w:val="TableParagraph"/>
              <w:spacing w:before="39"/>
              <w:ind w:left="62"/>
              <w:rPr>
                <w:b/>
                <w:sz w:val="18"/>
              </w:rPr>
            </w:pPr>
            <w:r>
              <w:rPr>
                <w:b/>
                <w:sz w:val="18"/>
              </w:rPr>
              <w:t>Substantive</w:t>
            </w:r>
            <w:r>
              <w:rPr>
                <w:b/>
                <w:spacing w:val="-7"/>
                <w:sz w:val="18"/>
              </w:rPr>
              <w:t xml:space="preserve"> </w:t>
            </w:r>
            <w:r>
              <w:rPr>
                <w:b/>
                <w:spacing w:val="-4"/>
                <w:sz w:val="18"/>
              </w:rPr>
              <w:t>tests</w:t>
            </w:r>
          </w:p>
        </w:tc>
      </w:tr>
      <w:tr w:rsidR="00046465" w14:paraId="0DFDC590" w14:textId="77777777">
        <w:trPr>
          <w:trHeight w:val="509"/>
        </w:trPr>
        <w:tc>
          <w:tcPr>
            <w:tcW w:w="2210" w:type="dxa"/>
            <w:tcBorders>
              <w:top w:val="single" w:sz="12" w:space="0" w:color="000000"/>
            </w:tcBorders>
          </w:tcPr>
          <w:p w14:paraId="0DFDC58E" w14:textId="77777777" w:rsidR="00046465" w:rsidRDefault="008134EB">
            <w:pPr>
              <w:pStyle w:val="TableParagraph"/>
              <w:spacing w:line="204" w:lineRule="exact"/>
              <w:ind w:left="62"/>
              <w:rPr>
                <w:b/>
                <w:sz w:val="18"/>
              </w:rPr>
            </w:pPr>
            <w:r>
              <w:rPr>
                <w:b/>
                <w:spacing w:val="-2"/>
                <w:sz w:val="18"/>
              </w:rPr>
              <w:t>Existence</w:t>
            </w:r>
          </w:p>
        </w:tc>
        <w:tc>
          <w:tcPr>
            <w:tcW w:w="7140" w:type="dxa"/>
            <w:tcBorders>
              <w:top w:val="single" w:sz="12" w:space="0" w:color="000000"/>
            </w:tcBorders>
          </w:tcPr>
          <w:p w14:paraId="0DFDC58F" w14:textId="77777777" w:rsidR="00046465" w:rsidRDefault="008134EB">
            <w:pPr>
              <w:pStyle w:val="TableParagraph"/>
              <w:numPr>
                <w:ilvl w:val="0"/>
                <w:numId w:val="89"/>
              </w:numPr>
              <w:tabs>
                <w:tab w:val="left" w:pos="317"/>
                <w:tab w:val="left" w:pos="320"/>
              </w:tabs>
              <w:spacing w:before="2" w:line="237" w:lineRule="auto"/>
              <w:ind w:right="465" w:hanging="188"/>
              <w:rPr>
                <w:position w:val="6"/>
                <w:sz w:val="12"/>
              </w:rPr>
            </w:pPr>
            <w:r>
              <w:rPr>
                <w:sz w:val="18"/>
              </w:rPr>
              <w:t>For</w:t>
            </w:r>
            <w:r>
              <w:rPr>
                <w:spacing w:val="-4"/>
                <w:sz w:val="18"/>
              </w:rPr>
              <w:t xml:space="preserve"> </w:t>
            </w:r>
            <w:r>
              <w:rPr>
                <w:sz w:val="18"/>
              </w:rPr>
              <w:t>each</w:t>
            </w:r>
            <w:r>
              <w:rPr>
                <w:spacing w:val="-4"/>
                <w:sz w:val="18"/>
              </w:rPr>
              <w:t xml:space="preserve"> </w:t>
            </w:r>
            <w:r>
              <w:rPr>
                <w:sz w:val="18"/>
              </w:rPr>
              <w:t>selected</w:t>
            </w:r>
            <w:r>
              <w:rPr>
                <w:spacing w:val="-4"/>
                <w:sz w:val="18"/>
              </w:rPr>
              <w:t xml:space="preserve"> </w:t>
            </w:r>
            <w:r>
              <w:rPr>
                <w:sz w:val="18"/>
              </w:rPr>
              <w:t>item</w:t>
            </w:r>
            <w:r>
              <w:rPr>
                <w:spacing w:val="-5"/>
                <w:sz w:val="18"/>
              </w:rPr>
              <w:t xml:space="preserve"> </w:t>
            </w:r>
            <w:r>
              <w:rPr>
                <w:sz w:val="18"/>
              </w:rPr>
              <w:t>of</w:t>
            </w:r>
            <w:r>
              <w:rPr>
                <w:spacing w:val="-6"/>
                <w:sz w:val="18"/>
              </w:rPr>
              <w:t xml:space="preserve"> </w:t>
            </w:r>
            <w:r>
              <w:rPr>
                <w:sz w:val="18"/>
              </w:rPr>
              <w:t>recorded</w:t>
            </w:r>
            <w:r>
              <w:rPr>
                <w:spacing w:val="-7"/>
                <w:sz w:val="18"/>
              </w:rPr>
              <w:t xml:space="preserve"> </w:t>
            </w:r>
            <w:r>
              <w:rPr>
                <w:sz w:val="18"/>
              </w:rPr>
              <w:t>land,</w:t>
            </w:r>
            <w:r>
              <w:rPr>
                <w:spacing w:val="-5"/>
                <w:sz w:val="18"/>
              </w:rPr>
              <w:t xml:space="preserve"> </w:t>
            </w:r>
            <w:r>
              <w:rPr>
                <w:sz w:val="18"/>
              </w:rPr>
              <w:t>determine</w:t>
            </w:r>
            <w:r>
              <w:rPr>
                <w:spacing w:val="-7"/>
                <w:sz w:val="18"/>
              </w:rPr>
              <w:t xml:space="preserve"> </w:t>
            </w:r>
            <w:r>
              <w:rPr>
                <w:sz w:val="18"/>
              </w:rPr>
              <w:t>whether</w:t>
            </w:r>
            <w:r>
              <w:rPr>
                <w:spacing w:val="-7"/>
                <w:sz w:val="18"/>
              </w:rPr>
              <w:t xml:space="preserve"> </w:t>
            </w:r>
            <w:r>
              <w:rPr>
                <w:sz w:val="18"/>
              </w:rPr>
              <w:t>the</w:t>
            </w:r>
            <w:r>
              <w:rPr>
                <w:spacing w:val="-7"/>
                <w:sz w:val="18"/>
              </w:rPr>
              <w:t xml:space="preserve"> </w:t>
            </w:r>
            <w:r>
              <w:rPr>
                <w:sz w:val="18"/>
              </w:rPr>
              <w:t>existence</w:t>
            </w:r>
            <w:r>
              <w:rPr>
                <w:spacing w:val="-7"/>
                <w:sz w:val="18"/>
              </w:rPr>
              <w:t xml:space="preserve"> </w:t>
            </w:r>
            <w:r>
              <w:rPr>
                <w:sz w:val="18"/>
              </w:rPr>
              <w:t>of</w:t>
            </w:r>
            <w:r>
              <w:rPr>
                <w:spacing w:val="-6"/>
                <w:sz w:val="18"/>
              </w:rPr>
              <w:t xml:space="preserve"> </w:t>
            </w:r>
            <w:r>
              <w:rPr>
                <w:sz w:val="18"/>
              </w:rPr>
              <w:t>the land is supported by sufficient and appropriate evidence.</w:t>
            </w:r>
            <w:r>
              <w:rPr>
                <w:position w:val="6"/>
                <w:sz w:val="12"/>
              </w:rPr>
              <w:t>a</w:t>
            </w:r>
          </w:p>
        </w:tc>
      </w:tr>
      <w:tr w:rsidR="00046465" w14:paraId="0DFDC593" w14:textId="77777777">
        <w:trPr>
          <w:trHeight w:val="693"/>
        </w:trPr>
        <w:tc>
          <w:tcPr>
            <w:tcW w:w="2210" w:type="dxa"/>
          </w:tcPr>
          <w:p w14:paraId="0DFDC591" w14:textId="77777777" w:rsidR="00046465" w:rsidRDefault="008134EB">
            <w:pPr>
              <w:pStyle w:val="TableParagraph"/>
              <w:spacing w:line="204" w:lineRule="exact"/>
              <w:ind w:left="62"/>
              <w:rPr>
                <w:b/>
                <w:sz w:val="18"/>
              </w:rPr>
            </w:pPr>
            <w:r>
              <w:rPr>
                <w:b/>
                <w:spacing w:val="-2"/>
                <w:sz w:val="18"/>
              </w:rPr>
              <w:t>Completeness</w:t>
            </w:r>
          </w:p>
        </w:tc>
        <w:tc>
          <w:tcPr>
            <w:tcW w:w="7140" w:type="dxa"/>
          </w:tcPr>
          <w:p w14:paraId="0DFDC592" w14:textId="77777777" w:rsidR="00046465" w:rsidRDefault="008134EB">
            <w:pPr>
              <w:pStyle w:val="TableParagraph"/>
              <w:numPr>
                <w:ilvl w:val="0"/>
                <w:numId w:val="88"/>
              </w:numPr>
              <w:tabs>
                <w:tab w:val="left" w:pos="317"/>
                <w:tab w:val="left" w:pos="320"/>
              </w:tabs>
              <w:ind w:right="566" w:hanging="188"/>
              <w:jc w:val="both"/>
              <w:rPr>
                <w:sz w:val="18"/>
              </w:rPr>
            </w:pPr>
            <w:r>
              <w:rPr>
                <w:sz w:val="18"/>
              </w:rPr>
              <w:t>Identify</w:t>
            </w:r>
            <w:r>
              <w:rPr>
                <w:spacing w:val="-6"/>
                <w:sz w:val="18"/>
              </w:rPr>
              <w:t xml:space="preserve"> </w:t>
            </w:r>
            <w:r>
              <w:rPr>
                <w:sz w:val="18"/>
              </w:rPr>
              <w:t>land</w:t>
            </w:r>
            <w:r>
              <w:rPr>
                <w:spacing w:val="-6"/>
                <w:sz w:val="18"/>
              </w:rPr>
              <w:t xml:space="preserve"> </w:t>
            </w:r>
            <w:r>
              <w:rPr>
                <w:sz w:val="18"/>
              </w:rPr>
              <w:t>that</w:t>
            </w:r>
            <w:r>
              <w:rPr>
                <w:spacing w:val="-5"/>
                <w:sz w:val="18"/>
              </w:rPr>
              <w:t xml:space="preserve"> </w:t>
            </w:r>
            <w:r>
              <w:rPr>
                <w:sz w:val="18"/>
              </w:rPr>
              <w:t>the</w:t>
            </w:r>
            <w:r>
              <w:rPr>
                <w:spacing w:val="-6"/>
                <w:sz w:val="18"/>
              </w:rPr>
              <w:t xml:space="preserve"> </w:t>
            </w:r>
            <w:r>
              <w:rPr>
                <w:sz w:val="18"/>
              </w:rPr>
              <w:t>entity</w:t>
            </w:r>
            <w:r>
              <w:rPr>
                <w:spacing w:val="-6"/>
                <w:sz w:val="18"/>
              </w:rPr>
              <w:t xml:space="preserve"> </w:t>
            </w:r>
            <w:r>
              <w:rPr>
                <w:sz w:val="18"/>
              </w:rPr>
              <w:t>manages</w:t>
            </w:r>
            <w:r>
              <w:rPr>
                <w:spacing w:val="-6"/>
                <w:sz w:val="18"/>
              </w:rPr>
              <w:t xml:space="preserve"> </w:t>
            </w:r>
            <w:r>
              <w:rPr>
                <w:sz w:val="18"/>
              </w:rPr>
              <w:t>and</w:t>
            </w:r>
            <w:r>
              <w:rPr>
                <w:spacing w:val="-6"/>
                <w:sz w:val="18"/>
              </w:rPr>
              <w:t xml:space="preserve"> </w:t>
            </w:r>
            <w:r>
              <w:rPr>
                <w:sz w:val="18"/>
              </w:rPr>
              <w:t>should</w:t>
            </w:r>
            <w:r>
              <w:rPr>
                <w:spacing w:val="-6"/>
                <w:sz w:val="18"/>
              </w:rPr>
              <w:t xml:space="preserve"> </w:t>
            </w:r>
            <w:r>
              <w:rPr>
                <w:sz w:val="18"/>
              </w:rPr>
              <w:t>be</w:t>
            </w:r>
            <w:r>
              <w:rPr>
                <w:spacing w:val="-6"/>
                <w:sz w:val="18"/>
              </w:rPr>
              <w:t xml:space="preserve"> </w:t>
            </w:r>
            <w:r>
              <w:rPr>
                <w:sz w:val="18"/>
              </w:rPr>
              <w:t>recorded</w:t>
            </w:r>
            <w:r>
              <w:rPr>
                <w:spacing w:val="-6"/>
                <w:sz w:val="18"/>
              </w:rPr>
              <w:t xml:space="preserve"> </w:t>
            </w:r>
            <w:r>
              <w:rPr>
                <w:sz w:val="18"/>
              </w:rPr>
              <w:t>through</w:t>
            </w:r>
            <w:r>
              <w:rPr>
                <w:spacing w:val="-6"/>
                <w:sz w:val="18"/>
              </w:rPr>
              <w:t xml:space="preserve"> </w:t>
            </w:r>
            <w:r>
              <w:rPr>
                <w:sz w:val="18"/>
              </w:rPr>
              <w:t>inquiry</w:t>
            </w:r>
            <w:r>
              <w:rPr>
                <w:spacing w:val="-6"/>
                <w:sz w:val="18"/>
              </w:rPr>
              <w:t xml:space="preserve"> </w:t>
            </w:r>
            <w:r>
              <w:rPr>
                <w:sz w:val="18"/>
              </w:rPr>
              <w:t>of program</w:t>
            </w:r>
            <w:r>
              <w:rPr>
                <w:spacing w:val="-4"/>
                <w:sz w:val="18"/>
              </w:rPr>
              <w:t xml:space="preserve"> </w:t>
            </w:r>
            <w:r>
              <w:rPr>
                <w:sz w:val="18"/>
              </w:rPr>
              <w:t>managers</w:t>
            </w:r>
            <w:r>
              <w:rPr>
                <w:spacing w:val="-4"/>
                <w:sz w:val="18"/>
              </w:rPr>
              <w:t xml:space="preserve"> </w:t>
            </w:r>
            <w:r>
              <w:rPr>
                <w:sz w:val="18"/>
              </w:rPr>
              <w:t>or</w:t>
            </w:r>
            <w:r>
              <w:rPr>
                <w:spacing w:val="-4"/>
                <w:sz w:val="18"/>
              </w:rPr>
              <w:t xml:space="preserve"> </w:t>
            </w:r>
            <w:r>
              <w:rPr>
                <w:sz w:val="18"/>
              </w:rPr>
              <w:t>other</w:t>
            </w:r>
            <w:r>
              <w:rPr>
                <w:spacing w:val="-4"/>
                <w:sz w:val="18"/>
              </w:rPr>
              <w:t xml:space="preserve"> </w:t>
            </w:r>
            <w:r>
              <w:rPr>
                <w:sz w:val="18"/>
              </w:rPr>
              <w:t>means</w:t>
            </w:r>
            <w:r>
              <w:rPr>
                <w:spacing w:val="-4"/>
                <w:sz w:val="18"/>
              </w:rPr>
              <w:t xml:space="preserve"> </w:t>
            </w:r>
            <w:r>
              <w:rPr>
                <w:sz w:val="18"/>
              </w:rPr>
              <w:t>and</w:t>
            </w:r>
            <w:r>
              <w:rPr>
                <w:spacing w:val="-5"/>
                <w:sz w:val="18"/>
              </w:rPr>
              <w:t xml:space="preserve"> </w:t>
            </w:r>
            <w:r>
              <w:rPr>
                <w:sz w:val="18"/>
              </w:rPr>
              <w:t>determine</w:t>
            </w:r>
            <w:r>
              <w:rPr>
                <w:spacing w:val="-5"/>
                <w:sz w:val="18"/>
              </w:rPr>
              <w:t xml:space="preserve"> </w:t>
            </w:r>
            <w:r>
              <w:rPr>
                <w:sz w:val="18"/>
              </w:rPr>
              <w:t>whether</w:t>
            </w:r>
            <w:r>
              <w:rPr>
                <w:spacing w:val="-4"/>
                <w:sz w:val="18"/>
              </w:rPr>
              <w:t xml:space="preserve"> </w:t>
            </w:r>
            <w:r>
              <w:rPr>
                <w:sz w:val="18"/>
              </w:rPr>
              <w:t>the</w:t>
            </w:r>
            <w:r>
              <w:rPr>
                <w:spacing w:val="-5"/>
                <w:sz w:val="18"/>
              </w:rPr>
              <w:t xml:space="preserve"> </w:t>
            </w:r>
            <w:r>
              <w:rPr>
                <w:sz w:val="18"/>
              </w:rPr>
              <w:t>land</w:t>
            </w:r>
            <w:r>
              <w:rPr>
                <w:spacing w:val="-5"/>
                <w:sz w:val="18"/>
              </w:rPr>
              <w:t xml:space="preserve"> </w:t>
            </w:r>
            <w:r>
              <w:rPr>
                <w:sz w:val="18"/>
              </w:rPr>
              <w:t>is</w:t>
            </w:r>
            <w:r>
              <w:rPr>
                <w:spacing w:val="-4"/>
                <w:sz w:val="18"/>
              </w:rPr>
              <w:t xml:space="preserve"> </w:t>
            </w:r>
            <w:r>
              <w:rPr>
                <w:sz w:val="18"/>
              </w:rPr>
              <w:t>properly included in the entity’s land records.</w:t>
            </w:r>
          </w:p>
        </w:tc>
      </w:tr>
      <w:tr w:rsidR="00046465" w14:paraId="0DFDC596" w14:textId="77777777">
        <w:trPr>
          <w:trHeight w:val="1581"/>
        </w:trPr>
        <w:tc>
          <w:tcPr>
            <w:tcW w:w="2210" w:type="dxa"/>
          </w:tcPr>
          <w:p w14:paraId="0DFDC594" w14:textId="77777777" w:rsidR="00046465" w:rsidRDefault="008134EB">
            <w:pPr>
              <w:pStyle w:val="TableParagraph"/>
              <w:spacing w:line="204" w:lineRule="exact"/>
              <w:ind w:left="62"/>
              <w:rPr>
                <w:b/>
                <w:sz w:val="18"/>
              </w:rPr>
            </w:pPr>
            <w:r>
              <w:rPr>
                <w:b/>
                <w:spacing w:val="-2"/>
                <w:sz w:val="18"/>
              </w:rPr>
              <w:t>Accuracy</w:t>
            </w:r>
          </w:p>
        </w:tc>
        <w:tc>
          <w:tcPr>
            <w:tcW w:w="7140" w:type="dxa"/>
          </w:tcPr>
          <w:p w14:paraId="0DFDC595" w14:textId="77777777" w:rsidR="00046465" w:rsidRDefault="008134EB">
            <w:pPr>
              <w:pStyle w:val="TableParagraph"/>
              <w:numPr>
                <w:ilvl w:val="0"/>
                <w:numId w:val="87"/>
              </w:numPr>
              <w:tabs>
                <w:tab w:val="left" w:pos="320"/>
              </w:tabs>
              <w:ind w:right="1" w:hanging="187"/>
              <w:rPr>
                <w:sz w:val="18"/>
              </w:rPr>
            </w:pPr>
            <w:r>
              <w:rPr>
                <w:sz w:val="18"/>
              </w:rPr>
              <w:t>For each selected item of recorded land, determine whether the estimate of the acreage is reasonable based on examination of related records. Entity</w:t>
            </w:r>
            <w:r>
              <w:rPr>
                <w:spacing w:val="-4"/>
                <w:sz w:val="18"/>
              </w:rPr>
              <w:t xml:space="preserve"> </w:t>
            </w:r>
            <w:r>
              <w:rPr>
                <w:sz w:val="18"/>
              </w:rPr>
              <w:t>estimates</w:t>
            </w:r>
            <w:r>
              <w:rPr>
                <w:spacing w:val="-4"/>
                <w:sz w:val="18"/>
              </w:rPr>
              <w:t xml:space="preserve"> </w:t>
            </w:r>
            <w:r>
              <w:rPr>
                <w:sz w:val="18"/>
              </w:rPr>
              <w:t xml:space="preserve">can </w:t>
            </w:r>
            <w:r>
              <w:rPr>
                <w:spacing w:val="-2"/>
                <w:sz w:val="18"/>
              </w:rPr>
              <w:t>be</w:t>
            </w:r>
            <w:r>
              <w:rPr>
                <w:spacing w:val="-6"/>
                <w:sz w:val="18"/>
              </w:rPr>
              <w:t xml:space="preserve"> </w:t>
            </w:r>
            <w:r>
              <w:rPr>
                <w:spacing w:val="-2"/>
                <w:sz w:val="18"/>
              </w:rPr>
              <w:t>based</w:t>
            </w:r>
            <w:r>
              <w:rPr>
                <w:spacing w:val="-6"/>
                <w:sz w:val="18"/>
              </w:rPr>
              <w:t xml:space="preserve"> </w:t>
            </w:r>
            <w:r>
              <w:rPr>
                <w:spacing w:val="-2"/>
                <w:sz w:val="18"/>
              </w:rPr>
              <w:t>on</w:t>
            </w:r>
            <w:r>
              <w:rPr>
                <w:spacing w:val="-7"/>
                <w:sz w:val="18"/>
              </w:rPr>
              <w:t xml:space="preserve"> </w:t>
            </w:r>
            <w:r>
              <w:rPr>
                <w:spacing w:val="-2"/>
                <w:sz w:val="18"/>
              </w:rPr>
              <w:t>different</w:t>
            </w:r>
            <w:r>
              <w:rPr>
                <w:spacing w:val="-5"/>
                <w:sz w:val="18"/>
              </w:rPr>
              <w:t xml:space="preserve"> </w:t>
            </w:r>
            <w:r>
              <w:rPr>
                <w:spacing w:val="-2"/>
                <w:sz w:val="18"/>
              </w:rPr>
              <w:t>underlying</w:t>
            </w:r>
            <w:r>
              <w:rPr>
                <w:spacing w:val="-7"/>
                <w:sz w:val="18"/>
              </w:rPr>
              <w:t xml:space="preserve"> </w:t>
            </w:r>
            <w:r>
              <w:rPr>
                <w:spacing w:val="-2"/>
                <w:sz w:val="18"/>
              </w:rPr>
              <w:t>sources</w:t>
            </w:r>
            <w:r>
              <w:rPr>
                <w:spacing w:val="-5"/>
                <w:sz w:val="18"/>
              </w:rPr>
              <w:t xml:space="preserve"> </w:t>
            </w:r>
            <w:r>
              <w:rPr>
                <w:spacing w:val="-2"/>
                <w:sz w:val="18"/>
              </w:rPr>
              <w:t>of</w:t>
            </w:r>
            <w:r>
              <w:rPr>
                <w:spacing w:val="-6"/>
                <w:sz w:val="18"/>
              </w:rPr>
              <w:t xml:space="preserve"> </w:t>
            </w:r>
            <w:r>
              <w:rPr>
                <w:spacing w:val="-2"/>
                <w:sz w:val="18"/>
              </w:rPr>
              <w:t>data</w:t>
            </w:r>
            <w:r>
              <w:rPr>
                <w:spacing w:val="-7"/>
                <w:sz w:val="18"/>
              </w:rPr>
              <w:t xml:space="preserve"> </w:t>
            </w:r>
            <w:r>
              <w:rPr>
                <w:spacing w:val="-2"/>
                <w:sz w:val="18"/>
              </w:rPr>
              <w:t>with</w:t>
            </w:r>
            <w:r>
              <w:rPr>
                <w:spacing w:val="-7"/>
                <w:sz w:val="18"/>
              </w:rPr>
              <w:t xml:space="preserve"> </w:t>
            </w:r>
            <w:r>
              <w:rPr>
                <w:spacing w:val="-2"/>
                <w:sz w:val="18"/>
              </w:rPr>
              <w:t>different</w:t>
            </w:r>
            <w:r>
              <w:rPr>
                <w:spacing w:val="-6"/>
                <w:sz w:val="18"/>
              </w:rPr>
              <w:t xml:space="preserve"> </w:t>
            </w:r>
            <w:r>
              <w:rPr>
                <w:spacing w:val="-2"/>
                <w:sz w:val="18"/>
              </w:rPr>
              <w:t>measurement</w:t>
            </w:r>
            <w:r>
              <w:rPr>
                <w:spacing w:val="-5"/>
                <w:sz w:val="18"/>
              </w:rPr>
              <w:t xml:space="preserve"> </w:t>
            </w:r>
            <w:r>
              <w:rPr>
                <w:spacing w:val="-2"/>
                <w:sz w:val="18"/>
              </w:rPr>
              <w:t>and mapping</w:t>
            </w:r>
            <w:r>
              <w:rPr>
                <w:spacing w:val="-11"/>
                <w:sz w:val="18"/>
              </w:rPr>
              <w:t xml:space="preserve"> </w:t>
            </w:r>
            <w:r>
              <w:rPr>
                <w:spacing w:val="-2"/>
                <w:sz w:val="18"/>
              </w:rPr>
              <w:t>methods.</w:t>
            </w:r>
            <w:r>
              <w:rPr>
                <w:spacing w:val="-10"/>
                <w:sz w:val="18"/>
              </w:rPr>
              <w:t xml:space="preserve"> </w:t>
            </w:r>
            <w:r>
              <w:rPr>
                <w:spacing w:val="-2"/>
                <w:sz w:val="18"/>
              </w:rPr>
              <w:t>They</w:t>
            </w:r>
            <w:r>
              <w:rPr>
                <w:spacing w:val="-10"/>
                <w:sz w:val="18"/>
              </w:rPr>
              <w:t xml:space="preserve"> </w:t>
            </w:r>
            <w:r>
              <w:rPr>
                <w:spacing w:val="-2"/>
                <w:sz w:val="18"/>
              </w:rPr>
              <w:t>can</w:t>
            </w:r>
            <w:r>
              <w:rPr>
                <w:spacing w:val="-11"/>
                <w:sz w:val="18"/>
              </w:rPr>
              <w:t xml:space="preserve"> </w:t>
            </w:r>
            <w:r>
              <w:rPr>
                <w:spacing w:val="-2"/>
                <w:sz w:val="18"/>
              </w:rPr>
              <w:t>be</w:t>
            </w:r>
            <w:r>
              <w:rPr>
                <w:spacing w:val="-10"/>
                <w:sz w:val="18"/>
              </w:rPr>
              <w:t xml:space="preserve"> </w:t>
            </w:r>
            <w:r>
              <w:rPr>
                <w:spacing w:val="-2"/>
                <w:sz w:val="18"/>
              </w:rPr>
              <w:t>applied</w:t>
            </w:r>
            <w:r>
              <w:rPr>
                <w:spacing w:val="-10"/>
                <w:sz w:val="18"/>
              </w:rPr>
              <w:t xml:space="preserve"> </w:t>
            </w:r>
            <w:r>
              <w:rPr>
                <w:spacing w:val="-2"/>
                <w:sz w:val="18"/>
              </w:rPr>
              <w:t>at</w:t>
            </w:r>
            <w:r>
              <w:rPr>
                <w:spacing w:val="-10"/>
                <w:sz w:val="18"/>
              </w:rPr>
              <w:t xml:space="preserve"> </w:t>
            </w:r>
            <w:r>
              <w:rPr>
                <w:spacing w:val="-2"/>
                <w:sz w:val="18"/>
              </w:rPr>
              <w:t>an</w:t>
            </w:r>
            <w:r>
              <w:rPr>
                <w:spacing w:val="-11"/>
                <w:sz w:val="18"/>
              </w:rPr>
              <w:t xml:space="preserve"> </w:t>
            </w:r>
            <w:r>
              <w:rPr>
                <w:spacing w:val="-2"/>
                <w:sz w:val="18"/>
              </w:rPr>
              <w:t>aggregation</w:t>
            </w:r>
            <w:r>
              <w:rPr>
                <w:spacing w:val="-10"/>
                <w:sz w:val="18"/>
              </w:rPr>
              <w:t xml:space="preserve"> </w:t>
            </w:r>
            <w:r>
              <w:rPr>
                <w:spacing w:val="-2"/>
                <w:sz w:val="18"/>
              </w:rPr>
              <w:t>level</w:t>
            </w:r>
            <w:r>
              <w:rPr>
                <w:spacing w:val="-11"/>
                <w:sz w:val="18"/>
              </w:rPr>
              <w:t xml:space="preserve"> </w:t>
            </w:r>
            <w:r>
              <w:rPr>
                <w:spacing w:val="-2"/>
                <w:sz w:val="18"/>
              </w:rPr>
              <w:t>(for</w:t>
            </w:r>
            <w:r>
              <w:rPr>
                <w:spacing w:val="-10"/>
                <w:sz w:val="18"/>
              </w:rPr>
              <w:t xml:space="preserve"> </w:t>
            </w:r>
            <w:r>
              <w:rPr>
                <w:spacing w:val="-2"/>
                <w:sz w:val="18"/>
              </w:rPr>
              <w:t>example,</w:t>
            </w:r>
            <w:r>
              <w:rPr>
                <w:spacing w:val="-9"/>
                <w:sz w:val="18"/>
              </w:rPr>
              <w:t xml:space="preserve"> </w:t>
            </w:r>
            <w:r>
              <w:rPr>
                <w:spacing w:val="-2"/>
                <w:sz w:val="18"/>
              </w:rPr>
              <w:t>by</w:t>
            </w:r>
            <w:r>
              <w:rPr>
                <w:spacing w:val="-9"/>
                <w:sz w:val="18"/>
              </w:rPr>
              <w:t xml:space="preserve"> </w:t>
            </w:r>
            <w:r>
              <w:rPr>
                <w:spacing w:val="-2"/>
                <w:sz w:val="18"/>
              </w:rPr>
              <w:t>national park</w:t>
            </w:r>
            <w:r>
              <w:rPr>
                <w:spacing w:val="-8"/>
                <w:sz w:val="18"/>
              </w:rPr>
              <w:t xml:space="preserve"> </w:t>
            </w:r>
            <w:r>
              <w:rPr>
                <w:spacing w:val="-2"/>
                <w:sz w:val="18"/>
              </w:rPr>
              <w:t>or</w:t>
            </w:r>
            <w:r>
              <w:rPr>
                <w:spacing w:val="-11"/>
                <w:sz w:val="18"/>
              </w:rPr>
              <w:t xml:space="preserve"> </w:t>
            </w:r>
            <w:r>
              <w:rPr>
                <w:spacing w:val="-2"/>
                <w:sz w:val="18"/>
              </w:rPr>
              <w:t>reserve,</w:t>
            </w:r>
            <w:r>
              <w:rPr>
                <w:spacing w:val="-8"/>
                <w:sz w:val="18"/>
              </w:rPr>
              <w:t xml:space="preserve"> </w:t>
            </w:r>
            <w:r>
              <w:rPr>
                <w:spacing w:val="-2"/>
                <w:sz w:val="18"/>
              </w:rPr>
              <w:t>regional/district</w:t>
            </w:r>
            <w:r>
              <w:rPr>
                <w:spacing w:val="-9"/>
                <w:sz w:val="18"/>
              </w:rPr>
              <w:t xml:space="preserve"> </w:t>
            </w:r>
            <w:r>
              <w:rPr>
                <w:spacing w:val="-2"/>
                <w:sz w:val="18"/>
              </w:rPr>
              <w:t>office,</w:t>
            </w:r>
            <w:r>
              <w:rPr>
                <w:spacing w:val="-8"/>
                <w:sz w:val="18"/>
              </w:rPr>
              <w:t xml:space="preserve"> </w:t>
            </w:r>
            <w:r>
              <w:rPr>
                <w:spacing w:val="-2"/>
                <w:sz w:val="18"/>
              </w:rPr>
              <w:t>or</w:t>
            </w:r>
            <w:r>
              <w:rPr>
                <w:spacing w:val="-9"/>
                <w:sz w:val="18"/>
              </w:rPr>
              <w:t xml:space="preserve"> </w:t>
            </w:r>
            <w:r>
              <w:rPr>
                <w:spacing w:val="-2"/>
                <w:sz w:val="18"/>
              </w:rPr>
              <w:t>topography/land</w:t>
            </w:r>
            <w:r>
              <w:rPr>
                <w:spacing w:val="-10"/>
                <w:sz w:val="18"/>
              </w:rPr>
              <w:t xml:space="preserve"> </w:t>
            </w:r>
            <w:r>
              <w:rPr>
                <w:spacing w:val="-2"/>
                <w:sz w:val="18"/>
              </w:rPr>
              <w:t>cover).</w:t>
            </w:r>
            <w:r>
              <w:rPr>
                <w:spacing w:val="-9"/>
                <w:sz w:val="18"/>
              </w:rPr>
              <w:t xml:space="preserve"> </w:t>
            </w:r>
            <w:r>
              <w:rPr>
                <w:spacing w:val="-2"/>
                <w:sz w:val="18"/>
              </w:rPr>
              <w:t>(TB</w:t>
            </w:r>
            <w:r>
              <w:rPr>
                <w:spacing w:val="-10"/>
                <w:sz w:val="18"/>
              </w:rPr>
              <w:t xml:space="preserve"> </w:t>
            </w:r>
            <w:r>
              <w:rPr>
                <w:spacing w:val="-2"/>
                <w:sz w:val="18"/>
              </w:rPr>
              <w:t>2025-1,</w:t>
            </w:r>
            <w:r>
              <w:rPr>
                <w:spacing w:val="-9"/>
                <w:sz w:val="18"/>
              </w:rPr>
              <w:t xml:space="preserve"> </w:t>
            </w:r>
            <w:r>
              <w:rPr>
                <w:spacing w:val="-2"/>
                <w:sz w:val="18"/>
              </w:rPr>
              <w:t>para.</w:t>
            </w:r>
            <w:r>
              <w:rPr>
                <w:spacing w:val="-8"/>
                <w:sz w:val="18"/>
              </w:rPr>
              <w:t xml:space="preserve"> </w:t>
            </w:r>
            <w:r>
              <w:rPr>
                <w:spacing w:val="-2"/>
                <w:sz w:val="18"/>
              </w:rPr>
              <w:t xml:space="preserve">15) </w:t>
            </w:r>
            <w:r>
              <w:rPr>
                <w:sz w:val="18"/>
              </w:rPr>
              <w:t>Such</w:t>
            </w:r>
            <w:r>
              <w:rPr>
                <w:spacing w:val="-6"/>
                <w:sz w:val="18"/>
              </w:rPr>
              <w:t xml:space="preserve"> </w:t>
            </w:r>
            <w:r>
              <w:rPr>
                <w:sz w:val="18"/>
              </w:rPr>
              <w:t>records</w:t>
            </w:r>
            <w:r>
              <w:rPr>
                <w:spacing w:val="-4"/>
                <w:sz w:val="18"/>
              </w:rPr>
              <w:t xml:space="preserve"> </w:t>
            </w:r>
            <w:r>
              <w:rPr>
                <w:sz w:val="18"/>
              </w:rPr>
              <w:t>may</w:t>
            </w:r>
            <w:r>
              <w:rPr>
                <w:spacing w:val="-5"/>
                <w:sz w:val="18"/>
              </w:rPr>
              <w:t xml:space="preserve"> </w:t>
            </w:r>
            <w:r>
              <w:rPr>
                <w:sz w:val="18"/>
              </w:rPr>
              <w:t>include</w:t>
            </w:r>
            <w:r>
              <w:rPr>
                <w:spacing w:val="-6"/>
                <w:sz w:val="18"/>
              </w:rPr>
              <w:t xml:space="preserve"> </w:t>
            </w:r>
            <w:r>
              <w:rPr>
                <w:sz w:val="18"/>
              </w:rPr>
              <w:t>traditional</w:t>
            </w:r>
            <w:r>
              <w:rPr>
                <w:spacing w:val="-5"/>
                <w:sz w:val="18"/>
              </w:rPr>
              <w:t xml:space="preserve"> </w:t>
            </w:r>
            <w:r>
              <w:rPr>
                <w:sz w:val="18"/>
              </w:rPr>
              <w:t>records</w:t>
            </w:r>
            <w:r>
              <w:rPr>
                <w:spacing w:val="-4"/>
                <w:sz w:val="18"/>
              </w:rPr>
              <w:t xml:space="preserve"> </w:t>
            </w:r>
            <w:r>
              <w:rPr>
                <w:sz w:val="18"/>
              </w:rPr>
              <w:t>to</w:t>
            </w:r>
            <w:r>
              <w:rPr>
                <w:spacing w:val="-6"/>
                <w:sz w:val="18"/>
              </w:rPr>
              <w:t xml:space="preserve"> </w:t>
            </w:r>
            <w:r>
              <w:rPr>
                <w:sz w:val="18"/>
              </w:rPr>
              <w:t>verify</w:t>
            </w:r>
            <w:r>
              <w:rPr>
                <w:spacing w:val="-5"/>
                <w:sz w:val="18"/>
              </w:rPr>
              <w:t xml:space="preserve"> </w:t>
            </w:r>
            <w:r>
              <w:rPr>
                <w:sz w:val="18"/>
              </w:rPr>
              <w:t>ownership,</w:t>
            </w:r>
            <w:r>
              <w:rPr>
                <w:spacing w:val="-5"/>
                <w:sz w:val="18"/>
              </w:rPr>
              <w:t xml:space="preserve"> </w:t>
            </w:r>
            <w:r>
              <w:rPr>
                <w:sz w:val="18"/>
              </w:rPr>
              <w:t>geospatial</w:t>
            </w:r>
            <w:r>
              <w:rPr>
                <w:spacing w:val="-5"/>
                <w:sz w:val="18"/>
              </w:rPr>
              <w:t xml:space="preserve"> </w:t>
            </w:r>
            <w:r>
              <w:rPr>
                <w:sz w:val="18"/>
              </w:rPr>
              <w:t>mapping, historical</w:t>
            </w:r>
            <w:r>
              <w:rPr>
                <w:spacing w:val="-3"/>
                <w:sz w:val="18"/>
              </w:rPr>
              <w:t xml:space="preserve"> </w:t>
            </w:r>
            <w:r>
              <w:rPr>
                <w:sz w:val="18"/>
              </w:rPr>
              <w:t>records,</w:t>
            </w:r>
            <w:r>
              <w:rPr>
                <w:spacing w:val="-2"/>
                <w:sz w:val="18"/>
              </w:rPr>
              <w:t xml:space="preserve"> </w:t>
            </w:r>
            <w:r>
              <w:rPr>
                <w:sz w:val="18"/>
              </w:rPr>
              <w:t>surveys,</w:t>
            </w:r>
            <w:r>
              <w:rPr>
                <w:spacing w:val="-3"/>
                <w:sz w:val="18"/>
              </w:rPr>
              <w:t xml:space="preserve"> </w:t>
            </w:r>
            <w:r>
              <w:rPr>
                <w:sz w:val="18"/>
              </w:rPr>
              <w:t>plats,</w:t>
            </w:r>
            <w:r>
              <w:rPr>
                <w:spacing w:val="-2"/>
                <w:sz w:val="18"/>
              </w:rPr>
              <w:t xml:space="preserve"> </w:t>
            </w:r>
            <w:r>
              <w:rPr>
                <w:sz w:val="18"/>
              </w:rPr>
              <w:t>or</w:t>
            </w:r>
            <w:r>
              <w:rPr>
                <w:spacing w:val="-3"/>
                <w:sz w:val="18"/>
              </w:rPr>
              <w:t xml:space="preserve"> </w:t>
            </w:r>
            <w:r>
              <w:rPr>
                <w:sz w:val="18"/>
              </w:rPr>
              <w:t>any</w:t>
            </w:r>
            <w:r>
              <w:rPr>
                <w:spacing w:val="-2"/>
                <w:sz w:val="18"/>
              </w:rPr>
              <w:t xml:space="preserve"> </w:t>
            </w:r>
            <w:r>
              <w:rPr>
                <w:sz w:val="18"/>
              </w:rPr>
              <w:t>combination</w:t>
            </w:r>
            <w:r>
              <w:rPr>
                <w:spacing w:val="-2"/>
                <w:sz w:val="18"/>
              </w:rPr>
              <w:t xml:space="preserve"> </w:t>
            </w:r>
            <w:r>
              <w:rPr>
                <w:sz w:val="18"/>
              </w:rPr>
              <w:t>of</w:t>
            </w:r>
            <w:r>
              <w:rPr>
                <w:spacing w:val="-3"/>
                <w:sz w:val="18"/>
              </w:rPr>
              <w:t xml:space="preserve"> </w:t>
            </w:r>
            <w:r>
              <w:rPr>
                <w:sz w:val="18"/>
              </w:rPr>
              <w:t>these</w:t>
            </w:r>
            <w:r>
              <w:rPr>
                <w:spacing w:val="-2"/>
                <w:sz w:val="18"/>
              </w:rPr>
              <w:t xml:space="preserve"> </w:t>
            </w:r>
            <w:r>
              <w:rPr>
                <w:sz w:val="18"/>
              </w:rPr>
              <w:t>(SFFAS</w:t>
            </w:r>
            <w:r>
              <w:rPr>
                <w:spacing w:val="-3"/>
                <w:sz w:val="18"/>
              </w:rPr>
              <w:t xml:space="preserve"> </w:t>
            </w:r>
            <w:r>
              <w:rPr>
                <w:sz w:val="18"/>
              </w:rPr>
              <w:t>59,</w:t>
            </w:r>
            <w:r>
              <w:rPr>
                <w:spacing w:val="-2"/>
                <w:sz w:val="18"/>
              </w:rPr>
              <w:t xml:space="preserve"> </w:t>
            </w:r>
            <w:r>
              <w:rPr>
                <w:sz w:val="18"/>
              </w:rPr>
              <w:t>para.</w:t>
            </w:r>
            <w:r>
              <w:rPr>
                <w:spacing w:val="-2"/>
                <w:sz w:val="18"/>
              </w:rPr>
              <w:t xml:space="preserve"> A35).</w:t>
            </w:r>
          </w:p>
        </w:tc>
      </w:tr>
      <w:tr w:rsidR="00046465" w14:paraId="0DFDC59B" w14:textId="77777777">
        <w:trPr>
          <w:trHeight w:val="2566"/>
        </w:trPr>
        <w:tc>
          <w:tcPr>
            <w:tcW w:w="2210" w:type="dxa"/>
          </w:tcPr>
          <w:p w14:paraId="0DFDC597" w14:textId="77777777" w:rsidR="00046465" w:rsidRDefault="008134EB">
            <w:pPr>
              <w:pStyle w:val="TableParagraph"/>
              <w:spacing w:line="206" w:lineRule="exact"/>
              <w:ind w:left="62"/>
              <w:rPr>
                <w:b/>
                <w:sz w:val="18"/>
              </w:rPr>
            </w:pPr>
            <w:r>
              <w:rPr>
                <w:b/>
                <w:spacing w:val="-2"/>
                <w:sz w:val="18"/>
              </w:rPr>
              <w:t>Rights</w:t>
            </w:r>
          </w:p>
        </w:tc>
        <w:tc>
          <w:tcPr>
            <w:tcW w:w="7140" w:type="dxa"/>
          </w:tcPr>
          <w:p w14:paraId="0DFDC598" w14:textId="77777777" w:rsidR="00046465" w:rsidRDefault="008134EB">
            <w:pPr>
              <w:pStyle w:val="TableParagraph"/>
              <w:numPr>
                <w:ilvl w:val="0"/>
                <w:numId w:val="86"/>
              </w:numPr>
              <w:tabs>
                <w:tab w:val="left" w:pos="318"/>
                <w:tab w:val="left" w:pos="320"/>
              </w:tabs>
              <w:ind w:right="162" w:hanging="187"/>
              <w:rPr>
                <w:sz w:val="18"/>
              </w:rPr>
            </w:pPr>
            <w:r>
              <w:rPr>
                <w:sz w:val="18"/>
              </w:rPr>
              <w:t xml:space="preserve">For each selected item of recorded land, examine evidence that supports federal ownership of land or the federal government’s interest in land rights. Such documents could include original property records or other documentation like </w:t>
            </w:r>
            <w:r>
              <w:rPr>
                <w:spacing w:val="-2"/>
                <w:sz w:val="18"/>
              </w:rPr>
              <w:t>deeds, tax</w:t>
            </w:r>
            <w:r>
              <w:rPr>
                <w:spacing w:val="-5"/>
                <w:sz w:val="18"/>
              </w:rPr>
              <w:t xml:space="preserve"> </w:t>
            </w:r>
            <w:r>
              <w:rPr>
                <w:spacing w:val="-2"/>
                <w:sz w:val="18"/>
              </w:rPr>
              <w:t>assessments,</w:t>
            </w:r>
            <w:r>
              <w:rPr>
                <w:spacing w:val="-4"/>
                <w:sz w:val="18"/>
              </w:rPr>
              <w:t xml:space="preserve"> </w:t>
            </w:r>
            <w:r>
              <w:rPr>
                <w:spacing w:val="-2"/>
                <w:sz w:val="18"/>
              </w:rPr>
              <w:t>or</w:t>
            </w:r>
            <w:r>
              <w:rPr>
                <w:spacing w:val="-5"/>
                <w:sz w:val="18"/>
              </w:rPr>
              <w:t xml:space="preserve"> </w:t>
            </w:r>
            <w:r>
              <w:rPr>
                <w:spacing w:val="-2"/>
                <w:sz w:val="18"/>
              </w:rPr>
              <w:t>insurance</w:t>
            </w:r>
            <w:r>
              <w:rPr>
                <w:spacing w:val="-5"/>
                <w:sz w:val="18"/>
              </w:rPr>
              <w:t xml:space="preserve"> </w:t>
            </w:r>
            <w:r>
              <w:rPr>
                <w:spacing w:val="-2"/>
                <w:sz w:val="18"/>
              </w:rPr>
              <w:t>records.</w:t>
            </w:r>
            <w:r>
              <w:rPr>
                <w:spacing w:val="-5"/>
                <w:sz w:val="18"/>
              </w:rPr>
              <w:t xml:space="preserve"> </w:t>
            </w:r>
            <w:r>
              <w:rPr>
                <w:spacing w:val="-2"/>
                <w:sz w:val="18"/>
              </w:rPr>
              <w:t>When</w:t>
            </w:r>
            <w:r>
              <w:rPr>
                <w:spacing w:val="-6"/>
                <w:sz w:val="18"/>
              </w:rPr>
              <w:t xml:space="preserve"> </w:t>
            </w:r>
            <w:r>
              <w:rPr>
                <w:spacing w:val="-2"/>
                <w:sz w:val="18"/>
              </w:rPr>
              <w:t>original</w:t>
            </w:r>
            <w:r>
              <w:rPr>
                <w:spacing w:val="-7"/>
                <w:sz w:val="18"/>
              </w:rPr>
              <w:t xml:space="preserve"> </w:t>
            </w:r>
            <w:r>
              <w:rPr>
                <w:spacing w:val="-2"/>
                <w:sz w:val="18"/>
              </w:rPr>
              <w:t>property</w:t>
            </w:r>
            <w:r>
              <w:rPr>
                <w:spacing w:val="-5"/>
                <w:sz w:val="18"/>
              </w:rPr>
              <w:t xml:space="preserve"> </w:t>
            </w:r>
            <w:r>
              <w:rPr>
                <w:spacing w:val="-2"/>
                <w:sz w:val="18"/>
              </w:rPr>
              <w:t>records</w:t>
            </w:r>
            <w:r>
              <w:rPr>
                <w:spacing w:val="-4"/>
                <w:sz w:val="18"/>
              </w:rPr>
              <w:t xml:space="preserve"> </w:t>
            </w:r>
            <w:r>
              <w:rPr>
                <w:spacing w:val="-2"/>
                <w:sz w:val="18"/>
              </w:rPr>
              <w:t>do</w:t>
            </w:r>
            <w:r>
              <w:rPr>
                <w:spacing w:val="-5"/>
                <w:sz w:val="18"/>
              </w:rPr>
              <w:t xml:space="preserve"> </w:t>
            </w:r>
            <w:r>
              <w:rPr>
                <w:spacing w:val="-2"/>
                <w:sz w:val="18"/>
              </w:rPr>
              <w:t>not exist,</w:t>
            </w:r>
            <w:r>
              <w:rPr>
                <w:spacing w:val="-9"/>
                <w:sz w:val="18"/>
              </w:rPr>
              <w:t xml:space="preserve"> </w:t>
            </w:r>
            <w:r>
              <w:rPr>
                <w:spacing w:val="-2"/>
                <w:sz w:val="18"/>
              </w:rPr>
              <w:t>alternative</w:t>
            </w:r>
            <w:r>
              <w:rPr>
                <w:spacing w:val="-9"/>
                <w:sz w:val="18"/>
              </w:rPr>
              <w:t xml:space="preserve"> </w:t>
            </w:r>
            <w:r>
              <w:rPr>
                <w:spacing w:val="-2"/>
                <w:sz w:val="18"/>
              </w:rPr>
              <w:t>documentation,</w:t>
            </w:r>
            <w:r>
              <w:rPr>
                <w:spacing w:val="-9"/>
                <w:sz w:val="18"/>
              </w:rPr>
              <w:t xml:space="preserve"> </w:t>
            </w:r>
            <w:r>
              <w:rPr>
                <w:spacing w:val="-2"/>
                <w:sz w:val="18"/>
              </w:rPr>
              <w:t>such</w:t>
            </w:r>
            <w:r>
              <w:rPr>
                <w:spacing w:val="-9"/>
                <w:sz w:val="18"/>
              </w:rPr>
              <w:t xml:space="preserve"> </w:t>
            </w:r>
            <w:r>
              <w:rPr>
                <w:spacing w:val="-2"/>
                <w:sz w:val="18"/>
              </w:rPr>
              <w:t>as</w:t>
            </w:r>
            <w:r>
              <w:rPr>
                <w:spacing w:val="-10"/>
                <w:sz w:val="18"/>
              </w:rPr>
              <w:t xml:space="preserve"> </w:t>
            </w:r>
            <w:r>
              <w:rPr>
                <w:spacing w:val="-2"/>
                <w:sz w:val="18"/>
              </w:rPr>
              <w:t>renovation</w:t>
            </w:r>
            <w:r>
              <w:rPr>
                <w:spacing w:val="-10"/>
                <w:sz w:val="18"/>
              </w:rPr>
              <w:t xml:space="preserve"> </w:t>
            </w:r>
            <w:r>
              <w:rPr>
                <w:spacing w:val="-2"/>
                <w:sz w:val="18"/>
              </w:rPr>
              <w:t>contracts,</w:t>
            </w:r>
            <w:r>
              <w:rPr>
                <w:spacing w:val="-8"/>
                <w:sz w:val="18"/>
              </w:rPr>
              <w:t xml:space="preserve"> </w:t>
            </w:r>
            <w:r>
              <w:rPr>
                <w:spacing w:val="-2"/>
                <w:sz w:val="18"/>
              </w:rPr>
              <w:t>historical</w:t>
            </w:r>
            <w:r>
              <w:rPr>
                <w:spacing w:val="-10"/>
                <w:sz w:val="18"/>
              </w:rPr>
              <w:t xml:space="preserve"> </w:t>
            </w:r>
            <w:r>
              <w:rPr>
                <w:spacing w:val="-2"/>
                <w:sz w:val="18"/>
              </w:rPr>
              <w:t>maintenance records,</w:t>
            </w:r>
            <w:r>
              <w:rPr>
                <w:spacing w:val="-6"/>
                <w:sz w:val="18"/>
              </w:rPr>
              <w:t xml:space="preserve"> </w:t>
            </w:r>
            <w:r>
              <w:rPr>
                <w:spacing w:val="-2"/>
                <w:sz w:val="18"/>
              </w:rPr>
              <w:t>a</w:t>
            </w:r>
            <w:r>
              <w:rPr>
                <w:spacing w:val="-8"/>
                <w:sz w:val="18"/>
              </w:rPr>
              <w:t xml:space="preserve"> </w:t>
            </w:r>
            <w:r>
              <w:rPr>
                <w:spacing w:val="-2"/>
                <w:sz w:val="18"/>
              </w:rPr>
              <w:t>history</w:t>
            </w:r>
            <w:r>
              <w:rPr>
                <w:spacing w:val="-6"/>
                <w:sz w:val="18"/>
              </w:rPr>
              <w:t xml:space="preserve"> </w:t>
            </w:r>
            <w:r>
              <w:rPr>
                <w:spacing w:val="-2"/>
                <w:sz w:val="18"/>
              </w:rPr>
              <w:t>of</w:t>
            </w:r>
            <w:r>
              <w:rPr>
                <w:spacing w:val="-6"/>
                <w:sz w:val="18"/>
              </w:rPr>
              <w:t xml:space="preserve"> </w:t>
            </w:r>
            <w:r>
              <w:rPr>
                <w:spacing w:val="-2"/>
                <w:sz w:val="18"/>
              </w:rPr>
              <w:t>payment</w:t>
            </w:r>
            <w:r>
              <w:rPr>
                <w:spacing w:val="-7"/>
                <w:sz w:val="18"/>
              </w:rPr>
              <w:t xml:space="preserve"> </w:t>
            </w:r>
            <w:r>
              <w:rPr>
                <w:spacing w:val="-2"/>
                <w:sz w:val="18"/>
              </w:rPr>
              <w:t>of</w:t>
            </w:r>
            <w:r>
              <w:rPr>
                <w:spacing w:val="-8"/>
                <w:sz w:val="18"/>
              </w:rPr>
              <w:t xml:space="preserve"> </w:t>
            </w:r>
            <w:r>
              <w:rPr>
                <w:spacing w:val="-2"/>
                <w:sz w:val="18"/>
              </w:rPr>
              <w:t>invoices,</w:t>
            </w:r>
            <w:r>
              <w:rPr>
                <w:spacing w:val="-7"/>
                <w:sz w:val="18"/>
              </w:rPr>
              <w:t xml:space="preserve"> </w:t>
            </w:r>
            <w:r>
              <w:rPr>
                <w:spacing w:val="-2"/>
                <w:sz w:val="18"/>
              </w:rPr>
              <w:t>minutes</w:t>
            </w:r>
            <w:r>
              <w:rPr>
                <w:spacing w:val="-6"/>
                <w:sz w:val="18"/>
              </w:rPr>
              <w:t xml:space="preserve"> </w:t>
            </w:r>
            <w:r>
              <w:rPr>
                <w:spacing w:val="-2"/>
                <w:sz w:val="18"/>
              </w:rPr>
              <w:t>of</w:t>
            </w:r>
            <w:r>
              <w:rPr>
                <w:spacing w:val="-7"/>
                <w:sz w:val="18"/>
              </w:rPr>
              <w:t xml:space="preserve"> </w:t>
            </w:r>
            <w:r>
              <w:rPr>
                <w:spacing w:val="-2"/>
                <w:sz w:val="18"/>
              </w:rPr>
              <w:t>meetings,</w:t>
            </w:r>
            <w:r>
              <w:rPr>
                <w:spacing w:val="-7"/>
                <w:sz w:val="18"/>
              </w:rPr>
              <w:t xml:space="preserve"> </w:t>
            </w:r>
            <w:r>
              <w:rPr>
                <w:spacing w:val="-2"/>
                <w:sz w:val="18"/>
              </w:rPr>
              <w:t>historical</w:t>
            </w:r>
            <w:r>
              <w:rPr>
                <w:spacing w:val="-7"/>
                <w:sz w:val="18"/>
              </w:rPr>
              <w:t xml:space="preserve"> </w:t>
            </w:r>
            <w:r>
              <w:rPr>
                <w:spacing w:val="-2"/>
                <w:sz w:val="18"/>
              </w:rPr>
              <w:t>databases, surveys</w:t>
            </w:r>
            <w:r>
              <w:rPr>
                <w:spacing w:val="-7"/>
                <w:sz w:val="18"/>
              </w:rPr>
              <w:t xml:space="preserve"> </w:t>
            </w:r>
            <w:r>
              <w:rPr>
                <w:spacing w:val="-2"/>
                <w:sz w:val="18"/>
              </w:rPr>
              <w:t>of</w:t>
            </w:r>
            <w:r>
              <w:rPr>
                <w:spacing w:val="-7"/>
                <w:sz w:val="18"/>
              </w:rPr>
              <w:t xml:space="preserve"> </w:t>
            </w:r>
            <w:r>
              <w:rPr>
                <w:spacing w:val="-2"/>
                <w:sz w:val="18"/>
              </w:rPr>
              <w:t>land</w:t>
            </w:r>
            <w:r>
              <w:rPr>
                <w:spacing w:val="-10"/>
                <w:sz w:val="18"/>
              </w:rPr>
              <w:t xml:space="preserve"> </w:t>
            </w:r>
            <w:r>
              <w:rPr>
                <w:spacing w:val="-2"/>
                <w:sz w:val="18"/>
              </w:rPr>
              <w:t>records,</w:t>
            </w:r>
            <w:r>
              <w:rPr>
                <w:spacing w:val="-7"/>
                <w:sz w:val="18"/>
              </w:rPr>
              <w:t xml:space="preserve"> </w:t>
            </w:r>
            <w:r>
              <w:rPr>
                <w:spacing w:val="-2"/>
                <w:sz w:val="18"/>
              </w:rPr>
              <w:t>a</w:t>
            </w:r>
            <w:r>
              <w:rPr>
                <w:spacing w:val="-9"/>
                <w:sz w:val="18"/>
              </w:rPr>
              <w:t xml:space="preserve"> </w:t>
            </w:r>
            <w:r>
              <w:rPr>
                <w:spacing w:val="-2"/>
                <w:sz w:val="18"/>
              </w:rPr>
              <w:t>history</w:t>
            </w:r>
            <w:r>
              <w:rPr>
                <w:spacing w:val="-7"/>
                <w:sz w:val="18"/>
              </w:rPr>
              <w:t xml:space="preserve"> </w:t>
            </w:r>
            <w:r>
              <w:rPr>
                <w:spacing w:val="-2"/>
                <w:sz w:val="18"/>
              </w:rPr>
              <w:t>of</w:t>
            </w:r>
            <w:r>
              <w:rPr>
                <w:spacing w:val="-7"/>
                <w:sz w:val="18"/>
              </w:rPr>
              <w:t xml:space="preserve"> </w:t>
            </w:r>
            <w:r>
              <w:rPr>
                <w:spacing w:val="-2"/>
                <w:sz w:val="18"/>
              </w:rPr>
              <w:t>past/historical</w:t>
            </w:r>
            <w:r>
              <w:rPr>
                <w:spacing w:val="-8"/>
                <w:sz w:val="18"/>
              </w:rPr>
              <w:t xml:space="preserve"> </w:t>
            </w:r>
            <w:r>
              <w:rPr>
                <w:spacing w:val="-2"/>
                <w:sz w:val="18"/>
              </w:rPr>
              <w:t>practices</w:t>
            </w:r>
            <w:r>
              <w:rPr>
                <w:spacing w:val="-8"/>
                <w:sz w:val="18"/>
              </w:rPr>
              <w:t xml:space="preserve"> </w:t>
            </w:r>
            <w:r>
              <w:rPr>
                <w:spacing w:val="-2"/>
                <w:sz w:val="18"/>
              </w:rPr>
              <w:t>(like</w:t>
            </w:r>
            <w:r>
              <w:rPr>
                <w:spacing w:val="-8"/>
                <w:sz w:val="18"/>
              </w:rPr>
              <w:t xml:space="preserve"> </w:t>
            </w:r>
            <w:r>
              <w:rPr>
                <w:spacing w:val="-2"/>
                <w:sz w:val="18"/>
              </w:rPr>
              <w:t>establishing</w:t>
            </w:r>
            <w:r>
              <w:rPr>
                <w:spacing w:val="-8"/>
                <w:sz w:val="18"/>
              </w:rPr>
              <w:t xml:space="preserve"> </w:t>
            </w:r>
            <w:r>
              <w:rPr>
                <w:spacing w:val="-2"/>
                <w:sz w:val="18"/>
              </w:rPr>
              <w:t>de</w:t>
            </w:r>
            <w:r>
              <w:rPr>
                <w:spacing w:val="-8"/>
                <w:sz w:val="18"/>
              </w:rPr>
              <w:t xml:space="preserve"> </w:t>
            </w:r>
            <w:r>
              <w:rPr>
                <w:spacing w:val="-2"/>
                <w:sz w:val="18"/>
              </w:rPr>
              <w:t xml:space="preserve">facto </w:t>
            </w:r>
            <w:r>
              <w:rPr>
                <w:spacing w:val="-4"/>
                <w:sz w:val="18"/>
              </w:rPr>
              <w:t>ownership),</w:t>
            </w:r>
            <w:r>
              <w:rPr>
                <w:spacing w:val="-8"/>
                <w:sz w:val="18"/>
              </w:rPr>
              <w:t xml:space="preserve"> </w:t>
            </w:r>
            <w:r>
              <w:rPr>
                <w:spacing w:val="-4"/>
                <w:sz w:val="18"/>
              </w:rPr>
              <w:t>or</w:t>
            </w:r>
            <w:r>
              <w:rPr>
                <w:spacing w:val="-8"/>
                <w:sz w:val="18"/>
              </w:rPr>
              <w:t xml:space="preserve"> </w:t>
            </w:r>
            <w:r>
              <w:rPr>
                <w:spacing w:val="-4"/>
                <w:sz w:val="18"/>
              </w:rPr>
              <w:t>other</w:t>
            </w:r>
            <w:r>
              <w:rPr>
                <w:spacing w:val="-8"/>
                <w:sz w:val="18"/>
              </w:rPr>
              <w:t xml:space="preserve"> </w:t>
            </w:r>
            <w:r>
              <w:rPr>
                <w:spacing w:val="-4"/>
                <w:sz w:val="18"/>
              </w:rPr>
              <w:t>relevant</w:t>
            </w:r>
            <w:r>
              <w:rPr>
                <w:spacing w:val="-8"/>
                <w:sz w:val="18"/>
              </w:rPr>
              <w:t xml:space="preserve"> </w:t>
            </w:r>
            <w:r>
              <w:rPr>
                <w:spacing w:val="-4"/>
                <w:sz w:val="18"/>
              </w:rPr>
              <w:t>sources</w:t>
            </w:r>
            <w:r>
              <w:rPr>
                <w:spacing w:val="-8"/>
                <w:sz w:val="18"/>
              </w:rPr>
              <w:t xml:space="preserve"> </w:t>
            </w:r>
            <w:r>
              <w:rPr>
                <w:spacing w:val="-4"/>
                <w:sz w:val="18"/>
              </w:rPr>
              <w:t>of</w:t>
            </w:r>
            <w:r>
              <w:rPr>
                <w:spacing w:val="-8"/>
                <w:sz w:val="18"/>
              </w:rPr>
              <w:t xml:space="preserve"> </w:t>
            </w:r>
            <w:r>
              <w:rPr>
                <w:spacing w:val="-4"/>
                <w:sz w:val="18"/>
              </w:rPr>
              <w:t>information,</w:t>
            </w:r>
            <w:r>
              <w:rPr>
                <w:spacing w:val="-8"/>
                <w:sz w:val="18"/>
              </w:rPr>
              <w:t xml:space="preserve"> </w:t>
            </w:r>
            <w:r>
              <w:rPr>
                <w:spacing w:val="-4"/>
                <w:sz w:val="18"/>
              </w:rPr>
              <w:t>may</w:t>
            </w:r>
            <w:r>
              <w:rPr>
                <w:spacing w:val="-9"/>
                <w:sz w:val="18"/>
              </w:rPr>
              <w:t xml:space="preserve"> </w:t>
            </w:r>
            <w:r>
              <w:rPr>
                <w:spacing w:val="-4"/>
                <w:sz w:val="18"/>
              </w:rPr>
              <w:t>provide</w:t>
            </w:r>
            <w:r>
              <w:rPr>
                <w:spacing w:val="-8"/>
                <w:sz w:val="18"/>
              </w:rPr>
              <w:t xml:space="preserve"> </w:t>
            </w:r>
            <w:r>
              <w:rPr>
                <w:spacing w:val="-4"/>
                <w:sz w:val="18"/>
              </w:rPr>
              <w:t>acceptable</w:t>
            </w:r>
            <w:r>
              <w:rPr>
                <w:spacing w:val="-8"/>
                <w:sz w:val="18"/>
              </w:rPr>
              <w:t xml:space="preserve"> </w:t>
            </w:r>
            <w:r>
              <w:rPr>
                <w:spacing w:val="-4"/>
                <w:sz w:val="18"/>
              </w:rPr>
              <w:t xml:space="preserve">alternative </w:t>
            </w:r>
            <w:r>
              <w:rPr>
                <w:sz w:val="18"/>
              </w:rPr>
              <w:t>evidence</w:t>
            </w:r>
            <w:r>
              <w:rPr>
                <w:spacing w:val="-7"/>
                <w:sz w:val="18"/>
              </w:rPr>
              <w:t xml:space="preserve"> </w:t>
            </w:r>
            <w:r>
              <w:rPr>
                <w:sz w:val="18"/>
              </w:rPr>
              <w:t>of</w:t>
            </w:r>
            <w:r>
              <w:rPr>
                <w:spacing w:val="-7"/>
                <w:sz w:val="18"/>
              </w:rPr>
              <w:t xml:space="preserve"> </w:t>
            </w:r>
            <w:r>
              <w:rPr>
                <w:sz w:val="18"/>
              </w:rPr>
              <w:t>ownership.</w:t>
            </w:r>
            <w:r>
              <w:rPr>
                <w:spacing w:val="-6"/>
                <w:sz w:val="18"/>
              </w:rPr>
              <w:t xml:space="preserve"> </w:t>
            </w:r>
            <w:r>
              <w:rPr>
                <w:sz w:val="18"/>
              </w:rPr>
              <w:t>(TB</w:t>
            </w:r>
            <w:r>
              <w:rPr>
                <w:spacing w:val="-8"/>
                <w:sz w:val="18"/>
              </w:rPr>
              <w:t xml:space="preserve"> </w:t>
            </w:r>
            <w:r>
              <w:rPr>
                <w:sz w:val="18"/>
              </w:rPr>
              <w:t>2025-1,</w:t>
            </w:r>
            <w:r>
              <w:rPr>
                <w:spacing w:val="-6"/>
                <w:sz w:val="18"/>
              </w:rPr>
              <w:t xml:space="preserve"> </w:t>
            </w:r>
            <w:r>
              <w:rPr>
                <w:sz w:val="18"/>
              </w:rPr>
              <w:t>para.</w:t>
            </w:r>
            <w:r>
              <w:rPr>
                <w:spacing w:val="-7"/>
                <w:sz w:val="18"/>
              </w:rPr>
              <w:t xml:space="preserve"> </w:t>
            </w:r>
            <w:r>
              <w:rPr>
                <w:sz w:val="18"/>
              </w:rPr>
              <w:t>17)</w:t>
            </w:r>
          </w:p>
          <w:p w14:paraId="0DFDC599" w14:textId="77777777" w:rsidR="00046465" w:rsidRDefault="008134EB">
            <w:pPr>
              <w:pStyle w:val="TableParagraph"/>
              <w:numPr>
                <w:ilvl w:val="0"/>
                <w:numId w:val="86"/>
              </w:numPr>
              <w:tabs>
                <w:tab w:val="left" w:pos="317"/>
                <w:tab w:val="left" w:pos="320"/>
              </w:tabs>
              <w:spacing w:before="57"/>
              <w:ind w:right="596" w:hanging="188"/>
              <w:rPr>
                <w:sz w:val="18"/>
              </w:rPr>
            </w:pPr>
            <w:r>
              <w:rPr>
                <w:sz w:val="18"/>
              </w:rPr>
              <w:t>For</w:t>
            </w:r>
            <w:r>
              <w:rPr>
                <w:spacing w:val="-3"/>
                <w:sz w:val="18"/>
              </w:rPr>
              <w:t xml:space="preserve"> </w:t>
            </w:r>
            <w:r>
              <w:rPr>
                <w:sz w:val="18"/>
              </w:rPr>
              <w:t>each</w:t>
            </w:r>
            <w:r>
              <w:rPr>
                <w:spacing w:val="-4"/>
                <w:sz w:val="18"/>
              </w:rPr>
              <w:t xml:space="preserve"> </w:t>
            </w:r>
            <w:r>
              <w:rPr>
                <w:sz w:val="18"/>
              </w:rPr>
              <w:t>selected</w:t>
            </w:r>
            <w:r>
              <w:rPr>
                <w:spacing w:val="-4"/>
                <w:sz w:val="18"/>
              </w:rPr>
              <w:t xml:space="preserve"> </w:t>
            </w:r>
            <w:r>
              <w:rPr>
                <w:sz w:val="18"/>
              </w:rPr>
              <w:t>item</w:t>
            </w:r>
            <w:r>
              <w:rPr>
                <w:spacing w:val="-3"/>
                <w:sz w:val="18"/>
              </w:rPr>
              <w:t xml:space="preserve"> </w:t>
            </w:r>
            <w:r>
              <w:rPr>
                <w:sz w:val="18"/>
              </w:rPr>
              <w:t>of</w:t>
            </w:r>
            <w:r>
              <w:rPr>
                <w:spacing w:val="-3"/>
                <w:sz w:val="18"/>
              </w:rPr>
              <w:t xml:space="preserve"> </w:t>
            </w:r>
            <w:r>
              <w:rPr>
                <w:sz w:val="18"/>
              </w:rPr>
              <w:t>recorded</w:t>
            </w:r>
            <w:r>
              <w:rPr>
                <w:spacing w:val="-4"/>
                <w:sz w:val="18"/>
              </w:rPr>
              <w:t xml:space="preserve"> </w:t>
            </w:r>
            <w:r>
              <w:rPr>
                <w:sz w:val="18"/>
              </w:rPr>
              <w:t>land,</w:t>
            </w:r>
            <w:r>
              <w:rPr>
                <w:spacing w:val="-3"/>
                <w:sz w:val="18"/>
              </w:rPr>
              <w:t xml:space="preserve"> </w:t>
            </w:r>
            <w:r>
              <w:rPr>
                <w:sz w:val="18"/>
              </w:rPr>
              <w:t>compare</w:t>
            </w:r>
            <w:r>
              <w:rPr>
                <w:spacing w:val="-4"/>
                <w:sz w:val="18"/>
              </w:rPr>
              <w:t xml:space="preserve"> </w:t>
            </w:r>
            <w:r>
              <w:rPr>
                <w:sz w:val="18"/>
              </w:rPr>
              <w:t>the</w:t>
            </w:r>
            <w:r>
              <w:rPr>
                <w:spacing w:val="-4"/>
                <w:sz w:val="18"/>
              </w:rPr>
              <w:t xml:space="preserve"> </w:t>
            </w:r>
            <w:r>
              <w:rPr>
                <w:sz w:val="18"/>
              </w:rPr>
              <w:t>recorded</w:t>
            </w:r>
            <w:r>
              <w:rPr>
                <w:spacing w:val="-4"/>
                <w:sz w:val="18"/>
              </w:rPr>
              <w:t xml:space="preserve"> </w:t>
            </w:r>
            <w:r>
              <w:rPr>
                <w:sz w:val="18"/>
              </w:rPr>
              <w:t>land</w:t>
            </w:r>
            <w:r>
              <w:rPr>
                <w:spacing w:val="-4"/>
                <w:sz w:val="18"/>
              </w:rPr>
              <w:t xml:space="preserve"> </w:t>
            </w:r>
            <w:r>
              <w:rPr>
                <w:sz w:val="18"/>
              </w:rPr>
              <w:t>to</w:t>
            </w:r>
            <w:r>
              <w:rPr>
                <w:spacing w:val="-4"/>
                <w:sz w:val="18"/>
              </w:rPr>
              <w:t xml:space="preserve"> </w:t>
            </w:r>
            <w:r>
              <w:rPr>
                <w:sz w:val="18"/>
              </w:rPr>
              <w:t>source documentation to confirm that the entity has been assigned responsibility for</w:t>
            </w:r>
          </w:p>
          <w:p w14:paraId="0DFDC59A" w14:textId="77777777" w:rsidR="00046465" w:rsidRDefault="008134EB">
            <w:pPr>
              <w:pStyle w:val="TableParagraph"/>
              <w:spacing w:line="186" w:lineRule="exact"/>
              <w:ind w:left="320"/>
              <w:rPr>
                <w:sz w:val="18"/>
              </w:rPr>
            </w:pPr>
            <w:r>
              <w:rPr>
                <w:sz w:val="18"/>
              </w:rPr>
              <w:t>managing</w:t>
            </w:r>
            <w:r>
              <w:rPr>
                <w:spacing w:val="-4"/>
                <w:sz w:val="18"/>
              </w:rPr>
              <w:t xml:space="preserve"> </w:t>
            </w:r>
            <w:r>
              <w:rPr>
                <w:sz w:val="18"/>
              </w:rPr>
              <w:t>the</w:t>
            </w:r>
            <w:r>
              <w:rPr>
                <w:spacing w:val="-3"/>
                <w:sz w:val="18"/>
              </w:rPr>
              <w:t xml:space="preserve"> </w:t>
            </w:r>
            <w:r>
              <w:rPr>
                <w:spacing w:val="-2"/>
                <w:sz w:val="18"/>
              </w:rPr>
              <w:t>land.</w:t>
            </w:r>
          </w:p>
        </w:tc>
      </w:tr>
      <w:tr w:rsidR="00046465" w14:paraId="0DFDC5A3" w14:textId="77777777">
        <w:trPr>
          <w:trHeight w:val="4757"/>
        </w:trPr>
        <w:tc>
          <w:tcPr>
            <w:tcW w:w="2210" w:type="dxa"/>
          </w:tcPr>
          <w:p w14:paraId="0DFDC59C" w14:textId="77777777" w:rsidR="00046465" w:rsidRDefault="008134EB">
            <w:pPr>
              <w:pStyle w:val="TableParagraph"/>
              <w:spacing w:line="204" w:lineRule="exact"/>
              <w:ind w:left="62"/>
              <w:rPr>
                <w:b/>
                <w:sz w:val="18"/>
              </w:rPr>
            </w:pPr>
            <w:r>
              <w:rPr>
                <w:b/>
                <w:spacing w:val="-2"/>
                <w:sz w:val="18"/>
              </w:rPr>
              <w:t>Presentation</w:t>
            </w:r>
          </w:p>
        </w:tc>
        <w:tc>
          <w:tcPr>
            <w:tcW w:w="7140" w:type="dxa"/>
          </w:tcPr>
          <w:p w14:paraId="0DFDC59D" w14:textId="77777777" w:rsidR="00046465" w:rsidRDefault="008134EB">
            <w:pPr>
              <w:pStyle w:val="TableParagraph"/>
              <w:numPr>
                <w:ilvl w:val="0"/>
                <w:numId w:val="85"/>
              </w:numPr>
              <w:tabs>
                <w:tab w:val="left" w:pos="317"/>
                <w:tab w:val="left" w:pos="320"/>
              </w:tabs>
              <w:ind w:right="448" w:hanging="188"/>
            </w:pPr>
            <w:r>
              <w:rPr>
                <w:sz w:val="18"/>
              </w:rPr>
              <w:t>Determine</w:t>
            </w:r>
            <w:r>
              <w:rPr>
                <w:spacing w:val="-5"/>
                <w:sz w:val="18"/>
              </w:rPr>
              <w:t xml:space="preserve"> </w:t>
            </w:r>
            <w:r>
              <w:rPr>
                <w:sz w:val="18"/>
              </w:rPr>
              <w:t>whether</w:t>
            </w:r>
            <w:r>
              <w:rPr>
                <w:spacing w:val="-4"/>
                <w:sz w:val="18"/>
              </w:rPr>
              <w:t xml:space="preserve"> </w:t>
            </w:r>
            <w:r>
              <w:rPr>
                <w:sz w:val="18"/>
              </w:rPr>
              <w:t>the</w:t>
            </w:r>
            <w:r>
              <w:rPr>
                <w:spacing w:val="-5"/>
                <w:sz w:val="18"/>
              </w:rPr>
              <w:t xml:space="preserve"> </w:t>
            </w:r>
            <w:r>
              <w:rPr>
                <w:sz w:val="18"/>
              </w:rPr>
              <w:t>entity’s</w:t>
            </w:r>
            <w:r>
              <w:rPr>
                <w:spacing w:val="-3"/>
                <w:sz w:val="18"/>
              </w:rPr>
              <w:t xml:space="preserve"> </w:t>
            </w:r>
            <w:r>
              <w:rPr>
                <w:sz w:val="18"/>
              </w:rPr>
              <w:t>note</w:t>
            </w:r>
            <w:r>
              <w:rPr>
                <w:spacing w:val="-5"/>
                <w:sz w:val="18"/>
              </w:rPr>
              <w:t xml:space="preserve"> </w:t>
            </w:r>
            <w:r>
              <w:rPr>
                <w:sz w:val="18"/>
              </w:rPr>
              <w:t>disclosure</w:t>
            </w:r>
            <w:r>
              <w:rPr>
                <w:spacing w:val="-5"/>
                <w:sz w:val="18"/>
              </w:rPr>
              <w:t xml:space="preserve"> </w:t>
            </w:r>
            <w:r>
              <w:rPr>
                <w:sz w:val="18"/>
              </w:rPr>
              <w:t>narrative</w:t>
            </w:r>
            <w:r>
              <w:rPr>
                <w:spacing w:val="-5"/>
                <w:sz w:val="18"/>
              </w:rPr>
              <w:t xml:space="preserve"> </w:t>
            </w:r>
            <w:r>
              <w:rPr>
                <w:sz w:val="18"/>
              </w:rPr>
              <w:t>for</w:t>
            </w:r>
            <w:r>
              <w:rPr>
                <w:spacing w:val="-4"/>
                <w:sz w:val="18"/>
              </w:rPr>
              <w:t xml:space="preserve"> </w:t>
            </w:r>
            <w:r>
              <w:rPr>
                <w:sz w:val="18"/>
              </w:rPr>
              <w:t>land</w:t>
            </w:r>
            <w:r>
              <w:rPr>
                <w:spacing w:val="-5"/>
                <w:sz w:val="18"/>
              </w:rPr>
              <w:t xml:space="preserve"> </w:t>
            </w:r>
            <w:r>
              <w:rPr>
                <w:sz w:val="18"/>
              </w:rPr>
              <w:t>is</w:t>
            </w:r>
            <w:r>
              <w:rPr>
                <w:spacing w:val="-4"/>
                <w:sz w:val="18"/>
              </w:rPr>
              <w:t xml:space="preserve"> </w:t>
            </w:r>
            <w:r>
              <w:rPr>
                <w:sz w:val="18"/>
              </w:rPr>
              <w:t>appropriately and</w:t>
            </w:r>
            <w:r>
              <w:rPr>
                <w:spacing w:val="-1"/>
                <w:sz w:val="18"/>
              </w:rPr>
              <w:t xml:space="preserve"> </w:t>
            </w:r>
            <w:r>
              <w:rPr>
                <w:sz w:val="18"/>
              </w:rPr>
              <w:t>clearly</w:t>
            </w:r>
            <w:r>
              <w:rPr>
                <w:spacing w:val="-1"/>
                <w:sz w:val="18"/>
              </w:rPr>
              <w:t xml:space="preserve"> </w:t>
            </w:r>
            <w:r>
              <w:rPr>
                <w:sz w:val="18"/>
              </w:rPr>
              <w:t>presented</w:t>
            </w:r>
            <w:r>
              <w:rPr>
                <w:spacing w:val="-1"/>
                <w:sz w:val="18"/>
              </w:rPr>
              <w:t xml:space="preserve"> </w:t>
            </w:r>
            <w:r>
              <w:rPr>
                <w:sz w:val="18"/>
              </w:rPr>
              <w:t>and</w:t>
            </w:r>
            <w:r>
              <w:rPr>
                <w:spacing w:val="-1"/>
                <w:sz w:val="18"/>
              </w:rPr>
              <w:t xml:space="preserve"> </w:t>
            </w:r>
            <w:r>
              <w:rPr>
                <w:sz w:val="18"/>
              </w:rPr>
              <w:t>described</w:t>
            </w:r>
            <w:r>
              <w:rPr>
                <w:spacing w:val="-1"/>
                <w:sz w:val="18"/>
              </w:rPr>
              <w:t xml:space="preserve"> </w:t>
            </w:r>
            <w:r>
              <w:rPr>
                <w:sz w:val="18"/>
              </w:rPr>
              <w:t>in</w:t>
            </w:r>
            <w:r>
              <w:rPr>
                <w:spacing w:val="-1"/>
                <w:sz w:val="18"/>
              </w:rPr>
              <w:t xml:space="preserve"> </w:t>
            </w:r>
            <w:r>
              <w:rPr>
                <w:sz w:val="18"/>
              </w:rPr>
              <w:t>accordance</w:t>
            </w:r>
            <w:r>
              <w:rPr>
                <w:spacing w:val="-1"/>
                <w:sz w:val="18"/>
              </w:rPr>
              <w:t xml:space="preserve"> </w:t>
            </w:r>
            <w:r>
              <w:rPr>
                <w:sz w:val="18"/>
              </w:rPr>
              <w:t>with</w:t>
            </w:r>
            <w:r>
              <w:rPr>
                <w:spacing w:val="-1"/>
                <w:sz w:val="18"/>
              </w:rPr>
              <w:t xml:space="preserve"> </w:t>
            </w:r>
            <w:r>
              <w:rPr>
                <w:sz w:val="18"/>
              </w:rPr>
              <w:t>SFFAS</w:t>
            </w:r>
            <w:r>
              <w:rPr>
                <w:spacing w:val="-1"/>
                <w:sz w:val="18"/>
              </w:rPr>
              <w:t xml:space="preserve"> </w:t>
            </w:r>
            <w:r>
              <w:rPr>
                <w:sz w:val="18"/>
              </w:rPr>
              <w:t>59, TB 2025-1, and OMB Circular A-136</w:t>
            </w:r>
            <w:r>
              <w:t>.</w:t>
            </w:r>
          </w:p>
          <w:p w14:paraId="0DFDC59E" w14:textId="77777777" w:rsidR="00046465" w:rsidRDefault="008134EB">
            <w:pPr>
              <w:pStyle w:val="TableParagraph"/>
              <w:numPr>
                <w:ilvl w:val="0"/>
                <w:numId w:val="85"/>
              </w:numPr>
              <w:tabs>
                <w:tab w:val="left" w:pos="317"/>
                <w:tab w:val="left" w:pos="320"/>
              </w:tabs>
              <w:spacing w:before="56"/>
              <w:ind w:right="433" w:hanging="188"/>
              <w:rPr>
                <w:sz w:val="18"/>
              </w:rPr>
            </w:pPr>
            <w:r>
              <w:rPr>
                <w:sz w:val="18"/>
              </w:rPr>
              <w:t>Determine</w:t>
            </w:r>
            <w:r>
              <w:rPr>
                <w:spacing w:val="-8"/>
                <w:sz w:val="18"/>
              </w:rPr>
              <w:t xml:space="preserve"> </w:t>
            </w:r>
            <w:r>
              <w:rPr>
                <w:sz w:val="18"/>
              </w:rPr>
              <w:t>whether</w:t>
            </w:r>
            <w:r>
              <w:rPr>
                <w:spacing w:val="-8"/>
                <w:sz w:val="18"/>
              </w:rPr>
              <w:t xml:space="preserve"> </w:t>
            </w:r>
            <w:r>
              <w:rPr>
                <w:sz w:val="18"/>
              </w:rPr>
              <w:t>the</w:t>
            </w:r>
            <w:r>
              <w:rPr>
                <w:spacing w:val="-8"/>
                <w:sz w:val="18"/>
              </w:rPr>
              <w:t xml:space="preserve"> </w:t>
            </w:r>
            <w:r>
              <w:rPr>
                <w:sz w:val="18"/>
              </w:rPr>
              <w:t>reported</w:t>
            </w:r>
            <w:r>
              <w:rPr>
                <w:spacing w:val="-8"/>
                <w:sz w:val="18"/>
              </w:rPr>
              <w:t xml:space="preserve"> </w:t>
            </w:r>
            <w:r>
              <w:rPr>
                <w:sz w:val="18"/>
              </w:rPr>
              <w:t>land</w:t>
            </w:r>
            <w:r>
              <w:rPr>
                <w:spacing w:val="-8"/>
                <w:sz w:val="18"/>
              </w:rPr>
              <w:t xml:space="preserve"> </w:t>
            </w:r>
            <w:r>
              <w:rPr>
                <w:sz w:val="18"/>
              </w:rPr>
              <w:t>information</w:t>
            </w:r>
            <w:r>
              <w:rPr>
                <w:spacing w:val="-8"/>
                <w:sz w:val="18"/>
              </w:rPr>
              <w:t xml:space="preserve"> </w:t>
            </w:r>
            <w:r>
              <w:rPr>
                <w:sz w:val="18"/>
              </w:rPr>
              <w:t>for</w:t>
            </w:r>
            <w:r>
              <w:rPr>
                <w:spacing w:val="-8"/>
                <w:sz w:val="18"/>
              </w:rPr>
              <w:t xml:space="preserve"> </w:t>
            </w:r>
            <w:r>
              <w:rPr>
                <w:sz w:val="18"/>
              </w:rPr>
              <w:t>acreage</w:t>
            </w:r>
            <w:r>
              <w:rPr>
                <w:spacing w:val="-7"/>
                <w:sz w:val="18"/>
              </w:rPr>
              <w:t xml:space="preserve"> </w:t>
            </w:r>
            <w:r>
              <w:rPr>
                <w:sz w:val="18"/>
              </w:rPr>
              <w:t>and</w:t>
            </w:r>
            <w:r>
              <w:rPr>
                <w:spacing w:val="-8"/>
                <w:sz w:val="18"/>
              </w:rPr>
              <w:t xml:space="preserve"> </w:t>
            </w:r>
            <w:r>
              <w:rPr>
                <w:sz w:val="18"/>
              </w:rPr>
              <w:t>its</w:t>
            </w:r>
            <w:r>
              <w:rPr>
                <w:spacing w:val="-8"/>
                <w:sz w:val="18"/>
              </w:rPr>
              <w:t xml:space="preserve"> </w:t>
            </w:r>
            <w:r>
              <w:rPr>
                <w:sz w:val="18"/>
              </w:rPr>
              <w:t xml:space="preserve">aggregation into the predominant use subcategories agree with the underlying records and </w:t>
            </w:r>
            <w:r>
              <w:rPr>
                <w:spacing w:val="-2"/>
                <w:sz w:val="18"/>
              </w:rPr>
              <w:t>reports.</w:t>
            </w:r>
          </w:p>
          <w:p w14:paraId="0DFDC59F" w14:textId="77777777" w:rsidR="00046465" w:rsidRDefault="008134EB">
            <w:pPr>
              <w:pStyle w:val="TableParagraph"/>
              <w:numPr>
                <w:ilvl w:val="0"/>
                <w:numId w:val="85"/>
              </w:numPr>
              <w:tabs>
                <w:tab w:val="left" w:pos="317"/>
                <w:tab w:val="left" w:pos="320"/>
              </w:tabs>
              <w:spacing w:before="58"/>
              <w:ind w:right="477" w:hanging="188"/>
              <w:rPr>
                <w:sz w:val="18"/>
              </w:rPr>
            </w:pPr>
            <w:r>
              <w:rPr>
                <w:sz w:val="18"/>
              </w:rPr>
              <w:t>For</w:t>
            </w:r>
            <w:r>
              <w:rPr>
                <w:spacing w:val="-3"/>
                <w:sz w:val="18"/>
              </w:rPr>
              <w:t xml:space="preserve"> </w:t>
            </w:r>
            <w:r>
              <w:rPr>
                <w:sz w:val="18"/>
              </w:rPr>
              <w:t>each</w:t>
            </w:r>
            <w:r>
              <w:rPr>
                <w:spacing w:val="-4"/>
                <w:sz w:val="18"/>
              </w:rPr>
              <w:t xml:space="preserve"> </w:t>
            </w:r>
            <w:r>
              <w:rPr>
                <w:sz w:val="18"/>
              </w:rPr>
              <w:t>selected</w:t>
            </w:r>
            <w:r>
              <w:rPr>
                <w:spacing w:val="-4"/>
                <w:sz w:val="18"/>
              </w:rPr>
              <w:t xml:space="preserve"> </w:t>
            </w:r>
            <w:r>
              <w:rPr>
                <w:sz w:val="18"/>
              </w:rPr>
              <w:t>item</w:t>
            </w:r>
            <w:r>
              <w:rPr>
                <w:spacing w:val="-3"/>
                <w:sz w:val="18"/>
              </w:rPr>
              <w:t xml:space="preserve"> </w:t>
            </w:r>
            <w:r>
              <w:rPr>
                <w:sz w:val="18"/>
              </w:rPr>
              <w:t>of</w:t>
            </w:r>
            <w:r>
              <w:rPr>
                <w:spacing w:val="-3"/>
                <w:sz w:val="18"/>
              </w:rPr>
              <w:t xml:space="preserve"> </w:t>
            </w:r>
            <w:r>
              <w:rPr>
                <w:sz w:val="18"/>
              </w:rPr>
              <w:t>recorded</w:t>
            </w:r>
            <w:r>
              <w:rPr>
                <w:spacing w:val="-4"/>
                <w:sz w:val="18"/>
              </w:rPr>
              <w:t xml:space="preserve"> </w:t>
            </w:r>
            <w:r>
              <w:rPr>
                <w:sz w:val="18"/>
              </w:rPr>
              <w:t>land,</w:t>
            </w:r>
            <w:r>
              <w:rPr>
                <w:spacing w:val="-3"/>
                <w:sz w:val="18"/>
              </w:rPr>
              <w:t xml:space="preserve"> </w:t>
            </w:r>
            <w:r>
              <w:rPr>
                <w:sz w:val="18"/>
              </w:rPr>
              <w:t>determine</w:t>
            </w:r>
            <w:r>
              <w:rPr>
                <w:spacing w:val="-4"/>
                <w:sz w:val="18"/>
              </w:rPr>
              <w:t xml:space="preserve"> </w:t>
            </w:r>
            <w:r>
              <w:rPr>
                <w:sz w:val="18"/>
              </w:rPr>
              <w:t>whether</w:t>
            </w:r>
            <w:r>
              <w:rPr>
                <w:spacing w:val="-3"/>
                <w:sz w:val="18"/>
              </w:rPr>
              <w:t xml:space="preserve"> </w:t>
            </w:r>
            <w:r>
              <w:rPr>
                <w:sz w:val="18"/>
              </w:rPr>
              <w:t>the</w:t>
            </w:r>
            <w:r>
              <w:rPr>
                <w:spacing w:val="-4"/>
                <w:sz w:val="18"/>
              </w:rPr>
              <w:t xml:space="preserve"> </w:t>
            </w:r>
            <w:r>
              <w:rPr>
                <w:sz w:val="18"/>
              </w:rPr>
              <w:t>classification</w:t>
            </w:r>
            <w:r>
              <w:rPr>
                <w:spacing w:val="-4"/>
                <w:sz w:val="18"/>
              </w:rPr>
              <w:t xml:space="preserve"> </w:t>
            </w:r>
            <w:r>
              <w:rPr>
                <w:sz w:val="18"/>
              </w:rPr>
              <w:t>of acreage</w:t>
            </w:r>
            <w:r>
              <w:rPr>
                <w:spacing w:val="-3"/>
                <w:sz w:val="18"/>
              </w:rPr>
              <w:t xml:space="preserve"> </w:t>
            </w:r>
            <w:r>
              <w:rPr>
                <w:sz w:val="18"/>
              </w:rPr>
              <w:t>for</w:t>
            </w:r>
            <w:r>
              <w:rPr>
                <w:spacing w:val="-2"/>
                <w:sz w:val="18"/>
              </w:rPr>
              <w:t xml:space="preserve"> </w:t>
            </w:r>
            <w:r>
              <w:rPr>
                <w:sz w:val="18"/>
              </w:rPr>
              <w:t>the</w:t>
            </w:r>
            <w:r>
              <w:rPr>
                <w:spacing w:val="-1"/>
                <w:sz w:val="18"/>
              </w:rPr>
              <w:t xml:space="preserve"> </w:t>
            </w:r>
            <w:r>
              <w:rPr>
                <w:sz w:val="18"/>
              </w:rPr>
              <w:t>related</w:t>
            </w:r>
            <w:r>
              <w:rPr>
                <w:spacing w:val="-3"/>
                <w:sz w:val="18"/>
              </w:rPr>
              <w:t xml:space="preserve"> </w:t>
            </w:r>
            <w:r>
              <w:rPr>
                <w:sz w:val="18"/>
              </w:rPr>
              <w:t>predominant</w:t>
            </w:r>
            <w:r>
              <w:rPr>
                <w:spacing w:val="-2"/>
                <w:sz w:val="18"/>
              </w:rPr>
              <w:t xml:space="preserve"> </w:t>
            </w:r>
            <w:r>
              <w:rPr>
                <w:sz w:val="18"/>
              </w:rPr>
              <w:t>use</w:t>
            </w:r>
            <w:r>
              <w:rPr>
                <w:spacing w:val="-3"/>
                <w:sz w:val="18"/>
              </w:rPr>
              <w:t xml:space="preserve"> </w:t>
            </w:r>
            <w:r>
              <w:rPr>
                <w:sz w:val="18"/>
              </w:rPr>
              <w:t>subcategory</w:t>
            </w:r>
            <w:r>
              <w:rPr>
                <w:spacing w:val="-2"/>
                <w:sz w:val="18"/>
              </w:rPr>
              <w:t xml:space="preserve"> </w:t>
            </w:r>
            <w:r>
              <w:rPr>
                <w:sz w:val="18"/>
              </w:rPr>
              <w:t>is</w:t>
            </w:r>
            <w:r>
              <w:rPr>
                <w:spacing w:val="-2"/>
                <w:sz w:val="18"/>
              </w:rPr>
              <w:t xml:space="preserve"> </w:t>
            </w:r>
            <w:r>
              <w:rPr>
                <w:sz w:val="18"/>
              </w:rPr>
              <w:t>supported</w:t>
            </w:r>
            <w:r>
              <w:rPr>
                <w:spacing w:val="-3"/>
                <w:sz w:val="18"/>
              </w:rPr>
              <w:t xml:space="preserve"> </w:t>
            </w:r>
            <w:r>
              <w:rPr>
                <w:sz w:val="18"/>
              </w:rPr>
              <w:t>by</w:t>
            </w:r>
            <w:r>
              <w:rPr>
                <w:spacing w:val="-2"/>
                <w:sz w:val="18"/>
              </w:rPr>
              <w:t xml:space="preserve"> </w:t>
            </w:r>
            <w:r>
              <w:rPr>
                <w:sz w:val="18"/>
              </w:rPr>
              <w:t xml:space="preserve">sufficient, appropriate evidence based on the entity’s mission, how the entity views the PP&amp;E land and stewardship land for management purposes, and materiality </w:t>
            </w:r>
            <w:r>
              <w:rPr>
                <w:spacing w:val="-2"/>
                <w:sz w:val="18"/>
              </w:rPr>
              <w:t>considerations.</w:t>
            </w:r>
          </w:p>
          <w:p w14:paraId="0DFDC5A0" w14:textId="77777777" w:rsidR="00046465" w:rsidRDefault="008134EB">
            <w:pPr>
              <w:pStyle w:val="TableParagraph"/>
              <w:numPr>
                <w:ilvl w:val="0"/>
                <w:numId w:val="85"/>
              </w:numPr>
              <w:tabs>
                <w:tab w:val="left" w:pos="317"/>
                <w:tab w:val="left" w:pos="320"/>
              </w:tabs>
              <w:spacing w:before="58"/>
              <w:ind w:right="356" w:hanging="188"/>
              <w:rPr>
                <w:sz w:val="18"/>
              </w:rPr>
            </w:pPr>
            <w:r>
              <w:rPr>
                <w:sz w:val="18"/>
              </w:rPr>
              <w:t>For</w:t>
            </w:r>
            <w:r>
              <w:rPr>
                <w:spacing w:val="-3"/>
                <w:sz w:val="18"/>
              </w:rPr>
              <w:t xml:space="preserve"> </w:t>
            </w:r>
            <w:r>
              <w:rPr>
                <w:sz w:val="18"/>
              </w:rPr>
              <w:t>each</w:t>
            </w:r>
            <w:r>
              <w:rPr>
                <w:spacing w:val="-4"/>
                <w:sz w:val="18"/>
              </w:rPr>
              <w:t xml:space="preserve"> </w:t>
            </w:r>
            <w:r>
              <w:rPr>
                <w:sz w:val="18"/>
              </w:rPr>
              <w:t>selected</w:t>
            </w:r>
            <w:r>
              <w:rPr>
                <w:spacing w:val="-4"/>
                <w:sz w:val="18"/>
              </w:rPr>
              <w:t xml:space="preserve"> </w:t>
            </w:r>
            <w:r>
              <w:rPr>
                <w:sz w:val="18"/>
              </w:rPr>
              <w:t>item</w:t>
            </w:r>
            <w:r>
              <w:rPr>
                <w:spacing w:val="-3"/>
                <w:sz w:val="18"/>
              </w:rPr>
              <w:t xml:space="preserve"> </w:t>
            </w:r>
            <w:r>
              <w:rPr>
                <w:sz w:val="18"/>
              </w:rPr>
              <w:t>of</w:t>
            </w:r>
            <w:r>
              <w:rPr>
                <w:spacing w:val="-3"/>
                <w:sz w:val="18"/>
              </w:rPr>
              <w:t xml:space="preserve"> </w:t>
            </w:r>
            <w:r>
              <w:rPr>
                <w:sz w:val="18"/>
              </w:rPr>
              <w:t>recorded</w:t>
            </w:r>
            <w:r>
              <w:rPr>
                <w:spacing w:val="-4"/>
                <w:sz w:val="18"/>
              </w:rPr>
              <w:t xml:space="preserve"> </w:t>
            </w:r>
            <w:r>
              <w:rPr>
                <w:sz w:val="18"/>
              </w:rPr>
              <w:t>land,</w:t>
            </w:r>
            <w:r>
              <w:rPr>
                <w:spacing w:val="-3"/>
                <w:sz w:val="18"/>
              </w:rPr>
              <w:t xml:space="preserve"> </w:t>
            </w:r>
            <w:r>
              <w:rPr>
                <w:sz w:val="18"/>
              </w:rPr>
              <w:t>determine</w:t>
            </w:r>
            <w:r>
              <w:rPr>
                <w:spacing w:val="-4"/>
                <w:sz w:val="18"/>
              </w:rPr>
              <w:t xml:space="preserve"> </w:t>
            </w:r>
            <w:r>
              <w:rPr>
                <w:sz w:val="18"/>
              </w:rPr>
              <w:t>whether</w:t>
            </w:r>
            <w:r>
              <w:rPr>
                <w:spacing w:val="-3"/>
                <w:sz w:val="18"/>
              </w:rPr>
              <w:t xml:space="preserve"> </w:t>
            </w:r>
            <w:r>
              <w:rPr>
                <w:sz w:val="18"/>
              </w:rPr>
              <w:t>the</w:t>
            </w:r>
            <w:r>
              <w:rPr>
                <w:spacing w:val="-4"/>
                <w:sz w:val="18"/>
              </w:rPr>
              <w:t xml:space="preserve"> </w:t>
            </w:r>
            <w:r>
              <w:rPr>
                <w:sz w:val="18"/>
              </w:rPr>
              <w:t>predominant</w:t>
            </w:r>
            <w:r>
              <w:rPr>
                <w:spacing w:val="-3"/>
                <w:sz w:val="18"/>
              </w:rPr>
              <w:t xml:space="preserve"> </w:t>
            </w:r>
            <w:r>
              <w:rPr>
                <w:sz w:val="18"/>
              </w:rPr>
              <w:t>use is</w:t>
            </w:r>
            <w:r>
              <w:rPr>
                <w:spacing w:val="-1"/>
                <w:sz w:val="18"/>
              </w:rPr>
              <w:t xml:space="preserve"> </w:t>
            </w:r>
            <w:r>
              <w:rPr>
                <w:sz w:val="18"/>
              </w:rPr>
              <w:t>the</w:t>
            </w:r>
            <w:r>
              <w:rPr>
                <w:spacing w:val="-5"/>
                <w:sz w:val="18"/>
              </w:rPr>
              <w:t xml:space="preserve"> </w:t>
            </w:r>
            <w:r>
              <w:rPr>
                <w:sz w:val="18"/>
              </w:rPr>
              <w:t>major</w:t>
            </w:r>
            <w:r>
              <w:rPr>
                <w:spacing w:val="-3"/>
                <w:sz w:val="18"/>
              </w:rPr>
              <w:t xml:space="preserve"> </w:t>
            </w:r>
            <w:r>
              <w:rPr>
                <w:sz w:val="18"/>
              </w:rPr>
              <w:t>or</w:t>
            </w:r>
            <w:r>
              <w:rPr>
                <w:spacing w:val="-2"/>
                <w:sz w:val="18"/>
              </w:rPr>
              <w:t xml:space="preserve"> </w:t>
            </w:r>
            <w:r>
              <w:rPr>
                <w:sz w:val="18"/>
              </w:rPr>
              <w:t>primary</w:t>
            </w:r>
            <w:r>
              <w:rPr>
                <w:spacing w:val="-3"/>
                <w:sz w:val="18"/>
              </w:rPr>
              <w:t xml:space="preserve"> </w:t>
            </w:r>
            <w:r>
              <w:rPr>
                <w:sz w:val="18"/>
              </w:rPr>
              <w:t>current</w:t>
            </w:r>
            <w:r>
              <w:rPr>
                <w:spacing w:val="-2"/>
                <w:sz w:val="18"/>
              </w:rPr>
              <w:t xml:space="preserve"> </w:t>
            </w:r>
            <w:r>
              <w:rPr>
                <w:sz w:val="18"/>
              </w:rPr>
              <w:t>use</w:t>
            </w:r>
            <w:r>
              <w:rPr>
                <w:spacing w:val="-5"/>
                <w:sz w:val="18"/>
              </w:rPr>
              <w:t xml:space="preserve"> </w:t>
            </w:r>
            <w:r>
              <w:rPr>
                <w:sz w:val="18"/>
              </w:rPr>
              <w:t>of</w:t>
            </w:r>
            <w:r>
              <w:rPr>
                <w:spacing w:val="-3"/>
                <w:sz w:val="18"/>
              </w:rPr>
              <w:t xml:space="preserve"> </w:t>
            </w:r>
            <w:r>
              <w:rPr>
                <w:sz w:val="18"/>
              </w:rPr>
              <w:t>PP&amp;E</w:t>
            </w:r>
            <w:r>
              <w:rPr>
                <w:spacing w:val="-3"/>
                <w:sz w:val="18"/>
              </w:rPr>
              <w:t xml:space="preserve"> </w:t>
            </w:r>
            <w:r>
              <w:rPr>
                <w:sz w:val="18"/>
              </w:rPr>
              <w:t>land</w:t>
            </w:r>
            <w:r>
              <w:rPr>
                <w:spacing w:val="-4"/>
                <w:sz w:val="18"/>
              </w:rPr>
              <w:t xml:space="preserve"> </w:t>
            </w:r>
            <w:r>
              <w:rPr>
                <w:sz w:val="18"/>
              </w:rPr>
              <w:t>and</w:t>
            </w:r>
            <w:r>
              <w:rPr>
                <w:spacing w:val="-5"/>
                <w:sz w:val="18"/>
              </w:rPr>
              <w:t xml:space="preserve"> </w:t>
            </w:r>
            <w:r>
              <w:rPr>
                <w:sz w:val="18"/>
              </w:rPr>
              <w:t>stewardship</w:t>
            </w:r>
            <w:r>
              <w:rPr>
                <w:spacing w:val="-5"/>
                <w:sz w:val="18"/>
              </w:rPr>
              <w:t xml:space="preserve"> </w:t>
            </w:r>
            <w:r>
              <w:rPr>
                <w:sz w:val="18"/>
              </w:rPr>
              <w:t>land</w:t>
            </w:r>
            <w:r>
              <w:rPr>
                <w:spacing w:val="-3"/>
                <w:sz w:val="18"/>
              </w:rPr>
              <w:t xml:space="preserve"> </w:t>
            </w:r>
            <w:r>
              <w:rPr>
                <w:sz w:val="18"/>
              </w:rPr>
              <w:t>at</w:t>
            </w:r>
            <w:r>
              <w:rPr>
                <w:spacing w:val="-3"/>
                <w:sz w:val="18"/>
              </w:rPr>
              <w:t xml:space="preserve"> </w:t>
            </w:r>
            <w:r>
              <w:rPr>
                <w:sz w:val="18"/>
              </w:rPr>
              <w:t>the</w:t>
            </w:r>
            <w:r>
              <w:rPr>
                <w:spacing w:val="-5"/>
                <w:sz w:val="18"/>
              </w:rPr>
              <w:t xml:space="preserve"> </w:t>
            </w:r>
            <w:r>
              <w:rPr>
                <w:sz w:val="18"/>
              </w:rPr>
              <w:t xml:space="preserve">end of the reporting period and is not based on incidental or infrequent uses of that </w:t>
            </w:r>
            <w:r>
              <w:rPr>
                <w:spacing w:val="-4"/>
                <w:sz w:val="18"/>
              </w:rPr>
              <w:t>land.</w:t>
            </w:r>
          </w:p>
          <w:p w14:paraId="0DFDC5A1" w14:textId="77777777" w:rsidR="00046465" w:rsidRDefault="008134EB">
            <w:pPr>
              <w:pStyle w:val="TableParagraph"/>
              <w:numPr>
                <w:ilvl w:val="0"/>
                <w:numId w:val="85"/>
              </w:numPr>
              <w:tabs>
                <w:tab w:val="left" w:pos="317"/>
                <w:tab w:val="left" w:pos="320"/>
              </w:tabs>
              <w:spacing w:before="56"/>
              <w:ind w:right="176" w:hanging="188"/>
              <w:rPr>
                <w:sz w:val="18"/>
              </w:rPr>
            </w:pPr>
            <w:r>
              <w:rPr>
                <w:sz w:val="18"/>
              </w:rPr>
              <w:t>For</w:t>
            </w:r>
            <w:r>
              <w:rPr>
                <w:spacing w:val="-3"/>
                <w:sz w:val="18"/>
              </w:rPr>
              <w:t xml:space="preserve"> </w:t>
            </w:r>
            <w:r>
              <w:rPr>
                <w:sz w:val="18"/>
              </w:rPr>
              <w:t>each</w:t>
            </w:r>
            <w:r>
              <w:rPr>
                <w:spacing w:val="-4"/>
                <w:sz w:val="18"/>
              </w:rPr>
              <w:t xml:space="preserve"> </w:t>
            </w:r>
            <w:r>
              <w:rPr>
                <w:sz w:val="18"/>
              </w:rPr>
              <w:t>selected</w:t>
            </w:r>
            <w:r>
              <w:rPr>
                <w:spacing w:val="-4"/>
                <w:sz w:val="18"/>
              </w:rPr>
              <w:t xml:space="preserve"> </w:t>
            </w:r>
            <w:r>
              <w:rPr>
                <w:sz w:val="18"/>
              </w:rPr>
              <w:t>item</w:t>
            </w:r>
            <w:r>
              <w:rPr>
                <w:spacing w:val="-3"/>
                <w:sz w:val="18"/>
              </w:rPr>
              <w:t xml:space="preserve"> </w:t>
            </w:r>
            <w:r>
              <w:rPr>
                <w:sz w:val="18"/>
              </w:rPr>
              <w:t>of</w:t>
            </w:r>
            <w:r>
              <w:rPr>
                <w:spacing w:val="-3"/>
                <w:sz w:val="18"/>
              </w:rPr>
              <w:t xml:space="preserve"> </w:t>
            </w:r>
            <w:r>
              <w:rPr>
                <w:sz w:val="18"/>
              </w:rPr>
              <w:t>recorded</w:t>
            </w:r>
            <w:r>
              <w:rPr>
                <w:spacing w:val="-4"/>
                <w:sz w:val="18"/>
              </w:rPr>
              <w:t xml:space="preserve"> </w:t>
            </w:r>
            <w:r>
              <w:rPr>
                <w:sz w:val="18"/>
              </w:rPr>
              <w:t>land,</w:t>
            </w:r>
            <w:r>
              <w:rPr>
                <w:spacing w:val="-3"/>
                <w:sz w:val="18"/>
              </w:rPr>
              <w:t xml:space="preserve"> </w:t>
            </w:r>
            <w:r>
              <w:rPr>
                <w:sz w:val="18"/>
              </w:rPr>
              <w:t>determine</w:t>
            </w:r>
            <w:r>
              <w:rPr>
                <w:spacing w:val="-4"/>
                <w:sz w:val="18"/>
              </w:rPr>
              <w:t xml:space="preserve"> </w:t>
            </w:r>
            <w:r>
              <w:rPr>
                <w:sz w:val="18"/>
              </w:rPr>
              <w:t>whether</w:t>
            </w:r>
            <w:r>
              <w:rPr>
                <w:spacing w:val="-3"/>
                <w:sz w:val="18"/>
              </w:rPr>
              <w:t xml:space="preserve"> </w:t>
            </w:r>
            <w:r>
              <w:rPr>
                <w:sz w:val="18"/>
              </w:rPr>
              <w:t>the</w:t>
            </w:r>
            <w:r>
              <w:rPr>
                <w:spacing w:val="-4"/>
                <w:sz w:val="18"/>
              </w:rPr>
              <w:t xml:space="preserve"> </w:t>
            </w:r>
            <w:r>
              <w:rPr>
                <w:sz w:val="18"/>
              </w:rPr>
              <w:t>predominant</w:t>
            </w:r>
            <w:r>
              <w:rPr>
                <w:spacing w:val="-3"/>
                <w:sz w:val="18"/>
              </w:rPr>
              <w:t xml:space="preserve"> </w:t>
            </w:r>
            <w:r>
              <w:rPr>
                <w:sz w:val="18"/>
              </w:rPr>
              <w:t>use</w:t>
            </w:r>
            <w:r>
              <w:rPr>
                <w:spacing w:val="-4"/>
                <w:sz w:val="18"/>
              </w:rPr>
              <w:t xml:space="preserve"> </w:t>
            </w:r>
            <w:r>
              <w:rPr>
                <w:sz w:val="18"/>
              </w:rPr>
              <w:t>is consistent with the entity’s authorizing legislation. Note that the predominant use may not always be consistent with the original intent or reason why the land was initially acquired and can change between reporting periods.</w:t>
            </w:r>
          </w:p>
          <w:p w14:paraId="0DFDC5A2" w14:textId="77777777" w:rsidR="00046465" w:rsidRDefault="008134EB">
            <w:pPr>
              <w:pStyle w:val="TableParagraph"/>
              <w:numPr>
                <w:ilvl w:val="0"/>
                <w:numId w:val="85"/>
              </w:numPr>
              <w:tabs>
                <w:tab w:val="left" w:pos="317"/>
                <w:tab w:val="left" w:pos="320"/>
              </w:tabs>
              <w:spacing w:before="51" w:line="206" w:lineRule="exact"/>
              <w:ind w:right="1172" w:hanging="188"/>
              <w:rPr>
                <w:sz w:val="18"/>
              </w:rPr>
            </w:pPr>
            <w:r>
              <w:rPr>
                <w:sz w:val="18"/>
              </w:rPr>
              <w:t>Determine</w:t>
            </w:r>
            <w:r>
              <w:rPr>
                <w:spacing w:val="-8"/>
                <w:sz w:val="18"/>
              </w:rPr>
              <w:t xml:space="preserve"> </w:t>
            </w:r>
            <w:r>
              <w:rPr>
                <w:sz w:val="18"/>
              </w:rPr>
              <w:t>whether</w:t>
            </w:r>
            <w:r>
              <w:rPr>
                <w:spacing w:val="-8"/>
                <w:sz w:val="18"/>
              </w:rPr>
              <w:t xml:space="preserve"> </w:t>
            </w:r>
            <w:r>
              <w:rPr>
                <w:sz w:val="18"/>
              </w:rPr>
              <w:t>the</w:t>
            </w:r>
            <w:r>
              <w:rPr>
                <w:spacing w:val="-8"/>
                <w:sz w:val="18"/>
              </w:rPr>
              <w:t xml:space="preserve"> </w:t>
            </w:r>
            <w:r>
              <w:rPr>
                <w:sz w:val="18"/>
              </w:rPr>
              <w:t>aggregation</w:t>
            </w:r>
            <w:r>
              <w:rPr>
                <w:spacing w:val="-8"/>
                <w:sz w:val="18"/>
              </w:rPr>
              <w:t xml:space="preserve"> </w:t>
            </w:r>
            <w:r>
              <w:rPr>
                <w:sz w:val="18"/>
              </w:rPr>
              <w:t>of</w:t>
            </w:r>
            <w:r>
              <w:rPr>
                <w:spacing w:val="-7"/>
                <w:sz w:val="18"/>
              </w:rPr>
              <w:t xml:space="preserve"> </w:t>
            </w:r>
            <w:r>
              <w:rPr>
                <w:sz w:val="18"/>
              </w:rPr>
              <w:t>the</w:t>
            </w:r>
            <w:r>
              <w:rPr>
                <w:spacing w:val="-8"/>
                <w:sz w:val="18"/>
              </w:rPr>
              <w:t xml:space="preserve"> </w:t>
            </w:r>
            <w:r>
              <w:rPr>
                <w:sz w:val="18"/>
              </w:rPr>
              <w:t>data</w:t>
            </w:r>
            <w:r>
              <w:rPr>
                <w:spacing w:val="-8"/>
                <w:sz w:val="18"/>
              </w:rPr>
              <w:t xml:space="preserve"> </w:t>
            </w:r>
            <w:r>
              <w:rPr>
                <w:sz w:val="18"/>
              </w:rPr>
              <w:t>for</w:t>
            </w:r>
            <w:r>
              <w:rPr>
                <w:spacing w:val="-8"/>
                <w:sz w:val="18"/>
              </w:rPr>
              <w:t xml:space="preserve"> </w:t>
            </w:r>
            <w:r>
              <w:rPr>
                <w:sz w:val="18"/>
              </w:rPr>
              <w:t>the</w:t>
            </w:r>
            <w:r>
              <w:rPr>
                <w:spacing w:val="-8"/>
                <w:sz w:val="18"/>
              </w:rPr>
              <w:t xml:space="preserve"> </w:t>
            </w:r>
            <w:r>
              <w:rPr>
                <w:sz w:val="18"/>
              </w:rPr>
              <w:t>predominant</w:t>
            </w:r>
            <w:r>
              <w:rPr>
                <w:spacing w:val="-7"/>
                <w:sz w:val="18"/>
              </w:rPr>
              <w:t xml:space="preserve"> </w:t>
            </w:r>
            <w:r>
              <w:rPr>
                <w:sz w:val="18"/>
              </w:rPr>
              <w:t>use subcategories is appropriate.</w:t>
            </w:r>
          </w:p>
        </w:tc>
      </w:tr>
    </w:tbl>
    <w:p w14:paraId="0DFDC5A4" w14:textId="77777777" w:rsidR="00046465" w:rsidRDefault="008134EB">
      <w:pPr>
        <w:spacing w:before="63"/>
        <w:ind w:left="360"/>
        <w:rPr>
          <w:sz w:val="18"/>
        </w:rPr>
      </w:pPr>
      <w:r>
        <w:rPr>
          <w:position w:val="6"/>
          <w:sz w:val="12"/>
        </w:rPr>
        <w:t>a</w:t>
      </w:r>
      <w:r>
        <w:rPr>
          <w:sz w:val="18"/>
        </w:rPr>
        <w:t>There</w:t>
      </w:r>
      <w:r>
        <w:rPr>
          <w:spacing w:val="-11"/>
          <w:sz w:val="18"/>
        </w:rPr>
        <w:t xml:space="preserve"> </w:t>
      </w:r>
      <w:r>
        <w:rPr>
          <w:sz w:val="18"/>
        </w:rPr>
        <w:t>may</w:t>
      </w:r>
      <w:r>
        <w:rPr>
          <w:spacing w:val="-4"/>
          <w:sz w:val="18"/>
        </w:rPr>
        <w:t xml:space="preserve"> </w:t>
      </w:r>
      <w:r>
        <w:rPr>
          <w:sz w:val="18"/>
        </w:rPr>
        <w:t>be</w:t>
      </w:r>
      <w:r>
        <w:rPr>
          <w:spacing w:val="-3"/>
          <w:sz w:val="18"/>
        </w:rPr>
        <w:t xml:space="preserve"> </w:t>
      </w:r>
      <w:r>
        <w:rPr>
          <w:sz w:val="18"/>
        </w:rPr>
        <w:t>forms</w:t>
      </w:r>
      <w:r>
        <w:rPr>
          <w:spacing w:val="-6"/>
          <w:sz w:val="18"/>
        </w:rPr>
        <w:t xml:space="preserve"> </w:t>
      </w:r>
      <w:r>
        <w:rPr>
          <w:sz w:val="18"/>
        </w:rPr>
        <w:t>of</w:t>
      </w:r>
      <w:r>
        <w:rPr>
          <w:spacing w:val="-4"/>
          <w:sz w:val="18"/>
        </w:rPr>
        <w:t xml:space="preserve"> </w:t>
      </w:r>
      <w:r>
        <w:rPr>
          <w:sz w:val="18"/>
        </w:rPr>
        <w:t>evidence</w:t>
      </w:r>
      <w:r>
        <w:rPr>
          <w:spacing w:val="-6"/>
          <w:sz w:val="18"/>
        </w:rPr>
        <w:t xml:space="preserve"> </w:t>
      </w:r>
      <w:r>
        <w:rPr>
          <w:sz w:val="18"/>
        </w:rPr>
        <w:t>that</w:t>
      </w:r>
      <w:r>
        <w:rPr>
          <w:spacing w:val="-5"/>
          <w:sz w:val="18"/>
        </w:rPr>
        <w:t xml:space="preserve"> </w:t>
      </w:r>
      <w:r>
        <w:rPr>
          <w:sz w:val="18"/>
        </w:rPr>
        <w:t>address</w:t>
      </w:r>
      <w:r>
        <w:rPr>
          <w:spacing w:val="-3"/>
          <w:sz w:val="18"/>
        </w:rPr>
        <w:t xml:space="preserve"> </w:t>
      </w:r>
      <w:r>
        <w:rPr>
          <w:sz w:val="18"/>
        </w:rPr>
        <w:t>multiple</w:t>
      </w:r>
      <w:r>
        <w:rPr>
          <w:spacing w:val="-6"/>
          <w:sz w:val="18"/>
        </w:rPr>
        <w:t xml:space="preserve"> </w:t>
      </w:r>
      <w:r>
        <w:rPr>
          <w:sz w:val="18"/>
        </w:rPr>
        <w:t>assertions</w:t>
      </w:r>
      <w:r>
        <w:rPr>
          <w:spacing w:val="-4"/>
          <w:sz w:val="18"/>
        </w:rPr>
        <w:t xml:space="preserve"> </w:t>
      </w:r>
      <w:r>
        <w:rPr>
          <w:sz w:val="18"/>
        </w:rPr>
        <w:t>(e.g.,</w:t>
      </w:r>
      <w:r>
        <w:rPr>
          <w:spacing w:val="-5"/>
          <w:sz w:val="18"/>
        </w:rPr>
        <w:t xml:space="preserve"> </w:t>
      </w:r>
      <w:r>
        <w:rPr>
          <w:sz w:val="18"/>
        </w:rPr>
        <w:t>existence,</w:t>
      </w:r>
      <w:r>
        <w:rPr>
          <w:spacing w:val="-4"/>
          <w:sz w:val="18"/>
        </w:rPr>
        <w:t xml:space="preserve"> </w:t>
      </w:r>
      <w:r>
        <w:rPr>
          <w:sz w:val="18"/>
        </w:rPr>
        <w:t>accuracy,</w:t>
      </w:r>
      <w:r>
        <w:rPr>
          <w:spacing w:val="-4"/>
          <w:sz w:val="18"/>
        </w:rPr>
        <w:t xml:space="preserve"> </w:t>
      </w:r>
      <w:r>
        <w:rPr>
          <w:sz w:val="18"/>
        </w:rPr>
        <w:t>and</w:t>
      </w:r>
      <w:r>
        <w:rPr>
          <w:spacing w:val="-6"/>
          <w:sz w:val="18"/>
        </w:rPr>
        <w:t xml:space="preserve"> </w:t>
      </w:r>
      <w:r>
        <w:rPr>
          <w:spacing w:val="-2"/>
          <w:sz w:val="18"/>
        </w:rPr>
        <w:t>rights).</w:t>
      </w:r>
    </w:p>
    <w:p w14:paraId="0DFDC5A5" w14:textId="77777777" w:rsidR="00046465" w:rsidRDefault="00046465">
      <w:pPr>
        <w:rPr>
          <w:sz w:val="18"/>
        </w:rPr>
        <w:sectPr w:rsidR="00046465">
          <w:pgSz w:w="12240" w:h="15840"/>
          <w:pgMar w:top="1340" w:right="720" w:bottom="940" w:left="1080" w:header="721" w:footer="757" w:gutter="0"/>
          <w:cols w:space="720"/>
        </w:sectPr>
      </w:pPr>
    </w:p>
    <w:p w14:paraId="0DFDC5A6" w14:textId="77777777" w:rsidR="00046465" w:rsidRDefault="008134EB">
      <w:pPr>
        <w:spacing w:before="121"/>
        <w:ind w:left="392"/>
        <w:rPr>
          <w:b/>
          <w:sz w:val="24"/>
        </w:rPr>
      </w:pPr>
      <w:bookmarkStart w:id="329" w:name="Activity_Testing"/>
      <w:bookmarkEnd w:id="329"/>
      <w:r>
        <w:rPr>
          <w:b/>
          <w:sz w:val="24"/>
        </w:rPr>
        <w:lastRenderedPageBreak/>
        <w:t>Activity</w:t>
      </w:r>
      <w:r>
        <w:rPr>
          <w:b/>
          <w:spacing w:val="-4"/>
          <w:sz w:val="24"/>
        </w:rPr>
        <w:t xml:space="preserve"> </w:t>
      </w:r>
      <w:r>
        <w:rPr>
          <w:b/>
          <w:spacing w:val="-2"/>
          <w:sz w:val="24"/>
        </w:rPr>
        <w:t>Testing</w:t>
      </w:r>
    </w:p>
    <w:p w14:paraId="0DFDC5A7" w14:textId="77777777" w:rsidR="00046465" w:rsidRDefault="008134EB">
      <w:pPr>
        <w:pStyle w:val="ListParagraph"/>
        <w:numPr>
          <w:ilvl w:val="0"/>
          <w:numId w:val="107"/>
        </w:numPr>
        <w:tabs>
          <w:tab w:val="left" w:pos="1800"/>
        </w:tabs>
        <w:ind w:right="982"/>
      </w:pPr>
      <w:r>
        <w:t>The auditor</w:t>
      </w:r>
      <w:r>
        <w:rPr>
          <w:spacing w:val="-1"/>
        </w:rPr>
        <w:t xml:space="preserve"> </w:t>
      </w:r>
      <w:r>
        <w:t>should obtain a reconciliation of changes in acreage of PP&amp;E land and</w:t>
      </w:r>
      <w:r>
        <w:rPr>
          <w:spacing w:val="-5"/>
        </w:rPr>
        <w:t xml:space="preserve"> </w:t>
      </w:r>
      <w:r>
        <w:t>stewardship</w:t>
      </w:r>
      <w:r>
        <w:rPr>
          <w:spacing w:val="-5"/>
        </w:rPr>
        <w:t xml:space="preserve"> </w:t>
      </w:r>
      <w:r>
        <w:t>land</w:t>
      </w:r>
      <w:r>
        <w:rPr>
          <w:spacing w:val="-5"/>
        </w:rPr>
        <w:t xml:space="preserve"> </w:t>
      </w:r>
      <w:r>
        <w:t>(i.e.,</w:t>
      </w:r>
      <w:r>
        <w:rPr>
          <w:spacing w:val="-5"/>
        </w:rPr>
        <w:t xml:space="preserve"> </w:t>
      </w:r>
      <w:r>
        <w:t>opening</w:t>
      </w:r>
      <w:r>
        <w:rPr>
          <w:spacing w:val="-6"/>
        </w:rPr>
        <w:t xml:space="preserve"> </w:t>
      </w:r>
      <w:r>
        <w:t>acreage,</w:t>
      </w:r>
      <w:r>
        <w:rPr>
          <w:spacing w:val="-5"/>
        </w:rPr>
        <w:t xml:space="preserve"> </w:t>
      </w:r>
      <w:r>
        <w:t>increases,</w:t>
      </w:r>
      <w:r>
        <w:rPr>
          <w:spacing w:val="-5"/>
        </w:rPr>
        <w:t xml:space="preserve"> </w:t>
      </w:r>
      <w:r>
        <w:t>decreases,</w:t>
      </w:r>
      <w:r>
        <w:rPr>
          <w:spacing w:val="-5"/>
        </w:rPr>
        <w:t xml:space="preserve"> </w:t>
      </w:r>
      <w:r>
        <w:t>changes</w:t>
      </w:r>
      <w:r>
        <w:rPr>
          <w:spacing w:val="-5"/>
        </w:rPr>
        <w:t xml:space="preserve"> </w:t>
      </w:r>
      <w:r>
        <w:t>in category between PP&amp;E land and stewardship land, changes in predominant use, and ending acreage).</w:t>
      </w:r>
    </w:p>
    <w:p w14:paraId="0DFDC5A8" w14:textId="77777777" w:rsidR="00046465" w:rsidRDefault="008134EB">
      <w:pPr>
        <w:pStyle w:val="ListParagraph"/>
        <w:numPr>
          <w:ilvl w:val="0"/>
          <w:numId w:val="107"/>
        </w:numPr>
        <w:tabs>
          <w:tab w:val="left" w:pos="1800"/>
        </w:tabs>
        <w:ind w:right="936"/>
      </w:pPr>
      <w:r>
        <w:t>To</w:t>
      </w:r>
      <w:r>
        <w:rPr>
          <w:spacing w:val="-4"/>
        </w:rPr>
        <w:t xml:space="preserve"> </w:t>
      </w:r>
      <w:r>
        <w:t>substantively</w:t>
      </w:r>
      <w:r>
        <w:rPr>
          <w:spacing w:val="-4"/>
        </w:rPr>
        <w:t xml:space="preserve"> </w:t>
      </w:r>
      <w:r>
        <w:t>test</w:t>
      </w:r>
      <w:r>
        <w:rPr>
          <w:spacing w:val="-4"/>
        </w:rPr>
        <w:t xml:space="preserve"> </w:t>
      </w:r>
      <w:r>
        <w:t>land</w:t>
      </w:r>
      <w:r>
        <w:rPr>
          <w:spacing w:val="-4"/>
        </w:rPr>
        <w:t xml:space="preserve"> </w:t>
      </w:r>
      <w:r>
        <w:t>activity</w:t>
      </w:r>
      <w:r>
        <w:rPr>
          <w:spacing w:val="-3"/>
        </w:rPr>
        <w:t xml:space="preserve"> </w:t>
      </w:r>
      <w:r>
        <w:t>for</w:t>
      </w:r>
      <w:r>
        <w:rPr>
          <w:spacing w:val="-5"/>
        </w:rPr>
        <w:t xml:space="preserve"> </w:t>
      </w:r>
      <w:r>
        <w:t>each</w:t>
      </w:r>
      <w:r>
        <w:rPr>
          <w:spacing w:val="-4"/>
        </w:rPr>
        <w:t xml:space="preserve"> </w:t>
      </w:r>
      <w:r>
        <w:t>significant</w:t>
      </w:r>
      <w:r>
        <w:rPr>
          <w:spacing w:val="-4"/>
        </w:rPr>
        <w:t xml:space="preserve"> </w:t>
      </w:r>
      <w:r>
        <w:t>assertion,</w:t>
      </w:r>
      <w:r>
        <w:rPr>
          <w:spacing w:val="-4"/>
        </w:rPr>
        <w:t xml:space="preserve"> </w:t>
      </w:r>
      <w:r>
        <w:t>the</w:t>
      </w:r>
      <w:r>
        <w:rPr>
          <w:spacing w:val="-4"/>
        </w:rPr>
        <w:t xml:space="preserve"> </w:t>
      </w:r>
      <w:r>
        <w:t>auditor</w:t>
      </w:r>
      <w:r>
        <w:rPr>
          <w:spacing w:val="-4"/>
        </w:rPr>
        <w:t xml:space="preserve"> </w:t>
      </w:r>
      <w:r>
        <w:t>may do the following:</w:t>
      </w:r>
    </w:p>
    <w:p w14:paraId="0DFDC5A9" w14:textId="77777777" w:rsidR="00046465" w:rsidRDefault="008134EB">
      <w:pPr>
        <w:pStyle w:val="ListParagraph"/>
        <w:numPr>
          <w:ilvl w:val="1"/>
          <w:numId w:val="107"/>
        </w:numPr>
        <w:tabs>
          <w:tab w:val="left" w:pos="2158"/>
          <w:tab w:val="left" w:pos="2160"/>
        </w:tabs>
        <w:ind w:right="842" w:hanging="361"/>
      </w:pPr>
      <w:r>
        <w:t>Select</w:t>
      </w:r>
      <w:r>
        <w:rPr>
          <w:spacing w:val="-3"/>
        </w:rPr>
        <w:t xml:space="preserve"> </w:t>
      </w:r>
      <w:r>
        <w:t>items</w:t>
      </w:r>
      <w:r>
        <w:rPr>
          <w:spacing w:val="-4"/>
        </w:rPr>
        <w:t xml:space="preserve"> </w:t>
      </w:r>
      <w:r>
        <w:t>from</w:t>
      </w:r>
      <w:r>
        <w:rPr>
          <w:spacing w:val="-4"/>
        </w:rPr>
        <w:t xml:space="preserve"> </w:t>
      </w:r>
      <w:r>
        <w:t>a</w:t>
      </w:r>
      <w:r>
        <w:rPr>
          <w:spacing w:val="-3"/>
        </w:rPr>
        <w:t xml:space="preserve"> </w:t>
      </w:r>
      <w:r>
        <w:t>population</w:t>
      </w:r>
      <w:r>
        <w:rPr>
          <w:spacing w:val="-3"/>
        </w:rPr>
        <w:t xml:space="preserve"> </w:t>
      </w:r>
      <w:r>
        <w:t>of</w:t>
      </w:r>
      <w:r>
        <w:rPr>
          <w:spacing w:val="-3"/>
        </w:rPr>
        <w:t xml:space="preserve"> </w:t>
      </w:r>
      <w:r>
        <w:t>land</w:t>
      </w:r>
      <w:r>
        <w:rPr>
          <w:spacing w:val="-3"/>
        </w:rPr>
        <w:t xml:space="preserve"> </w:t>
      </w:r>
      <w:r>
        <w:t>activity</w:t>
      </w:r>
      <w:r>
        <w:rPr>
          <w:spacing w:val="-3"/>
        </w:rPr>
        <w:t xml:space="preserve"> </w:t>
      </w:r>
      <w:r>
        <w:t>during</w:t>
      </w:r>
      <w:r>
        <w:rPr>
          <w:spacing w:val="-3"/>
        </w:rPr>
        <w:t xml:space="preserve"> </w:t>
      </w:r>
      <w:r>
        <w:t>the</w:t>
      </w:r>
      <w:r>
        <w:rPr>
          <w:spacing w:val="-3"/>
        </w:rPr>
        <w:t xml:space="preserve"> </w:t>
      </w:r>
      <w:r>
        <w:t>year</w:t>
      </w:r>
      <w:r>
        <w:rPr>
          <w:spacing w:val="-2"/>
        </w:rPr>
        <w:t xml:space="preserve"> </w:t>
      </w:r>
      <w:r>
        <w:t>for</w:t>
      </w:r>
      <w:r>
        <w:rPr>
          <w:spacing w:val="-3"/>
        </w:rPr>
        <w:t xml:space="preserve"> </w:t>
      </w:r>
      <w:r>
        <w:t xml:space="preserve">substantive </w:t>
      </w:r>
      <w:r>
        <w:rPr>
          <w:spacing w:val="-2"/>
        </w:rPr>
        <w:t>testing.</w:t>
      </w:r>
    </w:p>
    <w:p w14:paraId="0DFDC5AA" w14:textId="77777777" w:rsidR="00046465" w:rsidRDefault="008134EB">
      <w:pPr>
        <w:pStyle w:val="ListParagraph"/>
        <w:numPr>
          <w:ilvl w:val="1"/>
          <w:numId w:val="107"/>
        </w:numPr>
        <w:tabs>
          <w:tab w:val="left" w:pos="2159"/>
        </w:tabs>
        <w:spacing w:before="119"/>
        <w:ind w:left="2159" w:hanging="359"/>
      </w:pPr>
      <w:r>
        <w:t>Perform</w:t>
      </w:r>
      <w:r>
        <w:rPr>
          <w:spacing w:val="-8"/>
        </w:rPr>
        <w:t xml:space="preserve"> </w:t>
      </w:r>
      <w:r>
        <w:t>substantive</w:t>
      </w:r>
      <w:r>
        <w:rPr>
          <w:spacing w:val="-7"/>
        </w:rPr>
        <w:t xml:space="preserve"> </w:t>
      </w:r>
      <w:r>
        <w:t>testing</w:t>
      </w:r>
      <w:r>
        <w:rPr>
          <w:spacing w:val="-7"/>
        </w:rPr>
        <w:t xml:space="preserve"> </w:t>
      </w:r>
      <w:r>
        <w:t>of</w:t>
      </w:r>
      <w:r>
        <w:rPr>
          <w:spacing w:val="-7"/>
        </w:rPr>
        <w:t xml:space="preserve"> </w:t>
      </w:r>
      <w:r>
        <w:t>activity</w:t>
      </w:r>
      <w:r>
        <w:rPr>
          <w:spacing w:val="-8"/>
        </w:rPr>
        <w:t xml:space="preserve"> </w:t>
      </w:r>
      <w:r>
        <w:t>described</w:t>
      </w:r>
      <w:r>
        <w:rPr>
          <w:spacing w:val="-8"/>
        </w:rPr>
        <w:t xml:space="preserve"> </w:t>
      </w:r>
      <w:r>
        <w:t>in</w:t>
      </w:r>
      <w:r>
        <w:rPr>
          <w:spacing w:val="-7"/>
        </w:rPr>
        <w:t xml:space="preserve"> </w:t>
      </w:r>
      <w:r>
        <w:t>table</w:t>
      </w:r>
      <w:r>
        <w:rPr>
          <w:spacing w:val="-7"/>
        </w:rPr>
        <w:t xml:space="preserve"> </w:t>
      </w:r>
      <w:r>
        <w:rPr>
          <w:spacing w:val="-2"/>
        </w:rPr>
        <w:t>931.3.</w:t>
      </w:r>
    </w:p>
    <w:p w14:paraId="0DFDC5AB" w14:textId="77777777" w:rsidR="00046465" w:rsidRDefault="008134EB">
      <w:pPr>
        <w:spacing w:before="242"/>
        <w:ind w:left="360"/>
        <w:rPr>
          <w:b/>
          <w:sz w:val="18"/>
        </w:rPr>
      </w:pPr>
      <w:r>
        <w:rPr>
          <w:b/>
          <w:sz w:val="18"/>
        </w:rPr>
        <w:t>Table</w:t>
      </w:r>
      <w:r>
        <w:rPr>
          <w:b/>
          <w:spacing w:val="-4"/>
          <w:sz w:val="18"/>
        </w:rPr>
        <w:t xml:space="preserve"> </w:t>
      </w:r>
      <w:r>
        <w:rPr>
          <w:b/>
          <w:sz w:val="18"/>
        </w:rPr>
        <w:t>931.3:</w:t>
      </w:r>
      <w:r>
        <w:rPr>
          <w:b/>
          <w:spacing w:val="-2"/>
          <w:sz w:val="18"/>
        </w:rPr>
        <w:t xml:space="preserve"> </w:t>
      </w:r>
      <w:r>
        <w:rPr>
          <w:b/>
          <w:sz w:val="18"/>
        </w:rPr>
        <w:t>Substantive</w:t>
      </w:r>
      <w:r>
        <w:rPr>
          <w:b/>
          <w:spacing w:val="-5"/>
          <w:sz w:val="18"/>
        </w:rPr>
        <w:t xml:space="preserve"> </w:t>
      </w:r>
      <w:r>
        <w:rPr>
          <w:b/>
          <w:sz w:val="18"/>
        </w:rPr>
        <w:t>Testing</w:t>
      </w:r>
      <w:r>
        <w:rPr>
          <w:b/>
          <w:spacing w:val="-2"/>
          <w:sz w:val="18"/>
        </w:rPr>
        <w:t xml:space="preserve"> </w:t>
      </w:r>
      <w:r>
        <w:rPr>
          <w:b/>
          <w:sz w:val="18"/>
        </w:rPr>
        <w:t>of</w:t>
      </w:r>
      <w:r>
        <w:rPr>
          <w:b/>
          <w:spacing w:val="-3"/>
          <w:sz w:val="18"/>
        </w:rPr>
        <w:t xml:space="preserve"> </w:t>
      </w:r>
      <w:r>
        <w:rPr>
          <w:b/>
          <w:sz w:val="18"/>
        </w:rPr>
        <w:t>PP&amp;E</w:t>
      </w:r>
      <w:r>
        <w:rPr>
          <w:b/>
          <w:spacing w:val="-3"/>
          <w:sz w:val="18"/>
        </w:rPr>
        <w:t xml:space="preserve"> </w:t>
      </w:r>
      <w:r>
        <w:rPr>
          <w:b/>
          <w:sz w:val="18"/>
        </w:rPr>
        <w:t>Land</w:t>
      </w:r>
      <w:r>
        <w:rPr>
          <w:b/>
          <w:spacing w:val="-2"/>
          <w:sz w:val="18"/>
        </w:rPr>
        <w:t xml:space="preserve"> </w:t>
      </w:r>
      <w:r>
        <w:rPr>
          <w:b/>
          <w:sz w:val="18"/>
        </w:rPr>
        <w:t>and</w:t>
      </w:r>
      <w:r>
        <w:rPr>
          <w:b/>
          <w:spacing w:val="-3"/>
          <w:sz w:val="18"/>
        </w:rPr>
        <w:t xml:space="preserve"> </w:t>
      </w:r>
      <w:r>
        <w:rPr>
          <w:b/>
          <w:sz w:val="18"/>
        </w:rPr>
        <w:t>Stewardship</w:t>
      </w:r>
      <w:r>
        <w:rPr>
          <w:b/>
          <w:spacing w:val="-2"/>
          <w:sz w:val="18"/>
        </w:rPr>
        <w:t xml:space="preserve"> </w:t>
      </w:r>
      <w:r>
        <w:rPr>
          <w:b/>
          <w:sz w:val="18"/>
        </w:rPr>
        <w:t>Land</w:t>
      </w:r>
      <w:r>
        <w:rPr>
          <w:b/>
          <w:spacing w:val="-2"/>
          <w:sz w:val="18"/>
        </w:rPr>
        <w:t xml:space="preserve"> Activity</w:t>
      </w:r>
    </w:p>
    <w:p w14:paraId="0DFDC5AC" w14:textId="77777777" w:rsidR="00046465" w:rsidRDefault="00046465">
      <w:pPr>
        <w:pStyle w:val="BodyText"/>
        <w:spacing w:before="3"/>
        <w:rPr>
          <w:b/>
          <w:sz w:val="5"/>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2"/>
        <w:gridCol w:w="7591"/>
      </w:tblGrid>
      <w:tr w:rsidR="00046465" w14:paraId="0DFDC5AF" w14:textId="77777777">
        <w:trPr>
          <w:trHeight w:val="285"/>
        </w:trPr>
        <w:tc>
          <w:tcPr>
            <w:tcW w:w="2322" w:type="dxa"/>
            <w:tcBorders>
              <w:bottom w:val="single" w:sz="12" w:space="0" w:color="000000"/>
            </w:tcBorders>
            <w:shd w:val="clear" w:color="auto" w:fill="BEBEBE"/>
          </w:tcPr>
          <w:p w14:paraId="0DFDC5AD" w14:textId="77777777" w:rsidR="00046465" w:rsidRDefault="008134EB">
            <w:pPr>
              <w:pStyle w:val="TableParagraph"/>
              <w:spacing w:before="38"/>
              <w:ind w:left="62"/>
              <w:rPr>
                <w:b/>
                <w:sz w:val="18"/>
              </w:rPr>
            </w:pPr>
            <w:r>
              <w:rPr>
                <w:b/>
                <w:spacing w:val="-2"/>
                <w:sz w:val="18"/>
              </w:rPr>
              <w:t>Assertion</w:t>
            </w:r>
          </w:p>
        </w:tc>
        <w:tc>
          <w:tcPr>
            <w:tcW w:w="7591" w:type="dxa"/>
            <w:tcBorders>
              <w:bottom w:val="single" w:sz="12" w:space="0" w:color="000000"/>
            </w:tcBorders>
            <w:shd w:val="clear" w:color="auto" w:fill="BEBEBE"/>
          </w:tcPr>
          <w:p w14:paraId="0DFDC5AE" w14:textId="77777777" w:rsidR="00046465" w:rsidRDefault="008134EB">
            <w:pPr>
              <w:pStyle w:val="TableParagraph"/>
              <w:spacing w:before="38"/>
              <w:ind w:left="62"/>
              <w:rPr>
                <w:b/>
                <w:sz w:val="18"/>
              </w:rPr>
            </w:pPr>
            <w:r>
              <w:rPr>
                <w:b/>
                <w:sz w:val="18"/>
              </w:rPr>
              <w:t>Type</w:t>
            </w:r>
            <w:r>
              <w:rPr>
                <w:b/>
                <w:spacing w:val="-2"/>
                <w:sz w:val="18"/>
              </w:rPr>
              <w:t xml:space="preserve"> </w:t>
            </w:r>
            <w:r>
              <w:rPr>
                <w:b/>
                <w:sz w:val="18"/>
              </w:rPr>
              <w:t xml:space="preserve">of </w:t>
            </w:r>
            <w:r>
              <w:rPr>
                <w:b/>
                <w:spacing w:val="-4"/>
                <w:sz w:val="18"/>
              </w:rPr>
              <w:t>test</w:t>
            </w:r>
          </w:p>
        </w:tc>
      </w:tr>
      <w:tr w:rsidR="00046465" w14:paraId="0DFDC5B2" w14:textId="77777777">
        <w:trPr>
          <w:trHeight w:val="484"/>
        </w:trPr>
        <w:tc>
          <w:tcPr>
            <w:tcW w:w="2322" w:type="dxa"/>
            <w:tcBorders>
              <w:top w:val="single" w:sz="12" w:space="0" w:color="000000"/>
            </w:tcBorders>
          </w:tcPr>
          <w:p w14:paraId="0DFDC5B0" w14:textId="77777777" w:rsidR="00046465" w:rsidRDefault="008134EB">
            <w:pPr>
              <w:pStyle w:val="TableParagraph"/>
              <w:spacing w:line="204" w:lineRule="exact"/>
              <w:ind w:left="62"/>
              <w:rPr>
                <w:b/>
                <w:sz w:val="18"/>
              </w:rPr>
            </w:pPr>
            <w:r>
              <w:rPr>
                <w:b/>
                <w:spacing w:val="-2"/>
                <w:sz w:val="18"/>
              </w:rPr>
              <w:t>Occurrence</w:t>
            </w:r>
          </w:p>
        </w:tc>
        <w:tc>
          <w:tcPr>
            <w:tcW w:w="7591" w:type="dxa"/>
            <w:tcBorders>
              <w:top w:val="single" w:sz="12" w:space="0" w:color="000000"/>
            </w:tcBorders>
          </w:tcPr>
          <w:p w14:paraId="0DFDC5B1" w14:textId="77777777" w:rsidR="00046465" w:rsidRDefault="008134EB">
            <w:pPr>
              <w:pStyle w:val="TableParagraph"/>
              <w:numPr>
                <w:ilvl w:val="0"/>
                <w:numId w:val="84"/>
              </w:numPr>
              <w:tabs>
                <w:tab w:val="left" w:pos="304"/>
                <w:tab w:val="left" w:pos="306"/>
              </w:tabs>
              <w:ind w:left="306" w:right="722"/>
              <w:rPr>
                <w:sz w:val="18"/>
              </w:rPr>
            </w:pPr>
            <w:r>
              <w:rPr>
                <w:sz w:val="18"/>
              </w:rPr>
              <w:t>For</w:t>
            </w:r>
            <w:r>
              <w:rPr>
                <w:spacing w:val="-7"/>
                <w:sz w:val="18"/>
              </w:rPr>
              <w:t xml:space="preserve"> </w:t>
            </w:r>
            <w:r>
              <w:rPr>
                <w:sz w:val="18"/>
              </w:rPr>
              <w:t>each</w:t>
            </w:r>
            <w:r>
              <w:rPr>
                <w:spacing w:val="-8"/>
                <w:sz w:val="18"/>
              </w:rPr>
              <w:t xml:space="preserve"> </w:t>
            </w:r>
            <w:r>
              <w:rPr>
                <w:sz w:val="18"/>
              </w:rPr>
              <w:t>selected</w:t>
            </w:r>
            <w:r>
              <w:rPr>
                <w:spacing w:val="-5"/>
                <w:sz w:val="18"/>
              </w:rPr>
              <w:t xml:space="preserve"> </w:t>
            </w:r>
            <w:r>
              <w:rPr>
                <w:sz w:val="18"/>
              </w:rPr>
              <w:t>item</w:t>
            </w:r>
            <w:r>
              <w:rPr>
                <w:spacing w:val="-6"/>
                <w:sz w:val="18"/>
              </w:rPr>
              <w:t xml:space="preserve"> </w:t>
            </w:r>
            <w:r>
              <w:rPr>
                <w:sz w:val="18"/>
              </w:rPr>
              <w:t>of</w:t>
            </w:r>
            <w:r>
              <w:rPr>
                <w:spacing w:val="-6"/>
                <w:sz w:val="18"/>
              </w:rPr>
              <w:t xml:space="preserve"> </w:t>
            </w:r>
            <w:r>
              <w:rPr>
                <w:sz w:val="18"/>
              </w:rPr>
              <w:t>recorded</w:t>
            </w:r>
            <w:r>
              <w:rPr>
                <w:spacing w:val="-7"/>
                <w:sz w:val="18"/>
              </w:rPr>
              <w:t xml:space="preserve"> </w:t>
            </w:r>
            <w:r>
              <w:rPr>
                <w:sz w:val="18"/>
              </w:rPr>
              <w:t>land</w:t>
            </w:r>
            <w:r>
              <w:rPr>
                <w:spacing w:val="-8"/>
                <w:sz w:val="18"/>
              </w:rPr>
              <w:t xml:space="preserve"> </w:t>
            </w:r>
            <w:r>
              <w:rPr>
                <w:sz w:val="18"/>
              </w:rPr>
              <w:t>activity</w:t>
            </w:r>
            <w:r>
              <w:rPr>
                <w:spacing w:val="-7"/>
                <w:sz w:val="18"/>
              </w:rPr>
              <w:t xml:space="preserve"> </w:t>
            </w:r>
            <w:r>
              <w:rPr>
                <w:sz w:val="18"/>
              </w:rPr>
              <w:t>and</w:t>
            </w:r>
            <w:r>
              <w:rPr>
                <w:spacing w:val="-8"/>
                <w:sz w:val="18"/>
              </w:rPr>
              <w:t xml:space="preserve"> </w:t>
            </w:r>
            <w:r>
              <w:rPr>
                <w:sz w:val="18"/>
              </w:rPr>
              <w:t>events,</w:t>
            </w:r>
            <w:r>
              <w:rPr>
                <w:spacing w:val="-5"/>
                <w:sz w:val="18"/>
              </w:rPr>
              <w:t xml:space="preserve"> </w:t>
            </w:r>
            <w:r>
              <w:rPr>
                <w:sz w:val="18"/>
              </w:rPr>
              <w:t>determine</w:t>
            </w:r>
            <w:r>
              <w:rPr>
                <w:spacing w:val="-7"/>
                <w:sz w:val="18"/>
              </w:rPr>
              <w:t xml:space="preserve"> </w:t>
            </w:r>
            <w:r>
              <w:rPr>
                <w:sz w:val="18"/>
              </w:rPr>
              <w:t>whether</w:t>
            </w:r>
            <w:r>
              <w:rPr>
                <w:spacing w:val="-7"/>
                <w:sz w:val="18"/>
              </w:rPr>
              <w:t xml:space="preserve"> </w:t>
            </w:r>
            <w:r>
              <w:rPr>
                <w:sz w:val="18"/>
              </w:rPr>
              <w:t>the recorded acreage activity is supported by sufficient, appropriate evidence.</w:t>
            </w:r>
          </w:p>
        </w:tc>
      </w:tr>
      <w:tr w:rsidR="00046465" w14:paraId="0DFDC5B6" w14:textId="77777777">
        <w:trPr>
          <w:trHeight w:val="1386"/>
        </w:trPr>
        <w:tc>
          <w:tcPr>
            <w:tcW w:w="2322" w:type="dxa"/>
          </w:tcPr>
          <w:p w14:paraId="0DFDC5B3" w14:textId="77777777" w:rsidR="00046465" w:rsidRDefault="008134EB">
            <w:pPr>
              <w:pStyle w:val="TableParagraph"/>
              <w:ind w:left="62"/>
              <w:rPr>
                <w:b/>
                <w:sz w:val="18"/>
              </w:rPr>
            </w:pPr>
            <w:r>
              <w:rPr>
                <w:b/>
                <w:spacing w:val="-2"/>
                <w:sz w:val="18"/>
              </w:rPr>
              <w:t>Completeness</w:t>
            </w:r>
          </w:p>
        </w:tc>
        <w:tc>
          <w:tcPr>
            <w:tcW w:w="7591" w:type="dxa"/>
          </w:tcPr>
          <w:p w14:paraId="0DFDC5B4" w14:textId="77777777" w:rsidR="00046465" w:rsidRDefault="008134EB">
            <w:pPr>
              <w:pStyle w:val="TableParagraph"/>
              <w:numPr>
                <w:ilvl w:val="0"/>
                <w:numId w:val="83"/>
              </w:numPr>
              <w:tabs>
                <w:tab w:val="left" w:pos="304"/>
                <w:tab w:val="left" w:pos="306"/>
              </w:tabs>
              <w:ind w:left="306" w:right="501"/>
              <w:rPr>
                <w:sz w:val="18"/>
              </w:rPr>
            </w:pPr>
            <w:r>
              <w:rPr>
                <w:sz w:val="18"/>
              </w:rPr>
              <w:t>Review the reconciliations of the PP&amp;E land’s and stewardship land’s beginning balances,</w:t>
            </w:r>
            <w:r>
              <w:rPr>
                <w:spacing w:val="-6"/>
                <w:sz w:val="18"/>
              </w:rPr>
              <w:t xml:space="preserve"> </w:t>
            </w:r>
            <w:r>
              <w:rPr>
                <w:sz w:val="18"/>
              </w:rPr>
              <w:t>activity</w:t>
            </w:r>
            <w:r>
              <w:rPr>
                <w:spacing w:val="-8"/>
                <w:sz w:val="18"/>
              </w:rPr>
              <w:t xml:space="preserve"> </w:t>
            </w:r>
            <w:r>
              <w:rPr>
                <w:sz w:val="18"/>
              </w:rPr>
              <w:t>during</w:t>
            </w:r>
            <w:r>
              <w:rPr>
                <w:spacing w:val="-8"/>
                <w:sz w:val="18"/>
              </w:rPr>
              <w:t xml:space="preserve"> </w:t>
            </w:r>
            <w:r>
              <w:rPr>
                <w:sz w:val="18"/>
              </w:rPr>
              <w:t>the</w:t>
            </w:r>
            <w:r>
              <w:rPr>
                <w:spacing w:val="-8"/>
                <w:sz w:val="18"/>
              </w:rPr>
              <w:t xml:space="preserve"> </w:t>
            </w:r>
            <w:r>
              <w:rPr>
                <w:sz w:val="18"/>
              </w:rPr>
              <w:t>period,</w:t>
            </w:r>
            <w:r>
              <w:rPr>
                <w:spacing w:val="-7"/>
                <w:sz w:val="18"/>
              </w:rPr>
              <w:t xml:space="preserve"> </w:t>
            </w:r>
            <w:r>
              <w:rPr>
                <w:sz w:val="18"/>
              </w:rPr>
              <w:t>and</w:t>
            </w:r>
            <w:r>
              <w:rPr>
                <w:spacing w:val="-8"/>
                <w:sz w:val="18"/>
              </w:rPr>
              <w:t xml:space="preserve"> </w:t>
            </w:r>
            <w:r>
              <w:rPr>
                <w:sz w:val="18"/>
              </w:rPr>
              <w:t>ending</w:t>
            </w:r>
            <w:r>
              <w:rPr>
                <w:spacing w:val="-8"/>
                <w:sz w:val="18"/>
              </w:rPr>
              <w:t xml:space="preserve"> </w:t>
            </w:r>
            <w:r>
              <w:rPr>
                <w:sz w:val="18"/>
              </w:rPr>
              <w:t>balances</w:t>
            </w:r>
            <w:r>
              <w:rPr>
                <w:spacing w:val="-7"/>
                <w:sz w:val="18"/>
              </w:rPr>
              <w:t xml:space="preserve"> </w:t>
            </w:r>
            <w:r>
              <w:rPr>
                <w:sz w:val="18"/>
              </w:rPr>
              <w:t>for</w:t>
            </w:r>
            <w:r>
              <w:rPr>
                <w:spacing w:val="-8"/>
                <w:sz w:val="18"/>
              </w:rPr>
              <w:t xml:space="preserve"> </w:t>
            </w:r>
            <w:r>
              <w:rPr>
                <w:sz w:val="18"/>
              </w:rPr>
              <w:t>the</w:t>
            </w:r>
            <w:r>
              <w:rPr>
                <w:spacing w:val="-8"/>
                <w:sz w:val="18"/>
              </w:rPr>
              <w:t xml:space="preserve"> </w:t>
            </w:r>
            <w:r>
              <w:rPr>
                <w:sz w:val="18"/>
              </w:rPr>
              <w:t>current</w:t>
            </w:r>
            <w:r>
              <w:rPr>
                <w:spacing w:val="-7"/>
                <w:sz w:val="18"/>
              </w:rPr>
              <w:t xml:space="preserve"> </w:t>
            </w:r>
            <w:r>
              <w:rPr>
                <w:sz w:val="18"/>
              </w:rPr>
              <w:t>period.</w:t>
            </w:r>
            <w:r>
              <w:rPr>
                <w:spacing w:val="-7"/>
                <w:sz w:val="18"/>
              </w:rPr>
              <w:t xml:space="preserve"> </w:t>
            </w:r>
            <w:r>
              <w:rPr>
                <w:sz w:val="18"/>
              </w:rPr>
              <w:t>Trace the</w:t>
            </w:r>
            <w:r>
              <w:rPr>
                <w:spacing w:val="-6"/>
                <w:sz w:val="18"/>
              </w:rPr>
              <w:t xml:space="preserve"> </w:t>
            </w:r>
            <w:r>
              <w:rPr>
                <w:sz w:val="18"/>
              </w:rPr>
              <w:t>beginning</w:t>
            </w:r>
            <w:r>
              <w:rPr>
                <w:spacing w:val="-3"/>
                <w:sz w:val="18"/>
              </w:rPr>
              <w:t xml:space="preserve"> </w:t>
            </w:r>
            <w:r>
              <w:rPr>
                <w:sz w:val="18"/>
              </w:rPr>
              <w:t>and</w:t>
            </w:r>
            <w:r>
              <w:rPr>
                <w:spacing w:val="-3"/>
                <w:sz w:val="18"/>
              </w:rPr>
              <w:t xml:space="preserve"> </w:t>
            </w:r>
            <w:r>
              <w:rPr>
                <w:sz w:val="18"/>
              </w:rPr>
              <w:t>ending</w:t>
            </w:r>
            <w:r>
              <w:rPr>
                <w:spacing w:val="-4"/>
                <w:sz w:val="18"/>
              </w:rPr>
              <w:t xml:space="preserve"> </w:t>
            </w:r>
            <w:r>
              <w:rPr>
                <w:sz w:val="18"/>
              </w:rPr>
              <w:t>balances</w:t>
            </w:r>
            <w:r>
              <w:rPr>
                <w:spacing w:val="-2"/>
                <w:sz w:val="18"/>
              </w:rPr>
              <w:t xml:space="preserve"> </w:t>
            </w:r>
            <w:r>
              <w:rPr>
                <w:sz w:val="18"/>
              </w:rPr>
              <w:t>to</w:t>
            </w:r>
            <w:r>
              <w:rPr>
                <w:spacing w:val="-3"/>
                <w:sz w:val="18"/>
              </w:rPr>
              <w:t xml:space="preserve"> </w:t>
            </w:r>
            <w:r>
              <w:rPr>
                <w:sz w:val="18"/>
              </w:rPr>
              <w:t>the</w:t>
            </w:r>
            <w:r>
              <w:rPr>
                <w:spacing w:val="-4"/>
                <w:sz w:val="18"/>
              </w:rPr>
              <w:t xml:space="preserve"> </w:t>
            </w:r>
            <w:r>
              <w:rPr>
                <w:sz w:val="18"/>
              </w:rPr>
              <w:t>recorded</w:t>
            </w:r>
            <w:r>
              <w:rPr>
                <w:spacing w:val="-3"/>
                <w:sz w:val="18"/>
              </w:rPr>
              <w:t xml:space="preserve"> </w:t>
            </w:r>
            <w:r>
              <w:rPr>
                <w:sz w:val="18"/>
              </w:rPr>
              <w:t>PP&amp;E</w:t>
            </w:r>
            <w:r>
              <w:rPr>
                <w:spacing w:val="-3"/>
                <w:sz w:val="18"/>
              </w:rPr>
              <w:t xml:space="preserve"> </w:t>
            </w:r>
            <w:r>
              <w:rPr>
                <w:sz w:val="18"/>
              </w:rPr>
              <w:t>land</w:t>
            </w:r>
            <w:r>
              <w:rPr>
                <w:spacing w:val="-3"/>
                <w:sz w:val="18"/>
              </w:rPr>
              <w:t xml:space="preserve"> </w:t>
            </w:r>
            <w:r>
              <w:rPr>
                <w:sz w:val="18"/>
              </w:rPr>
              <w:t>and</w:t>
            </w:r>
            <w:r>
              <w:rPr>
                <w:spacing w:val="-3"/>
                <w:sz w:val="18"/>
              </w:rPr>
              <w:t xml:space="preserve"> </w:t>
            </w:r>
            <w:r>
              <w:rPr>
                <w:sz w:val="18"/>
              </w:rPr>
              <w:t>stewardship</w:t>
            </w:r>
            <w:r>
              <w:rPr>
                <w:spacing w:val="-3"/>
                <w:sz w:val="18"/>
              </w:rPr>
              <w:t xml:space="preserve"> </w:t>
            </w:r>
            <w:r>
              <w:rPr>
                <w:spacing w:val="-2"/>
                <w:sz w:val="18"/>
              </w:rPr>
              <w:t>land.</w:t>
            </w:r>
          </w:p>
          <w:p w14:paraId="0DFDC5B5" w14:textId="77777777" w:rsidR="00046465" w:rsidRDefault="008134EB">
            <w:pPr>
              <w:pStyle w:val="TableParagraph"/>
              <w:numPr>
                <w:ilvl w:val="0"/>
                <w:numId w:val="83"/>
              </w:numPr>
              <w:tabs>
                <w:tab w:val="left" w:pos="304"/>
                <w:tab w:val="left" w:pos="306"/>
              </w:tabs>
              <w:spacing w:before="58"/>
              <w:ind w:left="306" w:right="225"/>
              <w:rPr>
                <w:sz w:val="18"/>
              </w:rPr>
            </w:pPr>
            <w:r>
              <w:rPr>
                <w:sz w:val="18"/>
              </w:rPr>
              <w:t>Identify land activity and events that occurred during the period through inquiry of legal counsel</w:t>
            </w:r>
            <w:r>
              <w:rPr>
                <w:spacing w:val="-8"/>
                <w:sz w:val="18"/>
              </w:rPr>
              <w:t xml:space="preserve"> </w:t>
            </w:r>
            <w:r>
              <w:rPr>
                <w:sz w:val="18"/>
              </w:rPr>
              <w:t>and</w:t>
            </w:r>
            <w:r>
              <w:rPr>
                <w:spacing w:val="-8"/>
                <w:sz w:val="18"/>
              </w:rPr>
              <w:t xml:space="preserve"> </w:t>
            </w:r>
            <w:r>
              <w:rPr>
                <w:sz w:val="18"/>
              </w:rPr>
              <w:t>program</w:t>
            </w:r>
            <w:r>
              <w:rPr>
                <w:spacing w:val="-8"/>
                <w:sz w:val="18"/>
              </w:rPr>
              <w:t xml:space="preserve"> </w:t>
            </w:r>
            <w:r>
              <w:rPr>
                <w:sz w:val="18"/>
              </w:rPr>
              <w:t>managers</w:t>
            </w:r>
            <w:r>
              <w:rPr>
                <w:spacing w:val="-8"/>
                <w:sz w:val="18"/>
              </w:rPr>
              <w:t xml:space="preserve"> </w:t>
            </w:r>
            <w:r>
              <w:rPr>
                <w:sz w:val="18"/>
              </w:rPr>
              <w:t>and</w:t>
            </w:r>
            <w:r>
              <w:rPr>
                <w:spacing w:val="-8"/>
                <w:sz w:val="18"/>
              </w:rPr>
              <w:t xml:space="preserve"> </w:t>
            </w:r>
            <w:r>
              <w:rPr>
                <w:sz w:val="18"/>
              </w:rPr>
              <w:t>determine</w:t>
            </w:r>
            <w:r>
              <w:rPr>
                <w:spacing w:val="-8"/>
                <w:sz w:val="18"/>
              </w:rPr>
              <w:t xml:space="preserve"> </w:t>
            </w:r>
            <w:r>
              <w:rPr>
                <w:sz w:val="18"/>
              </w:rPr>
              <w:t>whether</w:t>
            </w:r>
            <w:r>
              <w:rPr>
                <w:spacing w:val="-8"/>
                <w:sz w:val="18"/>
              </w:rPr>
              <w:t xml:space="preserve"> </w:t>
            </w:r>
            <w:r>
              <w:rPr>
                <w:sz w:val="18"/>
              </w:rPr>
              <w:t>the</w:t>
            </w:r>
            <w:r>
              <w:rPr>
                <w:spacing w:val="-7"/>
                <w:sz w:val="18"/>
              </w:rPr>
              <w:t xml:space="preserve"> </w:t>
            </w:r>
            <w:r>
              <w:rPr>
                <w:sz w:val="18"/>
              </w:rPr>
              <w:t>land</w:t>
            </w:r>
            <w:r>
              <w:rPr>
                <w:spacing w:val="-8"/>
                <w:sz w:val="18"/>
              </w:rPr>
              <w:t xml:space="preserve"> </w:t>
            </w:r>
            <w:r>
              <w:rPr>
                <w:sz w:val="18"/>
              </w:rPr>
              <w:t>activity</w:t>
            </w:r>
            <w:r>
              <w:rPr>
                <w:spacing w:val="-8"/>
                <w:sz w:val="18"/>
              </w:rPr>
              <w:t xml:space="preserve"> </w:t>
            </w:r>
            <w:r>
              <w:rPr>
                <w:sz w:val="18"/>
              </w:rPr>
              <w:t>and</w:t>
            </w:r>
            <w:r>
              <w:rPr>
                <w:spacing w:val="-8"/>
                <w:sz w:val="18"/>
              </w:rPr>
              <w:t xml:space="preserve"> </w:t>
            </w:r>
            <w:r>
              <w:rPr>
                <w:sz w:val="18"/>
              </w:rPr>
              <w:t>events</w:t>
            </w:r>
            <w:r>
              <w:rPr>
                <w:spacing w:val="-8"/>
                <w:sz w:val="18"/>
              </w:rPr>
              <w:t xml:space="preserve"> </w:t>
            </w:r>
            <w:r>
              <w:rPr>
                <w:sz w:val="18"/>
              </w:rPr>
              <w:t>were properly recorded in the land records.</w:t>
            </w:r>
          </w:p>
        </w:tc>
      </w:tr>
      <w:tr w:rsidR="00046465" w14:paraId="0DFDC5B9" w14:textId="77777777">
        <w:trPr>
          <w:trHeight w:val="1736"/>
        </w:trPr>
        <w:tc>
          <w:tcPr>
            <w:tcW w:w="2322" w:type="dxa"/>
          </w:tcPr>
          <w:p w14:paraId="0DFDC5B7" w14:textId="77777777" w:rsidR="00046465" w:rsidRDefault="008134EB">
            <w:pPr>
              <w:pStyle w:val="TableParagraph"/>
              <w:spacing w:line="204" w:lineRule="exact"/>
              <w:ind w:left="62"/>
              <w:rPr>
                <w:b/>
                <w:sz w:val="18"/>
              </w:rPr>
            </w:pPr>
            <w:r>
              <w:rPr>
                <w:b/>
                <w:spacing w:val="-2"/>
                <w:sz w:val="18"/>
              </w:rPr>
              <w:t>Accuracy</w:t>
            </w:r>
          </w:p>
        </w:tc>
        <w:tc>
          <w:tcPr>
            <w:tcW w:w="7591" w:type="dxa"/>
          </w:tcPr>
          <w:p w14:paraId="0DFDC5B8" w14:textId="77777777" w:rsidR="00046465" w:rsidRDefault="008134EB">
            <w:pPr>
              <w:pStyle w:val="TableParagraph"/>
              <w:numPr>
                <w:ilvl w:val="0"/>
                <w:numId w:val="82"/>
              </w:numPr>
              <w:tabs>
                <w:tab w:val="left" w:pos="304"/>
                <w:tab w:val="left" w:pos="306"/>
              </w:tabs>
              <w:ind w:right="351"/>
              <w:rPr>
                <w:sz w:val="18"/>
              </w:rPr>
            </w:pPr>
            <w:r>
              <w:rPr>
                <w:sz w:val="18"/>
              </w:rPr>
              <w:t>For each selected item of recorded land activity and events, determine whether the estimate of the acreage is reasonable based on examination of related records. Entity estimates can be based on different underlying sources of data with different measurement and mapping methods. They can be applied at an aggregation level (for example,</w:t>
            </w:r>
            <w:r>
              <w:rPr>
                <w:spacing w:val="-2"/>
                <w:sz w:val="18"/>
              </w:rPr>
              <w:t xml:space="preserve"> </w:t>
            </w:r>
            <w:r>
              <w:rPr>
                <w:sz w:val="18"/>
              </w:rPr>
              <w:t>by</w:t>
            </w:r>
            <w:r>
              <w:rPr>
                <w:spacing w:val="-2"/>
                <w:sz w:val="18"/>
              </w:rPr>
              <w:t xml:space="preserve"> </w:t>
            </w:r>
            <w:r>
              <w:rPr>
                <w:sz w:val="18"/>
              </w:rPr>
              <w:t>national</w:t>
            </w:r>
            <w:r>
              <w:rPr>
                <w:spacing w:val="-2"/>
                <w:sz w:val="18"/>
              </w:rPr>
              <w:t xml:space="preserve"> </w:t>
            </w:r>
            <w:r>
              <w:rPr>
                <w:sz w:val="18"/>
              </w:rPr>
              <w:t>park</w:t>
            </w:r>
            <w:r>
              <w:rPr>
                <w:spacing w:val="-2"/>
                <w:sz w:val="18"/>
              </w:rPr>
              <w:t xml:space="preserve"> </w:t>
            </w:r>
            <w:r>
              <w:rPr>
                <w:sz w:val="18"/>
              </w:rPr>
              <w:t>or</w:t>
            </w:r>
            <w:r>
              <w:rPr>
                <w:spacing w:val="-2"/>
                <w:sz w:val="18"/>
              </w:rPr>
              <w:t xml:space="preserve"> </w:t>
            </w:r>
            <w:r>
              <w:rPr>
                <w:sz w:val="18"/>
              </w:rPr>
              <w:t>reserve,</w:t>
            </w:r>
            <w:r>
              <w:rPr>
                <w:spacing w:val="-2"/>
                <w:sz w:val="18"/>
              </w:rPr>
              <w:t xml:space="preserve"> </w:t>
            </w:r>
            <w:r>
              <w:rPr>
                <w:sz w:val="18"/>
              </w:rPr>
              <w:t>regional/district</w:t>
            </w:r>
            <w:r>
              <w:rPr>
                <w:spacing w:val="-2"/>
                <w:sz w:val="18"/>
              </w:rPr>
              <w:t xml:space="preserve"> </w:t>
            </w:r>
            <w:r>
              <w:rPr>
                <w:sz w:val="18"/>
              </w:rPr>
              <w:t>office,</w:t>
            </w:r>
            <w:r>
              <w:rPr>
                <w:spacing w:val="-2"/>
                <w:sz w:val="18"/>
              </w:rPr>
              <w:t xml:space="preserve"> </w:t>
            </w:r>
            <w:r>
              <w:rPr>
                <w:sz w:val="18"/>
              </w:rPr>
              <w:t>or</w:t>
            </w:r>
            <w:r>
              <w:rPr>
                <w:spacing w:val="-2"/>
                <w:sz w:val="18"/>
              </w:rPr>
              <w:t xml:space="preserve"> </w:t>
            </w:r>
            <w:r>
              <w:rPr>
                <w:sz w:val="18"/>
              </w:rPr>
              <w:t>topography/land</w:t>
            </w:r>
            <w:r>
              <w:rPr>
                <w:spacing w:val="-3"/>
                <w:sz w:val="18"/>
              </w:rPr>
              <w:t xml:space="preserve"> </w:t>
            </w:r>
            <w:r>
              <w:rPr>
                <w:sz w:val="18"/>
              </w:rPr>
              <w:t>cover). (TB</w:t>
            </w:r>
            <w:r>
              <w:rPr>
                <w:spacing w:val="-4"/>
                <w:sz w:val="18"/>
              </w:rPr>
              <w:t xml:space="preserve"> </w:t>
            </w:r>
            <w:r>
              <w:rPr>
                <w:sz w:val="18"/>
              </w:rPr>
              <w:t>2025-1,</w:t>
            </w:r>
            <w:r>
              <w:rPr>
                <w:spacing w:val="-4"/>
                <w:sz w:val="18"/>
              </w:rPr>
              <w:t xml:space="preserve"> </w:t>
            </w:r>
            <w:r>
              <w:rPr>
                <w:sz w:val="18"/>
              </w:rPr>
              <w:t>para.</w:t>
            </w:r>
            <w:r>
              <w:rPr>
                <w:spacing w:val="-4"/>
                <w:sz w:val="18"/>
              </w:rPr>
              <w:t xml:space="preserve"> </w:t>
            </w:r>
            <w:r>
              <w:rPr>
                <w:sz w:val="18"/>
              </w:rPr>
              <w:t>15)</w:t>
            </w:r>
            <w:r>
              <w:rPr>
                <w:spacing w:val="-4"/>
                <w:sz w:val="18"/>
              </w:rPr>
              <w:t xml:space="preserve"> </w:t>
            </w:r>
            <w:r>
              <w:rPr>
                <w:sz w:val="18"/>
              </w:rPr>
              <w:t>Such</w:t>
            </w:r>
            <w:r>
              <w:rPr>
                <w:spacing w:val="-5"/>
                <w:sz w:val="18"/>
              </w:rPr>
              <w:t xml:space="preserve"> </w:t>
            </w:r>
            <w:r>
              <w:rPr>
                <w:sz w:val="18"/>
              </w:rPr>
              <w:t>records</w:t>
            </w:r>
            <w:r>
              <w:rPr>
                <w:spacing w:val="-4"/>
                <w:sz w:val="18"/>
              </w:rPr>
              <w:t xml:space="preserve"> </w:t>
            </w:r>
            <w:r>
              <w:rPr>
                <w:sz w:val="18"/>
              </w:rPr>
              <w:t>may</w:t>
            </w:r>
            <w:r>
              <w:rPr>
                <w:spacing w:val="-4"/>
                <w:sz w:val="18"/>
              </w:rPr>
              <w:t xml:space="preserve"> </w:t>
            </w:r>
            <w:r>
              <w:rPr>
                <w:sz w:val="18"/>
              </w:rPr>
              <w:t>include</w:t>
            </w:r>
            <w:r>
              <w:rPr>
                <w:spacing w:val="-5"/>
                <w:sz w:val="18"/>
              </w:rPr>
              <w:t xml:space="preserve"> </w:t>
            </w:r>
            <w:r>
              <w:rPr>
                <w:sz w:val="18"/>
              </w:rPr>
              <w:t>traditional</w:t>
            </w:r>
            <w:r>
              <w:rPr>
                <w:spacing w:val="-3"/>
                <w:sz w:val="18"/>
              </w:rPr>
              <w:t xml:space="preserve"> </w:t>
            </w:r>
            <w:r>
              <w:rPr>
                <w:sz w:val="18"/>
              </w:rPr>
              <w:t>records</w:t>
            </w:r>
            <w:r>
              <w:rPr>
                <w:spacing w:val="-4"/>
                <w:sz w:val="18"/>
              </w:rPr>
              <w:t xml:space="preserve"> </w:t>
            </w:r>
            <w:r>
              <w:rPr>
                <w:sz w:val="18"/>
              </w:rPr>
              <w:t>to</w:t>
            </w:r>
            <w:r>
              <w:rPr>
                <w:spacing w:val="-5"/>
                <w:sz w:val="18"/>
              </w:rPr>
              <w:t xml:space="preserve"> </w:t>
            </w:r>
            <w:r>
              <w:rPr>
                <w:sz w:val="18"/>
              </w:rPr>
              <w:t>verify</w:t>
            </w:r>
            <w:r>
              <w:rPr>
                <w:spacing w:val="-4"/>
                <w:sz w:val="18"/>
              </w:rPr>
              <w:t xml:space="preserve"> </w:t>
            </w:r>
            <w:r>
              <w:rPr>
                <w:sz w:val="18"/>
              </w:rPr>
              <w:t>ownership, geospatial mapping, historical records, surveys, plats, or any combination of these (SFFAS 59, para. A35).</w:t>
            </w:r>
          </w:p>
        </w:tc>
      </w:tr>
      <w:tr w:rsidR="00046465" w14:paraId="0DFDC5BD" w14:textId="77777777">
        <w:trPr>
          <w:trHeight w:val="2892"/>
        </w:trPr>
        <w:tc>
          <w:tcPr>
            <w:tcW w:w="2322" w:type="dxa"/>
          </w:tcPr>
          <w:p w14:paraId="0DFDC5BA" w14:textId="77777777" w:rsidR="00046465" w:rsidRDefault="008134EB">
            <w:pPr>
              <w:pStyle w:val="TableParagraph"/>
              <w:spacing w:line="204" w:lineRule="exact"/>
              <w:ind w:left="62"/>
              <w:rPr>
                <w:b/>
                <w:sz w:val="18"/>
              </w:rPr>
            </w:pPr>
            <w:r>
              <w:rPr>
                <w:b/>
                <w:spacing w:val="-2"/>
                <w:sz w:val="18"/>
              </w:rPr>
              <w:t>Rights</w:t>
            </w:r>
          </w:p>
        </w:tc>
        <w:tc>
          <w:tcPr>
            <w:tcW w:w="7591" w:type="dxa"/>
          </w:tcPr>
          <w:p w14:paraId="0DFDC5BB" w14:textId="77777777" w:rsidR="00046465" w:rsidRDefault="008134EB">
            <w:pPr>
              <w:pStyle w:val="TableParagraph"/>
              <w:numPr>
                <w:ilvl w:val="0"/>
                <w:numId w:val="81"/>
              </w:numPr>
              <w:tabs>
                <w:tab w:val="left" w:pos="304"/>
                <w:tab w:val="left" w:pos="306"/>
              </w:tabs>
              <w:ind w:right="261"/>
              <w:rPr>
                <w:sz w:val="18"/>
              </w:rPr>
            </w:pPr>
            <w:r>
              <w:rPr>
                <w:sz w:val="18"/>
              </w:rPr>
              <w:t>For each selected item of recorded land activity and events that relate to increases to land during the period, examine evidence that supports federal ownership of land or the federal government’s interest in land rights. Such documents could include original property records or other documentation like deeds, tax assessments, or insurance records.</w:t>
            </w:r>
            <w:r>
              <w:rPr>
                <w:spacing w:val="-4"/>
                <w:sz w:val="18"/>
              </w:rPr>
              <w:t xml:space="preserve"> </w:t>
            </w:r>
            <w:r>
              <w:rPr>
                <w:sz w:val="18"/>
              </w:rPr>
              <w:t>When</w:t>
            </w:r>
            <w:r>
              <w:rPr>
                <w:spacing w:val="-3"/>
                <w:sz w:val="18"/>
              </w:rPr>
              <w:t xml:space="preserve"> </w:t>
            </w:r>
            <w:r>
              <w:rPr>
                <w:sz w:val="18"/>
              </w:rPr>
              <w:t>original</w:t>
            </w:r>
            <w:r>
              <w:rPr>
                <w:spacing w:val="-4"/>
                <w:sz w:val="18"/>
              </w:rPr>
              <w:t xml:space="preserve"> </w:t>
            </w:r>
            <w:r>
              <w:rPr>
                <w:sz w:val="18"/>
              </w:rPr>
              <w:t>property</w:t>
            </w:r>
            <w:r>
              <w:rPr>
                <w:spacing w:val="-4"/>
                <w:sz w:val="18"/>
              </w:rPr>
              <w:t xml:space="preserve"> </w:t>
            </w:r>
            <w:r>
              <w:rPr>
                <w:sz w:val="18"/>
              </w:rPr>
              <w:t>records</w:t>
            </w:r>
            <w:r>
              <w:rPr>
                <w:spacing w:val="-4"/>
                <w:sz w:val="18"/>
              </w:rPr>
              <w:t xml:space="preserve"> </w:t>
            </w:r>
            <w:r>
              <w:rPr>
                <w:sz w:val="18"/>
              </w:rPr>
              <w:t>do</w:t>
            </w:r>
            <w:r>
              <w:rPr>
                <w:spacing w:val="-5"/>
                <w:sz w:val="18"/>
              </w:rPr>
              <w:t xml:space="preserve"> </w:t>
            </w:r>
            <w:r>
              <w:rPr>
                <w:sz w:val="18"/>
              </w:rPr>
              <w:t>not</w:t>
            </w:r>
            <w:r>
              <w:rPr>
                <w:spacing w:val="-4"/>
                <w:sz w:val="18"/>
              </w:rPr>
              <w:t xml:space="preserve"> </w:t>
            </w:r>
            <w:r>
              <w:rPr>
                <w:sz w:val="18"/>
              </w:rPr>
              <w:t>exist,</w:t>
            </w:r>
            <w:r>
              <w:rPr>
                <w:spacing w:val="-4"/>
                <w:sz w:val="18"/>
              </w:rPr>
              <w:t xml:space="preserve"> </w:t>
            </w:r>
            <w:r>
              <w:rPr>
                <w:sz w:val="18"/>
              </w:rPr>
              <w:t>alternative</w:t>
            </w:r>
            <w:r>
              <w:rPr>
                <w:spacing w:val="-4"/>
                <w:sz w:val="18"/>
              </w:rPr>
              <w:t xml:space="preserve"> </w:t>
            </w:r>
            <w:r>
              <w:rPr>
                <w:sz w:val="18"/>
              </w:rPr>
              <w:t>documentation,</w:t>
            </w:r>
            <w:r>
              <w:rPr>
                <w:spacing w:val="-4"/>
                <w:sz w:val="18"/>
              </w:rPr>
              <w:t xml:space="preserve"> </w:t>
            </w:r>
            <w:r>
              <w:rPr>
                <w:sz w:val="18"/>
              </w:rPr>
              <w:t>such</w:t>
            </w:r>
            <w:r>
              <w:rPr>
                <w:spacing w:val="-5"/>
                <w:sz w:val="18"/>
              </w:rPr>
              <w:t xml:space="preserve"> </w:t>
            </w:r>
            <w:r>
              <w:rPr>
                <w:sz w:val="18"/>
              </w:rPr>
              <w:t>as renovation contracts, historical maintenance records, a history of payment of invoices, minutes of meetings, historical databases, surveys of land records, a history of past/historical practices (like establishing</w:t>
            </w:r>
            <w:r>
              <w:rPr>
                <w:spacing w:val="-1"/>
                <w:sz w:val="18"/>
              </w:rPr>
              <w:t xml:space="preserve"> </w:t>
            </w:r>
            <w:r>
              <w:rPr>
                <w:sz w:val="18"/>
              </w:rPr>
              <w:t>de facto</w:t>
            </w:r>
            <w:r>
              <w:rPr>
                <w:spacing w:val="-1"/>
                <w:sz w:val="18"/>
              </w:rPr>
              <w:t xml:space="preserve"> </w:t>
            </w:r>
            <w:r>
              <w:rPr>
                <w:sz w:val="18"/>
              </w:rPr>
              <w:t>ownership), or other relevant sources of information, may provide acceptable alternative evidence of ownership. (TB 2025-1, para. 17)</w:t>
            </w:r>
          </w:p>
          <w:p w14:paraId="0DFDC5BC" w14:textId="77777777" w:rsidR="00046465" w:rsidRDefault="008134EB">
            <w:pPr>
              <w:pStyle w:val="TableParagraph"/>
              <w:numPr>
                <w:ilvl w:val="0"/>
                <w:numId w:val="81"/>
              </w:numPr>
              <w:tabs>
                <w:tab w:val="left" w:pos="304"/>
                <w:tab w:val="left" w:pos="306"/>
              </w:tabs>
              <w:spacing w:before="56"/>
              <w:ind w:right="109" w:hanging="188"/>
              <w:jc w:val="both"/>
              <w:rPr>
                <w:sz w:val="18"/>
              </w:rPr>
            </w:pPr>
            <w:r>
              <w:rPr>
                <w:sz w:val="18"/>
              </w:rPr>
              <w:t>For</w:t>
            </w:r>
            <w:r>
              <w:rPr>
                <w:spacing w:val="-2"/>
                <w:sz w:val="18"/>
              </w:rPr>
              <w:t xml:space="preserve"> </w:t>
            </w:r>
            <w:r>
              <w:rPr>
                <w:sz w:val="18"/>
              </w:rPr>
              <w:t>each</w:t>
            </w:r>
            <w:r>
              <w:rPr>
                <w:spacing w:val="-3"/>
                <w:sz w:val="18"/>
              </w:rPr>
              <w:t xml:space="preserve"> </w:t>
            </w:r>
            <w:r>
              <w:rPr>
                <w:sz w:val="18"/>
              </w:rPr>
              <w:t>selected</w:t>
            </w:r>
            <w:r>
              <w:rPr>
                <w:spacing w:val="-3"/>
                <w:sz w:val="18"/>
              </w:rPr>
              <w:t xml:space="preserve"> </w:t>
            </w:r>
            <w:r>
              <w:rPr>
                <w:sz w:val="18"/>
              </w:rPr>
              <w:t>item</w:t>
            </w:r>
            <w:r>
              <w:rPr>
                <w:spacing w:val="-2"/>
                <w:sz w:val="18"/>
              </w:rPr>
              <w:t xml:space="preserve"> </w:t>
            </w:r>
            <w:r>
              <w:rPr>
                <w:sz w:val="18"/>
              </w:rPr>
              <w:t>of</w:t>
            </w:r>
            <w:r>
              <w:rPr>
                <w:spacing w:val="-2"/>
                <w:sz w:val="18"/>
              </w:rPr>
              <w:t xml:space="preserve"> </w:t>
            </w:r>
            <w:r>
              <w:rPr>
                <w:sz w:val="18"/>
              </w:rPr>
              <w:t>recorded</w:t>
            </w:r>
            <w:r>
              <w:rPr>
                <w:spacing w:val="-3"/>
                <w:sz w:val="18"/>
              </w:rPr>
              <w:t xml:space="preserve"> </w:t>
            </w:r>
            <w:r>
              <w:rPr>
                <w:sz w:val="18"/>
              </w:rPr>
              <w:t>land</w:t>
            </w:r>
            <w:r>
              <w:rPr>
                <w:spacing w:val="-3"/>
                <w:sz w:val="18"/>
              </w:rPr>
              <w:t xml:space="preserve"> </w:t>
            </w:r>
            <w:r>
              <w:rPr>
                <w:sz w:val="18"/>
              </w:rPr>
              <w:t>activity</w:t>
            </w:r>
            <w:r>
              <w:rPr>
                <w:spacing w:val="-2"/>
                <w:sz w:val="18"/>
              </w:rPr>
              <w:t xml:space="preserve"> </w:t>
            </w:r>
            <w:r>
              <w:rPr>
                <w:sz w:val="18"/>
              </w:rPr>
              <w:t>and</w:t>
            </w:r>
            <w:r>
              <w:rPr>
                <w:spacing w:val="-3"/>
                <w:sz w:val="18"/>
              </w:rPr>
              <w:t xml:space="preserve"> </w:t>
            </w:r>
            <w:r>
              <w:rPr>
                <w:sz w:val="18"/>
              </w:rPr>
              <w:t>events</w:t>
            </w:r>
            <w:r>
              <w:rPr>
                <w:spacing w:val="-1"/>
                <w:sz w:val="18"/>
              </w:rPr>
              <w:t xml:space="preserve"> </w:t>
            </w:r>
            <w:r>
              <w:rPr>
                <w:sz w:val="18"/>
              </w:rPr>
              <w:t>that</w:t>
            </w:r>
            <w:r>
              <w:rPr>
                <w:spacing w:val="-2"/>
                <w:sz w:val="18"/>
              </w:rPr>
              <w:t xml:space="preserve"> </w:t>
            </w:r>
            <w:r>
              <w:rPr>
                <w:sz w:val="18"/>
              </w:rPr>
              <w:t>relate</w:t>
            </w:r>
            <w:r>
              <w:rPr>
                <w:spacing w:val="-3"/>
                <w:sz w:val="18"/>
              </w:rPr>
              <w:t xml:space="preserve"> </w:t>
            </w:r>
            <w:r>
              <w:rPr>
                <w:sz w:val="18"/>
              </w:rPr>
              <w:t>to</w:t>
            </w:r>
            <w:r>
              <w:rPr>
                <w:spacing w:val="-3"/>
                <w:sz w:val="18"/>
              </w:rPr>
              <w:t xml:space="preserve"> </w:t>
            </w:r>
            <w:r>
              <w:rPr>
                <w:sz w:val="18"/>
              </w:rPr>
              <w:t>increases</w:t>
            </w:r>
            <w:r>
              <w:rPr>
                <w:spacing w:val="-2"/>
                <w:sz w:val="18"/>
              </w:rPr>
              <w:t xml:space="preserve"> </w:t>
            </w:r>
            <w:r>
              <w:rPr>
                <w:sz w:val="18"/>
              </w:rPr>
              <w:t>to</w:t>
            </w:r>
            <w:r>
              <w:rPr>
                <w:spacing w:val="-3"/>
                <w:sz w:val="18"/>
              </w:rPr>
              <w:t xml:space="preserve"> </w:t>
            </w:r>
            <w:r>
              <w:rPr>
                <w:sz w:val="18"/>
              </w:rPr>
              <w:t>land during</w:t>
            </w:r>
            <w:r>
              <w:rPr>
                <w:spacing w:val="-3"/>
                <w:sz w:val="18"/>
              </w:rPr>
              <w:t xml:space="preserve"> </w:t>
            </w:r>
            <w:r>
              <w:rPr>
                <w:sz w:val="18"/>
              </w:rPr>
              <w:t>the</w:t>
            </w:r>
            <w:r>
              <w:rPr>
                <w:spacing w:val="-3"/>
                <w:sz w:val="18"/>
              </w:rPr>
              <w:t xml:space="preserve"> </w:t>
            </w:r>
            <w:r>
              <w:rPr>
                <w:sz w:val="18"/>
              </w:rPr>
              <w:t>period,</w:t>
            </w:r>
            <w:r>
              <w:rPr>
                <w:spacing w:val="-2"/>
                <w:sz w:val="18"/>
              </w:rPr>
              <w:t xml:space="preserve"> </w:t>
            </w:r>
            <w:r>
              <w:rPr>
                <w:sz w:val="18"/>
              </w:rPr>
              <w:t>compare</w:t>
            </w:r>
            <w:r>
              <w:rPr>
                <w:spacing w:val="-3"/>
                <w:sz w:val="18"/>
              </w:rPr>
              <w:t xml:space="preserve"> </w:t>
            </w:r>
            <w:r>
              <w:rPr>
                <w:sz w:val="18"/>
              </w:rPr>
              <w:t>the</w:t>
            </w:r>
            <w:r>
              <w:rPr>
                <w:spacing w:val="-3"/>
                <w:sz w:val="18"/>
              </w:rPr>
              <w:t xml:space="preserve"> </w:t>
            </w:r>
            <w:r>
              <w:rPr>
                <w:sz w:val="18"/>
              </w:rPr>
              <w:t>recorded</w:t>
            </w:r>
            <w:r>
              <w:rPr>
                <w:spacing w:val="-3"/>
                <w:sz w:val="18"/>
              </w:rPr>
              <w:t xml:space="preserve"> </w:t>
            </w:r>
            <w:r>
              <w:rPr>
                <w:sz w:val="18"/>
              </w:rPr>
              <w:t>land</w:t>
            </w:r>
            <w:r>
              <w:rPr>
                <w:spacing w:val="-3"/>
                <w:sz w:val="18"/>
              </w:rPr>
              <w:t xml:space="preserve"> </w:t>
            </w:r>
            <w:r>
              <w:rPr>
                <w:sz w:val="18"/>
              </w:rPr>
              <w:t>activity</w:t>
            </w:r>
            <w:r>
              <w:rPr>
                <w:spacing w:val="-2"/>
                <w:sz w:val="18"/>
              </w:rPr>
              <w:t xml:space="preserve"> </w:t>
            </w:r>
            <w:r>
              <w:rPr>
                <w:sz w:val="18"/>
              </w:rPr>
              <w:t>and</w:t>
            </w:r>
            <w:r>
              <w:rPr>
                <w:spacing w:val="-2"/>
                <w:sz w:val="18"/>
              </w:rPr>
              <w:t xml:space="preserve"> </w:t>
            </w:r>
            <w:r>
              <w:rPr>
                <w:sz w:val="18"/>
              </w:rPr>
              <w:t>events</w:t>
            </w:r>
            <w:r>
              <w:rPr>
                <w:spacing w:val="-2"/>
                <w:sz w:val="18"/>
              </w:rPr>
              <w:t xml:space="preserve"> </w:t>
            </w:r>
            <w:r>
              <w:rPr>
                <w:sz w:val="18"/>
              </w:rPr>
              <w:t>to</w:t>
            </w:r>
            <w:r>
              <w:rPr>
                <w:spacing w:val="-3"/>
                <w:sz w:val="18"/>
              </w:rPr>
              <w:t xml:space="preserve"> </w:t>
            </w:r>
            <w:r>
              <w:rPr>
                <w:sz w:val="18"/>
              </w:rPr>
              <w:t>source</w:t>
            </w:r>
            <w:r>
              <w:rPr>
                <w:spacing w:val="-2"/>
                <w:sz w:val="18"/>
              </w:rPr>
              <w:t xml:space="preserve"> </w:t>
            </w:r>
            <w:r>
              <w:rPr>
                <w:sz w:val="18"/>
              </w:rPr>
              <w:t>documentation to confirm that the entity has been assigned responsibility for managing the land.</w:t>
            </w:r>
          </w:p>
        </w:tc>
      </w:tr>
    </w:tbl>
    <w:p w14:paraId="0DFDC5BE" w14:textId="77777777" w:rsidR="00046465" w:rsidRDefault="00046465">
      <w:pPr>
        <w:pStyle w:val="TableParagraph"/>
        <w:jc w:val="both"/>
        <w:rPr>
          <w:sz w:val="18"/>
        </w:rPr>
        <w:sectPr w:rsidR="00046465">
          <w:pgSz w:w="12240" w:h="15840"/>
          <w:pgMar w:top="1340" w:right="720" w:bottom="940" w:left="1080" w:header="721" w:footer="757" w:gutter="0"/>
          <w:cols w:space="720"/>
        </w:sectPr>
      </w:pPr>
    </w:p>
    <w:p w14:paraId="0DFDC5BF" w14:textId="77777777" w:rsidR="00046465" w:rsidRDefault="00046465">
      <w:pPr>
        <w:pStyle w:val="BodyText"/>
        <w:spacing w:before="6"/>
        <w:rPr>
          <w:b/>
          <w:sz w:val="1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2"/>
        <w:gridCol w:w="7591"/>
      </w:tblGrid>
      <w:tr w:rsidR="00046465" w14:paraId="0DFDC5C2" w14:textId="77777777">
        <w:trPr>
          <w:trHeight w:val="286"/>
        </w:trPr>
        <w:tc>
          <w:tcPr>
            <w:tcW w:w="2322" w:type="dxa"/>
            <w:tcBorders>
              <w:bottom w:val="single" w:sz="12" w:space="0" w:color="000000"/>
            </w:tcBorders>
            <w:shd w:val="clear" w:color="auto" w:fill="BEBEBE"/>
          </w:tcPr>
          <w:p w14:paraId="0DFDC5C0" w14:textId="77777777" w:rsidR="00046465" w:rsidRDefault="008134EB">
            <w:pPr>
              <w:pStyle w:val="TableParagraph"/>
              <w:spacing w:before="38"/>
              <w:ind w:left="62"/>
              <w:rPr>
                <w:b/>
                <w:sz w:val="18"/>
              </w:rPr>
            </w:pPr>
            <w:r>
              <w:rPr>
                <w:b/>
                <w:spacing w:val="-2"/>
                <w:sz w:val="18"/>
              </w:rPr>
              <w:t>Assertion</w:t>
            </w:r>
          </w:p>
        </w:tc>
        <w:tc>
          <w:tcPr>
            <w:tcW w:w="7591" w:type="dxa"/>
            <w:tcBorders>
              <w:bottom w:val="single" w:sz="12" w:space="0" w:color="000000"/>
            </w:tcBorders>
            <w:shd w:val="clear" w:color="auto" w:fill="BEBEBE"/>
          </w:tcPr>
          <w:p w14:paraId="0DFDC5C1" w14:textId="77777777" w:rsidR="00046465" w:rsidRDefault="008134EB">
            <w:pPr>
              <w:pStyle w:val="TableParagraph"/>
              <w:spacing w:before="38"/>
              <w:ind w:left="62"/>
              <w:rPr>
                <w:b/>
                <w:sz w:val="18"/>
              </w:rPr>
            </w:pPr>
            <w:r>
              <w:rPr>
                <w:b/>
                <w:sz w:val="18"/>
              </w:rPr>
              <w:t>Type</w:t>
            </w:r>
            <w:r>
              <w:rPr>
                <w:b/>
                <w:spacing w:val="-2"/>
                <w:sz w:val="18"/>
              </w:rPr>
              <w:t xml:space="preserve"> </w:t>
            </w:r>
            <w:r>
              <w:rPr>
                <w:b/>
                <w:sz w:val="18"/>
              </w:rPr>
              <w:t xml:space="preserve">of </w:t>
            </w:r>
            <w:r>
              <w:rPr>
                <w:b/>
                <w:spacing w:val="-4"/>
                <w:sz w:val="18"/>
              </w:rPr>
              <w:t>test</w:t>
            </w:r>
          </w:p>
        </w:tc>
      </w:tr>
      <w:tr w:rsidR="00046465" w14:paraId="0DFDC5CA" w14:textId="77777777">
        <w:trPr>
          <w:trHeight w:val="4163"/>
        </w:trPr>
        <w:tc>
          <w:tcPr>
            <w:tcW w:w="2322" w:type="dxa"/>
            <w:tcBorders>
              <w:top w:val="single" w:sz="12" w:space="0" w:color="000000"/>
            </w:tcBorders>
          </w:tcPr>
          <w:p w14:paraId="0DFDC5C3" w14:textId="77777777" w:rsidR="00046465" w:rsidRDefault="008134EB">
            <w:pPr>
              <w:pStyle w:val="TableParagraph"/>
              <w:spacing w:line="183" w:lineRule="exact"/>
              <w:ind w:left="62"/>
              <w:rPr>
                <w:b/>
                <w:sz w:val="18"/>
              </w:rPr>
            </w:pPr>
            <w:r>
              <w:rPr>
                <w:b/>
                <w:spacing w:val="-2"/>
                <w:sz w:val="18"/>
              </w:rPr>
              <w:t>Presentation</w:t>
            </w:r>
          </w:p>
        </w:tc>
        <w:tc>
          <w:tcPr>
            <w:tcW w:w="7591" w:type="dxa"/>
            <w:tcBorders>
              <w:top w:val="single" w:sz="12" w:space="0" w:color="000000"/>
            </w:tcBorders>
          </w:tcPr>
          <w:p w14:paraId="0DFDC5C4" w14:textId="77777777" w:rsidR="00046465" w:rsidRDefault="008134EB">
            <w:pPr>
              <w:pStyle w:val="TableParagraph"/>
              <w:numPr>
                <w:ilvl w:val="0"/>
                <w:numId w:val="80"/>
              </w:numPr>
              <w:tabs>
                <w:tab w:val="left" w:pos="305"/>
              </w:tabs>
              <w:spacing w:line="199" w:lineRule="exact"/>
              <w:ind w:left="305" w:hanging="187"/>
              <w:rPr>
                <w:sz w:val="18"/>
              </w:rPr>
            </w:pPr>
            <w:r>
              <w:rPr>
                <w:sz w:val="18"/>
              </w:rPr>
              <w:t>Determine</w:t>
            </w:r>
            <w:r>
              <w:rPr>
                <w:spacing w:val="-6"/>
                <w:sz w:val="18"/>
              </w:rPr>
              <w:t xml:space="preserve"> </w:t>
            </w:r>
            <w:r>
              <w:rPr>
                <w:sz w:val="18"/>
              </w:rPr>
              <w:t>whether</w:t>
            </w:r>
            <w:r>
              <w:rPr>
                <w:spacing w:val="-3"/>
                <w:sz w:val="18"/>
              </w:rPr>
              <w:t xml:space="preserve"> </w:t>
            </w:r>
            <w:r>
              <w:rPr>
                <w:sz w:val="18"/>
              </w:rPr>
              <w:t>the</w:t>
            </w:r>
            <w:r>
              <w:rPr>
                <w:spacing w:val="-4"/>
                <w:sz w:val="18"/>
              </w:rPr>
              <w:t xml:space="preserve"> </w:t>
            </w:r>
            <w:r>
              <w:rPr>
                <w:sz w:val="18"/>
              </w:rPr>
              <w:t>entity’s</w:t>
            </w:r>
            <w:r>
              <w:rPr>
                <w:spacing w:val="-1"/>
                <w:sz w:val="18"/>
              </w:rPr>
              <w:t xml:space="preserve"> </w:t>
            </w:r>
            <w:r>
              <w:rPr>
                <w:sz w:val="18"/>
              </w:rPr>
              <w:t>note</w:t>
            </w:r>
            <w:r>
              <w:rPr>
                <w:spacing w:val="-4"/>
                <w:sz w:val="18"/>
              </w:rPr>
              <w:t xml:space="preserve"> </w:t>
            </w:r>
            <w:r>
              <w:rPr>
                <w:sz w:val="18"/>
              </w:rPr>
              <w:t>disclosure</w:t>
            </w:r>
            <w:r>
              <w:rPr>
                <w:spacing w:val="-4"/>
                <w:sz w:val="18"/>
              </w:rPr>
              <w:t xml:space="preserve"> </w:t>
            </w:r>
            <w:r>
              <w:rPr>
                <w:sz w:val="18"/>
              </w:rPr>
              <w:t>narrative</w:t>
            </w:r>
            <w:r>
              <w:rPr>
                <w:spacing w:val="-4"/>
                <w:sz w:val="18"/>
              </w:rPr>
              <w:t xml:space="preserve"> </w:t>
            </w:r>
            <w:r>
              <w:rPr>
                <w:sz w:val="18"/>
              </w:rPr>
              <w:t>is</w:t>
            </w:r>
            <w:r>
              <w:rPr>
                <w:spacing w:val="-2"/>
                <w:sz w:val="18"/>
              </w:rPr>
              <w:t xml:space="preserve"> </w:t>
            </w:r>
            <w:r>
              <w:rPr>
                <w:sz w:val="18"/>
              </w:rPr>
              <w:t>appropriately</w:t>
            </w:r>
            <w:r>
              <w:rPr>
                <w:spacing w:val="-6"/>
                <w:sz w:val="18"/>
              </w:rPr>
              <w:t xml:space="preserve"> </w:t>
            </w:r>
            <w:r>
              <w:rPr>
                <w:sz w:val="18"/>
              </w:rPr>
              <w:t>and</w:t>
            </w:r>
            <w:r>
              <w:rPr>
                <w:spacing w:val="-6"/>
                <w:sz w:val="18"/>
              </w:rPr>
              <w:t xml:space="preserve"> </w:t>
            </w:r>
            <w:r>
              <w:rPr>
                <w:spacing w:val="-2"/>
                <w:sz w:val="18"/>
              </w:rPr>
              <w:t>clearly</w:t>
            </w:r>
          </w:p>
          <w:p w14:paraId="0DFDC5C5" w14:textId="77777777" w:rsidR="00046465" w:rsidRDefault="008134EB">
            <w:pPr>
              <w:pStyle w:val="TableParagraph"/>
              <w:spacing w:line="206" w:lineRule="exact"/>
              <w:ind w:left="306"/>
              <w:rPr>
                <w:sz w:val="18"/>
              </w:rPr>
            </w:pPr>
            <w:r>
              <w:rPr>
                <w:sz w:val="18"/>
              </w:rPr>
              <w:t>presented</w:t>
            </w:r>
            <w:r>
              <w:rPr>
                <w:spacing w:val="-6"/>
                <w:sz w:val="18"/>
              </w:rPr>
              <w:t xml:space="preserve"> </w:t>
            </w:r>
            <w:r>
              <w:rPr>
                <w:sz w:val="18"/>
              </w:rPr>
              <w:t>in</w:t>
            </w:r>
            <w:r>
              <w:rPr>
                <w:spacing w:val="-6"/>
                <w:sz w:val="18"/>
              </w:rPr>
              <w:t xml:space="preserve"> </w:t>
            </w:r>
            <w:r>
              <w:rPr>
                <w:sz w:val="18"/>
              </w:rPr>
              <w:t>accordance</w:t>
            </w:r>
            <w:r>
              <w:rPr>
                <w:spacing w:val="-6"/>
                <w:sz w:val="18"/>
              </w:rPr>
              <w:t xml:space="preserve"> </w:t>
            </w:r>
            <w:r>
              <w:rPr>
                <w:sz w:val="18"/>
              </w:rPr>
              <w:t>with</w:t>
            </w:r>
            <w:r>
              <w:rPr>
                <w:spacing w:val="-5"/>
                <w:sz w:val="18"/>
              </w:rPr>
              <w:t xml:space="preserve"> </w:t>
            </w:r>
            <w:r>
              <w:rPr>
                <w:sz w:val="18"/>
              </w:rPr>
              <w:t>SFFAS</w:t>
            </w:r>
            <w:r>
              <w:rPr>
                <w:spacing w:val="-5"/>
                <w:sz w:val="18"/>
              </w:rPr>
              <w:t xml:space="preserve"> </w:t>
            </w:r>
            <w:r>
              <w:rPr>
                <w:sz w:val="18"/>
              </w:rPr>
              <w:t>59,</w:t>
            </w:r>
            <w:r>
              <w:rPr>
                <w:spacing w:val="-2"/>
                <w:sz w:val="18"/>
              </w:rPr>
              <w:t xml:space="preserve"> </w:t>
            </w:r>
            <w:r>
              <w:rPr>
                <w:sz w:val="18"/>
              </w:rPr>
              <w:t>TB</w:t>
            </w:r>
            <w:r>
              <w:rPr>
                <w:spacing w:val="-3"/>
                <w:sz w:val="18"/>
              </w:rPr>
              <w:t xml:space="preserve"> </w:t>
            </w:r>
            <w:r>
              <w:rPr>
                <w:sz w:val="18"/>
              </w:rPr>
              <w:t>2025-1,</w:t>
            </w:r>
            <w:r>
              <w:rPr>
                <w:spacing w:val="-5"/>
                <w:sz w:val="18"/>
              </w:rPr>
              <w:t xml:space="preserve"> </w:t>
            </w:r>
            <w:r>
              <w:rPr>
                <w:sz w:val="18"/>
              </w:rPr>
              <w:t>and</w:t>
            </w:r>
            <w:r>
              <w:rPr>
                <w:spacing w:val="-6"/>
                <w:sz w:val="18"/>
              </w:rPr>
              <w:t xml:space="preserve"> </w:t>
            </w:r>
            <w:r>
              <w:rPr>
                <w:sz w:val="18"/>
              </w:rPr>
              <w:t>OMB</w:t>
            </w:r>
            <w:r>
              <w:rPr>
                <w:spacing w:val="-6"/>
                <w:sz w:val="18"/>
              </w:rPr>
              <w:t xml:space="preserve"> </w:t>
            </w:r>
            <w:r>
              <w:rPr>
                <w:sz w:val="18"/>
              </w:rPr>
              <w:t>Circular</w:t>
            </w:r>
            <w:r>
              <w:rPr>
                <w:spacing w:val="-6"/>
                <w:sz w:val="18"/>
              </w:rPr>
              <w:t xml:space="preserve"> </w:t>
            </w:r>
            <w:r>
              <w:rPr>
                <w:sz w:val="18"/>
              </w:rPr>
              <w:t xml:space="preserve">A- </w:t>
            </w:r>
            <w:r>
              <w:rPr>
                <w:spacing w:val="-4"/>
                <w:sz w:val="18"/>
              </w:rPr>
              <w:t>136.</w:t>
            </w:r>
          </w:p>
          <w:p w14:paraId="0DFDC5C6" w14:textId="77777777" w:rsidR="00046465" w:rsidRDefault="008134EB">
            <w:pPr>
              <w:pStyle w:val="TableParagraph"/>
              <w:numPr>
                <w:ilvl w:val="0"/>
                <w:numId w:val="80"/>
              </w:numPr>
              <w:tabs>
                <w:tab w:val="left" w:pos="305"/>
                <w:tab w:val="left" w:pos="307"/>
              </w:tabs>
              <w:spacing w:before="59"/>
              <w:ind w:right="260"/>
              <w:rPr>
                <w:sz w:val="18"/>
              </w:rPr>
            </w:pPr>
            <w:r>
              <w:rPr>
                <w:sz w:val="18"/>
              </w:rPr>
              <w:t>Determine</w:t>
            </w:r>
            <w:r>
              <w:rPr>
                <w:spacing w:val="-7"/>
                <w:sz w:val="18"/>
              </w:rPr>
              <w:t xml:space="preserve"> </w:t>
            </w:r>
            <w:r>
              <w:rPr>
                <w:sz w:val="18"/>
              </w:rPr>
              <w:t>whether</w:t>
            </w:r>
            <w:r>
              <w:rPr>
                <w:spacing w:val="-7"/>
                <w:sz w:val="18"/>
              </w:rPr>
              <w:t xml:space="preserve"> </w:t>
            </w:r>
            <w:r>
              <w:rPr>
                <w:sz w:val="18"/>
              </w:rPr>
              <w:t>the</w:t>
            </w:r>
            <w:r>
              <w:rPr>
                <w:spacing w:val="-7"/>
                <w:sz w:val="18"/>
              </w:rPr>
              <w:t xml:space="preserve"> </w:t>
            </w:r>
            <w:r>
              <w:rPr>
                <w:sz w:val="18"/>
              </w:rPr>
              <w:t>reported</w:t>
            </w:r>
            <w:r>
              <w:rPr>
                <w:spacing w:val="-7"/>
                <w:sz w:val="18"/>
              </w:rPr>
              <w:t xml:space="preserve"> </w:t>
            </w:r>
            <w:r>
              <w:rPr>
                <w:sz w:val="18"/>
              </w:rPr>
              <w:t>land</w:t>
            </w:r>
            <w:r>
              <w:rPr>
                <w:spacing w:val="-7"/>
                <w:sz w:val="18"/>
              </w:rPr>
              <w:t xml:space="preserve"> </w:t>
            </w:r>
            <w:r>
              <w:rPr>
                <w:sz w:val="18"/>
              </w:rPr>
              <w:t>information</w:t>
            </w:r>
            <w:r>
              <w:rPr>
                <w:spacing w:val="-7"/>
                <w:sz w:val="18"/>
              </w:rPr>
              <w:t xml:space="preserve"> </w:t>
            </w:r>
            <w:r>
              <w:rPr>
                <w:sz w:val="18"/>
              </w:rPr>
              <w:t>for</w:t>
            </w:r>
            <w:r>
              <w:rPr>
                <w:spacing w:val="-5"/>
                <w:sz w:val="18"/>
              </w:rPr>
              <w:t xml:space="preserve"> </w:t>
            </w:r>
            <w:r>
              <w:rPr>
                <w:sz w:val="18"/>
              </w:rPr>
              <w:t>acreage</w:t>
            </w:r>
            <w:r>
              <w:rPr>
                <w:spacing w:val="-6"/>
                <w:sz w:val="18"/>
              </w:rPr>
              <w:t xml:space="preserve"> </w:t>
            </w:r>
            <w:r>
              <w:rPr>
                <w:sz w:val="18"/>
              </w:rPr>
              <w:t>and</w:t>
            </w:r>
            <w:r>
              <w:rPr>
                <w:spacing w:val="-7"/>
                <w:sz w:val="18"/>
              </w:rPr>
              <w:t xml:space="preserve"> </w:t>
            </w:r>
            <w:r>
              <w:rPr>
                <w:sz w:val="18"/>
              </w:rPr>
              <w:t>its</w:t>
            </w:r>
            <w:r>
              <w:rPr>
                <w:spacing w:val="-7"/>
                <w:sz w:val="18"/>
              </w:rPr>
              <w:t xml:space="preserve"> </w:t>
            </w:r>
            <w:r>
              <w:rPr>
                <w:sz w:val="18"/>
              </w:rPr>
              <w:t>aggregation</w:t>
            </w:r>
            <w:r>
              <w:rPr>
                <w:spacing w:val="-7"/>
                <w:sz w:val="18"/>
              </w:rPr>
              <w:t xml:space="preserve"> </w:t>
            </w:r>
            <w:r>
              <w:rPr>
                <w:sz w:val="18"/>
              </w:rPr>
              <w:t>into</w:t>
            </w:r>
            <w:r>
              <w:rPr>
                <w:spacing w:val="-7"/>
                <w:sz w:val="18"/>
              </w:rPr>
              <w:t xml:space="preserve"> </w:t>
            </w:r>
            <w:r>
              <w:rPr>
                <w:sz w:val="18"/>
              </w:rPr>
              <w:t>the predominant use subcategories agree with the underlying records and reports.</w:t>
            </w:r>
          </w:p>
          <w:p w14:paraId="0DFDC5C7" w14:textId="77777777" w:rsidR="00046465" w:rsidRDefault="008134EB">
            <w:pPr>
              <w:pStyle w:val="TableParagraph"/>
              <w:numPr>
                <w:ilvl w:val="0"/>
                <w:numId w:val="80"/>
              </w:numPr>
              <w:tabs>
                <w:tab w:val="left" w:pos="304"/>
                <w:tab w:val="left" w:pos="306"/>
              </w:tabs>
              <w:spacing w:before="56"/>
              <w:ind w:left="306" w:right="450"/>
              <w:rPr>
                <w:sz w:val="18"/>
              </w:rPr>
            </w:pPr>
            <w:r>
              <w:rPr>
                <w:sz w:val="18"/>
              </w:rPr>
              <w:t>For each selected item of recorded land activity and events, determine whether the classification of acreage for the related predominant use subcategory is supported by sufficient,</w:t>
            </w:r>
            <w:r>
              <w:rPr>
                <w:spacing w:val="-6"/>
                <w:sz w:val="18"/>
              </w:rPr>
              <w:t xml:space="preserve"> </w:t>
            </w:r>
            <w:r>
              <w:rPr>
                <w:sz w:val="18"/>
              </w:rPr>
              <w:t>appropriate</w:t>
            </w:r>
            <w:r>
              <w:rPr>
                <w:spacing w:val="-7"/>
                <w:sz w:val="18"/>
              </w:rPr>
              <w:t xml:space="preserve"> </w:t>
            </w:r>
            <w:r>
              <w:rPr>
                <w:sz w:val="18"/>
              </w:rPr>
              <w:t>evidence</w:t>
            </w:r>
            <w:r>
              <w:rPr>
                <w:spacing w:val="-7"/>
                <w:sz w:val="18"/>
              </w:rPr>
              <w:t xml:space="preserve"> </w:t>
            </w:r>
            <w:r>
              <w:rPr>
                <w:sz w:val="18"/>
              </w:rPr>
              <w:t>based</w:t>
            </w:r>
            <w:r>
              <w:rPr>
                <w:spacing w:val="-7"/>
                <w:sz w:val="18"/>
              </w:rPr>
              <w:t xml:space="preserve"> </w:t>
            </w:r>
            <w:r>
              <w:rPr>
                <w:sz w:val="18"/>
              </w:rPr>
              <w:t>on</w:t>
            </w:r>
            <w:r>
              <w:rPr>
                <w:spacing w:val="-7"/>
                <w:sz w:val="18"/>
              </w:rPr>
              <w:t xml:space="preserve"> </w:t>
            </w:r>
            <w:r>
              <w:rPr>
                <w:sz w:val="18"/>
              </w:rPr>
              <w:t>the</w:t>
            </w:r>
            <w:r>
              <w:rPr>
                <w:spacing w:val="-6"/>
                <w:sz w:val="18"/>
              </w:rPr>
              <w:t xml:space="preserve"> </w:t>
            </w:r>
            <w:r>
              <w:rPr>
                <w:sz w:val="18"/>
              </w:rPr>
              <w:t>entity’s</w:t>
            </w:r>
            <w:r>
              <w:rPr>
                <w:spacing w:val="-7"/>
                <w:sz w:val="18"/>
              </w:rPr>
              <w:t xml:space="preserve"> </w:t>
            </w:r>
            <w:r>
              <w:rPr>
                <w:sz w:val="18"/>
              </w:rPr>
              <w:t>mission,</w:t>
            </w:r>
            <w:r>
              <w:rPr>
                <w:spacing w:val="-6"/>
                <w:sz w:val="18"/>
              </w:rPr>
              <w:t xml:space="preserve"> </w:t>
            </w:r>
            <w:r>
              <w:rPr>
                <w:sz w:val="18"/>
              </w:rPr>
              <w:t>how</w:t>
            </w:r>
            <w:r>
              <w:rPr>
                <w:spacing w:val="-7"/>
                <w:sz w:val="18"/>
              </w:rPr>
              <w:t xml:space="preserve"> </w:t>
            </w:r>
            <w:r>
              <w:rPr>
                <w:sz w:val="18"/>
              </w:rPr>
              <w:t>the</w:t>
            </w:r>
            <w:r>
              <w:rPr>
                <w:spacing w:val="-7"/>
                <w:sz w:val="18"/>
              </w:rPr>
              <w:t xml:space="preserve"> </w:t>
            </w:r>
            <w:r>
              <w:rPr>
                <w:sz w:val="18"/>
              </w:rPr>
              <w:t>entity</w:t>
            </w:r>
            <w:r>
              <w:rPr>
                <w:spacing w:val="-6"/>
                <w:sz w:val="18"/>
              </w:rPr>
              <w:t xml:space="preserve"> </w:t>
            </w:r>
            <w:r>
              <w:rPr>
                <w:sz w:val="18"/>
              </w:rPr>
              <w:t>views</w:t>
            </w:r>
            <w:r>
              <w:rPr>
                <w:spacing w:val="-7"/>
                <w:sz w:val="18"/>
              </w:rPr>
              <w:t xml:space="preserve"> </w:t>
            </w:r>
            <w:r>
              <w:rPr>
                <w:sz w:val="18"/>
              </w:rPr>
              <w:t xml:space="preserve">the PP&amp;E land and stewardship land for management purposes, and materiality </w:t>
            </w:r>
            <w:r>
              <w:rPr>
                <w:spacing w:val="-2"/>
                <w:sz w:val="18"/>
              </w:rPr>
              <w:t>considerations.</w:t>
            </w:r>
          </w:p>
          <w:p w14:paraId="0DFDC5C8" w14:textId="77777777" w:rsidR="00046465" w:rsidRDefault="008134EB">
            <w:pPr>
              <w:pStyle w:val="TableParagraph"/>
              <w:numPr>
                <w:ilvl w:val="0"/>
                <w:numId w:val="80"/>
              </w:numPr>
              <w:tabs>
                <w:tab w:val="left" w:pos="304"/>
                <w:tab w:val="left" w:pos="306"/>
              </w:tabs>
              <w:spacing w:before="57"/>
              <w:ind w:left="306" w:right="335"/>
              <w:rPr>
                <w:sz w:val="18"/>
              </w:rPr>
            </w:pPr>
            <w:r>
              <w:rPr>
                <w:sz w:val="18"/>
              </w:rPr>
              <w:t>For each selected item of recorded land activity and events that relate to increases, determine whether the predominant use is the major or primary current use of PP&amp;E land</w:t>
            </w:r>
            <w:r>
              <w:rPr>
                <w:spacing w:val="-7"/>
                <w:sz w:val="18"/>
              </w:rPr>
              <w:t xml:space="preserve"> </w:t>
            </w:r>
            <w:r>
              <w:rPr>
                <w:sz w:val="18"/>
              </w:rPr>
              <w:t>and</w:t>
            </w:r>
            <w:r>
              <w:rPr>
                <w:spacing w:val="-7"/>
                <w:sz w:val="18"/>
              </w:rPr>
              <w:t xml:space="preserve"> </w:t>
            </w:r>
            <w:r>
              <w:rPr>
                <w:sz w:val="18"/>
              </w:rPr>
              <w:t>stewardship</w:t>
            </w:r>
            <w:r>
              <w:rPr>
                <w:spacing w:val="-7"/>
                <w:sz w:val="18"/>
              </w:rPr>
              <w:t xml:space="preserve"> </w:t>
            </w:r>
            <w:r>
              <w:rPr>
                <w:sz w:val="18"/>
              </w:rPr>
              <w:t>land</w:t>
            </w:r>
            <w:r>
              <w:rPr>
                <w:spacing w:val="-7"/>
                <w:sz w:val="18"/>
              </w:rPr>
              <w:t xml:space="preserve"> </w:t>
            </w:r>
            <w:r>
              <w:rPr>
                <w:sz w:val="18"/>
              </w:rPr>
              <w:t>during</w:t>
            </w:r>
            <w:r>
              <w:rPr>
                <w:spacing w:val="-7"/>
                <w:sz w:val="18"/>
              </w:rPr>
              <w:t xml:space="preserve"> </w:t>
            </w:r>
            <w:r>
              <w:rPr>
                <w:sz w:val="18"/>
              </w:rPr>
              <w:t>the</w:t>
            </w:r>
            <w:r>
              <w:rPr>
                <w:spacing w:val="-7"/>
                <w:sz w:val="18"/>
              </w:rPr>
              <w:t xml:space="preserve"> </w:t>
            </w:r>
            <w:r>
              <w:rPr>
                <w:sz w:val="18"/>
              </w:rPr>
              <w:t>reporting</w:t>
            </w:r>
            <w:r>
              <w:rPr>
                <w:spacing w:val="-7"/>
                <w:sz w:val="18"/>
              </w:rPr>
              <w:t xml:space="preserve"> </w:t>
            </w:r>
            <w:r>
              <w:rPr>
                <w:sz w:val="18"/>
              </w:rPr>
              <w:t>period</w:t>
            </w:r>
            <w:r>
              <w:rPr>
                <w:spacing w:val="-7"/>
                <w:sz w:val="18"/>
              </w:rPr>
              <w:t xml:space="preserve"> </w:t>
            </w:r>
            <w:r>
              <w:rPr>
                <w:sz w:val="18"/>
              </w:rPr>
              <w:t>and</w:t>
            </w:r>
            <w:r>
              <w:rPr>
                <w:spacing w:val="-7"/>
                <w:sz w:val="18"/>
              </w:rPr>
              <w:t xml:space="preserve"> </w:t>
            </w:r>
            <w:r>
              <w:rPr>
                <w:sz w:val="18"/>
              </w:rPr>
              <w:t>does</w:t>
            </w:r>
            <w:r>
              <w:rPr>
                <w:spacing w:val="-7"/>
                <w:sz w:val="18"/>
              </w:rPr>
              <w:t xml:space="preserve"> </w:t>
            </w:r>
            <w:r>
              <w:rPr>
                <w:sz w:val="18"/>
              </w:rPr>
              <w:t>not</w:t>
            </w:r>
            <w:r>
              <w:rPr>
                <w:spacing w:val="-6"/>
                <w:sz w:val="18"/>
              </w:rPr>
              <w:t xml:space="preserve"> </w:t>
            </w:r>
            <w:r>
              <w:rPr>
                <w:sz w:val="18"/>
              </w:rPr>
              <w:t>include</w:t>
            </w:r>
            <w:r>
              <w:rPr>
                <w:spacing w:val="-5"/>
                <w:sz w:val="18"/>
              </w:rPr>
              <w:t xml:space="preserve"> </w:t>
            </w:r>
            <w:r>
              <w:rPr>
                <w:sz w:val="18"/>
              </w:rPr>
              <w:t>incidental</w:t>
            </w:r>
            <w:r>
              <w:rPr>
                <w:spacing w:val="-6"/>
                <w:sz w:val="18"/>
              </w:rPr>
              <w:t xml:space="preserve"> </w:t>
            </w:r>
            <w:r>
              <w:rPr>
                <w:sz w:val="18"/>
              </w:rPr>
              <w:t>or infrequent uses of that land.</w:t>
            </w:r>
          </w:p>
          <w:p w14:paraId="0DFDC5C9" w14:textId="77777777" w:rsidR="00046465" w:rsidRDefault="008134EB">
            <w:pPr>
              <w:pStyle w:val="TableParagraph"/>
              <w:numPr>
                <w:ilvl w:val="0"/>
                <w:numId w:val="80"/>
              </w:numPr>
              <w:tabs>
                <w:tab w:val="left" w:pos="305"/>
                <w:tab w:val="left" w:pos="307"/>
              </w:tabs>
              <w:spacing w:before="57"/>
              <w:ind w:right="292"/>
              <w:rPr>
                <w:sz w:val="18"/>
              </w:rPr>
            </w:pPr>
            <w:r>
              <w:rPr>
                <w:sz w:val="18"/>
              </w:rPr>
              <w:t>For each selected item of recorded land activity and events that relate to increases, determine whether the predominant use is consistent with the entity’s authorizing legislation.</w:t>
            </w:r>
            <w:r>
              <w:rPr>
                <w:spacing w:val="-7"/>
                <w:sz w:val="18"/>
              </w:rPr>
              <w:t xml:space="preserve"> </w:t>
            </w:r>
            <w:r>
              <w:rPr>
                <w:sz w:val="18"/>
              </w:rPr>
              <w:t>Note</w:t>
            </w:r>
            <w:r>
              <w:rPr>
                <w:spacing w:val="-8"/>
                <w:sz w:val="18"/>
              </w:rPr>
              <w:t xml:space="preserve"> </w:t>
            </w:r>
            <w:r>
              <w:rPr>
                <w:sz w:val="18"/>
              </w:rPr>
              <w:t>that</w:t>
            </w:r>
            <w:r>
              <w:rPr>
                <w:spacing w:val="-7"/>
                <w:sz w:val="18"/>
              </w:rPr>
              <w:t xml:space="preserve"> </w:t>
            </w:r>
            <w:r>
              <w:rPr>
                <w:sz w:val="18"/>
              </w:rPr>
              <w:t>the</w:t>
            </w:r>
            <w:r>
              <w:rPr>
                <w:spacing w:val="-8"/>
                <w:sz w:val="18"/>
              </w:rPr>
              <w:t xml:space="preserve"> </w:t>
            </w:r>
            <w:r>
              <w:rPr>
                <w:sz w:val="18"/>
              </w:rPr>
              <w:t>predominant</w:t>
            </w:r>
            <w:r>
              <w:rPr>
                <w:spacing w:val="-7"/>
                <w:sz w:val="18"/>
              </w:rPr>
              <w:t xml:space="preserve"> </w:t>
            </w:r>
            <w:r>
              <w:rPr>
                <w:sz w:val="18"/>
              </w:rPr>
              <w:t>use</w:t>
            </w:r>
            <w:r>
              <w:rPr>
                <w:spacing w:val="-8"/>
                <w:sz w:val="18"/>
              </w:rPr>
              <w:t xml:space="preserve"> </w:t>
            </w:r>
            <w:r>
              <w:rPr>
                <w:sz w:val="18"/>
              </w:rPr>
              <w:t>may</w:t>
            </w:r>
            <w:r>
              <w:rPr>
                <w:spacing w:val="-8"/>
                <w:sz w:val="18"/>
              </w:rPr>
              <w:t xml:space="preserve"> </w:t>
            </w:r>
            <w:r>
              <w:rPr>
                <w:sz w:val="18"/>
              </w:rPr>
              <w:t>not</w:t>
            </w:r>
            <w:r>
              <w:rPr>
                <w:spacing w:val="-6"/>
                <w:sz w:val="18"/>
              </w:rPr>
              <w:t xml:space="preserve"> </w:t>
            </w:r>
            <w:r>
              <w:rPr>
                <w:sz w:val="18"/>
              </w:rPr>
              <w:t>always</w:t>
            </w:r>
            <w:r>
              <w:rPr>
                <w:spacing w:val="-6"/>
                <w:sz w:val="18"/>
              </w:rPr>
              <w:t xml:space="preserve"> </w:t>
            </w:r>
            <w:r>
              <w:rPr>
                <w:sz w:val="18"/>
              </w:rPr>
              <w:t>be</w:t>
            </w:r>
            <w:r>
              <w:rPr>
                <w:spacing w:val="-8"/>
                <w:sz w:val="18"/>
              </w:rPr>
              <w:t xml:space="preserve"> </w:t>
            </w:r>
            <w:r>
              <w:rPr>
                <w:sz w:val="18"/>
              </w:rPr>
              <w:t>consistent</w:t>
            </w:r>
            <w:r>
              <w:rPr>
                <w:spacing w:val="-5"/>
                <w:sz w:val="18"/>
              </w:rPr>
              <w:t xml:space="preserve"> </w:t>
            </w:r>
            <w:r>
              <w:rPr>
                <w:sz w:val="18"/>
              </w:rPr>
              <w:t>with</w:t>
            </w:r>
            <w:r>
              <w:rPr>
                <w:spacing w:val="-8"/>
                <w:sz w:val="18"/>
              </w:rPr>
              <w:t xml:space="preserve"> </w:t>
            </w:r>
            <w:r>
              <w:rPr>
                <w:sz w:val="18"/>
              </w:rPr>
              <w:t>the</w:t>
            </w:r>
            <w:r>
              <w:rPr>
                <w:spacing w:val="-8"/>
                <w:sz w:val="18"/>
              </w:rPr>
              <w:t xml:space="preserve"> </w:t>
            </w:r>
            <w:r>
              <w:rPr>
                <w:sz w:val="18"/>
              </w:rPr>
              <w:t xml:space="preserve">original intent or reason why the land was initially acquired and can change between reporting </w:t>
            </w:r>
            <w:r>
              <w:rPr>
                <w:spacing w:val="-2"/>
                <w:sz w:val="18"/>
              </w:rPr>
              <w:t>periods.</w:t>
            </w:r>
          </w:p>
        </w:tc>
      </w:tr>
    </w:tbl>
    <w:p w14:paraId="0DFDC5CB" w14:textId="77777777" w:rsidR="00046465" w:rsidRDefault="00046465">
      <w:pPr>
        <w:pStyle w:val="BodyText"/>
        <w:spacing w:before="1"/>
        <w:rPr>
          <w:b/>
        </w:rPr>
      </w:pPr>
    </w:p>
    <w:p w14:paraId="0DFDC5CC" w14:textId="77777777" w:rsidR="00046465" w:rsidRDefault="008134EB">
      <w:pPr>
        <w:pStyle w:val="ListParagraph"/>
        <w:numPr>
          <w:ilvl w:val="0"/>
          <w:numId w:val="107"/>
        </w:numPr>
        <w:tabs>
          <w:tab w:val="left" w:pos="1800"/>
        </w:tabs>
        <w:spacing w:before="0"/>
        <w:ind w:right="862"/>
      </w:pPr>
      <w:r>
        <w:t>The auditor might detect misstatements when performing substantive tests or other procedures discussed above. The auditor should accumulate misstatements identified during those procedures, other than those that are clearly</w:t>
      </w:r>
      <w:r>
        <w:rPr>
          <w:spacing w:val="-3"/>
        </w:rPr>
        <w:t xml:space="preserve"> </w:t>
      </w:r>
      <w:r>
        <w:t>trivial</w:t>
      </w:r>
      <w:r>
        <w:rPr>
          <w:spacing w:val="-4"/>
        </w:rPr>
        <w:t xml:space="preserve"> </w:t>
      </w:r>
      <w:r>
        <w:t>(see</w:t>
      </w:r>
      <w:r>
        <w:rPr>
          <w:spacing w:val="-3"/>
        </w:rPr>
        <w:t xml:space="preserve"> </w:t>
      </w:r>
      <w:r>
        <w:t>FAM</w:t>
      </w:r>
      <w:r>
        <w:rPr>
          <w:spacing w:val="-4"/>
        </w:rPr>
        <w:t xml:space="preserve"> </w:t>
      </w:r>
      <w:r>
        <w:t>595</w:t>
      </w:r>
      <w:r>
        <w:rPr>
          <w:spacing w:val="-3"/>
        </w:rPr>
        <w:t xml:space="preserve"> </w:t>
      </w:r>
      <w:r>
        <w:t>C).</w:t>
      </w:r>
      <w:r>
        <w:rPr>
          <w:spacing w:val="-3"/>
        </w:rPr>
        <w:t xml:space="preserve"> </w:t>
      </w:r>
      <w:r>
        <w:t>The</w:t>
      </w:r>
      <w:r>
        <w:rPr>
          <w:spacing w:val="-3"/>
        </w:rPr>
        <w:t xml:space="preserve"> </w:t>
      </w:r>
      <w:r>
        <w:t>auditor</w:t>
      </w:r>
      <w:r>
        <w:rPr>
          <w:spacing w:val="-3"/>
        </w:rPr>
        <w:t xml:space="preserve"> </w:t>
      </w:r>
      <w:r>
        <w:t>should</w:t>
      </w:r>
      <w:r>
        <w:rPr>
          <w:spacing w:val="-3"/>
        </w:rPr>
        <w:t xml:space="preserve"> </w:t>
      </w:r>
      <w:r>
        <w:t>refer</w:t>
      </w:r>
      <w:r>
        <w:rPr>
          <w:spacing w:val="-3"/>
        </w:rPr>
        <w:t xml:space="preserve"> </w:t>
      </w:r>
      <w:r>
        <w:t>to</w:t>
      </w:r>
      <w:r>
        <w:rPr>
          <w:spacing w:val="-3"/>
        </w:rPr>
        <w:t xml:space="preserve"> </w:t>
      </w:r>
      <w:r>
        <w:t>FAM</w:t>
      </w:r>
      <w:r>
        <w:rPr>
          <w:spacing w:val="-4"/>
        </w:rPr>
        <w:t xml:space="preserve"> </w:t>
      </w:r>
      <w:r>
        <w:t>530</w:t>
      </w:r>
      <w:r>
        <w:rPr>
          <w:spacing w:val="-3"/>
        </w:rPr>
        <w:t xml:space="preserve"> </w:t>
      </w:r>
      <w:r>
        <w:t>and</w:t>
      </w:r>
      <w:r>
        <w:rPr>
          <w:spacing w:val="-3"/>
        </w:rPr>
        <w:t xml:space="preserve"> </w:t>
      </w:r>
      <w:r>
        <w:t>540</w:t>
      </w:r>
      <w:r>
        <w:rPr>
          <w:spacing w:val="-3"/>
        </w:rPr>
        <w:t xml:space="preserve"> </w:t>
      </w:r>
      <w:r>
        <w:t>for the evaluation and other factors to consider.</w:t>
      </w:r>
    </w:p>
    <w:p w14:paraId="0DFDC5CD" w14:textId="77777777" w:rsidR="00046465" w:rsidRDefault="008134EB">
      <w:pPr>
        <w:pStyle w:val="ListParagraph"/>
        <w:numPr>
          <w:ilvl w:val="0"/>
          <w:numId w:val="107"/>
        </w:numPr>
        <w:tabs>
          <w:tab w:val="left" w:pos="1800"/>
        </w:tabs>
        <w:ind w:right="837"/>
      </w:pPr>
      <w:r>
        <w:t>The</w:t>
      </w:r>
      <w:r>
        <w:rPr>
          <w:spacing w:val="-4"/>
        </w:rPr>
        <w:t xml:space="preserve"> </w:t>
      </w:r>
      <w:r>
        <w:t>auditor’s</w:t>
      </w:r>
      <w:r>
        <w:rPr>
          <w:spacing w:val="-4"/>
        </w:rPr>
        <w:t xml:space="preserve"> </w:t>
      </w:r>
      <w:r>
        <w:t>documentation</w:t>
      </w:r>
      <w:r>
        <w:rPr>
          <w:spacing w:val="-4"/>
        </w:rPr>
        <w:t xml:space="preserve"> </w:t>
      </w:r>
      <w:r>
        <w:t>of</w:t>
      </w:r>
      <w:r>
        <w:rPr>
          <w:spacing w:val="-4"/>
        </w:rPr>
        <w:t xml:space="preserve"> </w:t>
      </w:r>
      <w:r>
        <w:t>the</w:t>
      </w:r>
      <w:r>
        <w:rPr>
          <w:spacing w:val="-4"/>
        </w:rPr>
        <w:t xml:space="preserve"> </w:t>
      </w:r>
      <w:r>
        <w:t>testing</w:t>
      </w:r>
      <w:r>
        <w:rPr>
          <w:spacing w:val="-4"/>
        </w:rPr>
        <w:t xml:space="preserve"> </w:t>
      </w:r>
      <w:r>
        <w:t>phase</w:t>
      </w:r>
      <w:r>
        <w:rPr>
          <w:spacing w:val="-4"/>
        </w:rPr>
        <w:t xml:space="preserve"> </w:t>
      </w:r>
      <w:r>
        <w:t>should</w:t>
      </w:r>
      <w:r>
        <w:rPr>
          <w:spacing w:val="-4"/>
        </w:rPr>
        <w:t xml:space="preserve"> </w:t>
      </w:r>
      <w:r>
        <w:t>follow</w:t>
      </w:r>
      <w:r>
        <w:rPr>
          <w:spacing w:val="-5"/>
        </w:rPr>
        <w:t xml:space="preserve"> </w:t>
      </w:r>
      <w:r>
        <w:t>the</w:t>
      </w:r>
      <w:r>
        <w:rPr>
          <w:spacing w:val="-4"/>
        </w:rPr>
        <w:t xml:space="preserve"> </w:t>
      </w:r>
      <w:r>
        <w:t>requirements in FAM 490, as applicable.</w:t>
      </w:r>
    </w:p>
    <w:p w14:paraId="0DFDC5CE" w14:textId="77777777" w:rsidR="00046465" w:rsidRDefault="008134EB">
      <w:pPr>
        <w:pStyle w:val="Heading5"/>
        <w:spacing w:before="120"/>
        <w:ind w:left="392"/>
        <w:rPr>
          <w:u w:val="none"/>
        </w:rPr>
      </w:pPr>
      <w:r>
        <w:t>Reporting</w:t>
      </w:r>
      <w:r>
        <w:rPr>
          <w:spacing w:val="-5"/>
        </w:rPr>
        <w:t xml:space="preserve"> </w:t>
      </w:r>
      <w:r>
        <w:rPr>
          <w:spacing w:val="-2"/>
        </w:rPr>
        <w:t>Phase</w:t>
      </w:r>
    </w:p>
    <w:p w14:paraId="0DFDC5CF" w14:textId="77777777" w:rsidR="00046465" w:rsidRDefault="00046465">
      <w:pPr>
        <w:pStyle w:val="BodyText"/>
        <w:spacing w:before="34"/>
        <w:rPr>
          <w:b/>
        </w:rPr>
      </w:pPr>
    </w:p>
    <w:p w14:paraId="0DFDC5D0" w14:textId="77777777" w:rsidR="00046465" w:rsidRDefault="008134EB">
      <w:pPr>
        <w:pStyle w:val="ListParagraph"/>
        <w:numPr>
          <w:ilvl w:val="0"/>
          <w:numId w:val="107"/>
        </w:numPr>
        <w:tabs>
          <w:tab w:val="left" w:pos="1800"/>
        </w:tabs>
        <w:spacing w:before="0"/>
        <w:ind w:right="724"/>
      </w:pPr>
      <w:r>
        <w:t>To determine the proper reporting, presentation, and disclosure of PP&amp;E land and stewardship land, the auditor should review the appropriate information</w:t>
      </w:r>
      <w:r>
        <w:rPr>
          <w:spacing w:val="40"/>
        </w:rPr>
        <w:t xml:space="preserve"> </w:t>
      </w:r>
      <w:r>
        <w:t>about acreage and determine whether the acreage, and the categorization of the acreage</w:t>
      </w:r>
      <w:r>
        <w:rPr>
          <w:spacing w:val="-4"/>
        </w:rPr>
        <w:t xml:space="preserve"> </w:t>
      </w:r>
      <w:r>
        <w:t>of</w:t>
      </w:r>
      <w:r>
        <w:rPr>
          <w:spacing w:val="-5"/>
        </w:rPr>
        <w:t xml:space="preserve"> </w:t>
      </w:r>
      <w:r>
        <w:t>PP&amp;E</w:t>
      </w:r>
      <w:r>
        <w:rPr>
          <w:spacing w:val="-4"/>
        </w:rPr>
        <w:t xml:space="preserve"> </w:t>
      </w:r>
      <w:r>
        <w:t>land</w:t>
      </w:r>
      <w:r>
        <w:rPr>
          <w:spacing w:val="-3"/>
        </w:rPr>
        <w:t xml:space="preserve"> </w:t>
      </w:r>
      <w:r>
        <w:t>and</w:t>
      </w:r>
      <w:r>
        <w:rPr>
          <w:spacing w:val="-4"/>
        </w:rPr>
        <w:t xml:space="preserve"> </w:t>
      </w:r>
      <w:r>
        <w:t>stewardship</w:t>
      </w:r>
      <w:r>
        <w:rPr>
          <w:spacing w:val="-4"/>
        </w:rPr>
        <w:t xml:space="preserve"> </w:t>
      </w:r>
      <w:r>
        <w:t>land</w:t>
      </w:r>
      <w:r>
        <w:rPr>
          <w:spacing w:val="-4"/>
        </w:rPr>
        <w:t xml:space="preserve"> </w:t>
      </w:r>
      <w:r>
        <w:t>into</w:t>
      </w:r>
      <w:r>
        <w:rPr>
          <w:spacing w:val="-4"/>
        </w:rPr>
        <w:t xml:space="preserve"> </w:t>
      </w:r>
      <w:r>
        <w:t>predominant</w:t>
      </w:r>
      <w:r>
        <w:rPr>
          <w:spacing w:val="-4"/>
        </w:rPr>
        <w:t xml:space="preserve"> </w:t>
      </w:r>
      <w:r>
        <w:t>use</w:t>
      </w:r>
      <w:r>
        <w:rPr>
          <w:spacing w:val="-4"/>
        </w:rPr>
        <w:t xml:space="preserve"> </w:t>
      </w:r>
      <w:r>
        <w:t>subcategories, is properly reported in accordance</w:t>
      </w:r>
      <w:r>
        <w:rPr>
          <w:spacing w:val="-1"/>
        </w:rPr>
        <w:t xml:space="preserve"> </w:t>
      </w:r>
      <w:r>
        <w:t xml:space="preserve">with SFFAS 59, TB 2025-1, and OMB Circular </w:t>
      </w:r>
      <w:r>
        <w:rPr>
          <w:spacing w:val="-2"/>
        </w:rPr>
        <w:t>A-136.</w:t>
      </w:r>
    </w:p>
    <w:p w14:paraId="0DFDC5D1" w14:textId="77777777" w:rsidR="00046465" w:rsidRDefault="008134EB">
      <w:pPr>
        <w:pStyle w:val="ListParagraph"/>
        <w:numPr>
          <w:ilvl w:val="0"/>
          <w:numId w:val="107"/>
        </w:numPr>
        <w:tabs>
          <w:tab w:val="left" w:pos="1800"/>
        </w:tabs>
        <w:ind w:right="933"/>
      </w:pPr>
      <w:r>
        <w:t>To assess whether the presentation of the note disclosure for PP&amp;E land and stewardship</w:t>
      </w:r>
      <w:r>
        <w:rPr>
          <w:spacing w:val="-16"/>
        </w:rPr>
        <w:t xml:space="preserve"> </w:t>
      </w:r>
      <w:r>
        <w:t>land</w:t>
      </w:r>
      <w:r>
        <w:rPr>
          <w:spacing w:val="-15"/>
        </w:rPr>
        <w:t xml:space="preserve"> </w:t>
      </w:r>
      <w:r>
        <w:t>is</w:t>
      </w:r>
      <w:r>
        <w:rPr>
          <w:spacing w:val="-11"/>
        </w:rPr>
        <w:t xml:space="preserve"> </w:t>
      </w:r>
      <w:r>
        <w:t>in</w:t>
      </w:r>
      <w:r>
        <w:rPr>
          <w:spacing w:val="-15"/>
        </w:rPr>
        <w:t xml:space="preserve"> </w:t>
      </w:r>
      <w:r>
        <w:t>accordance</w:t>
      </w:r>
      <w:r>
        <w:rPr>
          <w:spacing w:val="-15"/>
        </w:rPr>
        <w:t xml:space="preserve"> </w:t>
      </w:r>
      <w:r>
        <w:t>with</w:t>
      </w:r>
      <w:r>
        <w:rPr>
          <w:spacing w:val="-15"/>
        </w:rPr>
        <w:t xml:space="preserve"> </w:t>
      </w:r>
      <w:r>
        <w:t>U.S.</w:t>
      </w:r>
      <w:r>
        <w:rPr>
          <w:spacing w:val="-15"/>
        </w:rPr>
        <w:t xml:space="preserve"> </w:t>
      </w:r>
      <w:r>
        <w:t>GAAP,</w:t>
      </w:r>
      <w:r>
        <w:rPr>
          <w:spacing w:val="-15"/>
        </w:rPr>
        <w:t xml:space="preserve"> </w:t>
      </w:r>
      <w:r>
        <w:t>the</w:t>
      </w:r>
      <w:r>
        <w:rPr>
          <w:spacing w:val="-16"/>
        </w:rPr>
        <w:t xml:space="preserve"> </w:t>
      </w:r>
      <w:r>
        <w:t>auditor</w:t>
      </w:r>
      <w:r>
        <w:rPr>
          <w:spacing w:val="-15"/>
        </w:rPr>
        <w:t xml:space="preserve"> </w:t>
      </w:r>
      <w:r>
        <w:t>should</w:t>
      </w:r>
      <w:r>
        <w:rPr>
          <w:spacing w:val="-15"/>
        </w:rPr>
        <w:t xml:space="preserve"> </w:t>
      </w:r>
      <w:r>
        <w:t>determine whether the entity has appropriately included the following:</w:t>
      </w:r>
    </w:p>
    <w:p w14:paraId="0DFDC5D2" w14:textId="77777777" w:rsidR="00046465" w:rsidRDefault="008134EB">
      <w:pPr>
        <w:pStyle w:val="ListParagraph"/>
        <w:numPr>
          <w:ilvl w:val="1"/>
          <w:numId w:val="107"/>
        </w:numPr>
        <w:tabs>
          <w:tab w:val="left" w:pos="2160"/>
        </w:tabs>
        <w:spacing w:before="121"/>
        <w:ind w:right="794"/>
      </w:pPr>
      <w:r>
        <w:t>A</w:t>
      </w:r>
      <w:r>
        <w:rPr>
          <w:spacing w:val="-4"/>
        </w:rPr>
        <w:t xml:space="preserve"> </w:t>
      </w:r>
      <w:r>
        <w:t>concise</w:t>
      </w:r>
      <w:r>
        <w:rPr>
          <w:spacing w:val="-4"/>
        </w:rPr>
        <w:t xml:space="preserve"> </w:t>
      </w:r>
      <w:r>
        <w:t>statement</w:t>
      </w:r>
      <w:r>
        <w:rPr>
          <w:spacing w:val="-4"/>
        </w:rPr>
        <w:t xml:space="preserve"> </w:t>
      </w:r>
      <w:r>
        <w:t>defining</w:t>
      </w:r>
      <w:r>
        <w:rPr>
          <w:spacing w:val="-4"/>
        </w:rPr>
        <w:t xml:space="preserve"> </w:t>
      </w:r>
      <w:r>
        <w:t>an</w:t>
      </w:r>
      <w:r>
        <w:rPr>
          <w:spacing w:val="-4"/>
        </w:rPr>
        <w:t xml:space="preserve"> </w:t>
      </w:r>
      <w:r>
        <w:t>entity’s</w:t>
      </w:r>
      <w:r>
        <w:rPr>
          <w:spacing w:val="-3"/>
        </w:rPr>
        <w:t xml:space="preserve"> </w:t>
      </w:r>
      <w:r>
        <w:t>land</w:t>
      </w:r>
      <w:r>
        <w:rPr>
          <w:spacing w:val="-4"/>
        </w:rPr>
        <w:t xml:space="preserve"> </w:t>
      </w:r>
      <w:r>
        <w:t>and</w:t>
      </w:r>
      <w:r>
        <w:rPr>
          <w:spacing w:val="-4"/>
        </w:rPr>
        <w:t xml:space="preserve"> </w:t>
      </w:r>
      <w:r>
        <w:t>explaining</w:t>
      </w:r>
      <w:r>
        <w:rPr>
          <w:spacing w:val="-6"/>
        </w:rPr>
        <w:t xml:space="preserve"> </w:t>
      </w:r>
      <w:r>
        <w:t>how</w:t>
      </w:r>
      <w:r>
        <w:rPr>
          <w:spacing w:val="-4"/>
        </w:rPr>
        <w:t xml:space="preserve"> </w:t>
      </w:r>
      <w:r>
        <w:t>land</w:t>
      </w:r>
      <w:r>
        <w:rPr>
          <w:spacing w:val="-4"/>
        </w:rPr>
        <w:t xml:space="preserve"> </w:t>
      </w:r>
      <w:r>
        <w:t>relates to the entity’s mission.</w:t>
      </w:r>
    </w:p>
    <w:p w14:paraId="0DFDC5D3" w14:textId="77777777" w:rsidR="00046465" w:rsidRDefault="008134EB">
      <w:pPr>
        <w:pStyle w:val="ListParagraph"/>
        <w:numPr>
          <w:ilvl w:val="1"/>
          <w:numId w:val="107"/>
        </w:numPr>
        <w:tabs>
          <w:tab w:val="left" w:pos="2159"/>
        </w:tabs>
        <w:spacing w:before="119"/>
        <w:ind w:left="2159" w:hanging="359"/>
      </w:pPr>
      <w:r>
        <w:t>A</w:t>
      </w:r>
      <w:r>
        <w:rPr>
          <w:spacing w:val="-6"/>
        </w:rPr>
        <w:t xml:space="preserve"> </w:t>
      </w:r>
      <w:r>
        <w:t>brief</w:t>
      </w:r>
      <w:r>
        <w:rPr>
          <w:spacing w:val="-5"/>
        </w:rPr>
        <w:t xml:space="preserve"> </w:t>
      </w:r>
      <w:r>
        <w:t>description</w:t>
      </w:r>
      <w:r>
        <w:rPr>
          <w:spacing w:val="-5"/>
        </w:rPr>
        <w:t xml:space="preserve"> </w:t>
      </w:r>
      <w:r>
        <w:t>of</w:t>
      </w:r>
      <w:r>
        <w:rPr>
          <w:spacing w:val="-5"/>
        </w:rPr>
        <w:t xml:space="preserve"> </w:t>
      </w:r>
      <w:r>
        <w:t>the</w:t>
      </w:r>
      <w:r>
        <w:rPr>
          <w:spacing w:val="-6"/>
        </w:rPr>
        <w:t xml:space="preserve"> </w:t>
      </w:r>
      <w:r>
        <w:t>entity’s</w:t>
      </w:r>
      <w:r>
        <w:rPr>
          <w:spacing w:val="-5"/>
        </w:rPr>
        <w:t xml:space="preserve"> </w:t>
      </w:r>
      <w:r>
        <w:t>policies</w:t>
      </w:r>
      <w:r>
        <w:rPr>
          <w:spacing w:val="-5"/>
        </w:rPr>
        <w:t xml:space="preserve"> </w:t>
      </w:r>
      <w:r>
        <w:t>for</w:t>
      </w:r>
      <w:r>
        <w:rPr>
          <w:spacing w:val="-6"/>
        </w:rPr>
        <w:t xml:space="preserve"> </w:t>
      </w:r>
      <w:r>
        <w:rPr>
          <w:spacing w:val="-4"/>
        </w:rPr>
        <w:t>land.</w:t>
      </w:r>
    </w:p>
    <w:p w14:paraId="0DFDC5D4" w14:textId="77777777" w:rsidR="00046465" w:rsidRDefault="008134EB">
      <w:pPr>
        <w:pStyle w:val="ListParagraph"/>
        <w:numPr>
          <w:ilvl w:val="1"/>
          <w:numId w:val="107"/>
        </w:numPr>
        <w:tabs>
          <w:tab w:val="left" w:pos="2160"/>
        </w:tabs>
        <w:ind w:right="805"/>
      </w:pPr>
      <w:r>
        <w:t>Information on land use by subcategory. PP&amp;E land and stewardship land should</w:t>
      </w:r>
      <w:r>
        <w:rPr>
          <w:spacing w:val="-4"/>
        </w:rPr>
        <w:t xml:space="preserve"> </w:t>
      </w:r>
      <w:r>
        <w:t>be</w:t>
      </w:r>
      <w:r>
        <w:rPr>
          <w:spacing w:val="-4"/>
        </w:rPr>
        <w:t xml:space="preserve"> </w:t>
      </w:r>
      <w:r>
        <w:t>assigned</w:t>
      </w:r>
      <w:r>
        <w:rPr>
          <w:spacing w:val="-4"/>
        </w:rPr>
        <w:t xml:space="preserve"> </w:t>
      </w:r>
      <w:r>
        <w:t>to</w:t>
      </w:r>
      <w:r>
        <w:rPr>
          <w:spacing w:val="-4"/>
        </w:rPr>
        <w:t xml:space="preserve"> </w:t>
      </w:r>
      <w:r>
        <w:t>one</w:t>
      </w:r>
      <w:r>
        <w:rPr>
          <w:spacing w:val="-4"/>
        </w:rPr>
        <w:t xml:space="preserve"> </w:t>
      </w:r>
      <w:r>
        <w:t>of</w:t>
      </w:r>
      <w:r>
        <w:rPr>
          <w:spacing w:val="-4"/>
        </w:rPr>
        <w:t xml:space="preserve"> </w:t>
      </w:r>
      <w:r>
        <w:t>three</w:t>
      </w:r>
      <w:r>
        <w:rPr>
          <w:spacing w:val="-4"/>
        </w:rPr>
        <w:t xml:space="preserve"> </w:t>
      </w:r>
      <w:r>
        <w:t>subcategories</w:t>
      </w:r>
      <w:r>
        <w:rPr>
          <w:spacing w:val="-4"/>
        </w:rPr>
        <w:t xml:space="preserve"> </w:t>
      </w:r>
      <w:r>
        <w:t>based</w:t>
      </w:r>
      <w:r>
        <w:rPr>
          <w:spacing w:val="-4"/>
        </w:rPr>
        <w:t xml:space="preserve"> </w:t>
      </w:r>
      <w:r>
        <w:t>on</w:t>
      </w:r>
      <w:r>
        <w:rPr>
          <w:spacing w:val="-5"/>
        </w:rPr>
        <w:t xml:space="preserve"> </w:t>
      </w:r>
      <w:r>
        <w:t>predominant</w:t>
      </w:r>
      <w:r>
        <w:rPr>
          <w:spacing w:val="-4"/>
        </w:rPr>
        <w:t xml:space="preserve"> </w:t>
      </w:r>
      <w:r>
        <w:t xml:space="preserve">use and reported in estimated acres of land. The three subcategories are commercial use land, conservation and preservation land, and operational </w:t>
      </w:r>
      <w:r>
        <w:rPr>
          <w:spacing w:val="-2"/>
        </w:rPr>
        <w:t>land.</w:t>
      </w:r>
    </w:p>
    <w:p w14:paraId="0DFDC5D5" w14:textId="77777777" w:rsidR="00046465" w:rsidRDefault="008134EB">
      <w:pPr>
        <w:pStyle w:val="ListParagraph"/>
        <w:numPr>
          <w:ilvl w:val="1"/>
          <w:numId w:val="107"/>
        </w:numPr>
        <w:tabs>
          <w:tab w:val="left" w:pos="2160"/>
        </w:tabs>
        <w:ind w:right="1379"/>
      </w:pPr>
      <w:r>
        <w:t>If</w:t>
      </w:r>
      <w:r>
        <w:rPr>
          <w:spacing w:val="-4"/>
        </w:rPr>
        <w:t xml:space="preserve"> </w:t>
      </w:r>
      <w:r>
        <w:t>applicable,</w:t>
      </w:r>
      <w:r>
        <w:rPr>
          <w:spacing w:val="-4"/>
        </w:rPr>
        <w:t xml:space="preserve"> </w:t>
      </w:r>
      <w:r>
        <w:t>the</w:t>
      </w:r>
      <w:r>
        <w:rPr>
          <w:spacing w:val="-4"/>
        </w:rPr>
        <w:t xml:space="preserve"> </w:t>
      </w:r>
      <w:r>
        <w:t>amount</w:t>
      </w:r>
      <w:r>
        <w:rPr>
          <w:spacing w:val="-4"/>
        </w:rPr>
        <w:t xml:space="preserve"> </w:t>
      </w:r>
      <w:r>
        <w:t>of</w:t>
      </w:r>
      <w:r>
        <w:rPr>
          <w:spacing w:val="-4"/>
        </w:rPr>
        <w:t xml:space="preserve"> </w:t>
      </w:r>
      <w:r>
        <w:t>estimated</w:t>
      </w:r>
      <w:r>
        <w:rPr>
          <w:spacing w:val="-4"/>
        </w:rPr>
        <w:t xml:space="preserve"> </w:t>
      </w:r>
      <w:r>
        <w:t>acres</w:t>
      </w:r>
      <w:r>
        <w:rPr>
          <w:spacing w:val="-4"/>
        </w:rPr>
        <w:t xml:space="preserve"> </w:t>
      </w:r>
      <w:r>
        <w:t>of</w:t>
      </w:r>
      <w:r>
        <w:rPr>
          <w:spacing w:val="-4"/>
        </w:rPr>
        <w:t xml:space="preserve"> </w:t>
      </w:r>
      <w:r>
        <w:t>land</w:t>
      </w:r>
      <w:r>
        <w:rPr>
          <w:spacing w:val="-4"/>
        </w:rPr>
        <w:t xml:space="preserve"> </w:t>
      </w:r>
      <w:r>
        <w:t>held</w:t>
      </w:r>
      <w:r>
        <w:rPr>
          <w:spacing w:val="-4"/>
        </w:rPr>
        <w:t xml:space="preserve"> </w:t>
      </w:r>
      <w:r>
        <w:t>for</w:t>
      </w:r>
      <w:r>
        <w:rPr>
          <w:spacing w:val="-4"/>
        </w:rPr>
        <w:t xml:space="preserve"> </w:t>
      </w:r>
      <w:r>
        <w:t>disposal</w:t>
      </w:r>
      <w:r>
        <w:rPr>
          <w:spacing w:val="-4"/>
        </w:rPr>
        <w:t xml:space="preserve"> </w:t>
      </w:r>
      <w:r>
        <w:t>or exchange and their predominant use.</w:t>
      </w:r>
    </w:p>
    <w:p w14:paraId="0DFDC5D6" w14:textId="77777777" w:rsidR="00046465" w:rsidRDefault="00046465">
      <w:pPr>
        <w:pStyle w:val="ListParagraph"/>
        <w:sectPr w:rsidR="00046465">
          <w:pgSz w:w="12240" w:h="15840"/>
          <w:pgMar w:top="1340" w:right="720" w:bottom="940" w:left="1080" w:header="721" w:footer="757" w:gutter="0"/>
          <w:cols w:space="720"/>
        </w:sectPr>
      </w:pPr>
    </w:p>
    <w:p w14:paraId="0DFDC5D7" w14:textId="77777777" w:rsidR="00046465" w:rsidRDefault="008134EB">
      <w:pPr>
        <w:pStyle w:val="ListParagraph"/>
        <w:numPr>
          <w:ilvl w:val="1"/>
          <w:numId w:val="107"/>
        </w:numPr>
        <w:tabs>
          <w:tab w:val="left" w:pos="2159"/>
        </w:tabs>
        <w:spacing w:before="121"/>
        <w:ind w:left="2159" w:right="976"/>
        <w:jc w:val="both"/>
      </w:pPr>
      <w:r>
        <w:lastRenderedPageBreak/>
        <w:t>Land</w:t>
      </w:r>
      <w:r>
        <w:rPr>
          <w:spacing w:val="-1"/>
        </w:rPr>
        <w:t xml:space="preserve"> </w:t>
      </w:r>
      <w:r>
        <w:t>rights</w:t>
      </w:r>
      <w:r>
        <w:rPr>
          <w:spacing w:val="-1"/>
        </w:rPr>
        <w:t xml:space="preserve"> </w:t>
      </w:r>
      <w:r>
        <w:t>information</w:t>
      </w:r>
      <w:r>
        <w:rPr>
          <w:spacing w:val="-1"/>
        </w:rPr>
        <w:t xml:space="preserve"> </w:t>
      </w:r>
      <w:r>
        <w:t>should</w:t>
      </w:r>
      <w:r>
        <w:rPr>
          <w:spacing w:val="-1"/>
        </w:rPr>
        <w:t xml:space="preserve"> </w:t>
      </w:r>
      <w:r>
        <w:t>include</w:t>
      </w:r>
      <w:r>
        <w:rPr>
          <w:spacing w:val="-1"/>
        </w:rPr>
        <w:t xml:space="preserve"> </w:t>
      </w:r>
      <w:r>
        <w:t>a</w:t>
      </w:r>
      <w:r>
        <w:rPr>
          <w:spacing w:val="-1"/>
        </w:rPr>
        <w:t xml:space="preserve"> </w:t>
      </w:r>
      <w:r>
        <w:t>general</w:t>
      </w:r>
      <w:r>
        <w:rPr>
          <w:spacing w:val="-1"/>
        </w:rPr>
        <w:t xml:space="preserve"> </w:t>
      </w:r>
      <w:r>
        <w:t>description</w:t>
      </w:r>
      <w:r>
        <w:rPr>
          <w:spacing w:val="-4"/>
        </w:rPr>
        <w:t xml:space="preserve"> </w:t>
      </w:r>
      <w:r>
        <w:t>of</w:t>
      </w:r>
      <w:r>
        <w:rPr>
          <w:spacing w:val="-1"/>
        </w:rPr>
        <w:t xml:space="preserve"> </w:t>
      </w:r>
      <w:r>
        <w:t>the</w:t>
      </w:r>
      <w:r>
        <w:rPr>
          <w:spacing w:val="-1"/>
        </w:rPr>
        <w:t xml:space="preserve"> </w:t>
      </w:r>
      <w:r>
        <w:t>different types</w:t>
      </w:r>
      <w:r>
        <w:rPr>
          <w:spacing w:val="-3"/>
        </w:rPr>
        <w:t xml:space="preserve"> </w:t>
      </w:r>
      <w:r>
        <w:t>of</w:t>
      </w:r>
      <w:r>
        <w:rPr>
          <w:spacing w:val="-3"/>
        </w:rPr>
        <w:t xml:space="preserve"> </w:t>
      </w:r>
      <w:r>
        <w:t>rights</w:t>
      </w:r>
      <w:r>
        <w:rPr>
          <w:spacing w:val="-3"/>
        </w:rPr>
        <w:t xml:space="preserve"> </w:t>
      </w:r>
      <w:r>
        <w:t>acquired</w:t>
      </w:r>
      <w:r>
        <w:rPr>
          <w:spacing w:val="-4"/>
        </w:rPr>
        <w:t xml:space="preserve"> </w:t>
      </w:r>
      <w:r>
        <w:t>by</w:t>
      </w:r>
      <w:r>
        <w:rPr>
          <w:spacing w:val="-3"/>
        </w:rPr>
        <w:t xml:space="preserve"> </w:t>
      </w:r>
      <w:r>
        <w:t>the</w:t>
      </w:r>
      <w:r>
        <w:rPr>
          <w:spacing w:val="-3"/>
        </w:rPr>
        <w:t xml:space="preserve"> </w:t>
      </w:r>
      <w:r>
        <w:t>entity,</w:t>
      </w:r>
      <w:r>
        <w:rPr>
          <w:spacing w:val="-3"/>
        </w:rPr>
        <w:t xml:space="preserve"> </w:t>
      </w:r>
      <w:r>
        <w:t>whether</w:t>
      </w:r>
      <w:r>
        <w:rPr>
          <w:spacing w:val="-3"/>
        </w:rPr>
        <w:t xml:space="preserve"> </w:t>
      </w:r>
      <w:r>
        <w:t>such</w:t>
      </w:r>
      <w:r>
        <w:rPr>
          <w:spacing w:val="-3"/>
        </w:rPr>
        <w:t xml:space="preserve"> </w:t>
      </w:r>
      <w:r>
        <w:t>rights</w:t>
      </w:r>
      <w:r>
        <w:rPr>
          <w:spacing w:val="-3"/>
        </w:rPr>
        <w:t xml:space="preserve"> </w:t>
      </w:r>
      <w:r>
        <w:t>are</w:t>
      </w:r>
      <w:r>
        <w:rPr>
          <w:spacing w:val="-4"/>
        </w:rPr>
        <w:t xml:space="preserve"> </w:t>
      </w:r>
      <w:r>
        <w:t>permanent</w:t>
      </w:r>
      <w:r>
        <w:rPr>
          <w:spacing w:val="-3"/>
        </w:rPr>
        <w:t xml:space="preserve"> </w:t>
      </w:r>
      <w:r>
        <w:t>or temporary, and amounts paid during the year to maintain such rights.</w:t>
      </w:r>
    </w:p>
    <w:p w14:paraId="0DFDC5D8" w14:textId="77777777" w:rsidR="00046465" w:rsidRDefault="008134EB">
      <w:pPr>
        <w:pStyle w:val="ListParagraph"/>
        <w:numPr>
          <w:ilvl w:val="1"/>
          <w:numId w:val="107"/>
        </w:numPr>
        <w:tabs>
          <w:tab w:val="left" w:pos="2158"/>
        </w:tabs>
        <w:spacing w:before="119"/>
        <w:ind w:left="2158" w:hanging="359"/>
        <w:jc w:val="both"/>
      </w:pPr>
      <w:r>
        <w:t>If</w:t>
      </w:r>
      <w:r>
        <w:rPr>
          <w:spacing w:val="-7"/>
        </w:rPr>
        <w:t xml:space="preserve"> </w:t>
      </w:r>
      <w:r>
        <w:t>the</w:t>
      </w:r>
      <w:r>
        <w:rPr>
          <w:spacing w:val="-6"/>
        </w:rPr>
        <w:t xml:space="preserve"> </w:t>
      </w:r>
      <w:r>
        <w:t>entity</w:t>
      </w:r>
      <w:r>
        <w:rPr>
          <w:spacing w:val="-7"/>
        </w:rPr>
        <w:t xml:space="preserve"> </w:t>
      </w:r>
      <w:r>
        <w:t>has</w:t>
      </w:r>
      <w:r>
        <w:rPr>
          <w:spacing w:val="-6"/>
        </w:rPr>
        <w:t xml:space="preserve"> </w:t>
      </w:r>
      <w:r>
        <w:t>non-outer</w:t>
      </w:r>
      <w:r>
        <w:rPr>
          <w:spacing w:val="-6"/>
        </w:rPr>
        <w:t xml:space="preserve"> </w:t>
      </w:r>
      <w:r>
        <w:t>continental</w:t>
      </w:r>
      <w:r>
        <w:rPr>
          <w:spacing w:val="-6"/>
        </w:rPr>
        <w:t xml:space="preserve"> </w:t>
      </w:r>
      <w:r>
        <w:t>shelf</w:t>
      </w:r>
      <w:r>
        <w:rPr>
          <w:spacing w:val="-7"/>
        </w:rPr>
        <w:t xml:space="preserve"> </w:t>
      </w:r>
      <w:r>
        <w:t>submerged</w:t>
      </w:r>
      <w:r>
        <w:rPr>
          <w:spacing w:val="-6"/>
        </w:rPr>
        <w:t xml:space="preserve"> </w:t>
      </w:r>
      <w:r>
        <w:t>land,</w:t>
      </w:r>
      <w:r>
        <w:rPr>
          <w:spacing w:val="-6"/>
        </w:rPr>
        <w:t xml:space="preserve"> </w:t>
      </w:r>
      <w:r>
        <w:t>the</w:t>
      </w:r>
      <w:r>
        <w:rPr>
          <w:spacing w:val="-6"/>
        </w:rPr>
        <w:t xml:space="preserve"> </w:t>
      </w:r>
      <w:r>
        <w:t>entity</w:t>
      </w:r>
      <w:r>
        <w:rPr>
          <w:spacing w:val="-7"/>
        </w:rPr>
        <w:t xml:space="preserve"> </w:t>
      </w:r>
      <w:r>
        <w:rPr>
          <w:spacing w:val="-2"/>
        </w:rPr>
        <w:t>should</w:t>
      </w:r>
    </w:p>
    <w:p w14:paraId="0DFDC5D9" w14:textId="77777777" w:rsidR="00046465" w:rsidRDefault="008134EB">
      <w:pPr>
        <w:pStyle w:val="BodyText"/>
        <w:spacing w:before="1"/>
        <w:ind w:left="2159" w:right="1516"/>
        <w:jc w:val="both"/>
        <w:rPr>
          <w:position w:val="7"/>
          <w:sz w:val="14"/>
        </w:rPr>
      </w:pPr>
      <w:r>
        <w:t>(1)</w:t>
      </w:r>
      <w:r>
        <w:rPr>
          <w:spacing w:val="-3"/>
        </w:rPr>
        <w:t xml:space="preserve"> </w:t>
      </w:r>
      <w:r>
        <w:t>disclose</w:t>
      </w:r>
      <w:r>
        <w:rPr>
          <w:spacing w:val="-4"/>
        </w:rPr>
        <w:t xml:space="preserve"> </w:t>
      </w:r>
      <w:r>
        <w:t>its</w:t>
      </w:r>
      <w:r>
        <w:rPr>
          <w:spacing w:val="-3"/>
        </w:rPr>
        <w:t xml:space="preserve"> </w:t>
      </w:r>
      <w:r>
        <w:t>policy</w:t>
      </w:r>
      <w:r>
        <w:rPr>
          <w:spacing w:val="-3"/>
        </w:rPr>
        <w:t xml:space="preserve"> </w:t>
      </w:r>
      <w:r>
        <w:t>for</w:t>
      </w:r>
      <w:r>
        <w:rPr>
          <w:spacing w:val="-5"/>
        </w:rPr>
        <w:t xml:space="preserve"> </w:t>
      </w:r>
      <w:r>
        <w:t>including</w:t>
      </w:r>
      <w:r>
        <w:rPr>
          <w:spacing w:val="-3"/>
        </w:rPr>
        <w:t xml:space="preserve"> </w:t>
      </w:r>
      <w:r>
        <w:t>or</w:t>
      </w:r>
      <w:r>
        <w:rPr>
          <w:spacing w:val="-5"/>
        </w:rPr>
        <w:t xml:space="preserve"> </w:t>
      </w:r>
      <w:r>
        <w:t>excluding</w:t>
      </w:r>
      <w:r>
        <w:rPr>
          <w:spacing w:val="-4"/>
        </w:rPr>
        <w:t xml:space="preserve"> </w:t>
      </w:r>
      <w:r>
        <w:t>this</w:t>
      </w:r>
      <w:r>
        <w:rPr>
          <w:spacing w:val="-3"/>
        </w:rPr>
        <w:t xml:space="preserve"> </w:t>
      </w:r>
      <w:r>
        <w:t>land</w:t>
      </w:r>
      <w:r>
        <w:rPr>
          <w:spacing w:val="-3"/>
        </w:rPr>
        <w:t xml:space="preserve"> </w:t>
      </w:r>
      <w:r>
        <w:t>from</w:t>
      </w:r>
      <w:r>
        <w:rPr>
          <w:spacing w:val="-4"/>
        </w:rPr>
        <w:t xml:space="preserve"> </w:t>
      </w:r>
      <w:r>
        <w:t>acreage estimates and (2) describe its mission related to such land.</w:t>
      </w:r>
      <w:hyperlink w:anchor="_bookmark192" w:history="1">
        <w:r>
          <w:rPr>
            <w:position w:val="7"/>
            <w:sz w:val="14"/>
          </w:rPr>
          <w:t>45</w:t>
        </w:r>
      </w:hyperlink>
    </w:p>
    <w:p w14:paraId="0DFDC5DA" w14:textId="77777777" w:rsidR="00046465" w:rsidRDefault="008134EB">
      <w:pPr>
        <w:pStyle w:val="ListParagraph"/>
        <w:numPr>
          <w:ilvl w:val="0"/>
          <w:numId w:val="107"/>
        </w:numPr>
        <w:tabs>
          <w:tab w:val="left" w:pos="1798"/>
          <w:tab w:val="left" w:pos="1800"/>
        </w:tabs>
        <w:ind w:right="1961"/>
        <w:jc w:val="both"/>
      </w:pPr>
      <w:r>
        <w:t>The</w:t>
      </w:r>
      <w:r>
        <w:rPr>
          <w:spacing w:val="-4"/>
        </w:rPr>
        <w:t xml:space="preserve"> </w:t>
      </w:r>
      <w:r>
        <w:t>auditor’s</w:t>
      </w:r>
      <w:r>
        <w:rPr>
          <w:spacing w:val="-4"/>
        </w:rPr>
        <w:t xml:space="preserve"> </w:t>
      </w:r>
      <w:r>
        <w:t>documentation</w:t>
      </w:r>
      <w:r>
        <w:rPr>
          <w:spacing w:val="-4"/>
        </w:rPr>
        <w:t xml:space="preserve"> </w:t>
      </w:r>
      <w:r>
        <w:t>of</w:t>
      </w:r>
      <w:r>
        <w:rPr>
          <w:spacing w:val="-4"/>
        </w:rPr>
        <w:t xml:space="preserve"> </w:t>
      </w:r>
      <w:r>
        <w:t>the</w:t>
      </w:r>
      <w:r>
        <w:rPr>
          <w:spacing w:val="-4"/>
        </w:rPr>
        <w:t xml:space="preserve"> </w:t>
      </w:r>
      <w:r>
        <w:t>reporting</w:t>
      </w:r>
      <w:r>
        <w:rPr>
          <w:spacing w:val="-4"/>
        </w:rPr>
        <w:t xml:space="preserve"> </w:t>
      </w:r>
      <w:r>
        <w:t>phase</w:t>
      </w:r>
      <w:r>
        <w:rPr>
          <w:spacing w:val="-4"/>
        </w:rPr>
        <w:t xml:space="preserve"> </w:t>
      </w:r>
      <w:r>
        <w:t>should</w:t>
      </w:r>
      <w:r>
        <w:rPr>
          <w:spacing w:val="-4"/>
        </w:rPr>
        <w:t xml:space="preserve"> </w:t>
      </w:r>
      <w:r>
        <w:t>follow</w:t>
      </w:r>
      <w:r>
        <w:rPr>
          <w:spacing w:val="-5"/>
        </w:rPr>
        <w:t xml:space="preserve"> </w:t>
      </w:r>
      <w:r>
        <w:t>the requirements in FAM 590, as applicable.</w:t>
      </w:r>
    </w:p>
    <w:p w14:paraId="0DFDC5DB" w14:textId="77777777" w:rsidR="00046465" w:rsidRDefault="00046465">
      <w:pPr>
        <w:pStyle w:val="BodyText"/>
        <w:rPr>
          <w:sz w:val="20"/>
        </w:rPr>
      </w:pPr>
    </w:p>
    <w:p w14:paraId="0DFDC5DC" w14:textId="77777777" w:rsidR="00046465" w:rsidRDefault="00046465">
      <w:pPr>
        <w:pStyle w:val="BodyText"/>
        <w:rPr>
          <w:sz w:val="20"/>
        </w:rPr>
      </w:pPr>
    </w:p>
    <w:p w14:paraId="0DFDC5DD" w14:textId="77777777" w:rsidR="00046465" w:rsidRDefault="00046465">
      <w:pPr>
        <w:pStyle w:val="BodyText"/>
        <w:rPr>
          <w:sz w:val="20"/>
        </w:rPr>
      </w:pPr>
    </w:p>
    <w:p w14:paraId="0DFDC5DE" w14:textId="77777777" w:rsidR="00046465" w:rsidRDefault="00046465">
      <w:pPr>
        <w:pStyle w:val="BodyText"/>
        <w:rPr>
          <w:sz w:val="20"/>
        </w:rPr>
      </w:pPr>
    </w:p>
    <w:p w14:paraId="0DFDC5DF" w14:textId="77777777" w:rsidR="00046465" w:rsidRDefault="00046465">
      <w:pPr>
        <w:pStyle w:val="BodyText"/>
        <w:rPr>
          <w:sz w:val="20"/>
        </w:rPr>
      </w:pPr>
    </w:p>
    <w:p w14:paraId="0DFDC5E0" w14:textId="77777777" w:rsidR="00046465" w:rsidRDefault="00046465">
      <w:pPr>
        <w:pStyle w:val="BodyText"/>
        <w:rPr>
          <w:sz w:val="20"/>
        </w:rPr>
      </w:pPr>
    </w:p>
    <w:p w14:paraId="0DFDC5E1" w14:textId="77777777" w:rsidR="00046465" w:rsidRDefault="00046465">
      <w:pPr>
        <w:pStyle w:val="BodyText"/>
        <w:rPr>
          <w:sz w:val="20"/>
        </w:rPr>
      </w:pPr>
    </w:p>
    <w:p w14:paraId="0DFDC5E2" w14:textId="77777777" w:rsidR="00046465" w:rsidRDefault="00046465">
      <w:pPr>
        <w:pStyle w:val="BodyText"/>
        <w:rPr>
          <w:sz w:val="20"/>
        </w:rPr>
      </w:pPr>
    </w:p>
    <w:p w14:paraId="0DFDC5E3" w14:textId="77777777" w:rsidR="00046465" w:rsidRDefault="00046465">
      <w:pPr>
        <w:pStyle w:val="BodyText"/>
        <w:rPr>
          <w:sz w:val="20"/>
        </w:rPr>
      </w:pPr>
    </w:p>
    <w:p w14:paraId="0DFDC5E4" w14:textId="77777777" w:rsidR="00046465" w:rsidRDefault="00046465">
      <w:pPr>
        <w:pStyle w:val="BodyText"/>
        <w:rPr>
          <w:sz w:val="20"/>
        </w:rPr>
      </w:pPr>
    </w:p>
    <w:p w14:paraId="0DFDC5E5" w14:textId="77777777" w:rsidR="00046465" w:rsidRDefault="00046465">
      <w:pPr>
        <w:pStyle w:val="BodyText"/>
        <w:rPr>
          <w:sz w:val="20"/>
        </w:rPr>
      </w:pPr>
    </w:p>
    <w:p w14:paraId="0DFDC5E6" w14:textId="77777777" w:rsidR="00046465" w:rsidRDefault="00046465">
      <w:pPr>
        <w:pStyle w:val="BodyText"/>
        <w:rPr>
          <w:sz w:val="20"/>
        </w:rPr>
      </w:pPr>
    </w:p>
    <w:p w14:paraId="0DFDC5E7" w14:textId="77777777" w:rsidR="00046465" w:rsidRDefault="00046465">
      <w:pPr>
        <w:pStyle w:val="BodyText"/>
        <w:rPr>
          <w:sz w:val="20"/>
        </w:rPr>
      </w:pPr>
    </w:p>
    <w:p w14:paraId="0DFDC5E8" w14:textId="77777777" w:rsidR="00046465" w:rsidRDefault="00046465">
      <w:pPr>
        <w:pStyle w:val="BodyText"/>
        <w:rPr>
          <w:sz w:val="20"/>
        </w:rPr>
      </w:pPr>
    </w:p>
    <w:p w14:paraId="0DFDC5E9" w14:textId="77777777" w:rsidR="00046465" w:rsidRDefault="00046465">
      <w:pPr>
        <w:pStyle w:val="BodyText"/>
        <w:rPr>
          <w:sz w:val="20"/>
        </w:rPr>
      </w:pPr>
    </w:p>
    <w:p w14:paraId="0DFDC5EA" w14:textId="77777777" w:rsidR="00046465" w:rsidRDefault="00046465">
      <w:pPr>
        <w:pStyle w:val="BodyText"/>
        <w:rPr>
          <w:sz w:val="20"/>
        </w:rPr>
      </w:pPr>
    </w:p>
    <w:p w14:paraId="0DFDC5EB" w14:textId="77777777" w:rsidR="00046465" w:rsidRDefault="00046465">
      <w:pPr>
        <w:pStyle w:val="BodyText"/>
        <w:rPr>
          <w:sz w:val="20"/>
        </w:rPr>
      </w:pPr>
    </w:p>
    <w:p w14:paraId="0DFDC5EC" w14:textId="77777777" w:rsidR="00046465" w:rsidRDefault="00046465">
      <w:pPr>
        <w:pStyle w:val="BodyText"/>
        <w:rPr>
          <w:sz w:val="20"/>
        </w:rPr>
      </w:pPr>
    </w:p>
    <w:p w14:paraId="0DFDC5ED" w14:textId="77777777" w:rsidR="00046465" w:rsidRDefault="00046465">
      <w:pPr>
        <w:pStyle w:val="BodyText"/>
        <w:rPr>
          <w:sz w:val="20"/>
        </w:rPr>
      </w:pPr>
    </w:p>
    <w:p w14:paraId="0DFDC5EE" w14:textId="77777777" w:rsidR="00046465" w:rsidRDefault="00046465">
      <w:pPr>
        <w:pStyle w:val="BodyText"/>
        <w:rPr>
          <w:sz w:val="20"/>
        </w:rPr>
      </w:pPr>
    </w:p>
    <w:p w14:paraId="0DFDC5EF" w14:textId="77777777" w:rsidR="00046465" w:rsidRDefault="00046465">
      <w:pPr>
        <w:pStyle w:val="BodyText"/>
        <w:rPr>
          <w:sz w:val="20"/>
        </w:rPr>
      </w:pPr>
    </w:p>
    <w:p w14:paraId="0DFDC5F0" w14:textId="77777777" w:rsidR="00046465" w:rsidRDefault="00046465">
      <w:pPr>
        <w:pStyle w:val="BodyText"/>
        <w:rPr>
          <w:sz w:val="20"/>
        </w:rPr>
      </w:pPr>
    </w:p>
    <w:p w14:paraId="0DFDC5F1" w14:textId="77777777" w:rsidR="00046465" w:rsidRDefault="00046465">
      <w:pPr>
        <w:pStyle w:val="BodyText"/>
        <w:rPr>
          <w:sz w:val="20"/>
        </w:rPr>
      </w:pPr>
    </w:p>
    <w:p w14:paraId="0DFDC5F2" w14:textId="77777777" w:rsidR="00046465" w:rsidRDefault="00046465">
      <w:pPr>
        <w:pStyle w:val="BodyText"/>
        <w:rPr>
          <w:sz w:val="20"/>
        </w:rPr>
      </w:pPr>
    </w:p>
    <w:p w14:paraId="0DFDC5F3" w14:textId="77777777" w:rsidR="00046465" w:rsidRDefault="00046465">
      <w:pPr>
        <w:pStyle w:val="BodyText"/>
        <w:rPr>
          <w:sz w:val="20"/>
        </w:rPr>
      </w:pPr>
    </w:p>
    <w:p w14:paraId="0DFDC5F4" w14:textId="77777777" w:rsidR="00046465" w:rsidRDefault="00046465">
      <w:pPr>
        <w:pStyle w:val="BodyText"/>
        <w:rPr>
          <w:sz w:val="20"/>
        </w:rPr>
      </w:pPr>
    </w:p>
    <w:p w14:paraId="0DFDC5F5" w14:textId="77777777" w:rsidR="00046465" w:rsidRDefault="00046465">
      <w:pPr>
        <w:pStyle w:val="BodyText"/>
        <w:rPr>
          <w:sz w:val="20"/>
        </w:rPr>
      </w:pPr>
    </w:p>
    <w:p w14:paraId="0DFDC5F6" w14:textId="77777777" w:rsidR="00046465" w:rsidRDefault="00046465">
      <w:pPr>
        <w:pStyle w:val="BodyText"/>
        <w:rPr>
          <w:sz w:val="20"/>
        </w:rPr>
      </w:pPr>
    </w:p>
    <w:p w14:paraId="0DFDC5F7" w14:textId="77777777" w:rsidR="00046465" w:rsidRDefault="00046465">
      <w:pPr>
        <w:pStyle w:val="BodyText"/>
        <w:rPr>
          <w:sz w:val="20"/>
        </w:rPr>
      </w:pPr>
    </w:p>
    <w:p w14:paraId="0DFDC5F8" w14:textId="77777777" w:rsidR="00046465" w:rsidRDefault="00046465">
      <w:pPr>
        <w:pStyle w:val="BodyText"/>
        <w:rPr>
          <w:sz w:val="20"/>
        </w:rPr>
      </w:pPr>
    </w:p>
    <w:p w14:paraId="0DFDC5F9" w14:textId="77777777" w:rsidR="00046465" w:rsidRDefault="00046465">
      <w:pPr>
        <w:pStyle w:val="BodyText"/>
        <w:rPr>
          <w:sz w:val="20"/>
        </w:rPr>
      </w:pPr>
    </w:p>
    <w:p w14:paraId="0DFDC5FA" w14:textId="77777777" w:rsidR="00046465" w:rsidRDefault="00046465">
      <w:pPr>
        <w:pStyle w:val="BodyText"/>
        <w:rPr>
          <w:sz w:val="20"/>
        </w:rPr>
      </w:pPr>
    </w:p>
    <w:p w14:paraId="0DFDC5FB" w14:textId="77777777" w:rsidR="00046465" w:rsidRDefault="00046465">
      <w:pPr>
        <w:pStyle w:val="BodyText"/>
        <w:rPr>
          <w:sz w:val="20"/>
        </w:rPr>
      </w:pPr>
    </w:p>
    <w:p w14:paraId="0DFDC5FC" w14:textId="77777777" w:rsidR="00046465" w:rsidRDefault="00046465">
      <w:pPr>
        <w:pStyle w:val="BodyText"/>
        <w:rPr>
          <w:sz w:val="20"/>
        </w:rPr>
      </w:pPr>
    </w:p>
    <w:p w14:paraId="0DFDC5FD" w14:textId="77777777" w:rsidR="00046465" w:rsidRDefault="00046465">
      <w:pPr>
        <w:pStyle w:val="BodyText"/>
        <w:rPr>
          <w:sz w:val="20"/>
        </w:rPr>
      </w:pPr>
    </w:p>
    <w:p w14:paraId="0DFDC5FE" w14:textId="77777777" w:rsidR="00046465" w:rsidRDefault="00046465">
      <w:pPr>
        <w:pStyle w:val="BodyText"/>
        <w:rPr>
          <w:sz w:val="20"/>
        </w:rPr>
      </w:pPr>
    </w:p>
    <w:p w14:paraId="0DFDC5FF" w14:textId="77777777" w:rsidR="00046465" w:rsidRDefault="00046465">
      <w:pPr>
        <w:pStyle w:val="BodyText"/>
        <w:rPr>
          <w:sz w:val="20"/>
        </w:rPr>
      </w:pPr>
    </w:p>
    <w:p w14:paraId="0DFDC600" w14:textId="77777777" w:rsidR="00046465" w:rsidRDefault="00046465">
      <w:pPr>
        <w:pStyle w:val="BodyText"/>
        <w:rPr>
          <w:sz w:val="20"/>
        </w:rPr>
      </w:pPr>
    </w:p>
    <w:p w14:paraId="0DFDC601" w14:textId="77777777" w:rsidR="00046465" w:rsidRDefault="00046465">
      <w:pPr>
        <w:pStyle w:val="BodyText"/>
        <w:rPr>
          <w:sz w:val="20"/>
        </w:rPr>
      </w:pPr>
    </w:p>
    <w:p w14:paraId="0DFDC602" w14:textId="77777777" w:rsidR="00046465" w:rsidRDefault="00046465">
      <w:pPr>
        <w:pStyle w:val="BodyText"/>
        <w:rPr>
          <w:sz w:val="20"/>
        </w:rPr>
      </w:pPr>
    </w:p>
    <w:p w14:paraId="0DFDC603" w14:textId="77777777" w:rsidR="00046465" w:rsidRDefault="00046465">
      <w:pPr>
        <w:pStyle w:val="BodyText"/>
        <w:rPr>
          <w:sz w:val="20"/>
        </w:rPr>
      </w:pPr>
    </w:p>
    <w:p w14:paraId="0DFDC604" w14:textId="77777777" w:rsidR="00046465" w:rsidRDefault="00046465">
      <w:pPr>
        <w:pStyle w:val="BodyText"/>
        <w:rPr>
          <w:sz w:val="20"/>
        </w:rPr>
      </w:pPr>
    </w:p>
    <w:p w14:paraId="0DFDC605" w14:textId="77777777" w:rsidR="00046465" w:rsidRDefault="00046465">
      <w:pPr>
        <w:pStyle w:val="BodyText"/>
        <w:rPr>
          <w:sz w:val="20"/>
        </w:rPr>
      </w:pPr>
    </w:p>
    <w:p w14:paraId="0DFDC606" w14:textId="77777777" w:rsidR="00046465" w:rsidRDefault="008134EB">
      <w:pPr>
        <w:pStyle w:val="BodyText"/>
        <w:spacing w:before="14"/>
        <w:rPr>
          <w:sz w:val="20"/>
        </w:rPr>
      </w:pPr>
      <w:r>
        <w:rPr>
          <w:noProof/>
          <w:sz w:val="20"/>
        </w:rPr>
        <mc:AlternateContent>
          <mc:Choice Requires="wps">
            <w:drawing>
              <wp:anchor distT="0" distB="0" distL="0" distR="0" simplePos="0" relativeHeight="487727104" behindDoc="1" locked="0" layoutInCell="1" allowOverlap="1" wp14:anchorId="0DFDD733" wp14:editId="0DFDD734">
                <wp:simplePos x="0" y="0"/>
                <wp:positionH relativeFrom="page">
                  <wp:posOffset>914400</wp:posOffset>
                </wp:positionH>
                <wp:positionV relativeFrom="paragraph">
                  <wp:posOffset>170454</wp:posOffset>
                </wp:positionV>
                <wp:extent cx="1828800" cy="5715"/>
                <wp:effectExtent l="0" t="0" r="0" b="0"/>
                <wp:wrapTopAndBottom/>
                <wp:docPr id="1025" name="Graphic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E4E1CA" id="Graphic 1025" o:spid="_x0000_s1026" style="position:absolute;margin-left:1in;margin-top:13.4pt;width:2in;height:.45pt;z-index:-1558937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" path="m1828800,l,,,5321r1828800,l1828800,xe" fillcolor="black" stroked="f">
                <v:path arrowok="t"/>
                <w10:wrap type="topAndBottom" anchorx="page"/>
              </v:shape>
            </w:pict>
          </mc:Fallback>
        </mc:AlternateContent>
      </w:r>
    </w:p>
    <w:p w14:paraId="0DFDC607" w14:textId="77777777" w:rsidR="00046465" w:rsidRDefault="00046465">
      <w:pPr>
        <w:pStyle w:val="BodyText"/>
        <w:spacing w:before="54"/>
        <w:rPr>
          <w:sz w:val="18"/>
        </w:rPr>
      </w:pPr>
    </w:p>
    <w:p w14:paraId="0DFDC608" w14:textId="77777777" w:rsidR="00046465" w:rsidRDefault="008134EB">
      <w:pPr>
        <w:spacing w:before="1" w:line="249" w:lineRule="auto"/>
        <w:ind w:left="359" w:right="749"/>
        <w:rPr>
          <w:sz w:val="18"/>
        </w:rPr>
      </w:pPr>
      <w:bookmarkStart w:id="330" w:name="_bookmark192"/>
      <w:bookmarkEnd w:id="330"/>
      <w:r>
        <w:rPr>
          <w:position w:val="7"/>
          <w:sz w:val="14"/>
        </w:rPr>
        <w:t>45</w:t>
      </w:r>
      <w:r>
        <w:rPr>
          <w:sz w:val="18"/>
        </w:rPr>
        <w:t>Preparers</w:t>
      </w:r>
      <w:r>
        <w:rPr>
          <w:spacing w:val="-3"/>
          <w:sz w:val="18"/>
        </w:rPr>
        <w:t xml:space="preserve"> </w:t>
      </w:r>
      <w:r>
        <w:rPr>
          <w:sz w:val="18"/>
        </w:rPr>
        <w:t>have</w:t>
      </w:r>
      <w:r>
        <w:rPr>
          <w:spacing w:val="-4"/>
          <w:sz w:val="18"/>
        </w:rPr>
        <w:t xml:space="preserve"> </w:t>
      </w:r>
      <w:r>
        <w:rPr>
          <w:sz w:val="18"/>
        </w:rPr>
        <w:t>the</w:t>
      </w:r>
      <w:r>
        <w:rPr>
          <w:spacing w:val="-4"/>
          <w:sz w:val="18"/>
        </w:rPr>
        <w:t xml:space="preserve"> </w:t>
      </w:r>
      <w:r>
        <w:rPr>
          <w:sz w:val="18"/>
        </w:rPr>
        <w:t>option</w:t>
      </w:r>
      <w:r>
        <w:rPr>
          <w:spacing w:val="-4"/>
          <w:sz w:val="18"/>
        </w:rPr>
        <w:t xml:space="preserve"> </w:t>
      </w:r>
      <w:r>
        <w:rPr>
          <w:sz w:val="18"/>
        </w:rPr>
        <w:t>to</w:t>
      </w:r>
      <w:r>
        <w:rPr>
          <w:spacing w:val="-4"/>
          <w:sz w:val="18"/>
        </w:rPr>
        <w:t xml:space="preserve"> </w:t>
      </w:r>
      <w:r>
        <w:rPr>
          <w:sz w:val="18"/>
        </w:rPr>
        <w:t>include</w:t>
      </w:r>
      <w:r>
        <w:rPr>
          <w:spacing w:val="-4"/>
          <w:sz w:val="18"/>
        </w:rPr>
        <w:t xml:space="preserve"> </w:t>
      </w:r>
      <w:r>
        <w:rPr>
          <w:sz w:val="18"/>
        </w:rPr>
        <w:t>or</w:t>
      </w:r>
      <w:r>
        <w:rPr>
          <w:spacing w:val="-3"/>
          <w:sz w:val="18"/>
        </w:rPr>
        <w:t xml:space="preserve"> </w:t>
      </w:r>
      <w:r>
        <w:rPr>
          <w:sz w:val="18"/>
        </w:rPr>
        <w:t>exclude</w:t>
      </w:r>
      <w:r>
        <w:rPr>
          <w:spacing w:val="-4"/>
          <w:sz w:val="18"/>
        </w:rPr>
        <w:t xml:space="preserve"> </w:t>
      </w:r>
      <w:r>
        <w:rPr>
          <w:sz w:val="18"/>
        </w:rPr>
        <w:t>non-outer</w:t>
      </w:r>
      <w:r>
        <w:rPr>
          <w:spacing w:val="-2"/>
          <w:sz w:val="18"/>
        </w:rPr>
        <w:t xml:space="preserve"> </w:t>
      </w:r>
      <w:r>
        <w:rPr>
          <w:sz w:val="18"/>
        </w:rPr>
        <w:t>continental</w:t>
      </w:r>
      <w:r>
        <w:rPr>
          <w:spacing w:val="-3"/>
          <w:sz w:val="18"/>
        </w:rPr>
        <w:t xml:space="preserve"> </w:t>
      </w:r>
      <w:r>
        <w:rPr>
          <w:sz w:val="18"/>
        </w:rPr>
        <w:t>shelf</w:t>
      </w:r>
      <w:r>
        <w:rPr>
          <w:spacing w:val="-3"/>
          <w:sz w:val="18"/>
        </w:rPr>
        <w:t xml:space="preserve"> </w:t>
      </w:r>
      <w:r>
        <w:rPr>
          <w:sz w:val="18"/>
        </w:rPr>
        <w:t>submerged</w:t>
      </w:r>
      <w:r>
        <w:rPr>
          <w:spacing w:val="-4"/>
          <w:sz w:val="18"/>
        </w:rPr>
        <w:t xml:space="preserve"> </w:t>
      </w:r>
      <w:r>
        <w:rPr>
          <w:sz w:val="18"/>
        </w:rPr>
        <w:t>land</w:t>
      </w:r>
      <w:r>
        <w:rPr>
          <w:spacing w:val="-4"/>
          <w:sz w:val="18"/>
        </w:rPr>
        <w:t xml:space="preserve"> </w:t>
      </w:r>
      <w:r>
        <w:rPr>
          <w:sz w:val="18"/>
        </w:rPr>
        <w:t>estimated</w:t>
      </w:r>
      <w:r>
        <w:rPr>
          <w:spacing w:val="-2"/>
          <w:sz w:val="18"/>
        </w:rPr>
        <w:t xml:space="preserve"> </w:t>
      </w:r>
      <w:r>
        <w:rPr>
          <w:sz w:val="18"/>
        </w:rPr>
        <w:t>acreage</w:t>
      </w:r>
      <w:r>
        <w:rPr>
          <w:spacing w:val="-4"/>
          <w:sz w:val="18"/>
        </w:rPr>
        <w:t xml:space="preserve"> </w:t>
      </w:r>
      <w:r>
        <w:rPr>
          <w:sz w:val="18"/>
        </w:rPr>
        <w:t>in the notes as part of the overall reported acreage estimates (TB 2025-1, para. 8).</w:t>
      </w:r>
    </w:p>
    <w:p w14:paraId="0DFDC609" w14:textId="77777777" w:rsidR="00046465" w:rsidRDefault="00046465">
      <w:pPr>
        <w:spacing w:line="249" w:lineRule="auto"/>
        <w:rPr>
          <w:sz w:val="18"/>
        </w:rPr>
        <w:sectPr w:rsidR="00046465">
          <w:pgSz w:w="12240" w:h="15840"/>
          <w:pgMar w:top="1340" w:right="720" w:bottom="940" w:left="1080" w:header="721" w:footer="757" w:gutter="0"/>
          <w:cols w:space="720"/>
        </w:sectPr>
      </w:pPr>
    </w:p>
    <w:p w14:paraId="0DFDC60A" w14:textId="77777777" w:rsidR="00046465" w:rsidRDefault="008134EB">
      <w:pPr>
        <w:pStyle w:val="Heading3"/>
        <w:rPr>
          <w:u w:val="none"/>
        </w:rPr>
      </w:pPr>
      <w:bookmarkStart w:id="331" w:name="932_–_Auditing_Heritage_Assets"/>
      <w:bookmarkStart w:id="332" w:name="_bookmark193"/>
      <w:bookmarkEnd w:id="331"/>
      <w:bookmarkEnd w:id="332"/>
      <w:r>
        <w:lastRenderedPageBreak/>
        <w:t>932</w:t>
      </w:r>
      <w:r>
        <w:rPr>
          <w:spacing w:val="-4"/>
        </w:rPr>
        <w:t xml:space="preserve"> </w:t>
      </w:r>
      <w:r>
        <w:t>–</w:t>
      </w:r>
      <w:r>
        <w:rPr>
          <w:spacing w:val="-16"/>
        </w:rPr>
        <w:t xml:space="preserve"> </w:t>
      </w:r>
      <w:r>
        <w:t>Auditing</w:t>
      </w:r>
      <w:r>
        <w:rPr>
          <w:spacing w:val="-4"/>
        </w:rPr>
        <w:t xml:space="preserve"> </w:t>
      </w:r>
      <w:r>
        <w:t>Heritage</w:t>
      </w:r>
      <w:r>
        <w:rPr>
          <w:spacing w:val="-15"/>
        </w:rPr>
        <w:t xml:space="preserve"> </w:t>
      </w:r>
      <w:r>
        <w:rPr>
          <w:spacing w:val="-2"/>
        </w:rPr>
        <w:t>Assets</w:t>
      </w:r>
    </w:p>
    <w:p w14:paraId="0DFDC60B" w14:textId="77777777" w:rsidR="00046465" w:rsidRDefault="008134EB">
      <w:pPr>
        <w:pStyle w:val="ListParagraph"/>
        <w:numPr>
          <w:ilvl w:val="0"/>
          <w:numId w:val="108"/>
        </w:numPr>
        <w:tabs>
          <w:tab w:val="left" w:pos="1800"/>
        </w:tabs>
        <w:spacing w:before="239"/>
        <w:ind w:right="764"/>
      </w:pPr>
      <w:r>
        <w:t>Heritage</w:t>
      </w:r>
      <w:r>
        <w:rPr>
          <w:spacing w:val="-3"/>
        </w:rPr>
        <w:t xml:space="preserve"> </w:t>
      </w:r>
      <w:r>
        <w:t>assets</w:t>
      </w:r>
      <w:r>
        <w:rPr>
          <w:spacing w:val="-3"/>
        </w:rPr>
        <w:t xml:space="preserve"> </w:t>
      </w:r>
      <w:r>
        <w:t>are</w:t>
      </w:r>
      <w:r>
        <w:rPr>
          <w:spacing w:val="-3"/>
        </w:rPr>
        <w:t xml:space="preserve"> </w:t>
      </w:r>
      <w:r>
        <w:t>PP&amp;E</w:t>
      </w:r>
      <w:r>
        <w:rPr>
          <w:spacing w:val="-3"/>
        </w:rPr>
        <w:t xml:space="preserve"> </w:t>
      </w:r>
      <w:r>
        <w:t>assets</w:t>
      </w:r>
      <w:r>
        <w:rPr>
          <w:spacing w:val="-2"/>
        </w:rPr>
        <w:t xml:space="preserve"> </w:t>
      </w:r>
      <w:r>
        <w:t>that</w:t>
      </w:r>
      <w:r>
        <w:rPr>
          <w:spacing w:val="-3"/>
        </w:rPr>
        <w:t xml:space="preserve"> </w:t>
      </w:r>
      <w:r>
        <w:t>are</w:t>
      </w:r>
      <w:r>
        <w:rPr>
          <w:spacing w:val="-3"/>
        </w:rPr>
        <w:t xml:space="preserve"> </w:t>
      </w:r>
      <w:r>
        <w:t>unique</w:t>
      </w:r>
      <w:r>
        <w:rPr>
          <w:spacing w:val="-3"/>
        </w:rPr>
        <w:t xml:space="preserve"> </w:t>
      </w:r>
      <w:r>
        <w:t>for</w:t>
      </w:r>
      <w:r>
        <w:rPr>
          <w:spacing w:val="-3"/>
        </w:rPr>
        <w:t xml:space="preserve"> </w:t>
      </w:r>
      <w:r>
        <w:t>one</w:t>
      </w:r>
      <w:r>
        <w:rPr>
          <w:spacing w:val="-3"/>
        </w:rPr>
        <w:t xml:space="preserve"> </w:t>
      </w:r>
      <w:r>
        <w:t>or</w:t>
      </w:r>
      <w:r>
        <w:rPr>
          <w:spacing w:val="-3"/>
        </w:rPr>
        <w:t xml:space="preserve"> </w:t>
      </w:r>
      <w:r>
        <w:t>more</w:t>
      </w:r>
      <w:r>
        <w:rPr>
          <w:spacing w:val="-3"/>
        </w:rPr>
        <w:t xml:space="preserve"> </w:t>
      </w:r>
      <w:r>
        <w:t>of</w:t>
      </w:r>
      <w:r>
        <w:rPr>
          <w:spacing w:val="-3"/>
        </w:rPr>
        <w:t xml:space="preserve"> </w:t>
      </w:r>
      <w:r>
        <w:t>the</w:t>
      </w:r>
      <w:r>
        <w:rPr>
          <w:spacing w:val="-3"/>
        </w:rPr>
        <w:t xml:space="preserve"> </w:t>
      </w:r>
      <w:r>
        <w:t xml:space="preserve">following </w:t>
      </w:r>
      <w:r>
        <w:rPr>
          <w:spacing w:val="-2"/>
        </w:rPr>
        <w:t>reasons:</w:t>
      </w:r>
    </w:p>
    <w:p w14:paraId="0DFDC60C" w14:textId="77777777" w:rsidR="00046465" w:rsidRDefault="008134EB">
      <w:pPr>
        <w:pStyle w:val="ListParagraph"/>
        <w:numPr>
          <w:ilvl w:val="0"/>
          <w:numId w:val="79"/>
        </w:numPr>
        <w:tabs>
          <w:tab w:val="left" w:pos="2159"/>
        </w:tabs>
        <w:ind w:left="2159" w:hanging="359"/>
      </w:pPr>
      <w:r>
        <w:t>historical</w:t>
      </w:r>
      <w:r>
        <w:rPr>
          <w:spacing w:val="-7"/>
        </w:rPr>
        <w:t xml:space="preserve"> </w:t>
      </w:r>
      <w:r>
        <w:t>or</w:t>
      </w:r>
      <w:r>
        <w:rPr>
          <w:spacing w:val="-8"/>
        </w:rPr>
        <w:t xml:space="preserve"> </w:t>
      </w:r>
      <w:r>
        <w:t>natural</w:t>
      </w:r>
      <w:r>
        <w:rPr>
          <w:spacing w:val="-6"/>
        </w:rPr>
        <w:t xml:space="preserve"> </w:t>
      </w:r>
      <w:r>
        <w:rPr>
          <w:spacing w:val="-2"/>
        </w:rPr>
        <w:t>significance;</w:t>
      </w:r>
    </w:p>
    <w:p w14:paraId="0DFDC60D" w14:textId="77777777" w:rsidR="00046465" w:rsidRDefault="008134EB">
      <w:pPr>
        <w:pStyle w:val="ListParagraph"/>
        <w:numPr>
          <w:ilvl w:val="0"/>
          <w:numId w:val="79"/>
        </w:numPr>
        <w:tabs>
          <w:tab w:val="left" w:pos="2159"/>
        </w:tabs>
        <w:spacing w:before="118"/>
        <w:ind w:left="2159" w:hanging="359"/>
      </w:pPr>
      <w:r>
        <w:t>cultural,</w:t>
      </w:r>
      <w:r>
        <w:rPr>
          <w:spacing w:val="-8"/>
        </w:rPr>
        <w:t xml:space="preserve"> </w:t>
      </w:r>
      <w:r>
        <w:t>educational,</w:t>
      </w:r>
      <w:r>
        <w:rPr>
          <w:spacing w:val="-8"/>
        </w:rPr>
        <w:t xml:space="preserve"> </w:t>
      </w:r>
      <w:r>
        <w:t>or</w:t>
      </w:r>
      <w:r>
        <w:rPr>
          <w:spacing w:val="-10"/>
        </w:rPr>
        <w:t xml:space="preserve"> </w:t>
      </w:r>
      <w:r>
        <w:t>artistic</w:t>
      </w:r>
      <w:r>
        <w:rPr>
          <w:spacing w:val="-8"/>
        </w:rPr>
        <w:t xml:space="preserve"> </w:t>
      </w:r>
      <w:r>
        <w:t>(or</w:t>
      </w:r>
      <w:r>
        <w:rPr>
          <w:spacing w:val="-8"/>
        </w:rPr>
        <w:t xml:space="preserve"> </w:t>
      </w:r>
      <w:r>
        <w:t>aesthetic)</w:t>
      </w:r>
      <w:r>
        <w:rPr>
          <w:spacing w:val="-8"/>
        </w:rPr>
        <w:t xml:space="preserve"> </w:t>
      </w:r>
      <w:r>
        <w:t>importance;</w:t>
      </w:r>
      <w:r>
        <w:rPr>
          <w:spacing w:val="-8"/>
        </w:rPr>
        <w:t xml:space="preserve"> </w:t>
      </w:r>
      <w:r>
        <w:rPr>
          <w:spacing w:val="-5"/>
        </w:rPr>
        <w:t>or</w:t>
      </w:r>
    </w:p>
    <w:p w14:paraId="0DFDC60E" w14:textId="77777777" w:rsidR="00046465" w:rsidRDefault="008134EB">
      <w:pPr>
        <w:pStyle w:val="ListParagraph"/>
        <w:numPr>
          <w:ilvl w:val="0"/>
          <w:numId w:val="79"/>
        </w:numPr>
        <w:tabs>
          <w:tab w:val="left" w:pos="2159"/>
        </w:tabs>
        <w:spacing w:before="119"/>
        <w:ind w:left="2159" w:hanging="359"/>
      </w:pPr>
      <w:r>
        <w:t>significant</w:t>
      </w:r>
      <w:r>
        <w:rPr>
          <w:spacing w:val="-12"/>
        </w:rPr>
        <w:t xml:space="preserve"> </w:t>
      </w:r>
      <w:r>
        <w:t>architectural</w:t>
      </w:r>
      <w:r>
        <w:rPr>
          <w:spacing w:val="-13"/>
        </w:rPr>
        <w:t xml:space="preserve"> </w:t>
      </w:r>
      <w:r>
        <w:rPr>
          <w:spacing w:val="-2"/>
        </w:rPr>
        <w:t>characteristics.</w:t>
      </w:r>
    </w:p>
    <w:p w14:paraId="0DFDC60F" w14:textId="77777777" w:rsidR="00046465" w:rsidRDefault="008134EB">
      <w:pPr>
        <w:pStyle w:val="BodyText"/>
        <w:spacing w:before="119"/>
        <w:ind w:left="1800" w:right="749"/>
      </w:pPr>
      <w:r>
        <w:t>Heritage assets consist of (1) collection-type heritage assets, such as objects gathered</w:t>
      </w:r>
      <w:r>
        <w:rPr>
          <w:spacing w:val="-5"/>
        </w:rPr>
        <w:t xml:space="preserve"> </w:t>
      </w:r>
      <w:r>
        <w:t>and</w:t>
      </w:r>
      <w:r>
        <w:rPr>
          <w:spacing w:val="-5"/>
        </w:rPr>
        <w:t xml:space="preserve"> </w:t>
      </w:r>
      <w:r>
        <w:t>maintained</w:t>
      </w:r>
      <w:r>
        <w:rPr>
          <w:spacing w:val="-5"/>
        </w:rPr>
        <w:t xml:space="preserve"> </w:t>
      </w:r>
      <w:r>
        <w:t>for</w:t>
      </w:r>
      <w:r>
        <w:rPr>
          <w:spacing w:val="-5"/>
        </w:rPr>
        <w:t xml:space="preserve"> </w:t>
      </w:r>
      <w:r>
        <w:t>exhibition,</w:t>
      </w:r>
      <w:r>
        <w:rPr>
          <w:spacing w:val="-5"/>
        </w:rPr>
        <w:t xml:space="preserve"> </w:t>
      </w:r>
      <w:r>
        <w:t>museum</w:t>
      </w:r>
      <w:r>
        <w:rPr>
          <w:spacing w:val="-5"/>
        </w:rPr>
        <w:t xml:space="preserve"> </w:t>
      </w:r>
      <w:r>
        <w:t>collections,</w:t>
      </w:r>
      <w:r>
        <w:rPr>
          <w:spacing w:val="-5"/>
        </w:rPr>
        <w:t xml:space="preserve"> </w:t>
      </w:r>
      <w:r>
        <w:t>art</w:t>
      </w:r>
      <w:r>
        <w:rPr>
          <w:spacing w:val="-5"/>
        </w:rPr>
        <w:t xml:space="preserve"> </w:t>
      </w:r>
      <w:r>
        <w:t>collections,</w:t>
      </w:r>
      <w:r>
        <w:rPr>
          <w:spacing w:val="-5"/>
        </w:rPr>
        <w:t xml:space="preserve"> </w:t>
      </w:r>
      <w:r>
        <w:t>and library collections, and (2) noncollection-type heritage assets, such as parks, memorials, monuments, and buildings. (SFFAS 29, para. 15)</w:t>
      </w:r>
    </w:p>
    <w:p w14:paraId="0DFDC610" w14:textId="77777777" w:rsidR="00046465" w:rsidRDefault="008134EB">
      <w:pPr>
        <w:pStyle w:val="ListParagraph"/>
        <w:numPr>
          <w:ilvl w:val="0"/>
          <w:numId w:val="108"/>
        </w:numPr>
        <w:tabs>
          <w:tab w:val="left" w:pos="1800"/>
        </w:tabs>
        <w:ind w:right="750"/>
      </w:pPr>
      <w:r>
        <w:t>Some investments in heritage assets (e.g., national parks) will also meet the definition of stewardship land and be considered and reported as both heritage assets and stewardship land. Such reporting would not be considered duplication,</w:t>
      </w:r>
      <w:r>
        <w:rPr>
          <w:spacing w:val="-4"/>
        </w:rPr>
        <w:t xml:space="preserve"> </w:t>
      </w:r>
      <w:r>
        <w:t>as</w:t>
      </w:r>
      <w:r>
        <w:rPr>
          <w:spacing w:val="-3"/>
        </w:rPr>
        <w:t xml:space="preserve"> </w:t>
      </w:r>
      <w:r>
        <w:t>the</w:t>
      </w:r>
      <w:r>
        <w:rPr>
          <w:spacing w:val="-3"/>
        </w:rPr>
        <w:t xml:space="preserve"> </w:t>
      </w:r>
      <w:r>
        <w:t>type</w:t>
      </w:r>
      <w:r>
        <w:rPr>
          <w:spacing w:val="-4"/>
        </w:rPr>
        <w:t xml:space="preserve"> </w:t>
      </w:r>
      <w:r>
        <w:t>of</w:t>
      </w:r>
      <w:r>
        <w:rPr>
          <w:spacing w:val="-3"/>
        </w:rPr>
        <w:t xml:space="preserve"> </w:t>
      </w:r>
      <w:r>
        <w:t>information</w:t>
      </w:r>
      <w:r>
        <w:rPr>
          <w:spacing w:val="-3"/>
        </w:rPr>
        <w:t xml:space="preserve"> </w:t>
      </w:r>
      <w:r>
        <w:t>reported</w:t>
      </w:r>
      <w:r>
        <w:rPr>
          <w:spacing w:val="-3"/>
        </w:rPr>
        <w:t xml:space="preserve"> </w:t>
      </w:r>
      <w:r>
        <w:t>by</w:t>
      </w:r>
      <w:r>
        <w:rPr>
          <w:spacing w:val="-3"/>
        </w:rPr>
        <w:t xml:space="preserve"> </w:t>
      </w:r>
      <w:r>
        <w:t>physical</w:t>
      </w:r>
      <w:r>
        <w:rPr>
          <w:spacing w:val="-3"/>
        </w:rPr>
        <w:t xml:space="preserve"> </w:t>
      </w:r>
      <w:r>
        <w:t>unit</w:t>
      </w:r>
      <w:r>
        <w:rPr>
          <w:spacing w:val="-3"/>
        </w:rPr>
        <w:t xml:space="preserve"> </w:t>
      </w:r>
      <w:r>
        <w:t>would</w:t>
      </w:r>
      <w:r>
        <w:rPr>
          <w:spacing w:val="-3"/>
        </w:rPr>
        <w:t xml:space="preserve"> </w:t>
      </w:r>
      <w:r>
        <w:t>be</w:t>
      </w:r>
      <w:r>
        <w:rPr>
          <w:spacing w:val="-4"/>
        </w:rPr>
        <w:t xml:space="preserve"> </w:t>
      </w:r>
      <w:r>
        <w:t>different for each category of stewardship asset (SFFAS 29, para. 17). See FAM 931 for guidance related to PP&amp;E land and stewardship land.</w:t>
      </w:r>
    </w:p>
    <w:p w14:paraId="0DFDC611" w14:textId="77777777" w:rsidR="00046465" w:rsidRDefault="008134EB">
      <w:pPr>
        <w:pStyle w:val="ListParagraph"/>
        <w:numPr>
          <w:ilvl w:val="0"/>
          <w:numId w:val="108"/>
        </w:numPr>
        <w:tabs>
          <w:tab w:val="left" w:pos="1800"/>
        </w:tabs>
        <w:ind w:right="911"/>
      </w:pPr>
      <w:r>
        <w:t>Heritage</w:t>
      </w:r>
      <w:r>
        <w:rPr>
          <w:spacing w:val="-3"/>
        </w:rPr>
        <w:t xml:space="preserve"> </w:t>
      </w:r>
      <w:r>
        <w:t>assets</w:t>
      </w:r>
      <w:r>
        <w:rPr>
          <w:spacing w:val="-3"/>
        </w:rPr>
        <w:t xml:space="preserve"> </w:t>
      </w:r>
      <w:r>
        <w:t>may</w:t>
      </w:r>
      <w:r>
        <w:rPr>
          <w:spacing w:val="-3"/>
        </w:rPr>
        <w:t xml:space="preserve"> </w:t>
      </w:r>
      <w:r>
        <w:t>in</w:t>
      </w:r>
      <w:r>
        <w:rPr>
          <w:spacing w:val="-4"/>
        </w:rPr>
        <w:t xml:space="preserve"> </w:t>
      </w:r>
      <w:r>
        <w:t>some</w:t>
      </w:r>
      <w:r>
        <w:rPr>
          <w:spacing w:val="-3"/>
        </w:rPr>
        <w:t xml:space="preserve"> </w:t>
      </w:r>
      <w:r>
        <w:t>cases</w:t>
      </w:r>
      <w:r>
        <w:rPr>
          <w:spacing w:val="-4"/>
        </w:rPr>
        <w:t xml:space="preserve"> </w:t>
      </w:r>
      <w:r>
        <w:t>be</w:t>
      </w:r>
      <w:r>
        <w:rPr>
          <w:spacing w:val="-3"/>
        </w:rPr>
        <w:t xml:space="preserve"> </w:t>
      </w:r>
      <w:r>
        <w:t>used</w:t>
      </w:r>
      <w:r>
        <w:rPr>
          <w:spacing w:val="-3"/>
        </w:rPr>
        <w:t xml:space="preserve"> </w:t>
      </w:r>
      <w:r>
        <w:t>to</w:t>
      </w:r>
      <w:r>
        <w:rPr>
          <w:spacing w:val="-4"/>
        </w:rPr>
        <w:t xml:space="preserve"> </w:t>
      </w:r>
      <w:r>
        <w:t>serve</w:t>
      </w:r>
      <w:r>
        <w:rPr>
          <w:spacing w:val="-3"/>
        </w:rPr>
        <w:t xml:space="preserve"> </w:t>
      </w:r>
      <w:r>
        <w:t>two</w:t>
      </w:r>
      <w:r>
        <w:rPr>
          <w:spacing w:val="-3"/>
        </w:rPr>
        <w:t xml:space="preserve"> </w:t>
      </w:r>
      <w:r>
        <w:t>purposes—a</w:t>
      </w:r>
      <w:r>
        <w:rPr>
          <w:spacing w:val="-4"/>
        </w:rPr>
        <w:t xml:space="preserve"> </w:t>
      </w:r>
      <w:r>
        <w:t>heritage function and general government operations. In cases where a heritage asset serves two purposes, the heritage asset should be considered a multiuse heritage asset if the predominant use of the asset is in general government operations. For example, the main Treasury building in Washington, D.C., is used primarily as an office building. This multiuse asset would be considered general property, capitalized on the balance sheet, and depreciated. Heritage assets having an incidental use in government operations are not multiuse heritage</w:t>
      </w:r>
      <w:r>
        <w:rPr>
          <w:spacing w:val="-2"/>
        </w:rPr>
        <w:t xml:space="preserve"> </w:t>
      </w:r>
      <w:r>
        <w:t>assets;</w:t>
      </w:r>
      <w:r>
        <w:rPr>
          <w:spacing w:val="-2"/>
        </w:rPr>
        <w:t xml:space="preserve"> </w:t>
      </w:r>
      <w:r>
        <w:t>they</w:t>
      </w:r>
      <w:r>
        <w:rPr>
          <w:spacing w:val="-2"/>
        </w:rPr>
        <w:t xml:space="preserve"> </w:t>
      </w:r>
      <w:r>
        <w:t>are</w:t>
      </w:r>
      <w:r>
        <w:rPr>
          <w:spacing w:val="-3"/>
        </w:rPr>
        <w:t xml:space="preserve"> </w:t>
      </w:r>
      <w:r>
        <w:t>simply</w:t>
      </w:r>
      <w:r>
        <w:rPr>
          <w:spacing w:val="-2"/>
        </w:rPr>
        <w:t xml:space="preserve"> </w:t>
      </w:r>
      <w:r>
        <w:t>heritage</w:t>
      </w:r>
      <w:r>
        <w:rPr>
          <w:spacing w:val="-2"/>
        </w:rPr>
        <w:t xml:space="preserve"> </w:t>
      </w:r>
      <w:r>
        <w:t>assets.</w:t>
      </w:r>
      <w:r>
        <w:rPr>
          <w:spacing w:val="-3"/>
        </w:rPr>
        <w:t xml:space="preserve"> </w:t>
      </w:r>
      <w:r>
        <w:t>(SFFAS</w:t>
      </w:r>
      <w:r>
        <w:rPr>
          <w:spacing w:val="-2"/>
        </w:rPr>
        <w:t xml:space="preserve"> </w:t>
      </w:r>
      <w:r>
        <w:t>29,</w:t>
      </w:r>
      <w:r>
        <w:rPr>
          <w:spacing w:val="-1"/>
        </w:rPr>
        <w:t xml:space="preserve"> </w:t>
      </w:r>
      <w:r>
        <w:t>paras.</w:t>
      </w:r>
      <w:r>
        <w:rPr>
          <w:spacing w:val="-2"/>
        </w:rPr>
        <w:t xml:space="preserve"> </w:t>
      </w:r>
      <w:r>
        <w:t>18</w:t>
      </w:r>
      <w:r>
        <w:rPr>
          <w:spacing w:val="-2"/>
        </w:rPr>
        <w:t xml:space="preserve"> </w:t>
      </w:r>
      <w:r>
        <w:t>and</w:t>
      </w:r>
      <w:r>
        <w:rPr>
          <w:spacing w:val="-2"/>
        </w:rPr>
        <w:t xml:space="preserve"> </w:t>
      </w:r>
      <w:r>
        <w:t>22)</w:t>
      </w:r>
    </w:p>
    <w:p w14:paraId="0DFDC612" w14:textId="77777777" w:rsidR="00046465" w:rsidRDefault="008134EB">
      <w:pPr>
        <w:pStyle w:val="Heading4"/>
        <w:spacing w:before="120"/>
      </w:pPr>
      <w:r>
        <w:t>Accounting</w:t>
      </w:r>
      <w:r>
        <w:rPr>
          <w:spacing w:val="-15"/>
        </w:rPr>
        <w:t xml:space="preserve"> </w:t>
      </w:r>
      <w:r>
        <w:t>and</w:t>
      </w:r>
      <w:r>
        <w:rPr>
          <w:spacing w:val="-14"/>
        </w:rPr>
        <w:t xml:space="preserve"> </w:t>
      </w:r>
      <w:r>
        <w:t>Reporting</w:t>
      </w:r>
      <w:r>
        <w:rPr>
          <w:spacing w:val="-13"/>
        </w:rPr>
        <w:t xml:space="preserve"> </w:t>
      </w:r>
      <w:r>
        <w:rPr>
          <w:spacing w:val="-2"/>
        </w:rPr>
        <w:t>Information</w:t>
      </w:r>
    </w:p>
    <w:p w14:paraId="0DFDC613" w14:textId="77777777" w:rsidR="00046465" w:rsidRDefault="008134EB">
      <w:pPr>
        <w:pStyle w:val="ListParagraph"/>
        <w:numPr>
          <w:ilvl w:val="0"/>
          <w:numId w:val="108"/>
        </w:numPr>
        <w:tabs>
          <w:tab w:val="left" w:pos="1800"/>
        </w:tabs>
        <w:spacing w:before="119"/>
        <w:ind w:right="884"/>
      </w:pPr>
      <w:r>
        <w:t>Per</w:t>
      </w:r>
      <w:r>
        <w:rPr>
          <w:spacing w:val="-4"/>
        </w:rPr>
        <w:t xml:space="preserve"> </w:t>
      </w:r>
      <w:r>
        <w:t>SFFAS</w:t>
      </w:r>
      <w:r>
        <w:rPr>
          <w:spacing w:val="-3"/>
        </w:rPr>
        <w:t xml:space="preserve"> </w:t>
      </w:r>
      <w:r>
        <w:t>29,</w:t>
      </w:r>
      <w:r>
        <w:rPr>
          <w:spacing w:val="-4"/>
        </w:rPr>
        <w:t xml:space="preserve"> </w:t>
      </w:r>
      <w:r>
        <w:rPr>
          <w:i/>
        </w:rPr>
        <w:t>Heritage</w:t>
      </w:r>
      <w:r>
        <w:rPr>
          <w:i/>
          <w:spacing w:val="-4"/>
        </w:rPr>
        <w:t xml:space="preserve"> </w:t>
      </w:r>
      <w:r>
        <w:rPr>
          <w:i/>
        </w:rPr>
        <w:t>Assets</w:t>
      </w:r>
      <w:r>
        <w:rPr>
          <w:i/>
          <w:spacing w:val="-4"/>
        </w:rPr>
        <w:t xml:space="preserve"> </w:t>
      </w:r>
      <w:r>
        <w:rPr>
          <w:i/>
        </w:rPr>
        <w:t>and</w:t>
      </w:r>
      <w:r>
        <w:rPr>
          <w:i/>
          <w:spacing w:val="-5"/>
        </w:rPr>
        <w:t xml:space="preserve"> </w:t>
      </w:r>
      <w:r>
        <w:rPr>
          <w:i/>
        </w:rPr>
        <w:t>Stewardship</w:t>
      </w:r>
      <w:r>
        <w:rPr>
          <w:i/>
          <w:spacing w:val="-4"/>
        </w:rPr>
        <w:t xml:space="preserve"> </w:t>
      </w:r>
      <w:r>
        <w:rPr>
          <w:i/>
        </w:rPr>
        <w:t>Land</w:t>
      </w:r>
      <w:r>
        <w:t>,</w:t>
      </w:r>
      <w:r>
        <w:rPr>
          <w:spacing w:val="-4"/>
        </w:rPr>
        <w:t xml:space="preserve"> </w:t>
      </w:r>
      <w:r>
        <w:t>entities’</w:t>
      </w:r>
      <w:r>
        <w:rPr>
          <w:spacing w:val="-4"/>
        </w:rPr>
        <w:t xml:space="preserve"> </w:t>
      </w:r>
      <w:r>
        <w:t>balance</w:t>
      </w:r>
      <w:r>
        <w:rPr>
          <w:spacing w:val="-5"/>
        </w:rPr>
        <w:t xml:space="preserve"> </w:t>
      </w:r>
      <w:r>
        <w:t>sheets should</w:t>
      </w:r>
      <w:r>
        <w:rPr>
          <w:spacing w:val="-4"/>
        </w:rPr>
        <w:t xml:space="preserve"> </w:t>
      </w:r>
      <w:r>
        <w:t>reference</w:t>
      </w:r>
      <w:r>
        <w:rPr>
          <w:spacing w:val="-4"/>
        </w:rPr>
        <w:t xml:space="preserve"> </w:t>
      </w:r>
      <w:r>
        <w:t>a</w:t>
      </w:r>
      <w:r>
        <w:rPr>
          <w:spacing w:val="-4"/>
        </w:rPr>
        <w:t xml:space="preserve"> </w:t>
      </w:r>
      <w:r>
        <w:t>note</w:t>
      </w:r>
      <w:r>
        <w:rPr>
          <w:spacing w:val="-5"/>
        </w:rPr>
        <w:t xml:space="preserve"> </w:t>
      </w:r>
      <w:r>
        <w:t>that</w:t>
      </w:r>
      <w:r>
        <w:rPr>
          <w:spacing w:val="-4"/>
        </w:rPr>
        <w:t xml:space="preserve"> </w:t>
      </w:r>
      <w:r>
        <w:t>discloses</w:t>
      </w:r>
      <w:r>
        <w:rPr>
          <w:spacing w:val="-4"/>
        </w:rPr>
        <w:t xml:space="preserve"> </w:t>
      </w:r>
      <w:r>
        <w:t>information</w:t>
      </w:r>
      <w:r>
        <w:rPr>
          <w:spacing w:val="-4"/>
        </w:rPr>
        <w:t xml:space="preserve"> </w:t>
      </w:r>
      <w:r>
        <w:t>about</w:t>
      </w:r>
      <w:r>
        <w:rPr>
          <w:spacing w:val="-4"/>
        </w:rPr>
        <w:t xml:space="preserve"> </w:t>
      </w:r>
      <w:r>
        <w:t>heritage</w:t>
      </w:r>
      <w:r>
        <w:rPr>
          <w:spacing w:val="-4"/>
        </w:rPr>
        <w:t xml:space="preserve"> </w:t>
      </w:r>
      <w:r>
        <w:t>assets,</w:t>
      </w:r>
      <w:r>
        <w:rPr>
          <w:spacing w:val="-5"/>
        </w:rPr>
        <w:t xml:space="preserve"> </w:t>
      </w:r>
      <w:r>
        <w:t>but</w:t>
      </w:r>
      <w:r>
        <w:rPr>
          <w:spacing w:val="-4"/>
        </w:rPr>
        <w:t xml:space="preserve"> </w:t>
      </w:r>
      <w:r>
        <w:t xml:space="preserve">no dollar amount is shown. See SFFAS 29, paragraphs 25 through 27, for disclosure requirements. Also see Technical Release (TR) 9, </w:t>
      </w:r>
      <w:r>
        <w:rPr>
          <w:i/>
        </w:rPr>
        <w:t>Implementation Guide for Statement of Federal Financial Accounting Standards 29: Heritage Assets and Stewardship Land</w:t>
      </w:r>
      <w:r>
        <w:t>, for guidance relating to (1) materiality considerations and (2) identification, categorization, and quantification.</w:t>
      </w:r>
    </w:p>
    <w:p w14:paraId="0DFDC614" w14:textId="77777777" w:rsidR="00046465" w:rsidRDefault="008134EB">
      <w:pPr>
        <w:pStyle w:val="ListParagraph"/>
        <w:numPr>
          <w:ilvl w:val="0"/>
          <w:numId w:val="108"/>
        </w:numPr>
        <w:tabs>
          <w:tab w:val="left" w:pos="1800"/>
        </w:tabs>
        <w:ind w:right="846"/>
      </w:pPr>
      <w:r>
        <w:t>SFFAS 29 also includes disclosure requirements applicable to the U.S. government’s consolidated financial statements, which must provide a general discussion</w:t>
      </w:r>
      <w:r>
        <w:rPr>
          <w:spacing w:val="-4"/>
        </w:rPr>
        <w:t xml:space="preserve"> </w:t>
      </w:r>
      <w:r>
        <w:t>of</w:t>
      </w:r>
      <w:r>
        <w:rPr>
          <w:spacing w:val="-4"/>
        </w:rPr>
        <w:t xml:space="preserve"> </w:t>
      </w:r>
      <w:r>
        <w:t>heritage</w:t>
      </w:r>
      <w:r>
        <w:rPr>
          <w:spacing w:val="-4"/>
        </w:rPr>
        <w:t xml:space="preserve"> </w:t>
      </w:r>
      <w:r>
        <w:t>assets</w:t>
      </w:r>
      <w:r>
        <w:rPr>
          <w:spacing w:val="-4"/>
        </w:rPr>
        <w:t xml:space="preserve"> </w:t>
      </w:r>
      <w:r>
        <w:t>and</w:t>
      </w:r>
      <w:r>
        <w:rPr>
          <w:spacing w:val="-4"/>
        </w:rPr>
        <w:t xml:space="preserve"> </w:t>
      </w:r>
      <w:r>
        <w:t>direct</w:t>
      </w:r>
      <w:r>
        <w:rPr>
          <w:spacing w:val="-4"/>
        </w:rPr>
        <w:t xml:space="preserve"> </w:t>
      </w:r>
      <w:r>
        <w:t>users</w:t>
      </w:r>
      <w:r>
        <w:rPr>
          <w:spacing w:val="-4"/>
        </w:rPr>
        <w:t xml:space="preserve"> </w:t>
      </w:r>
      <w:r>
        <w:t>to</w:t>
      </w:r>
      <w:r>
        <w:rPr>
          <w:spacing w:val="-5"/>
        </w:rPr>
        <w:t xml:space="preserve"> </w:t>
      </w:r>
      <w:r>
        <w:t>the</w:t>
      </w:r>
      <w:r>
        <w:rPr>
          <w:spacing w:val="-4"/>
        </w:rPr>
        <w:t xml:space="preserve"> </w:t>
      </w:r>
      <w:r>
        <w:t>applicable</w:t>
      </w:r>
      <w:r>
        <w:rPr>
          <w:spacing w:val="-4"/>
        </w:rPr>
        <w:t xml:space="preserve"> </w:t>
      </w:r>
      <w:r>
        <w:t>entities’</w:t>
      </w:r>
      <w:r>
        <w:rPr>
          <w:spacing w:val="-4"/>
        </w:rPr>
        <w:t xml:space="preserve"> </w:t>
      </w:r>
      <w:r>
        <w:t>financial statements for more detailed information (SFFAS 29, para. 28).</w:t>
      </w:r>
    </w:p>
    <w:p w14:paraId="0DFDC615" w14:textId="77777777" w:rsidR="00046465" w:rsidRDefault="008134EB">
      <w:pPr>
        <w:pStyle w:val="Heading4"/>
        <w:spacing w:before="121"/>
      </w:pPr>
      <w:r>
        <w:t>Audit</w:t>
      </w:r>
      <w:r>
        <w:rPr>
          <w:spacing w:val="-10"/>
        </w:rPr>
        <w:t xml:space="preserve"> </w:t>
      </w:r>
      <w:r>
        <w:rPr>
          <w:spacing w:val="-2"/>
        </w:rPr>
        <w:t>Procedures</w:t>
      </w:r>
    </w:p>
    <w:p w14:paraId="0DFDC616" w14:textId="77777777" w:rsidR="00046465" w:rsidRDefault="008134EB">
      <w:pPr>
        <w:pStyle w:val="ListParagraph"/>
        <w:numPr>
          <w:ilvl w:val="0"/>
          <w:numId w:val="108"/>
        </w:numPr>
        <w:tabs>
          <w:tab w:val="left" w:pos="1800"/>
        </w:tabs>
        <w:ind w:right="800"/>
      </w:pPr>
      <w:r>
        <w:t>Heritage assets will vary by entity, and the auditor should use professional judgment to design the audit procedures for a particular entity after considering the</w:t>
      </w:r>
      <w:r>
        <w:rPr>
          <w:spacing w:val="-4"/>
        </w:rPr>
        <w:t xml:space="preserve"> </w:t>
      </w:r>
      <w:r>
        <w:t>types</w:t>
      </w:r>
      <w:r>
        <w:rPr>
          <w:spacing w:val="-4"/>
        </w:rPr>
        <w:t xml:space="preserve"> </w:t>
      </w:r>
      <w:r>
        <w:t>of</w:t>
      </w:r>
      <w:r>
        <w:rPr>
          <w:spacing w:val="-5"/>
        </w:rPr>
        <w:t xml:space="preserve"> </w:t>
      </w:r>
      <w:r>
        <w:t>heritage</w:t>
      </w:r>
      <w:r>
        <w:rPr>
          <w:spacing w:val="-4"/>
        </w:rPr>
        <w:t xml:space="preserve"> </w:t>
      </w:r>
      <w:r>
        <w:t>assets,</w:t>
      </w:r>
      <w:r>
        <w:rPr>
          <w:spacing w:val="-4"/>
        </w:rPr>
        <w:t xml:space="preserve"> </w:t>
      </w:r>
      <w:r>
        <w:t>materiality,</w:t>
      </w:r>
      <w:r>
        <w:rPr>
          <w:spacing w:val="-4"/>
        </w:rPr>
        <w:t xml:space="preserve"> </w:t>
      </w:r>
      <w:r>
        <w:t>audit</w:t>
      </w:r>
      <w:r>
        <w:rPr>
          <w:spacing w:val="-4"/>
        </w:rPr>
        <w:t xml:space="preserve"> </w:t>
      </w:r>
      <w:r>
        <w:t>risks,</w:t>
      </w:r>
      <w:r>
        <w:rPr>
          <w:spacing w:val="-4"/>
        </w:rPr>
        <w:t xml:space="preserve"> </w:t>
      </w:r>
      <w:r>
        <w:t>and</w:t>
      </w:r>
      <w:r>
        <w:rPr>
          <w:spacing w:val="-4"/>
        </w:rPr>
        <w:t xml:space="preserve"> </w:t>
      </w:r>
      <w:r>
        <w:t>the</w:t>
      </w:r>
      <w:r>
        <w:rPr>
          <w:spacing w:val="-4"/>
        </w:rPr>
        <w:t xml:space="preserve"> </w:t>
      </w:r>
      <w:r>
        <w:t>control</w:t>
      </w:r>
      <w:r>
        <w:rPr>
          <w:spacing w:val="-4"/>
        </w:rPr>
        <w:t xml:space="preserve"> </w:t>
      </w:r>
      <w:r>
        <w:t>environment. The auditor should consider whether heritage assets are material (see TR 9, section I, Materiality Considerations).</w:t>
      </w:r>
    </w:p>
    <w:p w14:paraId="0DFDC617" w14:textId="77777777" w:rsidR="00046465" w:rsidRDefault="00046465">
      <w:pPr>
        <w:pStyle w:val="ListParagraph"/>
        <w:sectPr w:rsidR="00046465">
          <w:headerReference w:type="default" r:id="rId214"/>
          <w:footerReference w:type="default" r:id="rId215"/>
          <w:pgSz w:w="12240" w:h="15840"/>
          <w:pgMar w:top="1340" w:right="720" w:bottom="940" w:left="1080" w:header="721" w:footer="757" w:gutter="0"/>
          <w:cols w:space="720"/>
        </w:sectPr>
      </w:pPr>
    </w:p>
    <w:p w14:paraId="0DFDC618" w14:textId="77777777" w:rsidR="00046465" w:rsidRDefault="008134EB">
      <w:pPr>
        <w:pStyle w:val="ListParagraph"/>
        <w:numPr>
          <w:ilvl w:val="0"/>
          <w:numId w:val="108"/>
        </w:numPr>
        <w:tabs>
          <w:tab w:val="left" w:pos="1800"/>
        </w:tabs>
        <w:spacing w:before="121"/>
        <w:ind w:right="982"/>
      </w:pPr>
      <w:r>
        <w:lastRenderedPageBreak/>
        <w:t>The</w:t>
      </w:r>
      <w:r>
        <w:rPr>
          <w:spacing w:val="-4"/>
        </w:rPr>
        <w:t xml:space="preserve"> </w:t>
      </w:r>
      <w:r>
        <w:t>audit</w:t>
      </w:r>
      <w:r>
        <w:rPr>
          <w:spacing w:val="-4"/>
        </w:rPr>
        <w:t xml:space="preserve"> </w:t>
      </w:r>
      <w:r>
        <w:t>procedures</w:t>
      </w:r>
      <w:r>
        <w:rPr>
          <w:spacing w:val="-4"/>
        </w:rPr>
        <w:t xml:space="preserve"> </w:t>
      </w:r>
      <w:r>
        <w:t>for</w:t>
      </w:r>
      <w:r>
        <w:rPr>
          <w:spacing w:val="-5"/>
        </w:rPr>
        <w:t xml:space="preserve"> </w:t>
      </w:r>
      <w:r>
        <w:t>heritage</w:t>
      </w:r>
      <w:r>
        <w:rPr>
          <w:spacing w:val="-4"/>
        </w:rPr>
        <w:t xml:space="preserve"> </w:t>
      </w:r>
      <w:r>
        <w:t>assets</w:t>
      </w:r>
      <w:r>
        <w:rPr>
          <w:spacing w:val="-4"/>
        </w:rPr>
        <w:t xml:space="preserve"> </w:t>
      </w:r>
      <w:r>
        <w:t>are</w:t>
      </w:r>
      <w:r>
        <w:rPr>
          <w:spacing w:val="-4"/>
        </w:rPr>
        <w:t xml:space="preserve"> </w:t>
      </w:r>
      <w:r>
        <w:t>organized</w:t>
      </w:r>
      <w:r>
        <w:rPr>
          <w:spacing w:val="-4"/>
        </w:rPr>
        <w:t xml:space="preserve"> </w:t>
      </w:r>
      <w:r>
        <w:t>into</w:t>
      </w:r>
      <w:r>
        <w:rPr>
          <w:spacing w:val="-4"/>
        </w:rPr>
        <w:t xml:space="preserve"> </w:t>
      </w:r>
      <w:r>
        <w:t>the</w:t>
      </w:r>
      <w:r>
        <w:rPr>
          <w:spacing w:val="-4"/>
        </w:rPr>
        <w:t xml:space="preserve"> </w:t>
      </w:r>
      <w:r>
        <w:t>FAM</w:t>
      </w:r>
      <w:r>
        <w:rPr>
          <w:spacing w:val="-5"/>
        </w:rPr>
        <w:t xml:space="preserve"> </w:t>
      </w:r>
      <w:r>
        <w:t>phases—planning, internal control, testing, and reporting.</w:t>
      </w:r>
    </w:p>
    <w:p w14:paraId="0DFDC619" w14:textId="77777777" w:rsidR="00046465" w:rsidRDefault="008134EB">
      <w:pPr>
        <w:pStyle w:val="Heading5"/>
        <w:spacing w:before="121"/>
        <w:ind w:left="392"/>
        <w:rPr>
          <w:u w:val="none"/>
        </w:rPr>
      </w:pPr>
      <w:bookmarkStart w:id="333" w:name="Planning_Phase"/>
      <w:bookmarkEnd w:id="333"/>
      <w:r>
        <w:t>Planning</w:t>
      </w:r>
      <w:r>
        <w:rPr>
          <w:spacing w:val="-5"/>
        </w:rPr>
        <w:t xml:space="preserve"> </w:t>
      </w:r>
      <w:r>
        <w:rPr>
          <w:spacing w:val="-2"/>
        </w:rPr>
        <w:t>Phase</w:t>
      </w:r>
    </w:p>
    <w:p w14:paraId="0DFDC61A" w14:textId="77777777" w:rsidR="00046465" w:rsidRDefault="008134EB">
      <w:pPr>
        <w:pStyle w:val="ListParagraph"/>
        <w:numPr>
          <w:ilvl w:val="0"/>
          <w:numId w:val="108"/>
        </w:numPr>
        <w:tabs>
          <w:tab w:val="left" w:pos="1800"/>
        </w:tabs>
        <w:spacing w:before="178"/>
        <w:ind w:right="860"/>
      </w:pPr>
      <w:r>
        <w:t>The auditor should obtain an understanding of an entity’s heritage assets in the planning</w:t>
      </w:r>
      <w:r>
        <w:rPr>
          <w:spacing w:val="-4"/>
        </w:rPr>
        <w:t xml:space="preserve"> </w:t>
      </w:r>
      <w:r>
        <w:t>phase</w:t>
      </w:r>
      <w:r>
        <w:rPr>
          <w:spacing w:val="-4"/>
        </w:rPr>
        <w:t xml:space="preserve"> </w:t>
      </w:r>
      <w:r>
        <w:t>of</w:t>
      </w:r>
      <w:r>
        <w:rPr>
          <w:spacing w:val="-4"/>
        </w:rPr>
        <w:t xml:space="preserve"> </w:t>
      </w:r>
      <w:r>
        <w:t>the</w:t>
      </w:r>
      <w:r>
        <w:rPr>
          <w:spacing w:val="-4"/>
        </w:rPr>
        <w:t xml:space="preserve"> </w:t>
      </w:r>
      <w:r>
        <w:t>audit.</w:t>
      </w:r>
      <w:r>
        <w:rPr>
          <w:spacing w:val="-4"/>
        </w:rPr>
        <w:t xml:space="preserve"> </w:t>
      </w:r>
      <w:r>
        <w:t>To</w:t>
      </w:r>
      <w:r>
        <w:rPr>
          <w:spacing w:val="-4"/>
        </w:rPr>
        <w:t xml:space="preserve"> </w:t>
      </w:r>
      <w:r>
        <w:t>obtain</w:t>
      </w:r>
      <w:r>
        <w:rPr>
          <w:spacing w:val="-4"/>
        </w:rPr>
        <w:t xml:space="preserve"> </w:t>
      </w:r>
      <w:r>
        <w:t>such</w:t>
      </w:r>
      <w:r>
        <w:rPr>
          <w:spacing w:val="-4"/>
        </w:rPr>
        <w:t xml:space="preserve"> </w:t>
      </w:r>
      <w:r>
        <w:t>understanding,</w:t>
      </w:r>
      <w:r>
        <w:rPr>
          <w:spacing w:val="-4"/>
        </w:rPr>
        <w:t xml:space="preserve"> </w:t>
      </w:r>
      <w:r>
        <w:t>the</w:t>
      </w:r>
      <w:r>
        <w:rPr>
          <w:spacing w:val="-4"/>
        </w:rPr>
        <w:t xml:space="preserve"> </w:t>
      </w:r>
      <w:r>
        <w:t>auditor</w:t>
      </w:r>
      <w:r>
        <w:rPr>
          <w:spacing w:val="-4"/>
        </w:rPr>
        <w:t xml:space="preserve"> </w:t>
      </w:r>
      <w:r>
        <w:t>generally should do the following:</w:t>
      </w:r>
    </w:p>
    <w:p w14:paraId="0DFDC61B" w14:textId="77777777" w:rsidR="00046465" w:rsidRDefault="008134EB">
      <w:pPr>
        <w:pStyle w:val="ListParagraph"/>
        <w:numPr>
          <w:ilvl w:val="1"/>
          <w:numId w:val="108"/>
        </w:numPr>
        <w:tabs>
          <w:tab w:val="left" w:pos="2159"/>
        </w:tabs>
        <w:spacing w:before="121"/>
        <w:ind w:left="2159" w:right="1088"/>
      </w:pPr>
      <w:r>
        <w:t>Obtain</w:t>
      </w:r>
      <w:r>
        <w:rPr>
          <w:spacing w:val="-5"/>
        </w:rPr>
        <w:t xml:space="preserve"> </w:t>
      </w:r>
      <w:r>
        <w:t>an</w:t>
      </w:r>
      <w:r>
        <w:rPr>
          <w:spacing w:val="-5"/>
        </w:rPr>
        <w:t xml:space="preserve"> </w:t>
      </w:r>
      <w:r>
        <w:t>understanding</w:t>
      </w:r>
      <w:r>
        <w:rPr>
          <w:spacing w:val="-5"/>
        </w:rPr>
        <w:t xml:space="preserve"> </w:t>
      </w:r>
      <w:r>
        <w:t>of</w:t>
      </w:r>
      <w:r>
        <w:rPr>
          <w:spacing w:val="-5"/>
        </w:rPr>
        <w:t xml:space="preserve"> </w:t>
      </w:r>
      <w:r>
        <w:t>significant</w:t>
      </w:r>
      <w:r>
        <w:rPr>
          <w:spacing w:val="-5"/>
        </w:rPr>
        <w:t xml:space="preserve"> </w:t>
      </w:r>
      <w:r>
        <w:t>accounting</w:t>
      </w:r>
      <w:r>
        <w:rPr>
          <w:spacing w:val="-5"/>
        </w:rPr>
        <w:t xml:space="preserve"> </w:t>
      </w:r>
      <w:r>
        <w:t>and</w:t>
      </w:r>
      <w:r>
        <w:rPr>
          <w:spacing w:val="-5"/>
        </w:rPr>
        <w:t xml:space="preserve"> </w:t>
      </w:r>
      <w:r>
        <w:t>auditing</w:t>
      </w:r>
      <w:r>
        <w:rPr>
          <w:spacing w:val="-5"/>
        </w:rPr>
        <w:t xml:space="preserve"> </w:t>
      </w:r>
      <w:r>
        <w:t>issues</w:t>
      </w:r>
      <w:r>
        <w:rPr>
          <w:spacing w:val="-5"/>
        </w:rPr>
        <w:t xml:space="preserve"> </w:t>
      </w:r>
      <w:r>
        <w:t>and read the entity’s prior-year annual financial report (e.g., performance and accountability report or agency financial report).</w:t>
      </w:r>
    </w:p>
    <w:p w14:paraId="0DFDC61C" w14:textId="77777777" w:rsidR="00046465" w:rsidRDefault="008134EB">
      <w:pPr>
        <w:pStyle w:val="ListParagraph"/>
        <w:numPr>
          <w:ilvl w:val="1"/>
          <w:numId w:val="108"/>
        </w:numPr>
        <w:tabs>
          <w:tab w:val="left" w:pos="2159"/>
        </w:tabs>
        <w:spacing w:before="119"/>
        <w:ind w:left="2159" w:right="879"/>
      </w:pPr>
      <w:r>
        <w:t>Read SFFAS 29, as amended; TR 9 (including guidance for materiality considerations);</w:t>
      </w:r>
      <w:r>
        <w:rPr>
          <w:spacing w:val="-5"/>
        </w:rPr>
        <w:t xml:space="preserve"> </w:t>
      </w:r>
      <w:r>
        <w:t>and</w:t>
      </w:r>
      <w:r>
        <w:rPr>
          <w:spacing w:val="-5"/>
        </w:rPr>
        <w:t xml:space="preserve"> </w:t>
      </w:r>
      <w:r>
        <w:t>OMB</w:t>
      </w:r>
      <w:r>
        <w:rPr>
          <w:spacing w:val="-5"/>
        </w:rPr>
        <w:t xml:space="preserve"> </w:t>
      </w:r>
      <w:r>
        <w:t>guidance</w:t>
      </w:r>
      <w:r>
        <w:rPr>
          <w:spacing w:val="-5"/>
        </w:rPr>
        <w:t xml:space="preserve"> </w:t>
      </w:r>
      <w:r>
        <w:t>for</w:t>
      </w:r>
      <w:r>
        <w:rPr>
          <w:spacing w:val="-5"/>
        </w:rPr>
        <w:t xml:space="preserve"> </w:t>
      </w:r>
      <w:r>
        <w:t>accounting</w:t>
      </w:r>
      <w:r>
        <w:rPr>
          <w:spacing w:val="-5"/>
        </w:rPr>
        <w:t xml:space="preserve"> </w:t>
      </w:r>
      <w:r>
        <w:t>and</w:t>
      </w:r>
      <w:r>
        <w:rPr>
          <w:spacing w:val="-5"/>
        </w:rPr>
        <w:t xml:space="preserve"> </w:t>
      </w:r>
      <w:r>
        <w:t>reporting</w:t>
      </w:r>
      <w:r>
        <w:rPr>
          <w:spacing w:val="-5"/>
        </w:rPr>
        <w:t xml:space="preserve"> </w:t>
      </w:r>
      <w:r>
        <w:t>of</w:t>
      </w:r>
      <w:r>
        <w:rPr>
          <w:spacing w:val="-5"/>
        </w:rPr>
        <w:t xml:space="preserve"> </w:t>
      </w:r>
      <w:r>
        <w:t xml:space="preserve">heritage </w:t>
      </w:r>
      <w:r>
        <w:rPr>
          <w:spacing w:val="-2"/>
        </w:rPr>
        <w:t>assets.</w:t>
      </w:r>
    </w:p>
    <w:p w14:paraId="0DFDC61D" w14:textId="77777777" w:rsidR="00046465" w:rsidRDefault="008134EB">
      <w:pPr>
        <w:pStyle w:val="ListParagraph"/>
        <w:numPr>
          <w:ilvl w:val="1"/>
          <w:numId w:val="108"/>
        </w:numPr>
        <w:tabs>
          <w:tab w:val="left" w:pos="2159"/>
        </w:tabs>
        <w:spacing w:before="121"/>
        <w:ind w:left="2159" w:right="771"/>
      </w:pPr>
      <w:r>
        <w:t>Understand and document the entity’s policies for identifying heritage assets separate</w:t>
      </w:r>
      <w:r>
        <w:rPr>
          <w:spacing w:val="-4"/>
        </w:rPr>
        <w:t xml:space="preserve"> </w:t>
      </w:r>
      <w:r>
        <w:t>from</w:t>
      </w:r>
      <w:r>
        <w:rPr>
          <w:spacing w:val="-5"/>
        </w:rPr>
        <w:t xml:space="preserve"> </w:t>
      </w:r>
      <w:r>
        <w:t>multiuse</w:t>
      </w:r>
      <w:r>
        <w:rPr>
          <w:spacing w:val="-4"/>
        </w:rPr>
        <w:t xml:space="preserve"> </w:t>
      </w:r>
      <w:r>
        <w:t>heritage</w:t>
      </w:r>
      <w:r>
        <w:rPr>
          <w:spacing w:val="-4"/>
        </w:rPr>
        <w:t xml:space="preserve"> </w:t>
      </w:r>
      <w:r>
        <w:t>assets</w:t>
      </w:r>
      <w:r>
        <w:rPr>
          <w:spacing w:val="-4"/>
        </w:rPr>
        <w:t xml:space="preserve"> </w:t>
      </w:r>
      <w:r>
        <w:t>and</w:t>
      </w:r>
      <w:r>
        <w:rPr>
          <w:spacing w:val="-4"/>
        </w:rPr>
        <w:t xml:space="preserve"> </w:t>
      </w:r>
      <w:r>
        <w:t>other</w:t>
      </w:r>
      <w:r>
        <w:rPr>
          <w:spacing w:val="-4"/>
        </w:rPr>
        <w:t xml:space="preserve"> </w:t>
      </w:r>
      <w:r>
        <w:t>PP&amp;E</w:t>
      </w:r>
      <w:r>
        <w:rPr>
          <w:spacing w:val="-4"/>
        </w:rPr>
        <w:t xml:space="preserve"> </w:t>
      </w:r>
      <w:r>
        <w:t>and</w:t>
      </w:r>
      <w:r>
        <w:rPr>
          <w:spacing w:val="-3"/>
        </w:rPr>
        <w:t xml:space="preserve"> </w:t>
      </w:r>
      <w:r>
        <w:t>indicate</w:t>
      </w:r>
      <w:r>
        <w:rPr>
          <w:spacing w:val="-4"/>
        </w:rPr>
        <w:t xml:space="preserve"> </w:t>
      </w:r>
      <w:r>
        <w:t>how</w:t>
      </w:r>
      <w:r>
        <w:rPr>
          <w:spacing w:val="-6"/>
        </w:rPr>
        <w:t xml:space="preserve"> </w:t>
      </w:r>
      <w:r>
        <w:t>the designation of heritage assets relates to the entity’s mission.</w:t>
      </w:r>
    </w:p>
    <w:p w14:paraId="0DFDC61E" w14:textId="77777777" w:rsidR="00046465" w:rsidRDefault="008134EB">
      <w:pPr>
        <w:pStyle w:val="ListParagraph"/>
        <w:numPr>
          <w:ilvl w:val="1"/>
          <w:numId w:val="108"/>
        </w:numPr>
        <w:tabs>
          <w:tab w:val="left" w:pos="2159"/>
        </w:tabs>
        <w:spacing w:before="119"/>
        <w:ind w:left="2159" w:right="745"/>
      </w:pPr>
      <w:r>
        <w:t>Understand and document the entity’s procedures for identifying, categorizing, accounting for, reconciling, and reporting heritage assets. Note that SFFAS 29 and TR 9 allow the entity flexibility in designating categories by determining a meaningful level of aggregation for reporting and selecting physical</w:t>
      </w:r>
      <w:r>
        <w:rPr>
          <w:spacing w:val="-4"/>
        </w:rPr>
        <w:t xml:space="preserve"> </w:t>
      </w:r>
      <w:r>
        <w:t>units</w:t>
      </w:r>
      <w:r>
        <w:rPr>
          <w:spacing w:val="-4"/>
        </w:rPr>
        <w:t xml:space="preserve"> </w:t>
      </w:r>
      <w:r>
        <w:t>aligned</w:t>
      </w:r>
      <w:r>
        <w:rPr>
          <w:spacing w:val="-4"/>
        </w:rPr>
        <w:t xml:space="preserve"> </w:t>
      </w:r>
      <w:r>
        <w:t>with</w:t>
      </w:r>
      <w:r>
        <w:rPr>
          <w:spacing w:val="-4"/>
        </w:rPr>
        <w:t xml:space="preserve"> </w:t>
      </w:r>
      <w:r>
        <w:t>those</w:t>
      </w:r>
      <w:r>
        <w:rPr>
          <w:spacing w:val="-4"/>
        </w:rPr>
        <w:t xml:space="preserve"> </w:t>
      </w:r>
      <w:r>
        <w:t>categories</w:t>
      </w:r>
      <w:r>
        <w:rPr>
          <w:spacing w:val="-4"/>
        </w:rPr>
        <w:t xml:space="preserve"> </w:t>
      </w:r>
      <w:r>
        <w:t>based</w:t>
      </w:r>
      <w:r>
        <w:rPr>
          <w:spacing w:val="-4"/>
        </w:rPr>
        <w:t xml:space="preserve"> </w:t>
      </w:r>
      <w:r>
        <w:t>on</w:t>
      </w:r>
      <w:r>
        <w:rPr>
          <w:spacing w:val="-4"/>
        </w:rPr>
        <w:t xml:space="preserve"> </w:t>
      </w:r>
      <w:r>
        <w:t>the</w:t>
      </w:r>
      <w:r>
        <w:rPr>
          <w:spacing w:val="-4"/>
        </w:rPr>
        <w:t xml:space="preserve"> </w:t>
      </w:r>
      <w:r>
        <w:t>entity’s</w:t>
      </w:r>
      <w:r>
        <w:rPr>
          <w:spacing w:val="-4"/>
        </w:rPr>
        <w:t xml:space="preserve"> </w:t>
      </w:r>
      <w:r>
        <w:t>mission</w:t>
      </w:r>
      <w:r>
        <w:rPr>
          <w:spacing w:val="-5"/>
        </w:rPr>
        <w:t xml:space="preserve"> </w:t>
      </w:r>
      <w:r>
        <w:t>and types of heritage assets and how it manages those assets.</w:t>
      </w:r>
    </w:p>
    <w:p w14:paraId="0DFDC61F" w14:textId="77777777" w:rsidR="00046465" w:rsidRDefault="008134EB">
      <w:pPr>
        <w:pStyle w:val="ListParagraph"/>
        <w:numPr>
          <w:ilvl w:val="1"/>
          <w:numId w:val="108"/>
        </w:numPr>
        <w:tabs>
          <w:tab w:val="left" w:pos="2159"/>
        </w:tabs>
        <w:ind w:left="2159" w:right="1403"/>
      </w:pPr>
      <w:r>
        <w:t>Understand</w:t>
      </w:r>
      <w:r>
        <w:rPr>
          <w:spacing w:val="-5"/>
        </w:rPr>
        <w:t xml:space="preserve"> </w:t>
      </w:r>
      <w:r>
        <w:t>and</w:t>
      </w:r>
      <w:r>
        <w:rPr>
          <w:spacing w:val="-5"/>
        </w:rPr>
        <w:t xml:space="preserve"> </w:t>
      </w:r>
      <w:r>
        <w:t>document</w:t>
      </w:r>
      <w:r>
        <w:rPr>
          <w:spacing w:val="-5"/>
        </w:rPr>
        <w:t xml:space="preserve"> </w:t>
      </w:r>
      <w:r>
        <w:t>the</w:t>
      </w:r>
      <w:r>
        <w:rPr>
          <w:spacing w:val="-5"/>
        </w:rPr>
        <w:t xml:space="preserve"> </w:t>
      </w:r>
      <w:r>
        <w:t>entity’s</w:t>
      </w:r>
      <w:r>
        <w:rPr>
          <w:spacing w:val="-5"/>
        </w:rPr>
        <w:t xml:space="preserve"> </w:t>
      </w:r>
      <w:r>
        <w:t>methodology</w:t>
      </w:r>
      <w:r>
        <w:rPr>
          <w:spacing w:val="-5"/>
        </w:rPr>
        <w:t xml:space="preserve"> </w:t>
      </w:r>
      <w:r>
        <w:t>for</w:t>
      </w:r>
      <w:r>
        <w:rPr>
          <w:spacing w:val="-5"/>
        </w:rPr>
        <w:t xml:space="preserve"> </w:t>
      </w:r>
      <w:r>
        <w:t>acquisition</w:t>
      </w:r>
      <w:r>
        <w:rPr>
          <w:spacing w:val="-5"/>
        </w:rPr>
        <w:t xml:space="preserve"> </w:t>
      </w:r>
      <w:r>
        <w:t>and withdrawal of heritage assets during the reporting period.</w:t>
      </w:r>
    </w:p>
    <w:p w14:paraId="0DFDC620" w14:textId="77777777" w:rsidR="00046465" w:rsidRDefault="008134EB">
      <w:pPr>
        <w:pStyle w:val="ListParagraph"/>
        <w:numPr>
          <w:ilvl w:val="1"/>
          <w:numId w:val="108"/>
        </w:numPr>
        <w:tabs>
          <w:tab w:val="left" w:pos="2159"/>
        </w:tabs>
        <w:spacing w:before="121"/>
        <w:ind w:left="2159" w:right="758"/>
      </w:pPr>
      <w:r>
        <w:t>Identify and understand the significant business process applications and significant</w:t>
      </w:r>
      <w:r>
        <w:rPr>
          <w:spacing w:val="-5"/>
        </w:rPr>
        <w:t xml:space="preserve"> </w:t>
      </w:r>
      <w:r>
        <w:t>manual</w:t>
      </w:r>
      <w:r>
        <w:rPr>
          <w:spacing w:val="-5"/>
        </w:rPr>
        <w:t xml:space="preserve"> </w:t>
      </w:r>
      <w:r>
        <w:t>processes</w:t>
      </w:r>
      <w:r>
        <w:rPr>
          <w:spacing w:val="-5"/>
        </w:rPr>
        <w:t xml:space="preserve"> </w:t>
      </w:r>
      <w:r>
        <w:t>for</w:t>
      </w:r>
      <w:r>
        <w:rPr>
          <w:spacing w:val="-7"/>
        </w:rPr>
        <w:t xml:space="preserve"> </w:t>
      </w:r>
      <w:r>
        <w:t>classifying,</w:t>
      </w:r>
      <w:r>
        <w:rPr>
          <w:spacing w:val="-6"/>
        </w:rPr>
        <w:t xml:space="preserve"> </w:t>
      </w:r>
      <w:r>
        <w:t>categorizing,</w:t>
      </w:r>
      <w:r>
        <w:rPr>
          <w:spacing w:val="-5"/>
        </w:rPr>
        <w:t xml:space="preserve"> </w:t>
      </w:r>
      <w:r>
        <w:t>accounting</w:t>
      </w:r>
      <w:r>
        <w:rPr>
          <w:spacing w:val="-5"/>
        </w:rPr>
        <w:t xml:space="preserve"> </w:t>
      </w:r>
      <w:r>
        <w:t>for,</w:t>
      </w:r>
      <w:r>
        <w:rPr>
          <w:spacing w:val="-6"/>
        </w:rPr>
        <w:t xml:space="preserve"> </w:t>
      </w:r>
      <w:r>
        <w:t>and processing transactions related to heritage assets by interviewing the entity’s key personnel to understand the flow of information in the entity’s business processes and the information system processing performed by significant business</w:t>
      </w:r>
      <w:r>
        <w:rPr>
          <w:spacing w:val="-5"/>
        </w:rPr>
        <w:t xml:space="preserve"> </w:t>
      </w:r>
      <w:r>
        <w:t>process</w:t>
      </w:r>
      <w:r>
        <w:rPr>
          <w:spacing w:val="-4"/>
        </w:rPr>
        <w:t xml:space="preserve"> </w:t>
      </w:r>
      <w:r>
        <w:t>applications.</w:t>
      </w:r>
      <w:r>
        <w:rPr>
          <w:spacing w:val="-4"/>
        </w:rPr>
        <w:t xml:space="preserve"> </w:t>
      </w:r>
      <w:r>
        <w:t>See</w:t>
      </w:r>
      <w:r>
        <w:rPr>
          <w:spacing w:val="-5"/>
        </w:rPr>
        <w:t xml:space="preserve"> </w:t>
      </w:r>
      <w:r>
        <w:t>FAM</w:t>
      </w:r>
      <w:r>
        <w:rPr>
          <w:spacing w:val="-5"/>
        </w:rPr>
        <w:t xml:space="preserve"> </w:t>
      </w:r>
      <w:r>
        <w:t>235</w:t>
      </w:r>
      <w:r>
        <w:rPr>
          <w:spacing w:val="-4"/>
        </w:rPr>
        <w:t xml:space="preserve"> </w:t>
      </w:r>
      <w:r>
        <w:t>and</w:t>
      </w:r>
      <w:r>
        <w:rPr>
          <w:spacing w:val="-4"/>
        </w:rPr>
        <w:t xml:space="preserve"> </w:t>
      </w:r>
      <w:r>
        <w:t>260</w:t>
      </w:r>
      <w:r>
        <w:rPr>
          <w:spacing w:val="-4"/>
        </w:rPr>
        <w:t xml:space="preserve"> </w:t>
      </w:r>
      <w:r>
        <w:t>for</w:t>
      </w:r>
      <w:r>
        <w:rPr>
          <w:spacing w:val="-4"/>
        </w:rPr>
        <w:t xml:space="preserve"> </w:t>
      </w:r>
      <w:r>
        <w:t>additional</w:t>
      </w:r>
      <w:r>
        <w:rPr>
          <w:spacing w:val="-4"/>
        </w:rPr>
        <w:t xml:space="preserve"> </w:t>
      </w:r>
      <w:r>
        <w:t>guidance</w:t>
      </w:r>
    </w:p>
    <w:p w14:paraId="0DFDC621" w14:textId="77777777" w:rsidR="00046465" w:rsidRDefault="008134EB">
      <w:pPr>
        <w:pStyle w:val="ListParagraph"/>
        <w:numPr>
          <w:ilvl w:val="0"/>
          <w:numId w:val="108"/>
        </w:numPr>
        <w:tabs>
          <w:tab w:val="left" w:pos="1800"/>
        </w:tabs>
        <w:ind w:right="801"/>
      </w:pPr>
      <w:r>
        <w:t>For heritage assets, the auditor should identify risks of material misstatement at the assertion level. For each identified risk of material misstatement at the assertion</w:t>
      </w:r>
      <w:r>
        <w:rPr>
          <w:spacing w:val="-4"/>
        </w:rPr>
        <w:t xml:space="preserve"> </w:t>
      </w:r>
      <w:r>
        <w:t>level,</w:t>
      </w:r>
      <w:r>
        <w:rPr>
          <w:spacing w:val="-4"/>
        </w:rPr>
        <w:t xml:space="preserve"> </w:t>
      </w:r>
      <w:r>
        <w:t>the</w:t>
      </w:r>
      <w:r>
        <w:rPr>
          <w:spacing w:val="-4"/>
        </w:rPr>
        <w:t xml:space="preserve"> </w:t>
      </w:r>
      <w:r>
        <w:t>auditor</w:t>
      </w:r>
      <w:r>
        <w:rPr>
          <w:spacing w:val="-4"/>
        </w:rPr>
        <w:t xml:space="preserve"> </w:t>
      </w:r>
      <w:r>
        <w:t>should</w:t>
      </w:r>
      <w:r>
        <w:rPr>
          <w:spacing w:val="-4"/>
        </w:rPr>
        <w:t xml:space="preserve"> </w:t>
      </w:r>
      <w:r>
        <w:t>assess</w:t>
      </w:r>
      <w:r>
        <w:rPr>
          <w:spacing w:val="-5"/>
        </w:rPr>
        <w:t xml:space="preserve"> </w:t>
      </w:r>
      <w:r>
        <w:t>inherent</w:t>
      </w:r>
      <w:r>
        <w:rPr>
          <w:spacing w:val="-4"/>
        </w:rPr>
        <w:t xml:space="preserve"> </w:t>
      </w:r>
      <w:r>
        <w:t>risk</w:t>
      </w:r>
      <w:r>
        <w:rPr>
          <w:spacing w:val="-4"/>
        </w:rPr>
        <w:t xml:space="preserve"> </w:t>
      </w:r>
      <w:r>
        <w:t>at</w:t>
      </w:r>
      <w:r>
        <w:rPr>
          <w:spacing w:val="-4"/>
        </w:rPr>
        <w:t xml:space="preserve"> </w:t>
      </w:r>
      <w:r>
        <w:t>remote,</w:t>
      </w:r>
      <w:r>
        <w:rPr>
          <w:spacing w:val="-4"/>
        </w:rPr>
        <w:t xml:space="preserve"> </w:t>
      </w:r>
      <w:r>
        <w:t>low,</w:t>
      </w:r>
      <w:r>
        <w:rPr>
          <w:spacing w:val="-4"/>
        </w:rPr>
        <w:t xml:space="preserve"> </w:t>
      </w:r>
      <w:r>
        <w:t>moderate, or high, considering relevant inherent risk factors (see FAM 265.25).</w:t>
      </w:r>
    </w:p>
    <w:p w14:paraId="0DFDC622" w14:textId="77777777" w:rsidR="00046465" w:rsidRDefault="008134EB">
      <w:pPr>
        <w:pStyle w:val="ListParagraph"/>
        <w:numPr>
          <w:ilvl w:val="0"/>
          <w:numId w:val="78"/>
        </w:numPr>
        <w:tabs>
          <w:tab w:val="left" w:pos="1800"/>
        </w:tabs>
        <w:ind w:right="1998"/>
      </w:pPr>
      <w:r>
        <w:t>The</w:t>
      </w:r>
      <w:r>
        <w:rPr>
          <w:spacing w:val="-5"/>
        </w:rPr>
        <w:t xml:space="preserve"> </w:t>
      </w:r>
      <w:r>
        <w:t>auditor’s</w:t>
      </w:r>
      <w:r>
        <w:rPr>
          <w:spacing w:val="-5"/>
        </w:rPr>
        <w:t xml:space="preserve"> </w:t>
      </w:r>
      <w:r>
        <w:t>documentation</w:t>
      </w:r>
      <w:r>
        <w:rPr>
          <w:spacing w:val="-5"/>
        </w:rPr>
        <w:t xml:space="preserve"> </w:t>
      </w:r>
      <w:r>
        <w:t>of</w:t>
      </w:r>
      <w:r>
        <w:rPr>
          <w:spacing w:val="-5"/>
        </w:rPr>
        <w:t xml:space="preserve"> </w:t>
      </w:r>
      <w:r>
        <w:t>the</w:t>
      </w:r>
      <w:r>
        <w:rPr>
          <w:spacing w:val="-6"/>
        </w:rPr>
        <w:t xml:space="preserve"> </w:t>
      </w:r>
      <w:r>
        <w:t>planning</w:t>
      </w:r>
      <w:r>
        <w:rPr>
          <w:spacing w:val="-5"/>
        </w:rPr>
        <w:t xml:space="preserve"> </w:t>
      </w:r>
      <w:r>
        <w:t>phase</w:t>
      </w:r>
      <w:r>
        <w:rPr>
          <w:spacing w:val="-5"/>
        </w:rPr>
        <w:t xml:space="preserve"> </w:t>
      </w:r>
      <w:r>
        <w:t>should</w:t>
      </w:r>
      <w:r>
        <w:rPr>
          <w:spacing w:val="-5"/>
        </w:rPr>
        <w:t xml:space="preserve"> </w:t>
      </w:r>
      <w:r>
        <w:t>follow</w:t>
      </w:r>
      <w:r>
        <w:rPr>
          <w:spacing w:val="-6"/>
        </w:rPr>
        <w:t xml:space="preserve"> </w:t>
      </w:r>
      <w:r>
        <w:t>the requirements in FAM 290, as applicable.</w:t>
      </w:r>
    </w:p>
    <w:p w14:paraId="0DFDC623" w14:textId="77777777" w:rsidR="00046465" w:rsidRDefault="008134EB">
      <w:pPr>
        <w:pStyle w:val="Heading5"/>
        <w:spacing w:before="61"/>
        <w:ind w:left="392"/>
        <w:rPr>
          <w:u w:val="none"/>
        </w:rPr>
      </w:pPr>
      <w:bookmarkStart w:id="334" w:name="Internal_Control_Phase"/>
      <w:bookmarkEnd w:id="334"/>
      <w:r>
        <w:t>Internal</w:t>
      </w:r>
      <w:r>
        <w:rPr>
          <w:spacing w:val="-4"/>
        </w:rPr>
        <w:t xml:space="preserve"> </w:t>
      </w:r>
      <w:r>
        <w:t>Control</w:t>
      </w:r>
      <w:r>
        <w:rPr>
          <w:spacing w:val="-3"/>
        </w:rPr>
        <w:t xml:space="preserve"> </w:t>
      </w:r>
      <w:r>
        <w:rPr>
          <w:spacing w:val="-2"/>
        </w:rPr>
        <w:t>Phase</w:t>
      </w:r>
    </w:p>
    <w:p w14:paraId="0DFDC624" w14:textId="77777777" w:rsidR="00046465" w:rsidRDefault="008134EB">
      <w:pPr>
        <w:pStyle w:val="ListParagraph"/>
        <w:numPr>
          <w:ilvl w:val="0"/>
          <w:numId w:val="78"/>
        </w:numPr>
        <w:tabs>
          <w:tab w:val="left" w:pos="1800"/>
        </w:tabs>
        <w:spacing w:before="118"/>
        <w:ind w:right="948"/>
      </w:pPr>
      <w:r>
        <w:t>For</w:t>
      </w:r>
      <w:r>
        <w:rPr>
          <w:spacing w:val="-4"/>
        </w:rPr>
        <w:t xml:space="preserve"> </w:t>
      </w:r>
      <w:r>
        <w:t>each</w:t>
      </w:r>
      <w:r>
        <w:rPr>
          <w:spacing w:val="-4"/>
        </w:rPr>
        <w:t xml:space="preserve"> </w:t>
      </w:r>
      <w:r>
        <w:t>identified</w:t>
      </w:r>
      <w:r>
        <w:rPr>
          <w:spacing w:val="-4"/>
        </w:rPr>
        <w:t xml:space="preserve"> </w:t>
      </w:r>
      <w:r>
        <w:t>risk</w:t>
      </w:r>
      <w:r>
        <w:rPr>
          <w:spacing w:val="-4"/>
        </w:rPr>
        <w:t xml:space="preserve"> </w:t>
      </w:r>
      <w:r>
        <w:t>of</w:t>
      </w:r>
      <w:r>
        <w:rPr>
          <w:spacing w:val="-4"/>
        </w:rPr>
        <w:t xml:space="preserve"> </w:t>
      </w:r>
      <w:r>
        <w:t>material</w:t>
      </w:r>
      <w:r>
        <w:rPr>
          <w:spacing w:val="-4"/>
        </w:rPr>
        <w:t xml:space="preserve"> </w:t>
      </w:r>
      <w:r>
        <w:t>misstatement</w:t>
      </w:r>
      <w:r>
        <w:rPr>
          <w:spacing w:val="-4"/>
        </w:rPr>
        <w:t xml:space="preserve"> </w:t>
      </w:r>
      <w:r>
        <w:t>at</w:t>
      </w:r>
      <w:r>
        <w:rPr>
          <w:spacing w:val="-4"/>
        </w:rPr>
        <w:t xml:space="preserve"> </w:t>
      </w:r>
      <w:r>
        <w:t>the</w:t>
      </w:r>
      <w:r>
        <w:rPr>
          <w:spacing w:val="-4"/>
        </w:rPr>
        <w:t xml:space="preserve"> </w:t>
      </w:r>
      <w:r>
        <w:t>assertion</w:t>
      </w:r>
      <w:r>
        <w:rPr>
          <w:spacing w:val="-4"/>
        </w:rPr>
        <w:t xml:space="preserve"> </w:t>
      </w:r>
      <w:r>
        <w:t>level</w:t>
      </w:r>
      <w:r>
        <w:rPr>
          <w:spacing w:val="-4"/>
        </w:rPr>
        <w:t xml:space="preserve"> </w:t>
      </w:r>
      <w:r>
        <w:t>for</w:t>
      </w:r>
      <w:r>
        <w:rPr>
          <w:spacing w:val="-5"/>
        </w:rPr>
        <w:t xml:space="preserve"> </w:t>
      </w:r>
      <w:r>
        <w:t>which inherent risk is more than remote, the auditor should identify the control objectives</w:t>
      </w:r>
      <w:r>
        <w:rPr>
          <w:spacing w:val="-3"/>
        </w:rPr>
        <w:t xml:space="preserve"> </w:t>
      </w:r>
      <w:r>
        <w:t>that</w:t>
      </w:r>
      <w:r>
        <w:rPr>
          <w:spacing w:val="-3"/>
        </w:rPr>
        <w:t xml:space="preserve"> </w:t>
      </w:r>
      <w:r>
        <w:t>could</w:t>
      </w:r>
      <w:r>
        <w:rPr>
          <w:spacing w:val="-3"/>
        </w:rPr>
        <w:t xml:space="preserve"> </w:t>
      </w:r>
      <w:r>
        <w:t>prevent,</w:t>
      </w:r>
      <w:r>
        <w:rPr>
          <w:spacing w:val="-3"/>
        </w:rPr>
        <w:t xml:space="preserve"> </w:t>
      </w:r>
      <w:r>
        <w:t>or</w:t>
      </w:r>
      <w:r>
        <w:rPr>
          <w:spacing w:val="-3"/>
        </w:rPr>
        <w:t xml:space="preserve"> </w:t>
      </w:r>
      <w:r>
        <w:t>detect</w:t>
      </w:r>
      <w:r>
        <w:rPr>
          <w:spacing w:val="-3"/>
        </w:rPr>
        <w:t xml:space="preserve"> </w:t>
      </w:r>
      <w:r>
        <w:t>and</w:t>
      </w:r>
      <w:r>
        <w:rPr>
          <w:spacing w:val="-3"/>
        </w:rPr>
        <w:t xml:space="preserve"> </w:t>
      </w:r>
      <w:r>
        <w:t>correct,</w:t>
      </w:r>
      <w:r>
        <w:rPr>
          <w:spacing w:val="-3"/>
        </w:rPr>
        <w:t xml:space="preserve"> </w:t>
      </w:r>
      <w:r>
        <w:t>the</w:t>
      </w:r>
      <w:r>
        <w:rPr>
          <w:spacing w:val="-3"/>
        </w:rPr>
        <w:t xml:space="preserve"> </w:t>
      </w:r>
      <w:r>
        <w:t>potential</w:t>
      </w:r>
      <w:r>
        <w:rPr>
          <w:spacing w:val="-3"/>
        </w:rPr>
        <w:t xml:space="preserve"> </w:t>
      </w:r>
      <w:r>
        <w:t>misstatement. For each control objective identified, the auditor should identify the control activities that, if effectively designed, implemented, and operating, would allow management to achieve the control objective. See FAM 340.</w:t>
      </w:r>
    </w:p>
    <w:p w14:paraId="0DFDC625" w14:textId="77777777" w:rsidR="00046465" w:rsidRDefault="008134EB">
      <w:pPr>
        <w:pStyle w:val="ListParagraph"/>
        <w:numPr>
          <w:ilvl w:val="0"/>
          <w:numId w:val="78"/>
        </w:numPr>
        <w:tabs>
          <w:tab w:val="left" w:pos="1800"/>
        </w:tabs>
        <w:ind w:right="946"/>
      </w:pPr>
      <w:r>
        <w:t>The auditor should evaluate the design, implementation, and operating effectiveness of the control activities identified following guidance in FAM 340, 350,</w:t>
      </w:r>
      <w:r>
        <w:rPr>
          <w:spacing w:val="-4"/>
        </w:rPr>
        <w:t xml:space="preserve"> </w:t>
      </w:r>
      <w:r>
        <w:t>and</w:t>
      </w:r>
      <w:r>
        <w:rPr>
          <w:spacing w:val="-4"/>
        </w:rPr>
        <w:t xml:space="preserve"> </w:t>
      </w:r>
      <w:r>
        <w:t>360.</w:t>
      </w:r>
      <w:r>
        <w:rPr>
          <w:spacing w:val="-4"/>
        </w:rPr>
        <w:t xml:space="preserve"> </w:t>
      </w:r>
      <w:r>
        <w:t>In</w:t>
      </w:r>
      <w:r>
        <w:rPr>
          <w:spacing w:val="-4"/>
        </w:rPr>
        <w:t xml:space="preserve"> </w:t>
      </w:r>
      <w:r>
        <w:t>identifying</w:t>
      </w:r>
      <w:r>
        <w:rPr>
          <w:spacing w:val="-4"/>
        </w:rPr>
        <w:t xml:space="preserve"> </w:t>
      </w:r>
      <w:r>
        <w:t>and</w:t>
      </w:r>
      <w:r>
        <w:rPr>
          <w:spacing w:val="-4"/>
        </w:rPr>
        <w:t xml:space="preserve"> </w:t>
      </w:r>
      <w:r>
        <w:t>evaluating</w:t>
      </w:r>
      <w:r>
        <w:rPr>
          <w:spacing w:val="-4"/>
        </w:rPr>
        <w:t xml:space="preserve"> </w:t>
      </w:r>
      <w:r>
        <w:t>control</w:t>
      </w:r>
      <w:r>
        <w:rPr>
          <w:spacing w:val="-4"/>
        </w:rPr>
        <w:t xml:space="preserve"> </w:t>
      </w:r>
      <w:r>
        <w:t>activities</w:t>
      </w:r>
      <w:r>
        <w:rPr>
          <w:spacing w:val="-5"/>
        </w:rPr>
        <w:t xml:space="preserve"> </w:t>
      </w:r>
      <w:r>
        <w:t>for</w:t>
      </w:r>
      <w:r>
        <w:rPr>
          <w:spacing w:val="-4"/>
        </w:rPr>
        <w:t xml:space="preserve"> </w:t>
      </w:r>
      <w:r>
        <w:t>heritage</w:t>
      </w:r>
      <w:r>
        <w:rPr>
          <w:spacing w:val="-5"/>
        </w:rPr>
        <w:t xml:space="preserve"> </w:t>
      </w:r>
      <w:r>
        <w:t>assets,</w:t>
      </w:r>
    </w:p>
    <w:p w14:paraId="0DFDC626" w14:textId="77777777" w:rsidR="00046465" w:rsidRDefault="00046465">
      <w:pPr>
        <w:pStyle w:val="ListParagraph"/>
        <w:sectPr w:rsidR="00046465">
          <w:headerReference w:type="default" r:id="rId216"/>
          <w:footerReference w:type="default" r:id="rId217"/>
          <w:pgSz w:w="12240" w:h="15840"/>
          <w:pgMar w:top="1340" w:right="720" w:bottom="940" w:left="1080" w:header="721" w:footer="757" w:gutter="0"/>
          <w:pgNumType w:start="2"/>
          <w:cols w:space="720"/>
        </w:sectPr>
      </w:pPr>
    </w:p>
    <w:p w14:paraId="0DFDC627" w14:textId="77777777" w:rsidR="00046465" w:rsidRDefault="008134EB">
      <w:pPr>
        <w:pStyle w:val="BodyText"/>
        <w:spacing w:before="121"/>
        <w:ind w:left="1800" w:right="749" w:hanging="1"/>
      </w:pPr>
      <w:r>
        <w:lastRenderedPageBreak/>
        <w:t>the</w:t>
      </w:r>
      <w:r>
        <w:rPr>
          <w:spacing w:val="-4"/>
        </w:rPr>
        <w:t xml:space="preserve"> </w:t>
      </w:r>
      <w:r>
        <w:t>auditor</w:t>
      </w:r>
      <w:r>
        <w:rPr>
          <w:spacing w:val="-4"/>
        </w:rPr>
        <w:t xml:space="preserve"> </w:t>
      </w:r>
      <w:r>
        <w:t>generally</w:t>
      </w:r>
      <w:r>
        <w:rPr>
          <w:spacing w:val="-4"/>
        </w:rPr>
        <w:t xml:space="preserve"> </w:t>
      </w:r>
      <w:r>
        <w:t>should</w:t>
      </w:r>
      <w:r>
        <w:rPr>
          <w:spacing w:val="-4"/>
        </w:rPr>
        <w:t xml:space="preserve"> </w:t>
      </w:r>
      <w:r>
        <w:t>determine</w:t>
      </w:r>
      <w:r>
        <w:rPr>
          <w:spacing w:val="-4"/>
        </w:rPr>
        <w:t xml:space="preserve"> </w:t>
      </w:r>
      <w:r>
        <w:t>(through</w:t>
      </w:r>
      <w:r>
        <w:rPr>
          <w:spacing w:val="-4"/>
        </w:rPr>
        <w:t xml:space="preserve"> </w:t>
      </w:r>
      <w:r>
        <w:t>inquiries</w:t>
      </w:r>
      <w:r>
        <w:rPr>
          <w:spacing w:val="-4"/>
        </w:rPr>
        <w:t xml:space="preserve"> </w:t>
      </w:r>
      <w:r>
        <w:t>of</w:t>
      </w:r>
      <w:r>
        <w:rPr>
          <w:spacing w:val="-5"/>
        </w:rPr>
        <w:t xml:space="preserve"> </w:t>
      </w:r>
      <w:r>
        <w:t>management,</w:t>
      </w:r>
      <w:r>
        <w:rPr>
          <w:spacing w:val="-4"/>
        </w:rPr>
        <w:t xml:space="preserve"> </w:t>
      </w:r>
      <w:r>
        <w:t>walk-throughs,</w:t>
      </w:r>
      <w:r>
        <w:rPr>
          <w:spacing w:val="-3"/>
        </w:rPr>
        <w:t xml:space="preserve"> </w:t>
      </w:r>
      <w:r>
        <w:t>inspections</w:t>
      </w:r>
      <w:r>
        <w:rPr>
          <w:spacing w:val="-3"/>
        </w:rPr>
        <w:t xml:space="preserve"> </w:t>
      </w:r>
      <w:r>
        <w:t>of</w:t>
      </w:r>
      <w:r>
        <w:rPr>
          <w:spacing w:val="-4"/>
        </w:rPr>
        <w:t xml:space="preserve"> </w:t>
      </w:r>
      <w:r>
        <w:t>documents,</w:t>
      </w:r>
      <w:r>
        <w:rPr>
          <w:spacing w:val="-3"/>
        </w:rPr>
        <w:t xml:space="preserve"> </w:t>
      </w:r>
      <w:r>
        <w:t>reviews</w:t>
      </w:r>
      <w:r>
        <w:rPr>
          <w:spacing w:val="-3"/>
        </w:rPr>
        <w:t xml:space="preserve"> </w:t>
      </w:r>
      <w:r>
        <w:t>of</w:t>
      </w:r>
      <w:r>
        <w:rPr>
          <w:spacing w:val="-4"/>
        </w:rPr>
        <w:t xml:space="preserve"> </w:t>
      </w:r>
      <w:r>
        <w:t>prior</w:t>
      </w:r>
      <w:r>
        <w:rPr>
          <w:spacing w:val="-3"/>
        </w:rPr>
        <w:t xml:space="preserve"> </w:t>
      </w:r>
      <w:r>
        <w:t>years’</w:t>
      </w:r>
      <w:r>
        <w:rPr>
          <w:spacing w:val="-4"/>
        </w:rPr>
        <w:t xml:space="preserve"> </w:t>
      </w:r>
      <w:r>
        <w:t>documentation,</w:t>
      </w:r>
      <w:r>
        <w:rPr>
          <w:spacing w:val="-3"/>
        </w:rPr>
        <w:t xml:space="preserve"> </w:t>
      </w:r>
      <w:r>
        <w:t>and other means applicable to the entity) the entity’s process for identifying, classifying, and reporting heritage assets, specifically, the following:</w:t>
      </w:r>
    </w:p>
    <w:p w14:paraId="0DFDC628" w14:textId="77777777" w:rsidR="00046465" w:rsidRDefault="008134EB">
      <w:pPr>
        <w:pStyle w:val="ListParagraph"/>
        <w:numPr>
          <w:ilvl w:val="1"/>
          <w:numId w:val="78"/>
        </w:numPr>
        <w:tabs>
          <w:tab w:val="left" w:pos="2160"/>
        </w:tabs>
        <w:ind w:right="1149"/>
      </w:pPr>
      <w:r>
        <w:t>Whether the entity has an authorization process and the related control procedures</w:t>
      </w:r>
      <w:r>
        <w:rPr>
          <w:spacing w:val="-5"/>
        </w:rPr>
        <w:t xml:space="preserve"> </w:t>
      </w:r>
      <w:r>
        <w:t>for</w:t>
      </w:r>
      <w:r>
        <w:rPr>
          <w:spacing w:val="-5"/>
        </w:rPr>
        <w:t xml:space="preserve"> </w:t>
      </w:r>
      <w:r>
        <w:t>acquisition</w:t>
      </w:r>
      <w:r>
        <w:rPr>
          <w:spacing w:val="-5"/>
        </w:rPr>
        <w:t xml:space="preserve"> </w:t>
      </w:r>
      <w:r>
        <w:t>and</w:t>
      </w:r>
      <w:r>
        <w:rPr>
          <w:spacing w:val="-5"/>
        </w:rPr>
        <w:t xml:space="preserve"> </w:t>
      </w:r>
      <w:r>
        <w:t>withdrawal</w:t>
      </w:r>
      <w:r>
        <w:rPr>
          <w:spacing w:val="-5"/>
        </w:rPr>
        <w:t xml:space="preserve"> </w:t>
      </w:r>
      <w:r>
        <w:t>transactions</w:t>
      </w:r>
      <w:r>
        <w:rPr>
          <w:spacing w:val="-5"/>
        </w:rPr>
        <w:t xml:space="preserve"> </w:t>
      </w:r>
      <w:r>
        <w:t>related</w:t>
      </w:r>
      <w:r>
        <w:rPr>
          <w:spacing w:val="-5"/>
        </w:rPr>
        <w:t xml:space="preserve"> </w:t>
      </w:r>
      <w:r>
        <w:t>to</w:t>
      </w:r>
      <w:r>
        <w:rPr>
          <w:spacing w:val="-5"/>
        </w:rPr>
        <w:t xml:space="preserve"> </w:t>
      </w:r>
      <w:r>
        <w:t xml:space="preserve">heritage </w:t>
      </w:r>
      <w:r>
        <w:rPr>
          <w:spacing w:val="-2"/>
        </w:rPr>
        <w:t>assets.</w:t>
      </w:r>
    </w:p>
    <w:p w14:paraId="0DFDC629" w14:textId="77777777" w:rsidR="00046465" w:rsidRDefault="008134EB">
      <w:pPr>
        <w:pStyle w:val="ListParagraph"/>
        <w:numPr>
          <w:ilvl w:val="1"/>
          <w:numId w:val="78"/>
        </w:numPr>
        <w:tabs>
          <w:tab w:val="left" w:pos="2160"/>
        </w:tabs>
        <w:spacing w:before="119"/>
        <w:ind w:right="915"/>
      </w:pPr>
      <w:r>
        <w:t>How the entity has instituted a consistent methodology for categorizing heritage</w:t>
      </w:r>
      <w:r>
        <w:rPr>
          <w:spacing w:val="-3"/>
        </w:rPr>
        <w:t xml:space="preserve"> </w:t>
      </w:r>
      <w:r>
        <w:t>assets</w:t>
      </w:r>
      <w:r>
        <w:rPr>
          <w:spacing w:val="-4"/>
        </w:rPr>
        <w:t xml:space="preserve"> </w:t>
      </w:r>
      <w:r>
        <w:t>based</w:t>
      </w:r>
      <w:r>
        <w:rPr>
          <w:spacing w:val="-3"/>
        </w:rPr>
        <w:t xml:space="preserve"> </w:t>
      </w:r>
      <w:r>
        <w:t>on</w:t>
      </w:r>
      <w:r>
        <w:rPr>
          <w:spacing w:val="-4"/>
        </w:rPr>
        <w:t xml:space="preserve"> </w:t>
      </w:r>
      <w:r>
        <w:t>its</w:t>
      </w:r>
      <w:r>
        <w:rPr>
          <w:spacing w:val="-3"/>
        </w:rPr>
        <w:t xml:space="preserve"> </w:t>
      </w:r>
      <w:r>
        <w:t>mission</w:t>
      </w:r>
      <w:r>
        <w:rPr>
          <w:spacing w:val="-4"/>
        </w:rPr>
        <w:t xml:space="preserve"> </w:t>
      </w:r>
      <w:r>
        <w:t>and</w:t>
      </w:r>
      <w:r>
        <w:rPr>
          <w:spacing w:val="-3"/>
        </w:rPr>
        <w:t xml:space="preserve"> </w:t>
      </w:r>
      <w:r>
        <w:t>in</w:t>
      </w:r>
      <w:r>
        <w:rPr>
          <w:spacing w:val="-4"/>
        </w:rPr>
        <w:t xml:space="preserve"> </w:t>
      </w:r>
      <w:r>
        <w:t>accordance</w:t>
      </w:r>
      <w:r>
        <w:rPr>
          <w:spacing w:val="-3"/>
        </w:rPr>
        <w:t xml:space="preserve"> </w:t>
      </w:r>
      <w:r>
        <w:t>with</w:t>
      </w:r>
      <w:r>
        <w:rPr>
          <w:spacing w:val="-4"/>
        </w:rPr>
        <w:t xml:space="preserve"> </w:t>
      </w:r>
      <w:r>
        <w:t>SFFAS</w:t>
      </w:r>
      <w:r>
        <w:rPr>
          <w:spacing w:val="-3"/>
        </w:rPr>
        <w:t xml:space="preserve"> </w:t>
      </w:r>
      <w:r>
        <w:t>29</w:t>
      </w:r>
      <w:r>
        <w:rPr>
          <w:spacing w:val="-4"/>
        </w:rPr>
        <w:t xml:space="preserve"> </w:t>
      </w:r>
      <w:r>
        <w:t>and TR 9.</w:t>
      </w:r>
    </w:p>
    <w:p w14:paraId="0DFDC62A" w14:textId="77777777" w:rsidR="00046465" w:rsidRDefault="008134EB">
      <w:pPr>
        <w:pStyle w:val="ListParagraph"/>
        <w:numPr>
          <w:ilvl w:val="1"/>
          <w:numId w:val="78"/>
        </w:numPr>
        <w:tabs>
          <w:tab w:val="left" w:pos="2160"/>
        </w:tabs>
        <w:spacing w:before="121"/>
        <w:ind w:right="732"/>
      </w:pPr>
      <w:r>
        <w:t>How the entity records acquisitions and withdrawal transactions in its general ledger</w:t>
      </w:r>
      <w:r>
        <w:rPr>
          <w:spacing w:val="-4"/>
        </w:rPr>
        <w:t xml:space="preserve"> </w:t>
      </w:r>
      <w:r>
        <w:t>and</w:t>
      </w:r>
      <w:r>
        <w:rPr>
          <w:spacing w:val="-4"/>
        </w:rPr>
        <w:t xml:space="preserve"> </w:t>
      </w:r>
      <w:r>
        <w:t>performs</w:t>
      </w:r>
      <w:r>
        <w:rPr>
          <w:spacing w:val="-4"/>
        </w:rPr>
        <w:t xml:space="preserve"> </w:t>
      </w:r>
      <w:r>
        <w:t>reconciliations</w:t>
      </w:r>
      <w:r>
        <w:rPr>
          <w:spacing w:val="-5"/>
        </w:rPr>
        <w:t xml:space="preserve"> </w:t>
      </w:r>
      <w:r>
        <w:t>between</w:t>
      </w:r>
      <w:r>
        <w:rPr>
          <w:spacing w:val="-4"/>
        </w:rPr>
        <w:t xml:space="preserve"> </w:t>
      </w:r>
      <w:r>
        <w:t>its</w:t>
      </w:r>
      <w:r>
        <w:rPr>
          <w:spacing w:val="-5"/>
        </w:rPr>
        <w:t xml:space="preserve"> </w:t>
      </w:r>
      <w:r>
        <w:t>general</w:t>
      </w:r>
      <w:r>
        <w:rPr>
          <w:spacing w:val="-4"/>
        </w:rPr>
        <w:t xml:space="preserve"> </w:t>
      </w:r>
      <w:r>
        <w:t>ledger</w:t>
      </w:r>
      <w:r>
        <w:rPr>
          <w:spacing w:val="-4"/>
        </w:rPr>
        <w:t xml:space="preserve"> </w:t>
      </w:r>
      <w:r>
        <w:t>and</w:t>
      </w:r>
      <w:r>
        <w:rPr>
          <w:spacing w:val="-4"/>
        </w:rPr>
        <w:t xml:space="preserve"> </w:t>
      </w:r>
      <w:r>
        <w:t>subsidiary ledger(s) (e.g., asset accountability system). In accordance with SFFAS 29, costs related to the acquisition, improvement, reconstruction, and renovation of</w:t>
      </w:r>
      <w:r>
        <w:rPr>
          <w:spacing w:val="-3"/>
        </w:rPr>
        <w:t xml:space="preserve"> </w:t>
      </w:r>
      <w:r>
        <w:t>heritage</w:t>
      </w:r>
      <w:r>
        <w:rPr>
          <w:spacing w:val="-3"/>
        </w:rPr>
        <w:t xml:space="preserve"> </w:t>
      </w:r>
      <w:r>
        <w:t>assets</w:t>
      </w:r>
      <w:r>
        <w:rPr>
          <w:spacing w:val="-3"/>
        </w:rPr>
        <w:t xml:space="preserve"> </w:t>
      </w:r>
      <w:r>
        <w:t>are</w:t>
      </w:r>
      <w:r>
        <w:rPr>
          <w:spacing w:val="-3"/>
        </w:rPr>
        <w:t xml:space="preserve"> </w:t>
      </w:r>
      <w:r>
        <w:t>recognized</w:t>
      </w:r>
      <w:r>
        <w:rPr>
          <w:spacing w:val="-3"/>
        </w:rPr>
        <w:t xml:space="preserve"> </w:t>
      </w:r>
      <w:r>
        <w:t>in</w:t>
      </w:r>
      <w:r>
        <w:rPr>
          <w:spacing w:val="-4"/>
        </w:rPr>
        <w:t xml:space="preserve"> </w:t>
      </w:r>
      <w:r>
        <w:t>the</w:t>
      </w:r>
      <w:r>
        <w:rPr>
          <w:spacing w:val="-3"/>
        </w:rPr>
        <w:t xml:space="preserve"> </w:t>
      </w:r>
      <w:r>
        <w:t>statement</w:t>
      </w:r>
      <w:r>
        <w:rPr>
          <w:spacing w:val="-3"/>
        </w:rPr>
        <w:t xml:space="preserve"> </w:t>
      </w:r>
      <w:r>
        <w:t>of</w:t>
      </w:r>
      <w:r>
        <w:rPr>
          <w:spacing w:val="-3"/>
        </w:rPr>
        <w:t xml:space="preserve"> </w:t>
      </w:r>
      <w:r>
        <w:t>net</w:t>
      </w:r>
      <w:r>
        <w:rPr>
          <w:spacing w:val="-3"/>
        </w:rPr>
        <w:t xml:space="preserve"> </w:t>
      </w:r>
      <w:r>
        <w:t>cost</w:t>
      </w:r>
      <w:r>
        <w:rPr>
          <w:spacing w:val="-3"/>
        </w:rPr>
        <w:t xml:space="preserve"> </w:t>
      </w:r>
      <w:r>
        <w:t>for</w:t>
      </w:r>
      <w:r>
        <w:rPr>
          <w:spacing w:val="-3"/>
        </w:rPr>
        <w:t xml:space="preserve"> </w:t>
      </w:r>
      <w:r>
        <w:t>the</w:t>
      </w:r>
      <w:r>
        <w:rPr>
          <w:spacing w:val="-3"/>
        </w:rPr>
        <w:t xml:space="preserve"> </w:t>
      </w:r>
      <w:r>
        <w:t>period</w:t>
      </w:r>
      <w:r>
        <w:rPr>
          <w:spacing w:val="-3"/>
        </w:rPr>
        <w:t xml:space="preserve"> </w:t>
      </w:r>
      <w:r>
        <w:t>in which the costs are incurred. These include all costs incurred to prepare the item for its intended use.</w:t>
      </w:r>
    </w:p>
    <w:p w14:paraId="0DFDC62B" w14:textId="77777777" w:rsidR="00046465" w:rsidRDefault="008134EB">
      <w:pPr>
        <w:pStyle w:val="ListParagraph"/>
        <w:numPr>
          <w:ilvl w:val="1"/>
          <w:numId w:val="78"/>
        </w:numPr>
        <w:tabs>
          <w:tab w:val="left" w:pos="2160"/>
        </w:tabs>
        <w:ind w:right="1270"/>
      </w:pPr>
      <w:r>
        <w:t>Whether the entity maintains transaction logs or detailed records of transactions</w:t>
      </w:r>
      <w:r>
        <w:rPr>
          <w:spacing w:val="-5"/>
        </w:rPr>
        <w:t xml:space="preserve"> </w:t>
      </w:r>
      <w:r>
        <w:t>to</w:t>
      </w:r>
      <w:r>
        <w:rPr>
          <w:spacing w:val="-4"/>
        </w:rPr>
        <w:t xml:space="preserve"> </w:t>
      </w:r>
      <w:r>
        <w:t>facilitate</w:t>
      </w:r>
      <w:r>
        <w:rPr>
          <w:spacing w:val="-5"/>
        </w:rPr>
        <w:t xml:space="preserve"> </w:t>
      </w:r>
      <w:r>
        <w:t>the</w:t>
      </w:r>
      <w:r>
        <w:rPr>
          <w:spacing w:val="-4"/>
        </w:rPr>
        <w:t xml:space="preserve"> </w:t>
      </w:r>
      <w:r>
        <w:t>reconciliation</w:t>
      </w:r>
      <w:r>
        <w:rPr>
          <w:spacing w:val="-4"/>
        </w:rPr>
        <w:t xml:space="preserve"> </w:t>
      </w:r>
      <w:r>
        <w:t>process,</w:t>
      </w:r>
      <w:r>
        <w:rPr>
          <w:spacing w:val="-4"/>
        </w:rPr>
        <w:t xml:space="preserve"> </w:t>
      </w:r>
      <w:r>
        <w:t>and</w:t>
      </w:r>
      <w:r>
        <w:rPr>
          <w:spacing w:val="-4"/>
        </w:rPr>
        <w:t xml:space="preserve"> </w:t>
      </w:r>
      <w:r>
        <w:t>whether</w:t>
      </w:r>
      <w:r>
        <w:rPr>
          <w:spacing w:val="-4"/>
        </w:rPr>
        <w:t xml:space="preserve"> </w:t>
      </w:r>
      <w:r>
        <w:t>the</w:t>
      </w:r>
      <w:r>
        <w:rPr>
          <w:spacing w:val="-4"/>
        </w:rPr>
        <w:t xml:space="preserve"> </w:t>
      </w:r>
      <w:r>
        <w:t>logs include sufficient information to enable identification and location of supporting documentation.</w:t>
      </w:r>
    </w:p>
    <w:p w14:paraId="0DFDC62C" w14:textId="77777777" w:rsidR="00046465" w:rsidRDefault="008134EB">
      <w:pPr>
        <w:pStyle w:val="ListParagraph"/>
        <w:numPr>
          <w:ilvl w:val="1"/>
          <w:numId w:val="78"/>
        </w:numPr>
        <w:tabs>
          <w:tab w:val="left" w:pos="2160"/>
        </w:tabs>
        <w:ind w:right="819"/>
      </w:pPr>
      <w:r>
        <w:t>How</w:t>
      </w:r>
      <w:r>
        <w:rPr>
          <w:spacing w:val="-4"/>
        </w:rPr>
        <w:t xml:space="preserve"> </w:t>
      </w:r>
      <w:r>
        <w:t>the</w:t>
      </w:r>
      <w:r>
        <w:rPr>
          <w:spacing w:val="-3"/>
        </w:rPr>
        <w:t xml:space="preserve"> </w:t>
      </w:r>
      <w:r>
        <w:t>entity</w:t>
      </w:r>
      <w:r>
        <w:rPr>
          <w:spacing w:val="-3"/>
        </w:rPr>
        <w:t xml:space="preserve"> </w:t>
      </w:r>
      <w:r>
        <w:t>classifies</w:t>
      </w:r>
      <w:r>
        <w:rPr>
          <w:spacing w:val="-4"/>
        </w:rPr>
        <w:t xml:space="preserve"> </w:t>
      </w:r>
      <w:r>
        <w:t>and</w:t>
      </w:r>
      <w:r>
        <w:rPr>
          <w:spacing w:val="-3"/>
        </w:rPr>
        <w:t xml:space="preserve"> </w:t>
      </w:r>
      <w:r>
        <w:t>records</w:t>
      </w:r>
      <w:r>
        <w:rPr>
          <w:spacing w:val="-4"/>
        </w:rPr>
        <w:t xml:space="preserve"> </w:t>
      </w:r>
      <w:r>
        <w:t>transfers</w:t>
      </w:r>
      <w:r>
        <w:rPr>
          <w:spacing w:val="-3"/>
        </w:rPr>
        <w:t xml:space="preserve"> </w:t>
      </w:r>
      <w:r>
        <w:t>of</w:t>
      </w:r>
      <w:r>
        <w:rPr>
          <w:spacing w:val="-4"/>
        </w:rPr>
        <w:t xml:space="preserve"> </w:t>
      </w:r>
      <w:r>
        <w:t>heritage</w:t>
      </w:r>
      <w:r>
        <w:rPr>
          <w:spacing w:val="-3"/>
        </w:rPr>
        <w:t xml:space="preserve"> </w:t>
      </w:r>
      <w:r>
        <w:t>assets</w:t>
      </w:r>
      <w:r>
        <w:rPr>
          <w:spacing w:val="-3"/>
        </w:rPr>
        <w:t xml:space="preserve"> </w:t>
      </w:r>
      <w:r>
        <w:t>to</w:t>
      </w:r>
      <w:r>
        <w:rPr>
          <w:spacing w:val="-3"/>
        </w:rPr>
        <w:t xml:space="preserve"> </w:t>
      </w:r>
      <w:r>
        <w:t>and</w:t>
      </w:r>
      <w:r>
        <w:rPr>
          <w:spacing w:val="-3"/>
        </w:rPr>
        <w:t xml:space="preserve"> </w:t>
      </w:r>
      <w:r>
        <w:t>from other federal entities.</w:t>
      </w:r>
    </w:p>
    <w:p w14:paraId="0DFDC62D" w14:textId="77777777" w:rsidR="00046465" w:rsidRDefault="008134EB">
      <w:pPr>
        <w:pStyle w:val="ListParagraph"/>
        <w:numPr>
          <w:ilvl w:val="1"/>
          <w:numId w:val="78"/>
        </w:numPr>
        <w:tabs>
          <w:tab w:val="left" w:pos="2160"/>
        </w:tabs>
      </w:pPr>
      <w:r>
        <w:t>How</w:t>
      </w:r>
      <w:r>
        <w:rPr>
          <w:spacing w:val="-6"/>
        </w:rPr>
        <w:t xml:space="preserve"> </w:t>
      </w:r>
      <w:r>
        <w:t>the</w:t>
      </w:r>
      <w:r>
        <w:rPr>
          <w:spacing w:val="-5"/>
        </w:rPr>
        <w:t xml:space="preserve"> </w:t>
      </w:r>
      <w:r>
        <w:t>entity</w:t>
      </w:r>
      <w:r>
        <w:rPr>
          <w:spacing w:val="-5"/>
        </w:rPr>
        <w:t xml:space="preserve"> </w:t>
      </w:r>
      <w:r>
        <w:t>classifies</w:t>
      </w:r>
      <w:r>
        <w:rPr>
          <w:spacing w:val="-6"/>
        </w:rPr>
        <w:t xml:space="preserve"> </w:t>
      </w:r>
      <w:r>
        <w:t>and</w:t>
      </w:r>
      <w:r>
        <w:rPr>
          <w:spacing w:val="-5"/>
        </w:rPr>
        <w:t xml:space="preserve"> </w:t>
      </w:r>
      <w:r>
        <w:t>records</w:t>
      </w:r>
      <w:r>
        <w:rPr>
          <w:spacing w:val="-6"/>
        </w:rPr>
        <w:t xml:space="preserve"> </w:t>
      </w:r>
      <w:r>
        <w:t>donation</w:t>
      </w:r>
      <w:r>
        <w:rPr>
          <w:spacing w:val="-5"/>
        </w:rPr>
        <w:t xml:space="preserve"> </w:t>
      </w:r>
      <w:r>
        <w:t>or</w:t>
      </w:r>
      <w:r>
        <w:rPr>
          <w:spacing w:val="-7"/>
        </w:rPr>
        <w:t xml:space="preserve"> </w:t>
      </w:r>
      <w:r>
        <w:t>devise</w:t>
      </w:r>
      <w:hyperlink w:anchor="_bookmark194" w:history="1">
        <w:r>
          <w:rPr>
            <w:position w:val="7"/>
            <w:sz w:val="14"/>
          </w:rPr>
          <w:t>46</w:t>
        </w:r>
      </w:hyperlink>
      <w:r>
        <w:rPr>
          <w:spacing w:val="16"/>
          <w:position w:val="7"/>
          <w:sz w:val="14"/>
        </w:rPr>
        <w:t xml:space="preserve"> </w:t>
      </w:r>
      <w:r>
        <w:t>of</w:t>
      </w:r>
      <w:r>
        <w:rPr>
          <w:spacing w:val="-5"/>
        </w:rPr>
        <w:t xml:space="preserve"> </w:t>
      </w:r>
      <w:r>
        <w:t>heritage</w:t>
      </w:r>
      <w:r>
        <w:rPr>
          <w:spacing w:val="-5"/>
        </w:rPr>
        <w:t xml:space="preserve"> </w:t>
      </w:r>
      <w:r>
        <w:rPr>
          <w:spacing w:val="-2"/>
        </w:rPr>
        <w:t>assets.</w:t>
      </w:r>
    </w:p>
    <w:p w14:paraId="0DFDC62E" w14:textId="77777777" w:rsidR="00046465" w:rsidRDefault="008134EB">
      <w:pPr>
        <w:pStyle w:val="ListParagraph"/>
        <w:numPr>
          <w:ilvl w:val="1"/>
          <w:numId w:val="78"/>
        </w:numPr>
        <w:tabs>
          <w:tab w:val="left" w:pos="2160"/>
        </w:tabs>
        <w:spacing w:before="119"/>
        <w:ind w:right="1052"/>
      </w:pPr>
      <w:r>
        <w:t>Whether</w:t>
      </w:r>
      <w:r>
        <w:rPr>
          <w:spacing w:val="-5"/>
        </w:rPr>
        <w:t xml:space="preserve"> </w:t>
      </w:r>
      <w:r>
        <w:t>the</w:t>
      </w:r>
      <w:r>
        <w:rPr>
          <w:spacing w:val="-5"/>
        </w:rPr>
        <w:t xml:space="preserve"> </w:t>
      </w:r>
      <w:r>
        <w:t>entity</w:t>
      </w:r>
      <w:r>
        <w:rPr>
          <w:spacing w:val="-5"/>
        </w:rPr>
        <w:t xml:space="preserve"> </w:t>
      </w:r>
      <w:r>
        <w:t>implements</w:t>
      </w:r>
      <w:r>
        <w:rPr>
          <w:spacing w:val="-5"/>
        </w:rPr>
        <w:t xml:space="preserve"> </w:t>
      </w:r>
      <w:r>
        <w:t>internal</w:t>
      </w:r>
      <w:r>
        <w:rPr>
          <w:spacing w:val="-5"/>
        </w:rPr>
        <w:t xml:space="preserve"> </w:t>
      </w:r>
      <w:r>
        <w:t>control</w:t>
      </w:r>
      <w:r>
        <w:rPr>
          <w:spacing w:val="-5"/>
        </w:rPr>
        <w:t xml:space="preserve"> </w:t>
      </w:r>
      <w:r>
        <w:t>to</w:t>
      </w:r>
      <w:r>
        <w:rPr>
          <w:spacing w:val="-6"/>
        </w:rPr>
        <w:t xml:space="preserve"> </w:t>
      </w:r>
      <w:r>
        <w:t>safeguard</w:t>
      </w:r>
      <w:r>
        <w:rPr>
          <w:spacing w:val="-5"/>
        </w:rPr>
        <w:t xml:space="preserve"> </w:t>
      </w:r>
      <w:r>
        <w:t>collection-type heritage assets.</w:t>
      </w:r>
    </w:p>
    <w:p w14:paraId="0DFDC62F" w14:textId="77777777" w:rsidR="00046465" w:rsidRDefault="008134EB">
      <w:pPr>
        <w:pStyle w:val="ListParagraph"/>
        <w:numPr>
          <w:ilvl w:val="1"/>
          <w:numId w:val="78"/>
        </w:numPr>
        <w:tabs>
          <w:tab w:val="left" w:pos="2160"/>
        </w:tabs>
        <w:spacing w:before="121"/>
        <w:ind w:right="1013"/>
      </w:pPr>
      <w:r>
        <w:t>Whether</w:t>
      </w:r>
      <w:r>
        <w:rPr>
          <w:spacing w:val="-5"/>
        </w:rPr>
        <w:t xml:space="preserve"> </w:t>
      </w:r>
      <w:r>
        <w:t>the</w:t>
      </w:r>
      <w:r>
        <w:rPr>
          <w:spacing w:val="-5"/>
        </w:rPr>
        <w:t xml:space="preserve"> </w:t>
      </w:r>
      <w:r>
        <w:t>entity</w:t>
      </w:r>
      <w:r>
        <w:rPr>
          <w:spacing w:val="-5"/>
        </w:rPr>
        <w:t xml:space="preserve"> </w:t>
      </w:r>
      <w:r>
        <w:t>separates</w:t>
      </w:r>
      <w:r>
        <w:rPr>
          <w:spacing w:val="-5"/>
        </w:rPr>
        <w:t xml:space="preserve"> </w:t>
      </w:r>
      <w:r>
        <w:t>and</w:t>
      </w:r>
      <w:r>
        <w:rPr>
          <w:spacing w:val="-5"/>
        </w:rPr>
        <w:t xml:space="preserve"> </w:t>
      </w:r>
      <w:r>
        <w:t>capitalizes</w:t>
      </w:r>
      <w:r>
        <w:rPr>
          <w:spacing w:val="-5"/>
        </w:rPr>
        <w:t xml:space="preserve"> </w:t>
      </w:r>
      <w:r>
        <w:t>multiuse</w:t>
      </w:r>
      <w:r>
        <w:rPr>
          <w:spacing w:val="-5"/>
        </w:rPr>
        <w:t xml:space="preserve"> </w:t>
      </w:r>
      <w:r>
        <w:t>heritage</w:t>
      </w:r>
      <w:r>
        <w:rPr>
          <w:spacing w:val="-5"/>
        </w:rPr>
        <w:t xml:space="preserve"> </w:t>
      </w:r>
      <w:r>
        <w:t>assets.</w:t>
      </w:r>
      <w:r>
        <w:rPr>
          <w:spacing w:val="-5"/>
        </w:rPr>
        <w:t xml:space="preserve"> </w:t>
      </w:r>
      <w:r>
        <w:t>The cost of acquisition, improvement, reconstruction, or renovation of multiuse heritage assets should be capitalized as PP&amp;E and depreciated over its useful life.</w:t>
      </w:r>
    </w:p>
    <w:p w14:paraId="0DFDC630" w14:textId="77777777" w:rsidR="00046465" w:rsidRDefault="008134EB">
      <w:pPr>
        <w:pStyle w:val="ListParagraph"/>
        <w:numPr>
          <w:ilvl w:val="1"/>
          <w:numId w:val="78"/>
        </w:numPr>
        <w:tabs>
          <w:tab w:val="left" w:pos="2160"/>
        </w:tabs>
        <w:spacing w:before="119"/>
        <w:ind w:right="893" w:hanging="361"/>
      </w:pPr>
      <w:r>
        <w:t>Whether</w:t>
      </w:r>
      <w:r>
        <w:rPr>
          <w:spacing w:val="-5"/>
        </w:rPr>
        <w:t xml:space="preserve"> </w:t>
      </w:r>
      <w:r>
        <w:t>and</w:t>
      </w:r>
      <w:r>
        <w:rPr>
          <w:spacing w:val="-5"/>
        </w:rPr>
        <w:t xml:space="preserve"> </w:t>
      </w:r>
      <w:r>
        <w:t>how</w:t>
      </w:r>
      <w:r>
        <w:rPr>
          <w:spacing w:val="-6"/>
        </w:rPr>
        <w:t xml:space="preserve"> </w:t>
      </w:r>
      <w:r>
        <w:t>the</w:t>
      </w:r>
      <w:r>
        <w:rPr>
          <w:spacing w:val="-5"/>
        </w:rPr>
        <w:t xml:space="preserve"> </w:t>
      </w:r>
      <w:r>
        <w:t>entity</w:t>
      </w:r>
      <w:r>
        <w:rPr>
          <w:spacing w:val="-5"/>
        </w:rPr>
        <w:t xml:space="preserve"> </w:t>
      </w:r>
      <w:r>
        <w:t>conducts</w:t>
      </w:r>
      <w:r>
        <w:rPr>
          <w:spacing w:val="-5"/>
        </w:rPr>
        <w:t xml:space="preserve"> </w:t>
      </w:r>
      <w:r>
        <w:t>periodic</w:t>
      </w:r>
      <w:r>
        <w:rPr>
          <w:spacing w:val="-6"/>
        </w:rPr>
        <w:t xml:space="preserve"> </w:t>
      </w:r>
      <w:r>
        <w:t>physical</w:t>
      </w:r>
      <w:r>
        <w:rPr>
          <w:spacing w:val="-5"/>
        </w:rPr>
        <w:t xml:space="preserve"> </w:t>
      </w:r>
      <w:r>
        <w:t>inventories</w:t>
      </w:r>
      <w:r>
        <w:rPr>
          <w:spacing w:val="-5"/>
        </w:rPr>
        <w:t xml:space="preserve"> </w:t>
      </w:r>
      <w:r>
        <w:t>designed to verify the existence, location, and condition of all property listed in the accounts and to verify the completeness of recorded units.</w:t>
      </w:r>
    </w:p>
    <w:p w14:paraId="0DFDC631" w14:textId="77777777" w:rsidR="00046465" w:rsidRDefault="008134EB">
      <w:pPr>
        <w:pStyle w:val="ListParagraph"/>
        <w:numPr>
          <w:ilvl w:val="0"/>
          <w:numId w:val="78"/>
        </w:numPr>
        <w:tabs>
          <w:tab w:val="left" w:pos="1800"/>
        </w:tabs>
        <w:spacing w:before="121"/>
        <w:ind w:right="765"/>
      </w:pPr>
      <w:r>
        <w:t>The auditor should determine whether internal control provides reasonable assurance that control objectives are achieved. For each control objective that is not achieved, the auditor should obtain sufficient information to identify the underlying internal control deficiencies and report such control deficiencies to management.</w:t>
      </w:r>
      <w:r>
        <w:rPr>
          <w:spacing w:val="-4"/>
        </w:rPr>
        <w:t xml:space="preserve"> </w:t>
      </w:r>
      <w:r>
        <w:t>For</w:t>
      </w:r>
      <w:r>
        <w:rPr>
          <w:spacing w:val="-4"/>
        </w:rPr>
        <w:t xml:space="preserve"> </w:t>
      </w:r>
      <w:r>
        <w:t>each</w:t>
      </w:r>
      <w:r>
        <w:rPr>
          <w:spacing w:val="-4"/>
        </w:rPr>
        <w:t xml:space="preserve"> </w:t>
      </w:r>
      <w:r>
        <w:t>identified</w:t>
      </w:r>
      <w:r>
        <w:rPr>
          <w:spacing w:val="-4"/>
        </w:rPr>
        <w:t xml:space="preserve"> </w:t>
      </w:r>
      <w:r>
        <w:t>risk</w:t>
      </w:r>
      <w:r>
        <w:rPr>
          <w:spacing w:val="-4"/>
        </w:rPr>
        <w:t xml:space="preserve"> </w:t>
      </w:r>
      <w:r>
        <w:t>of</w:t>
      </w:r>
      <w:r>
        <w:rPr>
          <w:spacing w:val="-4"/>
        </w:rPr>
        <w:t xml:space="preserve"> </w:t>
      </w:r>
      <w:r>
        <w:t>material</w:t>
      </w:r>
      <w:r>
        <w:rPr>
          <w:spacing w:val="-5"/>
        </w:rPr>
        <w:t xml:space="preserve"> </w:t>
      </w:r>
      <w:r>
        <w:t>misstatement</w:t>
      </w:r>
      <w:r>
        <w:rPr>
          <w:spacing w:val="-4"/>
        </w:rPr>
        <w:t xml:space="preserve"> </w:t>
      </w:r>
      <w:r>
        <w:t>for</w:t>
      </w:r>
      <w:r>
        <w:rPr>
          <w:spacing w:val="-4"/>
        </w:rPr>
        <w:t xml:space="preserve"> </w:t>
      </w:r>
      <w:r>
        <w:t>which</w:t>
      </w:r>
      <w:r>
        <w:rPr>
          <w:spacing w:val="-5"/>
        </w:rPr>
        <w:t xml:space="preserve"> </w:t>
      </w:r>
      <w:r>
        <w:t>inherent risk is more than remote, the auditor should preliminarily assess control risk and the risk of material misstatement and reevaluate this assessment after completing the testing phase. See FAM 370.</w:t>
      </w:r>
    </w:p>
    <w:p w14:paraId="0DFDC632" w14:textId="77777777" w:rsidR="00046465" w:rsidRDefault="008134EB">
      <w:pPr>
        <w:pStyle w:val="ListParagraph"/>
        <w:numPr>
          <w:ilvl w:val="0"/>
          <w:numId w:val="78"/>
        </w:numPr>
        <w:tabs>
          <w:tab w:val="left" w:pos="1800"/>
        </w:tabs>
        <w:spacing w:before="179"/>
        <w:ind w:right="1047"/>
      </w:pPr>
      <w:r>
        <w:t>The</w:t>
      </w:r>
      <w:r>
        <w:rPr>
          <w:spacing w:val="-4"/>
        </w:rPr>
        <w:t xml:space="preserve"> </w:t>
      </w:r>
      <w:r>
        <w:t>auditor</w:t>
      </w:r>
      <w:r>
        <w:rPr>
          <w:spacing w:val="-6"/>
        </w:rPr>
        <w:t xml:space="preserve"> </w:t>
      </w:r>
      <w:r>
        <w:t>should</w:t>
      </w:r>
      <w:r>
        <w:rPr>
          <w:spacing w:val="-4"/>
        </w:rPr>
        <w:t xml:space="preserve"> </w:t>
      </w:r>
      <w:r>
        <w:t>prepare</w:t>
      </w:r>
      <w:r>
        <w:rPr>
          <w:spacing w:val="-4"/>
        </w:rPr>
        <w:t xml:space="preserve"> </w:t>
      </w:r>
      <w:r>
        <w:t>or</w:t>
      </w:r>
      <w:r>
        <w:rPr>
          <w:spacing w:val="-4"/>
        </w:rPr>
        <w:t xml:space="preserve"> </w:t>
      </w:r>
      <w:r>
        <w:t>update</w:t>
      </w:r>
      <w:r>
        <w:rPr>
          <w:spacing w:val="-4"/>
        </w:rPr>
        <w:t xml:space="preserve"> </w:t>
      </w:r>
      <w:r>
        <w:t>the</w:t>
      </w:r>
      <w:r>
        <w:rPr>
          <w:spacing w:val="-4"/>
        </w:rPr>
        <w:t xml:space="preserve"> </w:t>
      </w:r>
      <w:r>
        <w:t>cycle</w:t>
      </w:r>
      <w:r>
        <w:rPr>
          <w:spacing w:val="-5"/>
        </w:rPr>
        <w:t xml:space="preserve"> </w:t>
      </w:r>
      <w:r>
        <w:t>memorandum,</w:t>
      </w:r>
      <w:r>
        <w:rPr>
          <w:spacing w:val="-4"/>
        </w:rPr>
        <w:t xml:space="preserve"> </w:t>
      </w:r>
      <w:r>
        <w:t>flowchart,</w:t>
      </w:r>
      <w:r>
        <w:rPr>
          <w:spacing w:val="-4"/>
        </w:rPr>
        <w:t xml:space="preserve"> </w:t>
      </w:r>
      <w:r>
        <w:t>LIRA form, and SCE worksheet, as applicable. See FAM 390, 395 H, and 395 G.</w:t>
      </w:r>
    </w:p>
    <w:p w14:paraId="0DFDC633" w14:textId="77777777" w:rsidR="00046465" w:rsidRDefault="008134EB">
      <w:pPr>
        <w:pStyle w:val="BodyText"/>
        <w:spacing w:before="117"/>
        <w:rPr>
          <w:sz w:val="20"/>
        </w:rPr>
      </w:pPr>
      <w:r>
        <w:rPr>
          <w:noProof/>
          <w:sz w:val="20"/>
        </w:rPr>
        <mc:AlternateContent>
          <mc:Choice Requires="wps">
            <w:drawing>
              <wp:anchor distT="0" distB="0" distL="0" distR="0" simplePos="0" relativeHeight="487727616" behindDoc="1" locked="0" layoutInCell="1" allowOverlap="1" wp14:anchorId="0DFDD735" wp14:editId="0DFDD736">
                <wp:simplePos x="0" y="0"/>
                <wp:positionH relativeFrom="page">
                  <wp:posOffset>914400</wp:posOffset>
                </wp:positionH>
                <wp:positionV relativeFrom="paragraph">
                  <wp:posOffset>236171</wp:posOffset>
                </wp:positionV>
                <wp:extent cx="1828800" cy="5715"/>
                <wp:effectExtent l="0" t="0" r="0" b="0"/>
                <wp:wrapTopAndBottom/>
                <wp:docPr id="1040" name="Graphic 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563171" id="Graphic 1040" o:spid="_x0000_s1026" style="position:absolute;margin-left:1in;margin-top:18.6pt;width:2in;height:.45pt;z-index:-1558886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" path="m1828800,l,,,5333r1828800,l1828800,xe" fillcolor="black" stroked="f">
                <v:path arrowok="t"/>
                <w10:wrap type="topAndBottom" anchorx="page"/>
              </v:shape>
            </w:pict>
          </mc:Fallback>
        </mc:AlternateContent>
      </w:r>
    </w:p>
    <w:p w14:paraId="0DFDC634" w14:textId="77777777" w:rsidR="00046465" w:rsidRDefault="008134EB">
      <w:pPr>
        <w:spacing w:before="200"/>
        <w:ind w:left="360"/>
        <w:rPr>
          <w:sz w:val="18"/>
        </w:rPr>
      </w:pPr>
      <w:bookmarkStart w:id="335" w:name="_bookmark194"/>
      <w:bookmarkEnd w:id="335"/>
      <w:r>
        <w:rPr>
          <w:position w:val="7"/>
          <w:sz w:val="14"/>
        </w:rPr>
        <w:t>46</w:t>
      </w:r>
      <w:r>
        <w:rPr>
          <w:sz w:val="18"/>
        </w:rPr>
        <w:t>Devise</w:t>
      </w:r>
      <w:r>
        <w:rPr>
          <w:spacing w:val="-5"/>
          <w:sz w:val="18"/>
        </w:rPr>
        <w:t xml:space="preserve"> </w:t>
      </w:r>
      <w:r>
        <w:rPr>
          <w:sz w:val="18"/>
        </w:rPr>
        <w:t>refers</w:t>
      </w:r>
      <w:r>
        <w:rPr>
          <w:spacing w:val="-2"/>
          <w:sz w:val="18"/>
        </w:rPr>
        <w:t xml:space="preserve"> </w:t>
      </w:r>
      <w:r>
        <w:rPr>
          <w:sz w:val="18"/>
        </w:rPr>
        <w:t>to</w:t>
      </w:r>
      <w:r>
        <w:rPr>
          <w:spacing w:val="-2"/>
          <w:sz w:val="18"/>
        </w:rPr>
        <w:t xml:space="preserve"> </w:t>
      </w:r>
      <w:r>
        <w:rPr>
          <w:sz w:val="18"/>
        </w:rPr>
        <w:t>a</w:t>
      </w:r>
      <w:r>
        <w:rPr>
          <w:spacing w:val="-2"/>
          <w:sz w:val="18"/>
        </w:rPr>
        <w:t xml:space="preserve"> </w:t>
      </w:r>
      <w:r>
        <w:rPr>
          <w:sz w:val="18"/>
        </w:rPr>
        <w:t>will</w:t>
      </w:r>
      <w:r>
        <w:rPr>
          <w:spacing w:val="-1"/>
          <w:sz w:val="18"/>
        </w:rPr>
        <w:t xml:space="preserve"> </w:t>
      </w:r>
      <w:r>
        <w:rPr>
          <w:sz w:val="18"/>
        </w:rPr>
        <w:t>or</w:t>
      </w:r>
      <w:r>
        <w:rPr>
          <w:spacing w:val="-2"/>
          <w:sz w:val="18"/>
        </w:rPr>
        <w:t xml:space="preserve"> </w:t>
      </w:r>
      <w:r>
        <w:rPr>
          <w:sz w:val="18"/>
        </w:rPr>
        <w:t>clause</w:t>
      </w:r>
      <w:r>
        <w:rPr>
          <w:spacing w:val="-2"/>
          <w:sz w:val="18"/>
        </w:rPr>
        <w:t xml:space="preserve"> </w:t>
      </w:r>
      <w:r>
        <w:rPr>
          <w:sz w:val="18"/>
        </w:rPr>
        <w:t>of</w:t>
      </w:r>
      <w:r>
        <w:rPr>
          <w:spacing w:val="-2"/>
          <w:sz w:val="18"/>
        </w:rPr>
        <w:t xml:space="preserve"> </w:t>
      </w:r>
      <w:r>
        <w:rPr>
          <w:sz w:val="18"/>
        </w:rPr>
        <w:t>a</w:t>
      </w:r>
      <w:r>
        <w:rPr>
          <w:spacing w:val="-2"/>
          <w:sz w:val="18"/>
        </w:rPr>
        <w:t xml:space="preserve"> </w:t>
      </w:r>
      <w:r>
        <w:rPr>
          <w:sz w:val="18"/>
        </w:rPr>
        <w:t>will</w:t>
      </w:r>
      <w:r>
        <w:rPr>
          <w:spacing w:val="-2"/>
          <w:sz w:val="18"/>
        </w:rPr>
        <w:t xml:space="preserve"> </w:t>
      </w:r>
      <w:r>
        <w:rPr>
          <w:sz w:val="18"/>
        </w:rPr>
        <w:t>disposing</w:t>
      </w:r>
      <w:r>
        <w:rPr>
          <w:spacing w:val="-3"/>
          <w:sz w:val="18"/>
        </w:rPr>
        <w:t xml:space="preserve"> </w:t>
      </w:r>
      <w:r>
        <w:rPr>
          <w:sz w:val="18"/>
        </w:rPr>
        <w:t>of</w:t>
      </w:r>
      <w:r>
        <w:rPr>
          <w:spacing w:val="-1"/>
          <w:sz w:val="18"/>
        </w:rPr>
        <w:t xml:space="preserve"> </w:t>
      </w:r>
      <w:r>
        <w:rPr>
          <w:spacing w:val="-2"/>
          <w:sz w:val="18"/>
        </w:rPr>
        <w:t>property.</w:t>
      </w:r>
    </w:p>
    <w:p w14:paraId="0DFDC635" w14:textId="77777777" w:rsidR="00046465" w:rsidRDefault="00046465">
      <w:pPr>
        <w:rPr>
          <w:sz w:val="18"/>
        </w:rPr>
        <w:sectPr w:rsidR="00046465">
          <w:pgSz w:w="12240" w:h="15840"/>
          <w:pgMar w:top="1340" w:right="720" w:bottom="940" w:left="1080" w:header="721" w:footer="757" w:gutter="0"/>
          <w:cols w:space="720"/>
        </w:sectPr>
      </w:pPr>
    </w:p>
    <w:p w14:paraId="0DFDC636" w14:textId="77777777" w:rsidR="00046465" w:rsidRDefault="008134EB">
      <w:pPr>
        <w:pStyle w:val="Heading5"/>
        <w:spacing w:before="121"/>
        <w:ind w:left="392"/>
        <w:rPr>
          <w:u w:val="none"/>
        </w:rPr>
      </w:pPr>
      <w:bookmarkStart w:id="336" w:name="Testing_Phase"/>
      <w:bookmarkEnd w:id="336"/>
      <w:r>
        <w:lastRenderedPageBreak/>
        <w:t>Testing</w:t>
      </w:r>
      <w:r>
        <w:rPr>
          <w:spacing w:val="-2"/>
        </w:rPr>
        <w:t xml:space="preserve"> Phase</w:t>
      </w:r>
    </w:p>
    <w:p w14:paraId="0DFDC637" w14:textId="77777777" w:rsidR="00046465" w:rsidRDefault="008134EB">
      <w:pPr>
        <w:pStyle w:val="ListParagraph"/>
        <w:numPr>
          <w:ilvl w:val="0"/>
          <w:numId w:val="78"/>
        </w:numPr>
        <w:tabs>
          <w:tab w:val="left" w:pos="1800"/>
        </w:tabs>
        <w:ind w:right="973"/>
      </w:pPr>
      <w:r>
        <w:t>For heritage assets, the auditor should determine the significant assertions, which</w:t>
      </w:r>
      <w:r>
        <w:rPr>
          <w:spacing w:val="-4"/>
        </w:rPr>
        <w:t xml:space="preserve"> </w:t>
      </w:r>
      <w:r>
        <w:t>are</w:t>
      </w:r>
      <w:r>
        <w:rPr>
          <w:spacing w:val="-4"/>
        </w:rPr>
        <w:t xml:space="preserve"> </w:t>
      </w:r>
      <w:r>
        <w:t>those</w:t>
      </w:r>
      <w:r>
        <w:rPr>
          <w:spacing w:val="-4"/>
        </w:rPr>
        <w:t xml:space="preserve"> </w:t>
      </w:r>
      <w:r>
        <w:t>that</w:t>
      </w:r>
      <w:r>
        <w:rPr>
          <w:spacing w:val="-4"/>
        </w:rPr>
        <w:t xml:space="preserve"> </w:t>
      </w:r>
      <w:r>
        <w:t>have</w:t>
      </w:r>
      <w:r>
        <w:rPr>
          <w:spacing w:val="-4"/>
        </w:rPr>
        <w:t xml:space="preserve"> </w:t>
      </w:r>
      <w:r>
        <w:t>one</w:t>
      </w:r>
      <w:r>
        <w:rPr>
          <w:spacing w:val="-4"/>
        </w:rPr>
        <w:t xml:space="preserve"> </w:t>
      </w:r>
      <w:r>
        <w:t>or</w:t>
      </w:r>
      <w:r>
        <w:rPr>
          <w:spacing w:val="-4"/>
        </w:rPr>
        <w:t xml:space="preserve"> </w:t>
      </w:r>
      <w:r>
        <w:t>more</w:t>
      </w:r>
      <w:r>
        <w:rPr>
          <w:spacing w:val="-4"/>
        </w:rPr>
        <w:t xml:space="preserve"> </w:t>
      </w:r>
      <w:r>
        <w:t>identified</w:t>
      </w:r>
      <w:r>
        <w:rPr>
          <w:spacing w:val="-5"/>
        </w:rPr>
        <w:t xml:space="preserve"> </w:t>
      </w:r>
      <w:r>
        <w:t>risks</w:t>
      </w:r>
      <w:r>
        <w:rPr>
          <w:spacing w:val="-4"/>
        </w:rPr>
        <w:t xml:space="preserve"> </w:t>
      </w:r>
      <w:r>
        <w:t>of</w:t>
      </w:r>
      <w:r>
        <w:rPr>
          <w:spacing w:val="-4"/>
        </w:rPr>
        <w:t xml:space="preserve"> </w:t>
      </w:r>
      <w:r>
        <w:t>material</w:t>
      </w:r>
      <w:r>
        <w:rPr>
          <w:spacing w:val="-4"/>
        </w:rPr>
        <w:t xml:space="preserve"> </w:t>
      </w:r>
      <w:r>
        <w:t>misstatement for which inherent risk is more than remote. For each significant assertion, the auditor should perform substantive procedures. See FAM 470.</w:t>
      </w:r>
    </w:p>
    <w:p w14:paraId="0DFDC638" w14:textId="77777777" w:rsidR="00046465" w:rsidRDefault="008134EB">
      <w:pPr>
        <w:pStyle w:val="ListParagraph"/>
        <w:numPr>
          <w:ilvl w:val="0"/>
          <w:numId w:val="78"/>
        </w:numPr>
        <w:tabs>
          <w:tab w:val="left" w:pos="1800"/>
        </w:tabs>
        <w:ind w:right="1055"/>
      </w:pPr>
      <w:r>
        <w:t>The</w:t>
      </w:r>
      <w:r>
        <w:rPr>
          <w:spacing w:val="-5"/>
        </w:rPr>
        <w:t xml:space="preserve"> </w:t>
      </w:r>
      <w:r>
        <w:t>audit</w:t>
      </w:r>
      <w:r>
        <w:rPr>
          <w:spacing w:val="-5"/>
        </w:rPr>
        <w:t xml:space="preserve"> </w:t>
      </w:r>
      <w:r>
        <w:t>objectives</w:t>
      </w:r>
      <w:r>
        <w:rPr>
          <w:spacing w:val="-5"/>
        </w:rPr>
        <w:t xml:space="preserve"> </w:t>
      </w:r>
      <w:r>
        <w:t>for</w:t>
      </w:r>
      <w:r>
        <w:rPr>
          <w:spacing w:val="-5"/>
        </w:rPr>
        <w:t xml:space="preserve"> </w:t>
      </w:r>
      <w:r>
        <w:t>performing</w:t>
      </w:r>
      <w:r>
        <w:rPr>
          <w:spacing w:val="-5"/>
        </w:rPr>
        <w:t xml:space="preserve"> </w:t>
      </w:r>
      <w:r>
        <w:t>substantive</w:t>
      </w:r>
      <w:r>
        <w:rPr>
          <w:spacing w:val="-5"/>
        </w:rPr>
        <w:t xml:space="preserve"> </w:t>
      </w:r>
      <w:r>
        <w:t>procedures</w:t>
      </w:r>
      <w:r>
        <w:rPr>
          <w:spacing w:val="-5"/>
        </w:rPr>
        <w:t xml:space="preserve"> </w:t>
      </w:r>
      <w:r>
        <w:t>on</w:t>
      </w:r>
      <w:r>
        <w:rPr>
          <w:spacing w:val="-5"/>
        </w:rPr>
        <w:t xml:space="preserve"> </w:t>
      </w:r>
      <w:r>
        <w:t>heritage</w:t>
      </w:r>
      <w:r>
        <w:rPr>
          <w:spacing w:val="-5"/>
        </w:rPr>
        <w:t xml:space="preserve"> </w:t>
      </w:r>
      <w:r>
        <w:t>assets are as follows:</w:t>
      </w:r>
    </w:p>
    <w:p w14:paraId="0DFDC639" w14:textId="77777777" w:rsidR="00046465" w:rsidRDefault="008134EB">
      <w:pPr>
        <w:pStyle w:val="ListParagraph"/>
        <w:numPr>
          <w:ilvl w:val="1"/>
          <w:numId w:val="78"/>
        </w:numPr>
        <w:tabs>
          <w:tab w:val="left" w:pos="2159"/>
        </w:tabs>
        <w:ind w:left="2159" w:hanging="359"/>
      </w:pPr>
      <w:r>
        <w:t>Determine</w:t>
      </w:r>
      <w:r>
        <w:rPr>
          <w:spacing w:val="-8"/>
        </w:rPr>
        <w:t xml:space="preserve"> </w:t>
      </w:r>
      <w:r>
        <w:t>the</w:t>
      </w:r>
      <w:r>
        <w:rPr>
          <w:spacing w:val="-7"/>
        </w:rPr>
        <w:t xml:space="preserve"> </w:t>
      </w:r>
      <w:r>
        <w:t>existence</w:t>
      </w:r>
      <w:r>
        <w:rPr>
          <w:spacing w:val="-8"/>
        </w:rPr>
        <w:t xml:space="preserve"> </w:t>
      </w:r>
      <w:r>
        <w:t>of</w:t>
      </w:r>
      <w:r>
        <w:rPr>
          <w:spacing w:val="-7"/>
        </w:rPr>
        <w:t xml:space="preserve"> </w:t>
      </w:r>
      <w:r>
        <w:t>recorded</w:t>
      </w:r>
      <w:r>
        <w:rPr>
          <w:spacing w:val="-8"/>
        </w:rPr>
        <w:t xml:space="preserve"> </w:t>
      </w:r>
      <w:r>
        <w:t>heritage</w:t>
      </w:r>
      <w:r>
        <w:rPr>
          <w:spacing w:val="-7"/>
        </w:rPr>
        <w:t xml:space="preserve"> </w:t>
      </w:r>
      <w:r>
        <w:rPr>
          <w:spacing w:val="-2"/>
        </w:rPr>
        <w:t>assets.</w:t>
      </w:r>
    </w:p>
    <w:p w14:paraId="0DFDC63A" w14:textId="77777777" w:rsidR="00046465" w:rsidRDefault="008134EB">
      <w:pPr>
        <w:pStyle w:val="ListParagraph"/>
        <w:numPr>
          <w:ilvl w:val="1"/>
          <w:numId w:val="78"/>
        </w:numPr>
        <w:tabs>
          <w:tab w:val="left" w:pos="2159"/>
        </w:tabs>
        <w:ind w:left="2159" w:hanging="359"/>
      </w:pPr>
      <w:r>
        <w:t>Determine</w:t>
      </w:r>
      <w:r>
        <w:rPr>
          <w:spacing w:val="-9"/>
        </w:rPr>
        <w:t xml:space="preserve"> </w:t>
      </w:r>
      <w:r>
        <w:t>the</w:t>
      </w:r>
      <w:r>
        <w:rPr>
          <w:spacing w:val="-8"/>
        </w:rPr>
        <w:t xml:space="preserve"> </w:t>
      </w:r>
      <w:r>
        <w:t>completeness</w:t>
      </w:r>
      <w:r>
        <w:rPr>
          <w:spacing w:val="-8"/>
        </w:rPr>
        <w:t xml:space="preserve"> </w:t>
      </w:r>
      <w:r>
        <w:t>of</w:t>
      </w:r>
      <w:r>
        <w:rPr>
          <w:spacing w:val="-8"/>
        </w:rPr>
        <w:t xml:space="preserve"> </w:t>
      </w:r>
      <w:r>
        <w:t>recorded</w:t>
      </w:r>
      <w:r>
        <w:rPr>
          <w:spacing w:val="-9"/>
        </w:rPr>
        <w:t xml:space="preserve"> </w:t>
      </w:r>
      <w:r>
        <w:t>heritage</w:t>
      </w:r>
      <w:r>
        <w:rPr>
          <w:spacing w:val="-8"/>
        </w:rPr>
        <w:t xml:space="preserve"> </w:t>
      </w:r>
      <w:r>
        <w:rPr>
          <w:spacing w:val="-2"/>
        </w:rPr>
        <w:t>assets.</w:t>
      </w:r>
    </w:p>
    <w:p w14:paraId="0DFDC63B" w14:textId="77777777" w:rsidR="00046465" w:rsidRDefault="008134EB">
      <w:pPr>
        <w:pStyle w:val="ListParagraph"/>
        <w:numPr>
          <w:ilvl w:val="1"/>
          <w:numId w:val="78"/>
        </w:numPr>
        <w:tabs>
          <w:tab w:val="left" w:pos="2160"/>
        </w:tabs>
        <w:spacing w:before="119"/>
        <w:ind w:right="1112"/>
      </w:pPr>
      <w:r>
        <w:t>Determine</w:t>
      </w:r>
      <w:r>
        <w:rPr>
          <w:spacing w:val="-4"/>
        </w:rPr>
        <w:t xml:space="preserve"> </w:t>
      </w:r>
      <w:r>
        <w:t>the</w:t>
      </w:r>
      <w:r>
        <w:rPr>
          <w:spacing w:val="-4"/>
        </w:rPr>
        <w:t xml:space="preserve"> </w:t>
      </w:r>
      <w:r>
        <w:t>entity’s</w:t>
      </w:r>
      <w:r>
        <w:rPr>
          <w:spacing w:val="-4"/>
        </w:rPr>
        <w:t xml:space="preserve"> </w:t>
      </w:r>
      <w:r>
        <w:t>ownership</w:t>
      </w:r>
      <w:r>
        <w:rPr>
          <w:spacing w:val="-4"/>
        </w:rPr>
        <w:t xml:space="preserve"> </w:t>
      </w:r>
      <w:r>
        <w:t>rights</w:t>
      </w:r>
      <w:r>
        <w:rPr>
          <w:spacing w:val="-4"/>
        </w:rPr>
        <w:t xml:space="preserve"> </w:t>
      </w:r>
      <w:r>
        <w:t>to</w:t>
      </w:r>
      <w:r>
        <w:rPr>
          <w:spacing w:val="-4"/>
        </w:rPr>
        <w:t xml:space="preserve"> </w:t>
      </w:r>
      <w:r>
        <w:t>record</w:t>
      </w:r>
      <w:r>
        <w:rPr>
          <w:spacing w:val="-5"/>
        </w:rPr>
        <w:t xml:space="preserve"> </w:t>
      </w:r>
      <w:r>
        <w:t>these</w:t>
      </w:r>
      <w:r>
        <w:rPr>
          <w:spacing w:val="-4"/>
        </w:rPr>
        <w:t xml:space="preserve"> </w:t>
      </w:r>
      <w:r>
        <w:t>assets</w:t>
      </w:r>
      <w:r>
        <w:rPr>
          <w:spacing w:val="-4"/>
        </w:rPr>
        <w:t xml:space="preserve"> </w:t>
      </w:r>
      <w:r>
        <w:t>as</w:t>
      </w:r>
      <w:r>
        <w:rPr>
          <w:spacing w:val="-4"/>
        </w:rPr>
        <w:t xml:space="preserve"> </w:t>
      </w:r>
      <w:r>
        <w:t>heritage assets in accordance with SFFAS 29.</w:t>
      </w:r>
    </w:p>
    <w:p w14:paraId="0DFDC63C" w14:textId="77777777" w:rsidR="00046465" w:rsidRDefault="008134EB">
      <w:pPr>
        <w:pStyle w:val="ListParagraph"/>
        <w:numPr>
          <w:ilvl w:val="1"/>
          <w:numId w:val="78"/>
        </w:numPr>
        <w:tabs>
          <w:tab w:val="left" w:pos="2159"/>
        </w:tabs>
        <w:ind w:left="2159" w:hanging="359"/>
      </w:pPr>
      <w:r>
        <w:t>Determine</w:t>
      </w:r>
      <w:r>
        <w:rPr>
          <w:spacing w:val="-7"/>
        </w:rPr>
        <w:t xml:space="preserve"> </w:t>
      </w:r>
      <w:r>
        <w:t>the</w:t>
      </w:r>
      <w:r>
        <w:rPr>
          <w:spacing w:val="-7"/>
        </w:rPr>
        <w:t xml:space="preserve"> </w:t>
      </w:r>
      <w:r>
        <w:t>clerical</w:t>
      </w:r>
      <w:r>
        <w:rPr>
          <w:spacing w:val="-7"/>
        </w:rPr>
        <w:t xml:space="preserve"> </w:t>
      </w:r>
      <w:r>
        <w:t>accuracy</w:t>
      </w:r>
      <w:r>
        <w:rPr>
          <w:spacing w:val="-6"/>
        </w:rPr>
        <w:t xml:space="preserve"> </w:t>
      </w:r>
      <w:r>
        <w:t>of</w:t>
      </w:r>
      <w:r>
        <w:rPr>
          <w:spacing w:val="-7"/>
        </w:rPr>
        <w:t xml:space="preserve"> </w:t>
      </w:r>
      <w:r>
        <w:t>unit</w:t>
      </w:r>
      <w:r>
        <w:rPr>
          <w:spacing w:val="-7"/>
        </w:rPr>
        <w:t xml:space="preserve"> </w:t>
      </w:r>
      <w:r>
        <w:t>schedules</w:t>
      </w:r>
      <w:r>
        <w:rPr>
          <w:spacing w:val="-7"/>
        </w:rPr>
        <w:t xml:space="preserve"> </w:t>
      </w:r>
      <w:r>
        <w:t>for</w:t>
      </w:r>
      <w:r>
        <w:rPr>
          <w:spacing w:val="-6"/>
        </w:rPr>
        <w:t xml:space="preserve"> </w:t>
      </w:r>
      <w:r>
        <w:t>additions</w:t>
      </w:r>
      <w:r>
        <w:rPr>
          <w:spacing w:val="-7"/>
        </w:rPr>
        <w:t xml:space="preserve"> </w:t>
      </w:r>
      <w:r>
        <w:t>and</w:t>
      </w:r>
      <w:r>
        <w:rPr>
          <w:spacing w:val="-7"/>
        </w:rPr>
        <w:t xml:space="preserve"> </w:t>
      </w:r>
      <w:r>
        <w:rPr>
          <w:spacing w:val="-2"/>
        </w:rPr>
        <w:t>deletions.</w:t>
      </w:r>
    </w:p>
    <w:p w14:paraId="0DFDC63D" w14:textId="77777777" w:rsidR="00046465" w:rsidRDefault="008134EB">
      <w:pPr>
        <w:pStyle w:val="ListParagraph"/>
        <w:numPr>
          <w:ilvl w:val="1"/>
          <w:numId w:val="78"/>
        </w:numPr>
        <w:tabs>
          <w:tab w:val="left" w:pos="2160"/>
        </w:tabs>
        <w:spacing w:before="121"/>
        <w:ind w:right="1150"/>
      </w:pPr>
      <w:r>
        <w:t>Determine</w:t>
      </w:r>
      <w:r>
        <w:rPr>
          <w:spacing w:val="-4"/>
        </w:rPr>
        <w:t xml:space="preserve"> </w:t>
      </w:r>
      <w:r>
        <w:t>that</w:t>
      </w:r>
      <w:r>
        <w:rPr>
          <w:spacing w:val="-4"/>
        </w:rPr>
        <w:t xml:space="preserve"> </w:t>
      </w:r>
      <w:r>
        <w:t>the</w:t>
      </w:r>
      <w:r>
        <w:rPr>
          <w:spacing w:val="-4"/>
        </w:rPr>
        <w:t xml:space="preserve"> </w:t>
      </w:r>
      <w:r>
        <w:t>categorization</w:t>
      </w:r>
      <w:r>
        <w:rPr>
          <w:spacing w:val="-4"/>
        </w:rPr>
        <w:t xml:space="preserve"> </w:t>
      </w:r>
      <w:r>
        <w:t>and</w:t>
      </w:r>
      <w:r>
        <w:rPr>
          <w:spacing w:val="-4"/>
        </w:rPr>
        <w:t xml:space="preserve"> </w:t>
      </w:r>
      <w:r>
        <w:t>aggregation</w:t>
      </w:r>
      <w:r>
        <w:rPr>
          <w:spacing w:val="-4"/>
        </w:rPr>
        <w:t xml:space="preserve"> </w:t>
      </w:r>
      <w:r>
        <w:t>of</w:t>
      </w:r>
      <w:r>
        <w:rPr>
          <w:spacing w:val="-4"/>
        </w:rPr>
        <w:t xml:space="preserve"> </w:t>
      </w:r>
      <w:r>
        <w:t>physical</w:t>
      </w:r>
      <w:r>
        <w:rPr>
          <w:spacing w:val="-4"/>
        </w:rPr>
        <w:t xml:space="preserve"> </w:t>
      </w:r>
      <w:r>
        <w:t>units</w:t>
      </w:r>
      <w:r>
        <w:rPr>
          <w:spacing w:val="-4"/>
        </w:rPr>
        <w:t xml:space="preserve"> </w:t>
      </w:r>
      <w:r>
        <w:t>are</w:t>
      </w:r>
      <w:r>
        <w:rPr>
          <w:spacing w:val="-5"/>
        </w:rPr>
        <w:t xml:space="preserve"> </w:t>
      </w:r>
      <w:r>
        <w:t>in accordance with guidelines established in SFFAS 29 and TR 9.</w:t>
      </w:r>
    </w:p>
    <w:p w14:paraId="0DFDC63E" w14:textId="77777777" w:rsidR="00046465" w:rsidRDefault="008134EB">
      <w:pPr>
        <w:pStyle w:val="ListParagraph"/>
        <w:numPr>
          <w:ilvl w:val="1"/>
          <w:numId w:val="78"/>
        </w:numPr>
        <w:tabs>
          <w:tab w:val="left" w:pos="2160"/>
        </w:tabs>
        <w:spacing w:before="119"/>
        <w:ind w:right="1308"/>
      </w:pPr>
      <w:r>
        <w:t>Determine</w:t>
      </w:r>
      <w:r>
        <w:rPr>
          <w:spacing w:val="-4"/>
        </w:rPr>
        <w:t xml:space="preserve"> </w:t>
      </w:r>
      <w:r>
        <w:t>that</w:t>
      </w:r>
      <w:r>
        <w:rPr>
          <w:spacing w:val="-4"/>
        </w:rPr>
        <w:t xml:space="preserve"> </w:t>
      </w:r>
      <w:r>
        <w:t>the</w:t>
      </w:r>
      <w:r>
        <w:rPr>
          <w:spacing w:val="-4"/>
        </w:rPr>
        <w:t xml:space="preserve"> </w:t>
      </w:r>
      <w:r>
        <w:t>presentation</w:t>
      </w:r>
      <w:r>
        <w:rPr>
          <w:spacing w:val="-4"/>
        </w:rPr>
        <w:t xml:space="preserve"> </w:t>
      </w:r>
      <w:r>
        <w:t>and</w:t>
      </w:r>
      <w:r>
        <w:rPr>
          <w:spacing w:val="-5"/>
        </w:rPr>
        <w:t xml:space="preserve"> </w:t>
      </w:r>
      <w:r>
        <w:t>disclosure</w:t>
      </w:r>
      <w:r>
        <w:rPr>
          <w:spacing w:val="-5"/>
        </w:rPr>
        <w:t xml:space="preserve"> </w:t>
      </w:r>
      <w:r>
        <w:t>of</w:t>
      </w:r>
      <w:r>
        <w:rPr>
          <w:spacing w:val="-4"/>
        </w:rPr>
        <w:t xml:space="preserve"> </w:t>
      </w:r>
      <w:r>
        <w:t>heritage</w:t>
      </w:r>
      <w:r>
        <w:rPr>
          <w:spacing w:val="-4"/>
        </w:rPr>
        <w:t xml:space="preserve"> </w:t>
      </w:r>
      <w:r>
        <w:t>assets</w:t>
      </w:r>
      <w:r>
        <w:rPr>
          <w:spacing w:val="-4"/>
        </w:rPr>
        <w:t xml:space="preserve"> </w:t>
      </w:r>
      <w:r>
        <w:t>are</w:t>
      </w:r>
      <w:r>
        <w:rPr>
          <w:spacing w:val="-5"/>
        </w:rPr>
        <w:t xml:space="preserve"> </w:t>
      </w:r>
      <w:r>
        <w:t>in accordance with SFFAS 29.</w:t>
      </w:r>
    </w:p>
    <w:p w14:paraId="0DFDC63F" w14:textId="77777777" w:rsidR="00046465" w:rsidRDefault="008134EB">
      <w:pPr>
        <w:pStyle w:val="BodyText"/>
        <w:spacing w:before="120"/>
        <w:ind w:left="1800" w:right="749"/>
      </w:pPr>
      <w:r>
        <w:t>If the auditor is satisfied with the beginning balance and verifies the acquisitions and</w:t>
      </w:r>
      <w:r>
        <w:rPr>
          <w:spacing w:val="-4"/>
        </w:rPr>
        <w:t xml:space="preserve"> </w:t>
      </w:r>
      <w:r>
        <w:t>withdrawals</w:t>
      </w:r>
      <w:r>
        <w:rPr>
          <w:spacing w:val="-4"/>
        </w:rPr>
        <w:t xml:space="preserve"> </w:t>
      </w:r>
      <w:r>
        <w:t>of</w:t>
      </w:r>
      <w:r>
        <w:rPr>
          <w:spacing w:val="-4"/>
        </w:rPr>
        <w:t xml:space="preserve"> </w:t>
      </w:r>
      <w:r>
        <w:t>the</w:t>
      </w:r>
      <w:r>
        <w:rPr>
          <w:spacing w:val="-4"/>
        </w:rPr>
        <w:t xml:space="preserve"> </w:t>
      </w:r>
      <w:r>
        <w:t>current</w:t>
      </w:r>
      <w:r>
        <w:rPr>
          <w:spacing w:val="-4"/>
        </w:rPr>
        <w:t xml:space="preserve"> </w:t>
      </w:r>
      <w:r>
        <w:t>period,</w:t>
      </w:r>
      <w:r>
        <w:rPr>
          <w:spacing w:val="-4"/>
        </w:rPr>
        <w:t xml:space="preserve"> </w:t>
      </w:r>
      <w:r>
        <w:t>the</w:t>
      </w:r>
      <w:r>
        <w:rPr>
          <w:spacing w:val="-4"/>
        </w:rPr>
        <w:t xml:space="preserve"> </w:t>
      </w:r>
      <w:r>
        <w:t>auditor</w:t>
      </w:r>
      <w:r>
        <w:rPr>
          <w:spacing w:val="-4"/>
        </w:rPr>
        <w:t xml:space="preserve"> </w:t>
      </w:r>
      <w:r>
        <w:t>may</w:t>
      </w:r>
      <w:r>
        <w:rPr>
          <w:spacing w:val="-4"/>
        </w:rPr>
        <w:t xml:space="preserve"> </w:t>
      </w:r>
      <w:r>
        <w:t>have</w:t>
      </w:r>
      <w:r>
        <w:rPr>
          <w:spacing w:val="-4"/>
        </w:rPr>
        <w:t xml:space="preserve"> </w:t>
      </w:r>
      <w:r>
        <w:t>sufficient</w:t>
      </w:r>
      <w:r>
        <w:rPr>
          <w:spacing w:val="-4"/>
        </w:rPr>
        <w:t xml:space="preserve"> </w:t>
      </w:r>
      <w:r>
        <w:t>appropriate evidence about the ending balance.</w:t>
      </w:r>
    </w:p>
    <w:p w14:paraId="0DFDC640" w14:textId="77777777" w:rsidR="00046465" w:rsidRDefault="008134EB">
      <w:pPr>
        <w:pStyle w:val="BodyText"/>
        <w:spacing w:before="120"/>
        <w:ind w:left="1800" w:right="749"/>
      </w:pPr>
      <w:r>
        <w:t>The</w:t>
      </w:r>
      <w:r>
        <w:rPr>
          <w:spacing w:val="-4"/>
        </w:rPr>
        <w:t xml:space="preserve"> </w:t>
      </w:r>
      <w:r>
        <w:t>auditor’s</w:t>
      </w:r>
      <w:r>
        <w:rPr>
          <w:spacing w:val="-4"/>
        </w:rPr>
        <w:t xml:space="preserve"> </w:t>
      </w:r>
      <w:r>
        <w:t>documentation</w:t>
      </w:r>
      <w:r>
        <w:rPr>
          <w:spacing w:val="-4"/>
        </w:rPr>
        <w:t xml:space="preserve"> </w:t>
      </w:r>
      <w:r>
        <w:t>of</w:t>
      </w:r>
      <w:r>
        <w:rPr>
          <w:spacing w:val="-4"/>
        </w:rPr>
        <w:t xml:space="preserve"> </w:t>
      </w:r>
      <w:r>
        <w:t>the</w:t>
      </w:r>
      <w:r>
        <w:rPr>
          <w:spacing w:val="-4"/>
        </w:rPr>
        <w:t xml:space="preserve"> </w:t>
      </w:r>
      <w:r>
        <w:t>testing</w:t>
      </w:r>
      <w:r>
        <w:rPr>
          <w:spacing w:val="-4"/>
        </w:rPr>
        <w:t xml:space="preserve"> </w:t>
      </w:r>
      <w:r>
        <w:t>phase</w:t>
      </w:r>
      <w:r>
        <w:rPr>
          <w:spacing w:val="-4"/>
        </w:rPr>
        <w:t xml:space="preserve"> </w:t>
      </w:r>
      <w:r>
        <w:t>should</w:t>
      </w:r>
      <w:r>
        <w:rPr>
          <w:spacing w:val="-4"/>
        </w:rPr>
        <w:t xml:space="preserve"> </w:t>
      </w:r>
      <w:r>
        <w:t>follow</w:t>
      </w:r>
      <w:r>
        <w:rPr>
          <w:spacing w:val="-5"/>
        </w:rPr>
        <w:t xml:space="preserve"> </w:t>
      </w:r>
      <w:r>
        <w:t>the</w:t>
      </w:r>
      <w:r>
        <w:rPr>
          <w:spacing w:val="-4"/>
        </w:rPr>
        <w:t xml:space="preserve"> </w:t>
      </w:r>
      <w:r>
        <w:t>requirements in FAM 490, as applicable.</w:t>
      </w:r>
    </w:p>
    <w:p w14:paraId="0DFDC641" w14:textId="77777777" w:rsidR="00046465" w:rsidRDefault="008134EB">
      <w:pPr>
        <w:pStyle w:val="ListParagraph"/>
        <w:numPr>
          <w:ilvl w:val="0"/>
          <w:numId w:val="78"/>
        </w:numPr>
        <w:tabs>
          <w:tab w:val="left" w:pos="1800"/>
        </w:tabs>
        <w:ind w:right="922"/>
      </w:pPr>
      <w:r>
        <w:rPr>
          <w:b/>
        </w:rPr>
        <w:t>Existence.</w:t>
      </w:r>
      <w:r>
        <w:rPr>
          <w:b/>
          <w:spacing w:val="-4"/>
        </w:rPr>
        <w:t xml:space="preserve"> </w:t>
      </w:r>
      <w:r>
        <w:t>To</w:t>
      </w:r>
      <w:r>
        <w:rPr>
          <w:spacing w:val="-4"/>
        </w:rPr>
        <w:t xml:space="preserve"> </w:t>
      </w:r>
      <w:r>
        <w:t>determine</w:t>
      </w:r>
      <w:r>
        <w:rPr>
          <w:spacing w:val="-4"/>
        </w:rPr>
        <w:t xml:space="preserve"> </w:t>
      </w:r>
      <w:r>
        <w:t>the</w:t>
      </w:r>
      <w:r>
        <w:rPr>
          <w:spacing w:val="-4"/>
        </w:rPr>
        <w:t xml:space="preserve"> </w:t>
      </w:r>
      <w:r>
        <w:t>existence</w:t>
      </w:r>
      <w:r>
        <w:rPr>
          <w:spacing w:val="-4"/>
        </w:rPr>
        <w:t xml:space="preserve"> </w:t>
      </w:r>
      <w:r>
        <w:t>of</w:t>
      </w:r>
      <w:r>
        <w:rPr>
          <w:spacing w:val="-4"/>
        </w:rPr>
        <w:t xml:space="preserve"> </w:t>
      </w:r>
      <w:r>
        <w:t>heritage</w:t>
      </w:r>
      <w:r>
        <w:rPr>
          <w:spacing w:val="-4"/>
        </w:rPr>
        <w:t xml:space="preserve"> </w:t>
      </w:r>
      <w:r>
        <w:t>assets,</w:t>
      </w:r>
      <w:r>
        <w:rPr>
          <w:spacing w:val="-5"/>
        </w:rPr>
        <w:t xml:space="preserve"> </w:t>
      </w:r>
      <w:r>
        <w:t>the</w:t>
      </w:r>
      <w:r>
        <w:rPr>
          <w:spacing w:val="-4"/>
        </w:rPr>
        <w:t xml:space="preserve"> </w:t>
      </w:r>
      <w:r>
        <w:t>auditor</w:t>
      </w:r>
      <w:r>
        <w:rPr>
          <w:spacing w:val="-4"/>
        </w:rPr>
        <w:t xml:space="preserve"> </w:t>
      </w:r>
      <w:r>
        <w:t>generally should do the following:</w:t>
      </w:r>
    </w:p>
    <w:p w14:paraId="0DFDC642" w14:textId="77777777" w:rsidR="00046465" w:rsidRDefault="008134EB">
      <w:pPr>
        <w:pStyle w:val="ListParagraph"/>
        <w:numPr>
          <w:ilvl w:val="1"/>
          <w:numId w:val="78"/>
        </w:numPr>
        <w:tabs>
          <w:tab w:val="left" w:pos="2160"/>
        </w:tabs>
        <w:ind w:right="990"/>
      </w:pPr>
      <w:r>
        <w:t>Obtain a summary analysis of changes in heritage assets (i.e., beginning balance,</w:t>
      </w:r>
      <w:r>
        <w:rPr>
          <w:spacing w:val="-4"/>
        </w:rPr>
        <w:t xml:space="preserve"> </w:t>
      </w:r>
      <w:r>
        <w:t>additions,</w:t>
      </w:r>
      <w:r>
        <w:rPr>
          <w:spacing w:val="-4"/>
        </w:rPr>
        <w:t xml:space="preserve"> </w:t>
      </w:r>
      <w:r>
        <w:t>deletions,</w:t>
      </w:r>
      <w:r>
        <w:rPr>
          <w:spacing w:val="-4"/>
        </w:rPr>
        <w:t xml:space="preserve"> </w:t>
      </w:r>
      <w:r>
        <w:t>and</w:t>
      </w:r>
      <w:r>
        <w:rPr>
          <w:spacing w:val="-4"/>
        </w:rPr>
        <w:t xml:space="preserve"> </w:t>
      </w:r>
      <w:r>
        <w:t>ending</w:t>
      </w:r>
      <w:r>
        <w:rPr>
          <w:spacing w:val="-4"/>
        </w:rPr>
        <w:t xml:space="preserve"> </w:t>
      </w:r>
      <w:r>
        <w:t>balance)</w:t>
      </w:r>
      <w:r>
        <w:rPr>
          <w:spacing w:val="-4"/>
        </w:rPr>
        <w:t xml:space="preserve"> </w:t>
      </w:r>
      <w:r>
        <w:t>in</w:t>
      </w:r>
      <w:r>
        <w:rPr>
          <w:spacing w:val="-4"/>
        </w:rPr>
        <w:t xml:space="preserve"> </w:t>
      </w:r>
      <w:r>
        <w:t>the</w:t>
      </w:r>
      <w:r>
        <w:rPr>
          <w:spacing w:val="-4"/>
        </w:rPr>
        <w:t xml:space="preserve"> </w:t>
      </w:r>
      <w:r>
        <w:t>current</w:t>
      </w:r>
      <w:r>
        <w:rPr>
          <w:spacing w:val="-4"/>
        </w:rPr>
        <w:t xml:space="preserve"> </w:t>
      </w:r>
      <w:r>
        <w:t>fiscal</w:t>
      </w:r>
      <w:r>
        <w:rPr>
          <w:spacing w:val="-5"/>
        </w:rPr>
        <w:t xml:space="preserve"> </w:t>
      </w:r>
      <w:r>
        <w:t>year and reconcile these to supporting schedules.</w:t>
      </w:r>
    </w:p>
    <w:p w14:paraId="0DFDC643" w14:textId="77777777" w:rsidR="00046465" w:rsidRDefault="008134EB">
      <w:pPr>
        <w:pStyle w:val="ListParagraph"/>
        <w:numPr>
          <w:ilvl w:val="1"/>
          <w:numId w:val="78"/>
        </w:numPr>
        <w:tabs>
          <w:tab w:val="left" w:pos="2159"/>
        </w:tabs>
        <w:ind w:left="2159" w:right="720"/>
      </w:pPr>
      <w:r>
        <w:t>Test</w:t>
      </w:r>
      <w:r>
        <w:rPr>
          <w:spacing w:val="-3"/>
        </w:rPr>
        <w:t xml:space="preserve"> </w:t>
      </w:r>
      <w:r>
        <w:t>a</w:t>
      </w:r>
      <w:r>
        <w:rPr>
          <w:spacing w:val="-3"/>
        </w:rPr>
        <w:t xml:space="preserve"> </w:t>
      </w:r>
      <w:r>
        <w:t>selection</w:t>
      </w:r>
      <w:r>
        <w:rPr>
          <w:spacing w:val="-3"/>
        </w:rPr>
        <w:t xml:space="preserve"> </w:t>
      </w:r>
      <w:r>
        <w:t>of</w:t>
      </w:r>
      <w:r>
        <w:rPr>
          <w:spacing w:val="-3"/>
        </w:rPr>
        <w:t xml:space="preserve"> </w:t>
      </w:r>
      <w:r>
        <w:t>additions</w:t>
      </w:r>
      <w:r>
        <w:rPr>
          <w:spacing w:val="-3"/>
        </w:rPr>
        <w:t xml:space="preserve"> </w:t>
      </w:r>
      <w:r>
        <w:t>during</w:t>
      </w:r>
      <w:r>
        <w:rPr>
          <w:spacing w:val="-3"/>
        </w:rPr>
        <w:t xml:space="preserve"> </w:t>
      </w:r>
      <w:r>
        <w:t>the</w:t>
      </w:r>
      <w:r>
        <w:rPr>
          <w:spacing w:val="-3"/>
        </w:rPr>
        <w:t xml:space="preserve"> </w:t>
      </w:r>
      <w:r>
        <w:t>year</w:t>
      </w:r>
      <w:r>
        <w:rPr>
          <w:spacing w:val="-3"/>
        </w:rPr>
        <w:t xml:space="preserve"> </w:t>
      </w:r>
      <w:r>
        <w:t>by</w:t>
      </w:r>
      <w:r>
        <w:rPr>
          <w:spacing w:val="-3"/>
        </w:rPr>
        <w:t xml:space="preserve"> </w:t>
      </w:r>
      <w:r>
        <w:t>comparing</w:t>
      </w:r>
      <w:r>
        <w:rPr>
          <w:spacing w:val="-3"/>
        </w:rPr>
        <w:t xml:space="preserve"> </w:t>
      </w:r>
      <w:r>
        <w:t>the</w:t>
      </w:r>
      <w:r>
        <w:rPr>
          <w:spacing w:val="-3"/>
        </w:rPr>
        <w:t xml:space="preserve"> </w:t>
      </w:r>
      <w:r>
        <w:t>additions</w:t>
      </w:r>
      <w:r>
        <w:rPr>
          <w:spacing w:val="-3"/>
        </w:rPr>
        <w:t xml:space="preserve"> </w:t>
      </w:r>
      <w:r>
        <w:t>to</w:t>
      </w:r>
      <w:r>
        <w:rPr>
          <w:spacing w:val="-3"/>
        </w:rPr>
        <w:t xml:space="preserve"> </w:t>
      </w:r>
      <w:r>
        <w:t>the original documentation, such as contracts, deeds, work orders, and invoices.</w:t>
      </w:r>
    </w:p>
    <w:p w14:paraId="0DFDC644" w14:textId="77777777" w:rsidR="00046465" w:rsidRDefault="008134EB">
      <w:pPr>
        <w:pStyle w:val="ListParagraph"/>
        <w:numPr>
          <w:ilvl w:val="1"/>
          <w:numId w:val="78"/>
        </w:numPr>
        <w:tabs>
          <w:tab w:val="left" w:pos="2159"/>
        </w:tabs>
        <w:ind w:left="2159" w:right="878"/>
      </w:pPr>
      <w:r>
        <w:t>Make physical inspections of a selection of acquisitions. The auditor coordinates</w:t>
      </w:r>
      <w:r>
        <w:rPr>
          <w:spacing w:val="-6"/>
        </w:rPr>
        <w:t xml:space="preserve"> </w:t>
      </w:r>
      <w:r>
        <w:t>physical</w:t>
      </w:r>
      <w:r>
        <w:rPr>
          <w:spacing w:val="-5"/>
        </w:rPr>
        <w:t xml:space="preserve"> </w:t>
      </w:r>
      <w:r>
        <w:t>inspections</w:t>
      </w:r>
      <w:r>
        <w:rPr>
          <w:spacing w:val="-5"/>
        </w:rPr>
        <w:t xml:space="preserve"> </w:t>
      </w:r>
      <w:r>
        <w:t>with</w:t>
      </w:r>
      <w:r>
        <w:rPr>
          <w:spacing w:val="-5"/>
        </w:rPr>
        <w:t xml:space="preserve"> </w:t>
      </w:r>
      <w:r>
        <w:t>the</w:t>
      </w:r>
      <w:r>
        <w:rPr>
          <w:spacing w:val="-5"/>
        </w:rPr>
        <w:t xml:space="preserve"> </w:t>
      </w:r>
      <w:r>
        <w:t>appropriate</w:t>
      </w:r>
      <w:r>
        <w:rPr>
          <w:spacing w:val="-5"/>
        </w:rPr>
        <w:t xml:space="preserve"> </w:t>
      </w:r>
      <w:r>
        <w:t>entity</w:t>
      </w:r>
      <w:r>
        <w:rPr>
          <w:spacing w:val="-6"/>
        </w:rPr>
        <w:t xml:space="preserve"> </w:t>
      </w:r>
      <w:r>
        <w:t>staff,</w:t>
      </w:r>
      <w:r>
        <w:rPr>
          <w:spacing w:val="-5"/>
        </w:rPr>
        <w:t xml:space="preserve"> </w:t>
      </w:r>
      <w:r>
        <w:t>particularly when visiting nonfederal repositories that hold federal museum collections. This will ensure that visits are efficient and productive and that relationships between repositories and the entity are maintained.</w:t>
      </w:r>
    </w:p>
    <w:p w14:paraId="0DFDC645" w14:textId="77777777" w:rsidR="00046465" w:rsidRDefault="008134EB">
      <w:pPr>
        <w:pStyle w:val="ListParagraph"/>
        <w:numPr>
          <w:ilvl w:val="1"/>
          <w:numId w:val="78"/>
        </w:numPr>
        <w:tabs>
          <w:tab w:val="left" w:pos="2159"/>
        </w:tabs>
        <w:ind w:left="2159" w:hanging="359"/>
      </w:pPr>
      <w:r>
        <w:t>Examine</w:t>
      </w:r>
      <w:r>
        <w:rPr>
          <w:spacing w:val="-7"/>
        </w:rPr>
        <w:t xml:space="preserve"> </w:t>
      </w:r>
      <w:r>
        <w:t>supporting</w:t>
      </w:r>
      <w:r>
        <w:rPr>
          <w:spacing w:val="-7"/>
        </w:rPr>
        <w:t xml:space="preserve"> </w:t>
      </w:r>
      <w:r>
        <w:t>documents</w:t>
      </w:r>
      <w:r>
        <w:rPr>
          <w:spacing w:val="-7"/>
        </w:rPr>
        <w:t xml:space="preserve"> </w:t>
      </w:r>
      <w:r>
        <w:t>for</w:t>
      </w:r>
      <w:r>
        <w:rPr>
          <w:spacing w:val="-7"/>
        </w:rPr>
        <w:t xml:space="preserve"> </w:t>
      </w:r>
      <w:r>
        <w:t>a</w:t>
      </w:r>
      <w:r>
        <w:rPr>
          <w:spacing w:val="-7"/>
        </w:rPr>
        <w:t xml:space="preserve"> </w:t>
      </w:r>
      <w:r>
        <w:t>selection</w:t>
      </w:r>
      <w:r>
        <w:rPr>
          <w:spacing w:val="-7"/>
        </w:rPr>
        <w:t xml:space="preserve"> </w:t>
      </w:r>
      <w:r>
        <w:t>of</w:t>
      </w:r>
      <w:r>
        <w:rPr>
          <w:spacing w:val="-7"/>
        </w:rPr>
        <w:t xml:space="preserve"> </w:t>
      </w:r>
      <w:r>
        <w:rPr>
          <w:spacing w:val="-2"/>
        </w:rPr>
        <w:t>withdrawals.</w:t>
      </w:r>
    </w:p>
    <w:p w14:paraId="0DFDC646" w14:textId="77777777" w:rsidR="00046465" w:rsidRDefault="008134EB">
      <w:pPr>
        <w:pStyle w:val="ListParagraph"/>
        <w:numPr>
          <w:ilvl w:val="1"/>
          <w:numId w:val="78"/>
        </w:numPr>
        <w:tabs>
          <w:tab w:val="left" w:pos="2159"/>
        </w:tabs>
        <w:ind w:left="2159" w:hanging="359"/>
      </w:pPr>
      <w:r>
        <w:t>For</w:t>
      </w:r>
      <w:r>
        <w:rPr>
          <w:spacing w:val="-9"/>
        </w:rPr>
        <w:t xml:space="preserve"> </w:t>
      </w:r>
      <w:r>
        <w:t>high-value</w:t>
      </w:r>
      <w:r>
        <w:rPr>
          <w:spacing w:val="-9"/>
        </w:rPr>
        <w:t xml:space="preserve"> </w:t>
      </w:r>
      <w:r>
        <w:t>items,</w:t>
      </w:r>
      <w:r>
        <w:rPr>
          <w:spacing w:val="-9"/>
        </w:rPr>
        <w:t xml:space="preserve"> </w:t>
      </w:r>
      <w:r>
        <w:t>consider</w:t>
      </w:r>
      <w:r>
        <w:rPr>
          <w:spacing w:val="-8"/>
        </w:rPr>
        <w:t xml:space="preserve"> </w:t>
      </w:r>
      <w:r>
        <w:t>performing</w:t>
      </w:r>
      <w:r>
        <w:rPr>
          <w:spacing w:val="-9"/>
        </w:rPr>
        <w:t xml:space="preserve"> </w:t>
      </w:r>
      <w:r>
        <w:t>periodic</w:t>
      </w:r>
      <w:r>
        <w:rPr>
          <w:spacing w:val="-9"/>
        </w:rPr>
        <w:t xml:space="preserve"> </w:t>
      </w:r>
      <w:r>
        <w:t>inventory</w:t>
      </w:r>
      <w:r>
        <w:rPr>
          <w:spacing w:val="-9"/>
        </w:rPr>
        <w:t xml:space="preserve"> </w:t>
      </w:r>
      <w:r>
        <w:rPr>
          <w:spacing w:val="-2"/>
        </w:rPr>
        <w:t>verifications.</w:t>
      </w:r>
    </w:p>
    <w:p w14:paraId="0DFDC647" w14:textId="77777777" w:rsidR="00046465" w:rsidRDefault="008134EB">
      <w:pPr>
        <w:pStyle w:val="ListParagraph"/>
        <w:numPr>
          <w:ilvl w:val="0"/>
          <w:numId w:val="78"/>
        </w:numPr>
        <w:tabs>
          <w:tab w:val="left" w:pos="1800"/>
        </w:tabs>
        <w:spacing w:before="119"/>
        <w:ind w:right="1168"/>
      </w:pPr>
      <w:r>
        <w:rPr>
          <w:b/>
        </w:rPr>
        <w:t>Completeness.</w:t>
      </w:r>
      <w:r>
        <w:rPr>
          <w:b/>
          <w:spacing w:val="-5"/>
        </w:rPr>
        <w:t xml:space="preserve"> </w:t>
      </w:r>
      <w:r>
        <w:t>The</w:t>
      </w:r>
      <w:r>
        <w:rPr>
          <w:spacing w:val="-5"/>
        </w:rPr>
        <w:t xml:space="preserve"> </w:t>
      </w:r>
      <w:r>
        <w:t>auditor</w:t>
      </w:r>
      <w:r>
        <w:rPr>
          <w:spacing w:val="-5"/>
        </w:rPr>
        <w:t xml:space="preserve"> </w:t>
      </w:r>
      <w:r>
        <w:t>generally</w:t>
      </w:r>
      <w:r>
        <w:rPr>
          <w:spacing w:val="-5"/>
        </w:rPr>
        <w:t xml:space="preserve"> </w:t>
      </w:r>
      <w:r>
        <w:t>should</w:t>
      </w:r>
      <w:r>
        <w:rPr>
          <w:spacing w:val="-6"/>
        </w:rPr>
        <w:t xml:space="preserve"> </w:t>
      </w:r>
      <w:r>
        <w:t>determine</w:t>
      </w:r>
      <w:r>
        <w:rPr>
          <w:spacing w:val="-5"/>
        </w:rPr>
        <w:t xml:space="preserve"> </w:t>
      </w:r>
      <w:r>
        <w:t>the</w:t>
      </w:r>
      <w:r>
        <w:rPr>
          <w:spacing w:val="-5"/>
        </w:rPr>
        <w:t xml:space="preserve"> </w:t>
      </w:r>
      <w:r>
        <w:t>completeness</w:t>
      </w:r>
      <w:r>
        <w:rPr>
          <w:spacing w:val="-5"/>
        </w:rPr>
        <w:t xml:space="preserve"> </w:t>
      </w:r>
      <w:r>
        <w:t>of recorded heritage assets by tracing transactions recorded in supporting schedules to the asset accountability system. The auditor may also perform additional procedures, such as inquiries and field inspections.</w:t>
      </w:r>
    </w:p>
    <w:p w14:paraId="0DFDC648" w14:textId="77777777" w:rsidR="00046465" w:rsidRDefault="008134EB">
      <w:pPr>
        <w:pStyle w:val="ListParagraph"/>
        <w:numPr>
          <w:ilvl w:val="0"/>
          <w:numId w:val="78"/>
        </w:numPr>
        <w:tabs>
          <w:tab w:val="left" w:pos="1800"/>
        </w:tabs>
        <w:spacing w:before="121"/>
        <w:ind w:right="1338"/>
      </w:pPr>
      <w:r>
        <w:rPr>
          <w:b/>
        </w:rPr>
        <w:t>Accuracy.</w:t>
      </w:r>
      <w:r>
        <w:rPr>
          <w:b/>
          <w:spacing w:val="-4"/>
        </w:rPr>
        <w:t xml:space="preserve"> </w:t>
      </w:r>
      <w:r>
        <w:t>To</w:t>
      </w:r>
      <w:r>
        <w:rPr>
          <w:spacing w:val="-4"/>
        </w:rPr>
        <w:t xml:space="preserve"> </w:t>
      </w:r>
      <w:r>
        <w:t>determine</w:t>
      </w:r>
      <w:r>
        <w:rPr>
          <w:spacing w:val="-4"/>
        </w:rPr>
        <w:t xml:space="preserve"> </w:t>
      </w:r>
      <w:r>
        <w:t>the</w:t>
      </w:r>
      <w:r>
        <w:rPr>
          <w:spacing w:val="-4"/>
        </w:rPr>
        <w:t xml:space="preserve"> </w:t>
      </w:r>
      <w:r>
        <w:t>accuracy</w:t>
      </w:r>
      <w:r>
        <w:rPr>
          <w:spacing w:val="-4"/>
        </w:rPr>
        <w:t xml:space="preserve"> </w:t>
      </w:r>
      <w:r>
        <w:t>of</w:t>
      </w:r>
      <w:r>
        <w:rPr>
          <w:spacing w:val="-4"/>
        </w:rPr>
        <w:t xml:space="preserve"> </w:t>
      </w:r>
      <w:r>
        <w:t>unit</w:t>
      </w:r>
      <w:r>
        <w:rPr>
          <w:spacing w:val="-5"/>
        </w:rPr>
        <w:t xml:space="preserve"> </w:t>
      </w:r>
      <w:r>
        <w:t>schedules</w:t>
      </w:r>
      <w:r>
        <w:rPr>
          <w:spacing w:val="-4"/>
        </w:rPr>
        <w:t xml:space="preserve"> </w:t>
      </w:r>
      <w:r>
        <w:t>for</w:t>
      </w:r>
      <w:r>
        <w:rPr>
          <w:spacing w:val="-6"/>
        </w:rPr>
        <w:t xml:space="preserve"> </w:t>
      </w:r>
      <w:r>
        <w:t>heritage</w:t>
      </w:r>
      <w:r>
        <w:rPr>
          <w:spacing w:val="-4"/>
        </w:rPr>
        <w:t xml:space="preserve"> </w:t>
      </w:r>
      <w:r>
        <w:t>assets additions and deletions, the auditor generally should do the following:</w:t>
      </w:r>
    </w:p>
    <w:p w14:paraId="0DFDC649" w14:textId="77777777" w:rsidR="00046465" w:rsidRDefault="008134EB">
      <w:pPr>
        <w:pStyle w:val="ListParagraph"/>
        <w:numPr>
          <w:ilvl w:val="1"/>
          <w:numId w:val="78"/>
        </w:numPr>
        <w:tabs>
          <w:tab w:val="left" w:pos="2159"/>
        </w:tabs>
        <w:spacing w:before="119"/>
        <w:ind w:left="2159" w:right="1088"/>
      </w:pPr>
      <w:r>
        <w:t>Agree</w:t>
      </w:r>
      <w:r>
        <w:rPr>
          <w:spacing w:val="-4"/>
        </w:rPr>
        <w:t xml:space="preserve"> </w:t>
      </w:r>
      <w:r>
        <w:t>subsidiary</w:t>
      </w:r>
      <w:r>
        <w:rPr>
          <w:spacing w:val="-4"/>
        </w:rPr>
        <w:t xml:space="preserve"> </w:t>
      </w:r>
      <w:r>
        <w:t>ledger</w:t>
      </w:r>
      <w:r>
        <w:rPr>
          <w:spacing w:val="-6"/>
        </w:rPr>
        <w:t xml:space="preserve"> </w:t>
      </w:r>
      <w:r>
        <w:t>for</w:t>
      </w:r>
      <w:r>
        <w:rPr>
          <w:spacing w:val="-4"/>
        </w:rPr>
        <w:t xml:space="preserve"> </w:t>
      </w:r>
      <w:r>
        <w:t>additions</w:t>
      </w:r>
      <w:r>
        <w:rPr>
          <w:spacing w:val="-5"/>
        </w:rPr>
        <w:t xml:space="preserve"> </w:t>
      </w:r>
      <w:r>
        <w:t>and</w:t>
      </w:r>
      <w:r>
        <w:rPr>
          <w:spacing w:val="-4"/>
        </w:rPr>
        <w:t xml:space="preserve"> </w:t>
      </w:r>
      <w:r>
        <w:t>deletions</w:t>
      </w:r>
      <w:r>
        <w:rPr>
          <w:spacing w:val="-4"/>
        </w:rPr>
        <w:t xml:space="preserve"> </w:t>
      </w:r>
      <w:r>
        <w:t>to</w:t>
      </w:r>
      <w:r>
        <w:rPr>
          <w:spacing w:val="-4"/>
        </w:rPr>
        <w:t xml:space="preserve"> </w:t>
      </w:r>
      <w:r>
        <w:t>controlling</w:t>
      </w:r>
      <w:r>
        <w:rPr>
          <w:spacing w:val="-4"/>
        </w:rPr>
        <w:t xml:space="preserve"> </w:t>
      </w:r>
      <w:r>
        <w:t>accounts and examine detailed supporting documentation.</w:t>
      </w:r>
    </w:p>
    <w:p w14:paraId="0DFDC64A" w14:textId="77777777" w:rsidR="00046465" w:rsidRDefault="00046465">
      <w:pPr>
        <w:pStyle w:val="ListParagraph"/>
        <w:sectPr w:rsidR="00046465">
          <w:pgSz w:w="12240" w:h="15840"/>
          <w:pgMar w:top="1340" w:right="720" w:bottom="1020" w:left="1080" w:header="721" w:footer="757" w:gutter="0"/>
          <w:cols w:space="720"/>
        </w:sectPr>
      </w:pPr>
    </w:p>
    <w:p w14:paraId="0DFDC64B" w14:textId="77777777" w:rsidR="00046465" w:rsidRDefault="008134EB">
      <w:pPr>
        <w:pStyle w:val="ListParagraph"/>
        <w:numPr>
          <w:ilvl w:val="1"/>
          <w:numId w:val="78"/>
        </w:numPr>
        <w:tabs>
          <w:tab w:val="left" w:pos="2159"/>
        </w:tabs>
        <w:spacing w:before="121"/>
        <w:ind w:left="2159" w:right="1014"/>
      </w:pPr>
      <w:r>
        <w:lastRenderedPageBreak/>
        <w:t>Determine</w:t>
      </w:r>
      <w:r>
        <w:rPr>
          <w:spacing w:val="-5"/>
        </w:rPr>
        <w:t xml:space="preserve"> </w:t>
      </w:r>
      <w:r>
        <w:t>the</w:t>
      </w:r>
      <w:r>
        <w:rPr>
          <w:spacing w:val="-5"/>
        </w:rPr>
        <w:t xml:space="preserve"> </w:t>
      </w:r>
      <w:r>
        <w:t>propriety</w:t>
      </w:r>
      <w:r>
        <w:rPr>
          <w:spacing w:val="-5"/>
        </w:rPr>
        <w:t xml:space="preserve"> </w:t>
      </w:r>
      <w:r>
        <w:t>and</w:t>
      </w:r>
      <w:r>
        <w:rPr>
          <w:spacing w:val="-5"/>
        </w:rPr>
        <w:t xml:space="preserve"> </w:t>
      </w:r>
      <w:r>
        <w:t>accuracy</w:t>
      </w:r>
      <w:r>
        <w:rPr>
          <w:spacing w:val="-5"/>
        </w:rPr>
        <w:t xml:space="preserve"> </w:t>
      </w:r>
      <w:r>
        <w:t>of</w:t>
      </w:r>
      <w:r>
        <w:rPr>
          <w:spacing w:val="-5"/>
        </w:rPr>
        <w:t xml:space="preserve"> </w:t>
      </w:r>
      <w:r>
        <w:t>recorded</w:t>
      </w:r>
      <w:r>
        <w:rPr>
          <w:spacing w:val="-5"/>
        </w:rPr>
        <w:t xml:space="preserve"> </w:t>
      </w:r>
      <w:r>
        <w:t>transfers</w:t>
      </w:r>
      <w:r>
        <w:rPr>
          <w:spacing w:val="-5"/>
        </w:rPr>
        <w:t xml:space="preserve"> </w:t>
      </w:r>
      <w:r>
        <w:t>and</w:t>
      </w:r>
      <w:r>
        <w:rPr>
          <w:spacing w:val="-5"/>
        </w:rPr>
        <w:t xml:space="preserve"> </w:t>
      </w:r>
      <w:r>
        <w:t xml:space="preserve">donations, examine subsidiary ledgers, and agree them to detailed supporting </w:t>
      </w:r>
      <w:r>
        <w:rPr>
          <w:spacing w:val="-2"/>
        </w:rPr>
        <w:t>documentation.</w:t>
      </w:r>
    </w:p>
    <w:p w14:paraId="0DFDC64C" w14:textId="77777777" w:rsidR="00046465" w:rsidRDefault="008134EB">
      <w:pPr>
        <w:pStyle w:val="ListParagraph"/>
        <w:numPr>
          <w:ilvl w:val="1"/>
          <w:numId w:val="78"/>
        </w:numPr>
        <w:tabs>
          <w:tab w:val="left" w:pos="2159"/>
        </w:tabs>
        <w:spacing w:before="119"/>
        <w:ind w:left="2159" w:right="795"/>
      </w:pPr>
      <w:r>
        <w:t>Recalculate</w:t>
      </w:r>
      <w:r>
        <w:rPr>
          <w:spacing w:val="-6"/>
        </w:rPr>
        <w:t xml:space="preserve"> </w:t>
      </w:r>
      <w:r>
        <w:t>footings</w:t>
      </w:r>
      <w:r>
        <w:rPr>
          <w:spacing w:val="-5"/>
        </w:rPr>
        <w:t xml:space="preserve"> </w:t>
      </w:r>
      <w:r>
        <w:t>and</w:t>
      </w:r>
      <w:r>
        <w:rPr>
          <w:spacing w:val="-6"/>
        </w:rPr>
        <w:t xml:space="preserve"> </w:t>
      </w:r>
      <w:r>
        <w:t>extensions</w:t>
      </w:r>
      <w:r>
        <w:rPr>
          <w:spacing w:val="-5"/>
        </w:rPr>
        <w:t xml:space="preserve"> </w:t>
      </w:r>
      <w:r>
        <w:t>in</w:t>
      </w:r>
      <w:r>
        <w:rPr>
          <w:spacing w:val="-5"/>
        </w:rPr>
        <w:t xml:space="preserve"> </w:t>
      </w:r>
      <w:r>
        <w:t>detailed</w:t>
      </w:r>
      <w:r>
        <w:rPr>
          <w:spacing w:val="-5"/>
        </w:rPr>
        <w:t xml:space="preserve"> </w:t>
      </w:r>
      <w:r>
        <w:t>documentation</w:t>
      </w:r>
      <w:r>
        <w:rPr>
          <w:spacing w:val="-5"/>
        </w:rPr>
        <w:t xml:space="preserve"> </w:t>
      </w:r>
      <w:r>
        <w:t>and</w:t>
      </w:r>
      <w:r>
        <w:rPr>
          <w:spacing w:val="-5"/>
        </w:rPr>
        <w:t xml:space="preserve"> </w:t>
      </w:r>
      <w:r>
        <w:t xml:space="preserve">summary </w:t>
      </w:r>
      <w:r>
        <w:rPr>
          <w:spacing w:val="-2"/>
        </w:rPr>
        <w:t>analysis.</w:t>
      </w:r>
    </w:p>
    <w:p w14:paraId="0DFDC64D" w14:textId="77777777" w:rsidR="00046465" w:rsidRDefault="008134EB">
      <w:pPr>
        <w:pStyle w:val="ListParagraph"/>
        <w:numPr>
          <w:ilvl w:val="0"/>
          <w:numId w:val="78"/>
        </w:numPr>
        <w:tabs>
          <w:tab w:val="left" w:pos="1799"/>
        </w:tabs>
        <w:spacing w:before="121"/>
        <w:ind w:left="1799" w:right="898"/>
      </w:pPr>
      <w:r>
        <w:rPr>
          <w:b/>
        </w:rPr>
        <w:t xml:space="preserve">Rights and obligations. </w:t>
      </w:r>
      <w:r>
        <w:t>To determine the entity’s ownership rights to record property as heritage assets, for items selected for additions testing, the auditor generally should examine documentation to determine legal ownership, as appropriate. The supporting documentation used may vary. See discussion of supporting</w:t>
      </w:r>
      <w:r>
        <w:rPr>
          <w:spacing w:val="-4"/>
        </w:rPr>
        <w:t xml:space="preserve"> </w:t>
      </w:r>
      <w:r>
        <w:t>documentation</w:t>
      </w:r>
      <w:r>
        <w:rPr>
          <w:spacing w:val="-4"/>
        </w:rPr>
        <w:t xml:space="preserve"> </w:t>
      </w:r>
      <w:r>
        <w:t>in</w:t>
      </w:r>
      <w:r>
        <w:rPr>
          <w:spacing w:val="-4"/>
        </w:rPr>
        <w:t xml:space="preserve"> </w:t>
      </w:r>
      <w:r>
        <w:t>the</w:t>
      </w:r>
      <w:r>
        <w:rPr>
          <w:spacing w:val="-4"/>
        </w:rPr>
        <w:t xml:space="preserve"> </w:t>
      </w:r>
      <w:r>
        <w:t>basis</w:t>
      </w:r>
      <w:r>
        <w:rPr>
          <w:spacing w:val="-4"/>
        </w:rPr>
        <w:t xml:space="preserve"> </w:t>
      </w:r>
      <w:r>
        <w:t>for</w:t>
      </w:r>
      <w:r>
        <w:rPr>
          <w:spacing w:val="-4"/>
        </w:rPr>
        <w:t xml:space="preserve"> </w:t>
      </w:r>
      <w:r>
        <w:t>conclusions</w:t>
      </w:r>
      <w:r>
        <w:rPr>
          <w:spacing w:val="-4"/>
        </w:rPr>
        <w:t xml:space="preserve"> </w:t>
      </w:r>
      <w:r>
        <w:t>section</w:t>
      </w:r>
      <w:r>
        <w:rPr>
          <w:spacing w:val="-4"/>
        </w:rPr>
        <w:t xml:space="preserve"> </w:t>
      </w:r>
      <w:r>
        <w:t>of</w:t>
      </w:r>
      <w:r>
        <w:rPr>
          <w:spacing w:val="-4"/>
        </w:rPr>
        <w:t xml:space="preserve"> </w:t>
      </w:r>
      <w:r>
        <w:t>SFFAS</w:t>
      </w:r>
      <w:r>
        <w:rPr>
          <w:spacing w:val="-4"/>
        </w:rPr>
        <w:t xml:space="preserve"> </w:t>
      </w:r>
      <w:r>
        <w:t>29</w:t>
      </w:r>
      <w:r>
        <w:rPr>
          <w:spacing w:val="-4"/>
        </w:rPr>
        <w:t xml:space="preserve"> </w:t>
      </w:r>
      <w:r>
        <w:t>and guidance in TR 9.</w:t>
      </w:r>
    </w:p>
    <w:p w14:paraId="0DFDC64E" w14:textId="77777777" w:rsidR="00046465" w:rsidRDefault="008134EB">
      <w:pPr>
        <w:pStyle w:val="ListParagraph"/>
        <w:numPr>
          <w:ilvl w:val="0"/>
          <w:numId w:val="78"/>
        </w:numPr>
        <w:tabs>
          <w:tab w:val="left" w:pos="1797"/>
          <w:tab w:val="left" w:pos="1799"/>
        </w:tabs>
        <w:ind w:left="1799" w:right="959"/>
        <w:jc w:val="both"/>
      </w:pPr>
      <w:r>
        <w:rPr>
          <w:b/>
        </w:rPr>
        <w:t>Classification.</w:t>
      </w:r>
      <w:r>
        <w:rPr>
          <w:b/>
          <w:spacing w:val="-5"/>
        </w:rPr>
        <w:t xml:space="preserve"> </w:t>
      </w:r>
      <w:r>
        <w:t>To</w:t>
      </w:r>
      <w:r>
        <w:rPr>
          <w:spacing w:val="-5"/>
        </w:rPr>
        <w:t xml:space="preserve"> </w:t>
      </w:r>
      <w:r>
        <w:t>determine</w:t>
      </w:r>
      <w:r>
        <w:rPr>
          <w:spacing w:val="-5"/>
        </w:rPr>
        <w:t xml:space="preserve"> </w:t>
      </w:r>
      <w:r>
        <w:t>adequacy</w:t>
      </w:r>
      <w:r>
        <w:rPr>
          <w:spacing w:val="-5"/>
        </w:rPr>
        <w:t xml:space="preserve"> </w:t>
      </w:r>
      <w:r>
        <w:t>of</w:t>
      </w:r>
      <w:r>
        <w:rPr>
          <w:spacing w:val="-5"/>
        </w:rPr>
        <w:t xml:space="preserve"> </w:t>
      </w:r>
      <w:r>
        <w:t>the</w:t>
      </w:r>
      <w:r>
        <w:rPr>
          <w:spacing w:val="-6"/>
        </w:rPr>
        <w:t xml:space="preserve"> </w:t>
      </w:r>
      <w:r>
        <w:t>categorization,</w:t>
      </w:r>
      <w:r>
        <w:rPr>
          <w:spacing w:val="-5"/>
        </w:rPr>
        <w:t xml:space="preserve"> </w:t>
      </w:r>
      <w:r>
        <w:t>aggregation,</w:t>
      </w:r>
      <w:r>
        <w:rPr>
          <w:spacing w:val="-5"/>
        </w:rPr>
        <w:t xml:space="preserve"> </w:t>
      </w:r>
      <w:r>
        <w:t>and unitization of physical units for heritage assets, the auditor generally should do the following:</w:t>
      </w:r>
    </w:p>
    <w:p w14:paraId="0DFDC64F" w14:textId="77777777" w:rsidR="00046465" w:rsidRDefault="008134EB">
      <w:pPr>
        <w:pStyle w:val="ListParagraph"/>
        <w:numPr>
          <w:ilvl w:val="1"/>
          <w:numId w:val="78"/>
        </w:numPr>
        <w:tabs>
          <w:tab w:val="left" w:pos="2159"/>
        </w:tabs>
        <w:spacing w:before="119"/>
        <w:ind w:left="2159" w:right="759"/>
      </w:pPr>
      <w:r>
        <w:t>Examine</w:t>
      </w:r>
      <w:r>
        <w:rPr>
          <w:spacing w:val="-5"/>
        </w:rPr>
        <w:t xml:space="preserve"> </w:t>
      </w:r>
      <w:r>
        <w:t>entity</w:t>
      </w:r>
      <w:r>
        <w:rPr>
          <w:spacing w:val="-5"/>
        </w:rPr>
        <w:t xml:space="preserve"> </w:t>
      </w:r>
      <w:r>
        <w:t>documentation</w:t>
      </w:r>
      <w:r>
        <w:rPr>
          <w:spacing w:val="-5"/>
        </w:rPr>
        <w:t xml:space="preserve"> </w:t>
      </w:r>
      <w:r>
        <w:t>and</w:t>
      </w:r>
      <w:r>
        <w:rPr>
          <w:spacing w:val="-5"/>
        </w:rPr>
        <w:t xml:space="preserve"> </w:t>
      </w:r>
      <w:r>
        <w:t>methodology</w:t>
      </w:r>
      <w:r>
        <w:rPr>
          <w:spacing w:val="-5"/>
        </w:rPr>
        <w:t xml:space="preserve"> </w:t>
      </w:r>
      <w:r>
        <w:t>to</w:t>
      </w:r>
      <w:r>
        <w:rPr>
          <w:spacing w:val="-5"/>
        </w:rPr>
        <w:t xml:space="preserve"> </w:t>
      </w:r>
      <w:r>
        <w:t>determine</w:t>
      </w:r>
      <w:r>
        <w:rPr>
          <w:spacing w:val="-5"/>
        </w:rPr>
        <w:t xml:space="preserve"> </w:t>
      </w:r>
      <w:r>
        <w:t>whether</w:t>
      </w:r>
      <w:r>
        <w:rPr>
          <w:spacing w:val="-5"/>
        </w:rPr>
        <w:t xml:space="preserve"> </w:t>
      </w:r>
      <w:r>
        <w:t>(1)</w:t>
      </w:r>
      <w:r>
        <w:rPr>
          <w:spacing w:val="-5"/>
        </w:rPr>
        <w:t xml:space="preserve"> </w:t>
      </w:r>
      <w:r>
        <w:t xml:space="preserve">the categories of heritage assets are reasonable and (2) for each category, the physical units of measure used and the aggregation of the physical units are appropriate, based on the entity’s mission, how the entity views the asset for management purposes, types of heritage assets, and materiality </w:t>
      </w:r>
      <w:r>
        <w:rPr>
          <w:spacing w:val="-2"/>
        </w:rPr>
        <w:t>considerations.</w:t>
      </w:r>
    </w:p>
    <w:p w14:paraId="0DFDC650" w14:textId="77777777" w:rsidR="00046465" w:rsidRDefault="008134EB">
      <w:pPr>
        <w:pStyle w:val="ListParagraph"/>
        <w:numPr>
          <w:ilvl w:val="1"/>
          <w:numId w:val="78"/>
        </w:numPr>
        <w:tabs>
          <w:tab w:val="left" w:pos="2159"/>
        </w:tabs>
        <w:ind w:left="2159" w:right="770"/>
      </w:pPr>
      <w:r>
        <w:t>Determine</w:t>
      </w:r>
      <w:r>
        <w:rPr>
          <w:spacing w:val="-3"/>
        </w:rPr>
        <w:t xml:space="preserve"> </w:t>
      </w:r>
      <w:r>
        <w:t>whether</w:t>
      </w:r>
      <w:r>
        <w:rPr>
          <w:spacing w:val="-4"/>
        </w:rPr>
        <w:t xml:space="preserve"> </w:t>
      </w:r>
      <w:r>
        <w:t>the</w:t>
      </w:r>
      <w:r>
        <w:rPr>
          <w:spacing w:val="-4"/>
        </w:rPr>
        <w:t xml:space="preserve"> </w:t>
      </w:r>
      <w:r>
        <w:t>results</w:t>
      </w:r>
      <w:r>
        <w:rPr>
          <w:spacing w:val="-4"/>
        </w:rPr>
        <w:t xml:space="preserve"> </w:t>
      </w:r>
      <w:r>
        <w:t>of</w:t>
      </w:r>
      <w:r>
        <w:rPr>
          <w:spacing w:val="-4"/>
        </w:rPr>
        <w:t xml:space="preserve"> </w:t>
      </w:r>
      <w:r>
        <w:t>testing</w:t>
      </w:r>
      <w:r>
        <w:rPr>
          <w:spacing w:val="-4"/>
        </w:rPr>
        <w:t xml:space="preserve"> </w:t>
      </w:r>
      <w:r>
        <w:t>and</w:t>
      </w:r>
      <w:r>
        <w:rPr>
          <w:spacing w:val="-4"/>
        </w:rPr>
        <w:t xml:space="preserve"> </w:t>
      </w:r>
      <w:r>
        <w:t>the</w:t>
      </w:r>
      <w:r>
        <w:rPr>
          <w:spacing w:val="-4"/>
        </w:rPr>
        <w:t xml:space="preserve"> </w:t>
      </w:r>
      <w:r>
        <w:t>nature</w:t>
      </w:r>
      <w:r>
        <w:rPr>
          <w:spacing w:val="-4"/>
        </w:rPr>
        <w:t xml:space="preserve"> </w:t>
      </w:r>
      <w:r>
        <w:t>of</w:t>
      </w:r>
      <w:r>
        <w:rPr>
          <w:spacing w:val="-5"/>
        </w:rPr>
        <w:t xml:space="preserve"> </w:t>
      </w:r>
      <w:r>
        <w:t>any</w:t>
      </w:r>
      <w:r>
        <w:rPr>
          <w:spacing w:val="-4"/>
        </w:rPr>
        <w:t xml:space="preserve"> </w:t>
      </w:r>
      <w:r>
        <w:t xml:space="preserve">misstatements indicate the need to reassess the risk of material misstatement and revise </w:t>
      </w:r>
      <w:r>
        <w:rPr>
          <w:spacing w:val="-2"/>
        </w:rPr>
        <w:t>procedures.</w:t>
      </w:r>
    </w:p>
    <w:p w14:paraId="0DFDC651" w14:textId="77777777" w:rsidR="00046465" w:rsidRDefault="008134EB">
      <w:pPr>
        <w:pStyle w:val="Heading5"/>
        <w:spacing w:before="122"/>
        <w:ind w:left="392"/>
        <w:rPr>
          <w:u w:val="none"/>
        </w:rPr>
      </w:pPr>
      <w:bookmarkStart w:id="337" w:name="Reporting_Phase"/>
      <w:bookmarkEnd w:id="337"/>
      <w:r>
        <w:t>Reporting</w:t>
      </w:r>
      <w:r>
        <w:rPr>
          <w:spacing w:val="-5"/>
        </w:rPr>
        <w:t xml:space="preserve"> </w:t>
      </w:r>
      <w:r>
        <w:rPr>
          <w:spacing w:val="-2"/>
        </w:rPr>
        <w:t>Phase</w:t>
      </w:r>
    </w:p>
    <w:p w14:paraId="0DFDC652" w14:textId="77777777" w:rsidR="00046465" w:rsidRDefault="008134EB">
      <w:pPr>
        <w:pStyle w:val="ListParagraph"/>
        <w:numPr>
          <w:ilvl w:val="0"/>
          <w:numId w:val="78"/>
        </w:numPr>
        <w:tabs>
          <w:tab w:val="left" w:pos="1800"/>
        </w:tabs>
        <w:spacing w:before="119"/>
        <w:ind w:right="725"/>
      </w:pPr>
      <w:r>
        <w:t>To determine the proper reporting of heritage assets, the auditor should review the balance sheet for the appropriate note reference and determine whether heritage assets are properly reported and correctly classified in this note in accordance</w:t>
      </w:r>
      <w:r>
        <w:rPr>
          <w:spacing w:val="-5"/>
        </w:rPr>
        <w:t xml:space="preserve"> </w:t>
      </w:r>
      <w:r>
        <w:t>with</w:t>
      </w:r>
      <w:r>
        <w:rPr>
          <w:spacing w:val="-4"/>
        </w:rPr>
        <w:t xml:space="preserve"> </w:t>
      </w:r>
      <w:r>
        <w:t>SFFAS</w:t>
      </w:r>
      <w:r>
        <w:rPr>
          <w:spacing w:val="-3"/>
        </w:rPr>
        <w:t xml:space="preserve"> </w:t>
      </w:r>
      <w:r>
        <w:t>29.</w:t>
      </w:r>
      <w:r>
        <w:rPr>
          <w:spacing w:val="-4"/>
        </w:rPr>
        <w:t xml:space="preserve"> </w:t>
      </w:r>
      <w:r>
        <w:t>The</w:t>
      </w:r>
      <w:r>
        <w:rPr>
          <w:spacing w:val="-4"/>
        </w:rPr>
        <w:t xml:space="preserve"> </w:t>
      </w:r>
      <w:r>
        <w:t>auditor</w:t>
      </w:r>
      <w:r>
        <w:rPr>
          <w:spacing w:val="-4"/>
        </w:rPr>
        <w:t xml:space="preserve"> </w:t>
      </w:r>
      <w:r>
        <w:t>should</w:t>
      </w:r>
      <w:r>
        <w:rPr>
          <w:spacing w:val="-4"/>
        </w:rPr>
        <w:t xml:space="preserve"> </w:t>
      </w:r>
      <w:r>
        <w:t>also</w:t>
      </w:r>
      <w:r>
        <w:rPr>
          <w:spacing w:val="-4"/>
        </w:rPr>
        <w:t xml:space="preserve"> </w:t>
      </w:r>
      <w:r>
        <w:t>determine</w:t>
      </w:r>
      <w:r>
        <w:rPr>
          <w:spacing w:val="-4"/>
        </w:rPr>
        <w:t xml:space="preserve"> </w:t>
      </w:r>
      <w:r>
        <w:t>whether</w:t>
      </w:r>
      <w:r>
        <w:rPr>
          <w:spacing w:val="-4"/>
        </w:rPr>
        <w:t xml:space="preserve"> </w:t>
      </w:r>
      <w:r>
        <w:t>the</w:t>
      </w:r>
      <w:r>
        <w:rPr>
          <w:spacing w:val="-4"/>
        </w:rPr>
        <w:t xml:space="preserve"> </w:t>
      </w:r>
      <w:r>
        <w:t>entity properly reported the following in this note:</w:t>
      </w:r>
    </w:p>
    <w:p w14:paraId="0DFDC653" w14:textId="77777777" w:rsidR="00046465" w:rsidRDefault="008134EB">
      <w:pPr>
        <w:pStyle w:val="ListParagraph"/>
        <w:numPr>
          <w:ilvl w:val="1"/>
          <w:numId w:val="78"/>
        </w:numPr>
        <w:tabs>
          <w:tab w:val="left" w:pos="2159"/>
        </w:tabs>
        <w:ind w:left="2159" w:hanging="359"/>
      </w:pPr>
      <w:r>
        <w:t>how</w:t>
      </w:r>
      <w:r>
        <w:rPr>
          <w:spacing w:val="-6"/>
        </w:rPr>
        <w:t xml:space="preserve"> </w:t>
      </w:r>
      <w:r>
        <w:t>the</w:t>
      </w:r>
      <w:r>
        <w:rPr>
          <w:spacing w:val="-5"/>
        </w:rPr>
        <w:t xml:space="preserve"> </w:t>
      </w:r>
      <w:r>
        <w:t>heritage</w:t>
      </w:r>
      <w:r>
        <w:rPr>
          <w:spacing w:val="-5"/>
        </w:rPr>
        <w:t xml:space="preserve"> </w:t>
      </w:r>
      <w:r>
        <w:t>assets</w:t>
      </w:r>
      <w:r>
        <w:rPr>
          <w:spacing w:val="-6"/>
        </w:rPr>
        <w:t xml:space="preserve"> </w:t>
      </w:r>
      <w:r>
        <w:t>relate</w:t>
      </w:r>
      <w:r>
        <w:rPr>
          <w:spacing w:val="-5"/>
        </w:rPr>
        <w:t xml:space="preserve"> </w:t>
      </w:r>
      <w:r>
        <w:t>to</w:t>
      </w:r>
      <w:r>
        <w:rPr>
          <w:spacing w:val="-4"/>
        </w:rPr>
        <w:t xml:space="preserve"> </w:t>
      </w:r>
      <w:r>
        <w:t>the</w:t>
      </w:r>
      <w:r>
        <w:rPr>
          <w:spacing w:val="-6"/>
        </w:rPr>
        <w:t xml:space="preserve"> </w:t>
      </w:r>
      <w:r>
        <w:t>entity’s</w:t>
      </w:r>
      <w:r>
        <w:rPr>
          <w:spacing w:val="-5"/>
        </w:rPr>
        <w:t xml:space="preserve"> </w:t>
      </w:r>
      <w:r>
        <w:rPr>
          <w:spacing w:val="-2"/>
        </w:rPr>
        <w:t>mission;</w:t>
      </w:r>
    </w:p>
    <w:p w14:paraId="0DFDC654" w14:textId="77777777" w:rsidR="00046465" w:rsidRDefault="008134EB">
      <w:pPr>
        <w:pStyle w:val="ListParagraph"/>
        <w:numPr>
          <w:ilvl w:val="1"/>
          <w:numId w:val="78"/>
        </w:numPr>
        <w:tabs>
          <w:tab w:val="left" w:pos="2159"/>
        </w:tabs>
        <w:ind w:left="2159" w:hanging="359"/>
      </w:pPr>
      <w:r>
        <w:t>a</w:t>
      </w:r>
      <w:r>
        <w:rPr>
          <w:spacing w:val="-7"/>
        </w:rPr>
        <w:t xml:space="preserve"> </w:t>
      </w:r>
      <w:r>
        <w:t>description</w:t>
      </w:r>
      <w:r>
        <w:rPr>
          <w:spacing w:val="-7"/>
        </w:rPr>
        <w:t xml:space="preserve"> </w:t>
      </w:r>
      <w:r>
        <w:t>of</w:t>
      </w:r>
      <w:r>
        <w:rPr>
          <w:spacing w:val="-7"/>
        </w:rPr>
        <w:t xml:space="preserve"> </w:t>
      </w:r>
      <w:r>
        <w:t>stewardship</w:t>
      </w:r>
      <w:r>
        <w:rPr>
          <w:spacing w:val="-7"/>
        </w:rPr>
        <w:t xml:space="preserve"> </w:t>
      </w:r>
      <w:r>
        <w:t>policies</w:t>
      </w:r>
      <w:r>
        <w:rPr>
          <w:spacing w:val="-7"/>
        </w:rPr>
        <w:t xml:space="preserve"> </w:t>
      </w:r>
      <w:r>
        <w:t>for</w:t>
      </w:r>
      <w:r>
        <w:rPr>
          <w:spacing w:val="-7"/>
        </w:rPr>
        <w:t xml:space="preserve"> </w:t>
      </w:r>
      <w:r>
        <w:t>heritage</w:t>
      </w:r>
      <w:r>
        <w:rPr>
          <w:spacing w:val="-8"/>
        </w:rPr>
        <w:t xml:space="preserve"> </w:t>
      </w:r>
      <w:r>
        <w:rPr>
          <w:spacing w:val="-2"/>
        </w:rPr>
        <w:t>assets;</w:t>
      </w:r>
    </w:p>
    <w:p w14:paraId="0DFDC655" w14:textId="77777777" w:rsidR="00046465" w:rsidRDefault="008134EB">
      <w:pPr>
        <w:pStyle w:val="ListParagraph"/>
        <w:numPr>
          <w:ilvl w:val="1"/>
          <w:numId w:val="78"/>
        </w:numPr>
        <w:tabs>
          <w:tab w:val="left" w:pos="2159"/>
        </w:tabs>
        <w:spacing w:before="119"/>
        <w:ind w:left="2159" w:hanging="359"/>
      </w:pPr>
      <w:r>
        <w:t>a</w:t>
      </w:r>
      <w:r>
        <w:rPr>
          <w:spacing w:val="-6"/>
        </w:rPr>
        <w:t xml:space="preserve"> </w:t>
      </w:r>
      <w:r>
        <w:t>description</w:t>
      </w:r>
      <w:r>
        <w:rPr>
          <w:spacing w:val="-6"/>
        </w:rPr>
        <w:t xml:space="preserve"> </w:t>
      </w:r>
      <w:r>
        <w:t>of</w:t>
      </w:r>
      <w:r>
        <w:rPr>
          <w:spacing w:val="-6"/>
        </w:rPr>
        <w:t xml:space="preserve"> </w:t>
      </w:r>
      <w:r>
        <w:t>each</w:t>
      </w:r>
      <w:r>
        <w:rPr>
          <w:spacing w:val="-6"/>
        </w:rPr>
        <w:t xml:space="preserve"> </w:t>
      </w:r>
      <w:r>
        <w:t>major</w:t>
      </w:r>
      <w:r>
        <w:rPr>
          <w:spacing w:val="-6"/>
        </w:rPr>
        <w:t xml:space="preserve"> </w:t>
      </w:r>
      <w:r>
        <w:t>category</w:t>
      </w:r>
      <w:r>
        <w:rPr>
          <w:spacing w:val="-6"/>
        </w:rPr>
        <w:t xml:space="preserve"> </w:t>
      </w:r>
      <w:r>
        <w:t>of</w:t>
      </w:r>
      <w:r>
        <w:rPr>
          <w:spacing w:val="-5"/>
        </w:rPr>
        <w:t xml:space="preserve"> </w:t>
      </w:r>
      <w:r>
        <w:t>heritage</w:t>
      </w:r>
      <w:r>
        <w:rPr>
          <w:spacing w:val="-7"/>
        </w:rPr>
        <w:t xml:space="preserve"> </w:t>
      </w:r>
      <w:r>
        <w:t>asset</w:t>
      </w:r>
      <w:r>
        <w:rPr>
          <w:spacing w:val="-6"/>
        </w:rPr>
        <w:t xml:space="preserve"> </w:t>
      </w:r>
      <w:r>
        <w:rPr>
          <w:spacing w:val="-4"/>
        </w:rPr>
        <w:t>use;</w:t>
      </w:r>
    </w:p>
    <w:p w14:paraId="0DFDC656" w14:textId="77777777" w:rsidR="00046465" w:rsidRDefault="008134EB">
      <w:pPr>
        <w:pStyle w:val="ListParagraph"/>
        <w:numPr>
          <w:ilvl w:val="1"/>
          <w:numId w:val="78"/>
        </w:numPr>
        <w:tabs>
          <w:tab w:val="left" w:pos="2159"/>
        </w:tabs>
        <w:ind w:left="2159" w:right="869"/>
      </w:pPr>
      <w:r>
        <w:t>the</w:t>
      </w:r>
      <w:r>
        <w:rPr>
          <w:spacing w:val="-4"/>
        </w:rPr>
        <w:t xml:space="preserve"> </w:t>
      </w:r>
      <w:r>
        <w:t>number</w:t>
      </w:r>
      <w:r>
        <w:rPr>
          <w:spacing w:val="-4"/>
        </w:rPr>
        <w:t xml:space="preserve"> </w:t>
      </w:r>
      <w:r>
        <w:t>of</w:t>
      </w:r>
      <w:r>
        <w:rPr>
          <w:spacing w:val="-4"/>
        </w:rPr>
        <w:t xml:space="preserve"> </w:t>
      </w:r>
      <w:r>
        <w:t>physical</w:t>
      </w:r>
      <w:r>
        <w:rPr>
          <w:spacing w:val="-4"/>
        </w:rPr>
        <w:t xml:space="preserve"> </w:t>
      </w:r>
      <w:r>
        <w:t>units</w:t>
      </w:r>
      <w:r>
        <w:rPr>
          <w:spacing w:val="-4"/>
        </w:rPr>
        <w:t xml:space="preserve"> </w:t>
      </w:r>
      <w:r>
        <w:t>by</w:t>
      </w:r>
      <w:r>
        <w:rPr>
          <w:spacing w:val="-4"/>
        </w:rPr>
        <w:t xml:space="preserve"> </w:t>
      </w:r>
      <w:r>
        <w:t>major</w:t>
      </w:r>
      <w:r>
        <w:rPr>
          <w:spacing w:val="-4"/>
        </w:rPr>
        <w:t xml:space="preserve"> </w:t>
      </w:r>
      <w:r>
        <w:t>category,</w:t>
      </w:r>
      <w:r>
        <w:rPr>
          <w:spacing w:val="-4"/>
        </w:rPr>
        <w:t xml:space="preserve"> </w:t>
      </w:r>
      <w:r>
        <w:t>the</w:t>
      </w:r>
      <w:r>
        <w:rPr>
          <w:spacing w:val="-4"/>
        </w:rPr>
        <w:t xml:space="preserve"> </w:t>
      </w:r>
      <w:r>
        <w:t>number</w:t>
      </w:r>
      <w:r>
        <w:rPr>
          <w:spacing w:val="-4"/>
        </w:rPr>
        <w:t xml:space="preserve"> </w:t>
      </w:r>
      <w:r>
        <w:t>of</w:t>
      </w:r>
      <w:r>
        <w:rPr>
          <w:spacing w:val="-4"/>
        </w:rPr>
        <w:t xml:space="preserve"> </w:t>
      </w:r>
      <w:r>
        <w:t>physical</w:t>
      </w:r>
      <w:r>
        <w:rPr>
          <w:spacing w:val="-4"/>
        </w:rPr>
        <w:t xml:space="preserve"> </w:t>
      </w:r>
      <w:r>
        <w:t>units by major category acquired and withdrawn, and a description of the major methods of acquisition and withdrawal;</w:t>
      </w:r>
    </w:p>
    <w:p w14:paraId="0DFDC657" w14:textId="77777777" w:rsidR="00046465" w:rsidRDefault="008134EB">
      <w:pPr>
        <w:pStyle w:val="ListParagraph"/>
        <w:numPr>
          <w:ilvl w:val="1"/>
          <w:numId w:val="78"/>
        </w:numPr>
        <w:tabs>
          <w:tab w:val="left" w:pos="2158"/>
        </w:tabs>
        <w:spacing w:before="121"/>
        <w:ind w:left="2158" w:hanging="359"/>
      </w:pPr>
      <w:r>
        <w:t>a</w:t>
      </w:r>
      <w:r>
        <w:rPr>
          <w:spacing w:val="-7"/>
        </w:rPr>
        <w:t xml:space="preserve"> </w:t>
      </w:r>
      <w:r>
        <w:t>discussion</w:t>
      </w:r>
      <w:r>
        <w:rPr>
          <w:spacing w:val="-8"/>
        </w:rPr>
        <w:t xml:space="preserve"> </w:t>
      </w:r>
      <w:r>
        <w:t>of</w:t>
      </w:r>
      <w:r>
        <w:rPr>
          <w:spacing w:val="-6"/>
        </w:rPr>
        <w:t xml:space="preserve"> </w:t>
      </w:r>
      <w:r>
        <w:t>multiuse</w:t>
      </w:r>
      <w:r>
        <w:rPr>
          <w:spacing w:val="-8"/>
        </w:rPr>
        <w:t xml:space="preserve"> </w:t>
      </w:r>
      <w:r>
        <w:t>heritage</w:t>
      </w:r>
      <w:r>
        <w:rPr>
          <w:spacing w:val="-6"/>
        </w:rPr>
        <w:t xml:space="preserve"> </w:t>
      </w:r>
      <w:r>
        <w:t>assets;</w:t>
      </w:r>
      <w:r>
        <w:rPr>
          <w:spacing w:val="-7"/>
        </w:rPr>
        <w:t xml:space="preserve"> </w:t>
      </w:r>
      <w:r>
        <w:rPr>
          <w:spacing w:val="-5"/>
        </w:rPr>
        <w:t>and</w:t>
      </w:r>
    </w:p>
    <w:p w14:paraId="0DFDC658" w14:textId="77777777" w:rsidR="00046465" w:rsidRDefault="008134EB">
      <w:pPr>
        <w:pStyle w:val="ListParagraph"/>
        <w:numPr>
          <w:ilvl w:val="1"/>
          <w:numId w:val="78"/>
        </w:numPr>
        <w:tabs>
          <w:tab w:val="left" w:pos="2159"/>
        </w:tabs>
        <w:spacing w:before="119"/>
        <w:ind w:left="2159"/>
      </w:pPr>
      <w:r>
        <w:t>a</w:t>
      </w:r>
      <w:r>
        <w:rPr>
          <w:spacing w:val="-7"/>
        </w:rPr>
        <w:t xml:space="preserve"> </w:t>
      </w:r>
      <w:r>
        <w:t>reference</w:t>
      </w:r>
      <w:r>
        <w:rPr>
          <w:spacing w:val="-8"/>
        </w:rPr>
        <w:t xml:space="preserve"> </w:t>
      </w:r>
      <w:r>
        <w:t>to</w:t>
      </w:r>
      <w:r>
        <w:rPr>
          <w:spacing w:val="-7"/>
        </w:rPr>
        <w:t xml:space="preserve"> </w:t>
      </w:r>
      <w:r>
        <w:t>deferred</w:t>
      </w:r>
      <w:r>
        <w:rPr>
          <w:spacing w:val="-7"/>
        </w:rPr>
        <w:t xml:space="preserve"> </w:t>
      </w:r>
      <w:r>
        <w:t>maintenance</w:t>
      </w:r>
      <w:r>
        <w:rPr>
          <w:spacing w:val="-7"/>
        </w:rPr>
        <w:t xml:space="preserve"> </w:t>
      </w:r>
      <w:r>
        <w:t>and</w:t>
      </w:r>
      <w:r>
        <w:rPr>
          <w:spacing w:val="-7"/>
        </w:rPr>
        <w:t xml:space="preserve"> </w:t>
      </w:r>
      <w:r>
        <w:t>repairs</w:t>
      </w:r>
      <w:r>
        <w:rPr>
          <w:spacing w:val="-7"/>
        </w:rPr>
        <w:t xml:space="preserve"> </w:t>
      </w:r>
      <w:r>
        <w:t>information</w:t>
      </w:r>
      <w:r>
        <w:rPr>
          <w:spacing w:val="-7"/>
        </w:rPr>
        <w:t xml:space="preserve"> </w:t>
      </w:r>
      <w:r>
        <w:t>reported</w:t>
      </w:r>
      <w:r>
        <w:rPr>
          <w:spacing w:val="-7"/>
        </w:rPr>
        <w:t xml:space="preserve"> </w:t>
      </w:r>
      <w:r>
        <w:t>as</w:t>
      </w:r>
      <w:r>
        <w:rPr>
          <w:spacing w:val="-6"/>
        </w:rPr>
        <w:t xml:space="preserve"> </w:t>
      </w:r>
      <w:r>
        <w:rPr>
          <w:spacing w:val="-4"/>
        </w:rPr>
        <w:t>RSI.</w:t>
      </w:r>
    </w:p>
    <w:p w14:paraId="0DFDC659" w14:textId="77777777" w:rsidR="00046465" w:rsidRDefault="008134EB">
      <w:pPr>
        <w:pStyle w:val="ListParagraph"/>
        <w:numPr>
          <w:ilvl w:val="0"/>
          <w:numId w:val="78"/>
        </w:numPr>
        <w:tabs>
          <w:tab w:val="left" w:pos="1799"/>
        </w:tabs>
        <w:ind w:left="1799" w:right="1095"/>
      </w:pPr>
      <w:r>
        <w:t>The auditor</w:t>
      </w:r>
      <w:r>
        <w:rPr>
          <w:spacing w:val="-2"/>
        </w:rPr>
        <w:t xml:space="preserve"> </w:t>
      </w:r>
      <w:r>
        <w:t>should summarize the results of the</w:t>
      </w:r>
      <w:r>
        <w:rPr>
          <w:spacing w:val="-1"/>
        </w:rPr>
        <w:t xml:space="preserve"> </w:t>
      </w:r>
      <w:r>
        <w:t>reporting phase, determine if adjustments</w:t>
      </w:r>
      <w:r>
        <w:rPr>
          <w:spacing w:val="-6"/>
        </w:rPr>
        <w:t xml:space="preserve"> </w:t>
      </w:r>
      <w:r>
        <w:t>are</w:t>
      </w:r>
      <w:r>
        <w:rPr>
          <w:spacing w:val="-5"/>
        </w:rPr>
        <w:t xml:space="preserve"> </w:t>
      </w:r>
      <w:r>
        <w:t>necessary,</w:t>
      </w:r>
      <w:r>
        <w:rPr>
          <w:spacing w:val="-5"/>
        </w:rPr>
        <w:t xml:space="preserve"> </w:t>
      </w:r>
      <w:r>
        <w:t>and</w:t>
      </w:r>
      <w:r>
        <w:rPr>
          <w:spacing w:val="-5"/>
        </w:rPr>
        <w:t xml:space="preserve"> </w:t>
      </w:r>
      <w:r>
        <w:t>conclude</w:t>
      </w:r>
      <w:r>
        <w:rPr>
          <w:spacing w:val="-5"/>
        </w:rPr>
        <w:t xml:space="preserve"> </w:t>
      </w:r>
      <w:r>
        <w:t>whether</w:t>
      </w:r>
      <w:r>
        <w:rPr>
          <w:spacing w:val="-5"/>
        </w:rPr>
        <w:t xml:space="preserve"> </w:t>
      </w:r>
      <w:r>
        <w:t>heritage</w:t>
      </w:r>
      <w:r>
        <w:rPr>
          <w:spacing w:val="-6"/>
        </w:rPr>
        <w:t xml:space="preserve"> </w:t>
      </w:r>
      <w:r>
        <w:t>assets</w:t>
      </w:r>
      <w:r>
        <w:rPr>
          <w:spacing w:val="-5"/>
        </w:rPr>
        <w:t xml:space="preserve"> </w:t>
      </w:r>
      <w:r>
        <w:t>have</w:t>
      </w:r>
      <w:r>
        <w:rPr>
          <w:spacing w:val="-6"/>
        </w:rPr>
        <w:t xml:space="preserve"> </w:t>
      </w:r>
      <w:r>
        <w:t>been properly reported in the financial statements and notes. The auditor’s documentation of the reporting phase should follow the requirements in FAM 590, as applicable.</w:t>
      </w:r>
    </w:p>
    <w:p w14:paraId="0DFDC65A" w14:textId="77777777" w:rsidR="00046465" w:rsidRDefault="00046465">
      <w:pPr>
        <w:pStyle w:val="ListParagraph"/>
        <w:sectPr w:rsidR="00046465">
          <w:pgSz w:w="12240" w:h="15840"/>
          <w:pgMar w:top="1340" w:right="720" w:bottom="940" w:left="1080" w:header="721" w:footer="757" w:gutter="0"/>
          <w:cols w:space="720"/>
        </w:sectPr>
      </w:pPr>
    </w:p>
    <w:p w14:paraId="0DFDC65B" w14:textId="77777777" w:rsidR="00046465" w:rsidRDefault="008134EB">
      <w:pPr>
        <w:pStyle w:val="Heading3"/>
        <w:spacing w:before="240"/>
        <w:rPr>
          <w:u w:val="none"/>
        </w:rPr>
      </w:pPr>
      <w:bookmarkStart w:id="338" w:name="941_–_Auditing_the_Statement_of_Social_I"/>
      <w:bookmarkStart w:id="339" w:name="_bookmark195"/>
      <w:bookmarkEnd w:id="338"/>
      <w:bookmarkEnd w:id="339"/>
      <w:r>
        <w:lastRenderedPageBreak/>
        <w:t>941</w:t>
      </w:r>
      <w:r>
        <w:rPr>
          <w:spacing w:val="-5"/>
        </w:rPr>
        <w:t xml:space="preserve"> </w:t>
      </w:r>
      <w:r>
        <w:t>–</w:t>
      </w:r>
      <w:r>
        <w:rPr>
          <w:spacing w:val="-16"/>
        </w:rPr>
        <w:t xml:space="preserve"> </w:t>
      </w:r>
      <w:r>
        <w:t>Auditing</w:t>
      </w:r>
      <w:r>
        <w:rPr>
          <w:spacing w:val="-5"/>
        </w:rPr>
        <w:t xml:space="preserve"> </w:t>
      </w:r>
      <w:r>
        <w:t>the</w:t>
      </w:r>
      <w:r>
        <w:rPr>
          <w:spacing w:val="-5"/>
        </w:rPr>
        <w:t xml:space="preserve"> </w:t>
      </w:r>
      <w:r>
        <w:t>Statement</w:t>
      </w:r>
      <w:r>
        <w:rPr>
          <w:spacing w:val="-5"/>
        </w:rPr>
        <w:t xml:space="preserve"> </w:t>
      </w:r>
      <w:r>
        <w:t>of</w:t>
      </w:r>
      <w:r>
        <w:rPr>
          <w:spacing w:val="-5"/>
        </w:rPr>
        <w:t xml:space="preserve"> </w:t>
      </w:r>
      <w:r>
        <w:t>Social</w:t>
      </w:r>
      <w:r>
        <w:rPr>
          <w:spacing w:val="-5"/>
        </w:rPr>
        <w:t xml:space="preserve"> </w:t>
      </w:r>
      <w:r>
        <w:t>Insurance</w:t>
      </w:r>
      <w:r>
        <w:rPr>
          <w:spacing w:val="-5"/>
        </w:rPr>
        <w:t xml:space="preserve"> </w:t>
      </w:r>
      <w:r>
        <w:t>and</w:t>
      </w:r>
      <w:r>
        <w:rPr>
          <w:spacing w:val="-5"/>
        </w:rPr>
        <w:t xml:space="preserve"> </w:t>
      </w:r>
      <w:r>
        <w:t>the</w:t>
      </w:r>
      <w:r>
        <w:rPr>
          <w:u w:val="none"/>
        </w:rPr>
        <w:t xml:space="preserve"> </w:t>
      </w:r>
      <w:r>
        <w:t>Statement of Changes in Social Insurance Amounts</w:t>
      </w:r>
    </w:p>
    <w:p w14:paraId="0DFDC65C" w14:textId="77777777" w:rsidR="00046465" w:rsidRDefault="008134EB">
      <w:pPr>
        <w:pStyle w:val="ListParagraph"/>
        <w:numPr>
          <w:ilvl w:val="0"/>
          <w:numId w:val="1"/>
        </w:numPr>
        <w:tabs>
          <w:tab w:val="left" w:pos="1800"/>
        </w:tabs>
        <w:spacing w:before="241"/>
        <w:ind w:right="887"/>
      </w:pPr>
      <w:r>
        <w:t>The Statement of Social Insurance is required to be audited, along with certain social</w:t>
      </w:r>
      <w:r>
        <w:rPr>
          <w:spacing w:val="-6"/>
        </w:rPr>
        <w:t xml:space="preserve"> </w:t>
      </w:r>
      <w:r>
        <w:t>insurance</w:t>
      </w:r>
      <w:r>
        <w:rPr>
          <w:spacing w:val="-5"/>
        </w:rPr>
        <w:t xml:space="preserve"> </w:t>
      </w:r>
      <w:r>
        <w:t>disclosure</w:t>
      </w:r>
      <w:r>
        <w:rPr>
          <w:spacing w:val="-5"/>
        </w:rPr>
        <w:t xml:space="preserve"> </w:t>
      </w:r>
      <w:r>
        <w:t>information,</w:t>
      </w:r>
      <w:r>
        <w:rPr>
          <w:spacing w:val="-5"/>
        </w:rPr>
        <w:t xml:space="preserve"> </w:t>
      </w:r>
      <w:r>
        <w:t>while</w:t>
      </w:r>
      <w:r>
        <w:rPr>
          <w:spacing w:val="-5"/>
        </w:rPr>
        <w:t xml:space="preserve"> </w:t>
      </w:r>
      <w:r>
        <w:t>other</w:t>
      </w:r>
      <w:r>
        <w:rPr>
          <w:spacing w:val="-5"/>
        </w:rPr>
        <w:t xml:space="preserve"> </w:t>
      </w:r>
      <w:r>
        <w:t>social</w:t>
      </w:r>
      <w:r>
        <w:rPr>
          <w:spacing w:val="-6"/>
        </w:rPr>
        <w:t xml:space="preserve"> </w:t>
      </w:r>
      <w:r>
        <w:t>insurance</w:t>
      </w:r>
      <w:r>
        <w:rPr>
          <w:spacing w:val="-5"/>
        </w:rPr>
        <w:t xml:space="preserve"> </w:t>
      </w:r>
      <w:r>
        <w:t>information is to be presented as unaudited RSI. The Statement of Changes in Social Insurance Amounts is required to be audited and reconciles the beginning and ending open group measures presented in the Statement of Social Insurance and presents the components of the changes in the open group measure from the end of the previous reporting period.</w:t>
      </w:r>
      <w:hyperlink w:anchor="_bookmark196" w:history="1">
        <w:r>
          <w:rPr>
            <w:position w:val="7"/>
            <w:sz w:val="14"/>
          </w:rPr>
          <w:t>47</w:t>
        </w:r>
      </w:hyperlink>
      <w:r>
        <w:rPr>
          <w:spacing w:val="34"/>
          <w:position w:val="7"/>
          <w:sz w:val="14"/>
        </w:rPr>
        <w:t xml:space="preserve"> </w:t>
      </w:r>
      <w:r>
        <w:t>FAM 941 provides auditors with guidance for auditing the Statement of Social Insurance and the Statement of Changes in Social Insurance Amounts in accordance with GAGAS.</w:t>
      </w:r>
      <w:hyperlink w:anchor="_bookmark197" w:history="1">
        <w:r>
          <w:rPr>
            <w:position w:val="7"/>
            <w:sz w:val="14"/>
          </w:rPr>
          <w:t>48</w:t>
        </w:r>
      </w:hyperlink>
      <w:r>
        <w:rPr>
          <w:spacing w:val="36"/>
          <w:position w:val="7"/>
          <w:sz w:val="14"/>
        </w:rPr>
        <w:t xml:space="preserve"> </w:t>
      </w:r>
      <w:r>
        <w:t xml:space="preserve">Auditors should also see the AICPA Statement of Position (SOP) 04-1, </w:t>
      </w:r>
      <w:r>
        <w:rPr>
          <w:i/>
        </w:rPr>
        <w:t>Auditing the Statement of Social Insurance</w:t>
      </w:r>
      <w:r>
        <w:t xml:space="preserve">, and AU-C 540, </w:t>
      </w:r>
      <w:r>
        <w:rPr>
          <w:i/>
        </w:rPr>
        <w:t>Auditing Accounting Estimates and Related Disclosures</w:t>
      </w:r>
      <w:r>
        <w:t>.</w:t>
      </w:r>
    </w:p>
    <w:p w14:paraId="0DFDC65D" w14:textId="77777777" w:rsidR="00046465" w:rsidRDefault="008134EB">
      <w:pPr>
        <w:pStyle w:val="ListParagraph"/>
        <w:numPr>
          <w:ilvl w:val="0"/>
          <w:numId w:val="1"/>
        </w:numPr>
        <w:tabs>
          <w:tab w:val="left" w:pos="1800"/>
        </w:tabs>
        <w:ind w:right="726"/>
      </w:pPr>
      <w:r>
        <w:t>FASAB has established accounting requirements for the Statement of Social Insurance and the related Statement of Changes in Social Insurance Amounts through various SFFAS requirements. The financial statements affected are those of federal entities responsible for Social Security, Medicare, Railroad Retirement,</w:t>
      </w:r>
      <w:r>
        <w:rPr>
          <w:spacing w:val="-4"/>
        </w:rPr>
        <w:t xml:space="preserve"> </w:t>
      </w:r>
      <w:r>
        <w:t>and</w:t>
      </w:r>
      <w:r>
        <w:rPr>
          <w:spacing w:val="-4"/>
        </w:rPr>
        <w:t xml:space="preserve"> </w:t>
      </w:r>
      <w:r>
        <w:t>Black</w:t>
      </w:r>
      <w:r>
        <w:rPr>
          <w:spacing w:val="-4"/>
        </w:rPr>
        <w:t xml:space="preserve"> </w:t>
      </w:r>
      <w:r>
        <w:t>Lung</w:t>
      </w:r>
      <w:r>
        <w:rPr>
          <w:spacing w:val="-4"/>
        </w:rPr>
        <w:t xml:space="preserve"> </w:t>
      </w:r>
      <w:r>
        <w:t>programs</w:t>
      </w:r>
      <w:r>
        <w:rPr>
          <w:spacing w:val="-4"/>
        </w:rPr>
        <w:t xml:space="preserve"> </w:t>
      </w:r>
      <w:r>
        <w:t>(social</w:t>
      </w:r>
      <w:r>
        <w:rPr>
          <w:spacing w:val="-4"/>
        </w:rPr>
        <w:t xml:space="preserve"> </w:t>
      </w:r>
      <w:r>
        <w:t>insurance</w:t>
      </w:r>
      <w:r>
        <w:rPr>
          <w:spacing w:val="-4"/>
        </w:rPr>
        <w:t xml:space="preserve"> </w:t>
      </w:r>
      <w:r>
        <w:t>reporting</w:t>
      </w:r>
      <w:r>
        <w:rPr>
          <w:spacing w:val="-4"/>
        </w:rPr>
        <w:t xml:space="preserve"> </w:t>
      </w:r>
      <w:r>
        <w:t>entities)</w:t>
      </w:r>
      <w:r>
        <w:rPr>
          <w:spacing w:val="-4"/>
        </w:rPr>
        <w:t xml:space="preserve"> </w:t>
      </w:r>
      <w:r>
        <w:t>as</w:t>
      </w:r>
      <w:r>
        <w:rPr>
          <w:spacing w:val="-4"/>
        </w:rPr>
        <w:t xml:space="preserve"> </w:t>
      </w:r>
      <w:r>
        <w:t>well as the U.S. government’s consolidated financial statements. For periods beginning after September 30, 2005, the Statement of Social Insurance is to be presented as a financial statement with the underlying significant assumptions included in notes that are presented as an integral part of the financial statements. For periods beginning after September 30, 2010, the Statement of Changes</w:t>
      </w:r>
      <w:r>
        <w:rPr>
          <w:spacing w:val="-3"/>
        </w:rPr>
        <w:t xml:space="preserve"> </w:t>
      </w:r>
      <w:r>
        <w:t>in</w:t>
      </w:r>
      <w:r>
        <w:rPr>
          <w:spacing w:val="-4"/>
        </w:rPr>
        <w:t xml:space="preserve"> </w:t>
      </w:r>
      <w:r>
        <w:t>Social</w:t>
      </w:r>
      <w:r>
        <w:rPr>
          <w:spacing w:val="-3"/>
        </w:rPr>
        <w:t xml:space="preserve"> </w:t>
      </w:r>
      <w:r>
        <w:t>Insurance</w:t>
      </w:r>
      <w:r>
        <w:rPr>
          <w:spacing w:val="-3"/>
        </w:rPr>
        <w:t xml:space="preserve"> </w:t>
      </w:r>
      <w:r>
        <w:t>Amounts</w:t>
      </w:r>
      <w:r>
        <w:rPr>
          <w:spacing w:val="-3"/>
        </w:rPr>
        <w:t xml:space="preserve"> </w:t>
      </w:r>
      <w:r>
        <w:t>is</w:t>
      </w:r>
      <w:r>
        <w:rPr>
          <w:spacing w:val="-3"/>
        </w:rPr>
        <w:t xml:space="preserve"> </w:t>
      </w:r>
      <w:r>
        <w:t>to</w:t>
      </w:r>
      <w:r>
        <w:rPr>
          <w:spacing w:val="-3"/>
        </w:rPr>
        <w:t xml:space="preserve"> </w:t>
      </w:r>
      <w:r>
        <w:t>be</w:t>
      </w:r>
      <w:r>
        <w:rPr>
          <w:spacing w:val="-6"/>
        </w:rPr>
        <w:t xml:space="preserve"> </w:t>
      </w:r>
      <w:r>
        <w:t>presented</w:t>
      </w:r>
      <w:r>
        <w:rPr>
          <w:spacing w:val="-3"/>
        </w:rPr>
        <w:t xml:space="preserve"> </w:t>
      </w:r>
      <w:r>
        <w:t>as</w:t>
      </w:r>
      <w:r>
        <w:rPr>
          <w:spacing w:val="-3"/>
        </w:rPr>
        <w:t xml:space="preserve"> </w:t>
      </w:r>
      <w:r>
        <w:t>a</w:t>
      </w:r>
      <w:r>
        <w:rPr>
          <w:spacing w:val="-3"/>
        </w:rPr>
        <w:t xml:space="preserve"> </w:t>
      </w:r>
      <w:r>
        <w:t>financial</w:t>
      </w:r>
      <w:r>
        <w:rPr>
          <w:spacing w:val="-4"/>
        </w:rPr>
        <w:t xml:space="preserve"> </w:t>
      </w:r>
      <w:r>
        <w:t>statement with the underlying significant changes disclosed on the statement or included in notes that are presented as an integral part of the financial statements.</w:t>
      </w:r>
    </w:p>
    <w:p w14:paraId="0DFDC65E" w14:textId="77777777" w:rsidR="00046465" w:rsidRDefault="008134EB">
      <w:pPr>
        <w:pStyle w:val="ListParagraph"/>
        <w:numPr>
          <w:ilvl w:val="0"/>
          <w:numId w:val="1"/>
        </w:numPr>
        <w:tabs>
          <w:tab w:val="left" w:pos="1800"/>
        </w:tabs>
        <w:spacing w:before="119"/>
        <w:ind w:right="785"/>
      </w:pPr>
      <w:r>
        <w:t>FASAB standards for social insurance programs require social insurance reporting entities’ financial statements and the U.S. government’s consolidated financial</w:t>
      </w:r>
      <w:r>
        <w:rPr>
          <w:spacing w:val="-5"/>
        </w:rPr>
        <w:t xml:space="preserve"> </w:t>
      </w:r>
      <w:r>
        <w:t>statements</w:t>
      </w:r>
      <w:r>
        <w:rPr>
          <w:spacing w:val="-4"/>
        </w:rPr>
        <w:t xml:space="preserve"> </w:t>
      </w:r>
      <w:r>
        <w:t>to</w:t>
      </w:r>
      <w:r>
        <w:rPr>
          <w:spacing w:val="-4"/>
        </w:rPr>
        <w:t xml:space="preserve"> </w:t>
      </w:r>
      <w:r>
        <w:t>report</w:t>
      </w:r>
      <w:r>
        <w:rPr>
          <w:spacing w:val="-4"/>
        </w:rPr>
        <w:t xml:space="preserve"> </w:t>
      </w:r>
      <w:r>
        <w:t>the</w:t>
      </w:r>
      <w:r>
        <w:rPr>
          <w:spacing w:val="-4"/>
        </w:rPr>
        <w:t xml:space="preserve"> </w:t>
      </w:r>
      <w:r>
        <w:t>following</w:t>
      </w:r>
      <w:r>
        <w:rPr>
          <w:spacing w:val="-4"/>
        </w:rPr>
        <w:t xml:space="preserve"> </w:t>
      </w:r>
      <w:r>
        <w:t>for</w:t>
      </w:r>
      <w:r>
        <w:rPr>
          <w:spacing w:val="-4"/>
        </w:rPr>
        <w:t xml:space="preserve"> </w:t>
      </w:r>
      <w:r>
        <w:t>the</w:t>
      </w:r>
      <w:r>
        <w:rPr>
          <w:spacing w:val="-4"/>
        </w:rPr>
        <w:t xml:space="preserve"> </w:t>
      </w:r>
      <w:r>
        <w:t>Statement</w:t>
      </w:r>
      <w:r>
        <w:rPr>
          <w:spacing w:val="-4"/>
        </w:rPr>
        <w:t xml:space="preserve"> </w:t>
      </w:r>
      <w:r>
        <w:t>of</w:t>
      </w:r>
      <w:r>
        <w:rPr>
          <w:spacing w:val="-4"/>
        </w:rPr>
        <w:t xml:space="preserve"> </w:t>
      </w:r>
      <w:r>
        <w:t>Social</w:t>
      </w:r>
      <w:r>
        <w:rPr>
          <w:spacing w:val="-4"/>
        </w:rPr>
        <w:t xml:space="preserve"> </w:t>
      </w:r>
      <w:r>
        <w:t>Insurance:</w:t>
      </w:r>
    </w:p>
    <w:p w14:paraId="0DFDC65F" w14:textId="77777777" w:rsidR="00046465" w:rsidRDefault="008134EB">
      <w:pPr>
        <w:pStyle w:val="ListParagraph"/>
        <w:numPr>
          <w:ilvl w:val="1"/>
          <w:numId w:val="1"/>
        </w:numPr>
        <w:tabs>
          <w:tab w:val="left" w:pos="2160"/>
        </w:tabs>
        <w:spacing w:before="121"/>
        <w:ind w:right="819"/>
        <w:jc w:val="both"/>
      </w:pPr>
      <w:r>
        <w:t>the</w:t>
      </w:r>
      <w:r>
        <w:rPr>
          <w:spacing w:val="-3"/>
        </w:rPr>
        <w:t xml:space="preserve"> </w:t>
      </w:r>
      <w:r>
        <w:t>estimated</w:t>
      </w:r>
      <w:r>
        <w:rPr>
          <w:spacing w:val="-3"/>
        </w:rPr>
        <w:t xml:space="preserve"> </w:t>
      </w:r>
      <w:r>
        <w:t>present</w:t>
      </w:r>
      <w:r>
        <w:rPr>
          <w:spacing w:val="-3"/>
        </w:rPr>
        <w:t xml:space="preserve"> </w:t>
      </w:r>
      <w:r>
        <w:t>value</w:t>
      </w:r>
      <w:r>
        <w:rPr>
          <w:spacing w:val="-3"/>
        </w:rPr>
        <w:t xml:space="preserve"> </w:t>
      </w:r>
      <w:r>
        <w:t>of</w:t>
      </w:r>
      <w:r>
        <w:rPr>
          <w:spacing w:val="-3"/>
        </w:rPr>
        <w:t xml:space="preserve"> </w:t>
      </w:r>
      <w:r>
        <w:t>the</w:t>
      </w:r>
      <w:r>
        <w:rPr>
          <w:spacing w:val="-3"/>
        </w:rPr>
        <w:t xml:space="preserve"> </w:t>
      </w:r>
      <w:r>
        <w:t>income/revenue</w:t>
      </w:r>
      <w:r>
        <w:rPr>
          <w:spacing w:val="-3"/>
        </w:rPr>
        <w:t xml:space="preserve"> </w:t>
      </w:r>
      <w:r>
        <w:t>to</w:t>
      </w:r>
      <w:r>
        <w:rPr>
          <w:spacing w:val="-3"/>
        </w:rPr>
        <w:t xml:space="preserve"> </w:t>
      </w:r>
      <w:r>
        <w:t>be</w:t>
      </w:r>
      <w:r>
        <w:rPr>
          <w:spacing w:val="-3"/>
        </w:rPr>
        <w:t xml:space="preserve"> </w:t>
      </w:r>
      <w:r>
        <w:t>received</w:t>
      </w:r>
      <w:r>
        <w:rPr>
          <w:spacing w:val="-3"/>
        </w:rPr>
        <w:t xml:space="preserve"> </w:t>
      </w:r>
      <w:r>
        <w:t>from</w:t>
      </w:r>
      <w:r>
        <w:rPr>
          <w:spacing w:val="-4"/>
        </w:rPr>
        <w:t xml:space="preserve"> </w:t>
      </w:r>
      <w:r>
        <w:t>or</w:t>
      </w:r>
      <w:r>
        <w:rPr>
          <w:spacing w:val="-3"/>
        </w:rPr>
        <w:t xml:space="preserve"> </w:t>
      </w:r>
      <w:r>
        <w:t>on behalf</w:t>
      </w:r>
      <w:r>
        <w:rPr>
          <w:spacing w:val="-4"/>
        </w:rPr>
        <w:t xml:space="preserve"> </w:t>
      </w:r>
      <w:r>
        <w:t>of</w:t>
      </w:r>
      <w:r>
        <w:rPr>
          <w:spacing w:val="-4"/>
        </w:rPr>
        <w:t xml:space="preserve"> </w:t>
      </w:r>
      <w:r>
        <w:t>the</w:t>
      </w:r>
      <w:r>
        <w:rPr>
          <w:spacing w:val="-5"/>
        </w:rPr>
        <w:t xml:space="preserve"> </w:t>
      </w:r>
      <w:r>
        <w:t>following</w:t>
      </w:r>
      <w:r>
        <w:rPr>
          <w:spacing w:val="-4"/>
        </w:rPr>
        <w:t xml:space="preserve"> </w:t>
      </w:r>
      <w:r>
        <w:t>groups</w:t>
      </w:r>
      <w:r>
        <w:rPr>
          <w:spacing w:val="-4"/>
        </w:rPr>
        <w:t xml:space="preserve"> </w:t>
      </w:r>
      <w:r>
        <w:t>during</w:t>
      </w:r>
      <w:r>
        <w:rPr>
          <w:spacing w:val="-5"/>
        </w:rPr>
        <w:t xml:space="preserve"> </w:t>
      </w:r>
      <w:r>
        <w:t>a</w:t>
      </w:r>
      <w:r>
        <w:rPr>
          <w:spacing w:val="-4"/>
        </w:rPr>
        <w:t xml:space="preserve"> </w:t>
      </w:r>
      <w:r>
        <w:t>projection</w:t>
      </w:r>
      <w:r>
        <w:rPr>
          <w:spacing w:val="-5"/>
        </w:rPr>
        <w:t xml:space="preserve"> </w:t>
      </w:r>
      <w:r>
        <w:t>period</w:t>
      </w:r>
      <w:r>
        <w:rPr>
          <w:spacing w:val="-4"/>
        </w:rPr>
        <w:t xml:space="preserve"> </w:t>
      </w:r>
      <w:r>
        <w:t>sufficient</w:t>
      </w:r>
      <w:r>
        <w:rPr>
          <w:spacing w:val="-4"/>
        </w:rPr>
        <w:t xml:space="preserve"> </w:t>
      </w:r>
      <w:r>
        <w:t>to</w:t>
      </w:r>
      <w:r>
        <w:rPr>
          <w:spacing w:val="-4"/>
        </w:rPr>
        <w:t xml:space="preserve"> </w:t>
      </w:r>
      <w:r>
        <w:t>illustrate the long-term sustainability of the social insurance programs for</w:t>
      </w:r>
    </w:p>
    <w:p w14:paraId="0DFDC660" w14:textId="77777777" w:rsidR="00046465" w:rsidRDefault="008134EB">
      <w:pPr>
        <w:pStyle w:val="ListParagraph"/>
        <w:numPr>
          <w:ilvl w:val="2"/>
          <w:numId w:val="1"/>
        </w:numPr>
        <w:tabs>
          <w:tab w:val="left" w:pos="2520"/>
        </w:tabs>
        <w:spacing w:before="119"/>
      </w:pPr>
      <w:r>
        <w:t>current</w:t>
      </w:r>
      <w:r>
        <w:rPr>
          <w:spacing w:val="-7"/>
        </w:rPr>
        <w:t xml:space="preserve"> </w:t>
      </w:r>
      <w:r>
        <w:t>participants</w:t>
      </w:r>
      <w:r>
        <w:rPr>
          <w:spacing w:val="-7"/>
        </w:rPr>
        <w:t xml:space="preserve"> </w:t>
      </w:r>
      <w:r>
        <w:t>who</w:t>
      </w:r>
      <w:r>
        <w:rPr>
          <w:spacing w:val="-8"/>
        </w:rPr>
        <w:t xml:space="preserve"> </w:t>
      </w:r>
      <w:r>
        <w:t>have</w:t>
      </w:r>
      <w:r>
        <w:rPr>
          <w:spacing w:val="-7"/>
        </w:rPr>
        <w:t xml:space="preserve"> </w:t>
      </w:r>
      <w:r>
        <w:t>not</w:t>
      </w:r>
      <w:r>
        <w:rPr>
          <w:spacing w:val="-7"/>
        </w:rPr>
        <w:t xml:space="preserve"> </w:t>
      </w:r>
      <w:r>
        <w:t>yet</w:t>
      </w:r>
      <w:r>
        <w:rPr>
          <w:spacing w:val="-7"/>
        </w:rPr>
        <w:t xml:space="preserve"> </w:t>
      </w:r>
      <w:r>
        <w:t>attained</w:t>
      </w:r>
      <w:r>
        <w:rPr>
          <w:spacing w:val="-7"/>
        </w:rPr>
        <w:t xml:space="preserve"> </w:t>
      </w:r>
      <w:r>
        <w:t>retirement</w:t>
      </w:r>
      <w:r>
        <w:rPr>
          <w:spacing w:val="-7"/>
        </w:rPr>
        <w:t xml:space="preserve"> </w:t>
      </w:r>
      <w:r>
        <w:rPr>
          <w:spacing w:val="-4"/>
        </w:rPr>
        <w:t>age,</w:t>
      </w:r>
    </w:p>
    <w:p w14:paraId="0DFDC661" w14:textId="77777777" w:rsidR="00046465" w:rsidRDefault="008134EB">
      <w:pPr>
        <w:pStyle w:val="ListParagraph"/>
        <w:numPr>
          <w:ilvl w:val="2"/>
          <w:numId w:val="1"/>
        </w:numPr>
        <w:tabs>
          <w:tab w:val="left" w:pos="2520"/>
        </w:tabs>
        <w:spacing w:before="119"/>
      </w:pPr>
      <w:r>
        <w:t>current</w:t>
      </w:r>
      <w:r>
        <w:rPr>
          <w:spacing w:val="-8"/>
        </w:rPr>
        <w:t xml:space="preserve"> </w:t>
      </w:r>
      <w:r>
        <w:t>participants</w:t>
      </w:r>
      <w:r>
        <w:rPr>
          <w:spacing w:val="-8"/>
        </w:rPr>
        <w:t xml:space="preserve"> </w:t>
      </w:r>
      <w:r>
        <w:t>who</w:t>
      </w:r>
      <w:r>
        <w:rPr>
          <w:spacing w:val="-8"/>
        </w:rPr>
        <w:t xml:space="preserve"> </w:t>
      </w:r>
      <w:r>
        <w:t>have</w:t>
      </w:r>
      <w:r>
        <w:rPr>
          <w:spacing w:val="-8"/>
        </w:rPr>
        <w:t xml:space="preserve"> </w:t>
      </w:r>
      <w:r>
        <w:t>attained</w:t>
      </w:r>
      <w:r>
        <w:rPr>
          <w:spacing w:val="-7"/>
        </w:rPr>
        <w:t xml:space="preserve"> </w:t>
      </w:r>
      <w:r>
        <w:t>retirement</w:t>
      </w:r>
      <w:r>
        <w:rPr>
          <w:spacing w:val="-8"/>
        </w:rPr>
        <w:t xml:space="preserve"> </w:t>
      </w:r>
      <w:r>
        <w:t>age,</w:t>
      </w:r>
      <w:r>
        <w:rPr>
          <w:spacing w:val="-7"/>
        </w:rPr>
        <w:t xml:space="preserve"> </w:t>
      </w:r>
      <w:r>
        <w:rPr>
          <w:spacing w:val="-5"/>
        </w:rPr>
        <w:t>and</w:t>
      </w:r>
    </w:p>
    <w:p w14:paraId="0DFDC662" w14:textId="77777777" w:rsidR="00046465" w:rsidRDefault="008134EB">
      <w:pPr>
        <w:pStyle w:val="ListParagraph"/>
        <w:numPr>
          <w:ilvl w:val="2"/>
          <w:numId w:val="1"/>
        </w:numPr>
        <w:tabs>
          <w:tab w:val="left" w:pos="2520"/>
        </w:tabs>
        <w:spacing w:before="118"/>
      </w:pPr>
      <w:r>
        <w:t>individuals</w:t>
      </w:r>
      <w:r>
        <w:rPr>
          <w:spacing w:val="-9"/>
        </w:rPr>
        <w:t xml:space="preserve"> </w:t>
      </w:r>
      <w:r>
        <w:t>expected</w:t>
      </w:r>
      <w:r>
        <w:rPr>
          <w:spacing w:val="-8"/>
        </w:rPr>
        <w:t xml:space="preserve"> </w:t>
      </w:r>
      <w:r>
        <w:t>to</w:t>
      </w:r>
      <w:r>
        <w:rPr>
          <w:spacing w:val="-8"/>
        </w:rPr>
        <w:t xml:space="preserve"> </w:t>
      </w:r>
      <w:r>
        <w:t>become</w:t>
      </w:r>
      <w:r>
        <w:rPr>
          <w:spacing w:val="-8"/>
        </w:rPr>
        <w:t xml:space="preserve"> </w:t>
      </w:r>
      <w:r>
        <w:rPr>
          <w:spacing w:val="-2"/>
        </w:rPr>
        <w:t>participants;</w:t>
      </w:r>
    </w:p>
    <w:p w14:paraId="0DFDC663" w14:textId="77777777" w:rsidR="00046465" w:rsidRDefault="00046465">
      <w:pPr>
        <w:pStyle w:val="BodyText"/>
        <w:rPr>
          <w:sz w:val="20"/>
        </w:rPr>
      </w:pPr>
    </w:p>
    <w:p w14:paraId="0DFDC664" w14:textId="77777777" w:rsidR="00046465" w:rsidRDefault="008134EB">
      <w:pPr>
        <w:pStyle w:val="BodyText"/>
        <w:spacing w:before="227"/>
        <w:rPr>
          <w:sz w:val="20"/>
        </w:rPr>
      </w:pPr>
      <w:r>
        <w:rPr>
          <w:noProof/>
          <w:sz w:val="20"/>
        </w:rPr>
        <mc:AlternateContent>
          <mc:Choice Requires="wps">
            <w:drawing>
              <wp:anchor distT="0" distB="0" distL="0" distR="0" simplePos="0" relativeHeight="487728128" behindDoc="1" locked="0" layoutInCell="1" allowOverlap="1" wp14:anchorId="0DFDD737" wp14:editId="0DFDD738">
                <wp:simplePos x="0" y="0"/>
                <wp:positionH relativeFrom="page">
                  <wp:posOffset>914400</wp:posOffset>
                </wp:positionH>
                <wp:positionV relativeFrom="paragraph">
                  <wp:posOffset>305945</wp:posOffset>
                </wp:positionV>
                <wp:extent cx="1828800" cy="5715"/>
                <wp:effectExtent l="0" t="0" r="0" b="0"/>
                <wp:wrapTopAndBottom/>
                <wp:docPr id="1048" name="Graphic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7ED5EF" id="Graphic 1048" o:spid="_x0000_s1026" style="position:absolute;margin-left:1in;margin-top:24.1pt;width:2in;height:.45pt;z-index:-1558835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" path="m1828800,l,,,5321r1828800,l1828800,xe" fillcolor="black" stroked="f">
                <v:path arrowok="t"/>
                <w10:wrap type="topAndBottom" anchorx="page"/>
              </v:shape>
            </w:pict>
          </mc:Fallback>
        </mc:AlternateContent>
      </w:r>
    </w:p>
    <w:p w14:paraId="0DFDC665" w14:textId="77777777" w:rsidR="00046465" w:rsidRDefault="008134EB">
      <w:pPr>
        <w:spacing w:before="200" w:line="244" w:lineRule="auto"/>
        <w:ind w:left="359" w:right="749"/>
        <w:rPr>
          <w:sz w:val="18"/>
        </w:rPr>
      </w:pPr>
      <w:bookmarkStart w:id="340" w:name="_bookmark196"/>
      <w:bookmarkEnd w:id="340"/>
      <w:r>
        <w:rPr>
          <w:position w:val="7"/>
          <w:sz w:val="14"/>
        </w:rPr>
        <w:t>47</w:t>
      </w:r>
      <w:r>
        <w:rPr>
          <w:sz w:val="18"/>
        </w:rPr>
        <w:t>The open group measure is the net present value of all expenditures to or on behalf of the open group population (persons</w:t>
      </w:r>
      <w:r>
        <w:rPr>
          <w:spacing w:val="-2"/>
          <w:sz w:val="18"/>
        </w:rPr>
        <w:t xml:space="preserve"> </w:t>
      </w:r>
      <w:r>
        <w:rPr>
          <w:sz w:val="18"/>
        </w:rPr>
        <w:t>who,</w:t>
      </w:r>
      <w:r>
        <w:rPr>
          <w:spacing w:val="-1"/>
          <w:sz w:val="18"/>
        </w:rPr>
        <w:t xml:space="preserve"> </w:t>
      </w:r>
      <w:r>
        <w:rPr>
          <w:sz w:val="18"/>
        </w:rPr>
        <w:t>as</w:t>
      </w:r>
      <w:r>
        <w:rPr>
          <w:spacing w:val="-2"/>
          <w:sz w:val="18"/>
        </w:rPr>
        <w:t xml:space="preserve"> </w:t>
      </w:r>
      <w:r>
        <w:rPr>
          <w:sz w:val="18"/>
        </w:rPr>
        <w:t>of</w:t>
      </w:r>
      <w:r>
        <w:rPr>
          <w:spacing w:val="-2"/>
          <w:sz w:val="18"/>
        </w:rPr>
        <w:t xml:space="preserve"> </w:t>
      </w:r>
      <w:r>
        <w:rPr>
          <w:sz w:val="18"/>
        </w:rPr>
        <w:t>a</w:t>
      </w:r>
      <w:r>
        <w:rPr>
          <w:spacing w:val="-3"/>
          <w:sz w:val="18"/>
        </w:rPr>
        <w:t xml:space="preserve"> </w:t>
      </w:r>
      <w:r>
        <w:rPr>
          <w:sz w:val="18"/>
        </w:rPr>
        <w:t>valuation</w:t>
      </w:r>
      <w:r>
        <w:rPr>
          <w:spacing w:val="-3"/>
          <w:sz w:val="18"/>
        </w:rPr>
        <w:t xml:space="preserve"> </w:t>
      </w:r>
      <w:r>
        <w:rPr>
          <w:sz w:val="18"/>
        </w:rPr>
        <w:t>date,</w:t>
      </w:r>
      <w:r>
        <w:rPr>
          <w:spacing w:val="-2"/>
          <w:sz w:val="18"/>
        </w:rPr>
        <w:t xml:space="preserve"> </w:t>
      </w:r>
      <w:r>
        <w:rPr>
          <w:sz w:val="18"/>
        </w:rPr>
        <w:t>are</w:t>
      </w:r>
      <w:r>
        <w:rPr>
          <w:spacing w:val="-3"/>
          <w:sz w:val="18"/>
        </w:rPr>
        <w:t xml:space="preserve"> </w:t>
      </w:r>
      <w:r>
        <w:rPr>
          <w:sz w:val="18"/>
        </w:rPr>
        <w:t>or</w:t>
      </w:r>
      <w:r>
        <w:rPr>
          <w:spacing w:val="-1"/>
          <w:sz w:val="18"/>
        </w:rPr>
        <w:t xml:space="preserve"> </w:t>
      </w:r>
      <w:r>
        <w:rPr>
          <w:sz w:val="18"/>
        </w:rPr>
        <w:t>will</w:t>
      </w:r>
      <w:r>
        <w:rPr>
          <w:spacing w:val="-2"/>
          <w:sz w:val="18"/>
        </w:rPr>
        <w:t xml:space="preserve"> </w:t>
      </w:r>
      <w:r>
        <w:rPr>
          <w:sz w:val="18"/>
        </w:rPr>
        <w:t>be</w:t>
      </w:r>
      <w:r>
        <w:rPr>
          <w:spacing w:val="-3"/>
          <w:sz w:val="18"/>
        </w:rPr>
        <w:t xml:space="preserve"> </w:t>
      </w:r>
      <w:r>
        <w:rPr>
          <w:sz w:val="18"/>
        </w:rPr>
        <w:t>participants</w:t>
      </w:r>
      <w:r>
        <w:rPr>
          <w:spacing w:val="-2"/>
          <w:sz w:val="18"/>
        </w:rPr>
        <w:t xml:space="preserve"> </w:t>
      </w:r>
      <w:r>
        <w:rPr>
          <w:sz w:val="18"/>
        </w:rPr>
        <w:t>in</w:t>
      </w:r>
      <w:r>
        <w:rPr>
          <w:spacing w:val="-3"/>
          <w:sz w:val="18"/>
        </w:rPr>
        <w:t xml:space="preserve"> </w:t>
      </w:r>
      <w:r>
        <w:rPr>
          <w:sz w:val="18"/>
        </w:rPr>
        <w:t>a</w:t>
      </w:r>
      <w:r>
        <w:rPr>
          <w:spacing w:val="-3"/>
          <w:sz w:val="18"/>
        </w:rPr>
        <w:t xml:space="preserve"> </w:t>
      </w:r>
      <w:r>
        <w:rPr>
          <w:sz w:val="18"/>
        </w:rPr>
        <w:t>social</w:t>
      </w:r>
      <w:r>
        <w:rPr>
          <w:spacing w:val="-1"/>
          <w:sz w:val="18"/>
        </w:rPr>
        <w:t xml:space="preserve"> </w:t>
      </w:r>
      <w:r>
        <w:rPr>
          <w:sz w:val="18"/>
        </w:rPr>
        <w:t>insurance</w:t>
      </w:r>
      <w:r>
        <w:rPr>
          <w:spacing w:val="-3"/>
          <w:sz w:val="18"/>
        </w:rPr>
        <w:t xml:space="preserve"> </w:t>
      </w:r>
      <w:r>
        <w:rPr>
          <w:sz w:val="18"/>
        </w:rPr>
        <w:t>program)</w:t>
      </w:r>
      <w:r>
        <w:rPr>
          <w:spacing w:val="-2"/>
          <w:sz w:val="18"/>
        </w:rPr>
        <w:t xml:space="preserve"> </w:t>
      </w:r>
      <w:r>
        <w:rPr>
          <w:sz w:val="18"/>
        </w:rPr>
        <w:t>and</w:t>
      </w:r>
      <w:r>
        <w:rPr>
          <w:spacing w:val="-3"/>
          <w:sz w:val="18"/>
        </w:rPr>
        <w:t xml:space="preserve"> </w:t>
      </w:r>
      <w:r>
        <w:rPr>
          <w:sz w:val="18"/>
        </w:rPr>
        <w:t>all</w:t>
      </w:r>
      <w:r>
        <w:rPr>
          <w:spacing w:val="-2"/>
          <w:sz w:val="18"/>
        </w:rPr>
        <w:t xml:space="preserve"> </w:t>
      </w:r>
      <w:r>
        <w:rPr>
          <w:sz w:val="18"/>
        </w:rPr>
        <w:t>contributions</w:t>
      </w:r>
      <w:r>
        <w:rPr>
          <w:spacing w:val="-1"/>
          <w:sz w:val="18"/>
        </w:rPr>
        <w:t xml:space="preserve"> </w:t>
      </w:r>
      <w:r>
        <w:rPr>
          <w:sz w:val="18"/>
        </w:rPr>
        <w:t>or other income/revenue from or on behalf of the open group population over a given projection period.</w:t>
      </w:r>
    </w:p>
    <w:p w14:paraId="0DFDC666" w14:textId="77777777" w:rsidR="00046465" w:rsidRDefault="008134EB">
      <w:pPr>
        <w:spacing w:before="122" w:line="244" w:lineRule="auto"/>
        <w:ind w:left="359" w:right="749"/>
        <w:rPr>
          <w:sz w:val="18"/>
        </w:rPr>
      </w:pPr>
      <w:bookmarkStart w:id="341" w:name="_bookmark197"/>
      <w:bookmarkEnd w:id="341"/>
      <w:r>
        <w:rPr>
          <w:position w:val="7"/>
          <w:sz w:val="14"/>
        </w:rPr>
        <w:t>48</w:t>
      </w:r>
      <w:r>
        <w:rPr>
          <w:sz w:val="18"/>
        </w:rPr>
        <w:t>Collectively, the Statement of Social Insurance, the Statement of Changes in Social Insurance Amounts, and the Statement</w:t>
      </w:r>
      <w:r>
        <w:rPr>
          <w:spacing w:val="-3"/>
          <w:sz w:val="18"/>
        </w:rPr>
        <w:t xml:space="preserve"> </w:t>
      </w:r>
      <w:r>
        <w:rPr>
          <w:sz w:val="18"/>
        </w:rPr>
        <w:t>of</w:t>
      </w:r>
      <w:r>
        <w:rPr>
          <w:spacing w:val="-3"/>
          <w:sz w:val="18"/>
        </w:rPr>
        <w:t xml:space="preserve"> </w:t>
      </w:r>
      <w:r>
        <w:rPr>
          <w:sz w:val="18"/>
        </w:rPr>
        <w:t>Long-Term</w:t>
      </w:r>
      <w:r>
        <w:rPr>
          <w:spacing w:val="-3"/>
          <w:sz w:val="18"/>
        </w:rPr>
        <w:t xml:space="preserve"> </w:t>
      </w:r>
      <w:r>
        <w:rPr>
          <w:sz w:val="18"/>
        </w:rPr>
        <w:t>Fiscal</w:t>
      </w:r>
      <w:r>
        <w:rPr>
          <w:spacing w:val="-3"/>
          <w:sz w:val="18"/>
        </w:rPr>
        <w:t xml:space="preserve"> </w:t>
      </w:r>
      <w:r>
        <w:rPr>
          <w:sz w:val="18"/>
        </w:rPr>
        <w:t>Projections</w:t>
      </w:r>
      <w:r>
        <w:rPr>
          <w:spacing w:val="-3"/>
          <w:sz w:val="18"/>
        </w:rPr>
        <w:t xml:space="preserve"> </w:t>
      </w:r>
      <w:r>
        <w:rPr>
          <w:sz w:val="18"/>
        </w:rPr>
        <w:t>(only</w:t>
      </w:r>
      <w:r>
        <w:rPr>
          <w:spacing w:val="-3"/>
          <w:sz w:val="18"/>
        </w:rPr>
        <w:t xml:space="preserve"> </w:t>
      </w:r>
      <w:r>
        <w:rPr>
          <w:sz w:val="18"/>
        </w:rPr>
        <w:t>applicable</w:t>
      </w:r>
      <w:r>
        <w:rPr>
          <w:spacing w:val="-2"/>
          <w:sz w:val="18"/>
        </w:rPr>
        <w:t xml:space="preserve"> </w:t>
      </w:r>
      <w:r>
        <w:rPr>
          <w:sz w:val="18"/>
        </w:rPr>
        <w:t>at</w:t>
      </w:r>
      <w:r>
        <w:rPr>
          <w:spacing w:val="-3"/>
          <w:sz w:val="18"/>
        </w:rPr>
        <w:t xml:space="preserve"> </w:t>
      </w:r>
      <w:r>
        <w:rPr>
          <w:sz w:val="18"/>
        </w:rPr>
        <w:t>government-wide</w:t>
      </w:r>
      <w:r>
        <w:rPr>
          <w:spacing w:val="-4"/>
          <w:sz w:val="18"/>
        </w:rPr>
        <w:t xml:space="preserve"> </w:t>
      </w:r>
      <w:r>
        <w:rPr>
          <w:sz w:val="18"/>
        </w:rPr>
        <w:t>level)</w:t>
      </w:r>
      <w:r>
        <w:rPr>
          <w:spacing w:val="-3"/>
          <w:sz w:val="18"/>
        </w:rPr>
        <w:t xml:space="preserve"> </w:t>
      </w:r>
      <w:r>
        <w:rPr>
          <w:sz w:val="18"/>
        </w:rPr>
        <w:t>are</w:t>
      </w:r>
      <w:r>
        <w:rPr>
          <w:spacing w:val="-2"/>
          <w:sz w:val="18"/>
        </w:rPr>
        <w:t xml:space="preserve"> </w:t>
      </w:r>
      <w:r>
        <w:rPr>
          <w:sz w:val="18"/>
        </w:rPr>
        <w:t>referred</w:t>
      </w:r>
      <w:r>
        <w:rPr>
          <w:spacing w:val="-4"/>
          <w:sz w:val="18"/>
        </w:rPr>
        <w:t xml:space="preserve"> </w:t>
      </w:r>
      <w:r>
        <w:rPr>
          <w:sz w:val="18"/>
        </w:rPr>
        <w:t>to</w:t>
      </w:r>
      <w:r>
        <w:rPr>
          <w:spacing w:val="-4"/>
          <w:sz w:val="18"/>
        </w:rPr>
        <w:t xml:space="preserve"> </w:t>
      </w:r>
      <w:r>
        <w:rPr>
          <w:sz w:val="18"/>
        </w:rPr>
        <w:t>as</w:t>
      </w:r>
      <w:r>
        <w:rPr>
          <w:spacing w:val="-3"/>
          <w:sz w:val="18"/>
        </w:rPr>
        <w:t xml:space="preserve"> </w:t>
      </w:r>
      <w:r>
        <w:rPr>
          <w:sz w:val="18"/>
        </w:rPr>
        <w:t>sustainability financial statements.</w:t>
      </w:r>
    </w:p>
    <w:p w14:paraId="0DFDC667" w14:textId="77777777" w:rsidR="00046465" w:rsidRDefault="00046465">
      <w:pPr>
        <w:spacing w:line="244" w:lineRule="auto"/>
        <w:rPr>
          <w:sz w:val="18"/>
        </w:rPr>
        <w:sectPr w:rsidR="00046465">
          <w:headerReference w:type="default" r:id="rId218"/>
          <w:footerReference w:type="default" r:id="rId219"/>
          <w:pgSz w:w="12240" w:h="15840"/>
          <w:pgMar w:top="1600" w:right="720" w:bottom="940" w:left="1080" w:header="721" w:footer="757" w:gutter="0"/>
          <w:cols w:space="720"/>
        </w:sectPr>
      </w:pPr>
    </w:p>
    <w:p w14:paraId="0DFDC668" w14:textId="77777777" w:rsidR="00046465" w:rsidRDefault="008134EB">
      <w:pPr>
        <w:pStyle w:val="ListParagraph"/>
        <w:numPr>
          <w:ilvl w:val="1"/>
          <w:numId w:val="1"/>
        </w:numPr>
        <w:tabs>
          <w:tab w:val="left" w:pos="2158"/>
          <w:tab w:val="left" w:pos="2160"/>
        </w:tabs>
        <w:spacing w:before="121"/>
        <w:ind w:right="929" w:hanging="361"/>
      </w:pPr>
      <w:r>
        <w:lastRenderedPageBreak/>
        <w:t>the estimated present value of the benefit payments or expenditures to be made</w:t>
      </w:r>
      <w:r>
        <w:rPr>
          <w:spacing w:val="-3"/>
        </w:rPr>
        <w:t xml:space="preserve"> </w:t>
      </w:r>
      <w:r>
        <w:t>during</w:t>
      </w:r>
      <w:r>
        <w:rPr>
          <w:spacing w:val="-3"/>
        </w:rPr>
        <w:t xml:space="preserve"> </w:t>
      </w:r>
      <w:r>
        <w:t>that</w:t>
      </w:r>
      <w:r>
        <w:rPr>
          <w:spacing w:val="-3"/>
        </w:rPr>
        <w:t xml:space="preserve"> </w:t>
      </w:r>
      <w:r>
        <w:t>same</w:t>
      </w:r>
      <w:r>
        <w:rPr>
          <w:spacing w:val="-3"/>
        </w:rPr>
        <w:t xml:space="preserve"> </w:t>
      </w:r>
      <w:r>
        <w:t>period</w:t>
      </w:r>
      <w:r>
        <w:rPr>
          <w:spacing w:val="-3"/>
        </w:rPr>
        <w:t xml:space="preserve"> </w:t>
      </w:r>
      <w:r>
        <w:t>to</w:t>
      </w:r>
      <w:r>
        <w:rPr>
          <w:spacing w:val="-3"/>
        </w:rPr>
        <w:t xml:space="preserve"> </w:t>
      </w:r>
      <w:r>
        <w:t>or</w:t>
      </w:r>
      <w:r>
        <w:rPr>
          <w:spacing w:val="-3"/>
        </w:rPr>
        <w:t xml:space="preserve"> </w:t>
      </w:r>
      <w:r>
        <w:t>on</w:t>
      </w:r>
      <w:r>
        <w:rPr>
          <w:spacing w:val="-3"/>
        </w:rPr>
        <w:t xml:space="preserve"> </w:t>
      </w:r>
      <w:r>
        <w:t>behalf</w:t>
      </w:r>
      <w:r>
        <w:rPr>
          <w:spacing w:val="-3"/>
        </w:rPr>
        <w:t xml:space="preserve"> </w:t>
      </w:r>
      <w:r>
        <w:t>of</w:t>
      </w:r>
      <w:r>
        <w:rPr>
          <w:spacing w:val="-3"/>
        </w:rPr>
        <w:t xml:space="preserve"> </w:t>
      </w:r>
      <w:r>
        <w:t>the</w:t>
      </w:r>
      <w:r>
        <w:rPr>
          <w:spacing w:val="-3"/>
        </w:rPr>
        <w:t xml:space="preserve"> </w:t>
      </w:r>
      <w:r>
        <w:t>groups</w:t>
      </w:r>
      <w:r>
        <w:rPr>
          <w:spacing w:val="-3"/>
        </w:rPr>
        <w:t xml:space="preserve"> </w:t>
      </w:r>
      <w:r>
        <w:t>listed</w:t>
      </w:r>
      <w:r>
        <w:rPr>
          <w:spacing w:val="-3"/>
        </w:rPr>
        <w:t xml:space="preserve"> </w:t>
      </w:r>
      <w:r>
        <w:t>in</w:t>
      </w:r>
      <w:r>
        <w:rPr>
          <w:spacing w:val="-3"/>
        </w:rPr>
        <w:t xml:space="preserve"> </w:t>
      </w:r>
      <w:r>
        <w:t>item</w:t>
      </w:r>
      <w:r>
        <w:rPr>
          <w:spacing w:val="-5"/>
        </w:rPr>
        <w:t xml:space="preserve"> </w:t>
      </w:r>
      <w:r>
        <w:t xml:space="preserve">(a) </w:t>
      </w:r>
      <w:r>
        <w:rPr>
          <w:spacing w:val="-2"/>
        </w:rPr>
        <w:t>above;</w:t>
      </w:r>
    </w:p>
    <w:p w14:paraId="0DFDC669" w14:textId="77777777" w:rsidR="00046465" w:rsidRDefault="008134EB">
      <w:pPr>
        <w:pStyle w:val="ListParagraph"/>
        <w:numPr>
          <w:ilvl w:val="1"/>
          <w:numId w:val="1"/>
        </w:numPr>
        <w:tabs>
          <w:tab w:val="left" w:pos="2160"/>
        </w:tabs>
        <w:spacing w:before="119"/>
        <w:ind w:right="781"/>
      </w:pPr>
      <w:r>
        <w:t>the</w:t>
      </w:r>
      <w:r>
        <w:rPr>
          <w:spacing w:val="-4"/>
        </w:rPr>
        <w:t xml:space="preserve"> </w:t>
      </w:r>
      <w:r>
        <w:t>estimated</w:t>
      </w:r>
      <w:r>
        <w:rPr>
          <w:spacing w:val="-4"/>
        </w:rPr>
        <w:t xml:space="preserve"> </w:t>
      </w:r>
      <w:r>
        <w:t>net</w:t>
      </w:r>
      <w:r>
        <w:rPr>
          <w:spacing w:val="-4"/>
        </w:rPr>
        <w:t xml:space="preserve"> </w:t>
      </w:r>
      <w:r>
        <w:t>present</w:t>
      </w:r>
      <w:r>
        <w:rPr>
          <w:spacing w:val="-4"/>
        </w:rPr>
        <w:t xml:space="preserve"> </w:t>
      </w:r>
      <w:r>
        <w:t>value</w:t>
      </w:r>
      <w:r>
        <w:rPr>
          <w:spacing w:val="-4"/>
        </w:rPr>
        <w:t xml:space="preserve"> </w:t>
      </w:r>
      <w:r>
        <w:t>of</w:t>
      </w:r>
      <w:r>
        <w:rPr>
          <w:spacing w:val="-4"/>
        </w:rPr>
        <w:t xml:space="preserve"> </w:t>
      </w:r>
      <w:r>
        <w:t>the</w:t>
      </w:r>
      <w:r>
        <w:rPr>
          <w:spacing w:val="-4"/>
        </w:rPr>
        <w:t xml:space="preserve"> </w:t>
      </w:r>
      <w:r>
        <w:t>cash</w:t>
      </w:r>
      <w:r>
        <w:rPr>
          <w:spacing w:val="-4"/>
        </w:rPr>
        <w:t xml:space="preserve"> </w:t>
      </w:r>
      <w:r>
        <w:t>flows</w:t>
      </w:r>
      <w:r>
        <w:rPr>
          <w:spacing w:val="-5"/>
        </w:rPr>
        <w:t xml:space="preserve"> </w:t>
      </w:r>
      <w:r>
        <w:t>during</w:t>
      </w:r>
      <w:r>
        <w:rPr>
          <w:spacing w:val="-4"/>
        </w:rPr>
        <w:t xml:space="preserve"> </w:t>
      </w:r>
      <w:r>
        <w:t>the</w:t>
      </w:r>
      <w:r>
        <w:rPr>
          <w:spacing w:val="-4"/>
        </w:rPr>
        <w:t xml:space="preserve"> </w:t>
      </w:r>
      <w:r>
        <w:t>projection</w:t>
      </w:r>
      <w:r>
        <w:rPr>
          <w:spacing w:val="-4"/>
        </w:rPr>
        <w:t xml:space="preserve"> </w:t>
      </w:r>
      <w:r>
        <w:t>period (the income/revenue described in item (a) above over the expenditures described in item (b) above, or the expenditures described in item (b) above over the income/revenue described in item (a) above);</w:t>
      </w:r>
    </w:p>
    <w:p w14:paraId="0DFDC66A" w14:textId="77777777" w:rsidR="00046465" w:rsidRDefault="008134EB">
      <w:pPr>
        <w:pStyle w:val="ListParagraph"/>
        <w:numPr>
          <w:ilvl w:val="1"/>
          <w:numId w:val="1"/>
        </w:numPr>
        <w:tabs>
          <w:tab w:val="left" w:pos="2158"/>
        </w:tabs>
        <w:ind w:left="2158" w:hanging="359"/>
      </w:pPr>
      <w:r>
        <w:t>in</w:t>
      </w:r>
      <w:r>
        <w:rPr>
          <w:spacing w:val="-6"/>
        </w:rPr>
        <w:t xml:space="preserve"> </w:t>
      </w:r>
      <w:r>
        <w:t>notes</w:t>
      </w:r>
      <w:r>
        <w:rPr>
          <w:spacing w:val="-6"/>
        </w:rPr>
        <w:t xml:space="preserve"> </w:t>
      </w:r>
      <w:r>
        <w:t>to</w:t>
      </w:r>
      <w:r>
        <w:rPr>
          <w:spacing w:val="-5"/>
        </w:rPr>
        <w:t xml:space="preserve"> </w:t>
      </w:r>
      <w:r>
        <w:t>the</w:t>
      </w:r>
      <w:r>
        <w:rPr>
          <w:spacing w:val="-6"/>
        </w:rPr>
        <w:t xml:space="preserve"> </w:t>
      </w:r>
      <w:r>
        <w:t>Statement</w:t>
      </w:r>
      <w:r>
        <w:rPr>
          <w:spacing w:val="-5"/>
        </w:rPr>
        <w:t xml:space="preserve"> </w:t>
      </w:r>
      <w:r>
        <w:t>of</w:t>
      </w:r>
      <w:r>
        <w:rPr>
          <w:spacing w:val="-6"/>
        </w:rPr>
        <w:t xml:space="preserve"> </w:t>
      </w:r>
      <w:r>
        <w:t>Social</w:t>
      </w:r>
      <w:r>
        <w:rPr>
          <w:spacing w:val="-6"/>
        </w:rPr>
        <w:t xml:space="preserve"> </w:t>
      </w:r>
      <w:r>
        <w:t>Insurance,</w:t>
      </w:r>
      <w:r>
        <w:rPr>
          <w:spacing w:val="-5"/>
        </w:rPr>
        <w:t xml:space="preserve"> </w:t>
      </w:r>
      <w:r>
        <w:t>the</w:t>
      </w:r>
      <w:r>
        <w:rPr>
          <w:spacing w:val="-6"/>
        </w:rPr>
        <w:t xml:space="preserve"> </w:t>
      </w:r>
      <w:r>
        <w:rPr>
          <w:spacing w:val="-2"/>
        </w:rPr>
        <w:t>following:</w:t>
      </w:r>
    </w:p>
    <w:p w14:paraId="0DFDC66B" w14:textId="77777777" w:rsidR="00046465" w:rsidRDefault="008134EB">
      <w:pPr>
        <w:pStyle w:val="ListParagraph"/>
        <w:numPr>
          <w:ilvl w:val="0"/>
          <w:numId w:val="77"/>
        </w:numPr>
        <w:tabs>
          <w:tab w:val="left" w:pos="2518"/>
          <w:tab w:val="left" w:pos="2520"/>
        </w:tabs>
        <w:ind w:right="789"/>
        <w:jc w:val="left"/>
      </w:pPr>
      <w:r>
        <w:t>the accumulated excess of all past cash receipts, including interest on investments,</w:t>
      </w:r>
      <w:r>
        <w:rPr>
          <w:spacing w:val="-5"/>
        </w:rPr>
        <w:t xml:space="preserve"> </w:t>
      </w:r>
      <w:r>
        <w:t>over</w:t>
      </w:r>
      <w:r>
        <w:rPr>
          <w:spacing w:val="-5"/>
        </w:rPr>
        <w:t xml:space="preserve"> </w:t>
      </w:r>
      <w:r>
        <w:t>all</w:t>
      </w:r>
      <w:r>
        <w:rPr>
          <w:spacing w:val="-5"/>
        </w:rPr>
        <w:t xml:space="preserve"> </w:t>
      </w:r>
      <w:r>
        <w:t>past</w:t>
      </w:r>
      <w:r>
        <w:rPr>
          <w:spacing w:val="-5"/>
        </w:rPr>
        <w:t xml:space="preserve"> </w:t>
      </w:r>
      <w:r>
        <w:t>cash</w:t>
      </w:r>
      <w:r>
        <w:rPr>
          <w:spacing w:val="-5"/>
        </w:rPr>
        <w:t xml:space="preserve"> </w:t>
      </w:r>
      <w:r>
        <w:t>disbursements</w:t>
      </w:r>
      <w:r>
        <w:rPr>
          <w:spacing w:val="-5"/>
        </w:rPr>
        <w:t xml:space="preserve"> </w:t>
      </w:r>
      <w:r>
        <w:t>within</w:t>
      </w:r>
      <w:r>
        <w:rPr>
          <w:spacing w:val="-5"/>
        </w:rPr>
        <w:t xml:space="preserve"> </w:t>
      </w:r>
      <w:r>
        <w:t>the</w:t>
      </w:r>
      <w:r>
        <w:rPr>
          <w:spacing w:val="-5"/>
        </w:rPr>
        <w:t xml:space="preserve"> </w:t>
      </w:r>
      <w:r>
        <w:t>social</w:t>
      </w:r>
      <w:r>
        <w:rPr>
          <w:spacing w:val="-5"/>
        </w:rPr>
        <w:t xml:space="preserve"> </w:t>
      </w:r>
      <w:r>
        <w:t>insurance program, represented by the fund balance at the valuation date;</w:t>
      </w:r>
    </w:p>
    <w:p w14:paraId="0DFDC66C" w14:textId="77777777" w:rsidR="00046465" w:rsidRDefault="008134EB">
      <w:pPr>
        <w:pStyle w:val="ListParagraph"/>
        <w:numPr>
          <w:ilvl w:val="0"/>
          <w:numId w:val="77"/>
        </w:numPr>
        <w:tabs>
          <w:tab w:val="left" w:pos="2517"/>
          <w:tab w:val="left" w:pos="2520"/>
        </w:tabs>
        <w:spacing w:before="121"/>
        <w:ind w:right="899" w:hanging="339"/>
        <w:jc w:val="left"/>
        <w:rPr>
          <w:position w:val="7"/>
          <w:sz w:val="14"/>
        </w:rPr>
      </w:pPr>
      <w:r>
        <w:t>an</w:t>
      </w:r>
      <w:r>
        <w:rPr>
          <w:spacing w:val="-3"/>
        </w:rPr>
        <w:t xml:space="preserve"> </w:t>
      </w:r>
      <w:r>
        <w:t>explanation</w:t>
      </w:r>
      <w:r>
        <w:rPr>
          <w:spacing w:val="-3"/>
        </w:rPr>
        <w:t xml:space="preserve"> </w:t>
      </w:r>
      <w:r>
        <w:t>of</w:t>
      </w:r>
      <w:r>
        <w:rPr>
          <w:spacing w:val="-3"/>
        </w:rPr>
        <w:t xml:space="preserve"> </w:t>
      </w:r>
      <w:r>
        <w:t>how</w:t>
      </w:r>
      <w:r>
        <w:rPr>
          <w:spacing w:val="-4"/>
        </w:rPr>
        <w:t xml:space="preserve"> </w:t>
      </w:r>
      <w:r>
        <w:t>the</w:t>
      </w:r>
      <w:r>
        <w:rPr>
          <w:spacing w:val="-3"/>
        </w:rPr>
        <w:t xml:space="preserve"> </w:t>
      </w:r>
      <w:r>
        <w:t>net</w:t>
      </w:r>
      <w:r>
        <w:rPr>
          <w:spacing w:val="-3"/>
        </w:rPr>
        <w:t xml:space="preserve"> </w:t>
      </w:r>
      <w:r>
        <w:t>present</w:t>
      </w:r>
      <w:r>
        <w:rPr>
          <w:spacing w:val="-3"/>
        </w:rPr>
        <w:t xml:space="preserve"> </w:t>
      </w:r>
      <w:r>
        <w:t>value</w:t>
      </w:r>
      <w:r>
        <w:rPr>
          <w:spacing w:val="-3"/>
        </w:rPr>
        <w:t xml:space="preserve"> </w:t>
      </w:r>
      <w:r>
        <w:t>referred</w:t>
      </w:r>
      <w:r>
        <w:rPr>
          <w:spacing w:val="-3"/>
        </w:rPr>
        <w:t xml:space="preserve"> </w:t>
      </w:r>
      <w:r>
        <w:t>to</w:t>
      </w:r>
      <w:r>
        <w:rPr>
          <w:spacing w:val="-3"/>
        </w:rPr>
        <w:t xml:space="preserve"> </w:t>
      </w:r>
      <w:r>
        <w:t>in</w:t>
      </w:r>
      <w:r>
        <w:rPr>
          <w:spacing w:val="-3"/>
        </w:rPr>
        <w:t xml:space="preserve"> </w:t>
      </w:r>
      <w:r>
        <w:t>item</w:t>
      </w:r>
      <w:r>
        <w:rPr>
          <w:spacing w:val="-4"/>
        </w:rPr>
        <w:t xml:space="preserve"> </w:t>
      </w:r>
      <w:r>
        <w:t>(c)</w:t>
      </w:r>
      <w:r>
        <w:rPr>
          <w:spacing w:val="-3"/>
        </w:rPr>
        <w:t xml:space="preserve"> </w:t>
      </w:r>
      <w:r>
        <w:t>above is calculated for the closed group;</w:t>
      </w:r>
      <w:hyperlink w:anchor="_bookmark198" w:history="1">
        <w:r>
          <w:rPr>
            <w:position w:val="7"/>
            <w:sz w:val="14"/>
          </w:rPr>
          <w:t>49</w:t>
        </w:r>
      </w:hyperlink>
    </w:p>
    <w:p w14:paraId="0DFDC66D" w14:textId="77777777" w:rsidR="00046465" w:rsidRDefault="008134EB">
      <w:pPr>
        <w:pStyle w:val="ListParagraph"/>
        <w:numPr>
          <w:ilvl w:val="0"/>
          <w:numId w:val="77"/>
        </w:numPr>
        <w:tabs>
          <w:tab w:val="left" w:pos="2517"/>
          <w:tab w:val="left" w:pos="2520"/>
        </w:tabs>
        <w:spacing w:before="119"/>
        <w:ind w:right="1022" w:hanging="388"/>
        <w:jc w:val="left"/>
      </w:pPr>
      <w:r>
        <w:t>comparative</w:t>
      </w:r>
      <w:r>
        <w:rPr>
          <w:spacing w:val="-4"/>
        </w:rPr>
        <w:t xml:space="preserve"> </w:t>
      </w:r>
      <w:r>
        <w:t>financial</w:t>
      </w:r>
      <w:r>
        <w:rPr>
          <w:spacing w:val="-5"/>
        </w:rPr>
        <w:t xml:space="preserve"> </w:t>
      </w:r>
      <w:r>
        <w:t>information</w:t>
      </w:r>
      <w:r>
        <w:rPr>
          <w:spacing w:val="-4"/>
        </w:rPr>
        <w:t xml:space="preserve"> </w:t>
      </w:r>
      <w:r>
        <w:t>for</w:t>
      </w:r>
      <w:r>
        <w:rPr>
          <w:spacing w:val="-4"/>
        </w:rPr>
        <w:t xml:space="preserve"> </w:t>
      </w:r>
      <w:r>
        <w:t>items</w:t>
      </w:r>
      <w:r>
        <w:rPr>
          <w:spacing w:val="-4"/>
        </w:rPr>
        <w:t xml:space="preserve"> </w:t>
      </w:r>
      <w:r>
        <w:t>(a),</w:t>
      </w:r>
      <w:r>
        <w:rPr>
          <w:spacing w:val="-4"/>
        </w:rPr>
        <w:t xml:space="preserve"> </w:t>
      </w:r>
      <w:r>
        <w:t>(b),</w:t>
      </w:r>
      <w:r>
        <w:rPr>
          <w:spacing w:val="-4"/>
        </w:rPr>
        <w:t xml:space="preserve"> </w:t>
      </w:r>
      <w:r>
        <w:t>(c),</w:t>
      </w:r>
      <w:r>
        <w:rPr>
          <w:spacing w:val="-4"/>
        </w:rPr>
        <w:t xml:space="preserve"> </w:t>
      </w:r>
      <w:r>
        <w:t>and</w:t>
      </w:r>
      <w:r>
        <w:rPr>
          <w:spacing w:val="-4"/>
        </w:rPr>
        <w:t xml:space="preserve"> </w:t>
      </w:r>
      <w:r>
        <w:t>(d)(i)</w:t>
      </w:r>
      <w:r>
        <w:rPr>
          <w:spacing w:val="-4"/>
        </w:rPr>
        <w:t xml:space="preserve"> </w:t>
      </w:r>
      <w:r>
        <w:t>above for the current year and for each of the 4 preceding years; and</w:t>
      </w:r>
    </w:p>
    <w:p w14:paraId="0DFDC66E" w14:textId="77777777" w:rsidR="00046465" w:rsidRDefault="008134EB">
      <w:pPr>
        <w:pStyle w:val="ListParagraph"/>
        <w:numPr>
          <w:ilvl w:val="0"/>
          <w:numId w:val="77"/>
        </w:numPr>
        <w:tabs>
          <w:tab w:val="left" w:pos="2517"/>
        </w:tabs>
        <w:spacing w:before="121"/>
        <w:ind w:left="2517" w:hanging="397"/>
        <w:jc w:val="left"/>
      </w:pPr>
      <w:r>
        <w:t>the</w:t>
      </w:r>
      <w:r>
        <w:rPr>
          <w:spacing w:val="-8"/>
        </w:rPr>
        <w:t xml:space="preserve"> </w:t>
      </w:r>
      <w:r>
        <w:t>significant</w:t>
      </w:r>
      <w:r>
        <w:rPr>
          <w:spacing w:val="-7"/>
        </w:rPr>
        <w:t xml:space="preserve"> </w:t>
      </w:r>
      <w:r>
        <w:t>assumptions</w:t>
      </w:r>
      <w:r>
        <w:rPr>
          <w:spacing w:val="-7"/>
        </w:rPr>
        <w:t xml:space="preserve"> </w:t>
      </w:r>
      <w:r>
        <w:t>used</w:t>
      </w:r>
      <w:r>
        <w:rPr>
          <w:spacing w:val="-7"/>
        </w:rPr>
        <w:t xml:space="preserve"> </w:t>
      </w:r>
      <w:r>
        <w:t>in</w:t>
      </w:r>
      <w:r>
        <w:rPr>
          <w:spacing w:val="-8"/>
        </w:rPr>
        <w:t xml:space="preserve"> </w:t>
      </w:r>
      <w:r>
        <w:t>preparing</w:t>
      </w:r>
      <w:r>
        <w:rPr>
          <w:spacing w:val="-7"/>
        </w:rPr>
        <w:t xml:space="preserve"> </w:t>
      </w:r>
      <w:r>
        <w:t>the</w:t>
      </w:r>
      <w:r>
        <w:rPr>
          <w:spacing w:val="-8"/>
        </w:rPr>
        <w:t xml:space="preserve"> </w:t>
      </w:r>
      <w:r>
        <w:rPr>
          <w:spacing w:val="-2"/>
        </w:rPr>
        <w:t>estimates.</w:t>
      </w:r>
    </w:p>
    <w:p w14:paraId="0DFDC66F" w14:textId="77777777" w:rsidR="00046465" w:rsidRDefault="008134EB">
      <w:pPr>
        <w:pStyle w:val="ListParagraph"/>
        <w:numPr>
          <w:ilvl w:val="0"/>
          <w:numId w:val="1"/>
        </w:numPr>
        <w:tabs>
          <w:tab w:val="left" w:pos="1800"/>
        </w:tabs>
        <w:ind w:right="994"/>
      </w:pPr>
      <w:r>
        <w:t>FASAB standards for social insurance programs require social insurance reporting</w:t>
      </w:r>
      <w:r>
        <w:rPr>
          <w:spacing w:val="-5"/>
        </w:rPr>
        <w:t xml:space="preserve"> </w:t>
      </w:r>
      <w:r>
        <w:t>entities’</w:t>
      </w:r>
      <w:r>
        <w:rPr>
          <w:spacing w:val="-5"/>
        </w:rPr>
        <w:t xml:space="preserve"> </w:t>
      </w:r>
      <w:r>
        <w:t>financial</w:t>
      </w:r>
      <w:r>
        <w:rPr>
          <w:spacing w:val="-5"/>
        </w:rPr>
        <w:t xml:space="preserve"> </w:t>
      </w:r>
      <w:r>
        <w:t>statements</w:t>
      </w:r>
      <w:r>
        <w:rPr>
          <w:spacing w:val="-5"/>
        </w:rPr>
        <w:t xml:space="preserve"> </w:t>
      </w:r>
      <w:r>
        <w:t>and</w:t>
      </w:r>
      <w:r>
        <w:rPr>
          <w:spacing w:val="-5"/>
        </w:rPr>
        <w:t xml:space="preserve"> </w:t>
      </w:r>
      <w:r>
        <w:t>the</w:t>
      </w:r>
      <w:r>
        <w:rPr>
          <w:spacing w:val="-5"/>
        </w:rPr>
        <w:t xml:space="preserve"> </w:t>
      </w:r>
      <w:r>
        <w:t>U.S.</w:t>
      </w:r>
      <w:r>
        <w:rPr>
          <w:spacing w:val="-5"/>
        </w:rPr>
        <w:t xml:space="preserve"> </w:t>
      </w:r>
      <w:r>
        <w:t>government’s</w:t>
      </w:r>
      <w:r>
        <w:rPr>
          <w:spacing w:val="-4"/>
        </w:rPr>
        <w:t xml:space="preserve"> </w:t>
      </w:r>
      <w:r>
        <w:t>consolidated financial statements to report the following for the Statement of Changes in Social Insurance Amounts:</w:t>
      </w:r>
    </w:p>
    <w:p w14:paraId="0DFDC670" w14:textId="77777777" w:rsidR="00046465" w:rsidRDefault="008134EB">
      <w:pPr>
        <w:pStyle w:val="ListParagraph"/>
        <w:numPr>
          <w:ilvl w:val="1"/>
          <w:numId w:val="1"/>
        </w:numPr>
        <w:tabs>
          <w:tab w:val="left" w:pos="2160"/>
        </w:tabs>
        <w:spacing w:before="119"/>
        <w:ind w:right="904"/>
      </w:pPr>
      <w:r>
        <w:t>The</w:t>
      </w:r>
      <w:r>
        <w:rPr>
          <w:spacing w:val="-4"/>
        </w:rPr>
        <w:t xml:space="preserve"> </w:t>
      </w:r>
      <w:r>
        <w:t>significant</w:t>
      </w:r>
      <w:r>
        <w:rPr>
          <w:spacing w:val="-4"/>
        </w:rPr>
        <w:t xml:space="preserve"> </w:t>
      </w:r>
      <w:r>
        <w:t>components</w:t>
      </w:r>
      <w:r>
        <w:rPr>
          <w:spacing w:val="-4"/>
        </w:rPr>
        <w:t xml:space="preserve"> </w:t>
      </w:r>
      <w:r>
        <w:t>of</w:t>
      </w:r>
      <w:r>
        <w:rPr>
          <w:spacing w:val="-4"/>
        </w:rPr>
        <w:t xml:space="preserve"> </w:t>
      </w:r>
      <w:r>
        <w:t>the</w:t>
      </w:r>
      <w:r>
        <w:rPr>
          <w:spacing w:val="-4"/>
        </w:rPr>
        <w:t xml:space="preserve"> </w:t>
      </w:r>
      <w:r>
        <w:t>changes</w:t>
      </w:r>
      <w:r>
        <w:rPr>
          <w:spacing w:val="-4"/>
        </w:rPr>
        <w:t xml:space="preserve"> </w:t>
      </w:r>
      <w:r>
        <w:t>in</w:t>
      </w:r>
      <w:r>
        <w:rPr>
          <w:spacing w:val="-4"/>
        </w:rPr>
        <w:t xml:space="preserve"> </w:t>
      </w:r>
      <w:r>
        <w:t>the</w:t>
      </w:r>
      <w:r>
        <w:rPr>
          <w:spacing w:val="-4"/>
        </w:rPr>
        <w:t xml:space="preserve"> </w:t>
      </w:r>
      <w:r>
        <w:t>open</w:t>
      </w:r>
      <w:r>
        <w:rPr>
          <w:spacing w:val="-4"/>
        </w:rPr>
        <w:t xml:space="preserve"> </w:t>
      </w:r>
      <w:r>
        <w:t>group</w:t>
      </w:r>
      <w:r>
        <w:rPr>
          <w:spacing w:val="-4"/>
        </w:rPr>
        <w:t xml:space="preserve"> </w:t>
      </w:r>
      <w:r>
        <w:t>measure</w:t>
      </w:r>
      <w:r>
        <w:rPr>
          <w:spacing w:val="-4"/>
        </w:rPr>
        <w:t xml:space="preserve"> </w:t>
      </w:r>
      <w:r>
        <w:t>from the end of the previous reporting period and the amounts associated with each type of change.</w:t>
      </w:r>
    </w:p>
    <w:p w14:paraId="0DFDC671" w14:textId="77777777" w:rsidR="00046465" w:rsidRDefault="008134EB">
      <w:pPr>
        <w:pStyle w:val="ListParagraph"/>
        <w:numPr>
          <w:ilvl w:val="1"/>
          <w:numId w:val="1"/>
        </w:numPr>
        <w:tabs>
          <w:tab w:val="left" w:pos="2160"/>
        </w:tabs>
        <w:ind w:right="1000"/>
      </w:pPr>
      <w:r>
        <w:t>The</w:t>
      </w:r>
      <w:r>
        <w:rPr>
          <w:spacing w:val="-4"/>
        </w:rPr>
        <w:t xml:space="preserve"> </w:t>
      </w:r>
      <w:r>
        <w:t>reasons</w:t>
      </w:r>
      <w:r>
        <w:rPr>
          <w:spacing w:val="-5"/>
        </w:rPr>
        <w:t xml:space="preserve"> </w:t>
      </w:r>
      <w:r>
        <w:t>for</w:t>
      </w:r>
      <w:r>
        <w:rPr>
          <w:spacing w:val="-4"/>
        </w:rPr>
        <w:t xml:space="preserve"> </w:t>
      </w:r>
      <w:r>
        <w:t>the</w:t>
      </w:r>
      <w:r>
        <w:rPr>
          <w:spacing w:val="-4"/>
        </w:rPr>
        <w:t xml:space="preserve"> </w:t>
      </w:r>
      <w:r>
        <w:t>changes,</w:t>
      </w:r>
      <w:r>
        <w:rPr>
          <w:spacing w:val="-4"/>
        </w:rPr>
        <w:t xml:space="preserve"> </w:t>
      </w:r>
      <w:r>
        <w:t>including</w:t>
      </w:r>
      <w:r>
        <w:rPr>
          <w:spacing w:val="-4"/>
        </w:rPr>
        <w:t xml:space="preserve"> </w:t>
      </w:r>
      <w:r>
        <w:t>explanations</w:t>
      </w:r>
      <w:r>
        <w:rPr>
          <w:spacing w:val="-4"/>
        </w:rPr>
        <w:t xml:space="preserve"> </w:t>
      </w:r>
      <w:r>
        <w:t>of</w:t>
      </w:r>
      <w:r>
        <w:rPr>
          <w:spacing w:val="-4"/>
        </w:rPr>
        <w:t xml:space="preserve"> </w:t>
      </w:r>
      <w:r>
        <w:t>the</w:t>
      </w:r>
      <w:r>
        <w:rPr>
          <w:spacing w:val="-4"/>
        </w:rPr>
        <w:t xml:space="preserve"> </w:t>
      </w:r>
      <w:r>
        <w:t>most</w:t>
      </w:r>
      <w:r>
        <w:rPr>
          <w:spacing w:val="-4"/>
        </w:rPr>
        <w:t xml:space="preserve"> </w:t>
      </w:r>
      <w:r>
        <w:t>significant changes, in notes on the face of the Statement of Changes in Social Insurance</w:t>
      </w:r>
      <w:r>
        <w:rPr>
          <w:spacing w:val="-2"/>
        </w:rPr>
        <w:t xml:space="preserve"> </w:t>
      </w:r>
      <w:r>
        <w:t>Amounts</w:t>
      </w:r>
      <w:r>
        <w:rPr>
          <w:spacing w:val="-2"/>
        </w:rPr>
        <w:t xml:space="preserve"> </w:t>
      </w:r>
      <w:r>
        <w:t>or</w:t>
      </w:r>
      <w:r>
        <w:rPr>
          <w:spacing w:val="-2"/>
        </w:rPr>
        <w:t xml:space="preserve"> </w:t>
      </w:r>
      <w:r>
        <w:t>in</w:t>
      </w:r>
      <w:r>
        <w:rPr>
          <w:spacing w:val="-2"/>
        </w:rPr>
        <w:t xml:space="preserve"> </w:t>
      </w:r>
      <w:r>
        <w:t>the</w:t>
      </w:r>
      <w:r>
        <w:rPr>
          <w:spacing w:val="-2"/>
        </w:rPr>
        <w:t xml:space="preserve"> </w:t>
      </w:r>
      <w:r>
        <w:t>notes</w:t>
      </w:r>
      <w:r>
        <w:rPr>
          <w:spacing w:val="-2"/>
        </w:rPr>
        <w:t xml:space="preserve"> </w:t>
      </w:r>
      <w:r>
        <w:t>that</w:t>
      </w:r>
      <w:r>
        <w:rPr>
          <w:spacing w:val="-2"/>
        </w:rPr>
        <w:t xml:space="preserve"> </w:t>
      </w:r>
      <w:r>
        <w:t>are</w:t>
      </w:r>
      <w:r>
        <w:rPr>
          <w:spacing w:val="-2"/>
        </w:rPr>
        <w:t xml:space="preserve"> </w:t>
      </w:r>
      <w:r>
        <w:t>presented</w:t>
      </w:r>
      <w:r>
        <w:rPr>
          <w:spacing w:val="-2"/>
        </w:rPr>
        <w:t xml:space="preserve"> </w:t>
      </w:r>
      <w:r>
        <w:t>as</w:t>
      </w:r>
      <w:r>
        <w:rPr>
          <w:spacing w:val="-2"/>
        </w:rPr>
        <w:t xml:space="preserve"> </w:t>
      </w:r>
      <w:r>
        <w:t>an</w:t>
      </w:r>
      <w:r>
        <w:rPr>
          <w:spacing w:val="-2"/>
        </w:rPr>
        <w:t xml:space="preserve"> </w:t>
      </w:r>
      <w:r>
        <w:t>integral</w:t>
      </w:r>
      <w:r>
        <w:rPr>
          <w:spacing w:val="-2"/>
        </w:rPr>
        <w:t xml:space="preserve"> </w:t>
      </w:r>
      <w:r>
        <w:t>part</w:t>
      </w:r>
      <w:r>
        <w:rPr>
          <w:spacing w:val="-3"/>
        </w:rPr>
        <w:t xml:space="preserve"> </w:t>
      </w:r>
      <w:r>
        <w:t>of the financial statements.</w:t>
      </w:r>
    </w:p>
    <w:p w14:paraId="0DFDC672" w14:textId="77777777" w:rsidR="00046465" w:rsidRDefault="008134EB">
      <w:pPr>
        <w:pStyle w:val="ListParagraph"/>
        <w:numPr>
          <w:ilvl w:val="1"/>
          <w:numId w:val="1"/>
        </w:numPr>
        <w:tabs>
          <w:tab w:val="left" w:pos="2160"/>
        </w:tabs>
        <w:spacing w:before="121"/>
        <w:ind w:right="807"/>
      </w:pPr>
      <w:r>
        <w:t>An explanation of the reasons for the most significant changes in the open group</w:t>
      </w:r>
      <w:r>
        <w:rPr>
          <w:spacing w:val="-4"/>
        </w:rPr>
        <w:t xml:space="preserve"> </w:t>
      </w:r>
      <w:r>
        <w:t>measure</w:t>
      </w:r>
      <w:r>
        <w:rPr>
          <w:spacing w:val="-4"/>
        </w:rPr>
        <w:t xml:space="preserve"> </w:t>
      </w:r>
      <w:r>
        <w:t>during</w:t>
      </w:r>
      <w:r>
        <w:rPr>
          <w:spacing w:val="-4"/>
        </w:rPr>
        <w:t xml:space="preserve"> </w:t>
      </w:r>
      <w:r>
        <w:t>the</w:t>
      </w:r>
      <w:r>
        <w:rPr>
          <w:spacing w:val="-4"/>
        </w:rPr>
        <w:t xml:space="preserve"> </w:t>
      </w:r>
      <w:r>
        <w:t>reporting</w:t>
      </w:r>
      <w:r>
        <w:rPr>
          <w:spacing w:val="-5"/>
        </w:rPr>
        <w:t xml:space="preserve"> </w:t>
      </w:r>
      <w:r>
        <w:t>periods</w:t>
      </w:r>
      <w:r>
        <w:rPr>
          <w:spacing w:val="-4"/>
        </w:rPr>
        <w:t xml:space="preserve"> </w:t>
      </w:r>
      <w:r>
        <w:t>in</w:t>
      </w:r>
      <w:r>
        <w:rPr>
          <w:spacing w:val="-4"/>
        </w:rPr>
        <w:t xml:space="preserve"> </w:t>
      </w:r>
      <w:r>
        <w:t>the</w:t>
      </w:r>
      <w:r>
        <w:rPr>
          <w:spacing w:val="-4"/>
        </w:rPr>
        <w:t xml:space="preserve"> </w:t>
      </w:r>
      <w:r>
        <w:t>entity’s</w:t>
      </w:r>
      <w:r>
        <w:rPr>
          <w:spacing w:val="-5"/>
        </w:rPr>
        <w:t xml:space="preserve"> </w:t>
      </w:r>
      <w:r>
        <w:t>MD&amp;A.</w:t>
      </w:r>
      <w:r>
        <w:rPr>
          <w:spacing w:val="-4"/>
        </w:rPr>
        <w:t xml:space="preserve"> </w:t>
      </w:r>
      <w:r>
        <w:t>In</w:t>
      </w:r>
      <w:r>
        <w:rPr>
          <w:spacing w:val="-4"/>
        </w:rPr>
        <w:t xml:space="preserve"> </w:t>
      </w:r>
      <w:r>
        <w:t>addition, the entity’s MD&amp;A should discuss the closed group measure in the narrative and explain how it differs from the open group measure and the significance of the difference.</w:t>
      </w:r>
    </w:p>
    <w:p w14:paraId="0DFDC673" w14:textId="77777777" w:rsidR="00046465" w:rsidRDefault="008134EB">
      <w:pPr>
        <w:pStyle w:val="Heading4"/>
        <w:spacing w:before="240"/>
      </w:pPr>
      <w:bookmarkStart w:id="342" w:name="Accounting_and_Reporting_Information"/>
      <w:bookmarkEnd w:id="342"/>
      <w:r>
        <w:t>Accounting</w:t>
      </w:r>
      <w:r>
        <w:rPr>
          <w:spacing w:val="-15"/>
        </w:rPr>
        <w:t xml:space="preserve"> </w:t>
      </w:r>
      <w:r>
        <w:t>and</w:t>
      </w:r>
      <w:r>
        <w:rPr>
          <w:spacing w:val="-14"/>
        </w:rPr>
        <w:t xml:space="preserve"> </w:t>
      </w:r>
      <w:r>
        <w:t>Reporting</w:t>
      </w:r>
      <w:r>
        <w:rPr>
          <w:spacing w:val="-13"/>
        </w:rPr>
        <w:t xml:space="preserve"> </w:t>
      </w:r>
      <w:r>
        <w:rPr>
          <w:spacing w:val="-2"/>
        </w:rPr>
        <w:t>Information</w:t>
      </w:r>
    </w:p>
    <w:p w14:paraId="0DFDC674" w14:textId="77777777" w:rsidR="00046465" w:rsidRDefault="008134EB">
      <w:pPr>
        <w:pStyle w:val="ListParagraph"/>
        <w:numPr>
          <w:ilvl w:val="0"/>
          <w:numId w:val="1"/>
        </w:numPr>
        <w:tabs>
          <w:tab w:val="left" w:pos="1800"/>
        </w:tabs>
        <w:spacing w:before="119"/>
        <w:ind w:right="1301"/>
      </w:pPr>
      <w:r>
        <w:t>FASAB</w:t>
      </w:r>
      <w:r>
        <w:rPr>
          <w:spacing w:val="-4"/>
        </w:rPr>
        <w:t xml:space="preserve"> </w:t>
      </w:r>
      <w:r>
        <w:t>has</w:t>
      </w:r>
      <w:r>
        <w:rPr>
          <w:spacing w:val="-3"/>
        </w:rPr>
        <w:t xml:space="preserve"> </w:t>
      </w:r>
      <w:r>
        <w:t>issued</w:t>
      </w:r>
      <w:r>
        <w:rPr>
          <w:spacing w:val="-4"/>
        </w:rPr>
        <w:t xml:space="preserve"> </w:t>
      </w:r>
      <w:r>
        <w:t>the</w:t>
      </w:r>
      <w:r>
        <w:rPr>
          <w:spacing w:val="-4"/>
        </w:rPr>
        <w:t xml:space="preserve"> </w:t>
      </w:r>
      <w:r>
        <w:t>following</w:t>
      </w:r>
      <w:r>
        <w:rPr>
          <w:spacing w:val="-4"/>
        </w:rPr>
        <w:t xml:space="preserve"> </w:t>
      </w:r>
      <w:r>
        <w:t>standards</w:t>
      </w:r>
      <w:r>
        <w:rPr>
          <w:spacing w:val="-4"/>
        </w:rPr>
        <w:t xml:space="preserve"> </w:t>
      </w:r>
      <w:r>
        <w:t>for</w:t>
      </w:r>
      <w:r>
        <w:rPr>
          <w:spacing w:val="-4"/>
        </w:rPr>
        <w:t xml:space="preserve"> </w:t>
      </w:r>
      <w:r>
        <w:t>reporting</w:t>
      </w:r>
      <w:r>
        <w:rPr>
          <w:spacing w:val="-4"/>
        </w:rPr>
        <w:t xml:space="preserve"> </w:t>
      </w:r>
      <w:r>
        <w:t>on</w:t>
      </w:r>
      <w:r>
        <w:rPr>
          <w:spacing w:val="-5"/>
        </w:rPr>
        <w:t xml:space="preserve"> </w:t>
      </w:r>
      <w:r>
        <w:t>social</w:t>
      </w:r>
      <w:r>
        <w:rPr>
          <w:spacing w:val="-5"/>
        </w:rPr>
        <w:t xml:space="preserve"> </w:t>
      </w:r>
      <w:r>
        <w:t>insurance programs of federal entities.</w:t>
      </w:r>
    </w:p>
    <w:p w14:paraId="0DFDC675" w14:textId="77777777" w:rsidR="00046465" w:rsidRDefault="008134EB">
      <w:pPr>
        <w:pStyle w:val="ListParagraph"/>
        <w:numPr>
          <w:ilvl w:val="0"/>
          <w:numId w:val="76"/>
        </w:numPr>
        <w:tabs>
          <w:tab w:val="left" w:pos="2159"/>
        </w:tabs>
        <w:ind w:right="894"/>
      </w:pPr>
      <w:r>
        <w:rPr>
          <w:b/>
        </w:rPr>
        <w:t>SFFAS 17</w:t>
      </w:r>
      <w:r>
        <w:t xml:space="preserve">, </w:t>
      </w:r>
      <w:r>
        <w:rPr>
          <w:i/>
        </w:rPr>
        <w:t>Accounting for Social Insurance</w:t>
      </w:r>
      <w:r>
        <w:t>, effective for periods beginning after September 30, 1999, presents accounting standards for federal social insurance programs covering Social Security (Old-Age, Survivors, and Disability</w:t>
      </w:r>
      <w:r>
        <w:rPr>
          <w:spacing w:val="-6"/>
        </w:rPr>
        <w:t xml:space="preserve"> </w:t>
      </w:r>
      <w:r>
        <w:t>Insurance),</w:t>
      </w:r>
      <w:r>
        <w:rPr>
          <w:spacing w:val="-6"/>
        </w:rPr>
        <w:t xml:space="preserve"> </w:t>
      </w:r>
      <w:r>
        <w:t>Medicare</w:t>
      </w:r>
      <w:r>
        <w:rPr>
          <w:spacing w:val="-6"/>
        </w:rPr>
        <w:t xml:space="preserve"> </w:t>
      </w:r>
      <w:r>
        <w:t>(Hospital</w:t>
      </w:r>
      <w:r>
        <w:rPr>
          <w:spacing w:val="-6"/>
        </w:rPr>
        <w:t xml:space="preserve"> </w:t>
      </w:r>
      <w:r>
        <w:t>Insurance</w:t>
      </w:r>
      <w:r>
        <w:rPr>
          <w:spacing w:val="-6"/>
        </w:rPr>
        <w:t xml:space="preserve"> </w:t>
      </w:r>
      <w:r>
        <w:t>(Part</w:t>
      </w:r>
      <w:r>
        <w:rPr>
          <w:spacing w:val="-6"/>
        </w:rPr>
        <w:t xml:space="preserve"> </w:t>
      </w:r>
      <w:r>
        <w:t>A),</w:t>
      </w:r>
      <w:r>
        <w:rPr>
          <w:spacing w:val="-6"/>
        </w:rPr>
        <w:t xml:space="preserve"> </w:t>
      </w:r>
      <w:r>
        <w:t>Supplementary</w:t>
      </w:r>
    </w:p>
    <w:p w14:paraId="0DFDC676" w14:textId="77777777" w:rsidR="00046465" w:rsidRDefault="00046465">
      <w:pPr>
        <w:pStyle w:val="BodyText"/>
        <w:rPr>
          <w:sz w:val="20"/>
        </w:rPr>
      </w:pPr>
    </w:p>
    <w:p w14:paraId="0DFDC677" w14:textId="77777777" w:rsidR="00046465" w:rsidRDefault="008134EB">
      <w:pPr>
        <w:pStyle w:val="BodyText"/>
        <w:spacing w:before="53"/>
        <w:rPr>
          <w:sz w:val="20"/>
        </w:rPr>
      </w:pPr>
      <w:r>
        <w:rPr>
          <w:noProof/>
          <w:sz w:val="20"/>
        </w:rPr>
        <mc:AlternateContent>
          <mc:Choice Requires="wps">
            <w:drawing>
              <wp:anchor distT="0" distB="0" distL="0" distR="0" simplePos="0" relativeHeight="487728640" behindDoc="1" locked="0" layoutInCell="1" allowOverlap="1" wp14:anchorId="0DFDD739" wp14:editId="0DFDD73A">
                <wp:simplePos x="0" y="0"/>
                <wp:positionH relativeFrom="page">
                  <wp:posOffset>914400</wp:posOffset>
                </wp:positionH>
                <wp:positionV relativeFrom="paragraph">
                  <wp:posOffset>195288</wp:posOffset>
                </wp:positionV>
                <wp:extent cx="1828800" cy="5715"/>
                <wp:effectExtent l="0" t="0" r="0" b="0"/>
                <wp:wrapTopAndBottom/>
                <wp:docPr id="1056" name="Graphic 10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6816FD" id="Graphic 1056" o:spid="_x0000_s1026" style="position:absolute;margin-left:1in;margin-top:15.4pt;width:2in;height:.45pt;z-index:-1558784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" path="m1828800,l,,,5321r1828800,l1828800,xe" fillcolor="black" stroked="f">
                <v:path arrowok="t"/>
                <w10:wrap type="topAndBottom" anchorx="page"/>
              </v:shape>
            </w:pict>
          </mc:Fallback>
        </mc:AlternateContent>
      </w:r>
    </w:p>
    <w:p w14:paraId="0DFDC678" w14:textId="77777777" w:rsidR="00046465" w:rsidRDefault="008134EB">
      <w:pPr>
        <w:spacing w:before="202" w:line="249" w:lineRule="auto"/>
        <w:ind w:left="359" w:right="749"/>
        <w:rPr>
          <w:sz w:val="18"/>
        </w:rPr>
      </w:pPr>
      <w:bookmarkStart w:id="343" w:name="_bookmark198"/>
      <w:bookmarkEnd w:id="343"/>
      <w:r>
        <w:rPr>
          <w:position w:val="7"/>
          <w:sz w:val="14"/>
        </w:rPr>
        <w:t>49</w:t>
      </w:r>
      <w:r>
        <w:rPr>
          <w:sz w:val="18"/>
        </w:rPr>
        <w:t>The</w:t>
      </w:r>
      <w:r>
        <w:rPr>
          <w:spacing w:val="-3"/>
          <w:sz w:val="18"/>
        </w:rPr>
        <w:t xml:space="preserve"> </w:t>
      </w:r>
      <w:r>
        <w:rPr>
          <w:i/>
          <w:sz w:val="18"/>
        </w:rPr>
        <w:t>closed</w:t>
      </w:r>
      <w:r>
        <w:rPr>
          <w:i/>
          <w:spacing w:val="-3"/>
          <w:sz w:val="18"/>
        </w:rPr>
        <w:t xml:space="preserve"> </w:t>
      </w:r>
      <w:r>
        <w:rPr>
          <w:i/>
          <w:sz w:val="18"/>
        </w:rPr>
        <w:t>group</w:t>
      </w:r>
      <w:r>
        <w:rPr>
          <w:i/>
          <w:spacing w:val="-2"/>
          <w:sz w:val="18"/>
        </w:rPr>
        <w:t xml:space="preserve"> </w:t>
      </w:r>
      <w:r>
        <w:rPr>
          <w:sz w:val="18"/>
        </w:rPr>
        <w:t>is</w:t>
      </w:r>
      <w:r>
        <w:rPr>
          <w:spacing w:val="-2"/>
          <w:sz w:val="18"/>
        </w:rPr>
        <w:t xml:space="preserve"> </w:t>
      </w:r>
      <w:r>
        <w:rPr>
          <w:sz w:val="18"/>
        </w:rPr>
        <w:t>defined</w:t>
      </w:r>
      <w:r>
        <w:rPr>
          <w:spacing w:val="-3"/>
          <w:sz w:val="18"/>
        </w:rPr>
        <w:t xml:space="preserve"> </w:t>
      </w:r>
      <w:r>
        <w:rPr>
          <w:sz w:val="18"/>
        </w:rPr>
        <w:t>as</w:t>
      </w:r>
      <w:r>
        <w:rPr>
          <w:spacing w:val="-2"/>
          <w:sz w:val="18"/>
        </w:rPr>
        <w:t xml:space="preserve"> </w:t>
      </w:r>
      <w:r>
        <w:rPr>
          <w:sz w:val="18"/>
        </w:rPr>
        <w:t>those</w:t>
      </w:r>
      <w:r>
        <w:rPr>
          <w:spacing w:val="-3"/>
          <w:sz w:val="18"/>
        </w:rPr>
        <w:t xml:space="preserve"> </w:t>
      </w:r>
      <w:r>
        <w:rPr>
          <w:sz w:val="18"/>
        </w:rPr>
        <w:t>persons</w:t>
      </w:r>
      <w:r>
        <w:rPr>
          <w:spacing w:val="-2"/>
          <w:sz w:val="18"/>
        </w:rPr>
        <w:t xml:space="preserve"> </w:t>
      </w:r>
      <w:r>
        <w:rPr>
          <w:sz w:val="18"/>
        </w:rPr>
        <w:t>who,</w:t>
      </w:r>
      <w:r>
        <w:rPr>
          <w:spacing w:val="-2"/>
          <w:sz w:val="18"/>
        </w:rPr>
        <w:t xml:space="preserve"> </w:t>
      </w:r>
      <w:r>
        <w:rPr>
          <w:sz w:val="18"/>
        </w:rPr>
        <w:t>as</w:t>
      </w:r>
      <w:r>
        <w:rPr>
          <w:spacing w:val="-2"/>
          <w:sz w:val="18"/>
        </w:rPr>
        <w:t xml:space="preserve"> </w:t>
      </w:r>
      <w:r>
        <w:rPr>
          <w:sz w:val="18"/>
        </w:rPr>
        <w:t>of</w:t>
      </w:r>
      <w:r>
        <w:rPr>
          <w:spacing w:val="-2"/>
          <w:sz w:val="18"/>
        </w:rPr>
        <w:t xml:space="preserve"> </w:t>
      </w:r>
      <w:r>
        <w:rPr>
          <w:sz w:val="18"/>
        </w:rPr>
        <w:t>a</w:t>
      </w:r>
      <w:r>
        <w:rPr>
          <w:spacing w:val="-3"/>
          <w:sz w:val="18"/>
        </w:rPr>
        <w:t xml:space="preserve"> </w:t>
      </w:r>
      <w:r>
        <w:rPr>
          <w:sz w:val="18"/>
        </w:rPr>
        <w:t>valuation</w:t>
      </w:r>
      <w:r>
        <w:rPr>
          <w:spacing w:val="-1"/>
          <w:sz w:val="18"/>
        </w:rPr>
        <w:t xml:space="preserve"> </w:t>
      </w:r>
      <w:r>
        <w:rPr>
          <w:sz w:val="18"/>
        </w:rPr>
        <w:t>date,</w:t>
      </w:r>
      <w:r>
        <w:rPr>
          <w:spacing w:val="-2"/>
          <w:sz w:val="18"/>
        </w:rPr>
        <w:t xml:space="preserve"> </w:t>
      </w:r>
      <w:r>
        <w:rPr>
          <w:sz w:val="18"/>
        </w:rPr>
        <w:t>are</w:t>
      </w:r>
      <w:r>
        <w:rPr>
          <w:spacing w:val="-3"/>
          <w:sz w:val="18"/>
        </w:rPr>
        <w:t xml:space="preserve"> </w:t>
      </w:r>
      <w:r>
        <w:rPr>
          <w:sz w:val="18"/>
        </w:rPr>
        <w:t>participants</w:t>
      </w:r>
      <w:r>
        <w:rPr>
          <w:spacing w:val="-2"/>
          <w:sz w:val="18"/>
        </w:rPr>
        <w:t xml:space="preserve"> </w:t>
      </w:r>
      <w:r>
        <w:rPr>
          <w:sz w:val="18"/>
        </w:rPr>
        <w:t>in</w:t>
      </w:r>
      <w:r>
        <w:rPr>
          <w:spacing w:val="-3"/>
          <w:sz w:val="18"/>
        </w:rPr>
        <w:t xml:space="preserve"> </w:t>
      </w:r>
      <w:r>
        <w:rPr>
          <w:sz w:val="18"/>
        </w:rPr>
        <w:t>a</w:t>
      </w:r>
      <w:r>
        <w:rPr>
          <w:spacing w:val="-3"/>
          <w:sz w:val="18"/>
        </w:rPr>
        <w:t xml:space="preserve"> </w:t>
      </w:r>
      <w:r>
        <w:rPr>
          <w:sz w:val="18"/>
        </w:rPr>
        <w:t>social</w:t>
      </w:r>
      <w:r>
        <w:rPr>
          <w:spacing w:val="-2"/>
          <w:sz w:val="18"/>
        </w:rPr>
        <w:t xml:space="preserve"> </w:t>
      </w:r>
      <w:r>
        <w:rPr>
          <w:sz w:val="18"/>
        </w:rPr>
        <w:t>insurance program as beneficiaries, covered workers, or payers of earmarked taxes or premiums.</w:t>
      </w:r>
    </w:p>
    <w:p w14:paraId="0DFDC679" w14:textId="77777777" w:rsidR="00046465" w:rsidRDefault="00046465">
      <w:pPr>
        <w:spacing w:line="249" w:lineRule="auto"/>
        <w:rPr>
          <w:sz w:val="18"/>
        </w:rPr>
        <w:sectPr w:rsidR="00046465">
          <w:headerReference w:type="default" r:id="rId220"/>
          <w:footerReference w:type="default" r:id="rId221"/>
          <w:pgSz w:w="12240" w:h="15840"/>
          <w:pgMar w:top="1600" w:right="720" w:bottom="940" w:left="1080" w:header="721" w:footer="757" w:gutter="0"/>
          <w:pgNumType w:start="2"/>
          <w:cols w:space="720"/>
        </w:sectPr>
      </w:pPr>
    </w:p>
    <w:p w14:paraId="0DFDC67A" w14:textId="77777777" w:rsidR="00046465" w:rsidRDefault="008134EB">
      <w:pPr>
        <w:pStyle w:val="BodyText"/>
        <w:spacing w:before="121"/>
        <w:ind w:left="2159" w:right="773"/>
      </w:pPr>
      <w:r>
        <w:lastRenderedPageBreak/>
        <w:t>Medical Insurance (Part B), and Prescription Drug Benefit (Part D)),</w:t>
      </w:r>
      <w:hyperlink w:anchor="_bookmark199" w:history="1">
        <w:r>
          <w:rPr>
            <w:position w:val="7"/>
            <w:sz w:val="14"/>
          </w:rPr>
          <w:t>50</w:t>
        </w:r>
      </w:hyperlink>
      <w:r>
        <w:rPr>
          <w:spacing w:val="40"/>
          <w:position w:val="7"/>
          <w:sz w:val="14"/>
        </w:rPr>
        <w:t xml:space="preserve"> </w:t>
      </w:r>
      <w:r>
        <w:t>Railroad</w:t>
      </w:r>
      <w:r>
        <w:rPr>
          <w:spacing w:val="-5"/>
        </w:rPr>
        <w:t xml:space="preserve"> </w:t>
      </w:r>
      <w:r>
        <w:t>Retirement,</w:t>
      </w:r>
      <w:r>
        <w:rPr>
          <w:spacing w:val="-5"/>
        </w:rPr>
        <w:t xml:space="preserve"> </w:t>
      </w:r>
      <w:r>
        <w:t>and</w:t>
      </w:r>
      <w:r>
        <w:rPr>
          <w:spacing w:val="-5"/>
        </w:rPr>
        <w:t xml:space="preserve"> </w:t>
      </w:r>
      <w:r>
        <w:t>Black</w:t>
      </w:r>
      <w:r>
        <w:rPr>
          <w:spacing w:val="-5"/>
        </w:rPr>
        <w:t xml:space="preserve"> </w:t>
      </w:r>
      <w:r>
        <w:t>Lung</w:t>
      </w:r>
      <w:r>
        <w:rPr>
          <w:spacing w:val="-6"/>
        </w:rPr>
        <w:t xml:space="preserve"> </w:t>
      </w:r>
      <w:r>
        <w:t>benefits</w:t>
      </w:r>
      <w:r>
        <w:rPr>
          <w:spacing w:val="-5"/>
        </w:rPr>
        <w:t xml:space="preserve"> </w:t>
      </w:r>
      <w:r>
        <w:t>and</w:t>
      </w:r>
      <w:r>
        <w:rPr>
          <w:spacing w:val="-6"/>
        </w:rPr>
        <w:t xml:space="preserve"> </w:t>
      </w:r>
      <w:r>
        <w:t>Unemployment</w:t>
      </w:r>
      <w:r>
        <w:rPr>
          <w:spacing w:val="-5"/>
        </w:rPr>
        <w:t xml:space="preserve"> </w:t>
      </w:r>
      <w:r>
        <w:t xml:space="preserve">Insurance. Social insurance programs covered by SFFAS 17 have five common </w:t>
      </w:r>
      <w:r>
        <w:rPr>
          <w:spacing w:val="-2"/>
        </w:rPr>
        <w:t>characteristics:</w:t>
      </w:r>
    </w:p>
    <w:p w14:paraId="0DFDC67B" w14:textId="77777777" w:rsidR="00046465" w:rsidRDefault="008134EB">
      <w:pPr>
        <w:pStyle w:val="ListParagraph"/>
        <w:numPr>
          <w:ilvl w:val="1"/>
          <w:numId w:val="76"/>
        </w:numPr>
        <w:tabs>
          <w:tab w:val="left" w:pos="2518"/>
        </w:tabs>
        <w:ind w:left="2518" w:hanging="359"/>
      </w:pPr>
      <w:r>
        <w:t>financing</w:t>
      </w:r>
      <w:r>
        <w:rPr>
          <w:spacing w:val="-7"/>
        </w:rPr>
        <w:t xml:space="preserve"> </w:t>
      </w:r>
      <w:r>
        <w:t>from</w:t>
      </w:r>
      <w:r>
        <w:rPr>
          <w:spacing w:val="-7"/>
        </w:rPr>
        <w:t xml:space="preserve"> </w:t>
      </w:r>
      <w:r>
        <w:t>participants</w:t>
      </w:r>
      <w:r>
        <w:rPr>
          <w:spacing w:val="-6"/>
        </w:rPr>
        <w:t xml:space="preserve"> </w:t>
      </w:r>
      <w:r>
        <w:t>or</w:t>
      </w:r>
      <w:r>
        <w:rPr>
          <w:spacing w:val="-7"/>
        </w:rPr>
        <w:t xml:space="preserve"> </w:t>
      </w:r>
      <w:r>
        <w:t>their</w:t>
      </w:r>
      <w:r>
        <w:rPr>
          <w:spacing w:val="-6"/>
        </w:rPr>
        <w:t xml:space="preserve"> </w:t>
      </w:r>
      <w:r>
        <w:rPr>
          <w:spacing w:val="-2"/>
        </w:rPr>
        <w:t>employers,</w:t>
      </w:r>
    </w:p>
    <w:p w14:paraId="0DFDC67C" w14:textId="77777777" w:rsidR="00046465" w:rsidRDefault="008134EB">
      <w:pPr>
        <w:pStyle w:val="ListParagraph"/>
        <w:numPr>
          <w:ilvl w:val="1"/>
          <w:numId w:val="76"/>
        </w:numPr>
        <w:tabs>
          <w:tab w:val="left" w:pos="2519"/>
        </w:tabs>
        <w:ind w:right="2036"/>
      </w:pPr>
      <w:r>
        <w:t>eligibility</w:t>
      </w:r>
      <w:r>
        <w:rPr>
          <w:spacing w:val="-4"/>
        </w:rPr>
        <w:t xml:space="preserve"> </w:t>
      </w:r>
      <w:r>
        <w:t>from</w:t>
      </w:r>
      <w:r>
        <w:rPr>
          <w:spacing w:val="-5"/>
        </w:rPr>
        <w:t xml:space="preserve"> </w:t>
      </w:r>
      <w:r>
        <w:t>taxes</w:t>
      </w:r>
      <w:r>
        <w:rPr>
          <w:spacing w:val="-4"/>
        </w:rPr>
        <w:t xml:space="preserve"> </w:t>
      </w:r>
      <w:r>
        <w:t>or</w:t>
      </w:r>
      <w:r>
        <w:rPr>
          <w:spacing w:val="-4"/>
        </w:rPr>
        <w:t xml:space="preserve"> </w:t>
      </w:r>
      <w:r>
        <w:t>fees</w:t>
      </w:r>
      <w:r>
        <w:rPr>
          <w:spacing w:val="-4"/>
        </w:rPr>
        <w:t xml:space="preserve"> </w:t>
      </w:r>
      <w:r>
        <w:t>paid</w:t>
      </w:r>
      <w:r>
        <w:rPr>
          <w:spacing w:val="-4"/>
        </w:rPr>
        <w:t xml:space="preserve"> </w:t>
      </w:r>
      <w:r>
        <w:t>and</w:t>
      </w:r>
      <w:r>
        <w:rPr>
          <w:spacing w:val="-4"/>
        </w:rPr>
        <w:t xml:space="preserve"> </w:t>
      </w:r>
      <w:r>
        <w:t>time</w:t>
      </w:r>
      <w:r>
        <w:rPr>
          <w:spacing w:val="-4"/>
        </w:rPr>
        <w:t xml:space="preserve"> </w:t>
      </w:r>
      <w:r>
        <w:t>worked</w:t>
      </w:r>
      <w:r>
        <w:rPr>
          <w:spacing w:val="-4"/>
        </w:rPr>
        <w:t xml:space="preserve"> </w:t>
      </w:r>
      <w:r>
        <w:t>in</w:t>
      </w:r>
      <w:r>
        <w:rPr>
          <w:spacing w:val="-4"/>
        </w:rPr>
        <w:t xml:space="preserve"> </w:t>
      </w:r>
      <w:r>
        <w:t xml:space="preserve">covered </w:t>
      </w:r>
      <w:r>
        <w:rPr>
          <w:spacing w:val="-2"/>
        </w:rPr>
        <w:t>employment,</w:t>
      </w:r>
    </w:p>
    <w:p w14:paraId="0DFDC67D" w14:textId="77777777" w:rsidR="00046465" w:rsidRDefault="008134EB">
      <w:pPr>
        <w:pStyle w:val="ListParagraph"/>
        <w:numPr>
          <w:ilvl w:val="1"/>
          <w:numId w:val="76"/>
        </w:numPr>
        <w:tabs>
          <w:tab w:val="left" w:pos="2518"/>
        </w:tabs>
        <w:spacing w:before="119"/>
        <w:ind w:left="2518" w:hanging="359"/>
      </w:pPr>
      <w:r>
        <w:t>benefits</w:t>
      </w:r>
      <w:r>
        <w:rPr>
          <w:spacing w:val="-6"/>
        </w:rPr>
        <w:t xml:space="preserve"> </w:t>
      </w:r>
      <w:r>
        <w:t>not</w:t>
      </w:r>
      <w:r>
        <w:rPr>
          <w:spacing w:val="-6"/>
        </w:rPr>
        <w:t xml:space="preserve"> </w:t>
      </w:r>
      <w:r>
        <w:t>directly</w:t>
      </w:r>
      <w:r>
        <w:rPr>
          <w:spacing w:val="-5"/>
        </w:rPr>
        <w:t xml:space="preserve"> </w:t>
      </w:r>
      <w:r>
        <w:t>related</w:t>
      </w:r>
      <w:r>
        <w:rPr>
          <w:spacing w:val="-5"/>
        </w:rPr>
        <w:t xml:space="preserve"> </w:t>
      </w:r>
      <w:r>
        <w:t>to</w:t>
      </w:r>
      <w:r>
        <w:rPr>
          <w:spacing w:val="-5"/>
        </w:rPr>
        <w:t xml:space="preserve"> </w:t>
      </w:r>
      <w:r>
        <w:t>taxes</w:t>
      </w:r>
      <w:r>
        <w:rPr>
          <w:spacing w:val="-6"/>
        </w:rPr>
        <w:t xml:space="preserve"> </w:t>
      </w:r>
      <w:r>
        <w:t>or</w:t>
      </w:r>
      <w:r>
        <w:rPr>
          <w:spacing w:val="-5"/>
        </w:rPr>
        <w:t xml:space="preserve"> </w:t>
      </w:r>
      <w:r>
        <w:t>fees</w:t>
      </w:r>
      <w:r>
        <w:rPr>
          <w:spacing w:val="-5"/>
        </w:rPr>
        <w:t xml:space="preserve"> </w:t>
      </w:r>
      <w:r>
        <w:rPr>
          <w:spacing w:val="-2"/>
        </w:rPr>
        <w:t>paid,</w:t>
      </w:r>
    </w:p>
    <w:p w14:paraId="0DFDC67E" w14:textId="77777777" w:rsidR="00046465" w:rsidRDefault="008134EB">
      <w:pPr>
        <w:pStyle w:val="ListParagraph"/>
        <w:numPr>
          <w:ilvl w:val="1"/>
          <w:numId w:val="76"/>
        </w:numPr>
        <w:tabs>
          <w:tab w:val="left" w:pos="2518"/>
        </w:tabs>
        <w:ind w:left="2518" w:hanging="359"/>
      </w:pPr>
      <w:r>
        <w:t>benefits</w:t>
      </w:r>
      <w:r>
        <w:rPr>
          <w:spacing w:val="-7"/>
        </w:rPr>
        <w:t xml:space="preserve"> </w:t>
      </w:r>
      <w:r>
        <w:t>prescribed</w:t>
      </w:r>
      <w:r>
        <w:rPr>
          <w:spacing w:val="-6"/>
        </w:rPr>
        <w:t xml:space="preserve"> </w:t>
      </w:r>
      <w:r>
        <w:t>in</w:t>
      </w:r>
      <w:r>
        <w:rPr>
          <w:spacing w:val="-8"/>
        </w:rPr>
        <w:t xml:space="preserve"> </w:t>
      </w:r>
      <w:r>
        <w:t>law,</w:t>
      </w:r>
      <w:r>
        <w:rPr>
          <w:spacing w:val="-6"/>
        </w:rPr>
        <w:t xml:space="preserve"> </w:t>
      </w:r>
      <w:r>
        <w:rPr>
          <w:spacing w:val="-5"/>
        </w:rPr>
        <w:t>and</w:t>
      </w:r>
    </w:p>
    <w:p w14:paraId="0DFDC67F" w14:textId="77777777" w:rsidR="00046465" w:rsidRDefault="008134EB">
      <w:pPr>
        <w:pStyle w:val="ListParagraph"/>
        <w:numPr>
          <w:ilvl w:val="1"/>
          <w:numId w:val="76"/>
        </w:numPr>
        <w:tabs>
          <w:tab w:val="left" w:pos="2518"/>
        </w:tabs>
        <w:ind w:left="2518" w:hanging="359"/>
      </w:pPr>
      <w:r>
        <w:t>program</w:t>
      </w:r>
      <w:r>
        <w:rPr>
          <w:spacing w:val="-8"/>
        </w:rPr>
        <w:t xml:space="preserve"> </w:t>
      </w:r>
      <w:r>
        <w:t>intended</w:t>
      </w:r>
      <w:r>
        <w:rPr>
          <w:spacing w:val="-6"/>
        </w:rPr>
        <w:t xml:space="preserve"> </w:t>
      </w:r>
      <w:r>
        <w:t>for</w:t>
      </w:r>
      <w:r>
        <w:rPr>
          <w:spacing w:val="-6"/>
        </w:rPr>
        <w:t xml:space="preserve"> </w:t>
      </w:r>
      <w:r>
        <w:t>the</w:t>
      </w:r>
      <w:r>
        <w:rPr>
          <w:spacing w:val="-6"/>
        </w:rPr>
        <w:t xml:space="preserve"> </w:t>
      </w:r>
      <w:r>
        <w:t>general</w:t>
      </w:r>
      <w:r>
        <w:rPr>
          <w:spacing w:val="-6"/>
        </w:rPr>
        <w:t xml:space="preserve"> </w:t>
      </w:r>
      <w:r>
        <w:rPr>
          <w:spacing w:val="-2"/>
        </w:rPr>
        <w:t>public.</w:t>
      </w:r>
    </w:p>
    <w:p w14:paraId="0DFDC680" w14:textId="77777777" w:rsidR="00046465" w:rsidRDefault="008134EB">
      <w:pPr>
        <w:pStyle w:val="ListParagraph"/>
        <w:numPr>
          <w:ilvl w:val="0"/>
          <w:numId w:val="76"/>
        </w:numPr>
        <w:tabs>
          <w:tab w:val="left" w:pos="2159"/>
        </w:tabs>
        <w:ind w:right="733"/>
      </w:pPr>
      <w:r>
        <w:rPr>
          <w:b/>
        </w:rPr>
        <w:t>SFFAS 25</w:t>
      </w:r>
      <w:r>
        <w:t xml:space="preserve">, </w:t>
      </w:r>
      <w:r>
        <w:rPr>
          <w:i/>
        </w:rPr>
        <w:t>Reclassification of Stewardship Responsibilities and Eliminating the</w:t>
      </w:r>
      <w:r>
        <w:rPr>
          <w:i/>
          <w:spacing w:val="-4"/>
        </w:rPr>
        <w:t xml:space="preserve"> </w:t>
      </w:r>
      <w:r>
        <w:rPr>
          <w:i/>
        </w:rPr>
        <w:t>Current</w:t>
      </w:r>
      <w:r>
        <w:rPr>
          <w:i/>
          <w:spacing w:val="-4"/>
        </w:rPr>
        <w:t xml:space="preserve"> </w:t>
      </w:r>
      <w:r>
        <w:rPr>
          <w:i/>
        </w:rPr>
        <w:t>Services</w:t>
      </w:r>
      <w:r>
        <w:rPr>
          <w:i/>
          <w:spacing w:val="-4"/>
        </w:rPr>
        <w:t xml:space="preserve"> </w:t>
      </w:r>
      <w:r>
        <w:rPr>
          <w:i/>
        </w:rPr>
        <w:t>Assessment</w:t>
      </w:r>
      <w:r>
        <w:t>,</w:t>
      </w:r>
      <w:r>
        <w:rPr>
          <w:spacing w:val="-4"/>
        </w:rPr>
        <w:t xml:space="preserve"> </w:t>
      </w:r>
      <w:r>
        <w:t>requires</w:t>
      </w:r>
      <w:r>
        <w:rPr>
          <w:spacing w:val="-4"/>
        </w:rPr>
        <w:t xml:space="preserve"> </w:t>
      </w:r>
      <w:r>
        <w:t>the</w:t>
      </w:r>
      <w:r>
        <w:rPr>
          <w:spacing w:val="-5"/>
        </w:rPr>
        <w:t xml:space="preserve"> </w:t>
      </w:r>
      <w:r>
        <w:t>Statement</w:t>
      </w:r>
      <w:r>
        <w:rPr>
          <w:spacing w:val="-4"/>
        </w:rPr>
        <w:t xml:space="preserve"> </w:t>
      </w:r>
      <w:r>
        <w:t>of</w:t>
      </w:r>
      <w:r>
        <w:rPr>
          <w:spacing w:val="-4"/>
        </w:rPr>
        <w:t xml:space="preserve"> </w:t>
      </w:r>
      <w:r>
        <w:t>Social</w:t>
      </w:r>
      <w:r>
        <w:rPr>
          <w:spacing w:val="-4"/>
        </w:rPr>
        <w:t xml:space="preserve"> </w:t>
      </w:r>
      <w:r>
        <w:t>Insurance to become an audited financial statement. It also provides that certain information about social insurance programs required by SFFAS 17 be reported in audited notes or as unaudited RSI, rather than as unaudited required supplementary stewardship information. In accordance with SFFAS 28, the effective period was deferred 1 year from fiscal year 2005 to fiscal year 2006.</w:t>
      </w:r>
    </w:p>
    <w:p w14:paraId="0DFDC681" w14:textId="77777777" w:rsidR="00046465" w:rsidRDefault="008134EB">
      <w:pPr>
        <w:pStyle w:val="ListParagraph"/>
        <w:numPr>
          <w:ilvl w:val="0"/>
          <w:numId w:val="76"/>
        </w:numPr>
        <w:tabs>
          <w:tab w:val="left" w:pos="2159"/>
        </w:tabs>
        <w:spacing w:before="119"/>
        <w:ind w:right="721"/>
      </w:pPr>
      <w:r>
        <w:rPr>
          <w:b/>
        </w:rPr>
        <w:t>SFFAS 26</w:t>
      </w:r>
      <w:r>
        <w:t xml:space="preserve">, </w:t>
      </w:r>
      <w:r>
        <w:rPr>
          <w:i/>
        </w:rPr>
        <w:t>Presentation of Significant Assumptions for the Statement of Social Insurance: Amending SFFAS 25</w:t>
      </w:r>
      <w:r>
        <w:t>, requires that the underlying significant assumptions relating to the Statement of Social Insurance be included in audited notes with other information required by SFFAS 17—including the sensitivity analysis—be presented as RSI, except to the extent that the preparer elects to include some or all of that information in audited notes.</w:t>
      </w:r>
      <w:r>
        <w:rPr>
          <w:spacing w:val="-4"/>
        </w:rPr>
        <w:t xml:space="preserve"> </w:t>
      </w:r>
      <w:r>
        <w:t>In</w:t>
      </w:r>
      <w:r>
        <w:rPr>
          <w:spacing w:val="-4"/>
        </w:rPr>
        <w:t xml:space="preserve"> </w:t>
      </w:r>
      <w:r>
        <w:t>accordance</w:t>
      </w:r>
      <w:r>
        <w:rPr>
          <w:spacing w:val="-4"/>
        </w:rPr>
        <w:t xml:space="preserve"> </w:t>
      </w:r>
      <w:r>
        <w:t>with</w:t>
      </w:r>
      <w:r>
        <w:rPr>
          <w:spacing w:val="-4"/>
        </w:rPr>
        <w:t xml:space="preserve"> </w:t>
      </w:r>
      <w:r>
        <w:t>SFFAS</w:t>
      </w:r>
      <w:r>
        <w:rPr>
          <w:spacing w:val="-4"/>
        </w:rPr>
        <w:t xml:space="preserve"> </w:t>
      </w:r>
      <w:r>
        <w:t>28,</w:t>
      </w:r>
      <w:r>
        <w:rPr>
          <w:spacing w:val="-4"/>
        </w:rPr>
        <w:t xml:space="preserve"> </w:t>
      </w:r>
      <w:r>
        <w:t>the</w:t>
      </w:r>
      <w:r>
        <w:rPr>
          <w:spacing w:val="-4"/>
        </w:rPr>
        <w:t xml:space="preserve"> </w:t>
      </w:r>
      <w:r>
        <w:t>effective</w:t>
      </w:r>
      <w:r>
        <w:rPr>
          <w:spacing w:val="-4"/>
        </w:rPr>
        <w:t xml:space="preserve"> </w:t>
      </w:r>
      <w:r>
        <w:t>period</w:t>
      </w:r>
      <w:r>
        <w:rPr>
          <w:spacing w:val="-4"/>
        </w:rPr>
        <w:t xml:space="preserve"> </w:t>
      </w:r>
      <w:r>
        <w:t>was</w:t>
      </w:r>
      <w:r>
        <w:rPr>
          <w:spacing w:val="-4"/>
        </w:rPr>
        <w:t xml:space="preserve"> </w:t>
      </w:r>
      <w:r>
        <w:t>deferred</w:t>
      </w:r>
      <w:r>
        <w:rPr>
          <w:spacing w:val="-4"/>
        </w:rPr>
        <w:t xml:space="preserve"> </w:t>
      </w:r>
      <w:r>
        <w:t>1</w:t>
      </w:r>
      <w:r>
        <w:rPr>
          <w:spacing w:val="-4"/>
        </w:rPr>
        <w:t xml:space="preserve"> </w:t>
      </w:r>
      <w:r>
        <w:t>year from fiscal year 2005 to fiscal year 2006.</w:t>
      </w:r>
    </w:p>
    <w:p w14:paraId="0DFDC682" w14:textId="77777777" w:rsidR="00046465" w:rsidRDefault="008134EB">
      <w:pPr>
        <w:pStyle w:val="ListParagraph"/>
        <w:numPr>
          <w:ilvl w:val="0"/>
          <w:numId w:val="76"/>
        </w:numPr>
        <w:tabs>
          <w:tab w:val="left" w:pos="2158"/>
        </w:tabs>
        <w:spacing w:before="118"/>
        <w:ind w:left="2158" w:right="795"/>
      </w:pPr>
      <w:r>
        <w:rPr>
          <w:b/>
        </w:rPr>
        <w:t>SFFAS</w:t>
      </w:r>
      <w:r>
        <w:rPr>
          <w:b/>
          <w:spacing w:val="-5"/>
        </w:rPr>
        <w:t xml:space="preserve"> </w:t>
      </w:r>
      <w:r>
        <w:rPr>
          <w:b/>
        </w:rPr>
        <w:t>28</w:t>
      </w:r>
      <w:r>
        <w:t>,</w:t>
      </w:r>
      <w:r>
        <w:rPr>
          <w:spacing w:val="-3"/>
        </w:rPr>
        <w:t xml:space="preserve"> </w:t>
      </w:r>
      <w:r>
        <w:rPr>
          <w:i/>
        </w:rPr>
        <w:t>Deferral</w:t>
      </w:r>
      <w:r>
        <w:rPr>
          <w:i/>
          <w:spacing w:val="-4"/>
        </w:rPr>
        <w:t xml:space="preserve"> </w:t>
      </w:r>
      <w:r>
        <w:rPr>
          <w:i/>
        </w:rPr>
        <w:t>of</w:t>
      </w:r>
      <w:r>
        <w:rPr>
          <w:i/>
          <w:spacing w:val="-4"/>
        </w:rPr>
        <w:t xml:space="preserve"> </w:t>
      </w:r>
      <w:r>
        <w:rPr>
          <w:i/>
        </w:rPr>
        <w:t>the</w:t>
      </w:r>
      <w:r>
        <w:rPr>
          <w:i/>
          <w:spacing w:val="-4"/>
        </w:rPr>
        <w:t xml:space="preserve"> </w:t>
      </w:r>
      <w:r>
        <w:rPr>
          <w:i/>
        </w:rPr>
        <w:t>Effective</w:t>
      </w:r>
      <w:r>
        <w:rPr>
          <w:i/>
          <w:spacing w:val="-5"/>
        </w:rPr>
        <w:t xml:space="preserve"> </w:t>
      </w:r>
      <w:r>
        <w:rPr>
          <w:i/>
        </w:rPr>
        <w:t>Date</w:t>
      </w:r>
      <w:r>
        <w:rPr>
          <w:i/>
          <w:spacing w:val="-4"/>
        </w:rPr>
        <w:t xml:space="preserve"> </w:t>
      </w:r>
      <w:r>
        <w:rPr>
          <w:i/>
        </w:rPr>
        <w:t>of</w:t>
      </w:r>
      <w:r>
        <w:rPr>
          <w:i/>
          <w:spacing w:val="-4"/>
        </w:rPr>
        <w:t xml:space="preserve"> </w:t>
      </w:r>
      <w:r>
        <w:rPr>
          <w:i/>
        </w:rPr>
        <w:t>Reclassification</w:t>
      </w:r>
      <w:r>
        <w:rPr>
          <w:i/>
          <w:spacing w:val="-5"/>
        </w:rPr>
        <w:t xml:space="preserve"> </w:t>
      </w:r>
      <w:r>
        <w:rPr>
          <w:i/>
        </w:rPr>
        <w:t>of</w:t>
      </w:r>
      <w:r>
        <w:rPr>
          <w:i/>
          <w:spacing w:val="-4"/>
        </w:rPr>
        <w:t xml:space="preserve"> </w:t>
      </w:r>
      <w:r>
        <w:rPr>
          <w:i/>
        </w:rPr>
        <w:t>the</w:t>
      </w:r>
      <w:r>
        <w:rPr>
          <w:i/>
          <w:spacing w:val="-4"/>
        </w:rPr>
        <w:t xml:space="preserve"> </w:t>
      </w:r>
      <w:r>
        <w:rPr>
          <w:i/>
        </w:rPr>
        <w:t>Statement of Social Insurance: Amending SFFAS 25 and 26</w:t>
      </w:r>
      <w:r>
        <w:t>, deferred the effective dates of SFFAS 25 and SFFAS 26 for 1 year to the fiscal year ended September 30, 2006.</w:t>
      </w:r>
    </w:p>
    <w:p w14:paraId="0DFDC683" w14:textId="77777777" w:rsidR="00046465" w:rsidRDefault="008134EB">
      <w:pPr>
        <w:pStyle w:val="ListParagraph"/>
        <w:numPr>
          <w:ilvl w:val="0"/>
          <w:numId w:val="76"/>
        </w:numPr>
        <w:tabs>
          <w:tab w:val="left" w:pos="2158"/>
        </w:tabs>
        <w:spacing w:before="118"/>
        <w:ind w:left="2158" w:right="720"/>
      </w:pPr>
      <w:r>
        <w:rPr>
          <w:b/>
        </w:rPr>
        <w:t>SFFAS 37</w:t>
      </w:r>
      <w:r>
        <w:t xml:space="preserve">, </w:t>
      </w:r>
      <w:r>
        <w:rPr>
          <w:i/>
        </w:rPr>
        <w:t>Social Insurance: Additional Requirements for Management’s Discussion</w:t>
      </w:r>
      <w:r>
        <w:rPr>
          <w:i/>
          <w:spacing w:val="-5"/>
        </w:rPr>
        <w:t xml:space="preserve"> </w:t>
      </w:r>
      <w:r>
        <w:rPr>
          <w:i/>
        </w:rPr>
        <w:t>and</w:t>
      </w:r>
      <w:r>
        <w:rPr>
          <w:i/>
          <w:spacing w:val="-4"/>
        </w:rPr>
        <w:t xml:space="preserve"> </w:t>
      </w:r>
      <w:r>
        <w:rPr>
          <w:i/>
        </w:rPr>
        <w:t>Analysis</w:t>
      </w:r>
      <w:r>
        <w:rPr>
          <w:i/>
          <w:spacing w:val="-4"/>
        </w:rPr>
        <w:t xml:space="preserve"> </w:t>
      </w:r>
      <w:r>
        <w:rPr>
          <w:i/>
        </w:rPr>
        <w:t>and</w:t>
      </w:r>
      <w:r>
        <w:rPr>
          <w:i/>
          <w:spacing w:val="-4"/>
        </w:rPr>
        <w:t xml:space="preserve"> </w:t>
      </w:r>
      <w:r>
        <w:rPr>
          <w:i/>
        </w:rPr>
        <w:t>Basic</w:t>
      </w:r>
      <w:r>
        <w:rPr>
          <w:i/>
          <w:spacing w:val="-5"/>
        </w:rPr>
        <w:t xml:space="preserve"> </w:t>
      </w:r>
      <w:r>
        <w:rPr>
          <w:i/>
        </w:rPr>
        <w:t>Financial</w:t>
      </w:r>
      <w:r>
        <w:rPr>
          <w:i/>
          <w:spacing w:val="-4"/>
        </w:rPr>
        <w:t xml:space="preserve"> </w:t>
      </w:r>
      <w:r>
        <w:rPr>
          <w:i/>
        </w:rPr>
        <w:t>Statements</w:t>
      </w:r>
      <w:r>
        <w:t>,</w:t>
      </w:r>
      <w:r>
        <w:rPr>
          <w:spacing w:val="-4"/>
        </w:rPr>
        <w:t xml:space="preserve"> </w:t>
      </w:r>
      <w:r>
        <w:t>effective</w:t>
      </w:r>
      <w:r>
        <w:rPr>
          <w:spacing w:val="-4"/>
        </w:rPr>
        <w:t xml:space="preserve"> </w:t>
      </w:r>
      <w:r>
        <w:t>for</w:t>
      </w:r>
      <w:r>
        <w:rPr>
          <w:spacing w:val="-4"/>
        </w:rPr>
        <w:t xml:space="preserve"> </w:t>
      </w:r>
      <w:r>
        <w:t xml:space="preserve">periods beginning after September 30, 2010, requires that in addition to the current requirements of SFFAS 17, entities that present a Statement of Social </w:t>
      </w:r>
      <w:r>
        <w:rPr>
          <w:spacing w:val="-2"/>
        </w:rPr>
        <w:t>Insurance</w:t>
      </w:r>
    </w:p>
    <w:p w14:paraId="0DFDC684" w14:textId="77777777" w:rsidR="00046465" w:rsidRDefault="008134EB">
      <w:pPr>
        <w:pStyle w:val="ListParagraph"/>
        <w:numPr>
          <w:ilvl w:val="0"/>
          <w:numId w:val="75"/>
        </w:numPr>
        <w:tabs>
          <w:tab w:val="left" w:pos="2518"/>
        </w:tabs>
        <w:spacing w:before="126" w:line="230" w:lineRule="auto"/>
        <w:ind w:right="1182"/>
      </w:pPr>
      <w:r>
        <w:t>include in one section of the MD&amp;A information about costs, assets, liabilities,</w:t>
      </w:r>
      <w:r>
        <w:rPr>
          <w:spacing w:val="-7"/>
        </w:rPr>
        <w:t xml:space="preserve"> </w:t>
      </w:r>
      <w:r>
        <w:t>social</w:t>
      </w:r>
      <w:r>
        <w:rPr>
          <w:spacing w:val="-6"/>
        </w:rPr>
        <w:t xml:space="preserve"> </w:t>
      </w:r>
      <w:r>
        <w:t>insurance</w:t>
      </w:r>
      <w:r>
        <w:rPr>
          <w:spacing w:val="-6"/>
        </w:rPr>
        <w:t xml:space="preserve"> </w:t>
      </w:r>
      <w:r>
        <w:t>commitments,</w:t>
      </w:r>
      <w:r>
        <w:rPr>
          <w:spacing w:val="-6"/>
        </w:rPr>
        <w:t xml:space="preserve"> </w:t>
      </w:r>
      <w:r>
        <w:t>budget</w:t>
      </w:r>
      <w:r>
        <w:rPr>
          <w:spacing w:val="-6"/>
        </w:rPr>
        <w:t xml:space="preserve"> </w:t>
      </w:r>
      <w:r>
        <w:t>flows,</w:t>
      </w:r>
      <w:r>
        <w:rPr>
          <w:spacing w:val="-6"/>
        </w:rPr>
        <w:t xml:space="preserve"> </w:t>
      </w:r>
      <w:r>
        <w:t>and</w:t>
      </w:r>
      <w:r>
        <w:rPr>
          <w:spacing w:val="-6"/>
        </w:rPr>
        <w:t xml:space="preserve"> </w:t>
      </w:r>
      <w:r>
        <w:t>long-term fiscal projections;</w:t>
      </w:r>
    </w:p>
    <w:p w14:paraId="0DFDC685" w14:textId="77777777" w:rsidR="00046465" w:rsidRDefault="008134EB">
      <w:pPr>
        <w:pStyle w:val="ListParagraph"/>
        <w:numPr>
          <w:ilvl w:val="0"/>
          <w:numId w:val="75"/>
        </w:numPr>
        <w:tabs>
          <w:tab w:val="left" w:pos="2517"/>
          <w:tab w:val="left" w:pos="2519"/>
        </w:tabs>
        <w:spacing w:before="136" w:line="223" w:lineRule="auto"/>
        <w:ind w:left="2519" w:right="1634" w:hanging="361"/>
      </w:pPr>
      <w:r>
        <w:t>include</w:t>
      </w:r>
      <w:r>
        <w:rPr>
          <w:spacing w:val="-4"/>
        </w:rPr>
        <w:t xml:space="preserve"> </w:t>
      </w:r>
      <w:r>
        <w:t>in</w:t>
      </w:r>
      <w:r>
        <w:rPr>
          <w:spacing w:val="-5"/>
        </w:rPr>
        <w:t xml:space="preserve"> </w:t>
      </w:r>
      <w:r>
        <w:t>the</w:t>
      </w:r>
      <w:r>
        <w:rPr>
          <w:spacing w:val="-4"/>
        </w:rPr>
        <w:t xml:space="preserve"> </w:t>
      </w:r>
      <w:r>
        <w:t>MD&amp;A</w:t>
      </w:r>
      <w:r>
        <w:rPr>
          <w:spacing w:val="-4"/>
        </w:rPr>
        <w:t xml:space="preserve"> </w:t>
      </w:r>
      <w:r>
        <w:t>a</w:t>
      </w:r>
      <w:r>
        <w:rPr>
          <w:spacing w:val="-4"/>
        </w:rPr>
        <w:t xml:space="preserve"> </w:t>
      </w:r>
      <w:r>
        <w:t>table</w:t>
      </w:r>
      <w:r>
        <w:rPr>
          <w:spacing w:val="-4"/>
        </w:rPr>
        <w:t xml:space="preserve"> </w:t>
      </w:r>
      <w:r>
        <w:t>or</w:t>
      </w:r>
      <w:r>
        <w:rPr>
          <w:spacing w:val="-4"/>
        </w:rPr>
        <w:t xml:space="preserve"> </w:t>
      </w:r>
      <w:r>
        <w:t>other</w:t>
      </w:r>
      <w:r>
        <w:rPr>
          <w:spacing w:val="-4"/>
        </w:rPr>
        <w:t xml:space="preserve"> </w:t>
      </w:r>
      <w:r>
        <w:t>singular</w:t>
      </w:r>
      <w:r>
        <w:rPr>
          <w:spacing w:val="-4"/>
        </w:rPr>
        <w:t xml:space="preserve"> </w:t>
      </w:r>
      <w:r>
        <w:t>presentation</w:t>
      </w:r>
      <w:r>
        <w:rPr>
          <w:spacing w:val="-4"/>
        </w:rPr>
        <w:t xml:space="preserve"> </w:t>
      </w:r>
      <w:r>
        <w:t>of</w:t>
      </w:r>
      <w:r>
        <w:rPr>
          <w:spacing w:val="-4"/>
        </w:rPr>
        <w:t xml:space="preserve"> </w:t>
      </w:r>
      <w:r>
        <w:t>key measures drawn from the financial statements;</w:t>
      </w:r>
    </w:p>
    <w:p w14:paraId="0DFDC686" w14:textId="77777777" w:rsidR="00046465" w:rsidRDefault="008134EB">
      <w:pPr>
        <w:pStyle w:val="BodyText"/>
        <w:spacing w:before="213"/>
        <w:rPr>
          <w:sz w:val="20"/>
        </w:rPr>
      </w:pPr>
      <w:r>
        <w:rPr>
          <w:noProof/>
          <w:sz w:val="20"/>
        </w:rPr>
        <mc:AlternateContent>
          <mc:Choice Requires="wps">
            <w:drawing>
              <wp:anchor distT="0" distB="0" distL="0" distR="0" simplePos="0" relativeHeight="487729152" behindDoc="1" locked="0" layoutInCell="1" allowOverlap="1" wp14:anchorId="0DFDD73B" wp14:editId="0DFDD73C">
                <wp:simplePos x="0" y="0"/>
                <wp:positionH relativeFrom="page">
                  <wp:posOffset>914400</wp:posOffset>
                </wp:positionH>
                <wp:positionV relativeFrom="paragraph">
                  <wp:posOffset>296783</wp:posOffset>
                </wp:positionV>
                <wp:extent cx="1828800" cy="5715"/>
                <wp:effectExtent l="0" t="0" r="0" b="0"/>
                <wp:wrapTopAndBottom/>
                <wp:docPr id="1057" name="Graphic 10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C5DE8A" id="Graphic 1057" o:spid="_x0000_s1026" style="position:absolute;margin-left:1in;margin-top:23.35pt;width:2in;height:.45pt;z-index:-1558732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" path="m1828800,l,,,5334r1828800,l1828800,xe" fillcolor="black" stroked="f">
                <v:path arrowok="t"/>
                <w10:wrap type="topAndBottom" anchorx="page"/>
              </v:shape>
            </w:pict>
          </mc:Fallback>
        </mc:AlternateContent>
      </w:r>
    </w:p>
    <w:p w14:paraId="0DFDC687" w14:textId="77777777" w:rsidR="00046465" w:rsidRDefault="008134EB">
      <w:pPr>
        <w:spacing w:before="200" w:line="244" w:lineRule="auto"/>
        <w:ind w:left="359" w:right="741"/>
        <w:rPr>
          <w:sz w:val="18"/>
        </w:rPr>
      </w:pPr>
      <w:bookmarkStart w:id="344" w:name="_bookmark199"/>
      <w:bookmarkEnd w:id="344"/>
      <w:r>
        <w:rPr>
          <w:position w:val="7"/>
          <w:sz w:val="14"/>
        </w:rPr>
        <w:t>50</w:t>
      </w:r>
      <w:r>
        <w:rPr>
          <w:sz w:val="18"/>
        </w:rPr>
        <w:t>The Medicare Prescription Drug, Improvement, and Modernization Act of 2003, Pub. L. No. 108-173, 117 Stat.</w:t>
      </w:r>
      <w:r>
        <w:rPr>
          <w:spacing w:val="40"/>
          <w:sz w:val="18"/>
        </w:rPr>
        <w:t xml:space="preserve"> </w:t>
      </w:r>
      <w:r>
        <w:rPr>
          <w:sz w:val="18"/>
        </w:rPr>
        <w:t>2066</w:t>
      </w:r>
      <w:r>
        <w:rPr>
          <w:spacing w:val="-3"/>
          <w:sz w:val="18"/>
        </w:rPr>
        <w:t xml:space="preserve"> </w:t>
      </w:r>
      <w:r>
        <w:rPr>
          <w:sz w:val="18"/>
        </w:rPr>
        <w:t>(Dec.</w:t>
      </w:r>
      <w:r>
        <w:rPr>
          <w:spacing w:val="-2"/>
          <w:sz w:val="18"/>
        </w:rPr>
        <w:t xml:space="preserve"> </w:t>
      </w:r>
      <w:r>
        <w:rPr>
          <w:sz w:val="18"/>
        </w:rPr>
        <w:t>8,</w:t>
      </w:r>
      <w:r>
        <w:rPr>
          <w:spacing w:val="-2"/>
          <w:sz w:val="18"/>
        </w:rPr>
        <w:t xml:space="preserve"> </w:t>
      </w:r>
      <w:r>
        <w:rPr>
          <w:sz w:val="18"/>
        </w:rPr>
        <w:t>2003),</w:t>
      </w:r>
      <w:r>
        <w:rPr>
          <w:spacing w:val="-2"/>
          <w:sz w:val="18"/>
        </w:rPr>
        <w:t xml:space="preserve"> </w:t>
      </w:r>
      <w:r>
        <w:rPr>
          <w:sz w:val="18"/>
        </w:rPr>
        <w:t>created</w:t>
      </w:r>
      <w:r>
        <w:rPr>
          <w:spacing w:val="-1"/>
          <w:sz w:val="18"/>
        </w:rPr>
        <w:t xml:space="preserve"> </w:t>
      </w:r>
      <w:r>
        <w:rPr>
          <w:sz w:val="18"/>
        </w:rPr>
        <w:t>a</w:t>
      </w:r>
      <w:r>
        <w:rPr>
          <w:spacing w:val="-3"/>
          <w:sz w:val="18"/>
        </w:rPr>
        <w:t xml:space="preserve"> </w:t>
      </w:r>
      <w:r>
        <w:rPr>
          <w:sz w:val="18"/>
        </w:rPr>
        <w:t>new</w:t>
      </w:r>
      <w:r>
        <w:rPr>
          <w:spacing w:val="-2"/>
          <w:sz w:val="18"/>
        </w:rPr>
        <w:t xml:space="preserve"> </w:t>
      </w:r>
      <w:r>
        <w:rPr>
          <w:sz w:val="18"/>
        </w:rPr>
        <w:t>prescription</w:t>
      </w:r>
      <w:r>
        <w:rPr>
          <w:spacing w:val="-3"/>
          <w:sz w:val="18"/>
        </w:rPr>
        <w:t xml:space="preserve"> </w:t>
      </w:r>
      <w:r>
        <w:rPr>
          <w:sz w:val="18"/>
        </w:rPr>
        <w:t>drug</w:t>
      </w:r>
      <w:r>
        <w:rPr>
          <w:spacing w:val="-3"/>
          <w:sz w:val="18"/>
        </w:rPr>
        <w:t xml:space="preserve"> </w:t>
      </w:r>
      <w:r>
        <w:rPr>
          <w:sz w:val="18"/>
        </w:rPr>
        <w:t>benefit</w:t>
      </w:r>
      <w:r>
        <w:rPr>
          <w:spacing w:val="-2"/>
          <w:sz w:val="18"/>
        </w:rPr>
        <w:t xml:space="preserve"> </w:t>
      </w:r>
      <w:r>
        <w:rPr>
          <w:sz w:val="18"/>
        </w:rPr>
        <w:t>under</w:t>
      </w:r>
      <w:r>
        <w:rPr>
          <w:spacing w:val="-2"/>
          <w:sz w:val="18"/>
        </w:rPr>
        <w:t xml:space="preserve"> </w:t>
      </w:r>
      <w:r>
        <w:rPr>
          <w:sz w:val="18"/>
        </w:rPr>
        <w:t>Medicare</w:t>
      </w:r>
      <w:r>
        <w:rPr>
          <w:spacing w:val="-3"/>
          <w:sz w:val="18"/>
        </w:rPr>
        <w:t xml:space="preserve"> </w:t>
      </w:r>
      <w:r>
        <w:rPr>
          <w:sz w:val="18"/>
        </w:rPr>
        <w:t>Part</w:t>
      </w:r>
      <w:r>
        <w:rPr>
          <w:spacing w:val="-2"/>
          <w:sz w:val="18"/>
        </w:rPr>
        <w:t xml:space="preserve"> </w:t>
      </w:r>
      <w:r>
        <w:rPr>
          <w:sz w:val="18"/>
        </w:rPr>
        <w:t>D,</w:t>
      </w:r>
      <w:r>
        <w:rPr>
          <w:spacing w:val="-2"/>
          <w:sz w:val="18"/>
        </w:rPr>
        <w:t xml:space="preserve"> </w:t>
      </w:r>
      <w:r>
        <w:rPr>
          <w:sz w:val="18"/>
        </w:rPr>
        <w:t>which</w:t>
      </w:r>
      <w:r>
        <w:rPr>
          <w:spacing w:val="-3"/>
          <w:sz w:val="18"/>
        </w:rPr>
        <w:t xml:space="preserve"> </w:t>
      </w:r>
      <w:r>
        <w:rPr>
          <w:sz w:val="18"/>
        </w:rPr>
        <w:t>is</w:t>
      </w:r>
      <w:r>
        <w:rPr>
          <w:spacing w:val="-2"/>
          <w:sz w:val="18"/>
        </w:rPr>
        <w:t xml:space="preserve"> </w:t>
      </w:r>
      <w:r>
        <w:rPr>
          <w:sz w:val="18"/>
        </w:rPr>
        <w:t>also</w:t>
      </w:r>
      <w:r>
        <w:rPr>
          <w:spacing w:val="-3"/>
          <w:sz w:val="18"/>
        </w:rPr>
        <w:t xml:space="preserve"> </w:t>
      </w:r>
      <w:r>
        <w:rPr>
          <w:sz w:val="18"/>
        </w:rPr>
        <w:t>covered</w:t>
      </w:r>
      <w:r>
        <w:rPr>
          <w:spacing w:val="-3"/>
          <w:sz w:val="18"/>
        </w:rPr>
        <w:t xml:space="preserve"> </w:t>
      </w:r>
      <w:r>
        <w:rPr>
          <w:sz w:val="18"/>
        </w:rPr>
        <w:t>by</w:t>
      </w:r>
      <w:r>
        <w:rPr>
          <w:spacing w:val="-2"/>
          <w:sz w:val="18"/>
        </w:rPr>
        <w:t xml:space="preserve"> </w:t>
      </w:r>
      <w:r>
        <w:rPr>
          <w:sz w:val="18"/>
        </w:rPr>
        <w:t xml:space="preserve">SFFAS </w:t>
      </w:r>
      <w:r>
        <w:rPr>
          <w:spacing w:val="-4"/>
          <w:sz w:val="18"/>
        </w:rPr>
        <w:t>17.</w:t>
      </w:r>
    </w:p>
    <w:p w14:paraId="0DFDC688" w14:textId="77777777" w:rsidR="00046465" w:rsidRDefault="00046465">
      <w:pPr>
        <w:spacing w:line="244" w:lineRule="auto"/>
        <w:rPr>
          <w:sz w:val="18"/>
        </w:rPr>
        <w:sectPr w:rsidR="00046465">
          <w:pgSz w:w="12240" w:h="15840"/>
          <w:pgMar w:top="1600" w:right="720" w:bottom="940" w:left="1080" w:header="721" w:footer="757" w:gutter="0"/>
          <w:cols w:space="720"/>
        </w:sectPr>
      </w:pPr>
    </w:p>
    <w:p w14:paraId="0DFDC689" w14:textId="77777777" w:rsidR="00046465" w:rsidRDefault="008134EB">
      <w:pPr>
        <w:pStyle w:val="ListParagraph"/>
        <w:numPr>
          <w:ilvl w:val="0"/>
          <w:numId w:val="75"/>
        </w:numPr>
        <w:tabs>
          <w:tab w:val="left" w:pos="2519"/>
        </w:tabs>
        <w:spacing w:before="128" w:line="230" w:lineRule="auto"/>
        <w:ind w:left="2519" w:right="958"/>
      </w:pPr>
      <w:r>
        <w:lastRenderedPageBreak/>
        <w:t>add</w:t>
      </w:r>
      <w:r>
        <w:rPr>
          <w:spacing w:val="-4"/>
        </w:rPr>
        <w:t xml:space="preserve"> </w:t>
      </w:r>
      <w:r>
        <w:t>a</w:t>
      </w:r>
      <w:r>
        <w:rPr>
          <w:spacing w:val="-4"/>
        </w:rPr>
        <w:t xml:space="preserve"> </w:t>
      </w:r>
      <w:r>
        <w:t>section</w:t>
      </w:r>
      <w:r>
        <w:rPr>
          <w:spacing w:val="-4"/>
        </w:rPr>
        <w:t xml:space="preserve"> </w:t>
      </w:r>
      <w:r>
        <w:t>to</w:t>
      </w:r>
      <w:r>
        <w:rPr>
          <w:spacing w:val="-4"/>
        </w:rPr>
        <w:t xml:space="preserve"> </w:t>
      </w:r>
      <w:r>
        <w:t>the</w:t>
      </w:r>
      <w:r>
        <w:rPr>
          <w:spacing w:val="-4"/>
        </w:rPr>
        <w:t xml:space="preserve"> </w:t>
      </w:r>
      <w:r>
        <w:t>Statement</w:t>
      </w:r>
      <w:r>
        <w:rPr>
          <w:spacing w:val="-4"/>
        </w:rPr>
        <w:t xml:space="preserve"> </w:t>
      </w:r>
      <w:r>
        <w:t>of</w:t>
      </w:r>
      <w:r>
        <w:rPr>
          <w:spacing w:val="-4"/>
        </w:rPr>
        <w:t xml:space="preserve"> </w:t>
      </w:r>
      <w:r>
        <w:t>Social</w:t>
      </w:r>
      <w:r>
        <w:rPr>
          <w:spacing w:val="-4"/>
        </w:rPr>
        <w:t xml:space="preserve"> </w:t>
      </w:r>
      <w:r>
        <w:t>Insurance</w:t>
      </w:r>
      <w:r>
        <w:rPr>
          <w:spacing w:val="-4"/>
        </w:rPr>
        <w:t xml:space="preserve"> </w:t>
      </w:r>
      <w:r>
        <w:t>that</w:t>
      </w:r>
      <w:r>
        <w:rPr>
          <w:spacing w:val="-4"/>
        </w:rPr>
        <w:t xml:space="preserve"> </w:t>
      </w:r>
      <w:r>
        <w:t>summarizes</w:t>
      </w:r>
      <w:r>
        <w:rPr>
          <w:spacing w:val="-4"/>
        </w:rPr>
        <w:t xml:space="preserve"> </w:t>
      </w:r>
      <w:r>
        <w:t xml:space="preserve">the net present values of cash flows and presents certain subtotals and </w:t>
      </w:r>
      <w:r>
        <w:rPr>
          <w:spacing w:val="-2"/>
        </w:rPr>
        <w:t>totals;</w:t>
      </w:r>
    </w:p>
    <w:p w14:paraId="0DFDC68A" w14:textId="77777777" w:rsidR="00046465" w:rsidRDefault="008134EB">
      <w:pPr>
        <w:pStyle w:val="ListParagraph"/>
        <w:numPr>
          <w:ilvl w:val="0"/>
          <w:numId w:val="75"/>
        </w:numPr>
        <w:tabs>
          <w:tab w:val="left" w:pos="2519"/>
        </w:tabs>
        <w:spacing w:before="131" w:line="230" w:lineRule="auto"/>
        <w:ind w:left="2519" w:right="1071"/>
      </w:pPr>
      <w:r>
        <w:t>present a Statement of Changes in Social Insurance Amounts that indicates</w:t>
      </w:r>
      <w:r>
        <w:rPr>
          <w:spacing w:val="-5"/>
        </w:rPr>
        <w:t xml:space="preserve"> </w:t>
      </w:r>
      <w:r>
        <w:t>the</w:t>
      </w:r>
      <w:r>
        <w:rPr>
          <w:spacing w:val="-4"/>
        </w:rPr>
        <w:t xml:space="preserve"> </w:t>
      </w:r>
      <w:r>
        <w:t>reasons</w:t>
      </w:r>
      <w:r>
        <w:rPr>
          <w:spacing w:val="-4"/>
        </w:rPr>
        <w:t xml:space="preserve"> </w:t>
      </w:r>
      <w:r>
        <w:t>for</w:t>
      </w:r>
      <w:r>
        <w:rPr>
          <w:spacing w:val="-4"/>
        </w:rPr>
        <w:t xml:space="preserve"> </w:t>
      </w:r>
      <w:r>
        <w:t>the</w:t>
      </w:r>
      <w:r>
        <w:rPr>
          <w:spacing w:val="-4"/>
        </w:rPr>
        <w:t xml:space="preserve"> </w:t>
      </w:r>
      <w:r>
        <w:t>changes</w:t>
      </w:r>
      <w:r>
        <w:rPr>
          <w:spacing w:val="-4"/>
        </w:rPr>
        <w:t xml:space="preserve"> </w:t>
      </w:r>
      <w:r>
        <w:t>in</w:t>
      </w:r>
      <w:r>
        <w:rPr>
          <w:spacing w:val="-4"/>
        </w:rPr>
        <w:t xml:space="preserve"> </w:t>
      </w:r>
      <w:r>
        <w:t>the</w:t>
      </w:r>
      <w:r>
        <w:rPr>
          <w:spacing w:val="-4"/>
        </w:rPr>
        <w:t xml:space="preserve"> </w:t>
      </w:r>
      <w:r>
        <w:t>open</w:t>
      </w:r>
      <w:r>
        <w:rPr>
          <w:spacing w:val="-4"/>
        </w:rPr>
        <w:t xml:space="preserve"> </w:t>
      </w:r>
      <w:r>
        <w:t>group</w:t>
      </w:r>
      <w:r>
        <w:rPr>
          <w:spacing w:val="-4"/>
        </w:rPr>
        <w:t xml:space="preserve"> </w:t>
      </w:r>
      <w:r>
        <w:t>measure</w:t>
      </w:r>
      <w:r>
        <w:rPr>
          <w:spacing w:val="-4"/>
        </w:rPr>
        <w:t xml:space="preserve"> </w:t>
      </w:r>
      <w:r>
        <w:t>from the end of the previous reporting period; and</w:t>
      </w:r>
    </w:p>
    <w:p w14:paraId="0DFDC68B" w14:textId="77777777" w:rsidR="00046465" w:rsidRDefault="008134EB">
      <w:pPr>
        <w:pStyle w:val="ListParagraph"/>
        <w:numPr>
          <w:ilvl w:val="0"/>
          <w:numId w:val="75"/>
        </w:numPr>
        <w:tabs>
          <w:tab w:val="left" w:pos="2519"/>
        </w:tabs>
        <w:spacing w:before="130" w:line="230" w:lineRule="auto"/>
        <w:ind w:left="2519" w:right="728"/>
      </w:pPr>
      <w:r>
        <w:t>when</w:t>
      </w:r>
      <w:r>
        <w:rPr>
          <w:spacing w:val="-5"/>
        </w:rPr>
        <w:t xml:space="preserve"> </w:t>
      </w:r>
      <w:r>
        <w:t>comparative</w:t>
      </w:r>
      <w:r>
        <w:rPr>
          <w:spacing w:val="-5"/>
        </w:rPr>
        <w:t xml:space="preserve"> </w:t>
      </w:r>
      <w:r>
        <w:t>financial</w:t>
      </w:r>
      <w:r>
        <w:rPr>
          <w:spacing w:val="-5"/>
        </w:rPr>
        <w:t xml:space="preserve"> </w:t>
      </w:r>
      <w:r>
        <w:t>statements</w:t>
      </w:r>
      <w:r>
        <w:rPr>
          <w:spacing w:val="-5"/>
        </w:rPr>
        <w:t xml:space="preserve"> </w:t>
      </w:r>
      <w:r>
        <w:t>are</w:t>
      </w:r>
      <w:r>
        <w:rPr>
          <w:spacing w:val="-5"/>
        </w:rPr>
        <w:t xml:space="preserve"> </w:t>
      </w:r>
      <w:r>
        <w:t>presented,</w:t>
      </w:r>
      <w:r>
        <w:rPr>
          <w:spacing w:val="-5"/>
        </w:rPr>
        <w:t xml:space="preserve"> </w:t>
      </w:r>
      <w:r>
        <w:t>presentation</w:t>
      </w:r>
      <w:r>
        <w:rPr>
          <w:spacing w:val="-5"/>
        </w:rPr>
        <w:t xml:space="preserve"> </w:t>
      </w:r>
      <w:r>
        <w:t>of</w:t>
      </w:r>
      <w:r>
        <w:rPr>
          <w:spacing w:val="-5"/>
        </w:rPr>
        <w:t xml:space="preserve"> </w:t>
      </w:r>
      <w:r>
        <w:t>two Statements of Changes in Social Insurance Amounts, one for the current reporting period, and one for the previous reporting period.</w:t>
      </w:r>
    </w:p>
    <w:p w14:paraId="0DFDC68C" w14:textId="77777777" w:rsidR="00046465" w:rsidRDefault="008134EB">
      <w:pPr>
        <w:pStyle w:val="BodyText"/>
        <w:spacing w:before="124"/>
        <w:ind w:left="2160"/>
      </w:pPr>
      <w:r>
        <w:t>SFFAS</w:t>
      </w:r>
      <w:r>
        <w:rPr>
          <w:spacing w:val="-7"/>
        </w:rPr>
        <w:t xml:space="preserve"> </w:t>
      </w:r>
      <w:r>
        <w:t>17</w:t>
      </w:r>
      <w:r>
        <w:rPr>
          <w:spacing w:val="-5"/>
        </w:rPr>
        <w:t xml:space="preserve"> </w:t>
      </w:r>
      <w:r>
        <w:t>is</w:t>
      </w:r>
      <w:r>
        <w:rPr>
          <w:spacing w:val="-5"/>
        </w:rPr>
        <w:t xml:space="preserve"> </w:t>
      </w:r>
      <w:r>
        <w:t>amended</w:t>
      </w:r>
      <w:r>
        <w:rPr>
          <w:spacing w:val="-5"/>
        </w:rPr>
        <w:t xml:space="preserve"> </w:t>
      </w:r>
      <w:r>
        <w:t>to</w:t>
      </w:r>
      <w:r>
        <w:rPr>
          <w:spacing w:val="-6"/>
        </w:rPr>
        <w:t xml:space="preserve"> </w:t>
      </w:r>
      <w:r>
        <w:t>conform</w:t>
      </w:r>
      <w:r>
        <w:rPr>
          <w:spacing w:val="-6"/>
        </w:rPr>
        <w:t xml:space="preserve"> </w:t>
      </w:r>
      <w:r>
        <w:t>to</w:t>
      </w:r>
      <w:r>
        <w:rPr>
          <w:spacing w:val="-5"/>
        </w:rPr>
        <w:t xml:space="preserve"> </w:t>
      </w:r>
      <w:r>
        <w:t>changes</w:t>
      </w:r>
      <w:r>
        <w:rPr>
          <w:spacing w:val="-5"/>
        </w:rPr>
        <w:t xml:space="preserve"> </w:t>
      </w:r>
      <w:r>
        <w:t>in</w:t>
      </w:r>
      <w:r>
        <w:rPr>
          <w:spacing w:val="-6"/>
        </w:rPr>
        <w:t xml:space="preserve"> </w:t>
      </w:r>
      <w:r>
        <w:t>SFFAS</w:t>
      </w:r>
      <w:r>
        <w:rPr>
          <w:spacing w:val="-6"/>
        </w:rPr>
        <w:t xml:space="preserve"> </w:t>
      </w:r>
      <w:r>
        <w:rPr>
          <w:spacing w:val="-5"/>
        </w:rPr>
        <w:t>37.</w:t>
      </w:r>
    </w:p>
    <w:p w14:paraId="0DFDC68D" w14:textId="77777777" w:rsidR="00046465" w:rsidRDefault="008134EB">
      <w:pPr>
        <w:pStyle w:val="ListParagraph"/>
        <w:numPr>
          <w:ilvl w:val="0"/>
          <w:numId w:val="1"/>
        </w:numPr>
        <w:tabs>
          <w:tab w:val="left" w:pos="1800"/>
        </w:tabs>
        <w:ind w:right="763"/>
        <w:rPr>
          <w:position w:val="7"/>
          <w:sz w:val="14"/>
        </w:rPr>
      </w:pPr>
      <w:r>
        <w:t>Auditors</w:t>
      </w:r>
      <w:r>
        <w:rPr>
          <w:spacing w:val="-4"/>
        </w:rPr>
        <w:t xml:space="preserve"> </w:t>
      </w:r>
      <w:r>
        <w:t>generally</w:t>
      </w:r>
      <w:r>
        <w:rPr>
          <w:spacing w:val="-4"/>
        </w:rPr>
        <w:t xml:space="preserve"> </w:t>
      </w:r>
      <w:r>
        <w:t>should</w:t>
      </w:r>
      <w:r>
        <w:rPr>
          <w:spacing w:val="-4"/>
        </w:rPr>
        <w:t xml:space="preserve"> </w:t>
      </w:r>
      <w:r>
        <w:t>follow</w:t>
      </w:r>
      <w:r>
        <w:rPr>
          <w:spacing w:val="-5"/>
        </w:rPr>
        <w:t xml:space="preserve"> </w:t>
      </w:r>
      <w:r>
        <w:t>the</w:t>
      </w:r>
      <w:r>
        <w:rPr>
          <w:spacing w:val="-5"/>
        </w:rPr>
        <w:t xml:space="preserve"> </w:t>
      </w:r>
      <w:r>
        <w:t>FAM</w:t>
      </w:r>
      <w:r>
        <w:rPr>
          <w:spacing w:val="-4"/>
        </w:rPr>
        <w:t xml:space="preserve"> </w:t>
      </w:r>
      <w:r>
        <w:t>methodology</w:t>
      </w:r>
      <w:r>
        <w:rPr>
          <w:spacing w:val="-4"/>
        </w:rPr>
        <w:t xml:space="preserve"> </w:t>
      </w:r>
      <w:r>
        <w:t>contained</w:t>
      </w:r>
      <w:r>
        <w:rPr>
          <w:spacing w:val="-4"/>
        </w:rPr>
        <w:t xml:space="preserve"> </w:t>
      </w:r>
      <w:r>
        <w:t>in</w:t>
      </w:r>
      <w:r>
        <w:rPr>
          <w:spacing w:val="-4"/>
        </w:rPr>
        <w:t xml:space="preserve"> </w:t>
      </w:r>
      <w:r>
        <w:t>the</w:t>
      </w:r>
      <w:r>
        <w:rPr>
          <w:spacing w:val="-5"/>
        </w:rPr>
        <w:t xml:space="preserve"> </w:t>
      </w:r>
      <w:r>
        <w:t>planning, internal control, testing, and reporting phases in FAM 200 through 500 and the audit guidance included in SOP 04-1 when auditing the Statement of Social Insurance and the related Statement of Changes in Social Insurance Amounts.</w:t>
      </w:r>
      <w:hyperlink w:anchor="_bookmark200" w:history="1">
        <w:r>
          <w:rPr>
            <w:position w:val="7"/>
            <w:sz w:val="14"/>
          </w:rPr>
          <w:t>51</w:t>
        </w:r>
      </w:hyperlink>
    </w:p>
    <w:p w14:paraId="0DFDC68E" w14:textId="77777777" w:rsidR="00046465" w:rsidRDefault="008134EB">
      <w:pPr>
        <w:pStyle w:val="ListParagraph"/>
        <w:numPr>
          <w:ilvl w:val="0"/>
          <w:numId w:val="1"/>
        </w:numPr>
        <w:tabs>
          <w:tab w:val="left" w:pos="1800"/>
        </w:tabs>
        <w:ind w:right="824"/>
      </w:pPr>
      <w:r>
        <w:t>As</w:t>
      </w:r>
      <w:r>
        <w:rPr>
          <w:spacing w:val="-2"/>
        </w:rPr>
        <w:t xml:space="preserve"> </w:t>
      </w:r>
      <w:r>
        <w:t>permitted</w:t>
      </w:r>
      <w:r>
        <w:rPr>
          <w:spacing w:val="-2"/>
        </w:rPr>
        <w:t xml:space="preserve"> </w:t>
      </w:r>
      <w:r>
        <w:t>by</w:t>
      </w:r>
      <w:r>
        <w:rPr>
          <w:spacing w:val="-2"/>
        </w:rPr>
        <w:t xml:space="preserve"> </w:t>
      </w:r>
      <w:r>
        <w:t>AU-C</w:t>
      </w:r>
      <w:r>
        <w:rPr>
          <w:spacing w:val="-3"/>
        </w:rPr>
        <w:t xml:space="preserve"> </w:t>
      </w:r>
      <w:r>
        <w:t>600A,</w:t>
      </w:r>
      <w:r>
        <w:rPr>
          <w:spacing w:val="-2"/>
        </w:rPr>
        <w:t xml:space="preserve"> </w:t>
      </w:r>
      <w:r>
        <w:rPr>
          <w:i/>
        </w:rPr>
        <w:t>Special</w:t>
      </w:r>
      <w:r>
        <w:rPr>
          <w:i/>
          <w:spacing w:val="-2"/>
        </w:rPr>
        <w:t xml:space="preserve"> </w:t>
      </w:r>
      <w:r>
        <w:rPr>
          <w:i/>
        </w:rPr>
        <w:t>Considerations</w:t>
      </w:r>
      <w:r>
        <w:rPr>
          <w:i/>
          <w:spacing w:val="-2"/>
        </w:rPr>
        <w:t xml:space="preserve"> </w:t>
      </w:r>
      <w:r>
        <w:rPr>
          <w:i/>
        </w:rPr>
        <w:t>–</w:t>
      </w:r>
      <w:r>
        <w:rPr>
          <w:i/>
          <w:spacing w:val="-2"/>
        </w:rPr>
        <w:t xml:space="preserve"> </w:t>
      </w:r>
      <w:r>
        <w:rPr>
          <w:i/>
        </w:rPr>
        <w:t>Audits</w:t>
      </w:r>
      <w:r>
        <w:rPr>
          <w:i/>
          <w:spacing w:val="-3"/>
        </w:rPr>
        <w:t xml:space="preserve"> </w:t>
      </w:r>
      <w:r>
        <w:rPr>
          <w:i/>
        </w:rPr>
        <w:t>of</w:t>
      </w:r>
      <w:r>
        <w:rPr>
          <w:i/>
          <w:spacing w:val="-2"/>
        </w:rPr>
        <w:t xml:space="preserve"> </w:t>
      </w:r>
      <w:r>
        <w:rPr>
          <w:i/>
        </w:rPr>
        <w:t>Group</w:t>
      </w:r>
      <w:r>
        <w:rPr>
          <w:i/>
          <w:spacing w:val="-2"/>
        </w:rPr>
        <w:t xml:space="preserve"> </w:t>
      </w:r>
      <w:r>
        <w:rPr>
          <w:i/>
        </w:rPr>
        <w:t xml:space="preserve">Financial Statements (Including the Work of Component Auditors), </w:t>
      </w:r>
      <w:r>
        <w:t>a group auditor may fulfill</w:t>
      </w:r>
      <w:r>
        <w:rPr>
          <w:spacing w:val="-4"/>
        </w:rPr>
        <w:t xml:space="preserve"> </w:t>
      </w:r>
      <w:r>
        <w:t>the</w:t>
      </w:r>
      <w:r>
        <w:rPr>
          <w:spacing w:val="-4"/>
        </w:rPr>
        <w:t xml:space="preserve"> </w:t>
      </w:r>
      <w:r>
        <w:t>requirements</w:t>
      </w:r>
      <w:r>
        <w:rPr>
          <w:spacing w:val="-4"/>
        </w:rPr>
        <w:t xml:space="preserve"> </w:t>
      </w:r>
      <w:r>
        <w:t>of</w:t>
      </w:r>
      <w:r>
        <w:rPr>
          <w:spacing w:val="-4"/>
        </w:rPr>
        <w:t xml:space="preserve"> </w:t>
      </w:r>
      <w:r>
        <w:t>SOP</w:t>
      </w:r>
      <w:r>
        <w:rPr>
          <w:spacing w:val="-4"/>
        </w:rPr>
        <w:t xml:space="preserve"> </w:t>
      </w:r>
      <w:r>
        <w:t>04-1</w:t>
      </w:r>
      <w:r>
        <w:rPr>
          <w:spacing w:val="-4"/>
        </w:rPr>
        <w:t xml:space="preserve"> </w:t>
      </w:r>
      <w:r>
        <w:t>by</w:t>
      </w:r>
      <w:r>
        <w:rPr>
          <w:spacing w:val="-4"/>
        </w:rPr>
        <w:t xml:space="preserve"> </w:t>
      </w:r>
      <w:r>
        <w:t>using</w:t>
      </w:r>
      <w:r>
        <w:rPr>
          <w:spacing w:val="-4"/>
        </w:rPr>
        <w:t xml:space="preserve"> </w:t>
      </w:r>
      <w:r>
        <w:t>work</w:t>
      </w:r>
      <w:r>
        <w:rPr>
          <w:spacing w:val="-4"/>
        </w:rPr>
        <w:t xml:space="preserve"> </w:t>
      </w:r>
      <w:r>
        <w:t>that</w:t>
      </w:r>
      <w:r>
        <w:rPr>
          <w:spacing w:val="-4"/>
        </w:rPr>
        <w:t xml:space="preserve"> </w:t>
      </w:r>
      <w:r>
        <w:t>other</w:t>
      </w:r>
      <w:r>
        <w:rPr>
          <w:spacing w:val="-4"/>
        </w:rPr>
        <w:t xml:space="preserve"> </w:t>
      </w:r>
      <w:r>
        <w:t>component</w:t>
      </w:r>
      <w:r>
        <w:rPr>
          <w:spacing w:val="-4"/>
        </w:rPr>
        <w:t xml:space="preserve"> </w:t>
      </w:r>
      <w:r>
        <w:t>auditors have performed in conformity with the provisions of SOP 04-1. For example, for the Old-Age Survivors and Disability Insurance (OASDI) program, the group auditor</w:t>
      </w:r>
      <w:r>
        <w:rPr>
          <w:spacing w:val="-3"/>
        </w:rPr>
        <w:t xml:space="preserve"> </w:t>
      </w:r>
      <w:r>
        <w:t>of</w:t>
      </w:r>
      <w:r>
        <w:rPr>
          <w:spacing w:val="-3"/>
        </w:rPr>
        <w:t xml:space="preserve"> </w:t>
      </w:r>
      <w:r>
        <w:t>the</w:t>
      </w:r>
      <w:r>
        <w:rPr>
          <w:spacing w:val="-3"/>
        </w:rPr>
        <w:t xml:space="preserve"> </w:t>
      </w:r>
      <w:r>
        <w:t>consolidated</w:t>
      </w:r>
      <w:r>
        <w:rPr>
          <w:spacing w:val="-3"/>
        </w:rPr>
        <w:t xml:space="preserve"> </w:t>
      </w:r>
      <w:r>
        <w:t>financial</w:t>
      </w:r>
      <w:r>
        <w:rPr>
          <w:spacing w:val="-4"/>
        </w:rPr>
        <w:t xml:space="preserve"> </w:t>
      </w:r>
      <w:r>
        <w:t>statements</w:t>
      </w:r>
      <w:r>
        <w:rPr>
          <w:spacing w:val="-3"/>
        </w:rPr>
        <w:t xml:space="preserve"> </w:t>
      </w:r>
      <w:r>
        <w:t>of</w:t>
      </w:r>
      <w:r>
        <w:rPr>
          <w:spacing w:val="-3"/>
        </w:rPr>
        <w:t xml:space="preserve"> </w:t>
      </w:r>
      <w:r>
        <w:t>the</w:t>
      </w:r>
      <w:r>
        <w:rPr>
          <w:spacing w:val="-3"/>
        </w:rPr>
        <w:t xml:space="preserve"> </w:t>
      </w:r>
      <w:r>
        <w:t>U.S.</w:t>
      </w:r>
      <w:r>
        <w:rPr>
          <w:spacing w:val="-3"/>
        </w:rPr>
        <w:t xml:space="preserve"> </w:t>
      </w:r>
      <w:r>
        <w:t>government</w:t>
      </w:r>
      <w:r>
        <w:rPr>
          <w:spacing w:val="-3"/>
        </w:rPr>
        <w:t xml:space="preserve"> </w:t>
      </w:r>
      <w:r>
        <w:t>may</w:t>
      </w:r>
      <w:r>
        <w:rPr>
          <w:spacing w:val="-3"/>
        </w:rPr>
        <w:t xml:space="preserve"> </w:t>
      </w:r>
      <w:r>
        <w:t>use the work and report of the component auditor of the Social Security Administration’s Statement of Social Insurance and related Statement of Changes in Social Insurance Amounts.</w:t>
      </w:r>
    </w:p>
    <w:p w14:paraId="0DFDC68F" w14:textId="77777777" w:rsidR="00046465" w:rsidRDefault="008134EB">
      <w:pPr>
        <w:pStyle w:val="ListParagraph"/>
        <w:numPr>
          <w:ilvl w:val="0"/>
          <w:numId w:val="1"/>
        </w:numPr>
        <w:tabs>
          <w:tab w:val="left" w:pos="1800"/>
        </w:tabs>
        <w:ind w:right="736"/>
      </w:pPr>
      <w:r>
        <w:t>The auditor should obtain sufficient appropriate audit evidence about whether accounting</w:t>
      </w:r>
      <w:r>
        <w:rPr>
          <w:spacing w:val="-1"/>
        </w:rPr>
        <w:t xml:space="preserve"> </w:t>
      </w:r>
      <w:r>
        <w:t>estimates in</w:t>
      </w:r>
      <w:r>
        <w:rPr>
          <w:spacing w:val="-1"/>
        </w:rPr>
        <w:t xml:space="preserve"> </w:t>
      </w:r>
      <w:r>
        <w:t>the financial statements</w:t>
      </w:r>
      <w:r>
        <w:rPr>
          <w:spacing w:val="-1"/>
        </w:rPr>
        <w:t xml:space="preserve"> </w:t>
      </w:r>
      <w:r>
        <w:t>and related</w:t>
      </w:r>
      <w:r>
        <w:rPr>
          <w:spacing w:val="-1"/>
        </w:rPr>
        <w:t xml:space="preserve"> </w:t>
      </w:r>
      <w:r>
        <w:t>note disclosures are reasonable in the context of the applicable financial reporting framework (generally U.S. GAAP) (AU-C 540.10). When obtaining an understanding of the entity</w:t>
      </w:r>
      <w:r>
        <w:rPr>
          <w:spacing w:val="-4"/>
        </w:rPr>
        <w:t xml:space="preserve"> </w:t>
      </w:r>
      <w:r>
        <w:t>and</w:t>
      </w:r>
      <w:r>
        <w:rPr>
          <w:spacing w:val="-4"/>
        </w:rPr>
        <w:t xml:space="preserve"> </w:t>
      </w:r>
      <w:r>
        <w:t>its</w:t>
      </w:r>
      <w:r>
        <w:rPr>
          <w:spacing w:val="-4"/>
        </w:rPr>
        <w:t xml:space="preserve"> </w:t>
      </w:r>
      <w:r>
        <w:t>environment,</w:t>
      </w:r>
      <w:r>
        <w:rPr>
          <w:spacing w:val="-4"/>
        </w:rPr>
        <w:t xml:space="preserve"> </w:t>
      </w:r>
      <w:r>
        <w:t>the</w:t>
      </w:r>
      <w:r>
        <w:rPr>
          <w:spacing w:val="-4"/>
        </w:rPr>
        <w:t xml:space="preserve"> </w:t>
      </w:r>
      <w:r>
        <w:t>applicable</w:t>
      </w:r>
      <w:r>
        <w:rPr>
          <w:spacing w:val="-4"/>
        </w:rPr>
        <w:t xml:space="preserve"> </w:t>
      </w:r>
      <w:r>
        <w:t>financial</w:t>
      </w:r>
      <w:r>
        <w:rPr>
          <w:spacing w:val="-4"/>
        </w:rPr>
        <w:t xml:space="preserve"> </w:t>
      </w:r>
      <w:r>
        <w:t>reporting</w:t>
      </w:r>
      <w:r>
        <w:rPr>
          <w:spacing w:val="-4"/>
        </w:rPr>
        <w:t xml:space="preserve"> </w:t>
      </w:r>
      <w:r>
        <w:t>framework</w:t>
      </w:r>
      <w:r>
        <w:rPr>
          <w:spacing w:val="-4"/>
        </w:rPr>
        <w:t xml:space="preserve"> </w:t>
      </w:r>
      <w:r>
        <w:t>(generally U.S. GAAP), and the entity’s internal control, the auditor should obtain an understanding</w:t>
      </w:r>
      <w:r>
        <w:rPr>
          <w:spacing w:val="-3"/>
        </w:rPr>
        <w:t xml:space="preserve"> </w:t>
      </w:r>
      <w:r>
        <w:t>of</w:t>
      </w:r>
      <w:r>
        <w:rPr>
          <w:spacing w:val="-3"/>
        </w:rPr>
        <w:t xml:space="preserve"> </w:t>
      </w:r>
      <w:r>
        <w:t>the</w:t>
      </w:r>
      <w:r>
        <w:rPr>
          <w:spacing w:val="-3"/>
        </w:rPr>
        <w:t xml:space="preserve"> </w:t>
      </w:r>
      <w:r>
        <w:t>matters</w:t>
      </w:r>
      <w:r>
        <w:rPr>
          <w:spacing w:val="-3"/>
        </w:rPr>
        <w:t xml:space="preserve"> </w:t>
      </w:r>
      <w:r>
        <w:t>discussed</w:t>
      </w:r>
      <w:r>
        <w:rPr>
          <w:spacing w:val="-3"/>
        </w:rPr>
        <w:t xml:space="preserve"> </w:t>
      </w:r>
      <w:r>
        <w:t>in</w:t>
      </w:r>
      <w:r>
        <w:rPr>
          <w:spacing w:val="-3"/>
        </w:rPr>
        <w:t xml:space="preserve"> </w:t>
      </w:r>
      <w:r>
        <w:t>FAM</w:t>
      </w:r>
      <w:r>
        <w:rPr>
          <w:spacing w:val="-4"/>
        </w:rPr>
        <w:t xml:space="preserve"> </w:t>
      </w:r>
      <w:r>
        <w:t>220.14;</w:t>
      </w:r>
      <w:r>
        <w:rPr>
          <w:spacing w:val="-3"/>
        </w:rPr>
        <w:t xml:space="preserve"> </w:t>
      </w:r>
      <w:r>
        <w:t>260.10,</w:t>
      </w:r>
      <w:r>
        <w:rPr>
          <w:spacing w:val="-3"/>
        </w:rPr>
        <w:t xml:space="preserve"> </w:t>
      </w:r>
      <w:r>
        <w:t>.14,</w:t>
      </w:r>
      <w:r>
        <w:rPr>
          <w:spacing w:val="-3"/>
        </w:rPr>
        <w:t xml:space="preserve"> </w:t>
      </w:r>
      <w:r>
        <w:t>and</w:t>
      </w:r>
      <w:r>
        <w:rPr>
          <w:spacing w:val="-3"/>
        </w:rPr>
        <w:t xml:space="preserve"> </w:t>
      </w:r>
      <w:r>
        <w:t>.20;</w:t>
      </w:r>
      <w:r>
        <w:rPr>
          <w:spacing w:val="-3"/>
        </w:rPr>
        <w:t xml:space="preserve"> </w:t>
      </w:r>
      <w:r>
        <w:t>and</w:t>
      </w:r>
    </w:p>
    <w:p w14:paraId="0DFDC690" w14:textId="77777777" w:rsidR="00046465" w:rsidRDefault="008134EB">
      <w:pPr>
        <w:pStyle w:val="BodyText"/>
        <w:ind w:left="1800" w:right="844"/>
      </w:pPr>
      <w:r>
        <w:t>340.03 related to the entity’s accounting estimates in order to obtain audit evidence</w:t>
      </w:r>
      <w:r>
        <w:rPr>
          <w:spacing w:val="-2"/>
        </w:rPr>
        <w:t xml:space="preserve"> </w:t>
      </w:r>
      <w:r>
        <w:t>that</w:t>
      </w:r>
      <w:r>
        <w:rPr>
          <w:spacing w:val="-2"/>
        </w:rPr>
        <w:t xml:space="preserve"> </w:t>
      </w:r>
      <w:r>
        <w:t>provides</w:t>
      </w:r>
      <w:r>
        <w:rPr>
          <w:spacing w:val="-3"/>
        </w:rPr>
        <w:t xml:space="preserve"> </w:t>
      </w:r>
      <w:r>
        <w:t>an</w:t>
      </w:r>
      <w:r>
        <w:rPr>
          <w:spacing w:val="-2"/>
        </w:rPr>
        <w:t xml:space="preserve"> </w:t>
      </w:r>
      <w:r>
        <w:t>appropriate</w:t>
      </w:r>
      <w:r>
        <w:rPr>
          <w:spacing w:val="-2"/>
        </w:rPr>
        <w:t xml:space="preserve"> </w:t>
      </w:r>
      <w:r>
        <w:t>basis</w:t>
      </w:r>
      <w:r>
        <w:rPr>
          <w:spacing w:val="-2"/>
        </w:rPr>
        <w:t xml:space="preserve"> </w:t>
      </w:r>
      <w:r>
        <w:t>for</w:t>
      </w:r>
      <w:r>
        <w:rPr>
          <w:spacing w:val="-3"/>
        </w:rPr>
        <w:t xml:space="preserve"> </w:t>
      </w:r>
      <w:r>
        <w:t>identifying</w:t>
      </w:r>
      <w:r>
        <w:rPr>
          <w:spacing w:val="-3"/>
        </w:rPr>
        <w:t xml:space="preserve"> </w:t>
      </w:r>
      <w:r>
        <w:t>and</w:t>
      </w:r>
      <w:r>
        <w:rPr>
          <w:spacing w:val="-2"/>
        </w:rPr>
        <w:t xml:space="preserve"> </w:t>
      </w:r>
      <w:r>
        <w:t>assessing</w:t>
      </w:r>
      <w:r>
        <w:rPr>
          <w:spacing w:val="-1"/>
        </w:rPr>
        <w:t xml:space="preserve"> </w:t>
      </w:r>
      <w:r>
        <w:t>the risks</w:t>
      </w:r>
      <w:r>
        <w:rPr>
          <w:spacing w:val="-4"/>
        </w:rPr>
        <w:t xml:space="preserve"> </w:t>
      </w:r>
      <w:r>
        <w:t>of</w:t>
      </w:r>
      <w:r>
        <w:rPr>
          <w:spacing w:val="-4"/>
        </w:rPr>
        <w:t xml:space="preserve"> </w:t>
      </w:r>
      <w:r>
        <w:t>material</w:t>
      </w:r>
      <w:r>
        <w:rPr>
          <w:spacing w:val="-4"/>
        </w:rPr>
        <w:t xml:space="preserve"> </w:t>
      </w:r>
      <w:r>
        <w:t>misstatement</w:t>
      </w:r>
      <w:r>
        <w:rPr>
          <w:spacing w:val="-4"/>
        </w:rPr>
        <w:t xml:space="preserve"> </w:t>
      </w:r>
      <w:r>
        <w:t>at</w:t>
      </w:r>
      <w:r>
        <w:rPr>
          <w:spacing w:val="-4"/>
        </w:rPr>
        <w:t xml:space="preserve"> </w:t>
      </w:r>
      <w:r>
        <w:t>the</w:t>
      </w:r>
      <w:r>
        <w:rPr>
          <w:spacing w:val="-4"/>
        </w:rPr>
        <w:t xml:space="preserve"> </w:t>
      </w:r>
      <w:r>
        <w:t>financial</w:t>
      </w:r>
      <w:r>
        <w:rPr>
          <w:spacing w:val="-5"/>
        </w:rPr>
        <w:t xml:space="preserve"> </w:t>
      </w:r>
      <w:r>
        <w:t>statement</w:t>
      </w:r>
      <w:r>
        <w:rPr>
          <w:spacing w:val="-4"/>
        </w:rPr>
        <w:t xml:space="preserve"> </w:t>
      </w:r>
      <w:r>
        <w:t>and</w:t>
      </w:r>
      <w:r>
        <w:rPr>
          <w:spacing w:val="-4"/>
        </w:rPr>
        <w:t xml:space="preserve"> </w:t>
      </w:r>
      <w:r>
        <w:t>assertion</w:t>
      </w:r>
      <w:r>
        <w:rPr>
          <w:spacing w:val="-4"/>
        </w:rPr>
        <w:t xml:space="preserve"> </w:t>
      </w:r>
      <w:r>
        <w:t>levels. The Additional Procedures for Certain Risks: Risks Related to Accounting Estimates subsection in FAM 265 provides guidance on identifying and assessing risks related to accounting estimates.</w:t>
      </w:r>
    </w:p>
    <w:p w14:paraId="0DFDC691" w14:textId="77777777" w:rsidR="00046465" w:rsidRDefault="008134EB">
      <w:pPr>
        <w:pStyle w:val="ListParagraph"/>
        <w:numPr>
          <w:ilvl w:val="0"/>
          <w:numId w:val="1"/>
        </w:numPr>
        <w:tabs>
          <w:tab w:val="left" w:pos="1800"/>
        </w:tabs>
        <w:ind w:right="1018"/>
      </w:pPr>
      <w:r>
        <w:t>In auditing the Statement of Social Insurance and the related Statement of Changes in Social Insurance Amounts, if the auditor has assessed management’s</w:t>
      </w:r>
      <w:r>
        <w:rPr>
          <w:spacing w:val="-4"/>
        </w:rPr>
        <w:t xml:space="preserve"> </w:t>
      </w:r>
      <w:r>
        <w:t>controls</w:t>
      </w:r>
      <w:r>
        <w:rPr>
          <w:spacing w:val="-5"/>
        </w:rPr>
        <w:t xml:space="preserve"> </w:t>
      </w:r>
      <w:r>
        <w:t>over</w:t>
      </w:r>
      <w:r>
        <w:rPr>
          <w:spacing w:val="-4"/>
        </w:rPr>
        <w:t xml:space="preserve"> </w:t>
      </w:r>
      <w:r>
        <w:t>the</w:t>
      </w:r>
      <w:r>
        <w:rPr>
          <w:spacing w:val="-4"/>
        </w:rPr>
        <w:t xml:space="preserve"> </w:t>
      </w:r>
      <w:r>
        <w:t>estimation</w:t>
      </w:r>
      <w:r>
        <w:rPr>
          <w:spacing w:val="-4"/>
        </w:rPr>
        <w:t xml:space="preserve"> </w:t>
      </w:r>
      <w:r>
        <w:t>process</w:t>
      </w:r>
      <w:r>
        <w:rPr>
          <w:spacing w:val="-4"/>
        </w:rPr>
        <w:t xml:space="preserve"> </w:t>
      </w:r>
      <w:r>
        <w:t>to</w:t>
      </w:r>
      <w:r>
        <w:rPr>
          <w:spacing w:val="-4"/>
        </w:rPr>
        <w:t xml:space="preserve"> </w:t>
      </w:r>
      <w:r>
        <w:t>be</w:t>
      </w:r>
      <w:r>
        <w:rPr>
          <w:spacing w:val="-4"/>
        </w:rPr>
        <w:t xml:space="preserve"> </w:t>
      </w:r>
      <w:r>
        <w:t>effective,</w:t>
      </w:r>
      <w:r>
        <w:rPr>
          <w:spacing w:val="-4"/>
        </w:rPr>
        <w:t xml:space="preserve"> </w:t>
      </w:r>
      <w:r>
        <w:t>the</w:t>
      </w:r>
      <w:r>
        <w:rPr>
          <w:spacing w:val="-4"/>
        </w:rPr>
        <w:t xml:space="preserve"> </w:t>
      </w:r>
      <w:r>
        <w:t>auditor may determine that the most practicable and efficient approach is to test management’s process. However, if the auditor finds that controls over the estimation process are ineffective, the auditor should consider whether it is practicable to take one of the following actions:</w:t>
      </w:r>
    </w:p>
    <w:p w14:paraId="0DFDC692" w14:textId="77777777" w:rsidR="00046465" w:rsidRDefault="008134EB">
      <w:pPr>
        <w:pStyle w:val="BodyText"/>
        <w:spacing w:before="196"/>
        <w:rPr>
          <w:sz w:val="20"/>
        </w:rPr>
      </w:pPr>
      <w:r>
        <w:rPr>
          <w:noProof/>
          <w:sz w:val="20"/>
        </w:rPr>
        <mc:AlternateContent>
          <mc:Choice Requires="wps">
            <w:drawing>
              <wp:anchor distT="0" distB="0" distL="0" distR="0" simplePos="0" relativeHeight="487729664" behindDoc="1" locked="0" layoutInCell="1" allowOverlap="1" wp14:anchorId="0DFDD73D" wp14:editId="0DFDD73E">
                <wp:simplePos x="0" y="0"/>
                <wp:positionH relativeFrom="page">
                  <wp:posOffset>914400</wp:posOffset>
                </wp:positionH>
                <wp:positionV relativeFrom="paragraph">
                  <wp:posOffset>286312</wp:posOffset>
                </wp:positionV>
                <wp:extent cx="1828800" cy="5715"/>
                <wp:effectExtent l="0" t="0" r="0" b="0"/>
                <wp:wrapTopAndBottom/>
                <wp:docPr id="1058" name="Graphic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2D5215" id="Graphic 1058" o:spid="_x0000_s1026" style="position:absolute;margin-left:1in;margin-top:22.55pt;width:2in;height:.45pt;z-index:-1558681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" path="m1828800,l,,,5321r1828800,l1828800,xe" fillcolor="black" stroked="f">
                <v:path arrowok="t"/>
                <w10:wrap type="topAndBottom" anchorx="page"/>
              </v:shape>
            </w:pict>
          </mc:Fallback>
        </mc:AlternateContent>
      </w:r>
    </w:p>
    <w:p w14:paraId="0DFDC693" w14:textId="77777777" w:rsidR="00046465" w:rsidRDefault="008134EB">
      <w:pPr>
        <w:spacing w:before="202"/>
        <w:ind w:left="360"/>
        <w:rPr>
          <w:sz w:val="18"/>
        </w:rPr>
      </w:pPr>
      <w:bookmarkStart w:id="345" w:name="_bookmark200"/>
      <w:bookmarkEnd w:id="345"/>
      <w:r>
        <w:rPr>
          <w:position w:val="7"/>
          <w:sz w:val="14"/>
        </w:rPr>
        <w:t>51</w:t>
      </w:r>
      <w:r>
        <w:rPr>
          <w:sz w:val="18"/>
        </w:rPr>
        <w:t>Users</w:t>
      </w:r>
      <w:r>
        <w:rPr>
          <w:spacing w:val="-5"/>
          <w:sz w:val="18"/>
        </w:rPr>
        <w:t xml:space="preserve"> </w:t>
      </w:r>
      <w:r>
        <w:rPr>
          <w:sz w:val="18"/>
        </w:rPr>
        <w:t>of</w:t>
      </w:r>
      <w:r>
        <w:rPr>
          <w:spacing w:val="-3"/>
          <w:sz w:val="18"/>
        </w:rPr>
        <w:t xml:space="preserve"> </w:t>
      </w:r>
      <w:r>
        <w:rPr>
          <w:sz w:val="18"/>
        </w:rPr>
        <w:t>SOP</w:t>
      </w:r>
      <w:r>
        <w:rPr>
          <w:spacing w:val="-2"/>
          <w:sz w:val="18"/>
        </w:rPr>
        <w:t xml:space="preserve"> </w:t>
      </w:r>
      <w:r>
        <w:rPr>
          <w:sz w:val="18"/>
        </w:rPr>
        <w:t>04-1</w:t>
      </w:r>
      <w:r>
        <w:rPr>
          <w:spacing w:val="-4"/>
          <w:sz w:val="18"/>
        </w:rPr>
        <w:t xml:space="preserve"> </w:t>
      </w:r>
      <w:r>
        <w:rPr>
          <w:sz w:val="18"/>
        </w:rPr>
        <w:t>should</w:t>
      </w:r>
      <w:r>
        <w:rPr>
          <w:spacing w:val="-3"/>
          <w:sz w:val="18"/>
        </w:rPr>
        <w:t xml:space="preserve"> </w:t>
      </w:r>
      <w:r>
        <w:rPr>
          <w:sz w:val="18"/>
        </w:rPr>
        <w:t>consider</w:t>
      </w:r>
      <w:r>
        <w:rPr>
          <w:spacing w:val="-3"/>
          <w:sz w:val="18"/>
        </w:rPr>
        <w:t xml:space="preserve"> </w:t>
      </w:r>
      <w:r>
        <w:rPr>
          <w:sz w:val="18"/>
        </w:rPr>
        <w:t>updates</w:t>
      </w:r>
      <w:r>
        <w:rPr>
          <w:spacing w:val="-1"/>
          <w:sz w:val="18"/>
        </w:rPr>
        <w:t xml:space="preserve"> </w:t>
      </w:r>
      <w:r>
        <w:rPr>
          <w:sz w:val="18"/>
        </w:rPr>
        <w:t>to</w:t>
      </w:r>
      <w:r>
        <w:rPr>
          <w:spacing w:val="-4"/>
          <w:sz w:val="18"/>
        </w:rPr>
        <w:t xml:space="preserve"> </w:t>
      </w:r>
      <w:r>
        <w:rPr>
          <w:sz w:val="18"/>
        </w:rPr>
        <w:t>the</w:t>
      </w:r>
      <w:r>
        <w:rPr>
          <w:spacing w:val="-3"/>
          <w:sz w:val="18"/>
        </w:rPr>
        <w:t xml:space="preserve"> </w:t>
      </w:r>
      <w:r>
        <w:rPr>
          <w:sz w:val="18"/>
        </w:rPr>
        <w:t>relevant</w:t>
      </w:r>
      <w:r>
        <w:rPr>
          <w:spacing w:val="-3"/>
          <w:sz w:val="18"/>
        </w:rPr>
        <w:t xml:space="preserve"> </w:t>
      </w:r>
      <w:r>
        <w:rPr>
          <w:sz w:val="18"/>
        </w:rPr>
        <w:t>accounting</w:t>
      </w:r>
      <w:r>
        <w:rPr>
          <w:spacing w:val="-3"/>
          <w:sz w:val="18"/>
        </w:rPr>
        <w:t xml:space="preserve"> </w:t>
      </w:r>
      <w:r>
        <w:rPr>
          <w:sz w:val="18"/>
        </w:rPr>
        <w:t>and</w:t>
      </w:r>
      <w:r>
        <w:rPr>
          <w:spacing w:val="-4"/>
          <w:sz w:val="18"/>
        </w:rPr>
        <w:t xml:space="preserve"> </w:t>
      </w:r>
      <w:r>
        <w:rPr>
          <w:sz w:val="18"/>
        </w:rPr>
        <w:t>auditing</w:t>
      </w:r>
      <w:r>
        <w:rPr>
          <w:spacing w:val="-3"/>
          <w:sz w:val="18"/>
        </w:rPr>
        <w:t xml:space="preserve"> </w:t>
      </w:r>
      <w:r>
        <w:rPr>
          <w:sz w:val="18"/>
        </w:rPr>
        <w:t>standards,</w:t>
      </w:r>
      <w:r>
        <w:rPr>
          <w:spacing w:val="-2"/>
          <w:sz w:val="18"/>
        </w:rPr>
        <w:t xml:space="preserve"> </w:t>
      </w:r>
      <w:r>
        <w:rPr>
          <w:sz w:val="18"/>
        </w:rPr>
        <w:t>including</w:t>
      </w:r>
      <w:r>
        <w:rPr>
          <w:spacing w:val="-4"/>
          <w:sz w:val="18"/>
        </w:rPr>
        <w:t xml:space="preserve"> </w:t>
      </w:r>
      <w:r>
        <w:rPr>
          <w:sz w:val="18"/>
        </w:rPr>
        <w:t>AU-C</w:t>
      </w:r>
      <w:r>
        <w:rPr>
          <w:spacing w:val="-2"/>
          <w:sz w:val="18"/>
        </w:rPr>
        <w:t xml:space="preserve"> </w:t>
      </w:r>
      <w:r>
        <w:rPr>
          <w:spacing w:val="-4"/>
          <w:sz w:val="18"/>
        </w:rPr>
        <w:t>540,</w:t>
      </w:r>
    </w:p>
    <w:p w14:paraId="0DFDC694" w14:textId="77777777" w:rsidR="00046465" w:rsidRDefault="008134EB">
      <w:pPr>
        <w:spacing w:before="9"/>
        <w:ind w:left="360"/>
        <w:rPr>
          <w:sz w:val="18"/>
        </w:rPr>
      </w:pPr>
      <w:r>
        <w:rPr>
          <w:i/>
          <w:sz w:val="18"/>
        </w:rPr>
        <w:t>Auditing</w:t>
      </w:r>
      <w:r>
        <w:rPr>
          <w:i/>
          <w:spacing w:val="-5"/>
          <w:sz w:val="18"/>
        </w:rPr>
        <w:t xml:space="preserve"> </w:t>
      </w:r>
      <w:r>
        <w:rPr>
          <w:i/>
          <w:sz w:val="18"/>
        </w:rPr>
        <w:t>Accounting</w:t>
      </w:r>
      <w:r>
        <w:rPr>
          <w:i/>
          <w:spacing w:val="-4"/>
          <w:sz w:val="18"/>
        </w:rPr>
        <w:t xml:space="preserve"> </w:t>
      </w:r>
      <w:r>
        <w:rPr>
          <w:i/>
          <w:sz w:val="18"/>
        </w:rPr>
        <w:t>Estimates</w:t>
      </w:r>
      <w:r>
        <w:rPr>
          <w:i/>
          <w:spacing w:val="-4"/>
          <w:sz w:val="18"/>
        </w:rPr>
        <w:t xml:space="preserve"> </w:t>
      </w:r>
      <w:r>
        <w:rPr>
          <w:i/>
          <w:sz w:val="18"/>
        </w:rPr>
        <w:t>and</w:t>
      </w:r>
      <w:r>
        <w:rPr>
          <w:i/>
          <w:spacing w:val="-4"/>
          <w:sz w:val="18"/>
        </w:rPr>
        <w:t xml:space="preserve"> </w:t>
      </w:r>
      <w:r>
        <w:rPr>
          <w:i/>
          <w:sz w:val="18"/>
        </w:rPr>
        <w:t>Related</w:t>
      </w:r>
      <w:r>
        <w:rPr>
          <w:i/>
          <w:spacing w:val="-4"/>
          <w:sz w:val="18"/>
        </w:rPr>
        <w:t xml:space="preserve"> </w:t>
      </w:r>
      <w:r>
        <w:rPr>
          <w:i/>
          <w:spacing w:val="-2"/>
          <w:sz w:val="18"/>
        </w:rPr>
        <w:t>Disclosures</w:t>
      </w:r>
      <w:r>
        <w:rPr>
          <w:spacing w:val="-2"/>
          <w:sz w:val="18"/>
        </w:rPr>
        <w:t>.</w:t>
      </w:r>
    </w:p>
    <w:p w14:paraId="0DFDC695" w14:textId="77777777" w:rsidR="00046465" w:rsidRDefault="00046465">
      <w:pPr>
        <w:rPr>
          <w:sz w:val="18"/>
        </w:rPr>
        <w:sectPr w:rsidR="00046465">
          <w:pgSz w:w="12240" w:h="15840"/>
          <w:pgMar w:top="1600" w:right="720" w:bottom="940" w:left="1080" w:header="721" w:footer="757" w:gutter="0"/>
          <w:cols w:space="720"/>
        </w:sectPr>
      </w:pPr>
    </w:p>
    <w:p w14:paraId="0DFDC696" w14:textId="77777777" w:rsidR="00046465" w:rsidRDefault="008134EB">
      <w:pPr>
        <w:pStyle w:val="ListParagraph"/>
        <w:numPr>
          <w:ilvl w:val="1"/>
          <w:numId w:val="1"/>
        </w:numPr>
        <w:tabs>
          <w:tab w:val="left" w:pos="2159"/>
        </w:tabs>
        <w:spacing w:before="121"/>
        <w:ind w:left="2159" w:right="1318"/>
      </w:pPr>
      <w:r>
        <w:lastRenderedPageBreak/>
        <w:t>Develop</w:t>
      </w:r>
      <w:r>
        <w:rPr>
          <w:spacing w:val="-4"/>
        </w:rPr>
        <w:t xml:space="preserve"> </w:t>
      </w:r>
      <w:r>
        <w:t>an</w:t>
      </w:r>
      <w:r>
        <w:rPr>
          <w:spacing w:val="-4"/>
        </w:rPr>
        <w:t xml:space="preserve"> </w:t>
      </w:r>
      <w:r>
        <w:t>independent</w:t>
      </w:r>
      <w:r>
        <w:rPr>
          <w:spacing w:val="-5"/>
        </w:rPr>
        <w:t xml:space="preserve"> </w:t>
      </w:r>
      <w:r>
        <w:t>expectation</w:t>
      </w:r>
      <w:r>
        <w:rPr>
          <w:spacing w:val="-5"/>
        </w:rPr>
        <w:t xml:space="preserve"> </w:t>
      </w:r>
      <w:r>
        <w:t>of</w:t>
      </w:r>
      <w:r>
        <w:rPr>
          <w:spacing w:val="-4"/>
        </w:rPr>
        <w:t xml:space="preserve"> </w:t>
      </w:r>
      <w:r>
        <w:t>the</w:t>
      </w:r>
      <w:r>
        <w:rPr>
          <w:spacing w:val="-4"/>
        </w:rPr>
        <w:t xml:space="preserve"> </w:t>
      </w:r>
      <w:r>
        <w:t>estimate,</w:t>
      </w:r>
      <w:r>
        <w:rPr>
          <w:spacing w:val="-4"/>
        </w:rPr>
        <w:t xml:space="preserve"> </w:t>
      </w:r>
      <w:r>
        <w:t>or</w:t>
      </w:r>
      <w:r>
        <w:rPr>
          <w:spacing w:val="-4"/>
        </w:rPr>
        <w:t xml:space="preserve"> </w:t>
      </w:r>
      <w:r>
        <w:t>portions</w:t>
      </w:r>
      <w:r>
        <w:rPr>
          <w:spacing w:val="-4"/>
        </w:rPr>
        <w:t xml:space="preserve"> </w:t>
      </w:r>
      <w:r>
        <w:t>of</w:t>
      </w:r>
      <w:r>
        <w:rPr>
          <w:spacing w:val="-4"/>
        </w:rPr>
        <w:t xml:space="preserve"> </w:t>
      </w:r>
      <w:r>
        <w:t>it,</w:t>
      </w:r>
      <w:r>
        <w:rPr>
          <w:spacing w:val="-4"/>
        </w:rPr>
        <w:t xml:space="preserve"> </w:t>
      </w:r>
      <w:r>
        <w:t>to corroborate the reasonableness of the estimate.</w:t>
      </w:r>
    </w:p>
    <w:p w14:paraId="0DFDC697" w14:textId="77777777" w:rsidR="00046465" w:rsidRDefault="008134EB">
      <w:pPr>
        <w:pStyle w:val="ListParagraph"/>
        <w:numPr>
          <w:ilvl w:val="1"/>
          <w:numId w:val="1"/>
        </w:numPr>
        <w:tabs>
          <w:tab w:val="left" w:pos="2159"/>
        </w:tabs>
        <w:spacing w:before="119"/>
        <w:ind w:left="2159" w:right="1147"/>
      </w:pPr>
      <w:r>
        <w:t>Obtain</w:t>
      </w:r>
      <w:r>
        <w:rPr>
          <w:spacing w:val="-2"/>
        </w:rPr>
        <w:t xml:space="preserve"> </w:t>
      </w:r>
      <w:r>
        <w:t>competent</w:t>
      </w:r>
      <w:r>
        <w:rPr>
          <w:spacing w:val="-2"/>
        </w:rPr>
        <w:t xml:space="preserve"> </w:t>
      </w:r>
      <w:r>
        <w:t>evidence</w:t>
      </w:r>
      <w:r>
        <w:rPr>
          <w:spacing w:val="-2"/>
        </w:rPr>
        <w:t xml:space="preserve"> </w:t>
      </w:r>
      <w:r>
        <w:t>from</w:t>
      </w:r>
      <w:r>
        <w:rPr>
          <w:spacing w:val="-3"/>
        </w:rPr>
        <w:t xml:space="preserve"> </w:t>
      </w:r>
      <w:r>
        <w:t>outside</w:t>
      </w:r>
      <w:r>
        <w:rPr>
          <w:spacing w:val="-2"/>
        </w:rPr>
        <w:t xml:space="preserve"> </w:t>
      </w:r>
      <w:r>
        <w:t>the</w:t>
      </w:r>
      <w:r>
        <w:rPr>
          <w:spacing w:val="-2"/>
        </w:rPr>
        <w:t xml:space="preserve"> </w:t>
      </w:r>
      <w:r>
        <w:t>audited</w:t>
      </w:r>
      <w:r>
        <w:rPr>
          <w:spacing w:val="-2"/>
        </w:rPr>
        <w:t xml:space="preserve"> </w:t>
      </w:r>
      <w:r>
        <w:t>entity’s</w:t>
      </w:r>
      <w:r>
        <w:rPr>
          <w:spacing w:val="-3"/>
        </w:rPr>
        <w:t xml:space="preserve"> </w:t>
      </w:r>
      <w:r>
        <w:t>process</w:t>
      </w:r>
      <w:r>
        <w:rPr>
          <w:spacing w:val="-2"/>
        </w:rPr>
        <w:t xml:space="preserve"> </w:t>
      </w:r>
      <w:r>
        <w:t>that would be sufficient to support the assertions in the Statement of Social Insurance</w:t>
      </w:r>
      <w:r>
        <w:rPr>
          <w:spacing w:val="-4"/>
        </w:rPr>
        <w:t xml:space="preserve"> </w:t>
      </w:r>
      <w:r>
        <w:t>and</w:t>
      </w:r>
      <w:r>
        <w:rPr>
          <w:spacing w:val="-4"/>
        </w:rPr>
        <w:t xml:space="preserve"> </w:t>
      </w:r>
      <w:r>
        <w:t>the</w:t>
      </w:r>
      <w:r>
        <w:rPr>
          <w:spacing w:val="-4"/>
        </w:rPr>
        <w:t xml:space="preserve"> </w:t>
      </w:r>
      <w:r>
        <w:t>related</w:t>
      </w:r>
      <w:r>
        <w:rPr>
          <w:spacing w:val="-4"/>
        </w:rPr>
        <w:t xml:space="preserve"> </w:t>
      </w:r>
      <w:r>
        <w:t>changes</w:t>
      </w:r>
      <w:r>
        <w:rPr>
          <w:spacing w:val="-4"/>
        </w:rPr>
        <w:t xml:space="preserve"> </w:t>
      </w:r>
      <w:r>
        <w:t>in</w:t>
      </w:r>
      <w:r>
        <w:rPr>
          <w:spacing w:val="-4"/>
        </w:rPr>
        <w:t xml:space="preserve"> </w:t>
      </w:r>
      <w:r>
        <w:t>the</w:t>
      </w:r>
      <w:r>
        <w:rPr>
          <w:spacing w:val="-4"/>
        </w:rPr>
        <w:t xml:space="preserve"> </w:t>
      </w:r>
      <w:r>
        <w:t>Statement</w:t>
      </w:r>
      <w:r>
        <w:rPr>
          <w:spacing w:val="-4"/>
        </w:rPr>
        <w:t xml:space="preserve"> </w:t>
      </w:r>
      <w:r>
        <w:t>of</w:t>
      </w:r>
      <w:r>
        <w:rPr>
          <w:spacing w:val="-4"/>
        </w:rPr>
        <w:t xml:space="preserve"> </w:t>
      </w:r>
      <w:r>
        <w:t>Changes</w:t>
      </w:r>
      <w:r>
        <w:rPr>
          <w:spacing w:val="-4"/>
        </w:rPr>
        <w:t xml:space="preserve"> </w:t>
      </w:r>
      <w:r>
        <w:t>in</w:t>
      </w:r>
      <w:r>
        <w:rPr>
          <w:spacing w:val="-4"/>
        </w:rPr>
        <w:t xml:space="preserve"> </w:t>
      </w:r>
      <w:r>
        <w:t>Social Insurance Amounts.</w:t>
      </w:r>
    </w:p>
    <w:p w14:paraId="0DFDC698" w14:textId="77777777" w:rsidR="00046465" w:rsidRDefault="008134EB">
      <w:pPr>
        <w:pStyle w:val="BodyText"/>
        <w:spacing w:before="120"/>
        <w:ind w:left="1799" w:right="749"/>
      </w:pPr>
      <w:r>
        <w:t>If it is not practicable to mitigate the effects of the ineffective controls through substantive</w:t>
      </w:r>
      <w:r>
        <w:rPr>
          <w:spacing w:val="-5"/>
        </w:rPr>
        <w:t xml:space="preserve"> </w:t>
      </w:r>
      <w:r>
        <w:t>procedures</w:t>
      </w:r>
      <w:r>
        <w:rPr>
          <w:spacing w:val="-5"/>
        </w:rPr>
        <w:t xml:space="preserve"> </w:t>
      </w:r>
      <w:r>
        <w:t>such</w:t>
      </w:r>
      <w:r>
        <w:rPr>
          <w:spacing w:val="-4"/>
        </w:rPr>
        <w:t xml:space="preserve"> </w:t>
      </w:r>
      <w:r>
        <w:t>as</w:t>
      </w:r>
      <w:r>
        <w:rPr>
          <w:spacing w:val="-4"/>
        </w:rPr>
        <w:t xml:space="preserve"> </w:t>
      </w:r>
      <w:r>
        <w:t>these,</w:t>
      </w:r>
      <w:r>
        <w:rPr>
          <w:spacing w:val="-4"/>
        </w:rPr>
        <w:t xml:space="preserve"> </w:t>
      </w:r>
      <w:r>
        <w:t>the</w:t>
      </w:r>
      <w:r>
        <w:rPr>
          <w:spacing w:val="-4"/>
        </w:rPr>
        <w:t xml:space="preserve"> </w:t>
      </w:r>
      <w:r>
        <w:t>auditor’s</w:t>
      </w:r>
      <w:r>
        <w:rPr>
          <w:spacing w:val="-4"/>
        </w:rPr>
        <w:t xml:space="preserve"> </w:t>
      </w:r>
      <w:r>
        <w:t>report</w:t>
      </w:r>
      <w:r>
        <w:rPr>
          <w:spacing w:val="-4"/>
        </w:rPr>
        <w:t xml:space="preserve"> </w:t>
      </w:r>
      <w:r>
        <w:t>on</w:t>
      </w:r>
      <w:r>
        <w:rPr>
          <w:spacing w:val="-4"/>
        </w:rPr>
        <w:t xml:space="preserve"> </w:t>
      </w:r>
      <w:r>
        <w:t>the</w:t>
      </w:r>
      <w:r>
        <w:rPr>
          <w:spacing w:val="-4"/>
        </w:rPr>
        <w:t xml:space="preserve"> </w:t>
      </w:r>
      <w:r>
        <w:t>Statement</w:t>
      </w:r>
      <w:r>
        <w:rPr>
          <w:spacing w:val="-4"/>
        </w:rPr>
        <w:t xml:space="preserve"> </w:t>
      </w:r>
      <w:r>
        <w:t>of Social Insurance and the related Statement of Changes in Social Insurance Amounts should be modified (SOP 04-1, para. 9).</w:t>
      </w:r>
    </w:p>
    <w:p w14:paraId="0DFDC699" w14:textId="77777777" w:rsidR="00046465" w:rsidRDefault="008134EB">
      <w:pPr>
        <w:pStyle w:val="ListParagraph"/>
        <w:numPr>
          <w:ilvl w:val="0"/>
          <w:numId w:val="74"/>
        </w:numPr>
        <w:tabs>
          <w:tab w:val="left" w:pos="1799"/>
        </w:tabs>
        <w:spacing w:before="121"/>
        <w:ind w:right="750"/>
      </w:pPr>
      <w:r>
        <w:t>The auditor’s objective when auditing the Statement of Social Insurance and the related</w:t>
      </w:r>
      <w:r>
        <w:rPr>
          <w:spacing w:val="-4"/>
        </w:rPr>
        <w:t xml:space="preserve"> </w:t>
      </w:r>
      <w:r>
        <w:t>Statement</w:t>
      </w:r>
      <w:r>
        <w:rPr>
          <w:spacing w:val="-4"/>
        </w:rPr>
        <w:t xml:space="preserve"> </w:t>
      </w:r>
      <w:r>
        <w:t>of</w:t>
      </w:r>
      <w:r>
        <w:rPr>
          <w:spacing w:val="-4"/>
        </w:rPr>
        <w:t xml:space="preserve"> </w:t>
      </w:r>
      <w:r>
        <w:t>Changes</w:t>
      </w:r>
      <w:r>
        <w:rPr>
          <w:spacing w:val="-4"/>
        </w:rPr>
        <w:t xml:space="preserve"> </w:t>
      </w:r>
      <w:r>
        <w:t>in</w:t>
      </w:r>
      <w:r>
        <w:rPr>
          <w:spacing w:val="-4"/>
        </w:rPr>
        <w:t xml:space="preserve"> </w:t>
      </w:r>
      <w:r>
        <w:t>Social</w:t>
      </w:r>
      <w:r>
        <w:rPr>
          <w:spacing w:val="-4"/>
        </w:rPr>
        <w:t xml:space="preserve"> </w:t>
      </w:r>
      <w:r>
        <w:t>Insurance</w:t>
      </w:r>
      <w:r>
        <w:rPr>
          <w:spacing w:val="-4"/>
        </w:rPr>
        <w:t xml:space="preserve"> </w:t>
      </w:r>
      <w:r>
        <w:t>Amounts</w:t>
      </w:r>
      <w:r>
        <w:rPr>
          <w:spacing w:val="-4"/>
        </w:rPr>
        <w:t xml:space="preserve"> </w:t>
      </w:r>
      <w:r>
        <w:t>is</w:t>
      </w:r>
      <w:r>
        <w:rPr>
          <w:spacing w:val="-4"/>
        </w:rPr>
        <w:t xml:space="preserve"> </w:t>
      </w:r>
      <w:r>
        <w:t>to</w:t>
      </w:r>
      <w:r>
        <w:rPr>
          <w:spacing w:val="-4"/>
        </w:rPr>
        <w:t xml:space="preserve"> </w:t>
      </w:r>
      <w:r>
        <w:t>obtain</w:t>
      </w:r>
      <w:r>
        <w:rPr>
          <w:spacing w:val="-5"/>
        </w:rPr>
        <w:t xml:space="preserve"> </w:t>
      </w:r>
      <w:r>
        <w:t>sufficient, competent evidential matter to provide reasonable assurance that</w:t>
      </w:r>
    </w:p>
    <w:p w14:paraId="0DFDC69A" w14:textId="77777777" w:rsidR="00046465" w:rsidRDefault="008134EB">
      <w:pPr>
        <w:pStyle w:val="ListParagraph"/>
        <w:numPr>
          <w:ilvl w:val="1"/>
          <w:numId w:val="74"/>
        </w:numPr>
        <w:tabs>
          <w:tab w:val="left" w:pos="2159"/>
        </w:tabs>
        <w:spacing w:before="119"/>
        <w:ind w:right="1943"/>
      </w:pPr>
      <w:r>
        <w:t>the</w:t>
      </w:r>
      <w:r>
        <w:rPr>
          <w:spacing w:val="-5"/>
        </w:rPr>
        <w:t xml:space="preserve"> </w:t>
      </w:r>
      <w:r>
        <w:t>estimates</w:t>
      </w:r>
      <w:r>
        <w:rPr>
          <w:spacing w:val="-5"/>
        </w:rPr>
        <w:t xml:space="preserve"> </w:t>
      </w:r>
      <w:r>
        <w:t>presented</w:t>
      </w:r>
      <w:r>
        <w:rPr>
          <w:spacing w:val="-5"/>
        </w:rPr>
        <w:t xml:space="preserve"> </w:t>
      </w:r>
      <w:r>
        <w:t>in</w:t>
      </w:r>
      <w:r>
        <w:rPr>
          <w:spacing w:val="-5"/>
        </w:rPr>
        <w:t xml:space="preserve"> </w:t>
      </w:r>
      <w:r>
        <w:t>both</w:t>
      </w:r>
      <w:r>
        <w:rPr>
          <w:spacing w:val="-5"/>
        </w:rPr>
        <w:t xml:space="preserve"> </w:t>
      </w:r>
      <w:r>
        <w:t>statements</w:t>
      </w:r>
      <w:r>
        <w:rPr>
          <w:spacing w:val="-5"/>
        </w:rPr>
        <w:t xml:space="preserve"> </w:t>
      </w:r>
      <w:r>
        <w:t>are</w:t>
      </w:r>
      <w:r>
        <w:rPr>
          <w:spacing w:val="-5"/>
        </w:rPr>
        <w:t xml:space="preserve"> </w:t>
      </w:r>
      <w:r>
        <w:t>reasonable</w:t>
      </w:r>
      <w:r>
        <w:rPr>
          <w:spacing w:val="-5"/>
        </w:rPr>
        <w:t xml:space="preserve"> </w:t>
      </w:r>
      <w:r>
        <w:t>in</w:t>
      </w:r>
      <w:r>
        <w:rPr>
          <w:spacing w:val="-5"/>
        </w:rPr>
        <w:t xml:space="preserve"> </w:t>
      </w:r>
      <w:r>
        <w:t>the circumstances and</w:t>
      </w:r>
    </w:p>
    <w:p w14:paraId="0DFDC69B" w14:textId="77777777" w:rsidR="00046465" w:rsidRDefault="008134EB">
      <w:pPr>
        <w:pStyle w:val="ListParagraph"/>
        <w:numPr>
          <w:ilvl w:val="1"/>
          <w:numId w:val="74"/>
        </w:numPr>
        <w:tabs>
          <w:tab w:val="left" w:pos="2159"/>
        </w:tabs>
        <w:ind w:right="965"/>
      </w:pPr>
      <w:r>
        <w:t>the</w:t>
      </w:r>
      <w:r>
        <w:rPr>
          <w:spacing w:val="-4"/>
        </w:rPr>
        <w:t xml:space="preserve"> </w:t>
      </w:r>
      <w:r>
        <w:t>Statement</w:t>
      </w:r>
      <w:r>
        <w:rPr>
          <w:spacing w:val="-4"/>
        </w:rPr>
        <w:t xml:space="preserve"> </w:t>
      </w:r>
      <w:r>
        <w:t>of</w:t>
      </w:r>
      <w:r>
        <w:rPr>
          <w:spacing w:val="-4"/>
        </w:rPr>
        <w:t xml:space="preserve"> </w:t>
      </w:r>
      <w:r>
        <w:t>Social</w:t>
      </w:r>
      <w:r>
        <w:rPr>
          <w:spacing w:val="-4"/>
        </w:rPr>
        <w:t xml:space="preserve"> </w:t>
      </w:r>
      <w:r>
        <w:t>Insurance</w:t>
      </w:r>
      <w:r>
        <w:rPr>
          <w:spacing w:val="-4"/>
        </w:rPr>
        <w:t xml:space="preserve"> </w:t>
      </w:r>
      <w:r>
        <w:t>and</w:t>
      </w:r>
      <w:r>
        <w:rPr>
          <w:spacing w:val="-4"/>
        </w:rPr>
        <w:t xml:space="preserve"> </w:t>
      </w:r>
      <w:r>
        <w:t>the</w:t>
      </w:r>
      <w:r>
        <w:rPr>
          <w:spacing w:val="-4"/>
        </w:rPr>
        <w:t xml:space="preserve"> </w:t>
      </w:r>
      <w:r>
        <w:t>related</w:t>
      </w:r>
      <w:r>
        <w:rPr>
          <w:spacing w:val="-5"/>
        </w:rPr>
        <w:t xml:space="preserve"> </w:t>
      </w:r>
      <w:r>
        <w:t>Statement</w:t>
      </w:r>
      <w:r>
        <w:rPr>
          <w:spacing w:val="-4"/>
        </w:rPr>
        <w:t xml:space="preserve"> </w:t>
      </w:r>
      <w:r>
        <w:t>of</w:t>
      </w:r>
      <w:r>
        <w:rPr>
          <w:spacing w:val="-4"/>
        </w:rPr>
        <w:t xml:space="preserve"> </w:t>
      </w:r>
      <w:r>
        <w:t>Changes</w:t>
      </w:r>
      <w:r>
        <w:rPr>
          <w:spacing w:val="-4"/>
        </w:rPr>
        <w:t xml:space="preserve"> </w:t>
      </w:r>
      <w:r>
        <w:t>in Social Insurance Amounts are presented fairly, in all material respects, in conformity with U.S. GAAP, including adequate disclosure.</w:t>
      </w:r>
    </w:p>
    <w:p w14:paraId="0DFDC69C" w14:textId="77777777" w:rsidR="00046465" w:rsidRDefault="008134EB">
      <w:pPr>
        <w:pStyle w:val="ListParagraph"/>
        <w:numPr>
          <w:ilvl w:val="0"/>
          <w:numId w:val="74"/>
        </w:numPr>
        <w:tabs>
          <w:tab w:val="left" w:pos="1799"/>
        </w:tabs>
        <w:ind w:right="938"/>
        <w:rPr>
          <w:position w:val="7"/>
          <w:sz w:val="14"/>
        </w:rPr>
      </w:pPr>
      <w:r>
        <w:t>If the auditor does not possess the level of competence in actuarial science to qualify as an actuary, the auditor generally should obtain the services of an independent actuary to assist the auditor in planning and performing auditing procedures.</w:t>
      </w:r>
      <w:hyperlink w:anchor="_bookmark201" w:history="1">
        <w:r>
          <w:rPr>
            <w:position w:val="7"/>
            <w:sz w:val="14"/>
          </w:rPr>
          <w:t>52</w:t>
        </w:r>
      </w:hyperlink>
      <w:r>
        <w:rPr>
          <w:spacing w:val="18"/>
          <w:position w:val="7"/>
          <w:sz w:val="14"/>
        </w:rPr>
        <w:t xml:space="preserve"> </w:t>
      </w:r>
      <w:r>
        <w:t>Generally,</w:t>
      </w:r>
      <w:r>
        <w:rPr>
          <w:spacing w:val="-3"/>
        </w:rPr>
        <w:t xml:space="preserve"> </w:t>
      </w:r>
      <w:r>
        <w:t>the</w:t>
      </w:r>
      <w:r>
        <w:rPr>
          <w:spacing w:val="-3"/>
        </w:rPr>
        <w:t xml:space="preserve"> </w:t>
      </w:r>
      <w:r>
        <w:t>auditor</w:t>
      </w:r>
      <w:r>
        <w:rPr>
          <w:spacing w:val="-3"/>
        </w:rPr>
        <w:t xml:space="preserve"> </w:t>
      </w:r>
      <w:r>
        <w:t>will</w:t>
      </w:r>
      <w:r>
        <w:rPr>
          <w:spacing w:val="-3"/>
        </w:rPr>
        <w:t xml:space="preserve"> </w:t>
      </w:r>
      <w:r>
        <w:t>need</w:t>
      </w:r>
      <w:r>
        <w:rPr>
          <w:spacing w:val="-3"/>
        </w:rPr>
        <w:t xml:space="preserve"> </w:t>
      </w:r>
      <w:r>
        <w:t>the</w:t>
      </w:r>
      <w:r>
        <w:rPr>
          <w:spacing w:val="-4"/>
        </w:rPr>
        <w:t xml:space="preserve"> </w:t>
      </w:r>
      <w:r>
        <w:t>assistance</w:t>
      </w:r>
      <w:r>
        <w:rPr>
          <w:spacing w:val="-3"/>
        </w:rPr>
        <w:t xml:space="preserve"> </w:t>
      </w:r>
      <w:r>
        <w:t>of</w:t>
      </w:r>
      <w:r>
        <w:rPr>
          <w:spacing w:val="-3"/>
        </w:rPr>
        <w:t xml:space="preserve"> </w:t>
      </w:r>
      <w:r>
        <w:t>an</w:t>
      </w:r>
      <w:r>
        <w:rPr>
          <w:spacing w:val="-3"/>
        </w:rPr>
        <w:t xml:space="preserve"> </w:t>
      </w:r>
      <w:r>
        <w:t>independent actuary in performing various procedures during all phases of the audit and related to all elements of the estimates.</w:t>
      </w:r>
      <w:hyperlink w:anchor="_bookmark202" w:history="1">
        <w:r>
          <w:rPr>
            <w:position w:val="7"/>
            <w:sz w:val="14"/>
          </w:rPr>
          <w:t>53</w:t>
        </w:r>
      </w:hyperlink>
    </w:p>
    <w:p w14:paraId="0DFDC69D" w14:textId="77777777" w:rsidR="00046465" w:rsidRDefault="008134EB">
      <w:pPr>
        <w:pStyle w:val="Heading4"/>
        <w:spacing w:before="240"/>
      </w:pPr>
      <w:bookmarkStart w:id="346" w:name="Key_Implementation_Issues"/>
      <w:bookmarkEnd w:id="346"/>
      <w:r>
        <w:t>Key</w:t>
      </w:r>
      <w:r>
        <w:rPr>
          <w:spacing w:val="-17"/>
        </w:rPr>
        <w:t xml:space="preserve"> </w:t>
      </w:r>
      <w:r>
        <w:t>Implementation</w:t>
      </w:r>
      <w:r>
        <w:rPr>
          <w:spacing w:val="-16"/>
        </w:rPr>
        <w:t xml:space="preserve"> </w:t>
      </w:r>
      <w:r>
        <w:rPr>
          <w:spacing w:val="-2"/>
        </w:rPr>
        <w:t>Issues</w:t>
      </w:r>
    </w:p>
    <w:p w14:paraId="0DFDC69E" w14:textId="77777777" w:rsidR="00046465" w:rsidRDefault="008134EB">
      <w:pPr>
        <w:pStyle w:val="Heading5"/>
        <w:spacing w:before="242"/>
        <w:ind w:left="392"/>
        <w:rPr>
          <w:u w:val="none"/>
        </w:rPr>
      </w:pPr>
      <w:bookmarkStart w:id="347" w:name="Determining_Materiality"/>
      <w:bookmarkEnd w:id="347"/>
      <w:r>
        <w:t>Determining</w:t>
      </w:r>
      <w:r>
        <w:rPr>
          <w:spacing w:val="-6"/>
        </w:rPr>
        <w:t xml:space="preserve"> </w:t>
      </w:r>
      <w:r>
        <w:rPr>
          <w:spacing w:val="-2"/>
        </w:rPr>
        <w:t>Materiality</w:t>
      </w:r>
    </w:p>
    <w:p w14:paraId="0DFDC69F" w14:textId="77777777" w:rsidR="00046465" w:rsidRDefault="008134EB">
      <w:pPr>
        <w:pStyle w:val="ListParagraph"/>
        <w:numPr>
          <w:ilvl w:val="0"/>
          <w:numId w:val="74"/>
        </w:numPr>
        <w:tabs>
          <w:tab w:val="left" w:pos="1800"/>
        </w:tabs>
        <w:spacing w:before="118"/>
        <w:ind w:left="1800" w:right="810"/>
      </w:pPr>
      <w:r>
        <w:t>As discussed in FAM 230, materiality is one of the factors the auditor uses to determine</w:t>
      </w:r>
      <w:r>
        <w:rPr>
          <w:spacing w:val="-5"/>
        </w:rPr>
        <w:t xml:space="preserve"> </w:t>
      </w:r>
      <w:r>
        <w:t>the</w:t>
      </w:r>
      <w:r>
        <w:rPr>
          <w:spacing w:val="-5"/>
        </w:rPr>
        <w:t xml:space="preserve"> </w:t>
      </w:r>
      <w:r>
        <w:t>nature,</w:t>
      </w:r>
      <w:r>
        <w:rPr>
          <w:spacing w:val="-5"/>
        </w:rPr>
        <w:t xml:space="preserve"> </w:t>
      </w:r>
      <w:r>
        <w:t>timing,</w:t>
      </w:r>
      <w:r>
        <w:rPr>
          <w:spacing w:val="-5"/>
        </w:rPr>
        <w:t xml:space="preserve"> </w:t>
      </w:r>
      <w:r>
        <w:t>and</w:t>
      </w:r>
      <w:r>
        <w:rPr>
          <w:spacing w:val="-5"/>
        </w:rPr>
        <w:t xml:space="preserve"> </w:t>
      </w:r>
      <w:r>
        <w:t>extent</w:t>
      </w:r>
      <w:r>
        <w:rPr>
          <w:spacing w:val="-5"/>
        </w:rPr>
        <w:t xml:space="preserve"> </w:t>
      </w:r>
      <w:r>
        <w:t>of</w:t>
      </w:r>
      <w:r>
        <w:rPr>
          <w:spacing w:val="-5"/>
        </w:rPr>
        <w:t xml:space="preserve"> </w:t>
      </w:r>
      <w:r>
        <w:t>procedures.</w:t>
      </w:r>
      <w:r>
        <w:rPr>
          <w:spacing w:val="-5"/>
        </w:rPr>
        <w:t xml:space="preserve"> </w:t>
      </w:r>
      <w:r>
        <w:t>Misstatements,</w:t>
      </w:r>
      <w:r>
        <w:rPr>
          <w:spacing w:val="-5"/>
        </w:rPr>
        <w:t xml:space="preserve"> </w:t>
      </w:r>
      <w:r>
        <w:t>including omissions, are considered material if there is a substantial likelihood that, individually or in the aggregate, they would influence the judgment made by a reasonable user based on the financial statements.</w:t>
      </w:r>
      <w:hyperlink w:anchor="_bookmark203" w:history="1">
        <w:r>
          <w:rPr>
            <w:position w:val="7"/>
            <w:sz w:val="14"/>
          </w:rPr>
          <w:t>54</w:t>
        </w:r>
      </w:hyperlink>
      <w:r>
        <w:rPr>
          <w:spacing w:val="37"/>
          <w:position w:val="7"/>
          <w:sz w:val="14"/>
        </w:rPr>
        <w:t xml:space="preserve"> </w:t>
      </w:r>
      <w:r>
        <w:t>Materiality has both quantitative and qualitative aspects. Certain misstatements or omissions, even</w:t>
      </w:r>
    </w:p>
    <w:p w14:paraId="0DFDC6A0" w14:textId="77777777" w:rsidR="00046465" w:rsidRDefault="008134EB">
      <w:pPr>
        <w:pStyle w:val="BodyText"/>
        <w:spacing w:before="213"/>
        <w:rPr>
          <w:sz w:val="20"/>
        </w:rPr>
      </w:pPr>
      <w:r>
        <w:rPr>
          <w:noProof/>
          <w:sz w:val="20"/>
        </w:rPr>
        <mc:AlternateContent>
          <mc:Choice Requires="wps">
            <w:drawing>
              <wp:anchor distT="0" distB="0" distL="0" distR="0" simplePos="0" relativeHeight="487730176" behindDoc="1" locked="0" layoutInCell="1" allowOverlap="1" wp14:anchorId="0DFDD73F" wp14:editId="0DFDD740">
                <wp:simplePos x="0" y="0"/>
                <wp:positionH relativeFrom="page">
                  <wp:posOffset>914400</wp:posOffset>
                </wp:positionH>
                <wp:positionV relativeFrom="paragraph">
                  <wp:posOffset>296605</wp:posOffset>
                </wp:positionV>
                <wp:extent cx="1828800" cy="5715"/>
                <wp:effectExtent l="0" t="0" r="0" b="0"/>
                <wp:wrapTopAndBottom/>
                <wp:docPr id="1059" name="Graphic 10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BB6190" id="Graphic 1059" o:spid="_x0000_s1026" style="position:absolute;margin-left:1in;margin-top:23.35pt;width:2in;height:.45pt;z-index:-1558630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" path="m1828800,l,,,5333r1828800,l1828800,xe" fillcolor="black" stroked="f">
                <v:path arrowok="t"/>
                <w10:wrap type="topAndBottom" anchorx="page"/>
              </v:shape>
            </w:pict>
          </mc:Fallback>
        </mc:AlternateContent>
      </w:r>
    </w:p>
    <w:p w14:paraId="0DFDC6A1" w14:textId="77777777" w:rsidR="00046465" w:rsidRDefault="008134EB">
      <w:pPr>
        <w:spacing w:before="202" w:line="242" w:lineRule="auto"/>
        <w:ind w:left="359" w:right="718"/>
        <w:rPr>
          <w:sz w:val="18"/>
        </w:rPr>
      </w:pPr>
      <w:bookmarkStart w:id="348" w:name="_bookmark201"/>
      <w:bookmarkEnd w:id="348"/>
      <w:r>
        <w:rPr>
          <w:position w:val="7"/>
          <w:sz w:val="14"/>
        </w:rPr>
        <w:t>52</w:t>
      </w:r>
      <w:r>
        <w:rPr>
          <w:sz w:val="18"/>
        </w:rPr>
        <w:t>The actuary can either be under contract with the independent auditor or employed by the independent audit organization. In either case, the actuary performing services for the auditor would need to meet the independence standards</w:t>
      </w:r>
      <w:r>
        <w:rPr>
          <w:spacing w:val="-2"/>
          <w:sz w:val="18"/>
        </w:rPr>
        <w:t xml:space="preserve"> </w:t>
      </w:r>
      <w:r>
        <w:rPr>
          <w:sz w:val="18"/>
        </w:rPr>
        <w:t>of</w:t>
      </w:r>
      <w:r>
        <w:rPr>
          <w:spacing w:val="-2"/>
          <w:sz w:val="18"/>
        </w:rPr>
        <w:t xml:space="preserve"> </w:t>
      </w:r>
      <w:r>
        <w:rPr>
          <w:sz w:val="18"/>
        </w:rPr>
        <w:t>GAGAS,</w:t>
      </w:r>
      <w:r>
        <w:rPr>
          <w:spacing w:val="-2"/>
          <w:sz w:val="18"/>
        </w:rPr>
        <w:t xml:space="preserve"> </w:t>
      </w:r>
      <w:r>
        <w:rPr>
          <w:sz w:val="18"/>
        </w:rPr>
        <w:t>which</w:t>
      </w:r>
      <w:r>
        <w:rPr>
          <w:spacing w:val="-3"/>
          <w:sz w:val="18"/>
        </w:rPr>
        <w:t xml:space="preserve"> </w:t>
      </w:r>
      <w:r>
        <w:rPr>
          <w:sz w:val="18"/>
        </w:rPr>
        <w:t>are</w:t>
      </w:r>
      <w:r>
        <w:rPr>
          <w:spacing w:val="-3"/>
          <w:sz w:val="18"/>
        </w:rPr>
        <w:t xml:space="preserve"> </w:t>
      </w:r>
      <w:r>
        <w:rPr>
          <w:sz w:val="18"/>
        </w:rPr>
        <w:t>applicable</w:t>
      </w:r>
      <w:r>
        <w:rPr>
          <w:spacing w:val="-3"/>
          <w:sz w:val="18"/>
        </w:rPr>
        <w:t xml:space="preserve"> </w:t>
      </w:r>
      <w:r>
        <w:rPr>
          <w:sz w:val="18"/>
        </w:rPr>
        <w:t>to</w:t>
      </w:r>
      <w:r>
        <w:rPr>
          <w:spacing w:val="-3"/>
          <w:sz w:val="18"/>
        </w:rPr>
        <w:t xml:space="preserve"> </w:t>
      </w:r>
      <w:r>
        <w:rPr>
          <w:sz w:val="18"/>
        </w:rPr>
        <w:t>audits</w:t>
      </w:r>
      <w:r>
        <w:rPr>
          <w:spacing w:val="-2"/>
          <w:sz w:val="18"/>
        </w:rPr>
        <w:t xml:space="preserve"> </w:t>
      </w:r>
      <w:r>
        <w:rPr>
          <w:sz w:val="18"/>
        </w:rPr>
        <w:t>of</w:t>
      </w:r>
      <w:r>
        <w:rPr>
          <w:spacing w:val="-2"/>
          <w:sz w:val="18"/>
        </w:rPr>
        <w:t xml:space="preserve"> </w:t>
      </w:r>
      <w:r>
        <w:rPr>
          <w:sz w:val="18"/>
        </w:rPr>
        <w:t>Statements</w:t>
      </w:r>
      <w:r>
        <w:rPr>
          <w:spacing w:val="-2"/>
          <w:sz w:val="18"/>
        </w:rPr>
        <w:t xml:space="preserve"> </w:t>
      </w:r>
      <w:r>
        <w:rPr>
          <w:sz w:val="18"/>
        </w:rPr>
        <w:t>of</w:t>
      </w:r>
      <w:r>
        <w:rPr>
          <w:spacing w:val="-2"/>
          <w:sz w:val="18"/>
        </w:rPr>
        <w:t xml:space="preserve"> </w:t>
      </w:r>
      <w:r>
        <w:rPr>
          <w:sz w:val="18"/>
        </w:rPr>
        <w:t>Social</w:t>
      </w:r>
      <w:r>
        <w:rPr>
          <w:spacing w:val="-2"/>
          <w:sz w:val="18"/>
        </w:rPr>
        <w:t xml:space="preserve"> </w:t>
      </w:r>
      <w:r>
        <w:rPr>
          <w:sz w:val="18"/>
        </w:rPr>
        <w:t>Insurance</w:t>
      </w:r>
      <w:r>
        <w:rPr>
          <w:spacing w:val="-3"/>
          <w:sz w:val="18"/>
        </w:rPr>
        <w:t xml:space="preserve"> </w:t>
      </w:r>
      <w:r>
        <w:rPr>
          <w:sz w:val="18"/>
        </w:rPr>
        <w:t>and</w:t>
      </w:r>
      <w:r>
        <w:rPr>
          <w:spacing w:val="-3"/>
          <w:sz w:val="18"/>
        </w:rPr>
        <w:t xml:space="preserve"> </w:t>
      </w:r>
      <w:r>
        <w:rPr>
          <w:sz w:val="18"/>
        </w:rPr>
        <w:t>Statements</w:t>
      </w:r>
      <w:r>
        <w:rPr>
          <w:spacing w:val="-2"/>
          <w:sz w:val="18"/>
        </w:rPr>
        <w:t xml:space="preserve"> </w:t>
      </w:r>
      <w:r>
        <w:rPr>
          <w:sz w:val="18"/>
        </w:rPr>
        <w:t>of</w:t>
      </w:r>
      <w:r>
        <w:rPr>
          <w:spacing w:val="-2"/>
          <w:sz w:val="18"/>
        </w:rPr>
        <w:t xml:space="preserve"> </w:t>
      </w:r>
      <w:r>
        <w:rPr>
          <w:sz w:val="18"/>
        </w:rPr>
        <w:t>Changes</w:t>
      </w:r>
      <w:r>
        <w:rPr>
          <w:spacing w:val="-2"/>
          <w:sz w:val="18"/>
        </w:rPr>
        <w:t xml:space="preserve"> </w:t>
      </w:r>
      <w:r>
        <w:rPr>
          <w:sz w:val="18"/>
        </w:rPr>
        <w:t>in Social Insurance Amounts.</w:t>
      </w:r>
    </w:p>
    <w:p w14:paraId="0DFDC6A2" w14:textId="77777777" w:rsidR="00046465" w:rsidRDefault="008134EB">
      <w:pPr>
        <w:spacing w:before="124" w:line="244" w:lineRule="auto"/>
        <w:ind w:left="359" w:right="810"/>
        <w:jc w:val="both"/>
        <w:rPr>
          <w:sz w:val="18"/>
        </w:rPr>
      </w:pPr>
      <w:bookmarkStart w:id="349" w:name="_bookmark202"/>
      <w:bookmarkEnd w:id="349"/>
      <w:r>
        <w:rPr>
          <w:position w:val="7"/>
          <w:sz w:val="14"/>
        </w:rPr>
        <w:t>53</w:t>
      </w:r>
      <w:r>
        <w:rPr>
          <w:sz w:val="18"/>
        </w:rPr>
        <w:t>American</w:t>
      </w:r>
      <w:r>
        <w:rPr>
          <w:spacing w:val="-4"/>
          <w:sz w:val="18"/>
        </w:rPr>
        <w:t xml:space="preserve"> </w:t>
      </w:r>
      <w:r>
        <w:rPr>
          <w:sz w:val="18"/>
        </w:rPr>
        <w:t>Institute</w:t>
      </w:r>
      <w:r>
        <w:rPr>
          <w:spacing w:val="-4"/>
          <w:sz w:val="18"/>
        </w:rPr>
        <w:t xml:space="preserve"> </w:t>
      </w:r>
      <w:r>
        <w:rPr>
          <w:sz w:val="18"/>
        </w:rPr>
        <w:t>of</w:t>
      </w:r>
      <w:r>
        <w:rPr>
          <w:spacing w:val="-3"/>
          <w:sz w:val="18"/>
        </w:rPr>
        <w:t xml:space="preserve"> </w:t>
      </w:r>
      <w:r>
        <w:rPr>
          <w:sz w:val="18"/>
        </w:rPr>
        <w:t>Certified</w:t>
      </w:r>
      <w:r>
        <w:rPr>
          <w:spacing w:val="-2"/>
          <w:sz w:val="18"/>
        </w:rPr>
        <w:t xml:space="preserve"> </w:t>
      </w:r>
      <w:r>
        <w:rPr>
          <w:sz w:val="18"/>
        </w:rPr>
        <w:t>Public</w:t>
      </w:r>
      <w:r>
        <w:rPr>
          <w:spacing w:val="-3"/>
          <w:sz w:val="18"/>
        </w:rPr>
        <w:t xml:space="preserve"> </w:t>
      </w:r>
      <w:r>
        <w:rPr>
          <w:sz w:val="18"/>
        </w:rPr>
        <w:t>Accountants,</w:t>
      </w:r>
      <w:r>
        <w:rPr>
          <w:spacing w:val="-3"/>
          <w:sz w:val="18"/>
        </w:rPr>
        <w:t xml:space="preserve"> </w:t>
      </w:r>
      <w:r>
        <w:rPr>
          <w:i/>
          <w:sz w:val="18"/>
        </w:rPr>
        <w:t>Auditing</w:t>
      </w:r>
      <w:r>
        <w:rPr>
          <w:i/>
          <w:spacing w:val="-4"/>
          <w:sz w:val="18"/>
        </w:rPr>
        <w:t xml:space="preserve"> </w:t>
      </w:r>
      <w:r>
        <w:rPr>
          <w:i/>
          <w:sz w:val="18"/>
        </w:rPr>
        <w:t>the</w:t>
      </w:r>
      <w:r>
        <w:rPr>
          <w:i/>
          <w:spacing w:val="-4"/>
          <w:sz w:val="18"/>
        </w:rPr>
        <w:t xml:space="preserve"> </w:t>
      </w:r>
      <w:r>
        <w:rPr>
          <w:i/>
          <w:sz w:val="18"/>
        </w:rPr>
        <w:t>Statement</w:t>
      </w:r>
      <w:r>
        <w:rPr>
          <w:i/>
          <w:spacing w:val="-3"/>
          <w:sz w:val="18"/>
        </w:rPr>
        <w:t xml:space="preserve"> </w:t>
      </w:r>
      <w:r>
        <w:rPr>
          <w:i/>
          <w:sz w:val="18"/>
        </w:rPr>
        <w:t>of</w:t>
      </w:r>
      <w:r>
        <w:rPr>
          <w:i/>
          <w:spacing w:val="-3"/>
          <w:sz w:val="18"/>
        </w:rPr>
        <w:t xml:space="preserve"> </w:t>
      </w:r>
      <w:r>
        <w:rPr>
          <w:i/>
          <w:sz w:val="18"/>
        </w:rPr>
        <w:t>Social</w:t>
      </w:r>
      <w:r>
        <w:rPr>
          <w:i/>
          <w:spacing w:val="-3"/>
          <w:sz w:val="18"/>
        </w:rPr>
        <w:t xml:space="preserve"> </w:t>
      </w:r>
      <w:r>
        <w:rPr>
          <w:i/>
          <w:sz w:val="18"/>
        </w:rPr>
        <w:t>Insurance</w:t>
      </w:r>
      <w:r>
        <w:rPr>
          <w:sz w:val="18"/>
        </w:rPr>
        <w:t>,</w:t>
      </w:r>
      <w:r>
        <w:rPr>
          <w:spacing w:val="-3"/>
          <w:sz w:val="18"/>
        </w:rPr>
        <w:t xml:space="preserve"> </w:t>
      </w:r>
      <w:r>
        <w:rPr>
          <w:sz w:val="18"/>
        </w:rPr>
        <w:t>SOP</w:t>
      </w:r>
      <w:r>
        <w:rPr>
          <w:spacing w:val="-3"/>
          <w:sz w:val="18"/>
        </w:rPr>
        <w:t xml:space="preserve"> </w:t>
      </w:r>
      <w:r>
        <w:rPr>
          <w:sz w:val="18"/>
        </w:rPr>
        <w:t>04-1</w:t>
      </w:r>
      <w:r>
        <w:rPr>
          <w:spacing w:val="-2"/>
          <w:sz w:val="18"/>
        </w:rPr>
        <w:t xml:space="preserve"> </w:t>
      </w:r>
      <w:r>
        <w:rPr>
          <w:sz w:val="18"/>
        </w:rPr>
        <w:t>(Nov.</w:t>
      </w:r>
      <w:r>
        <w:rPr>
          <w:spacing w:val="-3"/>
          <w:sz w:val="18"/>
        </w:rPr>
        <w:t xml:space="preserve"> </w:t>
      </w:r>
      <w:r>
        <w:rPr>
          <w:sz w:val="18"/>
        </w:rPr>
        <w:t>22, 2004), para. 10, and</w:t>
      </w:r>
      <w:r>
        <w:rPr>
          <w:spacing w:val="-1"/>
          <w:sz w:val="18"/>
        </w:rPr>
        <w:t xml:space="preserve"> </w:t>
      </w:r>
      <w:r>
        <w:rPr>
          <w:sz w:val="18"/>
        </w:rPr>
        <w:t xml:space="preserve">AU-C 620, </w:t>
      </w:r>
      <w:r>
        <w:rPr>
          <w:i/>
          <w:sz w:val="18"/>
        </w:rPr>
        <w:t>Using</w:t>
      </w:r>
      <w:r>
        <w:rPr>
          <w:i/>
          <w:spacing w:val="-1"/>
          <w:sz w:val="18"/>
        </w:rPr>
        <w:t xml:space="preserve"> </w:t>
      </w:r>
      <w:r>
        <w:rPr>
          <w:i/>
          <w:sz w:val="18"/>
        </w:rPr>
        <w:t>the</w:t>
      </w:r>
      <w:r>
        <w:rPr>
          <w:i/>
          <w:spacing w:val="-1"/>
          <w:sz w:val="18"/>
        </w:rPr>
        <w:t xml:space="preserve"> </w:t>
      </w:r>
      <w:r>
        <w:rPr>
          <w:i/>
          <w:sz w:val="18"/>
        </w:rPr>
        <w:t>Work of an</w:t>
      </w:r>
      <w:r>
        <w:rPr>
          <w:i/>
          <w:spacing w:val="-1"/>
          <w:sz w:val="18"/>
        </w:rPr>
        <w:t xml:space="preserve"> </w:t>
      </w:r>
      <w:r>
        <w:rPr>
          <w:i/>
          <w:sz w:val="18"/>
        </w:rPr>
        <w:t>Auditor’s Specialist (</w:t>
      </w:r>
      <w:r>
        <w:rPr>
          <w:sz w:val="18"/>
        </w:rPr>
        <w:t>effective</w:t>
      </w:r>
      <w:r>
        <w:rPr>
          <w:spacing w:val="-1"/>
          <w:sz w:val="18"/>
        </w:rPr>
        <w:t xml:space="preserve"> </w:t>
      </w:r>
      <w:r>
        <w:rPr>
          <w:sz w:val="18"/>
        </w:rPr>
        <w:t>for audits of financial statements for periods ending on or after December 15, 2012).</w:t>
      </w:r>
    </w:p>
    <w:p w14:paraId="0DFDC6A3" w14:textId="77777777" w:rsidR="00046465" w:rsidRDefault="008134EB">
      <w:pPr>
        <w:spacing w:before="122" w:line="242" w:lineRule="auto"/>
        <w:ind w:left="359" w:right="749"/>
        <w:rPr>
          <w:sz w:val="18"/>
        </w:rPr>
      </w:pPr>
      <w:bookmarkStart w:id="350" w:name="_bookmark203"/>
      <w:bookmarkEnd w:id="350"/>
      <w:r>
        <w:rPr>
          <w:position w:val="7"/>
          <w:sz w:val="14"/>
        </w:rPr>
        <w:t>54</w:t>
      </w:r>
      <w:r>
        <w:rPr>
          <w:sz w:val="18"/>
        </w:rPr>
        <w:t xml:space="preserve">FASAB’s Statement of Federal Financial Accounting Concepts (SFFAC) 1, </w:t>
      </w:r>
      <w:r>
        <w:rPr>
          <w:i/>
          <w:sz w:val="18"/>
        </w:rPr>
        <w:t>Objectives of Federal Financial Reporting</w:t>
      </w:r>
      <w:r>
        <w:rPr>
          <w:sz w:val="18"/>
        </w:rPr>
        <w:t>,</w:t>
      </w:r>
      <w:r>
        <w:rPr>
          <w:spacing w:val="-3"/>
          <w:sz w:val="18"/>
        </w:rPr>
        <w:t xml:space="preserve"> </w:t>
      </w:r>
      <w:r>
        <w:rPr>
          <w:sz w:val="18"/>
        </w:rPr>
        <w:t>provides</w:t>
      </w:r>
      <w:r>
        <w:rPr>
          <w:spacing w:val="-3"/>
          <w:sz w:val="18"/>
        </w:rPr>
        <w:t xml:space="preserve"> </w:t>
      </w:r>
      <w:r>
        <w:rPr>
          <w:sz w:val="18"/>
        </w:rPr>
        <w:t>a</w:t>
      </w:r>
      <w:r>
        <w:rPr>
          <w:spacing w:val="-4"/>
          <w:sz w:val="18"/>
        </w:rPr>
        <w:t xml:space="preserve"> </w:t>
      </w:r>
      <w:r>
        <w:rPr>
          <w:sz w:val="18"/>
        </w:rPr>
        <w:t>slightly</w:t>
      </w:r>
      <w:r>
        <w:rPr>
          <w:spacing w:val="-2"/>
          <w:sz w:val="18"/>
        </w:rPr>
        <w:t xml:space="preserve"> </w:t>
      </w:r>
      <w:r>
        <w:rPr>
          <w:sz w:val="18"/>
        </w:rPr>
        <w:t>different</w:t>
      </w:r>
      <w:r>
        <w:rPr>
          <w:spacing w:val="-3"/>
          <w:sz w:val="18"/>
        </w:rPr>
        <w:t xml:space="preserve"> </w:t>
      </w:r>
      <w:r>
        <w:rPr>
          <w:sz w:val="18"/>
        </w:rPr>
        <w:t>definition</w:t>
      </w:r>
      <w:r>
        <w:rPr>
          <w:spacing w:val="-4"/>
          <w:sz w:val="18"/>
        </w:rPr>
        <w:t xml:space="preserve"> </w:t>
      </w:r>
      <w:r>
        <w:rPr>
          <w:sz w:val="18"/>
        </w:rPr>
        <w:t>of</w:t>
      </w:r>
      <w:r>
        <w:rPr>
          <w:spacing w:val="-3"/>
          <w:sz w:val="18"/>
        </w:rPr>
        <w:t xml:space="preserve"> </w:t>
      </w:r>
      <w:r>
        <w:rPr>
          <w:sz w:val="18"/>
        </w:rPr>
        <w:t>materiality.</w:t>
      </w:r>
      <w:r>
        <w:rPr>
          <w:spacing w:val="-3"/>
          <w:sz w:val="18"/>
        </w:rPr>
        <w:t xml:space="preserve"> </w:t>
      </w:r>
      <w:r>
        <w:rPr>
          <w:sz w:val="18"/>
        </w:rPr>
        <w:t>Since</w:t>
      </w:r>
      <w:r>
        <w:rPr>
          <w:spacing w:val="-4"/>
          <w:sz w:val="18"/>
        </w:rPr>
        <w:t xml:space="preserve"> </w:t>
      </w:r>
      <w:r>
        <w:rPr>
          <w:sz w:val="18"/>
        </w:rPr>
        <w:t>SFFACs</w:t>
      </w:r>
      <w:r>
        <w:rPr>
          <w:spacing w:val="-3"/>
          <w:sz w:val="18"/>
        </w:rPr>
        <w:t xml:space="preserve"> </w:t>
      </w:r>
      <w:r>
        <w:rPr>
          <w:sz w:val="18"/>
        </w:rPr>
        <w:t>are</w:t>
      </w:r>
      <w:r>
        <w:rPr>
          <w:spacing w:val="-4"/>
          <w:sz w:val="18"/>
        </w:rPr>
        <w:t xml:space="preserve"> </w:t>
      </w:r>
      <w:r>
        <w:rPr>
          <w:sz w:val="18"/>
        </w:rPr>
        <w:t>nonauthoritative,</w:t>
      </w:r>
      <w:r>
        <w:rPr>
          <w:spacing w:val="-3"/>
          <w:sz w:val="18"/>
        </w:rPr>
        <w:t xml:space="preserve"> </w:t>
      </w:r>
      <w:r>
        <w:rPr>
          <w:sz w:val="18"/>
        </w:rPr>
        <w:t>and</w:t>
      </w:r>
      <w:r>
        <w:rPr>
          <w:spacing w:val="-4"/>
          <w:sz w:val="18"/>
        </w:rPr>
        <w:t xml:space="preserve"> </w:t>
      </w:r>
      <w:r>
        <w:rPr>
          <w:sz w:val="18"/>
        </w:rPr>
        <w:t>in</w:t>
      </w:r>
      <w:r>
        <w:rPr>
          <w:spacing w:val="-4"/>
          <w:sz w:val="18"/>
        </w:rPr>
        <w:t xml:space="preserve"> </w:t>
      </w:r>
      <w:r>
        <w:rPr>
          <w:sz w:val="18"/>
        </w:rPr>
        <w:t>SFFAC</w:t>
      </w:r>
      <w:r>
        <w:rPr>
          <w:spacing w:val="-3"/>
          <w:sz w:val="18"/>
        </w:rPr>
        <w:t xml:space="preserve"> </w:t>
      </w:r>
      <w:r>
        <w:rPr>
          <w:sz w:val="18"/>
        </w:rPr>
        <w:t>1, the</w:t>
      </w:r>
      <w:r>
        <w:rPr>
          <w:spacing w:val="-2"/>
          <w:sz w:val="18"/>
        </w:rPr>
        <w:t xml:space="preserve"> </w:t>
      </w:r>
      <w:r>
        <w:rPr>
          <w:sz w:val="18"/>
        </w:rPr>
        <w:t>board</w:t>
      </w:r>
      <w:r>
        <w:rPr>
          <w:spacing w:val="-2"/>
          <w:sz w:val="18"/>
        </w:rPr>
        <w:t xml:space="preserve"> </w:t>
      </w:r>
      <w:r>
        <w:rPr>
          <w:sz w:val="18"/>
        </w:rPr>
        <w:t>recognizes</w:t>
      </w:r>
      <w:r>
        <w:rPr>
          <w:spacing w:val="-1"/>
          <w:sz w:val="18"/>
        </w:rPr>
        <w:t xml:space="preserve"> </w:t>
      </w:r>
      <w:r>
        <w:rPr>
          <w:sz w:val="18"/>
        </w:rPr>
        <w:t>differences</w:t>
      </w:r>
      <w:r>
        <w:rPr>
          <w:spacing w:val="-1"/>
          <w:sz w:val="18"/>
        </w:rPr>
        <w:t xml:space="preserve"> </w:t>
      </w:r>
      <w:r>
        <w:rPr>
          <w:sz w:val="18"/>
        </w:rPr>
        <w:t>from</w:t>
      </w:r>
      <w:r>
        <w:rPr>
          <w:spacing w:val="-1"/>
          <w:sz w:val="18"/>
        </w:rPr>
        <w:t xml:space="preserve"> </w:t>
      </w:r>
      <w:r>
        <w:rPr>
          <w:sz w:val="18"/>
        </w:rPr>
        <w:t>the</w:t>
      </w:r>
      <w:r>
        <w:rPr>
          <w:spacing w:val="-2"/>
          <w:sz w:val="18"/>
        </w:rPr>
        <w:t xml:space="preserve"> </w:t>
      </w:r>
      <w:r>
        <w:rPr>
          <w:sz w:val="18"/>
        </w:rPr>
        <w:t>audit</w:t>
      </w:r>
      <w:r>
        <w:rPr>
          <w:spacing w:val="-1"/>
          <w:sz w:val="18"/>
        </w:rPr>
        <w:t xml:space="preserve"> </w:t>
      </w:r>
      <w:r>
        <w:rPr>
          <w:sz w:val="18"/>
        </w:rPr>
        <w:t>definition,</w:t>
      </w:r>
      <w:r>
        <w:rPr>
          <w:spacing w:val="-1"/>
          <w:sz w:val="18"/>
        </w:rPr>
        <w:t xml:space="preserve"> </w:t>
      </w:r>
      <w:r>
        <w:rPr>
          <w:sz w:val="18"/>
        </w:rPr>
        <w:t>the</w:t>
      </w:r>
      <w:r>
        <w:rPr>
          <w:spacing w:val="-2"/>
          <w:sz w:val="18"/>
        </w:rPr>
        <w:t xml:space="preserve"> </w:t>
      </w:r>
      <w:r>
        <w:rPr>
          <w:sz w:val="18"/>
        </w:rPr>
        <w:t>FAM</w:t>
      </w:r>
      <w:r>
        <w:rPr>
          <w:spacing w:val="-1"/>
          <w:sz w:val="18"/>
        </w:rPr>
        <w:t xml:space="preserve"> </w:t>
      </w:r>
      <w:r>
        <w:rPr>
          <w:sz w:val="18"/>
        </w:rPr>
        <w:t>is</w:t>
      </w:r>
      <w:r>
        <w:rPr>
          <w:spacing w:val="-1"/>
          <w:sz w:val="18"/>
        </w:rPr>
        <w:t xml:space="preserve"> </w:t>
      </w:r>
      <w:r>
        <w:rPr>
          <w:sz w:val="18"/>
        </w:rPr>
        <w:t>based</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definition</w:t>
      </w:r>
      <w:r>
        <w:rPr>
          <w:spacing w:val="-2"/>
          <w:sz w:val="18"/>
        </w:rPr>
        <w:t xml:space="preserve"> </w:t>
      </w:r>
      <w:r>
        <w:rPr>
          <w:sz w:val="18"/>
        </w:rPr>
        <w:t>provided</w:t>
      </w:r>
      <w:r>
        <w:rPr>
          <w:spacing w:val="-2"/>
          <w:sz w:val="18"/>
        </w:rPr>
        <w:t xml:space="preserve"> </w:t>
      </w:r>
      <w:r>
        <w:rPr>
          <w:sz w:val="18"/>
        </w:rPr>
        <w:t>in</w:t>
      </w:r>
      <w:r>
        <w:rPr>
          <w:spacing w:val="-2"/>
          <w:sz w:val="18"/>
        </w:rPr>
        <w:t xml:space="preserve"> </w:t>
      </w:r>
      <w:r>
        <w:rPr>
          <w:sz w:val="18"/>
        </w:rPr>
        <w:t>AU-C</w:t>
      </w:r>
      <w:r>
        <w:rPr>
          <w:spacing w:val="-1"/>
          <w:sz w:val="18"/>
        </w:rPr>
        <w:t xml:space="preserve"> </w:t>
      </w:r>
      <w:r>
        <w:rPr>
          <w:sz w:val="18"/>
        </w:rPr>
        <w:t xml:space="preserve">320, </w:t>
      </w:r>
      <w:r>
        <w:rPr>
          <w:i/>
          <w:sz w:val="18"/>
        </w:rPr>
        <w:t>Materiality in Planning and Performing an Audit</w:t>
      </w:r>
      <w:r>
        <w:rPr>
          <w:sz w:val="18"/>
        </w:rPr>
        <w:t>.</w:t>
      </w:r>
    </w:p>
    <w:p w14:paraId="0DFDC6A4" w14:textId="77777777" w:rsidR="00046465" w:rsidRDefault="00046465">
      <w:pPr>
        <w:spacing w:line="242" w:lineRule="auto"/>
        <w:rPr>
          <w:sz w:val="18"/>
        </w:rPr>
        <w:sectPr w:rsidR="00046465">
          <w:pgSz w:w="12240" w:h="15840"/>
          <w:pgMar w:top="1600" w:right="720" w:bottom="940" w:left="1080" w:header="721" w:footer="757" w:gutter="0"/>
          <w:cols w:space="720"/>
        </w:sectPr>
      </w:pPr>
    </w:p>
    <w:p w14:paraId="0DFDC6A5" w14:textId="77777777" w:rsidR="00046465" w:rsidRDefault="008134EB">
      <w:pPr>
        <w:pStyle w:val="BodyText"/>
        <w:spacing w:before="121"/>
        <w:ind w:left="1800" w:right="749"/>
      </w:pPr>
      <w:r>
        <w:lastRenderedPageBreak/>
        <w:t>though</w:t>
      </w:r>
      <w:r>
        <w:rPr>
          <w:spacing w:val="-4"/>
        </w:rPr>
        <w:t xml:space="preserve"> </w:t>
      </w:r>
      <w:r>
        <w:t>quantitatively</w:t>
      </w:r>
      <w:r>
        <w:rPr>
          <w:spacing w:val="-4"/>
        </w:rPr>
        <w:t xml:space="preserve"> </w:t>
      </w:r>
      <w:r>
        <w:t>immaterial,</w:t>
      </w:r>
      <w:r>
        <w:rPr>
          <w:spacing w:val="-3"/>
        </w:rPr>
        <w:t xml:space="preserve"> </w:t>
      </w:r>
      <w:r>
        <w:t>could</w:t>
      </w:r>
      <w:r>
        <w:rPr>
          <w:spacing w:val="-4"/>
        </w:rPr>
        <w:t xml:space="preserve"> </w:t>
      </w:r>
      <w:r>
        <w:t>have</w:t>
      </w:r>
      <w:r>
        <w:rPr>
          <w:spacing w:val="-4"/>
        </w:rPr>
        <w:t xml:space="preserve"> </w:t>
      </w:r>
      <w:r>
        <w:t>a</w:t>
      </w:r>
      <w:r>
        <w:rPr>
          <w:spacing w:val="-5"/>
        </w:rPr>
        <w:t xml:space="preserve"> </w:t>
      </w:r>
      <w:r>
        <w:t>material</w:t>
      </w:r>
      <w:r>
        <w:rPr>
          <w:spacing w:val="-4"/>
        </w:rPr>
        <w:t xml:space="preserve"> </w:t>
      </w:r>
      <w:r>
        <w:t>impact</w:t>
      </w:r>
      <w:r>
        <w:rPr>
          <w:spacing w:val="-4"/>
        </w:rPr>
        <w:t xml:space="preserve"> </w:t>
      </w:r>
      <w:r>
        <w:t>on</w:t>
      </w:r>
      <w:r>
        <w:rPr>
          <w:spacing w:val="-4"/>
        </w:rPr>
        <w:t xml:space="preserve"> </w:t>
      </w:r>
      <w:r>
        <w:t>or</w:t>
      </w:r>
      <w:r>
        <w:rPr>
          <w:spacing w:val="-4"/>
        </w:rPr>
        <w:t xml:space="preserve"> </w:t>
      </w:r>
      <w:r>
        <w:t>warrant disclosure in the financial statements for qualitative reasons.</w:t>
      </w:r>
    </w:p>
    <w:p w14:paraId="0DFDC6A6" w14:textId="77777777" w:rsidR="00046465" w:rsidRDefault="008134EB">
      <w:pPr>
        <w:pStyle w:val="ListParagraph"/>
        <w:numPr>
          <w:ilvl w:val="0"/>
          <w:numId w:val="74"/>
        </w:numPr>
        <w:tabs>
          <w:tab w:val="left" w:pos="1800"/>
        </w:tabs>
        <w:spacing w:before="119"/>
        <w:ind w:left="1800" w:right="837"/>
      </w:pPr>
      <w:r>
        <w:t>When establishing the overall audit strategy, the auditor should determine materiality</w:t>
      </w:r>
      <w:r>
        <w:rPr>
          <w:spacing w:val="-3"/>
        </w:rPr>
        <w:t xml:space="preserve"> </w:t>
      </w:r>
      <w:r>
        <w:t>for</w:t>
      </w:r>
      <w:r>
        <w:rPr>
          <w:spacing w:val="-3"/>
        </w:rPr>
        <w:t xml:space="preserve"> </w:t>
      </w:r>
      <w:r>
        <w:t>the</w:t>
      </w:r>
      <w:r>
        <w:rPr>
          <w:spacing w:val="-3"/>
        </w:rPr>
        <w:t xml:space="preserve"> </w:t>
      </w:r>
      <w:r>
        <w:t>financial</w:t>
      </w:r>
      <w:r>
        <w:rPr>
          <w:spacing w:val="-3"/>
        </w:rPr>
        <w:t xml:space="preserve"> </w:t>
      </w:r>
      <w:r>
        <w:t>statements</w:t>
      </w:r>
      <w:r>
        <w:rPr>
          <w:spacing w:val="-3"/>
        </w:rPr>
        <w:t xml:space="preserve"> </w:t>
      </w:r>
      <w:r>
        <w:t>as</w:t>
      </w:r>
      <w:r>
        <w:rPr>
          <w:spacing w:val="-3"/>
        </w:rPr>
        <w:t xml:space="preserve"> </w:t>
      </w:r>
      <w:r>
        <w:t>a</w:t>
      </w:r>
      <w:r>
        <w:rPr>
          <w:spacing w:val="-3"/>
        </w:rPr>
        <w:t xml:space="preserve"> </w:t>
      </w:r>
      <w:r>
        <w:t>whole.</w:t>
      </w:r>
      <w:r>
        <w:rPr>
          <w:spacing w:val="-3"/>
        </w:rPr>
        <w:t xml:space="preserve"> </w:t>
      </w:r>
      <w:r>
        <w:t>The</w:t>
      </w:r>
      <w:r>
        <w:rPr>
          <w:spacing w:val="-3"/>
        </w:rPr>
        <w:t xml:space="preserve"> </w:t>
      </w:r>
      <w:r>
        <w:t>auditor</w:t>
      </w:r>
      <w:r>
        <w:rPr>
          <w:spacing w:val="-3"/>
        </w:rPr>
        <w:t xml:space="preserve"> </w:t>
      </w:r>
      <w:r>
        <w:t>should</w:t>
      </w:r>
      <w:r>
        <w:rPr>
          <w:spacing w:val="-2"/>
        </w:rPr>
        <w:t xml:space="preserve"> </w:t>
      </w:r>
      <w:r>
        <w:t>determine materiality in relation to the element of the financial statements that the auditor judges is most significant to the primary users of the statements (the materiality benchmark—see FAM 230). Auditors should use professional judgment and exercise</w:t>
      </w:r>
      <w:r>
        <w:rPr>
          <w:spacing w:val="-5"/>
        </w:rPr>
        <w:t xml:space="preserve"> </w:t>
      </w:r>
      <w:r>
        <w:t>due</w:t>
      </w:r>
      <w:r>
        <w:rPr>
          <w:spacing w:val="-5"/>
        </w:rPr>
        <w:t xml:space="preserve"> </w:t>
      </w:r>
      <w:r>
        <w:t>professional</w:t>
      </w:r>
      <w:r>
        <w:rPr>
          <w:spacing w:val="-5"/>
        </w:rPr>
        <w:t xml:space="preserve"> </w:t>
      </w:r>
      <w:r>
        <w:t>care</w:t>
      </w:r>
      <w:r>
        <w:rPr>
          <w:spacing w:val="-5"/>
        </w:rPr>
        <w:t xml:space="preserve"> </w:t>
      </w:r>
      <w:r>
        <w:t>when</w:t>
      </w:r>
      <w:r>
        <w:rPr>
          <w:spacing w:val="-5"/>
        </w:rPr>
        <w:t xml:space="preserve"> </w:t>
      </w:r>
      <w:r>
        <w:t>setting</w:t>
      </w:r>
      <w:r>
        <w:rPr>
          <w:spacing w:val="-5"/>
        </w:rPr>
        <w:t xml:space="preserve"> </w:t>
      </w:r>
      <w:r>
        <w:t>the</w:t>
      </w:r>
      <w:r>
        <w:rPr>
          <w:spacing w:val="-6"/>
        </w:rPr>
        <w:t xml:space="preserve"> </w:t>
      </w:r>
      <w:r>
        <w:t>materiality</w:t>
      </w:r>
      <w:r>
        <w:rPr>
          <w:spacing w:val="-6"/>
        </w:rPr>
        <w:t xml:space="preserve"> </w:t>
      </w:r>
      <w:r>
        <w:t>benchmark,</w:t>
      </w:r>
      <w:r>
        <w:rPr>
          <w:spacing w:val="-5"/>
        </w:rPr>
        <w:t xml:space="preserve"> </w:t>
      </w:r>
      <w:r>
        <w:t>carefully assessing the information gained from risk assessment procedures and the needs of users of the financial statements (SOP 04-1, para. 22).</w:t>
      </w:r>
    </w:p>
    <w:p w14:paraId="0DFDC6A7" w14:textId="77777777" w:rsidR="00046465" w:rsidRDefault="008134EB">
      <w:pPr>
        <w:pStyle w:val="BodyText"/>
        <w:spacing w:before="121"/>
        <w:ind w:left="1800" w:right="749"/>
      </w:pPr>
      <w:r>
        <w:t>The auditor generally uses preliminary information to estimate the materiality benchmark.</w:t>
      </w:r>
      <w:r>
        <w:rPr>
          <w:spacing w:val="-4"/>
        </w:rPr>
        <w:t xml:space="preserve"> </w:t>
      </w:r>
      <w:r>
        <w:t>This</w:t>
      </w:r>
      <w:r>
        <w:rPr>
          <w:spacing w:val="-4"/>
        </w:rPr>
        <w:t xml:space="preserve"> </w:t>
      </w:r>
      <w:r>
        <w:t>may</w:t>
      </w:r>
      <w:r>
        <w:rPr>
          <w:spacing w:val="-4"/>
        </w:rPr>
        <w:t xml:space="preserve"> </w:t>
      </w:r>
      <w:r>
        <w:t>be</w:t>
      </w:r>
      <w:r>
        <w:rPr>
          <w:spacing w:val="-5"/>
        </w:rPr>
        <w:t xml:space="preserve"> </w:t>
      </w:r>
      <w:r>
        <w:t>prior</w:t>
      </w:r>
      <w:r>
        <w:rPr>
          <w:spacing w:val="-4"/>
        </w:rPr>
        <w:t xml:space="preserve"> </w:t>
      </w:r>
      <w:r>
        <w:t>years’</w:t>
      </w:r>
      <w:r>
        <w:rPr>
          <w:spacing w:val="-5"/>
        </w:rPr>
        <w:t xml:space="preserve"> </w:t>
      </w:r>
      <w:r>
        <w:t>audited</w:t>
      </w:r>
      <w:r>
        <w:rPr>
          <w:spacing w:val="-4"/>
        </w:rPr>
        <w:t xml:space="preserve"> </w:t>
      </w:r>
      <w:r>
        <w:t>financial</w:t>
      </w:r>
      <w:r>
        <w:rPr>
          <w:spacing w:val="-4"/>
        </w:rPr>
        <w:t xml:space="preserve"> </w:t>
      </w:r>
      <w:r>
        <w:t>statements</w:t>
      </w:r>
      <w:r>
        <w:rPr>
          <w:spacing w:val="-4"/>
        </w:rPr>
        <w:t xml:space="preserve"> </w:t>
      </w:r>
      <w:r>
        <w:t>or</w:t>
      </w:r>
      <w:r>
        <w:rPr>
          <w:spacing w:val="-4"/>
        </w:rPr>
        <w:t xml:space="preserve"> </w:t>
      </w:r>
      <w:r>
        <w:t>current-year unaudited and unadjusted interim information. To provide reasonable assurance that sufficient audit procedures are performed, the auditor may estimate the materiality benchmark at the low end of the possible materiality benchmark.</w:t>
      </w:r>
    </w:p>
    <w:p w14:paraId="0DFDC6A8" w14:textId="77777777" w:rsidR="00046465" w:rsidRDefault="008134EB">
      <w:pPr>
        <w:pStyle w:val="BodyText"/>
        <w:spacing w:before="120"/>
        <w:ind w:left="1800" w:right="726"/>
      </w:pPr>
      <w:r>
        <w:t>For certain federal entities, amounts reported in the Statement of Social Insurance and the related Statement of Changes in Social Insurance Amounts may</w:t>
      </w:r>
      <w:r>
        <w:rPr>
          <w:spacing w:val="-4"/>
        </w:rPr>
        <w:t xml:space="preserve"> </w:t>
      </w:r>
      <w:r>
        <w:t>vary</w:t>
      </w:r>
      <w:r>
        <w:rPr>
          <w:spacing w:val="-4"/>
        </w:rPr>
        <w:t xml:space="preserve"> </w:t>
      </w:r>
      <w:r>
        <w:t>significantly</w:t>
      </w:r>
      <w:r>
        <w:rPr>
          <w:spacing w:val="-4"/>
        </w:rPr>
        <w:t xml:space="preserve"> </w:t>
      </w:r>
      <w:r>
        <w:t>from</w:t>
      </w:r>
      <w:r>
        <w:rPr>
          <w:spacing w:val="-5"/>
        </w:rPr>
        <w:t xml:space="preserve"> </w:t>
      </w:r>
      <w:r>
        <w:t>the</w:t>
      </w:r>
      <w:r>
        <w:rPr>
          <w:spacing w:val="-4"/>
        </w:rPr>
        <w:t xml:space="preserve"> </w:t>
      </w:r>
      <w:r>
        <w:t>amounts</w:t>
      </w:r>
      <w:r>
        <w:rPr>
          <w:spacing w:val="-4"/>
        </w:rPr>
        <w:t xml:space="preserve"> </w:t>
      </w:r>
      <w:r>
        <w:t>reported</w:t>
      </w:r>
      <w:r>
        <w:rPr>
          <w:spacing w:val="-4"/>
        </w:rPr>
        <w:t xml:space="preserve"> </w:t>
      </w:r>
      <w:r>
        <w:t>in</w:t>
      </w:r>
      <w:r>
        <w:rPr>
          <w:spacing w:val="-4"/>
        </w:rPr>
        <w:t xml:space="preserve"> </w:t>
      </w:r>
      <w:r>
        <w:t>the</w:t>
      </w:r>
      <w:r>
        <w:rPr>
          <w:spacing w:val="-4"/>
        </w:rPr>
        <w:t xml:space="preserve"> </w:t>
      </w:r>
      <w:r>
        <w:t>other</w:t>
      </w:r>
      <w:r>
        <w:rPr>
          <w:spacing w:val="-4"/>
        </w:rPr>
        <w:t xml:space="preserve"> </w:t>
      </w:r>
      <w:r>
        <w:t>financial</w:t>
      </w:r>
      <w:r>
        <w:rPr>
          <w:spacing w:val="-5"/>
        </w:rPr>
        <w:t xml:space="preserve"> </w:t>
      </w:r>
      <w:r>
        <w:t>statements or may differ significantly on a qualitative basis. In such cases, it may not be appropriate</w:t>
      </w:r>
      <w:r>
        <w:rPr>
          <w:spacing w:val="-3"/>
        </w:rPr>
        <w:t xml:space="preserve"> </w:t>
      </w:r>
      <w:r>
        <w:t>to</w:t>
      </w:r>
      <w:r>
        <w:rPr>
          <w:spacing w:val="-2"/>
        </w:rPr>
        <w:t xml:space="preserve"> </w:t>
      </w:r>
      <w:r>
        <w:t>establish</w:t>
      </w:r>
      <w:r>
        <w:rPr>
          <w:spacing w:val="-3"/>
        </w:rPr>
        <w:t xml:space="preserve"> </w:t>
      </w:r>
      <w:r>
        <w:t>a</w:t>
      </w:r>
      <w:r>
        <w:rPr>
          <w:spacing w:val="-2"/>
        </w:rPr>
        <w:t xml:space="preserve"> </w:t>
      </w:r>
      <w:r>
        <w:t>single</w:t>
      </w:r>
      <w:r>
        <w:rPr>
          <w:spacing w:val="-2"/>
        </w:rPr>
        <w:t xml:space="preserve"> </w:t>
      </w:r>
      <w:r>
        <w:t>materiality</w:t>
      </w:r>
      <w:r>
        <w:rPr>
          <w:spacing w:val="-2"/>
        </w:rPr>
        <w:t xml:space="preserve"> </w:t>
      </w:r>
      <w:r>
        <w:t>threshold</w:t>
      </w:r>
      <w:r>
        <w:rPr>
          <w:spacing w:val="-2"/>
        </w:rPr>
        <w:t xml:space="preserve"> </w:t>
      </w:r>
      <w:r>
        <w:t>for</w:t>
      </w:r>
      <w:r>
        <w:rPr>
          <w:spacing w:val="-2"/>
        </w:rPr>
        <w:t xml:space="preserve"> </w:t>
      </w:r>
      <w:r>
        <w:t>the</w:t>
      </w:r>
      <w:r>
        <w:rPr>
          <w:spacing w:val="-3"/>
        </w:rPr>
        <w:t xml:space="preserve"> </w:t>
      </w:r>
      <w:r>
        <w:t>entire</w:t>
      </w:r>
      <w:r>
        <w:rPr>
          <w:spacing w:val="-2"/>
        </w:rPr>
        <w:t xml:space="preserve"> </w:t>
      </w:r>
      <w:r>
        <w:t>set</w:t>
      </w:r>
      <w:r>
        <w:rPr>
          <w:spacing w:val="-2"/>
        </w:rPr>
        <w:t xml:space="preserve"> </w:t>
      </w:r>
      <w:r>
        <w:t>of</w:t>
      </w:r>
      <w:r>
        <w:rPr>
          <w:spacing w:val="-3"/>
        </w:rPr>
        <w:t xml:space="preserve"> </w:t>
      </w:r>
      <w:r>
        <w:t>financial statements. Instead, the auditor should use a separate materiality level when planning and performing the audit of the Statement of Social Insurance, the Statement</w:t>
      </w:r>
      <w:r>
        <w:rPr>
          <w:spacing w:val="-4"/>
        </w:rPr>
        <w:t xml:space="preserve"> </w:t>
      </w:r>
      <w:r>
        <w:t>of</w:t>
      </w:r>
      <w:r>
        <w:rPr>
          <w:spacing w:val="-4"/>
        </w:rPr>
        <w:t xml:space="preserve"> </w:t>
      </w:r>
      <w:r>
        <w:t>Changes</w:t>
      </w:r>
      <w:r>
        <w:rPr>
          <w:spacing w:val="-4"/>
        </w:rPr>
        <w:t xml:space="preserve"> </w:t>
      </w:r>
      <w:r>
        <w:t>in</w:t>
      </w:r>
      <w:r>
        <w:rPr>
          <w:spacing w:val="-4"/>
        </w:rPr>
        <w:t xml:space="preserve"> </w:t>
      </w:r>
      <w:r>
        <w:t>Social</w:t>
      </w:r>
      <w:r>
        <w:rPr>
          <w:spacing w:val="-4"/>
        </w:rPr>
        <w:t xml:space="preserve"> </w:t>
      </w:r>
      <w:r>
        <w:t>Insurance</w:t>
      </w:r>
      <w:r>
        <w:rPr>
          <w:spacing w:val="-4"/>
        </w:rPr>
        <w:t xml:space="preserve"> </w:t>
      </w:r>
      <w:r>
        <w:t>Amounts,</w:t>
      </w:r>
      <w:r>
        <w:rPr>
          <w:spacing w:val="-4"/>
        </w:rPr>
        <w:t xml:space="preserve"> </w:t>
      </w:r>
      <w:r>
        <w:t>and</w:t>
      </w:r>
      <w:r>
        <w:rPr>
          <w:spacing w:val="-4"/>
        </w:rPr>
        <w:t xml:space="preserve"> </w:t>
      </w:r>
      <w:r>
        <w:t>related</w:t>
      </w:r>
      <w:r>
        <w:rPr>
          <w:spacing w:val="-4"/>
        </w:rPr>
        <w:t xml:space="preserve"> </w:t>
      </w:r>
      <w:r>
        <w:t>note</w:t>
      </w:r>
      <w:r>
        <w:rPr>
          <w:spacing w:val="-3"/>
        </w:rPr>
        <w:t xml:space="preserve"> </w:t>
      </w:r>
      <w:r>
        <w:t>disclosures (SOP 04-1, para. 23).</w:t>
      </w:r>
    </w:p>
    <w:p w14:paraId="0DFDC6A9" w14:textId="77777777" w:rsidR="00046465" w:rsidRDefault="008134EB">
      <w:pPr>
        <w:pStyle w:val="ListParagraph"/>
        <w:numPr>
          <w:ilvl w:val="0"/>
          <w:numId w:val="74"/>
        </w:numPr>
        <w:tabs>
          <w:tab w:val="left" w:pos="1800"/>
        </w:tabs>
        <w:spacing w:before="119"/>
        <w:ind w:left="1800" w:right="726"/>
      </w:pPr>
      <w:r>
        <w:t>SFFAS</w:t>
      </w:r>
      <w:r>
        <w:rPr>
          <w:spacing w:val="-4"/>
        </w:rPr>
        <w:t xml:space="preserve"> </w:t>
      </w:r>
      <w:r>
        <w:t>17</w:t>
      </w:r>
      <w:r>
        <w:rPr>
          <w:spacing w:val="-3"/>
        </w:rPr>
        <w:t xml:space="preserve"> </w:t>
      </w:r>
      <w:r>
        <w:t>includes</w:t>
      </w:r>
      <w:r>
        <w:rPr>
          <w:spacing w:val="-3"/>
        </w:rPr>
        <w:t xml:space="preserve"> </w:t>
      </w:r>
      <w:r>
        <w:t>a</w:t>
      </w:r>
      <w:r>
        <w:rPr>
          <w:spacing w:val="-3"/>
        </w:rPr>
        <w:t xml:space="preserve"> </w:t>
      </w:r>
      <w:r>
        <w:t>discussion</w:t>
      </w:r>
      <w:r>
        <w:rPr>
          <w:spacing w:val="-3"/>
        </w:rPr>
        <w:t xml:space="preserve"> </w:t>
      </w:r>
      <w:r>
        <w:t>of</w:t>
      </w:r>
      <w:r>
        <w:rPr>
          <w:spacing w:val="-4"/>
        </w:rPr>
        <w:t xml:space="preserve"> </w:t>
      </w:r>
      <w:r>
        <w:t>SFFAC</w:t>
      </w:r>
      <w:r>
        <w:rPr>
          <w:spacing w:val="-4"/>
        </w:rPr>
        <w:t xml:space="preserve"> </w:t>
      </w:r>
      <w:r>
        <w:t>No.</w:t>
      </w:r>
      <w:r>
        <w:rPr>
          <w:spacing w:val="-2"/>
        </w:rPr>
        <w:t xml:space="preserve"> </w:t>
      </w:r>
      <w:r>
        <w:t>1,</w:t>
      </w:r>
      <w:r>
        <w:rPr>
          <w:spacing w:val="-3"/>
        </w:rPr>
        <w:t xml:space="preserve"> </w:t>
      </w:r>
      <w:r>
        <w:rPr>
          <w:i/>
        </w:rPr>
        <w:t>Objectives</w:t>
      </w:r>
      <w:r>
        <w:rPr>
          <w:i/>
          <w:spacing w:val="-3"/>
        </w:rPr>
        <w:t xml:space="preserve"> </w:t>
      </w:r>
      <w:r>
        <w:rPr>
          <w:i/>
        </w:rPr>
        <w:t>of</w:t>
      </w:r>
      <w:r>
        <w:rPr>
          <w:i/>
          <w:spacing w:val="-3"/>
        </w:rPr>
        <w:t xml:space="preserve"> </w:t>
      </w:r>
      <w:r>
        <w:rPr>
          <w:i/>
        </w:rPr>
        <w:t>Federal</w:t>
      </w:r>
      <w:r>
        <w:rPr>
          <w:i/>
          <w:spacing w:val="-4"/>
        </w:rPr>
        <w:t xml:space="preserve"> </w:t>
      </w:r>
      <w:r>
        <w:rPr>
          <w:i/>
        </w:rPr>
        <w:t>Financial Reporting</w:t>
      </w:r>
      <w:r>
        <w:t>, which established four major reporting objectives in applying accounting standards:</w:t>
      </w:r>
    </w:p>
    <w:p w14:paraId="0DFDC6AA" w14:textId="77777777" w:rsidR="00046465" w:rsidRDefault="008134EB">
      <w:pPr>
        <w:pStyle w:val="ListParagraph"/>
        <w:numPr>
          <w:ilvl w:val="0"/>
          <w:numId w:val="73"/>
        </w:numPr>
        <w:tabs>
          <w:tab w:val="left" w:pos="2105"/>
        </w:tabs>
        <w:spacing w:before="121"/>
        <w:ind w:left="2105" w:hanging="305"/>
      </w:pPr>
      <w:r>
        <w:t>budgetary</w:t>
      </w:r>
      <w:r>
        <w:rPr>
          <w:spacing w:val="-12"/>
        </w:rPr>
        <w:t xml:space="preserve"> </w:t>
      </w:r>
      <w:r>
        <w:rPr>
          <w:spacing w:val="-2"/>
        </w:rPr>
        <w:t>integrity,</w:t>
      </w:r>
    </w:p>
    <w:p w14:paraId="0DFDC6AB" w14:textId="77777777" w:rsidR="00046465" w:rsidRDefault="008134EB">
      <w:pPr>
        <w:pStyle w:val="ListParagraph"/>
        <w:numPr>
          <w:ilvl w:val="0"/>
          <w:numId w:val="73"/>
        </w:numPr>
        <w:tabs>
          <w:tab w:val="left" w:pos="2105"/>
        </w:tabs>
        <w:ind w:left="2105" w:hanging="305"/>
      </w:pPr>
      <w:r>
        <w:t>operating</w:t>
      </w:r>
      <w:r>
        <w:rPr>
          <w:spacing w:val="-11"/>
        </w:rPr>
        <w:t xml:space="preserve"> </w:t>
      </w:r>
      <w:r>
        <w:rPr>
          <w:spacing w:val="-2"/>
        </w:rPr>
        <w:t>performance,</w:t>
      </w:r>
    </w:p>
    <w:p w14:paraId="0DFDC6AC" w14:textId="77777777" w:rsidR="00046465" w:rsidRDefault="008134EB">
      <w:pPr>
        <w:pStyle w:val="ListParagraph"/>
        <w:numPr>
          <w:ilvl w:val="0"/>
          <w:numId w:val="73"/>
        </w:numPr>
        <w:tabs>
          <w:tab w:val="left" w:pos="2105"/>
        </w:tabs>
        <w:spacing w:before="119"/>
        <w:ind w:left="2105" w:hanging="305"/>
      </w:pPr>
      <w:r>
        <w:t>stewardship,</w:t>
      </w:r>
      <w:r>
        <w:rPr>
          <w:spacing w:val="-15"/>
        </w:rPr>
        <w:t xml:space="preserve"> </w:t>
      </w:r>
      <w:r>
        <w:rPr>
          <w:spacing w:val="-5"/>
        </w:rPr>
        <w:t>and</w:t>
      </w:r>
    </w:p>
    <w:p w14:paraId="0DFDC6AD" w14:textId="77777777" w:rsidR="00046465" w:rsidRDefault="008134EB">
      <w:pPr>
        <w:pStyle w:val="ListParagraph"/>
        <w:numPr>
          <w:ilvl w:val="0"/>
          <w:numId w:val="73"/>
        </w:numPr>
        <w:tabs>
          <w:tab w:val="left" w:pos="2105"/>
        </w:tabs>
        <w:ind w:left="2105" w:hanging="305"/>
      </w:pPr>
      <w:r>
        <w:t>systems</w:t>
      </w:r>
      <w:r>
        <w:rPr>
          <w:spacing w:val="-8"/>
        </w:rPr>
        <w:t xml:space="preserve"> </w:t>
      </w:r>
      <w:r>
        <w:t>and</w:t>
      </w:r>
      <w:r>
        <w:rPr>
          <w:spacing w:val="-6"/>
        </w:rPr>
        <w:t xml:space="preserve"> </w:t>
      </w:r>
      <w:r>
        <w:rPr>
          <w:spacing w:val="-2"/>
        </w:rPr>
        <w:t>controls.</w:t>
      </w:r>
    </w:p>
    <w:p w14:paraId="0DFDC6AE" w14:textId="77777777" w:rsidR="00046465" w:rsidRDefault="008134EB">
      <w:pPr>
        <w:pStyle w:val="BodyText"/>
        <w:spacing w:before="120"/>
        <w:ind w:left="1800" w:right="749"/>
      </w:pPr>
      <w:r>
        <w:t>SFFAC No. 1 provides useful information to assist the auditor in determining an appropriate materiality benchmark. For example, while all four of the objectives are</w:t>
      </w:r>
      <w:r>
        <w:rPr>
          <w:spacing w:val="-3"/>
        </w:rPr>
        <w:t xml:space="preserve"> </w:t>
      </w:r>
      <w:r>
        <w:t>important,</w:t>
      </w:r>
      <w:r>
        <w:rPr>
          <w:spacing w:val="-3"/>
        </w:rPr>
        <w:t xml:space="preserve"> </w:t>
      </w:r>
      <w:r>
        <w:t>SFFAS</w:t>
      </w:r>
      <w:r>
        <w:rPr>
          <w:spacing w:val="-3"/>
        </w:rPr>
        <w:t xml:space="preserve"> </w:t>
      </w:r>
      <w:r>
        <w:t>17</w:t>
      </w:r>
      <w:r>
        <w:rPr>
          <w:spacing w:val="-3"/>
        </w:rPr>
        <w:t xml:space="preserve"> </w:t>
      </w:r>
      <w:r>
        <w:t>states</w:t>
      </w:r>
      <w:r>
        <w:rPr>
          <w:spacing w:val="-3"/>
        </w:rPr>
        <w:t xml:space="preserve"> </w:t>
      </w:r>
      <w:r>
        <w:t>that</w:t>
      </w:r>
      <w:r>
        <w:rPr>
          <w:spacing w:val="-4"/>
        </w:rPr>
        <w:t xml:space="preserve"> </w:t>
      </w:r>
      <w:r>
        <w:t>objectives</w:t>
      </w:r>
      <w:r>
        <w:rPr>
          <w:spacing w:val="-3"/>
        </w:rPr>
        <w:t xml:space="preserve"> </w:t>
      </w:r>
      <w:r>
        <w:t>2</w:t>
      </w:r>
      <w:r>
        <w:rPr>
          <w:spacing w:val="-4"/>
        </w:rPr>
        <w:t xml:space="preserve"> </w:t>
      </w:r>
      <w:r>
        <w:t>and</w:t>
      </w:r>
      <w:r>
        <w:rPr>
          <w:spacing w:val="-3"/>
        </w:rPr>
        <w:t xml:space="preserve"> </w:t>
      </w:r>
      <w:r>
        <w:t>3</w:t>
      </w:r>
      <w:r>
        <w:rPr>
          <w:spacing w:val="-3"/>
        </w:rPr>
        <w:t xml:space="preserve"> </w:t>
      </w:r>
      <w:r>
        <w:t>directly</w:t>
      </w:r>
      <w:r>
        <w:rPr>
          <w:spacing w:val="-3"/>
        </w:rPr>
        <w:t xml:space="preserve"> </w:t>
      </w:r>
      <w:r>
        <w:t>impact</w:t>
      </w:r>
      <w:r>
        <w:rPr>
          <w:spacing w:val="-3"/>
        </w:rPr>
        <w:t xml:space="preserve"> </w:t>
      </w:r>
      <w:r>
        <w:t>the</w:t>
      </w:r>
      <w:r>
        <w:rPr>
          <w:spacing w:val="-3"/>
        </w:rPr>
        <w:t xml:space="preserve"> </w:t>
      </w:r>
      <w:r>
        <w:t>social insurance standards.</w:t>
      </w:r>
    </w:p>
    <w:p w14:paraId="0DFDC6AF" w14:textId="77777777" w:rsidR="00046465" w:rsidRDefault="008134EB">
      <w:pPr>
        <w:pStyle w:val="ListParagraph"/>
        <w:numPr>
          <w:ilvl w:val="0"/>
          <w:numId w:val="74"/>
        </w:numPr>
        <w:tabs>
          <w:tab w:val="left" w:pos="1800"/>
        </w:tabs>
        <w:ind w:left="1800" w:right="1201"/>
      </w:pPr>
      <w:r>
        <w:t>Objective</w:t>
      </w:r>
      <w:r>
        <w:rPr>
          <w:spacing w:val="-3"/>
        </w:rPr>
        <w:t xml:space="preserve"> </w:t>
      </w:r>
      <w:r>
        <w:t>No.</w:t>
      </w:r>
      <w:r>
        <w:rPr>
          <w:spacing w:val="-3"/>
        </w:rPr>
        <w:t xml:space="preserve"> </w:t>
      </w:r>
      <w:r>
        <w:t>2</w:t>
      </w:r>
      <w:r>
        <w:rPr>
          <w:spacing w:val="-3"/>
        </w:rPr>
        <w:t xml:space="preserve"> </w:t>
      </w:r>
      <w:r>
        <w:t>of</w:t>
      </w:r>
      <w:r>
        <w:rPr>
          <w:spacing w:val="-3"/>
        </w:rPr>
        <w:t xml:space="preserve"> </w:t>
      </w:r>
      <w:r>
        <w:t>SFFAC</w:t>
      </w:r>
      <w:r>
        <w:rPr>
          <w:spacing w:val="-4"/>
        </w:rPr>
        <w:t xml:space="preserve"> </w:t>
      </w:r>
      <w:r>
        <w:t>No.</w:t>
      </w:r>
      <w:r>
        <w:rPr>
          <w:spacing w:val="-3"/>
        </w:rPr>
        <w:t xml:space="preserve"> </w:t>
      </w:r>
      <w:r>
        <w:t>1</w:t>
      </w:r>
      <w:r>
        <w:rPr>
          <w:spacing w:val="-3"/>
        </w:rPr>
        <w:t xml:space="preserve"> </w:t>
      </w:r>
      <w:r>
        <w:t>states</w:t>
      </w:r>
      <w:r>
        <w:rPr>
          <w:spacing w:val="-3"/>
        </w:rPr>
        <w:t xml:space="preserve"> </w:t>
      </w:r>
      <w:r>
        <w:t>that</w:t>
      </w:r>
      <w:r>
        <w:rPr>
          <w:spacing w:val="-3"/>
        </w:rPr>
        <w:t xml:space="preserve"> </w:t>
      </w:r>
      <w:r>
        <w:t>federal</w:t>
      </w:r>
      <w:r>
        <w:rPr>
          <w:spacing w:val="-3"/>
        </w:rPr>
        <w:t xml:space="preserve"> </w:t>
      </w:r>
      <w:r>
        <w:t>financial</w:t>
      </w:r>
      <w:r>
        <w:rPr>
          <w:spacing w:val="-3"/>
        </w:rPr>
        <w:t xml:space="preserve"> </w:t>
      </w:r>
      <w:r>
        <w:t>reporting</w:t>
      </w:r>
      <w:r>
        <w:rPr>
          <w:spacing w:val="-3"/>
        </w:rPr>
        <w:t xml:space="preserve"> </w:t>
      </w:r>
      <w:r>
        <w:t>should assist report users to evaluate</w:t>
      </w:r>
    </w:p>
    <w:p w14:paraId="0DFDC6B0" w14:textId="77777777" w:rsidR="00046465" w:rsidRDefault="008134EB">
      <w:pPr>
        <w:pStyle w:val="ListParagraph"/>
        <w:numPr>
          <w:ilvl w:val="0"/>
          <w:numId w:val="72"/>
        </w:numPr>
        <w:tabs>
          <w:tab w:val="left" w:pos="2160"/>
        </w:tabs>
      </w:pPr>
      <w:r>
        <w:t>service</w:t>
      </w:r>
      <w:r>
        <w:rPr>
          <w:spacing w:val="-8"/>
        </w:rPr>
        <w:t xml:space="preserve"> </w:t>
      </w:r>
      <w:r>
        <w:t>efforts,</w:t>
      </w:r>
      <w:r>
        <w:rPr>
          <w:spacing w:val="-8"/>
        </w:rPr>
        <w:t xml:space="preserve"> </w:t>
      </w:r>
      <w:r>
        <w:t>costs,</w:t>
      </w:r>
      <w:r>
        <w:rPr>
          <w:spacing w:val="-8"/>
        </w:rPr>
        <w:t xml:space="preserve"> </w:t>
      </w:r>
      <w:r>
        <w:t>and</w:t>
      </w:r>
      <w:r>
        <w:rPr>
          <w:spacing w:val="-7"/>
        </w:rPr>
        <w:t xml:space="preserve"> </w:t>
      </w:r>
      <w:r>
        <w:t>accomplishments</w:t>
      </w:r>
      <w:r>
        <w:rPr>
          <w:spacing w:val="-8"/>
        </w:rPr>
        <w:t xml:space="preserve"> </w:t>
      </w:r>
      <w:r>
        <w:t>of</w:t>
      </w:r>
      <w:r>
        <w:rPr>
          <w:spacing w:val="-8"/>
        </w:rPr>
        <w:t xml:space="preserve"> </w:t>
      </w:r>
      <w:r>
        <w:t>the</w:t>
      </w:r>
      <w:r>
        <w:rPr>
          <w:spacing w:val="-8"/>
        </w:rPr>
        <w:t xml:space="preserve"> </w:t>
      </w:r>
      <w:r>
        <w:t>reporting</w:t>
      </w:r>
      <w:r>
        <w:rPr>
          <w:spacing w:val="-8"/>
        </w:rPr>
        <w:t xml:space="preserve"> </w:t>
      </w:r>
      <w:r>
        <w:rPr>
          <w:spacing w:val="-2"/>
        </w:rPr>
        <w:t>entity,</w:t>
      </w:r>
    </w:p>
    <w:p w14:paraId="0DFDC6B1" w14:textId="77777777" w:rsidR="00046465" w:rsidRDefault="008134EB">
      <w:pPr>
        <w:pStyle w:val="ListParagraph"/>
        <w:numPr>
          <w:ilvl w:val="0"/>
          <w:numId w:val="72"/>
        </w:numPr>
        <w:tabs>
          <w:tab w:val="left" w:pos="2160"/>
        </w:tabs>
        <w:spacing w:before="118"/>
        <w:ind w:right="806"/>
      </w:pPr>
      <w:r>
        <w:t>the</w:t>
      </w:r>
      <w:r>
        <w:rPr>
          <w:spacing w:val="-4"/>
        </w:rPr>
        <w:t xml:space="preserve"> </w:t>
      </w:r>
      <w:r>
        <w:t>manner</w:t>
      </w:r>
      <w:r>
        <w:rPr>
          <w:spacing w:val="-4"/>
        </w:rPr>
        <w:t xml:space="preserve"> </w:t>
      </w:r>
      <w:r>
        <w:t>in</w:t>
      </w:r>
      <w:r>
        <w:rPr>
          <w:spacing w:val="-4"/>
        </w:rPr>
        <w:t xml:space="preserve"> </w:t>
      </w:r>
      <w:r>
        <w:t>which</w:t>
      </w:r>
      <w:r>
        <w:rPr>
          <w:spacing w:val="-4"/>
        </w:rPr>
        <w:t xml:space="preserve"> </w:t>
      </w:r>
      <w:r>
        <w:t>these</w:t>
      </w:r>
      <w:r>
        <w:rPr>
          <w:spacing w:val="-4"/>
        </w:rPr>
        <w:t xml:space="preserve"> </w:t>
      </w:r>
      <w:r>
        <w:t>efforts</w:t>
      </w:r>
      <w:r>
        <w:rPr>
          <w:spacing w:val="-4"/>
        </w:rPr>
        <w:t xml:space="preserve"> </w:t>
      </w:r>
      <w:r>
        <w:t>and</w:t>
      </w:r>
      <w:r>
        <w:rPr>
          <w:spacing w:val="-5"/>
        </w:rPr>
        <w:t xml:space="preserve"> </w:t>
      </w:r>
      <w:r>
        <w:t>accomplishments</w:t>
      </w:r>
      <w:r>
        <w:rPr>
          <w:spacing w:val="-4"/>
        </w:rPr>
        <w:t xml:space="preserve"> </w:t>
      </w:r>
      <w:r>
        <w:t>have</w:t>
      </w:r>
      <w:r>
        <w:rPr>
          <w:spacing w:val="-4"/>
        </w:rPr>
        <w:t xml:space="preserve"> </w:t>
      </w:r>
      <w:r>
        <w:t>been</w:t>
      </w:r>
      <w:r>
        <w:rPr>
          <w:spacing w:val="-4"/>
        </w:rPr>
        <w:t xml:space="preserve"> </w:t>
      </w:r>
      <w:r>
        <w:t xml:space="preserve">financed, </w:t>
      </w:r>
      <w:r>
        <w:rPr>
          <w:spacing w:val="-4"/>
        </w:rPr>
        <w:t>and</w:t>
      </w:r>
    </w:p>
    <w:p w14:paraId="0DFDC6B2" w14:textId="77777777" w:rsidR="00046465" w:rsidRDefault="008134EB">
      <w:pPr>
        <w:pStyle w:val="ListParagraph"/>
        <w:numPr>
          <w:ilvl w:val="0"/>
          <w:numId w:val="72"/>
        </w:numPr>
        <w:tabs>
          <w:tab w:val="left" w:pos="2160"/>
        </w:tabs>
        <w:spacing w:before="118"/>
      </w:pPr>
      <w:r>
        <w:t>the</w:t>
      </w:r>
      <w:r>
        <w:rPr>
          <w:spacing w:val="-6"/>
        </w:rPr>
        <w:t xml:space="preserve"> </w:t>
      </w:r>
      <w:r>
        <w:t>management</w:t>
      </w:r>
      <w:r>
        <w:rPr>
          <w:spacing w:val="-6"/>
        </w:rPr>
        <w:t xml:space="preserve"> </w:t>
      </w:r>
      <w:r>
        <w:t>of</w:t>
      </w:r>
      <w:r>
        <w:rPr>
          <w:spacing w:val="-6"/>
        </w:rPr>
        <w:t xml:space="preserve"> </w:t>
      </w:r>
      <w:r>
        <w:t>the</w:t>
      </w:r>
      <w:r>
        <w:rPr>
          <w:spacing w:val="-6"/>
        </w:rPr>
        <w:t xml:space="preserve"> </w:t>
      </w:r>
      <w:r>
        <w:t>entity’s</w:t>
      </w:r>
      <w:r>
        <w:rPr>
          <w:spacing w:val="-7"/>
        </w:rPr>
        <w:t xml:space="preserve"> </w:t>
      </w:r>
      <w:r>
        <w:t>assets</w:t>
      </w:r>
      <w:r>
        <w:rPr>
          <w:spacing w:val="-5"/>
        </w:rPr>
        <w:t xml:space="preserve"> </w:t>
      </w:r>
      <w:r>
        <w:t>and</w:t>
      </w:r>
      <w:r>
        <w:rPr>
          <w:spacing w:val="-6"/>
        </w:rPr>
        <w:t xml:space="preserve"> </w:t>
      </w:r>
      <w:r>
        <w:rPr>
          <w:spacing w:val="-2"/>
        </w:rPr>
        <w:t>liabilities.</w:t>
      </w:r>
    </w:p>
    <w:p w14:paraId="0DFDC6B3" w14:textId="77777777" w:rsidR="00046465" w:rsidRDefault="008134EB">
      <w:pPr>
        <w:pStyle w:val="BodyText"/>
        <w:spacing w:before="119"/>
        <w:ind w:left="1799" w:right="726"/>
      </w:pPr>
      <w:r>
        <w:t>SFFAS</w:t>
      </w:r>
      <w:r>
        <w:rPr>
          <w:spacing w:val="-4"/>
        </w:rPr>
        <w:t xml:space="preserve"> </w:t>
      </w:r>
      <w:r>
        <w:t>17</w:t>
      </w:r>
      <w:r>
        <w:rPr>
          <w:spacing w:val="-3"/>
        </w:rPr>
        <w:t xml:space="preserve"> </w:t>
      </w:r>
      <w:r>
        <w:t>indicates</w:t>
      </w:r>
      <w:r>
        <w:rPr>
          <w:spacing w:val="-3"/>
        </w:rPr>
        <w:t xml:space="preserve"> </w:t>
      </w:r>
      <w:r>
        <w:t>that</w:t>
      </w:r>
      <w:r>
        <w:rPr>
          <w:spacing w:val="-3"/>
        </w:rPr>
        <w:t xml:space="preserve"> </w:t>
      </w:r>
      <w:r>
        <w:t>information</w:t>
      </w:r>
      <w:r>
        <w:rPr>
          <w:spacing w:val="-3"/>
        </w:rPr>
        <w:t xml:space="preserve"> </w:t>
      </w:r>
      <w:r>
        <w:t>about</w:t>
      </w:r>
      <w:r>
        <w:rPr>
          <w:spacing w:val="-3"/>
        </w:rPr>
        <w:t xml:space="preserve"> </w:t>
      </w:r>
      <w:r>
        <w:t>social</w:t>
      </w:r>
      <w:r>
        <w:rPr>
          <w:spacing w:val="-3"/>
        </w:rPr>
        <w:t xml:space="preserve"> </w:t>
      </w:r>
      <w:r>
        <w:t>insurance</w:t>
      </w:r>
      <w:r>
        <w:rPr>
          <w:spacing w:val="-4"/>
        </w:rPr>
        <w:t xml:space="preserve"> </w:t>
      </w:r>
      <w:r>
        <w:t>that</w:t>
      </w:r>
      <w:r>
        <w:rPr>
          <w:spacing w:val="-3"/>
        </w:rPr>
        <w:t xml:space="preserve"> </w:t>
      </w:r>
      <w:r>
        <w:t>is</w:t>
      </w:r>
      <w:r>
        <w:rPr>
          <w:spacing w:val="-3"/>
        </w:rPr>
        <w:t xml:space="preserve"> </w:t>
      </w:r>
      <w:r>
        <w:t>relevant</w:t>
      </w:r>
      <w:r>
        <w:rPr>
          <w:spacing w:val="-3"/>
        </w:rPr>
        <w:t xml:space="preserve"> </w:t>
      </w:r>
      <w:r>
        <w:t>to</w:t>
      </w:r>
      <w:r>
        <w:rPr>
          <w:spacing w:val="-3"/>
        </w:rPr>
        <w:t xml:space="preserve"> </w:t>
      </w:r>
      <w:r>
        <w:t>this objective includes the cost of the program as well as long-range estimates (and ranges of estimates) of future costs and other obligations. Estimates of future</w:t>
      </w:r>
    </w:p>
    <w:p w14:paraId="0DFDC6B4" w14:textId="77777777" w:rsidR="00046465" w:rsidRDefault="00046465">
      <w:pPr>
        <w:pStyle w:val="BodyText"/>
        <w:sectPr w:rsidR="00046465">
          <w:pgSz w:w="12240" w:h="15840"/>
          <w:pgMar w:top="1600" w:right="720" w:bottom="1020" w:left="1080" w:header="721" w:footer="757" w:gutter="0"/>
          <w:cols w:space="720"/>
        </w:sectPr>
      </w:pPr>
    </w:p>
    <w:p w14:paraId="0DFDC6B5" w14:textId="77777777" w:rsidR="00046465" w:rsidRDefault="008134EB">
      <w:pPr>
        <w:pStyle w:val="BodyText"/>
        <w:spacing w:before="121"/>
        <w:ind w:left="1800"/>
      </w:pPr>
      <w:r>
        <w:lastRenderedPageBreak/>
        <w:t>costs</w:t>
      </w:r>
      <w:r>
        <w:rPr>
          <w:spacing w:val="-3"/>
        </w:rPr>
        <w:t xml:space="preserve"> </w:t>
      </w:r>
      <w:r>
        <w:t>highlight</w:t>
      </w:r>
      <w:r>
        <w:rPr>
          <w:spacing w:val="-3"/>
        </w:rPr>
        <w:t xml:space="preserve"> </w:t>
      </w:r>
      <w:r>
        <w:t>the</w:t>
      </w:r>
      <w:r>
        <w:rPr>
          <w:spacing w:val="-3"/>
        </w:rPr>
        <w:t xml:space="preserve"> </w:t>
      </w:r>
      <w:r>
        <w:t>cost</w:t>
      </w:r>
      <w:r>
        <w:rPr>
          <w:spacing w:val="-4"/>
        </w:rPr>
        <w:t xml:space="preserve"> </w:t>
      </w:r>
      <w:r>
        <w:t>impact</w:t>
      </w:r>
      <w:r>
        <w:rPr>
          <w:spacing w:val="-3"/>
        </w:rPr>
        <w:t xml:space="preserve"> </w:t>
      </w:r>
      <w:r>
        <w:t>of</w:t>
      </w:r>
      <w:r>
        <w:rPr>
          <w:spacing w:val="-3"/>
        </w:rPr>
        <w:t xml:space="preserve"> </w:t>
      </w:r>
      <w:r>
        <w:t>changes</w:t>
      </w:r>
      <w:r>
        <w:rPr>
          <w:spacing w:val="-3"/>
        </w:rPr>
        <w:t xml:space="preserve"> </w:t>
      </w:r>
      <w:r>
        <w:t>in</w:t>
      </w:r>
      <w:r>
        <w:rPr>
          <w:spacing w:val="-3"/>
        </w:rPr>
        <w:t xml:space="preserve"> </w:t>
      </w:r>
      <w:r>
        <w:t>benefit</w:t>
      </w:r>
      <w:r>
        <w:rPr>
          <w:spacing w:val="-3"/>
        </w:rPr>
        <w:t xml:space="preserve"> </w:t>
      </w:r>
      <w:r>
        <w:t>levels</w:t>
      </w:r>
      <w:r>
        <w:rPr>
          <w:spacing w:val="-3"/>
        </w:rPr>
        <w:t xml:space="preserve"> </w:t>
      </w:r>
      <w:r>
        <w:t>as</w:t>
      </w:r>
      <w:r>
        <w:rPr>
          <w:spacing w:val="-3"/>
        </w:rPr>
        <w:t xml:space="preserve"> </w:t>
      </w:r>
      <w:r>
        <w:t>well</w:t>
      </w:r>
      <w:r>
        <w:rPr>
          <w:spacing w:val="-3"/>
        </w:rPr>
        <w:t xml:space="preserve"> </w:t>
      </w:r>
      <w:r>
        <w:t>as</w:t>
      </w:r>
      <w:r>
        <w:rPr>
          <w:spacing w:val="-3"/>
        </w:rPr>
        <w:t xml:space="preserve"> </w:t>
      </w:r>
      <w:r>
        <w:t>changes</w:t>
      </w:r>
      <w:r>
        <w:rPr>
          <w:spacing w:val="-3"/>
        </w:rPr>
        <w:t xml:space="preserve"> </w:t>
      </w:r>
      <w:r>
        <w:t xml:space="preserve">in economic and demographic conditions, such as the cost of health care and life </w:t>
      </w:r>
      <w:r>
        <w:rPr>
          <w:spacing w:val="-2"/>
        </w:rPr>
        <w:t>expectancies.</w:t>
      </w:r>
    </w:p>
    <w:p w14:paraId="0DFDC6B6" w14:textId="77777777" w:rsidR="00046465" w:rsidRDefault="008134EB">
      <w:pPr>
        <w:pStyle w:val="ListParagraph"/>
        <w:numPr>
          <w:ilvl w:val="0"/>
          <w:numId w:val="74"/>
        </w:numPr>
        <w:tabs>
          <w:tab w:val="left" w:pos="1800"/>
        </w:tabs>
        <w:spacing w:before="119"/>
        <w:ind w:left="1800" w:right="753"/>
      </w:pPr>
      <w:r>
        <w:t>The third objective of SFFAC No. 1 states that federal financial reporting should assist report users in assessing the impact on the country of the government’s operations</w:t>
      </w:r>
      <w:r>
        <w:rPr>
          <w:spacing w:val="-4"/>
        </w:rPr>
        <w:t xml:space="preserve"> </w:t>
      </w:r>
      <w:r>
        <w:t>and</w:t>
      </w:r>
      <w:r>
        <w:rPr>
          <w:spacing w:val="-4"/>
        </w:rPr>
        <w:t xml:space="preserve"> </w:t>
      </w:r>
      <w:r>
        <w:t>investments</w:t>
      </w:r>
      <w:r>
        <w:rPr>
          <w:spacing w:val="-4"/>
        </w:rPr>
        <w:t xml:space="preserve"> </w:t>
      </w:r>
      <w:r>
        <w:t>for</w:t>
      </w:r>
      <w:r>
        <w:rPr>
          <w:spacing w:val="-4"/>
        </w:rPr>
        <w:t xml:space="preserve"> </w:t>
      </w:r>
      <w:r>
        <w:t>the</w:t>
      </w:r>
      <w:r>
        <w:rPr>
          <w:spacing w:val="-4"/>
        </w:rPr>
        <w:t xml:space="preserve"> </w:t>
      </w:r>
      <w:r>
        <w:t>period</w:t>
      </w:r>
      <w:r>
        <w:rPr>
          <w:spacing w:val="-4"/>
        </w:rPr>
        <w:t xml:space="preserve"> </w:t>
      </w:r>
      <w:r>
        <w:t>and</w:t>
      </w:r>
      <w:r>
        <w:rPr>
          <w:spacing w:val="-4"/>
        </w:rPr>
        <w:t xml:space="preserve"> </w:t>
      </w:r>
      <w:r>
        <w:t>how,</w:t>
      </w:r>
      <w:r>
        <w:rPr>
          <w:spacing w:val="-4"/>
        </w:rPr>
        <w:t xml:space="preserve"> </w:t>
      </w:r>
      <w:r>
        <w:t>as</w:t>
      </w:r>
      <w:r>
        <w:rPr>
          <w:spacing w:val="-4"/>
        </w:rPr>
        <w:t xml:space="preserve"> </w:t>
      </w:r>
      <w:r>
        <w:t>a</w:t>
      </w:r>
      <w:r>
        <w:rPr>
          <w:spacing w:val="-4"/>
        </w:rPr>
        <w:t xml:space="preserve"> </w:t>
      </w:r>
      <w:r>
        <w:t>result,</w:t>
      </w:r>
      <w:r>
        <w:rPr>
          <w:spacing w:val="-4"/>
        </w:rPr>
        <w:t xml:space="preserve"> </w:t>
      </w:r>
      <w:r>
        <w:t>the</w:t>
      </w:r>
      <w:r>
        <w:rPr>
          <w:spacing w:val="-4"/>
        </w:rPr>
        <w:t xml:space="preserve"> </w:t>
      </w:r>
      <w:r>
        <w:t>government’s and the nation’s financial condition has changed and may change in the future.</w:t>
      </w:r>
    </w:p>
    <w:p w14:paraId="0DFDC6B7" w14:textId="77777777" w:rsidR="00046465" w:rsidRDefault="008134EB">
      <w:pPr>
        <w:pStyle w:val="BodyText"/>
        <w:ind w:left="1800" w:right="749"/>
      </w:pPr>
      <w:r>
        <w:t>Thus,</w:t>
      </w:r>
      <w:r>
        <w:rPr>
          <w:spacing w:val="-4"/>
        </w:rPr>
        <w:t xml:space="preserve"> </w:t>
      </w:r>
      <w:r>
        <w:t>federal</w:t>
      </w:r>
      <w:r>
        <w:rPr>
          <w:spacing w:val="-4"/>
        </w:rPr>
        <w:t xml:space="preserve"> </w:t>
      </w:r>
      <w:r>
        <w:t>financial</w:t>
      </w:r>
      <w:r>
        <w:rPr>
          <w:spacing w:val="-4"/>
        </w:rPr>
        <w:t xml:space="preserve"> </w:t>
      </w:r>
      <w:r>
        <w:t>reporting</w:t>
      </w:r>
      <w:r>
        <w:rPr>
          <w:spacing w:val="-4"/>
        </w:rPr>
        <w:t xml:space="preserve"> </w:t>
      </w:r>
      <w:r>
        <w:t>should</w:t>
      </w:r>
      <w:r>
        <w:rPr>
          <w:spacing w:val="-4"/>
        </w:rPr>
        <w:t xml:space="preserve"> </w:t>
      </w:r>
      <w:r>
        <w:t>provide</w:t>
      </w:r>
      <w:r>
        <w:rPr>
          <w:spacing w:val="-4"/>
        </w:rPr>
        <w:t xml:space="preserve"> </w:t>
      </w:r>
      <w:r>
        <w:t>information</w:t>
      </w:r>
      <w:r>
        <w:rPr>
          <w:spacing w:val="-4"/>
        </w:rPr>
        <w:t xml:space="preserve"> </w:t>
      </w:r>
      <w:r>
        <w:t>that</w:t>
      </w:r>
      <w:r>
        <w:rPr>
          <w:spacing w:val="-4"/>
        </w:rPr>
        <w:t xml:space="preserve"> </w:t>
      </w:r>
      <w:r>
        <w:t>helps</w:t>
      </w:r>
      <w:r>
        <w:rPr>
          <w:spacing w:val="-4"/>
        </w:rPr>
        <w:t xml:space="preserve"> </w:t>
      </w:r>
      <w:r>
        <w:t>the</w:t>
      </w:r>
      <w:r>
        <w:rPr>
          <w:spacing w:val="-4"/>
        </w:rPr>
        <w:t xml:space="preserve"> </w:t>
      </w:r>
      <w:r>
        <w:t>reader to determine whether</w:t>
      </w:r>
    </w:p>
    <w:p w14:paraId="0DFDC6B8" w14:textId="77777777" w:rsidR="00046465" w:rsidRDefault="008134EB">
      <w:pPr>
        <w:pStyle w:val="ListParagraph"/>
        <w:numPr>
          <w:ilvl w:val="0"/>
          <w:numId w:val="71"/>
        </w:numPr>
        <w:tabs>
          <w:tab w:val="left" w:pos="2159"/>
        </w:tabs>
        <w:ind w:right="1174"/>
      </w:pPr>
      <w:r>
        <w:t>the</w:t>
      </w:r>
      <w:r>
        <w:rPr>
          <w:spacing w:val="-5"/>
        </w:rPr>
        <w:t xml:space="preserve"> </w:t>
      </w:r>
      <w:r>
        <w:t>government’s</w:t>
      </w:r>
      <w:r>
        <w:rPr>
          <w:spacing w:val="-5"/>
        </w:rPr>
        <w:t xml:space="preserve"> </w:t>
      </w:r>
      <w:r>
        <w:t>financial</w:t>
      </w:r>
      <w:r>
        <w:rPr>
          <w:spacing w:val="-5"/>
        </w:rPr>
        <w:t xml:space="preserve"> </w:t>
      </w:r>
      <w:r>
        <w:t>position</w:t>
      </w:r>
      <w:r>
        <w:rPr>
          <w:spacing w:val="-6"/>
        </w:rPr>
        <w:t xml:space="preserve"> </w:t>
      </w:r>
      <w:r>
        <w:t>has</w:t>
      </w:r>
      <w:r>
        <w:rPr>
          <w:spacing w:val="-5"/>
        </w:rPr>
        <w:t xml:space="preserve"> </w:t>
      </w:r>
      <w:r>
        <w:t>improved</w:t>
      </w:r>
      <w:r>
        <w:rPr>
          <w:spacing w:val="-5"/>
        </w:rPr>
        <w:t xml:space="preserve"> </w:t>
      </w:r>
      <w:r>
        <w:t>or</w:t>
      </w:r>
      <w:r>
        <w:rPr>
          <w:spacing w:val="-5"/>
        </w:rPr>
        <w:t xml:space="preserve"> </w:t>
      </w:r>
      <w:r>
        <w:t>deteriorated</w:t>
      </w:r>
      <w:r>
        <w:rPr>
          <w:spacing w:val="-5"/>
        </w:rPr>
        <w:t xml:space="preserve"> </w:t>
      </w:r>
      <w:r>
        <w:t>over</w:t>
      </w:r>
      <w:r>
        <w:rPr>
          <w:spacing w:val="-5"/>
        </w:rPr>
        <w:t xml:space="preserve"> </w:t>
      </w:r>
      <w:r>
        <w:t xml:space="preserve">the </w:t>
      </w:r>
      <w:r>
        <w:rPr>
          <w:spacing w:val="-2"/>
        </w:rPr>
        <w:t>period,</w:t>
      </w:r>
    </w:p>
    <w:p w14:paraId="0DFDC6B9" w14:textId="77777777" w:rsidR="00046465" w:rsidRDefault="008134EB">
      <w:pPr>
        <w:pStyle w:val="ListParagraph"/>
        <w:numPr>
          <w:ilvl w:val="0"/>
          <w:numId w:val="71"/>
        </w:numPr>
        <w:tabs>
          <w:tab w:val="left" w:pos="2159"/>
        </w:tabs>
        <w:spacing w:before="118"/>
        <w:ind w:right="989"/>
      </w:pPr>
      <w:r>
        <w:t>future</w:t>
      </w:r>
      <w:r>
        <w:rPr>
          <w:spacing w:val="-4"/>
        </w:rPr>
        <w:t xml:space="preserve"> </w:t>
      </w:r>
      <w:r>
        <w:t>budgetary</w:t>
      </w:r>
      <w:r>
        <w:rPr>
          <w:spacing w:val="-4"/>
        </w:rPr>
        <w:t xml:space="preserve"> </w:t>
      </w:r>
      <w:r>
        <w:t>resources</w:t>
      </w:r>
      <w:r>
        <w:rPr>
          <w:spacing w:val="-4"/>
        </w:rPr>
        <w:t xml:space="preserve"> </w:t>
      </w:r>
      <w:r>
        <w:t>will</w:t>
      </w:r>
      <w:r>
        <w:rPr>
          <w:spacing w:val="-5"/>
        </w:rPr>
        <w:t xml:space="preserve"> </w:t>
      </w:r>
      <w:r>
        <w:t>likely</w:t>
      </w:r>
      <w:r>
        <w:rPr>
          <w:spacing w:val="-4"/>
        </w:rPr>
        <w:t xml:space="preserve"> </w:t>
      </w:r>
      <w:r>
        <w:t>be</w:t>
      </w:r>
      <w:r>
        <w:rPr>
          <w:spacing w:val="-4"/>
        </w:rPr>
        <w:t xml:space="preserve"> </w:t>
      </w:r>
      <w:r>
        <w:t>sufficient</w:t>
      </w:r>
      <w:r>
        <w:rPr>
          <w:spacing w:val="-4"/>
        </w:rPr>
        <w:t xml:space="preserve"> </w:t>
      </w:r>
      <w:r>
        <w:t>to</w:t>
      </w:r>
      <w:r>
        <w:rPr>
          <w:spacing w:val="-4"/>
        </w:rPr>
        <w:t xml:space="preserve"> </w:t>
      </w:r>
      <w:r>
        <w:t>sustain</w:t>
      </w:r>
      <w:r>
        <w:rPr>
          <w:spacing w:val="-5"/>
        </w:rPr>
        <w:t xml:space="preserve"> </w:t>
      </w:r>
      <w:r>
        <w:t>public</w:t>
      </w:r>
      <w:r>
        <w:rPr>
          <w:spacing w:val="-4"/>
        </w:rPr>
        <w:t xml:space="preserve"> </w:t>
      </w:r>
      <w:r>
        <w:t>services and to meet obligations as they come due, and</w:t>
      </w:r>
    </w:p>
    <w:p w14:paraId="0DFDC6BA" w14:textId="77777777" w:rsidR="00046465" w:rsidRDefault="008134EB">
      <w:pPr>
        <w:pStyle w:val="ListParagraph"/>
        <w:numPr>
          <w:ilvl w:val="0"/>
          <w:numId w:val="71"/>
        </w:numPr>
        <w:tabs>
          <w:tab w:val="left" w:pos="2159"/>
        </w:tabs>
        <w:spacing w:before="119"/>
        <w:ind w:right="1111"/>
      </w:pPr>
      <w:r>
        <w:t>government</w:t>
      </w:r>
      <w:r>
        <w:rPr>
          <w:spacing w:val="-5"/>
        </w:rPr>
        <w:t xml:space="preserve"> </w:t>
      </w:r>
      <w:r>
        <w:t>operations</w:t>
      </w:r>
      <w:r>
        <w:rPr>
          <w:spacing w:val="-5"/>
        </w:rPr>
        <w:t xml:space="preserve"> </w:t>
      </w:r>
      <w:r>
        <w:t>have</w:t>
      </w:r>
      <w:r>
        <w:rPr>
          <w:spacing w:val="-5"/>
        </w:rPr>
        <w:t xml:space="preserve"> </w:t>
      </w:r>
      <w:r>
        <w:t>contributed</w:t>
      </w:r>
      <w:r>
        <w:rPr>
          <w:spacing w:val="-5"/>
        </w:rPr>
        <w:t xml:space="preserve"> </w:t>
      </w:r>
      <w:r>
        <w:t>to</w:t>
      </w:r>
      <w:r>
        <w:rPr>
          <w:spacing w:val="-5"/>
        </w:rPr>
        <w:t xml:space="preserve"> </w:t>
      </w:r>
      <w:r>
        <w:t>the</w:t>
      </w:r>
      <w:r>
        <w:rPr>
          <w:spacing w:val="-5"/>
        </w:rPr>
        <w:t xml:space="preserve"> </w:t>
      </w:r>
      <w:r>
        <w:t>nation’s</w:t>
      </w:r>
      <w:r>
        <w:rPr>
          <w:spacing w:val="-5"/>
        </w:rPr>
        <w:t xml:space="preserve"> </w:t>
      </w:r>
      <w:r>
        <w:t>current</w:t>
      </w:r>
      <w:r>
        <w:rPr>
          <w:spacing w:val="-5"/>
        </w:rPr>
        <w:t xml:space="preserve"> </w:t>
      </w:r>
      <w:r>
        <w:t>and</w:t>
      </w:r>
      <w:r>
        <w:rPr>
          <w:spacing w:val="-5"/>
        </w:rPr>
        <w:t xml:space="preserve"> </w:t>
      </w:r>
      <w:r>
        <w:t xml:space="preserve">future </w:t>
      </w:r>
      <w:r>
        <w:rPr>
          <w:spacing w:val="-2"/>
        </w:rPr>
        <w:t>well-being.</w:t>
      </w:r>
    </w:p>
    <w:p w14:paraId="0DFDC6BB" w14:textId="77777777" w:rsidR="00046465" w:rsidRDefault="008134EB">
      <w:pPr>
        <w:pStyle w:val="ListParagraph"/>
        <w:numPr>
          <w:ilvl w:val="0"/>
          <w:numId w:val="74"/>
        </w:numPr>
        <w:tabs>
          <w:tab w:val="left" w:pos="1800"/>
        </w:tabs>
        <w:spacing w:before="118"/>
        <w:ind w:left="1800" w:right="874"/>
      </w:pPr>
      <w:r>
        <w:t>Fundamental</w:t>
      </w:r>
      <w:r>
        <w:rPr>
          <w:spacing w:val="-5"/>
        </w:rPr>
        <w:t xml:space="preserve"> </w:t>
      </w:r>
      <w:r>
        <w:t>questions</w:t>
      </w:r>
      <w:r>
        <w:rPr>
          <w:spacing w:val="-5"/>
        </w:rPr>
        <w:t xml:space="preserve"> </w:t>
      </w:r>
      <w:r>
        <w:t>about</w:t>
      </w:r>
      <w:r>
        <w:rPr>
          <w:spacing w:val="-5"/>
        </w:rPr>
        <w:t xml:space="preserve"> </w:t>
      </w:r>
      <w:r>
        <w:t>social</w:t>
      </w:r>
      <w:r>
        <w:rPr>
          <w:spacing w:val="-5"/>
        </w:rPr>
        <w:t xml:space="preserve"> </w:t>
      </w:r>
      <w:r>
        <w:t>insurance</w:t>
      </w:r>
      <w:r>
        <w:rPr>
          <w:spacing w:val="-7"/>
        </w:rPr>
        <w:t xml:space="preserve"> </w:t>
      </w:r>
      <w:r>
        <w:t>programs</w:t>
      </w:r>
      <w:r>
        <w:rPr>
          <w:spacing w:val="-5"/>
        </w:rPr>
        <w:t xml:space="preserve"> </w:t>
      </w:r>
      <w:r>
        <w:t>that</w:t>
      </w:r>
      <w:r>
        <w:rPr>
          <w:spacing w:val="-5"/>
        </w:rPr>
        <w:t xml:space="preserve"> </w:t>
      </w:r>
      <w:r>
        <w:t>can</w:t>
      </w:r>
      <w:r>
        <w:rPr>
          <w:spacing w:val="-5"/>
        </w:rPr>
        <w:t xml:space="preserve"> </w:t>
      </w:r>
      <w:r>
        <w:t>be</w:t>
      </w:r>
      <w:r>
        <w:rPr>
          <w:spacing w:val="-5"/>
        </w:rPr>
        <w:t xml:space="preserve"> </w:t>
      </w:r>
      <w:r>
        <w:t>addressed by accounting standards include whether</w:t>
      </w:r>
    </w:p>
    <w:p w14:paraId="0DFDC6BC" w14:textId="77777777" w:rsidR="00046465" w:rsidRDefault="008134EB">
      <w:pPr>
        <w:pStyle w:val="ListParagraph"/>
        <w:numPr>
          <w:ilvl w:val="0"/>
          <w:numId w:val="70"/>
        </w:numPr>
        <w:tabs>
          <w:tab w:val="left" w:pos="2159"/>
        </w:tabs>
        <w:ind w:hanging="359"/>
      </w:pPr>
      <w:r>
        <w:t>programs</w:t>
      </w:r>
      <w:r>
        <w:rPr>
          <w:spacing w:val="-8"/>
        </w:rPr>
        <w:t xml:space="preserve"> </w:t>
      </w:r>
      <w:r>
        <w:t>are</w:t>
      </w:r>
      <w:r>
        <w:rPr>
          <w:spacing w:val="-8"/>
        </w:rPr>
        <w:t xml:space="preserve"> </w:t>
      </w:r>
      <w:r>
        <w:t>sustainable</w:t>
      </w:r>
      <w:r>
        <w:rPr>
          <w:spacing w:val="-8"/>
        </w:rPr>
        <w:t xml:space="preserve"> </w:t>
      </w:r>
      <w:r>
        <w:t>as</w:t>
      </w:r>
      <w:r>
        <w:rPr>
          <w:spacing w:val="-7"/>
        </w:rPr>
        <w:t xml:space="preserve"> </w:t>
      </w:r>
      <w:r>
        <w:t>currently</w:t>
      </w:r>
      <w:r>
        <w:rPr>
          <w:spacing w:val="-8"/>
        </w:rPr>
        <w:t xml:space="preserve"> </w:t>
      </w:r>
      <w:r>
        <w:rPr>
          <w:spacing w:val="-2"/>
        </w:rPr>
        <w:t>constructed,</w:t>
      </w:r>
    </w:p>
    <w:p w14:paraId="0DFDC6BD" w14:textId="77777777" w:rsidR="00046465" w:rsidRDefault="008134EB">
      <w:pPr>
        <w:pStyle w:val="ListParagraph"/>
        <w:numPr>
          <w:ilvl w:val="0"/>
          <w:numId w:val="70"/>
        </w:numPr>
        <w:tabs>
          <w:tab w:val="left" w:pos="2159"/>
        </w:tabs>
        <w:spacing w:before="118"/>
        <w:ind w:right="832"/>
      </w:pPr>
      <w:r>
        <w:t>the</w:t>
      </w:r>
      <w:r>
        <w:rPr>
          <w:spacing w:val="-4"/>
        </w:rPr>
        <w:t xml:space="preserve"> </w:t>
      </w:r>
      <w:r>
        <w:t>government’s</w:t>
      </w:r>
      <w:r>
        <w:rPr>
          <w:spacing w:val="-4"/>
        </w:rPr>
        <w:t xml:space="preserve"> </w:t>
      </w:r>
      <w:r>
        <w:t>financial</w:t>
      </w:r>
      <w:r>
        <w:rPr>
          <w:spacing w:val="-4"/>
        </w:rPr>
        <w:t xml:space="preserve"> </w:t>
      </w:r>
      <w:r>
        <w:t>condition</w:t>
      </w:r>
      <w:r>
        <w:rPr>
          <w:spacing w:val="-5"/>
        </w:rPr>
        <w:t xml:space="preserve"> </w:t>
      </w:r>
      <w:r>
        <w:t>has</w:t>
      </w:r>
      <w:r>
        <w:rPr>
          <w:spacing w:val="-4"/>
        </w:rPr>
        <w:t xml:space="preserve"> </w:t>
      </w:r>
      <w:r>
        <w:t>improved</w:t>
      </w:r>
      <w:r>
        <w:rPr>
          <w:spacing w:val="-4"/>
        </w:rPr>
        <w:t xml:space="preserve"> </w:t>
      </w:r>
      <w:r>
        <w:t>or</w:t>
      </w:r>
      <w:r>
        <w:rPr>
          <w:spacing w:val="-4"/>
        </w:rPr>
        <w:t xml:space="preserve"> </w:t>
      </w:r>
      <w:r>
        <w:t>deteriorated</w:t>
      </w:r>
      <w:r>
        <w:rPr>
          <w:spacing w:val="-4"/>
        </w:rPr>
        <w:t xml:space="preserve"> </w:t>
      </w:r>
      <w:r>
        <w:t>as</w:t>
      </w:r>
      <w:r>
        <w:rPr>
          <w:spacing w:val="-4"/>
        </w:rPr>
        <w:t xml:space="preserve"> </w:t>
      </w:r>
      <w:r>
        <w:t>a</w:t>
      </w:r>
      <w:r>
        <w:rPr>
          <w:spacing w:val="-4"/>
        </w:rPr>
        <w:t xml:space="preserve"> </w:t>
      </w:r>
      <w:r>
        <w:t>result of its efforts to provide for these and other programs, and</w:t>
      </w:r>
    </w:p>
    <w:p w14:paraId="0DFDC6BE" w14:textId="77777777" w:rsidR="00046465" w:rsidRDefault="008134EB">
      <w:pPr>
        <w:pStyle w:val="ListParagraph"/>
        <w:numPr>
          <w:ilvl w:val="0"/>
          <w:numId w:val="70"/>
        </w:numPr>
        <w:tabs>
          <w:tab w:val="left" w:pos="2159"/>
        </w:tabs>
        <w:spacing w:before="119"/>
        <w:ind w:right="978"/>
      </w:pPr>
      <w:r>
        <w:t>the</w:t>
      </w:r>
      <w:r>
        <w:rPr>
          <w:spacing w:val="-3"/>
        </w:rPr>
        <w:t xml:space="preserve"> </w:t>
      </w:r>
      <w:r>
        <w:t>likelihood</w:t>
      </w:r>
      <w:r>
        <w:rPr>
          <w:spacing w:val="-4"/>
        </w:rPr>
        <w:t xml:space="preserve"> </w:t>
      </w:r>
      <w:r>
        <w:t>that</w:t>
      </w:r>
      <w:r>
        <w:rPr>
          <w:spacing w:val="-3"/>
        </w:rPr>
        <w:t xml:space="preserve"> </w:t>
      </w:r>
      <w:r>
        <w:t>these</w:t>
      </w:r>
      <w:r>
        <w:rPr>
          <w:spacing w:val="-4"/>
        </w:rPr>
        <w:t xml:space="preserve"> </w:t>
      </w:r>
      <w:r>
        <w:t>programs</w:t>
      </w:r>
      <w:r>
        <w:rPr>
          <w:spacing w:val="-3"/>
        </w:rPr>
        <w:t xml:space="preserve"> </w:t>
      </w:r>
      <w:r>
        <w:t>will</w:t>
      </w:r>
      <w:r>
        <w:rPr>
          <w:spacing w:val="-4"/>
        </w:rPr>
        <w:t xml:space="preserve"> </w:t>
      </w:r>
      <w:r>
        <w:t>be</w:t>
      </w:r>
      <w:r>
        <w:rPr>
          <w:spacing w:val="-3"/>
        </w:rPr>
        <w:t xml:space="preserve"> </w:t>
      </w:r>
      <w:r>
        <w:t>able</w:t>
      </w:r>
      <w:r>
        <w:rPr>
          <w:spacing w:val="-4"/>
        </w:rPr>
        <w:t xml:space="preserve"> </w:t>
      </w:r>
      <w:r>
        <w:t>to</w:t>
      </w:r>
      <w:r>
        <w:rPr>
          <w:spacing w:val="-4"/>
        </w:rPr>
        <w:t xml:space="preserve"> </w:t>
      </w:r>
      <w:r>
        <w:t>provide</w:t>
      </w:r>
      <w:r>
        <w:rPr>
          <w:spacing w:val="-3"/>
        </w:rPr>
        <w:t xml:space="preserve"> </w:t>
      </w:r>
      <w:r>
        <w:t>benefits</w:t>
      </w:r>
      <w:r>
        <w:rPr>
          <w:spacing w:val="-4"/>
        </w:rPr>
        <w:t xml:space="preserve"> </w:t>
      </w:r>
      <w:r>
        <w:t>at</w:t>
      </w:r>
      <w:r>
        <w:rPr>
          <w:spacing w:val="-3"/>
        </w:rPr>
        <w:t xml:space="preserve"> </w:t>
      </w:r>
      <w:r>
        <w:t>current levels to those who are planning on receiving them.</w:t>
      </w:r>
    </w:p>
    <w:p w14:paraId="0DFDC6BF" w14:textId="77777777" w:rsidR="00046465" w:rsidRDefault="008134EB">
      <w:pPr>
        <w:pStyle w:val="BodyText"/>
        <w:spacing w:before="118"/>
        <w:ind w:left="1800" w:right="749"/>
      </w:pPr>
      <w:r>
        <w:t>The</w:t>
      </w:r>
      <w:r>
        <w:rPr>
          <w:spacing w:val="-3"/>
        </w:rPr>
        <w:t xml:space="preserve"> </w:t>
      </w:r>
      <w:r>
        <w:t>information</w:t>
      </w:r>
      <w:r>
        <w:rPr>
          <w:spacing w:val="-3"/>
        </w:rPr>
        <w:t xml:space="preserve"> </w:t>
      </w:r>
      <w:r>
        <w:t>required</w:t>
      </w:r>
      <w:r>
        <w:rPr>
          <w:spacing w:val="-4"/>
        </w:rPr>
        <w:t xml:space="preserve"> </w:t>
      </w:r>
      <w:r>
        <w:t>by</w:t>
      </w:r>
      <w:r>
        <w:rPr>
          <w:spacing w:val="-3"/>
        </w:rPr>
        <w:t xml:space="preserve"> </w:t>
      </w:r>
      <w:r>
        <w:t>this</w:t>
      </w:r>
      <w:r>
        <w:rPr>
          <w:spacing w:val="-4"/>
        </w:rPr>
        <w:t xml:space="preserve"> </w:t>
      </w:r>
      <w:r>
        <w:t>standard,</w:t>
      </w:r>
      <w:r>
        <w:rPr>
          <w:spacing w:val="-3"/>
        </w:rPr>
        <w:t xml:space="preserve"> </w:t>
      </w:r>
      <w:r>
        <w:t>taken</w:t>
      </w:r>
      <w:r>
        <w:rPr>
          <w:spacing w:val="-4"/>
        </w:rPr>
        <w:t xml:space="preserve"> </w:t>
      </w:r>
      <w:r>
        <w:t>as</w:t>
      </w:r>
      <w:r>
        <w:rPr>
          <w:spacing w:val="-3"/>
        </w:rPr>
        <w:t xml:space="preserve"> </w:t>
      </w:r>
      <w:r>
        <w:t>a</w:t>
      </w:r>
      <w:r>
        <w:rPr>
          <w:spacing w:val="-3"/>
        </w:rPr>
        <w:t xml:space="preserve"> </w:t>
      </w:r>
      <w:r>
        <w:t>whole,</w:t>
      </w:r>
      <w:r>
        <w:rPr>
          <w:spacing w:val="-4"/>
        </w:rPr>
        <w:t xml:space="preserve"> </w:t>
      </w:r>
      <w:r>
        <w:t>will</w:t>
      </w:r>
      <w:r>
        <w:rPr>
          <w:spacing w:val="-3"/>
        </w:rPr>
        <w:t xml:space="preserve"> </w:t>
      </w:r>
      <w:r>
        <w:t>help</w:t>
      </w:r>
      <w:r>
        <w:rPr>
          <w:spacing w:val="-3"/>
        </w:rPr>
        <w:t xml:space="preserve"> </w:t>
      </w:r>
      <w:r>
        <w:t>users</w:t>
      </w:r>
      <w:r>
        <w:rPr>
          <w:spacing w:val="-3"/>
        </w:rPr>
        <w:t xml:space="preserve"> </w:t>
      </w:r>
      <w:r>
        <w:t>make this assessment while acknowledging the complexity of the programs and the uncertainty of long-term projections.</w:t>
      </w:r>
    </w:p>
    <w:p w14:paraId="0DFDC6C0" w14:textId="77777777" w:rsidR="00046465" w:rsidRDefault="008134EB">
      <w:pPr>
        <w:pStyle w:val="ListParagraph"/>
        <w:numPr>
          <w:ilvl w:val="0"/>
          <w:numId w:val="74"/>
        </w:numPr>
        <w:tabs>
          <w:tab w:val="left" w:pos="1799"/>
        </w:tabs>
        <w:ind w:right="1005"/>
      </w:pPr>
      <w:r>
        <w:t>In</w:t>
      </w:r>
      <w:r>
        <w:rPr>
          <w:spacing w:val="-3"/>
        </w:rPr>
        <w:t xml:space="preserve"> </w:t>
      </w:r>
      <w:r>
        <w:t>determining</w:t>
      </w:r>
      <w:r>
        <w:rPr>
          <w:spacing w:val="-3"/>
        </w:rPr>
        <w:t xml:space="preserve"> </w:t>
      </w:r>
      <w:r>
        <w:t>the</w:t>
      </w:r>
      <w:r>
        <w:rPr>
          <w:spacing w:val="-3"/>
        </w:rPr>
        <w:t xml:space="preserve"> </w:t>
      </w:r>
      <w:r>
        <w:t>materiality</w:t>
      </w:r>
      <w:r>
        <w:rPr>
          <w:spacing w:val="-3"/>
        </w:rPr>
        <w:t xml:space="preserve"> </w:t>
      </w:r>
      <w:r>
        <w:t>benchmark</w:t>
      </w:r>
      <w:r>
        <w:rPr>
          <w:spacing w:val="-3"/>
        </w:rPr>
        <w:t xml:space="preserve"> </w:t>
      </w:r>
      <w:r>
        <w:t>for</w:t>
      </w:r>
      <w:r>
        <w:rPr>
          <w:spacing w:val="-3"/>
        </w:rPr>
        <w:t xml:space="preserve"> </w:t>
      </w:r>
      <w:r>
        <w:t>planning</w:t>
      </w:r>
      <w:r>
        <w:rPr>
          <w:spacing w:val="-3"/>
        </w:rPr>
        <w:t xml:space="preserve"> </w:t>
      </w:r>
      <w:r>
        <w:t>and</w:t>
      </w:r>
      <w:r>
        <w:rPr>
          <w:spacing w:val="-3"/>
        </w:rPr>
        <w:t xml:space="preserve"> </w:t>
      </w:r>
      <w:r>
        <w:t>performing</w:t>
      </w:r>
      <w:r>
        <w:rPr>
          <w:spacing w:val="-3"/>
        </w:rPr>
        <w:t xml:space="preserve"> </w:t>
      </w:r>
      <w:r>
        <w:t>audits</w:t>
      </w:r>
      <w:r>
        <w:rPr>
          <w:spacing w:val="-3"/>
        </w:rPr>
        <w:t xml:space="preserve"> </w:t>
      </w:r>
      <w:r>
        <w:t>of an</w:t>
      </w:r>
      <w:r>
        <w:rPr>
          <w:spacing w:val="-4"/>
        </w:rPr>
        <w:t xml:space="preserve"> </w:t>
      </w:r>
      <w:r>
        <w:t>entity’s</w:t>
      </w:r>
      <w:r>
        <w:rPr>
          <w:spacing w:val="-4"/>
        </w:rPr>
        <w:t xml:space="preserve"> </w:t>
      </w:r>
      <w:r>
        <w:t>Statement</w:t>
      </w:r>
      <w:r>
        <w:rPr>
          <w:spacing w:val="-4"/>
        </w:rPr>
        <w:t xml:space="preserve"> </w:t>
      </w:r>
      <w:r>
        <w:t>of</w:t>
      </w:r>
      <w:r>
        <w:rPr>
          <w:spacing w:val="-4"/>
        </w:rPr>
        <w:t xml:space="preserve"> </w:t>
      </w:r>
      <w:r>
        <w:t>Social</w:t>
      </w:r>
      <w:r>
        <w:rPr>
          <w:spacing w:val="-4"/>
        </w:rPr>
        <w:t xml:space="preserve"> </w:t>
      </w:r>
      <w:r>
        <w:t>Insurance</w:t>
      </w:r>
      <w:r>
        <w:rPr>
          <w:spacing w:val="-4"/>
        </w:rPr>
        <w:t xml:space="preserve"> </w:t>
      </w:r>
      <w:r>
        <w:t>and</w:t>
      </w:r>
      <w:r>
        <w:rPr>
          <w:spacing w:val="-4"/>
        </w:rPr>
        <w:t xml:space="preserve"> </w:t>
      </w:r>
      <w:r>
        <w:t>related</w:t>
      </w:r>
      <w:r>
        <w:rPr>
          <w:spacing w:val="-4"/>
        </w:rPr>
        <w:t xml:space="preserve"> </w:t>
      </w:r>
      <w:r>
        <w:t>Statement</w:t>
      </w:r>
      <w:r>
        <w:rPr>
          <w:spacing w:val="-4"/>
        </w:rPr>
        <w:t xml:space="preserve"> </w:t>
      </w:r>
      <w:r>
        <w:t>of</w:t>
      </w:r>
      <w:r>
        <w:rPr>
          <w:spacing w:val="-4"/>
        </w:rPr>
        <w:t xml:space="preserve"> </w:t>
      </w:r>
      <w:r>
        <w:t>Changes</w:t>
      </w:r>
      <w:r>
        <w:rPr>
          <w:spacing w:val="-4"/>
        </w:rPr>
        <w:t xml:space="preserve"> </w:t>
      </w:r>
      <w:r>
        <w:t>in Social Insurance Amounts, the auditor should evaluate the actuarial present value of the estimated future</w:t>
      </w:r>
    </w:p>
    <w:p w14:paraId="0DFDC6C1" w14:textId="77777777" w:rsidR="00046465" w:rsidRDefault="008134EB">
      <w:pPr>
        <w:pStyle w:val="ListParagraph"/>
        <w:numPr>
          <w:ilvl w:val="0"/>
          <w:numId w:val="69"/>
        </w:numPr>
        <w:tabs>
          <w:tab w:val="left" w:pos="2159"/>
        </w:tabs>
        <w:ind w:right="737"/>
      </w:pPr>
      <w:r>
        <w:t>income/revenue</w:t>
      </w:r>
      <w:r>
        <w:rPr>
          <w:spacing w:val="-3"/>
        </w:rPr>
        <w:t xml:space="preserve"> </w:t>
      </w:r>
      <w:r>
        <w:t>(excluding</w:t>
      </w:r>
      <w:r>
        <w:rPr>
          <w:spacing w:val="-3"/>
        </w:rPr>
        <w:t xml:space="preserve"> </w:t>
      </w:r>
      <w:r>
        <w:t>interest</w:t>
      </w:r>
      <w:hyperlink w:anchor="_bookmark204" w:history="1">
        <w:r>
          <w:rPr>
            <w:position w:val="7"/>
            <w:sz w:val="14"/>
          </w:rPr>
          <w:t>55</w:t>
        </w:r>
      </w:hyperlink>
      <w:r>
        <w:t>)</w:t>
      </w:r>
      <w:r>
        <w:rPr>
          <w:spacing w:val="-3"/>
        </w:rPr>
        <w:t xml:space="preserve"> </w:t>
      </w:r>
      <w:r>
        <w:t>received</w:t>
      </w:r>
      <w:r>
        <w:rPr>
          <w:spacing w:val="-3"/>
        </w:rPr>
        <w:t xml:space="preserve"> </w:t>
      </w:r>
      <w:r>
        <w:t>from</w:t>
      </w:r>
      <w:r>
        <w:rPr>
          <w:spacing w:val="-4"/>
        </w:rPr>
        <w:t xml:space="preserve"> </w:t>
      </w:r>
      <w:r>
        <w:t>or</w:t>
      </w:r>
      <w:r>
        <w:rPr>
          <w:spacing w:val="-3"/>
        </w:rPr>
        <w:t xml:space="preserve"> </w:t>
      </w:r>
      <w:r>
        <w:t>on</w:t>
      </w:r>
      <w:r>
        <w:rPr>
          <w:spacing w:val="-3"/>
        </w:rPr>
        <w:t xml:space="preserve"> </w:t>
      </w:r>
      <w:r>
        <w:t>behalf</w:t>
      </w:r>
      <w:r>
        <w:rPr>
          <w:spacing w:val="-3"/>
        </w:rPr>
        <w:t xml:space="preserve"> </w:t>
      </w:r>
      <w:r>
        <w:t>of</w:t>
      </w:r>
      <w:r>
        <w:rPr>
          <w:spacing w:val="-3"/>
        </w:rPr>
        <w:t xml:space="preserve"> </w:t>
      </w:r>
      <w:r>
        <w:t>all</w:t>
      </w:r>
      <w:r>
        <w:rPr>
          <w:spacing w:val="-4"/>
        </w:rPr>
        <w:t xml:space="preserve"> </w:t>
      </w:r>
      <w:r>
        <w:t>current and future participants (estimated future revenue),</w:t>
      </w:r>
    </w:p>
    <w:p w14:paraId="0DFDC6C2" w14:textId="77777777" w:rsidR="00046465" w:rsidRDefault="008134EB">
      <w:pPr>
        <w:pStyle w:val="ListParagraph"/>
        <w:numPr>
          <w:ilvl w:val="0"/>
          <w:numId w:val="69"/>
        </w:numPr>
        <w:tabs>
          <w:tab w:val="left" w:pos="2159"/>
        </w:tabs>
        <w:spacing w:before="119"/>
        <w:ind w:right="881"/>
      </w:pPr>
      <w:r>
        <w:t>expenditures</w:t>
      </w:r>
      <w:r>
        <w:rPr>
          <w:spacing w:val="-4"/>
        </w:rPr>
        <w:t xml:space="preserve"> </w:t>
      </w:r>
      <w:r>
        <w:t>for</w:t>
      </w:r>
      <w:r>
        <w:rPr>
          <w:spacing w:val="-4"/>
        </w:rPr>
        <w:t xml:space="preserve"> </w:t>
      </w:r>
      <w:r>
        <w:t>or</w:t>
      </w:r>
      <w:r>
        <w:rPr>
          <w:spacing w:val="-4"/>
        </w:rPr>
        <w:t xml:space="preserve"> </w:t>
      </w:r>
      <w:r>
        <w:t>on</w:t>
      </w:r>
      <w:r>
        <w:rPr>
          <w:spacing w:val="-4"/>
        </w:rPr>
        <w:t xml:space="preserve"> </w:t>
      </w:r>
      <w:r>
        <w:t>behalf</w:t>
      </w:r>
      <w:r>
        <w:rPr>
          <w:spacing w:val="-4"/>
        </w:rPr>
        <w:t xml:space="preserve"> </w:t>
      </w:r>
      <w:r>
        <w:t>of</w:t>
      </w:r>
      <w:r>
        <w:rPr>
          <w:spacing w:val="-4"/>
        </w:rPr>
        <w:t xml:space="preserve"> </w:t>
      </w:r>
      <w:r>
        <w:t>all</w:t>
      </w:r>
      <w:r>
        <w:rPr>
          <w:spacing w:val="-5"/>
        </w:rPr>
        <w:t xml:space="preserve"> </w:t>
      </w:r>
      <w:r>
        <w:t>current</w:t>
      </w:r>
      <w:r>
        <w:rPr>
          <w:spacing w:val="-4"/>
        </w:rPr>
        <w:t xml:space="preserve"> </w:t>
      </w:r>
      <w:r>
        <w:t>and</w:t>
      </w:r>
      <w:r>
        <w:rPr>
          <w:spacing w:val="-4"/>
        </w:rPr>
        <w:t xml:space="preserve"> </w:t>
      </w:r>
      <w:r>
        <w:t>future</w:t>
      </w:r>
      <w:r>
        <w:rPr>
          <w:spacing w:val="-4"/>
        </w:rPr>
        <w:t xml:space="preserve"> </w:t>
      </w:r>
      <w:r>
        <w:t>participants</w:t>
      </w:r>
      <w:r>
        <w:rPr>
          <w:spacing w:val="-4"/>
        </w:rPr>
        <w:t xml:space="preserve"> </w:t>
      </w:r>
      <w:r>
        <w:t>(estimated future expenditures), and</w:t>
      </w:r>
    </w:p>
    <w:p w14:paraId="0DFDC6C3" w14:textId="77777777" w:rsidR="00046465" w:rsidRDefault="008134EB">
      <w:pPr>
        <w:pStyle w:val="ListParagraph"/>
        <w:numPr>
          <w:ilvl w:val="0"/>
          <w:numId w:val="69"/>
        </w:numPr>
        <w:tabs>
          <w:tab w:val="left" w:pos="2159"/>
        </w:tabs>
        <w:spacing w:before="118"/>
        <w:ind w:right="819"/>
      </w:pPr>
      <w:r>
        <w:t>balance</w:t>
      </w:r>
      <w:r>
        <w:rPr>
          <w:spacing w:val="-6"/>
        </w:rPr>
        <w:t xml:space="preserve"> </w:t>
      </w:r>
      <w:r>
        <w:t>of</w:t>
      </w:r>
      <w:r>
        <w:rPr>
          <w:spacing w:val="-6"/>
        </w:rPr>
        <w:t xml:space="preserve"> </w:t>
      </w:r>
      <w:r>
        <w:t>estimated</w:t>
      </w:r>
      <w:r>
        <w:rPr>
          <w:spacing w:val="-6"/>
        </w:rPr>
        <w:t xml:space="preserve"> </w:t>
      </w:r>
      <w:r>
        <w:t>future</w:t>
      </w:r>
      <w:r>
        <w:rPr>
          <w:spacing w:val="-6"/>
        </w:rPr>
        <w:t xml:space="preserve"> </w:t>
      </w:r>
      <w:r>
        <w:t>income/revenue</w:t>
      </w:r>
      <w:r>
        <w:rPr>
          <w:spacing w:val="-6"/>
        </w:rPr>
        <w:t xml:space="preserve"> </w:t>
      </w:r>
      <w:r>
        <w:t>(excluding</w:t>
      </w:r>
      <w:r>
        <w:rPr>
          <w:spacing w:val="-6"/>
        </w:rPr>
        <w:t xml:space="preserve"> </w:t>
      </w:r>
      <w:r>
        <w:t>interest)</w:t>
      </w:r>
      <w:r>
        <w:rPr>
          <w:spacing w:val="-6"/>
        </w:rPr>
        <w:t xml:space="preserve"> </w:t>
      </w:r>
      <w:r>
        <w:t>over/(under) estimated future expenditures (actuarial balance).</w:t>
      </w:r>
    </w:p>
    <w:p w14:paraId="0DFDC6C4" w14:textId="77777777" w:rsidR="00046465" w:rsidRDefault="008134EB">
      <w:pPr>
        <w:pStyle w:val="ListParagraph"/>
        <w:numPr>
          <w:ilvl w:val="0"/>
          <w:numId w:val="74"/>
        </w:numPr>
        <w:tabs>
          <w:tab w:val="left" w:pos="1799"/>
        </w:tabs>
        <w:spacing w:before="118"/>
        <w:ind w:right="848"/>
      </w:pPr>
      <w:r>
        <w:t>The auditor may determine that the actuarial balance is the most significant element of the Statement of Social Insurance and the related Statement of Changes</w:t>
      </w:r>
      <w:r>
        <w:rPr>
          <w:spacing w:val="-3"/>
        </w:rPr>
        <w:t xml:space="preserve"> </w:t>
      </w:r>
      <w:r>
        <w:t>in</w:t>
      </w:r>
      <w:r>
        <w:rPr>
          <w:spacing w:val="-4"/>
        </w:rPr>
        <w:t xml:space="preserve"> </w:t>
      </w:r>
      <w:r>
        <w:t>Social</w:t>
      </w:r>
      <w:r>
        <w:rPr>
          <w:spacing w:val="-3"/>
        </w:rPr>
        <w:t xml:space="preserve"> </w:t>
      </w:r>
      <w:r>
        <w:t>Insurance</w:t>
      </w:r>
      <w:r>
        <w:rPr>
          <w:spacing w:val="-3"/>
        </w:rPr>
        <w:t xml:space="preserve"> </w:t>
      </w:r>
      <w:r>
        <w:t>Amounts</w:t>
      </w:r>
      <w:r>
        <w:rPr>
          <w:spacing w:val="-3"/>
        </w:rPr>
        <w:t xml:space="preserve"> </w:t>
      </w:r>
      <w:r>
        <w:t>to</w:t>
      </w:r>
      <w:r>
        <w:rPr>
          <w:spacing w:val="-3"/>
        </w:rPr>
        <w:t xml:space="preserve"> </w:t>
      </w:r>
      <w:r>
        <w:t>users</w:t>
      </w:r>
      <w:r>
        <w:rPr>
          <w:spacing w:val="-4"/>
        </w:rPr>
        <w:t xml:space="preserve"> </w:t>
      </w:r>
      <w:r>
        <w:t>of</w:t>
      </w:r>
      <w:r>
        <w:rPr>
          <w:spacing w:val="-3"/>
        </w:rPr>
        <w:t xml:space="preserve"> </w:t>
      </w:r>
      <w:r>
        <w:t>the</w:t>
      </w:r>
      <w:r>
        <w:rPr>
          <w:spacing w:val="-3"/>
        </w:rPr>
        <w:t xml:space="preserve"> </w:t>
      </w:r>
      <w:r>
        <w:t>financial</w:t>
      </w:r>
      <w:r>
        <w:rPr>
          <w:spacing w:val="-3"/>
        </w:rPr>
        <w:t xml:space="preserve"> </w:t>
      </w:r>
      <w:r>
        <w:t>statements.</w:t>
      </w:r>
      <w:r>
        <w:rPr>
          <w:spacing w:val="-3"/>
        </w:rPr>
        <w:t xml:space="preserve"> </w:t>
      </w:r>
      <w:r>
        <w:t>If</w:t>
      </w:r>
      <w:r>
        <w:rPr>
          <w:spacing w:val="-3"/>
        </w:rPr>
        <w:t xml:space="preserve"> </w:t>
      </w:r>
      <w:r>
        <w:t>so, the materiality benchmark would be the actuarial balance. However, the auditor</w:t>
      </w:r>
    </w:p>
    <w:p w14:paraId="0DFDC6C5" w14:textId="77777777" w:rsidR="00046465" w:rsidRDefault="008134EB">
      <w:pPr>
        <w:pStyle w:val="BodyText"/>
        <w:spacing w:before="28"/>
        <w:rPr>
          <w:sz w:val="20"/>
        </w:rPr>
      </w:pPr>
      <w:r>
        <w:rPr>
          <w:noProof/>
          <w:sz w:val="20"/>
        </w:rPr>
        <mc:AlternateContent>
          <mc:Choice Requires="wps">
            <w:drawing>
              <wp:anchor distT="0" distB="0" distL="0" distR="0" simplePos="0" relativeHeight="487730688" behindDoc="1" locked="0" layoutInCell="1" allowOverlap="1" wp14:anchorId="0DFDD741" wp14:editId="0DFDD742">
                <wp:simplePos x="0" y="0"/>
                <wp:positionH relativeFrom="page">
                  <wp:posOffset>914400</wp:posOffset>
                </wp:positionH>
                <wp:positionV relativeFrom="paragraph">
                  <wp:posOffset>179546</wp:posOffset>
                </wp:positionV>
                <wp:extent cx="1828800" cy="5715"/>
                <wp:effectExtent l="0" t="0" r="0" b="0"/>
                <wp:wrapTopAndBottom/>
                <wp:docPr id="1060" name="Graphic 10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DF3766" id="Graphic 1060" o:spid="_x0000_s1026" style="position:absolute;margin-left:1in;margin-top:14.15pt;width:2in;height:.45pt;z-index:-1558579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" path="m1828800,l,,,5334r1828800,l1828800,xe" fillcolor="black" stroked="f">
                <v:path arrowok="t"/>
                <w10:wrap type="topAndBottom" anchorx="page"/>
              </v:shape>
            </w:pict>
          </mc:Fallback>
        </mc:AlternateContent>
      </w:r>
    </w:p>
    <w:p w14:paraId="0DFDC6C6" w14:textId="77777777" w:rsidR="00046465" w:rsidRDefault="008134EB">
      <w:pPr>
        <w:spacing w:before="200" w:line="244" w:lineRule="auto"/>
        <w:ind w:left="360" w:right="844" w:hanging="1"/>
        <w:rPr>
          <w:sz w:val="18"/>
        </w:rPr>
      </w:pPr>
      <w:bookmarkStart w:id="351" w:name="_bookmark204"/>
      <w:bookmarkEnd w:id="351"/>
      <w:r>
        <w:rPr>
          <w:position w:val="7"/>
          <w:sz w:val="14"/>
        </w:rPr>
        <w:t>55</w:t>
      </w:r>
      <w:r>
        <w:rPr>
          <w:sz w:val="18"/>
        </w:rPr>
        <w:t>Income/revenue (excluding interest) includes payroll taxes from employers, employees, and self-employed persons;</w:t>
      </w:r>
      <w:r>
        <w:rPr>
          <w:spacing w:val="-3"/>
          <w:sz w:val="18"/>
        </w:rPr>
        <w:t xml:space="preserve"> </w:t>
      </w:r>
      <w:r>
        <w:rPr>
          <w:sz w:val="18"/>
        </w:rPr>
        <w:t>revenue</w:t>
      </w:r>
      <w:r>
        <w:rPr>
          <w:spacing w:val="-4"/>
          <w:sz w:val="18"/>
        </w:rPr>
        <w:t xml:space="preserve"> </w:t>
      </w:r>
      <w:r>
        <w:rPr>
          <w:sz w:val="18"/>
        </w:rPr>
        <w:t>from</w:t>
      </w:r>
      <w:r>
        <w:rPr>
          <w:spacing w:val="-3"/>
          <w:sz w:val="18"/>
        </w:rPr>
        <w:t xml:space="preserve"> </w:t>
      </w:r>
      <w:r>
        <w:rPr>
          <w:sz w:val="18"/>
        </w:rPr>
        <w:t>federal</w:t>
      </w:r>
      <w:r>
        <w:rPr>
          <w:spacing w:val="-3"/>
          <w:sz w:val="18"/>
        </w:rPr>
        <w:t xml:space="preserve"> </w:t>
      </w:r>
      <w:r>
        <w:rPr>
          <w:sz w:val="18"/>
        </w:rPr>
        <w:t>income</w:t>
      </w:r>
      <w:r>
        <w:rPr>
          <w:spacing w:val="-4"/>
          <w:sz w:val="18"/>
        </w:rPr>
        <w:t xml:space="preserve"> </w:t>
      </w:r>
      <w:r>
        <w:rPr>
          <w:sz w:val="18"/>
        </w:rPr>
        <w:t>taxation</w:t>
      </w:r>
      <w:r>
        <w:rPr>
          <w:spacing w:val="-4"/>
          <w:sz w:val="18"/>
        </w:rPr>
        <w:t xml:space="preserve"> </w:t>
      </w:r>
      <w:r>
        <w:rPr>
          <w:sz w:val="18"/>
        </w:rPr>
        <w:t>of</w:t>
      </w:r>
      <w:r>
        <w:rPr>
          <w:spacing w:val="-3"/>
          <w:sz w:val="18"/>
        </w:rPr>
        <w:t xml:space="preserve"> </w:t>
      </w:r>
      <w:r>
        <w:rPr>
          <w:sz w:val="18"/>
        </w:rPr>
        <w:t>scheduled</w:t>
      </w:r>
      <w:r>
        <w:rPr>
          <w:spacing w:val="-4"/>
          <w:sz w:val="18"/>
        </w:rPr>
        <w:t xml:space="preserve"> </w:t>
      </w:r>
      <w:r>
        <w:rPr>
          <w:sz w:val="18"/>
        </w:rPr>
        <w:t>OASDI</w:t>
      </w:r>
      <w:r>
        <w:rPr>
          <w:spacing w:val="-3"/>
          <w:sz w:val="18"/>
        </w:rPr>
        <w:t xml:space="preserve"> </w:t>
      </w:r>
      <w:r>
        <w:rPr>
          <w:sz w:val="18"/>
        </w:rPr>
        <w:t>benefits;</w:t>
      </w:r>
      <w:r>
        <w:rPr>
          <w:spacing w:val="-4"/>
          <w:sz w:val="18"/>
        </w:rPr>
        <w:t xml:space="preserve"> </w:t>
      </w:r>
      <w:r>
        <w:rPr>
          <w:sz w:val="18"/>
        </w:rPr>
        <w:t>and</w:t>
      </w:r>
      <w:r>
        <w:rPr>
          <w:spacing w:val="-4"/>
          <w:sz w:val="18"/>
        </w:rPr>
        <w:t xml:space="preserve"> </w:t>
      </w:r>
      <w:r>
        <w:rPr>
          <w:sz w:val="18"/>
        </w:rPr>
        <w:t>miscellaneous</w:t>
      </w:r>
      <w:r>
        <w:rPr>
          <w:spacing w:val="-3"/>
          <w:sz w:val="18"/>
        </w:rPr>
        <w:t xml:space="preserve"> </w:t>
      </w:r>
      <w:r>
        <w:rPr>
          <w:sz w:val="18"/>
        </w:rPr>
        <w:t>reimbursements from the General Fund.</w:t>
      </w:r>
    </w:p>
    <w:p w14:paraId="0DFDC6C7" w14:textId="77777777" w:rsidR="00046465" w:rsidRDefault="00046465">
      <w:pPr>
        <w:spacing w:line="244" w:lineRule="auto"/>
        <w:rPr>
          <w:sz w:val="18"/>
        </w:rPr>
        <w:sectPr w:rsidR="00046465">
          <w:pgSz w:w="12240" w:h="15840"/>
          <w:pgMar w:top="1600" w:right="720" w:bottom="940" w:left="1080" w:header="721" w:footer="757" w:gutter="0"/>
          <w:cols w:space="720"/>
        </w:sectPr>
      </w:pPr>
    </w:p>
    <w:p w14:paraId="0DFDC6C8" w14:textId="77777777" w:rsidR="00046465" w:rsidRDefault="008134EB">
      <w:pPr>
        <w:pStyle w:val="BodyText"/>
        <w:spacing w:before="121"/>
        <w:ind w:left="1800" w:right="749"/>
      </w:pPr>
      <w:r>
        <w:lastRenderedPageBreak/>
        <w:t>may</w:t>
      </w:r>
      <w:r>
        <w:rPr>
          <w:spacing w:val="-4"/>
        </w:rPr>
        <w:t xml:space="preserve"> </w:t>
      </w:r>
      <w:r>
        <w:t>determine</w:t>
      </w:r>
      <w:r>
        <w:rPr>
          <w:spacing w:val="-4"/>
        </w:rPr>
        <w:t xml:space="preserve"> </w:t>
      </w:r>
      <w:r>
        <w:t>that</w:t>
      </w:r>
      <w:r>
        <w:rPr>
          <w:spacing w:val="-4"/>
        </w:rPr>
        <w:t xml:space="preserve"> </w:t>
      </w:r>
      <w:r>
        <w:t>it</w:t>
      </w:r>
      <w:r>
        <w:rPr>
          <w:spacing w:val="-4"/>
        </w:rPr>
        <w:t xml:space="preserve"> </w:t>
      </w:r>
      <w:r>
        <w:t>is</w:t>
      </w:r>
      <w:r>
        <w:rPr>
          <w:spacing w:val="-6"/>
        </w:rPr>
        <w:t xml:space="preserve"> </w:t>
      </w:r>
      <w:r>
        <w:t>more</w:t>
      </w:r>
      <w:r>
        <w:rPr>
          <w:spacing w:val="-4"/>
        </w:rPr>
        <w:t xml:space="preserve"> </w:t>
      </w:r>
      <w:r>
        <w:t>appropriate</w:t>
      </w:r>
      <w:r>
        <w:rPr>
          <w:spacing w:val="-4"/>
        </w:rPr>
        <w:t xml:space="preserve"> </w:t>
      </w:r>
      <w:r>
        <w:t>to</w:t>
      </w:r>
      <w:r>
        <w:rPr>
          <w:spacing w:val="-4"/>
        </w:rPr>
        <w:t xml:space="preserve"> </w:t>
      </w:r>
      <w:r>
        <w:t>select</w:t>
      </w:r>
      <w:r>
        <w:rPr>
          <w:spacing w:val="-4"/>
        </w:rPr>
        <w:t xml:space="preserve"> </w:t>
      </w:r>
      <w:r>
        <w:t>a</w:t>
      </w:r>
      <w:r>
        <w:rPr>
          <w:spacing w:val="-4"/>
        </w:rPr>
        <w:t xml:space="preserve"> </w:t>
      </w:r>
      <w:r>
        <w:t>materiality</w:t>
      </w:r>
      <w:r>
        <w:rPr>
          <w:spacing w:val="-4"/>
        </w:rPr>
        <w:t xml:space="preserve"> </w:t>
      </w:r>
      <w:r>
        <w:t>benchmark</w:t>
      </w:r>
      <w:r>
        <w:rPr>
          <w:spacing w:val="-4"/>
        </w:rPr>
        <w:t xml:space="preserve"> </w:t>
      </w:r>
      <w:r>
        <w:t xml:space="preserve">of either the estimated future incomes/revenues or the estimated future </w:t>
      </w:r>
      <w:r>
        <w:rPr>
          <w:spacing w:val="-2"/>
        </w:rPr>
        <w:t>expenditures.</w:t>
      </w:r>
    </w:p>
    <w:p w14:paraId="0DFDC6C9" w14:textId="77777777" w:rsidR="00046465" w:rsidRDefault="008134EB">
      <w:pPr>
        <w:pStyle w:val="BodyText"/>
        <w:spacing w:before="119"/>
        <w:ind w:left="1800" w:right="749"/>
      </w:pPr>
      <w:r>
        <w:t>The auditor’s basis for the selection of the materiality benchmark(s) generally should</w:t>
      </w:r>
      <w:r>
        <w:rPr>
          <w:spacing w:val="-4"/>
        </w:rPr>
        <w:t xml:space="preserve"> </w:t>
      </w:r>
      <w:r>
        <w:t>be</w:t>
      </w:r>
      <w:r>
        <w:rPr>
          <w:spacing w:val="-4"/>
        </w:rPr>
        <w:t xml:space="preserve"> </w:t>
      </w:r>
      <w:r>
        <w:t>documented,</w:t>
      </w:r>
      <w:r>
        <w:rPr>
          <w:spacing w:val="-4"/>
        </w:rPr>
        <w:t xml:space="preserve"> </w:t>
      </w:r>
      <w:r>
        <w:t>including</w:t>
      </w:r>
      <w:r>
        <w:rPr>
          <w:spacing w:val="-5"/>
        </w:rPr>
        <w:t xml:space="preserve"> </w:t>
      </w:r>
      <w:r>
        <w:t>consideration</w:t>
      </w:r>
      <w:r>
        <w:rPr>
          <w:spacing w:val="-5"/>
        </w:rPr>
        <w:t xml:space="preserve"> </w:t>
      </w:r>
      <w:r>
        <w:t>given</w:t>
      </w:r>
      <w:r>
        <w:rPr>
          <w:spacing w:val="-4"/>
        </w:rPr>
        <w:t xml:space="preserve"> </w:t>
      </w:r>
      <w:r>
        <w:t>to</w:t>
      </w:r>
      <w:r>
        <w:rPr>
          <w:spacing w:val="-4"/>
        </w:rPr>
        <w:t xml:space="preserve"> </w:t>
      </w:r>
      <w:r>
        <w:t>other</w:t>
      </w:r>
      <w:r>
        <w:rPr>
          <w:spacing w:val="-4"/>
        </w:rPr>
        <w:t xml:space="preserve"> </w:t>
      </w:r>
      <w:r>
        <w:t>possible</w:t>
      </w:r>
      <w:r>
        <w:rPr>
          <w:spacing w:val="-7"/>
        </w:rPr>
        <w:t xml:space="preserve"> </w:t>
      </w:r>
      <w:r>
        <w:t>measures or separate benchmarks for estimated future income/revenue and estimated future</w:t>
      </w:r>
      <w:r>
        <w:rPr>
          <w:spacing w:val="-1"/>
        </w:rPr>
        <w:t xml:space="preserve"> </w:t>
      </w:r>
      <w:r>
        <w:t>expenditures.</w:t>
      </w:r>
      <w:r>
        <w:rPr>
          <w:spacing w:val="-1"/>
        </w:rPr>
        <w:t xml:space="preserve"> </w:t>
      </w:r>
      <w:r>
        <w:t>Auditors</w:t>
      </w:r>
      <w:r>
        <w:rPr>
          <w:spacing w:val="-1"/>
        </w:rPr>
        <w:t xml:space="preserve"> </w:t>
      </w:r>
      <w:r>
        <w:t>generally</w:t>
      </w:r>
      <w:r>
        <w:rPr>
          <w:spacing w:val="-1"/>
        </w:rPr>
        <w:t xml:space="preserve"> </w:t>
      </w:r>
      <w:r>
        <w:t>should</w:t>
      </w:r>
      <w:r>
        <w:rPr>
          <w:spacing w:val="-1"/>
        </w:rPr>
        <w:t xml:space="preserve"> </w:t>
      </w:r>
      <w:r>
        <w:t>follow</w:t>
      </w:r>
      <w:r>
        <w:rPr>
          <w:spacing w:val="-2"/>
        </w:rPr>
        <w:t xml:space="preserve"> </w:t>
      </w:r>
      <w:r>
        <w:t>the</w:t>
      </w:r>
      <w:r>
        <w:rPr>
          <w:spacing w:val="-1"/>
        </w:rPr>
        <w:t xml:space="preserve"> </w:t>
      </w:r>
      <w:r>
        <w:t>guidance</w:t>
      </w:r>
      <w:r>
        <w:rPr>
          <w:spacing w:val="-1"/>
        </w:rPr>
        <w:t xml:space="preserve"> </w:t>
      </w:r>
      <w:r>
        <w:t>in</w:t>
      </w:r>
      <w:r>
        <w:rPr>
          <w:spacing w:val="-1"/>
        </w:rPr>
        <w:t xml:space="preserve"> </w:t>
      </w:r>
      <w:r>
        <w:t>FAM</w:t>
      </w:r>
      <w:r>
        <w:rPr>
          <w:spacing w:val="-2"/>
        </w:rPr>
        <w:t xml:space="preserve"> </w:t>
      </w:r>
      <w:r>
        <w:t>230</w:t>
      </w:r>
      <w:r>
        <w:rPr>
          <w:spacing w:val="-1"/>
        </w:rPr>
        <w:t xml:space="preserve"> </w:t>
      </w:r>
      <w:r>
        <w:t>in determining</w:t>
      </w:r>
      <w:r>
        <w:rPr>
          <w:spacing w:val="-3"/>
        </w:rPr>
        <w:t xml:space="preserve"> </w:t>
      </w:r>
      <w:r>
        <w:t>materiality</w:t>
      </w:r>
      <w:r>
        <w:rPr>
          <w:spacing w:val="-3"/>
        </w:rPr>
        <w:t xml:space="preserve"> </w:t>
      </w:r>
      <w:r>
        <w:t>for</w:t>
      </w:r>
      <w:r>
        <w:rPr>
          <w:spacing w:val="-3"/>
        </w:rPr>
        <w:t xml:space="preserve"> </w:t>
      </w:r>
      <w:r>
        <w:t>planning</w:t>
      </w:r>
      <w:r>
        <w:rPr>
          <w:spacing w:val="-4"/>
        </w:rPr>
        <w:t xml:space="preserve"> </w:t>
      </w:r>
      <w:r>
        <w:t>and</w:t>
      </w:r>
      <w:r>
        <w:rPr>
          <w:spacing w:val="-3"/>
        </w:rPr>
        <w:t xml:space="preserve"> </w:t>
      </w:r>
      <w:r>
        <w:t>performing</w:t>
      </w:r>
      <w:r>
        <w:rPr>
          <w:spacing w:val="-3"/>
        </w:rPr>
        <w:t xml:space="preserve"> </w:t>
      </w:r>
      <w:r>
        <w:t>audits</w:t>
      </w:r>
      <w:r>
        <w:rPr>
          <w:spacing w:val="-3"/>
        </w:rPr>
        <w:t xml:space="preserve"> </w:t>
      </w:r>
      <w:r>
        <w:t>of</w:t>
      </w:r>
      <w:r>
        <w:rPr>
          <w:spacing w:val="-4"/>
        </w:rPr>
        <w:t xml:space="preserve"> </w:t>
      </w:r>
      <w:r>
        <w:t>entity</w:t>
      </w:r>
      <w:r>
        <w:rPr>
          <w:spacing w:val="-3"/>
        </w:rPr>
        <w:t xml:space="preserve"> </w:t>
      </w:r>
      <w:r>
        <w:t>Statements</w:t>
      </w:r>
      <w:r>
        <w:rPr>
          <w:spacing w:val="-3"/>
        </w:rPr>
        <w:t xml:space="preserve"> </w:t>
      </w:r>
      <w:r>
        <w:t xml:space="preserve">of Social Insurance and the related Statements of Changes in Social Insurance </w:t>
      </w:r>
      <w:r>
        <w:rPr>
          <w:spacing w:val="-2"/>
        </w:rPr>
        <w:t>Amounts.</w:t>
      </w:r>
    </w:p>
    <w:p w14:paraId="0DFDC6CA" w14:textId="77777777" w:rsidR="00046465" w:rsidRDefault="008134EB">
      <w:pPr>
        <w:pStyle w:val="Heading5"/>
        <w:ind w:left="392"/>
        <w:rPr>
          <w:u w:val="none"/>
        </w:rPr>
      </w:pPr>
      <w:bookmarkStart w:id="352" w:name="Obtaining_Management’s_Representations"/>
      <w:bookmarkEnd w:id="352"/>
      <w:r>
        <w:t>Obtaining</w:t>
      </w:r>
      <w:r>
        <w:rPr>
          <w:spacing w:val="-7"/>
        </w:rPr>
        <w:t xml:space="preserve"> </w:t>
      </w:r>
      <w:r>
        <w:t>Management’s</w:t>
      </w:r>
      <w:r>
        <w:rPr>
          <w:spacing w:val="-5"/>
        </w:rPr>
        <w:t xml:space="preserve"> </w:t>
      </w:r>
      <w:r>
        <w:rPr>
          <w:spacing w:val="-2"/>
        </w:rPr>
        <w:t>Representations</w:t>
      </w:r>
    </w:p>
    <w:p w14:paraId="0DFDC6CB" w14:textId="77777777" w:rsidR="00046465" w:rsidRDefault="008134EB">
      <w:pPr>
        <w:pStyle w:val="ListParagraph"/>
        <w:numPr>
          <w:ilvl w:val="0"/>
          <w:numId w:val="74"/>
        </w:numPr>
        <w:tabs>
          <w:tab w:val="left" w:pos="1800"/>
        </w:tabs>
        <w:ind w:left="1800" w:right="762"/>
      </w:pPr>
      <w:r>
        <w:t>Entity management is responsible for preparing the Statement of Social Insurance and the related Statement of Changes in Social Insurance Amounts and underlying estimates and changes in conformity with U.S. GAAP. Management is also responsible for the accuracy and completeness of the Statement of Social Insurance (SOP 04-1, para. 5) and the Statement of Changes in Social Insurance Amounts. Therefore, management should determine a reasonable estimate of the economic and demographic conditions that will exist in the future.</w:t>
      </w:r>
      <w:hyperlink w:anchor="_bookmark205" w:history="1">
        <w:r>
          <w:rPr>
            <w:position w:val="7"/>
            <w:sz w:val="14"/>
          </w:rPr>
          <w:t>56</w:t>
        </w:r>
      </w:hyperlink>
      <w:r>
        <w:rPr>
          <w:spacing w:val="33"/>
          <w:position w:val="7"/>
          <w:sz w:val="14"/>
        </w:rPr>
        <w:t xml:space="preserve"> </w:t>
      </w:r>
      <w:r>
        <w:t>Because estimates in the Statement of Social Insurance and the related Statement of Changes in Social Insurance Amounts are based on subjective as well as objective factors, management should use judgment to estimate amounts included in these statements. Management’s judgment</w:t>
      </w:r>
      <w:r>
        <w:rPr>
          <w:spacing w:val="-4"/>
        </w:rPr>
        <w:t xml:space="preserve"> </w:t>
      </w:r>
      <w:r>
        <w:t>may</w:t>
      </w:r>
      <w:r>
        <w:rPr>
          <w:spacing w:val="-4"/>
        </w:rPr>
        <w:t xml:space="preserve"> </w:t>
      </w:r>
      <w:r>
        <w:t>be</w:t>
      </w:r>
      <w:r>
        <w:rPr>
          <w:spacing w:val="-4"/>
        </w:rPr>
        <w:t xml:space="preserve"> </w:t>
      </w:r>
      <w:r>
        <w:t>based</w:t>
      </w:r>
      <w:r>
        <w:rPr>
          <w:spacing w:val="-4"/>
        </w:rPr>
        <w:t xml:space="preserve"> </w:t>
      </w:r>
      <w:r>
        <w:t>on</w:t>
      </w:r>
      <w:r>
        <w:rPr>
          <w:spacing w:val="-4"/>
        </w:rPr>
        <w:t xml:space="preserve"> </w:t>
      </w:r>
      <w:r>
        <w:t>its</w:t>
      </w:r>
      <w:r>
        <w:rPr>
          <w:spacing w:val="-4"/>
        </w:rPr>
        <w:t xml:space="preserve"> </w:t>
      </w:r>
      <w:r>
        <w:t>knowledge</w:t>
      </w:r>
      <w:r>
        <w:rPr>
          <w:spacing w:val="-4"/>
        </w:rPr>
        <w:t xml:space="preserve"> </w:t>
      </w:r>
      <w:r>
        <w:t>and</w:t>
      </w:r>
      <w:r>
        <w:rPr>
          <w:spacing w:val="-4"/>
        </w:rPr>
        <w:t xml:space="preserve"> </w:t>
      </w:r>
      <w:r>
        <w:t>experience</w:t>
      </w:r>
      <w:r>
        <w:rPr>
          <w:spacing w:val="-4"/>
        </w:rPr>
        <w:t xml:space="preserve"> </w:t>
      </w:r>
      <w:r>
        <w:t>about</w:t>
      </w:r>
      <w:r>
        <w:rPr>
          <w:spacing w:val="-4"/>
        </w:rPr>
        <w:t xml:space="preserve"> </w:t>
      </w:r>
      <w:r>
        <w:t>past</w:t>
      </w:r>
      <w:r>
        <w:rPr>
          <w:spacing w:val="-4"/>
        </w:rPr>
        <w:t xml:space="preserve"> </w:t>
      </w:r>
      <w:r>
        <w:t>and</w:t>
      </w:r>
      <w:r>
        <w:rPr>
          <w:spacing w:val="-4"/>
        </w:rPr>
        <w:t xml:space="preserve"> </w:t>
      </w:r>
      <w:r>
        <w:t>current events and its assumptions about conditions it expects to exist.</w:t>
      </w:r>
    </w:p>
    <w:p w14:paraId="0DFDC6CC" w14:textId="77777777" w:rsidR="00046465" w:rsidRDefault="008134EB">
      <w:pPr>
        <w:pStyle w:val="ListParagraph"/>
        <w:numPr>
          <w:ilvl w:val="0"/>
          <w:numId w:val="74"/>
        </w:numPr>
        <w:tabs>
          <w:tab w:val="left" w:pos="1800"/>
        </w:tabs>
        <w:spacing w:before="119"/>
        <w:ind w:left="1800" w:right="813"/>
      </w:pPr>
      <w:r>
        <w:t>Consistent with FAM 1001, the auditor should obtain specific representations relating to the Statement of Social Insurance and to the related Statement of Changes in Social Insurance Amounts. For an audit of an entity’s Statement of Social Insurance and the related Statement of Changes in Social Insurance Amounts,</w:t>
      </w:r>
      <w:r>
        <w:rPr>
          <w:spacing w:val="-6"/>
        </w:rPr>
        <w:t xml:space="preserve"> </w:t>
      </w:r>
      <w:r>
        <w:t>the</w:t>
      </w:r>
      <w:r>
        <w:rPr>
          <w:spacing w:val="-6"/>
        </w:rPr>
        <w:t xml:space="preserve"> </w:t>
      </w:r>
      <w:r>
        <w:t>representation</w:t>
      </w:r>
      <w:r>
        <w:rPr>
          <w:spacing w:val="-6"/>
        </w:rPr>
        <w:t xml:space="preserve"> </w:t>
      </w:r>
      <w:r>
        <w:t>letter</w:t>
      </w:r>
      <w:r>
        <w:rPr>
          <w:spacing w:val="-6"/>
        </w:rPr>
        <w:t xml:space="preserve"> </w:t>
      </w:r>
      <w:r>
        <w:t>should</w:t>
      </w:r>
      <w:r>
        <w:rPr>
          <w:spacing w:val="-6"/>
        </w:rPr>
        <w:t xml:space="preserve"> </w:t>
      </w:r>
      <w:r>
        <w:t>include,</w:t>
      </w:r>
      <w:r>
        <w:rPr>
          <w:spacing w:val="-6"/>
        </w:rPr>
        <w:t xml:space="preserve"> </w:t>
      </w:r>
      <w:r>
        <w:t>as</w:t>
      </w:r>
      <w:r>
        <w:rPr>
          <w:spacing w:val="-6"/>
        </w:rPr>
        <w:t xml:space="preserve"> </w:t>
      </w:r>
      <w:r>
        <w:t>applicable,</w:t>
      </w:r>
      <w:r>
        <w:rPr>
          <w:spacing w:val="-6"/>
        </w:rPr>
        <w:t xml:space="preserve"> </w:t>
      </w:r>
      <w:r>
        <w:t>representations included in FAM 1001 A, the example management representation letter.</w:t>
      </w:r>
    </w:p>
    <w:p w14:paraId="0DFDC6CD" w14:textId="77777777" w:rsidR="00046465" w:rsidRDefault="008134EB">
      <w:pPr>
        <w:pStyle w:val="Heading5"/>
        <w:ind w:left="392"/>
        <w:rPr>
          <w:u w:val="none"/>
        </w:rPr>
      </w:pPr>
      <w:bookmarkStart w:id="353" w:name="Auditor’s_Report"/>
      <w:bookmarkEnd w:id="353"/>
      <w:r>
        <w:t>Auditor’s</w:t>
      </w:r>
      <w:r>
        <w:rPr>
          <w:spacing w:val="-7"/>
        </w:rPr>
        <w:t xml:space="preserve"> </w:t>
      </w:r>
      <w:r>
        <w:rPr>
          <w:spacing w:val="-2"/>
        </w:rPr>
        <w:t>Report</w:t>
      </w:r>
    </w:p>
    <w:p w14:paraId="0DFDC6CE" w14:textId="77777777" w:rsidR="00046465" w:rsidRDefault="008134EB">
      <w:pPr>
        <w:pStyle w:val="ListParagraph"/>
        <w:numPr>
          <w:ilvl w:val="0"/>
          <w:numId w:val="74"/>
        </w:numPr>
        <w:tabs>
          <w:tab w:val="left" w:pos="1800"/>
        </w:tabs>
        <w:spacing w:before="119"/>
        <w:ind w:left="1800" w:right="811"/>
        <w:rPr>
          <w:i/>
        </w:rPr>
      </w:pPr>
      <w:r>
        <w:t xml:space="preserve">AU-C 700, </w:t>
      </w:r>
      <w:r>
        <w:rPr>
          <w:i/>
        </w:rPr>
        <w:t>Forming an Opinion and Reporting on Financial Statements</w:t>
      </w:r>
      <w:r>
        <w:t xml:space="preserve">, addresses the auditor’s responsibility to form an opinion on the financial statements. It also addresses the form and content of the auditor’s report issued as a result of an audit of financial statements. AU-C 9700, </w:t>
      </w:r>
      <w:r>
        <w:rPr>
          <w:i/>
        </w:rPr>
        <w:t>Forming an Opinion and</w:t>
      </w:r>
      <w:r>
        <w:rPr>
          <w:i/>
          <w:spacing w:val="-4"/>
        </w:rPr>
        <w:t xml:space="preserve"> </w:t>
      </w:r>
      <w:r>
        <w:rPr>
          <w:i/>
        </w:rPr>
        <w:t>Reporting</w:t>
      </w:r>
      <w:r>
        <w:rPr>
          <w:i/>
          <w:spacing w:val="-4"/>
        </w:rPr>
        <w:t xml:space="preserve"> </w:t>
      </w:r>
      <w:r>
        <w:rPr>
          <w:i/>
        </w:rPr>
        <w:t>on</w:t>
      </w:r>
      <w:r>
        <w:rPr>
          <w:i/>
          <w:spacing w:val="-4"/>
        </w:rPr>
        <w:t xml:space="preserve"> </w:t>
      </w:r>
      <w:r>
        <w:rPr>
          <w:i/>
        </w:rPr>
        <w:t>Financial</w:t>
      </w:r>
      <w:r>
        <w:rPr>
          <w:i/>
          <w:spacing w:val="-4"/>
        </w:rPr>
        <w:t xml:space="preserve"> </w:t>
      </w:r>
      <w:r>
        <w:rPr>
          <w:i/>
        </w:rPr>
        <w:t>Statements:</w:t>
      </w:r>
      <w:r>
        <w:rPr>
          <w:i/>
          <w:spacing w:val="-4"/>
        </w:rPr>
        <w:t xml:space="preserve"> </w:t>
      </w:r>
      <w:r>
        <w:rPr>
          <w:i/>
        </w:rPr>
        <w:t>Auditing</w:t>
      </w:r>
      <w:r>
        <w:rPr>
          <w:i/>
          <w:spacing w:val="-5"/>
        </w:rPr>
        <w:t xml:space="preserve"> </w:t>
      </w:r>
      <w:r>
        <w:rPr>
          <w:i/>
        </w:rPr>
        <w:t>Interpretations</w:t>
      </w:r>
      <w:r>
        <w:rPr>
          <w:i/>
          <w:spacing w:val="-4"/>
        </w:rPr>
        <w:t xml:space="preserve"> </w:t>
      </w:r>
      <w:r>
        <w:rPr>
          <w:i/>
        </w:rPr>
        <w:t>of</w:t>
      </w:r>
      <w:r>
        <w:rPr>
          <w:i/>
          <w:spacing w:val="-4"/>
        </w:rPr>
        <w:t xml:space="preserve"> </w:t>
      </w:r>
      <w:r>
        <w:rPr>
          <w:i/>
        </w:rPr>
        <w:t>AU-C</w:t>
      </w:r>
      <w:r>
        <w:rPr>
          <w:i/>
          <w:spacing w:val="-5"/>
        </w:rPr>
        <w:t xml:space="preserve"> </w:t>
      </w:r>
      <w:r>
        <w:rPr>
          <w:i/>
        </w:rPr>
        <w:t>Section</w:t>
      </w:r>
    </w:p>
    <w:p w14:paraId="0DFDC6CF" w14:textId="77777777" w:rsidR="00046465" w:rsidRDefault="00046465">
      <w:pPr>
        <w:pStyle w:val="BodyText"/>
        <w:rPr>
          <w:i/>
          <w:sz w:val="20"/>
        </w:rPr>
      </w:pPr>
    </w:p>
    <w:p w14:paraId="0DFDC6D0" w14:textId="77777777" w:rsidR="00046465" w:rsidRDefault="00046465">
      <w:pPr>
        <w:pStyle w:val="BodyText"/>
        <w:rPr>
          <w:i/>
          <w:sz w:val="20"/>
        </w:rPr>
      </w:pPr>
    </w:p>
    <w:p w14:paraId="0DFDC6D1" w14:textId="77777777" w:rsidR="00046465" w:rsidRDefault="00046465">
      <w:pPr>
        <w:pStyle w:val="BodyText"/>
        <w:rPr>
          <w:i/>
          <w:sz w:val="20"/>
        </w:rPr>
      </w:pPr>
    </w:p>
    <w:p w14:paraId="0DFDC6D2" w14:textId="77777777" w:rsidR="00046465" w:rsidRDefault="008134EB">
      <w:pPr>
        <w:pStyle w:val="BodyText"/>
        <w:spacing w:before="77"/>
        <w:rPr>
          <w:i/>
          <w:sz w:val="20"/>
        </w:rPr>
      </w:pPr>
      <w:r>
        <w:rPr>
          <w:i/>
          <w:noProof/>
          <w:sz w:val="20"/>
        </w:rPr>
        <mc:AlternateContent>
          <mc:Choice Requires="wps">
            <w:drawing>
              <wp:anchor distT="0" distB="0" distL="0" distR="0" simplePos="0" relativeHeight="487731200" behindDoc="1" locked="0" layoutInCell="1" allowOverlap="1" wp14:anchorId="0DFDD743" wp14:editId="0DFDD744">
                <wp:simplePos x="0" y="0"/>
                <wp:positionH relativeFrom="page">
                  <wp:posOffset>914400</wp:posOffset>
                </wp:positionH>
                <wp:positionV relativeFrom="paragraph">
                  <wp:posOffset>210588</wp:posOffset>
                </wp:positionV>
                <wp:extent cx="1828800" cy="5715"/>
                <wp:effectExtent l="0" t="0" r="0" b="0"/>
                <wp:wrapTopAndBottom/>
                <wp:docPr id="1061" name="Graphi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FC619D" id="Graphic 1061" o:spid="_x0000_s1026" style="position:absolute;margin-left:1in;margin-top:16.6pt;width:2in;height:.45pt;z-index:-1558528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" path="m1828800,l,,,5334r1828800,l1828800,xe" fillcolor="black" stroked="f">
                <v:path arrowok="t"/>
                <w10:wrap type="topAndBottom" anchorx="page"/>
              </v:shape>
            </w:pict>
          </mc:Fallback>
        </mc:AlternateContent>
      </w:r>
    </w:p>
    <w:p w14:paraId="0DFDC6D3" w14:textId="77777777" w:rsidR="00046465" w:rsidRDefault="008134EB">
      <w:pPr>
        <w:spacing w:before="200" w:line="242" w:lineRule="auto"/>
        <w:ind w:left="359" w:right="749"/>
        <w:rPr>
          <w:sz w:val="18"/>
        </w:rPr>
      </w:pPr>
      <w:bookmarkStart w:id="354" w:name="_bookmark205"/>
      <w:bookmarkEnd w:id="354"/>
      <w:r>
        <w:rPr>
          <w:position w:val="7"/>
          <w:sz w:val="14"/>
        </w:rPr>
        <w:t>56</w:t>
      </w:r>
      <w:r>
        <w:rPr>
          <w:sz w:val="18"/>
        </w:rPr>
        <w:t>Para.</w:t>
      </w:r>
      <w:r>
        <w:rPr>
          <w:spacing w:val="-2"/>
          <w:sz w:val="18"/>
        </w:rPr>
        <w:t xml:space="preserve"> </w:t>
      </w:r>
      <w:r>
        <w:rPr>
          <w:sz w:val="18"/>
        </w:rPr>
        <w:t>25</w:t>
      </w:r>
      <w:r>
        <w:rPr>
          <w:spacing w:val="-3"/>
          <w:sz w:val="18"/>
        </w:rPr>
        <w:t xml:space="preserve"> </w:t>
      </w:r>
      <w:r>
        <w:rPr>
          <w:sz w:val="18"/>
        </w:rPr>
        <w:t>of</w:t>
      </w:r>
      <w:r>
        <w:rPr>
          <w:spacing w:val="-2"/>
          <w:sz w:val="18"/>
        </w:rPr>
        <w:t xml:space="preserve"> </w:t>
      </w:r>
      <w:r>
        <w:rPr>
          <w:sz w:val="18"/>
        </w:rPr>
        <w:t>SFFAS</w:t>
      </w:r>
      <w:r>
        <w:rPr>
          <w:spacing w:val="-2"/>
          <w:sz w:val="18"/>
        </w:rPr>
        <w:t xml:space="preserve"> </w:t>
      </w:r>
      <w:r>
        <w:rPr>
          <w:sz w:val="18"/>
        </w:rPr>
        <w:t>17,</w:t>
      </w:r>
      <w:r>
        <w:rPr>
          <w:spacing w:val="-2"/>
          <w:sz w:val="18"/>
        </w:rPr>
        <w:t xml:space="preserve"> </w:t>
      </w:r>
      <w:r>
        <w:rPr>
          <w:i/>
          <w:sz w:val="18"/>
        </w:rPr>
        <w:t>Accounting</w:t>
      </w:r>
      <w:r>
        <w:rPr>
          <w:i/>
          <w:spacing w:val="-3"/>
          <w:sz w:val="18"/>
        </w:rPr>
        <w:t xml:space="preserve"> </w:t>
      </w:r>
      <w:r>
        <w:rPr>
          <w:i/>
          <w:sz w:val="18"/>
        </w:rPr>
        <w:t>for</w:t>
      </w:r>
      <w:r>
        <w:rPr>
          <w:i/>
          <w:spacing w:val="-2"/>
          <w:sz w:val="18"/>
        </w:rPr>
        <w:t xml:space="preserve"> </w:t>
      </w:r>
      <w:r>
        <w:rPr>
          <w:i/>
          <w:sz w:val="18"/>
        </w:rPr>
        <w:t>Social</w:t>
      </w:r>
      <w:r>
        <w:rPr>
          <w:i/>
          <w:spacing w:val="-1"/>
          <w:sz w:val="18"/>
        </w:rPr>
        <w:t xml:space="preserve"> </w:t>
      </w:r>
      <w:r>
        <w:rPr>
          <w:i/>
          <w:sz w:val="18"/>
        </w:rPr>
        <w:t>Insurance</w:t>
      </w:r>
      <w:r>
        <w:rPr>
          <w:sz w:val="18"/>
        </w:rPr>
        <w:t>,</w:t>
      </w:r>
      <w:r>
        <w:rPr>
          <w:spacing w:val="-2"/>
          <w:sz w:val="18"/>
        </w:rPr>
        <w:t xml:space="preserve"> </w:t>
      </w:r>
      <w:r>
        <w:rPr>
          <w:sz w:val="18"/>
        </w:rPr>
        <w:t>states,</w:t>
      </w:r>
      <w:r>
        <w:rPr>
          <w:spacing w:val="-2"/>
          <w:sz w:val="18"/>
        </w:rPr>
        <w:t xml:space="preserve"> </w:t>
      </w:r>
      <w:r>
        <w:rPr>
          <w:sz w:val="18"/>
        </w:rPr>
        <w:t>in</w:t>
      </w:r>
      <w:r>
        <w:rPr>
          <w:spacing w:val="-3"/>
          <w:sz w:val="18"/>
        </w:rPr>
        <w:t xml:space="preserve"> </w:t>
      </w:r>
      <w:r>
        <w:rPr>
          <w:sz w:val="18"/>
        </w:rPr>
        <w:t>part,</w:t>
      </w:r>
      <w:r>
        <w:rPr>
          <w:spacing w:val="-2"/>
          <w:sz w:val="18"/>
        </w:rPr>
        <w:t xml:space="preserve"> </w:t>
      </w:r>
      <w:r>
        <w:rPr>
          <w:sz w:val="18"/>
        </w:rPr>
        <w:t>“The</w:t>
      </w:r>
      <w:r>
        <w:rPr>
          <w:spacing w:val="-3"/>
          <w:sz w:val="18"/>
        </w:rPr>
        <w:t xml:space="preserve"> </w:t>
      </w:r>
      <w:r>
        <w:rPr>
          <w:sz w:val="18"/>
        </w:rPr>
        <w:t>projections</w:t>
      </w:r>
      <w:r>
        <w:rPr>
          <w:spacing w:val="-1"/>
          <w:sz w:val="18"/>
        </w:rPr>
        <w:t xml:space="preserve"> </w:t>
      </w:r>
      <w:r>
        <w:rPr>
          <w:sz w:val="18"/>
        </w:rPr>
        <w:t>and</w:t>
      </w:r>
      <w:r>
        <w:rPr>
          <w:spacing w:val="-3"/>
          <w:sz w:val="18"/>
        </w:rPr>
        <w:t xml:space="preserve"> </w:t>
      </w:r>
      <w:r>
        <w:rPr>
          <w:sz w:val="18"/>
        </w:rPr>
        <w:t>estimates</w:t>
      </w:r>
      <w:r>
        <w:rPr>
          <w:spacing w:val="-2"/>
          <w:sz w:val="18"/>
        </w:rPr>
        <w:t xml:space="preserve"> </w:t>
      </w:r>
      <w:r>
        <w:rPr>
          <w:sz w:val="18"/>
        </w:rPr>
        <w:t>used</w:t>
      </w:r>
      <w:r>
        <w:rPr>
          <w:spacing w:val="-3"/>
          <w:sz w:val="18"/>
        </w:rPr>
        <w:t xml:space="preserve"> </w:t>
      </w:r>
      <w:r>
        <w:rPr>
          <w:sz w:val="18"/>
        </w:rPr>
        <w:t>should be based on the entity’s best estimates of demographic and economic assumptions, taking each factor individually and incorporating future changes mandated by current law.” Certain entities prepare social insurance information using assumptions that a board of trustees prepares. Auditors should consider such assumptions to represent “reasonable</w:t>
      </w:r>
      <w:r>
        <w:rPr>
          <w:spacing w:val="-4"/>
          <w:sz w:val="18"/>
        </w:rPr>
        <w:t xml:space="preserve"> </w:t>
      </w:r>
      <w:r>
        <w:rPr>
          <w:sz w:val="18"/>
        </w:rPr>
        <w:t>estimates”</w:t>
      </w:r>
      <w:r>
        <w:rPr>
          <w:spacing w:val="-3"/>
          <w:sz w:val="18"/>
        </w:rPr>
        <w:t xml:space="preserve"> </w:t>
      </w:r>
      <w:r>
        <w:rPr>
          <w:sz w:val="18"/>
        </w:rPr>
        <w:t>if</w:t>
      </w:r>
      <w:r>
        <w:rPr>
          <w:spacing w:val="-3"/>
          <w:sz w:val="18"/>
        </w:rPr>
        <w:t xml:space="preserve"> </w:t>
      </w:r>
      <w:r>
        <w:rPr>
          <w:sz w:val="18"/>
        </w:rPr>
        <w:t>the</w:t>
      </w:r>
      <w:r>
        <w:rPr>
          <w:spacing w:val="-4"/>
          <w:sz w:val="18"/>
        </w:rPr>
        <w:t xml:space="preserve"> </w:t>
      </w:r>
      <w:r>
        <w:rPr>
          <w:sz w:val="18"/>
        </w:rPr>
        <w:t>trustees</w:t>
      </w:r>
      <w:r>
        <w:rPr>
          <w:spacing w:val="-3"/>
          <w:sz w:val="18"/>
        </w:rPr>
        <w:t xml:space="preserve"> </w:t>
      </w:r>
      <w:r>
        <w:rPr>
          <w:sz w:val="18"/>
        </w:rPr>
        <w:t>have</w:t>
      </w:r>
      <w:r>
        <w:rPr>
          <w:spacing w:val="-4"/>
          <w:sz w:val="18"/>
        </w:rPr>
        <w:t xml:space="preserve"> </w:t>
      </w:r>
      <w:r>
        <w:rPr>
          <w:sz w:val="18"/>
        </w:rPr>
        <w:t>characterized</w:t>
      </w:r>
      <w:r>
        <w:rPr>
          <w:spacing w:val="-4"/>
          <w:sz w:val="18"/>
        </w:rPr>
        <w:t xml:space="preserve"> </w:t>
      </w:r>
      <w:r>
        <w:rPr>
          <w:sz w:val="18"/>
        </w:rPr>
        <w:t>them</w:t>
      </w:r>
      <w:r>
        <w:rPr>
          <w:spacing w:val="-3"/>
          <w:sz w:val="18"/>
        </w:rPr>
        <w:t xml:space="preserve"> </w:t>
      </w:r>
      <w:r>
        <w:rPr>
          <w:sz w:val="18"/>
        </w:rPr>
        <w:t>as</w:t>
      </w:r>
      <w:r>
        <w:rPr>
          <w:spacing w:val="-3"/>
          <w:sz w:val="18"/>
        </w:rPr>
        <w:t xml:space="preserve"> </w:t>
      </w:r>
      <w:r>
        <w:rPr>
          <w:sz w:val="18"/>
        </w:rPr>
        <w:t>such</w:t>
      </w:r>
      <w:r>
        <w:rPr>
          <w:spacing w:val="-4"/>
          <w:sz w:val="18"/>
        </w:rPr>
        <w:t xml:space="preserve"> </w:t>
      </w:r>
      <w:r>
        <w:rPr>
          <w:sz w:val="18"/>
        </w:rPr>
        <w:t>and</w:t>
      </w:r>
      <w:r>
        <w:rPr>
          <w:spacing w:val="-4"/>
          <w:sz w:val="18"/>
        </w:rPr>
        <w:t xml:space="preserve"> </w:t>
      </w:r>
      <w:r>
        <w:rPr>
          <w:sz w:val="18"/>
        </w:rPr>
        <w:t>entity</w:t>
      </w:r>
      <w:r>
        <w:rPr>
          <w:spacing w:val="-3"/>
          <w:sz w:val="18"/>
        </w:rPr>
        <w:t xml:space="preserve"> </w:t>
      </w:r>
      <w:r>
        <w:rPr>
          <w:sz w:val="18"/>
        </w:rPr>
        <w:t>management</w:t>
      </w:r>
      <w:r>
        <w:rPr>
          <w:spacing w:val="-3"/>
          <w:sz w:val="18"/>
        </w:rPr>
        <w:t xml:space="preserve"> </w:t>
      </w:r>
      <w:r>
        <w:rPr>
          <w:sz w:val="18"/>
        </w:rPr>
        <w:t>has</w:t>
      </w:r>
      <w:r>
        <w:rPr>
          <w:spacing w:val="-3"/>
          <w:sz w:val="18"/>
        </w:rPr>
        <w:t xml:space="preserve"> </w:t>
      </w:r>
      <w:r>
        <w:rPr>
          <w:sz w:val="18"/>
        </w:rPr>
        <w:t>determined</w:t>
      </w:r>
      <w:r>
        <w:rPr>
          <w:spacing w:val="-4"/>
          <w:sz w:val="18"/>
        </w:rPr>
        <w:t xml:space="preserve"> </w:t>
      </w:r>
      <w:r>
        <w:rPr>
          <w:sz w:val="18"/>
        </w:rPr>
        <w:t>them to</w:t>
      </w:r>
      <w:r>
        <w:rPr>
          <w:spacing w:val="-2"/>
          <w:sz w:val="18"/>
        </w:rPr>
        <w:t xml:space="preserve"> </w:t>
      </w:r>
      <w:r>
        <w:rPr>
          <w:sz w:val="18"/>
        </w:rPr>
        <w:t>be</w:t>
      </w:r>
      <w:r>
        <w:rPr>
          <w:spacing w:val="-2"/>
          <w:sz w:val="18"/>
        </w:rPr>
        <w:t xml:space="preserve"> </w:t>
      </w:r>
      <w:r>
        <w:rPr>
          <w:sz w:val="18"/>
        </w:rPr>
        <w:t>reasonable.</w:t>
      </w:r>
      <w:r>
        <w:rPr>
          <w:spacing w:val="-1"/>
          <w:sz w:val="18"/>
        </w:rPr>
        <w:t xml:space="preserve"> </w:t>
      </w:r>
      <w:r>
        <w:rPr>
          <w:sz w:val="18"/>
        </w:rPr>
        <w:t>With</w:t>
      </w:r>
      <w:r>
        <w:rPr>
          <w:spacing w:val="-2"/>
          <w:sz w:val="18"/>
        </w:rPr>
        <w:t xml:space="preserve"> </w:t>
      </w:r>
      <w:r>
        <w:rPr>
          <w:sz w:val="18"/>
        </w:rPr>
        <w:t>respect</w:t>
      </w:r>
      <w:r>
        <w:rPr>
          <w:spacing w:val="-1"/>
          <w:sz w:val="18"/>
        </w:rPr>
        <w:t xml:space="preserve"> </w:t>
      </w:r>
      <w:r>
        <w:rPr>
          <w:sz w:val="18"/>
        </w:rPr>
        <w:t>to</w:t>
      </w:r>
      <w:r>
        <w:rPr>
          <w:spacing w:val="-2"/>
          <w:sz w:val="18"/>
        </w:rPr>
        <w:t xml:space="preserve"> </w:t>
      </w:r>
      <w:r>
        <w:rPr>
          <w:sz w:val="18"/>
        </w:rPr>
        <w:t>these</w:t>
      </w:r>
      <w:r>
        <w:rPr>
          <w:spacing w:val="-2"/>
          <w:sz w:val="18"/>
        </w:rPr>
        <w:t xml:space="preserve"> </w:t>
      </w:r>
      <w:r>
        <w:rPr>
          <w:sz w:val="18"/>
        </w:rPr>
        <w:t>assumptions,</w:t>
      </w:r>
      <w:r>
        <w:rPr>
          <w:spacing w:val="-1"/>
          <w:sz w:val="18"/>
        </w:rPr>
        <w:t xml:space="preserve"> </w:t>
      </w:r>
      <w:r>
        <w:rPr>
          <w:sz w:val="18"/>
        </w:rPr>
        <w:t>the</w:t>
      </w:r>
      <w:r>
        <w:rPr>
          <w:spacing w:val="-2"/>
          <w:sz w:val="18"/>
        </w:rPr>
        <w:t xml:space="preserve"> </w:t>
      </w:r>
      <w:r>
        <w:rPr>
          <w:sz w:val="18"/>
        </w:rPr>
        <w:t>auditor</w:t>
      </w:r>
      <w:r>
        <w:rPr>
          <w:spacing w:val="-1"/>
          <w:sz w:val="18"/>
        </w:rPr>
        <w:t xml:space="preserve"> </w:t>
      </w:r>
      <w:r>
        <w:rPr>
          <w:sz w:val="18"/>
        </w:rPr>
        <w:t>should</w:t>
      </w:r>
      <w:r>
        <w:rPr>
          <w:spacing w:val="-2"/>
          <w:sz w:val="18"/>
        </w:rPr>
        <w:t xml:space="preserve"> </w:t>
      </w:r>
      <w:r>
        <w:rPr>
          <w:sz w:val="18"/>
        </w:rPr>
        <w:t>perform</w:t>
      </w:r>
      <w:r>
        <w:rPr>
          <w:spacing w:val="-1"/>
          <w:sz w:val="18"/>
        </w:rPr>
        <w:t xml:space="preserve"> </w:t>
      </w:r>
      <w:r>
        <w:rPr>
          <w:sz w:val="18"/>
        </w:rPr>
        <w:t>audit</w:t>
      </w:r>
      <w:r>
        <w:rPr>
          <w:spacing w:val="-1"/>
          <w:sz w:val="18"/>
        </w:rPr>
        <w:t xml:space="preserve"> </w:t>
      </w:r>
      <w:r>
        <w:rPr>
          <w:sz w:val="18"/>
        </w:rPr>
        <w:t>procedures</w:t>
      </w:r>
      <w:r>
        <w:rPr>
          <w:spacing w:val="-1"/>
          <w:sz w:val="18"/>
        </w:rPr>
        <w:t xml:space="preserve"> </w:t>
      </w:r>
      <w:r>
        <w:rPr>
          <w:sz w:val="18"/>
        </w:rPr>
        <w:t>that are</w:t>
      </w:r>
      <w:r>
        <w:rPr>
          <w:spacing w:val="-2"/>
          <w:sz w:val="18"/>
        </w:rPr>
        <w:t xml:space="preserve"> </w:t>
      </w:r>
      <w:r>
        <w:rPr>
          <w:sz w:val="18"/>
        </w:rPr>
        <w:t>consistent with the guidance in paras. 9 through 37 of SOP 04-1.</w:t>
      </w:r>
    </w:p>
    <w:p w14:paraId="0DFDC6D4" w14:textId="77777777" w:rsidR="00046465" w:rsidRDefault="00046465">
      <w:pPr>
        <w:spacing w:line="242" w:lineRule="auto"/>
        <w:rPr>
          <w:sz w:val="18"/>
        </w:rPr>
        <w:sectPr w:rsidR="00046465">
          <w:pgSz w:w="12240" w:h="15840"/>
          <w:pgMar w:top="1600" w:right="720" w:bottom="940" w:left="1080" w:header="721" w:footer="757" w:gutter="0"/>
          <w:cols w:space="720"/>
        </w:sectPr>
      </w:pPr>
    </w:p>
    <w:p w14:paraId="0DFDC6D5" w14:textId="77777777" w:rsidR="00046465" w:rsidRDefault="008134EB">
      <w:pPr>
        <w:pStyle w:val="BodyText"/>
        <w:spacing w:before="121"/>
        <w:ind w:left="1800" w:right="749"/>
        <w:rPr>
          <w:position w:val="7"/>
          <w:sz w:val="14"/>
        </w:rPr>
      </w:pPr>
      <w:r>
        <w:rPr>
          <w:i/>
        </w:rPr>
        <w:lastRenderedPageBreak/>
        <w:t>700</w:t>
      </w:r>
      <w:r>
        <w:t>, provides an illustration of an auditor’s report containing an opinion on component</w:t>
      </w:r>
      <w:r>
        <w:rPr>
          <w:spacing w:val="-4"/>
        </w:rPr>
        <w:t xml:space="preserve"> </w:t>
      </w:r>
      <w:r>
        <w:t>financial</w:t>
      </w:r>
      <w:r>
        <w:rPr>
          <w:spacing w:val="-5"/>
        </w:rPr>
        <w:t xml:space="preserve"> </w:t>
      </w:r>
      <w:r>
        <w:t>statements</w:t>
      </w:r>
      <w:r>
        <w:rPr>
          <w:spacing w:val="-4"/>
        </w:rPr>
        <w:t xml:space="preserve"> </w:t>
      </w:r>
      <w:r>
        <w:t>that</w:t>
      </w:r>
      <w:r>
        <w:rPr>
          <w:spacing w:val="-4"/>
        </w:rPr>
        <w:t xml:space="preserve"> </w:t>
      </w:r>
      <w:r>
        <w:t>include</w:t>
      </w:r>
      <w:r>
        <w:rPr>
          <w:spacing w:val="-4"/>
        </w:rPr>
        <w:t xml:space="preserve"> </w:t>
      </w:r>
      <w:r>
        <w:t>sustainability</w:t>
      </w:r>
      <w:r>
        <w:rPr>
          <w:spacing w:val="-4"/>
        </w:rPr>
        <w:t xml:space="preserve"> </w:t>
      </w:r>
      <w:r>
        <w:t>financial</w:t>
      </w:r>
      <w:r>
        <w:rPr>
          <w:spacing w:val="-4"/>
        </w:rPr>
        <w:t xml:space="preserve"> </w:t>
      </w:r>
      <w:r>
        <w:t>statements.</w:t>
      </w:r>
      <w:hyperlink w:anchor="_bookmark206" w:history="1">
        <w:r>
          <w:rPr>
            <w:position w:val="7"/>
            <w:sz w:val="14"/>
          </w:rPr>
          <w:t>57</w:t>
        </w:r>
      </w:hyperlink>
    </w:p>
    <w:p w14:paraId="0DFDC6D6" w14:textId="77777777" w:rsidR="00046465" w:rsidRDefault="00046465">
      <w:pPr>
        <w:pStyle w:val="BodyText"/>
        <w:rPr>
          <w:sz w:val="20"/>
        </w:rPr>
      </w:pPr>
    </w:p>
    <w:p w14:paraId="0DFDC6D7" w14:textId="77777777" w:rsidR="00046465" w:rsidRDefault="00046465">
      <w:pPr>
        <w:pStyle w:val="BodyText"/>
        <w:rPr>
          <w:sz w:val="20"/>
        </w:rPr>
      </w:pPr>
    </w:p>
    <w:p w14:paraId="0DFDC6D8" w14:textId="77777777" w:rsidR="00046465" w:rsidRDefault="00046465">
      <w:pPr>
        <w:pStyle w:val="BodyText"/>
        <w:rPr>
          <w:sz w:val="20"/>
        </w:rPr>
      </w:pPr>
    </w:p>
    <w:p w14:paraId="0DFDC6D9" w14:textId="77777777" w:rsidR="00046465" w:rsidRDefault="00046465">
      <w:pPr>
        <w:pStyle w:val="BodyText"/>
        <w:rPr>
          <w:sz w:val="20"/>
        </w:rPr>
      </w:pPr>
    </w:p>
    <w:p w14:paraId="0DFDC6DA" w14:textId="77777777" w:rsidR="00046465" w:rsidRDefault="00046465">
      <w:pPr>
        <w:pStyle w:val="BodyText"/>
        <w:rPr>
          <w:sz w:val="20"/>
        </w:rPr>
      </w:pPr>
    </w:p>
    <w:p w14:paraId="0DFDC6DB" w14:textId="77777777" w:rsidR="00046465" w:rsidRDefault="00046465">
      <w:pPr>
        <w:pStyle w:val="BodyText"/>
        <w:rPr>
          <w:sz w:val="20"/>
        </w:rPr>
      </w:pPr>
    </w:p>
    <w:p w14:paraId="0DFDC6DC" w14:textId="77777777" w:rsidR="00046465" w:rsidRDefault="00046465">
      <w:pPr>
        <w:pStyle w:val="BodyText"/>
        <w:rPr>
          <w:sz w:val="20"/>
        </w:rPr>
      </w:pPr>
    </w:p>
    <w:p w14:paraId="0DFDC6DD" w14:textId="77777777" w:rsidR="00046465" w:rsidRDefault="00046465">
      <w:pPr>
        <w:pStyle w:val="BodyText"/>
        <w:rPr>
          <w:sz w:val="20"/>
        </w:rPr>
      </w:pPr>
    </w:p>
    <w:p w14:paraId="0DFDC6DE" w14:textId="77777777" w:rsidR="00046465" w:rsidRDefault="00046465">
      <w:pPr>
        <w:pStyle w:val="BodyText"/>
        <w:rPr>
          <w:sz w:val="20"/>
        </w:rPr>
      </w:pPr>
    </w:p>
    <w:p w14:paraId="0DFDC6DF" w14:textId="77777777" w:rsidR="00046465" w:rsidRDefault="00046465">
      <w:pPr>
        <w:pStyle w:val="BodyText"/>
        <w:rPr>
          <w:sz w:val="20"/>
        </w:rPr>
      </w:pPr>
    </w:p>
    <w:p w14:paraId="0DFDC6E0" w14:textId="77777777" w:rsidR="00046465" w:rsidRDefault="00046465">
      <w:pPr>
        <w:pStyle w:val="BodyText"/>
        <w:rPr>
          <w:sz w:val="20"/>
        </w:rPr>
      </w:pPr>
    </w:p>
    <w:p w14:paraId="0DFDC6E1" w14:textId="77777777" w:rsidR="00046465" w:rsidRDefault="00046465">
      <w:pPr>
        <w:pStyle w:val="BodyText"/>
        <w:rPr>
          <w:sz w:val="20"/>
        </w:rPr>
      </w:pPr>
    </w:p>
    <w:p w14:paraId="0DFDC6E2" w14:textId="77777777" w:rsidR="00046465" w:rsidRDefault="00046465">
      <w:pPr>
        <w:pStyle w:val="BodyText"/>
        <w:rPr>
          <w:sz w:val="20"/>
        </w:rPr>
      </w:pPr>
    </w:p>
    <w:p w14:paraId="0DFDC6E3" w14:textId="77777777" w:rsidR="00046465" w:rsidRDefault="00046465">
      <w:pPr>
        <w:pStyle w:val="BodyText"/>
        <w:rPr>
          <w:sz w:val="20"/>
        </w:rPr>
      </w:pPr>
    </w:p>
    <w:p w14:paraId="0DFDC6E4" w14:textId="77777777" w:rsidR="00046465" w:rsidRDefault="00046465">
      <w:pPr>
        <w:pStyle w:val="BodyText"/>
        <w:rPr>
          <w:sz w:val="20"/>
        </w:rPr>
      </w:pPr>
    </w:p>
    <w:p w14:paraId="0DFDC6E5" w14:textId="77777777" w:rsidR="00046465" w:rsidRDefault="00046465">
      <w:pPr>
        <w:pStyle w:val="BodyText"/>
        <w:rPr>
          <w:sz w:val="20"/>
        </w:rPr>
      </w:pPr>
    </w:p>
    <w:p w14:paraId="0DFDC6E6" w14:textId="77777777" w:rsidR="00046465" w:rsidRDefault="00046465">
      <w:pPr>
        <w:pStyle w:val="BodyText"/>
        <w:rPr>
          <w:sz w:val="20"/>
        </w:rPr>
      </w:pPr>
    </w:p>
    <w:p w14:paraId="0DFDC6E7" w14:textId="77777777" w:rsidR="00046465" w:rsidRDefault="00046465">
      <w:pPr>
        <w:pStyle w:val="BodyText"/>
        <w:rPr>
          <w:sz w:val="20"/>
        </w:rPr>
      </w:pPr>
    </w:p>
    <w:p w14:paraId="0DFDC6E8" w14:textId="77777777" w:rsidR="00046465" w:rsidRDefault="00046465">
      <w:pPr>
        <w:pStyle w:val="BodyText"/>
        <w:rPr>
          <w:sz w:val="20"/>
        </w:rPr>
      </w:pPr>
    </w:p>
    <w:p w14:paraId="0DFDC6E9" w14:textId="77777777" w:rsidR="00046465" w:rsidRDefault="00046465">
      <w:pPr>
        <w:pStyle w:val="BodyText"/>
        <w:rPr>
          <w:sz w:val="20"/>
        </w:rPr>
      </w:pPr>
    </w:p>
    <w:p w14:paraId="0DFDC6EA" w14:textId="77777777" w:rsidR="00046465" w:rsidRDefault="00046465">
      <w:pPr>
        <w:pStyle w:val="BodyText"/>
        <w:rPr>
          <w:sz w:val="20"/>
        </w:rPr>
      </w:pPr>
    </w:p>
    <w:p w14:paraId="0DFDC6EB" w14:textId="77777777" w:rsidR="00046465" w:rsidRDefault="00046465">
      <w:pPr>
        <w:pStyle w:val="BodyText"/>
        <w:rPr>
          <w:sz w:val="20"/>
        </w:rPr>
      </w:pPr>
    </w:p>
    <w:p w14:paraId="0DFDC6EC" w14:textId="77777777" w:rsidR="00046465" w:rsidRDefault="00046465">
      <w:pPr>
        <w:pStyle w:val="BodyText"/>
        <w:rPr>
          <w:sz w:val="20"/>
        </w:rPr>
      </w:pPr>
    </w:p>
    <w:p w14:paraId="0DFDC6ED" w14:textId="77777777" w:rsidR="00046465" w:rsidRDefault="00046465">
      <w:pPr>
        <w:pStyle w:val="BodyText"/>
        <w:rPr>
          <w:sz w:val="20"/>
        </w:rPr>
      </w:pPr>
    </w:p>
    <w:p w14:paraId="0DFDC6EE" w14:textId="77777777" w:rsidR="00046465" w:rsidRDefault="00046465">
      <w:pPr>
        <w:pStyle w:val="BodyText"/>
        <w:rPr>
          <w:sz w:val="20"/>
        </w:rPr>
      </w:pPr>
    </w:p>
    <w:p w14:paraId="0DFDC6EF" w14:textId="77777777" w:rsidR="00046465" w:rsidRDefault="00046465">
      <w:pPr>
        <w:pStyle w:val="BodyText"/>
        <w:rPr>
          <w:sz w:val="20"/>
        </w:rPr>
      </w:pPr>
    </w:p>
    <w:p w14:paraId="0DFDC6F0" w14:textId="77777777" w:rsidR="00046465" w:rsidRDefault="00046465">
      <w:pPr>
        <w:pStyle w:val="BodyText"/>
        <w:rPr>
          <w:sz w:val="20"/>
        </w:rPr>
      </w:pPr>
    </w:p>
    <w:p w14:paraId="0DFDC6F1" w14:textId="77777777" w:rsidR="00046465" w:rsidRDefault="00046465">
      <w:pPr>
        <w:pStyle w:val="BodyText"/>
        <w:rPr>
          <w:sz w:val="20"/>
        </w:rPr>
      </w:pPr>
    </w:p>
    <w:p w14:paraId="0DFDC6F2" w14:textId="77777777" w:rsidR="00046465" w:rsidRDefault="00046465">
      <w:pPr>
        <w:pStyle w:val="BodyText"/>
        <w:rPr>
          <w:sz w:val="20"/>
        </w:rPr>
      </w:pPr>
    </w:p>
    <w:p w14:paraId="0DFDC6F3" w14:textId="77777777" w:rsidR="00046465" w:rsidRDefault="00046465">
      <w:pPr>
        <w:pStyle w:val="BodyText"/>
        <w:rPr>
          <w:sz w:val="20"/>
        </w:rPr>
      </w:pPr>
    </w:p>
    <w:p w14:paraId="0DFDC6F4" w14:textId="77777777" w:rsidR="00046465" w:rsidRDefault="00046465">
      <w:pPr>
        <w:pStyle w:val="BodyText"/>
        <w:rPr>
          <w:sz w:val="20"/>
        </w:rPr>
      </w:pPr>
    </w:p>
    <w:p w14:paraId="0DFDC6F5" w14:textId="77777777" w:rsidR="00046465" w:rsidRDefault="00046465">
      <w:pPr>
        <w:pStyle w:val="BodyText"/>
        <w:rPr>
          <w:sz w:val="20"/>
        </w:rPr>
      </w:pPr>
    </w:p>
    <w:p w14:paraId="0DFDC6F6" w14:textId="77777777" w:rsidR="00046465" w:rsidRDefault="00046465">
      <w:pPr>
        <w:pStyle w:val="BodyText"/>
        <w:rPr>
          <w:sz w:val="20"/>
        </w:rPr>
      </w:pPr>
    </w:p>
    <w:p w14:paraId="0DFDC6F7" w14:textId="77777777" w:rsidR="00046465" w:rsidRDefault="00046465">
      <w:pPr>
        <w:pStyle w:val="BodyText"/>
        <w:rPr>
          <w:sz w:val="20"/>
        </w:rPr>
      </w:pPr>
    </w:p>
    <w:p w14:paraId="0DFDC6F8" w14:textId="77777777" w:rsidR="00046465" w:rsidRDefault="00046465">
      <w:pPr>
        <w:pStyle w:val="BodyText"/>
        <w:rPr>
          <w:sz w:val="20"/>
        </w:rPr>
      </w:pPr>
    </w:p>
    <w:p w14:paraId="0DFDC6F9" w14:textId="77777777" w:rsidR="00046465" w:rsidRDefault="00046465">
      <w:pPr>
        <w:pStyle w:val="BodyText"/>
        <w:rPr>
          <w:sz w:val="20"/>
        </w:rPr>
      </w:pPr>
    </w:p>
    <w:p w14:paraId="0DFDC6FA" w14:textId="77777777" w:rsidR="00046465" w:rsidRDefault="00046465">
      <w:pPr>
        <w:pStyle w:val="BodyText"/>
        <w:rPr>
          <w:sz w:val="20"/>
        </w:rPr>
      </w:pPr>
    </w:p>
    <w:p w14:paraId="0DFDC6FB" w14:textId="77777777" w:rsidR="00046465" w:rsidRDefault="00046465">
      <w:pPr>
        <w:pStyle w:val="BodyText"/>
        <w:rPr>
          <w:sz w:val="20"/>
        </w:rPr>
      </w:pPr>
    </w:p>
    <w:p w14:paraId="0DFDC6FC" w14:textId="77777777" w:rsidR="00046465" w:rsidRDefault="00046465">
      <w:pPr>
        <w:pStyle w:val="BodyText"/>
        <w:rPr>
          <w:sz w:val="20"/>
        </w:rPr>
      </w:pPr>
    </w:p>
    <w:p w14:paraId="0DFDC6FD" w14:textId="77777777" w:rsidR="00046465" w:rsidRDefault="00046465">
      <w:pPr>
        <w:pStyle w:val="BodyText"/>
        <w:rPr>
          <w:sz w:val="20"/>
        </w:rPr>
      </w:pPr>
    </w:p>
    <w:p w14:paraId="0DFDC6FE" w14:textId="77777777" w:rsidR="00046465" w:rsidRDefault="00046465">
      <w:pPr>
        <w:pStyle w:val="BodyText"/>
        <w:rPr>
          <w:sz w:val="20"/>
        </w:rPr>
      </w:pPr>
    </w:p>
    <w:p w14:paraId="0DFDC6FF" w14:textId="77777777" w:rsidR="00046465" w:rsidRDefault="00046465">
      <w:pPr>
        <w:pStyle w:val="BodyText"/>
        <w:rPr>
          <w:sz w:val="20"/>
        </w:rPr>
      </w:pPr>
    </w:p>
    <w:p w14:paraId="0DFDC700" w14:textId="77777777" w:rsidR="00046465" w:rsidRDefault="00046465">
      <w:pPr>
        <w:pStyle w:val="BodyText"/>
        <w:rPr>
          <w:sz w:val="20"/>
        </w:rPr>
      </w:pPr>
    </w:p>
    <w:p w14:paraId="0DFDC701" w14:textId="77777777" w:rsidR="00046465" w:rsidRDefault="00046465">
      <w:pPr>
        <w:pStyle w:val="BodyText"/>
        <w:rPr>
          <w:sz w:val="20"/>
        </w:rPr>
      </w:pPr>
    </w:p>
    <w:p w14:paraId="0DFDC702" w14:textId="77777777" w:rsidR="00046465" w:rsidRDefault="00046465">
      <w:pPr>
        <w:pStyle w:val="BodyText"/>
        <w:rPr>
          <w:sz w:val="20"/>
        </w:rPr>
      </w:pPr>
    </w:p>
    <w:p w14:paraId="0DFDC703" w14:textId="77777777" w:rsidR="00046465" w:rsidRDefault="00046465">
      <w:pPr>
        <w:pStyle w:val="BodyText"/>
        <w:rPr>
          <w:sz w:val="20"/>
        </w:rPr>
      </w:pPr>
    </w:p>
    <w:p w14:paraId="0DFDC704" w14:textId="77777777" w:rsidR="00046465" w:rsidRDefault="00046465">
      <w:pPr>
        <w:pStyle w:val="BodyText"/>
        <w:rPr>
          <w:sz w:val="20"/>
        </w:rPr>
      </w:pPr>
    </w:p>
    <w:p w14:paraId="0DFDC705" w14:textId="77777777" w:rsidR="00046465" w:rsidRDefault="00046465">
      <w:pPr>
        <w:pStyle w:val="BodyText"/>
        <w:rPr>
          <w:sz w:val="20"/>
        </w:rPr>
      </w:pPr>
    </w:p>
    <w:p w14:paraId="0DFDC706" w14:textId="77777777" w:rsidR="00046465" w:rsidRDefault="008134EB">
      <w:pPr>
        <w:pStyle w:val="BodyText"/>
        <w:spacing w:before="162"/>
        <w:rPr>
          <w:sz w:val="20"/>
        </w:rPr>
      </w:pPr>
      <w:r>
        <w:rPr>
          <w:noProof/>
          <w:sz w:val="20"/>
        </w:rPr>
        <mc:AlternateContent>
          <mc:Choice Requires="wps">
            <w:drawing>
              <wp:anchor distT="0" distB="0" distL="0" distR="0" simplePos="0" relativeHeight="487731712" behindDoc="1" locked="0" layoutInCell="1" allowOverlap="1" wp14:anchorId="0DFDD745" wp14:editId="0DFDD746">
                <wp:simplePos x="0" y="0"/>
                <wp:positionH relativeFrom="page">
                  <wp:posOffset>914400</wp:posOffset>
                </wp:positionH>
                <wp:positionV relativeFrom="paragraph">
                  <wp:posOffset>264655</wp:posOffset>
                </wp:positionV>
                <wp:extent cx="1828800" cy="5715"/>
                <wp:effectExtent l="0" t="0" r="0" b="0"/>
                <wp:wrapTopAndBottom/>
                <wp:docPr id="1062" name="Graphic 10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2CAA5D" id="Graphic 1062" o:spid="_x0000_s1026" style="position:absolute;margin-left:1in;margin-top:20.85pt;width:2in;height:.45pt;z-index:-1558476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" path="m1828800,l,,,5334r1828800,l1828800,xe" fillcolor="black" stroked="f">
                <v:path arrowok="t"/>
                <w10:wrap type="topAndBottom" anchorx="page"/>
              </v:shape>
            </w:pict>
          </mc:Fallback>
        </mc:AlternateContent>
      </w:r>
    </w:p>
    <w:p w14:paraId="0DFDC707" w14:textId="77777777" w:rsidR="00046465" w:rsidRDefault="008134EB">
      <w:pPr>
        <w:spacing w:before="200" w:line="244" w:lineRule="auto"/>
        <w:ind w:left="360" w:right="773" w:hanging="1"/>
        <w:rPr>
          <w:sz w:val="18"/>
        </w:rPr>
      </w:pPr>
      <w:bookmarkStart w:id="355" w:name="_bookmark206"/>
      <w:bookmarkEnd w:id="355"/>
      <w:r>
        <w:rPr>
          <w:position w:val="7"/>
          <w:sz w:val="14"/>
        </w:rPr>
        <w:t>57</w:t>
      </w:r>
      <w:r>
        <w:rPr>
          <w:sz w:val="18"/>
        </w:rPr>
        <w:t>The</w:t>
      </w:r>
      <w:r>
        <w:rPr>
          <w:spacing w:val="-4"/>
          <w:sz w:val="18"/>
        </w:rPr>
        <w:t xml:space="preserve"> </w:t>
      </w:r>
      <w:r>
        <w:rPr>
          <w:sz w:val="18"/>
        </w:rPr>
        <w:t>sustainability</w:t>
      </w:r>
      <w:r>
        <w:rPr>
          <w:spacing w:val="-3"/>
          <w:sz w:val="18"/>
        </w:rPr>
        <w:t xml:space="preserve"> </w:t>
      </w:r>
      <w:r>
        <w:rPr>
          <w:sz w:val="18"/>
        </w:rPr>
        <w:t>financial</w:t>
      </w:r>
      <w:r>
        <w:rPr>
          <w:spacing w:val="-3"/>
          <w:sz w:val="18"/>
        </w:rPr>
        <w:t xml:space="preserve"> </w:t>
      </w:r>
      <w:r>
        <w:rPr>
          <w:sz w:val="18"/>
        </w:rPr>
        <w:t>statements</w:t>
      </w:r>
      <w:r>
        <w:rPr>
          <w:spacing w:val="-3"/>
          <w:sz w:val="18"/>
        </w:rPr>
        <w:t xml:space="preserve"> </w:t>
      </w:r>
      <w:r>
        <w:rPr>
          <w:sz w:val="18"/>
        </w:rPr>
        <w:t>do</w:t>
      </w:r>
      <w:r>
        <w:rPr>
          <w:spacing w:val="-4"/>
          <w:sz w:val="18"/>
        </w:rPr>
        <w:t xml:space="preserve"> </w:t>
      </w:r>
      <w:r>
        <w:rPr>
          <w:sz w:val="18"/>
        </w:rPr>
        <w:t>not</w:t>
      </w:r>
      <w:r>
        <w:rPr>
          <w:spacing w:val="-3"/>
          <w:sz w:val="18"/>
        </w:rPr>
        <w:t xml:space="preserve"> </w:t>
      </w:r>
      <w:r>
        <w:rPr>
          <w:sz w:val="18"/>
        </w:rPr>
        <w:t>articulate</w:t>
      </w:r>
      <w:r>
        <w:rPr>
          <w:spacing w:val="-4"/>
          <w:sz w:val="18"/>
        </w:rPr>
        <w:t xml:space="preserve"> </w:t>
      </w:r>
      <w:r>
        <w:rPr>
          <w:sz w:val="18"/>
        </w:rPr>
        <w:t>with</w:t>
      </w:r>
      <w:r>
        <w:rPr>
          <w:spacing w:val="-4"/>
          <w:sz w:val="18"/>
        </w:rPr>
        <w:t xml:space="preserve"> </w:t>
      </w:r>
      <w:r>
        <w:rPr>
          <w:sz w:val="18"/>
        </w:rPr>
        <w:t>the</w:t>
      </w:r>
      <w:r>
        <w:rPr>
          <w:spacing w:val="-4"/>
          <w:sz w:val="18"/>
        </w:rPr>
        <w:t xml:space="preserve"> </w:t>
      </w:r>
      <w:r>
        <w:rPr>
          <w:sz w:val="18"/>
        </w:rPr>
        <w:t>consolidated</w:t>
      </w:r>
      <w:r>
        <w:rPr>
          <w:spacing w:val="-4"/>
          <w:sz w:val="18"/>
        </w:rPr>
        <w:t xml:space="preserve"> </w:t>
      </w:r>
      <w:r>
        <w:rPr>
          <w:sz w:val="18"/>
        </w:rPr>
        <w:t>accrual-based</w:t>
      </w:r>
      <w:r>
        <w:rPr>
          <w:spacing w:val="-4"/>
          <w:sz w:val="18"/>
        </w:rPr>
        <w:t xml:space="preserve"> </w:t>
      </w:r>
      <w:r>
        <w:rPr>
          <w:sz w:val="18"/>
        </w:rPr>
        <w:t>financial</w:t>
      </w:r>
      <w:r>
        <w:rPr>
          <w:spacing w:val="-3"/>
          <w:sz w:val="18"/>
        </w:rPr>
        <w:t xml:space="preserve"> </w:t>
      </w:r>
      <w:r>
        <w:rPr>
          <w:sz w:val="18"/>
        </w:rPr>
        <w:t>statements. For that reason, the opinion on the sustainability financial statements ordinarily will not affect the opinion on the consolidated accrual-based financial statements.</w:t>
      </w:r>
    </w:p>
    <w:p w14:paraId="0DFDC708" w14:textId="77777777" w:rsidR="00046465" w:rsidRDefault="00046465">
      <w:pPr>
        <w:spacing w:line="244" w:lineRule="auto"/>
        <w:rPr>
          <w:sz w:val="18"/>
        </w:rPr>
        <w:sectPr w:rsidR="00046465">
          <w:pgSz w:w="12240" w:h="15840"/>
          <w:pgMar w:top="1600" w:right="720" w:bottom="940" w:left="1080" w:header="721" w:footer="757" w:gutter="0"/>
          <w:cols w:space="720"/>
        </w:sectPr>
      </w:pPr>
    </w:p>
    <w:p w14:paraId="0DFDC709" w14:textId="77777777" w:rsidR="00046465" w:rsidRDefault="008134EB">
      <w:pPr>
        <w:spacing w:line="20" w:lineRule="exact"/>
        <w:ind w:left="434"/>
        <w:rPr>
          <w:sz w:val="2"/>
        </w:rPr>
      </w:pPr>
      <w:r>
        <w:rPr>
          <w:noProof/>
          <w:sz w:val="2"/>
        </w:rPr>
        <w:lastRenderedPageBreak/>
        <mc:AlternateContent>
          <mc:Choice Requires="wpg">
            <w:drawing>
              <wp:inline distT="0" distB="0" distL="0" distR="0" wp14:anchorId="0DFDD747" wp14:editId="0DFDD748">
                <wp:extent cx="5960110" cy="9525"/>
                <wp:effectExtent l="9525" t="0" r="2539" b="0"/>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0110" cy="9525"/>
                          <a:chOff x="0" y="0"/>
                          <a:chExt cx="5960110" cy="9525"/>
                        </a:xfrm>
                      </wpg:grpSpPr>
                      <wps:wsp>
                        <wps:cNvPr id="1064" name="Graphic 1064"/>
                        <wps:cNvSpPr/>
                        <wps:spPr>
                          <a:xfrm>
                            <a:off x="0" y="4762"/>
                            <a:ext cx="5960110" cy="1270"/>
                          </a:xfrm>
                          <a:custGeom>
                            <a:avLst/>
                            <a:gdLst/>
                            <a:ahLst/>
                            <a:cxnLst/>
                            <a:rect l="l" t="t" r="r" b="b"/>
                            <a:pathLst>
                              <a:path w="5960110">
                                <a:moveTo>
                                  <a:pt x="0" y="0"/>
                                </a:moveTo>
                                <a:lnTo>
                                  <a:pt x="596011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EEFB800" id="Group 1063" o:spid="_x0000_s1026" style="width:469.3pt;height:.75pt;mso-position-horizontal-relative:char;mso-position-vertical-relative:line" coordsize="596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">
                <v:shape id="Graphic 1064" o:spid="_x0000_s1027" style="position:absolute;top:47;width:59601;height:13;visibility:visible;mso-wrap-style:square;v-text-anchor:top" coordsize="5960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" path="m,l5960110,e" filled="f">
                  <v:path arrowok="t"/>
                </v:shape>
                <w10:anchorlock/>
              </v:group>
            </w:pict>
          </mc:Fallback>
        </mc:AlternateContent>
      </w:r>
    </w:p>
    <w:p w14:paraId="0DFDC70A" w14:textId="77777777" w:rsidR="00046465" w:rsidRDefault="00046465">
      <w:pPr>
        <w:pStyle w:val="BodyText"/>
        <w:spacing w:before="118"/>
        <w:rPr>
          <w:sz w:val="60"/>
        </w:rPr>
      </w:pPr>
    </w:p>
    <w:p w14:paraId="0DFDC70B" w14:textId="77777777" w:rsidR="00046465" w:rsidRDefault="008134EB">
      <w:pPr>
        <w:pStyle w:val="Heading1"/>
        <w:ind w:left="5552"/>
      </w:pPr>
      <w:bookmarkStart w:id="356" w:name="Section_1000_-_Reporting_Implementation_"/>
      <w:bookmarkEnd w:id="356"/>
      <w:r>
        <w:t>SECTION</w:t>
      </w:r>
      <w:r>
        <w:rPr>
          <w:spacing w:val="-4"/>
        </w:rPr>
        <w:t xml:space="preserve"> 1000</w:t>
      </w:r>
    </w:p>
    <w:p w14:paraId="0DFDC70C" w14:textId="77777777" w:rsidR="00046465" w:rsidRDefault="00046465">
      <w:pPr>
        <w:pStyle w:val="BodyText"/>
        <w:rPr>
          <w:sz w:val="20"/>
        </w:rPr>
      </w:pPr>
    </w:p>
    <w:p w14:paraId="0DFDC70D" w14:textId="77777777" w:rsidR="00046465" w:rsidRDefault="008134EB">
      <w:pPr>
        <w:pStyle w:val="BodyText"/>
        <w:spacing w:before="129"/>
        <w:rPr>
          <w:sz w:val="20"/>
        </w:rPr>
      </w:pPr>
      <w:r>
        <w:rPr>
          <w:noProof/>
          <w:sz w:val="20"/>
        </w:rPr>
        <mc:AlternateContent>
          <mc:Choice Requires="wps">
            <w:drawing>
              <wp:anchor distT="0" distB="0" distL="0" distR="0" simplePos="0" relativeHeight="487732736" behindDoc="1" locked="0" layoutInCell="1" allowOverlap="1" wp14:anchorId="0DFDD749" wp14:editId="0DFDD74A">
                <wp:simplePos x="0" y="0"/>
                <wp:positionH relativeFrom="page">
                  <wp:posOffset>914400</wp:posOffset>
                </wp:positionH>
                <wp:positionV relativeFrom="paragraph">
                  <wp:posOffset>243291</wp:posOffset>
                </wp:positionV>
                <wp:extent cx="5943600" cy="91440"/>
                <wp:effectExtent l="0" t="0" r="0" b="0"/>
                <wp:wrapTopAndBottom/>
                <wp:docPr id="1065" name="Graphic 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3600" cy="91440"/>
                        </a:xfrm>
                        <a:custGeom>
                          <a:avLst/>
                          <a:gdLst/>
                          <a:ahLst/>
                          <a:cxnLst/>
                          <a:rect l="l" t="t" r="r" b="b"/>
                          <a:pathLst>
                            <a:path w="5943600" h="91440">
                              <a:moveTo>
                                <a:pt x="5943600" y="0"/>
                              </a:moveTo>
                              <a:lnTo>
                                <a:pt x="0" y="0"/>
                              </a:lnTo>
                              <a:lnTo>
                                <a:pt x="0" y="91440"/>
                              </a:lnTo>
                              <a:lnTo>
                                <a:pt x="5943600" y="91440"/>
                              </a:lnTo>
                              <a:lnTo>
                                <a:pt x="59436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8347EC" id="Graphic 1065" o:spid="_x0000_s1026" style="position:absolute;margin-left:1in;margin-top:19.15pt;width:468pt;height:7.2pt;z-index:-15583744;visibility:visible;mso-wrap-style:square;mso-wrap-distance-left:0;mso-wrap-distance-top:0;mso-wrap-distance-right:0;mso-wrap-distance-bottom:0;mso-position-horizontal:absolute;mso-position-horizontal-relative:page;mso-position-vertical:absolute;mso-position-vertical-relative:text;v-text-anchor:top" coordsize="594360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" path="m5943600,l,,,91440r5943600,l5943600,xe" fillcolor="black" stroked="f">
                <v:path arrowok="t"/>
                <w10:wrap type="topAndBottom" anchorx="page"/>
              </v:shape>
            </w:pict>
          </mc:Fallback>
        </mc:AlternateContent>
      </w:r>
    </w:p>
    <w:p w14:paraId="0DFDC70E" w14:textId="77777777" w:rsidR="00046465" w:rsidRDefault="008134EB">
      <w:pPr>
        <w:pStyle w:val="Heading2"/>
        <w:spacing w:before="359"/>
        <w:ind w:left="2037" w:right="0"/>
        <w:jc w:val="left"/>
      </w:pPr>
      <w:r>
        <w:t>Reporting</w:t>
      </w:r>
      <w:r>
        <w:rPr>
          <w:spacing w:val="-9"/>
        </w:rPr>
        <w:t xml:space="preserve"> </w:t>
      </w:r>
      <w:r>
        <w:t>Implementation</w:t>
      </w:r>
      <w:r>
        <w:rPr>
          <w:spacing w:val="-8"/>
        </w:rPr>
        <w:t xml:space="preserve"> </w:t>
      </w:r>
      <w:r>
        <w:rPr>
          <w:spacing w:val="-2"/>
        </w:rPr>
        <w:t>Guidance</w:t>
      </w:r>
    </w:p>
    <w:p w14:paraId="0DFDC70F" w14:textId="77777777" w:rsidR="00046465" w:rsidRDefault="00046465">
      <w:pPr>
        <w:pStyle w:val="BodyText"/>
        <w:rPr>
          <w:sz w:val="20"/>
        </w:rPr>
      </w:pPr>
    </w:p>
    <w:p w14:paraId="0DFDC710" w14:textId="77777777" w:rsidR="00046465" w:rsidRDefault="00046465">
      <w:pPr>
        <w:pStyle w:val="BodyText"/>
        <w:rPr>
          <w:sz w:val="20"/>
        </w:rPr>
      </w:pPr>
    </w:p>
    <w:p w14:paraId="0DFDC711" w14:textId="77777777" w:rsidR="00046465" w:rsidRDefault="00046465">
      <w:pPr>
        <w:pStyle w:val="BodyText"/>
        <w:rPr>
          <w:sz w:val="20"/>
        </w:rPr>
      </w:pPr>
    </w:p>
    <w:p w14:paraId="0DFDC712" w14:textId="77777777" w:rsidR="00046465" w:rsidRDefault="00046465">
      <w:pPr>
        <w:pStyle w:val="BodyText"/>
        <w:rPr>
          <w:sz w:val="20"/>
        </w:rPr>
      </w:pPr>
    </w:p>
    <w:p w14:paraId="0DFDC713" w14:textId="77777777" w:rsidR="00046465" w:rsidRDefault="00046465">
      <w:pPr>
        <w:pStyle w:val="BodyText"/>
        <w:rPr>
          <w:sz w:val="20"/>
        </w:rPr>
      </w:pPr>
    </w:p>
    <w:p w14:paraId="0DFDC714" w14:textId="77777777" w:rsidR="00046465" w:rsidRDefault="00046465">
      <w:pPr>
        <w:pStyle w:val="BodyText"/>
        <w:rPr>
          <w:sz w:val="20"/>
        </w:rPr>
      </w:pPr>
    </w:p>
    <w:p w14:paraId="0DFDC715" w14:textId="77777777" w:rsidR="00046465" w:rsidRDefault="00046465">
      <w:pPr>
        <w:pStyle w:val="BodyText"/>
        <w:rPr>
          <w:sz w:val="20"/>
        </w:rPr>
      </w:pPr>
    </w:p>
    <w:p w14:paraId="0DFDC716" w14:textId="77777777" w:rsidR="00046465" w:rsidRDefault="00046465">
      <w:pPr>
        <w:pStyle w:val="BodyText"/>
        <w:rPr>
          <w:sz w:val="20"/>
        </w:rPr>
      </w:pPr>
    </w:p>
    <w:p w14:paraId="0DFDC717" w14:textId="77777777" w:rsidR="00046465" w:rsidRDefault="00046465">
      <w:pPr>
        <w:pStyle w:val="BodyText"/>
        <w:rPr>
          <w:sz w:val="20"/>
        </w:rPr>
      </w:pPr>
    </w:p>
    <w:p w14:paraId="0DFDC718" w14:textId="77777777" w:rsidR="00046465" w:rsidRDefault="00046465">
      <w:pPr>
        <w:pStyle w:val="BodyText"/>
        <w:rPr>
          <w:sz w:val="20"/>
        </w:rPr>
      </w:pPr>
    </w:p>
    <w:p w14:paraId="0DFDC719" w14:textId="77777777" w:rsidR="00046465" w:rsidRDefault="00046465">
      <w:pPr>
        <w:pStyle w:val="BodyText"/>
        <w:rPr>
          <w:sz w:val="20"/>
        </w:rPr>
      </w:pPr>
    </w:p>
    <w:p w14:paraId="0DFDC71A" w14:textId="77777777" w:rsidR="00046465" w:rsidRDefault="00046465">
      <w:pPr>
        <w:pStyle w:val="BodyText"/>
        <w:rPr>
          <w:sz w:val="20"/>
        </w:rPr>
      </w:pPr>
    </w:p>
    <w:p w14:paraId="0DFDC71B" w14:textId="77777777" w:rsidR="00046465" w:rsidRDefault="00046465">
      <w:pPr>
        <w:pStyle w:val="BodyText"/>
        <w:rPr>
          <w:sz w:val="20"/>
        </w:rPr>
      </w:pPr>
    </w:p>
    <w:p w14:paraId="0DFDC71C" w14:textId="77777777" w:rsidR="00046465" w:rsidRDefault="00046465">
      <w:pPr>
        <w:pStyle w:val="BodyText"/>
        <w:rPr>
          <w:sz w:val="20"/>
        </w:rPr>
      </w:pPr>
    </w:p>
    <w:p w14:paraId="0DFDC71D" w14:textId="77777777" w:rsidR="00046465" w:rsidRDefault="00046465">
      <w:pPr>
        <w:pStyle w:val="BodyText"/>
        <w:rPr>
          <w:sz w:val="20"/>
        </w:rPr>
      </w:pPr>
    </w:p>
    <w:p w14:paraId="0DFDC71E" w14:textId="77777777" w:rsidR="00046465" w:rsidRDefault="00046465">
      <w:pPr>
        <w:pStyle w:val="BodyText"/>
        <w:rPr>
          <w:sz w:val="20"/>
        </w:rPr>
      </w:pPr>
    </w:p>
    <w:p w14:paraId="0DFDC71F" w14:textId="77777777" w:rsidR="00046465" w:rsidRDefault="00046465">
      <w:pPr>
        <w:pStyle w:val="BodyText"/>
        <w:rPr>
          <w:sz w:val="20"/>
        </w:rPr>
      </w:pPr>
    </w:p>
    <w:p w14:paraId="0DFDC720" w14:textId="77777777" w:rsidR="00046465" w:rsidRDefault="00046465">
      <w:pPr>
        <w:pStyle w:val="BodyText"/>
        <w:rPr>
          <w:sz w:val="20"/>
        </w:rPr>
      </w:pPr>
    </w:p>
    <w:p w14:paraId="0DFDC721" w14:textId="77777777" w:rsidR="00046465" w:rsidRDefault="00046465">
      <w:pPr>
        <w:pStyle w:val="BodyText"/>
        <w:rPr>
          <w:sz w:val="20"/>
        </w:rPr>
      </w:pPr>
    </w:p>
    <w:p w14:paraId="0DFDC722" w14:textId="77777777" w:rsidR="00046465" w:rsidRDefault="00046465">
      <w:pPr>
        <w:pStyle w:val="BodyText"/>
        <w:rPr>
          <w:sz w:val="20"/>
        </w:rPr>
      </w:pPr>
    </w:p>
    <w:p w14:paraId="0DFDC723" w14:textId="77777777" w:rsidR="00046465" w:rsidRDefault="00046465">
      <w:pPr>
        <w:pStyle w:val="BodyText"/>
        <w:rPr>
          <w:sz w:val="20"/>
        </w:rPr>
      </w:pPr>
    </w:p>
    <w:p w14:paraId="0DFDC724" w14:textId="77777777" w:rsidR="00046465" w:rsidRDefault="00046465">
      <w:pPr>
        <w:pStyle w:val="BodyText"/>
        <w:rPr>
          <w:sz w:val="20"/>
        </w:rPr>
      </w:pPr>
    </w:p>
    <w:p w14:paraId="0DFDC725" w14:textId="77777777" w:rsidR="00046465" w:rsidRDefault="00046465">
      <w:pPr>
        <w:pStyle w:val="BodyText"/>
        <w:rPr>
          <w:sz w:val="20"/>
        </w:rPr>
      </w:pPr>
    </w:p>
    <w:p w14:paraId="0DFDC726" w14:textId="77777777" w:rsidR="00046465" w:rsidRDefault="00046465">
      <w:pPr>
        <w:pStyle w:val="BodyText"/>
        <w:rPr>
          <w:sz w:val="20"/>
        </w:rPr>
      </w:pPr>
    </w:p>
    <w:p w14:paraId="0DFDC727" w14:textId="77777777" w:rsidR="00046465" w:rsidRDefault="00046465">
      <w:pPr>
        <w:pStyle w:val="BodyText"/>
        <w:rPr>
          <w:sz w:val="20"/>
        </w:rPr>
      </w:pPr>
    </w:p>
    <w:p w14:paraId="0DFDC728" w14:textId="77777777" w:rsidR="00046465" w:rsidRDefault="00046465">
      <w:pPr>
        <w:pStyle w:val="BodyText"/>
        <w:rPr>
          <w:sz w:val="20"/>
        </w:rPr>
      </w:pPr>
    </w:p>
    <w:p w14:paraId="0DFDC729" w14:textId="77777777" w:rsidR="00046465" w:rsidRDefault="00046465">
      <w:pPr>
        <w:pStyle w:val="BodyText"/>
        <w:rPr>
          <w:sz w:val="20"/>
        </w:rPr>
      </w:pPr>
    </w:p>
    <w:p w14:paraId="0DFDC72A" w14:textId="77777777" w:rsidR="00046465" w:rsidRDefault="00046465">
      <w:pPr>
        <w:pStyle w:val="BodyText"/>
        <w:rPr>
          <w:sz w:val="20"/>
        </w:rPr>
      </w:pPr>
    </w:p>
    <w:p w14:paraId="0DFDC72B" w14:textId="77777777" w:rsidR="00046465" w:rsidRDefault="00046465">
      <w:pPr>
        <w:pStyle w:val="BodyText"/>
        <w:rPr>
          <w:sz w:val="20"/>
        </w:rPr>
      </w:pPr>
    </w:p>
    <w:p w14:paraId="0DFDC72C" w14:textId="77777777" w:rsidR="00046465" w:rsidRDefault="00046465">
      <w:pPr>
        <w:pStyle w:val="BodyText"/>
        <w:rPr>
          <w:sz w:val="20"/>
        </w:rPr>
      </w:pPr>
    </w:p>
    <w:p w14:paraId="0DFDC72D" w14:textId="77777777" w:rsidR="00046465" w:rsidRDefault="00046465">
      <w:pPr>
        <w:pStyle w:val="BodyText"/>
        <w:rPr>
          <w:sz w:val="20"/>
        </w:rPr>
      </w:pPr>
    </w:p>
    <w:p w14:paraId="0DFDC72E" w14:textId="77777777" w:rsidR="00046465" w:rsidRDefault="00046465">
      <w:pPr>
        <w:pStyle w:val="BodyText"/>
        <w:rPr>
          <w:sz w:val="20"/>
        </w:rPr>
      </w:pPr>
    </w:p>
    <w:p w14:paraId="0DFDC72F" w14:textId="77777777" w:rsidR="00046465" w:rsidRDefault="00046465">
      <w:pPr>
        <w:pStyle w:val="BodyText"/>
        <w:rPr>
          <w:sz w:val="20"/>
        </w:rPr>
      </w:pPr>
    </w:p>
    <w:p w14:paraId="0DFDC730" w14:textId="77777777" w:rsidR="00046465" w:rsidRDefault="00046465">
      <w:pPr>
        <w:pStyle w:val="BodyText"/>
        <w:rPr>
          <w:sz w:val="20"/>
        </w:rPr>
      </w:pPr>
    </w:p>
    <w:p w14:paraId="0DFDC731" w14:textId="77777777" w:rsidR="00046465" w:rsidRDefault="00046465">
      <w:pPr>
        <w:pStyle w:val="BodyText"/>
        <w:rPr>
          <w:sz w:val="20"/>
        </w:rPr>
      </w:pPr>
    </w:p>
    <w:p w14:paraId="0DFDC732" w14:textId="77777777" w:rsidR="00046465" w:rsidRDefault="00046465">
      <w:pPr>
        <w:pStyle w:val="BodyText"/>
        <w:rPr>
          <w:sz w:val="20"/>
        </w:rPr>
      </w:pPr>
    </w:p>
    <w:p w14:paraId="0DFDC733" w14:textId="77777777" w:rsidR="00046465" w:rsidRDefault="00046465">
      <w:pPr>
        <w:pStyle w:val="BodyText"/>
        <w:rPr>
          <w:sz w:val="20"/>
        </w:rPr>
      </w:pPr>
    </w:p>
    <w:p w14:paraId="0DFDC734" w14:textId="77777777" w:rsidR="00046465" w:rsidRDefault="00046465">
      <w:pPr>
        <w:pStyle w:val="BodyText"/>
        <w:rPr>
          <w:sz w:val="20"/>
        </w:rPr>
      </w:pPr>
    </w:p>
    <w:p w14:paraId="0DFDC735" w14:textId="77777777" w:rsidR="00046465" w:rsidRDefault="00046465">
      <w:pPr>
        <w:pStyle w:val="BodyText"/>
        <w:rPr>
          <w:sz w:val="20"/>
        </w:rPr>
      </w:pPr>
    </w:p>
    <w:p w14:paraId="0DFDC736" w14:textId="77777777" w:rsidR="00046465" w:rsidRDefault="00046465">
      <w:pPr>
        <w:pStyle w:val="BodyText"/>
        <w:rPr>
          <w:sz w:val="20"/>
        </w:rPr>
      </w:pPr>
    </w:p>
    <w:p w14:paraId="0DFDC737" w14:textId="77777777" w:rsidR="00046465" w:rsidRDefault="00046465">
      <w:pPr>
        <w:pStyle w:val="BodyText"/>
        <w:rPr>
          <w:sz w:val="20"/>
        </w:rPr>
      </w:pPr>
    </w:p>
    <w:p w14:paraId="0DFDC738" w14:textId="77777777" w:rsidR="00046465" w:rsidRDefault="00046465">
      <w:pPr>
        <w:pStyle w:val="BodyText"/>
        <w:rPr>
          <w:sz w:val="20"/>
        </w:rPr>
      </w:pPr>
    </w:p>
    <w:p w14:paraId="0DFDC739" w14:textId="77777777" w:rsidR="00046465" w:rsidRDefault="00046465">
      <w:pPr>
        <w:pStyle w:val="BodyText"/>
        <w:rPr>
          <w:sz w:val="20"/>
        </w:rPr>
      </w:pPr>
    </w:p>
    <w:p w14:paraId="0DFDC73A" w14:textId="77777777" w:rsidR="00046465" w:rsidRDefault="00046465">
      <w:pPr>
        <w:pStyle w:val="BodyText"/>
        <w:rPr>
          <w:sz w:val="20"/>
        </w:rPr>
      </w:pPr>
    </w:p>
    <w:p w14:paraId="0DFDC73B" w14:textId="77777777" w:rsidR="00046465" w:rsidRDefault="00046465">
      <w:pPr>
        <w:pStyle w:val="BodyText"/>
        <w:rPr>
          <w:sz w:val="20"/>
        </w:rPr>
      </w:pPr>
    </w:p>
    <w:p w14:paraId="0DFDC73C" w14:textId="77777777" w:rsidR="00046465" w:rsidRDefault="008134EB">
      <w:pPr>
        <w:pStyle w:val="BodyText"/>
        <w:spacing w:before="187"/>
        <w:rPr>
          <w:sz w:val="20"/>
        </w:rPr>
      </w:pPr>
      <w:r>
        <w:rPr>
          <w:noProof/>
          <w:sz w:val="20"/>
        </w:rPr>
        <mc:AlternateContent>
          <mc:Choice Requires="wps">
            <w:drawing>
              <wp:anchor distT="0" distB="0" distL="0" distR="0" simplePos="0" relativeHeight="487733248" behindDoc="1" locked="0" layoutInCell="1" allowOverlap="1" wp14:anchorId="0DFDD74B" wp14:editId="0DFDD74C">
                <wp:simplePos x="0" y="0"/>
                <wp:positionH relativeFrom="page">
                  <wp:posOffset>882650</wp:posOffset>
                </wp:positionH>
                <wp:positionV relativeFrom="paragraph">
                  <wp:posOffset>280022</wp:posOffset>
                </wp:positionV>
                <wp:extent cx="5815965" cy="1270"/>
                <wp:effectExtent l="0" t="0" r="0" b="0"/>
                <wp:wrapTopAndBottom/>
                <wp:docPr id="1066" name="Graphic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5965" cy="1270"/>
                        </a:xfrm>
                        <a:custGeom>
                          <a:avLst/>
                          <a:gdLst/>
                          <a:ahLst/>
                          <a:cxnLst/>
                          <a:rect l="l" t="t" r="r" b="b"/>
                          <a:pathLst>
                            <a:path w="5815965">
                              <a:moveTo>
                                <a:pt x="0" y="0"/>
                              </a:moveTo>
                              <a:lnTo>
                                <a:pt x="5815965"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2CB831" id="Graphic 1066" o:spid="_x0000_s1026" style="position:absolute;margin-left:69.5pt;margin-top:22.05pt;width:457.95pt;height:.1pt;z-index:-15583232;visibility:visible;mso-wrap-style:square;mso-wrap-distance-left:0;mso-wrap-distance-top:0;mso-wrap-distance-right:0;mso-wrap-distance-bottom:0;mso-position-horizontal:absolute;mso-position-horizontal-relative:page;mso-position-vertical:absolute;mso-position-vertical-relative:text;v-text-anchor:top" coordsize="5815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" path="m,l5815965,e" filled="f">
                <v:path arrowok="t"/>
                <w10:wrap type="topAndBottom" anchorx="page"/>
              </v:shape>
            </w:pict>
          </mc:Fallback>
        </mc:AlternateContent>
      </w:r>
    </w:p>
    <w:p w14:paraId="0DFDC73D" w14:textId="77777777" w:rsidR="00046465" w:rsidRDefault="00046465">
      <w:pPr>
        <w:pStyle w:val="BodyText"/>
        <w:rPr>
          <w:sz w:val="20"/>
        </w:rPr>
        <w:sectPr w:rsidR="00046465">
          <w:headerReference w:type="default" r:id="rId222"/>
          <w:footerReference w:type="default" r:id="rId223"/>
          <w:pgSz w:w="12240" w:h="15840"/>
          <w:pgMar w:top="920" w:right="720" w:bottom="280" w:left="1080" w:header="0" w:footer="0" w:gutter="0"/>
          <w:cols w:space="720"/>
        </w:sectPr>
      </w:pPr>
    </w:p>
    <w:p w14:paraId="0DFDC73E" w14:textId="77777777" w:rsidR="00046465" w:rsidRDefault="008134EB">
      <w:pPr>
        <w:pStyle w:val="Heading3"/>
        <w:spacing w:before="361"/>
        <w:rPr>
          <w:u w:val="none"/>
        </w:rPr>
      </w:pPr>
      <w:bookmarkStart w:id="357" w:name="Contents_of_Reporting_Implementation_Gui"/>
      <w:bookmarkEnd w:id="357"/>
      <w:r>
        <w:lastRenderedPageBreak/>
        <w:t>Contents</w:t>
      </w:r>
      <w:r>
        <w:rPr>
          <w:spacing w:val="-9"/>
        </w:rPr>
        <w:t xml:space="preserve"> </w:t>
      </w:r>
      <w:r>
        <w:t>of</w:t>
      </w:r>
      <w:r>
        <w:rPr>
          <w:spacing w:val="-6"/>
        </w:rPr>
        <w:t xml:space="preserve"> </w:t>
      </w:r>
      <w:r>
        <w:t>Reporting</w:t>
      </w:r>
      <w:r>
        <w:rPr>
          <w:spacing w:val="-8"/>
        </w:rPr>
        <w:t xml:space="preserve"> </w:t>
      </w:r>
      <w:r>
        <w:t>Implementation</w:t>
      </w:r>
      <w:r>
        <w:rPr>
          <w:spacing w:val="-7"/>
        </w:rPr>
        <w:t xml:space="preserve"> </w:t>
      </w:r>
      <w:r>
        <w:rPr>
          <w:spacing w:val="-2"/>
        </w:rPr>
        <w:t>Guidance</w:t>
      </w:r>
    </w:p>
    <w:p w14:paraId="0DFDC73F" w14:textId="77777777" w:rsidR="00046465" w:rsidRDefault="00046465">
      <w:pPr>
        <w:pStyle w:val="BodyText"/>
        <w:spacing w:before="138"/>
        <w:rPr>
          <w:b/>
          <w:sz w:val="20"/>
        </w:rPr>
      </w:pPr>
    </w:p>
    <w:tbl>
      <w:tblPr>
        <w:tblW w:w="0" w:type="auto"/>
        <w:tblInd w:w="677" w:type="dxa"/>
        <w:tblLayout w:type="fixed"/>
        <w:tblCellMar>
          <w:left w:w="0" w:type="dxa"/>
          <w:right w:w="0" w:type="dxa"/>
        </w:tblCellMar>
        <w:tblLook w:val="01E0" w:firstRow="1" w:lastRow="1" w:firstColumn="1" w:lastColumn="1" w:noHBand="0" w:noVBand="0"/>
      </w:tblPr>
      <w:tblGrid>
        <w:gridCol w:w="7329"/>
        <w:gridCol w:w="1522"/>
      </w:tblGrid>
      <w:tr w:rsidR="00046465" w14:paraId="0DFDC742" w14:textId="77777777">
        <w:trPr>
          <w:trHeight w:val="368"/>
        </w:trPr>
        <w:tc>
          <w:tcPr>
            <w:tcW w:w="7329" w:type="dxa"/>
          </w:tcPr>
          <w:p w14:paraId="0DFDC740" w14:textId="77777777" w:rsidR="00046465" w:rsidRDefault="00046465">
            <w:pPr>
              <w:pStyle w:val="TableParagraph"/>
              <w:rPr>
                <w:rFonts w:ascii="Times New Roman"/>
              </w:rPr>
            </w:pPr>
          </w:p>
        </w:tc>
        <w:tc>
          <w:tcPr>
            <w:tcW w:w="1522" w:type="dxa"/>
          </w:tcPr>
          <w:p w14:paraId="0DFDC741" w14:textId="77777777" w:rsidR="00046465" w:rsidRDefault="008134EB">
            <w:pPr>
              <w:pStyle w:val="TableParagraph"/>
              <w:spacing w:line="245" w:lineRule="exact"/>
              <w:ind w:left="787"/>
              <w:rPr>
                <w:b/>
              </w:rPr>
            </w:pPr>
            <w:r>
              <w:rPr>
                <w:b/>
                <w:spacing w:val="-5"/>
              </w:rPr>
              <w:t>FAM</w:t>
            </w:r>
          </w:p>
        </w:tc>
      </w:tr>
      <w:tr w:rsidR="00046465" w14:paraId="0DFDC745" w14:textId="77777777">
        <w:trPr>
          <w:trHeight w:val="492"/>
        </w:trPr>
        <w:tc>
          <w:tcPr>
            <w:tcW w:w="7329" w:type="dxa"/>
          </w:tcPr>
          <w:p w14:paraId="0DFDC743" w14:textId="77777777" w:rsidR="00046465" w:rsidRDefault="008134EB">
            <w:pPr>
              <w:pStyle w:val="TableParagraph"/>
              <w:spacing w:before="115"/>
              <w:ind w:left="50"/>
            </w:pPr>
            <w:r>
              <w:t>Management</w:t>
            </w:r>
            <w:r>
              <w:rPr>
                <w:spacing w:val="-14"/>
              </w:rPr>
              <w:t xml:space="preserve"> </w:t>
            </w:r>
            <w:r>
              <w:rPr>
                <w:spacing w:val="-2"/>
              </w:rPr>
              <w:t>Representations</w:t>
            </w:r>
          </w:p>
        </w:tc>
        <w:tc>
          <w:tcPr>
            <w:tcW w:w="1522" w:type="dxa"/>
          </w:tcPr>
          <w:p w14:paraId="0DFDC744" w14:textId="77777777" w:rsidR="00046465" w:rsidRDefault="008134EB">
            <w:pPr>
              <w:pStyle w:val="TableParagraph"/>
              <w:spacing w:before="115"/>
              <w:ind w:left="780"/>
            </w:pPr>
            <w:r>
              <w:rPr>
                <w:spacing w:val="-4"/>
              </w:rPr>
              <w:t>1001</w:t>
            </w:r>
          </w:p>
        </w:tc>
      </w:tr>
      <w:tr w:rsidR="00046465" w14:paraId="0DFDC748" w14:textId="77777777">
        <w:trPr>
          <w:trHeight w:val="493"/>
        </w:trPr>
        <w:tc>
          <w:tcPr>
            <w:tcW w:w="7329" w:type="dxa"/>
          </w:tcPr>
          <w:p w14:paraId="0DFDC746" w14:textId="77777777" w:rsidR="00046465" w:rsidRDefault="008134EB">
            <w:pPr>
              <w:pStyle w:val="TableParagraph"/>
              <w:spacing w:before="116"/>
              <w:ind w:left="50"/>
            </w:pPr>
            <w:r>
              <w:t>Management</w:t>
            </w:r>
            <w:r>
              <w:rPr>
                <w:spacing w:val="-12"/>
              </w:rPr>
              <w:t xml:space="preserve"> </w:t>
            </w:r>
            <w:r>
              <w:t>Representation</w:t>
            </w:r>
            <w:r>
              <w:rPr>
                <w:spacing w:val="-12"/>
              </w:rPr>
              <w:t xml:space="preserve"> </w:t>
            </w:r>
            <w:r>
              <w:t>Letter</w:t>
            </w:r>
            <w:r>
              <w:rPr>
                <w:spacing w:val="-14"/>
              </w:rPr>
              <w:t xml:space="preserve"> </w:t>
            </w:r>
            <w:r>
              <w:rPr>
                <w:spacing w:val="-2"/>
              </w:rPr>
              <w:t>Example</w:t>
            </w:r>
          </w:p>
        </w:tc>
        <w:tc>
          <w:tcPr>
            <w:tcW w:w="1522" w:type="dxa"/>
          </w:tcPr>
          <w:p w14:paraId="0DFDC747" w14:textId="77777777" w:rsidR="00046465" w:rsidRDefault="008134EB">
            <w:pPr>
              <w:pStyle w:val="TableParagraph"/>
              <w:spacing w:before="116"/>
              <w:ind w:left="768"/>
            </w:pPr>
            <w:r>
              <w:t>1001</w:t>
            </w:r>
            <w:r>
              <w:rPr>
                <w:spacing w:val="-5"/>
              </w:rPr>
              <w:t xml:space="preserve"> </w:t>
            </w:r>
            <w:r>
              <w:rPr>
                <w:spacing w:val="-10"/>
              </w:rPr>
              <w:t>A</w:t>
            </w:r>
          </w:p>
        </w:tc>
      </w:tr>
      <w:tr w:rsidR="00046465" w14:paraId="0DFDC74B" w14:textId="77777777">
        <w:trPr>
          <w:trHeight w:val="493"/>
        </w:trPr>
        <w:tc>
          <w:tcPr>
            <w:tcW w:w="7329" w:type="dxa"/>
          </w:tcPr>
          <w:p w14:paraId="0DFDC749" w14:textId="77777777" w:rsidR="00046465" w:rsidRDefault="008134EB">
            <w:pPr>
              <w:pStyle w:val="TableParagraph"/>
              <w:spacing w:before="116"/>
              <w:ind w:left="50"/>
            </w:pPr>
            <w:r>
              <w:t>Litigation,</w:t>
            </w:r>
            <w:r>
              <w:rPr>
                <w:spacing w:val="-8"/>
              </w:rPr>
              <w:t xml:space="preserve"> </w:t>
            </w:r>
            <w:r>
              <w:t>Claims,</w:t>
            </w:r>
            <w:r>
              <w:rPr>
                <w:spacing w:val="-8"/>
              </w:rPr>
              <w:t xml:space="preserve"> </w:t>
            </w:r>
            <w:r>
              <w:t>and</w:t>
            </w:r>
            <w:r>
              <w:rPr>
                <w:spacing w:val="-8"/>
              </w:rPr>
              <w:t xml:space="preserve"> </w:t>
            </w:r>
            <w:r>
              <w:rPr>
                <w:spacing w:val="-2"/>
              </w:rPr>
              <w:t>Assessments</w:t>
            </w:r>
          </w:p>
        </w:tc>
        <w:tc>
          <w:tcPr>
            <w:tcW w:w="1522" w:type="dxa"/>
          </w:tcPr>
          <w:p w14:paraId="0DFDC74A" w14:textId="77777777" w:rsidR="00046465" w:rsidRDefault="008134EB">
            <w:pPr>
              <w:pStyle w:val="TableParagraph"/>
              <w:spacing w:before="116"/>
              <w:ind w:left="780"/>
            </w:pPr>
            <w:r>
              <w:rPr>
                <w:spacing w:val="-4"/>
              </w:rPr>
              <w:t>1002</w:t>
            </w:r>
          </w:p>
        </w:tc>
      </w:tr>
      <w:tr w:rsidR="00046465" w14:paraId="0DFDC74E" w14:textId="77777777">
        <w:trPr>
          <w:trHeight w:val="493"/>
        </w:trPr>
        <w:tc>
          <w:tcPr>
            <w:tcW w:w="7329" w:type="dxa"/>
          </w:tcPr>
          <w:p w14:paraId="0DFDC74C" w14:textId="77777777" w:rsidR="00046465" w:rsidRDefault="008134EB">
            <w:pPr>
              <w:pStyle w:val="TableParagraph"/>
              <w:spacing w:before="116"/>
              <w:ind w:left="50"/>
            </w:pPr>
            <w:r>
              <w:t>Example</w:t>
            </w:r>
            <w:r>
              <w:rPr>
                <w:spacing w:val="-9"/>
              </w:rPr>
              <w:t xml:space="preserve"> </w:t>
            </w:r>
            <w:r>
              <w:t>Audit</w:t>
            </w:r>
            <w:r>
              <w:rPr>
                <w:spacing w:val="-8"/>
              </w:rPr>
              <w:t xml:space="preserve"> </w:t>
            </w:r>
            <w:r>
              <w:t>Procedures</w:t>
            </w:r>
            <w:r>
              <w:rPr>
                <w:spacing w:val="-8"/>
              </w:rPr>
              <w:t xml:space="preserve"> </w:t>
            </w:r>
            <w:r>
              <w:t>for</w:t>
            </w:r>
            <w:r>
              <w:rPr>
                <w:spacing w:val="-9"/>
              </w:rPr>
              <w:t xml:space="preserve"> </w:t>
            </w:r>
            <w:r>
              <w:t>Litigation,</w:t>
            </w:r>
            <w:r>
              <w:rPr>
                <w:spacing w:val="-8"/>
              </w:rPr>
              <w:t xml:space="preserve"> </w:t>
            </w:r>
            <w:r>
              <w:t>Claims,</w:t>
            </w:r>
            <w:r>
              <w:rPr>
                <w:spacing w:val="-8"/>
              </w:rPr>
              <w:t xml:space="preserve"> </w:t>
            </w:r>
            <w:r>
              <w:t>and</w:t>
            </w:r>
            <w:r>
              <w:rPr>
                <w:spacing w:val="-8"/>
              </w:rPr>
              <w:t xml:space="preserve"> </w:t>
            </w:r>
            <w:r>
              <w:rPr>
                <w:spacing w:val="-2"/>
              </w:rPr>
              <w:t>Assessments</w:t>
            </w:r>
          </w:p>
        </w:tc>
        <w:tc>
          <w:tcPr>
            <w:tcW w:w="1522" w:type="dxa"/>
          </w:tcPr>
          <w:p w14:paraId="0DFDC74D" w14:textId="77777777" w:rsidR="00046465" w:rsidRDefault="008134EB">
            <w:pPr>
              <w:pStyle w:val="TableParagraph"/>
              <w:spacing w:before="116"/>
              <w:ind w:left="768"/>
            </w:pPr>
            <w:r>
              <w:t>1002</w:t>
            </w:r>
            <w:r>
              <w:rPr>
                <w:spacing w:val="-5"/>
              </w:rPr>
              <w:t xml:space="preserve"> </w:t>
            </w:r>
            <w:r>
              <w:rPr>
                <w:spacing w:val="-10"/>
              </w:rPr>
              <w:t>A</w:t>
            </w:r>
          </w:p>
        </w:tc>
      </w:tr>
      <w:tr w:rsidR="00046465" w14:paraId="0DFDC751" w14:textId="77777777">
        <w:trPr>
          <w:trHeight w:val="492"/>
        </w:trPr>
        <w:tc>
          <w:tcPr>
            <w:tcW w:w="7329" w:type="dxa"/>
          </w:tcPr>
          <w:p w14:paraId="0DFDC74F" w14:textId="77777777" w:rsidR="00046465" w:rsidRDefault="008134EB">
            <w:pPr>
              <w:pStyle w:val="TableParagraph"/>
              <w:spacing w:before="116"/>
              <w:ind w:left="50"/>
            </w:pPr>
            <w:r>
              <w:t>Example</w:t>
            </w:r>
            <w:r>
              <w:rPr>
                <w:spacing w:val="-9"/>
              </w:rPr>
              <w:t xml:space="preserve"> </w:t>
            </w:r>
            <w:r>
              <w:t>Legal</w:t>
            </w:r>
            <w:r>
              <w:rPr>
                <w:spacing w:val="-8"/>
              </w:rPr>
              <w:t xml:space="preserve"> </w:t>
            </w:r>
            <w:r>
              <w:t>Counsel</w:t>
            </w:r>
            <w:r>
              <w:rPr>
                <w:spacing w:val="-10"/>
              </w:rPr>
              <w:t xml:space="preserve"> </w:t>
            </w:r>
            <w:r>
              <w:rPr>
                <w:spacing w:val="-2"/>
              </w:rPr>
              <w:t>Request</w:t>
            </w:r>
          </w:p>
        </w:tc>
        <w:tc>
          <w:tcPr>
            <w:tcW w:w="1522" w:type="dxa"/>
          </w:tcPr>
          <w:p w14:paraId="0DFDC750" w14:textId="77777777" w:rsidR="00046465" w:rsidRDefault="008134EB">
            <w:pPr>
              <w:pStyle w:val="TableParagraph"/>
              <w:spacing w:before="116"/>
              <w:ind w:left="768"/>
            </w:pPr>
            <w:r>
              <w:t>1002</w:t>
            </w:r>
            <w:r>
              <w:rPr>
                <w:spacing w:val="-5"/>
              </w:rPr>
              <w:t xml:space="preserve"> </w:t>
            </w:r>
            <w:r>
              <w:rPr>
                <w:spacing w:val="-10"/>
              </w:rPr>
              <w:t>B</w:t>
            </w:r>
          </w:p>
        </w:tc>
      </w:tr>
      <w:tr w:rsidR="00046465" w14:paraId="0DFDC754" w14:textId="77777777">
        <w:trPr>
          <w:trHeight w:val="492"/>
        </w:trPr>
        <w:tc>
          <w:tcPr>
            <w:tcW w:w="7329" w:type="dxa"/>
          </w:tcPr>
          <w:p w14:paraId="0DFDC752" w14:textId="77777777" w:rsidR="00046465" w:rsidRDefault="008134EB">
            <w:pPr>
              <w:pStyle w:val="TableParagraph"/>
              <w:spacing w:before="115"/>
              <w:ind w:left="50"/>
            </w:pPr>
            <w:r>
              <w:t>Example</w:t>
            </w:r>
            <w:r>
              <w:rPr>
                <w:spacing w:val="-9"/>
              </w:rPr>
              <w:t xml:space="preserve"> </w:t>
            </w:r>
            <w:r>
              <w:t>Legal</w:t>
            </w:r>
            <w:r>
              <w:rPr>
                <w:spacing w:val="-8"/>
              </w:rPr>
              <w:t xml:space="preserve"> </w:t>
            </w:r>
            <w:r>
              <w:t>Counsel</w:t>
            </w:r>
            <w:r>
              <w:rPr>
                <w:spacing w:val="-10"/>
              </w:rPr>
              <w:t xml:space="preserve"> </w:t>
            </w:r>
            <w:r>
              <w:rPr>
                <w:spacing w:val="-2"/>
              </w:rPr>
              <w:t>Response</w:t>
            </w:r>
          </w:p>
        </w:tc>
        <w:tc>
          <w:tcPr>
            <w:tcW w:w="1522" w:type="dxa"/>
          </w:tcPr>
          <w:p w14:paraId="0DFDC753" w14:textId="77777777" w:rsidR="00046465" w:rsidRDefault="008134EB">
            <w:pPr>
              <w:pStyle w:val="TableParagraph"/>
              <w:spacing w:before="115"/>
              <w:ind w:left="762"/>
            </w:pPr>
            <w:r>
              <w:t>1002</w:t>
            </w:r>
            <w:r>
              <w:rPr>
                <w:spacing w:val="-5"/>
              </w:rPr>
              <w:t xml:space="preserve"> </w:t>
            </w:r>
            <w:r>
              <w:rPr>
                <w:spacing w:val="-10"/>
              </w:rPr>
              <w:t>C</w:t>
            </w:r>
          </w:p>
        </w:tc>
      </w:tr>
      <w:tr w:rsidR="00046465" w14:paraId="0DFDC757" w14:textId="77777777">
        <w:trPr>
          <w:trHeight w:val="493"/>
        </w:trPr>
        <w:tc>
          <w:tcPr>
            <w:tcW w:w="7329" w:type="dxa"/>
          </w:tcPr>
          <w:p w14:paraId="0DFDC755" w14:textId="77777777" w:rsidR="00046465" w:rsidRDefault="008134EB">
            <w:pPr>
              <w:pStyle w:val="TableParagraph"/>
              <w:spacing w:before="116"/>
              <w:ind w:left="50"/>
            </w:pPr>
            <w:r>
              <w:t>Example</w:t>
            </w:r>
            <w:r>
              <w:rPr>
                <w:spacing w:val="-13"/>
              </w:rPr>
              <w:t xml:space="preserve"> </w:t>
            </w:r>
            <w:r>
              <w:t>Management</w:t>
            </w:r>
            <w:r>
              <w:rPr>
                <w:spacing w:val="-12"/>
              </w:rPr>
              <w:t xml:space="preserve"> </w:t>
            </w:r>
            <w:r>
              <w:rPr>
                <w:spacing w:val="-2"/>
              </w:rPr>
              <w:t>Schedule</w:t>
            </w:r>
          </w:p>
        </w:tc>
        <w:tc>
          <w:tcPr>
            <w:tcW w:w="1522" w:type="dxa"/>
          </w:tcPr>
          <w:p w14:paraId="0DFDC756" w14:textId="77777777" w:rsidR="00046465" w:rsidRDefault="008134EB">
            <w:pPr>
              <w:pStyle w:val="TableParagraph"/>
              <w:spacing w:before="116"/>
              <w:ind w:left="762"/>
            </w:pPr>
            <w:r>
              <w:t>1002</w:t>
            </w:r>
            <w:r>
              <w:rPr>
                <w:spacing w:val="-5"/>
              </w:rPr>
              <w:t xml:space="preserve"> </w:t>
            </w:r>
            <w:r>
              <w:rPr>
                <w:spacing w:val="-10"/>
              </w:rPr>
              <w:t>D</w:t>
            </w:r>
          </w:p>
        </w:tc>
      </w:tr>
      <w:tr w:rsidR="00046465" w14:paraId="0DFDC75A" w14:textId="77777777">
        <w:trPr>
          <w:trHeight w:val="493"/>
        </w:trPr>
        <w:tc>
          <w:tcPr>
            <w:tcW w:w="7329" w:type="dxa"/>
          </w:tcPr>
          <w:p w14:paraId="0DFDC758" w14:textId="77777777" w:rsidR="00046465" w:rsidRDefault="008134EB">
            <w:pPr>
              <w:pStyle w:val="TableParagraph"/>
              <w:spacing w:before="116"/>
              <w:ind w:left="50"/>
            </w:pPr>
            <w:r>
              <w:t>Financial</w:t>
            </w:r>
            <w:r>
              <w:rPr>
                <w:spacing w:val="-11"/>
              </w:rPr>
              <w:t xml:space="preserve"> </w:t>
            </w:r>
            <w:r>
              <w:t>Statement</w:t>
            </w:r>
            <w:r>
              <w:rPr>
                <w:spacing w:val="-10"/>
              </w:rPr>
              <w:t xml:space="preserve"> </w:t>
            </w:r>
            <w:r>
              <w:t>Audit</w:t>
            </w:r>
            <w:r>
              <w:rPr>
                <w:spacing w:val="-10"/>
              </w:rPr>
              <w:t xml:space="preserve"> </w:t>
            </w:r>
            <w:r>
              <w:t>Completion</w:t>
            </w:r>
            <w:r>
              <w:rPr>
                <w:spacing w:val="-10"/>
              </w:rPr>
              <w:t xml:space="preserve"> </w:t>
            </w:r>
            <w:r>
              <w:rPr>
                <w:spacing w:val="-2"/>
              </w:rPr>
              <w:t>Checklist</w:t>
            </w:r>
          </w:p>
        </w:tc>
        <w:tc>
          <w:tcPr>
            <w:tcW w:w="1522" w:type="dxa"/>
          </w:tcPr>
          <w:p w14:paraId="0DFDC759" w14:textId="77777777" w:rsidR="00046465" w:rsidRDefault="008134EB">
            <w:pPr>
              <w:pStyle w:val="TableParagraph"/>
              <w:spacing w:before="116"/>
              <w:ind w:left="780"/>
            </w:pPr>
            <w:r>
              <w:rPr>
                <w:spacing w:val="-4"/>
              </w:rPr>
              <w:t>1003</w:t>
            </w:r>
          </w:p>
        </w:tc>
      </w:tr>
      <w:tr w:rsidR="00046465" w14:paraId="0DFDC75D" w14:textId="77777777">
        <w:trPr>
          <w:trHeight w:val="369"/>
        </w:trPr>
        <w:tc>
          <w:tcPr>
            <w:tcW w:w="7329" w:type="dxa"/>
          </w:tcPr>
          <w:p w14:paraId="0DFDC75B" w14:textId="77777777" w:rsidR="00046465" w:rsidRDefault="008134EB">
            <w:pPr>
              <w:pStyle w:val="TableParagraph"/>
              <w:spacing w:before="116" w:line="233" w:lineRule="exact"/>
              <w:ind w:left="50"/>
            </w:pPr>
            <w:r>
              <w:t>Subsequent</w:t>
            </w:r>
            <w:r>
              <w:rPr>
                <w:spacing w:val="-11"/>
              </w:rPr>
              <w:t xml:space="preserve"> </w:t>
            </w:r>
            <w:r>
              <w:t>Events</w:t>
            </w:r>
            <w:r>
              <w:rPr>
                <w:spacing w:val="-10"/>
              </w:rPr>
              <w:t xml:space="preserve"> </w:t>
            </w:r>
            <w:r>
              <w:rPr>
                <w:spacing w:val="-2"/>
              </w:rPr>
              <w:t>Review</w:t>
            </w:r>
          </w:p>
        </w:tc>
        <w:tc>
          <w:tcPr>
            <w:tcW w:w="1522" w:type="dxa"/>
          </w:tcPr>
          <w:p w14:paraId="0DFDC75C" w14:textId="77777777" w:rsidR="00046465" w:rsidRDefault="008134EB">
            <w:pPr>
              <w:pStyle w:val="TableParagraph"/>
              <w:spacing w:before="116" w:line="233" w:lineRule="exact"/>
              <w:ind w:left="780"/>
            </w:pPr>
            <w:r>
              <w:rPr>
                <w:spacing w:val="-4"/>
              </w:rPr>
              <w:t>1005</w:t>
            </w:r>
          </w:p>
        </w:tc>
      </w:tr>
    </w:tbl>
    <w:p w14:paraId="0DFDC75E" w14:textId="77777777" w:rsidR="00046465" w:rsidRDefault="00046465">
      <w:pPr>
        <w:pStyle w:val="TableParagraph"/>
        <w:spacing w:line="233" w:lineRule="exact"/>
        <w:sectPr w:rsidR="00046465">
          <w:headerReference w:type="default" r:id="rId224"/>
          <w:footerReference w:type="default" r:id="rId225"/>
          <w:pgSz w:w="12240" w:h="15840"/>
          <w:pgMar w:top="1340" w:right="720" w:bottom="940" w:left="1080" w:header="721" w:footer="757" w:gutter="0"/>
          <w:pgNumType w:start="1000"/>
          <w:cols w:space="720"/>
        </w:sectPr>
      </w:pPr>
    </w:p>
    <w:p w14:paraId="0DFDC75F" w14:textId="77777777" w:rsidR="00046465" w:rsidRDefault="008134EB" w:rsidP="00672078">
      <w:pPr>
        <w:pStyle w:val="Heading3"/>
      </w:pPr>
      <w:bookmarkStart w:id="358" w:name="1001_–_Management_Representations"/>
      <w:bookmarkStart w:id="359" w:name="_bookmark207"/>
      <w:bookmarkEnd w:id="358"/>
      <w:bookmarkEnd w:id="359"/>
      <w:r>
        <w:lastRenderedPageBreak/>
        <w:t>1001</w:t>
      </w:r>
      <w:r>
        <w:rPr>
          <w:spacing w:val="-4"/>
        </w:rPr>
        <w:t xml:space="preserve"> </w:t>
      </w:r>
      <w:r>
        <w:t>–</w:t>
      </w:r>
      <w:r>
        <w:rPr>
          <w:spacing w:val="-4"/>
        </w:rPr>
        <w:t xml:space="preserve"> </w:t>
      </w:r>
      <w:r>
        <w:t>Management</w:t>
      </w:r>
      <w:r>
        <w:rPr>
          <w:spacing w:val="-3"/>
        </w:rPr>
        <w:t xml:space="preserve"> </w:t>
      </w:r>
      <w:r>
        <w:rPr>
          <w:spacing w:val="-2"/>
        </w:rPr>
        <w:t>Representations</w:t>
      </w:r>
    </w:p>
    <w:p w14:paraId="0DFDC760" w14:textId="77777777" w:rsidR="00046465" w:rsidRDefault="008134EB">
      <w:pPr>
        <w:pStyle w:val="ListParagraph"/>
        <w:numPr>
          <w:ilvl w:val="0"/>
          <w:numId w:val="68"/>
        </w:numPr>
        <w:tabs>
          <w:tab w:val="left" w:pos="1800"/>
        </w:tabs>
        <w:spacing w:before="239"/>
        <w:ind w:right="1179"/>
      </w:pPr>
      <w:r>
        <w:t>This</w:t>
      </w:r>
      <w:r>
        <w:rPr>
          <w:spacing w:val="-5"/>
        </w:rPr>
        <w:t xml:space="preserve"> </w:t>
      </w:r>
      <w:r>
        <w:t>section</w:t>
      </w:r>
      <w:r>
        <w:rPr>
          <w:spacing w:val="-6"/>
        </w:rPr>
        <w:t xml:space="preserve"> </w:t>
      </w:r>
      <w:r>
        <w:t>addresses</w:t>
      </w:r>
      <w:r>
        <w:rPr>
          <w:spacing w:val="-4"/>
        </w:rPr>
        <w:t xml:space="preserve"> </w:t>
      </w:r>
      <w:r>
        <w:t>the</w:t>
      </w:r>
      <w:r>
        <w:rPr>
          <w:spacing w:val="-5"/>
        </w:rPr>
        <w:t xml:space="preserve"> </w:t>
      </w:r>
      <w:r>
        <w:t>auditor’s</w:t>
      </w:r>
      <w:r>
        <w:rPr>
          <w:spacing w:val="-6"/>
        </w:rPr>
        <w:t xml:space="preserve"> </w:t>
      </w:r>
      <w:r>
        <w:t>responsibility</w:t>
      </w:r>
      <w:r>
        <w:rPr>
          <w:spacing w:val="-5"/>
        </w:rPr>
        <w:t xml:space="preserve"> </w:t>
      </w:r>
      <w:r>
        <w:t>for</w:t>
      </w:r>
      <w:r>
        <w:rPr>
          <w:spacing w:val="-5"/>
        </w:rPr>
        <w:t xml:space="preserve"> </w:t>
      </w:r>
      <w:r>
        <w:t>obtaining</w:t>
      </w:r>
      <w:r>
        <w:rPr>
          <w:spacing w:val="-5"/>
        </w:rPr>
        <w:t xml:space="preserve"> </w:t>
      </w:r>
      <w:r>
        <w:t xml:space="preserve">management representations as part of the audit, as described in AU-C 580, </w:t>
      </w:r>
      <w:r>
        <w:rPr>
          <w:i/>
        </w:rPr>
        <w:t>Written Representations</w:t>
      </w:r>
      <w:r>
        <w:t xml:space="preserve">; AU-C 940, </w:t>
      </w:r>
      <w:r>
        <w:rPr>
          <w:i/>
        </w:rPr>
        <w:t>An Audit of Internal Control Over Financial Reporting That Is Integrated With an Audit of Financial Statements</w:t>
      </w:r>
      <w:r>
        <w:t>; Office of Management and Budget (OMB) audit guidance; FAM 280; and FAM 550. It covers representations about</w:t>
      </w:r>
    </w:p>
    <w:p w14:paraId="0DFDC761" w14:textId="77777777" w:rsidR="00046465" w:rsidRDefault="008134EB">
      <w:pPr>
        <w:pStyle w:val="ListParagraph"/>
        <w:numPr>
          <w:ilvl w:val="1"/>
          <w:numId w:val="68"/>
        </w:numPr>
        <w:tabs>
          <w:tab w:val="left" w:pos="2160"/>
        </w:tabs>
      </w:pPr>
      <w:r>
        <w:t>financial</w:t>
      </w:r>
      <w:r>
        <w:rPr>
          <w:spacing w:val="-10"/>
        </w:rPr>
        <w:t xml:space="preserve"> </w:t>
      </w:r>
      <w:r>
        <w:rPr>
          <w:spacing w:val="-2"/>
        </w:rPr>
        <w:t>statements;</w:t>
      </w:r>
    </w:p>
    <w:p w14:paraId="0DFDC762" w14:textId="77777777" w:rsidR="00046465" w:rsidRDefault="008134EB">
      <w:pPr>
        <w:pStyle w:val="ListParagraph"/>
        <w:numPr>
          <w:ilvl w:val="1"/>
          <w:numId w:val="68"/>
        </w:numPr>
        <w:tabs>
          <w:tab w:val="left" w:pos="2160"/>
        </w:tabs>
        <w:spacing w:before="119"/>
      </w:pPr>
      <w:r>
        <w:t>internal</w:t>
      </w:r>
      <w:r>
        <w:rPr>
          <w:spacing w:val="-8"/>
        </w:rPr>
        <w:t xml:space="preserve"> </w:t>
      </w:r>
      <w:r>
        <w:t>control</w:t>
      </w:r>
      <w:r>
        <w:rPr>
          <w:spacing w:val="-7"/>
        </w:rPr>
        <w:t xml:space="preserve"> </w:t>
      </w:r>
      <w:r>
        <w:t>over</w:t>
      </w:r>
      <w:r>
        <w:rPr>
          <w:spacing w:val="-7"/>
        </w:rPr>
        <w:t xml:space="preserve"> </w:t>
      </w:r>
      <w:r>
        <w:t>financial</w:t>
      </w:r>
      <w:r>
        <w:rPr>
          <w:spacing w:val="-8"/>
        </w:rPr>
        <w:t xml:space="preserve"> </w:t>
      </w:r>
      <w:r>
        <w:rPr>
          <w:spacing w:val="-2"/>
        </w:rPr>
        <w:t>reporting;</w:t>
      </w:r>
    </w:p>
    <w:p w14:paraId="0DFDC763" w14:textId="77777777" w:rsidR="00046465" w:rsidRDefault="008134EB">
      <w:pPr>
        <w:pStyle w:val="ListParagraph"/>
        <w:numPr>
          <w:ilvl w:val="1"/>
          <w:numId w:val="68"/>
        </w:numPr>
        <w:tabs>
          <w:tab w:val="left" w:pos="2160"/>
        </w:tabs>
        <w:spacing w:before="118"/>
      </w:pPr>
      <w:r>
        <w:rPr>
          <w:spacing w:val="-2"/>
        </w:rPr>
        <w:t>fraud;</w:t>
      </w:r>
    </w:p>
    <w:p w14:paraId="0DFDC764" w14:textId="77777777" w:rsidR="00046465" w:rsidRDefault="008134EB">
      <w:pPr>
        <w:pStyle w:val="ListParagraph"/>
        <w:numPr>
          <w:ilvl w:val="1"/>
          <w:numId w:val="68"/>
        </w:numPr>
        <w:tabs>
          <w:tab w:val="left" w:pos="2160"/>
        </w:tabs>
        <w:spacing w:before="118"/>
        <w:ind w:right="1759" w:hanging="361"/>
      </w:pPr>
      <w:r>
        <w:t>whether</w:t>
      </w:r>
      <w:r>
        <w:rPr>
          <w:spacing w:val="-5"/>
        </w:rPr>
        <w:t xml:space="preserve"> </w:t>
      </w:r>
      <w:r>
        <w:t>CFO</w:t>
      </w:r>
      <w:r>
        <w:rPr>
          <w:spacing w:val="-6"/>
        </w:rPr>
        <w:t xml:space="preserve"> </w:t>
      </w:r>
      <w:r>
        <w:t>Act</w:t>
      </w:r>
      <w:r>
        <w:rPr>
          <w:spacing w:val="-5"/>
        </w:rPr>
        <w:t xml:space="preserve"> </w:t>
      </w:r>
      <w:r>
        <w:t>agencies’</w:t>
      </w:r>
      <w:r>
        <w:rPr>
          <w:spacing w:val="-5"/>
        </w:rPr>
        <w:t xml:space="preserve"> </w:t>
      </w:r>
      <w:r>
        <w:t>financial</w:t>
      </w:r>
      <w:r>
        <w:rPr>
          <w:spacing w:val="-6"/>
        </w:rPr>
        <w:t xml:space="preserve"> </w:t>
      </w:r>
      <w:r>
        <w:t>management</w:t>
      </w:r>
      <w:r>
        <w:rPr>
          <w:spacing w:val="-5"/>
        </w:rPr>
        <w:t xml:space="preserve"> </w:t>
      </w:r>
      <w:r>
        <w:t>systems</w:t>
      </w:r>
      <w:r>
        <w:rPr>
          <w:spacing w:val="-5"/>
        </w:rPr>
        <w:t xml:space="preserve"> </w:t>
      </w:r>
      <w:r>
        <w:t>comply substantially with the three requirements of FFMIA;</w:t>
      </w:r>
    </w:p>
    <w:p w14:paraId="0DFDC765" w14:textId="77777777" w:rsidR="00046465" w:rsidRDefault="008134EB">
      <w:pPr>
        <w:pStyle w:val="ListParagraph"/>
        <w:numPr>
          <w:ilvl w:val="1"/>
          <w:numId w:val="68"/>
        </w:numPr>
        <w:tabs>
          <w:tab w:val="left" w:pos="2160"/>
        </w:tabs>
        <w:spacing w:before="119"/>
        <w:ind w:right="1894"/>
      </w:pPr>
      <w:r>
        <w:t>compliance</w:t>
      </w:r>
      <w:r>
        <w:rPr>
          <w:spacing w:val="-7"/>
        </w:rPr>
        <w:t xml:space="preserve"> </w:t>
      </w:r>
      <w:r>
        <w:t>with</w:t>
      </w:r>
      <w:r>
        <w:rPr>
          <w:spacing w:val="-6"/>
        </w:rPr>
        <w:t xml:space="preserve"> </w:t>
      </w:r>
      <w:r>
        <w:t>applicable</w:t>
      </w:r>
      <w:r>
        <w:rPr>
          <w:spacing w:val="-6"/>
        </w:rPr>
        <w:t xml:space="preserve"> </w:t>
      </w:r>
      <w:r>
        <w:t>laws,</w:t>
      </w:r>
      <w:r>
        <w:rPr>
          <w:spacing w:val="-6"/>
        </w:rPr>
        <w:t xml:space="preserve"> </w:t>
      </w:r>
      <w:r>
        <w:t>regulations,</w:t>
      </w:r>
      <w:r>
        <w:rPr>
          <w:spacing w:val="-7"/>
        </w:rPr>
        <w:t xml:space="preserve"> </w:t>
      </w:r>
      <w:r>
        <w:t>contracts,</w:t>
      </w:r>
      <w:r>
        <w:rPr>
          <w:spacing w:val="-6"/>
        </w:rPr>
        <w:t xml:space="preserve"> </w:t>
      </w:r>
      <w:r>
        <w:t>and</w:t>
      </w:r>
      <w:r>
        <w:rPr>
          <w:spacing w:val="-6"/>
        </w:rPr>
        <w:t xml:space="preserve"> </w:t>
      </w:r>
      <w:r>
        <w:t xml:space="preserve">grant </w:t>
      </w:r>
      <w:r>
        <w:rPr>
          <w:spacing w:val="-2"/>
        </w:rPr>
        <w:t>agreements;</w:t>
      </w:r>
    </w:p>
    <w:p w14:paraId="0DFDC766" w14:textId="77777777" w:rsidR="00046465" w:rsidRDefault="008134EB">
      <w:pPr>
        <w:pStyle w:val="ListParagraph"/>
        <w:numPr>
          <w:ilvl w:val="1"/>
          <w:numId w:val="68"/>
        </w:numPr>
        <w:tabs>
          <w:tab w:val="left" w:pos="2160"/>
        </w:tabs>
        <w:spacing w:before="118"/>
      </w:pPr>
      <w:r>
        <w:t>social</w:t>
      </w:r>
      <w:r>
        <w:rPr>
          <w:spacing w:val="-10"/>
        </w:rPr>
        <w:t xml:space="preserve"> </w:t>
      </w:r>
      <w:r>
        <w:t>insurance;</w:t>
      </w:r>
      <w:r>
        <w:rPr>
          <w:spacing w:val="-8"/>
        </w:rPr>
        <w:t xml:space="preserve"> </w:t>
      </w:r>
      <w:r>
        <w:rPr>
          <w:spacing w:val="-5"/>
        </w:rPr>
        <w:t>and</w:t>
      </w:r>
    </w:p>
    <w:p w14:paraId="0DFDC767" w14:textId="77777777" w:rsidR="00046465" w:rsidRDefault="008134EB">
      <w:pPr>
        <w:pStyle w:val="ListParagraph"/>
        <w:numPr>
          <w:ilvl w:val="1"/>
          <w:numId w:val="68"/>
        </w:numPr>
        <w:tabs>
          <w:tab w:val="left" w:pos="2160"/>
        </w:tabs>
        <w:spacing w:before="118"/>
      </w:pPr>
      <w:r>
        <w:t>budgetary</w:t>
      </w:r>
      <w:r>
        <w:rPr>
          <w:spacing w:val="-7"/>
        </w:rPr>
        <w:t xml:space="preserve"> </w:t>
      </w:r>
      <w:r>
        <w:t>and</w:t>
      </w:r>
      <w:r>
        <w:rPr>
          <w:spacing w:val="-6"/>
        </w:rPr>
        <w:t xml:space="preserve"> </w:t>
      </w:r>
      <w:r>
        <w:t>fund</w:t>
      </w:r>
      <w:r>
        <w:rPr>
          <w:spacing w:val="-6"/>
        </w:rPr>
        <w:t xml:space="preserve"> </w:t>
      </w:r>
      <w:r>
        <w:rPr>
          <w:spacing w:val="-2"/>
        </w:rPr>
        <w:t>restrictions.</w:t>
      </w:r>
    </w:p>
    <w:p w14:paraId="0DFDC768" w14:textId="77777777" w:rsidR="00046465" w:rsidRDefault="008134EB">
      <w:pPr>
        <w:pStyle w:val="ListParagraph"/>
        <w:numPr>
          <w:ilvl w:val="0"/>
          <w:numId w:val="68"/>
        </w:numPr>
        <w:tabs>
          <w:tab w:val="left" w:pos="1800"/>
        </w:tabs>
        <w:spacing w:before="118"/>
        <w:ind w:right="775"/>
      </w:pPr>
      <w:r>
        <w:t>Written</w:t>
      </w:r>
      <w:r>
        <w:rPr>
          <w:spacing w:val="-5"/>
        </w:rPr>
        <w:t xml:space="preserve"> </w:t>
      </w:r>
      <w:r>
        <w:t>representations</w:t>
      </w:r>
      <w:r>
        <w:rPr>
          <w:spacing w:val="-6"/>
        </w:rPr>
        <w:t xml:space="preserve"> </w:t>
      </w:r>
      <w:r>
        <w:t>from</w:t>
      </w:r>
      <w:r>
        <w:rPr>
          <w:spacing w:val="-6"/>
        </w:rPr>
        <w:t xml:space="preserve"> </w:t>
      </w:r>
      <w:r>
        <w:t>management</w:t>
      </w:r>
      <w:r>
        <w:rPr>
          <w:spacing w:val="-5"/>
        </w:rPr>
        <w:t xml:space="preserve"> </w:t>
      </w:r>
      <w:r>
        <w:t>ordinarily</w:t>
      </w:r>
      <w:r>
        <w:rPr>
          <w:spacing w:val="-5"/>
        </w:rPr>
        <w:t xml:space="preserve"> </w:t>
      </w:r>
      <w:r>
        <w:t>confirm</w:t>
      </w:r>
      <w:r>
        <w:rPr>
          <w:spacing w:val="-6"/>
        </w:rPr>
        <w:t xml:space="preserve"> </w:t>
      </w:r>
      <w:r>
        <w:t>oral</w:t>
      </w:r>
      <w:r>
        <w:rPr>
          <w:spacing w:val="-5"/>
        </w:rPr>
        <w:t xml:space="preserve"> </w:t>
      </w:r>
      <w:r>
        <w:t>representations given to the auditor, indicate and document the continuing appropriateness of those representations, and reduce the possibility of misunderstanding.</w:t>
      </w:r>
    </w:p>
    <w:p w14:paraId="0DFDC769" w14:textId="77777777" w:rsidR="00046465" w:rsidRDefault="008134EB">
      <w:pPr>
        <w:pStyle w:val="BodyText"/>
        <w:spacing w:before="1"/>
        <w:ind w:left="1800" w:right="749"/>
      </w:pPr>
      <w:r>
        <w:t>Management</w:t>
      </w:r>
      <w:r>
        <w:rPr>
          <w:spacing w:val="-4"/>
        </w:rPr>
        <w:t xml:space="preserve"> </w:t>
      </w:r>
      <w:r>
        <w:t>representations</w:t>
      </w:r>
      <w:r>
        <w:rPr>
          <w:spacing w:val="-5"/>
        </w:rPr>
        <w:t xml:space="preserve"> </w:t>
      </w:r>
      <w:r>
        <w:t>are</w:t>
      </w:r>
      <w:r>
        <w:rPr>
          <w:spacing w:val="-4"/>
        </w:rPr>
        <w:t xml:space="preserve"> </w:t>
      </w:r>
      <w:r>
        <w:t>not</w:t>
      </w:r>
      <w:r>
        <w:rPr>
          <w:spacing w:val="-5"/>
        </w:rPr>
        <w:t xml:space="preserve"> </w:t>
      </w:r>
      <w:r>
        <w:t>a</w:t>
      </w:r>
      <w:r>
        <w:rPr>
          <w:spacing w:val="-4"/>
        </w:rPr>
        <w:t xml:space="preserve"> </w:t>
      </w:r>
      <w:r>
        <w:t>substitute</w:t>
      </w:r>
      <w:r>
        <w:rPr>
          <w:spacing w:val="-5"/>
        </w:rPr>
        <w:t xml:space="preserve"> </w:t>
      </w:r>
      <w:r>
        <w:t>for</w:t>
      </w:r>
      <w:r>
        <w:rPr>
          <w:spacing w:val="-4"/>
        </w:rPr>
        <w:t xml:space="preserve"> </w:t>
      </w:r>
      <w:r>
        <w:t>obtaining</w:t>
      </w:r>
      <w:r>
        <w:rPr>
          <w:spacing w:val="-5"/>
        </w:rPr>
        <w:t xml:space="preserve"> </w:t>
      </w:r>
      <w:r>
        <w:t>other</w:t>
      </w:r>
      <w:r>
        <w:rPr>
          <w:spacing w:val="-4"/>
        </w:rPr>
        <w:t xml:space="preserve"> </w:t>
      </w:r>
      <w:r>
        <w:t xml:space="preserve">audit </w:t>
      </w:r>
      <w:r>
        <w:rPr>
          <w:spacing w:val="-2"/>
        </w:rPr>
        <w:t>evidence.</w:t>
      </w:r>
    </w:p>
    <w:p w14:paraId="0DFDC76A" w14:textId="77777777" w:rsidR="00046465" w:rsidRDefault="008134EB">
      <w:pPr>
        <w:pStyle w:val="ListParagraph"/>
        <w:numPr>
          <w:ilvl w:val="0"/>
          <w:numId w:val="68"/>
        </w:numPr>
        <w:tabs>
          <w:tab w:val="left" w:pos="1800"/>
        </w:tabs>
        <w:spacing w:before="119"/>
        <w:ind w:right="760"/>
      </w:pPr>
      <w:r>
        <w:t>If the auditor has doubts about the reliability of written representations provided (e.g., other audit evidence contradicts a representation) or if requested written representations were not provided, the auditor should follow the requirements discussed in FAM 550.11 through .14 to determine the effect that this may have on the reliability of audit evidence and whether this may indicate a scope limitation</w:t>
      </w:r>
      <w:r>
        <w:rPr>
          <w:spacing w:val="-4"/>
        </w:rPr>
        <w:t xml:space="preserve"> </w:t>
      </w:r>
      <w:r>
        <w:t>sufficient</w:t>
      </w:r>
      <w:r>
        <w:rPr>
          <w:spacing w:val="-4"/>
        </w:rPr>
        <w:t xml:space="preserve"> </w:t>
      </w:r>
      <w:r>
        <w:t>to</w:t>
      </w:r>
      <w:r>
        <w:rPr>
          <w:spacing w:val="-4"/>
        </w:rPr>
        <w:t xml:space="preserve"> </w:t>
      </w:r>
      <w:r>
        <w:t>preclude</w:t>
      </w:r>
      <w:r>
        <w:rPr>
          <w:spacing w:val="-4"/>
        </w:rPr>
        <w:t xml:space="preserve"> </w:t>
      </w:r>
      <w:r>
        <w:t>an</w:t>
      </w:r>
      <w:r>
        <w:rPr>
          <w:spacing w:val="-4"/>
        </w:rPr>
        <w:t xml:space="preserve"> </w:t>
      </w:r>
      <w:r>
        <w:t>unmodified</w:t>
      </w:r>
      <w:r>
        <w:rPr>
          <w:spacing w:val="-4"/>
        </w:rPr>
        <w:t xml:space="preserve"> </w:t>
      </w:r>
      <w:r>
        <w:t>opinion.</w:t>
      </w:r>
      <w:r>
        <w:rPr>
          <w:spacing w:val="-4"/>
        </w:rPr>
        <w:t xml:space="preserve"> </w:t>
      </w:r>
      <w:r>
        <w:t>See</w:t>
      </w:r>
      <w:r>
        <w:rPr>
          <w:spacing w:val="-4"/>
        </w:rPr>
        <w:t xml:space="preserve"> </w:t>
      </w:r>
      <w:r>
        <w:t>FAM</w:t>
      </w:r>
      <w:r>
        <w:rPr>
          <w:spacing w:val="-5"/>
        </w:rPr>
        <w:t xml:space="preserve"> </w:t>
      </w:r>
      <w:r>
        <w:t>580</w:t>
      </w:r>
      <w:r>
        <w:rPr>
          <w:spacing w:val="-4"/>
        </w:rPr>
        <w:t xml:space="preserve"> </w:t>
      </w:r>
      <w:r>
        <w:t>for</w:t>
      </w:r>
      <w:r>
        <w:rPr>
          <w:spacing w:val="-4"/>
        </w:rPr>
        <w:t xml:space="preserve"> </w:t>
      </w:r>
      <w:r>
        <w:t xml:space="preserve">reporting </w:t>
      </w:r>
      <w:r>
        <w:rPr>
          <w:spacing w:val="-2"/>
        </w:rPr>
        <w:t>guidance.</w:t>
      </w:r>
    </w:p>
    <w:p w14:paraId="0DFDC76B" w14:textId="77777777" w:rsidR="00046465" w:rsidRDefault="008134EB">
      <w:pPr>
        <w:pStyle w:val="ListParagraph"/>
        <w:numPr>
          <w:ilvl w:val="0"/>
          <w:numId w:val="68"/>
        </w:numPr>
        <w:tabs>
          <w:tab w:val="left" w:pos="1801"/>
        </w:tabs>
        <w:spacing w:before="121"/>
        <w:ind w:left="1801" w:right="738"/>
      </w:pPr>
      <w:r>
        <w:t>The specific representations obtained will depend on the circumstances of the engagement</w:t>
      </w:r>
      <w:r>
        <w:rPr>
          <w:spacing w:val="-4"/>
        </w:rPr>
        <w:t xml:space="preserve"> </w:t>
      </w:r>
      <w:r>
        <w:t>and</w:t>
      </w:r>
      <w:r>
        <w:rPr>
          <w:spacing w:val="-4"/>
        </w:rPr>
        <w:t xml:space="preserve"> </w:t>
      </w:r>
      <w:r>
        <w:t>the</w:t>
      </w:r>
      <w:r>
        <w:rPr>
          <w:spacing w:val="-4"/>
        </w:rPr>
        <w:t xml:space="preserve"> </w:t>
      </w:r>
      <w:r>
        <w:t>nature</w:t>
      </w:r>
      <w:r>
        <w:rPr>
          <w:spacing w:val="-4"/>
        </w:rPr>
        <w:t xml:space="preserve"> </w:t>
      </w:r>
      <w:r>
        <w:t>and</w:t>
      </w:r>
      <w:r>
        <w:rPr>
          <w:spacing w:val="-4"/>
        </w:rPr>
        <w:t xml:space="preserve"> </w:t>
      </w:r>
      <w:r>
        <w:t>basis</w:t>
      </w:r>
      <w:r>
        <w:rPr>
          <w:spacing w:val="-4"/>
        </w:rPr>
        <w:t xml:space="preserve"> </w:t>
      </w:r>
      <w:r>
        <w:t>of</w:t>
      </w:r>
      <w:r>
        <w:rPr>
          <w:spacing w:val="-4"/>
        </w:rPr>
        <w:t xml:space="preserve"> </w:t>
      </w:r>
      <w:r>
        <w:t>presentation</w:t>
      </w:r>
      <w:r>
        <w:rPr>
          <w:spacing w:val="-4"/>
        </w:rPr>
        <w:t xml:space="preserve"> </w:t>
      </w:r>
      <w:r>
        <w:t>of</w:t>
      </w:r>
      <w:r>
        <w:rPr>
          <w:spacing w:val="-4"/>
        </w:rPr>
        <w:t xml:space="preserve"> </w:t>
      </w:r>
      <w:r>
        <w:t>the</w:t>
      </w:r>
      <w:r>
        <w:rPr>
          <w:spacing w:val="-4"/>
        </w:rPr>
        <w:t xml:space="preserve"> </w:t>
      </w:r>
      <w:r>
        <w:t>financial</w:t>
      </w:r>
      <w:r>
        <w:rPr>
          <w:spacing w:val="-5"/>
        </w:rPr>
        <w:t xml:space="preserve"> </w:t>
      </w:r>
      <w:r>
        <w:t>statements. These representations apply to all the financial statements and all periods covered by the audit report. In addition to the representations in the AICPA standards, the auditor should determine the need to obtain representations on other matters based on the circumstances of the audited entity.</w:t>
      </w:r>
    </w:p>
    <w:p w14:paraId="0DFDC76C" w14:textId="77777777" w:rsidR="00046465" w:rsidRDefault="008134EB">
      <w:pPr>
        <w:pStyle w:val="ListParagraph"/>
        <w:numPr>
          <w:ilvl w:val="0"/>
          <w:numId w:val="68"/>
        </w:numPr>
        <w:tabs>
          <w:tab w:val="left" w:pos="1801"/>
        </w:tabs>
        <w:ind w:left="1801" w:right="761" w:hanging="720"/>
      </w:pPr>
      <w:r>
        <w:t>FAM 1001 A provides an example representation letter for comparative financial statements. The auditor should customize the example representation letter to the circumstances of the entity being audited. Many example representations may need to be qualified, especially in an initial audit or in later audits where significant problems remain. For instance, the entity may need to add “except as follows:” at the end of a representation and describe the exceptions. The auditor should also determine the need to include additional representations and should not</w:t>
      </w:r>
      <w:r>
        <w:rPr>
          <w:spacing w:val="-4"/>
        </w:rPr>
        <w:t xml:space="preserve"> </w:t>
      </w:r>
      <w:r>
        <w:t>include</w:t>
      </w:r>
      <w:r>
        <w:rPr>
          <w:spacing w:val="-5"/>
        </w:rPr>
        <w:t xml:space="preserve"> </w:t>
      </w:r>
      <w:r>
        <w:t>any</w:t>
      </w:r>
      <w:r>
        <w:rPr>
          <w:spacing w:val="-4"/>
        </w:rPr>
        <w:t xml:space="preserve"> </w:t>
      </w:r>
      <w:r>
        <w:t>representations</w:t>
      </w:r>
      <w:r>
        <w:rPr>
          <w:spacing w:val="-4"/>
        </w:rPr>
        <w:t xml:space="preserve"> </w:t>
      </w:r>
      <w:r>
        <w:t>listed</w:t>
      </w:r>
      <w:r>
        <w:rPr>
          <w:spacing w:val="-4"/>
        </w:rPr>
        <w:t xml:space="preserve"> </w:t>
      </w:r>
      <w:r>
        <w:t>in</w:t>
      </w:r>
      <w:r>
        <w:rPr>
          <w:spacing w:val="-4"/>
        </w:rPr>
        <w:t xml:space="preserve"> </w:t>
      </w:r>
      <w:r>
        <w:t>the</w:t>
      </w:r>
      <w:r>
        <w:rPr>
          <w:spacing w:val="-4"/>
        </w:rPr>
        <w:t xml:space="preserve"> </w:t>
      </w:r>
      <w:r>
        <w:t>example</w:t>
      </w:r>
      <w:r>
        <w:rPr>
          <w:spacing w:val="-4"/>
        </w:rPr>
        <w:t xml:space="preserve"> </w:t>
      </w:r>
      <w:r>
        <w:t>representation</w:t>
      </w:r>
      <w:r>
        <w:rPr>
          <w:spacing w:val="-4"/>
        </w:rPr>
        <w:t xml:space="preserve"> </w:t>
      </w:r>
      <w:r>
        <w:t>letter</w:t>
      </w:r>
      <w:r>
        <w:rPr>
          <w:spacing w:val="-4"/>
        </w:rPr>
        <w:t xml:space="preserve"> </w:t>
      </w:r>
      <w:r>
        <w:t>that</w:t>
      </w:r>
      <w:r>
        <w:rPr>
          <w:spacing w:val="-4"/>
        </w:rPr>
        <w:t xml:space="preserve"> </w:t>
      </w:r>
      <w:r>
        <w:t>do not apply to the entity.</w:t>
      </w:r>
    </w:p>
    <w:p w14:paraId="0DFDC76D" w14:textId="77777777" w:rsidR="00046465" w:rsidRDefault="00046465">
      <w:pPr>
        <w:pStyle w:val="ListParagraph"/>
        <w:sectPr w:rsidR="00046465">
          <w:headerReference w:type="default" r:id="rId226"/>
          <w:footerReference w:type="default" r:id="rId227"/>
          <w:pgSz w:w="12240" w:h="15840"/>
          <w:pgMar w:top="1340" w:right="720" w:bottom="940" w:left="1080" w:header="721" w:footer="757" w:gutter="0"/>
          <w:cols w:space="720"/>
        </w:sectPr>
      </w:pPr>
    </w:p>
    <w:p w14:paraId="0DFDC76E" w14:textId="77777777" w:rsidR="00046465" w:rsidRDefault="008134EB">
      <w:pPr>
        <w:pStyle w:val="ListParagraph"/>
        <w:numPr>
          <w:ilvl w:val="0"/>
          <w:numId w:val="68"/>
        </w:numPr>
        <w:tabs>
          <w:tab w:val="left" w:pos="1800"/>
        </w:tabs>
        <w:spacing w:before="121"/>
        <w:ind w:right="737"/>
      </w:pPr>
      <w:r>
        <w:lastRenderedPageBreak/>
        <w:t>The auditor</w:t>
      </w:r>
      <w:r>
        <w:rPr>
          <w:spacing w:val="-1"/>
        </w:rPr>
        <w:t xml:space="preserve"> </w:t>
      </w:r>
      <w:r>
        <w:t>should obtain the management representation letter from the highest level of the audited entity. The auditor should decide who to ask to sign the management representation letter. Signers should be officials who, in the auditor’s view, are knowledgeable about, and responsible for, either directly or through others, the matters in the representation letter. These officials typically would be the head of the entity and the CFO or equivalent. The auditor should obtain</w:t>
      </w:r>
      <w:r>
        <w:rPr>
          <w:spacing w:val="-5"/>
        </w:rPr>
        <w:t xml:space="preserve"> </w:t>
      </w:r>
      <w:r>
        <w:t>separate</w:t>
      </w:r>
      <w:r>
        <w:rPr>
          <w:spacing w:val="-5"/>
        </w:rPr>
        <w:t xml:space="preserve"> </w:t>
      </w:r>
      <w:r>
        <w:t>management</w:t>
      </w:r>
      <w:r>
        <w:rPr>
          <w:spacing w:val="-5"/>
        </w:rPr>
        <w:t xml:space="preserve"> </w:t>
      </w:r>
      <w:r>
        <w:t>representation</w:t>
      </w:r>
      <w:r>
        <w:rPr>
          <w:spacing w:val="-5"/>
        </w:rPr>
        <w:t xml:space="preserve"> </w:t>
      </w:r>
      <w:r>
        <w:t>letters</w:t>
      </w:r>
      <w:r>
        <w:rPr>
          <w:spacing w:val="-5"/>
        </w:rPr>
        <w:t xml:space="preserve"> </w:t>
      </w:r>
      <w:r>
        <w:t>from</w:t>
      </w:r>
      <w:r>
        <w:rPr>
          <w:spacing w:val="-5"/>
        </w:rPr>
        <w:t xml:space="preserve"> </w:t>
      </w:r>
      <w:r>
        <w:t>any</w:t>
      </w:r>
      <w:r>
        <w:rPr>
          <w:spacing w:val="-5"/>
        </w:rPr>
        <w:t xml:space="preserve"> </w:t>
      </w:r>
      <w:r>
        <w:t>component</w:t>
      </w:r>
      <w:r>
        <w:rPr>
          <w:spacing w:val="-5"/>
        </w:rPr>
        <w:t xml:space="preserve"> </w:t>
      </w:r>
      <w:r>
        <w:t>units</w:t>
      </w:r>
      <w:r>
        <w:rPr>
          <w:spacing w:val="-5"/>
        </w:rPr>
        <w:t xml:space="preserve"> </w:t>
      </w:r>
      <w:r>
        <w:t>for which the auditor will issue separate reports.</w:t>
      </w:r>
    </w:p>
    <w:p w14:paraId="0DFDC76F" w14:textId="77777777" w:rsidR="00046465" w:rsidRDefault="008134EB">
      <w:pPr>
        <w:pStyle w:val="ListParagraph"/>
        <w:numPr>
          <w:ilvl w:val="0"/>
          <w:numId w:val="68"/>
        </w:numPr>
        <w:tabs>
          <w:tab w:val="left" w:pos="1800"/>
        </w:tabs>
        <w:spacing w:before="119"/>
        <w:ind w:right="775" w:hanging="720"/>
      </w:pPr>
      <w:r>
        <w:t>The auditor should ask management to prepare the representation letter on the audited entity’s letterhead addressed to the auditor (AU-C 580.21). The auditor should ensure that the representations are for all financial statements and the period(s)</w:t>
      </w:r>
      <w:r>
        <w:rPr>
          <w:spacing w:val="-3"/>
        </w:rPr>
        <w:t xml:space="preserve"> </w:t>
      </w:r>
      <w:r>
        <w:t>referred</w:t>
      </w:r>
      <w:r>
        <w:rPr>
          <w:spacing w:val="-3"/>
        </w:rPr>
        <w:t xml:space="preserve"> </w:t>
      </w:r>
      <w:r>
        <w:t>to</w:t>
      </w:r>
      <w:r>
        <w:rPr>
          <w:spacing w:val="-3"/>
        </w:rPr>
        <w:t xml:space="preserve"> </w:t>
      </w:r>
      <w:r>
        <w:t>in</w:t>
      </w:r>
      <w:r>
        <w:rPr>
          <w:spacing w:val="-3"/>
        </w:rPr>
        <w:t xml:space="preserve"> </w:t>
      </w:r>
      <w:r>
        <w:t>the</w:t>
      </w:r>
      <w:r>
        <w:rPr>
          <w:spacing w:val="-3"/>
        </w:rPr>
        <w:t xml:space="preserve"> </w:t>
      </w:r>
      <w:r>
        <w:t>auditor’s</w:t>
      </w:r>
      <w:r>
        <w:rPr>
          <w:spacing w:val="-4"/>
        </w:rPr>
        <w:t xml:space="preserve"> </w:t>
      </w:r>
      <w:r>
        <w:t>report</w:t>
      </w:r>
      <w:r>
        <w:rPr>
          <w:spacing w:val="-2"/>
        </w:rPr>
        <w:t xml:space="preserve"> </w:t>
      </w:r>
      <w:r>
        <w:t>(AU-C</w:t>
      </w:r>
      <w:r>
        <w:rPr>
          <w:spacing w:val="-4"/>
        </w:rPr>
        <w:t xml:space="preserve"> </w:t>
      </w:r>
      <w:r>
        <w:t>580.20).</w:t>
      </w:r>
      <w:r>
        <w:rPr>
          <w:spacing w:val="-3"/>
        </w:rPr>
        <w:t xml:space="preserve"> </w:t>
      </w:r>
      <w:r>
        <w:t>The</w:t>
      </w:r>
      <w:r>
        <w:rPr>
          <w:spacing w:val="-3"/>
        </w:rPr>
        <w:t xml:space="preserve"> </w:t>
      </w:r>
      <w:r>
        <w:t>date</w:t>
      </w:r>
      <w:r>
        <w:rPr>
          <w:spacing w:val="-3"/>
        </w:rPr>
        <w:t xml:space="preserve"> </w:t>
      </w:r>
      <w:r>
        <w:t>of</w:t>
      </w:r>
      <w:r>
        <w:rPr>
          <w:spacing w:val="-3"/>
        </w:rPr>
        <w:t xml:space="preserve"> </w:t>
      </w:r>
      <w:r>
        <w:t>the</w:t>
      </w:r>
      <w:r>
        <w:rPr>
          <w:spacing w:val="-3"/>
        </w:rPr>
        <w:t xml:space="preserve"> </w:t>
      </w:r>
      <w:r>
        <w:t>written representations should be as of the date of the auditor’s report (AU-C 580.20).</w:t>
      </w:r>
    </w:p>
    <w:p w14:paraId="0DFDC770" w14:textId="77777777" w:rsidR="00046465" w:rsidRDefault="008134EB">
      <w:pPr>
        <w:pStyle w:val="BodyText"/>
        <w:ind w:left="1800" w:right="749"/>
      </w:pPr>
      <w:r>
        <w:t>The audit is complete when the auditor has enough evidence and has applied enough quality controls (including supervisory, first partner, and second partner review)</w:t>
      </w:r>
      <w:r>
        <w:rPr>
          <w:spacing w:val="-3"/>
        </w:rPr>
        <w:t xml:space="preserve"> </w:t>
      </w:r>
      <w:r>
        <w:t>to</w:t>
      </w:r>
      <w:r>
        <w:rPr>
          <w:spacing w:val="-3"/>
        </w:rPr>
        <w:t xml:space="preserve"> </w:t>
      </w:r>
      <w:r>
        <w:t>be</w:t>
      </w:r>
      <w:r>
        <w:rPr>
          <w:spacing w:val="-3"/>
        </w:rPr>
        <w:t xml:space="preserve"> </w:t>
      </w:r>
      <w:r>
        <w:t>ready</w:t>
      </w:r>
      <w:r>
        <w:rPr>
          <w:spacing w:val="-3"/>
        </w:rPr>
        <w:t xml:space="preserve"> </w:t>
      </w:r>
      <w:r>
        <w:t>to</w:t>
      </w:r>
      <w:r>
        <w:rPr>
          <w:spacing w:val="-3"/>
        </w:rPr>
        <w:t xml:space="preserve"> </w:t>
      </w:r>
      <w:r>
        <w:t>sign</w:t>
      </w:r>
      <w:r>
        <w:rPr>
          <w:spacing w:val="-3"/>
        </w:rPr>
        <w:t xml:space="preserve"> </w:t>
      </w:r>
      <w:r>
        <w:t>the</w:t>
      </w:r>
      <w:r>
        <w:rPr>
          <w:spacing w:val="-3"/>
        </w:rPr>
        <w:t xml:space="preserve"> </w:t>
      </w:r>
      <w:r>
        <w:t>audit</w:t>
      </w:r>
      <w:r>
        <w:rPr>
          <w:spacing w:val="-4"/>
        </w:rPr>
        <w:t xml:space="preserve"> </w:t>
      </w:r>
      <w:r>
        <w:t>report.</w:t>
      </w:r>
      <w:r>
        <w:rPr>
          <w:spacing w:val="-3"/>
        </w:rPr>
        <w:t xml:space="preserve"> </w:t>
      </w:r>
      <w:r>
        <w:t>To</w:t>
      </w:r>
      <w:r>
        <w:rPr>
          <w:spacing w:val="-2"/>
        </w:rPr>
        <w:t xml:space="preserve"> </w:t>
      </w:r>
      <w:r>
        <w:t>be</w:t>
      </w:r>
      <w:r>
        <w:rPr>
          <w:spacing w:val="-3"/>
        </w:rPr>
        <w:t xml:space="preserve"> </w:t>
      </w:r>
      <w:r>
        <w:t>sure</w:t>
      </w:r>
      <w:r>
        <w:rPr>
          <w:spacing w:val="-3"/>
        </w:rPr>
        <w:t xml:space="preserve"> </w:t>
      </w:r>
      <w:r>
        <w:t>that</w:t>
      </w:r>
      <w:r>
        <w:rPr>
          <w:spacing w:val="-3"/>
        </w:rPr>
        <w:t xml:space="preserve"> </w:t>
      </w:r>
      <w:r>
        <w:t>the</w:t>
      </w:r>
      <w:r>
        <w:rPr>
          <w:spacing w:val="-3"/>
        </w:rPr>
        <w:t xml:space="preserve"> </w:t>
      </w:r>
      <w:r>
        <w:t>letter</w:t>
      </w:r>
      <w:r>
        <w:rPr>
          <w:spacing w:val="-3"/>
        </w:rPr>
        <w:t xml:space="preserve"> </w:t>
      </w:r>
      <w:r>
        <w:t>is</w:t>
      </w:r>
      <w:r>
        <w:rPr>
          <w:spacing w:val="-3"/>
        </w:rPr>
        <w:t xml:space="preserve"> </w:t>
      </w:r>
      <w:r>
        <w:t>ready</w:t>
      </w:r>
      <w:r>
        <w:rPr>
          <w:spacing w:val="-3"/>
        </w:rPr>
        <w:t xml:space="preserve"> </w:t>
      </w:r>
      <w:r>
        <w:t>on time, the auditor generally should provide a draft letter to management early in the audit and update it for circumstances found throughout the audit.</w:t>
      </w:r>
    </w:p>
    <w:p w14:paraId="0DFDC771" w14:textId="77777777" w:rsidR="00046465" w:rsidRDefault="008134EB">
      <w:pPr>
        <w:pStyle w:val="ListParagraph"/>
        <w:numPr>
          <w:ilvl w:val="0"/>
          <w:numId w:val="68"/>
        </w:numPr>
        <w:tabs>
          <w:tab w:val="left" w:pos="1800"/>
        </w:tabs>
        <w:ind w:right="835"/>
      </w:pPr>
      <w:r>
        <w:t>Especially</w:t>
      </w:r>
      <w:r>
        <w:rPr>
          <w:spacing w:val="-4"/>
        </w:rPr>
        <w:t xml:space="preserve"> </w:t>
      </w:r>
      <w:r>
        <w:t>for</w:t>
      </w:r>
      <w:r>
        <w:rPr>
          <w:spacing w:val="-4"/>
        </w:rPr>
        <w:t xml:space="preserve"> </w:t>
      </w:r>
      <w:r>
        <w:t>large,</w:t>
      </w:r>
      <w:r>
        <w:rPr>
          <w:spacing w:val="-4"/>
        </w:rPr>
        <w:t xml:space="preserve"> </w:t>
      </w:r>
      <w:r>
        <w:t>audited</w:t>
      </w:r>
      <w:r>
        <w:rPr>
          <w:spacing w:val="-4"/>
        </w:rPr>
        <w:t xml:space="preserve"> </w:t>
      </w:r>
      <w:r>
        <w:t>entities,</w:t>
      </w:r>
      <w:r>
        <w:rPr>
          <w:spacing w:val="-4"/>
        </w:rPr>
        <w:t xml:space="preserve"> </w:t>
      </w:r>
      <w:r>
        <w:t>management,</w:t>
      </w:r>
      <w:r>
        <w:rPr>
          <w:spacing w:val="-4"/>
        </w:rPr>
        <w:t xml:space="preserve"> </w:t>
      </w:r>
      <w:r>
        <w:t>in</w:t>
      </w:r>
      <w:r>
        <w:rPr>
          <w:spacing w:val="-4"/>
        </w:rPr>
        <w:t xml:space="preserve"> </w:t>
      </w:r>
      <w:r>
        <w:t>agreement</w:t>
      </w:r>
      <w:r>
        <w:rPr>
          <w:spacing w:val="-4"/>
        </w:rPr>
        <w:t xml:space="preserve"> </w:t>
      </w:r>
      <w:r>
        <w:t>with</w:t>
      </w:r>
      <w:r>
        <w:rPr>
          <w:spacing w:val="-4"/>
        </w:rPr>
        <w:t xml:space="preserve"> </w:t>
      </w:r>
      <w:r>
        <w:t>its</w:t>
      </w:r>
      <w:r>
        <w:rPr>
          <w:spacing w:val="-4"/>
        </w:rPr>
        <w:t xml:space="preserve"> </w:t>
      </w:r>
      <w:r>
        <w:t>auditor, should specify a materiality threshold for the management representation letter, below which items would not be reported. OMB audit guidance states that the management representation letter must specify management’s materiality threshold(s), if applicable, used for reporting items in the letter and that representations pertaining to potential violations of the Antideficiency Act are limited to those that, if true, could have a material effect on the financial statements. It also notes that management and the auditor should reach an understanding on a materiality level. If no threshold is stated, management should note all exceptions in the representation letter.</w:t>
      </w:r>
    </w:p>
    <w:p w14:paraId="0DFDC772" w14:textId="77777777" w:rsidR="00046465" w:rsidRDefault="008134EB">
      <w:pPr>
        <w:pStyle w:val="BodyText"/>
        <w:spacing w:before="121"/>
        <w:ind w:left="1800" w:right="844"/>
      </w:pPr>
      <w:r>
        <w:t>The auditor should be satisfied that such a materiality threshold is so far below performance materiality that even many items below this level would not, in the aggregate,</w:t>
      </w:r>
      <w:r>
        <w:rPr>
          <w:spacing w:val="-4"/>
        </w:rPr>
        <w:t xml:space="preserve"> </w:t>
      </w:r>
      <w:r>
        <w:t>approach</w:t>
      </w:r>
      <w:r>
        <w:rPr>
          <w:spacing w:val="-4"/>
        </w:rPr>
        <w:t xml:space="preserve"> </w:t>
      </w:r>
      <w:r>
        <w:t>performance</w:t>
      </w:r>
      <w:r>
        <w:rPr>
          <w:spacing w:val="-4"/>
        </w:rPr>
        <w:t xml:space="preserve"> </w:t>
      </w:r>
      <w:r>
        <w:t>materiality.</w:t>
      </w:r>
      <w:r>
        <w:rPr>
          <w:spacing w:val="-5"/>
        </w:rPr>
        <w:t xml:space="preserve"> </w:t>
      </w:r>
      <w:r>
        <w:t>For</w:t>
      </w:r>
      <w:r>
        <w:rPr>
          <w:spacing w:val="-4"/>
        </w:rPr>
        <w:t xml:space="preserve"> </w:t>
      </w:r>
      <w:r>
        <w:t>example,</w:t>
      </w:r>
      <w:r>
        <w:rPr>
          <w:spacing w:val="-4"/>
        </w:rPr>
        <w:t xml:space="preserve"> </w:t>
      </w:r>
      <w:r>
        <w:t>a</w:t>
      </w:r>
      <w:r>
        <w:rPr>
          <w:spacing w:val="-4"/>
        </w:rPr>
        <w:t xml:space="preserve"> </w:t>
      </w:r>
      <w:r>
        <w:t>threshold</w:t>
      </w:r>
      <w:r>
        <w:rPr>
          <w:spacing w:val="-5"/>
        </w:rPr>
        <w:t xml:space="preserve"> </w:t>
      </w:r>
      <w:r>
        <w:t>that</w:t>
      </w:r>
      <w:r>
        <w:rPr>
          <w:spacing w:val="-4"/>
        </w:rPr>
        <w:t xml:space="preserve"> </w:t>
      </w:r>
      <w:r>
        <w:t>is</w:t>
      </w:r>
      <w:r>
        <w:rPr>
          <w:spacing w:val="-4"/>
        </w:rPr>
        <w:t xml:space="preserve"> </w:t>
      </w:r>
      <w:r>
        <w:t>5 percent (or less) of performance materiality may be sufficiently low. The materiality level may be different for different representations and would not apply to those representations not directly related to amounts in the financial statements (such as the representation about responsibility for the statements).</w:t>
      </w:r>
    </w:p>
    <w:p w14:paraId="0DFDC773" w14:textId="77777777" w:rsidR="00046465" w:rsidRDefault="008134EB">
      <w:pPr>
        <w:pStyle w:val="Heading4"/>
      </w:pPr>
      <w:bookmarkStart w:id="360" w:name="Written_Representations_on_Management’s_"/>
      <w:bookmarkEnd w:id="360"/>
      <w:r>
        <w:t>Written</w:t>
      </w:r>
      <w:r>
        <w:rPr>
          <w:spacing w:val="-18"/>
        </w:rPr>
        <w:t xml:space="preserve"> </w:t>
      </w:r>
      <w:r>
        <w:t>Representations</w:t>
      </w:r>
      <w:r>
        <w:rPr>
          <w:spacing w:val="-17"/>
        </w:rPr>
        <w:t xml:space="preserve"> </w:t>
      </w:r>
      <w:r>
        <w:t>on</w:t>
      </w:r>
      <w:r>
        <w:rPr>
          <w:spacing w:val="-17"/>
        </w:rPr>
        <w:t xml:space="preserve"> </w:t>
      </w:r>
      <w:r>
        <w:t>Management’s</w:t>
      </w:r>
      <w:r>
        <w:rPr>
          <w:spacing w:val="-16"/>
        </w:rPr>
        <w:t xml:space="preserve"> </w:t>
      </w:r>
      <w:r>
        <w:rPr>
          <w:spacing w:val="-2"/>
        </w:rPr>
        <w:t>Responsibilities</w:t>
      </w:r>
    </w:p>
    <w:p w14:paraId="0DFDC774" w14:textId="77777777" w:rsidR="00046465" w:rsidRDefault="008134EB">
      <w:pPr>
        <w:pStyle w:val="ListParagraph"/>
        <w:numPr>
          <w:ilvl w:val="0"/>
          <w:numId w:val="68"/>
        </w:numPr>
        <w:tabs>
          <w:tab w:val="left" w:pos="1799"/>
        </w:tabs>
        <w:spacing w:before="119"/>
        <w:ind w:left="1799" w:right="826" w:hanging="720"/>
      </w:pPr>
      <w:r>
        <w:t>FAM 1001 A (which incorporates AU-C 580.A34) lists management representations that the auditor should obtain in a GAGAS audit, if applicable. These generally relate to management acknowledging its responsibility for the financial statements and its belief that the financial statements are fairly presented</w:t>
      </w:r>
      <w:r>
        <w:rPr>
          <w:spacing w:val="-5"/>
        </w:rPr>
        <w:t xml:space="preserve"> </w:t>
      </w:r>
      <w:r>
        <w:t>in</w:t>
      </w:r>
      <w:r>
        <w:rPr>
          <w:spacing w:val="-6"/>
        </w:rPr>
        <w:t xml:space="preserve"> </w:t>
      </w:r>
      <w:r>
        <w:t>conformity</w:t>
      </w:r>
      <w:r>
        <w:rPr>
          <w:spacing w:val="-6"/>
        </w:rPr>
        <w:t xml:space="preserve"> </w:t>
      </w:r>
      <w:r>
        <w:t>with</w:t>
      </w:r>
      <w:r>
        <w:rPr>
          <w:spacing w:val="-5"/>
        </w:rPr>
        <w:t xml:space="preserve"> </w:t>
      </w:r>
      <w:r>
        <w:t>U.S.</w:t>
      </w:r>
      <w:r>
        <w:rPr>
          <w:spacing w:val="-5"/>
        </w:rPr>
        <w:t xml:space="preserve"> </w:t>
      </w:r>
      <w:r>
        <w:t>generally</w:t>
      </w:r>
      <w:r>
        <w:rPr>
          <w:spacing w:val="-5"/>
        </w:rPr>
        <w:t xml:space="preserve"> </w:t>
      </w:r>
      <w:r>
        <w:t>accepted</w:t>
      </w:r>
      <w:r>
        <w:rPr>
          <w:spacing w:val="-5"/>
        </w:rPr>
        <w:t xml:space="preserve"> </w:t>
      </w:r>
      <w:r>
        <w:t>accounting</w:t>
      </w:r>
      <w:r>
        <w:rPr>
          <w:spacing w:val="-5"/>
        </w:rPr>
        <w:t xml:space="preserve"> </w:t>
      </w:r>
      <w:r>
        <w:t>principles</w:t>
      </w:r>
      <w:r>
        <w:rPr>
          <w:spacing w:val="-5"/>
        </w:rPr>
        <w:t xml:space="preserve"> </w:t>
      </w:r>
      <w:r>
        <w:t>(U.S. GAAP), and financial information is complete with appropriate recognition, measurement, and disclosure.</w:t>
      </w:r>
    </w:p>
    <w:p w14:paraId="0DFDC775" w14:textId="77777777" w:rsidR="00046465" w:rsidRDefault="008134EB">
      <w:pPr>
        <w:pStyle w:val="BodyText"/>
        <w:spacing w:before="119"/>
        <w:ind w:left="1800" w:right="844"/>
      </w:pPr>
      <w:r>
        <w:t>The</w:t>
      </w:r>
      <w:r>
        <w:rPr>
          <w:spacing w:val="-4"/>
        </w:rPr>
        <w:t xml:space="preserve"> </w:t>
      </w:r>
      <w:r>
        <w:t>following</w:t>
      </w:r>
      <w:r>
        <w:rPr>
          <w:spacing w:val="-4"/>
        </w:rPr>
        <w:t xml:space="preserve"> </w:t>
      </w:r>
      <w:r>
        <w:t>paragraphs</w:t>
      </w:r>
      <w:r>
        <w:rPr>
          <w:spacing w:val="-3"/>
        </w:rPr>
        <w:t xml:space="preserve"> </w:t>
      </w:r>
      <w:r>
        <w:t>provide</w:t>
      </w:r>
      <w:r>
        <w:rPr>
          <w:spacing w:val="-4"/>
        </w:rPr>
        <w:t xml:space="preserve"> </w:t>
      </w:r>
      <w:r>
        <w:t>a</w:t>
      </w:r>
      <w:r>
        <w:rPr>
          <w:spacing w:val="-5"/>
        </w:rPr>
        <w:t xml:space="preserve"> </w:t>
      </w:r>
      <w:r>
        <w:t>description</w:t>
      </w:r>
      <w:r>
        <w:rPr>
          <w:spacing w:val="-6"/>
        </w:rPr>
        <w:t xml:space="preserve"> </w:t>
      </w:r>
      <w:r>
        <w:t>of</w:t>
      </w:r>
      <w:r>
        <w:rPr>
          <w:spacing w:val="-4"/>
        </w:rPr>
        <w:t xml:space="preserve"> </w:t>
      </w:r>
      <w:r>
        <w:t>required</w:t>
      </w:r>
      <w:r>
        <w:rPr>
          <w:spacing w:val="-4"/>
        </w:rPr>
        <w:t xml:space="preserve"> </w:t>
      </w:r>
      <w:r>
        <w:t>representations, which</w:t>
      </w:r>
      <w:r>
        <w:rPr>
          <w:spacing w:val="-7"/>
        </w:rPr>
        <w:t xml:space="preserve"> </w:t>
      </w:r>
      <w:r>
        <w:t>are</w:t>
      </w:r>
      <w:r>
        <w:rPr>
          <w:spacing w:val="-7"/>
        </w:rPr>
        <w:t xml:space="preserve"> </w:t>
      </w:r>
      <w:r>
        <w:t>incorporated</w:t>
      </w:r>
      <w:r>
        <w:rPr>
          <w:spacing w:val="-6"/>
        </w:rPr>
        <w:t xml:space="preserve"> </w:t>
      </w:r>
      <w:r>
        <w:t>in</w:t>
      </w:r>
      <w:r>
        <w:rPr>
          <w:spacing w:val="-7"/>
        </w:rPr>
        <w:t xml:space="preserve"> </w:t>
      </w:r>
      <w:r>
        <w:t>the</w:t>
      </w:r>
      <w:r>
        <w:rPr>
          <w:spacing w:val="-6"/>
        </w:rPr>
        <w:t xml:space="preserve"> </w:t>
      </w:r>
      <w:r>
        <w:t>example</w:t>
      </w:r>
      <w:r>
        <w:rPr>
          <w:spacing w:val="-7"/>
        </w:rPr>
        <w:t xml:space="preserve"> </w:t>
      </w:r>
      <w:r>
        <w:t>representation</w:t>
      </w:r>
      <w:r>
        <w:rPr>
          <w:spacing w:val="-7"/>
        </w:rPr>
        <w:t xml:space="preserve"> </w:t>
      </w:r>
      <w:r>
        <w:t>letter</w:t>
      </w:r>
      <w:r>
        <w:rPr>
          <w:spacing w:val="-6"/>
        </w:rPr>
        <w:t xml:space="preserve"> </w:t>
      </w:r>
      <w:r>
        <w:t>at</w:t>
      </w:r>
      <w:r>
        <w:rPr>
          <w:spacing w:val="-7"/>
        </w:rPr>
        <w:t xml:space="preserve"> </w:t>
      </w:r>
      <w:r>
        <w:t>FAM</w:t>
      </w:r>
      <w:r>
        <w:rPr>
          <w:spacing w:val="-7"/>
        </w:rPr>
        <w:t xml:space="preserve"> </w:t>
      </w:r>
      <w:r>
        <w:t>1001</w:t>
      </w:r>
      <w:r>
        <w:rPr>
          <w:spacing w:val="-6"/>
        </w:rPr>
        <w:t xml:space="preserve"> </w:t>
      </w:r>
      <w:r>
        <w:rPr>
          <w:spacing w:val="-5"/>
        </w:rPr>
        <w:t>A.</w:t>
      </w:r>
    </w:p>
    <w:p w14:paraId="0DFDC776" w14:textId="77777777" w:rsidR="00046465" w:rsidRDefault="00046465">
      <w:pPr>
        <w:pStyle w:val="BodyText"/>
        <w:sectPr w:rsidR="00046465">
          <w:headerReference w:type="default" r:id="rId228"/>
          <w:footerReference w:type="default" r:id="rId229"/>
          <w:pgSz w:w="12240" w:h="15840"/>
          <w:pgMar w:top="1340" w:right="720" w:bottom="940" w:left="1080" w:header="721" w:footer="757" w:gutter="0"/>
          <w:pgNumType w:start="2"/>
          <w:cols w:space="720"/>
        </w:sectPr>
      </w:pPr>
    </w:p>
    <w:p w14:paraId="0DFDC777" w14:textId="77777777" w:rsidR="00046465" w:rsidRDefault="008134EB">
      <w:pPr>
        <w:pStyle w:val="Heading5"/>
        <w:spacing w:before="121"/>
        <w:rPr>
          <w:u w:val="none"/>
        </w:rPr>
      </w:pPr>
      <w:bookmarkStart w:id="361" w:name="Representations_Relating_to_Preparation_"/>
      <w:bookmarkEnd w:id="361"/>
      <w:r>
        <w:lastRenderedPageBreak/>
        <w:t>Representations</w:t>
      </w:r>
      <w:r>
        <w:rPr>
          <w:spacing w:val="-5"/>
        </w:rPr>
        <w:t xml:space="preserve"> </w:t>
      </w:r>
      <w:r>
        <w:t>Relating</w:t>
      </w:r>
      <w:r>
        <w:rPr>
          <w:spacing w:val="-5"/>
        </w:rPr>
        <w:t xml:space="preserve"> </w:t>
      </w:r>
      <w:r>
        <w:t>to</w:t>
      </w:r>
      <w:r>
        <w:rPr>
          <w:spacing w:val="-5"/>
        </w:rPr>
        <w:t xml:space="preserve"> </w:t>
      </w:r>
      <w:r>
        <w:t>Preparation</w:t>
      </w:r>
      <w:r>
        <w:rPr>
          <w:spacing w:val="-5"/>
        </w:rPr>
        <w:t xml:space="preserve"> </w:t>
      </w:r>
      <w:r>
        <w:t>and</w:t>
      </w:r>
      <w:r>
        <w:rPr>
          <w:spacing w:val="-5"/>
        </w:rPr>
        <w:t xml:space="preserve"> </w:t>
      </w:r>
      <w:r>
        <w:t>Presentation</w:t>
      </w:r>
      <w:r>
        <w:rPr>
          <w:spacing w:val="-5"/>
        </w:rPr>
        <w:t xml:space="preserve"> </w:t>
      </w:r>
      <w:r>
        <w:t>of</w:t>
      </w:r>
      <w:r>
        <w:rPr>
          <w:spacing w:val="-7"/>
        </w:rPr>
        <w:t xml:space="preserve"> </w:t>
      </w:r>
      <w:r>
        <w:t>the</w:t>
      </w:r>
      <w:r>
        <w:rPr>
          <w:spacing w:val="-5"/>
        </w:rPr>
        <w:t xml:space="preserve"> </w:t>
      </w:r>
      <w:r>
        <w:t>Financial</w:t>
      </w:r>
      <w:r>
        <w:rPr>
          <w:u w:val="none"/>
        </w:rPr>
        <w:t xml:space="preserve"> </w:t>
      </w:r>
      <w:r>
        <w:t>Statements, Required Supplementary Information, and Other Information</w:t>
      </w:r>
    </w:p>
    <w:p w14:paraId="0DFDC778" w14:textId="77777777" w:rsidR="00046465" w:rsidRDefault="008134EB">
      <w:pPr>
        <w:pStyle w:val="ListParagraph"/>
        <w:numPr>
          <w:ilvl w:val="0"/>
          <w:numId w:val="67"/>
        </w:numPr>
        <w:tabs>
          <w:tab w:val="left" w:pos="1800"/>
        </w:tabs>
        <w:ind w:right="2061"/>
      </w:pPr>
      <w:r>
        <w:t>Management’s</w:t>
      </w:r>
      <w:r>
        <w:rPr>
          <w:spacing w:val="-11"/>
        </w:rPr>
        <w:t xml:space="preserve"> </w:t>
      </w:r>
      <w:r>
        <w:t>representations</w:t>
      </w:r>
      <w:r>
        <w:rPr>
          <w:spacing w:val="-11"/>
        </w:rPr>
        <w:t xml:space="preserve"> </w:t>
      </w:r>
      <w:r>
        <w:t>should</w:t>
      </w:r>
      <w:r>
        <w:rPr>
          <w:spacing w:val="-11"/>
        </w:rPr>
        <w:t xml:space="preserve"> </w:t>
      </w:r>
      <w:r>
        <w:t>acknowledge</w:t>
      </w:r>
      <w:r>
        <w:rPr>
          <w:spacing w:val="-11"/>
        </w:rPr>
        <w:t xml:space="preserve"> </w:t>
      </w:r>
      <w:r>
        <w:t>management’s responsibilities for the following, as applicable:</w:t>
      </w:r>
    </w:p>
    <w:p w14:paraId="0DFDC779" w14:textId="77777777" w:rsidR="00046465" w:rsidRDefault="008134EB">
      <w:pPr>
        <w:pStyle w:val="ListParagraph"/>
        <w:numPr>
          <w:ilvl w:val="1"/>
          <w:numId w:val="67"/>
        </w:numPr>
        <w:tabs>
          <w:tab w:val="left" w:pos="2159"/>
        </w:tabs>
        <w:spacing w:before="119"/>
        <w:ind w:left="2159" w:right="1053"/>
      </w:pPr>
      <w:r>
        <w:t>preparation</w:t>
      </w:r>
      <w:r>
        <w:rPr>
          <w:spacing w:val="-6"/>
        </w:rPr>
        <w:t xml:space="preserve"> </w:t>
      </w:r>
      <w:r>
        <w:t>and</w:t>
      </w:r>
      <w:r>
        <w:rPr>
          <w:spacing w:val="-5"/>
        </w:rPr>
        <w:t xml:space="preserve"> </w:t>
      </w:r>
      <w:r>
        <w:t>fair</w:t>
      </w:r>
      <w:r>
        <w:rPr>
          <w:spacing w:val="-5"/>
        </w:rPr>
        <w:t xml:space="preserve"> </w:t>
      </w:r>
      <w:r>
        <w:t>presentation</w:t>
      </w:r>
      <w:r>
        <w:rPr>
          <w:spacing w:val="-5"/>
        </w:rPr>
        <w:t xml:space="preserve"> </w:t>
      </w:r>
      <w:r>
        <w:t>of</w:t>
      </w:r>
      <w:r>
        <w:rPr>
          <w:spacing w:val="-5"/>
        </w:rPr>
        <w:t xml:space="preserve"> </w:t>
      </w:r>
      <w:r>
        <w:t>the</w:t>
      </w:r>
      <w:r>
        <w:rPr>
          <w:spacing w:val="-5"/>
        </w:rPr>
        <w:t xml:space="preserve"> </w:t>
      </w:r>
      <w:r>
        <w:t>financial</w:t>
      </w:r>
      <w:r>
        <w:rPr>
          <w:spacing w:val="-6"/>
        </w:rPr>
        <w:t xml:space="preserve"> </w:t>
      </w:r>
      <w:r>
        <w:t>statements</w:t>
      </w:r>
      <w:r>
        <w:rPr>
          <w:spacing w:val="-5"/>
        </w:rPr>
        <w:t xml:space="preserve"> </w:t>
      </w:r>
      <w:r>
        <w:t>in</w:t>
      </w:r>
      <w:r>
        <w:rPr>
          <w:spacing w:val="-5"/>
        </w:rPr>
        <w:t xml:space="preserve"> </w:t>
      </w:r>
      <w:r>
        <w:t>accordance with the applicable financial reporting framework (generally U.S. GAAP) (AU-C 580.10a);</w:t>
      </w:r>
    </w:p>
    <w:p w14:paraId="0DFDC77A" w14:textId="77777777" w:rsidR="00046465" w:rsidRDefault="008134EB">
      <w:pPr>
        <w:pStyle w:val="ListParagraph"/>
        <w:numPr>
          <w:ilvl w:val="1"/>
          <w:numId w:val="67"/>
        </w:numPr>
        <w:tabs>
          <w:tab w:val="left" w:pos="2159"/>
        </w:tabs>
        <w:spacing w:before="121"/>
        <w:ind w:left="2159" w:right="1321"/>
      </w:pPr>
      <w:r>
        <w:t>preparation,</w:t>
      </w:r>
      <w:r>
        <w:rPr>
          <w:spacing w:val="-8"/>
        </w:rPr>
        <w:t xml:space="preserve"> </w:t>
      </w:r>
      <w:r>
        <w:t>presentation,</w:t>
      </w:r>
      <w:r>
        <w:rPr>
          <w:spacing w:val="-7"/>
        </w:rPr>
        <w:t xml:space="preserve"> </w:t>
      </w:r>
      <w:r>
        <w:t>and</w:t>
      </w:r>
      <w:r>
        <w:rPr>
          <w:spacing w:val="-7"/>
        </w:rPr>
        <w:t xml:space="preserve"> </w:t>
      </w:r>
      <w:r>
        <w:t>measurement</w:t>
      </w:r>
      <w:r>
        <w:rPr>
          <w:spacing w:val="-6"/>
        </w:rPr>
        <w:t xml:space="preserve"> </w:t>
      </w:r>
      <w:r>
        <w:t>of</w:t>
      </w:r>
      <w:r>
        <w:rPr>
          <w:spacing w:val="-7"/>
        </w:rPr>
        <w:t xml:space="preserve"> </w:t>
      </w:r>
      <w:r>
        <w:t>required</w:t>
      </w:r>
      <w:r>
        <w:rPr>
          <w:spacing w:val="-7"/>
        </w:rPr>
        <w:t xml:space="preserve"> </w:t>
      </w:r>
      <w:r>
        <w:t>supplementary information (AU-C 730.05c); and</w:t>
      </w:r>
    </w:p>
    <w:p w14:paraId="0DFDC77B" w14:textId="77777777" w:rsidR="00046465" w:rsidRDefault="008134EB">
      <w:pPr>
        <w:pStyle w:val="ListParagraph"/>
        <w:numPr>
          <w:ilvl w:val="1"/>
          <w:numId w:val="67"/>
        </w:numPr>
        <w:tabs>
          <w:tab w:val="left" w:pos="2159"/>
        </w:tabs>
        <w:spacing w:before="119"/>
        <w:ind w:left="2159" w:right="1285"/>
      </w:pPr>
      <w:r>
        <w:t>preparation</w:t>
      </w:r>
      <w:r>
        <w:rPr>
          <w:spacing w:val="-6"/>
        </w:rPr>
        <w:t xml:space="preserve"> </w:t>
      </w:r>
      <w:r>
        <w:t>and</w:t>
      </w:r>
      <w:r>
        <w:rPr>
          <w:spacing w:val="-5"/>
        </w:rPr>
        <w:t xml:space="preserve"> </w:t>
      </w:r>
      <w:r>
        <w:t>presentation</w:t>
      </w:r>
      <w:r>
        <w:rPr>
          <w:spacing w:val="-5"/>
        </w:rPr>
        <w:t xml:space="preserve"> </w:t>
      </w:r>
      <w:r>
        <w:t>of</w:t>
      </w:r>
      <w:r>
        <w:rPr>
          <w:spacing w:val="-5"/>
        </w:rPr>
        <w:t xml:space="preserve"> </w:t>
      </w:r>
      <w:r>
        <w:t>other</w:t>
      </w:r>
      <w:r>
        <w:rPr>
          <w:spacing w:val="-5"/>
        </w:rPr>
        <w:t xml:space="preserve"> </w:t>
      </w:r>
      <w:r>
        <w:t>information</w:t>
      </w:r>
      <w:r>
        <w:rPr>
          <w:spacing w:val="-5"/>
        </w:rPr>
        <w:t xml:space="preserve"> </w:t>
      </w:r>
      <w:r>
        <w:t>included</w:t>
      </w:r>
      <w:r>
        <w:rPr>
          <w:spacing w:val="-5"/>
        </w:rPr>
        <w:t xml:space="preserve"> </w:t>
      </w:r>
      <w:r>
        <w:t>in</w:t>
      </w:r>
      <w:r>
        <w:rPr>
          <w:spacing w:val="-6"/>
        </w:rPr>
        <w:t xml:space="preserve"> </w:t>
      </w:r>
      <w:r>
        <w:t>the</w:t>
      </w:r>
      <w:r>
        <w:rPr>
          <w:spacing w:val="-5"/>
        </w:rPr>
        <w:t xml:space="preserve"> </w:t>
      </w:r>
      <w:r>
        <w:t>entity’s annual report.</w:t>
      </w:r>
    </w:p>
    <w:p w14:paraId="0DFDC77C" w14:textId="77777777" w:rsidR="00046465" w:rsidRDefault="008134EB">
      <w:pPr>
        <w:pStyle w:val="BodyText"/>
        <w:spacing w:before="120"/>
        <w:ind w:left="1799" w:right="749"/>
      </w:pPr>
      <w:r>
        <w:t>Common</w:t>
      </w:r>
      <w:r>
        <w:rPr>
          <w:spacing w:val="-3"/>
        </w:rPr>
        <w:t xml:space="preserve"> </w:t>
      </w:r>
      <w:r>
        <w:t>presentation</w:t>
      </w:r>
      <w:r>
        <w:rPr>
          <w:spacing w:val="-3"/>
        </w:rPr>
        <w:t xml:space="preserve"> </w:t>
      </w:r>
      <w:r>
        <w:t>and</w:t>
      </w:r>
      <w:r>
        <w:rPr>
          <w:spacing w:val="-3"/>
        </w:rPr>
        <w:t xml:space="preserve"> </w:t>
      </w:r>
      <w:r>
        <w:t>disclosure</w:t>
      </w:r>
      <w:r>
        <w:rPr>
          <w:spacing w:val="-3"/>
        </w:rPr>
        <w:t xml:space="preserve"> </w:t>
      </w:r>
      <w:r>
        <w:t>items</w:t>
      </w:r>
      <w:r>
        <w:rPr>
          <w:spacing w:val="-3"/>
        </w:rPr>
        <w:t xml:space="preserve"> </w:t>
      </w:r>
      <w:r>
        <w:t>are</w:t>
      </w:r>
      <w:r>
        <w:rPr>
          <w:spacing w:val="-3"/>
        </w:rPr>
        <w:t xml:space="preserve"> </w:t>
      </w:r>
      <w:r>
        <w:t>items</w:t>
      </w:r>
      <w:r>
        <w:rPr>
          <w:spacing w:val="-3"/>
        </w:rPr>
        <w:t xml:space="preserve"> </w:t>
      </w:r>
      <w:r>
        <w:t>1</w:t>
      </w:r>
      <w:r>
        <w:rPr>
          <w:spacing w:val="-3"/>
        </w:rPr>
        <w:t xml:space="preserve"> </w:t>
      </w:r>
      <w:r>
        <w:t>through</w:t>
      </w:r>
      <w:r>
        <w:rPr>
          <w:spacing w:val="-3"/>
        </w:rPr>
        <w:t xml:space="preserve"> </w:t>
      </w:r>
      <w:r>
        <w:t>17.</w:t>
      </w:r>
      <w:r>
        <w:rPr>
          <w:spacing w:val="-3"/>
        </w:rPr>
        <w:t xml:space="preserve"> </w:t>
      </w:r>
      <w:r>
        <w:t>If</w:t>
      </w:r>
      <w:r>
        <w:rPr>
          <w:spacing w:val="-3"/>
        </w:rPr>
        <w:t xml:space="preserve"> </w:t>
      </w:r>
      <w:r>
        <w:t>the</w:t>
      </w:r>
      <w:r>
        <w:rPr>
          <w:spacing w:val="-4"/>
        </w:rPr>
        <w:t xml:space="preserve"> </w:t>
      </w:r>
      <w:r>
        <w:t>auditor is engaged to report on whether supplementary information is fairly stated, in all material respects, in relation to the financial statements as a whole, the auditor should obtain management’s representation acknowledging its responsibility for supplementary</w:t>
      </w:r>
      <w:r>
        <w:rPr>
          <w:spacing w:val="-5"/>
        </w:rPr>
        <w:t xml:space="preserve"> </w:t>
      </w:r>
      <w:r>
        <w:t>information</w:t>
      </w:r>
      <w:r>
        <w:rPr>
          <w:spacing w:val="-5"/>
        </w:rPr>
        <w:t xml:space="preserve"> </w:t>
      </w:r>
      <w:r>
        <w:t>as</w:t>
      </w:r>
      <w:r>
        <w:rPr>
          <w:spacing w:val="-5"/>
        </w:rPr>
        <w:t xml:space="preserve"> </w:t>
      </w:r>
      <w:r>
        <w:t>required</w:t>
      </w:r>
      <w:r>
        <w:rPr>
          <w:spacing w:val="-5"/>
        </w:rPr>
        <w:t xml:space="preserve"> </w:t>
      </w:r>
      <w:r>
        <w:t>by</w:t>
      </w:r>
      <w:r>
        <w:rPr>
          <w:spacing w:val="-5"/>
        </w:rPr>
        <w:t xml:space="preserve"> </w:t>
      </w:r>
      <w:r>
        <w:t>AU-C</w:t>
      </w:r>
      <w:r>
        <w:rPr>
          <w:spacing w:val="-6"/>
        </w:rPr>
        <w:t xml:space="preserve"> </w:t>
      </w:r>
      <w:r>
        <w:t>725,</w:t>
      </w:r>
      <w:r>
        <w:rPr>
          <w:spacing w:val="-5"/>
        </w:rPr>
        <w:t xml:space="preserve"> </w:t>
      </w:r>
      <w:r>
        <w:rPr>
          <w:i/>
        </w:rPr>
        <w:t>Supplementary</w:t>
      </w:r>
      <w:r>
        <w:rPr>
          <w:i/>
          <w:spacing w:val="-5"/>
        </w:rPr>
        <w:t xml:space="preserve"> </w:t>
      </w:r>
      <w:r>
        <w:rPr>
          <w:i/>
        </w:rPr>
        <w:t>Information in Relation to the Financial Statements as a Whole</w:t>
      </w:r>
      <w:r>
        <w:t>, and OMB audit guidance.</w:t>
      </w:r>
    </w:p>
    <w:p w14:paraId="0DFDC77D" w14:textId="77777777" w:rsidR="00046465" w:rsidRDefault="008134EB">
      <w:pPr>
        <w:pStyle w:val="Heading5"/>
        <w:rPr>
          <w:u w:val="none"/>
        </w:rPr>
      </w:pPr>
      <w:bookmarkStart w:id="362" w:name="Representations_Relating_to_Information_"/>
      <w:bookmarkEnd w:id="362"/>
      <w:r>
        <w:t>Representations</w:t>
      </w:r>
      <w:r>
        <w:rPr>
          <w:spacing w:val="-6"/>
        </w:rPr>
        <w:t xml:space="preserve"> </w:t>
      </w:r>
      <w:r>
        <w:t>Relating</w:t>
      </w:r>
      <w:r>
        <w:rPr>
          <w:spacing w:val="-6"/>
        </w:rPr>
        <w:t xml:space="preserve"> </w:t>
      </w:r>
      <w:r>
        <w:t>to</w:t>
      </w:r>
      <w:r>
        <w:rPr>
          <w:spacing w:val="-7"/>
        </w:rPr>
        <w:t xml:space="preserve"> </w:t>
      </w:r>
      <w:r>
        <w:t>Information</w:t>
      </w:r>
      <w:r>
        <w:rPr>
          <w:spacing w:val="-7"/>
        </w:rPr>
        <w:t xml:space="preserve"> </w:t>
      </w:r>
      <w:r>
        <w:t>Provided</w:t>
      </w:r>
      <w:r>
        <w:rPr>
          <w:spacing w:val="-6"/>
        </w:rPr>
        <w:t xml:space="preserve"> </w:t>
      </w:r>
      <w:r>
        <w:t>and</w:t>
      </w:r>
      <w:r>
        <w:rPr>
          <w:spacing w:val="-6"/>
        </w:rPr>
        <w:t xml:space="preserve"> </w:t>
      </w:r>
      <w:r>
        <w:t>Completeness</w:t>
      </w:r>
      <w:r>
        <w:rPr>
          <w:spacing w:val="-6"/>
        </w:rPr>
        <w:t xml:space="preserve"> </w:t>
      </w:r>
      <w:r>
        <w:t>of</w:t>
      </w:r>
      <w:r>
        <w:rPr>
          <w:u w:val="none"/>
        </w:rPr>
        <w:t xml:space="preserve"> </w:t>
      </w:r>
      <w:r>
        <w:rPr>
          <w:spacing w:val="-2"/>
        </w:rPr>
        <w:t>Transactions</w:t>
      </w:r>
    </w:p>
    <w:p w14:paraId="0DFDC77E" w14:textId="77777777" w:rsidR="00046465" w:rsidRDefault="008134EB">
      <w:pPr>
        <w:pStyle w:val="ListParagraph"/>
        <w:numPr>
          <w:ilvl w:val="0"/>
          <w:numId w:val="67"/>
        </w:numPr>
        <w:tabs>
          <w:tab w:val="left" w:pos="1799"/>
        </w:tabs>
        <w:ind w:left="1799" w:hanging="719"/>
      </w:pPr>
      <w:r>
        <w:t>Management’s</w:t>
      </w:r>
      <w:r>
        <w:rPr>
          <w:spacing w:val="-14"/>
        </w:rPr>
        <w:t xml:space="preserve"> </w:t>
      </w:r>
      <w:r>
        <w:t>representations</w:t>
      </w:r>
      <w:r>
        <w:rPr>
          <w:spacing w:val="-14"/>
        </w:rPr>
        <w:t xml:space="preserve"> </w:t>
      </w:r>
      <w:r>
        <w:t>should</w:t>
      </w:r>
      <w:r>
        <w:rPr>
          <w:spacing w:val="-14"/>
        </w:rPr>
        <w:t xml:space="preserve"> </w:t>
      </w:r>
      <w:r>
        <w:t>acknowledge</w:t>
      </w:r>
      <w:r>
        <w:rPr>
          <w:spacing w:val="-14"/>
        </w:rPr>
        <w:t xml:space="preserve"> </w:t>
      </w:r>
      <w:r>
        <w:rPr>
          <w:spacing w:val="-4"/>
        </w:rPr>
        <w:t>that</w:t>
      </w:r>
    </w:p>
    <w:p w14:paraId="0DFDC77F" w14:textId="77777777" w:rsidR="00046465" w:rsidRDefault="008134EB">
      <w:pPr>
        <w:pStyle w:val="ListParagraph"/>
        <w:numPr>
          <w:ilvl w:val="1"/>
          <w:numId w:val="67"/>
        </w:numPr>
        <w:tabs>
          <w:tab w:val="left" w:pos="2159"/>
        </w:tabs>
        <w:ind w:left="2159" w:right="1418"/>
      </w:pPr>
      <w:r>
        <w:t>management</w:t>
      </w:r>
      <w:r>
        <w:rPr>
          <w:spacing w:val="-5"/>
        </w:rPr>
        <w:t xml:space="preserve"> </w:t>
      </w:r>
      <w:r>
        <w:t>has</w:t>
      </w:r>
      <w:r>
        <w:rPr>
          <w:spacing w:val="-5"/>
        </w:rPr>
        <w:t xml:space="preserve"> </w:t>
      </w:r>
      <w:r>
        <w:t>provided</w:t>
      </w:r>
      <w:r>
        <w:rPr>
          <w:spacing w:val="-5"/>
        </w:rPr>
        <w:t xml:space="preserve"> </w:t>
      </w:r>
      <w:r>
        <w:t>the</w:t>
      </w:r>
      <w:r>
        <w:rPr>
          <w:spacing w:val="-5"/>
        </w:rPr>
        <w:t xml:space="preserve"> </w:t>
      </w:r>
      <w:r>
        <w:t>auditor</w:t>
      </w:r>
      <w:r>
        <w:rPr>
          <w:spacing w:val="-5"/>
        </w:rPr>
        <w:t xml:space="preserve"> </w:t>
      </w:r>
      <w:r>
        <w:t>with</w:t>
      </w:r>
      <w:r>
        <w:rPr>
          <w:spacing w:val="-5"/>
        </w:rPr>
        <w:t xml:space="preserve"> </w:t>
      </w:r>
      <w:r>
        <w:t>all</w:t>
      </w:r>
      <w:r>
        <w:rPr>
          <w:spacing w:val="-5"/>
        </w:rPr>
        <w:t xml:space="preserve"> </w:t>
      </w:r>
      <w:r>
        <w:t>relevant</w:t>
      </w:r>
      <w:r>
        <w:rPr>
          <w:spacing w:val="-5"/>
        </w:rPr>
        <w:t xml:space="preserve"> </w:t>
      </w:r>
      <w:r>
        <w:t>information</w:t>
      </w:r>
      <w:r>
        <w:rPr>
          <w:spacing w:val="-5"/>
        </w:rPr>
        <w:t xml:space="preserve"> </w:t>
      </w:r>
      <w:r>
        <w:t>and access, as agreed upon in the terms of the audit engagement, and</w:t>
      </w:r>
    </w:p>
    <w:p w14:paraId="0DFDC780" w14:textId="77777777" w:rsidR="00046465" w:rsidRDefault="008134EB">
      <w:pPr>
        <w:pStyle w:val="ListParagraph"/>
        <w:numPr>
          <w:ilvl w:val="1"/>
          <w:numId w:val="67"/>
        </w:numPr>
        <w:tabs>
          <w:tab w:val="left" w:pos="2159"/>
        </w:tabs>
        <w:spacing w:before="119"/>
        <w:ind w:left="2159" w:right="1613"/>
      </w:pPr>
      <w:r>
        <w:t>all</w:t>
      </w:r>
      <w:r>
        <w:rPr>
          <w:spacing w:val="-4"/>
        </w:rPr>
        <w:t xml:space="preserve"> </w:t>
      </w:r>
      <w:r>
        <w:t>transactions</w:t>
      </w:r>
      <w:r>
        <w:rPr>
          <w:spacing w:val="-4"/>
        </w:rPr>
        <w:t xml:space="preserve"> </w:t>
      </w:r>
      <w:r>
        <w:t>have</w:t>
      </w:r>
      <w:r>
        <w:rPr>
          <w:spacing w:val="-4"/>
        </w:rPr>
        <w:t xml:space="preserve"> </w:t>
      </w:r>
      <w:r>
        <w:t>been</w:t>
      </w:r>
      <w:r>
        <w:rPr>
          <w:spacing w:val="-4"/>
        </w:rPr>
        <w:t xml:space="preserve"> </w:t>
      </w:r>
      <w:r>
        <w:t>recorded</w:t>
      </w:r>
      <w:r>
        <w:rPr>
          <w:spacing w:val="-5"/>
        </w:rPr>
        <w:t xml:space="preserve"> </w:t>
      </w:r>
      <w:r>
        <w:t>and</w:t>
      </w:r>
      <w:r>
        <w:rPr>
          <w:spacing w:val="-4"/>
        </w:rPr>
        <w:t xml:space="preserve"> </w:t>
      </w:r>
      <w:r>
        <w:t>are</w:t>
      </w:r>
      <w:r>
        <w:rPr>
          <w:spacing w:val="-4"/>
        </w:rPr>
        <w:t xml:space="preserve"> </w:t>
      </w:r>
      <w:r>
        <w:t>reflected</w:t>
      </w:r>
      <w:r>
        <w:rPr>
          <w:spacing w:val="-4"/>
        </w:rPr>
        <w:t xml:space="preserve"> </w:t>
      </w:r>
      <w:r>
        <w:t>in</w:t>
      </w:r>
      <w:r>
        <w:rPr>
          <w:spacing w:val="-4"/>
        </w:rPr>
        <w:t xml:space="preserve"> </w:t>
      </w:r>
      <w:r>
        <w:t>the</w:t>
      </w:r>
      <w:r>
        <w:rPr>
          <w:spacing w:val="-5"/>
        </w:rPr>
        <w:t xml:space="preserve"> </w:t>
      </w:r>
      <w:r>
        <w:t>financial statements (AU-C 580.11).</w:t>
      </w:r>
    </w:p>
    <w:p w14:paraId="0DFDC781" w14:textId="77777777" w:rsidR="00046465" w:rsidRDefault="008134EB">
      <w:pPr>
        <w:pStyle w:val="BodyText"/>
        <w:spacing w:before="120"/>
        <w:ind w:left="1800"/>
      </w:pPr>
      <w:r>
        <w:t>See</w:t>
      </w:r>
      <w:r>
        <w:rPr>
          <w:spacing w:val="-6"/>
        </w:rPr>
        <w:t xml:space="preserve"> </w:t>
      </w:r>
      <w:r>
        <w:t>example</w:t>
      </w:r>
      <w:r>
        <w:rPr>
          <w:spacing w:val="-5"/>
        </w:rPr>
        <w:t xml:space="preserve"> </w:t>
      </w:r>
      <w:r>
        <w:t>items</w:t>
      </w:r>
      <w:r>
        <w:rPr>
          <w:spacing w:val="-5"/>
        </w:rPr>
        <w:t xml:space="preserve"> </w:t>
      </w:r>
      <w:r>
        <w:t>5</w:t>
      </w:r>
      <w:r>
        <w:rPr>
          <w:spacing w:val="-5"/>
        </w:rPr>
        <w:t xml:space="preserve"> </w:t>
      </w:r>
      <w:r>
        <w:t>and</w:t>
      </w:r>
      <w:r>
        <w:rPr>
          <w:spacing w:val="-5"/>
        </w:rPr>
        <w:t xml:space="preserve"> 7.</w:t>
      </w:r>
    </w:p>
    <w:p w14:paraId="0DFDC782" w14:textId="77777777" w:rsidR="00046465" w:rsidRDefault="008134EB">
      <w:pPr>
        <w:pStyle w:val="Heading5"/>
        <w:rPr>
          <w:u w:val="none"/>
        </w:rPr>
      </w:pPr>
      <w:bookmarkStart w:id="363" w:name="Representations_Relating_to_Internal_Con"/>
      <w:bookmarkEnd w:id="363"/>
      <w:r>
        <w:t>Representations</w:t>
      </w:r>
      <w:r>
        <w:rPr>
          <w:spacing w:val="-7"/>
        </w:rPr>
        <w:t xml:space="preserve"> </w:t>
      </w:r>
      <w:r>
        <w:t>Relating</w:t>
      </w:r>
      <w:r>
        <w:rPr>
          <w:spacing w:val="-4"/>
        </w:rPr>
        <w:t xml:space="preserve"> </w:t>
      </w:r>
      <w:r>
        <w:t>to</w:t>
      </w:r>
      <w:r>
        <w:rPr>
          <w:spacing w:val="-6"/>
        </w:rPr>
        <w:t xml:space="preserve"> </w:t>
      </w:r>
      <w:r>
        <w:t>Internal</w:t>
      </w:r>
      <w:r>
        <w:rPr>
          <w:spacing w:val="-3"/>
        </w:rPr>
        <w:t xml:space="preserve"> </w:t>
      </w:r>
      <w:r>
        <w:rPr>
          <w:spacing w:val="-2"/>
        </w:rPr>
        <w:t>Control</w:t>
      </w:r>
    </w:p>
    <w:p w14:paraId="0DFDC783" w14:textId="77777777" w:rsidR="00046465" w:rsidRDefault="008134EB">
      <w:pPr>
        <w:pStyle w:val="ListParagraph"/>
        <w:numPr>
          <w:ilvl w:val="0"/>
          <w:numId w:val="67"/>
        </w:numPr>
        <w:tabs>
          <w:tab w:val="left" w:pos="1800"/>
        </w:tabs>
        <w:ind w:right="1031"/>
      </w:pPr>
      <w:r>
        <w:t>Internal</w:t>
      </w:r>
      <w:r>
        <w:rPr>
          <w:spacing w:val="-4"/>
        </w:rPr>
        <w:t xml:space="preserve"> </w:t>
      </w:r>
      <w:r>
        <w:t>control</w:t>
      </w:r>
      <w:r>
        <w:rPr>
          <w:spacing w:val="-4"/>
        </w:rPr>
        <w:t xml:space="preserve"> </w:t>
      </w:r>
      <w:r>
        <w:t>representations</w:t>
      </w:r>
      <w:r>
        <w:rPr>
          <w:spacing w:val="-3"/>
        </w:rPr>
        <w:t xml:space="preserve"> </w:t>
      </w:r>
      <w:r>
        <w:t>are</w:t>
      </w:r>
      <w:r>
        <w:rPr>
          <w:spacing w:val="-4"/>
        </w:rPr>
        <w:t xml:space="preserve"> </w:t>
      </w:r>
      <w:r>
        <w:t>found</w:t>
      </w:r>
      <w:r>
        <w:rPr>
          <w:spacing w:val="-4"/>
        </w:rPr>
        <w:t xml:space="preserve"> </w:t>
      </w:r>
      <w:r>
        <w:t>in</w:t>
      </w:r>
      <w:r>
        <w:rPr>
          <w:spacing w:val="-4"/>
        </w:rPr>
        <w:t xml:space="preserve"> </w:t>
      </w:r>
      <w:r>
        <w:t>AU-C</w:t>
      </w:r>
      <w:r>
        <w:rPr>
          <w:spacing w:val="-5"/>
        </w:rPr>
        <w:t xml:space="preserve"> </w:t>
      </w:r>
      <w:r>
        <w:t>580.10b</w:t>
      </w:r>
      <w:r>
        <w:rPr>
          <w:spacing w:val="-4"/>
        </w:rPr>
        <w:t xml:space="preserve"> </w:t>
      </w:r>
      <w:r>
        <w:t>and</w:t>
      </w:r>
      <w:r>
        <w:rPr>
          <w:spacing w:val="-4"/>
        </w:rPr>
        <w:t xml:space="preserve"> </w:t>
      </w:r>
      <w:r>
        <w:t>940.57.</w:t>
      </w:r>
      <w:r>
        <w:rPr>
          <w:spacing w:val="-5"/>
        </w:rPr>
        <w:t xml:space="preserve"> </w:t>
      </w:r>
      <w:r>
        <w:t>These representations relate to management</w:t>
      </w:r>
    </w:p>
    <w:p w14:paraId="0DFDC784" w14:textId="77777777" w:rsidR="00046465" w:rsidRDefault="008134EB">
      <w:pPr>
        <w:pStyle w:val="ListParagraph"/>
        <w:numPr>
          <w:ilvl w:val="1"/>
          <w:numId w:val="67"/>
        </w:numPr>
        <w:tabs>
          <w:tab w:val="left" w:pos="2159"/>
        </w:tabs>
        <w:spacing w:before="119"/>
        <w:ind w:left="2159" w:right="782"/>
      </w:pPr>
      <w:r>
        <w:t>acknowledging</w:t>
      </w:r>
      <w:r>
        <w:rPr>
          <w:spacing w:val="-6"/>
        </w:rPr>
        <w:t xml:space="preserve"> </w:t>
      </w:r>
      <w:r>
        <w:t>its</w:t>
      </w:r>
      <w:r>
        <w:rPr>
          <w:spacing w:val="-6"/>
        </w:rPr>
        <w:t xml:space="preserve"> </w:t>
      </w:r>
      <w:r>
        <w:t>responsibility</w:t>
      </w:r>
      <w:r>
        <w:rPr>
          <w:spacing w:val="-6"/>
        </w:rPr>
        <w:t xml:space="preserve"> </w:t>
      </w:r>
      <w:r>
        <w:t>for</w:t>
      </w:r>
      <w:r>
        <w:rPr>
          <w:spacing w:val="-6"/>
        </w:rPr>
        <w:t xml:space="preserve"> </w:t>
      </w:r>
      <w:r>
        <w:t>designing,</w:t>
      </w:r>
      <w:r>
        <w:rPr>
          <w:spacing w:val="-6"/>
        </w:rPr>
        <w:t xml:space="preserve"> </w:t>
      </w:r>
      <w:r>
        <w:t>implementing,</w:t>
      </w:r>
      <w:r>
        <w:rPr>
          <w:spacing w:val="-6"/>
        </w:rPr>
        <w:t xml:space="preserve"> </w:t>
      </w:r>
      <w:r>
        <w:t>and</w:t>
      </w:r>
      <w:r>
        <w:rPr>
          <w:spacing w:val="-6"/>
        </w:rPr>
        <w:t xml:space="preserve"> </w:t>
      </w:r>
      <w:r>
        <w:t>maintaining effective internal control over financial reporting relevant to the preparation and fair presentation of financial statements that are free from material misstatement, whether due to fraud or error (item 19);</w:t>
      </w:r>
    </w:p>
    <w:p w14:paraId="0DFDC785" w14:textId="77777777" w:rsidR="00046465" w:rsidRDefault="008134EB">
      <w:pPr>
        <w:pStyle w:val="ListParagraph"/>
        <w:numPr>
          <w:ilvl w:val="1"/>
          <w:numId w:val="67"/>
        </w:numPr>
        <w:tabs>
          <w:tab w:val="left" w:pos="2159"/>
        </w:tabs>
        <w:spacing w:before="121"/>
        <w:ind w:left="2159" w:right="878"/>
      </w:pPr>
      <w:r>
        <w:t>stating</w:t>
      </w:r>
      <w:r>
        <w:rPr>
          <w:spacing w:val="-4"/>
        </w:rPr>
        <w:t xml:space="preserve"> </w:t>
      </w:r>
      <w:r>
        <w:t>that</w:t>
      </w:r>
      <w:r>
        <w:rPr>
          <w:spacing w:val="-5"/>
        </w:rPr>
        <w:t xml:space="preserve"> </w:t>
      </w:r>
      <w:r>
        <w:t>management</w:t>
      </w:r>
      <w:r>
        <w:rPr>
          <w:spacing w:val="-4"/>
        </w:rPr>
        <w:t xml:space="preserve"> </w:t>
      </w:r>
      <w:r>
        <w:t>has</w:t>
      </w:r>
      <w:r>
        <w:rPr>
          <w:spacing w:val="-4"/>
        </w:rPr>
        <w:t xml:space="preserve"> </w:t>
      </w:r>
      <w:r>
        <w:t>performed</w:t>
      </w:r>
      <w:r>
        <w:rPr>
          <w:spacing w:val="-4"/>
        </w:rPr>
        <w:t xml:space="preserve"> </w:t>
      </w:r>
      <w:r>
        <w:t>an</w:t>
      </w:r>
      <w:r>
        <w:rPr>
          <w:spacing w:val="-4"/>
        </w:rPr>
        <w:t xml:space="preserve"> </w:t>
      </w:r>
      <w:r>
        <w:t>assessment</w:t>
      </w:r>
      <w:r>
        <w:rPr>
          <w:spacing w:val="-4"/>
        </w:rPr>
        <w:t xml:space="preserve"> </w:t>
      </w:r>
      <w:r>
        <w:t>of</w:t>
      </w:r>
      <w:r>
        <w:rPr>
          <w:spacing w:val="-4"/>
        </w:rPr>
        <w:t xml:space="preserve"> </w:t>
      </w:r>
      <w:r>
        <w:t>the</w:t>
      </w:r>
      <w:r>
        <w:rPr>
          <w:spacing w:val="-4"/>
        </w:rPr>
        <w:t xml:space="preserve"> </w:t>
      </w:r>
      <w:r>
        <w:t xml:space="preserve">effectiveness of the entity’s internal control over financial reporting and specifying the control criteria (item 21) (optional if the auditor is not opining on internal </w:t>
      </w:r>
      <w:r>
        <w:rPr>
          <w:spacing w:val="-2"/>
        </w:rPr>
        <w:t>control);</w:t>
      </w:r>
    </w:p>
    <w:p w14:paraId="0DFDC786" w14:textId="77777777" w:rsidR="00046465" w:rsidRDefault="008134EB">
      <w:pPr>
        <w:pStyle w:val="ListParagraph"/>
        <w:numPr>
          <w:ilvl w:val="1"/>
          <w:numId w:val="67"/>
        </w:numPr>
        <w:tabs>
          <w:tab w:val="left" w:pos="2159"/>
        </w:tabs>
        <w:ind w:left="2159" w:right="1037"/>
      </w:pPr>
      <w:r>
        <w:t>stating that management did not use the auditor’s procedures performed during</w:t>
      </w:r>
      <w:r>
        <w:rPr>
          <w:spacing w:val="-3"/>
        </w:rPr>
        <w:t xml:space="preserve"> </w:t>
      </w:r>
      <w:r>
        <w:t>the</w:t>
      </w:r>
      <w:r>
        <w:rPr>
          <w:spacing w:val="-3"/>
        </w:rPr>
        <w:t xml:space="preserve"> </w:t>
      </w:r>
      <w:r>
        <w:t>integrated</w:t>
      </w:r>
      <w:r>
        <w:rPr>
          <w:spacing w:val="-3"/>
        </w:rPr>
        <w:t xml:space="preserve"> </w:t>
      </w:r>
      <w:r>
        <w:t>audit</w:t>
      </w:r>
      <w:r>
        <w:rPr>
          <w:spacing w:val="-3"/>
        </w:rPr>
        <w:t xml:space="preserve"> </w:t>
      </w:r>
      <w:r>
        <w:t>as</w:t>
      </w:r>
      <w:r>
        <w:rPr>
          <w:spacing w:val="-3"/>
        </w:rPr>
        <w:t xml:space="preserve"> </w:t>
      </w:r>
      <w:r>
        <w:t>part</w:t>
      </w:r>
      <w:r>
        <w:rPr>
          <w:spacing w:val="-3"/>
        </w:rPr>
        <w:t xml:space="preserve"> </w:t>
      </w:r>
      <w:r>
        <w:t>of</w:t>
      </w:r>
      <w:r>
        <w:rPr>
          <w:spacing w:val="-4"/>
        </w:rPr>
        <w:t xml:space="preserve"> </w:t>
      </w:r>
      <w:r>
        <w:t>the</w:t>
      </w:r>
      <w:r>
        <w:rPr>
          <w:spacing w:val="-3"/>
        </w:rPr>
        <w:t xml:space="preserve"> </w:t>
      </w:r>
      <w:r>
        <w:t>basis</w:t>
      </w:r>
      <w:r>
        <w:rPr>
          <w:spacing w:val="-3"/>
        </w:rPr>
        <w:t xml:space="preserve"> </w:t>
      </w:r>
      <w:r>
        <w:t>for</w:t>
      </w:r>
      <w:r>
        <w:rPr>
          <w:spacing w:val="-3"/>
        </w:rPr>
        <w:t xml:space="preserve"> </w:t>
      </w:r>
      <w:r>
        <w:t>its</w:t>
      </w:r>
      <w:r>
        <w:rPr>
          <w:spacing w:val="-2"/>
        </w:rPr>
        <w:t xml:space="preserve"> </w:t>
      </w:r>
      <w:r>
        <w:t>assessment</w:t>
      </w:r>
      <w:r>
        <w:rPr>
          <w:spacing w:val="-3"/>
        </w:rPr>
        <w:t xml:space="preserve"> </w:t>
      </w:r>
      <w:r>
        <w:t>(item</w:t>
      </w:r>
      <w:r>
        <w:rPr>
          <w:spacing w:val="-4"/>
        </w:rPr>
        <w:t xml:space="preserve"> </w:t>
      </w:r>
      <w:r>
        <w:t>23) (not applicable if the auditor is not opining on internal control);</w:t>
      </w:r>
    </w:p>
    <w:p w14:paraId="0DFDC787" w14:textId="77777777" w:rsidR="00046465" w:rsidRDefault="008134EB">
      <w:pPr>
        <w:pStyle w:val="ListParagraph"/>
        <w:numPr>
          <w:ilvl w:val="1"/>
          <w:numId w:val="67"/>
        </w:numPr>
        <w:tabs>
          <w:tab w:val="left" w:pos="2159"/>
        </w:tabs>
        <w:spacing w:before="119"/>
        <w:ind w:left="2159" w:right="930"/>
        <w:jc w:val="both"/>
      </w:pPr>
      <w:r>
        <w:t>stating</w:t>
      </w:r>
      <w:r>
        <w:rPr>
          <w:spacing w:val="-4"/>
        </w:rPr>
        <w:t xml:space="preserve"> </w:t>
      </w:r>
      <w:r>
        <w:t>its</w:t>
      </w:r>
      <w:r>
        <w:rPr>
          <w:spacing w:val="-4"/>
        </w:rPr>
        <w:t xml:space="preserve"> </w:t>
      </w:r>
      <w:r>
        <w:t>assessment</w:t>
      </w:r>
      <w:r>
        <w:rPr>
          <w:spacing w:val="-4"/>
        </w:rPr>
        <w:t xml:space="preserve"> </w:t>
      </w:r>
      <w:r>
        <w:t>about</w:t>
      </w:r>
      <w:r>
        <w:rPr>
          <w:spacing w:val="-4"/>
        </w:rPr>
        <w:t xml:space="preserve"> </w:t>
      </w:r>
      <w:r>
        <w:t>the</w:t>
      </w:r>
      <w:r>
        <w:rPr>
          <w:spacing w:val="-4"/>
        </w:rPr>
        <w:t xml:space="preserve"> </w:t>
      </w:r>
      <w:r>
        <w:t>effectiveness</w:t>
      </w:r>
      <w:r>
        <w:rPr>
          <w:spacing w:val="-4"/>
        </w:rPr>
        <w:t xml:space="preserve"> </w:t>
      </w:r>
      <w:r>
        <w:t>of</w:t>
      </w:r>
      <w:r>
        <w:rPr>
          <w:spacing w:val="-5"/>
        </w:rPr>
        <w:t xml:space="preserve"> </w:t>
      </w:r>
      <w:r>
        <w:t>the</w:t>
      </w:r>
      <w:r>
        <w:rPr>
          <w:spacing w:val="-4"/>
        </w:rPr>
        <w:t xml:space="preserve"> </w:t>
      </w:r>
      <w:r>
        <w:t>entity’s</w:t>
      </w:r>
      <w:r>
        <w:rPr>
          <w:spacing w:val="-4"/>
        </w:rPr>
        <w:t xml:space="preserve"> </w:t>
      </w:r>
      <w:r>
        <w:t>internal</w:t>
      </w:r>
      <w:r>
        <w:rPr>
          <w:spacing w:val="-4"/>
        </w:rPr>
        <w:t xml:space="preserve"> </w:t>
      </w:r>
      <w:r>
        <w:t>control over</w:t>
      </w:r>
      <w:r>
        <w:rPr>
          <w:spacing w:val="-3"/>
        </w:rPr>
        <w:t xml:space="preserve"> </w:t>
      </w:r>
      <w:r>
        <w:t>financial</w:t>
      </w:r>
      <w:r>
        <w:rPr>
          <w:spacing w:val="-3"/>
        </w:rPr>
        <w:t xml:space="preserve"> </w:t>
      </w:r>
      <w:r>
        <w:t>reporting</w:t>
      </w:r>
      <w:r>
        <w:rPr>
          <w:spacing w:val="-4"/>
        </w:rPr>
        <w:t xml:space="preserve"> </w:t>
      </w:r>
      <w:r>
        <w:t>based</w:t>
      </w:r>
      <w:r>
        <w:rPr>
          <w:spacing w:val="-3"/>
        </w:rPr>
        <w:t xml:space="preserve"> </w:t>
      </w:r>
      <w:r>
        <w:t>on</w:t>
      </w:r>
      <w:r>
        <w:rPr>
          <w:spacing w:val="-3"/>
        </w:rPr>
        <w:t xml:space="preserve"> </w:t>
      </w:r>
      <w:r>
        <w:t>the</w:t>
      </w:r>
      <w:r>
        <w:rPr>
          <w:spacing w:val="-3"/>
        </w:rPr>
        <w:t xml:space="preserve"> </w:t>
      </w:r>
      <w:r>
        <w:t>criteria</w:t>
      </w:r>
      <w:r>
        <w:rPr>
          <w:spacing w:val="-3"/>
        </w:rPr>
        <w:t xml:space="preserve"> </w:t>
      </w:r>
      <w:r>
        <w:t>as</w:t>
      </w:r>
      <w:r>
        <w:rPr>
          <w:spacing w:val="-5"/>
        </w:rPr>
        <w:t xml:space="preserve"> </w:t>
      </w:r>
      <w:r>
        <w:t>of</w:t>
      </w:r>
      <w:r>
        <w:rPr>
          <w:spacing w:val="-3"/>
        </w:rPr>
        <w:t xml:space="preserve"> </w:t>
      </w:r>
      <w:r>
        <w:t>a</w:t>
      </w:r>
      <w:r>
        <w:rPr>
          <w:spacing w:val="-3"/>
        </w:rPr>
        <w:t xml:space="preserve"> </w:t>
      </w:r>
      <w:r>
        <w:t>specified</w:t>
      </w:r>
      <w:r>
        <w:rPr>
          <w:spacing w:val="-3"/>
        </w:rPr>
        <w:t xml:space="preserve"> </w:t>
      </w:r>
      <w:r>
        <w:t>date</w:t>
      </w:r>
      <w:r>
        <w:rPr>
          <w:spacing w:val="-3"/>
        </w:rPr>
        <w:t xml:space="preserve"> </w:t>
      </w:r>
      <w:r>
        <w:t>(item</w:t>
      </w:r>
      <w:r>
        <w:rPr>
          <w:spacing w:val="-4"/>
        </w:rPr>
        <w:t xml:space="preserve"> </w:t>
      </w:r>
      <w:r>
        <w:t>24) (optional if the auditor is not opining on internal control);</w:t>
      </w:r>
    </w:p>
    <w:p w14:paraId="0DFDC788" w14:textId="77777777" w:rsidR="00046465" w:rsidRDefault="00046465">
      <w:pPr>
        <w:pStyle w:val="ListParagraph"/>
        <w:jc w:val="both"/>
        <w:sectPr w:rsidR="00046465">
          <w:pgSz w:w="12240" w:h="15840"/>
          <w:pgMar w:top="1340" w:right="720" w:bottom="940" w:left="1080" w:header="721" w:footer="757" w:gutter="0"/>
          <w:cols w:space="720"/>
        </w:sectPr>
      </w:pPr>
    </w:p>
    <w:p w14:paraId="0DFDC789" w14:textId="77777777" w:rsidR="00046465" w:rsidRDefault="008134EB">
      <w:pPr>
        <w:pStyle w:val="ListParagraph"/>
        <w:numPr>
          <w:ilvl w:val="1"/>
          <w:numId w:val="67"/>
        </w:numPr>
        <w:tabs>
          <w:tab w:val="left" w:pos="2159"/>
        </w:tabs>
        <w:spacing w:before="121"/>
        <w:ind w:left="2159" w:right="855"/>
      </w:pPr>
      <w:r>
        <w:lastRenderedPageBreak/>
        <w:t>stating that management has disclosed to the auditor all deficiencies in the design or operation of internal control over financial reporting, including separately</w:t>
      </w:r>
      <w:r>
        <w:rPr>
          <w:spacing w:val="-3"/>
        </w:rPr>
        <w:t xml:space="preserve"> </w:t>
      </w:r>
      <w:r>
        <w:t>disclosing</w:t>
      </w:r>
      <w:r>
        <w:rPr>
          <w:spacing w:val="-3"/>
        </w:rPr>
        <w:t xml:space="preserve"> </w:t>
      </w:r>
      <w:r>
        <w:t>to</w:t>
      </w:r>
      <w:r>
        <w:rPr>
          <w:spacing w:val="-3"/>
        </w:rPr>
        <w:t xml:space="preserve"> </w:t>
      </w:r>
      <w:r>
        <w:t>the</w:t>
      </w:r>
      <w:r>
        <w:rPr>
          <w:spacing w:val="-3"/>
        </w:rPr>
        <w:t xml:space="preserve"> </w:t>
      </w:r>
      <w:r>
        <w:t>auditor</w:t>
      </w:r>
      <w:r>
        <w:rPr>
          <w:spacing w:val="-3"/>
        </w:rPr>
        <w:t xml:space="preserve"> </w:t>
      </w:r>
      <w:r>
        <w:t>all</w:t>
      </w:r>
      <w:r>
        <w:rPr>
          <w:spacing w:val="-3"/>
        </w:rPr>
        <w:t xml:space="preserve"> </w:t>
      </w:r>
      <w:r>
        <w:t>such</w:t>
      </w:r>
      <w:r>
        <w:rPr>
          <w:spacing w:val="-3"/>
        </w:rPr>
        <w:t xml:space="preserve"> </w:t>
      </w:r>
      <w:r>
        <w:t>deficiencies</w:t>
      </w:r>
      <w:r>
        <w:rPr>
          <w:spacing w:val="-3"/>
        </w:rPr>
        <w:t xml:space="preserve"> </w:t>
      </w:r>
      <w:r>
        <w:t>that</w:t>
      </w:r>
      <w:r>
        <w:rPr>
          <w:spacing w:val="-4"/>
        </w:rPr>
        <w:t xml:space="preserve"> </w:t>
      </w:r>
      <w:r>
        <w:t>it</w:t>
      </w:r>
      <w:r>
        <w:rPr>
          <w:spacing w:val="-3"/>
        </w:rPr>
        <w:t xml:space="preserve"> </w:t>
      </w:r>
      <w:r>
        <w:t>believes</w:t>
      </w:r>
      <w:r>
        <w:rPr>
          <w:spacing w:val="-3"/>
        </w:rPr>
        <w:t xml:space="preserve"> </w:t>
      </w:r>
      <w:r>
        <w:t>to</w:t>
      </w:r>
      <w:r>
        <w:rPr>
          <w:spacing w:val="-4"/>
        </w:rPr>
        <w:t xml:space="preserve"> </w:t>
      </w:r>
      <w:r>
        <w:t xml:space="preserve">be significant deficiencies or material weaknesses in internal control over financial reporting (item 25) (optional if the auditor is not opining on internal </w:t>
      </w:r>
      <w:r>
        <w:rPr>
          <w:spacing w:val="-2"/>
        </w:rPr>
        <w:t>control);</w:t>
      </w:r>
    </w:p>
    <w:p w14:paraId="0DFDC78A" w14:textId="77777777" w:rsidR="00046465" w:rsidRDefault="008134EB">
      <w:pPr>
        <w:pStyle w:val="ListParagraph"/>
        <w:numPr>
          <w:ilvl w:val="1"/>
          <w:numId w:val="67"/>
        </w:numPr>
        <w:tabs>
          <w:tab w:val="left" w:pos="2159"/>
        </w:tabs>
        <w:ind w:left="2159" w:right="1553"/>
      </w:pPr>
      <w:r>
        <w:t>stating whether the significant deficiencies and material weaknesses identified</w:t>
      </w:r>
      <w:r>
        <w:rPr>
          <w:spacing w:val="-5"/>
        </w:rPr>
        <w:t xml:space="preserve"> </w:t>
      </w:r>
      <w:r>
        <w:t>and</w:t>
      </w:r>
      <w:r>
        <w:rPr>
          <w:spacing w:val="-5"/>
        </w:rPr>
        <w:t xml:space="preserve"> </w:t>
      </w:r>
      <w:r>
        <w:t>communicated</w:t>
      </w:r>
      <w:r>
        <w:rPr>
          <w:spacing w:val="-5"/>
        </w:rPr>
        <w:t xml:space="preserve"> </w:t>
      </w:r>
      <w:r>
        <w:t>to</w:t>
      </w:r>
      <w:r>
        <w:rPr>
          <w:spacing w:val="-5"/>
        </w:rPr>
        <w:t xml:space="preserve"> </w:t>
      </w:r>
      <w:r>
        <w:t>management</w:t>
      </w:r>
      <w:r>
        <w:rPr>
          <w:spacing w:val="-5"/>
        </w:rPr>
        <w:t xml:space="preserve"> </w:t>
      </w:r>
      <w:r>
        <w:t>and</w:t>
      </w:r>
      <w:r>
        <w:rPr>
          <w:spacing w:val="-5"/>
        </w:rPr>
        <w:t xml:space="preserve"> </w:t>
      </w:r>
      <w:r>
        <w:t>those</w:t>
      </w:r>
      <w:r>
        <w:rPr>
          <w:spacing w:val="-5"/>
        </w:rPr>
        <w:t xml:space="preserve"> </w:t>
      </w:r>
      <w:r>
        <w:t>charged</w:t>
      </w:r>
      <w:r>
        <w:rPr>
          <w:spacing w:val="-5"/>
        </w:rPr>
        <w:t xml:space="preserve"> </w:t>
      </w:r>
      <w:r>
        <w:t>with governance during previous engagements have been resolved and specifically identifying any that have not (item 27); and</w:t>
      </w:r>
    </w:p>
    <w:p w14:paraId="0DFDC78B" w14:textId="77777777" w:rsidR="00046465" w:rsidRDefault="008134EB">
      <w:pPr>
        <w:pStyle w:val="ListParagraph"/>
        <w:numPr>
          <w:ilvl w:val="1"/>
          <w:numId w:val="67"/>
        </w:numPr>
        <w:tabs>
          <w:tab w:val="left" w:pos="2159"/>
        </w:tabs>
        <w:ind w:left="2159" w:right="746"/>
      </w:pPr>
      <w:r>
        <w:t>stating whether there were, subsequent to the date being reported on, any changes in internal control over financial reporting or other conditions that might</w:t>
      </w:r>
      <w:r>
        <w:rPr>
          <w:spacing w:val="-5"/>
        </w:rPr>
        <w:t xml:space="preserve"> </w:t>
      </w:r>
      <w:r>
        <w:t>significantly</w:t>
      </w:r>
      <w:r>
        <w:rPr>
          <w:spacing w:val="-5"/>
        </w:rPr>
        <w:t xml:space="preserve"> </w:t>
      </w:r>
      <w:r>
        <w:t>affect</w:t>
      </w:r>
      <w:r>
        <w:rPr>
          <w:spacing w:val="-6"/>
        </w:rPr>
        <w:t xml:space="preserve"> </w:t>
      </w:r>
      <w:r>
        <w:t>internal</w:t>
      </w:r>
      <w:r>
        <w:rPr>
          <w:spacing w:val="-5"/>
        </w:rPr>
        <w:t xml:space="preserve"> </w:t>
      </w:r>
      <w:r>
        <w:t>control</w:t>
      </w:r>
      <w:r>
        <w:rPr>
          <w:spacing w:val="-4"/>
        </w:rPr>
        <w:t xml:space="preserve"> </w:t>
      </w:r>
      <w:r>
        <w:t>over</w:t>
      </w:r>
      <w:r>
        <w:rPr>
          <w:spacing w:val="-5"/>
        </w:rPr>
        <w:t xml:space="preserve"> </w:t>
      </w:r>
      <w:r>
        <w:t>financial</w:t>
      </w:r>
      <w:r>
        <w:rPr>
          <w:spacing w:val="-5"/>
        </w:rPr>
        <w:t xml:space="preserve"> </w:t>
      </w:r>
      <w:r>
        <w:t>reporting,</w:t>
      </w:r>
      <w:r>
        <w:rPr>
          <w:spacing w:val="-5"/>
        </w:rPr>
        <w:t xml:space="preserve"> </w:t>
      </w:r>
      <w:r>
        <w:t>including</w:t>
      </w:r>
      <w:r>
        <w:rPr>
          <w:spacing w:val="-5"/>
        </w:rPr>
        <w:t xml:space="preserve"> </w:t>
      </w:r>
      <w:r>
        <w:t>any corrective actions taken by management with regard to significant deficiencies and material weaknesses (item 29).</w:t>
      </w:r>
    </w:p>
    <w:p w14:paraId="0DFDC78C" w14:textId="77777777" w:rsidR="00046465" w:rsidRDefault="008134EB">
      <w:pPr>
        <w:pStyle w:val="ListParagraph"/>
        <w:numPr>
          <w:ilvl w:val="0"/>
          <w:numId w:val="67"/>
        </w:numPr>
        <w:tabs>
          <w:tab w:val="left" w:pos="1799"/>
        </w:tabs>
        <w:ind w:left="1799" w:right="726"/>
      </w:pPr>
      <w:r>
        <w:t>For bullets (b) and (d) in the paragraph above, entities may use criteria established under FMFIA, including OMB Circular No. A-123, in their FMFIA internal</w:t>
      </w:r>
      <w:r>
        <w:rPr>
          <w:spacing w:val="-4"/>
        </w:rPr>
        <w:t xml:space="preserve"> </w:t>
      </w:r>
      <w:r>
        <w:t>control</w:t>
      </w:r>
      <w:r>
        <w:rPr>
          <w:spacing w:val="-4"/>
        </w:rPr>
        <w:t xml:space="preserve"> </w:t>
      </w:r>
      <w:r>
        <w:t>assessments.</w:t>
      </w:r>
      <w:r>
        <w:rPr>
          <w:spacing w:val="-4"/>
        </w:rPr>
        <w:t xml:space="preserve"> </w:t>
      </w:r>
      <w:r>
        <w:t>GAO’s</w:t>
      </w:r>
      <w:r>
        <w:rPr>
          <w:spacing w:val="-4"/>
        </w:rPr>
        <w:t xml:space="preserve"> </w:t>
      </w:r>
      <w:r>
        <w:rPr>
          <w:i/>
        </w:rPr>
        <w:t>Standards</w:t>
      </w:r>
      <w:r>
        <w:rPr>
          <w:i/>
          <w:spacing w:val="-4"/>
        </w:rPr>
        <w:t xml:space="preserve"> </w:t>
      </w:r>
      <w:r>
        <w:rPr>
          <w:i/>
        </w:rPr>
        <w:t>for</w:t>
      </w:r>
      <w:r>
        <w:rPr>
          <w:i/>
          <w:spacing w:val="-4"/>
        </w:rPr>
        <w:t xml:space="preserve"> </w:t>
      </w:r>
      <w:r>
        <w:rPr>
          <w:i/>
        </w:rPr>
        <w:t>Internal</w:t>
      </w:r>
      <w:r>
        <w:rPr>
          <w:i/>
          <w:spacing w:val="-4"/>
        </w:rPr>
        <w:t xml:space="preserve"> </w:t>
      </w:r>
      <w:r>
        <w:rPr>
          <w:i/>
        </w:rPr>
        <w:t>Control</w:t>
      </w:r>
      <w:r>
        <w:rPr>
          <w:i/>
          <w:spacing w:val="-4"/>
        </w:rPr>
        <w:t xml:space="preserve"> </w:t>
      </w:r>
      <w:r>
        <w:rPr>
          <w:i/>
        </w:rPr>
        <w:t>in</w:t>
      </w:r>
      <w:r>
        <w:rPr>
          <w:i/>
          <w:spacing w:val="-4"/>
        </w:rPr>
        <w:t xml:space="preserve"> </w:t>
      </w:r>
      <w:r>
        <w:rPr>
          <w:i/>
        </w:rPr>
        <w:t>the</w:t>
      </w:r>
      <w:r>
        <w:rPr>
          <w:i/>
          <w:spacing w:val="-5"/>
        </w:rPr>
        <w:t xml:space="preserve"> </w:t>
      </w:r>
      <w:r>
        <w:rPr>
          <w:i/>
        </w:rPr>
        <w:t xml:space="preserve">Federal Government </w:t>
      </w:r>
      <w:r>
        <w:t>(known as the Green Book) were established as standards for federal entities to follow.</w:t>
      </w:r>
      <w:hyperlink w:anchor="_bookmark208" w:history="1">
        <w:r>
          <w:rPr>
            <w:position w:val="7"/>
            <w:sz w:val="14"/>
          </w:rPr>
          <w:t>1</w:t>
        </w:r>
      </w:hyperlink>
      <w:r>
        <w:rPr>
          <w:spacing w:val="37"/>
          <w:position w:val="7"/>
          <w:sz w:val="14"/>
        </w:rPr>
        <w:t xml:space="preserve"> </w:t>
      </w:r>
      <w:r>
        <w:t xml:space="preserve">These standards incorporate concepts and principles from the private sector guidance </w:t>
      </w:r>
      <w:r>
        <w:rPr>
          <w:i/>
        </w:rPr>
        <w:t xml:space="preserve">Internal Control—Integrated Framework </w:t>
      </w:r>
      <w:r>
        <w:t>issued by the Committee of Sponsoring Organizations of the Treadway Commission (COSO). Entities should summarize in their representation letters any material weaknesses relating to financial reporting (including safeguarding) and compliance (including budget).</w:t>
      </w:r>
    </w:p>
    <w:p w14:paraId="0DFDC78D" w14:textId="77777777" w:rsidR="00046465" w:rsidRDefault="008134EB">
      <w:pPr>
        <w:pStyle w:val="BodyText"/>
        <w:spacing w:before="119"/>
        <w:ind w:left="1800" w:right="749"/>
      </w:pPr>
      <w:r>
        <w:t>Example</w:t>
      </w:r>
      <w:r>
        <w:rPr>
          <w:spacing w:val="-5"/>
        </w:rPr>
        <w:t xml:space="preserve"> </w:t>
      </w:r>
      <w:r>
        <w:t>wording</w:t>
      </w:r>
      <w:r>
        <w:rPr>
          <w:spacing w:val="-5"/>
        </w:rPr>
        <w:t xml:space="preserve"> </w:t>
      </w:r>
      <w:r>
        <w:t>for</w:t>
      </w:r>
      <w:r>
        <w:rPr>
          <w:spacing w:val="-5"/>
        </w:rPr>
        <w:t xml:space="preserve"> </w:t>
      </w:r>
      <w:r>
        <w:t>the</w:t>
      </w:r>
      <w:r>
        <w:rPr>
          <w:spacing w:val="-6"/>
        </w:rPr>
        <w:t xml:space="preserve"> </w:t>
      </w:r>
      <w:r>
        <w:t>representations,</w:t>
      </w:r>
      <w:r>
        <w:rPr>
          <w:spacing w:val="-5"/>
        </w:rPr>
        <w:t xml:space="preserve"> </w:t>
      </w:r>
      <w:r>
        <w:t>where</w:t>
      </w:r>
      <w:r>
        <w:rPr>
          <w:spacing w:val="-5"/>
        </w:rPr>
        <w:t xml:space="preserve"> </w:t>
      </w:r>
      <w:r>
        <w:t>management</w:t>
      </w:r>
      <w:r>
        <w:rPr>
          <w:spacing w:val="-5"/>
        </w:rPr>
        <w:t xml:space="preserve"> </w:t>
      </w:r>
      <w:r>
        <w:t>asserts</w:t>
      </w:r>
      <w:r>
        <w:rPr>
          <w:spacing w:val="-5"/>
        </w:rPr>
        <w:t xml:space="preserve"> </w:t>
      </w:r>
      <w:r>
        <w:t>the effectiveness of internal control over financial reporting, is provided in</w:t>
      </w:r>
    </w:p>
    <w:p w14:paraId="0DFDC78E" w14:textId="77777777" w:rsidR="00046465" w:rsidRDefault="008134EB">
      <w:pPr>
        <w:pStyle w:val="BodyText"/>
        <w:spacing w:before="1"/>
        <w:ind w:left="1800" w:right="749"/>
      </w:pPr>
      <w:r>
        <w:t>FAM</w:t>
      </w:r>
      <w:r>
        <w:rPr>
          <w:spacing w:val="-5"/>
        </w:rPr>
        <w:t xml:space="preserve"> </w:t>
      </w:r>
      <w:r>
        <w:t>1001</w:t>
      </w:r>
      <w:r>
        <w:rPr>
          <w:spacing w:val="-4"/>
        </w:rPr>
        <w:t xml:space="preserve"> </w:t>
      </w:r>
      <w:r>
        <w:t>A</w:t>
      </w:r>
      <w:r>
        <w:rPr>
          <w:spacing w:val="-3"/>
        </w:rPr>
        <w:t xml:space="preserve"> </w:t>
      </w:r>
      <w:r>
        <w:t>(item</w:t>
      </w:r>
      <w:r>
        <w:rPr>
          <w:spacing w:val="-5"/>
        </w:rPr>
        <w:t xml:space="preserve"> </w:t>
      </w:r>
      <w:r>
        <w:t>24).</w:t>
      </w:r>
      <w:r>
        <w:rPr>
          <w:spacing w:val="-4"/>
        </w:rPr>
        <w:t xml:space="preserve"> </w:t>
      </w:r>
      <w:r>
        <w:t>If</w:t>
      </w:r>
      <w:r>
        <w:rPr>
          <w:spacing w:val="-4"/>
        </w:rPr>
        <w:t xml:space="preserve"> </w:t>
      </w:r>
      <w:r>
        <w:t>there</w:t>
      </w:r>
      <w:r>
        <w:rPr>
          <w:spacing w:val="-4"/>
        </w:rPr>
        <w:t xml:space="preserve"> </w:t>
      </w:r>
      <w:r>
        <w:t>are</w:t>
      </w:r>
      <w:r>
        <w:rPr>
          <w:spacing w:val="-4"/>
        </w:rPr>
        <w:t xml:space="preserve"> </w:t>
      </w:r>
      <w:r>
        <w:t>material</w:t>
      </w:r>
      <w:r>
        <w:rPr>
          <w:spacing w:val="-4"/>
        </w:rPr>
        <w:t xml:space="preserve"> </w:t>
      </w:r>
      <w:r>
        <w:t>weaknesses,</w:t>
      </w:r>
      <w:r>
        <w:rPr>
          <w:spacing w:val="-4"/>
        </w:rPr>
        <w:t xml:space="preserve"> </w:t>
      </w:r>
      <w:r>
        <w:t>management</w:t>
      </w:r>
      <w:r>
        <w:rPr>
          <w:spacing w:val="-4"/>
        </w:rPr>
        <w:t xml:space="preserve"> </w:t>
      </w:r>
      <w:r>
        <w:t>should include a brief description of them in its representation letter and modify its assessment accordingly.</w:t>
      </w:r>
    </w:p>
    <w:p w14:paraId="0DFDC78F" w14:textId="77777777" w:rsidR="00046465" w:rsidRDefault="008134EB">
      <w:pPr>
        <w:pStyle w:val="Heading5"/>
        <w:spacing w:before="240"/>
        <w:rPr>
          <w:u w:val="none"/>
        </w:rPr>
      </w:pPr>
      <w:bookmarkStart w:id="364" w:name="Representations_Relating_to_Fraud"/>
      <w:bookmarkEnd w:id="364"/>
      <w:r>
        <w:t>Representations</w:t>
      </w:r>
      <w:r>
        <w:rPr>
          <w:spacing w:val="-7"/>
        </w:rPr>
        <w:t xml:space="preserve"> </w:t>
      </w:r>
      <w:r>
        <w:t>Relating</w:t>
      </w:r>
      <w:r>
        <w:rPr>
          <w:spacing w:val="-4"/>
        </w:rPr>
        <w:t xml:space="preserve"> </w:t>
      </w:r>
      <w:r>
        <w:t>to</w:t>
      </w:r>
      <w:r>
        <w:rPr>
          <w:spacing w:val="-4"/>
        </w:rPr>
        <w:t xml:space="preserve"> </w:t>
      </w:r>
      <w:r>
        <w:rPr>
          <w:spacing w:val="-2"/>
        </w:rPr>
        <w:t>Fraud</w:t>
      </w:r>
    </w:p>
    <w:p w14:paraId="0DFDC790" w14:textId="77777777" w:rsidR="00046465" w:rsidRDefault="008134EB">
      <w:pPr>
        <w:pStyle w:val="ListParagraph"/>
        <w:numPr>
          <w:ilvl w:val="0"/>
          <w:numId w:val="67"/>
        </w:numPr>
        <w:tabs>
          <w:tab w:val="left" w:pos="1800"/>
        </w:tabs>
        <w:spacing w:before="119"/>
        <w:ind w:right="750"/>
      </w:pPr>
      <w:r>
        <w:t>Internal control over financial reporting representations related to fraud can be found</w:t>
      </w:r>
      <w:r>
        <w:rPr>
          <w:spacing w:val="-3"/>
        </w:rPr>
        <w:t xml:space="preserve"> </w:t>
      </w:r>
      <w:r>
        <w:t>in</w:t>
      </w:r>
      <w:r>
        <w:rPr>
          <w:spacing w:val="-3"/>
        </w:rPr>
        <w:t xml:space="preserve"> </w:t>
      </w:r>
      <w:r>
        <w:t>AU-C</w:t>
      </w:r>
      <w:r>
        <w:rPr>
          <w:spacing w:val="-4"/>
        </w:rPr>
        <w:t xml:space="preserve"> </w:t>
      </w:r>
      <w:r>
        <w:t>580</w:t>
      </w:r>
      <w:r>
        <w:rPr>
          <w:spacing w:val="-3"/>
        </w:rPr>
        <w:t xml:space="preserve"> </w:t>
      </w:r>
      <w:r>
        <w:t>and</w:t>
      </w:r>
      <w:r>
        <w:rPr>
          <w:spacing w:val="-3"/>
        </w:rPr>
        <w:t xml:space="preserve"> </w:t>
      </w:r>
      <w:r>
        <w:t>AU-C</w:t>
      </w:r>
      <w:r>
        <w:rPr>
          <w:spacing w:val="-4"/>
        </w:rPr>
        <w:t xml:space="preserve"> </w:t>
      </w:r>
      <w:r>
        <w:t>940.</w:t>
      </w:r>
      <w:r>
        <w:rPr>
          <w:spacing w:val="-3"/>
        </w:rPr>
        <w:t xml:space="preserve"> </w:t>
      </w:r>
      <w:r>
        <w:t>These</w:t>
      </w:r>
      <w:r>
        <w:rPr>
          <w:spacing w:val="-3"/>
        </w:rPr>
        <w:t xml:space="preserve"> </w:t>
      </w:r>
      <w:r>
        <w:t>representations,</w:t>
      </w:r>
      <w:r>
        <w:rPr>
          <w:spacing w:val="-3"/>
        </w:rPr>
        <w:t xml:space="preserve"> </w:t>
      </w:r>
      <w:r>
        <w:t>examples</w:t>
      </w:r>
      <w:r>
        <w:rPr>
          <w:spacing w:val="-3"/>
        </w:rPr>
        <w:t xml:space="preserve"> </w:t>
      </w:r>
      <w:r>
        <w:t>of</w:t>
      </w:r>
      <w:r>
        <w:rPr>
          <w:spacing w:val="-3"/>
        </w:rPr>
        <w:t xml:space="preserve"> </w:t>
      </w:r>
      <w:r>
        <w:t>which</w:t>
      </w:r>
      <w:r>
        <w:rPr>
          <w:spacing w:val="-3"/>
        </w:rPr>
        <w:t xml:space="preserve"> </w:t>
      </w:r>
      <w:r>
        <w:t>are provided in FAM 1001 A (items 30 through 36), relate to management</w:t>
      </w:r>
    </w:p>
    <w:p w14:paraId="0DFDC791" w14:textId="77777777" w:rsidR="00046465" w:rsidRDefault="008134EB">
      <w:pPr>
        <w:pStyle w:val="ListParagraph"/>
        <w:numPr>
          <w:ilvl w:val="1"/>
          <w:numId w:val="67"/>
        </w:numPr>
        <w:tabs>
          <w:tab w:val="left" w:pos="2159"/>
        </w:tabs>
        <w:spacing w:before="121"/>
        <w:ind w:left="2159" w:right="806"/>
      </w:pPr>
      <w:r>
        <w:t>acknowledging its responsibility for the design, implementation, and maintenance</w:t>
      </w:r>
      <w:r>
        <w:rPr>
          <w:spacing w:val="-4"/>
        </w:rPr>
        <w:t xml:space="preserve"> </w:t>
      </w:r>
      <w:r>
        <w:t>of</w:t>
      </w:r>
      <w:r>
        <w:rPr>
          <w:spacing w:val="-4"/>
        </w:rPr>
        <w:t xml:space="preserve"> </w:t>
      </w:r>
      <w:r>
        <w:t>internal</w:t>
      </w:r>
      <w:r>
        <w:rPr>
          <w:spacing w:val="-5"/>
        </w:rPr>
        <w:t xml:space="preserve"> </w:t>
      </w:r>
      <w:r>
        <w:t>controls</w:t>
      </w:r>
      <w:r>
        <w:rPr>
          <w:spacing w:val="-4"/>
        </w:rPr>
        <w:t xml:space="preserve"> </w:t>
      </w:r>
      <w:r>
        <w:t>to</w:t>
      </w:r>
      <w:r>
        <w:rPr>
          <w:spacing w:val="-4"/>
        </w:rPr>
        <w:t xml:space="preserve"> </w:t>
      </w:r>
      <w:r>
        <w:t>prevent</w:t>
      </w:r>
      <w:r>
        <w:rPr>
          <w:spacing w:val="-4"/>
        </w:rPr>
        <w:t xml:space="preserve"> </w:t>
      </w:r>
      <w:r>
        <w:t>and</w:t>
      </w:r>
      <w:r>
        <w:rPr>
          <w:spacing w:val="-4"/>
        </w:rPr>
        <w:t xml:space="preserve"> </w:t>
      </w:r>
      <w:r>
        <w:t>detect</w:t>
      </w:r>
      <w:r>
        <w:rPr>
          <w:spacing w:val="-4"/>
        </w:rPr>
        <w:t xml:space="preserve"> </w:t>
      </w:r>
      <w:r>
        <w:t>fraud</w:t>
      </w:r>
      <w:r>
        <w:rPr>
          <w:spacing w:val="-4"/>
        </w:rPr>
        <w:t xml:space="preserve"> </w:t>
      </w:r>
      <w:r>
        <w:t>(AU-C</w:t>
      </w:r>
      <w:r>
        <w:rPr>
          <w:spacing w:val="-5"/>
        </w:rPr>
        <w:t xml:space="preserve"> </w:t>
      </w:r>
      <w:r>
        <w:t>580.12a);</w:t>
      </w:r>
    </w:p>
    <w:p w14:paraId="0DFDC792" w14:textId="77777777" w:rsidR="00046465" w:rsidRDefault="008134EB">
      <w:pPr>
        <w:pStyle w:val="ListParagraph"/>
        <w:numPr>
          <w:ilvl w:val="1"/>
          <w:numId w:val="67"/>
        </w:numPr>
        <w:tabs>
          <w:tab w:val="left" w:pos="2159"/>
        </w:tabs>
        <w:spacing w:before="119"/>
        <w:ind w:left="2159" w:right="868"/>
      </w:pPr>
      <w:r>
        <w:t>disclosing the results of its assessment of the risk that the financial statements</w:t>
      </w:r>
      <w:r>
        <w:rPr>
          <w:spacing w:val="-4"/>
        </w:rPr>
        <w:t xml:space="preserve"> </w:t>
      </w:r>
      <w:r>
        <w:t>may</w:t>
      </w:r>
      <w:r>
        <w:rPr>
          <w:spacing w:val="-4"/>
        </w:rPr>
        <w:t xml:space="preserve"> </w:t>
      </w:r>
      <w:r>
        <w:t>be</w:t>
      </w:r>
      <w:r>
        <w:rPr>
          <w:spacing w:val="-4"/>
        </w:rPr>
        <w:t xml:space="preserve"> </w:t>
      </w:r>
      <w:r>
        <w:t>materially</w:t>
      </w:r>
      <w:r>
        <w:rPr>
          <w:spacing w:val="-4"/>
        </w:rPr>
        <w:t xml:space="preserve"> </w:t>
      </w:r>
      <w:r>
        <w:t>misstated</w:t>
      </w:r>
      <w:r>
        <w:rPr>
          <w:spacing w:val="-4"/>
        </w:rPr>
        <w:t xml:space="preserve"> </w:t>
      </w:r>
      <w:r>
        <w:t>as</w:t>
      </w:r>
      <w:r>
        <w:rPr>
          <w:spacing w:val="-4"/>
        </w:rPr>
        <w:t xml:space="preserve"> </w:t>
      </w:r>
      <w:r>
        <w:t>a</w:t>
      </w:r>
      <w:r>
        <w:rPr>
          <w:spacing w:val="-4"/>
        </w:rPr>
        <w:t xml:space="preserve"> </w:t>
      </w:r>
      <w:r>
        <w:t>result</w:t>
      </w:r>
      <w:r>
        <w:rPr>
          <w:spacing w:val="-4"/>
        </w:rPr>
        <w:t xml:space="preserve"> </w:t>
      </w:r>
      <w:r>
        <w:t>of</w:t>
      </w:r>
      <w:r>
        <w:rPr>
          <w:spacing w:val="-4"/>
        </w:rPr>
        <w:t xml:space="preserve"> </w:t>
      </w:r>
      <w:r>
        <w:t>fraud</w:t>
      </w:r>
      <w:r>
        <w:rPr>
          <w:spacing w:val="-5"/>
        </w:rPr>
        <w:t xml:space="preserve"> </w:t>
      </w:r>
      <w:r>
        <w:t>(AU-C</w:t>
      </w:r>
      <w:r>
        <w:rPr>
          <w:spacing w:val="-5"/>
        </w:rPr>
        <w:t xml:space="preserve"> </w:t>
      </w:r>
      <w:r>
        <w:t>580.12b);</w:t>
      </w:r>
    </w:p>
    <w:p w14:paraId="0DFDC793" w14:textId="77777777" w:rsidR="00046465" w:rsidRDefault="008134EB">
      <w:pPr>
        <w:pStyle w:val="ListParagraph"/>
        <w:numPr>
          <w:ilvl w:val="1"/>
          <w:numId w:val="67"/>
        </w:numPr>
        <w:tabs>
          <w:tab w:val="left" w:pos="2157"/>
          <w:tab w:val="left" w:pos="2159"/>
        </w:tabs>
        <w:spacing w:before="121"/>
        <w:ind w:left="2159" w:right="988" w:hanging="361"/>
      </w:pPr>
      <w:r>
        <w:t>disclosing</w:t>
      </w:r>
      <w:r>
        <w:rPr>
          <w:spacing w:val="-4"/>
        </w:rPr>
        <w:t xml:space="preserve"> </w:t>
      </w:r>
      <w:r>
        <w:t>knowledge</w:t>
      </w:r>
      <w:r>
        <w:rPr>
          <w:spacing w:val="-4"/>
        </w:rPr>
        <w:t xml:space="preserve"> </w:t>
      </w:r>
      <w:r>
        <w:t>of</w:t>
      </w:r>
      <w:r>
        <w:rPr>
          <w:spacing w:val="-4"/>
        </w:rPr>
        <w:t xml:space="preserve"> </w:t>
      </w:r>
      <w:r>
        <w:t>fraud</w:t>
      </w:r>
      <w:r>
        <w:rPr>
          <w:spacing w:val="-4"/>
        </w:rPr>
        <w:t xml:space="preserve"> </w:t>
      </w:r>
      <w:r>
        <w:t>or</w:t>
      </w:r>
      <w:r>
        <w:rPr>
          <w:spacing w:val="-4"/>
        </w:rPr>
        <w:t xml:space="preserve"> </w:t>
      </w:r>
      <w:r>
        <w:t>suspected</w:t>
      </w:r>
      <w:r>
        <w:rPr>
          <w:spacing w:val="-4"/>
        </w:rPr>
        <w:t xml:space="preserve"> </w:t>
      </w:r>
      <w:r>
        <w:t>fraud</w:t>
      </w:r>
      <w:r>
        <w:rPr>
          <w:spacing w:val="-4"/>
        </w:rPr>
        <w:t xml:space="preserve"> </w:t>
      </w:r>
      <w:r>
        <w:t>that</w:t>
      </w:r>
      <w:r>
        <w:rPr>
          <w:spacing w:val="-4"/>
        </w:rPr>
        <w:t xml:space="preserve"> </w:t>
      </w:r>
      <w:r>
        <w:t>affects</w:t>
      </w:r>
      <w:r>
        <w:rPr>
          <w:spacing w:val="-4"/>
        </w:rPr>
        <w:t xml:space="preserve"> </w:t>
      </w:r>
      <w:r>
        <w:t>the</w:t>
      </w:r>
      <w:r>
        <w:rPr>
          <w:spacing w:val="-4"/>
        </w:rPr>
        <w:t xml:space="preserve"> </w:t>
      </w:r>
      <w:r>
        <w:t>entity</w:t>
      </w:r>
      <w:r>
        <w:rPr>
          <w:spacing w:val="-4"/>
        </w:rPr>
        <w:t xml:space="preserve"> </w:t>
      </w:r>
      <w:r>
        <w:t>and involves (1) management, (2) employees who have significant roles in internal control over financial reporting, or (3) others when the fraud could have a material effect on the financial statements (AU-C 580.12c and</w:t>
      </w:r>
    </w:p>
    <w:p w14:paraId="0DFDC794" w14:textId="77777777" w:rsidR="00046465" w:rsidRDefault="008134EB">
      <w:pPr>
        <w:pStyle w:val="BodyText"/>
        <w:spacing w:line="253" w:lineRule="exact"/>
        <w:ind w:left="2159"/>
      </w:pPr>
      <w:r>
        <w:t>AU-C</w:t>
      </w:r>
      <w:r>
        <w:rPr>
          <w:spacing w:val="-8"/>
        </w:rPr>
        <w:t xml:space="preserve"> </w:t>
      </w:r>
      <w:r>
        <w:t>940.57f);</w:t>
      </w:r>
      <w:r>
        <w:rPr>
          <w:spacing w:val="-8"/>
        </w:rPr>
        <w:t xml:space="preserve"> </w:t>
      </w:r>
      <w:r>
        <w:rPr>
          <w:spacing w:val="-5"/>
        </w:rPr>
        <w:t>and</w:t>
      </w:r>
    </w:p>
    <w:p w14:paraId="0DFDC795" w14:textId="77777777" w:rsidR="00046465" w:rsidRDefault="008134EB">
      <w:pPr>
        <w:pStyle w:val="BodyText"/>
        <w:spacing w:before="154"/>
        <w:rPr>
          <w:sz w:val="20"/>
        </w:rPr>
      </w:pPr>
      <w:r>
        <w:rPr>
          <w:noProof/>
          <w:sz w:val="20"/>
        </w:rPr>
        <mc:AlternateContent>
          <mc:Choice Requires="wps">
            <w:drawing>
              <wp:anchor distT="0" distB="0" distL="0" distR="0" simplePos="0" relativeHeight="487733760" behindDoc="1" locked="0" layoutInCell="1" allowOverlap="1" wp14:anchorId="0DFDD74D" wp14:editId="0DFDD74E">
                <wp:simplePos x="0" y="0"/>
                <wp:positionH relativeFrom="page">
                  <wp:posOffset>914400</wp:posOffset>
                </wp:positionH>
                <wp:positionV relativeFrom="paragraph">
                  <wp:posOffset>259170</wp:posOffset>
                </wp:positionV>
                <wp:extent cx="1828800" cy="5715"/>
                <wp:effectExtent l="0" t="0" r="0" b="0"/>
                <wp:wrapTopAndBottom/>
                <wp:docPr id="1088" name="Graphic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0BC9EE" id="Graphic 1088" o:spid="_x0000_s1026" style="position:absolute;margin-left:1in;margin-top:20.4pt;width:2in;height:.45pt;z-index:-1558272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" path="m1828800,l,,,5333r1828800,l1828800,xe" fillcolor="black" stroked="f">
                <v:path arrowok="t"/>
                <w10:wrap type="topAndBottom" anchorx="page"/>
              </v:shape>
            </w:pict>
          </mc:Fallback>
        </mc:AlternateContent>
      </w:r>
    </w:p>
    <w:p w14:paraId="0DFDC796" w14:textId="77777777" w:rsidR="00046465" w:rsidRDefault="00046465">
      <w:pPr>
        <w:pStyle w:val="BodyText"/>
        <w:spacing w:before="113"/>
        <w:rPr>
          <w:sz w:val="18"/>
        </w:rPr>
      </w:pPr>
    </w:p>
    <w:p w14:paraId="0DFDC797" w14:textId="77777777" w:rsidR="00046465" w:rsidRDefault="008134EB">
      <w:pPr>
        <w:ind w:left="360"/>
        <w:rPr>
          <w:sz w:val="18"/>
        </w:rPr>
      </w:pPr>
      <w:bookmarkStart w:id="365" w:name="_bookmark208"/>
      <w:bookmarkEnd w:id="365"/>
      <w:r>
        <w:rPr>
          <w:position w:val="7"/>
          <w:sz w:val="14"/>
        </w:rPr>
        <w:t>1</w:t>
      </w:r>
      <w:r>
        <w:rPr>
          <w:sz w:val="18"/>
        </w:rPr>
        <w:t>GAO,</w:t>
      </w:r>
      <w:r>
        <w:rPr>
          <w:spacing w:val="-5"/>
          <w:sz w:val="18"/>
        </w:rPr>
        <w:t xml:space="preserve"> </w:t>
      </w:r>
      <w:r>
        <w:rPr>
          <w:i/>
          <w:sz w:val="18"/>
        </w:rPr>
        <w:t>Standards</w:t>
      </w:r>
      <w:r>
        <w:rPr>
          <w:i/>
          <w:spacing w:val="-3"/>
          <w:sz w:val="18"/>
        </w:rPr>
        <w:t xml:space="preserve"> </w:t>
      </w:r>
      <w:r>
        <w:rPr>
          <w:i/>
          <w:sz w:val="18"/>
        </w:rPr>
        <w:t>for</w:t>
      </w:r>
      <w:r>
        <w:rPr>
          <w:i/>
          <w:spacing w:val="-3"/>
          <w:sz w:val="18"/>
        </w:rPr>
        <w:t xml:space="preserve"> </w:t>
      </w:r>
      <w:r>
        <w:rPr>
          <w:i/>
          <w:sz w:val="18"/>
        </w:rPr>
        <w:t>Internal</w:t>
      </w:r>
      <w:r>
        <w:rPr>
          <w:i/>
          <w:spacing w:val="-2"/>
          <w:sz w:val="18"/>
        </w:rPr>
        <w:t xml:space="preserve"> </w:t>
      </w:r>
      <w:r>
        <w:rPr>
          <w:i/>
          <w:sz w:val="18"/>
        </w:rPr>
        <w:t>Control</w:t>
      </w:r>
      <w:r>
        <w:rPr>
          <w:i/>
          <w:spacing w:val="-3"/>
          <w:sz w:val="18"/>
        </w:rPr>
        <w:t xml:space="preserve"> </w:t>
      </w:r>
      <w:r>
        <w:rPr>
          <w:i/>
          <w:sz w:val="18"/>
        </w:rPr>
        <w:t>in</w:t>
      </w:r>
      <w:r>
        <w:rPr>
          <w:i/>
          <w:spacing w:val="-4"/>
          <w:sz w:val="18"/>
        </w:rPr>
        <w:t xml:space="preserve"> </w:t>
      </w:r>
      <w:r>
        <w:rPr>
          <w:i/>
          <w:sz w:val="18"/>
        </w:rPr>
        <w:t>the</w:t>
      </w:r>
      <w:r>
        <w:rPr>
          <w:i/>
          <w:spacing w:val="-2"/>
          <w:sz w:val="18"/>
        </w:rPr>
        <w:t xml:space="preserve"> </w:t>
      </w:r>
      <w:r>
        <w:rPr>
          <w:i/>
          <w:sz w:val="18"/>
        </w:rPr>
        <w:t>Federal</w:t>
      </w:r>
      <w:r>
        <w:rPr>
          <w:i/>
          <w:spacing w:val="-3"/>
          <w:sz w:val="18"/>
        </w:rPr>
        <w:t xml:space="preserve"> </w:t>
      </w:r>
      <w:r>
        <w:rPr>
          <w:i/>
          <w:sz w:val="18"/>
        </w:rPr>
        <w:t>Government,</w:t>
      </w:r>
      <w:r>
        <w:rPr>
          <w:i/>
          <w:spacing w:val="-3"/>
          <w:sz w:val="18"/>
        </w:rPr>
        <w:t xml:space="preserve"> </w:t>
      </w:r>
      <w:hyperlink r:id="rId230">
        <w:r>
          <w:rPr>
            <w:color w:val="0000FF"/>
            <w:sz w:val="18"/>
          </w:rPr>
          <w:t>GAO-25-107721</w:t>
        </w:r>
      </w:hyperlink>
      <w:r>
        <w:rPr>
          <w:color w:val="0000FF"/>
          <w:spacing w:val="-3"/>
          <w:sz w:val="18"/>
        </w:rPr>
        <w:t xml:space="preserve"> </w:t>
      </w:r>
      <w:r>
        <w:rPr>
          <w:sz w:val="18"/>
        </w:rPr>
        <w:t>(Washington,</w:t>
      </w:r>
      <w:r>
        <w:rPr>
          <w:spacing w:val="-3"/>
          <w:sz w:val="18"/>
        </w:rPr>
        <w:t xml:space="preserve"> </w:t>
      </w:r>
      <w:r>
        <w:rPr>
          <w:sz w:val="18"/>
        </w:rPr>
        <w:t>D.C.:</w:t>
      </w:r>
      <w:r>
        <w:rPr>
          <w:spacing w:val="-3"/>
          <w:sz w:val="18"/>
        </w:rPr>
        <w:t xml:space="preserve"> </w:t>
      </w:r>
      <w:r>
        <w:rPr>
          <w:sz w:val="18"/>
        </w:rPr>
        <w:t>May</w:t>
      </w:r>
      <w:r>
        <w:rPr>
          <w:spacing w:val="-2"/>
          <w:sz w:val="18"/>
        </w:rPr>
        <w:t xml:space="preserve"> 2025).</w:t>
      </w:r>
    </w:p>
    <w:p w14:paraId="0DFDC798" w14:textId="77777777" w:rsidR="00046465" w:rsidRDefault="00046465">
      <w:pPr>
        <w:rPr>
          <w:sz w:val="18"/>
        </w:rPr>
        <w:sectPr w:rsidR="00046465">
          <w:pgSz w:w="12240" w:h="15840"/>
          <w:pgMar w:top="1340" w:right="720" w:bottom="940" w:left="1080" w:header="721" w:footer="757" w:gutter="0"/>
          <w:cols w:space="720"/>
        </w:sectPr>
      </w:pPr>
    </w:p>
    <w:p w14:paraId="0DFDC799" w14:textId="77777777" w:rsidR="00046465" w:rsidRDefault="008134EB">
      <w:pPr>
        <w:pStyle w:val="ListParagraph"/>
        <w:numPr>
          <w:ilvl w:val="1"/>
          <w:numId w:val="67"/>
        </w:numPr>
        <w:tabs>
          <w:tab w:val="left" w:pos="2159"/>
        </w:tabs>
        <w:spacing w:before="121"/>
        <w:ind w:left="2159" w:right="758"/>
      </w:pPr>
      <w:r>
        <w:lastRenderedPageBreak/>
        <w:t>disclosing knowledge of any allegations of fraud or suspected fraud affecting the</w:t>
      </w:r>
      <w:r>
        <w:rPr>
          <w:spacing w:val="-5"/>
        </w:rPr>
        <w:t xml:space="preserve"> </w:t>
      </w:r>
      <w:r>
        <w:t>entity’s</w:t>
      </w:r>
      <w:r>
        <w:rPr>
          <w:spacing w:val="-5"/>
        </w:rPr>
        <w:t xml:space="preserve"> </w:t>
      </w:r>
      <w:r>
        <w:t>financial</w:t>
      </w:r>
      <w:r>
        <w:rPr>
          <w:spacing w:val="-5"/>
        </w:rPr>
        <w:t xml:space="preserve"> </w:t>
      </w:r>
      <w:r>
        <w:t>statements</w:t>
      </w:r>
      <w:r>
        <w:rPr>
          <w:spacing w:val="-5"/>
        </w:rPr>
        <w:t xml:space="preserve"> </w:t>
      </w:r>
      <w:r>
        <w:t>received</w:t>
      </w:r>
      <w:r>
        <w:rPr>
          <w:spacing w:val="-5"/>
        </w:rPr>
        <w:t xml:space="preserve"> </w:t>
      </w:r>
      <w:r>
        <w:t>in</w:t>
      </w:r>
      <w:r>
        <w:rPr>
          <w:spacing w:val="-5"/>
        </w:rPr>
        <w:t xml:space="preserve"> </w:t>
      </w:r>
      <w:r>
        <w:t>communications</w:t>
      </w:r>
      <w:r>
        <w:rPr>
          <w:spacing w:val="-6"/>
        </w:rPr>
        <w:t xml:space="preserve"> </w:t>
      </w:r>
      <w:r>
        <w:t>from</w:t>
      </w:r>
      <w:r>
        <w:rPr>
          <w:spacing w:val="-6"/>
        </w:rPr>
        <w:t xml:space="preserve"> </w:t>
      </w:r>
      <w:r>
        <w:t>employees, former employees, analysts, regulators, or others (AU-C 580.12d).</w:t>
      </w:r>
    </w:p>
    <w:p w14:paraId="0DFDC79A" w14:textId="77777777" w:rsidR="00046465" w:rsidRDefault="008134EB">
      <w:pPr>
        <w:pStyle w:val="Heading5"/>
        <w:spacing w:before="240"/>
        <w:ind w:right="749"/>
        <w:rPr>
          <w:u w:val="none"/>
        </w:rPr>
      </w:pPr>
      <w:bookmarkStart w:id="366" w:name="Representations_Relating_to_Applicable_L"/>
      <w:bookmarkEnd w:id="366"/>
      <w:r>
        <w:t>Representations</w:t>
      </w:r>
      <w:r>
        <w:rPr>
          <w:spacing w:val="-6"/>
        </w:rPr>
        <w:t xml:space="preserve"> </w:t>
      </w:r>
      <w:r>
        <w:t>Relating</w:t>
      </w:r>
      <w:r>
        <w:rPr>
          <w:spacing w:val="-6"/>
        </w:rPr>
        <w:t xml:space="preserve"> </w:t>
      </w:r>
      <w:r>
        <w:t>to</w:t>
      </w:r>
      <w:r>
        <w:rPr>
          <w:spacing w:val="-7"/>
        </w:rPr>
        <w:t xml:space="preserve"> </w:t>
      </w:r>
      <w:r>
        <w:t>Applicable</w:t>
      </w:r>
      <w:r>
        <w:rPr>
          <w:spacing w:val="-8"/>
        </w:rPr>
        <w:t xml:space="preserve"> </w:t>
      </w:r>
      <w:r>
        <w:t>Laws,</w:t>
      </w:r>
      <w:r>
        <w:rPr>
          <w:spacing w:val="-5"/>
        </w:rPr>
        <w:t xml:space="preserve"> </w:t>
      </w:r>
      <w:r>
        <w:t>Regulations,</w:t>
      </w:r>
      <w:r>
        <w:rPr>
          <w:spacing w:val="-5"/>
        </w:rPr>
        <w:t xml:space="preserve"> </w:t>
      </w:r>
      <w:r>
        <w:t>Contracts,</w:t>
      </w:r>
      <w:r>
        <w:rPr>
          <w:spacing w:val="-5"/>
        </w:rPr>
        <w:t xml:space="preserve"> </w:t>
      </w:r>
      <w:r>
        <w:t>and</w:t>
      </w:r>
      <w:r>
        <w:rPr>
          <w:u w:val="none"/>
        </w:rPr>
        <w:t xml:space="preserve"> </w:t>
      </w:r>
      <w:r>
        <w:t>Grant Agreements</w:t>
      </w:r>
    </w:p>
    <w:p w14:paraId="0DFDC79B" w14:textId="77777777" w:rsidR="00046465" w:rsidRDefault="008134EB">
      <w:pPr>
        <w:pStyle w:val="ListParagraph"/>
        <w:numPr>
          <w:ilvl w:val="0"/>
          <w:numId w:val="67"/>
        </w:numPr>
        <w:tabs>
          <w:tab w:val="left" w:pos="1800"/>
        </w:tabs>
        <w:spacing w:before="119"/>
        <w:ind w:right="958"/>
      </w:pPr>
      <w:r>
        <w:t>Management’s representations should include that all instances of identified or suspected noncompliance with laws, regulations, contracts, and grant agreements applicable to the entity whose effects should be considered when preparing</w:t>
      </w:r>
      <w:r>
        <w:rPr>
          <w:spacing w:val="-4"/>
        </w:rPr>
        <w:t xml:space="preserve"> </w:t>
      </w:r>
      <w:r>
        <w:t>the</w:t>
      </w:r>
      <w:r>
        <w:rPr>
          <w:spacing w:val="-4"/>
        </w:rPr>
        <w:t xml:space="preserve"> </w:t>
      </w:r>
      <w:r>
        <w:t>financial</w:t>
      </w:r>
      <w:r>
        <w:rPr>
          <w:spacing w:val="-5"/>
        </w:rPr>
        <w:t xml:space="preserve"> </w:t>
      </w:r>
      <w:r>
        <w:t>statements</w:t>
      </w:r>
      <w:r>
        <w:rPr>
          <w:spacing w:val="-4"/>
        </w:rPr>
        <w:t xml:space="preserve"> </w:t>
      </w:r>
      <w:r>
        <w:t>have</w:t>
      </w:r>
      <w:r>
        <w:rPr>
          <w:spacing w:val="-4"/>
        </w:rPr>
        <w:t xml:space="preserve"> </w:t>
      </w:r>
      <w:r>
        <w:t>been</w:t>
      </w:r>
      <w:r>
        <w:rPr>
          <w:spacing w:val="-4"/>
        </w:rPr>
        <w:t xml:space="preserve"> </w:t>
      </w:r>
      <w:r>
        <w:t>disclosed</w:t>
      </w:r>
      <w:r>
        <w:rPr>
          <w:spacing w:val="-4"/>
        </w:rPr>
        <w:t xml:space="preserve"> </w:t>
      </w:r>
      <w:r>
        <w:t>to</w:t>
      </w:r>
      <w:r>
        <w:rPr>
          <w:spacing w:val="-4"/>
        </w:rPr>
        <w:t xml:space="preserve"> </w:t>
      </w:r>
      <w:r>
        <w:t>the</w:t>
      </w:r>
      <w:r>
        <w:rPr>
          <w:spacing w:val="-4"/>
        </w:rPr>
        <w:t xml:space="preserve"> </w:t>
      </w:r>
      <w:r>
        <w:t>auditor</w:t>
      </w:r>
      <w:r>
        <w:rPr>
          <w:spacing w:val="-4"/>
        </w:rPr>
        <w:t xml:space="preserve"> </w:t>
      </w:r>
      <w:r>
        <w:t>(items</w:t>
      </w:r>
      <w:r>
        <w:rPr>
          <w:spacing w:val="-4"/>
        </w:rPr>
        <w:t xml:space="preserve"> </w:t>
      </w:r>
      <w:r>
        <w:t>40 through 43) (AU-C 580.13).</w:t>
      </w:r>
    </w:p>
    <w:p w14:paraId="0DFDC79C" w14:textId="77777777" w:rsidR="00046465" w:rsidRDefault="008134EB">
      <w:pPr>
        <w:pStyle w:val="Heading5"/>
        <w:spacing w:before="121"/>
        <w:rPr>
          <w:u w:val="none"/>
        </w:rPr>
      </w:pPr>
      <w:bookmarkStart w:id="367" w:name="Representations_Relating_to_Uncorrected_"/>
      <w:bookmarkEnd w:id="367"/>
      <w:r>
        <w:t>Representations</w:t>
      </w:r>
      <w:r>
        <w:rPr>
          <w:spacing w:val="-8"/>
        </w:rPr>
        <w:t xml:space="preserve"> </w:t>
      </w:r>
      <w:r>
        <w:t>Relating</w:t>
      </w:r>
      <w:r>
        <w:rPr>
          <w:spacing w:val="-5"/>
        </w:rPr>
        <w:t xml:space="preserve"> </w:t>
      </w:r>
      <w:r>
        <w:t>to</w:t>
      </w:r>
      <w:r>
        <w:rPr>
          <w:spacing w:val="-5"/>
        </w:rPr>
        <w:t xml:space="preserve"> </w:t>
      </w:r>
      <w:r>
        <w:t>Uncorrected</w:t>
      </w:r>
      <w:r>
        <w:rPr>
          <w:spacing w:val="-5"/>
        </w:rPr>
        <w:t xml:space="preserve"> </w:t>
      </w:r>
      <w:r>
        <w:rPr>
          <w:spacing w:val="-2"/>
        </w:rPr>
        <w:t>Misstatements</w:t>
      </w:r>
    </w:p>
    <w:p w14:paraId="0DFDC79D" w14:textId="77777777" w:rsidR="00046465" w:rsidRDefault="008134EB">
      <w:pPr>
        <w:pStyle w:val="ListParagraph"/>
        <w:numPr>
          <w:ilvl w:val="0"/>
          <w:numId w:val="67"/>
        </w:numPr>
        <w:tabs>
          <w:tab w:val="left" w:pos="1800"/>
        </w:tabs>
        <w:spacing w:before="119"/>
        <w:ind w:right="884"/>
      </w:pPr>
      <w:r>
        <w:t>Management’s</w:t>
      </w:r>
      <w:r>
        <w:rPr>
          <w:spacing w:val="-5"/>
        </w:rPr>
        <w:t xml:space="preserve"> </w:t>
      </w:r>
      <w:r>
        <w:t>representations</w:t>
      </w:r>
      <w:r>
        <w:rPr>
          <w:spacing w:val="-5"/>
        </w:rPr>
        <w:t xml:space="preserve"> </w:t>
      </w:r>
      <w:r>
        <w:t>should</w:t>
      </w:r>
      <w:r>
        <w:rPr>
          <w:spacing w:val="-5"/>
        </w:rPr>
        <w:t xml:space="preserve"> </w:t>
      </w:r>
      <w:r>
        <w:t>acknowledge</w:t>
      </w:r>
      <w:r>
        <w:rPr>
          <w:spacing w:val="-5"/>
        </w:rPr>
        <w:t xml:space="preserve"> </w:t>
      </w:r>
      <w:r>
        <w:t>whether</w:t>
      </w:r>
      <w:r>
        <w:rPr>
          <w:spacing w:val="-5"/>
        </w:rPr>
        <w:t xml:space="preserve"> </w:t>
      </w:r>
      <w:r>
        <w:t>it</w:t>
      </w:r>
      <w:r>
        <w:rPr>
          <w:spacing w:val="-5"/>
        </w:rPr>
        <w:t xml:space="preserve"> </w:t>
      </w:r>
      <w:r>
        <w:t>believes</w:t>
      </w:r>
      <w:r>
        <w:rPr>
          <w:spacing w:val="-4"/>
        </w:rPr>
        <w:t xml:space="preserve"> </w:t>
      </w:r>
      <w:r>
        <w:t>that</w:t>
      </w:r>
      <w:r>
        <w:rPr>
          <w:spacing w:val="-5"/>
        </w:rPr>
        <w:t xml:space="preserve"> </w:t>
      </w:r>
      <w:r>
        <w:t>the effects of uncorrected misstatements are immaterial, individually and in the aggregate, to the financial statements as a whole (item 8) (AU-C 580.14).</w:t>
      </w:r>
    </w:p>
    <w:p w14:paraId="0DFDC79E" w14:textId="77777777" w:rsidR="00046465" w:rsidRDefault="008134EB">
      <w:pPr>
        <w:pStyle w:val="ListParagraph"/>
        <w:numPr>
          <w:ilvl w:val="0"/>
          <w:numId w:val="67"/>
        </w:numPr>
        <w:tabs>
          <w:tab w:val="left" w:pos="1800"/>
        </w:tabs>
        <w:spacing w:before="121"/>
        <w:ind w:right="1265" w:hanging="720"/>
        <w:jc w:val="both"/>
      </w:pPr>
      <w:r>
        <w:t>The</w:t>
      </w:r>
      <w:r>
        <w:rPr>
          <w:spacing w:val="-3"/>
        </w:rPr>
        <w:t xml:space="preserve"> </w:t>
      </w:r>
      <w:r>
        <w:t>effect</w:t>
      </w:r>
      <w:r>
        <w:rPr>
          <w:spacing w:val="-3"/>
        </w:rPr>
        <w:t xml:space="preserve"> </w:t>
      </w:r>
      <w:r>
        <w:t>of</w:t>
      </w:r>
      <w:r>
        <w:rPr>
          <w:spacing w:val="-4"/>
        </w:rPr>
        <w:t xml:space="preserve"> </w:t>
      </w:r>
      <w:r>
        <w:t>any</w:t>
      </w:r>
      <w:r>
        <w:rPr>
          <w:spacing w:val="-3"/>
        </w:rPr>
        <w:t xml:space="preserve"> </w:t>
      </w:r>
      <w:r>
        <w:t>uncorrected</w:t>
      </w:r>
      <w:r>
        <w:rPr>
          <w:spacing w:val="-3"/>
        </w:rPr>
        <w:t xml:space="preserve"> </w:t>
      </w:r>
      <w:r>
        <w:t>financial</w:t>
      </w:r>
      <w:r>
        <w:rPr>
          <w:spacing w:val="-3"/>
        </w:rPr>
        <w:t xml:space="preserve"> </w:t>
      </w:r>
      <w:r>
        <w:t>statement</w:t>
      </w:r>
      <w:r>
        <w:rPr>
          <w:spacing w:val="-3"/>
        </w:rPr>
        <w:t xml:space="preserve"> </w:t>
      </w:r>
      <w:r>
        <w:t>misstatements</w:t>
      </w:r>
      <w:r>
        <w:rPr>
          <w:spacing w:val="-3"/>
        </w:rPr>
        <w:t xml:space="preserve"> </w:t>
      </w:r>
      <w:r>
        <w:t>(other</w:t>
      </w:r>
      <w:r>
        <w:rPr>
          <w:spacing w:val="-3"/>
        </w:rPr>
        <w:t xml:space="preserve"> </w:t>
      </w:r>
      <w:r>
        <w:t>than clearly</w:t>
      </w:r>
      <w:r>
        <w:rPr>
          <w:spacing w:val="-3"/>
        </w:rPr>
        <w:t xml:space="preserve"> </w:t>
      </w:r>
      <w:r>
        <w:t>trivial)</w:t>
      </w:r>
      <w:r>
        <w:rPr>
          <w:spacing w:val="-3"/>
        </w:rPr>
        <w:t xml:space="preserve"> </w:t>
      </w:r>
      <w:r>
        <w:t>per</w:t>
      </w:r>
      <w:r>
        <w:rPr>
          <w:spacing w:val="-3"/>
        </w:rPr>
        <w:t xml:space="preserve"> </w:t>
      </w:r>
      <w:r>
        <w:t>FAM</w:t>
      </w:r>
      <w:r>
        <w:rPr>
          <w:spacing w:val="-3"/>
        </w:rPr>
        <w:t xml:space="preserve"> </w:t>
      </w:r>
      <w:r>
        <w:t>540</w:t>
      </w:r>
      <w:r>
        <w:rPr>
          <w:spacing w:val="-3"/>
        </w:rPr>
        <w:t xml:space="preserve"> </w:t>
      </w:r>
      <w:r>
        <w:t>should</w:t>
      </w:r>
      <w:r>
        <w:rPr>
          <w:spacing w:val="-3"/>
        </w:rPr>
        <w:t xml:space="preserve"> </w:t>
      </w:r>
      <w:r>
        <w:t>be</w:t>
      </w:r>
      <w:r>
        <w:rPr>
          <w:spacing w:val="-3"/>
        </w:rPr>
        <w:t xml:space="preserve"> </w:t>
      </w:r>
      <w:r>
        <w:t>included</w:t>
      </w:r>
      <w:r>
        <w:rPr>
          <w:spacing w:val="-3"/>
        </w:rPr>
        <w:t xml:space="preserve"> </w:t>
      </w:r>
      <w:r>
        <w:t>in</w:t>
      </w:r>
      <w:r>
        <w:rPr>
          <w:spacing w:val="-3"/>
        </w:rPr>
        <w:t xml:space="preserve"> </w:t>
      </w:r>
      <w:r>
        <w:t>a</w:t>
      </w:r>
      <w:r>
        <w:rPr>
          <w:spacing w:val="-3"/>
        </w:rPr>
        <w:t xml:space="preserve"> </w:t>
      </w:r>
      <w:r>
        <w:t>summary</w:t>
      </w:r>
      <w:r>
        <w:rPr>
          <w:spacing w:val="-3"/>
        </w:rPr>
        <w:t xml:space="preserve"> </w:t>
      </w:r>
      <w:r>
        <w:t>of</w:t>
      </w:r>
      <w:r>
        <w:rPr>
          <w:spacing w:val="-3"/>
        </w:rPr>
        <w:t xml:space="preserve"> </w:t>
      </w:r>
      <w:r>
        <w:t>uncorrected misstatements</w:t>
      </w:r>
      <w:r>
        <w:rPr>
          <w:spacing w:val="-5"/>
        </w:rPr>
        <w:t xml:space="preserve"> </w:t>
      </w:r>
      <w:r>
        <w:t>and</w:t>
      </w:r>
      <w:r>
        <w:rPr>
          <w:spacing w:val="-5"/>
        </w:rPr>
        <w:t xml:space="preserve"> </w:t>
      </w:r>
      <w:r>
        <w:t>attached</w:t>
      </w:r>
      <w:r>
        <w:rPr>
          <w:spacing w:val="-5"/>
        </w:rPr>
        <w:t xml:space="preserve"> </w:t>
      </w:r>
      <w:r>
        <w:t>to</w:t>
      </w:r>
      <w:r>
        <w:rPr>
          <w:spacing w:val="-5"/>
        </w:rPr>
        <w:t xml:space="preserve"> </w:t>
      </w:r>
      <w:r>
        <w:t>the</w:t>
      </w:r>
      <w:r>
        <w:rPr>
          <w:spacing w:val="-5"/>
        </w:rPr>
        <w:t xml:space="preserve"> </w:t>
      </w:r>
      <w:r>
        <w:t>representation</w:t>
      </w:r>
      <w:r>
        <w:rPr>
          <w:spacing w:val="-5"/>
        </w:rPr>
        <w:t xml:space="preserve"> </w:t>
      </w:r>
      <w:r>
        <w:t>letter</w:t>
      </w:r>
      <w:r>
        <w:rPr>
          <w:spacing w:val="-4"/>
        </w:rPr>
        <w:t xml:space="preserve"> </w:t>
      </w:r>
      <w:r>
        <w:t>(AU-C</w:t>
      </w:r>
      <w:r>
        <w:rPr>
          <w:spacing w:val="-6"/>
        </w:rPr>
        <w:t xml:space="preserve"> </w:t>
      </w:r>
      <w:r>
        <w:t>580.14).</w:t>
      </w:r>
      <w:r>
        <w:rPr>
          <w:spacing w:val="-5"/>
        </w:rPr>
        <w:t xml:space="preserve"> </w:t>
      </w:r>
      <w:r>
        <w:t>See example I, tables II and III, in FAM 595 C.</w:t>
      </w:r>
    </w:p>
    <w:p w14:paraId="0DFDC79F" w14:textId="77777777" w:rsidR="00046465" w:rsidRDefault="008134EB">
      <w:pPr>
        <w:pStyle w:val="Heading5"/>
        <w:spacing w:before="120"/>
        <w:jc w:val="both"/>
        <w:rPr>
          <w:u w:val="none"/>
        </w:rPr>
      </w:pPr>
      <w:bookmarkStart w:id="368" w:name="Representations_Relating_to_Litigation_a"/>
      <w:bookmarkEnd w:id="368"/>
      <w:r>
        <w:t>Representations</w:t>
      </w:r>
      <w:r>
        <w:rPr>
          <w:spacing w:val="-7"/>
        </w:rPr>
        <w:t xml:space="preserve"> </w:t>
      </w:r>
      <w:r>
        <w:t>Relating</w:t>
      </w:r>
      <w:r>
        <w:rPr>
          <w:spacing w:val="-4"/>
        </w:rPr>
        <w:t xml:space="preserve"> </w:t>
      </w:r>
      <w:r>
        <w:t>to</w:t>
      </w:r>
      <w:r>
        <w:rPr>
          <w:spacing w:val="-5"/>
        </w:rPr>
        <w:t xml:space="preserve"> </w:t>
      </w:r>
      <w:r>
        <w:t>Litigation</w:t>
      </w:r>
      <w:r>
        <w:rPr>
          <w:spacing w:val="-4"/>
        </w:rPr>
        <w:t xml:space="preserve"> </w:t>
      </w:r>
      <w:r>
        <w:t>and</w:t>
      </w:r>
      <w:r>
        <w:rPr>
          <w:spacing w:val="-4"/>
        </w:rPr>
        <w:t xml:space="preserve"> </w:t>
      </w:r>
      <w:r>
        <w:rPr>
          <w:spacing w:val="-2"/>
        </w:rPr>
        <w:t>Claims</w:t>
      </w:r>
    </w:p>
    <w:p w14:paraId="0DFDC7A0" w14:textId="77777777" w:rsidR="00046465" w:rsidRDefault="008134EB">
      <w:pPr>
        <w:pStyle w:val="ListParagraph"/>
        <w:numPr>
          <w:ilvl w:val="0"/>
          <w:numId w:val="67"/>
        </w:numPr>
        <w:tabs>
          <w:tab w:val="left" w:pos="1799"/>
        </w:tabs>
        <w:ind w:left="1799" w:right="726" w:hanging="720"/>
      </w:pPr>
      <w:r>
        <w:t>Management’s representations should acknowledge that all known actual or possible litigation and claims whose effects should be considered by management</w:t>
      </w:r>
      <w:r>
        <w:rPr>
          <w:spacing w:val="-4"/>
        </w:rPr>
        <w:t xml:space="preserve"> </w:t>
      </w:r>
      <w:r>
        <w:t>when</w:t>
      </w:r>
      <w:r>
        <w:rPr>
          <w:spacing w:val="-4"/>
        </w:rPr>
        <w:t xml:space="preserve"> </w:t>
      </w:r>
      <w:r>
        <w:t>preparing</w:t>
      </w:r>
      <w:r>
        <w:rPr>
          <w:spacing w:val="-4"/>
        </w:rPr>
        <w:t xml:space="preserve"> </w:t>
      </w:r>
      <w:r>
        <w:t>the</w:t>
      </w:r>
      <w:r>
        <w:rPr>
          <w:spacing w:val="-4"/>
        </w:rPr>
        <w:t xml:space="preserve"> </w:t>
      </w:r>
      <w:r>
        <w:t>financial</w:t>
      </w:r>
      <w:r>
        <w:rPr>
          <w:spacing w:val="-4"/>
        </w:rPr>
        <w:t xml:space="preserve"> </w:t>
      </w:r>
      <w:r>
        <w:t>statements</w:t>
      </w:r>
      <w:r>
        <w:rPr>
          <w:spacing w:val="-4"/>
        </w:rPr>
        <w:t xml:space="preserve"> </w:t>
      </w:r>
      <w:r>
        <w:t>have</w:t>
      </w:r>
      <w:r>
        <w:rPr>
          <w:spacing w:val="-4"/>
        </w:rPr>
        <w:t xml:space="preserve"> </w:t>
      </w:r>
      <w:r>
        <w:t>been</w:t>
      </w:r>
      <w:r>
        <w:rPr>
          <w:spacing w:val="-4"/>
        </w:rPr>
        <w:t xml:space="preserve"> </w:t>
      </w:r>
      <w:r>
        <w:t>disclosed</w:t>
      </w:r>
      <w:r>
        <w:rPr>
          <w:spacing w:val="-4"/>
        </w:rPr>
        <w:t xml:space="preserve"> </w:t>
      </w:r>
      <w:r>
        <w:t>to</w:t>
      </w:r>
      <w:r>
        <w:rPr>
          <w:spacing w:val="-4"/>
        </w:rPr>
        <w:t xml:space="preserve"> </w:t>
      </w:r>
      <w:r>
        <w:t xml:space="preserve">the auditor and accounted for and disclosed in accordance with the applicable financial reporting framework (generally U.S. GAAP) (items 14 and 15) (AU-C </w:t>
      </w:r>
      <w:r>
        <w:rPr>
          <w:spacing w:val="-2"/>
        </w:rPr>
        <w:t>580.15).</w:t>
      </w:r>
    </w:p>
    <w:p w14:paraId="0DFDC7A1" w14:textId="77777777" w:rsidR="00046465" w:rsidRDefault="008134EB">
      <w:pPr>
        <w:pStyle w:val="Heading5"/>
        <w:spacing w:before="120"/>
        <w:rPr>
          <w:u w:val="none"/>
        </w:rPr>
      </w:pPr>
      <w:bookmarkStart w:id="369" w:name="Representations_Relating_to_Estimates"/>
      <w:bookmarkEnd w:id="369"/>
      <w:r>
        <w:t>Representations</w:t>
      </w:r>
      <w:r>
        <w:rPr>
          <w:spacing w:val="-7"/>
        </w:rPr>
        <w:t xml:space="preserve"> </w:t>
      </w:r>
      <w:r>
        <w:t>Relating</w:t>
      </w:r>
      <w:r>
        <w:rPr>
          <w:spacing w:val="-4"/>
        </w:rPr>
        <w:t xml:space="preserve"> </w:t>
      </w:r>
      <w:r>
        <w:t>to</w:t>
      </w:r>
      <w:r>
        <w:rPr>
          <w:spacing w:val="-4"/>
        </w:rPr>
        <w:t xml:space="preserve"> </w:t>
      </w:r>
      <w:r>
        <w:rPr>
          <w:spacing w:val="-2"/>
        </w:rPr>
        <w:t>Estimates</w:t>
      </w:r>
    </w:p>
    <w:p w14:paraId="0DFDC7A2" w14:textId="77777777" w:rsidR="00046465" w:rsidRDefault="008134EB">
      <w:pPr>
        <w:pStyle w:val="ListParagraph"/>
        <w:numPr>
          <w:ilvl w:val="0"/>
          <w:numId w:val="67"/>
        </w:numPr>
        <w:tabs>
          <w:tab w:val="left" w:pos="1800"/>
        </w:tabs>
        <w:ind w:right="751"/>
      </w:pPr>
      <w:r>
        <w:t>Management’s representations should acknowledge whether the methods, significant assumptions, and data used in making the accounting estimates and the related note disclosures are appropriate to achieve recognition, measurement, or disclosure that is in accordance with the applicable financial reporting</w:t>
      </w:r>
      <w:r>
        <w:rPr>
          <w:spacing w:val="-4"/>
        </w:rPr>
        <w:t xml:space="preserve"> </w:t>
      </w:r>
      <w:r>
        <w:t>framework</w:t>
      </w:r>
      <w:r>
        <w:rPr>
          <w:spacing w:val="-3"/>
        </w:rPr>
        <w:t xml:space="preserve"> </w:t>
      </w:r>
      <w:r>
        <w:t>(generally</w:t>
      </w:r>
      <w:r>
        <w:rPr>
          <w:spacing w:val="-3"/>
        </w:rPr>
        <w:t xml:space="preserve"> </w:t>
      </w:r>
      <w:r>
        <w:t>U.S.</w:t>
      </w:r>
      <w:r>
        <w:rPr>
          <w:spacing w:val="-5"/>
        </w:rPr>
        <w:t xml:space="preserve"> </w:t>
      </w:r>
      <w:r>
        <w:t>GAAP).</w:t>
      </w:r>
      <w:r>
        <w:rPr>
          <w:spacing w:val="-4"/>
        </w:rPr>
        <w:t xml:space="preserve"> </w:t>
      </w:r>
      <w:r>
        <w:t>The</w:t>
      </w:r>
      <w:r>
        <w:rPr>
          <w:spacing w:val="-3"/>
        </w:rPr>
        <w:t xml:space="preserve"> </w:t>
      </w:r>
      <w:r>
        <w:t>auditor</w:t>
      </w:r>
      <w:r>
        <w:rPr>
          <w:spacing w:val="-4"/>
        </w:rPr>
        <w:t xml:space="preserve"> </w:t>
      </w:r>
      <w:r>
        <w:t>should</w:t>
      </w:r>
      <w:r>
        <w:rPr>
          <w:spacing w:val="-4"/>
        </w:rPr>
        <w:t xml:space="preserve"> </w:t>
      </w:r>
      <w:r>
        <w:t>also</w:t>
      </w:r>
      <w:r>
        <w:rPr>
          <w:spacing w:val="-5"/>
        </w:rPr>
        <w:t xml:space="preserve"> </w:t>
      </w:r>
      <w:r>
        <w:t>consider</w:t>
      </w:r>
      <w:r>
        <w:rPr>
          <w:spacing w:val="-4"/>
        </w:rPr>
        <w:t xml:space="preserve"> </w:t>
      </w:r>
      <w:r>
        <w:t>the need to obtain representations about specific accounting estimates, including in relation to the methods, assumptions, or data used (item 4) (AU-C 580.16). See AU-C 580.A13 for example representations about specific accounting estimates.</w:t>
      </w:r>
    </w:p>
    <w:p w14:paraId="0DFDC7A3" w14:textId="77777777" w:rsidR="00046465" w:rsidRDefault="008134EB">
      <w:pPr>
        <w:pStyle w:val="Heading5"/>
        <w:spacing w:before="120"/>
        <w:ind w:right="1502"/>
        <w:rPr>
          <w:u w:val="none"/>
        </w:rPr>
      </w:pPr>
      <w:bookmarkStart w:id="370" w:name="Representations_Relating_to_Disclosure_E"/>
      <w:bookmarkEnd w:id="370"/>
      <w:r>
        <w:t>Representations</w:t>
      </w:r>
      <w:r>
        <w:rPr>
          <w:spacing w:val="-7"/>
        </w:rPr>
        <w:t xml:space="preserve"> </w:t>
      </w:r>
      <w:r>
        <w:t>Relating</w:t>
      </w:r>
      <w:r>
        <w:rPr>
          <w:spacing w:val="-7"/>
        </w:rPr>
        <w:t xml:space="preserve"> </w:t>
      </w:r>
      <w:r>
        <w:t>to</w:t>
      </w:r>
      <w:r>
        <w:rPr>
          <w:spacing w:val="-7"/>
        </w:rPr>
        <w:t xml:space="preserve"> </w:t>
      </w:r>
      <w:r>
        <w:t>Disclosure</w:t>
      </w:r>
      <w:r>
        <w:rPr>
          <w:spacing w:val="-7"/>
        </w:rPr>
        <w:t xml:space="preserve"> </w:t>
      </w:r>
      <w:r>
        <w:t>Entities,</w:t>
      </w:r>
      <w:r>
        <w:rPr>
          <w:spacing w:val="-6"/>
        </w:rPr>
        <w:t xml:space="preserve"> </w:t>
      </w:r>
      <w:r>
        <w:t>Related-Parties,</w:t>
      </w:r>
      <w:r>
        <w:rPr>
          <w:spacing w:val="-6"/>
        </w:rPr>
        <w:t xml:space="preserve"> </w:t>
      </w:r>
      <w:r>
        <w:t>and</w:t>
      </w:r>
      <w:r>
        <w:rPr>
          <w:u w:val="none"/>
        </w:rPr>
        <w:t xml:space="preserve"> </w:t>
      </w:r>
      <w:r>
        <w:t>Public-Private Partnerships</w:t>
      </w:r>
    </w:p>
    <w:p w14:paraId="0DFDC7A4" w14:textId="77777777" w:rsidR="00046465" w:rsidRDefault="008134EB">
      <w:pPr>
        <w:pStyle w:val="ListParagraph"/>
        <w:numPr>
          <w:ilvl w:val="0"/>
          <w:numId w:val="67"/>
        </w:numPr>
        <w:tabs>
          <w:tab w:val="left" w:pos="1799"/>
        </w:tabs>
        <w:spacing w:before="119"/>
        <w:ind w:left="1799" w:right="825" w:hanging="720"/>
      </w:pPr>
      <w:r>
        <w:t>Management’s representations should acknowledge that it has disclosed to the auditor the identities of all the entity’s disclosure entities, related parties, and public-private partnerships, and all the relationships and transactions related to them, and it has appropriately accounted for and disclosed such relationships and transactions in the financial statements (items 11 and 12) (AU-C 580.17). For</w:t>
      </w:r>
      <w:r>
        <w:rPr>
          <w:spacing w:val="-5"/>
        </w:rPr>
        <w:t xml:space="preserve"> </w:t>
      </w:r>
      <w:r>
        <w:t>entities</w:t>
      </w:r>
      <w:r>
        <w:rPr>
          <w:spacing w:val="-6"/>
        </w:rPr>
        <w:t xml:space="preserve"> </w:t>
      </w:r>
      <w:r>
        <w:t>issuing</w:t>
      </w:r>
      <w:r>
        <w:rPr>
          <w:spacing w:val="-5"/>
        </w:rPr>
        <w:t xml:space="preserve"> </w:t>
      </w:r>
      <w:r>
        <w:t>financial</w:t>
      </w:r>
      <w:r>
        <w:rPr>
          <w:spacing w:val="-5"/>
        </w:rPr>
        <w:t xml:space="preserve"> </w:t>
      </w:r>
      <w:r>
        <w:t>statements</w:t>
      </w:r>
      <w:r>
        <w:rPr>
          <w:spacing w:val="-5"/>
        </w:rPr>
        <w:t xml:space="preserve"> </w:t>
      </w:r>
      <w:r>
        <w:t>in</w:t>
      </w:r>
      <w:r>
        <w:rPr>
          <w:spacing w:val="-5"/>
        </w:rPr>
        <w:t xml:space="preserve"> </w:t>
      </w:r>
      <w:r>
        <w:t>accordance</w:t>
      </w:r>
      <w:r>
        <w:rPr>
          <w:spacing w:val="-5"/>
        </w:rPr>
        <w:t xml:space="preserve"> </w:t>
      </w:r>
      <w:r>
        <w:t>with</w:t>
      </w:r>
      <w:r>
        <w:rPr>
          <w:spacing w:val="-5"/>
        </w:rPr>
        <w:t xml:space="preserve"> </w:t>
      </w:r>
      <w:r>
        <w:t>Financial</w:t>
      </w:r>
      <w:r>
        <w:rPr>
          <w:spacing w:val="-5"/>
        </w:rPr>
        <w:t xml:space="preserve"> </w:t>
      </w:r>
      <w:r>
        <w:t>Accounting Standards Board (FASB) accounting standards, this representation does not include disclosure entities and public-private partnerships.</w:t>
      </w:r>
    </w:p>
    <w:p w14:paraId="0DFDC7A5" w14:textId="77777777" w:rsidR="00046465" w:rsidRDefault="00046465">
      <w:pPr>
        <w:pStyle w:val="ListParagraph"/>
        <w:sectPr w:rsidR="00046465">
          <w:pgSz w:w="12240" w:h="15840"/>
          <w:pgMar w:top="1340" w:right="720" w:bottom="940" w:left="1080" w:header="721" w:footer="757" w:gutter="0"/>
          <w:cols w:space="720"/>
        </w:sectPr>
      </w:pPr>
    </w:p>
    <w:p w14:paraId="0DFDC7A6" w14:textId="77777777" w:rsidR="00046465" w:rsidRDefault="008134EB">
      <w:pPr>
        <w:pStyle w:val="Heading5"/>
        <w:spacing w:before="121"/>
        <w:rPr>
          <w:u w:val="none"/>
        </w:rPr>
      </w:pPr>
      <w:bookmarkStart w:id="371" w:name="Representations_Relating_to_Subsequent_E"/>
      <w:bookmarkEnd w:id="371"/>
      <w:r>
        <w:lastRenderedPageBreak/>
        <w:t>Representations</w:t>
      </w:r>
      <w:r>
        <w:rPr>
          <w:spacing w:val="-6"/>
        </w:rPr>
        <w:t xml:space="preserve"> </w:t>
      </w:r>
      <w:r>
        <w:t>Relating</w:t>
      </w:r>
      <w:r>
        <w:rPr>
          <w:spacing w:val="-6"/>
        </w:rPr>
        <w:t xml:space="preserve"> </w:t>
      </w:r>
      <w:r>
        <w:t>to</w:t>
      </w:r>
      <w:r>
        <w:rPr>
          <w:spacing w:val="-6"/>
        </w:rPr>
        <w:t xml:space="preserve"> </w:t>
      </w:r>
      <w:r>
        <w:t>Subsequent</w:t>
      </w:r>
      <w:r>
        <w:rPr>
          <w:spacing w:val="-3"/>
        </w:rPr>
        <w:t xml:space="preserve"> </w:t>
      </w:r>
      <w:r>
        <w:rPr>
          <w:spacing w:val="-2"/>
        </w:rPr>
        <w:t>Events</w:t>
      </w:r>
    </w:p>
    <w:p w14:paraId="0DFDC7A7" w14:textId="77777777" w:rsidR="00046465" w:rsidRDefault="008134EB">
      <w:pPr>
        <w:pStyle w:val="ListParagraph"/>
        <w:numPr>
          <w:ilvl w:val="0"/>
          <w:numId w:val="67"/>
        </w:numPr>
        <w:tabs>
          <w:tab w:val="left" w:pos="1800"/>
        </w:tabs>
        <w:ind w:right="994"/>
      </w:pPr>
      <w:r>
        <w:t>Management’s representations should acknowledge that all events occurring subsequent</w:t>
      </w:r>
      <w:r>
        <w:rPr>
          <w:spacing w:val="-5"/>
        </w:rPr>
        <w:t xml:space="preserve"> </w:t>
      </w:r>
      <w:r>
        <w:t>to</w:t>
      </w:r>
      <w:r>
        <w:rPr>
          <w:spacing w:val="-4"/>
        </w:rPr>
        <w:t xml:space="preserve"> </w:t>
      </w:r>
      <w:r>
        <w:t>the</w:t>
      </w:r>
      <w:r>
        <w:rPr>
          <w:spacing w:val="-4"/>
        </w:rPr>
        <w:t xml:space="preserve"> </w:t>
      </w:r>
      <w:r>
        <w:t>date</w:t>
      </w:r>
      <w:r>
        <w:rPr>
          <w:spacing w:val="-4"/>
        </w:rPr>
        <w:t xml:space="preserve"> </w:t>
      </w:r>
      <w:r>
        <w:t>of</w:t>
      </w:r>
      <w:r>
        <w:rPr>
          <w:spacing w:val="-4"/>
        </w:rPr>
        <w:t xml:space="preserve"> </w:t>
      </w:r>
      <w:r>
        <w:t>the</w:t>
      </w:r>
      <w:r>
        <w:rPr>
          <w:spacing w:val="-4"/>
        </w:rPr>
        <w:t xml:space="preserve"> </w:t>
      </w:r>
      <w:r>
        <w:t>financial</w:t>
      </w:r>
      <w:r>
        <w:rPr>
          <w:spacing w:val="-4"/>
        </w:rPr>
        <w:t xml:space="preserve"> </w:t>
      </w:r>
      <w:r>
        <w:t>statements</w:t>
      </w:r>
      <w:r>
        <w:rPr>
          <w:spacing w:val="-4"/>
        </w:rPr>
        <w:t xml:space="preserve"> </w:t>
      </w:r>
      <w:r>
        <w:t>and</w:t>
      </w:r>
      <w:r>
        <w:rPr>
          <w:spacing w:val="-4"/>
        </w:rPr>
        <w:t xml:space="preserve"> </w:t>
      </w:r>
      <w:r>
        <w:t>for</w:t>
      </w:r>
      <w:r>
        <w:rPr>
          <w:spacing w:val="-4"/>
        </w:rPr>
        <w:t xml:space="preserve"> </w:t>
      </w:r>
      <w:r>
        <w:t>which</w:t>
      </w:r>
      <w:r>
        <w:rPr>
          <w:spacing w:val="-4"/>
        </w:rPr>
        <w:t xml:space="preserve"> </w:t>
      </w:r>
      <w:r>
        <w:t>the</w:t>
      </w:r>
      <w:r>
        <w:rPr>
          <w:spacing w:val="-4"/>
        </w:rPr>
        <w:t xml:space="preserve"> </w:t>
      </w:r>
      <w:r>
        <w:t>applicable financial reporting framework (generally U.S. GAAP) requires adjustment or disclosure have been adjusted or disclosed (item 16) (AU-C 580.18).</w:t>
      </w:r>
    </w:p>
    <w:p w14:paraId="0DFDC7A8" w14:textId="77777777" w:rsidR="00046465" w:rsidRDefault="008134EB">
      <w:pPr>
        <w:pStyle w:val="Heading4"/>
        <w:spacing w:before="240"/>
      </w:pPr>
      <w:bookmarkStart w:id="372" w:name="Additional_Written_Representations_on_th"/>
      <w:bookmarkEnd w:id="372"/>
      <w:r>
        <w:t>Additional</w:t>
      </w:r>
      <w:r>
        <w:rPr>
          <w:spacing w:val="-14"/>
        </w:rPr>
        <w:t xml:space="preserve"> </w:t>
      </w:r>
      <w:r>
        <w:t>Written</w:t>
      </w:r>
      <w:r>
        <w:rPr>
          <w:spacing w:val="-14"/>
        </w:rPr>
        <w:t xml:space="preserve"> </w:t>
      </w:r>
      <w:r>
        <w:t>Representations</w:t>
      </w:r>
      <w:r>
        <w:rPr>
          <w:spacing w:val="-14"/>
        </w:rPr>
        <w:t xml:space="preserve"> </w:t>
      </w:r>
      <w:r>
        <w:t>on</w:t>
      </w:r>
      <w:r>
        <w:rPr>
          <w:spacing w:val="-15"/>
        </w:rPr>
        <w:t xml:space="preserve"> </w:t>
      </w:r>
      <w:r>
        <w:t>the</w:t>
      </w:r>
      <w:r>
        <w:rPr>
          <w:spacing w:val="-13"/>
        </w:rPr>
        <w:t xml:space="preserve"> </w:t>
      </w:r>
      <w:r>
        <w:t>Financial</w:t>
      </w:r>
      <w:r>
        <w:rPr>
          <w:spacing w:val="-14"/>
        </w:rPr>
        <w:t xml:space="preserve"> </w:t>
      </w:r>
      <w:r>
        <w:rPr>
          <w:spacing w:val="-2"/>
        </w:rPr>
        <w:t>Statements</w:t>
      </w:r>
    </w:p>
    <w:p w14:paraId="0DFDC7A9" w14:textId="77777777" w:rsidR="00046465" w:rsidRDefault="008134EB">
      <w:pPr>
        <w:pStyle w:val="ListParagraph"/>
        <w:numPr>
          <w:ilvl w:val="0"/>
          <w:numId w:val="67"/>
        </w:numPr>
        <w:tabs>
          <w:tab w:val="left" w:pos="1799"/>
        </w:tabs>
        <w:spacing w:before="119"/>
        <w:ind w:left="1799" w:right="788" w:hanging="720"/>
      </w:pPr>
      <w:r>
        <w:t>In addition to the AU-C sections referenced in the Written Representations on Management’s Responsibilities subsection above, other AU-C sections require the</w:t>
      </w:r>
      <w:r>
        <w:rPr>
          <w:spacing w:val="-4"/>
        </w:rPr>
        <w:t xml:space="preserve"> </w:t>
      </w:r>
      <w:r>
        <w:t>auditor</w:t>
      </w:r>
      <w:r>
        <w:rPr>
          <w:spacing w:val="-4"/>
        </w:rPr>
        <w:t xml:space="preserve"> </w:t>
      </w:r>
      <w:r>
        <w:t>to</w:t>
      </w:r>
      <w:r>
        <w:rPr>
          <w:spacing w:val="-4"/>
        </w:rPr>
        <w:t xml:space="preserve"> </w:t>
      </w:r>
      <w:r>
        <w:t>request</w:t>
      </w:r>
      <w:r>
        <w:rPr>
          <w:spacing w:val="-4"/>
        </w:rPr>
        <w:t xml:space="preserve"> </w:t>
      </w:r>
      <w:r>
        <w:t>written</w:t>
      </w:r>
      <w:r>
        <w:rPr>
          <w:spacing w:val="-4"/>
        </w:rPr>
        <w:t xml:space="preserve"> </w:t>
      </w:r>
      <w:r>
        <w:t>representations</w:t>
      </w:r>
      <w:r>
        <w:rPr>
          <w:spacing w:val="-4"/>
        </w:rPr>
        <w:t xml:space="preserve"> </w:t>
      </w:r>
      <w:r>
        <w:t>(AU-C</w:t>
      </w:r>
      <w:r>
        <w:rPr>
          <w:spacing w:val="-5"/>
        </w:rPr>
        <w:t xml:space="preserve"> </w:t>
      </w:r>
      <w:r>
        <w:t>580.19).</w:t>
      </w:r>
      <w:r>
        <w:rPr>
          <w:spacing w:val="-4"/>
        </w:rPr>
        <w:t xml:space="preserve"> </w:t>
      </w:r>
      <w:r>
        <w:t>For</w:t>
      </w:r>
      <w:r>
        <w:rPr>
          <w:spacing w:val="-4"/>
        </w:rPr>
        <w:t xml:space="preserve"> </w:t>
      </w:r>
      <w:r>
        <w:t>example,</w:t>
      </w:r>
      <w:r>
        <w:rPr>
          <w:spacing w:val="-4"/>
        </w:rPr>
        <w:t xml:space="preserve"> </w:t>
      </w:r>
      <w:r>
        <w:t>AU-C sections 560, 570, 700, and 720 specify additional representations that are required in certain circumstances. Additionally, if the auditor determines that it is necessary to obtain one or more written representations to support other audit evidence relevant to the financial statements or one or more specific assertions in the financial statements, the auditor should request such other written representations (AU-C 580.19). This is important when the corroborating information that can be obtained by procedures other than inquiry is limited.</w:t>
      </w:r>
    </w:p>
    <w:p w14:paraId="0DFDC7AA" w14:textId="77777777" w:rsidR="00046465" w:rsidRDefault="008134EB">
      <w:pPr>
        <w:pStyle w:val="BodyText"/>
        <w:ind w:left="1800" w:right="749"/>
      </w:pPr>
      <w:r>
        <w:t>Examples</w:t>
      </w:r>
      <w:r>
        <w:rPr>
          <w:spacing w:val="-4"/>
        </w:rPr>
        <w:t xml:space="preserve"> </w:t>
      </w:r>
      <w:r>
        <w:t>of</w:t>
      </w:r>
      <w:r>
        <w:rPr>
          <w:spacing w:val="-4"/>
        </w:rPr>
        <w:t xml:space="preserve"> </w:t>
      </w:r>
      <w:r>
        <w:t>additional</w:t>
      </w:r>
      <w:r>
        <w:rPr>
          <w:spacing w:val="-4"/>
        </w:rPr>
        <w:t xml:space="preserve"> </w:t>
      </w:r>
      <w:r>
        <w:t>representations</w:t>
      </w:r>
      <w:r>
        <w:rPr>
          <w:spacing w:val="-4"/>
        </w:rPr>
        <w:t xml:space="preserve"> </w:t>
      </w:r>
      <w:r>
        <w:t>that</w:t>
      </w:r>
      <w:r>
        <w:rPr>
          <w:spacing w:val="-4"/>
        </w:rPr>
        <w:t xml:space="preserve"> </w:t>
      </w:r>
      <w:r>
        <w:t>may</w:t>
      </w:r>
      <w:r>
        <w:rPr>
          <w:spacing w:val="-4"/>
        </w:rPr>
        <w:t xml:space="preserve"> </w:t>
      </w:r>
      <w:r>
        <w:t>be</w:t>
      </w:r>
      <w:r>
        <w:rPr>
          <w:spacing w:val="-4"/>
        </w:rPr>
        <w:t xml:space="preserve"> </w:t>
      </w:r>
      <w:r>
        <w:t>appropriate</w:t>
      </w:r>
      <w:r>
        <w:rPr>
          <w:spacing w:val="-4"/>
        </w:rPr>
        <w:t xml:space="preserve"> </w:t>
      </w:r>
      <w:r>
        <w:t>depending</w:t>
      </w:r>
      <w:r>
        <w:rPr>
          <w:spacing w:val="-4"/>
        </w:rPr>
        <w:t xml:space="preserve"> </w:t>
      </w:r>
      <w:r>
        <w:t>on</w:t>
      </w:r>
      <w:r>
        <w:rPr>
          <w:spacing w:val="-4"/>
        </w:rPr>
        <w:t xml:space="preserve"> </w:t>
      </w:r>
      <w:r>
        <w:t>an entity’s operations are provided in AU-C 580.A17 through .A20 and .A35 and in the paragraphs below.</w:t>
      </w:r>
    </w:p>
    <w:p w14:paraId="0DFDC7AB" w14:textId="77777777" w:rsidR="00046465" w:rsidRDefault="008134EB">
      <w:pPr>
        <w:pStyle w:val="ListParagraph"/>
        <w:numPr>
          <w:ilvl w:val="0"/>
          <w:numId w:val="67"/>
        </w:numPr>
        <w:tabs>
          <w:tab w:val="left" w:pos="1800"/>
        </w:tabs>
        <w:spacing w:before="121"/>
        <w:ind w:right="800" w:hanging="720"/>
      </w:pPr>
      <w:r>
        <w:rPr>
          <w:u w:val="single"/>
        </w:rPr>
        <w:t>Single-year</w:t>
      </w:r>
      <w:r>
        <w:rPr>
          <w:spacing w:val="-6"/>
          <w:u w:val="single"/>
        </w:rPr>
        <w:t xml:space="preserve"> </w:t>
      </w:r>
      <w:r>
        <w:rPr>
          <w:u w:val="single"/>
        </w:rPr>
        <w:t>presentation</w:t>
      </w:r>
      <w:r>
        <w:rPr>
          <w:spacing w:val="-5"/>
        </w:rPr>
        <w:t xml:space="preserve"> </w:t>
      </w:r>
      <w:r>
        <w:t>–</w:t>
      </w:r>
      <w:r>
        <w:rPr>
          <w:spacing w:val="-4"/>
        </w:rPr>
        <w:t xml:space="preserve"> </w:t>
      </w:r>
      <w:r>
        <w:t>If</w:t>
      </w:r>
      <w:r>
        <w:rPr>
          <w:spacing w:val="-5"/>
        </w:rPr>
        <w:t xml:space="preserve"> </w:t>
      </w:r>
      <w:r>
        <w:t>the</w:t>
      </w:r>
      <w:r>
        <w:rPr>
          <w:spacing w:val="-4"/>
        </w:rPr>
        <w:t xml:space="preserve"> </w:t>
      </w:r>
      <w:r>
        <w:t>entity</w:t>
      </w:r>
      <w:r>
        <w:rPr>
          <w:spacing w:val="-5"/>
        </w:rPr>
        <w:t xml:space="preserve"> </w:t>
      </w:r>
      <w:r>
        <w:t>prepares</w:t>
      </w:r>
      <w:r>
        <w:rPr>
          <w:spacing w:val="-4"/>
        </w:rPr>
        <w:t xml:space="preserve"> </w:t>
      </w:r>
      <w:r>
        <w:t>single-year</w:t>
      </w:r>
      <w:r>
        <w:rPr>
          <w:spacing w:val="-5"/>
        </w:rPr>
        <w:t xml:space="preserve"> </w:t>
      </w:r>
      <w:r>
        <w:t>financial</w:t>
      </w:r>
      <w:r>
        <w:rPr>
          <w:spacing w:val="-4"/>
        </w:rPr>
        <w:t xml:space="preserve"> </w:t>
      </w:r>
      <w:r>
        <w:t xml:space="preserve">statements, the auditor should obtain additional representations from management stating </w:t>
      </w:r>
      <w:r>
        <w:rPr>
          <w:spacing w:val="-4"/>
        </w:rPr>
        <w:t>that</w:t>
      </w:r>
    </w:p>
    <w:p w14:paraId="0DFDC7AC" w14:textId="77777777" w:rsidR="00046465" w:rsidRDefault="008134EB">
      <w:pPr>
        <w:pStyle w:val="ListParagraph"/>
        <w:numPr>
          <w:ilvl w:val="1"/>
          <w:numId w:val="67"/>
        </w:numPr>
        <w:tabs>
          <w:tab w:val="left" w:pos="2159"/>
        </w:tabs>
        <w:spacing w:before="119"/>
        <w:ind w:left="2159" w:right="1038"/>
      </w:pPr>
      <w:r>
        <w:t>there</w:t>
      </w:r>
      <w:r>
        <w:rPr>
          <w:spacing w:val="-4"/>
        </w:rPr>
        <w:t xml:space="preserve"> </w:t>
      </w:r>
      <w:r>
        <w:t>are</w:t>
      </w:r>
      <w:r>
        <w:rPr>
          <w:spacing w:val="-4"/>
        </w:rPr>
        <w:t xml:space="preserve"> </w:t>
      </w:r>
      <w:r>
        <w:t>no</w:t>
      </w:r>
      <w:r>
        <w:rPr>
          <w:spacing w:val="-4"/>
        </w:rPr>
        <w:t xml:space="preserve"> </w:t>
      </w:r>
      <w:r>
        <w:t>misstatements</w:t>
      </w:r>
      <w:r>
        <w:rPr>
          <w:spacing w:val="-4"/>
        </w:rPr>
        <w:t xml:space="preserve"> </w:t>
      </w:r>
      <w:r>
        <w:t>in</w:t>
      </w:r>
      <w:r>
        <w:rPr>
          <w:spacing w:val="-4"/>
        </w:rPr>
        <w:t xml:space="preserve"> </w:t>
      </w:r>
      <w:r>
        <w:t>the</w:t>
      </w:r>
      <w:r>
        <w:rPr>
          <w:spacing w:val="-4"/>
        </w:rPr>
        <w:t xml:space="preserve"> </w:t>
      </w:r>
      <w:r>
        <w:t>prior-year</w:t>
      </w:r>
      <w:r>
        <w:rPr>
          <w:spacing w:val="-4"/>
        </w:rPr>
        <w:t xml:space="preserve"> </w:t>
      </w:r>
      <w:r>
        <w:t>financial</w:t>
      </w:r>
      <w:r>
        <w:rPr>
          <w:spacing w:val="-4"/>
        </w:rPr>
        <w:t xml:space="preserve"> </w:t>
      </w:r>
      <w:r>
        <w:t>statements</w:t>
      </w:r>
      <w:r>
        <w:rPr>
          <w:spacing w:val="-4"/>
        </w:rPr>
        <w:t xml:space="preserve"> </w:t>
      </w:r>
      <w:r>
        <w:t>that</w:t>
      </w:r>
      <w:r>
        <w:rPr>
          <w:spacing w:val="-4"/>
        </w:rPr>
        <w:t xml:space="preserve"> </w:t>
      </w:r>
      <w:r>
        <w:t>were discovered subsequent to the issuance of such financial statements or</w:t>
      </w:r>
    </w:p>
    <w:p w14:paraId="0DFDC7AD" w14:textId="77777777" w:rsidR="00046465" w:rsidRDefault="008134EB">
      <w:pPr>
        <w:pStyle w:val="ListParagraph"/>
        <w:numPr>
          <w:ilvl w:val="1"/>
          <w:numId w:val="67"/>
        </w:numPr>
        <w:tabs>
          <w:tab w:val="left" w:pos="2159"/>
        </w:tabs>
        <w:spacing w:before="121"/>
        <w:ind w:left="2159" w:right="808"/>
      </w:pPr>
      <w:r>
        <w:t>management</w:t>
      </w:r>
      <w:r>
        <w:rPr>
          <w:spacing w:val="-4"/>
        </w:rPr>
        <w:t xml:space="preserve"> </w:t>
      </w:r>
      <w:r>
        <w:t>has</w:t>
      </w:r>
      <w:r>
        <w:rPr>
          <w:spacing w:val="-4"/>
        </w:rPr>
        <w:t xml:space="preserve"> </w:t>
      </w:r>
      <w:r>
        <w:t>identified</w:t>
      </w:r>
      <w:r>
        <w:rPr>
          <w:spacing w:val="-4"/>
        </w:rPr>
        <w:t xml:space="preserve"> </w:t>
      </w:r>
      <w:r>
        <w:t>and</w:t>
      </w:r>
      <w:r>
        <w:rPr>
          <w:spacing w:val="-4"/>
        </w:rPr>
        <w:t xml:space="preserve"> </w:t>
      </w:r>
      <w:r>
        <w:t>disclosed</w:t>
      </w:r>
      <w:r>
        <w:rPr>
          <w:spacing w:val="-4"/>
        </w:rPr>
        <w:t xml:space="preserve"> </w:t>
      </w:r>
      <w:r>
        <w:t>to</w:t>
      </w:r>
      <w:r>
        <w:rPr>
          <w:spacing w:val="-4"/>
        </w:rPr>
        <w:t xml:space="preserve"> </w:t>
      </w:r>
      <w:r>
        <w:t>the</w:t>
      </w:r>
      <w:r>
        <w:rPr>
          <w:spacing w:val="-5"/>
        </w:rPr>
        <w:t xml:space="preserve"> </w:t>
      </w:r>
      <w:r>
        <w:t>auditor</w:t>
      </w:r>
      <w:r>
        <w:rPr>
          <w:spacing w:val="-4"/>
        </w:rPr>
        <w:t xml:space="preserve"> </w:t>
      </w:r>
      <w:r>
        <w:t>misstatements</w:t>
      </w:r>
      <w:r>
        <w:rPr>
          <w:spacing w:val="-4"/>
        </w:rPr>
        <w:t xml:space="preserve"> </w:t>
      </w:r>
      <w:r>
        <w:t>in</w:t>
      </w:r>
      <w:r>
        <w:rPr>
          <w:spacing w:val="-4"/>
        </w:rPr>
        <w:t xml:space="preserve"> </w:t>
      </w:r>
      <w:r>
        <w:t>the prior-year financial statements that were discovered subsequent to the issuance of such financial statements and that the effects of uncorrected misstatements in the prior-year financial statements, including subsequently discovered misstatements, are material/immaterial to the prior-year financial statements as a whole.</w:t>
      </w:r>
    </w:p>
    <w:p w14:paraId="0DFDC7AE" w14:textId="77777777" w:rsidR="00046465" w:rsidRDefault="008134EB">
      <w:pPr>
        <w:pStyle w:val="ListParagraph"/>
        <w:numPr>
          <w:ilvl w:val="0"/>
          <w:numId w:val="67"/>
        </w:numPr>
        <w:tabs>
          <w:tab w:val="left" w:pos="1800"/>
        </w:tabs>
        <w:ind w:right="812"/>
      </w:pPr>
      <w:r>
        <w:rPr>
          <w:u w:val="single"/>
        </w:rPr>
        <w:t>Intragovernmental Activities</w:t>
      </w:r>
      <w:r>
        <w:t xml:space="preserve"> – OMB audit guidance has emphasized the importance of identifying and eliminating intragovernmental transactions and resolving</w:t>
      </w:r>
      <w:r>
        <w:rPr>
          <w:spacing w:val="-6"/>
        </w:rPr>
        <w:t xml:space="preserve"> </w:t>
      </w:r>
      <w:r>
        <w:t>intragovernmental</w:t>
      </w:r>
      <w:r>
        <w:rPr>
          <w:spacing w:val="-5"/>
        </w:rPr>
        <w:t xml:space="preserve"> </w:t>
      </w:r>
      <w:r>
        <w:t>differences</w:t>
      </w:r>
      <w:r>
        <w:rPr>
          <w:spacing w:val="-5"/>
        </w:rPr>
        <w:t xml:space="preserve"> </w:t>
      </w:r>
      <w:r>
        <w:t>for</w:t>
      </w:r>
      <w:r>
        <w:rPr>
          <w:spacing w:val="-5"/>
        </w:rPr>
        <w:t xml:space="preserve"> </w:t>
      </w:r>
      <w:r>
        <w:t>federal</w:t>
      </w:r>
      <w:r>
        <w:rPr>
          <w:spacing w:val="-5"/>
        </w:rPr>
        <w:t xml:space="preserve"> </w:t>
      </w:r>
      <w:r>
        <w:t>entities</w:t>
      </w:r>
      <w:r>
        <w:rPr>
          <w:spacing w:val="-5"/>
        </w:rPr>
        <w:t xml:space="preserve"> </w:t>
      </w:r>
      <w:r>
        <w:t>and</w:t>
      </w:r>
      <w:r>
        <w:rPr>
          <w:spacing w:val="-5"/>
        </w:rPr>
        <w:t xml:space="preserve"> </w:t>
      </w:r>
      <w:r>
        <w:t>their</w:t>
      </w:r>
      <w:r>
        <w:rPr>
          <w:spacing w:val="-5"/>
        </w:rPr>
        <w:t xml:space="preserve"> </w:t>
      </w:r>
      <w:r>
        <w:t>components (item 18).</w:t>
      </w:r>
    </w:p>
    <w:p w14:paraId="0DFDC7AF" w14:textId="77777777" w:rsidR="00046465" w:rsidRDefault="008134EB">
      <w:pPr>
        <w:pStyle w:val="ListParagraph"/>
        <w:numPr>
          <w:ilvl w:val="0"/>
          <w:numId w:val="67"/>
        </w:numPr>
        <w:tabs>
          <w:tab w:val="left" w:pos="1799"/>
        </w:tabs>
        <w:spacing w:before="119"/>
        <w:ind w:left="1799" w:right="726" w:hanging="720"/>
      </w:pPr>
      <w:r>
        <w:rPr>
          <w:u w:val="single"/>
        </w:rPr>
        <w:t>Financial management systems’ substantial compliance with the three</w:t>
      </w:r>
      <w:r>
        <w:t xml:space="preserve"> </w:t>
      </w:r>
      <w:r>
        <w:rPr>
          <w:u w:val="single"/>
        </w:rPr>
        <w:t>requirements of FFMIA</w:t>
      </w:r>
      <w:r>
        <w:t xml:space="preserve"> – FFMIA requires an auditor auditing the financial statements of a CFO Act agency to report whether the agency’s financial management</w:t>
      </w:r>
      <w:r>
        <w:rPr>
          <w:spacing w:val="-5"/>
        </w:rPr>
        <w:t xml:space="preserve"> </w:t>
      </w:r>
      <w:r>
        <w:t>systems</w:t>
      </w:r>
      <w:r>
        <w:rPr>
          <w:spacing w:val="-5"/>
        </w:rPr>
        <w:t xml:space="preserve"> </w:t>
      </w:r>
      <w:r>
        <w:t>comply</w:t>
      </w:r>
      <w:r>
        <w:rPr>
          <w:spacing w:val="-5"/>
        </w:rPr>
        <w:t xml:space="preserve"> </w:t>
      </w:r>
      <w:r>
        <w:t>substantially</w:t>
      </w:r>
      <w:r>
        <w:rPr>
          <w:spacing w:val="-4"/>
        </w:rPr>
        <w:t xml:space="preserve"> </w:t>
      </w:r>
      <w:r>
        <w:t>with</w:t>
      </w:r>
      <w:r>
        <w:rPr>
          <w:spacing w:val="-5"/>
        </w:rPr>
        <w:t xml:space="preserve"> </w:t>
      </w:r>
      <w:r>
        <w:t>(1)</w:t>
      </w:r>
      <w:r>
        <w:rPr>
          <w:spacing w:val="-5"/>
        </w:rPr>
        <w:t xml:space="preserve"> </w:t>
      </w:r>
      <w:r>
        <w:t>federal</w:t>
      </w:r>
      <w:r>
        <w:rPr>
          <w:spacing w:val="-5"/>
        </w:rPr>
        <w:t xml:space="preserve"> </w:t>
      </w:r>
      <w:r>
        <w:t>financial</w:t>
      </w:r>
      <w:r>
        <w:rPr>
          <w:spacing w:val="-5"/>
        </w:rPr>
        <w:t xml:space="preserve"> </w:t>
      </w:r>
      <w:r>
        <w:t xml:space="preserve">management systems requirements, (2) applicable federal accounting standards (U.S. GAAP), and (3) the </w:t>
      </w:r>
      <w:r>
        <w:rPr>
          <w:i/>
        </w:rPr>
        <w:t xml:space="preserve">U.S. Standard General Ledger </w:t>
      </w:r>
      <w:r>
        <w:t>(USSGL) at the transaction level. To report in accordance with FFMIA, the auditor should obtain representations from management as to whether the agency’s financial management systems comply substantially with these requirements.</w:t>
      </w:r>
    </w:p>
    <w:p w14:paraId="0DFDC7B0" w14:textId="77777777" w:rsidR="00046465" w:rsidRDefault="008134EB">
      <w:pPr>
        <w:pStyle w:val="ListParagraph"/>
        <w:numPr>
          <w:ilvl w:val="0"/>
          <w:numId w:val="67"/>
        </w:numPr>
        <w:tabs>
          <w:tab w:val="left" w:pos="1800"/>
        </w:tabs>
        <w:spacing w:before="121"/>
        <w:ind w:right="725"/>
      </w:pPr>
      <w:r>
        <w:t>The auditor should obtain representations that management is responsible for having</w:t>
      </w:r>
      <w:r>
        <w:rPr>
          <w:spacing w:val="-4"/>
        </w:rPr>
        <w:t xml:space="preserve"> </w:t>
      </w:r>
      <w:r>
        <w:t>its</w:t>
      </w:r>
      <w:r>
        <w:rPr>
          <w:spacing w:val="-4"/>
        </w:rPr>
        <w:t xml:space="preserve"> </w:t>
      </w:r>
      <w:r>
        <w:t>systems</w:t>
      </w:r>
      <w:r>
        <w:rPr>
          <w:spacing w:val="-4"/>
        </w:rPr>
        <w:t xml:space="preserve"> </w:t>
      </w:r>
      <w:r>
        <w:t>comply</w:t>
      </w:r>
      <w:r>
        <w:rPr>
          <w:spacing w:val="-4"/>
        </w:rPr>
        <w:t xml:space="preserve"> </w:t>
      </w:r>
      <w:r>
        <w:t>substantially</w:t>
      </w:r>
      <w:r>
        <w:rPr>
          <w:spacing w:val="-3"/>
        </w:rPr>
        <w:t xml:space="preserve"> </w:t>
      </w:r>
      <w:r>
        <w:t>with</w:t>
      </w:r>
      <w:r>
        <w:rPr>
          <w:spacing w:val="-4"/>
        </w:rPr>
        <w:t xml:space="preserve"> </w:t>
      </w:r>
      <w:r>
        <w:t>the</w:t>
      </w:r>
      <w:r>
        <w:rPr>
          <w:spacing w:val="-4"/>
        </w:rPr>
        <w:t xml:space="preserve"> </w:t>
      </w:r>
      <w:r>
        <w:t>FFMIA</w:t>
      </w:r>
      <w:r>
        <w:rPr>
          <w:spacing w:val="-4"/>
        </w:rPr>
        <w:t xml:space="preserve"> </w:t>
      </w:r>
      <w:r>
        <w:t>requirements,</w:t>
      </w:r>
      <w:r>
        <w:rPr>
          <w:spacing w:val="-4"/>
        </w:rPr>
        <w:t xml:space="preserve"> </w:t>
      </w:r>
      <w:r>
        <w:t>stating</w:t>
      </w:r>
      <w:r>
        <w:rPr>
          <w:spacing w:val="-4"/>
        </w:rPr>
        <w:t xml:space="preserve"> </w:t>
      </w:r>
      <w:r>
        <w:t>that it has assessed the systems’ compliance, stating the criteria used, and asserting whether the systems comply substantially with FFMIA requirements</w:t>
      </w:r>
      <w:r>
        <w:rPr>
          <w:spacing w:val="40"/>
        </w:rPr>
        <w:t xml:space="preserve"> </w:t>
      </w:r>
      <w:r>
        <w:t>(items 37-</w:t>
      </w:r>
    </w:p>
    <w:p w14:paraId="0DFDC7B1" w14:textId="77777777" w:rsidR="00046465" w:rsidRDefault="00046465">
      <w:pPr>
        <w:pStyle w:val="ListParagraph"/>
        <w:sectPr w:rsidR="00046465">
          <w:pgSz w:w="12240" w:h="15840"/>
          <w:pgMar w:top="1340" w:right="720" w:bottom="1020" w:left="1080" w:header="721" w:footer="757" w:gutter="0"/>
          <w:cols w:space="720"/>
        </w:sectPr>
      </w:pPr>
    </w:p>
    <w:p w14:paraId="0DFDC7B2" w14:textId="77777777" w:rsidR="00046465" w:rsidRDefault="008134EB">
      <w:pPr>
        <w:spacing w:before="121"/>
        <w:ind w:left="1799" w:right="749"/>
      </w:pPr>
      <w:r>
        <w:lastRenderedPageBreak/>
        <w:t>39).</w:t>
      </w:r>
      <w:r>
        <w:rPr>
          <w:spacing w:val="-2"/>
        </w:rPr>
        <w:t xml:space="preserve"> </w:t>
      </w:r>
      <w:r>
        <w:t>The</w:t>
      </w:r>
      <w:r>
        <w:rPr>
          <w:spacing w:val="-2"/>
        </w:rPr>
        <w:t xml:space="preserve"> </w:t>
      </w:r>
      <w:r>
        <w:t>criteria</w:t>
      </w:r>
      <w:r>
        <w:rPr>
          <w:spacing w:val="-2"/>
        </w:rPr>
        <w:t xml:space="preserve"> </w:t>
      </w:r>
      <w:r>
        <w:t>are</w:t>
      </w:r>
      <w:r>
        <w:rPr>
          <w:spacing w:val="-2"/>
        </w:rPr>
        <w:t xml:space="preserve"> </w:t>
      </w:r>
      <w:r>
        <w:t>the</w:t>
      </w:r>
      <w:r>
        <w:rPr>
          <w:spacing w:val="-3"/>
        </w:rPr>
        <w:t xml:space="preserve"> </w:t>
      </w:r>
      <w:r>
        <w:t>requirements</w:t>
      </w:r>
      <w:r>
        <w:rPr>
          <w:spacing w:val="-2"/>
        </w:rPr>
        <w:t xml:space="preserve"> </w:t>
      </w:r>
      <w:r>
        <w:t>in</w:t>
      </w:r>
      <w:r>
        <w:rPr>
          <w:spacing w:val="-2"/>
        </w:rPr>
        <w:t xml:space="preserve"> </w:t>
      </w:r>
      <w:r>
        <w:t>OMB</w:t>
      </w:r>
      <w:r>
        <w:rPr>
          <w:spacing w:val="-2"/>
        </w:rPr>
        <w:t xml:space="preserve"> </w:t>
      </w:r>
      <w:r>
        <w:t>Circular</w:t>
      </w:r>
      <w:r>
        <w:rPr>
          <w:spacing w:val="-2"/>
        </w:rPr>
        <w:t xml:space="preserve"> </w:t>
      </w:r>
      <w:r>
        <w:t>No.</w:t>
      </w:r>
      <w:r>
        <w:rPr>
          <w:spacing w:val="-2"/>
        </w:rPr>
        <w:t xml:space="preserve"> </w:t>
      </w:r>
      <w:r>
        <w:t>A-123,</w:t>
      </w:r>
      <w:r>
        <w:rPr>
          <w:spacing w:val="-2"/>
        </w:rPr>
        <w:t xml:space="preserve"> </w:t>
      </w:r>
      <w:r>
        <w:t>appendix</w:t>
      </w:r>
      <w:r>
        <w:rPr>
          <w:spacing w:val="-2"/>
        </w:rPr>
        <w:t xml:space="preserve"> </w:t>
      </w:r>
      <w:r>
        <w:t xml:space="preserve">D, </w:t>
      </w:r>
      <w:r>
        <w:rPr>
          <w:i/>
        </w:rPr>
        <w:t>Management of Financial Management Systems – Risk and Compliance</w:t>
      </w:r>
      <w:r>
        <w:t>. The federal financial management systems requirements are further described, including</w:t>
      </w:r>
      <w:r>
        <w:rPr>
          <w:spacing w:val="-5"/>
        </w:rPr>
        <w:t xml:space="preserve"> </w:t>
      </w:r>
      <w:r>
        <w:t>authoritative</w:t>
      </w:r>
      <w:r>
        <w:rPr>
          <w:spacing w:val="-5"/>
        </w:rPr>
        <w:t xml:space="preserve"> </w:t>
      </w:r>
      <w:r>
        <w:t>references,</w:t>
      </w:r>
      <w:r>
        <w:rPr>
          <w:spacing w:val="-5"/>
        </w:rPr>
        <w:t xml:space="preserve"> </w:t>
      </w:r>
      <w:r>
        <w:t>in</w:t>
      </w:r>
      <w:r>
        <w:rPr>
          <w:spacing w:val="-6"/>
        </w:rPr>
        <w:t xml:space="preserve"> </w:t>
      </w:r>
      <w:r>
        <w:t>the</w:t>
      </w:r>
      <w:r>
        <w:rPr>
          <w:spacing w:val="-5"/>
        </w:rPr>
        <w:t xml:space="preserve"> </w:t>
      </w:r>
      <w:r>
        <w:rPr>
          <w:i/>
        </w:rPr>
        <w:t>Treasury</w:t>
      </w:r>
      <w:r>
        <w:rPr>
          <w:i/>
          <w:spacing w:val="-5"/>
        </w:rPr>
        <w:t xml:space="preserve"> </w:t>
      </w:r>
      <w:r>
        <w:rPr>
          <w:i/>
        </w:rPr>
        <w:t>Financial</w:t>
      </w:r>
      <w:r>
        <w:rPr>
          <w:i/>
          <w:spacing w:val="-6"/>
        </w:rPr>
        <w:t xml:space="preserve"> </w:t>
      </w:r>
      <w:r>
        <w:rPr>
          <w:i/>
        </w:rPr>
        <w:t>Manual</w:t>
      </w:r>
      <w:r>
        <w:t>,</w:t>
      </w:r>
      <w:r>
        <w:rPr>
          <w:spacing w:val="-5"/>
        </w:rPr>
        <w:t xml:space="preserve"> </w:t>
      </w:r>
      <w:r>
        <w:t>volume</w:t>
      </w:r>
      <w:r>
        <w:rPr>
          <w:spacing w:val="-5"/>
        </w:rPr>
        <w:t xml:space="preserve"> </w:t>
      </w:r>
      <w:r>
        <w:t xml:space="preserve">1, part 6, chapter 9500, </w:t>
      </w:r>
      <w:r>
        <w:rPr>
          <w:i/>
        </w:rPr>
        <w:t xml:space="preserve">Revised Federal Financial Management System </w:t>
      </w:r>
      <w:r>
        <w:rPr>
          <w:i/>
          <w:spacing w:val="-2"/>
        </w:rPr>
        <w:t>Requirements</w:t>
      </w:r>
      <w:r>
        <w:rPr>
          <w:spacing w:val="-2"/>
        </w:rPr>
        <w:t>.</w:t>
      </w:r>
    </w:p>
    <w:p w14:paraId="0DFDC7B3" w14:textId="77777777" w:rsidR="00046465" w:rsidRDefault="008134EB">
      <w:pPr>
        <w:pStyle w:val="ListParagraph"/>
        <w:numPr>
          <w:ilvl w:val="0"/>
          <w:numId w:val="67"/>
        </w:numPr>
        <w:tabs>
          <w:tab w:val="left" w:pos="1799"/>
        </w:tabs>
        <w:ind w:left="1799" w:right="1103"/>
      </w:pPr>
      <w:r>
        <w:rPr>
          <w:u w:val="single"/>
        </w:rPr>
        <w:t xml:space="preserve">Statement of Social Insurance and Changes in Social Insurance Amounts </w:t>
      </w:r>
      <w:r>
        <w:t>– FASAB</w:t>
      </w:r>
      <w:r>
        <w:rPr>
          <w:spacing w:val="-4"/>
        </w:rPr>
        <w:t xml:space="preserve"> </w:t>
      </w:r>
      <w:r>
        <w:t>standards</w:t>
      </w:r>
      <w:r>
        <w:rPr>
          <w:spacing w:val="-4"/>
        </w:rPr>
        <w:t xml:space="preserve"> </w:t>
      </w:r>
      <w:r>
        <w:t>require</w:t>
      </w:r>
      <w:r>
        <w:rPr>
          <w:spacing w:val="-4"/>
        </w:rPr>
        <w:t xml:space="preserve"> </w:t>
      </w:r>
      <w:r>
        <w:t>a</w:t>
      </w:r>
      <w:r>
        <w:rPr>
          <w:spacing w:val="-4"/>
        </w:rPr>
        <w:t xml:space="preserve"> </w:t>
      </w:r>
      <w:r>
        <w:rPr>
          <w:i/>
        </w:rPr>
        <w:t>Statement</w:t>
      </w:r>
      <w:r>
        <w:rPr>
          <w:i/>
          <w:spacing w:val="-4"/>
        </w:rPr>
        <w:t xml:space="preserve"> </w:t>
      </w:r>
      <w:r>
        <w:rPr>
          <w:i/>
        </w:rPr>
        <w:t>of</w:t>
      </w:r>
      <w:r>
        <w:rPr>
          <w:i/>
          <w:spacing w:val="-4"/>
        </w:rPr>
        <w:t xml:space="preserve"> </w:t>
      </w:r>
      <w:r>
        <w:rPr>
          <w:i/>
        </w:rPr>
        <w:t>Social</w:t>
      </w:r>
      <w:r>
        <w:rPr>
          <w:i/>
          <w:spacing w:val="-4"/>
        </w:rPr>
        <w:t xml:space="preserve"> </w:t>
      </w:r>
      <w:r>
        <w:rPr>
          <w:i/>
        </w:rPr>
        <w:t>Insurance</w:t>
      </w:r>
      <w:r>
        <w:rPr>
          <w:i/>
          <w:spacing w:val="-4"/>
        </w:rPr>
        <w:t xml:space="preserve"> </w:t>
      </w:r>
      <w:r>
        <w:t>for</w:t>
      </w:r>
      <w:r>
        <w:rPr>
          <w:spacing w:val="-5"/>
        </w:rPr>
        <w:t xml:space="preserve"> </w:t>
      </w:r>
      <w:r>
        <w:t>certain</w:t>
      </w:r>
      <w:r>
        <w:rPr>
          <w:spacing w:val="-4"/>
        </w:rPr>
        <w:t xml:space="preserve"> </w:t>
      </w:r>
      <w:r>
        <w:t>entities. See</w:t>
      </w:r>
      <w:r>
        <w:rPr>
          <w:spacing w:val="-4"/>
        </w:rPr>
        <w:t xml:space="preserve"> </w:t>
      </w:r>
      <w:r>
        <w:t>AICPA</w:t>
      </w:r>
      <w:r>
        <w:rPr>
          <w:spacing w:val="-3"/>
        </w:rPr>
        <w:t xml:space="preserve"> </w:t>
      </w:r>
      <w:r>
        <w:t>publication</w:t>
      </w:r>
      <w:r>
        <w:rPr>
          <w:spacing w:val="-7"/>
        </w:rPr>
        <w:t xml:space="preserve"> </w:t>
      </w:r>
      <w:r>
        <w:t>SOP</w:t>
      </w:r>
      <w:r>
        <w:rPr>
          <w:spacing w:val="-4"/>
        </w:rPr>
        <w:t xml:space="preserve"> </w:t>
      </w:r>
      <w:r>
        <w:t>04-1,</w:t>
      </w:r>
      <w:r>
        <w:rPr>
          <w:spacing w:val="-2"/>
        </w:rPr>
        <w:t xml:space="preserve"> </w:t>
      </w:r>
      <w:r>
        <w:rPr>
          <w:i/>
        </w:rPr>
        <w:t>Auditing</w:t>
      </w:r>
      <w:r>
        <w:rPr>
          <w:i/>
          <w:spacing w:val="-4"/>
        </w:rPr>
        <w:t xml:space="preserve"> </w:t>
      </w:r>
      <w:r>
        <w:rPr>
          <w:i/>
        </w:rPr>
        <w:t>the</w:t>
      </w:r>
      <w:r>
        <w:rPr>
          <w:i/>
          <w:spacing w:val="-5"/>
        </w:rPr>
        <w:t xml:space="preserve"> </w:t>
      </w:r>
      <w:r>
        <w:rPr>
          <w:i/>
        </w:rPr>
        <w:t>Statement</w:t>
      </w:r>
      <w:r>
        <w:rPr>
          <w:i/>
          <w:spacing w:val="-4"/>
        </w:rPr>
        <w:t xml:space="preserve"> </w:t>
      </w:r>
      <w:r>
        <w:rPr>
          <w:i/>
        </w:rPr>
        <w:t>of</w:t>
      </w:r>
      <w:r>
        <w:rPr>
          <w:i/>
          <w:spacing w:val="-4"/>
        </w:rPr>
        <w:t xml:space="preserve"> </w:t>
      </w:r>
      <w:r>
        <w:rPr>
          <w:i/>
        </w:rPr>
        <w:t>Social</w:t>
      </w:r>
      <w:r>
        <w:rPr>
          <w:i/>
          <w:spacing w:val="-4"/>
        </w:rPr>
        <w:t xml:space="preserve"> </w:t>
      </w:r>
      <w:r>
        <w:rPr>
          <w:i/>
        </w:rPr>
        <w:t xml:space="preserve">Insurance </w:t>
      </w:r>
      <w:r>
        <w:t>(AU-C 580.19; SOP 04-1 § 36) (items 44-52).</w:t>
      </w:r>
    </w:p>
    <w:p w14:paraId="0DFDC7B4" w14:textId="77777777" w:rsidR="00046465" w:rsidRDefault="008134EB">
      <w:pPr>
        <w:pStyle w:val="ListParagraph"/>
        <w:numPr>
          <w:ilvl w:val="0"/>
          <w:numId w:val="67"/>
        </w:numPr>
        <w:tabs>
          <w:tab w:val="left" w:pos="1800"/>
        </w:tabs>
        <w:ind w:right="1912"/>
      </w:pPr>
      <w:r>
        <w:rPr>
          <w:u w:val="single"/>
        </w:rPr>
        <w:t>Budgetary</w:t>
      </w:r>
      <w:r>
        <w:rPr>
          <w:spacing w:val="-5"/>
          <w:u w:val="single"/>
        </w:rPr>
        <w:t xml:space="preserve"> </w:t>
      </w:r>
      <w:r>
        <w:rPr>
          <w:u w:val="single"/>
        </w:rPr>
        <w:t>Funds</w:t>
      </w:r>
      <w:r>
        <w:rPr>
          <w:spacing w:val="-5"/>
        </w:rPr>
        <w:t xml:space="preserve"> </w:t>
      </w:r>
      <w:r>
        <w:t>–</w:t>
      </w:r>
      <w:r>
        <w:rPr>
          <w:spacing w:val="-5"/>
        </w:rPr>
        <w:t xml:space="preserve"> </w:t>
      </w:r>
      <w:r>
        <w:t>OMB</w:t>
      </w:r>
      <w:r>
        <w:rPr>
          <w:spacing w:val="-4"/>
        </w:rPr>
        <w:t xml:space="preserve"> </w:t>
      </w:r>
      <w:r>
        <w:t>audit</w:t>
      </w:r>
      <w:r>
        <w:rPr>
          <w:spacing w:val="-5"/>
        </w:rPr>
        <w:t xml:space="preserve"> </w:t>
      </w:r>
      <w:r>
        <w:t>guidance</w:t>
      </w:r>
      <w:r>
        <w:rPr>
          <w:spacing w:val="-5"/>
        </w:rPr>
        <w:t xml:space="preserve"> </w:t>
      </w:r>
      <w:r>
        <w:t>includes</w:t>
      </w:r>
      <w:r>
        <w:rPr>
          <w:spacing w:val="-6"/>
        </w:rPr>
        <w:t xml:space="preserve"> </w:t>
      </w:r>
      <w:r>
        <w:t>a</w:t>
      </w:r>
      <w:r>
        <w:rPr>
          <w:spacing w:val="-5"/>
        </w:rPr>
        <w:t xml:space="preserve"> </w:t>
      </w:r>
      <w:r>
        <w:t>representation</w:t>
      </w:r>
      <w:r>
        <w:rPr>
          <w:spacing w:val="-5"/>
        </w:rPr>
        <w:t xml:space="preserve"> </w:t>
      </w:r>
      <w:r>
        <w:t>by management on the consistency of budgetary data (item 53).</w:t>
      </w:r>
    </w:p>
    <w:p w14:paraId="0DFDC7B5" w14:textId="77777777" w:rsidR="00046465" w:rsidRDefault="008134EB">
      <w:pPr>
        <w:pStyle w:val="ListParagraph"/>
        <w:numPr>
          <w:ilvl w:val="0"/>
          <w:numId w:val="67"/>
        </w:numPr>
        <w:tabs>
          <w:tab w:val="left" w:pos="1799"/>
        </w:tabs>
        <w:ind w:left="1799" w:right="773"/>
      </w:pPr>
      <w:r>
        <w:rPr>
          <w:u w:val="single"/>
        </w:rPr>
        <w:t xml:space="preserve">Restricted Funds </w:t>
      </w:r>
      <w:r>
        <w:t xml:space="preserve">– All material funds from dedicated collections, as defined by Statement of Federal Financial Accounting Standards (SFFAS) 43, </w:t>
      </w:r>
      <w:r>
        <w:rPr>
          <w:i/>
        </w:rPr>
        <w:t>Funds from Dedicated Collections: Amending Statement of Federal Financial Accounting Standards</w:t>
      </w:r>
      <w:r>
        <w:rPr>
          <w:i/>
          <w:spacing w:val="-4"/>
        </w:rPr>
        <w:t xml:space="preserve"> </w:t>
      </w:r>
      <w:r>
        <w:rPr>
          <w:i/>
        </w:rPr>
        <w:t>27,</w:t>
      </w:r>
      <w:r>
        <w:rPr>
          <w:i/>
          <w:spacing w:val="-4"/>
        </w:rPr>
        <w:t xml:space="preserve"> </w:t>
      </w:r>
      <w:r>
        <w:rPr>
          <w:i/>
        </w:rPr>
        <w:t>Identifying</w:t>
      </w:r>
      <w:r>
        <w:rPr>
          <w:i/>
          <w:spacing w:val="-4"/>
        </w:rPr>
        <w:t xml:space="preserve"> </w:t>
      </w:r>
      <w:r>
        <w:rPr>
          <w:i/>
        </w:rPr>
        <w:t>and</w:t>
      </w:r>
      <w:r>
        <w:rPr>
          <w:i/>
          <w:spacing w:val="-4"/>
        </w:rPr>
        <w:t xml:space="preserve"> </w:t>
      </w:r>
      <w:r>
        <w:rPr>
          <w:i/>
        </w:rPr>
        <w:t>Reporting</w:t>
      </w:r>
      <w:r>
        <w:rPr>
          <w:i/>
          <w:spacing w:val="-4"/>
        </w:rPr>
        <w:t xml:space="preserve"> </w:t>
      </w:r>
      <w:r>
        <w:rPr>
          <w:i/>
        </w:rPr>
        <w:t>Earmarked</w:t>
      </w:r>
      <w:r>
        <w:rPr>
          <w:i/>
          <w:spacing w:val="-4"/>
        </w:rPr>
        <w:t xml:space="preserve"> </w:t>
      </w:r>
      <w:r>
        <w:rPr>
          <w:i/>
        </w:rPr>
        <w:t>Funds</w:t>
      </w:r>
      <w:r>
        <w:t>,</w:t>
      </w:r>
      <w:r>
        <w:rPr>
          <w:spacing w:val="-5"/>
        </w:rPr>
        <w:t xml:space="preserve"> </w:t>
      </w:r>
      <w:r>
        <w:t>and</w:t>
      </w:r>
      <w:r>
        <w:rPr>
          <w:spacing w:val="-4"/>
        </w:rPr>
        <w:t xml:space="preserve"> </w:t>
      </w:r>
      <w:r>
        <w:t>all</w:t>
      </w:r>
      <w:r>
        <w:rPr>
          <w:spacing w:val="-4"/>
        </w:rPr>
        <w:t xml:space="preserve"> </w:t>
      </w:r>
      <w:r>
        <w:t>other</w:t>
      </w:r>
      <w:r>
        <w:rPr>
          <w:spacing w:val="-5"/>
        </w:rPr>
        <w:t xml:space="preserve"> </w:t>
      </w:r>
      <w:r>
        <w:t>material restricted funds (e.g., restricted cash), are to be presented and/or disclosed in the financial statements (item 54).</w:t>
      </w:r>
    </w:p>
    <w:p w14:paraId="0DFDC7B6" w14:textId="77777777" w:rsidR="00046465" w:rsidRDefault="008134EB">
      <w:pPr>
        <w:pStyle w:val="ListParagraph"/>
        <w:numPr>
          <w:ilvl w:val="0"/>
          <w:numId w:val="67"/>
        </w:numPr>
        <w:tabs>
          <w:tab w:val="left" w:pos="1800"/>
        </w:tabs>
        <w:spacing w:before="119"/>
        <w:ind w:right="885" w:hanging="720"/>
      </w:pPr>
      <w:r>
        <w:rPr>
          <w:u w:val="single"/>
        </w:rPr>
        <w:t>Service Organizations</w:t>
      </w:r>
      <w:r>
        <w:t xml:space="preserve"> – OMB audit guidance includes representations by management</w:t>
      </w:r>
      <w:r>
        <w:rPr>
          <w:spacing w:val="-4"/>
        </w:rPr>
        <w:t xml:space="preserve"> </w:t>
      </w:r>
      <w:r>
        <w:t>on</w:t>
      </w:r>
      <w:r>
        <w:rPr>
          <w:spacing w:val="-4"/>
        </w:rPr>
        <w:t xml:space="preserve"> </w:t>
      </w:r>
      <w:r>
        <w:t>its</w:t>
      </w:r>
      <w:r>
        <w:rPr>
          <w:spacing w:val="-4"/>
        </w:rPr>
        <w:t xml:space="preserve"> </w:t>
      </w:r>
      <w:r>
        <w:t>knowledge</w:t>
      </w:r>
      <w:r>
        <w:rPr>
          <w:spacing w:val="-4"/>
        </w:rPr>
        <w:t xml:space="preserve"> </w:t>
      </w:r>
      <w:r>
        <w:t>of</w:t>
      </w:r>
      <w:r>
        <w:rPr>
          <w:spacing w:val="-4"/>
        </w:rPr>
        <w:t xml:space="preserve"> </w:t>
      </w:r>
      <w:r>
        <w:t>(1)</w:t>
      </w:r>
      <w:r>
        <w:rPr>
          <w:spacing w:val="-6"/>
        </w:rPr>
        <w:t xml:space="preserve"> </w:t>
      </w:r>
      <w:r>
        <w:t>any</w:t>
      </w:r>
      <w:r>
        <w:rPr>
          <w:spacing w:val="-4"/>
        </w:rPr>
        <w:t xml:space="preserve"> </w:t>
      </w:r>
      <w:r>
        <w:t>fraud,</w:t>
      </w:r>
      <w:r>
        <w:rPr>
          <w:spacing w:val="-4"/>
        </w:rPr>
        <w:t xml:space="preserve"> </w:t>
      </w:r>
      <w:r>
        <w:t>non-compliance,</w:t>
      </w:r>
      <w:r>
        <w:rPr>
          <w:spacing w:val="-4"/>
        </w:rPr>
        <w:t xml:space="preserve"> </w:t>
      </w:r>
      <w:r>
        <w:t>or</w:t>
      </w:r>
      <w:r>
        <w:rPr>
          <w:spacing w:val="-4"/>
        </w:rPr>
        <w:t xml:space="preserve"> </w:t>
      </w:r>
      <w:r>
        <w:t>uncorrected misstatements reported by, or related to, service organizations, and (2) any changes</w:t>
      </w:r>
      <w:r>
        <w:rPr>
          <w:spacing w:val="-3"/>
        </w:rPr>
        <w:t xml:space="preserve"> </w:t>
      </w:r>
      <w:r>
        <w:t>in</w:t>
      </w:r>
      <w:r>
        <w:rPr>
          <w:spacing w:val="-4"/>
        </w:rPr>
        <w:t xml:space="preserve"> </w:t>
      </w:r>
      <w:r>
        <w:t>internal</w:t>
      </w:r>
      <w:r>
        <w:rPr>
          <w:spacing w:val="-3"/>
        </w:rPr>
        <w:t xml:space="preserve"> </w:t>
      </w:r>
      <w:r>
        <w:t>controls</w:t>
      </w:r>
      <w:r>
        <w:rPr>
          <w:spacing w:val="-3"/>
        </w:rPr>
        <w:t xml:space="preserve"> </w:t>
      </w:r>
      <w:r>
        <w:t>at</w:t>
      </w:r>
      <w:r>
        <w:rPr>
          <w:spacing w:val="-3"/>
        </w:rPr>
        <w:t xml:space="preserve"> </w:t>
      </w:r>
      <w:r>
        <w:t>service</w:t>
      </w:r>
      <w:r>
        <w:rPr>
          <w:spacing w:val="-3"/>
        </w:rPr>
        <w:t xml:space="preserve"> </w:t>
      </w:r>
      <w:r>
        <w:t>organizations</w:t>
      </w:r>
      <w:r>
        <w:rPr>
          <w:spacing w:val="-3"/>
        </w:rPr>
        <w:t xml:space="preserve"> </w:t>
      </w:r>
      <w:r>
        <w:t>subsequent</w:t>
      </w:r>
      <w:r>
        <w:rPr>
          <w:spacing w:val="-3"/>
        </w:rPr>
        <w:t xml:space="preserve"> </w:t>
      </w:r>
      <w:r>
        <w:t>to</w:t>
      </w:r>
      <w:r>
        <w:rPr>
          <w:spacing w:val="-3"/>
        </w:rPr>
        <w:t xml:space="preserve"> </w:t>
      </w:r>
      <w:r>
        <w:t>the</w:t>
      </w:r>
      <w:r>
        <w:rPr>
          <w:spacing w:val="-3"/>
        </w:rPr>
        <w:t xml:space="preserve"> </w:t>
      </w:r>
      <w:r>
        <w:t>effective dates of the service organizations’ report(s) (items 55–56).</w:t>
      </w:r>
    </w:p>
    <w:p w14:paraId="0DFDC7B7" w14:textId="77777777" w:rsidR="00046465" w:rsidRDefault="008134EB">
      <w:pPr>
        <w:pStyle w:val="Heading4"/>
      </w:pPr>
      <w:bookmarkStart w:id="373" w:name="Effect_of_Change_in_Management_on_Repres"/>
      <w:bookmarkEnd w:id="373"/>
      <w:r>
        <w:t>Effect</w:t>
      </w:r>
      <w:r>
        <w:rPr>
          <w:spacing w:val="-12"/>
        </w:rPr>
        <w:t xml:space="preserve"> </w:t>
      </w:r>
      <w:r>
        <w:t>of</w:t>
      </w:r>
      <w:r>
        <w:rPr>
          <w:spacing w:val="-12"/>
        </w:rPr>
        <w:t xml:space="preserve"> </w:t>
      </w:r>
      <w:r>
        <w:t>Change</w:t>
      </w:r>
      <w:r>
        <w:rPr>
          <w:spacing w:val="-11"/>
        </w:rPr>
        <w:t xml:space="preserve"> </w:t>
      </w:r>
      <w:r>
        <w:t>in</w:t>
      </w:r>
      <w:r>
        <w:rPr>
          <w:spacing w:val="-12"/>
        </w:rPr>
        <w:t xml:space="preserve"> </w:t>
      </w:r>
      <w:r>
        <w:t>Management</w:t>
      </w:r>
      <w:r>
        <w:rPr>
          <w:spacing w:val="-11"/>
        </w:rPr>
        <w:t xml:space="preserve"> </w:t>
      </w:r>
      <w:r>
        <w:t>on</w:t>
      </w:r>
      <w:r>
        <w:rPr>
          <w:spacing w:val="-12"/>
        </w:rPr>
        <w:t xml:space="preserve"> </w:t>
      </w:r>
      <w:r>
        <w:t>Representation</w:t>
      </w:r>
      <w:r>
        <w:rPr>
          <w:spacing w:val="-12"/>
        </w:rPr>
        <w:t xml:space="preserve"> </w:t>
      </w:r>
      <w:r>
        <w:rPr>
          <w:spacing w:val="-2"/>
        </w:rPr>
        <w:t>Letter</w:t>
      </w:r>
    </w:p>
    <w:p w14:paraId="0DFDC7B8" w14:textId="77777777" w:rsidR="00046465" w:rsidRDefault="008134EB">
      <w:pPr>
        <w:pStyle w:val="ListParagraph"/>
        <w:numPr>
          <w:ilvl w:val="0"/>
          <w:numId w:val="67"/>
        </w:numPr>
        <w:tabs>
          <w:tab w:val="left" w:pos="1800"/>
        </w:tabs>
        <w:ind w:right="726"/>
      </w:pPr>
      <w:r>
        <w:t>Sometimes management is reluctant to sign representations for periods when it did not manage the entity. The auditor may explain to management that by issuing</w:t>
      </w:r>
      <w:r>
        <w:rPr>
          <w:spacing w:val="-3"/>
        </w:rPr>
        <w:t xml:space="preserve"> </w:t>
      </w:r>
      <w:r>
        <w:t>the</w:t>
      </w:r>
      <w:r>
        <w:rPr>
          <w:spacing w:val="-3"/>
        </w:rPr>
        <w:t xml:space="preserve"> </w:t>
      </w:r>
      <w:r>
        <w:t>financial</w:t>
      </w:r>
      <w:r>
        <w:rPr>
          <w:spacing w:val="-3"/>
        </w:rPr>
        <w:t xml:space="preserve"> </w:t>
      </w:r>
      <w:r>
        <w:t>statements,</w:t>
      </w:r>
      <w:r>
        <w:rPr>
          <w:spacing w:val="-3"/>
        </w:rPr>
        <w:t xml:space="preserve"> </w:t>
      </w:r>
      <w:r>
        <w:t>it</w:t>
      </w:r>
      <w:r>
        <w:rPr>
          <w:spacing w:val="-3"/>
        </w:rPr>
        <w:t xml:space="preserve"> </w:t>
      </w:r>
      <w:r>
        <w:t>is</w:t>
      </w:r>
      <w:r>
        <w:rPr>
          <w:spacing w:val="-4"/>
        </w:rPr>
        <w:t xml:space="preserve"> </w:t>
      </w:r>
      <w:r>
        <w:t>making</w:t>
      </w:r>
      <w:r>
        <w:rPr>
          <w:spacing w:val="-3"/>
        </w:rPr>
        <w:t xml:space="preserve"> </w:t>
      </w:r>
      <w:r>
        <w:t>the</w:t>
      </w:r>
      <w:r>
        <w:rPr>
          <w:spacing w:val="-3"/>
        </w:rPr>
        <w:t xml:space="preserve"> </w:t>
      </w:r>
      <w:r>
        <w:t>assertions</w:t>
      </w:r>
      <w:r>
        <w:rPr>
          <w:spacing w:val="-4"/>
        </w:rPr>
        <w:t xml:space="preserve"> </w:t>
      </w:r>
      <w:r>
        <w:t>implicit</w:t>
      </w:r>
      <w:r>
        <w:rPr>
          <w:spacing w:val="-3"/>
        </w:rPr>
        <w:t xml:space="preserve"> </w:t>
      </w:r>
      <w:r>
        <w:t>in</w:t>
      </w:r>
      <w:r>
        <w:rPr>
          <w:spacing w:val="-3"/>
        </w:rPr>
        <w:t xml:space="preserve"> </w:t>
      </w:r>
      <w:r>
        <w:t>the</w:t>
      </w:r>
      <w:r>
        <w:rPr>
          <w:spacing w:val="-4"/>
        </w:rPr>
        <w:t xml:space="preserve"> </w:t>
      </w:r>
      <w:r>
        <w:t>financial statements. Additionally, the auditor may discuss the following with management in order to obtain representations when a change in management occurs:</w:t>
      </w:r>
    </w:p>
    <w:p w14:paraId="0DFDC7B9" w14:textId="77777777" w:rsidR="00046465" w:rsidRDefault="008134EB">
      <w:pPr>
        <w:pStyle w:val="ListParagraph"/>
        <w:numPr>
          <w:ilvl w:val="1"/>
          <w:numId w:val="67"/>
        </w:numPr>
        <w:tabs>
          <w:tab w:val="left" w:pos="2160"/>
        </w:tabs>
        <w:ind w:right="746"/>
      </w:pPr>
      <w:r>
        <w:t>Auditing</w:t>
      </w:r>
      <w:r>
        <w:rPr>
          <w:spacing w:val="-6"/>
        </w:rPr>
        <w:t xml:space="preserve"> </w:t>
      </w:r>
      <w:r>
        <w:t>standards</w:t>
      </w:r>
      <w:r>
        <w:rPr>
          <w:spacing w:val="-6"/>
        </w:rPr>
        <w:t xml:space="preserve"> </w:t>
      </w:r>
      <w:r>
        <w:t>require</w:t>
      </w:r>
      <w:r>
        <w:rPr>
          <w:spacing w:val="-6"/>
        </w:rPr>
        <w:t xml:space="preserve"> </w:t>
      </w:r>
      <w:r>
        <w:t>management</w:t>
      </w:r>
      <w:r>
        <w:rPr>
          <w:spacing w:val="-6"/>
        </w:rPr>
        <w:t xml:space="preserve"> </w:t>
      </w:r>
      <w:r>
        <w:t>representations</w:t>
      </w:r>
      <w:r>
        <w:rPr>
          <w:spacing w:val="-6"/>
        </w:rPr>
        <w:t xml:space="preserve"> </w:t>
      </w:r>
      <w:r>
        <w:t>covering</w:t>
      </w:r>
      <w:r>
        <w:rPr>
          <w:spacing w:val="-6"/>
        </w:rPr>
        <w:t xml:space="preserve"> </w:t>
      </w:r>
      <w:r>
        <w:t>all</w:t>
      </w:r>
      <w:r>
        <w:rPr>
          <w:spacing w:val="-6"/>
        </w:rPr>
        <w:t xml:space="preserve"> </w:t>
      </w:r>
      <w:r>
        <w:t>financial statements presented.</w:t>
      </w:r>
    </w:p>
    <w:p w14:paraId="0DFDC7BA" w14:textId="77777777" w:rsidR="00046465" w:rsidRDefault="008134EB">
      <w:pPr>
        <w:pStyle w:val="ListParagraph"/>
        <w:numPr>
          <w:ilvl w:val="1"/>
          <w:numId w:val="67"/>
        </w:numPr>
        <w:tabs>
          <w:tab w:val="left" w:pos="2158"/>
          <w:tab w:val="left" w:pos="2160"/>
        </w:tabs>
        <w:ind w:right="1256" w:hanging="361"/>
      </w:pPr>
      <w:r>
        <w:t>In</w:t>
      </w:r>
      <w:r>
        <w:rPr>
          <w:spacing w:val="-4"/>
        </w:rPr>
        <w:t xml:space="preserve"> </w:t>
      </w:r>
      <w:r>
        <w:t>the</w:t>
      </w:r>
      <w:r>
        <w:rPr>
          <w:spacing w:val="-4"/>
        </w:rPr>
        <w:t xml:space="preserve"> </w:t>
      </w:r>
      <w:r>
        <w:t>engagement</w:t>
      </w:r>
      <w:r>
        <w:rPr>
          <w:spacing w:val="-4"/>
        </w:rPr>
        <w:t xml:space="preserve"> </w:t>
      </w:r>
      <w:r>
        <w:t>letter</w:t>
      </w:r>
      <w:r>
        <w:rPr>
          <w:spacing w:val="-4"/>
        </w:rPr>
        <w:t xml:space="preserve"> </w:t>
      </w:r>
      <w:r>
        <w:t>(FAM</w:t>
      </w:r>
      <w:r>
        <w:rPr>
          <w:spacing w:val="-5"/>
        </w:rPr>
        <w:t xml:space="preserve"> </w:t>
      </w:r>
      <w:r>
        <w:t>215),</w:t>
      </w:r>
      <w:r>
        <w:rPr>
          <w:spacing w:val="-3"/>
        </w:rPr>
        <w:t xml:space="preserve"> </w:t>
      </w:r>
      <w:r>
        <w:t>entity</w:t>
      </w:r>
      <w:r>
        <w:rPr>
          <w:spacing w:val="-4"/>
        </w:rPr>
        <w:t xml:space="preserve"> </w:t>
      </w:r>
      <w:r>
        <w:t>management</w:t>
      </w:r>
      <w:r>
        <w:rPr>
          <w:spacing w:val="-4"/>
        </w:rPr>
        <w:t xml:space="preserve"> </w:t>
      </w:r>
      <w:r>
        <w:t>indicated</w:t>
      </w:r>
      <w:r>
        <w:rPr>
          <w:spacing w:val="-4"/>
        </w:rPr>
        <w:t xml:space="preserve"> </w:t>
      </w:r>
      <w:r>
        <w:t>that</w:t>
      </w:r>
      <w:r>
        <w:rPr>
          <w:spacing w:val="-4"/>
        </w:rPr>
        <w:t xml:space="preserve"> </w:t>
      </w:r>
      <w:r>
        <w:t xml:space="preserve">it would provide certain representations covering all financial statements </w:t>
      </w:r>
      <w:r>
        <w:rPr>
          <w:spacing w:val="-2"/>
        </w:rPr>
        <w:t>presented.</w:t>
      </w:r>
    </w:p>
    <w:p w14:paraId="0DFDC7BB" w14:textId="77777777" w:rsidR="00046465" w:rsidRDefault="008134EB">
      <w:pPr>
        <w:pStyle w:val="ListParagraph"/>
        <w:numPr>
          <w:ilvl w:val="1"/>
          <w:numId w:val="67"/>
        </w:numPr>
        <w:tabs>
          <w:tab w:val="left" w:pos="2160"/>
        </w:tabs>
        <w:ind w:right="942"/>
      </w:pPr>
      <w:r>
        <w:t>New executives may consult with prior management and appropriate staff members</w:t>
      </w:r>
      <w:r>
        <w:rPr>
          <w:spacing w:val="-4"/>
        </w:rPr>
        <w:t xml:space="preserve"> </w:t>
      </w:r>
      <w:r>
        <w:t>who</w:t>
      </w:r>
      <w:r>
        <w:rPr>
          <w:spacing w:val="-4"/>
        </w:rPr>
        <w:t xml:space="preserve"> </w:t>
      </w:r>
      <w:r>
        <w:t>were</w:t>
      </w:r>
      <w:r>
        <w:rPr>
          <w:spacing w:val="-4"/>
        </w:rPr>
        <w:t xml:space="preserve"> </w:t>
      </w:r>
      <w:r>
        <w:t>present</w:t>
      </w:r>
      <w:r>
        <w:rPr>
          <w:spacing w:val="-4"/>
        </w:rPr>
        <w:t xml:space="preserve"> </w:t>
      </w:r>
      <w:r>
        <w:t>during</w:t>
      </w:r>
      <w:r>
        <w:rPr>
          <w:spacing w:val="-4"/>
        </w:rPr>
        <w:t xml:space="preserve"> </w:t>
      </w:r>
      <w:r>
        <w:t>the</w:t>
      </w:r>
      <w:r>
        <w:rPr>
          <w:spacing w:val="-4"/>
        </w:rPr>
        <w:t xml:space="preserve"> </w:t>
      </w:r>
      <w:r>
        <w:t>period</w:t>
      </w:r>
      <w:r>
        <w:rPr>
          <w:spacing w:val="-4"/>
        </w:rPr>
        <w:t xml:space="preserve"> </w:t>
      </w:r>
      <w:r>
        <w:t>audited</w:t>
      </w:r>
      <w:r>
        <w:rPr>
          <w:spacing w:val="-4"/>
        </w:rPr>
        <w:t xml:space="preserve"> </w:t>
      </w:r>
      <w:r>
        <w:t>to</w:t>
      </w:r>
      <w:r>
        <w:rPr>
          <w:spacing w:val="-4"/>
        </w:rPr>
        <w:t xml:space="preserve"> </w:t>
      </w:r>
      <w:r>
        <w:t>determine</w:t>
      </w:r>
      <w:r>
        <w:rPr>
          <w:spacing w:val="-4"/>
        </w:rPr>
        <w:t xml:space="preserve"> </w:t>
      </w:r>
      <w:r>
        <w:t>whether the representations that officials will sign are complete and accurate.</w:t>
      </w:r>
    </w:p>
    <w:p w14:paraId="0DFDC7BC" w14:textId="77777777" w:rsidR="00046465" w:rsidRDefault="008134EB">
      <w:pPr>
        <w:pStyle w:val="ListParagraph"/>
        <w:numPr>
          <w:ilvl w:val="1"/>
          <w:numId w:val="67"/>
        </w:numPr>
        <w:tabs>
          <w:tab w:val="left" w:pos="2159"/>
        </w:tabs>
        <w:ind w:left="2159" w:hanging="359"/>
      </w:pPr>
      <w:r>
        <w:t>Representations</w:t>
      </w:r>
      <w:r>
        <w:rPr>
          <w:spacing w:val="-7"/>
        </w:rPr>
        <w:t xml:space="preserve"> </w:t>
      </w:r>
      <w:r>
        <w:t>are</w:t>
      </w:r>
      <w:r>
        <w:rPr>
          <w:spacing w:val="-6"/>
        </w:rPr>
        <w:t xml:space="preserve"> </w:t>
      </w:r>
      <w:r>
        <w:t>made</w:t>
      </w:r>
      <w:r>
        <w:rPr>
          <w:spacing w:val="-6"/>
        </w:rPr>
        <w:t xml:space="preserve"> </w:t>
      </w:r>
      <w:r>
        <w:t>to</w:t>
      </w:r>
      <w:r>
        <w:rPr>
          <w:spacing w:val="-6"/>
        </w:rPr>
        <w:t xml:space="preserve"> </w:t>
      </w:r>
      <w:r>
        <w:t>the</w:t>
      </w:r>
      <w:r>
        <w:rPr>
          <w:spacing w:val="-6"/>
        </w:rPr>
        <w:t xml:space="preserve"> </w:t>
      </w:r>
      <w:r>
        <w:t>best</w:t>
      </w:r>
      <w:r>
        <w:rPr>
          <w:spacing w:val="-6"/>
        </w:rPr>
        <w:t xml:space="preserve"> </w:t>
      </w:r>
      <w:r>
        <w:t>of</w:t>
      </w:r>
      <w:r>
        <w:rPr>
          <w:spacing w:val="-6"/>
        </w:rPr>
        <w:t xml:space="preserve"> </w:t>
      </w:r>
      <w:r>
        <w:t>the</w:t>
      </w:r>
      <w:r>
        <w:rPr>
          <w:spacing w:val="-6"/>
        </w:rPr>
        <w:t xml:space="preserve"> </w:t>
      </w:r>
      <w:r>
        <w:t>signer’s</w:t>
      </w:r>
      <w:r>
        <w:rPr>
          <w:spacing w:val="-6"/>
        </w:rPr>
        <w:t xml:space="preserve"> </w:t>
      </w:r>
      <w:r>
        <w:t>knowledge</w:t>
      </w:r>
      <w:r>
        <w:rPr>
          <w:spacing w:val="-6"/>
        </w:rPr>
        <w:t xml:space="preserve"> </w:t>
      </w:r>
      <w:r>
        <w:t>and</w:t>
      </w:r>
      <w:r>
        <w:rPr>
          <w:spacing w:val="-6"/>
        </w:rPr>
        <w:t xml:space="preserve"> </w:t>
      </w:r>
      <w:r>
        <w:rPr>
          <w:spacing w:val="-2"/>
        </w:rPr>
        <w:t>belief.</w:t>
      </w:r>
    </w:p>
    <w:p w14:paraId="0DFDC7BD" w14:textId="77777777" w:rsidR="00046465" w:rsidRDefault="008134EB">
      <w:pPr>
        <w:pStyle w:val="ListParagraph"/>
        <w:numPr>
          <w:ilvl w:val="1"/>
          <w:numId w:val="67"/>
        </w:numPr>
        <w:tabs>
          <w:tab w:val="left" w:pos="2159"/>
        </w:tabs>
        <w:spacing w:before="119"/>
        <w:ind w:left="2159" w:right="1234"/>
      </w:pPr>
      <w:r>
        <w:t>Not</w:t>
      </w:r>
      <w:r>
        <w:rPr>
          <w:spacing w:val="-3"/>
        </w:rPr>
        <w:t xml:space="preserve"> </w:t>
      </w:r>
      <w:r>
        <w:t>signing</w:t>
      </w:r>
      <w:r>
        <w:rPr>
          <w:spacing w:val="-4"/>
        </w:rPr>
        <w:t xml:space="preserve"> </w:t>
      </w:r>
      <w:r>
        <w:t>will</w:t>
      </w:r>
      <w:r>
        <w:rPr>
          <w:spacing w:val="-3"/>
        </w:rPr>
        <w:t xml:space="preserve"> </w:t>
      </w:r>
      <w:r>
        <w:t>result</w:t>
      </w:r>
      <w:r>
        <w:rPr>
          <w:spacing w:val="-4"/>
        </w:rPr>
        <w:t xml:space="preserve"> </w:t>
      </w:r>
      <w:r>
        <w:t>in</w:t>
      </w:r>
      <w:r>
        <w:rPr>
          <w:spacing w:val="-4"/>
        </w:rPr>
        <w:t xml:space="preserve"> </w:t>
      </w:r>
      <w:r>
        <w:t>a</w:t>
      </w:r>
      <w:r>
        <w:rPr>
          <w:spacing w:val="-3"/>
        </w:rPr>
        <w:t xml:space="preserve"> </w:t>
      </w:r>
      <w:r>
        <w:t>scope</w:t>
      </w:r>
      <w:r>
        <w:rPr>
          <w:spacing w:val="-3"/>
        </w:rPr>
        <w:t xml:space="preserve"> </w:t>
      </w:r>
      <w:r>
        <w:t>limitation</w:t>
      </w:r>
      <w:r>
        <w:rPr>
          <w:spacing w:val="-3"/>
        </w:rPr>
        <w:t xml:space="preserve"> </w:t>
      </w:r>
      <w:r>
        <w:t>and</w:t>
      </w:r>
      <w:r>
        <w:rPr>
          <w:spacing w:val="-3"/>
        </w:rPr>
        <w:t xml:space="preserve"> </w:t>
      </w:r>
      <w:r>
        <w:t>disclaimer</w:t>
      </w:r>
      <w:r>
        <w:rPr>
          <w:spacing w:val="-3"/>
        </w:rPr>
        <w:t xml:space="preserve"> </w:t>
      </w:r>
      <w:r>
        <w:t>of</w:t>
      </w:r>
      <w:r>
        <w:rPr>
          <w:spacing w:val="-3"/>
        </w:rPr>
        <w:t xml:space="preserve"> </w:t>
      </w:r>
      <w:r>
        <w:t>the</w:t>
      </w:r>
      <w:r>
        <w:rPr>
          <w:spacing w:val="-3"/>
        </w:rPr>
        <w:t xml:space="preserve"> </w:t>
      </w:r>
      <w:r>
        <w:t xml:space="preserve">auditor’s </w:t>
      </w:r>
      <w:r>
        <w:rPr>
          <w:spacing w:val="-2"/>
        </w:rPr>
        <w:t>opinion.</w:t>
      </w:r>
    </w:p>
    <w:p w14:paraId="0DFDC7BE" w14:textId="77777777" w:rsidR="00046465" w:rsidRDefault="00046465">
      <w:pPr>
        <w:pStyle w:val="ListParagraph"/>
        <w:sectPr w:rsidR="00046465">
          <w:pgSz w:w="12240" w:h="15840"/>
          <w:pgMar w:top="1340" w:right="720" w:bottom="940" w:left="1080" w:header="721" w:footer="757" w:gutter="0"/>
          <w:cols w:space="720"/>
        </w:sectPr>
      </w:pPr>
    </w:p>
    <w:p w14:paraId="0DFDC7BF" w14:textId="77777777" w:rsidR="00046465" w:rsidRDefault="008134EB">
      <w:pPr>
        <w:pStyle w:val="Heading3"/>
        <w:spacing w:before="361"/>
        <w:rPr>
          <w:u w:val="none"/>
        </w:rPr>
      </w:pPr>
      <w:bookmarkStart w:id="374" w:name="1001_A_–_Example_Management_Representati"/>
      <w:bookmarkStart w:id="375" w:name="_bookmark209"/>
      <w:bookmarkEnd w:id="374"/>
      <w:bookmarkEnd w:id="375"/>
      <w:r>
        <w:lastRenderedPageBreak/>
        <w:t>1001</w:t>
      </w:r>
      <w:r>
        <w:rPr>
          <w:spacing w:val="-19"/>
        </w:rPr>
        <w:t xml:space="preserve"> </w:t>
      </w:r>
      <w:r>
        <w:t>A</w:t>
      </w:r>
      <w:r>
        <w:rPr>
          <w:spacing w:val="-18"/>
        </w:rPr>
        <w:t xml:space="preserve"> </w:t>
      </w:r>
      <w:r>
        <w:t>–</w:t>
      </w:r>
      <w:r>
        <w:rPr>
          <w:spacing w:val="-4"/>
        </w:rPr>
        <w:t xml:space="preserve"> </w:t>
      </w:r>
      <w:r>
        <w:t>Example</w:t>
      </w:r>
      <w:r>
        <w:rPr>
          <w:spacing w:val="-5"/>
        </w:rPr>
        <w:t xml:space="preserve"> </w:t>
      </w:r>
      <w:r>
        <w:t>Management</w:t>
      </w:r>
      <w:r>
        <w:rPr>
          <w:spacing w:val="-6"/>
        </w:rPr>
        <w:t xml:space="preserve"> </w:t>
      </w:r>
      <w:r>
        <w:t>Representation</w:t>
      </w:r>
      <w:r>
        <w:rPr>
          <w:spacing w:val="-5"/>
        </w:rPr>
        <w:t xml:space="preserve"> </w:t>
      </w:r>
      <w:r>
        <w:rPr>
          <w:spacing w:val="-2"/>
        </w:rPr>
        <w:t>Letter</w:t>
      </w:r>
    </w:p>
    <w:p w14:paraId="0DFDC7C0" w14:textId="77777777" w:rsidR="00046465" w:rsidRDefault="008134EB">
      <w:pPr>
        <w:spacing w:before="240" w:line="352" w:lineRule="auto"/>
        <w:ind w:left="359" w:right="3898" w:firstLine="3709"/>
        <w:rPr>
          <w:b/>
        </w:rPr>
      </w:pPr>
      <w:r>
        <w:rPr>
          <w:b/>
        </w:rPr>
        <w:t>[Entity Letterhead] [Date</w:t>
      </w:r>
      <w:r>
        <w:rPr>
          <w:b/>
          <w:spacing w:val="-7"/>
        </w:rPr>
        <w:t xml:space="preserve"> </w:t>
      </w:r>
      <w:r>
        <w:rPr>
          <w:b/>
        </w:rPr>
        <w:t>of</w:t>
      </w:r>
      <w:r>
        <w:rPr>
          <w:b/>
          <w:spacing w:val="-6"/>
        </w:rPr>
        <w:t xml:space="preserve"> </w:t>
      </w:r>
      <w:r>
        <w:rPr>
          <w:b/>
        </w:rPr>
        <w:t>Auditor’s</w:t>
      </w:r>
      <w:r>
        <w:rPr>
          <w:b/>
          <w:spacing w:val="-7"/>
        </w:rPr>
        <w:t xml:space="preserve"> </w:t>
      </w:r>
      <w:r>
        <w:rPr>
          <w:b/>
        </w:rPr>
        <w:t>Report</w:t>
      </w:r>
      <w:r>
        <w:rPr>
          <w:b/>
          <w:spacing w:val="-6"/>
        </w:rPr>
        <w:t xml:space="preserve"> </w:t>
      </w:r>
      <w:r>
        <w:rPr>
          <w:b/>
        </w:rPr>
        <w:t>and</w:t>
      </w:r>
      <w:r>
        <w:rPr>
          <w:b/>
          <w:spacing w:val="-7"/>
        </w:rPr>
        <w:t xml:space="preserve"> </w:t>
      </w:r>
      <w:r>
        <w:rPr>
          <w:b/>
        </w:rPr>
        <w:t>Completion</w:t>
      </w:r>
      <w:r>
        <w:rPr>
          <w:b/>
          <w:spacing w:val="-6"/>
        </w:rPr>
        <w:t xml:space="preserve"> </w:t>
      </w:r>
      <w:r>
        <w:rPr>
          <w:b/>
        </w:rPr>
        <w:t>of</w:t>
      </w:r>
      <w:r>
        <w:rPr>
          <w:b/>
          <w:spacing w:val="-7"/>
        </w:rPr>
        <w:t xml:space="preserve"> </w:t>
      </w:r>
      <w:r>
        <w:rPr>
          <w:b/>
        </w:rPr>
        <w:t>the</w:t>
      </w:r>
      <w:r>
        <w:rPr>
          <w:b/>
          <w:spacing w:val="-6"/>
        </w:rPr>
        <w:t xml:space="preserve"> </w:t>
      </w:r>
      <w:r>
        <w:rPr>
          <w:b/>
          <w:spacing w:val="-2"/>
        </w:rPr>
        <w:t>Audit]</w:t>
      </w:r>
    </w:p>
    <w:p w14:paraId="0DFDC7C1" w14:textId="77777777" w:rsidR="00046465" w:rsidRDefault="008134EB">
      <w:pPr>
        <w:spacing w:before="2"/>
        <w:ind w:left="359" w:right="4583"/>
        <w:rPr>
          <w:b/>
        </w:rPr>
      </w:pPr>
      <w:r>
        <w:rPr>
          <w:b/>
        </w:rPr>
        <w:t>[Name</w:t>
      </w:r>
      <w:r>
        <w:rPr>
          <w:b/>
          <w:spacing w:val="-7"/>
        </w:rPr>
        <w:t xml:space="preserve"> </w:t>
      </w:r>
      <w:r>
        <w:rPr>
          <w:b/>
        </w:rPr>
        <w:t>and</w:t>
      </w:r>
      <w:r>
        <w:rPr>
          <w:b/>
          <w:spacing w:val="-7"/>
        </w:rPr>
        <w:t xml:space="preserve"> </w:t>
      </w:r>
      <w:r>
        <w:rPr>
          <w:b/>
        </w:rPr>
        <w:t>Title</w:t>
      </w:r>
      <w:r>
        <w:rPr>
          <w:b/>
          <w:spacing w:val="-7"/>
        </w:rPr>
        <w:t xml:space="preserve"> </w:t>
      </w:r>
      <w:r>
        <w:rPr>
          <w:b/>
        </w:rPr>
        <w:t>of</w:t>
      </w:r>
      <w:r>
        <w:rPr>
          <w:b/>
          <w:spacing w:val="-8"/>
        </w:rPr>
        <w:t xml:space="preserve"> </w:t>
      </w:r>
      <w:r>
        <w:rPr>
          <w:b/>
        </w:rPr>
        <w:t>Audit</w:t>
      </w:r>
      <w:r>
        <w:rPr>
          <w:b/>
          <w:spacing w:val="-7"/>
        </w:rPr>
        <w:t xml:space="preserve"> </w:t>
      </w:r>
      <w:r>
        <w:rPr>
          <w:b/>
        </w:rPr>
        <w:t>Organization</w:t>
      </w:r>
      <w:r>
        <w:rPr>
          <w:b/>
          <w:spacing w:val="-8"/>
        </w:rPr>
        <w:t xml:space="preserve"> </w:t>
      </w:r>
      <w:r>
        <w:rPr>
          <w:b/>
        </w:rPr>
        <w:t>Head] [Address of Audit Organization]</w:t>
      </w:r>
    </w:p>
    <w:p w14:paraId="0DFDC7C2" w14:textId="77777777" w:rsidR="00046465" w:rsidRDefault="008134EB">
      <w:pPr>
        <w:spacing w:before="120"/>
        <w:ind w:left="359"/>
      </w:pPr>
      <w:r>
        <w:t>Dear</w:t>
      </w:r>
      <w:r>
        <w:rPr>
          <w:spacing w:val="-8"/>
        </w:rPr>
        <w:t xml:space="preserve"> </w:t>
      </w:r>
      <w:r>
        <w:rPr>
          <w:b/>
        </w:rPr>
        <w:t>[Name</w:t>
      </w:r>
      <w:r>
        <w:rPr>
          <w:b/>
          <w:spacing w:val="-6"/>
        </w:rPr>
        <w:t xml:space="preserve"> </w:t>
      </w:r>
      <w:r>
        <w:rPr>
          <w:b/>
        </w:rPr>
        <w:t>of</w:t>
      </w:r>
      <w:r>
        <w:rPr>
          <w:b/>
          <w:spacing w:val="-8"/>
        </w:rPr>
        <w:t xml:space="preserve"> </w:t>
      </w:r>
      <w:r>
        <w:rPr>
          <w:b/>
        </w:rPr>
        <w:t>Audit</w:t>
      </w:r>
      <w:r>
        <w:rPr>
          <w:b/>
          <w:spacing w:val="-8"/>
        </w:rPr>
        <w:t xml:space="preserve"> </w:t>
      </w:r>
      <w:r>
        <w:rPr>
          <w:b/>
        </w:rPr>
        <w:t>Organization</w:t>
      </w:r>
      <w:r>
        <w:rPr>
          <w:b/>
          <w:spacing w:val="-8"/>
        </w:rPr>
        <w:t xml:space="preserve"> </w:t>
      </w:r>
      <w:r>
        <w:rPr>
          <w:b/>
          <w:spacing w:val="-2"/>
        </w:rPr>
        <w:t>Head]</w:t>
      </w:r>
      <w:r>
        <w:rPr>
          <w:spacing w:val="-2"/>
        </w:rPr>
        <w:t>:</w:t>
      </w:r>
    </w:p>
    <w:p w14:paraId="0DFDC7C3" w14:textId="77777777" w:rsidR="00046465" w:rsidRDefault="008134EB">
      <w:pPr>
        <w:spacing w:before="119"/>
        <w:ind w:left="359" w:right="746"/>
      </w:pPr>
      <w:r>
        <w:t>We</w:t>
      </w:r>
      <w:r>
        <w:rPr>
          <w:spacing w:val="-3"/>
        </w:rPr>
        <w:t xml:space="preserve"> </w:t>
      </w:r>
      <w:r>
        <w:t>are</w:t>
      </w:r>
      <w:r>
        <w:rPr>
          <w:spacing w:val="-3"/>
        </w:rPr>
        <w:t xml:space="preserve"> </w:t>
      </w:r>
      <w:r>
        <w:t>providing</w:t>
      </w:r>
      <w:r>
        <w:rPr>
          <w:spacing w:val="-3"/>
        </w:rPr>
        <w:t xml:space="preserve"> </w:t>
      </w:r>
      <w:r>
        <w:t>this</w:t>
      </w:r>
      <w:r>
        <w:rPr>
          <w:spacing w:val="-4"/>
        </w:rPr>
        <w:t xml:space="preserve"> </w:t>
      </w:r>
      <w:r>
        <w:t>letter</w:t>
      </w:r>
      <w:r>
        <w:rPr>
          <w:spacing w:val="-3"/>
        </w:rPr>
        <w:t xml:space="preserve"> </w:t>
      </w:r>
      <w:r>
        <w:t>in</w:t>
      </w:r>
      <w:r>
        <w:rPr>
          <w:spacing w:val="-3"/>
        </w:rPr>
        <w:t xml:space="preserve"> </w:t>
      </w:r>
      <w:r>
        <w:t>connection</w:t>
      </w:r>
      <w:r>
        <w:rPr>
          <w:spacing w:val="-3"/>
        </w:rPr>
        <w:t xml:space="preserve"> </w:t>
      </w:r>
      <w:r>
        <w:t>with</w:t>
      </w:r>
      <w:r>
        <w:rPr>
          <w:spacing w:val="-3"/>
        </w:rPr>
        <w:t xml:space="preserve"> </w:t>
      </w:r>
      <w:r>
        <w:t>your</w:t>
      </w:r>
      <w:r>
        <w:rPr>
          <w:spacing w:val="-3"/>
        </w:rPr>
        <w:t xml:space="preserve"> </w:t>
      </w:r>
      <w:r>
        <w:t>integrated</w:t>
      </w:r>
      <w:r>
        <w:rPr>
          <w:spacing w:val="-4"/>
        </w:rPr>
        <w:t xml:space="preserve"> </w:t>
      </w:r>
      <w:r>
        <w:rPr>
          <w:b/>
        </w:rPr>
        <w:t>[if</w:t>
      </w:r>
      <w:r>
        <w:rPr>
          <w:b/>
          <w:spacing w:val="-3"/>
        </w:rPr>
        <w:t xml:space="preserve"> </w:t>
      </w:r>
      <w:r>
        <w:rPr>
          <w:b/>
        </w:rPr>
        <w:t>expressing</w:t>
      </w:r>
      <w:r>
        <w:rPr>
          <w:b/>
          <w:spacing w:val="-3"/>
        </w:rPr>
        <w:t xml:space="preserve"> </w:t>
      </w:r>
      <w:r>
        <w:rPr>
          <w:b/>
        </w:rPr>
        <w:t>an</w:t>
      </w:r>
      <w:r>
        <w:rPr>
          <w:b/>
          <w:spacing w:val="-3"/>
        </w:rPr>
        <w:t xml:space="preserve"> </w:t>
      </w:r>
      <w:r>
        <w:rPr>
          <w:b/>
        </w:rPr>
        <w:t>opinion</w:t>
      </w:r>
      <w:r>
        <w:rPr>
          <w:b/>
          <w:spacing w:val="-3"/>
        </w:rPr>
        <w:t xml:space="preserve"> </w:t>
      </w:r>
      <w:r>
        <w:rPr>
          <w:b/>
        </w:rPr>
        <w:t>on</w:t>
      </w:r>
      <w:r>
        <w:rPr>
          <w:b/>
          <w:spacing w:val="-3"/>
        </w:rPr>
        <w:t xml:space="preserve"> </w:t>
      </w:r>
      <w:r>
        <w:rPr>
          <w:b/>
        </w:rPr>
        <w:t xml:space="preserve">the effectiveness of internal control over financial reporting] </w:t>
      </w:r>
      <w:r>
        <w:t xml:space="preserve">audits of the balance sheets of </w:t>
      </w:r>
      <w:r>
        <w:rPr>
          <w:b/>
        </w:rPr>
        <w:t xml:space="preserve">[name of entity] </w:t>
      </w:r>
      <w:r>
        <w:t>as of September 30, 20X2, and 20X1,</w:t>
      </w:r>
      <w:hyperlink w:anchor="_bookmark210" w:history="1">
        <w:r>
          <w:rPr>
            <w:position w:val="7"/>
            <w:sz w:val="14"/>
          </w:rPr>
          <w:t>2</w:t>
        </w:r>
      </w:hyperlink>
      <w:r>
        <w:rPr>
          <w:spacing w:val="30"/>
          <w:position w:val="7"/>
          <w:sz w:val="14"/>
        </w:rPr>
        <w:t xml:space="preserve"> </w:t>
      </w:r>
      <w:r>
        <w:t>and the related statements of net</w:t>
      </w:r>
      <w:r>
        <w:rPr>
          <w:spacing w:val="40"/>
        </w:rPr>
        <w:t xml:space="preserve"> </w:t>
      </w:r>
      <w:r>
        <w:t xml:space="preserve">costs, changes in net position, budgetary resources, and custodial activity </w:t>
      </w:r>
      <w:r>
        <w:rPr>
          <w:b/>
        </w:rPr>
        <w:t>[if</w:t>
      </w:r>
      <w:r>
        <w:rPr>
          <w:b/>
          <w:spacing w:val="-1"/>
        </w:rPr>
        <w:t xml:space="preserve"> </w:t>
      </w:r>
      <w:r>
        <w:rPr>
          <w:b/>
        </w:rPr>
        <w:t xml:space="preserve">custodial activity is reported] </w:t>
      </w:r>
      <w:r>
        <w:t xml:space="preserve">for the years then ended, and </w:t>
      </w:r>
      <w:r>
        <w:rPr>
          <w:b/>
        </w:rPr>
        <w:t xml:space="preserve">[if social insurance is reported] </w:t>
      </w:r>
      <w:r>
        <w:t xml:space="preserve">the </w:t>
      </w:r>
      <w:r>
        <w:rPr>
          <w:b/>
        </w:rPr>
        <w:t xml:space="preserve">[years presented] </w:t>
      </w:r>
      <w:r>
        <w:t>statements of social insurance (SOSI) and the statements of changes in social insurance</w:t>
      </w:r>
      <w:r>
        <w:rPr>
          <w:spacing w:val="-8"/>
        </w:rPr>
        <w:t xml:space="preserve"> </w:t>
      </w:r>
      <w:r>
        <w:t>amounts</w:t>
      </w:r>
      <w:r>
        <w:rPr>
          <w:spacing w:val="-7"/>
        </w:rPr>
        <w:t xml:space="preserve"> </w:t>
      </w:r>
      <w:r>
        <w:t>(SCSIA)</w:t>
      </w:r>
      <w:r>
        <w:rPr>
          <w:spacing w:val="-8"/>
        </w:rPr>
        <w:t xml:space="preserve"> </w:t>
      </w:r>
      <w:r>
        <w:t>for</w:t>
      </w:r>
      <w:r>
        <w:rPr>
          <w:spacing w:val="-8"/>
        </w:rPr>
        <w:t xml:space="preserve"> </w:t>
      </w:r>
      <w:r>
        <w:t>the</w:t>
      </w:r>
      <w:r>
        <w:rPr>
          <w:spacing w:val="-6"/>
        </w:rPr>
        <w:t xml:space="preserve"> </w:t>
      </w:r>
      <w:r>
        <w:t>years</w:t>
      </w:r>
      <w:r>
        <w:rPr>
          <w:spacing w:val="-7"/>
        </w:rPr>
        <w:t xml:space="preserve"> </w:t>
      </w:r>
      <w:r>
        <w:t>ended</w:t>
      </w:r>
      <w:r>
        <w:rPr>
          <w:spacing w:val="-6"/>
        </w:rPr>
        <w:t xml:space="preserve"> </w:t>
      </w:r>
      <w:r>
        <w:rPr>
          <w:b/>
        </w:rPr>
        <w:t>[dates</w:t>
      </w:r>
      <w:r>
        <w:rPr>
          <w:b/>
          <w:spacing w:val="-8"/>
        </w:rPr>
        <w:t xml:space="preserve"> </w:t>
      </w:r>
      <w:r>
        <w:rPr>
          <w:b/>
        </w:rPr>
        <w:t>presented]</w:t>
      </w:r>
      <w:r>
        <w:t>,</w:t>
      </w:r>
      <w:r>
        <w:rPr>
          <w:spacing w:val="-5"/>
        </w:rPr>
        <w:t xml:space="preserve"> </w:t>
      </w:r>
      <w:r>
        <w:t>and</w:t>
      </w:r>
      <w:r>
        <w:rPr>
          <w:spacing w:val="-4"/>
        </w:rPr>
        <w:t xml:space="preserve"> </w:t>
      </w:r>
      <w:r>
        <w:t>the</w:t>
      </w:r>
      <w:r>
        <w:rPr>
          <w:spacing w:val="-5"/>
        </w:rPr>
        <w:t xml:space="preserve"> </w:t>
      </w:r>
      <w:r>
        <w:t>related</w:t>
      </w:r>
      <w:r>
        <w:rPr>
          <w:spacing w:val="-5"/>
        </w:rPr>
        <w:t xml:space="preserve"> </w:t>
      </w:r>
      <w:r>
        <w:t>notes</w:t>
      </w:r>
      <w:r>
        <w:rPr>
          <w:spacing w:val="-5"/>
        </w:rPr>
        <w:t xml:space="preserve"> </w:t>
      </w:r>
      <w:r>
        <w:t>to</w:t>
      </w:r>
      <w:r>
        <w:rPr>
          <w:spacing w:val="-5"/>
        </w:rPr>
        <w:t xml:space="preserve"> </w:t>
      </w:r>
      <w:r>
        <w:t>the financial statements, hereinafter referred to as the financial statements.</w:t>
      </w:r>
    </w:p>
    <w:p w14:paraId="0DFDC7C4" w14:textId="77777777" w:rsidR="00046465" w:rsidRDefault="008134EB">
      <w:pPr>
        <w:pStyle w:val="BodyText"/>
        <w:spacing w:before="121"/>
        <w:ind w:left="359" w:right="726" w:hanging="1"/>
      </w:pPr>
      <w:r>
        <w:t>Certain representations in this letter are described as being limited to matters that are material. Items are considered material, regardless of</w:t>
      </w:r>
      <w:r>
        <w:rPr>
          <w:spacing w:val="-1"/>
        </w:rPr>
        <w:t xml:space="preserve"> </w:t>
      </w:r>
      <w:r>
        <w:t>size, if they involve an omission or misstatement of accounting</w:t>
      </w:r>
      <w:r>
        <w:rPr>
          <w:spacing w:val="-5"/>
        </w:rPr>
        <w:t xml:space="preserve"> </w:t>
      </w:r>
      <w:r>
        <w:t>information</w:t>
      </w:r>
      <w:r>
        <w:rPr>
          <w:spacing w:val="-4"/>
        </w:rPr>
        <w:t xml:space="preserve"> </w:t>
      </w:r>
      <w:r>
        <w:t>that,</w:t>
      </w:r>
      <w:r>
        <w:rPr>
          <w:spacing w:val="-4"/>
        </w:rPr>
        <w:t xml:space="preserve"> </w:t>
      </w:r>
      <w:r>
        <w:t>in</w:t>
      </w:r>
      <w:r>
        <w:rPr>
          <w:spacing w:val="-4"/>
        </w:rPr>
        <w:t xml:space="preserve"> </w:t>
      </w:r>
      <w:r>
        <w:t>the</w:t>
      </w:r>
      <w:r>
        <w:rPr>
          <w:spacing w:val="-4"/>
        </w:rPr>
        <w:t xml:space="preserve"> </w:t>
      </w:r>
      <w:r>
        <w:t>light</w:t>
      </w:r>
      <w:r>
        <w:rPr>
          <w:spacing w:val="-4"/>
        </w:rPr>
        <w:t xml:space="preserve"> </w:t>
      </w:r>
      <w:r>
        <w:t>of</w:t>
      </w:r>
      <w:r>
        <w:rPr>
          <w:spacing w:val="-4"/>
        </w:rPr>
        <w:t xml:space="preserve"> </w:t>
      </w:r>
      <w:r>
        <w:t>surrounding</w:t>
      </w:r>
      <w:r>
        <w:rPr>
          <w:spacing w:val="-4"/>
        </w:rPr>
        <w:t xml:space="preserve"> </w:t>
      </w:r>
      <w:r>
        <w:t>circumstances,</w:t>
      </w:r>
      <w:r>
        <w:rPr>
          <w:spacing w:val="-4"/>
        </w:rPr>
        <w:t xml:space="preserve"> </w:t>
      </w:r>
      <w:r>
        <w:t>makes</w:t>
      </w:r>
      <w:r>
        <w:rPr>
          <w:spacing w:val="-4"/>
        </w:rPr>
        <w:t xml:space="preserve"> </w:t>
      </w:r>
      <w:r>
        <w:t>it</w:t>
      </w:r>
      <w:r>
        <w:rPr>
          <w:spacing w:val="-4"/>
        </w:rPr>
        <w:t xml:space="preserve"> </w:t>
      </w:r>
      <w:r>
        <w:t>probable</w:t>
      </w:r>
      <w:r>
        <w:rPr>
          <w:spacing w:val="-4"/>
        </w:rPr>
        <w:t xml:space="preserve"> </w:t>
      </w:r>
      <w:r>
        <w:t>that</w:t>
      </w:r>
      <w:r>
        <w:rPr>
          <w:spacing w:val="-4"/>
        </w:rPr>
        <w:t xml:space="preserve"> </w:t>
      </w:r>
      <w:r>
        <w:t>the judgment of a reasonable person relying on the information would be changed or influenced by the omission or misstatement.</w:t>
      </w:r>
    </w:p>
    <w:p w14:paraId="0DFDC7C5" w14:textId="77777777" w:rsidR="00046465" w:rsidRDefault="008134EB">
      <w:pPr>
        <w:pStyle w:val="BodyText"/>
        <w:spacing w:before="120"/>
        <w:ind w:left="359" w:right="736"/>
        <w:rPr>
          <w:position w:val="7"/>
          <w:sz w:val="14"/>
        </w:rPr>
      </w:pPr>
      <w:r>
        <w:t>Except where otherwise stated below, immaterial matters less than $</w:t>
      </w:r>
      <w:r>
        <w:rPr>
          <w:b/>
        </w:rPr>
        <w:t xml:space="preserve">[Insert amount] </w:t>
      </w:r>
      <w:r>
        <w:t>collectively are not considered to be exceptions that require disclosure for the purpose of the following representations. This amount is not necessarily indicative of amounts that would require adjustment to or disclosure in the financial statements. Such quantitative materiality considerations do not apply to representations that are not directly related to amounts included in</w:t>
      </w:r>
      <w:r>
        <w:rPr>
          <w:spacing w:val="-3"/>
        </w:rPr>
        <w:t xml:space="preserve"> </w:t>
      </w:r>
      <w:r>
        <w:t>the</w:t>
      </w:r>
      <w:r>
        <w:rPr>
          <w:spacing w:val="-3"/>
        </w:rPr>
        <w:t xml:space="preserve"> </w:t>
      </w:r>
      <w:r>
        <w:t>financial</w:t>
      </w:r>
      <w:r>
        <w:rPr>
          <w:spacing w:val="-3"/>
        </w:rPr>
        <w:t xml:space="preserve"> </w:t>
      </w:r>
      <w:r>
        <w:t>statements,</w:t>
      </w:r>
      <w:r>
        <w:rPr>
          <w:spacing w:val="-3"/>
        </w:rPr>
        <w:t xml:space="preserve"> </w:t>
      </w:r>
      <w:r>
        <w:t>required</w:t>
      </w:r>
      <w:r>
        <w:rPr>
          <w:spacing w:val="-3"/>
        </w:rPr>
        <w:t xml:space="preserve"> </w:t>
      </w:r>
      <w:r>
        <w:t>supplementary</w:t>
      </w:r>
      <w:r>
        <w:rPr>
          <w:spacing w:val="-3"/>
        </w:rPr>
        <w:t xml:space="preserve"> </w:t>
      </w:r>
      <w:r>
        <w:t>information</w:t>
      </w:r>
      <w:r>
        <w:rPr>
          <w:spacing w:val="-3"/>
        </w:rPr>
        <w:t xml:space="preserve"> </w:t>
      </w:r>
      <w:r>
        <w:t>(RSI)</w:t>
      </w:r>
      <w:r>
        <w:rPr>
          <w:spacing w:val="-3"/>
        </w:rPr>
        <w:t xml:space="preserve"> </w:t>
      </w:r>
      <w:r>
        <w:rPr>
          <w:b/>
        </w:rPr>
        <w:t>[if</w:t>
      </w:r>
      <w:r>
        <w:rPr>
          <w:b/>
          <w:spacing w:val="-3"/>
        </w:rPr>
        <w:t xml:space="preserve"> </w:t>
      </w:r>
      <w:r>
        <w:rPr>
          <w:b/>
        </w:rPr>
        <w:t>RSI</w:t>
      </w:r>
      <w:r>
        <w:rPr>
          <w:b/>
          <w:spacing w:val="-3"/>
        </w:rPr>
        <w:t xml:space="preserve"> </w:t>
      </w:r>
      <w:r>
        <w:rPr>
          <w:b/>
        </w:rPr>
        <w:t>is</w:t>
      </w:r>
      <w:r>
        <w:rPr>
          <w:b/>
          <w:spacing w:val="-3"/>
        </w:rPr>
        <w:t xml:space="preserve"> </w:t>
      </w:r>
      <w:r>
        <w:rPr>
          <w:b/>
        </w:rPr>
        <w:t>presented]</w:t>
      </w:r>
      <w:hyperlink w:anchor="_bookmark211" w:history="1">
        <w:r>
          <w:rPr>
            <w:position w:val="7"/>
            <w:sz w:val="14"/>
          </w:rPr>
          <w:t>3</w:t>
        </w:r>
      </w:hyperlink>
      <w:r>
        <w:rPr>
          <w:spacing w:val="19"/>
          <w:position w:val="7"/>
          <w:sz w:val="14"/>
        </w:rPr>
        <w:t xml:space="preserve"> </w:t>
      </w:r>
      <w:r>
        <w:t xml:space="preserve">and other information </w:t>
      </w:r>
      <w:r>
        <w:rPr>
          <w:b/>
        </w:rPr>
        <w:t>[if other information is presented]</w:t>
      </w:r>
      <w:r>
        <w:t>.</w:t>
      </w:r>
      <w:hyperlink w:anchor="_bookmark212" w:history="1">
        <w:r>
          <w:rPr>
            <w:position w:val="7"/>
            <w:sz w:val="14"/>
          </w:rPr>
          <w:t>4</w:t>
        </w:r>
      </w:hyperlink>
    </w:p>
    <w:p w14:paraId="0DFDC7C6" w14:textId="77777777" w:rsidR="00046465" w:rsidRDefault="008134EB">
      <w:pPr>
        <w:pStyle w:val="BodyText"/>
        <w:spacing w:before="120"/>
        <w:ind w:left="360" w:right="749"/>
      </w:pPr>
      <w:r>
        <w:t>We</w:t>
      </w:r>
      <w:r>
        <w:rPr>
          <w:spacing w:val="-3"/>
        </w:rPr>
        <w:t xml:space="preserve"> </w:t>
      </w:r>
      <w:r>
        <w:t>confirm,</w:t>
      </w:r>
      <w:r>
        <w:rPr>
          <w:spacing w:val="-3"/>
        </w:rPr>
        <w:t xml:space="preserve"> </w:t>
      </w:r>
      <w:r>
        <w:t>as</w:t>
      </w:r>
      <w:r>
        <w:rPr>
          <w:spacing w:val="-3"/>
        </w:rPr>
        <w:t xml:space="preserve"> </w:t>
      </w:r>
      <w:r>
        <w:t>of</w:t>
      </w:r>
      <w:r>
        <w:rPr>
          <w:spacing w:val="-3"/>
        </w:rPr>
        <w:t xml:space="preserve"> </w:t>
      </w:r>
      <w:r>
        <w:rPr>
          <w:b/>
        </w:rPr>
        <w:t>[date</w:t>
      </w:r>
      <w:r>
        <w:rPr>
          <w:b/>
          <w:spacing w:val="-4"/>
        </w:rPr>
        <w:t xml:space="preserve"> </w:t>
      </w:r>
      <w:r>
        <w:rPr>
          <w:b/>
        </w:rPr>
        <w:t>of</w:t>
      </w:r>
      <w:r>
        <w:rPr>
          <w:b/>
          <w:spacing w:val="-3"/>
        </w:rPr>
        <w:t xml:space="preserve"> </w:t>
      </w:r>
      <w:r>
        <w:rPr>
          <w:b/>
        </w:rPr>
        <w:t>auditor’s</w:t>
      </w:r>
      <w:r>
        <w:rPr>
          <w:b/>
          <w:spacing w:val="-3"/>
        </w:rPr>
        <w:t xml:space="preserve"> </w:t>
      </w:r>
      <w:r>
        <w:rPr>
          <w:b/>
        </w:rPr>
        <w:t>report]</w:t>
      </w:r>
      <w:r>
        <w:t>,</w:t>
      </w:r>
      <w:r>
        <w:rPr>
          <w:spacing w:val="-3"/>
        </w:rPr>
        <w:t xml:space="preserve"> </w:t>
      </w:r>
      <w:r>
        <w:t>the</w:t>
      </w:r>
      <w:r>
        <w:rPr>
          <w:spacing w:val="-3"/>
        </w:rPr>
        <w:t xml:space="preserve"> </w:t>
      </w:r>
      <w:r>
        <w:t>following</w:t>
      </w:r>
      <w:r>
        <w:rPr>
          <w:spacing w:val="-3"/>
        </w:rPr>
        <w:t xml:space="preserve"> </w:t>
      </w:r>
      <w:r>
        <w:t>representations</w:t>
      </w:r>
      <w:r>
        <w:rPr>
          <w:spacing w:val="-3"/>
        </w:rPr>
        <w:t xml:space="preserve"> </w:t>
      </w:r>
      <w:r>
        <w:t>made</w:t>
      </w:r>
      <w:r>
        <w:rPr>
          <w:spacing w:val="-3"/>
        </w:rPr>
        <w:t xml:space="preserve"> </w:t>
      </w:r>
      <w:r>
        <w:t>to</w:t>
      </w:r>
      <w:r>
        <w:rPr>
          <w:spacing w:val="-3"/>
        </w:rPr>
        <w:t xml:space="preserve"> </w:t>
      </w:r>
      <w:r>
        <w:t>you</w:t>
      </w:r>
      <w:r>
        <w:rPr>
          <w:spacing w:val="-3"/>
        </w:rPr>
        <w:t xml:space="preserve"> </w:t>
      </w:r>
      <w:r>
        <w:t>during your audits. These representations pertain to both years’ financial statements and update the representations we provided in the prior year.</w:t>
      </w:r>
    </w:p>
    <w:p w14:paraId="0DFDC7C7" w14:textId="77777777" w:rsidR="00046465" w:rsidRDefault="008134EB">
      <w:pPr>
        <w:spacing w:before="119"/>
        <w:ind w:left="360"/>
        <w:rPr>
          <w:b/>
        </w:rPr>
      </w:pPr>
      <w:r>
        <w:rPr>
          <w:b/>
          <w:u w:val="thick"/>
        </w:rPr>
        <w:t>Financial</w:t>
      </w:r>
      <w:r>
        <w:rPr>
          <w:b/>
          <w:spacing w:val="-8"/>
          <w:u w:val="thick"/>
        </w:rPr>
        <w:t xml:space="preserve"> </w:t>
      </w:r>
      <w:r>
        <w:rPr>
          <w:b/>
          <w:u w:val="thick"/>
        </w:rPr>
        <w:t>Statements,</w:t>
      </w:r>
      <w:r>
        <w:rPr>
          <w:b/>
          <w:spacing w:val="-8"/>
          <w:u w:val="thick"/>
        </w:rPr>
        <w:t xml:space="preserve"> </w:t>
      </w:r>
      <w:r>
        <w:rPr>
          <w:b/>
          <w:u w:val="thick"/>
        </w:rPr>
        <w:t>RSI,</w:t>
      </w:r>
      <w:r>
        <w:rPr>
          <w:b/>
          <w:spacing w:val="-8"/>
          <w:u w:val="thick"/>
        </w:rPr>
        <w:t xml:space="preserve"> </w:t>
      </w:r>
      <w:r>
        <w:rPr>
          <w:b/>
          <w:u w:val="thick"/>
        </w:rPr>
        <w:t>and</w:t>
      </w:r>
      <w:r>
        <w:rPr>
          <w:b/>
          <w:spacing w:val="-8"/>
          <w:u w:val="thick"/>
        </w:rPr>
        <w:t xml:space="preserve"> </w:t>
      </w:r>
      <w:r>
        <w:rPr>
          <w:b/>
          <w:u w:val="thick"/>
        </w:rPr>
        <w:t>Other</w:t>
      </w:r>
      <w:r>
        <w:rPr>
          <w:b/>
          <w:spacing w:val="-9"/>
          <w:u w:val="thick"/>
        </w:rPr>
        <w:t xml:space="preserve"> </w:t>
      </w:r>
      <w:r>
        <w:rPr>
          <w:b/>
          <w:spacing w:val="-2"/>
          <w:u w:val="thick"/>
        </w:rPr>
        <w:t>Information</w:t>
      </w:r>
    </w:p>
    <w:p w14:paraId="0DFDC7C8" w14:textId="77777777" w:rsidR="00046465" w:rsidRDefault="008134EB">
      <w:pPr>
        <w:pStyle w:val="ListParagraph"/>
        <w:numPr>
          <w:ilvl w:val="0"/>
          <w:numId w:val="66"/>
        </w:numPr>
        <w:tabs>
          <w:tab w:val="left" w:pos="719"/>
        </w:tabs>
        <w:spacing w:before="121"/>
        <w:ind w:right="892"/>
        <w:rPr>
          <w:b/>
        </w:rPr>
      </w:pPr>
      <w:r>
        <w:t xml:space="preserve">We have fulfilled our responsibilities, as set out in the terms of the audit engagement letter dated </w:t>
      </w:r>
      <w:r>
        <w:rPr>
          <w:b/>
        </w:rPr>
        <w:t>[insert date of engagement letter]</w:t>
      </w:r>
      <w:r>
        <w:t>, for the preparation and fair presentation of the financial statements, including related notes, in accordance with U.S. generally accepted accounting</w:t>
      </w:r>
      <w:r>
        <w:rPr>
          <w:spacing w:val="-5"/>
        </w:rPr>
        <w:t xml:space="preserve"> </w:t>
      </w:r>
      <w:r>
        <w:t>principles</w:t>
      </w:r>
      <w:r>
        <w:rPr>
          <w:spacing w:val="-4"/>
        </w:rPr>
        <w:t xml:space="preserve"> </w:t>
      </w:r>
      <w:r>
        <w:t>(U.S.</w:t>
      </w:r>
      <w:r>
        <w:rPr>
          <w:spacing w:val="-4"/>
        </w:rPr>
        <w:t xml:space="preserve"> </w:t>
      </w:r>
      <w:r>
        <w:t>GAAP),</w:t>
      </w:r>
      <w:r>
        <w:rPr>
          <w:spacing w:val="-4"/>
        </w:rPr>
        <w:t xml:space="preserve"> </w:t>
      </w:r>
      <w:r>
        <w:t>issued</w:t>
      </w:r>
      <w:r>
        <w:rPr>
          <w:spacing w:val="-4"/>
        </w:rPr>
        <w:t xml:space="preserve"> </w:t>
      </w:r>
      <w:r>
        <w:t>by</w:t>
      </w:r>
      <w:r>
        <w:rPr>
          <w:spacing w:val="-4"/>
        </w:rPr>
        <w:t xml:space="preserve"> </w:t>
      </w:r>
      <w:r>
        <w:rPr>
          <w:b/>
        </w:rPr>
        <w:t>[name</w:t>
      </w:r>
      <w:r>
        <w:rPr>
          <w:b/>
          <w:spacing w:val="-4"/>
        </w:rPr>
        <w:t xml:space="preserve"> </w:t>
      </w:r>
      <w:r>
        <w:rPr>
          <w:b/>
        </w:rPr>
        <w:t>of</w:t>
      </w:r>
      <w:r>
        <w:rPr>
          <w:b/>
          <w:spacing w:val="-4"/>
        </w:rPr>
        <w:t xml:space="preserve"> </w:t>
      </w:r>
      <w:r>
        <w:rPr>
          <w:b/>
        </w:rPr>
        <w:t>standard</w:t>
      </w:r>
      <w:r>
        <w:rPr>
          <w:b/>
          <w:spacing w:val="-4"/>
        </w:rPr>
        <w:t xml:space="preserve"> </w:t>
      </w:r>
      <w:r>
        <w:rPr>
          <w:b/>
        </w:rPr>
        <w:t>setter,</w:t>
      </w:r>
      <w:r>
        <w:rPr>
          <w:b/>
          <w:spacing w:val="-4"/>
        </w:rPr>
        <w:t xml:space="preserve"> </w:t>
      </w:r>
      <w:r>
        <w:rPr>
          <w:b/>
        </w:rPr>
        <w:t>such</w:t>
      </w:r>
      <w:r>
        <w:rPr>
          <w:b/>
          <w:spacing w:val="-4"/>
        </w:rPr>
        <w:t xml:space="preserve"> </w:t>
      </w:r>
      <w:r>
        <w:rPr>
          <w:b/>
        </w:rPr>
        <w:t>as</w:t>
      </w:r>
      <w:r>
        <w:rPr>
          <w:b/>
          <w:spacing w:val="-4"/>
        </w:rPr>
        <w:t xml:space="preserve"> </w:t>
      </w:r>
      <w:r>
        <w:rPr>
          <w:b/>
        </w:rPr>
        <w:t>Federal Accounting Standards Advisory Board or Financial Accounting Standards Board]</w:t>
      </w:r>
      <w:r>
        <w:t xml:space="preserve">. The financial statements are fairly presented in accordance with U.S. GAAP. </w:t>
      </w:r>
      <w:r>
        <w:rPr>
          <w:b/>
        </w:rPr>
        <w:t>[If there are departures from</w:t>
      </w:r>
      <w:r>
        <w:rPr>
          <w:b/>
          <w:spacing w:val="-1"/>
        </w:rPr>
        <w:t xml:space="preserve"> </w:t>
      </w:r>
      <w:r>
        <w:rPr>
          <w:b/>
        </w:rPr>
        <w:t>generally accepted accounting principles, this statement should be modified to disclose all known instances of material departure.]</w:t>
      </w:r>
    </w:p>
    <w:p w14:paraId="0DFDC7C9" w14:textId="77777777" w:rsidR="00046465" w:rsidRDefault="00046465">
      <w:pPr>
        <w:pStyle w:val="BodyText"/>
        <w:rPr>
          <w:b/>
          <w:sz w:val="20"/>
        </w:rPr>
      </w:pPr>
    </w:p>
    <w:p w14:paraId="0DFDC7CA" w14:textId="77777777" w:rsidR="00046465" w:rsidRDefault="00046465">
      <w:pPr>
        <w:pStyle w:val="BodyText"/>
        <w:rPr>
          <w:b/>
          <w:sz w:val="20"/>
        </w:rPr>
      </w:pPr>
    </w:p>
    <w:p w14:paraId="0DFDC7CB" w14:textId="77777777" w:rsidR="00046465" w:rsidRDefault="008134EB">
      <w:pPr>
        <w:pStyle w:val="BodyText"/>
        <w:spacing w:before="60"/>
        <w:rPr>
          <w:b/>
          <w:sz w:val="20"/>
        </w:rPr>
      </w:pPr>
      <w:r>
        <w:rPr>
          <w:b/>
          <w:noProof/>
          <w:sz w:val="20"/>
        </w:rPr>
        <mc:AlternateContent>
          <mc:Choice Requires="wps">
            <w:drawing>
              <wp:anchor distT="0" distB="0" distL="0" distR="0" simplePos="0" relativeHeight="487734272" behindDoc="1" locked="0" layoutInCell="1" allowOverlap="1" wp14:anchorId="0DFDD74F" wp14:editId="0DFDD750">
                <wp:simplePos x="0" y="0"/>
                <wp:positionH relativeFrom="page">
                  <wp:posOffset>914400</wp:posOffset>
                </wp:positionH>
                <wp:positionV relativeFrom="paragraph">
                  <wp:posOffset>199812</wp:posOffset>
                </wp:positionV>
                <wp:extent cx="1828800" cy="5715"/>
                <wp:effectExtent l="0" t="0" r="0" b="0"/>
                <wp:wrapTopAndBottom/>
                <wp:docPr id="1096" name="Graphic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2AEEE8" id="Graphic 1096" o:spid="_x0000_s1026" style="position:absolute;margin-left:1in;margin-top:15.75pt;width:2in;height:.45pt;z-index:-1558220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" path="m1828800,l,,,5334r1828800,l1828800,xe" fillcolor="black" stroked="f">
                <v:path arrowok="t"/>
                <w10:wrap type="topAndBottom" anchorx="page"/>
              </v:shape>
            </w:pict>
          </mc:Fallback>
        </mc:AlternateContent>
      </w:r>
    </w:p>
    <w:p w14:paraId="0DFDC7CC" w14:textId="77777777" w:rsidR="00046465" w:rsidRDefault="008134EB">
      <w:pPr>
        <w:spacing w:before="202"/>
        <w:ind w:left="360"/>
        <w:rPr>
          <w:sz w:val="18"/>
        </w:rPr>
      </w:pPr>
      <w:bookmarkStart w:id="376" w:name="_bookmark210"/>
      <w:bookmarkEnd w:id="376"/>
      <w:r>
        <w:rPr>
          <w:position w:val="7"/>
          <w:sz w:val="14"/>
        </w:rPr>
        <w:t>2</w:t>
      </w:r>
      <w:r>
        <w:rPr>
          <w:sz w:val="18"/>
        </w:rPr>
        <w:t>Note</w:t>
      </w:r>
      <w:r>
        <w:rPr>
          <w:spacing w:val="-6"/>
          <w:sz w:val="18"/>
        </w:rPr>
        <w:t xml:space="preserve"> </w:t>
      </w:r>
      <w:r>
        <w:rPr>
          <w:sz w:val="18"/>
        </w:rPr>
        <w:t>to</w:t>
      </w:r>
      <w:r>
        <w:rPr>
          <w:spacing w:val="-3"/>
          <w:sz w:val="18"/>
        </w:rPr>
        <w:t xml:space="preserve"> </w:t>
      </w:r>
      <w:r>
        <w:rPr>
          <w:sz w:val="18"/>
        </w:rPr>
        <w:t>auditor:</w:t>
      </w:r>
      <w:r>
        <w:rPr>
          <w:spacing w:val="-2"/>
          <w:sz w:val="18"/>
        </w:rPr>
        <w:t xml:space="preserve"> </w:t>
      </w:r>
      <w:r>
        <w:rPr>
          <w:sz w:val="18"/>
        </w:rPr>
        <w:t>20X2</w:t>
      </w:r>
      <w:r>
        <w:rPr>
          <w:spacing w:val="-3"/>
          <w:sz w:val="18"/>
        </w:rPr>
        <w:t xml:space="preserve"> </w:t>
      </w:r>
      <w:r>
        <w:rPr>
          <w:sz w:val="18"/>
        </w:rPr>
        <w:t>denotes</w:t>
      </w:r>
      <w:r>
        <w:rPr>
          <w:spacing w:val="-1"/>
          <w:sz w:val="18"/>
        </w:rPr>
        <w:t xml:space="preserve"> </w:t>
      </w:r>
      <w:r>
        <w:rPr>
          <w:sz w:val="18"/>
        </w:rPr>
        <w:t>the</w:t>
      </w:r>
      <w:r>
        <w:rPr>
          <w:spacing w:val="-3"/>
          <w:sz w:val="18"/>
        </w:rPr>
        <w:t xml:space="preserve"> </w:t>
      </w:r>
      <w:r>
        <w:rPr>
          <w:sz w:val="18"/>
        </w:rPr>
        <w:t>current</w:t>
      </w:r>
      <w:r>
        <w:rPr>
          <w:spacing w:val="-3"/>
          <w:sz w:val="18"/>
        </w:rPr>
        <w:t xml:space="preserve"> </w:t>
      </w:r>
      <w:r>
        <w:rPr>
          <w:sz w:val="18"/>
        </w:rPr>
        <w:t>year,</w:t>
      </w:r>
      <w:r>
        <w:rPr>
          <w:spacing w:val="-2"/>
          <w:sz w:val="18"/>
        </w:rPr>
        <w:t xml:space="preserve"> </w:t>
      </w:r>
      <w:r>
        <w:rPr>
          <w:sz w:val="18"/>
        </w:rPr>
        <w:t>and</w:t>
      </w:r>
      <w:r>
        <w:rPr>
          <w:spacing w:val="-3"/>
          <w:sz w:val="18"/>
        </w:rPr>
        <w:t xml:space="preserve"> </w:t>
      </w:r>
      <w:r>
        <w:rPr>
          <w:sz w:val="18"/>
        </w:rPr>
        <w:t>20X1</w:t>
      </w:r>
      <w:r>
        <w:rPr>
          <w:spacing w:val="-3"/>
          <w:sz w:val="18"/>
        </w:rPr>
        <w:t xml:space="preserve"> </w:t>
      </w:r>
      <w:r>
        <w:rPr>
          <w:sz w:val="18"/>
        </w:rPr>
        <w:t>denotes</w:t>
      </w:r>
      <w:r>
        <w:rPr>
          <w:spacing w:val="-2"/>
          <w:sz w:val="18"/>
        </w:rPr>
        <w:t xml:space="preserve"> </w:t>
      </w:r>
      <w:r>
        <w:rPr>
          <w:sz w:val="18"/>
        </w:rPr>
        <w:t>the</w:t>
      </w:r>
      <w:r>
        <w:rPr>
          <w:spacing w:val="-3"/>
          <w:sz w:val="18"/>
        </w:rPr>
        <w:t xml:space="preserve"> </w:t>
      </w:r>
      <w:r>
        <w:rPr>
          <w:sz w:val="18"/>
        </w:rPr>
        <w:t>prior</w:t>
      </w:r>
      <w:r>
        <w:rPr>
          <w:spacing w:val="-2"/>
          <w:sz w:val="18"/>
        </w:rPr>
        <w:t xml:space="preserve"> year.</w:t>
      </w:r>
    </w:p>
    <w:p w14:paraId="0DFDC7CD" w14:textId="77777777" w:rsidR="00046465" w:rsidRDefault="008134EB">
      <w:pPr>
        <w:spacing w:before="72"/>
        <w:ind w:left="360"/>
        <w:rPr>
          <w:sz w:val="18"/>
        </w:rPr>
      </w:pPr>
      <w:bookmarkStart w:id="377" w:name="_bookmark211"/>
      <w:bookmarkEnd w:id="377"/>
      <w:r>
        <w:rPr>
          <w:position w:val="7"/>
          <w:sz w:val="14"/>
        </w:rPr>
        <w:t>3</w:t>
      </w:r>
      <w:r>
        <w:rPr>
          <w:sz w:val="18"/>
        </w:rPr>
        <w:t>RSI</w:t>
      </w:r>
      <w:r>
        <w:rPr>
          <w:spacing w:val="-3"/>
          <w:sz w:val="18"/>
        </w:rPr>
        <w:t xml:space="preserve"> </w:t>
      </w:r>
      <w:r>
        <w:rPr>
          <w:sz w:val="18"/>
        </w:rPr>
        <w:t>consists</w:t>
      </w:r>
      <w:r>
        <w:rPr>
          <w:spacing w:val="-3"/>
          <w:sz w:val="18"/>
        </w:rPr>
        <w:t xml:space="preserve"> </w:t>
      </w:r>
      <w:r>
        <w:rPr>
          <w:sz w:val="18"/>
        </w:rPr>
        <w:t>of</w:t>
      </w:r>
      <w:r>
        <w:rPr>
          <w:spacing w:val="-3"/>
          <w:sz w:val="18"/>
        </w:rPr>
        <w:t xml:space="preserve"> </w:t>
      </w:r>
      <w:r>
        <w:rPr>
          <w:b/>
          <w:sz w:val="18"/>
        </w:rPr>
        <w:t>[insert</w:t>
      </w:r>
      <w:r>
        <w:rPr>
          <w:b/>
          <w:spacing w:val="-2"/>
          <w:sz w:val="18"/>
        </w:rPr>
        <w:t xml:space="preserve"> description]</w:t>
      </w:r>
      <w:r>
        <w:rPr>
          <w:spacing w:val="-2"/>
          <w:sz w:val="18"/>
        </w:rPr>
        <w:t>.</w:t>
      </w:r>
    </w:p>
    <w:p w14:paraId="0DFDC7CE" w14:textId="77777777" w:rsidR="00046465" w:rsidRDefault="008134EB">
      <w:pPr>
        <w:spacing w:before="74"/>
        <w:ind w:left="360"/>
        <w:rPr>
          <w:sz w:val="18"/>
        </w:rPr>
      </w:pPr>
      <w:bookmarkStart w:id="378" w:name="_bookmark212"/>
      <w:bookmarkEnd w:id="378"/>
      <w:r>
        <w:rPr>
          <w:position w:val="7"/>
          <w:sz w:val="14"/>
        </w:rPr>
        <w:t>4</w:t>
      </w:r>
      <w:r>
        <w:rPr>
          <w:sz w:val="18"/>
        </w:rPr>
        <w:t>Other</w:t>
      </w:r>
      <w:r>
        <w:rPr>
          <w:spacing w:val="-3"/>
          <w:sz w:val="18"/>
        </w:rPr>
        <w:t xml:space="preserve"> </w:t>
      </w:r>
      <w:r>
        <w:rPr>
          <w:sz w:val="18"/>
        </w:rPr>
        <w:t>information</w:t>
      </w:r>
      <w:r>
        <w:rPr>
          <w:spacing w:val="-4"/>
          <w:sz w:val="18"/>
        </w:rPr>
        <w:t xml:space="preserve"> </w:t>
      </w:r>
      <w:r>
        <w:rPr>
          <w:sz w:val="18"/>
        </w:rPr>
        <w:t>consists</w:t>
      </w:r>
      <w:r>
        <w:rPr>
          <w:spacing w:val="-3"/>
          <w:sz w:val="18"/>
        </w:rPr>
        <w:t xml:space="preserve"> </w:t>
      </w:r>
      <w:r>
        <w:rPr>
          <w:sz w:val="18"/>
        </w:rPr>
        <w:t>of</w:t>
      </w:r>
      <w:r>
        <w:rPr>
          <w:spacing w:val="-3"/>
          <w:sz w:val="18"/>
        </w:rPr>
        <w:t xml:space="preserve"> </w:t>
      </w:r>
      <w:r>
        <w:rPr>
          <w:b/>
          <w:sz w:val="18"/>
        </w:rPr>
        <w:t>[insert</w:t>
      </w:r>
      <w:r>
        <w:rPr>
          <w:b/>
          <w:spacing w:val="-2"/>
          <w:sz w:val="18"/>
        </w:rPr>
        <w:t xml:space="preserve"> description]</w:t>
      </w:r>
      <w:r>
        <w:rPr>
          <w:spacing w:val="-2"/>
          <w:sz w:val="18"/>
        </w:rPr>
        <w:t>.</w:t>
      </w:r>
    </w:p>
    <w:p w14:paraId="0DFDC7CF" w14:textId="77777777" w:rsidR="00046465" w:rsidRDefault="00046465">
      <w:pPr>
        <w:rPr>
          <w:sz w:val="18"/>
        </w:rPr>
        <w:sectPr w:rsidR="00046465">
          <w:headerReference w:type="default" r:id="rId231"/>
          <w:footerReference w:type="default" r:id="rId232"/>
          <w:pgSz w:w="12240" w:h="15840"/>
          <w:pgMar w:top="1340" w:right="720" w:bottom="940" w:left="1080" w:header="721" w:footer="757" w:gutter="0"/>
          <w:pgNumType w:start="1"/>
          <w:cols w:space="720"/>
        </w:sectPr>
      </w:pPr>
    </w:p>
    <w:p w14:paraId="0DFDC7D0" w14:textId="77777777" w:rsidR="00046465" w:rsidRDefault="008134EB">
      <w:pPr>
        <w:pStyle w:val="ListParagraph"/>
        <w:numPr>
          <w:ilvl w:val="0"/>
          <w:numId w:val="66"/>
        </w:numPr>
        <w:tabs>
          <w:tab w:val="left" w:pos="719"/>
        </w:tabs>
        <w:spacing w:before="121"/>
        <w:ind w:right="1783"/>
      </w:pPr>
      <w:r>
        <w:rPr>
          <w:b/>
        </w:rPr>
        <w:lastRenderedPageBreak/>
        <w:t xml:space="preserve">[If RSI is presented] </w:t>
      </w:r>
      <w:r>
        <w:t>We have fulfilled our responsibilities for the measurement, preparation,</w:t>
      </w:r>
      <w:r>
        <w:rPr>
          <w:spacing w:val="-5"/>
        </w:rPr>
        <w:t xml:space="preserve"> </w:t>
      </w:r>
      <w:r>
        <w:t>and</w:t>
      </w:r>
      <w:r>
        <w:rPr>
          <w:spacing w:val="-4"/>
        </w:rPr>
        <w:t xml:space="preserve"> </w:t>
      </w:r>
      <w:r>
        <w:t>presentation</w:t>
      </w:r>
      <w:r>
        <w:rPr>
          <w:spacing w:val="-4"/>
        </w:rPr>
        <w:t xml:space="preserve"> </w:t>
      </w:r>
      <w:r>
        <w:t>of</w:t>
      </w:r>
      <w:r>
        <w:rPr>
          <w:spacing w:val="-4"/>
        </w:rPr>
        <w:t xml:space="preserve"> </w:t>
      </w:r>
      <w:r>
        <w:t>the</w:t>
      </w:r>
      <w:r>
        <w:rPr>
          <w:spacing w:val="-5"/>
        </w:rPr>
        <w:t xml:space="preserve"> </w:t>
      </w:r>
      <w:r>
        <w:t>RSI</w:t>
      </w:r>
      <w:r>
        <w:rPr>
          <w:spacing w:val="-4"/>
        </w:rPr>
        <w:t xml:space="preserve"> </w:t>
      </w:r>
      <w:r>
        <w:t>in</w:t>
      </w:r>
      <w:r>
        <w:rPr>
          <w:spacing w:val="-4"/>
        </w:rPr>
        <w:t xml:space="preserve"> </w:t>
      </w:r>
      <w:r>
        <w:t>accordance</w:t>
      </w:r>
      <w:r>
        <w:rPr>
          <w:spacing w:val="-4"/>
        </w:rPr>
        <w:t xml:space="preserve"> </w:t>
      </w:r>
      <w:r>
        <w:t>with</w:t>
      </w:r>
      <w:r>
        <w:rPr>
          <w:spacing w:val="-5"/>
        </w:rPr>
        <w:t xml:space="preserve"> </w:t>
      </w:r>
      <w:r>
        <w:t>prescribed</w:t>
      </w:r>
      <w:r>
        <w:rPr>
          <w:spacing w:val="-4"/>
        </w:rPr>
        <w:t xml:space="preserve"> </w:t>
      </w:r>
      <w:r>
        <w:t>guidelines established in U.S. GAAP.</w:t>
      </w:r>
    </w:p>
    <w:p w14:paraId="0DFDC7D1" w14:textId="77777777" w:rsidR="00046465" w:rsidRDefault="008134EB">
      <w:pPr>
        <w:pStyle w:val="ListParagraph"/>
        <w:numPr>
          <w:ilvl w:val="1"/>
          <w:numId w:val="66"/>
        </w:numPr>
        <w:tabs>
          <w:tab w:val="left" w:pos="1077"/>
          <w:tab w:val="left" w:pos="1080"/>
        </w:tabs>
        <w:spacing w:before="119"/>
        <w:ind w:right="877"/>
      </w:pPr>
      <w:r>
        <w:t>The</w:t>
      </w:r>
      <w:r>
        <w:rPr>
          <w:spacing w:val="-3"/>
        </w:rPr>
        <w:t xml:space="preserve"> </w:t>
      </w:r>
      <w:r>
        <w:t>RSI</w:t>
      </w:r>
      <w:r>
        <w:rPr>
          <w:spacing w:val="-4"/>
        </w:rPr>
        <w:t xml:space="preserve"> </w:t>
      </w:r>
      <w:r>
        <w:t>is</w:t>
      </w:r>
      <w:r>
        <w:rPr>
          <w:spacing w:val="-2"/>
        </w:rPr>
        <w:t xml:space="preserve"> </w:t>
      </w:r>
      <w:r>
        <w:t>measured</w:t>
      </w:r>
      <w:r>
        <w:rPr>
          <w:spacing w:val="-4"/>
        </w:rPr>
        <w:t xml:space="preserve"> </w:t>
      </w:r>
      <w:r>
        <w:t>and</w:t>
      </w:r>
      <w:r>
        <w:rPr>
          <w:spacing w:val="-4"/>
        </w:rPr>
        <w:t xml:space="preserve"> </w:t>
      </w:r>
      <w:r>
        <w:t>presented</w:t>
      </w:r>
      <w:r>
        <w:rPr>
          <w:spacing w:val="-4"/>
        </w:rPr>
        <w:t xml:space="preserve"> </w:t>
      </w:r>
      <w:r>
        <w:t>in</w:t>
      </w:r>
      <w:r>
        <w:rPr>
          <w:spacing w:val="-4"/>
        </w:rPr>
        <w:t xml:space="preserve"> </w:t>
      </w:r>
      <w:r>
        <w:t>accordance</w:t>
      </w:r>
      <w:r>
        <w:rPr>
          <w:spacing w:val="-3"/>
        </w:rPr>
        <w:t xml:space="preserve"> </w:t>
      </w:r>
      <w:r>
        <w:t>with</w:t>
      </w:r>
      <w:r>
        <w:rPr>
          <w:spacing w:val="-3"/>
        </w:rPr>
        <w:t xml:space="preserve"> </w:t>
      </w:r>
      <w:r>
        <w:t>prescribed</w:t>
      </w:r>
      <w:r>
        <w:rPr>
          <w:spacing w:val="-3"/>
        </w:rPr>
        <w:t xml:space="preserve"> </w:t>
      </w:r>
      <w:r>
        <w:t>guidelines</w:t>
      </w:r>
      <w:r>
        <w:rPr>
          <w:spacing w:val="-4"/>
        </w:rPr>
        <w:t xml:space="preserve"> </w:t>
      </w:r>
      <w:r>
        <w:t>in</w:t>
      </w:r>
      <w:r>
        <w:rPr>
          <w:spacing w:val="-3"/>
        </w:rPr>
        <w:t xml:space="preserve"> </w:t>
      </w:r>
      <w:r>
        <w:t xml:space="preserve">U.S. </w:t>
      </w:r>
      <w:r>
        <w:rPr>
          <w:spacing w:val="-2"/>
        </w:rPr>
        <w:t>GAAP,</w:t>
      </w:r>
      <w:r>
        <w:rPr>
          <w:spacing w:val="-7"/>
        </w:rPr>
        <w:t xml:space="preserve"> </w:t>
      </w:r>
      <w:r>
        <w:rPr>
          <w:spacing w:val="-2"/>
        </w:rPr>
        <w:t>is</w:t>
      </w:r>
      <w:r>
        <w:rPr>
          <w:spacing w:val="-5"/>
        </w:rPr>
        <w:t xml:space="preserve"> </w:t>
      </w:r>
      <w:r>
        <w:rPr>
          <w:spacing w:val="-2"/>
        </w:rPr>
        <w:t>consistent</w:t>
      </w:r>
      <w:r>
        <w:rPr>
          <w:spacing w:val="-6"/>
        </w:rPr>
        <w:t xml:space="preserve"> </w:t>
      </w:r>
      <w:r>
        <w:rPr>
          <w:spacing w:val="-2"/>
        </w:rPr>
        <w:t>with</w:t>
      </w:r>
      <w:r>
        <w:rPr>
          <w:spacing w:val="-6"/>
        </w:rPr>
        <w:t xml:space="preserve"> </w:t>
      </w:r>
      <w:r>
        <w:rPr>
          <w:spacing w:val="-2"/>
        </w:rPr>
        <w:t>the</w:t>
      </w:r>
      <w:r>
        <w:rPr>
          <w:spacing w:val="-6"/>
        </w:rPr>
        <w:t xml:space="preserve"> </w:t>
      </w:r>
      <w:r>
        <w:rPr>
          <w:spacing w:val="-2"/>
        </w:rPr>
        <w:t>financial</w:t>
      </w:r>
      <w:r>
        <w:rPr>
          <w:spacing w:val="-6"/>
        </w:rPr>
        <w:t xml:space="preserve"> </w:t>
      </w:r>
      <w:r>
        <w:rPr>
          <w:spacing w:val="-2"/>
        </w:rPr>
        <w:t>statements,</w:t>
      </w:r>
      <w:r>
        <w:rPr>
          <w:spacing w:val="-6"/>
        </w:rPr>
        <w:t xml:space="preserve"> </w:t>
      </w:r>
      <w:r>
        <w:rPr>
          <w:spacing w:val="-2"/>
        </w:rPr>
        <w:t>and</w:t>
      </w:r>
      <w:r>
        <w:rPr>
          <w:spacing w:val="-7"/>
        </w:rPr>
        <w:t xml:space="preserve"> </w:t>
      </w:r>
      <w:r>
        <w:rPr>
          <w:spacing w:val="-2"/>
        </w:rPr>
        <w:t>contains</w:t>
      </w:r>
      <w:r>
        <w:rPr>
          <w:spacing w:val="-7"/>
        </w:rPr>
        <w:t xml:space="preserve"> </w:t>
      </w:r>
      <w:r>
        <w:rPr>
          <w:spacing w:val="-2"/>
        </w:rPr>
        <w:t>no</w:t>
      </w:r>
      <w:r>
        <w:rPr>
          <w:spacing w:val="-6"/>
        </w:rPr>
        <w:t xml:space="preserve"> </w:t>
      </w:r>
      <w:r>
        <w:rPr>
          <w:spacing w:val="-2"/>
        </w:rPr>
        <w:t>material</w:t>
      </w:r>
      <w:r>
        <w:rPr>
          <w:spacing w:val="-7"/>
        </w:rPr>
        <w:t xml:space="preserve"> </w:t>
      </w:r>
      <w:r>
        <w:rPr>
          <w:spacing w:val="-2"/>
        </w:rPr>
        <w:t xml:space="preserve">misstatement </w:t>
      </w:r>
      <w:r>
        <w:t>of fact.</w:t>
      </w:r>
    </w:p>
    <w:p w14:paraId="0DFDC7D2" w14:textId="77777777" w:rsidR="00046465" w:rsidRDefault="008134EB">
      <w:pPr>
        <w:pStyle w:val="ListParagraph"/>
        <w:numPr>
          <w:ilvl w:val="1"/>
          <w:numId w:val="66"/>
        </w:numPr>
        <w:tabs>
          <w:tab w:val="left" w:pos="1077"/>
          <w:tab w:val="left" w:pos="1080"/>
        </w:tabs>
        <w:spacing w:before="121"/>
        <w:ind w:right="982"/>
        <w:rPr>
          <w:b/>
        </w:rPr>
      </w:pPr>
      <w:r>
        <w:t>There</w:t>
      </w:r>
      <w:r>
        <w:rPr>
          <w:spacing w:val="-3"/>
        </w:rPr>
        <w:t xml:space="preserve"> </w:t>
      </w:r>
      <w:r>
        <w:t>are</w:t>
      </w:r>
      <w:r>
        <w:rPr>
          <w:spacing w:val="-3"/>
        </w:rPr>
        <w:t xml:space="preserve"> </w:t>
      </w:r>
      <w:r>
        <w:t>no</w:t>
      </w:r>
      <w:r>
        <w:rPr>
          <w:spacing w:val="-3"/>
        </w:rPr>
        <w:t xml:space="preserve"> </w:t>
      </w:r>
      <w:r>
        <w:t>changes</w:t>
      </w:r>
      <w:r>
        <w:rPr>
          <w:spacing w:val="-3"/>
        </w:rPr>
        <w:t xml:space="preserve"> </w:t>
      </w:r>
      <w:r>
        <w:t>in</w:t>
      </w:r>
      <w:r>
        <w:rPr>
          <w:spacing w:val="-3"/>
        </w:rPr>
        <w:t xml:space="preserve"> </w:t>
      </w:r>
      <w:r>
        <w:t>the</w:t>
      </w:r>
      <w:r>
        <w:rPr>
          <w:spacing w:val="-3"/>
        </w:rPr>
        <w:t xml:space="preserve"> </w:t>
      </w:r>
      <w:r>
        <w:t>methods</w:t>
      </w:r>
      <w:r>
        <w:rPr>
          <w:spacing w:val="-3"/>
        </w:rPr>
        <w:t xml:space="preserve"> </w:t>
      </w:r>
      <w:r>
        <w:t>of</w:t>
      </w:r>
      <w:r>
        <w:rPr>
          <w:spacing w:val="-3"/>
        </w:rPr>
        <w:t xml:space="preserve"> </w:t>
      </w:r>
      <w:r>
        <w:t>measurement</w:t>
      </w:r>
      <w:r>
        <w:rPr>
          <w:spacing w:val="-3"/>
        </w:rPr>
        <w:t xml:space="preserve"> </w:t>
      </w:r>
      <w:r>
        <w:t>or</w:t>
      </w:r>
      <w:r>
        <w:rPr>
          <w:spacing w:val="-3"/>
        </w:rPr>
        <w:t xml:space="preserve"> </w:t>
      </w:r>
      <w:r>
        <w:t>presentation</w:t>
      </w:r>
      <w:r>
        <w:rPr>
          <w:spacing w:val="-3"/>
        </w:rPr>
        <w:t xml:space="preserve"> </w:t>
      </w:r>
      <w:r>
        <w:t>of</w:t>
      </w:r>
      <w:r>
        <w:rPr>
          <w:spacing w:val="-3"/>
        </w:rPr>
        <w:t xml:space="preserve"> </w:t>
      </w:r>
      <w:r>
        <w:t>the</w:t>
      </w:r>
      <w:r>
        <w:rPr>
          <w:spacing w:val="-3"/>
        </w:rPr>
        <w:t xml:space="preserve"> </w:t>
      </w:r>
      <w:r>
        <w:t>RSI</w:t>
      </w:r>
      <w:r>
        <w:rPr>
          <w:spacing w:val="-3"/>
        </w:rPr>
        <w:t xml:space="preserve"> </w:t>
      </w:r>
      <w:r>
        <w:t xml:space="preserve">from the prior year </w:t>
      </w:r>
      <w:r>
        <w:rPr>
          <w:u w:val="single"/>
        </w:rPr>
        <w:t>that have not been disclosed to you, including the reasons for such</w:t>
      </w:r>
      <w:r>
        <w:t xml:space="preserve"> </w:t>
      </w:r>
      <w:r>
        <w:rPr>
          <w:u w:val="single"/>
        </w:rPr>
        <w:t>changes</w:t>
      </w:r>
      <w:r>
        <w:t>.</w:t>
      </w:r>
      <w:r>
        <w:rPr>
          <w:spacing w:val="-2"/>
        </w:rPr>
        <w:t xml:space="preserve"> </w:t>
      </w:r>
      <w:r>
        <w:rPr>
          <w:b/>
        </w:rPr>
        <w:t>[If</w:t>
      </w:r>
      <w:r>
        <w:rPr>
          <w:b/>
          <w:spacing w:val="-4"/>
        </w:rPr>
        <w:t xml:space="preserve"> </w:t>
      </w:r>
      <w:r>
        <w:rPr>
          <w:b/>
        </w:rPr>
        <w:t>there</w:t>
      </w:r>
      <w:r>
        <w:rPr>
          <w:b/>
          <w:spacing w:val="-2"/>
        </w:rPr>
        <w:t xml:space="preserve"> </w:t>
      </w:r>
      <w:r>
        <w:rPr>
          <w:b/>
        </w:rPr>
        <w:t>were</w:t>
      </w:r>
      <w:r>
        <w:rPr>
          <w:b/>
          <w:spacing w:val="-1"/>
        </w:rPr>
        <w:t xml:space="preserve"> </w:t>
      </w:r>
      <w:r>
        <w:rPr>
          <w:b/>
        </w:rPr>
        <w:t>no</w:t>
      </w:r>
      <w:r>
        <w:rPr>
          <w:b/>
          <w:spacing w:val="-2"/>
        </w:rPr>
        <w:t xml:space="preserve"> </w:t>
      </w:r>
      <w:r>
        <w:rPr>
          <w:b/>
        </w:rPr>
        <w:t>such</w:t>
      </w:r>
      <w:r>
        <w:rPr>
          <w:b/>
          <w:spacing w:val="-2"/>
        </w:rPr>
        <w:t xml:space="preserve"> </w:t>
      </w:r>
      <w:r>
        <w:rPr>
          <w:b/>
        </w:rPr>
        <w:t>changes,</w:t>
      </w:r>
      <w:r>
        <w:rPr>
          <w:b/>
          <w:spacing w:val="-2"/>
        </w:rPr>
        <w:t xml:space="preserve"> </w:t>
      </w:r>
      <w:r>
        <w:rPr>
          <w:b/>
        </w:rPr>
        <w:t>the</w:t>
      </w:r>
      <w:r>
        <w:rPr>
          <w:b/>
          <w:spacing w:val="-2"/>
        </w:rPr>
        <w:t xml:space="preserve"> </w:t>
      </w:r>
      <w:r>
        <w:rPr>
          <w:b/>
        </w:rPr>
        <w:t>underlined</w:t>
      </w:r>
      <w:r>
        <w:rPr>
          <w:b/>
          <w:spacing w:val="-2"/>
        </w:rPr>
        <w:t xml:space="preserve"> </w:t>
      </w:r>
      <w:r>
        <w:rPr>
          <w:b/>
        </w:rPr>
        <w:t>text</w:t>
      </w:r>
      <w:r>
        <w:rPr>
          <w:b/>
          <w:spacing w:val="-2"/>
        </w:rPr>
        <w:t xml:space="preserve"> </w:t>
      </w:r>
      <w:r>
        <w:rPr>
          <w:b/>
        </w:rPr>
        <w:t>should</w:t>
      </w:r>
      <w:r>
        <w:rPr>
          <w:b/>
          <w:spacing w:val="-2"/>
        </w:rPr>
        <w:t xml:space="preserve"> </w:t>
      </w:r>
      <w:r>
        <w:rPr>
          <w:b/>
        </w:rPr>
        <w:t>be</w:t>
      </w:r>
      <w:r>
        <w:rPr>
          <w:b/>
          <w:spacing w:val="-2"/>
        </w:rPr>
        <w:t xml:space="preserve"> </w:t>
      </w:r>
      <w:r>
        <w:rPr>
          <w:b/>
        </w:rPr>
        <w:t>omitted.]</w:t>
      </w:r>
    </w:p>
    <w:p w14:paraId="0DFDC7D3" w14:textId="77777777" w:rsidR="00046465" w:rsidRDefault="008134EB">
      <w:pPr>
        <w:pStyle w:val="ListParagraph"/>
        <w:numPr>
          <w:ilvl w:val="1"/>
          <w:numId w:val="66"/>
        </w:numPr>
        <w:tabs>
          <w:tab w:val="left" w:pos="1079"/>
        </w:tabs>
        <w:ind w:left="1079" w:right="946" w:hanging="360"/>
        <w:rPr>
          <w:b/>
        </w:rPr>
      </w:pPr>
      <w:r>
        <w:t>There</w:t>
      </w:r>
      <w:r>
        <w:rPr>
          <w:spacing w:val="-4"/>
        </w:rPr>
        <w:t xml:space="preserve"> </w:t>
      </w:r>
      <w:r>
        <w:t>are</w:t>
      </w:r>
      <w:r>
        <w:rPr>
          <w:spacing w:val="-4"/>
        </w:rPr>
        <w:t xml:space="preserve"> </w:t>
      </w:r>
      <w:r>
        <w:t>no</w:t>
      </w:r>
      <w:r>
        <w:rPr>
          <w:spacing w:val="-4"/>
        </w:rPr>
        <w:t xml:space="preserve"> </w:t>
      </w:r>
      <w:r>
        <w:t>significant</w:t>
      </w:r>
      <w:r>
        <w:rPr>
          <w:spacing w:val="-5"/>
        </w:rPr>
        <w:t xml:space="preserve"> </w:t>
      </w:r>
      <w:r>
        <w:t>assumptions</w:t>
      </w:r>
      <w:r>
        <w:rPr>
          <w:spacing w:val="-4"/>
        </w:rPr>
        <w:t xml:space="preserve"> </w:t>
      </w:r>
      <w:r>
        <w:t>or</w:t>
      </w:r>
      <w:r>
        <w:rPr>
          <w:spacing w:val="-4"/>
        </w:rPr>
        <w:t xml:space="preserve"> </w:t>
      </w:r>
      <w:r>
        <w:t>interpretations</w:t>
      </w:r>
      <w:r>
        <w:rPr>
          <w:spacing w:val="-4"/>
        </w:rPr>
        <w:t xml:space="preserve"> </w:t>
      </w:r>
      <w:r>
        <w:t>underlying</w:t>
      </w:r>
      <w:r>
        <w:rPr>
          <w:spacing w:val="-4"/>
        </w:rPr>
        <w:t xml:space="preserve"> </w:t>
      </w:r>
      <w:r>
        <w:t>the</w:t>
      </w:r>
      <w:r>
        <w:rPr>
          <w:spacing w:val="-4"/>
        </w:rPr>
        <w:t xml:space="preserve"> </w:t>
      </w:r>
      <w:r>
        <w:t>measurement</w:t>
      </w:r>
      <w:r>
        <w:rPr>
          <w:spacing w:val="-4"/>
        </w:rPr>
        <w:t xml:space="preserve"> </w:t>
      </w:r>
      <w:r>
        <w:t xml:space="preserve">or presentation of the RSI </w:t>
      </w:r>
      <w:r>
        <w:rPr>
          <w:u w:val="single"/>
        </w:rPr>
        <w:t>that have not been disclosed to you</w:t>
      </w:r>
      <w:r>
        <w:t xml:space="preserve">. </w:t>
      </w:r>
      <w:r>
        <w:rPr>
          <w:b/>
        </w:rPr>
        <w:t>[If there are no assumptions or interpretations, the underlined text should be omitted.]</w:t>
      </w:r>
    </w:p>
    <w:p w14:paraId="0DFDC7D4" w14:textId="77777777" w:rsidR="00046465" w:rsidRDefault="008134EB">
      <w:pPr>
        <w:pStyle w:val="ListParagraph"/>
        <w:numPr>
          <w:ilvl w:val="0"/>
          <w:numId w:val="66"/>
        </w:numPr>
        <w:tabs>
          <w:tab w:val="left" w:pos="717"/>
          <w:tab w:val="left" w:pos="720"/>
        </w:tabs>
        <w:ind w:left="720" w:right="897" w:hanging="361"/>
      </w:pPr>
      <w:r>
        <w:rPr>
          <w:b/>
        </w:rPr>
        <w:t>[If</w:t>
      </w:r>
      <w:r>
        <w:rPr>
          <w:b/>
          <w:spacing w:val="-11"/>
        </w:rPr>
        <w:t xml:space="preserve"> </w:t>
      </w:r>
      <w:r>
        <w:rPr>
          <w:b/>
        </w:rPr>
        <w:t>other</w:t>
      </w:r>
      <w:r>
        <w:rPr>
          <w:b/>
          <w:spacing w:val="-12"/>
        </w:rPr>
        <w:t xml:space="preserve"> </w:t>
      </w:r>
      <w:r>
        <w:rPr>
          <w:b/>
        </w:rPr>
        <w:t>information</w:t>
      </w:r>
      <w:r>
        <w:rPr>
          <w:b/>
          <w:spacing w:val="-11"/>
        </w:rPr>
        <w:t xml:space="preserve"> </w:t>
      </w:r>
      <w:r>
        <w:rPr>
          <w:b/>
        </w:rPr>
        <w:t>is</w:t>
      </w:r>
      <w:r>
        <w:rPr>
          <w:b/>
          <w:spacing w:val="-11"/>
        </w:rPr>
        <w:t xml:space="preserve"> </w:t>
      </w:r>
      <w:r>
        <w:rPr>
          <w:b/>
        </w:rPr>
        <w:t>presented]</w:t>
      </w:r>
      <w:r>
        <w:rPr>
          <w:b/>
          <w:spacing w:val="-11"/>
        </w:rPr>
        <w:t xml:space="preserve"> </w:t>
      </w:r>
      <w:r>
        <w:t>We</w:t>
      </w:r>
      <w:r>
        <w:rPr>
          <w:spacing w:val="-15"/>
        </w:rPr>
        <w:t xml:space="preserve"> </w:t>
      </w:r>
      <w:r>
        <w:t>have</w:t>
      </w:r>
      <w:r>
        <w:rPr>
          <w:spacing w:val="-15"/>
        </w:rPr>
        <w:t xml:space="preserve"> </w:t>
      </w:r>
      <w:r>
        <w:t>fulfilled</w:t>
      </w:r>
      <w:r>
        <w:rPr>
          <w:spacing w:val="-14"/>
        </w:rPr>
        <w:t xml:space="preserve"> </w:t>
      </w:r>
      <w:r>
        <w:t>our</w:t>
      </w:r>
      <w:r>
        <w:rPr>
          <w:spacing w:val="-14"/>
        </w:rPr>
        <w:t xml:space="preserve"> </w:t>
      </w:r>
      <w:r>
        <w:t>responsibilities</w:t>
      </w:r>
      <w:r>
        <w:rPr>
          <w:spacing w:val="-13"/>
        </w:rPr>
        <w:t xml:space="preserve"> </w:t>
      </w:r>
      <w:r>
        <w:t>for</w:t>
      </w:r>
      <w:r>
        <w:rPr>
          <w:spacing w:val="-15"/>
        </w:rPr>
        <w:t xml:space="preserve"> </w:t>
      </w:r>
      <w:r>
        <w:t>the</w:t>
      </w:r>
      <w:r>
        <w:rPr>
          <w:spacing w:val="-14"/>
        </w:rPr>
        <w:t xml:space="preserve"> </w:t>
      </w:r>
      <w:r>
        <w:t>preparation and</w:t>
      </w:r>
      <w:r>
        <w:rPr>
          <w:spacing w:val="-10"/>
        </w:rPr>
        <w:t xml:space="preserve"> </w:t>
      </w:r>
      <w:r>
        <w:t>presentation</w:t>
      </w:r>
      <w:r>
        <w:rPr>
          <w:spacing w:val="-9"/>
        </w:rPr>
        <w:t xml:space="preserve"> </w:t>
      </w:r>
      <w:r>
        <w:t>of</w:t>
      </w:r>
      <w:r>
        <w:rPr>
          <w:spacing w:val="-9"/>
        </w:rPr>
        <w:t xml:space="preserve"> </w:t>
      </w:r>
      <w:r>
        <w:t>the</w:t>
      </w:r>
      <w:r>
        <w:rPr>
          <w:spacing w:val="-9"/>
        </w:rPr>
        <w:t xml:space="preserve"> </w:t>
      </w:r>
      <w:r>
        <w:t>other</w:t>
      </w:r>
      <w:r>
        <w:rPr>
          <w:spacing w:val="-10"/>
        </w:rPr>
        <w:t xml:space="preserve"> </w:t>
      </w:r>
      <w:r>
        <w:t>information</w:t>
      </w:r>
      <w:r>
        <w:rPr>
          <w:spacing w:val="-9"/>
        </w:rPr>
        <w:t xml:space="preserve"> </w:t>
      </w:r>
      <w:r>
        <w:t>(OI)</w:t>
      </w:r>
      <w:r>
        <w:rPr>
          <w:spacing w:val="-9"/>
        </w:rPr>
        <w:t xml:space="preserve"> </w:t>
      </w:r>
      <w:r>
        <w:t>included</w:t>
      </w:r>
      <w:r>
        <w:rPr>
          <w:spacing w:val="-9"/>
        </w:rPr>
        <w:t xml:space="preserve"> </w:t>
      </w:r>
      <w:r>
        <w:t>in</w:t>
      </w:r>
      <w:r>
        <w:rPr>
          <w:spacing w:val="-8"/>
        </w:rPr>
        <w:t xml:space="preserve"> </w:t>
      </w:r>
      <w:r>
        <w:rPr>
          <w:b/>
        </w:rPr>
        <w:t>[entity’s]</w:t>
      </w:r>
      <w:r>
        <w:rPr>
          <w:b/>
          <w:spacing w:val="-10"/>
        </w:rPr>
        <w:t xml:space="preserve"> </w:t>
      </w:r>
      <w:r>
        <w:rPr>
          <w:b/>
        </w:rPr>
        <w:t>[insert</w:t>
      </w:r>
      <w:r>
        <w:rPr>
          <w:b/>
          <w:spacing w:val="-9"/>
        </w:rPr>
        <w:t xml:space="preserve"> </w:t>
      </w:r>
      <w:r>
        <w:rPr>
          <w:b/>
        </w:rPr>
        <w:t>name</w:t>
      </w:r>
      <w:r>
        <w:rPr>
          <w:b/>
          <w:spacing w:val="-10"/>
        </w:rPr>
        <w:t xml:space="preserve"> </w:t>
      </w:r>
      <w:r>
        <w:rPr>
          <w:b/>
        </w:rPr>
        <w:t>of</w:t>
      </w:r>
      <w:r>
        <w:rPr>
          <w:b/>
          <w:spacing w:val="-9"/>
        </w:rPr>
        <w:t xml:space="preserve"> </w:t>
      </w:r>
      <w:r>
        <w:rPr>
          <w:b/>
        </w:rPr>
        <w:t>annual report,</w:t>
      </w:r>
      <w:r>
        <w:rPr>
          <w:b/>
          <w:spacing w:val="-7"/>
        </w:rPr>
        <w:t xml:space="preserve"> </w:t>
      </w:r>
      <w:r>
        <w:rPr>
          <w:b/>
        </w:rPr>
        <w:t>e.g.,</w:t>
      </w:r>
      <w:r>
        <w:rPr>
          <w:b/>
          <w:spacing w:val="-6"/>
        </w:rPr>
        <w:t xml:space="preserve"> </w:t>
      </w:r>
      <w:r>
        <w:rPr>
          <w:b/>
        </w:rPr>
        <w:t>agency</w:t>
      </w:r>
      <w:r>
        <w:rPr>
          <w:b/>
          <w:spacing w:val="-6"/>
        </w:rPr>
        <w:t xml:space="preserve"> </w:t>
      </w:r>
      <w:r>
        <w:rPr>
          <w:b/>
        </w:rPr>
        <w:t>financial</w:t>
      </w:r>
      <w:r>
        <w:rPr>
          <w:b/>
          <w:spacing w:val="-6"/>
        </w:rPr>
        <w:t xml:space="preserve"> </w:t>
      </w:r>
      <w:r>
        <w:rPr>
          <w:b/>
        </w:rPr>
        <w:t>report]</w:t>
      </w:r>
      <w:r>
        <w:rPr>
          <w:b/>
          <w:spacing w:val="-7"/>
        </w:rPr>
        <w:t xml:space="preserve"> </w:t>
      </w:r>
      <w:r>
        <w:t>and</w:t>
      </w:r>
      <w:r>
        <w:rPr>
          <w:spacing w:val="-7"/>
        </w:rPr>
        <w:t xml:space="preserve"> </w:t>
      </w:r>
      <w:r>
        <w:t>for</w:t>
      </w:r>
      <w:r>
        <w:rPr>
          <w:spacing w:val="-6"/>
        </w:rPr>
        <w:t xml:space="preserve"> </w:t>
      </w:r>
      <w:r>
        <w:t>ensuring</w:t>
      </w:r>
      <w:r>
        <w:rPr>
          <w:spacing w:val="-6"/>
        </w:rPr>
        <w:t xml:space="preserve"> </w:t>
      </w:r>
      <w:r>
        <w:t>the</w:t>
      </w:r>
      <w:r>
        <w:rPr>
          <w:spacing w:val="-6"/>
        </w:rPr>
        <w:t xml:space="preserve"> </w:t>
      </w:r>
      <w:r>
        <w:t>consistency</w:t>
      </w:r>
      <w:r>
        <w:rPr>
          <w:spacing w:val="-5"/>
        </w:rPr>
        <w:t xml:space="preserve"> </w:t>
      </w:r>
      <w:r>
        <w:t>of</w:t>
      </w:r>
      <w:r>
        <w:rPr>
          <w:spacing w:val="-7"/>
        </w:rPr>
        <w:t xml:space="preserve"> </w:t>
      </w:r>
      <w:r>
        <w:t>that</w:t>
      </w:r>
      <w:r>
        <w:rPr>
          <w:spacing w:val="-7"/>
        </w:rPr>
        <w:t xml:space="preserve"> </w:t>
      </w:r>
      <w:r>
        <w:t>information with the audited financial statements and RSI.</w:t>
      </w:r>
    </w:p>
    <w:p w14:paraId="0DFDC7D5" w14:textId="77777777" w:rsidR="00046465" w:rsidRDefault="008134EB">
      <w:pPr>
        <w:pStyle w:val="ListParagraph"/>
        <w:numPr>
          <w:ilvl w:val="1"/>
          <w:numId w:val="66"/>
        </w:numPr>
        <w:tabs>
          <w:tab w:val="left" w:pos="1078"/>
          <w:tab w:val="left" w:pos="1080"/>
        </w:tabs>
        <w:ind w:right="1325" w:hanging="360"/>
      </w:pPr>
      <w:r>
        <w:t>The</w:t>
      </w:r>
      <w:r>
        <w:rPr>
          <w:spacing w:val="-16"/>
        </w:rPr>
        <w:t xml:space="preserve"> </w:t>
      </w:r>
      <w:r>
        <w:t>OI</w:t>
      </w:r>
      <w:r>
        <w:rPr>
          <w:spacing w:val="-15"/>
        </w:rPr>
        <w:t xml:space="preserve"> </w:t>
      </w:r>
      <w:r>
        <w:t>included</w:t>
      </w:r>
      <w:r>
        <w:rPr>
          <w:spacing w:val="-15"/>
        </w:rPr>
        <w:t xml:space="preserve"> </w:t>
      </w:r>
      <w:r>
        <w:t>in</w:t>
      </w:r>
      <w:r>
        <w:rPr>
          <w:spacing w:val="-16"/>
        </w:rPr>
        <w:t xml:space="preserve"> </w:t>
      </w:r>
      <w:r>
        <w:rPr>
          <w:b/>
        </w:rPr>
        <w:t>[entity’s]</w:t>
      </w:r>
      <w:r>
        <w:rPr>
          <w:b/>
          <w:spacing w:val="-15"/>
        </w:rPr>
        <w:t xml:space="preserve"> </w:t>
      </w:r>
      <w:r>
        <w:rPr>
          <w:b/>
        </w:rPr>
        <w:t>[insert</w:t>
      </w:r>
      <w:r>
        <w:rPr>
          <w:b/>
          <w:spacing w:val="-15"/>
        </w:rPr>
        <w:t xml:space="preserve"> </w:t>
      </w:r>
      <w:r>
        <w:rPr>
          <w:b/>
        </w:rPr>
        <w:t>name</w:t>
      </w:r>
      <w:r>
        <w:rPr>
          <w:b/>
          <w:spacing w:val="-15"/>
        </w:rPr>
        <w:t xml:space="preserve"> </w:t>
      </w:r>
      <w:r>
        <w:rPr>
          <w:b/>
        </w:rPr>
        <w:t>of</w:t>
      </w:r>
      <w:r>
        <w:rPr>
          <w:b/>
          <w:spacing w:val="-16"/>
        </w:rPr>
        <w:t xml:space="preserve"> </w:t>
      </w:r>
      <w:r>
        <w:rPr>
          <w:b/>
        </w:rPr>
        <w:t>annual</w:t>
      </w:r>
      <w:r>
        <w:rPr>
          <w:b/>
          <w:spacing w:val="-15"/>
        </w:rPr>
        <w:t xml:space="preserve"> </w:t>
      </w:r>
      <w:r>
        <w:rPr>
          <w:b/>
        </w:rPr>
        <w:t>report,</w:t>
      </w:r>
      <w:r>
        <w:rPr>
          <w:b/>
          <w:spacing w:val="-15"/>
        </w:rPr>
        <w:t xml:space="preserve"> </w:t>
      </w:r>
      <w:r>
        <w:rPr>
          <w:b/>
        </w:rPr>
        <w:t>e.g.,</w:t>
      </w:r>
      <w:r>
        <w:rPr>
          <w:b/>
          <w:spacing w:val="-16"/>
        </w:rPr>
        <w:t xml:space="preserve"> </w:t>
      </w:r>
      <w:r>
        <w:rPr>
          <w:b/>
        </w:rPr>
        <w:t>agency</w:t>
      </w:r>
      <w:r>
        <w:rPr>
          <w:b/>
          <w:spacing w:val="-15"/>
        </w:rPr>
        <w:t xml:space="preserve"> </w:t>
      </w:r>
      <w:r>
        <w:rPr>
          <w:b/>
        </w:rPr>
        <w:t>financial report]</w:t>
      </w:r>
      <w:r>
        <w:rPr>
          <w:b/>
          <w:spacing w:val="-12"/>
        </w:rPr>
        <w:t xml:space="preserve"> </w:t>
      </w:r>
      <w:r>
        <w:t>is</w:t>
      </w:r>
      <w:r>
        <w:rPr>
          <w:spacing w:val="-10"/>
        </w:rPr>
        <w:t xml:space="preserve"> </w:t>
      </w:r>
      <w:r>
        <w:t>consistent</w:t>
      </w:r>
      <w:r>
        <w:rPr>
          <w:spacing w:val="-11"/>
        </w:rPr>
        <w:t xml:space="preserve"> </w:t>
      </w:r>
      <w:r>
        <w:t>with</w:t>
      </w:r>
      <w:r>
        <w:rPr>
          <w:spacing w:val="-11"/>
        </w:rPr>
        <w:t xml:space="preserve"> </w:t>
      </w:r>
      <w:r>
        <w:t>the</w:t>
      </w:r>
      <w:r>
        <w:rPr>
          <w:spacing w:val="-11"/>
        </w:rPr>
        <w:t xml:space="preserve"> </w:t>
      </w:r>
      <w:r>
        <w:t>financial</w:t>
      </w:r>
      <w:r>
        <w:rPr>
          <w:spacing w:val="-11"/>
        </w:rPr>
        <w:t xml:space="preserve"> </w:t>
      </w:r>
      <w:r>
        <w:t>statements</w:t>
      </w:r>
      <w:r>
        <w:rPr>
          <w:spacing w:val="-9"/>
        </w:rPr>
        <w:t xml:space="preserve"> </w:t>
      </w:r>
      <w:r>
        <w:t>and</w:t>
      </w:r>
      <w:r>
        <w:rPr>
          <w:spacing w:val="-11"/>
        </w:rPr>
        <w:t xml:space="preserve"> </w:t>
      </w:r>
      <w:r>
        <w:t>RSI</w:t>
      </w:r>
      <w:r>
        <w:rPr>
          <w:spacing w:val="-12"/>
        </w:rPr>
        <w:t xml:space="preserve"> </w:t>
      </w:r>
      <w:r>
        <w:t>and</w:t>
      </w:r>
      <w:r>
        <w:rPr>
          <w:spacing w:val="-11"/>
        </w:rPr>
        <w:t xml:space="preserve"> </w:t>
      </w:r>
      <w:r>
        <w:t>contains</w:t>
      </w:r>
      <w:r>
        <w:rPr>
          <w:spacing w:val="-12"/>
        </w:rPr>
        <w:t xml:space="preserve"> </w:t>
      </w:r>
      <w:r>
        <w:t>no</w:t>
      </w:r>
      <w:r>
        <w:rPr>
          <w:spacing w:val="-11"/>
        </w:rPr>
        <w:t xml:space="preserve"> </w:t>
      </w:r>
      <w:r>
        <w:t>material misstatement of fact.</w:t>
      </w:r>
    </w:p>
    <w:p w14:paraId="0DFDC7D6" w14:textId="77777777" w:rsidR="00046465" w:rsidRDefault="008134EB">
      <w:pPr>
        <w:pStyle w:val="ListParagraph"/>
        <w:numPr>
          <w:ilvl w:val="1"/>
          <w:numId w:val="66"/>
        </w:numPr>
        <w:tabs>
          <w:tab w:val="left" w:pos="1079"/>
        </w:tabs>
        <w:spacing w:before="119"/>
        <w:ind w:left="1079" w:right="749" w:hanging="360"/>
        <w:rPr>
          <w:b/>
        </w:rPr>
      </w:pPr>
      <w:r>
        <w:t>There</w:t>
      </w:r>
      <w:r>
        <w:rPr>
          <w:spacing w:val="-3"/>
        </w:rPr>
        <w:t xml:space="preserve"> </w:t>
      </w:r>
      <w:r>
        <w:t>are</w:t>
      </w:r>
      <w:r>
        <w:rPr>
          <w:spacing w:val="-3"/>
        </w:rPr>
        <w:t xml:space="preserve"> </w:t>
      </w:r>
      <w:r>
        <w:t>no</w:t>
      </w:r>
      <w:r>
        <w:rPr>
          <w:spacing w:val="-3"/>
        </w:rPr>
        <w:t xml:space="preserve"> </w:t>
      </w:r>
      <w:r>
        <w:t>changes</w:t>
      </w:r>
      <w:r>
        <w:rPr>
          <w:spacing w:val="-3"/>
        </w:rPr>
        <w:t xml:space="preserve"> </w:t>
      </w:r>
      <w:r>
        <w:t>in</w:t>
      </w:r>
      <w:r>
        <w:rPr>
          <w:spacing w:val="-3"/>
        </w:rPr>
        <w:t xml:space="preserve"> </w:t>
      </w:r>
      <w:r>
        <w:t>the</w:t>
      </w:r>
      <w:r>
        <w:rPr>
          <w:spacing w:val="-3"/>
        </w:rPr>
        <w:t xml:space="preserve"> </w:t>
      </w:r>
      <w:r>
        <w:t>methods</w:t>
      </w:r>
      <w:r>
        <w:rPr>
          <w:spacing w:val="-3"/>
        </w:rPr>
        <w:t xml:space="preserve"> </w:t>
      </w:r>
      <w:r>
        <w:t>of</w:t>
      </w:r>
      <w:r>
        <w:rPr>
          <w:spacing w:val="-3"/>
        </w:rPr>
        <w:t xml:space="preserve"> </w:t>
      </w:r>
      <w:r>
        <w:t>measurement</w:t>
      </w:r>
      <w:r>
        <w:rPr>
          <w:spacing w:val="-3"/>
        </w:rPr>
        <w:t xml:space="preserve"> </w:t>
      </w:r>
      <w:r>
        <w:t>or</w:t>
      </w:r>
      <w:r>
        <w:rPr>
          <w:spacing w:val="-3"/>
        </w:rPr>
        <w:t xml:space="preserve"> </w:t>
      </w:r>
      <w:r>
        <w:t>presentation</w:t>
      </w:r>
      <w:r>
        <w:rPr>
          <w:spacing w:val="-3"/>
        </w:rPr>
        <w:t xml:space="preserve"> </w:t>
      </w:r>
      <w:r>
        <w:t>of</w:t>
      </w:r>
      <w:r>
        <w:rPr>
          <w:spacing w:val="-3"/>
        </w:rPr>
        <w:t xml:space="preserve"> </w:t>
      </w:r>
      <w:r>
        <w:t>the</w:t>
      </w:r>
      <w:r>
        <w:rPr>
          <w:spacing w:val="-3"/>
        </w:rPr>
        <w:t xml:space="preserve"> </w:t>
      </w:r>
      <w:r>
        <w:t>OI</w:t>
      </w:r>
      <w:r>
        <w:rPr>
          <w:spacing w:val="-3"/>
        </w:rPr>
        <w:t xml:space="preserve"> </w:t>
      </w:r>
      <w:r>
        <w:t>from</w:t>
      </w:r>
      <w:r>
        <w:rPr>
          <w:spacing w:val="-3"/>
        </w:rPr>
        <w:t xml:space="preserve"> </w:t>
      </w:r>
      <w:r>
        <w:t xml:space="preserve">the prior year </w:t>
      </w:r>
      <w:r>
        <w:rPr>
          <w:u w:val="single"/>
        </w:rPr>
        <w:t>that have not been disclosed to you, including the reasons for such changes</w:t>
      </w:r>
      <w:r>
        <w:t xml:space="preserve">. </w:t>
      </w:r>
      <w:r>
        <w:rPr>
          <w:b/>
        </w:rPr>
        <w:t>[If there were no such changes, the underlined text should be omitted.]</w:t>
      </w:r>
    </w:p>
    <w:p w14:paraId="0DFDC7D7" w14:textId="77777777" w:rsidR="00046465" w:rsidRDefault="008134EB">
      <w:pPr>
        <w:pStyle w:val="ListParagraph"/>
        <w:numPr>
          <w:ilvl w:val="1"/>
          <w:numId w:val="66"/>
        </w:numPr>
        <w:tabs>
          <w:tab w:val="left" w:pos="1079"/>
        </w:tabs>
        <w:spacing w:before="121"/>
        <w:ind w:left="1079" w:right="946" w:hanging="360"/>
        <w:rPr>
          <w:b/>
        </w:rPr>
      </w:pPr>
      <w:r>
        <w:t>There</w:t>
      </w:r>
      <w:r>
        <w:rPr>
          <w:spacing w:val="-4"/>
        </w:rPr>
        <w:t xml:space="preserve"> </w:t>
      </w:r>
      <w:r>
        <w:t>are</w:t>
      </w:r>
      <w:r>
        <w:rPr>
          <w:spacing w:val="-4"/>
        </w:rPr>
        <w:t xml:space="preserve"> </w:t>
      </w:r>
      <w:r>
        <w:t>no</w:t>
      </w:r>
      <w:r>
        <w:rPr>
          <w:spacing w:val="-4"/>
        </w:rPr>
        <w:t xml:space="preserve"> </w:t>
      </w:r>
      <w:r>
        <w:t>significant</w:t>
      </w:r>
      <w:r>
        <w:rPr>
          <w:spacing w:val="-5"/>
        </w:rPr>
        <w:t xml:space="preserve"> </w:t>
      </w:r>
      <w:r>
        <w:t>assumptions</w:t>
      </w:r>
      <w:r>
        <w:rPr>
          <w:spacing w:val="-4"/>
        </w:rPr>
        <w:t xml:space="preserve"> </w:t>
      </w:r>
      <w:r>
        <w:t>or</w:t>
      </w:r>
      <w:r>
        <w:rPr>
          <w:spacing w:val="-4"/>
        </w:rPr>
        <w:t xml:space="preserve"> </w:t>
      </w:r>
      <w:r>
        <w:t>interpretations</w:t>
      </w:r>
      <w:r>
        <w:rPr>
          <w:spacing w:val="-4"/>
        </w:rPr>
        <w:t xml:space="preserve"> </w:t>
      </w:r>
      <w:r>
        <w:t>underlying</w:t>
      </w:r>
      <w:r>
        <w:rPr>
          <w:spacing w:val="-4"/>
        </w:rPr>
        <w:t xml:space="preserve"> </w:t>
      </w:r>
      <w:r>
        <w:t>the</w:t>
      </w:r>
      <w:r>
        <w:rPr>
          <w:spacing w:val="-4"/>
        </w:rPr>
        <w:t xml:space="preserve"> </w:t>
      </w:r>
      <w:r>
        <w:t>measurement</w:t>
      </w:r>
      <w:r>
        <w:rPr>
          <w:spacing w:val="-4"/>
        </w:rPr>
        <w:t xml:space="preserve"> </w:t>
      </w:r>
      <w:r>
        <w:t xml:space="preserve">or presentation of the OI </w:t>
      </w:r>
      <w:r>
        <w:rPr>
          <w:u w:val="single"/>
        </w:rPr>
        <w:t xml:space="preserve">that have not been disclosed to you. </w:t>
      </w:r>
      <w:r>
        <w:rPr>
          <w:b/>
        </w:rPr>
        <w:t>[If there are no assumptions or interpretations, the underlined text should be omitted.]</w:t>
      </w:r>
    </w:p>
    <w:p w14:paraId="0DFDC7D8" w14:textId="77777777" w:rsidR="00046465" w:rsidRDefault="008134EB">
      <w:pPr>
        <w:pStyle w:val="ListParagraph"/>
        <w:numPr>
          <w:ilvl w:val="0"/>
          <w:numId w:val="66"/>
        </w:numPr>
        <w:tabs>
          <w:tab w:val="left" w:pos="719"/>
        </w:tabs>
        <w:spacing w:before="119"/>
        <w:ind w:right="1623"/>
        <w:jc w:val="both"/>
      </w:pPr>
      <w:r>
        <w:t>The</w:t>
      </w:r>
      <w:r>
        <w:rPr>
          <w:spacing w:val="-4"/>
        </w:rPr>
        <w:t xml:space="preserve"> </w:t>
      </w:r>
      <w:r>
        <w:t>methods,</w:t>
      </w:r>
      <w:r>
        <w:rPr>
          <w:spacing w:val="-4"/>
        </w:rPr>
        <w:t xml:space="preserve"> </w:t>
      </w:r>
      <w:r>
        <w:t>data,</w:t>
      </w:r>
      <w:r>
        <w:rPr>
          <w:spacing w:val="-4"/>
        </w:rPr>
        <w:t xml:space="preserve"> </w:t>
      </w:r>
      <w:r>
        <w:t>and</w:t>
      </w:r>
      <w:r>
        <w:rPr>
          <w:spacing w:val="-5"/>
        </w:rPr>
        <w:t xml:space="preserve"> </w:t>
      </w:r>
      <w:r>
        <w:t>significant</w:t>
      </w:r>
      <w:r>
        <w:rPr>
          <w:spacing w:val="-4"/>
        </w:rPr>
        <w:t xml:space="preserve"> </w:t>
      </w:r>
      <w:r>
        <w:t>assumptions</w:t>
      </w:r>
      <w:r>
        <w:rPr>
          <w:spacing w:val="-5"/>
        </w:rPr>
        <w:t xml:space="preserve"> </w:t>
      </w:r>
      <w:r>
        <w:t>that</w:t>
      </w:r>
      <w:r>
        <w:rPr>
          <w:spacing w:val="-4"/>
        </w:rPr>
        <w:t xml:space="preserve"> </w:t>
      </w:r>
      <w:r>
        <w:t>we</w:t>
      </w:r>
      <w:r>
        <w:rPr>
          <w:spacing w:val="-4"/>
        </w:rPr>
        <w:t xml:space="preserve"> </w:t>
      </w:r>
      <w:r>
        <w:t>used</w:t>
      </w:r>
      <w:r>
        <w:rPr>
          <w:spacing w:val="-4"/>
        </w:rPr>
        <w:t xml:space="preserve"> </w:t>
      </w:r>
      <w:r>
        <w:t>in</w:t>
      </w:r>
      <w:r>
        <w:rPr>
          <w:spacing w:val="-4"/>
        </w:rPr>
        <w:t xml:space="preserve"> </w:t>
      </w:r>
      <w:r>
        <w:t>making</w:t>
      </w:r>
      <w:r>
        <w:rPr>
          <w:spacing w:val="-5"/>
        </w:rPr>
        <w:t xml:space="preserve"> </w:t>
      </w:r>
      <w:r>
        <w:t>accounting estimates and their related note disclosures are</w:t>
      </w:r>
      <w:r>
        <w:rPr>
          <w:spacing w:val="-1"/>
        </w:rPr>
        <w:t xml:space="preserve"> </w:t>
      </w:r>
      <w:r>
        <w:t>appropriate</w:t>
      </w:r>
      <w:r>
        <w:rPr>
          <w:spacing w:val="-1"/>
        </w:rPr>
        <w:t xml:space="preserve"> </w:t>
      </w:r>
      <w:r>
        <w:t>to achieve recognition, measurement, or disclosure that is reasonable in the context of U.S. GAAP.</w:t>
      </w:r>
    </w:p>
    <w:p w14:paraId="0DFDC7D9" w14:textId="77777777" w:rsidR="00046465" w:rsidRDefault="008134EB">
      <w:pPr>
        <w:pStyle w:val="ListParagraph"/>
        <w:numPr>
          <w:ilvl w:val="0"/>
          <w:numId w:val="66"/>
        </w:numPr>
        <w:tabs>
          <w:tab w:val="left" w:pos="719"/>
        </w:tabs>
        <w:spacing w:before="121"/>
        <w:ind w:right="768"/>
        <w:jc w:val="both"/>
      </w:pPr>
      <w:r>
        <w:t>We</w:t>
      </w:r>
      <w:r>
        <w:rPr>
          <w:spacing w:val="-3"/>
        </w:rPr>
        <w:t xml:space="preserve"> </w:t>
      </w:r>
      <w:r>
        <w:t>have</w:t>
      </w:r>
      <w:r>
        <w:rPr>
          <w:spacing w:val="-3"/>
        </w:rPr>
        <w:t xml:space="preserve"> </w:t>
      </w:r>
      <w:r>
        <w:t>provided</w:t>
      </w:r>
      <w:r>
        <w:rPr>
          <w:spacing w:val="-3"/>
        </w:rPr>
        <w:t xml:space="preserve"> </w:t>
      </w:r>
      <w:r>
        <w:t>you</w:t>
      </w:r>
      <w:r>
        <w:rPr>
          <w:spacing w:val="-4"/>
        </w:rPr>
        <w:t xml:space="preserve"> </w:t>
      </w:r>
      <w:r>
        <w:t>with</w:t>
      </w:r>
      <w:r>
        <w:rPr>
          <w:spacing w:val="-3"/>
        </w:rPr>
        <w:t xml:space="preserve"> </w:t>
      </w:r>
      <w:r>
        <w:t>all</w:t>
      </w:r>
      <w:r>
        <w:rPr>
          <w:spacing w:val="-3"/>
        </w:rPr>
        <w:t xml:space="preserve"> </w:t>
      </w:r>
      <w:r>
        <w:t>relevant</w:t>
      </w:r>
      <w:r>
        <w:rPr>
          <w:spacing w:val="-3"/>
        </w:rPr>
        <w:t xml:space="preserve"> </w:t>
      </w:r>
      <w:r>
        <w:t>information</w:t>
      </w:r>
      <w:r>
        <w:rPr>
          <w:spacing w:val="-3"/>
        </w:rPr>
        <w:t xml:space="preserve"> </w:t>
      </w:r>
      <w:r>
        <w:t>and</w:t>
      </w:r>
      <w:r>
        <w:rPr>
          <w:spacing w:val="-3"/>
        </w:rPr>
        <w:t xml:space="preserve"> </w:t>
      </w:r>
      <w:r>
        <w:t>access,</w:t>
      </w:r>
      <w:r>
        <w:rPr>
          <w:spacing w:val="-3"/>
        </w:rPr>
        <w:t xml:space="preserve"> </w:t>
      </w:r>
      <w:r>
        <w:t>as</w:t>
      </w:r>
      <w:r>
        <w:rPr>
          <w:spacing w:val="-3"/>
        </w:rPr>
        <w:t xml:space="preserve"> </w:t>
      </w:r>
      <w:r>
        <w:t>agreed</w:t>
      </w:r>
      <w:r>
        <w:rPr>
          <w:spacing w:val="-3"/>
        </w:rPr>
        <w:t xml:space="preserve"> </w:t>
      </w:r>
      <w:r>
        <w:t>upon</w:t>
      </w:r>
      <w:r>
        <w:rPr>
          <w:spacing w:val="-3"/>
        </w:rPr>
        <w:t xml:space="preserve"> </w:t>
      </w:r>
      <w:r>
        <w:t>in</w:t>
      </w:r>
      <w:r>
        <w:rPr>
          <w:spacing w:val="-3"/>
        </w:rPr>
        <w:t xml:space="preserve"> </w:t>
      </w:r>
      <w:r>
        <w:t>the</w:t>
      </w:r>
      <w:r>
        <w:rPr>
          <w:spacing w:val="-3"/>
        </w:rPr>
        <w:t xml:space="preserve"> </w:t>
      </w:r>
      <w:r>
        <w:t>terms of the audit engagement letter, including the following:</w:t>
      </w:r>
    </w:p>
    <w:p w14:paraId="0DFDC7DA" w14:textId="77777777" w:rsidR="00046465" w:rsidRDefault="008134EB">
      <w:pPr>
        <w:pStyle w:val="ListParagraph"/>
        <w:numPr>
          <w:ilvl w:val="1"/>
          <w:numId w:val="66"/>
        </w:numPr>
        <w:tabs>
          <w:tab w:val="left" w:pos="1079"/>
        </w:tabs>
        <w:spacing w:before="119"/>
        <w:ind w:left="1079" w:right="1043" w:hanging="360"/>
      </w:pPr>
      <w:r>
        <w:t>access</w:t>
      </w:r>
      <w:r>
        <w:rPr>
          <w:spacing w:val="-4"/>
        </w:rPr>
        <w:t xml:space="preserve"> </w:t>
      </w:r>
      <w:r>
        <w:t>to</w:t>
      </w:r>
      <w:r>
        <w:rPr>
          <w:spacing w:val="-3"/>
        </w:rPr>
        <w:t xml:space="preserve"> </w:t>
      </w:r>
      <w:r>
        <w:t>all</w:t>
      </w:r>
      <w:r>
        <w:rPr>
          <w:spacing w:val="-4"/>
        </w:rPr>
        <w:t xml:space="preserve"> </w:t>
      </w:r>
      <w:r>
        <w:t>information</w:t>
      </w:r>
      <w:r>
        <w:rPr>
          <w:spacing w:val="-3"/>
        </w:rPr>
        <w:t xml:space="preserve"> </w:t>
      </w:r>
      <w:r>
        <w:t>that</w:t>
      </w:r>
      <w:r>
        <w:rPr>
          <w:spacing w:val="-3"/>
        </w:rPr>
        <w:t xml:space="preserve"> </w:t>
      </w:r>
      <w:r>
        <w:t>is</w:t>
      </w:r>
      <w:r>
        <w:rPr>
          <w:spacing w:val="-3"/>
        </w:rPr>
        <w:t xml:space="preserve"> </w:t>
      </w:r>
      <w:r>
        <w:t>relevant</w:t>
      </w:r>
      <w:r>
        <w:rPr>
          <w:spacing w:val="-3"/>
        </w:rPr>
        <w:t xml:space="preserve"> </w:t>
      </w:r>
      <w:r>
        <w:t>to</w:t>
      </w:r>
      <w:r>
        <w:rPr>
          <w:spacing w:val="-3"/>
        </w:rPr>
        <w:t xml:space="preserve"> </w:t>
      </w:r>
      <w:r>
        <w:t>the</w:t>
      </w:r>
      <w:r>
        <w:rPr>
          <w:spacing w:val="-3"/>
        </w:rPr>
        <w:t xml:space="preserve"> </w:t>
      </w:r>
      <w:r>
        <w:t>preparation</w:t>
      </w:r>
      <w:r>
        <w:rPr>
          <w:spacing w:val="-3"/>
        </w:rPr>
        <w:t xml:space="preserve"> </w:t>
      </w:r>
      <w:r>
        <w:t>and</w:t>
      </w:r>
      <w:r>
        <w:rPr>
          <w:spacing w:val="-3"/>
        </w:rPr>
        <w:t xml:space="preserve"> </w:t>
      </w:r>
      <w:r>
        <w:t>fair</w:t>
      </w:r>
      <w:r>
        <w:rPr>
          <w:spacing w:val="-3"/>
        </w:rPr>
        <w:t xml:space="preserve"> </w:t>
      </w:r>
      <w:r>
        <w:t>presentation</w:t>
      </w:r>
      <w:r>
        <w:rPr>
          <w:spacing w:val="-3"/>
        </w:rPr>
        <w:t xml:space="preserve"> </w:t>
      </w:r>
      <w:r>
        <w:t>of</w:t>
      </w:r>
      <w:r>
        <w:rPr>
          <w:spacing w:val="-3"/>
        </w:rPr>
        <w:t xml:space="preserve"> </w:t>
      </w:r>
      <w:r>
        <w:t>the financial statements, such as records, documentation, and other matters;</w:t>
      </w:r>
    </w:p>
    <w:p w14:paraId="0DFDC7DB" w14:textId="77777777" w:rsidR="00046465" w:rsidRDefault="008134EB">
      <w:pPr>
        <w:pStyle w:val="ListParagraph"/>
        <w:numPr>
          <w:ilvl w:val="1"/>
          <w:numId w:val="66"/>
        </w:numPr>
        <w:tabs>
          <w:tab w:val="left" w:pos="1079"/>
        </w:tabs>
        <w:spacing w:before="121"/>
        <w:ind w:left="1079" w:right="1300" w:hanging="360"/>
      </w:pPr>
      <w:r>
        <w:t>additional</w:t>
      </w:r>
      <w:r>
        <w:rPr>
          <w:spacing w:val="-3"/>
        </w:rPr>
        <w:t xml:space="preserve"> </w:t>
      </w:r>
      <w:r>
        <w:t>information</w:t>
      </w:r>
      <w:r>
        <w:rPr>
          <w:spacing w:val="-3"/>
        </w:rPr>
        <w:t xml:space="preserve"> </w:t>
      </w:r>
      <w:r>
        <w:t>that</w:t>
      </w:r>
      <w:r>
        <w:rPr>
          <w:spacing w:val="-3"/>
        </w:rPr>
        <w:t xml:space="preserve"> </w:t>
      </w:r>
      <w:r>
        <w:t>you</w:t>
      </w:r>
      <w:r>
        <w:rPr>
          <w:spacing w:val="-3"/>
        </w:rPr>
        <w:t xml:space="preserve"> </w:t>
      </w:r>
      <w:r>
        <w:t>have</w:t>
      </w:r>
      <w:r>
        <w:rPr>
          <w:spacing w:val="-4"/>
        </w:rPr>
        <w:t xml:space="preserve"> </w:t>
      </w:r>
      <w:r>
        <w:t>requested</w:t>
      </w:r>
      <w:r>
        <w:rPr>
          <w:spacing w:val="-3"/>
        </w:rPr>
        <w:t xml:space="preserve"> </w:t>
      </w:r>
      <w:r>
        <w:t>from</w:t>
      </w:r>
      <w:r>
        <w:rPr>
          <w:spacing w:val="-4"/>
        </w:rPr>
        <w:t xml:space="preserve"> </w:t>
      </w:r>
      <w:r>
        <w:t>us</w:t>
      </w:r>
      <w:r>
        <w:rPr>
          <w:spacing w:val="-3"/>
        </w:rPr>
        <w:t xml:space="preserve"> </w:t>
      </w:r>
      <w:r>
        <w:t>for</w:t>
      </w:r>
      <w:r>
        <w:rPr>
          <w:spacing w:val="-3"/>
        </w:rPr>
        <w:t xml:space="preserve"> </w:t>
      </w:r>
      <w:r>
        <w:t>the</w:t>
      </w:r>
      <w:r>
        <w:rPr>
          <w:spacing w:val="-3"/>
        </w:rPr>
        <w:t xml:space="preserve"> </w:t>
      </w:r>
      <w:r>
        <w:t>purpose</w:t>
      </w:r>
      <w:r>
        <w:rPr>
          <w:spacing w:val="-3"/>
        </w:rPr>
        <w:t xml:space="preserve"> </w:t>
      </w:r>
      <w:r>
        <w:t>of</w:t>
      </w:r>
      <w:r>
        <w:rPr>
          <w:spacing w:val="-4"/>
        </w:rPr>
        <w:t xml:space="preserve"> </w:t>
      </w:r>
      <w:r>
        <w:t>the</w:t>
      </w:r>
      <w:r>
        <w:rPr>
          <w:spacing w:val="-3"/>
        </w:rPr>
        <w:t xml:space="preserve"> </w:t>
      </w:r>
      <w:r>
        <w:t xml:space="preserve">audit, </w:t>
      </w:r>
      <w:r>
        <w:rPr>
          <w:spacing w:val="-2"/>
        </w:rPr>
        <w:t>including</w:t>
      </w:r>
    </w:p>
    <w:p w14:paraId="0DFDC7DC" w14:textId="77777777" w:rsidR="00046465" w:rsidRDefault="008134EB">
      <w:pPr>
        <w:pStyle w:val="ListParagraph"/>
        <w:numPr>
          <w:ilvl w:val="2"/>
          <w:numId w:val="66"/>
        </w:numPr>
        <w:tabs>
          <w:tab w:val="left" w:pos="1619"/>
        </w:tabs>
        <w:ind w:right="748"/>
      </w:pPr>
      <w:r>
        <w:t>minutes</w:t>
      </w:r>
      <w:r>
        <w:rPr>
          <w:spacing w:val="-4"/>
        </w:rPr>
        <w:t xml:space="preserve"> </w:t>
      </w:r>
      <w:r>
        <w:t>of</w:t>
      </w:r>
      <w:r>
        <w:rPr>
          <w:spacing w:val="-4"/>
        </w:rPr>
        <w:t xml:space="preserve"> </w:t>
      </w:r>
      <w:r>
        <w:t>meetings,</w:t>
      </w:r>
      <w:r>
        <w:rPr>
          <w:spacing w:val="-4"/>
        </w:rPr>
        <w:t xml:space="preserve"> </w:t>
      </w:r>
      <w:r>
        <w:t>or</w:t>
      </w:r>
      <w:r>
        <w:rPr>
          <w:spacing w:val="-4"/>
        </w:rPr>
        <w:t xml:space="preserve"> </w:t>
      </w:r>
      <w:r>
        <w:t>summaries</w:t>
      </w:r>
      <w:r>
        <w:rPr>
          <w:spacing w:val="-4"/>
        </w:rPr>
        <w:t xml:space="preserve"> </w:t>
      </w:r>
      <w:r>
        <w:t>of</w:t>
      </w:r>
      <w:r>
        <w:rPr>
          <w:spacing w:val="-4"/>
        </w:rPr>
        <w:t xml:space="preserve"> </w:t>
      </w:r>
      <w:r>
        <w:t>actions</w:t>
      </w:r>
      <w:r>
        <w:rPr>
          <w:spacing w:val="-4"/>
        </w:rPr>
        <w:t xml:space="preserve"> </w:t>
      </w:r>
      <w:r>
        <w:t>of</w:t>
      </w:r>
      <w:r>
        <w:rPr>
          <w:spacing w:val="-4"/>
        </w:rPr>
        <w:t xml:space="preserve"> </w:t>
      </w:r>
      <w:r>
        <w:t>recent</w:t>
      </w:r>
      <w:r>
        <w:rPr>
          <w:spacing w:val="-4"/>
        </w:rPr>
        <w:t xml:space="preserve"> </w:t>
      </w:r>
      <w:r>
        <w:t>meetings</w:t>
      </w:r>
      <w:r>
        <w:rPr>
          <w:spacing w:val="-4"/>
        </w:rPr>
        <w:t xml:space="preserve"> </w:t>
      </w:r>
      <w:r>
        <w:t>for</w:t>
      </w:r>
      <w:r>
        <w:rPr>
          <w:spacing w:val="-4"/>
        </w:rPr>
        <w:t xml:space="preserve"> </w:t>
      </w:r>
      <w:r>
        <w:t>which</w:t>
      </w:r>
      <w:r>
        <w:rPr>
          <w:spacing w:val="-4"/>
        </w:rPr>
        <w:t xml:space="preserve"> </w:t>
      </w:r>
      <w:r>
        <w:t xml:space="preserve">minutes have not been prepared, of the </w:t>
      </w:r>
      <w:r>
        <w:rPr>
          <w:b/>
        </w:rPr>
        <w:t xml:space="preserve">[Board of Directors or other similar bodies of those charged with governance] </w:t>
      </w:r>
      <w:r>
        <w:t>and</w:t>
      </w:r>
    </w:p>
    <w:p w14:paraId="0DFDC7DD" w14:textId="77777777" w:rsidR="00046465" w:rsidRDefault="008134EB">
      <w:pPr>
        <w:pStyle w:val="ListParagraph"/>
        <w:numPr>
          <w:ilvl w:val="2"/>
          <w:numId w:val="66"/>
        </w:numPr>
        <w:tabs>
          <w:tab w:val="left" w:pos="1619"/>
        </w:tabs>
        <w:spacing w:before="119"/>
        <w:ind w:right="1201" w:hanging="519"/>
      </w:pPr>
      <w:r>
        <w:t>any</w:t>
      </w:r>
      <w:r>
        <w:rPr>
          <w:spacing w:val="-4"/>
        </w:rPr>
        <w:t xml:space="preserve"> </w:t>
      </w:r>
      <w:r>
        <w:t>communications</w:t>
      </w:r>
      <w:r>
        <w:rPr>
          <w:spacing w:val="-5"/>
        </w:rPr>
        <w:t xml:space="preserve"> </w:t>
      </w:r>
      <w:r>
        <w:t>from</w:t>
      </w:r>
      <w:r>
        <w:rPr>
          <w:spacing w:val="-5"/>
        </w:rPr>
        <w:t xml:space="preserve"> </w:t>
      </w:r>
      <w:r>
        <w:t>the</w:t>
      </w:r>
      <w:r>
        <w:rPr>
          <w:spacing w:val="-4"/>
        </w:rPr>
        <w:t xml:space="preserve"> </w:t>
      </w:r>
      <w:r>
        <w:t>Office</w:t>
      </w:r>
      <w:r>
        <w:rPr>
          <w:spacing w:val="-4"/>
        </w:rPr>
        <w:t xml:space="preserve"> </w:t>
      </w:r>
      <w:r>
        <w:t>of</w:t>
      </w:r>
      <w:r>
        <w:rPr>
          <w:spacing w:val="-4"/>
        </w:rPr>
        <w:t xml:space="preserve"> </w:t>
      </w:r>
      <w:r>
        <w:t>Management</w:t>
      </w:r>
      <w:r>
        <w:rPr>
          <w:spacing w:val="-4"/>
        </w:rPr>
        <w:t xml:space="preserve"> </w:t>
      </w:r>
      <w:r>
        <w:t>and</w:t>
      </w:r>
      <w:r>
        <w:rPr>
          <w:spacing w:val="-4"/>
        </w:rPr>
        <w:t xml:space="preserve"> </w:t>
      </w:r>
      <w:r>
        <w:t>Budget</w:t>
      </w:r>
      <w:r>
        <w:rPr>
          <w:spacing w:val="-4"/>
        </w:rPr>
        <w:t xml:space="preserve"> </w:t>
      </w:r>
      <w:r>
        <w:t>(OMB)</w:t>
      </w:r>
      <w:r>
        <w:rPr>
          <w:spacing w:val="-4"/>
        </w:rPr>
        <w:t xml:space="preserve"> </w:t>
      </w:r>
      <w:r>
        <w:t>or</w:t>
      </w:r>
      <w:r>
        <w:rPr>
          <w:spacing w:val="-4"/>
        </w:rPr>
        <w:t xml:space="preserve"> </w:t>
      </w:r>
      <w:r>
        <w:t>the Department of the Treasury’s Bureau of the Fiscal Service concerning noncompliance with, or deficiencies in, financial reporting practices;</w:t>
      </w:r>
    </w:p>
    <w:p w14:paraId="0DFDC7DE" w14:textId="77777777" w:rsidR="00046465" w:rsidRDefault="008134EB">
      <w:pPr>
        <w:pStyle w:val="ListParagraph"/>
        <w:numPr>
          <w:ilvl w:val="1"/>
          <w:numId w:val="66"/>
        </w:numPr>
        <w:tabs>
          <w:tab w:val="left" w:pos="1079"/>
        </w:tabs>
        <w:ind w:left="1079" w:right="824" w:hanging="360"/>
      </w:pPr>
      <w:r>
        <w:t>unrestricted</w:t>
      </w:r>
      <w:r>
        <w:rPr>
          <w:spacing w:val="-4"/>
        </w:rPr>
        <w:t xml:space="preserve"> </w:t>
      </w:r>
      <w:r>
        <w:t>access</w:t>
      </w:r>
      <w:r>
        <w:rPr>
          <w:spacing w:val="-4"/>
        </w:rPr>
        <w:t xml:space="preserve"> </w:t>
      </w:r>
      <w:r>
        <w:t>to</w:t>
      </w:r>
      <w:r>
        <w:rPr>
          <w:spacing w:val="-3"/>
        </w:rPr>
        <w:t xml:space="preserve"> </w:t>
      </w:r>
      <w:r>
        <w:t>and</w:t>
      </w:r>
      <w:r>
        <w:rPr>
          <w:spacing w:val="-3"/>
        </w:rPr>
        <w:t xml:space="preserve"> </w:t>
      </w:r>
      <w:r>
        <w:t>full</w:t>
      </w:r>
      <w:r>
        <w:rPr>
          <w:spacing w:val="-3"/>
        </w:rPr>
        <w:t xml:space="preserve"> </w:t>
      </w:r>
      <w:r>
        <w:t>cooperation</w:t>
      </w:r>
      <w:r>
        <w:rPr>
          <w:spacing w:val="-3"/>
        </w:rPr>
        <w:t xml:space="preserve"> </w:t>
      </w:r>
      <w:r>
        <w:t>of</w:t>
      </w:r>
      <w:r>
        <w:rPr>
          <w:spacing w:val="-3"/>
        </w:rPr>
        <w:t xml:space="preserve"> </w:t>
      </w:r>
      <w:r>
        <w:t>personnel</w:t>
      </w:r>
      <w:r>
        <w:rPr>
          <w:spacing w:val="-3"/>
        </w:rPr>
        <w:t xml:space="preserve"> </w:t>
      </w:r>
      <w:r>
        <w:t>within</w:t>
      </w:r>
      <w:r>
        <w:rPr>
          <w:spacing w:val="-3"/>
        </w:rPr>
        <w:t xml:space="preserve"> </w:t>
      </w:r>
      <w:r>
        <w:t>the</w:t>
      </w:r>
      <w:r>
        <w:rPr>
          <w:spacing w:val="-3"/>
        </w:rPr>
        <w:t xml:space="preserve"> </w:t>
      </w:r>
      <w:r>
        <w:t>entity</w:t>
      </w:r>
      <w:r>
        <w:rPr>
          <w:spacing w:val="-3"/>
        </w:rPr>
        <w:t xml:space="preserve"> </w:t>
      </w:r>
      <w:r>
        <w:t>from</w:t>
      </w:r>
      <w:r>
        <w:rPr>
          <w:spacing w:val="-4"/>
        </w:rPr>
        <w:t xml:space="preserve"> </w:t>
      </w:r>
      <w:r>
        <w:t>whom</w:t>
      </w:r>
      <w:r>
        <w:rPr>
          <w:spacing w:val="-4"/>
        </w:rPr>
        <w:t xml:space="preserve"> </w:t>
      </w:r>
      <w:r>
        <w:t>you determined it necessary to obtain audit evidence; and</w:t>
      </w:r>
    </w:p>
    <w:p w14:paraId="0DFDC7DF" w14:textId="77777777" w:rsidR="00046465" w:rsidRDefault="008134EB">
      <w:pPr>
        <w:pStyle w:val="ListParagraph"/>
        <w:numPr>
          <w:ilvl w:val="1"/>
          <w:numId w:val="66"/>
        </w:numPr>
        <w:tabs>
          <w:tab w:val="left" w:pos="1078"/>
        </w:tabs>
        <w:ind w:left="1078" w:hanging="359"/>
      </w:pPr>
      <w:r>
        <w:t>all</w:t>
      </w:r>
      <w:r>
        <w:rPr>
          <w:spacing w:val="-7"/>
        </w:rPr>
        <w:t xml:space="preserve"> </w:t>
      </w:r>
      <w:r>
        <w:t>reports</w:t>
      </w:r>
      <w:r>
        <w:rPr>
          <w:spacing w:val="-7"/>
        </w:rPr>
        <w:t xml:space="preserve"> </w:t>
      </w:r>
      <w:r>
        <w:t>obtained</w:t>
      </w:r>
      <w:r>
        <w:rPr>
          <w:spacing w:val="-7"/>
        </w:rPr>
        <w:t xml:space="preserve"> </w:t>
      </w:r>
      <w:r>
        <w:t>from</w:t>
      </w:r>
      <w:r>
        <w:rPr>
          <w:spacing w:val="-7"/>
        </w:rPr>
        <w:t xml:space="preserve"> </w:t>
      </w:r>
      <w:r>
        <w:rPr>
          <w:b/>
        </w:rPr>
        <w:t>[Entity’s]</w:t>
      </w:r>
      <w:r>
        <w:rPr>
          <w:b/>
          <w:spacing w:val="-7"/>
        </w:rPr>
        <w:t xml:space="preserve"> </w:t>
      </w:r>
      <w:r>
        <w:t>service</w:t>
      </w:r>
      <w:r>
        <w:rPr>
          <w:spacing w:val="-7"/>
        </w:rPr>
        <w:t xml:space="preserve"> </w:t>
      </w:r>
      <w:r>
        <w:rPr>
          <w:spacing w:val="-2"/>
        </w:rPr>
        <w:t>organizations.</w:t>
      </w:r>
    </w:p>
    <w:p w14:paraId="0DFDC7E0" w14:textId="77777777" w:rsidR="00046465" w:rsidRDefault="008134EB">
      <w:pPr>
        <w:pStyle w:val="ListParagraph"/>
        <w:numPr>
          <w:ilvl w:val="0"/>
          <w:numId w:val="66"/>
        </w:numPr>
        <w:tabs>
          <w:tab w:val="left" w:pos="718"/>
        </w:tabs>
        <w:ind w:left="718" w:hanging="359"/>
      </w:pPr>
      <w:r>
        <w:t>Except</w:t>
      </w:r>
      <w:r>
        <w:rPr>
          <w:spacing w:val="-5"/>
        </w:rPr>
        <w:t xml:space="preserve"> </w:t>
      </w:r>
      <w:r>
        <w:t>as</w:t>
      </w:r>
      <w:r>
        <w:rPr>
          <w:spacing w:val="-5"/>
        </w:rPr>
        <w:t xml:space="preserve"> </w:t>
      </w:r>
      <w:r>
        <w:t>disclosed</w:t>
      </w:r>
      <w:r>
        <w:rPr>
          <w:spacing w:val="-6"/>
        </w:rPr>
        <w:t xml:space="preserve"> </w:t>
      </w:r>
      <w:r>
        <w:t>to</w:t>
      </w:r>
      <w:r>
        <w:rPr>
          <w:spacing w:val="-5"/>
        </w:rPr>
        <w:t xml:space="preserve"> </w:t>
      </w:r>
      <w:r>
        <w:t>you</w:t>
      </w:r>
      <w:r>
        <w:rPr>
          <w:spacing w:val="-5"/>
        </w:rPr>
        <w:t xml:space="preserve"> </w:t>
      </w:r>
      <w:r>
        <w:t>in</w:t>
      </w:r>
      <w:r>
        <w:rPr>
          <w:spacing w:val="-4"/>
        </w:rPr>
        <w:t xml:space="preserve"> </w:t>
      </w:r>
      <w:r>
        <w:t>writing,</w:t>
      </w:r>
      <w:r>
        <w:rPr>
          <w:spacing w:val="-5"/>
        </w:rPr>
        <w:t xml:space="preserve"> </w:t>
      </w:r>
      <w:r>
        <w:t>there</w:t>
      </w:r>
      <w:r>
        <w:rPr>
          <w:spacing w:val="-5"/>
        </w:rPr>
        <w:t xml:space="preserve"> </w:t>
      </w:r>
      <w:r>
        <w:t>have</w:t>
      </w:r>
      <w:r>
        <w:rPr>
          <w:spacing w:val="-6"/>
        </w:rPr>
        <w:t xml:space="preserve"> </w:t>
      </w:r>
      <w:r>
        <w:t>been</w:t>
      </w:r>
      <w:r>
        <w:rPr>
          <w:spacing w:val="-5"/>
        </w:rPr>
        <w:t xml:space="preserve"> </w:t>
      </w:r>
      <w:r>
        <w:t>none</w:t>
      </w:r>
      <w:r>
        <w:rPr>
          <w:spacing w:val="-5"/>
        </w:rPr>
        <w:t xml:space="preserve"> </w:t>
      </w:r>
      <w:r>
        <w:t>of</w:t>
      </w:r>
      <w:r>
        <w:rPr>
          <w:spacing w:val="-4"/>
        </w:rPr>
        <w:t xml:space="preserve"> </w:t>
      </w:r>
      <w:r>
        <w:t>the</w:t>
      </w:r>
      <w:r>
        <w:rPr>
          <w:spacing w:val="-5"/>
        </w:rPr>
        <w:t xml:space="preserve"> </w:t>
      </w:r>
      <w:r>
        <w:rPr>
          <w:spacing w:val="-2"/>
        </w:rPr>
        <w:t>following:</w:t>
      </w:r>
    </w:p>
    <w:p w14:paraId="0DFDC7E1" w14:textId="77777777" w:rsidR="00046465" w:rsidRDefault="00046465">
      <w:pPr>
        <w:pStyle w:val="ListParagraph"/>
        <w:sectPr w:rsidR="00046465">
          <w:pgSz w:w="12240" w:h="15840"/>
          <w:pgMar w:top="1340" w:right="720" w:bottom="940" w:left="1080" w:header="721" w:footer="757" w:gutter="0"/>
          <w:cols w:space="720"/>
        </w:sectPr>
      </w:pPr>
    </w:p>
    <w:p w14:paraId="0DFDC7E2" w14:textId="77777777" w:rsidR="00046465" w:rsidRDefault="008134EB">
      <w:pPr>
        <w:pStyle w:val="ListParagraph"/>
        <w:numPr>
          <w:ilvl w:val="1"/>
          <w:numId w:val="66"/>
        </w:numPr>
        <w:tabs>
          <w:tab w:val="left" w:pos="1078"/>
          <w:tab w:val="left" w:pos="1080"/>
        </w:tabs>
        <w:spacing w:before="121"/>
        <w:ind w:right="1166"/>
      </w:pPr>
      <w:r>
        <w:lastRenderedPageBreak/>
        <w:t xml:space="preserve">Circumstances that have resulted in communications from </w:t>
      </w:r>
      <w:r>
        <w:rPr>
          <w:b/>
        </w:rPr>
        <w:t xml:space="preserve">[Entity’s] </w:t>
      </w:r>
      <w:r>
        <w:t>legal counsel reporting</w:t>
      </w:r>
      <w:r>
        <w:rPr>
          <w:spacing w:val="-3"/>
        </w:rPr>
        <w:t xml:space="preserve"> </w:t>
      </w:r>
      <w:r>
        <w:t>evidence</w:t>
      </w:r>
      <w:r>
        <w:rPr>
          <w:spacing w:val="-3"/>
        </w:rPr>
        <w:t xml:space="preserve"> </w:t>
      </w:r>
      <w:r>
        <w:t>of</w:t>
      </w:r>
      <w:r>
        <w:rPr>
          <w:spacing w:val="-3"/>
        </w:rPr>
        <w:t xml:space="preserve"> </w:t>
      </w:r>
      <w:r>
        <w:t>a</w:t>
      </w:r>
      <w:r>
        <w:rPr>
          <w:spacing w:val="-4"/>
        </w:rPr>
        <w:t xml:space="preserve"> </w:t>
      </w:r>
      <w:r>
        <w:t>material</w:t>
      </w:r>
      <w:r>
        <w:rPr>
          <w:spacing w:val="-3"/>
        </w:rPr>
        <w:t xml:space="preserve"> </w:t>
      </w:r>
      <w:r>
        <w:t>violation</w:t>
      </w:r>
      <w:r>
        <w:rPr>
          <w:spacing w:val="-3"/>
        </w:rPr>
        <w:t xml:space="preserve"> </w:t>
      </w:r>
      <w:r>
        <w:t>of</w:t>
      </w:r>
      <w:r>
        <w:rPr>
          <w:spacing w:val="-3"/>
        </w:rPr>
        <w:t xml:space="preserve"> </w:t>
      </w:r>
      <w:r>
        <w:t>law</w:t>
      </w:r>
      <w:r>
        <w:rPr>
          <w:spacing w:val="-5"/>
        </w:rPr>
        <w:t xml:space="preserve"> </w:t>
      </w:r>
      <w:r>
        <w:t>or</w:t>
      </w:r>
      <w:r>
        <w:rPr>
          <w:spacing w:val="-3"/>
        </w:rPr>
        <w:t xml:space="preserve"> </w:t>
      </w:r>
      <w:r>
        <w:t>breach</w:t>
      </w:r>
      <w:r>
        <w:rPr>
          <w:spacing w:val="-3"/>
        </w:rPr>
        <w:t xml:space="preserve"> </w:t>
      </w:r>
      <w:r>
        <w:t>of</w:t>
      </w:r>
      <w:r>
        <w:rPr>
          <w:spacing w:val="-4"/>
        </w:rPr>
        <w:t xml:space="preserve"> </w:t>
      </w:r>
      <w:r>
        <w:t>fiduciary</w:t>
      </w:r>
      <w:r>
        <w:rPr>
          <w:spacing w:val="-4"/>
        </w:rPr>
        <w:t xml:space="preserve"> </w:t>
      </w:r>
      <w:r>
        <w:t>duty,</w:t>
      </w:r>
      <w:r>
        <w:rPr>
          <w:spacing w:val="-3"/>
        </w:rPr>
        <w:t xml:space="preserve"> </w:t>
      </w:r>
      <w:r>
        <w:t>or</w:t>
      </w:r>
      <w:r>
        <w:rPr>
          <w:spacing w:val="-3"/>
        </w:rPr>
        <w:t xml:space="preserve"> </w:t>
      </w:r>
      <w:r>
        <w:t xml:space="preserve">similar violations by </w:t>
      </w:r>
      <w:r>
        <w:rPr>
          <w:b/>
        </w:rPr>
        <w:t xml:space="preserve">[Entity] </w:t>
      </w:r>
      <w:r>
        <w:t>or any agent thereof.</w:t>
      </w:r>
    </w:p>
    <w:p w14:paraId="0DFDC7E3" w14:textId="77777777" w:rsidR="00046465" w:rsidRDefault="008134EB">
      <w:pPr>
        <w:pStyle w:val="ListParagraph"/>
        <w:numPr>
          <w:ilvl w:val="1"/>
          <w:numId w:val="66"/>
        </w:numPr>
        <w:tabs>
          <w:tab w:val="left" w:pos="1080"/>
        </w:tabs>
        <w:spacing w:before="119"/>
        <w:ind w:right="897" w:hanging="360"/>
      </w:pPr>
      <w:r>
        <w:t>Communications</w:t>
      </w:r>
      <w:r>
        <w:rPr>
          <w:spacing w:val="-4"/>
        </w:rPr>
        <w:t xml:space="preserve"> </w:t>
      </w:r>
      <w:r>
        <w:t>from</w:t>
      </w:r>
      <w:r>
        <w:rPr>
          <w:spacing w:val="-5"/>
        </w:rPr>
        <w:t xml:space="preserve"> </w:t>
      </w:r>
      <w:r>
        <w:t>regulatory</w:t>
      </w:r>
      <w:r>
        <w:rPr>
          <w:spacing w:val="-4"/>
        </w:rPr>
        <w:t xml:space="preserve"> </w:t>
      </w:r>
      <w:r>
        <w:t>or</w:t>
      </w:r>
      <w:r>
        <w:rPr>
          <w:spacing w:val="-4"/>
        </w:rPr>
        <w:t xml:space="preserve"> </w:t>
      </w:r>
      <w:r>
        <w:t>oversight</w:t>
      </w:r>
      <w:r>
        <w:rPr>
          <w:spacing w:val="-4"/>
        </w:rPr>
        <w:t xml:space="preserve"> </w:t>
      </w:r>
      <w:r>
        <w:t>agencies</w:t>
      </w:r>
      <w:r>
        <w:rPr>
          <w:spacing w:val="-4"/>
        </w:rPr>
        <w:t xml:space="preserve"> </w:t>
      </w:r>
      <w:r>
        <w:t>(such</w:t>
      </w:r>
      <w:r>
        <w:rPr>
          <w:spacing w:val="-5"/>
        </w:rPr>
        <w:t xml:space="preserve"> </w:t>
      </w:r>
      <w:r>
        <w:t>as</w:t>
      </w:r>
      <w:r>
        <w:rPr>
          <w:spacing w:val="-4"/>
        </w:rPr>
        <w:t xml:space="preserve"> </w:t>
      </w:r>
      <w:r>
        <w:t>OMB</w:t>
      </w:r>
      <w:r>
        <w:rPr>
          <w:spacing w:val="-4"/>
        </w:rPr>
        <w:t xml:space="preserve"> </w:t>
      </w:r>
      <w:r>
        <w:t>and</w:t>
      </w:r>
      <w:r>
        <w:rPr>
          <w:spacing w:val="-3"/>
        </w:rPr>
        <w:t xml:space="preserve"> </w:t>
      </w:r>
      <w:r>
        <w:t>GAO),</w:t>
      </w:r>
      <w:r>
        <w:rPr>
          <w:spacing w:val="-4"/>
        </w:rPr>
        <w:t xml:space="preserve"> </w:t>
      </w:r>
      <w:r>
        <w:t>other government entities or agencies, governmental representatives, employees, or others concerning investigations or allegations of noncompliance with laws or regulations, deficiencies in financial reporting practices, or other matters that could have a material adverse effect on the financial statements, RSI, and OI.</w:t>
      </w:r>
    </w:p>
    <w:p w14:paraId="0DFDC7E4" w14:textId="77777777" w:rsidR="00046465" w:rsidRDefault="008134EB">
      <w:pPr>
        <w:pStyle w:val="ListParagraph"/>
        <w:numPr>
          <w:ilvl w:val="0"/>
          <w:numId w:val="66"/>
        </w:numPr>
        <w:tabs>
          <w:tab w:val="left" w:pos="719"/>
        </w:tabs>
        <w:ind w:right="1381"/>
      </w:pPr>
      <w:r>
        <w:t>All</w:t>
      </w:r>
      <w:r>
        <w:rPr>
          <w:spacing w:val="-4"/>
        </w:rPr>
        <w:t xml:space="preserve"> </w:t>
      </w:r>
      <w:r>
        <w:t>transactions</w:t>
      </w:r>
      <w:r>
        <w:rPr>
          <w:spacing w:val="-4"/>
        </w:rPr>
        <w:t xml:space="preserve"> </w:t>
      </w:r>
      <w:r>
        <w:t>have</w:t>
      </w:r>
      <w:r>
        <w:rPr>
          <w:spacing w:val="-4"/>
        </w:rPr>
        <w:t xml:space="preserve"> </w:t>
      </w:r>
      <w:r>
        <w:t>been</w:t>
      </w:r>
      <w:r>
        <w:rPr>
          <w:spacing w:val="-4"/>
        </w:rPr>
        <w:t xml:space="preserve"> </w:t>
      </w:r>
      <w:r>
        <w:t>recorded</w:t>
      </w:r>
      <w:r>
        <w:rPr>
          <w:spacing w:val="-4"/>
        </w:rPr>
        <w:t xml:space="preserve"> </w:t>
      </w:r>
      <w:r>
        <w:t>in</w:t>
      </w:r>
      <w:r>
        <w:rPr>
          <w:spacing w:val="-4"/>
        </w:rPr>
        <w:t xml:space="preserve"> </w:t>
      </w:r>
      <w:r>
        <w:t>the</w:t>
      </w:r>
      <w:r>
        <w:rPr>
          <w:spacing w:val="-4"/>
        </w:rPr>
        <w:t xml:space="preserve"> </w:t>
      </w:r>
      <w:r>
        <w:t>accounting</w:t>
      </w:r>
      <w:r>
        <w:rPr>
          <w:spacing w:val="-4"/>
        </w:rPr>
        <w:t xml:space="preserve"> </w:t>
      </w:r>
      <w:r>
        <w:t>records</w:t>
      </w:r>
      <w:r>
        <w:rPr>
          <w:spacing w:val="-4"/>
        </w:rPr>
        <w:t xml:space="preserve"> </w:t>
      </w:r>
      <w:r>
        <w:t>and</w:t>
      </w:r>
      <w:r>
        <w:rPr>
          <w:spacing w:val="-4"/>
        </w:rPr>
        <w:t xml:space="preserve"> </w:t>
      </w:r>
      <w:r>
        <w:t>are</w:t>
      </w:r>
      <w:r>
        <w:rPr>
          <w:spacing w:val="-4"/>
        </w:rPr>
        <w:t xml:space="preserve"> </w:t>
      </w:r>
      <w:r>
        <w:t>reflected</w:t>
      </w:r>
      <w:r>
        <w:rPr>
          <w:spacing w:val="-4"/>
        </w:rPr>
        <w:t xml:space="preserve"> </w:t>
      </w:r>
      <w:r>
        <w:t>in</w:t>
      </w:r>
      <w:r>
        <w:rPr>
          <w:spacing w:val="-4"/>
        </w:rPr>
        <w:t xml:space="preserve"> </w:t>
      </w:r>
      <w:r>
        <w:t>the financial statements.</w:t>
      </w:r>
    </w:p>
    <w:p w14:paraId="0DFDC7E5" w14:textId="77777777" w:rsidR="00046465" w:rsidRDefault="008134EB">
      <w:pPr>
        <w:pStyle w:val="ListParagraph"/>
        <w:numPr>
          <w:ilvl w:val="0"/>
          <w:numId w:val="66"/>
        </w:numPr>
        <w:tabs>
          <w:tab w:val="left" w:pos="719"/>
        </w:tabs>
        <w:spacing w:before="121"/>
        <w:ind w:right="732"/>
      </w:pPr>
      <w:r>
        <w:t>There are no uncorrected misstatements in the financial statements, as we have corrected the financial statements for any misstatements you have identified during the audit and communicated</w:t>
      </w:r>
      <w:r>
        <w:rPr>
          <w:spacing w:val="-4"/>
        </w:rPr>
        <w:t xml:space="preserve"> </w:t>
      </w:r>
      <w:r>
        <w:t>to</w:t>
      </w:r>
      <w:r>
        <w:rPr>
          <w:spacing w:val="-4"/>
        </w:rPr>
        <w:t xml:space="preserve"> </w:t>
      </w:r>
      <w:r>
        <w:t>us.</w:t>
      </w:r>
      <w:r>
        <w:rPr>
          <w:spacing w:val="-4"/>
        </w:rPr>
        <w:t xml:space="preserve"> </w:t>
      </w:r>
      <w:r>
        <w:rPr>
          <w:b/>
        </w:rPr>
        <w:t>OR</w:t>
      </w:r>
      <w:r>
        <w:rPr>
          <w:b/>
          <w:spacing w:val="-4"/>
        </w:rPr>
        <w:t xml:space="preserve"> </w:t>
      </w:r>
      <w:r>
        <w:t>The</w:t>
      </w:r>
      <w:r>
        <w:rPr>
          <w:spacing w:val="-4"/>
        </w:rPr>
        <w:t xml:space="preserve"> </w:t>
      </w:r>
      <w:r>
        <w:t>effects</w:t>
      </w:r>
      <w:r>
        <w:rPr>
          <w:spacing w:val="-4"/>
        </w:rPr>
        <w:t xml:space="preserve"> </w:t>
      </w:r>
      <w:r>
        <w:t>of</w:t>
      </w:r>
      <w:r>
        <w:rPr>
          <w:spacing w:val="-4"/>
        </w:rPr>
        <w:t xml:space="preserve"> </w:t>
      </w:r>
      <w:r>
        <w:t>uncorrected</w:t>
      </w:r>
      <w:r>
        <w:rPr>
          <w:spacing w:val="-4"/>
        </w:rPr>
        <w:t xml:space="preserve"> </w:t>
      </w:r>
      <w:r>
        <w:t>misstatements</w:t>
      </w:r>
      <w:r>
        <w:rPr>
          <w:spacing w:val="-4"/>
        </w:rPr>
        <w:t xml:space="preserve"> </w:t>
      </w:r>
      <w:r>
        <w:t>in</w:t>
      </w:r>
      <w:r>
        <w:rPr>
          <w:spacing w:val="-4"/>
        </w:rPr>
        <w:t xml:space="preserve"> </w:t>
      </w:r>
      <w:r>
        <w:t>the</w:t>
      </w:r>
      <w:r>
        <w:rPr>
          <w:spacing w:val="-4"/>
        </w:rPr>
        <w:t xml:space="preserve"> </w:t>
      </w:r>
      <w:r>
        <w:t>attached</w:t>
      </w:r>
      <w:r>
        <w:rPr>
          <w:spacing w:val="-4"/>
        </w:rPr>
        <w:t xml:space="preserve"> </w:t>
      </w:r>
      <w:r>
        <w:t>summary are immaterial, both individually and in the aggregate, to the financial statements as a</w:t>
      </w:r>
      <w:r>
        <w:rPr>
          <w:spacing w:val="40"/>
        </w:rPr>
        <w:t xml:space="preserve"> </w:t>
      </w:r>
      <w:r>
        <w:t>whole. (Note: As discussed in AU-C 580.A12, if management believes that certain of the identified items are not misstatements, management’s belief may be acknowledged by adding to the representation, for example, “We believe that items XX and XX do not constitute misstatements because (description of reason).”)</w:t>
      </w:r>
    </w:p>
    <w:p w14:paraId="0DFDC7E6" w14:textId="77777777" w:rsidR="00046465" w:rsidRDefault="008134EB">
      <w:pPr>
        <w:pStyle w:val="ListParagraph"/>
        <w:numPr>
          <w:ilvl w:val="0"/>
          <w:numId w:val="66"/>
        </w:numPr>
        <w:tabs>
          <w:tab w:val="left" w:pos="719"/>
        </w:tabs>
        <w:spacing w:before="119"/>
        <w:ind w:right="1060"/>
      </w:pPr>
      <w:r>
        <w:rPr>
          <w:b/>
        </w:rPr>
        <w:t>[Entity]</w:t>
      </w:r>
      <w:r>
        <w:rPr>
          <w:b/>
          <w:spacing w:val="-5"/>
        </w:rPr>
        <w:t xml:space="preserve"> </w:t>
      </w:r>
      <w:r>
        <w:t>has</w:t>
      </w:r>
      <w:r>
        <w:rPr>
          <w:spacing w:val="-4"/>
        </w:rPr>
        <w:t xml:space="preserve"> </w:t>
      </w:r>
      <w:r>
        <w:t>satisfactory</w:t>
      </w:r>
      <w:r>
        <w:rPr>
          <w:spacing w:val="-5"/>
        </w:rPr>
        <w:t xml:space="preserve"> </w:t>
      </w:r>
      <w:r>
        <w:t>title</w:t>
      </w:r>
      <w:r>
        <w:rPr>
          <w:spacing w:val="-4"/>
        </w:rPr>
        <w:t xml:space="preserve"> </w:t>
      </w:r>
      <w:r>
        <w:t>to</w:t>
      </w:r>
      <w:r>
        <w:rPr>
          <w:spacing w:val="-4"/>
        </w:rPr>
        <w:t xml:space="preserve"> </w:t>
      </w:r>
      <w:r>
        <w:t>all</w:t>
      </w:r>
      <w:r>
        <w:rPr>
          <w:spacing w:val="-5"/>
        </w:rPr>
        <w:t xml:space="preserve"> </w:t>
      </w:r>
      <w:r>
        <w:t>owned</w:t>
      </w:r>
      <w:r>
        <w:rPr>
          <w:spacing w:val="-4"/>
        </w:rPr>
        <w:t xml:space="preserve"> </w:t>
      </w:r>
      <w:r>
        <w:t>assets,</w:t>
      </w:r>
      <w:r>
        <w:rPr>
          <w:spacing w:val="-4"/>
        </w:rPr>
        <w:t xml:space="preserve"> </w:t>
      </w:r>
      <w:r>
        <w:t>including</w:t>
      </w:r>
      <w:r>
        <w:rPr>
          <w:spacing w:val="-5"/>
        </w:rPr>
        <w:t xml:space="preserve"> </w:t>
      </w:r>
      <w:r>
        <w:t>stewardship</w:t>
      </w:r>
      <w:r>
        <w:rPr>
          <w:spacing w:val="-4"/>
        </w:rPr>
        <w:t xml:space="preserve"> </w:t>
      </w:r>
      <w:r>
        <w:t>land</w:t>
      </w:r>
      <w:r>
        <w:rPr>
          <w:spacing w:val="-4"/>
        </w:rPr>
        <w:t xml:space="preserve"> </w:t>
      </w:r>
      <w:r>
        <w:t>and</w:t>
      </w:r>
      <w:r>
        <w:rPr>
          <w:spacing w:val="-4"/>
        </w:rPr>
        <w:t xml:space="preserve"> </w:t>
      </w:r>
      <w:r>
        <w:t xml:space="preserve">heritage assets. There are no liens or encumbrances on these assets, and no assets have been pledged. </w:t>
      </w:r>
      <w:r>
        <w:rPr>
          <w:b/>
        </w:rPr>
        <w:t xml:space="preserve">OR [Entity] </w:t>
      </w:r>
      <w:r>
        <w:t xml:space="preserve">has satisfactory title to all owned assets. There are no liens or encumbrances on these assets, and no assets have been pledged. </w:t>
      </w:r>
      <w:r>
        <w:rPr>
          <w:b/>
        </w:rPr>
        <w:t xml:space="preserve">[Entity] </w:t>
      </w:r>
      <w:r>
        <w:t>has no stewardship land or heritage assets.</w:t>
      </w:r>
    </w:p>
    <w:p w14:paraId="0DFDC7E7" w14:textId="77777777" w:rsidR="00046465" w:rsidRDefault="008134EB">
      <w:pPr>
        <w:pStyle w:val="ListParagraph"/>
        <w:numPr>
          <w:ilvl w:val="0"/>
          <w:numId w:val="66"/>
        </w:numPr>
        <w:tabs>
          <w:tab w:val="left" w:pos="719"/>
        </w:tabs>
        <w:spacing w:before="121"/>
        <w:ind w:right="1157"/>
      </w:pPr>
      <w:r>
        <w:t>We</w:t>
      </w:r>
      <w:r>
        <w:rPr>
          <w:spacing w:val="-3"/>
        </w:rPr>
        <w:t xml:space="preserve"> </w:t>
      </w:r>
      <w:r>
        <w:t>have</w:t>
      </w:r>
      <w:r>
        <w:rPr>
          <w:spacing w:val="-3"/>
        </w:rPr>
        <w:t xml:space="preserve"> </w:t>
      </w:r>
      <w:r>
        <w:t>no</w:t>
      </w:r>
      <w:r>
        <w:rPr>
          <w:spacing w:val="-4"/>
        </w:rPr>
        <w:t xml:space="preserve"> </w:t>
      </w:r>
      <w:r>
        <w:t>plans</w:t>
      </w:r>
      <w:r>
        <w:rPr>
          <w:spacing w:val="-3"/>
        </w:rPr>
        <w:t xml:space="preserve"> </w:t>
      </w:r>
      <w:r>
        <w:t>or</w:t>
      </w:r>
      <w:r>
        <w:rPr>
          <w:spacing w:val="-3"/>
        </w:rPr>
        <w:t xml:space="preserve"> </w:t>
      </w:r>
      <w:r>
        <w:t>intentions</w:t>
      </w:r>
      <w:r>
        <w:rPr>
          <w:spacing w:val="-3"/>
        </w:rPr>
        <w:t xml:space="preserve"> </w:t>
      </w:r>
      <w:r>
        <w:t>that</w:t>
      </w:r>
      <w:r>
        <w:rPr>
          <w:spacing w:val="-4"/>
        </w:rPr>
        <w:t xml:space="preserve"> </w:t>
      </w:r>
      <w:r>
        <w:t>may</w:t>
      </w:r>
      <w:r>
        <w:rPr>
          <w:spacing w:val="-3"/>
        </w:rPr>
        <w:t xml:space="preserve"> </w:t>
      </w:r>
      <w:r>
        <w:t>materially</w:t>
      </w:r>
      <w:r>
        <w:rPr>
          <w:spacing w:val="-3"/>
        </w:rPr>
        <w:t xml:space="preserve"> </w:t>
      </w:r>
      <w:r>
        <w:t>affect</w:t>
      </w:r>
      <w:r>
        <w:rPr>
          <w:spacing w:val="-3"/>
        </w:rPr>
        <w:t xml:space="preserve"> </w:t>
      </w:r>
      <w:r>
        <w:t>the</w:t>
      </w:r>
      <w:r>
        <w:rPr>
          <w:spacing w:val="-4"/>
        </w:rPr>
        <w:t xml:space="preserve"> </w:t>
      </w:r>
      <w:r>
        <w:t>recognition,</w:t>
      </w:r>
      <w:r>
        <w:rPr>
          <w:spacing w:val="-4"/>
        </w:rPr>
        <w:t xml:space="preserve"> </w:t>
      </w:r>
      <w:r>
        <w:t>measurement, presentation, disclosure, or classification of assets and liabilities.</w:t>
      </w:r>
    </w:p>
    <w:p w14:paraId="0DFDC7E8" w14:textId="77777777" w:rsidR="00046465" w:rsidRDefault="008134EB">
      <w:pPr>
        <w:pStyle w:val="ListParagraph"/>
        <w:numPr>
          <w:ilvl w:val="0"/>
          <w:numId w:val="66"/>
        </w:numPr>
        <w:tabs>
          <w:tab w:val="left" w:pos="719"/>
        </w:tabs>
        <w:spacing w:before="119"/>
        <w:ind w:right="1000"/>
      </w:pPr>
      <w:r>
        <w:t>We</w:t>
      </w:r>
      <w:r>
        <w:rPr>
          <w:spacing w:val="-3"/>
        </w:rPr>
        <w:t xml:space="preserve"> </w:t>
      </w:r>
      <w:r>
        <w:t>have</w:t>
      </w:r>
      <w:r>
        <w:rPr>
          <w:spacing w:val="-3"/>
        </w:rPr>
        <w:t xml:space="preserve"> </w:t>
      </w:r>
      <w:r>
        <w:t>disclosed</w:t>
      </w:r>
      <w:r>
        <w:rPr>
          <w:spacing w:val="-3"/>
        </w:rPr>
        <w:t xml:space="preserve"> </w:t>
      </w:r>
      <w:r>
        <w:t>to</w:t>
      </w:r>
      <w:r>
        <w:rPr>
          <w:spacing w:val="-4"/>
        </w:rPr>
        <w:t xml:space="preserve"> </w:t>
      </w:r>
      <w:r>
        <w:t>you</w:t>
      </w:r>
      <w:r>
        <w:rPr>
          <w:spacing w:val="-3"/>
        </w:rPr>
        <w:t xml:space="preserve"> </w:t>
      </w:r>
      <w:r>
        <w:t>the</w:t>
      </w:r>
      <w:r>
        <w:rPr>
          <w:spacing w:val="-3"/>
        </w:rPr>
        <w:t xml:space="preserve"> </w:t>
      </w:r>
      <w:r>
        <w:t>identities</w:t>
      </w:r>
      <w:r>
        <w:rPr>
          <w:spacing w:val="-3"/>
        </w:rPr>
        <w:t xml:space="preserve"> </w:t>
      </w:r>
      <w:r>
        <w:t>of</w:t>
      </w:r>
      <w:r>
        <w:rPr>
          <w:spacing w:val="-3"/>
        </w:rPr>
        <w:t xml:space="preserve"> </w:t>
      </w:r>
      <w:r>
        <w:t>all</w:t>
      </w:r>
      <w:r>
        <w:rPr>
          <w:spacing w:val="-3"/>
        </w:rPr>
        <w:t xml:space="preserve"> </w:t>
      </w:r>
      <w:r>
        <w:rPr>
          <w:b/>
        </w:rPr>
        <w:t>[Entity’s]</w:t>
      </w:r>
      <w:r>
        <w:rPr>
          <w:b/>
          <w:spacing w:val="-2"/>
        </w:rPr>
        <w:t xml:space="preserve"> </w:t>
      </w:r>
      <w:r>
        <w:t>disclosure</w:t>
      </w:r>
      <w:r>
        <w:rPr>
          <w:spacing w:val="-3"/>
        </w:rPr>
        <w:t xml:space="preserve"> </w:t>
      </w:r>
      <w:r>
        <w:t>entities,</w:t>
      </w:r>
      <w:r>
        <w:rPr>
          <w:spacing w:val="-3"/>
        </w:rPr>
        <w:t xml:space="preserve"> </w:t>
      </w:r>
      <w:r>
        <w:t>related</w:t>
      </w:r>
      <w:r>
        <w:rPr>
          <w:spacing w:val="-3"/>
        </w:rPr>
        <w:t xml:space="preserve"> </w:t>
      </w:r>
      <w:r>
        <w:t>parties, and</w:t>
      </w:r>
      <w:r>
        <w:rPr>
          <w:spacing w:val="-3"/>
        </w:rPr>
        <w:t xml:space="preserve"> </w:t>
      </w:r>
      <w:r>
        <w:t>public-private</w:t>
      </w:r>
      <w:r>
        <w:rPr>
          <w:spacing w:val="-3"/>
        </w:rPr>
        <w:t xml:space="preserve"> </w:t>
      </w:r>
      <w:r>
        <w:t>partnerships,</w:t>
      </w:r>
      <w:r>
        <w:rPr>
          <w:spacing w:val="-3"/>
        </w:rPr>
        <w:t xml:space="preserve"> </w:t>
      </w:r>
      <w:r>
        <w:t>and</w:t>
      </w:r>
      <w:r>
        <w:rPr>
          <w:spacing w:val="-4"/>
        </w:rPr>
        <w:t xml:space="preserve"> </w:t>
      </w:r>
      <w:r>
        <w:t>all</w:t>
      </w:r>
      <w:r>
        <w:rPr>
          <w:spacing w:val="-3"/>
        </w:rPr>
        <w:t xml:space="preserve"> </w:t>
      </w:r>
      <w:r>
        <w:t>the</w:t>
      </w:r>
      <w:r>
        <w:rPr>
          <w:spacing w:val="-3"/>
        </w:rPr>
        <w:t xml:space="preserve"> </w:t>
      </w:r>
      <w:r>
        <w:t>relationships</w:t>
      </w:r>
      <w:r>
        <w:rPr>
          <w:spacing w:val="-3"/>
        </w:rPr>
        <w:t xml:space="preserve"> </w:t>
      </w:r>
      <w:r>
        <w:t>and</w:t>
      </w:r>
      <w:r>
        <w:rPr>
          <w:spacing w:val="-4"/>
        </w:rPr>
        <w:t xml:space="preserve"> </w:t>
      </w:r>
      <w:r>
        <w:t>transactions</w:t>
      </w:r>
      <w:r>
        <w:rPr>
          <w:spacing w:val="-3"/>
        </w:rPr>
        <w:t xml:space="preserve"> </w:t>
      </w:r>
      <w:r>
        <w:t>related</w:t>
      </w:r>
      <w:r>
        <w:rPr>
          <w:spacing w:val="-3"/>
        </w:rPr>
        <w:t xml:space="preserve"> </w:t>
      </w:r>
      <w:r>
        <w:t>to</w:t>
      </w:r>
      <w:r>
        <w:rPr>
          <w:spacing w:val="-3"/>
        </w:rPr>
        <w:t xml:space="preserve"> </w:t>
      </w:r>
      <w:r>
        <w:t>them.</w:t>
      </w:r>
    </w:p>
    <w:p w14:paraId="0DFDC7E9" w14:textId="77777777" w:rsidR="00046465" w:rsidRDefault="008134EB">
      <w:pPr>
        <w:pStyle w:val="ListParagraph"/>
        <w:numPr>
          <w:ilvl w:val="0"/>
          <w:numId w:val="66"/>
        </w:numPr>
        <w:tabs>
          <w:tab w:val="left" w:pos="719"/>
        </w:tabs>
        <w:spacing w:before="121"/>
        <w:ind w:right="828"/>
      </w:pPr>
      <w:r>
        <w:t>All</w:t>
      </w:r>
      <w:r>
        <w:rPr>
          <w:spacing w:val="-1"/>
        </w:rPr>
        <w:t xml:space="preserve"> </w:t>
      </w:r>
      <w:r>
        <w:t>relationships</w:t>
      </w:r>
      <w:r>
        <w:rPr>
          <w:spacing w:val="-1"/>
        </w:rPr>
        <w:t xml:space="preserve"> </w:t>
      </w:r>
      <w:r>
        <w:t>and</w:t>
      </w:r>
      <w:r>
        <w:rPr>
          <w:spacing w:val="-1"/>
        </w:rPr>
        <w:t xml:space="preserve"> </w:t>
      </w:r>
      <w:r>
        <w:t>transactions</w:t>
      </w:r>
      <w:r>
        <w:rPr>
          <w:spacing w:val="-1"/>
        </w:rPr>
        <w:t xml:space="preserve"> </w:t>
      </w:r>
      <w:r>
        <w:t>with</w:t>
      </w:r>
      <w:r>
        <w:rPr>
          <w:spacing w:val="-1"/>
        </w:rPr>
        <w:t xml:space="preserve"> </w:t>
      </w:r>
      <w:r>
        <w:t>disclosure</w:t>
      </w:r>
      <w:r>
        <w:rPr>
          <w:spacing w:val="-1"/>
        </w:rPr>
        <w:t xml:space="preserve"> </w:t>
      </w:r>
      <w:r>
        <w:t>entities,</w:t>
      </w:r>
      <w:r>
        <w:rPr>
          <w:spacing w:val="-1"/>
        </w:rPr>
        <w:t xml:space="preserve"> </w:t>
      </w:r>
      <w:r>
        <w:t>related</w:t>
      </w:r>
      <w:r>
        <w:rPr>
          <w:spacing w:val="-1"/>
        </w:rPr>
        <w:t xml:space="preserve"> </w:t>
      </w:r>
      <w:r>
        <w:t>parties,</w:t>
      </w:r>
      <w:r>
        <w:rPr>
          <w:spacing w:val="-1"/>
        </w:rPr>
        <w:t xml:space="preserve"> </w:t>
      </w:r>
      <w:r>
        <w:t>and</w:t>
      </w:r>
      <w:r>
        <w:rPr>
          <w:spacing w:val="-1"/>
        </w:rPr>
        <w:t xml:space="preserve"> </w:t>
      </w:r>
      <w:r>
        <w:t>public-private partnerships have been appropriately accounted for and disclosed in the financial statements</w:t>
      </w:r>
      <w:r>
        <w:rPr>
          <w:spacing w:val="-3"/>
        </w:rPr>
        <w:t xml:space="preserve"> </w:t>
      </w:r>
      <w:r>
        <w:t>in</w:t>
      </w:r>
      <w:r>
        <w:rPr>
          <w:spacing w:val="-3"/>
        </w:rPr>
        <w:t xml:space="preserve"> </w:t>
      </w:r>
      <w:r>
        <w:t>accordance</w:t>
      </w:r>
      <w:r>
        <w:rPr>
          <w:spacing w:val="-3"/>
        </w:rPr>
        <w:t xml:space="preserve"> </w:t>
      </w:r>
      <w:r>
        <w:t>with</w:t>
      </w:r>
      <w:r>
        <w:rPr>
          <w:spacing w:val="-3"/>
        </w:rPr>
        <w:t xml:space="preserve"> </w:t>
      </w:r>
      <w:r>
        <w:t>U.S.</w:t>
      </w:r>
      <w:r>
        <w:rPr>
          <w:spacing w:val="-3"/>
        </w:rPr>
        <w:t xml:space="preserve"> </w:t>
      </w:r>
      <w:r>
        <w:t>GAAP</w:t>
      </w:r>
      <w:r>
        <w:rPr>
          <w:spacing w:val="-3"/>
        </w:rPr>
        <w:t xml:space="preserve"> </w:t>
      </w:r>
      <w:r>
        <w:t>and</w:t>
      </w:r>
      <w:r>
        <w:rPr>
          <w:spacing w:val="-3"/>
        </w:rPr>
        <w:t xml:space="preserve"> </w:t>
      </w:r>
      <w:r>
        <w:t>do</w:t>
      </w:r>
      <w:r>
        <w:rPr>
          <w:spacing w:val="-3"/>
        </w:rPr>
        <w:t xml:space="preserve"> </w:t>
      </w:r>
      <w:r>
        <w:t>not</w:t>
      </w:r>
      <w:r>
        <w:rPr>
          <w:spacing w:val="-3"/>
        </w:rPr>
        <w:t xml:space="preserve"> </w:t>
      </w:r>
      <w:r>
        <w:t>prevent</w:t>
      </w:r>
      <w:r>
        <w:rPr>
          <w:spacing w:val="-3"/>
        </w:rPr>
        <w:t xml:space="preserve"> </w:t>
      </w:r>
      <w:r>
        <w:t>the</w:t>
      </w:r>
      <w:r>
        <w:rPr>
          <w:spacing w:val="-3"/>
        </w:rPr>
        <w:t xml:space="preserve"> </w:t>
      </w:r>
      <w:r>
        <w:t>financial</w:t>
      </w:r>
      <w:r>
        <w:rPr>
          <w:spacing w:val="-3"/>
        </w:rPr>
        <w:t xml:space="preserve"> </w:t>
      </w:r>
      <w:r>
        <w:t>statements</w:t>
      </w:r>
      <w:r>
        <w:rPr>
          <w:spacing w:val="-3"/>
        </w:rPr>
        <w:t xml:space="preserve"> </w:t>
      </w:r>
      <w:r>
        <w:t>from achieving fair presentation.</w:t>
      </w:r>
    </w:p>
    <w:p w14:paraId="0DFDC7EA" w14:textId="77777777" w:rsidR="00046465" w:rsidRDefault="008134EB">
      <w:pPr>
        <w:pStyle w:val="ListParagraph"/>
        <w:numPr>
          <w:ilvl w:val="0"/>
          <w:numId w:val="66"/>
        </w:numPr>
        <w:tabs>
          <w:tab w:val="left" w:pos="719"/>
        </w:tabs>
        <w:spacing w:before="119"/>
        <w:ind w:right="1341"/>
        <w:jc w:val="both"/>
      </w:pPr>
      <w:r>
        <w:t xml:space="preserve">Guarantees under which </w:t>
      </w:r>
      <w:r>
        <w:rPr>
          <w:b/>
        </w:rPr>
        <w:t xml:space="preserve">[Entity] </w:t>
      </w:r>
      <w:r>
        <w:t>is contingently liable have been properly reported or disclosed.</w:t>
      </w:r>
      <w:r>
        <w:rPr>
          <w:spacing w:val="-4"/>
        </w:rPr>
        <w:t xml:space="preserve"> </w:t>
      </w:r>
      <w:r>
        <w:rPr>
          <w:b/>
        </w:rPr>
        <w:t>OR</w:t>
      </w:r>
      <w:r>
        <w:rPr>
          <w:b/>
          <w:spacing w:val="-4"/>
        </w:rPr>
        <w:t xml:space="preserve"> </w:t>
      </w:r>
      <w:r>
        <w:t>There</w:t>
      </w:r>
      <w:r>
        <w:rPr>
          <w:spacing w:val="-4"/>
        </w:rPr>
        <w:t xml:space="preserve"> </w:t>
      </w:r>
      <w:r>
        <w:t>are</w:t>
      </w:r>
      <w:r>
        <w:rPr>
          <w:spacing w:val="-4"/>
        </w:rPr>
        <w:t xml:space="preserve"> </w:t>
      </w:r>
      <w:r>
        <w:t>no</w:t>
      </w:r>
      <w:r>
        <w:rPr>
          <w:spacing w:val="-4"/>
        </w:rPr>
        <w:t xml:space="preserve"> </w:t>
      </w:r>
      <w:r>
        <w:t>guarantees</w:t>
      </w:r>
      <w:r>
        <w:rPr>
          <w:spacing w:val="-4"/>
        </w:rPr>
        <w:t xml:space="preserve"> </w:t>
      </w:r>
      <w:r>
        <w:t>under</w:t>
      </w:r>
      <w:r>
        <w:rPr>
          <w:spacing w:val="-4"/>
        </w:rPr>
        <w:t xml:space="preserve"> </w:t>
      </w:r>
      <w:r>
        <w:t>which</w:t>
      </w:r>
      <w:r>
        <w:rPr>
          <w:spacing w:val="-4"/>
        </w:rPr>
        <w:t xml:space="preserve"> </w:t>
      </w:r>
      <w:r>
        <w:rPr>
          <w:b/>
        </w:rPr>
        <w:t>[Entity]</w:t>
      </w:r>
      <w:r>
        <w:rPr>
          <w:b/>
          <w:spacing w:val="-3"/>
        </w:rPr>
        <w:t xml:space="preserve"> </w:t>
      </w:r>
      <w:r>
        <w:t>is</w:t>
      </w:r>
      <w:r>
        <w:rPr>
          <w:spacing w:val="-4"/>
        </w:rPr>
        <w:t xml:space="preserve"> </w:t>
      </w:r>
      <w:r>
        <w:t>contingently</w:t>
      </w:r>
      <w:r>
        <w:rPr>
          <w:spacing w:val="-4"/>
        </w:rPr>
        <w:t xml:space="preserve"> </w:t>
      </w:r>
      <w:r>
        <w:t>liable</w:t>
      </w:r>
      <w:r>
        <w:rPr>
          <w:spacing w:val="-4"/>
        </w:rPr>
        <w:t xml:space="preserve"> </w:t>
      </w:r>
      <w:r>
        <w:t>that require reporting or disclosure in the financial statements.</w:t>
      </w:r>
    </w:p>
    <w:p w14:paraId="0DFDC7EB" w14:textId="77777777" w:rsidR="00046465" w:rsidRDefault="008134EB">
      <w:pPr>
        <w:pStyle w:val="ListParagraph"/>
        <w:numPr>
          <w:ilvl w:val="0"/>
          <w:numId w:val="66"/>
        </w:numPr>
        <w:tabs>
          <w:tab w:val="left" w:pos="719"/>
        </w:tabs>
        <w:spacing w:before="121"/>
        <w:ind w:right="954"/>
      </w:pPr>
      <w:r>
        <w:t>We</w:t>
      </w:r>
      <w:r>
        <w:rPr>
          <w:spacing w:val="-3"/>
        </w:rPr>
        <w:t xml:space="preserve"> </w:t>
      </w:r>
      <w:r>
        <w:t>have</w:t>
      </w:r>
      <w:r>
        <w:rPr>
          <w:spacing w:val="-3"/>
        </w:rPr>
        <w:t xml:space="preserve"> </w:t>
      </w:r>
      <w:r>
        <w:t>disclosed</w:t>
      </w:r>
      <w:r>
        <w:rPr>
          <w:spacing w:val="-3"/>
        </w:rPr>
        <w:t xml:space="preserve"> </w:t>
      </w:r>
      <w:r>
        <w:t>to</w:t>
      </w:r>
      <w:r>
        <w:rPr>
          <w:spacing w:val="-4"/>
        </w:rPr>
        <w:t xml:space="preserve"> </w:t>
      </w:r>
      <w:r>
        <w:t>you</w:t>
      </w:r>
      <w:r>
        <w:rPr>
          <w:spacing w:val="-3"/>
        </w:rPr>
        <w:t xml:space="preserve"> </w:t>
      </w:r>
      <w:r>
        <w:t>all</w:t>
      </w:r>
      <w:r>
        <w:rPr>
          <w:spacing w:val="-3"/>
        </w:rPr>
        <w:t xml:space="preserve"> </w:t>
      </w:r>
      <w:r>
        <w:t>known</w:t>
      </w:r>
      <w:r>
        <w:rPr>
          <w:spacing w:val="-4"/>
        </w:rPr>
        <w:t xml:space="preserve"> </w:t>
      </w:r>
      <w:r>
        <w:t>actual</w:t>
      </w:r>
      <w:r>
        <w:rPr>
          <w:spacing w:val="-3"/>
        </w:rPr>
        <w:t xml:space="preserve"> </w:t>
      </w:r>
      <w:r>
        <w:t>or</w:t>
      </w:r>
      <w:r>
        <w:rPr>
          <w:spacing w:val="-3"/>
        </w:rPr>
        <w:t xml:space="preserve"> </w:t>
      </w:r>
      <w:r>
        <w:t>possible</w:t>
      </w:r>
      <w:r>
        <w:rPr>
          <w:spacing w:val="-4"/>
        </w:rPr>
        <w:t xml:space="preserve"> </w:t>
      </w:r>
      <w:r>
        <w:t>litigation,</w:t>
      </w:r>
      <w:r>
        <w:rPr>
          <w:spacing w:val="-3"/>
        </w:rPr>
        <w:t xml:space="preserve"> </w:t>
      </w:r>
      <w:r>
        <w:t>claims,</w:t>
      </w:r>
      <w:r>
        <w:rPr>
          <w:spacing w:val="-4"/>
        </w:rPr>
        <w:t xml:space="preserve"> </w:t>
      </w:r>
      <w:r>
        <w:t>and</w:t>
      </w:r>
      <w:r>
        <w:rPr>
          <w:spacing w:val="-3"/>
        </w:rPr>
        <w:t xml:space="preserve"> </w:t>
      </w:r>
      <w:r>
        <w:t xml:space="preserve">assessments, including those related to treaties and other international agreements, whose effects should be considered when preparing the financial statements. </w:t>
      </w:r>
      <w:r>
        <w:rPr>
          <w:b/>
        </w:rPr>
        <w:t xml:space="preserve">OR </w:t>
      </w:r>
      <w:r>
        <w:t>We are not aware of any pending or threatened litigation and claims whose effects should be considered when preparing the financial statements.</w:t>
      </w:r>
    </w:p>
    <w:p w14:paraId="0DFDC7EC" w14:textId="77777777" w:rsidR="00046465" w:rsidRDefault="008134EB">
      <w:pPr>
        <w:pStyle w:val="ListParagraph"/>
        <w:numPr>
          <w:ilvl w:val="0"/>
          <w:numId w:val="66"/>
        </w:numPr>
        <w:tabs>
          <w:tab w:val="left" w:pos="719"/>
        </w:tabs>
        <w:ind w:right="976"/>
      </w:pPr>
      <w:r>
        <w:t>The effects of all known actual or possible litigation, claims, and assessments, including those</w:t>
      </w:r>
      <w:r>
        <w:rPr>
          <w:spacing w:val="-4"/>
        </w:rPr>
        <w:t xml:space="preserve"> </w:t>
      </w:r>
      <w:r>
        <w:t>related</w:t>
      </w:r>
      <w:r>
        <w:rPr>
          <w:spacing w:val="-4"/>
        </w:rPr>
        <w:t xml:space="preserve"> </w:t>
      </w:r>
      <w:r>
        <w:t>to</w:t>
      </w:r>
      <w:r>
        <w:rPr>
          <w:spacing w:val="-4"/>
        </w:rPr>
        <w:t xml:space="preserve"> </w:t>
      </w:r>
      <w:r>
        <w:t>treaties</w:t>
      </w:r>
      <w:r>
        <w:rPr>
          <w:spacing w:val="-5"/>
        </w:rPr>
        <w:t xml:space="preserve"> </w:t>
      </w:r>
      <w:r>
        <w:t>and</w:t>
      </w:r>
      <w:r>
        <w:rPr>
          <w:spacing w:val="-4"/>
        </w:rPr>
        <w:t xml:space="preserve"> </w:t>
      </w:r>
      <w:r>
        <w:t>other</w:t>
      </w:r>
      <w:r>
        <w:rPr>
          <w:spacing w:val="-4"/>
        </w:rPr>
        <w:t xml:space="preserve"> </w:t>
      </w:r>
      <w:r>
        <w:t>international</w:t>
      </w:r>
      <w:r>
        <w:rPr>
          <w:spacing w:val="-4"/>
        </w:rPr>
        <w:t xml:space="preserve"> </w:t>
      </w:r>
      <w:r>
        <w:t>agreements,</w:t>
      </w:r>
      <w:r>
        <w:rPr>
          <w:spacing w:val="-4"/>
        </w:rPr>
        <w:t xml:space="preserve"> </w:t>
      </w:r>
      <w:r>
        <w:t>have</w:t>
      </w:r>
      <w:r>
        <w:rPr>
          <w:spacing w:val="-4"/>
        </w:rPr>
        <w:t xml:space="preserve"> </w:t>
      </w:r>
      <w:r>
        <w:t>been</w:t>
      </w:r>
      <w:r>
        <w:rPr>
          <w:spacing w:val="-4"/>
        </w:rPr>
        <w:t xml:space="preserve"> </w:t>
      </w:r>
      <w:r>
        <w:t>accounted</w:t>
      </w:r>
      <w:r>
        <w:rPr>
          <w:spacing w:val="-4"/>
        </w:rPr>
        <w:t xml:space="preserve"> </w:t>
      </w:r>
      <w:r>
        <w:t>for</w:t>
      </w:r>
      <w:r>
        <w:rPr>
          <w:spacing w:val="-5"/>
        </w:rPr>
        <w:t xml:space="preserve"> </w:t>
      </w:r>
      <w:r>
        <w:t>and disclosed in the financial statements in accordance with U.S. GAAP.</w:t>
      </w:r>
    </w:p>
    <w:p w14:paraId="0DFDC7ED" w14:textId="77777777" w:rsidR="00046465" w:rsidRDefault="008134EB">
      <w:pPr>
        <w:pStyle w:val="ListParagraph"/>
        <w:numPr>
          <w:ilvl w:val="0"/>
          <w:numId w:val="66"/>
        </w:numPr>
        <w:tabs>
          <w:tab w:val="left" w:pos="719"/>
        </w:tabs>
        <w:spacing w:before="119"/>
        <w:ind w:right="1147"/>
      </w:pPr>
      <w:r>
        <w:t>All</w:t>
      </w:r>
      <w:r>
        <w:rPr>
          <w:spacing w:val="-3"/>
        </w:rPr>
        <w:t xml:space="preserve"> </w:t>
      </w:r>
      <w:r>
        <w:t>events</w:t>
      </w:r>
      <w:r>
        <w:rPr>
          <w:spacing w:val="-3"/>
        </w:rPr>
        <w:t xml:space="preserve"> </w:t>
      </w:r>
      <w:r>
        <w:t>or</w:t>
      </w:r>
      <w:r>
        <w:rPr>
          <w:spacing w:val="-4"/>
        </w:rPr>
        <w:t xml:space="preserve"> </w:t>
      </w:r>
      <w:r>
        <w:t>transactions</w:t>
      </w:r>
      <w:r>
        <w:rPr>
          <w:spacing w:val="-3"/>
        </w:rPr>
        <w:t xml:space="preserve"> </w:t>
      </w:r>
      <w:r>
        <w:t>subsequent</w:t>
      </w:r>
      <w:r>
        <w:rPr>
          <w:spacing w:val="-3"/>
        </w:rPr>
        <w:t xml:space="preserve"> </w:t>
      </w:r>
      <w:r>
        <w:t>to</w:t>
      </w:r>
      <w:r>
        <w:rPr>
          <w:spacing w:val="-3"/>
        </w:rPr>
        <w:t xml:space="preserve"> </w:t>
      </w:r>
      <w:r>
        <w:t>September</w:t>
      </w:r>
      <w:r>
        <w:rPr>
          <w:spacing w:val="-3"/>
        </w:rPr>
        <w:t xml:space="preserve"> </w:t>
      </w:r>
      <w:r>
        <w:t>30,</w:t>
      </w:r>
      <w:r>
        <w:rPr>
          <w:spacing w:val="-3"/>
        </w:rPr>
        <w:t xml:space="preserve"> </w:t>
      </w:r>
      <w:r>
        <w:t>20X2,</w:t>
      </w:r>
      <w:r>
        <w:rPr>
          <w:spacing w:val="-3"/>
        </w:rPr>
        <w:t xml:space="preserve"> </w:t>
      </w:r>
      <w:r>
        <w:t>and</w:t>
      </w:r>
      <w:r>
        <w:rPr>
          <w:spacing w:val="-3"/>
        </w:rPr>
        <w:t xml:space="preserve"> </w:t>
      </w:r>
      <w:r>
        <w:t>for</w:t>
      </w:r>
      <w:r>
        <w:rPr>
          <w:spacing w:val="-3"/>
        </w:rPr>
        <w:t xml:space="preserve"> </w:t>
      </w:r>
      <w:r>
        <w:t>which</w:t>
      </w:r>
      <w:r>
        <w:rPr>
          <w:spacing w:val="-3"/>
        </w:rPr>
        <w:t xml:space="preserve"> </w:t>
      </w:r>
      <w:r>
        <w:t>U.S.</w:t>
      </w:r>
      <w:r>
        <w:rPr>
          <w:spacing w:val="-3"/>
        </w:rPr>
        <w:t xml:space="preserve"> </w:t>
      </w:r>
      <w:r>
        <w:t xml:space="preserve">GAAP requires adjustment or disclosure have been adjusted or disclosed in the financial </w:t>
      </w:r>
      <w:r>
        <w:rPr>
          <w:spacing w:val="-2"/>
        </w:rPr>
        <w:t>statements.</w:t>
      </w:r>
    </w:p>
    <w:p w14:paraId="0DFDC7EE" w14:textId="77777777" w:rsidR="00046465" w:rsidRDefault="00046465">
      <w:pPr>
        <w:pStyle w:val="ListParagraph"/>
        <w:sectPr w:rsidR="00046465">
          <w:pgSz w:w="12240" w:h="15840"/>
          <w:pgMar w:top="1340" w:right="720" w:bottom="940" w:left="1080" w:header="721" w:footer="757" w:gutter="0"/>
          <w:cols w:space="720"/>
        </w:sectPr>
      </w:pPr>
    </w:p>
    <w:p w14:paraId="0DFDC7EF" w14:textId="77777777" w:rsidR="00046465" w:rsidRDefault="008134EB">
      <w:pPr>
        <w:pStyle w:val="ListParagraph"/>
        <w:numPr>
          <w:ilvl w:val="0"/>
          <w:numId w:val="66"/>
        </w:numPr>
        <w:tabs>
          <w:tab w:val="left" w:pos="719"/>
        </w:tabs>
        <w:spacing w:before="121"/>
        <w:ind w:right="976"/>
      </w:pPr>
      <w:r>
        <w:lastRenderedPageBreak/>
        <w:t>We</w:t>
      </w:r>
      <w:r>
        <w:rPr>
          <w:spacing w:val="-4"/>
        </w:rPr>
        <w:t xml:space="preserve"> </w:t>
      </w:r>
      <w:r>
        <w:t>have</w:t>
      </w:r>
      <w:r>
        <w:rPr>
          <w:spacing w:val="-4"/>
        </w:rPr>
        <w:t xml:space="preserve"> </w:t>
      </w:r>
      <w:r>
        <w:t>properly</w:t>
      </w:r>
      <w:r>
        <w:rPr>
          <w:spacing w:val="-4"/>
        </w:rPr>
        <w:t xml:space="preserve"> </w:t>
      </w:r>
      <w:r>
        <w:t>recorded</w:t>
      </w:r>
      <w:r>
        <w:rPr>
          <w:spacing w:val="-4"/>
        </w:rPr>
        <w:t xml:space="preserve"> </w:t>
      </w:r>
      <w:r>
        <w:t>or</w:t>
      </w:r>
      <w:r>
        <w:rPr>
          <w:spacing w:val="-4"/>
        </w:rPr>
        <w:t xml:space="preserve"> </w:t>
      </w:r>
      <w:r>
        <w:t>disclosed</w:t>
      </w:r>
      <w:r>
        <w:rPr>
          <w:spacing w:val="-4"/>
        </w:rPr>
        <w:t xml:space="preserve"> </w:t>
      </w:r>
      <w:r>
        <w:t>in</w:t>
      </w:r>
      <w:r>
        <w:rPr>
          <w:spacing w:val="-4"/>
        </w:rPr>
        <w:t xml:space="preserve"> </w:t>
      </w:r>
      <w:r>
        <w:t>the</w:t>
      </w:r>
      <w:r>
        <w:rPr>
          <w:spacing w:val="-4"/>
        </w:rPr>
        <w:t xml:space="preserve"> </w:t>
      </w:r>
      <w:r>
        <w:t>financial</w:t>
      </w:r>
      <w:r>
        <w:rPr>
          <w:spacing w:val="-5"/>
        </w:rPr>
        <w:t xml:space="preserve"> </w:t>
      </w:r>
      <w:r>
        <w:t>statements</w:t>
      </w:r>
      <w:r>
        <w:rPr>
          <w:spacing w:val="-4"/>
        </w:rPr>
        <w:t xml:space="preserve"> </w:t>
      </w:r>
      <w:r>
        <w:t>changes</w:t>
      </w:r>
      <w:r>
        <w:rPr>
          <w:spacing w:val="-4"/>
        </w:rPr>
        <w:t xml:space="preserve"> </w:t>
      </w:r>
      <w:r>
        <w:t>in</w:t>
      </w:r>
      <w:r>
        <w:rPr>
          <w:spacing w:val="-4"/>
        </w:rPr>
        <w:t xml:space="preserve"> </w:t>
      </w:r>
      <w:r>
        <w:t>accounting principle that affect the consistency of the financial statements between the periods presented.</w:t>
      </w:r>
      <w:r>
        <w:rPr>
          <w:spacing w:val="-3"/>
        </w:rPr>
        <w:t xml:space="preserve"> </w:t>
      </w:r>
      <w:r>
        <w:rPr>
          <w:b/>
        </w:rPr>
        <w:t>OR</w:t>
      </w:r>
      <w:r>
        <w:rPr>
          <w:b/>
          <w:spacing w:val="-3"/>
        </w:rPr>
        <w:t xml:space="preserve"> </w:t>
      </w:r>
      <w:r>
        <w:t>There</w:t>
      </w:r>
      <w:r>
        <w:rPr>
          <w:spacing w:val="-2"/>
        </w:rPr>
        <w:t xml:space="preserve"> </w:t>
      </w:r>
      <w:r>
        <w:t>are</w:t>
      </w:r>
      <w:r>
        <w:rPr>
          <w:spacing w:val="-2"/>
        </w:rPr>
        <w:t xml:space="preserve"> </w:t>
      </w:r>
      <w:r>
        <w:t>no</w:t>
      </w:r>
      <w:r>
        <w:rPr>
          <w:spacing w:val="-2"/>
        </w:rPr>
        <w:t xml:space="preserve"> </w:t>
      </w:r>
      <w:r>
        <w:t>changes</w:t>
      </w:r>
      <w:r>
        <w:rPr>
          <w:spacing w:val="-2"/>
        </w:rPr>
        <w:t xml:space="preserve"> </w:t>
      </w:r>
      <w:r>
        <w:t>in</w:t>
      </w:r>
      <w:r>
        <w:rPr>
          <w:spacing w:val="-2"/>
        </w:rPr>
        <w:t xml:space="preserve"> </w:t>
      </w:r>
      <w:r>
        <w:t>accounting</w:t>
      </w:r>
      <w:r>
        <w:rPr>
          <w:spacing w:val="-2"/>
        </w:rPr>
        <w:t xml:space="preserve"> </w:t>
      </w:r>
      <w:r>
        <w:t>principle</w:t>
      </w:r>
      <w:r>
        <w:rPr>
          <w:spacing w:val="-3"/>
        </w:rPr>
        <w:t xml:space="preserve"> </w:t>
      </w:r>
      <w:r>
        <w:t>that</w:t>
      </w:r>
      <w:r>
        <w:rPr>
          <w:spacing w:val="-2"/>
        </w:rPr>
        <w:t xml:space="preserve"> </w:t>
      </w:r>
      <w:r>
        <w:t>affect</w:t>
      </w:r>
      <w:r>
        <w:rPr>
          <w:spacing w:val="-2"/>
        </w:rPr>
        <w:t xml:space="preserve"> </w:t>
      </w:r>
      <w:r>
        <w:t>the</w:t>
      </w:r>
      <w:r>
        <w:rPr>
          <w:spacing w:val="-2"/>
        </w:rPr>
        <w:t xml:space="preserve"> </w:t>
      </w:r>
      <w:r>
        <w:t>consistency</w:t>
      </w:r>
      <w:r>
        <w:rPr>
          <w:spacing w:val="-2"/>
        </w:rPr>
        <w:t xml:space="preserve"> </w:t>
      </w:r>
      <w:r>
        <w:t>of the financial statements between the periods presented.</w:t>
      </w:r>
    </w:p>
    <w:p w14:paraId="0DFDC7F0" w14:textId="77777777" w:rsidR="00046465" w:rsidRDefault="008134EB">
      <w:pPr>
        <w:spacing w:before="120"/>
        <w:ind w:left="359"/>
        <w:rPr>
          <w:b/>
        </w:rPr>
      </w:pPr>
      <w:r>
        <w:rPr>
          <w:b/>
          <w:spacing w:val="-2"/>
          <w:u w:val="thick"/>
        </w:rPr>
        <w:t>Intragovernmental</w:t>
      </w:r>
      <w:r>
        <w:rPr>
          <w:b/>
          <w:spacing w:val="12"/>
          <w:u w:val="thick"/>
        </w:rPr>
        <w:t xml:space="preserve"> </w:t>
      </w:r>
      <w:r>
        <w:rPr>
          <w:b/>
          <w:spacing w:val="-2"/>
          <w:u w:val="thick"/>
        </w:rPr>
        <w:t>Activities</w:t>
      </w:r>
    </w:p>
    <w:p w14:paraId="0DFDC7F1" w14:textId="77777777" w:rsidR="00046465" w:rsidRDefault="008134EB">
      <w:pPr>
        <w:pStyle w:val="ListParagraph"/>
        <w:numPr>
          <w:ilvl w:val="0"/>
          <w:numId w:val="66"/>
        </w:numPr>
        <w:tabs>
          <w:tab w:val="left" w:pos="718"/>
          <w:tab w:val="left" w:pos="720"/>
        </w:tabs>
        <w:ind w:left="720" w:right="826" w:hanging="361"/>
      </w:pPr>
      <w:r>
        <w:t>All intra-entity transactions and balances have been appropriately identified and eliminated for</w:t>
      </w:r>
      <w:r>
        <w:rPr>
          <w:spacing w:val="-1"/>
        </w:rPr>
        <w:t xml:space="preserve"> </w:t>
      </w:r>
      <w:r>
        <w:t>financial</w:t>
      </w:r>
      <w:r>
        <w:rPr>
          <w:spacing w:val="-2"/>
        </w:rPr>
        <w:t xml:space="preserve"> </w:t>
      </w:r>
      <w:r>
        <w:t>reporting</w:t>
      </w:r>
      <w:r>
        <w:rPr>
          <w:spacing w:val="-1"/>
        </w:rPr>
        <w:t xml:space="preserve"> </w:t>
      </w:r>
      <w:r>
        <w:t>purposes</w:t>
      </w:r>
      <w:r>
        <w:rPr>
          <w:spacing w:val="-1"/>
        </w:rPr>
        <w:t xml:space="preserve"> </w:t>
      </w:r>
      <w:r>
        <w:rPr>
          <w:b/>
        </w:rPr>
        <w:t>[if</w:t>
      </w:r>
      <w:r>
        <w:rPr>
          <w:b/>
          <w:spacing w:val="-1"/>
        </w:rPr>
        <w:t xml:space="preserve"> </w:t>
      </w:r>
      <w:r>
        <w:rPr>
          <w:b/>
        </w:rPr>
        <w:t>no</w:t>
      </w:r>
      <w:r>
        <w:rPr>
          <w:b/>
          <w:spacing w:val="-1"/>
        </w:rPr>
        <w:t xml:space="preserve"> </w:t>
      </w:r>
      <w:r>
        <w:rPr>
          <w:b/>
        </w:rPr>
        <w:t>intra-entity</w:t>
      </w:r>
      <w:r>
        <w:rPr>
          <w:b/>
          <w:spacing w:val="-1"/>
        </w:rPr>
        <w:t xml:space="preserve"> </w:t>
      </w:r>
      <w:r>
        <w:rPr>
          <w:b/>
        </w:rPr>
        <w:t>transactions</w:t>
      </w:r>
      <w:r>
        <w:rPr>
          <w:b/>
          <w:spacing w:val="-1"/>
        </w:rPr>
        <w:t xml:space="preserve"> </w:t>
      </w:r>
      <w:r>
        <w:rPr>
          <w:b/>
        </w:rPr>
        <w:t>or</w:t>
      </w:r>
      <w:r>
        <w:rPr>
          <w:b/>
          <w:spacing w:val="-2"/>
        </w:rPr>
        <w:t xml:space="preserve"> </w:t>
      </w:r>
      <w:r>
        <w:rPr>
          <w:b/>
        </w:rPr>
        <w:t>balances,</w:t>
      </w:r>
      <w:r>
        <w:rPr>
          <w:b/>
          <w:spacing w:val="-1"/>
        </w:rPr>
        <w:t xml:space="preserve"> </w:t>
      </w:r>
      <w:r>
        <w:rPr>
          <w:b/>
        </w:rPr>
        <w:t>replace</w:t>
      </w:r>
      <w:r>
        <w:rPr>
          <w:b/>
          <w:spacing w:val="-1"/>
        </w:rPr>
        <w:t xml:space="preserve"> </w:t>
      </w:r>
      <w:r>
        <w:rPr>
          <w:b/>
        </w:rPr>
        <w:t>with “There</w:t>
      </w:r>
      <w:r>
        <w:rPr>
          <w:b/>
          <w:spacing w:val="-5"/>
        </w:rPr>
        <w:t xml:space="preserve"> </w:t>
      </w:r>
      <w:r>
        <w:rPr>
          <w:b/>
        </w:rPr>
        <w:t>are</w:t>
      </w:r>
      <w:r>
        <w:rPr>
          <w:b/>
          <w:spacing w:val="-6"/>
        </w:rPr>
        <w:t xml:space="preserve"> </w:t>
      </w:r>
      <w:r>
        <w:rPr>
          <w:b/>
        </w:rPr>
        <w:t>no</w:t>
      </w:r>
      <w:r>
        <w:rPr>
          <w:b/>
          <w:spacing w:val="-5"/>
        </w:rPr>
        <w:t xml:space="preserve"> </w:t>
      </w:r>
      <w:r>
        <w:rPr>
          <w:b/>
        </w:rPr>
        <w:t>intra-entity</w:t>
      </w:r>
      <w:r>
        <w:rPr>
          <w:b/>
          <w:spacing w:val="-5"/>
        </w:rPr>
        <w:t xml:space="preserve"> </w:t>
      </w:r>
      <w:r>
        <w:rPr>
          <w:b/>
        </w:rPr>
        <w:t>transactions</w:t>
      </w:r>
      <w:r>
        <w:rPr>
          <w:b/>
          <w:spacing w:val="-5"/>
        </w:rPr>
        <w:t xml:space="preserve"> </w:t>
      </w:r>
      <w:r>
        <w:rPr>
          <w:b/>
        </w:rPr>
        <w:t>or</w:t>
      </w:r>
      <w:r>
        <w:rPr>
          <w:b/>
          <w:spacing w:val="-6"/>
        </w:rPr>
        <w:t xml:space="preserve"> </w:t>
      </w:r>
      <w:r>
        <w:rPr>
          <w:b/>
        </w:rPr>
        <w:t>balances”]</w:t>
      </w:r>
      <w:r>
        <w:t>.</w:t>
      </w:r>
      <w:r>
        <w:rPr>
          <w:spacing w:val="-5"/>
        </w:rPr>
        <w:t xml:space="preserve"> </w:t>
      </w:r>
      <w:r>
        <w:t>All</w:t>
      </w:r>
      <w:r>
        <w:rPr>
          <w:spacing w:val="-6"/>
        </w:rPr>
        <w:t xml:space="preserve"> </w:t>
      </w:r>
      <w:r>
        <w:t>intragovernmental</w:t>
      </w:r>
      <w:r>
        <w:rPr>
          <w:spacing w:val="-5"/>
        </w:rPr>
        <w:t xml:space="preserve"> </w:t>
      </w:r>
      <w:r>
        <w:t xml:space="preserve">transactions and activities have been appropriately identified, recorded, and disclosed in the financial statements. There are no </w:t>
      </w:r>
      <w:r>
        <w:rPr>
          <w:b/>
        </w:rPr>
        <w:t xml:space="preserve">[OR “There are”] </w:t>
      </w:r>
      <w:r>
        <w:t>material unresolved differences in intragovernmental transactions and balances with Federal entity trading partners, and appropriate adjustments have been made to address reconciling items.</w:t>
      </w:r>
    </w:p>
    <w:p w14:paraId="0DFDC7F2" w14:textId="77777777" w:rsidR="00046465" w:rsidRDefault="008134EB">
      <w:pPr>
        <w:spacing w:before="120"/>
        <w:ind w:left="360"/>
        <w:rPr>
          <w:b/>
        </w:rPr>
      </w:pPr>
      <w:r>
        <w:rPr>
          <w:b/>
          <w:u w:val="thick"/>
        </w:rPr>
        <w:t>Internal</w:t>
      </w:r>
      <w:r>
        <w:rPr>
          <w:b/>
          <w:spacing w:val="-9"/>
          <w:u w:val="thick"/>
        </w:rPr>
        <w:t xml:space="preserve"> </w:t>
      </w:r>
      <w:r>
        <w:rPr>
          <w:b/>
          <w:spacing w:val="-2"/>
          <w:u w:val="thick"/>
        </w:rPr>
        <w:t>Control</w:t>
      </w:r>
    </w:p>
    <w:p w14:paraId="0DFDC7F3" w14:textId="77777777" w:rsidR="00046465" w:rsidRDefault="008134EB">
      <w:pPr>
        <w:pStyle w:val="ListParagraph"/>
        <w:numPr>
          <w:ilvl w:val="0"/>
          <w:numId w:val="66"/>
        </w:numPr>
        <w:tabs>
          <w:tab w:val="left" w:pos="719"/>
        </w:tabs>
        <w:spacing w:before="119"/>
        <w:ind w:right="829"/>
      </w:pPr>
      <w:r>
        <w:t>We acknowledge our responsibility for designing, implementing, and maintaining effective internal control over financial reporting relevant to the preparation and fair presentation of financial</w:t>
      </w:r>
      <w:r>
        <w:rPr>
          <w:spacing w:val="-4"/>
        </w:rPr>
        <w:t xml:space="preserve"> </w:t>
      </w:r>
      <w:r>
        <w:t>statements</w:t>
      </w:r>
      <w:r>
        <w:rPr>
          <w:spacing w:val="-3"/>
        </w:rPr>
        <w:t xml:space="preserve"> </w:t>
      </w:r>
      <w:r>
        <w:t>that</w:t>
      </w:r>
      <w:r>
        <w:rPr>
          <w:spacing w:val="-3"/>
        </w:rPr>
        <w:t xml:space="preserve"> </w:t>
      </w:r>
      <w:r>
        <w:t>are</w:t>
      </w:r>
      <w:r>
        <w:rPr>
          <w:spacing w:val="-3"/>
        </w:rPr>
        <w:t xml:space="preserve"> </w:t>
      </w:r>
      <w:r>
        <w:t>free</w:t>
      </w:r>
      <w:r>
        <w:rPr>
          <w:spacing w:val="-3"/>
        </w:rPr>
        <w:t xml:space="preserve"> </w:t>
      </w:r>
      <w:r>
        <w:t>from</w:t>
      </w:r>
      <w:r>
        <w:rPr>
          <w:spacing w:val="-4"/>
        </w:rPr>
        <w:t xml:space="preserve"> </w:t>
      </w:r>
      <w:r>
        <w:t>material</w:t>
      </w:r>
      <w:r>
        <w:rPr>
          <w:spacing w:val="-2"/>
        </w:rPr>
        <w:t xml:space="preserve"> </w:t>
      </w:r>
      <w:r>
        <w:t>misstatement,</w:t>
      </w:r>
      <w:r>
        <w:rPr>
          <w:spacing w:val="-3"/>
        </w:rPr>
        <w:t xml:space="preserve"> </w:t>
      </w:r>
      <w:r>
        <w:t>whether</w:t>
      </w:r>
      <w:r>
        <w:rPr>
          <w:spacing w:val="-3"/>
        </w:rPr>
        <w:t xml:space="preserve"> </w:t>
      </w:r>
      <w:r>
        <w:t>due</w:t>
      </w:r>
      <w:r>
        <w:rPr>
          <w:spacing w:val="-3"/>
        </w:rPr>
        <w:t xml:space="preserve"> </w:t>
      </w:r>
      <w:r>
        <w:t>to</w:t>
      </w:r>
      <w:r>
        <w:rPr>
          <w:spacing w:val="-3"/>
        </w:rPr>
        <w:t xml:space="preserve"> </w:t>
      </w:r>
      <w:r>
        <w:t>fraud</w:t>
      </w:r>
      <w:r>
        <w:rPr>
          <w:spacing w:val="-4"/>
        </w:rPr>
        <w:t xml:space="preserve"> </w:t>
      </w:r>
      <w:r>
        <w:t>or</w:t>
      </w:r>
      <w:r>
        <w:rPr>
          <w:spacing w:val="-3"/>
        </w:rPr>
        <w:t xml:space="preserve"> </w:t>
      </w:r>
      <w:r>
        <w:t>error.</w:t>
      </w:r>
    </w:p>
    <w:p w14:paraId="0DFDC7F4" w14:textId="77777777" w:rsidR="00046465" w:rsidRDefault="008134EB">
      <w:pPr>
        <w:pStyle w:val="ListParagraph"/>
        <w:numPr>
          <w:ilvl w:val="0"/>
          <w:numId w:val="66"/>
        </w:numPr>
        <w:tabs>
          <w:tab w:val="left" w:pos="719"/>
        </w:tabs>
        <w:spacing w:before="121"/>
        <w:ind w:right="829"/>
      </w:pPr>
      <w:r>
        <w:t>We have fulfilled our responsibility for designing, implementing, and maintaining effective internal control over financial reporting relevant to the preparation and fair presentation of financial</w:t>
      </w:r>
      <w:r>
        <w:rPr>
          <w:spacing w:val="-4"/>
        </w:rPr>
        <w:t xml:space="preserve"> </w:t>
      </w:r>
      <w:r>
        <w:t>statements</w:t>
      </w:r>
      <w:r>
        <w:rPr>
          <w:spacing w:val="-3"/>
        </w:rPr>
        <w:t xml:space="preserve"> </w:t>
      </w:r>
      <w:r>
        <w:t>that</w:t>
      </w:r>
      <w:r>
        <w:rPr>
          <w:spacing w:val="-3"/>
        </w:rPr>
        <w:t xml:space="preserve"> </w:t>
      </w:r>
      <w:r>
        <w:t>are</w:t>
      </w:r>
      <w:r>
        <w:rPr>
          <w:spacing w:val="-3"/>
        </w:rPr>
        <w:t xml:space="preserve"> </w:t>
      </w:r>
      <w:r>
        <w:t>free</w:t>
      </w:r>
      <w:r>
        <w:rPr>
          <w:spacing w:val="-3"/>
        </w:rPr>
        <w:t xml:space="preserve"> </w:t>
      </w:r>
      <w:r>
        <w:t>from</w:t>
      </w:r>
      <w:r>
        <w:rPr>
          <w:spacing w:val="-4"/>
        </w:rPr>
        <w:t xml:space="preserve"> </w:t>
      </w:r>
      <w:r>
        <w:t>material</w:t>
      </w:r>
      <w:r>
        <w:rPr>
          <w:spacing w:val="-2"/>
        </w:rPr>
        <w:t xml:space="preserve"> </w:t>
      </w:r>
      <w:r>
        <w:t>misstatement,</w:t>
      </w:r>
      <w:r>
        <w:rPr>
          <w:spacing w:val="-3"/>
        </w:rPr>
        <w:t xml:space="preserve"> </w:t>
      </w:r>
      <w:r>
        <w:t>whether</w:t>
      </w:r>
      <w:r>
        <w:rPr>
          <w:spacing w:val="-3"/>
        </w:rPr>
        <w:t xml:space="preserve"> </w:t>
      </w:r>
      <w:r>
        <w:t>due</w:t>
      </w:r>
      <w:r>
        <w:rPr>
          <w:spacing w:val="-3"/>
        </w:rPr>
        <w:t xml:space="preserve"> </w:t>
      </w:r>
      <w:r>
        <w:t>to</w:t>
      </w:r>
      <w:r>
        <w:rPr>
          <w:spacing w:val="-3"/>
        </w:rPr>
        <w:t xml:space="preserve"> </w:t>
      </w:r>
      <w:r>
        <w:t>fraud</w:t>
      </w:r>
      <w:r>
        <w:rPr>
          <w:spacing w:val="-4"/>
        </w:rPr>
        <w:t xml:space="preserve"> </w:t>
      </w:r>
      <w:r>
        <w:t>or</w:t>
      </w:r>
      <w:r>
        <w:rPr>
          <w:spacing w:val="-3"/>
        </w:rPr>
        <w:t xml:space="preserve"> </w:t>
      </w:r>
      <w:r>
        <w:t>error.</w:t>
      </w:r>
    </w:p>
    <w:p w14:paraId="0DFDC7F5" w14:textId="77777777" w:rsidR="00046465" w:rsidRDefault="008134EB">
      <w:pPr>
        <w:pStyle w:val="ListParagraph"/>
        <w:numPr>
          <w:ilvl w:val="0"/>
          <w:numId w:val="66"/>
        </w:numPr>
        <w:tabs>
          <w:tab w:val="left" w:pos="719"/>
        </w:tabs>
        <w:spacing w:before="119"/>
        <w:ind w:right="939"/>
      </w:pPr>
      <w:r>
        <w:t xml:space="preserve">We are responsible for assessing the effectiveness of internal control over financial reporting based on the criteria established under 31 U.S.C. § 3512 (c), (d) (commonly known as the Federal Managers’ Financial Integrity Act of 1982 (FMFIA)) </w:t>
      </w:r>
      <w:r>
        <w:rPr>
          <w:b/>
        </w:rPr>
        <w:t>[or other appropriate</w:t>
      </w:r>
      <w:r>
        <w:rPr>
          <w:b/>
          <w:spacing w:val="-4"/>
        </w:rPr>
        <w:t xml:space="preserve"> </w:t>
      </w:r>
      <w:r>
        <w:rPr>
          <w:b/>
        </w:rPr>
        <w:t>criteria]</w:t>
      </w:r>
      <w:r>
        <w:t>,</w:t>
      </w:r>
      <w:r>
        <w:rPr>
          <w:spacing w:val="-4"/>
        </w:rPr>
        <w:t xml:space="preserve"> </w:t>
      </w:r>
      <w:r>
        <w:t>providing</w:t>
      </w:r>
      <w:r>
        <w:rPr>
          <w:spacing w:val="-4"/>
        </w:rPr>
        <w:t xml:space="preserve"> </w:t>
      </w:r>
      <w:r>
        <w:t>our</w:t>
      </w:r>
      <w:r>
        <w:rPr>
          <w:spacing w:val="-6"/>
        </w:rPr>
        <w:t xml:space="preserve"> </w:t>
      </w:r>
      <w:r>
        <w:t>assessment</w:t>
      </w:r>
      <w:r>
        <w:rPr>
          <w:spacing w:val="-5"/>
        </w:rPr>
        <w:t xml:space="preserve"> </w:t>
      </w:r>
      <w:r>
        <w:t>about</w:t>
      </w:r>
      <w:r>
        <w:rPr>
          <w:spacing w:val="-4"/>
        </w:rPr>
        <w:t xml:space="preserve"> </w:t>
      </w:r>
      <w:r>
        <w:t>the</w:t>
      </w:r>
      <w:r>
        <w:rPr>
          <w:spacing w:val="-4"/>
        </w:rPr>
        <w:t xml:space="preserve"> </w:t>
      </w:r>
      <w:r>
        <w:t>effectiveness</w:t>
      </w:r>
      <w:r>
        <w:rPr>
          <w:spacing w:val="-5"/>
        </w:rPr>
        <w:t xml:space="preserve"> </w:t>
      </w:r>
      <w:r>
        <w:t>of</w:t>
      </w:r>
      <w:r>
        <w:rPr>
          <w:spacing w:val="-4"/>
        </w:rPr>
        <w:t xml:space="preserve"> </w:t>
      </w:r>
      <w:r>
        <w:t>internal</w:t>
      </w:r>
      <w:r>
        <w:rPr>
          <w:spacing w:val="-4"/>
        </w:rPr>
        <w:t xml:space="preserve"> </w:t>
      </w:r>
      <w:r>
        <w:t>control over financial reporting as of September 30, 20X2,</w:t>
      </w:r>
      <w:hyperlink w:anchor="_bookmark213" w:history="1">
        <w:r>
          <w:rPr>
            <w:position w:val="7"/>
            <w:sz w:val="14"/>
          </w:rPr>
          <w:t>5</w:t>
        </w:r>
      </w:hyperlink>
      <w:r>
        <w:rPr>
          <w:spacing w:val="33"/>
          <w:position w:val="7"/>
          <w:sz w:val="14"/>
        </w:rPr>
        <w:t xml:space="preserve"> </w:t>
      </w:r>
      <w:r>
        <w:t>based on our assessment, and supporting our assessment about the effectiveness of internal control over financial reporting with sufficient evaluations and documentation.</w:t>
      </w:r>
    </w:p>
    <w:p w14:paraId="0DFDC7F6" w14:textId="77777777" w:rsidR="00046465" w:rsidRDefault="008134EB">
      <w:pPr>
        <w:spacing w:before="121"/>
        <w:ind w:left="720" w:right="736"/>
        <w:rPr>
          <w:b/>
        </w:rPr>
      </w:pPr>
      <w:r>
        <w:rPr>
          <w:b/>
        </w:rPr>
        <w:t>[This</w:t>
      </w:r>
      <w:r>
        <w:rPr>
          <w:b/>
          <w:spacing w:val="-3"/>
        </w:rPr>
        <w:t xml:space="preserve"> </w:t>
      </w:r>
      <w:r>
        <w:rPr>
          <w:b/>
        </w:rPr>
        <w:t>item</w:t>
      </w:r>
      <w:r>
        <w:rPr>
          <w:b/>
          <w:spacing w:val="-3"/>
        </w:rPr>
        <w:t xml:space="preserve"> </w:t>
      </w:r>
      <w:r>
        <w:rPr>
          <w:b/>
        </w:rPr>
        <w:t>is</w:t>
      </w:r>
      <w:r>
        <w:rPr>
          <w:b/>
          <w:spacing w:val="-3"/>
        </w:rPr>
        <w:t xml:space="preserve"> </w:t>
      </w:r>
      <w:r>
        <w:rPr>
          <w:b/>
        </w:rPr>
        <w:t>optional</w:t>
      </w:r>
      <w:r>
        <w:rPr>
          <w:b/>
          <w:spacing w:val="-3"/>
        </w:rPr>
        <w:t xml:space="preserve"> </w:t>
      </w:r>
      <w:r>
        <w:rPr>
          <w:b/>
        </w:rPr>
        <w:t>if</w:t>
      </w:r>
      <w:r>
        <w:rPr>
          <w:b/>
          <w:spacing w:val="-3"/>
        </w:rPr>
        <w:t xml:space="preserve"> </w:t>
      </w:r>
      <w:r>
        <w:rPr>
          <w:b/>
        </w:rPr>
        <w:t>the</w:t>
      </w:r>
      <w:r>
        <w:rPr>
          <w:b/>
          <w:spacing w:val="-3"/>
        </w:rPr>
        <w:t xml:space="preserve"> </w:t>
      </w:r>
      <w:r>
        <w:rPr>
          <w:b/>
        </w:rPr>
        <w:t>auditor</w:t>
      </w:r>
      <w:r>
        <w:rPr>
          <w:b/>
          <w:spacing w:val="-4"/>
        </w:rPr>
        <w:t xml:space="preserve"> </w:t>
      </w:r>
      <w:r>
        <w:rPr>
          <w:b/>
        </w:rPr>
        <w:t>is</w:t>
      </w:r>
      <w:r>
        <w:rPr>
          <w:b/>
          <w:spacing w:val="-3"/>
        </w:rPr>
        <w:t xml:space="preserve"> </w:t>
      </w:r>
      <w:r>
        <w:rPr>
          <w:b/>
        </w:rPr>
        <w:t>not</w:t>
      </w:r>
      <w:r>
        <w:rPr>
          <w:b/>
          <w:spacing w:val="-3"/>
        </w:rPr>
        <w:t xml:space="preserve"> </w:t>
      </w:r>
      <w:r>
        <w:rPr>
          <w:b/>
        </w:rPr>
        <w:t>opining</w:t>
      </w:r>
      <w:r>
        <w:rPr>
          <w:b/>
          <w:spacing w:val="-3"/>
        </w:rPr>
        <w:t xml:space="preserve"> </w:t>
      </w:r>
      <w:r>
        <w:rPr>
          <w:b/>
        </w:rPr>
        <w:t>on</w:t>
      </w:r>
      <w:r>
        <w:rPr>
          <w:b/>
          <w:spacing w:val="-3"/>
        </w:rPr>
        <w:t xml:space="preserve"> </w:t>
      </w:r>
      <w:r>
        <w:rPr>
          <w:b/>
        </w:rPr>
        <w:t>internal</w:t>
      </w:r>
      <w:r>
        <w:rPr>
          <w:b/>
          <w:spacing w:val="-3"/>
        </w:rPr>
        <w:t xml:space="preserve"> </w:t>
      </w:r>
      <w:r>
        <w:rPr>
          <w:b/>
        </w:rPr>
        <w:t>control.</w:t>
      </w:r>
      <w:r>
        <w:rPr>
          <w:b/>
          <w:spacing w:val="-3"/>
        </w:rPr>
        <w:t xml:space="preserve"> </w:t>
      </w:r>
      <w:r>
        <w:rPr>
          <w:b/>
        </w:rPr>
        <w:t>Also,</w:t>
      </w:r>
      <w:r>
        <w:rPr>
          <w:b/>
          <w:spacing w:val="-3"/>
        </w:rPr>
        <w:t xml:space="preserve"> </w:t>
      </w:r>
      <w:r>
        <w:rPr>
          <w:b/>
        </w:rPr>
        <w:t>if</w:t>
      </w:r>
      <w:r>
        <w:rPr>
          <w:b/>
          <w:spacing w:val="-3"/>
        </w:rPr>
        <w:t xml:space="preserve"> </w:t>
      </w:r>
      <w:r>
        <w:rPr>
          <w:b/>
        </w:rPr>
        <w:t>the</w:t>
      </w:r>
      <w:r>
        <w:rPr>
          <w:b/>
          <w:spacing w:val="-3"/>
        </w:rPr>
        <w:t xml:space="preserve"> </w:t>
      </w:r>
      <w:r>
        <w:rPr>
          <w:b/>
        </w:rPr>
        <w:t xml:space="preserve">entity bases its internal control assessment on suitable criteria other than 31 U.S.C. § 3512(c), (d), cite the criteria used (for example, </w:t>
      </w:r>
      <w:r>
        <w:rPr>
          <w:b/>
          <w:i/>
        </w:rPr>
        <w:t xml:space="preserve">Internal Control—Integrated Framework </w:t>
      </w:r>
      <w:r>
        <w:rPr>
          <w:b/>
        </w:rPr>
        <w:t>issued by the Committee of Sponsoring Organizations of the Treadway Commission (COSO)).]</w:t>
      </w:r>
    </w:p>
    <w:p w14:paraId="0DFDC7F7" w14:textId="77777777" w:rsidR="00046465" w:rsidRDefault="008134EB">
      <w:pPr>
        <w:pStyle w:val="ListParagraph"/>
        <w:numPr>
          <w:ilvl w:val="0"/>
          <w:numId w:val="66"/>
        </w:numPr>
        <w:tabs>
          <w:tab w:val="left" w:pos="719"/>
        </w:tabs>
        <w:ind w:right="732"/>
      </w:pPr>
      <w:r>
        <w:t xml:space="preserve">We assessed the effectiveness of </w:t>
      </w:r>
      <w:r>
        <w:rPr>
          <w:b/>
        </w:rPr>
        <w:t xml:space="preserve">[Entity’s] </w:t>
      </w:r>
      <w:r>
        <w:t xml:space="preserve">internal control over financial reporting as of September 30, 20X2, based on the criteria established under FMFIA. </w:t>
      </w:r>
      <w:r>
        <w:rPr>
          <w:b/>
        </w:rPr>
        <w:t xml:space="preserve">[Entity’s] </w:t>
      </w:r>
      <w:r>
        <w:t>internal control over financial reporting is a process effected by those charged with governance, management, and other personnel, the objectives of which are to provide reasonable assurance</w:t>
      </w:r>
      <w:r>
        <w:rPr>
          <w:spacing w:val="-4"/>
        </w:rPr>
        <w:t xml:space="preserve"> </w:t>
      </w:r>
      <w:r>
        <w:t>that</w:t>
      </w:r>
      <w:r>
        <w:rPr>
          <w:spacing w:val="-4"/>
        </w:rPr>
        <w:t xml:space="preserve"> </w:t>
      </w:r>
      <w:r>
        <w:t>(1)</w:t>
      </w:r>
      <w:r>
        <w:rPr>
          <w:spacing w:val="-4"/>
        </w:rPr>
        <w:t xml:space="preserve"> </w:t>
      </w:r>
      <w:r>
        <w:t>transactions</w:t>
      </w:r>
      <w:r>
        <w:rPr>
          <w:spacing w:val="-4"/>
        </w:rPr>
        <w:t xml:space="preserve"> </w:t>
      </w:r>
      <w:r>
        <w:t>are</w:t>
      </w:r>
      <w:r>
        <w:rPr>
          <w:spacing w:val="-5"/>
        </w:rPr>
        <w:t xml:space="preserve"> </w:t>
      </w:r>
      <w:r>
        <w:t>properly</w:t>
      </w:r>
      <w:r>
        <w:rPr>
          <w:spacing w:val="-4"/>
        </w:rPr>
        <w:t xml:space="preserve"> </w:t>
      </w:r>
      <w:r>
        <w:t>recorded,</w:t>
      </w:r>
      <w:r>
        <w:rPr>
          <w:spacing w:val="-4"/>
        </w:rPr>
        <w:t xml:space="preserve"> </w:t>
      </w:r>
      <w:r>
        <w:t>processed,</w:t>
      </w:r>
      <w:r>
        <w:rPr>
          <w:spacing w:val="-4"/>
        </w:rPr>
        <w:t xml:space="preserve"> </w:t>
      </w:r>
      <w:r>
        <w:t>and</w:t>
      </w:r>
      <w:r>
        <w:rPr>
          <w:spacing w:val="-5"/>
        </w:rPr>
        <w:t xml:space="preserve"> </w:t>
      </w:r>
      <w:r>
        <w:t>summarized</w:t>
      </w:r>
      <w:r>
        <w:rPr>
          <w:spacing w:val="-4"/>
        </w:rPr>
        <w:t xml:space="preserve"> </w:t>
      </w:r>
      <w:r>
        <w:t>to</w:t>
      </w:r>
      <w:r>
        <w:rPr>
          <w:spacing w:val="-4"/>
        </w:rPr>
        <w:t xml:space="preserve"> </w:t>
      </w:r>
      <w:r>
        <w:t>permit the preparation of financial statements in accordance with U.S. GAAP, and assets are safeguarded against loss from unauthorized acquisition, use, or disposition, and (2) transactions are executed in accordance with provisions of applicable laws, including those governing the use of budget authority; regulations; contracts; and grant agreements, noncompliance with which could have a material effect on the financial statements.</w:t>
      </w:r>
    </w:p>
    <w:p w14:paraId="0DFDC7F8" w14:textId="77777777" w:rsidR="00046465" w:rsidRDefault="00046465">
      <w:pPr>
        <w:pStyle w:val="BodyText"/>
        <w:rPr>
          <w:sz w:val="20"/>
        </w:rPr>
      </w:pPr>
    </w:p>
    <w:p w14:paraId="0DFDC7F9" w14:textId="77777777" w:rsidR="00046465" w:rsidRDefault="008134EB">
      <w:pPr>
        <w:pStyle w:val="BodyText"/>
        <w:spacing w:before="191"/>
        <w:rPr>
          <w:sz w:val="20"/>
        </w:rPr>
      </w:pPr>
      <w:r>
        <w:rPr>
          <w:noProof/>
          <w:sz w:val="20"/>
        </w:rPr>
        <mc:AlternateContent>
          <mc:Choice Requires="wps">
            <w:drawing>
              <wp:anchor distT="0" distB="0" distL="0" distR="0" simplePos="0" relativeHeight="487734784" behindDoc="1" locked="0" layoutInCell="1" allowOverlap="1" wp14:anchorId="0DFDD751" wp14:editId="0DFDD752">
                <wp:simplePos x="0" y="0"/>
                <wp:positionH relativeFrom="page">
                  <wp:posOffset>914400</wp:posOffset>
                </wp:positionH>
                <wp:positionV relativeFrom="paragraph">
                  <wp:posOffset>282778</wp:posOffset>
                </wp:positionV>
                <wp:extent cx="1828800" cy="5715"/>
                <wp:effectExtent l="0" t="0" r="0" b="0"/>
                <wp:wrapTopAndBottom/>
                <wp:docPr id="1097" name="Graphic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7D584A" id="Graphic 1097" o:spid="_x0000_s1026" style="position:absolute;margin-left:1in;margin-top:22.25pt;width:2in;height:.45pt;z-index:-1558169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" path="m1828800,l,,,5321r1828800,l1828800,xe" fillcolor="black" stroked="f">
                <v:path arrowok="t"/>
                <w10:wrap type="topAndBottom" anchorx="page"/>
              </v:shape>
            </w:pict>
          </mc:Fallback>
        </mc:AlternateContent>
      </w:r>
    </w:p>
    <w:p w14:paraId="0DFDC7FA" w14:textId="77777777" w:rsidR="00046465" w:rsidRDefault="008134EB">
      <w:pPr>
        <w:spacing w:before="202" w:line="242" w:lineRule="auto"/>
        <w:ind w:left="360" w:right="773" w:hanging="1"/>
        <w:rPr>
          <w:sz w:val="18"/>
        </w:rPr>
      </w:pPr>
      <w:bookmarkStart w:id="379" w:name="_bookmark213"/>
      <w:bookmarkEnd w:id="379"/>
      <w:r>
        <w:rPr>
          <w:position w:val="7"/>
          <w:sz w:val="14"/>
        </w:rPr>
        <w:t>5</w:t>
      </w:r>
      <w:r>
        <w:rPr>
          <w:sz w:val="18"/>
        </w:rPr>
        <w:t>If</w:t>
      </w:r>
      <w:r>
        <w:rPr>
          <w:spacing w:val="-2"/>
          <w:sz w:val="18"/>
        </w:rPr>
        <w:t xml:space="preserve"> </w:t>
      </w:r>
      <w:r>
        <w:rPr>
          <w:sz w:val="18"/>
        </w:rPr>
        <w:t>the</w:t>
      </w:r>
      <w:r>
        <w:rPr>
          <w:spacing w:val="-3"/>
          <w:sz w:val="18"/>
        </w:rPr>
        <w:t xml:space="preserve"> </w:t>
      </w:r>
      <w:r>
        <w:rPr>
          <w:sz w:val="18"/>
        </w:rPr>
        <w:t>auditor</w:t>
      </w:r>
      <w:r>
        <w:rPr>
          <w:spacing w:val="-2"/>
          <w:sz w:val="18"/>
        </w:rPr>
        <w:t xml:space="preserve"> </w:t>
      </w:r>
      <w:r>
        <w:rPr>
          <w:sz w:val="18"/>
        </w:rPr>
        <w:t>is</w:t>
      </w:r>
      <w:r>
        <w:rPr>
          <w:spacing w:val="-1"/>
          <w:sz w:val="18"/>
        </w:rPr>
        <w:t xml:space="preserve"> </w:t>
      </w:r>
      <w:r>
        <w:rPr>
          <w:sz w:val="18"/>
        </w:rPr>
        <w:t>opining</w:t>
      </w:r>
      <w:r>
        <w:rPr>
          <w:spacing w:val="-1"/>
          <w:sz w:val="18"/>
        </w:rPr>
        <w:t xml:space="preserve"> </w:t>
      </w:r>
      <w:r>
        <w:rPr>
          <w:sz w:val="18"/>
        </w:rPr>
        <w:t>on</w:t>
      </w:r>
      <w:r>
        <w:rPr>
          <w:spacing w:val="-3"/>
          <w:sz w:val="18"/>
        </w:rPr>
        <w:t xml:space="preserve"> </w:t>
      </w:r>
      <w:r>
        <w:rPr>
          <w:sz w:val="18"/>
        </w:rPr>
        <w:t>internal</w:t>
      </w:r>
      <w:r>
        <w:rPr>
          <w:spacing w:val="-2"/>
          <w:sz w:val="18"/>
        </w:rPr>
        <w:t xml:space="preserve"> </w:t>
      </w:r>
      <w:r>
        <w:rPr>
          <w:sz w:val="18"/>
        </w:rPr>
        <w:t>control,</w:t>
      </w:r>
      <w:r>
        <w:rPr>
          <w:spacing w:val="-2"/>
          <w:sz w:val="18"/>
        </w:rPr>
        <w:t xml:space="preserve"> </w:t>
      </w:r>
      <w:r>
        <w:rPr>
          <w:sz w:val="18"/>
        </w:rPr>
        <w:t>the</w:t>
      </w:r>
      <w:r>
        <w:rPr>
          <w:spacing w:val="-3"/>
          <w:sz w:val="18"/>
        </w:rPr>
        <w:t xml:space="preserve"> </w:t>
      </w:r>
      <w:r>
        <w:rPr>
          <w:sz w:val="18"/>
        </w:rPr>
        <w:t>date</w:t>
      </w:r>
      <w:r>
        <w:rPr>
          <w:spacing w:val="-3"/>
          <w:sz w:val="18"/>
        </w:rPr>
        <w:t xml:space="preserve"> </w:t>
      </w:r>
      <w:r>
        <w:rPr>
          <w:sz w:val="18"/>
        </w:rPr>
        <w:t>of</w:t>
      </w:r>
      <w:r>
        <w:rPr>
          <w:spacing w:val="-2"/>
          <w:sz w:val="18"/>
        </w:rPr>
        <w:t xml:space="preserve"> </w:t>
      </w:r>
      <w:r>
        <w:rPr>
          <w:sz w:val="18"/>
        </w:rPr>
        <w:t>management’s</w:t>
      </w:r>
      <w:r>
        <w:rPr>
          <w:spacing w:val="-2"/>
          <w:sz w:val="18"/>
        </w:rPr>
        <w:t xml:space="preserve"> </w:t>
      </w:r>
      <w:r>
        <w:rPr>
          <w:sz w:val="18"/>
        </w:rPr>
        <w:t>report</w:t>
      </w:r>
      <w:r>
        <w:rPr>
          <w:spacing w:val="-2"/>
          <w:sz w:val="18"/>
        </w:rPr>
        <w:t xml:space="preserve"> </w:t>
      </w:r>
      <w:r>
        <w:rPr>
          <w:sz w:val="18"/>
        </w:rPr>
        <w:t>on</w:t>
      </w:r>
      <w:r>
        <w:rPr>
          <w:spacing w:val="-3"/>
          <w:sz w:val="18"/>
        </w:rPr>
        <w:t xml:space="preserve"> </w:t>
      </w:r>
      <w:r>
        <w:rPr>
          <w:sz w:val="18"/>
        </w:rPr>
        <w:t>internal</w:t>
      </w:r>
      <w:r>
        <w:rPr>
          <w:spacing w:val="-2"/>
          <w:sz w:val="18"/>
        </w:rPr>
        <w:t xml:space="preserve"> </w:t>
      </w:r>
      <w:r>
        <w:rPr>
          <w:sz w:val="18"/>
        </w:rPr>
        <w:t>control</w:t>
      </w:r>
      <w:r>
        <w:rPr>
          <w:spacing w:val="-2"/>
          <w:sz w:val="18"/>
        </w:rPr>
        <w:t xml:space="preserve"> </w:t>
      </w:r>
      <w:r>
        <w:rPr>
          <w:sz w:val="18"/>
        </w:rPr>
        <w:t>must</w:t>
      </w:r>
      <w:r>
        <w:rPr>
          <w:spacing w:val="-2"/>
          <w:sz w:val="18"/>
        </w:rPr>
        <w:t xml:space="preserve"> </w:t>
      </w:r>
      <w:r>
        <w:rPr>
          <w:sz w:val="18"/>
        </w:rPr>
        <w:t>be</w:t>
      </w:r>
      <w:r>
        <w:rPr>
          <w:spacing w:val="-3"/>
          <w:sz w:val="18"/>
        </w:rPr>
        <w:t xml:space="preserve"> </w:t>
      </w:r>
      <w:r>
        <w:rPr>
          <w:sz w:val="18"/>
        </w:rPr>
        <w:t>the</w:t>
      </w:r>
      <w:r>
        <w:rPr>
          <w:spacing w:val="-3"/>
          <w:sz w:val="18"/>
        </w:rPr>
        <w:t xml:space="preserve"> </w:t>
      </w:r>
      <w:r>
        <w:rPr>
          <w:sz w:val="18"/>
        </w:rPr>
        <w:t>date</w:t>
      </w:r>
      <w:r>
        <w:rPr>
          <w:spacing w:val="-1"/>
          <w:sz w:val="18"/>
        </w:rPr>
        <w:t xml:space="preserve"> </w:t>
      </w:r>
      <w:r>
        <w:rPr>
          <w:sz w:val="18"/>
        </w:rPr>
        <w:t>of the opinion. However, management may choose to include this representation even if the auditor is not opining on internal</w:t>
      </w:r>
      <w:r>
        <w:rPr>
          <w:spacing w:val="-2"/>
          <w:sz w:val="18"/>
        </w:rPr>
        <w:t xml:space="preserve"> </w:t>
      </w:r>
      <w:r>
        <w:rPr>
          <w:sz w:val="18"/>
        </w:rPr>
        <w:t>control.</w:t>
      </w:r>
      <w:r>
        <w:rPr>
          <w:spacing w:val="-2"/>
          <w:sz w:val="18"/>
        </w:rPr>
        <w:t xml:space="preserve"> </w:t>
      </w:r>
      <w:r>
        <w:rPr>
          <w:sz w:val="18"/>
        </w:rPr>
        <w:t>If</w:t>
      </w:r>
      <w:r>
        <w:rPr>
          <w:spacing w:val="-3"/>
          <w:sz w:val="18"/>
        </w:rPr>
        <w:t xml:space="preserve"> </w:t>
      </w:r>
      <w:r>
        <w:rPr>
          <w:sz w:val="18"/>
        </w:rPr>
        <w:t>that</w:t>
      </w:r>
      <w:r>
        <w:rPr>
          <w:spacing w:val="-2"/>
          <w:sz w:val="18"/>
        </w:rPr>
        <w:t xml:space="preserve"> </w:t>
      </w:r>
      <w:r>
        <w:rPr>
          <w:sz w:val="18"/>
        </w:rPr>
        <w:t>occurs,</w:t>
      </w:r>
      <w:r>
        <w:rPr>
          <w:spacing w:val="-2"/>
          <w:sz w:val="18"/>
        </w:rPr>
        <w:t xml:space="preserve"> </w:t>
      </w:r>
      <w:r>
        <w:rPr>
          <w:sz w:val="18"/>
        </w:rPr>
        <w:t>the</w:t>
      </w:r>
      <w:r>
        <w:rPr>
          <w:spacing w:val="-3"/>
          <w:sz w:val="18"/>
        </w:rPr>
        <w:t xml:space="preserve"> </w:t>
      </w:r>
      <w:r>
        <w:rPr>
          <w:sz w:val="18"/>
        </w:rPr>
        <w:t>date</w:t>
      </w:r>
      <w:r>
        <w:rPr>
          <w:spacing w:val="-3"/>
          <w:sz w:val="18"/>
        </w:rPr>
        <w:t xml:space="preserve"> </w:t>
      </w:r>
      <w:r>
        <w:rPr>
          <w:sz w:val="18"/>
        </w:rPr>
        <w:t>must</w:t>
      </w:r>
      <w:r>
        <w:rPr>
          <w:spacing w:val="-2"/>
          <w:sz w:val="18"/>
        </w:rPr>
        <w:t xml:space="preserve"> </w:t>
      </w:r>
      <w:r>
        <w:rPr>
          <w:sz w:val="18"/>
        </w:rPr>
        <w:t>be</w:t>
      </w:r>
      <w:r>
        <w:rPr>
          <w:spacing w:val="-3"/>
          <w:sz w:val="18"/>
        </w:rPr>
        <w:t xml:space="preserve"> </w:t>
      </w:r>
      <w:r>
        <w:rPr>
          <w:sz w:val="18"/>
        </w:rPr>
        <w:t>the</w:t>
      </w:r>
      <w:r>
        <w:rPr>
          <w:spacing w:val="-3"/>
          <w:sz w:val="18"/>
        </w:rPr>
        <w:t xml:space="preserve"> </w:t>
      </w:r>
      <w:r>
        <w:rPr>
          <w:sz w:val="18"/>
        </w:rPr>
        <w:t>date</w:t>
      </w:r>
      <w:r>
        <w:rPr>
          <w:spacing w:val="-3"/>
          <w:sz w:val="18"/>
        </w:rPr>
        <w:t xml:space="preserve"> </w:t>
      </w:r>
      <w:r>
        <w:rPr>
          <w:sz w:val="18"/>
        </w:rPr>
        <w:t>of</w:t>
      </w:r>
      <w:r>
        <w:rPr>
          <w:spacing w:val="-2"/>
          <w:sz w:val="18"/>
        </w:rPr>
        <w:t xml:space="preserve"> </w:t>
      </w:r>
      <w:r>
        <w:rPr>
          <w:sz w:val="18"/>
        </w:rPr>
        <w:t>management’s</w:t>
      </w:r>
      <w:r>
        <w:rPr>
          <w:spacing w:val="-1"/>
          <w:sz w:val="18"/>
        </w:rPr>
        <w:t xml:space="preserve"> </w:t>
      </w:r>
      <w:r>
        <w:rPr>
          <w:sz w:val="18"/>
        </w:rPr>
        <w:t>assurance</w:t>
      </w:r>
      <w:r>
        <w:rPr>
          <w:spacing w:val="-3"/>
          <w:sz w:val="18"/>
        </w:rPr>
        <w:t xml:space="preserve"> </w:t>
      </w:r>
      <w:r>
        <w:rPr>
          <w:sz w:val="18"/>
        </w:rPr>
        <w:t>statement</w:t>
      </w:r>
      <w:r>
        <w:rPr>
          <w:spacing w:val="-2"/>
          <w:sz w:val="18"/>
        </w:rPr>
        <w:t xml:space="preserve"> </w:t>
      </w:r>
      <w:r>
        <w:rPr>
          <w:sz w:val="18"/>
        </w:rPr>
        <w:t>in</w:t>
      </w:r>
      <w:r>
        <w:rPr>
          <w:spacing w:val="-3"/>
          <w:sz w:val="18"/>
        </w:rPr>
        <w:t xml:space="preserve"> </w:t>
      </w:r>
      <w:r>
        <w:rPr>
          <w:sz w:val="18"/>
        </w:rPr>
        <w:t>accordance</w:t>
      </w:r>
      <w:r>
        <w:rPr>
          <w:spacing w:val="-3"/>
          <w:sz w:val="18"/>
        </w:rPr>
        <w:t xml:space="preserve"> </w:t>
      </w:r>
      <w:r>
        <w:rPr>
          <w:sz w:val="18"/>
        </w:rPr>
        <w:t>with OMB Circular No. A-123.</w:t>
      </w:r>
    </w:p>
    <w:p w14:paraId="0DFDC7FB" w14:textId="77777777" w:rsidR="00046465" w:rsidRDefault="00046465">
      <w:pPr>
        <w:spacing w:line="242" w:lineRule="auto"/>
        <w:rPr>
          <w:sz w:val="18"/>
        </w:rPr>
        <w:sectPr w:rsidR="00046465">
          <w:pgSz w:w="12240" w:h="15840"/>
          <w:pgMar w:top="1340" w:right="720" w:bottom="940" w:left="1080" w:header="721" w:footer="757" w:gutter="0"/>
          <w:cols w:space="720"/>
        </w:sectPr>
      </w:pPr>
    </w:p>
    <w:p w14:paraId="0DFDC7FC" w14:textId="77777777" w:rsidR="00046465" w:rsidRDefault="008134EB">
      <w:pPr>
        <w:spacing w:before="121"/>
        <w:ind w:left="720" w:right="749"/>
        <w:rPr>
          <w:b/>
        </w:rPr>
      </w:pPr>
      <w:r>
        <w:rPr>
          <w:b/>
        </w:rPr>
        <w:lastRenderedPageBreak/>
        <w:t>[This</w:t>
      </w:r>
      <w:r>
        <w:rPr>
          <w:b/>
          <w:spacing w:val="-3"/>
        </w:rPr>
        <w:t xml:space="preserve"> </w:t>
      </w:r>
      <w:r>
        <w:rPr>
          <w:b/>
        </w:rPr>
        <w:t>item</w:t>
      </w:r>
      <w:r>
        <w:rPr>
          <w:b/>
          <w:spacing w:val="-5"/>
        </w:rPr>
        <w:t xml:space="preserve"> </w:t>
      </w:r>
      <w:r>
        <w:rPr>
          <w:b/>
        </w:rPr>
        <w:t>is</w:t>
      </w:r>
      <w:r>
        <w:rPr>
          <w:b/>
          <w:spacing w:val="-3"/>
        </w:rPr>
        <w:t xml:space="preserve"> </w:t>
      </w:r>
      <w:r>
        <w:rPr>
          <w:b/>
        </w:rPr>
        <w:t>optional</w:t>
      </w:r>
      <w:r>
        <w:rPr>
          <w:b/>
          <w:spacing w:val="-3"/>
        </w:rPr>
        <w:t xml:space="preserve"> </w:t>
      </w:r>
      <w:r>
        <w:rPr>
          <w:b/>
        </w:rPr>
        <w:t>if</w:t>
      </w:r>
      <w:r>
        <w:rPr>
          <w:b/>
          <w:spacing w:val="-3"/>
        </w:rPr>
        <w:t xml:space="preserve"> </w:t>
      </w:r>
      <w:r>
        <w:rPr>
          <w:b/>
        </w:rPr>
        <w:t>the</w:t>
      </w:r>
      <w:r>
        <w:rPr>
          <w:b/>
          <w:spacing w:val="-3"/>
        </w:rPr>
        <w:t xml:space="preserve"> </w:t>
      </w:r>
      <w:r>
        <w:rPr>
          <w:b/>
        </w:rPr>
        <w:t>auditor</w:t>
      </w:r>
      <w:r>
        <w:rPr>
          <w:b/>
          <w:spacing w:val="-4"/>
        </w:rPr>
        <w:t xml:space="preserve"> </w:t>
      </w:r>
      <w:r>
        <w:rPr>
          <w:b/>
        </w:rPr>
        <w:t>is</w:t>
      </w:r>
      <w:r>
        <w:rPr>
          <w:b/>
          <w:spacing w:val="-3"/>
        </w:rPr>
        <w:t xml:space="preserve"> </w:t>
      </w:r>
      <w:r>
        <w:rPr>
          <w:b/>
        </w:rPr>
        <w:t>not</w:t>
      </w:r>
      <w:r>
        <w:rPr>
          <w:b/>
          <w:spacing w:val="-3"/>
        </w:rPr>
        <w:t xml:space="preserve"> </w:t>
      </w:r>
      <w:r>
        <w:rPr>
          <w:b/>
        </w:rPr>
        <w:t>opining</w:t>
      </w:r>
      <w:r>
        <w:rPr>
          <w:b/>
          <w:spacing w:val="-6"/>
        </w:rPr>
        <w:t xml:space="preserve"> </w:t>
      </w:r>
      <w:r>
        <w:rPr>
          <w:b/>
        </w:rPr>
        <w:t>on</w:t>
      </w:r>
      <w:r>
        <w:rPr>
          <w:b/>
          <w:spacing w:val="-3"/>
        </w:rPr>
        <w:t xml:space="preserve"> </w:t>
      </w:r>
      <w:r>
        <w:rPr>
          <w:b/>
        </w:rPr>
        <w:t>internal</w:t>
      </w:r>
      <w:r>
        <w:rPr>
          <w:b/>
          <w:spacing w:val="-3"/>
        </w:rPr>
        <w:t xml:space="preserve"> </w:t>
      </w:r>
      <w:r>
        <w:rPr>
          <w:b/>
        </w:rPr>
        <w:t>control.</w:t>
      </w:r>
      <w:r>
        <w:rPr>
          <w:b/>
          <w:spacing w:val="-3"/>
        </w:rPr>
        <w:t xml:space="preserve"> </w:t>
      </w:r>
      <w:r>
        <w:rPr>
          <w:b/>
        </w:rPr>
        <w:t>Also,</w:t>
      </w:r>
      <w:r>
        <w:rPr>
          <w:b/>
          <w:spacing w:val="-3"/>
        </w:rPr>
        <w:t xml:space="preserve"> </w:t>
      </w:r>
      <w:r>
        <w:rPr>
          <w:b/>
        </w:rPr>
        <w:t>if</w:t>
      </w:r>
      <w:r>
        <w:rPr>
          <w:b/>
          <w:spacing w:val="-3"/>
        </w:rPr>
        <w:t xml:space="preserve"> </w:t>
      </w:r>
      <w:r>
        <w:rPr>
          <w:b/>
        </w:rPr>
        <w:t>the</w:t>
      </w:r>
      <w:r>
        <w:rPr>
          <w:b/>
          <w:spacing w:val="-3"/>
        </w:rPr>
        <w:t xml:space="preserve"> </w:t>
      </w:r>
      <w:r>
        <w:rPr>
          <w:b/>
        </w:rPr>
        <w:t xml:space="preserve">entity bases its internal control assessment on suitable criteria other than 31 U.S.C. </w:t>
      </w:r>
      <w:r>
        <w:t xml:space="preserve">§ </w:t>
      </w:r>
      <w:r>
        <w:rPr>
          <w:b/>
        </w:rPr>
        <w:t xml:space="preserve">3512(c), (d), cite the criteria used (for example, COSO’s </w:t>
      </w:r>
      <w:r>
        <w:rPr>
          <w:b/>
          <w:i/>
        </w:rPr>
        <w:t xml:space="preserve">Internal Control—Integrated </w:t>
      </w:r>
      <w:r>
        <w:rPr>
          <w:b/>
          <w:i/>
          <w:spacing w:val="-2"/>
        </w:rPr>
        <w:t>Framework</w:t>
      </w:r>
      <w:r>
        <w:rPr>
          <w:b/>
          <w:spacing w:val="-2"/>
        </w:rPr>
        <w:t>).]</w:t>
      </w:r>
    </w:p>
    <w:p w14:paraId="0DFDC7FD" w14:textId="77777777" w:rsidR="00046465" w:rsidRDefault="008134EB">
      <w:pPr>
        <w:pStyle w:val="ListParagraph"/>
        <w:numPr>
          <w:ilvl w:val="0"/>
          <w:numId w:val="66"/>
        </w:numPr>
        <w:tabs>
          <w:tab w:val="left" w:pos="720"/>
        </w:tabs>
        <w:ind w:left="720" w:right="729"/>
        <w:rPr>
          <w:b/>
        </w:rPr>
      </w:pPr>
      <w:r>
        <w:t xml:space="preserve">We did not use </w:t>
      </w:r>
      <w:r>
        <w:rPr>
          <w:b/>
        </w:rPr>
        <w:t xml:space="preserve">[auditor’s] </w:t>
      </w:r>
      <w:r>
        <w:t xml:space="preserve">audit procedures performed during the integrated audits of </w:t>
      </w:r>
      <w:r>
        <w:rPr>
          <w:b/>
        </w:rPr>
        <w:t>[Entity’s]</w:t>
      </w:r>
      <w:r>
        <w:rPr>
          <w:b/>
          <w:spacing w:val="-3"/>
        </w:rPr>
        <w:t xml:space="preserve"> </w:t>
      </w:r>
      <w:r>
        <w:t>20X2</w:t>
      </w:r>
      <w:r>
        <w:rPr>
          <w:spacing w:val="-3"/>
        </w:rPr>
        <w:t xml:space="preserve"> </w:t>
      </w:r>
      <w:r>
        <w:t>and</w:t>
      </w:r>
      <w:r>
        <w:rPr>
          <w:spacing w:val="-3"/>
        </w:rPr>
        <w:t xml:space="preserve"> </w:t>
      </w:r>
      <w:r>
        <w:t>20X1</w:t>
      </w:r>
      <w:r>
        <w:rPr>
          <w:spacing w:val="-3"/>
        </w:rPr>
        <w:t xml:space="preserve"> </w:t>
      </w:r>
      <w:r>
        <w:t>financial</w:t>
      </w:r>
      <w:r>
        <w:rPr>
          <w:spacing w:val="-4"/>
        </w:rPr>
        <w:t xml:space="preserve"> </w:t>
      </w:r>
      <w:r>
        <w:t>statements</w:t>
      </w:r>
      <w:r>
        <w:rPr>
          <w:spacing w:val="-3"/>
        </w:rPr>
        <w:t xml:space="preserve"> </w:t>
      </w:r>
      <w:r>
        <w:t>as</w:t>
      </w:r>
      <w:r>
        <w:rPr>
          <w:spacing w:val="-3"/>
        </w:rPr>
        <w:t xml:space="preserve"> </w:t>
      </w:r>
      <w:r>
        <w:t>part</w:t>
      </w:r>
      <w:r>
        <w:rPr>
          <w:spacing w:val="-3"/>
        </w:rPr>
        <w:t xml:space="preserve"> </w:t>
      </w:r>
      <w:r>
        <w:t>of</w:t>
      </w:r>
      <w:r>
        <w:rPr>
          <w:spacing w:val="-3"/>
        </w:rPr>
        <w:t xml:space="preserve"> </w:t>
      </w:r>
      <w:r>
        <w:t>the</w:t>
      </w:r>
      <w:r>
        <w:rPr>
          <w:spacing w:val="-3"/>
        </w:rPr>
        <w:t xml:space="preserve"> </w:t>
      </w:r>
      <w:r>
        <w:t>basis</w:t>
      </w:r>
      <w:r>
        <w:rPr>
          <w:spacing w:val="-3"/>
        </w:rPr>
        <w:t xml:space="preserve"> </w:t>
      </w:r>
      <w:r>
        <w:t>for</w:t>
      </w:r>
      <w:r>
        <w:rPr>
          <w:spacing w:val="-3"/>
        </w:rPr>
        <w:t xml:space="preserve"> </w:t>
      </w:r>
      <w:r>
        <w:t>our</w:t>
      </w:r>
      <w:r>
        <w:rPr>
          <w:spacing w:val="-3"/>
        </w:rPr>
        <w:t xml:space="preserve"> </w:t>
      </w:r>
      <w:r>
        <w:t>assessment</w:t>
      </w:r>
      <w:r>
        <w:rPr>
          <w:spacing w:val="-3"/>
        </w:rPr>
        <w:t xml:space="preserve"> </w:t>
      </w:r>
      <w:r>
        <w:t xml:space="preserve">about </w:t>
      </w:r>
      <w:r>
        <w:rPr>
          <w:b/>
        </w:rPr>
        <w:t xml:space="preserve">[Entity’s] </w:t>
      </w:r>
      <w:r>
        <w:t xml:space="preserve">internal control over financial reporting as of September 30, 20X2. </w:t>
      </w:r>
      <w:r>
        <w:rPr>
          <w:b/>
        </w:rPr>
        <w:t>[Delete this item if the auditor is not opining on internal control.]</w:t>
      </w:r>
    </w:p>
    <w:p w14:paraId="0DFDC7FE" w14:textId="77777777" w:rsidR="00046465" w:rsidRDefault="008134EB">
      <w:pPr>
        <w:pStyle w:val="ListParagraph"/>
        <w:numPr>
          <w:ilvl w:val="0"/>
          <w:numId w:val="66"/>
        </w:numPr>
        <w:tabs>
          <w:tab w:val="left" w:pos="720"/>
        </w:tabs>
        <w:spacing w:before="119"/>
        <w:ind w:left="720" w:right="746"/>
        <w:rPr>
          <w:b/>
        </w:rPr>
      </w:pPr>
      <w:r>
        <w:t xml:space="preserve">Based on the assessment in number 22, we conclude that as of September 30, 20X2, </w:t>
      </w:r>
      <w:r>
        <w:rPr>
          <w:b/>
        </w:rPr>
        <w:t>[Entity’s]</w:t>
      </w:r>
      <w:r>
        <w:rPr>
          <w:b/>
          <w:spacing w:val="-3"/>
        </w:rPr>
        <w:t xml:space="preserve"> </w:t>
      </w:r>
      <w:r>
        <w:t>internal</w:t>
      </w:r>
      <w:r>
        <w:rPr>
          <w:spacing w:val="-3"/>
        </w:rPr>
        <w:t xml:space="preserve"> </w:t>
      </w:r>
      <w:r>
        <w:t>control</w:t>
      </w:r>
      <w:r>
        <w:rPr>
          <w:spacing w:val="-3"/>
        </w:rPr>
        <w:t xml:space="preserve"> </w:t>
      </w:r>
      <w:r>
        <w:t>over</w:t>
      </w:r>
      <w:r>
        <w:rPr>
          <w:spacing w:val="-3"/>
        </w:rPr>
        <w:t xml:space="preserve"> </w:t>
      </w:r>
      <w:r>
        <w:t>financial</w:t>
      </w:r>
      <w:r>
        <w:rPr>
          <w:spacing w:val="-3"/>
        </w:rPr>
        <w:t xml:space="preserve"> </w:t>
      </w:r>
      <w:r>
        <w:t>reporting</w:t>
      </w:r>
      <w:r>
        <w:rPr>
          <w:spacing w:val="-4"/>
        </w:rPr>
        <w:t xml:space="preserve"> </w:t>
      </w:r>
      <w:r>
        <w:t>was</w:t>
      </w:r>
      <w:r>
        <w:rPr>
          <w:spacing w:val="-3"/>
        </w:rPr>
        <w:t xml:space="preserve"> </w:t>
      </w:r>
      <w:r>
        <w:t>effective.</w:t>
      </w:r>
      <w:r>
        <w:rPr>
          <w:spacing w:val="-3"/>
        </w:rPr>
        <w:t xml:space="preserve"> </w:t>
      </w:r>
      <w:r>
        <w:rPr>
          <w:b/>
        </w:rPr>
        <w:t>[This</w:t>
      </w:r>
      <w:r>
        <w:rPr>
          <w:b/>
          <w:spacing w:val="-3"/>
        </w:rPr>
        <w:t xml:space="preserve"> </w:t>
      </w:r>
      <w:r>
        <w:rPr>
          <w:b/>
        </w:rPr>
        <w:t>item</w:t>
      </w:r>
      <w:r>
        <w:rPr>
          <w:b/>
          <w:spacing w:val="-5"/>
        </w:rPr>
        <w:t xml:space="preserve"> </w:t>
      </w:r>
      <w:r>
        <w:rPr>
          <w:b/>
        </w:rPr>
        <w:t>is</w:t>
      </w:r>
      <w:r>
        <w:rPr>
          <w:b/>
          <w:spacing w:val="-3"/>
        </w:rPr>
        <w:t xml:space="preserve"> </w:t>
      </w:r>
      <w:r>
        <w:rPr>
          <w:b/>
        </w:rPr>
        <w:t>optional</w:t>
      </w:r>
      <w:r>
        <w:rPr>
          <w:b/>
          <w:spacing w:val="-3"/>
        </w:rPr>
        <w:t xml:space="preserve"> </w:t>
      </w:r>
      <w:r>
        <w:rPr>
          <w:b/>
        </w:rPr>
        <w:t>if</w:t>
      </w:r>
      <w:r>
        <w:rPr>
          <w:b/>
          <w:spacing w:val="-3"/>
        </w:rPr>
        <w:t xml:space="preserve"> </w:t>
      </w:r>
      <w:r>
        <w:rPr>
          <w:b/>
        </w:rPr>
        <w:t>the auditor is not opining on internal control.]</w:t>
      </w:r>
    </w:p>
    <w:p w14:paraId="0DFDC7FF" w14:textId="77777777" w:rsidR="00046465" w:rsidRDefault="008134EB">
      <w:pPr>
        <w:spacing w:before="121"/>
        <w:ind w:left="720" w:right="749"/>
      </w:pPr>
      <w:r>
        <w:rPr>
          <w:i/>
        </w:rPr>
        <w:t>If</w:t>
      </w:r>
      <w:r>
        <w:rPr>
          <w:i/>
          <w:spacing w:val="-3"/>
        </w:rPr>
        <w:t xml:space="preserve"> </w:t>
      </w:r>
      <w:r>
        <w:rPr>
          <w:i/>
        </w:rPr>
        <w:t>there</w:t>
      </w:r>
      <w:r>
        <w:rPr>
          <w:i/>
          <w:spacing w:val="-3"/>
        </w:rPr>
        <w:t xml:space="preserve"> </w:t>
      </w:r>
      <w:r>
        <w:rPr>
          <w:i/>
        </w:rPr>
        <w:t>are</w:t>
      </w:r>
      <w:r>
        <w:rPr>
          <w:i/>
          <w:spacing w:val="-4"/>
        </w:rPr>
        <w:t xml:space="preserve"> </w:t>
      </w:r>
      <w:r>
        <w:rPr>
          <w:i/>
        </w:rPr>
        <w:t>material</w:t>
      </w:r>
      <w:r>
        <w:rPr>
          <w:i/>
          <w:spacing w:val="-3"/>
        </w:rPr>
        <w:t xml:space="preserve"> </w:t>
      </w:r>
      <w:r>
        <w:rPr>
          <w:i/>
        </w:rPr>
        <w:t>weaknesses</w:t>
      </w:r>
      <w:r>
        <w:t>:</w:t>
      </w:r>
      <w:r>
        <w:rPr>
          <w:spacing w:val="-3"/>
        </w:rPr>
        <w:t xml:space="preserve"> </w:t>
      </w:r>
      <w:r>
        <w:t>Based</w:t>
      </w:r>
      <w:r>
        <w:rPr>
          <w:spacing w:val="-3"/>
        </w:rPr>
        <w:t xml:space="preserve"> </w:t>
      </w:r>
      <w:r>
        <w:t>on</w:t>
      </w:r>
      <w:r>
        <w:rPr>
          <w:spacing w:val="-3"/>
        </w:rPr>
        <w:t xml:space="preserve"> </w:t>
      </w:r>
      <w:r>
        <w:t>the</w:t>
      </w:r>
      <w:r>
        <w:rPr>
          <w:spacing w:val="-4"/>
        </w:rPr>
        <w:t xml:space="preserve"> </w:t>
      </w:r>
      <w:r>
        <w:t>assessment</w:t>
      </w:r>
      <w:r>
        <w:rPr>
          <w:spacing w:val="-4"/>
        </w:rPr>
        <w:t xml:space="preserve"> </w:t>
      </w:r>
      <w:r>
        <w:t>in</w:t>
      </w:r>
      <w:r>
        <w:rPr>
          <w:spacing w:val="-3"/>
        </w:rPr>
        <w:t xml:space="preserve"> </w:t>
      </w:r>
      <w:r>
        <w:t>number</w:t>
      </w:r>
      <w:r>
        <w:rPr>
          <w:spacing w:val="-3"/>
        </w:rPr>
        <w:t xml:space="preserve"> </w:t>
      </w:r>
      <w:r>
        <w:t>22,</w:t>
      </w:r>
      <w:r>
        <w:rPr>
          <w:spacing w:val="-3"/>
        </w:rPr>
        <w:t xml:space="preserve"> </w:t>
      </w:r>
      <w:r>
        <w:t>we</w:t>
      </w:r>
      <w:r>
        <w:rPr>
          <w:spacing w:val="-3"/>
        </w:rPr>
        <w:t xml:space="preserve"> </w:t>
      </w:r>
      <w:r>
        <w:t>conclude</w:t>
      </w:r>
      <w:r>
        <w:rPr>
          <w:spacing w:val="-3"/>
        </w:rPr>
        <w:t xml:space="preserve"> </w:t>
      </w:r>
      <w:r>
        <w:t xml:space="preserve">that as of September 30, 20X2, </w:t>
      </w:r>
      <w:r>
        <w:rPr>
          <w:b/>
        </w:rPr>
        <w:t xml:space="preserve">[Entity’s] </w:t>
      </w:r>
      <w:r>
        <w:t xml:space="preserve">internal control over financial reporting was not effective because of the effects of the material weaknesses discussed below </w:t>
      </w:r>
      <w:r>
        <w:rPr>
          <w:b/>
        </w:rPr>
        <w:t xml:space="preserve">[or in an </w:t>
      </w:r>
      <w:r>
        <w:rPr>
          <w:b/>
          <w:spacing w:val="-2"/>
        </w:rPr>
        <w:t>attachment]</w:t>
      </w:r>
      <w:r>
        <w:rPr>
          <w:spacing w:val="-2"/>
        </w:rPr>
        <w:t>.</w:t>
      </w:r>
    </w:p>
    <w:p w14:paraId="0DFDC800" w14:textId="77777777" w:rsidR="00046465" w:rsidRDefault="008134EB">
      <w:pPr>
        <w:pStyle w:val="ListParagraph"/>
        <w:numPr>
          <w:ilvl w:val="0"/>
          <w:numId w:val="66"/>
        </w:numPr>
        <w:tabs>
          <w:tab w:val="left" w:pos="720"/>
        </w:tabs>
        <w:ind w:left="720" w:right="792"/>
        <w:rPr>
          <w:b/>
        </w:rPr>
      </w:pPr>
      <w:r>
        <w:t>We</w:t>
      </w:r>
      <w:r>
        <w:rPr>
          <w:spacing w:val="-3"/>
        </w:rPr>
        <w:t xml:space="preserve"> </w:t>
      </w:r>
      <w:r>
        <w:t>have</w:t>
      </w:r>
      <w:r>
        <w:rPr>
          <w:spacing w:val="-3"/>
        </w:rPr>
        <w:t xml:space="preserve"> </w:t>
      </w:r>
      <w:r>
        <w:t>disclosed</w:t>
      </w:r>
      <w:r>
        <w:rPr>
          <w:spacing w:val="-3"/>
        </w:rPr>
        <w:t xml:space="preserve"> </w:t>
      </w:r>
      <w:r>
        <w:t>to</w:t>
      </w:r>
      <w:r>
        <w:rPr>
          <w:spacing w:val="-4"/>
        </w:rPr>
        <w:t xml:space="preserve"> </w:t>
      </w:r>
      <w:r>
        <w:t>you</w:t>
      </w:r>
      <w:r>
        <w:rPr>
          <w:spacing w:val="-3"/>
        </w:rPr>
        <w:t xml:space="preserve"> </w:t>
      </w:r>
      <w:r>
        <w:t>all</w:t>
      </w:r>
      <w:r>
        <w:rPr>
          <w:spacing w:val="-3"/>
        </w:rPr>
        <w:t xml:space="preserve"> </w:t>
      </w:r>
      <w:r>
        <w:rPr>
          <w:b/>
        </w:rPr>
        <w:t>[OR</w:t>
      </w:r>
      <w:r>
        <w:rPr>
          <w:b/>
          <w:spacing w:val="-4"/>
        </w:rPr>
        <w:t xml:space="preserve"> </w:t>
      </w:r>
      <w:r>
        <w:rPr>
          <w:b/>
        </w:rPr>
        <w:t>“There</w:t>
      </w:r>
      <w:r>
        <w:rPr>
          <w:b/>
          <w:spacing w:val="-3"/>
        </w:rPr>
        <w:t xml:space="preserve"> </w:t>
      </w:r>
      <w:r>
        <w:rPr>
          <w:b/>
        </w:rPr>
        <w:t>are</w:t>
      </w:r>
      <w:r>
        <w:rPr>
          <w:b/>
          <w:spacing w:val="-3"/>
        </w:rPr>
        <w:t xml:space="preserve"> </w:t>
      </w:r>
      <w:r>
        <w:rPr>
          <w:b/>
        </w:rPr>
        <w:t>no”]</w:t>
      </w:r>
      <w:r>
        <w:rPr>
          <w:b/>
          <w:spacing w:val="-3"/>
        </w:rPr>
        <w:t xml:space="preserve"> </w:t>
      </w:r>
      <w:r>
        <w:t>deficiencies</w:t>
      </w:r>
      <w:r>
        <w:rPr>
          <w:spacing w:val="-3"/>
        </w:rPr>
        <w:t xml:space="preserve"> </w:t>
      </w:r>
      <w:r>
        <w:t>in</w:t>
      </w:r>
      <w:r>
        <w:rPr>
          <w:spacing w:val="-3"/>
        </w:rPr>
        <w:t xml:space="preserve"> </w:t>
      </w:r>
      <w:r>
        <w:t>the</w:t>
      </w:r>
      <w:r>
        <w:rPr>
          <w:spacing w:val="-3"/>
        </w:rPr>
        <w:t xml:space="preserve"> </w:t>
      </w:r>
      <w:r>
        <w:t>design</w:t>
      </w:r>
      <w:r>
        <w:rPr>
          <w:spacing w:val="-3"/>
        </w:rPr>
        <w:t xml:space="preserve"> </w:t>
      </w:r>
      <w:r>
        <w:t>or</w:t>
      </w:r>
      <w:r>
        <w:rPr>
          <w:spacing w:val="-3"/>
        </w:rPr>
        <w:t xml:space="preserve"> </w:t>
      </w:r>
      <w:r>
        <w:t>operation</w:t>
      </w:r>
      <w:r>
        <w:rPr>
          <w:spacing w:val="-3"/>
        </w:rPr>
        <w:t xml:space="preserve"> </w:t>
      </w:r>
      <w:r>
        <w:t xml:space="preserve">of internal control over financial reporting as of September 30, 20X2, and we have separately disclosed all such deficiencies that we believe to be significant deficiencies or material weaknesses. </w:t>
      </w:r>
      <w:r>
        <w:rPr>
          <w:b/>
        </w:rPr>
        <w:t>[This item is optional if the auditor is not opining on internal control.]</w:t>
      </w:r>
    </w:p>
    <w:p w14:paraId="0DFDC801" w14:textId="77777777" w:rsidR="00046465" w:rsidRDefault="008134EB">
      <w:pPr>
        <w:pStyle w:val="ListParagraph"/>
        <w:numPr>
          <w:ilvl w:val="0"/>
          <w:numId w:val="66"/>
        </w:numPr>
        <w:tabs>
          <w:tab w:val="left" w:pos="720"/>
        </w:tabs>
        <w:spacing w:before="119"/>
        <w:ind w:left="720" w:right="828"/>
      </w:pPr>
      <w:r>
        <w:t>We</w:t>
      </w:r>
      <w:r>
        <w:rPr>
          <w:spacing w:val="-3"/>
        </w:rPr>
        <w:t xml:space="preserve"> </w:t>
      </w:r>
      <w:r>
        <w:t>have</w:t>
      </w:r>
      <w:r>
        <w:rPr>
          <w:spacing w:val="-3"/>
        </w:rPr>
        <w:t xml:space="preserve"> </w:t>
      </w:r>
      <w:r>
        <w:t>disclosed</w:t>
      </w:r>
      <w:r>
        <w:rPr>
          <w:spacing w:val="-3"/>
        </w:rPr>
        <w:t xml:space="preserve"> </w:t>
      </w:r>
      <w:r>
        <w:t>to</w:t>
      </w:r>
      <w:r>
        <w:rPr>
          <w:spacing w:val="-4"/>
        </w:rPr>
        <w:t xml:space="preserve"> </w:t>
      </w:r>
      <w:r>
        <w:t>you</w:t>
      </w:r>
      <w:r>
        <w:rPr>
          <w:spacing w:val="-3"/>
        </w:rPr>
        <w:t xml:space="preserve"> </w:t>
      </w:r>
      <w:r>
        <w:t>all</w:t>
      </w:r>
      <w:r>
        <w:rPr>
          <w:spacing w:val="-3"/>
        </w:rPr>
        <w:t xml:space="preserve"> </w:t>
      </w:r>
      <w:r>
        <w:t>significant</w:t>
      </w:r>
      <w:r>
        <w:rPr>
          <w:spacing w:val="-3"/>
        </w:rPr>
        <w:t xml:space="preserve"> </w:t>
      </w:r>
      <w:r>
        <w:t>deficiencies</w:t>
      </w:r>
      <w:r>
        <w:rPr>
          <w:spacing w:val="-3"/>
        </w:rPr>
        <w:t xml:space="preserve"> </w:t>
      </w:r>
      <w:r>
        <w:t>and</w:t>
      </w:r>
      <w:r>
        <w:rPr>
          <w:spacing w:val="-3"/>
        </w:rPr>
        <w:t xml:space="preserve"> </w:t>
      </w:r>
      <w:r>
        <w:t>material</w:t>
      </w:r>
      <w:r>
        <w:rPr>
          <w:spacing w:val="-3"/>
        </w:rPr>
        <w:t xml:space="preserve"> </w:t>
      </w:r>
      <w:r>
        <w:t>weaknesses</w:t>
      </w:r>
      <w:r>
        <w:rPr>
          <w:spacing w:val="-3"/>
        </w:rPr>
        <w:t xml:space="preserve"> </w:t>
      </w:r>
      <w:r>
        <w:t>in</w:t>
      </w:r>
      <w:r>
        <w:rPr>
          <w:spacing w:val="-4"/>
        </w:rPr>
        <w:t xml:space="preserve"> </w:t>
      </w:r>
      <w:r>
        <w:t>the</w:t>
      </w:r>
      <w:r>
        <w:rPr>
          <w:spacing w:val="-4"/>
        </w:rPr>
        <w:t xml:space="preserve"> </w:t>
      </w:r>
      <w:r>
        <w:t>design or operation of internal control over financial reporting that existed at any time during the years ended September 30, 20X2, and September 30, 20X1, and indicated which deficiencies were corrected by September 30, 20X2.</w:t>
      </w:r>
    </w:p>
    <w:p w14:paraId="0DFDC802" w14:textId="77777777" w:rsidR="00046465" w:rsidRDefault="008134EB">
      <w:pPr>
        <w:pStyle w:val="ListParagraph"/>
        <w:numPr>
          <w:ilvl w:val="0"/>
          <w:numId w:val="66"/>
        </w:numPr>
        <w:tabs>
          <w:tab w:val="left" w:pos="720"/>
        </w:tabs>
        <w:spacing w:before="121"/>
        <w:ind w:left="720" w:right="987"/>
      </w:pPr>
      <w:r>
        <w:t>All</w:t>
      </w:r>
      <w:r>
        <w:rPr>
          <w:spacing w:val="-4"/>
        </w:rPr>
        <w:t xml:space="preserve"> </w:t>
      </w:r>
      <w:r>
        <w:t>significant</w:t>
      </w:r>
      <w:r>
        <w:rPr>
          <w:spacing w:val="-4"/>
        </w:rPr>
        <w:t xml:space="preserve"> </w:t>
      </w:r>
      <w:r>
        <w:t>deficiencies</w:t>
      </w:r>
      <w:r>
        <w:rPr>
          <w:spacing w:val="-4"/>
        </w:rPr>
        <w:t xml:space="preserve"> </w:t>
      </w:r>
      <w:r>
        <w:t>and</w:t>
      </w:r>
      <w:r>
        <w:rPr>
          <w:spacing w:val="-4"/>
        </w:rPr>
        <w:t xml:space="preserve"> </w:t>
      </w:r>
      <w:r>
        <w:t>material</w:t>
      </w:r>
      <w:r>
        <w:rPr>
          <w:spacing w:val="-4"/>
        </w:rPr>
        <w:t xml:space="preserve"> </w:t>
      </w:r>
      <w:r>
        <w:t>weaknesses</w:t>
      </w:r>
      <w:r>
        <w:rPr>
          <w:spacing w:val="-4"/>
        </w:rPr>
        <w:t xml:space="preserve"> </w:t>
      </w:r>
      <w:r>
        <w:t>identified</w:t>
      </w:r>
      <w:r>
        <w:rPr>
          <w:spacing w:val="-5"/>
        </w:rPr>
        <w:t xml:space="preserve"> </w:t>
      </w:r>
      <w:r>
        <w:t>and</w:t>
      </w:r>
      <w:r>
        <w:rPr>
          <w:spacing w:val="-4"/>
        </w:rPr>
        <w:t xml:space="preserve"> </w:t>
      </w:r>
      <w:r>
        <w:t>communicated</w:t>
      </w:r>
      <w:r>
        <w:rPr>
          <w:spacing w:val="-4"/>
        </w:rPr>
        <w:t xml:space="preserve"> </w:t>
      </w:r>
      <w:r>
        <w:t>to</w:t>
      </w:r>
      <w:r>
        <w:rPr>
          <w:spacing w:val="-4"/>
        </w:rPr>
        <w:t xml:space="preserve"> </w:t>
      </w:r>
      <w:r>
        <w:t>us</w:t>
      </w:r>
      <w:r>
        <w:rPr>
          <w:spacing w:val="-4"/>
        </w:rPr>
        <w:t xml:space="preserve"> </w:t>
      </w:r>
      <w:r>
        <w:t xml:space="preserve">by </w:t>
      </w:r>
      <w:r>
        <w:rPr>
          <w:b/>
        </w:rPr>
        <w:t xml:space="preserve">[auditor] </w:t>
      </w:r>
      <w:r>
        <w:t>in prior years’</w:t>
      </w:r>
      <w:r>
        <w:rPr>
          <w:spacing w:val="-1"/>
        </w:rPr>
        <w:t xml:space="preserve"> </w:t>
      </w:r>
      <w:r>
        <w:t>audits that remained unresolved as</w:t>
      </w:r>
      <w:r>
        <w:rPr>
          <w:spacing w:val="-1"/>
        </w:rPr>
        <w:t xml:space="preserve"> </w:t>
      </w:r>
      <w:r>
        <w:t xml:space="preserve">of September 30, 20X1, have been resolved </w:t>
      </w:r>
      <w:r>
        <w:rPr>
          <w:b/>
        </w:rPr>
        <w:t xml:space="preserve">OR [indicate specifically any that have not been resolved] </w:t>
      </w:r>
      <w:r>
        <w:t>as of September 30, 20X2.</w:t>
      </w:r>
    </w:p>
    <w:p w14:paraId="0DFDC803" w14:textId="77777777" w:rsidR="00046465" w:rsidRDefault="008134EB">
      <w:pPr>
        <w:spacing w:before="120"/>
        <w:ind w:left="720" w:right="726"/>
      </w:pPr>
      <w:r>
        <w:rPr>
          <w:i/>
        </w:rPr>
        <w:t xml:space="preserve">If there were no significant deficiencies or material weaknesses: </w:t>
      </w:r>
      <w:r>
        <w:t>During the audit of the financial</w:t>
      </w:r>
      <w:r>
        <w:rPr>
          <w:spacing w:val="-4"/>
        </w:rPr>
        <w:t xml:space="preserve"> </w:t>
      </w:r>
      <w:r>
        <w:t>statements</w:t>
      </w:r>
      <w:r>
        <w:rPr>
          <w:spacing w:val="-3"/>
        </w:rPr>
        <w:t xml:space="preserve"> </w:t>
      </w:r>
      <w:r>
        <w:t>for</w:t>
      </w:r>
      <w:r>
        <w:rPr>
          <w:spacing w:val="-3"/>
        </w:rPr>
        <w:t xml:space="preserve"> </w:t>
      </w:r>
      <w:r>
        <w:t>the</w:t>
      </w:r>
      <w:r>
        <w:rPr>
          <w:spacing w:val="-3"/>
        </w:rPr>
        <w:t xml:space="preserve"> </w:t>
      </w:r>
      <w:r>
        <w:t>year</w:t>
      </w:r>
      <w:r>
        <w:rPr>
          <w:spacing w:val="-3"/>
        </w:rPr>
        <w:t xml:space="preserve"> </w:t>
      </w:r>
      <w:r>
        <w:t>ended</w:t>
      </w:r>
      <w:r>
        <w:rPr>
          <w:spacing w:val="-3"/>
        </w:rPr>
        <w:t xml:space="preserve"> </w:t>
      </w:r>
      <w:r>
        <w:t>September</w:t>
      </w:r>
      <w:r>
        <w:rPr>
          <w:spacing w:val="-3"/>
        </w:rPr>
        <w:t xml:space="preserve"> </w:t>
      </w:r>
      <w:r>
        <w:t>30,</w:t>
      </w:r>
      <w:r>
        <w:rPr>
          <w:spacing w:val="-3"/>
        </w:rPr>
        <w:t xml:space="preserve"> </w:t>
      </w:r>
      <w:r>
        <w:t>20X1,</w:t>
      </w:r>
      <w:r>
        <w:rPr>
          <w:spacing w:val="-3"/>
        </w:rPr>
        <w:t xml:space="preserve"> </w:t>
      </w:r>
      <w:r>
        <w:rPr>
          <w:b/>
        </w:rPr>
        <w:t>[auditor]</w:t>
      </w:r>
      <w:r>
        <w:rPr>
          <w:b/>
          <w:spacing w:val="-3"/>
        </w:rPr>
        <w:t xml:space="preserve"> </w:t>
      </w:r>
      <w:r>
        <w:t>did</w:t>
      </w:r>
      <w:r>
        <w:rPr>
          <w:spacing w:val="-3"/>
        </w:rPr>
        <w:t xml:space="preserve"> </w:t>
      </w:r>
      <w:r>
        <w:t>not</w:t>
      </w:r>
      <w:r>
        <w:rPr>
          <w:spacing w:val="-3"/>
        </w:rPr>
        <w:t xml:space="preserve"> </w:t>
      </w:r>
      <w:r>
        <w:t>communicate any significant deficiencies or material weaknesses to us.</w:t>
      </w:r>
    </w:p>
    <w:p w14:paraId="0DFDC804" w14:textId="77777777" w:rsidR="00046465" w:rsidRDefault="008134EB">
      <w:pPr>
        <w:pStyle w:val="ListParagraph"/>
        <w:numPr>
          <w:ilvl w:val="0"/>
          <w:numId w:val="66"/>
        </w:numPr>
        <w:tabs>
          <w:tab w:val="left" w:pos="720"/>
        </w:tabs>
        <w:spacing w:before="119"/>
        <w:ind w:left="720" w:right="986"/>
      </w:pPr>
      <w:r>
        <w:t>We have identified to you all previous audits, attestation engagements, and other studies that</w:t>
      </w:r>
      <w:r>
        <w:rPr>
          <w:spacing w:val="-3"/>
        </w:rPr>
        <w:t xml:space="preserve"> </w:t>
      </w:r>
      <w:r>
        <w:t>relate</w:t>
      </w:r>
      <w:r>
        <w:rPr>
          <w:spacing w:val="-4"/>
        </w:rPr>
        <w:t xml:space="preserve"> </w:t>
      </w:r>
      <w:r>
        <w:t>to</w:t>
      </w:r>
      <w:r>
        <w:rPr>
          <w:spacing w:val="-4"/>
        </w:rPr>
        <w:t xml:space="preserve"> </w:t>
      </w:r>
      <w:r>
        <w:t>the</w:t>
      </w:r>
      <w:r>
        <w:rPr>
          <w:spacing w:val="-3"/>
        </w:rPr>
        <w:t xml:space="preserve"> </w:t>
      </w:r>
      <w:r>
        <w:t>objectives</w:t>
      </w:r>
      <w:r>
        <w:rPr>
          <w:spacing w:val="-4"/>
        </w:rPr>
        <w:t xml:space="preserve"> </w:t>
      </w:r>
      <w:r>
        <w:t>of</w:t>
      </w:r>
      <w:r>
        <w:rPr>
          <w:spacing w:val="-3"/>
        </w:rPr>
        <w:t xml:space="preserve"> </w:t>
      </w:r>
      <w:r>
        <w:t>this</w:t>
      </w:r>
      <w:r>
        <w:rPr>
          <w:spacing w:val="-4"/>
        </w:rPr>
        <w:t xml:space="preserve"> </w:t>
      </w:r>
      <w:r>
        <w:t>audit,</w:t>
      </w:r>
      <w:r>
        <w:rPr>
          <w:spacing w:val="-3"/>
        </w:rPr>
        <w:t xml:space="preserve"> </w:t>
      </w:r>
      <w:r>
        <w:t>including</w:t>
      </w:r>
      <w:r>
        <w:rPr>
          <w:spacing w:val="-4"/>
        </w:rPr>
        <w:t xml:space="preserve"> </w:t>
      </w:r>
      <w:r>
        <w:t>whether</w:t>
      </w:r>
      <w:r>
        <w:rPr>
          <w:spacing w:val="-3"/>
        </w:rPr>
        <w:t xml:space="preserve"> </w:t>
      </w:r>
      <w:r>
        <w:t>related</w:t>
      </w:r>
      <w:r>
        <w:rPr>
          <w:spacing w:val="-4"/>
        </w:rPr>
        <w:t xml:space="preserve"> </w:t>
      </w:r>
      <w:r>
        <w:t>recommendations</w:t>
      </w:r>
      <w:r>
        <w:rPr>
          <w:spacing w:val="-3"/>
        </w:rPr>
        <w:t xml:space="preserve"> </w:t>
      </w:r>
      <w:r>
        <w:t>have been implemented.</w:t>
      </w:r>
    </w:p>
    <w:p w14:paraId="0DFDC805" w14:textId="77777777" w:rsidR="00046465" w:rsidRDefault="008134EB">
      <w:pPr>
        <w:pStyle w:val="ListParagraph"/>
        <w:numPr>
          <w:ilvl w:val="0"/>
          <w:numId w:val="66"/>
        </w:numPr>
        <w:tabs>
          <w:tab w:val="left" w:pos="720"/>
        </w:tabs>
        <w:spacing w:before="121"/>
        <w:ind w:left="720" w:right="957"/>
        <w:rPr>
          <w:b/>
        </w:rPr>
      </w:pPr>
      <w:r>
        <w:t>There have been no changes to internal control over financial reporting subsequent to September</w:t>
      </w:r>
      <w:r>
        <w:rPr>
          <w:spacing w:val="-3"/>
        </w:rPr>
        <w:t xml:space="preserve"> </w:t>
      </w:r>
      <w:r>
        <w:t>30,</w:t>
      </w:r>
      <w:r>
        <w:rPr>
          <w:spacing w:val="-4"/>
        </w:rPr>
        <w:t xml:space="preserve"> </w:t>
      </w:r>
      <w:r>
        <w:t>20X2,</w:t>
      </w:r>
      <w:r>
        <w:rPr>
          <w:spacing w:val="-4"/>
        </w:rPr>
        <w:t xml:space="preserve"> </w:t>
      </w:r>
      <w:r>
        <w:t>or</w:t>
      </w:r>
      <w:r>
        <w:rPr>
          <w:spacing w:val="-6"/>
        </w:rPr>
        <w:t xml:space="preserve"> </w:t>
      </w:r>
      <w:r>
        <w:t>other</w:t>
      </w:r>
      <w:r>
        <w:rPr>
          <w:spacing w:val="-4"/>
        </w:rPr>
        <w:t xml:space="preserve"> </w:t>
      </w:r>
      <w:r>
        <w:t>conditions</w:t>
      </w:r>
      <w:r>
        <w:rPr>
          <w:spacing w:val="-4"/>
        </w:rPr>
        <w:t xml:space="preserve"> </w:t>
      </w:r>
      <w:r>
        <w:t>that</w:t>
      </w:r>
      <w:r>
        <w:rPr>
          <w:spacing w:val="-4"/>
        </w:rPr>
        <w:t xml:space="preserve"> </w:t>
      </w:r>
      <w:r>
        <w:t>might</w:t>
      </w:r>
      <w:r>
        <w:rPr>
          <w:spacing w:val="-4"/>
        </w:rPr>
        <w:t xml:space="preserve"> </w:t>
      </w:r>
      <w:r>
        <w:t>significantly</w:t>
      </w:r>
      <w:r>
        <w:rPr>
          <w:spacing w:val="-4"/>
        </w:rPr>
        <w:t xml:space="preserve"> </w:t>
      </w:r>
      <w:r>
        <w:t>affect</w:t>
      </w:r>
      <w:r>
        <w:rPr>
          <w:spacing w:val="-5"/>
        </w:rPr>
        <w:t xml:space="preserve"> </w:t>
      </w:r>
      <w:r>
        <w:t>internal</w:t>
      </w:r>
      <w:r>
        <w:rPr>
          <w:spacing w:val="-4"/>
        </w:rPr>
        <w:t xml:space="preserve"> </w:t>
      </w:r>
      <w:r>
        <w:t>control</w:t>
      </w:r>
      <w:r>
        <w:rPr>
          <w:spacing w:val="-4"/>
        </w:rPr>
        <w:t xml:space="preserve"> </w:t>
      </w:r>
      <w:r>
        <w:t xml:space="preserve">over financial reporting. </w:t>
      </w:r>
      <w:r>
        <w:rPr>
          <w:b/>
        </w:rPr>
        <w:t>[If there were changes, describe them, including any corrective actions taken with regard to any significant deficiencies or material weaknesses.]</w:t>
      </w:r>
    </w:p>
    <w:p w14:paraId="0DFDC806" w14:textId="77777777" w:rsidR="00046465" w:rsidRDefault="008134EB">
      <w:pPr>
        <w:spacing w:before="119"/>
        <w:ind w:left="360"/>
        <w:rPr>
          <w:b/>
        </w:rPr>
      </w:pPr>
      <w:r>
        <w:rPr>
          <w:b/>
          <w:spacing w:val="-4"/>
          <w:u w:val="thick"/>
        </w:rPr>
        <w:t>Fraud</w:t>
      </w:r>
    </w:p>
    <w:p w14:paraId="0DFDC807" w14:textId="77777777" w:rsidR="00046465" w:rsidRDefault="008134EB">
      <w:pPr>
        <w:pStyle w:val="ListParagraph"/>
        <w:numPr>
          <w:ilvl w:val="0"/>
          <w:numId w:val="66"/>
        </w:numPr>
        <w:tabs>
          <w:tab w:val="left" w:pos="719"/>
        </w:tabs>
        <w:spacing w:before="121"/>
        <w:ind w:right="1023"/>
      </w:pPr>
      <w:r>
        <w:t>We</w:t>
      </w:r>
      <w:r>
        <w:rPr>
          <w:spacing w:val="-5"/>
        </w:rPr>
        <w:t xml:space="preserve"> </w:t>
      </w:r>
      <w:r>
        <w:t>acknowledge</w:t>
      </w:r>
      <w:r>
        <w:rPr>
          <w:spacing w:val="-5"/>
        </w:rPr>
        <w:t xml:space="preserve"> </w:t>
      </w:r>
      <w:r>
        <w:t>our</w:t>
      </w:r>
      <w:r>
        <w:rPr>
          <w:spacing w:val="-5"/>
        </w:rPr>
        <w:t xml:space="preserve"> </w:t>
      </w:r>
      <w:r>
        <w:t>responsibility</w:t>
      </w:r>
      <w:r>
        <w:rPr>
          <w:spacing w:val="-5"/>
        </w:rPr>
        <w:t xml:space="preserve"> </w:t>
      </w:r>
      <w:r>
        <w:t>for</w:t>
      </w:r>
      <w:r>
        <w:rPr>
          <w:spacing w:val="-5"/>
        </w:rPr>
        <w:t xml:space="preserve"> </w:t>
      </w:r>
      <w:r>
        <w:t>designing,</w:t>
      </w:r>
      <w:r>
        <w:rPr>
          <w:spacing w:val="-5"/>
        </w:rPr>
        <w:t xml:space="preserve"> </w:t>
      </w:r>
      <w:r>
        <w:t>implementing,</w:t>
      </w:r>
      <w:r>
        <w:rPr>
          <w:spacing w:val="-5"/>
        </w:rPr>
        <w:t xml:space="preserve"> </w:t>
      </w:r>
      <w:r>
        <w:t>and</w:t>
      </w:r>
      <w:r>
        <w:rPr>
          <w:spacing w:val="-5"/>
        </w:rPr>
        <w:t xml:space="preserve"> </w:t>
      </w:r>
      <w:r>
        <w:t>maintaining</w:t>
      </w:r>
      <w:r>
        <w:rPr>
          <w:spacing w:val="-5"/>
        </w:rPr>
        <w:t xml:space="preserve"> </w:t>
      </w:r>
      <w:r>
        <w:t>effective internal control to prevent and detect fraud.</w:t>
      </w:r>
    </w:p>
    <w:p w14:paraId="0DFDC808" w14:textId="77777777" w:rsidR="00046465" w:rsidRDefault="008134EB">
      <w:pPr>
        <w:pStyle w:val="ListParagraph"/>
        <w:numPr>
          <w:ilvl w:val="0"/>
          <w:numId w:val="66"/>
        </w:numPr>
        <w:tabs>
          <w:tab w:val="left" w:pos="719"/>
        </w:tabs>
        <w:spacing w:before="119"/>
        <w:ind w:right="1084"/>
      </w:pPr>
      <w:r>
        <w:t>We</w:t>
      </w:r>
      <w:r>
        <w:rPr>
          <w:spacing w:val="-4"/>
        </w:rPr>
        <w:t xml:space="preserve"> </w:t>
      </w:r>
      <w:r>
        <w:t>have</w:t>
      </w:r>
      <w:r>
        <w:rPr>
          <w:spacing w:val="-4"/>
        </w:rPr>
        <w:t xml:space="preserve"> </w:t>
      </w:r>
      <w:r>
        <w:t>fulfilled</w:t>
      </w:r>
      <w:r>
        <w:rPr>
          <w:spacing w:val="-4"/>
        </w:rPr>
        <w:t xml:space="preserve"> </w:t>
      </w:r>
      <w:r>
        <w:t>our</w:t>
      </w:r>
      <w:r>
        <w:rPr>
          <w:spacing w:val="-4"/>
        </w:rPr>
        <w:t xml:space="preserve"> </w:t>
      </w:r>
      <w:r>
        <w:t>responsibility</w:t>
      </w:r>
      <w:r>
        <w:rPr>
          <w:spacing w:val="-4"/>
        </w:rPr>
        <w:t xml:space="preserve"> </w:t>
      </w:r>
      <w:r>
        <w:t>for</w:t>
      </w:r>
      <w:r>
        <w:rPr>
          <w:spacing w:val="-4"/>
        </w:rPr>
        <w:t xml:space="preserve"> </w:t>
      </w:r>
      <w:r>
        <w:t>designing,</w:t>
      </w:r>
      <w:r>
        <w:rPr>
          <w:spacing w:val="-5"/>
        </w:rPr>
        <w:t xml:space="preserve"> </w:t>
      </w:r>
      <w:r>
        <w:t>implementing,</w:t>
      </w:r>
      <w:r>
        <w:rPr>
          <w:spacing w:val="-4"/>
        </w:rPr>
        <w:t xml:space="preserve"> </w:t>
      </w:r>
      <w:r>
        <w:t>and</w:t>
      </w:r>
      <w:r>
        <w:rPr>
          <w:spacing w:val="-4"/>
        </w:rPr>
        <w:t xml:space="preserve"> </w:t>
      </w:r>
      <w:r>
        <w:t>maintaining</w:t>
      </w:r>
      <w:r>
        <w:rPr>
          <w:spacing w:val="-4"/>
        </w:rPr>
        <w:t xml:space="preserve"> </w:t>
      </w:r>
      <w:r>
        <w:t>effective internal control to prevent or detect fraud.</w:t>
      </w:r>
    </w:p>
    <w:p w14:paraId="0DFDC809" w14:textId="77777777" w:rsidR="00046465" w:rsidRDefault="008134EB">
      <w:pPr>
        <w:pStyle w:val="ListParagraph"/>
        <w:numPr>
          <w:ilvl w:val="0"/>
          <w:numId w:val="66"/>
        </w:numPr>
        <w:tabs>
          <w:tab w:val="left" w:pos="719"/>
        </w:tabs>
        <w:spacing w:before="121"/>
        <w:ind w:right="736"/>
      </w:pPr>
      <w:r>
        <w:t>We</w:t>
      </w:r>
      <w:r>
        <w:rPr>
          <w:spacing w:val="-3"/>
        </w:rPr>
        <w:t xml:space="preserve"> </w:t>
      </w:r>
      <w:r>
        <w:t>have</w:t>
      </w:r>
      <w:r>
        <w:rPr>
          <w:spacing w:val="-3"/>
        </w:rPr>
        <w:t xml:space="preserve"> </w:t>
      </w:r>
      <w:r>
        <w:rPr>
          <w:b/>
        </w:rPr>
        <w:t>[no</w:t>
      </w:r>
      <w:r>
        <w:rPr>
          <w:b/>
          <w:spacing w:val="-3"/>
        </w:rPr>
        <w:t xml:space="preserve"> </w:t>
      </w:r>
      <w:r>
        <w:rPr>
          <w:b/>
        </w:rPr>
        <w:t>knowledge</w:t>
      </w:r>
      <w:r>
        <w:rPr>
          <w:b/>
          <w:spacing w:val="-3"/>
        </w:rPr>
        <w:t xml:space="preserve"> </w:t>
      </w:r>
      <w:r>
        <w:rPr>
          <w:b/>
        </w:rPr>
        <w:t>of</w:t>
      </w:r>
      <w:r>
        <w:rPr>
          <w:b/>
          <w:spacing w:val="-3"/>
        </w:rPr>
        <w:t xml:space="preserve"> </w:t>
      </w:r>
      <w:r>
        <w:rPr>
          <w:b/>
        </w:rPr>
        <w:t>any]</w:t>
      </w:r>
      <w:r>
        <w:rPr>
          <w:b/>
          <w:spacing w:val="-3"/>
        </w:rPr>
        <w:t xml:space="preserve"> </w:t>
      </w:r>
      <w:r>
        <w:rPr>
          <w:b/>
        </w:rPr>
        <w:t>OR</w:t>
      </w:r>
      <w:r>
        <w:rPr>
          <w:b/>
          <w:spacing w:val="-4"/>
        </w:rPr>
        <w:t xml:space="preserve"> </w:t>
      </w:r>
      <w:r>
        <w:rPr>
          <w:b/>
        </w:rPr>
        <w:t>[disclosed</w:t>
      </w:r>
      <w:r>
        <w:rPr>
          <w:b/>
          <w:spacing w:val="-3"/>
        </w:rPr>
        <w:t xml:space="preserve"> </w:t>
      </w:r>
      <w:r>
        <w:rPr>
          <w:b/>
        </w:rPr>
        <w:t>to</w:t>
      </w:r>
      <w:r>
        <w:rPr>
          <w:b/>
          <w:spacing w:val="-3"/>
        </w:rPr>
        <w:t xml:space="preserve"> </w:t>
      </w:r>
      <w:r>
        <w:rPr>
          <w:b/>
        </w:rPr>
        <w:t>you</w:t>
      </w:r>
      <w:r>
        <w:rPr>
          <w:b/>
          <w:spacing w:val="-3"/>
        </w:rPr>
        <w:t xml:space="preserve"> </w:t>
      </w:r>
      <w:r>
        <w:rPr>
          <w:b/>
        </w:rPr>
        <w:t>all</w:t>
      </w:r>
      <w:r>
        <w:rPr>
          <w:b/>
          <w:spacing w:val="-4"/>
        </w:rPr>
        <w:t xml:space="preserve"> </w:t>
      </w:r>
      <w:r>
        <w:rPr>
          <w:b/>
        </w:rPr>
        <w:t>information</w:t>
      </w:r>
      <w:r>
        <w:rPr>
          <w:b/>
          <w:spacing w:val="-3"/>
        </w:rPr>
        <w:t xml:space="preserve"> </w:t>
      </w:r>
      <w:r>
        <w:rPr>
          <w:b/>
        </w:rPr>
        <w:t>that</w:t>
      </w:r>
      <w:r>
        <w:rPr>
          <w:b/>
          <w:spacing w:val="-3"/>
        </w:rPr>
        <w:t xml:space="preserve"> </w:t>
      </w:r>
      <w:r>
        <w:rPr>
          <w:b/>
        </w:rPr>
        <w:t>we</w:t>
      </w:r>
      <w:r>
        <w:rPr>
          <w:b/>
          <w:spacing w:val="-3"/>
        </w:rPr>
        <w:t xml:space="preserve"> </w:t>
      </w:r>
      <w:r>
        <w:rPr>
          <w:b/>
        </w:rPr>
        <w:t>are</w:t>
      </w:r>
      <w:r>
        <w:rPr>
          <w:b/>
          <w:spacing w:val="-2"/>
        </w:rPr>
        <w:t xml:space="preserve"> </w:t>
      </w:r>
      <w:r>
        <w:rPr>
          <w:b/>
        </w:rPr>
        <w:t xml:space="preserve">aware of regarding] </w:t>
      </w:r>
      <w:r>
        <w:t>fraud or suspected fraud that affects the entity and involves (1) management,</w:t>
      </w:r>
    </w:p>
    <w:p w14:paraId="0DFDC80A" w14:textId="77777777" w:rsidR="00046465" w:rsidRDefault="008134EB">
      <w:pPr>
        <w:pStyle w:val="BodyText"/>
        <w:ind w:left="720" w:right="749" w:hanging="1"/>
        <w:rPr>
          <w:b/>
        </w:rPr>
      </w:pPr>
      <w:r>
        <w:t>(2) employees who have significant roles in internal control over financial reporting, or (3) others</w:t>
      </w:r>
      <w:r>
        <w:rPr>
          <w:spacing w:val="-3"/>
        </w:rPr>
        <w:t xml:space="preserve"> </w:t>
      </w:r>
      <w:r>
        <w:t>when</w:t>
      </w:r>
      <w:r>
        <w:rPr>
          <w:spacing w:val="-3"/>
        </w:rPr>
        <w:t xml:space="preserve"> </w:t>
      </w:r>
      <w:r>
        <w:t>the</w:t>
      </w:r>
      <w:r>
        <w:rPr>
          <w:spacing w:val="-3"/>
        </w:rPr>
        <w:t xml:space="preserve"> </w:t>
      </w:r>
      <w:r>
        <w:t>fraud</w:t>
      </w:r>
      <w:r>
        <w:rPr>
          <w:spacing w:val="-3"/>
        </w:rPr>
        <w:t xml:space="preserve"> </w:t>
      </w:r>
      <w:r>
        <w:t>could</w:t>
      </w:r>
      <w:r>
        <w:rPr>
          <w:spacing w:val="-3"/>
        </w:rPr>
        <w:t xml:space="preserve"> </w:t>
      </w:r>
      <w:r>
        <w:t>have</w:t>
      </w:r>
      <w:r>
        <w:rPr>
          <w:spacing w:val="-3"/>
        </w:rPr>
        <w:t xml:space="preserve"> </w:t>
      </w:r>
      <w:r>
        <w:t>a</w:t>
      </w:r>
      <w:r>
        <w:rPr>
          <w:spacing w:val="-4"/>
        </w:rPr>
        <w:t xml:space="preserve"> </w:t>
      </w:r>
      <w:r>
        <w:t>material</w:t>
      </w:r>
      <w:r>
        <w:rPr>
          <w:spacing w:val="-3"/>
        </w:rPr>
        <w:t xml:space="preserve"> </w:t>
      </w:r>
      <w:r>
        <w:t>effect</w:t>
      </w:r>
      <w:r>
        <w:rPr>
          <w:spacing w:val="-3"/>
        </w:rPr>
        <w:t xml:space="preserve"> </w:t>
      </w:r>
      <w:r>
        <w:t>on</w:t>
      </w:r>
      <w:r>
        <w:rPr>
          <w:spacing w:val="-3"/>
        </w:rPr>
        <w:t xml:space="preserve"> </w:t>
      </w:r>
      <w:r>
        <w:t>the</w:t>
      </w:r>
      <w:r>
        <w:rPr>
          <w:spacing w:val="-3"/>
        </w:rPr>
        <w:t xml:space="preserve"> </w:t>
      </w:r>
      <w:r>
        <w:t>financial</w:t>
      </w:r>
      <w:r>
        <w:rPr>
          <w:spacing w:val="-3"/>
        </w:rPr>
        <w:t xml:space="preserve"> </w:t>
      </w:r>
      <w:r>
        <w:t>statements.</w:t>
      </w:r>
      <w:r>
        <w:rPr>
          <w:spacing w:val="-3"/>
        </w:rPr>
        <w:t xml:space="preserve"> </w:t>
      </w:r>
      <w:r>
        <w:rPr>
          <w:b/>
        </w:rPr>
        <w:t>[If</w:t>
      </w:r>
      <w:r>
        <w:rPr>
          <w:b/>
          <w:spacing w:val="-3"/>
        </w:rPr>
        <w:t xml:space="preserve"> </w:t>
      </w:r>
      <w:r>
        <w:rPr>
          <w:b/>
        </w:rPr>
        <w:t>there</w:t>
      </w:r>
      <w:r>
        <w:rPr>
          <w:b/>
          <w:spacing w:val="-3"/>
        </w:rPr>
        <w:t xml:space="preserve"> </w:t>
      </w:r>
      <w:r>
        <w:rPr>
          <w:b/>
        </w:rPr>
        <w:t>is</w:t>
      </w:r>
    </w:p>
    <w:p w14:paraId="0DFDC80B" w14:textId="77777777" w:rsidR="00046465" w:rsidRDefault="00046465">
      <w:pPr>
        <w:pStyle w:val="BodyText"/>
        <w:rPr>
          <w:b/>
        </w:rPr>
        <w:sectPr w:rsidR="00046465">
          <w:pgSz w:w="12240" w:h="15840"/>
          <w:pgMar w:top="1340" w:right="720" w:bottom="1020" w:left="1080" w:header="721" w:footer="757" w:gutter="0"/>
          <w:cols w:space="720"/>
        </w:sectPr>
      </w:pPr>
    </w:p>
    <w:p w14:paraId="0DFDC80C" w14:textId="77777777" w:rsidR="00046465" w:rsidRDefault="008134EB">
      <w:pPr>
        <w:spacing w:before="121"/>
        <w:ind w:left="720" w:right="1845"/>
        <w:jc w:val="both"/>
        <w:rPr>
          <w:b/>
        </w:rPr>
      </w:pPr>
      <w:r>
        <w:rPr>
          <w:b/>
        </w:rPr>
        <w:lastRenderedPageBreak/>
        <w:t>knowledge</w:t>
      </w:r>
      <w:r>
        <w:rPr>
          <w:b/>
          <w:spacing w:val="-4"/>
        </w:rPr>
        <w:t xml:space="preserve"> </w:t>
      </w:r>
      <w:r>
        <w:rPr>
          <w:b/>
        </w:rPr>
        <w:t>of</w:t>
      </w:r>
      <w:r>
        <w:rPr>
          <w:b/>
          <w:spacing w:val="-4"/>
        </w:rPr>
        <w:t xml:space="preserve"> </w:t>
      </w:r>
      <w:r>
        <w:rPr>
          <w:b/>
        </w:rPr>
        <w:t>any</w:t>
      </w:r>
      <w:r>
        <w:rPr>
          <w:b/>
          <w:spacing w:val="-4"/>
        </w:rPr>
        <w:t xml:space="preserve"> </w:t>
      </w:r>
      <w:r>
        <w:rPr>
          <w:b/>
        </w:rPr>
        <w:t>instances,</w:t>
      </w:r>
      <w:r>
        <w:rPr>
          <w:b/>
          <w:spacing w:val="-4"/>
        </w:rPr>
        <w:t xml:space="preserve"> </w:t>
      </w:r>
      <w:r>
        <w:rPr>
          <w:b/>
        </w:rPr>
        <w:t>including</w:t>
      </w:r>
      <w:r>
        <w:rPr>
          <w:b/>
          <w:spacing w:val="-4"/>
        </w:rPr>
        <w:t xml:space="preserve"> </w:t>
      </w:r>
      <w:r>
        <w:rPr>
          <w:b/>
        </w:rPr>
        <w:t>those</w:t>
      </w:r>
      <w:r>
        <w:rPr>
          <w:b/>
          <w:spacing w:val="-4"/>
        </w:rPr>
        <w:t xml:space="preserve"> </w:t>
      </w:r>
      <w:r>
        <w:rPr>
          <w:b/>
        </w:rPr>
        <w:t>that</w:t>
      </w:r>
      <w:r>
        <w:rPr>
          <w:b/>
          <w:spacing w:val="-4"/>
        </w:rPr>
        <w:t xml:space="preserve"> </w:t>
      </w:r>
      <w:r>
        <w:rPr>
          <w:b/>
        </w:rPr>
        <w:t>do</w:t>
      </w:r>
      <w:r>
        <w:rPr>
          <w:b/>
          <w:spacing w:val="-4"/>
        </w:rPr>
        <w:t xml:space="preserve"> </w:t>
      </w:r>
      <w:r>
        <w:rPr>
          <w:b/>
        </w:rPr>
        <w:t>not</w:t>
      </w:r>
      <w:r>
        <w:rPr>
          <w:b/>
          <w:spacing w:val="-4"/>
        </w:rPr>
        <w:t xml:space="preserve"> </w:t>
      </w:r>
      <w:r>
        <w:rPr>
          <w:b/>
        </w:rPr>
        <w:t>result</w:t>
      </w:r>
      <w:r>
        <w:rPr>
          <w:b/>
          <w:spacing w:val="-4"/>
        </w:rPr>
        <w:t xml:space="preserve"> </w:t>
      </w:r>
      <w:r>
        <w:rPr>
          <w:b/>
        </w:rPr>
        <w:t>in</w:t>
      </w:r>
      <w:r>
        <w:rPr>
          <w:b/>
          <w:spacing w:val="-4"/>
        </w:rPr>
        <w:t xml:space="preserve"> </w:t>
      </w:r>
      <w:r>
        <w:rPr>
          <w:b/>
        </w:rPr>
        <w:t>a</w:t>
      </w:r>
      <w:r>
        <w:rPr>
          <w:b/>
          <w:spacing w:val="-4"/>
        </w:rPr>
        <w:t xml:space="preserve"> </w:t>
      </w:r>
      <w:r>
        <w:rPr>
          <w:b/>
        </w:rPr>
        <w:t>material misstatement to the financial statements, describe them.]</w:t>
      </w:r>
    </w:p>
    <w:p w14:paraId="0DFDC80D" w14:textId="77777777" w:rsidR="00046465" w:rsidRDefault="008134EB">
      <w:pPr>
        <w:pStyle w:val="ListParagraph"/>
        <w:numPr>
          <w:ilvl w:val="0"/>
          <w:numId w:val="66"/>
        </w:numPr>
        <w:tabs>
          <w:tab w:val="left" w:pos="719"/>
        </w:tabs>
        <w:spacing w:before="119"/>
        <w:ind w:right="736"/>
        <w:jc w:val="both"/>
      </w:pPr>
      <w:r>
        <w:t>We</w:t>
      </w:r>
      <w:r>
        <w:rPr>
          <w:spacing w:val="-3"/>
        </w:rPr>
        <w:t xml:space="preserve"> </w:t>
      </w:r>
      <w:r>
        <w:t>have</w:t>
      </w:r>
      <w:r>
        <w:rPr>
          <w:spacing w:val="-3"/>
        </w:rPr>
        <w:t xml:space="preserve"> </w:t>
      </w:r>
      <w:r>
        <w:rPr>
          <w:b/>
        </w:rPr>
        <w:t>[no</w:t>
      </w:r>
      <w:r>
        <w:rPr>
          <w:b/>
          <w:spacing w:val="-3"/>
        </w:rPr>
        <w:t xml:space="preserve"> </w:t>
      </w:r>
      <w:r>
        <w:rPr>
          <w:b/>
        </w:rPr>
        <w:t>knowledge</w:t>
      </w:r>
      <w:r>
        <w:rPr>
          <w:b/>
          <w:spacing w:val="-3"/>
        </w:rPr>
        <w:t xml:space="preserve"> </w:t>
      </w:r>
      <w:r>
        <w:rPr>
          <w:b/>
        </w:rPr>
        <w:t>of</w:t>
      </w:r>
      <w:r>
        <w:rPr>
          <w:b/>
          <w:spacing w:val="-3"/>
        </w:rPr>
        <w:t xml:space="preserve"> </w:t>
      </w:r>
      <w:r>
        <w:rPr>
          <w:b/>
        </w:rPr>
        <w:t>any]</w:t>
      </w:r>
      <w:r>
        <w:rPr>
          <w:b/>
          <w:spacing w:val="-3"/>
        </w:rPr>
        <w:t xml:space="preserve"> </w:t>
      </w:r>
      <w:r>
        <w:rPr>
          <w:b/>
        </w:rPr>
        <w:t>OR</w:t>
      </w:r>
      <w:r>
        <w:rPr>
          <w:b/>
          <w:spacing w:val="-4"/>
        </w:rPr>
        <w:t xml:space="preserve"> </w:t>
      </w:r>
      <w:r>
        <w:rPr>
          <w:b/>
        </w:rPr>
        <w:t>[disclosed</w:t>
      </w:r>
      <w:r>
        <w:rPr>
          <w:b/>
          <w:spacing w:val="-3"/>
        </w:rPr>
        <w:t xml:space="preserve"> </w:t>
      </w:r>
      <w:r>
        <w:rPr>
          <w:b/>
        </w:rPr>
        <w:t>to</w:t>
      </w:r>
      <w:r>
        <w:rPr>
          <w:b/>
          <w:spacing w:val="-3"/>
        </w:rPr>
        <w:t xml:space="preserve"> </w:t>
      </w:r>
      <w:r>
        <w:rPr>
          <w:b/>
        </w:rPr>
        <w:t>you</w:t>
      </w:r>
      <w:r>
        <w:rPr>
          <w:b/>
          <w:spacing w:val="-3"/>
        </w:rPr>
        <w:t xml:space="preserve"> </w:t>
      </w:r>
      <w:r>
        <w:rPr>
          <w:b/>
        </w:rPr>
        <w:t>all</w:t>
      </w:r>
      <w:r>
        <w:rPr>
          <w:b/>
          <w:spacing w:val="-4"/>
        </w:rPr>
        <w:t xml:space="preserve"> </w:t>
      </w:r>
      <w:r>
        <w:rPr>
          <w:b/>
        </w:rPr>
        <w:t>information</w:t>
      </w:r>
      <w:r>
        <w:rPr>
          <w:b/>
          <w:spacing w:val="-3"/>
        </w:rPr>
        <w:t xml:space="preserve"> </w:t>
      </w:r>
      <w:r>
        <w:rPr>
          <w:b/>
        </w:rPr>
        <w:t>that</w:t>
      </w:r>
      <w:r>
        <w:rPr>
          <w:b/>
          <w:spacing w:val="-3"/>
        </w:rPr>
        <w:t xml:space="preserve"> </w:t>
      </w:r>
      <w:r>
        <w:rPr>
          <w:b/>
        </w:rPr>
        <w:t>we</w:t>
      </w:r>
      <w:r>
        <w:rPr>
          <w:b/>
          <w:spacing w:val="-3"/>
        </w:rPr>
        <w:t xml:space="preserve"> </w:t>
      </w:r>
      <w:r>
        <w:rPr>
          <w:b/>
        </w:rPr>
        <w:t>are</w:t>
      </w:r>
      <w:r>
        <w:rPr>
          <w:b/>
          <w:spacing w:val="-2"/>
        </w:rPr>
        <w:t xml:space="preserve"> </w:t>
      </w:r>
      <w:r>
        <w:rPr>
          <w:b/>
        </w:rPr>
        <w:t>aware of</w:t>
      </w:r>
      <w:r>
        <w:rPr>
          <w:b/>
          <w:spacing w:val="-1"/>
        </w:rPr>
        <w:t xml:space="preserve"> </w:t>
      </w:r>
      <w:r>
        <w:rPr>
          <w:b/>
        </w:rPr>
        <w:t>regarding]</w:t>
      </w:r>
      <w:r>
        <w:rPr>
          <w:b/>
          <w:spacing w:val="-1"/>
        </w:rPr>
        <w:t xml:space="preserve"> </w:t>
      </w:r>
      <w:r>
        <w:t>fraud</w:t>
      </w:r>
      <w:r>
        <w:rPr>
          <w:spacing w:val="-1"/>
        </w:rPr>
        <w:t xml:space="preserve"> </w:t>
      </w:r>
      <w:r>
        <w:t>or</w:t>
      </w:r>
      <w:r>
        <w:rPr>
          <w:spacing w:val="-1"/>
        </w:rPr>
        <w:t xml:space="preserve"> </w:t>
      </w:r>
      <w:r>
        <w:t>suspected</w:t>
      </w:r>
      <w:r>
        <w:rPr>
          <w:spacing w:val="-1"/>
        </w:rPr>
        <w:t xml:space="preserve"> </w:t>
      </w:r>
      <w:r>
        <w:t>fraud</w:t>
      </w:r>
      <w:r>
        <w:rPr>
          <w:spacing w:val="-1"/>
        </w:rPr>
        <w:t xml:space="preserve"> </w:t>
      </w:r>
      <w:r>
        <w:t>that</w:t>
      </w:r>
      <w:r>
        <w:rPr>
          <w:spacing w:val="-1"/>
        </w:rPr>
        <w:t xml:space="preserve"> </w:t>
      </w:r>
      <w:r>
        <w:t>resulted</w:t>
      </w:r>
      <w:r>
        <w:rPr>
          <w:spacing w:val="-1"/>
        </w:rPr>
        <w:t xml:space="preserve"> </w:t>
      </w:r>
      <w:r>
        <w:t>in</w:t>
      </w:r>
      <w:r>
        <w:rPr>
          <w:spacing w:val="-1"/>
        </w:rPr>
        <w:t xml:space="preserve"> </w:t>
      </w:r>
      <w:r>
        <w:t>a</w:t>
      </w:r>
      <w:r>
        <w:rPr>
          <w:spacing w:val="-1"/>
        </w:rPr>
        <w:t xml:space="preserve"> </w:t>
      </w:r>
      <w:r>
        <w:t>material</w:t>
      </w:r>
      <w:r>
        <w:rPr>
          <w:spacing w:val="-1"/>
        </w:rPr>
        <w:t xml:space="preserve"> </w:t>
      </w:r>
      <w:r>
        <w:t>misstatement</w:t>
      </w:r>
      <w:r>
        <w:rPr>
          <w:spacing w:val="-1"/>
        </w:rPr>
        <w:t xml:space="preserve"> </w:t>
      </w:r>
      <w:r>
        <w:t>to</w:t>
      </w:r>
      <w:r>
        <w:rPr>
          <w:spacing w:val="-1"/>
        </w:rPr>
        <w:t xml:space="preserve"> </w:t>
      </w:r>
      <w:r>
        <w:rPr>
          <w:b/>
        </w:rPr>
        <w:t xml:space="preserve">[Entity’s] </w:t>
      </w:r>
      <w:r>
        <w:t>financial statements or RSI.</w:t>
      </w:r>
    </w:p>
    <w:p w14:paraId="0DFDC80E" w14:textId="77777777" w:rsidR="00046465" w:rsidRDefault="008134EB">
      <w:pPr>
        <w:pStyle w:val="ListParagraph"/>
        <w:numPr>
          <w:ilvl w:val="0"/>
          <w:numId w:val="66"/>
        </w:numPr>
        <w:tabs>
          <w:tab w:val="left" w:pos="720"/>
        </w:tabs>
        <w:spacing w:before="121"/>
        <w:ind w:left="720" w:right="736"/>
      </w:pPr>
      <w:r>
        <w:t>We</w:t>
      </w:r>
      <w:r>
        <w:rPr>
          <w:spacing w:val="-3"/>
        </w:rPr>
        <w:t xml:space="preserve"> </w:t>
      </w:r>
      <w:r>
        <w:t>have</w:t>
      </w:r>
      <w:r>
        <w:rPr>
          <w:spacing w:val="-3"/>
        </w:rPr>
        <w:t xml:space="preserve"> </w:t>
      </w:r>
      <w:r>
        <w:rPr>
          <w:b/>
        </w:rPr>
        <w:t>[no</w:t>
      </w:r>
      <w:r>
        <w:rPr>
          <w:b/>
          <w:spacing w:val="-3"/>
        </w:rPr>
        <w:t xml:space="preserve"> </w:t>
      </w:r>
      <w:r>
        <w:rPr>
          <w:b/>
        </w:rPr>
        <w:t>knowledge</w:t>
      </w:r>
      <w:r>
        <w:rPr>
          <w:b/>
          <w:spacing w:val="-3"/>
        </w:rPr>
        <w:t xml:space="preserve"> </w:t>
      </w:r>
      <w:r>
        <w:rPr>
          <w:b/>
        </w:rPr>
        <w:t>of</w:t>
      </w:r>
      <w:r>
        <w:rPr>
          <w:b/>
          <w:spacing w:val="-3"/>
        </w:rPr>
        <w:t xml:space="preserve"> </w:t>
      </w:r>
      <w:r>
        <w:rPr>
          <w:b/>
        </w:rPr>
        <w:t>any]</w:t>
      </w:r>
      <w:r>
        <w:rPr>
          <w:b/>
          <w:spacing w:val="-3"/>
        </w:rPr>
        <w:t xml:space="preserve"> </w:t>
      </w:r>
      <w:r>
        <w:rPr>
          <w:b/>
        </w:rPr>
        <w:t>OR</w:t>
      </w:r>
      <w:r>
        <w:rPr>
          <w:b/>
          <w:spacing w:val="-4"/>
        </w:rPr>
        <w:t xml:space="preserve"> </w:t>
      </w:r>
      <w:r>
        <w:rPr>
          <w:b/>
        </w:rPr>
        <w:t>[disclosed</w:t>
      </w:r>
      <w:r>
        <w:rPr>
          <w:b/>
          <w:spacing w:val="-3"/>
        </w:rPr>
        <w:t xml:space="preserve"> </w:t>
      </w:r>
      <w:r>
        <w:rPr>
          <w:b/>
        </w:rPr>
        <w:t>to</w:t>
      </w:r>
      <w:r>
        <w:rPr>
          <w:b/>
          <w:spacing w:val="-3"/>
        </w:rPr>
        <w:t xml:space="preserve"> </w:t>
      </w:r>
      <w:r>
        <w:rPr>
          <w:b/>
        </w:rPr>
        <w:t>you</w:t>
      </w:r>
      <w:r>
        <w:rPr>
          <w:b/>
          <w:spacing w:val="-3"/>
        </w:rPr>
        <w:t xml:space="preserve"> </w:t>
      </w:r>
      <w:r>
        <w:rPr>
          <w:b/>
        </w:rPr>
        <w:t>all</w:t>
      </w:r>
      <w:r>
        <w:rPr>
          <w:b/>
          <w:spacing w:val="-4"/>
        </w:rPr>
        <w:t xml:space="preserve"> </w:t>
      </w:r>
      <w:r>
        <w:rPr>
          <w:b/>
        </w:rPr>
        <w:t>information</w:t>
      </w:r>
      <w:r>
        <w:rPr>
          <w:b/>
          <w:spacing w:val="-3"/>
        </w:rPr>
        <w:t xml:space="preserve"> </w:t>
      </w:r>
      <w:r>
        <w:rPr>
          <w:b/>
        </w:rPr>
        <w:t>that</w:t>
      </w:r>
      <w:r>
        <w:rPr>
          <w:b/>
          <w:spacing w:val="-3"/>
        </w:rPr>
        <w:t xml:space="preserve"> </w:t>
      </w:r>
      <w:r>
        <w:rPr>
          <w:b/>
        </w:rPr>
        <w:t>we</w:t>
      </w:r>
      <w:r>
        <w:rPr>
          <w:b/>
          <w:spacing w:val="-3"/>
        </w:rPr>
        <w:t xml:space="preserve"> </w:t>
      </w:r>
      <w:r>
        <w:rPr>
          <w:b/>
        </w:rPr>
        <w:t>are</w:t>
      </w:r>
      <w:r>
        <w:rPr>
          <w:b/>
          <w:spacing w:val="-2"/>
        </w:rPr>
        <w:t xml:space="preserve"> </w:t>
      </w:r>
      <w:r>
        <w:rPr>
          <w:b/>
        </w:rPr>
        <w:t xml:space="preserve">aware of regarding] </w:t>
      </w:r>
      <w:r>
        <w:t>allegations of fraud or suspected fraud affecting the financial statements communicated by employees, former employees, or others.</w:t>
      </w:r>
    </w:p>
    <w:p w14:paraId="0DFDC80F" w14:textId="77777777" w:rsidR="00046465" w:rsidRDefault="008134EB">
      <w:pPr>
        <w:pStyle w:val="ListParagraph"/>
        <w:numPr>
          <w:ilvl w:val="0"/>
          <w:numId w:val="66"/>
        </w:numPr>
        <w:tabs>
          <w:tab w:val="left" w:pos="720"/>
        </w:tabs>
        <w:spacing w:before="119"/>
        <w:ind w:left="720" w:right="1595"/>
      </w:pPr>
      <w:r>
        <w:t>We</w:t>
      </w:r>
      <w:r>
        <w:rPr>
          <w:spacing w:val="-3"/>
        </w:rPr>
        <w:t xml:space="preserve"> </w:t>
      </w:r>
      <w:r>
        <w:t>have</w:t>
      </w:r>
      <w:r>
        <w:rPr>
          <w:spacing w:val="-3"/>
        </w:rPr>
        <w:t xml:space="preserve"> </w:t>
      </w:r>
      <w:r>
        <w:t>disclosed</w:t>
      </w:r>
      <w:r>
        <w:rPr>
          <w:spacing w:val="-3"/>
        </w:rPr>
        <w:t xml:space="preserve"> </w:t>
      </w:r>
      <w:r>
        <w:t>to</w:t>
      </w:r>
      <w:r>
        <w:rPr>
          <w:spacing w:val="-4"/>
        </w:rPr>
        <w:t xml:space="preserve"> </w:t>
      </w:r>
      <w:r>
        <w:t>you</w:t>
      </w:r>
      <w:r>
        <w:rPr>
          <w:spacing w:val="-3"/>
        </w:rPr>
        <w:t xml:space="preserve"> </w:t>
      </w:r>
      <w:r>
        <w:t>the</w:t>
      </w:r>
      <w:r>
        <w:rPr>
          <w:spacing w:val="-3"/>
        </w:rPr>
        <w:t xml:space="preserve"> </w:t>
      </w:r>
      <w:r>
        <w:t>results</w:t>
      </w:r>
      <w:r>
        <w:rPr>
          <w:spacing w:val="-4"/>
        </w:rPr>
        <w:t xml:space="preserve"> </w:t>
      </w:r>
      <w:r>
        <w:t>of</w:t>
      </w:r>
      <w:r>
        <w:rPr>
          <w:spacing w:val="-3"/>
        </w:rPr>
        <w:t xml:space="preserve"> </w:t>
      </w:r>
      <w:r>
        <w:t>our</w:t>
      </w:r>
      <w:r>
        <w:rPr>
          <w:spacing w:val="-3"/>
        </w:rPr>
        <w:t xml:space="preserve"> </w:t>
      </w:r>
      <w:r>
        <w:t>assessment</w:t>
      </w:r>
      <w:r>
        <w:rPr>
          <w:spacing w:val="-3"/>
        </w:rPr>
        <w:t xml:space="preserve"> </w:t>
      </w:r>
      <w:r>
        <w:t>of</w:t>
      </w:r>
      <w:r>
        <w:rPr>
          <w:spacing w:val="-3"/>
        </w:rPr>
        <w:t xml:space="preserve"> </w:t>
      </w:r>
      <w:r>
        <w:t>the</w:t>
      </w:r>
      <w:r>
        <w:rPr>
          <w:spacing w:val="-3"/>
        </w:rPr>
        <w:t xml:space="preserve"> </w:t>
      </w:r>
      <w:r>
        <w:t>risk</w:t>
      </w:r>
      <w:r>
        <w:rPr>
          <w:spacing w:val="-3"/>
        </w:rPr>
        <w:t xml:space="preserve"> </w:t>
      </w:r>
      <w:r>
        <w:t>that</w:t>
      </w:r>
      <w:r>
        <w:rPr>
          <w:spacing w:val="-3"/>
        </w:rPr>
        <w:t xml:space="preserve"> </w:t>
      </w:r>
      <w:r>
        <w:t>the</w:t>
      </w:r>
      <w:r>
        <w:rPr>
          <w:spacing w:val="-3"/>
        </w:rPr>
        <w:t xml:space="preserve"> </w:t>
      </w:r>
      <w:r>
        <w:t>financial statements may be materially misstated as a result of fraud.</w:t>
      </w:r>
    </w:p>
    <w:p w14:paraId="0DFDC810" w14:textId="77777777" w:rsidR="00046465" w:rsidRDefault="008134EB">
      <w:pPr>
        <w:pStyle w:val="ListParagraph"/>
        <w:numPr>
          <w:ilvl w:val="0"/>
          <w:numId w:val="66"/>
        </w:numPr>
        <w:tabs>
          <w:tab w:val="left" w:pos="720"/>
        </w:tabs>
        <w:spacing w:before="121"/>
        <w:ind w:left="720" w:right="1022"/>
      </w:pPr>
      <w:r>
        <w:t xml:space="preserve">We have no knowledge of any officer of </w:t>
      </w:r>
      <w:r>
        <w:rPr>
          <w:b/>
        </w:rPr>
        <w:t>[Entity]</w:t>
      </w:r>
      <w:r>
        <w:t>, or any other person acting under the direction</w:t>
      </w:r>
      <w:r>
        <w:rPr>
          <w:spacing w:val="-4"/>
        </w:rPr>
        <w:t xml:space="preserve"> </w:t>
      </w:r>
      <w:r>
        <w:t>thereof,</w:t>
      </w:r>
      <w:r>
        <w:rPr>
          <w:spacing w:val="-4"/>
        </w:rPr>
        <w:t xml:space="preserve"> </w:t>
      </w:r>
      <w:r>
        <w:t>having</w:t>
      </w:r>
      <w:r>
        <w:rPr>
          <w:spacing w:val="-5"/>
        </w:rPr>
        <w:t xml:space="preserve"> </w:t>
      </w:r>
      <w:r>
        <w:t>taken</w:t>
      </w:r>
      <w:r>
        <w:rPr>
          <w:spacing w:val="-4"/>
        </w:rPr>
        <w:t xml:space="preserve"> </w:t>
      </w:r>
      <w:r>
        <w:t>any</w:t>
      </w:r>
      <w:r>
        <w:rPr>
          <w:spacing w:val="-4"/>
        </w:rPr>
        <w:t xml:space="preserve"> </w:t>
      </w:r>
      <w:r>
        <w:t>action</w:t>
      </w:r>
      <w:r>
        <w:rPr>
          <w:spacing w:val="-4"/>
        </w:rPr>
        <w:t xml:space="preserve"> </w:t>
      </w:r>
      <w:r>
        <w:t>to</w:t>
      </w:r>
      <w:r>
        <w:rPr>
          <w:spacing w:val="-4"/>
        </w:rPr>
        <w:t xml:space="preserve"> </w:t>
      </w:r>
      <w:r>
        <w:t>fraudulently</w:t>
      </w:r>
      <w:r>
        <w:rPr>
          <w:spacing w:val="-4"/>
        </w:rPr>
        <w:t xml:space="preserve"> </w:t>
      </w:r>
      <w:r>
        <w:t>influence,</w:t>
      </w:r>
      <w:r>
        <w:rPr>
          <w:spacing w:val="-4"/>
        </w:rPr>
        <w:t xml:space="preserve"> </w:t>
      </w:r>
      <w:r>
        <w:t>coerce,</w:t>
      </w:r>
      <w:r>
        <w:rPr>
          <w:spacing w:val="-4"/>
        </w:rPr>
        <w:t xml:space="preserve"> </w:t>
      </w:r>
      <w:r>
        <w:t>manipulate,</w:t>
      </w:r>
      <w:r>
        <w:rPr>
          <w:spacing w:val="-4"/>
        </w:rPr>
        <w:t xml:space="preserve"> </w:t>
      </w:r>
      <w:r>
        <w:t>or mislead you during your audit.</w:t>
      </w:r>
    </w:p>
    <w:p w14:paraId="0DFDC811" w14:textId="77777777" w:rsidR="00046465" w:rsidRDefault="008134EB">
      <w:pPr>
        <w:spacing w:before="120"/>
        <w:ind w:left="360"/>
        <w:rPr>
          <w:b/>
        </w:rPr>
      </w:pPr>
      <w:r>
        <w:rPr>
          <w:b/>
          <w:u w:val="thick"/>
        </w:rPr>
        <w:t>Compliance</w:t>
      </w:r>
      <w:r>
        <w:rPr>
          <w:b/>
          <w:spacing w:val="-8"/>
          <w:u w:val="thick"/>
        </w:rPr>
        <w:t xml:space="preserve"> </w:t>
      </w:r>
      <w:r>
        <w:rPr>
          <w:b/>
          <w:u w:val="thick"/>
        </w:rPr>
        <w:t>of</w:t>
      </w:r>
      <w:r>
        <w:rPr>
          <w:b/>
          <w:spacing w:val="-8"/>
          <w:u w:val="thick"/>
        </w:rPr>
        <w:t xml:space="preserve"> </w:t>
      </w:r>
      <w:r>
        <w:rPr>
          <w:b/>
          <w:u w:val="thick"/>
        </w:rPr>
        <w:t>Systems</w:t>
      </w:r>
      <w:r>
        <w:rPr>
          <w:b/>
          <w:spacing w:val="-8"/>
          <w:u w:val="thick"/>
        </w:rPr>
        <w:t xml:space="preserve"> </w:t>
      </w:r>
      <w:r>
        <w:rPr>
          <w:b/>
          <w:u w:val="thick"/>
        </w:rPr>
        <w:t>with</w:t>
      </w:r>
      <w:r>
        <w:rPr>
          <w:b/>
          <w:spacing w:val="-7"/>
          <w:u w:val="thick"/>
        </w:rPr>
        <w:t xml:space="preserve"> </w:t>
      </w:r>
      <w:r>
        <w:rPr>
          <w:b/>
          <w:spacing w:val="-2"/>
          <w:u w:val="thick"/>
        </w:rPr>
        <w:t>FFMIA</w:t>
      </w:r>
    </w:p>
    <w:p w14:paraId="0DFDC812" w14:textId="77777777" w:rsidR="00046465" w:rsidRDefault="008134EB">
      <w:pPr>
        <w:spacing w:before="119"/>
        <w:ind w:left="360" w:right="726"/>
        <w:rPr>
          <w:b/>
        </w:rPr>
      </w:pPr>
      <w:r>
        <w:rPr>
          <w:b/>
        </w:rPr>
        <w:t>[If</w:t>
      </w:r>
      <w:r>
        <w:rPr>
          <w:b/>
          <w:spacing w:val="-3"/>
        </w:rPr>
        <w:t xml:space="preserve"> </w:t>
      </w:r>
      <w:r>
        <w:rPr>
          <w:b/>
        </w:rPr>
        <w:t>a</w:t>
      </w:r>
      <w:r>
        <w:rPr>
          <w:b/>
          <w:spacing w:val="-3"/>
        </w:rPr>
        <w:t xml:space="preserve"> </w:t>
      </w:r>
      <w:r>
        <w:rPr>
          <w:b/>
        </w:rPr>
        <w:t>CFO</w:t>
      </w:r>
      <w:r>
        <w:rPr>
          <w:b/>
          <w:spacing w:val="-4"/>
        </w:rPr>
        <w:t xml:space="preserve"> </w:t>
      </w:r>
      <w:r>
        <w:rPr>
          <w:b/>
        </w:rPr>
        <w:t>Act</w:t>
      </w:r>
      <w:r>
        <w:rPr>
          <w:b/>
          <w:spacing w:val="-3"/>
        </w:rPr>
        <w:t xml:space="preserve"> </w:t>
      </w:r>
      <w:r>
        <w:rPr>
          <w:b/>
        </w:rPr>
        <w:t>agency,</w:t>
      </w:r>
      <w:r>
        <w:rPr>
          <w:b/>
          <w:spacing w:val="-3"/>
        </w:rPr>
        <w:t xml:space="preserve"> </w:t>
      </w:r>
      <w:r>
        <w:rPr>
          <w:b/>
        </w:rPr>
        <w:t>which</w:t>
      </w:r>
      <w:r>
        <w:rPr>
          <w:b/>
          <w:spacing w:val="-4"/>
        </w:rPr>
        <w:t xml:space="preserve"> </w:t>
      </w:r>
      <w:r>
        <w:rPr>
          <w:b/>
        </w:rPr>
        <w:t>is</w:t>
      </w:r>
      <w:r>
        <w:rPr>
          <w:b/>
          <w:spacing w:val="-3"/>
        </w:rPr>
        <w:t xml:space="preserve"> </w:t>
      </w:r>
      <w:r>
        <w:rPr>
          <w:b/>
        </w:rPr>
        <w:t>subject</w:t>
      </w:r>
      <w:r>
        <w:rPr>
          <w:b/>
          <w:spacing w:val="-3"/>
        </w:rPr>
        <w:t xml:space="preserve"> </w:t>
      </w:r>
      <w:r>
        <w:rPr>
          <w:b/>
        </w:rPr>
        <w:t>to</w:t>
      </w:r>
      <w:r>
        <w:rPr>
          <w:b/>
          <w:spacing w:val="-4"/>
        </w:rPr>
        <w:t xml:space="preserve"> </w:t>
      </w:r>
      <w:r>
        <w:rPr>
          <w:b/>
        </w:rPr>
        <w:t>the</w:t>
      </w:r>
      <w:r>
        <w:rPr>
          <w:b/>
          <w:spacing w:val="-3"/>
        </w:rPr>
        <w:t xml:space="preserve"> </w:t>
      </w:r>
      <w:r>
        <w:rPr>
          <w:b/>
        </w:rPr>
        <w:t>Federal</w:t>
      </w:r>
      <w:r>
        <w:rPr>
          <w:b/>
          <w:spacing w:val="-3"/>
        </w:rPr>
        <w:t xml:space="preserve"> </w:t>
      </w:r>
      <w:r>
        <w:rPr>
          <w:b/>
        </w:rPr>
        <w:t>Financial</w:t>
      </w:r>
      <w:r>
        <w:rPr>
          <w:b/>
          <w:spacing w:val="-4"/>
        </w:rPr>
        <w:t xml:space="preserve"> </w:t>
      </w:r>
      <w:r>
        <w:rPr>
          <w:b/>
        </w:rPr>
        <w:t>Management</w:t>
      </w:r>
      <w:r>
        <w:rPr>
          <w:b/>
          <w:spacing w:val="-3"/>
        </w:rPr>
        <w:t xml:space="preserve"> </w:t>
      </w:r>
      <w:r>
        <w:rPr>
          <w:b/>
        </w:rPr>
        <w:t>Improvement Act of 1996 (FFMIA).]</w:t>
      </w:r>
    </w:p>
    <w:p w14:paraId="0DFDC813" w14:textId="77777777" w:rsidR="00046465" w:rsidRDefault="008134EB">
      <w:pPr>
        <w:pStyle w:val="ListParagraph"/>
        <w:numPr>
          <w:ilvl w:val="0"/>
          <w:numId w:val="66"/>
        </w:numPr>
        <w:tabs>
          <w:tab w:val="left" w:pos="719"/>
        </w:tabs>
        <w:spacing w:before="121"/>
        <w:ind w:right="1021"/>
      </w:pPr>
      <w:r>
        <w:t>We</w:t>
      </w:r>
      <w:r>
        <w:rPr>
          <w:spacing w:val="-5"/>
        </w:rPr>
        <w:t xml:space="preserve"> </w:t>
      </w:r>
      <w:r>
        <w:t>are</w:t>
      </w:r>
      <w:r>
        <w:rPr>
          <w:spacing w:val="-5"/>
        </w:rPr>
        <w:t xml:space="preserve"> </w:t>
      </w:r>
      <w:r>
        <w:t>responsible</w:t>
      </w:r>
      <w:r>
        <w:rPr>
          <w:spacing w:val="-5"/>
        </w:rPr>
        <w:t xml:space="preserve"> </w:t>
      </w:r>
      <w:r>
        <w:t>for</w:t>
      </w:r>
      <w:r>
        <w:rPr>
          <w:spacing w:val="-7"/>
        </w:rPr>
        <w:t xml:space="preserve"> </w:t>
      </w:r>
      <w:r>
        <w:t>implementing</w:t>
      </w:r>
      <w:r>
        <w:rPr>
          <w:spacing w:val="-5"/>
        </w:rPr>
        <w:t xml:space="preserve"> </w:t>
      </w:r>
      <w:r>
        <w:t>and</w:t>
      </w:r>
      <w:r>
        <w:rPr>
          <w:spacing w:val="-5"/>
        </w:rPr>
        <w:t xml:space="preserve"> </w:t>
      </w:r>
      <w:r>
        <w:t>maintaining</w:t>
      </w:r>
      <w:r>
        <w:rPr>
          <w:spacing w:val="-5"/>
        </w:rPr>
        <w:t xml:space="preserve"> </w:t>
      </w:r>
      <w:r>
        <w:t>financial</w:t>
      </w:r>
      <w:r>
        <w:rPr>
          <w:spacing w:val="-5"/>
        </w:rPr>
        <w:t xml:space="preserve"> </w:t>
      </w:r>
      <w:r>
        <w:t>management</w:t>
      </w:r>
      <w:r>
        <w:rPr>
          <w:spacing w:val="-5"/>
        </w:rPr>
        <w:t xml:space="preserve"> </w:t>
      </w:r>
      <w:r>
        <w:t>systems</w:t>
      </w:r>
      <w:r>
        <w:rPr>
          <w:spacing w:val="-5"/>
        </w:rPr>
        <w:t xml:space="preserve"> </w:t>
      </w:r>
      <w:r>
        <w:t xml:space="preserve">that comply substantially with federal financial management systems requirements, federal accounting standards (U.S. GAAP), and application of the </w:t>
      </w:r>
      <w:r>
        <w:rPr>
          <w:i/>
        </w:rPr>
        <w:t xml:space="preserve">U.S. Standard General Ledger </w:t>
      </w:r>
      <w:r>
        <w:t>(USSGL) at the transaction level.</w:t>
      </w:r>
    </w:p>
    <w:p w14:paraId="0DFDC814" w14:textId="77777777" w:rsidR="00046465" w:rsidRDefault="008134EB">
      <w:pPr>
        <w:pStyle w:val="ListParagraph"/>
        <w:numPr>
          <w:ilvl w:val="0"/>
          <w:numId w:val="66"/>
        </w:numPr>
        <w:tabs>
          <w:tab w:val="left" w:pos="720"/>
        </w:tabs>
        <w:spacing w:before="119"/>
        <w:ind w:left="720" w:right="975"/>
      </w:pPr>
      <w:r>
        <w:t>We have assessed the financial management systems to determine whether they comply substantially</w:t>
      </w:r>
      <w:r>
        <w:rPr>
          <w:spacing w:val="-6"/>
        </w:rPr>
        <w:t xml:space="preserve"> </w:t>
      </w:r>
      <w:r>
        <w:t>with</w:t>
      </w:r>
      <w:r>
        <w:rPr>
          <w:spacing w:val="-5"/>
        </w:rPr>
        <w:t xml:space="preserve"> </w:t>
      </w:r>
      <w:r>
        <w:t>federal</w:t>
      </w:r>
      <w:r>
        <w:rPr>
          <w:spacing w:val="-6"/>
        </w:rPr>
        <w:t xml:space="preserve"> </w:t>
      </w:r>
      <w:r>
        <w:t>financial</w:t>
      </w:r>
      <w:r>
        <w:rPr>
          <w:spacing w:val="-6"/>
        </w:rPr>
        <w:t xml:space="preserve"> </w:t>
      </w:r>
      <w:r>
        <w:t>management</w:t>
      </w:r>
      <w:r>
        <w:rPr>
          <w:spacing w:val="-5"/>
        </w:rPr>
        <w:t xml:space="preserve"> </w:t>
      </w:r>
      <w:r>
        <w:t>systems</w:t>
      </w:r>
      <w:r>
        <w:rPr>
          <w:spacing w:val="-5"/>
        </w:rPr>
        <w:t xml:space="preserve"> </w:t>
      </w:r>
      <w:r>
        <w:t>requirements,</w:t>
      </w:r>
      <w:r>
        <w:rPr>
          <w:spacing w:val="-5"/>
        </w:rPr>
        <w:t xml:space="preserve"> </w:t>
      </w:r>
      <w:r>
        <w:t>federal</w:t>
      </w:r>
      <w:r>
        <w:rPr>
          <w:spacing w:val="-5"/>
        </w:rPr>
        <w:t xml:space="preserve"> </w:t>
      </w:r>
      <w:r>
        <w:t>accounting standards, and application of the USSGL at the transaction level. Our assessment was based on OMB guidance.</w:t>
      </w:r>
    </w:p>
    <w:p w14:paraId="0DFDC815" w14:textId="77777777" w:rsidR="00046465" w:rsidRDefault="008134EB">
      <w:pPr>
        <w:pStyle w:val="ListParagraph"/>
        <w:numPr>
          <w:ilvl w:val="0"/>
          <w:numId w:val="66"/>
        </w:numPr>
        <w:tabs>
          <w:tab w:val="left" w:pos="720"/>
        </w:tabs>
        <w:ind w:left="720" w:right="1067"/>
      </w:pPr>
      <w:r>
        <w:rPr>
          <w:b/>
        </w:rPr>
        <w:t xml:space="preserve">[Entity’s] </w:t>
      </w:r>
      <w:r>
        <w:t>financial management systems complied substantially with federal financial management</w:t>
      </w:r>
      <w:r>
        <w:rPr>
          <w:spacing w:val="-4"/>
        </w:rPr>
        <w:t xml:space="preserve"> </w:t>
      </w:r>
      <w:r>
        <w:t>systems</w:t>
      </w:r>
      <w:r>
        <w:rPr>
          <w:spacing w:val="-6"/>
        </w:rPr>
        <w:t xml:space="preserve"> </w:t>
      </w:r>
      <w:r>
        <w:t>requirements,</w:t>
      </w:r>
      <w:r>
        <w:rPr>
          <w:spacing w:val="-6"/>
        </w:rPr>
        <w:t xml:space="preserve"> </w:t>
      </w:r>
      <w:r>
        <w:t>federal</w:t>
      </w:r>
      <w:r>
        <w:rPr>
          <w:spacing w:val="-6"/>
        </w:rPr>
        <w:t xml:space="preserve"> </w:t>
      </w:r>
      <w:r>
        <w:t>accounting</w:t>
      </w:r>
      <w:r>
        <w:rPr>
          <w:spacing w:val="-6"/>
        </w:rPr>
        <w:t xml:space="preserve"> </w:t>
      </w:r>
      <w:r>
        <w:t>standards,</w:t>
      </w:r>
      <w:r>
        <w:rPr>
          <w:spacing w:val="-6"/>
        </w:rPr>
        <w:t xml:space="preserve"> </w:t>
      </w:r>
      <w:r>
        <w:t>and</w:t>
      </w:r>
      <w:r>
        <w:rPr>
          <w:spacing w:val="-6"/>
        </w:rPr>
        <w:t xml:space="preserve"> </w:t>
      </w:r>
      <w:r>
        <w:t>application</w:t>
      </w:r>
      <w:r>
        <w:rPr>
          <w:spacing w:val="-6"/>
        </w:rPr>
        <w:t xml:space="preserve"> </w:t>
      </w:r>
      <w:r>
        <w:t>of</w:t>
      </w:r>
      <w:r>
        <w:rPr>
          <w:spacing w:val="-6"/>
        </w:rPr>
        <w:t xml:space="preserve"> </w:t>
      </w:r>
      <w:r>
        <w:t>the USSGL at the transaction level as of September 30, 20X2.</w:t>
      </w:r>
    </w:p>
    <w:p w14:paraId="0DFDC816" w14:textId="77777777" w:rsidR="00046465" w:rsidRDefault="008134EB">
      <w:pPr>
        <w:spacing w:before="121"/>
        <w:ind w:left="721" w:right="726" w:hanging="1"/>
        <w:rPr>
          <w:b/>
        </w:rPr>
      </w:pPr>
      <w:r>
        <w:rPr>
          <w:b/>
        </w:rPr>
        <w:t>[If</w:t>
      </w:r>
      <w:r>
        <w:rPr>
          <w:b/>
          <w:spacing w:val="-4"/>
        </w:rPr>
        <w:t xml:space="preserve"> </w:t>
      </w:r>
      <w:r>
        <w:rPr>
          <w:b/>
        </w:rPr>
        <w:t>the</w:t>
      </w:r>
      <w:r>
        <w:rPr>
          <w:b/>
          <w:spacing w:val="-4"/>
        </w:rPr>
        <w:t xml:space="preserve"> </w:t>
      </w:r>
      <w:r>
        <w:rPr>
          <w:b/>
        </w:rPr>
        <w:t>financial</w:t>
      </w:r>
      <w:r>
        <w:rPr>
          <w:b/>
          <w:spacing w:val="-4"/>
        </w:rPr>
        <w:t xml:space="preserve"> </w:t>
      </w:r>
      <w:r>
        <w:rPr>
          <w:b/>
        </w:rPr>
        <w:t>management</w:t>
      </w:r>
      <w:r>
        <w:rPr>
          <w:b/>
          <w:spacing w:val="-4"/>
        </w:rPr>
        <w:t xml:space="preserve"> </w:t>
      </w:r>
      <w:r>
        <w:rPr>
          <w:b/>
        </w:rPr>
        <w:t>systems</w:t>
      </w:r>
      <w:r>
        <w:rPr>
          <w:b/>
          <w:spacing w:val="-4"/>
        </w:rPr>
        <w:t xml:space="preserve"> </w:t>
      </w:r>
      <w:r>
        <w:rPr>
          <w:b/>
        </w:rPr>
        <w:t>comply</w:t>
      </w:r>
      <w:r>
        <w:rPr>
          <w:b/>
          <w:spacing w:val="-4"/>
        </w:rPr>
        <w:t xml:space="preserve"> </w:t>
      </w:r>
      <w:r>
        <w:rPr>
          <w:b/>
        </w:rPr>
        <w:t>substantially</w:t>
      </w:r>
      <w:r>
        <w:rPr>
          <w:b/>
          <w:spacing w:val="-4"/>
        </w:rPr>
        <w:t xml:space="preserve"> </w:t>
      </w:r>
      <w:r>
        <w:rPr>
          <w:b/>
        </w:rPr>
        <w:t>with</w:t>
      </w:r>
      <w:r>
        <w:rPr>
          <w:b/>
          <w:spacing w:val="-4"/>
        </w:rPr>
        <w:t xml:space="preserve"> </w:t>
      </w:r>
      <w:r>
        <w:rPr>
          <w:b/>
        </w:rPr>
        <w:t>only</w:t>
      </w:r>
      <w:r>
        <w:rPr>
          <w:b/>
          <w:spacing w:val="-4"/>
        </w:rPr>
        <w:t xml:space="preserve"> </w:t>
      </w:r>
      <w:r>
        <w:rPr>
          <w:b/>
        </w:rPr>
        <w:t>one</w:t>
      </w:r>
      <w:r>
        <w:rPr>
          <w:b/>
          <w:spacing w:val="-4"/>
        </w:rPr>
        <w:t xml:space="preserve"> </w:t>
      </w:r>
      <w:r>
        <w:rPr>
          <w:b/>
        </w:rPr>
        <w:t>or</w:t>
      </w:r>
      <w:r>
        <w:rPr>
          <w:b/>
          <w:spacing w:val="-5"/>
        </w:rPr>
        <w:t xml:space="preserve"> </w:t>
      </w:r>
      <w:r>
        <w:rPr>
          <w:b/>
        </w:rPr>
        <w:t>two</w:t>
      </w:r>
      <w:r>
        <w:rPr>
          <w:b/>
          <w:spacing w:val="-4"/>
        </w:rPr>
        <w:t xml:space="preserve"> </w:t>
      </w:r>
      <w:r>
        <w:rPr>
          <w:b/>
        </w:rPr>
        <w:t>of</w:t>
      </w:r>
      <w:r>
        <w:rPr>
          <w:b/>
          <w:spacing w:val="-4"/>
        </w:rPr>
        <w:t xml:space="preserve"> </w:t>
      </w:r>
      <w:r>
        <w:rPr>
          <w:b/>
        </w:rPr>
        <w:t>the above elements, modify as follows:]</w:t>
      </w:r>
    </w:p>
    <w:p w14:paraId="0DFDC817" w14:textId="77777777" w:rsidR="00046465" w:rsidRDefault="008134EB">
      <w:pPr>
        <w:spacing w:before="119"/>
        <w:ind w:left="721" w:right="736" w:hanging="1"/>
      </w:pPr>
      <w:r>
        <w:t xml:space="preserve">As of September 30, 20X2, </w:t>
      </w:r>
      <w:r>
        <w:rPr>
          <w:b/>
        </w:rPr>
        <w:t xml:space="preserve">[Entity’s] </w:t>
      </w:r>
      <w:r>
        <w:t xml:space="preserve">financial management systems comply substantially with </w:t>
      </w:r>
      <w:r>
        <w:rPr>
          <w:b/>
        </w:rPr>
        <w:t>[specify which of the three elements comply substantially (e.g., federal accounting standards and application of the USSGL at the transaction level)]</w:t>
      </w:r>
      <w:r>
        <w:t xml:space="preserve">, but did not comply substantially with </w:t>
      </w:r>
      <w:r>
        <w:rPr>
          <w:b/>
        </w:rPr>
        <w:t>[specify which of the three elements do not comply substantially</w:t>
      </w:r>
      <w:r>
        <w:rPr>
          <w:b/>
          <w:spacing w:val="-6"/>
        </w:rPr>
        <w:t xml:space="preserve"> </w:t>
      </w:r>
      <w:r>
        <w:rPr>
          <w:b/>
        </w:rPr>
        <w:t>(e.g.,</w:t>
      </w:r>
      <w:r>
        <w:rPr>
          <w:b/>
          <w:spacing w:val="-6"/>
        </w:rPr>
        <w:t xml:space="preserve"> </w:t>
      </w:r>
      <w:r>
        <w:rPr>
          <w:b/>
        </w:rPr>
        <w:t>federal</w:t>
      </w:r>
      <w:r>
        <w:rPr>
          <w:b/>
          <w:spacing w:val="-6"/>
        </w:rPr>
        <w:t xml:space="preserve"> </w:t>
      </w:r>
      <w:r>
        <w:rPr>
          <w:b/>
        </w:rPr>
        <w:t>financial</w:t>
      </w:r>
      <w:r>
        <w:rPr>
          <w:b/>
          <w:spacing w:val="-6"/>
        </w:rPr>
        <w:t xml:space="preserve"> </w:t>
      </w:r>
      <w:r>
        <w:rPr>
          <w:b/>
        </w:rPr>
        <w:t>management</w:t>
      </w:r>
      <w:r>
        <w:rPr>
          <w:b/>
          <w:spacing w:val="-6"/>
        </w:rPr>
        <w:t xml:space="preserve"> </w:t>
      </w:r>
      <w:r>
        <w:rPr>
          <w:b/>
        </w:rPr>
        <w:t>systems</w:t>
      </w:r>
      <w:r>
        <w:rPr>
          <w:b/>
          <w:spacing w:val="-6"/>
        </w:rPr>
        <w:t xml:space="preserve"> </w:t>
      </w:r>
      <w:r>
        <w:rPr>
          <w:b/>
        </w:rPr>
        <w:t>requirements)]</w:t>
      </w:r>
      <w:r>
        <w:t>,</w:t>
      </w:r>
      <w:r>
        <w:rPr>
          <w:spacing w:val="-6"/>
        </w:rPr>
        <w:t xml:space="preserve"> </w:t>
      </w:r>
      <w:r>
        <w:t>as</w:t>
      </w:r>
      <w:r>
        <w:rPr>
          <w:spacing w:val="-6"/>
        </w:rPr>
        <w:t xml:space="preserve"> </w:t>
      </w:r>
      <w:r>
        <w:t xml:space="preserve">described below </w:t>
      </w:r>
      <w:r>
        <w:rPr>
          <w:b/>
        </w:rPr>
        <w:t>[or in an attachment]</w:t>
      </w:r>
      <w:r>
        <w:t>.</w:t>
      </w:r>
    </w:p>
    <w:p w14:paraId="0DFDC818" w14:textId="77777777" w:rsidR="00046465" w:rsidRDefault="008134EB">
      <w:pPr>
        <w:spacing w:before="120"/>
        <w:ind w:left="721" w:right="749" w:hanging="1"/>
        <w:rPr>
          <w:b/>
        </w:rPr>
      </w:pPr>
      <w:r>
        <w:rPr>
          <w:b/>
        </w:rPr>
        <w:t>[If</w:t>
      </w:r>
      <w:r>
        <w:rPr>
          <w:b/>
          <w:spacing w:val="-4"/>
        </w:rPr>
        <w:t xml:space="preserve"> </w:t>
      </w:r>
      <w:r>
        <w:rPr>
          <w:b/>
        </w:rPr>
        <w:t>the</w:t>
      </w:r>
      <w:r>
        <w:rPr>
          <w:b/>
          <w:spacing w:val="-4"/>
        </w:rPr>
        <w:t xml:space="preserve"> </w:t>
      </w:r>
      <w:r>
        <w:rPr>
          <w:b/>
        </w:rPr>
        <w:t>financial</w:t>
      </w:r>
      <w:r>
        <w:rPr>
          <w:b/>
          <w:spacing w:val="-4"/>
        </w:rPr>
        <w:t xml:space="preserve"> </w:t>
      </w:r>
      <w:r>
        <w:rPr>
          <w:b/>
        </w:rPr>
        <w:t>management</w:t>
      </w:r>
      <w:r>
        <w:rPr>
          <w:b/>
          <w:spacing w:val="-4"/>
        </w:rPr>
        <w:t xml:space="preserve"> </w:t>
      </w:r>
      <w:r>
        <w:rPr>
          <w:b/>
        </w:rPr>
        <w:t>systems</w:t>
      </w:r>
      <w:r>
        <w:rPr>
          <w:b/>
          <w:spacing w:val="-4"/>
        </w:rPr>
        <w:t xml:space="preserve"> </w:t>
      </w:r>
      <w:r>
        <w:rPr>
          <w:b/>
        </w:rPr>
        <w:t>do</w:t>
      </w:r>
      <w:r>
        <w:rPr>
          <w:b/>
          <w:spacing w:val="-4"/>
        </w:rPr>
        <w:t xml:space="preserve"> </w:t>
      </w:r>
      <w:r>
        <w:rPr>
          <w:b/>
        </w:rPr>
        <w:t>not</w:t>
      </w:r>
      <w:r>
        <w:rPr>
          <w:b/>
          <w:spacing w:val="-4"/>
        </w:rPr>
        <w:t xml:space="preserve"> </w:t>
      </w:r>
      <w:r>
        <w:rPr>
          <w:b/>
        </w:rPr>
        <w:t>comply</w:t>
      </w:r>
      <w:r>
        <w:rPr>
          <w:b/>
          <w:spacing w:val="-4"/>
        </w:rPr>
        <w:t xml:space="preserve"> </w:t>
      </w:r>
      <w:r>
        <w:rPr>
          <w:b/>
        </w:rPr>
        <w:t>substantially</w:t>
      </w:r>
      <w:r>
        <w:rPr>
          <w:b/>
          <w:spacing w:val="-4"/>
        </w:rPr>
        <w:t xml:space="preserve"> </w:t>
      </w:r>
      <w:r>
        <w:rPr>
          <w:b/>
        </w:rPr>
        <w:t>with</w:t>
      </w:r>
      <w:r>
        <w:rPr>
          <w:b/>
          <w:spacing w:val="-4"/>
        </w:rPr>
        <w:t xml:space="preserve"> </w:t>
      </w:r>
      <w:r>
        <w:rPr>
          <w:b/>
        </w:rPr>
        <w:t>any</w:t>
      </w:r>
      <w:r>
        <w:rPr>
          <w:b/>
          <w:spacing w:val="-4"/>
        </w:rPr>
        <w:t xml:space="preserve"> </w:t>
      </w:r>
      <w:r>
        <w:rPr>
          <w:b/>
        </w:rPr>
        <w:t>of</w:t>
      </w:r>
      <w:r>
        <w:rPr>
          <w:b/>
          <w:spacing w:val="-4"/>
        </w:rPr>
        <w:t xml:space="preserve"> </w:t>
      </w:r>
      <w:r>
        <w:rPr>
          <w:b/>
        </w:rPr>
        <w:t>these three elements, use the following paragraph:]</w:t>
      </w:r>
    </w:p>
    <w:p w14:paraId="0DFDC819" w14:textId="77777777" w:rsidR="00046465" w:rsidRDefault="008134EB">
      <w:pPr>
        <w:pStyle w:val="BodyText"/>
        <w:spacing w:before="120"/>
        <w:ind w:left="721" w:right="844"/>
      </w:pPr>
      <w:r>
        <w:t xml:space="preserve">As of September 30, 20X2, </w:t>
      </w:r>
      <w:r>
        <w:rPr>
          <w:b/>
        </w:rPr>
        <w:t xml:space="preserve">[Entity’s] </w:t>
      </w:r>
      <w:r>
        <w:t>financial management systems do not comply substantially</w:t>
      </w:r>
      <w:r>
        <w:rPr>
          <w:spacing w:val="-7"/>
        </w:rPr>
        <w:t xml:space="preserve"> </w:t>
      </w:r>
      <w:r>
        <w:t>with</w:t>
      </w:r>
      <w:r>
        <w:rPr>
          <w:spacing w:val="-6"/>
        </w:rPr>
        <w:t xml:space="preserve"> </w:t>
      </w:r>
      <w:r>
        <w:t>the</w:t>
      </w:r>
      <w:r>
        <w:rPr>
          <w:spacing w:val="-6"/>
        </w:rPr>
        <w:t xml:space="preserve"> </w:t>
      </w:r>
      <w:r>
        <w:t>federal</w:t>
      </w:r>
      <w:r>
        <w:rPr>
          <w:spacing w:val="-6"/>
        </w:rPr>
        <w:t xml:space="preserve"> </w:t>
      </w:r>
      <w:r>
        <w:t>financial</w:t>
      </w:r>
      <w:r>
        <w:rPr>
          <w:spacing w:val="-6"/>
        </w:rPr>
        <w:t xml:space="preserve"> </w:t>
      </w:r>
      <w:r>
        <w:t>management</w:t>
      </w:r>
      <w:r>
        <w:rPr>
          <w:spacing w:val="-6"/>
        </w:rPr>
        <w:t xml:space="preserve"> </w:t>
      </w:r>
      <w:r>
        <w:t>systems</w:t>
      </w:r>
      <w:r>
        <w:rPr>
          <w:spacing w:val="-6"/>
        </w:rPr>
        <w:t xml:space="preserve"> </w:t>
      </w:r>
      <w:r>
        <w:t>requirements,</w:t>
      </w:r>
      <w:r>
        <w:rPr>
          <w:spacing w:val="-6"/>
        </w:rPr>
        <w:t xml:space="preserve"> </w:t>
      </w:r>
      <w:r>
        <w:t>applicable federal accounting standards, and application of the USSGL at the transaction level.</w:t>
      </w:r>
    </w:p>
    <w:p w14:paraId="0DFDC81A" w14:textId="77777777" w:rsidR="00046465" w:rsidRDefault="008134EB">
      <w:pPr>
        <w:spacing w:before="120"/>
        <w:ind w:left="721" w:right="726"/>
        <w:rPr>
          <w:b/>
        </w:rPr>
      </w:pPr>
      <w:r>
        <w:rPr>
          <w:b/>
        </w:rPr>
        <w:t>[If</w:t>
      </w:r>
      <w:r>
        <w:rPr>
          <w:b/>
          <w:spacing w:val="-5"/>
        </w:rPr>
        <w:t xml:space="preserve"> </w:t>
      </w:r>
      <w:r>
        <w:rPr>
          <w:b/>
        </w:rPr>
        <w:t>the</w:t>
      </w:r>
      <w:r>
        <w:rPr>
          <w:b/>
          <w:spacing w:val="-3"/>
        </w:rPr>
        <w:t xml:space="preserve"> </w:t>
      </w:r>
      <w:r>
        <w:rPr>
          <w:b/>
        </w:rPr>
        <w:t>financial</w:t>
      </w:r>
      <w:r>
        <w:rPr>
          <w:b/>
          <w:spacing w:val="-4"/>
        </w:rPr>
        <w:t xml:space="preserve"> </w:t>
      </w:r>
      <w:r>
        <w:rPr>
          <w:b/>
        </w:rPr>
        <w:t>management</w:t>
      </w:r>
      <w:r>
        <w:rPr>
          <w:b/>
          <w:spacing w:val="-3"/>
        </w:rPr>
        <w:t xml:space="preserve"> </w:t>
      </w:r>
      <w:r>
        <w:rPr>
          <w:b/>
        </w:rPr>
        <w:t>systems</w:t>
      </w:r>
      <w:r>
        <w:rPr>
          <w:b/>
          <w:spacing w:val="-4"/>
        </w:rPr>
        <w:t xml:space="preserve"> </w:t>
      </w:r>
      <w:r>
        <w:rPr>
          <w:b/>
        </w:rPr>
        <w:t>do</w:t>
      </w:r>
      <w:r>
        <w:rPr>
          <w:b/>
          <w:spacing w:val="-3"/>
        </w:rPr>
        <w:t xml:space="preserve"> </w:t>
      </w:r>
      <w:r>
        <w:rPr>
          <w:b/>
        </w:rPr>
        <w:t>not</w:t>
      </w:r>
      <w:r>
        <w:rPr>
          <w:b/>
          <w:spacing w:val="-4"/>
        </w:rPr>
        <w:t xml:space="preserve"> </w:t>
      </w:r>
      <w:r>
        <w:rPr>
          <w:b/>
        </w:rPr>
        <w:t>comply</w:t>
      </w:r>
      <w:r>
        <w:rPr>
          <w:b/>
          <w:spacing w:val="-3"/>
        </w:rPr>
        <w:t xml:space="preserve"> </w:t>
      </w:r>
      <w:r>
        <w:rPr>
          <w:b/>
        </w:rPr>
        <w:t>substantially</w:t>
      </w:r>
      <w:r>
        <w:rPr>
          <w:b/>
          <w:spacing w:val="-4"/>
        </w:rPr>
        <w:t xml:space="preserve"> </w:t>
      </w:r>
      <w:r>
        <w:rPr>
          <w:b/>
        </w:rPr>
        <w:t>with</w:t>
      </w:r>
      <w:r>
        <w:rPr>
          <w:b/>
          <w:spacing w:val="-3"/>
        </w:rPr>
        <w:t xml:space="preserve"> </w:t>
      </w:r>
      <w:r>
        <w:rPr>
          <w:b/>
        </w:rPr>
        <w:t>one</w:t>
      </w:r>
      <w:r>
        <w:rPr>
          <w:b/>
          <w:spacing w:val="-4"/>
        </w:rPr>
        <w:t xml:space="preserve"> </w:t>
      </w:r>
      <w:r>
        <w:rPr>
          <w:b/>
        </w:rPr>
        <w:t>or</w:t>
      </w:r>
      <w:r>
        <w:rPr>
          <w:b/>
          <w:spacing w:val="-3"/>
        </w:rPr>
        <w:t xml:space="preserve"> </w:t>
      </w:r>
      <w:r>
        <w:rPr>
          <w:b/>
        </w:rPr>
        <w:t>more</w:t>
      </w:r>
      <w:r>
        <w:rPr>
          <w:b/>
          <w:spacing w:val="-3"/>
        </w:rPr>
        <w:t xml:space="preserve"> </w:t>
      </w:r>
      <w:r>
        <w:rPr>
          <w:b/>
        </w:rPr>
        <w:t>of the three elements, the representation should (1) identify the entity or organization responsible for the financial management systems that were found to not comply substantially with any of the three elements; (2) identify all the facts pertaining to the noncompliance, including the nature and extent of the noncompliance and the</w:t>
      </w:r>
    </w:p>
    <w:p w14:paraId="0DFDC81B" w14:textId="77777777" w:rsidR="00046465" w:rsidRDefault="00046465">
      <w:pPr>
        <w:rPr>
          <w:b/>
        </w:rPr>
        <w:sectPr w:rsidR="00046465">
          <w:pgSz w:w="12240" w:h="15840"/>
          <w:pgMar w:top="1340" w:right="720" w:bottom="940" w:left="1080" w:header="721" w:footer="757" w:gutter="0"/>
          <w:cols w:space="720"/>
        </w:sectPr>
      </w:pPr>
    </w:p>
    <w:p w14:paraId="0DFDC81C" w14:textId="77777777" w:rsidR="00046465" w:rsidRDefault="008134EB">
      <w:pPr>
        <w:spacing w:before="121"/>
        <w:ind w:left="720" w:right="749" w:hanging="1"/>
        <w:rPr>
          <w:b/>
        </w:rPr>
      </w:pPr>
      <w:r>
        <w:rPr>
          <w:b/>
        </w:rPr>
        <w:lastRenderedPageBreak/>
        <w:t>primary reason or cause of the noncompliance; and (3) indicate whether the remediation</w:t>
      </w:r>
      <w:r>
        <w:rPr>
          <w:b/>
          <w:spacing w:val="-4"/>
        </w:rPr>
        <w:t xml:space="preserve"> </w:t>
      </w:r>
      <w:r>
        <w:rPr>
          <w:b/>
        </w:rPr>
        <w:t>plan</w:t>
      </w:r>
      <w:r>
        <w:rPr>
          <w:b/>
          <w:spacing w:val="-4"/>
        </w:rPr>
        <w:t xml:space="preserve"> </w:t>
      </w:r>
      <w:r>
        <w:rPr>
          <w:b/>
        </w:rPr>
        <w:t>that</w:t>
      </w:r>
      <w:r>
        <w:rPr>
          <w:b/>
          <w:spacing w:val="-4"/>
        </w:rPr>
        <w:t xml:space="preserve"> </w:t>
      </w:r>
      <w:r>
        <w:rPr>
          <w:b/>
        </w:rPr>
        <w:t>includes</w:t>
      </w:r>
      <w:r>
        <w:rPr>
          <w:b/>
          <w:spacing w:val="-4"/>
        </w:rPr>
        <w:t xml:space="preserve"> </w:t>
      </w:r>
      <w:r>
        <w:rPr>
          <w:b/>
        </w:rPr>
        <w:t>the</w:t>
      </w:r>
      <w:r>
        <w:rPr>
          <w:b/>
          <w:spacing w:val="-4"/>
        </w:rPr>
        <w:t xml:space="preserve"> </w:t>
      </w:r>
      <w:r>
        <w:rPr>
          <w:b/>
        </w:rPr>
        <w:t>resources,</w:t>
      </w:r>
      <w:r>
        <w:rPr>
          <w:b/>
          <w:spacing w:val="-4"/>
        </w:rPr>
        <w:t xml:space="preserve"> </w:t>
      </w:r>
      <w:r>
        <w:rPr>
          <w:b/>
        </w:rPr>
        <w:t>remedies,</w:t>
      </w:r>
      <w:r>
        <w:rPr>
          <w:b/>
          <w:spacing w:val="-4"/>
        </w:rPr>
        <w:t xml:space="preserve"> </w:t>
      </w:r>
      <w:r>
        <w:rPr>
          <w:b/>
        </w:rPr>
        <w:t>and</w:t>
      </w:r>
      <w:r>
        <w:rPr>
          <w:b/>
          <w:spacing w:val="-4"/>
        </w:rPr>
        <w:t xml:space="preserve"> </w:t>
      </w:r>
      <w:r>
        <w:rPr>
          <w:b/>
        </w:rPr>
        <w:t>intermediate</w:t>
      </w:r>
      <w:r>
        <w:rPr>
          <w:b/>
          <w:spacing w:val="-4"/>
        </w:rPr>
        <w:t xml:space="preserve"> </w:t>
      </w:r>
      <w:r>
        <w:rPr>
          <w:b/>
        </w:rPr>
        <w:t>target</w:t>
      </w:r>
      <w:r>
        <w:rPr>
          <w:b/>
          <w:spacing w:val="-4"/>
        </w:rPr>
        <w:t xml:space="preserve"> </w:t>
      </w:r>
      <w:r>
        <w:rPr>
          <w:b/>
        </w:rPr>
        <w:t>dates necessary to bring the entity’s financial management systems into substantial compliance has been provided to the auditor or has not been prepared.]</w:t>
      </w:r>
    </w:p>
    <w:p w14:paraId="0DFDC81D" w14:textId="77777777" w:rsidR="00046465" w:rsidRDefault="008134EB">
      <w:pPr>
        <w:spacing w:before="120"/>
        <w:ind w:left="360"/>
        <w:jc w:val="both"/>
        <w:rPr>
          <w:b/>
        </w:rPr>
      </w:pPr>
      <w:r>
        <w:rPr>
          <w:b/>
          <w:u w:val="single"/>
        </w:rPr>
        <w:t>Compliance</w:t>
      </w:r>
      <w:r>
        <w:rPr>
          <w:b/>
          <w:spacing w:val="-10"/>
          <w:u w:val="single"/>
        </w:rPr>
        <w:t xml:space="preserve"> </w:t>
      </w:r>
      <w:r>
        <w:rPr>
          <w:b/>
          <w:u w:val="single"/>
        </w:rPr>
        <w:t>with</w:t>
      </w:r>
      <w:r>
        <w:rPr>
          <w:b/>
          <w:spacing w:val="-9"/>
          <w:u w:val="single"/>
        </w:rPr>
        <w:t xml:space="preserve"> </w:t>
      </w:r>
      <w:r>
        <w:rPr>
          <w:b/>
          <w:u w:val="single"/>
        </w:rPr>
        <w:t>Applicable</w:t>
      </w:r>
      <w:r>
        <w:rPr>
          <w:b/>
          <w:spacing w:val="-10"/>
          <w:u w:val="single"/>
        </w:rPr>
        <w:t xml:space="preserve"> </w:t>
      </w:r>
      <w:r>
        <w:rPr>
          <w:b/>
          <w:u w:val="single"/>
        </w:rPr>
        <w:t>Laws,</w:t>
      </w:r>
      <w:r>
        <w:rPr>
          <w:b/>
          <w:spacing w:val="-9"/>
          <w:u w:val="single"/>
        </w:rPr>
        <w:t xml:space="preserve"> </w:t>
      </w:r>
      <w:r>
        <w:rPr>
          <w:b/>
          <w:u w:val="single"/>
        </w:rPr>
        <w:t>Regulations,</w:t>
      </w:r>
      <w:r>
        <w:rPr>
          <w:b/>
          <w:spacing w:val="-9"/>
          <w:u w:val="single"/>
        </w:rPr>
        <w:t xml:space="preserve"> </w:t>
      </w:r>
      <w:r>
        <w:rPr>
          <w:b/>
          <w:u w:val="single"/>
        </w:rPr>
        <w:t>Contracts,</w:t>
      </w:r>
      <w:r>
        <w:rPr>
          <w:b/>
          <w:spacing w:val="-10"/>
          <w:u w:val="single"/>
        </w:rPr>
        <w:t xml:space="preserve"> </w:t>
      </w:r>
      <w:r>
        <w:rPr>
          <w:b/>
          <w:u w:val="single"/>
        </w:rPr>
        <w:t>and</w:t>
      </w:r>
      <w:r>
        <w:rPr>
          <w:b/>
          <w:spacing w:val="-9"/>
          <w:u w:val="single"/>
        </w:rPr>
        <w:t xml:space="preserve"> </w:t>
      </w:r>
      <w:r>
        <w:rPr>
          <w:b/>
          <w:u w:val="single"/>
        </w:rPr>
        <w:t>Grant</w:t>
      </w:r>
      <w:r>
        <w:rPr>
          <w:b/>
          <w:spacing w:val="-9"/>
          <w:u w:val="single"/>
        </w:rPr>
        <w:t xml:space="preserve"> </w:t>
      </w:r>
      <w:r>
        <w:rPr>
          <w:b/>
          <w:spacing w:val="-2"/>
          <w:u w:val="single"/>
        </w:rPr>
        <w:t>Agreements</w:t>
      </w:r>
    </w:p>
    <w:p w14:paraId="0DFDC81E" w14:textId="77777777" w:rsidR="00046465" w:rsidRDefault="008134EB">
      <w:pPr>
        <w:pStyle w:val="ListParagraph"/>
        <w:numPr>
          <w:ilvl w:val="0"/>
          <w:numId w:val="66"/>
        </w:numPr>
        <w:tabs>
          <w:tab w:val="left" w:pos="719"/>
        </w:tabs>
        <w:ind w:right="1014"/>
        <w:jc w:val="both"/>
      </w:pPr>
      <w:r>
        <w:t>We</w:t>
      </w:r>
      <w:r>
        <w:rPr>
          <w:spacing w:val="-4"/>
        </w:rPr>
        <w:t xml:space="preserve"> </w:t>
      </w:r>
      <w:r>
        <w:t>are</w:t>
      </w:r>
      <w:r>
        <w:rPr>
          <w:spacing w:val="-4"/>
        </w:rPr>
        <w:t xml:space="preserve"> </w:t>
      </w:r>
      <w:r>
        <w:t>responsible</w:t>
      </w:r>
      <w:r>
        <w:rPr>
          <w:spacing w:val="-4"/>
        </w:rPr>
        <w:t xml:space="preserve"> </w:t>
      </w:r>
      <w:r>
        <w:t>for</w:t>
      </w:r>
      <w:r>
        <w:rPr>
          <w:spacing w:val="-6"/>
        </w:rPr>
        <w:t xml:space="preserve"> </w:t>
      </w:r>
      <w:r>
        <w:t>complying</w:t>
      </w:r>
      <w:r>
        <w:rPr>
          <w:spacing w:val="-4"/>
        </w:rPr>
        <w:t xml:space="preserve"> </w:t>
      </w:r>
      <w:r>
        <w:t>with</w:t>
      </w:r>
      <w:r>
        <w:rPr>
          <w:spacing w:val="-4"/>
        </w:rPr>
        <w:t xml:space="preserve"> </w:t>
      </w:r>
      <w:r>
        <w:t>laws,</w:t>
      </w:r>
      <w:r>
        <w:rPr>
          <w:spacing w:val="-4"/>
        </w:rPr>
        <w:t xml:space="preserve"> </w:t>
      </w:r>
      <w:r>
        <w:t>regulations,</w:t>
      </w:r>
      <w:r>
        <w:rPr>
          <w:spacing w:val="-5"/>
        </w:rPr>
        <w:t xml:space="preserve"> </w:t>
      </w:r>
      <w:r>
        <w:t>contracts,</w:t>
      </w:r>
      <w:r>
        <w:rPr>
          <w:spacing w:val="-4"/>
        </w:rPr>
        <w:t xml:space="preserve"> </w:t>
      </w:r>
      <w:r>
        <w:t>and</w:t>
      </w:r>
      <w:r>
        <w:rPr>
          <w:spacing w:val="-4"/>
        </w:rPr>
        <w:t xml:space="preserve"> </w:t>
      </w:r>
      <w:r>
        <w:t>grant</w:t>
      </w:r>
      <w:r>
        <w:rPr>
          <w:spacing w:val="-4"/>
        </w:rPr>
        <w:t xml:space="preserve"> </w:t>
      </w:r>
      <w:r>
        <w:t xml:space="preserve">agreements applicable to </w:t>
      </w:r>
      <w:r>
        <w:rPr>
          <w:b/>
        </w:rPr>
        <w:t>[Entity]</w:t>
      </w:r>
      <w:r>
        <w:t>.</w:t>
      </w:r>
    </w:p>
    <w:p w14:paraId="0DFDC81F" w14:textId="77777777" w:rsidR="00046465" w:rsidRDefault="008134EB">
      <w:pPr>
        <w:pStyle w:val="ListParagraph"/>
        <w:numPr>
          <w:ilvl w:val="0"/>
          <w:numId w:val="66"/>
        </w:numPr>
        <w:tabs>
          <w:tab w:val="left" w:pos="719"/>
        </w:tabs>
        <w:spacing w:before="119"/>
        <w:ind w:right="1050"/>
        <w:jc w:val="both"/>
      </w:pPr>
      <w:r>
        <w:t>We</w:t>
      </w:r>
      <w:r>
        <w:rPr>
          <w:spacing w:val="-1"/>
        </w:rPr>
        <w:t xml:space="preserve"> </w:t>
      </w:r>
      <w:r>
        <w:t>have</w:t>
      </w:r>
      <w:r>
        <w:rPr>
          <w:spacing w:val="-1"/>
        </w:rPr>
        <w:t xml:space="preserve"> </w:t>
      </w:r>
      <w:r>
        <w:t>identified</w:t>
      </w:r>
      <w:r>
        <w:rPr>
          <w:spacing w:val="-1"/>
        </w:rPr>
        <w:t xml:space="preserve"> </w:t>
      </w:r>
      <w:r>
        <w:t>and</w:t>
      </w:r>
      <w:r>
        <w:rPr>
          <w:spacing w:val="-1"/>
        </w:rPr>
        <w:t xml:space="preserve"> </w:t>
      </w:r>
      <w:r>
        <w:t>disclosed</w:t>
      </w:r>
      <w:r>
        <w:rPr>
          <w:spacing w:val="-1"/>
        </w:rPr>
        <w:t xml:space="preserve"> </w:t>
      </w:r>
      <w:r>
        <w:t>to</w:t>
      </w:r>
      <w:r>
        <w:rPr>
          <w:spacing w:val="-1"/>
        </w:rPr>
        <w:t xml:space="preserve"> </w:t>
      </w:r>
      <w:r>
        <w:t>you</w:t>
      </w:r>
      <w:r>
        <w:rPr>
          <w:spacing w:val="-1"/>
        </w:rPr>
        <w:t xml:space="preserve"> </w:t>
      </w:r>
      <w:r>
        <w:t>all</w:t>
      </w:r>
      <w:r>
        <w:rPr>
          <w:spacing w:val="-4"/>
        </w:rPr>
        <w:t xml:space="preserve"> </w:t>
      </w:r>
      <w:r>
        <w:t>provisions</w:t>
      </w:r>
      <w:r>
        <w:rPr>
          <w:spacing w:val="-7"/>
        </w:rPr>
        <w:t xml:space="preserve"> </w:t>
      </w:r>
      <w:r>
        <w:t>of</w:t>
      </w:r>
      <w:r>
        <w:rPr>
          <w:spacing w:val="-7"/>
        </w:rPr>
        <w:t xml:space="preserve"> </w:t>
      </w:r>
      <w:r>
        <w:t>laws,</w:t>
      </w:r>
      <w:r>
        <w:rPr>
          <w:spacing w:val="-1"/>
        </w:rPr>
        <w:t xml:space="preserve"> </w:t>
      </w:r>
      <w:r>
        <w:t>regulations,</w:t>
      </w:r>
      <w:r>
        <w:rPr>
          <w:spacing w:val="-2"/>
        </w:rPr>
        <w:t xml:space="preserve"> </w:t>
      </w:r>
      <w:r>
        <w:t>contracts,</w:t>
      </w:r>
      <w:r>
        <w:rPr>
          <w:spacing w:val="-1"/>
        </w:rPr>
        <w:t xml:space="preserve"> </w:t>
      </w:r>
      <w:r>
        <w:t>and grant</w:t>
      </w:r>
      <w:r>
        <w:rPr>
          <w:spacing w:val="-4"/>
        </w:rPr>
        <w:t xml:space="preserve"> </w:t>
      </w:r>
      <w:r>
        <w:t>agreements</w:t>
      </w:r>
      <w:r>
        <w:rPr>
          <w:spacing w:val="-4"/>
        </w:rPr>
        <w:t xml:space="preserve"> </w:t>
      </w:r>
      <w:r>
        <w:t>applicable</w:t>
      </w:r>
      <w:r>
        <w:rPr>
          <w:spacing w:val="-4"/>
        </w:rPr>
        <w:t xml:space="preserve"> </w:t>
      </w:r>
      <w:r>
        <w:t>to</w:t>
      </w:r>
      <w:r>
        <w:rPr>
          <w:spacing w:val="-4"/>
        </w:rPr>
        <w:t xml:space="preserve"> </w:t>
      </w:r>
      <w:r>
        <w:rPr>
          <w:b/>
        </w:rPr>
        <w:t>[Entity]</w:t>
      </w:r>
      <w:r>
        <w:t>,</w:t>
      </w:r>
      <w:r>
        <w:rPr>
          <w:spacing w:val="-4"/>
        </w:rPr>
        <w:t xml:space="preserve"> </w:t>
      </w:r>
      <w:r>
        <w:t>noncompliance</w:t>
      </w:r>
      <w:r>
        <w:rPr>
          <w:spacing w:val="-4"/>
        </w:rPr>
        <w:t xml:space="preserve"> </w:t>
      </w:r>
      <w:r>
        <w:t>with</w:t>
      </w:r>
      <w:r>
        <w:rPr>
          <w:spacing w:val="-4"/>
        </w:rPr>
        <w:t xml:space="preserve"> </w:t>
      </w:r>
      <w:r>
        <w:t>which</w:t>
      </w:r>
      <w:r>
        <w:rPr>
          <w:spacing w:val="-4"/>
        </w:rPr>
        <w:t xml:space="preserve"> </w:t>
      </w:r>
      <w:r>
        <w:t>could</w:t>
      </w:r>
      <w:r>
        <w:rPr>
          <w:spacing w:val="-4"/>
        </w:rPr>
        <w:t xml:space="preserve"> </w:t>
      </w:r>
      <w:r>
        <w:t>have</w:t>
      </w:r>
      <w:r>
        <w:rPr>
          <w:spacing w:val="-4"/>
        </w:rPr>
        <w:t xml:space="preserve"> </w:t>
      </w:r>
      <w:r>
        <w:t>a</w:t>
      </w:r>
      <w:r>
        <w:rPr>
          <w:spacing w:val="-4"/>
        </w:rPr>
        <w:t xml:space="preserve"> </w:t>
      </w:r>
      <w:r>
        <w:t>material effect on the financial statements.</w:t>
      </w:r>
    </w:p>
    <w:p w14:paraId="0DFDC820" w14:textId="77777777" w:rsidR="00046465" w:rsidRDefault="008134EB">
      <w:pPr>
        <w:pStyle w:val="ListParagraph"/>
        <w:numPr>
          <w:ilvl w:val="0"/>
          <w:numId w:val="66"/>
        </w:numPr>
        <w:tabs>
          <w:tab w:val="left" w:pos="719"/>
        </w:tabs>
        <w:spacing w:before="121"/>
        <w:ind w:right="814"/>
      </w:pPr>
      <w:r>
        <w:t>There are no instances of noncompliance or suspected noncompliance with laws, regulations,</w:t>
      </w:r>
      <w:r>
        <w:rPr>
          <w:spacing w:val="-5"/>
        </w:rPr>
        <w:t xml:space="preserve"> </w:t>
      </w:r>
      <w:r>
        <w:t>contracts,</w:t>
      </w:r>
      <w:r>
        <w:rPr>
          <w:spacing w:val="-4"/>
        </w:rPr>
        <w:t xml:space="preserve"> </w:t>
      </w:r>
      <w:r>
        <w:t>and</w:t>
      </w:r>
      <w:r>
        <w:rPr>
          <w:spacing w:val="-4"/>
        </w:rPr>
        <w:t xml:space="preserve"> </w:t>
      </w:r>
      <w:r>
        <w:t>grant</w:t>
      </w:r>
      <w:r>
        <w:rPr>
          <w:spacing w:val="-4"/>
        </w:rPr>
        <w:t xml:space="preserve"> </w:t>
      </w:r>
      <w:r>
        <w:t>agreements</w:t>
      </w:r>
      <w:r>
        <w:rPr>
          <w:spacing w:val="-4"/>
        </w:rPr>
        <w:t xml:space="preserve"> </w:t>
      </w:r>
      <w:r>
        <w:t>applicable</w:t>
      </w:r>
      <w:r>
        <w:rPr>
          <w:spacing w:val="-4"/>
        </w:rPr>
        <w:t xml:space="preserve"> </w:t>
      </w:r>
      <w:r>
        <w:t>to</w:t>
      </w:r>
      <w:r>
        <w:rPr>
          <w:spacing w:val="-5"/>
        </w:rPr>
        <w:t xml:space="preserve"> </w:t>
      </w:r>
      <w:r>
        <w:rPr>
          <w:b/>
        </w:rPr>
        <w:t>[Entity]</w:t>
      </w:r>
      <w:r>
        <w:rPr>
          <w:b/>
          <w:spacing w:val="-3"/>
        </w:rPr>
        <w:t xml:space="preserve"> </w:t>
      </w:r>
      <w:r>
        <w:t>whose</w:t>
      </w:r>
      <w:r>
        <w:rPr>
          <w:spacing w:val="-4"/>
        </w:rPr>
        <w:t xml:space="preserve"> </w:t>
      </w:r>
      <w:r>
        <w:t>effects</w:t>
      </w:r>
      <w:r>
        <w:rPr>
          <w:spacing w:val="-5"/>
        </w:rPr>
        <w:t xml:space="preserve"> </w:t>
      </w:r>
      <w:r>
        <w:t>should</w:t>
      </w:r>
      <w:r>
        <w:rPr>
          <w:spacing w:val="-4"/>
        </w:rPr>
        <w:t xml:space="preserve"> </w:t>
      </w:r>
      <w:r>
        <w:t xml:space="preserve">be considered when preparing the financial statements. </w:t>
      </w:r>
      <w:r>
        <w:rPr>
          <w:b/>
        </w:rPr>
        <w:t xml:space="preserve">OR </w:t>
      </w:r>
      <w:r>
        <w:t xml:space="preserve">We have disclosed to you all instances of noncompliance or suspected noncompliance with laws, regulations, contracts, and grant agreements applicable to </w:t>
      </w:r>
      <w:r>
        <w:rPr>
          <w:b/>
        </w:rPr>
        <w:t xml:space="preserve">[Entity] </w:t>
      </w:r>
      <w:r>
        <w:t>whose effects should be considered when preparing financial statements.</w:t>
      </w:r>
    </w:p>
    <w:p w14:paraId="0DFDC821" w14:textId="77777777" w:rsidR="00046465" w:rsidRDefault="008134EB">
      <w:pPr>
        <w:pStyle w:val="ListParagraph"/>
        <w:numPr>
          <w:ilvl w:val="0"/>
          <w:numId w:val="66"/>
        </w:numPr>
        <w:tabs>
          <w:tab w:val="left" w:pos="720"/>
        </w:tabs>
        <w:ind w:left="720" w:right="752"/>
      </w:pPr>
      <w:r>
        <w:t xml:space="preserve">We are not aware of any violations, or potential violations, of the Antideficiency Act for the years ended September 30, 20X2, and 20X1, and through the date of this letter. </w:t>
      </w:r>
      <w:r>
        <w:rPr>
          <w:b/>
        </w:rPr>
        <w:t xml:space="preserve">OR </w:t>
      </w:r>
      <w:r>
        <w:t>We have communicated to you all violations of the Antideficiency Act for the years ended September</w:t>
      </w:r>
      <w:r>
        <w:rPr>
          <w:spacing w:val="-2"/>
        </w:rPr>
        <w:t xml:space="preserve"> </w:t>
      </w:r>
      <w:r>
        <w:t>30,</w:t>
      </w:r>
      <w:r>
        <w:rPr>
          <w:spacing w:val="-3"/>
        </w:rPr>
        <w:t xml:space="preserve"> </w:t>
      </w:r>
      <w:r>
        <w:t>20X2,</w:t>
      </w:r>
      <w:r>
        <w:rPr>
          <w:spacing w:val="-3"/>
        </w:rPr>
        <w:t xml:space="preserve"> </w:t>
      </w:r>
      <w:r>
        <w:t>and</w:t>
      </w:r>
      <w:r>
        <w:rPr>
          <w:spacing w:val="-3"/>
        </w:rPr>
        <w:t xml:space="preserve"> </w:t>
      </w:r>
      <w:r>
        <w:t>20X1,</w:t>
      </w:r>
      <w:r>
        <w:rPr>
          <w:spacing w:val="-3"/>
        </w:rPr>
        <w:t xml:space="preserve"> </w:t>
      </w:r>
      <w:r>
        <w:t>and</w:t>
      </w:r>
      <w:r>
        <w:rPr>
          <w:spacing w:val="-3"/>
        </w:rPr>
        <w:t xml:space="preserve"> </w:t>
      </w:r>
      <w:r>
        <w:t>through</w:t>
      </w:r>
      <w:r>
        <w:rPr>
          <w:spacing w:val="-3"/>
        </w:rPr>
        <w:t xml:space="preserve"> </w:t>
      </w:r>
      <w:r>
        <w:t>the</w:t>
      </w:r>
      <w:r>
        <w:rPr>
          <w:spacing w:val="-3"/>
        </w:rPr>
        <w:t xml:space="preserve"> </w:t>
      </w:r>
      <w:r>
        <w:t>date</w:t>
      </w:r>
      <w:r>
        <w:rPr>
          <w:spacing w:val="-3"/>
        </w:rPr>
        <w:t xml:space="preserve"> </w:t>
      </w:r>
      <w:r>
        <w:t>of</w:t>
      </w:r>
      <w:r>
        <w:rPr>
          <w:spacing w:val="-3"/>
        </w:rPr>
        <w:t xml:space="preserve"> </w:t>
      </w:r>
      <w:r>
        <w:t>this</w:t>
      </w:r>
      <w:r>
        <w:rPr>
          <w:spacing w:val="-3"/>
        </w:rPr>
        <w:t xml:space="preserve"> </w:t>
      </w:r>
      <w:r>
        <w:t>letter,</w:t>
      </w:r>
      <w:r>
        <w:rPr>
          <w:spacing w:val="-3"/>
        </w:rPr>
        <w:t xml:space="preserve"> </w:t>
      </w:r>
      <w:r>
        <w:t>and</w:t>
      </w:r>
      <w:r>
        <w:rPr>
          <w:spacing w:val="-4"/>
        </w:rPr>
        <w:t xml:space="preserve"> </w:t>
      </w:r>
      <w:r>
        <w:t>such</w:t>
      </w:r>
      <w:r>
        <w:rPr>
          <w:spacing w:val="-3"/>
        </w:rPr>
        <w:t xml:space="preserve"> </w:t>
      </w:r>
      <w:r>
        <w:t>violations</w:t>
      </w:r>
      <w:r>
        <w:rPr>
          <w:spacing w:val="-3"/>
        </w:rPr>
        <w:t xml:space="preserve"> </w:t>
      </w:r>
      <w:r>
        <w:t xml:space="preserve">have or could have a material effect on the financial statements for the years ended September 30, 20X2, and 20X1 </w:t>
      </w:r>
      <w:r>
        <w:rPr>
          <w:b/>
        </w:rPr>
        <w:t>[except for {add list of Antideficiency Act violations that do not have a material effect on the financial statements}]</w:t>
      </w:r>
      <w:r>
        <w:t>. In addition, we have communicated to you all potential violations of the Antideficiency Act for the years ended September 30, 20X2, and 20X1, and through the date of this letter that, if true, could have a material effect on the financial statements for the years ended September 30, 20X2, and 20X1.</w:t>
      </w:r>
    </w:p>
    <w:p w14:paraId="0DFDC822" w14:textId="77777777" w:rsidR="00046465" w:rsidRDefault="008134EB">
      <w:pPr>
        <w:spacing w:before="120"/>
        <w:ind w:left="360"/>
        <w:rPr>
          <w:b/>
        </w:rPr>
      </w:pPr>
      <w:r>
        <w:rPr>
          <w:b/>
          <w:u w:val="thick"/>
        </w:rPr>
        <w:t>Statement</w:t>
      </w:r>
      <w:r>
        <w:rPr>
          <w:b/>
          <w:spacing w:val="-8"/>
          <w:u w:val="thick"/>
        </w:rPr>
        <w:t xml:space="preserve"> </w:t>
      </w:r>
      <w:r>
        <w:rPr>
          <w:b/>
          <w:u w:val="thick"/>
        </w:rPr>
        <w:t>of</w:t>
      </w:r>
      <w:r>
        <w:rPr>
          <w:b/>
          <w:spacing w:val="-8"/>
          <w:u w:val="thick"/>
        </w:rPr>
        <w:t xml:space="preserve"> </w:t>
      </w:r>
      <w:r>
        <w:rPr>
          <w:b/>
          <w:u w:val="thick"/>
        </w:rPr>
        <w:t>Social</w:t>
      </w:r>
      <w:r>
        <w:rPr>
          <w:b/>
          <w:spacing w:val="-8"/>
          <w:u w:val="thick"/>
        </w:rPr>
        <w:t xml:space="preserve"> </w:t>
      </w:r>
      <w:r>
        <w:rPr>
          <w:b/>
          <w:u w:val="thick"/>
        </w:rPr>
        <w:t>Insurance</w:t>
      </w:r>
      <w:r>
        <w:rPr>
          <w:b/>
          <w:spacing w:val="-8"/>
          <w:u w:val="thick"/>
        </w:rPr>
        <w:t xml:space="preserve"> </w:t>
      </w:r>
      <w:r>
        <w:rPr>
          <w:b/>
          <w:u w:val="thick"/>
        </w:rPr>
        <w:t>and</w:t>
      </w:r>
      <w:r>
        <w:rPr>
          <w:b/>
          <w:spacing w:val="-7"/>
          <w:u w:val="thick"/>
        </w:rPr>
        <w:t xml:space="preserve"> </w:t>
      </w:r>
      <w:r>
        <w:rPr>
          <w:b/>
          <w:u w:val="thick"/>
        </w:rPr>
        <w:t>Statement</w:t>
      </w:r>
      <w:r>
        <w:rPr>
          <w:b/>
          <w:spacing w:val="-8"/>
          <w:u w:val="thick"/>
        </w:rPr>
        <w:t xml:space="preserve"> </w:t>
      </w:r>
      <w:r>
        <w:rPr>
          <w:b/>
          <w:u w:val="thick"/>
        </w:rPr>
        <w:t>of</w:t>
      </w:r>
      <w:r>
        <w:rPr>
          <w:b/>
          <w:spacing w:val="-8"/>
          <w:u w:val="thick"/>
        </w:rPr>
        <w:t xml:space="preserve"> </w:t>
      </w:r>
      <w:r>
        <w:rPr>
          <w:b/>
          <w:u w:val="thick"/>
        </w:rPr>
        <w:t>Changes</w:t>
      </w:r>
      <w:r>
        <w:rPr>
          <w:b/>
          <w:spacing w:val="-8"/>
          <w:u w:val="thick"/>
        </w:rPr>
        <w:t xml:space="preserve"> </w:t>
      </w:r>
      <w:r>
        <w:rPr>
          <w:b/>
          <w:u w:val="thick"/>
        </w:rPr>
        <w:t>in</w:t>
      </w:r>
      <w:r>
        <w:rPr>
          <w:b/>
          <w:spacing w:val="-7"/>
          <w:u w:val="thick"/>
        </w:rPr>
        <w:t xml:space="preserve"> </w:t>
      </w:r>
      <w:r>
        <w:rPr>
          <w:b/>
          <w:u w:val="thick"/>
        </w:rPr>
        <w:t>Social</w:t>
      </w:r>
      <w:r>
        <w:rPr>
          <w:b/>
          <w:spacing w:val="-8"/>
          <w:u w:val="thick"/>
        </w:rPr>
        <w:t xml:space="preserve"> </w:t>
      </w:r>
      <w:r>
        <w:rPr>
          <w:b/>
          <w:u w:val="thick"/>
        </w:rPr>
        <w:t>Insurance</w:t>
      </w:r>
      <w:r>
        <w:rPr>
          <w:b/>
          <w:spacing w:val="-8"/>
          <w:u w:val="thick"/>
        </w:rPr>
        <w:t xml:space="preserve"> </w:t>
      </w:r>
      <w:r>
        <w:rPr>
          <w:b/>
          <w:spacing w:val="-2"/>
          <w:u w:val="thick"/>
        </w:rPr>
        <w:t>Amounts</w:t>
      </w:r>
    </w:p>
    <w:p w14:paraId="0DFDC823" w14:textId="77777777" w:rsidR="00046465" w:rsidRDefault="008134EB">
      <w:pPr>
        <w:spacing w:before="120"/>
        <w:ind w:left="360" w:right="749"/>
        <w:rPr>
          <w:b/>
        </w:rPr>
      </w:pPr>
      <w:r>
        <w:rPr>
          <w:b/>
        </w:rPr>
        <w:t>[If</w:t>
      </w:r>
      <w:r>
        <w:rPr>
          <w:b/>
          <w:spacing w:val="-3"/>
        </w:rPr>
        <w:t xml:space="preserve"> </w:t>
      </w:r>
      <w:r>
        <w:rPr>
          <w:b/>
        </w:rPr>
        <w:t>a</w:t>
      </w:r>
      <w:r>
        <w:rPr>
          <w:b/>
          <w:spacing w:val="-3"/>
        </w:rPr>
        <w:t xml:space="preserve"> </w:t>
      </w:r>
      <w:r>
        <w:rPr>
          <w:b/>
        </w:rPr>
        <w:t>SOSI</w:t>
      </w:r>
      <w:r>
        <w:rPr>
          <w:b/>
          <w:spacing w:val="-3"/>
        </w:rPr>
        <w:t xml:space="preserve"> </w:t>
      </w:r>
      <w:r>
        <w:rPr>
          <w:b/>
        </w:rPr>
        <w:t>and</w:t>
      </w:r>
      <w:r>
        <w:rPr>
          <w:b/>
          <w:spacing w:val="-3"/>
        </w:rPr>
        <w:t xml:space="preserve"> </w:t>
      </w:r>
      <w:r>
        <w:rPr>
          <w:b/>
        </w:rPr>
        <w:t>an</w:t>
      </w:r>
      <w:r>
        <w:rPr>
          <w:b/>
          <w:spacing w:val="-3"/>
        </w:rPr>
        <w:t xml:space="preserve"> </w:t>
      </w:r>
      <w:r>
        <w:rPr>
          <w:b/>
        </w:rPr>
        <w:t>SCSIA</w:t>
      </w:r>
      <w:r>
        <w:rPr>
          <w:b/>
          <w:spacing w:val="-4"/>
        </w:rPr>
        <w:t xml:space="preserve"> </w:t>
      </w:r>
      <w:r>
        <w:rPr>
          <w:b/>
        </w:rPr>
        <w:t>are</w:t>
      </w:r>
      <w:r>
        <w:rPr>
          <w:b/>
          <w:spacing w:val="-3"/>
        </w:rPr>
        <w:t xml:space="preserve"> </w:t>
      </w:r>
      <w:r>
        <w:rPr>
          <w:b/>
        </w:rPr>
        <w:t>presented,</w:t>
      </w:r>
      <w:r>
        <w:rPr>
          <w:b/>
          <w:spacing w:val="-3"/>
        </w:rPr>
        <w:t xml:space="preserve"> </w:t>
      </w:r>
      <w:r>
        <w:rPr>
          <w:b/>
        </w:rPr>
        <w:t>see</w:t>
      </w:r>
      <w:r>
        <w:rPr>
          <w:b/>
          <w:spacing w:val="-3"/>
        </w:rPr>
        <w:t xml:space="preserve"> </w:t>
      </w:r>
      <w:r>
        <w:rPr>
          <w:b/>
        </w:rPr>
        <w:t>AICPA</w:t>
      </w:r>
      <w:r>
        <w:rPr>
          <w:b/>
          <w:spacing w:val="-4"/>
        </w:rPr>
        <w:t xml:space="preserve"> </w:t>
      </w:r>
      <w:r>
        <w:rPr>
          <w:b/>
        </w:rPr>
        <w:t>publication</w:t>
      </w:r>
      <w:r>
        <w:rPr>
          <w:b/>
          <w:spacing w:val="-3"/>
        </w:rPr>
        <w:t xml:space="preserve"> </w:t>
      </w:r>
      <w:r>
        <w:rPr>
          <w:b/>
        </w:rPr>
        <w:t>SOP</w:t>
      </w:r>
      <w:r>
        <w:rPr>
          <w:b/>
          <w:spacing w:val="-2"/>
        </w:rPr>
        <w:t xml:space="preserve"> </w:t>
      </w:r>
      <w:r>
        <w:rPr>
          <w:b/>
        </w:rPr>
        <w:t>04-1,</w:t>
      </w:r>
      <w:r>
        <w:rPr>
          <w:b/>
          <w:spacing w:val="-3"/>
        </w:rPr>
        <w:t xml:space="preserve"> </w:t>
      </w:r>
      <w:r>
        <w:rPr>
          <w:b/>
          <w:i/>
        </w:rPr>
        <w:t>Auditing</w:t>
      </w:r>
      <w:r>
        <w:rPr>
          <w:b/>
          <w:i/>
          <w:spacing w:val="-3"/>
        </w:rPr>
        <w:t xml:space="preserve"> </w:t>
      </w:r>
      <w:r>
        <w:rPr>
          <w:b/>
          <w:i/>
        </w:rPr>
        <w:t xml:space="preserve">the Statement of Social Insurance </w:t>
      </w:r>
      <w:r>
        <w:rPr>
          <w:b/>
        </w:rPr>
        <w:t>(SOP 04-1 § 39), which suggests the following management representations.]</w:t>
      </w:r>
    </w:p>
    <w:p w14:paraId="0DFDC824" w14:textId="77777777" w:rsidR="00046465" w:rsidRDefault="008134EB">
      <w:pPr>
        <w:pStyle w:val="ListParagraph"/>
        <w:numPr>
          <w:ilvl w:val="0"/>
          <w:numId w:val="66"/>
        </w:numPr>
        <w:tabs>
          <w:tab w:val="left" w:pos="720"/>
        </w:tabs>
        <w:spacing w:before="119"/>
        <w:ind w:left="720" w:right="783"/>
      </w:pPr>
      <w:r>
        <w:t>Management</w:t>
      </w:r>
      <w:r>
        <w:rPr>
          <w:spacing w:val="-3"/>
        </w:rPr>
        <w:t xml:space="preserve"> </w:t>
      </w:r>
      <w:r>
        <w:t>is</w:t>
      </w:r>
      <w:r>
        <w:rPr>
          <w:spacing w:val="-3"/>
        </w:rPr>
        <w:t xml:space="preserve"> </w:t>
      </w:r>
      <w:r>
        <w:t>responsible</w:t>
      </w:r>
      <w:r>
        <w:rPr>
          <w:spacing w:val="-3"/>
        </w:rPr>
        <w:t xml:space="preserve"> </w:t>
      </w:r>
      <w:r>
        <w:t>for</w:t>
      </w:r>
      <w:r>
        <w:rPr>
          <w:spacing w:val="-3"/>
        </w:rPr>
        <w:t xml:space="preserve"> </w:t>
      </w:r>
      <w:r>
        <w:t>the</w:t>
      </w:r>
      <w:r>
        <w:rPr>
          <w:spacing w:val="-3"/>
        </w:rPr>
        <w:t xml:space="preserve"> </w:t>
      </w:r>
      <w:r>
        <w:t>assumptions</w:t>
      </w:r>
      <w:r>
        <w:rPr>
          <w:spacing w:val="-3"/>
        </w:rPr>
        <w:t xml:space="preserve"> </w:t>
      </w:r>
      <w:r>
        <w:t>and</w:t>
      </w:r>
      <w:r>
        <w:rPr>
          <w:spacing w:val="-3"/>
        </w:rPr>
        <w:t xml:space="preserve"> </w:t>
      </w:r>
      <w:r>
        <w:t>methods</w:t>
      </w:r>
      <w:r>
        <w:rPr>
          <w:spacing w:val="-3"/>
        </w:rPr>
        <w:t xml:space="preserve"> </w:t>
      </w:r>
      <w:r>
        <w:t>used</w:t>
      </w:r>
      <w:r>
        <w:rPr>
          <w:spacing w:val="-3"/>
        </w:rPr>
        <w:t xml:space="preserve"> </w:t>
      </w:r>
      <w:r>
        <w:t>in</w:t>
      </w:r>
      <w:r>
        <w:rPr>
          <w:spacing w:val="-3"/>
        </w:rPr>
        <w:t xml:space="preserve"> </w:t>
      </w:r>
      <w:r>
        <w:t>the</w:t>
      </w:r>
      <w:r>
        <w:rPr>
          <w:spacing w:val="-3"/>
        </w:rPr>
        <w:t xml:space="preserve"> </w:t>
      </w:r>
      <w:r>
        <w:t>preparation</w:t>
      </w:r>
      <w:r>
        <w:rPr>
          <w:spacing w:val="-3"/>
        </w:rPr>
        <w:t xml:space="preserve"> </w:t>
      </w:r>
      <w:r>
        <w:t>of</w:t>
      </w:r>
      <w:r>
        <w:rPr>
          <w:spacing w:val="-3"/>
        </w:rPr>
        <w:t xml:space="preserve"> </w:t>
      </w:r>
      <w:r>
        <w:t xml:space="preserve">the SOSI and SCSIA. Management agrees with the actuarial methods and assumptions that </w:t>
      </w:r>
      <w:r>
        <w:rPr>
          <w:b/>
        </w:rPr>
        <w:t xml:space="preserve">[Entity’s] </w:t>
      </w:r>
      <w:r>
        <w:t>actuary used and has no knowledge or belief that would make such methods or assumptions inappropriate in the circumstances. Management did not give any instructions, or</w:t>
      </w:r>
      <w:r>
        <w:rPr>
          <w:spacing w:val="-3"/>
        </w:rPr>
        <w:t xml:space="preserve"> </w:t>
      </w:r>
      <w:r>
        <w:t>cause</w:t>
      </w:r>
      <w:r>
        <w:rPr>
          <w:spacing w:val="-3"/>
        </w:rPr>
        <w:t xml:space="preserve"> </w:t>
      </w:r>
      <w:r>
        <w:t>any</w:t>
      </w:r>
      <w:r>
        <w:rPr>
          <w:spacing w:val="-3"/>
        </w:rPr>
        <w:t xml:space="preserve"> </w:t>
      </w:r>
      <w:r>
        <w:t>instructions</w:t>
      </w:r>
      <w:r>
        <w:rPr>
          <w:spacing w:val="-3"/>
        </w:rPr>
        <w:t xml:space="preserve"> </w:t>
      </w:r>
      <w:r>
        <w:t>to</w:t>
      </w:r>
      <w:r>
        <w:rPr>
          <w:spacing w:val="-3"/>
        </w:rPr>
        <w:t xml:space="preserve"> </w:t>
      </w:r>
      <w:r>
        <w:t>be</w:t>
      </w:r>
      <w:r>
        <w:rPr>
          <w:spacing w:val="-3"/>
        </w:rPr>
        <w:t xml:space="preserve"> </w:t>
      </w:r>
      <w:r>
        <w:t>given</w:t>
      </w:r>
      <w:r>
        <w:rPr>
          <w:spacing w:val="-3"/>
        </w:rPr>
        <w:t xml:space="preserve"> </w:t>
      </w:r>
      <w:r>
        <w:t>to</w:t>
      </w:r>
      <w:r>
        <w:rPr>
          <w:spacing w:val="-3"/>
        </w:rPr>
        <w:t xml:space="preserve"> </w:t>
      </w:r>
      <w:r>
        <w:rPr>
          <w:b/>
        </w:rPr>
        <w:t>[Entity’s]</w:t>
      </w:r>
      <w:r>
        <w:rPr>
          <w:b/>
          <w:spacing w:val="-3"/>
        </w:rPr>
        <w:t xml:space="preserve"> </w:t>
      </w:r>
      <w:r>
        <w:t>actuary</w:t>
      </w:r>
      <w:r>
        <w:rPr>
          <w:spacing w:val="-4"/>
        </w:rPr>
        <w:t xml:space="preserve"> </w:t>
      </w:r>
      <w:r>
        <w:t>with</w:t>
      </w:r>
      <w:r>
        <w:rPr>
          <w:spacing w:val="-3"/>
        </w:rPr>
        <w:t xml:space="preserve"> </w:t>
      </w:r>
      <w:r>
        <w:t>respect</w:t>
      </w:r>
      <w:r>
        <w:rPr>
          <w:spacing w:val="-3"/>
        </w:rPr>
        <w:t xml:space="preserve"> </w:t>
      </w:r>
      <w:r>
        <w:t>to</w:t>
      </w:r>
      <w:r>
        <w:rPr>
          <w:spacing w:val="-3"/>
        </w:rPr>
        <w:t xml:space="preserve"> </w:t>
      </w:r>
      <w:r>
        <w:t>values</w:t>
      </w:r>
      <w:r>
        <w:rPr>
          <w:spacing w:val="-3"/>
        </w:rPr>
        <w:t xml:space="preserve"> </w:t>
      </w:r>
      <w:r>
        <w:t>or</w:t>
      </w:r>
      <w:r>
        <w:rPr>
          <w:spacing w:val="-5"/>
        </w:rPr>
        <w:t xml:space="preserve"> </w:t>
      </w:r>
      <w:r>
        <w:t xml:space="preserve">amounts derived, and is not aware of any matters that have affected the objectivity of </w:t>
      </w:r>
      <w:r>
        <w:rPr>
          <w:b/>
        </w:rPr>
        <w:t xml:space="preserve">[Entity’s] </w:t>
      </w:r>
      <w:r>
        <w:t>actuary. Management believes that the actuarial assumptions and methods used to measure the amounts in the SOSI and SCSIA for financial accounting purposes are appropriate in the circumstances.</w:t>
      </w:r>
    </w:p>
    <w:p w14:paraId="0DFDC825" w14:textId="77777777" w:rsidR="00046465" w:rsidRDefault="008134EB">
      <w:pPr>
        <w:pStyle w:val="ListParagraph"/>
        <w:numPr>
          <w:ilvl w:val="0"/>
          <w:numId w:val="66"/>
        </w:numPr>
        <w:tabs>
          <w:tab w:val="left" w:pos="718"/>
          <w:tab w:val="left" w:pos="720"/>
        </w:tabs>
        <w:spacing w:before="121"/>
        <w:ind w:left="720" w:right="936" w:hanging="361"/>
      </w:pPr>
      <w:r>
        <w:t>Actuarial</w:t>
      </w:r>
      <w:r>
        <w:rPr>
          <w:spacing w:val="-4"/>
        </w:rPr>
        <w:t xml:space="preserve"> </w:t>
      </w:r>
      <w:r>
        <w:t>assumptions</w:t>
      </w:r>
      <w:r>
        <w:rPr>
          <w:spacing w:val="-4"/>
        </w:rPr>
        <w:t xml:space="preserve"> </w:t>
      </w:r>
      <w:r>
        <w:t>and</w:t>
      </w:r>
      <w:r>
        <w:rPr>
          <w:spacing w:val="-4"/>
        </w:rPr>
        <w:t xml:space="preserve"> </w:t>
      </w:r>
      <w:r>
        <w:t>methods</w:t>
      </w:r>
      <w:r>
        <w:rPr>
          <w:spacing w:val="-4"/>
        </w:rPr>
        <w:t xml:space="preserve"> </w:t>
      </w:r>
      <w:r>
        <w:t>used</w:t>
      </w:r>
      <w:r>
        <w:rPr>
          <w:spacing w:val="-4"/>
        </w:rPr>
        <w:t xml:space="preserve"> </w:t>
      </w:r>
      <w:r>
        <w:t>to</w:t>
      </w:r>
      <w:r>
        <w:rPr>
          <w:spacing w:val="-4"/>
        </w:rPr>
        <w:t xml:space="preserve"> </w:t>
      </w:r>
      <w:r>
        <w:t>measure</w:t>
      </w:r>
      <w:r>
        <w:rPr>
          <w:spacing w:val="-4"/>
        </w:rPr>
        <w:t xml:space="preserve"> </w:t>
      </w:r>
      <w:r>
        <w:t>the</w:t>
      </w:r>
      <w:r>
        <w:rPr>
          <w:spacing w:val="-4"/>
        </w:rPr>
        <w:t xml:space="preserve"> </w:t>
      </w:r>
      <w:r>
        <w:t>amounts</w:t>
      </w:r>
      <w:r>
        <w:rPr>
          <w:spacing w:val="-4"/>
        </w:rPr>
        <w:t xml:space="preserve"> </w:t>
      </w:r>
      <w:r>
        <w:t>in</w:t>
      </w:r>
      <w:r>
        <w:rPr>
          <w:spacing w:val="-4"/>
        </w:rPr>
        <w:t xml:space="preserve"> </w:t>
      </w:r>
      <w:r>
        <w:t>the</w:t>
      </w:r>
      <w:r>
        <w:rPr>
          <w:spacing w:val="-5"/>
        </w:rPr>
        <w:t xml:space="preserve"> </w:t>
      </w:r>
      <w:r>
        <w:t>SOSI</w:t>
      </w:r>
      <w:r>
        <w:rPr>
          <w:spacing w:val="-4"/>
        </w:rPr>
        <w:t xml:space="preserve"> </w:t>
      </w:r>
      <w:r>
        <w:t>and</w:t>
      </w:r>
      <w:r>
        <w:rPr>
          <w:spacing w:val="-4"/>
        </w:rPr>
        <w:t xml:space="preserve"> </w:t>
      </w:r>
      <w:r>
        <w:t>SCSIA for financial accounting and disclosure purposes represent management’s reasonable estimates regarding future events based on demographic and economic assumptions and future changes mandated by law.</w:t>
      </w:r>
    </w:p>
    <w:p w14:paraId="0DFDC826" w14:textId="77777777" w:rsidR="00046465" w:rsidRDefault="008134EB">
      <w:pPr>
        <w:pStyle w:val="ListParagraph"/>
        <w:numPr>
          <w:ilvl w:val="0"/>
          <w:numId w:val="66"/>
        </w:numPr>
        <w:tabs>
          <w:tab w:val="left" w:pos="718"/>
          <w:tab w:val="left" w:pos="721"/>
        </w:tabs>
        <w:ind w:left="721" w:right="823" w:hanging="361"/>
      </w:pPr>
      <w:r>
        <w:t xml:space="preserve">There were no material omissions from the data provided to </w:t>
      </w:r>
      <w:r>
        <w:rPr>
          <w:b/>
        </w:rPr>
        <w:t xml:space="preserve">[Entity’s] </w:t>
      </w:r>
      <w:r>
        <w:t>actuary for the purpose of determining the actuarial present value of the estimated future income to be received</w:t>
      </w:r>
      <w:r>
        <w:rPr>
          <w:spacing w:val="-4"/>
        </w:rPr>
        <w:t xml:space="preserve"> </w:t>
      </w:r>
      <w:r>
        <w:t>and</w:t>
      </w:r>
      <w:r>
        <w:rPr>
          <w:spacing w:val="-4"/>
        </w:rPr>
        <w:t xml:space="preserve"> </w:t>
      </w:r>
      <w:r>
        <w:t>estimated</w:t>
      </w:r>
      <w:r>
        <w:rPr>
          <w:spacing w:val="-4"/>
        </w:rPr>
        <w:t xml:space="preserve"> </w:t>
      </w:r>
      <w:r>
        <w:t>future</w:t>
      </w:r>
      <w:r>
        <w:rPr>
          <w:spacing w:val="-4"/>
        </w:rPr>
        <w:t xml:space="preserve"> </w:t>
      </w:r>
      <w:r>
        <w:t>expenditures</w:t>
      </w:r>
      <w:r>
        <w:rPr>
          <w:spacing w:val="-4"/>
        </w:rPr>
        <w:t xml:space="preserve"> </w:t>
      </w:r>
      <w:r>
        <w:t>to</w:t>
      </w:r>
      <w:r>
        <w:rPr>
          <w:spacing w:val="-4"/>
        </w:rPr>
        <w:t xml:space="preserve"> </w:t>
      </w:r>
      <w:r>
        <w:t>be</w:t>
      </w:r>
      <w:r>
        <w:rPr>
          <w:spacing w:val="-5"/>
        </w:rPr>
        <w:t xml:space="preserve"> </w:t>
      </w:r>
      <w:r>
        <w:t>paid</w:t>
      </w:r>
      <w:r>
        <w:rPr>
          <w:spacing w:val="-4"/>
        </w:rPr>
        <w:t xml:space="preserve"> </w:t>
      </w:r>
      <w:r>
        <w:t>during</w:t>
      </w:r>
      <w:r>
        <w:rPr>
          <w:spacing w:val="-5"/>
        </w:rPr>
        <w:t xml:space="preserve"> </w:t>
      </w:r>
      <w:r>
        <w:t>the</w:t>
      </w:r>
      <w:r>
        <w:rPr>
          <w:spacing w:val="-4"/>
        </w:rPr>
        <w:t xml:space="preserve"> </w:t>
      </w:r>
      <w:r>
        <w:t>projection</w:t>
      </w:r>
      <w:r>
        <w:rPr>
          <w:spacing w:val="-4"/>
        </w:rPr>
        <w:t xml:space="preserve"> </w:t>
      </w:r>
      <w:r>
        <w:t>period</w:t>
      </w:r>
      <w:r>
        <w:rPr>
          <w:spacing w:val="-4"/>
        </w:rPr>
        <w:t xml:space="preserve"> </w:t>
      </w:r>
      <w:r>
        <w:t>sufficient</w:t>
      </w:r>
    </w:p>
    <w:p w14:paraId="0DFDC827" w14:textId="77777777" w:rsidR="00046465" w:rsidRDefault="00046465">
      <w:pPr>
        <w:pStyle w:val="ListParagraph"/>
        <w:sectPr w:rsidR="00046465">
          <w:pgSz w:w="12240" w:h="15840"/>
          <w:pgMar w:top="1340" w:right="720" w:bottom="940" w:left="1080" w:header="721" w:footer="757" w:gutter="0"/>
          <w:cols w:space="720"/>
        </w:sectPr>
      </w:pPr>
    </w:p>
    <w:p w14:paraId="0DFDC828" w14:textId="77777777" w:rsidR="00046465" w:rsidRDefault="008134EB">
      <w:pPr>
        <w:spacing w:before="121"/>
        <w:ind w:left="720" w:right="718"/>
      </w:pPr>
      <w:r>
        <w:rPr>
          <w:spacing w:val="-4"/>
        </w:rPr>
        <w:lastRenderedPageBreak/>
        <w:t>to</w:t>
      </w:r>
      <w:r>
        <w:t xml:space="preserve"> </w:t>
      </w:r>
      <w:r>
        <w:rPr>
          <w:spacing w:val="-4"/>
        </w:rPr>
        <w:t>illustrate</w:t>
      </w:r>
      <w:r>
        <w:rPr>
          <w:spacing w:val="-1"/>
        </w:rPr>
        <w:t xml:space="preserve"> </w:t>
      </w:r>
      <w:r>
        <w:rPr>
          <w:spacing w:val="-4"/>
        </w:rPr>
        <w:t>the</w:t>
      </w:r>
      <w:r>
        <w:rPr>
          <w:spacing w:val="-10"/>
        </w:rPr>
        <w:t xml:space="preserve"> </w:t>
      </w:r>
      <w:r>
        <w:rPr>
          <w:spacing w:val="-4"/>
        </w:rPr>
        <w:t>long-term</w:t>
      </w:r>
      <w:r>
        <w:rPr>
          <w:spacing w:val="-12"/>
        </w:rPr>
        <w:t xml:space="preserve"> </w:t>
      </w:r>
      <w:r>
        <w:rPr>
          <w:spacing w:val="-4"/>
        </w:rPr>
        <w:t>sustainability</w:t>
      </w:r>
      <w:r>
        <w:rPr>
          <w:spacing w:val="-9"/>
        </w:rPr>
        <w:t xml:space="preserve"> </w:t>
      </w:r>
      <w:r>
        <w:rPr>
          <w:spacing w:val="-4"/>
        </w:rPr>
        <w:t>of</w:t>
      </w:r>
      <w:r>
        <w:rPr>
          <w:spacing w:val="-10"/>
        </w:rPr>
        <w:t xml:space="preserve"> </w:t>
      </w:r>
      <w:r>
        <w:rPr>
          <w:b/>
          <w:spacing w:val="-4"/>
        </w:rPr>
        <w:t>[name</w:t>
      </w:r>
      <w:r>
        <w:rPr>
          <w:b/>
          <w:spacing w:val="-11"/>
        </w:rPr>
        <w:t xml:space="preserve"> </w:t>
      </w:r>
      <w:r>
        <w:rPr>
          <w:b/>
          <w:spacing w:val="-4"/>
        </w:rPr>
        <w:t>of</w:t>
      </w:r>
      <w:r>
        <w:rPr>
          <w:b/>
          <w:spacing w:val="-10"/>
        </w:rPr>
        <w:t xml:space="preserve"> </w:t>
      </w:r>
      <w:r>
        <w:rPr>
          <w:b/>
          <w:spacing w:val="-4"/>
        </w:rPr>
        <w:t>the</w:t>
      </w:r>
      <w:r>
        <w:rPr>
          <w:b/>
          <w:spacing w:val="-10"/>
        </w:rPr>
        <w:t xml:space="preserve"> </w:t>
      </w:r>
      <w:r>
        <w:rPr>
          <w:b/>
          <w:spacing w:val="-4"/>
        </w:rPr>
        <w:t>social</w:t>
      </w:r>
      <w:r>
        <w:rPr>
          <w:b/>
          <w:spacing w:val="-11"/>
        </w:rPr>
        <w:t xml:space="preserve"> </w:t>
      </w:r>
      <w:r>
        <w:rPr>
          <w:b/>
          <w:spacing w:val="-4"/>
        </w:rPr>
        <w:t>insurance</w:t>
      </w:r>
      <w:r>
        <w:rPr>
          <w:b/>
          <w:spacing w:val="-11"/>
        </w:rPr>
        <w:t xml:space="preserve"> </w:t>
      </w:r>
      <w:r>
        <w:rPr>
          <w:b/>
          <w:spacing w:val="-4"/>
        </w:rPr>
        <w:t>program]</w:t>
      </w:r>
      <w:r>
        <w:rPr>
          <w:b/>
          <w:spacing w:val="-8"/>
        </w:rPr>
        <w:t xml:space="preserve"> </w:t>
      </w:r>
      <w:r>
        <w:rPr>
          <w:spacing w:val="-4"/>
        </w:rPr>
        <w:t>as</w:t>
      </w:r>
      <w:r>
        <w:rPr>
          <w:spacing w:val="-9"/>
        </w:rPr>
        <w:t xml:space="preserve"> </w:t>
      </w:r>
      <w:r>
        <w:rPr>
          <w:spacing w:val="-4"/>
        </w:rPr>
        <w:t>of</w:t>
      </w:r>
      <w:r>
        <w:rPr>
          <w:spacing w:val="-11"/>
        </w:rPr>
        <w:t xml:space="preserve"> </w:t>
      </w:r>
      <w:r>
        <w:rPr>
          <w:b/>
          <w:spacing w:val="-4"/>
        </w:rPr>
        <w:t xml:space="preserve">[dates </w:t>
      </w:r>
      <w:r>
        <w:rPr>
          <w:b/>
        </w:rPr>
        <w:t>of SOSI presented]</w:t>
      </w:r>
      <w:r>
        <w:t>.</w:t>
      </w:r>
    </w:p>
    <w:p w14:paraId="0DFDC829" w14:textId="77777777" w:rsidR="00046465" w:rsidRDefault="008134EB">
      <w:pPr>
        <w:pStyle w:val="ListParagraph"/>
        <w:numPr>
          <w:ilvl w:val="0"/>
          <w:numId w:val="66"/>
        </w:numPr>
        <w:tabs>
          <w:tab w:val="left" w:pos="719"/>
        </w:tabs>
        <w:spacing w:before="119"/>
        <w:ind w:right="833"/>
      </w:pPr>
      <w:r>
        <w:t>The</w:t>
      </w:r>
      <w:r>
        <w:rPr>
          <w:spacing w:val="-4"/>
        </w:rPr>
        <w:t xml:space="preserve"> </w:t>
      </w:r>
      <w:r>
        <w:t>SOSI</w:t>
      </w:r>
      <w:r>
        <w:rPr>
          <w:spacing w:val="-4"/>
        </w:rPr>
        <w:t xml:space="preserve"> </w:t>
      </w:r>
      <w:r>
        <w:t>covers</w:t>
      </w:r>
      <w:r>
        <w:rPr>
          <w:spacing w:val="-4"/>
        </w:rPr>
        <w:t xml:space="preserve"> </w:t>
      </w:r>
      <w:r>
        <w:t>a</w:t>
      </w:r>
      <w:r>
        <w:rPr>
          <w:spacing w:val="-4"/>
        </w:rPr>
        <w:t xml:space="preserve"> </w:t>
      </w:r>
      <w:r>
        <w:t>projection</w:t>
      </w:r>
      <w:r>
        <w:rPr>
          <w:spacing w:val="-4"/>
        </w:rPr>
        <w:t xml:space="preserve"> </w:t>
      </w:r>
      <w:r>
        <w:t>period</w:t>
      </w:r>
      <w:r>
        <w:rPr>
          <w:spacing w:val="-4"/>
        </w:rPr>
        <w:t xml:space="preserve"> </w:t>
      </w:r>
      <w:r>
        <w:t>sufficient</w:t>
      </w:r>
      <w:r>
        <w:rPr>
          <w:spacing w:val="-4"/>
        </w:rPr>
        <w:t xml:space="preserve"> </w:t>
      </w:r>
      <w:r>
        <w:t>to</w:t>
      </w:r>
      <w:r>
        <w:rPr>
          <w:spacing w:val="-4"/>
        </w:rPr>
        <w:t xml:space="preserve"> </w:t>
      </w:r>
      <w:r>
        <w:t>illustrate</w:t>
      </w:r>
      <w:r>
        <w:rPr>
          <w:spacing w:val="-5"/>
        </w:rPr>
        <w:t xml:space="preserve"> </w:t>
      </w:r>
      <w:r>
        <w:t>the</w:t>
      </w:r>
      <w:r>
        <w:rPr>
          <w:spacing w:val="-4"/>
        </w:rPr>
        <w:t xml:space="preserve"> </w:t>
      </w:r>
      <w:r>
        <w:t>long-term</w:t>
      </w:r>
      <w:r>
        <w:rPr>
          <w:spacing w:val="-5"/>
        </w:rPr>
        <w:t xml:space="preserve"> </w:t>
      </w:r>
      <w:r>
        <w:t>sustainability</w:t>
      </w:r>
      <w:r>
        <w:rPr>
          <w:spacing w:val="-4"/>
        </w:rPr>
        <w:t xml:space="preserve"> </w:t>
      </w:r>
      <w:r>
        <w:t>of</w:t>
      </w:r>
      <w:r>
        <w:rPr>
          <w:spacing w:val="-4"/>
        </w:rPr>
        <w:t xml:space="preserve"> </w:t>
      </w:r>
      <w:r>
        <w:t>the social insurance program.</w:t>
      </w:r>
    </w:p>
    <w:p w14:paraId="0DFDC82A" w14:textId="77777777" w:rsidR="00046465" w:rsidRDefault="008134EB">
      <w:pPr>
        <w:pStyle w:val="ListParagraph"/>
        <w:numPr>
          <w:ilvl w:val="0"/>
          <w:numId w:val="66"/>
        </w:numPr>
        <w:tabs>
          <w:tab w:val="left" w:pos="719"/>
        </w:tabs>
        <w:spacing w:before="121"/>
        <w:ind w:right="942"/>
      </w:pPr>
      <w:r>
        <w:t>Management</w:t>
      </w:r>
      <w:r>
        <w:rPr>
          <w:spacing w:val="-4"/>
        </w:rPr>
        <w:t xml:space="preserve"> </w:t>
      </w:r>
      <w:r>
        <w:t>provided</w:t>
      </w:r>
      <w:r>
        <w:rPr>
          <w:spacing w:val="-4"/>
        </w:rPr>
        <w:t xml:space="preserve"> </w:t>
      </w:r>
      <w:r>
        <w:t>the</w:t>
      </w:r>
      <w:r>
        <w:rPr>
          <w:spacing w:val="-4"/>
        </w:rPr>
        <w:t xml:space="preserve"> </w:t>
      </w:r>
      <w:r>
        <w:t>auditor</w:t>
      </w:r>
      <w:r>
        <w:rPr>
          <w:spacing w:val="-4"/>
        </w:rPr>
        <w:t xml:space="preserve"> </w:t>
      </w:r>
      <w:r>
        <w:t>with</w:t>
      </w:r>
      <w:r>
        <w:rPr>
          <w:spacing w:val="-4"/>
        </w:rPr>
        <w:t xml:space="preserve"> </w:t>
      </w:r>
      <w:r>
        <w:t>all</w:t>
      </w:r>
      <w:r>
        <w:rPr>
          <w:spacing w:val="-4"/>
        </w:rPr>
        <w:t xml:space="preserve"> </w:t>
      </w:r>
      <w:r>
        <w:t>the</w:t>
      </w:r>
      <w:r>
        <w:rPr>
          <w:spacing w:val="-4"/>
        </w:rPr>
        <w:t xml:space="preserve"> </w:t>
      </w:r>
      <w:r>
        <w:t>reports</w:t>
      </w:r>
      <w:r>
        <w:rPr>
          <w:spacing w:val="-4"/>
        </w:rPr>
        <w:t xml:space="preserve"> </w:t>
      </w:r>
      <w:r>
        <w:t>developed</w:t>
      </w:r>
      <w:r>
        <w:rPr>
          <w:spacing w:val="-4"/>
        </w:rPr>
        <w:t xml:space="preserve"> </w:t>
      </w:r>
      <w:r>
        <w:t>by</w:t>
      </w:r>
      <w:r>
        <w:rPr>
          <w:spacing w:val="-4"/>
        </w:rPr>
        <w:t xml:space="preserve"> </w:t>
      </w:r>
      <w:r>
        <w:t>external</w:t>
      </w:r>
      <w:r>
        <w:rPr>
          <w:spacing w:val="-4"/>
        </w:rPr>
        <w:t xml:space="preserve"> </w:t>
      </w:r>
      <w:r>
        <w:t>review</w:t>
      </w:r>
      <w:r>
        <w:rPr>
          <w:spacing w:val="-5"/>
        </w:rPr>
        <w:t xml:space="preserve"> </w:t>
      </w:r>
      <w:r>
        <w:t xml:space="preserve">groups appointed by </w:t>
      </w:r>
      <w:r>
        <w:rPr>
          <w:b/>
        </w:rPr>
        <w:t xml:space="preserve">[Entity’s or the program’s trustees] </w:t>
      </w:r>
      <w:r>
        <w:t>related to estimates in the SOSI.</w:t>
      </w:r>
    </w:p>
    <w:p w14:paraId="0DFDC82B" w14:textId="77777777" w:rsidR="00046465" w:rsidRDefault="008134EB">
      <w:pPr>
        <w:pStyle w:val="ListParagraph"/>
        <w:numPr>
          <w:ilvl w:val="0"/>
          <w:numId w:val="66"/>
        </w:numPr>
        <w:tabs>
          <w:tab w:val="left" w:pos="720"/>
        </w:tabs>
        <w:ind w:left="720" w:right="914"/>
      </w:pPr>
      <w:r>
        <w:t>The</w:t>
      </w:r>
      <w:r>
        <w:rPr>
          <w:spacing w:val="-3"/>
        </w:rPr>
        <w:t xml:space="preserve"> </w:t>
      </w:r>
      <w:r>
        <w:t>following</w:t>
      </w:r>
      <w:r>
        <w:rPr>
          <w:spacing w:val="-3"/>
        </w:rPr>
        <w:t xml:space="preserve"> </w:t>
      </w:r>
      <w:r>
        <w:t>matters</w:t>
      </w:r>
      <w:r>
        <w:rPr>
          <w:spacing w:val="-3"/>
        </w:rPr>
        <w:t xml:space="preserve"> </w:t>
      </w:r>
      <w:r>
        <w:t>relating</w:t>
      </w:r>
      <w:r>
        <w:rPr>
          <w:spacing w:val="-3"/>
        </w:rPr>
        <w:t xml:space="preserve"> </w:t>
      </w:r>
      <w:r>
        <w:t>to</w:t>
      </w:r>
      <w:r>
        <w:rPr>
          <w:spacing w:val="-3"/>
        </w:rPr>
        <w:t xml:space="preserve"> </w:t>
      </w:r>
      <w:r>
        <w:t>the</w:t>
      </w:r>
      <w:r>
        <w:rPr>
          <w:spacing w:val="-4"/>
        </w:rPr>
        <w:t xml:space="preserve"> </w:t>
      </w:r>
      <w:r>
        <w:t>SOSI</w:t>
      </w:r>
      <w:r>
        <w:rPr>
          <w:spacing w:val="-3"/>
        </w:rPr>
        <w:t xml:space="preserve"> </w:t>
      </w:r>
      <w:r>
        <w:t>have</w:t>
      </w:r>
      <w:r>
        <w:rPr>
          <w:spacing w:val="-3"/>
        </w:rPr>
        <w:t xml:space="preserve"> </w:t>
      </w:r>
      <w:r>
        <w:t>been</w:t>
      </w:r>
      <w:r>
        <w:rPr>
          <w:spacing w:val="-3"/>
        </w:rPr>
        <w:t xml:space="preserve"> </w:t>
      </w:r>
      <w:r>
        <w:t>disclosed</w:t>
      </w:r>
      <w:r>
        <w:rPr>
          <w:spacing w:val="-3"/>
        </w:rPr>
        <w:t xml:space="preserve"> </w:t>
      </w:r>
      <w:r>
        <w:t>properly</w:t>
      </w:r>
      <w:r>
        <w:rPr>
          <w:spacing w:val="-3"/>
        </w:rPr>
        <w:t xml:space="preserve"> </w:t>
      </w:r>
      <w:r>
        <w:t>in</w:t>
      </w:r>
      <w:r>
        <w:rPr>
          <w:spacing w:val="-3"/>
        </w:rPr>
        <w:t xml:space="preserve"> </w:t>
      </w:r>
      <w:r>
        <w:t>the</w:t>
      </w:r>
      <w:r>
        <w:rPr>
          <w:spacing w:val="-3"/>
        </w:rPr>
        <w:t xml:space="preserve"> </w:t>
      </w:r>
      <w:r>
        <w:t>notes</w:t>
      </w:r>
      <w:r>
        <w:rPr>
          <w:spacing w:val="-3"/>
        </w:rPr>
        <w:t xml:space="preserve"> </w:t>
      </w:r>
      <w:r>
        <w:t>to</w:t>
      </w:r>
      <w:r>
        <w:rPr>
          <w:spacing w:val="-3"/>
        </w:rPr>
        <w:t xml:space="preserve"> </w:t>
      </w:r>
      <w:r>
        <w:t>the financial statements:</w:t>
      </w:r>
    </w:p>
    <w:p w14:paraId="0DFDC82C" w14:textId="77777777" w:rsidR="00046465" w:rsidRDefault="008134EB">
      <w:pPr>
        <w:pStyle w:val="ListParagraph"/>
        <w:numPr>
          <w:ilvl w:val="1"/>
          <w:numId w:val="66"/>
        </w:numPr>
        <w:tabs>
          <w:tab w:val="left" w:pos="1079"/>
        </w:tabs>
        <w:spacing w:before="119"/>
        <w:ind w:left="1079" w:right="756" w:hanging="360"/>
      </w:pPr>
      <w:r>
        <w:t>The accumulated excess of all past cash receipts, including interest on investments, over</w:t>
      </w:r>
      <w:r>
        <w:rPr>
          <w:spacing w:val="-4"/>
        </w:rPr>
        <w:t xml:space="preserve"> </w:t>
      </w:r>
      <w:r>
        <w:t>all</w:t>
      </w:r>
      <w:r>
        <w:rPr>
          <w:spacing w:val="-4"/>
        </w:rPr>
        <w:t xml:space="preserve"> </w:t>
      </w:r>
      <w:r>
        <w:t>past</w:t>
      </w:r>
      <w:r>
        <w:rPr>
          <w:spacing w:val="-5"/>
        </w:rPr>
        <w:t xml:space="preserve"> </w:t>
      </w:r>
      <w:r>
        <w:t>cash</w:t>
      </w:r>
      <w:r>
        <w:rPr>
          <w:spacing w:val="-4"/>
        </w:rPr>
        <w:t xml:space="preserve"> </w:t>
      </w:r>
      <w:r>
        <w:t>disbursements</w:t>
      </w:r>
      <w:r>
        <w:rPr>
          <w:spacing w:val="-4"/>
        </w:rPr>
        <w:t xml:space="preserve"> </w:t>
      </w:r>
      <w:r>
        <w:t>within</w:t>
      </w:r>
      <w:r>
        <w:rPr>
          <w:spacing w:val="-4"/>
        </w:rPr>
        <w:t xml:space="preserve"> </w:t>
      </w:r>
      <w:r>
        <w:t>the</w:t>
      </w:r>
      <w:r>
        <w:rPr>
          <w:spacing w:val="-4"/>
        </w:rPr>
        <w:t xml:space="preserve"> </w:t>
      </w:r>
      <w:r>
        <w:t>social</w:t>
      </w:r>
      <w:r>
        <w:rPr>
          <w:spacing w:val="-4"/>
        </w:rPr>
        <w:t xml:space="preserve"> </w:t>
      </w:r>
      <w:r>
        <w:t>insurance</w:t>
      </w:r>
      <w:r>
        <w:rPr>
          <w:spacing w:val="-5"/>
        </w:rPr>
        <w:t xml:space="preserve"> </w:t>
      </w:r>
      <w:r>
        <w:t>program</w:t>
      </w:r>
      <w:r>
        <w:rPr>
          <w:spacing w:val="-7"/>
        </w:rPr>
        <w:t xml:space="preserve"> </w:t>
      </w:r>
      <w:r>
        <w:t>represented</w:t>
      </w:r>
      <w:r>
        <w:rPr>
          <w:spacing w:val="-4"/>
        </w:rPr>
        <w:t xml:space="preserve"> </w:t>
      </w:r>
      <w:r>
        <w:t>by</w:t>
      </w:r>
      <w:r>
        <w:rPr>
          <w:spacing w:val="-4"/>
        </w:rPr>
        <w:t xml:space="preserve"> </w:t>
      </w:r>
      <w:r>
        <w:t>the fund balance at the valuation date.</w:t>
      </w:r>
    </w:p>
    <w:p w14:paraId="0DFDC82D" w14:textId="77777777" w:rsidR="00046465" w:rsidRDefault="008134EB">
      <w:pPr>
        <w:pStyle w:val="ListParagraph"/>
        <w:numPr>
          <w:ilvl w:val="1"/>
          <w:numId w:val="66"/>
        </w:numPr>
        <w:tabs>
          <w:tab w:val="left" w:pos="1079"/>
        </w:tabs>
        <w:spacing w:before="121"/>
        <w:ind w:left="1079" w:hanging="359"/>
      </w:pPr>
      <w:r>
        <w:t>An</w:t>
      </w:r>
      <w:r>
        <w:rPr>
          <w:spacing w:val="-8"/>
        </w:rPr>
        <w:t xml:space="preserve"> </w:t>
      </w:r>
      <w:r>
        <w:t>explanation</w:t>
      </w:r>
      <w:r>
        <w:rPr>
          <w:spacing w:val="-5"/>
        </w:rPr>
        <w:t xml:space="preserve"> </w:t>
      </w:r>
      <w:r>
        <w:t>of</w:t>
      </w:r>
      <w:r>
        <w:rPr>
          <w:spacing w:val="-6"/>
        </w:rPr>
        <w:t xml:space="preserve"> </w:t>
      </w:r>
      <w:r>
        <w:t>how</w:t>
      </w:r>
      <w:r>
        <w:rPr>
          <w:spacing w:val="-6"/>
        </w:rPr>
        <w:t xml:space="preserve"> </w:t>
      </w:r>
      <w:r>
        <w:t>the</w:t>
      </w:r>
      <w:r>
        <w:rPr>
          <w:spacing w:val="-5"/>
        </w:rPr>
        <w:t xml:space="preserve"> </w:t>
      </w:r>
      <w:r>
        <w:t>net</w:t>
      </w:r>
      <w:r>
        <w:rPr>
          <w:spacing w:val="-6"/>
        </w:rPr>
        <w:t xml:space="preserve"> </w:t>
      </w:r>
      <w:r>
        <w:t>present</w:t>
      </w:r>
      <w:r>
        <w:rPr>
          <w:spacing w:val="-5"/>
        </w:rPr>
        <w:t xml:space="preserve"> </w:t>
      </w:r>
      <w:r>
        <w:t>value</w:t>
      </w:r>
      <w:r>
        <w:rPr>
          <w:spacing w:val="-6"/>
        </w:rPr>
        <w:t xml:space="preserve"> </w:t>
      </w:r>
      <w:r>
        <w:t>is</w:t>
      </w:r>
      <w:r>
        <w:rPr>
          <w:spacing w:val="-5"/>
        </w:rPr>
        <w:t xml:space="preserve"> </w:t>
      </w:r>
      <w:r>
        <w:t>calculated</w:t>
      </w:r>
      <w:r>
        <w:rPr>
          <w:spacing w:val="-5"/>
        </w:rPr>
        <w:t xml:space="preserve"> </w:t>
      </w:r>
      <w:r>
        <w:t>for</w:t>
      </w:r>
      <w:r>
        <w:rPr>
          <w:spacing w:val="-6"/>
        </w:rPr>
        <w:t xml:space="preserve"> </w:t>
      </w:r>
      <w:r>
        <w:t>the</w:t>
      </w:r>
      <w:r>
        <w:rPr>
          <w:spacing w:val="-5"/>
        </w:rPr>
        <w:t xml:space="preserve"> </w:t>
      </w:r>
      <w:r>
        <w:t>closed</w:t>
      </w:r>
      <w:r>
        <w:rPr>
          <w:spacing w:val="-5"/>
        </w:rPr>
        <w:t xml:space="preserve"> </w:t>
      </w:r>
      <w:r>
        <w:rPr>
          <w:spacing w:val="-2"/>
        </w:rPr>
        <w:t>group.</w:t>
      </w:r>
    </w:p>
    <w:p w14:paraId="0DFDC82E" w14:textId="77777777" w:rsidR="00046465" w:rsidRDefault="008134EB">
      <w:pPr>
        <w:pStyle w:val="ListParagraph"/>
        <w:numPr>
          <w:ilvl w:val="1"/>
          <w:numId w:val="66"/>
        </w:numPr>
        <w:tabs>
          <w:tab w:val="left" w:pos="1078"/>
          <w:tab w:val="left" w:pos="1080"/>
        </w:tabs>
        <w:ind w:right="1392"/>
      </w:pPr>
      <w:r>
        <w:t>Comparative</w:t>
      </w:r>
      <w:r>
        <w:rPr>
          <w:spacing w:val="-4"/>
        </w:rPr>
        <w:t xml:space="preserve"> </w:t>
      </w:r>
      <w:r>
        <w:t>financial</w:t>
      </w:r>
      <w:r>
        <w:rPr>
          <w:spacing w:val="-5"/>
        </w:rPr>
        <w:t xml:space="preserve"> </w:t>
      </w:r>
      <w:r>
        <w:t>information</w:t>
      </w:r>
      <w:r>
        <w:rPr>
          <w:spacing w:val="-4"/>
        </w:rPr>
        <w:t xml:space="preserve"> </w:t>
      </w:r>
      <w:r>
        <w:t>for</w:t>
      </w:r>
      <w:r>
        <w:rPr>
          <w:spacing w:val="-5"/>
        </w:rPr>
        <w:t xml:space="preserve"> </w:t>
      </w:r>
      <w:r>
        <w:t>items</w:t>
      </w:r>
      <w:r>
        <w:rPr>
          <w:spacing w:val="-4"/>
        </w:rPr>
        <w:t xml:space="preserve"> </w:t>
      </w:r>
      <w:r>
        <w:t>in</w:t>
      </w:r>
      <w:r>
        <w:rPr>
          <w:spacing w:val="-4"/>
        </w:rPr>
        <w:t xml:space="preserve"> </w:t>
      </w:r>
      <w:r>
        <w:t>paragraphs</w:t>
      </w:r>
      <w:r>
        <w:rPr>
          <w:spacing w:val="-4"/>
        </w:rPr>
        <w:t xml:space="preserve"> </w:t>
      </w:r>
      <w:r>
        <w:t>2a,</w:t>
      </w:r>
      <w:r>
        <w:rPr>
          <w:spacing w:val="-4"/>
        </w:rPr>
        <w:t xml:space="preserve"> </w:t>
      </w:r>
      <w:r>
        <w:t>2b,</w:t>
      </w:r>
      <w:r>
        <w:rPr>
          <w:spacing w:val="-4"/>
        </w:rPr>
        <w:t xml:space="preserve"> </w:t>
      </w:r>
      <w:r>
        <w:t>2c,</w:t>
      </w:r>
      <w:r>
        <w:rPr>
          <w:spacing w:val="-4"/>
        </w:rPr>
        <w:t xml:space="preserve"> </w:t>
      </w:r>
      <w:r>
        <w:t>and</w:t>
      </w:r>
      <w:r>
        <w:rPr>
          <w:spacing w:val="-5"/>
        </w:rPr>
        <w:t xml:space="preserve"> </w:t>
      </w:r>
      <w:r>
        <w:t>2d</w:t>
      </w:r>
      <w:r>
        <w:rPr>
          <w:spacing w:val="-4"/>
        </w:rPr>
        <w:t xml:space="preserve"> </w:t>
      </w:r>
      <w:r>
        <w:t>(1)</w:t>
      </w:r>
      <w:r>
        <w:rPr>
          <w:spacing w:val="-4"/>
        </w:rPr>
        <w:t xml:space="preserve"> </w:t>
      </w:r>
      <w:r>
        <w:t>of SOP 04-1, for the current year and for each of the preceding 4 years. (Note any preceding years that are unaudited.)</w:t>
      </w:r>
    </w:p>
    <w:p w14:paraId="0DFDC82F" w14:textId="77777777" w:rsidR="00046465" w:rsidRDefault="008134EB">
      <w:pPr>
        <w:pStyle w:val="ListParagraph"/>
        <w:numPr>
          <w:ilvl w:val="1"/>
          <w:numId w:val="66"/>
        </w:numPr>
        <w:tabs>
          <w:tab w:val="left" w:pos="1079"/>
        </w:tabs>
        <w:spacing w:before="119"/>
        <w:ind w:left="1079" w:hanging="359"/>
      </w:pPr>
      <w:r>
        <w:t>Significant</w:t>
      </w:r>
      <w:r>
        <w:rPr>
          <w:spacing w:val="-9"/>
        </w:rPr>
        <w:t xml:space="preserve"> </w:t>
      </w:r>
      <w:r>
        <w:t>assumptions</w:t>
      </w:r>
      <w:r>
        <w:rPr>
          <w:spacing w:val="-10"/>
        </w:rPr>
        <w:t xml:space="preserve"> </w:t>
      </w:r>
      <w:r>
        <w:t>used</w:t>
      </w:r>
      <w:r>
        <w:rPr>
          <w:spacing w:val="-9"/>
        </w:rPr>
        <w:t xml:space="preserve"> </w:t>
      </w:r>
      <w:r>
        <w:t>in</w:t>
      </w:r>
      <w:r>
        <w:rPr>
          <w:spacing w:val="-9"/>
        </w:rPr>
        <w:t xml:space="preserve"> </w:t>
      </w:r>
      <w:r>
        <w:t>preparing</w:t>
      </w:r>
      <w:r>
        <w:rPr>
          <w:spacing w:val="-9"/>
        </w:rPr>
        <w:t xml:space="preserve"> </w:t>
      </w:r>
      <w:r>
        <w:rPr>
          <w:spacing w:val="-2"/>
        </w:rPr>
        <w:t>estimates.</w:t>
      </w:r>
    </w:p>
    <w:p w14:paraId="0DFDC830" w14:textId="77777777" w:rsidR="00046465" w:rsidRDefault="008134EB">
      <w:pPr>
        <w:pStyle w:val="ListParagraph"/>
        <w:numPr>
          <w:ilvl w:val="0"/>
          <w:numId w:val="66"/>
        </w:numPr>
        <w:tabs>
          <w:tab w:val="left" w:pos="720"/>
        </w:tabs>
        <w:ind w:left="720" w:right="809"/>
      </w:pPr>
      <w:r>
        <w:t xml:space="preserve">There have been no changes in </w:t>
      </w:r>
      <w:r>
        <w:rPr>
          <w:b/>
        </w:rPr>
        <w:t>[or, Changes in the following have been properly reported</w:t>
      </w:r>
      <w:r>
        <w:rPr>
          <w:b/>
          <w:spacing w:val="-4"/>
        </w:rPr>
        <w:t xml:space="preserve"> </w:t>
      </w:r>
      <w:r>
        <w:rPr>
          <w:b/>
        </w:rPr>
        <w:t>or</w:t>
      </w:r>
      <w:r>
        <w:rPr>
          <w:b/>
          <w:spacing w:val="-3"/>
        </w:rPr>
        <w:t xml:space="preserve"> </w:t>
      </w:r>
      <w:r>
        <w:rPr>
          <w:b/>
        </w:rPr>
        <w:t>disclosed</w:t>
      </w:r>
      <w:r>
        <w:rPr>
          <w:b/>
          <w:spacing w:val="-4"/>
        </w:rPr>
        <w:t xml:space="preserve"> </w:t>
      </w:r>
      <w:r>
        <w:rPr>
          <w:b/>
        </w:rPr>
        <w:t>in]</w:t>
      </w:r>
      <w:r>
        <w:rPr>
          <w:b/>
          <w:spacing w:val="-4"/>
        </w:rPr>
        <w:t xml:space="preserve"> </w:t>
      </w:r>
      <w:r>
        <w:t>the</w:t>
      </w:r>
      <w:r>
        <w:rPr>
          <w:spacing w:val="-4"/>
        </w:rPr>
        <w:t xml:space="preserve"> </w:t>
      </w:r>
      <w:r>
        <w:t>actuarial</w:t>
      </w:r>
      <w:r>
        <w:rPr>
          <w:spacing w:val="-4"/>
        </w:rPr>
        <w:t xml:space="preserve"> </w:t>
      </w:r>
      <w:r>
        <w:t>methods</w:t>
      </w:r>
      <w:r>
        <w:rPr>
          <w:spacing w:val="-4"/>
        </w:rPr>
        <w:t xml:space="preserve"> </w:t>
      </w:r>
      <w:r>
        <w:t>or</w:t>
      </w:r>
      <w:r>
        <w:rPr>
          <w:spacing w:val="-4"/>
        </w:rPr>
        <w:t xml:space="preserve"> </w:t>
      </w:r>
      <w:r>
        <w:t>assumptions</w:t>
      </w:r>
      <w:r>
        <w:rPr>
          <w:spacing w:val="-4"/>
        </w:rPr>
        <w:t xml:space="preserve"> </w:t>
      </w:r>
      <w:r>
        <w:t>used</w:t>
      </w:r>
      <w:r>
        <w:rPr>
          <w:spacing w:val="-4"/>
        </w:rPr>
        <w:t xml:space="preserve"> </w:t>
      </w:r>
      <w:r>
        <w:t>to</w:t>
      </w:r>
      <w:r>
        <w:rPr>
          <w:spacing w:val="-5"/>
        </w:rPr>
        <w:t xml:space="preserve"> </w:t>
      </w:r>
      <w:r>
        <w:t>calculate</w:t>
      </w:r>
      <w:r>
        <w:rPr>
          <w:spacing w:val="-4"/>
        </w:rPr>
        <w:t xml:space="preserve"> </w:t>
      </w:r>
      <w:r>
        <w:t>amounts recorded or disclosed in the financial statements between the</w:t>
      </w:r>
    </w:p>
    <w:p w14:paraId="0DFDC831" w14:textId="77777777" w:rsidR="00046465" w:rsidRDefault="008134EB">
      <w:pPr>
        <w:pStyle w:val="ListParagraph"/>
        <w:numPr>
          <w:ilvl w:val="1"/>
          <w:numId w:val="66"/>
        </w:numPr>
        <w:tabs>
          <w:tab w:val="left" w:pos="1080"/>
        </w:tabs>
        <w:ind w:right="1421" w:hanging="360"/>
      </w:pPr>
      <w:r>
        <w:t>valuation</w:t>
      </w:r>
      <w:r>
        <w:rPr>
          <w:spacing w:val="-3"/>
        </w:rPr>
        <w:t xml:space="preserve"> </w:t>
      </w:r>
      <w:r>
        <w:t>dates</w:t>
      </w:r>
      <w:r>
        <w:rPr>
          <w:spacing w:val="-3"/>
        </w:rPr>
        <w:t xml:space="preserve"> </w:t>
      </w:r>
      <w:r>
        <w:t>of</w:t>
      </w:r>
      <w:r>
        <w:rPr>
          <w:spacing w:val="-3"/>
        </w:rPr>
        <w:t xml:space="preserve"> </w:t>
      </w:r>
      <w:r>
        <w:t>(for</w:t>
      </w:r>
      <w:r>
        <w:rPr>
          <w:spacing w:val="-3"/>
        </w:rPr>
        <w:t xml:space="preserve"> </w:t>
      </w:r>
      <w:r>
        <w:t>example,</w:t>
      </w:r>
      <w:r>
        <w:rPr>
          <w:spacing w:val="-3"/>
        </w:rPr>
        <w:t xml:space="preserve"> </w:t>
      </w:r>
      <w:r>
        <w:t>January</w:t>
      </w:r>
      <w:r>
        <w:rPr>
          <w:spacing w:val="-3"/>
        </w:rPr>
        <w:t xml:space="preserve"> </w:t>
      </w:r>
      <w:r>
        <w:t>1,</w:t>
      </w:r>
      <w:r>
        <w:rPr>
          <w:spacing w:val="-3"/>
        </w:rPr>
        <w:t xml:space="preserve"> </w:t>
      </w:r>
      <w:r>
        <w:t>20X2,</w:t>
      </w:r>
      <w:r>
        <w:rPr>
          <w:spacing w:val="-3"/>
        </w:rPr>
        <w:t xml:space="preserve"> </w:t>
      </w:r>
      <w:r>
        <w:t>and</w:t>
      </w:r>
      <w:r>
        <w:rPr>
          <w:spacing w:val="-3"/>
        </w:rPr>
        <w:t xml:space="preserve"> </w:t>
      </w:r>
      <w:r>
        <w:t>January</w:t>
      </w:r>
      <w:r>
        <w:rPr>
          <w:spacing w:val="-3"/>
        </w:rPr>
        <w:t xml:space="preserve"> </w:t>
      </w:r>
      <w:r>
        <w:t>1,</w:t>
      </w:r>
      <w:r>
        <w:rPr>
          <w:spacing w:val="-3"/>
        </w:rPr>
        <w:t xml:space="preserve"> </w:t>
      </w:r>
      <w:r>
        <w:t>20X1,</w:t>
      </w:r>
      <w:r>
        <w:rPr>
          <w:spacing w:val="-3"/>
        </w:rPr>
        <w:t xml:space="preserve"> </w:t>
      </w:r>
      <w:r>
        <w:t>and</w:t>
      </w:r>
      <w:r>
        <w:rPr>
          <w:spacing w:val="-3"/>
        </w:rPr>
        <w:t xml:space="preserve"> </w:t>
      </w:r>
      <w:r>
        <w:t>other valuation dates presented) or changes in the method of collecting data and</w:t>
      </w:r>
    </w:p>
    <w:p w14:paraId="0DFDC832" w14:textId="77777777" w:rsidR="00046465" w:rsidRDefault="008134EB">
      <w:pPr>
        <w:pStyle w:val="ListParagraph"/>
        <w:numPr>
          <w:ilvl w:val="1"/>
          <w:numId w:val="66"/>
        </w:numPr>
        <w:tabs>
          <w:tab w:val="left" w:pos="1080"/>
        </w:tabs>
        <w:ind w:right="1007" w:hanging="360"/>
      </w:pPr>
      <w:r>
        <w:t>valuation date of (for example, January 1, 20X2, and the other valuation dates presented)</w:t>
      </w:r>
      <w:r>
        <w:rPr>
          <w:spacing w:val="-5"/>
        </w:rPr>
        <w:t xml:space="preserve"> </w:t>
      </w:r>
      <w:r>
        <w:t>and</w:t>
      </w:r>
      <w:r>
        <w:rPr>
          <w:spacing w:val="-3"/>
        </w:rPr>
        <w:t xml:space="preserve"> </w:t>
      </w:r>
      <w:r>
        <w:t>the</w:t>
      </w:r>
      <w:r>
        <w:rPr>
          <w:spacing w:val="-3"/>
        </w:rPr>
        <w:t xml:space="preserve"> </w:t>
      </w:r>
      <w:r>
        <w:t>financial</w:t>
      </w:r>
      <w:r>
        <w:rPr>
          <w:spacing w:val="-3"/>
        </w:rPr>
        <w:t xml:space="preserve"> </w:t>
      </w:r>
      <w:r>
        <w:t>reporting</w:t>
      </w:r>
      <w:r>
        <w:rPr>
          <w:spacing w:val="-3"/>
        </w:rPr>
        <w:t xml:space="preserve"> </w:t>
      </w:r>
      <w:r>
        <w:t>date</w:t>
      </w:r>
      <w:r>
        <w:rPr>
          <w:spacing w:val="-3"/>
        </w:rPr>
        <w:t xml:space="preserve"> </w:t>
      </w:r>
      <w:r>
        <w:t>of</w:t>
      </w:r>
      <w:r>
        <w:rPr>
          <w:spacing w:val="-3"/>
        </w:rPr>
        <w:t xml:space="preserve"> </w:t>
      </w:r>
      <w:r>
        <w:t>(September</w:t>
      </w:r>
      <w:r>
        <w:rPr>
          <w:spacing w:val="-2"/>
        </w:rPr>
        <w:t xml:space="preserve"> </w:t>
      </w:r>
      <w:r>
        <w:t>30,</w:t>
      </w:r>
      <w:r>
        <w:rPr>
          <w:spacing w:val="-3"/>
        </w:rPr>
        <w:t xml:space="preserve"> </w:t>
      </w:r>
      <w:r>
        <w:t>20X2)</w:t>
      </w:r>
      <w:r>
        <w:rPr>
          <w:spacing w:val="-3"/>
        </w:rPr>
        <w:t xml:space="preserve"> </w:t>
      </w:r>
      <w:r>
        <w:t>or</w:t>
      </w:r>
      <w:r>
        <w:rPr>
          <w:spacing w:val="-3"/>
        </w:rPr>
        <w:t xml:space="preserve"> </w:t>
      </w:r>
      <w:r>
        <w:t>changes</w:t>
      </w:r>
      <w:r>
        <w:rPr>
          <w:spacing w:val="-3"/>
        </w:rPr>
        <w:t xml:space="preserve"> </w:t>
      </w:r>
      <w:r>
        <w:t>in</w:t>
      </w:r>
      <w:r>
        <w:rPr>
          <w:spacing w:val="-4"/>
        </w:rPr>
        <w:t xml:space="preserve"> </w:t>
      </w:r>
      <w:r>
        <w:t>the method of collecting data.</w:t>
      </w:r>
    </w:p>
    <w:p w14:paraId="0DFDC833" w14:textId="77777777" w:rsidR="00046465" w:rsidRDefault="008134EB">
      <w:pPr>
        <w:pStyle w:val="ListParagraph"/>
        <w:numPr>
          <w:ilvl w:val="0"/>
          <w:numId w:val="66"/>
        </w:numPr>
        <w:tabs>
          <w:tab w:val="left" w:pos="720"/>
        </w:tabs>
        <w:ind w:left="720" w:right="897"/>
      </w:pPr>
      <w:r>
        <w:t>There have been no changes in [</w:t>
      </w:r>
      <w:r>
        <w:rPr>
          <w:b/>
        </w:rPr>
        <w:t>or, Changes in the following have been properly reported</w:t>
      </w:r>
      <w:r>
        <w:rPr>
          <w:b/>
          <w:spacing w:val="-4"/>
        </w:rPr>
        <w:t xml:space="preserve"> </w:t>
      </w:r>
      <w:r>
        <w:rPr>
          <w:b/>
        </w:rPr>
        <w:t>or</w:t>
      </w:r>
      <w:r>
        <w:rPr>
          <w:b/>
          <w:spacing w:val="-3"/>
        </w:rPr>
        <w:t xml:space="preserve"> </w:t>
      </w:r>
      <w:r>
        <w:rPr>
          <w:b/>
        </w:rPr>
        <w:t>disclosed</w:t>
      </w:r>
      <w:r>
        <w:rPr>
          <w:b/>
          <w:spacing w:val="-4"/>
        </w:rPr>
        <w:t xml:space="preserve"> </w:t>
      </w:r>
      <w:r>
        <w:rPr>
          <w:b/>
        </w:rPr>
        <w:t>in]</w:t>
      </w:r>
      <w:r>
        <w:rPr>
          <w:b/>
          <w:spacing w:val="-4"/>
        </w:rPr>
        <w:t xml:space="preserve"> </w:t>
      </w:r>
      <w:r>
        <w:t>laws</w:t>
      </w:r>
      <w:r>
        <w:rPr>
          <w:spacing w:val="-4"/>
        </w:rPr>
        <w:t xml:space="preserve"> </w:t>
      </w:r>
      <w:r>
        <w:t>and</w:t>
      </w:r>
      <w:r>
        <w:rPr>
          <w:spacing w:val="-5"/>
        </w:rPr>
        <w:t xml:space="preserve"> </w:t>
      </w:r>
      <w:r>
        <w:t>regulations</w:t>
      </w:r>
      <w:r>
        <w:rPr>
          <w:spacing w:val="-6"/>
        </w:rPr>
        <w:t xml:space="preserve"> </w:t>
      </w:r>
      <w:r>
        <w:t>affecting</w:t>
      </w:r>
      <w:r>
        <w:rPr>
          <w:spacing w:val="-5"/>
        </w:rPr>
        <w:t xml:space="preserve"> </w:t>
      </w:r>
      <w:r>
        <w:t>social</w:t>
      </w:r>
      <w:r>
        <w:rPr>
          <w:spacing w:val="-5"/>
        </w:rPr>
        <w:t xml:space="preserve"> </w:t>
      </w:r>
      <w:r>
        <w:t>insurance</w:t>
      </w:r>
      <w:r>
        <w:rPr>
          <w:spacing w:val="-4"/>
        </w:rPr>
        <w:t xml:space="preserve"> </w:t>
      </w:r>
      <w:r>
        <w:t>program</w:t>
      </w:r>
      <w:r>
        <w:rPr>
          <w:spacing w:val="-7"/>
        </w:rPr>
        <w:t xml:space="preserve"> </w:t>
      </w:r>
      <w:r>
        <w:t>income and benefits between the</w:t>
      </w:r>
    </w:p>
    <w:p w14:paraId="0DFDC834" w14:textId="77777777" w:rsidR="00046465" w:rsidRDefault="008134EB">
      <w:pPr>
        <w:pStyle w:val="ListParagraph"/>
        <w:numPr>
          <w:ilvl w:val="1"/>
          <w:numId w:val="66"/>
        </w:numPr>
        <w:tabs>
          <w:tab w:val="left" w:pos="1080"/>
        </w:tabs>
        <w:ind w:right="1420" w:hanging="360"/>
      </w:pPr>
      <w:r>
        <w:t>valuation</w:t>
      </w:r>
      <w:r>
        <w:rPr>
          <w:spacing w:val="-3"/>
        </w:rPr>
        <w:t xml:space="preserve"> </w:t>
      </w:r>
      <w:r>
        <w:t>dates</w:t>
      </w:r>
      <w:r>
        <w:rPr>
          <w:spacing w:val="-3"/>
        </w:rPr>
        <w:t xml:space="preserve"> </w:t>
      </w:r>
      <w:r>
        <w:t>of</w:t>
      </w:r>
      <w:r>
        <w:rPr>
          <w:spacing w:val="-3"/>
        </w:rPr>
        <w:t xml:space="preserve"> </w:t>
      </w:r>
      <w:r>
        <w:t>(for</w:t>
      </w:r>
      <w:r>
        <w:rPr>
          <w:spacing w:val="-3"/>
        </w:rPr>
        <w:t xml:space="preserve"> </w:t>
      </w:r>
      <w:r>
        <w:t>example,</w:t>
      </w:r>
      <w:r>
        <w:rPr>
          <w:spacing w:val="-3"/>
        </w:rPr>
        <w:t xml:space="preserve"> </w:t>
      </w:r>
      <w:r>
        <w:t>January</w:t>
      </w:r>
      <w:r>
        <w:rPr>
          <w:spacing w:val="-3"/>
        </w:rPr>
        <w:t xml:space="preserve"> </w:t>
      </w:r>
      <w:r>
        <w:t>1,</w:t>
      </w:r>
      <w:r>
        <w:rPr>
          <w:spacing w:val="-3"/>
        </w:rPr>
        <w:t xml:space="preserve"> </w:t>
      </w:r>
      <w:r>
        <w:t>20X2,</w:t>
      </w:r>
      <w:r>
        <w:rPr>
          <w:spacing w:val="-3"/>
        </w:rPr>
        <w:t xml:space="preserve"> </w:t>
      </w:r>
      <w:r>
        <w:t>and</w:t>
      </w:r>
      <w:r>
        <w:rPr>
          <w:spacing w:val="-3"/>
        </w:rPr>
        <w:t xml:space="preserve"> </w:t>
      </w:r>
      <w:r>
        <w:t>January</w:t>
      </w:r>
      <w:r>
        <w:rPr>
          <w:spacing w:val="-3"/>
        </w:rPr>
        <w:t xml:space="preserve"> </w:t>
      </w:r>
      <w:r>
        <w:t>1,</w:t>
      </w:r>
      <w:r>
        <w:rPr>
          <w:spacing w:val="-3"/>
        </w:rPr>
        <w:t xml:space="preserve"> </w:t>
      </w:r>
      <w:r>
        <w:t>20X1,</w:t>
      </w:r>
      <w:r>
        <w:rPr>
          <w:spacing w:val="-3"/>
        </w:rPr>
        <w:t xml:space="preserve"> </w:t>
      </w:r>
      <w:r>
        <w:t>and</w:t>
      </w:r>
      <w:r>
        <w:rPr>
          <w:spacing w:val="-3"/>
        </w:rPr>
        <w:t xml:space="preserve"> </w:t>
      </w:r>
      <w:r>
        <w:t>other valuation dates presented) and</w:t>
      </w:r>
    </w:p>
    <w:p w14:paraId="0DFDC835" w14:textId="77777777" w:rsidR="00046465" w:rsidRDefault="008134EB">
      <w:pPr>
        <w:pStyle w:val="ListParagraph"/>
        <w:numPr>
          <w:ilvl w:val="1"/>
          <w:numId w:val="66"/>
        </w:numPr>
        <w:tabs>
          <w:tab w:val="left" w:pos="1080"/>
        </w:tabs>
        <w:spacing w:before="119"/>
        <w:ind w:right="1339" w:hanging="360"/>
      </w:pPr>
      <w:r>
        <w:t>valuation</w:t>
      </w:r>
      <w:r>
        <w:rPr>
          <w:spacing w:val="-4"/>
        </w:rPr>
        <w:t xml:space="preserve"> </w:t>
      </w:r>
      <w:r>
        <w:t>date</w:t>
      </w:r>
      <w:r>
        <w:rPr>
          <w:spacing w:val="-4"/>
        </w:rPr>
        <w:t xml:space="preserve"> </w:t>
      </w:r>
      <w:r>
        <w:t>of</w:t>
      </w:r>
      <w:r>
        <w:rPr>
          <w:spacing w:val="-4"/>
        </w:rPr>
        <w:t xml:space="preserve"> </w:t>
      </w:r>
      <w:r>
        <w:t>(for</w:t>
      </w:r>
      <w:r>
        <w:rPr>
          <w:spacing w:val="-4"/>
        </w:rPr>
        <w:t xml:space="preserve"> </w:t>
      </w:r>
      <w:r>
        <w:t>example,</w:t>
      </w:r>
      <w:r>
        <w:rPr>
          <w:spacing w:val="-4"/>
        </w:rPr>
        <w:t xml:space="preserve"> </w:t>
      </w:r>
      <w:r>
        <w:t>January</w:t>
      </w:r>
      <w:r>
        <w:rPr>
          <w:spacing w:val="-5"/>
        </w:rPr>
        <w:t xml:space="preserve"> </w:t>
      </w:r>
      <w:r>
        <w:t>1,</w:t>
      </w:r>
      <w:r>
        <w:rPr>
          <w:spacing w:val="-4"/>
        </w:rPr>
        <w:t xml:space="preserve"> </w:t>
      </w:r>
      <w:r>
        <w:t>20X2)</w:t>
      </w:r>
      <w:r>
        <w:rPr>
          <w:spacing w:val="-4"/>
        </w:rPr>
        <w:t xml:space="preserve"> </w:t>
      </w:r>
      <w:r>
        <w:t>and</w:t>
      </w:r>
      <w:r>
        <w:rPr>
          <w:spacing w:val="-4"/>
        </w:rPr>
        <w:t xml:space="preserve"> </w:t>
      </w:r>
      <w:r>
        <w:t>the</w:t>
      </w:r>
      <w:r>
        <w:rPr>
          <w:spacing w:val="-4"/>
        </w:rPr>
        <w:t xml:space="preserve"> </w:t>
      </w:r>
      <w:r>
        <w:t>financial</w:t>
      </w:r>
      <w:r>
        <w:rPr>
          <w:spacing w:val="-4"/>
        </w:rPr>
        <w:t xml:space="preserve"> </w:t>
      </w:r>
      <w:r>
        <w:t>reporting</w:t>
      </w:r>
      <w:r>
        <w:rPr>
          <w:spacing w:val="-4"/>
        </w:rPr>
        <w:t xml:space="preserve"> </w:t>
      </w:r>
      <w:r>
        <w:t>date</w:t>
      </w:r>
      <w:r>
        <w:rPr>
          <w:spacing w:val="-4"/>
        </w:rPr>
        <w:t xml:space="preserve"> </w:t>
      </w:r>
      <w:r>
        <w:t>of (September 30, 20X2).</w:t>
      </w:r>
    </w:p>
    <w:p w14:paraId="0DFDC836" w14:textId="77777777" w:rsidR="00046465" w:rsidRDefault="008134EB">
      <w:pPr>
        <w:pStyle w:val="ListParagraph"/>
        <w:numPr>
          <w:ilvl w:val="0"/>
          <w:numId w:val="66"/>
        </w:numPr>
        <w:tabs>
          <w:tab w:val="left" w:pos="720"/>
        </w:tabs>
        <w:spacing w:before="121"/>
        <w:ind w:left="720" w:right="818"/>
      </w:pPr>
      <w:r>
        <w:t>Accounting</w:t>
      </w:r>
      <w:r>
        <w:rPr>
          <w:spacing w:val="-5"/>
        </w:rPr>
        <w:t xml:space="preserve"> </w:t>
      </w:r>
      <w:r>
        <w:t>estimates</w:t>
      </w:r>
      <w:r>
        <w:rPr>
          <w:spacing w:val="-4"/>
        </w:rPr>
        <w:t xml:space="preserve"> </w:t>
      </w:r>
      <w:r>
        <w:t>applicable</w:t>
      </w:r>
      <w:r>
        <w:rPr>
          <w:spacing w:val="-4"/>
        </w:rPr>
        <w:t xml:space="preserve"> </w:t>
      </w:r>
      <w:r>
        <w:t>to</w:t>
      </w:r>
      <w:r>
        <w:rPr>
          <w:spacing w:val="-5"/>
        </w:rPr>
        <w:t xml:space="preserve"> </w:t>
      </w:r>
      <w:r>
        <w:t>the</w:t>
      </w:r>
      <w:r>
        <w:rPr>
          <w:spacing w:val="-4"/>
        </w:rPr>
        <w:t xml:space="preserve"> </w:t>
      </w:r>
      <w:r>
        <w:t>financial</w:t>
      </w:r>
      <w:r>
        <w:rPr>
          <w:spacing w:val="-5"/>
        </w:rPr>
        <w:t xml:space="preserve"> </w:t>
      </w:r>
      <w:r>
        <w:t>information</w:t>
      </w:r>
      <w:r>
        <w:rPr>
          <w:spacing w:val="-4"/>
        </w:rPr>
        <w:t xml:space="preserve"> </w:t>
      </w:r>
      <w:r>
        <w:t>of</w:t>
      </w:r>
      <w:r>
        <w:rPr>
          <w:spacing w:val="-4"/>
        </w:rPr>
        <w:t xml:space="preserve"> </w:t>
      </w:r>
      <w:r>
        <w:rPr>
          <w:b/>
        </w:rPr>
        <w:t>[Entity]</w:t>
      </w:r>
      <w:r>
        <w:rPr>
          <w:b/>
          <w:spacing w:val="-3"/>
        </w:rPr>
        <w:t xml:space="preserve"> </w:t>
      </w:r>
      <w:r>
        <w:t>included</w:t>
      </w:r>
      <w:r>
        <w:rPr>
          <w:spacing w:val="-4"/>
        </w:rPr>
        <w:t xml:space="preserve"> </w:t>
      </w:r>
      <w:r>
        <w:t>in</w:t>
      </w:r>
      <w:r>
        <w:rPr>
          <w:spacing w:val="-4"/>
        </w:rPr>
        <w:t xml:space="preserve"> </w:t>
      </w:r>
      <w:r>
        <w:t>the</w:t>
      </w:r>
      <w:r>
        <w:rPr>
          <w:spacing w:val="-4"/>
        </w:rPr>
        <w:t xml:space="preserve"> </w:t>
      </w:r>
      <w:r>
        <w:t>SOSI and SCSIA are based on management’s reasonable estimate, after considering past and current events and assumptions about future events.</w:t>
      </w:r>
    </w:p>
    <w:p w14:paraId="0DFDC837" w14:textId="77777777" w:rsidR="00046465" w:rsidRDefault="008134EB">
      <w:pPr>
        <w:spacing w:before="120"/>
        <w:ind w:left="359"/>
        <w:rPr>
          <w:b/>
        </w:rPr>
      </w:pPr>
      <w:r>
        <w:rPr>
          <w:b/>
          <w:u w:val="thick"/>
        </w:rPr>
        <w:t>Budgetary</w:t>
      </w:r>
      <w:r>
        <w:rPr>
          <w:b/>
          <w:spacing w:val="-9"/>
          <w:u w:val="thick"/>
        </w:rPr>
        <w:t xml:space="preserve"> </w:t>
      </w:r>
      <w:r>
        <w:rPr>
          <w:b/>
          <w:u w:val="thick"/>
        </w:rPr>
        <w:t>and</w:t>
      </w:r>
      <w:r>
        <w:rPr>
          <w:b/>
          <w:spacing w:val="-10"/>
          <w:u w:val="thick"/>
        </w:rPr>
        <w:t xml:space="preserve"> </w:t>
      </w:r>
      <w:r>
        <w:rPr>
          <w:b/>
          <w:u w:val="thick"/>
        </w:rPr>
        <w:t>Restricted</w:t>
      </w:r>
      <w:r>
        <w:rPr>
          <w:b/>
          <w:spacing w:val="-10"/>
          <w:u w:val="thick"/>
        </w:rPr>
        <w:t xml:space="preserve"> </w:t>
      </w:r>
      <w:r>
        <w:rPr>
          <w:b/>
          <w:spacing w:val="-2"/>
          <w:u w:val="thick"/>
        </w:rPr>
        <w:t>Funds</w:t>
      </w:r>
    </w:p>
    <w:p w14:paraId="0DFDC838" w14:textId="77777777" w:rsidR="00046465" w:rsidRDefault="008134EB">
      <w:pPr>
        <w:pStyle w:val="ListParagraph"/>
        <w:numPr>
          <w:ilvl w:val="0"/>
          <w:numId w:val="66"/>
        </w:numPr>
        <w:tabs>
          <w:tab w:val="left" w:pos="719"/>
        </w:tabs>
        <w:ind w:right="838"/>
      </w:pPr>
      <w:r>
        <w:rPr>
          <w:b/>
        </w:rPr>
        <w:t xml:space="preserve">[If a statement of budgetary resources is presented] </w:t>
      </w:r>
      <w:r>
        <w:t xml:space="preserve">The information presented in </w:t>
      </w:r>
      <w:r>
        <w:rPr>
          <w:b/>
        </w:rPr>
        <w:t xml:space="preserve">[Entity’s] </w:t>
      </w:r>
      <w:r>
        <w:t>statement of budgetary resources is reconcilable to the information submitted in its year-end Reports on Budget Execution and Budgetary Resources (SF-133). This information</w:t>
      </w:r>
      <w:r>
        <w:rPr>
          <w:spacing w:val="-3"/>
        </w:rPr>
        <w:t xml:space="preserve"> </w:t>
      </w:r>
      <w:r>
        <w:t>will</w:t>
      </w:r>
      <w:r>
        <w:rPr>
          <w:spacing w:val="-3"/>
        </w:rPr>
        <w:t xml:space="preserve"> </w:t>
      </w:r>
      <w:r>
        <w:t>be</w:t>
      </w:r>
      <w:r>
        <w:rPr>
          <w:spacing w:val="-3"/>
        </w:rPr>
        <w:t xml:space="preserve"> </w:t>
      </w:r>
      <w:r>
        <w:t>used</w:t>
      </w:r>
      <w:r>
        <w:rPr>
          <w:spacing w:val="-4"/>
        </w:rPr>
        <w:t xml:space="preserve"> </w:t>
      </w:r>
      <w:r>
        <w:t>as</w:t>
      </w:r>
      <w:r>
        <w:rPr>
          <w:spacing w:val="-3"/>
        </w:rPr>
        <w:t xml:space="preserve"> </w:t>
      </w:r>
      <w:r>
        <w:t>input</w:t>
      </w:r>
      <w:r>
        <w:rPr>
          <w:spacing w:val="-3"/>
        </w:rPr>
        <w:t xml:space="preserve"> </w:t>
      </w:r>
      <w:r>
        <w:t>for</w:t>
      </w:r>
      <w:r>
        <w:rPr>
          <w:spacing w:val="-3"/>
        </w:rPr>
        <w:t xml:space="preserve"> </w:t>
      </w:r>
      <w:r>
        <w:t>the</w:t>
      </w:r>
      <w:r>
        <w:rPr>
          <w:spacing w:val="-3"/>
        </w:rPr>
        <w:t xml:space="preserve"> </w:t>
      </w:r>
      <w:r>
        <w:t>fiscal</w:t>
      </w:r>
      <w:r>
        <w:rPr>
          <w:spacing w:val="-4"/>
        </w:rPr>
        <w:t xml:space="preserve"> </w:t>
      </w:r>
      <w:r>
        <w:t>year</w:t>
      </w:r>
      <w:r>
        <w:rPr>
          <w:spacing w:val="-3"/>
        </w:rPr>
        <w:t xml:space="preserve"> </w:t>
      </w:r>
      <w:r>
        <w:t>20X2</w:t>
      </w:r>
      <w:r>
        <w:rPr>
          <w:spacing w:val="-3"/>
        </w:rPr>
        <w:t xml:space="preserve"> </w:t>
      </w:r>
      <w:r>
        <w:t>actual-year</w:t>
      </w:r>
      <w:r>
        <w:rPr>
          <w:spacing w:val="-3"/>
        </w:rPr>
        <w:t xml:space="preserve"> </w:t>
      </w:r>
      <w:r>
        <w:t>column</w:t>
      </w:r>
      <w:r>
        <w:rPr>
          <w:spacing w:val="-3"/>
        </w:rPr>
        <w:t xml:space="preserve"> </w:t>
      </w:r>
      <w:r>
        <w:t>of</w:t>
      </w:r>
      <w:r>
        <w:rPr>
          <w:spacing w:val="-3"/>
        </w:rPr>
        <w:t xml:space="preserve"> </w:t>
      </w:r>
      <w:r>
        <w:t>the</w:t>
      </w:r>
      <w:r>
        <w:rPr>
          <w:spacing w:val="-3"/>
        </w:rPr>
        <w:t xml:space="preserve"> </w:t>
      </w:r>
      <w:r>
        <w:t xml:space="preserve">Program and Financing Schedules reported in the fiscal year 20X4 </w:t>
      </w:r>
      <w:r>
        <w:rPr>
          <w:i/>
        </w:rPr>
        <w:t>Budget of the U.S. Government</w:t>
      </w:r>
      <w:r>
        <w:t>. Such information is supported by the related financial records and data.</w:t>
      </w:r>
    </w:p>
    <w:p w14:paraId="0DFDC839" w14:textId="77777777" w:rsidR="00046465" w:rsidRDefault="008134EB">
      <w:pPr>
        <w:pStyle w:val="ListParagraph"/>
        <w:numPr>
          <w:ilvl w:val="0"/>
          <w:numId w:val="66"/>
        </w:numPr>
        <w:tabs>
          <w:tab w:val="left" w:pos="717"/>
          <w:tab w:val="left" w:pos="719"/>
        </w:tabs>
        <w:ind w:right="1048" w:hanging="361"/>
      </w:pPr>
      <w:r>
        <w:t>We have presented and disclosed in the financial statements all material dedicated collections</w:t>
      </w:r>
      <w:r>
        <w:rPr>
          <w:spacing w:val="-6"/>
        </w:rPr>
        <w:t xml:space="preserve"> </w:t>
      </w:r>
      <w:r>
        <w:t>as</w:t>
      </w:r>
      <w:r>
        <w:rPr>
          <w:spacing w:val="-4"/>
        </w:rPr>
        <w:t xml:space="preserve"> </w:t>
      </w:r>
      <w:r>
        <w:t>defined</w:t>
      </w:r>
      <w:r>
        <w:rPr>
          <w:spacing w:val="-4"/>
        </w:rPr>
        <w:t xml:space="preserve"> </w:t>
      </w:r>
      <w:r>
        <w:t>by</w:t>
      </w:r>
      <w:r>
        <w:rPr>
          <w:spacing w:val="-5"/>
        </w:rPr>
        <w:t xml:space="preserve"> </w:t>
      </w:r>
      <w:r>
        <w:t>Statement</w:t>
      </w:r>
      <w:r>
        <w:rPr>
          <w:spacing w:val="-4"/>
        </w:rPr>
        <w:t xml:space="preserve"> </w:t>
      </w:r>
      <w:r>
        <w:t>of</w:t>
      </w:r>
      <w:r>
        <w:rPr>
          <w:spacing w:val="-4"/>
        </w:rPr>
        <w:t xml:space="preserve"> </w:t>
      </w:r>
      <w:r>
        <w:t>Federal</w:t>
      </w:r>
      <w:r>
        <w:rPr>
          <w:spacing w:val="-4"/>
        </w:rPr>
        <w:t xml:space="preserve"> </w:t>
      </w:r>
      <w:r>
        <w:t>Financial</w:t>
      </w:r>
      <w:r>
        <w:rPr>
          <w:spacing w:val="-4"/>
        </w:rPr>
        <w:t xml:space="preserve"> </w:t>
      </w:r>
      <w:r>
        <w:t>Accounting</w:t>
      </w:r>
      <w:r>
        <w:rPr>
          <w:spacing w:val="-4"/>
        </w:rPr>
        <w:t xml:space="preserve"> </w:t>
      </w:r>
      <w:r>
        <w:t>Standards</w:t>
      </w:r>
      <w:r>
        <w:rPr>
          <w:spacing w:val="-4"/>
        </w:rPr>
        <w:t xml:space="preserve"> </w:t>
      </w:r>
      <w:r>
        <w:t>43</w:t>
      </w:r>
      <w:r>
        <w:rPr>
          <w:spacing w:val="-4"/>
        </w:rPr>
        <w:t xml:space="preserve"> </w:t>
      </w:r>
      <w:r>
        <w:t>and</w:t>
      </w:r>
      <w:r>
        <w:rPr>
          <w:spacing w:val="-4"/>
        </w:rPr>
        <w:t xml:space="preserve"> </w:t>
      </w:r>
      <w:r>
        <w:t>all</w:t>
      </w:r>
    </w:p>
    <w:p w14:paraId="0DFDC83A" w14:textId="77777777" w:rsidR="00046465" w:rsidRDefault="00046465">
      <w:pPr>
        <w:pStyle w:val="ListParagraph"/>
        <w:sectPr w:rsidR="00046465">
          <w:pgSz w:w="12240" w:h="15840"/>
          <w:pgMar w:top="1340" w:right="720" w:bottom="940" w:left="1080" w:header="721" w:footer="757" w:gutter="0"/>
          <w:cols w:space="720"/>
        </w:sectPr>
      </w:pPr>
    </w:p>
    <w:p w14:paraId="0DFDC83B" w14:textId="77777777" w:rsidR="00046465" w:rsidRDefault="008134EB">
      <w:pPr>
        <w:pStyle w:val="BodyText"/>
        <w:spacing w:before="121"/>
        <w:ind w:left="720" w:right="749" w:hanging="1"/>
      </w:pPr>
      <w:r>
        <w:lastRenderedPageBreak/>
        <w:t xml:space="preserve">other material restricted funds </w:t>
      </w:r>
      <w:r>
        <w:rPr>
          <w:b/>
        </w:rPr>
        <w:t xml:space="preserve">OR </w:t>
      </w:r>
      <w:r>
        <w:t>There are no material dedicated collections or other material</w:t>
      </w:r>
      <w:r>
        <w:rPr>
          <w:spacing w:val="-4"/>
        </w:rPr>
        <w:t xml:space="preserve"> </w:t>
      </w:r>
      <w:r>
        <w:t>restricted</w:t>
      </w:r>
      <w:r>
        <w:rPr>
          <w:spacing w:val="-4"/>
        </w:rPr>
        <w:t xml:space="preserve"> </w:t>
      </w:r>
      <w:r>
        <w:t>funds</w:t>
      </w:r>
      <w:r>
        <w:rPr>
          <w:spacing w:val="-5"/>
        </w:rPr>
        <w:t xml:space="preserve"> </w:t>
      </w:r>
      <w:r>
        <w:t>that</w:t>
      </w:r>
      <w:r>
        <w:rPr>
          <w:spacing w:val="-4"/>
        </w:rPr>
        <w:t xml:space="preserve"> </w:t>
      </w:r>
      <w:r>
        <w:t>require</w:t>
      </w:r>
      <w:r>
        <w:rPr>
          <w:spacing w:val="-5"/>
        </w:rPr>
        <w:t xml:space="preserve"> </w:t>
      </w:r>
      <w:r>
        <w:t>presentation</w:t>
      </w:r>
      <w:r>
        <w:rPr>
          <w:spacing w:val="-5"/>
        </w:rPr>
        <w:t xml:space="preserve"> </w:t>
      </w:r>
      <w:r>
        <w:t>and</w:t>
      </w:r>
      <w:r>
        <w:rPr>
          <w:spacing w:val="-4"/>
        </w:rPr>
        <w:t xml:space="preserve"> </w:t>
      </w:r>
      <w:r>
        <w:t>disclosure</w:t>
      </w:r>
      <w:r>
        <w:rPr>
          <w:spacing w:val="-4"/>
        </w:rPr>
        <w:t xml:space="preserve"> </w:t>
      </w:r>
      <w:r>
        <w:t>in</w:t>
      </w:r>
      <w:r>
        <w:rPr>
          <w:spacing w:val="-4"/>
        </w:rPr>
        <w:t xml:space="preserve"> </w:t>
      </w:r>
      <w:r>
        <w:t>the</w:t>
      </w:r>
      <w:r>
        <w:rPr>
          <w:spacing w:val="-4"/>
        </w:rPr>
        <w:t xml:space="preserve"> </w:t>
      </w:r>
      <w:r>
        <w:t>financial</w:t>
      </w:r>
      <w:r>
        <w:rPr>
          <w:spacing w:val="-4"/>
        </w:rPr>
        <w:t xml:space="preserve"> </w:t>
      </w:r>
      <w:r>
        <w:t>statements.</w:t>
      </w:r>
    </w:p>
    <w:p w14:paraId="0DFDC83C" w14:textId="77777777" w:rsidR="00046465" w:rsidRDefault="008134EB">
      <w:pPr>
        <w:spacing w:before="120"/>
        <w:ind w:left="360"/>
        <w:rPr>
          <w:b/>
        </w:rPr>
      </w:pPr>
      <w:r>
        <w:rPr>
          <w:b/>
          <w:u w:val="thick"/>
        </w:rPr>
        <w:t>Service</w:t>
      </w:r>
      <w:r>
        <w:rPr>
          <w:b/>
          <w:spacing w:val="-10"/>
          <w:u w:val="thick"/>
        </w:rPr>
        <w:t xml:space="preserve"> </w:t>
      </w:r>
      <w:r>
        <w:rPr>
          <w:b/>
          <w:spacing w:val="-2"/>
          <w:u w:val="thick"/>
        </w:rPr>
        <w:t>Organizations</w:t>
      </w:r>
    </w:p>
    <w:p w14:paraId="0DFDC83D" w14:textId="77777777" w:rsidR="00046465" w:rsidRDefault="008134EB">
      <w:pPr>
        <w:pStyle w:val="ListParagraph"/>
        <w:numPr>
          <w:ilvl w:val="0"/>
          <w:numId w:val="66"/>
        </w:numPr>
        <w:tabs>
          <w:tab w:val="left" w:pos="718"/>
          <w:tab w:val="left" w:pos="720"/>
        </w:tabs>
        <w:spacing w:before="119"/>
        <w:ind w:left="720" w:right="1060" w:hanging="361"/>
      </w:pPr>
      <w:r>
        <w:rPr>
          <w:b/>
        </w:rPr>
        <w:t xml:space="preserve">[Entity] </w:t>
      </w:r>
      <w:r>
        <w:t xml:space="preserve">does not use service organizations. </w:t>
      </w:r>
      <w:r>
        <w:rPr>
          <w:b/>
        </w:rPr>
        <w:t xml:space="preserve">OR </w:t>
      </w:r>
      <w:r>
        <w:t>Service organizations [and subservice organizations,</w:t>
      </w:r>
      <w:r>
        <w:rPr>
          <w:spacing w:val="-3"/>
        </w:rPr>
        <w:t xml:space="preserve"> </w:t>
      </w:r>
      <w:r>
        <w:t>if</w:t>
      </w:r>
      <w:r>
        <w:rPr>
          <w:spacing w:val="-3"/>
        </w:rPr>
        <w:t xml:space="preserve"> </w:t>
      </w:r>
      <w:r>
        <w:t>any]</w:t>
      </w:r>
      <w:r>
        <w:rPr>
          <w:spacing w:val="-3"/>
        </w:rPr>
        <w:t xml:space="preserve"> </w:t>
      </w:r>
      <w:r>
        <w:t>that</w:t>
      </w:r>
      <w:r>
        <w:rPr>
          <w:spacing w:val="-3"/>
        </w:rPr>
        <w:t xml:space="preserve"> </w:t>
      </w:r>
      <w:r>
        <w:t>we</w:t>
      </w:r>
      <w:r>
        <w:rPr>
          <w:spacing w:val="-3"/>
        </w:rPr>
        <w:t xml:space="preserve"> </w:t>
      </w:r>
      <w:r>
        <w:t>use</w:t>
      </w:r>
      <w:r>
        <w:rPr>
          <w:spacing w:val="-3"/>
        </w:rPr>
        <w:t xml:space="preserve"> </w:t>
      </w:r>
      <w:r>
        <w:t>have</w:t>
      </w:r>
      <w:r>
        <w:rPr>
          <w:spacing w:val="-3"/>
        </w:rPr>
        <w:t xml:space="preserve"> </w:t>
      </w:r>
      <w:r>
        <w:t>not</w:t>
      </w:r>
      <w:r>
        <w:rPr>
          <w:spacing w:val="-3"/>
        </w:rPr>
        <w:t xml:space="preserve"> </w:t>
      </w:r>
      <w:r>
        <w:t>reported</w:t>
      </w:r>
      <w:r>
        <w:rPr>
          <w:spacing w:val="-3"/>
        </w:rPr>
        <w:t xml:space="preserve"> </w:t>
      </w:r>
      <w:r>
        <w:t>to</w:t>
      </w:r>
      <w:r>
        <w:rPr>
          <w:spacing w:val="-3"/>
        </w:rPr>
        <w:t xml:space="preserve"> </w:t>
      </w:r>
      <w:r>
        <w:t>us,</w:t>
      </w:r>
      <w:r>
        <w:rPr>
          <w:spacing w:val="-3"/>
        </w:rPr>
        <w:t xml:space="preserve"> </w:t>
      </w:r>
      <w:r>
        <w:t>nor</w:t>
      </w:r>
      <w:r>
        <w:rPr>
          <w:spacing w:val="-3"/>
        </w:rPr>
        <w:t xml:space="preserve"> </w:t>
      </w:r>
      <w:r>
        <w:t>are</w:t>
      </w:r>
      <w:r>
        <w:rPr>
          <w:spacing w:val="-3"/>
        </w:rPr>
        <w:t xml:space="preserve"> </w:t>
      </w:r>
      <w:r>
        <w:t>we</w:t>
      </w:r>
      <w:r>
        <w:rPr>
          <w:spacing w:val="-3"/>
        </w:rPr>
        <w:t xml:space="preserve"> </w:t>
      </w:r>
      <w:r>
        <w:t>otherwise</w:t>
      </w:r>
      <w:r>
        <w:rPr>
          <w:spacing w:val="-3"/>
        </w:rPr>
        <w:t xml:space="preserve"> </w:t>
      </w:r>
      <w:r>
        <w:t>aware</w:t>
      </w:r>
      <w:r>
        <w:rPr>
          <w:spacing w:val="-3"/>
        </w:rPr>
        <w:t xml:space="preserve"> </w:t>
      </w:r>
      <w:r>
        <w:t xml:space="preserve">of, any (1) fraud; (2) noncompliance with applicable laws, regulations, contracts, or grant agreements; or (3) uncorrected misstatements affecting the financial statements that are attributable to such service </w:t>
      </w:r>
      <w:r>
        <w:rPr>
          <w:b/>
        </w:rPr>
        <w:t xml:space="preserve">[or subservice, if any] </w:t>
      </w:r>
      <w:r>
        <w:t>organizations.</w:t>
      </w:r>
    </w:p>
    <w:p w14:paraId="0DFDC83E" w14:textId="77777777" w:rsidR="00046465" w:rsidRDefault="008134EB">
      <w:pPr>
        <w:spacing w:before="120"/>
        <w:ind w:left="720" w:right="726"/>
        <w:rPr>
          <w:b/>
        </w:rPr>
      </w:pPr>
      <w:r>
        <w:rPr>
          <w:b/>
        </w:rPr>
        <w:t>[If</w:t>
      </w:r>
      <w:r>
        <w:rPr>
          <w:b/>
          <w:spacing w:val="-3"/>
        </w:rPr>
        <w:t xml:space="preserve"> </w:t>
      </w:r>
      <w:r>
        <w:rPr>
          <w:b/>
        </w:rPr>
        <w:t>any</w:t>
      </w:r>
      <w:r>
        <w:rPr>
          <w:b/>
          <w:spacing w:val="-3"/>
        </w:rPr>
        <w:t xml:space="preserve"> </w:t>
      </w:r>
      <w:r>
        <w:rPr>
          <w:b/>
        </w:rPr>
        <w:t>such</w:t>
      </w:r>
      <w:r>
        <w:rPr>
          <w:b/>
          <w:spacing w:val="-3"/>
        </w:rPr>
        <w:t xml:space="preserve"> </w:t>
      </w:r>
      <w:r>
        <w:rPr>
          <w:b/>
        </w:rPr>
        <w:t>knowledge</w:t>
      </w:r>
      <w:r>
        <w:rPr>
          <w:b/>
          <w:spacing w:val="-3"/>
        </w:rPr>
        <w:t xml:space="preserve"> </w:t>
      </w:r>
      <w:r>
        <w:rPr>
          <w:b/>
        </w:rPr>
        <w:t>has</w:t>
      </w:r>
      <w:r>
        <w:rPr>
          <w:b/>
          <w:spacing w:val="-3"/>
        </w:rPr>
        <w:t xml:space="preserve"> </w:t>
      </w:r>
      <w:r>
        <w:rPr>
          <w:b/>
        </w:rPr>
        <w:t>been</w:t>
      </w:r>
      <w:r>
        <w:rPr>
          <w:b/>
          <w:spacing w:val="-3"/>
        </w:rPr>
        <w:t xml:space="preserve"> </w:t>
      </w:r>
      <w:r>
        <w:rPr>
          <w:b/>
        </w:rPr>
        <w:t>obtained,</w:t>
      </w:r>
      <w:r>
        <w:rPr>
          <w:b/>
          <w:spacing w:val="-3"/>
        </w:rPr>
        <w:t xml:space="preserve"> </w:t>
      </w:r>
      <w:r>
        <w:rPr>
          <w:b/>
        </w:rPr>
        <w:t>it</w:t>
      </w:r>
      <w:r>
        <w:rPr>
          <w:b/>
          <w:spacing w:val="-3"/>
        </w:rPr>
        <w:t xml:space="preserve"> </w:t>
      </w:r>
      <w:r>
        <w:rPr>
          <w:b/>
        </w:rPr>
        <w:t>should</w:t>
      </w:r>
      <w:r>
        <w:rPr>
          <w:b/>
          <w:spacing w:val="-3"/>
        </w:rPr>
        <w:t xml:space="preserve"> </w:t>
      </w:r>
      <w:r>
        <w:rPr>
          <w:b/>
        </w:rPr>
        <w:t>be</w:t>
      </w:r>
      <w:r>
        <w:rPr>
          <w:b/>
          <w:spacing w:val="-3"/>
        </w:rPr>
        <w:t xml:space="preserve"> </w:t>
      </w:r>
      <w:r>
        <w:rPr>
          <w:b/>
        </w:rPr>
        <w:t>described</w:t>
      </w:r>
      <w:r>
        <w:rPr>
          <w:b/>
          <w:spacing w:val="-3"/>
        </w:rPr>
        <w:t xml:space="preserve"> </w:t>
      </w:r>
      <w:r>
        <w:rPr>
          <w:b/>
        </w:rPr>
        <w:t>or</w:t>
      </w:r>
      <w:r>
        <w:rPr>
          <w:b/>
          <w:spacing w:val="-4"/>
        </w:rPr>
        <w:t xml:space="preserve"> </w:t>
      </w:r>
      <w:r>
        <w:rPr>
          <w:b/>
        </w:rPr>
        <w:t>specifically</w:t>
      </w:r>
      <w:r>
        <w:rPr>
          <w:b/>
          <w:spacing w:val="-3"/>
        </w:rPr>
        <w:t xml:space="preserve"> </w:t>
      </w:r>
      <w:r>
        <w:rPr>
          <w:b/>
        </w:rPr>
        <w:t>state how it was communicated to us.]</w:t>
      </w:r>
    </w:p>
    <w:p w14:paraId="0DFDC83F" w14:textId="77777777" w:rsidR="00046465" w:rsidRDefault="008134EB">
      <w:pPr>
        <w:pStyle w:val="ListParagraph"/>
        <w:numPr>
          <w:ilvl w:val="0"/>
          <w:numId w:val="66"/>
        </w:numPr>
        <w:tabs>
          <w:tab w:val="left" w:pos="719"/>
        </w:tabs>
        <w:spacing w:before="121"/>
        <w:ind w:right="768"/>
      </w:pPr>
      <w:r>
        <w:rPr>
          <w:b/>
        </w:rPr>
        <w:t xml:space="preserve">[If entity uses service organizations] </w:t>
      </w:r>
      <w:r>
        <w:t xml:space="preserve">Service organizations </w:t>
      </w:r>
      <w:r>
        <w:rPr>
          <w:b/>
        </w:rPr>
        <w:t xml:space="preserve">[and subservice organizations, if any] </w:t>
      </w:r>
      <w:r>
        <w:t>that we use have not reported to us, nor are we otherwise aware of, any</w:t>
      </w:r>
      <w:r>
        <w:rPr>
          <w:spacing w:val="-1"/>
        </w:rPr>
        <w:t xml:space="preserve"> </w:t>
      </w:r>
      <w:r>
        <w:t>changes</w:t>
      </w:r>
      <w:r>
        <w:rPr>
          <w:spacing w:val="-1"/>
        </w:rPr>
        <w:t xml:space="preserve"> </w:t>
      </w:r>
      <w:r>
        <w:t>in</w:t>
      </w:r>
      <w:r>
        <w:rPr>
          <w:spacing w:val="-1"/>
        </w:rPr>
        <w:t xml:space="preserve"> </w:t>
      </w:r>
      <w:r>
        <w:t>the</w:t>
      </w:r>
      <w:r>
        <w:rPr>
          <w:spacing w:val="-1"/>
        </w:rPr>
        <w:t xml:space="preserve"> </w:t>
      </w:r>
      <w:r>
        <w:t>design,</w:t>
      </w:r>
      <w:r>
        <w:rPr>
          <w:spacing w:val="-1"/>
        </w:rPr>
        <w:t xml:space="preserve"> </w:t>
      </w:r>
      <w:r>
        <w:t>implementation,</w:t>
      </w:r>
      <w:r>
        <w:rPr>
          <w:spacing w:val="-1"/>
        </w:rPr>
        <w:t xml:space="preserve"> </w:t>
      </w:r>
      <w:r>
        <w:t>or</w:t>
      </w:r>
      <w:r>
        <w:rPr>
          <w:spacing w:val="-1"/>
        </w:rPr>
        <w:t xml:space="preserve"> </w:t>
      </w:r>
      <w:r>
        <w:t>operating</w:t>
      </w:r>
      <w:r>
        <w:rPr>
          <w:spacing w:val="-1"/>
        </w:rPr>
        <w:t xml:space="preserve"> </w:t>
      </w:r>
      <w:r>
        <w:t>effectiveness</w:t>
      </w:r>
      <w:r>
        <w:rPr>
          <w:spacing w:val="-1"/>
        </w:rPr>
        <w:t xml:space="preserve"> </w:t>
      </w:r>
      <w:r>
        <w:t>of</w:t>
      </w:r>
      <w:r>
        <w:rPr>
          <w:spacing w:val="-2"/>
        </w:rPr>
        <w:t xml:space="preserve"> </w:t>
      </w:r>
      <w:r>
        <w:t>internal</w:t>
      </w:r>
      <w:r>
        <w:rPr>
          <w:spacing w:val="-1"/>
        </w:rPr>
        <w:t xml:space="preserve"> </w:t>
      </w:r>
      <w:r>
        <w:t>controls</w:t>
      </w:r>
      <w:r>
        <w:rPr>
          <w:spacing w:val="-1"/>
        </w:rPr>
        <w:t xml:space="preserve"> </w:t>
      </w:r>
      <w:r>
        <w:t>at the</w:t>
      </w:r>
      <w:r>
        <w:rPr>
          <w:spacing w:val="-4"/>
        </w:rPr>
        <w:t xml:space="preserve"> </w:t>
      </w:r>
      <w:r>
        <w:t>service</w:t>
      </w:r>
      <w:r>
        <w:rPr>
          <w:spacing w:val="-5"/>
        </w:rPr>
        <w:t xml:space="preserve"> </w:t>
      </w:r>
      <w:r>
        <w:t>organizations</w:t>
      </w:r>
      <w:r>
        <w:rPr>
          <w:spacing w:val="-3"/>
        </w:rPr>
        <w:t xml:space="preserve"> </w:t>
      </w:r>
      <w:r>
        <w:rPr>
          <w:b/>
        </w:rPr>
        <w:t>[or</w:t>
      </w:r>
      <w:r>
        <w:rPr>
          <w:b/>
          <w:spacing w:val="-5"/>
        </w:rPr>
        <w:t xml:space="preserve"> </w:t>
      </w:r>
      <w:r>
        <w:rPr>
          <w:b/>
        </w:rPr>
        <w:t>subservice</w:t>
      </w:r>
      <w:r>
        <w:rPr>
          <w:b/>
          <w:spacing w:val="-4"/>
        </w:rPr>
        <w:t xml:space="preserve"> </w:t>
      </w:r>
      <w:r>
        <w:rPr>
          <w:b/>
        </w:rPr>
        <w:t>organizations,</w:t>
      </w:r>
      <w:r>
        <w:rPr>
          <w:b/>
          <w:spacing w:val="-4"/>
        </w:rPr>
        <w:t xml:space="preserve"> </w:t>
      </w:r>
      <w:r>
        <w:rPr>
          <w:b/>
        </w:rPr>
        <w:t>if</w:t>
      </w:r>
      <w:r>
        <w:rPr>
          <w:b/>
          <w:spacing w:val="-6"/>
        </w:rPr>
        <w:t xml:space="preserve"> </w:t>
      </w:r>
      <w:r>
        <w:rPr>
          <w:b/>
        </w:rPr>
        <w:t>any]</w:t>
      </w:r>
      <w:r>
        <w:rPr>
          <w:b/>
          <w:spacing w:val="-4"/>
        </w:rPr>
        <w:t xml:space="preserve"> </w:t>
      </w:r>
      <w:r>
        <w:t>subsequent</w:t>
      </w:r>
      <w:r>
        <w:rPr>
          <w:spacing w:val="-4"/>
        </w:rPr>
        <w:t xml:space="preserve"> </w:t>
      </w:r>
      <w:r>
        <w:t>to</w:t>
      </w:r>
      <w:r>
        <w:rPr>
          <w:spacing w:val="-4"/>
        </w:rPr>
        <w:t xml:space="preserve"> </w:t>
      </w:r>
      <w:r>
        <w:t>the</w:t>
      </w:r>
      <w:r>
        <w:rPr>
          <w:spacing w:val="-4"/>
        </w:rPr>
        <w:t xml:space="preserve"> </w:t>
      </w:r>
      <w:r>
        <w:t>effective dates of the service and subservice organizations’ report(s) provided to you that could (1) affect the risks of material misstatement of the financial statements or (2) result in material misstatements of the financial statements arising from processing errors that would not be prevented, or detected and corrected, on a timely basis.</w:t>
      </w:r>
    </w:p>
    <w:p w14:paraId="0DFDC840" w14:textId="77777777" w:rsidR="00046465" w:rsidRDefault="008134EB">
      <w:pPr>
        <w:spacing w:before="119"/>
        <w:ind w:left="719" w:right="844"/>
        <w:rPr>
          <w:b/>
        </w:rPr>
      </w:pPr>
      <w:r>
        <w:rPr>
          <w:b/>
        </w:rPr>
        <w:t>[If any such knowledge has been obtained, the letter should describe it or refer to how it was communicated to us, including the effects, if any, on the financial statements</w:t>
      </w:r>
      <w:r>
        <w:rPr>
          <w:b/>
          <w:spacing w:val="-4"/>
        </w:rPr>
        <w:t xml:space="preserve"> </w:t>
      </w:r>
      <w:r>
        <w:rPr>
          <w:b/>
        </w:rPr>
        <w:t>or</w:t>
      </w:r>
      <w:r>
        <w:rPr>
          <w:b/>
          <w:spacing w:val="-5"/>
        </w:rPr>
        <w:t xml:space="preserve"> </w:t>
      </w:r>
      <w:r>
        <w:rPr>
          <w:b/>
        </w:rPr>
        <w:t>the</w:t>
      </w:r>
      <w:r>
        <w:rPr>
          <w:b/>
          <w:spacing w:val="-4"/>
        </w:rPr>
        <w:t xml:space="preserve"> </w:t>
      </w:r>
      <w:r>
        <w:rPr>
          <w:b/>
        </w:rPr>
        <w:t>effectiveness</w:t>
      </w:r>
      <w:r>
        <w:rPr>
          <w:b/>
          <w:spacing w:val="-4"/>
        </w:rPr>
        <w:t xml:space="preserve"> </w:t>
      </w:r>
      <w:r>
        <w:rPr>
          <w:b/>
        </w:rPr>
        <w:t>of</w:t>
      </w:r>
      <w:r>
        <w:rPr>
          <w:b/>
          <w:spacing w:val="-4"/>
        </w:rPr>
        <w:t xml:space="preserve"> </w:t>
      </w:r>
      <w:r>
        <w:rPr>
          <w:b/>
        </w:rPr>
        <w:t>internal</w:t>
      </w:r>
      <w:r>
        <w:rPr>
          <w:b/>
          <w:spacing w:val="-4"/>
        </w:rPr>
        <w:t xml:space="preserve"> </w:t>
      </w:r>
      <w:r>
        <w:rPr>
          <w:b/>
        </w:rPr>
        <w:t>control</w:t>
      </w:r>
      <w:r>
        <w:rPr>
          <w:b/>
          <w:spacing w:val="-4"/>
        </w:rPr>
        <w:t xml:space="preserve"> </w:t>
      </w:r>
      <w:r>
        <w:rPr>
          <w:b/>
        </w:rPr>
        <w:t>over</w:t>
      </w:r>
      <w:r>
        <w:rPr>
          <w:b/>
          <w:spacing w:val="-5"/>
        </w:rPr>
        <w:t xml:space="preserve"> </w:t>
      </w:r>
      <w:r>
        <w:rPr>
          <w:b/>
        </w:rPr>
        <w:t>financial</w:t>
      </w:r>
      <w:r>
        <w:rPr>
          <w:b/>
          <w:spacing w:val="-4"/>
        </w:rPr>
        <w:t xml:space="preserve"> </w:t>
      </w:r>
      <w:r>
        <w:rPr>
          <w:b/>
        </w:rPr>
        <w:t>reporting,</w:t>
      </w:r>
      <w:r>
        <w:rPr>
          <w:b/>
          <w:spacing w:val="-4"/>
        </w:rPr>
        <w:t xml:space="preserve"> </w:t>
      </w:r>
      <w:r>
        <w:rPr>
          <w:b/>
        </w:rPr>
        <w:t>including specific identification of any internal control deficiencies that are considered to be material weaknesses or significant deficiencies.]</w:t>
      </w:r>
    </w:p>
    <w:p w14:paraId="0DFDC841" w14:textId="77777777" w:rsidR="00046465" w:rsidRDefault="008134EB">
      <w:pPr>
        <w:spacing w:before="121"/>
        <w:ind w:left="359"/>
        <w:rPr>
          <w:b/>
        </w:rPr>
      </w:pPr>
      <w:r>
        <w:rPr>
          <w:b/>
        </w:rPr>
        <w:t>[Signed</w:t>
      </w:r>
      <w:r>
        <w:rPr>
          <w:b/>
          <w:spacing w:val="-7"/>
        </w:rPr>
        <w:t xml:space="preserve"> </w:t>
      </w:r>
      <w:r>
        <w:rPr>
          <w:b/>
        </w:rPr>
        <w:t>by</w:t>
      </w:r>
      <w:r>
        <w:rPr>
          <w:b/>
          <w:spacing w:val="-7"/>
        </w:rPr>
        <w:t xml:space="preserve"> </w:t>
      </w:r>
      <w:r>
        <w:rPr>
          <w:b/>
        </w:rPr>
        <w:t>Entity</w:t>
      </w:r>
      <w:r>
        <w:rPr>
          <w:b/>
          <w:spacing w:val="-7"/>
        </w:rPr>
        <w:t xml:space="preserve"> </w:t>
      </w:r>
      <w:r>
        <w:rPr>
          <w:b/>
          <w:spacing w:val="-2"/>
        </w:rPr>
        <w:t>Head]</w:t>
      </w:r>
    </w:p>
    <w:p w14:paraId="0DFDC842" w14:textId="77777777" w:rsidR="00046465" w:rsidRDefault="008134EB">
      <w:pPr>
        <w:spacing w:before="120"/>
        <w:ind w:left="359"/>
        <w:rPr>
          <w:b/>
        </w:rPr>
      </w:pPr>
      <w:r>
        <w:rPr>
          <w:b/>
        </w:rPr>
        <w:t>[Signed</w:t>
      </w:r>
      <w:r>
        <w:rPr>
          <w:b/>
          <w:spacing w:val="-7"/>
        </w:rPr>
        <w:t xml:space="preserve"> </w:t>
      </w:r>
      <w:r>
        <w:rPr>
          <w:b/>
        </w:rPr>
        <w:t>by</w:t>
      </w:r>
      <w:r>
        <w:rPr>
          <w:b/>
          <w:spacing w:val="-7"/>
        </w:rPr>
        <w:t xml:space="preserve"> </w:t>
      </w:r>
      <w:r>
        <w:rPr>
          <w:b/>
        </w:rPr>
        <w:t>Chief</w:t>
      </w:r>
      <w:r>
        <w:rPr>
          <w:b/>
          <w:spacing w:val="-7"/>
        </w:rPr>
        <w:t xml:space="preserve"> </w:t>
      </w:r>
      <w:r>
        <w:rPr>
          <w:b/>
        </w:rPr>
        <w:t>Financial</w:t>
      </w:r>
      <w:r>
        <w:rPr>
          <w:b/>
          <w:spacing w:val="-7"/>
        </w:rPr>
        <w:t xml:space="preserve"> </w:t>
      </w:r>
      <w:r>
        <w:rPr>
          <w:b/>
          <w:spacing w:val="-2"/>
        </w:rPr>
        <w:t>Officer]</w:t>
      </w:r>
    </w:p>
    <w:p w14:paraId="0DFDC843" w14:textId="77777777" w:rsidR="00046465" w:rsidRDefault="008134EB">
      <w:pPr>
        <w:pStyle w:val="BodyText"/>
        <w:spacing w:before="119"/>
        <w:ind w:left="359"/>
      </w:pPr>
      <w:r>
        <w:rPr>
          <w:spacing w:val="-2"/>
        </w:rPr>
        <w:t>Enclosure(s)</w:t>
      </w:r>
    </w:p>
    <w:p w14:paraId="0DFDC844" w14:textId="77777777" w:rsidR="00046465" w:rsidRDefault="00046465">
      <w:pPr>
        <w:pStyle w:val="BodyText"/>
        <w:sectPr w:rsidR="00046465">
          <w:pgSz w:w="12240" w:h="15840"/>
          <w:pgMar w:top="1340" w:right="720" w:bottom="940" w:left="1080" w:header="721" w:footer="757" w:gutter="0"/>
          <w:cols w:space="720"/>
        </w:sectPr>
      </w:pPr>
    </w:p>
    <w:p w14:paraId="0DFDC845" w14:textId="77777777" w:rsidR="00046465" w:rsidRDefault="008134EB">
      <w:pPr>
        <w:pStyle w:val="Heading3"/>
        <w:spacing w:before="361"/>
        <w:rPr>
          <w:u w:val="none"/>
        </w:rPr>
      </w:pPr>
      <w:bookmarkStart w:id="380" w:name="1002_–_Litigation,_Claims,_and_Assessmen"/>
      <w:bookmarkStart w:id="381" w:name="_bookmark214"/>
      <w:bookmarkEnd w:id="380"/>
      <w:bookmarkEnd w:id="381"/>
      <w:r>
        <w:lastRenderedPageBreak/>
        <w:t>1002</w:t>
      </w:r>
      <w:r>
        <w:rPr>
          <w:spacing w:val="-6"/>
        </w:rPr>
        <w:t xml:space="preserve"> </w:t>
      </w:r>
      <w:r>
        <w:t>–</w:t>
      </w:r>
      <w:r>
        <w:rPr>
          <w:spacing w:val="-4"/>
        </w:rPr>
        <w:t xml:space="preserve"> </w:t>
      </w:r>
      <w:r>
        <w:t>Litigation,</w:t>
      </w:r>
      <w:r>
        <w:rPr>
          <w:spacing w:val="-4"/>
        </w:rPr>
        <w:t xml:space="preserve"> </w:t>
      </w:r>
      <w:r>
        <w:t>Claims,</w:t>
      </w:r>
      <w:r>
        <w:rPr>
          <w:spacing w:val="-4"/>
        </w:rPr>
        <w:t xml:space="preserve"> </w:t>
      </w:r>
      <w:r>
        <w:t>and</w:t>
      </w:r>
      <w:r>
        <w:rPr>
          <w:spacing w:val="-16"/>
        </w:rPr>
        <w:t xml:space="preserve"> </w:t>
      </w:r>
      <w:r>
        <w:rPr>
          <w:spacing w:val="-2"/>
        </w:rPr>
        <w:t>Assessments</w:t>
      </w:r>
    </w:p>
    <w:p w14:paraId="0DFDC846" w14:textId="77777777" w:rsidR="00046465" w:rsidRDefault="008134EB">
      <w:pPr>
        <w:pStyle w:val="ListParagraph"/>
        <w:numPr>
          <w:ilvl w:val="0"/>
          <w:numId w:val="65"/>
        </w:numPr>
        <w:tabs>
          <w:tab w:val="left" w:pos="1800"/>
        </w:tabs>
        <w:spacing w:before="239"/>
        <w:ind w:right="1053"/>
      </w:pPr>
      <w:r>
        <w:t>FAM 1002 provides guidance for obtaining evidence that the entity’s financial accounting and reporting of contingencies arising from litigation, claims, and assessments</w:t>
      </w:r>
      <w:r>
        <w:rPr>
          <w:spacing w:val="-3"/>
        </w:rPr>
        <w:t xml:space="preserve"> </w:t>
      </w:r>
      <w:r>
        <w:t>conform</w:t>
      </w:r>
      <w:r>
        <w:rPr>
          <w:spacing w:val="-4"/>
        </w:rPr>
        <w:t xml:space="preserve"> </w:t>
      </w:r>
      <w:r>
        <w:t>with</w:t>
      </w:r>
      <w:r>
        <w:rPr>
          <w:spacing w:val="-3"/>
        </w:rPr>
        <w:t xml:space="preserve"> </w:t>
      </w:r>
      <w:r>
        <w:t>U.S.</w:t>
      </w:r>
      <w:r>
        <w:rPr>
          <w:spacing w:val="-3"/>
        </w:rPr>
        <w:t xml:space="preserve"> </w:t>
      </w:r>
      <w:r>
        <w:t>GAAP.</w:t>
      </w:r>
      <w:hyperlink w:anchor="_bookmark215" w:history="1">
        <w:r>
          <w:rPr>
            <w:position w:val="7"/>
            <w:sz w:val="14"/>
          </w:rPr>
          <w:t>6</w:t>
        </w:r>
      </w:hyperlink>
      <w:r>
        <w:rPr>
          <w:spacing w:val="18"/>
          <w:position w:val="7"/>
          <w:sz w:val="14"/>
        </w:rPr>
        <w:t xml:space="preserve"> </w:t>
      </w:r>
      <w:r>
        <w:t>This</w:t>
      </w:r>
      <w:r>
        <w:rPr>
          <w:spacing w:val="-3"/>
        </w:rPr>
        <w:t xml:space="preserve"> </w:t>
      </w:r>
      <w:r>
        <w:t>section</w:t>
      </w:r>
      <w:r>
        <w:rPr>
          <w:spacing w:val="-3"/>
        </w:rPr>
        <w:t xml:space="preserve"> </w:t>
      </w:r>
      <w:r>
        <w:t>discusses</w:t>
      </w:r>
      <w:r>
        <w:rPr>
          <w:spacing w:val="-3"/>
        </w:rPr>
        <w:t xml:space="preserve"> </w:t>
      </w:r>
      <w:r>
        <w:t>the</w:t>
      </w:r>
      <w:r>
        <w:rPr>
          <w:spacing w:val="-3"/>
        </w:rPr>
        <w:t xml:space="preserve"> </w:t>
      </w:r>
      <w:r>
        <w:t>applicable accounting and reporting guidance and audit procedures and includes the following practice aids:</w:t>
      </w:r>
    </w:p>
    <w:p w14:paraId="0DFDC847" w14:textId="77777777" w:rsidR="00046465" w:rsidRDefault="008134EB">
      <w:pPr>
        <w:pStyle w:val="ListParagraph"/>
        <w:numPr>
          <w:ilvl w:val="1"/>
          <w:numId w:val="65"/>
        </w:numPr>
        <w:tabs>
          <w:tab w:val="left" w:pos="2160"/>
        </w:tabs>
        <w:spacing w:before="121"/>
        <w:ind w:right="1662"/>
      </w:pPr>
      <w:r>
        <w:t>FAM</w:t>
      </w:r>
      <w:r>
        <w:rPr>
          <w:spacing w:val="-5"/>
        </w:rPr>
        <w:t xml:space="preserve"> </w:t>
      </w:r>
      <w:r>
        <w:t>1002</w:t>
      </w:r>
      <w:r>
        <w:rPr>
          <w:spacing w:val="-4"/>
        </w:rPr>
        <w:t xml:space="preserve"> </w:t>
      </w:r>
      <w:r>
        <w:t>A</w:t>
      </w:r>
      <w:r>
        <w:rPr>
          <w:spacing w:val="-3"/>
        </w:rPr>
        <w:t xml:space="preserve"> </w:t>
      </w:r>
      <w:r>
        <w:t>–</w:t>
      </w:r>
      <w:r>
        <w:rPr>
          <w:spacing w:val="-4"/>
        </w:rPr>
        <w:t xml:space="preserve"> </w:t>
      </w:r>
      <w:r>
        <w:t>Example</w:t>
      </w:r>
      <w:r>
        <w:rPr>
          <w:spacing w:val="-4"/>
        </w:rPr>
        <w:t xml:space="preserve"> </w:t>
      </w:r>
      <w:r>
        <w:t>Audit</w:t>
      </w:r>
      <w:r>
        <w:rPr>
          <w:spacing w:val="-4"/>
        </w:rPr>
        <w:t xml:space="preserve"> </w:t>
      </w:r>
      <w:r>
        <w:t>Procedures</w:t>
      </w:r>
      <w:r>
        <w:rPr>
          <w:spacing w:val="-4"/>
        </w:rPr>
        <w:t xml:space="preserve"> </w:t>
      </w:r>
      <w:r>
        <w:t>for</w:t>
      </w:r>
      <w:r>
        <w:rPr>
          <w:spacing w:val="-4"/>
        </w:rPr>
        <w:t xml:space="preserve"> </w:t>
      </w:r>
      <w:r>
        <w:t>Litigation,</w:t>
      </w:r>
      <w:r>
        <w:rPr>
          <w:spacing w:val="-4"/>
        </w:rPr>
        <w:t xml:space="preserve"> </w:t>
      </w:r>
      <w:r>
        <w:t>Claims,</w:t>
      </w:r>
      <w:r>
        <w:rPr>
          <w:spacing w:val="-4"/>
        </w:rPr>
        <w:t xml:space="preserve"> </w:t>
      </w:r>
      <w:r>
        <w:t xml:space="preserve">and </w:t>
      </w:r>
      <w:r>
        <w:rPr>
          <w:spacing w:val="-2"/>
        </w:rPr>
        <w:t>Assessments</w:t>
      </w:r>
    </w:p>
    <w:p w14:paraId="0DFDC848" w14:textId="77777777" w:rsidR="00046465" w:rsidRDefault="008134EB">
      <w:pPr>
        <w:pStyle w:val="ListParagraph"/>
        <w:numPr>
          <w:ilvl w:val="1"/>
          <w:numId w:val="65"/>
        </w:numPr>
        <w:tabs>
          <w:tab w:val="left" w:pos="2159"/>
        </w:tabs>
        <w:spacing w:before="118"/>
        <w:ind w:left="2159" w:hanging="359"/>
      </w:pPr>
      <w:r>
        <w:t>FAM</w:t>
      </w:r>
      <w:r>
        <w:rPr>
          <w:spacing w:val="-7"/>
        </w:rPr>
        <w:t xml:space="preserve"> </w:t>
      </w:r>
      <w:r>
        <w:t>1002</w:t>
      </w:r>
      <w:r>
        <w:rPr>
          <w:spacing w:val="-5"/>
        </w:rPr>
        <w:t xml:space="preserve"> </w:t>
      </w:r>
      <w:r>
        <w:t>B</w:t>
      </w:r>
      <w:r>
        <w:rPr>
          <w:spacing w:val="-5"/>
        </w:rPr>
        <w:t xml:space="preserve"> </w:t>
      </w:r>
      <w:r>
        <w:t>–</w:t>
      </w:r>
      <w:r>
        <w:rPr>
          <w:spacing w:val="-5"/>
        </w:rPr>
        <w:t xml:space="preserve"> </w:t>
      </w:r>
      <w:r>
        <w:t>Example</w:t>
      </w:r>
      <w:r>
        <w:rPr>
          <w:spacing w:val="-6"/>
        </w:rPr>
        <w:t xml:space="preserve"> </w:t>
      </w:r>
      <w:r>
        <w:t>Legal</w:t>
      </w:r>
      <w:r>
        <w:rPr>
          <w:spacing w:val="-5"/>
        </w:rPr>
        <w:t xml:space="preserve"> </w:t>
      </w:r>
      <w:r>
        <w:t>Counsel</w:t>
      </w:r>
      <w:r>
        <w:rPr>
          <w:spacing w:val="-6"/>
        </w:rPr>
        <w:t xml:space="preserve"> </w:t>
      </w:r>
      <w:r>
        <w:rPr>
          <w:spacing w:val="-2"/>
        </w:rPr>
        <w:t>Request</w:t>
      </w:r>
    </w:p>
    <w:p w14:paraId="0DFDC849" w14:textId="77777777" w:rsidR="00046465" w:rsidRDefault="008134EB">
      <w:pPr>
        <w:pStyle w:val="ListParagraph"/>
        <w:numPr>
          <w:ilvl w:val="1"/>
          <w:numId w:val="65"/>
        </w:numPr>
        <w:tabs>
          <w:tab w:val="left" w:pos="2159"/>
        </w:tabs>
        <w:spacing w:before="118"/>
        <w:ind w:left="2159"/>
      </w:pPr>
      <w:r>
        <w:t>FAM</w:t>
      </w:r>
      <w:r>
        <w:rPr>
          <w:spacing w:val="-6"/>
        </w:rPr>
        <w:t xml:space="preserve"> </w:t>
      </w:r>
      <w:r>
        <w:t>1002</w:t>
      </w:r>
      <w:r>
        <w:rPr>
          <w:spacing w:val="-5"/>
        </w:rPr>
        <w:t xml:space="preserve"> </w:t>
      </w:r>
      <w:r>
        <w:t>C</w:t>
      </w:r>
      <w:r>
        <w:rPr>
          <w:spacing w:val="-6"/>
        </w:rPr>
        <w:t xml:space="preserve"> </w:t>
      </w:r>
      <w:r>
        <w:t>–</w:t>
      </w:r>
      <w:r>
        <w:rPr>
          <w:spacing w:val="-5"/>
        </w:rPr>
        <w:t xml:space="preserve"> </w:t>
      </w:r>
      <w:r>
        <w:t>Example</w:t>
      </w:r>
      <w:r>
        <w:rPr>
          <w:spacing w:val="-5"/>
        </w:rPr>
        <w:t xml:space="preserve"> </w:t>
      </w:r>
      <w:r>
        <w:t>Legal</w:t>
      </w:r>
      <w:r>
        <w:rPr>
          <w:spacing w:val="-5"/>
        </w:rPr>
        <w:t xml:space="preserve"> </w:t>
      </w:r>
      <w:r>
        <w:t>Counsel</w:t>
      </w:r>
      <w:r>
        <w:rPr>
          <w:spacing w:val="-5"/>
        </w:rPr>
        <w:t xml:space="preserve"> </w:t>
      </w:r>
      <w:r>
        <w:rPr>
          <w:spacing w:val="-2"/>
        </w:rPr>
        <w:t>Response</w:t>
      </w:r>
    </w:p>
    <w:p w14:paraId="0DFDC84A" w14:textId="77777777" w:rsidR="00046465" w:rsidRDefault="008134EB">
      <w:pPr>
        <w:pStyle w:val="ListParagraph"/>
        <w:numPr>
          <w:ilvl w:val="1"/>
          <w:numId w:val="65"/>
        </w:numPr>
        <w:tabs>
          <w:tab w:val="left" w:pos="2159"/>
        </w:tabs>
        <w:spacing w:before="118"/>
        <w:ind w:left="2159"/>
      </w:pPr>
      <w:r>
        <w:t>FAM</w:t>
      </w:r>
      <w:r>
        <w:rPr>
          <w:spacing w:val="-7"/>
        </w:rPr>
        <w:t xml:space="preserve"> </w:t>
      </w:r>
      <w:r>
        <w:t>1002</w:t>
      </w:r>
      <w:r>
        <w:rPr>
          <w:spacing w:val="-5"/>
        </w:rPr>
        <w:t xml:space="preserve"> </w:t>
      </w:r>
      <w:r>
        <w:t>D</w:t>
      </w:r>
      <w:r>
        <w:rPr>
          <w:spacing w:val="-7"/>
        </w:rPr>
        <w:t xml:space="preserve"> </w:t>
      </w:r>
      <w:r>
        <w:t>–</w:t>
      </w:r>
      <w:r>
        <w:rPr>
          <w:spacing w:val="-6"/>
        </w:rPr>
        <w:t xml:space="preserve"> </w:t>
      </w:r>
      <w:r>
        <w:t>Example</w:t>
      </w:r>
      <w:r>
        <w:rPr>
          <w:spacing w:val="-6"/>
        </w:rPr>
        <w:t xml:space="preserve"> </w:t>
      </w:r>
      <w:r>
        <w:t>Management</w:t>
      </w:r>
      <w:r>
        <w:rPr>
          <w:spacing w:val="-6"/>
        </w:rPr>
        <w:t xml:space="preserve"> </w:t>
      </w:r>
      <w:r>
        <w:rPr>
          <w:spacing w:val="-2"/>
        </w:rPr>
        <w:t>Schedule</w:t>
      </w:r>
    </w:p>
    <w:p w14:paraId="0DFDC84B" w14:textId="77777777" w:rsidR="00046465" w:rsidRDefault="008134EB">
      <w:pPr>
        <w:pStyle w:val="Heading4"/>
        <w:spacing w:before="239"/>
      </w:pPr>
      <w:bookmarkStart w:id="382" w:name="Accounting_and_Reporting_Guidance"/>
      <w:bookmarkEnd w:id="382"/>
      <w:r>
        <w:t>Accounting</w:t>
      </w:r>
      <w:r>
        <w:rPr>
          <w:spacing w:val="-15"/>
        </w:rPr>
        <w:t xml:space="preserve"> </w:t>
      </w:r>
      <w:r>
        <w:t>and</w:t>
      </w:r>
      <w:r>
        <w:rPr>
          <w:spacing w:val="-14"/>
        </w:rPr>
        <w:t xml:space="preserve"> </w:t>
      </w:r>
      <w:r>
        <w:t>Reporting</w:t>
      </w:r>
      <w:r>
        <w:rPr>
          <w:spacing w:val="-13"/>
        </w:rPr>
        <w:t xml:space="preserve"> </w:t>
      </w:r>
      <w:r>
        <w:rPr>
          <w:spacing w:val="-2"/>
        </w:rPr>
        <w:t>Guidance</w:t>
      </w:r>
    </w:p>
    <w:p w14:paraId="0DFDC84C" w14:textId="77777777" w:rsidR="00046465" w:rsidRDefault="008134EB">
      <w:pPr>
        <w:pStyle w:val="ListParagraph"/>
        <w:numPr>
          <w:ilvl w:val="0"/>
          <w:numId w:val="65"/>
        </w:numPr>
        <w:tabs>
          <w:tab w:val="left" w:pos="1800"/>
        </w:tabs>
        <w:spacing w:before="119"/>
        <w:ind w:right="984"/>
      </w:pPr>
      <w:r>
        <w:t>Entity</w:t>
      </w:r>
      <w:r>
        <w:rPr>
          <w:spacing w:val="-1"/>
        </w:rPr>
        <w:t xml:space="preserve"> </w:t>
      </w:r>
      <w:r>
        <w:t>management</w:t>
      </w:r>
      <w:r>
        <w:rPr>
          <w:spacing w:val="-1"/>
        </w:rPr>
        <w:t xml:space="preserve"> </w:t>
      </w:r>
      <w:r>
        <w:t>is</w:t>
      </w:r>
      <w:r>
        <w:rPr>
          <w:spacing w:val="-1"/>
        </w:rPr>
        <w:t xml:space="preserve"> </w:t>
      </w:r>
      <w:r>
        <w:t>responsible</w:t>
      </w:r>
      <w:r>
        <w:rPr>
          <w:spacing w:val="-2"/>
        </w:rPr>
        <w:t xml:space="preserve"> </w:t>
      </w:r>
      <w:r>
        <w:t>for</w:t>
      </w:r>
      <w:r>
        <w:rPr>
          <w:spacing w:val="-1"/>
        </w:rPr>
        <w:t xml:space="preserve"> </w:t>
      </w:r>
      <w:r>
        <w:t>implementing</w:t>
      </w:r>
      <w:r>
        <w:rPr>
          <w:spacing w:val="-1"/>
        </w:rPr>
        <w:t xml:space="preserve"> </w:t>
      </w:r>
      <w:r>
        <w:t>policies</w:t>
      </w:r>
      <w:r>
        <w:rPr>
          <w:spacing w:val="-1"/>
        </w:rPr>
        <w:t xml:space="preserve"> </w:t>
      </w:r>
      <w:r>
        <w:t>and</w:t>
      </w:r>
      <w:r>
        <w:rPr>
          <w:spacing w:val="-1"/>
        </w:rPr>
        <w:t xml:space="preserve"> </w:t>
      </w:r>
      <w:r>
        <w:t>procedures</w:t>
      </w:r>
      <w:r>
        <w:rPr>
          <w:spacing w:val="-1"/>
        </w:rPr>
        <w:t xml:space="preserve"> </w:t>
      </w:r>
      <w:r>
        <w:t>to identify,</w:t>
      </w:r>
      <w:r>
        <w:rPr>
          <w:spacing w:val="-5"/>
        </w:rPr>
        <w:t xml:space="preserve"> </w:t>
      </w:r>
      <w:r>
        <w:t>evaluate,</w:t>
      </w:r>
      <w:r>
        <w:rPr>
          <w:spacing w:val="-5"/>
        </w:rPr>
        <w:t xml:space="preserve"> </w:t>
      </w:r>
      <w:r>
        <w:t>account</w:t>
      </w:r>
      <w:r>
        <w:rPr>
          <w:spacing w:val="-5"/>
        </w:rPr>
        <w:t xml:space="preserve"> </w:t>
      </w:r>
      <w:r>
        <w:t>for,</w:t>
      </w:r>
      <w:r>
        <w:rPr>
          <w:spacing w:val="-5"/>
        </w:rPr>
        <w:t xml:space="preserve"> </w:t>
      </w:r>
      <w:r>
        <w:t>and</w:t>
      </w:r>
      <w:r>
        <w:rPr>
          <w:spacing w:val="-5"/>
        </w:rPr>
        <w:t xml:space="preserve"> </w:t>
      </w:r>
      <w:r>
        <w:t>disclose</w:t>
      </w:r>
      <w:r>
        <w:rPr>
          <w:spacing w:val="-6"/>
        </w:rPr>
        <w:t xml:space="preserve"> </w:t>
      </w:r>
      <w:r>
        <w:t>litigation,</w:t>
      </w:r>
      <w:r>
        <w:rPr>
          <w:spacing w:val="-5"/>
        </w:rPr>
        <w:t xml:space="preserve"> </w:t>
      </w:r>
      <w:r>
        <w:t>claims,</w:t>
      </w:r>
      <w:r>
        <w:rPr>
          <w:spacing w:val="-6"/>
        </w:rPr>
        <w:t xml:space="preserve"> </w:t>
      </w:r>
      <w:r>
        <w:t>and</w:t>
      </w:r>
      <w:r>
        <w:rPr>
          <w:spacing w:val="-5"/>
        </w:rPr>
        <w:t xml:space="preserve"> </w:t>
      </w:r>
      <w:r>
        <w:t xml:space="preserve">assessments as a basis for the preparation of financial statements in conformity with U.S. </w:t>
      </w:r>
      <w:r>
        <w:rPr>
          <w:spacing w:val="-2"/>
        </w:rPr>
        <w:t>GAAP.</w:t>
      </w:r>
    </w:p>
    <w:p w14:paraId="0DFDC84D" w14:textId="77777777" w:rsidR="00046465" w:rsidRDefault="008134EB">
      <w:pPr>
        <w:pStyle w:val="ListParagraph"/>
        <w:numPr>
          <w:ilvl w:val="0"/>
          <w:numId w:val="65"/>
        </w:numPr>
        <w:tabs>
          <w:tab w:val="left" w:pos="1799"/>
        </w:tabs>
        <w:spacing w:before="121"/>
        <w:ind w:left="1799" w:right="728" w:hanging="720"/>
      </w:pPr>
      <w:r>
        <w:t xml:space="preserve">SFFAS 5, </w:t>
      </w:r>
      <w:r>
        <w:rPr>
          <w:i/>
        </w:rPr>
        <w:t>Accounting for Liabilities of the Federal Government</w:t>
      </w:r>
      <w:r>
        <w:t xml:space="preserve">, as amended by SFFAS 12, </w:t>
      </w:r>
      <w:r>
        <w:rPr>
          <w:i/>
        </w:rPr>
        <w:t>Recognition of Contingent Liabilities Arising from Litigation</w:t>
      </w:r>
      <w:r>
        <w:t>, contains accounting and reporting standards for loss contingencies, including those</w:t>
      </w:r>
      <w:r>
        <w:rPr>
          <w:spacing w:val="40"/>
        </w:rPr>
        <w:t xml:space="preserve"> </w:t>
      </w:r>
      <w:r>
        <w:t>arising from litigation, claims, and assessments.</w:t>
      </w:r>
      <w:hyperlink w:anchor="_bookmark216" w:history="1">
        <w:r>
          <w:rPr>
            <w:position w:val="7"/>
            <w:sz w:val="14"/>
          </w:rPr>
          <w:t>7</w:t>
        </w:r>
      </w:hyperlink>
      <w:r>
        <w:rPr>
          <w:spacing w:val="35"/>
          <w:position w:val="7"/>
          <w:sz w:val="14"/>
        </w:rPr>
        <w:t xml:space="preserve"> </w:t>
      </w:r>
      <w:r>
        <w:t xml:space="preserve">Federal Accounting Standards Advisory Board (FASAB) Interpretation No. 2, </w:t>
      </w:r>
      <w:r>
        <w:rPr>
          <w:i/>
        </w:rPr>
        <w:t>Accounting for Treasury Judgment Fund Transactions</w:t>
      </w:r>
      <w:r>
        <w:t>, provides additional guidance related to claims to be paid through the Treasury Judgment Fund.</w:t>
      </w:r>
      <w:hyperlink w:anchor="_bookmark217" w:history="1">
        <w:r>
          <w:rPr>
            <w:position w:val="7"/>
            <w:sz w:val="14"/>
          </w:rPr>
          <w:t>8</w:t>
        </w:r>
      </w:hyperlink>
      <w:r>
        <w:rPr>
          <w:spacing w:val="39"/>
          <w:position w:val="7"/>
          <w:sz w:val="14"/>
        </w:rPr>
        <w:t xml:space="preserve"> </w:t>
      </w:r>
      <w:r>
        <w:t>Statement of Financial Accounting Standards</w:t>
      </w:r>
      <w:r>
        <w:rPr>
          <w:spacing w:val="-3"/>
        </w:rPr>
        <w:t xml:space="preserve"> </w:t>
      </w:r>
      <w:r>
        <w:t>(FAS)</w:t>
      </w:r>
      <w:r>
        <w:rPr>
          <w:spacing w:val="-3"/>
        </w:rPr>
        <w:t xml:space="preserve"> </w:t>
      </w:r>
      <w:r>
        <w:t>No.</w:t>
      </w:r>
      <w:r>
        <w:rPr>
          <w:spacing w:val="-3"/>
        </w:rPr>
        <w:t xml:space="preserve"> </w:t>
      </w:r>
      <w:r>
        <w:t>5,</w:t>
      </w:r>
      <w:r>
        <w:rPr>
          <w:spacing w:val="-2"/>
        </w:rPr>
        <w:t xml:space="preserve"> </w:t>
      </w:r>
      <w:r>
        <w:rPr>
          <w:i/>
        </w:rPr>
        <w:t>Accounting</w:t>
      </w:r>
      <w:r>
        <w:rPr>
          <w:i/>
          <w:spacing w:val="-3"/>
        </w:rPr>
        <w:t xml:space="preserve"> </w:t>
      </w:r>
      <w:r>
        <w:rPr>
          <w:i/>
        </w:rPr>
        <w:t>for</w:t>
      </w:r>
      <w:r>
        <w:rPr>
          <w:i/>
          <w:spacing w:val="-3"/>
        </w:rPr>
        <w:t xml:space="preserve"> </w:t>
      </w:r>
      <w:r>
        <w:rPr>
          <w:i/>
        </w:rPr>
        <w:t>Contingencies</w:t>
      </w:r>
      <w:r>
        <w:t>,</w:t>
      </w:r>
      <w:r>
        <w:rPr>
          <w:spacing w:val="-3"/>
        </w:rPr>
        <w:t xml:space="preserve"> </w:t>
      </w:r>
      <w:r>
        <w:t>also</w:t>
      </w:r>
      <w:r>
        <w:rPr>
          <w:spacing w:val="-3"/>
        </w:rPr>
        <w:t xml:space="preserve"> </w:t>
      </w:r>
      <w:r>
        <w:t>provides</w:t>
      </w:r>
      <w:r>
        <w:rPr>
          <w:spacing w:val="-3"/>
        </w:rPr>
        <w:t xml:space="preserve"> </w:t>
      </w:r>
      <w:r>
        <w:t>guidance</w:t>
      </w:r>
      <w:r>
        <w:rPr>
          <w:spacing w:val="-3"/>
        </w:rPr>
        <w:t xml:space="preserve"> </w:t>
      </w:r>
      <w:r>
        <w:t>for financial</w:t>
      </w:r>
      <w:r>
        <w:rPr>
          <w:spacing w:val="-4"/>
        </w:rPr>
        <w:t xml:space="preserve"> </w:t>
      </w:r>
      <w:r>
        <w:t>accounting</w:t>
      </w:r>
      <w:r>
        <w:rPr>
          <w:spacing w:val="-4"/>
        </w:rPr>
        <w:t xml:space="preserve"> </w:t>
      </w:r>
      <w:r>
        <w:t>and</w:t>
      </w:r>
      <w:r>
        <w:rPr>
          <w:spacing w:val="-5"/>
        </w:rPr>
        <w:t xml:space="preserve"> </w:t>
      </w:r>
      <w:r>
        <w:t>reporting</w:t>
      </w:r>
      <w:r>
        <w:rPr>
          <w:spacing w:val="-4"/>
        </w:rPr>
        <w:t xml:space="preserve"> </w:t>
      </w:r>
      <w:r>
        <w:t>for</w:t>
      </w:r>
      <w:r>
        <w:rPr>
          <w:spacing w:val="-5"/>
        </w:rPr>
        <w:t xml:space="preserve"> </w:t>
      </w:r>
      <w:r>
        <w:t>loss</w:t>
      </w:r>
      <w:r>
        <w:rPr>
          <w:spacing w:val="-4"/>
        </w:rPr>
        <w:t xml:space="preserve"> </w:t>
      </w:r>
      <w:r>
        <w:t>and</w:t>
      </w:r>
      <w:r>
        <w:rPr>
          <w:spacing w:val="-4"/>
        </w:rPr>
        <w:t xml:space="preserve"> </w:t>
      </w:r>
      <w:r>
        <w:t>gain</w:t>
      </w:r>
      <w:r>
        <w:rPr>
          <w:spacing w:val="-4"/>
        </w:rPr>
        <w:t xml:space="preserve"> </w:t>
      </w:r>
      <w:r>
        <w:t>contingencies</w:t>
      </w:r>
      <w:r>
        <w:rPr>
          <w:spacing w:val="-4"/>
        </w:rPr>
        <w:t xml:space="preserve"> </w:t>
      </w:r>
      <w:r>
        <w:t>for</w:t>
      </w:r>
      <w:r>
        <w:rPr>
          <w:spacing w:val="-4"/>
        </w:rPr>
        <w:t xml:space="preserve"> </w:t>
      </w:r>
      <w:r>
        <w:t>government corporations and for entities following U.S. GAAP for the private sector promulgated by FASB. The definition of probable for legal contingencies is essentially the same in FAS No. 5 and SFFAS 5.</w:t>
      </w:r>
    </w:p>
    <w:p w14:paraId="0DFDC84E" w14:textId="77777777" w:rsidR="00046465" w:rsidRDefault="008134EB">
      <w:pPr>
        <w:pStyle w:val="ListParagraph"/>
        <w:numPr>
          <w:ilvl w:val="0"/>
          <w:numId w:val="65"/>
        </w:numPr>
        <w:tabs>
          <w:tab w:val="left" w:pos="1799"/>
        </w:tabs>
        <w:spacing w:before="119"/>
        <w:ind w:left="1799" w:right="739"/>
      </w:pPr>
      <w:r>
        <w:t>A</w:t>
      </w:r>
      <w:r>
        <w:rPr>
          <w:spacing w:val="-4"/>
        </w:rPr>
        <w:t xml:space="preserve"> </w:t>
      </w:r>
      <w:r>
        <w:t>contingency</w:t>
      </w:r>
      <w:r>
        <w:rPr>
          <w:spacing w:val="-4"/>
        </w:rPr>
        <w:t xml:space="preserve"> </w:t>
      </w:r>
      <w:r>
        <w:t>is</w:t>
      </w:r>
      <w:r>
        <w:rPr>
          <w:spacing w:val="-4"/>
        </w:rPr>
        <w:t xml:space="preserve"> </w:t>
      </w:r>
      <w:r>
        <w:t>an</w:t>
      </w:r>
      <w:r>
        <w:rPr>
          <w:spacing w:val="-5"/>
        </w:rPr>
        <w:t xml:space="preserve"> </w:t>
      </w:r>
      <w:r>
        <w:t>existing</w:t>
      </w:r>
      <w:r>
        <w:rPr>
          <w:spacing w:val="-4"/>
        </w:rPr>
        <w:t xml:space="preserve"> </w:t>
      </w:r>
      <w:r>
        <w:t>condition,</w:t>
      </w:r>
      <w:r>
        <w:rPr>
          <w:spacing w:val="-4"/>
        </w:rPr>
        <w:t xml:space="preserve"> </w:t>
      </w:r>
      <w:r>
        <w:t>situation,</w:t>
      </w:r>
      <w:r>
        <w:rPr>
          <w:spacing w:val="-5"/>
        </w:rPr>
        <w:t xml:space="preserve"> </w:t>
      </w:r>
      <w:r>
        <w:t>or</w:t>
      </w:r>
      <w:r>
        <w:rPr>
          <w:spacing w:val="-4"/>
        </w:rPr>
        <w:t xml:space="preserve"> </w:t>
      </w:r>
      <w:r>
        <w:t>set</w:t>
      </w:r>
      <w:r>
        <w:rPr>
          <w:spacing w:val="-4"/>
        </w:rPr>
        <w:t xml:space="preserve"> </w:t>
      </w:r>
      <w:r>
        <w:t>of</w:t>
      </w:r>
      <w:r>
        <w:rPr>
          <w:spacing w:val="-4"/>
        </w:rPr>
        <w:t xml:space="preserve"> </w:t>
      </w:r>
      <w:r>
        <w:t>circumstances</w:t>
      </w:r>
      <w:r>
        <w:rPr>
          <w:spacing w:val="-4"/>
        </w:rPr>
        <w:t xml:space="preserve"> </w:t>
      </w:r>
      <w:r>
        <w:t>involving uncertainty as to possible gain or loss to an entity. The uncertainty will ultimately be resolved when one or more future events occur or fail to occur. When a loss</w:t>
      </w:r>
    </w:p>
    <w:p w14:paraId="0DFDC84F" w14:textId="77777777" w:rsidR="00046465" w:rsidRDefault="008134EB">
      <w:pPr>
        <w:pStyle w:val="BodyText"/>
        <w:spacing w:before="199"/>
        <w:rPr>
          <w:sz w:val="20"/>
        </w:rPr>
      </w:pPr>
      <w:r>
        <w:rPr>
          <w:noProof/>
          <w:sz w:val="20"/>
        </w:rPr>
        <mc:AlternateContent>
          <mc:Choice Requires="wps">
            <w:drawing>
              <wp:anchor distT="0" distB="0" distL="0" distR="0" simplePos="0" relativeHeight="487735296" behindDoc="1" locked="0" layoutInCell="1" allowOverlap="1" wp14:anchorId="0DFDD753" wp14:editId="0DFDD754">
                <wp:simplePos x="0" y="0"/>
                <wp:positionH relativeFrom="page">
                  <wp:posOffset>914400</wp:posOffset>
                </wp:positionH>
                <wp:positionV relativeFrom="paragraph">
                  <wp:posOffset>288105</wp:posOffset>
                </wp:positionV>
                <wp:extent cx="1828800" cy="5715"/>
                <wp:effectExtent l="0" t="0" r="0" b="0"/>
                <wp:wrapTopAndBottom/>
                <wp:docPr id="1105" name="Graphic 1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D676228" id="Graphic 1105" o:spid="_x0000_s1026" style="position:absolute;margin-left:1in;margin-top:22.7pt;width:2in;height:.45pt;z-index:-1558118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" path="m1828800,l,,,5333r1828800,l1828800,xe" fillcolor="black" stroked="f">
                <v:path arrowok="t"/>
                <w10:wrap type="topAndBottom" anchorx="page"/>
              </v:shape>
            </w:pict>
          </mc:Fallback>
        </mc:AlternateContent>
      </w:r>
    </w:p>
    <w:p w14:paraId="0DFDC850" w14:textId="77777777" w:rsidR="00046465" w:rsidRDefault="008134EB">
      <w:pPr>
        <w:spacing w:before="200" w:line="249" w:lineRule="auto"/>
        <w:ind w:left="360" w:right="749" w:hanging="1"/>
        <w:rPr>
          <w:sz w:val="18"/>
        </w:rPr>
      </w:pPr>
      <w:bookmarkStart w:id="383" w:name="_bookmark215"/>
      <w:bookmarkEnd w:id="383"/>
      <w:r>
        <w:rPr>
          <w:position w:val="7"/>
          <w:sz w:val="14"/>
        </w:rPr>
        <w:t>6</w:t>
      </w:r>
      <w:r>
        <w:rPr>
          <w:sz w:val="18"/>
        </w:rPr>
        <w:t>Reporting</w:t>
      </w:r>
      <w:r>
        <w:rPr>
          <w:spacing w:val="-4"/>
          <w:sz w:val="18"/>
        </w:rPr>
        <w:t xml:space="preserve"> </w:t>
      </w:r>
      <w:r>
        <w:rPr>
          <w:sz w:val="18"/>
        </w:rPr>
        <w:t>of</w:t>
      </w:r>
      <w:r>
        <w:rPr>
          <w:spacing w:val="-3"/>
          <w:sz w:val="18"/>
        </w:rPr>
        <w:t xml:space="preserve"> </w:t>
      </w:r>
      <w:r>
        <w:rPr>
          <w:sz w:val="18"/>
        </w:rPr>
        <w:t>contingencies</w:t>
      </w:r>
      <w:r>
        <w:rPr>
          <w:spacing w:val="-3"/>
          <w:sz w:val="18"/>
        </w:rPr>
        <w:t xml:space="preserve"> </w:t>
      </w:r>
      <w:r>
        <w:rPr>
          <w:sz w:val="18"/>
        </w:rPr>
        <w:t>includes</w:t>
      </w:r>
      <w:r>
        <w:rPr>
          <w:spacing w:val="-3"/>
          <w:sz w:val="18"/>
        </w:rPr>
        <w:t xml:space="preserve"> </w:t>
      </w:r>
      <w:r>
        <w:rPr>
          <w:sz w:val="18"/>
        </w:rPr>
        <w:t>environmental</w:t>
      </w:r>
      <w:r>
        <w:rPr>
          <w:spacing w:val="-3"/>
          <w:sz w:val="18"/>
        </w:rPr>
        <w:t xml:space="preserve"> </w:t>
      </w:r>
      <w:r>
        <w:rPr>
          <w:sz w:val="18"/>
        </w:rPr>
        <w:t>and</w:t>
      </w:r>
      <w:r>
        <w:rPr>
          <w:spacing w:val="-4"/>
          <w:sz w:val="18"/>
        </w:rPr>
        <w:t xml:space="preserve"> </w:t>
      </w:r>
      <w:r>
        <w:rPr>
          <w:sz w:val="18"/>
        </w:rPr>
        <w:t>disposal</w:t>
      </w:r>
      <w:r>
        <w:rPr>
          <w:spacing w:val="-3"/>
          <w:sz w:val="18"/>
        </w:rPr>
        <w:t xml:space="preserve"> </w:t>
      </w:r>
      <w:r>
        <w:rPr>
          <w:sz w:val="18"/>
        </w:rPr>
        <w:t>liabilities—a</w:t>
      </w:r>
      <w:r>
        <w:rPr>
          <w:spacing w:val="-4"/>
          <w:sz w:val="18"/>
        </w:rPr>
        <w:t xml:space="preserve"> </w:t>
      </w:r>
      <w:r>
        <w:rPr>
          <w:sz w:val="18"/>
        </w:rPr>
        <w:t>contingency</w:t>
      </w:r>
      <w:r>
        <w:rPr>
          <w:spacing w:val="-3"/>
          <w:sz w:val="18"/>
        </w:rPr>
        <w:t xml:space="preserve"> </w:t>
      </w:r>
      <w:r>
        <w:rPr>
          <w:sz w:val="18"/>
        </w:rPr>
        <w:t>that</w:t>
      </w:r>
      <w:r>
        <w:rPr>
          <w:spacing w:val="-3"/>
          <w:sz w:val="18"/>
        </w:rPr>
        <w:t xml:space="preserve"> </w:t>
      </w:r>
      <w:r>
        <w:rPr>
          <w:sz w:val="18"/>
        </w:rPr>
        <w:t>is</w:t>
      </w:r>
      <w:r>
        <w:rPr>
          <w:spacing w:val="-3"/>
          <w:sz w:val="18"/>
        </w:rPr>
        <w:t xml:space="preserve"> </w:t>
      </w:r>
      <w:r>
        <w:rPr>
          <w:sz w:val="18"/>
        </w:rPr>
        <w:t>often</w:t>
      </w:r>
      <w:r>
        <w:rPr>
          <w:spacing w:val="-4"/>
          <w:sz w:val="18"/>
        </w:rPr>
        <w:t xml:space="preserve"> </w:t>
      </w:r>
      <w:r>
        <w:rPr>
          <w:sz w:val="18"/>
        </w:rPr>
        <w:t>a</w:t>
      </w:r>
      <w:r>
        <w:rPr>
          <w:spacing w:val="-4"/>
          <w:sz w:val="18"/>
        </w:rPr>
        <w:t xml:space="preserve"> </w:t>
      </w:r>
      <w:r>
        <w:rPr>
          <w:sz w:val="18"/>
        </w:rPr>
        <w:t>significant issue for the federal government.</w:t>
      </w:r>
    </w:p>
    <w:p w14:paraId="0DFDC851" w14:textId="77777777" w:rsidR="00046465" w:rsidRDefault="008134EB">
      <w:pPr>
        <w:spacing w:before="117" w:line="244" w:lineRule="auto"/>
        <w:ind w:left="360" w:right="749" w:hanging="1"/>
        <w:rPr>
          <w:sz w:val="18"/>
        </w:rPr>
      </w:pPr>
      <w:bookmarkStart w:id="384" w:name="_bookmark216"/>
      <w:bookmarkEnd w:id="384"/>
      <w:r>
        <w:rPr>
          <w:position w:val="7"/>
          <w:sz w:val="14"/>
        </w:rPr>
        <w:t>7</w:t>
      </w:r>
      <w:r>
        <w:rPr>
          <w:sz w:val="18"/>
        </w:rPr>
        <w:t>SFFAS</w:t>
      </w:r>
      <w:r>
        <w:rPr>
          <w:spacing w:val="-2"/>
          <w:sz w:val="18"/>
        </w:rPr>
        <w:t xml:space="preserve"> </w:t>
      </w:r>
      <w:r>
        <w:rPr>
          <w:sz w:val="18"/>
        </w:rPr>
        <w:t>7</w:t>
      </w:r>
      <w:r>
        <w:rPr>
          <w:spacing w:val="-3"/>
          <w:sz w:val="18"/>
        </w:rPr>
        <w:t xml:space="preserve"> </w:t>
      </w:r>
      <w:r>
        <w:rPr>
          <w:sz w:val="18"/>
        </w:rPr>
        <w:t>has</w:t>
      </w:r>
      <w:r>
        <w:rPr>
          <w:spacing w:val="-2"/>
          <w:sz w:val="18"/>
        </w:rPr>
        <w:t xml:space="preserve"> </w:t>
      </w:r>
      <w:r>
        <w:rPr>
          <w:sz w:val="18"/>
        </w:rPr>
        <w:t>guidance</w:t>
      </w:r>
      <w:r>
        <w:rPr>
          <w:spacing w:val="-3"/>
          <w:sz w:val="18"/>
        </w:rPr>
        <w:t xml:space="preserve"> </w:t>
      </w:r>
      <w:r>
        <w:rPr>
          <w:sz w:val="18"/>
        </w:rPr>
        <w:t>for</w:t>
      </w:r>
      <w:r>
        <w:rPr>
          <w:spacing w:val="-2"/>
          <w:sz w:val="18"/>
        </w:rPr>
        <w:t xml:space="preserve"> </w:t>
      </w:r>
      <w:r>
        <w:rPr>
          <w:sz w:val="18"/>
        </w:rPr>
        <w:t>reporting</w:t>
      </w:r>
      <w:r>
        <w:rPr>
          <w:spacing w:val="-3"/>
          <w:sz w:val="18"/>
        </w:rPr>
        <w:t xml:space="preserve"> </w:t>
      </w:r>
      <w:r>
        <w:rPr>
          <w:sz w:val="18"/>
        </w:rPr>
        <w:t>claims</w:t>
      </w:r>
      <w:r>
        <w:rPr>
          <w:spacing w:val="-2"/>
          <w:sz w:val="18"/>
        </w:rPr>
        <w:t xml:space="preserve"> </w:t>
      </w:r>
      <w:r>
        <w:rPr>
          <w:sz w:val="18"/>
        </w:rPr>
        <w:t>for</w:t>
      </w:r>
      <w:r>
        <w:rPr>
          <w:spacing w:val="-2"/>
          <w:sz w:val="18"/>
        </w:rPr>
        <w:t xml:space="preserve"> </w:t>
      </w:r>
      <w:r>
        <w:rPr>
          <w:sz w:val="18"/>
        </w:rPr>
        <w:t>tax</w:t>
      </w:r>
      <w:r>
        <w:rPr>
          <w:spacing w:val="-2"/>
          <w:sz w:val="18"/>
        </w:rPr>
        <w:t xml:space="preserve"> </w:t>
      </w:r>
      <w:r>
        <w:rPr>
          <w:sz w:val="18"/>
        </w:rPr>
        <w:t>refunds.</w:t>
      </w:r>
      <w:r>
        <w:rPr>
          <w:spacing w:val="-2"/>
          <w:sz w:val="18"/>
        </w:rPr>
        <w:t xml:space="preserve"> </w:t>
      </w:r>
      <w:r>
        <w:rPr>
          <w:sz w:val="18"/>
        </w:rPr>
        <w:t>SFFAS</w:t>
      </w:r>
      <w:r>
        <w:rPr>
          <w:spacing w:val="-2"/>
          <w:sz w:val="18"/>
        </w:rPr>
        <w:t xml:space="preserve"> </w:t>
      </w:r>
      <w:r>
        <w:rPr>
          <w:sz w:val="18"/>
        </w:rPr>
        <w:t>7</w:t>
      </w:r>
      <w:r>
        <w:rPr>
          <w:spacing w:val="-3"/>
          <w:sz w:val="18"/>
        </w:rPr>
        <w:t xml:space="preserve"> </w:t>
      </w:r>
      <w:r>
        <w:rPr>
          <w:sz w:val="18"/>
        </w:rPr>
        <w:t>indicates</w:t>
      </w:r>
      <w:r>
        <w:rPr>
          <w:spacing w:val="-2"/>
          <w:sz w:val="18"/>
        </w:rPr>
        <w:t xml:space="preserve"> </w:t>
      </w:r>
      <w:r>
        <w:rPr>
          <w:sz w:val="18"/>
        </w:rPr>
        <w:t>that</w:t>
      </w:r>
      <w:r>
        <w:rPr>
          <w:spacing w:val="-2"/>
          <w:sz w:val="18"/>
        </w:rPr>
        <w:t xml:space="preserve"> </w:t>
      </w:r>
      <w:r>
        <w:rPr>
          <w:sz w:val="18"/>
        </w:rPr>
        <w:t>rather</w:t>
      </w:r>
      <w:r>
        <w:rPr>
          <w:spacing w:val="-2"/>
          <w:sz w:val="18"/>
        </w:rPr>
        <w:t xml:space="preserve"> </w:t>
      </w:r>
      <w:r>
        <w:rPr>
          <w:sz w:val="18"/>
        </w:rPr>
        <w:t>than</w:t>
      </w:r>
      <w:r>
        <w:rPr>
          <w:spacing w:val="-3"/>
          <w:sz w:val="18"/>
        </w:rPr>
        <w:t xml:space="preserve"> </w:t>
      </w:r>
      <w:r>
        <w:rPr>
          <w:sz w:val="18"/>
        </w:rPr>
        <w:t>recognizing</w:t>
      </w:r>
      <w:r>
        <w:rPr>
          <w:spacing w:val="-3"/>
          <w:sz w:val="18"/>
        </w:rPr>
        <w:t xml:space="preserve"> </w:t>
      </w:r>
      <w:r>
        <w:rPr>
          <w:sz w:val="18"/>
        </w:rPr>
        <w:t>probable claims and disclosing other claims in the notes to the financial statements, other claims for refunds that are probable should be included as supplementary information.</w:t>
      </w:r>
    </w:p>
    <w:p w14:paraId="0DFDC852" w14:textId="77777777" w:rsidR="00046465" w:rsidRDefault="008134EB">
      <w:pPr>
        <w:spacing w:before="121" w:line="242" w:lineRule="auto"/>
        <w:ind w:left="360" w:right="825" w:hanging="1"/>
        <w:rPr>
          <w:sz w:val="18"/>
        </w:rPr>
      </w:pPr>
      <w:bookmarkStart w:id="385" w:name="_bookmark217"/>
      <w:bookmarkEnd w:id="385"/>
      <w:r>
        <w:rPr>
          <w:position w:val="7"/>
          <w:sz w:val="14"/>
        </w:rPr>
        <w:t>8</w:t>
      </w:r>
      <w:r>
        <w:rPr>
          <w:sz w:val="18"/>
        </w:rPr>
        <w:t>A permanent, indefinite</w:t>
      </w:r>
      <w:r>
        <w:rPr>
          <w:spacing w:val="-1"/>
          <w:sz w:val="18"/>
        </w:rPr>
        <w:t xml:space="preserve"> </w:t>
      </w:r>
      <w:r>
        <w:rPr>
          <w:sz w:val="18"/>
        </w:rPr>
        <w:t>appropriation, commonly known as the</w:t>
      </w:r>
      <w:r>
        <w:rPr>
          <w:spacing w:val="-1"/>
          <w:sz w:val="18"/>
        </w:rPr>
        <w:t xml:space="preserve"> </w:t>
      </w:r>
      <w:r>
        <w:rPr>
          <w:sz w:val="18"/>
        </w:rPr>
        <w:t>Judgment Fund, is available</w:t>
      </w:r>
      <w:r>
        <w:rPr>
          <w:spacing w:val="-1"/>
          <w:sz w:val="18"/>
        </w:rPr>
        <w:t xml:space="preserve"> </w:t>
      </w:r>
      <w:r>
        <w:rPr>
          <w:sz w:val="18"/>
        </w:rPr>
        <w:t>to</w:t>
      </w:r>
      <w:r>
        <w:rPr>
          <w:spacing w:val="-1"/>
          <w:sz w:val="18"/>
        </w:rPr>
        <w:t xml:space="preserve"> </w:t>
      </w:r>
      <w:r>
        <w:rPr>
          <w:sz w:val="18"/>
        </w:rPr>
        <w:t>pay final judgments, settlement agreements, and certain</w:t>
      </w:r>
      <w:r>
        <w:rPr>
          <w:spacing w:val="-1"/>
          <w:sz w:val="18"/>
        </w:rPr>
        <w:t xml:space="preserve"> </w:t>
      </w:r>
      <w:r>
        <w:rPr>
          <w:sz w:val="18"/>
        </w:rPr>
        <w:t>types of administrative awards against the</w:t>
      </w:r>
      <w:r>
        <w:rPr>
          <w:spacing w:val="-1"/>
          <w:sz w:val="18"/>
        </w:rPr>
        <w:t xml:space="preserve"> </w:t>
      </w:r>
      <w:r>
        <w:rPr>
          <w:sz w:val="18"/>
        </w:rPr>
        <w:t>United</w:t>
      </w:r>
      <w:r>
        <w:rPr>
          <w:spacing w:val="-1"/>
          <w:sz w:val="18"/>
        </w:rPr>
        <w:t xml:space="preserve"> </w:t>
      </w:r>
      <w:r>
        <w:rPr>
          <w:sz w:val="18"/>
        </w:rPr>
        <w:t>States, and</w:t>
      </w:r>
      <w:r>
        <w:rPr>
          <w:spacing w:val="-1"/>
          <w:sz w:val="18"/>
        </w:rPr>
        <w:t xml:space="preserve"> </w:t>
      </w:r>
      <w:r>
        <w:rPr>
          <w:sz w:val="18"/>
        </w:rPr>
        <w:t>interest and</w:t>
      </w:r>
      <w:r>
        <w:rPr>
          <w:spacing w:val="-1"/>
          <w:sz w:val="18"/>
        </w:rPr>
        <w:t xml:space="preserve"> </w:t>
      </w:r>
      <w:r>
        <w:rPr>
          <w:sz w:val="18"/>
        </w:rPr>
        <w:t>costs specified in the judgments or otherwise authorized by law, when payment is not otherwise provided for. The Secretary of the Treasury certifies all payments from the fund. (See 31 U.S.C. § 1304, Judgments, awards, and compromise settlements.) FASAB Interpretation No. 2 clarifies how federal entities report the costs and liabilities arising</w:t>
      </w:r>
      <w:r>
        <w:rPr>
          <w:spacing w:val="-3"/>
          <w:sz w:val="18"/>
        </w:rPr>
        <w:t xml:space="preserve"> </w:t>
      </w:r>
      <w:r>
        <w:rPr>
          <w:sz w:val="18"/>
        </w:rPr>
        <w:t>from</w:t>
      </w:r>
      <w:r>
        <w:rPr>
          <w:spacing w:val="-2"/>
          <w:sz w:val="18"/>
        </w:rPr>
        <w:t xml:space="preserve"> </w:t>
      </w:r>
      <w:r>
        <w:rPr>
          <w:sz w:val="18"/>
        </w:rPr>
        <w:t>claims</w:t>
      </w:r>
      <w:r>
        <w:rPr>
          <w:spacing w:val="-2"/>
          <w:sz w:val="18"/>
        </w:rPr>
        <w:t xml:space="preserve"> </w:t>
      </w:r>
      <w:r>
        <w:rPr>
          <w:sz w:val="18"/>
        </w:rPr>
        <w:t>to</w:t>
      </w:r>
      <w:r>
        <w:rPr>
          <w:spacing w:val="-3"/>
          <w:sz w:val="18"/>
        </w:rPr>
        <w:t xml:space="preserve"> </w:t>
      </w:r>
      <w:r>
        <w:rPr>
          <w:sz w:val="18"/>
        </w:rPr>
        <w:t>be</w:t>
      </w:r>
      <w:r>
        <w:rPr>
          <w:spacing w:val="-3"/>
          <w:sz w:val="18"/>
        </w:rPr>
        <w:t xml:space="preserve"> </w:t>
      </w:r>
      <w:r>
        <w:rPr>
          <w:sz w:val="18"/>
        </w:rPr>
        <w:t>paid</w:t>
      </w:r>
      <w:r>
        <w:rPr>
          <w:spacing w:val="-3"/>
          <w:sz w:val="18"/>
        </w:rPr>
        <w:t xml:space="preserve"> </w:t>
      </w:r>
      <w:r>
        <w:rPr>
          <w:sz w:val="18"/>
        </w:rPr>
        <w:t>by</w:t>
      </w:r>
      <w:r>
        <w:rPr>
          <w:spacing w:val="-2"/>
          <w:sz w:val="18"/>
        </w:rPr>
        <w:t xml:space="preserve"> </w:t>
      </w:r>
      <w:r>
        <w:rPr>
          <w:sz w:val="18"/>
        </w:rPr>
        <w:t>the</w:t>
      </w:r>
      <w:r>
        <w:rPr>
          <w:spacing w:val="-3"/>
          <w:sz w:val="18"/>
        </w:rPr>
        <w:t xml:space="preserve"> </w:t>
      </w:r>
      <w:r>
        <w:rPr>
          <w:sz w:val="18"/>
        </w:rPr>
        <w:t>Judgment</w:t>
      </w:r>
      <w:r>
        <w:rPr>
          <w:spacing w:val="-2"/>
          <w:sz w:val="18"/>
        </w:rPr>
        <w:t xml:space="preserve"> </w:t>
      </w:r>
      <w:r>
        <w:rPr>
          <w:sz w:val="18"/>
        </w:rPr>
        <w:t>Fund</w:t>
      </w:r>
      <w:r>
        <w:rPr>
          <w:spacing w:val="-3"/>
          <w:sz w:val="18"/>
        </w:rPr>
        <w:t xml:space="preserve"> </w:t>
      </w:r>
      <w:r>
        <w:rPr>
          <w:sz w:val="18"/>
        </w:rPr>
        <w:t>and</w:t>
      </w:r>
      <w:r>
        <w:rPr>
          <w:spacing w:val="-3"/>
          <w:sz w:val="18"/>
        </w:rPr>
        <w:t xml:space="preserve"> </w:t>
      </w:r>
      <w:r>
        <w:rPr>
          <w:sz w:val="18"/>
        </w:rPr>
        <w:t>how</w:t>
      </w:r>
      <w:r>
        <w:rPr>
          <w:spacing w:val="-2"/>
          <w:sz w:val="18"/>
        </w:rPr>
        <w:t xml:space="preserve"> </w:t>
      </w:r>
      <w:r>
        <w:rPr>
          <w:sz w:val="18"/>
        </w:rPr>
        <w:t>the</w:t>
      </w:r>
      <w:r>
        <w:rPr>
          <w:spacing w:val="-3"/>
          <w:sz w:val="18"/>
        </w:rPr>
        <w:t xml:space="preserve"> </w:t>
      </w:r>
      <w:r>
        <w:rPr>
          <w:sz w:val="18"/>
        </w:rPr>
        <w:t>Judgment</w:t>
      </w:r>
      <w:r>
        <w:rPr>
          <w:spacing w:val="-2"/>
          <w:sz w:val="18"/>
        </w:rPr>
        <w:t xml:space="preserve"> </w:t>
      </w:r>
      <w:r>
        <w:rPr>
          <w:sz w:val="18"/>
        </w:rPr>
        <w:t>Fund</w:t>
      </w:r>
      <w:r>
        <w:rPr>
          <w:spacing w:val="-3"/>
          <w:sz w:val="18"/>
        </w:rPr>
        <w:t xml:space="preserve"> </w:t>
      </w:r>
      <w:r>
        <w:rPr>
          <w:sz w:val="18"/>
        </w:rPr>
        <w:t>accounts</w:t>
      </w:r>
      <w:r>
        <w:rPr>
          <w:spacing w:val="-2"/>
          <w:sz w:val="18"/>
        </w:rPr>
        <w:t xml:space="preserve"> </w:t>
      </w:r>
      <w:r>
        <w:rPr>
          <w:sz w:val="18"/>
        </w:rPr>
        <w:t>for</w:t>
      </w:r>
      <w:r>
        <w:rPr>
          <w:spacing w:val="-2"/>
          <w:sz w:val="18"/>
        </w:rPr>
        <w:t xml:space="preserve"> </w:t>
      </w:r>
      <w:r>
        <w:rPr>
          <w:sz w:val="18"/>
        </w:rPr>
        <w:t>the</w:t>
      </w:r>
      <w:r>
        <w:rPr>
          <w:spacing w:val="-3"/>
          <w:sz w:val="18"/>
        </w:rPr>
        <w:t xml:space="preserve"> </w:t>
      </w:r>
      <w:r>
        <w:rPr>
          <w:sz w:val="18"/>
        </w:rPr>
        <w:t>amounts</w:t>
      </w:r>
      <w:r>
        <w:rPr>
          <w:spacing w:val="-2"/>
          <w:sz w:val="18"/>
        </w:rPr>
        <w:t xml:space="preserve"> </w:t>
      </w:r>
      <w:r>
        <w:rPr>
          <w:sz w:val="18"/>
        </w:rPr>
        <w:t>that</w:t>
      </w:r>
      <w:r>
        <w:rPr>
          <w:spacing w:val="-2"/>
          <w:sz w:val="18"/>
        </w:rPr>
        <w:t xml:space="preserve"> </w:t>
      </w:r>
      <w:r>
        <w:rPr>
          <w:sz w:val="18"/>
        </w:rPr>
        <w:t>it</w:t>
      </w:r>
      <w:r>
        <w:rPr>
          <w:spacing w:val="-2"/>
          <w:sz w:val="18"/>
        </w:rPr>
        <w:t xml:space="preserve"> </w:t>
      </w:r>
      <w:r>
        <w:rPr>
          <w:sz w:val="18"/>
        </w:rPr>
        <w:t>is required to pay on behalf of federal entities.</w:t>
      </w:r>
    </w:p>
    <w:p w14:paraId="0DFDC853" w14:textId="77777777" w:rsidR="00046465" w:rsidRDefault="00046465">
      <w:pPr>
        <w:spacing w:line="242" w:lineRule="auto"/>
        <w:rPr>
          <w:sz w:val="18"/>
        </w:rPr>
        <w:sectPr w:rsidR="00046465">
          <w:headerReference w:type="default" r:id="rId233"/>
          <w:footerReference w:type="default" r:id="rId234"/>
          <w:pgSz w:w="12240" w:h="15840"/>
          <w:pgMar w:top="1340" w:right="720" w:bottom="940" w:left="1080" w:header="721" w:footer="757" w:gutter="0"/>
          <w:pgNumType w:start="1"/>
          <w:cols w:space="720"/>
        </w:sectPr>
      </w:pPr>
    </w:p>
    <w:p w14:paraId="0DFDC854" w14:textId="77777777" w:rsidR="00046465" w:rsidRDefault="008134EB">
      <w:pPr>
        <w:pStyle w:val="BodyText"/>
        <w:spacing w:before="121"/>
        <w:ind w:left="1799" w:right="749"/>
      </w:pPr>
      <w:r>
        <w:lastRenderedPageBreak/>
        <w:t>contingency</w:t>
      </w:r>
      <w:r>
        <w:rPr>
          <w:spacing w:val="-4"/>
        </w:rPr>
        <w:t xml:space="preserve"> </w:t>
      </w:r>
      <w:r>
        <w:t>exists,</w:t>
      </w:r>
      <w:r>
        <w:rPr>
          <w:spacing w:val="-3"/>
        </w:rPr>
        <w:t xml:space="preserve"> </w:t>
      </w:r>
      <w:r>
        <w:t>the</w:t>
      </w:r>
      <w:r>
        <w:rPr>
          <w:spacing w:val="-3"/>
        </w:rPr>
        <w:t xml:space="preserve"> </w:t>
      </w:r>
      <w:r>
        <w:t>likelihood</w:t>
      </w:r>
      <w:r>
        <w:rPr>
          <w:spacing w:val="-3"/>
        </w:rPr>
        <w:t xml:space="preserve"> </w:t>
      </w:r>
      <w:r>
        <w:t>that</w:t>
      </w:r>
      <w:r>
        <w:rPr>
          <w:spacing w:val="-3"/>
        </w:rPr>
        <w:t xml:space="preserve"> </w:t>
      </w:r>
      <w:r>
        <w:t>the</w:t>
      </w:r>
      <w:r>
        <w:rPr>
          <w:spacing w:val="-3"/>
        </w:rPr>
        <w:t xml:space="preserve"> </w:t>
      </w:r>
      <w:r>
        <w:t>future</w:t>
      </w:r>
      <w:r>
        <w:rPr>
          <w:spacing w:val="-4"/>
        </w:rPr>
        <w:t xml:space="preserve"> </w:t>
      </w:r>
      <w:r>
        <w:t>event</w:t>
      </w:r>
      <w:r>
        <w:rPr>
          <w:spacing w:val="-3"/>
        </w:rPr>
        <w:t xml:space="preserve"> </w:t>
      </w:r>
      <w:r>
        <w:t>or</w:t>
      </w:r>
      <w:r>
        <w:rPr>
          <w:spacing w:val="-3"/>
        </w:rPr>
        <w:t xml:space="preserve"> </w:t>
      </w:r>
      <w:r>
        <w:t>events</w:t>
      </w:r>
      <w:r>
        <w:rPr>
          <w:spacing w:val="-3"/>
        </w:rPr>
        <w:t xml:space="preserve"> </w:t>
      </w:r>
      <w:r>
        <w:t>will</w:t>
      </w:r>
      <w:r>
        <w:rPr>
          <w:spacing w:val="-3"/>
        </w:rPr>
        <w:t xml:space="preserve"> </w:t>
      </w:r>
      <w:r>
        <w:t>confirm</w:t>
      </w:r>
      <w:r>
        <w:rPr>
          <w:spacing w:val="-4"/>
        </w:rPr>
        <w:t xml:space="preserve"> </w:t>
      </w:r>
      <w:r>
        <w:t xml:space="preserve">the loss or impairment of an asset or the incurrence of a liability can range from probable to remote. SFFAS 5 and 12 use the terms probable, reasonably possible, and remote to identify three areas within the range of probability, as </w:t>
      </w:r>
      <w:r>
        <w:rPr>
          <w:spacing w:val="-2"/>
        </w:rPr>
        <w:t>follows:</w:t>
      </w:r>
    </w:p>
    <w:p w14:paraId="0DFDC855" w14:textId="77777777" w:rsidR="00046465" w:rsidRDefault="008134EB">
      <w:pPr>
        <w:pStyle w:val="ListParagraph"/>
        <w:numPr>
          <w:ilvl w:val="1"/>
          <w:numId w:val="65"/>
        </w:numPr>
        <w:tabs>
          <w:tab w:val="left" w:pos="2159"/>
        </w:tabs>
        <w:ind w:left="2159" w:right="784"/>
      </w:pPr>
      <w:r>
        <w:rPr>
          <w:b/>
        </w:rPr>
        <w:t xml:space="preserve">Probable: </w:t>
      </w:r>
      <w:r>
        <w:t>Generally, the future confirming event or events are more likely than</w:t>
      </w:r>
      <w:r>
        <w:rPr>
          <w:spacing w:val="-4"/>
        </w:rPr>
        <w:t xml:space="preserve"> </w:t>
      </w:r>
      <w:r>
        <w:t>not</w:t>
      </w:r>
      <w:r>
        <w:rPr>
          <w:spacing w:val="-4"/>
        </w:rPr>
        <w:t xml:space="preserve"> </w:t>
      </w:r>
      <w:r>
        <w:t>to</w:t>
      </w:r>
      <w:r>
        <w:rPr>
          <w:spacing w:val="-4"/>
        </w:rPr>
        <w:t xml:space="preserve"> </w:t>
      </w:r>
      <w:r>
        <w:t>occur.</w:t>
      </w:r>
      <w:r>
        <w:rPr>
          <w:spacing w:val="-4"/>
        </w:rPr>
        <w:t xml:space="preserve"> </w:t>
      </w:r>
      <w:r>
        <w:t>For</w:t>
      </w:r>
      <w:r>
        <w:rPr>
          <w:spacing w:val="-4"/>
        </w:rPr>
        <w:t xml:space="preserve"> </w:t>
      </w:r>
      <w:r>
        <w:t>pending</w:t>
      </w:r>
      <w:r>
        <w:rPr>
          <w:spacing w:val="-4"/>
        </w:rPr>
        <w:t xml:space="preserve"> </w:t>
      </w:r>
      <w:r>
        <w:t>or</w:t>
      </w:r>
      <w:r>
        <w:rPr>
          <w:spacing w:val="-4"/>
        </w:rPr>
        <w:t xml:space="preserve"> </w:t>
      </w:r>
      <w:r>
        <w:t>threatened</w:t>
      </w:r>
      <w:r>
        <w:rPr>
          <w:spacing w:val="-4"/>
        </w:rPr>
        <w:t xml:space="preserve"> </w:t>
      </w:r>
      <w:r>
        <w:t>litigation</w:t>
      </w:r>
      <w:r>
        <w:rPr>
          <w:spacing w:val="-4"/>
        </w:rPr>
        <w:t xml:space="preserve"> </w:t>
      </w:r>
      <w:r>
        <w:t>and</w:t>
      </w:r>
      <w:r>
        <w:rPr>
          <w:spacing w:val="-4"/>
        </w:rPr>
        <w:t xml:space="preserve"> </w:t>
      </w:r>
      <w:r>
        <w:t>unasserted</w:t>
      </w:r>
      <w:r>
        <w:rPr>
          <w:spacing w:val="-4"/>
        </w:rPr>
        <w:t xml:space="preserve"> </w:t>
      </w:r>
      <w:r>
        <w:t>claims, the future confirming event or events are likely to occur.</w:t>
      </w:r>
    </w:p>
    <w:p w14:paraId="0DFDC856" w14:textId="77777777" w:rsidR="00046465" w:rsidRDefault="008134EB">
      <w:pPr>
        <w:pStyle w:val="ListParagraph"/>
        <w:numPr>
          <w:ilvl w:val="1"/>
          <w:numId w:val="65"/>
        </w:numPr>
        <w:tabs>
          <w:tab w:val="left" w:pos="2159"/>
        </w:tabs>
        <w:spacing w:before="118"/>
        <w:ind w:left="2159" w:right="833"/>
      </w:pPr>
      <w:r>
        <w:rPr>
          <w:b/>
        </w:rPr>
        <w:t>Reasonably</w:t>
      </w:r>
      <w:r>
        <w:rPr>
          <w:b/>
          <w:spacing w:val="-4"/>
        </w:rPr>
        <w:t xml:space="preserve"> </w:t>
      </w:r>
      <w:r>
        <w:rPr>
          <w:b/>
        </w:rPr>
        <w:t>possible</w:t>
      </w:r>
      <w:r>
        <w:t>:</w:t>
      </w:r>
      <w:r>
        <w:rPr>
          <w:spacing w:val="-5"/>
        </w:rPr>
        <w:t xml:space="preserve"> </w:t>
      </w:r>
      <w:r>
        <w:t>The</w:t>
      </w:r>
      <w:r>
        <w:rPr>
          <w:spacing w:val="-4"/>
        </w:rPr>
        <w:t xml:space="preserve"> </w:t>
      </w:r>
      <w:r>
        <w:t>chance</w:t>
      </w:r>
      <w:r>
        <w:rPr>
          <w:spacing w:val="-5"/>
        </w:rPr>
        <w:t xml:space="preserve"> </w:t>
      </w:r>
      <w:r>
        <w:t>of</w:t>
      </w:r>
      <w:r>
        <w:rPr>
          <w:spacing w:val="-4"/>
        </w:rPr>
        <w:t xml:space="preserve"> </w:t>
      </w:r>
      <w:r>
        <w:t>the</w:t>
      </w:r>
      <w:r>
        <w:rPr>
          <w:spacing w:val="-4"/>
        </w:rPr>
        <w:t xml:space="preserve"> </w:t>
      </w:r>
      <w:r>
        <w:t>future</w:t>
      </w:r>
      <w:r>
        <w:rPr>
          <w:spacing w:val="-5"/>
        </w:rPr>
        <w:t xml:space="preserve"> </w:t>
      </w:r>
      <w:r>
        <w:t>event</w:t>
      </w:r>
      <w:r>
        <w:rPr>
          <w:spacing w:val="-4"/>
        </w:rPr>
        <w:t xml:space="preserve"> </w:t>
      </w:r>
      <w:r>
        <w:t>or</w:t>
      </w:r>
      <w:r>
        <w:rPr>
          <w:spacing w:val="-4"/>
        </w:rPr>
        <w:t xml:space="preserve"> </w:t>
      </w:r>
      <w:r>
        <w:t>events</w:t>
      </w:r>
      <w:r>
        <w:rPr>
          <w:spacing w:val="-4"/>
        </w:rPr>
        <w:t xml:space="preserve"> </w:t>
      </w:r>
      <w:r>
        <w:t>occurring</w:t>
      </w:r>
      <w:r>
        <w:rPr>
          <w:spacing w:val="-4"/>
        </w:rPr>
        <w:t xml:space="preserve"> </w:t>
      </w:r>
      <w:r>
        <w:t>is more than remote but less than probable.</w:t>
      </w:r>
    </w:p>
    <w:p w14:paraId="0DFDC857" w14:textId="77777777" w:rsidR="00046465" w:rsidRDefault="008134EB">
      <w:pPr>
        <w:pStyle w:val="ListParagraph"/>
        <w:numPr>
          <w:ilvl w:val="1"/>
          <w:numId w:val="65"/>
        </w:numPr>
        <w:tabs>
          <w:tab w:val="left" w:pos="2159"/>
        </w:tabs>
        <w:spacing w:before="118"/>
        <w:ind w:left="2159"/>
      </w:pPr>
      <w:r>
        <w:rPr>
          <w:b/>
        </w:rPr>
        <w:t>Remote:</w:t>
      </w:r>
      <w:r>
        <w:rPr>
          <w:b/>
          <w:spacing w:val="-6"/>
        </w:rPr>
        <w:t xml:space="preserve"> </w:t>
      </w:r>
      <w:r>
        <w:t>The</w:t>
      </w:r>
      <w:r>
        <w:rPr>
          <w:spacing w:val="-5"/>
        </w:rPr>
        <w:t xml:space="preserve"> </w:t>
      </w:r>
      <w:r>
        <w:t>chance</w:t>
      </w:r>
      <w:r>
        <w:rPr>
          <w:spacing w:val="-6"/>
        </w:rPr>
        <w:t xml:space="preserve"> </w:t>
      </w:r>
      <w:r>
        <w:t>of</w:t>
      </w:r>
      <w:r>
        <w:rPr>
          <w:spacing w:val="-6"/>
        </w:rPr>
        <w:t xml:space="preserve"> </w:t>
      </w:r>
      <w:r>
        <w:t>the</w:t>
      </w:r>
      <w:r>
        <w:rPr>
          <w:spacing w:val="-5"/>
        </w:rPr>
        <w:t xml:space="preserve"> </w:t>
      </w:r>
      <w:r>
        <w:t>future</w:t>
      </w:r>
      <w:r>
        <w:rPr>
          <w:spacing w:val="-5"/>
        </w:rPr>
        <w:t xml:space="preserve"> </w:t>
      </w:r>
      <w:r>
        <w:t>event</w:t>
      </w:r>
      <w:r>
        <w:rPr>
          <w:spacing w:val="-6"/>
        </w:rPr>
        <w:t xml:space="preserve"> </w:t>
      </w:r>
      <w:r>
        <w:t>or</w:t>
      </w:r>
      <w:r>
        <w:rPr>
          <w:spacing w:val="-5"/>
        </w:rPr>
        <w:t xml:space="preserve"> </w:t>
      </w:r>
      <w:r>
        <w:t>events</w:t>
      </w:r>
      <w:r>
        <w:rPr>
          <w:spacing w:val="-6"/>
        </w:rPr>
        <w:t xml:space="preserve"> </w:t>
      </w:r>
      <w:r>
        <w:t>occurring</w:t>
      </w:r>
      <w:r>
        <w:rPr>
          <w:spacing w:val="-6"/>
        </w:rPr>
        <w:t xml:space="preserve"> </w:t>
      </w:r>
      <w:r>
        <w:t>is</w:t>
      </w:r>
      <w:r>
        <w:rPr>
          <w:spacing w:val="-5"/>
        </w:rPr>
        <w:t xml:space="preserve"> </w:t>
      </w:r>
      <w:r>
        <w:rPr>
          <w:spacing w:val="-2"/>
        </w:rPr>
        <w:t>slight.</w:t>
      </w:r>
    </w:p>
    <w:p w14:paraId="0DFDC858" w14:textId="77777777" w:rsidR="00046465" w:rsidRDefault="008134EB">
      <w:pPr>
        <w:pStyle w:val="ListParagraph"/>
        <w:numPr>
          <w:ilvl w:val="0"/>
          <w:numId w:val="65"/>
        </w:numPr>
        <w:tabs>
          <w:tab w:val="left" w:pos="1799"/>
        </w:tabs>
        <w:spacing w:before="119"/>
        <w:ind w:left="1799" w:right="1203"/>
        <w:rPr>
          <w:position w:val="7"/>
          <w:sz w:val="14"/>
        </w:rPr>
      </w:pPr>
      <w:r>
        <w:t>The</w:t>
      </w:r>
      <w:r>
        <w:rPr>
          <w:spacing w:val="-3"/>
        </w:rPr>
        <w:t xml:space="preserve"> </w:t>
      </w:r>
      <w:r>
        <w:t>entity</w:t>
      </w:r>
      <w:r>
        <w:rPr>
          <w:spacing w:val="-3"/>
        </w:rPr>
        <w:t xml:space="preserve"> </w:t>
      </w:r>
      <w:r>
        <w:t>should</w:t>
      </w:r>
      <w:r>
        <w:rPr>
          <w:spacing w:val="-3"/>
        </w:rPr>
        <w:t xml:space="preserve"> </w:t>
      </w:r>
      <w:r>
        <w:t>recognize</w:t>
      </w:r>
      <w:r>
        <w:rPr>
          <w:spacing w:val="-3"/>
        </w:rPr>
        <w:t xml:space="preserve"> </w:t>
      </w:r>
      <w:r>
        <w:t>a</w:t>
      </w:r>
      <w:r>
        <w:rPr>
          <w:spacing w:val="-3"/>
        </w:rPr>
        <w:t xml:space="preserve"> </w:t>
      </w:r>
      <w:r>
        <w:t>liability</w:t>
      </w:r>
      <w:r>
        <w:rPr>
          <w:spacing w:val="-3"/>
        </w:rPr>
        <w:t xml:space="preserve"> </w:t>
      </w:r>
      <w:r>
        <w:t>and</w:t>
      </w:r>
      <w:r>
        <w:rPr>
          <w:spacing w:val="-3"/>
        </w:rPr>
        <w:t xml:space="preserve"> </w:t>
      </w:r>
      <w:r>
        <w:t>a</w:t>
      </w:r>
      <w:r>
        <w:rPr>
          <w:spacing w:val="-3"/>
        </w:rPr>
        <w:t xml:space="preserve"> </w:t>
      </w:r>
      <w:r>
        <w:t>related</w:t>
      </w:r>
      <w:r>
        <w:rPr>
          <w:spacing w:val="-3"/>
        </w:rPr>
        <w:t xml:space="preserve"> </w:t>
      </w:r>
      <w:r>
        <w:t>charge</w:t>
      </w:r>
      <w:r>
        <w:rPr>
          <w:spacing w:val="-3"/>
        </w:rPr>
        <w:t xml:space="preserve"> </w:t>
      </w:r>
      <w:r>
        <w:t>to</w:t>
      </w:r>
      <w:r>
        <w:rPr>
          <w:spacing w:val="-4"/>
        </w:rPr>
        <w:t xml:space="preserve"> </w:t>
      </w:r>
      <w:r>
        <w:t>expense</w:t>
      </w:r>
      <w:r>
        <w:rPr>
          <w:spacing w:val="-3"/>
        </w:rPr>
        <w:t xml:space="preserve"> </w:t>
      </w:r>
      <w:r>
        <w:t>for</w:t>
      </w:r>
      <w:r>
        <w:rPr>
          <w:spacing w:val="-4"/>
        </w:rPr>
        <w:t xml:space="preserve"> </w:t>
      </w:r>
      <w:r>
        <w:t>an estimated loss from a loss contingency only when</w:t>
      </w:r>
      <w:hyperlink w:anchor="_bookmark218" w:history="1">
        <w:r>
          <w:rPr>
            <w:position w:val="7"/>
            <w:sz w:val="14"/>
          </w:rPr>
          <w:t>9</w:t>
        </w:r>
      </w:hyperlink>
    </w:p>
    <w:p w14:paraId="0DFDC859" w14:textId="77777777" w:rsidR="00046465" w:rsidRDefault="008134EB">
      <w:pPr>
        <w:pStyle w:val="ListParagraph"/>
        <w:numPr>
          <w:ilvl w:val="1"/>
          <w:numId w:val="65"/>
        </w:numPr>
        <w:tabs>
          <w:tab w:val="left" w:pos="2159"/>
        </w:tabs>
        <w:ind w:left="2159"/>
      </w:pPr>
      <w:r>
        <w:t>a</w:t>
      </w:r>
      <w:r>
        <w:rPr>
          <w:spacing w:val="-6"/>
        </w:rPr>
        <w:t xml:space="preserve"> </w:t>
      </w:r>
      <w:r>
        <w:t>past</w:t>
      </w:r>
      <w:r>
        <w:rPr>
          <w:spacing w:val="-6"/>
        </w:rPr>
        <w:t xml:space="preserve"> </w:t>
      </w:r>
      <w:r>
        <w:t>event</w:t>
      </w:r>
      <w:r>
        <w:rPr>
          <w:spacing w:val="-6"/>
        </w:rPr>
        <w:t xml:space="preserve"> </w:t>
      </w:r>
      <w:r>
        <w:t>or</w:t>
      </w:r>
      <w:r>
        <w:rPr>
          <w:spacing w:val="-5"/>
        </w:rPr>
        <w:t xml:space="preserve"> </w:t>
      </w:r>
      <w:r>
        <w:t>exchange</w:t>
      </w:r>
      <w:r>
        <w:rPr>
          <w:spacing w:val="-6"/>
        </w:rPr>
        <w:t xml:space="preserve"> </w:t>
      </w:r>
      <w:r>
        <w:t>transaction</w:t>
      </w:r>
      <w:r>
        <w:rPr>
          <w:spacing w:val="-6"/>
        </w:rPr>
        <w:t xml:space="preserve"> </w:t>
      </w:r>
      <w:r>
        <w:t>has</w:t>
      </w:r>
      <w:r>
        <w:rPr>
          <w:spacing w:val="-5"/>
        </w:rPr>
        <w:t xml:space="preserve"> </w:t>
      </w:r>
      <w:r>
        <w:rPr>
          <w:spacing w:val="-2"/>
        </w:rPr>
        <w:t>occurred,</w:t>
      </w:r>
    </w:p>
    <w:p w14:paraId="0DFDC85A" w14:textId="77777777" w:rsidR="00046465" w:rsidRDefault="008134EB">
      <w:pPr>
        <w:pStyle w:val="ListParagraph"/>
        <w:numPr>
          <w:ilvl w:val="1"/>
          <w:numId w:val="65"/>
        </w:numPr>
        <w:tabs>
          <w:tab w:val="left" w:pos="2159"/>
        </w:tabs>
        <w:spacing w:before="118"/>
        <w:ind w:left="2159"/>
      </w:pPr>
      <w:r>
        <w:t>a</w:t>
      </w:r>
      <w:r>
        <w:rPr>
          <w:spacing w:val="-6"/>
        </w:rPr>
        <w:t xml:space="preserve"> </w:t>
      </w:r>
      <w:r>
        <w:t>future</w:t>
      </w:r>
      <w:r>
        <w:rPr>
          <w:spacing w:val="-6"/>
        </w:rPr>
        <w:t xml:space="preserve"> </w:t>
      </w:r>
      <w:r>
        <w:t>outflow</w:t>
      </w:r>
      <w:r>
        <w:rPr>
          <w:spacing w:val="-6"/>
        </w:rPr>
        <w:t xml:space="preserve"> </w:t>
      </w:r>
      <w:r>
        <w:t>or</w:t>
      </w:r>
      <w:r>
        <w:rPr>
          <w:spacing w:val="-6"/>
        </w:rPr>
        <w:t xml:space="preserve"> </w:t>
      </w:r>
      <w:r>
        <w:t>other</w:t>
      </w:r>
      <w:r>
        <w:rPr>
          <w:spacing w:val="-6"/>
        </w:rPr>
        <w:t xml:space="preserve"> </w:t>
      </w:r>
      <w:r>
        <w:t>sacrifice</w:t>
      </w:r>
      <w:r>
        <w:rPr>
          <w:spacing w:val="-5"/>
        </w:rPr>
        <w:t xml:space="preserve"> </w:t>
      </w:r>
      <w:r>
        <w:t>of</w:t>
      </w:r>
      <w:r>
        <w:rPr>
          <w:spacing w:val="-6"/>
        </w:rPr>
        <w:t xml:space="preserve"> </w:t>
      </w:r>
      <w:r>
        <w:t>resources</w:t>
      </w:r>
      <w:r>
        <w:rPr>
          <w:spacing w:val="-5"/>
        </w:rPr>
        <w:t xml:space="preserve"> </w:t>
      </w:r>
      <w:r>
        <w:t>is</w:t>
      </w:r>
      <w:r>
        <w:rPr>
          <w:spacing w:val="-7"/>
        </w:rPr>
        <w:t xml:space="preserve"> </w:t>
      </w:r>
      <w:r>
        <w:t>probable,</w:t>
      </w:r>
      <w:r>
        <w:rPr>
          <w:spacing w:val="-6"/>
        </w:rPr>
        <w:t xml:space="preserve"> </w:t>
      </w:r>
      <w:r>
        <w:rPr>
          <w:spacing w:val="-5"/>
        </w:rPr>
        <w:t>and</w:t>
      </w:r>
    </w:p>
    <w:p w14:paraId="0DFDC85B" w14:textId="77777777" w:rsidR="00046465" w:rsidRDefault="008134EB">
      <w:pPr>
        <w:pStyle w:val="ListParagraph"/>
        <w:numPr>
          <w:ilvl w:val="1"/>
          <w:numId w:val="65"/>
        </w:numPr>
        <w:tabs>
          <w:tab w:val="left" w:pos="2159"/>
        </w:tabs>
        <w:spacing w:before="118"/>
        <w:ind w:left="2159"/>
      </w:pPr>
      <w:r>
        <w:t>the</w:t>
      </w:r>
      <w:r>
        <w:rPr>
          <w:spacing w:val="-6"/>
        </w:rPr>
        <w:t xml:space="preserve"> </w:t>
      </w:r>
      <w:r>
        <w:t>future</w:t>
      </w:r>
      <w:r>
        <w:rPr>
          <w:spacing w:val="-5"/>
        </w:rPr>
        <w:t xml:space="preserve"> </w:t>
      </w:r>
      <w:r>
        <w:t>outflow</w:t>
      </w:r>
      <w:r>
        <w:rPr>
          <w:spacing w:val="-6"/>
        </w:rPr>
        <w:t xml:space="preserve"> </w:t>
      </w:r>
      <w:r>
        <w:t>or</w:t>
      </w:r>
      <w:r>
        <w:rPr>
          <w:spacing w:val="-5"/>
        </w:rPr>
        <w:t xml:space="preserve"> </w:t>
      </w:r>
      <w:r>
        <w:t>sacrifice</w:t>
      </w:r>
      <w:r>
        <w:rPr>
          <w:spacing w:val="-6"/>
        </w:rPr>
        <w:t xml:space="preserve"> </w:t>
      </w:r>
      <w:r>
        <w:t>of</w:t>
      </w:r>
      <w:r>
        <w:rPr>
          <w:spacing w:val="-6"/>
        </w:rPr>
        <w:t xml:space="preserve"> </w:t>
      </w:r>
      <w:r>
        <w:t>resources</w:t>
      </w:r>
      <w:r>
        <w:rPr>
          <w:spacing w:val="-5"/>
        </w:rPr>
        <w:t xml:space="preserve"> </w:t>
      </w:r>
      <w:r>
        <w:t>is</w:t>
      </w:r>
      <w:r>
        <w:rPr>
          <w:spacing w:val="-5"/>
        </w:rPr>
        <w:t xml:space="preserve"> </w:t>
      </w:r>
      <w:r>
        <w:rPr>
          <w:spacing w:val="-2"/>
        </w:rPr>
        <w:t>measurable.</w:t>
      </w:r>
    </w:p>
    <w:p w14:paraId="0DFDC85C" w14:textId="77777777" w:rsidR="00046465" w:rsidRDefault="008134EB">
      <w:pPr>
        <w:pStyle w:val="ListParagraph"/>
        <w:numPr>
          <w:ilvl w:val="0"/>
          <w:numId w:val="65"/>
        </w:numPr>
        <w:tabs>
          <w:tab w:val="left" w:pos="1799"/>
        </w:tabs>
        <w:spacing w:before="118"/>
        <w:ind w:left="1799" w:right="1032"/>
      </w:pPr>
      <w:r>
        <w:t>Disclosure</w:t>
      </w:r>
      <w:r>
        <w:rPr>
          <w:spacing w:val="-4"/>
        </w:rPr>
        <w:t xml:space="preserve"> </w:t>
      </w:r>
      <w:r>
        <w:t>of</w:t>
      </w:r>
      <w:r>
        <w:rPr>
          <w:spacing w:val="-4"/>
        </w:rPr>
        <w:t xml:space="preserve"> </w:t>
      </w:r>
      <w:r>
        <w:t>the</w:t>
      </w:r>
      <w:r>
        <w:rPr>
          <w:spacing w:val="-4"/>
        </w:rPr>
        <w:t xml:space="preserve"> </w:t>
      </w:r>
      <w:r>
        <w:t>nature</w:t>
      </w:r>
      <w:r>
        <w:rPr>
          <w:spacing w:val="-5"/>
        </w:rPr>
        <w:t xml:space="preserve"> </w:t>
      </w:r>
      <w:r>
        <w:t>of</w:t>
      </w:r>
      <w:r>
        <w:rPr>
          <w:spacing w:val="-4"/>
        </w:rPr>
        <w:t xml:space="preserve"> </w:t>
      </w:r>
      <w:r>
        <w:t>an</w:t>
      </w:r>
      <w:r>
        <w:rPr>
          <w:spacing w:val="-4"/>
        </w:rPr>
        <w:t xml:space="preserve"> </w:t>
      </w:r>
      <w:r>
        <w:t>accrued</w:t>
      </w:r>
      <w:r>
        <w:rPr>
          <w:spacing w:val="-4"/>
        </w:rPr>
        <w:t xml:space="preserve"> </w:t>
      </w:r>
      <w:r>
        <w:t>liability</w:t>
      </w:r>
      <w:r>
        <w:rPr>
          <w:spacing w:val="-4"/>
        </w:rPr>
        <w:t xml:space="preserve"> </w:t>
      </w:r>
      <w:r>
        <w:t>for</w:t>
      </w:r>
      <w:r>
        <w:rPr>
          <w:spacing w:val="-6"/>
        </w:rPr>
        <w:t xml:space="preserve"> </w:t>
      </w:r>
      <w:r>
        <w:t>loss</w:t>
      </w:r>
      <w:r>
        <w:rPr>
          <w:spacing w:val="-4"/>
        </w:rPr>
        <w:t xml:space="preserve"> </w:t>
      </w:r>
      <w:r>
        <w:t>contingencies,</w:t>
      </w:r>
      <w:r>
        <w:rPr>
          <w:spacing w:val="-4"/>
        </w:rPr>
        <w:t xml:space="preserve"> </w:t>
      </w:r>
      <w:r>
        <w:t>including the amount accrued, may be necessary for the financial statements to not be misleading. For example, if the amount accrued is large or unusual, the entity should determine whether to disclose the contingency.</w:t>
      </w:r>
    </w:p>
    <w:p w14:paraId="0DFDC85D" w14:textId="77777777" w:rsidR="00046465" w:rsidRDefault="008134EB">
      <w:pPr>
        <w:pStyle w:val="BodyText"/>
        <w:spacing w:before="120"/>
        <w:ind w:left="1799" w:right="726"/>
      </w:pPr>
      <w:r>
        <w:t>If no accrual is made for a loss contingency because one or more of the conditions in FAM 1002.05 are not met, and there is at least a reasonable possibility</w:t>
      </w:r>
      <w:r>
        <w:rPr>
          <w:spacing w:val="-3"/>
        </w:rPr>
        <w:t xml:space="preserve"> </w:t>
      </w:r>
      <w:r>
        <w:t>that</w:t>
      </w:r>
      <w:r>
        <w:rPr>
          <w:spacing w:val="-3"/>
        </w:rPr>
        <w:t xml:space="preserve"> </w:t>
      </w:r>
      <w:r>
        <w:t>a</w:t>
      </w:r>
      <w:r>
        <w:rPr>
          <w:spacing w:val="-3"/>
        </w:rPr>
        <w:t xml:space="preserve"> </w:t>
      </w:r>
      <w:r>
        <w:t>loss</w:t>
      </w:r>
      <w:r>
        <w:rPr>
          <w:spacing w:val="-3"/>
        </w:rPr>
        <w:t xml:space="preserve"> </w:t>
      </w:r>
      <w:r>
        <w:t>may</w:t>
      </w:r>
      <w:r>
        <w:rPr>
          <w:spacing w:val="-3"/>
        </w:rPr>
        <w:t xml:space="preserve"> </w:t>
      </w:r>
      <w:r>
        <w:t>be</w:t>
      </w:r>
      <w:r>
        <w:rPr>
          <w:spacing w:val="-3"/>
        </w:rPr>
        <w:t xml:space="preserve"> </w:t>
      </w:r>
      <w:r>
        <w:t>incurred,</w:t>
      </w:r>
      <w:r>
        <w:rPr>
          <w:spacing w:val="-3"/>
        </w:rPr>
        <w:t xml:space="preserve"> </w:t>
      </w:r>
      <w:r>
        <w:t>the</w:t>
      </w:r>
      <w:r>
        <w:rPr>
          <w:spacing w:val="-3"/>
        </w:rPr>
        <w:t xml:space="preserve"> </w:t>
      </w:r>
      <w:r>
        <w:t>entity</w:t>
      </w:r>
      <w:r>
        <w:rPr>
          <w:spacing w:val="-4"/>
        </w:rPr>
        <w:t xml:space="preserve"> </w:t>
      </w:r>
      <w:r>
        <w:t>should</w:t>
      </w:r>
      <w:r>
        <w:rPr>
          <w:spacing w:val="-3"/>
        </w:rPr>
        <w:t xml:space="preserve"> </w:t>
      </w:r>
      <w:r>
        <w:t>disclose</w:t>
      </w:r>
      <w:r>
        <w:rPr>
          <w:spacing w:val="-3"/>
        </w:rPr>
        <w:t xml:space="preserve"> </w:t>
      </w:r>
      <w:r>
        <w:t>the</w:t>
      </w:r>
      <w:r>
        <w:rPr>
          <w:spacing w:val="-3"/>
        </w:rPr>
        <w:t xml:space="preserve"> </w:t>
      </w:r>
      <w:r>
        <w:t>nature</w:t>
      </w:r>
      <w:r>
        <w:rPr>
          <w:spacing w:val="-3"/>
        </w:rPr>
        <w:t xml:space="preserve"> </w:t>
      </w:r>
      <w:r>
        <w:t>of</w:t>
      </w:r>
      <w:r>
        <w:rPr>
          <w:spacing w:val="-3"/>
        </w:rPr>
        <w:t xml:space="preserve"> </w:t>
      </w:r>
      <w:r>
        <w:t>the contingency and provide an estimate of the possible liability or range of possible liability, if estimable, or a statement that such an estimate cannot be made. The reporting of contingent losses depends on the likelihood that a future event or events will confirm the loss or impairment of an asset or the incurrence of a liability. Terms used to assess the likelihood of loss are probable, reasonably possible, and remote as discussed in FAM 1002.04.</w:t>
      </w:r>
    </w:p>
    <w:p w14:paraId="0DFDC85E" w14:textId="77777777" w:rsidR="00046465" w:rsidRDefault="008134EB">
      <w:pPr>
        <w:pStyle w:val="ListParagraph"/>
        <w:numPr>
          <w:ilvl w:val="0"/>
          <w:numId w:val="65"/>
        </w:numPr>
        <w:tabs>
          <w:tab w:val="left" w:pos="1799"/>
        </w:tabs>
        <w:spacing w:before="121"/>
        <w:ind w:left="1799" w:right="787"/>
      </w:pPr>
      <w:r>
        <w:t>Contingent</w:t>
      </w:r>
      <w:r>
        <w:rPr>
          <w:spacing w:val="-4"/>
        </w:rPr>
        <w:t xml:space="preserve"> </w:t>
      </w:r>
      <w:r>
        <w:t>losses</w:t>
      </w:r>
      <w:r>
        <w:rPr>
          <w:spacing w:val="-4"/>
        </w:rPr>
        <w:t xml:space="preserve"> </w:t>
      </w:r>
      <w:r>
        <w:t>that</w:t>
      </w:r>
      <w:r>
        <w:rPr>
          <w:spacing w:val="-4"/>
        </w:rPr>
        <w:t xml:space="preserve"> </w:t>
      </w:r>
      <w:r>
        <w:t>are</w:t>
      </w:r>
      <w:r>
        <w:rPr>
          <w:spacing w:val="-4"/>
        </w:rPr>
        <w:t xml:space="preserve"> </w:t>
      </w:r>
      <w:r>
        <w:t>assessed</w:t>
      </w:r>
      <w:r>
        <w:rPr>
          <w:spacing w:val="-5"/>
        </w:rPr>
        <w:t xml:space="preserve"> </w:t>
      </w:r>
      <w:r>
        <w:t>as</w:t>
      </w:r>
      <w:r>
        <w:rPr>
          <w:spacing w:val="-4"/>
        </w:rPr>
        <w:t xml:space="preserve"> </w:t>
      </w:r>
      <w:r>
        <w:t>probable</w:t>
      </w:r>
      <w:r>
        <w:rPr>
          <w:spacing w:val="-5"/>
        </w:rPr>
        <w:t xml:space="preserve"> </w:t>
      </w:r>
      <w:r>
        <w:t>and</w:t>
      </w:r>
      <w:r>
        <w:rPr>
          <w:spacing w:val="-4"/>
        </w:rPr>
        <w:t xml:space="preserve"> </w:t>
      </w:r>
      <w:r>
        <w:t>measurable</w:t>
      </w:r>
      <w:r>
        <w:rPr>
          <w:spacing w:val="-4"/>
        </w:rPr>
        <w:t xml:space="preserve"> </w:t>
      </w:r>
      <w:r>
        <w:t>are</w:t>
      </w:r>
      <w:r>
        <w:rPr>
          <w:spacing w:val="-4"/>
        </w:rPr>
        <w:t xml:space="preserve"> </w:t>
      </w:r>
      <w:r>
        <w:t>accrued</w:t>
      </w:r>
      <w:r>
        <w:rPr>
          <w:spacing w:val="-4"/>
        </w:rPr>
        <w:t xml:space="preserve"> </w:t>
      </w:r>
      <w:r>
        <w:t>in the financial statements. Losses that are assessed to be at least reasonably possible are disclosed in the notes. In addition, if the Judgment Fund might be involved in the payment of the possible loss, the entity should discuss the Judgment Fund’s role in a note to the financial statements.</w:t>
      </w:r>
    </w:p>
    <w:p w14:paraId="0DFDC85F" w14:textId="77777777" w:rsidR="00046465" w:rsidRDefault="008134EB">
      <w:pPr>
        <w:pStyle w:val="BodyText"/>
        <w:spacing w:before="120"/>
        <w:ind w:left="1799" w:right="749"/>
      </w:pPr>
      <w:r>
        <w:t>For an overview of the standards that provide criteria for how entities are to account</w:t>
      </w:r>
      <w:r>
        <w:rPr>
          <w:spacing w:val="-4"/>
        </w:rPr>
        <w:t xml:space="preserve"> </w:t>
      </w:r>
      <w:r>
        <w:t>for</w:t>
      </w:r>
      <w:r>
        <w:rPr>
          <w:spacing w:val="-5"/>
        </w:rPr>
        <w:t xml:space="preserve"> </w:t>
      </w:r>
      <w:r>
        <w:t>contingent</w:t>
      </w:r>
      <w:r>
        <w:rPr>
          <w:spacing w:val="-4"/>
        </w:rPr>
        <w:t xml:space="preserve"> </w:t>
      </w:r>
      <w:r>
        <w:t>losses</w:t>
      </w:r>
      <w:r>
        <w:rPr>
          <w:spacing w:val="-4"/>
        </w:rPr>
        <w:t xml:space="preserve"> </w:t>
      </w:r>
      <w:r>
        <w:t>based</w:t>
      </w:r>
      <w:r>
        <w:rPr>
          <w:spacing w:val="-4"/>
        </w:rPr>
        <w:t xml:space="preserve"> </w:t>
      </w:r>
      <w:r>
        <w:t>on</w:t>
      </w:r>
      <w:r>
        <w:rPr>
          <w:spacing w:val="-4"/>
        </w:rPr>
        <w:t xml:space="preserve"> </w:t>
      </w:r>
      <w:r>
        <w:t>the</w:t>
      </w:r>
      <w:r>
        <w:rPr>
          <w:spacing w:val="-4"/>
        </w:rPr>
        <w:t xml:space="preserve"> </w:t>
      </w:r>
      <w:r>
        <w:t>likelihood</w:t>
      </w:r>
      <w:r>
        <w:rPr>
          <w:spacing w:val="-4"/>
        </w:rPr>
        <w:t xml:space="preserve"> </w:t>
      </w:r>
      <w:r>
        <w:t>of</w:t>
      </w:r>
      <w:r>
        <w:rPr>
          <w:spacing w:val="-4"/>
        </w:rPr>
        <w:t xml:space="preserve"> </w:t>
      </w:r>
      <w:r>
        <w:t>loss</w:t>
      </w:r>
      <w:r>
        <w:rPr>
          <w:spacing w:val="-4"/>
        </w:rPr>
        <w:t xml:space="preserve"> </w:t>
      </w:r>
      <w:r>
        <w:t>and</w:t>
      </w:r>
      <w:r>
        <w:rPr>
          <w:spacing w:val="-4"/>
        </w:rPr>
        <w:t xml:space="preserve"> </w:t>
      </w:r>
      <w:r>
        <w:t>measurability, see table 1002.1.</w:t>
      </w:r>
    </w:p>
    <w:p w14:paraId="0DFDC860" w14:textId="77777777" w:rsidR="00046465" w:rsidRDefault="00046465">
      <w:pPr>
        <w:pStyle w:val="BodyText"/>
        <w:rPr>
          <w:sz w:val="20"/>
        </w:rPr>
      </w:pPr>
    </w:p>
    <w:p w14:paraId="0DFDC861" w14:textId="77777777" w:rsidR="00046465" w:rsidRDefault="00046465">
      <w:pPr>
        <w:pStyle w:val="BodyText"/>
        <w:rPr>
          <w:sz w:val="20"/>
        </w:rPr>
      </w:pPr>
    </w:p>
    <w:p w14:paraId="0DFDC862" w14:textId="77777777" w:rsidR="00046465" w:rsidRDefault="00046465">
      <w:pPr>
        <w:pStyle w:val="BodyText"/>
        <w:rPr>
          <w:sz w:val="20"/>
        </w:rPr>
      </w:pPr>
    </w:p>
    <w:p w14:paraId="0DFDC863" w14:textId="77777777" w:rsidR="00046465" w:rsidRDefault="008134EB">
      <w:pPr>
        <w:pStyle w:val="BodyText"/>
        <w:spacing w:before="165"/>
        <w:rPr>
          <w:sz w:val="20"/>
        </w:rPr>
      </w:pPr>
      <w:r>
        <w:rPr>
          <w:noProof/>
          <w:sz w:val="20"/>
        </w:rPr>
        <mc:AlternateContent>
          <mc:Choice Requires="wps">
            <w:drawing>
              <wp:anchor distT="0" distB="0" distL="0" distR="0" simplePos="0" relativeHeight="487735808" behindDoc="1" locked="0" layoutInCell="1" allowOverlap="1" wp14:anchorId="0DFDD755" wp14:editId="0DFDD756">
                <wp:simplePos x="0" y="0"/>
                <wp:positionH relativeFrom="page">
                  <wp:posOffset>914400</wp:posOffset>
                </wp:positionH>
                <wp:positionV relativeFrom="paragraph">
                  <wp:posOffset>266443</wp:posOffset>
                </wp:positionV>
                <wp:extent cx="1828800" cy="5715"/>
                <wp:effectExtent l="0" t="0" r="0" b="0"/>
                <wp:wrapTopAndBottom/>
                <wp:docPr id="1106" name="Graphic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B5ECD1" id="Graphic 1106" o:spid="_x0000_s1026" style="position:absolute;margin-left:1in;margin-top:21pt;width:2in;height:.45pt;z-index:-1558067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" path="m1828800,l,,,5333r1828800,l1828800,xe" fillcolor="black" stroked="f">
                <v:path arrowok="t"/>
                <w10:wrap type="topAndBottom" anchorx="page"/>
              </v:shape>
            </w:pict>
          </mc:Fallback>
        </mc:AlternateContent>
      </w:r>
    </w:p>
    <w:p w14:paraId="0DFDC864" w14:textId="77777777" w:rsidR="00046465" w:rsidRDefault="008134EB">
      <w:pPr>
        <w:spacing w:before="200" w:line="242" w:lineRule="auto"/>
        <w:ind w:left="360" w:right="749" w:hanging="1"/>
        <w:rPr>
          <w:sz w:val="18"/>
        </w:rPr>
      </w:pPr>
      <w:bookmarkStart w:id="386" w:name="_bookmark218"/>
      <w:bookmarkEnd w:id="386"/>
      <w:r>
        <w:rPr>
          <w:position w:val="7"/>
          <w:sz w:val="14"/>
        </w:rPr>
        <w:t>9</w:t>
      </w:r>
      <w:r>
        <w:rPr>
          <w:sz w:val="18"/>
        </w:rPr>
        <w:t>If</w:t>
      </w:r>
      <w:r>
        <w:rPr>
          <w:spacing w:val="-2"/>
          <w:sz w:val="18"/>
        </w:rPr>
        <w:t xml:space="preserve"> </w:t>
      </w:r>
      <w:r>
        <w:rPr>
          <w:sz w:val="18"/>
        </w:rPr>
        <w:t>the</w:t>
      </w:r>
      <w:r>
        <w:rPr>
          <w:spacing w:val="-3"/>
          <w:sz w:val="18"/>
        </w:rPr>
        <w:t xml:space="preserve"> </w:t>
      </w:r>
      <w:r>
        <w:rPr>
          <w:sz w:val="18"/>
        </w:rPr>
        <w:t>Judgment</w:t>
      </w:r>
      <w:r>
        <w:rPr>
          <w:spacing w:val="-2"/>
          <w:sz w:val="18"/>
        </w:rPr>
        <w:t xml:space="preserve"> </w:t>
      </w:r>
      <w:r>
        <w:rPr>
          <w:sz w:val="18"/>
        </w:rPr>
        <w:t>Fund</w:t>
      </w:r>
      <w:r>
        <w:rPr>
          <w:spacing w:val="-3"/>
          <w:sz w:val="18"/>
        </w:rPr>
        <w:t xml:space="preserve"> </w:t>
      </w:r>
      <w:r>
        <w:rPr>
          <w:sz w:val="18"/>
        </w:rPr>
        <w:t>will</w:t>
      </w:r>
      <w:r>
        <w:rPr>
          <w:spacing w:val="-2"/>
          <w:sz w:val="18"/>
        </w:rPr>
        <w:t xml:space="preserve"> </w:t>
      </w:r>
      <w:r>
        <w:rPr>
          <w:sz w:val="18"/>
        </w:rPr>
        <w:t>pay</w:t>
      </w:r>
      <w:r>
        <w:rPr>
          <w:spacing w:val="-2"/>
          <w:sz w:val="18"/>
        </w:rPr>
        <w:t xml:space="preserve"> </w:t>
      </w:r>
      <w:r>
        <w:rPr>
          <w:sz w:val="18"/>
        </w:rPr>
        <w:t>the</w:t>
      </w:r>
      <w:r>
        <w:rPr>
          <w:spacing w:val="-3"/>
          <w:sz w:val="18"/>
        </w:rPr>
        <w:t xml:space="preserve"> </w:t>
      </w:r>
      <w:r>
        <w:rPr>
          <w:sz w:val="18"/>
        </w:rPr>
        <w:t>claim,</w:t>
      </w:r>
      <w:r>
        <w:rPr>
          <w:spacing w:val="-2"/>
          <w:sz w:val="18"/>
        </w:rPr>
        <w:t xml:space="preserve"> </w:t>
      </w:r>
      <w:r>
        <w:rPr>
          <w:sz w:val="18"/>
        </w:rPr>
        <w:t>the</w:t>
      </w:r>
      <w:r>
        <w:rPr>
          <w:spacing w:val="-3"/>
          <w:sz w:val="18"/>
        </w:rPr>
        <w:t xml:space="preserve"> </w:t>
      </w:r>
      <w:r>
        <w:rPr>
          <w:sz w:val="18"/>
        </w:rPr>
        <w:t>entity</w:t>
      </w:r>
      <w:r>
        <w:rPr>
          <w:spacing w:val="-2"/>
          <w:sz w:val="18"/>
        </w:rPr>
        <w:t xml:space="preserve"> </w:t>
      </w:r>
      <w:r>
        <w:rPr>
          <w:sz w:val="18"/>
        </w:rPr>
        <w:t>still</w:t>
      </w:r>
      <w:r>
        <w:rPr>
          <w:spacing w:val="-2"/>
          <w:sz w:val="18"/>
        </w:rPr>
        <w:t xml:space="preserve"> </w:t>
      </w:r>
      <w:r>
        <w:rPr>
          <w:sz w:val="18"/>
        </w:rPr>
        <w:t>recognizes</w:t>
      </w:r>
      <w:r>
        <w:rPr>
          <w:spacing w:val="-2"/>
          <w:sz w:val="18"/>
        </w:rPr>
        <w:t xml:space="preserve"> </w:t>
      </w:r>
      <w:r>
        <w:rPr>
          <w:sz w:val="18"/>
        </w:rPr>
        <w:t>the</w:t>
      </w:r>
      <w:r>
        <w:rPr>
          <w:spacing w:val="-3"/>
          <w:sz w:val="18"/>
        </w:rPr>
        <w:t xml:space="preserve"> </w:t>
      </w:r>
      <w:r>
        <w:rPr>
          <w:sz w:val="18"/>
        </w:rPr>
        <w:t>liability</w:t>
      </w:r>
      <w:r>
        <w:rPr>
          <w:spacing w:val="-2"/>
          <w:sz w:val="18"/>
        </w:rPr>
        <w:t xml:space="preserve"> </w:t>
      </w:r>
      <w:r>
        <w:rPr>
          <w:sz w:val="18"/>
        </w:rPr>
        <w:t>and</w:t>
      </w:r>
      <w:r>
        <w:rPr>
          <w:spacing w:val="-3"/>
          <w:sz w:val="18"/>
        </w:rPr>
        <w:t xml:space="preserve"> </w:t>
      </w:r>
      <w:r>
        <w:rPr>
          <w:sz w:val="18"/>
        </w:rPr>
        <w:t>cost</w:t>
      </w:r>
      <w:r>
        <w:rPr>
          <w:spacing w:val="-2"/>
          <w:sz w:val="18"/>
        </w:rPr>
        <w:t xml:space="preserve"> </w:t>
      </w:r>
      <w:r>
        <w:rPr>
          <w:sz w:val="18"/>
        </w:rPr>
        <w:t>at</w:t>
      </w:r>
      <w:r>
        <w:rPr>
          <w:spacing w:val="-2"/>
          <w:sz w:val="18"/>
        </w:rPr>
        <w:t xml:space="preserve"> </w:t>
      </w:r>
      <w:r>
        <w:rPr>
          <w:sz w:val="18"/>
        </w:rPr>
        <w:t>this</w:t>
      </w:r>
      <w:r>
        <w:rPr>
          <w:spacing w:val="-2"/>
          <w:sz w:val="18"/>
        </w:rPr>
        <w:t xml:space="preserve"> </w:t>
      </w:r>
      <w:r>
        <w:rPr>
          <w:sz w:val="18"/>
        </w:rPr>
        <w:t>time.</w:t>
      </w:r>
      <w:r>
        <w:rPr>
          <w:spacing w:val="-2"/>
          <w:sz w:val="18"/>
        </w:rPr>
        <w:t xml:space="preserve"> </w:t>
      </w:r>
      <w:r>
        <w:rPr>
          <w:sz w:val="18"/>
        </w:rPr>
        <w:t>Once</w:t>
      </w:r>
      <w:r>
        <w:rPr>
          <w:spacing w:val="-3"/>
          <w:sz w:val="18"/>
        </w:rPr>
        <w:t xml:space="preserve"> </w:t>
      </w:r>
      <w:r>
        <w:rPr>
          <w:sz w:val="18"/>
        </w:rPr>
        <w:t>the</w:t>
      </w:r>
      <w:r>
        <w:rPr>
          <w:spacing w:val="-3"/>
          <w:sz w:val="18"/>
        </w:rPr>
        <w:t xml:space="preserve"> </w:t>
      </w:r>
      <w:r>
        <w:rPr>
          <w:sz w:val="18"/>
        </w:rPr>
        <w:t>claim</w:t>
      </w:r>
      <w:r>
        <w:rPr>
          <w:spacing w:val="-2"/>
          <w:sz w:val="18"/>
        </w:rPr>
        <w:t xml:space="preserve"> </w:t>
      </w:r>
      <w:r>
        <w:rPr>
          <w:sz w:val="18"/>
        </w:rPr>
        <w:t>is settled or a court judgment is assessed and the Judgment Fund is determined to be the appropriate source for payment, the entity reduces the liability by recognizing an (imputed) financing source. Note that for Judgment Fund payments made under the Contract Disputes Act and the Notification and Federal Employee Antidiscrimination and Retaliation Act, the entity establishes a payable to reimburse the Judgment Fund.</w:t>
      </w:r>
    </w:p>
    <w:p w14:paraId="0DFDC865" w14:textId="77777777" w:rsidR="00046465" w:rsidRDefault="00046465">
      <w:pPr>
        <w:spacing w:line="242" w:lineRule="auto"/>
        <w:rPr>
          <w:sz w:val="18"/>
        </w:rPr>
        <w:sectPr w:rsidR="00046465">
          <w:pgSz w:w="12240" w:h="15840"/>
          <w:pgMar w:top="1340" w:right="720" w:bottom="940" w:left="1080" w:header="721" w:footer="757" w:gutter="0"/>
          <w:cols w:space="720"/>
        </w:sectPr>
      </w:pPr>
    </w:p>
    <w:p w14:paraId="0DFDC866" w14:textId="77777777" w:rsidR="00046465" w:rsidRDefault="008134EB">
      <w:pPr>
        <w:spacing w:before="121"/>
        <w:ind w:left="360"/>
        <w:rPr>
          <w:b/>
        </w:rPr>
      </w:pPr>
      <w:r>
        <w:rPr>
          <w:b/>
          <w:u w:val="single"/>
        </w:rPr>
        <w:lastRenderedPageBreak/>
        <w:t>Table</w:t>
      </w:r>
      <w:r>
        <w:rPr>
          <w:b/>
          <w:spacing w:val="-9"/>
          <w:u w:val="single"/>
        </w:rPr>
        <w:t xml:space="preserve"> </w:t>
      </w:r>
      <w:r>
        <w:rPr>
          <w:b/>
          <w:u w:val="single"/>
        </w:rPr>
        <w:t>1002.1:</w:t>
      </w:r>
      <w:r>
        <w:rPr>
          <w:b/>
          <w:spacing w:val="-8"/>
          <w:u w:val="single"/>
        </w:rPr>
        <w:t xml:space="preserve"> </w:t>
      </w:r>
      <w:r>
        <w:rPr>
          <w:b/>
          <w:u w:val="single"/>
        </w:rPr>
        <w:t>Accounting</w:t>
      </w:r>
      <w:r>
        <w:rPr>
          <w:b/>
          <w:spacing w:val="-8"/>
          <w:u w:val="single"/>
        </w:rPr>
        <w:t xml:space="preserve"> </w:t>
      </w:r>
      <w:r>
        <w:rPr>
          <w:b/>
          <w:u w:val="single"/>
        </w:rPr>
        <w:t>for</w:t>
      </w:r>
      <w:r>
        <w:rPr>
          <w:b/>
          <w:spacing w:val="-9"/>
          <w:u w:val="single"/>
        </w:rPr>
        <w:t xml:space="preserve"> </w:t>
      </w:r>
      <w:r>
        <w:rPr>
          <w:b/>
          <w:u w:val="single"/>
        </w:rPr>
        <w:t>Contingent</w:t>
      </w:r>
      <w:r>
        <w:rPr>
          <w:b/>
          <w:spacing w:val="-8"/>
          <w:u w:val="single"/>
        </w:rPr>
        <w:t xml:space="preserve"> </w:t>
      </w:r>
      <w:r>
        <w:rPr>
          <w:b/>
          <w:spacing w:val="-2"/>
          <w:u w:val="single"/>
        </w:rPr>
        <w:t>Losses</w:t>
      </w:r>
    </w:p>
    <w:p w14:paraId="0DFDC867" w14:textId="77777777" w:rsidR="00046465" w:rsidRDefault="00046465">
      <w:pPr>
        <w:pStyle w:val="BodyText"/>
        <w:spacing w:before="8"/>
        <w:rPr>
          <w:b/>
          <w:sz w:val="11"/>
        </w:rPr>
      </w:pPr>
    </w:p>
    <w:tbl>
      <w:tblPr>
        <w:tblW w:w="0" w:type="auto"/>
        <w:tblInd w:w="38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2286"/>
        <w:gridCol w:w="2394"/>
        <w:gridCol w:w="2394"/>
        <w:gridCol w:w="2394"/>
      </w:tblGrid>
      <w:tr w:rsidR="00046465" w14:paraId="0DFDC86E" w14:textId="77777777">
        <w:trPr>
          <w:trHeight w:val="1252"/>
        </w:trPr>
        <w:tc>
          <w:tcPr>
            <w:tcW w:w="2286" w:type="dxa"/>
            <w:tcBorders>
              <w:right w:val="single" w:sz="4" w:space="0" w:color="000000"/>
            </w:tcBorders>
          </w:tcPr>
          <w:p w14:paraId="0DFDC868" w14:textId="77777777" w:rsidR="00046465" w:rsidRDefault="008134EB">
            <w:pPr>
              <w:pStyle w:val="TableParagraph"/>
              <w:spacing w:before="120"/>
              <w:ind w:left="92" w:right="108"/>
              <w:rPr>
                <w:b/>
              </w:rPr>
            </w:pPr>
            <w:r>
              <w:rPr>
                <w:b/>
              </w:rPr>
              <w:t>Likelihood</w:t>
            </w:r>
            <w:r>
              <w:rPr>
                <w:b/>
                <w:spacing w:val="-16"/>
              </w:rPr>
              <w:t xml:space="preserve"> </w:t>
            </w:r>
            <w:r>
              <w:rPr>
                <w:b/>
              </w:rPr>
              <w:t>of</w:t>
            </w:r>
            <w:r>
              <w:rPr>
                <w:b/>
                <w:spacing w:val="-15"/>
              </w:rPr>
              <w:t xml:space="preserve"> </w:t>
            </w:r>
            <w:r>
              <w:rPr>
                <w:b/>
              </w:rPr>
              <w:t xml:space="preserve">future outflow or other sacrifice of </w:t>
            </w:r>
            <w:r>
              <w:rPr>
                <w:b/>
                <w:spacing w:val="-2"/>
              </w:rPr>
              <w:t>resources</w:t>
            </w:r>
          </w:p>
        </w:tc>
        <w:tc>
          <w:tcPr>
            <w:tcW w:w="2394" w:type="dxa"/>
            <w:tcBorders>
              <w:left w:val="single" w:sz="4" w:space="0" w:color="000000"/>
              <w:right w:val="single" w:sz="4" w:space="0" w:color="000000"/>
            </w:tcBorders>
          </w:tcPr>
          <w:p w14:paraId="0DFDC869" w14:textId="77777777" w:rsidR="00046465" w:rsidRDefault="00046465">
            <w:pPr>
              <w:pStyle w:val="TableParagraph"/>
              <w:spacing w:before="120"/>
              <w:rPr>
                <w:b/>
              </w:rPr>
            </w:pPr>
          </w:p>
          <w:p w14:paraId="0DFDC86A" w14:textId="77777777" w:rsidR="00046465" w:rsidRDefault="008134EB">
            <w:pPr>
              <w:pStyle w:val="TableParagraph"/>
              <w:ind w:left="110" w:right="128"/>
              <w:rPr>
                <w:b/>
              </w:rPr>
            </w:pPr>
            <w:r>
              <w:rPr>
                <w:b/>
              </w:rPr>
              <w:t>Loss</w:t>
            </w:r>
            <w:r>
              <w:rPr>
                <w:b/>
                <w:spacing w:val="-13"/>
              </w:rPr>
              <w:t xml:space="preserve"> </w:t>
            </w:r>
            <w:r>
              <w:rPr>
                <w:b/>
              </w:rPr>
              <w:t>amount</w:t>
            </w:r>
            <w:r>
              <w:rPr>
                <w:b/>
                <w:spacing w:val="-13"/>
              </w:rPr>
              <w:t xml:space="preserve"> </w:t>
            </w:r>
            <w:r>
              <w:rPr>
                <w:b/>
              </w:rPr>
              <w:t>can</w:t>
            </w:r>
            <w:r>
              <w:rPr>
                <w:b/>
                <w:spacing w:val="-13"/>
              </w:rPr>
              <w:t xml:space="preserve"> </w:t>
            </w:r>
            <w:r>
              <w:rPr>
                <w:b/>
              </w:rPr>
              <w:t xml:space="preserve">be </w:t>
            </w:r>
            <w:r>
              <w:rPr>
                <w:b/>
                <w:spacing w:val="-2"/>
              </w:rPr>
              <w:t>reasonably measured</w:t>
            </w:r>
          </w:p>
        </w:tc>
        <w:tc>
          <w:tcPr>
            <w:tcW w:w="2394" w:type="dxa"/>
            <w:tcBorders>
              <w:left w:val="single" w:sz="4" w:space="0" w:color="000000"/>
              <w:right w:val="single" w:sz="4" w:space="0" w:color="000000"/>
            </w:tcBorders>
          </w:tcPr>
          <w:p w14:paraId="0DFDC86B" w14:textId="77777777" w:rsidR="00046465" w:rsidRDefault="00046465">
            <w:pPr>
              <w:pStyle w:val="TableParagraph"/>
              <w:spacing w:before="120"/>
              <w:rPr>
                <w:b/>
              </w:rPr>
            </w:pPr>
          </w:p>
          <w:p w14:paraId="0DFDC86C" w14:textId="77777777" w:rsidR="00046465" w:rsidRDefault="008134EB">
            <w:pPr>
              <w:pStyle w:val="TableParagraph"/>
              <w:ind w:left="110" w:right="128"/>
              <w:rPr>
                <w:b/>
              </w:rPr>
            </w:pPr>
            <w:r>
              <w:rPr>
                <w:b/>
              </w:rPr>
              <w:t>Loss</w:t>
            </w:r>
            <w:r>
              <w:rPr>
                <w:b/>
                <w:spacing w:val="-13"/>
              </w:rPr>
              <w:t xml:space="preserve"> </w:t>
            </w:r>
            <w:r>
              <w:rPr>
                <w:b/>
              </w:rPr>
              <w:t>range</w:t>
            </w:r>
            <w:r>
              <w:rPr>
                <w:b/>
                <w:spacing w:val="-13"/>
              </w:rPr>
              <w:t xml:space="preserve"> </w:t>
            </w:r>
            <w:r>
              <w:rPr>
                <w:b/>
              </w:rPr>
              <w:t>can</w:t>
            </w:r>
            <w:r>
              <w:rPr>
                <w:b/>
                <w:spacing w:val="-13"/>
              </w:rPr>
              <w:t xml:space="preserve"> </w:t>
            </w:r>
            <w:r>
              <w:rPr>
                <w:b/>
              </w:rPr>
              <w:t xml:space="preserve">be </w:t>
            </w:r>
            <w:r>
              <w:rPr>
                <w:b/>
                <w:spacing w:val="-2"/>
              </w:rPr>
              <w:t>reasonably measured</w:t>
            </w:r>
          </w:p>
        </w:tc>
        <w:tc>
          <w:tcPr>
            <w:tcW w:w="2394" w:type="dxa"/>
            <w:tcBorders>
              <w:left w:val="single" w:sz="4" w:space="0" w:color="000000"/>
            </w:tcBorders>
          </w:tcPr>
          <w:p w14:paraId="0DFDC86D" w14:textId="77777777" w:rsidR="00046465" w:rsidRDefault="008134EB">
            <w:pPr>
              <w:pStyle w:val="TableParagraph"/>
              <w:spacing w:before="120"/>
              <w:ind w:left="110" w:right="111"/>
              <w:rPr>
                <w:b/>
              </w:rPr>
            </w:pPr>
            <w:r>
              <w:rPr>
                <w:b/>
              </w:rPr>
              <w:t>Loss amount or range</w:t>
            </w:r>
            <w:r>
              <w:rPr>
                <w:b/>
                <w:spacing w:val="-16"/>
              </w:rPr>
              <w:t xml:space="preserve"> </w:t>
            </w:r>
            <w:r>
              <w:rPr>
                <w:b/>
              </w:rPr>
              <w:t>cannot</w:t>
            </w:r>
            <w:r>
              <w:rPr>
                <w:b/>
                <w:spacing w:val="-15"/>
              </w:rPr>
              <w:t xml:space="preserve"> </w:t>
            </w:r>
            <w:r>
              <w:rPr>
                <w:b/>
              </w:rPr>
              <w:t xml:space="preserve">be </w:t>
            </w:r>
            <w:r>
              <w:rPr>
                <w:b/>
                <w:spacing w:val="-2"/>
              </w:rPr>
              <w:t>reasonably measured</w:t>
            </w:r>
          </w:p>
        </w:tc>
      </w:tr>
      <w:tr w:rsidR="00046465" w14:paraId="0DFDC874" w14:textId="77777777">
        <w:trPr>
          <w:trHeight w:val="3276"/>
        </w:trPr>
        <w:tc>
          <w:tcPr>
            <w:tcW w:w="2286" w:type="dxa"/>
            <w:tcBorders>
              <w:bottom w:val="single" w:sz="4" w:space="0" w:color="000000"/>
              <w:right w:val="single" w:sz="4" w:space="0" w:color="000000"/>
            </w:tcBorders>
          </w:tcPr>
          <w:p w14:paraId="0DFDC86F" w14:textId="77777777" w:rsidR="00046465" w:rsidRDefault="008134EB">
            <w:pPr>
              <w:pStyle w:val="TableParagraph"/>
              <w:spacing w:before="120"/>
              <w:ind w:left="92" w:right="171"/>
            </w:pPr>
            <w:r>
              <w:rPr>
                <w:b/>
                <w:spacing w:val="-2"/>
              </w:rPr>
              <w:t xml:space="preserve">Probable: </w:t>
            </w:r>
            <w:r>
              <w:t>Generally,</w:t>
            </w:r>
            <w:r>
              <w:rPr>
                <w:spacing w:val="-16"/>
              </w:rPr>
              <w:t xml:space="preserve"> </w:t>
            </w:r>
            <w:r>
              <w:t>the</w:t>
            </w:r>
            <w:r>
              <w:rPr>
                <w:spacing w:val="-15"/>
              </w:rPr>
              <w:t xml:space="preserve"> </w:t>
            </w:r>
            <w:r>
              <w:t>future confirming event(s) is(are) more likely than not to occur.</w:t>
            </w:r>
          </w:p>
          <w:p w14:paraId="0DFDC870" w14:textId="77777777" w:rsidR="00046465" w:rsidRDefault="008134EB">
            <w:pPr>
              <w:pStyle w:val="TableParagraph"/>
              <w:ind w:left="92" w:right="242"/>
            </w:pPr>
            <w:r>
              <w:t>For pending or threatened</w:t>
            </w:r>
            <w:r>
              <w:rPr>
                <w:spacing w:val="-16"/>
              </w:rPr>
              <w:t xml:space="preserve"> </w:t>
            </w:r>
            <w:r>
              <w:t xml:space="preserve">litigation and unasserted claims, the future confirming event(s) is(are) likely to </w:t>
            </w:r>
            <w:r>
              <w:rPr>
                <w:spacing w:val="-2"/>
              </w:rPr>
              <w:t>occur.</w:t>
            </w:r>
          </w:p>
        </w:tc>
        <w:tc>
          <w:tcPr>
            <w:tcW w:w="2394" w:type="dxa"/>
            <w:tcBorders>
              <w:left w:val="single" w:sz="4" w:space="0" w:color="000000"/>
              <w:bottom w:val="single" w:sz="4" w:space="0" w:color="000000"/>
              <w:right w:val="single" w:sz="4" w:space="0" w:color="000000"/>
            </w:tcBorders>
          </w:tcPr>
          <w:p w14:paraId="0DFDC871" w14:textId="77777777" w:rsidR="00046465" w:rsidRDefault="008134EB">
            <w:pPr>
              <w:pStyle w:val="TableParagraph"/>
              <w:spacing w:before="120"/>
              <w:ind w:left="110" w:right="128"/>
            </w:pPr>
            <w:r>
              <w:t>Accrue the liability. Report on Balance Sheet</w:t>
            </w:r>
            <w:r>
              <w:rPr>
                <w:spacing w:val="-16"/>
              </w:rPr>
              <w:t xml:space="preserve"> </w:t>
            </w:r>
            <w:r>
              <w:t>and</w:t>
            </w:r>
            <w:r>
              <w:rPr>
                <w:spacing w:val="-15"/>
              </w:rPr>
              <w:t xml:space="preserve"> </w:t>
            </w:r>
            <w:r>
              <w:t>Statement of Net Cost.</w:t>
            </w:r>
          </w:p>
        </w:tc>
        <w:tc>
          <w:tcPr>
            <w:tcW w:w="2394" w:type="dxa"/>
            <w:tcBorders>
              <w:left w:val="single" w:sz="4" w:space="0" w:color="000000"/>
              <w:bottom w:val="single" w:sz="4" w:space="0" w:color="000000"/>
              <w:right w:val="single" w:sz="4" w:space="0" w:color="000000"/>
            </w:tcBorders>
          </w:tcPr>
          <w:p w14:paraId="0DFDC872" w14:textId="77777777" w:rsidR="00046465" w:rsidRDefault="008134EB">
            <w:pPr>
              <w:pStyle w:val="TableParagraph"/>
              <w:spacing w:before="120"/>
              <w:ind w:left="110" w:right="101"/>
            </w:pPr>
            <w:r>
              <w:t>Accrue liability of best estimate or minimum amount in loss range</w:t>
            </w:r>
            <w:r>
              <w:rPr>
                <w:spacing w:val="40"/>
              </w:rPr>
              <w:t xml:space="preserve"> </w:t>
            </w:r>
            <w:r>
              <w:t>if there is no best estimate,</w:t>
            </w:r>
            <w:r>
              <w:rPr>
                <w:spacing w:val="-16"/>
              </w:rPr>
              <w:t xml:space="preserve"> </w:t>
            </w:r>
            <w:r>
              <w:t>and</w:t>
            </w:r>
            <w:r>
              <w:rPr>
                <w:spacing w:val="-15"/>
              </w:rPr>
              <w:t xml:space="preserve"> </w:t>
            </w:r>
            <w:r>
              <w:t>disclose nature of contingency and range of estimated liability.</w:t>
            </w:r>
          </w:p>
        </w:tc>
        <w:tc>
          <w:tcPr>
            <w:tcW w:w="2394" w:type="dxa"/>
            <w:tcBorders>
              <w:left w:val="single" w:sz="4" w:space="0" w:color="000000"/>
              <w:bottom w:val="single" w:sz="4" w:space="0" w:color="000000"/>
            </w:tcBorders>
          </w:tcPr>
          <w:p w14:paraId="0DFDC873" w14:textId="77777777" w:rsidR="00046465" w:rsidRDefault="008134EB">
            <w:pPr>
              <w:pStyle w:val="TableParagraph"/>
              <w:spacing w:before="120"/>
              <w:ind w:left="110" w:right="50"/>
            </w:pPr>
            <w:r>
              <w:t>Disclose nature of contingency and include</w:t>
            </w:r>
            <w:r>
              <w:rPr>
                <w:spacing w:val="-16"/>
              </w:rPr>
              <w:t xml:space="preserve"> </w:t>
            </w:r>
            <w:r>
              <w:t>a</w:t>
            </w:r>
            <w:r>
              <w:rPr>
                <w:spacing w:val="-15"/>
              </w:rPr>
              <w:t xml:space="preserve"> </w:t>
            </w:r>
            <w:r>
              <w:t>statement that an estimate cannot be made.</w:t>
            </w:r>
          </w:p>
        </w:tc>
      </w:tr>
      <w:tr w:rsidR="00046465" w14:paraId="0DFDC879" w14:textId="77777777">
        <w:trPr>
          <w:trHeight w:val="2010"/>
        </w:trPr>
        <w:tc>
          <w:tcPr>
            <w:tcW w:w="2286" w:type="dxa"/>
            <w:tcBorders>
              <w:top w:val="single" w:sz="4" w:space="0" w:color="000000"/>
              <w:bottom w:val="single" w:sz="4" w:space="0" w:color="000000"/>
              <w:right w:val="single" w:sz="4" w:space="0" w:color="000000"/>
            </w:tcBorders>
          </w:tcPr>
          <w:p w14:paraId="0DFDC875" w14:textId="77777777" w:rsidR="00046465" w:rsidRDefault="008134EB">
            <w:pPr>
              <w:pStyle w:val="TableParagraph"/>
              <w:spacing w:before="120"/>
              <w:ind w:left="92" w:right="108"/>
            </w:pPr>
            <w:r>
              <w:rPr>
                <w:b/>
                <w:spacing w:val="-2"/>
              </w:rPr>
              <w:t>Reasonably possible:</w:t>
            </w:r>
            <w:hyperlink w:anchor="_bookmark219" w:history="1">
              <w:r>
                <w:rPr>
                  <w:b/>
                  <w:spacing w:val="-2"/>
                  <w:vertAlign w:val="superscript"/>
                </w:rPr>
                <w:t>10</w:t>
              </w:r>
            </w:hyperlink>
            <w:r>
              <w:rPr>
                <w:b/>
                <w:spacing w:val="-2"/>
              </w:rPr>
              <w:t xml:space="preserve"> </w:t>
            </w:r>
            <w:r>
              <w:t>Possibility of future confirming event(s) occurring is more than</w:t>
            </w:r>
            <w:r>
              <w:rPr>
                <w:spacing w:val="-13"/>
              </w:rPr>
              <w:t xml:space="preserve"> </w:t>
            </w:r>
            <w:r>
              <w:t>remote</w:t>
            </w:r>
            <w:r>
              <w:rPr>
                <w:spacing w:val="-13"/>
              </w:rPr>
              <w:t xml:space="preserve"> </w:t>
            </w:r>
            <w:r>
              <w:t>and</w:t>
            </w:r>
            <w:r>
              <w:rPr>
                <w:spacing w:val="-13"/>
              </w:rPr>
              <w:t xml:space="preserve"> </w:t>
            </w:r>
            <w:r>
              <w:t>less than likely.</w:t>
            </w:r>
          </w:p>
        </w:tc>
        <w:tc>
          <w:tcPr>
            <w:tcW w:w="2394" w:type="dxa"/>
            <w:tcBorders>
              <w:top w:val="single" w:sz="4" w:space="0" w:color="000000"/>
              <w:left w:val="single" w:sz="4" w:space="0" w:color="000000"/>
              <w:bottom w:val="single" w:sz="4" w:space="0" w:color="000000"/>
              <w:right w:val="single" w:sz="4" w:space="0" w:color="000000"/>
            </w:tcBorders>
          </w:tcPr>
          <w:p w14:paraId="0DFDC876" w14:textId="77777777" w:rsidR="00046465" w:rsidRDefault="008134EB">
            <w:pPr>
              <w:pStyle w:val="TableParagraph"/>
              <w:spacing w:before="120"/>
              <w:ind w:left="110" w:right="462"/>
            </w:pPr>
            <w:r>
              <w:t>Disclose nature of contingency and estimated</w:t>
            </w:r>
            <w:r>
              <w:rPr>
                <w:spacing w:val="-16"/>
              </w:rPr>
              <w:t xml:space="preserve"> </w:t>
            </w:r>
            <w:r>
              <w:t>amount.</w:t>
            </w:r>
          </w:p>
        </w:tc>
        <w:tc>
          <w:tcPr>
            <w:tcW w:w="2394" w:type="dxa"/>
            <w:tcBorders>
              <w:top w:val="single" w:sz="4" w:space="0" w:color="000000"/>
              <w:left w:val="single" w:sz="4" w:space="0" w:color="000000"/>
              <w:bottom w:val="single" w:sz="4" w:space="0" w:color="000000"/>
              <w:right w:val="single" w:sz="4" w:space="0" w:color="000000"/>
            </w:tcBorders>
          </w:tcPr>
          <w:p w14:paraId="0DFDC877" w14:textId="77777777" w:rsidR="00046465" w:rsidRDefault="008134EB">
            <w:pPr>
              <w:pStyle w:val="TableParagraph"/>
              <w:spacing w:before="120"/>
              <w:ind w:left="110" w:right="128"/>
            </w:pPr>
            <w:r>
              <w:t>Disclose nature of contingency and estimated</w:t>
            </w:r>
            <w:r>
              <w:rPr>
                <w:spacing w:val="-16"/>
              </w:rPr>
              <w:t xml:space="preserve"> </w:t>
            </w:r>
            <w:r>
              <w:t>loss</w:t>
            </w:r>
            <w:r>
              <w:rPr>
                <w:spacing w:val="-15"/>
              </w:rPr>
              <w:t xml:space="preserve"> </w:t>
            </w:r>
            <w:r>
              <w:t>range.</w:t>
            </w:r>
          </w:p>
        </w:tc>
        <w:tc>
          <w:tcPr>
            <w:tcW w:w="2394" w:type="dxa"/>
            <w:tcBorders>
              <w:top w:val="single" w:sz="4" w:space="0" w:color="000000"/>
              <w:left w:val="single" w:sz="4" w:space="0" w:color="000000"/>
              <w:bottom w:val="single" w:sz="4" w:space="0" w:color="000000"/>
            </w:tcBorders>
          </w:tcPr>
          <w:p w14:paraId="0DFDC878" w14:textId="77777777" w:rsidR="00046465" w:rsidRDefault="008134EB">
            <w:pPr>
              <w:pStyle w:val="TableParagraph"/>
              <w:spacing w:before="120"/>
              <w:ind w:left="110" w:right="50"/>
            </w:pPr>
            <w:r>
              <w:t>Disclose nature of contingency and include</w:t>
            </w:r>
            <w:r>
              <w:rPr>
                <w:spacing w:val="-16"/>
              </w:rPr>
              <w:t xml:space="preserve"> </w:t>
            </w:r>
            <w:r>
              <w:t>a</w:t>
            </w:r>
            <w:r>
              <w:rPr>
                <w:spacing w:val="-15"/>
              </w:rPr>
              <w:t xml:space="preserve"> </w:t>
            </w:r>
            <w:r>
              <w:t>statement that an estimate cannot be made.</w:t>
            </w:r>
          </w:p>
        </w:tc>
      </w:tr>
      <w:tr w:rsidR="00046465" w14:paraId="0DFDC87E" w14:textId="77777777">
        <w:trPr>
          <w:trHeight w:val="999"/>
        </w:trPr>
        <w:tc>
          <w:tcPr>
            <w:tcW w:w="2286" w:type="dxa"/>
            <w:tcBorders>
              <w:top w:val="single" w:sz="4" w:space="0" w:color="000000"/>
              <w:right w:val="single" w:sz="4" w:space="0" w:color="000000"/>
            </w:tcBorders>
          </w:tcPr>
          <w:p w14:paraId="0DFDC87A" w14:textId="77777777" w:rsidR="00046465" w:rsidRDefault="008134EB">
            <w:pPr>
              <w:pStyle w:val="TableParagraph"/>
              <w:spacing w:before="120"/>
              <w:ind w:left="92" w:right="108"/>
            </w:pPr>
            <w:r>
              <w:rPr>
                <w:b/>
              </w:rPr>
              <w:t>Remote:</w:t>
            </w:r>
            <w:r>
              <w:rPr>
                <w:b/>
                <w:spacing w:val="-16"/>
              </w:rPr>
              <w:t xml:space="preserve"> </w:t>
            </w:r>
            <w:r>
              <w:t>Possibility of future event(s) occurring is slight.</w:t>
            </w:r>
          </w:p>
        </w:tc>
        <w:tc>
          <w:tcPr>
            <w:tcW w:w="2394" w:type="dxa"/>
            <w:tcBorders>
              <w:top w:val="single" w:sz="4" w:space="0" w:color="000000"/>
              <w:left w:val="single" w:sz="4" w:space="0" w:color="000000"/>
              <w:right w:val="single" w:sz="4" w:space="0" w:color="000000"/>
            </w:tcBorders>
          </w:tcPr>
          <w:p w14:paraId="0DFDC87B" w14:textId="77777777" w:rsidR="00046465" w:rsidRDefault="008134EB">
            <w:pPr>
              <w:pStyle w:val="TableParagraph"/>
              <w:spacing w:before="120"/>
              <w:ind w:left="110"/>
            </w:pPr>
            <w:r>
              <w:t>No</w:t>
            </w:r>
            <w:r>
              <w:rPr>
                <w:spacing w:val="-4"/>
              </w:rPr>
              <w:t xml:space="preserve"> </w:t>
            </w:r>
            <w:r>
              <w:t>action</w:t>
            </w:r>
            <w:r>
              <w:rPr>
                <w:spacing w:val="-4"/>
              </w:rPr>
              <w:t xml:space="preserve"> </w:t>
            </w:r>
            <w:r>
              <w:t>is</w:t>
            </w:r>
            <w:r>
              <w:rPr>
                <w:spacing w:val="-5"/>
              </w:rPr>
              <w:t xml:space="preserve"> </w:t>
            </w:r>
            <w:r>
              <w:rPr>
                <w:spacing w:val="-2"/>
              </w:rPr>
              <w:t>required.</w:t>
            </w:r>
          </w:p>
        </w:tc>
        <w:tc>
          <w:tcPr>
            <w:tcW w:w="2394" w:type="dxa"/>
            <w:tcBorders>
              <w:top w:val="single" w:sz="4" w:space="0" w:color="000000"/>
              <w:left w:val="single" w:sz="4" w:space="0" w:color="000000"/>
              <w:right w:val="single" w:sz="4" w:space="0" w:color="000000"/>
            </w:tcBorders>
          </w:tcPr>
          <w:p w14:paraId="0DFDC87C" w14:textId="77777777" w:rsidR="00046465" w:rsidRDefault="008134EB">
            <w:pPr>
              <w:pStyle w:val="TableParagraph"/>
              <w:spacing w:before="120"/>
              <w:ind w:left="110"/>
            </w:pPr>
            <w:r>
              <w:t>No</w:t>
            </w:r>
            <w:r>
              <w:rPr>
                <w:spacing w:val="-4"/>
              </w:rPr>
              <w:t xml:space="preserve"> </w:t>
            </w:r>
            <w:r>
              <w:t>action</w:t>
            </w:r>
            <w:r>
              <w:rPr>
                <w:spacing w:val="-4"/>
              </w:rPr>
              <w:t xml:space="preserve"> </w:t>
            </w:r>
            <w:r>
              <w:t>is</w:t>
            </w:r>
            <w:r>
              <w:rPr>
                <w:spacing w:val="-5"/>
              </w:rPr>
              <w:t xml:space="preserve"> </w:t>
            </w:r>
            <w:r>
              <w:rPr>
                <w:spacing w:val="-2"/>
              </w:rPr>
              <w:t>required.</w:t>
            </w:r>
          </w:p>
        </w:tc>
        <w:tc>
          <w:tcPr>
            <w:tcW w:w="2394" w:type="dxa"/>
            <w:tcBorders>
              <w:top w:val="single" w:sz="4" w:space="0" w:color="000000"/>
              <w:left w:val="single" w:sz="4" w:space="0" w:color="000000"/>
            </w:tcBorders>
          </w:tcPr>
          <w:p w14:paraId="0DFDC87D" w14:textId="77777777" w:rsidR="00046465" w:rsidRDefault="008134EB">
            <w:pPr>
              <w:pStyle w:val="TableParagraph"/>
              <w:spacing w:before="120"/>
              <w:ind w:left="110"/>
            </w:pPr>
            <w:r>
              <w:t>No</w:t>
            </w:r>
            <w:r>
              <w:rPr>
                <w:spacing w:val="-4"/>
              </w:rPr>
              <w:t xml:space="preserve"> </w:t>
            </w:r>
            <w:r>
              <w:t>action</w:t>
            </w:r>
            <w:r>
              <w:rPr>
                <w:spacing w:val="-4"/>
              </w:rPr>
              <w:t xml:space="preserve"> </w:t>
            </w:r>
            <w:r>
              <w:t>is</w:t>
            </w:r>
            <w:r>
              <w:rPr>
                <w:spacing w:val="-5"/>
              </w:rPr>
              <w:t xml:space="preserve"> </w:t>
            </w:r>
            <w:r>
              <w:rPr>
                <w:spacing w:val="-2"/>
              </w:rPr>
              <w:t>required.</w:t>
            </w:r>
          </w:p>
        </w:tc>
      </w:tr>
    </w:tbl>
    <w:p w14:paraId="0DFDC87F" w14:textId="77777777" w:rsidR="00046465" w:rsidRDefault="008134EB">
      <w:pPr>
        <w:pStyle w:val="ListParagraph"/>
        <w:numPr>
          <w:ilvl w:val="0"/>
          <w:numId w:val="65"/>
        </w:numPr>
        <w:tabs>
          <w:tab w:val="left" w:pos="1799"/>
        </w:tabs>
        <w:spacing w:before="105"/>
        <w:ind w:left="1799" w:hanging="719"/>
      </w:pPr>
      <w:r>
        <w:t>Although</w:t>
      </w:r>
      <w:r>
        <w:rPr>
          <w:spacing w:val="-7"/>
        </w:rPr>
        <w:t xml:space="preserve"> </w:t>
      </w:r>
      <w:r>
        <w:t>management</w:t>
      </w:r>
      <w:r>
        <w:rPr>
          <w:spacing w:val="-6"/>
        </w:rPr>
        <w:t xml:space="preserve"> </w:t>
      </w:r>
      <w:r>
        <w:t>often</w:t>
      </w:r>
      <w:r>
        <w:rPr>
          <w:spacing w:val="-6"/>
        </w:rPr>
        <w:t xml:space="preserve"> </w:t>
      </w:r>
      <w:r>
        <w:t>relies</w:t>
      </w:r>
      <w:r>
        <w:rPr>
          <w:spacing w:val="-7"/>
        </w:rPr>
        <w:t xml:space="preserve"> </w:t>
      </w:r>
      <w:r>
        <w:t>on</w:t>
      </w:r>
      <w:r>
        <w:rPr>
          <w:spacing w:val="-6"/>
        </w:rPr>
        <w:t xml:space="preserve"> </w:t>
      </w:r>
      <w:r>
        <w:t>the</w:t>
      </w:r>
      <w:r>
        <w:rPr>
          <w:spacing w:val="-6"/>
        </w:rPr>
        <w:t xml:space="preserve"> </w:t>
      </w:r>
      <w:r>
        <w:t>advice</w:t>
      </w:r>
      <w:r>
        <w:rPr>
          <w:spacing w:val="-6"/>
        </w:rPr>
        <w:t xml:space="preserve"> </w:t>
      </w:r>
      <w:r>
        <w:t>of</w:t>
      </w:r>
      <w:r>
        <w:rPr>
          <w:spacing w:val="-6"/>
        </w:rPr>
        <w:t xml:space="preserve"> </w:t>
      </w:r>
      <w:r>
        <w:t>legal</w:t>
      </w:r>
      <w:r>
        <w:rPr>
          <w:spacing w:val="-6"/>
        </w:rPr>
        <w:t xml:space="preserve"> </w:t>
      </w:r>
      <w:r>
        <w:t>counsel</w:t>
      </w:r>
      <w:r>
        <w:rPr>
          <w:spacing w:val="-7"/>
        </w:rPr>
        <w:t xml:space="preserve"> </w:t>
      </w:r>
      <w:r>
        <w:t>about</w:t>
      </w:r>
      <w:r>
        <w:rPr>
          <w:spacing w:val="-7"/>
        </w:rPr>
        <w:t xml:space="preserve"> </w:t>
      </w:r>
      <w:r>
        <w:rPr>
          <w:spacing w:val="-5"/>
        </w:rPr>
        <w:t>the</w:t>
      </w:r>
    </w:p>
    <w:p w14:paraId="0DFDC880" w14:textId="77777777" w:rsidR="00046465" w:rsidRDefault="008134EB">
      <w:pPr>
        <w:pStyle w:val="ListParagraph"/>
        <w:numPr>
          <w:ilvl w:val="0"/>
          <w:numId w:val="64"/>
        </w:numPr>
        <w:tabs>
          <w:tab w:val="left" w:pos="2128"/>
        </w:tabs>
        <w:spacing w:before="1"/>
        <w:ind w:right="774" w:firstLine="0"/>
      </w:pPr>
      <w:r>
        <w:t>likelihood of an unfavorable outcome and (b) estimates of the amount or range of potential loss for litigation, claims, and assessments, management is ultimately</w:t>
      </w:r>
      <w:r>
        <w:rPr>
          <w:spacing w:val="-4"/>
        </w:rPr>
        <w:t xml:space="preserve"> </w:t>
      </w:r>
      <w:r>
        <w:t>responsible</w:t>
      </w:r>
      <w:r>
        <w:rPr>
          <w:spacing w:val="-4"/>
        </w:rPr>
        <w:t xml:space="preserve"> </w:t>
      </w:r>
      <w:r>
        <w:t>for</w:t>
      </w:r>
      <w:r>
        <w:rPr>
          <w:spacing w:val="-4"/>
        </w:rPr>
        <w:t xml:space="preserve"> </w:t>
      </w:r>
      <w:r>
        <w:t>determining</w:t>
      </w:r>
      <w:r>
        <w:rPr>
          <w:spacing w:val="-4"/>
        </w:rPr>
        <w:t xml:space="preserve"> </w:t>
      </w:r>
      <w:r>
        <w:t>whether</w:t>
      </w:r>
      <w:r>
        <w:rPr>
          <w:spacing w:val="-4"/>
        </w:rPr>
        <w:t xml:space="preserve"> </w:t>
      </w:r>
      <w:r>
        <w:t>these</w:t>
      </w:r>
      <w:r>
        <w:rPr>
          <w:spacing w:val="-4"/>
        </w:rPr>
        <w:t xml:space="preserve"> </w:t>
      </w:r>
      <w:r>
        <w:t>contingencies</w:t>
      </w:r>
      <w:r>
        <w:rPr>
          <w:spacing w:val="-4"/>
        </w:rPr>
        <w:t xml:space="preserve"> </w:t>
      </w:r>
      <w:r>
        <w:t>are</w:t>
      </w:r>
      <w:r>
        <w:rPr>
          <w:spacing w:val="-4"/>
        </w:rPr>
        <w:t xml:space="preserve"> </w:t>
      </w:r>
      <w:r>
        <w:t>probable, reasonably possible, or remote. Management does this to decide whether these contingencies should be recognized as liabilities, disclosed in the notes to the financial statements, or both. Thus, OMB audit guidance requires entity management</w:t>
      </w:r>
      <w:r>
        <w:rPr>
          <w:spacing w:val="-2"/>
        </w:rPr>
        <w:t xml:space="preserve"> </w:t>
      </w:r>
      <w:r>
        <w:t>to</w:t>
      </w:r>
      <w:r>
        <w:rPr>
          <w:spacing w:val="-2"/>
        </w:rPr>
        <w:t xml:space="preserve"> </w:t>
      </w:r>
      <w:r>
        <w:t>(a)</w:t>
      </w:r>
      <w:r>
        <w:rPr>
          <w:spacing w:val="-2"/>
        </w:rPr>
        <w:t xml:space="preserve"> </w:t>
      </w:r>
      <w:r>
        <w:t>document</w:t>
      </w:r>
      <w:r>
        <w:rPr>
          <w:spacing w:val="-2"/>
        </w:rPr>
        <w:t xml:space="preserve"> </w:t>
      </w:r>
      <w:r>
        <w:t>in</w:t>
      </w:r>
      <w:r>
        <w:rPr>
          <w:spacing w:val="-2"/>
        </w:rPr>
        <w:t xml:space="preserve"> </w:t>
      </w:r>
      <w:r>
        <w:t>a</w:t>
      </w:r>
      <w:r>
        <w:rPr>
          <w:spacing w:val="-2"/>
        </w:rPr>
        <w:t xml:space="preserve"> </w:t>
      </w:r>
      <w:r>
        <w:t>schedule</w:t>
      </w:r>
      <w:r>
        <w:rPr>
          <w:spacing w:val="-2"/>
        </w:rPr>
        <w:t xml:space="preserve"> </w:t>
      </w:r>
      <w:r>
        <w:t>how</w:t>
      </w:r>
      <w:r>
        <w:rPr>
          <w:spacing w:val="-3"/>
        </w:rPr>
        <w:t xml:space="preserve"> </w:t>
      </w:r>
      <w:r>
        <w:t>the</w:t>
      </w:r>
      <w:r>
        <w:rPr>
          <w:spacing w:val="-2"/>
        </w:rPr>
        <w:t xml:space="preserve"> </w:t>
      </w:r>
      <w:r>
        <w:t>information</w:t>
      </w:r>
      <w:r>
        <w:rPr>
          <w:spacing w:val="-2"/>
        </w:rPr>
        <w:t xml:space="preserve"> </w:t>
      </w:r>
      <w:r>
        <w:t>contained</w:t>
      </w:r>
      <w:r>
        <w:rPr>
          <w:spacing w:val="-2"/>
        </w:rPr>
        <w:t xml:space="preserve"> </w:t>
      </w:r>
      <w:r>
        <w:t>in</w:t>
      </w:r>
      <w:r>
        <w:rPr>
          <w:spacing w:val="-2"/>
        </w:rPr>
        <w:t xml:space="preserve"> </w:t>
      </w:r>
      <w:r>
        <w:t>the legal</w:t>
      </w:r>
      <w:r>
        <w:rPr>
          <w:spacing w:val="-4"/>
        </w:rPr>
        <w:t xml:space="preserve"> </w:t>
      </w:r>
      <w:r>
        <w:t>counsel</w:t>
      </w:r>
      <w:r>
        <w:rPr>
          <w:spacing w:val="-4"/>
        </w:rPr>
        <w:t xml:space="preserve"> </w:t>
      </w:r>
      <w:r>
        <w:t>response</w:t>
      </w:r>
      <w:r>
        <w:rPr>
          <w:spacing w:val="-5"/>
        </w:rPr>
        <w:t xml:space="preserve"> </w:t>
      </w:r>
      <w:r>
        <w:t>was</w:t>
      </w:r>
      <w:r>
        <w:rPr>
          <w:spacing w:val="-4"/>
        </w:rPr>
        <w:t xml:space="preserve"> </w:t>
      </w:r>
      <w:r>
        <w:t>considered</w:t>
      </w:r>
      <w:r>
        <w:rPr>
          <w:spacing w:val="-4"/>
        </w:rPr>
        <w:t xml:space="preserve"> </w:t>
      </w:r>
      <w:r>
        <w:t>in</w:t>
      </w:r>
      <w:r>
        <w:rPr>
          <w:spacing w:val="-4"/>
        </w:rPr>
        <w:t xml:space="preserve"> </w:t>
      </w:r>
      <w:r>
        <w:t>preparing</w:t>
      </w:r>
      <w:r>
        <w:rPr>
          <w:spacing w:val="-4"/>
        </w:rPr>
        <w:t xml:space="preserve"> </w:t>
      </w:r>
      <w:r>
        <w:t>the</w:t>
      </w:r>
      <w:r>
        <w:rPr>
          <w:spacing w:val="-4"/>
        </w:rPr>
        <w:t xml:space="preserve"> </w:t>
      </w:r>
      <w:r>
        <w:t>financial</w:t>
      </w:r>
      <w:r>
        <w:rPr>
          <w:spacing w:val="-4"/>
        </w:rPr>
        <w:t xml:space="preserve"> </w:t>
      </w:r>
      <w:r>
        <w:t>statements</w:t>
      </w:r>
      <w:r>
        <w:rPr>
          <w:spacing w:val="-3"/>
        </w:rPr>
        <w:t xml:space="preserve"> </w:t>
      </w:r>
      <w:r>
        <w:t>and</w:t>
      </w:r>
    </w:p>
    <w:p w14:paraId="0DFDC881" w14:textId="77777777" w:rsidR="00046465" w:rsidRDefault="008134EB">
      <w:pPr>
        <w:pStyle w:val="ListParagraph"/>
        <w:numPr>
          <w:ilvl w:val="0"/>
          <w:numId w:val="64"/>
        </w:numPr>
        <w:tabs>
          <w:tab w:val="left" w:pos="2128"/>
        </w:tabs>
        <w:spacing w:before="0"/>
        <w:ind w:right="870" w:firstLine="0"/>
      </w:pPr>
      <w:r>
        <w:t>provide this schedule to the auditor as soon as practical after the legal counsel</w:t>
      </w:r>
      <w:r>
        <w:rPr>
          <w:spacing w:val="-4"/>
        </w:rPr>
        <w:t xml:space="preserve"> </w:t>
      </w:r>
      <w:r>
        <w:t>response</w:t>
      </w:r>
      <w:r>
        <w:rPr>
          <w:spacing w:val="-4"/>
        </w:rPr>
        <w:t xml:space="preserve"> </w:t>
      </w:r>
      <w:r>
        <w:t>is</w:t>
      </w:r>
      <w:r>
        <w:rPr>
          <w:spacing w:val="-4"/>
        </w:rPr>
        <w:t xml:space="preserve"> </w:t>
      </w:r>
      <w:r>
        <w:t>provided</w:t>
      </w:r>
      <w:r>
        <w:rPr>
          <w:spacing w:val="-4"/>
        </w:rPr>
        <w:t xml:space="preserve"> </w:t>
      </w:r>
      <w:r>
        <w:t>to</w:t>
      </w:r>
      <w:r>
        <w:rPr>
          <w:spacing w:val="-4"/>
        </w:rPr>
        <w:t xml:space="preserve"> </w:t>
      </w:r>
      <w:r>
        <w:t>the</w:t>
      </w:r>
      <w:r>
        <w:rPr>
          <w:spacing w:val="-5"/>
        </w:rPr>
        <w:t xml:space="preserve"> </w:t>
      </w:r>
      <w:r>
        <w:t>auditor.</w:t>
      </w:r>
      <w:r>
        <w:rPr>
          <w:spacing w:val="-4"/>
        </w:rPr>
        <w:t xml:space="preserve"> </w:t>
      </w:r>
      <w:r>
        <w:t>An</w:t>
      </w:r>
      <w:r>
        <w:rPr>
          <w:spacing w:val="-4"/>
        </w:rPr>
        <w:t xml:space="preserve"> </w:t>
      </w:r>
      <w:r>
        <w:t>example</w:t>
      </w:r>
      <w:r>
        <w:rPr>
          <w:spacing w:val="-4"/>
        </w:rPr>
        <w:t xml:space="preserve"> </w:t>
      </w:r>
      <w:r>
        <w:t>management</w:t>
      </w:r>
      <w:r>
        <w:rPr>
          <w:spacing w:val="-4"/>
        </w:rPr>
        <w:t xml:space="preserve"> </w:t>
      </w:r>
      <w:r>
        <w:t>schedule is provided at FAM 1002 D.</w:t>
      </w:r>
    </w:p>
    <w:p w14:paraId="0DFDC882" w14:textId="77777777" w:rsidR="00046465" w:rsidRDefault="008134EB">
      <w:pPr>
        <w:pStyle w:val="BodyText"/>
        <w:spacing w:before="195"/>
        <w:rPr>
          <w:sz w:val="20"/>
        </w:rPr>
      </w:pPr>
      <w:r>
        <w:rPr>
          <w:noProof/>
          <w:sz w:val="20"/>
        </w:rPr>
        <mc:AlternateContent>
          <mc:Choice Requires="wps">
            <w:drawing>
              <wp:anchor distT="0" distB="0" distL="0" distR="0" simplePos="0" relativeHeight="487736320" behindDoc="1" locked="0" layoutInCell="1" allowOverlap="1" wp14:anchorId="0DFDD757" wp14:editId="0DFDD758">
                <wp:simplePos x="0" y="0"/>
                <wp:positionH relativeFrom="page">
                  <wp:posOffset>914400</wp:posOffset>
                </wp:positionH>
                <wp:positionV relativeFrom="paragraph">
                  <wp:posOffset>285659</wp:posOffset>
                </wp:positionV>
                <wp:extent cx="1828800" cy="5715"/>
                <wp:effectExtent l="0" t="0" r="0" b="0"/>
                <wp:wrapTopAndBottom/>
                <wp:docPr id="1107" name="Graphic 1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60241F" id="Graphic 1107" o:spid="_x0000_s1026" style="position:absolute;margin-left:1in;margin-top:22.5pt;width:2in;height:.45pt;z-index:-1558016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" path="m1828800,l,,,5333r1828800,l1828800,xe" fillcolor="black" stroked="f">
                <v:path arrowok="t"/>
                <w10:wrap type="topAndBottom" anchorx="page"/>
              </v:shape>
            </w:pict>
          </mc:Fallback>
        </mc:AlternateContent>
      </w:r>
    </w:p>
    <w:p w14:paraId="0DFDC883" w14:textId="77777777" w:rsidR="00046465" w:rsidRDefault="008134EB">
      <w:pPr>
        <w:spacing w:before="202" w:line="242" w:lineRule="auto"/>
        <w:ind w:left="359" w:right="773"/>
        <w:rPr>
          <w:sz w:val="18"/>
        </w:rPr>
      </w:pPr>
      <w:bookmarkStart w:id="387" w:name="_bookmark219"/>
      <w:bookmarkEnd w:id="387"/>
      <w:r>
        <w:rPr>
          <w:position w:val="7"/>
          <w:sz w:val="14"/>
        </w:rPr>
        <w:t>10</w:t>
      </w:r>
      <w:r>
        <w:rPr>
          <w:sz w:val="18"/>
        </w:rPr>
        <w:t>The</w:t>
      </w:r>
      <w:r>
        <w:rPr>
          <w:spacing w:val="-3"/>
          <w:sz w:val="18"/>
        </w:rPr>
        <w:t xml:space="preserve"> </w:t>
      </w:r>
      <w:r>
        <w:rPr>
          <w:sz w:val="18"/>
        </w:rPr>
        <w:t>financial</w:t>
      </w:r>
      <w:r>
        <w:rPr>
          <w:spacing w:val="-3"/>
          <w:sz w:val="18"/>
        </w:rPr>
        <w:t xml:space="preserve"> </w:t>
      </w:r>
      <w:r>
        <w:rPr>
          <w:sz w:val="18"/>
        </w:rPr>
        <w:t>reporting</w:t>
      </w:r>
      <w:r>
        <w:rPr>
          <w:spacing w:val="-3"/>
          <w:sz w:val="18"/>
        </w:rPr>
        <w:t xml:space="preserve"> </w:t>
      </w:r>
      <w:r>
        <w:rPr>
          <w:sz w:val="18"/>
        </w:rPr>
        <w:t>treatment</w:t>
      </w:r>
      <w:r>
        <w:rPr>
          <w:spacing w:val="-3"/>
          <w:sz w:val="18"/>
        </w:rPr>
        <w:t xml:space="preserve"> </w:t>
      </w:r>
      <w:r>
        <w:rPr>
          <w:sz w:val="18"/>
        </w:rPr>
        <w:t>for</w:t>
      </w:r>
      <w:r>
        <w:rPr>
          <w:spacing w:val="-3"/>
          <w:sz w:val="18"/>
        </w:rPr>
        <w:t xml:space="preserve"> </w:t>
      </w:r>
      <w:r>
        <w:rPr>
          <w:sz w:val="18"/>
        </w:rPr>
        <w:t>cases</w:t>
      </w:r>
      <w:r>
        <w:rPr>
          <w:spacing w:val="-3"/>
          <w:sz w:val="18"/>
        </w:rPr>
        <w:t xml:space="preserve"> </w:t>
      </w:r>
      <w:r>
        <w:rPr>
          <w:sz w:val="18"/>
        </w:rPr>
        <w:t>where</w:t>
      </w:r>
      <w:r>
        <w:rPr>
          <w:spacing w:val="-3"/>
          <w:sz w:val="18"/>
        </w:rPr>
        <w:t xml:space="preserve"> </w:t>
      </w:r>
      <w:r>
        <w:rPr>
          <w:sz w:val="18"/>
        </w:rPr>
        <w:t>the</w:t>
      </w:r>
      <w:r>
        <w:rPr>
          <w:spacing w:val="-3"/>
          <w:sz w:val="18"/>
        </w:rPr>
        <w:t xml:space="preserve"> </w:t>
      </w:r>
      <w:r>
        <w:rPr>
          <w:sz w:val="18"/>
        </w:rPr>
        <w:t>likelihood</w:t>
      </w:r>
      <w:r>
        <w:rPr>
          <w:spacing w:val="-3"/>
          <w:sz w:val="18"/>
        </w:rPr>
        <w:t xml:space="preserve"> </w:t>
      </w:r>
      <w:r>
        <w:rPr>
          <w:sz w:val="18"/>
        </w:rPr>
        <w:t>of</w:t>
      </w:r>
      <w:r>
        <w:rPr>
          <w:spacing w:val="-3"/>
          <w:sz w:val="18"/>
        </w:rPr>
        <w:t xml:space="preserve"> </w:t>
      </w:r>
      <w:r>
        <w:rPr>
          <w:sz w:val="18"/>
        </w:rPr>
        <w:t>future</w:t>
      </w:r>
      <w:r>
        <w:rPr>
          <w:spacing w:val="-3"/>
          <w:sz w:val="18"/>
        </w:rPr>
        <w:t xml:space="preserve"> </w:t>
      </w:r>
      <w:r>
        <w:rPr>
          <w:sz w:val="18"/>
        </w:rPr>
        <w:t>outflow</w:t>
      </w:r>
      <w:r>
        <w:rPr>
          <w:spacing w:val="-3"/>
          <w:sz w:val="18"/>
        </w:rPr>
        <w:t xml:space="preserve"> </w:t>
      </w:r>
      <w:r>
        <w:rPr>
          <w:sz w:val="18"/>
        </w:rPr>
        <w:t>or</w:t>
      </w:r>
      <w:r>
        <w:rPr>
          <w:spacing w:val="-3"/>
          <w:sz w:val="18"/>
        </w:rPr>
        <w:t xml:space="preserve"> </w:t>
      </w:r>
      <w:r>
        <w:rPr>
          <w:sz w:val="18"/>
        </w:rPr>
        <w:t>other</w:t>
      </w:r>
      <w:r>
        <w:rPr>
          <w:spacing w:val="-2"/>
          <w:sz w:val="18"/>
        </w:rPr>
        <w:t xml:space="preserve"> </w:t>
      </w:r>
      <w:r>
        <w:rPr>
          <w:sz w:val="18"/>
        </w:rPr>
        <w:t>sacrifice</w:t>
      </w:r>
      <w:r>
        <w:rPr>
          <w:spacing w:val="-3"/>
          <w:sz w:val="18"/>
        </w:rPr>
        <w:t xml:space="preserve"> </w:t>
      </w:r>
      <w:r>
        <w:rPr>
          <w:sz w:val="18"/>
        </w:rPr>
        <w:t>of</w:t>
      </w:r>
      <w:r>
        <w:rPr>
          <w:spacing w:val="-3"/>
          <w:sz w:val="18"/>
        </w:rPr>
        <w:t xml:space="preserve"> </w:t>
      </w:r>
      <w:r>
        <w:rPr>
          <w:sz w:val="18"/>
        </w:rPr>
        <w:t>resources</w:t>
      </w:r>
      <w:r>
        <w:rPr>
          <w:spacing w:val="-3"/>
          <w:sz w:val="18"/>
        </w:rPr>
        <w:t xml:space="preserve"> </w:t>
      </w:r>
      <w:r>
        <w:rPr>
          <w:sz w:val="18"/>
        </w:rPr>
        <w:t xml:space="preserve">is assessed as “unable to determine” should be consistent with the disclosure requirements for reasonably possible cases. Per the </w:t>
      </w:r>
      <w:r>
        <w:rPr>
          <w:i/>
          <w:sz w:val="18"/>
        </w:rPr>
        <w:t>Treasury Financial Manual</w:t>
      </w:r>
      <w:r>
        <w:rPr>
          <w:sz w:val="18"/>
        </w:rPr>
        <w:t>, entities significant to the consolidated financial statements of the U.S. government should avoid excessive use (and misuse) of the "unable to determine" assessment. This likelihood should</w:t>
      </w:r>
      <w:r>
        <w:rPr>
          <w:spacing w:val="-1"/>
          <w:sz w:val="18"/>
        </w:rPr>
        <w:t xml:space="preserve"> </w:t>
      </w:r>
      <w:r>
        <w:rPr>
          <w:sz w:val="18"/>
        </w:rPr>
        <w:t>only be used</w:t>
      </w:r>
      <w:r>
        <w:rPr>
          <w:spacing w:val="-1"/>
          <w:sz w:val="18"/>
        </w:rPr>
        <w:t xml:space="preserve"> </w:t>
      </w:r>
      <w:r>
        <w:rPr>
          <w:sz w:val="18"/>
        </w:rPr>
        <w:t>to</w:t>
      </w:r>
      <w:r>
        <w:rPr>
          <w:spacing w:val="-1"/>
          <w:sz w:val="18"/>
        </w:rPr>
        <w:t xml:space="preserve"> </w:t>
      </w:r>
      <w:r>
        <w:rPr>
          <w:sz w:val="18"/>
        </w:rPr>
        <w:t>categorize</w:t>
      </w:r>
      <w:r>
        <w:rPr>
          <w:spacing w:val="-1"/>
          <w:sz w:val="18"/>
        </w:rPr>
        <w:t xml:space="preserve"> </w:t>
      </w:r>
      <w:r>
        <w:rPr>
          <w:sz w:val="18"/>
        </w:rPr>
        <w:t>cases for which</w:t>
      </w:r>
      <w:r>
        <w:rPr>
          <w:spacing w:val="-1"/>
          <w:sz w:val="18"/>
        </w:rPr>
        <w:t xml:space="preserve"> </w:t>
      </w:r>
      <w:r>
        <w:rPr>
          <w:sz w:val="18"/>
        </w:rPr>
        <w:t>the</w:t>
      </w:r>
      <w:r>
        <w:rPr>
          <w:spacing w:val="-1"/>
          <w:sz w:val="18"/>
        </w:rPr>
        <w:t xml:space="preserve"> </w:t>
      </w:r>
      <w:r>
        <w:rPr>
          <w:sz w:val="18"/>
        </w:rPr>
        <w:t>general counsel is unable</w:t>
      </w:r>
      <w:r>
        <w:rPr>
          <w:spacing w:val="-1"/>
          <w:sz w:val="18"/>
        </w:rPr>
        <w:t xml:space="preserve"> </w:t>
      </w:r>
      <w:r>
        <w:rPr>
          <w:sz w:val="18"/>
        </w:rPr>
        <w:t>to</w:t>
      </w:r>
      <w:r>
        <w:rPr>
          <w:spacing w:val="-1"/>
          <w:sz w:val="18"/>
        </w:rPr>
        <w:t xml:space="preserve"> </w:t>
      </w:r>
      <w:r>
        <w:rPr>
          <w:sz w:val="18"/>
        </w:rPr>
        <w:t>express an</w:t>
      </w:r>
      <w:r>
        <w:rPr>
          <w:spacing w:val="-1"/>
          <w:sz w:val="18"/>
        </w:rPr>
        <w:t xml:space="preserve"> </w:t>
      </w:r>
      <w:r>
        <w:rPr>
          <w:sz w:val="18"/>
        </w:rPr>
        <w:t>opinion</w:t>
      </w:r>
      <w:r>
        <w:rPr>
          <w:spacing w:val="-1"/>
          <w:sz w:val="18"/>
        </w:rPr>
        <w:t xml:space="preserve"> </w:t>
      </w:r>
      <w:r>
        <w:rPr>
          <w:sz w:val="18"/>
        </w:rPr>
        <w:t>because</w:t>
      </w:r>
      <w:r>
        <w:rPr>
          <w:spacing w:val="-1"/>
          <w:sz w:val="18"/>
        </w:rPr>
        <w:t xml:space="preserve"> </w:t>
      </w:r>
      <w:r>
        <w:rPr>
          <w:sz w:val="18"/>
        </w:rPr>
        <w:t>of inherent uncertainties.</w:t>
      </w:r>
    </w:p>
    <w:p w14:paraId="0DFDC884" w14:textId="77777777" w:rsidR="00046465" w:rsidRDefault="00046465">
      <w:pPr>
        <w:spacing w:line="242" w:lineRule="auto"/>
        <w:rPr>
          <w:sz w:val="18"/>
        </w:rPr>
        <w:sectPr w:rsidR="00046465">
          <w:pgSz w:w="12240" w:h="15840"/>
          <w:pgMar w:top="1340" w:right="720" w:bottom="940" w:left="1080" w:header="721" w:footer="757" w:gutter="0"/>
          <w:cols w:space="720"/>
        </w:sectPr>
      </w:pPr>
    </w:p>
    <w:p w14:paraId="0DFDC885" w14:textId="77777777" w:rsidR="00046465" w:rsidRDefault="008134EB">
      <w:pPr>
        <w:pStyle w:val="Heading4"/>
        <w:spacing w:before="121"/>
      </w:pPr>
      <w:r>
        <w:lastRenderedPageBreak/>
        <w:t>Audit</w:t>
      </w:r>
      <w:r>
        <w:rPr>
          <w:spacing w:val="-10"/>
        </w:rPr>
        <w:t xml:space="preserve"> </w:t>
      </w:r>
      <w:r>
        <w:rPr>
          <w:spacing w:val="-2"/>
        </w:rPr>
        <w:t>Procedures</w:t>
      </w:r>
    </w:p>
    <w:p w14:paraId="0DFDC886" w14:textId="77777777" w:rsidR="00046465" w:rsidRDefault="008134EB">
      <w:pPr>
        <w:pStyle w:val="ListParagraph"/>
        <w:numPr>
          <w:ilvl w:val="0"/>
          <w:numId w:val="65"/>
        </w:numPr>
        <w:tabs>
          <w:tab w:val="left" w:pos="1800"/>
        </w:tabs>
        <w:ind w:right="725"/>
      </w:pPr>
      <w:r>
        <w:t>As discussed in FAM 280.03, the auditor should design and perform audit procedures to identify litigation, claims, and assessments involving the entity that may</w:t>
      </w:r>
      <w:r>
        <w:rPr>
          <w:spacing w:val="-2"/>
        </w:rPr>
        <w:t xml:space="preserve"> </w:t>
      </w:r>
      <w:r>
        <w:t>give</w:t>
      </w:r>
      <w:r>
        <w:rPr>
          <w:spacing w:val="-2"/>
        </w:rPr>
        <w:t xml:space="preserve"> </w:t>
      </w:r>
      <w:r>
        <w:t>rise</w:t>
      </w:r>
      <w:r>
        <w:rPr>
          <w:spacing w:val="-2"/>
        </w:rPr>
        <w:t xml:space="preserve"> </w:t>
      </w:r>
      <w:r>
        <w:t>to</w:t>
      </w:r>
      <w:r>
        <w:rPr>
          <w:spacing w:val="-2"/>
        </w:rPr>
        <w:t xml:space="preserve"> </w:t>
      </w:r>
      <w:r>
        <w:t>a</w:t>
      </w:r>
      <w:r>
        <w:rPr>
          <w:spacing w:val="-2"/>
        </w:rPr>
        <w:t xml:space="preserve"> </w:t>
      </w:r>
      <w:r>
        <w:t>risk</w:t>
      </w:r>
      <w:r>
        <w:rPr>
          <w:spacing w:val="-2"/>
        </w:rPr>
        <w:t xml:space="preserve"> </w:t>
      </w:r>
      <w:r>
        <w:t>of</w:t>
      </w:r>
      <w:r>
        <w:rPr>
          <w:spacing w:val="-3"/>
        </w:rPr>
        <w:t xml:space="preserve"> </w:t>
      </w:r>
      <w:r>
        <w:t>material</w:t>
      </w:r>
      <w:r>
        <w:rPr>
          <w:spacing w:val="-2"/>
        </w:rPr>
        <w:t xml:space="preserve"> </w:t>
      </w:r>
      <w:r>
        <w:t>misstatement.</w:t>
      </w:r>
      <w:r>
        <w:rPr>
          <w:spacing w:val="-2"/>
        </w:rPr>
        <w:t xml:space="preserve"> </w:t>
      </w:r>
      <w:r>
        <w:t>Such</w:t>
      </w:r>
      <w:r>
        <w:rPr>
          <w:spacing w:val="-2"/>
        </w:rPr>
        <w:t xml:space="preserve"> </w:t>
      </w:r>
      <w:r>
        <w:t>procedures</w:t>
      </w:r>
      <w:r>
        <w:rPr>
          <w:spacing w:val="-2"/>
        </w:rPr>
        <w:t xml:space="preserve"> </w:t>
      </w:r>
      <w:r>
        <w:t>include</w:t>
      </w:r>
      <w:r>
        <w:rPr>
          <w:spacing w:val="-2"/>
        </w:rPr>
        <w:t xml:space="preserve"> </w:t>
      </w:r>
      <w:r>
        <w:t>making inquiries</w:t>
      </w:r>
      <w:r>
        <w:rPr>
          <w:spacing w:val="-4"/>
        </w:rPr>
        <w:t xml:space="preserve"> </w:t>
      </w:r>
      <w:r>
        <w:t>of</w:t>
      </w:r>
      <w:r>
        <w:rPr>
          <w:spacing w:val="-6"/>
        </w:rPr>
        <w:t xml:space="preserve"> </w:t>
      </w:r>
      <w:r>
        <w:t>management,</w:t>
      </w:r>
      <w:r>
        <w:rPr>
          <w:spacing w:val="-4"/>
        </w:rPr>
        <w:t xml:space="preserve"> </w:t>
      </w:r>
      <w:r>
        <w:t>which</w:t>
      </w:r>
      <w:r>
        <w:rPr>
          <w:spacing w:val="-4"/>
        </w:rPr>
        <w:t xml:space="preserve"> </w:t>
      </w:r>
      <w:r>
        <w:t>may</w:t>
      </w:r>
      <w:r>
        <w:rPr>
          <w:spacing w:val="-4"/>
        </w:rPr>
        <w:t xml:space="preserve"> </w:t>
      </w:r>
      <w:r>
        <w:t>involve</w:t>
      </w:r>
      <w:r>
        <w:rPr>
          <w:spacing w:val="-4"/>
        </w:rPr>
        <w:t xml:space="preserve"> </w:t>
      </w:r>
      <w:r>
        <w:t>a</w:t>
      </w:r>
      <w:r>
        <w:rPr>
          <w:spacing w:val="-4"/>
        </w:rPr>
        <w:t xml:space="preserve"> </w:t>
      </w:r>
      <w:r>
        <w:t>discussion</w:t>
      </w:r>
      <w:r>
        <w:rPr>
          <w:spacing w:val="-4"/>
        </w:rPr>
        <w:t xml:space="preserve"> </w:t>
      </w:r>
      <w:r>
        <w:t>about</w:t>
      </w:r>
      <w:r>
        <w:rPr>
          <w:spacing w:val="-4"/>
        </w:rPr>
        <w:t xml:space="preserve"> </w:t>
      </w:r>
      <w:r>
        <w:t>their</w:t>
      </w:r>
      <w:r>
        <w:rPr>
          <w:spacing w:val="-4"/>
        </w:rPr>
        <w:t xml:space="preserve"> </w:t>
      </w:r>
      <w:r>
        <w:t>policies</w:t>
      </w:r>
      <w:r>
        <w:rPr>
          <w:spacing w:val="-4"/>
        </w:rPr>
        <w:t xml:space="preserve"> </w:t>
      </w:r>
      <w:r>
        <w:t>and procedures for identifying, evaluating, and accounting for litigation, claims, and assessments. The auditor should also design procedures to test the entity’s accounting for and disclosure of litigation, claims, and assessments. See example audit procedures and other practice aids at FAM 1002 A, FAM 1002 B, and FAM 1002 C, which incorporate the applicable AU-C audit requirements.</w:t>
      </w:r>
    </w:p>
    <w:p w14:paraId="0DFDC887" w14:textId="77777777" w:rsidR="00046465" w:rsidRDefault="008134EB">
      <w:pPr>
        <w:pStyle w:val="BodyText"/>
        <w:ind w:left="1800"/>
      </w:pPr>
      <w:r>
        <w:t>OMB</w:t>
      </w:r>
      <w:r>
        <w:rPr>
          <w:spacing w:val="-5"/>
        </w:rPr>
        <w:t xml:space="preserve"> </w:t>
      </w:r>
      <w:r>
        <w:t>audit</w:t>
      </w:r>
      <w:r>
        <w:rPr>
          <w:spacing w:val="-5"/>
        </w:rPr>
        <w:t xml:space="preserve"> </w:t>
      </w:r>
      <w:r>
        <w:t>guidance</w:t>
      </w:r>
      <w:r>
        <w:rPr>
          <w:spacing w:val="-5"/>
        </w:rPr>
        <w:t xml:space="preserve"> </w:t>
      </w:r>
      <w:r>
        <w:t>also</w:t>
      </w:r>
      <w:r>
        <w:rPr>
          <w:spacing w:val="-5"/>
        </w:rPr>
        <w:t xml:space="preserve"> </w:t>
      </w:r>
      <w:r>
        <w:t>provides</w:t>
      </w:r>
      <w:r>
        <w:rPr>
          <w:spacing w:val="-4"/>
        </w:rPr>
        <w:t xml:space="preserve"> </w:t>
      </w:r>
      <w:r>
        <w:t>procedures</w:t>
      </w:r>
      <w:r>
        <w:rPr>
          <w:spacing w:val="-4"/>
        </w:rPr>
        <w:t xml:space="preserve"> </w:t>
      </w:r>
      <w:r>
        <w:t>related</w:t>
      </w:r>
      <w:r>
        <w:rPr>
          <w:spacing w:val="-5"/>
        </w:rPr>
        <w:t xml:space="preserve"> </w:t>
      </w:r>
      <w:r>
        <w:t>to</w:t>
      </w:r>
      <w:r>
        <w:rPr>
          <w:spacing w:val="-5"/>
        </w:rPr>
        <w:t xml:space="preserve"> </w:t>
      </w:r>
      <w:r>
        <w:t>litigation,</w:t>
      </w:r>
      <w:r>
        <w:rPr>
          <w:spacing w:val="-5"/>
        </w:rPr>
        <w:t xml:space="preserve"> </w:t>
      </w:r>
      <w:r>
        <w:t>claims,</w:t>
      </w:r>
      <w:r>
        <w:rPr>
          <w:spacing w:val="-5"/>
        </w:rPr>
        <w:t xml:space="preserve"> </w:t>
      </w:r>
      <w:r>
        <w:t xml:space="preserve">and </w:t>
      </w:r>
      <w:r>
        <w:rPr>
          <w:spacing w:val="-2"/>
        </w:rPr>
        <w:t>assessments.</w:t>
      </w:r>
    </w:p>
    <w:p w14:paraId="0DFDC888" w14:textId="77777777" w:rsidR="00046465" w:rsidRDefault="008134EB">
      <w:pPr>
        <w:pStyle w:val="ListParagraph"/>
        <w:numPr>
          <w:ilvl w:val="0"/>
          <w:numId w:val="63"/>
        </w:numPr>
        <w:tabs>
          <w:tab w:val="left" w:pos="1800"/>
        </w:tabs>
        <w:ind w:right="752"/>
      </w:pPr>
      <w:r>
        <w:t>Based</w:t>
      </w:r>
      <w:r>
        <w:rPr>
          <w:spacing w:val="-4"/>
        </w:rPr>
        <w:t xml:space="preserve"> </w:t>
      </w:r>
      <w:r>
        <w:t>on</w:t>
      </w:r>
      <w:r>
        <w:rPr>
          <w:spacing w:val="-4"/>
        </w:rPr>
        <w:t xml:space="preserve"> </w:t>
      </w:r>
      <w:r>
        <w:t>AU-C</w:t>
      </w:r>
      <w:r>
        <w:rPr>
          <w:spacing w:val="-5"/>
        </w:rPr>
        <w:t xml:space="preserve"> </w:t>
      </w:r>
      <w:r>
        <w:t>501.18,</w:t>
      </w:r>
      <w:r>
        <w:rPr>
          <w:spacing w:val="-4"/>
        </w:rPr>
        <w:t xml:space="preserve"> </w:t>
      </w:r>
      <w:r>
        <w:t>for</w:t>
      </w:r>
      <w:r>
        <w:rPr>
          <w:spacing w:val="-4"/>
        </w:rPr>
        <w:t xml:space="preserve"> </w:t>
      </w:r>
      <w:r>
        <w:t>actual</w:t>
      </w:r>
      <w:r>
        <w:rPr>
          <w:spacing w:val="-4"/>
        </w:rPr>
        <w:t xml:space="preserve"> </w:t>
      </w:r>
      <w:r>
        <w:t>or</w:t>
      </w:r>
      <w:r>
        <w:rPr>
          <w:spacing w:val="-5"/>
        </w:rPr>
        <w:t xml:space="preserve"> </w:t>
      </w:r>
      <w:r>
        <w:t>potential</w:t>
      </w:r>
      <w:r>
        <w:rPr>
          <w:spacing w:val="-4"/>
        </w:rPr>
        <w:t xml:space="preserve"> </w:t>
      </w:r>
      <w:r>
        <w:t>litigation,</w:t>
      </w:r>
      <w:r>
        <w:rPr>
          <w:spacing w:val="-4"/>
        </w:rPr>
        <w:t xml:space="preserve"> </w:t>
      </w:r>
      <w:r>
        <w:t>claims,</w:t>
      </w:r>
      <w:r>
        <w:rPr>
          <w:spacing w:val="-4"/>
        </w:rPr>
        <w:t xml:space="preserve"> </w:t>
      </w:r>
      <w:r>
        <w:t>and</w:t>
      </w:r>
      <w:r>
        <w:rPr>
          <w:spacing w:val="-4"/>
        </w:rPr>
        <w:t xml:space="preserve"> </w:t>
      </w:r>
      <w:r>
        <w:t>assessments identified in performing the required audit procedures discussed in FAM 280.03, the auditor should obtain audit evidence relevant to the following factors:</w:t>
      </w:r>
    </w:p>
    <w:p w14:paraId="0DFDC889" w14:textId="77777777" w:rsidR="00046465" w:rsidRDefault="008134EB">
      <w:pPr>
        <w:pStyle w:val="ListParagraph"/>
        <w:numPr>
          <w:ilvl w:val="1"/>
          <w:numId w:val="63"/>
        </w:numPr>
        <w:tabs>
          <w:tab w:val="left" w:pos="2159"/>
        </w:tabs>
        <w:ind w:left="2159" w:hanging="359"/>
      </w:pPr>
      <w:r>
        <w:t>the</w:t>
      </w:r>
      <w:r>
        <w:rPr>
          <w:spacing w:val="-6"/>
        </w:rPr>
        <w:t xml:space="preserve"> </w:t>
      </w:r>
      <w:r>
        <w:t>period</w:t>
      </w:r>
      <w:r>
        <w:rPr>
          <w:spacing w:val="-5"/>
        </w:rPr>
        <w:t xml:space="preserve"> </w:t>
      </w:r>
      <w:r>
        <w:t>in</w:t>
      </w:r>
      <w:r>
        <w:rPr>
          <w:spacing w:val="-6"/>
        </w:rPr>
        <w:t xml:space="preserve"> </w:t>
      </w:r>
      <w:r>
        <w:t>which</w:t>
      </w:r>
      <w:r>
        <w:rPr>
          <w:spacing w:val="-5"/>
        </w:rPr>
        <w:t xml:space="preserve"> </w:t>
      </w:r>
      <w:r>
        <w:t>the</w:t>
      </w:r>
      <w:r>
        <w:rPr>
          <w:spacing w:val="-5"/>
        </w:rPr>
        <w:t xml:space="preserve"> </w:t>
      </w:r>
      <w:r>
        <w:t>underlying</w:t>
      </w:r>
      <w:r>
        <w:rPr>
          <w:spacing w:val="-6"/>
        </w:rPr>
        <w:t xml:space="preserve"> </w:t>
      </w:r>
      <w:r>
        <w:t>cause</w:t>
      </w:r>
      <w:r>
        <w:rPr>
          <w:spacing w:val="-5"/>
        </w:rPr>
        <w:t xml:space="preserve"> </w:t>
      </w:r>
      <w:r>
        <w:t>for</w:t>
      </w:r>
      <w:r>
        <w:rPr>
          <w:spacing w:val="-5"/>
        </w:rPr>
        <w:t xml:space="preserve"> </w:t>
      </w:r>
      <w:r>
        <w:t>legal</w:t>
      </w:r>
      <w:r>
        <w:rPr>
          <w:spacing w:val="-6"/>
        </w:rPr>
        <w:t xml:space="preserve"> </w:t>
      </w:r>
      <w:r>
        <w:t>action</w:t>
      </w:r>
      <w:r>
        <w:rPr>
          <w:spacing w:val="-5"/>
        </w:rPr>
        <w:t xml:space="preserve"> </w:t>
      </w:r>
      <w:r>
        <w:rPr>
          <w:spacing w:val="-2"/>
        </w:rPr>
        <w:t>occurred;</w:t>
      </w:r>
    </w:p>
    <w:p w14:paraId="0DFDC88A" w14:textId="77777777" w:rsidR="00046465" w:rsidRDefault="008134EB">
      <w:pPr>
        <w:pStyle w:val="ListParagraph"/>
        <w:numPr>
          <w:ilvl w:val="1"/>
          <w:numId w:val="63"/>
        </w:numPr>
        <w:tabs>
          <w:tab w:val="left" w:pos="2160"/>
        </w:tabs>
        <w:spacing w:before="119"/>
        <w:ind w:right="954"/>
      </w:pPr>
      <w:r>
        <w:t>the</w:t>
      </w:r>
      <w:r>
        <w:rPr>
          <w:spacing w:val="-5"/>
        </w:rPr>
        <w:t xml:space="preserve"> </w:t>
      </w:r>
      <w:r>
        <w:t>likelihood</w:t>
      </w:r>
      <w:r>
        <w:rPr>
          <w:spacing w:val="-5"/>
        </w:rPr>
        <w:t xml:space="preserve"> </w:t>
      </w:r>
      <w:r>
        <w:t>of</w:t>
      </w:r>
      <w:r>
        <w:rPr>
          <w:spacing w:val="-5"/>
        </w:rPr>
        <w:t xml:space="preserve"> </w:t>
      </w:r>
      <w:r>
        <w:t>an</w:t>
      </w:r>
      <w:r>
        <w:rPr>
          <w:spacing w:val="-5"/>
        </w:rPr>
        <w:t xml:space="preserve"> </w:t>
      </w:r>
      <w:r>
        <w:t>unfavorable</w:t>
      </w:r>
      <w:r>
        <w:rPr>
          <w:spacing w:val="-5"/>
        </w:rPr>
        <w:t xml:space="preserve"> </w:t>
      </w:r>
      <w:r>
        <w:t>outcome</w:t>
      </w:r>
      <w:r>
        <w:rPr>
          <w:spacing w:val="-5"/>
        </w:rPr>
        <w:t xml:space="preserve"> </w:t>
      </w:r>
      <w:r>
        <w:t>(probable,</w:t>
      </w:r>
      <w:r>
        <w:rPr>
          <w:spacing w:val="-5"/>
        </w:rPr>
        <w:t xml:space="preserve"> </w:t>
      </w:r>
      <w:r>
        <w:t>reasonably</w:t>
      </w:r>
      <w:r>
        <w:rPr>
          <w:spacing w:val="-5"/>
        </w:rPr>
        <w:t xml:space="preserve"> </w:t>
      </w:r>
      <w:r>
        <w:t>possible,</w:t>
      </w:r>
      <w:r>
        <w:rPr>
          <w:spacing w:val="-6"/>
        </w:rPr>
        <w:t xml:space="preserve"> </w:t>
      </w:r>
      <w:r>
        <w:t>or remote); and</w:t>
      </w:r>
    </w:p>
    <w:p w14:paraId="0DFDC88B" w14:textId="77777777" w:rsidR="00046465" w:rsidRDefault="008134EB">
      <w:pPr>
        <w:pStyle w:val="ListParagraph"/>
        <w:numPr>
          <w:ilvl w:val="1"/>
          <w:numId w:val="63"/>
        </w:numPr>
        <w:tabs>
          <w:tab w:val="left" w:pos="2159"/>
        </w:tabs>
        <w:spacing w:before="121"/>
        <w:ind w:left="2159" w:hanging="359"/>
      </w:pPr>
      <w:r>
        <w:t>the</w:t>
      </w:r>
      <w:r>
        <w:rPr>
          <w:spacing w:val="-5"/>
        </w:rPr>
        <w:t xml:space="preserve"> </w:t>
      </w:r>
      <w:r>
        <w:t>amount</w:t>
      </w:r>
      <w:r>
        <w:rPr>
          <w:spacing w:val="-5"/>
        </w:rPr>
        <w:t xml:space="preserve"> </w:t>
      </w:r>
      <w:r>
        <w:t>or</w:t>
      </w:r>
      <w:r>
        <w:rPr>
          <w:spacing w:val="-4"/>
        </w:rPr>
        <w:t xml:space="preserve"> </w:t>
      </w:r>
      <w:r>
        <w:t>range</w:t>
      </w:r>
      <w:r>
        <w:rPr>
          <w:spacing w:val="-5"/>
        </w:rPr>
        <w:t xml:space="preserve"> </w:t>
      </w:r>
      <w:r>
        <w:t>of</w:t>
      </w:r>
      <w:r>
        <w:rPr>
          <w:spacing w:val="-4"/>
        </w:rPr>
        <w:t xml:space="preserve"> </w:t>
      </w:r>
      <w:r>
        <w:t>potential</w:t>
      </w:r>
      <w:r>
        <w:rPr>
          <w:spacing w:val="-5"/>
        </w:rPr>
        <w:t xml:space="preserve"> </w:t>
      </w:r>
      <w:r>
        <w:t>loss,</w:t>
      </w:r>
      <w:r>
        <w:rPr>
          <w:spacing w:val="-5"/>
        </w:rPr>
        <w:t xml:space="preserve"> </w:t>
      </w:r>
      <w:r>
        <w:t>if</w:t>
      </w:r>
      <w:r>
        <w:rPr>
          <w:spacing w:val="-4"/>
        </w:rPr>
        <w:t xml:space="preserve"> </w:t>
      </w:r>
      <w:r>
        <w:rPr>
          <w:spacing w:val="-2"/>
        </w:rPr>
        <w:t>estimable.</w:t>
      </w:r>
    </w:p>
    <w:p w14:paraId="0DFDC88C" w14:textId="77777777" w:rsidR="00046465" w:rsidRDefault="008134EB">
      <w:pPr>
        <w:pStyle w:val="BodyText"/>
        <w:spacing w:before="120"/>
        <w:ind w:left="1800"/>
      </w:pPr>
      <w:r>
        <w:t>Additionally, as discussed in FAM 1001.18, the auditor should obtain written representation</w:t>
      </w:r>
      <w:r>
        <w:rPr>
          <w:spacing w:val="-9"/>
        </w:rPr>
        <w:t xml:space="preserve"> </w:t>
      </w:r>
      <w:r>
        <w:t>from</w:t>
      </w:r>
      <w:r>
        <w:rPr>
          <w:spacing w:val="-9"/>
        </w:rPr>
        <w:t xml:space="preserve"> </w:t>
      </w:r>
      <w:r>
        <w:t>management</w:t>
      </w:r>
      <w:r>
        <w:rPr>
          <w:spacing w:val="-9"/>
        </w:rPr>
        <w:t xml:space="preserve"> </w:t>
      </w:r>
      <w:r>
        <w:t>related</w:t>
      </w:r>
      <w:r>
        <w:rPr>
          <w:spacing w:val="-8"/>
        </w:rPr>
        <w:t xml:space="preserve"> </w:t>
      </w:r>
      <w:r>
        <w:t>to</w:t>
      </w:r>
      <w:r>
        <w:rPr>
          <w:spacing w:val="-8"/>
        </w:rPr>
        <w:t xml:space="preserve"> </w:t>
      </w:r>
      <w:r>
        <w:t>litigation,</w:t>
      </w:r>
      <w:r>
        <w:rPr>
          <w:spacing w:val="-9"/>
        </w:rPr>
        <w:t xml:space="preserve"> </w:t>
      </w:r>
      <w:r>
        <w:t>claims,</w:t>
      </w:r>
      <w:r>
        <w:rPr>
          <w:spacing w:val="-8"/>
        </w:rPr>
        <w:t xml:space="preserve"> </w:t>
      </w:r>
      <w:r>
        <w:t>and</w:t>
      </w:r>
      <w:r>
        <w:rPr>
          <w:spacing w:val="-9"/>
        </w:rPr>
        <w:t xml:space="preserve"> </w:t>
      </w:r>
      <w:r>
        <w:rPr>
          <w:spacing w:val="-2"/>
        </w:rPr>
        <w:t>assessments.</w:t>
      </w:r>
    </w:p>
    <w:p w14:paraId="0DFDC88D" w14:textId="77777777" w:rsidR="00046465" w:rsidRDefault="008134EB">
      <w:pPr>
        <w:pStyle w:val="ListParagraph"/>
        <w:numPr>
          <w:ilvl w:val="0"/>
          <w:numId w:val="63"/>
        </w:numPr>
        <w:tabs>
          <w:tab w:val="left" w:pos="1800"/>
        </w:tabs>
        <w:spacing w:before="119"/>
        <w:ind w:right="726"/>
      </w:pPr>
      <w:r>
        <w:t>The</w:t>
      </w:r>
      <w:r>
        <w:rPr>
          <w:spacing w:val="-4"/>
        </w:rPr>
        <w:t xml:space="preserve"> </w:t>
      </w:r>
      <w:r>
        <w:t>auditor</w:t>
      </w:r>
      <w:r>
        <w:rPr>
          <w:spacing w:val="-6"/>
        </w:rPr>
        <w:t xml:space="preserve"> </w:t>
      </w:r>
      <w:r>
        <w:t>should</w:t>
      </w:r>
      <w:r>
        <w:rPr>
          <w:spacing w:val="-4"/>
        </w:rPr>
        <w:t xml:space="preserve"> </w:t>
      </w:r>
      <w:r>
        <w:t>perform</w:t>
      </w:r>
      <w:r>
        <w:rPr>
          <w:spacing w:val="-5"/>
        </w:rPr>
        <w:t xml:space="preserve"> </w:t>
      </w:r>
      <w:r>
        <w:t>procedures</w:t>
      </w:r>
      <w:r>
        <w:rPr>
          <w:spacing w:val="-4"/>
        </w:rPr>
        <w:t xml:space="preserve"> </w:t>
      </w:r>
      <w:r>
        <w:t>to</w:t>
      </w:r>
      <w:r>
        <w:rPr>
          <w:spacing w:val="-4"/>
        </w:rPr>
        <w:t xml:space="preserve"> </w:t>
      </w:r>
      <w:r>
        <w:t>learn</w:t>
      </w:r>
      <w:r>
        <w:rPr>
          <w:spacing w:val="-4"/>
        </w:rPr>
        <w:t xml:space="preserve"> </w:t>
      </w:r>
      <w:r>
        <w:t>about</w:t>
      </w:r>
      <w:r>
        <w:rPr>
          <w:spacing w:val="-4"/>
        </w:rPr>
        <w:t xml:space="preserve"> </w:t>
      </w:r>
      <w:r>
        <w:t>certain</w:t>
      </w:r>
      <w:r>
        <w:rPr>
          <w:spacing w:val="-5"/>
        </w:rPr>
        <w:t xml:space="preserve"> </w:t>
      </w:r>
      <w:r>
        <w:t>legal</w:t>
      </w:r>
      <w:r>
        <w:rPr>
          <w:spacing w:val="-4"/>
        </w:rPr>
        <w:t xml:space="preserve"> </w:t>
      </w:r>
      <w:r>
        <w:t>claims</w:t>
      </w:r>
      <w:r>
        <w:rPr>
          <w:spacing w:val="-4"/>
        </w:rPr>
        <w:t xml:space="preserve"> </w:t>
      </w:r>
      <w:r>
        <w:t>against the government involving interaction between the government and its environment. This could include events where federal operations caused (1) hazardous waste for cleanup, (2) accidental damage to nonfederal property, or</w:t>
      </w:r>
    </w:p>
    <w:p w14:paraId="0DFDC88E" w14:textId="77777777" w:rsidR="00046465" w:rsidRDefault="008134EB">
      <w:pPr>
        <w:pStyle w:val="BodyText"/>
        <w:spacing w:before="1"/>
        <w:ind w:left="1800" w:right="749"/>
      </w:pPr>
      <w:r>
        <w:t>(3)</w:t>
      </w:r>
      <w:r>
        <w:rPr>
          <w:spacing w:val="-3"/>
        </w:rPr>
        <w:t xml:space="preserve"> </w:t>
      </w:r>
      <w:r>
        <w:t>other</w:t>
      </w:r>
      <w:r>
        <w:rPr>
          <w:spacing w:val="-3"/>
        </w:rPr>
        <w:t xml:space="preserve"> </w:t>
      </w:r>
      <w:r>
        <w:t>damage</w:t>
      </w:r>
      <w:r>
        <w:rPr>
          <w:spacing w:val="-3"/>
        </w:rPr>
        <w:t xml:space="preserve"> </w:t>
      </w:r>
      <w:r>
        <w:t>to</w:t>
      </w:r>
      <w:r>
        <w:rPr>
          <w:spacing w:val="-3"/>
        </w:rPr>
        <w:t xml:space="preserve"> </w:t>
      </w:r>
      <w:r>
        <w:t>federal</w:t>
      </w:r>
      <w:r>
        <w:rPr>
          <w:spacing w:val="-3"/>
        </w:rPr>
        <w:t xml:space="preserve"> </w:t>
      </w:r>
      <w:r>
        <w:t>property.</w:t>
      </w:r>
      <w:r>
        <w:rPr>
          <w:spacing w:val="-3"/>
        </w:rPr>
        <w:t xml:space="preserve"> </w:t>
      </w:r>
      <w:r>
        <w:t>In</w:t>
      </w:r>
      <w:r>
        <w:rPr>
          <w:spacing w:val="-3"/>
        </w:rPr>
        <w:t xml:space="preserve"> </w:t>
      </w:r>
      <w:r>
        <w:t>these</w:t>
      </w:r>
      <w:r>
        <w:rPr>
          <w:spacing w:val="-4"/>
        </w:rPr>
        <w:t xml:space="preserve"> </w:t>
      </w:r>
      <w:r>
        <w:t>cases,</w:t>
      </w:r>
      <w:r>
        <w:rPr>
          <w:spacing w:val="-3"/>
        </w:rPr>
        <w:t xml:space="preserve"> </w:t>
      </w:r>
      <w:r>
        <w:t>no</w:t>
      </w:r>
      <w:r>
        <w:rPr>
          <w:spacing w:val="-3"/>
        </w:rPr>
        <w:t xml:space="preserve"> </w:t>
      </w:r>
      <w:r>
        <w:t>monetary</w:t>
      </w:r>
      <w:r>
        <w:rPr>
          <w:spacing w:val="-3"/>
        </w:rPr>
        <w:t xml:space="preserve"> </w:t>
      </w:r>
      <w:r>
        <w:t>damages</w:t>
      </w:r>
      <w:r>
        <w:rPr>
          <w:spacing w:val="-3"/>
        </w:rPr>
        <w:t xml:space="preserve"> </w:t>
      </w:r>
      <w:r>
        <w:t>are being</w:t>
      </w:r>
      <w:r>
        <w:rPr>
          <w:spacing w:val="-4"/>
        </w:rPr>
        <w:t xml:space="preserve"> </w:t>
      </w:r>
      <w:r>
        <w:t>sought,</w:t>
      </w:r>
      <w:r>
        <w:rPr>
          <w:spacing w:val="-4"/>
        </w:rPr>
        <w:t xml:space="preserve"> </w:t>
      </w:r>
      <w:r>
        <w:t>but</w:t>
      </w:r>
      <w:r>
        <w:rPr>
          <w:spacing w:val="-4"/>
        </w:rPr>
        <w:t xml:space="preserve"> </w:t>
      </w:r>
      <w:r>
        <w:t>rather</w:t>
      </w:r>
      <w:r>
        <w:rPr>
          <w:spacing w:val="-6"/>
        </w:rPr>
        <w:t xml:space="preserve"> </w:t>
      </w:r>
      <w:r>
        <w:t>plaintiffs</w:t>
      </w:r>
      <w:r>
        <w:rPr>
          <w:spacing w:val="-5"/>
        </w:rPr>
        <w:t xml:space="preserve"> </w:t>
      </w:r>
      <w:r>
        <w:t>generally</w:t>
      </w:r>
      <w:r>
        <w:rPr>
          <w:spacing w:val="-4"/>
        </w:rPr>
        <w:t xml:space="preserve"> </w:t>
      </w:r>
      <w:r>
        <w:t>seek</w:t>
      </w:r>
      <w:r>
        <w:rPr>
          <w:spacing w:val="-5"/>
        </w:rPr>
        <w:t xml:space="preserve"> </w:t>
      </w:r>
      <w:r>
        <w:t>that</w:t>
      </w:r>
      <w:r>
        <w:rPr>
          <w:spacing w:val="-4"/>
        </w:rPr>
        <w:t xml:space="preserve"> </w:t>
      </w:r>
      <w:r>
        <w:t>the</w:t>
      </w:r>
      <w:r>
        <w:rPr>
          <w:spacing w:val="-4"/>
        </w:rPr>
        <w:t xml:space="preserve"> </w:t>
      </w:r>
      <w:r>
        <w:t>government</w:t>
      </w:r>
      <w:r>
        <w:rPr>
          <w:spacing w:val="-4"/>
        </w:rPr>
        <w:t xml:space="preserve"> </w:t>
      </w:r>
      <w:r>
        <w:t>either</w:t>
      </w:r>
      <w:r>
        <w:rPr>
          <w:spacing w:val="-4"/>
        </w:rPr>
        <w:t xml:space="preserve"> </w:t>
      </w:r>
      <w:r>
        <w:t>take or cease particular actions, which if the claims are successful, could cost the government significant amounts of money to comply.</w:t>
      </w:r>
    </w:p>
    <w:p w14:paraId="0DFDC88F" w14:textId="77777777" w:rsidR="00046465" w:rsidRDefault="008134EB">
      <w:pPr>
        <w:pStyle w:val="BodyText"/>
        <w:spacing w:before="120"/>
        <w:ind w:left="1800" w:right="773"/>
      </w:pPr>
      <w:r>
        <w:t>An example is a claim that was brought against the Department of Energy over its classification of certain radioactive waste for disposal. Because the classification affected how the waste could be disposed of and thus the cost of disposal, a successful claim could have resulted in a material increase in the entity’s environmental liabilities. Auditors should make inquiries of management and legal counsel to determine whether the entity has such cases that could create a loss contingency, and whether the entity considered those cases in determining</w:t>
      </w:r>
      <w:r>
        <w:rPr>
          <w:spacing w:val="-3"/>
        </w:rPr>
        <w:t xml:space="preserve"> </w:t>
      </w:r>
      <w:r>
        <w:t>the</w:t>
      </w:r>
      <w:r>
        <w:rPr>
          <w:spacing w:val="-3"/>
        </w:rPr>
        <w:t xml:space="preserve"> </w:t>
      </w:r>
      <w:r>
        <w:t>amount</w:t>
      </w:r>
      <w:r>
        <w:rPr>
          <w:spacing w:val="-3"/>
        </w:rPr>
        <w:t xml:space="preserve"> </w:t>
      </w:r>
      <w:r>
        <w:t>of</w:t>
      </w:r>
      <w:r>
        <w:rPr>
          <w:spacing w:val="-3"/>
        </w:rPr>
        <w:t xml:space="preserve"> </w:t>
      </w:r>
      <w:r>
        <w:t>liability</w:t>
      </w:r>
      <w:r>
        <w:rPr>
          <w:spacing w:val="-3"/>
        </w:rPr>
        <w:t xml:space="preserve"> </w:t>
      </w:r>
      <w:r>
        <w:t>to</w:t>
      </w:r>
      <w:r>
        <w:rPr>
          <w:spacing w:val="-4"/>
        </w:rPr>
        <w:t xml:space="preserve"> </w:t>
      </w:r>
      <w:r>
        <w:t>be</w:t>
      </w:r>
      <w:r>
        <w:rPr>
          <w:spacing w:val="-3"/>
        </w:rPr>
        <w:t xml:space="preserve"> </w:t>
      </w:r>
      <w:r>
        <w:t>reported</w:t>
      </w:r>
      <w:r>
        <w:rPr>
          <w:spacing w:val="-3"/>
        </w:rPr>
        <w:t xml:space="preserve"> </w:t>
      </w:r>
      <w:r>
        <w:t>or</w:t>
      </w:r>
      <w:r>
        <w:rPr>
          <w:spacing w:val="-3"/>
        </w:rPr>
        <w:t xml:space="preserve"> </w:t>
      </w:r>
      <w:r>
        <w:t>disclosed</w:t>
      </w:r>
      <w:r>
        <w:rPr>
          <w:spacing w:val="-4"/>
        </w:rPr>
        <w:t xml:space="preserve"> </w:t>
      </w:r>
      <w:r>
        <w:t>per</w:t>
      </w:r>
      <w:r>
        <w:rPr>
          <w:spacing w:val="-3"/>
        </w:rPr>
        <w:t xml:space="preserve"> </w:t>
      </w:r>
      <w:r>
        <w:t>table</w:t>
      </w:r>
      <w:r>
        <w:rPr>
          <w:spacing w:val="-3"/>
        </w:rPr>
        <w:t xml:space="preserve"> </w:t>
      </w:r>
      <w:r>
        <w:t>1002.1.</w:t>
      </w:r>
      <w:r>
        <w:rPr>
          <w:spacing w:val="-3"/>
        </w:rPr>
        <w:t xml:space="preserve"> </w:t>
      </w:r>
      <w:r>
        <w:t>If such cases exist, the auditor should apply the audit procedures in FAM 1002 to these cases as well.</w:t>
      </w:r>
    </w:p>
    <w:p w14:paraId="0DFDC890" w14:textId="77777777" w:rsidR="00046465" w:rsidRDefault="008134EB">
      <w:pPr>
        <w:pStyle w:val="ListParagraph"/>
        <w:numPr>
          <w:ilvl w:val="0"/>
          <w:numId w:val="63"/>
        </w:numPr>
        <w:tabs>
          <w:tab w:val="left" w:pos="1800"/>
        </w:tabs>
        <w:spacing w:before="119"/>
        <w:ind w:right="750"/>
      </w:pPr>
      <w:r>
        <w:t>Based on AU-C 501.19 and .20, the auditor should perform procedures to corroborate the information management provides, including seeking direct communication with the entity’s legal counsel through a legal counsel request prepared by management and sent by the auditor requesting that legal counsel communicate directly with the auditor. The auditor may assist management with preparing</w:t>
      </w:r>
      <w:r>
        <w:rPr>
          <w:spacing w:val="-4"/>
        </w:rPr>
        <w:t xml:space="preserve"> </w:t>
      </w:r>
      <w:r>
        <w:t>this</w:t>
      </w:r>
      <w:r>
        <w:rPr>
          <w:spacing w:val="-4"/>
        </w:rPr>
        <w:t xml:space="preserve"> </w:t>
      </w:r>
      <w:r>
        <w:t>request.</w:t>
      </w:r>
      <w:r>
        <w:rPr>
          <w:spacing w:val="-4"/>
        </w:rPr>
        <w:t xml:space="preserve"> </w:t>
      </w:r>
      <w:r>
        <w:t>The</w:t>
      </w:r>
      <w:r>
        <w:rPr>
          <w:spacing w:val="-4"/>
        </w:rPr>
        <w:t xml:space="preserve"> </w:t>
      </w:r>
      <w:r>
        <w:t>auditor</w:t>
      </w:r>
      <w:r>
        <w:rPr>
          <w:spacing w:val="-4"/>
        </w:rPr>
        <w:t xml:space="preserve"> </w:t>
      </w:r>
      <w:r>
        <w:t>should</w:t>
      </w:r>
      <w:r>
        <w:rPr>
          <w:spacing w:val="-4"/>
        </w:rPr>
        <w:t xml:space="preserve"> </w:t>
      </w:r>
      <w:r>
        <w:t>also</w:t>
      </w:r>
      <w:r>
        <w:rPr>
          <w:spacing w:val="-4"/>
        </w:rPr>
        <w:t xml:space="preserve"> </w:t>
      </w:r>
      <w:r>
        <w:t>request</w:t>
      </w:r>
      <w:r>
        <w:rPr>
          <w:spacing w:val="-4"/>
        </w:rPr>
        <w:t xml:space="preserve"> </w:t>
      </w:r>
      <w:r>
        <w:t>management</w:t>
      </w:r>
      <w:r>
        <w:rPr>
          <w:spacing w:val="-4"/>
        </w:rPr>
        <w:t xml:space="preserve"> </w:t>
      </w:r>
      <w:r>
        <w:t>to</w:t>
      </w:r>
      <w:r>
        <w:rPr>
          <w:spacing w:val="-4"/>
        </w:rPr>
        <w:t xml:space="preserve"> </w:t>
      </w:r>
      <w:r>
        <w:t xml:space="preserve">authorize the entity’s legal counsel to discuss applicable matters with the auditor (AU-C </w:t>
      </w:r>
      <w:r>
        <w:rPr>
          <w:spacing w:val="-2"/>
        </w:rPr>
        <w:t>501.22).</w:t>
      </w:r>
    </w:p>
    <w:p w14:paraId="0DFDC891" w14:textId="77777777" w:rsidR="00046465" w:rsidRDefault="00046465">
      <w:pPr>
        <w:pStyle w:val="ListParagraph"/>
        <w:sectPr w:rsidR="00046465">
          <w:pgSz w:w="12240" w:h="15840"/>
          <w:pgMar w:top="1340" w:right="720" w:bottom="940" w:left="1080" w:header="721" w:footer="757" w:gutter="0"/>
          <w:cols w:space="720"/>
        </w:sectPr>
      </w:pPr>
    </w:p>
    <w:p w14:paraId="0DFDC892" w14:textId="77777777" w:rsidR="00046465" w:rsidRDefault="008134EB">
      <w:pPr>
        <w:pStyle w:val="BodyText"/>
        <w:spacing w:before="121"/>
        <w:ind w:left="1800" w:right="749"/>
      </w:pPr>
      <w:r>
        <w:lastRenderedPageBreak/>
        <w:t>Legal counsel’s response to the legal counsel request is the auditor’s primary means</w:t>
      </w:r>
      <w:r>
        <w:rPr>
          <w:spacing w:val="-5"/>
        </w:rPr>
        <w:t xml:space="preserve"> </w:t>
      </w:r>
      <w:r>
        <w:t>of</w:t>
      </w:r>
      <w:r>
        <w:rPr>
          <w:spacing w:val="-5"/>
        </w:rPr>
        <w:t xml:space="preserve"> </w:t>
      </w:r>
      <w:r>
        <w:t>corroborating</w:t>
      </w:r>
      <w:r>
        <w:rPr>
          <w:spacing w:val="-5"/>
        </w:rPr>
        <w:t xml:space="preserve"> </w:t>
      </w:r>
      <w:r>
        <w:t>the</w:t>
      </w:r>
      <w:r>
        <w:rPr>
          <w:spacing w:val="-5"/>
        </w:rPr>
        <w:t xml:space="preserve"> </w:t>
      </w:r>
      <w:r>
        <w:t>information</w:t>
      </w:r>
      <w:r>
        <w:rPr>
          <w:spacing w:val="-5"/>
        </w:rPr>
        <w:t xml:space="preserve"> </w:t>
      </w:r>
      <w:r>
        <w:t>furnished</w:t>
      </w:r>
      <w:r>
        <w:rPr>
          <w:spacing w:val="-6"/>
        </w:rPr>
        <w:t xml:space="preserve"> </w:t>
      </w:r>
      <w:r>
        <w:t>by</w:t>
      </w:r>
      <w:r>
        <w:rPr>
          <w:spacing w:val="-5"/>
        </w:rPr>
        <w:t xml:space="preserve"> </w:t>
      </w:r>
      <w:r>
        <w:t>management</w:t>
      </w:r>
      <w:r>
        <w:rPr>
          <w:spacing w:val="-5"/>
        </w:rPr>
        <w:t xml:space="preserve"> </w:t>
      </w:r>
      <w:r>
        <w:t>concerning</w:t>
      </w:r>
      <w:r>
        <w:rPr>
          <w:spacing w:val="-5"/>
        </w:rPr>
        <w:t xml:space="preserve"> </w:t>
      </w:r>
      <w:r>
        <w:t>the accuracy and completeness of litigation, claims, and assessments. As such, the auditor should document the basis for any determination not to seek direct communication with the entity’s legal counsel (AU-C 501.21).</w:t>
      </w:r>
    </w:p>
    <w:p w14:paraId="0DFDC893" w14:textId="77777777" w:rsidR="00046465" w:rsidRDefault="008134EB">
      <w:pPr>
        <w:pStyle w:val="Heading5"/>
        <w:spacing w:before="240"/>
        <w:rPr>
          <w:u w:val="none"/>
        </w:rPr>
      </w:pPr>
      <w:bookmarkStart w:id="388" w:name="Inquiries_of_Legal_Counsel"/>
      <w:bookmarkEnd w:id="388"/>
      <w:r>
        <w:t>Inquiries</w:t>
      </w:r>
      <w:r>
        <w:rPr>
          <w:spacing w:val="-4"/>
        </w:rPr>
        <w:t xml:space="preserve"> </w:t>
      </w:r>
      <w:r>
        <w:t>of</w:t>
      </w:r>
      <w:r>
        <w:rPr>
          <w:spacing w:val="-2"/>
        </w:rPr>
        <w:t xml:space="preserve"> </w:t>
      </w:r>
      <w:r>
        <w:t>Legal</w:t>
      </w:r>
      <w:r>
        <w:rPr>
          <w:spacing w:val="-2"/>
        </w:rPr>
        <w:t xml:space="preserve"> Counsel</w:t>
      </w:r>
    </w:p>
    <w:p w14:paraId="0DFDC894" w14:textId="77777777" w:rsidR="00046465" w:rsidRDefault="008134EB">
      <w:pPr>
        <w:pStyle w:val="ListParagraph"/>
        <w:numPr>
          <w:ilvl w:val="0"/>
          <w:numId w:val="63"/>
        </w:numPr>
        <w:tabs>
          <w:tab w:val="left" w:pos="1800"/>
        </w:tabs>
        <w:ind w:right="896"/>
      </w:pPr>
      <w:r>
        <w:t>Most federal entities have a general counsel (i.e., in-house legal counsel) who has</w:t>
      </w:r>
      <w:r>
        <w:rPr>
          <w:spacing w:val="-4"/>
        </w:rPr>
        <w:t xml:space="preserve"> </w:t>
      </w:r>
      <w:r>
        <w:t>primary</w:t>
      </w:r>
      <w:r>
        <w:rPr>
          <w:spacing w:val="-4"/>
        </w:rPr>
        <w:t xml:space="preserve"> </w:t>
      </w:r>
      <w:r>
        <w:t>responsibility</w:t>
      </w:r>
      <w:r>
        <w:rPr>
          <w:spacing w:val="-4"/>
        </w:rPr>
        <w:t xml:space="preserve"> </w:t>
      </w:r>
      <w:r>
        <w:t>for</w:t>
      </w:r>
      <w:r>
        <w:rPr>
          <w:spacing w:val="-4"/>
        </w:rPr>
        <w:t xml:space="preserve"> </w:t>
      </w:r>
      <w:r>
        <w:t>and</w:t>
      </w:r>
      <w:r>
        <w:rPr>
          <w:spacing w:val="-4"/>
        </w:rPr>
        <w:t xml:space="preserve"> </w:t>
      </w:r>
      <w:r>
        <w:t>knowledge</w:t>
      </w:r>
      <w:r>
        <w:rPr>
          <w:spacing w:val="-4"/>
        </w:rPr>
        <w:t xml:space="preserve"> </w:t>
      </w:r>
      <w:r>
        <w:t>about</w:t>
      </w:r>
      <w:r>
        <w:rPr>
          <w:spacing w:val="-4"/>
        </w:rPr>
        <w:t xml:space="preserve"> </w:t>
      </w:r>
      <w:r>
        <w:t>the</w:t>
      </w:r>
      <w:r>
        <w:rPr>
          <w:spacing w:val="-4"/>
        </w:rPr>
        <w:t xml:space="preserve"> </w:t>
      </w:r>
      <w:r>
        <w:t>entity’s</w:t>
      </w:r>
      <w:r>
        <w:rPr>
          <w:spacing w:val="-4"/>
        </w:rPr>
        <w:t xml:space="preserve"> </w:t>
      </w:r>
      <w:r>
        <w:t>litigation,</w:t>
      </w:r>
      <w:r>
        <w:rPr>
          <w:spacing w:val="-5"/>
        </w:rPr>
        <w:t xml:space="preserve"> </w:t>
      </w:r>
      <w:r>
        <w:t>claims, and assessments. The auditor should ask management or the entity’s general counsel</w:t>
      </w:r>
      <w:r>
        <w:rPr>
          <w:spacing w:val="-3"/>
        </w:rPr>
        <w:t xml:space="preserve"> </w:t>
      </w:r>
      <w:r>
        <w:t>whether</w:t>
      </w:r>
      <w:r>
        <w:rPr>
          <w:spacing w:val="-3"/>
        </w:rPr>
        <w:t xml:space="preserve"> </w:t>
      </w:r>
      <w:r>
        <w:t>the</w:t>
      </w:r>
      <w:r>
        <w:rPr>
          <w:spacing w:val="-3"/>
        </w:rPr>
        <w:t xml:space="preserve"> </w:t>
      </w:r>
      <w:r>
        <w:t>entity</w:t>
      </w:r>
      <w:r>
        <w:rPr>
          <w:spacing w:val="-3"/>
        </w:rPr>
        <w:t xml:space="preserve"> </w:t>
      </w:r>
      <w:r>
        <w:t>uses</w:t>
      </w:r>
      <w:r>
        <w:rPr>
          <w:spacing w:val="-3"/>
        </w:rPr>
        <w:t xml:space="preserve"> </w:t>
      </w:r>
      <w:r>
        <w:t>external</w:t>
      </w:r>
      <w:r>
        <w:rPr>
          <w:spacing w:val="-3"/>
        </w:rPr>
        <w:t xml:space="preserve"> </w:t>
      </w:r>
      <w:r>
        <w:t>legal</w:t>
      </w:r>
      <w:r>
        <w:rPr>
          <w:spacing w:val="-3"/>
        </w:rPr>
        <w:t xml:space="preserve"> </w:t>
      </w:r>
      <w:r>
        <w:t>counsel</w:t>
      </w:r>
      <w:r>
        <w:rPr>
          <w:spacing w:val="-3"/>
        </w:rPr>
        <w:t xml:space="preserve"> </w:t>
      </w:r>
      <w:r>
        <w:t>whose</w:t>
      </w:r>
      <w:r>
        <w:rPr>
          <w:spacing w:val="-4"/>
        </w:rPr>
        <w:t xml:space="preserve"> </w:t>
      </w:r>
      <w:r>
        <w:t>engagement</w:t>
      </w:r>
      <w:r>
        <w:rPr>
          <w:spacing w:val="-3"/>
        </w:rPr>
        <w:t xml:space="preserve"> </w:t>
      </w:r>
      <w:r>
        <w:t>may be limited to particular matters (e.g., specific litigation).</w:t>
      </w:r>
    </w:p>
    <w:p w14:paraId="0DFDC895" w14:textId="77777777" w:rsidR="00046465" w:rsidRDefault="008134EB">
      <w:pPr>
        <w:pStyle w:val="BodyText"/>
        <w:spacing w:before="120"/>
        <w:ind w:left="1800" w:right="718"/>
      </w:pPr>
      <w:r>
        <w:t>In the federal government, the main legal counsel outside of the entity is the Department</w:t>
      </w:r>
      <w:r>
        <w:rPr>
          <w:spacing w:val="-2"/>
        </w:rPr>
        <w:t xml:space="preserve"> </w:t>
      </w:r>
      <w:r>
        <w:t>of</w:t>
      </w:r>
      <w:r>
        <w:rPr>
          <w:spacing w:val="-3"/>
        </w:rPr>
        <w:t xml:space="preserve"> </w:t>
      </w:r>
      <w:r>
        <w:t>Justice.</w:t>
      </w:r>
      <w:hyperlink w:anchor="_bookmark220" w:history="1">
        <w:r>
          <w:rPr>
            <w:position w:val="7"/>
            <w:sz w:val="14"/>
          </w:rPr>
          <w:t>11</w:t>
        </w:r>
      </w:hyperlink>
      <w:r>
        <w:rPr>
          <w:spacing w:val="18"/>
          <w:position w:val="7"/>
          <w:sz w:val="14"/>
        </w:rPr>
        <w:t xml:space="preserve"> </w:t>
      </w:r>
      <w:r>
        <w:t>Management,</w:t>
      </w:r>
      <w:r>
        <w:rPr>
          <w:spacing w:val="-3"/>
        </w:rPr>
        <w:t xml:space="preserve"> </w:t>
      </w:r>
      <w:r>
        <w:t>the</w:t>
      </w:r>
      <w:r>
        <w:rPr>
          <w:spacing w:val="-3"/>
        </w:rPr>
        <w:t xml:space="preserve"> </w:t>
      </w:r>
      <w:r>
        <w:t>entity’s</w:t>
      </w:r>
      <w:r>
        <w:rPr>
          <w:spacing w:val="-3"/>
        </w:rPr>
        <w:t xml:space="preserve"> </w:t>
      </w:r>
      <w:r>
        <w:t>general</w:t>
      </w:r>
      <w:r>
        <w:rPr>
          <w:spacing w:val="-3"/>
        </w:rPr>
        <w:t xml:space="preserve"> </w:t>
      </w:r>
      <w:r>
        <w:t>counsel,</w:t>
      </w:r>
      <w:r>
        <w:rPr>
          <w:spacing w:val="-3"/>
        </w:rPr>
        <w:t xml:space="preserve"> </w:t>
      </w:r>
      <w:r>
        <w:t>or</w:t>
      </w:r>
      <w:r>
        <w:rPr>
          <w:spacing w:val="-3"/>
        </w:rPr>
        <w:t xml:space="preserve"> </w:t>
      </w:r>
      <w:r>
        <w:t>the</w:t>
      </w:r>
      <w:r>
        <w:rPr>
          <w:spacing w:val="-4"/>
        </w:rPr>
        <w:t xml:space="preserve"> </w:t>
      </w:r>
      <w:r>
        <w:t>auditor may</w:t>
      </w:r>
      <w:r>
        <w:rPr>
          <w:spacing w:val="-3"/>
        </w:rPr>
        <w:t xml:space="preserve"> </w:t>
      </w:r>
      <w:r>
        <w:t>consult</w:t>
      </w:r>
      <w:r>
        <w:rPr>
          <w:spacing w:val="-4"/>
        </w:rPr>
        <w:t xml:space="preserve"> </w:t>
      </w:r>
      <w:r>
        <w:t>with</w:t>
      </w:r>
      <w:r>
        <w:rPr>
          <w:spacing w:val="-3"/>
        </w:rPr>
        <w:t xml:space="preserve"> </w:t>
      </w:r>
      <w:r>
        <w:t>Justice</w:t>
      </w:r>
      <w:r>
        <w:rPr>
          <w:spacing w:val="-4"/>
        </w:rPr>
        <w:t xml:space="preserve"> </w:t>
      </w:r>
      <w:r>
        <w:t>and</w:t>
      </w:r>
      <w:r>
        <w:rPr>
          <w:spacing w:val="-3"/>
        </w:rPr>
        <w:t xml:space="preserve"> </w:t>
      </w:r>
      <w:r>
        <w:t>other</w:t>
      </w:r>
      <w:r>
        <w:rPr>
          <w:spacing w:val="-3"/>
        </w:rPr>
        <w:t xml:space="preserve"> </w:t>
      </w:r>
      <w:r>
        <w:t>external</w:t>
      </w:r>
      <w:r>
        <w:rPr>
          <w:spacing w:val="-3"/>
        </w:rPr>
        <w:t xml:space="preserve"> </w:t>
      </w:r>
      <w:r>
        <w:t>legal</w:t>
      </w:r>
      <w:r>
        <w:rPr>
          <w:spacing w:val="-4"/>
        </w:rPr>
        <w:t xml:space="preserve"> </w:t>
      </w:r>
      <w:r>
        <w:t>counsels</w:t>
      </w:r>
      <w:r>
        <w:rPr>
          <w:spacing w:val="-3"/>
        </w:rPr>
        <w:t xml:space="preserve"> </w:t>
      </w:r>
      <w:r>
        <w:t>to</w:t>
      </w:r>
      <w:r>
        <w:rPr>
          <w:spacing w:val="-4"/>
        </w:rPr>
        <w:t xml:space="preserve"> </w:t>
      </w:r>
      <w:r>
        <w:t>verify</w:t>
      </w:r>
      <w:r>
        <w:rPr>
          <w:spacing w:val="-3"/>
        </w:rPr>
        <w:t xml:space="preserve"> </w:t>
      </w:r>
      <w:r>
        <w:t>completeness and accuracy of the presentation of matters related to litigation, claims, and assessments. Such consultation may include requesting a list of pending litigation,</w:t>
      </w:r>
      <w:r>
        <w:rPr>
          <w:spacing w:val="-3"/>
        </w:rPr>
        <w:t xml:space="preserve"> </w:t>
      </w:r>
      <w:r>
        <w:t>claims,</w:t>
      </w:r>
      <w:r>
        <w:rPr>
          <w:spacing w:val="-2"/>
        </w:rPr>
        <w:t xml:space="preserve"> </w:t>
      </w:r>
      <w:r>
        <w:t>and</w:t>
      </w:r>
      <w:r>
        <w:rPr>
          <w:spacing w:val="-2"/>
        </w:rPr>
        <w:t xml:space="preserve"> </w:t>
      </w:r>
      <w:r>
        <w:t>assessments</w:t>
      </w:r>
      <w:r>
        <w:rPr>
          <w:spacing w:val="-2"/>
        </w:rPr>
        <w:t xml:space="preserve"> </w:t>
      </w:r>
      <w:r>
        <w:t>from</w:t>
      </w:r>
      <w:r>
        <w:rPr>
          <w:spacing w:val="-3"/>
        </w:rPr>
        <w:t xml:space="preserve"> </w:t>
      </w:r>
      <w:r>
        <w:t>Justice</w:t>
      </w:r>
      <w:r>
        <w:rPr>
          <w:spacing w:val="-3"/>
        </w:rPr>
        <w:t xml:space="preserve"> </w:t>
      </w:r>
      <w:r>
        <w:t>or</w:t>
      </w:r>
      <w:r>
        <w:rPr>
          <w:spacing w:val="-2"/>
        </w:rPr>
        <w:t xml:space="preserve"> </w:t>
      </w:r>
      <w:r>
        <w:t>other</w:t>
      </w:r>
      <w:r>
        <w:rPr>
          <w:spacing w:val="-2"/>
        </w:rPr>
        <w:t xml:space="preserve"> </w:t>
      </w:r>
      <w:r>
        <w:t>external</w:t>
      </w:r>
      <w:r>
        <w:rPr>
          <w:spacing w:val="-2"/>
        </w:rPr>
        <w:t xml:space="preserve"> </w:t>
      </w:r>
      <w:r>
        <w:t>legal</w:t>
      </w:r>
      <w:r>
        <w:rPr>
          <w:spacing w:val="-2"/>
        </w:rPr>
        <w:t xml:space="preserve"> </w:t>
      </w:r>
      <w:r>
        <w:t>counsel</w:t>
      </w:r>
      <w:r>
        <w:rPr>
          <w:spacing w:val="-2"/>
        </w:rPr>
        <w:t xml:space="preserve"> </w:t>
      </w:r>
      <w:r>
        <w:t>or discussion of specific cases.</w:t>
      </w:r>
    </w:p>
    <w:p w14:paraId="0DFDC896" w14:textId="77777777" w:rsidR="00046465" w:rsidRDefault="008134EB">
      <w:pPr>
        <w:pStyle w:val="ListParagraph"/>
        <w:numPr>
          <w:ilvl w:val="0"/>
          <w:numId w:val="63"/>
        </w:numPr>
        <w:tabs>
          <w:tab w:val="left" w:pos="1800"/>
        </w:tabs>
        <w:ind w:right="1019"/>
      </w:pPr>
      <w:r>
        <w:t>The auditor should ask the entity to request that its general counsel cover all litigation, claims, and assessments, including matters handled by Justice and other external legal counsel on behalf of the entity. If Justice or other external legal counsel has overall responsibility for handling and evaluating the entity’s litigation, claims, and assessments, the auditor should also seek direct communication</w:t>
      </w:r>
      <w:r>
        <w:rPr>
          <w:spacing w:val="-4"/>
        </w:rPr>
        <w:t xml:space="preserve"> </w:t>
      </w:r>
      <w:r>
        <w:t>with</w:t>
      </w:r>
      <w:r>
        <w:rPr>
          <w:spacing w:val="-4"/>
        </w:rPr>
        <w:t xml:space="preserve"> </w:t>
      </w:r>
      <w:r>
        <w:t>that</w:t>
      </w:r>
      <w:r>
        <w:rPr>
          <w:spacing w:val="-5"/>
        </w:rPr>
        <w:t xml:space="preserve"> </w:t>
      </w:r>
      <w:r>
        <w:t>counsel</w:t>
      </w:r>
      <w:r>
        <w:rPr>
          <w:spacing w:val="-3"/>
        </w:rPr>
        <w:t xml:space="preserve"> </w:t>
      </w:r>
      <w:r>
        <w:t>through</w:t>
      </w:r>
      <w:r>
        <w:rPr>
          <w:spacing w:val="-4"/>
        </w:rPr>
        <w:t xml:space="preserve"> </w:t>
      </w:r>
      <w:r>
        <w:t>a</w:t>
      </w:r>
      <w:r>
        <w:rPr>
          <w:spacing w:val="-4"/>
        </w:rPr>
        <w:t xml:space="preserve"> </w:t>
      </w:r>
      <w:r>
        <w:t>legal</w:t>
      </w:r>
      <w:r>
        <w:rPr>
          <w:spacing w:val="-5"/>
        </w:rPr>
        <w:t xml:space="preserve"> </w:t>
      </w:r>
      <w:r>
        <w:t>counsel</w:t>
      </w:r>
      <w:r>
        <w:rPr>
          <w:spacing w:val="-3"/>
        </w:rPr>
        <w:t xml:space="preserve"> </w:t>
      </w:r>
      <w:r>
        <w:t>request</w:t>
      </w:r>
      <w:r>
        <w:rPr>
          <w:spacing w:val="-4"/>
        </w:rPr>
        <w:t xml:space="preserve"> </w:t>
      </w:r>
      <w:r>
        <w:t>similar</w:t>
      </w:r>
      <w:r>
        <w:rPr>
          <w:spacing w:val="-6"/>
        </w:rPr>
        <w:t xml:space="preserve"> </w:t>
      </w:r>
      <w:r>
        <w:t>to</w:t>
      </w:r>
      <w:r>
        <w:rPr>
          <w:spacing w:val="-4"/>
        </w:rPr>
        <w:t xml:space="preserve"> </w:t>
      </w:r>
      <w:r>
        <w:t>the request made to the entity’s general counsel.</w:t>
      </w:r>
    </w:p>
    <w:p w14:paraId="0DFDC897" w14:textId="77777777" w:rsidR="00046465" w:rsidRDefault="008134EB">
      <w:pPr>
        <w:pStyle w:val="ListParagraph"/>
        <w:numPr>
          <w:ilvl w:val="0"/>
          <w:numId w:val="63"/>
        </w:numPr>
        <w:tabs>
          <w:tab w:val="left" w:pos="1800"/>
        </w:tabs>
        <w:spacing w:before="119"/>
        <w:ind w:right="762"/>
      </w:pPr>
      <w:r>
        <w:t>When the auditor is aware that the entity has changed legal counsel or that the legal counsel previously engaged by the entity has resigned, the auditor should consider</w:t>
      </w:r>
      <w:r>
        <w:rPr>
          <w:spacing w:val="-4"/>
        </w:rPr>
        <w:t xml:space="preserve"> </w:t>
      </w:r>
      <w:r>
        <w:t>making</w:t>
      </w:r>
      <w:r>
        <w:rPr>
          <w:spacing w:val="-4"/>
        </w:rPr>
        <w:t xml:space="preserve"> </w:t>
      </w:r>
      <w:r>
        <w:t>inquiries</w:t>
      </w:r>
      <w:r>
        <w:rPr>
          <w:spacing w:val="-4"/>
        </w:rPr>
        <w:t xml:space="preserve"> </w:t>
      </w:r>
      <w:r>
        <w:t>of</w:t>
      </w:r>
      <w:r>
        <w:rPr>
          <w:spacing w:val="-4"/>
        </w:rPr>
        <w:t xml:space="preserve"> </w:t>
      </w:r>
      <w:r>
        <w:t>management</w:t>
      </w:r>
      <w:r>
        <w:rPr>
          <w:spacing w:val="-4"/>
        </w:rPr>
        <w:t xml:space="preserve"> </w:t>
      </w:r>
      <w:r>
        <w:t>or</w:t>
      </w:r>
      <w:r>
        <w:rPr>
          <w:spacing w:val="-4"/>
        </w:rPr>
        <w:t xml:space="preserve"> </w:t>
      </w:r>
      <w:r>
        <w:t>others</w:t>
      </w:r>
      <w:r>
        <w:rPr>
          <w:spacing w:val="-4"/>
        </w:rPr>
        <w:t xml:space="preserve"> </w:t>
      </w:r>
      <w:r>
        <w:t>about</w:t>
      </w:r>
      <w:r>
        <w:rPr>
          <w:spacing w:val="-4"/>
        </w:rPr>
        <w:t xml:space="preserve"> </w:t>
      </w:r>
      <w:r>
        <w:t>the</w:t>
      </w:r>
      <w:r>
        <w:rPr>
          <w:spacing w:val="-4"/>
        </w:rPr>
        <w:t xml:space="preserve"> </w:t>
      </w:r>
      <w:r>
        <w:t>reasons</w:t>
      </w:r>
      <w:r>
        <w:rPr>
          <w:spacing w:val="-4"/>
        </w:rPr>
        <w:t xml:space="preserve"> </w:t>
      </w:r>
      <w:r>
        <w:t>such</w:t>
      </w:r>
      <w:r>
        <w:rPr>
          <w:spacing w:val="-4"/>
        </w:rPr>
        <w:t xml:space="preserve"> </w:t>
      </w:r>
      <w:r>
        <w:t>legal counsel is no longer associated with the entity (AU-C 501.24).</w:t>
      </w:r>
    </w:p>
    <w:p w14:paraId="0DFDC898" w14:textId="77777777" w:rsidR="00046465" w:rsidRDefault="008134EB">
      <w:pPr>
        <w:pStyle w:val="ListParagraph"/>
        <w:numPr>
          <w:ilvl w:val="0"/>
          <w:numId w:val="63"/>
        </w:numPr>
        <w:tabs>
          <w:tab w:val="left" w:pos="1799"/>
        </w:tabs>
        <w:spacing w:before="121"/>
        <w:ind w:left="1799" w:right="1056" w:hanging="720"/>
      </w:pPr>
      <w:r>
        <w:t>Based on AU-C 501.23, the auditor should request, through the legal counsel request discussed in FAM 1002.12, that the entity’s legal counsel inform the auditor</w:t>
      </w:r>
      <w:r>
        <w:rPr>
          <w:spacing w:val="-3"/>
        </w:rPr>
        <w:t xml:space="preserve"> </w:t>
      </w:r>
      <w:r>
        <w:t>of</w:t>
      </w:r>
      <w:r>
        <w:rPr>
          <w:spacing w:val="-3"/>
        </w:rPr>
        <w:t xml:space="preserve"> </w:t>
      </w:r>
      <w:r>
        <w:t>any</w:t>
      </w:r>
      <w:r>
        <w:rPr>
          <w:spacing w:val="-3"/>
        </w:rPr>
        <w:t xml:space="preserve"> </w:t>
      </w:r>
      <w:r>
        <w:t>litigation,</w:t>
      </w:r>
      <w:r>
        <w:rPr>
          <w:spacing w:val="-3"/>
        </w:rPr>
        <w:t xml:space="preserve"> </w:t>
      </w:r>
      <w:r>
        <w:t>claims,</w:t>
      </w:r>
      <w:r>
        <w:rPr>
          <w:spacing w:val="-3"/>
        </w:rPr>
        <w:t xml:space="preserve"> </w:t>
      </w:r>
      <w:r>
        <w:t>and</w:t>
      </w:r>
      <w:r>
        <w:rPr>
          <w:spacing w:val="-3"/>
        </w:rPr>
        <w:t xml:space="preserve"> </w:t>
      </w:r>
      <w:r>
        <w:t>assessments</w:t>
      </w:r>
      <w:r>
        <w:rPr>
          <w:spacing w:val="-4"/>
        </w:rPr>
        <w:t xml:space="preserve"> </w:t>
      </w:r>
      <w:r>
        <w:t>that</w:t>
      </w:r>
      <w:r>
        <w:rPr>
          <w:spacing w:val="-3"/>
        </w:rPr>
        <w:t xml:space="preserve"> </w:t>
      </w:r>
      <w:r>
        <w:t>the</w:t>
      </w:r>
      <w:r>
        <w:rPr>
          <w:spacing w:val="-3"/>
        </w:rPr>
        <w:t xml:space="preserve"> </w:t>
      </w:r>
      <w:r>
        <w:t>counsel</w:t>
      </w:r>
      <w:r>
        <w:rPr>
          <w:spacing w:val="-3"/>
        </w:rPr>
        <w:t xml:space="preserve"> </w:t>
      </w:r>
      <w:r>
        <w:t>is</w:t>
      </w:r>
      <w:r>
        <w:rPr>
          <w:spacing w:val="-3"/>
        </w:rPr>
        <w:t xml:space="preserve"> </w:t>
      </w:r>
      <w:r>
        <w:t>aware</w:t>
      </w:r>
      <w:r>
        <w:rPr>
          <w:spacing w:val="-3"/>
        </w:rPr>
        <w:t xml:space="preserve"> </w:t>
      </w:r>
      <w:r>
        <w:t>of, and provide an assessment of the outcome of the litigation, claims, and assessments and an estimate of the financial implications, including losses involved. The legal counsel request should include, but not be limited to, the following matters:</w:t>
      </w:r>
    </w:p>
    <w:p w14:paraId="0DFDC899" w14:textId="77777777" w:rsidR="00046465" w:rsidRDefault="008134EB">
      <w:pPr>
        <w:pStyle w:val="ListParagraph"/>
        <w:numPr>
          <w:ilvl w:val="1"/>
          <w:numId w:val="63"/>
        </w:numPr>
        <w:tabs>
          <w:tab w:val="left" w:pos="2158"/>
          <w:tab w:val="left" w:pos="2160"/>
        </w:tabs>
        <w:spacing w:before="119"/>
        <w:ind w:right="781" w:hanging="361"/>
      </w:pPr>
      <w:r>
        <w:t>identification</w:t>
      </w:r>
      <w:r>
        <w:rPr>
          <w:spacing w:val="-5"/>
        </w:rPr>
        <w:t xml:space="preserve"> </w:t>
      </w:r>
      <w:r>
        <w:t>of</w:t>
      </w:r>
      <w:r>
        <w:rPr>
          <w:spacing w:val="-4"/>
        </w:rPr>
        <w:t xml:space="preserve"> </w:t>
      </w:r>
      <w:r>
        <w:t>the</w:t>
      </w:r>
      <w:r>
        <w:rPr>
          <w:spacing w:val="-4"/>
        </w:rPr>
        <w:t xml:space="preserve"> </w:t>
      </w:r>
      <w:r>
        <w:t>entity,</w:t>
      </w:r>
      <w:r>
        <w:rPr>
          <w:spacing w:val="-4"/>
        </w:rPr>
        <w:t xml:space="preserve"> </w:t>
      </w:r>
      <w:r>
        <w:t>including</w:t>
      </w:r>
      <w:r>
        <w:rPr>
          <w:spacing w:val="-5"/>
        </w:rPr>
        <w:t xml:space="preserve"> </w:t>
      </w:r>
      <w:r>
        <w:t>any</w:t>
      </w:r>
      <w:r>
        <w:rPr>
          <w:spacing w:val="-4"/>
        </w:rPr>
        <w:t xml:space="preserve"> </w:t>
      </w:r>
      <w:r>
        <w:t>subcomponents</w:t>
      </w:r>
      <w:r>
        <w:rPr>
          <w:spacing w:val="-4"/>
        </w:rPr>
        <w:t xml:space="preserve"> </w:t>
      </w:r>
      <w:r>
        <w:t>of</w:t>
      </w:r>
      <w:r>
        <w:rPr>
          <w:spacing w:val="-4"/>
        </w:rPr>
        <w:t xml:space="preserve"> </w:t>
      </w:r>
      <w:r>
        <w:t>the</w:t>
      </w:r>
      <w:r>
        <w:rPr>
          <w:spacing w:val="-3"/>
        </w:rPr>
        <w:t xml:space="preserve"> </w:t>
      </w:r>
      <w:r>
        <w:t>entity,</w:t>
      </w:r>
      <w:r>
        <w:rPr>
          <w:spacing w:val="-4"/>
        </w:rPr>
        <w:t xml:space="preserve"> </w:t>
      </w:r>
      <w:r>
        <w:t>and</w:t>
      </w:r>
      <w:r>
        <w:rPr>
          <w:spacing w:val="-5"/>
        </w:rPr>
        <w:t xml:space="preserve"> </w:t>
      </w:r>
      <w:r>
        <w:t>the date of the audit;</w:t>
      </w:r>
    </w:p>
    <w:p w14:paraId="0DFDC89A" w14:textId="77777777" w:rsidR="00046465" w:rsidRDefault="008134EB">
      <w:pPr>
        <w:pStyle w:val="ListParagraph"/>
        <w:numPr>
          <w:ilvl w:val="1"/>
          <w:numId w:val="63"/>
        </w:numPr>
        <w:tabs>
          <w:tab w:val="left" w:pos="2160"/>
        </w:tabs>
        <w:spacing w:before="121"/>
        <w:ind w:right="977"/>
      </w:pPr>
      <w:r>
        <w:t>a</w:t>
      </w:r>
      <w:r>
        <w:rPr>
          <w:spacing w:val="-4"/>
        </w:rPr>
        <w:t xml:space="preserve"> </w:t>
      </w:r>
      <w:r>
        <w:t>list</w:t>
      </w:r>
      <w:r>
        <w:rPr>
          <w:spacing w:val="-4"/>
        </w:rPr>
        <w:t xml:space="preserve"> </w:t>
      </w:r>
      <w:r>
        <w:t>prepared</w:t>
      </w:r>
      <w:r>
        <w:rPr>
          <w:spacing w:val="-4"/>
        </w:rPr>
        <w:t xml:space="preserve"> </w:t>
      </w:r>
      <w:r>
        <w:t>by</w:t>
      </w:r>
      <w:r>
        <w:rPr>
          <w:spacing w:val="-4"/>
        </w:rPr>
        <w:t xml:space="preserve"> </w:t>
      </w:r>
      <w:r>
        <w:t>management</w:t>
      </w:r>
      <w:r>
        <w:rPr>
          <w:spacing w:val="-4"/>
        </w:rPr>
        <w:t xml:space="preserve"> </w:t>
      </w:r>
      <w:r>
        <w:t>(or</w:t>
      </w:r>
      <w:r>
        <w:rPr>
          <w:spacing w:val="-4"/>
        </w:rPr>
        <w:t xml:space="preserve"> </w:t>
      </w:r>
      <w:r>
        <w:t>a</w:t>
      </w:r>
      <w:r>
        <w:rPr>
          <w:spacing w:val="-4"/>
        </w:rPr>
        <w:t xml:space="preserve"> </w:t>
      </w:r>
      <w:r>
        <w:t>request</w:t>
      </w:r>
      <w:r>
        <w:rPr>
          <w:spacing w:val="-4"/>
        </w:rPr>
        <w:t xml:space="preserve"> </w:t>
      </w:r>
      <w:r>
        <w:t>by</w:t>
      </w:r>
      <w:r>
        <w:rPr>
          <w:spacing w:val="-5"/>
        </w:rPr>
        <w:t xml:space="preserve"> </w:t>
      </w:r>
      <w:r>
        <w:t>management</w:t>
      </w:r>
      <w:r>
        <w:rPr>
          <w:spacing w:val="-4"/>
        </w:rPr>
        <w:t xml:space="preserve"> </w:t>
      </w:r>
      <w:r>
        <w:t>that</w:t>
      </w:r>
      <w:r>
        <w:rPr>
          <w:spacing w:val="-4"/>
        </w:rPr>
        <w:t xml:space="preserve"> </w:t>
      </w:r>
      <w:r>
        <w:t>the</w:t>
      </w:r>
      <w:r>
        <w:rPr>
          <w:spacing w:val="-4"/>
        </w:rPr>
        <w:t xml:space="preserve"> </w:t>
      </w:r>
      <w:r>
        <w:t>legal counsel prepare a list) that describes and evaluates pending or threatened</w:t>
      </w:r>
    </w:p>
    <w:p w14:paraId="0DFDC89B" w14:textId="77777777" w:rsidR="00046465" w:rsidRDefault="008134EB">
      <w:pPr>
        <w:pStyle w:val="BodyText"/>
        <w:rPr>
          <w:sz w:val="19"/>
        </w:rPr>
      </w:pPr>
      <w:r>
        <w:rPr>
          <w:noProof/>
          <w:sz w:val="19"/>
        </w:rPr>
        <mc:AlternateContent>
          <mc:Choice Requires="wps">
            <w:drawing>
              <wp:anchor distT="0" distB="0" distL="0" distR="0" simplePos="0" relativeHeight="487736832" behindDoc="1" locked="0" layoutInCell="1" allowOverlap="1" wp14:anchorId="0DFDD759" wp14:editId="0DFDD75A">
                <wp:simplePos x="0" y="0"/>
                <wp:positionH relativeFrom="page">
                  <wp:posOffset>914400</wp:posOffset>
                </wp:positionH>
                <wp:positionV relativeFrom="paragraph">
                  <wp:posOffset>154216</wp:posOffset>
                </wp:positionV>
                <wp:extent cx="1828800" cy="5715"/>
                <wp:effectExtent l="0" t="0" r="0" b="0"/>
                <wp:wrapTopAndBottom/>
                <wp:docPr id="1108" name="Graphic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D03901" id="Graphic 1108" o:spid="_x0000_s1026" style="position:absolute;margin-left:1in;margin-top:12.15pt;width:2in;height:.45pt;z-index:-1557964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" path="m1828800,l,,,5334r1828800,l1828800,xe" fillcolor="black" stroked="f">
                <v:path arrowok="t"/>
                <w10:wrap type="topAndBottom" anchorx="page"/>
              </v:shape>
            </w:pict>
          </mc:Fallback>
        </mc:AlternateContent>
      </w:r>
    </w:p>
    <w:p w14:paraId="0DFDC89C" w14:textId="77777777" w:rsidR="00046465" w:rsidRDefault="008134EB">
      <w:pPr>
        <w:spacing w:before="200" w:line="242" w:lineRule="auto"/>
        <w:ind w:left="359" w:right="749"/>
        <w:rPr>
          <w:sz w:val="18"/>
        </w:rPr>
      </w:pPr>
      <w:bookmarkStart w:id="389" w:name="_bookmark220"/>
      <w:bookmarkEnd w:id="389"/>
      <w:r>
        <w:rPr>
          <w:position w:val="7"/>
          <w:sz w:val="14"/>
        </w:rPr>
        <w:t>11</w:t>
      </w:r>
      <w:r>
        <w:rPr>
          <w:sz w:val="18"/>
        </w:rPr>
        <w:t>The Accounting and Auditing Policy Committee (AAPC) guidance (Technical Release No. 1) clarifies FASAB Interpretation</w:t>
      </w:r>
      <w:r>
        <w:rPr>
          <w:spacing w:val="-2"/>
          <w:sz w:val="18"/>
        </w:rPr>
        <w:t xml:space="preserve"> </w:t>
      </w:r>
      <w:r>
        <w:rPr>
          <w:sz w:val="18"/>
        </w:rPr>
        <w:t>No.</w:t>
      </w:r>
      <w:r>
        <w:rPr>
          <w:spacing w:val="-2"/>
          <w:sz w:val="18"/>
        </w:rPr>
        <w:t xml:space="preserve"> </w:t>
      </w:r>
      <w:r>
        <w:rPr>
          <w:sz w:val="18"/>
        </w:rPr>
        <w:t>2,</w:t>
      </w:r>
      <w:r>
        <w:rPr>
          <w:spacing w:val="-2"/>
          <w:sz w:val="18"/>
        </w:rPr>
        <w:t xml:space="preserve"> </w:t>
      </w:r>
      <w:r>
        <w:rPr>
          <w:sz w:val="18"/>
        </w:rPr>
        <w:t>with</w:t>
      </w:r>
      <w:r>
        <w:rPr>
          <w:spacing w:val="-3"/>
          <w:sz w:val="18"/>
        </w:rPr>
        <w:t xml:space="preserve"> </w:t>
      </w:r>
      <w:r>
        <w:rPr>
          <w:sz w:val="18"/>
        </w:rPr>
        <w:t>respect</w:t>
      </w:r>
      <w:r>
        <w:rPr>
          <w:spacing w:val="-2"/>
          <w:sz w:val="18"/>
        </w:rPr>
        <w:t xml:space="preserve"> </w:t>
      </w:r>
      <w:r>
        <w:rPr>
          <w:sz w:val="18"/>
        </w:rPr>
        <w:t>to</w:t>
      </w:r>
      <w:r>
        <w:rPr>
          <w:spacing w:val="-3"/>
          <w:sz w:val="18"/>
        </w:rPr>
        <w:t xml:space="preserve"> </w:t>
      </w:r>
      <w:r>
        <w:rPr>
          <w:sz w:val="18"/>
        </w:rPr>
        <w:t>Justice’s</w:t>
      </w:r>
      <w:r>
        <w:rPr>
          <w:spacing w:val="-2"/>
          <w:sz w:val="18"/>
        </w:rPr>
        <w:t xml:space="preserve"> </w:t>
      </w:r>
      <w:r>
        <w:rPr>
          <w:sz w:val="18"/>
        </w:rPr>
        <w:t>role</w:t>
      </w:r>
      <w:r>
        <w:rPr>
          <w:spacing w:val="-3"/>
          <w:sz w:val="18"/>
        </w:rPr>
        <w:t xml:space="preserve"> </w:t>
      </w:r>
      <w:r>
        <w:rPr>
          <w:sz w:val="18"/>
        </w:rPr>
        <w:t>related</w:t>
      </w:r>
      <w:r>
        <w:rPr>
          <w:spacing w:val="-3"/>
          <w:sz w:val="18"/>
        </w:rPr>
        <w:t xml:space="preserve"> </w:t>
      </w:r>
      <w:r>
        <w:rPr>
          <w:sz w:val="18"/>
        </w:rPr>
        <w:t>to</w:t>
      </w:r>
      <w:r>
        <w:rPr>
          <w:spacing w:val="-3"/>
          <w:sz w:val="18"/>
        </w:rPr>
        <w:t xml:space="preserve"> </w:t>
      </w:r>
      <w:r>
        <w:rPr>
          <w:sz w:val="18"/>
        </w:rPr>
        <w:t>legal</w:t>
      </w:r>
      <w:r>
        <w:rPr>
          <w:spacing w:val="-2"/>
          <w:sz w:val="18"/>
        </w:rPr>
        <w:t xml:space="preserve"> </w:t>
      </w:r>
      <w:r>
        <w:rPr>
          <w:sz w:val="18"/>
        </w:rPr>
        <w:t>counsel</w:t>
      </w:r>
      <w:r>
        <w:rPr>
          <w:spacing w:val="-2"/>
          <w:sz w:val="18"/>
        </w:rPr>
        <w:t xml:space="preserve"> </w:t>
      </w:r>
      <w:r>
        <w:rPr>
          <w:sz w:val="18"/>
        </w:rPr>
        <w:t>responses</w:t>
      </w:r>
      <w:r>
        <w:rPr>
          <w:spacing w:val="-2"/>
          <w:sz w:val="18"/>
        </w:rPr>
        <w:t xml:space="preserve"> </w:t>
      </w:r>
      <w:r>
        <w:rPr>
          <w:sz w:val="18"/>
        </w:rPr>
        <w:t>for</w:t>
      </w:r>
      <w:r>
        <w:rPr>
          <w:spacing w:val="-2"/>
          <w:sz w:val="18"/>
        </w:rPr>
        <w:t xml:space="preserve"> </w:t>
      </w:r>
      <w:r>
        <w:rPr>
          <w:sz w:val="18"/>
        </w:rPr>
        <w:t>cases</w:t>
      </w:r>
      <w:r>
        <w:rPr>
          <w:spacing w:val="-2"/>
          <w:sz w:val="18"/>
        </w:rPr>
        <w:t xml:space="preserve"> </w:t>
      </w:r>
      <w:r>
        <w:rPr>
          <w:sz w:val="18"/>
        </w:rPr>
        <w:t>in</w:t>
      </w:r>
      <w:r>
        <w:rPr>
          <w:spacing w:val="-3"/>
          <w:sz w:val="18"/>
        </w:rPr>
        <w:t xml:space="preserve"> </w:t>
      </w:r>
      <w:r>
        <w:rPr>
          <w:sz w:val="18"/>
        </w:rPr>
        <w:t>which</w:t>
      </w:r>
      <w:r>
        <w:rPr>
          <w:spacing w:val="-2"/>
          <w:sz w:val="18"/>
        </w:rPr>
        <w:t xml:space="preserve"> </w:t>
      </w:r>
      <w:r>
        <w:rPr>
          <w:sz w:val="18"/>
        </w:rPr>
        <w:t>Justice’s</w:t>
      </w:r>
      <w:r>
        <w:rPr>
          <w:spacing w:val="-2"/>
          <w:sz w:val="18"/>
        </w:rPr>
        <w:t xml:space="preserve"> </w:t>
      </w:r>
      <w:r>
        <w:rPr>
          <w:sz w:val="18"/>
        </w:rPr>
        <w:t>legal counsels handle legal matters on behalf of other federal reporting entities. The legal counsel response from the entity’s general counsel may provide sufficient evidence for the auditor in such cases. If the auditor determines that additional evidence is needed about a specific case, the auditor may request that entity management and the legal counsel send a legal counsel request to Justice, directed to the lead Justice legal counsel handling the case, asking that counsel to provide a description and evaluation of the case directly to the auditor.</w:t>
      </w:r>
    </w:p>
    <w:p w14:paraId="0DFDC89D" w14:textId="77777777" w:rsidR="00046465" w:rsidRDefault="00046465">
      <w:pPr>
        <w:spacing w:line="242" w:lineRule="auto"/>
        <w:rPr>
          <w:sz w:val="18"/>
        </w:rPr>
        <w:sectPr w:rsidR="00046465">
          <w:pgSz w:w="12240" w:h="15840"/>
          <w:pgMar w:top="1340" w:right="720" w:bottom="940" w:left="1080" w:header="721" w:footer="757" w:gutter="0"/>
          <w:cols w:space="720"/>
        </w:sectPr>
      </w:pPr>
    </w:p>
    <w:p w14:paraId="0DFDC89E" w14:textId="77777777" w:rsidR="00046465" w:rsidRDefault="008134EB">
      <w:pPr>
        <w:pStyle w:val="BodyText"/>
        <w:spacing w:before="121"/>
        <w:ind w:left="2160" w:right="749"/>
      </w:pPr>
      <w:r>
        <w:lastRenderedPageBreak/>
        <w:t>litigation, claims, and assessments with respect to which legal counsel has been</w:t>
      </w:r>
      <w:r>
        <w:rPr>
          <w:spacing w:val="-4"/>
        </w:rPr>
        <w:t xml:space="preserve"> </w:t>
      </w:r>
      <w:r>
        <w:t>engaged</w:t>
      </w:r>
      <w:r>
        <w:rPr>
          <w:spacing w:val="-4"/>
        </w:rPr>
        <w:t xml:space="preserve"> </w:t>
      </w:r>
      <w:r>
        <w:t>and</w:t>
      </w:r>
      <w:r>
        <w:rPr>
          <w:spacing w:val="-4"/>
        </w:rPr>
        <w:t xml:space="preserve"> </w:t>
      </w:r>
      <w:r>
        <w:t>to</w:t>
      </w:r>
      <w:r>
        <w:rPr>
          <w:spacing w:val="-4"/>
        </w:rPr>
        <w:t xml:space="preserve"> </w:t>
      </w:r>
      <w:r>
        <w:t>which</w:t>
      </w:r>
      <w:r>
        <w:rPr>
          <w:spacing w:val="-4"/>
        </w:rPr>
        <w:t xml:space="preserve"> </w:t>
      </w:r>
      <w:r>
        <w:t>legal</w:t>
      </w:r>
      <w:r>
        <w:rPr>
          <w:spacing w:val="-5"/>
        </w:rPr>
        <w:t xml:space="preserve"> </w:t>
      </w:r>
      <w:r>
        <w:t>counsel</w:t>
      </w:r>
      <w:r>
        <w:rPr>
          <w:spacing w:val="-4"/>
        </w:rPr>
        <w:t xml:space="preserve"> </w:t>
      </w:r>
      <w:r>
        <w:t>has</w:t>
      </w:r>
      <w:r>
        <w:rPr>
          <w:spacing w:val="-4"/>
        </w:rPr>
        <w:t xml:space="preserve"> </w:t>
      </w:r>
      <w:r>
        <w:t>devoted</w:t>
      </w:r>
      <w:r>
        <w:rPr>
          <w:spacing w:val="-4"/>
        </w:rPr>
        <w:t xml:space="preserve"> </w:t>
      </w:r>
      <w:r>
        <w:t>substantive</w:t>
      </w:r>
      <w:r>
        <w:rPr>
          <w:spacing w:val="-4"/>
        </w:rPr>
        <w:t xml:space="preserve"> </w:t>
      </w:r>
      <w:r>
        <w:t>attention on behalf of the entity in the form of legal consultation or representation;</w:t>
      </w:r>
    </w:p>
    <w:p w14:paraId="0DFDC89F" w14:textId="77777777" w:rsidR="00046465" w:rsidRDefault="008134EB">
      <w:pPr>
        <w:pStyle w:val="ListParagraph"/>
        <w:numPr>
          <w:ilvl w:val="1"/>
          <w:numId w:val="63"/>
        </w:numPr>
        <w:tabs>
          <w:tab w:val="left" w:pos="2159"/>
        </w:tabs>
        <w:spacing w:before="119"/>
        <w:ind w:left="2159" w:right="893"/>
      </w:pPr>
      <w:r>
        <w:t>a list prepared by management (or by general counsel if general counsel is part of management) that describes and evaluates unasserted claims and assessments that management considers to be probable of assertion and that, if asserted, would have at least a reasonable possibility of an unfavorable</w:t>
      </w:r>
      <w:r>
        <w:rPr>
          <w:spacing w:val="-5"/>
        </w:rPr>
        <w:t xml:space="preserve"> </w:t>
      </w:r>
      <w:r>
        <w:t>outcome</w:t>
      </w:r>
      <w:r>
        <w:rPr>
          <w:spacing w:val="-3"/>
        </w:rPr>
        <w:t xml:space="preserve"> </w:t>
      </w:r>
      <w:r>
        <w:t>with</w:t>
      </w:r>
      <w:r>
        <w:rPr>
          <w:spacing w:val="-4"/>
        </w:rPr>
        <w:t xml:space="preserve"> </w:t>
      </w:r>
      <w:r>
        <w:t>respect</w:t>
      </w:r>
      <w:r>
        <w:rPr>
          <w:spacing w:val="-4"/>
        </w:rPr>
        <w:t xml:space="preserve"> </w:t>
      </w:r>
      <w:r>
        <w:t>to</w:t>
      </w:r>
      <w:r>
        <w:rPr>
          <w:spacing w:val="-5"/>
        </w:rPr>
        <w:t xml:space="preserve"> </w:t>
      </w:r>
      <w:r>
        <w:t>which</w:t>
      </w:r>
      <w:r>
        <w:rPr>
          <w:spacing w:val="-4"/>
        </w:rPr>
        <w:t xml:space="preserve"> </w:t>
      </w:r>
      <w:r>
        <w:t>legal</w:t>
      </w:r>
      <w:r>
        <w:rPr>
          <w:spacing w:val="-5"/>
        </w:rPr>
        <w:t xml:space="preserve"> </w:t>
      </w:r>
      <w:r>
        <w:t>counsel</w:t>
      </w:r>
      <w:r>
        <w:rPr>
          <w:spacing w:val="-4"/>
        </w:rPr>
        <w:t xml:space="preserve"> </w:t>
      </w:r>
      <w:r>
        <w:t>has</w:t>
      </w:r>
      <w:r>
        <w:rPr>
          <w:spacing w:val="-5"/>
        </w:rPr>
        <w:t xml:space="preserve"> </w:t>
      </w:r>
      <w:r>
        <w:t>been</w:t>
      </w:r>
      <w:r>
        <w:rPr>
          <w:spacing w:val="-4"/>
        </w:rPr>
        <w:t xml:space="preserve"> </w:t>
      </w:r>
      <w:r>
        <w:t>engaged and to which legal counsel has devoted substantive attention on the entity’s behalf in the form of legal consultation or representation;</w:t>
      </w:r>
    </w:p>
    <w:p w14:paraId="0DFDC8A0" w14:textId="77777777" w:rsidR="00046465" w:rsidRDefault="008134EB">
      <w:pPr>
        <w:pStyle w:val="ListParagraph"/>
        <w:numPr>
          <w:ilvl w:val="1"/>
          <w:numId w:val="63"/>
        </w:numPr>
        <w:tabs>
          <w:tab w:val="left" w:pos="2160"/>
        </w:tabs>
        <w:spacing w:before="121"/>
        <w:ind w:right="732"/>
      </w:pPr>
      <w:r>
        <w:t>regarding each matter listed in item b, a request that legal counsel either provide</w:t>
      </w:r>
      <w:r>
        <w:rPr>
          <w:spacing w:val="-3"/>
        </w:rPr>
        <w:t xml:space="preserve"> </w:t>
      </w:r>
      <w:r>
        <w:t>the</w:t>
      </w:r>
      <w:r>
        <w:rPr>
          <w:spacing w:val="-3"/>
        </w:rPr>
        <w:t xml:space="preserve"> </w:t>
      </w:r>
      <w:r>
        <w:t>following</w:t>
      </w:r>
      <w:r>
        <w:rPr>
          <w:spacing w:val="-3"/>
        </w:rPr>
        <w:t xml:space="preserve"> </w:t>
      </w:r>
      <w:r>
        <w:t>information</w:t>
      </w:r>
      <w:r>
        <w:rPr>
          <w:spacing w:val="-3"/>
        </w:rPr>
        <w:t xml:space="preserve"> </w:t>
      </w:r>
      <w:r>
        <w:t>or</w:t>
      </w:r>
      <w:r>
        <w:rPr>
          <w:spacing w:val="-3"/>
        </w:rPr>
        <w:t xml:space="preserve"> </w:t>
      </w:r>
      <w:r>
        <w:t>comment</w:t>
      </w:r>
      <w:r>
        <w:rPr>
          <w:spacing w:val="-3"/>
        </w:rPr>
        <w:t xml:space="preserve"> </w:t>
      </w:r>
      <w:r>
        <w:t>on</w:t>
      </w:r>
      <w:r>
        <w:rPr>
          <w:spacing w:val="-3"/>
        </w:rPr>
        <w:t xml:space="preserve"> </w:t>
      </w:r>
      <w:r>
        <w:t>those</w:t>
      </w:r>
      <w:r>
        <w:rPr>
          <w:spacing w:val="-3"/>
        </w:rPr>
        <w:t xml:space="preserve"> </w:t>
      </w:r>
      <w:r>
        <w:t>matters</w:t>
      </w:r>
      <w:r>
        <w:rPr>
          <w:spacing w:val="-3"/>
        </w:rPr>
        <w:t xml:space="preserve"> </w:t>
      </w:r>
      <w:r>
        <w:t>on</w:t>
      </w:r>
      <w:r>
        <w:rPr>
          <w:spacing w:val="-3"/>
        </w:rPr>
        <w:t xml:space="preserve"> </w:t>
      </w:r>
      <w:r>
        <w:t>which</w:t>
      </w:r>
      <w:r>
        <w:rPr>
          <w:spacing w:val="-2"/>
        </w:rPr>
        <w:t xml:space="preserve"> </w:t>
      </w:r>
      <w:r>
        <w:t>legal counsel’s</w:t>
      </w:r>
      <w:r>
        <w:rPr>
          <w:spacing w:val="-4"/>
        </w:rPr>
        <w:t xml:space="preserve"> </w:t>
      </w:r>
      <w:r>
        <w:t>views</w:t>
      </w:r>
      <w:r>
        <w:rPr>
          <w:spacing w:val="-4"/>
        </w:rPr>
        <w:t xml:space="preserve"> </w:t>
      </w:r>
      <w:r>
        <w:t>may</w:t>
      </w:r>
      <w:r>
        <w:rPr>
          <w:spacing w:val="-4"/>
        </w:rPr>
        <w:t xml:space="preserve"> </w:t>
      </w:r>
      <w:r>
        <w:t>differ</w:t>
      </w:r>
      <w:r>
        <w:rPr>
          <w:spacing w:val="-4"/>
        </w:rPr>
        <w:t xml:space="preserve"> </w:t>
      </w:r>
      <w:r>
        <w:t>from</w:t>
      </w:r>
      <w:r>
        <w:rPr>
          <w:spacing w:val="-5"/>
        </w:rPr>
        <w:t xml:space="preserve"> </w:t>
      </w:r>
      <w:r>
        <w:t>those</w:t>
      </w:r>
      <w:r>
        <w:rPr>
          <w:spacing w:val="-4"/>
        </w:rPr>
        <w:t xml:space="preserve"> </w:t>
      </w:r>
      <w:r>
        <w:t>stated</w:t>
      </w:r>
      <w:r>
        <w:rPr>
          <w:spacing w:val="-4"/>
        </w:rPr>
        <w:t xml:space="preserve"> </w:t>
      </w:r>
      <w:r>
        <w:t>by</w:t>
      </w:r>
      <w:r>
        <w:rPr>
          <w:spacing w:val="-5"/>
        </w:rPr>
        <w:t xml:space="preserve"> </w:t>
      </w:r>
      <w:r>
        <w:t>management,</w:t>
      </w:r>
      <w:r>
        <w:rPr>
          <w:spacing w:val="-4"/>
        </w:rPr>
        <w:t xml:space="preserve"> </w:t>
      </w:r>
      <w:r>
        <w:t>as</w:t>
      </w:r>
      <w:r>
        <w:rPr>
          <w:spacing w:val="-4"/>
        </w:rPr>
        <w:t xml:space="preserve"> </w:t>
      </w:r>
      <w:r>
        <w:t>appropriate:</w:t>
      </w:r>
    </w:p>
    <w:p w14:paraId="0DFDC8A1" w14:textId="77777777" w:rsidR="00046465" w:rsidRDefault="008134EB">
      <w:pPr>
        <w:pStyle w:val="ListParagraph"/>
        <w:numPr>
          <w:ilvl w:val="2"/>
          <w:numId w:val="63"/>
        </w:numPr>
        <w:tabs>
          <w:tab w:val="left" w:pos="2518"/>
          <w:tab w:val="left" w:pos="2520"/>
        </w:tabs>
        <w:spacing w:before="119"/>
        <w:ind w:right="802"/>
        <w:jc w:val="left"/>
      </w:pPr>
      <w:r>
        <w:t>a</w:t>
      </w:r>
      <w:r>
        <w:rPr>
          <w:spacing w:val="-3"/>
        </w:rPr>
        <w:t xml:space="preserve"> </w:t>
      </w:r>
      <w:r>
        <w:t>description</w:t>
      </w:r>
      <w:r>
        <w:rPr>
          <w:spacing w:val="-3"/>
        </w:rPr>
        <w:t xml:space="preserve"> </w:t>
      </w:r>
      <w:r>
        <w:t>of</w:t>
      </w:r>
      <w:r>
        <w:rPr>
          <w:spacing w:val="-3"/>
        </w:rPr>
        <w:t xml:space="preserve"> </w:t>
      </w:r>
      <w:r>
        <w:t>the</w:t>
      </w:r>
      <w:r>
        <w:rPr>
          <w:spacing w:val="-3"/>
        </w:rPr>
        <w:t xml:space="preserve"> </w:t>
      </w:r>
      <w:r>
        <w:t>nature</w:t>
      </w:r>
      <w:r>
        <w:rPr>
          <w:spacing w:val="-3"/>
        </w:rPr>
        <w:t xml:space="preserve"> </w:t>
      </w:r>
      <w:r>
        <w:t>of</w:t>
      </w:r>
      <w:r>
        <w:rPr>
          <w:spacing w:val="-3"/>
        </w:rPr>
        <w:t xml:space="preserve"> </w:t>
      </w:r>
      <w:r>
        <w:t>the</w:t>
      </w:r>
      <w:r>
        <w:rPr>
          <w:spacing w:val="-3"/>
        </w:rPr>
        <w:t xml:space="preserve"> </w:t>
      </w:r>
      <w:r>
        <w:t>matter,</w:t>
      </w:r>
      <w:r>
        <w:rPr>
          <w:spacing w:val="-3"/>
        </w:rPr>
        <w:t xml:space="preserve"> </w:t>
      </w:r>
      <w:r>
        <w:t>the</w:t>
      </w:r>
      <w:r>
        <w:rPr>
          <w:spacing w:val="-3"/>
        </w:rPr>
        <w:t xml:space="preserve"> </w:t>
      </w:r>
      <w:r>
        <w:t>progress</w:t>
      </w:r>
      <w:r>
        <w:rPr>
          <w:spacing w:val="-3"/>
        </w:rPr>
        <w:t xml:space="preserve"> </w:t>
      </w:r>
      <w:r>
        <w:t>of</w:t>
      </w:r>
      <w:r>
        <w:rPr>
          <w:spacing w:val="-3"/>
        </w:rPr>
        <w:t xml:space="preserve"> </w:t>
      </w:r>
      <w:r>
        <w:t>the</w:t>
      </w:r>
      <w:r>
        <w:rPr>
          <w:spacing w:val="-4"/>
        </w:rPr>
        <w:t xml:space="preserve"> </w:t>
      </w:r>
      <w:r>
        <w:t>case</w:t>
      </w:r>
      <w:r>
        <w:rPr>
          <w:spacing w:val="-3"/>
        </w:rPr>
        <w:t xml:space="preserve"> </w:t>
      </w:r>
      <w:r>
        <w:t>to</w:t>
      </w:r>
      <w:r>
        <w:rPr>
          <w:spacing w:val="-3"/>
        </w:rPr>
        <w:t xml:space="preserve"> </w:t>
      </w:r>
      <w:r>
        <w:t>date, and the action that the entity intends to take (for example, to contest the matter vigorously or to seek an out-of-court settlement);</w:t>
      </w:r>
    </w:p>
    <w:p w14:paraId="0DFDC8A2" w14:textId="77777777" w:rsidR="00046465" w:rsidRDefault="008134EB">
      <w:pPr>
        <w:pStyle w:val="ListParagraph"/>
        <w:numPr>
          <w:ilvl w:val="2"/>
          <w:numId w:val="63"/>
        </w:numPr>
        <w:tabs>
          <w:tab w:val="left" w:pos="2517"/>
          <w:tab w:val="left" w:pos="2520"/>
        </w:tabs>
        <w:spacing w:before="121"/>
        <w:ind w:right="1094" w:hanging="339"/>
        <w:jc w:val="left"/>
      </w:pPr>
      <w:r>
        <w:t>an evaluation of the likelihood of an unfavorable outcome and an estimate,</w:t>
      </w:r>
      <w:r>
        <w:rPr>
          <w:spacing w:val="-3"/>
        </w:rPr>
        <w:t xml:space="preserve"> </w:t>
      </w:r>
      <w:r>
        <w:t>if</w:t>
      </w:r>
      <w:r>
        <w:rPr>
          <w:spacing w:val="-4"/>
        </w:rPr>
        <w:t xml:space="preserve"> </w:t>
      </w:r>
      <w:r>
        <w:t>one</w:t>
      </w:r>
      <w:r>
        <w:rPr>
          <w:spacing w:val="-3"/>
        </w:rPr>
        <w:t xml:space="preserve"> </w:t>
      </w:r>
      <w:r>
        <w:t>can</w:t>
      </w:r>
      <w:r>
        <w:rPr>
          <w:spacing w:val="-3"/>
        </w:rPr>
        <w:t xml:space="preserve"> </w:t>
      </w:r>
      <w:r>
        <w:t>be</w:t>
      </w:r>
      <w:r>
        <w:rPr>
          <w:spacing w:val="-4"/>
        </w:rPr>
        <w:t xml:space="preserve"> </w:t>
      </w:r>
      <w:r>
        <w:t>made,</w:t>
      </w:r>
      <w:r>
        <w:rPr>
          <w:spacing w:val="-3"/>
        </w:rPr>
        <w:t xml:space="preserve"> </w:t>
      </w:r>
      <w:r>
        <w:t>of</w:t>
      </w:r>
      <w:r>
        <w:rPr>
          <w:spacing w:val="-3"/>
        </w:rPr>
        <w:t xml:space="preserve"> </w:t>
      </w:r>
      <w:r>
        <w:t>the</w:t>
      </w:r>
      <w:r>
        <w:rPr>
          <w:spacing w:val="-3"/>
        </w:rPr>
        <w:t xml:space="preserve"> </w:t>
      </w:r>
      <w:r>
        <w:t>amount</w:t>
      </w:r>
      <w:r>
        <w:rPr>
          <w:spacing w:val="-3"/>
        </w:rPr>
        <w:t xml:space="preserve"> </w:t>
      </w:r>
      <w:r>
        <w:t>or</w:t>
      </w:r>
      <w:r>
        <w:rPr>
          <w:spacing w:val="-3"/>
        </w:rPr>
        <w:t xml:space="preserve"> </w:t>
      </w:r>
      <w:r>
        <w:t>range</w:t>
      </w:r>
      <w:r>
        <w:rPr>
          <w:spacing w:val="-3"/>
        </w:rPr>
        <w:t xml:space="preserve"> </w:t>
      </w:r>
      <w:r>
        <w:t>of</w:t>
      </w:r>
      <w:r>
        <w:rPr>
          <w:spacing w:val="-3"/>
        </w:rPr>
        <w:t xml:space="preserve"> </w:t>
      </w:r>
      <w:r>
        <w:t>potential</w:t>
      </w:r>
      <w:r>
        <w:rPr>
          <w:spacing w:val="-3"/>
        </w:rPr>
        <w:t xml:space="preserve"> </w:t>
      </w:r>
      <w:r>
        <w:t xml:space="preserve">loss; </w:t>
      </w:r>
      <w:r>
        <w:rPr>
          <w:spacing w:val="-4"/>
        </w:rPr>
        <w:t>and</w:t>
      </w:r>
    </w:p>
    <w:p w14:paraId="0DFDC8A3" w14:textId="77777777" w:rsidR="00046465" w:rsidRDefault="008134EB">
      <w:pPr>
        <w:pStyle w:val="ListParagraph"/>
        <w:numPr>
          <w:ilvl w:val="2"/>
          <w:numId w:val="63"/>
        </w:numPr>
        <w:tabs>
          <w:tab w:val="left" w:pos="2517"/>
          <w:tab w:val="left" w:pos="2520"/>
        </w:tabs>
        <w:spacing w:before="119"/>
        <w:ind w:right="898" w:hanging="388"/>
        <w:jc w:val="left"/>
      </w:pPr>
      <w:r>
        <w:t>with respect to a list prepared by management (or by legal counsel at management’s</w:t>
      </w:r>
      <w:r>
        <w:rPr>
          <w:spacing w:val="-3"/>
        </w:rPr>
        <w:t xml:space="preserve"> </w:t>
      </w:r>
      <w:r>
        <w:t>request),</w:t>
      </w:r>
      <w:r>
        <w:rPr>
          <w:spacing w:val="-4"/>
        </w:rPr>
        <w:t xml:space="preserve"> </w:t>
      </w:r>
      <w:r>
        <w:t>an</w:t>
      </w:r>
      <w:r>
        <w:rPr>
          <w:spacing w:val="-3"/>
        </w:rPr>
        <w:t xml:space="preserve"> </w:t>
      </w:r>
      <w:r>
        <w:t>identification</w:t>
      </w:r>
      <w:r>
        <w:rPr>
          <w:spacing w:val="-3"/>
        </w:rPr>
        <w:t xml:space="preserve"> </w:t>
      </w:r>
      <w:r>
        <w:t>of</w:t>
      </w:r>
      <w:r>
        <w:rPr>
          <w:spacing w:val="-3"/>
        </w:rPr>
        <w:t xml:space="preserve"> </w:t>
      </w:r>
      <w:r>
        <w:t>the</w:t>
      </w:r>
      <w:r>
        <w:rPr>
          <w:spacing w:val="-3"/>
        </w:rPr>
        <w:t xml:space="preserve"> </w:t>
      </w:r>
      <w:r>
        <w:t>omission</w:t>
      </w:r>
      <w:r>
        <w:rPr>
          <w:spacing w:val="-3"/>
        </w:rPr>
        <w:t xml:space="preserve"> </w:t>
      </w:r>
      <w:r>
        <w:t>of</w:t>
      </w:r>
      <w:r>
        <w:rPr>
          <w:spacing w:val="-3"/>
        </w:rPr>
        <w:t xml:space="preserve"> </w:t>
      </w:r>
      <w:r>
        <w:t>any</w:t>
      </w:r>
      <w:r>
        <w:rPr>
          <w:spacing w:val="-3"/>
        </w:rPr>
        <w:t xml:space="preserve"> </w:t>
      </w:r>
      <w:r>
        <w:t>pending or</w:t>
      </w:r>
      <w:r>
        <w:rPr>
          <w:spacing w:val="-4"/>
        </w:rPr>
        <w:t xml:space="preserve"> </w:t>
      </w:r>
      <w:r>
        <w:t>threatened</w:t>
      </w:r>
      <w:r>
        <w:rPr>
          <w:spacing w:val="-4"/>
        </w:rPr>
        <w:t xml:space="preserve"> </w:t>
      </w:r>
      <w:r>
        <w:t>litigation,</w:t>
      </w:r>
      <w:r>
        <w:rPr>
          <w:spacing w:val="-4"/>
        </w:rPr>
        <w:t xml:space="preserve"> </w:t>
      </w:r>
      <w:r>
        <w:t>claims,</w:t>
      </w:r>
      <w:r>
        <w:rPr>
          <w:spacing w:val="-4"/>
        </w:rPr>
        <w:t xml:space="preserve"> </w:t>
      </w:r>
      <w:r>
        <w:t>and</w:t>
      </w:r>
      <w:r>
        <w:rPr>
          <w:spacing w:val="-4"/>
        </w:rPr>
        <w:t xml:space="preserve"> </w:t>
      </w:r>
      <w:r>
        <w:t>assessments</w:t>
      </w:r>
      <w:r>
        <w:rPr>
          <w:spacing w:val="-5"/>
        </w:rPr>
        <w:t xml:space="preserve"> </w:t>
      </w:r>
      <w:r>
        <w:t>or</w:t>
      </w:r>
      <w:r>
        <w:rPr>
          <w:spacing w:val="-4"/>
        </w:rPr>
        <w:t xml:space="preserve"> </w:t>
      </w:r>
      <w:r>
        <w:t>a</w:t>
      </w:r>
      <w:r>
        <w:rPr>
          <w:spacing w:val="-4"/>
        </w:rPr>
        <w:t xml:space="preserve"> </w:t>
      </w:r>
      <w:r>
        <w:t>statement</w:t>
      </w:r>
      <w:r>
        <w:rPr>
          <w:spacing w:val="-4"/>
        </w:rPr>
        <w:t xml:space="preserve"> </w:t>
      </w:r>
      <w:r>
        <w:t>that</w:t>
      </w:r>
      <w:r>
        <w:rPr>
          <w:spacing w:val="-4"/>
        </w:rPr>
        <w:t xml:space="preserve"> </w:t>
      </w:r>
      <w:r>
        <w:t>the list of such matters is complete;</w:t>
      </w:r>
    </w:p>
    <w:p w14:paraId="0DFDC8A4" w14:textId="77777777" w:rsidR="00046465" w:rsidRDefault="008134EB">
      <w:pPr>
        <w:pStyle w:val="ListParagraph"/>
        <w:numPr>
          <w:ilvl w:val="1"/>
          <w:numId w:val="63"/>
        </w:numPr>
        <w:tabs>
          <w:tab w:val="left" w:pos="2160"/>
        </w:tabs>
        <w:spacing w:before="121"/>
        <w:ind w:right="893"/>
      </w:pPr>
      <w:r>
        <w:t>regarding</w:t>
      </w:r>
      <w:r>
        <w:rPr>
          <w:spacing w:val="-4"/>
        </w:rPr>
        <w:t xml:space="preserve"> </w:t>
      </w:r>
      <w:r>
        <w:t>each</w:t>
      </w:r>
      <w:r>
        <w:rPr>
          <w:spacing w:val="-4"/>
        </w:rPr>
        <w:t xml:space="preserve"> </w:t>
      </w:r>
      <w:r>
        <w:t>matter</w:t>
      </w:r>
      <w:r>
        <w:rPr>
          <w:spacing w:val="-4"/>
        </w:rPr>
        <w:t xml:space="preserve"> </w:t>
      </w:r>
      <w:r>
        <w:t>listed</w:t>
      </w:r>
      <w:r>
        <w:rPr>
          <w:spacing w:val="-4"/>
        </w:rPr>
        <w:t xml:space="preserve"> </w:t>
      </w:r>
      <w:r>
        <w:t>in</w:t>
      </w:r>
      <w:r>
        <w:rPr>
          <w:spacing w:val="-4"/>
        </w:rPr>
        <w:t xml:space="preserve"> </w:t>
      </w:r>
      <w:r>
        <w:t>item</w:t>
      </w:r>
      <w:r>
        <w:rPr>
          <w:spacing w:val="-5"/>
        </w:rPr>
        <w:t xml:space="preserve"> </w:t>
      </w:r>
      <w:r>
        <w:t>c,</w:t>
      </w:r>
      <w:r>
        <w:rPr>
          <w:spacing w:val="-4"/>
        </w:rPr>
        <w:t xml:space="preserve"> </w:t>
      </w:r>
      <w:r>
        <w:t>a</w:t>
      </w:r>
      <w:r>
        <w:rPr>
          <w:spacing w:val="-4"/>
        </w:rPr>
        <w:t xml:space="preserve"> </w:t>
      </w:r>
      <w:r>
        <w:t>request</w:t>
      </w:r>
      <w:r>
        <w:rPr>
          <w:spacing w:val="-4"/>
        </w:rPr>
        <w:t xml:space="preserve"> </w:t>
      </w:r>
      <w:r>
        <w:t>that</w:t>
      </w:r>
      <w:r>
        <w:rPr>
          <w:spacing w:val="-4"/>
        </w:rPr>
        <w:t xml:space="preserve"> </w:t>
      </w:r>
      <w:r>
        <w:t>legal</w:t>
      </w:r>
      <w:r>
        <w:rPr>
          <w:spacing w:val="-4"/>
        </w:rPr>
        <w:t xml:space="preserve"> </w:t>
      </w:r>
      <w:r>
        <w:t>counsel</w:t>
      </w:r>
      <w:r>
        <w:rPr>
          <w:spacing w:val="-4"/>
        </w:rPr>
        <w:t xml:space="preserve"> </w:t>
      </w:r>
      <w:r>
        <w:t>comment on those matters on which legal counsel’s views concerning the description or evaluation of the matter may differ from those stated by management;</w:t>
      </w:r>
    </w:p>
    <w:p w14:paraId="0DFDC8A5" w14:textId="77777777" w:rsidR="00046465" w:rsidRDefault="008134EB">
      <w:pPr>
        <w:pStyle w:val="ListParagraph"/>
        <w:numPr>
          <w:ilvl w:val="1"/>
          <w:numId w:val="63"/>
        </w:numPr>
        <w:tabs>
          <w:tab w:val="left" w:pos="2160"/>
        </w:tabs>
        <w:spacing w:before="119"/>
        <w:ind w:right="720"/>
      </w:pPr>
      <w:r>
        <w:t>a statement that management understands that whenever, in the course of performing legal services for the entity with respect to a matter recognized to involve</w:t>
      </w:r>
      <w:r>
        <w:rPr>
          <w:spacing w:val="-4"/>
        </w:rPr>
        <w:t xml:space="preserve"> </w:t>
      </w:r>
      <w:r>
        <w:t>an</w:t>
      </w:r>
      <w:r>
        <w:rPr>
          <w:spacing w:val="-5"/>
        </w:rPr>
        <w:t xml:space="preserve"> </w:t>
      </w:r>
      <w:r>
        <w:t>unasserted</w:t>
      </w:r>
      <w:r>
        <w:rPr>
          <w:spacing w:val="-4"/>
        </w:rPr>
        <w:t xml:space="preserve"> </w:t>
      </w:r>
      <w:r>
        <w:t>possible</w:t>
      </w:r>
      <w:r>
        <w:rPr>
          <w:spacing w:val="-5"/>
        </w:rPr>
        <w:t xml:space="preserve"> </w:t>
      </w:r>
      <w:r>
        <w:t>claim</w:t>
      </w:r>
      <w:r>
        <w:rPr>
          <w:spacing w:val="-5"/>
        </w:rPr>
        <w:t xml:space="preserve"> </w:t>
      </w:r>
      <w:r>
        <w:t>or</w:t>
      </w:r>
      <w:r>
        <w:rPr>
          <w:spacing w:val="-4"/>
        </w:rPr>
        <w:t xml:space="preserve"> </w:t>
      </w:r>
      <w:r>
        <w:t>assessment</w:t>
      </w:r>
      <w:r>
        <w:rPr>
          <w:spacing w:val="-4"/>
        </w:rPr>
        <w:t xml:space="preserve"> </w:t>
      </w:r>
      <w:r>
        <w:t>that</w:t>
      </w:r>
      <w:r>
        <w:rPr>
          <w:spacing w:val="-4"/>
        </w:rPr>
        <w:t xml:space="preserve"> </w:t>
      </w:r>
      <w:r>
        <w:t>may</w:t>
      </w:r>
      <w:r>
        <w:rPr>
          <w:spacing w:val="-4"/>
        </w:rPr>
        <w:t xml:space="preserve"> </w:t>
      </w:r>
      <w:r>
        <w:t>call</w:t>
      </w:r>
      <w:r>
        <w:rPr>
          <w:spacing w:val="-4"/>
        </w:rPr>
        <w:t xml:space="preserve"> </w:t>
      </w:r>
      <w:r>
        <w:t>for</w:t>
      </w:r>
      <w:r>
        <w:rPr>
          <w:spacing w:val="-4"/>
        </w:rPr>
        <w:t xml:space="preserve"> </w:t>
      </w:r>
      <w:r>
        <w:t>financial statement</w:t>
      </w:r>
      <w:r>
        <w:rPr>
          <w:spacing w:val="-3"/>
        </w:rPr>
        <w:t xml:space="preserve"> </w:t>
      </w:r>
      <w:r>
        <w:t>disclosure,</w:t>
      </w:r>
      <w:r>
        <w:rPr>
          <w:spacing w:val="-4"/>
        </w:rPr>
        <w:t xml:space="preserve"> </w:t>
      </w:r>
      <w:r>
        <w:t>legal</w:t>
      </w:r>
      <w:r>
        <w:rPr>
          <w:spacing w:val="-3"/>
        </w:rPr>
        <w:t xml:space="preserve"> </w:t>
      </w:r>
      <w:r>
        <w:t>counsel</w:t>
      </w:r>
      <w:r>
        <w:rPr>
          <w:spacing w:val="-4"/>
        </w:rPr>
        <w:t xml:space="preserve"> </w:t>
      </w:r>
      <w:r>
        <w:t>has</w:t>
      </w:r>
      <w:r>
        <w:rPr>
          <w:spacing w:val="-3"/>
        </w:rPr>
        <w:t xml:space="preserve"> </w:t>
      </w:r>
      <w:r>
        <w:t>formed</w:t>
      </w:r>
      <w:r>
        <w:rPr>
          <w:spacing w:val="-3"/>
        </w:rPr>
        <w:t xml:space="preserve"> </w:t>
      </w:r>
      <w:r>
        <w:t>a</w:t>
      </w:r>
      <w:r>
        <w:rPr>
          <w:spacing w:val="-3"/>
        </w:rPr>
        <w:t xml:space="preserve"> </w:t>
      </w:r>
      <w:r>
        <w:t>professional</w:t>
      </w:r>
      <w:r>
        <w:rPr>
          <w:spacing w:val="-3"/>
        </w:rPr>
        <w:t xml:space="preserve"> </w:t>
      </w:r>
      <w:r>
        <w:t>conclusion</w:t>
      </w:r>
      <w:r>
        <w:rPr>
          <w:spacing w:val="-3"/>
        </w:rPr>
        <w:t xml:space="preserve"> </w:t>
      </w:r>
      <w:r>
        <w:t>that the entity should disclose or consider disclosure concerning such possible claim or assessment, legal counsel, as a matter of professional responsibility to the entity, will so advise the entity and will consult with the entity concerning the question of such disclosure and the requirements of the applicable financial reporting framework (generally U.S. GAAP);</w:t>
      </w:r>
    </w:p>
    <w:p w14:paraId="0DFDC8A6" w14:textId="77777777" w:rsidR="00046465" w:rsidRDefault="008134EB">
      <w:pPr>
        <w:pStyle w:val="ListParagraph"/>
        <w:numPr>
          <w:ilvl w:val="1"/>
          <w:numId w:val="63"/>
        </w:numPr>
        <w:tabs>
          <w:tab w:val="left" w:pos="2160"/>
        </w:tabs>
        <w:ind w:right="891"/>
      </w:pPr>
      <w:r>
        <w:t>a</w:t>
      </w:r>
      <w:r>
        <w:rPr>
          <w:spacing w:val="-4"/>
        </w:rPr>
        <w:t xml:space="preserve"> </w:t>
      </w:r>
      <w:r>
        <w:t>request</w:t>
      </w:r>
      <w:r>
        <w:rPr>
          <w:spacing w:val="-4"/>
        </w:rPr>
        <w:t xml:space="preserve"> </w:t>
      </w:r>
      <w:r>
        <w:t>that</w:t>
      </w:r>
      <w:r>
        <w:rPr>
          <w:spacing w:val="-4"/>
        </w:rPr>
        <w:t xml:space="preserve"> </w:t>
      </w:r>
      <w:r>
        <w:t>legal</w:t>
      </w:r>
      <w:r>
        <w:rPr>
          <w:spacing w:val="-4"/>
        </w:rPr>
        <w:t xml:space="preserve"> </w:t>
      </w:r>
      <w:r>
        <w:t>counsel</w:t>
      </w:r>
      <w:r>
        <w:rPr>
          <w:spacing w:val="-4"/>
        </w:rPr>
        <w:t xml:space="preserve"> </w:t>
      </w:r>
      <w:r>
        <w:t>confirm</w:t>
      </w:r>
      <w:r>
        <w:rPr>
          <w:spacing w:val="-5"/>
        </w:rPr>
        <w:t xml:space="preserve"> </w:t>
      </w:r>
      <w:r>
        <w:t>whether</w:t>
      </w:r>
      <w:r>
        <w:rPr>
          <w:spacing w:val="-4"/>
        </w:rPr>
        <w:t xml:space="preserve"> </w:t>
      </w:r>
      <w:r>
        <w:t>the</w:t>
      </w:r>
      <w:r>
        <w:rPr>
          <w:spacing w:val="-4"/>
        </w:rPr>
        <w:t xml:space="preserve"> </w:t>
      </w:r>
      <w:r>
        <w:t>understanding</w:t>
      </w:r>
      <w:r>
        <w:rPr>
          <w:spacing w:val="-4"/>
        </w:rPr>
        <w:t xml:space="preserve"> </w:t>
      </w:r>
      <w:r>
        <w:t>described</w:t>
      </w:r>
      <w:r>
        <w:rPr>
          <w:spacing w:val="-4"/>
        </w:rPr>
        <w:t xml:space="preserve"> </w:t>
      </w:r>
      <w:r>
        <w:t>in item f is correct;</w:t>
      </w:r>
    </w:p>
    <w:p w14:paraId="0DFDC8A7" w14:textId="77777777" w:rsidR="00046465" w:rsidRDefault="008134EB">
      <w:pPr>
        <w:pStyle w:val="ListParagraph"/>
        <w:numPr>
          <w:ilvl w:val="1"/>
          <w:numId w:val="63"/>
        </w:numPr>
        <w:tabs>
          <w:tab w:val="left" w:pos="2160"/>
        </w:tabs>
        <w:spacing w:before="121"/>
        <w:ind w:right="1075"/>
      </w:pPr>
      <w:r>
        <w:t>a</w:t>
      </w:r>
      <w:r>
        <w:rPr>
          <w:spacing w:val="-4"/>
        </w:rPr>
        <w:t xml:space="preserve"> </w:t>
      </w:r>
      <w:r>
        <w:t>request</w:t>
      </w:r>
      <w:r>
        <w:rPr>
          <w:spacing w:val="-4"/>
        </w:rPr>
        <w:t xml:space="preserve"> </w:t>
      </w:r>
      <w:r>
        <w:t>that</w:t>
      </w:r>
      <w:r>
        <w:rPr>
          <w:spacing w:val="-4"/>
        </w:rPr>
        <w:t xml:space="preserve"> </w:t>
      </w:r>
      <w:r>
        <w:t>legal</w:t>
      </w:r>
      <w:r>
        <w:rPr>
          <w:spacing w:val="-4"/>
        </w:rPr>
        <w:t xml:space="preserve"> </w:t>
      </w:r>
      <w:r>
        <w:t>counsel</w:t>
      </w:r>
      <w:r>
        <w:rPr>
          <w:spacing w:val="-4"/>
        </w:rPr>
        <w:t xml:space="preserve"> </w:t>
      </w:r>
      <w:r>
        <w:t>specifically</w:t>
      </w:r>
      <w:r>
        <w:rPr>
          <w:spacing w:val="-4"/>
        </w:rPr>
        <w:t xml:space="preserve"> </w:t>
      </w:r>
      <w:r>
        <w:t>identify</w:t>
      </w:r>
      <w:r>
        <w:rPr>
          <w:spacing w:val="-4"/>
        </w:rPr>
        <w:t xml:space="preserve"> </w:t>
      </w:r>
      <w:r>
        <w:t>the</w:t>
      </w:r>
      <w:r>
        <w:rPr>
          <w:spacing w:val="-4"/>
        </w:rPr>
        <w:t xml:space="preserve"> </w:t>
      </w:r>
      <w:r>
        <w:t>nature</w:t>
      </w:r>
      <w:r>
        <w:rPr>
          <w:spacing w:val="-4"/>
        </w:rPr>
        <w:t xml:space="preserve"> </w:t>
      </w:r>
      <w:r>
        <w:t>of,</w:t>
      </w:r>
      <w:r>
        <w:rPr>
          <w:spacing w:val="-4"/>
        </w:rPr>
        <w:t xml:space="preserve"> </w:t>
      </w:r>
      <w:r>
        <w:t>and</w:t>
      </w:r>
      <w:r>
        <w:rPr>
          <w:spacing w:val="-4"/>
        </w:rPr>
        <w:t xml:space="preserve"> </w:t>
      </w:r>
      <w:r>
        <w:t>reasons for, any limitation on the response; and</w:t>
      </w:r>
    </w:p>
    <w:p w14:paraId="0DFDC8A8" w14:textId="77777777" w:rsidR="00046465" w:rsidRDefault="008134EB">
      <w:pPr>
        <w:pStyle w:val="ListParagraph"/>
        <w:numPr>
          <w:ilvl w:val="1"/>
          <w:numId w:val="63"/>
        </w:numPr>
        <w:tabs>
          <w:tab w:val="left" w:pos="2160"/>
        </w:tabs>
      </w:pPr>
      <w:r>
        <w:t>a</w:t>
      </w:r>
      <w:r>
        <w:rPr>
          <w:spacing w:val="-5"/>
        </w:rPr>
        <w:t xml:space="preserve"> </w:t>
      </w:r>
      <w:r>
        <w:t>request</w:t>
      </w:r>
      <w:r>
        <w:rPr>
          <w:spacing w:val="-5"/>
        </w:rPr>
        <w:t xml:space="preserve"> </w:t>
      </w:r>
      <w:r>
        <w:t>that</w:t>
      </w:r>
      <w:r>
        <w:rPr>
          <w:spacing w:val="-5"/>
        </w:rPr>
        <w:t xml:space="preserve"> </w:t>
      </w:r>
      <w:r>
        <w:t>legal</w:t>
      </w:r>
      <w:r>
        <w:rPr>
          <w:spacing w:val="-5"/>
        </w:rPr>
        <w:t xml:space="preserve"> </w:t>
      </w:r>
      <w:r>
        <w:t>counsel</w:t>
      </w:r>
      <w:r>
        <w:rPr>
          <w:spacing w:val="-5"/>
        </w:rPr>
        <w:t xml:space="preserve"> </w:t>
      </w:r>
      <w:r>
        <w:t>specify</w:t>
      </w:r>
      <w:r>
        <w:rPr>
          <w:spacing w:val="-6"/>
        </w:rPr>
        <w:t xml:space="preserve"> </w:t>
      </w:r>
      <w:r>
        <w:t>the</w:t>
      </w:r>
      <w:r>
        <w:rPr>
          <w:spacing w:val="-5"/>
        </w:rPr>
        <w:t xml:space="preserve"> </w:t>
      </w:r>
      <w:r>
        <w:t>effective</w:t>
      </w:r>
      <w:r>
        <w:rPr>
          <w:spacing w:val="-6"/>
        </w:rPr>
        <w:t xml:space="preserve"> </w:t>
      </w:r>
      <w:r>
        <w:t>date</w:t>
      </w:r>
      <w:r>
        <w:rPr>
          <w:spacing w:val="-5"/>
        </w:rPr>
        <w:t xml:space="preserve"> </w:t>
      </w:r>
      <w:r>
        <w:t>of</w:t>
      </w:r>
      <w:r>
        <w:rPr>
          <w:spacing w:val="-5"/>
        </w:rPr>
        <w:t xml:space="preserve"> </w:t>
      </w:r>
      <w:r>
        <w:t>the</w:t>
      </w:r>
      <w:r>
        <w:rPr>
          <w:spacing w:val="-6"/>
        </w:rPr>
        <w:t xml:space="preserve"> </w:t>
      </w:r>
      <w:r>
        <w:rPr>
          <w:spacing w:val="-2"/>
        </w:rPr>
        <w:t>response.</w:t>
      </w:r>
    </w:p>
    <w:p w14:paraId="0DFDC8A9" w14:textId="77777777" w:rsidR="00046465" w:rsidRDefault="008134EB">
      <w:pPr>
        <w:pStyle w:val="ListParagraph"/>
        <w:numPr>
          <w:ilvl w:val="0"/>
          <w:numId w:val="63"/>
        </w:numPr>
        <w:tabs>
          <w:tab w:val="left" w:pos="1800"/>
        </w:tabs>
        <w:spacing w:before="119"/>
        <w:ind w:right="1008"/>
      </w:pPr>
      <w:r>
        <w:t>The</w:t>
      </w:r>
      <w:r>
        <w:rPr>
          <w:spacing w:val="-3"/>
        </w:rPr>
        <w:t xml:space="preserve"> </w:t>
      </w:r>
      <w:r>
        <w:t>auditor</w:t>
      </w:r>
      <w:r>
        <w:rPr>
          <w:spacing w:val="-5"/>
        </w:rPr>
        <w:t xml:space="preserve"> </w:t>
      </w:r>
      <w:r>
        <w:t>should</w:t>
      </w:r>
      <w:r>
        <w:rPr>
          <w:spacing w:val="-3"/>
        </w:rPr>
        <w:t xml:space="preserve"> </w:t>
      </w:r>
      <w:r>
        <w:t>ask</w:t>
      </w:r>
      <w:r>
        <w:rPr>
          <w:spacing w:val="-3"/>
        </w:rPr>
        <w:t xml:space="preserve"> </w:t>
      </w:r>
      <w:r>
        <w:t>the</w:t>
      </w:r>
      <w:r>
        <w:rPr>
          <w:spacing w:val="-3"/>
        </w:rPr>
        <w:t xml:space="preserve"> </w:t>
      </w:r>
      <w:r>
        <w:t>entity</w:t>
      </w:r>
      <w:r>
        <w:rPr>
          <w:spacing w:val="-3"/>
        </w:rPr>
        <w:t xml:space="preserve"> </w:t>
      </w:r>
      <w:r>
        <w:t>to</w:t>
      </w:r>
      <w:r>
        <w:rPr>
          <w:spacing w:val="-3"/>
        </w:rPr>
        <w:t xml:space="preserve"> </w:t>
      </w:r>
      <w:r>
        <w:t>request</w:t>
      </w:r>
      <w:r>
        <w:rPr>
          <w:spacing w:val="-3"/>
        </w:rPr>
        <w:t xml:space="preserve"> </w:t>
      </w:r>
      <w:r>
        <w:t>that</w:t>
      </w:r>
      <w:r>
        <w:rPr>
          <w:spacing w:val="-3"/>
        </w:rPr>
        <w:t xml:space="preserve"> </w:t>
      </w:r>
      <w:r>
        <w:t>its</w:t>
      </w:r>
      <w:r>
        <w:rPr>
          <w:spacing w:val="-3"/>
        </w:rPr>
        <w:t xml:space="preserve"> </w:t>
      </w:r>
      <w:r>
        <w:t>legal</w:t>
      </w:r>
      <w:r>
        <w:rPr>
          <w:spacing w:val="-4"/>
        </w:rPr>
        <w:t xml:space="preserve"> </w:t>
      </w:r>
      <w:r>
        <w:t>counsel</w:t>
      </w:r>
      <w:r>
        <w:rPr>
          <w:spacing w:val="-3"/>
        </w:rPr>
        <w:t xml:space="preserve"> </w:t>
      </w:r>
      <w:r>
        <w:t>include</w:t>
      </w:r>
      <w:r>
        <w:rPr>
          <w:spacing w:val="-4"/>
        </w:rPr>
        <w:t xml:space="preserve"> </w:t>
      </w:r>
      <w:r>
        <w:t>in</w:t>
      </w:r>
      <w:r>
        <w:rPr>
          <w:spacing w:val="-3"/>
        </w:rPr>
        <w:t xml:space="preserve"> </w:t>
      </w:r>
      <w:r>
        <w:t xml:space="preserve">the response all entity components included in the financial statements being audited. Additionally, legal counsel generally should indicate the disposition of cases included in prior year’s legal counsel response that are no longer </w:t>
      </w:r>
      <w:r>
        <w:rPr>
          <w:spacing w:val="-2"/>
        </w:rPr>
        <w:t>contingencies.</w:t>
      </w:r>
    </w:p>
    <w:p w14:paraId="0DFDC8AA" w14:textId="77777777" w:rsidR="00046465" w:rsidRDefault="00046465">
      <w:pPr>
        <w:pStyle w:val="ListParagraph"/>
        <w:sectPr w:rsidR="00046465">
          <w:pgSz w:w="12240" w:h="15840"/>
          <w:pgMar w:top="1340" w:right="720" w:bottom="940" w:left="1080" w:header="721" w:footer="757" w:gutter="0"/>
          <w:cols w:space="720"/>
        </w:sectPr>
      </w:pPr>
    </w:p>
    <w:p w14:paraId="0DFDC8AB" w14:textId="77777777" w:rsidR="00046465" w:rsidRDefault="008134EB">
      <w:pPr>
        <w:pStyle w:val="ListParagraph"/>
        <w:numPr>
          <w:ilvl w:val="0"/>
          <w:numId w:val="63"/>
        </w:numPr>
        <w:tabs>
          <w:tab w:val="left" w:pos="1800"/>
        </w:tabs>
        <w:spacing w:before="121"/>
        <w:ind w:right="896"/>
      </w:pPr>
      <w:r>
        <w:lastRenderedPageBreak/>
        <w:t>The legal counsel request should be on the entity’s letterhead, signed by the CFO</w:t>
      </w:r>
      <w:r>
        <w:rPr>
          <w:spacing w:val="-4"/>
        </w:rPr>
        <w:t xml:space="preserve"> </w:t>
      </w:r>
      <w:r>
        <w:t>or</w:t>
      </w:r>
      <w:r>
        <w:rPr>
          <w:spacing w:val="-3"/>
        </w:rPr>
        <w:t xml:space="preserve"> </w:t>
      </w:r>
      <w:r>
        <w:t>equivalent.</w:t>
      </w:r>
      <w:r>
        <w:rPr>
          <w:spacing w:val="-3"/>
        </w:rPr>
        <w:t xml:space="preserve"> </w:t>
      </w:r>
      <w:r>
        <w:t>The</w:t>
      </w:r>
      <w:r>
        <w:rPr>
          <w:spacing w:val="-3"/>
        </w:rPr>
        <w:t xml:space="preserve"> </w:t>
      </w:r>
      <w:r>
        <w:t>legal</w:t>
      </w:r>
      <w:r>
        <w:rPr>
          <w:spacing w:val="-3"/>
        </w:rPr>
        <w:t xml:space="preserve"> </w:t>
      </w:r>
      <w:r>
        <w:t>counsel</w:t>
      </w:r>
      <w:r>
        <w:rPr>
          <w:spacing w:val="-3"/>
        </w:rPr>
        <w:t xml:space="preserve"> </w:t>
      </w:r>
      <w:r>
        <w:t>request</w:t>
      </w:r>
      <w:r>
        <w:rPr>
          <w:spacing w:val="-3"/>
        </w:rPr>
        <w:t xml:space="preserve"> </w:t>
      </w:r>
      <w:r>
        <w:t>should</w:t>
      </w:r>
      <w:r>
        <w:rPr>
          <w:spacing w:val="-3"/>
        </w:rPr>
        <w:t xml:space="preserve"> </w:t>
      </w:r>
      <w:r>
        <w:t>be</w:t>
      </w:r>
      <w:r>
        <w:rPr>
          <w:spacing w:val="-3"/>
        </w:rPr>
        <w:t xml:space="preserve"> </w:t>
      </w:r>
      <w:r>
        <w:t>sent</w:t>
      </w:r>
      <w:r>
        <w:rPr>
          <w:spacing w:val="-4"/>
        </w:rPr>
        <w:t xml:space="preserve"> </w:t>
      </w:r>
      <w:r>
        <w:t>by</w:t>
      </w:r>
      <w:r>
        <w:rPr>
          <w:spacing w:val="-3"/>
        </w:rPr>
        <w:t xml:space="preserve"> </w:t>
      </w:r>
      <w:r>
        <w:t>the</w:t>
      </w:r>
      <w:r>
        <w:rPr>
          <w:spacing w:val="-3"/>
        </w:rPr>
        <w:t xml:space="preserve"> </w:t>
      </w:r>
      <w:r>
        <w:t>auditor</w:t>
      </w:r>
      <w:r>
        <w:rPr>
          <w:spacing w:val="-3"/>
        </w:rPr>
        <w:t xml:space="preserve"> </w:t>
      </w:r>
      <w:r>
        <w:t>and ask</w:t>
      </w:r>
      <w:r>
        <w:rPr>
          <w:spacing w:val="-3"/>
        </w:rPr>
        <w:t xml:space="preserve"> </w:t>
      </w:r>
      <w:r>
        <w:t>that</w:t>
      </w:r>
      <w:r>
        <w:rPr>
          <w:spacing w:val="-3"/>
        </w:rPr>
        <w:t xml:space="preserve"> </w:t>
      </w:r>
      <w:r>
        <w:t>the</w:t>
      </w:r>
      <w:r>
        <w:rPr>
          <w:spacing w:val="-4"/>
        </w:rPr>
        <w:t xml:space="preserve"> </w:t>
      </w:r>
      <w:r>
        <w:t>response</w:t>
      </w:r>
      <w:r>
        <w:rPr>
          <w:spacing w:val="-3"/>
        </w:rPr>
        <w:t xml:space="preserve"> </w:t>
      </w:r>
      <w:r>
        <w:t>be</w:t>
      </w:r>
      <w:r>
        <w:rPr>
          <w:spacing w:val="-4"/>
        </w:rPr>
        <w:t xml:space="preserve"> </w:t>
      </w:r>
      <w:r>
        <w:t>sent</w:t>
      </w:r>
      <w:r>
        <w:rPr>
          <w:spacing w:val="-3"/>
        </w:rPr>
        <w:t xml:space="preserve"> </w:t>
      </w:r>
      <w:r>
        <w:t>directly</w:t>
      </w:r>
      <w:r>
        <w:rPr>
          <w:spacing w:val="-3"/>
        </w:rPr>
        <w:t xml:space="preserve"> </w:t>
      </w:r>
      <w:r>
        <w:t>to</w:t>
      </w:r>
      <w:r>
        <w:rPr>
          <w:spacing w:val="-3"/>
        </w:rPr>
        <w:t xml:space="preserve"> </w:t>
      </w:r>
      <w:r>
        <w:t>the</w:t>
      </w:r>
      <w:r>
        <w:rPr>
          <w:spacing w:val="-3"/>
        </w:rPr>
        <w:t xml:space="preserve"> </w:t>
      </w:r>
      <w:r>
        <w:t>auditor</w:t>
      </w:r>
      <w:r>
        <w:rPr>
          <w:spacing w:val="-3"/>
        </w:rPr>
        <w:t xml:space="preserve"> </w:t>
      </w:r>
      <w:r>
        <w:t>with</w:t>
      </w:r>
      <w:r>
        <w:rPr>
          <w:spacing w:val="-3"/>
        </w:rPr>
        <w:t xml:space="preserve"> </w:t>
      </w:r>
      <w:r>
        <w:t>a</w:t>
      </w:r>
      <w:r>
        <w:rPr>
          <w:spacing w:val="-3"/>
        </w:rPr>
        <w:t xml:space="preserve"> </w:t>
      </w:r>
      <w:r>
        <w:t>copy</w:t>
      </w:r>
      <w:r>
        <w:rPr>
          <w:spacing w:val="-3"/>
        </w:rPr>
        <w:t xml:space="preserve"> </w:t>
      </w:r>
      <w:r>
        <w:t>to</w:t>
      </w:r>
      <w:r>
        <w:rPr>
          <w:spacing w:val="-3"/>
        </w:rPr>
        <w:t xml:space="preserve"> </w:t>
      </w:r>
      <w:r>
        <w:t>management by specified due dates (see FAM 1002.33–.36 for guidance on timing of legal counsel requests and responses). FAM 1002 B provides an example legal counsel request.</w:t>
      </w:r>
    </w:p>
    <w:p w14:paraId="0DFDC8AC" w14:textId="77777777" w:rsidR="00046465" w:rsidRDefault="00046465">
      <w:pPr>
        <w:pStyle w:val="BodyText"/>
        <w:spacing w:before="47"/>
      </w:pPr>
    </w:p>
    <w:p w14:paraId="0DFDC8AD" w14:textId="77777777" w:rsidR="00046465" w:rsidRDefault="008134EB">
      <w:pPr>
        <w:spacing w:before="1"/>
        <w:ind w:left="1080"/>
        <w:rPr>
          <w:b/>
          <w:sz w:val="24"/>
        </w:rPr>
      </w:pPr>
      <w:bookmarkStart w:id="390" w:name="Agree_on_Materiality_Level_for_Legal_Inq"/>
      <w:bookmarkEnd w:id="390"/>
      <w:r>
        <w:rPr>
          <w:b/>
          <w:sz w:val="24"/>
        </w:rPr>
        <w:t>Agree</w:t>
      </w:r>
      <w:r>
        <w:rPr>
          <w:b/>
          <w:spacing w:val="-3"/>
          <w:sz w:val="24"/>
        </w:rPr>
        <w:t xml:space="preserve"> </w:t>
      </w:r>
      <w:r>
        <w:rPr>
          <w:b/>
          <w:sz w:val="24"/>
        </w:rPr>
        <w:t>on</w:t>
      </w:r>
      <w:r>
        <w:rPr>
          <w:b/>
          <w:spacing w:val="-4"/>
          <w:sz w:val="24"/>
        </w:rPr>
        <w:t xml:space="preserve"> </w:t>
      </w:r>
      <w:r>
        <w:rPr>
          <w:b/>
          <w:sz w:val="24"/>
        </w:rPr>
        <w:t>Materiality</w:t>
      </w:r>
      <w:r>
        <w:rPr>
          <w:b/>
          <w:spacing w:val="-3"/>
          <w:sz w:val="24"/>
        </w:rPr>
        <w:t xml:space="preserve"> </w:t>
      </w:r>
      <w:r>
        <w:rPr>
          <w:b/>
          <w:sz w:val="24"/>
        </w:rPr>
        <w:t>Level</w:t>
      </w:r>
      <w:r>
        <w:rPr>
          <w:b/>
          <w:spacing w:val="-2"/>
          <w:sz w:val="24"/>
        </w:rPr>
        <w:t xml:space="preserve"> </w:t>
      </w:r>
      <w:r>
        <w:rPr>
          <w:b/>
          <w:sz w:val="24"/>
        </w:rPr>
        <w:t>for</w:t>
      </w:r>
      <w:r>
        <w:rPr>
          <w:b/>
          <w:spacing w:val="-4"/>
          <w:sz w:val="24"/>
        </w:rPr>
        <w:t xml:space="preserve"> </w:t>
      </w:r>
      <w:r>
        <w:rPr>
          <w:b/>
          <w:sz w:val="24"/>
        </w:rPr>
        <w:t>Legal</w:t>
      </w:r>
      <w:r>
        <w:rPr>
          <w:b/>
          <w:spacing w:val="-1"/>
          <w:sz w:val="24"/>
        </w:rPr>
        <w:t xml:space="preserve"> </w:t>
      </w:r>
      <w:r>
        <w:rPr>
          <w:b/>
          <w:spacing w:val="-2"/>
          <w:sz w:val="24"/>
        </w:rPr>
        <w:t>Inquiries</w:t>
      </w:r>
    </w:p>
    <w:p w14:paraId="0DFDC8AE" w14:textId="77777777" w:rsidR="00046465" w:rsidRDefault="008134EB">
      <w:pPr>
        <w:pStyle w:val="ListParagraph"/>
        <w:numPr>
          <w:ilvl w:val="0"/>
          <w:numId w:val="63"/>
        </w:numPr>
        <w:tabs>
          <w:tab w:val="left" w:pos="1800"/>
        </w:tabs>
        <w:spacing w:before="179"/>
        <w:ind w:right="750"/>
      </w:pPr>
      <w:r>
        <w:t>The auditor and the entity may agree to limit the legal inquiry to matters that are considered individually or collectively material to the financial statements, provided that the entity and the auditor have reached an understanding on the materiality</w:t>
      </w:r>
      <w:r>
        <w:rPr>
          <w:spacing w:val="-3"/>
        </w:rPr>
        <w:t xml:space="preserve"> </w:t>
      </w:r>
      <w:r>
        <w:t>level.</w:t>
      </w:r>
      <w:r>
        <w:rPr>
          <w:spacing w:val="-3"/>
        </w:rPr>
        <w:t xml:space="preserve"> </w:t>
      </w:r>
      <w:r>
        <w:t>The</w:t>
      </w:r>
      <w:r>
        <w:rPr>
          <w:spacing w:val="-3"/>
        </w:rPr>
        <w:t xml:space="preserve"> </w:t>
      </w:r>
      <w:r>
        <w:t>auditor</w:t>
      </w:r>
      <w:r>
        <w:rPr>
          <w:spacing w:val="-3"/>
        </w:rPr>
        <w:t xml:space="preserve"> </w:t>
      </w:r>
      <w:r>
        <w:t>should</w:t>
      </w:r>
      <w:r>
        <w:rPr>
          <w:spacing w:val="-4"/>
        </w:rPr>
        <w:t xml:space="preserve"> </w:t>
      </w:r>
      <w:r>
        <w:t>ask</w:t>
      </w:r>
      <w:r>
        <w:rPr>
          <w:spacing w:val="-3"/>
        </w:rPr>
        <w:t xml:space="preserve"> </w:t>
      </w:r>
      <w:r>
        <w:t>the</w:t>
      </w:r>
      <w:r>
        <w:rPr>
          <w:spacing w:val="-3"/>
        </w:rPr>
        <w:t xml:space="preserve"> </w:t>
      </w:r>
      <w:r>
        <w:t>entity</w:t>
      </w:r>
      <w:r>
        <w:rPr>
          <w:spacing w:val="-3"/>
        </w:rPr>
        <w:t xml:space="preserve"> </w:t>
      </w:r>
      <w:r>
        <w:t>to</w:t>
      </w:r>
      <w:r>
        <w:rPr>
          <w:spacing w:val="-3"/>
        </w:rPr>
        <w:t xml:space="preserve"> </w:t>
      </w:r>
      <w:r>
        <w:t>indicate</w:t>
      </w:r>
      <w:r>
        <w:rPr>
          <w:spacing w:val="-4"/>
        </w:rPr>
        <w:t xml:space="preserve"> </w:t>
      </w:r>
      <w:r>
        <w:t>the</w:t>
      </w:r>
      <w:r>
        <w:rPr>
          <w:spacing w:val="-3"/>
        </w:rPr>
        <w:t xml:space="preserve"> </w:t>
      </w:r>
      <w:r>
        <w:t>materiality</w:t>
      </w:r>
      <w:r>
        <w:rPr>
          <w:spacing w:val="-3"/>
        </w:rPr>
        <w:t xml:space="preserve"> </w:t>
      </w:r>
      <w:r>
        <w:t>level, if used, in the legal counsel request, and the entity should ask legal counsel to include the materiality in the response.</w:t>
      </w:r>
    </w:p>
    <w:p w14:paraId="0DFDC8AF" w14:textId="77777777" w:rsidR="00046465" w:rsidRDefault="008134EB">
      <w:pPr>
        <w:pStyle w:val="ListParagraph"/>
        <w:numPr>
          <w:ilvl w:val="0"/>
          <w:numId w:val="63"/>
        </w:numPr>
        <w:tabs>
          <w:tab w:val="left" w:pos="1800"/>
        </w:tabs>
        <w:ind w:right="1042"/>
      </w:pPr>
      <w:r>
        <w:t>In</w:t>
      </w:r>
      <w:r>
        <w:rPr>
          <w:spacing w:val="-3"/>
        </w:rPr>
        <w:t xml:space="preserve"> </w:t>
      </w:r>
      <w:r>
        <w:t>determining</w:t>
      </w:r>
      <w:r>
        <w:rPr>
          <w:spacing w:val="-3"/>
        </w:rPr>
        <w:t xml:space="preserve"> </w:t>
      </w:r>
      <w:r>
        <w:t>a</w:t>
      </w:r>
      <w:r>
        <w:rPr>
          <w:spacing w:val="-3"/>
        </w:rPr>
        <w:t xml:space="preserve"> </w:t>
      </w:r>
      <w:r>
        <w:t>legal</w:t>
      </w:r>
      <w:r>
        <w:rPr>
          <w:spacing w:val="-3"/>
        </w:rPr>
        <w:t xml:space="preserve"> </w:t>
      </w:r>
      <w:r>
        <w:t>counsel</w:t>
      </w:r>
      <w:r>
        <w:rPr>
          <w:spacing w:val="-3"/>
        </w:rPr>
        <w:t xml:space="preserve"> </w:t>
      </w:r>
      <w:r>
        <w:t>materiality,</w:t>
      </w:r>
      <w:r>
        <w:rPr>
          <w:spacing w:val="-3"/>
        </w:rPr>
        <w:t xml:space="preserve"> </w:t>
      </w:r>
      <w:r>
        <w:t>the</w:t>
      </w:r>
      <w:r>
        <w:rPr>
          <w:spacing w:val="-4"/>
        </w:rPr>
        <w:t xml:space="preserve"> </w:t>
      </w:r>
      <w:r>
        <w:t>auditor</w:t>
      </w:r>
      <w:r>
        <w:rPr>
          <w:spacing w:val="-3"/>
        </w:rPr>
        <w:t xml:space="preserve"> </w:t>
      </w:r>
      <w:r>
        <w:t>and</w:t>
      </w:r>
      <w:r>
        <w:rPr>
          <w:spacing w:val="-3"/>
        </w:rPr>
        <w:t xml:space="preserve"> </w:t>
      </w:r>
      <w:r>
        <w:t>the</w:t>
      </w:r>
      <w:r>
        <w:rPr>
          <w:spacing w:val="-3"/>
        </w:rPr>
        <w:t xml:space="preserve"> </w:t>
      </w:r>
      <w:r>
        <w:t>entity</w:t>
      </w:r>
      <w:r>
        <w:rPr>
          <w:spacing w:val="-3"/>
        </w:rPr>
        <w:t xml:space="preserve"> </w:t>
      </w:r>
      <w:r>
        <w:t>should</w:t>
      </w:r>
      <w:r>
        <w:rPr>
          <w:spacing w:val="-3"/>
        </w:rPr>
        <w:t xml:space="preserve"> </w:t>
      </w:r>
      <w:r>
        <w:t>set the level sufficiently low so that the cases not included in the legal counsel response would not be material to the financial statements as a whole when aggregated with</w:t>
      </w:r>
    </w:p>
    <w:p w14:paraId="0DFDC8B0" w14:textId="77777777" w:rsidR="00046465" w:rsidRDefault="008134EB">
      <w:pPr>
        <w:pStyle w:val="ListParagraph"/>
        <w:numPr>
          <w:ilvl w:val="1"/>
          <w:numId w:val="63"/>
        </w:numPr>
        <w:tabs>
          <w:tab w:val="left" w:pos="2159"/>
        </w:tabs>
        <w:ind w:left="2159" w:hanging="359"/>
      </w:pPr>
      <w:r>
        <w:t>other</w:t>
      </w:r>
      <w:r>
        <w:rPr>
          <w:spacing w:val="-5"/>
        </w:rPr>
        <w:t xml:space="preserve"> </w:t>
      </w:r>
      <w:r>
        <w:t>cases</w:t>
      </w:r>
      <w:r>
        <w:rPr>
          <w:spacing w:val="-6"/>
        </w:rPr>
        <w:t xml:space="preserve"> </w:t>
      </w:r>
      <w:r>
        <w:t>not</w:t>
      </w:r>
      <w:r>
        <w:rPr>
          <w:spacing w:val="-5"/>
        </w:rPr>
        <w:t xml:space="preserve"> </w:t>
      </w:r>
      <w:r>
        <w:t>included</w:t>
      </w:r>
      <w:r>
        <w:rPr>
          <w:spacing w:val="-6"/>
        </w:rPr>
        <w:t xml:space="preserve"> </w:t>
      </w:r>
      <w:r>
        <w:t>in</w:t>
      </w:r>
      <w:r>
        <w:rPr>
          <w:spacing w:val="-5"/>
        </w:rPr>
        <w:t xml:space="preserve"> </w:t>
      </w:r>
      <w:r>
        <w:t>the</w:t>
      </w:r>
      <w:r>
        <w:rPr>
          <w:spacing w:val="-5"/>
        </w:rPr>
        <w:t xml:space="preserve"> </w:t>
      </w:r>
      <w:r>
        <w:t>legal</w:t>
      </w:r>
      <w:r>
        <w:rPr>
          <w:spacing w:val="-6"/>
        </w:rPr>
        <w:t xml:space="preserve"> </w:t>
      </w:r>
      <w:r>
        <w:t>counsel</w:t>
      </w:r>
      <w:r>
        <w:rPr>
          <w:spacing w:val="-5"/>
        </w:rPr>
        <w:t xml:space="preserve"> </w:t>
      </w:r>
      <w:r>
        <w:rPr>
          <w:spacing w:val="-2"/>
        </w:rPr>
        <w:t>response,</w:t>
      </w:r>
    </w:p>
    <w:p w14:paraId="0DFDC8B1" w14:textId="77777777" w:rsidR="00046465" w:rsidRDefault="008134EB">
      <w:pPr>
        <w:pStyle w:val="ListParagraph"/>
        <w:numPr>
          <w:ilvl w:val="1"/>
          <w:numId w:val="63"/>
        </w:numPr>
        <w:tabs>
          <w:tab w:val="left" w:pos="2159"/>
        </w:tabs>
        <w:ind w:left="2159" w:hanging="359"/>
      </w:pPr>
      <w:r>
        <w:t>all</w:t>
      </w:r>
      <w:r>
        <w:rPr>
          <w:spacing w:val="-4"/>
        </w:rPr>
        <w:t xml:space="preserve"> </w:t>
      </w:r>
      <w:r>
        <w:t>other</w:t>
      </w:r>
      <w:r>
        <w:rPr>
          <w:spacing w:val="-4"/>
        </w:rPr>
        <w:t xml:space="preserve"> </w:t>
      </w:r>
      <w:r>
        <w:t>types</w:t>
      </w:r>
      <w:r>
        <w:rPr>
          <w:spacing w:val="-4"/>
        </w:rPr>
        <w:t xml:space="preserve"> </w:t>
      </w:r>
      <w:r>
        <w:t>of</w:t>
      </w:r>
      <w:r>
        <w:rPr>
          <w:spacing w:val="-4"/>
        </w:rPr>
        <w:t xml:space="preserve"> </w:t>
      </w:r>
      <w:r>
        <w:rPr>
          <w:spacing w:val="-2"/>
        </w:rPr>
        <w:t>contingencies,</w:t>
      </w:r>
    </w:p>
    <w:p w14:paraId="0DFDC8B2" w14:textId="77777777" w:rsidR="00046465" w:rsidRDefault="008134EB">
      <w:pPr>
        <w:pStyle w:val="ListParagraph"/>
        <w:numPr>
          <w:ilvl w:val="1"/>
          <w:numId w:val="63"/>
        </w:numPr>
        <w:tabs>
          <w:tab w:val="left" w:pos="2160"/>
        </w:tabs>
        <w:spacing w:before="119"/>
        <w:ind w:right="732"/>
      </w:pPr>
      <w:r>
        <w:t>all</w:t>
      </w:r>
      <w:r>
        <w:rPr>
          <w:spacing w:val="-4"/>
        </w:rPr>
        <w:t xml:space="preserve"> </w:t>
      </w:r>
      <w:r>
        <w:t>other</w:t>
      </w:r>
      <w:r>
        <w:rPr>
          <w:spacing w:val="-4"/>
        </w:rPr>
        <w:t xml:space="preserve"> </w:t>
      </w:r>
      <w:r>
        <w:t>items</w:t>
      </w:r>
      <w:r>
        <w:rPr>
          <w:spacing w:val="-4"/>
        </w:rPr>
        <w:t xml:space="preserve"> </w:t>
      </w:r>
      <w:r>
        <w:t>that</w:t>
      </w:r>
      <w:r>
        <w:rPr>
          <w:spacing w:val="-4"/>
        </w:rPr>
        <w:t xml:space="preserve"> </w:t>
      </w:r>
      <w:r>
        <w:t>would</w:t>
      </w:r>
      <w:r>
        <w:rPr>
          <w:spacing w:val="-4"/>
        </w:rPr>
        <w:t xml:space="preserve"> </w:t>
      </w:r>
      <w:r>
        <w:t>not</w:t>
      </w:r>
      <w:r>
        <w:rPr>
          <w:spacing w:val="-4"/>
        </w:rPr>
        <w:t xml:space="preserve"> </w:t>
      </w:r>
      <w:r>
        <w:t>be</w:t>
      </w:r>
      <w:r>
        <w:rPr>
          <w:spacing w:val="-4"/>
        </w:rPr>
        <w:t xml:space="preserve"> </w:t>
      </w:r>
      <w:r>
        <w:t>adjusted</w:t>
      </w:r>
      <w:r>
        <w:rPr>
          <w:spacing w:val="-4"/>
        </w:rPr>
        <w:t xml:space="preserve"> </w:t>
      </w:r>
      <w:r>
        <w:t>because</w:t>
      </w:r>
      <w:r>
        <w:rPr>
          <w:spacing w:val="-4"/>
        </w:rPr>
        <w:t xml:space="preserve"> </w:t>
      </w:r>
      <w:r>
        <w:t>they</w:t>
      </w:r>
      <w:r>
        <w:rPr>
          <w:spacing w:val="-4"/>
        </w:rPr>
        <w:t xml:space="preserve"> </w:t>
      </w:r>
      <w:r>
        <w:t>are</w:t>
      </w:r>
      <w:r>
        <w:rPr>
          <w:spacing w:val="-4"/>
        </w:rPr>
        <w:t xml:space="preserve"> </w:t>
      </w:r>
      <w:r>
        <w:t>judged</w:t>
      </w:r>
      <w:r>
        <w:rPr>
          <w:spacing w:val="-4"/>
        </w:rPr>
        <w:t xml:space="preserve"> </w:t>
      </w:r>
      <w:r>
        <w:t>immaterial (unadjusted misstatements),</w:t>
      </w:r>
    </w:p>
    <w:p w14:paraId="0DFDC8B3" w14:textId="77777777" w:rsidR="00046465" w:rsidRDefault="008134EB">
      <w:pPr>
        <w:pStyle w:val="ListParagraph"/>
        <w:numPr>
          <w:ilvl w:val="1"/>
          <w:numId w:val="63"/>
        </w:numPr>
        <w:tabs>
          <w:tab w:val="left" w:pos="2160"/>
        </w:tabs>
        <w:ind w:right="829"/>
      </w:pPr>
      <w:r>
        <w:t>all</w:t>
      </w:r>
      <w:r>
        <w:rPr>
          <w:spacing w:val="-3"/>
        </w:rPr>
        <w:t xml:space="preserve"> </w:t>
      </w:r>
      <w:r>
        <w:t>other</w:t>
      </w:r>
      <w:r>
        <w:rPr>
          <w:spacing w:val="-3"/>
        </w:rPr>
        <w:t xml:space="preserve"> </w:t>
      </w:r>
      <w:r>
        <w:t>amounts</w:t>
      </w:r>
      <w:r>
        <w:rPr>
          <w:spacing w:val="-3"/>
        </w:rPr>
        <w:t xml:space="preserve"> </w:t>
      </w:r>
      <w:r>
        <w:t>in</w:t>
      </w:r>
      <w:r>
        <w:rPr>
          <w:spacing w:val="-3"/>
        </w:rPr>
        <w:t xml:space="preserve"> </w:t>
      </w:r>
      <w:r>
        <w:t>the</w:t>
      </w:r>
      <w:r>
        <w:rPr>
          <w:spacing w:val="-4"/>
        </w:rPr>
        <w:t xml:space="preserve"> </w:t>
      </w:r>
      <w:r>
        <w:t>financial</w:t>
      </w:r>
      <w:r>
        <w:rPr>
          <w:spacing w:val="-4"/>
        </w:rPr>
        <w:t xml:space="preserve"> </w:t>
      </w:r>
      <w:r>
        <w:t>statements</w:t>
      </w:r>
      <w:r>
        <w:rPr>
          <w:spacing w:val="-3"/>
        </w:rPr>
        <w:t xml:space="preserve"> </w:t>
      </w:r>
      <w:r>
        <w:t>that</w:t>
      </w:r>
      <w:r>
        <w:rPr>
          <w:spacing w:val="-3"/>
        </w:rPr>
        <w:t xml:space="preserve"> </w:t>
      </w:r>
      <w:r>
        <w:t>would</w:t>
      </w:r>
      <w:r>
        <w:rPr>
          <w:spacing w:val="-3"/>
        </w:rPr>
        <w:t xml:space="preserve"> </w:t>
      </w:r>
      <w:r>
        <w:t>not</w:t>
      </w:r>
      <w:r>
        <w:rPr>
          <w:spacing w:val="-3"/>
        </w:rPr>
        <w:t xml:space="preserve"> </w:t>
      </w:r>
      <w:r>
        <w:t>be</w:t>
      </w:r>
      <w:r>
        <w:rPr>
          <w:spacing w:val="-3"/>
        </w:rPr>
        <w:t xml:space="preserve"> </w:t>
      </w:r>
      <w:r>
        <w:t>tested</w:t>
      </w:r>
      <w:r>
        <w:rPr>
          <w:spacing w:val="-3"/>
        </w:rPr>
        <w:t xml:space="preserve"> </w:t>
      </w:r>
      <w:r>
        <w:t>directly because they were judged to be immaterial, and</w:t>
      </w:r>
    </w:p>
    <w:p w14:paraId="0DFDC8B4" w14:textId="77777777" w:rsidR="00046465" w:rsidRDefault="008134EB">
      <w:pPr>
        <w:pStyle w:val="ListParagraph"/>
        <w:numPr>
          <w:ilvl w:val="1"/>
          <w:numId w:val="63"/>
        </w:numPr>
        <w:tabs>
          <w:tab w:val="left" w:pos="2159"/>
        </w:tabs>
        <w:spacing w:before="121"/>
        <w:ind w:left="2159" w:hanging="359"/>
      </w:pPr>
      <w:r>
        <w:t>all</w:t>
      </w:r>
      <w:r>
        <w:rPr>
          <w:spacing w:val="-6"/>
        </w:rPr>
        <w:t xml:space="preserve"> </w:t>
      </w:r>
      <w:r>
        <w:t>other</w:t>
      </w:r>
      <w:r>
        <w:rPr>
          <w:spacing w:val="-5"/>
        </w:rPr>
        <w:t xml:space="preserve"> </w:t>
      </w:r>
      <w:r>
        <w:t>items</w:t>
      </w:r>
      <w:r>
        <w:rPr>
          <w:spacing w:val="-6"/>
        </w:rPr>
        <w:t xml:space="preserve"> </w:t>
      </w:r>
      <w:r>
        <w:t>resolved</w:t>
      </w:r>
      <w:r>
        <w:rPr>
          <w:spacing w:val="-6"/>
        </w:rPr>
        <w:t xml:space="preserve"> </w:t>
      </w:r>
      <w:r>
        <w:t>on</w:t>
      </w:r>
      <w:r>
        <w:rPr>
          <w:spacing w:val="-5"/>
        </w:rPr>
        <w:t xml:space="preserve"> </w:t>
      </w:r>
      <w:r>
        <w:t>the</w:t>
      </w:r>
      <w:r>
        <w:rPr>
          <w:spacing w:val="-6"/>
        </w:rPr>
        <w:t xml:space="preserve"> </w:t>
      </w:r>
      <w:r>
        <w:t>basis</w:t>
      </w:r>
      <w:r>
        <w:rPr>
          <w:spacing w:val="-5"/>
        </w:rPr>
        <w:t xml:space="preserve"> </w:t>
      </w:r>
      <w:r>
        <w:t>of</w:t>
      </w:r>
      <w:r>
        <w:rPr>
          <w:spacing w:val="-5"/>
        </w:rPr>
        <w:t xml:space="preserve"> </w:t>
      </w:r>
      <w:r>
        <w:t>materiality</w:t>
      </w:r>
      <w:r>
        <w:rPr>
          <w:spacing w:val="-6"/>
        </w:rPr>
        <w:t xml:space="preserve"> </w:t>
      </w:r>
      <w:r>
        <w:rPr>
          <w:spacing w:val="-2"/>
        </w:rPr>
        <w:t>considerations.</w:t>
      </w:r>
    </w:p>
    <w:p w14:paraId="0DFDC8B5" w14:textId="77777777" w:rsidR="00046465" w:rsidRDefault="008134EB">
      <w:pPr>
        <w:pStyle w:val="BodyText"/>
        <w:spacing w:before="120"/>
        <w:ind w:left="1800" w:right="773"/>
      </w:pPr>
      <w:r>
        <w:t>For</w:t>
      </w:r>
      <w:r>
        <w:rPr>
          <w:spacing w:val="-4"/>
        </w:rPr>
        <w:t xml:space="preserve"> </w:t>
      </w:r>
      <w:r>
        <w:t>example,</w:t>
      </w:r>
      <w:r>
        <w:rPr>
          <w:spacing w:val="-4"/>
        </w:rPr>
        <w:t xml:space="preserve"> </w:t>
      </w:r>
      <w:r>
        <w:t>a</w:t>
      </w:r>
      <w:r>
        <w:rPr>
          <w:spacing w:val="-4"/>
        </w:rPr>
        <w:t xml:space="preserve"> </w:t>
      </w:r>
      <w:r>
        <w:t>threshold</w:t>
      </w:r>
      <w:r>
        <w:rPr>
          <w:spacing w:val="-5"/>
        </w:rPr>
        <w:t xml:space="preserve"> </w:t>
      </w:r>
      <w:r>
        <w:t>that</w:t>
      </w:r>
      <w:r>
        <w:rPr>
          <w:spacing w:val="-4"/>
        </w:rPr>
        <w:t xml:space="preserve"> </w:t>
      </w:r>
      <w:r>
        <w:t>is</w:t>
      </w:r>
      <w:r>
        <w:rPr>
          <w:spacing w:val="-4"/>
        </w:rPr>
        <w:t xml:space="preserve"> </w:t>
      </w:r>
      <w:r>
        <w:t>5</w:t>
      </w:r>
      <w:r>
        <w:rPr>
          <w:spacing w:val="-4"/>
        </w:rPr>
        <w:t xml:space="preserve"> </w:t>
      </w:r>
      <w:r>
        <w:t>percent</w:t>
      </w:r>
      <w:r>
        <w:rPr>
          <w:spacing w:val="-4"/>
        </w:rPr>
        <w:t xml:space="preserve"> </w:t>
      </w:r>
      <w:r>
        <w:t>(or</w:t>
      </w:r>
      <w:r>
        <w:rPr>
          <w:spacing w:val="-4"/>
        </w:rPr>
        <w:t xml:space="preserve"> </w:t>
      </w:r>
      <w:r>
        <w:t>less)</w:t>
      </w:r>
      <w:r>
        <w:rPr>
          <w:spacing w:val="-4"/>
        </w:rPr>
        <w:t xml:space="preserve"> </w:t>
      </w:r>
      <w:r>
        <w:t>of</w:t>
      </w:r>
      <w:r>
        <w:rPr>
          <w:spacing w:val="-4"/>
        </w:rPr>
        <w:t xml:space="preserve"> </w:t>
      </w:r>
      <w:r>
        <w:t>performance</w:t>
      </w:r>
      <w:r>
        <w:rPr>
          <w:spacing w:val="-4"/>
        </w:rPr>
        <w:t xml:space="preserve"> </w:t>
      </w:r>
      <w:r>
        <w:t>materiality may be sufficiently low.</w:t>
      </w:r>
    </w:p>
    <w:p w14:paraId="0DFDC8B6" w14:textId="77777777" w:rsidR="00046465" w:rsidRDefault="008134EB">
      <w:pPr>
        <w:pStyle w:val="ListParagraph"/>
        <w:numPr>
          <w:ilvl w:val="0"/>
          <w:numId w:val="63"/>
        </w:numPr>
        <w:tabs>
          <w:tab w:val="left" w:pos="1800"/>
        </w:tabs>
        <w:spacing w:before="119"/>
        <w:ind w:right="761"/>
      </w:pPr>
      <w:r>
        <w:t>In aggregating cases, the auditor and the entity may use two levels of aggregation. First, similar cases are aggregated (such as employment discrimination</w:t>
      </w:r>
      <w:r>
        <w:rPr>
          <w:spacing w:val="-4"/>
        </w:rPr>
        <w:t xml:space="preserve"> </w:t>
      </w:r>
      <w:r>
        <w:t>cases,</w:t>
      </w:r>
      <w:r>
        <w:rPr>
          <w:spacing w:val="-4"/>
        </w:rPr>
        <w:t xml:space="preserve"> </w:t>
      </w:r>
      <w:r>
        <w:t>harbor</w:t>
      </w:r>
      <w:r>
        <w:rPr>
          <w:spacing w:val="-4"/>
        </w:rPr>
        <w:t xml:space="preserve"> </w:t>
      </w:r>
      <w:r>
        <w:t>maintenance</w:t>
      </w:r>
      <w:r>
        <w:rPr>
          <w:spacing w:val="-4"/>
        </w:rPr>
        <w:t xml:space="preserve"> </w:t>
      </w:r>
      <w:r>
        <w:t>fee</w:t>
      </w:r>
      <w:r>
        <w:rPr>
          <w:spacing w:val="-4"/>
        </w:rPr>
        <w:t xml:space="preserve"> </w:t>
      </w:r>
      <w:r>
        <w:t>cases,</w:t>
      </w:r>
      <w:r>
        <w:rPr>
          <w:spacing w:val="-4"/>
        </w:rPr>
        <w:t xml:space="preserve"> </w:t>
      </w:r>
      <w:r>
        <w:t>spent</w:t>
      </w:r>
      <w:r>
        <w:rPr>
          <w:spacing w:val="-4"/>
        </w:rPr>
        <w:t xml:space="preserve"> </w:t>
      </w:r>
      <w:r>
        <w:t>nuclear</w:t>
      </w:r>
      <w:r>
        <w:rPr>
          <w:spacing w:val="-4"/>
        </w:rPr>
        <w:t xml:space="preserve"> </w:t>
      </w:r>
      <w:r>
        <w:t>fuel</w:t>
      </w:r>
      <w:r>
        <w:rPr>
          <w:spacing w:val="-5"/>
        </w:rPr>
        <w:t xml:space="preserve"> </w:t>
      </w:r>
      <w:r>
        <w:t>cases,</w:t>
      </w:r>
      <w:r>
        <w:rPr>
          <w:spacing w:val="-4"/>
        </w:rPr>
        <w:t xml:space="preserve"> </w:t>
      </w:r>
      <w:r>
        <w:t>or military promotion board challenges), treated as a group, and the auditor should compare the total with the individual materiality level. The aggregation generally includes a list of the individual cases and a discussion of the information on the aggregated cases included in the legal counsel response (see FAM 1002 C).</w:t>
      </w:r>
    </w:p>
    <w:p w14:paraId="0DFDC8B7" w14:textId="77777777" w:rsidR="00046465" w:rsidRDefault="008134EB">
      <w:pPr>
        <w:pStyle w:val="BodyText"/>
        <w:spacing w:before="120"/>
        <w:ind w:left="1800" w:right="773"/>
      </w:pPr>
      <w:r>
        <w:t>Second, cases not included in the legal counsel</w:t>
      </w:r>
      <w:r>
        <w:rPr>
          <w:spacing w:val="-1"/>
        </w:rPr>
        <w:t xml:space="preserve"> </w:t>
      </w:r>
      <w:r>
        <w:t>response individually or</w:t>
      </w:r>
      <w:r>
        <w:rPr>
          <w:spacing w:val="-2"/>
        </w:rPr>
        <w:t xml:space="preserve"> </w:t>
      </w:r>
      <w:r>
        <w:t>as part of a group of similar cases are aggregated. The auditor may use a higher materiality level for such an aggregation. However, the auditor may set this higher</w:t>
      </w:r>
      <w:r>
        <w:rPr>
          <w:spacing w:val="-3"/>
        </w:rPr>
        <w:t xml:space="preserve"> </w:t>
      </w:r>
      <w:r>
        <w:t>materiality</w:t>
      </w:r>
      <w:r>
        <w:rPr>
          <w:spacing w:val="-4"/>
        </w:rPr>
        <w:t xml:space="preserve"> </w:t>
      </w:r>
      <w:r>
        <w:t>level</w:t>
      </w:r>
      <w:r>
        <w:rPr>
          <w:spacing w:val="-4"/>
        </w:rPr>
        <w:t xml:space="preserve"> </w:t>
      </w:r>
      <w:r>
        <w:t>sufficiently</w:t>
      </w:r>
      <w:r>
        <w:rPr>
          <w:spacing w:val="-3"/>
        </w:rPr>
        <w:t xml:space="preserve"> </w:t>
      </w:r>
      <w:r>
        <w:t>low</w:t>
      </w:r>
      <w:r>
        <w:rPr>
          <w:spacing w:val="-4"/>
        </w:rPr>
        <w:t xml:space="preserve"> </w:t>
      </w:r>
      <w:r>
        <w:t>so</w:t>
      </w:r>
      <w:r>
        <w:rPr>
          <w:spacing w:val="-3"/>
        </w:rPr>
        <w:t xml:space="preserve"> </w:t>
      </w:r>
      <w:r>
        <w:t>that</w:t>
      </w:r>
      <w:r>
        <w:rPr>
          <w:spacing w:val="-3"/>
        </w:rPr>
        <w:t xml:space="preserve"> </w:t>
      </w:r>
      <w:r>
        <w:t>the</w:t>
      </w:r>
      <w:r>
        <w:rPr>
          <w:spacing w:val="-3"/>
        </w:rPr>
        <w:t xml:space="preserve"> </w:t>
      </w:r>
      <w:r>
        <w:t>cases</w:t>
      </w:r>
      <w:r>
        <w:rPr>
          <w:spacing w:val="-3"/>
        </w:rPr>
        <w:t xml:space="preserve"> </w:t>
      </w:r>
      <w:r>
        <w:t>not</w:t>
      </w:r>
      <w:r>
        <w:rPr>
          <w:spacing w:val="-4"/>
        </w:rPr>
        <w:t xml:space="preserve"> </w:t>
      </w:r>
      <w:r>
        <w:t>included</w:t>
      </w:r>
      <w:r>
        <w:rPr>
          <w:spacing w:val="-3"/>
        </w:rPr>
        <w:t xml:space="preserve"> </w:t>
      </w:r>
      <w:r>
        <w:t>in</w:t>
      </w:r>
      <w:r>
        <w:rPr>
          <w:spacing w:val="-4"/>
        </w:rPr>
        <w:t xml:space="preserve"> </w:t>
      </w:r>
      <w:r>
        <w:t>the</w:t>
      </w:r>
      <w:r>
        <w:rPr>
          <w:spacing w:val="-3"/>
        </w:rPr>
        <w:t xml:space="preserve"> </w:t>
      </w:r>
      <w:r>
        <w:t>legal counsel response would not be material to the financial statements as a whole when aggregated with the other items listed in the previous paragraph.</w:t>
      </w:r>
    </w:p>
    <w:p w14:paraId="0DFDC8B8" w14:textId="77777777" w:rsidR="00046465" w:rsidRDefault="008134EB">
      <w:pPr>
        <w:pStyle w:val="ListParagraph"/>
        <w:numPr>
          <w:ilvl w:val="0"/>
          <w:numId w:val="63"/>
        </w:numPr>
        <w:tabs>
          <w:tab w:val="left" w:pos="1800"/>
        </w:tabs>
        <w:spacing w:before="121"/>
        <w:ind w:right="761"/>
      </w:pPr>
      <w:r>
        <w:t>Where</w:t>
      </w:r>
      <w:r>
        <w:rPr>
          <w:spacing w:val="-3"/>
        </w:rPr>
        <w:t xml:space="preserve"> </w:t>
      </w:r>
      <w:r>
        <w:t>the</w:t>
      </w:r>
      <w:r>
        <w:rPr>
          <w:spacing w:val="-3"/>
        </w:rPr>
        <w:t xml:space="preserve"> </w:t>
      </w:r>
      <w:r>
        <w:t>entity</w:t>
      </w:r>
      <w:r>
        <w:rPr>
          <w:spacing w:val="-3"/>
        </w:rPr>
        <w:t xml:space="preserve"> </w:t>
      </w:r>
      <w:r>
        <w:t>engages</w:t>
      </w:r>
      <w:r>
        <w:rPr>
          <w:spacing w:val="-3"/>
        </w:rPr>
        <w:t xml:space="preserve"> </w:t>
      </w:r>
      <w:r>
        <w:t>more</w:t>
      </w:r>
      <w:r>
        <w:rPr>
          <w:spacing w:val="-3"/>
        </w:rPr>
        <w:t xml:space="preserve"> </w:t>
      </w:r>
      <w:r>
        <w:t>than</w:t>
      </w:r>
      <w:r>
        <w:rPr>
          <w:spacing w:val="-3"/>
        </w:rPr>
        <w:t xml:space="preserve"> </w:t>
      </w:r>
      <w:r>
        <w:t>one</w:t>
      </w:r>
      <w:r>
        <w:rPr>
          <w:spacing w:val="-3"/>
        </w:rPr>
        <w:t xml:space="preserve"> </w:t>
      </w:r>
      <w:r>
        <w:t>legal</w:t>
      </w:r>
      <w:r>
        <w:rPr>
          <w:spacing w:val="-3"/>
        </w:rPr>
        <w:t xml:space="preserve"> </w:t>
      </w:r>
      <w:r>
        <w:t>counsel,</w:t>
      </w:r>
      <w:r>
        <w:rPr>
          <w:spacing w:val="-3"/>
        </w:rPr>
        <w:t xml:space="preserve"> </w:t>
      </w:r>
      <w:r>
        <w:t>the</w:t>
      </w:r>
      <w:r>
        <w:rPr>
          <w:spacing w:val="-3"/>
        </w:rPr>
        <w:t xml:space="preserve"> </w:t>
      </w:r>
      <w:r>
        <w:t>entity</w:t>
      </w:r>
      <w:r>
        <w:rPr>
          <w:spacing w:val="-3"/>
        </w:rPr>
        <w:t xml:space="preserve"> </w:t>
      </w:r>
      <w:r>
        <w:t>and</w:t>
      </w:r>
      <w:r>
        <w:rPr>
          <w:spacing w:val="-3"/>
        </w:rPr>
        <w:t xml:space="preserve"> </w:t>
      </w:r>
      <w:r>
        <w:t>the</w:t>
      </w:r>
      <w:r>
        <w:rPr>
          <w:spacing w:val="-4"/>
        </w:rPr>
        <w:t xml:space="preserve"> </w:t>
      </w:r>
      <w:r>
        <w:t>auditor should determine whether matters considered not material individually would exceed the materiality limit when aggregated. In addition, when separate legal counsel responses are requested on individual components (such as bureaus or offices) of a consolidated entity because of individual component audits, the auditor may determine materiality levels for each component.</w:t>
      </w:r>
    </w:p>
    <w:p w14:paraId="0DFDC8B9" w14:textId="77777777" w:rsidR="00046465" w:rsidRDefault="00046465">
      <w:pPr>
        <w:pStyle w:val="ListParagraph"/>
        <w:sectPr w:rsidR="00046465">
          <w:pgSz w:w="12240" w:h="15840"/>
          <w:pgMar w:top="1340" w:right="720" w:bottom="1020" w:left="1080" w:header="721" w:footer="757" w:gutter="0"/>
          <w:cols w:space="720"/>
        </w:sectPr>
      </w:pPr>
    </w:p>
    <w:p w14:paraId="0DFDC8BA" w14:textId="77777777" w:rsidR="00046465" w:rsidRDefault="008134EB">
      <w:pPr>
        <w:pStyle w:val="Heading5"/>
        <w:spacing w:before="121"/>
        <w:rPr>
          <w:u w:val="none"/>
        </w:rPr>
      </w:pPr>
      <w:bookmarkStart w:id="391" w:name="Evaluation_of_Legal_Counsel_Responses"/>
      <w:bookmarkEnd w:id="391"/>
      <w:r>
        <w:lastRenderedPageBreak/>
        <w:t>Evaluation</w:t>
      </w:r>
      <w:r>
        <w:rPr>
          <w:spacing w:val="-5"/>
        </w:rPr>
        <w:t xml:space="preserve"> </w:t>
      </w:r>
      <w:r>
        <w:t>of</w:t>
      </w:r>
      <w:r>
        <w:rPr>
          <w:spacing w:val="-4"/>
        </w:rPr>
        <w:t xml:space="preserve"> </w:t>
      </w:r>
      <w:r>
        <w:t>Legal</w:t>
      </w:r>
      <w:r>
        <w:rPr>
          <w:spacing w:val="-4"/>
        </w:rPr>
        <w:t xml:space="preserve"> </w:t>
      </w:r>
      <w:r>
        <w:t>Counsel</w:t>
      </w:r>
      <w:r>
        <w:rPr>
          <w:spacing w:val="-4"/>
        </w:rPr>
        <w:t xml:space="preserve"> </w:t>
      </w:r>
      <w:r>
        <w:rPr>
          <w:spacing w:val="-2"/>
        </w:rPr>
        <w:t>Responses</w:t>
      </w:r>
    </w:p>
    <w:p w14:paraId="0DFDC8BB" w14:textId="77777777" w:rsidR="00046465" w:rsidRDefault="008134EB">
      <w:pPr>
        <w:pStyle w:val="ListParagraph"/>
        <w:numPr>
          <w:ilvl w:val="0"/>
          <w:numId w:val="63"/>
        </w:numPr>
        <w:tabs>
          <w:tab w:val="left" w:pos="1800"/>
        </w:tabs>
        <w:ind w:right="762"/>
      </w:pPr>
      <w:r>
        <w:t>The</w:t>
      </w:r>
      <w:r>
        <w:rPr>
          <w:spacing w:val="-3"/>
        </w:rPr>
        <w:t xml:space="preserve"> </w:t>
      </w:r>
      <w:r>
        <w:t>legal</w:t>
      </w:r>
      <w:r>
        <w:rPr>
          <w:spacing w:val="-3"/>
        </w:rPr>
        <w:t xml:space="preserve"> </w:t>
      </w:r>
      <w:r>
        <w:t>counsel</w:t>
      </w:r>
      <w:r>
        <w:rPr>
          <w:spacing w:val="-3"/>
        </w:rPr>
        <w:t xml:space="preserve"> </w:t>
      </w:r>
      <w:r>
        <w:t>response</w:t>
      </w:r>
      <w:r>
        <w:rPr>
          <w:spacing w:val="-3"/>
        </w:rPr>
        <w:t xml:space="preserve"> </w:t>
      </w:r>
      <w:r>
        <w:t>on</w:t>
      </w:r>
      <w:r>
        <w:rPr>
          <w:spacing w:val="-3"/>
        </w:rPr>
        <w:t xml:space="preserve"> </w:t>
      </w:r>
      <w:r>
        <w:t>legal</w:t>
      </w:r>
      <w:r>
        <w:rPr>
          <w:spacing w:val="-4"/>
        </w:rPr>
        <w:t xml:space="preserve"> </w:t>
      </w:r>
      <w:r>
        <w:t>counsel</w:t>
      </w:r>
      <w:r>
        <w:rPr>
          <w:spacing w:val="-4"/>
        </w:rPr>
        <w:t xml:space="preserve"> </w:t>
      </w:r>
      <w:r>
        <w:t>letterhead</w:t>
      </w:r>
      <w:r>
        <w:rPr>
          <w:spacing w:val="-3"/>
        </w:rPr>
        <w:t xml:space="preserve"> </w:t>
      </w:r>
      <w:r>
        <w:t>is</w:t>
      </w:r>
      <w:r>
        <w:rPr>
          <w:spacing w:val="-3"/>
        </w:rPr>
        <w:t xml:space="preserve"> </w:t>
      </w:r>
      <w:r>
        <w:t>sent</w:t>
      </w:r>
      <w:r>
        <w:rPr>
          <w:spacing w:val="-3"/>
        </w:rPr>
        <w:t xml:space="preserve"> </w:t>
      </w:r>
      <w:r>
        <w:t>to</w:t>
      </w:r>
      <w:r>
        <w:rPr>
          <w:spacing w:val="-3"/>
        </w:rPr>
        <w:t xml:space="preserve"> </w:t>
      </w:r>
      <w:r>
        <w:t>the</w:t>
      </w:r>
      <w:r>
        <w:rPr>
          <w:spacing w:val="-3"/>
        </w:rPr>
        <w:t xml:space="preserve"> </w:t>
      </w:r>
      <w:r>
        <w:t>auditor</w:t>
      </w:r>
      <w:r>
        <w:rPr>
          <w:spacing w:val="-3"/>
        </w:rPr>
        <w:t xml:space="preserve"> </w:t>
      </w:r>
      <w:r>
        <w:t>with a copy to management by specified due dates. Legal counsel may indicate that the response is provided for the auditor’s use in connection with the audit. See FAM 1002 C for an example legal counsel response.</w:t>
      </w:r>
    </w:p>
    <w:p w14:paraId="0DFDC8BC" w14:textId="77777777" w:rsidR="00046465" w:rsidRDefault="008134EB">
      <w:pPr>
        <w:pStyle w:val="ListParagraph"/>
        <w:numPr>
          <w:ilvl w:val="0"/>
          <w:numId w:val="63"/>
        </w:numPr>
        <w:tabs>
          <w:tab w:val="left" w:pos="1800"/>
        </w:tabs>
        <w:ind w:right="787"/>
      </w:pPr>
      <w:r>
        <w:t>The</w:t>
      </w:r>
      <w:r>
        <w:rPr>
          <w:spacing w:val="-3"/>
        </w:rPr>
        <w:t xml:space="preserve"> </w:t>
      </w:r>
      <w:r>
        <w:t>legal</w:t>
      </w:r>
      <w:r>
        <w:rPr>
          <w:spacing w:val="-3"/>
        </w:rPr>
        <w:t xml:space="preserve"> </w:t>
      </w:r>
      <w:r>
        <w:t>counsel</w:t>
      </w:r>
      <w:r>
        <w:rPr>
          <w:spacing w:val="-3"/>
        </w:rPr>
        <w:t xml:space="preserve"> </w:t>
      </w:r>
      <w:r>
        <w:t>response</w:t>
      </w:r>
      <w:r>
        <w:rPr>
          <w:spacing w:val="-3"/>
        </w:rPr>
        <w:t xml:space="preserve"> </w:t>
      </w:r>
      <w:r>
        <w:t>should</w:t>
      </w:r>
      <w:r>
        <w:rPr>
          <w:spacing w:val="-4"/>
        </w:rPr>
        <w:t xml:space="preserve"> </w:t>
      </w:r>
      <w:r>
        <w:t>include</w:t>
      </w:r>
      <w:r>
        <w:rPr>
          <w:spacing w:val="-3"/>
        </w:rPr>
        <w:t xml:space="preserve"> </w:t>
      </w:r>
      <w:r>
        <w:t>matters</w:t>
      </w:r>
      <w:r>
        <w:rPr>
          <w:spacing w:val="-3"/>
        </w:rPr>
        <w:t xml:space="preserve"> </w:t>
      </w:r>
      <w:r>
        <w:t>that</w:t>
      </w:r>
      <w:r>
        <w:rPr>
          <w:spacing w:val="-3"/>
        </w:rPr>
        <w:t xml:space="preserve"> </w:t>
      </w:r>
      <w:r>
        <w:t>existed</w:t>
      </w:r>
      <w:r>
        <w:rPr>
          <w:spacing w:val="-3"/>
        </w:rPr>
        <w:t xml:space="preserve"> </w:t>
      </w:r>
      <w:r>
        <w:t>at</w:t>
      </w:r>
      <w:r>
        <w:rPr>
          <w:spacing w:val="-3"/>
        </w:rPr>
        <w:t xml:space="preserve"> </w:t>
      </w:r>
      <w:r>
        <w:t>the</w:t>
      </w:r>
      <w:r>
        <w:rPr>
          <w:spacing w:val="-3"/>
        </w:rPr>
        <w:t xml:space="preserve"> </w:t>
      </w:r>
      <w:r>
        <w:t>date</w:t>
      </w:r>
      <w:r>
        <w:rPr>
          <w:spacing w:val="-3"/>
        </w:rPr>
        <w:t xml:space="preserve"> </w:t>
      </w:r>
      <w:r>
        <w:t>of</w:t>
      </w:r>
      <w:r>
        <w:rPr>
          <w:spacing w:val="-3"/>
        </w:rPr>
        <w:t xml:space="preserve"> </w:t>
      </w:r>
      <w:r>
        <w:t>the financial</w:t>
      </w:r>
      <w:r>
        <w:rPr>
          <w:spacing w:val="-3"/>
        </w:rPr>
        <w:t xml:space="preserve"> </w:t>
      </w:r>
      <w:r>
        <w:t>statements</w:t>
      </w:r>
      <w:r>
        <w:rPr>
          <w:spacing w:val="-2"/>
        </w:rPr>
        <w:t xml:space="preserve"> </w:t>
      </w:r>
      <w:r>
        <w:t>being</w:t>
      </w:r>
      <w:r>
        <w:rPr>
          <w:spacing w:val="-2"/>
        </w:rPr>
        <w:t xml:space="preserve"> </w:t>
      </w:r>
      <w:r>
        <w:t>reported</w:t>
      </w:r>
      <w:r>
        <w:rPr>
          <w:spacing w:val="-2"/>
        </w:rPr>
        <w:t xml:space="preserve"> </w:t>
      </w:r>
      <w:r>
        <w:t>on</w:t>
      </w:r>
      <w:r>
        <w:rPr>
          <w:spacing w:val="-2"/>
        </w:rPr>
        <w:t xml:space="preserve"> </w:t>
      </w:r>
      <w:r>
        <w:t>and</w:t>
      </w:r>
      <w:r>
        <w:rPr>
          <w:spacing w:val="-2"/>
        </w:rPr>
        <w:t xml:space="preserve"> </w:t>
      </w:r>
      <w:r>
        <w:t>during</w:t>
      </w:r>
      <w:r>
        <w:rPr>
          <w:spacing w:val="-3"/>
        </w:rPr>
        <w:t xml:space="preserve"> </w:t>
      </w:r>
      <w:r>
        <w:t>the</w:t>
      </w:r>
      <w:r>
        <w:rPr>
          <w:spacing w:val="-2"/>
        </w:rPr>
        <w:t xml:space="preserve"> </w:t>
      </w:r>
      <w:r>
        <w:t>period</w:t>
      </w:r>
      <w:r>
        <w:rPr>
          <w:spacing w:val="-2"/>
        </w:rPr>
        <w:t xml:space="preserve"> </w:t>
      </w:r>
      <w:r>
        <w:t>from</w:t>
      </w:r>
      <w:r>
        <w:rPr>
          <w:spacing w:val="-3"/>
        </w:rPr>
        <w:t xml:space="preserve"> </w:t>
      </w:r>
      <w:r>
        <w:t>the</w:t>
      </w:r>
      <w:r>
        <w:rPr>
          <w:spacing w:val="-2"/>
        </w:rPr>
        <w:t xml:space="preserve"> </w:t>
      </w:r>
      <w:r>
        <w:t>date</w:t>
      </w:r>
      <w:r>
        <w:rPr>
          <w:spacing w:val="-2"/>
        </w:rPr>
        <w:t xml:space="preserve"> </w:t>
      </w:r>
      <w:r>
        <w:t>of</w:t>
      </w:r>
      <w:r>
        <w:rPr>
          <w:spacing w:val="-2"/>
        </w:rPr>
        <w:t xml:space="preserve"> </w:t>
      </w:r>
      <w:r>
        <w:t xml:space="preserve">the financial statements to the date the information is furnished. See FAM 1002.33 through .36 for additional guidance on the timing of legal counsel requests and </w:t>
      </w:r>
      <w:r>
        <w:rPr>
          <w:spacing w:val="-2"/>
        </w:rPr>
        <w:t>responses.</w:t>
      </w:r>
    </w:p>
    <w:p w14:paraId="0DFDC8BD" w14:textId="77777777" w:rsidR="00046465" w:rsidRDefault="008134EB">
      <w:pPr>
        <w:pStyle w:val="ListParagraph"/>
        <w:numPr>
          <w:ilvl w:val="0"/>
          <w:numId w:val="63"/>
        </w:numPr>
        <w:tabs>
          <w:tab w:val="left" w:pos="1799"/>
        </w:tabs>
        <w:ind w:left="1799" w:right="798" w:hanging="720"/>
      </w:pPr>
      <w:r>
        <w:t>Written responses from legal counsel will vary considerably in scope of information</w:t>
      </w:r>
      <w:r>
        <w:rPr>
          <w:spacing w:val="-2"/>
        </w:rPr>
        <w:t xml:space="preserve"> </w:t>
      </w:r>
      <w:r>
        <w:t>provided</w:t>
      </w:r>
      <w:r>
        <w:rPr>
          <w:spacing w:val="-2"/>
        </w:rPr>
        <w:t xml:space="preserve"> </w:t>
      </w:r>
      <w:r>
        <w:t>and</w:t>
      </w:r>
      <w:r>
        <w:rPr>
          <w:spacing w:val="-2"/>
        </w:rPr>
        <w:t xml:space="preserve"> </w:t>
      </w:r>
      <w:r>
        <w:t>opinions</w:t>
      </w:r>
      <w:r>
        <w:rPr>
          <w:spacing w:val="-2"/>
        </w:rPr>
        <w:t xml:space="preserve"> </w:t>
      </w:r>
      <w:r>
        <w:t>expressed.</w:t>
      </w:r>
      <w:r>
        <w:rPr>
          <w:spacing w:val="-2"/>
        </w:rPr>
        <w:t xml:space="preserve"> </w:t>
      </w:r>
      <w:r>
        <w:t>Guidance</w:t>
      </w:r>
      <w:r>
        <w:rPr>
          <w:spacing w:val="-2"/>
        </w:rPr>
        <w:t xml:space="preserve"> </w:t>
      </w:r>
      <w:r>
        <w:t>on</w:t>
      </w:r>
      <w:r>
        <w:rPr>
          <w:spacing w:val="-3"/>
        </w:rPr>
        <w:t xml:space="preserve"> </w:t>
      </w:r>
      <w:r>
        <w:t>preparing</w:t>
      </w:r>
      <w:r>
        <w:rPr>
          <w:spacing w:val="-2"/>
        </w:rPr>
        <w:t xml:space="preserve"> </w:t>
      </w:r>
      <w:r>
        <w:t xml:space="preserve">responses is contained in the American Bar Association’s (ABA) </w:t>
      </w:r>
      <w:r>
        <w:rPr>
          <w:i/>
        </w:rPr>
        <w:t xml:space="preserve">Statement of Policy Regarding Lawyers’ Responses to Auditors’ Requests for Information </w:t>
      </w:r>
      <w:r>
        <w:t>(ABA statement) (included in its entirety in AU-C 501 Exhibit A). Although the ABA statement says that legal counsel “may in appropriate circumstances communicate</w:t>
      </w:r>
      <w:r>
        <w:rPr>
          <w:spacing w:val="-4"/>
        </w:rPr>
        <w:t xml:space="preserve"> </w:t>
      </w:r>
      <w:r>
        <w:t>to</w:t>
      </w:r>
      <w:r>
        <w:rPr>
          <w:spacing w:val="-4"/>
        </w:rPr>
        <w:t xml:space="preserve"> </w:t>
      </w:r>
      <w:r>
        <w:t>the</w:t>
      </w:r>
      <w:r>
        <w:rPr>
          <w:spacing w:val="-4"/>
        </w:rPr>
        <w:t xml:space="preserve"> </w:t>
      </w:r>
      <w:r>
        <w:t>auditor</w:t>
      </w:r>
      <w:r>
        <w:rPr>
          <w:spacing w:val="-4"/>
        </w:rPr>
        <w:t xml:space="preserve"> </w:t>
      </w:r>
      <w:r>
        <w:t>his</w:t>
      </w:r>
      <w:r>
        <w:rPr>
          <w:spacing w:val="-3"/>
        </w:rPr>
        <w:t xml:space="preserve"> </w:t>
      </w:r>
      <w:r>
        <w:t>view</w:t>
      </w:r>
      <w:r>
        <w:rPr>
          <w:spacing w:val="-5"/>
        </w:rPr>
        <w:t xml:space="preserve"> </w:t>
      </w:r>
      <w:r>
        <w:t>that</w:t>
      </w:r>
      <w:r>
        <w:rPr>
          <w:spacing w:val="-4"/>
        </w:rPr>
        <w:t xml:space="preserve"> </w:t>
      </w:r>
      <w:r>
        <w:t>an</w:t>
      </w:r>
      <w:r>
        <w:rPr>
          <w:spacing w:val="-4"/>
        </w:rPr>
        <w:t xml:space="preserve"> </w:t>
      </w:r>
      <w:r>
        <w:t>unfavorable</w:t>
      </w:r>
      <w:r>
        <w:rPr>
          <w:spacing w:val="-4"/>
        </w:rPr>
        <w:t xml:space="preserve"> </w:t>
      </w:r>
      <w:r>
        <w:t>outcome</w:t>
      </w:r>
      <w:r>
        <w:rPr>
          <w:spacing w:val="-4"/>
        </w:rPr>
        <w:t xml:space="preserve"> </w:t>
      </w:r>
      <w:r>
        <w:t>is</w:t>
      </w:r>
      <w:r>
        <w:rPr>
          <w:spacing w:val="-4"/>
        </w:rPr>
        <w:t xml:space="preserve"> </w:t>
      </w:r>
      <w:r>
        <w:t>‘probable’</w:t>
      </w:r>
      <w:r>
        <w:rPr>
          <w:spacing w:val="-3"/>
        </w:rPr>
        <w:t xml:space="preserve"> </w:t>
      </w:r>
      <w:r>
        <w:t>or ‘remote,’” legal counsel is not required to use those terms in communicating the evaluation to the auditor (AU-C 501.A66). See AU-C 501.A66 for examples of responses the auditor may receive that are either unclear or provide sufficient clarity using other general terms.</w:t>
      </w:r>
    </w:p>
    <w:p w14:paraId="0DFDC8BE" w14:textId="77777777" w:rsidR="00046465" w:rsidRDefault="008134EB">
      <w:pPr>
        <w:pStyle w:val="ListParagraph"/>
        <w:numPr>
          <w:ilvl w:val="0"/>
          <w:numId w:val="63"/>
        </w:numPr>
        <w:tabs>
          <w:tab w:val="left" w:pos="1800"/>
        </w:tabs>
        <w:ind w:right="786"/>
      </w:pPr>
      <w:r>
        <w:t>The auditor should evaluate each legal counsel response in terms of sufficiency as evidence and consider (a) the possible limitations on the scope of the response and (b) the lack of sufficient opinion on the resolution of a case. The auditor should evaluate any “unable to determine” and vague and unclear responses. The auditor also should evaluate the legal counsel response in light of</w:t>
      </w:r>
      <w:r>
        <w:rPr>
          <w:spacing w:val="-3"/>
        </w:rPr>
        <w:t xml:space="preserve"> </w:t>
      </w:r>
      <w:r>
        <w:t>any</w:t>
      </w:r>
      <w:r>
        <w:rPr>
          <w:spacing w:val="-3"/>
        </w:rPr>
        <w:t xml:space="preserve"> </w:t>
      </w:r>
      <w:r>
        <w:t>other</w:t>
      </w:r>
      <w:r>
        <w:rPr>
          <w:spacing w:val="-5"/>
        </w:rPr>
        <w:t xml:space="preserve"> </w:t>
      </w:r>
      <w:r>
        <w:t>information</w:t>
      </w:r>
      <w:r>
        <w:rPr>
          <w:spacing w:val="-3"/>
        </w:rPr>
        <w:t xml:space="preserve"> </w:t>
      </w:r>
      <w:r>
        <w:t>that</w:t>
      </w:r>
      <w:r>
        <w:rPr>
          <w:spacing w:val="-3"/>
        </w:rPr>
        <w:t xml:space="preserve"> </w:t>
      </w:r>
      <w:r>
        <w:t>comes</w:t>
      </w:r>
      <w:r>
        <w:rPr>
          <w:spacing w:val="-3"/>
        </w:rPr>
        <w:t xml:space="preserve"> </w:t>
      </w:r>
      <w:r>
        <w:t>to</w:t>
      </w:r>
      <w:r>
        <w:rPr>
          <w:spacing w:val="-3"/>
        </w:rPr>
        <w:t xml:space="preserve"> </w:t>
      </w:r>
      <w:r>
        <w:t>the</w:t>
      </w:r>
      <w:r>
        <w:rPr>
          <w:spacing w:val="-3"/>
        </w:rPr>
        <w:t xml:space="preserve"> </w:t>
      </w:r>
      <w:r>
        <w:t>auditor’s</w:t>
      </w:r>
      <w:r>
        <w:rPr>
          <w:spacing w:val="-3"/>
        </w:rPr>
        <w:t xml:space="preserve"> </w:t>
      </w:r>
      <w:r>
        <w:t>attention.</w:t>
      </w:r>
      <w:r>
        <w:rPr>
          <w:spacing w:val="-4"/>
        </w:rPr>
        <w:t xml:space="preserve"> </w:t>
      </w:r>
      <w:r>
        <w:t>See</w:t>
      </w:r>
      <w:r>
        <w:rPr>
          <w:spacing w:val="-3"/>
        </w:rPr>
        <w:t xml:space="preserve"> </w:t>
      </w:r>
      <w:r>
        <w:t>AU-C</w:t>
      </w:r>
      <w:r>
        <w:rPr>
          <w:spacing w:val="-3"/>
        </w:rPr>
        <w:t xml:space="preserve"> </w:t>
      </w:r>
      <w:r>
        <w:t>501.A66 for additional guidance on evaluating legal counsel responses.</w:t>
      </w:r>
    </w:p>
    <w:p w14:paraId="0DFDC8BF" w14:textId="77777777" w:rsidR="00046465" w:rsidRDefault="008134EB">
      <w:pPr>
        <w:pStyle w:val="ListParagraph"/>
        <w:numPr>
          <w:ilvl w:val="0"/>
          <w:numId w:val="63"/>
        </w:numPr>
        <w:tabs>
          <w:tab w:val="left" w:pos="1799"/>
        </w:tabs>
        <w:ind w:left="1799" w:right="849" w:hanging="720"/>
      </w:pPr>
      <w:r>
        <w:t>To avoid unclear and incomplete responses, the auditor generally should ask management to request that legal counsel use Justice’s standard forms to describe legal contingencies.</w:t>
      </w:r>
      <w:hyperlink w:anchor="_bookmark221" w:history="1">
        <w:r>
          <w:rPr>
            <w:position w:val="7"/>
            <w:sz w:val="14"/>
          </w:rPr>
          <w:t>12</w:t>
        </w:r>
      </w:hyperlink>
      <w:r>
        <w:rPr>
          <w:spacing w:val="34"/>
          <w:position w:val="7"/>
          <w:sz w:val="14"/>
        </w:rPr>
        <w:t xml:space="preserve"> </w:t>
      </w:r>
      <w:r>
        <w:t>FAM 1002 C provides an example of a legal counsel response that uses Justice’s legal contingency standard forms for each case</w:t>
      </w:r>
      <w:r>
        <w:rPr>
          <w:spacing w:val="-3"/>
        </w:rPr>
        <w:t xml:space="preserve"> </w:t>
      </w:r>
      <w:r>
        <w:t>or</w:t>
      </w:r>
      <w:r>
        <w:rPr>
          <w:spacing w:val="-3"/>
        </w:rPr>
        <w:t xml:space="preserve"> </w:t>
      </w:r>
      <w:r>
        <w:t>group</w:t>
      </w:r>
      <w:r>
        <w:rPr>
          <w:spacing w:val="-3"/>
        </w:rPr>
        <w:t xml:space="preserve"> </w:t>
      </w:r>
      <w:r>
        <w:t>of</w:t>
      </w:r>
      <w:r>
        <w:rPr>
          <w:spacing w:val="-3"/>
        </w:rPr>
        <w:t xml:space="preserve"> </w:t>
      </w:r>
      <w:r>
        <w:t>cases.</w:t>
      </w:r>
      <w:r>
        <w:rPr>
          <w:spacing w:val="-4"/>
        </w:rPr>
        <w:t xml:space="preserve"> </w:t>
      </w:r>
      <w:r>
        <w:t>If</w:t>
      </w:r>
      <w:r>
        <w:rPr>
          <w:spacing w:val="-3"/>
        </w:rPr>
        <w:t xml:space="preserve"> </w:t>
      </w:r>
      <w:r>
        <w:t>used,</w:t>
      </w:r>
      <w:r>
        <w:rPr>
          <w:spacing w:val="-3"/>
        </w:rPr>
        <w:t xml:space="preserve"> </w:t>
      </w:r>
      <w:r>
        <w:t>the</w:t>
      </w:r>
      <w:r>
        <w:rPr>
          <w:spacing w:val="-3"/>
        </w:rPr>
        <w:t xml:space="preserve"> </w:t>
      </w:r>
      <w:r>
        <w:t>auditor</w:t>
      </w:r>
      <w:r>
        <w:rPr>
          <w:spacing w:val="-3"/>
        </w:rPr>
        <w:t xml:space="preserve"> </w:t>
      </w:r>
      <w:r>
        <w:t>should</w:t>
      </w:r>
      <w:r>
        <w:rPr>
          <w:spacing w:val="-3"/>
        </w:rPr>
        <w:t xml:space="preserve"> </w:t>
      </w:r>
      <w:r>
        <w:t>verify</w:t>
      </w:r>
      <w:r>
        <w:rPr>
          <w:spacing w:val="-3"/>
        </w:rPr>
        <w:t xml:space="preserve"> </w:t>
      </w:r>
      <w:r>
        <w:t>that</w:t>
      </w:r>
      <w:r>
        <w:rPr>
          <w:spacing w:val="-4"/>
        </w:rPr>
        <w:t xml:space="preserve"> </w:t>
      </w:r>
      <w:r>
        <w:t>current</w:t>
      </w:r>
      <w:r>
        <w:rPr>
          <w:spacing w:val="-3"/>
        </w:rPr>
        <w:t xml:space="preserve"> </w:t>
      </w:r>
      <w:r>
        <w:t>forms</w:t>
      </w:r>
      <w:r>
        <w:rPr>
          <w:spacing w:val="-3"/>
        </w:rPr>
        <w:t xml:space="preserve"> </w:t>
      </w:r>
      <w:r>
        <w:t xml:space="preserve">were </w:t>
      </w:r>
      <w:r>
        <w:rPr>
          <w:spacing w:val="-2"/>
        </w:rPr>
        <w:t>used.</w:t>
      </w:r>
    </w:p>
    <w:p w14:paraId="0DFDC8C0" w14:textId="77777777" w:rsidR="00046465" w:rsidRDefault="008134EB">
      <w:pPr>
        <w:pStyle w:val="ListParagraph"/>
        <w:numPr>
          <w:ilvl w:val="0"/>
          <w:numId w:val="63"/>
        </w:numPr>
        <w:tabs>
          <w:tab w:val="left" w:pos="1800"/>
        </w:tabs>
        <w:ind w:right="945"/>
      </w:pPr>
      <w:r>
        <w:t>When legal counsel does not indicate whether the unfavorable outcome is probable or remote, (a) management and the auditor should conclude that the outcome is reasonably possible and (b) management should determine the disclosure. If the auditor is not certain about legal counsel’s evaluation, the auditor should discuss the matters with legal counsel and management (and document</w:t>
      </w:r>
      <w:r>
        <w:rPr>
          <w:spacing w:val="-3"/>
        </w:rPr>
        <w:t xml:space="preserve"> </w:t>
      </w:r>
      <w:r>
        <w:t>the</w:t>
      </w:r>
      <w:r>
        <w:rPr>
          <w:spacing w:val="-3"/>
        </w:rPr>
        <w:t xml:space="preserve"> </w:t>
      </w:r>
      <w:r>
        <w:t>oral</w:t>
      </w:r>
      <w:r>
        <w:rPr>
          <w:spacing w:val="-3"/>
        </w:rPr>
        <w:t xml:space="preserve"> </w:t>
      </w:r>
      <w:r>
        <w:t>discussion),</w:t>
      </w:r>
      <w:r>
        <w:rPr>
          <w:spacing w:val="-3"/>
        </w:rPr>
        <w:t xml:space="preserve"> </w:t>
      </w:r>
      <w:r>
        <w:t>obtain</w:t>
      </w:r>
      <w:r>
        <w:rPr>
          <w:spacing w:val="-3"/>
        </w:rPr>
        <w:t xml:space="preserve"> </w:t>
      </w:r>
      <w:r>
        <w:t>written</w:t>
      </w:r>
      <w:r>
        <w:rPr>
          <w:spacing w:val="-3"/>
        </w:rPr>
        <w:t xml:space="preserve"> </w:t>
      </w:r>
      <w:r>
        <w:t>clarification</w:t>
      </w:r>
      <w:r>
        <w:rPr>
          <w:spacing w:val="-3"/>
        </w:rPr>
        <w:t xml:space="preserve"> </w:t>
      </w:r>
      <w:r>
        <w:t>from</w:t>
      </w:r>
      <w:r>
        <w:rPr>
          <w:spacing w:val="-4"/>
        </w:rPr>
        <w:t xml:space="preserve"> </w:t>
      </w:r>
      <w:r>
        <w:t>legal</w:t>
      </w:r>
      <w:r>
        <w:rPr>
          <w:spacing w:val="-3"/>
        </w:rPr>
        <w:t xml:space="preserve"> </w:t>
      </w:r>
      <w:r>
        <w:t>counsel,</w:t>
      </w:r>
      <w:r>
        <w:rPr>
          <w:spacing w:val="-3"/>
        </w:rPr>
        <w:t xml:space="preserve"> </w:t>
      </w:r>
      <w:r>
        <w:t>or do both. Sometimes legal counsel may give a clearer indication of likelihood orally.</w:t>
      </w:r>
      <w:r>
        <w:rPr>
          <w:spacing w:val="-3"/>
        </w:rPr>
        <w:t xml:space="preserve"> </w:t>
      </w:r>
      <w:r>
        <w:t>If</w:t>
      </w:r>
      <w:r>
        <w:rPr>
          <w:spacing w:val="-4"/>
        </w:rPr>
        <w:t xml:space="preserve"> </w:t>
      </w:r>
      <w:r>
        <w:t>legal</w:t>
      </w:r>
      <w:r>
        <w:rPr>
          <w:spacing w:val="-3"/>
        </w:rPr>
        <w:t xml:space="preserve"> </w:t>
      </w:r>
      <w:r>
        <w:t>counsel</w:t>
      </w:r>
      <w:r>
        <w:rPr>
          <w:spacing w:val="-4"/>
        </w:rPr>
        <w:t xml:space="preserve"> </w:t>
      </w:r>
      <w:r>
        <w:t>is</w:t>
      </w:r>
      <w:r>
        <w:rPr>
          <w:spacing w:val="-4"/>
        </w:rPr>
        <w:t xml:space="preserve"> </w:t>
      </w:r>
      <w:r>
        <w:t>unable</w:t>
      </w:r>
      <w:r>
        <w:rPr>
          <w:spacing w:val="-3"/>
        </w:rPr>
        <w:t xml:space="preserve"> </w:t>
      </w:r>
      <w:r>
        <w:t>to</w:t>
      </w:r>
      <w:r>
        <w:rPr>
          <w:spacing w:val="-3"/>
        </w:rPr>
        <w:t xml:space="preserve"> </w:t>
      </w:r>
      <w:r>
        <w:t>give</w:t>
      </w:r>
      <w:r>
        <w:rPr>
          <w:spacing w:val="-3"/>
        </w:rPr>
        <w:t xml:space="preserve"> </w:t>
      </w:r>
      <w:r>
        <w:t>a</w:t>
      </w:r>
      <w:r>
        <w:rPr>
          <w:spacing w:val="-3"/>
        </w:rPr>
        <w:t xml:space="preserve"> </w:t>
      </w:r>
      <w:r>
        <w:t>clear</w:t>
      </w:r>
      <w:r>
        <w:rPr>
          <w:spacing w:val="-3"/>
        </w:rPr>
        <w:t xml:space="preserve"> </w:t>
      </w:r>
      <w:r>
        <w:t>evaluation</w:t>
      </w:r>
      <w:r>
        <w:rPr>
          <w:spacing w:val="-3"/>
        </w:rPr>
        <w:t xml:space="preserve"> </w:t>
      </w:r>
      <w:r>
        <w:t>of</w:t>
      </w:r>
      <w:r>
        <w:rPr>
          <w:spacing w:val="-4"/>
        </w:rPr>
        <w:t xml:space="preserve"> </w:t>
      </w:r>
      <w:r>
        <w:t>the</w:t>
      </w:r>
      <w:r>
        <w:rPr>
          <w:spacing w:val="-3"/>
        </w:rPr>
        <w:t xml:space="preserve"> </w:t>
      </w:r>
      <w:r>
        <w:t>likelihood</w:t>
      </w:r>
      <w:r>
        <w:rPr>
          <w:spacing w:val="-3"/>
        </w:rPr>
        <w:t xml:space="preserve"> </w:t>
      </w:r>
      <w:r>
        <w:t>of</w:t>
      </w:r>
      <w:r>
        <w:rPr>
          <w:spacing w:val="-3"/>
        </w:rPr>
        <w:t xml:space="preserve"> </w:t>
      </w:r>
      <w:r>
        <w:t>an unfavorable outcome, management should disclose the uncertainty, and the auditor should evaluate the uncertainty’s effect on the audit report.</w:t>
      </w:r>
    </w:p>
    <w:p w14:paraId="0DFDC8C1" w14:textId="77777777" w:rsidR="00046465" w:rsidRDefault="00046465">
      <w:pPr>
        <w:pStyle w:val="BodyText"/>
        <w:rPr>
          <w:sz w:val="20"/>
        </w:rPr>
      </w:pPr>
    </w:p>
    <w:p w14:paraId="0DFDC8C2" w14:textId="77777777" w:rsidR="00046465" w:rsidRDefault="008134EB">
      <w:pPr>
        <w:pStyle w:val="BodyText"/>
        <w:spacing w:before="141"/>
        <w:rPr>
          <w:sz w:val="20"/>
        </w:rPr>
      </w:pPr>
      <w:r>
        <w:rPr>
          <w:noProof/>
          <w:sz w:val="20"/>
        </w:rPr>
        <mc:AlternateContent>
          <mc:Choice Requires="wps">
            <w:drawing>
              <wp:anchor distT="0" distB="0" distL="0" distR="0" simplePos="0" relativeHeight="487737344" behindDoc="1" locked="0" layoutInCell="1" allowOverlap="1" wp14:anchorId="0DFDD75B" wp14:editId="0DFDD75C">
                <wp:simplePos x="0" y="0"/>
                <wp:positionH relativeFrom="page">
                  <wp:posOffset>914400</wp:posOffset>
                </wp:positionH>
                <wp:positionV relativeFrom="paragraph">
                  <wp:posOffset>251057</wp:posOffset>
                </wp:positionV>
                <wp:extent cx="1828800" cy="5715"/>
                <wp:effectExtent l="0" t="0" r="0" b="0"/>
                <wp:wrapTopAndBottom/>
                <wp:docPr id="1109" name="Graphic 1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C54012" id="Graphic 1109" o:spid="_x0000_s1026" style="position:absolute;margin-left:1in;margin-top:19.75pt;width:2in;height:.45pt;z-index:-1557913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" path="m1828800,l,,,5334r1828800,l1828800,xe" fillcolor="black" stroked="f">
                <v:path arrowok="t"/>
                <w10:wrap type="topAndBottom" anchorx="page"/>
              </v:shape>
            </w:pict>
          </mc:Fallback>
        </mc:AlternateContent>
      </w:r>
    </w:p>
    <w:p w14:paraId="0DFDC8C3" w14:textId="77777777" w:rsidR="00046465" w:rsidRDefault="008134EB">
      <w:pPr>
        <w:spacing w:before="202" w:line="249" w:lineRule="auto"/>
        <w:ind w:left="359" w:right="844"/>
        <w:rPr>
          <w:sz w:val="18"/>
        </w:rPr>
      </w:pPr>
      <w:bookmarkStart w:id="392" w:name="_bookmark221"/>
      <w:bookmarkEnd w:id="392"/>
      <w:r>
        <w:rPr>
          <w:position w:val="7"/>
          <w:sz w:val="14"/>
        </w:rPr>
        <w:t>12</w:t>
      </w:r>
      <w:r>
        <w:rPr>
          <w:sz w:val="18"/>
        </w:rPr>
        <w:t>Forms</w:t>
      </w:r>
      <w:r>
        <w:rPr>
          <w:spacing w:val="-4"/>
          <w:sz w:val="18"/>
        </w:rPr>
        <w:t xml:space="preserve"> </w:t>
      </w:r>
      <w:r>
        <w:rPr>
          <w:sz w:val="18"/>
        </w:rPr>
        <w:t>can</w:t>
      </w:r>
      <w:r>
        <w:rPr>
          <w:spacing w:val="-5"/>
          <w:sz w:val="18"/>
        </w:rPr>
        <w:t xml:space="preserve"> </w:t>
      </w:r>
      <w:r>
        <w:rPr>
          <w:sz w:val="18"/>
        </w:rPr>
        <w:t>be</w:t>
      </w:r>
      <w:r>
        <w:rPr>
          <w:spacing w:val="-3"/>
          <w:sz w:val="18"/>
        </w:rPr>
        <w:t xml:space="preserve"> </w:t>
      </w:r>
      <w:r>
        <w:rPr>
          <w:sz w:val="18"/>
        </w:rPr>
        <w:t>obtained</w:t>
      </w:r>
      <w:r>
        <w:rPr>
          <w:spacing w:val="-5"/>
          <w:sz w:val="18"/>
        </w:rPr>
        <w:t xml:space="preserve"> </w:t>
      </w:r>
      <w:r>
        <w:rPr>
          <w:sz w:val="18"/>
        </w:rPr>
        <w:t>on</w:t>
      </w:r>
      <w:r>
        <w:rPr>
          <w:spacing w:val="-5"/>
          <w:sz w:val="18"/>
        </w:rPr>
        <w:t xml:space="preserve"> </w:t>
      </w:r>
      <w:r>
        <w:rPr>
          <w:sz w:val="18"/>
        </w:rPr>
        <w:t>Justice’s</w:t>
      </w:r>
      <w:r>
        <w:rPr>
          <w:spacing w:val="-4"/>
          <w:sz w:val="18"/>
        </w:rPr>
        <w:t xml:space="preserve"> </w:t>
      </w:r>
      <w:r>
        <w:rPr>
          <w:sz w:val="18"/>
        </w:rPr>
        <w:t>website</w:t>
      </w:r>
      <w:r>
        <w:rPr>
          <w:spacing w:val="-3"/>
          <w:sz w:val="18"/>
        </w:rPr>
        <w:t xml:space="preserve"> </w:t>
      </w:r>
      <w:r>
        <w:rPr>
          <w:sz w:val="18"/>
        </w:rPr>
        <w:t>at</w:t>
      </w:r>
      <w:r>
        <w:rPr>
          <w:spacing w:val="-4"/>
          <w:sz w:val="18"/>
        </w:rPr>
        <w:t xml:space="preserve"> </w:t>
      </w:r>
      <w:hyperlink r:id="rId235">
        <w:r>
          <w:rPr>
            <w:color w:val="0000FF"/>
            <w:sz w:val="18"/>
          </w:rPr>
          <w:t>https://www.justice.gov/civil/documents-and-forms</w:t>
        </w:r>
      </w:hyperlink>
      <w:r>
        <w:rPr>
          <w:color w:val="0000FF"/>
          <w:spacing w:val="-4"/>
          <w:sz w:val="18"/>
        </w:rPr>
        <w:t xml:space="preserve"> </w:t>
      </w:r>
      <w:r>
        <w:rPr>
          <w:sz w:val="18"/>
        </w:rPr>
        <w:t>(accessed</w:t>
      </w:r>
      <w:r>
        <w:rPr>
          <w:spacing w:val="-5"/>
          <w:sz w:val="18"/>
        </w:rPr>
        <w:t xml:space="preserve"> </w:t>
      </w:r>
      <w:r>
        <w:rPr>
          <w:sz w:val="18"/>
        </w:rPr>
        <w:t>June 4, 2026).</w:t>
      </w:r>
    </w:p>
    <w:p w14:paraId="0DFDC8C4" w14:textId="77777777" w:rsidR="00046465" w:rsidRDefault="00046465">
      <w:pPr>
        <w:spacing w:line="249" w:lineRule="auto"/>
        <w:rPr>
          <w:sz w:val="18"/>
        </w:rPr>
        <w:sectPr w:rsidR="00046465">
          <w:pgSz w:w="12240" w:h="15840"/>
          <w:pgMar w:top="1340" w:right="720" w:bottom="940" w:left="1080" w:header="721" w:footer="757" w:gutter="0"/>
          <w:cols w:space="720"/>
        </w:sectPr>
      </w:pPr>
    </w:p>
    <w:p w14:paraId="0DFDC8C5" w14:textId="77777777" w:rsidR="00046465" w:rsidRDefault="008134EB">
      <w:pPr>
        <w:pStyle w:val="ListParagraph"/>
        <w:numPr>
          <w:ilvl w:val="0"/>
          <w:numId w:val="63"/>
        </w:numPr>
        <w:tabs>
          <w:tab w:val="left" w:pos="1800"/>
        </w:tabs>
        <w:spacing w:before="121"/>
        <w:ind w:right="739"/>
      </w:pPr>
      <w:r>
        <w:lastRenderedPageBreak/>
        <w:t>In circumstances in which legal counsel is unable to respond concerning the likelihood</w:t>
      </w:r>
      <w:r>
        <w:rPr>
          <w:spacing w:val="-4"/>
        </w:rPr>
        <w:t xml:space="preserve"> </w:t>
      </w:r>
      <w:r>
        <w:t>of</w:t>
      </w:r>
      <w:r>
        <w:rPr>
          <w:spacing w:val="-5"/>
        </w:rPr>
        <w:t xml:space="preserve"> </w:t>
      </w:r>
      <w:r>
        <w:t>an</w:t>
      </w:r>
      <w:r>
        <w:rPr>
          <w:spacing w:val="-4"/>
        </w:rPr>
        <w:t xml:space="preserve"> </w:t>
      </w:r>
      <w:r>
        <w:t>unfavorable</w:t>
      </w:r>
      <w:r>
        <w:rPr>
          <w:spacing w:val="-4"/>
        </w:rPr>
        <w:t xml:space="preserve"> </w:t>
      </w:r>
      <w:r>
        <w:t>outcome</w:t>
      </w:r>
      <w:r>
        <w:rPr>
          <w:spacing w:val="-4"/>
        </w:rPr>
        <w:t xml:space="preserve"> </w:t>
      </w:r>
      <w:r>
        <w:t>of</w:t>
      </w:r>
      <w:r>
        <w:rPr>
          <w:spacing w:val="-4"/>
        </w:rPr>
        <w:t xml:space="preserve"> </w:t>
      </w:r>
      <w:r>
        <w:t>litigation,</w:t>
      </w:r>
      <w:r>
        <w:rPr>
          <w:spacing w:val="-5"/>
        </w:rPr>
        <w:t xml:space="preserve"> </w:t>
      </w:r>
      <w:r>
        <w:t>claims,</w:t>
      </w:r>
      <w:r>
        <w:rPr>
          <w:spacing w:val="-4"/>
        </w:rPr>
        <w:t xml:space="preserve"> </w:t>
      </w:r>
      <w:r>
        <w:t>and</w:t>
      </w:r>
      <w:r>
        <w:rPr>
          <w:spacing w:val="-5"/>
        </w:rPr>
        <w:t xml:space="preserve"> </w:t>
      </w:r>
      <w:r>
        <w:t>assessments</w:t>
      </w:r>
      <w:r>
        <w:rPr>
          <w:spacing w:val="-4"/>
        </w:rPr>
        <w:t xml:space="preserve"> </w:t>
      </w:r>
      <w:r>
        <w:t>or</w:t>
      </w:r>
      <w:r>
        <w:rPr>
          <w:spacing w:val="-4"/>
        </w:rPr>
        <w:t xml:space="preserve"> </w:t>
      </w:r>
      <w:r>
        <w:t>the amount or range of potential loss due to inherent uncertainties, the auditor generally should conclude that the financial statements are affected by an uncertainty concerning the outcome of a future event, which is not susceptible to reasonable estimation. See FAM 580 for reporting on uncertainties.</w:t>
      </w:r>
    </w:p>
    <w:p w14:paraId="0DFDC8C6" w14:textId="77777777" w:rsidR="00046465" w:rsidRDefault="008134EB">
      <w:pPr>
        <w:spacing w:before="121"/>
        <w:ind w:left="1080"/>
        <w:rPr>
          <w:b/>
          <w:sz w:val="24"/>
        </w:rPr>
      </w:pPr>
      <w:bookmarkStart w:id="393" w:name="Possible_Limitations_on_the_Scope_of_the"/>
      <w:bookmarkEnd w:id="393"/>
      <w:r>
        <w:rPr>
          <w:b/>
          <w:sz w:val="24"/>
        </w:rPr>
        <w:t>Possible</w:t>
      </w:r>
      <w:r>
        <w:rPr>
          <w:b/>
          <w:spacing w:val="-3"/>
          <w:sz w:val="24"/>
        </w:rPr>
        <w:t xml:space="preserve"> </w:t>
      </w:r>
      <w:r>
        <w:rPr>
          <w:b/>
          <w:sz w:val="24"/>
        </w:rPr>
        <w:t>Limitations</w:t>
      </w:r>
      <w:r>
        <w:rPr>
          <w:b/>
          <w:spacing w:val="-4"/>
          <w:sz w:val="24"/>
        </w:rPr>
        <w:t xml:space="preserve"> </w:t>
      </w:r>
      <w:r>
        <w:rPr>
          <w:b/>
          <w:sz w:val="24"/>
        </w:rPr>
        <w:t>on</w:t>
      </w:r>
      <w:r>
        <w:rPr>
          <w:b/>
          <w:spacing w:val="-3"/>
          <w:sz w:val="24"/>
        </w:rPr>
        <w:t xml:space="preserve"> </w:t>
      </w:r>
      <w:r>
        <w:rPr>
          <w:b/>
          <w:sz w:val="24"/>
        </w:rPr>
        <w:t>the</w:t>
      </w:r>
      <w:r>
        <w:rPr>
          <w:b/>
          <w:spacing w:val="-3"/>
          <w:sz w:val="24"/>
        </w:rPr>
        <w:t xml:space="preserve"> </w:t>
      </w:r>
      <w:r>
        <w:rPr>
          <w:b/>
          <w:sz w:val="24"/>
        </w:rPr>
        <w:t>Scope</w:t>
      </w:r>
      <w:r>
        <w:rPr>
          <w:b/>
          <w:spacing w:val="-3"/>
          <w:sz w:val="24"/>
        </w:rPr>
        <w:t xml:space="preserve"> </w:t>
      </w:r>
      <w:r>
        <w:rPr>
          <w:b/>
          <w:sz w:val="24"/>
        </w:rPr>
        <w:t>of</w:t>
      </w:r>
      <w:r>
        <w:rPr>
          <w:b/>
          <w:spacing w:val="-2"/>
          <w:sz w:val="24"/>
        </w:rPr>
        <w:t xml:space="preserve"> </w:t>
      </w:r>
      <w:r>
        <w:rPr>
          <w:b/>
          <w:sz w:val="24"/>
        </w:rPr>
        <w:t>the</w:t>
      </w:r>
      <w:r>
        <w:rPr>
          <w:b/>
          <w:spacing w:val="-3"/>
          <w:sz w:val="24"/>
        </w:rPr>
        <w:t xml:space="preserve"> </w:t>
      </w:r>
      <w:r>
        <w:rPr>
          <w:b/>
          <w:sz w:val="24"/>
        </w:rPr>
        <w:t>Legal</w:t>
      </w:r>
      <w:r>
        <w:rPr>
          <w:b/>
          <w:spacing w:val="-2"/>
          <w:sz w:val="24"/>
        </w:rPr>
        <w:t xml:space="preserve"> </w:t>
      </w:r>
      <w:r>
        <w:rPr>
          <w:b/>
          <w:sz w:val="24"/>
        </w:rPr>
        <w:t>Counsel</w:t>
      </w:r>
      <w:r>
        <w:rPr>
          <w:b/>
          <w:spacing w:val="-2"/>
          <w:sz w:val="24"/>
        </w:rPr>
        <w:t xml:space="preserve"> Response</w:t>
      </w:r>
    </w:p>
    <w:p w14:paraId="0DFDC8C7" w14:textId="77777777" w:rsidR="00046465" w:rsidRDefault="008134EB">
      <w:pPr>
        <w:pStyle w:val="ListParagraph"/>
        <w:numPr>
          <w:ilvl w:val="0"/>
          <w:numId w:val="63"/>
        </w:numPr>
        <w:tabs>
          <w:tab w:val="left" w:pos="1800"/>
        </w:tabs>
        <w:spacing w:before="119"/>
        <w:ind w:right="799"/>
      </w:pPr>
      <w:r>
        <w:t>When legal counsel limits the response, the auditor should determine whether the limitation affects the auditor’s report. Legal counsel may appropriately limit the response to certain matters. For example, legal counsel may limit the response to matters that (a) legal counsel has given substantive attention to in the form of legal consultation or representation and (b) counsel determined are individually</w:t>
      </w:r>
      <w:r>
        <w:rPr>
          <w:spacing w:val="-5"/>
        </w:rPr>
        <w:t xml:space="preserve"> </w:t>
      </w:r>
      <w:r>
        <w:t>or</w:t>
      </w:r>
      <w:r>
        <w:rPr>
          <w:spacing w:val="-4"/>
        </w:rPr>
        <w:t xml:space="preserve"> </w:t>
      </w:r>
      <w:r>
        <w:t>collectively</w:t>
      </w:r>
      <w:r>
        <w:rPr>
          <w:spacing w:val="-4"/>
        </w:rPr>
        <w:t xml:space="preserve"> </w:t>
      </w:r>
      <w:r>
        <w:t>material</w:t>
      </w:r>
      <w:r>
        <w:rPr>
          <w:spacing w:val="-4"/>
        </w:rPr>
        <w:t xml:space="preserve"> </w:t>
      </w:r>
      <w:r>
        <w:t>to</w:t>
      </w:r>
      <w:r>
        <w:rPr>
          <w:spacing w:val="-5"/>
        </w:rPr>
        <w:t xml:space="preserve"> </w:t>
      </w:r>
      <w:r>
        <w:t>the</w:t>
      </w:r>
      <w:r>
        <w:rPr>
          <w:spacing w:val="-4"/>
        </w:rPr>
        <w:t xml:space="preserve"> </w:t>
      </w:r>
      <w:r>
        <w:t>financial</w:t>
      </w:r>
      <w:r>
        <w:rPr>
          <w:spacing w:val="-4"/>
        </w:rPr>
        <w:t xml:space="preserve"> </w:t>
      </w:r>
      <w:r>
        <w:t>statements,</w:t>
      </w:r>
      <w:r>
        <w:rPr>
          <w:spacing w:val="-4"/>
        </w:rPr>
        <w:t xml:space="preserve"> </w:t>
      </w:r>
      <w:r>
        <w:t>provided</w:t>
      </w:r>
      <w:r>
        <w:rPr>
          <w:spacing w:val="-4"/>
        </w:rPr>
        <w:t xml:space="preserve"> </w:t>
      </w:r>
      <w:r>
        <w:t>the</w:t>
      </w:r>
      <w:r>
        <w:rPr>
          <w:spacing w:val="-4"/>
        </w:rPr>
        <w:t xml:space="preserve"> </w:t>
      </w:r>
      <w:r>
        <w:t>entity and the auditor have reached an understanding on materiality levels. These limitations are acceptable and do not limit the audit scope.</w:t>
      </w:r>
    </w:p>
    <w:p w14:paraId="0DFDC8C8" w14:textId="77777777" w:rsidR="00046465" w:rsidRDefault="008134EB">
      <w:pPr>
        <w:pStyle w:val="ListParagraph"/>
        <w:numPr>
          <w:ilvl w:val="0"/>
          <w:numId w:val="63"/>
        </w:numPr>
        <w:tabs>
          <w:tab w:val="left" w:pos="1800"/>
        </w:tabs>
        <w:ind w:right="1079"/>
      </w:pPr>
      <w:r>
        <w:t>The following are examples of limitations of legal counsel responses that the auditor</w:t>
      </w:r>
      <w:r>
        <w:rPr>
          <w:spacing w:val="-3"/>
        </w:rPr>
        <w:t xml:space="preserve"> </w:t>
      </w:r>
      <w:r>
        <w:t>should</w:t>
      </w:r>
      <w:r>
        <w:rPr>
          <w:spacing w:val="-3"/>
        </w:rPr>
        <w:t xml:space="preserve"> </w:t>
      </w:r>
      <w:r>
        <w:t>not</w:t>
      </w:r>
      <w:r>
        <w:rPr>
          <w:spacing w:val="-3"/>
        </w:rPr>
        <w:t xml:space="preserve"> </w:t>
      </w:r>
      <w:r>
        <w:t>accept</w:t>
      </w:r>
      <w:r>
        <w:rPr>
          <w:spacing w:val="-3"/>
        </w:rPr>
        <w:t xml:space="preserve"> </w:t>
      </w:r>
      <w:r>
        <w:t>and</w:t>
      </w:r>
      <w:r>
        <w:rPr>
          <w:spacing w:val="-3"/>
        </w:rPr>
        <w:t xml:space="preserve"> </w:t>
      </w:r>
      <w:r>
        <w:t>that</w:t>
      </w:r>
      <w:r>
        <w:rPr>
          <w:spacing w:val="-3"/>
        </w:rPr>
        <w:t xml:space="preserve"> </w:t>
      </w:r>
      <w:r>
        <w:t>would</w:t>
      </w:r>
      <w:r>
        <w:rPr>
          <w:spacing w:val="-3"/>
        </w:rPr>
        <w:t xml:space="preserve"> </w:t>
      </w:r>
      <w:r>
        <w:t>ordinarily</w:t>
      </w:r>
      <w:r>
        <w:rPr>
          <w:spacing w:val="-3"/>
        </w:rPr>
        <w:t xml:space="preserve"> </w:t>
      </w:r>
      <w:r>
        <w:t>result</w:t>
      </w:r>
      <w:r>
        <w:rPr>
          <w:spacing w:val="-4"/>
        </w:rPr>
        <w:t xml:space="preserve"> </w:t>
      </w:r>
      <w:r>
        <w:t>in</w:t>
      </w:r>
      <w:r>
        <w:rPr>
          <w:spacing w:val="-3"/>
        </w:rPr>
        <w:t xml:space="preserve"> </w:t>
      </w:r>
      <w:r>
        <w:t>a</w:t>
      </w:r>
      <w:r>
        <w:rPr>
          <w:spacing w:val="-4"/>
        </w:rPr>
        <w:t xml:space="preserve"> </w:t>
      </w:r>
      <w:r>
        <w:t>scope</w:t>
      </w:r>
      <w:r>
        <w:rPr>
          <w:spacing w:val="-3"/>
        </w:rPr>
        <w:t xml:space="preserve"> </w:t>
      </w:r>
      <w:r>
        <w:t>limitation:</w:t>
      </w:r>
    </w:p>
    <w:p w14:paraId="0DFDC8C9" w14:textId="77777777" w:rsidR="00046465" w:rsidRDefault="008134EB">
      <w:pPr>
        <w:pStyle w:val="ListParagraph"/>
        <w:numPr>
          <w:ilvl w:val="1"/>
          <w:numId w:val="63"/>
        </w:numPr>
        <w:tabs>
          <w:tab w:val="left" w:pos="2160"/>
        </w:tabs>
        <w:ind w:right="964"/>
      </w:pPr>
      <w:r>
        <w:t>Legal</w:t>
      </w:r>
      <w:r>
        <w:rPr>
          <w:spacing w:val="-4"/>
        </w:rPr>
        <w:t xml:space="preserve"> </w:t>
      </w:r>
      <w:r>
        <w:t>counsel</w:t>
      </w:r>
      <w:r>
        <w:rPr>
          <w:spacing w:val="-4"/>
        </w:rPr>
        <w:t xml:space="preserve"> </w:t>
      </w:r>
      <w:r>
        <w:t>refuses</w:t>
      </w:r>
      <w:r>
        <w:rPr>
          <w:spacing w:val="-4"/>
        </w:rPr>
        <w:t xml:space="preserve"> </w:t>
      </w:r>
      <w:r>
        <w:t>to</w:t>
      </w:r>
      <w:r>
        <w:rPr>
          <w:spacing w:val="-5"/>
        </w:rPr>
        <w:t xml:space="preserve"> </w:t>
      </w:r>
      <w:r>
        <w:t>furnish</w:t>
      </w:r>
      <w:r>
        <w:rPr>
          <w:spacing w:val="-4"/>
        </w:rPr>
        <w:t xml:space="preserve"> </w:t>
      </w:r>
      <w:r>
        <w:t>the</w:t>
      </w:r>
      <w:r>
        <w:rPr>
          <w:spacing w:val="-4"/>
        </w:rPr>
        <w:t xml:space="preserve"> </w:t>
      </w:r>
      <w:r>
        <w:t>requested</w:t>
      </w:r>
      <w:r>
        <w:rPr>
          <w:spacing w:val="-4"/>
        </w:rPr>
        <w:t xml:space="preserve"> </w:t>
      </w:r>
      <w:r>
        <w:t>information.</w:t>
      </w:r>
      <w:r>
        <w:rPr>
          <w:spacing w:val="-4"/>
        </w:rPr>
        <w:t xml:space="preserve"> </w:t>
      </w:r>
      <w:r>
        <w:t>Based</w:t>
      </w:r>
      <w:r>
        <w:rPr>
          <w:spacing w:val="-4"/>
        </w:rPr>
        <w:t xml:space="preserve"> </w:t>
      </w:r>
      <w:r>
        <w:t>on</w:t>
      </w:r>
      <w:r>
        <w:rPr>
          <w:spacing w:val="-4"/>
        </w:rPr>
        <w:t xml:space="preserve"> </w:t>
      </w:r>
      <w:r>
        <w:t xml:space="preserve">AU-C 501.25, when legal counsel refuses to respond appropriately to the legal counsel request and the auditor is unable to obtain sufficient appropriate audit evidence by performing alternative audit procedures, or management refuses to give the auditor permission to communicate or meet with the entity’s legal counsel, the auditor should modify the opinion in the auditor’s report in accordance with AU-C 705, </w:t>
      </w:r>
      <w:r>
        <w:rPr>
          <w:i/>
        </w:rPr>
        <w:t>Modifications to the Opinion in the Independent Auditor’s Report</w:t>
      </w:r>
      <w:r>
        <w:t>.</w:t>
      </w:r>
    </w:p>
    <w:p w14:paraId="0DFDC8CA" w14:textId="77777777" w:rsidR="00046465" w:rsidRDefault="008134EB">
      <w:pPr>
        <w:pStyle w:val="ListParagraph"/>
        <w:numPr>
          <w:ilvl w:val="1"/>
          <w:numId w:val="63"/>
        </w:numPr>
        <w:tabs>
          <w:tab w:val="left" w:pos="2159"/>
        </w:tabs>
        <w:spacing w:before="119"/>
        <w:ind w:left="2159" w:right="805"/>
      </w:pPr>
      <w:r>
        <w:t>Legal counsel excludes information requested. The legal counsel response may not address all information requested. The auditor should compare the legal counsel response to the legal counsel request and determine whether legal</w:t>
      </w:r>
      <w:r>
        <w:rPr>
          <w:spacing w:val="-3"/>
        </w:rPr>
        <w:t xml:space="preserve"> </w:t>
      </w:r>
      <w:r>
        <w:t>counsel</w:t>
      </w:r>
      <w:r>
        <w:rPr>
          <w:spacing w:val="-3"/>
        </w:rPr>
        <w:t xml:space="preserve"> </w:t>
      </w:r>
      <w:r>
        <w:t>addressed</w:t>
      </w:r>
      <w:r>
        <w:rPr>
          <w:spacing w:val="-3"/>
        </w:rPr>
        <w:t xml:space="preserve"> </w:t>
      </w:r>
      <w:r>
        <w:t>all</w:t>
      </w:r>
      <w:r>
        <w:rPr>
          <w:spacing w:val="-3"/>
        </w:rPr>
        <w:t xml:space="preserve"> </w:t>
      </w:r>
      <w:r>
        <w:t>of</w:t>
      </w:r>
      <w:r>
        <w:rPr>
          <w:spacing w:val="-3"/>
        </w:rPr>
        <w:t xml:space="preserve"> </w:t>
      </w:r>
      <w:r>
        <w:t>the</w:t>
      </w:r>
      <w:r>
        <w:rPr>
          <w:spacing w:val="-3"/>
        </w:rPr>
        <w:t xml:space="preserve"> </w:t>
      </w:r>
      <w:r>
        <w:t>information</w:t>
      </w:r>
      <w:r>
        <w:rPr>
          <w:spacing w:val="-3"/>
        </w:rPr>
        <w:t xml:space="preserve"> </w:t>
      </w:r>
      <w:r>
        <w:t>requested.</w:t>
      </w:r>
      <w:r>
        <w:rPr>
          <w:spacing w:val="-3"/>
        </w:rPr>
        <w:t xml:space="preserve"> </w:t>
      </w:r>
      <w:r>
        <w:t>If</w:t>
      </w:r>
      <w:r>
        <w:rPr>
          <w:spacing w:val="-4"/>
        </w:rPr>
        <w:t xml:space="preserve"> </w:t>
      </w:r>
      <w:r>
        <w:t>legal</w:t>
      </w:r>
      <w:r>
        <w:rPr>
          <w:spacing w:val="-3"/>
        </w:rPr>
        <w:t xml:space="preserve"> </w:t>
      </w:r>
      <w:r>
        <w:t>counsel</w:t>
      </w:r>
      <w:r>
        <w:rPr>
          <w:spacing w:val="-3"/>
        </w:rPr>
        <w:t xml:space="preserve"> </w:t>
      </w:r>
      <w:r>
        <w:t>has excluded any of the requested information, the auditor should obtain the needed information from legal counsel. If the auditor is unable to obtain all the</w:t>
      </w:r>
      <w:r>
        <w:rPr>
          <w:spacing w:val="-4"/>
        </w:rPr>
        <w:t xml:space="preserve"> </w:t>
      </w:r>
      <w:r>
        <w:t>needed</w:t>
      </w:r>
      <w:r>
        <w:rPr>
          <w:spacing w:val="-4"/>
        </w:rPr>
        <w:t xml:space="preserve"> </w:t>
      </w:r>
      <w:r>
        <w:t>information,</w:t>
      </w:r>
      <w:r>
        <w:rPr>
          <w:spacing w:val="-4"/>
        </w:rPr>
        <w:t xml:space="preserve"> </w:t>
      </w:r>
      <w:r>
        <w:t>the</w:t>
      </w:r>
      <w:r>
        <w:rPr>
          <w:spacing w:val="-4"/>
        </w:rPr>
        <w:t xml:space="preserve"> </w:t>
      </w:r>
      <w:r>
        <w:t>auditor</w:t>
      </w:r>
      <w:r>
        <w:rPr>
          <w:spacing w:val="-4"/>
        </w:rPr>
        <w:t xml:space="preserve"> </w:t>
      </w:r>
      <w:r>
        <w:t>should</w:t>
      </w:r>
      <w:r>
        <w:rPr>
          <w:spacing w:val="-4"/>
        </w:rPr>
        <w:t xml:space="preserve"> </w:t>
      </w:r>
      <w:r>
        <w:t>evaluate</w:t>
      </w:r>
      <w:r>
        <w:rPr>
          <w:spacing w:val="-4"/>
        </w:rPr>
        <w:t xml:space="preserve"> </w:t>
      </w:r>
      <w:r>
        <w:t>this</w:t>
      </w:r>
      <w:r>
        <w:rPr>
          <w:spacing w:val="-4"/>
        </w:rPr>
        <w:t xml:space="preserve"> </w:t>
      </w:r>
      <w:r>
        <w:t>as</w:t>
      </w:r>
      <w:r>
        <w:rPr>
          <w:spacing w:val="-4"/>
        </w:rPr>
        <w:t xml:space="preserve"> </w:t>
      </w:r>
      <w:r>
        <w:t>a</w:t>
      </w:r>
      <w:r>
        <w:rPr>
          <w:spacing w:val="-5"/>
        </w:rPr>
        <w:t xml:space="preserve"> </w:t>
      </w:r>
      <w:r>
        <w:t>scope</w:t>
      </w:r>
      <w:r>
        <w:rPr>
          <w:spacing w:val="-4"/>
        </w:rPr>
        <w:t xml:space="preserve"> </w:t>
      </w:r>
      <w:r>
        <w:t>limitation that could be sufficient to preclude an unmodified opinion.</w:t>
      </w:r>
    </w:p>
    <w:p w14:paraId="0DFDC8CB" w14:textId="77777777" w:rsidR="00046465" w:rsidRDefault="008134EB">
      <w:pPr>
        <w:pStyle w:val="ListParagraph"/>
        <w:numPr>
          <w:ilvl w:val="1"/>
          <w:numId w:val="63"/>
        </w:numPr>
        <w:tabs>
          <w:tab w:val="left" w:pos="2160"/>
        </w:tabs>
        <w:spacing w:before="121"/>
        <w:ind w:right="890"/>
      </w:pPr>
      <w:r>
        <w:t>Legal counsel indicates that certain information is being withheld due to attorney-client privilege. Under the ABA Model Rules of Professional Conduct, legal counsel is required to preserve the confidences of the client. Legal</w:t>
      </w:r>
      <w:r>
        <w:rPr>
          <w:spacing w:val="-4"/>
        </w:rPr>
        <w:t xml:space="preserve"> </w:t>
      </w:r>
      <w:r>
        <w:t>counsel</w:t>
      </w:r>
      <w:r>
        <w:rPr>
          <w:spacing w:val="-4"/>
        </w:rPr>
        <w:t xml:space="preserve"> </w:t>
      </w:r>
      <w:r>
        <w:t>may</w:t>
      </w:r>
      <w:r>
        <w:rPr>
          <w:spacing w:val="-4"/>
        </w:rPr>
        <w:t xml:space="preserve"> </w:t>
      </w:r>
      <w:r>
        <w:t>disclose</w:t>
      </w:r>
      <w:r>
        <w:rPr>
          <w:spacing w:val="-4"/>
        </w:rPr>
        <w:t xml:space="preserve"> </w:t>
      </w:r>
      <w:r>
        <w:t>confidences</w:t>
      </w:r>
      <w:r>
        <w:rPr>
          <w:spacing w:val="-4"/>
        </w:rPr>
        <w:t xml:space="preserve"> </w:t>
      </w:r>
      <w:r>
        <w:t>to</w:t>
      </w:r>
      <w:r>
        <w:rPr>
          <w:spacing w:val="-4"/>
        </w:rPr>
        <w:t xml:space="preserve"> </w:t>
      </w:r>
      <w:r>
        <w:t>the</w:t>
      </w:r>
      <w:r>
        <w:rPr>
          <w:spacing w:val="-5"/>
        </w:rPr>
        <w:t xml:space="preserve"> </w:t>
      </w:r>
      <w:r>
        <w:t>auditor</w:t>
      </w:r>
      <w:r>
        <w:rPr>
          <w:spacing w:val="-4"/>
        </w:rPr>
        <w:t xml:space="preserve"> </w:t>
      </w:r>
      <w:r>
        <w:t>only</w:t>
      </w:r>
      <w:r>
        <w:rPr>
          <w:spacing w:val="-5"/>
        </w:rPr>
        <w:t xml:space="preserve"> </w:t>
      </w:r>
      <w:r>
        <w:t>with</w:t>
      </w:r>
      <w:r>
        <w:rPr>
          <w:spacing w:val="-4"/>
        </w:rPr>
        <w:t xml:space="preserve"> </w:t>
      </w:r>
      <w:r>
        <w:t>the</w:t>
      </w:r>
      <w:r>
        <w:rPr>
          <w:spacing w:val="-4"/>
        </w:rPr>
        <w:t xml:space="preserve"> </w:t>
      </w:r>
      <w:r>
        <w:t>consent of the client. If the legal counsel request is prepared in accordance with</w:t>
      </w:r>
    </w:p>
    <w:p w14:paraId="0DFDC8CC" w14:textId="77777777" w:rsidR="00046465" w:rsidRDefault="008134EB">
      <w:pPr>
        <w:pStyle w:val="BodyText"/>
        <w:ind w:left="2160" w:right="749" w:hanging="1"/>
      </w:pPr>
      <w:r>
        <w:t xml:space="preserve">AU-C 501, </w:t>
      </w:r>
      <w:r>
        <w:rPr>
          <w:i/>
        </w:rPr>
        <w:t>Audit Evidence</w:t>
      </w:r>
      <w:r>
        <w:rPr>
          <w:rFonts w:ascii="Times New Roman" w:hAnsi="Times New Roman"/>
        </w:rPr>
        <w:t>—</w:t>
      </w:r>
      <w:r>
        <w:rPr>
          <w:i/>
        </w:rPr>
        <w:t xml:space="preserve">Specific Considerations for Selected Items, </w:t>
      </w:r>
      <w:r>
        <w:t>the auditor</w:t>
      </w:r>
      <w:r>
        <w:rPr>
          <w:spacing w:val="-4"/>
        </w:rPr>
        <w:t xml:space="preserve"> </w:t>
      </w:r>
      <w:r>
        <w:t>should</w:t>
      </w:r>
      <w:r>
        <w:rPr>
          <w:spacing w:val="-4"/>
        </w:rPr>
        <w:t xml:space="preserve"> </w:t>
      </w:r>
      <w:r>
        <w:t>expect</w:t>
      </w:r>
      <w:r>
        <w:rPr>
          <w:spacing w:val="-4"/>
        </w:rPr>
        <w:t xml:space="preserve"> </w:t>
      </w:r>
      <w:r>
        <w:t>that</w:t>
      </w:r>
      <w:r>
        <w:rPr>
          <w:spacing w:val="-4"/>
        </w:rPr>
        <w:t xml:space="preserve"> </w:t>
      </w:r>
      <w:r>
        <w:t>legal</w:t>
      </w:r>
      <w:r>
        <w:rPr>
          <w:spacing w:val="-4"/>
        </w:rPr>
        <w:t xml:space="preserve"> </w:t>
      </w:r>
      <w:r>
        <w:t>counsel</w:t>
      </w:r>
      <w:r>
        <w:rPr>
          <w:spacing w:val="-4"/>
        </w:rPr>
        <w:t xml:space="preserve"> </w:t>
      </w:r>
      <w:r>
        <w:t>will</w:t>
      </w:r>
      <w:r>
        <w:rPr>
          <w:spacing w:val="-4"/>
        </w:rPr>
        <w:t xml:space="preserve"> </w:t>
      </w:r>
      <w:r>
        <w:t>respond;</w:t>
      </w:r>
      <w:r>
        <w:rPr>
          <w:spacing w:val="-4"/>
        </w:rPr>
        <w:t xml:space="preserve"> </w:t>
      </w:r>
      <w:r>
        <w:t>otherwise,</w:t>
      </w:r>
      <w:r>
        <w:rPr>
          <w:spacing w:val="-3"/>
        </w:rPr>
        <w:t xml:space="preserve"> </w:t>
      </w:r>
      <w:r>
        <w:t>the</w:t>
      </w:r>
      <w:r>
        <w:rPr>
          <w:spacing w:val="-4"/>
        </w:rPr>
        <w:t xml:space="preserve"> </w:t>
      </w:r>
      <w:r>
        <w:t>scope</w:t>
      </w:r>
      <w:r>
        <w:rPr>
          <w:spacing w:val="-4"/>
        </w:rPr>
        <w:t xml:space="preserve"> </w:t>
      </w:r>
      <w:r>
        <w:t>of the</w:t>
      </w:r>
      <w:r>
        <w:rPr>
          <w:spacing w:val="-3"/>
        </w:rPr>
        <w:t xml:space="preserve"> </w:t>
      </w:r>
      <w:r>
        <w:t>audit</w:t>
      </w:r>
      <w:r>
        <w:rPr>
          <w:spacing w:val="-3"/>
        </w:rPr>
        <w:t xml:space="preserve"> </w:t>
      </w:r>
      <w:r>
        <w:t>would</w:t>
      </w:r>
      <w:r>
        <w:rPr>
          <w:spacing w:val="-3"/>
        </w:rPr>
        <w:t xml:space="preserve"> </w:t>
      </w:r>
      <w:r>
        <w:t>be</w:t>
      </w:r>
      <w:r>
        <w:rPr>
          <w:spacing w:val="-3"/>
        </w:rPr>
        <w:t xml:space="preserve"> </w:t>
      </w:r>
      <w:r>
        <w:t>restricted.</w:t>
      </w:r>
      <w:r>
        <w:rPr>
          <w:spacing w:val="-3"/>
        </w:rPr>
        <w:t xml:space="preserve"> </w:t>
      </w:r>
      <w:r>
        <w:t>On</w:t>
      </w:r>
      <w:r>
        <w:rPr>
          <w:spacing w:val="-3"/>
        </w:rPr>
        <w:t xml:space="preserve"> </w:t>
      </w:r>
      <w:r>
        <w:t>the</w:t>
      </w:r>
      <w:r>
        <w:rPr>
          <w:spacing w:val="-3"/>
        </w:rPr>
        <w:t xml:space="preserve"> </w:t>
      </w:r>
      <w:r>
        <w:t>other</w:t>
      </w:r>
      <w:r>
        <w:rPr>
          <w:spacing w:val="-3"/>
        </w:rPr>
        <w:t xml:space="preserve"> </w:t>
      </w:r>
      <w:r>
        <w:t>hand,</w:t>
      </w:r>
      <w:r>
        <w:rPr>
          <w:spacing w:val="-4"/>
        </w:rPr>
        <w:t xml:space="preserve"> </w:t>
      </w:r>
      <w:r>
        <w:t>explanatory</w:t>
      </w:r>
      <w:r>
        <w:rPr>
          <w:spacing w:val="-4"/>
        </w:rPr>
        <w:t xml:space="preserve"> </w:t>
      </w:r>
      <w:r>
        <w:t>language</w:t>
      </w:r>
      <w:r>
        <w:rPr>
          <w:spacing w:val="-3"/>
        </w:rPr>
        <w:t xml:space="preserve"> </w:t>
      </w:r>
      <w:r>
        <w:t>in</w:t>
      </w:r>
      <w:r>
        <w:rPr>
          <w:spacing w:val="-4"/>
        </w:rPr>
        <w:t xml:space="preserve"> </w:t>
      </w:r>
      <w:r>
        <w:t xml:space="preserve">the legal counsel request or legal counsel response emphasizing that management or legal counsel does not intend to waive attorney-client privilege or attorney work-product privilege does not result in a scope </w:t>
      </w:r>
      <w:r>
        <w:rPr>
          <w:spacing w:val="-2"/>
        </w:rPr>
        <w:t>limitation.</w:t>
      </w:r>
    </w:p>
    <w:p w14:paraId="0DFDC8CD" w14:textId="77777777" w:rsidR="00046465" w:rsidRDefault="008134EB">
      <w:pPr>
        <w:pStyle w:val="Heading5"/>
        <w:rPr>
          <w:u w:val="none"/>
        </w:rPr>
      </w:pPr>
      <w:bookmarkStart w:id="394" w:name="Review_of_Management_Schedule"/>
      <w:bookmarkEnd w:id="394"/>
      <w:r>
        <w:t>Review</w:t>
      </w:r>
      <w:r>
        <w:rPr>
          <w:spacing w:val="-4"/>
        </w:rPr>
        <w:t xml:space="preserve"> </w:t>
      </w:r>
      <w:r>
        <w:t>of</w:t>
      </w:r>
      <w:r>
        <w:rPr>
          <w:spacing w:val="-4"/>
        </w:rPr>
        <w:t xml:space="preserve"> </w:t>
      </w:r>
      <w:r>
        <w:t>Management</w:t>
      </w:r>
      <w:r>
        <w:rPr>
          <w:spacing w:val="-3"/>
        </w:rPr>
        <w:t xml:space="preserve"> </w:t>
      </w:r>
      <w:r>
        <w:rPr>
          <w:spacing w:val="-2"/>
        </w:rPr>
        <w:t>Schedule</w:t>
      </w:r>
    </w:p>
    <w:p w14:paraId="0DFDC8CE" w14:textId="77777777" w:rsidR="00046465" w:rsidRDefault="008134EB">
      <w:pPr>
        <w:pStyle w:val="ListParagraph"/>
        <w:numPr>
          <w:ilvl w:val="0"/>
          <w:numId w:val="63"/>
        </w:numPr>
        <w:tabs>
          <w:tab w:val="left" w:pos="1800"/>
        </w:tabs>
        <w:spacing w:before="118"/>
        <w:ind w:right="1020"/>
      </w:pPr>
      <w:r>
        <w:t>OMB audit guidance requires entities to prepare a management schedule documenting</w:t>
      </w:r>
      <w:r>
        <w:rPr>
          <w:spacing w:val="-4"/>
        </w:rPr>
        <w:t xml:space="preserve"> </w:t>
      </w:r>
      <w:r>
        <w:t>how</w:t>
      </w:r>
      <w:r>
        <w:rPr>
          <w:spacing w:val="-5"/>
        </w:rPr>
        <w:t xml:space="preserve"> </w:t>
      </w:r>
      <w:r>
        <w:t>the</w:t>
      </w:r>
      <w:r>
        <w:rPr>
          <w:spacing w:val="-4"/>
        </w:rPr>
        <w:t xml:space="preserve"> </w:t>
      </w:r>
      <w:r>
        <w:t>information</w:t>
      </w:r>
      <w:r>
        <w:rPr>
          <w:spacing w:val="-4"/>
        </w:rPr>
        <w:t xml:space="preserve"> </w:t>
      </w:r>
      <w:r>
        <w:t>contained</w:t>
      </w:r>
      <w:r>
        <w:rPr>
          <w:spacing w:val="-4"/>
        </w:rPr>
        <w:t xml:space="preserve"> </w:t>
      </w:r>
      <w:r>
        <w:t>in</w:t>
      </w:r>
      <w:r>
        <w:rPr>
          <w:spacing w:val="-4"/>
        </w:rPr>
        <w:t xml:space="preserve"> </w:t>
      </w:r>
      <w:r>
        <w:t>the</w:t>
      </w:r>
      <w:r>
        <w:rPr>
          <w:spacing w:val="-4"/>
        </w:rPr>
        <w:t xml:space="preserve"> </w:t>
      </w:r>
      <w:r>
        <w:t>legal</w:t>
      </w:r>
      <w:r>
        <w:rPr>
          <w:spacing w:val="-4"/>
        </w:rPr>
        <w:t xml:space="preserve"> </w:t>
      </w:r>
      <w:r>
        <w:t>counsel</w:t>
      </w:r>
      <w:r>
        <w:rPr>
          <w:spacing w:val="-4"/>
        </w:rPr>
        <w:t xml:space="preserve"> </w:t>
      </w:r>
      <w:r>
        <w:t>response</w:t>
      </w:r>
      <w:r>
        <w:rPr>
          <w:spacing w:val="-4"/>
        </w:rPr>
        <w:t xml:space="preserve"> </w:t>
      </w:r>
      <w:r>
        <w:t>was</w:t>
      </w:r>
    </w:p>
    <w:p w14:paraId="0DFDC8CF" w14:textId="77777777" w:rsidR="00046465" w:rsidRDefault="00046465">
      <w:pPr>
        <w:pStyle w:val="ListParagraph"/>
        <w:sectPr w:rsidR="00046465">
          <w:pgSz w:w="12240" w:h="15840"/>
          <w:pgMar w:top="1340" w:right="720" w:bottom="1000" w:left="1080" w:header="721" w:footer="757" w:gutter="0"/>
          <w:cols w:space="720"/>
        </w:sectPr>
      </w:pPr>
    </w:p>
    <w:p w14:paraId="0DFDC8D0" w14:textId="77777777" w:rsidR="00046465" w:rsidRDefault="008134EB">
      <w:pPr>
        <w:pStyle w:val="BodyText"/>
        <w:spacing w:before="121"/>
        <w:ind w:left="1800" w:right="726"/>
      </w:pPr>
      <w:r>
        <w:lastRenderedPageBreak/>
        <w:t>considered in preparing the financial statements (see FAM 1002.08). The auditor should verify that management prepared this schedule. In particular, the auditor should determine whether management has concluded on the likelihood of loss for</w:t>
      </w:r>
      <w:r>
        <w:rPr>
          <w:spacing w:val="-1"/>
        </w:rPr>
        <w:t xml:space="preserve"> </w:t>
      </w:r>
      <w:r>
        <w:t>each</w:t>
      </w:r>
      <w:r>
        <w:rPr>
          <w:spacing w:val="-1"/>
        </w:rPr>
        <w:t xml:space="preserve"> </w:t>
      </w:r>
      <w:r>
        <w:t>case,</w:t>
      </w:r>
      <w:r>
        <w:rPr>
          <w:spacing w:val="-1"/>
        </w:rPr>
        <w:t xml:space="preserve"> </w:t>
      </w:r>
      <w:r>
        <w:t>in</w:t>
      </w:r>
      <w:r>
        <w:rPr>
          <w:spacing w:val="-1"/>
        </w:rPr>
        <w:t xml:space="preserve"> </w:t>
      </w:r>
      <w:r>
        <w:t>order</w:t>
      </w:r>
      <w:r>
        <w:rPr>
          <w:spacing w:val="-1"/>
        </w:rPr>
        <w:t xml:space="preserve"> </w:t>
      </w:r>
      <w:r>
        <w:t>to</w:t>
      </w:r>
      <w:r>
        <w:rPr>
          <w:spacing w:val="-1"/>
        </w:rPr>
        <w:t xml:space="preserve"> </w:t>
      </w:r>
      <w:r>
        <w:t>determine</w:t>
      </w:r>
      <w:r>
        <w:rPr>
          <w:spacing w:val="-1"/>
        </w:rPr>
        <w:t xml:space="preserve"> </w:t>
      </w:r>
      <w:r>
        <w:t>whether</w:t>
      </w:r>
      <w:r>
        <w:rPr>
          <w:spacing w:val="-1"/>
        </w:rPr>
        <w:t xml:space="preserve"> </w:t>
      </w:r>
      <w:r>
        <w:t>(a)</w:t>
      </w:r>
      <w:r>
        <w:rPr>
          <w:spacing w:val="-1"/>
        </w:rPr>
        <w:t xml:space="preserve"> </w:t>
      </w:r>
      <w:r>
        <w:t>an</w:t>
      </w:r>
      <w:r>
        <w:rPr>
          <w:spacing w:val="-1"/>
        </w:rPr>
        <w:t xml:space="preserve"> </w:t>
      </w:r>
      <w:r>
        <w:t>amount</w:t>
      </w:r>
      <w:r>
        <w:rPr>
          <w:spacing w:val="-1"/>
        </w:rPr>
        <w:t xml:space="preserve"> </w:t>
      </w:r>
      <w:r>
        <w:t>should</w:t>
      </w:r>
      <w:r>
        <w:rPr>
          <w:spacing w:val="-1"/>
        </w:rPr>
        <w:t xml:space="preserve"> </w:t>
      </w:r>
      <w:r>
        <w:t>be</w:t>
      </w:r>
      <w:r>
        <w:rPr>
          <w:spacing w:val="-1"/>
        </w:rPr>
        <w:t xml:space="preserve"> </w:t>
      </w:r>
      <w:r>
        <w:t>reported in the financial statements, (b) a note disclosure is necessary, or (c) both. Although most of the information in the management schedule comes directly from the legal counsel response, the auditor should determine whether management has accurately summarized the amounts in the management schedule so that the disposition of each case can be properly reflected in the financial statements. If there</w:t>
      </w:r>
      <w:r>
        <w:rPr>
          <w:spacing w:val="-5"/>
        </w:rPr>
        <w:t xml:space="preserve"> </w:t>
      </w:r>
      <w:r>
        <w:t>are</w:t>
      </w:r>
      <w:r>
        <w:rPr>
          <w:spacing w:val="-5"/>
        </w:rPr>
        <w:t xml:space="preserve"> </w:t>
      </w:r>
      <w:r>
        <w:t>differences</w:t>
      </w:r>
      <w:r>
        <w:rPr>
          <w:spacing w:val="-5"/>
        </w:rPr>
        <w:t xml:space="preserve"> </w:t>
      </w:r>
      <w:r>
        <w:t>between</w:t>
      </w:r>
      <w:r>
        <w:rPr>
          <w:spacing w:val="-5"/>
        </w:rPr>
        <w:t xml:space="preserve"> </w:t>
      </w:r>
      <w:r>
        <w:t>management’s</w:t>
      </w:r>
      <w:r>
        <w:rPr>
          <w:spacing w:val="-5"/>
        </w:rPr>
        <w:t xml:space="preserve"> </w:t>
      </w:r>
      <w:r>
        <w:t>and</w:t>
      </w:r>
      <w:r>
        <w:rPr>
          <w:spacing w:val="-5"/>
        </w:rPr>
        <w:t xml:space="preserve"> </w:t>
      </w:r>
      <w:r>
        <w:t>legal</w:t>
      </w:r>
      <w:r>
        <w:rPr>
          <w:spacing w:val="-5"/>
        </w:rPr>
        <w:t xml:space="preserve"> </w:t>
      </w:r>
      <w:r>
        <w:t>counsel’s</w:t>
      </w:r>
      <w:r>
        <w:rPr>
          <w:spacing w:val="-5"/>
        </w:rPr>
        <w:t xml:space="preserve"> </w:t>
      </w:r>
      <w:r>
        <w:t>determinations, the auditor should obtain sufficient appropriate evidence to support the reasons for the differences.</w:t>
      </w:r>
    </w:p>
    <w:p w14:paraId="0DFDC8D1" w14:textId="77777777" w:rsidR="00046465" w:rsidRDefault="008134EB">
      <w:pPr>
        <w:pStyle w:val="Heading5"/>
        <w:rPr>
          <w:u w:val="none"/>
        </w:rPr>
      </w:pPr>
      <w:bookmarkStart w:id="395" w:name="Timing_of_Legal_Counsel_Requests_and_Res"/>
      <w:bookmarkEnd w:id="395"/>
      <w:r>
        <w:t>Timing</w:t>
      </w:r>
      <w:r>
        <w:rPr>
          <w:spacing w:val="-3"/>
        </w:rPr>
        <w:t xml:space="preserve"> </w:t>
      </w:r>
      <w:r>
        <w:t>of</w:t>
      </w:r>
      <w:r>
        <w:rPr>
          <w:spacing w:val="-5"/>
        </w:rPr>
        <w:t xml:space="preserve"> </w:t>
      </w:r>
      <w:r>
        <w:t>Legal</w:t>
      </w:r>
      <w:r>
        <w:rPr>
          <w:spacing w:val="-2"/>
        </w:rPr>
        <w:t xml:space="preserve"> </w:t>
      </w:r>
      <w:r>
        <w:t>Counsel</w:t>
      </w:r>
      <w:r>
        <w:rPr>
          <w:spacing w:val="-3"/>
        </w:rPr>
        <w:t xml:space="preserve"> </w:t>
      </w:r>
      <w:r>
        <w:t>Requests</w:t>
      </w:r>
      <w:r>
        <w:rPr>
          <w:spacing w:val="-3"/>
        </w:rPr>
        <w:t xml:space="preserve"> </w:t>
      </w:r>
      <w:r>
        <w:t>and</w:t>
      </w:r>
      <w:r>
        <w:rPr>
          <w:spacing w:val="-2"/>
        </w:rPr>
        <w:t xml:space="preserve"> Responses</w:t>
      </w:r>
    </w:p>
    <w:p w14:paraId="0DFDC8D2" w14:textId="77777777" w:rsidR="00046465" w:rsidRDefault="008134EB">
      <w:pPr>
        <w:pStyle w:val="ListParagraph"/>
        <w:numPr>
          <w:ilvl w:val="0"/>
          <w:numId w:val="63"/>
        </w:numPr>
        <w:tabs>
          <w:tab w:val="left" w:pos="1800"/>
        </w:tabs>
        <w:spacing w:before="119"/>
        <w:ind w:right="751"/>
      </w:pPr>
      <w:r>
        <w:t>Based on AU-C 501.A54, it is preferable that the legal counsel response be as close to the date of the auditor’s report as practicable in the circumstances, and the auditor may specify the effective date of the response to reasonably approximate the date of the auditor’s report to avoid the need to obtain updated information from legal counsel. Based on AU-C 501.A55, the auditor may also specify the earliest acceptable effective date of the legal counsel response and the latest date by which it is to be sent to the auditor. If the effective date of the legal</w:t>
      </w:r>
      <w:r>
        <w:rPr>
          <w:spacing w:val="-4"/>
        </w:rPr>
        <w:t xml:space="preserve"> </w:t>
      </w:r>
      <w:r>
        <w:t>counsel</w:t>
      </w:r>
      <w:r>
        <w:rPr>
          <w:spacing w:val="-4"/>
        </w:rPr>
        <w:t xml:space="preserve"> </w:t>
      </w:r>
      <w:r>
        <w:t>response</w:t>
      </w:r>
      <w:r>
        <w:rPr>
          <w:spacing w:val="-5"/>
        </w:rPr>
        <w:t xml:space="preserve"> </w:t>
      </w:r>
      <w:r>
        <w:t>is</w:t>
      </w:r>
      <w:r>
        <w:rPr>
          <w:spacing w:val="-4"/>
        </w:rPr>
        <w:t xml:space="preserve"> </w:t>
      </w:r>
      <w:r>
        <w:t>substantially</w:t>
      </w:r>
      <w:r>
        <w:rPr>
          <w:spacing w:val="-4"/>
        </w:rPr>
        <w:t xml:space="preserve"> </w:t>
      </w:r>
      <w:r>
        <w:t>in</w:t>
      </w:r>
      <w:r>
        <w:rPr>
          <w:spacing w:val="-4"/>
        </w:rPr>
        <w:t xml:space="preserve"> </w:t>
      </w:r>
      <w:r>
        <w:t>advance</w:t>
      </w:r>
      <w:r>
        <w:rPr>
          <w:spacing w:val="-4"/>
        </w:rPr>
        <w:t xml:space="preserve"> </w:t>
      </w:r>
      <w:r>
        <w:t>of</w:t>
      </w:r>
      <w:r>
        <w:rPr>
          <w:spacing w:val="-4"/>
        </w:rPr>
        <w:t xml:space="preserve"> </w:t>
      </w:r>
      <w:r>
        <w:t>the</w:t>
      </w:r>
      <w:r>
        <w:rPr>
          <w:spacing w:val="-4"/>
        </w:rPr>
        <w:t xml:space="preserve"> </w:t>
      </w:r>
      <w:r>
        <w:t>auditor’s</w:t>
      </w:r>
      <w:r>
        <w:rPr>
          <w:spacing w:val="-4"/>
        </w:rPr>
        <w:t xml:space="preserve"> </w:t>
      </w:r>
      <w:r>
        <w:t>report</w:t>
      </w:r>
      <w:r>
        <w:rPr>
          <w:spacing w:val="-5"/>
        </w:rPr>
        <w:t xml:space="preserve"> </w:t>
      </w:r>
      <w:r>
        <w:t>date</w:t>
      </w:r>
      <w:r>
        <w:rPr>
          <w:spacing w:val="-4"/>
        </w:rPr>
        <w:t xml:space="preserve"> </w:t>
      </w:r>
      <w:r>
        <w:t>(for example, earlier than 2 weeks before this date), the auditor should obtain an updated legal counsel response on legal counsel letterhead.</w:t>
      </w:r>
    </w:p>
    <w:p w14:paraId="0DFDC8D3" w14:textId="77777777" w:rsidR="00046465" w:rsidRDefault="008134EB">
      <w:pPr>
        <w:pStyle w:val="ListParagraph"/>
        <w:numPr>
          <w:ilvl w:val="0"/>
          <w:numId w:val="63"/>
        </w:numPr>
        <w:tabs>
          <w:tab w:val="left" w:pos="1800"/>
        </w:tabs>
        <w:ind w:right="815"/>
        <w:rPr>
          <w:position w:val="7"/>
          <w:sz w:val="14"/>
        </w:rPr>
      </w:pPr>
      <w:r>
        <w:t>To</w:t>
      </w:r>
      <w:r>
        <w:rPr>
          <w:spacing w:val="-3"/>
        </w:rPr>
        <w:t xml:space="preserve"> </w:t>
      </w:r>
      <w:r>
        <w:t>assist</w:t>
      </w:r>
      <w:r>
        <w:rPr>
          <w:spacing w:val="-3"/>
        </w:rPr>
        <w:t xml:space="preserve"> </w:t>
      </w:r>
      <w:r>
        <w:t>the</w:t>
      </w:r>
      <w:r>
        <w:rPr>
          <w:spacing w:val="-3"/>
        </w:rPr>
        <w:t xml:space="preserve"> </w:t>
      </w:r>
      <w:r>
        <w:t>auditor</w:t>
      </w:r>
      <w:r>
        <w:rPr>
          <w:spacing w:val="-3"/>
        </w:rPr>
        <w:t xml:space="preserve"> </w:t>
      </w:r>
      <w:r>
        <w:t>in</w:t>
      </w:r>
      <w:r>
        <w:rPr>
          <w:spacing w:val="-4"/>
        </w:rPr>
        <w:t xml:space="preserve"> </w:t>
      </w:r>
      <w:r>
        <w:t>completing</w:t>
      </w:r>
      <w:r>
        <w:rPr>
          <w:spacing w:val="-3"/>
        </w:rPr>
        <w:t xml:space="preserve"> </w:t>
      </w:r>
      <w:r>
        <w:t>the</w:t>
      </w:r>
      <w:r>
        <w:rPr>
          <w:spacing w:val="-3"/>
        </w:rPr>
        <w:t xml:space="preserve"> </w:t>
      </w:r>
      <w:r>
        <w:t>review</w:t>
      </w:r>
      <w:r>
        <w:rPr>
          <w:spacing w:val="-4"/>
        </w:rPr>
        <w:t xml:space="preserve"> </w:t>
      </w:r>
      <w:r>
        <w:t>of</w:t>
      </w:r>
      <w:r>
        <w:rPr>
          <w:spacing w:val="-4"/>
        </w:rPr>
        <w:t xml:space="preserve"> </w:t>
      </w:r>
      <w:r>
        <w:t>legal</w:t>
      </w:r>
      <w:r>
        <w:rPr>
          <w:spacing w:val="-3"/>
        </w:rPr>
        <w:t xml:space="preserve"> </w:t>
      </w:r>
      <w:r>
        <w:t>matters</w:t>
      </w:r>
      <w:r>
        <w:rPr>
          <w:spacing w:val="-3"/>
        </w:rPr>
        <w:t xml:space="preserve"> </w:t>
      </w:r>
      <w:r>
        <w:t>in</w:t>
      </w:r>
      <w:r>
        <w:rPr>
          <w:spacing w:val="-3"/>
        </w:rPr>
        <w:t xml:space="preserve"> </w:t>
      </w:r>
      <w:r>
        <w:t>a</w:t>
      </w:r>
      <w:r>
        <w:rPr>
          <w:spacing w:val="-3"/>
        </w:rPr>
        <w:t xml:space="preserve"> </w:t>
      </w:r>
      <w:r>
        <w:t>timely</w:t>
      </w:r>
      <w:r>
        <w:rPr>
          <w:spacing w:val="-4"/>
        </w:rPr>
        <w:t xml:space="preserve"> </w:t>
      </w:r>
      <w:r>
        <w:t xml:space="preserve">manner (and to assist management in preparing the financial statements), the auditor may ask management to request that legal counsel submit a preliminary or interim response covering matters that existed at an interim date so that a preliminary evaluation of the significance of material legal matters can be made. This is particularly applicable to large entities with numerous and complex </w:t>
      </w:r>
      <w:r>
        <w:rPr>
          <w:spacing w:val="-2"/>
        </w:rPr>
        <w:t>cases.</w:t>
      </w:r>
      <w:hyperlink w:anchor="_bookmark222" w:history="1">
        <w:r>
          <w:rPr>
            <w:spacing w:val="-2"/>
            <w:position w:val="7"/>
            <w:sz w:val="14"/>
          </w:rPr>
          <w:t>13</w:t>
        </w:r>
      </w:hyperlink>
    </w:p>
    <w:p w14:paraId="0DFDC8D4" w14:textId="77777777" w:rsidR="00046465" w:rsidRDefault="008134EB">
      <w:pPr>
        <w:pStyle w:val="BodyText"/>
        <w:spacing w:before="119"/>
        <w:ind w:left="1800" w:right="773"/>
      </w:pPr>
      <w:r>
        <w:t>If an interim response is used, the auditor should ask management to request that legal counsel submit a final or updated response covering matters from the interim date through a date as close to the auditor’s report date as practicable in the circumstances. Management should request that the updated response contain only changes and any new matters or a statement indicating that there are</w:t>
      </w:r>
      <w:r>
        <w:rPr>
          <w:spacing w:val="-3"/>
        </w:rPr>
        <w:t xml:space="preserve"> </w:t>
      </w:r>
      <w:r>
        <w:t>no</w:t>
      </w:r>
      <w:r>
        <w:rPr>
          <w:spacing w:val="-3"/>
        </w:rPr>
        <w:t xml:space="preserve"> </w:t>
      </w:r>
      <w:r>
        <w:t>changes</w:t>
      </w:r>
      <w:r>
        <w:rPr>
          <w:spacing w:val="-3"/>
        </w:rPr>
        <w:t xml:space="preserve"> </w:t>
      </w:r>
      <w:r>
        <w:t>or</w:t>
      </w:r>
      <w:r>
        <w:rPr>
          <w:spacing w:val="-3"/>
        </w:rPr>
        <w:t xml:space="preserve"> </w:t>
      </w:r>
      <w:r>
        <w:t>new</w:t>
      </w:r>
      <w:r>
        <w:rPr>
          <w:spacing w:val="-4"/>
        </w:rPr>
        <w:t xml:space="preserve"> </w:t>
      </w:r>
      <w:r>
        <w:t>matters</w:t>
      </w:r>
      <w:r>
        <w:rPr>
          <w:spacing w:val="-3"/>
        </w:rPr>
        <w:t xml:space="preserve"> </w:t>
      </w:r>
      <w:r>
        <w:t>from</w:t>
      </w:r>
      <w:r>
        <w:rPr>
          <w:spacing w:val="-4"/>
        </w:rPr>
        <w:t xml:space="preserve"> </w:t>
      </w:r>
      <w:r>
        <w:t>the</w:t>
      </w:r>
      <w:r>
        <w:rPr>
          <w:spacing w:val="-3"/>
        </w:rPr>
        <w:t xml:space="preserve"> </w:t>
      </w:r>
      <w:r>
        <w:t>interim</w:t>
      </w:r>
      <w:r>
        <w:rPr>
          <w:spacing w:val="-4"/>
        </w:rPr>
        <w:t xml:space="preserve"> </w:t>
      </w:r>
      <w:r>
        <w:t>response</w:t>
      </w:r>
      <w:r>
        <w:rPr>
          <w:spacing w:val="-3"/>
        </w:rPr>
        <w:t xml:space="preserve"> </w:t>
      </w:r>
      <w:r>
        <w:t>through</w:t>
      </w:r>
      <w:r>
        <w:rPr>
          <w:spacing w:val="-3"/>
        </w:rPr>
        <w:t xml:space="preserve"> </w:t>
      </w:r>
      <w:r>
        <w:t>the</w:t>
      </w:r>
      <w:r>
        <w:rPr>
          <w:spacing w:val="-4"/>
        </w:rPr>
        <w:t xml:space="preserve"> </w:t>
      </w:r>
      <w:r>
        <w:t>date</w:t>
      </w:r>
      <w:r>
        <w:rPr>
          <w:spacing w:val="-3"/>
        </w:rPr>
        <w:t xml:space="preserve"> </w:t>
      </w:r>
      <w:r>
        <w:t>of</w:t>
      </w:r>
      <w:r>
        <w:rPr>
          <w:spacing w:val="-3"/>
        </w:rPr>
        <w:t xml:space="preserve"> </w:t>
      </w:r>
      <w:r>
        <w:t>the updated response. See FAM 1002 B for an example legal counsel request that includes requests for interim and updated responses from legal counsel.</w:t>
      </w:r>
    </w:p>
    <w:p w14:paraId="0DFDC8D5" w14:textId="77777777" w:rsidR="00046465" w:rsidRDefault="008134EB">
      <w:pPr>
        <w:pStyle w:val="ListParagraph"/>
        <w:numPr>
          <w:ilvl w:val="0"/>
          <w:numId w:val="63"/>
        </w:numPr>
        <w:tabs>
          <w:tab w:val="left" w:pos="1800"/>
        </w:tabs>
        <w:spacing w:before="121"/>
        <w:ind w:right="787"/>
      </w:pPr>
      <w:r>
        <w:t>The auditor may determine that it is appropriate to make inquiries of legal counsel</w:t>
      </w:r>
      <w:r>
        <w:rPr>
          <w:spacing w:val="-4"/>
        </w:rPr>
        <w:t xml:space="preserve"> </w:t>
      </w:r>
      <w:r>
        <w:t>and</w:t>
      </w:r>
      <w:r>
        <w:rPr>
          <w:spacing w:val="-5"/>
        </w:rPr>
        <w:t xml:space="preserve"> </w:t>
      </w:r>
      <w:r>
        <w:t>document</w:t>
      </w:r>
      <w:r>
        <w:rPr>
          <w:spacing w:val="-4"/>
        </w:rPr>
        <w:t xml:space="preserve"> </w:t>
      </w:r>
      <w:r>
        <w:t>whether</w:t>
      </w:r>
      <w:r>
        <w:rPr>
          <w:spacing w:val="-4"/>
        </w:rPr>
        <w:t xml:space="preserve"> </w:t>
      </w:r>
      <w:r>
        <w:t>material</w:t>
      </w:r>
      <w:r>
        <w:rPr>
          <w:spacing w:val="-4"/>
        </w:rPr>
        <w:t xml:space="preserve"> </w:t>
      </w:r>
      <w:r>
        <w:t>changes</w:t>
      </w:r>
      <w:r>
        <w:rPr>
          <w:spacing w:val="-4"/>
        </w:rPr>
        <w:t xml:space="preserve"> </w:t>
      </w:r>
      <w:r>
        <w:t>have</w:t>
      </w:r>
      <w:r>
        <w:rPr>
          <w:spacing w:val="-4"/>
        </w:rPr>
        <w:t xml:space="preserve"> </w:t>
      </w:r>
      <w:r>
        <w:t>occurred</w:t>
      </w:r>
      <w:r>
        <w:rPr>
          <w:spacing w:val="-4"/>
        </w:rPr>
        <w:t xml:space="preserve"> </w:t>
      </w:r>
      <w:r>
        <w:t>from</w:t>
      </w:r>
      <w:r>
        <w:rPr>
          <w:spacing w:val="-5"/>
        </w:rPr>
        <w:t xml:space="preserve"> </w:t>
      </w:r>
      <w:r>
        <w:t>the</w:t>
      </w:r>
      <w:r>
        <w:rPr>
          <w:spacing w:val="-4"/>
        </w:rPr>
        <w:t xml:space="preserve"> </w:t>
      </w:r>
      <w:r>
        <w:t>date</w:t>
      </w:r>
      <w:r>
        <w:rPr>
          <w:spacing w:val="-4"/>
        </w:rPr>
        <w:t xml:space="preserve"> </w:t>
      </w:r>
      <w:r>
        <w:t>of the legal counsel response or updated response to the date of the auditor’s report. However, if the auditor becomes aware of new matters or aware of material</w:t>
      </w:r>
      <w:r>
        <w:rPr>
          <w:spacing w:val="-3"/>
        </w:rPr>
        <w:t xml:space="preserve"> </w:t>
      </w:r>
      <w:r>
        <w:t>changes</w:t>
      </w:r>
      <w:r>
        <w:rPr>
          <w:spacing w:val="-3"/>
        </w:rPr>
        <w:t xml:space="preserve"> </w:t>
      </w:r>
      <w:r>
        <w:t>in</w:t>
      </w:r>
      <w:r>
        <w:rPr>
          <w:spacing w:val="-3"/>
        </w:rPr>
        <w:t xml:space="preserve"> </w:t>
      </w:r>
      <w:r>
        <w:t>the</w:t>
      </w:r>
      <w:r>
        <w:rPr>
          <w:spacing w:val="-4"/>
        </w:rPr>
        <w:t xml:space="preserve"> </w:t>
      </w:r>
      <w:r>
        <w:t>status</w:t>
      </w:r>
      <w:r>
        <w:rPr>
          <w:spacing w:val="-3"/>
        </w:rPr>
        <w:t xml:space="preserve"> </w:t>
      </w:r>
      <w:r>
        <w:t>of</w:t>
      </w:r>
      <w:r>
        <w:rPr>
          <w:spacing w:val="-3"/>
        </w:rPr>
        <w:t xml:space="preserve"> </w:t>
      </w:r>
      <w:r>
        <w:t>existing</w:t>
      </w:r>
      <w:r>
        <w:rPr>
          <w:spacing w:val="-3"/>
        </w:rPr>
        <w:t xml:space="preserve"> </w:t>
      </w:r>
      <w:r>
        <w:t>matters</w:t>
      </w:r>
      <w:r>
        <w:rPr>
          <w:spacing w:val="-3"/>
        </w:rPr>
        <w:t xml:space="preserve"> </w:t>
      </w:r>
      <w:r>
        <w:t>or</w:t>
      </w:r>
      <w:r>
        <w:rPr>
          <w:spacing w:val="-3"/>
        </w:rPr>
        <w:t xml:space="preserve"> </w:t>
      </w:r>
      <w:r>
        <w:t>management’s</w:t>
      </w:r>
      <w:r>
        <w:rPr>
          <w:spacing w:val="-3"/>
        </w:rPr>
        <w:t xml:space="preserve"> </w:t>
      </w:r>
      <w:r>
        <w:t>evaluation</w:t>
      </w:r>
      <w:r>
        <w:rPr>
          <w:spacing w:val="-3"/>
        </w:rPr>
        <w:t xml:space="preserve"> </w:t>
      </w:r>
      <w:r>
        <w:t>of</w:t>
      </w:r>
    </w:p>
    <w:p w14:paraId="0DFDC8D6" w14:textId="77777777" w:rsidR="00046465" w:rsidRDefault="00046465">
      <w:pPr>
        <w:pStyle w:val="BodyText"/>
        <w:rPr>
          <w:sz w:val="20"/>
        </w:rPr>
      </w:pPr>
    </w:p>
    <w:p w14:paraId="0DFDC8D7" w14:textId="77777777" w:rsidR="00046465" w:rsidRDefault="008134EB">
      <w:pPr>
        <w:pStyle w:val="BodyText"/>
        <w:spacing w:before="187"/>
        <w:rPr>
          <w:sz w:val="20"/>
        </w:rPr>
      </w:pPr>
      <w:r>
        <w:rPr>
          <w:noProof/>
          <w:sz w:val="20"/>
        </w:rPr>
        <mc:AlternateContent>
          <mc:Choice Requires="wps">
            <w:drawing>
              <wp:anchor distT="0" distB="0" distL="0" distR="0" simplePos="0" relativeHeight="487737856" behindDoc="1" locked="0" layoutInCell="1" allowOverlap="1" wp14:anchorId="0DFDD75D" wp14:editId="0DFDD75E">
                <wp:simplePos x="0" y="0"/>
                <wp:positionH relativeFrom="page">
                  <wp:posOffset>914400</wp:posOffset>
                </wp:positionH>
                <wp:positionV relativeFrom="paragraph">
                  <wp:posOffset>280635</wp:posOffset>
                </wp:positionV>
                <wp:extent cx="1828800" cy="5715"/>
                <wp:effectExtent l="0" t="0" r="0" b="0"/>
                <wp:wrapTopAndBottom/>
                <wp:docPr id="1110" name="Graphic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C77246" id="Graphic 1110" o:spid="_x0000_s1026" style="position:absolute;margin-left:1in;margin-top:22.1pt;width:2in;height:.45pt;z-index:-15578624;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" path="m1828800,l,,,5333r1828800,l1828800,xe" fillcolor="black" stroked="f">
                <v:path arrowok="t"/>
                <w10:wrap type="topAndBottom" anchorx="page"/>
              </v:shape>
            </w:pict>
          </mc:Fallback>
        </mc:AlternateContent>
      </w:r>
    </w:p>
    <w:p w14:paraId="0DFDC8D8" w14:textId="77777777" w:rsidR="00046465" w:rsidRDefault="008134EB">
      <w:pPr>
        <w:spacing w:before="200" w:line="249" w:lineRule="auto"/>
        <w:ind w:left="359" w:right="726"/>
        <w:rPr>
          <w:sz w:val="18"/>
        </w:rPr>
      </w:pPr>
      <w:bookmarkStart w:id="396" w:name="_bookmark222"/>
      <w:bookmarkEnd w:id="396"/>
      <w:r>
        <w:rPr>
          <w:position w:val="7"/>
          <w:sz w:val="14"/>
        </w:rPr>
        <w:t>13</w:t>
      </w:r>
      <w:r>
        <w:rPr>
          <w:sz w:val="18"/>
        </w:rPr>
        <w:t>The</w:t>
      </w:r>
      <w:r>
        <w:rPr>
          <w:spacing w:val="-4"/>
          <w:sz w:val="18"/>
        </w:rPr>
        <w:t xml:space="preserve"> </w:t>
      </w:r>
      <w:r>
        <w:rPr>
          <w:i/>
          <w:sz w:val="18"/>
        </w:rPr>
        <w:t>Treasury</w:t>
      </w:r>
      <w:r>
        <w:rPr>
          <w:i/>
          <w:spacing w:val="-2"/>
          <w:sz w:val="18"/>
        </w:rPr>
        <w:t xml:space="preserve"> </w:t>
      </w:r>
      <w:r>
        <w:rPr>
          <w:i/>
          <w:sz w:val="18"/>
        </w:rPr>
        <w:t>Financial</w:t>
      </w:r>
      <w:r>
        <w:rPr>
          <w:i/>
          <w:spacing w:val="-3"/>
          <w:sz w:val="18"/>
        </w:rPr>
        <w:t xml:space="preserve"> </w:t>
      </w:r>
      <w:r>
        <w:rPr>
          <w:i/>
          <w:sz w:val="18"/>
        </w:rPr>
        <w:t>Manual</w:t>
      </w:r>
      <w:r>
        <w:rPr>
          <w:i/>
          <w:spacing w:val="-3"/>
          <w:sz w:val="18"/>
        </w:rPr>
        <w:t xml:space="preserve"> </w:t>
      </w:r>
      <w:r>
        <w:rPr>
          <w:sz w:val="18"/>
        </w:rPr>
        <w:t>(TFM)</w:t>
      </w:r>
      <w:r>
        <w:rPr>
          <w:spacing w:val="-3"/>
          <w:sz w:val="18"/>
        </w:rPr>
        <w:t xml:space="preserve"> </w:t>
      </w:r>
      <w:r>
        <w:rPr>
          <w:sz w:val="18"/>
        </w:rPr>
        <w:t>provides</w:t>
      </w:r>
      <w:r>
        <w:rPr>
          <w:spacing w:val="-3"/>
          <w:sz w:val="18"/>
        </w:rPr>
        <w:t xml:space="preserve"> </w:t>
      </w:r>
      <w:r>
        <w:rPr>
          <w:sz w:val="18"/>
        </w:rPr>
        <w:t>guidance</w:t>
      </w:r>
      <w:r>
        <w:rPr>
          <w:spacing w:val="-4"/>
          <w:sz w:val="18"/>
        </w:rPr>
        <w:t xml:space="preserve"> </w:t>
      </w:r>
      <w:r>
        <w:rPr>
          <w:sz w:val="18"/>
        </w:rPr>
        <w:t>for</w:t>
      </w:r>
      <w:r>
        <w:rPr>
          <w:spacing w:val="-3"/>
          <w:sz w:val="18"/>
        </w:rPr>
        <w:t xml:space="preserve"> </w:t>
      </w:r>
      <w:r>
        <w:rPr>
          <w:sz w:val="18"/>
        </w:rPr>
        <w:t>significant</w:t>
      </w:r>
      <w:r>
        <w:rPr>
          <w:spacing w:val="-3"/>
          <w:sz w:val="18"/>
        </w:rPr>
        <w:t xml:space="preserve"> </w:t>
      </w:r>
      <w:r>
        <w:rPr>
          <w:sz w:val="18"/>
        </w:rPr>
        <w:t>entities</w:t>
      </w:r>
      <w:r>
        <w:rPr>
          <w:spacing w:val="-3"/>
          <w:sz w:val="18"/>
        </w:rPr>
        <w:t xml:space="preserve"> </w:t>
      </w:r>
      <w:r>
        <w:rPr>
          <w:sz w:val="18"/>
        </w:rPr>
        <w:t>to</w:t>
      </w:r>
      <w:r>
        <w:rPr>
          <w:spacing w:val="-4"/>
          <w:sz w:val="18"/>
        </w:rPr>
        <w:t xml:space="preserve"> </w:t>
      </w:r>
      <w:r>
        <w:rPr>
          <w:sz w:val="18"/>
        </w:rPr>
        <w:t>submit</w:t>
      </w:r>
      <w:r>
        <w:rPr>
          <w:spacing w:val="-3"/>
          <w:sz w:val="18"/>
        </w:rPr>
        <w:t xml:space="preserve"> </w:t>
      </w:r>
      <w:r>
        <w:rPr>
          <w:sz w:val="18"/>
        </w:rPr>
        <w:t>their</w:t>
      </w:r>
      <w:r>
        <w:rPr>
          <w:spacing w:val="-3"/>
          <w:sz w:val="18"/>
        </w:rPr>
        <w:t xml:space="preserve"> </w:t>
      </w:r>
      <w:r>
        <w:rPr>
          <w:sz w:val="18"/>
        </w:rPr>
        <w:t>interim</w:t>
      </w:r>
      <w:r>
        <w:rPr>
          <w:spacing w:val="-3"/>
          <w:sz w:val="18"/>
        </w:rPr>
        <w:t xml:space="preserve"> </w:t>
      </w:r>
      <w:r>
        <w:rPr>
          <w:sz w:val="18"/>
        </w:rPr>
        <w:t>and</w:t>
      </w:r>
      <w:r>
        <w:rPr>
          <w:spacing w:val="-4"/>
          <w:sz w:val="18"/>
        </w:rPr>
        <w:t xml:space="preserve"> </w:t>
      </w:r>
      <w:r>
        <w:rPr>
          <w:sz w:val="18"/>
        </w:rPr>
        <w:t>final</w:t>
      </w:r>
      <w:r>
        <w:rPr>
          <w:spacing w:val="-3"/>
          <w:sz w:val="18"/>
        </w:rPr>
        <w:t xml:space="preserve"> </w:t>
      </w:r>
      <w:r>
        <w:rPr>
          <w:sz w:val="18"/>
        </w:rPr>
        <w:t>legal counsel responses, which the Department of the Treasury updates annually through its Year-end Closing Bulletin.</w:t>
      </w:r>
    </w:p>
    <w:p w14:paraId="0DFDC8D9" w14:textId="77777777" w:rsidR="00046465" w:rsidRDefault="008134EB">
      <w:pPr>
        <w:spacing w:line="200" w:lineRule="exact"/>
        <w:ind w:left="359"/>
        <w:rPr>
          <w:sz w:val="18"/>
        </w:rPr>
      </w:pPr>
      <w:r>
        <w:rPr>
          <w:sz w:val="18"/>
        </w:rPr>
        <w:t>For</w:t>
      </w:r>
      <w:r>
        <w:rPr>
          <w:spacing w:val="-6"/>
          <w:sz w:val="18"/>
        </w:rPr>
        <w:t xml:space="preserve"> </w:t>
      </w:r>
      <w:r>
        <w:rPr>
          <w:sz w:val="18"/>
        </w:rPr>
        <w:t>a</w:t>
      </w:r>
      <w:r>
        <w:rPr>
          <w:spacing w:val="-4"/>
          <w:sz w:val="18"/>
        </w:rPr>
        <w:t xml:space="preserve"> </w:t>
      </w:r>
      <w:r>
        <w:rPr>
          <w:sz w:val="18"/>
        </w:rPr>
        <w:t>listing</w:t>
      </w:r>
      <w:r>
        <w:rPr>
          <w:spacing w:val="-4"/>
          <w:sz w:val="18"/>
        </w:rPr>
        <w:t xml:space="preserve"> </w:t>
      </w:r>
      <w:r>
        <w:rPr>
          <w:sz w:val="18"/>
        </w:rPr>
        <w:t>of</w:t>
      </w:r>
      <w:r>
        <w:rPr>
          <w:spacing w:val="-3"/>
          <w:sz w:val="18"/>
        </w:rPr>
        <w:t xml:space="preserve"> </w:t>
      </w:r>
      <w:r>
        <w:rPr>
          <w:sz w:val="18"/>
        </w:rPr>
        <w:t>its</w:t>
      </w:r>
      <w:r>
        <w:rPr>
          <w:spacing w:val="-4"/>
          <w:sz w:val="18"/>
        </w:rPr>
        <w:t xml:space="preserve"> </w:t>
      </w:r>
      <w:r>
        <w:rPr>
          <w:sz w:val="18"/>
        </w:rPr>
        <w:t>published</w:t>
      </w:r>
      <w:r>
        <w:rPr>
          <w:spacing w:val="-4"/>
          <w:sz w:val="18"/>
        </w:rPr>
        <w:t xml:space="preserve"> </w:t>
      </w:r>
      <w:r>
        <w:rPr>
          <w:sz w:val="18"/>
        </w:rPr>
        <w:t>bulletins,</w:t>
      </w:r>
      <w:r>
        <w:rPr>
          <w:spacing w:val="-3"/>
          <w:sz w:val="18"/>
        </w:rPr>
        <w:t xml:space="preserve"> </w:t>
      </w:r>
      <w:r>
        <w:rPr>
          <w:sz w:val="18"/>
        </w:rPr>
        <w:t>see</w:t>
      </w:r>
      <w:r>
        <w:rPr>
          <w:spacing w:val="-4"/>
          <w:sz w:val="18"/>
        </w:rPr>
        <w:t xml:space="preserve"> </w:t>
      </w:r>
      <w:hyperlink r:id="rId236">
        <w:r>
          <w:rPr>
            <w:color w:val="0000FF"/>
            <w:sz w:val="18"/>
          </w:rPr>
          <w:t>https://tfx.treasury.gov/tfm/bulletins</w:t>
        </w:r>
      </w:hyperlink>
      <w:r>
        <w:rPr>
          <w:color w:val="0000FF"/>
          <w:spacing w:val="-3"/>
          <w:sz w:val="18"/>
        </w:rPr>
        <w:t xml:space="preserve"> </w:t>
      </w:r>
      <w:r>
        <w:rPr>
          <w:sz w:val="18"/>
        </w:rPr>
        <w:t>(accessed</w:t>
      </w:r>
      <w:r>
        <w:rPr>
          <w:spacing w:val="-3"/>
          <w:sz w:val="18"/>
        </w:rPr>
        <w:t xml:space="preserve"> </w:t>
      </w:r>
      <w:r>
        <w:rPr>
          <w:sz w:val="18"/>
        </w:rPr>
        <w:t>June</w:t>
      </w:r>
      <w:r>
        <w:rPr>
          <w:spacing w:val="-4"/>
          <w:sz w:val="18"/>
        </w:rPr>
        <w:t xml:space="preserve"> </w:t>
      </w:r>
      <w:r>
        <w:rPr>
          <w:sz w:val="18"/>
        </w:rPr>
        <w:t>4,</w:t>
      </w:r>
      <w:r>
        <w:rPr>
          <w:spacing w:val="-3"/>
          <w:sz w:val="18"/>
        </w:rPr>
        <w:t xml:space="preserve"> </w:t>
      </w:r>
      <w:r>
        <w:rPr>
          <w:spacing w:val="-2"/>
          <w:sz w:val="18"/>
        </w:rPr>
        <w:t>2026).</w:t>
      </w:r>
    </w:p>
    <w:p w14:paraId="0DFDC8DA" w14:textId="77777777" w:rsidR="00046465" w:rsidRDefault="00046465">
      <w:pPr>
        <w:spacing w:line="200" w:lineRule="exact"/>
        <w:rPr>
          <w:sz w:val="18"/>
        </w:rPr>
        <w:sectPr w:rsidR="00046465">
          <w:pgSz w:w="12240" w:h="15840"/>
          <w:pgMar w:top="1340" w:right="720" w:bottom="940" w:left="1080" w:header="721" w:footer="757" w:gutter="0"/>
          <w:cols w:space="720"/>
        </w:sectPr>
      </w:pPr>
    </w:p>
    <w:p w14:paraId="0DFDC8DB" w14:textId="77777777" w:rsidR="00046465" w:rsidRDefault="008134EB">
      <w:pPr>
        <w:pStyle w:val="BodyText"/>
        <w:spacing w:before="121"/>
        <w:ind w:left="1800" w:right="844"/>
      </w:pPr>
      <w:r>
        <w:lastRenderedPageBreak/>
        <w:t>the</w:t>
      </w:r>
      <w:r>
        <w:rPr>
          <w:spacing w:val="-4"/>
        </w:rPr>
        <w:t xml:space="preserve"> </w:t>
      </w:r>
      <w:r>
        <w:t>outcome,</w:t>
      </w:r>
      <w:r>
        <w:rPr>
          <w:spacing w:val="-4"/>
        </w:rPr>
        <w:t xml:space="preserve"> </w:t>
      </w:r>
      <w:r>
        <w:t>the</w:t>
      </w:r>
      <w:r>
        <w:rPr>
          <w:spacing w:val="-4"/>
        </w:rPr>
        <w:t xml:space="preserve"> </w:t>
      </w:r>
      <w:r>
        <w:t>auditor</w:t>
      </w:r>
      <w:r>
        <w:rPr>
          <w:spacing w:val="-6"/>
        </w:rPr>
        <w:t xml:space="preserve"> </w:t>
      </w:r>
      <w:r>
        <w:t>should</w:t>
      </w:r>
      <w:r>
        <w:rPr>
          <w:spacing w:val="-4"/>
        </w:rPr>
        <w:t xml:space="preserve"> </w:t>
      </w:r>
      <w:r>
        <w:t>obtain</w:t>
      </w:r>
      <w:r>
        <w:rPr>
          <w:spacing w:val="-4"/>
        </w:rPr>
        <w:t xml:space="preserve"> </w:t>
      </w:r>
      <w:r>
        <w:t>a</w:t>
      </w:r>
      <w:r>
        <w:rPr>
          <w:spacing w:val="-4"/>
        </w:rPr>
        <w:t xml:space="preserve"> </w:t>
      </w:r>
      <w:r>
        <w:t>written</w:t>
      </w:r>
      <w:r>
        <w:rPr>
          <w:spacing w:val="-4"/>
        </w:rPr>
        <w:t xml:space="preserve"> </w:t>
      </w:r>
      <w:r>
        <w:t>confirmation</w:t>
      </w:r>
      <w:r>
        <w:rPr>
          <w:spacing w:val="-4"/>
        </w:rPr>
        <w:t xml:space="preserve"> </w:t>
      </w:r>
      <w:r>
        <w:t>or</w:t>
      </w:r>
      <w:r>
        <w:rPr>
          <w:spacing w:val="-4"/>
        </w:rPr>
        <w:t xml:space="preserve"> </w:t>
      </w:r>
      <w:r>
        <w:t>updated response from legal counsel.</w:t>
      </w:r>
    </w:p>
    <w:p w14:paraId="0DFDC8DC" w14:textId="77777777" w:rsidR="00046465" w:rsidRDefault="008134EB">
      <w:pPr>
        <w:pStyle w:val="ListParagraph"/>
        <w:numPr>
          <w:ilvl w:val="0"/>
          <w:numId w:val="63"/>
        </w:numPr>
        <w:tabs>
          <w:tab w:val="left" w:pos="1800"/>
        </w:tabs>
        <w:spacing w:before="119"/>
        <w:ind w:right="762"/>
      </w:pPr>
      <w:r>
        <w:t>To</w:t>
      </w:r>
      <w:r>
        <w:rPr>
          <w:spacing w:val="-4"/>
        </w:rPr>
        <w:t xml:space="preserve"> </w:t>
      </w:r>
      <w:r>
        <w:t>meet</w:t>
      </w:r>
      <w:r>
        <w:rPr>
          <w:spacing w:val="-4"/>
        </w:rPr>
        <w:t xml:space="preserve"> </w:t>
      </w:r>
      <w:r>
        <w:t>deadlines,</w:t>
      </w:r>
      <w:r>
        <w:rPr>
          <w:spacing w:val="-4"/>
        </w:rPr>
        <w:t xml:space="preserve"> </w:t>
      </w:r>
      <w:r>
        <w:t>the</w:t>
      </w:r>
      <w:r>
        <w:rPr>
          <w:spacing w:val="-5"/>
        </w:rPr>
        <w:t xml:space="preserve"> </w:t>
      </w:r>
      <w:r>
        <w:t>auditor,</w:t>
      </w:r>
      <w:r>
        <w:rPr>
          <w:spacing w:val="-4"/>
        </w:rPr>
        <w:t xml:space="preserve"> </w:t>
      </w:r>
      <w:r>
        <w:t>management,</w:t>
      </w:r>
      <w:r>
        <w:rPr>
          <w:spacing w:val="-4"/>
        </w:rPr>
        <w:t xml:space="preserve"> </w:t>
      </w:r>
      <w:r>
        <w:t>and</w:t>
      </w:r>
      <w:r>
        <w:rPr>
          <w:spacing w:val="-4"/>
        </w:rPr>
        <w:t xml:space="preserve"> </w:t>
      </w:r>
      <w:r>
        <w:t>legal</w:t>
      </w:r>
      <w:r>
        <w:rPr>
          <w:spacing w:val="-4"/>
        </w:rPr>
        <w:t xml:space="preserve"> </w:t>
      </w:r>
      <w:r>
        <w:t>counsel</w:t>
      </w:r>
      <w:r>
        <w:rPr>
          <w:spacing w:val="-4"/>
        </w:rPr>
        <w:t xml:space="preserve"> </w:t>
      </w:r>
      <w:r>
        <w:t>generally</w:t>
      </w:r>
      <w:r>
        <w:rPr>
          <w:spacing w:val="-4"/>
        </w:rPr>
        <w:t xml:space="preserve"> </w:t>
      </w:r>
      <w:r>
        <w:t>should coordinate the timing of legal counsel requests, responses (including interim responses), and related management schedules. The auditor and management should determine the due dates for responses from component units for the entity’s financial statements as well as for the U.S. government’s consolidated financial statements. In setting the due dates, the auditor and management generally should consult with Justice’s legal counsel, if applicable.</w:t>
      </w:r>
    </w:p>
    <w:p w14:paraId="0DFDC8DD" w14:textId="77777777" w:rsidR="00046465" w:rsidRDefault="008134EB">
      <w:pPr>
        <w:pStyle w:val="BodyText"/>
        <w:spacing w:before="121"/>
        <w:ind w:left="1800" w:right="726"/>
      </w:pPr>
      <w:r>
        <w:t>In addition, for audits of group financial statements, the group auditor and component auditor generally should coordinate the timing of legal counsel requests, responses, and management schedules, and determine the due dates for</w:t>
      </w:r>
      <w:r>
        <w:rPr>
          <w:spacing w:val="-1"/>
        </w:rPr>
        <w:t xml:space="preserve"> </w:t>
      </w:r>
      <w:r>
        <w:t>the</w:t>
      </w:r>
      <w:r>
        <w:rPr>
          <w:spacing w:val="-1"/>
        </w:rPr>
        <w:t xml:space="preserve"> </w:t>
      </w:r>
      <w:r>
        <w:t>component</w:t>
      </w:r>
      <w:r>
        <w:rPr>
          <w:spacing w:val="-1"/>
        </w:rPr>
        <w:t xml:space="preserve"> </w:t>
      </w:r>
      <w:r>
        <w:t>financial</w:t>
      </w:r>
      <w:r>
        <w:rPr>
          <w:spacing w:val="-1"/>
        </w:rPr>
        <w:t xml:space="preserve"> </w:t>
      </w:r>
      <w:r>
        <w:t>statements</w:t>
      </w:r>
      <w:r>
        <w:rPr>
          <w:spacing w:val="-1"/>
        </w:rPr>
        <w:t xml:space="preserve"> </w:t>
      </w:r>
      <w:r>
        <w:t>as</w:t>
      </w:r>
      <w:r>
        <w:rPr>
          <w:spacing w:val="-1"/>
        </w:rPr>
        <w:t xml:space="preserve"> </w:t>
      </w:r>
      <w:r>
        <w:t>well</w:t>
      </w:r>
      <w:r>
        <w:rPr>
          <w:spacing w:val="-1"/>
        </w:rPr>
        <w:t xml:space="preserve"> </w:t>
      </w:r>
      <w:r>
        <w:t>as</w:t>
      </w:r>
      <w:r>
        <w:rPr>
          <w:spacing w:val="-2"/>
        </w:rPr>
        <w:t xml:space="preserve"> </w:t>
      </w:r>
      <w:r>
        <w:t>the</w:t>
      </w:r>
      <w:r>
        <w:rPr>
          <w:spacing w:val="-1"/>
        </w:rPr>
        <w:t xml:space="preserve"> </w:t>
      </w:r>
      <w:r>
        <w:t>group</w:t>
      </w:r>
      <w:r>
        <w:rPr>
          <w:spacing w:val="-1"/>
        </w:rPr>
        <w:t xml:space="preserve"> </w:t>
      </w:r>
      <w:r>
        <w:t>financial</w:t>
      </w:r>
      <w:r>
        <w:rPr>
          <w:spacing w:val="-1"/>
        </w:rPr>
        <w:t xml:space="preserve"> </w:t>
      </w:r>
      <w:r>
        <w:t>statements. The</w:t>
      </w:r>
      <w:r>
        <w:rPr>
          <w:spacing w:val="-4"/>
        </w:rPr>
        <w:t xml:space="preserve"> </w:t>
      </w:r>
      <w:r>
        <w:t>group</w:t>
      </w:r>
      <w:r>
        <w:rPr>
          <w:spacing w:val="-4"/>
        </w:rPr>
        <w:t xml:space="preserve"> </w:t>
      </w:r>
      <w:r>
        <w:t>auditor</w:t>
      </w:r>
      <w:r>
        <w:rPr>
          <w:spacing w:val="-4"/>
        </w:rPr>
        <w:t xml:space="preserve"> </w:t>
      </w:r>
      <w:r>
        <w:t>generally</w:t>
      </w:r>
      <w:r>
        <w:rPr>
          <w:spacing w:val="-4"/>
        </w:rPr>
        <w:t xml:space="preserve"> </w:t>
      </w:r>
      <w:r>
        <w:t>should</w:t>
      </w:r>
      <w:r>
        <w:rPr>
          <w:spacing w:val="-4"/>
        </w:rPr>
        <w:t xml:space="preserve"> </w:t>
      </w:r>
      <w:r>
        <w:t>receive</w:t>
      </w:r>
      <w:r>
        <w:rPr>
          <w:spacing w:val="-4"/>
        </w:rPr>
        <w:t xml:space="preserve"> </w:t>
      </w:r>
      <w:r>
        <w:t>copies</w:t>
      </w:r>
      <w:r>
        <w:rPr>
          <w:spacing w:val="-4"/>
        </w:rPr>
        <w:t xml:space="preserve"> </w:t>
      </w:r>
      <w:r>
        <w:t>of</w:t>
      </w:r>
      <w:r>
        <w:rPr>
          <w:spacing w:val="-4"/>
        </w:rPr>
        <w:t xml:space="preserve"> </w:t>
      </w:r>
      <w:r>
        <w:t>the</w:t>
      </w:r>
      <w:r>
        <w:rPr>
          <w:spacing w:val="-4"/>
        </w:rPr>
        <w:t xml:space="preserve"> </w:t>
      </w:r>
      <w:r>
        <w:t>legal</w:t>
      </w:r>
      <w:r>
        <w:rPr>
          <w:spacing w:val="-4"/>
        </w:rPr>
        <w:t xml:space="preserve"> </w:t>
      </w:r>
      <w:r>
        <w:t>counsel</w:t>
      </w:r>
      <w:r>
        <w:rPr>
          <w:spacing w:val="-5"/>
        </w:rPr>
        <w:t xml:space="preserve"> </w:t>
      </w:r>
      <w:r>
        <w:t>responses and management schedules from the component auditors by these due dates.</w:t>
      </w:r>
    </w:p>
    <w:p w14:paraId="0DFDC8DE" w14:textId="77777777" w:rsidR="00046465" w:rsidRDefault="008134EB">
      <w:pPr>
        <w:pStyle w:val="BodyText"/>
        <w:ind w:left="1800" w:right="749" w:hanging="1"/>
      </w:pPr>
      <w:r>
        <w:t>For</w:t>
      </w:r>
      <w:r>
        <w:rPr>
          <w:spacing w:val="-3"/>
        </w:rPr>
        <w:t xml:space="preserve"> </w:t>
      </w:r>
      <w:r>
        <w:t>significant</w:t>
      </w:r>
      <w:r>
        <w:rPr>
          <w:spacing w:val="-3"/>
        </w:rPr>
        <w:t xml:space="preserve"> </w:t>
      </w:r>
      <w:r>
        <w:t>entities,</w:t>
      </w:r>
      <w:hyperlink w:anchor="_bookmark223" w:history="1">
        <w:r>
          <w:rPr>
            <w:position w:val="7"/>
            <w:sz w:val="14"/>
          </w:rPr>
          <w:t>14</w:t>
        </w:r>
      </w:hyperlink>
      <w:r>
        <w:rPr>
          <w:spacing w:val="18"/>
          <w:position w:val="7"/>
          <w:sz w:val="14"/>
        </w:rPr>
        <w:t xml:space="preserve"> </w:t>
      </w:r>
      <w:r>
        <w:t>OMB</w:t>
      </w:r>
      <w:r>
        <w:rPr>
          <w:spacing w:val="-3"/>
        </w:rPr>
        <w:t xml:space="preserve"> </w:t>
      </w:r>
      <w:r>
        <w:t>audit</w:t>
      </w:r>
      <w:r>
        <w:rPr>
          <w:spacing w:val="-3"/>
        </w:rPr>
        <w:t xml:space="preserve"> </w:t>
      </w:r>
      <w:r>
        <w:t>guidance</w:t>
      </w:r>
      <w:r>
        <w:rPr>
          <w:spacing w:val="-3"/>
        </w:rPr>
        <w:t xml:space="preserve"> </w:t>
      </w:r>
      <w:r>
        <w:t>requires</w:t>
      </w:r>
      <w:r>
        <w:rPr>
          <w:spacing w:val="-2"/>
        </w:rPr>
        <w:t xml:space="preserve"> </w:t>
      </w:r>
      <w:r>
        <w:t>the</w:t>
      </w:r>
      <w:r>
        <w:rPr>
          <w:spacing w:val="-3"/>
        </w:rPr>
        <w:t xml:space="preserve"> </w:t>
      </w:r>
      <w:r>
        <w:t>OIG</w:t>
      </w:r>
      <w:r>
        <w:rPr>
          <w:spacing w:val="-4"/>
        </w:rPr>
        <w:t xml:space="preserve"> </w:t>
      </w:r>
      <w:r>
        <w:t>to</w:t>
      </w:r>
      <w:r>
        <w:rPr>
          <w:spacing w:val="-3"/>
        </w:rPr>
        <w:t xml:space="preserve"> </w:t>
      </w:r>
      <w:r>
        <w:t>submit</w:t>
      </w:r>
      <w:r>
        <w:rPr>
          <w:spacing w:val="-3"/>
        </w:rPr>
        <w:t xml:space="preserve"> </w:t>
      </w:r>
      <w:r>
        <w:t>interim and updated responses and management schedules to specified parties by specific dates established by the Department of the Treasury.</w:t>
      </w:r>
    </w:p>
    <w:p w14:paraId="0DFDC8DF" w14:textId="77777777" w:rsidR="00046465" w:rsidRDefault="00046465">
      <w:pPr>
        <w:pStyle w:val="BodyText"/>
        <w:rPr>
          <w:sz w:val="20"/>
        </w:rPr>
      </w:pPr>
    </w:p>
    <w:p w14:paraId="0DFDC8E0" w14:textId="77777777" w:rsidR="00046465" w:rsidRDefault="00046465">
      <w:pPr>
        <w:pStyle w:val="BodyText"/>
        <w:rPr>
          <w:sz w:val="20"/>
        </w:rPr>
      </w:pPr>
    </w:p>
    <w:p w14:paraId="0DFDC8E1" w14:textId="77777777" w:rsidR="00046465" w:rsidRDefault="00046465">
      <w:pPr>
        <w:pStyle w:val="BodyText"/>
        <w:rPr>
          <w:sz w:val="20"/>
        </w:rPr>
      </w:pPr>
    </w:p>
    <w:p w14:paraId="0DFDC8E2" w14:textId="77777777" w:rsidR="00046465" w:rsidRDefault="00046465">
      <w:pPr>
        <w:pStyle w:val="BodyText"/>
        <w:rPr>
          <w:sz w:val="20"/>
        </w:rPr>
      </w:pPr>
    </w:p>
    <w:p w14:paraId="0DFDC8E3" w14:textId="77777777" w:rsidR="00046465" w:rsidRDefault="00046465">
      <w:pPr>
        <w:pStyle w:val="BodyText"/>
        <w:rPr>
          <w:sz w:val="20"/>
        </w:rPr>
      </w:pPr>
    </w:p>
    <w:p w14:paraId="0DFDC8E4" w14:textId="77777777" w:rsidR="00046465" w:rsidRDefault="00046465">
      <w:pPr>
        <w:pStyle w:val="BodyText"/>
        <w:rPr>
          <w:sz w:val="20"/>
        </w:rPr>
      </w:pPr>
    </w:p>
    <w:p w14:paraId="0DFDC8E5" w14:textId="77777777" w:rsidR="00046465" w:rsidRDefault="00046465">
      <w:pPr>
        <w:pStyle w:val="BodyText"/>
        <w:rPr>
          <w:sz w:val="20"/>
        </w:rPr>
      </w:pPr>
    </w:p>
    <w:p w14:paraId="0DFDC8E6" w14:textId="77777777" w:rsidR="00046465" w:rsidRDefault="00046465">
      <w:pPr>
        <w:pStyle w:val="BodyText"/>
        <w:rPr>
          <w:sz w:val="20"/>
        </w:rPr>
      </w:pPr>
    </w:p>
    <w:p w14:paraId="0DFDC8E7" w14:textId="77777777" w:rsidR="00046465" w:rsidRDefault="00046465">
      <w:pPr>
        <w:pStyle w:val="BodyText"/>
        <w:rPr>
          <w:sz w:val="20"/>
        </w:rPr>
      </w:pPr>
    </w:p>
    <w:p w14:paraId="0DFDC8E8" w14:textId="77777777" w:rsidR="00046465" w:rsidRDefault="00046465">
      <w:pPr>
        <w:pStyle w:val="BodyText"/>
        <w:rPr>
          <w:sz w:val="20"/>
        </w:rPr>
      </w:pPr>
    </w:p>
    <w:p w14:paraId="0DFDC8E9" w14:textId="77777777" w:rsidR="00046465" w:rsidRDefault="00046465">
      <w:pPr>
        <w:pStyle w:val="BodyText"/>
        <w:rPr>
          <w:sz w:val="20"/>
        </w:rPr>
      </w:pPr>
    </w:p>
    <w:p w14:paraId="0DFDC8EA" w14:textId="77777777" w:rsidR="00046465" w:rsidRDefault="00046465">
      <w:pPr>
        <w:pStyle w:val="BodyText"/>
        <w:rPr>
          <w:sz w:val="20"/>
        </w:rPr>
      </w:pPr>
    </w:p>
    <w:p w14:paraId="0DFDC8EB" w14:textId="77777777" w:rsidR="00046465" w:rsidRDefault="00046465">
      <w:pPr>
        <w:pStyle w:val="BodyText"/>
        <w:rPr>
          <w:sz w:val="20"/>
        </w:rPr>
      </w:pPr>
    </w:p>
    <w:p w14:paraId="0DFDC8EC" w14:textId="77777777" w:rsidR="00046465" w:rsidRDefault="00046465">
      <w:pPr>
        <w:pStyle w:val="BodyText"/>
        <w:rPr>
          <w:sz w:val="20"/>
        </w:rPr>
      </w:pPr>
    </w:p>
    <w:p w14:paraId="0DFDC8ED" w14:textId="77777777" w:rsidR="00046465" w:rsidRDefault="00046465">
      <w:pPr>
        <w:pStyle w:val="BodyText"/>
        <w:rPr>
          <w:sz w:val="20"/>
        </w:rPr>
      </w:pPr>
    </w:p>
    <w:p w14:paraId="0DFDC8EE" w14:textId="77777777" w:rsidR="00046465" w:rsidRDefault="00046465">
      <w:pPr>
        <w:pStyle w:val="BodyText"/>
        <w:rPr>
          <w:sz w:val="20"/>
        </w:rPr>
      </w:pPr>
    </w:p>
    <w:p w14:paraId="0DFDC8EF" w14:textId="77777777" w:rsidR="00046465" w:rsidRDefault="00046465">
      <w:pPr>
        <w:pStyle w:val="BodyText"/>
        <w:rPr>
          <w:sz w:val="20"/>
        </w:rPr>
      </w:pPr>
    </w:p>
    <w:p w14:paraId="0DFDC8F0" w14:textId="77777777" w:rsidR="00046465" w:rsidRDefault="00046465">
      <w:pPr>
        <w:pStyle w:val="BodyText"/>
        <w:rPr>
          <w:sz w:val="20"/>
        </w:rPr>
      </w:pPr>
    </w:p>
    <w:p w14:paraId="0DFDC8F1" w14:textId="77777777" w:rsidR="00046465" w:rsidRDefault="00046465">
      <w:pPr>
        <w:pStyle w:val="BodyText"/>
        <w:rPr>
          <w:sz w:val="20"/>
        </w:rPr>
      </w:pPr>
    </w:p>
    <w:p w14:paraId="0DFDC8F2" w14:textId="77777777" w:rsidR="00046465" w:rsidRDefault="00046465">
      <w:pPr>
        <w:pStyle w:val="BodyText"/>
        <w:rPr>
          <w:sz w:val="20"/>
        </w:rPr>
      </w:pPr>
    </w:p>
    <w:p w14:paraId="0DFDC8F3" w14:textId="77777777" w:rsidR="00046465" w:rsidRDefault="00046465">
      <w:pPr>
        <w:pStyle w:val="BodyText"/>
        <w:rPr>
          <w:sz w:val="20"/>
        </w:rPr>
      </w:pPr>
    </w:p>
    <w:p w14:paraId="0DFDC8F4" w14:textId="77777777" w:rsidR="00046465" w:rsidRDefault="00046465">
      <w:pPr>
        <w:pStyle w:val="BodyText"/>
        <w:rPr>
          <w:sz w:val="20"/>
        </w:rPr>
      </w:pPr>
    </w:p>
    <w:p w14:paraId="0DFDC8F5" w14:textId="77777777" w:rsidR="00046465" w:rsidRDefault="00046465">
      <w:pPr>
        <w:pStyle w:val="BodyText"/>
        <w:rPr>
          <w:sz w:val="20"/>
        </w:rPr>
      </w:pPr>
    </w:p>
    <w:p w14:paraId="0DFDC8F6" w14:textId="77777777" w:rsidR="00046465" w:rsidRDefault="00046465">
      <w:pPr>
        <w:pStyle w:val="BodyText"/>
        <w:rPr>
          <w:sz w:val="20"/>
        </w:rPr>
      </w:pPr>
    </w:p>
    <w:p w14:paraId="0DFDC8F7" w14:textId="77777777" w:rsidR="00046465" w:rsidRDefault="00046465">
      <w:pPr>
        <w:pStyle w:val="BodyText"/>
        <w:rPr>
          <w:sz w:val="20"/>
        </w:rPr>
      </w:pPr>
    </w:p>
    <w:p w14:paraId="0DFDC8F8" w14:textId="77777777" w:rsidR="00046465" w:rsidRDefault="00046465">
      <w:pPr>
        <w:pStyle w:val="BodyText"/>
        <w:rPr>
          <w:sz w:val="20"/>
        </w:rPr>
      </w:pPr>
    </w:p>
    <w:p w14:paraId="0DFDC8F9" w14:textId="77777777" w:rsidR="00046465" w:rsidRDefault="00046465">
      <w:pPr>
        <w:pStyle w:val="BodyText"/>
        <w:rPr>
          <w:sz w:val="20"/>
        </w:rPr>
      </w:pPr>
    </w:p>
    <w:p w14:paraId="0DFDC8FA" w14:textId="77777777" w:rsidR="00046465" w:rsidRDefault="00046465">
      <w:pPr>
        <w:pStyle w:val="BodyText"/>
        <w:rPr>
          <w:sz w:val="20"/>
        </w:rPr>
      </w:pPr>
    </w:p>
    <w:p w14:paraId="0DFDC8FB" w14:textId="77777777" w:rsidR="00046465" w:rsidRDefault="00046465">
      <w:pPr>
        <w:pStyle w:val="BodyText"/>
        <w:rPr>
          <w:sz w:val="20"/>
        </w:rPr>
      </w:pPr>
    </w:p>
    <w:p w14:paraId="0DFDC8FC" w14:textId="77777777" w:rsidR="00046465" w:rsidRDefault="00046465">
      <w:pPr>
        <w:pStyle w:val="BodyText"/>
        <w:rPr>
          <w:sz w:val="20"/>
        </w:rPr>
      </w:pPr>
    </w:p>
    <w:p w14:paraId="0DFDC8FD" w14:textId="77777777" w:rsidR="00046465" w:rsidRDefault="00046465">
      <w:pPr>
        <w:pStyle w:val="BodyText"/>
        <w:rPr>
          <w:sz w:val="20"/>
        </w:rPr>
      </w:pPr>
    </w:p>
    <w:p w14:paraId="0DFDC8FE" w14:textId="77777777" w:rsidR="00046465" w:rsidRDefault="00046465">
      <w:pPr>
        <w:pStyle w:val="BodyText"/>
        <w:rPr>
          <w:sz w:val="20"/>
        </w:rPr>
      </w:pPr>
    </w:p>
    <w:p w14:paraId="0DFDC8FF" w14:textId="77777777" w:rsidR="00046465" w:rsidRDefault="008134EB">
      <w:pPr>
        <w:pStyle w:val="BodyText"/>
        <w:spacing w:before="92"/>
        <w:rPr>
          <w:sz w:val="20"/>
        </w:rPr>
      </w:pPr>
      <w:r>
        <w:rPr>
          <w:noProof/>
          <w:sz w:val="20"/>
        </w:rPr>
        <mc:AlternateContent>
          <mc:Choice Requires="wps">
            <w:drawing>
              <wp:anchor distT="0" distB="0" distL="0" distR="0" simplePos="0" relativeHeight="487738368" behindDoc="1" locked="0" layoutInCell="1" allowOverlap="1" wp14:anchorId="0DFDD75F" wp14:editId="0DFDD760">
                <wp:simplePos x="0" y="0"/>
                <wp:positionH relativeFrom="page">
                  <wp:posOffset>914400</wp:posOffset>
                </wp:positionH>
                <wp:positionV relativeFrom="paragraph">
                  <wp:posOffset>219971</wp:posOffset>
                </wp:positionV>
                <wp:extent cx="1828800" cy="5715"/>
                <wp:effectExtent l="0" t="0" r="0" b="0"/>
                <wp:wrapTopAndBottom/>
                <wp:docPr id="1111" name="Graphic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07CE14" id="Graphic 1111" o:spid="_x0000_s1026" style="position:absolute;margin-left:1in;margin-top:17.3pt;width:2in;height:.45pt;z-index:-1557811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" path="m1828800,l,,,5334r1828800,l1828800,xe" fillcolor="black" stroked="f">
                <v:path arrowok="t"/>
                <w10:wrap type="topAndBottom" anchorx="page"/>
              </v:shape>
            </w:pict>
          </mc:Fallback>
        </mc:AlternateContent>
      </w:r>
    </w:p>
    <w:p w14:paraId="0DFDC900" w14:textId="77777777" w:rsidR="00046465" w:rsidRDefault="008134EB">
      <w:pPr>
        <w:spacing w:before="202" w:line="249" w:lineRule="auto"/>
        <w:ind w:left="360" w:right="749" w:hanging="1"/>
        <w:rPr>
          <w:sz w:val="18"/>
        </w:rPr>
      </w:pPr>
      <w:bookmarkStart w:id="397" w:name="_bookmark223"/>
      <w:bookmarkEnd w:id="397"/>
      <w:r>
        <w:rPr>
          <w:position w:val="7"/>
          <w:sz w:val="14"/>
        </w:rPr>
        <w:t>14</w:t>
      </w:r>
      <w:r>
        <w:rPr>
          <w:sz w:val="18"/>
        </w:rPr>
        <w:t>See</w:t>
      </w:r>
      <w:r>
        <w:rPr>
          <w:spacing w:val="-3"/>
          <w:sz w:val="18"/>
        </w:rPr>
        <w:t xml:space="preserve"> </w:t>
      </w:r>
      <w:r>
        <w:rPr>
          <w:sz w:val="18"/>
        </w:rPr>
        <w:t>TFM</w:t>
      </w:r>
      <w:r>
        <w:rPr>
          <w:spacing w:val="-2"/>
          <w:sz w:val="18"/>
        </w:rPr>
        <w:t xml:space="preserve"> </w:t>
      </w:r>
      <w:r>
        <w:rPr>
          <w:sz w:val="18"/>
        </w:rPr>
        <w:t>vol.</w:t>
      </w:r>
      <w:r>
        <w:rPr>
          <w:spacing w:val="-2"/>
          <w:sz w:val="18"/>
        </w:rPr>
        <w:t xml:space="preserve"> </w:t>
      </w:r>
      <w:r>
        <w:rPr>
          <w:sz w:val="18"/>
        </w:rPr>
        <w:t>1,</w:t>
      </w:r>
      <w:r>
        <w:rPr>
          <w:spacing w:val="-2"/>
          <w:sz w:val="18"/>
        </w:rPr>
        <w:t xml:space="preserve"> </w:t>
      </w:r>
      <w:r>
        <w:rPr>
          <w:sz w:val="18"/>
        </w:rPr>
        <w:t>pt.</w:t>
      </w:r>
      <w:r>
        <w:rPr>
          <w:spacing w:val="-2"/>
          <w:sz w:val="18"/>
        </w:rPr>
        <w:t xml:space="preserve"> </w:t>
      </w:r>
      <w:r>
        <w:rPr>
          <w:sz w:val="18"/>
        </w:rPr>
        <w:t>2,</w:t>
      </w:r>
      <w:r>
        <w:rPr>
          <w:spacing w:val="-2"/>
          <w:sz w:val="18"/>
        </w:rPr>
        <w:t xml:space="preserve"> </w:t>
      </w:r>
      <w:r>
        <w:rPr>
          <w:sz w:val="18"/>
        </w:rPr>
        <w:t>ch.</w:t>
      </w:r>
      <w:r>
        <w:rPr>
          <w:spacing w:val="-3"/>
          <w:sz w:val="18"/>
        </w:rPr>
        <w:t xml:space="preserve"> </w:t>
      </w:r>
      <w:r>
        <w:rPr>
          <w:sz w:val="18"/>
        </w:rPr>
        <w:t>4700</w:t>
      </w:r>
      <w:r>
        <w:rPr>
          <w:spacing w:val="-3"/>
          <w:sz w:val="18"/>
        </w:rPr>
        <w:t xml:space="preserve"> </w:t>
      </w:r>
      <w:r>
        <w:rPr>
          <w:sz w:val="18"/>
        </w:rPr>
        <w:t>(TFM</w:t>
      </w:r>
      <w:r>
        <w:rPr>
          <w:spacing w:val="-2"/>
          <w:sz w:val="18"/>
        </w:rPr>
        <w:t xml:space="preserve"> </w:t>
      </w:r>
      <w:r>
        <w:rPr>
          <w:sz w:val="18"/>
        </w:rPr>
        <w:t>2-4700),</w:t>
      </w:r>
      <w:r>
        <w:rPr>
          <w:spacing w:val="-2"/>
          <w:sz w:val="18"/>
        </w:rPr>
        <w:t xml:space="preserve"> </w:t>
      </w:r>
      <w:r>
        <w:rPr>
          <w:sz w:val="18"/>
        </w:rPr>
        <w:t>for</w:t>
      </w:r>
      <w:r>
        <w:rPr>
          <w:spacing w:val="-2"/>
          <w:sz w:val="18"/>
        </w:rPr>
        <w:t xml:space="preserve"> </w:t>
      </w:r>
      <w:r>
        <w:rPr>
          <w:sz w:val="18"/>
        </w:rPr>
        <w:t>a</w:t>
      </w:r>
      <w:r>
        <w:rPr>
          <w:spacing w:val="-3"/>
          <w:sz w:val="18"/>
        </w:rPr>
        <w:t xml:space="preserve"> </w:t>
      </w:r>
      <w:r>
        <w:rPr>
          <w:sz w:val="18"/>
        </w:rPr>
        <w:t>listing</w:t>
      </w:r>
      <w:r>
        <w:rPr>
          <w:spacing w:val="-3"/>
          <w:sz w:val="18"/>
        </w:rPr>
        <w:t xml:space="preserve"> </w:t>
      </w:r>
      <w:r>
        <w:rPr>
          <w:sz w:val="18"/>
        </w:rPr>
        <w:t>of</w:t>
      </w:r>
      <w:r>
        <w:rPr>
          <w:spacing w:val="-2"/>
          <w:sz w:val="18"/>
        </w:rPr>
        <w:t xml:space="preserve"> </w:t>
      </w:r>
      <w:r>
        <w:rPr>
          <w:sz w:val="18"/>
        </w:rPr>
        <w:t>federal</w:t>
      </w:r>
      <w:r>
        <w:rPr>
          <w:spacing w:val="-3"/>
          <w:sz w:val="18"/>
        </w:rPr>
        <w:t xml:space="preserve"> </w:t>
      </w:r>
      <w:r>
        <w:rPr>
          <w:sz w:val="18"/>
        </w:rPr>
        <w:t>entities</w:t>
      </w:r>
      <w:r>
        <w:rPr>
          <w:spacing w:val="-2"/>
          <w:sz w:val="18"/>
        </w:rPr>
        <w:t xml:space="preserve"> </w:t>
      </w:r>
      <w:r>
        <w:rPr>
          <w:sz w:val="18"/>
        </w:rPr>
        <w:t>identified</w:t>
      </w:r>
      <w:r>
        <w:rPr>
          <w:spacing w:val="-3"/>
          <w:sz w:val="18"/>
        </w:rPr>
        <w:t xml:space="preserve"> </w:t>
      </w:r>
      <w:r>
        <w:rPr>
          <w:sz w:val="18"/>
        </w:rPr>
        <w:t>as</w:t>
      </w:r>
      <w:r>
        <w:rPr>
          <w:spacing w:val="-1"/>
          <w:sz w:val="18"/>
        </w:rPr>
        <w:t xml:space="preserve"> </w:t>
      </w:r>
      <w:r>
        <w:rPr>
          <w:sz w:val="18"/>
        </w:rPr>
        <w:t>significant</w:t>
      </w:r>
      <w:r>
        <w:rPr>
          <w:spacing w:val="-2"/>
          <w:sz w:val="18"/>
        </w:rPr>
        <w:t xml:space="preserve"> </w:t>
      </w:r>
      <w:r>
        <w:rPr>
          <w:sz w:val="18"/>
        </w:rPr>
        <w:t>to</w:t>
      </w:r>
      <w:r>
        <w:rPr>
          <w:spacing w:val="-3"/>
          <w:sz w:val="18"/>
        </w:rPr>
        <w:t xml:space="preserve"> </w:t>
      </w:r>
      <w:r>
        <w:rPr>
          <w:sz w:val="18"/>
        </w:rPr>
        <w:t>the</w:t>
      </w:r>
      <w:r>
        <w:rPr>
          <w:spacing w:val="-3"/>
          <w:sz w:val="18"/>
        </w:rPr>
        <w:t xml:space="preserve"> </w:t>
      </w:r>
      <w:r>
        <w:rPr>
          <w:sz w:val="18"/>
        </w:rPr>
        <w:t>U.S. government’s consolidated financial statements (significant entities).</w:t>
      </w:r>
    </w:p>
    <w:p w14:paraId="0DFDC901" w14:textId="77777777" w:rsidR="00046465" w:rsidRDefault="00046465">
      <w:pPr>
        <w:spacing w:line="249" w:lineRule="auto"/>
        <w:rPr>
          <w:sz w:val="18"/>
        </w:rPr>
        <w:sectPr w:rsidR="00046465">
          <w:pgSz w:w="12240" w:h="15840"/>
          <w:pgMar w:top="1340" w:right="720" w:bottom="940" w:left="1080" w:header="721" w:footer="757" w:gutter="0"/>
          <w:cols w:space="720"/>
        </w:sectPr>
      </w:pPr>
    </w:p>
    <w:p w14:paraId="0DFDC902" w14:textId="77777777" w:rsidR="00046465" w:rsidRDefault="008134EB">
      <w:pPr>
        <w:pStyle w:val="Heading3"/>
        <w:spacing w:before="361"/>
        <w:ind w:right="844"/>
        <w:rPr>
          <w:u w:val="none"/>
        </w:rPr>
      </w:pPr>
      <w:bookmarkStart w:id="398" w:name="1002_A_–_Example_Audit_Procedures_for_Li"/>
      <w:bookmarkStart w:id="399" w:name="_bookmark224"/>
      <w:bookmarkEnd w:id="398"/>
      <w:bookmarkEnd w:id="399"/>
      <w:r>
        <w:lastRenderedPageBreak/>
        <w:t>1002</w:t>
      </w:r>
      <w:r>
        <w:rPr>
          <w:spacing w:val="-16"/>
        </w:rPr>
        <w:t xml:space="preserve"> </w:t>
      </w:r>
      <w:r>
        <w:t>A</w:t>
      </w:r>
      <w:r>
        <w:rPr>
          <w:spacing w:val="-18"/>
        </w:rPr>
        <w:t xml:space="preserve"> </w:t>
      </w:r>
      <w:r>
        <w:t>–</w:t>
      </w:r>
      <w:r>
        <w:rPr>
          <w:spacing w:val="-5"/>
        </w:rPr>
        <w:t xml:space="preserve"> </w:t>
      </w:r>
      <w:r>
        <w:t>Example</w:t>
      </w:r>
      <w:r>
        <w:rPr>
          <w:spacing w:val="-16"/>
        </w:rPr>
        <w:t xml:space="preserve"> </w:t>
      </w:r>
      <w:r>
        <w:t>Audit</w:t>
      </w:r>
      <w:r>
        <w:rPr>
          <w:spacing w:val="-6"/>
        </w:rPr>
        <w:t xml:space="preserve"> </w:t>
      </w:r>
      <w:r>
        <w:t>Procedures</w:t>
      </w:r>
      <w:r>
        <w:rPr>
          <w:spacing w:val="-5"/>
        </w:rPr>
        <w:t xml:space="preserve"> </w:t>
      </w:r>
      <w:r>
        <w:t>for</w:t>
      </w:r>
      <w:r>
        <w:rPr>
          <w:spacing w:val="-6"/>
        </w:rPr>
        <w:t xml:space="preserve"> </w:t>
      </w:r>
      <w:r>
        <w:t>Litigation,</w:t>
      </w:r>
      <w:r>
        <w:rPr>
          <w:spacing w:val="-6"/>
        </w:rPr>
        <w:t xml:space="preserve"> </w:t>
      </w:r>
      <w:r>
        <w:t>Claims,</w:t>
      </w:r>
      <w:r>
        <w:rPr>
          <w:u w:val="none"/>
        </w:rPr>
        <w:t xml:space="preserve"> </w:t>
      </w:r>
      <w:r>
        <w:t>and Assessments</w:t>
      </w:r>
    </w:p>
    <w:p w14:paraId="0DFDC903" w14:textId="77777777" w:rsidR="00046465" w:rsidRDefault="00046465">
      <w:pPr>
        <w:pStyle w:val="BodyText"/>
        <w:spacing w:before="46"/>
        <w:rPr>
          <w:b/>
        </w:rPr>
      </w:pPr>
    </w:p>
    <w:p w14:paraId="0DFDC904" w14:textId="77777777" w:rsidR="00046465" w:rsidRDefault="008134EB">
      <w:pPr>
        <w:pStyle w:val="BodyText"/>
        <w:tabs>
          <w:tab w:val="left" w:pos="9685"/>
        </w:tabs>
        <w:spacing w:before="1" w:after="18" w:line="352" w:lineRule="auto"/>
        <w:ind w:left="360" w:right="750"/>
        <w:jc w:val="both"/>
      </w:pPr>
      <w:r>
        <w:t>Entity</w:t>
      </w:r>
      <w:r>
        <w:rPr>
          <w:spacing w:val="151"/>
        </w:rPr>
        <w:t xml:space="preserve"> </w:t>
      </w:r>
      <w:r>
        <w:rPr>
          <w:u w:val="single"/>
        </w:rPr>
        <w:tab/>
      </w:r>
      <w:r>
        <w:t xml:space="preserve"> Period of financial statements</w:t>
      </w:r>
      <w:r>
        <w:rPr>
          <w:spacing w:val="143"/>
        </w:rPr>
        <w:t xml:space="preserve"> </w:t>
      </w:r>
      <w:r>
        <w:rPr>
          <w:u w:val="single"/>
        </w:rPr>
        <w:tab/>
      </w:r>
      <w:r>
        <w:t xml:space="preserve"> Job code</w:t>
      </w:r>
      <w:r>
        <w:rPr>
          <w:spacing w:val="175"/>
        </w:rPr>
        <w:t xml:space="preserve"> </w:t>
      </w:r>
      <w:r>
        <w:rPr>
          <w:u w:val="single"/>
        </w:rPr>
        <w:tab/>
      </w:r>
    </w:p>
    <w:tbl>
      <w:tblPr>
        <w:tblW w:w="0" w:type="auto"/>
        <w:tblInd w:w="45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420"/>
        <w:gridCol w:w="1024"/>
        <w:gridCol w:w="765"/>
      </w:tblGrid>
      <w:tr w:rsidR="00046465" w14:paraId="0DFDC90B" w14:textId="77777777">
        <w:trPr>
          <w:trHeight w:val="999"/>
        </w:trPr>
        <w:tc>
          <w:tcPr>
            <w:tcW w:w="7420" w:type="dxa"/>
            <w:tcBorders>
              <w:bottom w:val="single" w:sz="6" w:space="0" w:color="000000"/>
              <w:right w:val="single" w:sz="6" w:space="0" w:color="000000"/>
            </w:tcBorders>
          </w:tcPr>
          <w:p w14:paraId="0DFDC905" w14:textId="77777777" w:rsidR="00046465" w:rsidRDefault="00046465">
            <w:pPr>
              <w:pStyle w:val="TableParagraph"/>
            </w:pPr>
          </w:p>
          <w:p w14:paraId="0DFDC906" w14:textId="77777777" w:rsidR="00046465" w:rsidRDefault="00046465">
            <w:pPr>
              <w:pStyle w:val="TableParagraph"/>
              <w:spacing w:before="120"/>
            </w:pPr>
          </w:p>
          <w:p w14:paraId="0DFDC907" w14:textId="77777777" w:rsidR="00046465" w:rsidRDefault="008134EB">
            <w:pPr>
              <w:pStyle w:val="TableParagraph"/>
              <w:ind w:left="92"/>
              <w:rPr>
                <w:b/>
              </w:rPr>
            </w:pPr>
            <w:r>
              <w:rPr>
                <w:b/>
              </w:rPr>
              <w:t>Example</w:t>
            </w:r>
            <w:r>
              <w:rPr>
                <w:b/>
                <w:spacing w:val="-8"/>
              </w:rPr>
              <w:t xml:space="preserve"> </w:t>
            </w:r>
            <w:r>
              <w:rPr>
                <w:b/>
              </w:rPr>
              <w:t>audit</w:t>
            </w:r>
            <w:r>
              <w:rPr>
                <w:b/>
                <w:spacing w:val="-8"/>
              </w:rPr>
              <w:t xml:space="preserve"> </w:t>
            </w:r>
            <w:r>
              <w:rPr>
                <w:b/>
                <w:spacing w:val="-2"/>
              </w:rPr>
              <w:t>procedures</w:t>
            </w:r>
          </w:p>
        </w:tc>
        <w:tc>
          <w:tcPr>
            <w:tcW w:w="1024" w:type="dxa"/>
            <w:tcBorders>
              <w:left w:val="single" w:sz="6" w:space="0" w:color="000000"/>
              <w:bottom w:val="single" w:sz="6" w:space="0" w:color="000000"/>
              <w:right w:val="single" w:sz="6" w:space="0" w:color="000000"/>
            </w:tcBorders>
          </w:tcPr>
          <w:p w14:paraId="0DFDC908" w14:textId="77777777" w:rsidR="00046465" w:rsidRDefault="008134EB">
            <w:pPr>
              <w:pStyle w:val="TableParagraph"/>
              <w:spacing w:before="120"/>
              <w:ind w:left="107" w:right="201"/>
              <w:rPr>
                <w:b/>
              </w:rPr>
            </w:pPr>
            <w:r>
              <w:rPr>
                <w:b/>
                <w:spacing w:val="-2"/>
              </w:rPr>
              <w:t xml:space="preserve">Initials </w:t>
            </w:r>
            <w:r>
              <w:rPr>
                <w:b/>
                <w:spacing w:val="-4"/>
              </w:rPr>
              <w:t>and date</w:t>
            </w:r>
          </w:p>
        </w:tc>
        <w:tc>
          <w:tcPr>
            <w:tcW w:w="765" w:type="dxa"/>
            <w:tcBorders>
              <w:left w:val="single" w:sz="6" w:space="0" w:color="000000"/>
              <w:bottom w:val="single" w:sz="6" w:space="0" w:color="000000"/>
            </w:tcBorders>
          </w:tcPr>
          <w:p w14:paraId="0DFDC909" w14:textId="77777777" w:rsidR="00046465" w:rsidRDefault="00046465">
            <w:pPr>
              <w:pStyle w:val="TableParagraph"/>
              <w:spacing w:before="120"/>
            </w:pPr>
          </w:p>
          <w:p w14:paraId="0DFDC90A" w14:textId="77777777" w:rsidR="00046465" w:rsidRDefault="008134EB">
            <w:pPr>
              <w:pStyle w:val="TableParagraph"/>
              <w:ind w:left="107" w:right="148" w:hanging="1"/>
              <w:rPr>
                <w:b/>
              </w:rPr>
            </w:pPr>
            <w:r>
              <w:rPr>
                <w:b/>
                <w:spacing w:val="-4"/>
              </w:rPr>
              <w:t>Doc. ref.</w:t>
            </w:r>
          </w:p>
        </w:tc>
      </w:tr>
      <w:tr w:rsidR="00046465" w14:paraId="0DFDC911" w14:textId="77777777">
        <w:trPr>
          <w:trHeight w:val="1370"/>
        </w:trPr>
        <w:tc>
          <w:tcPr>
            <w:tcW w:w="7420" w:type="dxa"/>
            <w:tcBorders>
              <w:top w:val="single" w:sz="6" w:space="0" w:color="000000"/>
              <w:bottom w:val="single" w:sz="6" w:space="0" w:color="000000"/>
              <w:right w:val="single" w:sz="6" w:space="0" w:color="000000"/>
            </w:tcBorders>
          </w:tcPr>
          <w:p w14:paraId="0DFDC90C" w14:textId="77777777" w:rsidR="00046465" w:rsidRDefault="008134EB">
            <w:pPr>
              <w:pStyle w:val="TableParagraph"/>
              <w:spacing w:before="119"/>
              <w:ind w:left="92"/>
              <w:rPr>
                <w:b/>
              </w:rPr>
            </w:pPr>
            <w:r>
              <w:rPr>
                <w:b/>
                <w:u w:val="single"/>
              </w:rPr>
              <w:t>I.</w:t>
            </w:r>
            <w:r>
              <w:rPr>
                <w:b/>
                <w:spacing w:val="-5"/>
                <w:u w:val="single"/>
              </w:rPr>
              <w:t xml:space="preserve"> </w:t>
            </w:r>
            <w:r>
              <w:rPr>
                <w:b/>
                <w:u w:val="single"/>
              </w:rPr>
              <w:t>Testing</w:t>
            </w:r>
            <w:r>
              <w:rPr>
                <w:b/>
                <w:spacing w:val="-4"/>
                <w:u w:val="single"/>
              </w:rPr>
              <w:t xml:space="preserve"> </w:t>
            </w:r>
            <w:r>
              <w:rPr>
                <w:b/>
                <w:spacing w:val="-2"/>
                <w:u w:val="single"/>
              </w:rPr>
              <w:t>procedures</w:t>
            </w:r>
          </w:p>
          <w:p w14:paraId="0DFDC90D" w14:textId="77777777" w:rsidR="00046465" w:rsidRDefault="008134EB">
            <w:pPr>
              <w:pStyle w:val="TableParagraph"/>
              <w:tabs>
                <w:tab w:val="left" w:pos="668"/>
              </w:tabs>
              <w:spacing w:before="241"/>
              <w:ind w:left="668" w:hanging="577"/>
            </w:pPr>
            <w:r>
              <w:rPr>
                <w:spacing w:val="-5"/>
              </w:rPr>
              <w:t>1)</w:t>
            </w:r>
            <w:r>
              <w:tab/>
              <w:t>Ask</w:t>
            </w:r>
            <w:r>
              <w:rPr>
                <w:spacing w:val="-8"/>
              </w:rPr>
              <w:t xml:space="preserve"> </w:t>
            </w:r>
            <w:r>
              <w:t>management</w:t>
            </w:r>
            <w:r>
              <w:rPr>
                <w:spacing w:val="-8"/>
              </w:rPr>
              <w:t xml:space="preserve"> </w:t>
            </w:r>
            <w:r>
              <w:t>about</w:t>
            </w:r>
            <w:r>
              <w:rPr>
                <w:spacing w:val="-7"/>
              </w:rPr>
              <w:t xml:space="preserve"> </w:t>
            </w:r>
            <w:r>
              <w:t>the</w:t>
            </w:r>
            <w:r>
              <w:rPr>
                <w:spacing w:val="-8"/>
              </w:rPr>
              <w:t xml:space="preserve"> </w:t>
            </w:r>
            <w:r>
              <w:t>entity’s</w:t>
            </w:r>
            <w:r>
              <w:rPr>
                <w:spacing w:val="-8"/>
              </w:rPr>
              <w:t xml:space="preserve"> </w:t>
            </w:r>
            <w:r>
              <w:t>policies</w:t>
            </w:r>
            <w:r>
              <w:rPr>
                <w:spacing w:val="-7"/>
              </w:rPr>
              <w:t xml:space="preserve"> </w:t>
            </w:r>
            <w:r>
              <w:t>and</w:t>
            </w:r>
            <w:r>
              <w:rPr>
                <w:spacing w:val="-8"/>
              </w:rPr>
              <w:t xml:space="preserve"> </w:t>
            </w:r>
            <w:r>
              <w:t>procedures</w:t>
            </w:r>
            <w:r>
              <w:rPr>
                <w:spacing w:val="-7"/>
              </w:rPr>
              <w:t xml:space="preserve"> </w:t>
            </w:r>
            <w:r>
              <w:rPr>
                <w:spacing w:val="-5"/>
              </w:rPr>
              <w:t>for</w:t>
            </w:r>
          </w:p>
          <w:p w14:paraId="0DFDC90E" w14:textId="77777777" w:rsidR="00046465" w:rsidRDefault="008134EB">
            <w:pPr>
              <w:pStyle w:val="TableParagraph"/>
              <w:spacing w:line="252" w:lineRule="exact"/>
              <w:ind w:left="668"/>
            </w:pPr>
            <w:r>
              <w:t>identifying,</w:t>
            </w:r>
            <w:r>
              <w:rPr>
                <w:spacing w:val="-7"/>
              </w:rPr>
              <w:t xml:space="preserve"> </w:t>
            </w:r>
            <w:r>
              <w:t>evaluating,</w:t>
            </w:r>
            <w:r>
              <w:rPr>
                <w:spacing w:val="-7"/>
              </w:rPr>
              <w:t xml:space="preserve"> </w:t>
            </w:r>
            <w:r>
              <w:t>and</w:t>
            </w:r>
            <w:r>
              <w:rPr>
                <w:spacing w:val="-6"/>
              </w:rPr>
              <w:t xml:space="preserve"> </w:t>
            </w:r>
            <w:r>
              <w:t>accounting</w:t>
            </w:r>
            <w:r>
              <w:rPr>
                <w:spacing w:val="-6"/>
              </w:rPr>
              <w:t xml:space="preserve"> </w:t>
            </w:r>
            <w:r>
              <w:t>for</w:t>
            </w:r>
            <w:r>
              <w:rPr>
                <w:spacing w:val="-6"/>
              </w:rPr>
              <w:t xml:space="preserve"> </w:t>
            </w:r>
            <w:r>
              <w:t>litigation,</w:t>
            </w:r>
            <w:r>
              <w:rPr>
                <w:spacing w:val="-6"/>
              </w:rPr>
              <w:t xml:space="preserve"> </w:t>
            </w:r>
            <w:r>
              <w:t>claims,</w:t>
            </w:r>
            <w:r>
              <w:rPr>
                <w:spacing w:val="-7"/>
              </w:rPr>
              <w:t xml:space="preserve"> </w:t>
            </w:r>
            <w:r>
              <w:t xml:space="preserve">and </w:t>
            </w:r>
            <w:r>
              <w:rPr>
                <w:spacing w:val="-2"/>
              </w:rPr>
              <w:t>assessments.</w:t>
            </w:r>
          </w:p>
        </w:tc>
        <w:tc>
          <w:tcPr>
            <w:tcW w:w="1024" w:type="dxa"/>
            <w:tcBorders>
              <w:top w:val="single" w:sz="6" w:space="0" w:color="000000"/>
              <w:left w:val="single" w:sz="6" w:space="0" w:color="000000"/>
              <w:bottom w:val="single" w:sz="6" w:space="0" w:color="000000"/>
              <w:right w:val="single" w:sz="6" w:space="0" w:color="000000"/>
            </w:tcBorders>
          </w:tcPr>
          <w:p w14:paraId="0DFDC90F" w14:textId="77777777" w:rsidR="00046465" w:rsidRDefault="00046465">
            <w:pPr>
              <w:pStyle w:val="TableParagraph"/>
              <w:rPr>
                <w:rFonts w:ascii="Times New Roman"/>
              </w:rPr>
            </w:pPr>
          </w:p>
        </w:tc>
        <w:tc>
          <w:tcPr>
            <w:tcW w:w="765" w:type="dxa"/>
            <w:tcBorders>
              <w:top w:val="single" w:sz="6" w:space="0" w:color="000000"/>
              <w:left w:val="single" w:sz="6" w:space="0" w:color="000000"/>
              <w:bottom w:val="single" w:sz="6" w:space="0" w:color="000000"/>
            </w:tcBorders>
          </w:tcPr>
          <w:p w14:paraId="0DFDC910" w14:textId="77777777" w:rsidR="00046465" w:rsidRDefault="00046465">
            <w:pPr>
              <w:pStyle w:val="TableParagraph"/>
              <w:rPr>
                <w:rFonts w:ascii="Times New Roman"/>
              </w:rPr>
            </w:pPr>
          </w:p>
        </w:tc>
      </w:tr>
      <w:tr w:rsidR="00046465" w14:paraId="0DFDC915" w14:textId="77777777">
        <w:trPr>
          <w:trHeight w:val="1505"/>
        </w:trPr>
        <w:tc>
          <w:tcPr>
            <w:tcW w:w="7420" w:type="dxa"/>
            <w:tcBorders>
              <w:top w:val="single" w:sz="6" w:space="0" w:color="000000"/>
              <w:bottom w:val="single" w:sz="6" w:space="0" w:color="000000"/>
              <w:right w:val="single" w:sz="6" w:space="0" w:color="000000"/>
            </w:tcBorders>
          </w:tcPr>
          <w:p w14:paraId="0DFDC912" w14:textId="77777777" w:rsidR="00046465" w:rsidRDefault="008134EB">
            <w:pPr>
              <w:pStyle w:val="TableParagraph"/>
              <w:tabs>
                <w:tab w:val="left" w:pos="668"/>
              </w:tabs>
              <w:spacing w:before="121"/>
              <w:ind w:left="668" w:right="116" w:hanging="577"/>
            </w:pPr>
            <w:r>
              <w:rPr>
                <w:spacing w:val="-6"/>
              </w:rPr>
              <w:t>2)</w:t>
            </w:r>
            <w:r>
              <w:tab/>
              <w:t>Obtain from management (or the entity’s legal counsel) a description and evaluation of litigation, claims, and assessments that existed at the date of the financial statements being reported</w:t>
            </w:r>
            <w:r>
              <w:rPr>
                <w:spacing w:val="40"/>
              </w:rPr>
              <w:t xml:space="preserve"> </w:t>
            </w:r>
            <w:r>
              <w:t>on</w:t>
            </w:r>
            <w:r>
              <w:rPr>
                <w:spacing w:val="-4"/>
              </w:rPr>
              <w:t xml:space="preserve"> </w:t>
            </w:r>
            <w:r>
              <w:t>and</w:t>
            </w:r>
            <w:r>
              <w:rPr>
                <w:spacing w:val="-4"/>
              </w:rPr>
              <w:t xml:space="preserve"> </w:t>
            </w:r>
            <w:r>
              <w:t>during</w:t>
            </w:r>
            <w:r>
              <w:rPr>
                <w:spacing w:val="-4"/>
              </w:rPr>
              <w:t xml:space="preserve"> </w:t>
            </w:r>
            <w:r>
              <w:t>the</w:t>
            </w:r>
            <w:r>
              <w:rPr>
                <w:spacing w:val="-4"/>
              </w:rPr>
              <w:t xml:space="preserve"> </w:t>
            </w:r>
            <w:r>
              <w:t>period</w:t>
            </w:r>
            <w:r>
              <w:rPr>
                <w:spacing w:val="-4"/>
              </w:rPr>
              <w:t xml:space="preserve"> </w:t>
            </w:r>
            <w:r>
              <w:t>from</w:t>
            </w:r>
            <w:r>
              <w:rPr>
                <w:spacing w:val="-4"/>
              </w:rPr>
              <w:t xml:space="preserve"> </w:t>
            </w:r>
            <w:r>
              <w:t>the</w:t>
            </w:r>
            <w:r>
              <w:rPr>
                <w:spacing w:val="-4"/>
              </w:rPr>
              <w:t xml:space="preserve"> </w:t>
            </w:r>
            <w:r>
              <w:t>date</w:t>
            </w:r>
            <w:r>
              <w:rPr>
                <w:spacing w:val="-4"/>
              </w:rPr>
              <w:t xml:space="preserve"> </w:t>
            </w:r>
            <w:r>
              <w:t>of</w:t>
            </w:r>
            <w:r>
              <w:rPr>
                <w:spacing w:val="-4"/>
              </w:rPr>
              <w:t xml:space="preserve"> </w:t>
            </w:r>
            <w:r>
              <w:t>the</w:t>
            </w:r>
            <w:r>
              <w:rPr>
                <w:spacing w:val="-4"/>
              </w:rPr>
              <w:t xml:space="preserve"> </w:t>
            </w:r>
            <w:r>
              <w:t>financial</w:t>
            </w:r>
            <w:r>
              <w:rPr>
                <w:spacing w:val="-4"/>
              </w:rPr>
              <w:t xml:space="preserve"> </w:t>
            </w:r>
            <w:r>
              <w:t>statements</w:t>
            </w:r>
            <w:r>
              <w:rPr>
                <w:spacing w:val="-4"/>
              </w:rPr>
              <w:t xml:space="preserve"> </w:t>
            </w:r>
            <w:r>
              <w:t>to the date the information is furnished.</w:t>
            </w:r>
          </w:p>
        </w:tc>
        <w:tc>
          <w:tcPr>
            <w:tcW w:w="1024" w:type="dxa"/>
            <w:tcBorders>
              <w:top w:val="single" w:sz="6" w:space="0" w:color="000000"/>
              <w:left w:val="single" w:sz="6" w:space="0" w:color="000000"/>
              <w:bottom w:val="single" w:sz="6" w:space="0" w:color="000000"/>
              <w:right w:val="single" w:sz="6" w:space="0" w:color="000000"/>
            </w:tcBorders>
          </w:tcPr>
          <w:p w14:paraId="0DFDC913" w14:textId="77777777" w:rsidR="00046465" w:rsidRDefault="00046465">
            <w:pPr>
              <w:pStyle w:val="TableParagraph"/>
              <w:rPr>
                <w:rFonts w:ascii="Times New Roman"/>
              </w:rPr>
            </w:pPr>
          </w:p>
        </w:tc>
        <w:tc>
          <w:tcPr>
            <w:tcW w:w="765" w:type="dxa"/>
            <w:tcBorders>
              <w:top w:val="single" w:sz="6" w:space="0" w:color="000000"/>
              <w:left w:val="single" w:sz="6" w:space="0" w:color="000000"/>
              <w:bottom w:val="single" w:sz="6" w:space="0" w:color="000000"/>
            </w:tcBorders>
          </w:tcPr>
          <w:p w14:paraId="0DFDC914" w14:textId="77777777" w:rsidR="00046465" w:rsidRDefault="00046465">
            <w:pPr>
              <w:pStyle w:val="TableParagraph"/>
              <w:rPr>
                <w:rFonts w:ascii="Times New Roman"/>
              </w:rPr>
            </w:pPr>
          </w:p>
        </w:tc>
      </w:tr>
      <w:tr w:rsidR="00046465" w14:paraId="0DFDC919" w14:textId="77777777">
        <w:trPr>
          <w:trHeight w:val="2010"/>
        </w:trPr>
        <w:tc>
          <w:tcPr>
            <w:tcW w:w="7420" w:type="dxa"/>
            <w:tcBorders>
              <w:top w:val="single" w:sz="6" w:space="0" w:color="000000"/>
              <w:bottom w:val="single" w:sz="6" w:space="0" w:color="000000"/>
              <w:right w:val="single" w:sz="6" w:space="0" w:color="000000"/>
            </w:tcBorders>
          </w:tcPr>
          <w:p w14:paraId="0DFDC916" w14:textId="77777777" w:rsidR="00046465" w:rsidRDefault="008134EB">
            <w:pPr>
              <w:pStyle w:val="TableParagraph"/>
              <w:tabs>
                <w:tab w:val="left" w:pos="668"/>
              </w:tabs>
              <w:spacing w:before="119"/>
              <w:ind w:left="668" w:right="262" w:hanging="577"/>
            </w:pPr>
            <w:r>
              <w:rPr>
                <w:spacing w:val="-6"/>
              </w:rPr>
              <w:t>3)</w:t>
            </w:r>
            <w:r>
              <w:tab/>
              <w:t>Inquire</w:t>
            </w:r>
            <w:r>
              <w:rPr>
                <w:spacing w:val="-5"/>
              </w:rPr>
              <w:t xml:space="preserve"> </w:t>
            </w:r>
            <w:r>
              <w:t>of</w:t>
            </w:r>
            <w:r>
              <w:rPr>
                <w:spacing w:val="-5"/>
              </w:rPr>
              <w:t xml:space="preserve"> </w:t>
            </w:r>
            <w:r>
              <w:t>management</w:t>
            </w:r>
            <w:r>
              <w:rPr>
                <w:spacing w:val="-5"/>
              </w:rPr>
              <w:t xml:space="preserve"> </w:t>
            </w:r>
            <w:r>
              <w:t>or</w:t>
            </w:r>
            <w:r>
              <w:rPr>
                <w:spacing w:val="-5"/>
              </w:rPr>
              <w:t xml:space="preserve"> </w:t>
            </w:r>
            <w:r>
              <w:t>the</w:t>
            </w:r>
            <w:r>
              <w:rPr>
                <w:spacing w:val="-5"/>
              </w:rPr>
              <w:t xml:space="preserve"> </w:t>
            </w:r>
            <w:r>
              <w:t>entity’s</w:t>
            </w:r>
            <w:r>
              <w:rPr>
                <w:spacing w:val="-5"/>
              </w:rPr>
              <w:t xml:space="preserve"> </w:t>
            </w:r>
            <w:r>
              <w:t>general</w:t>
            </w:r>
            <w:r>
              <w:rPr>
                <w:spacing w:val="-5"/>
              </w:rPr>
              <w:t xml:space="preserve"> </w:t>
            </w:r>
            <w:r>
              <w:t>counsel</w:t>
            </w:r>
            <w:r>
              <w:rPr>
                <w:spacing w:val="-5"/>
              </w:rPr>
              <w:t xml:space="preserve"> </w:t>
            </w:r>
            <w:r>
              <w:t>whether</w:t>
            </w:r>
            <w:r>
              <w:rPr>
                <w:spacing w:val="-4"/>
              </w:rPr>
              <w:t xml:space="preserve"> </w:t>
            </w:r>
            <w:r>
              <w:t>the entity uses external legal counsel whose engagement may be limited to particular matters (e.g., specific litigation). Ask management for a list of pending litigation, claims, and assessments from the Department of Justice and other external legal counsel, if any. Review related correspondence, legal expense accounts, and invoices.</w:t>
            </w:r>
          </w:p>
        </w:tc>
        <w:tc>
          <w:tcPr>
            <w:tcW w:w="1024" w:type="dxa"/>
            <w:tcBorders>
              <w:top w:val="single" w:sz="6" w:space="0" w:color="000000"/>
              <w:left w:val="single" w:sz="6" w:space="0" w:color="000000"/>
              <w:bottom w:val="single" w:sz="6" w:space="0" w:color="000000"/>
              <w:right w:val="single" w:sz="6" w:space="0" w:color="000000"/>
            </w:tcBorders>
          </w:tcPr>
          <w:p w14:paraId="0DFDC917" w14:textId="77777777" w:rsidR="00046465" w:rsidRDefault="00046465">
            <w:pPr>
              <w:pStyle w:val="TableParagraph"/>
              <w:rPr>
                <w:rFonts w:ascii="Times New Roman"/>
              </w:rPr>
            </w:pPr>
          </w:p>
        </w:tc>
        <w:tc>
          <w:tcPr>
            <w:tcW w:w="765" w:type="dxa"/>
            <w:tcBorders>
              <w:top w:val="single" w:sz="6" w:space="0" w:color="000000"/>
              <w:left w:val="single" w:sz="6" w:space="0" w:color="000000"/>
              <w:bottom w:val="single" w:sz="6" w:space="0" w:color="000000"/>
            </w:tcBorders>
          </w:tcPr>
          <w:p w14:paraId="0DFDC918" w14:textId="77777777" w:rsidR="00046465" w:rsidRDefault="00046465">
            <w:pPr>
              <w:pStyle w:val="TableParagraph"/>
              <w:rPr>
                <w:rFonts w:ascii="Times New Roman"/>
              </w:rPr>
            </w:pPr>
          </w:p>
        </w:tc>
      </w:tr>
      <w:tr w:rsidR="00046465" w14:paraId="0DFDC91D" w14:textId="77777777">
        <w:trPr>
          <w:trHeight w:val="2010"/>
        </w:trPr>
        <w:tc>
          <w:tcPr>
            <w:tcW w:w="7420" w:type="dxa"/>
            <w:tcBorders>
              <w:top w:val="single" w:sz="6" w:space="0" w:color="000000"/>
              <w:bottom w:val="single" w:sz="6" w:space="0" w:color="000000"/>
              <w:right w:val="single" w:sz="6" w:space="0" w:color="000000"/>
            </w:tcBorders>
          </w:tcPr>
          <w:p w14:paraId="0DFDC91A" w14:textId="77777777" w:rsidR="00046465" w:rsidRDefault="008134EB">
            <w:pPr>
              <w:pStyle w:val="TableParagraph"/>
              <w:tabs>
                <w:tab w:val="left" w:pos="668"/>
              </w:tabs>
              <w:spacing w:before="121"/>
              <w:ind w:left="668" w:right="129" w:hanging="577"/>
            </w:pPr>
            <w:r>
              <w:rPr>
                <w:spacing w:val="-6"/>
              </w:rPr>
              <w:t>4)</w:t>
            </w:r>
            <w:r>
              <w:tab/>
              <w:t>Ask</w:t>
            </w:r>
            <w:r>
              <w:rPr>
                <w:spacing w:val="-4"/>
              </w:rPr>
              <w:t xml:space="preserve"> </w:t>
            </w:r>
            <w:r>
              <w:t>management</w:t>
            </w:r>
            <w:r>
              <w:rPr>
                <w:spacing w:val="-4"/>
              </w:rPr>
              <w:t xml:space="preserve"> </w:t>
            </w:r>
            <w:r>
              <w:t>whether</w:t>
            </w:r>
            <w:r>
              <w:rPr>
                <w:spacing w:val="-4"/>
              </w:rPr>
              <w:t xml:space="preserve"> </w:t>
            </w:r>
            <w:r>
              <w:t>there</w:t>
            </w:r>
            <w:r>
              <w:rPr>
                <w:spacing w:val="-4"/>
              </w:rPr>
              <w:t xml:space="preserve"> </w:t>
            </w:r>
            <w:r>
              <w:t>have</w:t>
            </w:r>
            <w:r>
              <w:rPr>
                <w:spacing w:val="-4"/>
              </w:rPr>
              <w:t xml:space="preserve"> </w:t>
            </w:r>
            <w:r>
              <w:t>been</w:t>
            </w:r>
            <w:r>
              <w:rPr>
                <w:spacing w:val="-4"/>
              </w:rPr>
              <w:t xml:space="preserve"> </w:t>
            </w:r>
            <w:r>
              <w:t>changes</w:t>
            </w:r>
            <w:r>
              <w:rPr>
                <w:spacing w:val="-4"/>
              </w:rPr>
              <w:t xml:space="preserve"> </w:t>
            </w:r>
            <w:r>
              <w:t>in</w:t>
            </w:r>
            <w:r>
              <w:rPr>
                <w:spacing w:val="-4"/>
              </w:rPr>
              <w:t xml:space="preserve"> </w:t>
            </w:r>
            <w:r>
              <w:t>the</w:t>
            </w:r>
            <w:r>
              <w:rPr>
                <w:spacing w:val="-4"/>
              </w:rPr>
              <w:t xml:space="preserve"> </w:t>
            </w:r>
            <w:r>
              <w:t>status</w:t>
            </w:r>
            <w:r>
              <w:rPr>
                <w:spacing w:val="-4"/>
              </w:rPr>
              <w:t xml:space="preserve"> </w:t>
            </w:r>
            <w:r>
              <w:t>of the general counsel or external legal counsel, such as resignations or intentions</w:t>
            </w:r>
            <w:r>
              <w:rPr>
                <w:spacing w:val="-1"/>
              </w:rPr>
              <w:t xml:space="preserve"> </w:t>
            </w:r>
            <w:r>
              <w:t>to resign. If</w:t>
            </w:r>
            <w:r>
              <w:rPr>
                <w:spacing w:val="-1"/>
              </w:rPr>
              <w:t xml:space="preserve"> </w:t>
            </w:r>
            <w:r>
              <w:t>so, inquire of management or others</w:t>
            </w:r>
            <w:r>
              <w:rPr>
                <w:spacing w:val="-1"/>
              </w:rPr>
              <w:t xml:space="preserve"> </w:t>
            </w:r>
            <w:r>
              <w:t>about the reasons for the resignation or intention to resign. For example, in appropriate circumstances, a legal counsel may be permitted by rules of professional conduct to resign if the legal counsel’s advice is disregarded by the entity.</w:t>
            </w:r>
          </w:p>
        </w:tc>
        <w:tc>
          <w:tcPr>
            <w:tcW w:w="1024" w:type="dxa"/>
            <w:tcBorders>
              <w:top w:val="single" w:sz="6" w:space="0" w:color="000000"/>
              <w:left w:val="single" w:sz="6" w:space="0" w:color="000000"/>
              <w:bottom w:val="single" w:sz="6" w:space="0" w:color="000000"/>
              <w:right w:val="single" w:sz="6" w:space="0" w:color="000000"/>
            </w:tcBorders>
          </w:tcPr>
          <w:p w14:paraId="0DFDC91B" w14:textId="77777777" w:rsidR="00046465" w:rsidRDefault="00046465">
            <w:pPr>
              <w:pStyle w:val="TableParagraph"/>
              <w:rPr>
                <w:rFonts w:ascii="Times New Roman"/>
              </w:rPr>
            </w:pPr>
          </w:p>
        </w:tc>
        <w:tc>
          <w:tcPr>
            <w:tcW w:w="765" w:type="dxa"/>
            <w:tcBorders>
              <w:top w:val="single" w:sz="6" w:space="0" w:color="000000"/>
              <w:left w:val="single" w:sz="6" w:space="0" w:color="000000"/>
              <w:bottom w:val="single" w:sz="6" w:space="0" w:color="000000"/>
            </w:tcBorders>
          </w:tcPr>
          <w:p w14:paraId="0DFDC91C" w14:textId="77777777" w:rsidR="00046465" w:rsidRDefault="00046465">
            <w:pPr>
              <w:pStyle w:val="TableParagraph"/>
              <w:rPr>
                <w:rFonts w:ascii="Times New Roman"/>
              </w:rPr>
            </w:pPr>
          </w:p>
        </w:tc>
      </w:tr>
      <w:tr w:rsidR="00046465" w14:paraId="0DFDC921" w14:textId="77777777">
        <w:trPr>
          <w:trHeight w:val="2011"/>
        </w:trPr>
        <w:tc>
          <w:tcPr>
            <w:tcW w:w="7420" w:type="dxa"/>
            <w:tcBorders>
              <w:top w:val="single" w:sz="6" w:space="0" w:color="000000"/>
              <w:bottom w:val="single" w:sz="6" w:space="0" w:color="000000"/>
              <w:right w:val="single" w:sz="6" w:space="0" w:color="000000"/>
            </w:tcBorders>
          </w:tcPr>
          <w:p w14:paraId="0DFDC91E" w14:textId="77777777" w:rsidR="00046465" w:rsidRDefault="008134EB">
            <w:pPr>
              <w:pStyle w:val="TableParagraph"/>
              <w:tabs>
                <w:tab w:val="left" w:pos="668"/>
              </w:tabs>
              <w:spacing w:before="121"/>
              <w:ind w:left="668" w:right="247" w:hanging="577"/>
            </w:pPr>
            <w:r>
              <w:rPr>
                <w:spacing w:val="-6"/>
              </w:rPr>
              <w:t>5)</w:t>
            </w:r>
            <w:r>
              <w:tab/>
              <w:t>To identify litigation, claims, and assessments, review minutes of meetings of those charged with governance; documents obtained from</w:t>
            </w:r>
            <w:r>
              <w:rPr>
                <w:spacing w:val="-1"/>
              </w:rPr>
              <w:t xml:space="preserve"> </w:t>
            </w:r>
            <w:r>
              <w:t>management concerning litigation, claims,</w:t>
            </w:r>
            <w:r>
              <w:rPr>
                <w:spacing w:val="-1"/>
              </w:rPr>
              <w:t xml:space="preserve"> </w:t>
            </w:r>
            <w:r>
              <w:t>and assessments; and correspondence between the entity and its legal counsel. The auditor</w:t>
            </w:r>
            <w:r>
              <w:rPr>
                <w:spacing w:val="-4"/>
              </w:rPr>
              <w:t xml:space="preserve"> </w:t>
            </w:r>
            <w:r>
              <w:t>may</w:t>
            </w:r>
            <w:r>
              <w:rPr>
                <w:spacing w:val="-4"/>
              </w:rPr>
              <w:t xml:space="preserve"> </w:t>
            </w:r>
            <w:r>
              <w:t>also</w:t>
            </w:r>
            <w:r>
              <w:rPr>
                <w:spacing w:val="-4"/>
              </w:rPr>
              <w:t xml:space="preserve"> </w:t>
            </w:r>
            <w:r>
              <w:t>read</w:t>
            </w:r>
            <w:r>
              <w:rPr>
                <w:spacing w:val="-4"/>
              </w:rPr>
              <w:t xml:space="preserve"> </w:t>
            </w:r>
            <w:r>
              <w:t>contracts</w:t>
            </w:r>
            <w:r>
              <w:rPr>
                <w:spacing w:val="-4"/>
              </w:rPr>
              <w:t xml:space="preserve"> </w:t>
            </w:r>
            <w:r>
              <w:t>and</w:t>
            </w:r>
            <w:r>
              <w:rPr>
                <w:spacing w:val="-5"/>
              </w:rPr>
              <w:t xml:space="preserve"> </w:t>
            </w:r>
            <w:r>
              <w:t>other</w:t>
            </w:r>
            <w:r>
              <w:rPr>
                <w:spacing w:val="-4"/>
              </w:rPr>
              <w:t xml:space="preserve"> </w:t>
            </w:r>
            <w:r>
              <w:t>agreements</w:t>
            </w:r>
            <w:r>
              <w:rPr>
                <w:spacing w:val="-4"/>
              </w:rPr>
              <w:t xml:space="preserve"> </w:t>
            </w:r>
            <w:r>
              <w:t>and</w:t>
            </w:r>
            <w:r>
              <w:rPr>
                <w:spacing w:val="-4"/>
              </w:rPr>
              <w:t xml:space="preserve"> </w:t>
            </w:r>
            <w:r>
              <w:t>leases, noncompliance with which could have a material effect on the financial statements.</w:t>
            </w:r>
          </w:p>
        </w:tc>
        <w:tc>
          <w:tcPr>
            <w:tcW w:w="1024" w:type="dxa"/>
            <w:tcBorders>
              <w:top w:val="single" w:sz="6" w:space="0" w:color="000000"/>
              <w:left w:val="single" w:sz="6" w:space="0" w:color="000000"/>
              <w:bottom w:val="single" w:sz="6" w:space="0" w:color="000000"/>
              <w:right w:val="single" w:sz="6" w:space="0" w:color="000000"/>
            </w:tcBorders>
          </w:tcPr>
          <w:p w14:paraId="0DFDC91F" w14:textId="77777777" w:rsidR="00046465" w:rsidRDefault="00046465">
            <w:pPr>
              <w:pStyle w:val="TableParagraph"/>
              <w:rPr>
                <w:rFonts w:ascii="Times New Roman"/>
              </w:rPr>
            </w:pPr>
          </w:p>
        </w:tc>
        <w:tc>
          <w:tcPr>
            <w:tcW w:w="765" w:type="dxa"/>
            <w:tcBorders>
              <w:top w:val="single" w:sz="6" w:space="0" w:color="000000"/>
              <w:left w:val="single" w:sz="6" w:space="0" w:color="000000"/>
              <w:bottom w:val="single" w:sz="6" w:space="0" w:color="000000"/>
            </w:tcBorders>
          </w:tcPr>
          <w:p w14:paraId="0DFDC920" w14:textId="77777777" w:rsidR="00046465" w:rsidRDefault="00046465">
            <w:pPr>
              <w:pStyle w:val="TableParagraph"/>
              <w:rPr>
                <w:rFonts w:ascii="Times New Roman"/>
              </w:rPr>
            </w:pPr>
          </w:p>
        </w:tc>
      </w:tr>
    </w:tbl>
    <w:p w14:paraId="0DFDC922" w14:textId="77777777" w:rsidR="00046465" w:rsidRDefault="00046465">
      <w:pPr>
        <w:pStyle w:val="TableParagraph"/>
        <w:rPr>
          <w:rFonts w:ascii="Times New Roman"/>
        </w:rPr>
        <w:sectPr w:rsidR="00046465">
          <w:headerReference w:type="default" r:id="rId237"/>
          <w:footerReference w:type="default" r:id="rId238"/>
          <w:pgSz w:w="12240" w:h="15840"/>
          <w:pgMar w:top="1340" w:right="720" w:bottom="940" w:left="1080" w:header="721" w:footer="757" w:gutter="0"/>
          <w:pgNumType w:start="1"/>
          <w:cols w:space="720"/>
        </w:sectPr>
      </w:pPr>
    </w:p>
    <w:p w14:paraId="0DFDC923" w14:textId="77777777" w:rsidR="00046465" w:rsidRDefault="00046465">
      <w:pPr>
        <w:pStyle w:val="BodyText"/>
        <w:spacing w:before="9"/>
        <w:rPr>
          <w:sz w:val="11"/>
        </w:rPr>
      </w:pPr>
    </w:p>
    <w:tbl>
      <w:tblPr>
        <w:tblW w:w="0" w:type="auto"/>
        <w:tblInd w:w="45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420"/>
        <w:gridCol w:w="1024"/>
        <w:gridCol w:w="765"/>
      </w:tblGrid>
      <w:tr w:rsidR="00046465" w14:paraId="0DFDC92A" w14:textId="77777777">
        <w:trPr>
          <w:trHeight w:val="999"/>
        </w:trPr>
        <w:tc>
          <w:tcPr>
            <w:tcW w:w="7420" w:type="dxa"/>
            <w:tcBorders>
              <w:bottom w:val="single" w:sz="6" w:space="0" w:color="000000"/>
              <w:right w:val="single" w:sz="6" w:space="0" w:color="000000"/>
            </w:tcBorders>
          </w:tcPr>
          <w:p w14:paraId="0DFDC924" w14:textId="77777777" w:rsidR="00046465" w:rsidRDefault="00046465">
            <w:pPr>
              <w:pStyle w:val="TableParagraph"/>
            </w:pPr>
          </w:p>
          <w:p w14:paraId="0DFDC925" w14:textId="77777777" w:rsidR="00046465" w:rsidRDefault="00046465">
            <w:pPr>
              <w:pStyle w:val="TableParagraph"/>
              <w:spacing w:before="120"/>
            </w:pPr>
          </w:p>
          <w:p w14:paraId="0DFDC926" w14:textId="77777777" w:rsidR="00046465" w:rsidRDefault="008134EB">
            <w:pPr>
              <w:pStyle w:val="TableParagraph"/>
              <w:ind w:left="92"/>
              <w:rPr>
                <w:b/>
              </w:rPr>
            </w:pPr>
            <w:r>
              <w:rPr>
                <w:b/>
              </w:rPr>
              <w:t>Example</w:t>
            </w:r>
            <w:r>
              <w:rPr>
                <w:b/>
                <w:spacing w:val="-8"/>
              </w:rPr>
              <w:t xml:space="preserve"> </w:t>
            </w:r>
            <w:r>
              <w:rPr>
                <w:b/>
              </w:rPr>
              <w:t>audit</w:t>
            </w:r>
            <w:r>
              <w:rPr>
                <w:b/>
                <w:spacing w:val="-8"/>
              </w:rPr>
              <w:t xml:space="preserve"> </w:t>
            </w:r>
            <w:r>
              <w:rPr>
                <w:b/>
                <w:spacing w:val="-2"/>
              </w:rPr>
              <w:t>procedures</w:t>
            </w:r>
          </w:p>
        </w:tc>
        <w:tc>
          <w:tcPr>
            <w:tcW w:w="1024" w:type="dxa"/>
            <w:tcBorders>
              <w:left w:val="single" w:sz="6" w:space="0" w:color="000000"/>
              <w:bottom w:val="single" w:sz="6" w:space="0" w:color="000000"/>
              <w:right w:val="single" w:sz="6" w:space="0" w:color="000000"/>
            </w:tcBorders>
          </w:tcPr>
          <w:p w14:paraId="0DFDC927" w14:textId="77777777" w:rsidR="00046465" w:rsidRDefault="008134EB">
            <w:pPr>
              <w:pStyle w:val="TableParagraph"/>
              <w:spacing w:before="120"/>
              <w:ind w:left="107" w:right="201"/>
              <w:rPr>
                <w:b/>
              </w:rPr>
            </w:pPr>
            <w:r>
              <w:rPr>
                <w:b/>
                <w:spacing w:val="-2"/>
              </w:rPr>
              <w:t xml:space="preserve">Initials </w:t>
            </w:r>
            <w:r>
              <w:rPr>
                <w:b/>
                <w:spacing w:val="-4"/>
              </w:rPr>
              <w:t>and date</w:t>
            </w:r>
          </w:p>
        </w:tc>
        <w:tc>
          <w:tcPr>
            <w:tcW w:w="765" w:type="dxa"/>
            <w:tcBorders>
              <w:left w:val="single" w:sz="6" w:space="0" w:color="000000"/>
              <w:bottom w:val="single" w:sz="6" w:space="0" w:color="000000"/>
            </w:tcBorders>
          </w:tcPr>
          <w:p w14:paraId="0DFDC928" w14:textId="77777777" w:rsidR="00046465" w:rsidRDefault="00046465">
            <w:pPr>
              <w:pStyle w:val="TableParagraph"/>
              <w:spacing w:before="120"/>
            </w:pPr>
          </w:p>
          <w:p w14:paraId="0DFDC929" w14:textId="77777777" w:rsidR="00046465" w:rsidRDefault="008134EB">
            <w:pPr>
              <w:pStyle w:val="TableParagraph"/>
              <w:ind w:left="107" w:right="148" w:hanging="1"/>
              <w:rPr>
                <w:b/>
              </w:rPr>
            </w:pPr>
            <w:r>
              <w:rPr>
                <w:b/>
                <w:spacing w:val="-4"/>
              </w:rPr>
              <w:t>Doc. ref.</w:t>
            </w:r>
          </w:p>
        </w:tc>
      </w:tr>
      <w:tr w:rsidR="00046465" w14:paraId="0DFDC92E" w14:textId="77777777">
        <w:trPr>
          <w:trHeight w:val="2263"/>
        </w:trPr>
        <w:tc>
          <w:tcPr>
            <w:tcW w:w="7420" w:type="dxa"/>
            <w:tcBorders>
              <w:top w:val="single" w:sz="6" w:space="0" w:color="000000"/>
              <w:bottom w:val="single" w:sz="6" w:space="0" w:color="000000"/>
              <w:right w:val="single" w:sz="6" w:space="0" w:color="000000"/>
            </w:tcBorders>
          </w:tcPr>
          <w:p w14:paraId="0DFDC92B" w14:textId="77777777" w:rsidR="00046465" w:rsidRDefault="008134EB">
            <w:pPr>
              <w:pStyle w:val="TableParagraph"/>
              <w:tabs>
                <w:tab w:val="left" w:pos="668"/>
              </w:tabs>
              <w:spacing w:before="119"/>
              <w:ind w:left="668" w:right="445" w:hanging="577"/>
            </w:pPr>
            <w:r>
              <w:rPr>
                <w:spacing w:val="-6"/>
              </w:rPr>
              <w:t>6)</w:t>
            </w:r>
            <w:r>
              <w:tab/>
              <w:t>If information comes to the auditor’s attention that indicates a potential</w:t>
            </w:r>
            <w:r>
              <w:rPr>
                <w:spacing w:val="-5"/>
              </w:rPr>
              <w:t xml:space="preserve"> </w:t>
            </w:r>
            <w:r>
              <w:t>contingency</w:t>
            </w:r>
            <w:r>
              <w:rPr>
                <w:spacing w:val="-5"/>
              </w:rPr>
              <w:t xml:space="preserve"> </w:t>
            </w:r>
            <w:r>
              <w:t>requiring</w:t>
            </w:r>
            <w:r>
              <w:rPr>
                <w:spacing w:val="-5"/>
              </w:rPr>
              <w:t xml:space="preserve"> </w:t>
            </w:r>
            <w:r>
              <w:t>adjustment</w:t>
            </w:r>
            <w:r>
              <w:rPr>
                <w:spacing w:val="-5"/>
              </w:rPr>
              <w:t xml:space="preserve"> </w:t>
            </w:r>
            <w:r>
              <w:t>to</w:t>
            </w:r>
            <w:r>
              <w:rPr>
                <w:spacing w:val="-5"/>
              </w:rPr>
              <w:t xml:space="preserve"> </w:t>
            </w:r>
            <w:r>
              <w:t>or</w:t>
            </w:r>
            <w:r>
              <w:rPr>
                <w:spacing w:val="-5"/>
              </w:rPr>
              <w:t xml:space="preserve"> </w:t>
            </w:r>
            <w:r>
              <w:t>disclosure</w:t>
            </w:r>
            <w:r>
              <w:rPr>
                <w:spacing w:val="-5"/>
              </w:rPr>
              <w:t xml:space="preserve"> </w:t>
            </w:r>
            <w:r>
              <w:t>in</w:t>
            </w:r>
            <w:r>
              <w:rPr>
                <w:spacing w:val="-6"/>
              </w:rPr>
              <w:t xml:space="preserve"> </w:t>
            </w:r>
            <w:r>
              <w:t>the financial statements with respect to litigation, claims, or assessments, discuss with the entity the need to consult legal counsel. Depending on the severity of the matter, refusal by the entity to consult legal counsel may result in a modification of the opinion in the auditor’s report. Determine the effect of such limitation on the auditor’s report.</w:t>
            </w:r>
          </w:p>
        </w:tc>
        <w:tc>
          <w:tcPr>
            <w:tcW w:w="1024" w:type="dxa"/>
            <w:tcBorders>
              <w:top w:val="single" w:sz="6" w:space="0" w:color="000000"/>
              <w:left w:val="single" w:sz="6" w:space="0" w:color="000000"/>
              <w:bottom w:val="single" w:sz="6" w:space="0" w:color="000000"/>
              <w:right w:val="single" w:sz="6" w:space="0" w:color="000000"/>
            </w:tcBorders>
          </w:tcPr>
          <w:p w14:paraId="0DFDC92C" w14:textId="77777777" w:rsidR="00046465" w:rsidRDefault="00046465">
            <w:pPr>
              <w:pStyle w:val="TableParagraph"/>
              <w:rPr>
                <w:rFonts w:ascii="Times New Roman"/>
                <w:sz w:val="20"/>
              </w:rPr>
            </w:pPr>
          </w:p>
        </w:tc>
        <w:tc>
          <w:tcPr>
            <w:tcW w:w="765" w:type="dxa"/>
            <w:tcBorders>
              <w:top w:val="single" w:sz="6" w:space="0" w:color="000000"/>
              <w:left w:val="single" w:sz="6" w:space="0" w:color="000000"/>
              <w:bottom w:val="single" w:sz="6" w:space="0" w:color="000000"/>
            </w:tcBorders>
          </w:tcPr>
          <w:p w14:paraId="0DFDC92D" w14:textId="77777777" w:rsidR="00046465" w:rsidRDefault="00046465">
            <w:pPr>
              <w:pStyle w:val="TableParagraph"/>
              <w:rPr>
                <w:rFonts w:ascii="Times New Roman"/>
                <w:sz w:val="20"/>
              </w:rPr>
            </w:pPr>
          </w:p>
        </w:tc>
      </w:tr>
      <w:tr w:rsidR="00046465" w14:paraId="0DFDC935" w14:textId="77777777">
        <w:trPr>
          <w:trHeight w:val="4278"/>
        </w:trPr>
        <w:tc>
          <w:tcPr>
            <w:tcW w:w="7420" w:type="dxa"/>
            <w:tcBorders>
              <w:top w:val="single" w:sz="6" w:space="0" w:color="000000"/>
              <w:bottom w:val="single" w:sz="6" w:space="0" w:color="000000"/>
              <w:right w:val="single" w:sz="6" w:space="0" w:color="000000"/>
            </w:tcBorders>
          </w:tcPr>
          <w:p w14:paraId="0DFDC92F" w14:textId="77777777" w:rsidR="00046465" w:rsidRDefault="008134EB">
            <w:pPr>
              <w:pStyle w:val="TableParagraph"/>
              <w:numPr>
                <w:ilvl w:val="0"/>
                <w:numId w:val="62"/>
              </w:numPr>
              <w:tabs>
                <w:tab w:val="left" w:pos="668"/>
              </w:tabs>
              <w:spacing w:before="119"/>
              <w:ind w:right="164"/>
            </w:pPr>
            <w:r>
              <w:t>Request that management prepare a legal counsel request to be sent by the auditor to the entity’s general counsel asking that the counsel communicate directly with the auditor. The request should cover all litigation, claims, and assessments, including matters handled by Justice or other external legal counsel on behalf of the entity. If Justice or other external legal counsel has overall responsibility for the entity’s litigation, claims, and assessments, also</w:t>
            </w:r>
            <w:r>
              <w:rPr>
                <w:spacing w:val="-4"/>
              </w:rPr>
              <w:t xml:space="preserve"> </w:t>
            </w:r>
            <w:r>
              <w:t>request</w:t>
            </w:r>
            <w:r>
              <w:rPr>
                <w:spacing w:val="-5"/>
              </w:rPr>
              <w:t xml:space="preserve"> </w:t>
            </w:r>
            <w:r>
              <w:t>a</w:t>
            </w:r>
            <w:r>
              <w:rPr>
                <w:spacing w:val="-4"/>
              </w:rPr>
              <w:t xml:space="preserve"> </w:t>
            </w:r>
            <w:r>
              <w:t>legal</w:t>
            </w:r>
            <w:r>
              <w:rPr>
                <w:spacing w:val="-4"/>
              </w:rPr>
              <w:t xml:space="preserve"> </w:t>
            </w:r>
            <w:r>
              <w:t>counsel</w:t>
            </w:r>
            <w:r>
              <w:rPr>
                <w:spacing w:val="-4"/>
              </w:rPr>
              <w:t xml:space="preserve"> </w:t>
            </w:r>
            <w:r>
              <w:t>response</w:t>
            </w:r>
            <w:r>
              <w:rPr>
                <w:spacing w:val="-4"/>
              </w:rPr>
              <w:t xml:space="preserve"> </w:t>
            </w:r>
            <w:r>
              <w:t>from</w:t>
            </w:r>
            <w:r>
              <w:rPr>
                <w:spacing w:val="-4"/>
              </w:rPr>
              <w:t xml:space="preserve"> </w:t>
            </w:r>
            <w:r>
              <w:t>that</w:t>
            </w:r>
            <w:r>
              <w:rPr>
                <w:spacing w:val="-4"/>
              </w:rPr>
              <w:t xml:space="preserve"> </w:t>
            </w:r>
            <w:r>
              <w:t>counsel.</w:t>
            </w:r>
            <w:r>
              <w:rPr>
                <w:spacing w:val="-4"/>
              </w:rPr>
              <w:t xml:space="preserve"> </w:t>
            </w:r>
            <w:r>
              <w:t>(See</w:t>
            </w:r>
            <w:r>
              <w:rPr>
                <w:spacing w:val="-4"/>
              </w:rPr>
              <w:t xml:space="preserve"> </w:t>
            </w:r>
            <w:r>
              <w:t>FAM 1002 B for an example legal counsel request.)</w:t>
            </w:r>
          </w:p>
          <w:p w14:paraId="0DFDC930" w14:textId="77777777" w:rsidR="00046465" w:rsidRDefault="008134EB">
            <w:pPr>
              <w:pStyle w:val="TableParagraph"/>
              <w:spacing w:before="241"/>
              <w:ind w:left="668"/>
            </w:pPr>
            <w:r>
              <w:t>Coordinate</w:t>
            </w:r>
            <w:r>
              <w:rPr>
                <w:spacing w:val="-8"/>
              </w:rPr>
              <w:t xml:space="preserve"> </w:t>
            </w:r>
            <w:r>
              <w:t>with</w:t>
            </w:r>
            <w:r>
              <w:rPr>
                <w:spacing w:val="-7"/>
              </w:rPr>
              <w:t xml:space="preserve"> </w:t>
            </w:r>
            <w:r>
              <w:t>management</w:t>
            </w:r>
            <w:r>
              <w:rPr>
                <w:spacing w:val="-7"/>
              </w:rPr>
              <w:t xml:space="preserve"> </w:t>
            </w:r>
            <w:r>
              <w:t>and</w:t>
            </w:r>
            <w:r>
              <w:rPr>
                <w:spacing w:val="-7"/>
              </w:rPr>
              <w:t xml:space="preserve"> </w:t>
            </w:r>
            <w:r>
              <w:t>legal</w:t>
            </w:r>
            <w:r>
              <w:rPr>
                <w:spacing w:val="-7"/>
              </w:rPr>
              <w:t xml:space="preserve"> </w:t>
            </w:r>
            <w:r>
              <w:t>counsel</w:t>
            </w:r>
            <w:r>
              <w:rPr>
                <w:spacing w:val="-8"/>
              </w:rPr>
              <w:t xml:space="preserve"> </w:t>
            </w:r>
            <w:r>
              <w:t>to</w:t>
            </w:r>
            <w:r>
              <w:rPr>
                <w:spacing w:val="-7"/>
              </w:rPr>
              <w:t xml:space="preserve"> </w:t>
            </w:r>
            <w:r>
              <w:rPr>
                <w:spacing w:val="-2"/>
              </w:rPr>
              <w:t>determine</w:t>
            </w:r>
          </w:p>
          <w:p w14:paraId="0DFDC931" w14:textId="77777777" w:rsidR="00046465" w:rsidRDefault="008134EB">
            <w:pPr>
              <w:pStyle w:val="TableParagraph"/>
              <w:numPr>
                <w:ilvl w:val="1"/>
                <w:numId w:val="62"/>
              </w:numPr>
              <w:tabs>
                <w:tab w:val="left" w:pos="1103"/>
              </w:tabs>
              <w:spacing w:before="240"/>
              <w:ind w:right="474"/>
            </w:pPr>
            <w:r>
              <w:t>the</w:t>
            </w:r>
            <w:r>
              <w:rPr>
                <w:spacing w:val="-5"/>
              </w:rPr>
              <w:t xml:space="preserve"> </w:t>
            </w:r>
            <w:r>
              <w:t>timing</w:t>
            </w:r>
            <w:r>
              <w:rPr>
                <w:spacing w:val="-5"/>
              </w:rPr>
              <w:t xml:space="preserve"> </w:t>
            </w:r>
            <w:r>
              <w:t>of</w:t>
            </w:r>
            <w:r>
              <w:rPr>
                <w:spacing w:val="-5"/>
              </w:rPr>
              <w:t xml:space="preserve"> </w:t>
            </w:r>
            <w:r>
              <w:t>legal</w:t>
            </w:r>
            <w:r>
              <w:rPr>
                <w:spacing w:val="-5"/>
              </w:rPr>
              <w:t xml:space="preserve"> </w:t>
            </w:r>
            <w:r>
              <w:t>counsel</w:t>
            </w:r>
            <w:r>
              <w:rPr>
                <w:spacing w:val="-5"/>
              </w:rPr>
              <w:t xml:space="preserve"> </w:t>
            </w:r>
            <w:r>
              <w:t>requests,</w:t>
            </w:r>
            <w:r>
              <w:rPr>
                <w:spacing w:val="-6"/>
              </w:rPr>
              <w:t xml:space="preserve"> </w:t>
            </w:r>
            <w:r>
              <w:t>responses,</w:t>
            </w:r>
            <w:r>
              <w:rPr>
                <w:spacing w:val="-6"/>
              </w:rPr>
              <w:t xml:space="preserve"> </w:t>
            </w:r>
            <w:r>
              <w:t>and</w:t>
            </w:r>
            <w:r>
              <w:rPr>
                <w:spacing w:val="-5"/>
              </w:rPr>
              <w:t xml:space="preserve"> </w:t>
            </w:r>
            <w:r>
              <w:t>related management schedules and</w:t>
            </w:r>
          </w:p>
          <w:p w14:paraId="0DFDC932" w14:textId="77777777" w:rsidR="00046465" w:rsidRDefault="008134EB">
            <w:pPr>
              <w:pStyle w:val="TableParagraph"/>
              <w:numPr>
                <w:ilvl w:val="1"/>
                <w:numId w:val="62"/>
              </w:numPr>
              <w:tabs>
                <w:tab w:val="left" w:pos="1102"/>
              </w:tabs>
              <w:spacing w:before="238"/>
              <w:ind w:left="1102" w:hanging="359"/>
            </w:pPr>
            <w:r>
              <w:t>a</w:t>
            </w:r>
            <w:r>
              <w:rPr>
                <w:spacing w:val="-6"/>
              </w:rPr>
              <w:t xml:space="preserve"> </w:t>
            </w:r>
            <w:r>
              <w:t>materiality</w:t>
            </w:r>
            <w:r>
              <w:rPr>
                <w:spacing w:val="-5"/>
              </w:rPr>
              <w:t xml:space="preserve"> </w:t>
            </w:r>
            <w:r>
              <w:t>level</w:t>
            </w:r>
            <w:r>
              <w:rPr>
                <w:spacing w:val="-6"/>
              </w:rPr>
              <w:t xml:space="preserve"> </w:t>
            </w:r>
            <w:r>
              <w:t>to</w:t>
            </w:r>
            <w:r>
              <w:rPr>
                <w:spacing w:val="-5"/>
              </w:rPr>
              <w:t xml:space="preserve"> </w:t>
            </w:r>
            <w:r>
              <w:t>be</w:t>
            </w:r>
            <w:r>
              <w:rPr>
                <w:spacing w:val="-5"/>
              </w:rPr>
              <w:t xml:space="preserve"> </w:t>
            </w:r>
            <w:r>
              <w:t>included</w:t>
            </w:r>
            <w:r>
              <w:rPr>
                <w:spacing w:val="-6"/>
              </w:rPr>
              <w:t xml:space="preserve"> </w:t>
            </w:r>
            <w:r>
              <w:t>in</w:t>
            </w:r>
            <w:r>
              <w:rPr>
                <w:spacing w:val="-5"/>
              </w:rPr>
              <w:t xml:space="preserve"> </w:t>
            </w:r>
            <w:r>
              <w:t>the</w:t>
            </w:r>
            <w:r>
              <w:rPr>
                <w:spacing w:val="-5"/>
              </w:rPr>
              <w:t xml:space="preserve"> </w:t>
            </w:r>
            <w:r>
              <w:t>legal</w:t>
            </w:r>
            <w:r>
              <w:rPr>
                <w:spacing w:val="-5"/>
              </w:rPr>
              <w:t xml:space="preserve"> </w:t>
            </w:r>
            <w:r>
              <w:t>counsel</w:t>
            </w:r>
            <w:r>
              <w:rPr>
                <w:spacing w:val="-4"/>
              </w:rPr>
              <w:t xml:space="preserve"> </w:t>
            </w:r>
            <w:r>
              <w:rPr>
                <w:spacing w:val="-2"/>
              </w:rPr>
              <w:t>response.</w:t>
            </w:r>
          </w:p>
        </w:tc>
        <w:tc>
          <w:tcPr>
            <w:tcW w:w="1024" w:type="dxa"/>
            <w:tcBorders>
              <w:top w:val="single" w:sz="6" w:space="0" w:color="000000"/>
              <w:left w:val="single" w:sz="6" w:space="0" w:color="000000"/>
              <w:bottom w:val="single" w:sz="6" w:space="0" w:color="000000"/>
              <w:right w:val="single" w:sz="6" w:space="0" w:color="000000"/>
            </w:tcBorders>
          </w:tcPr>
          <w:p w14:paraId="0DFDC933" w14:textId="77777777" w:rsidR="00046465" w:rsidRDefault="00046465">
            <w:pPr>
              <w:pStyle w:val="TableParagraph"/>
              <w:rPr>
                <w:rFonts w:ascii="Times New Roman"/>
                <w:sz w:val="20"/>
              </w:rPr>
            </w:pPr>
          </w:p>
        </w:tc>
        <w:tc>
          <w:tcPr>
            <w:tcW w:w="765" w:type="dxa"/>
            <w:tcBorders>
              <w:top w:val="single" w:sz="6" w:space="0" w:color="000000"/>
              <w:left w:val="single" w:sz="6" w:space="0" w:color="000000"/>
              <w:bottom w:val="single" w:sz="6" w:space="0" w:color="000000"/>
            </w:tcBorders>
          </w:tcPr>
          <w:p w14:paraId="0DFDC934" w14:textId="77777777" w:rsidR="00046465" w:rsidRDefault="00046465">
            <w:pPr>
              <w:pStyle w:val="TableParagraph"/>
              <w:rPr>
                <w:rFonts w:ascii="Times New Roman"/>
                <w:sz w:val="20"/>
              </w:rPr>
            </w:pPr>
          </w:p>
        </w:tc>
      </w:tr>
      <w:tr w:rsidR="00046465" w14:paraId="0DFDC939" w14:textId="77777777">
        <w:trPr>
          <w:trHeight w:val="745"/>
        </w:trPr>
        <w:tc>
          <w:tcPr>
            <w:tcW w:w="7420" w:type="dxa"/>
            <w:tcBorders>
              <w:top w:val="single" w:sz="6" w:space="0" w:color="000000"/>
              <w:bottom w:val="single" w:sz="6" w:space="0" w:color="000000"/>
              <w:right w:val="single" w:sz="6" w:space="0" w:color="000000"/>
            </w:tcBorders>
          </w:tcPr>
          <w:p w14:paraId="0DFDC936" w14:textId="77777777" w:rsidR="00046465" w:rsidRDefault="008134EB">
            <w:pPr>
              <w:pStyle w:val="TableParagraph"/>
              <w:tabs>
                <w:tab w:val="left" w:pos="668"/>
              </w:tabs>
              <w:spacing w:before="119"/>
              <w:ind w:left="668" w:right="555" w:hanging="577"/>
            </w:pPr>
            <w:r>
              <w:rPr>
                <w:spacing w:val="-6"/>
              </w:rPr>
              <w:t>8)</w:t>
            </w:r>
            <w:r>
              <w:tab/>
              <w:t>Read</w:t>
            </w:r>
            <w:r>
              <w:rPr>
                <w:spacing w:val="-5"/>
              </w:rPr>
              <w:t xml:space="preserve"> </w:t>
            </w:r>
            <w:r>
              <w:t>the</w:t>
            </w:r>
            <w:r>
              <w:rPr>
                <w:spacing w:val="-5"/>
              </w:rPr>
              <w:t xml:space="preserve"> </w:t>
            </w:r>
            <w:r>
              <w:t>legal</w:t>
            </w:r>
            <w:r>
              <w:rPr>
                <w:spacing w:val="-5"/>
              </w:rPr>
              <w:t xml:space="preserve"> </w:t>
            </w:r>
            <w:r>
              <w:t>counsel</w:t>
            </w:r>
            <w:r>
              <w:rPr>
                <w:spacing w:val="-6"/>
              </w:rPr>
              <w:t xml:space="preserve"> </w:t>
            </w:r>
            <w:r>
              <w:t>response</w:t>
            </w:r>
            <w:r>
              <w:rPr>
                <w:spacing w:val="-5"/>
              </w:rPr>
              <w:t xml:space="preserve"> </w:t>
            </w:r>
            <w:r>
              <w:t>and</w:t>
            </w:r>
            <w:r>
              <w:rPr>
                <w:spacing w:val="-5"/>
              </w:rPr>
              <w:t xml:space="preserve"> </w:t>
            </w:r>
            <w:r>
              <w:t>management</w:t>
            </w:r>
            <w:r>
              <w:rPr>
                <w:spacing w:val="-5"/>
              </w:rPr>
              <w:t xml:space="preserve"> </w:t>
            </w:r>
            <w:r>
              <w:t>schedule</w:t>
            </w:r>
            <w:r>
              <w:rPr>
                <w:spacing w:val="-5"/>
              </w:rPr>
              <w:t xml:space="preserve"> </w:t>
            </w:r>
            <w:r>
              <w:t>to identify litigation, claims, and assessments.</w:t>
            </w:r>
          </w:p>
        </w:tc>
        <w:tc>
          <w:tcPr>
            <w:tcW w:w="1024" w:type="dxa"/>
            <w:tcBorders>
              <w:top w:val="single" w:sz="6" w:space="0" w:color="000000"/>
              <w:left w:val="single" w:sz="6" w:space="0" w:color="000000"/>
              <w:bottom w:val="single" w:sz="6" w:space="0" w:color="000000"/>
              <w:right w:val="single" w:sz="6" w:space="0" w:color="000000"/>
            </w:tcBorders>
          </w:tcPr>
          <w:p w14:paraId="0DFDC937" w14:textId="77777777" w:rsidR="00046465" w:rsidRDefault="00046465">
            <w:pPr>
              <w:pStyle w:val="TableParagraph"/>
              <w:rPr>
                <w:rFonts w:ascii="Times New Roman"/>
                <w:sz w:val="20"/>
              </w:rPr>
            </w:pPr>
          </w:p>
        </w:tc>
        <w:tc>
          <w:tcPr>
            <w:tcW w:w="765" w:type="dxa"/>
            <w:tcBorders>
              <w:top w:val="single" w:sz="6" w:space="0" w:color="000000"/>
              <w:left w:val="single" w:sz="6" w:space="0" w:color="000000"/>
              <w:bottom w:val="single" w:sz="6" w:space="0" w:color="000000"/>
            </w:tcBorders>
          </w:tcPr>
          <w:p w14:paraId="0DFDC938" w14:textId="77777777" w:rsidR="00046465" w:rsidRDefault="00046465">
            <w:pPr>
              <w:pStyle w:val="TableParagraph"/>
              <w:rPr>
                <w:rFonts w:ascii="Times New Roman"/>
                <w:sz w:val="20"/>
              </w:rPr>
            </w:pPr>
          </w:p>
        </w:tc>
      </w:tr>
      <w:tr w:rsidR="00046465" w14:paraId="0DFDC93D" w14:textId="77777777">
        <w:trPr>
          <w:trHeight w:val="1757"/>
        </w:trPr>
        <w:tc>
          <w:tcPr>
            <w:tcW w:w="7420" w:type="dxa"/>
            <w:tcBorders>
              <w:top w:val="single" w:sz="6" w:space="0" w:color="000000"/>
              <w:bottom w:val="single" w:sz="6" w:space="0" w:color="000000"/>
              <w:right w:val="single" w:sz="6" w:space="0" w:color="000000"/>
            </w:tcBorders>
          </w:tcPr>
          <w:p w14:paraId="0DFDC93A" w14:textId="77777777" w:rsidR="00046465" w:rsidRDefault="008134EB">
            <w:pPr>
              <w:pStyle w:val="TableParagraph"/>
              <w:tabs>
                <w:tab w:val="left" w:pos="668"/>
              </w:tabs>
              <w:spacing w:before="119"/>
              <w:ind w:left="668" w:right="215" w:hanging="577"/>
            </w:pPr>
            <w:r>
              <w:rPr>
                <w:spacing w:val="-6"/>
              </w:rPr>
              <w:t>9)</w:t>
            </w:r>
            <w:r>
              <w:tab/>
              <w:t>Compare the description and evaluation of the current year’s legal counsel response to the prior year’s audit documentation. If this comparison</w:t>
            </w:r>
            <w:r>
              <w:rPr>
                <w:spacing w:val="-4"/>
              </w:rPr>
              <w:t xml:space="preserve"> </w:t>
            </w:r>
            <w:r>
              <w:t>indicates</w:t>
            </w:r>
            <w:r>
              <w:rPr>
                <w:spacing w:val="-5"/>
              </w:rPr>
              <w:t xml:space="preserve"> </w:t>
            </w:r>
            <w:r>
              <w:t>that</w:t>
            </w:r>
            <w:r>
              <w:rPr>
                <w:spacing w:val="-4"/>
              </w:rPr>
              <w:t xml:space="preserve"> </w:t>
            </w:r>
            <w:r>
              <w:t>certain</w:t>
            </w:r>
            <w:r>
              <w:rPr>
                <w:spacing w:val="-4"/>
              </w:rPr>
              <w:t xml:space="preserve"> </w:t>
            </w:r>
            <w:r>
              <w:t>legal</w:t>
            </w:r>
            <w:r>
              <w:rPr>
                <w:spacing w:val="-4"/>
              </w:rPr>
              <w:t xml:space="preserve"> </w:t>
            </w:r>
            <w:r>
              <w:t>matters</w:t>
            </w:r>
            <w:r>
              <w:rPr>
                <w:spacing w:val="-4"/>
              </w:rPr>
              <w:t xml:space="preserve"> </w:t>
            </w:r>
            <w:r>
              <w:t>in</w:t>
            </w:r>
            <w:r>
              <w:rPr>
                <w:spacing w:val="-4"/>
              </w:rPr>
              <w:t xml:space="preserve"> </w:t>
            </w:r>
            <w:r>
              <w:t>the</w:t>
            </w:r>
            <w:r>
              <w:rPr>
                <w:spacing w:val="-4"/>
              </w:rPr>
              <w:t xml:space="preserve"> </w:t>
            </w:r>
            <w:r>
              <w:t>prior</w:t>
            </w:r>
            <w:r>
              <w:rPr>
                <w:spacing w:val="-4"/>
              </w:rPr>
              <w:t xml:space="preserve"> </w:t>
            </w:r>
            <w:r>
              <w:t>year</w:t>
            </w:r>
            <w:r>
              <w:rPr>
                <w:spacing w:val="-4"/>
              </w:rPr>
              <w:t xml:space="preserve"> </w:t>
            </w:r>
            <w:r>
              <w:t xml:space="preserve">are no longer included, discuss these matters with management or legal counsel to obtain an understanding of the reasons for the </w:t>
            </w:r>
            <w:r>
              <w:rPr>
                <w:spacing w:val="-2"/>
              </w:rPr>
              <w:t>changes.</w:t>
            </w:r>
          </w:p>
        </w:tc>
        <w:tc>
          <w:tcPr>
            <w:tcW w:w="1024" w:type="dxa"/>
            <w:tcBorders>
              <w:top w:val="single" w:sz="6" w:space="0" w:color="000000"/>
              <w:left w:val="single" w:sz="6" w:space="0" w:color="000000"/>
              <w:bottom w:val="single" w:sz="6" w:space="0" w:color="000000"/>
              <w:right w:val="single" w:sz="6" w:space="0" w:color="000000"/>
            </w:tcBorders>
          </w:tcPr>
          <w:p w14:paraId="0DFDC93B" w14:textId="77777777" w:rsidR="00046465" w:rsidRDefault="00046465">
            <w:pPr>
              <w:pStyle w:val="TableParagraph"/>
              <w:rPr>
                <w:rFonts w:ascii="Times New Roman"/>
                <w:sz w:val="20"/>
              </w:rPr>
            </w:pPr>
          </w:p>
        </w:tc>
        <w:tc>
          <w:tcPr>
            <w:tcW w:w="765" w:type="dxa"/>
            <w:tcBorders>
              <w:top w:val="single" w:sz="6" w:space="0" w:color="000000"/>
              <w:left w:val="single" w:sz="6" w:space="0" w:color="000000"/>
              <w:bottom w:val="single" w:sz="6" w:space="0" w:color="000000"/>
            </w:tcBorders>
          </w:tcPr>
          <w:p w14:paraId="0DFDC93C" w14:textId="77777777" w:rsidR="00046465" w:rsidRDefault="00046465">
            <w:pPr>
              <w:pStyle w:val="TableParagraph"/>
              <w:rPr>
                <w:rFonts w:ascii="Times New Roman"/>
                <w:sz w:val="20"/>
              </w:rPr>
            </w:pPr>
          </w:p>
        </w:tc>
      </w:tr>
      <w:tr w:rsidR="00046465" w14:paraId="0DFDC941" w14:textId="77777777">
        <w:trPr>
          <w:trHeight w:val="1505"/>
        </w:trPr>
        <w:tc>
          <w:tcPr>
            <w:tcW w:w="7420" w:type="dxa"/>
            <w:tcBorders>
              <w:top w:val="single" w:sz="6" w:space="0" w:color="000000"/>
              <w:bottom w:val="single" w:sz="6" w:space="0" w:color="000000"/>
              <w:right w:val="single" w:sz="6" w:space="0" w:color="000000"/>
            </w:tcBorders>
          </w:tcPr>
          <w:p w14:paraId="0DFDC93E" w14:textId="77777777" w:rsidR="00046465" w:rsidRDefault="008134EB">
            <w:pPr>
              <w:pStyle w:val="TableParagraph"/>
              <w:tabs>
                <w:tab w:val="left" w:pos="668"/>
              </w:tabs>
              <w:spacing w:before="121"/>
              <w:ind w:left="668" w:right="102" w:hanging="577"/>
            </w:pPr>
            <w:r>
              <w:rPr>
                <w:spacing w:val="-4"/>
              </w:rPr>
              <w:t>10)</w:t>
            </w:r>
            <w:r>
              <w:tab/>
              <w:t>Determine whether the information in the legal counsel response is consistent with the related management schedule. If there are differences between management’s and legal counsel’s determinations,</w:t>
            </w:r>
            <w:r>
              <w:rPr>
                <w:spacing w:val="-6"/>
              </w:rPr>
              <w:t xml:space="preserve"> </w:t>
            </w:r>
            <w:r>
              <w:t>obtain</w:t>
            </w:r>
            <w:r>
              <w:rPr>
                <w:spacing w:val="-6"/>
              </w:rPr>
              <w:t xml:space="preserve"> </w:t>
            </w:r>
            <w:r>
              <w:t>sufficient</w:t>
            </w:r>
            <w:r>
              <w:rPr>
                <w:spacing w:val="-6"/>
              </w:rPr>
              <w:t xml:space="preserve"> </w:t>
            </w:r>
            <w:r>
              <w:t>appropriate</w:t>
            </w:r>
            <w:r>
              <w:rPr>
                <w:spacing w:val="-6"/>
              </w:rPr>
              <w:t xml:space="preserve"> </w:t>
            </w:r>
            <w:r>
              <w:t>evidence</w:t>
            </w:r>
            <w:r>
              <w:rPr>
                <w:spacing w:val="-6"/>
              </w:rPr>
              <w:t xml:space="preserve"> </w:t>
            </w:r>
            <w:r>
              <w:t>to</w:t>
            </w:r>
            <w:r>
              <w:rPr>
                <w:spacing w:val="-6"/>
              </w:rPr>
              <w:t xml:space="preserve"> </w:t>
            </w:r>
            <w:r>
              <w:t>support</w:t>
            </w:r>
            <w:r>
              <w:rPr>
                <w:spacing w:val="-6"/>
              </w:rPr>
              <w:t xml:space="preserve"> </w:t>
            </w:r>
            <w:r>
              <w:t>the reasons for the differences.</w:t>
            </w:r>
          </w:p>
        </w:tc>
        <w:tc>
          <w:tcPr>
            <w:tcW w:w="1024" w:type="dxa"/>
            <w:tcBorders>
              <w:top w:val="single" w:sz="6" w:space="0" w:color="000000"/>
              <w:left w:val="single" w:sz="6" w:space="0" w:color="000000"/>
              <w:bottom w:val="single" w:sz="6" w:space="0" w:color="000000"/>
              <w:right w:val="single" w:sz="6" w:space="0" w:color="000000"/>
            </w:tcBorders>
          </w:tcPr>
          <w:p w14:paraId="0DFDC93F" w14:textId="77777777" w:rsidR="00046465" w:rsidRDefault="00046465">
            <w:pPr>
              <w:pStyle w:val="TableParagraph"/>
              <w:rPr>
                <w:rFonts w:ascii="Times New Roman"/>
                <w:sz w:val="20"/>
              </w:rPr>
            </w:pPr>
          </w:p>
        </w:tc>
        <w:tc>
          <w:tcPr>
            <w:tcW w:w="765" w:type="dxa"/>
            <w:tcBorders>
              <w:top w:val="single" w:sz="6" w:space="0" w:color="000000"/>
              <w:left w:val="single" w:sz="6" w:space="0" w:color="000000"/>
              <w:bottom w:val="single" w:sz="6" w:space="0" w:color="000000"/>
            </w:tcBorders>
          </w:tcPr>
          <w:p w14:paraId="0DFDC940" w14:textId="77777777" w:rsidR="00046465" w:rsidRDefault="00046465">
            <w:pPr>
              <w:pStyle w:val="TableParagraph"/>
              <w:rPr>
                <w:rFonts w:ascii="Times New Roman"/>
                <w:sz w:val="20"/>
              </w:rPr>
            </w:pPr>
          </w:p>
        </w:tc>
      </w:tr>
      <w:tr w:rsidR="00046465" w14:paraId="0DFDC945" w14:textId="77777777">
        <w:trPr>
          <w:trHeight w:val="745"/>
        </w:trPr>
        <w:tc>
          <w:tcPr>
            <w:tcW w:w="7420" w:type="dxa"/>
            <w:tcBorders>
              <w:top w:val="single" w:sz="6" w:space="0" w:color="000000"/>
              <w:bottom w:val="single" w:sz="6" w:space="0" w:color="000000"/>
              <w:right w:val="single" w:sz="6" w:space="0" w:color="000000"/>
            </w:tcBorders>
          </w:tcPr>
          <w:p w14:paraId="0DFDC942" w14:textId="77777777" w:rsidR="00046465" w:rsidRDefault="008134EB">
            <w:pPr>
              <w:pStyle w:val="TableParagraph"/>
              <w:tabs>
                <w:tab w:val="left" w:pos="668"/>
              </w:tabs>
              <w:spacing w:before="119"/>
              <w:ind w:left="668" w:right="1044" w:hanging="577"/>
            </w:pPr>
            <w:r>
              <w:rPr>
                <w:spacing w:val="-4"/>
              </w:rPr>
              <w:t>11)</w:t>
            </w:r>
            <w:r>
              <w:tab/>
              <w:t>Document</w:t>
            </w:r>
            <w:r>
              <w:rPr>
                <w:spacing w:val="-4"/>
              </w:rPr>
              <w:t xml:space="preserve"> </w:t>
            </w:r>
            <w:r>
              <w:t>and</w:t>
            </w:r>
            <w:r>
              <w:rPr>
                <w:spacing w:val="-4"/>
              </w:rPr>
              <w:t xml:space="preserve"> </w:t>
            </w:r>
            <w:r>
              <w:t>discuss</w:t>
            </w:r>
            <w:r>
              <w:rPr>
                <w:spacing w:val="-5"/>
              </w:rPr>
              <w:t xml:space="preserve"> </w:t>
            </w:r>
            <w:r>
              <w:t>with</w:t>
            </w:r>
            <w:r>
              <w:rPr>
                <w:spacing w:val="-4"/>
              </w:rPr>
              <w:t xml:space="preserve"> </w:t>
            </w:r>
            <w:r>
              <w:t>the</w:t>
            </w:r>
            <w:r>
              <w:rPr>
                <w:spacing w:val="-4"/>
              </w:rPr>
              <w:t xml:space="preserve"> </w:t>
            </w:r>
            <w:r>
              <w:t>entity’s</w:t>
            </w:r>
            <w:r>
              <w:rPr>
                <w:spacing w:val="-4"/>
              </w:rPr>
              <w:t xml:space="preserve"> </w:t>
            </w:r>
            <w:r>
              <w:t>legal</w:t>
            </w:r>
            <w:r>
              <w:rPr>
                <w:spacing w:val="-4"/>
              </w:rPr>
              <w:t xml:space="preserve"> </w:t>
            </w:r>
            <w:r>
              <w:t>counsel</w:t>
            </w:r>
            <w:r>
              <w:rPr>
                <w:spacing w:val="-4"/>
              </w:rPr>
              <w:t xml:space="preserve"> </w:t>
            </w:r>
            <w:r>
              <w:t>if</w:t>
            </w:r>
            <w:r>
              <w:rPr>
                <w:spacing w:val="-4"/>
              </w:rPr>
              <w:t xml:space="preserve"> </w:t>
            </w:r>
            <w:r>
              <w:t>the information obtained is not complete, clear, or consistent.</w:t>
            </w:r>
          </w:p>
        </w:tc>
        <w:tc>
          <w:tcPr>
            <w:tcW w:w="1024" w:type="dxa"/>
            <w:tcBorders>
              <w:top w:val="single" w:sz="6" w:space="0" w:color="000000"/>
              <w:left w:val="single" w:sz="6" w:space="0" w:color="000000"/>
              <w:bottom w:val="single" w:sz="6" w:space="0" w:color="000000"/>
              <w:right w:val="single" w:sz="6" w:space="0" w:color="000000"/>
            </w:tcBorders>
          </w:tcPr>
          <w:p w14:paraId="0DFDC943" w14:textId="77777777" w:rsidR="00046465" w:rsidRDefault="00046465">
            <w:pPr>
              <w:pStyle w:val="TableParagraph"/>
              <w:rPr>
                <w:rFonts w:ascii="Times New Roman"/>
                <w:sz w:val="20"/>
              </w:rPr>
            </w:pPr>
          </w:p>
        </w:tc>
        <w:tc>
          <w:tcPr>
            <w:tcW w:w="765" w:type="dxa"/>
            <w:tcBorders>
              <w:top w:val="single" w:sz="6" w:space="0" w:color="000000"/>
              <w:left w:val="single" w:sz="6" w:space="0" w:color="000000"/>
              <w:bottom w:val="single" w:sz="6" w:space="0" w:color="000000"/>
            </w:tcBorders>
          </w:tcPr>
          <w:p w14:paraId="0DFDC944" w14:textId="77777777" w:rsidR="00046465" w:rsidRDefault="00046465">
            <w:pPr>
              <w:pStyle w:val="TableParagraph"/>
              <w:rPr>
                <w:rFonts w:ascii="Times New Roman"/>
                <w:sz w:val="20"/>
              </w:rPr>
            </w:pPr>
          </w:p>
        </w:tc>
      </w:tr>
    </w:tbl>
    <w:p w14:paraId="0DFDC946" w14:textId="77777777" w:rsidR="00046465" w:rsidRDefault="00046465">
      <w:pPr>
        <w:pStyle w:val="TableParagraph"/>
        <w:rPr>
          <w:rFonts w:ascii="Times New Roman"/>
          <w:sz w:val="20"/>
        </w:rPr>
        <w:sectPr w:rsidR="00046465">
          <w:pgSz w:w="12240" w:h="15840"/>
          <w:pgMar w:top="1340" w:right="720" w:bottom="940" w:left="1080" w:header="721" w:footer="757" w:gutter="0"/>
          <w:cols w:space="720"/>
        </w:sectPr>
      </w:pPr>
    </w:p>
    <w:p w14:paraId="0DFDC947" w14:textId="77777777" w:rsidR="00046465" w:rsidRDefault="00046465">
      <w:pPr>
        <w:pStyle w:val="BodyText"/>
        <w:spacing w:before="9"/>
        <w:rPr>
          <w:sz w:val="11"/>
        </w:rPr>
      </w:pPr>
    </w:p>
    <w:tbl>
      <w:tblPr>
        <w:tblW w:w="0" w:type="auto"/>
        <w:tblInd w:w="458"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420"/>
        <w:gridCol w:w="1024"/>
        <w:gridCol w:w="765"/>
      </w:tblGrid>
      <w:tr w:rsidR="00046465" w14:paraId="0DFDC94E" w14:textId="77777777">
        <w:trPr>
          <w:trHeight w:val="999"/>
        </w:trPr>
        <w:tc>
          <w:tcPr>
            <w:tcW w:w="7420" w:type="dxa"/>
            <w:tcBorders>
              <w:bottom w:val="single" w:sz="6" w:space="0" w:color="000000"/>
              <w:right w:val="single" w:sz="6" w:space="0" w:color="000000"/>
            </w:tcBorders>
          </w:tcPr>
          <w:p w14:paraId="0DFDC948" w14:textId="77777777" w:rsidR="00046465" w:rsidRDefault="00046465">
            <w:pPr>
              <w:pStyle w:val="TableParagraph"/>
            </w:pPr>
          </w:p>
          <w:p w14:paraId="0DFDC949" w14:textId="77777777" w:rsidR="00046465" w:rsidRDefault="00046465">
            <w:pPr>
              <w:pStyle w:val="TableParagraph"/>
              <w:spacing w:before="120"/>
            </w:pPr>
          </w:p>
          <w:p w14:paraId="0DFDC94A" w14:textId="77777777" w:rsidR="00046465" w:rsidRDefault="008134EB">
            <w:pPr>
              <w:pStyle w:val="TableParagraph"/>
              <w:ind w:left="92"/>
              <w:rPr>
                <w:b/>
              </w:rPr>
            </w:pPr>
            <w:r>
              <w:rPr>
                <w:b/>
              </w:rPr>
              <w:t>Example</w:t>
            </w:r>
            <w:r>
              <w:rPr>
                <w:b/>
                <w:spacing w:val="-8"/>
              </w:rPr>
              <w:t xml:space="preserve"> </w:t>
            </w:r>
            <w:r>
              <w:rPr>
                <w:b/>
              </w:rPr>
              <w:t>audit</w:t>
            </w:r>
            <w:r>
              <w:rPr>
                <w:b/>
                <w:spacing w:val="-8"/>
              </w:rPr>
              <w:t xml:space="preserve"> </w:t>
            </w:r>
            <w:r>
              <w:rPr>
                <w:b/>
                <w:spacing w:val="-2"/>
              </w:rPr>
              <w:t>procedures</w:t>
            </w:r>
          </w:p>
        </w:tc>
        <w:tc>
          <w:tcPr>
            <w:tcW w:w="1024" w:type="dxa"/>
            <w:tcBorders>
              <w:left w:val="single" w:sz="6" w:space="0" w:color="000000"/>
              <w:bottom w:val="single" w:sz="6" w:space="0" w:color="000000"/>
              <w:right w:val="single" w:sz="6" w:space="0" w:color="000000"/>
            </w:tcBorders>
          </w:tcPr>
          <w:p w14:paraId="0DFDC94B" w14:textId="77777777" w:rsidR="00046465" w:rsidRDefault="008134EB">
            <w:pPr>
              <w:pStyle w:val="TableParagraph"/>
              <w:spacing w:before="120"/>
              <w:ind w:left="107" w:right="201"/>
              <w:rPr>
                <w:b/>
              </w:rPr>
            </w:pPr>
            <w:r>
              <w:rPr>
                <w:b/>
                <w:spacing w:val="-2"/>
              </w:rPr>
              <w:t xml:space="preserve">Initials </w:t>
            </w:r>
            <w:r>
              <w:rPr>
                <w:b/>
                <w:spacing w:val="-4"/>
              </w:rPr>
              <w:t>and date</w:t>
            </w:r>
          </w:p>
        </w:tc>
        <w:tc>
          <w:tcPr>
            <w:tcW w:w="765" w:type="dxa"/>
            <w:tcBorders>
              <w:left w:val="single" w:sz="6" w:space="0" w:color="000000"/>
              <w:bottom w:val="single" w:sz="6" w:space="0" w:color="000000"/>
            </w:tcBorders>
          </w:tcPr>
          <w:p w14:paraId="0DFDC94C" w14:textId="77777777" w:rsidR="00046465" w:rsidRDefault="00046465">
            <w:pPr>
              <w:pStyle w:val="TableParagraph"/>
              <w:spacing w:before="120"/>
            </w:pPr>
          </w:p>
          <w:p w14:paraId="0DFDC94D" w14:textId="77777777" w:rsidR="00046465" w:rsidRDefault="008134EB">
            <w:pPr>
              <w:pStyle w:val="TableParagraph"/>
              <w:ind w:left="107" w:right="148" w:hanging="1"/>
              <w:rPr>
                <w:b/>
              </w:rPr>
            </w:pPr>
            <w:r>
              <w:rPr>
                <w:b/>
                <w:spacing w:val="-4"/>
              </w:rPr>
              <w:t>Doc. ref.</w:t>
            </w:r>
          </w:p>
        </w:tc>
      </w:tr>
      <w:tr w:rsidR="00046465" w14:paraId="0DFDC952" w14:textId="77777777">
        <w:trPr>
          <w:trHeight w:val="998"/>
        </w:trPr>
        <w:tc>
          <w:tcPr>
            <w:tcW w:w="7420" w:type="dxa"/>
            <w:tcBorders>
              <w:top w:val="single" w:sz="6" w:space="0" w:color="000000"/>
              <w:bottom w:val="single" w:sz="6" w:space="0" w:color="000000"/>
              <w:right w:val="single" w:sz="6" w:space="0" w:color="000000"/>
            </w:tcBorders>
          </w:tcPr>
          <w:p w14:paraId="0DFDC94F" w14:textId="77777777" w:rsidR="00046465" w:rsidRDefault="008134EB">
            <w:pPr>
              <w:pStyle w:val="TableParagraph"/>
              <w:tabs>
                <w:tab w:val="left" w:pos="668"/>
              </w:tabs>
              <w:spacing w:before="119"/>
              <w:ind w:left="668" w:right="397" w:hanging="577"/>
            </w:pPr>
            <w:r>
              <w:rPr>
                <w:spacing w:val="-4"/>
              </w:rPr>
              <w:t>12)</w:t>
            </w:r>
            <w:r>
              <w:tab/>
              <w:t>Evaluate</w:t>
            </w:r>
            <w:r>
              <w:rPr>
                <w:spacing w:val="-5"/>
              </w:rPr>
              <w:t xml:space="preserve"> </w:t>
            </w:r>
            <w:r>
              <w:t>the</w:t>
            </w:r>
            <w:r>
              <w:rPr>
                <w:spacing w:val="-5"/>
              </w:rPr>
              <w:t xml:space="preserve"> </w:t>
            </w:r>
            <w:r>
              <w:t>legal</w:t>
            </w:r>
            <w:r>
              <w:rPr>
                <w:spacing w:val="-5"/>
              </w:rPr>
              <w:t xml:space="preserve"> </w:t>
            </w:r>
            <w:r>
              <w:t>counsel</w:t>
            </w:r>
            <w:r>
              <w:rPr>
                <w:spacing w:val="-5"/>
              </w:rPr>
              <w:t xml:space="preserve"> </w:t>
            </w:r>
            <w:r>
              <w:t>response</w:t>
            </w:r>
            <w:r>
              <w:rPr>
                <w:spacing w:val="-5"/>
              </w:rPr>
              <w:t xml:space="preserve"> </w:t>
            </w:r>
            <w:r>
              <w:t>and</w:t>
            </w:r>
            <w:r>
              <w:rPr>
                <w:spacing w:val="-5"/>
              </w:rPr>
              <w:t xml:space="preserve"> </w:t>
            </w:r>
            <w:r>
              <w:t>determine</w:t>
            </w:r>
            <w:r>
              <w:rPr>
                <w:spacing w:val="-5"/>
              </w:rPr>
              <w:t xml:space="preserve"> </w:t>
            </w:r>
            <w:r>
              <w:t>the</w:t>
            </w:r>
            <w:r>
              <w:rPr>
                <w:spacing w:val="-5"/>
              </w:rPr>
              <w:t xml:space="preserve"> </w:t>
            </w:r>
            <w:r>
              <w:t>effects</w:t>
            </w:r>
            <w:r>
              <w:rPr>
                <w:spacing w:val="-5"/>
              </w:rPr>
              <w:t xml:space="preserve"> </w:t>
            </w:r>
            <w:r>
              <w:t>of the response on liabilities and related note disclosures in the financial statements and on the auditor’s report.</w:t>
            </w:r>
          </w:p>
        </w:tc>
        <w:tc>
          <w:tcPr>
            <w:tcW w:w="1024" w:type="dxa"/>
            <w:tcBorders>
              <w:top w:val="single" w:sz="6" w:space="0" w:color="000000"/>
              <w:left w:val="single" w:sz="6" w:space="0" w:color="000000"/>
              <w:bottom w:val="single" w:sz="6" w:space="0" w:color="000000"/>
              <w:right w:val="single" w:sz="6" w:space="0" w:color="000000"/>
            </w:tcBorders>
          </w:tcPr>
          <w:p w14:paraId="0DFDC950" w14:textId="77777777" w:rsidR="00046465" w:rsidRDefault="00046465">
            <w:pPr>
              <w:pStyle w:val="TableParagraph"/>
              <w:rPr>
                <w:rFonts w:ascii="Times New Roman"/>
                <w:sz w:val="20"/>
              </w:rPr>
            </w:pPr>
          </w:p>
        </w:tc>
        <w:tc>
          <w:tcPr>
            <w:tcW w:w="765" w:type="dxa"/>
            <w:tcBorders>
              <w:top w:val="single" w:sz="6" w:space="0" w:color="000000"/>
              <w:left w:val="single" w:sz="6" w:space="0" w:color="000000"/>
              <w:bottom w:val="single" w:sz="6" w:space="0" w:color="000000"/>
            </w:tcBorders>
          </w:tcPr>
          <w:p w14:paraId="0DFDC951" w14:textId="77777777" w:rsidR="00046465" w:rsidRDefault="00046465">
            <w:pPr>
              <w:pStyle w:val="TableParagraph"/>
              <w:rPr>
                <w:rFonts w:ascii="Times New Roman"/>
                <w:sz w:val="20"/>
              </w:rPr>
            </w:pPr>
          </w:p>
        </w:tc>
      </w:tr>
      <w:tr w:rsidR="00046465" w14:paraId="0DFDC957" w14:textId="77777777">
        <w:trPr>
          <w:trHeight w:val="3768"/>
        </w:trPr>
        <w:tc>
          <w:tcPr>
            <w:tcW w:w="7420" w:type="dxa"/>
            <w:tcBorders>
              <w:top w:val="single" w:sz="6" w:space="0" w:color="000000"/>
              <w:bottom w:val="single" w:sz="6" w:space="0" w:color="000000"/>
              <w:right w:val="single" w:sz="6" w:space="0" w:color="000000"/>
            </w:tcBorders>
          </w:tcPr>
          <w:p w14:paraId="0DFDC953" w14:textId="77777777" w:rsidR="00046465" w:rsidRDefault="008134EB">
            <w:pPr>
              <w:pStyle w:val="TableParagraph"/>
              <w:tabs>
                <w:tab w:val="left" w:pos="668"/>
              </w:tabs>
              <w:spacing w:before="119"/>
              <w:ind w:left="668" w:right="421" w:hanging="577"/>
            </w:pPr>
            <w:r>
              <w:rPr>
                <w:spacing w:val="-4"/>
              </w:rPr>
              <w:t>13)</w:t>
            </w:r>
            <w:r>
              <w:tab/>
              <w:t>If</w:t>
            </w:r>
            <w:r>
              <w:rPr>
                <w:spacing w:val="-4"/>
              </w:rPr>
              <w:t xml:space="preserve"> </w:t>
            </w:r>
            <w:r>
              <w:t>the</w:t>
            </w:r>
            <w:r>
              <w:rPr>
                <w:spacing w:val="-4"/>
              </w:rPr>
              <w:t xml:space="preserve"> </w:t>
            </w:r>
            <w:r>
              <w:t>effective</w:t>
            </w:r>
            <w:r>
              <w:rPr>
                <w:spacing w:val="-4"/>
              </w:rPr>
              <w:t xml:space="preserve"> </w:t>
            </w:r>
            <w:r>
              <w:t>date</w:t>
            </w:r>
            <w:r>
              <w:rPr>
                <w:spacing w:val="-4"/>
              </w:rPr>
              <w:t xml:space="preserve"> </w:t>
            </w:r>
            <w:r>
              <w:t>of</w:t>
            </w:r>
            <w:r>
              <w:rPr>
                <w:spacing w:val="-4"/>
              </w:rPr>
              <w:t xml:space="preserve"> </w:t>
            </w:r>
            <w:r>
              <w:t>the</w:t>
            </w:r>
            <w:r>
              <w:rPr>
                <w:spacing w:val="-4"/>
              </w:rPr>
              <w:t xml:space="preserve"> </w:t>
            </w:r>
            <w:r>
              <w:t>response</w:t>
            </w:r>
            <w:r>
              <w:rPr>
                <w:spacing w:val="-4"/>
              </w:rPr>
              <w:t xml:space="preserve"> </w:t>
            </w:r>
            <w:r>
              <w:t>is</w:t>
            </w:r>
            <w:r>
              <w:rPr>
                <w:spacing w:val="-4"/>
              </w:rPr>
              <w:t xml:space="preserve"> </w:t>
            </w:r>
            <w:r>
              <w:t>substantially</w:t>
            </w:r>
            <w:r>
              <w:rPr>
                <w:spacing w:val="-4"/>
              </w:rPr>
              <w:t xml:space="preserve"> </w:t>
            </w:r>
            <w:r>
              <w:t>in</w:t>
            </w:r>
            <w:r>
              <w:rPr>
                <w:spacing w:val="-4"/>
              </w:rPr>
              <w:t xml:space="preserve"> </w:t>
            </w:r>
            <w:r>
              <w:t>advance</w:t>
            </w:r>
            <w:r>
              <w:rPr>
                <w:spacing w:val="-4"/>
              </w:rPr>
              <w:t xml:space="preserve"> </w:t>
            </w:r>
            <w:r>
              <w:t xml:space="preserve">of the auditor’s report date, for example, an interim response or a response earlier than 2 weeks before the auditor’s report date, obtain an updated legal counsel response on legal counsel </w:t>
            </w:r>
            <w:r>
              <w:rPr>
                <w:spacing w:val="-2"/>
              </w:rPr>
              <w:t>letterhead.</w:t>
            </w:r>
          </w:p>
          <w:p w14:paraId="0DFDC954" w14:textId="77777777" w:rsidR="00046465" w:rsidRDefault="008134EB">
            <w:pPr>
              <w:pStyle w:val="TableParagraph"/>
              <w:spacing w:before="240"/>
              <w:ind w:left="668" w:right="28"/>
            </w:pPr>
            <w:r>
              <w:t>The</w:t>
            </w:r>
            <w:r>
              <w:rPr>
                <w:spacing w:val="-3"/>
              </w:rPr>
              <w:t xml:space="preserve"> </w:t>
            </w:r>
            <w:r>
              <w:t>auditor</w:t>
            </w:r>
            <w:r>
              <w:rPr>
                <w:spacing w:val="-5"/>
              </w:rPr>
              <w:t xml:space="preserve"> </w:t>
            </w:r>
            <w:r>
              <w:t>may</w:t>
            </w:r>
            <w:r>
              <w:rPr>
                <w:spacing w:val="-3"/>
              </w:rPr>
              <w:t xml:space="preserve"> </w:t>
            </w:r>
            <w:r>
              <w:t>determine</w:t>
            </w:r>
            <w:r>
              <w:rPr>
                <w:spacing w:val="-3"/>
              </w:rPr>
              <w:t xml:space="preserve"> </w:t>
            </w:r>
            <w:r>
              <w:t>that</w:t>
            </w:r>
            <w:r>
              <w:rPr>
                <w:spacing w:val="-3"/>
              </w:rPr>
              <w:t xml:space="preserve"> </w:t>
            </w:r>
            <w:r>
              <w:t>it</w:t>
            </w:r>
            <w:r>
              <w:rPr>
                <w:spacing w:val="-3"/>
              </w:rPr>
              <w:t xml:space="preserve"> </w:t>
            </w:r>
            <w:r>
              <w:t>is</w:t>
            </w:r>
            <w:r>
              <w:rPr>
                <w:spacing w:val="-5"/>
              </w:rPr>
              <w:t xml:space="preserve"> </w:t>
            </w:r>
            <w:r>
              <w:t>appropriate</w:t>
            </w:r>
            <w:r>
              <w:rPr>
                <w:spacing w:val="-4"/>
              </w:rPr>
              <w:t xml:space="preserve"> </w:t>
            </w:r>
            <w:r>
              <w:t>to</w:t>
            </w:r>
            <w:r>
              <w:rPr>
                <w:spacing w:val="-3"/>
              </w:rPr>
              <w:t xml:space="preserve"> </w:t>
            </w:r>
            <w:r>
              <w:t>make</w:t>
            </w:r>
            <w:r>
              <w:rPr>
                <w:spacing w:val="-3"/>
              </w:rPr>
              <w:t xml:space="preserve"> </w:t>
            </w:r>
            <w:r>
              <w:t>inquiries</w:t>
            </w:r>
            <w:r>
              <w:rPr>
                <w:spacing w:val="-3"/>
              </w:rPr>
              <w:t xml:space="preserve"> </w:t>
            </w:r>
            <w:r>
              <w:t>of legal counsel and document whether material changes have occurred from the date of the legal counsel response or updated response to the date of the auditor’s report. However, if the auditor becomes aware of new matters or material changes in the status of existing matters or management’s evaluation of the outcome, the auditor should obtain a written confirmation or updated response from legal counsel.</w:t>
            </w:r>
          </w:p>
        </w:tc>
        <w:tc>
          <w:tcPr>
            <w:tcW w:w="1024" w:type="dxa"/>
            <w:tcBorders>
              <w:top w:val="single" w:sz="6" w:space="0" w:color="000000"/>
              <w:left w:val="single" w:sz="6" w:space="0" w:color="000000"/>
              <w:bottom w:val="single" w:sz="6" w:space="0" w:color="000000"/>
              <w:right w:val="single" w:sz="6" w:space="0" w:color="000000"/>
            </w:tcBorders>
          </w:tcPr>
          <w:p w14:paraId="0DFDC955" w14:textId="77777777" w:rsidR="00046465" w:rsidRDefault="00046465">
            <w:pPr>
              <w:pStyle w:val="TableParagraph"/>
              <w:rPr>
                <w:rFonts w:ascii="Times New Roman"/>
                <w:sz w:val="20"/>
              </w:rPr>
            </w:pPr>
          </w:p>
        </w:tc>
        <w:tc>
          <w:tcPr>
            <w:tcW w:w="765" w:type="dxa"/>
            <w:tcBorders>
              <w:top w:val="single" w:sz="6" w:space="0" w:color="000000"/>
              <w:left w:val="single" w:sz="6" w:space="0" w:color="000000"/>
              <w:bottom w:val="single" w:sz="6" w:space="0" w:color="000000"/>
            </w:tcBorders>
          </w:tcPr>
          <w:p w14:paraId="0DFDC956" w14:textId="77777777" w:rsidR="00046465" w:rsidRDefault="00046465">
            <w:pPr>
              <w:pStyle w:val="TableParagraph"/>
              <w:rPr>
                <w:rFonts w:ascii="Times New Roman"/>
                <w:sz w:val="20"/>
              </w:rPr>
            </w:pPr>
          </w:p>
        </w:tc>
      </w:tr>
      <w:tr w:rsidR="00046465" w14:paraId="0DFDC95C" w14:textId="77777777">
        <w:trPr>
          <w:trHeight w:val="1492"/>
        </w:trPr>
        <w:tc>
          <w:tcPr>
            <w:tcW w:w="7420" w:type="dxa"/>
            <w:tcBorders>
              <w:top w:val="single" w:sz="6" w:space="0" w:color="000000"/>
              <w:bottom w:val="single" w:sz="6" w:space="0" w:color="000000"/>
              <w:right w:val="single" w:sz="6" w:space="0" w:color="000000"/>
            </w:tcBorders>
          </w:tcPr>
          <w:p w14:paraId="0DFDC958" w14:textId="77777777" w:rsidR="00046465" w:rsidRDefault="008134EB">
            <w:pPr>
              <w:pStyle w:val="TableParagraph"/>
              <w:spacing w:before="119"/>
              <w:ind w:left="92"/>
              <w:rPr>
                <w:b/>
              </w:rPr>
            </w:pPr>
            <w:r>
              <w:rPr>
                <w:b/>
                <w:u w:val="single"/>
              </w:rPr>
              <w:t>II.</w:t>
            </w:r>
            <w:r>
              <w:rPr>
                <w:b/>
                <w:spacing w:val="-8"/>
                <w:u w:val="single"/>
              </w:rPr>
              <w:t xml:space="preserve"> </w:t>
            </w:r>
            <w:r>
              <w:rPr>
                <w:b/>
                <w:u w:val="single"/>
              </w:rPr>
              <w:t>Reporting</w:t>
            </w:r>
            <w:r>
              <w:rPr>
                <w:b/>
                <w:spacing w:val="-7"/>
                <w:u w:val="single"/>
              </w:rPr>
              <w:t xml:space="preserve"> </w:t>
            </w:r>
            <w:r>
              <w:rPr>
                <w:b/>
                <w:spacing w:val="-2"/>
                <w:u w:val="single"/>
              </w:rPr>
              <w:t>procedures</w:t>
            </w:r>
          </w:p>
          <w:p w14:paraId="0DFDC959" w14:textId="77777777" w:rsidR="00046465" w:rsidRDefault="008134EB">
            <w:pPr>
              <w:pStyle w:val="TableParagraph"/>
              <w:tabs>
                <w:tab w:val="left" w:pos="668"/>
              </w:tabs>
              <w:spacing w:before="241"/>
              <w:ind w:left="668" w:right="339" w:hanging="577"/>
            </w:pPr>
            <w:r>
              <w:rPr>
                <w:spacing w:val="-6"/>
              </w:rPr>
              <w:t>1)</w:t>
            </w:r>
            <w:r>
              <w:tab/>
              <w:t>Obtain representation from management in the management representation</w:t>
            </w:r>
            <w:r>
              <w:rPr>
                <w:spacing w:val="-6"/>
              </w:rPr>
              <w:t xml:space="preserve"> </w:t>
            </w:r>
            <w:r>
              <w:t>letter</w:t>
            </w:r>
            <w:r>
              <w:rPr>
                <w:spacing w:val="-6"/>
              </w:rPr>
              <w:t xml:space="preserve"> </w:t>
            </w:r>
            <w:r>
              <w:t>related</w:t>
            </w:r>
            <w:r>
              <w:rPr>
                <w:spacing w:val="-6"/>
              </w:rPr>
              <w:t xml:space="preserve"> </w:t>
            </w:r>
            <w:r>
              <w:t>to</w:t>
            </w:r>
            <w:r>
              <w:rPr>
                <w:spacing w:val="-6"/>
              </w:rPr>
              <w:t xml:space="preserve"> </w:t>
            </w:r>
            <w:r>
              <w:t>litigation,</w:t>
            </w:r>
            <w:r>
              <w:rPr>
                <w:spacing w:val="-6"/>
              </w:rPr>
              <w:t xml:space="preserve"> </w:t>
            </w:r>
            <w:r>
              <w:t>claims,</w:t>
            </w:r>
            <w:r>
              <w:rPr>
                <w:spacing w:val="-7"/>
              </w:rPr>
              <w:t xml:space="preserve"> </w:t>
            </w:r>
            <w:r>
              <w:t>and</w:t>
            </w:r>
            <w:r>
              <w:rPr>
                <w:spacing w:val="-6"/>
              </w:rPr>
              <w:t xml:space="preserve"> </w:t>
            </w:r>
            <w:r>
              <w:t>assessments (see FAM 1001).</w:t>
            </w:r>
          </w:p>
        </w:tc>
        <w:tc>
          <w:tcPr>
            <w:tcW w:w="1024" w:type="dxa"/>
            <w:tcBorders>
              <w:top w:val="single" w:sz="6" w:space="0" w:color="000000"/>
              <w:left w:val="single" w:sz="6" w:space="0" w:color="000000"/>
              <w:bottom w:val="single" w:sz="6" w:space="0" w:color="000000"/>
              <w:right w:val="single" w:sz="6" w:space="0" w:color="000000"/>
            </w:tcBorders>
          </w:tcPr>
          <w:p w14:paraId="0DFDC95A" w14:textId="77777777" w:rsidR="00046465" w:rsidRDefault="00046465">
            <w:pPr>
              <w:pStyle w:val="TableParagraph"/>
              <w:rPr>
                <w:rFonts w:ascii="Times New Roman"/>
                <w:sz w:val="20"/>
              </w:rPr>
            </w:pPr>
          </w:p>
        </w:tc>
        <w:tc>
          <w:tcPr>
            <w:tcW w:w="765" w:type="dxa"/>
            <w:tcBorders>
              <w:top w:val="single" w:sz="6" w:space="0" w:color="000000"/>
              <w:left w:val="single" w:sz="6" w:space="0" w:color="000000"/>
              <w:bottom w:val="single" w:sz="6" w:space="0" w:color="000000"/>
            </w:tcBorders>
          </w:tcPr>
          <w:p w14:paraId="0DFDC95B" w14:textId="77777777" w:rsidR="00046465" w:rsidRDefault="00046465">
            <w:pPr>
              <w:pStyle w:val="TableParagraph"/>
              <w:rPr>
                <w:rFonts w:ascii="Times New Roman"/>
                <w:sz w:val="20"/>
              </w:rPr>
            </w:pPr>
          </w:p>
        </w:tc>
      </w:tr>
      <w:tr w:rsidR="00046465" w14:paraId="0DFDC961" w14:textId="77777777">
        <w:trPr>
          <w:trHeight w:val="1491"/>
        </w:trPr>
        <w:tc>
          <w:tcPr>
            <w:tcW w:w="7420" w:type="dxa"/>
            <w:tcBorders>
              <w:top w:val="single" w:sz="6" w:space="0" w:color="000000"/>
              <w:bottom w:val="single" w:sz="6" w:space="0" w:color="000000"/>
              <w:right w:val="single" w:sz="6" w:space="0" w:color="000000"/>
            </w:tcBorders>
          </w:tcPr>
          <w:p w14:paraId="0DFDC95D" w14:textId="77777777" w:rsidR="00046465" w:rsidRDefault="008134EB">
            <w:pPr>
              <w:pStyle w:val="TableParagraph"/>
              <w:numPr>
                <w:ilvl w:val="0"/>
                <w:numId w:val="61"/>
              </w:numPr>
              <w:tabs>
                <w:tab w:val="left" w:pos="668"/>
              </w:tabs>
              <w:spacing w:before="119"/>
              <w:ind w:hanging="576"/>
            </w:pPr>
            <w:r>
              <w:t>Read</w:t>
            </w:r>
            <w:r>
              <w:rPr>
                <w:spacing w:val="-8"/>
              </w:rPr>
              <w:t xml:space="preserve"> </w:t>
            </w:r>
            <w:r>
              <w:t>the</w:t>
            </w:r>
            <w:r>
              <w:rPr>
                <w:spacing w:val="-7"/>
              </w:rPr>
              <w:t xml:space="preserve"> </w:t>
            </w:r>
            <w:r>
              <w:t>entity’s</w:t>
            </w:r>
            <w:r>
              <w:rPr>
                <w:spacing w:val="-7"/>
              </w:rPr>
              <w:t xml:space="preserve"> </w:t>
            </w:r>
            <w:r>
              <w:t>financial</w:t>
            </w:r>
            <w:r>
              <w:rPr>
                <w:spacing w:val="-7"/>
              </w:rPr>
              <w:t xml:space="preserve"> </w:t>
            </w:r>
            <w:r>
              <w:t>statements</w:t>
            </w:r>
            <w:r>
              <w:rPr>
                <w:spacing w:val="-7"/>
              </w:rPr>
              <w:t xml:space="preserve"> </w:t>
            </w:r>
            <w:r>
              <w:t>and</w:t>
            </w:r>
            <w:r>
              <w:rPr>
                <w:spacing w:val="-7"/>
              </w:rPr>
              <w:t xml:space="preserve"> </w:t>
            </w:r>
            <w:r>
              <w:rPr>
                <w:spacing w:val="-2"/>
              </w:rPr>
              <w:t>notes.</w:t>
            </w:r>
          </w:p>
          <w:p w14:paraId="0DFDC95E" w14:textId="77777777" w:rsidR="00046465" w:rsidRDefault="008134EB">
            <w:pPr>
              <w:pStyle w:val="TableParagraph"/>
              <w:numPr>
                <w:ilvl w:val="1"/>
                <w:numId w:val="61"/>
              </w:numPr>
              <w:tabs>
                <w:tab w:val="left" w:pos="1244"/>
              </w:tabs>
              <w:spacing w:before="241"/>
              <w:ind w:right="456"/>
            </w:pPr>
            <w:r>
              <w:t>Determine</w:t>
            </w:r>
            <w:r>
              <w:rPr>
                <w:spacing w:val="-5"/>
              </w:rPr>
              <w:t xml:space="preserve"> </w:t>
            </w:r>
            <w:r>
              <w:t>whether</w:t>
            </w:r>
            <w:r>
              <w:rPr>
                <w:spacing w:val="-6"/>
              </w:rPr>
              <w:t xml:space="preserve"> </w:t>
            </w:r>
            <w:r>
              <w:t>contingencies</w:t>
            </w:r>
            <w:r>
              <w:rPr>
                <w:spacing w:val="-7"/>
              </w:rPr>
              <w:t xml:space="preserve"> </w:t>
            </w:r>
            <w:r>
              <w:t>for</w:t>
            </w:r>
            <w:r>
              <w:rPr>
                <w:spacing w:val="-6"/>
              </w:rPr>
              <w:t xml:space="preserve"> </w:t>
            </w:r>
            <w:r>
              <w:t>litigation,</w:t>
            </w:r>
            <w:r>
              <w:rPr>
                <w:spacing w:val="-7"/>
              </w:rPr>
              <w:t xml:space="preserve"> </w:t>
            </w:r>
            <w:r>
              <w:t>claims,</w:t>
            </w:r>
            <w:r>
              <w:rPr>
                <w:spacing w:val="-6"/>
              </w:rPr>
              <w:t xml:space="preserve"> </w:t>
            </w:r>
            <w:r>
              <w:t xml:space="preserve">and assessments are properly reported in the financial </w:t>
            </w:r>
            <w:r>
              <w:rPr>
                <w:spacing w:val="-2"/>
              </w:rPr>
              <w:t>statements.</w:t>
            </w:r>
          </w:p>
        </w:tc>
        <w:tc>
          <w:tcPr>
            <w:tcW w:w="1024" w:type="dxa"/>
            <w:tcBorders>
              <w:top w:val="single" w:sz="6" w:space="0" w:color="000000"/>
              <w:left w:val="single" w:sz="6" w:space="0" w:color="000000"/>
              <w:bottom w:val="single" w:sz="6" w:space="0" w:color="000000"/>
              <w:right w:val="single" w:sz="6" w:space="0" w:color="000000"/>
            </w:tcBorders>
          </w:tcPr>
          <w:p w14:paraId="0DFDC95F" w14:textId="77777777" w:rsidR="00046465" w:rsidRDefault="00046465">
            <w:pPr>
              <w:pStyle w:val="TableParagraph"/>
              <w:rPr>
                <w:rFonts w:ascii="Times New Roman"/>
                <w:sz w:val="20"/>
              </w:rPr>
            </w:pPr>
          </w:p>
        </w:tc>
        <w:tc>
          <w:tcPr>
            <w:tcW w:w="765" w:type="dxa"/>
            <w:tcBorders>
              <w:top w:val="single" w:sz="6" w:space="0" w:color="000000"/>
              <w:left w:val="single" w:sz="6" w:space="0" w:color="000000"/>
              <w:bottom w:val="single" w:sz="6" w:space="0" w:color="000000"/>
            </w:tcBorders>
          </w:tcPr>
          <w:p w14:paraId="0DFDC960" w14:textId="77777777" w:rsidR="00046465" w:rsidRDefault="00046465">
            <w:pPr>
              <w:pStyle w:val="TableParagraph"/>
              <w:rPr>
                <w:rFonts w:ascii="Times New Roman"/>
                <w:sz w:val="20"/>
              </w:rPr>
            </w:pPr>
          </w:p>
        </w:tc>
      </w:tr>
      <w:tr w:rsidR="00046465" w14:paraId="0DFDC965" w14:textId="77777777">
        <w:trPr>
          <w:trHeight w:val="999"/>
        </w:trPr>
        <w:tc>
          <w:tcPr>
            <w:tcW w:w="7420" w:type="dxa"/>
            <w:tcBorders>
              <w:top w:val="single" w:sz="6" w:space="0" w:color="000000"/>
              <w:bottom w:val="single" w:sz="6" w:space="0" w:color="000000"/>
              <w:right w:val="single" w:sz="6" w:space="0" w:color="000000"/>
            </w:tcBorders>
          </w:tcPr>
          <w:p w14:paraId="0DFDC962" w14:textId="77777777" w:rsidR="00046465" w:rsidRDefault="008134EB">
            <w:pPr>
              <w:pStyle w:val="TableParagraph"/>
              <w:tabs>
                <w:tab w:val="left" w:pos="1244"/>
              </w:tabs>
              <w:spacing w:before="121"/>
              <w:ind w:left="1244" w:right="934" w:hanging="577"/>
            </w:pPr>
            <w:r>
              <w:rPr>
                <w:spacing w:val="-6"/>
              </w:rPr>
              <w:t>b)</w:t>
            </w:r>
            <w:r>
              <w:tab/>
              <w:t>Evaluate the adequacy of note disclosures for these contingencies,</w:t>
            </w:r>
            <w:r>
              <w:rPr>
                <w:spacing w:val="-7"/>
              </w:rPr>
              <w:t xml:space="preserve"> </w:t>
            </w:r>
            <w:r>
              <w:t>including</w:t>
            </w:r>
            <w:r>
              <w:rPr>
                <w:spacing w:val="-8"/>
              </w:rPr>
              <w:t xml:space="preserve"> </w:t>
            </w:r>
            <w:r>
              <w:t>whether</w:t>
            </w:r>
            <w:r>
              <w:rPr>
                <w:spacing w:val="-7"/>
              </w:rPr>
              <w:t xml:space="preserve"> </w:t>
            </w:r>
            <w:r>
              <w:t>they</w:t>
            </w:r>
            <w:r>
              <w:rPr>
                <w:spacing w:val="-7"/>
              </w:rPr>
              <w:t xml:space="preserve"> </w:t>
            </w:r>
            <w:r>
              <w:t>are</w:t>
            </w:r>
            <w:r>
              <w:rPr>
                <w:spacing w:val="-7"/>
              </w:rPr>
              <w:t xml:space="preserve"> </w:t>
            </w:r>
            <w:r>
              <w:t>prepared</w:t>
            </w:r>
            <w:r>
              <w:rPr>
                <w:spacing w:val="-7"/>
              </w:rPr>
              <w:t xml:space="preserve"> </w:t>
            </w:r>
            <w:r>
              <w:t>in accordance with OMB reporting guidance.</w:t>
            </w:r>
          </w:p>
        </w:tc>
        <w:tc>
          <w:tcPr>
            <w:tcW w:w="1024" w:type="dxa"/>
            <w:tcBorders>
              <w:top w:val="single" w:sz="6" w:space="0" w:color="000000"/>
              <w:left w:val="single" w:sz="6" w:space="0" w:color="000000"/>
              <w:bottom w:val="single" w:sz="6" w:space="0" w:color="000000"/>
              <w:right w:val="single" w:sz="6" w:space="0" w:color="000000"/>
            </w:tcBorders>
          </w:tcPr>
          <w:p w14:paraId="0DFDC963" w14:textId="77777777" w:rsidR="00046465" w:rsidRDefault="00046465">
            <w:pPr>
              <w:pStyle w:val="TableParagraph"/>
              <w:rPr>
                <w:rFonts w:ascii="Times New Roman"/>
                <w:sz w:val="20"/>
              </w:rPr>
            </w:pPr>
          </w:p>
        </w:tc>
        <w:tc>
          <w:tcPr>
            <w:tcW w:w="765" w:type="dxa"/>
            <w:tcBorders>
              <w:top w:val="single" w:sz="6" w:space="0" w:color="000000"/>
              <w:left w:val="single" w:sz="6" w:space="0" w:color="000000"/>
              <w:bottom w:val="single" w:sz="6" w:space="0" w:color="000000"/>
            </w:tcBorders>
          </w:tcPr>
          <w:p w14:paraId="0DFDC964" w14:textId="77777777" w:rsidR="00046465" w:rsidRDefault="00046465">
            <w:pPr>
              <w:pStyle w:val="TableParagraph"/>
              <w:rPr>
                <w:rFonts w:ascii="Times New Roman"/>
                <w:sz w:val="20"/>
              </w:rPr>
            </w:pPr>
          </w:p>
        </w:tc>
      </w:tr>
      <w:tr w:rsidR="00046465" w14:paraId="0DFDC969" w14:textId="77777777">
        <w:trPr>
          <w:trHeight w:val="1758"/>
        </w:trPr>
        <w:tc>
          <w:tcPr>
            <w:tcW w:w="7420" w:type="dxa"/>
            <w:tcBorders>
              <w:top w:val="single" w:sz="6" w:space="0" w:color="000000"/>
              <w:bottom w:val="single" w:sz="6" w:space="0" w:color="000000"/>
              <w:right w:val="single" w:sz="6" w:space="0" w:color="000000"/>
            </w:tcBorders>
          </w:tcPr>
          <w:p w14:paraId="0DFDC966" w14:textId="77777777" w:rsidR="00046465" w:rsidRDefault="008134EB">
            <w:pPr>
              <w:pStyle w:val="TableParagraph"/>
              <w:tabs>
                <w:tab w:val="left" w:pos="1244"/>
              </w:tabs>
              <w:spacing w:before="121"/>
              <w:ind w:left="1244" w:right="190" w:hanging="577"/>
            </w:pPr>
            <w:r>
              <w:rPr>
                <w:spacing w:val="-6"/>
              </w:rPr>
              <w:t>c)</w:t>
            </w:r>
            <w:r>
              <w:tab/>
              <w:t>For</w:t>
            </w:r>
            <w:r>
              <w:rPr>
                <w:spacing w:val="-5"/>
              </w:rPr>
              <w:t xml:space="preserve"> </w:t>
            </w:r>
            <w:r>
              <w:t>entities</w:t>
            </w:r>
            <w:r>
              <w:rPr>
                <w:spacing w:val="-6"/>
              </w:rPr>
              <w:t xml:space="preserve"> </w:t>
            </w:r>
            <w:r>
              <w:t>involved</w:t>
            </w:r>
            <w:r>
              <w:rPr>
                <w:spacing w:val="-5"/>
              </w:rPr>
              <w:t xml:space="preserve"> </w:t>
            </w:r>
            <w:r>
              <w:t>in</w:t>
            </w:r>
            <w:r>
              <w:rPr>
                <w:spacing w:val="-6"/>
              </w:rPr>
              <w:t xml:space="preserve"> </w:t>
            </w:r>
            <w:r>
              <w:t>litigation</w:t>
            </w:r>
            <w:r>
              <w:rPr>
                <w:spacing w:val="-5"/>
              </w:rPr>
              <w:t xml:space="preserve"> </w:t>
            </w:r>
            <w:r>
              <w:t>for</w:t>
            </w:r>
            <w:r>
              <w:rPr>
                <w:spacing w:val="-5"/>
              </w:rPr>
              <w:t xml:space="preserve"> </w:t>
            </w:r>
            <w:r>
              <w:t>which</w:t>
            </w:r>
            <w:r>
              <w:rPr>
                <w:spacing w:val="-5"/>
              </w:rPr>
              <w:t xml:space="preserve"> </w:t>
            </w:r>
            <w:r>
              <w:t>the</w:t>
            </w:r>
            <w:r>
              <w:rPr>
                <w:spacing w:val="-5"/>
              </w:rPr>
              <w:t xml:space="preserve"> </w:t>
            </w:r>
            <w:r>
              <w:t>Judgment</w:t>
            </w:r>
            <w:r>
              <w:rPr>
                <w:spacing w:val="-5"/>
              </w:rPr>
              <w:t xml:space="preserve"> </w:t>
            </w:r>
            <w:r>
              <w:t xml:space="preserve">Fund is a likely source of judgment or settlement, determine if a note to the financial statements discusses the Judgment Fund’s role in the payment of a possible loss, as required by FASAB Interpretation No. 2, </w:t>
            </w:r>
            <w:r>
              <w:rPr>
                <w:i/>
              </w:rPr>
              <w:t>Accounting for Treasury Judgment Fund Transactions</w:t>
            </w:r>
            <w:r>
              <w:t>.</w:t>
            </w:r>
          </w:p>
        </w:tc>
        <w:tc>
          <w:tcPr>
            <w:tcW w:w="1024" w:type="dxa"/>
            <w:tcBorders>
              <w:top w:val="single" w:sz="6" w:space="0" w:color="000000"/>
              <w:left w:val="single" w:sz="6" w:space="0" w:color="000000"/>
              <w:bottom w:val="single" w:sz="6" w:space="0" w:color="000000"/>
              <w:right w:val="single" w:sz="6" w:space="0" w:color="000000"/>
            </w:tcBorders>
          </w:tcPr>
          <w:p w14:paraId="0DFDC967" w14:textId="77777777" w:rsidR="00046465" w:rsidRDefault="00046465">
            <w:pPr>
              <w:pStyle w:val="TableParagraph"/>
              <w:rPr>
                <w:rFonts w:ascii="Times New Roman"/>
                <w:sz w:val="20"/>
              </w:rPr>
            </w:pPr>
          </w:p>
        </w:tc>
        <w:tc>
          <w:tcPr>
            <w:tcW w:w="765" w:type="dxa"/>
            <w:tcBorders>
              <w:top w:val="single" w:sz="6" w:space="0" w:color="000000"/>
              <w:left w:val="single" w:sz="6" w:space="0" w:color="000000"/>
              <w:bottom w:val="single" w:sz="6" w:space="0" w:color="000000"/>
            </w:tcBorders>
          </w:tcPr>
          <w:p w14:paraId="0DFDC968" w14:textId="77777777" w:rsidR="00046465" w:rsidRDefault="00046465">
            <w:pPr>
              <w:pStyle w:val="TableParagraph"/>
              <w:rPr>
                <w:rFonts w:ascii="Times New Roman"/>
                <w:sz w:val="20"/>
              </w:rPr>
            </w:pPr>
          </w:p>
        </w:tc>
      </w:tr>
      <w:tr w:rsidR="00046465" w14:paraId="0DFDC96D" w14:textId="77777777">
        <w:trPr>
          <w:trHeight w:val="1252"/>
        </w:trPr>
        <w:tc>
          <w:tcPr>
            <w:tcW w:w="7420" w:type="dxa"/>
            <w:tcBorders>
              <w:top w:val="single" w:sz="6" w:space="0" w:color="000000"/>
              <w:right w:val="single" w:sz="6" w:space="0" w:color="000000"/>
            </w:tcBorders>
          </w:tcPr>
          <w:p w14:paraId="0DFDC96A" w14:textId="77777777" w:rsidR="00046465" w:rsidRDefault="008134EB">
            <w:pPr>
              <w:pStyle w:val="TableParagraph"/>
              <w:tabs>
                <w:tab w:val="left" w:pos="618"/>
              </w:tabs>
              <w:spacing w:before="119"/>
              <w:ind w:left="618" w:right="129" w:hanging="526"/>
            </w:pPr>
            <w:r>
              <w:rPr>
                <w:spacing w:val="-6"/>
              </w:rPr>
              <w:t>3)</w:t>
            </w:r>
            <w:r>
              <w:tab/>
              <w:t>Document conclusions reached concerning the accounting for and disclosure of litigation, claims, and assessments; determine if adjustments</w:t>
            </w:r>
            <w:r>
              <w:rPr>
                <w:spacing w:val="-6"/>
              </w:rPr>
              <w:t xml:space="preserve"> </w:t>
            </w:r>
            <w:r>
              <w:t>are</w:t>
            </w:r>
            <w:r>
              <w:rPr>
                <w:spacing w:val="-5"/>
              </w:rPr>
              <w:t xml:space="preserve"> </w:t>
            </w:r>
            <w:r>
              <w:t>necessary</w:t>
            </w:r>
            <w:r>
              <w:rPr>
                <w:spacing w:val="-5"/>
              </w:rPr>
              <w:t xml:space="preserve"> </w:t>
            </w:r>
            <w:r>
              <w:t>and</w:t>
            </w:r>
            <w:r>
              <w:rPr>
                <w:spacing w:val="-5"/>
              </w:rPr>
              <w:t xml:space="preserve"> </w:t>
            </w:r>
            <w:r>
              <w:t>whether</w:t>
            </w:r>
            <w:r>
              <w:rPr>
                <w:spacing w:val="-5"/>
              </w:rPr>
              <w:t xml:space="preserve"> </w:t>
            </w:r>
            <w:r>
              <w:t>modification</w:t>
            </w:r>
            <w:r>
              <w:rPr>
                <w:spacing w:val="-5"/>
              </w:rPr>
              <w:t xml:space="preserve"> </w:t>
            </w:r>
            <w:r>
              <w:t>of</w:t>
            </w:r>
            <w:r>
              <w:rPr>
                <w:spacing w:val="-5"/>
              </w:rPr>
              <w:t xml:space="preserve"> </w:t>
            </w:r>
            <w:r>
              <w:t>the</w:t>
            </w:r>
            <w:r>
              <w:rPr>
                <w:spacing w:val="-6"/>
              </w:rPr>
              <w:t xml:space="preserve"> </w:t>
            </w:r>
            <w:r>
              <w:t>auditor’s report is necessary (see FAM 580).</w:t>
            </w:r>
          </w:p>
        </w:tc>
        <w:tc>
          <w:tcPr>
            <w:tcW w:w="1024" w:type="dxa"/>
            <w:tcBorders>
              <w:top w:val="single" w:sz="6" w:space="0" w:color="000000"/>
              <w:left w:val="single" w:sz="6" w:space="0" w:color="000000"/>
              <w:right w:val="single" w:sz="6" w:space="0" w:color="000000"/>
            </w:tcBorders>
          </w:tcPr>
          <w:p w14:paraId="0DFDC96B" w14:textId="77777777" w:rsidR="00046465" w:rsidRDefault="00046465">
            <w:pPr>
              <w:pStyle w:val="TableParagraph"/>
              <w:rPr>
                <w:rFonts w:ascii="Times New Roman"/>
                <w:sz w:val="20"/>
              </w:rPr>
            </w:pPr>
          </w:p>
        </w:tc>
        <w:tc>
          <w:tcPr>
            <w:tcW w:w="765" w:type="dxa"/>
            <w:tcBorders>
              <w:top w:val="single" w:sz="6" w:space="0" w:color="000000"/>
              <w:left w:val="single" w:sz="6" w:space="0" w:color="000000"/>
            </w:tcBorders>
          </w:tcPr>
          <w:p w14:paraId="0DFDC96C" w14:textId="77777777" w:rsidR="00046465" w:rsidRDefault="00046465">
            <w:pPr>
              <w:pStyle w:val="TableParagraph"/>
              <w:rPr>
                <w:rFonts w:ascii="Times New Roman"/>
                <w:sz w:val="20"/>
              </w:rPr>
            </w:pPr>
          </w:p>
        </w:tc>
      </w:tr>
    </w:tbl>
    <w:p w14:paraId="0DFDC96E" w14:textId="77777777" w:rsidR="00046465" w:rsidRDefault="00046465">
      <w:pPr>
        <w:pStyle w:val="TableParagraph"/>
        <w:rPr>
          <w:rFonts w:ascii="Times New Roman"/>
          <w:sz w:val="20"/>
        </w:rPr>
        <w:sectPr w:rsidR="00046465">
          <w:pgSz w:w="12240" w:h="15840"/>
          <w:pgMar w:top="1340" w:right="720" w:bottom="940" w:left="1080" w:header="721" w:footer="757" w:gutter="0"/>
          <w:cols w:space="720"/>
        </w:sectPr>
      </w:pPr>
    </w:p>
    <w:p w14:paraId="0DFDC96F" w14:textId="77777777" w:rsidR="00046465" w:rsidRDefault="008134EB">
      <w:pPr>
        <w:pStyle w:val="Heading3"/>
        <w:spacing w:before="361"/>
        <w:rPr>
          <w:u w:val="none"/>
        </w:rPr>
      </w:pPr>
      <w:bookmarkStart w:id="400" w:name="1002_B_–_Example_Legal_Counsel_Request"/>
      <w:bookmarkStart w:id="401" w:name="_bookmark225"/>
      <w:bookmarkEnd w:id="400"/>
      <w:bookmarkEnd w:id="401"/>
      <w:r>
        <w:lastRenderedPageBreak/>
        <w:t>1002</w:t>
      </w:r>
      <w:r>
        <w:rPr>
          <w:spacing w:val="-3"/>
        </w:rPr>
        <w:t xml:space="preserve"> </w:t>
      </w:r>
      <w:r>
        <w:t>B</w:t>
      </w:r>
      <w:r>
        <w:rPr>
          <w:spacing w:val="-4"/>
        </w:rPr>
        <w:t xml:space="preserve"> </w:t>
      </w:r>
      <w:r>
        <w:t>–</w:t>
      </w:r>
      <w:r>
        <w:rPr>
          <w:spacing w:val="-3"/>
        </w:rPr>
        <w:t xml:space="preserve"> </w:t>
      </w:r>
      <w:r>
        <w:t>Example</w:t>
      </w:r>
      <w:r>
        <w:rPr>
          <w:spacing w:val="-2"/>
        </w:rPr>
        <w:t xml:space="preserve"> </w:t>
      </w:r>
      <w:r>
        <w:t>Legal</w:t>
      </w:r>
      <w:r>
        <w:rPr>
          <w:spacing w:val="-4"/>
        </w:rPr>
        <w:t xml:space="preserve"> </w:t>
      </w:r>
      <w:r>
        <w:t>Counsel</w:t>
      </w:r>
      <w:r>
        <w:rPr>
          <w:spacing w:val="-4"/>
        </w:rPr>
        <w:t xml:space="preserve"> </w:t>
      </w:r>
      <w:r>
        <w:rPr>
          <w:spacing w:val="-2"/>
        </w:rPr>
        <w:t>Request</w:t>
      </w:r>
    </w:p>
    <w:p w14:paraId="0DFDC970" w14:textId="77777777" w:rsidR="00046465" w:rsidRDefault="00046465">
      <w:pPr>
        <w:pStyle w:val="BodyText"/>
        <w:rPr>
          <w:b/>
        </w:rPr>
      </w:pPr>
    </w:p>
    <w:p w14:paraId="0DFDC971" w14:textId="77777777" w:rsidR="00046465" w:rsidRDefault="00046465">
      <w:pPr>
        <w:pStyle w:val="BodyText"/>
        <w:spacing w:before="118"/>
        <w:rPr>
          <w:b/>
        </w:rPr>
      </w:pPr>
    </w:p>
    <w:p w14:paraId="0DFDC972" w14:textId="77777777" w:rsidR="00046465" w:rsidRDefault="008134EB">
      <w:pPr>
        <w:ind w:right="359"/>
        <w:jc w:val="center"/>
        <w:rPr>
          <w:b/>
        </w:rPr>
      </w:pPr>
      <w:r>
        <w:rPr>
          <w:b/>
        </w:rPr>
        <w:t>[Audited</w:t>
      </w:r>
      <w:r>
        <w:rPr>
          <w:b/>
          <w:spacing w:val="-8"/>
        </w:rPr>
        <w:t xml:space="preserve"> </w:t>
      </w:r>
      <w:r>
        <w:rPr>
          <w:b/>
        </w:rPr>
        <w:t>Entity</w:t>
      </w:r>
      <w:r>
        <w:rPr>
          <w:b/>
          <w:spacing w:val="-8"/>
        </w:rPr>
        <w:t xml:space="preserve"> </w:t>
      </w:r>
      <w:r>
        <w:rPr>
          <w:b/>
          <w:spacing w:val="-2"/>
        </w:rPr>
        <w:t>Letterhead]</w:t>
      </w:r>
    </w:p>
    <w:p w14:paraId="0DFDC973" w14:textId="77777777" w:rsidR="00046465" w:rsidRDefault="008134EB">
      <w:pPr>
        <w:spacing w:before="241" w:line="253" w:lineRule="exact"/>
        <w:ind w:left="359"/>
        <w:rPr>
          <w:b/>
        </w:rPr>
      </w:pPr>
      <w:r>
        <w:rPr>
          <w:b/>
          <w:spacing w:val="-2"/>
        </w:rPr>
        <w:t>[Date]</w:t>
      </w:r>
    </w:p>
    <w:p w14:paraId="0DFDC974" w14:textId="77777777" w:rsidR="00046465" w:rsidRDefault="008134EB">
      <w:pPr>
        <w:ind w:left="359" w:right="7521"/>
        <w:rPr>
          <w:b/>
        </w:rPr>
      </w:pPr>
      <w:r>
        <w:rPr>
          <w:b/>
        </w:rPr>
        <w:t>[General Counsel] [Entity</w:t>
      </w:r>
      <w:r>
        <w:rPr>
          <w:b/>
          <w:spacing w:val="-13"/>
        </w:rPr>
        <w:t xml:space="preserve"> </w:t>
      </w:r>
      <w:r>
        <w:rPr>
          <w:b/>
        </w:rPr>
        <w:t>or</w:t>
      </w:r>
      <w:r>
        <w:rPr>
          <w:b/>
          <w:spacing w:val="-14"/>
        </w:rPr>
        <w:t xml:space="preserve"> </w:t>
      </w:r>
      <w:r>
        <w:rPr>
          <w:b/>
        </w:rPr>
        <w:t>Firm</w:t>
      </w:r>
      <w:r>
        <w:rPr>
          <w:b/>
          <w:spacing w:val="-13"/>
        </w:rPr>
        <w:t xml:space="preserve"> </w:t>
      </w:r>
      <w:r>
        <w:rPr>
          <w:b/>
        </w:rPr>
        <w:t xml:space="preserve">Name] </w:t>
      </w:r>
      <w:r>
        <w:rPr>
          <w:b/>
          <w:spacing w:val="-2"/>
        </w:rPr>
        <w:t>[City]</w:t>
      </w:r>
    </w:p>
    <w:p w14:paraId="0DFDC975" w14:textId="77777777" w:rsidR="00046465" w:rsidRDefault="008134EB">
      <w:pPr>
        <w:spacing w:before="240"/>
        <w:ind w:left="359"/>
      </w:pPr>
      <w:r>
        <w:t>Subject:</w:t>
      </w:r>
      <w:r>
        <w:rPr>
          <w:spacing w:val="-6"/>
        </w:rPr>
        <w:t xml:space="preserve"> </w:t>
      </w:r>
      <w:r>
        <w:rPr>
          <w:b/>
        </w:rPr>
        <w:t>[Auditor’s]</w:t>
      </w:r>
      <w:r>
        <w:rPr>
          <w:b/>
          <w:spacing w:val="-6"/>
        </w:rPr>
        <w:t xml:space="preserve"> </w:t>
      </w:r>
      <w:r>
        <w:t>Audits</w:t>
      </w:r>
      <w:r>
        <w:rPr>
          <w:spacing w:val="-6"/>
        </w:rPr>
        <w:t xml:space="preserve"> </w:t>
      </w:r>
      <w:r>
        <w:t>of</w:t>
      </w:r>
      <w:r>
        <w:rPr>
          <w:spacing w:val="-6"/>
        </w:rPr>
        <w:t xml:space="preserve"> </w:t>
      </w:r>
      <w:r>
        <w:t>20X2</w:t>
      </w:r>
      <w:r>
        <w:rPr>
          <w:spacing w:val="-6"/>
        </w:rPr>
        <w:t xml:space="preserve"> </w:t>
      </w:r>
      <w:r>
        <w:t>and</w:t>
      </w:r>
      <w:r>
        <w:rPr>
          <w:spacing w:val="-6"/>
        </w:rPr>
        <w:t xml:space="preserve"> </w:t>
      </w:r>
      <w:r>
        <w:t>20X1</w:t>
      </w:r>
      <w:hyperlink w:anchor="_bookmark226" w:history="1">
        <w:r>
          <w:rPr>
            <w:position w:val="7"/>
            <w:sz w:val="14"/>
          </w:rPr>
          <w:t>15</w:t>
        </w:r>
      </w:hyperlink>
      <w:r>
        <w:rPr>
          <w:spacing w:val="15"/>
          <w:position w:val="7"/>
          <w:sz w:val="14"/>
        </w:rPr>
        <w:t xml:space="preserve"> </w:t>
      </w:r>
      <w:r>
        <w:t>Financial</w:t>
      </w:r>
      <w:r>
        <w:rPr>
          <w:spacing w:val="-6"/>
        </w:rPr>
        <w:t xml:space="preserve"> </w:t>
      </w:r>
      <w:r>
        <w:rPr>
          <w:spacing w:val="-2"/>
        </w:rPr>
        <w:t>Statements</w:t>
      </w:r>
    </w:p>
    <w:p w14:paraId="0DFDC976" w14:textId="77777777" w:rsidR="00046465" w:rsidRDefault="008134EB">
      <w:pPr>
        <w:spacing w:before="240"/>
        <w:ind w:left="360" w:right="844"/>
      </w:pPr>
      <w:r>
        <w:t xml:space="preserve">Pursuant to </w:t>
      </w:r>
      <w:r>
        <w:rPr>
          <w:b/>
        </w:rPr>
        <w:t>[cite applicable legal authority to conduct the audit, such as 31 U.S.C. § 3521]</w:t>
      </w:r>
      <w:r>
        <w:t xml:space="preserve">, </w:t>
      </w:r>
      <w:r>
        <w:rPr>
          <w:b/>
        </w:rPr>
        <w:t xml:space="preserve">[auditor’s name] </w:t>
      </w:r>
      <w:r>
        <w:t>is auditing the financial</w:t>
      </w:r>
      <w:r>
        <w:rPr>
          <w:spacing w:val="-1"/>
        </w:rPr>
        <w:t xml:space="preserve"> </w:t>
      </w:r>
      <w:r>
        <w:t xml:space="preserve">statements of </w:t>
      </w:r>
      <w:r>
        <w:rPr>
          <w:b/>
        </w:rPr>
        <w:t xml:space="preserve">[Entity] </w:t>
      </w:r>
      <w:r>
        <w:t>as of and for the years ended</w:t>
      </w:r>
      <w:r>
        <w:rPr>
          <w:spacing w:val="-4"/>
        </w:rPr>
        <w:t xml:space="preserve"> </w:t>
      </w:r>
      <w:r>
        <w:t>September</w:t>
      </w:r>
      <w:r>
        <w:rPr>
          <w:spacing w:val="-4"/>
        </w:rPr>
        <w:t xml:space="preserve"> </w:t>
      </w:r>
      <w:r>
        <w:t>30,</w:t>
      </w:r>
      <w:r>
        <w:rPr>
          <w:spacing w:val="-4"/>
        </w:rPr>
        <w:t xml:space="preserve"> </w:t>
      </w:r>
      <w:r>
        <w:t>20X2,</w:t>
      </w:r>
      <w:r>
        <w:rPr>
          <w:spacing w:val="-4"/>
        </w:rPr>
        <w:t xml:space="preserve"> </w:t>
      </w:r>
      <w:r>
        <w:t>and</w:t>
      </w:r>
      <w:r>
        <w:rPr>
          <w:spacing w:val="-4"/>
        </w:rPr>
        <w:t xml:space="preserve"> </w:t>
      </w:r>
      <w:r>
        <w:t>20X1.</w:t>
      </w:r>
      <w:r>
        <w:rPr>
          <w:spacing w:val="-4"/>
        </w:rPr>
        <w:t xml:space="preserve"> </w:t>
      </w:r>
      <w:r>
        <w:t>In</w:t>
      </w:r>
      <w:r>
        <w:rPr>
          <w:spacing w:val="-4"/>
        </w:rPr>
        <w:t xml:space="preserve"> </w:t>
      </w:r>
      <w:r>
        <w:t>performing</w:t>
      </w:r>
      <w:r>
        <w:rPr>
          <w:spacing w:val="-4"/>
        </w:rPr>
        <w:t xml:space="preserve"> </w:t>
      </w:r>
      <w:r>
        <w:t>financial</w:t>
      </w:r>
      <w:r>
        <w:rPr>
          <w:spacing w:val="-4"/>
        </w:rPr>
        <w:t xml:space="preserve"> </w:t>
      </w:r>
      <w:r>
        <w:t>statement</w:t>
      </w:r>
      <w:r>
        <w:rPr>
          <w:spacing w:val="-4"/>
        </w:rPr>
        <w:t xml:space="preserve"> </w:t>
      </w:r>
      <w:r>
        <w:t>audits</w:t>
      </w:r>
      <w:r>
        <w:rPr>
          <w:spacing w:val="-4"/>
        </w:rPr>
        <w:t xml:space="preserve"> </w:t>
      </w:r>
      <w:r>
        <w:t>of</w:t>
      </w:r>
      <w:r>
        <w:rPr>
          <w:spacing w:val="-4"/>
        </w:rPr>
        <w:t xml:space="preserve"> </w:t>
      </w:r>
      <w:r>
        <w:t xml:space="preserve">government entities, auditors comply with </w:t>
      </w:r>
      <w:r>
        <w:rPr>
          <w:i/>
        </w:rPr>
        <w:t>Government Auditing Standards</w:t>
      </w:r>
      <w:r>
        <w:t>, issued by the Comptroller General</w:t>
      </w:r>
      <w:r>
        <w:rPr>
          <w:spacing w:val="-1"/>
        </w:rPr>
        <w:t xml:space="preserve"> </w:t>
      </w:r>
      <w:r>
        <w:t>of</w:t>
      </w:r>
      <w:r>
        <w:rPr>
          <w:spacing w:val="-1"/>
        </w:rPr>
        <w:t xml:space="preserve"> </w:t>
      </w:r>
      <w:r>
        <w:t>the</w:t>
      </w:r>
      <w:r>
        <w:rPr>
          <w:spacing w:val="-1"/>
        </w:rPr>
        <w:t xml:space="preserve"> </w:t>
      </w:r>
      <w:r>
        <w:t>United</w:t>
      </w:r>
      <w:r>
        <w:rPr>
          <w:spacing w:val="-1"/>
        </w:rPr>
        <w:t xml:space="preserve"> </w:t>
      </w:r>
      <w:r>
        <w:t>States.</w:t>
      </w:r>
      <w:r>
        <w:rPr>
          <w:spacing w:val="-1"/>
        </w:rPr>
        <w:t xml:space="preserve"> </w:t>
      </w:r>
      <w:r>
        <w:rPr>
          <w:i/>
        </w:rPr>
        <w:t>Government</w:t>
      </w:r>
      <w:r>
        <w:rPr>
          <w:i/>
          <w:spacing w:val="-1"/>
        </w:rPr>
        <w:t xml:space="preserve"> </w:t>
      </w:r>
      <w:r>
        <w:rPr>
          <w:i/>
        </w:rPr>
        <w:t>Auditing</w:t>
      </w:r>
      <w:r>
        <w:rPr>
          <w:i/>
          <w:spacing w:val="-1"/>
        </w:rPr>
        <w:t xml:space="preserve"> </w:t>
      </w:r>
      <w:r>
        <w:rPr>
          <w:i/>
        </w:rPr>
        <w:t xml:space="preserve">Standards </w:t>
      </w:r>
      <w:r>
        <w:t>incorporates the</w:t>
      </w:r>
      <w:r>
        <w:rPr>
          <w:spacing w:val="-1"/>
        </w:rPr>
        <w:t xml:space="preserve"> </w:t>
      </w:r>
      <w:r>
        <w:t>Statements</w:t>
      </w:r>
      <w:r>
        <w:rPr>
          <w:spacing w:val="-1"/>
        </w:rPr>
        <w:t xml:space="preserve"> </w:t>
      </w:r>
      <w:r>
        <w:t>on Auditing Standards promulgated by the Auditing Standards Board of the American Institute of Certified Public Accountants (AICPA).</w:t>
      </w:r>
    </w:p>
    <w:p w14:paraId="0DFDC977" w14:textId="77777777" w:rsidR="00046465" w:rsidRDefault="008134EB">
      <w:pPr>
        <w:spacing w:before="239"/>
        <w:ind w:left="360" w:right="976"/>
      </w:pPr>
      <w:r>
        <w:t xml:space="preserve">Consistent with the </w:t>
      </w:r>
      <w:r>
        <w:rPr>
          <w:i/>
        </w:rPr>
        <w:t xml:space="preserve">U.S. Auditing Standards—AICPA [Clarified] </w:t>
      </w:r>
      <w:r>
        <w:t xml:space="preserve">(AU-C), section 501, </w:t>
      </w:r>
      <w:r>
        <w:rPr>
          <w:i/>
        </w:rPr>
        <w:t>Audit Evidence</w:t>
      </w:r>
      <w:r>
        <w:rPr>
          <w:i/>
          <w:spacing w:val="-4"/>
        </w:rPr>
        <w:t xml:space="preserve"> </w:t>
      </w:r>
      <w:r>
        <w:rPr>
          <w:i/>
        </w:rPr>
        <w:t>–</w:t>
      </w:r>
      <w:r>
        <w:rPr>
          <w:i/>
          <w:spacing w:val="-5"/>
        </w:rPr>
        <w:t xml:space="preserve"> </w:t>
      </w:r>
      <w:r>
        <w:rPr>
          <w:i/>
        </w:rPr>
        <w:t>Specific</w:t>
      </w:r>
      <w:r>
        <w:rPr>
          <w:i/>
          <w:spacing w:val="-4"/>
        </w:rPr>
        <w:t xml:space="preserve"> </w:t>
      </w:r>
      <w:r>
        <w:rPr>
          <w:i/>
        </w:rPr>
        <w:t>Considerations</w:t>
      </w:r>
      <w:r>
        <w:rPr>
          <w:i/>
          <w:spacing w:val="-5"/>
        </w:rPr>
        <w:t xml:space="preserve"> </w:t>
      </w:r>
      <w:r>
        <w:rPr>
          <w:i/>
        </w:rPr>
        <w:t>for</w:t>
      </w:r>
      <w:r>
        <w:rPr>
          <w:i/>
          <w:spacing w:val="-4"/>
        </w:rPr>
        <w:t xml:space="preserve"> </w:t>
      </w:r>
      <w:r>
        <w:rPr>
          <w:i/>
        </w:rPr>
        <w:t>Selected</w:t>
      </w:r>
      <w:r>
        <w:rPr>
          <w:i/>
          <w:spacing w:val="-4"/>
        </w:rPr>
        <w:t xml:space="preserve"> </w:t>
      </w:r>
      <w:r>
        <w:rPr>
          <w:i/>
        </w:rPr>
        <w:t>Items</w:t>
      </w:r>
      <w:r>
        <w:t>,</w:t>
      </w:r>
      <w:r>
        <w:rPr>
          <w:spacing w:val="-4"/>
        </w:rPr>
        <w:t xml:space="preserve"> </w:t>
      </w:r>
      <w:r>
        <w:rPr>
          <w:b/>
        </w:rPr>
        <w:t>[auditor]</w:t>
      </w:r>
      <w:r>
        <w:rPr>
          <w:b/>
          <w:spacing w:val="-4"/>
        </w:rPr>
        <w:t xml:space="preserve"> </w:t>
      </w:r>
      <w:r>
        <w:t>has</w:t>
      </w:r>
      <w:r>
        <w:rPr>
          <w:spacing w:val="-4"/>
        </w:rPr>
        <w:t xml:space="preserve"> </w:t>
      </w:r>
      <w:r>
        <w:t>inquired</w:t>
      </w:r>
      <w:r>
        <w:rPr>
          <w:spacing w:val="-4"/>
        </w:rPr>
        <w:t xml:space="preserve"> </w:t>
      </w:r>
      <w:r>
        <w:t>about</w:t>
      </w:r>
      <w:r>
        <w:rPr>
          <w:spacing w:val="-5"/>
        </w:rPr>
        <w:t xml:space="preserve"> </w:t>
      </w:r>
      <w:r>
        <w:t>litigation, claims, and assessments to obtain evidence of the financial accounting and reporting of such matters</w:t>
      </w:r>
      <w:r>
        <w:rPr>
          <w:spacing w:val="-2"/>
        </w:rPr>
        <w:t xml:space="preserve"> </w:t>
      </w:r>
      <w:r>
        <w:t>in</w:t>
      </w:r>
      <w:r>
        <w:rPr>
          <w:spacing w:val="-2"/>
        </w:rPr>
        <w:t xml:space="preserve"> </w:t>
      </w:r>
      <w:r>
        <w:t>the</w:t>
      </w:r>
      <w:r>
        <w:rPr>
          <w:spacing w:val="-2"/>
        </w:rPr>
        <w:t xml:space="preserve"> </w:t>
      </w:r>
      <w:r>
        <w:t>financial</w:t>
      </w:r>
      <w:r>
        <w:rPr>
          <w:spacing w:val="-3"/>
        </w:rPr>
        <w:t xml:space="preserve"> </w:t>
      </w:r>
      <w:r>
        <w:t>statements.</w:t>
      </w:r>
      <w:r>
        <w:rPr>
          <w:spacing w:val="-2"/>
        </w:rPr>
        <w:t xml:space="preserve"> </w:t>
      </w:r>
      <w:r>
        <w:t>The</w:t>
      </w:r>
      <w:r>
        <w:rPr>
          <w:spacing w:val="-2"/>
        </w:rPr>
        <w:t xml:space="preserve"> </w:t>
      </w:r>
      <w:r>
        <w:t>purpose</w:t>
      </w:r>
      <w:r>
        <w:rPr>
          <w:spacing w:val="-3"/>
        </w:rPr>
        <w:t xml:space="preserve"> </w:t>
      </w:r>
      <w:r>
        <w:t>of</w:t>
      </w:r>
      <w:r>
        <w:rPr>
          <w:spacing w:val="-2"/>
        </w:rPr>
        <w:t xml:space="preserve"> </w:t>
      </w:r>
      <w:r>
        <w:t>this</w:t>
      </w:r>
      <w:r>
        <w:rPr>
          <w:spacing w:val="-2"/>
        </w:rPr>
        <w:t xml:space="preserve"> </w:t>
      </w:r>
      <w:r>
        <w:t>request</w:t>
      </w:r>
      <w:r>
        <w:rPr>
          <w:spacing w:val="-2"/>
        </w:rPr>
        <w:t xml:space="preserve"> </w:t>
      </w:r>
      <w:r>
        <w:t>is</w:t>
      </w:r>
      <w:r>
        <w:rPr>
          <w:spacing w:val="-2"/>
        </w:rPr>
        <w:t xml:space="preserve"> </w:t>
      </w:r>
      <w:r>
        <w:t>to</w:t>
      </w:r>
      <w:r>
        <w:rPr>
          <w:spacing w:val="-2"/>
        </w:rPr>
        <w:t xml:space="preserve"> </w:t>
      </w:r>
      <w:r>
        <w:t>obtain</w:t>
      </w:r>
      <w:r>
        <w:rPr>
          <w:spacing w:val="-2"/>
        </w:rPr>
        <w:t xml:space="preserve"> </w:t>
      </w:r>
      <w:r>
        <w:t>your</w:t>
      </w:r>
      <w:r>
        <w:rPr>
          <w:spacing w:val="-2"/>
        </w:rPr>
        <w:t xml:space="preserve"> </w:t>
      </w:r>
      <w:r>
        <w:t>assistance</w:t>
      </w:r>
      <w:r>
        <w:rPr>
          <w:spacing w:val="-2"/>
        </w:rPr>
        <w:t xml:space="preserve"> </w:t>
      </w:r>
      <w:r>
        <w:t>in responding to that inquiry and to provide our consent to furnish our auditor with the information</w:t>
      </w:r>
      <w:r>
        <w:rPr>
          <w:spacing w:val="-2"/>
        </w:rPr>
        <w:t xml:space="preserve"> </w:t>
      </w:r>
      <w:r>
        <w:t>requested</w:t>
      </w:r>
      <w:r>
        <w:rPr>
          <w:spacing w:val="-2"/>
        </w:rPr>
        <w:t xml:space="preserve"> </w:t>
      </w:r>
      <w:r>
        <w:t>herein.</w:t>
      </w:r>
      <w:r>
        <w:rPr>
          <w:spacing w:val="-2"/>
        </w:rPr>
        <w:t xml:space="preserve"> </w:t>
      </w:r>
      <w:r>
        <w:t>The</w:t>
      </w:r>
      <w:r>
        <w:rPr>
          <w:spacing w:val="-2"/>
        </w:rPr>
        <w:t xml:space="preserve"> </w:t>
      </w:r>
      <w:r>
        <w:t>American</w:t>
      </w:r>
      <w:r>
        <w:rPr>
          <w:spacing w:val="-2"/>
        </w:rPr>
        <w:t xml:space="preserve"> </w:t>
      </w:r>
      <w:r>
        <w:t>Bar</w:t>
      </w:r>
      <w:r>
        <w:rPr>
          <w:spacing w:val="-2"/>
        </w:rPr>
        <w:t xml:space="preserve"> </w:t>
      </w:r>
      <w:r>
        <w:t>Association’s</w:t>
      </w:r>
      <w:r>
        <w:rPr>
          <w:spacing w:val="-2"/>
        </w:rPr>
        <w:t xml:space="preserve"> </w:t>
      </w:r>
      <w:r>
        <w:rPr>
          <w:i/>
        </w:rPr>
        <w:t>Statement</w:t>
      </w:r>
      <w:r>
        <w:rPr>
          <w:i/>
          <w:spacing w:val="-2"/>
        </w:rPr>
        <w:t xml:space="preserve"> </w:t>
      </w:r>
      <w:r>
        <w:rPr>
          <w:i/>
        </w:rPr>
        <w:t>of</w:t>
      </w:r>
      <w:r>
        <w:rPr>
          <w:i/>
          <w:spacing w:val="-2"/>
        </w:rPr>
        <w:t xml:space="preserve"> </w:t>
      </w:r>
      <w:r>
        <w:rPr>
          <w:i/>
        </w:rPr>
        <w:t>Policy</w:t>
      </w:r>
      <w:r>
        <w:rPr>
          <w:i/>
          <w:spacing w:val="-2"/>
        </w:rPr>
        <w:t xml:space="preserve"> </w:t>
      </w:r>
      <w:r>
        <w:rPr>
          <w:i/>
        </w:rPr>
        <w:t xml:space="preserve">Regarding Lawyers’ Responses to Auditors’ Requests for Information </w:t>
      </w:r>
      <w:r>
        <w:t>(December 1975) provides guidance for a lawyer’s response to an auditor’s request.</w:t>
      </w:r>
    </w:p>
    <w:p w14:paraId="0DFDC978" w14:textId="77777777" w:rsidR="00046465" w:rsidRDefault="008134EB">
      <w:pPr>
        <w:pStyle w:val="BodyText"/>
        <w:spacing w:before="241"/>
        <w:ind w:left="359" w:right="751"/>
      </w:pPr>
      <w:r>
        <w:t xml:space="preserve">In accordance with Statement of Federal Financial Accounting Standards (SFFAS) 5, </w:t>
      </w:r>
      <w:r>
        <w:rPr>
          <w:i/>
        </w:rPr>
        <w:t>Accounting for Liabilities of the Federal Government</w:t>
      </w:r>
      <w:r>
        <w:t xml:space="preserve">, as amended by SFFAS 12, and Interpretation No. 2 of SFFAS 4 and 5, </w:t>
      </w:r>
      <w:r>
        <w:rPr>
          <w:b/>
        </w:rPr>
        <w:t xml:space="preserve">[Entity] </w:t>
      </w:r>
      <w:r>
        <w:t>may need to report certain information in its financial</w:t>
      </w:r>
      <w:r>
        <w:rPr>
          <w:spacing w:val="-4"/>
        </w:rPr>
        <w:t xml:space="preserve"> </w:t>
      </w:r>
      <w:r>
        <w:t>statements</w:t>
      </w:r>
      <w:r>
        <w:rPr>
          <w:spacing w:val="-3"/>
        </w:rPr>
        <w:t xml:space="preserve"> </w:t>
      </w:r>
      <w:r>
        <w:t>and</w:t>
      </w:r>
      <w:r>
        <w:rPr>
          <w:spacing w:val="-3"/>
        </w:rPr>
        <w:t xml:space="preserve"> </w:t>
      </w:r>
      <w:r>
        <w:t>notes</w:t>
      </w:r>
      <w:r>
        <w:rPr>
          <w:spacing w:val="-3"/>
        </w:rPr>
        <w:t xml:space="preserve"> </w:t>
      </w:r>
      <w:r>
        <w:t>concerning</w:t>
      </w:r>
      <w:r>
        <w:rPr>
          <w:spacing w:val="-3"/>
        </w:rPr>
        <w:t xml:space="preserve"> </w:t>
      </w:r>
      <w:r>
        <w:t>contingencies</w:t>
      </w:r>
      <w:r>
        <w:rPr>
          <w:spacing w:val="-2"/>
        </w:rPr>
        <w:t xml:space="preserve"> </w:t>
      </w:r>
      <w:r>
        <w:t>for</w:t>
      </w:r>
      <w:r>
        <w:rPr>
          <w:spacing w:val="-5"/>
        </w:rPr>
        <w:t xml:space="preserve"> </w:t>
      </w:r>
      <w:r>
        <w:t>litigation,</w:t>
      </w:r>
      <w:r>
        <w:rPr>
          <w:spacing w:val="-4"/>
        </w:rPr>
        <w:t xml:space="preserve"> </w:t>
      </w:r>
      <w:r>
        <w:t>claims,</w:t>
      </w:r>
      <w:r>
        <w:rPr>
          <w:spacing w:val="-3"/>
        </w:rPr>
        <w:t xml:space="preserve"> </w:t>
      </w:r>
      <w:r>
        <w:t>and</w:t>
      </w:r>
      <w:r>
        <w:rPr>
          <w:spacing w:val="-3"/>
        </w:rPr>
        <w:t xml:space="preserve"> </w:t>
      </w:r>
      <w:r>
        <w:t>assessments. We</w:t>
      </w:r>
      <w:r>
        <w:rPr>
          <w:spacing w:val="-3"/>
        </w:rPr>
        <w:t xml:space="preserve"> </w:t>
      </w:r>
      <w:r>
        <w:t>request</w:t>
      </w:r>
      <w:r>
        <w:rPr>
          <w:spacing w:val="-4"/>
        </w:rPr>
        <w:t xml:space="preserve"> </w:t>
      </w:r>
      <w:r>
        <w:t>that</w:t>
      </w:r>
      <w:r>
        <w:rPr>
          <w:spacing w:val="-3"/>
        </w:rPr>
        <w:t xml:space="preserve"> </w:t>
      </w:r>
      <w:r>
        <w:t>you</w:t>
      </w:r>
      <w:r>
        <w:rPr>
          <w:spacing w:val="-3"/>
        </w:rPr>
        <w:t xml:space="preserve"> </w:t>
      </w:r>
      <w:r>
        <w:t>provide</w:t>
      </w:r>
      <w:r>
        <w:rPr>
          <w:spacing w:val="-3"/>
        </w:rPr>
        <w:t xml:space="preserve"> </w:t>
      </w:r>
      <w:r>
        <w:rPr>
          <w:b/>
        </w:rPr>
        <w:t>[auditor]</w:t>
      </w:r>
      <w:r>
        <w:rPr>
          <w:b/>
          <w:spacing w:val="-3"/>
        </w:rPr>
        <w:t xml:space="preserve"> </w:t>
      </w:r>
      <w:r>
        <w:t>(with</w:t>
      </w:r>
      <w:r>
        <w:rPr>
          <w:spacing w:val="-3"/>
        </w:rPr>
        <w:t xml:space="preserve"> </w:t>
      </w:r>
      <w:r>
        <w:t>a</w:t>
      </w:r>
      <w:r>
        <w:rPr>
          <w:spacing w:val="-3"/>
        </w:rPr>
        <w:t xml:space="preserve"> </w:t>
      </w:r>
      <w:r>
        <w:t>copy</w:t>
      </w:r>
      <w:r>
        <w:rPr>
          <w:spacing w:val="-3"/>
        </w:rPr>
        <w:t xml:space="preserve"> </w:t>
      </w:r>
      <w:r>
        <w:t>to</w:t>
      </w:r>
      <w:r>
        <w:rPr>
          <w:spacing w:val="-3"/>
        </w:rPr>
        <w:t xml:space="preserve"> </w:t>
      </w:r>
      <w:r>
        <w:t>me)</w:t>
      </w:r>
      <w:r>
        <w:rPr>
          <w:spacing w:val="-3"/>
        </w:rPr>
        <w:t xml:space="preserve"> </w:t>
      </w:r>
      <w:r>
        <w:t>information</w:t>
      </w:r>
      <w:r>
        <w:rPr>
          <w:spacing w:val="-3"/>
        </w:rPr>
        <w:t xml:space="preserve"> </w:t>
      </w:r>
      <w:r>
        <w:t>on</w:t>
      </w:r>
      <w:r>
        <w:rPr>
          <w:spacing w:val="-3"/>
        </w:rPr>
        <w:t xml:space="preserve"> </w:t>
      </w:r>
      <w:r>
        <w:t>matters</w:t>
      </w:r>
      <w:r>
        <w:rPr>
          <w:spacing w:val="-3"/>
        </w:rPr>
        <w:t xml:space="preserve"> </w:t>
      </w:r>
      <w:r>
        <w:t>with</w:t>
      </w:r>
      <w:r>
        <w:rPr>
          <w:spacing w:val="-3"/>
        </w:rPr>
        <w:t xml:space="preserve"> </w:t>
      </w:r>
      <w:r>
        <w:t>respect</w:t>
      </w:r>
      <w:r>
        <w:rPr>
          <w:spacing w:val="-3"/>
        </w:rPr>
        <w:t xml:space="preserve"> </w:t>
      </w:r>
      <w:r>
        <w:t>to which you have been engaged and to which you have devoted substantive attention on behalf</w:t>
      </w:r>
      <w:r>
        <w:rPr>
          <w:spacing w:val="40"/>
        </w:rPr>
        <w:t xml:space="preserve"> </w:t>
      </w:r>
      <w:r>
        <w:t xml:space="preserve">of </w:t>
      </w:r>
      <w:r>
        <w:rPr>
          <w:b/>
        </w:rPr>
        <w:t xml:space="preserve">[Entity] </w:t>
      </w:r>
      <w:r>
        <w:t>in the form of legal consultation or representation.</w:t>
      </w:r>
    </w:p>
    <w:p w14:paraId="0DFDC979" w14:textId="77777777" w:rsidR="00046465" w:rsidRDefault="008134EB">
      <w:pPr>
        <w:spacing w:before="240"/>
        <w:ind w:left="360" w:right="785"/>
        <w:rPr>
          <w:b/>
        </w:rPr>
      </w:pPr>
      <w:r>
        <w:t xml:space="preserve">Please furnish an interim response to our auditor on legal counsel letterhead by </w:t>
      </w:r>
      <w:r>
        <w:rPr>
          <w:b/>
        </w:rPr>
        <w:t>[due date]</w:t>
      </w:r>
      <w:r>
        <w:t xml:space="preserve">, including matters that existed as of </w:t>
      </w:r>
      <w:r>
        <w:rPr>
          <w:b/>
        </w:rPr>
        <w:t>[date appropriate for the audit]</w:t>
      </w:r>
      <w:r>
        <w:t xml:space="preserve">. Our auditor would appreciate receiving your updated or final response on legal counsel letterhead by </w:t>
      </w:r>
      <w:r>
        <w:rPr>
          <w:b/>
        </w:rPr>
        <w:t xml:space="preserve">[due date] </w:t>
      </w:r>
      <w:r>
        <w:t xml:space="preserve">that includes matters that existed at </w:t>
      </w:r>
      <w:r>
        <w:rPr>
          <w:b/>
        </w:rPr>
        <w:t xml:space="preserve">[date of financial statements] </w:t>
      </w:r>
      <w:r>
        <w:t>and during the period from that</w:t>
      </w:r>
      <w:r>
        <w:rPr>
          <w:spacing w:val="-3"/>
        </w:rPr>
        <w:t xml:space="preserve"> </w:t>
      </w:r>
      <w:r>
        <w:t>date</w:t>
      </w:r>
      <w:r>
        <w:rPr>
          <w:spacing w:val="-3"/>
        </w:rPr>
        <w:t xml:space="preserve"> </w:t>
      </w:r>
      <w:r>
        <w:t>through</w:t>
      </w:r>
      <w:r>
        <w:rPr>
          <w:spacing w:val="-3"/>
        </w:rPr>
        <w:t xml:space="preserve"> </w:t>
      </w:r>
      <w:r>
        <w:t>the</w:t>
      </w:r>
      <w:r>
        <w:rPr>
          <w:spacing w:val="-3"/>
        </w:rPr>
        <w:t xml:space="preserve"> </w:t>
      </w:r>
      <w:r>
        <w:t>effective</w:t>
      </w:r>
      <w:r>
        <w:rPr>
          <w:spacing w:val="-3"/>
        </w:rPr>
        <w:t xml:space="preserve"> </w:t>
      </w:r>
      <w:r>
        <w:t>date</w:t>
      </w:r>
      <w:r>
        <w:rPr>
          <w:spacing w:val="-4"/>
        </w:rPr>
        <w:t xml:space="preserve"> </w:t>
      </w:r>
      <w:r>
        <w:t>of</w:t>
      </w:r>
      <w:r>
        <w:rPr>
          <w:spacing w:val="-3"/>
        </w:rPr>
        <w:t xml:space="preserve"> </w:t>
      </w:r>
      <w:r>
        <w:t>your</w:t>
      </w:r>
      <w:r>
        <w:rPr>
          <w:spacing w:val="-3"/>
        </w:rPr>
        <w:t xml:space="preserve"> </w:t>
      </w:r>
      <w:r>
        <w:t>response,</w:t>
      </w:r>
      <w:r>
        <w:rPr>
          <w:spacing w:val="-3"/>
        </w:rPr>
        <w:t xml:space="preserve"> </w:t>
      </w:r>
      <w:r>
        <w:t>which</w:t>
      </w:r>
      <w:r>
        <w:rPr>
          <w:spacing w:val="-4"/>
        </w:rPr>
        <w:t xml:space="preserve"> </w:t>
      </w:r>
      <w:r>
        <w:t>should</w:t>
      </w:r>
      <w:r>
        <w:rPr>
          <w:spacing w:val="-3"/>
        </w:rPr>
        <w:t xml:space="preserve"> </w:t>
      </w:r>
      <w:r>
        <w:t>be</w:t>
      </w:r>
      <w:r>
        <w:rPr>
          <w:spacing w:val="-3"/>
        </w:rPr>
        <w:t xml:space="preserve"> </w:t>
      </w:r>
      <w:r>
        <w:t>no</w:t>
      </w:r>
      <w:r>
        <w:rPr>
          <w:spacing w:val="-3"/>
        </w:rPr>
        <w:t xml:space="preserve"> </w:t>
      </w:r>
      <w:r>
        <w:t>earlier</w:t>
      </w:r>
      <w:r>
        <w:rPr>
          <w:spacing w:val="-3"/>
        </w:rPr>
        <w:t xml:space="preserve"> </w:t>
      </w:r>
      <w:r>
        <w:t>than</w:t>
      </w:r>
      <w:r>
        <w:rPr>
          <w:spacing w:val="-3"/>
        </w:rPr>
        <w:t xml:space="preserve"> </w:t>
      </w:r>
      <w:r>
        <w:rPr>
          <w:b/>
        </w:rPr>
        <w:t>[effective date]</w:t>
      </w:r>
      <w:r>
        <w:t xml:space="preserve">. The final response should separately identify any new matters or significant changes from the interim response, or include a statement that there are no new matters or significant changes, and should specify the effective date of the response. </w:t>
      </w:r>
      <w:r>
        <w:rPr>
          <w:b/>
        </w:rPr>
        <w:t xml:space="preserve">(Note: </w:t>
      </w:r>
      <w:r>
        <w:rPr>
          <w:b/>
          <w:u w:val="single"/>
        </w:rPr>
        <w:t>The auditor and the</w:t>
      </w:r>
      <w:r>
        <w:rPr>
          <w:b/>
        </w:rPr>
        <w:t xml:space="preserve"> </w:t>
      </w:r>
      <w:r>
        <w:rPr>
          <w:b/>
          <w:u w:val="single"/>
        </w:rPr>
        <w:t>entity should determine whether to request an interim legal counsel response based on</w:t>
      </w:r>
      <w:r>
        <w:rPr>
          <w:b/>
        </w:rPr>
        <w:t xml:space="preserve"> </w:t>
      </w:r>
      <w:r>
        <w:rPr>
          <w:b/>
          <w:u w:val="single"/>
        </w:rPr>
        <w:t>the circumstances of the audit. Refer to FAM 1002.34.</w:t>
      </w:r>
      <w:r>
        <w:rPr>
          <w:b/>
        </w:rPr>
        <w:t>)</w:t>
      </w:r>
    </w:p>
    <w:p w14:paraId="0DFDC97A" w14:textId="77777777" w:rsidR="00046465" w:rsidRDefault="008134EB">
      <w:pPr>
        <w:pStyle w:val="BodyText"/>
        <w:spacing w:before="108"/>
        <w:rPr>
          <w:b/>
          <w:sz w:val="20"/>
        </w:rPr>
      </w:pPr>
      <w:r>
        <w:rPr>
          <w:b/>
          <w:noProof/>
          <w:sz w:val="20"/>
        </w:rPr>
        <mc:AlternateContent>
          <mc:Choice Requires="wps">
            <w:drawing>
              <wp:anchor distT="0" distB="0" distL="0" distR="0" simplePos="0" relativeHeight="487738880" behindDoc="1" locked="0" layoutInCell="1" allowOverlap="1" wp14:anchorId="0DFDD761" wp14:editId="0DFDD762">
                <wp:simplePos x="0" y="0"/>
                <wp:positionH relativeFrom="page">
                  <wp:posOffset>914400</wp:posOffset>
                </wp:positionH>
                <wp:positionV relativeFrom="paragraph">
                  <wp:posOffset>230218</wp:posOffset>
                </wp:positionV>
                <wp:extent cx="1828800" cy="5715"/>
                <wp:effectExtent l="0" t="0" r="0" b="0"/>
                <wp:wrapTopAndBottom/>
                <wp:docPr id="1126" name="Graphic 1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31EF34" id="Graphic 1126" o:spid="_x0000_s1026" style="position:absolute;margin-left:1in;margin-top:18.15pt;width:2in;height:.45pt;z-index:-1557760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" path="m1828800,l,,,5321r1828800,l1828800,xe" fillcolor="black" stroked="f">
                <v:path arrowok="t"/>
                <w10:wrap type="topAndBottom" anchorx="page"/>
              </v:shape>
            </w:pict>
          </mc:Fallback>
        </mc:AlternateContent>
      </w:r>
    </w:p>
    <w:p w14:paraId="0DFDC97B" w14:textId="77777777" w:rsidR="00046465" w:rsidRDefault="008134EB">
      <w:pPr>
        <w:spacing w:before="200"/>
        <w:ind w:left="360"/>
        <w:rPr>
          <w:sz w:val="18"/>
        </w:rPr>
      </w:pPr>
      <w:bookmarkStart w:id="402" w:name="_bookmark226"/>
      <w:bookmarkEnd w:id="402"/>
      <w:r>
        <w:rPr>
          <w:position w:val="7"/>
          <w:sz w:val="14"/>
        </w:rPr>
        <w:t>15</w:t>
      </w:r>
      <w:r>
        <w:rPr>
          <w:sz w:val="18"/>
        </w:rPr>
        <w:t>Note</w:t>
      </w:r>
      <w:r>
        <w:rPr>
          <w:spacing w:val="-6"/>
          <w:sz w:val="18"/>
        </w:rPr>
        <w:t xml:space="preserve"> </w:t>
      </w:r>
      <w:r>
        <w:rPr>
          <w:sz w:val="18"/>
        </w:rPr>
        <w:t>to</w:t>
      </w:r>
      <w:r>
        <w:rPr>
          <w:spacing w:val="-3"/>
          <w:sz w:val="18"/>
        </w:rPr>
        <w:t xml:space="preserve"> </w:t>
      </w:r>
      <w:r>
        <w:rPr>
          <w:sz w:val="18"/>
        </w:rPr>
        <w:t>auditor:</w:t>
      </w:r>
      <w:r>
        <w:rPr>
          <w:spacing w:val="-2"/>
          <w:sz w:val="18"/>
        </w:rPr>
        <w:t xml:space="preserve"> </w:t>
      </w:r>
      <w:r>
        <w:rPr>
          <w:sz w:val="18"/>
        </w:rPr>
        <w:t>20X2</w:t>
      </w:r>
      <w:r>
        <w:rPr>
          <w:spacing w:val="-3"/>
          <w:sz w:val="18"/>
        </w:rPr>
        <w:t xml:space="preserve"> </w:t>
      </w:r>
      <w:r>
        <w:rPr>
          <w:sz w:val="18"/>
        </w:rPr>
        <w:t>denotes</w:t>
      </w:r>
      <w:r>
        <w:rPr>
          <w:spacing w:val="-2"/>
          <w:sz w:val="18"/>
        </w:rPr>
        <w:t xml:space="preserve"> </w:t>
      </w:r>
      <w:r>
        <w:rPr>
          <w:sz w:val="18"/>
        </w:rPr>
        <w:t>the</w:t>
      </w:r>
      <w:r>
        <w:rPr>
          <w:spacing w:val="-3"/>
          <w:sz w:val="18"/>
        </w:rPr>
        <w:t xml:space="preserve"> </w:t>
      </w:r>
      <w:r>
        <w:rPr>
          <w:sz w:val="18"/>
        </w:rPr>
        <w:t>current</w:t>
      </w:r>
      <w:r>
        <w:rPr>
          <w:spacing w:val="-2"/>
          <w:sz w:val="18"/>
        </w:rPr>
        <w:t xml:space="preserve"> </w:t>
      </w:r>
      <w:r>
        <w:rPr>
          <w:sz w:val="18"/>
        </w:rPr>
        <w:t>year,</w:t>
      </w:r>
      <w:r>
        <w:rPr>
          <w:spacing w:val="-2"/>
          <w:sz w:val="18"/>
        </w:rPr>
        <w:t xml:space="preserve"> </w:t>
      </w:r>
      <w:r>
        <w:rPr>
          <w:sz w:val="18"/>
        </w:rPr>
        <w:t>and</w:t>
      </w:r>
      <w:r>
        <w:rPr>
          <w:spacing w:val="-4"/>
          <w:sz w:val="18"/>
        </w:rPr>
        <w:t xml:space="preserve"> </w:t>
      </w:r>
      <w:r>
        <w:rPr>
          <w:sz w:val="18"/>
        </w:rPr>
        <w:t>20X1</w:t>
      </w:r>
      <w:r>
        <w:rPr>
          <w:spacing w:val="-3"/>
          <w:sz w:val="18"/>
        </w:rPr>
        <w:t xml:space="preserve"> </w:t>
      </w:r>
      <w:r>
        <w:rPr>
          <w:sz w:val="18"/>
        </w:rPr>
        <w:t>denotes</w:t>
      </w:r>
      <w:r>
        <w:rPr>
          <w:spacing w:val="-2"/>
          <w:sz w:val="18"/>
        </w:rPr>
        <w:t xml:space="preserve"> </w:t>
      </w:r>
      <w:r>
        <w:rPr>
          <w:sz w:val="18"/>
        </w:rPr>
        <w:t>the</w:t>
      </w:r>
      <w:r>
        <w:rPr>
          <w:spacing w:val="-3"/>
          <w:sz w:val="18"/>
        </w:rPr>
        <w:t xml:space="preserve"> </w:t>
      </w:r>
      <w:r>
        <w:rPr>
          <w:sz w:val="18"/>
        </w:rPr>
        <w:t>prior</w:t>
      </w:r>
      <w:r>
        <w:rPr>
          <w:spacing w:val="-2"/>
          <w:sz w:val="18"/>
        </w:rPr>
        <w:t xml:space="preserve"> year.</w:t>
      </w:r>
    </w:p>
    <w:p w14:paraId="0DFDC97C" w14:textId="77777777" w:rsidR="00046465" w:rsidRDefault="00046465">
      <w:pPr>
        <w:rPr>
          <w:sz w:val="18"/>
        </w:rPr>
        <w:sectPr w:rsidR="00046465">
          <w:headerReference w:type="default" r:id="rId239"/>
          <w:footerReference w:type="default" r:id="rId240"/>
          <w:pgSz w:w="12240" w:h="15840"/>
          <w:pgMar w:top="1340" w:right="720" w:bottom="940" w:left="1080" w:header="721" w:footer="757" w:gutter="0"/>
          <w:pgNumType w:start="1"/>
          <w:cols w:space="720"/>
        </w:sectPr>
      </w:pPr>
    </w:p>
    <w:p w14:paraId="0DFDC97D" w14:textId="77777777" w:rsidR="00046465" w:rsidRDefault="008134EB">
      <w:pPr>
        <w:pStyle w:val="BodyText"/>
        <w:spacing w:before="121"/>
        <w:ind w:left="360" w:right="786" w:hanging="1"/>
      </w:pPr>
      <w:r>
        <w:lastRenderedPageBreak/>
        <w:t>Please include any cases</w:t>
      </w:r>
      <w:hyperlink w:anchor="_bookmark227" w:history="1">
        <w:r>
          <w:rPr>
            <w:position w:val="7"/>
            <w:sz w:val="14"/>
          </w:rPr>
          <w:t>16</w:t>
        </w:r>
      </w:hyperlink>
      <w:r>
        <w:rPr>
          <w:spacing w:val="30"/>
          <w:position w:val="7"/>
          <w:sz w:val="14"/>
        </w:rPr>
        <w:t xml:space="preserve"> </w:t>
      </w:r>
      <w:r>
        <w:t xml:space="preserve">with respect to which you have been engaged and to which you have devoted substantive attention on behalf of </w:t>
      </w:r>
      <w:r>
        <w:rPr>
          <w:b/>
        </w:rPr>
        <w:t xml:space="preserve">[Entity] </w:t>
      </w:r>
      <w:r>
        <w:t xml:space="preserve">in the form of legal consultation or representation, including those cases for which you believe the Judgment Fund or other external financing source will pay any potential loss. Under U.S. generally accepted accounting principles, these amounts will be included as liabilities or disclosure items in </w:t>
      </w:r>
      <w:r>
        <w:rPr>
          <w:b/>
        </w:rPr>
        <w:t>[Entity]</w:t>
      </w:r>
      <w:r>
        <w:t>’s financial statements.</w:t>
      </w:r>
      <w:r>
        <w:rPr>
          <w:spacing w:val="-4"/>
        </w:rPr>
        <w:t xml:space="preserve"> </w:t>
      </w:r>
      <w:r>
        <w:t>Please</w:t>
      </w:r>
      <w:r>
        <w:rPr>
          <w:spacing w:val="-4"/>
        </w:rPr>
        <w:t xml:space="preserve"> </w:t>
      </w:r>
      <w:r>
        <w:t>aggregate</w:t>
      </w:r>
      <w:r>
        <w:rPr>
          <w:spacing w:val="-4"/>
        </w:rPr>
        <w:t xml:space="preserve"> </w:t>
      </w:r>
      <w:r>
        <w:t>cases</w:t>
      </w:r>
      <w:r>
        <w:rPr>
          <w:spacing w:val="-5"/>
        </w:rPr>
        <w:t xml:space="preserve"> </w:t>
      </w:r>
      <w:r>
        <w:t>similar</w:t>
      </w:r>
      <w:r>
        <w:rPr>
          <w:spacing w:val="-4"/>
        </w:rPr>
        <w:t xml:space="preserve"> </w:t>
      </w:r>
      <w:r>
        <w:t>in</w:t>
      </w:r>
      <w:r>
        <w:rPr>
          <w:spacing w:val="-4"/>
        </w:rPr>
        <w:t xml:space="preserve"> </w:t>
      </w:r>
      <w:r>
        <w:t>nature</w:t>
      </w:r>
      <w:r>
        <w:rPr>
          <w:spacing w:val="-4"/>
        </w:rPr>
        <w:t xml:space="preserve"> </w:t>
      </w:r>
      <w:r>
        <w:t>where</w:t>
      </w:r>
      <w:r>
        <w:rPr>
          <w:spacing w:val="-4"/>
        </w:rPr>
        <w:t xml:space="preserve"> </w:t>
      </w:r>
      <w:r>
        <w:t>appropriate.</w:t>
      </w:r>
      <w:r>
        <w:rPr>
          <w:spacing w:val="-5"/>
        </w:rPr>
        <w:t xml:space="preserve"> </w:t>
      </w:r>
      <w:r>
        <w:t>Please</w:t>
      </w:r>
      <w:r>
        <w:rPr>
          <w:spacing w:val="-4"/>
        </w:rPr>
        <w:t xml:space="preserve"> </w:t>
      </w:r>
      <w:r>
        <w:t>list</w:t>
      </w:r>
      <w:r>
        <w:rPr>
          <w:spacing w:val="-4"/>
        </w:rPr>
        <w:t xml:space="preserve"> </w:t>
      </w:r>
      <w:r>
        <w:t>the</w:t>
      </w:r>
      <w:r>
        <w:rPr>
          <w:spacing w:val="-4"/>
        </w:rPr>
        <w:t xml:space="preserve"> </w:t>
      </w:r>
      <w:r>
        <w:t>matters in order of the amount of potential loss, starting with the largest.</w:t>
      </w:r>
    </w:p>
    <w:p w14:paraId="0DFDC97E" w14:textId="77777777" w:rsidR="00046465" w:rsidRDefault="008134EB">
      <w:pPr>
        <w:spacing w:before="240"/>
        <w:ind w:left="360"/>
        <w:rPr>
          <w:b/>
        </w:rPr>
      </w:pPr>
      <w:r>
        <w:rPr>
          <w:b/>
        </w:rPr>
        <w:t>Pending</w:t>
      </w:r>
      <w:r>
        <w:rPr>
          <w:b/>
          <w:spacing w:val="-10"/>
        </w:rPr>
        <w:t xml:space="preserve"> </w:t>
      </w:r>
      <w:r>
        <w:rPr>
          <w:b/>
        </w:rPr>
        <w:t>or</w:t>
      </w:r>
      <w:r>
        <w:rPr>
          <w:b/>
          <w:spacing w:val="-11"/>
        </w:rPr>
        <w:t xml:space="preserve"> </w:t>
      </w:r>
      <w:r>
        <w:rPr>
          <w:b/>
        </w:rPr>
        <w:t>Threatened</w:t>
      </w:r>
      <w:r>
        <w:rPr>
          <w:b/>
          <w:spacing w:val="-11"/>
        </w:rPr>
        <w:t xml:space="preserve"> </w:t>
      </w:r>
      <w:r>
        <w:rPr>
          <w:b/>
        </w:rPr>
        <w:t>Litigation,</w:t>
      </w:r>
      <w:r>
        <w:rPr>
          <w:b/>
          <w:spacing w:val="-10"/>
        </w:rPr>
        <w:t xml:space="preserve"> </w:t>
      </w:r>
      <w:r>
        <w:rPr>
          <w:b/>
        </w:rPr>
        <w:t>Claims,</w:t>
      </w:r>
      <w:r>
        <w:rPr>
          <w:b/>
          <w:spacing w:val="-9"/>
        </w:rPr>
        <w:t xml:space="preserve"> </w:t>
      </w:r>
      <w:r>
        <w:rPr>
          <w:b/>
        </w:rPr>
        <w:t>and</w:t>
      </w:r>
      <w:r>
        <w:rPr>
          <w:b/>
          <w:spacing w:val="-10"/>
        </w:rPr>
        <w:t xml:space="preserve"> </w:t>
      </w:r>
      <w:r>
        <w:rPr>
          <w:b/>
        </w:rPr>
        <w:t>Assessments</w:t>
      </w:r>
      <w:r>
        <w:rPr>
          <w:b/>
          <w:spacing w:val="-10"/>
        </w:rPr>
        <w:t xml:space="preserve"> </w:t>
      </w:r>
      <w:r>
        <w:rPr>
          <w:b/>
        </w:rPr>
        <w:t>(Excluding</w:t>
      </w:r>
      <w:r>
        <w:rPr>
          <w:b/>
          <w:spacing w:val="-10"/>
        </w:rPr>
        <w:t xml:space="preserve"> </w:t>
      </w:r>
      <w:r>
        <w:rPr>
          <w:b/>
        </w:rPr>
        <w:t>Unasserted</w:t>
      </w:r>
      <w:r>
        <w:rPr>
          <w:b/>
          <w:spacing w:val="-10"/>
        </w:rPr>
        <w:t xml:space="preserve"> </w:t>
      </w:r>
      <w:r>
        <w:rPr>
          <w:b/>
          <w:spacing w:val="-2"/>
        </w:rPr>
        <w:t>Claims)</w:t>
      </w:r>
    </w:p>
    <w:p w14:paraId="0DFDC97F" w14:textId="77777777" w:rsidR="00046465" w:rsidRDefault="008134EB">
      <w:pPr>
        <w:pStyle w:val="BodyText"/>
        <w:spacing w:before="239"/>
        <w:ind w:left="360" w:right="912"/>
      </w:pPr>
      <w:r>
        <w:t xml:space="preserve">We have determined that any matters for which (1) the amount of potential loss exceeds </w:t>
      </w:r>
      <w:r>
        <w:rPr>
          <w:b/>
        </w:rPr>
        <w:t>[$XX]</w:t>
      </w:r>
      <w:r>
        <w:t xml:space="preserve">, individually or in the aggregate for similar cases, or (2) the amount of potential loss exceeds </w:t>
      </w:r>
      <w:r>
        <w:rPr>
          <w:b/>
        </w:rPr>
        <w:t xml:space="preserve">[$XXX] </w:t>
      </w:r>
      <w:r>
        <w:t xml:space="preserve">in the aggregate for cases not listed individually or as part of similar cases could be material to the financial statements. We request that you provide to </w:t>
      </w:r>
      <w:r>
        <w:rPr>
          <w:b/>
        </w:rPr>
        <w:t xml:space="preserve">[auditor] </w:t>
      </w:r>
      <w:r>
        <w:t>the information</w:t>
      </w:r>
      <w:r>
        <w:rPr>
          <w:spacing w:val="-4"/>
        </w:rPr>
        <w:t xml:space="preserve"> </w:t>
      </w:r>
      <w:r>
        <w:t>described</w:t>
      </w:r>
      <w:r>
        <w:rPr>
          <w:spacing w:val="-4"/>
        </w:rPr>
        <w:t xml:space="preserve"> </w:t>
      </w:r>
      <w:r>
        <w:t>below</w:t>
      </w:r>
      <w:r>
        <w:rPr>
          <w:spacing w:val="-5"/>
        </w:rPr>
        <w:t xml:space="preserve"> </w:t>
      </w:r>
      <w:r>
        <w:t>about</w:t>
      </w:r>
      <w:r>
        <w:rPr>
          <w:spacing w:val="-4"/>
        </w:rPr>
        <w:t xml:space="preserve"> </w:t>
      </w:r>
      <w:r>
        <w:t>pending</w:t>
      </w:r>
      <w:r>
        <w:rPr>
          <w:spacing w:val="-4"/>
        </w:rPr>
        <w:t xml:space="preserve"> </w:t>
      </w:r>
      <w:r>
        <w:t>or</w:t>
      </w:r>
      <w:r>
        <w:rPr>
          <w:spacing w:val="-4"/>
        </w:rPr>
        <w:t xml:space="preserve"> </w:t>
      </w:r>
      <w:r>
        <w:t>threatened</w:t>
      </w:r>
      <w:r>
        <w:rPr>
          <w:spacing w:val="-4"/>
        </w:rPr>
        <w:t xml:space="preserve"> </w:t>
      </w:r>
      <w:r>
        <w:t>litigation,</w:t>
      </w:r>
      <w:r>
        <w:rPr>
          <w:spacing w:val="-4"/>
        </w:rPr>
        <w:t xml:space="preserve"> </w:t>
      </w:r>
      <w:r>
        <w:t>claims,</w:t>
      </w:r>
      <w:r>
        <w:rPr>
          <w:spacing w:val="-4"/>
        </w:rPr>
        <w:t xml:space="preserve"> </w:t>
      </w:r>
      <w:r>
        <w:t>and</w:t>
      </w:r>
      <w:r>
        <w:rPr>
          <w:spacing w:val="-4"/>
        </w:rPr>
        <w:t xml:space="preserve"> </w:t>
      </w:r>
      <w:r>
        <w:t>assessments where the amount of potential loss exceeds these amounts:</w:t>
      </w:r>
    </w:p>
    <w:p w14:paraId="0DFDC980" w14:textId="77777777" w:rsidR="00046465" w:rsidRDefault="008134EB">
      <w:pPr>
        <w:pStyle w:val="ListParagraph"/>
        <w:numPr>
          <w:ilvl w:val="0"/>
          <w:numId w:val="60"/>
        </w:numPr>
        <w:tabs>
          <w:tab w:val="left" w:pos="720"/>
        </w:tabs>
        <w:spacing w:before="240"/>
        <w:ind w:right="913"/>
      </w:pPr>
      <w:r>
        <w:t>The</w:t>
      </w:r>
      <w:r>
        <w:rPr>
          <w:spacing w:val="-3"/>
        </w:rPr>
        <w:t xml:space="preserve"> </w:t>
      </w:r>
      <w:r>
        <w:t>nature</w:t>
      </w:r>
      <w:r>
        <w:rPr>
          <w:spacing w:val="-3"/>
        </w:rPr>
        <w:t xml:space="preserve"> </w:t>
      </w:r>
      <w:r>
        <w:t>of</w:t>
      </w:r>
      <w:r>
        <w:rPr>
          <w:spacing w:val="-3"/>
        </w:rPr>
        <w:t xml:space="preserve"> </w:t>
      </w:r>
      <w:r>
        <w:t>the</w:t>
      </w:r>
      <w:r>
        <w:rPr>
          <w:spacing w:val="-3"/>
        </w:rPr>
        <w:t xml:space="preserve"> </w:t>
      </w:r>
      <w:r>
        <w:t>matter.</w:t>
      </w:r>
      <w:r>
        <w:rPr>
          <w:spacing w:val="-3"/>
        </w:rPr>
        <w:t xml:space="preserve"> </w:t>
      </w:r>
      <w:r>
        <w:t>Include</w:t>
      </w:r>
      <w:r>
        <w:rPr>
          <w:spacing w:val="-3"/>
        </w:rPr>
        <w:t xml:space="preserve"> </w:t>
      </w:r>
      <w:r>
        <w:t>a</w:t>
      </w:r>
      <w:r>
        <w:rPr>
          <w:spacing w:val="-4"/>
        </w:rPr>
        <w:t xml:space="preserve"> </w:t>
      </w:r>
      <w:r>
        <w:t>description</w:t>
      </w:r>
      <w:r>
        <w:rPr>
          <w:spacing w:val="-5"/>
        </w:rPr>
        <w:t xml:space="preserve"> </w:t>
      </w:r>
      <w:r>
        <w:t>of</w:t>
      </w:r>
      <w:r>
        <w:rPr>
          <w:spacing w:val="-3"/>
        </w:rPr>
        <w:t xml:space="preserve"> </w:t>
      </w:r>
      <w:r>
        <w:t>the</w:t>
      </w:r>
      <w:r>
        <w:rPr>
          <w:spacing w:val="-3"/>
        </w:rPr>
        <w:t xml:space="preserve"> </w:t>
      </w:r>
      <w:r>
        <w:t>case</w:t>
      </w:r>
      <w:r>
        <w:rPr>
          <w:spacing w:val="-4"/>
        </w:rPr>
        <w:t xml:space="preserve"> </w:t>
      </w:r>
      <w:r>
        <w:t>or</w:t>
      </w:r>
      <w:r>
        <w:rPr>
          <w:spacing w:val="-3"/>
        </w:rPr>
        <w:t xml:space="preserve"> </w:t>
      </w:r>
      <w:r>
        <w:t>cases</w:t>
      </w:r>
      <w:r>
        <w:rPr>
          <w:spacing w:val="-3"/>
        </w:rPr>
        <w:t xml:space="preserve"> </w:t>
      </w:r>
      <w:r>
        <w:t>and</w:t>
      </w:r>
      <w:r>
        <w:rPr>
          <w:spacing w:val="-3"/>
        </w:rPr>
        <w:t xml:space="preserve"> </w:t>
      </w:r>
      <w:r>
        <w:t>amount</w:t>
      </w:r>
      <w:r>
        <w:rPr>
          <w:spacing w:val="-3"/>
        </w:rPr>
        <w:t xml:space="preserve"> </w:t>
      </w:r>
      <w:r>
        <w:t>claimed,</w:t>
      </w:r>
      <w:r>
        <w:rPr>
          <w:spacing w:val="-3"/>
        </w:rPr>
        <w:t xml:space="preserve"> </w:t>
      </w:r>
      <w:r>
        <w:t xml:space="preserve">if </w:t>
      </w:r>
      <w:r>
        <w:rPr>
          <w:spacing w:val="-2"/>
        </w:rPr>
        <w:t>specified.</w:t>
      </w:r>
    </w:p>
    <w:p w14:paraId="0DFDC981" w14:textId="77777777" w:rsidR="00046465" w:rsidRDefault="008134EB">
      <w:pPr>
        <w:pStyle w:val="ListParagraph"/>
        <w:numPr>
          <w:ilvl w:val="0"/>
          <w:numId w:val="60"/>
        </w:numPr>
        <w:tabs>
          <w:tab w:val="left" w:pos="718"/>
        </w:tabs>
        <w:spacing w:before="241"/>
        <w:ind w:left="718" w:hanging="359"/>
      </w:pPr>
      <w:r>
        <w:t>The</w:t>
      </w:r>
      <w:r>
        <w:rPr>
          <w:spacing w:val="-5"/>
        </w:rPr>
        <w:t xml:space="preserve"> </w:t>
      </w:r>
      <w:r>
        <w:t>progress</w:t>
      </w:r>
      <w:r>
        <w:rPr>
          <w:spacing w:val="-4"/>
        </w:rPr>
        <w:t xml:space="preserve"> </w:t>
      </w:r>
      <w:r>
        <w:t>of</w:t>
      </w:r>
      <w:r>
        <w:rPr>
          <w:spacing w:val="-5"/>
        </w:rPr>
        <w:t xml:space="preserve"> </w:t>
      </w:r>
      <w:r>
        <w:t>the</w:t>
      </w:r>
      <w:r>
        <w:rPr>
          <w:spacing w:val="-4"/>
        </w:rPr>
        <w:t xml:space="preserve"> </w:t>
      </w:r>
      <w:r>
        <w:t>case</w:t>
      </w:r>
      <w:r>
        <w:rPr>
          <w:spacing w:val="-5"/>
        </w:rPr>
        <w:t xml:space="preserve"> </w:t>
      </w:r>
      <w:r>
        <w:t>to</w:t>
      </w:r>
      <w:r>
        <w:rPr>
          <w:spacing w:val="-4"/>
        </w:rPr>
        <w:t xml:space="preserve"> </w:t>
      </w:r>
      <w:r>
        <w:rPr>
          <w:spacing w:val="-2"/>
        </w:rPr>
        <w:t>date.</w:t>
      </w:r>
    </w:p>
    <w:p w14:paraId="0DFDC982" w14:textId="77777777" w:rsidR="00046465" w:rsidRDefault="008134EB">
      <w:pPr>
        <w:pStyle w:val="ListParagraph"/>
        <w:numPr>
          <w:ilvl w:val="0"/>
          <w:numId w:val="60"/>
        </w:numPr>
        <w:tabs>
          <w:tab w:val="left" w:pos="719"/>
        </w:tabs>
        <w:spacing w:before="240"/>
        <w:ind w:left="719" w:right="1671"/>
      </w:pPr>
      <w:r>
        <w:t>The</w:t>
      </w:r>
      <w:r>
        <w:rPr>
          <w:spacing w:val="-4"/>
        </w:rPr>
        <w:t xml:space="preserve"> </w:t>
      </w:r>
      <w:r>
        <w:t>government’s</w:t>
      </w:r>
      <w:r>
        <w:rPr>
          <w:spacing w:val="-4"/>
        </w:rPr>
        <w:t xml:space="preserve"> </w:t>
      </w:r>
      <w:r>
        <w:t>response</w:t>
      </w:r>
      <w:r>
        <w:rPr>
          <w:spacing w:val="-4"/>
        </w:rPr>
        <w:t xml:space="preserve"> </w:t>
      </w:r>
      <w:r>
        <w:t>or</w:t>
      </w:r>
      <w:r>
        <w:rPr>
          <w:spacing w:val="-4"/>
        </w:rPr>
        <w:t xml:space="preserve"> </w:t>
      </w:r>
      <w:r>
        <w:t>planned</w:t>
      </w:r>
      <w:r>
        <w:rPr>
          <w:spacing w:val="-4"/>
        </w:rPr>
        <w:t xml:space="preserve"> </w:t>
      </w:r>
      <w:r>
        <w:t>response</w:t>
      </w:r>
      <w:r>
        <w:rPr>
          <w:spacing w:val="-4"/>
        </w:rPr>
        <w:t xml:space="preserve"> </w:t>
      </w:r>
      <w:r>
        <w:t>(for</w:t>
      </w:r>
      <w:r>
        <w:rPr>
          <w:spacing w:val="-4"/>
        </w:rPr>
        <w:t xml:space="preserve"> </w:t>
      </w:r>
      <w:r>
        <w:t>example,</w:t>
      </w:r>
      <w:r>
        <w:rPr>
          <w:spacing w:val="-4"/>
        </w:rPr>
        <w:t xml:space="preserve"> </w:t>
      </w:r>
      <w:r>
        <w:t>to</w:t>
      </w:r>
      <w:r>
        <w:rPr>
          <w:spacing w:val="-4"/>
        </w:rPr>
        <w:t xml:space="preserve"> </w:t>
      </w:r>
      <w:r>
        <w:t>contest</w:t>
      </w:r>
      <w:r>
        <w:rPr>
          <w:spacing w:val="-4"/>
        </w:rPr>
        <w:t xml:space="preserve"> </w:t>
      </w:r>
      <w:r>
        <w:t>the</w:t>
      </w:r>
      <w:r>
        <w:rPr>
          <w:spacing w:val="-4"/>
        </w:rPr>
        <w:t xml:space="preserve"> </w:t>
      </w:r>
      <w:r>
        <w:t>case vigorously or to seek an out-of-court settlement).</w:t>
      </w:r>
    </w:p>
    <w:p w14:paraId="0DFDC983" w14:textId="77777777" w:rsidR="00046465" w:rsidRDefault="008134EB">
      <w:pPr>
        <w:pStyle w:val="ListParagraph"/>
        <w:numPr>
          <w:ilvl w:val="0"/>
          <w:numId w:val="60"/>
        </w:numPr>
        <w:tabs>
          <w:tab w:val="left" w:pos="719"/>
        </w:tabs>
        <w:spacing w:before="239"/>
        <w:ind w:left="719" w:right="829"/>
      </w:pPr>
      <w:r>
        <w:t>An evaluation of the likelihood of unfavorable outcome. Please categorize likelihood as probable</w:t>
      </w:r>
      <w:r>
        <w:rPr>
          <w:spacing w:val="-2"/>
        </w:rPr>
        <w:t xml:space="preserve"> </w:t>
      </w:r>
      <w:r>
        <w:t>(an</w:t>
      </w:r>
      <w:r>
        <w:rPr>
          <w:spacing w:val="-2"/>
        </w:rPr>
        <w:t xml:space="preserve"> </w:t>
      </w:r>
      <w:r>
        <w:t>unfavorable</w:t>
      </w:r>
      <w:r>
        <w:rPr>
          <w:spacing w:val="-2"/>
        </w:rPr>
        <w:t xml:space="preserve"> </w:t>
      </w:r>
      <w:r>
        <w:t>outcome</w:t>
      </w:r>
      <w:r>
        <w:rPr>
          <w:spacing w:val="-2"/>
        </w:rPr>
        <w:t xml:space="preserve"> </w:t>
      </w:r>
      <w:r>
        <w:t>is</w:t>
      </w:r>
      <w:r>
        <w:rPr>
          <w:spacing w:val="-2"/>
        </w:rPr>
        <w:t xml:space="preserve"> </w:t>
      </w:r>
      <w:r>
        <w:t>likely</w:t>
      </w:r>
      <w:r>
        <w:rPr>
          <w:spacing w:val="-2"/>
        </w:rPr>
        <w:t xml:space="preserve"> </w:t>
      </w:r>
      <w:r>
        <w:t>to</w:t>
      </w:r>
      <w:r>
        <w:rPr>
          <w:spacing w:val="-2"/>
        </w:rPr>
        <w:t xml:space="preserve"> </w:t>
      </w:r>
      <w:r>
        <w:t>occur),</w:t>
      </w:r>
      <w:r>
        <w:rPr>
          <w:spacing w:val="-2"/>
        </w:rPr>
        <w:t xml:space="preserve"> </w:t>
      </w:r>
      <w:r>
        <w:t>reasonably</w:t>
      </w:r>
      <w:r>
        <w:rPr>
          <w:spacing w:val="-2"/>
        </w:rPr>
        <w:t xml:space="preserve"> </w:t>
      </w:r>
      <w:r>
        <w:t>possible</w:t>
      </w:r>
      <w:r>
        <w:rPr>
          <w:spacing w:val="-2"/>
        </w:rPr>
        <w:t xml:space="preserve"> </w:t>
      </w:r>
      <w:r>
        <w:t>(the</w:t>
      </w:r>
      <w:r>
        <w:rPr>
          <w:spacing w:val="-2"/>
        </w:rPr>
        <w:t xml:space="preserve"> </w:t>
      </w:r>
      <w:r>
        <w:t>chance</w:t>
      </w:r>
      <w:r>
        <w:rPr>
          <w:spacing w:val="-2"/>
        </w:rPr>
        <w:t xml:space="preserve"> </w:t>
      </w:r>
      <w:r>
        <w:t>of</w:t>
      </w:r>
      <w:r>
        <w:rPr>
          <w:spacing w:val="-2"/>
        </w:rPr>
        <w:t xml:space="preserve"> </w:t>
      </w:r>
      <w:r>
        <w:t>an unfavorable</w:t>
      </w:r>
      <w:r>
        <w:rPr>
          <w:spacing w:val="-4"/>
        </w:rPr>
        <w:t xml:space="preserve"> </w:t>
      </w:r>
      <w:r>
        <w:t>outcome</w:t>
      </w:r>
      <w:r>
        <w:rPr>
          <w:spacing w:val="-3"/>
        </w:rPr>
        <w:t xml:space="preserve"> </w:t>
      </w:r>
      <w:r>
        <w:t>is</w:t>
      </w:r>
      <w:r>
        <w:rPr>
          <w:spacing w:val="-3"/>
        </w:rPr>
        <w:t xml:space="preserve"> </w:t>
      </w:r>
      <w:r>
        <w:t>less</w:t>
      </w:r>
      <w:r>
        <w:rPr>
          <w:spacing w:val="-3"/>
        </w:rPr>
        <w:t xml:space="preserve"> </w:t>
      </w:r>
      <w:r>
        <w:t>than</w:t>
      </w:r>
      <w:r>
        <w:rPr>
          <w:spacing w:val="-3"/>
        </w:rPr>
        <w:t xml:space="preserve"> </w:t>
      </w:r>
      <w:r>
        <w:t>probable</w:t>
      </w:r>
      <w:r>
        <w:rPr>
          <w:spacing w:val="-3"/>
        </w:rPr>
        <w:t xml:space="preserve"> </w:t>
      </w:r>
      <w:r>
        <w:t>but</w:t>
      </w:r>
      <w:r>
        <w:rPr>
          <w:spacing w:val="-3"/>
        </w:rPr>
        <w:t xml:space="preserve"> </w:t>
      </w:r>
      <w:r>
        <w:t>more</w:t>
      </w:r>
      <w:r>
        <w:rPr>
          <w:spacing w:val="-3"/>
        </w:rPr>
        <w:t xml:space="preserve"> </w:t>
      </w:r>
      <w:r>
        <w:t>than</w:t>
      </w:r>
      <w:r>
        <w:rPr>
          <w:spacing w:val="-3"/>
        </w:rPr>
        <w:t xml:space="preserve"> </w:t>
      </w:r>
      <w:r>
        <w:t>remote),</w:t>
      </w:r>
      <w:r>
        <w:rPr>
          <w:spacing w:val="-3"/>
        </w:rPr>
        <w:t xml:space="preserve"> </w:t>
      </w:r>
      <w:r>
        <w:t>or</w:t>
      </w:r>
      <w:r>
        <w:rPr>
          <w:spacing w:val="-3"/>
        </w:rPr>
        <w:t xml:space="preserve"> </w:t>
      </w:r>
      <w:r>
        <w:t>remote</w:t>
      </w:r>
      <w:r>
        <w:rPr>
          <w:spacing w:val="-3"/>
        </w:rPr>
        <w:t xml:space="preserve"> </w:t>
      </w:r>
      <w:r>
        <w:t>(the</w:t>
      </w:r>
      <w:r>
        <w:rPr>
          <w:spacing w:val="-3"/>
        </w:rPr>
        <w:t xml:space="preserve"> </w:t>
      </w:r>
      <w:r>
        <w:t>chance</w:t>
      </w:r>
      <w:r>
        <w:rPr>
          <w:spacing w:val="-3"/>
        </w:rPr>
        <w:t xml:space="preserve"> </w:t>
      </w:r>
      <w:r>
        <w:t>of an unfavorable outcome is slight).</w:t>
      </w:r>
    </w:p>
    <w:p w14:paraId="0DFDC984" w14:textId="77777777" w:rsidR="00046465" w:rsidRDefault="008134EB">
      <w:pPr>
        <w:pStyle w:val="ListParagraph"/>
        <w:numPr>
          <w:ilvl w:val="0"/>
          <w:numId w:val="60"/>
        </w:numPr>
        <w:tabs>
          <w:tab w:val="left" w:pos="719"/>
        </w:tabs>
        <w:spacing w:before="241"/>
        <w:ind w:left="719" w:right="1623"/>
      </w:pPr>
      <w:r>
        <w:t>An</w:t>
      </w:r>
      <w:r>
        <w:rPr>
          <w:spacing w:val="-3"/>
        </w:rPr>
        <w:t xml:space="preserve"> </w:t>
      </w:r>
      <w:r>
        <w:t>estimate</w:t>
      </w:r>
      <w:r>
        <w:rPr>
          <w:spacing w:val="-3"/>
        </w:rPr>
        <w:t xml:space="preserve"> </w:t>
      </w:r>
      <w:r>
        <w:t>of</w:t>
      </w:r>
      <w:r>
        <w:rPr>
          <w:spacing w:val="-3"/>
        </w:rPr>
        <w:t xml:space="preserve"> </w:t>
      </w:r>
      <w:r>
        <w:t>the</w:t>
      </w:r>
      <w:r>
        <w:rPr>
          <w:spacing w:val="-3"/>
        </w:rPr>
        <w:t xml:space="preserve"> </w:t>
      </w:r>
      <w:r>
        <w:t>amount</w:t>
      </w:r>
      <w:r>
        <w:rPr>
          <w:spacing w:val="-3"/>
        </w:rPr>
        <w:t xml:space="preserve"> </w:t>
      </w:r>
      <w:r>
        <w:t>or</w:t>
      </w:r>
      <w:r>
        <w:rPr>
          <w:spacing w:val="-3"/>
        </w:rPr>
        <w:t xml:space="preserve"> </w:t>
      </w:r>
      <w:r>
        <w:t>range</w:t>
      </w:r>
      <w:r>
        <w:rPr>
          <w:spacing w:val="-3"/>
        </w:rPr>
        <w:t xml:space="preserve"> </w:t>
      </w:r>
      <w:r>
        <w:t>of</w:t>
      </w:r>
      <w:r>
        <w:rPr>
          <w:spacing w:val="-3"/>
        </w:rPr>
        <w:t xml:space="preserve"> </w:t>
      </w:r>
      <w:r>
        <w:t>potential</w:t>
      </w:r>
      <w:r>
        <w:rPr>
          <w:spacing w:val="-3"/>
        </w:rPr>
        <w:t xml:space="preserve"> </w:t>
      </w:r>
      <w:r>
        <w:t>loss,</w:t>
      </w:r>
      <w:r>
        <w:rPr>
          <w:spacing w:val="-3"/>
        </w:rPr>
        <w:t xml:space="preserve"> </w:t>
      </w:r>
      <w:r>
        <w:t>if</w:t>
      </w:r>
      <w:r>
        <w:rPr>
          <w:spacing w:val="-3"/>
        </w:rPr>
        <w:t xml:space="preserve"> </w:t>
      </w:r>
      <w:r>
        <w:t>one</w:t>
      </w:r>
      <w:r>
        <w:rPr>
          <w:spacing w:val="-4"/>
        </w:rPr>
        <w:t xml:space="preserve"> </w:t>
      </w:r>
      <w:r>
        <w:t>can</w:t>
      </w:r>
      <w:r>
        <w:rPr>
          <w:spacing w:val="-3"/>
        </w:rPr>
        <w:t xml:space="preserve"> </w:t>
      </w:r>
      <w:r>
        <w:t>be</w:t>
      </w:r>
      <w:r>
        <w:rPr>
          <w:spacing w:val="-3"/>
        </w:rPr>
        <w:t xml:space="preserve"> </w:t>
      </w:r>
      <w:r>
        <w:t>made,</w:t>
      </w:r>
      <w:r>
        <w:rPr>
          <w:spacing w:val="-3"/>
        </w:rPr>
        <w:t xml:space="preserve"> </w:t>
      </w:r>
      <w:r>
        <w:t>for</w:t>
      </w:r>
      <w:r>
        <w:rPr>
          <w:spacing w:val="-3"/>
        </w:rPr>
        <w:t xml:space="preserve"> </w:t>
      </w:r>
      <w:r>
        <w:t>losses considered to be probable or reasonably possible.</w:t>
      </w:r>
    </w:p>
    <w:p w14:paraId="0DFDC985" w14:textId="77777777" w:rsidR="00046465" w:rsidRDefault="008134EB">
      <w:pPr>
        <w:pStyle w:val="ListParagraph"/>
        <w:numPr>
          <w:ilvl w:val="0"/>
          <w:numId w:val="60"/>
        </w:numPr>
        <w:tabs>
          <w:tab w:val="left" w:pos="719"/>
        </w:tabs>
        <w:spacing w:before="239"/>
        <w:ind w:left="719" w:right="1196"/>
      </w:pPr>
      <w:r>
        <w:t>The</w:t>
      </w:r>
      <w:r>
        <w:rPr>
          <w:spacing w:val="-3"/>
        </w:rPr>
        <w:t xml:space="preserve"> </w:t>
      </w:r>
      <w:r>
        <w:t>name</w:t>
      </w:r>
      <w:r>
        <w:rPr>
          <w:spacing w:val="-3"/>
        </w:rPr>
        <w:t xml:space="preserve"> </w:t>
      </w:r>
      <w:r>
        <w:t>of</w:t>
      </w:r>
      <w:r>
        <w:rPr>
          <w:spacing w:val="-3"/>
        </w:rPr>
        <w:t xml:space="preserve"> </w:t>
      </w:r>
      <w:r>
        <w:rPr>
          <w:b/>
        </w:rPr>
        <w:t>[Entity]</w:t>
      </w:r>
      <w:r>
        <w:t>’s</w:t>
      </w:r>
      <w:r>
        <w:rPr>
          <w:spacing w:val="-3"/>
        </w:rPr>
        <w:t xml:space="preserve"> </w:t>
      </w:r>
      <w:r>
        <w:t>legal</w:t>
      </w:r>
      <w:r>
        <w:rPr>
          <w:spacing w:val="-3"/>
        </w:rPr>
        <w:t xml:space="preserve"> </w:t>
      </w:r>
      <w:r>
        <w:t>counsel</w:t>
      </w:r>
      <w:r>
        <w:rPr>
          <w:spacing w:val="-3"/>
        </w:rPr>
        <w:t xml:space="preserve"> </w:t>
      </w:r>
      <w:r>
        <w:t>handling</w:t>
      </w:r>
      <w:r>
        <w:rPr>
          <w:spacing w:val="-3"/>
        </w:rPr>
        <w:t xml:space="preserve"> </w:t>
      </w:r>
      <w:r>
        <w:t>the</w:t>
      </w:r>
      <w:r>
        <w:rPr>
          <w:spacing w:val="-3"/>
        </w:rPr>
        <w:t xml:space="preserve"> </w:t>
      </w:r>
      <w:r>
        <w:t>case</w:t>
      </w:r>
      <w:r>
        <w:rPr>
          <w:spacing w:val="-3"/>
        </w:rPr>
        <w:t xml:space="preserve"> </w:t>
      </w:r>
      <w:r>
        <w:t>and</w:t>
      </w:r>
      <w:r>
        <w:rPr>
          <w:spacing w:val="-4"/>
        </w:rPr>
        <w:t xml:space="preserve"> </w:t>
      </w:r>
      <w:r>
        <w:t>names</w:t>
      </w:r>
      <w:r>
        <w:rPr>
          <w:spacing w:val="-3"/>
        </w:rPr>
        <w:t xml:space="preserve"> </w:t>
      </w:r>
      <w:r>
        <w:t>of</w:t>
      </w:r>
      <w:r>
        <w:rPr>
          <w:spacing w:val="-3"/>
        </w:rPr>
        <w:t xml:space="preserve"> </w:t>
      </w:r>
      <w:r>
        <w:t>any</w:t>
      </w:r>
      <w:r>
        <w:rPr>
          <w:spacing w:val="-3"/>
        </w:rPr>
        <w:t xml:space="preserve"> </w:t>
      </w:r>
      <w:r>
        <w:t>external</w:t>
      </w:r>
      <w:r>
        <w:rPr>
          <w:spacing w:val="-4"/>
        </w:rPr>
        <w:t xml:space="preserve"> </w:t>
      </w:r>
      <w:r>
        <w:t>legal counsel/other lawyers representing or advising the government in the matter (e.g., the Department of Justice or external law firms).</w:t>
      </w:r>
    </w:p>
    <w:p w14:paraId="0DFDC986" w14:textId="77777777" w:rsidR="00046465" w:rsidRDefault="008134EB">
      <w:pPr>
        <w:pStyle w:val="BodyText"/>
        <w:spacing w:before="241"/>
        <w:ind w:left="359"/>
      </w:pPr>
      <w:r>
        <w:t>Additionally,</w:t>
      </w:r>
      <w:r>
        <w:rPr>
          <w:spacing w:val="-7"/>
        </w:rPr>
        <w:t xml:space="preserve"> </w:t>
      </w:r>
      <w:r>
        <w:t>please</w:t>
      </w:r>
      <w:r>
        <w:rPr>
          <w:spacing w:val="-6"/>
        </w:rPr>
        <w:t xml:space="preserve"> </w:t>
      </w:r>
      <w:r>
        <w:t>provide</w:t>
      </w:r>
      <w:r>
        <w:rPr>
          <w:spacing w:val="-5"/>
        </w:rPr>
        <w:t xml:space="preserve"> </w:t>
      </w:r>
      <w:r>
        <w:t>a</w:t>
      </w:r>
      <w:r>
        <w:rPr>
          <w:spacing w:val="-6"/>
        </w:rPr>
        <w:t xml:space="preserve"> </w:t>
      </w:r>
      <w:r>
        <w:t>statement</w:t>
      </w:r>
      <w:r>
        <w:rPr>
          <w:spacing w:val="-6"/>
        </w:rPr>
        <w:t xml:space="preserve"> </w:t>
      </w:r>
      <w:r>
        <w:t>that</w:t>
      </w:r>
      <w:r>
        <w:rPr>
          <w:spacing w:val="-5"/>
        </w:rPr>
        <w:t xml:space="preserve"> </w:t>
      </w:r>
      <w:r>
        <w:t>the</w:t>
      </w:r>
      <w:r>
        <w:rPr>
          <w:spacing w:val="-6"/>
        </w:rPr>
        <w:t xml:space="preserve"> </w:t>
      </w:r>
      <w:r>
        <w:t>list</w:t>
      </w:r>
      <w:r>
        <w:rPr>
          <w:spacing w:val="-5"/>
        </w:rPr>
        <w:t xml:space="preserve"> </w:t>
      </w:r>
      <w:r>
        <w:t>of</w:t>
      </w:r>
      <w:r>
        <w:rPr>
          <w:spacing w:val="-6"/>
        </w:rPr>
        <w:t xml:space="preserve"> </w:t>
      </w:r>
      <w:r>
        <w:t>such</w:t>
      </w:r>
      <w:r>
        <w:rPr>
          <w:spacing w:val="-7"/>
        </w:rPr>
        <w:t xml:space="preserve"> </w:t>
      </w:r>
      <w:r>
        <w:t>matters</w:t>
      </w:r>
      <w:r>
        <w:rPr>
          <w:spacing w:val="-5"/>
        </w:rPr>
        <w:t xml:space="preserve"> </w:t>
      </w:r>
      <w:r>
        <w:t>is</w:t>
      </w:r>
      <w:r>
        <w:rPr>
          <w:spacing w:val="-6"/>
        </w:rPr>
        <w:t xml:space="preserve"> </w:t>
      </w:r>
      <w:r>
        <w:rPr>
          <w:spacing w:val="-2"/>
        </w:rPr>
        <w:t>complete.</w:t>
      </w:r>
    </w:p>
    <w:p w14:paraId="0DFDC987" w14:textId="77777777" w:rsidR="00046465" w:rsidRDefault="008134EB">
      <w:pPr>
        <w:pStyle w:val="BodyText"/>
        <w:spacing w:before="239"/>
        <w:ind w:left="359" w:right="844" w:hanging="1"/>
      </w:pPr>
      <w:r>
        <w:t>We also request that you identify litigation reported in your prior-year response letter as pending</w:t>
      </w:r>
      <w:r>
        <w:rPr>
          <w:spacing w:val="-3"/>
        </w:rPr>
        <w:t xml:space="preserve"> </w:t>
      </w:r>
      <w:r>
        <w:t>or</w:t>
      </w:r>
      <w:r>
        <w:rPr>
          <w:spacing w:val="-3"/>
        </w:rPr>
        <w:t xml:space="preserve"> </w:t>
      </w:r>
      <w:r>
        <w:t>threatened</w:t>
      </w:r>
      <w:r>
        <w:rPr>
          <w:spacing w:val="-3"/>
        </w:rPr>
        <w:t xml:space="preserve"> </w:t>
      </w:r>
      <w:r>
        <w:t>that</w:t>
      </w:r>
      <w:r>
        <w:rPr>
          <w:spacing w:val="-3"/>
        </w:rPr>
        <w:t xml:space="preserve"> </w:t>
      </w:r>
      <w:r>
        <w:t>is</w:t>
      </w:r>
      <w:r>
        <w:rPr>
          <w:spacing w:val="-3"/>
        </w:rPr>
        <w:t xml:space="preserve"> </w:t>
      </w:r>
      <w:r>
        <w:t>no</w:t>
      </w:r>
      <w:r>
        <w:rPr>
          <w:spacing w:val="-3"/>
        </w:rPr>
        <w:t xml:space="preserve"> </w:t>
      </w:r>
      <w:r>
        <w:t>longer</w:t>
      </w:r>
      <w:r>
        <w:rPr>
          <w:spacing w:val="-3"/>
        </w:rPr>
        <w:t xml:space="preserve"> </w:t>
      </w:r>
      <w:r>
        <w:t>pending</w:t>
      </w:r>
      <w:r>
        <w:rPr>
          <w:spacing w:val="-4"/>
        </w:rPr>
        <w:t xml:space="preserve"> </w:t>
      </w:r>
      <w:r>
        <w:t>or</w:t>
      </w:r>
      <w:r>
        <w:rPr>
          <w:spacing w:val="-3"/>
        </w:rPr>
        <w:t xml:space="preserve"> </w:t>
      </w:r>
      <w:r>
        <w:t>threatened</w:t>
      </w:r>
      <w:r>
        <w:rPr>
          <w:spacing w:val="-3"/>
        </w:rPr>
        <w:t xml:space="preserve"> </w:t>
      </w:r>
      <w:r>
        <w:t>and</w:t>
      </w:r>
      <w:r>
        <w:rPr>
          <w:spacing w:val="-3"/>
        </w:rPr>
        <w:t xml:space="preserve"> </w:t>
      </w:r>
      <w:r>
        <w:t>a</w:t>
      </w:r>
      <w:r>
        <w:rPr>
          <w:spacing w:val="-3"/>
        </w:rPr>
        <w:t xml:space="preserve"> </w:t>
      </w:r>
      <w:r>
        <w:t>short</w:t>
      </w:r>
      <w:r>
        <w:rPr>
          <w:spacing w:val="-3"/>
        </w:rPr>
        <w:t xml:space="preserve"> </w:t>
      </w:r>
      <w:r>
        <w:t>description</w:t>
      </w:r>
      <w:r>
        <w:rPr>
          <w:spacing w:val="-4"/>
        </w:rPr>
        <w:t xml:space="preserve"> </w:t>
      </w:r>
      <w:r>
        <w:t>of</w:t>
      </w:r>
      <w:r>
        <w:rPr>
          <w:spacing w:val="-3"/>
        </w:rPr>
        <w:t xml:space="preserve"> </w:t>
      </w:r>
      <w:r>
        <w:t xml:space="preserve">the </w:t>
      </w:r>
      <w:r>
        <w:rPr>
          <w:spacing w:val="-2"/>
        </w:rPr>
        <w:t>disposition.</w:t>
      </w:r>
    </w:p>
    <w:p w14:paraId="0DFDC988" w14:textId="77777777" w:rsidR="00046465" w:rsidRDefault="008134EB">
      <w:pPr>
        <w:spacing w:before="241"/>
        <w:ind w:left="359" w:right="749"/>
        <w:rPr>
          <w:b/>
        </w:rPr>
      </w:pPr>
      <w:r>
        <w:rPr>
          <w:b/>
        </w:rPr>
        <w:t>Unasserted</w:t>
      </w:r>
      <w:r>
        <w:rPr>
          <w:b/>
          <w:spacing w:val="-4"/>
        </w:rPr>
        <w:t xml:space="preserve"> </w:t>
      </w:r>
      <w:r>
        <w:rPr>
          <w:b/>
        </w:rPr>
        <w:t>Claims</w:t>
      </w:r>
      <w:r>
        <w:rPr>
          <w:b/>
          <w:spacing w:val="-4"/>
        </w:rPr>
        <w:t xml:space="preserve"> </w:t>
      </w:r>
      <w:r>
        <w:rPr>
          <w:b/>
        </w:rPr>
        <w:t>and</w:t>
      </w:r>
      <w:r>
        <w:rPr>
          <w:b/>
          <w:spacing w:val="-5"/>
        </w:rPr>
        <w:t xml:space="preserve"> </w:t>
      </w:r>
      <w:r>
        <w:rPr>
          <w:b/>
        </w:rPr>
        <w:t>Assessments</w:t>
      </w:r>
      <w:r>
        <w:rPr>
          <w:b/>
          <w:spacing w:val="-4"/>
        </w:rPr>
        <w:t xml:space="preserve"> </w:t>
      </w:r>
      <w:r>
        <w:rPr>
          <w:b/>
        </w:rPr>
        <w:t>[Considered</w:t>
      </w:r>
      <w:r>
        <w:rPr>
          <w:b/>
          <w:spacing w:val="-4"/>
        </w:rPr>
        <w:t xml:space="preserve"> </w:t>
      </w:r>
      <w:r>
        <w:rPr>
          <w:b/>
        </w:rPr>
        <w:t>by</w:t>
      </w:r>
      <w:r>
        <w:rPr>
          <w:b/>
          <w:spacing w:val="-5"/>
        </w:rPr>
        <w:t xml:space="preserve"> </w:t>
      </w:r>
      <w:r>
        <w:rPr>
          <w:b/>
        </w:rPr>
        <w:t>management</w:t>
      </w:r>
      <w:r>
        <w:rPr>
          <w:b/>
          <w:spacing w:val="-4"/>
        </w:rPr>
        <w:t xml:space="preserve"> </w:t>
      </w:r>
      <w:r>
        <w:rPr>
          <w:b/>
        </w:rPr>
        <w:t>to</w:t>
      </w:r>
      <w:r>
        <w:rPr>
          <w:b/>
          <w:spacing w:val="-5"/>
        </w:rPr>
        <w:t xml:space="preserve"> </w:t>
      </w:r>
      <w:r>
        <w:rPr>
          <w:b/>
        </w:rPr>
        <w:t>be</w:t>
      </w:r>
      <w:r>
        <w:rPr>
          <w:b/>
          <w:spacing w:val="-4"/>
        </w:rPr>
        <w:t xml:space="preserve"> </w:t>
      </w:r>
      <w:r>
        <w:rPr>
          <w:b/>
        </w:rPr>
        <w:t>probable</w:t>
      </w:r>
      <w:r>
        <w:rPr>
          <w:b/>
          <w:spacing w:val="-5"/>
        </w:rPr>
        <w:t xml:space="preserve"> </w:t>
      </w:r>
      <w:r>
        <w:rPr>
          <w:b/>
        </w:rPr>
        <w:t>of assertion and that if asserted would have at least a reasonable possibility of an unfavorable outcome]</w:t>
      </w:r>
    </w:p>
    <w:p w14:paraId="0DFDC989" w14:textId="77777777" w:rsidR="00046465" w:rsidRDefault="008134EB">
      <w:pPr>
        <w:spacing w:before="239"/>
        <w:ind w:left="359"/>
        <w:rPr>
          <w:b/>
        </w:rPr>
      </w:pPr>
      <w:r>
        <w:rPr>
          <w:b/>
        </w:rPr>
        <w:t>(Note:</w:t>
      </w:r>
      <w:r>
        <w:rPr>
          <w:b/>
          <w:spacing w:val="-6"/>
        </w:rPr>
        <w:t xml:space="preserve"> </w:t>
      </w:r>
      <w:r>
        <w:rPr>
          <w:b/>
          <w:u w:val="single"/>
        </w:rPr>
        <w:t>If</w:t>
      </w:r>
      <w:r>
        <w:rPr>
          <w:b/>
          <w:spacing w:val="-5"/>
          <w:u w:val="single"/>
        </w:rPr>
        <w:t xml:space="preserve"> </w:t>
      </w:r>
      <w:r>
        <w:rPr>
          <w:b/>
          <w:u w:val="single"/>
        </w:rPr>
        <w:t>legal</w:t>
      </w:r>
      <w:r>
        <w:rPr>
          <w:b/>
          <w:spacing w:val="-6"/>
          <w:u w:val="single"/>
        </w:rPr>
        <w:t xml:space="preserve"> </w:t>
      </w:r>
      <w:r>
        <w:rPr>
          <w:b/>
          <w:u w:val="single"/>
        </w:rPr>
        <w:t>counsel</w:t>
      </w:r>
      <w:r>
        <w:rPr>
          <w:b/>
          <w:spacing w:val="-5"/>
          <w:u w:val="single"/>
        </w:rPr>
        <w:t xml:space="preserve"> </w:t>
      </w:r>
      <w:r>
        <w:rPr>
          <w:b/>
          <w:u w:val="single"/>
        </w:rPr>
        <w:t>is</w:t>
      </w:r>
      <w:r>
        <w:rPr>
          <w:b/>
          <w:spacing w:val="-5"/>
          <w:u w:val="single"/>
        </w:rPr>
        <w:t xml:space="preserve"> </w:t>
      </w:r>
      <w:r>
        <w:rPr>
          <w:b/>
          <w:u w:val="single"/>
        </w:rPr>
        <w:t>a</w:t>
      </w:r>
      <w:r>
        <w:rPr>
          <w:b/>
          <w:spacing w:val="-6"/>
          <w:u w:val="single"/>
        </w:rPr>
        <w:t xml:space="preserve"> </w:t>
      </w:r>
      <w:r>
        <w:rPr>
          <w:b/>
          <w:u w:val="single"/>
        </w:rPr>
        <w:t>part</w:t>
      </w:r>
      <w:r>
        <w:rPr>
          <w:b/>
          <w:spacing w:val="-5"/>
          <w:u w:val="single"/>
        </w:rPr>
        <w:t xml:space="preserve"> </w:t>
      </w:r>
      <w:r>
        <w:rPr>
          <w:b/>
          <w:u w:val="single"/>
        </w:rPr>
        <w:t>of</w:t>
      </w:r>
      <w:r>
        <w:rPr>
          <w:b/>
          <w:spacing w:val="-5"/>
          <w:u w:val="single"/>
        </w:rPr>
        <w:t xml:space="preserve"> </w:t>
      </w:r>
      <w:r>
        <w:rPr>
          <w:b/>
          <w:u w:val="single"/>
        </w:rPr>
        <w:t>management</w:t>
      </w:r>
      <w:r>
        <w:rPr>
          <w:b/>
          <w:spacing w:val="-6"/>
          <w:u w:val="single"/>
        </w:rPr>
        <w:t xml:space="preserve"> </w:t>
      </w:r>
      <w:r>
        <w:rPr>
          <w:b/>
          <w:u w:val="single"/>
        </w:rPr>
        <w:t>use</w:t>
      </w:r>
      <w:r>
        <w:rPr>
          <w:b/>
          <w:spacing w:val="-5"/>
          <w:u w:val="single"/>
        </w:rPr>
        <w:t xml:space="preserve"> </w:t>
      </w:r>
      <w:r>
        <w:rPr>
          <w:b/>
          <w:u w:val="single"/>
        </w:rPr>
        <w:t>this</w:t>
      </w:r>
      <w:r>
        <w:rPr>
          <w:b/>
          <w:spacing w:val="-5"/>
          <w:u w:val="single"/>
        </w:rPr>
        <w:t xml:space="preserve"> </w:t>
      </w:r>
      <w:r>
        <w:rPr>
          <w:b/>
          <w:u w:val="single"/>
        </w:rPr>
        <w:t>paragraph</w:t>
      </w:r>
      <w:r>
        <w:rPr>
          <w:b/>
          <w:spacing w:val="-6"/>
          <w:u w:val="single"/>
        </w:rPr>
        <w:t xml:space="preserve"> </w:t>
      </w:r>
      <w:r>
        <w:rPr>
          <w:b/>
          <w:u w:val="single"/>
        </w:rPr>
        <w:t>to</w:t>
      </w:r>
      <w:r>
        <w:rPr>
          <w:b/>
          <w:spacing w:val="-5"/>
          <w:u w:val="single"/>
        </w:rPr>
        <w:t xml:space="preserve"> </w:t>
      </w:r>
      <w:r>
        <w:rPr>
          <w:b/>
          <w:u w:val="single"/>
        </w:rPr>
        <w:t>request</w:t>
      </w:r>
      <w:r>
        <w:rPr>
          <w:b/>
          <w:spacing w:val="-6"/>
          <w:u w:val="single"/>
        </w:rPr>
        <w:t xml:space="preserve"> </w:t>
      </w:r>
      <w:r>
        <w:rPr>
          <w:b/>
          <w:u w:val="single"/>
        </w:rPr>
        <w:t>a</w:t>
      </w:r>
      <w:r>
        <w:rPr>
          <w:b/>
          <w:spacing w:val="-5"/>
          <w:u w:val="single"/>
        </w:rPr>
        <w:t xml:space="preserve"> </w:t>
      </w:r>
      <w:r>
        <w:rPr>
          <w:b/>
          <w:u w:val="single"/>
        </w:rPr>
        <w:t>list</w:t>
      </w:r>
      <w:r>
        <w:rPr>
          <w:b/>
          <w:spacing w:val="-5"/>
          <w:u w:val="single"/>
        </w:rPr>
        <w:t xml:space="preserve"> of</w:t>
      </w:r>
    </w:p>
    <w:p w14:paraId="0DFDC98A" w14:textId="77777777" w:rsidR="00046465" w:rsidRDefault="008134EB">
      <w:pPr>
        <w:pStyle w:val="BodyText"/>
        <w:rPr>
          <w:b/>
          <w:sz w:val="19"/>
        </w:rPr>
      </w:pPr>
      <w:r>
        <w:rPr>
          <w:b/>
          <w:noProof/>
          <w:sz w:val="19"/>
        </w:rPr>
        <mc:AlternateContent>
          <mc:Choice Requires="wps">
            <w:drawing>
              <wp:anchor distT="0" distB="0" distL="0" distR="0" simplePos="0" relativeHeight="487739392" behindDoc="1" locked="0" layoutInCell="1" allowOverlap="1" wp14:anchorId="0DFDD763" wp14:editId="0DFDD764">
                <wp:simplePos x="0" y="0"/>
                <wp:positionH relativeFrom="page">
                  <wp:posOffset>914400</wp:posOffset>
                </wp:positionH>
                <wp:positionV relativeFrom="paragraph">
                  <wp:posOffset>154415</wp:posOffset>
                </wp:positionV>
                <wp:extent cx="1828800" cy="5715"/>
                <wp:effectExtent l="0" t="0" r="0" b="0"/>
                <wp:wrapTopAndBottom/>
                <wp:docPr id="1127" name="Graphic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4"/>
                              </a:lnTo>
                              <a:lnTo>
                                <a:pt x="1828800" y="5334"/>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D286E8" id="Graphic 1127" o:spid="_x0000_s1026" style="position:absolute;margin-left:1in;margin-top:12.15pt;width:2in;height:.45pt;z-index:-1557708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" path="m1828800,l,,,5334r1828800,l1828800,xe" fillcolor="black" stroked="f">
                <v:path arrowok="t"/>
                <w10:wrap type="topAndBottom" anchorx="page"/>
              </v:shape>
            </w:pict>
          </mc:Fallback>
        </mc:AlternateContent>
      </w:r>
    </w:p>
    <w:p w14:paraId="0DFDC98B" w14:textId="77777777" w:rsidR="00046465" w:rsidRDefault="00046465">
      <w:pPr>
        <w:pStyle w:val="BodyText"/>
        <w:spacing w:before="8"/>
        <w:rPr>
          <w:b/>
          <w:sz w:val="18"/>
        </w:rPr>
      </w:pPr>
    </w:p>
    <w:p w14:paraId="0DFDC98C" w14:textId="77777777" w:rsidR="00046465" w:rsidRDefault="008134EB">
      <w:pPr>
        <w:spacing w:line="242" w:lineRule="auto"/>
        <w:ind w:left="360" w:right="1324" w:hanging="87"/>
        <w:jc w:val="both"/>
        <w:rPr>
          <w:sz w:val="18"/>
        </w:rPr>
      </w:pPr>
      <w:bookmarkStart w:id="403" w:name="_bookmark227"/>
      <w:bookmarkEnd w:id="403"/>
      <w:r>
        <w:rPr>
          <w:sz w:val="18"/>
          <w:vertAlign w:val="superscript"/>
        </w:rPr>
        <w:t>16</w:t>
      </w:r>
      <w:r>
        <w:rPr>
          <w:sz w:val="18"/>
        </w:rPr>
        <w:t>This includes any cases that do not seek monetary damage awards but would require the government to use financial</w:t>
      </w:r>
      <w:r>
        <w:rPr>
          <w:spacing w:val="-3"/>
          <w:sz w:val="18"/>
        </w:rPr>
        <w:t xml:space="preserve"> </w:t>
      </w:r>
      <w:r>
        <w:rPr>
          <w:sz w:val="18"/>
        </w:rPr>
        <w:t>resources</w:t>
      </w:r>
      <w:r>
        <w:rPr>
          <w:spacing w:val="-3"/>
          <w:sz w:val="18"/>
        </w:rPr>
        <w:t xml:space="preserve"> </w:t>
      </w:r>
      <w:r>
        <w:rPr>
          <w:sz w:val="18"/>
        </w:rPr>
        <w:t>to</w:t>
      </w:r>
      <w:r>
        <w:rPr>
          <w:spacing w:val="-4"/>
          <w:sz w:val="18"/>
        </w:rPr>
        <w:t xml:space="preserve"> </w:t>
      </w:r>
      <w:r>
        <w:rPr>
          <w:sz w:val="18"/>
        </w:rPr>
        <w:t>implement</w:t>
      </w:r>
      <w:r>
        <w:rPr>
          <w:spacing w:val="-3"/>
          <w:sz w:val="18"/>
        </w:rPr>
        <w:t xml:space="preserve"> </w:t>
      </w:r>
      <w:r>
        <w:rPr>
          <w:sz w:val="18"/>
        </w:rPr>
        <w:t>remedies</w:t>
      </w:r>
      <w:r>
        <w:rPr>
          <w:spacing w:val="-3"/>
          <w:sz w:val="18"/>
        </w:rPr>
        <w:t xml:space="preserve"> </w:t>
      </w:r>
      <w:r>
        <w:rPr>
          <w:sz w:val="18"/>
        </w:rPr>
        <w:t>or</w:t>
      </w:r>
      <w:r>
        <w:rPr>
          <w:spacing w:val="-3"/>
          <w:sz w:val="18"/>
        </w:rPr>
        <w:t xml:space="preserve"> </w:t>
      </w:r>
      <w:r>
        <w:rPr>
          <w:sz w:val="18"/>
        </w:rPr>
        <w:t>actions</w:t>
      </w:r>
      <w:r>
        <w:rPr>
          <w:spacing w:val="-3"/>
          <w:sz w:val="18"/>
        </w:rPr>
        <w:t xml:space="preserve"> </w:t>
      </w:r>
      <w:r>
        <w:rPr>
          <w:sz w:val="18"/>
        </w:rPr>
        <w:t>sought</w:t>
      </w:r>
      <w:r>
        <w:rPr>
          <w:spacing w:val="-3"/>
          <w:sz w:val="18"/>
        </w:rPr>
        <w:t xml:space="preserve"> </w:t>
      </w:r>
      <w:r>
        <w:rPr>
          <w:sz w:val="18"/>
        </w:rPr>
        <w:t>by</w:t>
      </w:r>
      <w:r>
        <w:rPr>
          <w:spacing w:val="-3"/>
          <w:sz w:val="18"/>
        </w:rPr>
        <w:t xml:space="preserve"> </w:t>
      </w:r>
      <w:r>
        <w:rPr>
          <w:sz w:val="18"/>
        </w:rPr>
        <w:t>litigation</w:t>
      </w:r>
      <w:r>
        <w:rPr>
          <w:spacing w:val="-2"/>
          <w:sz w:val="18"/>
        </w:rPr>
        <w:t xml:space="preserve"> </w:t>
      </w:r>
      <w:r>
        <w:rPr>
          <w:sz w:val="18"/>
        </w:rPr>
        <w:t>or</w:t>
      </w:r>
      <w:r>
        <w:rPr>
          <w:spacing w:val="-3"/>
          <w:sz w:val="18"/>
        </w:rPr>
        <w:t xml:space="preserve"> </w:t>
      </w:r>
      <w:r>
        <w:rPr>
          <w:sz w:val="18"/>
        </w:rPr>
        <w:t>unasserted</w:t>
      </w:r>
      <w:r>
        <w:rPr>
          <w:spacing w:val="-4"/>
          <w:sz w:val="18"/>
        </w:rPr>
        <w:t xml:space="preserve"> </w:t>
      </w:r>
      <w:r>
        <w:rPr>
          <w:sz w:val="18"/>
        </w:rPr>
        <w:t>claims</w:t>
      </w:r>
      <w:r>
        <w:rPr>
          <w:spacing w:val="-3"/>
          <w:sz w:val="18"/>
        </w:rPr>
        <w:t xml:space="preserve"> </w:t>
      </w:r>
      <w:r>
        <w:rPr>
          <w:sz w:val="18"/>
        </w:rPr>
        <w:t>(for</w:t>
      </w:r>
      <w:r>
        <w:rPr>
          <w:spacing w:val="-3"/>
          <w:sz w:val="18"/>
        </w:rPr>
        <w:t xml:space="preserve"> </w:t>
      </w:r>
      <w:r>
        <w:rPr>
          <w:sz w:val="18"/>
        </w:rPr>
        <w:t>example,</w:t>
      </w:r>
      <w:r>
        <w:rPr>
          <w:spacing w:val="-3"/>
          <w:sz w:val="18"/>
        </w:rPr>
        <w:t xml:space="preserve"> </w:t>
      </w:r>
      <w:r>
        <w:rPr>
          <w:sz w:val="18"/>
        </w:rPr>
        <w:t>to increase the scope of, or change to a more costly methodology of, environmental restoration and cleanup).</w:t>
      </w:r>
    </w:p>
    <w:p w14:paraId="0DFDC98D" w14:textId="77777777" w:rsidR="00046465" w:rsidRDefault="00046465">
      <w:pPr>
        <w:spacing w:line="242" w:lineRule="auto"/>
        <w:jc w:val="both"/>
        <w:rPr>
          <w:sz w:val="18"/>
        </w:rPr>
        <w:sectPr w:rsidR="00046465">
          <w:pgSz w:w="12240" w:h="15840"/>
          <w:pgMar w:top="1340" w:right="720" w:bottom="940" w:left="1080" w:header="721" w:footer="757" w:gutter="0"/>
          <w:cols w:space="720"/>
        </w:sectPr>
      </w:pPr>
    </w:p>
    <w:p w14:paraId="0DFDC98E" w14:textId="77777777" w:rsidR="00046465" w:rsidRDefault="008134EB">
      <w:pPr>
        <w:pStyle w:val="BodyText"/>
        <w:spacing w:before="121"/>
        <w:ind w:left="360" w:right="749"/>
      </w:pPr>
      <w:r>
        <w:rPr>
          <w:b/>
          <w:u w:val="single"/>
        </w:rPr>
        <w:lastRenderedPageBreak/>
        <w:t>unasserted claims instead of the next paragraph.)</w:t>
      </w:r>
      <w:r>
        <w:rPr>
          <w:b/>
        </w:rPr>
        <w:t xml:space="preserve"> </w:t>
      </w:r>
      <w:r>
        <w:t>For all unasserted claims and assessments</w:t>
      </w:r>
      <w:r>
        <w:rPr>
          <w:spacing w:val="-2"/>
        </w:rPr>
        <w:t xml:space="preserve"> </w:t>
      </w:r>
      <w:r>
        <w:t>that</w:t>
      </w:r>
      <w:r>
        <w:rPr>
          <w:spacing w:val="-2"/>
        </w:rPr>
        <w:t xml:space="preserve"> </w:t>
      </w:r>
      <w:r>
        <w:t>you</w:t>
      </w:r>
      <w:r>
        <w:rPr>
          <w:spacing w:val="-3"/>
        </w:rPr>
        <w:t xml:space="preserve"> </w:t>
      </w:r>
      <w:r>
        <w:t>consider</w:t>
      </w:r>
      <w:r>
        <w:rPr>
          <w:spacing w:val="-2"/>
        </w:rPr>
        <w:t xml:space="preserve"> </w:t>
      </w:r>
      <w:r>
        <w:t>to</w:t>
      </w:r>
      <w:r>
        <w:rPr>
          <w:spacing w:val="-2"/>
        </w:rPr>
        <w:t xml:space="preserve"> </w:t>
      </w:r>
      <w:r>
        <w:t>be</w:t>
      </w:r>
      <w:r>
        <w:rPr>
          <w:spacing w:val="-2"/>
        </w:rPr>
        <w:t xml:space="preserve"> </w:t>
      </w:r>
      <w:r>
        <w:t>probable</w:t>
      </w:r>
      <w:r>
        <w:rPr>
          <w:spacing w:val="-2"/>
        </w:rPr>
        <w:t xml:space="preserve"> </w:t>
      </w:r>
      <w:r>
        <w:t>of</w:t>
      </w:r>
      <w:r>
        <w:rPr>
          <w:spacing w:val="-2"/>
        </w:rPr>
        <w:t xml:space="preserve"> </w:t>
      </w:r>
      <w:r>
        <w:t>assertion</w:t>
      </w:r>
      <w:r>
        <w:rPr>
          <w:spacing w:val="-2"/>
        </w:rPr>
        <w:t xml:space="preserve"> </w:t>
      </w:r>
      <w:r>
        <w:t>and</w:t>
      </w:r>
      <w:r>
        <w:rPr>
          <w:spacing w:val="-2"/>
        </w:rPr>
        <w:t xml:space="preserve"> </w:t>
      </w:r>
      <w:r>
        <w:t>that</w:t>
      </w:r>
      <w:r>
        <w:rPr>
          <w:spacing w:val="-1"/>
        </w:rPr>
        <w:t xml:space="preserve"> </w:t>
      </w:r>
      <w:r>
        <w:t>if</w:t>
      </w:r>
      <w:r>
        <w:rPr>
          <w:spacing w:val="-2"/>
        </w:rPr>
        <w:t xml:space="preserve"> </w:t>
      </w:r>
      <w:r>
        <w:t>asserted</w:t>
      </w:r>
      <w:r>
        <w:rPr>
          <w:spacing w:val="-2"/>
        </w:rPr>
        <w:t xml:space="preserve"> </w:t>
      </w:r>
      <w:r>
        <w:t>would</w:t>
      </w:r>
      <w:r>
        <w:rPr>
          <w:spacing w:val="-2"/>
        </w:rPr>
        <w:t xml:space="preserve"> </w:t>
      </w:r>
      <w:r>
        <w:t>have</w:t>
      </w:r>
      <w:r>
        <w:rPr>
          <w:spacing w:val="-2"/>
        </w:rPr>
        <w:t xml:space="preserve"> </w:t>
      </w:r>
      <w:r>
        <w:t>at least</w:t>
      </w:r>
      <w:r>
        <w:rPr>
          <w:spacing w:val="-3"/>
        </w:rPr>
        <w:t xml:space="preserve"> </w:t>
      </w:r>
      <w:r>
        <w:t>a</w:t>
      </w:r>
      <w:r>
        <w:rPr>
          <w:spacing w:val="-3"/>
        </w:rPr>
        <w:t xml:space="preserve"> </w:t>
      </w:r>
      <w:r>
        <w:t>reasonable</w:t>
      </w:r>
      <w:r>
        <w:rPr>
          <w:spacing w:val="-3"/>
        </w:rPr>
        <w:t xml:space="preserve"> </w:t>
      </w:r>
      <w:r>
        <w:t>possibility</w:t>
      </w:r>
      <w:r>
        <w:rPr>
          <w:spacing w:val="-3"/>
        </w:rPr>
        <w:t xml:space="preserve"> </w:t>
      </w:r>
      <w:r>
        <w:t>(more</w:t>
      </w:r>
      <w:r>
        <w:rPr>
          <w:spacing w:val="-3"/>
        </w:rPr>
        <w:t xml:space="preserve"> </w:t>
      </w:r>
      <w:r>
        <w:t>than</w:t>
      </w:r>
      <w:r>
        <w:rPr>
          <w:spacing w:val="-3"/>
        </w:rPr>
        <w:t xml:space="preserve"> </w:t>
      </w:r>
      <w:r>
        <w:t>remote)</w:t>
      </w:r>
      <w:r>
        <w:rPr>
          <w:spacing w:val="-3"/>
        </w:rPr>
        <w:t xml:space="preserve"> </w:t>
      </w:r>
      <w:r>
        <w:t>of</w:t>
      </w:r>
      <w:r>
        <w:rPr>
          <w:spacing w:val="-3"/>
        </w:rPr>
        <w:t xml:space="preserve"> </w:t>
      </w:r>
      <w:r>
        <w:t>an</w:t>
      </w:r>
      <w:r>
        <w:rPr>
          <w:spacing w:val="-3"/>
        </w:rPr>
        <w:t xml:space="preserve"> </w:t>
      </w:r>
      <w:r>
        <w:t>unfavorable</w:t>
      </w:r>
      <w:r>
        <w:rPr>
          <w:spacing w:val="-3"/>
        </w:rPr>
        <w:t xml:space="preserve"> </w:t>
      </w:r>
      <w:r>
        <w:t>outcome</w:t>
      </w:r>
      <w:r>
        <w:rPr>
          <w:spacing w:val="-3"/>
        </w:rPr>
        <w:t xml:space="preserve"> </w:t>
      </w:r>
      <w:r>
        <w:t>for</w:t>
      </w:r>
      <w:r>
        <w:rPr>
          <w:spacing w:val="-3"/>
        </w:rPr>
        <w:t xml:space="preserve"> </w:t>
      </w:r>
      <w:r>
        <w:t>which</w:t>
      </w:r>
      <w:r>
        <w:rPr>
          <w:spacing w:val="-3"/>
        </w:rPr>
        <w:t xml:space="preserve"> </w:t>
      </w:r>
      <w:r>
        <w:t>(1)</w:t>
      </w:r>
      <w:r>
        <w:rPr>
          <w:spacing w:val="-3"/>
        </w:rPr>
        <w:t xml:space="preserve"> </w:t>
      </w:r>
      <w:r>
        <w:t xml:space="preserve">the amount of potential loss exceeds </w:t>
      </w:r>
      <w:r>
        <w:rPr>
          <w:b/>
        </w:rPr>
        <w:t>[$XX]</w:t>
      </w:r>
      <w:r>
        <w:t>, individually or in the aggregate for similar cases, or</w:t>
      </w:r>
    </w:p>
    <w:p w14:paraId="0DFDC98F" w14:textId="77777777" w:rsidR="00046465" w:rsidRDefault="008134EB">
      <w:pPr>
        <w:pStyle w:val="BodyText"/>
        <w:ind w:left="359" w:right="749"/>
      </w:pPr>
      <w:r>
        <w:t>(2)</w:t>
      </w:r>
      <w:r>
        <w:rPr>
          <w:spacing w:val="-3"/>
        </w:rPr>
        <w:t xml:space="preserve"> </w:t>
      </w:r>
      <w:r>
        <w:t>the</w:t>
      </w:r>
      <w:r>
        <w:rPr>
          <w:spacing w:val="-3"/>
        </w:rPr>
        <w:t xml:space="preserve"> </w:t>
      </w:r>
      <w:r>
        <w:t>amount</w:t>
      </w:r>
      <w:r>
        <w:rPr>
          <w:spacing w:val="-3"/>
        </w:rPr>
        <w:t xml:space="preserve"> </w:t>
      </w:r>
      <w:r>
        <w:t>of</w:t>
      </w:r>
      <w:r>
        <w:rPr>
          <w:spacing w:val="-3"/>
        </w:rPr>
        <w:t xml:space="preserve"> </w:t>
      </w:r>
      <w:r>
        <w:t>the</w:t>
      </w:r>
      <w:r>
        <w:rPr>
          <w:spacing w:val="-3"/>
        </w:rPr>
        <w:t xml:space="preserve"> </w:t>
      </w:r>
      <w:r>
        <w:t>potential</w:t>
      </w:r>
      <w:r>
        <w:rPr>
          <w:spacing w:val="-3"/>
        </w:rPr>
        <w:t xml:space="preserve"> </w:t>
      </w:r>
      <w:r>
        <w:t>loss</w:t>
      </w:r>
      <w:r>
        <w:rPr>
          <w:spacing w:val="-3"/>
        </w:rPr>
        <w:t xml:space="preserve"> </w:t>
      </w:r>
      <w:r>
        <w:t>exceeds</w:t>
      </w:r>
      <w:r>
        <w:rPr>
          <w:spacing w:val="-3"/>
        </w:rPr>
        <w:t xml:space="preserve"> </w:t>
      </w:r>
      <w:r>
        <w:rPr>
          <w:b/>
        </w:rPr>
        <w:t>[$XXX]</w:t>
      </w:r>
      <w:r>
        <w:rPr>
          <w:b/>
          <w:spacing w:val="-3"/>
        </w:rPr>
        <w:t xml:space="preserve"> </w:t>
      </w:r>
      <w:r>
        <w:t>in</w:t>
      </w:r>
      <w:r>
        <w:rPr>
          <w:spacing w:val="-3"/>
        </w:rPr>
        <w:t xml:space="preserve"> </w:t>
      </w:r>
      <w:r>
        <w:t>the</w:t>
      </w:r>
      <w:r>
        <w:rPr>
          <w:spacing w:val="-3"/>
        </w:rPr>
        <w:t xml:space="preserve"> </w:t>
      </w:r>
      <w:r>
        <w:t>aggregate</w:t>
      </w:r>
      <w:r>
        <w:rPr>
          <w:spacing w:val="-3"/>
        </w:rPr>
        <w:t xml:space="preserve"> </w:t>
      </w:r>
      <w:r>
        <w:t>for</w:t>
      </w:r>
      <w:r>
        <w:rPr>
          <w:spacing w:val="-3"/>
        </w:rPr>
        <w:t xml:space="preserve"> </w:t>
      </w:r>
      <w:r>
        <w:t>cases</w:t>
      </w:r>
      <w:r>
        <w:rPr>
          <w:spacing w:val="-3"/>
        </w:rPr>
        <w:t xml:space="preserve"> </w:t>
      </w:r>
      <w:r>
        <w:t>not</w:t>
      </w:r>
      <w:r>
        <w:rPr>
          <w:spacing w:val="-4"/>
        </w:rPr>
        <w:t xml:space="preserve"> </w:t>
      </w:r>
      <w:r>
        <w:t>listed individually or as part of similar cases, please provide the following information:</w:t>
      </w:r>
    </w:p>
    <w:p w14:paraId="0DFDC990" w14:textId="77777777" w:rsidR="00046465" w:rsidRDefault="008134EB">
      <w:pPr>
        <w:pStyle w:val="ListParagraph"/>
        <w:numPr>
          <w:ilvl w:val="0"/>
          <w:numId w:val="59"/>
        </w:numPr>
        <w:tabs>
          <w:tab w:val="left" w:pos="718"/>
        </w:tabs>
        <w:spacing w:before="240"/>
        <w:ind w:left="718" w:hanging="359"/>
      </w:pPr>
      <w:r>
        <w:t>A</w:t>
      </w:r>
      <w:r>
        <w:rPr>
          <w:spacing w:val="-5"/>
        </w:rPr>
        <w:t xml:space="preserve"> </w:t>
      </w:r>
      <w:r>
        <w:t>description</w:t>
      </w:r>
      <w:r>
        <w:rPr>
          <w:spacing w:val="-4"/>
        </w:rPr>
        <w:t xml:space="preserve"> </w:t>
      </w:r>
      <w:r>
        <w:t>of</w:t>
      </w:r>
      <w:r>
        <w:rPr>
          <w:spacing w:val="-4"/>
        </w:rPr>
        <w:t xml:space="preserve"> </w:t>
      </w:r>
      <w:r>
        <w:t>the</w:t>
      </w:r>
      <w:r>
        <w:rPr>
          <w:spacing w:val="-5"/>
        </w:rPr>
        <w:t xml:space="preserve"> </w:t>
      </w:r>
      <w:r>
        <w:t>nature</w:t>
      </w:r>
      <w:r>
        <w:rPr>
          <w:spacing w:val="-4"/>
        </w:rPr>
        <w:t xml:space="preserve"> </w:t>
      </w:r>
      <w:r>
        <w:t>of</w:t>
      </w:r>
      <w:r>
        <w:rPr>
          <w:spacing w:val="-4"/>
        </w:rPr>
        <w:t xml:space="preserve"> </w:t>
      </w:r>
      <w:r>
        <w:t>the</w:t>
      </w:r>
      <w:r>
        <w:rPr>
          <w:spacing w:val="-5"/>
        </w:rPr>
        <w:t xml:space="preserve"> </w:t>
      </w:r>
      <w:r>
        <w:rPr>
          <w:spacing w:val="-2"/>
        </w:rPr>
        <w:t>matter.</w:t>
      </w:r>
    </w:p>
    <w:p w14:paraId="0DFDC991" w14:textId="77777777" w:rsidR="00046465" w:rsidRDefault="008134EB">
      <w:pPr>
        <w:pStyle w:val="ListParagraph"/>
        <w:numPr>
          <w:ilvl w:val="0"/>
          <w:numId w:val="59"/>
        </w:numPr>
        <w:tabs>
          <w:tab w:val="left" w:pos="718"/>
        </w:tabs>
        <w:spacing w:before="240"/>
        <w:ind w:left="718" w:hanging="359"/>
      </w:pPr>
      <w:r>
        <w:t>The</w:t>
      </w:r>
      <w:r>
        <w:rPr>
          <w:spacing w:val="-7"/>
        </w:rPr>
        <w:t xml:space="preserve"> </w:t>
      </w:r>
      <w:r>
        <w:t>government’s</w:t>
      </w:r>
      <w:r>
        <w:rPr>
          <w:spacing w:val="-6"/>
        </w:rPr>
        <w:t xml:space="preserve"> </w:t>
      </w:r>
      <w:r>
        <w:t>planned</w:t>
      </w:r>
      <w:r>
        <w:rPr>
          <w:spacing w:val="-7"/>
        </w:rPr>
        <w:t xml:space="preserve"> </w:t>
      </w:r>
      <w:r>
        <w:t>response</w:t>
      </w:r>
      <w:r>
        <w:rPr>
          <w:spacing w:val="-6"/>
        </w:rPr>
        <w:t xml:space="preserve"> </w:t>
      </w:r>
      <w:r>
        <w:t>if</w:t>
      </w:r>
      <w:r>
        <w:rPr>
          <w:spacing w:val="-6"/>
        </w:rPr>
        <w:t xml:space="preserve"> </w:t>
      </w:r>
      <w:r>
        <w:t>the</w:t>
      </w:r>
      <w:r>
        <w:rPr>
          <w:spacing w:val="-7"/>
        </w:rPr>
        <w:t xml:space="preserve"> </w:t>
      </w:r>
      <w:r>
        <w:t>claim</w:t>
      </w:r>
      <w:r>
        <w:rPr>
          <w:spacing w:val="-7"/>
        </w:rPr>
        <w:t xml:space="preserve"> </w:t>
      </w:r>
      <w:r>
        <w:t>is</w:t>
      </w:r>
      <w:r>
        <w:rPr>
          <w:spacing w:val="-6"/>
        </w:rPr>
        <w:t xml:space="preserve"> </w:t>
      </w:r>
      <w:r>
        <w:rPr>
          <w:spacing w:val="-2"/>
        </w:rPr>
        <w:t>asserted.</w:t>
      </w:r>
    </w:p>
    <w:p w14:paraId="0DFDC992" w14:textId="77777777" w:rsidR="00046465" w:rsidRDefault="008134EB">
      <w:pPr>
        <w:pStyle w:val="ListParagraph"/>
        <w:numPr>
          <w:ilvl w:val="0"/>
          <w:numId w:val="59"/>
        </w:numPr>
        <w:tabs>
          <w:tab w:val="left" w:pos="719"/>
        </w:tabs>
        <w:spacing w:before="239"/>
        <w:ind w:right="756"/>
      </w:pPr>
      <w:r>
        <w:t>An evaluation of the likelihood of an unfavorable outcome. (Categorize likelihood as probable</w:t>
      </w:r>
      <w:r>
        <w:rPr>
          <w:spacing w:val="-3"/>
        </w:rPr>
        <w:t xml:space="preserve"> </w:t>
      </w:r>
      <w:r>
        <w:t>(likely</w:t>
      </w:r>
      <w:r>
        <w:rPr>
          <w:spacing w:val="-3"/>
        </w:rPr>
        <w:t xml:space="preserve"> </w:t>
      </w:r>
      <w:r>
        <w:t>to</w:t>
      </w:r>
      <w:r>
        <w:rPr>
          <w:spacing w:val="-3"/>
        </w:rPr>
        <w:t xml:space="preserve"> </w:t>
      </w:r>
      <w:r>
        <w:t>occur)</w:t>
      </w:r>
      <w:r>
        <w:rPr>
          <w:spacing w:val="-4"/>
        </w:rPr>
        <w:t xml:space="preserve"> </w:t>
      </w:r>
      <w:r>
        <w:t>or</w:t>
      </w:r>
      <w:r>
        <w:rPr>
          <w:spacing w:val="-3"/>
        </w:rPr>
        <w:t xml:space="preserve"> </w:t>
      </w:r>
      <w:r>
        <w:t>reasonably</w:t>
      </w:r>
      <w:r>
        <w:rPr>
          <w:spacing w:val="-3"/>
        </w:rPr>
        <w:t xml:space="preserve"> </w:t>
      </w:r>
      <w:r>
        <w:t>possible</w:t>
      </w:r>
      <w:r>
        <w:rPr>
          <w:spacing w:val="-4"/>
        </w:rPr>
        <w:t xml:space="preserve"> </w:t>
      </w:r>
      <w:r>
        <w:t>(less</w:t>
      </w:r>
      <w:r>
        <w:rPr>
          <w:spacing w:val="-3"/>
        </w:rPr>
        <w:t xml:space="preserve"> </w:t>
      </w:r>
      <w:r>
        <w:t>than</w:t>
      </w:r>
      <w:r>
        <w:rPr>
          <w:spacing w:val="-3"/>
        </w:rPr>
        <w:t xml:space="preserve"> </w:t>
      </w:r>
      <w:r>
        <w:t>probable</w:t>
      </w:r>
      <w:r>
        <w:rPr>
          <w:spacing w:val="-3"/>
        </w:rPr>
        <w:t xml:space="preserve"> </w:t>
      </w:r>
      <w:r>
        <w:t>but</w:t>
      </w:r>
      <w:r>
        <w:rPr>
          <w:spacing w:val="-4"/>
        </w:rPr>
        <w:t xml:space="preserve"> </w:t>
      </w:r>
      <w:r>
        <w:t>more</w:t>
      </w:r>
      <w:r>
        <w:rPr>
          <w:spacing w:val="-3"/>
        </w:rPr>
        <w:t xml:space="preserve"> </w:t>
      </w:r>
      <w:r>
        <w:t>than</w:t>
      </w:r>
      <w:r>
        <w:rPr>
          <w:spacing w:val="-3"/>
        </w:rPr>
        <w:t xml:space="preserve"> </w:t>
      </w:r>
      <w:r>
        <w:t>remote).)</w:t>
      </w:r>
    </w:p>
    <w:p w14:paraId="0DFDC993" w14:textId="77777777" w:rsidR="00046465" w:rsidRDefault="008134EB">
      <w:pPr>
        <w:pStyle w:val="ListParagraph"/>
        <w:numPr>
          <w:ilvl w:val="0"/>
          <w:numId w:val="59"/>
        </w:numPr>
        <w:tabs>
          <w:tab w:val="left" w:pos="718"/>
        </w:tabs>
        <w:spacing w:before="241"/>
        <w:ind w:left="718" w:hanging="359"/>
      </w:pPr>
      <w:r>
        <w:t>An</w:t>
      </w:r>
      <w:r>
        <w:rPr>
          <w:spacing w:val="-5"/>
        </w:rPr>
        <w:t xml:space="preserve"> </w:t>
      </w:r>
      <w:r>
        <w:t>estimate</w:t>
      </w:r>
      <w:r>
        <w:rPr>
          <w:spacing w:val="-4"/>
        </w:rPr>
        <w:t xml:space="preserve"> </w:t>
      </w:r>
      <w:r>
        <w:t>of</w:t>
      </w:r>
      <w:r>
        <w:rPr>
          <w:spacing w:val="-5"/>
        </w:rPr>
        <w:t xml:space="preserve"> </w:t>
      </w:r>
      <w:r>
        <w:t>the</w:t>
      </w:r>
      <w:r>
        <w:rPr>
          <w:spacing w:val="-4"/>
        </w:rPr>
        <w:t xml:space="preserve"> </w:t>
      </w:r>
      <w:r>
        <w:t>amount</w:t>
      </w:r>
      <w:r>
        <w:rPr>
          <w:spacing w:val="-4"/>
        </w:rPr>
        <w:t xml:space="preserve"> </w:t>
      </w:r>
      <w:r>
        <w:t>or</w:t>
      </w:r>
      <w:r>
        <w:rPr>
          <w:spacing w:val="-5"/>
        </w:rPr>
        <w:t xml:space="preserve"> </w:t>
      </w:r>
      <w:r>
        <w:t>range</w:t>
      </w:r>
      <w:r>
        <w:rPr>
          <w:spacing w:val="-4"/>
        </w:rPr>
        <w:t xml:space="preserve"> </w:t>
      </w:r>
      <w:r>
        <w:t>of</w:t>
      </w:r>
      <w:r>
        <w:rPr>
          <w:spacing w:val="-5"/>
        </w:rPr>
        <w:t xml:space="preserve"> </w:t>
      </w:r>
      <w:r>
        <w:t>potential</w:t>
      </w:r>
      <w:r>
        <w:rPr>
          <w:spacing w:val="-4"/>
        </w:rPr>
        <w:t xml:space="preserve"> </w:t>
      </w:r>
      <w:r>
        <w:t>loss,</w:t>
      </w:r>
      <w:r>
        <w:rPr>
          <w:spacing w:val="-4"/>
        </w:rPr>
        <w:t xml:space="preserve"> </w:t>
      </w:r>
      <w:r>
        <w:t>if</w:t>
      </w:r>
      <w:r>
        <w:rPr>
          <w:spacing w:val="-5"/>
        </w:rPr>
        <w:t xml:space="preserve"> </w:t>
      </w:r>
      <w:r>
        <w:t>one</w:t>
      </w:r>
      <w:r>
        <w:rPr>
          <w:spacing w:val="-5"/>
        </w:rPr>
        <w:t xml:space="preserve"> </w:t>
      </w:r>
      <w:r>
        <w:t>can</w:t>
      </w:r>
      <w:r>
        <w:rPr>
          <w:spacing w:val="-4"/>
        </w:rPr>
        <w:t xml:space="preserve"> </w:t>
      </w:r>
      <w:r>
        <w:t>be</w:t>
      </w:r>
      <w:r>
        <w:rPr>
          <w:spacing w:val="-5"/>
        </w:rPr>
        <w:t xml:space="preserve"> </w:t>
      </w:r>
      <w:r>
        <w:rPr>
          <w:spacing w:val="-2"/>
        </w:rPr>
        <w:t>made.</w:t>
      </w:r>
    </w:p>
    <w:p w14:paraId="0DFDC994" w14:textId="77777777" w:rsidR="00046465" w:rsidRDefault="008134EB">
      <w:pPr>
        <w:pStyle w:val="BodyText"/>
        <w:spacing w:before="240"/>
        <w:ind w:left="359"/>
      </w:pPr>
      <w:r>
        <w:t>Also,</w:t>
      </w:r>
      <w:r>
        <w:rPr>
          <w:spacing w:val="-6"/>
        </w:rPr>
        <w:t xml:space="preserve"> </w:t>
      </w:r>
      <w:r>
        <w:t>please</w:t>
      </w:r>
      <w:r>
        <w:rPr>
          <w:spacing w:val="-5"/>
        </w:rPr>
        <w:t xml:space="preserve"> </w:t>
      </w:r>
      <w:r>
        <w:t>include</w:t>
      </w:r>
      <w:r>
        <w:rPr>
          <w:spacing w:val="-5"/>
        </w:rPr>
        <w:t xml:space="preserve"> </w:t>
      </w:r>
      <w:r>
        <w:t>a</w:t>
      </w:r>
      <w:r>
        <w:rPr>
          <w:spacing w:val="-6"/>
        </w:rPr>
        <w:t xml:space="preserve"> </w:t>
      </w:r>
      <w:r>
        <w:t>statement</w:t>
      </w:r>
      <w:r>
        <w:rPr>
          <w:spacing w:val="-5"/>
        </w:rPr>
        <w:t xml:space="preserve"> </w:t>
      </w:r>
      <w:r>
        <w:t>that</w:t>
      </w:r>
      <w:r>
        <w:rPr>
          <w:spacing w:val="-5"/>
        </w:rPr>
        <w:t xml:space="preserve"> </w:t>
      </w:r>
      <w:r>
        <w:t>the</w:t>
      </w:r>
      <w:r>
        <w:rPr>
          <w:spacing w:val="-5"/>
        </w:rPr>
        <w:t xml:space="preserve"> </w:t>
      </w:r>
      <w:r>
        <w:t>list</w:t>
      </w:r>
      <w:r>
        <w:rPr>
          <w:spacing w:val="-6"/>
        </w:rPr>
        <w:t xml:space="preserve"> </w:t>
      </w:r>
      <w:r>
        <w:t>of</w:t>
      </w:r>
      <w:r>
        <w:rPr>
          <w:spacing w:val="-5"/>
        </w:rPr>
        <w:t xml:space="preserve"> </w:t>
      </w:r>
      <w:r>
        <w:t>such</w:t>
      </w:r>
      <w:r>
        <w:rPr>
          <w:spacing w:val="-5"/>
        </w:rPr>
        <w:t xml:space="preserve"> </w:t>
      </w:r>
      <w:r>
        <w:t>matters</w:t>
      </w:r>
      <w:r>
        <w:rPr>
          <w:spacing w:val="-6"/>
        </w:rPr>
        <w:t xml:space="preserve"> </w:t>
      </w:r>
      <w:r>
        <w:t>is</w:t>
      </w:r>
      <w:r>
        <w:rPr>
          <w:spacing w:val="-5"/>
        </w:rPr>
        <w:t xml:space="preserve"> </w:t>
      </w:r>
      <w:r>
        <w:rPr>
          <w:spacing w:val="-2"/>
        </w:rPr>
        <w:t>complete.</w:t>
      </w:r>
    </w:p>
    <w:p w14:paraId="0DFDC995" w14:textId="77777777" w:rsidR="00046465" w:rsidRDefault="008134EB">
      <w:pPr>
        <w:pStyle w:val="BodyText"/>
        <w:spacing w:before="240"/>
        <w:ind w:left="360" w:right="749"/>
      </w:pPr>
      <w:r>
        <w:rPr>
          <w:b/>
        </w:rPr>
        <w:t xml:space="preserve">(Note: </w:t>
      </w:r>
      <w:r>
        <w:rPr>
          <w:b/>
          <w:u w:val="single"/>
        </w:rPr>
        <w:t>If legal counsel is not part of management, such as an external legal counsel, use</w:t>
      </w:r>
      <w:r>
        <w:rPr>
          <w:b/>
        </w:rPr>
        <w:t xml:space="preserve"> </w:t>
      </w:r>
      <w:r>
        <w:rPr>
          <w:b/>
          <w:u w:val="single"/>
        </w:rPr>
        <w:t>this paragraph instead of the previous paragraph and attach management’s listing of</w:t>
      </w:r>
      <w:r>
        <w:rPr>
          <w:b/>
        </w:rPr>
        <w:t xml:space="preserve"> </w:t>
      </w:r>
      <w:r>
        <w:rPr>
          <w:b/>
          <w:u w:val="single"/>
        </w:rPr>
        <w:t>unasserted claims.)</w:t>
      </w:r>
      <w:r>
        <w:rPr>
          <w:b/>
        </w:rPr>
        <w:t xml:space="preserve"> </w:t>
      </w:r>
      <w:r>
        <w:t>We have provided an attachment to this request that lists the unasserted claims and</w:t>
      </w:r>
      <w:r>
        <w:rPr>
          <w:spacing w:val="-1"/>
        </w:rPr>
        <w:t xml:space="preserve"> </w:t>
      </w:r>
      <w:r>
        <w:t>assessments involving</w:t>
      </w:r>
      <w:r>
        <w:rPr>
          <w:spacing w:val="-1"/>
        </w:rPr>
        <w:t xml:space="preserve"> </w:t>
      </w:r>
      <w:r>
        <w:t>matters to which you have devoted</w:t>
      </w:r>
      <w:r>
        <w:rPr>
          <w:spacing w:val="-1"/>
        </w:rPr>
        <w:t xml:space="preserve"> </w:t>
      </w:r>
      <w:r>
        <w:t>substantive</w:t>
      </w:r>
      <w:r>
        <w:rPr>
          <w:spacing w:val="-1"/>
        </w:rPr>
        <w:t xml:space="preserve"> </w:t>
      </w:r>
      <w:r>
        <w:t xml:space="preserve">attention that we consider to be probable of assertion and that if asserted would have at least a reasonable possibility (more than remote) of an unfavorable outcome for which (1) the amount of potential loss exceeds </w:t>
      </w:r>
      <w:r>
        <w:rPr>
          <w:b/>
        </w:rPr>
        <w:t>[$XX]</w:t>
      </w:r>
      <w:r>
        <w:t xml:space="preserve">, individually or in the aggregate for similar cases, or (2) the amount of potential loss exceeds </w:t>
      </w:r>
      <w:r>
        <w:rPr>
          <w:b/>
        </w:rPr>
        <w:t xml:space="preserve">[$XXX] </w:t>
      </w:r>
      <w:r>
        <w:t xml:space="preserve">in the aggregate for cases not listed individually or as part of similar cases. Please provide to </w:t>
      </w:r>
      <w:r>
        <w:rPr>
          <w:b/>
        </w:rPr>
        <w:t xml:space="preserve">[auditor] </w:t>
      </w:r>
      <w:r>
        <w:t>information or explanations, if any, that you consider necessary to supplement the attached information, including an explanation for any matters for which your views differ from those stated in the attachment. Please provide the following information</w:t>
      </w:r>
      <w:r>
        <w:rPr>
          <w:spacing w:val="-3"/>
        </w:rPr>
        <w:t xml:space="preserve"> </w:t>
      </w:r>
      <w:r>
        <w:t>for</w:t>
      </w:r>
      <w:r>
        <w:rPr>
          <w:spacing w:val="-3"/>
        </w:rPr>
        <w:t xml:space="preserve"> </w:t>
      </w:r>
      <w:r>
        <w:t>any</w:t>
      </w:r>
      <w:r>
        <w:rPr>
          <w:spacing w:val="-3"/>
        </w:rPr>
        <w:t xml:space="preserve"> </w:t>
      </w:r>
      <w:r>
        <w:t>additional</w:t>
      </w:r>
      <w:r>
        <w:rPr>
          <w:spacing w:val="-3"/>
        </w:rPr>
        <w:t xml:space="preserve"> </w:t>
      </w:r>
      <w:r>
        <w:t>matters</w:t>
      </w:r>
      <w:r>
        <w:rPr>
          <w:spacing w:val="-3"/>
        </w:rPr>
        <w:t xml:space="preserve"> </w:t>
      </w:r>
      <w:r>
        <w:t>that</w:t>
      </w:r>
      <w:r>
        <w:rPr>
          <w:spacing w:val="-3"/>
        </w:rPr>
        <w:t xml:space="preserve"> </w:t>
      </w:r>
      <w:r>
        <w:t>you</w:t>
      </w:r>
      <w:r>
        <w:rPr>
          <w:spacing w:val="-3"/>
        </w:rPr>
        <w:t xml:space="preserve"> </w:t>
      </w:r>
      <w:r>
        <w:t>believe</w:t>
      </w:r>
      <w:r>
        <w:rPr>
          <w:spacing w:val="-3"/>
        </w:rPr>
        <w:t xml:space="preserve"> </w:t>
      </w:r>
      <w:r>
        <w:t>meet</w:t>
      </w:r>
      <w:r>
        <w:rPr>
          <w:spacing w:val="-3"/>
        </w:rPr>
        <w:t xml:space="preserve"> </w:t>
      </w:r>
      <w:r>
        <w:t>these</w:t>
      </w:r>
      <w:r>
        <w:rPr>
          <w:spacing w:val="-3"/>
        </w:rPr>
        <w:t xml:space="preserve"> </w:t>
      </w:r>
      <w:r>
        <w:t>criteria</w:t>
      </w:r>
      <w:r>
        <w:rPr>
          <w:spacing w:val="-4"/>
        </w:rPr>
        <w:t xml:space="preserve"> </w:t>
      </w:r>
      <w:r>
        <w:t>or</w:t>
      </w:r>
      <w:r>
        <w:rPr>
          <w:spacing w:val="-3"/>
        </w:rPr>
        <w:t xml:space="preserve"> </w:t>
      </w:r>
      <w:r>
        <w:t>include</w:t>
      </w:r>
      <w:r>
        <w:rPr>
          <w:spacing w:val="-3"/>
        </w:rPr>
        <w:t xml:space="preserve"> </w:t>
      </w:r>
      <w:r>
        <w:t>a</w:t>
      </w:r>
      <w:r>
        <w:rPr>
          <w:spacing w:val="-4"/>
        </w:rPr>
        <w:t xml:space="preserve"> </w:t>
      </w:r>
      <w:r>
        <w:t>statement that the list of such matters provided by management is complete:</w:t>
      </w:r>
    </w:p>
    <w:p w14:paraId="0DFDC996" w14:textId="77777777" w:rsidR="00046465" w:rsidRDefault="008134EB">
      <w:pPr>
        <w:pStyle w:val="ListParagraph"/>
        <w:numPr>
          <w:ilvl w:val="0"/>
          <w:numId w:val="58"/>
        </w:numPr>
        <w:tabs>
          <w:tab w:val="left" w:pos="719"/>
        </w:tabs>
        <w:spacing w:before="239"/>
        <w:ind w:left="719" w:hanging="359"/>
      </w:pPr>
      <w:r>
        <w:t>A</w:t>
      </w:r>
      <w:r>
        <w:rPr>
          <w:spacing w:val="-5"/>
        </w:rPr>
        <w:t xml:space="preserve"> </w:t>
      </w:r>
      <w:r>
        <w:t>description</w:t>
      </w:r>
      <w:r>
        <w:rPr>
          <w:spacing w:val="-4"/>
        </w:rPr>
        <w:t xml:space="preserve"> </w:t>
      </w:r>
      <w:r>
        <w:t>of</w:t>
      </w:r>
      <w:r>
        <w:rPr>
          <w:spacing w:val="-4"/>
        </w:rPr>
        <w:t xml:space="preserve"> </w:t>
      </w:r>
      <w:r>
        <w:t>the</w:t>
      </w:r>
      <w:r>
        <w:rPr>
          <w:spacing w:val="-5"/>
        </w:rPr>
        <w:t xml:space="preserve"> </w:t>
      </w:r>
      <w:r>
        <w:t>nature</w:t>
      </w:r>
      <w:r>
        <w:rPr>
          <w:spacing w:val="-4"/>
        </w:rPr>
        <w:t xml:space="preserve"> </w:t>
      </w:r>
      <w:r>
        <w:t>of</w:t>
      </w:r>
      <w:r>
        <w:rPr>
          <w:spacing w:val="-4"/>
        </w:rPr>
        <w:t xml:space="preserve"> </w:t>
      </w:r>
      <w:r>
        <w:t>the</w:t>
      </w:r>
      <w:r>
        <w:rPr>
          <w:spacing w:val="-5"/>
        </w:rPr>
        <w:t xml:space="preserve"> </w:t>
      </w:r>
      <w:r>
        <w:rPr>
          <w:spacing w:val="-2"/>
        </w:rPr>
        <w:t>matter.</w:t>
      </w:r>
    </w:p>
    <w:p w14:paraId="0DFDC997" w14:textId="77777777" w:rsidR="00046465" w:rsidRDefault="008134EB">
      <w:pPr>
        <w:pStyle w:val="ListParagraph"/>
        <w:numPr>
          <w:ilvl w:val="0"/>
          <w:numId w:val="58"/>
        </w:numPr>
        <w:tabs>
          <w:tab w:val="left" w:pos="719"/>
        </w:tabs>
        <w:spacing w:before="241"/>
        <w:ind w:left="719" w:hanging="359"/>
      </w:pPr>
      <w:r>
        <w:t>The</w:t>
      </w:r>
      <w:r>
        <w:rPr>
          <w:spacing w:val="-7"/>
        </w:rPr>
        <w:t xml:space="preserve"> </w:t>
      </w:r>
      <w:r>
        <w:t>government’s</w:t>
      </w:r>
      <w:r>
        <w:rPr>
          <w:spacing w:val="-6"/>
        </w:rPr>
        <w:t xml:space="preserve"> </w:t>
      </w:r>
      <w:r>
        <w:t>planned</w:t>
      </w:r>
      <w:r>
        <w:rPr>
          <w:spacing w:val="-7"/>
        </w:rPr>
        <w:t xml:space="preserve"> </w:t>
      </w:r>
      <w:r>
        <w:t>response</w:t>
      </w:r>
      <w:r>
        <w:rPr>
          <w:spacing w:val="-6"/>
        </w:rPr>
        <w:t xml:space="preserve"> </w:t>
      </w:r>
      <w:r>
        <w:t>if</w:t>
      </w:r>
      <w:r>
        <w:rPr>
          <w:spacing w:val="-6"/>
        </w:rPr>
        <w:t xml:space="preserve"> </w:t>
      </w:r>
      <w:r>
        <w:t>the</w:t>
      </w:r>
      <w:r>
        <w:rPr>
          <w:spacing w:val="-7"/>
        </w:rPr>
        <w:t xml:space="preserve"> </w:t>
      </w:r>
      <w:r>
        <w:t>claim</w:t>
      </w:r>
      <w:r>
        <w:rPr>
          <w:spacing w:val="-7"/>
        </w:rPr>
        <w:t xml:space="preserve"> </w:t>
      </w:r>
      <w:r>
        <w:t>is</w:t>
      </w:r>
      <w:r>
        <w:rPr>
          <w:spacing w:val="-6"/>
        </w:rPr>
        <w:t xml:space="preserve"> </w:t>
      </w:r>
      <w:r>
        <w:rPr>
          <w:spacing w:val="-2"/>
        </w:rPr>
        <w:t>asserted.</w:t>
      </w:r>
    </w:p>
    <w:p w14:paraId="0DFDC998" w14:textId="77777777" w:rsidR="00046465" w:rsidRDefault="008134EB">
      <w:pPr>
        <w:pStyle w:val="ListParagraph"/>
        <w:numPr>
          <w:ilvl w:val="0"/>
          <w:numId w:val="58"/>
        </w:numPr>
        <w:tabs>
          <w:tab w:val="left" w:pos="720"/>
        </w:tabs>
        <w:spacing w:before="240"/>
        <w:ind w:right="756"/>
      </w:pPr>
      <w:r>
        <w:t>An evaluation of the likelihood of an unfavorable outcome. (Categorize likelihood as probable</w:t>
      </w:r>
      <w:r>
        <w:rPr>
          <w:spacing w:val="-3"/>
        </w:rPr>
        <w:t xml:space="preserve"> </w:t>
      </w:r>
      <w:r>
        <w:t>(likely</w:t>
      </w:r>
      <w:r>
        <w:rPr>
          <w:spacing w:val="-3"/>
        </w:rPr>
        <w:t xml:space="preserve"> </w:t>
      </w:r>
      <w:r>
        <w:t>to</w:t>
      </w:r>
      <w:r>
        <w:rPr>
          <w:spacing w:val="-3"/>
        </w:rPr>
        <w:t xml:space="preserve"> </w:t>
      </w:r>
      <w:r>
        <w:t>occur)</w:t>
      </w:r>
      <w:r>
        <w:rPr>
          <w:spacing w:val="-4"/>
        </w:rPr>
        <w:t xml:space="preserve"> </w:t>
      </w:r>
      <w:r>
        <w:t>or</w:t>
      </w:r>
      <w:r>
        <w:rPr>
          <w:spacing w:val="-3"/>
        </w:rPr>
        <w:t xml:space="preserve"> </w:t>
      </w:r>
      <w:r>
        <w:t>reasonably</w:t>
      </w:r>
      <w:r>
        <w:rPr>
          <w:spacing w:val="-3"/>
        </w:rPr>
        <w:t xml:space="preserve"> </w:t>
      </w:r>
      <w:r>
        <w:t>possible</w:t>
      </w:r>
      <w:r>
        <w:rPr>
          <w:spacing w:val="-4"/>
        </w:rPr>
        <w:t xml:space="preserve"> </w:t>
      </w:r>
      <w:r>
        <w:t>(less</w:t>
      </w:r>
      <w:r>
        <w:rPr>
          <w:spacing w:val="-3"/>
        </w:rPr>
        <w:t xml:space="preserve"> </w:t>
      </w:r>
      <w:r>
        <w:t>than</w:t>
      </w:r>
      <w:r>
        <w:rPr>
          <w:spacing w:val="-3"/>
        </w:rPr>
        <w:t xml:space="preserve"> </w:t>
      </w:r>
      <w:r>
        <w:t>probable</w:t>
      </w:r>
      <w:r>
        <w:rPr>
          <w:spacing w:val="-3"/>
        </w:rPr>
        <w:t xml:space="preserve"> </w:t>
      </w:r>
      <w:r>
        <w:t>but</w:t>
      </w:r>
      <w:r>
        <w:rPr>
          <w:spacing w:val="-4"/>
        </w:rPr>
        <w:t xml:space="preserve"> </w:t>
      </w:r>
      <w:r>
        <w:t>more</w:t>
      </w:r>
      <w:r>
        <w:rPr>
          <w:spacing w:val="-3"/>
        </w:rPr>
        <w:t xml:space="preserve"> </w:t>
      </w:r>
      <w:r>
        <w:t>than</w:t>
      </w:r>
      <w:r>
        <w:rPr>
          <w:spacing w:val="-3"/>
        </w:rPr>
        <w:t xml:space="preserve"> </w:t>
      </w:r>
      <w:r>
        <w:t>remote).)</w:t>
      </w:r>
    </w:p>
    <w:p w14:paraId="0DFDC999" w14:textId="77777777" w:rsidR="00046465" w:rsidRDefault="008134EB">
      <w:pPr>
        <w:pStyle w:val="ListParagraph"/>
        <w:numPr>
          <w:ilvl w:val="0"/>
          <w:numId w:val="58"/>
        </w:numPr>
        <w:tabs>
          <w:tab w:val="left" w:pos="719"/>
        </w:tabs>
        <w:spacing w:before="240"/>
        <w:ind w:left="719" w:hanging="359"/>
      </w:pPr>
      <w:r>
        <w:t>An</w:t>
      </w:r>
      <w:r>
        <w:rPr>
          <w:spacing w:val="-5"/>
        </w:rPr>
        <w:t xml:space="preserve"> </w:t>
      </w:r>
      <w:r>
        <w:t>estimate</w:t>
      </w:r>
      <w:r>
        <w:rPr>
          <w:spacing w:val="-4"/>
        </w:rPr>
        <w:t xml:space="preserve"> </w:t>
      </w:r>
      <w:r>
        <w:t>of</w:t>
      </w:r>
      <w:r>
        <w:rPr>
          <w:spacing w:val="-5"/>
        </w:rPr>
        <w:t xml:space="preserve"> </w:t>
      </w:r>
      <w:r>
        <w:t>the</w:t>
      </w:r>
      <w:r>
        <w:rPr>
          <w:spacing w:val="-4"/>
        </w:rPr>
        <w:t xml:space="preserve"> </w:t>
      </w:r>
      <w:r>
        <w:t>amount</w:t>
      </w:r>
      <w:r>
        <w:rPr>
          <w:spacing w:val="-4"/>
        </w:rPr>
        <w:t xml:space="preserve"> </w:t>
      </w:r>
      <w:r>
        <w:t>or</w:t>
      </w:r>
      <w:r>
        <w:rPr>
          <w:spacing w:val="-5"/>
        </w:rPr>
        <w:t xml:space="preserve"> </w:t>
      </w:r>
      <w:r>
        <w:t>range</w:t>
      </w:r>
      <w:r>
        <w:rPr>
          <w:spacing w:val="-4"/>
        </w:rPr>
        <w:t xml:space="preserve"> </w:t>
      </w:r>
      <w:r>
        <w:t>of</w:t>
      </w:r>
      <w:r>
        <w:rPr>
          <w:spacing w:val="-5"/>
        </w:rPr>
        <w:t xml:space="preserve"> </w:t>
      </w:r>
      <w:r>
        <w:t>potential</w:t>
      </w:r>
      <w:r>
        <w:rPr>
          <w:spacing w:val="-4"/>
        </w:rPr>
        <w:t xml:space="preserve"> </w:t>
      </w:r>
      <w:r>
        <w:t>loss,</w:t>
      </w:r>
      <w:r>
        <w:rPr>
          <w:spacing w:val="-4"/>
        </w:rPr>
        <w:t xml:space="preserve"> </w:t>
      </w:r>
      <w:r>
        <w:t>if</w:t>
      </w:r>
      <w:r>
        <w:rPr>
          <w:spacing w:val="-5"/>
        </w:rPr>
        <w:t xml:space="preserve"> </w:t>
      </w:r>
      <w:r>
        <w:t>one</w:t>
      </w:r>
      <w:r>
        <w:rPr>
          <w:spacing w:val="-5"/>
        </w:rPr>
        <w:t xml:space="preserve"> </w:t>
      </w:r>
      <w:r>
        <w:t>can</w:t>
      </w:r>
      <w:r>
        <w:rPr>
          <w:spacing w:val="-4"/>
        </w:rPr>
        <w:t xml:space="preserve"> </w:t>
      </w:r>
      <w:r>
        <w:t>be</w:t>
      </w:r>
      <w:r>
        <w:rPr>
          <w:spacing w:val="-5"/>
        </w:rPr>
        <w:t xml:space="preserve"> </w:t>
      </w:r>
      <w:r>
        <w:rPr>
          <w:spacing w:val="-2"/>
        </w:rPr>
        <w:t>made.</w:t>
      </w:r>
    </w:p>
    <w:p w14:paraId="0DFDC99A" w14:textId="77777777" w:rsidR="00046465" w:rsidRDefault="008134EB">
      <w:pPr>
        <w:pStyle w:val="BodyText"/>
        <w:spacing w:before="239"/>
        <w:ind w:left="360" w:right="749"/>
      </w:pPr>
      <w:r>
        <w:t>We</w:t>
      </w:r>
      <w:r>
        <w:rPr>
          <w:spacing w:val="-2"/>
        </w:rPr>
        <w:t xml:space="preserve"> </w:t>
      </w:r>
      <w:r>
        <w:t>understand</w:t>
      </w:r>
      <w:r>
        <w:rPr>
          <w:spacing w:val="-2"/>
        </w:rPr>
        <w:t xml:space="preserve"> </w:t>
      </w:r>
      <w:r>
        <w:t>that</w:t>
      </w:r>
      <w:r>
        <w:rPr>
          <w:spacing w:val="-2"/>
        </w:rPr>
        <w:t xml:space="preserve"> </w:t>
      </w:r>
      <w:r>
        <w:t>whenever,</w:t>
      </w:r>
      <w:r>
        <w:rPr>
          <w:spacing w:val="-2"/>
        </w:rPr>
        <w:t xml:space="preserve"> </w:t>
      </w:r>
      <w:r>
        <w:t>in</w:t>
      </w:r>
      <w:r>
        <w:rPr>
          <w:spacing w:val="-2"/>
        </w:rPr>
        <w:t xml:space="preserve"> </w:t>
      </w:r>
      <w:r>
        <w:t>the</w:t>
      </w:r>
      <w:r>
        <w:rPr>
          <w:spacing w:val="-2"/>
        </w:rPr>
        <w:t xml:space="preserve"> </w:t>
      </w:r>
      <w:r>
        <w:t>course</w:t>
      </w:r>
      <w:r>
        <w:rPr>
          <w:spacing w:val="-2"/>
        </w:rPr>
        <w:t xml:space="preserve"> </w:t>
      </w:r>
      <w:r>
        <w:t>of</w:t>
      </w:r>
      <w:r>
        <w:rPr>
          <w:spacing w:val="-3"/>
        </w:rPr>
        <w:t xml:space="preserve"> </w:t>
      </w:r>
      <w:r>
        <w:t>performing</w:t>
      </w:r>
      <w:r>
        <w:rPr>
          <w:spacing w:val="-2"/>
        </w:rPr>
        <w:t xml:space="preserve"> </w:t>
      </w:r>
      <w:r>
        <w:t>legal</w:t>
      </w:r>
      <w:r>
        <w:rPr>
          <w:spacing w:val="-2"/>
        </w:rPr>
        <w:t xml:space="preserve"> </w:t>
      </w:r>
      <w:r>
        <w:t>services</w:t>
      </w:r>
      <w:r>
        <w:rPr>
          <w:spacing w:val="-2"/>
        </w:rPr>
        <w:t xml:space="preserve"> </w:t>
      </w:r>
      <w:r>
        <w:t>for</w:t>
      </w:r>
      <w:r>
        <w:rPr>
          <w:spacing w:val="-2"/>
        </w:rPr>
        <w:t xml:space="preserve"> </w:t>
      </w:r>
      <w:r>
        <w:t>us</w:t>
      </w:r>
      <w:r>
        <w:rPr>
          <w:spacing w:val="-2"/>
        </w:rPr>
        <w:t xml:space="preserve"> </w:t>
      </w:r>
      <w:r>
        <w:t>with</w:t>
      </w:r>
      <w:r>
        <w:rPr>
          <w:spacing w:val="-3"/>
        </w:rPr>
        <w:t xml:space="preserve"> </w:t>
      </w:r>
      <w:r>
        <w:t>respect</w:t>
      </w:r>
      <w:r>
        <w:rPr>
          <w:spacing w:val="-2"/>
        </w:rPr>
        <w:t xml:space="preserve"> </w:t>
      </w:r>
      <w:r>
        <w:t>to matters recognized to involve an unasserted possible claim or assessment that may call for financial statement disclosure, you have formed a professional conclusion that we should disclose or consider disclosure concerning such possible claim or assessment, as a matter of professional responsibility to us, you will so advise us and will consult with us concerning the question</w:t>
      </w:r>
      <w:r>
        <w:rPr>
          <w:spacing w:val="-3"/>
        </w:rPr>
        <w:t xml:space="preserve"> </w:t>
      </w:r>
      <w:r>
        <w:t>of</w:t>
      </w:r>
      <w:r>
        <w:rPr>
          <w:spacing w:val="-4"/>
        </w:rPr>
        <w:t xml:space="preserve"> </w:t>
      </w:r>
      <w:r>
        <w:t>such</w:t>
      </w:r>
      <w:r>
        <w:rPr>
          <w:spacing w:val="-3"/>
        </w:rPr>
        <w:t xml:space="preserve"> </w:t>
      </w:r>
      <w:r>
        <w:t>disclosure</w:t>
      </w:r>
      <w:r>
        <w:rPr>
          <w:spacing w:val="-3"/>
        </w:rPr>
        <w:t xml:space="preserve"> </w:t>
      </w:r>
      <w:r>
        <w:t>and</w:t>
      </w:r>
      <w:r>
        <w:rPr>
          <w:spacing w:val="-3"/>
        </w:rPr>
        <w:t xml:space="preserve"> </w:t>
      </w:r>
      <w:r>
        <w:t>the</w:t>
      </w:r>
      <w:r>
        <w:rPr>
          <w:spacing w:val="-4"/>
        </w:rPr>
        <w:t xml:space="preserve"> </w:t>
      </w:r>
      <w:r>
        <w:t>applicable</w:t>
      </w:r>
      <w:r>
        <w:rPr>
          <w:spacing w:val="-3"/>
        </w:rPr>
        <w:t xml:space="preserve"> </w:t>
      </w:r>
      <w:r>
        <w:t>requirements</w:t>
      </w:r>
      <w:r>
        <w:rPr>
          <w:spacing w:val="-3"/>
        </w:rPr>
        <w:t xml:space="preserve"> </w:t>
      </w:r>
      <w:r>
        <w:t>of</w:t>
      </w:r>
      <w:r>
        <w:rPr>
          <w:spacing w:val="-3"/>
        </w:rPr>
        <w:t xml:space="preserve"> </w:t>
      </w:r>
      <w:r>
        <w:t>SFFAS</w:t>
      </w:r>
      <w:r>
        <w:rPr>
          <w:spacing w:val="-3"/>
        </w:rPr>
        <w:t xml:space="preserve"> </w:t>
      </w:r>
      <w:r>
        <w:t>5,</w:t>
      </w:r>
      <w:r>
        <w:rPr>
          <w:spacing w:val="-3"/>
        </w:rPr>
        <w:t xml:space="preserve"> </w:t>
      </w:r>
      <w:r>
        <w:t>as</w:t>
      </w:r>
      <w:r>
        <w:rPr>
          <w:spacing w:val="-3"/>
        </w:rPr>
        <w:t xml:space="preserve"> </w:t>
      </w:r>
      <w:r>
        <w:t>amended.</w:t>
      </w:r>
      <w:r>
        <w:rPr>
          <w:spacing w:val="-3"/>
        </w:rPr>
        <w:t xml:space="preserve"> </w:t>
      </w:r>
      <w:r>
        <w:t xml:space="preserve">Please specifically confirm to </w:t>
      </w:r>
      <w:r>
        <w:rPr>
          <w:b/>
        </w:rPr>
        <w:t xml:space="preserve">[auditor] </w:t>
      </w:r>
      <w:r>
        <w:t>that our understanding is correct.</w:t>
      </w:r>
    </w:p>
    <w:p w14:paraId="0DFDC99B" w14:textId="77777777" w:rsidR="00046465" w:rsidRDefault="008134EB">
      <w:pPr>
        <w:pStyle w:val="BodyText"/>
        <w:spacing w:before="241"/>
        <w:ind w:left="360"/>
      </w:pPr>
      <w:r>
        <w:t>We</w:t>
      </w:r>
      <w:r>
        <w:rPr>
          <w:spacing w:val="-7"/>
        </w:rPr>
        <w:t xml:space="preserve"> </w:t>
      </w:r>
      <w:r>
        <w:t>request</w:t>
      </w:r>
      <w:r>
        <w:rPr>
          <w:spacing w:val="-7"/>
        </w:rPr>
        <w:t xml:space="preserve"> </w:t>
      </w:r>
      <w:r>
        <w:t>that</w:t>
      </w:r>
      <w:r>
        <w:rPr>
          <w:spacing w:val="-6"/>
        </w:rPr>
        <w:t xml:space="preserve"> </w:t>
      </w:r>
      <w:r>
        <w:t>you</w:t>
      </w:r>
      <w:r>
        <w:rPr>
          <w:spacing w:val="-6"/>
        </w:rPr>
        <w:t xml:space="preserve"> </w:t>
      </w:r>
      <w:r>
        <w:t>describe</w:t>
      </w:r>
      <w:r>
        <w:rPr>
          <w:spacing w:val="-6"/>
        </w:rPr>
        <w:t xml:space="preserve"> </w:t>
      </w:r>
      <w:r>
        <w:t>the</w:t>
      </w:r>
      <w:r>
        <w:rPr>
          <w:spacing w:val="-6"/>
        </w:rPr>
        <w:t xml:space="preserve"> </w:t>
      </w:r>
      <w:r>
        <w:t>cases</w:t>
      </w:r>
      <w:r>
        <w:rPr>
          <w:spacing w:val="-7"/>
        </w:rPr>
        <w:t xml:space="preserve"> </w:t>
      </w:r>
      <w:r>
        <w:t>using</w:t>
      </w:r>
      <w:r>
        <w:rPr>
          <w:spacing w:val="-6"/>
        </w:rPr>
        <w:t xml:space="preserve"> </w:t>
      </w:r>
      <w:r>
        <w:t>the</w:t>
      </w:r>
      <w:r>
        <w:rPr>
          <w:spacing w:val="-6"/>
        </w:rPr>
        <w:t xml:space="preserve"> </w:t>
      </w:r>
      <w:r>
        <w:t>following</w:t>
      </w:r>
      <w:r>
        <w:rPr>
          <w:spacing w:val="-7"/>
        </w:rPr>
        <w:t xml:space="preserve"> </w:t>
      </w:r>
      <w:r>
        <w:t>Department</w:t>
      </w:r>
      <w:r>
        <w:rPr>
          <w:spacing w:val="-5"/>
        </w:rPr>
        <w:t xml:space="preserve"> </w:t>
      </w:r>
      <w:r>
        <w:t>of</w:t>
      </w:r>
      <w:r>
        <w:rPr>
          <w:spacing w:val="-6"/>
        </w:rPr>
        <w:t xml:space="preserve"> </w:t>
      </w:r>
      <w:r>
        <w:t>Justice</w:t>
      </w:r>
      <w:r>
        <w:rPr>
          <w:spacing w:val="-7"/>
        </w:rPr>
        <w:t xml:space="preserve"> </w:t>
      </w:r>
      <w:r>
        <w:rPr>
          <w:spacing w:val="-2"/>
        </w:rPr>
        <w:t>forms:</w:t>
      </w:r>
    </w:p>
    <w:p w14:paraId="0DFDC99C" w14:textId="77777777" w:rsidR="00046465" w:rsidRDefault="008134EB">
      <w:pPr>
        <w:pStyle w:val="BodyText"/>
        <w:ind w:left="360" w:right="749"/>
      </w:pPr>
      <w:r>
        <w:t>(1)</w:t>
      </w:r>
      <w:r>
        <w:rPr>
          <w:spacing w:val="-4"/>
        </w:rPr>
        <w:t xml:space="preserve"> </w:t>
      </w:r>
      <w:r>
        <w:t>Pending</w:t>
      </w:r>
      <w:r>
        <w:rPr>
          <w:spacing w:val="-4"/>
        </w:rPr>
        <w:t xml:space="preserve"> </w:t>
      </w:r>
      <w:r>
        <w:t>or</w:t>
      </w:r>
      <w:r>
        <w:rPr>
          <w:spacing w:val="-4"/>
        </w:rPr>
        <w:t xml:space="preserve"> </w:t>
      </w:r>
      <w:r>
        <w:t>Threatened</w:t>
      </w:r>
      <w:r>
        <w:rPr>
          <w:spacing w:val="-4"/>
        </w:rPr>
        <w:t xml:space="preserve"> </w:t>
      </w:r>
      <w:r>
        <w:t>Litigation,</w:t>
      </w:r>
      <w:r>
        <w:rPr>
          <w:spacing w:val="-4"/>
        </w:rPr>
        <w:t xml:space="preserve"> </w:t>
      </w:r>
      <w:r>
        <w:t>(2)</w:t>
      </w:r>
      <w:r>
        <w:rPr>
          <w:spacing w:val="-4"/>
        </w:rPr>
        <w:t xml:space="preserve"> </w:t>
      </w:r>
      <w:r>
        <w:t>Unasserted</w:t>
      </w:r>
      <w:r>
        <w:rPr>
          <w:spacing w:val="-4"/>
        </w:rPr>
        <w:t xml:space="preserve"> </w:t>
      </w:r>
      <w:r>
        <w:t>Claims</w:t>
      </w:r>
      <w:r>
        <w:rPr>
          <w:spacing w:val="-4"/>
        </w:rPr>
        <w:t xml:space="preserve"> </w:t>
      </w:r>
      <w:r>
        <w:t>and</w:t>
      </w:r>
      <w:r>
        <w:rPr>
          <w:spacing w:val="-4"/>
        </w:rPr>
        <w:t xml:space="preserve"> </w:t>
      </w:r>
      <w:r>
        <w:t>Assessments,</w:t>
      </w:r>
      <w:r>
        <w:rPr>
          <w:spacing w:val="-4"/>
        </w:rPr>
        <w:t xml:space="preserve"> </w:t>
      </w:r>
      <w:r>
        <w:t>and</w:t>
      </w:r>
      <w:r>
        <w:rPr>
          <w:spacing w:val="-4"/>
        </w:rPr>
        <w:t xml:space="preserve"> </w:t>
      </w:r>
      <w:r>
        <w:t>(3)</w:t>
      </w:r>
      <w:r>
        <w:rPr>
          <w:spacing w:val="-4"/>
        </w:rPr>
        <w:t xml:space="preserve"> </w:t>
      </w:r>
      <w:r>
        <w:t>Claims Reported in Prior Year That Are No Longer Pending. The current forms and instructions are</w:t>
      </w:r>
    </w:p>
    <w:p w14:paraId="0DFDC99D" w14:textId="77777777" w:rsidR="00046465" w:rsidRDefault="00046465">
      <w:pPr>
        <w:pStyle w:val="BodyText"/>
        <w:sectPr w:rsidR="00046465">
          <w:pgSz w:w="12240" w:h="15840"/>
          <w:pgMar w:top="1340" w:right="720" w:bottom="940" w:left="1080" w:header="721" w:footer="757" w:gutter="0"/>
          <w:cols w:space="720"/>
        </w:sectPr>
      </w:pPr>
    </w:p>
    <w:p w14:paraId="0DFDC99E" w14:textId="77777777" w:rsidR="00046465" w:rsidRDefault="008134EB">
      <w:pPr>
        <w:spacing w:before="121"/>
        <w:ind w:left="360" w:right="749" w:hanging="1"/>
        <w:rPr>
          <w:b/>
        </w:rPr>
      </w:pPr>
      <w:r>
        <w:lastRenderedPageBreak/>
        <w:t>available</w:t>
      </w:r>
      <w:r>
        <w:rPr>
          <w:spacing w:val="-6"/>
        </w:rPr>
        <w:t xml:space="preserve"> </w:t>
      </w:r>
      <w:r>
        <w:t>at</w:t>
      </w:r>
      <w:r>
        <w:rPr>
          <w:spacing w:val="-7"/>
        </w:rPr>
        <w:t xml:space="preserve"> </w:t>
      </w:r>
      <w:hyperlink r:id="rId241">
        <w:r>
          <w:rPr>
            <w:color w:val="0000FF"/>
          </w:rPr>
          <w:t>https://www.justice.gov/civil/documents-and-forms</w:t>
        </w:r>
      </w:hyperlink>
      <w:r>
        <w:rPr>
          <w:color w:val="0000FF"/>
          <w:spacing w:val="-5"/>
        </w:rPr>
        <w:t xml:space="preserve"> </w:t>
      </w:r>
      <w:r>
        <w:t>(accessed</w:t>
      </w:r>
      <w:r>
        <w:rPr>
          <w:spacing w:val="-7"/>
        </w:rPr>
        <w:t xml:space="preserve"> </w:t>
      </w:r>
      <w:r>
        <w:t>June</w:t>
      </w:r>
      <w:r>
        <w:rPr>
          <w:spacing w:val="-6"/>
        </w:rPr>
        <w:t xml:space="preserve"> </w:t>
      </w:r>
      <w:r>
        <w:t>4,</w:t>
      </w:r>
      <w:r>
        <w:rPr>
          <w:spacing w:val="-6"/>
        </w:rPr>
        <w:t xml:space="preserve"> </w:t>
      </w:r>
      <w:r>
        <w:t>2026).</w:t>
      </w:r>
      <w:r>
        <w:rPr>
          <w:spacing w:val="-6"/>
        </w:rPr>
        <w:t xml:space="preserve"> </w:t>
      </w:r>
      <w:r>
        <w:rPr>
          <w:b/>
        </w:rPr>
        <w:t xml:space="preserve">(Note: </w:t>
      </w:r>
      <w:r>
        <w:rPr>
          <w:b/>
          <w:u w:val="single"/>
        </w:rPr>
        <w:t>Update link as necessary.</w:t>
      </w:r>
      <w:r>
        <w:rPr>
          <w:b/>
        </w:rPr>
        <w:t>)</w:t>
      </w:r>
    </w:p>
    <w:p w14:paraId="0DFDC99F" w14:textId="77777777" w:rsidR="00046465" w:rsidRDefault="008134EB">
      <w:pPr>
        <w:pStyle w:val="BodyText"/>
        <w:spacing w:before="239"/>
        <w:ind w:left="359" w:right="726"/>
      </w:pPr>
      <w:r>
        <w:t xml:space="preserve">With respect to those matters that you have been engaged and to which you have devoted substantive attention on behalf of </w:t>
      </w:r>
      <w:r>
        <w:rPr>
          <w:b/>
        </w:rPr>
        <w:t xml:space="preserve">[entity] </w:t>
      </w:r>
      <w:r>
        <w:t>in the form of legal consultation or representation, please</w:t>
      </w:r>
      <w:r>
        <w:rPr>
          <w:spacing w:val="-4"/>
        </w:rPr>
        <w:t xml:space="preserve"> </w:t>
      </w:r>
      <w:r>
        <w:t>separately</w:t>
      </w:r>
      <w:r>
        <w:rPr>
          <w:spacing w:val="-4"/>
        </w:rPr>
        <w:t xml:space="preserve"> </w:t>
      </w:r>
      <w:r>
        <w:t>identify</w:t>
      </w:r>
      <w:r>
        <w:rPr>
          <w:spacing w:val="-4"/>
        </w:rPr>
        <w:t xml:space="preserve"> </w:t>
      </w:r>
      <w:r>
        <w:t>any</w:t>
      </w:r>
      <w:r>
        <w:rPr>
          <w:spacing w:val="-4"/>
        </w:rPr>
        <w:t xml:space="preserve"> </w:t>
      </w:r>
      <w:r>
        <w:t>pending</w:t>
      </w:r>
      <w:r>
        <w:rPr>
          <w:spacing w:val="-4"/>
        </w:rPr>
        <w:t xml:space="preserve"> </w:t>
      </w:r>
      <w:r>
        <w:t>or</w:t>
      </w:r>
      <w:r>
        <w:rPr>
          <w:spacing w:val="-4"/>
        </w:rPr>
        <w:t xml:space="preserve"> </w:t>
      </w:r>
      <w:r>
        <w:t>threatened</w:t>
      </w:r>
      <w:r>
        <w:rPr>
          <w:spacing w:val="-4"/>
        </w:rPr>
        <w:t xml:space="preserve"> </w:t>
      </w:r>
      <w:r>
        <w:t>litigation</w:t>
      </w:r>
      <w:r>
        <w:rPr>
          <w:spacing w:val="-4"/>
        </w:rPr>
        <w:t xml:space="preserve"> </w:t>
      </w:r>
      <w:r>
        <w:t>and</w:t>
      </w:r>
      <w:r>
        <w:rPr>
          <w:spacing w:val="-4"/>
        </w:rPr>
        <w:t xml:space="preserve"> </w:t>
      </w:r>
      <w:r>
        <w:t>unasserted</w:t>
      </w:r>
      <w:r>
        <w:rPr>
          <w:spacing w:val="-4"/>
        </w:rPr>
        <w:t xml:space="preserve"> </w:t>
      </w:r>
      <w:r>
        <w:t>claims,</w:t>
      </w:r>
      <w:r>
        <w:rPr>
          <w:spacing w:val="-4"/>
        </w:rPr>
        <w:t xml:space="preserve"> </w:t>
      </w:r>
      <w:r>
        <w:t>along</w:t>
      </w:r>
      <w:r>
        <w:rPr>
          <w:spacing w:val="-4"/>
        </w:rPr>
        <w:t xml:space="preserve"> </w:t>
      </w:r>
      <w:r>
        <w:t>with the name of the other governmental entity(s) that you believe to be defendants and responsible for any potential liability.</w:t>
      </w:r>
    </w:p>
    <w:p w14:paraId="0DFDC9A0" w14:textId="77777777" w:rsidR="00046465" w:rsidRDefault="008134EB">
      <w:pPr>
        <w:pStyle w:val="BodyText"/>
        <w:spacing w:before="240"/>
        <w:ind w:left="359" w:right="749"/>
      </w:pPr>
      <w:r>
        <w:t>Please</w:t>
      </w:r>
      <w:r>
        <w:rPr>
          <w:spacing w:val="-3"/>
        </w:rPr>
        <w:t xml:space="preserve"> </w:t>
      </w:r>
      <w:r>
        <w:t>specifically</w:t>
      </w:r>
      <w:r>
        <w:rPr>
          <w:spacing w:val="-3"/>
        </w:rPr>
        <w:t xml:space="preserve"> </w:t>
      </w:r>
      <w:r>
        <w:t>identify</w:t>
      </w:r>
      <w:r>
        <w:rPr>
          <w:spacing w:val="-3"/>
        </w:rPr>
        <w:t xml:space="preserve"> </w:t>
      </w:r>
      <w:r>
        <w:t>the</w:t>
      </w:r>
      <w:r>
        <w:rPr>
          <w:spacing w:val="-3"/>
        </w:rPr>
        <w:t xml:space="preserve"> </w:t>
      </w:r>
      <w:r>
        <w:t>nature</w:t>
      </w:r>
      <w:r>
        <w:rPr>
          <w:spacing w:val="-4"/>
        </w:rPr>
        <w:t xml:space="preserve"> </w:t>
      </w:r>
      <w:r>
        <w:t>of</w:t>
      </w:r>
      <w:r>
        <w:rPr>
          <w:spacing w:val="-3"/>
        </w:rPr>
        <w:t xml:space="preserve"> </w:t>
      </w:r>
      <w:r>
        <w:t>and</w:t>
      </w:r>
      <w:r>
        <w:rPr>
          <w:spacing w:val="-3"/>
        </w:rPr>
        <w:t xml:space="preserve"> </w:t>
      </w:r>
      <w:r>
        <w:t>reasons</w:t>
      </w:r>
      <w:r>
        <w:rPr>
          <w:spacing w:val="-3"/>
        </w:rPr>
        <w:t xml:space="preserve"> </w:t>
      </w:r>
      <w:r>
        <w:t>for</w:t>
      </w:r>
      <w:r>
        <w:rPr>
          <w:spacing w:val="-3"/>
        </w:rPr>
        <w:t xml:space="preserve"> </w:t>
      </w:r>
      <w:r>
        <w:t>any</w:t>
      </w:r>
      <w:r>
        <w:rPr>
          <w:spacing w:val="-3"/>
        </w:rPr>
        <w:t xml:space="preserve"> </w:t>
      </w:r>
      <w:r>
        <w:t>limitations</w:t>
      </w:r>
      <w:r>
        <w:rPr>
          <w:spacing w:val="-3"/>
        </w:rPr>
        <w:t xml:space="preserve"> </w:t>
      </w:r>
      <w:r>
        <w:t>in</w:t>
      </w:r>
      <w:r>
        <w:rPr>
          <w:spacing w:val="-4"/>
        </w:rPr>
        <w:t xml:space="preserve"> </w:t>
      </w:r>
      <w:r>
        <w:t>your</w:t>
      </w:r>
      <w:r>
        <w:rPr>
          <w:spacing w:val="-3"/>
        </w:rPr>
        <w:t xml:space="preserve"> </w:t>
      </w:r>
      <w:r>
        <w:t>response</w:t>
      </w:r>
      <w:r>
        <w:rPr>
          <w:spacing w:val="-3"/>
        </w:rPr>
        <w:t xml:space="preserve"> </w:t>
      </w:r>
      <w:r>
        <w:t>to</w:t>
      </w:r>
      <w:r>
        <w:rPr>
          <w:spacing w:val="-3"/>
        </w:rPr>
        <w:t xml:space="preserve"> </w:t>
      </w:r>
      <w:r>
        <w:t xml:space="preserve">this </w:t>
      </w:r>
      <w:r>
        <w:rPr>
          <w:spacing w:val="-2"/>
        </w:rPr>
        <w:t>request.</w:t>
      </w:r>
    </w:p>
    <w:p w14:paraId="0DFDC9A1" w14:textId="77777777" w:rsidR="00046465" w:rsidRDefault="008134EB">
      <w:pPr>
        <w:spacing w:before="240"/>
        <w:ind w:left="359" w:right="749"/>
      </w:pPr>
      <w:r>
        <w:t xml:space="preserve">Please address your reply </w:t>
      </w:r>
      <w:r>
        <w:rPr>
          <w:b/>
        </w:rPr>
        <w:t>to [Insert name, Director, GAO, or commensurate inspector general</w:t>
      </w:r>
      <w:r>
        <w:rPr>
          <w:b/>
          <w:spacing w:val="-1"/>
        </w:rPr>
        <w:t xml:space="preserve"> </w:t>
      </w:r>
      <w:r>
        <w:rPr>
          <w:b/>
        </w:rPr>
        <w:t>official]</w:t>
      </w:r>
      <w:r>
        <w:t>,</w:t>
      </w:r>
      <w:r>
        <w:rPr>
          <w:spacing w:val="-1"/>
        </w:rPr>
        <w:t xml:space="preserve"> </w:t>
      </w:r>
      <w:r>
        <w:t>and</w:t>
      </w:r>
      <w:r>
        <w:rPr>
          <w:spacing w:val="-1"/>
        </w:rPr>
        <w:t xml:space="preserve"> </w:t>
      </w:r>
      <w:r>
        <w:t>contact</w:t>
      </w:r>
      <w:r>
        <w:rPr>
          <w:spacing w:val="-1"/>
        </w:rPr>
        <w:t xml:space="preserve"> </w:t>
      </w:r>
      <w:r>
        <w:rPr>
          <w:b/>
        </w:rPr>
        <w:t>[him/her]</w:t>
      </w:r>
      <w:r>
        <w:rPr>
          <w:b/>
          <w:spacing w:val="-1"/>
        </w:rPr>
        <w:t xml:space="preserve"> </w:t>
      </w:r>
      <w:r>
        <w:t>at</w:t>
      </w:r>
      <w:r>
        <w:rPr>
          <w:spacing w:val="-1"/>
        </w:rPr>
        <w:t xml:space="preserve"> </w:t>
      </w:r>
      <w:r>
        <w:rPr>
          <w:b/>
        </w:rPr>
        <w:t>[phone</w:t>
      </w:r>
      <w:r>
        <w:rPr>
          <w:b/>
          <w:spacing w:val="-1"/>
        </w:rPr>
        <w:t xml:space="preserve"> </w:t>
      </w:r>
      <w:r>
        <w:rPr>
          <w:b/>
        </w:rPr>
        <w:t>number]</w:t>
      </w:r>
      <w:r>
        <w:t>,</w:t>
      </w:r>
      <w:r>
        <w:rPr>
          <w:spacing w:val="-1"/>
        </w:rPr>
        <w:t xml:space="preserve"> </w:t>
      </w:r>
      <w:r>
        <w:t>when</w:t>
      </w:r>
      <w:r>
        <w:rPr>
          <w:spacing w:val="-1"/>
        </w:rPr>
        <w:t xml:space="preserve"> </w:t>
      </w:r>
      <w:r>
        <w:t>your</w:t>
      </w:r>
      <w:r>
        <w:rPr>
          <w:spacing w:val="-1"/>
        </w:rPr>
        <w:t xml:space="preserve"> </w:t>
      </w:r>
      <w:r>
        <w:t>reply</w:t>
      </w:r>
      <w:r>
        <w:rPr>
          <w:spacing w:val="-1"/>
        </w:rPr>
        <w:t xml:space="preserve"> </w:t>
      </w:r>
      <w:r>
        <w:t>is</w:t>
      </w:r>
      <w:r>
        <w:rPr>
          <w:spacing w:val="-1"/>
        </w:rPr>
        <w:t xml:space="preserve"> </w:t>
      </w:r>
      <w:r>
        <w:t>available</w:t>
      </w:r>
      <w:r>
        <w:rPr>
          <w:spacing w:val="-1"/>
        </w:rPr>
        <w:t xml:space="preserve"> </w:t>
      </w:r>
      <w:r>
        <w:t>for pick</w:t>
      </w:r>
      <w:r>
        <w:rPr>
          <w:spacing w:val="-2"/>
        </w:rPr>
        <w:t xml:space="preserve"> </w:t>
      </w:r>
      <w:r>
        <w:t>up</w:t>
      </w:r>
      <w:r>
        <w:rPr>
          <w:spacing w:val="-2"/>
        </w:rPr>
        <w:t xml:space="preserve"> </w:t>
      </w:r>
      <w:r>
        <w:t>and</w:t>
      </w:r>
      <w:r>
        <w:rPr>
          <w:spacing w:val="-3"/>
        </w:rPr>
        <w:t xml:space="preserve"> </w:t>
      </w:r>
      <w:r>
        <w:t>send</w:t>
      </w:r>
      <w:r>
        <w:rPr>
          <w:spacing w:val="-2"/>
        </w:rPr>
        <w:t xml:space="preserve"> </w:t>
      </w:r>
      <w:r>
        <w:t>a</w:t>
      </w:r>
      <w:r>
        <w:rPr>
          <w:spacing w:val="-2"/>
        </w:rPr>
        <w:t xml:space="preserve"> </w:t>
      </w:r>
      <w:r>
        <w:t>copy</w:t>
      </w:r>
      <w:r>
        <w:rPr>
          <w:spacing w:val="-3"/>
        </w:rPr>
        <w:t xml:space="preserve"> </w:t>
      </w:r>
      <w:r>
        <w:t>of</w:t>
      </w:r>
      <w:r>
        <w:rPr>
          <w:spacing w:val="-2"/>
        </w:rPr>
        <w:t xml:space="preserve"> </w:t>
      </w:r>
      <w:r>
        <w:t>your</w:t>
      </w:r>
      <w:r>
        <w:rPr>
          <w:spacing w:val="-2"/>
        </w:rPr>
        <w:t xml:space="preserve"> </w:t>
      </w:r>
      <w:r>
        <w:t>reply</w:t>
      </w:r>
      <w:r>
        <w:rPr>
          <w:spacing w:val="-2"/>
        </w:rPr>
        <w:t xml:space="preserve"> </w:t>
      </w:r>
      <w:r>
        <w:t>to</w:t>
      </w:r>
      <w:r>
        <w:rPr>
          <w:spacing w:val="-2"/>
        </w:rPr>
        <w:t xml:space="preserve"> </w:t>
      </w:r>
      <w:r>
        <w:t>me.</w:t>
      </w:r>
      <w:r>
        <w:rPr>
          <w:spacing w:val="-2"/>
        </w:rPr>
        <w:t xml:space="preserve"> </w:t>
      </w:r>
      <w:r>
        <w:t>Do</w:t>
      </w:r>
      <w:r>
        <w:rPr>
          <w:spacing w:val="-2"/>
        </w:rPr>
        <w:t xml:space="preserve"> </w:t>
      </w:r>
      <w:r>
        <w:t>not</w:t>
      </w:r>
      <w:r>
        <w:rPr>
          <w:spacing w:val="-2"/>
        </w:rPr>
        <w:t xml:space="preserve"> </w:t>
      </w:r>
      <w:r>
        <w:t>hesitate</w:t>
      </w:r>
      <w:r>
        <w:rPr>
          <w:spacing w:val="-3"/>
        </w:rPr>
        <w:t xml:space="preserve"> </w:t>
      </w:r>
      <w:r>
        <w:t>to</w:t>
      </w:r>
      <w:r>
        <w:rPr>
          <w:spacing w:val="-2"/>
        </w:rPr>
        <w:t xml:space="preserve"> </w:t>
      </w:r>
      <w:r>
        <w:t>contact</w:t>
      </w:r>
      <w:r>
        <w:rPr>
          <w:spacing w:val="-2"/>
        </w:rPr>
        <w:t xml:space="preserve"> </w:t>
      </w:r>
      <w:r>
        <w:t>me</w:t>
      </w:r>
      <w:r>
        <w:rPr>
          <w:spacing w:val="-2"/>
        </w:rPr>
        <w:t xml:space="preserve"> </w:t>
      </w:r>
      <w:r>
        <w:t>or</w:t>
      </w:r>
      <w:r>
        <w:rPr>
          <w:spacing w:val="-2"/>
        </w:rPr>
        <w:t xml:space="preserve"> </w:t>
      </w:r>
      <w:r>
        <w:rPr>
          <w:b/>
        </w:rPr>
        <w:t>[auditor]</w:t>
      </w:r>
      <w:r>
        <w:rPr>
          <w:b/>
          <w:spacing w:val="-1"/>
        </w:rPr>
        <w:t xml:space="preserve"> </w:t>
      </w:r>
      <w:r>
        <w:t>if</w:t>
      </w:r>
      <w:r>
        <w:rPr>
          <w:spacing w:val="-2"/>
        </w:rPr>
        <w:t xml:space="preserve"> </w:t>
      </w:r>
      <w:r>
        <w:t>you have any questions about this request.</w:t>
      </w:r>
    </w:p>
    <w:p w14:paraId="0DFDC9A2" w14:textId="77777777" w:rsidR="00046465" w:rsidRDefault="00046465">
      <w:pPr>
        <w:sectPr w:rsidR="00046465">
          <w:pgSz w:w="12240" w:h="15840"/>
          <w:pgMar w:top="1340" w:right="720" w:bottom="940" w:left="1080" w:header="721" w:footer="757" w:gutter="0"/>
          <w:cols w:space="720"/>
        </w:sectPr>
      </w:pPr>
    </w:p>
    <w:p w14:paraId="0DFDC9A3" w14:textId="77777777" w:rsidR="00046465" w:rsidRDefault="008134EB">
      <w:pPr>
        <w:pStyle w:val="Heading3"/>
        <w:spacing w:before="361"/>
        <w:rPr>
          <w:u w:val="none"/>
        </w:rPr>
      </w:pPr>
      <w:bookmarkStart w:id="404" w:name="1002_C_–_Example_Legal_Counsel_Response"/>
      <w:bookmarkStart w:id="405" w:name="_bookmark228"/>
      <w:bookmarkEnd w:id="404"/>
      <w:bookmarkEnd w:id="405"/>
      <w:r>
        <w:lastRenderedPageBreak/>
        <w:t>1002</w:t>
      </w:r>
      <w:r>
        <w:rPr>
          <w:spacing w:val="-3"/>
        </w:rPr>
        <w:t xml:space="preserve"> </w:t>
      </w:r>
      <w:r>
        <w:t>C</w:t>
      </w:r>
      <w:r>
        <w:rPr>
          <w:spacing w:val="-4"/>
        </w:rPr>
        <w:t xml:space="preserve"> </w:t>
      </w:r>
      <w:r>
        <w:t>–</w:t>
      </w:r>
      <w:r>
        <w:rPr>
          <w:spacing w:val="-3"/>
        </w:rPr>
        <w:t xml:space="preserve"> </w:t>
      </w:r>
      <w:r>
        <w:t>Example</w:t>
      </w:r>
      <w:r>
        <w:rPr>
          <w:spacing w:val="-2"/>
        </w:rPr>
        <w:t xml:space="preserve"> </w:t>
      </w:r>
      <w:r>
        <w:t>Legal</w:t>
      </w:r>
      <w:r>
        <w:rPr>
          <w:spacing w:val="-4"/>
        </w:rPr>
        <w:t xml:space="preserve"> </w:t>
      </w:r>
      <w:r>
        <w:t>Counsel</w:t>
      </w:r>
      <w:r>
        <w:rPr>
          <w:spacing w:val="-4"/>
        </w:rPr>
        <w:t xml:space="preserve"> </w:t>
      </w:r>
      <w:r>
        <w:rPr>
          <w:spacing w:val="-2"/>
        </w:rPr>
        <w:t>Response</w:t>
      </w:r>
    </w:p>
    <w:p w14:paraId="0DFDC9A4" w14:textId="77777777" w:rsidR="00046465" w:rsidRDefault="00046465">
      <w:pPr>
        <w:pStyle w:val="BodyText"/>
        <w:spacing w:before="107"/>
        <w:rPr>
          <w:b/>
        </w:rPr>
      </w:pPr>
    </w:p>
    <w:p w14:paraId="0DFDC9A5" w14:textId="77777777" w:rsidR="00046465" w:rsidRDefault="008134EB">
      <w:pPr>
        <w:ind w:right="359"/>
        <w:jc w:val="center"/>
        <w:rPr>
          <w:b/>
        </w:rPr>
      </w:pPr>
      <w:r>
        <w:rPr>
          <w:b/>
        </w:rPr>
        <w:t>[General</w:t>
      </w:r>
      <w:r>
        <w:rPr>
          <w:b/>
          <w:spacing w:val="-10"/>
        </w:rPr>
        <w:t xml:space="preserve"> </w:t>
      </w:r>
      <w:r>
        <w:rPr>
          <w:b/>
        </w:rPr>
        <w:t>Counsel</w:t>
      </w:r>
      <w:r>
        <w:rPr>
          <w:b/>
          <w:spacing w:val="-9"/>
        </w:rPr>
        <w:t xml:space="preserve"> </w:t>
      </w:r>
      <w:r>
        <w:rPr>
          <w:b/>
          <w:spacing w:val="-2"/>
        </w:rPr>
        <w:t>Letterhead]</w:t>
      </w:r>
    </w:p>
    <w:p w14:paraId="0DFDC9A6" w14:textId="77777777" w:rsidR="00046465" w:rsidRDefault="008134EB">
      <w:pPr>
        <w:spacing w:before="239"/>
        <w:ind w:left="360" w:right="9149"/>
        <w:rPr>
          <w:b/>
        </w:rPr>
      </w:pPr>
      <w:r>
        <w:rPr>
          <w:b/>
          <w:spacing w:val="-2"/>
        </w:rPr>
        <w:t>[Date] [Auditor] [Title]</w:t>
      </w:r>
    </w:p>
    <w:p w14:paraId="0DFDC9A7" w14:textId="77777777" w:rsidR="00046465" w:rsidRDefault="008134EB">
      <w:pPr>
        <w:spacing w:before="1"/>
        <w:ind w:left="360" w:right="7521"/>
        <w:rPr>
          <w:b/>
        </w:rPr>
      </w:pPr>
      <w:r>
        <w:rPr>
          <w:b/>
        </w:rPr>
        <w:t>[Entity</w:t>
      </w:r>
      <w:r>
        <w:rPr>
          <w:b/>
          <w:spacing w:val="-13"/>
        </w:rPr>
        <w:t xml:space="preserve"> </w:t>
      </w:r>
      <w:r>
        <w:rPr>
          <w:b/>
        </w:rPr>
        <w:t>or</w:t>
      </w:r>
      <w:r>
        <w:rPr>
          <w:b/>
          <w:spacing w:val="-14"/>
        </w:rPr>
        <w:t xml:space="preserve"> </w:t>
      </w:r>
      <w:r>
        <w:rPr>
          <w:b/>
        </w:rPr>
        <w:t>Firm</w:t>
      </w:r>
      <w:r>
        <w:rPr>
          <w:b/>
          <w:spacing w:val="-13"/>
        </w:rPr>
        <w:t xml:space="preserve"> </w:t>
      </w:r>
      <w:r>
        <w:rPr>
          <w:b/>
        </w:rPr>
        <w:t xml:space="preserve">Name] </w:t>
      </w:r>
      <w:r>
        <w:rPr>
          <w:b/>
          <w:spacing w:val="-2"/>
        </w:rPr>
        <w:t>[City]</w:t>
      </w:r>
    </w:p>
    <w:p w14:paraId="0DFDC9A8" w14:textId="77777777" w:rsidR="00046465" w:rsidRDefault="008134EB">
      <w:pPr>
        <w:pStyle w:val="BodyText"/>
        <w:spacing w:before="239"/>
        <w:ind w:left="359" w:right="749"/>
        <w:rPr>
          <w:b/>
        </w:rPr>
      </w:pPr>
      <w:r>
        <w:t>Subject:</w:t>
      </w:r>
      <w:r>
        <w:rPr>
          <w:spacing w:val="-2"/>
        </w:rPr>
        <w:t xml:space="preserve"> </w:t>
      </w:r>
      <w:r>
        <w:t>Legal</w:t>
      </w:r>
      <w:r>
        <w:rPr>
          <w:spacing w:val="-2"/>
        </w:rPr>
        <w:t xml:space="preserve"> </w:t>
      </w:r>
      <w:r>
        <w:t>Counsel</w:t>
      </w:r>
      <w:r>
        <w:rPr>
          <w:spacing w:val="-3"/>
        </w:rPr>
        <w:t xml:space="preserve"> </w:t>
      </w:r>
      <w:r>
        <w:t>Response</w:t>
      </w:r>
      <w:r>
        <w:rPr>
          <w:spacing w:val="-2"/>
        </w:rPr>
        <w:t xml:space="preserve"> </w:t>
      </w:r>
      <w:r>
        <w:t>in</w:t>
      </w:r>
      <w:r>
        <w:rPr>
          <w:spacing w:val="-3"/>
        </w:rPr>
        <w:t xml:space="preserve"> </w:t>
      </w:r>
      <w:r>
        <w:t>Connection</w:t>
      </w:r>
      <w:r>
        <w:rPr>
          <w:spacing w:val="-3"/>
        </w:rPr>
        <w:t xml:space="preserve"> </w:t>
      </w:r>
      <w:r>
        <w:t>with</w:t>
      </w:r>
      <w:r>
        <w:rPr>
          <w:spacing w:val="-2"/>
        </w:rPr>
        <w:t xml:space="preserve"> </w:t>
      </w:r>
      <w:r>
        <w:t>the</w:t>
      </w:r>
      <w:r>
        <w:rPr>
          <w:spacing w:val="-2"/>
        </w:rPr>
        <w:t xml:space="preserve"> </w:t>
      </w:r>
      <w:r>
        <w:t>20X2</w:t>
      </w:r>
      <w:r>
        <w:rPr>
          <w:spacing w:val="-2"/>
        </w:rPr>
        <w:t xml:space="preserve"> </w:t>
      </w:r>
      <w:r>
        <w:t>and</w:t>
      </w:r>
      <w:r>
        <w:rPr>
          <w:spacing w:val="-2"/>
        </w:rPr>
        <w:t xml:space="preserve"> </w:t>
      </w:r>
      <w:r>
        <w:t>20X1</w:t>
      </w:r>
      <w:hyperlink w:anchor="_bookmark229" w:history="1">
        <w:r>
          <w:rPr>
            <w:position w:val="7"/>
            <w:sz w:val="14"/>
          </w:rPr>
          <w:t>17</w:t>
        </w:r>
      </w:hyperlink>
      <w:r>
        <w:rPr>
          <w:spacing w:val="19"/>
          <w:position w:val="7"/>
          <w:sz w:val="14"/>
        </w:rPr>
        <w:t xml:space="preserve"> </w:t>
      </w:r>
      <w:r>
        <w:t>Financial</w:t>
      </w:r>
      <w:r>
        <w:rPr>
          <w:spacing w:val="-3"/>
        </w:rPr>
        <w:t xml:space="preserve"> </w:t>
      </w:r>
      <w:r>
        <w:t xml:space="preserve">Statement Audits of </w:t>
      </w:r>
      <w:r>
        <w:rPr>
          <w:b/>
        </w:rPr>
        <w:t>[Entity]</w:t>
      </w:r>
    </w:p>
    <w:p w14:paraId="0DFDC9A9" w14:textId="77777777" w:rsidR="00046465" w:rsidRDefault="008134EB">
      <w:pPr>
        <w:spacing w:before="241"/>
        <w:ind w:left="359"/>
      </w:pPr>
      <w:r>
        <w:t>Dear</w:t>
      </w:r>
      <w:r>
        <w:rPr>
          <w:spacing w:val="-6"/>
        </w:rPr>
        <w:t xml:space="preserve"> </w:t>
      </w:r>
      <w:r>
        <w:rPr>
          <w:b/>
          <w:spacing w:val="-2"/>
        </w:rPr>
        <w:t>[Auditor]</w:t>
      </w:r>
      <w:r>
        <w:rPr>
          <w:spacing w:val="-2"/>
        </w:rPr>
        <w:t>:</w:t>
      </w:r>
    </w:p>
    <w:p w14:paraId="0DFDC9AA" w14:textId="77777777" w:rsidR="00046465" w:rsidRDefault="008134EB">
      <w:pPr>
        <w:spacing w:before="240"/>
        <w:ind w:left="359" w:right="749"/>
        <w:rPr>
          <w:b/>
        </w:rPr>
      </w:pPr>
      <w:r>
        <w:t xml:space="preserve">As General Counsel of </w:t>
      </w:r>
      <w:r>
        <w:rPr>
          <w:b/>
        </w:rPr>
        <w:t>[Entity]</w:t>
      </w:r>
      <w:r>
        <w:t xml:space="preserve">, I am writing in response to the legal counsel request from </w:t>
      </w:r>
      <w:r>
        <w:rPr>
          <w:b/>
        </w:rPr>
        <w:t>[Entity]</w:t>
      </w:r>
      <w:r>
        <w:t>’s</w:t>
      </w:r>
      <w:r>
        <w:rPr>
          <w:spacing w:val="-3"/>
        </w:rPr>
        <w:t xml:space="preserve"> </w:t>
      </w:r>
      <w:r>
        <w:t>Chief</w:t>
      </w:r>
      <w:r>
        <w:rPr>
          <w:spacing w:val="-3"/>
        </w:rPr>
        <w:t xml:space="preserve"> </w:t>
      </w:r>
      <w:r>
        <w:t>Financial</w:t>
      </w:r>
      <w:r>
        <w:rPr>
          <w:spacing w:val="-3"/>
        </w:rPr>
        <w:t xml:space="preserve"> </w:t>
      </w:r>
      <w:r>
        <w:t>Officer</w:t>
      </w:r>
      <w:r>
        <w:rPr>
          <w:spacing w:val="-3"/>
        </w:rPr>
        <w:t xml:space="preserve"> </w:t>
      </w:r>
      <w:r>
        <w:t>(CFO)</w:t>
      </w:r>
      <w:r>
        <w:rPr>
          <w:spacing w:val="-3"/>
        </w:rPr>
        <w:t xml:space="preserve"> </w:t>
      </w:r>
      <w:r>
        <w:t>dated</w:t>
      </w:r>
      <w:r>
        <w:rPr>
          <w:spacing w:val="-3"/>
        </w:rPr>
        <w:t xml:space="preserve"> </w:t>
      </w:r>
      <w:r>
        <w:rPr>
          <w:b/>
        </w:rPr>
        <w:t>[date]</w:t>
      </w:r>
      <w:r>
        <w:t>,</w:t>
      </w:r>
      <w:r>
        <w:rPr>
          <w:spacing w:val="-3"/>
        </w:rPr>
        <w:t xml:space="preserve"> </w:t>
      </w:r>
      <w:r>
        <w:t>in</w:t>
      </w:r>
      <w:r>
        <w:rPr>
          <w:spacing w:val="-3"/>
        </w:rPr>
        <w:t xml:space="preserve"> </w:t>
      </w:r>
      <w:r>
        <w:t>connection</w:t>
      </w:r>
      <w:r>
        <w:rPr>
          <w:spacing w:val="-3"/>
        </w:rPr>
        <w:t xml:space="preserve"> </w:t>
      </w:r>
      <w:r>
        <w:t>with</w:t>
      </w:r>
      <w:r>
        <w:rPr>
          <w:spacing w:val="-3"/>
        </w:rPr>
        <w:t xml:space="preserve"> </w:t>
      </w:r>
      <w:r>
        <w:t>the</w:t>
      </w:r>
      <w:r>
        <w:rPr>
          <w:spacing w:val="-3"/>
        </w:rPr>
        <w:t xml:space="preserve"> </w:t>
      </w:r>
      <w:r>
        <w:t>audit</w:t>
      </w:r>
      <w:r>
        <w:rPr>
          <w:spacing w:val="-3"/>
        </w:rPr>
        <w:t xml:space="preserve"> </w:t>
      </w:r>
      <w:r>
        <w:t>of</w:t>
      </w:r>
      <w:r>
        <w:rPr>
          <w:spacing w:val="-3"/>
        </w:rPr>
        <w:t xml:space="preserve"> </w:t>
      </w:r>
      <w:r>
        <w:rPr>
          <w:b/>
        </w:rPr>
        <w:t>[Entity]</w:t>
      </w:r>
      <w:r>
        <w:t xml:space="preserve">’s financial statements as of and for the years ended September 30, 20X2, and 20X1. </w:t>
      </w:r>
      <w:r>
        <w:rPr>
          <w:b/>
        </w:rPr>
        <w:t>[In an interim response, add “I will, as further requested by the CFO, provide an updated response by [date].”]</w:t>
      </w:r>
    </w:p>
    <w:p w14:paraId="0DFDC9AB" w14:textId="77777777" w:rsidR="00046465" w:rsidRDefault="008134EB">
      <w:pPr>
        <w:spacing w:before="240"/>
        <w:ind w:left="359" w:right="765"/>
      </w:pPr>
      <w:r>
        <w:t xml:space="preserve">I call your attention to the fact that as General Counsel for </w:t>
      </w:r>
      <w:r>
        <w:rPr>
          <w:b/>
        </w:rPr>
        <w:t>[Entity]</w:t>
      </w:r>
      <w:r>
        <w:t xml:space="preserve">, I have general supervision of </w:t>
      </w:r>
      <w:r>
        <w:rPr>
          <w:b/>
        </w:rPr>
        <w:t>[Entity]</w:t>
      </w:r>
      <w:r>
        <w:t xml:space="preserve">’s legal affairs. </w:t>
      </w:r>
      <w:r>
        <w:rPr>
          <w:b/>
        </w:rPr>
        <w:t>[If the general legal supervisory responsibilities of the person signing</w:t>
      </w:r>
      <w:r>
        <w:rPr>
          <w:b/>
          <w:spacing w:val="-3"/>
        </w:rPr>
        <w:t xml:space="preserve"> </w:t>
      </w:r>
      <w:r>
        <w:rPr>
          <w:b/>
        </w:rPr>
        <w:t>the</w:t>
      </w:r>
      <w:r>
        <w:rPr>
          <w:b/>
          <w:spacing w:val="-3"/>
        </w:rPr>
        <w:t xml:space="preserve"> </w:t>
      </w:r>
      <w:r>
        <w:rPr>
          <w:b/>
        </w:rPr>
        <w:t>response</w:t>
      </w:r>
      <w:r>
        <w:rPr>
          <w:b/>
          <w:spacing w:val="-3"/>
        </w:rPr>
        <w:t xml:space="preserve"> </w:t>
      </w:r>
      <w:r>
        <w:rPr>
          <w:b/>
        </w:rPr>
        <w:t>letter</w:t>
      </w:r>
      <w:r>
        <w:rPr>
          <w:b/>
          <w:spacing w:val="-4"/>
        </w:rPr>
        <w:t xml:space="preserve"> </w:t>
      </w:r>
      <w:r>
        <w:rPr>
          <w:b/>
        </w:rPr>
        <w:t>are</w:t>
      </w:r>
      <w:r>
        <w:rPr>
          <w:b/>
          <w:spacing w:val="-3"/>
        </w:rPr>
        <w:t xml:space="preserve"> </w:t>
      </w:r>
      <w:r>
        <w:rPr>
          <w:b/>
        </w:rPr>
        <w:t>limited,</w:t>
      </w:r>
      <w:r>
        <w:rPr>
          <w:b/>
          <w:spacing w:val="-3"/>
        </w:rPr>
        <w:t xml:space="preserve"> </w:t>
      </w:r>
      <w:r>
        <w:rPr>
          <w:b/>
        </w:rPr>
        <w:t>set</w:t>
      </w:r>
      <w:r>
        <w:rPr>
          <w:b/>
          <w:spacing w:val="-3"/>
        </w:rPr>
        <w:t xml:space="preserve"> </w:t>
      </w:r>
      <w:r>
        <w:rPr>
          <w:b/>
        </w:rPr>
        <w:t>forth</w:t>
      </w:r>
      <w:r>
        <w:rPr>
          <w:b/>
          <w:spacing w:val="-3"/>
        </w:rPr>
        <w:t xml:space="preserve"> </w:t>
      </w:r>
      <w:r>
        <w:rPr>
          <w:b/>
        </w:rPr>
        <w:t>a</w:t>
      </w:r>
      <w:r>
        <w:rPr>
          <w:b/>
          <w:spacing w:val="-3"/>
        </w:rPr>
        <w:t xml:space="preserve"> </w:t>
      </w:r>
      <w:r>
        <w:rPr>
          <w:b/>
        </w:rPr>
        <w:t>clear</w:t>
      </w:r>
      <w:r>
        <w:rPr>
          <w:b/>
          <w:spacing w:val="-4"/>
        </w:rPr>
        <w:t xml:space="preserve"> </w:t>
      </w:r>
      <w:r>
        <w:rPr>
          <w:b/>
        </w:rPr>
        <w:t>description</w:t>
      </w:r>
      <w:r>
        <w:rPr>
          <w:b/>
          <w:spacing w:val="-3"/>
        </w:rPr>
        <w:t xml:space="preserve"> </w:t>
      </w:r>
      <w:r>
        <w:rPr>
          <w:b/>
        </w:rPr>
        <w:t>of</w:t>
      </w:r>
      <w:r>
        <w:rPr>
          <w:b/>
          <w:spacing w:val="-3"/>
        </w:rPr>
        <w:t xml:space="preserve"> </w:t>
      </w:r>
      <w:r>
        <w:rPr>
          <w:b/>
        </w:rPr>
        <w:t>those</w:t>
      </w:r>
      <w:r>
        <w:rPr>
          <w:b/>
          <w:spacing w:val="-3"/>
        </w:rPr>
        <w:t xml:space="preserve"> </w:t>
      </w:r>
      <w:r>
        <w:rPr>
          <w:b/>
        </w:rPr>
        <w:t>legal</w:t>
      </w:r>
      <w:r>
        <w:rPr>
          <w:b/>
          <w:spacing w:val="-3"/>
        </w:rPr>
        <w:t xml:space="preserve"> </w:t>
      </w:r>
      <w:r>
        <w:rPr>
          <w:b/>
        </w:rPr>
        <w:t xml:space="preserve">matters over which the signer exercises general supervision, indicating exceptions to such supervision and situations where the auditor may primarily rely on other sources.] </w:t>
      </w:r>
      <w:r>
        <w:t xml:space="preserve">In such capacity, I have reviewed litigation, claims, and assessments threatened or asserted involving </w:t>
      </w:r>
      <w:r>
        <w:rPr>
          <w:b/>
        </w:rPr>
        <w:t xml:space="preserve">[Entity] </w:t>
      </w:r>
      <w:r>
        <w:t>and have consulted with external legal counsel about them when I have deemed it appropriate.</w:t>
      </w:r>
    </w:p>
    <w:p w14:paraId="0DFDC9AC" w14:textId="77777777" w:rsidR="00046465" w:rsidRDefault="008134EB">
      <w:pPr>
        <w:spacing w:before="239"/>
        <w:ind w:left="359" w:right="777"/>
      </w:pPr>
      <w:r>
        <w:t>Subject</w:t>
      </w:r>
      <w:r>
        <w:rPr>
          <w:spacing w:val="-2"/>
        </w:rPr>
        <w:t xml:space="preserve"> </w:t>
      </w:r>
      <w:r>
        <w:t>to</w:t>
      </w:r>
      <w:r>
        <w:rPr>
          <w:spacing w:val="-2"/>
        </w:rPr>
        <w:t xml:space="preserve"> </w:t>
      </w:r>
      <w:r>
        <w:t>the</w:t>
      </w:r>
      <w:r>
        <w:rPr>
          <w:spacing w:val="-2"/>
        </w:rPr>
        <w:t xml:space="preserve"> </w:t>
      </w:r>
      <w:r>
        <w:t>foregoing</w:t>
      </w:r>
      <w:r>
        <w:rPr>
          <w:spacing w:val="-3"/>
        </w:rPr>
        <w:t xml:space="preserve"> </w:t>
      </w:r>
      <w:r>
        <w:t>and</w:t>
      </w:r>
      <w:r>
        <w:rPr>
          <w:spacing w:val="-2"/>
        </w:rPr>
        <w:t xml:space="preserve"> </w:t>
      </w:r>
      <w:r>
        <w:t>to</w:t>
      </w:r>
      <w:r>
        <w:rPr>
          <w:spacing w:val="-2"/>
        </w:rPr>
        <w:t xml:space="preserve"> </w:t>
      </w:r>
      <w:r>
        <w:t>the</w:t>
      </w:r>
      <w:r>
        <w:rPr>
          <w:spacing w:val="-2"/>
        </w:rPr>
        <w:t xml:space="preserve"> </w:t>
      </w:r>
      <w:r>
        <w:t>last</w:t>
      </w:r>
      <w:r>
        <w:rPr>
          <w:spacing w:val="-2"/>
        </w:rPr>
        <w:t xml:space="preserve"> </w:t>
      </w:r>
      <w:r>
        <w:t>paragraph</w:t>
      </w:r>
      <w:r>
        <w:rPr>
          <w:spacing w:val="-2"/>
        </w:rPr>
        <w:t xml:space="preserve"> </w:t>
      </w:r>
      <w:r>
        <w:t>of</w:t>
      </w:r>
      <w:r>
        <w:rPr>
          <w:spacing w:val="-2"/>
        </w:rPr>
        <w:t xml:space="preserve"> </w:t>
      </w:r>
      <w:r>
        <w:t>this</w:t>
      </w:r>
      <w:r>
        <w:rPr>
          <w:spacing w:val="-2"/>
        </w:rPr>
        <w:t xml:space="preserve"> </w:t>
      </w:r>
      <w:r>
        <w:t>response</w:t>
      </w:r>
      <w:r>
        <w:rPr>
          <w:spacing w:val="-1"/>
        </w:rPr>
        <w:t xml:space="preserve"> </w:t>
      </w:r>
      <w:r>
        <w:t>letter,</w:t>
      </w:r>
      <w:r>
        <w:rPr>
          <w:spacing w:val="-3"/>
        </w:rPr>
        <w:t xml:space="preserve"> </w:t>
      </w:r>
      <w:r>
        <w:t>I</w:t>
      </w:r>
      <w:r>
        <w:rPr>
          <w:spacing w:val="-2"/>
        </w:rPr>
        <w:t xml:space="preserve"> </w:t>
      </w:r>
      <w:r>
        <w:t>advise</w:t>
      </w:r>
      <w:r>
        <w:rPr>
          <w:spacing w:val="-3"/>
        </w:rPr>
        <w:t xml:space="preserve"> </w:t>
      </w:r>
      <w:r>
        <w:t>you</w:t>
      </w:r>
      <w:r>
        <w:rPr>
          <w:spacing w:val="-2"/>
        </w:rPr>
        <w:t xml:space="preserve"> </w:t>
      </w:r>
      <w:r>
        <w:t>that</w:t>
      </w:r>
      <w:r>
        <w:rPr>
          <w:spacing w:val="-2"/>
        </w:rPr>
        <w:t xml:space="preserve"> </w:t>
      </w:r>
      <w:r>
        <w:t xml:space="preserve">since [insert date of beginning of period under audit] neither I, nor any of the lawyers over whom I exercise general legal supervision, have given substantive attention to or represented </w:t>
      </w:r>
      <w:r>
        <w:rPr>
          <w:b/>
        </w:rPr>
        <w:t xml:space="preserve">[Entity] </w:t>
      </w:r>
      <w:r>
        <w:t xml:space="preserve">in connection with (1) loss contingencies </w:t>
      </w:r>
      <w:r>
        <w:rPr>
          <w:b/>
        </w:rPr>
        <w:t>[over the amount of (state the legal counsel materiality</w:t>
      </w:r>
      <w:r>
        <w:rPr>
          <w:b/>
          <w:spacing w:val="-3"/>
        </w:rPr>
        <w:t xml:space="preserve"> </w:t>
      </w:r>
      <w:r>
        <w:rPr>
          <w:b/>
        </w:rPr>
        <w:t>agreed</w:t>
      </w:r>
      <w:r>
        <w:rPr>
          <w:b/>
          <w:spacing w:val="-3"/>
        </w:rPr>
        <w:t xml:space="preserve"> </w:t>
      </w:r>
      <w:r>
        <w:rPr>
          <w:b/>
        </w:rPr>
        <w:t>to</w:t>
      </w:r>
      <w:r>
        <w:rPr>
          <w:b/>
          <w:spacing w:val="-3"/>
        </w:rPr>
        <w:t xml:space="preserve"> </w:t>
      </w:r>
      <w:r>
        <w:rPr>
          <w:b/>
        </w:rPr>
        <w:t>with</w:t>
      </w:r>
      <w:r>
        <w:rPr>
          <w:b/>
          <w:spacing w:val="-3"/>
        </w:rPr>
        <w:t xml:space="preserve"> </w:t>
      </w:r>
      <w:r>
        <w:rPr>
          <w:b/>
        </w:rPr>
        <w:t>auditor</w:t>
      </w:r>
      <w:r>
        <w:rPr>
          <w:b/>
          <w:spacing w:val="-4"/>
        </w:rPr>
        <w:t xml:space="preserve"> </w:t>
      </w:r>
      <w:r>
        <w:rPr>
          <w:b/>
        </w:rPr>
        <w:t>and</w:t>
      </w:r>
      <w:r>
        <w:rPr>
          <w:b/>
          <w:spacing w:val="-3"/>
        </w:rPr>
        <w:t xml:space="preserve"> </w:t>
      </w:r>
      <w:r>
        <w:rPr>
          <w:b/>
        </w:rPr>
        <w:t>stated</w:t>
      </w:r>
      <w:r>
        <w:rPr>
          <w:b/>
          <w:spacing w:val="-3"/>
        </w:rPr>
        <w:t xml:space="preserve"> </w:t>
      </w:r>
      <w:r>
        <w:rPr>
          <w:b/>
        </w:rPr>
        <w:t>in</w:t>
      </w:r>
      <w:r>
        <w:rPr>
          <w:b/>
          <w:spacing w:val="-3"/>
        </w:rPr>
        <w:t xml:space="preserve"> </w:t>
      </w:r>
      <w:r>
        <w:rPr>
          <w:b/>
        </w:rPr>
        <w:t>the</w:t>
      </w:r>
      <w:r>
        <w:rPr>
          <w:b/>
          <w:spacing w:val="-3"/>
        </w:rPr>
        <w:t xml:space="preserve"> </w:t>
      </w:r>
      <w:r>
        <w:rPr>
          <w:b/>
        </w:rPr>
        <w:t>legal</w:t>
      </w:r>
      <w:r>
        <w:rPr>
          <w:b/>
          <w:spacing w:val="-3"/>
        </w:rPr>
        <w:t xml:space="preserve"> </w:t>
      </w:r>
      <w:r>
        <w:rPr>
          <w:b/>
        </w:rPr>
        <w:t>counsel</w:t>
      </w:r>
      <w:r>
        <w:rPr>
          <w:b/>
          <w:spacing w:val="-3"/>
        </w:rPr>
        <w:t xml:space="preserve"> </w:t>
      </w:r>
      <w:r>
        <w:rPr>
          <w:b/>
        </w:rPr>
        <w:t>request,</w:t>
      </w:r>
      <w:r>
        <w:rPr>
          <w:b/>
          <w:spacing w:val="-3"/>
        </w:rPr>
        <w:t xml:space="preserve"> </w:t>
      </w:r>
      <w:r>
        <w:rPr>
          <w:b/>
        </w:rPr>
        <w:t>for</w:t>
      </w:r>
      <w:r>
        <w:rPr>
          <w:b/>
          <w:spacing w:val="-4"/>
        </w:rPr>
        <w:t xml:space="preserve"> </w:t>
      </w:r>
      <w:r>
        <w:rPr>
          <w:b/>
        </w:rPr>
        <w:t>example,</w:t>
      </w:r>
      <w:r>
        <w:rPr>
          <w:b/>
          <w:spacing w:val="-3"/>
        </w:rPr>
        <w:t xml:space="preserve"> </w:t>
      </w:r>
      <w:r>
        <w:rPr>
          <w:b/>
        </w:rPr>
        <w:t>$1 million for cases listed individually or in the aggregate for similar cases)]</w:t>
      </w:r>
      <w:r>
        <w:t xml:space="preserve">, or (2) loss contingencies that are less than or equal to </w:t>
      </w:r>
      <w:r>
        <w:rPr>
          <w:b/>
        </w:rPr>
        <w:t xml:space="preserve">[for example, $1 million] </w:t>
      </w:r>
      <w:r>
        <w:t xml:space="preserve">but in the aggregate exceed </w:t>
      </w:r>
      <w:r>
        <w:rPr>
          <w:b/>
        </w:rPr>
        <w:t xml:space="preserve">[for example, $5 million for cases not listed individually or as part of similar cases] </w:t>
      </w:r>
      <w:r>
        <w:t>coming within the scope of clause (a) of</w:t>
      </w:r>
      <w:r>
        <w:rPr>
          <w:spacing w:val="-1"/>
        </w:rPr>
        <w:t xml:space="preserve"> </w:t>
      </w:r>
      <w:r>
        <w:t>paragraph 5 of the Statement of Policy referred to in the last paragraph of this response letter, except as follows:</w:t>
      </w:r>
    </w:p>
    <w:p w14:paraId="0DFDC9AD" w14:textId="77777777" w:rsidR="00046465" w:rsidRDefault="008134EB">
      <w:pPr>
        <w:spacing w:before="242"/>
        <w:ind w:left="359" w:right="946"/>
        <w:rPr>
          <w:b/>
        </w:rPr>
      </w:pPr>
      <w:r>
        <w:rPr>
          <w:b/>
        </w:rPr>
        <w:t>[Describe litigation, claims, and assessments that fit the foregoing criteria as follows. General</w:t>
      </w:r>
      <w:r>
        <w:rPr>
          <w:b/>
          <w:spacing w:val="-4"/>
        </w:rPr>
        <w:t xml:space="preserve"> </w:t>
      </w:r>
      <w:r>
        <w:rPr>
          <w:b/>
        </w:rPr>
        <w:t>Counsel</w:t>
      </w:r>
      <w:r>
        <w:rPr>
          <w:b/>
          <w:spacing w:val="-4"/>
        </w:rPr>
        <w:t xml:space="preserve"> </w:t>
      </w:r>
      <w:r>
        <w:rPr>
          <w:b/>
        </w:rPr>
        <w:t>should</w:t>
      </w:r>
      <w:r>
        <w:rPr>
          <w:b/>
          <w:spacing w:val="-4"/>
        </w:rPr>
        <w:t xml:space="preserve"> </w:t>
      </w:r>
      <w:r>
        <w:rPr>
          <w:b/>
        </w:rPr>
        <w:t>use</w:t>
      </w:r>
      <w:r>
        <w:rPr>
          <w:b/>
          <w:spacing w:val="-4"/>
        </w:rPr>
        <w:t xml:space="preserve"> </w:t>
      </w:r>
      <w:r>
        <w:rPr>
          <w:b/>
        </w:rPr>
        <w:t>current</w:t>
      </w:r>
      <w:r>
        <w:rPr>
          <w:b/>
          <w:spacing w:val="-4"/>
        </w:rPr>
        <w:t xml:space="preserve"> </w:t>
      </w:r>
      <w:r>
        <w:rPr>
          <w:b/>
        </w:rPr>
        <w:t>Department</w:t>
      </w:r>
      <w:r>
        <w:rPr>
          <w:b/>
          <w:spacing w:val="-4"/>
        </w:rPr>
        <w:t xml:space="preserve"> </w:t>
      </w:r>
      <w:r>
        <w:rPr>
          <w:b/>
        </w:rPr>
        <w:t>of</w:t>
      </w:r>
      <w:r>
        <w:rPr>
          <w:b/>
          <w:spacing w:val="-4"/>
        </w:rPr>
        <w:t xml:space="preserve"> </w:t>
      </w:r>
      <w:r>
        <w:rPr>
          <w:b/>
        </w:rPr>
        <w:t>Justice</w:t>
      </w:r>
      <w:r>
        <w:rPr>
          <w:b/>
          <w:spacing w:val="-4"/>
        </w:rPr>
        <w:t xml:space="preserve"> </w:t>
      </w:r>
      <w:r>
        <w:rPr>
          <w:b/>
        </w:rPr>
        <w:t>forms</w:t>
      </w:r>
      <w:r>
        <w:rPr>
          <w:b/>
          <w:spacing w:val="-4"/>
        </w:rPr>
        <w:t xml:space="preserve"> </w:t>
      </w:r>
      <w:r>
        <w:rPr>
          <w:b/>
        </w:rPr>
        <w:t>to</w:t>
      </w:r>
      <w:r>
        <w:rPr>
          <w:b/>
          <w:spacing w:val="-4"/>
        </w:rPr>
        <w:t xml:space="preserve"> </w:t>
      </w:r>
      <w:r>
        <w:rPr>
          <w:b/>
        </w:rPr>
        <w:t>describe</w:t>
      </w:r>
      <w:r>
        <w:rPr>
          <w:b/>
          <w:spacing w:val="-4"/>
        </w:rPr>
        <w:t xml:space="preserve"> </w:t>
      </w:r>
      <w:r>
        <w:rPr>
          <w:b/>
        </w:rPr>
        <w:t>the</w:t>
      </w:r>
      <w:r>
        <w:rPr>
          <w:b/>
          <w:spacing w:val="-4"/>
        </w:rPr>
        <w:t xml:space="preserve"> </w:t>
      </w:r>
      <w:r>
        <w:rPr>
          <w:b/>
        </w:rPr>
        <w:t xml:space="preserve">cases (one for pending or threatened litigation, another for unasserted claims and assessments); see the Department of Justice website at </w:t>
      </w:r>
      <w:hyperlink r:id="rId242">
        <w:r>
          <w:rPr>
            <w:b/>
            <w:color w:val="0000FF"/>
          </w:rPr>
          <w:t>https://www.justice.gov/civil/documents-and-forms</w:t>
        </w:r>
      </w:hyperlink>
      <w:r>
        <w:rPr>
          <w:b/>
          <w:color w:val="0000FF"/>
        </w:rPr>
        <w:t xml:space="preserve"> </w:t>
      </w:r>
      <w:r>
        <w:rPr>
          <w:b/>
        </w:rPr>
        <w:t>(accessed June 4, 2026).</w:t>
      </w:r>
      <w:hyperlink w:anchor="_bookmark230" w:history="1">
        <w:r>
          <w:rPr>
            <w:b/>
            <w:vertAlign w:val="superscript"/>
          </w:rPr>
          <w:t>18</w:t>
        </w:r>
      </w:hyperlink>
      <w:r>
        <w:rPr>
          <w:b/>
        </w:rPr>
        <w:t>]</w:t>
      </w:r>
    </w:p>
    <w:p w14:paraId="0DFDC9AE" w14:textId="77777777" w:rsidR="00046465" w:rsidRDefault="008134EB">
      <w:pPr>
        <w:pStyle w:val="BodyText"/>
        <w:spacing w:before="107"/>
        <w:rPr>
          <w:b/>
          <w:sz w:val="20"/>
        </w:rPr>
      </w:pPr>
      <w:r>
        <w:rPr>
          <w:b/>
          <w:noProof/>
          <w:sz w:val="20"/>
        </w:rPr>
        <mc:AlternateContent>
          <mc:Choice Requires="wps">
            <w:drawing>
              <wp:anchor distT="0" distB="0" distL="0" distR="0" simplePos="0" relativeHeight="487739904" behindDoc="1" locked="0" layoutInCell="1" allowOverlap="1" wp14:anchorId="0DFDD765" wp14:editId="0DFDD766">
                <wp:simplePos x="0" y="0"/>
                <wp:positionH relativeFrom="page">
                  <wp:posOffset>914400</wp:posOffset>
                </wp:positionH>
                <wp:positionV relativeFrom="paragraph">
                  <wp:posOffset>229785</wp:posOffset>
                </wp:positionV>
                <wp:extent cx="1828800" cy="5715"/>
                <wp:effectExtent l="0" t="0" r="0" b="0"/>
                <wp:wrapTopAndBottom/>
                <wp:docPr id="1135" name="Graphic 1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512622" id="Graphic 1135" o:spid="_x0000_s1026" style="position:absolute;margin-left:1in;margin-top:18.1pt;width:2in;height:.45pt;z-index:-15576576;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" path="m1828800,l,,,5321r1828800,l1828800,xe" fillcolor="black" stroked="f">
                <v:path arrowok="t"/>
                <w10:wrap type="topAndBottom" anchorx="page"/>
              </v:shape>
            </w:pict>
          </mc:Fallback>
        </mc:AlternateContent>
      </w:r>
    </w:p>
    <w:p w14:paraId="0DFDC9AF" w14:textId="77777777" w:rsidR="00046465" w:rsidRDefault="008134EB">
      <w:pPr>
        <w:spacing w:before="200"/>
        <w:ind w:left="360"/>
        <w:rPr>
          <w:sz w:val="18"/>
        </w:rPr>
      </w:pPr>
      <w:bookmarkStart w:id="406" w:name="_bookmark229"/>
      <w:bookmarkEnd w:id="406"/>
      <w:r>
        <w:rPr>
          <w:position w:val="7"/>
          <w:sz w:val="14"/>
        </w:rPr>
        <w:t>17</w:t>
      </w:r>
      <w:r>
        <w:rPr>
          <w:sz w:val="18"/>
        </w:rPr>
        <w:t>Note</w:t>
      </w:r>
      <w:r>
        <w:rPr>
          <w:spacing w:val="-6"/>
          <w:sz w:val="18"/>
        </w:rPr>
        <w:t xml:space="preserve"> </w:t>
      </w:r>
      <w:r>
        <w:rPr>
          <w:sz w:val="18"/>
        </w:rPr>
        <w:t>to</w:t>
      </w:r>
      <w:r>
        <w:rPr>
          <w:spacing w:val="-3"/>
          <w:sz w:val="18"/>
        </w:rPr>
        <w:t xml:space="preserve"> </w:t>
      </w:r>
      <w:r>
        <w:rPr>
          <w:sz w:val="18"/>
        </w:rPr>
        <w:t>auditor:</w:t>
      </w:r>
      <w:r>
        <w:rPr>
          <w:spacing w:val="-2"/>
          <w:sz w:val="18"/>
        </w:rPr>
        <w:t xml:space="preserve"> </w:t>
      </w:r>
      <w:r>
        <w:rPr>
          <w:sz w:val="18"/>
        </w:rPr>
        <w:t>20X2</w:t>
      </w:r>
      <w:r>
        <w:rPr>
          <w:spacing w:val="-3"/>
          <w:sz w:val="18"/>
        </w:rPr>
        <w:t xml:space="preserve"> </w:t>
      </w:r>
      <w:r>
        <w:rPr>
          <w:sz w:val="18"/>
        </w:rPr>
        <w:t>denotes</w:t>
      </w:r>
      <w:r>
        <w:rPr>
          <w:spacing w:val="-2"/>
          <w:sz w:val="18"/>
        </w:rPr>
        <w:t xml:space="preserve"> </w:t>
      </w:r>
      <w:r>
        <w:rPr>
          <w:sz w:val="18"/>
        </w:rPr>
        <w:t>the</w:t>
      </w:r>
      <w:r>
        <w:rPr>
          <w:spacing w:val="-3"/>
          <w:sz w:val="18"/>
        </w:rPr>
        <w:t xml:space="preserve"> </w:t>
      </w:r>
      <w:r>
        <w:rPr>
          <w:sz w:val="18"/>
        </w:rPr>
        <w:t>current</w:t>
      </w:r>
      <w:r>
        <w:rPr>
          <w:spacing w:val="-2"/>
          <w:sz w:val="18"/>
        </w:rPr>
        <w:t xml:space="preserve"> </w:t>
      </w:r>
      <w:r>
        <w:rPr>
          <w:sz w:val="18"/>
        </w:rPr>
        <w:t>year,</w:t>
      </w:r>
      <w:r>
        <w:rPr>
          <w:spacing w:val="-2"/>
          <w:sz w:val="18"/>
        </w:rPr>
        <w:t xml:space="preserve"> </w:t>
      </w:r>
      <w:r>
        <w:rPr>
          <w:sz w:val="18"/>
        </w:rPr>
        <w:t>and</w:t>
      </w:r>
      <w:r>
        <w:rPr>
          <w:spacing w:val="-4"/>
          <w:sz w:val="18"/>
        </w:rPr>
        <w:t xml:space="preserve"> </w:t>
      </w:r>
      <w:r>
        <w:rPr>
          <w:sz w:val="18"/>
        </w:rPr>
        <w:t>20X1</w:t>
      </w:r>
      <w:r>
        <w:rPr>
          <w:spacing w:val="-3"/>
          <w:sz w:val="18"/>
        </w:rPr>
        <w:t xml:space="preserve"> </w:t>
      </w:r>
      <w:r>
        <w:rPr>
          <w:sz w:val="18"/>
        </w:rPr>
        <w:t>denotes</w:t>
      </w:r>
      <w:r>
        <w:rPr>
          <w:spacing w:val="-2"/>
          <w:sz w:val="18"/>
        </w:rPr>
        <w:t xml:space="preserve"> </w:t>
      </w:r>
      <w:r>
        <w:rPr>
          <w:sz w:val="18"/>
        </w:rPr>
        <w:t>the</w:t>
      </w:r>
      <w:r>
        <w:rPr>
          <w:spacing w:val="-3"/>
          <w:sz w:val="18"/>
        </w:rPr>
        <w:t xml:space="preserve"> </w:t>
      </w:r>
      <w:r>
        <w:rPr>
          <w:sz w:val="18"/>
        </w:rPr>
        <w:t>prior</w:t>
      </w:r>
      <w:r>
        <w:rPr>
          <w:spacing w:val="-2"/>
          <w:sz w:val="18"/>
        </w:rPr>
        <w:t xml:space="preserve"> year.</w:t>
      </w:r>
    </w:p>
    <w:p w14:paraId="0DFDC9B0" w14:textId="77777777" w:rsidR="00046465" w:rsidRDefault="008134EB">
      <w:pPr>
        <w:spacing w:before="74"/>
        <w:ind w:left="360"/>
        <w:rPr>
          <w:sz w:val="18"/>
        </w:rPr>
      </w:pPr>
      <w:bookmarkStart w:id="407" w:name="_bookmark230"/>
      <w:bookmarkEnd w:id="407"/>
      <w:r>
        <w:rPr>
          <w:position w:val="7"/>
          <w:sz w:val="14"/>
        </w:rPr>
        <w:t>18</w:t>
      </w:r>
      <w:r>
        <w:rPr>
          <w:sz w:val="18"/>
        </w:rPr>
        <w:t>It</w:t>
      </w:r>
      <w:r>
        <w:rPr>
          <w:spacing w:val="-5"/>
          <w:sz w:val="18"/>
        </w:rPr>
        <w:t xml:space="preserve"> </w:t>
      </w:r>
      <w:r>
        <w:rPr>
          <w:sz w:val="18"/>
        </w:rPr>
        <w:t>is</w:t>
      </w:r>
      <w:r>
        <w:rPr>
          <w:spacing w:val="-2"/>
          <w:sz w:val="18"/>
        </w:rPr>
        <w:t xml:space="preserve"> </w:t>
      </w:r>
      <w:r>
        <w:rPr>
          <w:sz w:val="18"/>
        </w:rPr>
        <w:t>expected</w:t>
      </w:r>
      <w:r>
        <w:rPr>
          <w:spacing w:val="-2"/>
          <w:sz w:val="18"/>
        </w:rPr>
        <w:t xml:space="preserve"> </w:t>
      </w:r>
      <w:r>
        <w:rPr>
          <w:sz w:val="18"/>
        </w:rPr>
        <w:t>that</w:t>
      </w:r>
      <w:r>
        <w:rPr>
          <w:spacing w:val="-3"/>
          <w:sz w:val="18"/>
        </w:rPr>
        <w:t xml:space="preserve"> </w:t>
      </w:r>
      <w:r>
        <w:rPr>
          <w:sz w:val="18"/>
        </w:rPr>
        <w:t>cases</w:t>
      </w:r>
      <w:r>
        <w:rPr>
          <w:spacing w:val="-2"/>
          <w:sz w:val="18"/>
        </w:rPr>
        <w:t xml:space="preserve"> </w:t>
      </w:r>
      <w:r>
        <w:rPr>
          <w:sz w:val="18"/>
        </w:rPr>
        <w:t>or</w:t>
      </w:r>
      <w:r>
        <w:rPr>
          <w:spacing w:val="-2"/>
          <w:sz w:val="18"/>
        </w:rPr>
        <w:t xml:space="preserve"> </w:t>
      </w:r>
      <w:r>
        <w:rPr>
          <w:sz w:val="18"/>
        </w:rPr>
        <w:t>matters</w:t>
      </w:r>
      <w:r>
        <w:rPr>
          <w:spacing w:val="-2"/>
          <w:sz w:val="18"/>
        </w:rPr>
        <w:t xml:space="preserve"> </w:t>
      </w:r>
      <w:r>
        <w:rPr>
          <w:sz w:val="18"/>
        </w:rPr>
        <w:t>will</w:t>
      </w:r>
      <w:r>
        <w:rPr>
          <w:spacing w:val="-2"/>
          <w:sz w:val="18"/>
        </w:rPr>
        <w:t xml:space="preserve"> </w:t>
      </w:r>
      <w:r>
        <w:rPr>
          <w:sz w:val="18"/>
        </w:rPr>
        <w:t>be</w:t>
      </w:r>
      <w:r>
        <w:rPr>
          <w:spacing w:val="-3"/>
          <w:sz w:val="18"/>
        </w:rPr>
        <w:t xml:space="preserve"> </w:t>
      </w:r>
      <w:r>
        <w:rPr>
          <w:sz w:val="18"/>
        </w:rPr>
        <w:t>aggregated</w:t>
      </w:r>
      <w:r>
        <w:rPr>
          <w:spacing w:val="-3"/>
          <w:sz w:val="18"/>
        </w:rPr>
        <w:t xml:space="preserve"> </w:t>
      </w:r>
      <w:r>
        <w:rPr>
          <w:sz w:val="18"/>
        </w:rPr>
        <w:t>where</w:t>
      </w:r>
      <w:r>
        <w:rPr>
          <w:spacing w:val="-2"/>
          <w:sz w:val="18"/>
        </w:rPr>
        <w:t xml:space="preserve"> appropriate.</w:t>
      </w:r>
    </w:p>
    <w:p w14:paraId="0DFDC9B1" w14:textId="77777777" w:rsidR="00046465" w:rsidRDefault="00046465">
      <w:pPr>
        <w:rPr>
          <w:sz w:val="18"/>
        </w:rPr>
        <w:sectPr w:rsidR="00046465">
          <w:headerReference w:type="default" r:id="rId243"/>
          <w:footerReference w:type="default" r:id="rId244"/>
          <w:pgSz w:w="12240" w:h="15840"/>
          <w:pgMar w:top="1340" w:right="720" w:bottom="940" w:left="1080" w:header="721" w:footer="757" w:gutter="0"/>
          <w:pgNumType w:start="1"/>
          <w:cols w:space="720"/>
        </w:sectPr>
      </w:pPr>
    </w:p>
    <w:p w14:paraId="0DFDC9B2" w14:textId="77777777" w:rsidR="00046465" w:rsidRDefault="008134EB">
      <w:pPr>
        <w:spacing w:before="121"/>
        <w:ind w:left="360"/>
        <w:rPr>
          <w:b/>
        </w:rPr>
      </w:pPr>
      <w:r>
        <w:rPr>
          <w:b/>
          <w:u w:val="single"/>
        </w:rPr>
        <w:lastRenderedPageBreak/>
        <w:t>Pending</w:t>
      </w:r>
      <w:r>
        <w:rPr>
          <w:b/>
          <w:spacing w:val="-8"/>
          <w:u w:val="single"/>
        </w:rPr>
        <w:t xml:space="preserve"> </w:t>
      </w:r>
      <w:r>
        <w:rPr>
          <w:b/>
          <w:u w:val="single"/>
        </w:rPr>
        <w:t>or</w:t>
      </w:r>
      <w:r>
        <w:rPr>
          <w:b/>
          <w:spacing w:val="-9"/>
          <w:u w:val="single"/>
        </w:rPr>
        <w:t xml:space="preserve"> </w:t>
      </w:r>
      <w:r>
        <w:rPr>
          <w:b/>
          <w:u w:val="single"/>
        </w:rPr>
        <w:t>Threatened</w:t>
      </w:r>
      <w:r>
        <w:rPr>
          <w:b/>
          <w:spacing w:val="-9"/>
          <w:u w:val="single"/>
        </w:rPr>
        <w:t xml:space="preserve"> </w:t>
      </w:r>
      <w:r>
        <w:rPr>
          <w:b/>
          <w:u w:val="single"/>
        </w:rPr>
        <w:t>Litigation,</w:t>
      </w:r>
      <w:r>
        <w:rPr>
          <w:b/>
          <w:spacing w:val="-8"/>
          <w:u w:val="single"/>
        </w:rPr>
        <w:t xml:space="preserve"> </w:t>
      </w:r>
      <w:r>
        <w:rPr>
          <w:b/>
          <w:u w:val="single"/>
        </w:rPr>
        <w:t>Claims,</w:t>
      </w:r>
      <w:r>
        <w:rPr>
          <w:b/>
          <w:spacing w:val="-8"/>
          <w:u w:val="single"/>
        </w:rPr>
        <w:t xml:space="preserve"> </w:t>
      </w:r>
      <w:r>
        <w:rPr>
          <w:b/>
          <w:u w:val="single"/>
        </w:rPr>
        <w:t>and</w:t>
      </w:r>
      <w:r>
        <w:rPr>
          <w:b/>
          <w:spacing w:val="-7"/>
          <w:u w:val="single"/>
        </w:rPr>
        <w:t xml:space="preserve"> </w:t>
      </w:r>
      <w:r>
        <w:rPr>
          <w:b/>
          <w:spacing w:val="-2"/>
          <w:u w:val="single"/>
        </w:rPr>
        <w:t>Assessments</w:t>
      </w:r>
    </w:p>
    <w:p w14:paraId="0DFDC9B3" w14:textId="77777777" w:rsidR="00046465" w:rsidRDefault="008134EB">
      <w:pPr>
        <w:pStyle w:val="BodyText"/>
        <w:spacing w:before="240"/>
        <w:ind w:left="360"/>
      </w:pPr>
      <w:r>
        <w:t>(Excluding</w:t>
      </w:r>
      <w:r>
        <w:rPr>
          <w:spacing w:val="-10"/>
        </w:rPr>
        <w:t xml:space="preserve"> </w:t>
      </w:r>
      <w:r>
        <w:t>unasserted</w:t>
      </w:r>
      <w:r>
        <w:rPr>
          <w:spacing w:val="-9"/>
        </w:rPr>
        <w:t xml:space="preserve"> </w:t>
      </w:r>
      <w:r>
        <w:t>claims</w:t>
      </w:r>
      <w:r>
        <w:rPr>
          <w:spacing w:val="-9"/>
        </w:rPr>
        <w:t xml:space="preserve"> </w:t>
      </w:r>
      <w:r>
        <w:t>and</w:t>
      </w:r>
      <w:r>
        <w:rPr>
          <w:spacing w:val="-9"/>
        </w:rPr>
        <w:t xml:space="preserve"> </w:t>
      </w:r>
      <w:r>
        <w:t>assessments,</w:t>
      </w:r>
      <w:r>
        <w:rPr>
          <w:spacing w:val="-10"/>
        </w:rPr>
        <w:t xml:space="preserve"> </w:t>
      </w:r>
      <w:r>
        <w:t>which</w:t>
      </w:r>
      <w:r>
        <w:rPr>
          <w:spacing w:val="-9"/>
        </w:rPr>
        <w:t xml:space="preserve"> </w:t>
      </w:r>
      <w:r>
        <w:t>are</w:t>
      </w:r>
      <w:r>
        <w:rPr>
          <w:spacing w:val="-9"/>
        </w:rPr>
        <w:t xml:space="preserve"> </w:t>
      </w:r>
      <w:r>
        <w:t>discussed</w:t>
      </w:r>
      <w:r>
        <w:rPr>
          <w:spacing w:val="-10"/>
        </w:rPr>
        <w:t xml:space="preserve"> </w:t>
      </w:r>
      <w:r>
        <w:rPr>
          <w:spacing w:val="-2"/>
        </w:rPr>
        <w:t>below.)</w:t>
      </w:r>
    </w:p>
    <w:p w14:paraId="0DFDC9B4" w14:textId="77777777" w:rsidR="00046465" w:rsidRDefault="008134EB">
      <w:pPr>
        <w:pStyle w:val="ListParagraph"/>
        <w:numPr>
          <w:ilvl w:val="0"/>
          <w:numId w:val="57"/>
        </w:numPr>
        <w:tabs>
          <w:tab w:val="left" w:pos="719"/>
        </w:tabs>
        <w:spacing w:before="239"/>
        <w:ind w:right="1317"/>
      </w:pPr>
      <w:r>
        <w:t>Nature</w:t>
      </w:r>
      <w:r>
        <w:rPr>
          <w:spacing w:val="-3"/>
        </w:rPr>
        <w:t xml:space="preserve"> </w:t>
      </w:r>
      <w:r>
        <w:t>of</w:t>
      </w:r>
      <w:r>
        <w:rPr>
          <w:spacing w:val="-3"/>
        </w:rPr>
        <w:t xml:space="preserve"> </w:t>
      </w:r>
      <w:r>
        <w:t>the</w:t>
      </w:r>
      <w:r>
        <w:rPr>
          <w:spacing w:val="-3"/>
        </w:rPr>
        <w:t xml:space="preserve"> </w:t>
      </w:r>
      <w:r>
        <w:t>matter</w:t>
      </w:r>
      <w:r>
        <w:rPr>
          <w:spacing w:val="-3"/>
        </w:rPr>
        <w:t xml:space="preserve"> </w:t>
      </w:r>
      <w:r>
        <w:t>(include</w:t>
      </w:r>
      <w:r>
        <w:rPr>
          <w:spacing w:val="-3"/>
        </w:rPr>
        <w:t xml:space="preserve"> </w:t>
      </w:r>
      <w:r>
        <w:t>a</w:t>
      </w:r>
      <w:r>
        <w:rPr>
          <w:spacing w:val="-3"/>
        </w:rPr>
        <w:t xml:space="preserve"> </w:t>
      </w:r>
      <w:r>
        <w:t>description</w:t>
      </w:r>
      <w:r>
        <w:rPr>
          <w:spacing w:val="-3"/>
        </w:rPr>
        <w:t xml:space="preserve"> </w:t>
      </w:r>
      <w:r>
        <w:t>of</w:t>
      </w:r>
      <w:r>
        <w:rPr>
          <w:spacing w:val="-3"/>
        </w:rPr>
        <w:t xml:space="preserve"> </w:t>
      </w:r>
      <w:r>
        <w:t>the</w:t>
      </w:r>
      <w:r>
        <w:rPr>
          <w:spacing w:val="-4"/>
        </w:rPr>
        <w:t xml:space="preserve"> </w:t>
      </w:r>
      <w:r>
        <w:t>case</w:t>
      </w:r>
      <w:r>
        <w:rPr>
          <w:spacing w:val="-3"/>
        </w:rPr>
        <w:t xml:space="preserve"> </w:t>
      </w:r>
      <w:r>
        <w:t>or</w:t>
      </w:r>
      <w:r>
        <w:rPr>
          <w:spacing w:val="-3"/>
        </w:rPr>
        <w:t xml:space="preserve"> </w:t>
      </w:r>
      <w:r>
        <w:t>cases</w:t>
      </w:r>
      <w:r>
        <w:rPr>
          <w:spacing w:val="-3"/>
        </w:rPr>
        <w:t xml:space="preserve"> </w:t>
      </w:r>
      <w:r>
        <w:t>and</w:t>
      </w:r>
      <w:r>
        <w:rPr>
          <w:spacing w:val="-3"/>
        </w:rPr>
        <w:t xml:space="preserve"> </w:t>
      </w:r>
      <w:r>
        <w:t>amount</w:t>
      </w:r>
      <w:r>
        <w:rPr>
          <w:spacing w:val="-3"/>
        </w:rPr>
        <w:t xml:space="preserve"> </w:t>
      </w:r>
      <w:r>
        <w:t>claimed,</w:t>
      </w:r>
      <w:r>
        <w:rPr>
          <w:spacing w:val="-4"/>
        </w:rPr>
        <w:t xml:space="preserve"> </w:t>
      </w:r>
      <w:r>
        <w:t xml:space="preserve">if </w:t>
      </w:r>
      <w:r>
        <w:rPr>
          <w:spacing w:val="-2"/>
        </w:rPr>
        <w:t>specified).</w:t>
      </w:r>
    </w:p>
    <w:p w14:paraId="0DFDC9B5" w14:textId="77777777" w:rsidR="00046465" w:rsidRDefault="008134EB">
      <w:pPr>
        <w:pStyle w:val="ListParagraph"/>
        <w:numPr>
          <w:ilvl w:val="0"/>
          <w:numId w:val="57"/>
        </w:numPr>
        <w:tabs>
          <w:tab w:val="left" w:pos="718"/>
        </w:tabs>
        <w:spacing w:before="241"/>
        <w:ind w:left="718" w:hanging="359"/>
      </w:pPr>
      <w:r>
        <w:t>Progress</w:t>
      </w:r>
      <w:r>
        <w:rPr>
          <w:spacing w:val="-5"/>
        </w:rPr>
        <w:t xml:space="preserve"> </w:t>
      </w:r>
      <w:r>
        <w:t>of</w:t>
      </w:r>
      <w:r>
        <w:rPr>
          <w:spacing w:val="-5"/>
        </w:rPr>
        <w:t xml:space="preserve"> </w:t>
      </w:r>
      <w:r>
        <w:t>the</w:t>
      </w:r>
      <w:r>
        <w:rPr>
          <w:spacing w:val="-4"/>
        </w:rPr>
        <w:t xml:space="preserve"> </w:t>
      </w:r>
      <w:r>
        <w:t>case</w:t>
      </w:r>
      <w:r>
        <w:rPr>
          <w:spacing w:val="-4"/>
        </w:rPr>
        <w:t xml:space="preserve"> </w:t>
      </w:r>
      <w:r>
        <w:t>to</w:t>
      </w:r>
      <w:r>
        <w:rPr>
          <w:spacing w:val="-6"/>
        </w:rPr>
        <w:t xml:space="preserve"> </w:t>
      </w:r>
      <w:r>
        <w:rPr>
          <w:spacing w:val="-2"/>
        </w:rPr>
        <w:t>date.</w:t>
      </w:r>
    </w:p>
    <w:p w14:paraId="0DFDC9B6" w14:textId="77777777" w:rsidR="00046465" w:rsidRDefault="008134EB">
      <w:pPr>
        <w:pStyle w:val="ListParagraph"/>
        <w:numPr>
          <w:ilvl w:val="0"/>
          <w:numId w:val="57"/>
        </w:numPr>
        <w:tabs>
          <w:tab w:val="left" w:pos="718"/>
        </w:tabs>
        <w:spacing w:before="240"/>
        <w:ind w:left="718" w:hanging="359"/>
      </w:pPr>
      <w:r>
        <w:t>Current</w:t>
      </w:r>
      <w:r>
        <w:rPr>
          <w:spacing w:val="-7"/>
        </w:rPr>
        <w:t xml:space="preserve"> </w:t>
      </w:r>
      <w:r>
        <w:t>or</w:t>
      </w:r>
      <w:r>
        <w:rPr>
          <w:spacing w:val="-6"/>
        </w:rPr>
        <w:t xml:space="preserve"> </w:t>
      </w:r>
      <w:r>
        <w:t>intended</w:t>
      </w:r>
      <w:r>
        <w:rPr>
          <w:spacing w:val="-6"/>
        </w:rPr>
        <w:t xml:space="preserve"> </w:t>
      </w:r>
      <w:r>
        <w:rPr>
          <w:spacing w:val="-2"/>
        </w:rPr>
        <w:t>response.</w:t>
      </w:r>
    </w:p>
    <w:p w14:paraId="0DFDC9B7" w14:textId="77777777" w:rsidR="00046465" w:rsidRDefault="008134EB">
      <w:pPr>
        <w:pStyle w:val="ListParagraph"/>
        <w:numPr>
          <w:ilvl w:val="0"/>
          <w:numId w:val="57"/>
        </w:numPr>
        <w:tabs>
          <w:tab w:val="left" w:pos="719"/>
        </w:tabs>
        <w:spacing w:before="240"/>
        <w:ind w:right="1036"/>
      </w:pPr>
      <w:r>
        <w:t>Evaluation</w:t>
      </w:r>
      <w:r>
        <w:rPr>
          <w:spacing w:val="-4"/>
        </w:rPr>
        <w:t xml:space="preserve"> </w:t>
      </w:r>
      <w:r>
        <w:t>of</w:t>
      </w:r>
      <w:r>
        <w:rPr>
          <w:spacing w:val="-4"/>
        </w:rPr>
        <w:t xml:space="preserve"> </w:t>
      </w:r>
      <w:r>
        <w:t>the</w:t>
      </w:r>
      <w:r>
        <w:rPr>
          <w:spacing w:val="-4"/>
        </w:rPr>
        <w:t xml:space="preserve"> </w:t>
      </w:r>
      <w:r>
        <w:t>likelihood</w:t>
      </w:r>
      <w:r>
        <w:rPr>
          <w:spacing w:val="-4"/>
        </w:rPr>
        <w:t xml:space="preserve"> </w:t>
      </w:r>
      <w:r>
        <w:t>of</w:t>
      </w:r>
      <w:r>
        <w:rPr>
          <w:spacing w:val="-4"/>
        </w:rPr>
        <w:t xml:space="preserve"> </w:t>
      </w:r>
      <w:r>
        <w:t>an</w:t>
      </w:r>
      <w:r>
        <w:rPr>
          <w:spacing w:val="-4"/>
        </w:rPr>
        <w:t xml:space="preserve"> </w:t>
      </w:r>
      <w:r>
        <w:t>unfavorable</w:t>
      </w:r>
      <w:r>
        <w:rPr>
          <w:spacing w:val="-4"/>
        </w:rPr>
        <w:t xml:space="preserve"> </w:t>
      </w:r>
      <w:r>
        <w:t>outcome</w:t>
      </w:r>
      <w:r>
        <w:rPr>
          <w:spacing w:val="-4"/>
        </w:rPr>
        <w:t xml:space="preserve"> </w:t>
      </w:r>
      <w:r>
        <w:t>(categorize</w:t>
      </w:r>
      <w:r>
        <w:rPr>
          <w:spacing w:val="-4"/>
        </w:rPr>
        <w:t xml:space="preserve"> </w:t>
      </w:r>
      <w:r>
        <w:t>likelihood</w:t>
      </w:r>
      <w:r>
        <w:rPr>
          <w:spacing w:val="-4"/>
        </w:rPr>
        <w:t xml:space="preserve"> </w:t>
      </w:r>
      <w:r>
        <w:t>as</w:t>
      </w:r>
      <w:r>
        <w:rPr>
          <w:spacing w:val="-4"/>
        </w:rPr>
        <w:t xml:space="preserve"> </w:t>
      </w:r>
      <w:r>
        <w:t>probable, reasonably possible, or remote).</w:t>
      </w:r>
    </w:p>
    <w:p w14:paraId="0DFDC9B8" w14:textId="77777777" w:rsidR="00046465" w:rsidRDefault="008134EB">
      <w:pPr>
        <w:pStyle w:val="ListParagraph"/>
        <w:numPr>
          <w:ilvl w:val="0"/>
          <w:numId w:val="57"/>
        </w:numPr>
        <w:tabs>
          <w:tab w:val="left" w:pos="719"/>
        </w:tabs>
        <w:spacing w:before="239"/>
        <w:ind w:right="1159"/>
      </w:pPr>
      <w:r>
        <w:t>Estimated</w:t>
      </w:r>
      <w:r>
        <w:rPr>
          <w:spacing w:val="-3"/>
        </w:rPr>
        <w:t xml:space="preserve"> </w:t>
      </w:r>
      <w:r>
        <w:t>amount</w:t>
      </w:r>
      <w:r>
        <w:rPr>
          <w:spacing w:val="-3"/>
        </w:rPr>
        <w:t xml:space="preserve"> </w:t>
      </w:r>
      <w:r>
        <w:t>or</w:t>
      </w:r>
      <w:r>
        <w:rPr>
          <w:spacing w:val="-3"/>
        </w:rPr>
        <w:t xml:space="preserve"> </w:t>
      </w:r>
      <w:r>
        <w:t>range</w:t>
      </w:r>
      <w:r>
        <w:rPr>
          <w:spacing w:val="-3"/>
        </w:rPr>
        <w:t xml:space="preserve"> </w:t>
      </w:r>
      <w:r>
        <w:t>of</w:t>
      </w:r>
      <w:r>
        <w:rPr>
          <w:spacing w:val="-3"/>
        </w:rPr>
        <w:t xml:space="preserve"> </w:t>
      </w:r>
      <w:r>
        <w:t>potential</w:t>
      </w:r>
      <w:r>
        <w:rPr>
          <w:spacing w:val="-3"/>
        </w:rPr>
        <w:t xml:space="preserve"> </w:t>
      </w:r>
      <w:r>
        <w:t>loss,</w:t>
      </w:r>
      <w:r>
        <w:rPr>
          <w:spacing w:val="-3"/>
        </w:rPr>
        <w:t xml:space="preserve"> </w:t>
      </w:r>
      <w:r>
        <w:t>if</w:t>
      </w:r>
      <w:r>
        <w:rPr>
          <w:spacing w:val="-3"/>
        </w:rPr>
        <w:t xml:space="preserve"> </w:t>
      </w:r>
      <w:r>
        <w:t>determinable,</w:t>
      </w:r>
      <w:r>
        <w:rPr>
          <w:spacing w:val="-3"/>
        </w:rPr>
        <w:t xml:space="preserve"> </w:t>
      </w:r>
      <w:r>
        <w:t>for</w:t>
      </w:r>
      <w:r>
        <w:rPr>
          <w:spacing w:val="-3"/>
        </w:rPr>
        <w:t xml:space="preserve"> </w:t>
      </w:r>
      <w:r>
        <w:t>losses</w:t>
      </w:r>
      <w:r>
        <w:rPr>
          <w:spacing w:val="-3"/>
        </w:rPr>
        <w:t xml:space="preserve"> </w:t>
      </w:r>
      <w:r>
        <w:t>considered</w:t>
      </w:r>
      <w:r>
        <w:rPr>
          <w:spacing w:val="-3"/>
        </w:rPr>
        <w:t xml:space="preserve"> </w:t>
      </w:r>
      <w:r>
        <w:t>to</w:t>
      </w:r>
      <w:r>
        <w:rPr>
          <w:spacing w:val="-4"/>
        </w:rPr>
        <w:t xml:space="preserve"> </w:t>
      </w:r>
      <w:r>
        <w:t>be probable or reasonably possible.</w:t>
      </w:r>
    </w:p>
    <w:p w14:paraId="0DFDC9B9" w14:textId="77777777" w:rsidR="00046465" w:rsidRDefault="008134EB">
      <w:pPr>
        <w:pStyle w:val="ListParagraph"/>
        <w:numPr>
          <w:ilvl w:val="0"/>
          <w:numId w:val="57"/>
        </w:numPr>
        <w:tabs>
          <w:tab w:val="left" w:pos="719"/>
          <w:tab w:val="left" w:pos="724"/>
        </w:tabs>
        <w:spacing w:before="241"/>
        <w:ind w:right="771" w:hanging="361"/>
      </w:pPr>
      <w:r>
        <w:t>Name of</w:t>
      </w:r>
      <w:r>
        <w:rPr>
          <w:spacing w:val="-2"/>
        </w:rPr>
        <w:t xml:space="preserve"> </w:t>
      </w:r>
      <w:r>
        <w:rPr>
          <w:b/>
        </w:rPr>
        <w:t>[Entity]</w:t>
      </w:r>
      <w:r>
        <w:t>’s</w:t>
      </w:r>
      <w:r>
        <w:rPr>
          <w:spacing w:val="-3"/>
        </w:rPr>
        <w:t xml:space="preserve"> </w:t>
      </w:r>
      <w:r>
        <w:t>legal</w:t>
      </w:r>
      <w:r>
        <w:rPr>
          <w:spacing w:val="-3"/>
        </w:rPr>
        <w:t xml:space="preserve"> </w:t>
      </w:r>
      <w:r>
        <w:t>counsel</w:t>
      </w:r>
      <w:r>
        <w:rPr>
          <w:spacing w:val="-4"/>
        </w:rPr>
        <w:t xml:space="preserve"> </w:t>
      </w:r>
      <w:r>
        <w:t>handling</w:t>
      </w:r>
      <w:r>
        <w:rPr>
          <w:spacing w:val="-3"/>
        </w:rPr>
        <w:t xml:space="preserve"> </w:t>
      </w:r>
      <w:r>
        <w:t>the</w:t>
      </w:r>
      <w:r>
        <w:rPr>
          <w:spacing w:val="-4"/>
        </w:rPr>
        <w:t xml:space="preserve"> </w:t>
      </w:r>
      <w:r>
        <w:t>case</w:t>
      </w:r>
      <w:r>
        <w:rPr>
          <w:spacing w:val="-3"/>
        </w:rPr>
        <w:t xml:space="preserve"> </w:t>
      </w:r>
      <w:r>
        <w:t>and</w:t>
      </w:r>
      <w:r>
        <w:rPr>
          <w:spacing w:val="-3"/>
        </w:rPr>
        <w:t xml:space="preserve"> </w:t>
      </w:r>
      <w:r>
        <w:t>names</w:t>
      </w:r>
      <w:r>
        <w:rPr>
          <w:spacing w:val="-3"/>
        </w:rPr>
        <w:t xml:space="preserve"> </w:t>
      </w:r>
      <w:r>
        <w:t>of</w:t>
      </w:r>
      <w:r>
        <w:rPr>
          <w:spacing w:val="-3"/>
        </w:rPr>
        <w:t xml:space="preserve"> </w:t>
      </w:r>
      <w:r>
        <w:t>any</w:t>
      </w:r>
      <w:r>
        <w:rPr>
          <w:spacing w:val="-3"/>
        </w:rPr>
        <w:t xml:space="preserve"> </w:t>
      </w:r>
      <w:r>
        <w:t>external</w:t>
      </w:r>
      <w:r>
        <w:rPr>
          <w:spacing w:val="-3"/>
        </w:rPr>
        <w:t xml:space="preserve"> </w:t>
      </w:r>
      <w:r>
        <w:t>legal</w:t>
      </w:r>
      <w:r>
        <w:rPr>
          <w:spacing w:val="-3"/>
        </w:rPr>
        <w:t xml:space="preserve"> </w:t>
      </w:r>
      <w:r>
        <w:t>counsel representing or advising the government in the matter.</w:t>
      </w:r>
    </w:p>
    <w:p w14:paraId="0DFDC9BA" w14:textId="77777777" w:rsidR="00046465" w:rsidRDefault="008134EB">
      <w:pPr>
        <w:spacing w:before="240"/>
        <w:ind w:left="359" w:right="773"/>
        <w:rPr>
          <w:b/>
        </w:rPr>
      </w:pPr>
      <w:r>
        <w:rPr>
          <w:b/>
        </w:rPr>
        <w:t>[Identify</w:t>
      </w:r>
      <w:r>
        <w:rPr>
          <w:b/>
          <w:spacing w:val="-4"/>
        </w:rPr>
        <w:t xml:space="preserve"> </w:t>
      </w:r>
      <w:r>
        <w:rPr>
          <w:b/>
        </w:rPr>
        <w:t>omission</w:t>
      </w:r>
      <w:r>
        <w:rPr>
          <w:b/>
          <w:spacing w:val="-4"/>
        </w:rPr>
        <w:t xml:space="preserve"> </w:t>
      </w:r>
      <w:r>
        <w:rPr>
          <w:b/>
        </w:rPr>
        <w:t>of</w:t>
      </w:r>
      <w:r>
        <w:rPr>
          <w:b/>
          <w:spacing w:val="-4"/>
        </w:rPr>
        <w:t xml:space="preserve"> </w:t>
      </w:r>
      <w:r>
        <w:rPr>
          <w:b/>
        </w:rPr>
        <w:t>any</w:t>
      </w:r>
      <w:r>
        <w:rPr>
          <w:b/>
          <w:spacing w:val="-4"/>
        </w:rPr>
        <w:t xml:space="preserve"> </w:t>
      </w:r>
      <w:r>
        <w:rPr>
          <w:b/>
        </w:rPr>
        <w:t>pending</w:t>
      </w:r>
      <w:r>
        <w:rPr>
          <w:b/>
          <w:spacing w:val="-4"/>
        </w:rPr>
        <w:t xml:space="preserve"> </w:t>
      </w:r>
      <w:r>
        <w:rPr>
          <w:b/>
        </w:rPr>
        <w:t>or</w:t>
      </w:r>
      <w:r>
        <w:rPr>
          <w:b/>
          <w:spacing w:val="-5"/>
        </w:rPr>
        <w:t xml:space="preserve"> </w:t>
      </w:r>
      <w:r>
        <w:rPr>
          <w:b/>
        </w:rPr>
        <w:t>threatened</w:t>
      </w:r>
      <w:r>
        <w:rPr>
          <w:b/>
          <w:spacing w:val="-4"/>
        </w:rPr>
        <w:t xml:space="preserve"> </w:t>
      </w:r>
      <w:r>
        <w:rPr>
          <w:b/>
        </w:rPr>
        <w:t>litigation,</w:t>
      </w:r>
      <w:r>
        <w:rPr>
          <w:b/>
          <w:spacing w:val="-4"/>
        </w:rPr>
        <w:t xml:space="preserve"> </w:t>
      </w:r>
      <w:r>
        <w:rPr>
          <w:b/>
        </w:rPr>
        <w:t>claims,</w:t>
      </w:r>
      <w:r>
        <w:rPr>
          <w:b/>
          <w:spacing w:val="-5"/>
        </w:rPr>
        <w:t xml:space="preserve"> </w:t>
      </w:r>
      <w:r>
        <w:rPr>
          <w:b/>
        </w:rPr>
        <w:t>and</w:t>
      </w:r>
      <w:r>
        <w:rPr>
          <w:b/>
          <w:spacing w:val="-4"/>
        </w:rPr>
        <w:t xml:space="preserve"> </w:t>
      </w:r>
      <w:r>
        <w:rPr>
          <w:b/>
        </w:rPr>
        <w:t>assessments</w:t>
      </w:r>
      <w:r>
        <w:rPr>
          <w:b/>
          <w:spacing w:val="-4"/>
        </w:rPr>
        <w:t xml:space="preserve"> </w:t>
      </w:r>
      <w:r>
        <w:rPr>
          <w:b/>
        </w:rPr>
        <w:t>or add a statement that the list of such matters is complete.]</w:t>
      </w:r>
    </w:p>
    <w:p w14:paraId="0DFDC9BB" w14:textId="77777777" w:rsidR="00046465" w:rsidRDefault="008134EB">
      <w:pPr>
        <w:pStyle w:val="BodyText"/>
        <w:spacing w:before="239"/>
        <w:ind w:left="359" w:right="749"/>
      </w:pPr>
      <w:r>
        <w:t>Pending</w:t>
      </w:r>
      <w:r>
        <w:rPr>
          <w:spacing w:val="-3"/>
        </w:rPr>
        <w:t xml:space="preserve"> </w:t>
      </w:r>
      <w:r>
        <w:t>or</w:t>
      </w:r>
      <w:r>
        <w:rPr>
          <w:spacing w:val="-3"/>
        </w:rPr>
        <w:t xml:space="preserve"> </w:t>
      </w:r>
      <w:r>
        <w:t>threatened</w:t>
      </w:r>
      <w:r>
        <w:rPr>
          <w:spacing w:val="-3"/>
        </w:rPr>
        <w:t xml:space="preserve"> </w:t>
      </w:r>
      <w:r>
        <w:t>litigation</w:t>
      </w:r>
      <w:r>
        <w:rPr>
          <w:spacing w:val="-3"/>
        </w:rPr>
        <w:t xml:space="preserve"> </w:t>
      </w:r>
      <w:r>
        <w:t>that</w:t>
      </w:r>
      <w:r>
        <w:rPr>
          <w:spacing w:val="-4"/>
        </w:rPr>
        <w:t xml:space="preserve"> </w:t>
      </w:r>
      <w:r>
        <w:t>was</w:t>
      </w:r>
      <w:r>
        <w:rPr>
          <w:spacing w:val="-3"/>
        </w:rPr>
        <w:t xml:space="preserve"> </w:t>
      </w:r>
      <w:r>
        <w:t>reported</w:t>
      </w:r>
      <w:r>
        <w:rPr>
          <w:spacing w:val="-3"/>
        </w:rPr>
        <w:t xml:space="preserve"> </w:t>
      </w:r>
      <w:r>
        <w:t>in</w:t>
      </w:r>
      <w:r>
        <w:rPr>
          <w:spacing w:val="-3"/>
        </w:rPr>
        <w:t xml:space="preserve"> </w:t>
      </w:r>
      <w:r>
        <w:t>the</w:t>
      </w:r>
      <w:r>
        <w:rPr>
          <w:spacing w:val="-3"/>
        </w:rPr>
        <w:t xml:space="preserve"> </w:t>
      </w:r>
      <w:r>
        <w:t>prior</w:t>
      </w:r>
      <w:r>
        <w:rPr>
          <w:spacing w:val="-4"/>
        </w:rPr>
        <w:t xml:space="preserve"> </w:t>
      </w:r>
      <w:r>
        <w:t>year’s</w:t>
      </w:r>
      <w:r>
        <w:rPr>
          <w:spacing w:val="-3"/>
        </w:rPr>
        <w:t xml:space="preserve"> </w:t>
      </w:r>
      <w:r>
        <w:t>response</w:t>
      </w:r>
      <w:r>
        <w:rPr>
          <w:spacing w:val="-1"/>
        </w:rPr>
        <w:t xml:space="preserve"> </w:t>
      </w:r>
      <w:r>
        <w:t>letter,</w:t>
      </w:r>
      <w:r>
        <w:rPr>
          <w:spacing w:val="-4"/>
        </w:rPr>
        <w:t xml:space="preserve"> </w:t>
      </w:r>
      <w:r>
        <w:t>which</w:t>
      </w:r>
      <w:r>
        <w:rPr>
          <w:spacing w:val="-3"/>
        </w:rPr>
        <w:t xml:space="preserve"> </w:t>
      </w:r>
      <w:r>
        <w:t>is</w:t>
      </w:r>
      <w:r>
        <w:rPr>
          <w:spacing w:val="-3"/>
        </w:rPr>
        <w:t xml:space="preserve"> </w:t>
      </w:r>
      <w:r>
        <w:t>no longer pending or threatened, is as follows:</w:t>
      </w:r>
    </w:p>
    <w:p w14:paraId="0DFDC9BC" w14:textId="77777777" w:rsidR="00046465" w:rsidRDefault="008134EB">
      <w:pPr>
        <w:spacing w:before="241"/>
        <w:ind w:left="359"/>
        <w:rPr>
          <w:b/>
        </w:rPr>
      </w:pPr>
      <w:r>
        <w:rPr>
          <w:b/>
        </w:rPr>
        <w:t>[Identify</w:t>
      </w:r>
      <w:r>
        <w:rPr>
          <w:b/>
          <w:spacing w:val="-7"/>
        </w:rPr>
        <w:t xml:space="preserve"> </w:t>
      </w:r>
      <w:r>
        <w:rPr>
          <w:b/>
        </w:rPr>
        <w:t>litigation</w:t>
      </w:r>
      <w:r>
        <w:rPr>
          <w:b/>
          <w:spacing w:val="-6"/>
        </w:rPr>
        <w:t xml:space="preserve"> </w:t>
      </w:r>
      <w:r>
        <w:rPr>
          <w:b/>
        </w:rPr>
        <w:t>with</w:t>
      </w:r>
      <w:r>
        <w:rPr>
          <w:b/>
          <w:spacing w:val="-6"/>
        </w:rPr>
        <w:t xml:space="preserve"> </w:t>
      </w:r>
      <w:r>
        <w:rPr>
          <w:b/>
        </w:rPr>
        <w:t>a</w:t>
      </w:r>
      <w:r>
        <w:rPr>
          <w:b/>
          <w:spacing w:val="-6"/>
        </w:rPr>
        <w:t xml:space="preserve"> </w:t>
      </w:r>
      <w:r>
        <w:rPr>
          <w:b/>
        </w:rPr>
        <w:t>short</w:t>
      </w:r>
      <w:r>
        <w:rPr>
          <w:b/>
          <w:spacing w:val="-6"/>
        </w:rPr>
        <w:t xml:space="preserve"> </w:t>
      </w:r>
      <w:r>
        <w:rPr>
          <w:b/>
        </w:rPr>
        <w:t>description</w:t>
      </w:r>
      <w:r>
        <w:rPr>
          <w:b/>
          <w:spacing w:val="-6"/>
        </w:rPr>
        <w:t xml:space="preserve"> </w:t>
      </w:r>
      <w:r>
        <w:rPr>
          <w:b/>
        </w:rPr>
        <w:t>of</w:t>
      </w:r>
      <w:r>
        <w:rPr>
          <w:b/>
          <w:spacing w:val="-6"/>
        </w:rPr>
        <w:t xml:space="preserve"> </w:t>
      </w:r>
      <w:r>
        <w:rPr>
          <w:b/>
        </w:rPr>
        <w:t>its</w:t>
      </w:r>
      <w:r>
        <w:rPr>
          <w:b/>
          <w:spacing w:val="-6"/>
        </w:rPr>
        <w:t xml:space="preserve"> </w:t>
      </w:r>
      <w:r>
        <w:rPr>
          <w:b/>
          <w:spacing w:val="-2"/>
        </w:rPr>
        <w:t>disposition.]</w:t>
      </w:r>
    </w:p>
    <w:p w14:paraId="0DFDC9BD" w14:textId="77777777" w:rsidR="00046465" w:rsidRDefault="008134EB">
      <w:pPr>
        <w:pStyle w:val="BodyText"/>
        <w:spacing w:before="240" w:line="253" w:lineRule="exact"/>
        <w:ind w:left="359"/>
        <w:jc w:val="both"/>
      </w:pPr>
      <w:r>
        <w:t>With</w:t>
      </w:r>
      <w:r>
        <w:rPr>
          <w:spacing w:val="-7"/>
        </w:rPr>
        <w:t xml:space="preserve"> </w:t>
      </w:r>
      <w:r>
        <w:t>respect</w:t>
      </w:r>
      <w:r>
        <w:rPr>
          <w:spacing w:val="-7"/>
        </w:rPr>
        <w:t xml:space="preserve"> </w:t>
      </w:r>
      <w:r>
        <w:t>to</w:t>
      </w:r>
      <w:r>
        <w:rPr>
          <w:spacing w:val="-7"/>
        </w:rPr>
        <w:t xml:space="preserve"> </w:t>
      </w:r>
      <w:r>
        <w:t>matters</w:t>
      </w:r>
      <w:r>
        <w:rPr>
          <w:spacing w:val="-7"/>
        </w:rPr>
        <w:t xml:space="preserve"> </w:t>
      </w:r>
      <w:r>
        <w:t>that</w:t>
      </w:r>
      <w:r>
        <w:rPr>
          <w:spacing w:val="-6"/>
        </w:rPr>
        <w:t xml:space="preserve"> </w:t>
      </w:r>
      <w:r>
        <w:t>have</w:t>
      </w:r>
      <w:r>
        <w:rPr>
          <w:spacing w:val="-7"/>
        </w:rPr>
        <w:t xml:space="preserve"> </w:t>
      </w:r>
      <w:r>
        <w:t>been</w:t>
      </w:r>
      <w:r>
        <w:rPr>
          <w:spacing w:val="-6"/>
        </w:rPr>
        <w:t xml:space="preserve"> </w:t>
      </w:r>
      <w:r>
        <w:t>specifically</w:t>
      </w:r>
      <w:r>
        <w:rPr>
          <w:spacing w:val="-7"/>
        </w:rPr>
        <w:t xml:space="preserve"> </w:t>
      </w:r>
      <w:r>
        <w:t>identified</w:t>
      </w:r>
      <w:r>
        <w:rPr>
          <w:spacing w:val="-7"/>
        </w:rPr>
        <w:t xml:space="preserve"> </w:t>
      </w:r>
      <w:r>
        <w:t>as</w:t>
      </w:r>
      <w:r>
        <w:rPr>
          <w:spacing w:val="-7"/>
        </w:rPr>
        <w:t xml:space="preserve"> </w:t>
      </w:r>
      <w:r>
        <w:t>contemplated</w:t>
      </w:r>
      <w:r>
        <w:rPr>
          <w:spacing w:val="-6"/>
        </w:rPr>
        <w:t xml:space="preserve"> </w:t>
      </w:r>
      <w:r>
        <w:t>by</w:t>
      </w:r>
      <w:r>
        <w:rPr>
          <w:spacing w:val="-7"/>
        </w:rPr>
        <w:t xml:space="preserve"> </w:t>
      </w:r>
      <w:r>
        <w:t>clauses</w:t>
      </w:r>
      <w:r>
        <w:rPr>
          <w:spacing w:val="-6"/>
        </w:rPr>
        <w:t xml:space="preserve"> </w:t>
      </w:r>
      <w:r>
        <w:t>(b)</w:t>
      </w:r>
      <w:r>
        <w:rPr>
          <w:spacing w:val="-7"/>
        </w:rPr>
        <w:t xml:space="preserve"> </w:t>
      </w:r>
      <w:r>
        <w:rPr>
          <w:spacing w:val="-5"/>
        </w:rPr>
        <w:t>or</w:t>
      </w:r>
    </w:p>
    <w:p w14:paraId="0DFDC9BE" w14:textId="77777777" w:rsidR="00046465" w:rsidRDefault="008134EB">
      <w:pPr>
        <w:ind w:left="359" w:right="1282" w:hanging="1"/>
        <w:jc w:val="both"/>
      </w:pPr>
      <w:r>
        <w:t>(c)</w:t>
      </w:r>
      <w:r>
        <w:rPr>
          <w:spacing w:val="-2"/>
        </w:rPr>
        <w:t xml:space="preserve"> </w:t>
      </w:r>
      <w:r>
        <w:t>of</w:t>
      </w:r>
      <w:r>
        <w:rPr>
          <w:spacing w:val="-2"/>
        </w:rPr>
        <w:t xml:space="preserve"> </w:t>
      </w:r>
      <w:r>
        <w:t>paragraph</w:t>
      </w:r>
      <w:r>
        <w:rPr>
          <w:spacing w:val="-2"/>
        </w:rPr>
        <w:t xml:space="preserve"> </w:t>
      </w:r>
      <w:r>
        <w:t>5</w:t>
      </w:r>
      <w:r>
        <w:rPr>
          <w:spacing w:val="-2"/>
        </w:rPr>
        <w:t xml:space="preserve"> </w:t>
      </w:r>
      <w:r>
        <w:t>of</w:t>
      </w:r>
      <w:r>
        <w:rPr>
          <w:spacing w:val="-2"/>
        </w:rPr>
        <w:t xml:space="preserve"> </w:t>
      </w:r>
      <w:r>
        <w:t>the</w:t>
      </w:r>
      <w:r>
        <w:rPr>
          <w:spacing w:val="-3"/>
        </w:rPr>
        <w:t xml:space="preserve"> </w:t>
      </w:r>
      <w:r>
        <w:t>American</w:t>
      </w:r>
      <w:r>
        <w:rPr>
          <w:spacing w:val="-2"/>
        </w:rPr>
        <w:t xml:space="preserve"> </w:t>
      </w:r>
      <w:r>
        <w:t>Bar</w:t>
      </w:r>
      <w:r>
        <w:rPr>
          <w:spacing w:val="-2"/>
        </w:rPr>
        <w:t xml:space="preserve"> </w:t>
      </w:r>
      <w:r>
        <w:t>Association’s</w:t>
      </w:r>
      <w:r>
        <w:rPr>
          <w:spacing w:val="-2"/>
        </w:rPr>
        <w:t xml:space="preserve"> </w:t>
      </w:r>
      <w:r>
        <w:t>(ABA)</w:t>
      </w:r>
      <w:r>
        <w:rPr>
          <w:spacing w:val="-2"/>
        </w:rPr>
        <w:t xml:space="preserve"> </w:t>
      </w:r>
      <w:r>
        <w:rPr>
          <w:i/>
        </w:rPr>
        <w:t>Statement</w:t>
      </w:r>
      <w:r>
        <w:rPr>
          <w:i/>
          <w:spacing w:val="-2"/>
        </w:rPr>
        <w:t xml:space="preserve"> </w:t>
      </w:r>
      <w:r>
        <w:rPr>
          <w:i/>
        </w:rPr>
        <w:t>of</w:t>
      </w:r>
      <w:r>
        <w:rPr>
          <w:i/>
          <w:spacing w:val="-2"/>
        </w:rPr>
        <w:t xml:space="preserve"> </w:t>
      </w:r>
      <w:r>
        <w:rPr>
          <w:i/>
        </w:rPr>
        <w:t>Policy</w:t>
      </w:r>
      <w:r>
        <w:rPr>
          <w:i/>
          <w:spacing w:val="-2"/>
        </w:rPr>
        <w:t xml:space="preserve"> </w:t>
      </w:r>
      <w:r>
        <w:rPr>
          <w:i/>
        </w:rPr>
        <w:t>Regarding Lawyers’</w:t>
      </w:r>
      <w:r>
        <w:rPr>
          <w:i/>
          <w:spacing w:val="-3"/>
        </w:rPr>
        <w:t xml:space="preserve"> </w:t>
      </w:r>
      <w:r>
        <w:rPr>
          <w:i/>
        </w:rPr>
        <w:t>Responses</w:t>
      </w:r>
      <w:r>
        <w:rPr>
          <w:i/>
          <w:spacing w:val="-3"/>
        </w:rPr>
        <w:t xml:space="preserve"> </w:t>
      </w:r>
      <w:r>
        <w:rPr>
          <w:i/>
        </w:rPr>
        <w:t>to</w:t>
      </w:r>
      <w:r>
        <w:rPr>
          <w:i/>
          <w:spacing w:val="-4"/>
        </w:rPr>
        <w:t xml:space="preserve"> </w:t>
      </w:r>
      <w:r>
        <w:rPr>
          <w:i/>
        </w:rPr>
        <w:t>Auditors’</w:t>
      </w:r>
      <w:r>
        <w:rPr>
          <w:i/>
          <w:spacing w:val="-3"/>
        </w:rPr>
        <w:t xml:space="preserve"> </w:t>
      </w:r>
      <w:r>
        <w:rPr>
          <w:i/>
        </w:rPr>
        <w:t>Requests</w:t>
      </w:r>
      <w:r>
        <w:rPr>
          <w:i/>
          <w:spacing w:val="-2"/>
        </w:rPr>
        <w:t xml:space="preserve"> </w:t>
      </w:r>
      <w:r>
        <w:rPr>
          <w:i/>
        </w:rPr>
        <w:t>for</w:t>
      </w:r>
      <w:r>
        <w:rPr>
          <w:i/>
          <w:spacing w:val="-3"/>
        </w:rPr>
        <w:t xml:space="preserve"> </w:t>
      </w:r>
      <w:r>
        <w:rPr>
          <w:i/>
        </w:rPr>
        <w:t>Information</w:t>
      </w:r>
      <w:r>
        <w:rPr>
          <w:i/>
          <w:spacing w:val="-3"/>
        </w:rPr>
        <w:t xml:space="preserve"> </w:t>
      </w:r>
      <w:r>
        <w:t>(December</w:t>
      </w:r>
      <w:r>
        <w:rPr>
          <w:spacing w:val="-3"/>
        </w:rPr>
        <w:t xml:space="preserve"> </w:t>
      </w:r>
      <w:r>
        <w:t>1975),</w:t>
      </w:r>
      <w:r>
        <w:rPr>
          <w:spacing w:val="-3"/>
        </w:rPr>
        <w:t xml:space="preserve"> </w:t>
      </w:r>
      <w:r>
        <w:t>I</w:t>
      </w:r>
      <w:r>
        <w:rPr>
          <w:spacing w:val="-3"/>
        </w:rPr>
        <w:t xml:space="preserve"> </w:t>
      </w:r>
      <w:r>
        <w:t>advise</w:t>
      </w:r>
      <w:r>
        <w:rPr>
          <w:spacing w:val="-4"/>
        </w:rPr>
        <w:t xml:space="preserve"> </w:t>
      </w:r>
      <w:r>
        <w:t>you, subject to the last paragraph of this response letter, as follows.</w:t>
      </w:r>
    </w:p>
    <w:p w14:paraId="0DFDC9BF" w14:textId="77777777" w:rsidR="00046465" w:rsidRDefault="008134EB">
      <w:pPr>
        <w:spacing w:before="240"/>
        <w:ind w:left="360"/>
        <w:rPr>
          <w:b/>
        </w:rPr>
      </w:pPr>
      <w:r>
        <w:rPr>
          <w:b/>
          <w:u w:val="single"/>
        </w:rPr>
        <w:t>Unasserted</w:t>
      </w:r>
      <w:r>
        <w:rPr>
          <w:b/>
          <w:spacing w:val="-8"/>
          <w:u w:val="single"/>
        </w:rPr>
        <w:t xml:space="preserve"> </w:t>
      </w:r>
      <w:r>
        <w:rPr>
          <w:b/>
          <w:u w:val="single"/>
        </w:rPr>
        <w:t>Claims</w:t>
      </w:r>
      <w:r>
        <w:rPr>
          <w:b/>
          <w:spacing w:val="-9"/>
          <w:u w:val="single"/>
        </w:rPr>
        <w:t xml:space="preserve"> </w:t>
      </w:r>
      <w:r>
        <w:rPr>
          <w:b/>
          <w:u w:val="single"/>
        </w:rPr>
        <w:t>and</w:t>
      </w:r>
      <w:r>
        <w:rPr>
          <w:b/>
          <w:spacing w:val="-9"/>
          <w:u w:val="single"/>
        </w:rPr>
        <w:t xml:space="preserve"> </w:t>
      </w:r>
      <w:r>
        <w:rPr>
          <w:b/>
          <w:spacing w:val="-2"/>
          <w:u w:val="single"/>
        </w:rPr>
        <w:t>Assessments</w:t>
      </w:r>
    </w:p>
    <w:p w14:paraId="0DFDC9C0" w14:textId="77777777" w:rsidR="00046465" w:rsidRDefault="008134EB">
      <w:pPr>
        <w:pStyle w:val="BodyText"/>
        <w:spacing w:before="240"/>
        <w:ind w:left="360" w:right="749"/>
      </w:pPr>
      <w:r>
        <w:t>(Considered</w:t>
      </w:r>
      <w:r>
        <w:rPr>
          <w:spacing w:val="-3"/>
        </w:rPr>
        <w:t xml:space="preserve"> </w:t>
      </w:r>
      <w:r>
        <w:t>to</w:t>
      </w:r>
      <w:r>
        <w:rPr>
          <w:spacing w:val="-3"/>
        </w:rPr>
        <w:t xml:space="preserve"> </w:t>
      </w:r>
      <w:r>
        <w:t>be</w:t>
      </w:r>
      <w:r>
        <w:rPr>
          <w:spacing w:val="-3"/>
        </w:rPr>
        <w:t xml:space="preserve"> </w:t>
      </w:r>
      <w:r>
        <w:t>probable</w:t>
      </w:r>
      <w:r>
        <w:rPr>
          <w:spacing w:val="-3"/>
        </w:rPr>
        <w:t xml:space="preserve"> </w:t>
      </w:r>
      <w:r>
        <w:t>of</w:t>
      </w:r>
      <w:r>
        <w:rPr>
          <w:spacing w:val="-3"/>
        </w:rPr>
        <w:t xml:space="preserve"> </w:t>
      </w:r>
      <w:r>
        <w:t>assertion</w:t>
      </w:r>
      <w:r>
        <w:rPr>
          <w:spacing w:val="-3"/>
        </w:rPr>
        <w:t xml:space="preserve"> </w:t>
      </w:r>
      <w:r>
        <w:t>and</w:t>
      </w:r>
      <w:r>
        <w:rPr>
          <w:spacing w:val="-3"/>
        </w:rPr>
        <w:t xml:space="preserve"> </w:t>
      </w:r>
      <w:r>
        <w:t>that</w:t>
      </w:r>
      <w:r>
        <w:rPr>
          <w:spacing w:val="-4"/>
        </w:rPr>
        <w:t xml:space="preserve"> </w:t>
      </w:r>
      <w:r>
        <w:t>if</w:t>
      </w:r>
      <w:r>
        <w:rPr>
          <w:spacing w:val="-3"/>
        </w:rPr>
        <w:t xml:space="preserve"> </w:t>
      </w:r>
      <w:r>
        <w:t>asserted</w:t>
      </w:r>
      <w:r>
        <w:rPr>
          <w:spacing w:val="-4"/>
        </w:rPr>
        <w:t xml:space="preserve"> </w:t>
      </w:r>
      <w:r>
        <w:t>would</w:t>
      </w:r>
      <w:r>
        <w:rPr>
          <w:spacing w:val="-3"/>
        </w:rPr>
        <w:t xml:space="preserve"> </w:t>
      </w:r>
      <w:r>
        <w:t>have</w:t>
      </w:r>
      <w:r>
        <w:rPr>
          <w:spacing w:val="-4"/>
        </w:rPr>
        <w:t xml:space="preserve"> </w:t>
      </w:r>
      <w:r>
        <w:t>at</w:t>
      </w:r>
      <w:r>
        <w:rPr>
          <w:spacing w:val="-3"/>
        </w:rPr>
        <w:t xml:space="preserve"> </w:t>
      </w:r>
      <w:r>
        <w:t>least</w:t>
      </w:r>
      <w:r>
        <w:rPr>
          <w:spacing w:val="-3"/>
        </w:rPr>
        <w:t xml:space="preserve"> </w:t>
      </w:r>
      <w:r>
        <w:t>a</w:t>
      </w:r>
      <w:r>
        <w:rPr>
          <w:spacing w:val="-3"/>
        </w:rPr>
        <w:t xml:space="preserve"> </w:t>
      </w:r>
      <w:r>
        <w:t>reasonable possibility of an unfavorable outcome.)</w:t>
      </w:r>
    </w:p>
    <w:p w14:paraId="0DFDC9C1" w14:textId="77777777" w:rsidR="00046465" w:rsidRDefault="008134EB">
      <w:pPr>
        <w:pStyle w:val="ListParagraph"/>
        <w:numPr>
          <w:ilvl w:val="0"/>
          <w:numId w:val="56"/>
        </w:numPr>
        <w:tabs>
          <w:tab w:val="left" w:pos="719"/>
        </w:tabs>
        <w:spacing w:before="241"/>
        <w:ind w:hanging="359"/>
      </w:pPr>
      <w:r>
        <w:t>Nature</w:t>
      </w:r>
      <w:r>
        <w:rPr>
          <w:spacing w:val="-5"/>
        </w:rPr>
        <w:t xml:space="preserve"> </w:t>
      </w:r>
      <w:r>
        <w:t>of</w:t>
      </w:r>
      <w:r>
        <w:rPr>
          <w:spacing w:val="-4"/>
        </w:rPr>
        <w:t xml:space="preserve"> </w:t>
      </w:r>
      <w:r>
        <w:t>the</w:t>
      </w:r>
      <w:r>
        <w:rPr>
          <w:spacing w:val="-4"/>
        </w:rPr>
        <w:t xml:space="preserve"> </w:t>
      </w:r>
      <w:r>
        <w:rPr>
          <w:spacing w:val="-2"/>
        </w:rPr>
        <w:t>matter.</w:t>
      </w:r>
    </w:p>
    <w:p w14:paraId="0DFDC9C2" w14:textId="77777777" w:rsidR="00046465" w:rsidRDefault="008134EB">
      <w:pPr>
        <w:pStyle w:val="ListParagraph"/>
        <w:numPr>
          <w:ilvl w:val="0"/>
          <w:numId w:val="56"/>
        </w:numPr>
        <w:tabs>
          <w:tab w:val="left" w:pos="719"/>
        </w:tabs>
        <w:spacing w:before="239"/>
        <w:ind w:hanging="359"/>
      </w:pPr>
      <w:r>
        <w:t>Intended</w:t>
      </w:r>
      <w:r>
        <w:rPr>
          <w:spacing w:val="-7"/>
        </w:rPr>
        <w:t xml:space="preserve"> </w:t>
      </w:r>
      <w:r>
        <w:t>response</w:t>
      </w:r>
      <w:r>
        <w:rPr>
          <w:spacing w:val="-6"/>
        </w:rPr>
        <w:t xml:space="preserve"> </w:t>
      </w:r>
      <w:r>
        <w:t>if</w:t>
      </w:r>
      <w:r>
        <w:rPr>
          <w:spacing w:val="-6"/>
        </w:rPr>
        <w:t xml:space="preserve"> </w:t>
      </w:r>
      <w:r>
        <w:t>claim</w:t>
      </w:r>
      <w:r>
        <w:rPr>
          <w:spacing w:val="-6"/>
        </w:rPr>
        <w:t xml:space="preserve"> </w:t>
      </w:r>
      <w:r>
        <w:t>would</w:t>
      </w:r>
      <w:r>
        <w:rPr>
          <w:spacing w:val="-7"/>
        </w:rPr>
        <w:t xml:space="preserve"> </w:t>
      </w:r>
      <w:r>
        <w:t>be</w:t>
      </w:r>
      <w:r>
        <w:rPr>
          <w:spacing w:val="-6"/>
        </w:rPr>
        <w:t xml:space="preserve"> </w:t>
      </w:r>
      <w:r>
        <w:rPr>
          <w:spacing w:val="-2"/>
        </w:rPr>
        <w:t>asserted.</w:t>
      </w:r>
    </w:p>
    <w:p w14:paraId="0DFDC9C3" w14:textId="77777777" w:rsidR="00046465" w:rsidRDefault="008134EB">
      <w:pPr>
        <w:pStyle w:val="ListParagraph"/>
        <w:numPr>
          <w:ilvl w:val="0"/>
          <w:numId w:val="56"/>
        </w:numPr>
        <w:tabs>
          <w:tab w:val="left" w:pos="719"/>
        </w:tabs>
        <w:spacing w:before="240"/>
        <w:ind w:right="731"/>
      </w:pPr>
      <w:r>
        <w:t>Evaluation</w:t>
      </w:r>
      <w:r>
        <w:rPr>
          <w:spacing w:val="-4"/>
        </w:rPr>
        <w:t xml:space="preserve"> </w:t>
      </w:r>
      <w:r>
        <w:t>of</w:t>
      </w:r>
      <w:r>
        <w:rPr>
          <w:spacing w:val="-4"/>
        </w:rPr>
        <w:t xml:space="preserve"> </w:t>
      </w:r>
      <w:r>
        <w:t>the</w:t>
      </w:r>
      <w:r>
        <w:rPr>
          <w:spacing w:val="-4"/>
        </w:rPr>
        <w:t xml:space="preserve"> </w:t>
      </w:r>
      <w:r>
        <w:t>likelihood</w:t>
      </w:r>
      <w:r>
        <w:rPr>
          <w:spacing w:val="-4"/>
        </w:rPr>
        <w:t xml:space="preserve"> </w:t>
      </w:r>
      <w:r>
        <w:t>of</w:t>
      </w:r>
      <w:r>
        <w:rPr>
          <w:spacing w:val="-4"/>
        </w:rPr>
        <w:t xml:space="preserve"> </w:t>
      </w:r>
      <w:r>
        <w:t>an</w:t>
      </w:r>
      <w:r>
        <w:rPr>
          <w:spacing w:val="-4"/>
        </w:rPr>
        <w:t xml:space="preserve"> </w:t>
      </w:r>
      <w:r>
        <w:t>unfavorable</w:t>
      </w:r>
      <w:r>
        <w:rPr>
          <w:spacing w:val="-4"/>
        </w:rPr>
        <w:t xml:space="preserve"> </w:t>
      </w:r>
      <w:r>
        <w:t>outcome.</w:t>
      </w:r>
      <w:r>
        <w:rPr>
          <w:spacing w:val="-4"/>
        </w:rPr>
        <w:t xml:space="preserve"> </w:t>
      </w:r>
      <w:r>
        <w:t>(Categorize</w:t>
      </w:r>
      <w:r>
        <w:rPr>
          <w:spacing w:val="-4"/>
        </w:rPr>
        <w:t xml:space="preserve"> </w:t>
      </w:r>
      <w:r>
        <w:t>likelihood</w:t>
      </w:r>
      <w:r>
        <w:rPr>
          <w:spacing w:val="-4"/>
        </w:rPr>
        <w:t xml:space="preserve"> </w:t>
      </w:r>
      <w:r>
        <w:t>as</w:t>
      </w:r>
      <w:r>
        <w:rPr>
          <w:spacing w:val="-4"/>
        </w:rPr>
        <w:t xml:space="preserve"> </w:t>
      </w:r>
      <w:r>
        <w:t>probable</w:t>
      </w:r>
      <w:r>
        <w:rPr>
          <w:spacing w:val="-4"/>
        </w:rPr>
        <w:t xml:space="preserve"> </w:t>
      </w:r>
      <w:r>
        <w:t>or reasonably possible.)</w:t>
      </w:r>
    </w:p>
    <w:p w14:paraId="0DFDC9C4" w14:textId="77777777" w:rsidR="00046465" w:rsidRDefault="008134EB">
      <w:pPr>
        <w:pStyle w:val="ListParagraph"/>
        <w:numPr>
          <w:ilvl w:val="0"/>
          <w:numId w:val="56"/>
        </w:numPr>
        <w:tabs>
          <w:tab w:val="left" w:pos="719"/>
        </w:tabs>
        <w:spacing w:before="241"/>
        <w:ind w:hanging="359"/>
      </w:pPr>
      <w:r>
        <w:t>Estimated</w:t>
      </w:r>
      <w:r>
        <w:rPr>
          <w:spacing w:val="-6"/>
        </w:rPr>
        <w:t xml:space="preserve"> </w:t>
      </w:r>
      <w:r>
        <w:t>amount</w:t>
      </w:r>
      <w:r>
        <w:rPr>
          <w:spacing w:val="-6"/>
        </w:rPr>
        <w:t xml:space="preserve"> </w:t>
      </w:r>
      <w:r>
        <w:t>or</w:t>
      </w:r>
      <w:r>
        <w:rPr>
          <w:spacing w:val="-6"/>
        </w:rPr>
        <w:t xml:space="preserve"> </w:t>
      </w:r>
      <w:r>
        <w:t>range</w:t>
      </w:r>
      <w:r>
        <w:rPr>
          <w:spacing w:val="-5"/>
        </w:rPr>
        <w:t xml:space="preserve"> </w:t>
      </w:r>
      <w:r>
        <w:t>of</w:t>
      </w:r>
      <w:r>
        <w:rPr>
          <w:spacing w:val="-6"/>
        </w:rPr>
        <w:t xml:space="preserve"> </w:t>
      </w:r>
      <w:r>
        <w:t>potential</w:t>
      </w:r>
      <w:r>
        <w:rPr>
          <w:spacing w:val="-6"/>
        </w:rPr>
        <w:t xml:space="preserve"> </w:t>
      </w:r>
      <w:r>
        <w:t>loss,</w:t>
      </w:r>
      <w:r>
        <w:rPr>
          <w:spacing w:val="-5"/>
        </w:rPr>
        <w:t xml:space="preserve"> </w:t>
      </w:r>
      <w:r>
        <w:t>if</w:t>
      </w:r>
      <w:r>
        <w:rPr>
          <w:spacing w:val="-6"/>
        </w:rPr>
        <w:t xml:space="preserve"> </w:t>
      </w:r>
      <w:r>
        <w:rPr>
          <w:spacing w:val="-2"/>
        </w:rPr>
        <w:t>determinable.</w:t>
      </w:r>
    </w:p>
    <w:p w14:paraId="0DFDC9C5" w14:textId="77777777" w:rsidR="00046465" w:rsidRDefault="00046465">
      <w:pPr>
        <w:pStyle w:val="BodyText"/>
      </w:pPr>
    </w:p>
    <w:p w14:paraId="0DFDC9C6" w14:textId="77777777" w:rsidR="00046465" w:rsidRDefault="00046465">
      <w:pPr>
        <w:pStyle w:val="BodyText"/>
        <w:spacing w:before="226"/>
      </w:pPr>
    </w:p>
    <w:p w14:paraId="0DFDC9C7" w14:textId="77777777" w:rsidR="00046465" w:rsidRDefault="008134EB">
      <w:pPr>
        <w:ind w:left="1" w:right="359"/>
        <w:jc w:val="center"/>
      </w:pPr>
      <w:r>
        <w:t>*</w:t>
      </w:r>
      <w:r>
        <w:rPr>
          <w:spacing w:val="-2"/>
        </w:rPr>
        <w:t xml:space="preserve"> </w:t>
      </w:r>
      <w:r>
        <w:t>*</w:t>
      </w:r>
      <w:r>
        <w:rPr>
          <w:spacing w:val="-2"/>
        </w:rPr>
        <w:t xml:space="preserve"> </w:t>
      </w:r>
      <w:r>
        <w:t>*</w:t>
      </w:r>
      <w:r>
        <w:rPr>
          <w:spacing w:val="-2"/>
        </w:rPr>
        <w:t xml:space="preserve"> </w:t>
      </w:r>
      <w:r>
        <w:t>*</w:t>
      </w:r>
      <w:r>
        <w:rPr>
          <w:spacing w:val="-2"/>
        </w:rPr>
        <w:t xml:space="preserve"> </w:t>
      </w:r>
      <w:r>
        <w:rPr>
          <w:spacing w:val="-10"/>
        </w:rPr>
        <w:t>*</w:t>
      </w:r>
    </w:p>
    <w:p w14:paraId="0DFDC9C8" w14:textId="77777777" w:rsidR="00046465" w:rsidRDefault="00046465">
      <w:pPr>
        <w:jc w:val="center"/>
        <w:sectPr w:rsidR="00046465">
          <w:pgSz w:w="12240" w:h="15840"/>
          <w:pgMar w:top="1340" w:right="720" w:bottom="940" w:left="1080" w:header="721" w:footer="757" w:gutter="0"/>
          <w:cols w:space="720"/>
        </w:sectPr>
      </w:pPr>
    </w:p>
    <w:p w14:paraId="0DFDC9C9" w14:textId="77777777" w:rsidR="00046465" w:rsidRDefault="008134EB">
      <w:pPr>
        <w:spacing w:before="121"/>
        <w:ind w:left="360" w:right="749" w:hanging="1"/>
        <w:rPr>
          <w:b/>
        </w:rPr>
      </w:pPr>
      <w:r>
        <w:lastRenderedPageBreak/>
        <w:t>The</w:t>
      </w:r>
      <w:r>
        <w:rPr>
          <w:spacing w:val="-1"/>
        </w:rPr>
        <w:t xml:space="preserve"> </w:t>
      </w:r>
      <w:r>
        <w:t>information</w:t>
      </w:r>
      <w:r>
        <w:rPr>
          <w:spacing w:val="-1"/>
        </w:rPr>
        <w:t xml:space="preserve"> </w:t>
      </w:r>
      <w:r>
        <w:t>set</w:t>
      </w:r>
      <w:r>
        <w:rPr>
          <w:spacing w:val="-1"/>
        </w:rPr>
        <w:t xml:space="preserve"> </w:t>
      </w:r>
      <w:r>
        <w:t>forth</w:t>
      </w:r>
      <w:r>
        <w:rPr>
          <w:spacing w:val="-2"/>
        </w:rPr>
        <w:t xml:space="preserve"> </w:t>
      </w:r>
      <w:r>
        <w:t>herein</w:t>
      </w:r>
      <w:r>
        <w:rPr>
          <w:spacing w:val="-1"/>
        </w:rPr>
        <w:t xml:space="preserve"> </w:t>
      </w:r>
      <w:r>
        <w:t>is</w:t>
      </w:r>
      <w:r>
        <w:rPr>
          <w:spacing w:val="-1"/>
        </w:rPr>
        <w:t xml:space="preserve"> </w:t>
      </w:r>
      <w:r>
        <w:t>as</w:t>
      </w:r>
      <w:r>
        <w:rPr>
          <w:spacing w:val="-2"/>
        </w:rPr>
        <w:t xml:space="preserve"> </w:t>
      </w:r>
      <w:r>
        <w:t>of</w:t>
      </w:r>
      <w:r>
        <w:rPr>
          <w:spacing w:val="-1"/>
        </w:rPr>
        <w:t xml:space="preserve"> </w:t>
      </w:r>
      <w:r>
        <w:t>the</w:t>
      </w:r>
      <w:r>
        <w:rPr>
          <w:spacing w:val="-1"/>
        </w:rPr>
        <w:t xml:space="preserve"> </w:t>
      </w:r>
      <w:r>
        <w:t>date</w:t>
      </w:r>
      <w:r>
        <w:rPr>
          <w:spacing w:val="-2"/>
        </w:rPr>
        <w:t xml:space="preserve"> </w:t>
      </w:r>
      <w:r>
        <w:t>of</w:t>
      </w:r>
      <w:r>
        <w:rPr>
          <w:spacing w:val="-1"/>
        </w:rPr>
        <w:t xml:space="preserve"> </w:t>
      </w:r>
      <w:r>
        <w:t>this</w:t>
      </w:r>
      <w:r>
        <w:rPr>
          <w:spacing w:val="-1"/>
        </w:rPr>
        <w:t xml:space="preserve"> </w:t>
      </w:r>
      <w:r>
        <w:t>response letter</w:t>
      </w:r>
      <w:r>
        <w:rPr>
          <w:spacing w:val="-1"/>
        </w:rPr>
        <w:t xml:space="preserve"> </w:t>
      </w:r>
      <w:r>
        <w:rPr>
          <w:b/>
        </w:rPr>
        <w:t>OR</w:t>
      </w:r>
      <w:r>
        <w:rPr>
          <w:b/>
          <w:spacing w:val="-2"/>
        </w:rPr>
        <w:t xml:space="preserve"> </w:t>
      </w:r>
      <w:r>
        <w:rPr>
          <w:b/>
        </w:rPr>
        <w:t>[as</w:t>
      </w:r>
      <w:r>
        <w:rPr>
          <w:b/>
          <w:spacing w:val="-1"/>
        </w:rPr>
        <w:t xml:space="preserve"> </w:t>
      </w:r>
      <w:r>
        <w:rPr>
          <w:b/>
        </w:rPr>
        <w:t>of</w:t>
      </w:r>
      <w:r>
        <w:rPr>
          <w:b/>
          <w:spacing w:val="-1"/>
        </w:rPr>
        <w:t xml:space="preserve"> </w:t>
      </w:r>
      <w:r>
        <w:rPr>
          <w:b/>
        </w:rPr>
        <w:t>[insert</w:t>
      </w:r>
      <w:r>
        <w:rPr>
          <w:b/>
          <w:spacing w:val="-1"/>
        </w:rPr>
        <w:t xml:space="preserve"> </w:t>
      </w:r>
      <w:r>
        <w:rPr>
          <w:b/>
        </w:rPr>
        <w:t>date], the effective date on which we commenced our internal review procedures for purposes of</w:t>
      </w:r>
      <w:r>
        <w:rPr>
          <w:b/>
          <w:spacing w:val="-2"/>
        </w:rPr>
        <w:t xml:space="preserve"> </w:t>
      </w:r>
      <w:r>
        <w:rPr>
          <w:b/>
        </w:rPr>
        <w:t>preparing</w:t>
      </w:r>
      <w:r>
        <w:rPr>
          <w:b/>
          <w:spacing w:val="-2"/>
        </w:rPr>
        <w:t xml:space="preserve"> </w:t>
      </w:r>
      <w:r>
        <w:rPr>
          <w:b/>
        </w:rPr>
        <w:t>this</w:t>
      </w:r>
      <w:r>
        <w:rPr>
          <w:b/>
          <w:spacing w:val="-2"/>
        </w:rPr>
        <w:t xml:space="preserve"> </w:t>
      </w:r>
      <w:r>
        <w:rPr>
          <w:b/>
        </w:rPr>
        <w:t>response]</w:t>
      </w:r>
      <w:r>
        <w:t>,</w:t>
      </w:r>
      <w:r>
        <w:rPr>
          <w:spacing w:val="-2"/>
        </w:rPr>
        <w:t xml:space="preserve"> </w:t>
      </w:r>
      <w:r>
        <w:t>except</w:t>
      </w:r>
      <w:r>
        <w:rPr>
          <w:spacing w:val="-2"/>
        </w:rPr>
        <w:t xml:space="preserve"> </w:t>
      </w:r>
      <w:r>
        <w:t>as</w:t>
      </w:r>
      <w:r>
        <w:rPr>
          <w:spacing w:val="-2"/>
        </w:rPr>
        <w:t xml:space="preserve"> </w:t>
      </w:r>
      <w:r>
        <w:t>otherwise</w:t>
      </w:r>
      <w:r>
        <w:rPr>
          <w:spacing w:val="-2"/>
        </w:rPr>
        <w:t xml:space="preserve"> </w:t>
      </w:r>
      <w:r>
        <w:t>noted.</w:t>
      </w:r>
      <w:r>
        <w:rPr>
          <w:spacing w:val="-2"/>
        </w:rPr>
        <w:t xml:space="preserve"> </w:t>
      </w:r>
      <w:r>
        <w:rPr>
          <w:b/>
        </w:rPr>
        <w:t>[If</w:t>
      </w:r>
      <w:r>
        <w:rPr>
          <w:b/>
          <w:spacing w:val="-3"/>
        </w:rPr>
        <w:t xml:space="preserve"> </w:t>
      </w:r>
      <w:r>
        <w:rPr>
          <w:b/>
        </w:rPr>
        <w:t>an</w:t>
      </w:r>
      <w:r>
        <w:rPr>
          <w:b/>
          <w:spacing w:val="-2"/>
        </w:rPr>
        <w:t xml:space="preserve"> </w:t>
      </w:r>
      <w:r>
        <w:rPr>
          <w:b/>
        </w:rPr>
        <w:t>interim</w:t>
      </w:r>
      <w:r>
        <w:rPr>
          <w:b/>
          <w:spacing w:val="-2"/>
        </w:rPr>
        <w:t xml:space="preserve"> </w:t>
      </w:r>
      <w:r>
        <w:rPr>
          <w:b/>
        </w:rPr>
        <w:t>response,</w:t>
      </w:r>
      <w:r>
        <w:rPr>
          <w:b/>
          <w:spacing w:val="-2"/>
        </w:rPr>
        <w:t xml:space="preserve"> </w:t>
      </w:r>
      <w:r>
        <w:rPr>
          <w:b/>
        </w:rPr>
        <w:t>add</w:t>
      </w:r>
      <w:r>
        <w:rPr>
          <w:b/>
          <w:spacing w:val="-2"/>
        </w:rPr>
        <w:t xml:space="preserve"> </w:t>
      </w:r>
      <w:r>
        <w:rPr>
          <w:b/>
        </w:rPr>
        <w:t>“Upon receipt of a request to update the response, I will provide an updated response, which is due on [date],”] [If a final response: I disclaim any undertaking to advise you of changes that</w:t>
      </w:r>
      <w:r>
        <w:rPr>
          <w:b/>
          <w:spacing w:val="-3"/>
        </w:rPr>
        <w:t xml:space="preserve"> </w:t>
      </w:r>
      <w:r>
        <w:rPr>
          <w:b/>
        </w:rPr>
        <w:t>after</w:t>
      </w:r>
      <w:r>
        <w:rPr>
          <w:b/>
          <w:spacing w:val="-4"/>
        </w:rPr>
        <w:t xml:space="preserve"> </w:t>
      </w:r>
      <w:r>
        <w:rPr>
          <w:b/>
        </w:rPr>
        <w:t>the</w:t>
      </w:r>
      <w:r>
        <w:rPr>
          <w:b/>
          <w:spacing w:val="-3"/>
        </w:rPr>
        <w:t xml:space="preserve"> </w:t>
      </w:r>
      <w:r>
        <w:rPr>
          <w:b/>
        </w:rPr>
        <w:t>date</w:t>
      </w:r>
      <w:r>
        <w:rPr>
          <w:b/>
          <w:spacing w:val="-3"/>
        </w:rPr>
        <w:t xml:space="preserve"> </w:t>
      </w:r>
      <w:r>
        <w:rPr>
          <w:b/>
        </w:rPr>
        <w:t>of</w:t>
      </w:r>
      <w:r>
        <w:rPr>
          <w:b/>
          <w:spacing w:val="-3"/>
        </w:rPr>
        <w:t xml:space="preserve"> </w:t>
      </w:r>
      <w:r>
        <w:rPr>
          <w:b/>
        </w:rPr>
        <w:t>this</w:t>
      </w:r>
      <w:r>
        <w:rPr>
          <w:b/>
          <w:spacing w:val="-3"/>
        </w:rPr>
        <w:t xml:space="preserve"> </w:t>
      </w:r>
      <w:r>
        <w:rPr>
          <w:b/>
        </w:rPr>
        <w:t>response</w:t>
      </w:r>
      <w:r>
        <w:rPr>
          <w:b/>
          <w:spacing w:val="-2"/>
        </w:rPr>
        <w:t xml:space="preserve"> </w:t>
      </w:r>
      <w:r>
        <w:rPr>
          <w:b/>
        </w:rPr>
        <w:t>letter,</w:t>
      </w:r>
      <w:r>
        <w:rPr>
          <w:b/>
          <w:spacing w:val="-3"/>
        </w:rPr>
        <w:t xml:space="preserve"> </w:t>
      </w:r>
      <w:r>
        <w:rPr>
          <w:b/>
        </w:rPr>
        <w:t>may</w:t>
      </w:r>
      <w:r>
        <w:rPr>
          <w:b/>
          <w:spacing w:val="-3"/>
        </w:rPr>
        <w:t xml:space="preserve"> </w:t>
      </w:r>
      <w:r>
        <w:rPr>
          <w:b/>
        </w:rPr>
        <w:t>be</w:t>
      </w:r>
      <w:r>
        <w:rPr>
          <w:b/>
          <w:spacing w:val="-3"/>
        </w:rPr>
        <w:t xml:space="preserve"> </w:t>
      </w:r>
      <w:r>
        <w:rPr>
          <w:b/>
        </w:rPr>
        <w:t>brought</w:t>
      </w:r>
      <w:r>
        <w:rPr>
          <w:b/>
          <w:spacing w:val="-3"/>
        </w:rPr>
        <w:t xml:space="preserve"> </w:t>
      </w:r>
      <w:r>
        <w:rPr>
          <w:b/>
        </w:rPr>
        <w:t>to</w:t>
      </w:r>
      <w:r>
        <w:rPr>
          <w:b/>
          <w:spacing w:val="-3"/>
        </w:rPr>
        <w:t xml:space="preserve"> </w:t>
      </w:r>
      <w:r>
        <w:rPr>
          <w:b/>
        </w:rPr>
        <w:t>my</w:t>
      </w:r>
      <w:r>
        <w:rPr>
          <w:b/>
          <w:spacing w:val="-3"/>
        </w:rPr>
        <w:t xml:space="preserve"> </w:t>
      </w:r>
      <w:r>
        <w:rPr>
          <w:b/>
        </w:rPr>
        <w:t>attention</w:t>
      </w:r>
      <w:r>
        <w:rPr>
          <w:b/>
          <w:spacing w:val="-3"/>
        </w:rPr>
        <w:t xml:space="preserve"> </w:t>
      </w:r>
      <w:r>
        <w:rPr>
          <w:b/>
        </w:rPr>
        <w:t>or</w:t>
      </w:r>
      <w:r>
        <w:rPr>
          <w:b/>
          <w:spacing w:val="-4"/>
        </w:rPr>
        <w:t xml:space="preserve"> </w:t>
      </w:r>
      <w:r>
        <w:rPr>
          <w:b/>
        </w:rPr>
        <w:t>the</w:t>
      </w:r>
      <w:r>
        <w:rPr>
          <w:b/>
          <w:spacing w:val="-3"/>
        </w:rPr>
        <w:t xml:space="preserve"> </w:t>
      </w:r>
      <w:r>
        <w:rPr>
          <w:b/>
        </w:rPr>
        <w:t>attention of lawyers over whom I exercise general legal supervision.]</w:t>
      </w:r>
    </w:p>
    <w:p w14:paraId="0DFDC9CA" w14:textId="77777777" w:rsidR="00046465" w:rsidRDefault="008134EB">
      <w:pPr>
        <w:pStyle w:val="BodyText"/>
        <w:spacing w:before="240"/>
        <w:ind w:left="360"/>
      </w:pPr>
      <w:r>
        <w:t>(The</w:t>
      </w:r>
      <w:r>
        <w:rPr>
          <w:spacing w:val="-7"/>
        </w:rPr>
        <w:t xml:space="preserve"> </w:t>
      </w:r>
      <w:r>
        <w:t>following</w:t>
      </w:r>
      <w:r>
        <w:rPr>
          <w:spacing w:val="-7"/>
        </w:rPr>
        <w:t xml:space="preserve"> </w:t>
      </w:r>
      <w:r>
        <w:t>language</w:t>
      </w:r>
      <w:r>
        <w:rPr>
          <w:spacing w:val="-8"/>
        </w:rPr>
        <w:t xml:space="preserve"> </w:t>
      </w:r>
      <w:r>
        <w:t>is</w:t>
      </w:r>
      <w:r>
        <w:rPr>
          <w:spacing w:val="-6"/>
        </w:rPr>
        <w:t xml:space="preserve"> </w:t>
      </w:r>
      <w:r>
        <w:t>generally</w:t>
      </w:r>
      <w:r>
        <w:rPr>
          <w:spacing w:val="-8"/>
        </w:rPr>
        <w:t xml:space="preserve"> </w:t>
      </w:r>
      <w:r>
        <w:t>consistent</w:t>
      </w:r>
      <w:r>
        <w:rPr>
          <w:spacing w:val="-8"/>
        </w:rPr>
        <w:t xml:space="preserve"> </w:t>
      </w:r>
      <w:r>
        <w:t>with</w:t>
      </w:r>
      <w:r>
        <w:rPr>
          <w:spacing w:val="-6"/>
        </w:rPr>
        <w:t xml:space="preserve"> </w:t>
      </w:r>
      <w:r>
        <w:t>AU-C</w:t>
      </w:r>
      <w:r>
        <w:rPr>
          <w:spacing w:val="-8"/>
        </w:rPr>
        <w:t xml:space="preserve"> </w:t>
      </w:r>
      <w:r>
        <w:t>501</w:t>
      </w:r>
      <w:r>
        <w:rPr>
          <w:spacing w:val="-7"/>
        </w:rPr>
        <w:t xml:space="preserve"> </w:t>
      </w:r>
      <w:r>
        <w:t>Exhibit</w:t>
      </w:r>
      <w:r>
        <w:rPr>
          <w:spacing w:val="-7"/>
        </w:rPr>
        <w:t xml:space="preserve"> </w:t>
      </w:r>
      <w:r>
        <w:rPr>
          <w:spacing w:val="-5"/>
        </w:rPr>
        <w:t>A.)</w:t>
      </w:r>
    </w:p>
    <w:p w14:paraId="0DFDC9CB" w14:textId="77777777" w:rsidR="00046465" w:rsidRDefault="008134EB">
      <w:pPr>
        <w:pStyle w:val="BodyText"/>
        <w:spacing w:before="239"/>
        <w:ind w:left="360" w:right="749"/>
      </w:pPr>
      <w:r>
        <w:t xml:space="preserve">This response is limited by, and in accordance with, the ABA </w:t>
      </w:r>
      <w:r>
        <w:rPr>
          <w:i/>
        </w:rPr>
        <w:t xml:space="preserve">Statement of Policy Regarding Lawyers’ Responses to Auditors’ Requests for Information </w:t>
      </w:r>
      <w:r>
        <w:t>(December 1975). Without limiting the generality of the foregoing, the limitations set forth in such statement on the scope and use of</w:t>
      </w:r>
      <w:r>
        <w:rPr>
          <w:spacing w:val="-3"/>
        </w:rPr>
        <w:t xml:space="preserve"> </w:t>
      </w:r>
      <w:r>
        <w:t>this</w:t>
      </w:r>
      <w:r>
        <w:rPr>
          <w:spacing w:val="-3"/>
        </w:rPr>
        <w:t xml:space="preserve"> </w:t>
      </w:r>
      <w:r>
        <w:t>response</w:t>
      </w:r>
      <w:r>
        <w:rPr>
          <w:spacing w:val="-3"/>
        </w:rPr>
        <w:t xml:space="preserve"> </w:t>
      </w:r>
      <w:r>
        <w:t>(paragraphs</w:t>
      </w:r>
      <w:r>
        <w:rPr>
          <w:spacing w:val="-3"/>
        </w:rPr>
        <w:t xml:space="preserve"> </w:t>
      </w:r>
      <w:r>
        <w:t>2</w:t>
      </w:r>
      <w:r>
        <w:rPr>
          <w:spacing w:val="-3"/>
        </w:rPr>
        <w:t xml:space="preserve"> </w:t>
      </w:r>
      <w:r>
        <w:t>and</w:t>
      </w:r>
      <w:r>
        <w:rPr>
          <w:spacing w:val="-4"/>
        </w:rPr>
        <w:t xml:space="preserve"> </w:t>
      </w:r>
      <w:r>
        <w:t>7)</w:t>
      </w:r>
      <w:r>
        <w:rPr>
          <w:spacing w:val="-3"/>
        </w:rPr>
        <w:t xml:space="preserve"> </w:t>
      </w:r>
      <w:r>
        <w:t>are</w:t>
      </w:r>
      <w:r>
        <w:rPr>
          <w:spacing w:val="-3"/>
        </w:rPr>
        <w:t xml:space="preserve"> </w:t>
      </w:r>
      <w:r>
        <w:t>specifically</w:t>
      </w:r>
      <w:r>
        <w:rPr>
          <w:spacing w:val="-3"/>
        </w:rPr>
        <w:t xml:space="preserve"> </w:t>
      </w:r>
      <w:r>
        <w:t>incorporated</w:t>
      </w:r>
      <w:r>
        <w:rPr>
          <w:spacing w:val="-3"/>
        </w:rPr>
        <w:t xml:space="preserve"> </w:t>
      </w:r>
      <w:r>
        <w:t>herein</w:t>
      </w:r>
      <w:r>
        <w:rPr>
          <w:spacing w:val="-3"/>
        </w:rPr>
        <w:t xml:space="preserve"> </w:t>
      </w:r>
      <w:r>
        <w:t>by</w:t>
      </w:r>
      <w:r>
        <w:rPr>
          <w:spacing w:val="-3"/>
        </w:rPr>
        <w:t xml:space="preserve"> </w:t>
      </w:r>
      <w:r>
        <w:t>reference,</w:t>
      </w:r>
      <w:r>
        <w:rPr>
          <w:spacing w:val="-3"/>
        </w:rPr>
        <w:t xml:space="preserve"> </w:t>
      </w:r>
      <w:r>
        <w:t>and</w:t>
      </w:r>
      <w:r>
        <w:rPr>
          <w:spacing w:val="-3"/>
        </w:rPr>
        <w:t xml:space="preserve"> </w:t>
      </w:r>
      <w:r>
        <w:t>any description herein of any “loss contingencies” is qualified in its entirety by paragraph 5 of the statement and the accompanying commentary (which is an integral part of the statement).</w:t>
      </w:r>
    </w:p>
    <w:p w14:paraId="0DFDC9CC" w14:textId="77777777" w:rsidR="00046465" w:rsidRDefault="008134EB">
      <w:pPr>
        <w:spacing w:before="240"/>
        <w:ind w:left="360" w:right="736"/>
      </w:pPr>
      <w:r>
        <w:t xml:space="preserve">Consistent with the last sentence of paragraph 6 of the ABA </w:t>
      </w:r>
      <w:r>
        <w:rPr>
          <w:i/>
        </w:rPr>
        <w:t>Statement of Policy Regarding Lawyers’</w:t>
      </w:r>
      <w:r>
        <w:rPr>
          <w:i/>
          <w:spacing w:val="-3"/>
        </w:rPr>
        <w:t xml:space="preserve"> </w:t>
      </w:r>
      <w:r>
        <w:rPr>
          <w:i/>
        </w:rPr>
        <w:t>Responses</w:t>
      </w:r>
      <w:r>
        <w:rPr>
          <w:i/>
          <w:spacing w:val="-3"/>
        </w:rPr>
        <w:t xml:space="preserve"> </w:t>
      </w:r>
      <w:r>
        <w:rPr>
          <w:i/>
        </w:rPr>
        <w:t>to</w:t>
      </w:r>
      <w:r>
        <w:rPr>
          <w:i/>
          <w:spacing w:val="-4"/>
        </w:rPr>
        <w:t xml:space="preserve"> </w:t>
      </w:r>
      <w:r>
        <w:rPr>
          <w:i/>
        </w:rPr>
        <w:t>Auditors’</w:t>
      </w:r>
      <w:r>
        <w:rPr>
          <w:i/>
          <w:spacing w:val="-3"/>
        </w:rPr>
        <w:t xml:space="preserve"> </w:t>
      </w:r>
      <w:r>
        <w:rPr>
          <w:i/>
        </w:rPr>
        <w:t>Requests</w:t>
      </w:r>
      <w:r>
        <w:rPr>
          <w:i/>
          <w:spacing w:val="-2"/>
        </w:rPr>
        <w:t xml:space="preserve"> </w:t>
      </w:r>
      <w:r>
        <w:rPr>
          <w:i/>
        </w:rPr>
        <w:t>for</w:t>
      </w:r>
      <w:r>
        <w:rPr>
          <w:i/>
          <w:spacing w:val="-3"/>
        </w:rPr>
        <w:t xml:space="preserve"> </w:t>
      </w:r>
      <w:r>
        <w:rPr>
          <w:i/>
        </w:rPr>
        <w:t>Information</w:t>
      </w:r>
      <w:r>
        <w:rPr>
          <w:i/>
          <w:spacing w:val="-3"/>
        </w:rPr>
        <w:t xml:space="preserve"> </w:t>
      </w:r>
      <w:r>
        <w:t>(December</w:t>
      </w:r>
      <w:r>
        <w:rPr>
          <w:spacing w:val="-3"/>
        </w:rPr>
        <w:t xml:space="preserve"> </w:t>
      </w:r>
      <w:r>
        <w:t>1975),</w:t>
      </w:r>
      <w:r>
        <w:rPr>
          <w:spacing w:val="-3"/>
        </w:rPr>
        <w:t xml:space="preserve"> </w:t>
      </w:r>
      <w:r>
        <w:t>this</w:t>
      </w:r>
      <w:r>
        <w:rPr>
          <w:spacing w:val="-3"/>
        </w:rPr>
        <w:t xml:space="preserve"> </w:t>
      </w:r>
      <w:r>
        <w:t>will</w:t>
      </w:r>
      <w:r>
        <w:rPr>
          <w:spacing w:val="-4"/>
        </w:rPr>
        <w:t xml:space="preserve"> </w:t>
      </w:r>
      <w:r>
        <w:t>confirm</w:t>
      </w:r>
      <w:r>
        <w:rPr>
          <w:spacing w:val="-4"/>
        </w:rPr>
        <w:t xml:space="preserve"> </w:t>
      </w:r>
      <w:r>
        <w:t xml:space="preserve">as correct </w:t>
      </w:r>
      <w:r>
        <w:rPr>
          <w:b/>
        </w:rPr>
        <w:t>[Entity]</w:t>
      </w:r>
      <w:r>
        <w:t xml:space="preserve">’s understanding that whenever, in the course of performing legal services for </w:t>
      </w:r>
      <w:r>
        <w:rPr>
          <w:b/>
        </w:rPr>
        <w:t xml:space="preserve">[Entity] </w:t>
      </w:r>
      <w:r>
        <w:t xml:space="preserve">with respect to a matter recognized to involve an unasserted possible claim or assessment that may call for financial statement disclosure, I have formed a professional conclusion that </w:t>
      </w:r>
      <w:r>
        <w:rPr>
          <w:b/>
        </w:rPr>
        <w:t xml:space="preserve">[Entity] </w:t>
      </w:r>
      <w:r>
        <w:t xml:space="preserve">must disclose or consider disclosure concerning such possible claim or assessment. I, as a matter of professional responsibility to </w:t>
      </w:r>
      <w:r>
        <w:rPr>
          <w:b/>
        </w:rPr>
        <w:t>[Entity]</w:t>
      </w:r>
      <w:r>
        <w:t xml:space="preserve">, will so advise </w:t>
      </w:r>
      <w:r>
        <w:rPr>
          <w:b/>
        </w:rPr>
        <w:t xml:space="preserve">[Entity] </w:t>
      </w:r>
      <w:r>
        <w:t xml:space="preserve">and will consult with </w:t>
      </w:r>
      <w:r>
        <w:rPr>
          <w:b/>
        </w:rPr>
        <w:t xml:space="preserve">[Entity] </w:t>
      </w:r>
      <w:r>
        <w:t xml:space="preserve">concerning the question of such disclosure and the applicable requirements of Statement of Federal Financial Accounting Standards (SFFAS) 5, </w:t>
      </w:r>
      <w:r>
        <w:rPr>
          <w:i/>
        </w:rPr>
        <w:t>Accounting for Liabilities</w:t>
      </w:r>
      <w:r>
        <w:rPr>
          <w:i/>
          <w:spacing w:val="-1"/>
        </w:rPr>
        <w:t xml:space="preserve"> </w:t>
      </w:r>
      <w:r>
        <w:rPr>
          <w:i/>
        </w:rPr>
        <w:t>of the Federal Government</w:t>
      </w:r>
      <w:r>
        <w:t>, as amended by SFFAS 12, and Interpretation No. 2 of SFFAS 4 and 5.</w:t>
      </w:r>
    </w:p>
    <w:p w14:paraId="0DFDC9CD" w14:textId="77777777" w:rsidR="00046465" w:rsidRDefault="008134EB">
      <w:pPr>
        <w:spacing w:before="240"/>
        <w:ind w:left="360"/>
        <w:rPr>
          <w:b/>
        </w:rPr>
      </w:pPr>
      <w:r>
        <w:rPr>
          <w:b/>
        </w:rPr>
        <w:t>[Describe</w:t>
      </w:r>
      <w:r>
        <w:rPr>
          <w:b/>
          <w:spacing w:val="-7"/>
        </w:rPr>
        <w:t xml:space="preserve"> </w:t>
      </w:r>
      <w:r>
        <w:rPr>
          <w:b/>
        </w:rPr>
        <w:t>any</w:t>
      </w:r>
      <w:r>
        <w:rPr>
          <w:b/>
          <w:spacing w:val="-6"/>
        </w:rPr>
        <w:t xml:space="preserve"> </w:t>
      </w:r>
      <w:r>
        <w:rPr>
          <w:b/>
        </w:rPr>
        <w:t>other</w:t>
      </w:r>
      <w:r>
        <w:rPr>
          <w:b/>
          <w:spacing w:val="-7"/>
        </w:rPr>
        <w:t xml:space="preserve"> </w:t>
      </w:r>
      <w:r>
        <w:rPr>
          <w:b/>
        </w:rPr>
        <w:t>or</w:t>
      </w:r>
      <w:r>
        <w:rPr>
          <w:b/>
          <w:spacing w:val="-7"/>
        </w:rPr>
        <w:t xml:space="preserve"> </w:t>
      </w:r>
      <w:r>
        <w:rPr>
          <w:b/>
        </w:rPr>
        <w:t>additional</w:t>
      </w:r>
      <w:r>
        <w:rPr>
          <w:b/>
          <w:spacing w:val="-6"/>
        </w:rPr>
        <w:t xml:space="preserve"> </w:t>
      </w:r>
      <w:r>
        <w:rPr>
          <w:b/>
        </w:rPr>
        <w:t>limitation</w:t>
      </w:r>
      <w:r>
        <w:rPr>
          <w:b/>
          <w:spacing w:val="-6"/>
        </w:rPr>
        <w:t xml:space="preserve"> </w:t>
      </w:r>
      <w:r>
        <w:rPr>
          <w:b/>
        </w:rPr>
        <w:t>as</w:t>
      </w:r>
      <w:r>
        <w:rPr>
          <w:b/>
          <w:spacing w:val="-6"/>
        </w:rPr>
        <w:t xml:space="preserve"> </w:t>
      </w:r>
      <w:r>
        <w:rPr>
          <w:b/>
        </w:rPr>
        <w:t>indicated</w:t>
      </w:r>
      <w:r>
        <w:rPr>
          <w:b/>
          <w:spacing w:val="-6"/>
        </w:rPr>
        <w:t xml:space="preserve"> </w:t>
      </w:r>
      <w:r>
        <w:rPr>
          <w:b/>
        </w:rPr>
        <w:t>by</w:t>
      </w:r>
      <w:r>
        <w:rPr>
          <w:b/>
          <w:spacing w:val="-7"/>
        </w:rPr>
        <w:t xml:space="preserve"> </w:t>
      </w:r>
      <w:r>
        <w:rPr>
          <w:b/>
        </w:rPr>
        <w:t>paragraph</w:t>
      </w:r>
      <w:r>
        <w:rPr>
          <w:b/>
          <w:spacing w:val="-5"/>
        </w:rPr>
        <w:t xml:space="preserve"> </w:t>
      </w:r>
      <w:r>
        <w:rPr>
          <w:b/>
        </w:rPr>
        <w:t>4</w:t>
      </w:r>
      <w:r>
        <w:rPr>
          <w:b/>
          <w:spacing w:val="-6"/>
        </w:rPr>
        <w:t xml:space="preserve"> </w:t>
      </w:r>
      <w:r>
        <w:rPr>
          <w:b/>
        </w:rPr>
        <w:t>of</w:t>
      </w:r>
      <w:r>
        <w:rPr>
          <w:b/>
          <w:spacing w:val="-6"/>
        </w:rPr>
        <w:t xml:space="preserve"> </w:t>
      </w:r>
      <w:r>
        <w:rPr>
          <w:b/>
        </w:rPr>
        <w:t>the</w:t>
      </w:r>
      <w:r>
        <w:rPr>
          <w:b/>
          <w:spacing w:val="-6"/>
        </w:rPr>
        <w:t xml:space="preserve"> </w:t>
      </w:r>
      <w:r>
        <w:rPr>
          <w:b/>
          <w:spacing w:val="-2"/>
        </w:rPr>
        <w:t>statement.]</w:t>
      </w:r>
    </w:p>
    <w:p w14:paraId="0DFDC9CE" w14:textId="77777777" w:rsidR="00046465" w:rsidRDefault="008134EB">
      <w:pPr>
        <w:pStyle w:val="BodyText"/>
        <w:spacing w:before="241"/>
        <w:ind w:left="360"/>
      </w:pPr>
      <w:r>
        <w:rPr>
          <w:spacing w:val="-2"/>
        </w:rPr>
        <w:t>Sincerely,</w:t>
      </w:r>
    </w:p>
    <w:p w14:paraId="0DFDC9CF" w14:textId="77777777" w:rsidR="00046465" w:rsidRDefault="008134EB">
      <w:pPr>
        <w:pStyle w:val="BodyText"/>
        <w:spacing w:before="229"/>
        <w:rPr>
          <w:sz w:val="20"/>
        </w:rPr>
      </w:pPr>
      <w:r>
        <w:rPr>
          <w:noProof/>
          <w:sz w:val="20"/>
        </w:rPr>
        <mc:AlternateContent>
          <mc:Choice Requires="wps">
            <w:drawing>
              <wp:anchor distT="0" distB="0" distL="0" distR="0" simplePos="0" relativeHeight="487740416" behindDoc="1" locked="0" layoutInCell="1" allowOverlap="1" wp14:anchorId="0DFDD767" wp14:editId="0DFDD768">
                <wp:simplePos x="0" y="0"/>
                <wp:positionH relativeFrom="page">
                  <wp:posOffset>914818</wp:posOffset>
                </wp:positionH>
                <wp:positionV relativeFrom="paragraph">
                  <wp:posOffset>306907</wp:posOffset>
                </wp:positionV>
                <wp:extent cx="3029585" cy="1270"/>
                <wp:effectExtent l="0" t="0" r="0" b="0"/>
                <wp:wrapTopAndBottom/>
                <wp:docPr id="1136" name="Graphic 1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9585" cy="1270"/>
                        </a:xfrm>
                        <a:custGeom>
                          <a:avLst/>
                          <a:gdLst/>
                          <a:ahLst/>
                          <a:cxnLst/>
                          <a:rect l="l" t="t" r="r" b="b"/>
                          <a:pathLst>
                            <a:path w="3029585">
                              <a:moveTo>
                                <a:pt x="0" y="0"/>
                              </a:moveTo>
                              <a:lnTo>
                                <a:pt x="3029185"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B639E9" id="Graphic 1136" o:spid="_x0000_s1026" style="position:absolute;margin-left:72.05pt;margin-top:24.15pt;width:238.55pt;height:.1pt;z-index:-15576064;visibility:visible;mso-wrap-style:square;mso-wrap-distance-left:0;mso-wrap-distance-top:0;mso-wrap-distance-right:0;mso-wrap-distance-bottom:0;mso-position-horizontal:absolute;mso-position-horizontal-relative:page;mso-position-vertical:absolute;mso-position-vertical-relative:text;v-text-anchor:top" coordsize="30295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" path="m,l3029185,e" filled="f" strokeweight=".24403mm">
                <v:path arrowok="t"/>
                <w10:wrap type="topAndBottom" anchorx="page"/>
              </v:shape>
            </w:pict>
          </mc:Fallback>
        </mc:AlternateContent>
      </w:r>
    </w:p>
    <w:p w14:paraId="0DFDC9D0" w14:textId="77777777" w:rsidR="00046465" w:rsidRDefault="008134EB">
      <w:pPr>
        <w:spacing w:before="243"/>
        <w:ind w:left="360" w:right="6730"/>
        <w:rPr>
          <w:b/>
        </w:rPr>
      </w:pPr>
      <w:r>
        <w:rPr>
          <w:b/>
        </w:rPr>
        <w:t>[Name</w:t>
      </w:r>
      <w:r>
        <w:rPr>
          <w:b/>
          <w:spacing w:val="-13"/>
        </w:rPr>
        <w:t xml:space="preserve"> </w:t>
      </w:r>
      <w:r>
        <w:rPr>
          <w:b/>
        </w:rPr>
        <w:t>of</w:t>
      </w:r>
      <w:r>
        <w:rPr>
          <w:b/>
          <w:spacing w:val="-13"/>
        </w:rPr>
        <w:t xml:space="preserve"> </w:t>
      </w:r>
      <w:r>
        <w:rPr>
          <w:b/>
        </w:rPr>
        <w:t>General</w:t>
      </w:r>
      <w:r>
        <w:rPr>
          <w:b/>
          <w:spacing w:val="-13"/>
        </w:rPr>
        <w:t xml:space="preserve"> </w:t>
      </w:r>
      <w:r>
        <w:rPr>
          <w:b/>
        </w:rPr>
        <w:t xml:space="preserve">Counsel] </w:t>
      </w:r>
      <w:r>
        <w:rPr>
          <w:b/>
          <w:spacing w:val="-2"/>
        </w:rPr>
        <w:t>[Title]</w:t>
      </w:r>
    </w:p>
    <w:p w14:paraId="0DFDC9D1" w14:textId="77777777" w:rsidR="00046465" w:rsidRDefault="008134EB">
      <w:pPr>
        <w:pStyle w:val="BodyText"/>
        <w:spacing w:before="239"/>
        <w:ind w:left="360"/>
      </w:pPr>
      <w:r>
        <w:t>cc:</w:t>
      </w:r>
      <w:r>
        <w:rPr>
          <w:spacing w:val="-7"/>
        </w:rPr>
        <w:t xml:space="preserve"> </w:t>
      </w:r>
      <w:r>
        <w:t>Chief</w:t>
      </w:r>
      <w:r>
        <w:rPr>
          <w:spacing w:val="-6"/>
        </w:rPr>
        <w:t xml:space="preserve"> </w:t>
      </w:r>
      <w:r>
        <w:t>Financial</w:t>
      </w:r>
      <w:r>
        <w:rPr>
          <w:spacing w:val="-6"/>
        </w:rPr>
        <w:t xml:space="preserve"> </w:t>
      </w:r>
      <w:r>
        <w:rPr>
          <w:spacing w:val="-2"/>
        </w:rPr>
        <w:t>Officer</w:t>
      </w:r>
    </w:p>
    <w:p w14:paraId="0DFDC9D2" w14:textId="77777777" w:rsidR="00046465" w:rsidRDefault="00046465">
      <w:pPr>
        <w:pStyle w:val="BodyText"/>
      </w:pPr>
    </w:p>
    <w:p w14:paraId="0DFDC9D3" w14:textId="77777777" w:rsidR="00046465" w:rsidRDefault="00046465">
      <w:pPr>
        <w:pStyle w:val="BodyText"/>
        <w:spacing w:before="227"/>
      </w:pPr>
    </w:p>
    <w:p w14:paraId="0DFDC9D4" w14:textId="77777777" w:rsidR="00046465" w:rsidRDefault="008134EB">
      <w:pPr>
        <w:pStyle w:val="BodyText"/>
        <w:spacing w:before="1"/>
        <w:ind w:left="360"/>
      </w:pPr>
      <w:r>
        <w:t>Attachments</w:t>
      </w:r>
      <w:r>
        <w:rPr>
          <w:spacing w:val="-7"/>
        </w:rPr>
        <w:t xml:space="preserve"> </w:t>
      </w:r>
      <w:r>
        <w:t>(DOJ</w:t>
      </w:r>
      <w:r>
        <w:rPr>
          <w:spacing w:val="-7"/>
        </w:rPr>
        <w:t xml:space="preserve"> </w:t>
      </w:r>
      <w:r>
        <w:t>forms</w:t>
      </w:r>
      <w:r>
        <w:rPr>
          <w:spacing w:val="-6"/>
        </w:rPr>
        <w:t xml:space="preserve"> </w:t>
      </w:r>
      <w:r>
        <w:t>or</w:t>
      </w:r>
      <w:r>
        <w:rPr>
          <w:spacing w:val="-7"/>
        </w:rPr>
        <w:t xml:space="preserve"> </w:t>
      </w:r>
      <w:r>
        <w:t>other</w:t>
      </w:r>
      <w:r>
        <w:rPr>
          <w:spacing w:val="-6"/>
        </w:rPr>
        <w:t xml:space="preserve"> </w:t>
      </w:r>
      <w:r>
        <w:t>case</w:t>
      </w:r>
      <w:r>
        <w:rPr>
          <w:spacing w:val="-7"/>
        </w:rPr>
        <w:t xml:space="preserve"> </w:t>
      </w:r>
      <w:r>
        <w:rPr>
          <w:spacing w:val="-2"/>
        </w:rPr>
        <w:t>information)</w:t>
      </w:r>
    </w:p>
    <w:p w14:paraId="0DFDC9D5" w14:textId="77777777" w:rsidR="00046465" w:rsidRDefault="00046465">
      <w:pPr>
        <w:pStyle w:val="BodyText"/>
        <w:sectPr w:rsidR="00046465">
          <w:pgSz w:w="12240" w:h="15840"/>
          <w:pgMar w:top="1340" w:right="720" w:bottom="940" w:left="1080" w:header="721" w:footer="757" w:gutter="0"/>
          <w:cols w:space="720"/>
        </w:sectPr>
      </w:pPr>
    </w:p>
    <w:p w14:paraId="0DFDC9D6" w14:textId="77777777" w:rsidR="00046465" w:rsidRDefault="008134EB">
      <w:pPr>
        <w:pStyle w:val="Heading3"/>
        <w:spacing w:before="361"/>
        <w:rPr>
          <w:u w:val="none"/>
        </w:rPr>
      </w:pPr>
      <w:bookmarkStart w:id="408" w:name="1002_D_–_Example_Management_Schedule"/>
      <w:bookmarkStart w:id="409" w:name="_bookmark231"/>
      <w:bookmarkEnd w:id="408"/>
      <w:bookmarkEnd w:id="409"/>
      <w:r>
        <w:lastRenderedPageBreak/>
        <w:t>1002</w:t>
      </w:r>
      <w:r>
        <w:rPr>
          <w:spacing w:val="-6"/>
        </w:rPr>
        <w:t xml:space="preserve"> </w:t>
      </w:r>
      <w:r>
        <w:t>D</w:t>
      </w:r>
      <w:r>
        <w:rPr>
          <w:spacing w:val="-4"/>
        </w:rPr>
        <w:t xml:space="preserve"> </w:t>
      </w:r>
      <w:r>
        <w:t>–</w:t>
      </w:r>
      <w:r>
        <w:rPr>
          <w:spacing w:val="-3"/>
        </w:rPr>
        <w:t xml:space="preserve"> </w:t>
      </w:r>
      <w:r>
        <w:t>Example</w:t>
      </w:r>
      <w:r>
        <w:rPr>
          <w:spacing w:val="-3"/>
        </w:rPr>
        <w:t xml:space="preserve"> </w:t>
      </w:r>
      <w:r>
        <w:t>Management</w:t>
      </w:r>
      <w:r>
        <w:rPr>
          <w:spacing w:val="-4"/>
        </w:rPr>
        <w:t xml:space="preserve"> </w:t>
      </w:r>
      <w:r>
        <w:rPr>
          <w:spacing w:val="-2"/>
        </w:rPr>
        <w:t>Schedule</w:t>
      </w:r>
    </w:p>
    <w:p w14:paraId="0DFDC9D7" w14:textId="77777777" w:rsidR="00046465" w:rsidRDefault="00046465">
      <w:pPr>
        <w:pStyle w:val="BodyText"/>
        <w:spacing w:before="106"/>
        <w:rPr>
          <w:b/>
        </w:rPr>
      </w:pPr>
    </w:p>
    <w:p w14:paraId="0DFDC9D8" w14:textId="77777777" w:rsidR="00046465" w:rsidRDefault="008134EB">
      <w:pPr>
        <w:pStyle w:val="BodyText"/>
        <w:ind w:left="450" w:right="395"/>
      </w:pPr>
      <w:r>
        <w:t>OMB audit guidance requires entity management to document in a schedule how the information contained in the legal counsel response was considered in preparing the financial statements. Management should include each case discussed in the legal counsel response and (1) indicate the amount accrued for probable cases and (2) include information to support the note disclosure for reasonably possible cases and “unable to determine” cases,</w:t>
      </w:r>
      <w:r>
        <w:rPr>
          <w:spacing w:val="-2"/>
        </w:rPr>
        <w:t xml:space="preserve"> </w:t>
      </w:r>
      <w:r>
        <w:t>probable</w:t>
      </w:r>
      <w:r>
        <w:rPr>
          <w:spacing w:val="-2"/>
        </w:rPr>
        <w:t xml:space="preserve"> </w:t>
      </w:r>
      <w:r>
        <w:t>cases</w:t>
      </w:r>
      <w:r>
        <w:rPr>
          <w:spacing w:val="-3"/>
        </w:rPr>
        <w:t xml:space="preserve"> </w:t>
      </w:r>
      <w:r>
        <w:t>where</w:t>
      </w:r>
      <w:r>
        <w:rPr>
          <w:spacing w:val="-2"/>
        </w:rPr>
        <w:t xml:space="preserve"> </w:t>
      </w:r>
      <w:r>
        <w:t>the</w:t>
      </w:r>
      <w:r>
        <w:rPr>
          <w:spacing w:val="-2"/>
        </w:rPr>
        <w:t xml:space="preserve"> </w:t>
      </w:r>
      <w:r>
        <w:t>amount</w:t>
      </w:r>
      <w:r>
        <w:rPr>
          <w:spacing w:val="-2"/>
        </w:rPr>
        <w:t xml:space="preserve"> </w:t>
      </w:r>
      <w:r>
        <w:t>cannot</w:t>
      </w:r>
      <w:r>
        <w:rPr>
          <w:spacing w:val="-2"/>
        </w:rPr>
        <w:t xml:space="preserve"> </w:t>
      </w:r>
      <w:r>
        <w:t>be</w:t>
      </w:r>
      <w:r>
        <w:rPr>
          <w:spacing w:val="-2"/>
        </w:rPr>
        <w:t xml:space="preserve"> </w:t>
      </w:r>
      <w:r>
        <w:t>estimated,</w:t>
      </w:r>
      <w:r>
        <w:rPr>
          <w:spacing w:val="-2"/>
        </w:rPr>
        <w:t xml:space="preserve"> </w:t>
      </w:r>
      <w:r>
        <w:t>and</w:t>
      </w:r>
      <w:r>
        <w:rPr>
          <w:spacing w:val="-2"/>
        </w:rPr>
        <w:t xml:space="preserve"> </w:t>
      </w:r>
      <w:r>
        <w:t>probable</w:t>
      </w:r>
      <w:r>
        <w:rPr>
          <w:spacing w:val="-2"/>
        </w:rPr>
        <w:t xml:space="preserve"> </w:t>
      </w:r>
      <w:r>
        <w:t>cases</w:t>
      </w:r>
      <w:r>
        <w:rPr>
          <w:spacing w:val="-3"/>
        </w:rPr>
        <w:t xml:space="preserve"> </w:t>
      </w:r>
      <w:r>
        <w:t>where</w:t>
      </w:r>
      <w:r>
        <w:rPr>
          <w:spacing w:val="-2"/>
        </w:rPr>
        <w:t xml:space="preserve"> </w:t>
      </w:r>
      <w:r>
        <w:t>a</w:t>
      </w:r>
      <w:r>
        <w:rPr>
          <w:spacing w:val="-2"/>
        </w:rPr>
        <w:t xml:space="preserve"> </w:t>
      </w:r>
      <w:r>
        <w:t>range</w:t>
      </w:r>
      <w:r>
        <w:rPr>
          <w:spacing w:val="-2"/>
        </w:rPr>
        <w:t xml:space="preserve"> </w:t>
      </w:r>
      <w:r>
        <w:t>of</w:t>
      </w:r>
      <w:r>
        <w:rPr>
          <w:spacing w:val="-2"/>
        </w:rPr>
        <w:t xml:space="preserve"> </w:t>
      </w:r>
      <w:r>
        <w:t>amounts</w:t>
      </w:r>
      <w:r>
        <w:rPr>
          <w:spacing w:val="-2"/>
        </w:rPr>
        <w:t xml:space="preserve"> </w:t>
      </w:r>
      <w:r>
        <w:t>above</w:t>
      </w:r>
      <w:r>
        <w:rPr>
          <w:spacing w:val="-2"/>
        </w:rPr>
        <w:t xml:space="preserve"> </w:t>
      </w:r>
      <w:r>
        <w:t>the</w:t>
      </w:r>
      <w:r>
        <w:rPr>
          <w:spacing w:val="-3"/>
        </w:rPr>
        <w:t xml:space="preserve"> </w:t>
      </w:r>
      <w:r>
        <w:t>accrued</w:t>
      </w:r>
      <w:r>
        <w:rPr>
          <w:spacing w:val="-2"/>
        </w:rPr>
        <w:t xml:space="preserve"> </w:t>
      </w:r>
      <w:r>
        <w:t>amount</w:t>
      </w:r>
      <w:r>
        <w:rPr>
          <w:spacing w:val="-2"/>
        </w:rPr>
        <w:t xml:space="preserve"> </w:t>
      </w:r>
      <w:r>
        <w:t>is</w:t>
      </w:r>
      <w:r>
        <w:rPr>
          <w:spacing w:val="-2"/>
        </w:rPr>
        <w:t xml:space="preserve"> </w:t>
      </w:r>
      <w:r>
        <w:t>estimated.</w:t>
      </w:r>
      <w:r>
        <w:rPr>
          <w:spacing w:val="-2"/>
        </w:rPr>
        <w:t xml:space="preserve"> </w:t>
      </w:r>
      <w:r>
        <w:t>The</w:t>
      </w:r>
      <w:r>
        <w:rPr>
          <w:spacing w:val="-2"/>
        </w:rPr>
        <w:t xml:space="preserve"> </w:t>
      </w:r>
      <w:r>
        <w:t>financial</w:t>
      </w:r>
      <w:r>
        <w:rPr>
          <w:spacing w:val="-2"/>
        </w:rPr>
        <w:t xml:space="preserve"> </w:t>
      </w:r>
      <w:r>
        <w:t>reporting</w:t>
      </w:r>
      <w:r>
        <w:rPr>
          <w:spacing w:val="-2"/>
        </w:rPr>
        <w:t xml:space="preserve"> </w:t>
      </w:r>
      <w:r>
        <w:t>treatment</w:t>
      </w:r>
      <w:r>
        <w:rPr>
          <w:spacing w:val="-2"/>
        </w:rPr>
        <w:t xml:space="preserve"> </w:t>
      </w:r>
      <w:r>
        <w:t>for</w:t>
      </w:r>
      <w:r>
        <w:rPr>
          <w:spacing w:val="-2"/>
        </w:rPr>
        <w:t xml:space="preserve"> </w:t>
      </w:r>
      <w:r>
        <w:t>cases</w:t>
      </w:r>
      <w:r>
        <w:rPr>
          <w:spacing w:val="-2"/>
        </w:rPr>
        <w:t xml:space="preserve"> </w:t>
      </w:r>
      <w:r>
        <w:t>where</w:t>
      </w:r>
      <w:r>
        <w:rPr>
          <w:spacing w:val="-2"/>
        </w:rPr>
        <w:t xml:space="preserve"> </w:t>
      </w:r>
      <w:r>
        <w:t>the</w:t>
      </w:r>
      <w:r>
        <w:rPr>
          <w:spacing w:val="-2"/>
        </w:rPr>
        <w:t xml:space="preserve"> </w:t>
      </w:r>
      <w:r>
        <w:t>likelihood</w:t>
      </w:r>
      <w:r>
        <w:rPr>
          <w:spacing w:val="-3"/>
        </w:rPr>
        <w:t xml:space="preserve"> </w:t>
      </w:r>
      <w:r>
        <w:t>of</w:t>
      </w:r>
      <w:r>
        <w:rPr>
          <w:spacing w:val="-2"/>
        </w:rPr>
        <w:t xml:space="preserve"> </w:t>
      </w:r>
      <w:r>
        <w:t xml:space="preserve">future outflow or other sacrifice of resources is assessed as “unable to determine” should be consistent with the disclosure requirements for reasonably possible cases. Per the </w:t>
      </w:r>
      <w:r>
        <w:rPr>
          <w:i/>
        </w:rPr>
        <w:t>Treasury Financial Manual</w:t>
      </w:r>
      <w:r>
        <w:t>, entities significant to the consolidated financial statements of the U.S. government should avoid excessive use (and misuse) of the “unable to determine” assessment. This likelihood should only be used to categorize cases for which the general counsel is unable to express an opinion because of inherent uncertainties.</w:t>
      </w:r>
    </w:p>
    <w:p w14:paraId="0DFDC9D9" w14:textId="77777777" w:rsidR="00046465" w:rsidRDefault="00046465">
      <w:pPr>
        <w:pStyle w:val="BodyText"/>
      </w:pPr>
    </w:p>
    <w:p w14:paraId="0DFDC9DA" w14:textId="77777777" w:rsidR="00046465" w:rsidRDefault="00046465">
      <w:pPr>
        <w:pStyle w:val="BodyText"/>
        <w:spacing w:before="200"/>
      </w:pPr>
    </w:p>
    <w:p w14:paraId="0DFDC9DB" w14:textId="77777777" w:rsidR="00046465" w:rsidRDefault="008134EB">
      <w:pPr>
        <w:spacing w:line="348" w:lineRule="auto"/>
        <w:ind w:left="5668" w:right="9848"/>
        <w:jc w:val="center"/>
        <w:rPr>
          <w:b/>
          <w:sz w:val="18"/>
        </w:rPr>
      </w:pPr>
      <w:r>
        <w:rPr>
          <w:b/>
          <w:sz w:val="18"/>
        </w:rPr>
        <w:t>Management's</w:t>
      </w:r>
      <w:r>
        <w:rPr>
          <w:b/>
          <w:spacing w:val="-5"/>
          <w:sz w:val="18"/>
        </w:rPr>
        <w:t xml:space="preserve"> </w:t>
      </w:r>
      <w:r>
        <w:rPr>
          <w:b/>
          <w:sz w:val="18"/>
        </w:rPr>
        <w:t>Schedule</w:t>
      </w:r>
      <w:r>
        <w:rPr>
          <w:b/>
          <w:spacing w:val="-5"/>
          <w:sz w:val="18"/>
        </w:rPr>
        <w:t xml:space="preserve"> </w:t>
      </w:r>
      <w:r>
        <w:rPr>
          <w:b/>
          <w:sz w:val="18"/>
        </w:rPr>
        <w:t>of</w:t>
      </w:r>
      <w:r>
        <w:rPr>
          <w:b/>
          <w:spacing w:val="-5"/>
          <w:sz w:val="18"/>
        </w:rPr>
        <w:t xml:space="preserve"> </w:t>
      </w:r>
      <w:r>
        <w:rPr>
          <w:b/>
          <w:sz w:val="18"/>
        </w:rPr>
        <w:t>Information</w:t>
      </w:r>
      <w:r>
        <w:rPr>
          <w:b/>
          <w:spacing w:val="-4"/>
          <w:sz w:val="18"/>
        </w:rPr>
        <w:t xml:space="preserve"> </w:t>
      </w:r>
      <w:r>
        <w:rPr>
          <w:b/>
          <w:sz w:val="18"/>
        </w:rPr>
        <w:t>Contained</w:t>
      </w:r>
      <w:r>
        <w:rPr>
          <w:b/>
          <w:spacing w:val="-5"/>
          <w:sz w:val="18"/>
        </w:rPr>
        <w:t xml:space="preserve"> </w:t>
      </w:r>
      <w:r>
        <w:rPr>
          <w:b/>
          <w:sz w:val="18"/>
        </w:rPr>
        <w:t>in</w:t>
      </w:r>
      <w:r>
        <w:rPr>
          <w:b/>
          <w:spacing w:val="-4"/>
          <w:sz w:val="18"/>
        </w:rPr>
        <w:t xml:space="preserve"> </w:t>
      </w:r>
      <w:r>
        <w:rPr>
          <w:b/>
          <w:sz w:val="18"/>
        </w:rPr>
        <w:t>the</w:t>
      </w:r>
      <w:r>
        <w:rPr>
          <w:b/>
          <w:spacing w:val="-5"/>
          <w:sz w:val="18"/>
        </w:rPr>
        <w:t xml:space="preserve"> </w:t>
      </w:r>
      <w:r>
        <w:rPr>
          <w:b/>
          <w:sz w:val="18"/>
        </w:rPr>
        <w:t>Legal</w:t>
      </w:r>
      <w:r>
        <w:rPr>
          <w:b/>
          <w:spacing w:val="-4"/>
          <w:sz w:val="18"/>
        </w:rPr>
        <w:t xml:space="preserve"> </w:t>
      </w:r>
      <w:r>
        <w:rPr>
          <w:b/>
          <w:sz w:val="18"/>
        </w:rPr>
        <w:t>Counsel</w:t>
      </w:r>
      <w:r>
        <w:rPr>
          <w:b/>
          <w:spacing w:val="-4"/>
          <w:sz w:val="18"/>
        </w:rPr>
        <w:t xml:space="preserve"> </w:t>
      </w:r>
      <w:r>
        <w:rPr>
          <w:b/>
          <w:sz w:val="18"/>
        </w:rPr>
        <w:t>Response for Financial Reporting Purposes</w:t>
      </w:r>
    </w:p>
    <w:p w14:paraId="0DFDC9DC" w14:textId="77777777" w:rsidR="00046465" w:rsidRDefault="008134EB">
      <w:pPr>
        <w:spacing w:line="207" w:lineRule="exact"/>
        <w:ind w:left="5668" w:right="9850"/>
        <w:jc w:val="center"/>
        <w:rPr>
          <w:sz w:val="18"/>
        </w:rPr>
      </w:pPr>
      <w:r>
        <w:rPr>
          <w:sz w:val="18"/>
        </w:rPr>
        <w:t>Effective</w:t>
      </w:r>
      <w:r>
        <w:rPr>
          <w:spacing w:val="-4"/>
          <w:sz w:val="18"/>
        </w:rPr>
        <w:t xml:space="preserve"> </w:t>
      </w:r>
      <w:r>
        <w:rPr>
          <w:spacing w:val="-2"/>
          <w:sz w:val="18"/>
        </w:rPr>
        <w:t>Date:</w:t>
      </w:r>
    </w:p>
    <w:p w14:paraId="0DFDC9DD" w14:textId="77777777" w:rsidR="00046465" w:rsidRDefault="008134EB">
      <w:pPr>
        <w:spacing w:before="93"/>
        <w:ind w:left="5668" w:right="9848"/>
        <w:jc w:val="center"/>
        <w:rPr>
          <w:i/>
          <w:sz w:val="18"/>
        </w:rPr>
      </w:pPr>
      <w:r>
        <w:rPr>
          <w:i/>
          <w:noProof/>
          <w:sz w:val="18"/>
        </w:rPr>
        <mc:AlternateContent>
          <mc:Choice Requires="wps">
            <w:drawing>
              <wp:anchor distT="0" distB="0" distL="0" distR="0" simplePos="0" relativeHeight="15881728" behindDoc="0" locked="0" layoutInCell="1" allowOverlap="1" wp14:anchorId="0DFDD769" wp14:editId="0DFDD76A">
                <wp:simplePos x="0" y="0"/>
                <wp:positionH relativeFrom="page">
                  <wp:posOffset>4473702</wp:posOffset>
                </wp:positionH>
                <wp:positionV relativeFrom="paragraph">
                  <wp:posOffset>191034</wp:posOffset>
                </wp:positionV>
                <wp:extent cx="7771765" cy="2023110"/>
                <wp:effectExtent l="0" t="0" r="0" b="0"/>
                <wp:wrapNone/>
                <wp:docPr id="1144" name="Text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1765" cy="20231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439"/>
                              <w:gridCol w:w="1221"/>
                              <w:gridCol w:w="1201"/>
                              <w:gridCol w:w="1171"/>
                              <w:gridCol w:w="1171"/>
                              <w:gridCol w:w="1111"/>
                              <w:gridCol w:w="1112"/>
                              <w:gridCol w:w="1171"/>
                              <w:gridCol w:w="1081"/>
                            </w:tblGrid>
                            <w:tr w:rsidR="00046465" w14:paraId="0DFDDDA7" w14:textId="77777777">
                              <w:trPr>
                                <w:trHeight w:val="759"/>
                              </w:trPr>
                              <w:tc>
                                <w:tcPr>
                                  <w:tcW w:w="1439" w:type="dxa"/>
                                </w:tcPr>
                                <w:p w14:paraId="0DFDDD9D" w14:textId="77777777" w:rsidR="00046465" w:rsidRDefault="008134EB">
                                  <w:pPr>
                                    <w:pStyle w:val="TableParagraph"/>
                                    <w:spacing w:line="254" w:lineRule="exact"/>
                                    <w:ind w:left="107" w:right="97" w:firstLine="1"/>
                                    <w:jc w:val="center"/>
                                    <w:rPr>
                                      <w:b/>
                                    </w:rPr>
                                  </w:pPr>
                                  <w:r>
                                    <w:rPr>
                                      <w:b/>
                                    </w:rPr>
                                    <w:t xml:space="preserve">Name of </w:t>
                                  </w:r>
                                  <w:r>
                                    <w:rPr>
                                      <w:b/>
                                      <w:spacing w:val="-2"/>
                                    </w:rPr>
                                    <w:t xml:space="preserve">Component </w:t>
                                  </w:r>
                                  <w:r>
                                    <w:rPr>
                                      <w:b/>
                                      <w:spacing w:val="-10"/>
                                    </w:rPr>
                                    <w:t>A</w:t>
                                  </w:r>
                                </w:p>
                              </w:tc>
                              <w:tc>
                                <w:tcPr>
                                  <w:tcW w:w="1439" w:type="dxa"/>
                                </w:tcPr>
                                <w:p w14:paraId="0DFDDD9E" w14:textId="77777777" w:rsidR="00046465" w:rsidRDefault="008134EB">
                                  <w:pPr>
                                    <w:pStyle w:val="TableParagraph"/>
                                    <w:spacing w:line="254" w:lineRule="exact"/>
                                    <w:ind w:left="107" w:right="97" w:firstLine="61"/>
                                    <w:jc w:val="center"/>
                                    <w:rPr>
                                      <w:b/>
                                    </w:rPr>
                                  </w:pPr>
                                  <w:r>
                                    <w:rPr>
                                      <w:b/>
                                    </w:rPr>
                                    <w:t xml:space="preserve">Name of </w:t>
                                  </w:r>
                                  <w:r>
                                    <w:rPr>
                                      <w:b/>
                                      <w:spacing w:val="-2"/>
                                    </w:rPr>
                                    <w:t xml:space="preserve">Component </w:t>
                                  </w:r>
                                  <w:r>
                                    <w:rPr>
                                      <w:b/>
                                      <w:spacing w:val="-10"/>
                                    </w:rPr>
                                    <w:t>B</w:t>
                                  </w:r>
                                </w:p>
                              </w:tc>
                              <w:tc>
                                <w:tcPr>
                                  <w:tcW w:w="1221" w:type="dxa"/>
                                </w:tcPr>
                                <w:p w14:paraId="0DFDDD9F" w14:textId="77777777" w:rsidR="00046465" w:rsidRDefault="00046465">
                                  <w:pPr>
                                    <w:pStyle w:val="TableParagraph"/>
                                    <w:rPr>
                                      <w:rFonts w:ascii="Times New Roman"/>
                                      <w:sz w:val="20"/>
                                    </w:rPr>
                                  </w:pPr>
                                </w:p>
                              </w:tc>
                              <w:tc>
                                <w:tcPr>
                                  <w:tcW w:w="1201" w:type="dxa"/>
                                </w:tcPr>
                                <w:p w14:paraId="0DFDDDA0" w14:textId="77777777" w:rsidR="00046465" w:rsidRDefault="00046465">
                                  <w:pPr>
                                    <w:pStyle w:val="TableParagraph"/>
                                    <w:rPr>
                                      <w:rFonts w:ascii="Times New Roman"/>
                                      <w:sz w:val="20"/>
                                    </w:rPr>
                                  </w:pPr>
                                </w:p>
                              </w:tc>
                              <w:tc>
                                <w:tcPr>
                                  <w:tcW w:w="1171" w:type="dxa"/>
                                </w:tcPr>
                                <w:p w14:paraId="0DFDDDA1" w14:textId="77777777" w:rsidR="00046465" w:rsidRDefault="00046465">
                                  <w:pPr>
                                    <w:pStyle w:val="TableParagraph"/>
                                    <w:rPr>
                                      <w:rFonts w:ascii="Times New Roman"/>
                                      <w:sz w:val="20"/>
                                    </w:rPr>
                                  </w:pPr>
                                </w:p>
                              </w:tc>
                              <w:tc>
                                <w:tcPr>
                                  <w:tcW w:w="1171" w:type="dxa"/>
                                </w:tcPr>
                                <w:p w14:paraId="0DFDDDA2" w14:textId="77777777" w:rsidR="00046465" w:rsidRDefault="00046465">
                                  <w:pPr>
                                    <w:pStyle w:val="TableParagraph"/>
                                    <w:rPr>
                                      <w:rFonts w:ascii="Times New Roman"/>
                                      <w:sz w:val="20"/>
                                    </w:rPr>
                                  </w:pPr>
                                </w:p>
                              </w:tc>
                              <w:tc>
                                <w:tcPr>
                                  <w:tcW w:w="1111" w:type="dxa"/>
                                </w:tcPr>
                                <w:p w14:paraId="0DFDDDA3" w14:textId="77777777" w:rsidR="00046465" w:rsidRDefault="00046465">
                                  <w:pPr>
                                    <w:pStyle w:val="TableParagraph"/>
                                    <w:rPr>
                                      <w:rFonts w:ascii="Times New Roman"/>
                                      <w:sz w:val="20"/>
                                    </w:rPr>
                                  </w:pPr>
                                </w:p>
                              </w:tc>
                              <w:tc>
                                <w:tcPr>
                                  <w:tcW w:w="1112" w:type="dxa"/>
                                </w:tcPr>
                                <w:p w14:paraId="0DFDDDA4" w14:textId="77777777" w:rsidR="00046465" w:rsidRDefault="00046465">
                                  <w:pPr>
                                    <w:pStyle w:val="TableParagraph"/>
                                    <w:rPr>
                                      <w:rFonts w:ascii="Times New Roman"/>
                                      <w:sz w:val="20"/>
                                    </w:rPr>
                                  </w:pPr>
                                </w:p>
                              </w:tc>
                              <w:tc>
                                <w:tcPr>
                                  <w:tcW w:w="1171" w:type="dxa"/>
                                </w:tcPr>
                                <w:p w14:paraId="0DFDDDA5" w14:textId="77777777" w:rsidR="00046465" w:rsidRDefault="00046465">
                                  <w:pPr>
                                    <w:pStyle w:val="TableParagraph"/>
                                    <w:rPr>
                                      <w:rFonts w:ascii="Times New Roman"/>
                                      <w:sz w:val="20"/>
                                    </w:rPr>
                                  </w:pPr>
                                </w:p>
                              </w:tc>
                              <w:tc>
                                <w:tcPr>
                                  <w:tcW w:w="1081" w:type="dxa"/>
                                </w:tcPr>
                                <w:p w14:paraId="0DFDDDA6" w14:textId="77777777" w:rsidR="00046465" w:rsidRDefault="00046465">
                                  <w:pPr>
                                    <w:pStyle w:val="TableParagraph"/>
                                    <w:rPr>
                                      <w:rFonts w:ascii="Times New Roman"/>
                                      <w:sz w:val="20"/>
                                    </w:rPr>
                                  </w:pPr>
                                </w:p>
                              </w:tc>
                            </w:tr>
                            <w:tr w:rsidR="00046465" w14:paraId="0DFDDDB2" w14:textId="77777777">
                              <w:trPr>
                                <w:trHeight w:val="410"/>
                              </w:trPr>
                              <w:tc>
                                <w:tcPr>
                                  <w:tcW w:w="1439" w:type="dxa"/>
                                  <w:shd w:val="clear" w:color="auto" w:fill="D9D9D9"/>
                                </w:tcPr>
                                <w:p w14:paraId="0DFDDDA8" w14:textId="77777777" w:rsidR="00046465" w:rsidRDefault="00046465">
                                  <w:pPr>
                                    <w:pStyle w:val="TableParagraph"/>
                                    <w:rPr>
                                      <w:rFonts w:ascii="Times New Roman"/>
                                      <w:sz w:val="20"/>
                                    </w:rPr>
                                  </w:pPr>
                                </w:p>
                              </w:tc>
                              <w:tc>
                                <w:tcPr>
                                  <w:tcW w:w="1439" w:type="dxa"/>
                                  <w:shd w:val="clear" w:color="auto" w:fill="D9D9D9"/>
                                </w:tcPr>
                                <w:p w14:paraId="0DFDDDA9" w14:textId="77777777" w:rsidR="00046465" w:rsidRDefault="00046465">
                                  <w:pPr>
                                    <w:pStyle w:val="TableParagraph"/>
                                    <w:rPr>
                                      <w:rFonts w:ascii="Times New Roman"/>
                                      <w:sz w:val="20"/>
                                    </w:rPr>
                                  </w:pPr>
                                </w:p>
                              </w:tc>
                              <w:tc>
                                <w:tcPr>
                                  <w:tcW w:w="1221" w:type="dxa"/>
                                  <w:shd w:val="clear" w:color="auto" w:fill="D9D9D9"/>
                                </w:tcPr>
                                <w:p w14:paraId="0DFDDDAA" w14:textId="77777777" w:rsidR="00046465" w:rsidRDefault="00046465">
                                  <w:pPr>
                                    <w:pStyle w:val="TableParagraph"/>
                                    <w:rPr>
                                      <w:rFonts w:ascii="Times New Roman"/>
                                      <w:sz w:val="20"/>
                                    </w:rPr>
                                  </w:pPr>
                                </w:p>
                              </w:tc>
                              <w:tc>
                                <w:tcPr>
                                  <w:tcW w:w="1201" w:type="dxa"/>
                                  <w:shd w:val="clear" w:color="auto" w:fill="D9D9D9"/>
                                </w:tcPr>
                                <w:p w14:paraId="0DFDDDAB" w14:textId="77777777" w:rsidR="00046465" w:rsidRDefault="00046465">
                                  <w:pPr>
                                    <w:pStyle w:val="TableParagraph"/>
                                    <w:rPr>
                                      <w:rFonts w:ascii="Times New Roman"/>
                                      <w:sz w:val="20"/>
                                    </w:rPr>
                                  </w:pPr>
                                </w:p>
                              </w:tc>
                              <w:tc>
                                <w:tcPr>
                                  <w:tcW w:w="1171" w:type="dxa"/>
                                  <w:shd w:val="clear" w:color="auto" w:fill="D9D9D9"/>
                                </w:tcPr>
                                <w:p w14:paraId="0DFDDDAC" w14:textId="77777777" w:rsidR="00046465" w:rsidRDefault="00046465">
                                  <w:pPr>
                                    <w:pStyle w:val="TableParagraph"/>
                                    <w:rPr>
                                      <w:rFonts w:ascii="Times New Roman"/>
                                      <w:sz w:val="20"/>
                                    </w:rPr>
                                  </w:pPr>
                                </w:p>
                              </w:tc>
                              <w:tc>
                                <w:tcPr>
                                  <w:tcW w:w="1171" w:type="dxa"/>
                                  <w:shd w:val="clear" w:color="auto" w:fill="D9D9D9"/>
                                </w:tcPr>
                                <w:p w14:paraId="0DFDDDAD" w14:textId="77777777" w:rsidR="00046465" w:rsidRDefault="00046465">
                                  <w:pPr>
                                    <w:pStyle w:val="TableParagraph"/>
                                    <w:rPr>
                                      <w:rFonts w:ascii="Times New Roman"/>
                                      <w:sz w:val="20"/>
                                    </w:rPr>
                                  </w:pPr>
                                </w:p>
                              </w:tc>
                              <w:tc>
                                <w:tcPr>
                                  <w:tcW w:w="1111" w:type="dxa"/>
                                  <w:shd w:val="clear" w:color="auto" w:fill="D9D9D9"/>
                                </w:tcPr>
                                <w:p w14:paraId="0DFDDDAE" w14:textId="77777777" w:rsidR="00046465" w:rsidRDefault="00046465">
                                  <w:pPr>
                                    <w:pStyle w:val="TableParagraph"/>
                                    <w:rPr>
                                      <w:rFonts w:ascii="Times New Roman"/>
                                      <w:sz w:val="20"/>
                                    </w:rPr>
                                  </w:pPr>
                                </w:p>
                              </w:tc>
                              <w:tc>
                                <w:tcPr>
                                  <w:tcW w:w="1112" w:type="dxa"/>
                                  <w:shd w:val="clear" w:color="auto" w:fill="D9D9D9"/>
                                </w:tcPr>
                                <w:p w14:paraId="0DFDDDAF" w14:textId="77777777" w:rsidR="00046465" w:rsidRDefault="00046465">
                                  <w:pPr>
                                    <w:pStyle w:val="TableParagraph"/>
                                    <w:rPr>
                                      <w:rFonts w:ascii="Times New Roman"/>
                                      <w:sz w:val="20"/>
                                    </w:rPr>
                                  </w:pPr>
                                </w:p>
                              </w:tc>
                              <w:tc>
                                <w:tcPr>
                                  <w:tcW w:w="1171" w:type="dxa"/>
                                  <w:shd w:val="clear" w:color="auto" w:fill="D9D9D9"/>
                                </w:tcPr>
                                <w:p w14:paraId="0DFDDDB0" w14:textId="77777777" w:rsidR="00046465" w:rsidRDefault="00046465">
                                  <w:pPr>
                                    <w:pStyle w:val="TableParagraph"/>
                                    <w:rPr>
                                      <w:rFonts w:ascii="Times New Roman"/>
                                      <w:sz w:val="20"/>
                                    </w:rPr>
                                  </w:pPr>
                                </w:p>
                              </w:tc>
                              <w:tc>
                                <w:tcPr>
                                  <w:tcW w:w="1081" w:type="dxa"/>
                                  <w:shd w:val="clear" w:color="auto" w:fill="D9D9D9"/>
                                </w:tcPr>
                                <w:p w14:paraId="0DFDDDB1" w14:textId="77777777" w:rsidR="00046465" w:rsidRDefault="00046465">
                                  <w:pPr>
                                    <w:pStyle w:val="TableParagraph"/>
                                    <w:rPr>
                                      <w:rFonts w:ascii="Times New Roman"/>
                                      <w:sz w:val="20"/>
                                    </w:rPr>
                                  </w:pPr>
                                </w:p>
                              </w:tc>
                            </w:tr>
                            <w:tr w:rsidR="00046465" w14:paraId="0DFDDDBD" w14:textId="77777777">
                              <w:trPr>
                                <w:trHeight w:val="395"/>
                              </w:trPr>
                              <w:tc>
                                <w:tcPr>
                                  <w:tcW w:w="1439" w:type="dxa"/>
                                </w:tcPr>
                                <w:p w14:paraId="0DFDDDB3" w14:textId="77777777" w:rsidR="00046465" w:rsidRDefault="00046465">
                                  <w:pPr>
                                    <w:pStyle w:val="TableParagraph"/>
                                    <w:rPr>
                                      <w:rFonts w:ascii="Times New Roman"/>
                                      <w:sz w:val="20"/>
                                    </w:rPr>
                                  </w:pPr>
                                </w:p>
                              </w:tc>
                              <w:tc>
                                <w:tcPr>
                                  <w:tcW w:w="1439" w:type="dxa"/>
                                </w:tcPr>
                                <w:p w14:paraId="0DFDDDB4" w14:textId="77777777" w:rsidR="00046465" w:rsidRDefault="00046465">
                                  <w:pPr>
                                    <w:pStyle w:val="TableParagraph"/>
                                    <w:rPr>
                                      <w:rFonts w:ascii="Times New Roman"/>
                                      <w:sz w:val="20"/>
                                    </w:rPr>
                                  </w:pPr>
                                </w:p>
                              </w:tc>
                              <w:tc>
                                <w:tcPr>
                                  <w:tcW w:w="1221" w:type="dxa"/>
                                </w:tcPr>
                                <w:p w14:paraId="0DFDDDB5" w14:textId="77777777" w:rsidR="00046465" w:rsidRDefault="00046465">
                                  <w:pPr>
                                    <w:pStyle w:val="TableParagraph"/>
                                    <w:rPr>
                                      <w:rFonts w:ascii="Times New Roman"/>
                                      <w:sz w:val="20"/>
                                    </w:rPr>
                                  </w:pPr>
                                </w:p>
                              </w:tc>
                              <w:tc>
                                <w:tcPr>
                                  <w:tcW w:w="1201" w:type="dxa"/>
                                </w:tcPr>
                                <w:p w14:paraId="0DFDDDB6" w14:textId="77777777" w:rsidR="00046465" w:rsidRDefault="00046465">
                                  <w:pPr>
                                    <w:pStyle w:val="TableParagraph"/>
                                    <w:rPr>
                                      <w:rFonts w:ascii="Times New Roman"/>
                                      <w:sz w:val="20"/>
                                    </w:rPr>
                                  </w:pPr>
                                </w:p>
                              </w:tc>
                              <w:tc>
                                <w:tcPr>
                                  <w:tcW w:w="1171" w:type="dxa"/>
                                </w:tcPr>
                                <w:p w14:paraId="0DFDDDB7" w14:textId="77777777" w:rsidR="00046465" w:rsidRDefault="00046465">
                                  <w:pPr>
                                    <w:pStyle w:val="TableParagraph"/>
                                    <w:rPr>
                                      <w:rFonts w:ascii="Times New Roman"/>
                                      <w:sz w:val="20"/>
                                    </w:rPr>
                                  </w:pPr>
                                </w:p>
                              </w:tc>
                              <w:tc>
                                <w:tcPr>
                                  <w:tcW w:w="1171" w:type="dxa"/>
                                </w:tcPr>
                                <w:p w14:paraId="0DFDDDB8" w14:textId="77777777" w:rsidR="00046465" w:rsidRDefault="00046465">
                                  <w:pPr>
                                    <w:pStyle w:val="TableParagraph"/>
                                    <w:rPr>
                                      <w:rFonts w:ascii="Times New Roman"/>
                                      <w:sz w:val="20"/>
                                    </w:rPr>
                                  </w:pPr>
                                </w:p>
                              </w:tc>
                              <w:tc>
                                <w:tcPr>
                                  <w:tcW w:w="1111" w:type="dxa"/>
                                </w:tcPr>
                                <w:p w14:paraId="0DFDDDB9" w14:textId="77777777" w:rsidR="00046465" w:rsidRDefault="00046465">
                                  <w:pPr>
                                    <w:pStyle w:val="TableParagraph"/>
                                    <w:rPr>
                                      <w:rFonts w:ascii="Times New Roman"/>
                                      <w:sz w:val="20"/>
                                    </w:rPr>
                                  </w:pPr>
                                </w:p>
                              </w:tc>
                              <w:tc>
                                <w:tcPr>
                                  <w:tcW w:w="1112" w:type="dxa"/>
                                </w:tcPr>
                                <w:p w14:paraId="0DFDDDBA" w14:textId="77777777" w:rsidR="00046465" w:rsidRDefault="00046465">
                                  <w:pPr>
                                    <w:pStyle w:val="TableParagraph"/>
                                    <w:rPr>
                                      <w:rFonts w:ascii="Times New Roman"/>
                                      <w:sz w:val="20"/>
                                    </w:rPr>
                                  </w:pPr>
                                </w:p>
                              </w:tc>
                              <w:tc>
                                <w:tcPr>
                                  <w:tcW w:w="1171" w:type="dxa"/>
                                </w:tcPr>
                                <w:p w14:paraId="0DFDDDBB" w14:textId="77777777" w:rsidR="00046465" w:rsidRDefault="00046465">
                                  <w:pPr>
                                    <w:pStyle w:val="TableParagraph"/>
                                    <w:rPr>
                                      <w:rFonts w:ascii="Times New Roman"/>
                                      <w:sz w:val="20"/>
                                    </w:rPr>
                                  </w:pPr>
                                </w:p>
                              </w:tc>
                              <w:tc>
                                <w:tcPr>
                                  <w:tcW w:w="1081" w:type="dxa"/>
                                </w:tcPr>
                                <w:p w14:paraId="0DFDDDBC" w14:textId="77777777" w:rsidR="00046465" w:rsidRDefault="00046465">
                                  <w:pPr>
                                    <w:pStyle w:val="TableParagraph"/>
                                    <w:rPr>
                                      <w:rFonts w:ascii="Times New Roman"/>
                                      <w:sz w:val="20"/>
                                    </w:rPr>
                                  </w:pPr>
                                </w:p>
                              </w:tc>
                            </w:tr>
                            <w:tr w:rsidR="00046465" w14:paraId="0DFDDDC8" w14:textId="77777777">
                              <w:trPr>
                                <w:trHeight w:val="413"/>
                              </w:trPr>
                              <w:tc>
                                <w:tcPr>
                                  <w:tcW w:w="1439" w:type="dxa"/>
                                </w:tcPr>
                                <w:p w14:paraId="0DFDDDBE" w14:textId="77777777" w:rsidR="00046465" w:rsidRDefault="00046465">
                                  <w:pPr>
                                    <w:pStyle w:val="TableParagraph"/>
                                    <w:rPr>
                                      <w:rFonts w:ascii="Times New Roman"/>
                                      <w:sz w:val="20"/>
                                    </w:rPr>
                                  </w:pPr>
                                </w:p>
                              </w:tc>
                              <w:tc>
                                <w:tcPr>
                                  <w:tcW w:w="1439" w:type="dxa"/>
                                </w:tcPr>
                                <w:p w14:paraId="0DFDDDBF" w14:textId="77777777" w:rsidR="00046465" w:rsidRDefault="00046465">
                                  <w:pPr>
                                    <w:pStyle w:val="TableParagraph"/>
                                    <w:rPr>
                                      <w:rFonts w:ascii="Times New Roman"/>
                                      <w:sz w:val="20"/>
                                    </w:rPr>
                                  </w:pPr>
                                </w:p>
                              </w:tc>
                              <w:tc>
                                <w:tcPr>
                                  <w:tcW w:w="1221" w:type="dxa"/>
                                </w:tcPr>
                                <w:p w14:paraId="0DFDDDC0" w14:textId="77777777" w:rsidR="00046465" w:rsidRDefault="00046465">
                                  <w:pPr>
                                    <w:pStyle w:val="TableParagraph"/>
                                    <w:rPr>
                                      <w:rFonts w:ascii="Times New Roman"/>
                                      <w:sz w:val="20"/>
                                    </w:rPr>
                                  </w:pPr>
                                </w:p>
                              </w:tc>
                              <w:tc>
                                <w:tcPr>
                                  <w:tcW w:w="1201" w:type="dxa"/>
                                </w:tcPr>
                                <w:p w14:paraId="0DFDDDC1" w14:textId="77777777" w:rsidR="00046465" w:rsidRDefault="00046465">
                                  <w:pPr>
                                    <w:pStyle w:val="TableParagraph"/>
                                    <w:rPr>
                                      <w:rFonts w:ascii="Times New Roman"/>
                                      <w:sz w:val="20"/>
                                    </w:rPr>
                                  </w:pPr>
                                </w:p>
                              </w:tc>
                              <w:tc>
                                <w:tcPr>
                                  <w:tcW w:w="1171" w:type="dxa"/>
                                </w:tcPr>
                                <w:p w14:paraId="0DFDDDC2" w14:textId="77777777" w:rsidR="00046465" w:rsidRDefault="00046465">
                                  <w:pPr>
                                    <w:pStyle w:val="TableParagraph"/>
                                    <w:rPr>
                                      <w:rFonts w:ascii="Times New Roman"/>
                                      <w:sz w:val="20"/>
                                    </w:rPr>
                                  </w:pPr>
                                </w:p>
                              </w:tc>
                              <w:tc>
                                <w:tcPr>
                                  <w:tcW w:w="1171" w:type="dxa"/>
                                </w:tcPr>
                                <w:p w14:paraId="0DFDDDC3" w14:textId="77777777" w:rsidR="00046465" w:rsidRDefault="00046465">
                                  <w:pPr>
                                    <w:pStyle w:val="TableParagraph"/>
                                    <w:rPr>
                                      <w:rFonts w:ascii="Times New Roman"/>
                                      <w:sz w:val="20"/>
                                    </w:rPr>
                                  </w:pPr>
                                </w:p>
                              </w:tc>
                              <w:tc>
                                <w:tcPr>
                                  <w:tcW w:w="1111" w:type="dxa"/>
                                </w:tcPr>
                                <w:p w14:paraId="0DFDDDC4" w14:textId="77777777" w:rsidR="00046465" w:rsidRDefault="00046465">
                                  <w:pPr>
                                    <w:pStyle w:val="TableParagraph"/>
                                    <w:rPr>
                                      <w:rFonts w:ascii="Times New Roman"/>
                                      <w:sz w:val="20"/>
                                    </w:rPr>
                                  </w:pPr>
                                </w:p>
                              </w:tc>
                              <w:tc>
                                <w:tcPr>
                                  <w:tcW w:w="1112" w:type="dxa"/>
                                </w:tcPr>
                                <w:p w14:paraId="0DFDDDC5" w14:textId="77777777" w:rsidR="00046465" w:rsidRDefault="00046465">
                                  <w:pPr>
                                    <w:pStyle w:val="TableParagraph"/>
                                    <w:rPr>
                                      <w:rFonts w:ascii="Times New Roman"/>
                                      <w:sz w:val="20"/>
                                    </w:rPr>
                                  </w:pPr>
                                </w:p>
                              </w:tc>
                              <w:tc>
                                <w:tcPr>
                                  <w:tcW w:w="1171" w:type="dxa"/>
                                </w:tcPr>
                                <w:p w14:paraId="0DFDDDC6" w14:textId="77777777" w:rsidR="00046465" w:rsidRDefault="00046465">
                                  <w:pPr>
                                    <w:pStyle w:val="TableParagraph"/>
                                    <w:rPr>
                                      <w:rFonts w:ascii="Times New Roman"/>
                                      <w:sz w:val="20"/>
                                    </w:rPr>
                                  </w:pPr>
                                </w:p>
                              </w:tc>
                              <w:tc>
                                <w:tcPr>
                                  <w:tcW w:w="1081" w:type="dxa"/>
                                </w:tcPr>
                                <w:p w14:paraId="0DFDDDC7" w14:textId="77777777" w:rsidR="00046465" w:rsidRDefault="00046465">
                                  <w:pPr>
                                    <w:pStyle w:val="TableParagraph"/>
                                    <w:rPr>
                                      <w:rFonts w:ascii="Times New Roman"/>
                                      <w:sz w:val="20"/>
                                    </w:rPr>
                                  </w:pPr>
                                </w:p>
                              </w:tc>
                            </w:tr>
                            <w:tr w:rsidR="00046465" w14:paraId="0DFDDDCA" w14:textId="77777777">
                              <w:trPr>
                                <w:trHeight w:val="300"/>
                              </w:trPr>
                              <w:tc>
                                <w:tcPr>
                                  <w:tcW w:w="12117" w:type="dxa"/>
                                  <w:gridSpan w:val="10"/>
                                  <w:shd w:val="clear" w:color="auto" w:fill="D9D9D9"/>
                                </w:tcPr>
                                <w:p w14:paraId="0DFDDDC9" w14:textId="77777777" w:rsidR="00046465" w:rsidRDefault="00046465">
                                  <w:pPr>
                                    <w:pStyle w:val="TableParagraph"/>
                                    <w:rPr>
                                      <w:rFonts w:ascii="Times New Roman"/>
                                      <w:sz w:val="20"/>
                                    </w:rPr>
                                  </w:pPr>
                                </w:p>
                              </w:tc>
                            </w:tr>
                            <w:tr w:rsidR="00046465" w14:paraId="0DFDDDCC" w14:textId="77777777">
                              <w:trPr>
                                <w:trHeight w:val="413"/>
                              </w:trPr>
                              <w:tc>
                                <w:tcPr>
                                  <w:tcW w:w="12117" w:type="dxa"/>
                                  <w:gridSpan w:val="10"/>
                                </w:tcPr>
                                <w:p w14:paraId="0DFDDDCB" w14:textId="77777777" w:rsidR="00046465" w:rsidRDefault="00046465">
                                  <w:pPr>
                                    <w:pStyle w:val="TableParagraph"/>
                                    <w:rPr>
                                      <w:rFonts w:ascii="Times New Roman"/>
                                      <w:sz w:val="20"/>
                                    </w:rPr>
                                  </w:pPr>
                                </w:p>
                              </w:tc>
                            </w:tr>
                            <w:tr w:rsidR="00046465" w14:paraId="0DFDDDCE" w14:textId="77777777">
                              <w:trPr>
                                <w:trHeight w:val="413"/>
                              </w:trPr>
                              <w:tc>
                                <w:tcPr>
                                  <w:tcW w:w="12117" w:type="dxa"/>
                                  <w:gridSpan w:val="10"/>
                                </w:tcPr>
                                <w:p w14:paraId="0DFDDDCD" w14:textId="77777777" w:rsidR="00046465" w:rsidRDefault="00046465">
                                  <w:pPr>
                                    <w:pStyle w:val="TableParagraph"/>
                                    <w:rPr>
                                      <w:rFonts w:ascii="Times New Roman"/>
                                      <w:sz w:val="20"/>
                                    </w:rPr>
                                  </w:pPr>
                                </w:p>
                              </w:tc>
                            </w:tr>
                          </w:tbl>
                          <w:p w14:paraId="0DFDDDCF" w14:textId="77777777" w:rsidR="00046465" w:rsidRDefault="00046465">
                            <w:pPr>
                              <w:pStyle w:val="BodyText"/>
                            </w:pPr>
                          </w:p>
                        </w:txbxContent>
                      </wps:txbx>
                      <wps:bodyPr wrap="square" lIns="0" tIns="0" rIns="0" bIns="0" rtlCol="0">
                        <a:noAutofit/>
                      </wps:bodyPr>
                    </wps:wsp>
                  </a:graphicData>
                </a:graphic>
              </wp:anchor>
            </w:drawing>
          </mc:Choice>
          <mc:Fallback>
            <w:pict>
              <v:shape w14:anchorId="0DFDD769" id="Textbox 1144" o:spid="_x0000_s1045" type="#_x0000_t202" style="position:absolute;left:0;text-align:left;margin-left:352.25pt;margin-top:15.05pt;width:611.95pt;height:159.3pt;z-index:1588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" filled="f" stroked="f">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9"/>
                        <w:gridCol w:w="1439"/>
                        <w:gridCol w:w="1221"/>
                        <w:gridCol w:w="1201"/>
                        <w:gridCol w:w="1171"/>
                        <w:gridCol w:w="1171"/>
                        <w:gridCol w:w="1111"/>
                        <w:gridCol w:w="1112"/>
                        <w:gridCol w:w="1171"/>
                        <w:gridCol w:w="1081"/>
                      </w:tblGrid>
                      <w:tr w:rsidR="00046465" w14:paraId="0DFDDDA7" w14:textId="77777777">
                        <w:trPr>
                          <w:trHeight w:val="759"/>
                        </w:trPr>
                        <w:tc>
                          <w:tcPr>
                            <w:tcW w:w="1439" w:type="dxa"/>
                          </w:tcPr>
                          <w:p w14:paraId="0DFDDD9D" w14:textId="77777777" w:rsidR="00046465" w:rsidRDefault="008134EB">
                            <w:pPr>
                              <w:pStyle w:val="TableParagraph"/>
                              <w:spacing w:line="254" w:lineRule="exact"/>
                              <w:ind w:left="107" w:right="97" w:firstLine="1"/>
                              <w:jc w:val="center"/>
                              <w:rPr>
                                <w:b/>
                              </w:rPr>
                            </w:pPr>
                            <w:r>
                              <w:rPr>
                                <w:b/>
                              </w:rPr>
                              <w:t xml:space="preserve">Name of </w:t>
                            </w:r>
                            <w:r>
                              <w:rPr>
                                <w:b/>
                                <w:spacing w:val="-2"/>
                              </w:rPr>
                              <w:t xml:space="preserve">Component </w:t>
                            </w:r>
                            <w:r>
                              <w:rPr>
                                <w:b/>
                                <w:spacing w:val="-10"/>
                              </w:rPr>
                              <w:t>A</w:t>
                            </w:r>
                          </w:p>
                        </w:tc>
                        <w:tc>
                          <w:tcPr>
                            <w:tcW w:w="1439" w:type="dxa"/>
                          </w:tcPr>
                          <w:p w14:paraId="0DFDDD9E" w14:textId="77777777" w:rsidR="00046465" w:rsidRDefault="008134EB">
                            <w:pPr>
                              <w:pStyle w:val="TableParagraph"/>
                              <w:spacing w:line="254" w:lineRule="exact"/>
                              <w:ind w:left="107" w:right="97" w:firstLine="61"/>
                              <w:jc w:val="center"/>
                              <w:rPr>
                                <w:b/>
                              </w:rPr>
                            </w:pPr>
                            <w:r>
                              <w:rPr>
                                <w:b/>
                              </w:rPr>
                              <w:t xml:space="preserve">Name of </w:t>
                            </w:r>
                            <w:r>
                              <w:rPr>
                                <w:b/>
                                <w:spacing w:val="-2"/>
                              </w:rPr>
                              <w:t xml:space="preserve">Component </w:t>
                            </w:r>
                            <w:r>
                              <w:rPr>
                                <w:b/>
                                <w:spacing w:val="-10"/>
                              </w:rPr>
                              <w:t>B</w:t>
                            </w:r>
                          </w:p>
                        </w:tc>
                        <w:tc>
                          <w:tcPr>
                            <w:tcW w:w="1221" w:type="dxa"/>
                          </w:tcPr>
                          <w:p w14:paraId="0DFDDD9F" w14:textId="77777777" w:rsidR="00046465" w:rsidRDefault="00046465">
                            <w:pPr>
                              <w:pStyle w:val="TableParagraph"/>
                              <w:rPr>
                                <w:rFonts w:ascii="Times New Roman"/>
                                <w:sz w:val="20"/>
                              </w:rPr>
                            </w:pPr>
                          </w:p>
                        </w:tc>
                        <w:tc>
                          <w:tcPr>
                            <w:tcW w:w="1201" w:type="dxa"/>
                          </w:tcPr>
                          <w:p w14:paraId="0DFDDDA0" w14:textId="77777777" w:rsidR="00046465" w:rsidRDefault="00046465">
                            <w:pPr>
                              <w:pStyle w:val="TableParagraph"/>
                              <w:rPr>
                                <w:rFonts w:ascii="Times New Roman"/>
                                <w:sz w:val="20"/>
                              </w:rPr>
                            </w:pPr>
                          </w:p>
                        </w:tc>
                        <w:tc>
                          <w:tcPr>
                            <w:tcW w:w="1171" w:type="dxa"/>
                          </w:tcPr>
                          <w:p w14:paraId="0DFDDDA1" w14:textId="77777777" w:rsidR="00046465" w:rsidRDefault="00046465">
                            <w:pPr>
                              <w:pStyle w:val="TableParagraph"/>
                              <w:rPr>
                                <w:rFonts w:ascii="Times New Roman"/>
                                <w:sz w:val="20"/>
                              </w:rPr>
                            </w:pPr>
                          </w:p>
                        </w:tc>
                        <w:tc>
                          <w:tcPr>
                            <w:tcW w:w="1171" w:type="dxa"/>
                          </w:tcPr>
                          <w:p w14:paraId="0DFDDDA2" w14:textId="77777777" w:rsidR="00046465" w:rsidRDefault="00046465">
                            <w:pPr>
                              <w:pStyle w:val="TableParagraph"/>
                              <w:rPr>
                                <w:rFonts w:ascii="Times New Roman"/>
                                <w:sz w:val="20"/>
                              </w:rPr>
                            </w:pPr>
                          </w:p>
                        </w:tc>
                        <w:tc>
                          <w:tcPr>
                            <w:tcW w:w="1111" w:type="dxa"/>
                          </w:tcPr>
                          <w:p w14:paraId="0DFDDDA3" w14:textId="77777777" w:rsidR="00046465" w:rsidRDefault="00046465">
                            <w:pPr>
                              <w:pStyle w:val="TableParagraph"/>
                              <w:rPr>
                                <w:rFonts w:ascii="Times New Roman"/>
                                <w:sz w:val="20"/>
                              </w:rPr>
                            </w:pPr>
                          </w:p>
                        </w:tc>
                        <w:tc>
                          <w:tcPr>
                            <w:tcW w:w="1112" w:type="dxa"/>
                          </w:tcPr>
                          <w:p w14:paraId="0DFDDDA4" w14:textId="77777777" w:rsidR="00046465" w:rsidRDefault="00046465">
                            <w:pPr>
                              <w:pStyle w:val="TableParagraph"/>
                              <w:rPr>
                                <w:rFonts w:ascii="Times New Roman"/>
                                <w:sz w:val="20"/>
                              </w:rPr>
                            </w:pPr>
                          </w:p>
                        </w:tc>
                        <w:tc>
                          <w:tcPr>
                            <w:tcW w:w="1171" w:type="dxa"/>
                          </w:tcPr>
                          <w:p w14:paraId="0DFDDDA5" w14:textId="77777777" w:rsidR="00046465" w:rsidRDefault="00046465">
                            <w:pPr>
                              <w:pStyle w:val="TableParagraph"/>
                              <w:rPr>
                                <w:rFonts w:ascii="Times New Roman"/>
                                <w:sz w:val="20"/>
                              </w:rPr>
                            </w:pPr>
                          </w:p>
                        </w:tc>
                        <w:tc>
                          <w:tcPr>
                            <w:tcW w:w="1081" w:type="dxa"/>
                          </w:tcPr>
                          <w:p w14:paraId="0DFDDDA6" w14:textId="77777777" w:rsidR="00046465" w:rsidRDefault="00046465">
                            <w:pPr>
                              <w:pStyle w:val="TableParagraph"/>
                              <w:rPr>
                                <w:rFonts w:ascii="Times New Roman"/>
                                <w:sz w:val="20"/>
                              </w:rPr>
                            </w:pPr>
                          </w:p>
                        </w:tc>
                      </w:tr>
                      <w:tr w:rsidR="00046465" w14:paraId="0DFDDDB2" w14:textId="77777777">
                        <w:trPr>
                          <w:trHeight w:val="410"/>
                        </w:trPr>
                        <w:tc>
                          <w:tcPr>
                            <w:tcW w:w="1439" w:type="dxa"/>
                            <w:shd w:val="clear" w:color="auto" w:fill="D9D9D9"/>
                          </w:tcPr>
                          <w:p w14:paraId="0DFDDDA8" w14:textId="77777777" w:rsidR="00046465" w:rsidRDefault="00046465">
                            <w:pPr>
                              <w:pStyle w:val="TableParagraph"/>
                              <w:rPr>
                                <w:rFonts w:ascii="Times New Roman"/>
                                <w:sz w:val="20"/>
                              </w:rPr>
                            </w:pPr>
                          </w:p>
                        </w:tc>
                        <w:tc>
                          <w:tcPr>
                            <w:tcW w:w="1439" w:type="dxa"/>
                            <w:shd w:val="clear" w:color="auto" w:fill="D9D9D9"/>
                          </w:tcPr>
                          <w:p w14:paraId="0DFDDDA9" w14:textId="77777777" w:rsidR="00046465" w:rsidRDefault="00046465">
                            <w:pPr>
                              <w:pStyle w:val="TableParagraph"/>
                              <w:rPr>
                                <w:rFonts w:ascii="Times New Roman"/>
                                <w:sz w:val="20"/>
                              </w:rPr>
                            </w:pPr>
                          </w:p>
                        </w:tc>
                        <w:tc>
                          <w:tcPr>
                            <w:tcW w:w="1221" w:type="dxa"/>
                            <w:shd w:val="clear" w:color="auto" w:fill="D9D9D9"/>
                          </w:tcPr>
                          <w:p w14:paraId="0DFDDDAA" w14:textId="77777777" w:rsidR="00046465" w:rsidRDefault="00046465">
                            <w:pPr>
                              <w:pStyle w:val="TableParagraph"/>
                              <w:rPr>
                                <w:rFonts w:ascii="Times New Roman"/>
                                <w:sz w:val="20"/>
                              </w:rPr>
                            </w:pPr>
                          </w:p>
                        </w:tc>
                        <w:tc>
                          <w:tcPr>
                            <w:tcW w:w="1201" w:type="dxa"/>
                            <w:shd w:val="clear" w:color="auto" w:fill="D9D9D9"/>
                          </w:tcPr>
                          <w:p w14:paraId="0DFDDDAB" w14:textId="77777777" w:rsidR="00046465" w:rsidRDefault="00046465">
                            <w:pPr>
                              <w:pStyle w:val="TableParagraph"/>
                              <w:rPr>
                                <w:rFonts w:ascii="Times New Roman"/>
                                <w:sz w:val="20"/>
                              </w:rPr>
                            </w:pPr>
                          </w:p>
                        </w:tc>
                        <w:tc>
                          <w:tcPr>
                            <w:tcW w:w="1171" w:type="dxa"/>
                            <w:shd w:val="clear" w:color="auto" w:fill="D9D9D9"/>
                          </w:tcPr>
                          <w:p w14:paraId="0DFDDDAC" w14:textId="77777777" w:rsidR="00046465" w:rsidRDefault="00046465">
                            <w:pPr>
                              <w:pStyle w:val="TableParagraph"/>
                              <w:rPr>
                                <w:rFonts w:ascii="Times New Roman"/>
                                <w:sz w:val="20"/>
                              </w:rPr>
                            </w:pPr>
                          </w:p>
                        </w:tc>
                        <w:tc>
                          <w:tcPr>
                            <w:tcW w:w="1171" w:type="dxa"/>
                            <w:shd w:val="clear" w:color="auto" w:fill="D9D9D9"/>
                          </w:tcPr>
                          <w:p w14:paraId="0DFDDDAD" w14:textId="77777777" w:rsidR="00046465" w:rsidRDefault="00046465">
                            <w:pPr>
                              <w:pStyle w:val="TableParagraph"/>
                              <w:rPr>
                                <w:rFonts w:ascii="Times New Roman"/>
                                <w:sz w:val="20"/>
                              </w:rPr>
                            </w:pPr>
                          </w:p>
                        </w:tc>
                        <w:tc>
                          <w:tcPr>
                            <w:tcW w:w="1111" w:type="dxa"/>
                            <w:shd w:val="clear" w:color="auto" w:fill="D9D9D9"/>
                          </w:tcPr>
                          <w:p w14:paraId="0DFDDDAE" w14:textId="77777777" w:rsidR="00046465" w:rsidRDefault="00046465">
                            <w:pPr>
                              <w:pStyle w:val="TableParagraph"/>
                              <w:rPr>
                                <w:rFonts w:ascii="Times New Roman"/>
                                <w:sz w:val="20"/>
                              </w:rPr>
                            </w:pPr>
                          </w:p>
                        </w:tc>
                        <w:tc>
                          <w:tcPr>
                            <w:tcW w:w="1112" w:type="dxa"/>
                            <w:shd w:val="clear" w:color="auto" w:fill="D9D9D9"/>
                          </w:tcPr>
                          <w:p w14:paraId="0DFDDDAF" w14:textId="77777777" w:rsidR="00046465" w:rsidRDefault="00046465">
                            <w:pPr>
                              <w:pStyle w:val="TableParagraph"/>
                              <w:rPr>
                                <w:rFonts w:ascii="Times New Roman"/>
                                <w:sz w:val="20"/>
                              </w:rPr>
                            </w:pPr>
                          </w:p>
                        </w:tc>
                        <w:tc>
                          <w:tcPr>
                            <w:tcW w:w="1171" w:type="dxa"/>
                            <w:shd w:val="clear" w:color="auto" w:fill="D9D9D9"/>
                          </w:tcPr>
                          <w:p w14:paraId="0DFDDDB0" w14:textId="77777777" w:rsidR="00046465" w:rsidRDefault="00046465">
                            <w:pPr>
                              <w:pStyle w:val="TableParagraph"/>
                              <w:rPr>
                                <w:rFonts w:ascii="Times New Roman"/>
                                <w:sz w:val="20"/>
                              </w:rPr>
                            </w:pPr>
                          </w:p>
                        </w:tc>
                        <w:tc>
                          <w:tcPr>
                            <w:tcW w:w="1081" w:type="dxa"/>
                            <w:shd w:val="clear" w:color="auto" w:fill="D9D9D9"/>
                          </w:tcPr>
                          <w:p w14:paraId="0DFDDDB1" w14:textId="77777777" w:rsidR="00046465" w:rsidRDefault="00046465">
                            <w:pPr>
                              <w:pStyle w:val="TableParagraph"/>
                              <w:rPr>
                                <w:rFonts w:ascii="Times New Roman"/>
                                <w:sz w:val="20"/>
                              </w:rPr>
                            </w:pPr>
                          </w:p>
                        </w:tc>
                      </w:tr>
                      <w:tr w:rsidR="00046465" w14:paraId="0DFDDDBD" w14:textId="77777777">
                        <w:trPr>
                          <w:trHeight w:val="395"/>
                        </w:trPr>
                        <w:tc>
                          <w:tcPr>
                            <w:tcW w:w="1439" w:type="dxa"/>
                          </w:tcPr>
                          <w:p w14:paraId="0DFDDDB3" w14:textId="77777777" w:rsidR="00046465" w:rsidRDefault="00046465">
                            <w:pPr>
                              <w:pStyle w:val="TableParagraph"/>
                              <w:rPr>
                                <w:rFonts w:ascii="Times New Roman"/>
                                <w:sz w:val="20"/>
                              </w:rPr>
                            </w:pPr>
                          </w:p>
                        </w:tc>
                        <w:tc>
                          <w:tcPr>
                            <w:tcW w:w="1439" w:type="dxa"/>
                          </w:tcPr>
                          <w:p w14:paraId="0DFDDDB4" w14:textId="77777777" w:rsidR="00046465" w:rsidRDefault="00046465">
                            <w:pPr>
                              <w:pStyle w:val="TableParagraph"/>
                              <w:rPr>
                                <w:rFonts w:ascii="Times New Roman"/>
                                <w:sz w:val="20"/>
                              </w:rPr>
                            </w:pPr>
                          </w:p>
                        </w:tc>
                        <w:tc>
                          <w:tcPr>
                            <w:tcW w:w="1221" w:type="dxa"/>
                          </w:tcPr>
                          <w:p w14:paraId="0DFDDDB5" w14:textId="77777777" w:rsidR="00046465" w:rsidRDefault="00046465">
                            <w:pPr>
                              <w:pStyle w:val="TableParagraph"/>
                              <w:rPr>
                                <w:rFonts w:ascii="Times New Roman"/>
                                <w:sz w:val="20"/>
                              </w:rPr>
                            </w:pPr>
                          </w:p>
                        </w:tc>
                        <w:tc>
                          <w:tcPr>
                            <w:tcW w:w="1201" w:type="dxa"/>
                          </w:tcPr>
                          <w:p w14:paraId="0DFDDDB6" w14:textId="77777777" w:rsidR="00046465" w:rsidRDefault="00046465">
                            <w:pPr>
                              <w:pStyle w:val="TableParagraph"/>
                              <w:rPr>
                                <w:rFonts w:ascii="Times New Roman"/>
                                <w:sz w:val="20"/>
                              </w:rPr>
                            </w:pPr>
                          </w:p>
                        </w:tc>
                        <w:tc>
                          <w:tcPr>
                            <w:tcW w:w="1171" w:type="dxa"/>
                          </w:tcPr>
                          <w:p w14:paraId="0DFDDDB7" w14:textId="77777777" w:rsidR="00046465" w:rsidRDefault="00046465">
                            <w:pPr>
                              <w:pStyle w:val="TableParagraph"/>
                              <w:rPr>
                                <w:rFonts w:ascii="Times New Roman"/>
                                <w:sz w:val="20"/>
                              </w:rPr>
                            </w:pPr>
                          </w:p>
                        </w:tc>
                        <w:tc>
                          <w:tcPr>
                            <w:tcW w:w="1171" w:type="dxa"/>
                          </w:tcPr>
                          <w:p w14:paraId="0DFDDDB8" w14:textId="77777777" w:rsidR="00046465" w:rsidRDefault="00046465">
                            <w:pPr>
                              <w:pStyle w:val="TableParagraph"/>
                              <w:rPr>
                                <w:rFonts w:ascii="Times New Roman"/>
                                <w:sz w:val="20"/>
                              </w:rPr>
                            </w:pPr>
                          </w:p>
                        </w:tc>
                        <w:tc>
                          <w:tcPr>
                            <w:tcW w:w="1111" w:type="dxa"/>
                          </w:tcPr>
                          <w:p w14:paraId="0DFDDDB9" w14:textId="77777777" w:rsidR="00046465" w:rsidRDefault="00046465">
                            <w:pPr>
                              <w:pStyle w:val="TableParagraph"/>
                              <w:rPr>
                                <w:rFonts w:ascii="Times New Roman"/>
                                <w:sz w:val="20"/>
                              </w:rPr>
                            </w:pPr>
                          </w:p>
                        </w:tc>
                        <w:tc>
                          <w:tcPr>
                            <w:tcW w:w="1112" w:type="dxa"/>
                          </w:tcPr>
                          <w:p w14:paraId="0DFDDDBA" w14:textId="77777777" w:rsidR="00046465" w:rsidRDefault="00046465">
                            <w:pPr>
                              <w:pStyle w:val="TableParagraph"/>
                              <w:rPr>
                                <w:rFonts w:ascii="Times New Roman"/>
                                <w:sz w:val="20"/>
                              </w:rPr>
                            </w:pPr>
                          </w:p>
                        </w:tc>
                        <w:tc>
                          <w:tcPr>
                            <w:tcW w:w="1171" w:type="dxa"/>
                          </w:tcPr>
                          <w:p w14:paraId="0DFDDDBB" w14:textId="77777777" w:rsidR="00046465" w:rsidRDefault="00046465">
                            <w:pPr>
                              <w:pStyle w:val="TableParagraph"/>
                              <w:rPr>
                                <w:rFonts w:ascii="Times New Roman"/>
                                <w:sz w:val="20"/>
                              </w:rPr>
                            </w:pPr>
                          </w:p>
                        </w:tc>
                        <w:tc>
                          <w:tcPr>
                            <w:tcW w:w="1081" w:type="dxa"/>
                          </w:tcPr>
                          <w:p w14:paraId="0DFDDDBC" w14:textId="77777777" w:rsidR="00046465" w:rsidRDefault="00046465">
                            <w:pPr>
                              <w:pStyle w:val="TableParagraph"/>
                              <w:rPr>
                                <w:rFonts w:ascii="Times New Roman"/>
                                <w:sz w:val="20"/>
                              </w:rPr>
                            </w:pPr>
                          </w:p>
                        </w:tc>
                      </w:tr>
                      <w:tr w:rsidR="00046465" w14:paraId="0DFDDDC8" w14:textId="77777777">
                        <w:trPr>
                          <w:trHeight w:val="413"/>
                        </w:trPr>
                        <w:tc>
                          <w:tcPr>
                            <w:tcW w:w="1439" w:type="dxa"/>
                          </w:tcPr>
                          <w:p w14:paraId="0DFDDDBE" w14:textId="77777777" w:rsidR="00046465" w:rsidRDefault="00046465">
                            <w:pPr>
                              <w:pStyle w:val="TableParagraph"/>
                              <w:rPr>
                                <w:rFonts w:ascii="Times New Roman"/>
                                <w:sz w:val="20"/>
                              </w:rPr>
                            </w:pPr>
                          </w:p>
                        </w:tc>
                        <w:tc>
                          <w:tcPr>
                            <w:tcW w:w="1439" w:type="dxa"/>
                          </w:tcPr>
                          <w:p w14:paraId="0DFDDDBF" w14:textId="77777777" w:rsidR="00046465" w:rsidRDefault="00046465">
                            <w:pPr>
                              <w:pStyle w:val="TableParagraph"/>
                              <w:rPr>
                                <w:rFonts w:ascii="Times New Roman"/>
                                <w:sz w:val="20"/>
                              </w:rPr>
                            </w:pPr>
                          </w:p>
                        </w:tc>
                        <w:tc>
                          <w:tcPr>
                            <w:tcW w:w="1221" w:type="dxa"/>
                          </w:tcPr>
                          <w:p w14:paraId="0DFDDDC0" w14:textId="77777777" w:rsidR="00046465" w:rsidRDefault="00046465">
                            <w:pPr>
                              <w:pStyle w:val="TableParagraph"/>
                              <w:rPr>
                                <w:rFonts w:ascii="Times New Roman"/>
                                <w:sz w:val="20"/>
                              </w:rPr>
                            </w:pPr>
                          </w:p>
                        </w:tc>
                        <w:tc>
                          <w:tcPr>
                            <w:tcW w:w="1201" w:type="dxa"/>
                          </w:tcPr>
                          <w:p w14:paraId="0DFDDDC1" w14:textId="77777777" w:rsidR="00046465" w:rsidRDefault="00046465">
                            <w:pPr>
                              <w:pStyle w:val="TableParagraph"/>
                              <w:rPr>
                                <w:rFonts w:ascii="Times New Roman"/>
                                <w:sz w:val="20"/>
                              </w:rPr>
                            </w:pPr>
                          </w:p>
                        </w:tc>
                        <w:tc>
                          <w:tcPr>
                            <w:tcW w:w="1171" w:type="dxa"/>
                          </w:tcPr>
                          <w:p w14:paraId="0DFDDDC2" w14:textId="77777777" w:rsidR="00046465" w:rsidRDefault="00046465">
                            <w:pPr>
                              <w:pStyle w:val="TableParagraph"/>
                              <w:rPr>
                                <w:rFonts w:ascii="Times New Roman"/>
                                <w:sz w:val="20"/>
                              </w:rPr>
                            </w:pPr>
                          </w:p>
                        </w:tc>
                        <w:tc>
                          <w:tcPr>
                            <w:tcW w:w="1171" w:type="dxa"/>
                          </w:tcPr>
                          <w:p w14:paraId="0DFDDDC3" w14:textId="77777777" w:rsidR="00046465" w:rsidRDefault="00046465">
                            <w:pPr>
                              <w:pStyle w:val="TableParagraph"/>
                              <w:rPr>
                                <w:rFonts w:ascii="Times New Roman"/>
                                <w:sz w:val="20"/>
                              </w:rPr>
                            </w:pPr>
                          </w:p>
                        </w:tc>
                        <w:tc>
                          <w:tcPr>
                            <w:tcW w:w="1111" w:type="dxa"/>
                          </w:tcPr>
                          <w:p w14:paraId="0DFDDDC4" w14:textId="77777777" w:rsidR="00046465" w:rsidRDefault="00046465">
                            <w:pPr>
                              <w:pStyle w:val="TableParagraph"/>
                              <w:rPr>
                                <w:rFonts w:ascii="Times New Roman"/>
                                <w:sz w:val="20"/>
                              </w:rPr>
                            </w:pPr>
                          </w:p>
                        </w:tc>
                        <w:tc>
                          <w:tcPr>
                            <w:tcW w:w="1112" w:type="dxa"/>
                          </w:tcPr>
                          <w:p w14:paraId="0DFDDDC5" w14:textId="77777777" w:rsidR="00046465" w:rsidRDefault="00046465">
                            <w:pPr>
                              <w:pStyle w:val="TableParagraph"/>
                              <w:rPr>
                                <w:rFonts w:ascii="Times New Roman"/>
                                <w:sz w:val="20"/>
                              </w:rPr>
                            </w:pPr>
                          </w:p>
                        </w:tc>
                        <w:tc>
                          <w:tcPr>
                            <w:tcW w:w="1171" w:type="dxa"/>
                          </w:tcPr>
                          <w:p w14:paraId="0DFDDDC6" w14:textId="77777777" w:rsidR="00046465" w:rsidRDefault="00046465">
                            <w:pPr>
                              <w:pStyle w:val="TableParagraph"/>
                              <w:rPr>
                                <w:rFonts w:ascii="Times New Roman"/>
                                <w:sz w:val="20"/>
                              </w:rPr>
                            </w:pPr>
                          </w:p>
                        </w:tc>
                        <w:tc>
                          <w:tcPr>
                            <w:tcW w:w="1081" w:type="dxa"/>
                          </w:tcPr>
                          <w:p w14:paraId="0DFDDDC7" w14:textId="77777777" w:rsidR="00046465" w:rsidRDefault="00046465">
                            <w:pPr>
                              <w:pStyle w:val="TableParagraph"/>
                              <w:rPr>
                                <w:rFonts w:ascii="Times New Roman"/>
                                <w:sz w:val="20"/>
                              </w:rPr>
                            </w:pPr>
                          </w:p>
                        </w:tc>
                      </w:tr>
                      <w:tr w:rsidR="00046465" w14:paraId="0DFDDDCA" w14:textId="77777777">
                        <w:trPr>
                          <w:trHeight w:val="300"/>
                        </w:trPr>
                        <w:tc>
                          <w:tcPr>
                            <w:tcW w:w="12117" w:type="dxa"/>
                            <w:gridSpan w:val="10"/>
                            <w:shd w:val="clear" w:color="auto" w:fill="D9D9D9"/>
                          </w:tcPr>
                          <w:p w14:paraId="0DFDDDC9" w14:textId="77777777" w:rsidR="00046465" w:rsidRDefault="00046465">
                            <w:pPr>
                              <w:pStyle w:val="TableParagraph"/>
                              <w:rPr>
                                <w:rFonts w:ascii="Times New Roman"/>
                                <w:sz w:val="20"/>
                              </w:rPr>
                            </w:pPr>
                          </w:p>
                        </w:tc>
                      </w:tr>
                      <w:tr w:rsidR="00046465" w14:paraId="0DFDDDCC" w14:textId="77777777">
                        <w:trPr>
                          <w:trHeight w:val="413"/>
                        </w:trPr>
                        <w:tc>
                          <w:tcPr>
                            <w:tcW w:w="12117" w:type="dxa"/>
                            <w:gridSpan w:val="10"/>
                          </w:tcPr>
                          <w:p w14:paraId="0DFDDDCB" w14:textId="77777777" w:rsidR="00046465" w:rsidRDefault="00046465">
                            <w:pPr>
                              <w:pStyle w:val="TableParagraph"/>
                              <w:rPr>
                                <w:rFonts w:ascii="Times New Roman"/>
                                <w:sz w:val="20"/>
                              </w:rPr>
                            </w:pPr>
                          </w:p>
                        </w:tc>
                      </w:tr>
                      <w:tr w:rsidR="00046465" w14:paraId="0DFDDDCE" w14:textId="77777777">
                        <w:trPr>
                          <w:trHeight w:val="413"/>
                        </w:trPr>
                        <w:tc>
                          <w:tcPr>
                            <w:tcW w:w="12117" w:type="dxa"/>
                            <w:gridSpan w:val="10"/>
                          </w:tcPr>
                          <w:p w14:paraId="0DFDDDCD" w14:textId="77777777" w:rsidR="00046465" w:rsidRDefault="00046465">
                            <w:pPr>
                              <w:pStyle w:val="TableParagraph"/>
                              <w:rPr>
                                <w:rFonts w:ascii="Times New Roman"/>
                                <w:sz w:val="20"/>
                              </w:rPr>
                            </w:pPr>
                          </w:p>
                        </w:tc>
                      </w:tr>
                    </w:tbl>
                    <w:p w14:paraId="0DFDDDCF" w14:textId="77777777" w:rsidR="00046465" w:rsidRDefault="00046465">
                      <w:pPr>
                        <w:pStyle w:val="BodyText"/>
                      </w:pPr>
                    </w:p>
                  </w:txbxContent>
                </v:textbox>
                <w10:wrap anchorx="page"/>
              </v:shape>
            </w:pict>
          </mc:Fallback>
        </mc:AlternateContent>
      </w:r>
      <w:r>
        <w:rPr>
          <w:i/>
          <w:sz w:val="18"/>
        </w:rPr>
        <w:t>Reported</w:t>
      </w:r>
      <w:r>
        <w:rPr>
          <w:i/>
          <w:spacing w:val="-4"/>
          <w:sz w:val="18"/>
        </w:rPr>
        <w:t xml:space="preserve"> </w:t>
      </w:r>
      <w:r>
        <w:rPr>
          <w:i/>
          <w:sz w:val="18"/>
        </w:rPr>
        <w:t>in</w:t>
      </w:r>
      <w:r>
        <w:rPr>
          <w:i/>
          <w:spacing w:val="-3"/>
          <w:sz w:val="18"/>
        </w:rPr>
        <w:t xml:space="preserve"> </w:t>
      </w:r>
      <w:r>
        <w:rPr>
          <w:i/>
          <w:sz w:val="18"/>
        </w:rPr>
        <w:t>Actual</w:t>
      </w:r>
      <w:r>
        <w:rPr>
          <w:i/>
          <w:spacing w:val="-2"/>
          <w:sz w:val="18"/>
        </w:rPr>
        <w:t xml:space="preserve"> Amounts</w:t>
      </w:r>
    </w:p>
    <w:p w14:paraId="0DFDC9DE" w14:textId="77777777" w:rsidR="00046465" w:rsidRDefault="00046465">
      <w:pPr>
        <w:pStyle w:val="BodyText"/>
        <w:rPr>
          <w:i/>
          <w:sz w:val="18"/>
        </w:rPr>
      </w:pPr>
    </w:p>
    <w:p w14:paraId="0DFDC9DF" w14:textId="77777777" w:rsidR="00046465" w:rsidRDefault="00046465">
      <w:pPr>
        <w:pStyle w:val="BodyText"/>
        <w:spacing w:before="148"/>
        <w:rPr>
          <w:i/>
          <w:sz w:val="18"/>
        </w:rPr>
      </w:pPr>
    </w:p>
    <w:p w14:paraId="0DFDC9E0" w14:textId="77777777" w:rsidR="00046465" w:rsidRDefault="008134EB">
      <w:pPr>
        <w:spacing w:before="1" w:line="244" w:lineRule="auto"/>
        <w:ind w:left="468" w:right="16845"/>
        <w:rPr>
          <w:sz w:val="18"/>
        </w:rPr>
      </w:pPr>
      <w:r>
        <w:rPr>
          <w:sz w:val="18"/>
        </w:rPr>
        <w:t>Entity</w:t>
      </w:r>
      <w:r>
        <w:rPr>
          <w:spacing w:val="-5"/>
          <w:sz w:val="18"/>
        </w:rPr>
        <w:t xml:space="preserve"> </w:t>
      </w:r>
      <w:r>
        <w:rPr>
          <w:sz w:val="18"/>
        </w:rPr>
        <w:t>(list</w:t>
      </w:r>
      <w:r>
        <w:rPr>
          <w:spacing w:val="-5"/>
          <w:sz w:val="18"/>
        </w:rPr>
        <w:t xml:space="preserve"> </w:t>
      </w:r>
      <w:r>
        <w:rPr>
          <w:sz w:val="18"/>
        </w:rPr>
        <w:t>component</w:t>
      </w:r>
      <w:r>
        <w:rPr>
          <w:spacing w:val="-5"/>
          <w:sz w:val="18"/>
        </w:rPr>
        <w:t xml:space="preserve"> </w:t>
      </w:r>
      <w:r>
        <w:rPr>
          <w:sz w:val="18"/>
        </w:rPr>
        <w:t>entities</w:t>
      </w:r>
      <w:r>
        <w:rPr>
          <w:spacing w:val="-5"/>
          <w:sz w:val="18"/>
        </w:rPr>
        <w:t xml:space="preserve"> </w:t>
      </w:r>
      <w:r>
        <w:rPr>
          <w:sz w:val="18"/>
        </w:rPr>
        <w:t>separately</w:t>
      </w:r>
      <w:r>
        <w:rPr>
          <w:spacing w:val="-5"/>
          <w:sz w:val="18"/>
        </w:rPr>
        <w:t xml:space="preserve"> </w:t>
      </w:r>
      <w:r>
        <w:rPr>
          <w:sz w:val="18"/>
        </w:rPr>
        <w:t>to</w:t>
      </w:r>
      <w:r>
        <w:rPr>
          <w:spacing w:val="-6"/>
          <w:sz w:val="18"/>
        </w:rPr>
        <w:t xml:space="preserve"> </w:t>
      </w:r>
      <w:r>
        <w:rPr>
          <w:sz w:val="18"/>
        </w:rPr>
        <w:t>the</w:t>
      </w:r>
      <w:r>
        <w:rPr>
          <w:spacing w:val="-6"/>
          <w:sz w:val="18"/>
        </w:rPr>
        <w:t xml:space="preserve"> </w:t>
      </w:r>
      <w:r>
        <w:rPr>
          <w:sz w:val="18"/>
        </w:rPr>
        <w:t>right,</w:t>
      </w:r>
      <w:r>
        <w:rPr>
          <w:spacing w:val="-5"/>
          <w:sz w:val="18"/>
        </w:rPr>
        <w:t xml:space="preserve"> </w:t>
      </w:r>
      <w:r>
        <w:rPr>
          <w:sz w:val="18"/>
        </w:rPr>
        <w:t>if</w:t>
      </w:r>
      <w:r>
        <w:rPr>
          <w:spacing w:val="-5"/>
          <w:sz w:val="18"/>
        </w:rPr>
        <w:t xml:space="preserve"> </w:t>
      </w:r>
      <w:r>
        <w:rPr>
          <w:sz w:val="18"/>
        </w:rPr>
        <w:t>applicable): Entity materiality level for reporting (ensure consistency with underlying legal counsel response):</w:t>
      </w:r>
    </w:p>
    <w:p w14:paraId="0DFDC9E1" w14:textId="77777777" w:rsidR="00046465" w:rsidRDefault="008134EB">
      <w:pPr>
        <w:spacing w:before="75"/>
        <w:ind w:left="987"/>
        <w:rPr>
          <w:sz w:val="18"/>
        </w:rPr>
      </w:pPr>
      <w:r>
        <w:rPr>
          <w:sz w:val="18"/>
        </w:rPr>
        <w:t>Individual</w:t>
      </w:r>
      <w:r>
        <w:rPr>
          <w:spacing w:val="-3"/>
          <w:sz w:val="18"/>
        </w:rPr>
        <w:t xml:space="preserve"> </w:t>
      </w:r>
      <w:r>
        <w:rPr>
          <w:sz w:val="18"/>
        </w:rPr>
        <w:t>cases</w:t>
      </w:r>
      <w:r>
        <w:rPr>
          <w:spacing w:val="-2"/>
          <w:sz w:val="18"/>
        </w:rPr>
        <w:t xml:space="preserve"> </w:t>
      </w:r>
      <w:r>
        <w:rPr>
          <w:sz w:val="18"/>
        </w:rPr>
        <w:t>or</w:t>
      </w:r>
      <w:r>
        <w:rPr>
          <w:spacing w:val="-3"/>
          <w:sz w:val="18"/>
        </w:rPr>
        <w:t xml:space="preserve"> </w:t>
      </w:r>
      <w:r>
        <w:rPr>
          <w:sz w:val="18"/>
        </w:rPr>
        <w:t>the</w:t>
      </w:r>
      <w:r>
        <w:rPr>
          <w:spacing w:val="-3"/>
          <w:sz w:val="18"/>
        </w:rPr>
        <w:t xml:space="preserve"> </w:t>
      </w:r>
      <w:r>
        <w:rPr>
          <w:sz w:val="18"/>
        </w:rPr>
        <w:t>aggregate</w:t>
      </w:r>
      <w:r>
        <w:rPr>
          <w:spacing w:val="-4"/>
          <w:sz w:val="18"/>
        </w:rPr>
        <w:t xml:space="preserve"> </w:t>
      </w:r>
      <w:r>
        <w:rPr>
          <w:sz w:val="18"/>
        </w:rPr>
        <w:t>for</w:t>
      </w:r>
      <w:r>
        <w:rPr>
          <w:spacing w:val="-2"/>
          <w:sz w:val="18"/>
        </w:rPr>
        <w:t xml:space="preserve"> </w:t>
      </w:r>
      <w:r>
        <w:rPr>
          <w:sz w:val="18"/>
        </w:rPr>
        <w:t>similar</w:t>
      </w:r>
      <w:r>
        <w:rPr>
          <w:spacing w:val="-2"/>
          <w:sz w:val="18"/>
        </w:rPr>
        <w:t xml:space="preserve"> </w:t>
      </w:r>
      <w:r>
        <w:rPr>
          <w:spacing w:val="-4"/>
          <w:sz w:val="18"/>
        </w:rPr>
        <w:t>cases</w:t>
      </w:r>
    </w:p>
    <w:p w14:paraId="0DFDC9E2" w14:textId="77777777" w:rsidR="00046465" w:rsidRDefault="008134EB">
      <w:pPr>
        <w:spacing w:before="129"/>
        <w:ind w:left="988" w:right="16845"/>
        <w:rPr>
          <w:sz w:val="18"/>
        </w:rPr>
      </w:pPr>
      <w:r>
        <w:rPr>
          <w:sz w:val="18"/>
        </w:rPr>
        <w:t>Cases</w:t>
      </w:r>
      <w:r>
        <w:rPr>
          <w:spacing w:val="-4"/>
          <w:sz w:val="18"/>
        </w:rPr>
        <w:t xml:space="preserve"> </w:t>
      </w:r>
      <w:r>
        <w:rPr>
          <w:sz w:val="18"/>
        </w:rPr>
        <w:t>not</w:t>
      </w:r>
      <w:r>
        <w:rPr>
          <w:spacing w:val="-4"/>
          <w:sz w:val="18"/>
        </w:rPr>
        <w:t xml:space="preserve"> </w:t>
      </w:r>
      <w:r>
        <w:rPr>
          <w:sz w:val="18"/>
        </w:rPr>
        <w:t>listed</w:t>
      </w:r>
      <w:r>
        <w:rPr>
          <w:spacing w:val="-5"/>
          <w:sz w:val="18"/>
        </w:rPr>
        <w:t xml:space="preserve"> </w:t>
      </w:r>
      <w:r>
        <w:rPr>
          <w:sz w:val="18"/>
        </w:rPr>
        <w:t>individually</w:t>
      </w:r>
      <w:r>
        <w:rPr>
          <w:spacing w:val="-4"/>
          <w:sz w:val="18"/>
        </w:rPr>
        <w:t xml:space="preserve"> </w:t>
      </w:r>
      <w:r>
        <w:rPr>
          <w:sz w:val="18"/>
        </w:rPr>
        <w:t>or</w:t>
      </w:r>
      <w:r>
        <w:rPr>
          <w:spacing w:val="-4"/>
          <w:sz w:val="18"/>
        </w:rPr>
        <w:t xml:space="preserve"> </w:t>
      </w:r>
      <w:r>
        <w:rPr>
          <w:sz w:val="18"/>
        </w:rPr>
        <w:t>as</w:t>
      </w:r>
      <w:r>
        <w:rPr>
          <w:spacing w:val="-4"/>
          <w:sz w:val="18"/>
        </w:rPr>
        <w:t xml:space="preserve"> </w:t>
      </w:r>
      <w:r>
        <w:rPr>
          <w:sz w:val="18"/>
        </w:rPr>
        <w:t>part</w:t>
      </w:r>
      <w:r>
        <w:rPr>
          <w:spacing w:val="-4"/>
          <w:sz w:val="18"/>
        </w:rPr>
        <w:t xml:space="preserve"> </w:t>
      </w:r>
      <w:r>
        <w:rPr>
          <w:sz w:val="18"/>
        </w:rPr>
        <w:t>of</w:t>
      </w:r>
      <w:r>
        <w:rPr>
          <w:spacing w:val="-4"/>
          <w:sz w:val="18"/>
        </w:rPr>
        <w:t xml:space="preserve"> </w:t>
      </w:r>
      <w:r>
        <w:rPr>
          <w:sz w:val="18"/>
        </w:rPr>
        <w:t>a</w:t>
      </w:r>
      <w:r>
        <w:rPr>
          <w:spacing w:val="-5"/>
          <w:sz w:val="18"/>
        </w:rPr>
        <w:t xml:space="preserve"> </w:t>
      </w:r>
      <w:r>
        <w:rPr>
          <w:sz w:val="18"/>
        </w:rPr>
        <w:t>group</w:t>
      </w:r>
      <w:r>
        <w:rPr>
          <w:spacing w:val="-5"/>
          <w:sz w:val="18"/>
        </w:rPr>
        <w:t xml:space="preserve"> </w:t>
      </w:r>
      <w:r>
        <w:rPr>
          <w:sz w:val="18"/>
        </w:rPr>
        <w:t>of</w:t>
      </w:r>
      <w:r>
        <w:rPr>
          <w:spacing w:val="-4"/>
          <w:sz w:val="18"/>
        </w:rPr>
        <w:t xml:space="preserve"> </w:t>
      </w:r>
      <w:r>
        <w:rPr>
          <w:sz w:val="18"/>
        </w:rPr>
        <w:t xml:space="preserve">similar </w:t>
      </w:r>
      <w:r>
        <w:rPr>
          <w:spacing w:val="-2"/>
          <w:sz w:val="18"/>
        </w:rPr>
        <w:t>cases</w:t>
      </w:r>
    </w:p>
    <w:p w14:paraId="0DFDC9E3" w14:textId="77777777" w:rsidR="00046465" w:rsidRDefault="008134EB">
      <w:pPr>
        <w:spacing w:before="104"/>
        <w:ind w:left="468"/>
        <w:rPr>
          <w:sz w:val="18"/>
        </w:rPr>
      </w:pPr>
      <w:r>
        <w:rPr>
          <w:sz w:val="18"/>
        </w:rPr>
        <w:t>Points</w:t>
      </w:r>
      <w:r>
        <w:rPr>
          <w:spacing w:val="-3"/>
          <w:sz w:val="18"/>
        </w:rPr>
        <w:t xml:space="preserve"> </w:t>
      </w:r>
      <w:r>
        <w:rPr>
          <w:sz w:val="18"/>
        </w:rPr>
        <w:t>of</w:t>
      </w:r>
      <w:r>
        <w:rPr>
          <w:spacing w:val="-2"/>
          <w:sz w:val="18"/>
        </w:rPr>
        <w:t xml:space="preserve"> Contact:</w:t>
      </w:r>
    </w:p>
    <w:p w14:paraId="0DFDC9E4" w14:textId="77777777" w:rsidR="00046465" w:rsidRDefault="008134EB">
      <w:pPr>
        <w:spacing w:before="10"/>
        <w:ind w:left="988" w:right="16845" w:hanging="2"/>
        <w:rPr>
          <w:i/>
          <w:sz w:val="18"/>
        </w:rPr>
      </w:pPr>
      <w:r>
        <w:rPr>
          <w:sz w:val="18"/>
        </w:rPr>
        <w:t>Management</w:t>
      </w:r>
      <w:r>
        <w:rPr>
          <w:spacing w:val="-7"/>
          <w:sz w:val="18"/>
        </w:rPr>
        <w:t xml:space="preserve"> </w:t>
      </w:r>
      <w:r>
        <w:rPr>
          <w:sz w:val="18"/>
        </w:rPr>
        <w:t>Schedule</w:t>
      </w:r>
      <w:r>
        <w:rPr>
          <w:spacing w:val="-7"/>
          <w:sz w:val="18"/>
        </w:rPr>
        <w:t xml:space="preserve"> </w:t>
      </w:r>
      <w:r>
        <w:rPr>
          <w:sz w:val="18"/>
        </w:rPr>
        <w:t>-</w:t>
      </w:r>
      <w:r>
        <w:rPr>
          <w:spacing w:val="-7"/>
          <w:sz w:val="18"/>
        </w:rPr>
        <w:t xml:space="preserve"> </w:t>
      </w:r>
      <w:r>
        <w:rPr>
          <w:i/>
          <w:sz w:val="18"/>
        </w:rPr>
        <w:t>Name,</w:t>
      </w:r>
      <w:r>
        <w:rPr>
          <w:i/>
          <w:spacing w:val="-7"/>
          <w:sz w:val="18"/>
        </w:rPr>
        <w:t xml:space="preserve"> </w:t>
      </w:r>
      <w:r>
        <w:rPr>
          <w:i/>
          <w:sz w:val="18"/>
        </w:rPr>
        <w:t>email</w:t>
      </w:r>
      <w:r>
        <w:rPr>
          <w:i/>
          <w:spacing w:val="-7"/>
          <w:sz w:val="18"/>
        </w:rPr>
        <w:t xml:space="preserve"> </w:t>
      </w:r>
      <w:r>
        <w:rPr>
          <w:i/>
          <w:sz w:val="18"/>
        </w:rPr>
        <w:t>address,</w:t>
      </w:r>
      <w:r>
        <w:rPr>
          <w:i/>
          <w:spacing w:val="-7"/>
          <w:sz w:val="18"/>
        </w:rPr>
        <w:t xml:space="preserve"> </w:t>
      </w:r>
      <w:r>
        <w:rPr>
          <w:i/>
          <w:sz w:val="18"/>
        </w:rPr>
        <w:t xml:space="preserve">phone </w:t>
      </w:r>
      <w:r>
        <w:rPr>
          <w:i/>
          <w:spacing w:val="-2"/>
          <w:sz w:val="18"/>
        </w:rPr>
        <w:t>number</w:t>
      </w:r>
    </w:p>
    <w:p w14:paraId="0DFDC9E5" w14:textId="77777777" w:rsidR="00046465" w:rsidRDefault="008134EB">
      <w:pPr>
        <w:spacing w:before="9"/>
        <w:ind w:left="988" w:right="16845" w:hanging="2"/>
        <w:rPr>
          <w:i/>
          <w:sz w:val="18"/>
        </w:rPr>
      </w:pPr>
      <w:r>
        <w:rPr>
          <w:sz w:val="18"/>
        </w:rPr>
        <w:t>Legal</w:t>
      </w:r>
      <w:r>
        <w:rPr>
          <w:spacing w:val="-6"/>
          <w:sz w:val="18"/>
        </w:rPr>
        <w:t xml:space="preserve"> </w:t>
      </w:r>
      <w:r>
        <w:rPr>
          <w:sz w:val="18"/>
        </w:rPr>
        <w:t>Counsel</w:t>
      </w:r>
      <w:r>
        <w:rPr>
          <w:spacing w:val="-5"/>
          <w:sz w:val="18"/>
        </w:rPr>
        <w:t xml:space="preserve"> </w:t>
      </w:r>
      <w:r>
        <w:rPr>
          <w:sz w:val="18"/>
        </w:rPr>
        <w:t>Response</w:t>
      </w:r>
      <w:r>
        <w:rPr>
          <w:spacing w:val="-6"/>
          <w:sz w:val="18"/>
        </w:rPr>
        <w:t xml:space="preserve"> </w:t>
      </w:r>
      <w:r>
        <w:rPr>
          <w:sz w:val="18"/>
        </w:rPr>
        <w:t>-</w:t>
      </w:r>
      <w:r>
        <w:rPr>
          <w:spacing w:val="-6"/>
          <w:sz w:val="18"/>
        </w:rPr>
        <w:t xml:space="preserve"> </w:t>
      </w:r>
      <w:r>
        <w:rPr>
          <w:i/>
          <w:sz w:val="18"/>
        </w:rPr>
        <w:t>Name,</w:t>
      </w:r>
      <w:r>
        <w:rPr>
          <w:i/>
          <w:spacing w:val="-6"/>
          <w:sz w:val="18"/>
        </w:rPr>
        <w:t xml:space="preserve"> </w:t>
      </w:r>
      <w:r>
        <w:rPr>
          <w:i/>
          <w:sz w:val="18"/>
        </w:rPr>
        <w:t>email</w:t>
      </w:r>
      <w:r>
        <w:rPr>
          <w:i/>
          <w:spacing w:val="-6"/>
          <w:sz w:val="18"/>
        </w:rPr>
        <w:t xml:space="preserve"> </w:t>
      </w:r>
      <w:r>
        <w:rPr>
          <w:i/>
          <w:sz w:val="18"/>
        </w:rPr>
        <w:t>address,</w:t>
      </w:r>
      <w:r>
        <w:rPr>
          <w:i/>
          <w:spacing w:val="-6"/>
          <w:sz w:val="18"/>
        </w:rPr>
        <w:t xml:space="preserve"> </w:t>
      </w:r>
      <w:r>
        <w:rPr>
          <w:i/>
          <w:sz w:val="18"/>
        </w:rPr>
        <w:t xml:space="preserve">phone </w:t>
      </w:r>
      <w:r>
        <w:rPr>
          <w:i/>
          <w:spacing w:val="-2"/>
          <w:sz w:val="18"/>
        </w:rPr>
        <w:t>number</w:t>
      </w:r>
    </w:p>
    <w:p w14:paraId="0DFDC9E6" w14:textId="77777777" w:rsidR="00046465" w:rsidRDefault="00046465">
      <w:pPr>
        <w:rPr>
          <w:i/>
          <w:sz w:val="18"/>
        </w:rPr>
        <w:sectPr w:rsidR="00046465">
          <w:headerReference w:type="default" r:id="rId245"/>
          <w:footerReference w:type="default" r:id="rId246"/>
          <w:pgSz w:w="24480" w:h="15840" w:orient="landscape"/>
          <w:pgMar w:top="1340" w:right="1080" w:bottom="940" w:left="720" w:header="721" w:footer="757" w:gutter="0"/>
          <w:cols w:space="720"/>
        </w:sectPr>
      </w:pPr>
    </w:p>
    <w:p w14:paraId="0DFDC9E7" w14:textId="77777777" w:rsidR="00046465" w:rsidRDefault="008134EB">
      <w:pPr>
        <w:spacing w:line="44" w:lineRule="exact"/>
        <w:ind w:left="330"/>
        <w:rPr>
          <w:sz w:val="4"/>
        </w:rPr>
      </w:pPr>
      <w:r>
        <w:rPr>
          <w:noProof/>
          <w:sz w:val="4"/>
        </w:rPr>
        <w:lastRenderedPageBreak/>
        <mc:AlternateContent>
          <mc:Choice Requires="wpg">
            <w:drawing>
              <wp:inline distT="0" distB="0" distL="0" distR="0" wp14:anchorId="0DFDD76B" wp14:editId="0DFDD76C">
                <wp:extent cx="13982700" cy="28575"/>
                <wp:effectExtent l="0" t="0" r="0" b="0"/>
                <wp:docPr id="1145" name="Group 1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82700" cy="28575"/>
                          <a:chOff x="0" y="0"/>
                          <a:chExt cx="13982700" cy="28575"/>
                        </a:xfrm>
                      </wpg:grpSpPr>
                      <wps:wsp>
                        <wps:cNvPr id="1146" name="Graphic 1146"/>
                        <wps:cNvSpPr/>
                        <wps:spPr>
                          <a:xfrm>
                            <a:off x="0" y="0"/>
                            <a:ext cx="13982700" cy="28575"/>
                          </a:xfrm>
                          <a:custGeom>
                            <a:avLst/>
                            <a:gdLst/>
                            <a:ahLst/>
                            <a:cxnLst/>
                            <a:rect l="l" t="t" r="r" b="b"/>
                            <a:pathLst>
                              <a:path w="13982700" h="28575">
                                <a:moveTo>
                                  <a:pt x="13982700" y="0"/>
                                </a:moveTo>
                                <a:lnTo>
                                  <a:pt x="0" y="0"/>
                                </a:lnTo>
                                <a:lnTo>
                                  <a:pt x="0" y="28194"/>
                                </a:lnTo>
                                <a:lnTo>
                                  <a:pt x="13982700" y="28194"/>
                                </a:lnTo>
                                <a:lnTo>
                                  <a:pt x="1398270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3B315CD5" id="Group 1145" o:spid="_x0000_s1026" style="width:1101pt;height:2.25pt;mso-position-horizontal-relative:char;mso-position-vertical-relative:line" coordsize="139827,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">
                <v:shape id="Graphic 1146" o:spid="_x0000_s1027" style="position:absolute;width:139827;height:285;visibility:visible;mso-wrap-style:square;v-text-anchor:top" coordsize="1398270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" path="m13982700,l,,,28194r13982700,l13982700,xe" fillcolor="black" stroked="f">
                  <v:path arrowok="t"/>
                </v:shape>
                <w10:anchorlock/>
              </v:group>
            </w:pict>
          </mc:Fallback>
        </mc:AlternateContent>
      </w:r>
    </w:p>
    <w:p w14:paraId="0DFDC9E8" w14:textId="77777777" w:rsidR="00046465" w:rsidRDefault="008134EB">
      <w:pPr>
        <w:pStyle w:val="BodyText"/>
        <w:spacing w:before="19"/>
        <w:ind w:left="360"/>
      </w:pPr>
      <w:r>
        <w:t>Reporting</w:t>
      </w:r>
      <w:r>
        <w:rPr>
          <w:spacing w:val="-14"/>
        </w:rPr>
        <w:t xml:space="preserve"> </w:t>
      </w:r>
      <w:r>
        <w:t>Implementation</w:t>
      </w:r>
      <w:r>
        <w:rPr>
          <w:spacing w:val="-13"/>
        </w:rPr>
        <w:t xml:space="preserve"> </w:t>
      </w:r>
      <w:r>
        <w:rPr>
          <w:spacing w:val="-2"/>
        </w:rPr>
        <w:t>Guidance</w:t>
      </w:r>
    </w:p>
    <w:p w14:paraId="0DFDC9E9" w14:textId="77777777" w:rsidR="00046465" w:rsidRDefault="008134EB">
      <w:pPr>
        <w:pStyle w:val="BodyText"/>
        <w:spacing w:before="1"/>
        <w:ind w:left="360"/>
      </w:pPr>
      <w:r>
        <w:rPr>
          <w:noProof/>
        </w:rPr>
        <mc:AlternateContent>
          <mc:Choice Requires="wps">
            <w:drawing>
              <wp:anchor distT="0" distB="0" distL="0" distR="0" simplePos="0" relativeHeight="487741952" behindDoc="1" locked="0" layoutInCell="1" allowOverlap="1" wp14:anchorId="0DFDD76D" wp14:editId="0DFDD76E">
                <wp:simplePos x="0" y="0"/>
                <wp:positionH relativeFrom="page">
                  <wp:posOffset>666750</wp:posOffset>
                </wp:positionH>
                <wp:positionV relativeFrom="paragraph">
                  <wp:posOffset>173495</wp:posOffset>
                </wp:positionV>
                <wp:extent cx="13982700" cy="28575"/>
                <wp:effectExtent l="0" t="0" r="0" b="0"/>
                <wp:wrapTopAndBottom/>
                <wp:docPr id="1147" name="Graphic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0" cy="28575"/>
                        </a:xfrm>
                        <a:custGeom>
                          <a:avLst/>
                          <a:gdLst/>
                          <a:ahLst/>
                          <a:cxnLst/>
                          <a:rect l="l" t="t" r="r" b="b"/>
                          <a:pathLst>
                            <a:path w="13982700" h="28575">
                              <a:moveTo>
                                <a:pt x="13982700" y="0"/>
                              </a:moveTo>
                              <a:lnTo>
                                <a:pt x="0" y="0"/>
                              </a:lnTo>
                              <a:lnTo>
                                <a:pt x="0" y="28194"/>
                              </a:lnTo>
                              <a:lnTo>
                                <a:pt x="13982700" y="28194"/>
                              </a:lnTo>
                              <a:lnTo>
                                <a:pt x="1398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0C6FDD" id="Graphic 1147" o:spid="_x0000_s1026" style="position:absolute;margin-left:52.5pt;margin-top:13.65pt;width:1101pt;height:2.25pt;z-index:-15574528;visibility:visible;mso-wrap-style:square;mso-wrap-distance-left:0;mso-wrap-distance-top:0;mso-wrap-distance-right:0;mso-wrap-distance-bottom:0;mso-position-horizontal:absolute;mso-position-horizontal-relative:page;mso-position-vertical:absolute;mso-position-vertical-relative:text;v-text-anchor:top" coordsize="13982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" path="m13982700,l,,,28194r13982700,l13982700,xe" fillcolor="black" stroked="f">
                <v:path arrowok="t"/>
                <w10:wrap type="topAndBottom" anchorx="page"/>
              </v:shape>
            </w:pict>
          </mc:Fallback>
        </mc:AlternateContent>
      </w:r>
      <w:r>
        <w:t>1002</w:t>
      </w:r>
      <w:r>
        <w:rPr>
          <w:spacing w:val="-7"/>
        </w:rPr>
        <w:t xml:space="preserve"> </w:t>
      </w:r>
      <w:r>
        <w:t>D</w:t>
      </w:r>
      <w:r>
        <w:rPr>
          <w:spacing w:val="-7"/>
        </w:rPr>
        <w:t xml:space="preserve"> </w:t>
      </w:r>
      <w:r>
        <w:t>–</w:t>
      </w:r>
      <w:r>
        <w:rPr>
          <w:spacing w:val="-7"/>
        </w:rPr>
        <w:t xml:space="preserve"> </w:t>
      </w:r>
      <w:r>
        <w:t>Example</w:t>
      </w:r>
      <w:r>
        <w:rPr>
          <w:spacing w:val="-6"/>
        </w:rPr>
        <w:t xml:space="preserve"> </w:t>
      </w:r>
      <w:r>
        <w:t>Management</w:t>
      </w:r>
      <w:r>
        <w:rPr>
          <w:spacing w:val="-7"/>
        </w:rPr>
        <w:t xml:space="preserve"> </w:t>
      </w:r>
      <w:r>
        <w:rPr>
          <w:spacing w:val="-2"/>
        </w:rPr>
        <w:t>Schedule</w:t>
      </w:r>
    </w:p>
    <w:p w14:paraId="0DFDC9EA" w14:textId="77777777" w:rsidR="00046465" w:rsidRDefault="00046465">
      <w:pPr>
        <w:pStyle w:val="BodyText"/>
        <w:rPr>
          <w:sz w:val="20"/>
        </w:rPr>
      </w:pPr>
    </w:p>
    <w:p w14:paraId="0DFDC9EB" w14:textId="77777777" w:rsidR="00046465" w:rsidRDefault="00046465">
      <w:pPr>
        <w:pStyle w:val="BodyText"/>
        <w:spacing w:before="34"/>
        <w:rPr>
          <w:sz w:val="20"/>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637"/>
        <w:gridCol w:w="720"/>
        <w:gridCol w:w="720"/>
        <w:gridCol w:w="720"/>
        <w:gridCol w:w="720"/>
        <w:gridCol w:w="1080"/>
        <w:gridCol w:w="630"/>
        <w:gridCol w:w="720"/>
        <w:gridCol w:w="900"/>
        <w:gridCol w:w="900"/>
        <w:gridCol w:w="1080"/>
        <w:gridCol w:w="540"/>
        <w:gridCol w:w="630"/>
        <w:gridCol w:w="630"/>
        <w:gridCol w:w="1170"/>
        <w:gridCol w:w="1260"/>
        <w:gridCol w:w="1890"/>
        <w:gridCol w:w="900"/>
        <w:gridCol w:w="630"/>
        <w:gridCol w:w="1800"/>
        <w:gridCol w:w="540"/>
        <w:gridCol w:w="1440"/>
        <w:gridCol w:w="630"/>
      </w:tblGrid>
      <w:tr w:rsidR="00046465" w14:paraId="0DFDCA00" w14:textId="77777777">
        <w:trPr>
          <w:trHeight w:val="413"/>
        </w:trPr>
        <w:tc>
          <w:tcPr>
            <w:tcW w:w="1075" w:type="dxa"/>
          </w:tcPr>
          <w:p w14:paraId="0DFDC9EC" w14:textId="77777777" w:rsidR="00046465" w:rsidRDefault="008134EB">
            <w:pPr>
              <w:pStyle w:val="TableParagraph"/>
              <w:spacing w:before="206" w:line="187" w:lineRule="exact"/>
              <w:ind w:left="9"/>
              <w:jc w:val="center"/>
              <w:rPr>
                <w:sz w:val="18"/>
              </w:rPr>
            </w:pPr>
            <w:r>
              <w:rPr>
                <w:spacing w:val="-10"/>
                <w:sz w:val="18"/>
              </w:rPr>
              <w:t>1</w:t>
            </w:r>
          </w:p>
        </w:tc>
        <w:tc>
          <w:tcPr>
            <w:tcW w:w="637" w:type="dxa"/>
          </w:tcPr>
          <w:p w14:paraId="0DFDC9ED" w14:textId="77777777" w:rsidR="00046465" w:rsidRDefault="008134EB">
            <w:pPr>
              <w:pStyle w:val="TableParagraph"/>
              <w:spacing w:before="206" w:line="187" w:lineRule="exact"/>
              <w:ind w:left="10"/>
              <w:jc w:val="center"/>
              <w:rPr>
                <w:sz w:val="18"/>
              </w:rPr>
            </w:pPr>
            <w:r>
              <w:rPr>
                <w:spacing w:val="-10"/>
                <w:sz w:val="18"/>
              </w:rPr>
              <w:t>2</w:t>
            </w:r>
          </w:p>
        </w:tc>
        <w:tc>
          <w:tcPr>
            <w:tcW w:w="720" w:type="dxa"/>
          </w:tcPr>
          <w:p w14:paraId="0DFDC9EE" w14:textId="77777777" w:rsidR="00046465" w:rsidRDefault="008134EB">
            <w:pPr>
              <w:pStyle w:val="TableParagraph"/>
              <w:spacing w:before="206" w:line="187" w:lineRule="exact"/>
              <w:ind w:left="9"/>
              <w:jc w:val="center"/>
              <w:rPr>
                <w:sz w:val="18"/>
              </w:rPr>
            </w:pPr>
            <w:r>
              <w:rPr>
                <w:spacing w:val="-10"/>
                <w:sz w:val="18"/>
              </w:rPr>
              <w:t>3</w:t>
            </w:r>
          </w:p>
        </w:tc>
        <w:tc>
          <w:tcPr>
            <w:tcW w:w="1440" w:type="dxa"/>
            <w:gridSpan w:val="2"/>
          </w:tcPr>
          <w:p w14:paraId="0DFDC9EF" w14:textId="77777777" w:rsidR="00046465" w:rsidRDefault="008134EB">
            <w:pPr>
              <w:pStyle w:val="TableParagraph"/>
              <w:spacing w:before="206" w:line="187" w:lineRule="exact"/>
              <w:ind w:left="9"/>
              <w:jc w:val="center"/>
              <w:rPr>
                <w:sz w:val="18"/>
              </w:rPr>
            </w:pPr>
            <w:r>
              <w:rPr>
                <w:spacing w:val="-10"/>
                <w:sz w:val="18"/>
              </w:rPr>
              <w:t>4</w:t>
            </w:r>
          </w:p>
        </w:tc>
        <w:tc>
          <w:tcPr>
            <w:tcW w:w="720" w:type="dxa"/>
          </w:tcPr>
          <w:p w14:paraId="0DFDC9F0" w14:textId="77777777" w:rsidR="00046465" w:rsidRDefault="008134EB">
            <w:pPr>
              <w:pStyle w:val="TableParagraph"/>
              <w:spacing w:before="206" w:line="187" w:lineRule="exact"/>
              <w:ind w:left="9"/>
              <w:jc w:val="center"/>
              <w:rPr>
                <w:sz w:val="18"/>
              </w:rPr>
            </w:pPr>
            <w:r>
              <w:rPr>
                <w:spacing w:val="-10"/>
                <w:sz w:val="18"/>
              </w:rPr>
              <w:t>5</w:t>
            </w:r>
          </w:p>
        </w:tc>
        <w:tc>
          <w:tcPr>
            <w:tcW w:w="1080" w:type="dxa"/>
          </w:tcPr>
          <w:p w14:paraId="0DFDC9F1" w14:textId="77777777" w:rsidR="00046465" w:rsidRDefault="008134EB">
            <w:pPr>
              <w:pStyle w:val="TableParagraph"/>
              <w:spacing w:before="206" w:line="187" w:lineRule="exact"/>
              <w:ind w:left="9"/>
              <w:jc w:val="center"/>
              <w:rPr>
                <w:sz w:val="18"/>
              </w:rPr>
            </w:pPr>
            <w:r>
              <w:rPr>
                <w:spacing w:val="-10"/>
                <w:sz w:val="18"/>
              </w:rPr>
              <w:t>6</w:t>
            </w:r>
          </w:p>
        </w:tc>
        <w:tc>
          <w:tcPr>
            <w:tcW w:w="3150" w:type="dxa"/>
            <w:gridSpan w:val="4"/>
          </w:tcPr>
          <w:p w14:paraId="0DFDC9F2" w14:textId="77777777" w:rsidR="00046465" w:rsidRDefault="008134EB">
            <w:pPr>
              <w:pStyle w:val="TableParagraph"/>
              <w:spacing w:before="206" w:line="187" w:lineRule="exact"/>
              <w:ind w:left="210" w:right="200"/>
              <w:jc w:val="center"/>
              <w:rPr>
                <w:sz w:val="18"/>
              </w:rPr>
            </w:pPr>
            <w:r>
              <w:rPr>
                <w:spacing w:val="-10"/>
                <w:sz w:val="18"/>
              </w:rPr>
              <w:t>7</w:t>
            </w:r>
          </w:p>
        </w:tc>
        <w:tc>
          <w:tcPr>
            <w:tcW w:w="1080" w:type="dxa"/>
          </w:tcPr>
          <w:p w14:paraId="0DFDC9F3" w14:textId="77777777" w:rsidR="00046465" w:rsidRDefault="008134EB">
            <w:pPr>
              <w:pStyle w:val="TableParagraph"/>
              <w:spacing w:before="206" w:line="187" w:lineRule="exact"/>
              <w:ind w:left="9"/>
              <w:jc w:val="center"/>
              <w:rPr>
                <w:sz w:val="18"/>
              </w:rPr>
            </w:pPr>
            <w:r>
              <w:rPr>
                <w:spacing w:val="-10"/>
                <w:sz w:val="18"/>
              </w:rPr>
              <w:t>8</w:t>
            </w:r>
          </w:p>
        </w:tc>
        <w:tc>
          <w:tcPr>
            <w:tcW w:w="540" w:type="dxa"/>
          </w:tcPr>
          <w:p w14:paraId="0DFDC9F4" w14:textId="77777777" w:rsidR="00046465" w:rsidRDefault="008134EB">
            <w:pPr>
              <w:pStyle w:val="TableParagraph"/>
              <w:spacing w:before="206" w:line="187" w:lineRule="exact"/>
              <w:ind w:left="9"/>
              <w:jc w:val="center"/>
              <w:rPr>
                <w:sz w:val="18"/>
              </w:rPr>
            </w:pPr>
            <w:r>
              <w:rPr>
                <w:spacing w:val="-10"/>
                <w:sz w:val="18"/>
              </w:rPr>
              <w:t>9</w:t>
            </w:r>
          </w:p>
        </w:tc>
        <w:tc>
          <w:tcPr>
            <w:tcW w:w="630" w:type="dxa"/>
          </w:tcPr>
          <w:p w14:paraId="0DFDC9F5" w14:textId="77777777" w:rsidR="00046465" w:rsidRDefault="008134EB">
            <w:pPr>
              <w:pStyle w:val="TableParagraph"/>
              <w:spacing w:before="206" w:line="187" w:lineRule="exact"/>
              <w:ind w:left="215"/>
              <w:rPr>
                <w:sz w:val="18"/>
              </w:rPr>
            </w:pPr>
            <w:r>
              <w:rPr>
                <w:spacing w:val="-5"/>
                <w:sz w:val="18"/>
              </w:rPr>
              <w:t>10</w:t>
            </w:r>
          </w:p>
        </w:tc>
        <w:tc>
          <w:tcPr>
            <w:tcW w:w="630" w:type="dxa"/>
          </w:tcPr>
          <w:p w14:paraId="0DFDC9F6" w14:textId="77777777" w:rsidR="00046465" w:rsidRDefault="008134EB">
            <w:pPr>
              <w:pStyle w:val="TableParagraph"/>
              <w:spacing w:before="206" w:line="187" w:lineRule="exact"/>
              <w:ind w:left="215"/>
              <w:rPr>
                <w:sz w:val="18"/>
              </w:rPr>
            </w:pPr>
            <w:r>
              <w:rPr>
                <w:spacing w:val="-5"/>
                <w:sz w:val="18"/>
              </w:rPr>
              <w:t>11</w:t>
            </w:r>
          </w:p>
        </w:tc>
        <w:tc>
          <w:tcPr>
            <w:tcW w:w="1170" w:type="dxa"/>
          </w:tcPr>
          <w:p w14:paraId="0DFDC9F7" w14:textId="77777777" w:rsidR="00046465" w:rsidRDefault="008134EB">
            <w:pPr>
              <w:pStyle w:val="TableParagraph"/>
              <w:spacing w:before="206" w:line="187" w:lineRule="exact"/>
              <w:ind w:left="119" w:right="110"/>
              <w:jc w:val="center"/>
              <w:rPr>
                <w:sz w:val="18"/>
              </w:rPr>
            </w:pPr>
            <w:r>
              <w:rPr>
                <w:spacing w:val="-5"/>
                <w:sz w:val="18"/>
              </w:rPr>
              <w:t>12</w:t>
            </w:r>
          </w:p>
        </w:tc>
        <w:tc>
          <w:tcPr>
            <w:tcW w:w="1260" w:type="dxa"/>
          </w:tcPr>
          <w:p w14:paraId="0DFDC9F8" w14:textId="77777777" w:rsidR="00046465" w:rsidRDefault="008134EB">
            <w:pPr>
              <w:pStyle w:val="TableParagraph"/>
              <w:spacing w:before="206" w:line="187" w:lineRule="exact"/>
              <w:ind w:left="7"/>
              <w:jc w:val="center"/>
              <w:rPr>
                <w:sz w:val="18"/>
              </w:rPr>
            </w:pPr>
            <w:r>
              <w:rPr>
                <w:spacing w:val="-5"/>
                <w:sz w:val="18"/>
              </w:rPr>
              <w:t>13</w:t>
            </w:r>
          </w:p>
        </w:tc>
        <w:tc>
          <w:tcPr>
            <w:tcW w:w="1890" w:type="dxa"/>
          </w:tcPr>
          <w:p w14:paraId="0DFDC9F9" w14:textId="77777777" w:rsidR="00046465" w:rsidRDefault="008134EB">
            <w:pPr>
              <w:pStyle w:val="TableParagraph"/>
              <w:spacing w:before="206" w:line="187" w:lineRule="exact"/>
              <w:ind w:left="9"/>
              <w:jc w:val="center"/>
              <w:rPr>
                <w:sz w:val="18"/>
              </w:rPr>
            </w:pPr>
            <w:r>
              <w:rPr>
                <w:spacing w:val="-5"/>
                <w:sz w:val="18"/>
              </w:rPr>
              <w:t>14</w:t>
            </w:r>
          </w:p>
        </w:tc>
        <w:tc>
          <w:tcPr>
            <w:tcW w:w="900" w:type="dxa"/>
          </w:tcPr>
          <w:p w14:paraId="0DFDC9FA" w14:textId="77777777" w:rsidR="00046465" w:rsidRDefault="008134EB">
            <w:pPr>
              <w:pStyle w:val="TableParagraph"/>
              <w:spacing w:before="206" w:line="187" w:lineRule="exact"/>
              <w:ind w:left="7"/>
              <w:jc w:val="center"/>
              <w:rPr>
                <w:sz w:val="18"/>
              </w:rPr>
            </w:pPr>
            <w:r>
              <w:rPr>
                <w:spacing w:val="-5"/>
                <w:sz w:val="18"/>
              </w:rPr>
              <w:t>15</w:t>
            </w:r>
          </w:p>
        </w:tc>
        <w:tc>
          <w:tcPr>
            <w:tcW w:w="630" w:type="dxa"/>
          </w:tcPr>
          <w:p w14:paraId="0DFDC9FB" w14:textId="77777777" w:rsidR="00046465" w:rsidRDefault="008134EB">
            <w:pPr>
              <w:pStyle w:val="TableParagraph"/>
              <w:spacing w:before="206" w:line="187" w:lineRule="exact"/>
              <w:ind w:left="215"/>
              <w:rPr>
                <w:sz w:val="18"/>
              </w:rPr>
            </w:pPr>
            <w:r>
              <w:rPr>
                <w:spacing w:val="-5"/>
                <w:sz w:val="18"/>
              </w:rPr>
              <w:t>16</w:t>
            </w:r>
          </w:p>
        </w:tc>
        <w:tc>
          <w:tcPr>
            <w:tcW w:w="1800" w:type="dxa"/>
          </w:tcPr>
          <w:p w14:paraId="0DFDC9FC" w14:textId="77777777" w:rsidR="00046465" w:rsidRDefault="008134EB">
            <w:pPr>
              <w:pStyle w:val="TableParagraph"/>
              <w:spacing w:before="206" w:line="187" w:lineRule="exact"/>
              <w:ind w:left="7"/>
              <w:jc w:val="center"/>
              <w:rPr>
                <w:sz w:val="18"/>
              </w:rPr>
            </w:pPr>
            <w:r>
              <w:rPr>
                <w:spacing w:val="-5"/>
                <w:sz w:val="18"/>
              </w:rPr>
              <w:t>17</w:t>
            </w:r>
          </w:p>
        </w:tc>
        <w:tc>
          <w:tcPr>
            <w:tcW w:w="540" w:type="dxa"/>
          </w:tcPr>
          <w:p w14:paraId="0DFDC9FD" w14:textId="77777777" w:rsidR="00046465" w:rsidRDefault="008134EB">
            <w:pPr>
              <w:pStyle w:val="TableParagraph"/>
              <w:spacing w:before="206" w:line="187" w:lineRule="exact"/>
              <w:ind w:left="169"/>
              <w:rPr>
                <w:sz w:val="18"/>
              </w:rPr>
            </w:pPr>
            <w:r>
              <w:rPr>
                <w:spacing w:val="-5"/>
                <w:sz w:val="18"/>
              </w:rPr>
              <w:t>18</w:t>
            </w:r>
          </w:p>
        </w:tc>
        <w:tc>
          <w:tcPr>
            <w:tcW w:w="1440" w:type="dxa"/>
          </w:tcPr>
          <w:p w14:paraId="0DFDC9FE" w14:textId="77777777" w:rsidR="00046465" w:rsidRDefault="008134EB">
            <w:pPr>
              <w:pStyle w:val="TableParagraph"/>
              <w:spacing w:before="206" w:line="187" w:lineRule="exact"/>
              <w:ind w:left="9" w:right="2"/>
              <w:jc w:val="center"/>
              <w:rPr>
                <w:sz w:val="18"/>
              </w:rPr>
            </w:pPr>
            <w:r>
              <w:rPr>
                <w:spacing w:val="-5"/>
                <w:sz w:val="18"/>
              </w:rPr>
              <w:t>19</w:t>
            </w:r>
          </w:p>
        </w:tc>
        <w:tc>
          <w:tcPr>
            <w:tcW w:w="630" w:type="dxa"/>
          </w:tcPr>
          <w:p w14:paraId="0DFDC9FF" w14:textId="77777777" w:rsidR="00046465" w:rsidRDefault="008134EB">
            <w:pPr>
              <w:pStyle w:val="TableParagraph"/>
              <w:spacing w:before="206" w:line="187" w:lineRule="exact"/>
              <w:ind w:left="215"/>
              <w:rPr>
                <w:sz w:val="18"/>
              </w:rPr>
            </w:pPr>
            <w:r>
              <w:rPr>
                <w:spacing w:val="-5"/>
                <w:sz w:val="18"/>
              </w:rPr>
              <w:t>20</w:t>
            </w:r>
          </w:p>
        </w:tc>
      </w:tr>
      <w:tr w:rsidR="00046465" w14:paraId="0DFDCA1C" w14:textId="77777777">
        <w:trPr>
          <w:trHeight w:val="1295"/>
        </w:trPr>
        <w:tc>
          <w:tcPr>
            <w:tcW w:w="1075" w:type="dxa"/>
            <w:vMerge w:val="restart"/>
            <w:textDirection w:val="btLr"/>
          </w:tcPr>
          <w:p w14:paraId="0DFDCA01" w14:textId="77777777" w:rsidR="00046465" w:rsidRDefault="008134EB">
            <w:pPr>
              <w:pStyle w:val="TableParagraph"/>
              <w:spacing w:before="117" w:line="247" w:lineRule="auto"/>
              <w:ind w:left="112" w:right="111"/>
              <w:jc w:val="center"/>
              <w:rPr>
                <w:sz w:val="16"/>
              </w:rPr>
            </w:pPr>
            <w:r>
              <w:rPr>
                <w:sz w:val="16"/>
              </w:rPr>
              <w:t>Fiscal</w:t>
            </w:r>
            <w:r>
              <w:rPr>
                <w:spacing w:val="-8"/>
                <w:sz w:val="16"/>
              </w:rPr>
              <w:t xml:space="preserve"> </w:t>
            </w:r>
            <w:r>
              <w:rPr>
                <w:sz w:val="16"/>
              </w:rPr>
              <w:t>Service</w:t>
            </w:r>
            <w:r>
              <w:rPr>
                <w:spacing w:val="-9"/>
                <w:sz w:val="16"/>
              </w:rPr>
              <w:t xml:space="preserve"> </w:t>
            </w:r>
            <w:r>
              <w:rPr>
                <w:sz w:val="16"/>
              </w:rPr>
              <w:t>reference</w:t>
            </w:r>
            <w:r>
              <w:rPr>
                <w:spacing w:val="-9"/>
                <w:sz w:val="16"/>
              </w:rPr>
              <w:t xml:space="preserve"> </w:t>
            </w:r>
            <w:r>
              <w:rPr>
                <w:sz w:val="16"/>
              </w:rPr>
              <w:t>key,</w:t>
            </w:r>
            <w:r>
              <w:rPr>
                <w:spacing w:val="-9"/>
                <w:sz w:val="16"/>
              </w:rPr>
              <w:t xml:space="preserve"> </w:t>
            </w:r>
            <w:r>
              <w:rPr>
                <w:sz w:val="16"/>
              </w:rPr>
              <w:t>if</w:t>
            </w:r>
            <w:r>
              <w:rPr>
                <w:spacing w:val="-9"/>
                <w:sz w:val="16"/>
              </w:rPr>
              <w:t xml:space="preserve"> </w:t>
            </w:r>
            <w:r>
              <w:rPr>
                <w:sz w:val="16"/>
              </w:rPr>
              <w:t>a significant entity</w:t>
            </w:r>
          </w:p>
          <w:p w14:paraId="0DFDCA02" w14:textId="77777777" w:rsidR="00046465" w:rsidRDefault="008134EB">
            <w:pPr>
              <w:pStyle w:val="TableParagraph"/>
              <w:spacing w:line="247" w:lineRule="auto"/>
              <w:ind w:left="111" w:right="112"/>
              <w:jc w:val="center"/>
              <w:rPr>
                <w:sz w:val="16"/>
              </w:rPr>
            </w:pPr>
            <w:r>
              <w:rPr>
                <w:sz w:val="16"/>
              </w:rPr>
              <w:t>(</w:t>
            </w:r>
            <w:r>
              <w:rPr>
                <w:i/>
                <w:sz w:val="16"/>
              </w:rPr>
              <w:t>must</w:t>
            </w:r>
            <w:r>
              <w:rPr>
                <w:i/>
                <w:spacing w:val="-8"/>
                <w:sz w:val="16"/>
              </w:rPr>
              <w:t xml:space="preserve"> </w:t>
            </w:r>
            <w:r>
              <w:rPr>
                <w:i/>
                <w:sz w:val="16"/>
              </w:rPr>
              <w:t>correspond</w:t>
            </w:r>
            <w:r>
              <w:rPr>
                <w:i/>
                <w:spacing w:val="-8"/>
                <w:sz w:val="16"/>
              </w:rPr>
              <w:t xml:space="preserve"> </w:t>
            </w:r>
            <w:r>
              <w:rPr>
                <w:i/>
                <w:sz w:val="16"/>
              </w:rPr>
              <w:t>to</w:t>
            </w:r>
            <w:r>
              <w:rPr>
                <w:i/>
                <w:spacing w:val="-8"/>
                <w:sz w:val="16"/>
              </w:rPr>
              <w:t xml:space="preserve"> </w:t>
            </w:r>
            <w:r>
              <w:rPr>
                <w:i/>
                <w:sz w:val="16"/>
              </w:rPr>
              <w:t>same</w:t>
            </w:r>
            <w:r>
              <w:rPr>
                <w:i/>
                <w:spacing w:val="-8"/>
                <w:sz w:val="16"/>
              </w:rPr>
              <w:t xml:space="preserve"> </w:t>
            </w:r>
            <w:r>
              <w:rPr>
                <w:i/>
                <w:sz w:val="16"/>
              </w:rPr>
              <w:t>case</w:t>
            </w:r>
            <w:r>
              <w:rPr>
                <w:i/>
                <w:spacing w:val="-8"/>
                <w:sz w:val="16"/>
              </w:rPr>
              <w:t xml:space="preserve"> </w:t>
            </w:r>
            <w:r>
              <w:rPr>
                <w:i/>
                <w:sz w:val="16"/>
              </w:rPr>
              <w:t>from interim to final</w:t>
            </w:r>
            <w:r>
              <w:rPr>
                <w:sz w:val="16"/>
              </w:rPr>
              <w:t>)</w:t>
            </w:r>
          </w:p>
        </w:tc>
        <w:tc>
          <w:tcPr>
            <w:tcW w:w="637" w:type="dxa"/>
            <w:vMerge w:val="restart"/>
            <w:textDirection w:val="btLr"/>
          </w:tcPr>
          <w:p w14:paraId="0DFDCA03" w14:textId="77777777" w:rsidR="00046465" w:rsidRDefault="008134EB">
            <w:pPr>
              <w:pStyle w:val="TableParagraph"/>
              <w:spacing w:before="117"/>
              <w:ind w:left="836"/>
              <w:rPr>
                <w:sz w:val="16"/>
              </w:rPr>
            </w:pPr>
            <w:r>
              <w:rPr>
                <w:sz w:val="16"/>
              </w:rPr>
              <w:t>Entity</w:t>
            </w:r>
            <w:r>
              <w:rPr>
                <w:spacing w:val="-8"/>
                <w:sz w:val="16"/>
              </w:rPr>
              <w:t xml:space="preserve"> </w:t>
            </w:r>
            <w:r>
              <w:rPr>
                <w:sz w:val="16"/>
              </w:rPr>
              <w:t>reference</w:t>
            </w:r>
            <w:r>
              <w:rPr>
                <w:spacing w:val="-6"/>
                <w:sz w:val="16"/>
              </w:rPr>
              <w:t xml:space="preserve"> </w:t>
            </w:r>
            <w:r>
              <w:rPr>
                <w:spacing w:val="-5"/>
                <w:sz w:val="16"/>
              </w:rPr>
              <w:t>key</w:t>
            </w:r>
          </w:p>
        </w:tc>
        <w:tc>
          <w:tcPr>
            <w:tcW w:w="720" w:type="dxa"/>
            <w:vMerge w:val="restart"/>
            <w:textDirection w:val="btLr"/>
          </w:tcPr>
          <w:p w14:paraId="0DFDCA04" w14:textId="77777777" w:rsidR="00046465" w:rsidRDefault="008134EB">
            <w:pPr>
              <w:pStyle w:val="TableParagraph"/>
              <w:spacing w:before="117" w:line="244" w:lineRule="auto"/>
              <w:ind w:left="1066" w:right="581" w:hanging="40"/>
              <w:rPr>
                <w:sz w:val="16"/>
              </w:rPr>
            </w:pPr>
            <w:r>
              <w:rPr>
                <w:sz w:val="16"/>
              </w:rPr>
              <w:t>Name</w:t>
            </w:r>
            <w:r>
              <w:rPr>
                <w:spacing w:val="-12"/>
                <w:sz w:val="16"/>
              </w:rPr>
              <w:t xml:space="preserve"> </w:t>
            </w:r>
            <w:r>
              <w:rPr>
                <w:sz w:val="16"/>
              </w:rPr>
              <w:t>of</w:t>
            </w:r>
            <w:r>
              <w:rPr>
                <w:spacing w:val="-11"/>
                <w:sz w:val="16"/>
              </w:rPr>
              <w:t xml:space="preserve"> </w:t>
            </w:r>
            <w:r>
              <w:rPr>
                <w:sz w:val="16"/>
              </w:rPr>
              <w:t>case/ related</w:t>
            </w:r>
            <w:r>
              <w:rPr>
                <w:spacing w:val="-11"/>
                <w:sz w:val="16"/>
              </w:rPr>
              <w:t xml:space="preserve"> </w:t>
            </w:r>
            <w:r>
              <w:rPr>
                <w:spacing w:val="-2"/>
                <w:sz w:val="16"/>
              </w:rPr>
              <w:t>cases</w:t>
            </w:r>
          </w:p>
        </w:tc>
        <w:tc>
          <w:tcPr>
            <w:tcW w:w="720" w:type="dxa"/>
            <w:vMerge w:val="restart"/>
            <w:textDirection w:val="btLr"/>
          </w:tcPr>
          <w:p w14:paraId="0DFDCA05" w14:textId="77777777" w:rsidR="00046465" w:rsidRDefault="008134EB">
            <w:pPr>
              <w:pStyle w:val="TableParagraph"/>
              <w:spacing w:before="117" w:line="244" w:lineRule="auto"/>
              <w:ind w:left="506" w:right="335" w:firstLine="200"/>
              <w:rPr>
                <w:sz w:val="16"/>
              </w:rPr>
            </w:pPr>
            <w:r>
              <w:rPr>
                <w:sz w:val="16"/>
              </w:rPr>
              <w:t>(a) Type of contingency (legal</w:t>
            </w:r>
            <w:r>
              <w:rPr>
                <w:spacing w:val="-12"/>
                <w:sz w:val="16"/>
              </w:rPr>
              <w:t xml:space="preserve"> </w:t>
            </w:r>
            <w:r>
              <w:rPr>
                <w:sz w:val="16"/>
              </w:rPr>
              <w:t>or</w:t>
            </w:r>
            <w:r>
              <w:rPr>
                <w:spacing w:val="-11"/>
                <w:sz w:val="16"/>
              </w:rPr>
              <w:t xml:space="preserve"> </w:t>
            </w:r>
            <w:r>
              <w:rPr>
                <w:sz w:val="16"/>
              </w:rPr>
              <w:t>legal-environmental)</w:t>
            </w:r>
          </w:p>
        </w:tc>
        <w:tc>
          <w:tcPr>
            <w:tcW w:w="720" w:type="dxa"/>
            <w:vMerge w:val="restart"/>
            <w:textDirection w:val="btLr"/>
          </w:tcPr>
          <w:p w14:paraId="0DFDCA06" w14:textId="77777777" w:rsidR="00046465" w:rsidRDefault="008134EB">
            <w:pPr>
              <w:pStyle w:val="TableParagraph"/>
              <w:spacing w:before="117"/>
              <w:ind w:left="466"/>
              <w:rPr>
                <w:sz w:val="16"/>
              </w:rPr>
            </w:pPr>
            <w:r>
              <w:rPr>
                <w:sz w:val="16"/>
              </w:rPr>
              <w:t>(b)</w:t>
            </w:r>
            <w:r>
              <w:rPr>
                <w:spacing w:val="-7"/>
                <w:sz w:val="16"/>
              </w:rPr>
              <w:t xml:space="preserve"> </w:t>
            </w:r>
            <w:r>
              <w:rPr>
                <w:sz w:val="16"/>
              </w:rPr>
              <w:t>Description</w:t>
            </w:r>
            <w:r>
              <w:rPr>
                <w:spacing w:val="-6"/>
                <w:sz w:val="16"/>
              </w:rPr>
              <w:t xml:space="preserve"> </w:t>
            </w:r>
            <w:r>
              <w:rPr>
                <w:sz w:val="16"/>
              </w:rPr>
              <w:t>of</w:t>
            </w:r>
            <w:r>
              <w:rPr>
                <w:spacing w:val="-5"/>
                <w:sz w:val="16"/>
              </w:rPr>
              <w:t xml:space="preserve"> </w:t>
            </w:r>
            <w:r>
              <w:rPr>
                <w:spacing w:val="-2"/>
                <w:sz w:val="16"/>
              </w:rPr>
              <w:t>Contingency</w:t>
            </w:r>
          </w:p>
        </w:tc>
        <w:tc>
          <w:tcPr>
            <w:tcW w:w="720" w:type="dxa"/>
            <w:vMerge w:val="restart"/>
            <w:textDirection w:val="btLr"/>
          </w:tcPr>
          <w:p w14:paraId="0DFDCA07" w14:textId="77777777" w:rsidR="00046465" w:rsidRDefault="008134EB">
            <w:pPr>
              <w:pStyle w:val="TableParagraph"/>
              <w:spacing w:before="117"/>
              <w:ind w:left="969"/>
              <w:rPr>
                <w:sz w:val="16"/>
              </w:rPr>
            </w:pPr>
            <w:r>
              <w:rPr>
                <w:sz w:val="16"/>
              </w:rPr>
              <w:t>Amount</w:t>
            </w:r>
            <w:r>
              <w:rPr>
                <w:spacing w:val="-7"/>
                <w:sz w:val="16"/>
              </w:rPr>
              <w:t xml:space="preserve"> </w:t>
            </w:r>
            <w:r>
              <w:rPr>
                <w:spacing w:val="-2"/>
                <w:sz w:val="16"/>
              </w:rPr>
              <w:t>claimed</w:t>
            </w:r>
          </w:p>
        </w:tc>
        <w:tc>
          <w:tcPr>
            <w:tcW w:w="1080" w:type="dxa"/>
            <w:vMerge w:val="restart"/>
            <w:textDirection w:val="btLr"/>
          </w:tcPr>
          <w:p w14:paraId="0DFDCA08" w14:textId="77777777" w:rsidR="00046465" w:rsidRDefault="008134EB">
            <w:pPr>
              <w:pStyle w:val="TableParagraph"/>
              <w:spacing w:before="117" w:line="247" w:lineRule="auto"/>
              <w:ind w:left="773" w:right="771" w:hanging="2"/>
              <w:jc w:val="center"/>
              <w:rPr>
                <w:sz w:val="16"/>
              </w:rPr>
            </w:pPr>
            <w:r>
              <w:rPr>
                <w:sz w:val="16"/>
              </w:rPr>
              <w:t xml:space="preserve">Likelihood of loss </w:t>
            </w:r>
            <w:r>
              <w:rPr>
                <w:spacing w:val="-2"/>
                <w:sz w:val="16"/>
              </w:rPr>
              <w:t>Probable/</w:t>
            </w:r>
            <w:r>
              <w:rPr>
                <w:spacing w:val="40"/>
                <w:sz w:val="16"/>
              </w:rPr>
              <w:t xml:space="preserve"> </w:t>
            </w:r>
            <w:r>
              <w:rPr>
                <w:sz w:val="16"/>
              </w:rPr>
              <w:t>Reasonably</w:t>
            </w:r>
            <w:r>
              <w:rPr>
                <w:spacing w:val="-12"/>
                <w:sz w:val="16"/>
              </w:rPr>
              <w:t xml:space="preserve"> </w:t>
            </w:r>
            <w:r>
              <w:rPr>
                <w:sz w:val="16"/>
              </w:rPr>
              <w:t xml:space="preserve">Possible/ </w:t>
            </w:r>
            <w:r>
              <w:rPr>
                <w:spacing w:val="-2"/>
                <w:sz w:val="16"/>
              </w:rPr>
              <w:t>Remote/</w:t>
            </w:r>
          </w:p>
          <w:p w14:paraId="0DFDCA09" w14:textId="77777777" w:rsidR="00046465" w:rsidRDefault="008134EB">
            <w:pPr>
              <w:pStyle w:val="TableParagraph"/>
              <w:spacing w:line="174" w:lineRule="exact"/>
              <w:ind w:left="111" w:right="112"/>
              <w:jc w:val="center"/>
              <w:rPr>
                <w:sz w:val="16"/>
              </w:rPr>
            </w:pPr>
            <w:r>
              <w:rPr>
                <w:sz w:val="16"/>
              </w:rPr>
              <w:t>Unable</w:t>
            </w:r>
            <w:r>
              <w:rPr>
                <w:spacing w:val="-7"/>
                <w:sz w:val="16"/>
              </w:rPr>
              <w:t xml:space="preserve"> </w:t>
            </w:r>
            <w:r>
              <w:rPr>
                <w:sz w:val="16"/>
              </w:rPr>
              <w:t>to</w:t>
            </w:r>
            <w:r>
              <w:rPr>
                <w:spacing w:val="-7"/>
                <w:sz w:val="16"/>
              </w:rPr>
              <w:t xml:space="preserve"> </w:t>
            </w:r>
            <w:r>
              <w:rPr>
                <w:spacing w:val="-2"/>
                <w:sz w:val="16"/>
              </w:rPr>
              <w:t>Determine</w:t>
            </w:r>
          </w:p>
        </w:tc>
        <w:tc>
          <w:tcPr>
            <w:tcW w:w="3150" w:type="dxa"/>
            <w:gridSpan w:val="4"/>
          </w:tcPr>
          <w:p w14:paraId="0DFDCA0A" w14:textId="77777777" w:rsidR="00046465" w:rsidRDefault="008134EB">
            <w:pPr>
              <w:pStyle w:val="TableParagraph"/>
              <w:ind w:left="210" w:right="199"/>
              <w:jc w:val="center"/>
              <w:rPr>
                <w:sz w:val="16"/>
              </w:rPr>
            </w:pPr>
            <w:r>
              <w:rPr>
                <w:sz w:val="16"/>
              </w:rPr>
              <w:t>Estimated</w:t>
            </w:r>
            <w:r>
              <w:rPr>
                <w:spacing w:val="-10"/>
                <w:sz w:val="16"/>
              </w:rPr>
              <w:t xml:space="preserve"> </w:t>
            </w:r>
            <w:r>
              <w:rPr>
                <w:sz w:val="16"/>
              </w:rPr>
              <w:t>Amount</w:t>
            </w:r>
            <w:r>
              <w:rPr>
                <w:spacing w:val="-10"/>
                <w:sz w:val="16"/>
              </w:rPr>
              <w:t xml:space="preserve"> </w:t>
            </w:r>
            <w:r>
              <w:rPr>
                <w:sz w:val="16"/>
              </w:rPr>
              <w:t>or</w:t>
            </w:r>
            <w:r>
              <w:rPr>
                <w:spacing w:val="-10"/>
                <w:sz w:val="16"/>
              </w:rPr>
              <w:t xml:space="preserve"> </w:t>
            </w:r>
            <w:r>
              <w:rPr>
                <w:sz w:val="16"/>
              </w:rPr>
              <w:t>Range</w:t>
            </w:r>
            <w:r>
              <w:rPr>
                <w:spacing w:val="-10"/>
                <w:sz w:val="16"/>
              </w:rPr>
              <w:t xml:space="preserve"> </w:t>
            </w:r>
            <w:r>
              <w:rPr>
                <w:sz w:val="16"/>
              </w:rPr>
              <w:t>of Potential Loss</w:t>
            </w:r>
          </w:p>
          <w:p w14:paraId="0DFDCA0B" w14:textId="77777777" w:rsidR="00046465" w:rsidRDefault="008134EB">
            <w:pPr>
              <w:pStyle w:val="TableParagraph"/>
              <w:ind w:left="86" w:right="76"/>
              <w:jc w:val="center"/>
              <w:rPr>
                <w:sz w:val="16"/>
              </w:rPr>
            </w:pPr>
            <w:r>
              <w:rPr>
                <w:sz w:val="16"/>
              </w:rPr>
              <w:t>[</w:t>
            </w:r>
            <w:r>
              <w:rPr>
                <w:i/>
                <w:sz w:val="16"/>
              </w:rPr>
              <w:t>enter</w:t>
            </w:r>
            <w:r>
              <w:rPr>
                <w:i/>
                <w:spacing w:val="-6"/>
                <w:sz w:val="16"/>
              </w:rPr>
              <w:t xml:space="preserve"> </w:t>
            </w:r>
            <w:r>
              <w:rPr>
                <w:i/>
                <w:sz w:val="16"/>
              </w:rPr>
              <w:t>single</w:t>
            </w:r>
            <w:r>
              <w:rPr>
                <w:i/>
                <w:spacing w:val="-6"/>
                <w:sz w:val="16"/>
              </w:rPr>
              <w:t xml:space="preserve"> </w:t>
            </w:r>
            <w:r>
              <w:rPr>
                <w:i/>
                <w:sz w:val="16"/>
              </w:rPr>
              <w:t>amount</w:t>
            </w:r>
            <w:r>
              <w:rPr>
                <w:i/>
                <w:spacing w:val="-6"/>
                <w:sz w:val="16"/>
              </w:rPr>
              <w:t xml:space="preserve"> </w:t>
            </w:r>
            <w:r>
              <w:rPr>
                <w:i/>
                <w:sz w:val="16"/>
              </w:rPr>
              <w:t>in</w:t>
            </w:r>
            <w:r>
              <w:rPr>
                <w:i/>
                <w:spacing w:val="-6"/>
                <w:sz w:val="16"/>
              </w:rPr>
              <w:t xml:space="preserve"> </w:t>
            </w:r>
            <w:r>
              <w:rPr>
                <w:i/>
                <w:sz w:val="16"/>
              </w:rPr>
              <w:t>dollars,</w:t>
            </w:r>
            <w:r>
              <w:rPr>
                <w:i/>
                <w:spacing w:val="-6"/>
                <w:sz w:val="16"/>
              </w:rPr>
              <w:t xml:space="preserve"> </w:t>
            </w:r>
            <w:r>
              <w:rPr>
                <w:i/>
                <w:sz w:val="16"/>
              </w:rPr>
              <w:t>or</w:t>
            </w:r>
            <w:r>
              <w:rPr>
                <w:i/>
                <w:spacing w:val="-5"/>
                <w:sz w:val="16"/>
              </w:rPr>
              <w:t xml:space="preserve"> </w:t>
            </w:r>
            <w:r>
              <w:rPr>
                <w:i/>
                <w:sz w:val="16"/>
              </w:rPr>
              <w:t>"U"</w:t>
            </w:r>
            <w:r>
              <w:rPr>
                <w:i/>
                <w:spacing w:val="-6"/>
                <w:sz w:val="16"/>
              </w:rPr>
              <w:t xml:space="preserve"> </w:t>
            </w:r>
            <w:r>
              <w:rPr>
                <w:i/>
                <w:sz w:val="16"/>
              </w:rPr>
              <w:t>in last column if Unknown</w:t>
            </w:r>
            <w:r>
              <w:rPr>
                <w:sz w:val="16"/>
              </w:rPr>
              <w:t>]</w:t>
            </w:r>
          </w:p>
        </w:tc>
        <w:tc>
          <w:tcPr>
            <w:tcW w:w="1080" w:type="dxa"/>
            <w:vMerge w:val="restart"/>
            <w:textDirection w:val="btLr"/>
          </w:tcPr>
          <w:p w14:paraId="0DFDCA0C" w14:textId="77777777" w:rsidR="00046465" w:rsidRDefault="008134EB">
            <w:pPr>
              <w:pStyle w:val="TableParagraph"/>
              <w:spacing w:before="117" w:line="247" w:lineRule="auto"/>
              <w:ind w:left="111" w:right="111"/>
              <w:jc w:val="center"/>
              <w:rPr>
                <w:sz w:val="16"/>
              </w:rPr>
            </w:pPr>
            <w:r>
              <w:rPr>
                <w:sz w:val="16"/>
              </w:rPr>
              <w:t>Is assessment of case(s) on the management</w:t>
            </w:r>
            <w:r>
              <w:rPr>
                <w:spacing w:val="-12"/>
                <w:sz w:val="16"/>
              </w:rPr>
              <w:t xml:space="preserve"> </w:t>
            </w:r>
            <w:r>
              <w:rPr>
                <w:sz w:val="16"/>
              </w:rPr>
              <w:t>schedule</w:t>
            </w:r>
            <w:r>
              <w:rPr>
                <w:spacing w:val="-11"/>
                <w:sz w:val="16"/>
              </w:rPr>
              <w:t xml:space="preserve"> </w:t>
            </w:r>
            <w:r>
              <w:rPr>
                <w:sz w:val="16"/>
              </w:rPr>
              <w:t>consistent</w:t>
            </w:r>
            <w:r>
              <w:rPr>
                <w:spacing w:val="-11"/>
                <w:sz w:val="16"/>
              </w:rPr>
              <w:t xml:space="preserve"> </w:t>
            </w:r>
            <w:r>
              <w:rPr>
                <w:sz w:val="16"/>
              </w:rPr>
              <w:t>with the assessment of case(s) by general counsel in the supporting interim or</w:t>
            </w:r>
          </w:p>
          <w:p w14:paraId="0DFDCA0D" w14:textId="77777777" w:rsidR="00046465" w:rsidRDefault="008134EB">
            <w:pPr>
              <w:pStyle w:val="TableParagraph"/>
              <w:spacing w:line="174" w:lineRule="exact"/>
              <w:ind w:left="111" w:right="112"/>
              <w:jc w:val="center"/>
              <w:rPr>
                <w:sz w:val="16"/>
              </w:rPr>
            </w:pPr>
            <w:r>
              <w:rPr>
                <w:sz w:val="16"/>
              </w:rPr>
              <w:t>updated</w:t>
            </w:r>
            <w:r>
              <w:rPr>
                <w:spacing w:val="-8"/>
                <w:sz w:val="16"/>
              </w:rPr>
              <w:t xml:space="preserve"> </w:t>
            </w:r>
            <w:r>
              <w:rPr>
                <w:sz w:val="16"/>
              </w:rPr>
              <w:t>legal</w:t>
            </w:r>
            <w:r>
              <w:rPr>
                <w:spacing w:val="-8"/>
                <w:sz w:val="16"/>
              </w:rPr>
              <w:t xml:space="preserve"> </w:t>
            </w:r>
            <w:r>
              <w:rPr>
                <w:sz w:val="16"/>
              </w:rPr>
              <w:t>counsel</w:t>
            </w:r>
            <w:r>
              <w:rPr>
                <w:spacing w:val="-8"/>
                <w:sz w:val="16"/>
              </w:rPr>
              <w:t xml:space="preserve"> </w:t>
            </w:r>
            <w:r>
              <w:rPr>
                <w:spacing w:val="-2"/>
                <w:sz w:val="16"/>
              </w:rPr>
              <w:t>response?</w:t>
            </w:r>
          </w:p>
        </w:tc>
        <w:tc>
          <w:tcPr>
            <w:tcW w:w="540" w:type="dxa"/>
            <w:vMerge w:val="restart"/>
            <w:textDirection w:val="btLr"/>
          </w:tcPr>
          <w:p w14:paraId="0DFDCA0E" w14:textId="77777777" w:rsidR="00046465" w:rsidRDefault="008134EB">
            <w:pPr>
              <w:pStyle w:val="TableParagraph"/>
              <w:spacing w:before="117" w:line="244" w:lineRule="auto"/>
              <w:ind w:left="324" w:firstLine="204"/>
              <w:rPr>
                <w:sz w:val="16"/>
              </w:rPr>
            </w:pPr>
            <w:r>
              <w:rPr>
                <w:sz w:val="16"/>
              </w:rPr>
              <w:t>Provide a brief description of inconsistencies</w:t>
            </w:r>
            <w:r>
              <w:rPr>
                <w:spacing w:val="-10"/>
                <w:sz w:val="16"/>
              </w:rPr>
              <w:t xml:space="preserve"> </w:t>
            </w:r>
            <w:r>
              <w:rPr>
                <w:sz w:val="16"/>
              </w:rPr>
              <w:t>noted</w:t>
            </w:r>
            <w:r>
              <w:rPr>
                <w:spacing w:val="-10"/>
                <w:sz w:val="16"/>
              </w:rPr>
              <w:t xml:space="preserve"> </w:t>
            </w:r>
            <w:r>
              <w:rPr>
                <w:sz w:val="16"/>
              </w:rPr>
              <w:t>in</w:t>
            </w:r>
            <w:r>
              <w:rPr>
                <w:spacing w:val="-10"/>
                <w:sz w:val="16"/>
              </w:rPr>
              <w:t xml:space="preserve"> </w:t>
            </w:r>
            <w:r>
              <w:rPr>
                <w:sz w:val="16"/>
              </w:rPr>
              <w:t>column</w:t>
            </w:r>
            <w:r>
              <w:rPr>
                <w:spacing w:val="-10"/>
                <w:sz w:val="16"/>
              </w:rPr>
              <w:t xml:space="preserve"> </w:t>
            </w:r>
            <w:r>
              <w:rPr>
                <w:sz w:val="16"/>
              </w:rPr>
              <w:t>8.</w:t>
            </w:r>
          </w:p>
        </w:tc>
        <w:tc>
          <w:tcPr>
            <w:tcW w:w="630" w:type="dxa"/>
            <w:vMerge w:val="restart"/>
            <w:textDirection w:val="btLr"/>
          </w:tcPr>
          <w:p w14:paraId="0DFDCA0F" w14:textId="77777777" w:rsidR="00046465" w:rsidRDefault="008134EB">
            <w:pPr>
              <w:pStyle w:val="TableParagraph"/>
              <w:spacing w:before="117" w:line="244" w:lineRule="auto"/>
              <w:ind w:left="629" w:right="188" w:hanging="441"/>
              <w:rPr>
                <w:sz w:val="16"/>
              </w:rPr>
            </w:pPr>
            <w:r>
              <w:rPr>
                <w:sz w:val="16"/>
              </w:rPr>
              <w:t>Is</w:t>
            </w:r>
            <w:r>
              <w:rPr>
                <w:spacing w:val="-6"/>
                <w:sz w:val="16"/>
              </w:rPr>
              <w:t xml:space="preserve"> </w:t>
            </w:r>
            <w:r>
              <w:rPr>
                <w:sz w:val="16"/>
              </w:rPr>
              <w:t>the</w:t>
            </w:r>
            <w:r>
              <w:rPr>
                <w:spacing w:val="-7"/>
                <w:sz w:val="16"/>
              </w:rPr>
              <w:t xml:space="preserve"> </w:t>
            </w:r>
            <w:r>
              <w:rPr>
                <w:sz w:val="16"/>
              </w:rPr>
              <w:t>legal</w:t>
            </w:r>
            <w:r>
              <w:rPr>
                <w:spacing w:val="-6"/>
                <w:sz w:val="16"/>
              </w:rPr>
              <w:t xml:space="preserve"> </w:t>
            </w:r>
            <w:r>
              <w:rPr>
                <w:sz w:val="16"/>
              </w:rPr>
              <w:t>case</w:t>
            </w:r>
            <w:r>
              <w:rPr>
                <w:spacing w:val="-7"/>
                <w:sz w:val="16"/>
              </w:rPr>
              <w:t xml:space="preserve"> </w:t>
            </w:r>
            <w:r>
              <w:rPr>
                <w:sz w:val="16"/>
              </w:rPr>
              <w:t>considered</w:t>
            </w:r>
            <w:r>
              <w:rPr>
                <w:spacing w:val="-7"/>
                <w:sz w:val="16"/>
              </w:rPr>
              <w:t xml:space="preserve"> </w:t>
            </w:r>
            <w:r>
              <w:rPr>
                <w:sz w:val="16"/>
              </w:rPr>
              <w:t>a</w:t>
            </w:r>
            <w:r>
              <w:rPr>
                <w:spacing w:val="-7"/>
                <w:sz w:val="16"/>
              </w:rPr>
              <w:t xml:space="preserve"> </w:t>
            </w:r>
            <w:r>
              <w:rPr>
                <w:sz w:val="16"/>
              </w:rPr>
              <w:t>"shared case" with another entity?</w:t>
            </w:r>
          </w:p>
        </w:tc>
        <w:tc>
          <w:tcPr>
            <w:tcW w:w="630" w:type="dxa"/>
            <w:vMerge w:val="restart"/>
            <w:textDirection w:val="btLr"/>
          </w:tcPr>
          <w:p w14:paraId="0DFDCA10" w14:textId="77777777" w:rsidR="00046465" w:rsidRDefault="008134EB">
            <w:pPr>
              <w:pStyle w:val="TableParagraph"/>
              <w:spacing w:before="117" w:line="244" w:lineRule="auto"/>
              <w:ind w:left="657" w:hanging="252"/>
              <w:rPr>
                <w:sz w:val="16"/>
              </w:rPr>
            </w:pPr>
            <w:r>
              <w:rPr>
                <w:sz w:val="16"/>
              </w:rPr>
              <w:t>Is</w:t>
            </w:r>
            <w:r>
              <w:rPr>
                <w:spacing w:val="-6"/>
                <w:sz w:val="16"/>
              </w:rPr>
              <w:t xml:space="preserve"> </w:t>
            </w:r>
            <w:r>
              <w:rPr>
                <w:sz w:val="16"/>
              </w:rPr>
              <w:t>this</w:t>
            </w:r>
            <w:r>
              <w:rPr>
                <w:spacing w:val="-6"/>
                <w:sz w:val="16"/>
              </w:rPr>
              <w:t xml:space="preserve"> </w:t>
            </w:r>
            <w:r>
              <w:rPr>
                <w:sz w:val="16"/>
              </w:rPr>
              <w:t>case</w:t>
            </w:r>
            <w:r>
              <w:rPr>
                <w:spacing w:val="-7"/>
                <w:sz w:val="16"/>
              </w:rPr>
              <w:t xml:space="preserve"> </w:t>
            </w:r>
            <w:r>
              <w:rPr>
                <w:sz w:val="16"/>
              </w:rPr>
              <w:t>related</w:t>
            </w:r>
            <w:r>
              <w:rPr>
                <w:spacing w:val="-7"/>
                <w:sz w:val="16"/>
              </w:rPr>
              <w:t xml:space="preserve"> </w:t>
            </w:r>
            <w:r>
              <w:rPr>
                <w:sz w:val="16"/>
              </w:rPr>
              <w:t>to</w:t>
            </w:r>
            <w:r>
              <w:rPr>
                <w:spacing w:val="-7"/>
                <w:sz w:val="16"/>
              </w:rPr>
              <w:t xml:space="preserve"> </w:t>
            </w:r>
            <w:r>
              <w:rPr>
                <w:sz w:val="16"/>
              </w:rPr>
              <w:t>a</w:t>
            </w:r>
            <w:r>
              <w:rPr>
                <w:spacing w:val="-7"/>
                <w:sz w:val="16"/>
              </w:rPr>
              <w:t xml:space="preserve"> </w:t>
            </w:r>
            <w:r>
              <w:rPr>
                <w:sz w:val="16"/>
              </w:rPr>
              <w:t>treaty</w:t>
            </w:r>
            <w:r>
              <w:rPr>
                <w:spacing w:val="-6"/>
                <w:sz w:val="16"/>
              </w:rPr>
              <w:t xml:space="preserve"> </w:t>
            </w:r>
            <w:r>
              <w:rPr>
                <w:sz w:val="16"/>
              </w:rPr>
              <w:t>or international agreement?</w:t>
            </w:r>
          </w:p>
        </w:tc>
        <w:tc>
          <w:tcPr>
            <w:tcW w:w="2430" w:type="dxa"/>
            <w:gridSpan w:val="2"/>
          </w:tcPr>
          <w:p w14:paraId="0DFDCA11" w14:textId="77777777" w:rsidR="00046465" w:rsidRDefault="008134EB">
            <w:pPr>
              <w:pStyle w:val="TableParagraph"/>
              <w:ind w:left="810" w:hanging="414"/>
              <w:rPr>
                <w:sz w:val="16"/>
              </w:rPr>
            </w:pPr>
            <w:r>
              <w:rPr>
                <w:sz w:val="16"/>
              </w:rPr>
              <w:t>Disposition</w:t>
            </w:r>
            <w:r>
              <w:rPr>
                <w:spacing w:val="-12"/>
                <w:sz w:val="16"/>
              </w:rPr>
              <w:t xml:space="preserve"> </w:t>
            </w:r>
            <w:r>
              <w:rPr>
                <w:sz w:val="16"/>
              </w:rPr>
              <w:t>in</w:t>
            </w:r>
            <w:r>
              <w:rPr>
                <w:spacing w:val="-11"/>
                <w:sz w:val="16"/>
              </w:rPr>
              <w:t xml:space="preserve"> </w:t>
            </w:r>
            <w:r>
              <w:rPr>
                <w:sz w:val="16"/>
              </w:rPr>
              <w:t xml:space="preserve">Financial </w:t>
            </w:r>
            <w:r>
              <w:rPr>
                <w:spacing w:val="-2"/>
                <w:sz w:val="16"/>
              </w:rPr>
              <w:t>Statements</w:t>
            </w:r>
          </w:p>
        </w:tc>
        <w:tc>
          <w:tcPr>
            <w:tcW w:w="1890" w:type="dxa"/>
            <w:vMerge w:val="restart"/>
            <w:textDirection w:val="btLr"/>
          </w:tcPr>
          <w:p w14:paraId="0DFDCA12" w14:textId="77777777" w:rsidR="00046465" w:rsidRDefault="008134EB">
            <w:pPr>
              <w:pStyle w:val="TableParagraph"/>
              <w:spacing w:before="117" w:line="247" w:lineRule="auto"/>
              <w:ind w:left="111" w:right="111"/>
              <w:jc w:val="center"/>
              <w:rPr>
                <w:sz w:val="16"/>
              </w:rPr>
            </w:pPr>
            <w:r>
              <w:rPr>
                <w:sz w:val="16"/>
              </w:rPr>
              <w:t>For</w:t>
            </w:r>
            <w:r>
              <w:rPr>
                <w:spacing w:val="-4"/>
                <w:sz w:val="16"/>
              </w:rPr>
              <w:t xml:space="preserve"> </w:t>
            </w:r>
            <w:r>
              <w:rPr>
                <w:sz w:val="16"/>
              </w:rPr>
              <w:t>amounts</w:t>
            </w:r>
            <w:r>
              <w:rPr>
                <w:spacing w:val="-3"/>
                <w:sz w:val="16"/>
              </w:rPr>
              <w:t xml:space="preserve"> </w:t>
            </w:r>
            <w:r>
              <w:rPr>
                <w:sz w:val="16"/>
              </w:rPr>
              <w:t>recorded</w:t>
            </w:r>
            <w:r>
              <w:rPr>
                <w:spacing w:val="-4"/>
                <w:sz w:val="16"/>
              </w:rPr>
              <w:t xml:space="preserve"> </w:t>
            </w:r>
            <w:r>
              <w:rPr>
                <w:sz w:val="16"/>
              </w:rPr>
              <w:t>in</w:t>
            </w:r>
            <w:r>
              <w:rPr>
                <w:spacing w:val="-4"/>
                <w:sz w:val="16"/>
              </w:rPr>
              <w:t xml:space="preserve"> </w:t>
            </w:r>
            <w:r>
              <w:rPr>
                <w:sz w:val="16"/>
              </w:rPr>
              <w:t>column</w:t>
            </w:r>
            <w:r>
              <w:rPr>
                <w:spacing w:val="-2"/>
                <w:sz w:val="16"/>
              </w:rPr>
              <w:t xml:space="preserve"> </w:t>
            </w:r>
            <w:r>
              <w:rPr>
                <w:sz w:val="16"/>
              </w:rPr>
              <w:t>12</w:t>
            </w:r>
            <w:r>
              <w:rPr>
                <w:spacing w:val="-4"/>
                <w:sz w:val="16"/>
              </w:rPr>
              <w:t xml:space="preserve"> </w:t>
            </w:r>
            <w:r>
              <w:rPr>
                <w:sz w:val="16"/>
              </w:rPr>
              <w:t>and note</w:t>
            </w:r>
            <w:r>
              <w:rPr>
                <w:spacing w:val="-5"/>
                <w:sz w:val="16"/>
              </w:rPr>
              <w:t xml:space="preserve"> </w:t>
            </w:r>
            <w:r>
              <w:rPr>
                <w:sz w:val="16"/>
              </w:rPr>
              <w:t>disclosures</w:t>
            </w:r>
            <w:r>
              <w:rPr>
                <w:spacing w:val="-5"/>
                <w:sz w:val="16"/>
              </w:rPr>
              <w:t xml:space="preserve"> </w:t>
            </w:r>
            <w:r>
              <w:rPr>
                <w:sz w:val="16"/>
              </w:rPr>
              <w:t>indicated</w:t>
            </w:r>
            <w:r>
              <w:rPr>
                <w:spacing w:val="-5"/>
                <w:sz w:val="16"/>
              </w:rPr>
              <w:t xml:space="preserve"> </w:t>
            </w:r>
            <w:r>
              <w:rPr>
                <w:sz w:val="16"/>
              </w:rPr>
              <w:t>in</w:t>
            </w:r>
            <w:r>
              <w:rPr>
                <w:spacing w:val="-5"/>
                <w:sz w:val="16"/>
              </w:rPr>
              <w:t xml:space="preserve"> </w:t>
            </w:r>
            <w:r>
              <w:rPr>
                <w:sz w:val="16"/>
              </w:rPr>
              <w:t>column</w:t>
            </w:r>
            <w:r>
              <w:rPr>
                <w:spacing w:val="-5"/>
                <w:sz w:val="16"/>
              </w:rPr>
              <w:t xml:space="preserve"> </w:t>
            </w:r>
            <w:r>
              <w:rPr>
                <w:sz w:val="16"/>
              </w:rPr>
              <w:t>13, did the entity record/disclose the estimated loss (i.e., dollar amounts) for probable</w:t>
            </w:r>
            <w:r>
              <w:rPr>
                <w:spacing w:val="-10"/>
                <w:sz w:val="16"/>
              </w:rPr>
              <w:t xml:space="preserve"> </w:t>
            </w:r>
            <w:r>
              <w:rPr>
                <w:sz w:val="16"/>
              </w:rPr>
              <w:t>and</w:t>
            </w:r>
            <w:r>
              <w:rPr>
                <w:spacing w:val="-9"/>
                <w:sz w:val="16"/>
              </w:rPr>
              <w:t xml:space="preserve"> </w:t>
            </w:r>
            <w:r>
              <w:rPr>
                <w:sz w:val="16"/>
              </w:rPr>
              <w:t>reasonably</w:t>
            </w:r>
            <w:r>
              <w:rPr>
                <w:spacing w:val="-10"/>
                <w:sz w:val="16"/>
              </w:rPr>
              <w:t xml:space="preserve"> </w:t>
            </w:r>
            <w:r>
              <w:rPr>
                <w:sz w:val="16"/>
              </w:rPr>
              <w:t>possible</w:t>
            </w:r>
            <w:r>
              <w:rPr>
                <w:spacing w:val="-11"/>
                <w:sz w:val="16"/>
              </w:rPr>
              <w:t xml:space="preserve"> </w:t>
            </w:r>
            <w:r>
              <w:rPr>
                <w:sz w:val="16"/>
              </w:rPr>
              <w:t>cases in accordance with requirements in SFFAS No. 5, paras. 38-41?</w:t>
            </w:r>
          </w:p>
        </w:tc>
        <w:tc>
          <w:tcPr>
            <w:tcW w:w="900" w:type="dxa"/>
            <w:vMerge w:val="restart"/>
            <w:textDirection w:val="btLr"/>
          </w:tcPr>
          <w:p w14:paraId="0DFDCA13" w14:textId="77777777" w:rsidR="00046465" w:rsidRDefault="008134EB">
            <w:pPr>
              <w:pStyle w:val="TableParagraph"/>
              <w:spacing w:before="117" w:line="247" w:lineRule="auto"/>
              <w:ind w:left="143" w:right="143"/>
              <w:jc w:val="center"/>
              <w:rPr>
                <w:sz w:val="16"/>
              </w:rPr>
            </w:pPr>
            <w:r>
              <w:rPr>
                <w:sz w:val="16"/>
              </w:rPr>
              <w:t>Do</w:t>
            </w:r>
            <w:r>
              <w:rPr>
                <w:spacing w:val="-7"/>
                <w:sz w:val="16"/>
              </w:rPr>
              <w:t xml:space="preserve"> </w:t>
            </w:r>
            <w:r>
              <w:rPr>
                <w:sz w:val="16"/>
              </w:rPr>
              <w:t>the</w:t>
            </w:r>
            <w:r>
              <w:rPr>
                <w:spacing w:val="-7"/>
                <w:sz w:val="16"/>
              </w:rPr>
              <w:t xml:space="preserve"> </w:t>
            </w:r>
            <w:r>
              <w:rPr>
                <w:sz w:val="16"/>
              </w:rPr>
              <w:t>amounts</w:t>
            </w:r>
            <w:r>
              <w:rPr>
                <w:spacing w:val="-6"/>
                <w:sz w:val="16"/>
              </w:rPr>
              <w:t xml:space="preserve"> </w:t>
            </w:r>
            <w:r>
              <w:rPr>
                <w:sz w:val="16"/>
              </w:rPr>
              <w:t>recorded</w:t>
            </w:r>
            <w:r>
              <w:rPr>
                <w:spacing w:val="-7"/>
                <w:sz w:val="16"/>
              </w:rPr>
              <w:t xml:space="preserve"> </w:t>
            </w:r>
            <w:r>
              <w:rPr>
                <w:sz w:val="16"/>
              </w:rPr>
              <w:t>in</w:t>
            </w:r>
            <w:r>
              <w:rPr>
                <w:spacing w:val="-7"/>
                <w:sz w:val="16"/>
              </w:rPr>
              <w:t xml:space="preserve"> </w:t>
            </w:r>
            <w:r>
              <w:rPr>
                <w:sz w:val="16"/>
              </w:rPr>
              <w:t>column</w:t>
            </w:r>
            <w:r>
              <w:rPr>
                <w:spacing w:val="-7"/>
                <w:sz w:val="16"/>
              </w:rPr>
              <w:t xml:space="preserve"> </w:t>
            </w:r>
            <w:r>
              <w:rPr>
                <w:sz w:val="16"/>
              </w:rPr>
              <w:t>12 and note disclosures indicated in column 13 agree with the amounts in</w:t>
            </w:r>
          </w:p>
          <w:p w14:paraId="0DFDCA14" w14:textId="77777777" w:rsidR="00046465" w:rsidRDefault="008134EB">
            <w:pPr>
              <w:pStyle w:val="TableParagraph"/>
              <w:spacing w:line="182" w:lineRule="exact"/>
              <w:ind w:left="111" w:right="112"/>
              <w:jc w:val="center"/>
              <w:rPr>
                <w:sz w:val="16"/>
              </w:rPr>
            </w:pPr>
            <w:r>
              <w:rPr>
                <w:sz w:val="16"/>
              </w:rPr>
              <w:t>column</w:t>
            </w:r>
            <w:r>
              <w:rPr>
                <w:spacing w:val="-8"/>
                <w:sz w:val="16"/>
              </w:rPr>
              <w:t xml:space="preserve"> </w:t>
            </w:r>
            <w:r>
              <w:rPr>
                <w:spacing w:val="-5"/>
                <w:sz w:val="16"/>
              </w:rPr>
              <w:t>7?</w:t>
            </w:r>
          </w:p>
        </w:tc>
        <w:tc>
          <w:tcPr>
            <w:tcW w:w="630" w:type="dxa"/>
            <w:vMerge w:val="restart"/>
            <w:textDirection w:val="btLr"/>
          </w:tcPr>
          <w:p w14:paraId="0DFDCA15" w14:textId="77777777" w:rsidR="00046465" w:rsidRDefault="008134EB">
            <w:pPr>
              <w:pStyle w:val="TableParagraph"/>
              <w:spacing w:before="117" w:line="244" w:lineRule="auto"/>
              <w:ind w:left="275" w:firstLine="4"/>
              <w:rPr>
                <w:sz w:val="16"/>
              </w:rPr>
            </w:pPr>
            <w:r>
              <w:rPr>
                <w:sz w:val="16"/>
              </w:rPr>
              <w:t>Provide</w:t>
            </w:r>
            <w:r>
              <w:rPr>
                <w:spacing w:val="-7"/>
                <w:sz w:val="16"/>
              </w:rPr>
              <w:t xml:space="preserve"> </w:t>
            </w:r>
            <w:r>
              <w:rPr>
                <w:sz w:val="16"/>
              </w:rPr>
              <w:t>an</w:t>
            </w:r>
            <w:r>
              <w:rPr>
                <w:spacing w:val="-7"/>
                <w:sz w:val="16"/>
              </w:rPr>
              <w:t xml:space="preserve"> </w:t>
            </w:r>
            <w:r>
              <w:rPr>
                <w:sz w:val="16"/>
              </w:rPr>
              <w:t>explanation</w:t>
            </w:r>
            <w:r>
              <w:rPr>
                <w:spacing w:val="-7"/>
                <w:sz w:val="16"/>
              </w:rPr>
              <w:t xml:space="preserve"> </w:t>
            </w:r>
            <w:r>
              <w:rPr>
                <w:sz w:val="16"/>
              </w:rPr>
              <w:t>for</w:t>
            </w:r>
            <w:r>
              <w:rPr>
                <w:spacing w:val="-7"/>
                <w:sz w:val="16"/>
              </w:rPr>
              <w:t xml:space="preserve"> </w:t>
            </w:r>
            <w:r>
              <w:rPr>
                <w:sz w:val="16"/>
              </w:rPr>
              <w:t>any</w:t>
            </w:r>
            <w:r>
              <w:rPr>
                <w:spacing w:val="-6"/>
                <w:sz w:val="16"/>
              </w:rPr>
              <w:t xml:space="preserve"> </w:t>
            </w:r>
            <w:r>
              <w:rPr>
                <w:sz w:val="16"/>
              </w:rPr>
              <w:t>"No" responses</w:t>
            </w:r>
            <w:r>
              <w:rPr>
                <w:spacing w:val="-5"/>
                <w:sz w:val="16"/>
              </w:rPr>
              <w:t xml:space="preserve"> </w:t>
            </w:r>
            <w:r>
              <w:rPr>
                <w:sz w:val="16"/>
              </w:rPr>
              <w:t>in</w:t>
            </w:r>
            <w:r>
              <w:rPr>
                <w:spacing w:val="-6"/>
                <w:sz w:val="16"/>
              </w:rPr>
              <w:t xml:space="preserve"> </w:t>
            </w:r>
            <w:r>
              <w:rPr>
                <w:sz w:val="16"/>
              </w:rPr>
              <w:t>columns</w:t>
            </w:r>
            <w:r>
              <w:rPr>
                <w:spacing w:val="-5"/>
                <w:sz w:val="16"/>
              </w:rPr>
              <w:t xml:space="preserve"> </w:t>
            </w:r>
            <w:r>
              <w:rPr>
                <w:sz w:val="16"/>
              </w:rPr>
              <w:t>14</w:t>
            </w:r>
            <w:r>
              <w:rPr>
                <w:spacing w:val="-6"/>
                <w:sz w:val="16"/>
              </w:rPr>
              <w:t xml:space="preserve"> </w:t>
            </w:r>
            <w:r>
              <w:rPr>
                <w:sz w:val="16"/>
              </w:rPr>
              <w:t>and/or</w:t>
            </w:r>
            <w:r>
              <w:rPr>
                <w:spacing w:val="-4"/>
                <w:sz w:val="16"/>
              </w:rPr>
              <w:t xml:space="preserve"> </w:t>
            </w:r>
            <w:r>
              <w:rPr>
                <w:spacing w:val="-5"/>
                <w:sz w:val="16"/>
              </w:rPr>
              <w:t>15.</w:t>
            </w:r>
          </w:p>
        </w:tc>
        <w:tc>
          <w:tcPr>
            <w:tcW w:w="1800" w:type="dxa"/>
            <w:vMerge w:val="restart"/>
            <w:textDirection w:val="btLr"/>
          </w:tcPr>
          <w:p w14:paraId="0DFDCA16" w14:textId="77777777" w:rsidR="00046465" w:rsidRDefault="008134EB">
            <w:pPr>
              <w:pStyle w:val="TableParagraph"/>
              <w:spacing w:before="117" w:line="247" w:lineRule="auto"/>
              <w:ind w:left="182" w:right="180" w:hanging="3"/>
              <w:jc w:val="center"/>
              <w:rPr>
                <w:sz w:val="16"/>
              </w:rPr>
            </w:pPr>
            <w:r>
              <w:rPr>
                <w:sz w:val="16"/>
              </w:rPr>
              <w:t>If updates to case(s) were provided in the final legal counsel response, were these updates related to likelihood of loss, estimated amount or range of potential loss, new case, no longer pending,</w:t>
            </w:r>
            <w:r>
              <w:rPr>
                <w:spacing w:val="-9"/>
                <w:sz w:val="16"/>
              </w:rPr>
              <w:t xml:space="preserve"> </w:t>
            </w:r>
            <w:r>
              <w:rPr>
                <w:sz w:val="16"/>
              </w:rPr>
              <w:t>progress</w:t>
            </w:r>
            <w:r>
              <w:rPr>
                <w:spacing w:val="-8"/>
                <w:sz w:val="16"/>
              </w:rPr>
              <w:t xml:space="preserve"> </w:t>
            </w:r>
            <w:r>
              <w:rPr>
                <w:sz w:val="16"/>
              </w:rPr>
              <w:t>update,</w:t>
            </w:r>
            <w:r>
              <w:rPr>
                <w:spacing w:val="-8"/>
                <w:sz w:val="16"/>
              </w:rPr>
              <w:t xml:space="preserve"> </w:t>
            </w:r>
            <w:r>
              <w:rPr>
                <w:sz w:val="16"/>
              </w:rPr>
              <w:t>other,</w:t>
            </w:r>
            <w:r>
              <w:rPr>
                <w:spacing w:val="-7"/>
                <w:sz w:val="16"/>
              </w:rPr>
              <w:t xml:space="preserve"> </w:t>
            </w:r>
            <w:r>
              <w:rPr>
                <w:sz w:val="16"/>
              </w:rPr>
              <w:t>or</w:t>
            </w:r>
            <w:r>
              <w:rPr>
                <w:spacing w:val="-9"/>
                <w:sz w:val="16"/>
              </w:rPr>
              <w:t xml:space="preserve"> </w:t>
            </w:r>
            <w:r>
              <w:rPr>
                <w:sz w:val="16"/>
              </w:rPr>
              <w:t>no updates since interim? (This requirement only applies to the final</w:t>
            </w:r>
          </w:p>
          <w:p w14:paraId="0DFDCA17" w14:textId="77777777" w:rsidR="00046465" w:rsidRDefault="008134EB">
            <w:pPr>
              <w:pStyle w:val="TableParagraph"/>
              <w:spacing w:line="136" w:lineRule="exact"/>
              <w:ind w:left="111" w:right="111"/>
              <w:jc w:val="center"/>
              <w:rPr>
                <w:sz w:val="16"/>
              </w:rPr>
            </w:pPr>
            <w:r>
              <w:rPr>
                <w:sz w:val="16"/>
              </w:rPr>
              <w:t>management</w:t>
            </w:r>
            <w:r>
              <w:rPr>
                <w:spacing w:val="-11"/>
                <w:sz w:val="16"/>
              </w:rPr>
              <w:t xml:space="preserve"> </w:t>
            </w:r>
            <w:r>
              <w:rPr>
                <w:spacing w:val="-2"/>
                <w:sz w:val="16"/>
              </w:rPr>
              <w:t>schedule.)</w:t>
            </w:r>
          </w:p>
        </w:tc>
        <w:tc>
          <w:tcPr>
            <w:tcW w:w="540" w:type="dxa"/>
            <w:vMerge w:val="restart"/>
            <w:textDirection w:val="btLr"/>
          </w:tcPr>
          <w:p w14:paraId="0DFDCA18" w14:textId="77777777" w:rsidR="00046465" w:rsidRDefault="008134EB">
            <w:pPr>
              <w:pStyle w:val="TableParagraph"/>
              <w:spacing w:before="117" w:line="244" w:lineRule="auto"/>
              <w:ind w:left="772" w:hanging="644"/>
              <w:rPr>
                <w:sz w:val="16"/>
              </w:rPr>
            </w:pPr>
            <w:r>
              <w:rPr>
                <w:sz w:val="16"/>
              </w:rPr>
              <w:t>Provide</w:t>
            </w:r>
            <w:r>
              <w:rPr>
                <w:spacing w:val="-7"/>
                <w:sz w:val="16"/>
              </w:rPr>
              <w:t xml:space="preserve"> </w:t>
            </w:r>
            <w:r>
              <w:rPr>
                <w:sz w:val="16"/>
              </w:rPr>
              <w:t>a</w:t>
            </w:r>
            <w:r>
              <w:rPr>
                <w:spacing w:val="-7"/>
                <w:sz w:val="16"/>
              </w:rPr>
              <w:t xml:space="preserve"> </w:t>
            </w:r>
            <w:r>
              <w:rPr>
                <w:sz w:val="16"/>
              </w:rPr>
              <w:t>brief</w:t>
            </w:r>
            <w:r>
              <w:rPr>
                <w:spacing w:val="-7"/>
                <w:sz w:val="16"/>
              </w:rPr>
              <w:t xml:space="preserve"> </w:t>
            </w:r>
            <w:r>
              <w:rPr>
                <w:sz w:val="16"/>
              </w:rPr>
              <w:t>description</w:t>
            </w:r>
            <w:r>
              <w:rPr>
                <w:spacing w:val="-7"/>
                <w:sz w:val="16"/>
              </w:rPr>
              <w:t xml:space="preserve"> </w:t>
            </w:r>
            <w:r>
              <w:rPr>
                <w:sz w:val="16"/>
              </w:rPr>
              <w:t>of</w:t>
            </w:r>
            <w:r>
              <w:rPr>
                <w:spacing w:val="-7"/>
                <w:sz w:val="16"/>
              </w:rPr>
              <w:t xml:space="preserve"> </w:t>
            </w:r>
            <w:r>
              <w:rPr>
                <w:sz w:val="16"/>
              </w:rPr>
              <w:t>the</w:t>
            </w:r>
            <w:r>
              <w:rPr>
                <w:spacing w:val="-7"/>
                <w:sz w:val="16"/>
              </w:rPr>
              <w:t xml:space="preserve"> </w:t>
            </w:r>
            <w:r>
              <w:rPr>
                <w:sz w:val="16"/>
              </w:rPr>
              <w:t>update entered in column 17.</w:t>
            </w:r>
          </w:p>
        </w:tc>
        <w:tc>
          <w:tcPr>
            <w:tcW w:w="1440" w:type="dxa"/>
            <w:vMerge w:val="restart"/>
            <w:textDirection w:val="btLr"/>
          </w:tcPr>
          <w:p w14:paraId="0DFDCA19" w14:textId="77777777" w:rsidR="00046465" w:rsidRDefault="008134EB">
            <w:pPr>
              <w:pStyle w:val="TableParagraph"/>
              <w:spacing w:before="117" w:line="247" w:lineRule="auto"/>
              <w:ind w:left="130" w:right="131"/>
              <w:jc w:val="center"/>
              <w:rPr>
                <w:sz w:val="16"/>
              </w:rPr>
            </w:pPr>
            <w:r>
              <w:rPr>
                <w:sz w:val="16"/>
              </w:rPr>
              <w:t>If the lead counsel for the case is external to the entity (e.g., DOJ), does the</w:t>
            </w:r>
            <w:r>
              <w:rPr>
                <w:spacing w:val="-7"/>
                <w:sz w:val="16"/>
              </w:rPr>
              <w:t xml:space="preserve"> </w:t>
            </w:r>
            <w:r>
              <w:rPr>
                <w:sz w:val="16"/>
              </w:rPr>
              <w:t>lead</w:t>
            </w:r>
            <w:r>
              <w:rPr>
                <w:spacing w:val="-7"/>
                <w:sz w:val="16"/>
              </w:rPr>
              <w:t xml:space="preserve"> </w:t>
            </w:r>
            <w:r>
              <w:rPr>
                <w:sz w:val="16"/>
              </w:rPr>
              <w:t>counsel</w:t>
            </w:r>
            <w:r>
              <w:rPr>
                <w:spacing w:val="-6"/>
                <w:sz w:val="16"/>
              </w:rPr>
              <w:t xml:space="preserve"> </w:t>
            </w:r>
            <w:r>
              <w:rPr>
                <w:sz w:val="16"/>
              </w:rPr>
              <w:t>concur</w:t>
            </w:r>
            <w:r>
              <w:rPr>
                <w:spacing w:val="-7"/>
                <w:sz w:val="16"/>
              </w:rPr>
              <w:t xml:space="preserve"> </w:t>
            </w:r>
            <w:r>
              <w:rPr>
                <w:sz w:val="16"/>
              </w:rPr>
              <w:t>with</w:t>
            </w:r>
            <w:r>
              <w:rPr>
                <w:spacing w:val="-7"/>
                <w:sz w:val="16"/>
              </w:rPr>
              <w:t xml:space="preserve"> </w:t>
            </w:r>
            <w:r>
              <w:rPr>
                <w:sz w:val="16"/>
              </w:rPr>
              <w:t>the</w:t>
            </w:r>
            <w:r>
              <w:rPr>
                <w:spacing w:val="-7"/>
                <w:sz w:val="16"/>
              </w:rPr>
              <w:t xml:space="preserve"> </w:t>
            </w:r>
            <w:r>
              <w:rPr>
                <w:sz w:val="16"/>
              </w:rPr>
              <w:t>entity's assessments of the likelihood of loss and estimated amount or range of potential</w:t>
            </w:r>
            <w:r>
              <w:rPr>
                <w:spacing w:val="-1"/>
                <w:sz w:val="16"/>
              </w:rPr>
              <w:t xml:space="preserve"> </w:t>
            </w:r>
            <w:r>
              <w:rPr>
                <w:sz w:val="16"/>
              </w:rPr>
              <w:t>loss?</w:t>
            </w:r>
            <w:r>
              <w:rPr>
                <w:spacing w:val="-2"/>
                <w:sz w:val="16"/>
              </w:rPr>
              <w:t xml:space="preserve"> </w:t>
            </w:r>
            <w:r>
              <w:rPr>
                <w:sz w:val="16"/>
              </w:rPr>
              <w:t>If</w:t>
            </w:r>
            <w:r>
              <w:rPr>
                <w:spacing w:val="-2"/>
                <w:sz w:val="16"/>
              </w:rPr>
              <w:t xml:space="preserve"> </w:t>
            </w:r>
            <w:r>
              <w:rPr>
                <w:sz w:val="16"/>
              </w:rPr>
              <w:t>the</w:t>
            </w:r>
            <w:r>
              <w:rPr>
                <w:spacing w:val="-2"/>
                <w:sz w:val="16"/>
              </w:rPr>
              <w:t xml:space="preserve"> </w:t>
            </w:r>
            <w:r>
              <w:rPr>
                <w:sz w:val="16"/>
              </w:rPr>
              <w:t>lead</w:t>
            </w:r>
            <w:r>
              <w:rPr>
                <w:spacing w:val="-2"/>
                <w:sz w:val="16"/>
              </w:rPr>
              <w:t xml:space="preserve"> </w:t>
            </w:r>
            <w:r>
              <w:rPr>
                <w:sz w:val="16"/>
              </w:rPr>
              <w:t>counsel</w:t>
            </w:r>
            <w:r>
              <w:rPr>
                <w:spacing w:val="-1"/>
                <w:sz w:val="16"/>
              </w:rPr>
              <w:t xml:space="preserve"> </w:t>
            </w:r>
            <w:r>
              <w:rPr>
                <w:sz w:val="16"/>
              </w:rPr>
              <w:t>is</w:t>
            </w:r>
            <w:r>
              <w:rPr>
                <w:spacing w:val="-1"/>
                <w:sz w:val="16"/>
              </w:rPr>
              <w:t xml:space="preserve"> </w:t>
            </w:r>
            <w:r>
              <w:rPr>
                <w:sz w:val="16"/>
              </w:rPr>
              <w:t>not</w:t>
            </w:r>
          </w:p>
          <w:p w14:paraId="0DFDCA1A" w14:textId="77777777" w:rsidR="00046465" w:rsidRDefault="008134EB">
            <w:pPr>
              <w:pStyle w:val="TableParagraph"/>
              <w:spacing w:line="155" w:lineRule="exact"/>
              <w:ind w:left="111" w:right="112"/>
              <w:jc w:val="center"/>
              <w:rPr>
                <w:sz w:val="16"/>
              </w:rPr>
            </w:pPr>
            <w:r>
              <w:rPr>
                <w:sz w:val="16"/>
              </w:rPr>
              <w:t>external</w:t>
            </w:r>
            <w:r>
              <w:rPr>
                <w:spacing w:val="-5"/>
                <w:sz w:val="16"/>
              </w:rPr>
              <w:t xml:space="preserve"> </w:t>
            </w:r>
            <w:r>
              <w:rPr>
                <w:sz w:val="16"/>
              </w:rPr>
              <w:t>to</w:t>
            </w:r>
            <w:r>
              <w:rPr>
                <w:spacing w:val="-6"/>
                <w:sz w:val="16"/>
              </w:rPr>
              <w:t xml:space="preserve"> </w:t>
            </w:r>
            <w:r>
              <w:rPr>
                <w:sz w:val="16"/>
              </w:rPr>
              <w:t>the</w:t>
            </w:r>
            <w:r>
              <w:rPr>
                <w:spacing w:val="-6"/>
                <w:sz w:val="16"/>
              </w:rPr>
              <w:t xml:space="preserve"> </w:t>
            </w:r>
            <w:r>
              <w:rPr>
                <w:sz w:val="16"/>
              </w:rPr>
              <w:t>entity,</w:t>
            </w:r>
            <w:r>
              <w:rPr>
                <w:spacing w:val="-6"/>
                <w:sz w:val="16"/>
              </w:rPr>
              <w:t xml:space="preserve"> </w:t>
            </w:r>
            <w:r>
              <w:rPr>
                <w:sz w:val="16"/>
              </w:rPr>
              <w:t>input</w:t>
            </w:r>
            <w:r>
              <w:rPr>
                <w:spacing w:val="-5"/>
                <w:sz w:val="16"/>
              </w:rPr>
              <w:t xml:space="preserve"> </w:t>
            </w:r>
            <w:r>
              <w:rPr>
                <w:spacing w:val="-2"/>
                <w:sz w:val="16"/>
              </w:rPr>
              <w:t>"N/A."</w:t>
            </w:r>
          </w:p>
        </w:tc>
        <w:tc>
          <w:tcPr>
            <w:tcW w:w="630" w:type="dxa"/>
            <w:vMerge w:val="restart"/>
            <w:textDirection w:val="btLr"/>
          </w:tcPr>
          <w:p w14:paraId="0DFDCA1B" w14:textId="77777777" w:rsidR="00046465" w:rsidRDefault="008134EB">
            <w:pPr>
              <w:pStyle w:val="TableParagraph"/>
              <w:spacing w:before="117" w:line="244" w:lineRule="auto"/>
              <w:ind w:left="675" w:hanging="395"/>
              <w:rPr>
                <w:sz w:val="16"/>
              </w:rPr>
            </w:pPr>
            <w:r>
              <w:rPr>
                <w:sz w:val="16"/>
              </w:rPr>
              <w:t>Provide</w:t>
            </w:r>
            <w:r>
              <w:rPr>
                <w:spacing w:val="-8"/>
                <w:sz w:val="16"/>
              </w:rPr>
              <w:t xml:space="preserve"> </w:t>
            </w:r>
            <w:r>
              <w:rPr>
                <w:sz w:val="16"/>
              </w:rPr>
              <w:t>an</w:t>
            </w:r>
            <w:r>
              <w:rPr>
                <w:spacing w:val="-8"/>
                <w:sz w:val="16"/>
              </w:rPr>
              <w:t xml:space="preserve"> </w:t>
            </w:r>
            <w:r>
              <w:rPr>
                <w:sz w:val="16"/>
              </w:rPr>
              <w:t>explanation</w:t>
            </w:r>
            <w:r>
              <w:rPr>
                <w:spacing w:val="-9"/>
                <w:sz w:val="16"/>
              </w:rPr>
              <w:t xml:space="preserve"> </w:t>
            </w:r>
            <w:r>
              <w:rPr>
                <w:sz w:val="16"/>
              </w:rPr>
              <w:t>for</w:t>
            </w:r>
            <w:r>
              <w:rPr>
                <w:spacing w:val="-8"/>
                <w:sz w:val="16"/>
              </w:rPr>
              <w:t xml:space="preserve"> </w:t>
            </w:r>
            <w:r>
              <w:rPr>
                <w:sz w:val="16"/>
              </w:rPr>
              <w:t>any</w:t>
            </w:r>
            <w:r>
              <w:rPr>
                <w:spacing w:val="-8"/>
                <w:sz w:val="16"/>
              </w:rPr>
              <w:t xml:space="preserve"> </w:t>
            </w:r>
            <w:r>
              <w:rPr>
                <w:sz w:val="16"/>
              </w:rPr>
              <w:t>"No" responses in column 19.</w:t>
            </w:r>
          </w:p>
        </w:tc>
      </w:tr>
      <w:tr w:rsidR="00046465" w14:paraId="0DFDCA35" w14:textId="77777777">
        <w:trPr>
          <w:trHeight w:val="1780"/>
        </w:trPr>
        <w:tc>
          <w:tcPr>
            <w:tcW w:w="1075" w:type="dxa"/>
            <w:vMerge/>
            <w:tcBorders>
              <w:top w:val="nil"/>
            </w:tcBorders>
            <w:textDirection w:val="btLr"/>
          </w:tcPr>
          <w:p w14:paraId="0DFDCA1D" w14:textId="77777777" w:rsidR="00046465" w:rsidRDefault="00046465">
            <w:pPr>
              <w:rPr>
                <w:sz w:val="2"/>
                <w:szCs w:val="2"/>
              </w:rPr>
            </w:pPr>
          </w:p>
        </w:tc>
        <w:tc>
          <w:tcPr>
            <w:tcW w:w="637" w:type="dxa"/>
            <w:vMerge/>
            <w:tcBorders>
              <w:top w:val="nil"/>
            </w:tcBorders>
            <w:textDirection w:val="btLr"/>
          </w:tcPr>
          <w:p w14:paraId="0DFDCA1E" w14:textId="77777777" w:rsidR="00046465" w:rsidRDefault="00046465">
            <w:pPr>
              <w:rPr>
                <w:sz w:val="2"/>
                <w:szCs w:val="2"/>
              </w:rPr>
            </w:pPr>
          </w:p>
        </w:tc>
        <w:tc>
          <w:tcPr>
            <w:tcW w:w="720" w:type="dxa"/>
            <w:vMerge/>
            <w:tcBorders>
              <w:top w:val="nil"/>
            </w:tcBorders>
            <w:textDirection w:val="btLr"/>
          </w:tcPr>
          <w:p w14:paraId="0DFDCA1F" w14:textId="77777777" w:rsidR="00046465" w:rsidRDefault="00046465">
            <w:pPr>
              <w:rPr>
                <w:sz w:val="2"/>
                <w:szCs w:val="2"/>
              </w:rPr>
            </w:pPr>
          </w:p>
        </w:tc>
        <w:tc>
          <w:tcPr>
            <w:tcW w:w="720" w:type="dxa"/>
            <w:vMerge/>
            <w:tcBorders>
              <w:top w:val="nil"/>
            </w:tcBorders>
            <w:textDirection w:val="btLr"/>
          </w:tcPr>
          <w:p w14:paraId="0DFDCA20" w14:textId="77777777" w:rsidR="00046465" w:rsidRDefault="00046465">
            <w:pPr>
              <w:rPr>
                <w:sz w:val="2"/>
                <w:szCs w:val="2"/>
              </w:rPr>
            </w:pPr>
          </w:p>
        </w:tc>
        <w:tc>
          <w:tcPr>
            <w:tcW w:w="720" w:type="dxa"/>
            <w:vMerge/>
            <w:tcBorders>
              <w:top w:val="nil"/>
            </w:tcBorders>
            <w:textDirection w:val="btLr"/>
          </w:tcPr>
          <w:p w14:paraId="0DFDCA21" w14:textId="77777777" w:rsidR="00046465" w:rsidRDefault="00046465">
            <w:pPr>
              <w:rPr>
                <w:sz w:val="2"/>
                <w:szCs w:val="2"/>
              </w:rPr>
            </w:pPr>
          </w:p>
        </w:tc>
        <w:tc>
          <w:tcPr>
            <w:tcW w:w="720" w:type="dxa"/>
            <w:vMerge/>
            <w:tcBorders>
              <w:top w:val="nil"/>
            </w:tcBorders>
            <w:textDirection w:val="btLr"/>
          </w:tcPr>
          <w:p w14:paraId="0DFDCA22" w14:textId="77777777" w:rsidR="00046465" w:rsidRDefault="00046465">
            <w:pPr>
              <w:rPr>
                <w:sz w:val="2"/>
                <w:szCs w:val="2"/>
              </w:rPr>
            </w:pPr>
          </w:p>
        </w:tc>
        <w:tc>
          <w:tcPr>
            <w:tcW w:w="1080" w:type="dxa"/>
            <w:vMerge/>
            <w:tcBorders>
              <w:top w:val="nil"/>
            </w:tcBorders>
            <w:textDirection w:val="btLr"/>
          </w:tcPr>
          <w:p w14:paraId="0DFDCA23" w14:textId="77777777" w:rsidR="00046465" w:rsidRDefault="00046465">
            <w:pPr>
              <w:rPr>
                <w:sz w:val="2"/>
                <w:szCs w:val="2"/>
              </w:rPr>
            </w:pPr>
          </w:p>
        </w:tc>
        <w:tc>
          <w:tcPr>
            <w:tcW w:w="630" w:type="dxa"/>
          </w:tcPr>
          <w:p w14:paraId="0DFDCA24" w14:textId="77777777" w:rsidR="00046465" w:rsidRDefault="008134EB">
            <w:pPr>
              <w:pStyle w:val="TableParagraph"/>
              <w:spacing w:line="184" w:lineRule="exact"/>
              <w:ind w:left="141"/>
              <w:rPr>
                <w:sz w:val="16"/>
              </w:rPr>
            </w:pPr>
            <w:r>
              <w:rPr>
                <w:sz w:val="16"/>
              </w:rPr>
              <w:t>(a)</w:t>
            </w:r>
            <w:r>
              <w:rPr>
                <w:spacing w:val="-4"/>
                <w:sz w:val="16"/>
              </w:rPr>
              <w:t xml:space="preserve"> </w:t>
            </w:r>
            <w:r>
              <w:rPr>
                <w:spacing w:val="-12"/>
                <w:sz w:val="16"/>
              </w:rPr>
              <w:t>P</w:t>
            </w:r>
          </w:p>
        </w:tc>
        <w:tc>
          <w:tcPr>
            <w:tcW w:w="720" w:type="dxa"/>
          </w:tcPr>
          <w:p w14:paraId="0DFDCA25" w14:textId="77777777" w:rsidR="00046465" w:rsidRDefault="008134EB">
            <w:pPr>
              <w:pStyle w:val="TableParagraph"/>
              <w:spacing w:line="184" w:lineRule="exact"/>
              <w:ind w:left="128"/>
              <w:rPr>
                <w:sz w:val="16"/>
              </w:rPr>
            </w:pPr>
            <w:r>
              <w:rPr>
                <w:sz w:val="16"/>
              </w:rPr>
              <w:t>(b)</w:t>
            </w:r>
            <w:r>
              <w:rPr>
                <w:spacing w:val="-4"/>
                <w:sz w:val="16"/>
              </w:rPr>
              <w:t xml:space="preserve"> </w:t>
            </w:r>
            <w:r>
              <w:rPr>
                <w:spacing w:val="-7"/>
                <w:sz w:val="16"/>
              </w:rPr>
              <w:t>RP</w:t>
            </w:r>
          </w:p>
        </w:tc>
        <w:tc>
          <w:tcPr>
            <w:tcW w:w="900" w:type="dxa"/>
          </w:tcPr>
          <w:p w14:paraId="0DFDCA26" w14:textId="77777777" w:rsidR="00046465" w:rsidRDefault="008134EB">
            <w:pPr>
              <w:pStyle w:val="TableParagraph"/>
              <w:spacing w:line="184" w:lineRule="exact"/>
              <w:ind w:left="116"/>
              <w:rPr>
                <w:sz w:val="16"/>
              </w:rPr>
            </w:pPr>
            <w:r>
              <w:rPr>
                <w:sz w:val="16"/>
              </w:rPr>
              <w:t>(c)</w:t>
            </w:r>
            <w:r>
              <w:rPr>
                <w:spacing w:val="-4"/>
                <w:sz w:val="16"/>
              </w:rPr>
              <w:t xml:space="preserve"> </w:t>
            </w:r>
            <w:r>
              <w:rPr>
                <w:spacing w:val="-2"/>
                <w:sz w:val="16"/>
              </w:rPr>
              <w:t>Upper</w:t>
            </w:r>
          </w:p>
        </w:tc>
        <w:tc>
          <w:tcPr>
            <w:tcW w:w="900" w:type="dxa"/>
          </w:tcPr>
          <w:p w14:paraId="0DFDCA27" w14:textId="77777777" w:rsidR="00046465" w:rsidRDefault="008134EB">
            <w:pPr>
              <w:pStyle w:val="TableParagraph"/>
              <w:ind w:left="116" w:right="100" w:firstLine="236"/>
              <w:rPr>
                <w:sz w:val="16"/>
              </w:rPr>
            </w:pPr>
            <w:r>
              <w:rPr>
                <w:spacing w:val="-4"/>
                <w:sz w:val="16"/>
              </w:rPr>
              <w:t xml:space="preserve">(d) </w:t>
            </w:r>
            <w:r>
              <w:rPr>
                <w:spacing w:val="-2"/>
                <w:sz w:val="16"/>
              </w:rPr>
              <w:t>Unknown</w:t>
            </w:r>
          </w:p>
        </w:tc>
        <w:tc>
          <w:tcPr>
            <w:tcW w:w="1080" w:type="dxa"/>
            <w:vMerge/>
            <w:tcBorders>
              <w:top w:val="nil"/>
            </w:tcBorders>
            <w:textDirection w:val="btLr"/>
          </w:tcPr>
          <w:p w14:paraId="0DFDCA28" w14:textId="77777777" w:rsidR="00046465" w:rsidRDefault="00046465">
            <w:pPr>
              <w:rPr>
                <w:sz w:val="2"/>
                <w:szCs w:val="2"/>
              </w:rPr>
            </w:pPr>
          </w:p>
        </w:tc>
        <w:tc>
          <w:tcPr>
            <w:tcW w:w="540" w:type="dxa"/>
            <w:vMerge/>
            <w:tcBorders>
              <w:top w:val="nil"/>
            </w:tcBorders>
            <w:textDirection w:val="btLr"/>
          </w:tcPr>
          <w:p w14:paraId="0DFDCA29" w14:textId="77777777" w:rsidR="00046465" w:rsidRDefault="00046465">
            <w:pPr>
              <w:rPr>
                <w:sz w:val="2"/>
                <w:szCs w:val="2"/>
              </w:rPr>
            </w:pPr>
          </w:p>
        </w:tc>
        <w:tc>
          <w:tcPr>
            <w:tcW w:w="630" w:type="dxa"/>
            <w:vMerge/>
            <w:tcBorders>
              <w:top w:val="nil"/>
            </w:tcBorders>
            <w:textDirection w:val="btLr"/>
          </w:tcPr>
          <w:p w14:paraId="0DFDCA2A" w14:textId="77777777" w:rsidR="00046465" w:rsidRDefault="00046465">
            <w:pPr>
              <w:rPr>
                <w:sz w:val="2"/>
                <w:szCs w:val="2"/>
              </w:rPr>
            </w:pPr>
          </w:p>
        </w:tc>
        <w:tc>
          <w:tcPr>
            <w:tcW w:w="630" w:type="dxa"/>
            <w:vMerge/>
            <w:tcBorders>
              <w:top w:val="nil"/>
            </w:tcBorders>
            <w:textDirection w:val="btLr"/>
          </w:tcPr>
          <w:p w14:paraId="0DFDCA2B" w14:textId="77777777" w:rsidR="00046465" w:rsidRDefault="00046465">
            <w:pPr>
              <w:rPr>
                <w:sz w:val="2"/>
                <w:szCs w:val="2"/>
              </w:rPr>
            </w:pPr>
          </w:p>
        </w:tc>
        <w:tc>
          <w:tcPr>
            <w:tcW w:w="1170" w:type="dxa"/>
          </w:tcPr>
          <w:p w14:paraId="0DFDCA2C" w14:textId="77777777" w:rsidR="00046465" w:rsidRDefault="008134EB">
            <w:pPr>
              <w:pStyle w:val="TableParagraph"/>
              <w:ind w:left="119" w:right="107"/>
              <w:jc w:val="center"/>
              <w:rPr>
                <w:sz w:val="16"/>
              </w:rPr>
            </w:pPr>
            <w:r>
              <w:rPr>
                <w:spacing w:val="-2"/>
                <w:sz w:val="16"/>
              </w:rPr>
              <w:t xml:space="preserve">Amount </w:t>
            </w:r>
            <w:r>
              <w:rPr>
                <w:sz w:val="16"/>
              </w:rPr>
              <w:t>recorded</w:t>
            </w:r>
            <w:r>
              <w:rPr>
                <w:spacing w:val="-12"/>
                <w:sz w:val="16"/>
              </w:rPr>
              <w:t xml:space="preserve"> </w:t>
            </w:r>
            <w:r>
              <w:rPr>
                <w:sz w:val="16"/>
              </w:rPr>
              <w:t xml:space="preserve">on </w:t>
            </w:r>
            <w:r>
              <w:rPr>
                <w:spacing w:val="-2"/>
                <w:sz w:val="16"/>
              </w:rPr>
              <w:t>Balance Sheet</w:t>
            </w:r>
          </w:p>
        </w:tc>
        <w:tc>
          <w:tcPr>
            <w:tcW w:w="1260" w:type="dxa"/>
          </w:tcPr>
          <w:p w14:paraId="0DFDCA2D" w14:textId="77777777" w:rsidR="00046465" w:rsidRDefault="008134EB">
            <w:pPr>
              <w:pStyle w:val="TableParagraph"/>
              <w:ind w:left="153" w:right="143"/>
              <w:jc w:val="center"/>
              <w:rPr>
                <w:sz w:val="16"/>
              </w:rPr>
            </w:pPr>
            <w:r>
              <w:rPr>
                <w:spacing w:val="-4"/>
                <w:sz w:val="16"/>
              </w:rPr>
              <w:t xml:space="preserve">Note </w:t>
            </w:r>
            <w:r>
              <w:rPr>
                <w:spacing w:val="-2"/>
                <w:sz w:val="16"/>
              </w:rPr>
              <w:t>disclosure (</w:t>
            </w:r>
            <w:r>
              <w:rPr>
                <w:i/>
                <w:spacing w:val="-2"/>
                <w:sz w:val="16"/>
              </w:rPr>
              <w:t xml:space="preserve">enter financial statement </w:t>
            </w:r>
            <w:r>
              <w:rPr>
                <w:i/>
                <w:sz w:val="16"/>
              </w:rPr>
              <w:t>note</w:t>
            </w:r>
            <w:r>
              <w:rPr>
                <w:i/>
                <w:spacing w:val="-12"/>
                <w:sz w:val="16"/>
              </w:rPr>
              <w:t xml:space="preserve"> </w:t>
            </w:r>
            <w:r>
              <w:rPr>
                <w:i/>
                <w:sz w:val="16"/>
              </w:rPr>
              <w:t>number</w:t>
            </w:r>
            <w:r>
              <w:rPr>
                <w:sz w:val="16"/>
              </w:rPr>
              <w:t>)</w:t>
            </w:r>
          </w:p>
        </w:tc>
        <w:tc>
          <w:tcPr>
            <w:tcW w:w="1890" w:type="dxa"/>
            <w:vMerge/>
            <w:tcBorders>
              <w:top w:val="nil"/>
            </w:tcBorders>
            <w:textDirection w:val="btLr"/>
          </w:tcPr>
          <w:p w14:paraId="0DFDCA2E" w14:textId="77777777" w:rsidR="00046465" w:rsidRDefault="00046465">
            <w:pPr>
              <w:rPr>
                <w:sz w:val="2"/>
                <w:szCs w:val="2"/>
              </w:rPr>
            </w:pPr>
          </w:p>
        </w:tc>
        <w:tc>
          <w:tcPr>
            <w:tcW w:w="900" w:type="dxa"/>
            <w:vMerge/>
            <w:tcBorders>
              <w:top w:val="nil"/>
            </w:tcBorders>
            <w:textDirection w:val="btLr"/>
          </w:tcPr>
          <w:p w14:paraId="0DFDCA2F" w14:textId="77777777" w:rsidR="00046465" w:rsidRDefault="00046465">
            <w:pPr>
              <w:rPr>
                <w:sz w:val="2"/>
                <w:szCs w:val="2"/>
              </w:rPr>
            </w:pPr>
          </w:p>
        </w:tc>
        <w:tc>
          <w:tcPr>
            <w:tcW w:w="630" w:type="dxa"/>
            <w:vMerge/>
            <w:tcBorders>
              <w:top w:val="nil"/>
            </w:tcBorders>
            <w:textDirection w:val="btLr"/>
          </w:tcPr>
          <w:p w14:paraId="0DFDCA30" w14:textId="77777777" w:rsidR="00046465" w:rsidRDefault="00046465">
            <w:pPr>
              <w:rPr>
                <w:sz w:val="2"/>
                <w:szCs w:val="2"/>
              </w:rPr>
            </w:pPr>
          </w:p>
        </w:tc>
        <w:tc>
          <w:tcPr>
            <w:tcW w:w="1800" w:type="dxa"/>
            <w:vMerge/>
            <w:tcBorders>
              <w:top w:val="nil"/>
            </w:tcBorders>
            <w:textDirection w:val="btLr"/>
          </w:tcPr>
          <w:p w14:paraId="0DFDCA31" w14:textId="77777777" w:rsidR="00046465" w:rsidRDefault="00046465">
            <w:pPr>
              <w:rPr>
                <w:sz w:val="2"/>
                <w:szCs w:val="2"/>
              </w:rPr>
            </w:pPr>
          </w:p>
        </w:tc>
        <w:tc>
          <w:tcPr>
            <w:tcW w:w="540" w:type="dxa"/>
            <w:vMerge/>
            <w:tcBorders>
              <w:top w:val="nil"/>
            </w:tcBorders>
            <w:textDirection w:val="btLr"/>
          </w:tcPr>
          <w:p w14:paraId="0DFDCA32" w14:textId="77777777" w:rsidR="00046465" w:rsidRDefault="00046465">
            <w:pPr>
              <w:rPr>
                <w:sz w:val="2"/>
                <w:szCs w:val="2"/>
              </w:rPr>
            </w:pPr>
          </w:p>
        </w:tc>
        <w:tc>
          <w:tcPr>
            <w:tcW w:w="1440" w:type="dxa"/>
            <w:vMerge/>
            <w:tcBorders>
              <w:top w:val="nil"/>
            </w:tcBorders>
            <w:textDirection w:val="btLr"/>
          </w:tcPr>
          <w:p w14:paraId="0DFDCA33" w14:textId="77777777" w:rsidR="00046465" w:rsidRDefault="00046465">
            <w:pPr>
              <w:rPr>
                <w:sz w:val="2"/>
                <w:szCs w:val="2"/>
              </w:rPr>
            </w:pPr>
          </w:p>
        </w:tc>
        <w:tc>
          <w:tcPr>
            <w:tcW w:w="630" w:type="dxa"/>
            <w:vMerge/>
            <w:tcBorders>
              <w:top w:val="nil"/>
            </w:tcBorders>
            <w:textDirection w:val="btLr"/>
          </w:tcPr>
          <w:p w14:paraId="0DFDCA34" w14:textId="77777777" w:rsidR="00046465" w:rsidRDefault="00046465">
            <w:pPr>
              <w:rPr>
                <w:sz w:val="2"/>
                <w:szCs w:val="2"/>
              </w:rPr>
            </w:pPr>
          </w:p>
        </w:tc>
      </w:tr>
      <w:tr w:rsidR="00046465" w14:paraId="0DFDCA37" w14:textId="77777777">
        <w:trPr>
          <w:trHeight w:val="299"/>
        </w:trPr>
        <w:tc>
          <w:tcPr>
            <w:tcW w:w="21962" w:type="dxa"/>
            <w:gridSpan w:val="24"/>
            <w:shd w:val="clear" w:color="auto" w:fill="D9D9D9"/>
          </w:tcPr>
          <w:p w14:paraId="0DFDCA36" w14:textId="77777777" w:rsidR="00046465" w:rsidRDefault="008134EB">
            <w:pPr>
              <w:pStyle w:val="TableParagraph"/>
              <w:spacing w:line="206" w:lineRule="exact"/>
              <w:ind w:left="115"/>
              <w:rPr>
                <w:b/>
                <w:sz w:val="18"/>
              </w:rPr>
            </w:pPr>
            <w:r>
              <w:rPr>
                <w:b/>
                <w:spacing w:val="-2"/>
                <w:sz w:val="18"/>
              </w:rPr>
              <w:t>Probable</w:t>
            </w:r>
          </w:p>
        </w:tc>
      </w:tr>
      <w:tr w:rsidR="00046465" w14:paraId="0DFDCA50" w14:textId="77777777">
        <w:trPr>
          <w:trHeight w:val="300"/>
        </w:trPr>
        <w:tc>
          <w:tcPr>
            <w:tcW w:w="1075" w:type="dxa"/>
          </w:tcPr>
          <w:p w14:paraId="0DFDCA38" w14:textId="77777777" w:rsidR="00046465" w:rsidRDefault="008134EB">
            <w:pPr>
              <w:pStyle w:val="TableParagraph"/>
              <w:spacing w:before="92" w:line="188" w:lineRule="exact"/>
              <w:ind w:right="102"/>
              <w:jc w:val="right"/>
              <w:rPr>
                <w:sz w:val="18"/>
              </w:rPr>
            </w:pPr>
            <w:r>
              <w:rPr>
                <w:spacing w:val="-10"/>
                <w:sz w:val="18"/>
              </w:rPr>
              <w:t>1</w:t>
            </w:r>
          </w:p>
        </w:tc>
        <w:tc>
          <w:tcPr>
            <w:tcW w:w="637" w:type="dxa"/>
          </w:tcPr>
          <w:p w14:paraId="0DFDCA39" w14:textId="77777777" w:rsidR="00046465" w:rsidRDefault="00046465">
            <w:pPr>
              <w:pStyle w:val="TableParagraph"/>
              <w:rPr>
                <w:rFonts w:ascii="Times New Roman"/>
                <w:sz w:val="16"/>
              </w:rPr>
            </w:pPr>
          </w:p>
        </w:tc>
        <w:tc>
          <w:tcPr>
            <w:tcW w:w="720" w:type="dxa"/>
          </w:tcPr>
          <w:p w14:paraId="0DFDCA3A" w14:textId="77777777" w:rsidR="00046465" w:rsidRDefault="00046465">
            <w:pPr>
              <w:pStyle w:val="TableParagraph"/>
              <w:rPr>
                <w:rFonts w:ascii="Times New Roman"/>
                <w:sz w:val="16"/>
              </w:rPr>
            </w:pPr>
          </w:p>
        </w:tc>
        <w:tc>
          <w:tcPr>
            <w:tcW w:w="720" w:type="dxa"/>
          </w:tcPr>
          <w:p w14:paraId="0DFDCA3B" w14:textId="77777777" w:rsidR="00046465" w:rsidRDefault="00046465">
            <w:pPr>
              <w:pStyle w:val="TableParagraph"/>
              <w:rPr>
                <w:rFonts w:ascii="Times New Roman"/>
                <w:sz w:val="16"/>
              </w:rPr>
            </w:pPr>
          </w:p>
        </w:tc>
        <w:tc>
          <w:tcPr>
            <w:tcW w:w="720" w:type="dxa"/>
          </w:tcPr>
          <w:p w14:paraId="0DFDCA3C" w14:textId="77777777" w:rsidR="00046465" w:rsidRDefault="00046465">
            <w:pPr>
              <w:pStyle w:val="TableParagraph"/>
              <w:rPr>
                <w:rFonts w:ascii="Times New Roman"/>
                <w:sz w:val="16"/>
              </w:rPr>
            </w:pPr>
          </w:p>
        </w:tc>
        <w:tc>
          <w:tcPr>
            <w:tcW w:w="720" w:type="dxa"/>
          </w:tcPr>
          <w:p w14:paraId="0DFDCA3D" w14:textId="77777777" w:rsidR="00046465" w:rsidRDefault="00046465">
            <w:pPr>
              <w:pStyle w:val="TableParagraph"/>
              <w:rPr>
                <w:rFonts w:ascii="Times New Roman"/>
                <w:sz w:val="16"/>
              </w:rPr>
            </w:pPr>
          </w:p>
        </w:tc>
        <w:tc>
          <w:tcPr>
            <w:tcW w:w="1080" w:type="dxa"/>
          </w:tcPr>
          <w:p w14:paraId="0DFDCA3E" w14:textId="77777777" w:rsidR="00046465" w:rsidRDefault="00046465">
            <w:pPr>
              <w:pStyle w:val="TableParagraph"/>
              <w:rPr>
                <w:rFonts w:ascii="Times New Roman"/>
                <w:sz w:val="16"/>
              </w:rPr>
            </w:pPr>
          </w:p>
        </w:tc>
        <w:tc>
          <w:tcPr>
            <w:tcW w:w="630" w:type="dxa"/>
          </w:tcPr>
          <w:p w14:paraId="0DFDCA3F" w14:textId="77777777" w:rsidR="00046465" w:rsidRDefault="00046465">
            <w:pPr>
              <w:pStyle w:val="TableParagraph"/>
              <w:rPr>
                <w:rFonts w:ascii="Times New Roman"/>
                <w:sz w:val="16"/>
              </w:rPr>
            </w:pPr>
          </w:p>
        </w:tc>
        <w:tc>
          <w:tcPr>
            <w:tcW w:w="720" w:type="dxa"/>
          </w:tcPr>
          <w:p w14:paraId="0DFDCA40" w14:textId="77777777" w:rsidR="00046465" w:rsidRDefault="00046465">
            <w:pPr>
              <w:pStyle w:val="TableParagraph"/>
              <w:rPr>
                <w:rFonts w:ascii="Times New Roman"/>
                <w:sz w:val="16"/>
              </w:rPr>
            </w:pPr>
          </w:p>
        </w:tc>
        <w:tc>
          <w:tcPr>
            <w:tcW w:w="900" w:type="dxa"/>
          </w:tcPr>
          <w:p w14:paraId="0DFDCA41" w14:textId="77777777" w:rsidR="00046465" w:rsidRDefault="00046465">
            <w:pPr>
              <w:pStyle w:val="TableParagraph"/>
              <w:rPr>
                <w:rFonts w:ascii="Times New Roman"/>
                <w:sz w:val="16"/>
              </w:rPr>
            </w:pPr>
          </w:p>
        </w:tc>
        <w:tc>
          <w:tcPr>
            <w:tcW w:w="900" w:type="dxa"/>
          </w:tcPr>
          <w:p w14:paraId="0DFDCA42" w14:textId="77777777" w:rsidR="00046465" w:rsidRDefault="00046465">
            <w:pPr>
              <w:pStyle w:val="TableParagraph"/>
              <w:rPr>
                <w:rFonts w:ascii="Times New Roman"/>
                <w:sz w:val="16"/>
              </w:rPr>
            </w:pPr>
          </w:p>
        </w:tc>
        <w:tc>
          <w:tcPr>
            <w:tcW w:w="1080" w:type="dxa"/>
          </w:tcPr>
          <w:p w14:paraId="0DFDCA43" w14:textId="77777777" w:rsidR="00046465" w:rsidRDefault="00046465">
            <w:pPr>
              <w:pStyle w:val="TableParagraph"/>
              <w:rPr>
                <w:rFonts w:ascii="Times New Roman"/>
                <w:sz w:val="16"/>
              </w:rPr>
            </w:pPr>
          </w:p>
        </w:tc>
        <w:tc>
          <w:tcPr>
            <w:tcW w:w="540" w:type="dxa"/>
          </w:tcPr>
          <w:p w14:paraId="0DFDCA44" w14:textId="77777777" w:rsidR="00046465" w:rsidRDefault="00046465">
            <w:pPr>
              <w:pStyle w:val="TableParagraph"/>
              <w:rPr>
                <w:rFonts w:ascii="Times New Roman"/>
                <w:sz w:val="16"/>
              </w:rPr>
            </w:pPr>
          </w:p>
        </w:tc>
        <w:tc>
          <w:tcPr>
            <w:tcW w:w="630" w:type="dxa"/>
          </w:tcPr>
          <w:p w14:paraId="0DFDCA45" w14:textId="77777777" w:rsidR="00046465" w:rsidRDefault="00046465">
            <w:pPr>
              <w:pStyle w:val="TableParagraph"/>
              <w:rPr>
                <w:rFonts w:ascii="Times New Roman"/>
                <w:sz w:val="16"/>
              </w:rPr>
            </w:pPr>
          </w:p>
        </w:tc>
        <w:tc>
          <w:tcPr>
            <w:tcW w:w="630" w:type="dxa"/>
          </w:tcPr>
          <w:p w14:paraId="0DFDCA46" w14:textId="77777777" w:rsidR="00046465" w:rsidRDefault="00046465">
            <w:pPr>
              <w:pStyle w:val="TableParagraph"/>
              <w:rPr>
                <w:rFonts w:ascii="Times New Roman"/>
                <w:sz w:val="16"/>
              </w:rPr>
            </w:pPr>
          </w:p>
        </w:tc>
        <w:tc>
          <w:tcPr>
            <w:tcW w:w="1170" w:type="dxa"/>
          </w:tcPr>
          <w:p w14:paraId="0DFDCA47" w14:textId="77777777" w:rsidR="00046465" w:rsidRDefault="00046465">
            <w:pPr>
              <w:pStyle w:val="TableParagraph"/>
              <w:rPr>
                <w:rFonts w:ascii="Times New Roman"/>
                <w:sz w:val="16"/>
              </w:rPr>
            </w:pPr>
          </w:p>
        </w:tc>
        <w:tc>
          <w:tcPr>
            <w:tcW w:w="1260" w:type="dxa"/>
          </w:tcPr>
          <w:p w14:paraId="0DFDCA48" w14:textId="77777777" w:rsidR="00046465" w:rsidRDefault="00046465">
            <w:pPr>
              <w:pStyle w:val="TableParagraph"/>
              <w:rPr>
                <w:rFonts w:ascii="Times New Roman"/>
                <w:sz w:val="16"/>
              </w:rPr>
            </w:pPr>
          </w:p>
        </w:tc>
        <w:tc>
          <w:tcPr>
            <w:tcW w:w="1890" w:type="dxa"/>
          </w:tcPr>
          <w:p w14:paraId="0DFDCA49" w14:textId="77777777" w:rsidR="00046465" w:rsidRDefault="00046465">
            <w:pPr>
              <w:pStyle w:val="TableParagraph"/>
              <w:rPr>
                <w:rFonts w:ascii="Times New Roman"/>
                <w:sz w:val="16"/>
              </w:rPr>
            </w:pPr>
          </w:p>
        </w:tc>
        <w:tc>
          <w:tcPr>
            <w:tcW w:w="900" w:type="dxa"/>
          </w:tcPr>
          <w:p w14:paraId="0DFDCA4A" w14:textId="77777777" w:rsidR="00046465" w:rsidRDefault="00046465">
            <w:pPr>
              <w:pStyle w:val="TableParagraph"/>
              <w:rPr>
                <w:rFonts w:ascii="Times New Roman"/>
                <w:sz w:val="16"/>
              </w:rPr>
            </w:pPr>
          </w:p>
        </w:tc>
        <w:tc>
          <w:tcPr>
            <w:tcW w:w="630" w:type="dxa"/>
          </w:tcPr>
          <w:p w14:paraId="0DFDCA4B" w14:textId="77777777" w:rsidR="00046465" w:rsidRDefault="00046465">
            <w:pPr>
              <w:pStyle w:val="TableParagraph"/>
              <w:rPr>
                <w:rFonts w:ascii="Times New Roman"/>
                <w:sz w:val="16"/>
              </w:rPr>
            </w:pPr>
          </w:p>
        </w:tc>
        <w:tc>
          <w:tcPr>
            <w:tcW w:w="1800" w:type="dxa"/>
          </w:tcPr>
          <w:p w14:paraId="0DFDCA4C" w14:textId="77777777" w:rsidR="00046465" w:rsidRDefault="00046465">
            <w:pPr>
              <w:pStyle w:val="TableParagraph"/>
              <w:rPr>
                <w:rFonts w:ascii="Times New Roman"/>
                <w:sz w:val="16"/>
              </w:rPr>
            </w:pPr>
          </w:p>
        </w:tc>
        <w:tc>
          <w:tcPr>
            <w:tcW w:w="540" w:type="dxa"/>
          </w:tcPr>
          <w:p w14:paraId="0DFDCA4D" w14:textId="77777777" w:rsidR="00046465" w:rsidRDefault="00046465">
            <w:pPr>
              <w:pStyle w:val="TableParagraph"/>
              <w:rPr>
                <w:rFonts w:ascii="Times New Roman"/>
                <w:sz w:val="16"/>
              </w:rPr>
            </w:pPr>
          </w:p>
        </w:tc>
        <w:tc>
          <w:tcPr>
            <w:tcW w:w="1440" w:type="dxa"/>
          </w:tcPr>
          <w:p w14:paraId="0DFDCA4E" w14:textId="77777777" w:rsidR="00046465" w:rsidRDefault="00046465">
            <w:pPr>
              <w:pStyle w:val="TableParagraph"/>
              <w:rPr>
                <w:rFonts w:ascii="Times New Roman"/>
                <w:sz w:val="16"/>
              </w:rPr>
            </w:pPr>
          </w:p>
        </w:tc>
        <w:tc>
          <w:tcPr>
            <w:tcW w:w="630" w:type="dxa"/>
          </w:tcPr>
          <w:p w14:paraId="0DFDCA4F" w14:textId="77777777" w:rsidR="00046465" w:rsidRDefault="00046465">
            <w:pPr>
              <w:pStyle w:val="TableParagraph"/>
              <w:rPr>
                <w:rFonts w:ascii="Times New Roman"/>
                <w:sz w:val="16"/>
              </w:rPr>
            </w:pPr>
          </w:p>
        </w:tc>
      </w:tr>
      <w:tr w:rsidR="00046465" w14:paraId="0DFDCA69" w14:textId="77777777">
        <w:trPr>
          <w:trHeight w:val="299"/>
        </w:trPr>
        <w:tc>
          <w:tcPr>
            <w:tcW w:w="1075" w:type="dxa"/>
          </w:tcPr>
          <w:p w14:paraId="0DFDCA51" w14:textId="77777777" w:rsidR="00046465" w:rsidRDefault="008134EB">
            <w:pPr>
              <w:pStyle w:val="TableParagraph"/>
              <w:spacing w:before="92" w:line="187" w:lineRule="exact"/>
              <w:ind w:right="102"/>
              <w:jc w:val="right"/>
              <w:rPr>
                <w:sz w:val="18"/>
              </w:rPr>
            </w:pPr>
            <w:r>
              <w:rPr>
                <w:spacing w:val="-10"/>
                <w:sz w:val="18"/>
              </w:rPr>
              <w:t>2</w:t>
            </w:r>
          </w:p>
        </w:tc>
        <w:tc>
          <w:tcPr>
            <w:tcW w:w="637" w:type="dxa"/>
          </w:tcPr>
          <w:p w14:paraId="0DFDCA52" w14:textId="77777777" w:rsidR="00046465" w:rsidRDefault="00046465">
            <w:pPr>
              <w:pStyle w:val="TableParagraph"/>
              <w:rPr>
                <w:rFonts w:ascii="Times New Roman"/>
                <w:sz w:val="16"/>
              </w:rPr>
            </w:pPr>
          </w:p>
        </w:tc>
        <w:tc>
          <w:tcPr>
            <w:tcW w:w="720" w:type="dxa"/>
          </w:tcPr>
          <w:p w14:paraId="0DFDCA53" w14:textId="77777777" w:rsidR="00046465" w:rsidRDefault="00046465">
            <w:pPr>
              <w:pStyle w:val="TableParagraph"/>
              <w:rPr>
                <w:rFonts w:ascii="Times New Roman"/>
                <w:sz w:val="16"/>
              </w:rPr>
            </w:pPr>
          </w:p>
        </w:tc>
        <w:tc>
          <w:tcPr>
            <w:tcW w:w="720" w:type="dxa"/>
          </w:tcPr>
          <w:p w14:paraId="0DFDCA54" w14:textId="77777777" w:rsidR="00046465" w:rsidRDefault="00046465">
            <w:pPr>
              <w:pStyle w:val="TableParagraph"/>
              <w:rPr>
                <w:rFonts w:ascii="Times New Roman"/>
                <w:sz w:val="16"/>
              </w:rPr>
            </w:pPr>
          </w:p>
        </w:tc>
        <w:tc>
          <w:tcPr>
            <w:tcW w:w="720" w:type="dxa"/>
          </w:tcPr>
          <w:p w14:paraId="0DFDCA55" w14:textId="77777777" w:rsidR="00046465" w:rsidRDefault="00046465">
            <w:pPr>
              <w:pStyle w:val="TableParagraph"/>
              <w:rPr>
                <w:rFonts w:ascii="Times New Roman"/>
                <w:sz w:val="16"/>
              </w:rPr>
            </w:pPr>
          </w:p>
        </w:tc>
        <w:tc>
          <w:tcPr>
            <w:tcW w:w="720" w:type="dxa"/>
          </w:tcPr>
          <w:p w14:paraId="0DFDCA56" w14:textId="77777777" w:rsidR="00046465" w:rsidRDefault="00046465">
            <w:pPr>
              <w:pStyle w:val="TableParagraph"/>
              <w:rPr>
                <w:rFonts w:ascii="Times New Roman"/>
                <w:sz w:val="16"/>
              </w:rPr>
            </w:pPr>
          </w:p>
        </w:tc>
        <w:tc>
          <w:tcPr>
            <w:tcW w:w="1080" w:type="dxa"/>
          </w:tcPr>
          <w:p w14:paraId="0DFDCA57" w14:textId="77777777" w:rsidR="00046465" w:rsidRDefault="00046465">
            <w:pPr>
              <w:pStyle w:val="TableParagraph"/>
              <w:rPr>
                <w:rFonts w:ascii="Times New Roman"/>
                <w:sz w:val="16"/>
              </w:rPr>
            </w:pPr>
          </w:p>
        </w:tc>
        <w:tc>
          <w:tcPr>
            <w:tcW w:w="630" w:type="dxa"/>
          </w:tcPr>
          <w:p w14:paraId="0DFDCA58" w14:textId="77777777" w:rsidR="00046465" w:rsidRDefault="00046465">
            <w:pPr>
              <w:pStyle w:val="TableParagraph"/>
              <w:rPr>
                <w:rFonts w:ascii="Times New Roman"/>
                <w:sz w:val="16"/>
              </w:rPr>
            </w:pPr>
          </w:p>
        </w:tc>
        <w:tc>
          <w:tcPr>
            <w:tcW w:w="720" w:type="dxa"/>
          </w:tcPr>
          <w:p w14:paraId="0DFDCA59" w14:textId="77777777" w:rsidR="00046465" w:rsidRDefault="00046465">
            <w:pPr>
              <w:pStyle w:val="TableParagraph"/>
              <w:rPr>
                <w:rFonts w:ascii="Times New Roman"/>
                <w:sz w:val="16"/>
              </w:rPr>
            </w:pPr>
          </w:p>
        </w:tc>
        <w:tc>
          <w:tcPr>
            <w:tcW w:w="900" w:type="dxa"/>
          </w:tcPr>
          <w:p w14:paraId="0DFDCA5A" w14:textId="77777777" w:rsidR="00046465" w:rsidRDefault="00046465">
            <w:pPr>
              <w:pStyle w:val="TableParagraph"/>
              <w:rPr>
                <w:rFonts w:ascii="Times New Roman"/>
                <w:sz w:val="16"/>
              </w:rPr>
            </w:pPr>
          </w:p>
        </w:tc>
        <w:tc>
          <w:tcPr>
            <w:tcW w:w="900" w:type="dxa"/>
          </w:tcPr>
          <w:p w14:paraId="0DFDCA5B" w14:textId="77777777" w:rsidR="00046465" w:rsidRDefault="00046465">
            <w:pPr>
              <w:pStyle w:val="TableParagraph"/>
              <w:rPr>
                <w:rFonts w:ascii="Times New Roman"/>
                <w:sz w:val="16"/>
              </w:rPr>
            </w:pPr>
          </w:p>
        </w:tc>
        <w:tc>
          <w:tcPr>
            <w:tcW w:w="1080" w:type="dxa"/>
          </w:tcPr>
          <w:p w14:paraId="0DFDCA5C" w14:textId="77777777" w:rsidR="00046465" w:rsidRDefault="00046465">
            <w:pPr>
              <w:pStyle w:val="TableParagraph"/>
              <w:rPr>
                <w:rFonts w:ascii="Times New Roman"/>
                <w:sz w:val="16"/>
              </w:rPr>
            </w:pPr>
          </w:p>
        </w:tc>
        <w:tc>
          <w:tcPr>
            <w:tcW w:w="540" w:type="dxa"/>
          </w:tcPr>
          <w:p w14:paraId="0DFDCA5D" w14:textId="77777777" w:rsidR="00046465" w:rsidRDefault="00046465">
            <w:pPr>
              <w:pStyle w:val="TableParagraph"/>
              <w:rPr>
                <w:rFonts w:ascii="Times New Roman"/>
                <w:sz w:val="16"/>
              </w:rPr>
            </w:pPr>
          </w:p>
        </w:tc>
        <w:tc>
          <w:tcPr>
            <w:tcW w:w="630" w:type="dxa"/>
          </w:tcPr>
          <w:p w14:paraId="0DFDCA5E" w14:textId="77777777" w:rsidR="00046465" w:rsidRDefault="00046465">
            <w:pPr>
              <w:pStyle w:val="TableParagraph"/>
              <w:rPr>
                <w:rFonts w:ascii="Times New Roman"/>
                <w:sz w:val="16"/>
              </w:rPr>
            </w:pPr>
          </w:p>
        </w:tc>
        <w:tc>
          <w:tcPr>
            <w:tcW w:w="630" w:type="dxa"/>
          </w:tcPr>
          <w:p w14:paraId="0DFDCA5F" w14:textId="77777777" w:rsidR="00046465" w:rsidRDefault="00046465">
            <w:pPr>
              <w:pStyle w:val="TableParagraph"/>
              <w:rPr>
                <w:rFonts w:ascii="Times New Roman"/>
                <w:sz w:val="16"/>
              </w:rPr>
            </w:pPr>
          </w:p>
        </w:tc>
        <w:tc>
          <w:tcPr>
            <w:tcW w:w="1170" w:type="dxa"/>
          </w:tcPr>
          <w:p w14:paraId="0DFDCA60" w14:textId="77777777" w:rsidR="00046465" w:rsidRDefault="00046465">
            <w:pPr>
              <w:pStyle w:val="TableParagraph"/>
              <w:rPr>
                <w:rFonts w:ascii="Times New Roman"/>
                <w:sz w:val="16"/>
              </w:rPr>
            </w:pPr>
          </w:p>
        </w:tc>
        <w:tc>
          <w:tcPr>
            <w:tcW w:w="1260" w:type="dxa"/>
          </w:tcPr>
          <w:p w14:paraId="0DFDCA61" w14:textId="77777777" w:rsidR="00046465" w:rsidRDefault="00046465">
            <w:pPr>
              <w:pStyle w:val="TableParagraph"/>
              <w:rPr>
                <w:rFonts w:ascii="Times New Roman"/>
                <w:sz w:val="16"/>
              </w:rPr>
            </w:pPr>
          </w:p>
        </w:tc>
        <w:tc>
          <w:tcPr>
            <w:tcW w:w="1890" w:type="dxa"/>
          </w:tcPr>
          <w:p w14:paraId="0DFDCA62" w14:textId="77777777" w:rsidR="00046465" w:rsidRDefault="00046465">
            <w:pPr>
              <w:pStyle w:val="TableParagraph"/>
              <w:rPr>
                <w:rFonts w:ascii="Times New Roman"/>
                <w:sz w:val="16"/>
              </w:rPr>
            </w:pPr>
          </w:p>
        </w:tc>
        <w:tc>
          <w:tcPr>
            <w:tcW w:w="900" w:type="dxa"/>
          </w:tcPr>
          <w:p w14:paraId="0DFDCA63" w14:textId="77777777" w:rsidR="00046465" w:rsidRDefault="00046465">
            <w:pPr>
              <w:pStyle w:val="TableParagraph"/>
              <w:rPr>
                <w:rFonts w:ascii="Times New Roman"/>
                <w:sz w:val="16"/>
              </w:rPr>
            </w:pPr>
          </w:p>
        </w:tc>
        <w:tc>
          <w:tcPr>
            <w:tcW w:w="630" w:type="dxa"/>
          </w:tcPr>
          <w:p w14:paraId="0DFDCA64" w14:textId="77777777" w:rsidR="00046465" w:rsidRDefault="00046465">
            <w:pPr>
              <w:pStyle w:val="TableParagraph"/>
              <w:rPr>
                <w:rFonts w:ascii="Times New Roman"/>
                <w:sz w:val="16"/>
              </w:rPr>
            </w:pPr>
          </w:p>
        </w:tc>
        <w:tc>
          <w:tcPr>
            <w:tcW w:w="1800" w:type="dxa"/>
          </w:tcPr>
          <w:p w14:paraId="0DFDCA65" w14:textId="77777777" w:rsidR="00046465" w:rsidRDefault="00046465">
            <w:pPr>
              <w:pStyle w:val="TableParagraph"/>
              <w:rPr>
                <w:rFonts w:ascii="Times New Roman"/>
                <w:sz w:val="16"/>
              </w:rPr>
            </w:pPr>
          </w:p>
        </w:tc>
        <w:tc>
          <w:tcPr>
            <w:tcW w:w="540" w:type="dxa"/>
          </w:tcPr>
          <w:p w14:paraId="0DFDCA66" w14:textId="77777777" w:rsidR="00046465" w:rsidRDefault="00046465">
            <w:pPr>
              <w:pStyle w:val="TableParagraph"/>
              <w:rPr>
                <w:rFonts w:ascii="Times New Roman"/>
                <w:sz w:val="16"/>
              </w:rPr>
            </w:pPr>
          </w:p>
        </w:tc>
        <w:tc>
          <w:tcPr>
            <w:tcW w:w="1440" w:type="dxa"/>
          </w:tcPr>
          <w:p w14:paraId="0DFDCA67" w14:textId="77777777" w:rsidR="00046465" w:rsidRDefault="00046465">
            <w:pPr>
              <w:pStyle w:val="TableParagraph"/>
              <w:rPr>
                <w:rFonts w:ascii="Times New Roman"/>
                <w:sz w:val="16"/>
              </w:rPr>
            </w:pPr>
          </w:p>
        </w:tc>
        <w:tc>
          <w:tcPr>
            <w:tcW w:w="630" w:type="dxa"/>
          </w:tcPr>
          <w:p w14:paraId="0DFDCA68" w14:textId="77777777" w:rsidR="00046465" w:rsidRDefault="00046465">
            <w:pPr>
              <w:pStyle w:val="TableParagraph"/>
              <w:rPr>
                <w:rFonts w:ascii="Times New Roman"/>
                <w:sz w:val="16"/>
              </w:rPr>
            </w:pPr>
          </w:p>
        </w:tc>
      </w:tr>
      <w:tr w:rsidR="00046465" w14:paraId="0DFDCA82" w14:textId="77777777">
        <w:trPr>
          <w:trHeight w:val="299"/>
        </w:trPr>
        <w:tc>
          <w:tcPr>
            <w:tcW w:w="1075" w:type="dxa"/>
          </w:tcPr>
          <w:p w14:paraId="0DFDCA6A" w14:textId="77777777" w:rsidR="00046465" w:rsidRDefault="008134EB">
            <w:pPr>
              <w:pStyle w:val="TableParagraph"/>
              <w:spacing w:before="92" w:line="187" w:lineRule="exact"/>
              <w:ind w:right="102"/>
              <w:jc w:val="right"/>
              <w:rPr>
                <w:sz w:val="18"/>
              </w:rPr>
            </w:pPr>
            <w:r>
              <w:rPr>
                <w:spacing w:val="-10"/>
                <w:sz w:val="18"/>
              </w:rPr>
              <w:t>3</w:t>
            </w:r>
          </w:p>
        </w:tc>
        <w:tc>
          <w:tcPr>
            <w:tcW w:w="637" w:type="dxa"/>
          </w:tcPr>
          <w:p w14:paraId="0DFDCA6B" w14:textId="77777777" w:rsidR="00046465" w:rsidRDefault="00046465">
            <w:pPr>
              <w:pStyle w:val="TableParagraph"/>
              <w:rPr>
                <w:rFonts w:ascii="Times New Roman"/>
                <w:sz w:val="16"/>
              </w:rPr>
            </w:pPr>
          </w:p>
        </w:tc>
        <w:tc>
          <w:tcPr>
            <w:tcW w:w="720" w:type="dxa"/>
          </w:tcPr>
          <w:p w14:paraId="0DFDCA6C" w14:textId="77777777" w:rsidR="00046465" w:rsidRDefault="00046465">
            <w:pPr>
              <w:pStyle w:val="TableParagraph"/>
              <w:rPr>
                <w:rFonts w:ascii="Times New Roman"/>
                <w:sz w:val="16"/>
              </w:rPr>
            </w:pPr>
          </w:p>
        </w:tc>
        <w:tc>
          <w:tcPr>
            <w:tcW w:w="720" w:type="dxa"/>
          </w:tcPr>
          <w:p w14:paraId="0DFDCA6D" w14:textId="77777777" w:rsidR="00046465" w:rsidRDefault="00046465">
            <w:pPr>
              <w:pStyle w:val="TableParagraph"/>
              <w:rPr>
                <w:rFonts w:ascii="Times New Roman"/>
                <w:sz w:val="16"/>
              </w:rPr>
            </w:pPr>
          </w:p>
        </w:tc>
        <w:tc>
          <w:tcPr>
            <w:tcW w:w="720" w:type="dxa"/>
          </w:tcPr>
          <w:p w14:paraId="0DFDCA6E" w14:textId="77777777" w:rsidR="00046465" w:rsidRDefault="00046465">
            <w:pPr>
              <w:pStyle w:val="TableParagraph"/>
              <w:rPr>
                <w:rFonts w:ascii="Times New Roman"/>
                <w:sz w:val="16"/>
              </w:rPr>
            </w:pPr>
          </w:p>
        </w:tc>
        <w:tc>
          <w:tcPr>
            <w:tcW w:w="720" w:type="dxa"/>
          </w:tcPr>
          <w:p w14:paraId="0DFDCA6F" w14:textId="77777777" w:rsidR="00046465" w:rsidRDefault="00046465">
            <w:pPr>
              <w:pStyle w:val="TableParagraph"/>
              <w:rPr>
                <w:rFonts w:ascii="Times New Roman"/>
                <w:sz w:val="16"/>
              </w:rPr>
            </w:pPr>
          </w:p>
        </w:tc>
        <w:tc>
          <w:tcPr>
            <w:tcW w:w="1080" w:type="dxa"/>
          </w:tcPr>
          <w:p w14:paraId="0DFDCA70" w14:textId="77777777" w:rsidR="00046465" w:rsidRDefault="00046465">
            <w:pPr>
              <w:pStyle w:val="TableParagraph"/>
              <w:rPr>
                <w:rFonts w:ascii="Times New Roman"/>
                <w:sz w:val="16"/>
              </w:rPr>
            </w:pPr>
          </w:p>
        </w:tc>
        <w:tc>
          <w:tcPr>
            <w:tcW w:w="630" w:type="dxa"/>
          </w:tcPr>
          <w:p w14:paraId="0DFDCA71" w14:textId="77777777" w:rsidR="00046465" w:rsidRDefault="00046465">
            <w:pPr>
              <w:pStyle w:val="TableParagraph"/>
              <w:rPr>
                <w:rFonts w:ascii="Times New Roman"/>
                <w:sz w:val="16"/>
              </w:rPr>
            </w:pPr>
          </w:p>
        </w:tc>
        <w:tc>
          <w:tcPr>
            <w:tcW w:w="720" w:type="dxa"/>
          </w:tcPr>
          <w:p w14:paraId="0DFDCA72" w14:textId="77777777" w:rsidR="00046465" w:rsidRDefault="00046465">
            <w:pPr>
              <w:pStyle w:val="TableParagraph"/>
              <w:rPr>
                <w:rFonts w:ascii="Times New Roman"/>
                <w:sz w:val="16"/>
              </w:rPr>
            </w:pPr>
          </w:p>
        </w:tc>
        <w:tc>
          <w:tcPr>
            <w:tcW w:w="900" w:type="dxa"/>
          </w:tcPr>
          <w:p w14:paraId="0DFDCA73" w14:textId="77777777" w:rsidR="00046465" w:rsidRDefault="00046465">
            <w:pPr>
              <w:pStyle w:val="TableParagraph"/>
              <w:rPr>
                <w:rFonts w:ascii="Times New Roman"/>
                <w:sz w:val="16"/>
              </w:rPr>
            </w:pPr>
          </w:p>
        </w:tc>
        <w:tc>
          <w:tcPr>
            <w:tcW w:w="900" w:type="dxa"/>
          </w:tcPr>
          <w:p w14:paraId="0DFDCA74" w14:textId="77777777" w:rsidR="00046465" w:rsidRDefault="00046465">
            <w:pPr>
              <w:pStyle w:val="TableParagraph"/>
              <w:rPr>
                <w:rFonts w:ascii="Times New Roman"/>
                <w:sz w:val="16"/>
              </w:rPr>
            </w:pPr>
          </w:p>
        </w:tc>
        <w:tc>
          <w:tcPr>
            <w:tcW w:w="1080" w:type="dxa"/>
          </w:tcPr>
          <w:p w14:paraId="0DFDCA75" w14:textId="77777777" w:rsidR="00046465" w:rsidRDefault="00046465">
            <w:pPr>
              <w:pStyle w:val="TableParagraph"/>
              <w:rPr>
                <w:rFonts w:ascii="Times New Roman"/>
                <w:sz w:val="16"/>
              </w:rPr>
            </w:pPr>
          </w:p>
        </w:tc>
        <w:tc>
          <w:tcPr>
            <w:tcW w:w="540" w:type="dxa"/>
          </w:tcPr>
          <w:p w14:paraId="0DFDCA76" w14:textId="77777777" w:rsidR="00046465" w:rsidRDefault="00046465">
            <w:pPr>
              <w:pStyle w:val="TableParagraph"/>
              <w:rPr>
                <w:rFonts w:ascii="Times New Roman"/>
                <w:sz w:val="16"/>
              </w:rPr>
            </w:pPr>
          </w:p>
        </w:tc>
        <w:tc>
          <w:tcPr>
            <w:tcW w:w="630" w:type="dxa"/>
          </w:tcPr>
          <w:p w14:paraId="0DFDCA77" w14:textId="77777777" w:rsidR="00046465" w:rsidRDefault="00046465">
            <w:pPr>
              <w:pStyle w:val="TableParagraph"/>
              <w:rPr>
                <w:rFonts w:ascii="Times New Roman"/>
                <w:sz w:val="16"/>
              </w:rPr>
            </w:pPr>
          </w:p>
        </w:tc>
        <w:tc>
          <w:tcPr>
            <w:tcW w:w="630" w:type="dxa"/>
          </w:tcPr>
          <w:p w14:paraId="0DFDCA78" w14:textId="77777777" w:rsidR="00046465" w:rsidRDefault="00046465">
            <w:pPr>
              <w:pStyle w:val="TableParagraph"/>
              <w:rPr>
                <w:rFonts w:ascii="Times New Roman"/>
                <w:sz w:val="16"/>
              </w:rPr>
            </w:pPr>
          </w:p>
        </w:tc>
        <w:tc>
          <w:tcPr>
            <w:tcW w:w="1170" w:type="dxa"/>
          </w:tcPr>
          <w:p w14:paraId="0DFDCA79" w14:textId="77777777" w:rsidR="00046465" w:rsidRDefault="00046465">
            <w:pPr>
              <w:pStyle w:val="TableParagraph"/>
              <w:rPr>
                <w:rFonts w:ascii="Times New Roman"/>
                <w:sz w:val="16"/>
              </w:rPr>
            </w:pPr>
          </w:p>
        </w:tc>
        <w:tc>
          <w:tcPr>
            <w:tcW w:w="1260" w:type="dxa"/>
          </w:tcPr>
          <w:p w14:paraId="0DFDCA7A" w14:textId="77777777" w:rsidR="00046465" w:rsidRDefault="00046465">
            <w:pPr>
              <w:pStyle w:val="TableParagraph"/>
              <w:rPr>
                <w:rFonts w:ascii="Times New Roman"/>
                <w:sz w:val="16"/>
              </w:rPr>
            </w:pPr>
          </w:p>
        </w:tc>
        <w:tc>
          <w:tcPr>
            <w:tcW w:w="1890" w:type="dxa"/>
          </w:tcPr>
          <w:p w14:paraId="0DFDCA7B" w14:textId="77777777" w:rsidR="00046465" w:rsidRDefault="00046465">
            <w:pPr>
              <w:pStyle w:val="TableParagraph"/>
              <w:rPr>
                <w:rFonts w:ascii="Times New Roman"/>
                <w:sz w:val="16"/>
              </w:rPr>
            </w:pPr>
          </w:p>
        </w:tc>
        <w:tc>
          <w:tcPr>
            <w:tcW w:w="900" w:type="dxa"/>
          </w:tcPr>
          <w:p w14:paraId="0DFDCA7C" w14:textId="77777777" w:rsidR="00046465" w:rsidRDefault="00046465">
            <w:pPr>
              <w:pStyle w:val="TableParagraph"/>
              <w:rPr>
                <w:rFonts w:ascii="Times New Roman"/>
                <w:sz w:val="16"/>
              </w:rPr>
            </w:pPr>
          </w:p>
        </w:tc>
        <w:tc>
          <w:tcPr>
            <w:tcW w:w="630" w:type="dxa"/>
          </w:tcPr>
          <w:p w14:paraId="0DFDCA7D" w14:textId="77777777" w:rsidR="00046465" w:rsidRDefault="00046465">
            <w:pPr>
              <w:pStyle w:val="TableParagraph"/>
              <w:rPr>
                <w:rFonts w:ascii="Times New Roman"/>
                <w:sz w:val="16"/>
              </w:rPr>
            </w:pPr>
          </w:p>
        </w:tc>
        <w:tc>
          <w:tcPr>
            <w:tcW w:w="1800" w:type="dxa"/>
          </w:tcPr>
          <w:p w14:paraId="0DFDCA7E" w14:textId="77777777" w:rsidR="00046465" w:rsidRDefault="00046465">
            <w:pPr>
              <w:pStyle w:val="TableParagraph"/>
              <w:rPr>
                <w:rFonts w:ascii="Times New Roman"/>
                <w:sz w:val="16"/>
              </w:rPr>
            </w:pPr>
          </w:p>
        </w:tc>
        <w:tc>
          <w:tcPr>
            <w:tcW w:w="540" w:type="dxa"/>
          </w:tcPr>
          <w:p w14:paraId="0DFDCA7F" w14:textId="77777777" w:rsidR="00046465" w:rsidRDefault="00046465">
            <w:pPr>
              <w:pStyle w:val="TableParagraph"/>
              <w:rPr>
                <w:rFonts w:ascii="Times New Roman"/>
                <w:sz w:val="16"/>
              </w:rPr>
            </w:pPr>
          </w:p>
        </w:tc>
        <w:tc>
          <w:tcPr>
            <w:tcW w:w="1440" w:type="dxa"/>
          </w:tcPr>
          <w:p w14:paraId="0DFDCA80" w14:textId="77777777" w:rsidR="00046465" w:rsidRDefault="00046465">
            <w:pPr>
              <w:pStyle w:val="TableParagraph"/>
              <w:rPr>
                <w:rFonts w:ascii="Times New Roman"/>
                <w:sz w:val="16"/>
              </w:rPr>
            </w:pPr>
          </w:p>
        </w:tc>
        <w:tc>
          <w:tcPr>
            <w:tcW w:w="630" w:type="dxa"/>
          </w:tcPr>
          <w:p w14:paraId="0DFDCA81" w14:textId="77777777" w:rsidR="00046465" w:rsidRDefault="00046465">
            <w:pPr>
              <w:pStyle w:val="TableParagraph"/>
              <w:rPr>
                <w:rFonts w:ascii="Times New Roman"/>
                <w:sz w:val="16"/>
              </w:rPr>
            </w:pPr>
          </w:p>
        </w:tc>
      </w:tr>
      <w:tr w:rsidR="00046465" w14:paraId="0DFDCA97" w14:textId="77777777">
        <w:trPr>
          <w:trHeight w:val="300"/>
        </w:trPr>
        <w:tc>
          <w:tcPr>
            <w:tcW w:w="3872" w:type="dxa"/>
            <w:gridSpan w:val="5"/>
          </w:tcPr>
          <w:p w14:paraId="0DFDCA83" w14:textId="77777777" w:rsidR="00046465" w:rsidRDefault="008134EB">
            <w:pPr>
              <w:pStyle w:val="TableParagraph"/>
              <w:ind w:left="530"/>
              <w:rPr>
                <w:i/>
                <w:sz w:val="18"/>
              </w:rPr>
            </w:pPr>
            <w:r>
              <w:rPr>
                <w:i/>
                <w:sz w:val="18"/>
              </w:rPr>
              <w:t>***insert</w:t>
            </w:r>
            <w:r>
              <w:rPr>
                <w:i/>
                <w:spacing w:val="-3"/>
                <w:sz w:val="18"/>
              </w:rPr>
              <w:t xml:space="preserve"> </w:t>
            </w:r>
            <w:r>
              <w:rPr>
                <w:i/>
                <w:sz w:val="18"/>
              </w:rPr>
              <w:t>rows</w:t>
            </w:r>
            <w:r>
              <w:rPr>
                <w:i/>
                <w:spacing w:val="-2"/>
                <w:sz w:val="18"/>
              </w:rPr>
              <w:t xml:space="preserve"> </w:t>
            </w:r>
            <w:r>
              <w:rPr>
                <w:i/>
                <w:sz w:val="18"/>
              </w:rPr>
              <w:t>here</w:t>
            </w:r>
            <w:r>
              <w:rPr>
                <w:i/>
                <w:spacing w:val="-3"/>
                <w:sz w:val="18"/>
              </w:rPr>
              <w:t xml:space="preserve"> </w:t>
            </w:r>
            <w:r>
              <w:rPr>
                <w:i/>
                <w:sz w:val="18"/>
              </w:rPr>
              <w:t>as</w:t>
            </w:r>
            <w:r>
              <w:rPr>
                <w:i/>
                <w:spacing w:val="-2"/>
                <w:sz w:val="18"/>
              </w:rPr>
              <w:t xml:space="preserve"> necessary***</w:t>
            </w:r>
          </w:p>
        </w:tc>
        <w:tc>
          <w:tcPr>
            <w:tcW w:w="720" w:type="dxa"/>
          </w:tcPr>
          <w:p w14:paraId="0DFDCA84" w14:textId="77777777" w:rsidR="00046465" w:rsidRDefault="00046465">
            <w:pPr>
              <w:pStyle w:val="TableParagraph"/>
              <w:rPr>
                <w:rFonts w:ascii="Times New Roman"/>
                <w:sz w:val="16"/>
              </w:rPr>
            </w:pPr>
          </w:p>
        </w:tc>
        <w:tc>
          <w:tcPr>
            <w:tcW w:w="1080" w:type="dxa"/>
          </w:tcPr>
          <w:p w14:paraId="0DFDCA85" w14:textId="77777777" w:rsidR="00046465" w:rsidRDefault="00046465">
            <w:pPr>
              <w:pStyle w:val="TableParagraph"/>
              <w:rPr>
                <w:rFonts w:ascii="Times New Roman"/>
                <w:sz w:val="16"/>
              </w:rPr>
            </w:pPr>
          </w:p>
        </w:tc>
        <w:tc>
          <w:tcPr>
            <w:tcW w:w="630" w:type="dxa"/>
          </w:tcPr>
          <w:p w14:paraId="0DFDCA86" w14:textId="77777777" w:rsidR="00046465" w:rsidRDefault="00046465">
            <w:pPr>
              <w:pStyle w:val="TableParagraph"/>
              <w:rPr>
                <w:rFonts w:ascii="Times New Roman"/>
                <w:sz w:val="16"/>
              </w:rPr>
            </w:pPr>
          </w:p>
        </w:tc>
        <w:tc>
          <w:tcPr>
            <w:tcW w:w="720" w:type="dxa"/>
          </w:tcPr>
          <w:p w14:paraId="0DFDCA87" w14:textId="77777777" w:rsidR="00046465" w:rsidRDefault="00046465">
            <w:pPr>
              <w:pStyle w:val="TableParagraph"/>
              <w:rPr>
                <w:rFonts w:ascii="Times New Roman"/>
                <w:sz w:val="16"/>
              </w:rPr>
            </w:pPr>
          </w:p>
        </w:tc>
        <w:tc>
          <w:tcPr>
            <w:tcW w:w="900" w:type="dxa"/>
          </w:tcPr>
          <w:p w14:paraId="0DFDCA88" w14:textId="77777777" w:rsidR="00046465" w:rsidRDefault="00046465">
            <w:pPr>
              <w:pStyle w:val="TableParagraph"/>
              <w:rPr>
                <w:rFonts w:ascii="Times New Roman"/>
                <w:sz w:val="16"/>
              </w:rPr>
            </w:pPr>
          </w:p>
        </w:tc>
        <w:tc>
          <w:tcPr>
            <w:tcW w:w="900" w:type="dxa"/>
          </w:tcPr>
          <w:p w14:paraId="0DFDCA89" w14:textId="77777777" w:rsidR="00046465" w:rsidRDefault="00046465">
            <w:pPr>
              <w:pStyle w:val="TableParagraph"/>
              <w:rPr>
                <w:rFonts w:ascii="Times New Roman"/>
                <w:sz w:val="16"/>
              </w:rPr>
            </w:pPr>
          </w:p>
        </w:tc>
        <w:tc>
          <w:tcPr>
            <w:tcW w:w="1080" w:type="dxa"/>
          </w:tcPr>
          <w:p w14:paraId="0DFDCA8A" w14:textId="77777777" w:rsidR="00046465" w:rsidRDefault="00046465">
            <w:pPr>
              <w:pStyle w:val="TableParagraph"/>
              <w:rPr>
                <w:rFonts w:ascii="Times New Roman"/>
                <w:sz w:val="16"/>
              </w:rPr>
            </w:pPr>
          </w:p>
        </w:tc>
        <w:tc>
          <w:tcPr>
            <w:tcW w:w="540" w:type="dxa"/>
          </w:tcPr>
          <w:p w14:paraId="0DFDCA8B" w14:textId="77777777" w:rsidR="00046465" w:rsidRDefault="00046465">
            <w:pPr>
              <w:pStyle w:val="TableParagraph"/>
              <w:rPr>
                <w:rFonts w:ascii="Times New Roman"/>
                <w:sz w:val="16"/>
              </w:rPr>
            </w:pPr>
          </w:p>
        </w:tc>
        <w:tc>
          <w:tcPr>
            <w:tcW w:w="630" w:type="dxa"/>
          </w:tcPr>
          <w:p w14:paraId="0DFDCA8C" w14:textId="77777777" w:rsidR="00046465" w:rsidRDefault="00046465">
            <w:pPr>
              <w:pStyle w:val="TableParagraph"/>
              <w:rPr>
                <w:rFonts w:ascii="Times New Roman"/>
                <w:sz w:val="16"/>
              </w:rPr>
            </w:pPr>
          </w:p>
        </w:tc>
        <w:tc>
          <w:tcPr>
            <w:tcW w:w="630" w:type="dxa"/>
          </w:tcPr>
          <w:p w14:paraId="0DFDCA8D" w14:textId="77777777" w:rsidR="00046465" w:rsidRDefault="00046465">
            <w:pPr>
              <w:pStyle w:val="TableParagraph"/>
              <w:rPr>
                <w:rFonts w:ascii="Times New Roman"/>
                <w:sz w:val="16"/>
              </w:rPr>
            </w:pPr>
          </w:p>
        </w:tc>
        <w:tc>
          <w:tcPr>
            <w:tcW w:w="1170" w:type="dxa"/>
          </w:tcPr>
          <w:p w14:paraId="0DFDCA8E" w14:textId="77777777" w:rsidR="00046465" w:rsidRDefault="00046465">
            <w:pPr>
              <w:pStyle w:val="TableParagraph"/>
              <w:rPr>
                <w:rFonts w:ascii="Times New Roman"/>
                <w:sz w:val="16"/>
              </w:rPr>
            </w:pPr>
          </w:p>
        </w:tc>
        <w:tc>
          <w:tcPr>
            <w:tcW w:w="1260" w:type="dxa"/>
          </w:tcPr>
          <w:p w14:paraId="0DFDCA8F" w14:textId="77777777" w:rsidR="00046465" w:rsidRDefault="00046465">
            <w:pPr>
              <w:pStyle w:val="TableParagraph"/>
              <w:rPr>
                <w:rFonts w:ascii="Times New Roman"/>
                <w:sz w:val="16"/>
              </w:rPr>
            </w:pPr>
          </w:p>
        </w:tc>
        <w:tc>
          <w:tcPr>
            <w:tcW w:w="1890" w:type="dxa"/>
          </w:tcPr>
          <w:p w14:paraId="0DFDCA90" w14:textId="77777777" w:rsidR="00046465" w:rsidRDefault="00046465">
            <w:pPr>
              <w:pStyle w:val="TableParagraph"/>
              <w:rPr>
                <w:rFonts w:ascii="Times New Roman"/>
                <w:sz w:val="16"/>
              </w:rPr>
            </w:pPr>
          </w:p>
        </w:tc>
        <w:tc>
          <w:tcPr>
            <w:tcW w:w="900" w:type="dxa"/>
          </w:tcPr>
          <w:p w14:paraId="0DFDCA91" w14:textId="77777777" w:rsidR="00046465" w:rsidRDefault="00046465">
            <w:pPr>
              <w:pStyle w:val="TableParagraph"/>
              <w:rPr>
                <w:rFonts w:ascii="Times New Roman"/>
                <w:sz w:val="16"/>
              </w:rPr>
            </w:pPr>
          </w:p>
        </w:tc>
        <w:tc>
          <w:tcPr>
            <w:tcW w:w="630" w:type="dxa"/>
          </w:tcPr>
          <w:p w14:paraId="0DFDCA92" w14:textId="77777777" w:rsidR="00046465" w:rsidRDefault="00046465">
            <w:pPr>
              <w:pStyle w:val="TableParagraph"/>
              <w:rPr>
                <w:rFonts w:ascii="Times New Roman"/>
                <w:sz w:val="16"/>
              </w:rPr>
            </w:pPr>
          </w:p>
        </w:tc>
        <w:tc>
          <w:tcPr>
            <w:tcW w:w="1800" w:type="dxa"/>
          </w:tcPr>
          <w:p w14:paraId="0DFDCA93" w14:textId="77777777" w:rsidR="00046465" w:rsidRDefault="00046465">
            <w:pPr>
              <w:pStyle w:val="TableParagraph"/>
              <w:rPr>
                <w:rFonts w:ascii="Times New Roman"/>
                <w:sz w:val="16"/>
              </w:rPr>
            </w:pPr>
          </w:p>
        </w:tc>
        <w:tc>
          <w:tcPr>
            <w:tcW w:w="540" w:type="dxa"/>
          </w:tcPr>
          <w:p w14:paraId="0DFDCA94" w14:textId="77777777" w:rsidR="00046465" w:rsidRDefault="00046465">
            <w:pPr>
              <w:pStyle w:val="TableParagraph"/>
              <w:rPr>
                <w:rFonts w:ascii="Times New Roman"/>
                <w:sz w:val="16"/>
              </w:rPr>
            </w:pPr>
          </w:p>
        </w:tc>
        <w:tc>
          <w:tcPr>
            <w:tcW w:w="1440" w:type="dxa"/>
          </w:tcPr>
          <w:p w14:paraId="0DFDCA95" w14:textId="77777777" w:rsidR="00046465" w:rsidRDefault="00046465">
            <w:pPr>
              <w:pStyle w:val="TableParagraph"/>
              <w:rPr>
                <w:rFonts w:ascii="Times New Roman"/>
                <w:sz w:val="16"/>
              </w:rPr>
            </w:pPr>
          </w:p>
        </w:tc>
        <w:tc>
          <w:tcPr>
            <w:tcW w:w="630" w:type="dxa"/>
          </w:tcPr>
          <w:p w14:paraId="0DFDCA96" w14:textId="77777777" w:rsidR="00046465" w:rsidRDefault="00046465">
            <w:pPr>
              <w:pStyle w:val="TableParagraph"/>
              <w:rPr>
                <w:rFonts w:ascii="Times New Roman"/>
                <w:sz w:val="16"/>
              </w:rPr>
            </w:pPr>
          </w:p>
        </w:tc>
      </w:tr>
      <w:tr w:rsidR="00046465" w14:paraId="0DFDCAAD" w14:textId="77777777">
        <w:trPr>
          <w:trHeight w:val="413"/>
        </w:trPr>
        <w:tc>
          <w:tcPr>
            <w:tcW w:w="1075" w:type="dxa"/>
            <w:shd w:val="clear" w:color="auto" w:fill="D9E0F1"/>
          </w:tcPr>
          <w:p w14:paraId="0DFDCA98" w14:textId="77777777" w:rsidR="00046465" w:rsidRDefault="008134EB">
            <w:pPr>
              <w:pStyle w:val="TableParagraph"/>
              <w:spacing w:line="208" w:lineRule="exact"/>
              <w:ind w:left="115"/>
              <w:rPr>
                <w:sz w:val="18"/>
              </w:rPr>
            </w:pPr>
            <w:r>
              <w:rPr>
                <w:sz w:val="18"/>
              </w:rPr>
              <w:t>Total</w:t>
            </w:r>
            <w:r>
              <w:rPr>
                <w:spacing w:val="-15"/>
                <w:sz w:val="18"/>
              </w:rPr>
              <w:t xml:space="preserve"> </w:t>
            </w:r>
            <w:r>
              <w:rPr>
                <w:sz w:val="18"/>
              </w:rPr>
              <w:t>#</w:t>
            </w:r>
            <w:r>
              <w:rPr>
                <w:spacing w:val="-12"/>
                <w:sz w:val="18"/>
              </w:rPr>
              <w:t xml:space="preserve"> </w:t>
            </w:r>
            <w:r>
              <w:rPr>
                <w:sz w:val="18"/>
              </w:rPr>
              <w:t>of cases</w:t>
            </w:r>
            <w:r>
              <w:rPr>
                <w:spacing w:val="-2"/>
                <w:sz w:val="18"/>
              </w:rPr>
              <w:t xml:space="preserve"> </w:t>
            </w:r>
            <w:r>
              <w:rPr>
                <w:sz w:val="18"/>
              </w:rPr>
              <w:t>-</w:t>
            </w:r>
            <w:r>
              <w:rPr>
                <w:spacing w:val="-2"/>
                <w:sz w:val="18"/>
              </w:rPr>
              <w:t xml:space="preserve"> </w:t>
            </w:r>
            <w:r>
              <w:rPr>
                <w:spacing w:val="-10"/>
                <w:sz w:val="18"/>
              </w:rPr>
              <w:t>3</w:t>
            </w:r>
          </w:p>
        </w:tc>
        <w:tc>
          <w:tcPr>
            <w:tcW w:w="2797" w:type="dxa"/>
            <w:gridSpan w:val="4"/>
            <w:shd w:val="clear" w:color="auto" w:fill="D9E0F1"/>
          </w:tcPr>
          <w:p w14:paraId="0DFDCA99" w14:textId="77777777" w:rsidR="00046465" w:rsidRDefault="008134EB">
            <w:pPr>
              <w:pStyle w:val="TableParagraph"/>
              <w:spacing w:before="206" w:line="187" w:lineRule="exact"/>
              <w:ind w:left="1510"/>
              <w:rPr>
                <w:sz w:val="18"/>
              </w:rPr>
            </w:pPr>
            <w:r>
              <w:rPr>
                <w:sz w:val="18"/>
              </w:rPr>
              <w:t>Total</w:t>
            </w:r>
            <w:r>
              <w:rPr>
                <w:spacing w:val="-4"/>
                <w:sz w:val="18"/>
              </w:rPr>
              <w:t xml:space="preserve"> </w:t>
            </w:r>
            <w:r>
              <w:rPr>
                <w:spacing w:val="-2"/>
                <w:sz w:val="18"/>
              </w:rPr>
              <w:t>Probable</w:t>
            </w:r>
          </w:p>
        </w:tc>
        <w:tc>
          <w:tcPr>
            <w:tcW w:w="720" w:type="dxa"/>
          </w:tcPr>
          <w:p w14:paraId="0DFDCA9A" w14:textId="77777777" w:rsidR="00046465" w:rsidRDefault="00046465">
            <w:pPr>
              <w:pStyle w:val="TableParagraph"/>
              <w:rPr>
                <w:rFonts w:ascii="Times New Roman"/>
                <w:sz w:val="16"/>
              </w:rPr>
            </w:pPr>
          </w:p>
        </w:tc>
        <w:tc>
          <w:tcPr>
            <w:tcW w:w="1080" w:type="dxa"/>
          </w:tcPr>
          <w:p w14:paraId="0DFDCA9B" w14:textId="77777777" w:rsidR="00046465" w:rsidRDefault="00046465">
            <w:pPr>
              <w:pStyle w:val="TableParagraph"/>
              <w:rPr>
                <w:rFonts w:ascii="Times New Roman"/>
                <w:sz w:val="16"/>
              </w:rPr>
            </w:pPr>
          </w:p>
        </w:tc>
        <w:tc>
          <w:tcPr>
            <w:tcW w:w="630" w:type="dxa"/>
          </w:tcPr>
          <w:p w14:paraId="0DFDCA9C" w14:textId="77777777" w:rsidR="00046465" w:rsidRDefault="00046465">
            <w:pPr>
              <w:pStyle w:val="TableParagraph"/>
              <w:rPr>
                <w:rFonts w:ascii="Times New Roman"/>
                <w:sz w:val="16"/>
              </w:rPr>
            </w:pPr>
          </w:p>
        </w:tc>
        <w:tc>
          <w:tcPr>
            <w:tcW w:w="720" w:type="dxa"/>
          </w:tcPr>
          <w:p w14:paraId="0DFDCA9D" w14:textId="77777777" w:rsidR="00046465" w:rsidRDefault="00046465">
            <w:pPr>
              <w:pStyle w:val="TableParagraph"/>
              <w:rPr>
                <w:rFonts w:ascii="Times New Roman"/>
                <w:sz w:val="16"/>
              </w:rPr>
            </w:pPr>
          </w:p>
        </w:tc>
        <w:tc>
          <w:tcPr>
            <w:tcW w:w="900" w:type="dxa"/>
          </w:tcPr>
          <w:p w14:paraId="0DFDCA9E" w14:textId="77777777" w:rsidR="00046465" w:rsidRDefault="00046465">
            <w:pPr>
              <w:pStyle w:val="TableParagraph"/>
              <w:rPr>
                <w:rFonts w:ascii="Times New Roman"/>
                <w:sz w:val="16"/>
              </w:rPr>
            </w:pPr>
          </w:p>
        </w:tc>
        <w:tc>
          <w:tcPr>
            <w:tcW w:w="900" w:type="dxa"/>
          </w:tcPr>
          <w:p w14:paraId="0DFDCA9F" w14:textId="77777777" w:rsidR="00046465" w:rsidRDefault="00046465">
            <w:pPr>
              <w:pStyle w:val="TableParagraph"/>
              <w:rPr>
                <w:rFonts w:ascii="Times New Roman"/>
                <w:sz w:val="16"/>
              </w:rPr>
            </w:pPr>
          </w:p>
        </w:tc>
        <w:tc>
          <w:tcPr>
            <w:tcW w:w="1080" w:type="dxa"/>
          </w:tcPr>
          <w:p w14:paraId="0DFDCAA0" w14:textId="77777777" w:rsidR="00046465" w:rsidRDefault="00046465">
            <w:pPr>
              <w:pStyle w:val="TableParagraph"/>
              <w:rPr>
                <w:rFonts w:ascii="Times New Roman"/>
                <w:sz w:val="16"/>
              </w:rPr>
            </w:pPr>
          </w:p>
        </w:tc>
        <w:tc>
          <w:tcPr>
            <w:tcW w:w="540" w:type="dxa"/>
          </w:tcPr>
          <w:p w14:paraId="0DFDCAA1" w14:textId="77777777" w:rsidR="00046465" w:rsidRDefault="00046465">
            <w:pPr>
              <w:pStyle w:val="TableParagraph"/>
              <w:rPr>
                <w:rFonts w:ascii="Times New Roman"/>
                <w:sz w:val="16"/>
              </w:rPr>
            </w:pPr>
          </w:p>
        </w:tc>
        <w:tc>
          <w:tcPr>
            <w:tcW w:w="630" w:type="dxa"/>
          </w:tcPr>
          <w:p w14:paraId="0DFDCAA2" w14:textId="77777777" w:rsidR="00046465" w:rsidRDefault="00046465">
            <w:pPr>
              <w:pStyle w:val="TableParagraph"/>
              <w:rPr>
                <w:rFonts w:ascii="Times New Roman"/>
                <w:sz w:val="16"/>
              </w:rPr>
            </w:pPr>
          </w:p>
        </w:tc>
        <w:tc>
          <w:tcPr>
            <w:tcW w:w="630" w:type="dxa"/>
          </w:tcPr>
          <w:p w14:paraId="0DFDCAA3" w14:textId="77777777" w:rsidR="00046465" w:rsidRDefault="00046465">
            <w:pPr>
              <w:pStyle w:val="TableParagraph"/>
              <w:rPr>
                <w:rFonts w:ascii="Times New Roman"/>
                <w:sz w:val="16"/>
              </w:rPr>
            </w:pPr>
          </w:p>
        </w:tc>
        <w:tc>
          <w:tcPr>
            <w:tcW w:w="1170" w:type="dxa"/>
          </w:tcPr>
          <w:p w14:paraId="0DFDCAA4" w14:textId="77777777" w:rsidR="00046465" w:rsidRDefault="00046465">
            <w:pPr>
              <w:pStyle w:val="TableParagraph"/>
              <w:rPr>
                <w:rFonts w:ascii="Times New Roman"/>
                <w:sz w:val="16"/>
              </w:rPr>
            </w:pPr>
          </w:p>
        </w:tc>
        <w:tc>
          <w:tcPr>
            <w:tcW w:w="1260" w:type="dxa"/>
          </w:tcPr>
          <w:p w14:paraId="0DFDCAA5" w14:textId="77777777" w:rsidR="00046465" w:rsidRDefault="00046465">
            <w:pPr>
              <w:pStyle w:val="TableParagraph"/>
              <w:rPr>
                <w:rFonts w:ascii="Times New Roman"/>
                <w:sz w:val="16"/>
              </w:rPr>
            </w:pPr>
          </w:p>
        </w:tc>
        <w:tc>
          <w:tcPr>
            <w:tcW w:w="1890" w:type="dxa"/>
          </w:tcPr>
          <w:p w14:paraId="0DFDCAA6" w14:textId="77777777" w:rsidR="00046465" w:rsidRDefault="00046465">
            <w:pPr>
              <w:pStyle w:val="TableParagraph"/>
              <w:rPr>
                <w:rFonts w:ascii="Times New Roman"/>
                <w:sz w:val="16"/>
              </w:rPr>
            </w:pPr>
          </w:p>
        </w:tc>
        <w:tc>
          <w:tcPr>
            <w:tcW w:w="900" w:type="dxa"/>
          </w:tcPr>
          <w:p w14:paraId="0DFDCAA7" w14:textId="77777777" w:rsidR="00046465" w:rsidRDefault="00046465">
            <w:pPr>
              <w:pStyle w:val="TableParagraph"/>
              <w:rPr>
                <w:rFonts w:ascii="Times New Roman"/>
                <w:sz w:val="16"/>
              </w:rPr>
            </w:pPr>
          </w:p>
        </w:tc>
        <w:tc>
          <w:tcPr>
            <w:tcW w:w="630" w:type="dxa"/>
          </w:tcPr>
          <w:p w14:paraId="0DFDCAA8" w14:textId="77777777" w:rsidR="00046465" w:rsidRDefault="00046465">
            <w:pPr>
              <w:pStyle w:val="TableParagraph"/>
              <w:rPr>
                <w:rFonts w:ascii="Times New Roman"/>
                <w:sz w:val="16"/>
              </w:rPr>
            </w:pPr>
          </w:p>
        </w:tc>
        <w:tc>
          <w:tcPr>
            <w:tcW w:w="1800" w:type="dxa"/>
          </w:tcPr>
          <w:p w14:paraId="0DFDCAA9" w14:textId="77777777" w:rsidR="00046465" w:rsidRDefault="00046465">
            <w:pPr>
              <w:pStyle w:val="TableParagraph"/>
              <w:rPr>
                <w:rFonts w:ascii="Times New Roman"/>
                <w:sz w:val="16"/>
              </w:rPr>
            </w:pPr>
          </w:p>
        </w:tc>
        <w:tc>
          <w:tcPr>
            <w:tcW w:w="540" w:type="dxa"/>
          </w:tcPr>
          <w:p w14:paraId="0DFDCAAA" w14:textId="77777777" w:rsidR="00046465" w:rsidRDefault="00046465">
            <w:pPr>
              <w:pStyle w:val="TableParagraph"/>
              <w:rPr>
                <w:rFonts w:ascii="Times New Roman"/>
                <w:sz w:val="16"/>
              </w:rPr>
            </w:pPr>
          </w:p>
        </w:tc>
        <w:tc>
          <w:tcPr>
            <w:tcW w:w="1440" w:type="dxa"/>
          </w:tcPr>
          <w:p w14:paraId="0DFDCAAB" w14:textId="77777777" w:rsidR="00046465" w:rsidRDefault="00046465">
            <w:pPr>
              <w:pStyle w:val="TableParagraph"/>
              <w:rPr>
                <w:rFonts w:ascii="Times New Roman"/>
                <w:sz w:val="16"/>
              </w:rPr>
            </w:pPr>
          </w:p>
        </w:tc>
        <w:tc>
          <w:tcPr>
            <w:tcW w:w="630" w:type="dxa"/>
          </w:tcPr>
          <w:p w14:paraId="0DFDCAAC" w14:textId="77777777" w:rsidR="00046465" w:rsidRDefault="00046465">
            <w:pPr>
              <w:pStyle w:val="TableParagraph"/>
              <w:rPr>
                <w:rFonts w:ascii="Times New Roman"/>
                <w:sz w:val="16"/>
              </w:rPr>
            </w:pPr>
          </w:p>
        </w:tc>
      </w:tr>
      <w:tr w:rsidR="00046465" w14:paraId="0DFDCAAF" w14:textId="77777777">
        <w:trPr>
          <w:trHeight w:val="297"/>
        </w:trPr>
        <w:tc>
          <w:tcPr>
            <w:tcW w:w="21962" w:type="dxa"/>
            <w:gridSpan w:val="24"/>
            <w:shd w:val="clear" w:color="auto" w:fill="D9D9D9"/>
          </w:tcPr>
          <w:p w14:paraId="0DFDCAAE" w14:textId="77777777" w:rsidR="00046465" w:rsidRDefault="008134EB">
            <w:pPr>
              <w:pStyle w:val="TableParagraph"/>
              <w:spacing w:line="204" w:lineRule="exact"/>
              <w:ind w:left="115"/>
              <w:rPr>
                <w:b/>
                <w:sz w:val="18"/>
              </w:rPr>
            </w:pPr>
            <w:r>
              <w:rPr>
                <w:b/>
                <w:sz w:val="18"/>
              </w:rPr>
              <w:t>Reasonably</w:t>
            </w:r>
            <w:r>
              <w:rPr>
                <w:b/>
                <w:spacing w:val="-7"/>
                <w:sz w:val="18"/>
              </w:rPr>
              <w:t xml:space="preserve"> </w:t>
            </w:r>
            <w:r>
              <w:rPr>
                <w:b/>
                <w:spacing w:val="-2"/>
                <w:sz w:val="18"/>
              </w:rPr>
              <w:t>Possible</w:t>
            </w:r>
          </w:p>
        </w:tc>
      </w:tr>
      <w:tr w:rsidR="00046465" w14:paraId="0DFDCAC8" w14:textId="77777777">
        <w:trPr>
          <w:trHeight w:val="300"/>
        </w:trPr>
        <w:tc>
          <w:tcPr>
            <w:tcW w:w="1075" w:type="dxa"/>
          </w:tcPr>
          <w:p w14:paraId="0DFDCAB0" w14:textId="77777777" w:rsidR="00046465" w:rsidRDefault="008134EB">
            <w:pPr>
              <w:pStyle w:val="TableParagraph"/>
              <w:spacing w:before="92" w:line="188" w:lineRule="exact"/>
              <w:ind w:right="102"/>
              <w:jc w:val="right"/>
              <w:rPr>
                <w:sz w:val="18"/>
              </w:rPr>
            </w:pPr>
            <w:r>
              <w:rPr>
                <w:spacing w:val="-10"/>
                <w:sz w:val="18"/>
              </w:rPr>
              <w:t>4</w:t>
            </w:r>
          </w:p>
        </w:tc>
        <w:tc>
          <w:tcPr>
            <w:tcW w:w="637" w:type="dxa"/>
          </w:tcPr>
          <w:p w14:paraId="0DFDCAB1" w14:textId="77777777" w:rsidR="00046465" w:rsidRDefault="00046465">
            <w:pPr>
              <w:pStyle w:val="TableParagraph"/>
              <w:rPr>
                <w:rFonts w:ascii="Times New Roman"/>
                <w:sz w:val="16"/>
              </w:rPr>
            </w:pPr>
          </w:p>
        </w:tc>
        <w:tc>
          <w:tcPr>
            <w:tcW w:w="720" w:type="dxa"/>
          </w:tcPr>
          <w:p w14:paraId="0DFDCAB2" w14:textId="77777777" w:rsidR="00046465" w:rsidRDefault="00046465">
            <w:pPr>
              <w:pStyle w:val="TableParagraph"/>
              <w:rPr>
                <w:rFonts w:ascii="Times New Roman"/>
                <w:sz w:val="16"/>
              </w:rPr>
            </w:pPr>
          </w:p>
        </w:tc>
        <w:tc>
          <w:tcPr>
            <w:tcW w:w="720" w:type="dxa"/>
          </w:tcPr>
          <w:p w14:paraId="0DFDCAB3" w14:textId="77777777" w:rsidR="00046465" w:rsidRDefault="00046465">
            <w:pPr>
              <w:pStyle w:val="TableParagraph"/>
              <w:rPr>
                <w:rFonts w:ascii="Times New Roman"/>
                <w:sz w:val="16"/>
              </w:rPr>
            </w:pPr>
          </w:p>
        </w:tc>
        <w:tc>
          <w:tcPr>
            <w:tcW w:w="720" w:type="dxa"/>
          </w:tcPr>
          <w:p w14:paraId="0DFDCAB4" w14:textId="77777777" w:rsidR="00046465" w:rsidRDefault="00046465">
            <w:pPr>
              <w:pStyle w:val="TableParagraph"/>
              <w:rPr>
                <w:rFonts w:ascii="Times New Roman"/>
                <w:sz w:val="16"/>
              </w:rPr>
            </w:pPr>
          </w:p>
        </w:tc>
        <w:tc>
          <w:tcPr>
            <w:tcW w:w="720" w:type="dxa"/>
          </w:tcPr>
          <w:p w14:paraId="0DFDCAB5" w14:textId="77777777" w:rsidR="00046465" w:rsidRDefault="00046465">
            <w:pPr>
              <w:pStyle w:val="TableParagraph"/>
              <w:rPr>
                <w:rFonts w:ascii="Times New Roman"/>
                <w:sz w:val="16"/>
              </w:rPr>
            </w:pPr>
          </w:p>
        </w:tc>
        <w:tc>
          <w:tcPr>
            <w:tcW w:w="1080" w:type="dxa"/>
          </w:tcPr>
          <w:p w14:paraId="0DFDCAB6" w14:textId="77777777" w:rsidR="00046465" w:rsidRDefault="00046465">
            <w:pPr>
              <w:pStyle w:val="TableParagraph"/>
              <w:rPr>
                <w:rFonts w:ascii="Times New Roman"/>
                <w:sz w:val="16"/>
              </w:rPr>
            </w:pPr>
          </w:p>
        </w:tc>
        <w:tc>
          <w:tcPr>
            <w:tcW w:w="630" w:type="dxa"/>
          </w:tcPr>
          <w:p w14:paraId="0DFDCAB7" w14:textId="77777777" w:rsidR="00046465" w:rsidRDefault="00046465">
            <w:pPr>
              <w:pStyle w:val="TableParagraph"/>
              <w:rPr>
                <w:rFonts w:ascii="Times New Roman"/>
                <w:sz w:val="16"/>
              </w:rPr>
            </w:pPr>
          </w:p>
        </w:tc>
        <w:tc>
          <w:tcPr>
            <w:tcW w:w="720" w:type="dxa"/>
          </w:tcPr>
          <w:p w14:paraId="0DFDCAB8" w14:textId="77777777" w:rsidR="00046465" w:rsidRDefault="00046465">
            <w:pPr>
              <w:pStyle w:val="TableParagraph"/>
              <w:rPr>
                <w:rFonts w:ascii="Times New Roman"/>
                <w:sz w:val="16"/>
              </w:rPr>
            </w:pPr>
          </w:p>
        </w:tc>
        <w:tc>
          <w:tcPr>
            <w:tcW w:w="900" w:type="dxa"/>
          </w:tcPr>
          <w:p w14:paraId="0DFDCAB9" w14:textId="77777777" w:rsidR="00046465" w:rsidRDefault="00046465">
            <w:pPr>
              <w:pStyle w:val="TableParagraph"/>
              <w:rPr>
                <w:rFonts w:ascii="Times New Roman"/>
                <w:sz w:val="16"/>
              </w:rPr>
            </w:pPr>
          </w:p>
        </w:tc>
        <w:tc>
          <w:tcPr>
            <w:tcW w:w="900" w:type="dxa"/>
          </w:tcPr>
          <w:p w14:paraId="0DFDCABA" w14:textId="77777777" w:rsidR="00046465" w:rsidRDefault="00046465">
            <w:pPr>
              <w:pStyle w:val="TableParagraph"/>
              <w:rPr>
                <w:rFonts w:ascii="Times New Roman"/>
                <w:sz w:val="16"/>
              </w:rPr>
            </w:pPr>
          </w:p>
        </w:tc>
        <w:tc>
          <w:tcPr>
            <w:tcW w:w="1080" w:type="dxa"/>
          </w:tcPr>
          <w:p w14:paraId="0DFDCABB" w14:textId="77777777" w:rsidR="00046465" w:rsidRDefault="00046465">
            <w:pPr>
              <w:pStyle w:val="TableParagraph"/>
              <w:rPr>
                <w:rFonts w:ascii="Times New Roman"/>
                <w:sz w:val="16"/>
              </w:rPr>
            </w:pPr>
          </w:p>
        </w:tc>
        <w:tc>
          <w:tcPr>
            <w:tcW w:w="540" w:type="dxa"/>
          </w:tcPr>
          <w:p w14:paraId="0DFDCABC" w14:textId="77777777" w:rsidR="00046465" w:rsidRDefault="00046465">
            <w:pPr>
              <w:pStyle w:val="TableParagraph"/>
              <w:rPr>
                <w:rFonts w:ascii="Times New Roman"/>
                <w:sz w:val="16"/>
              </w:rPr>
            </w:pPr>
          </w:p>
        </w:tc>
        <w:tc>
          <w:tcPr>
            <w:tcW w:w="630" w:type="dxa"/>
          </w:tcPr>
          <w:p w14:paraId="0DFDCABD" w14:textId="77777777" w:rsidR="00046465" w:rsidRDefault="00046465">
            <w:pPr>
              <w:pStyle w:val="TableParagraph"/>
              <w:rPr>
                <w:rFonts w:ascii="Times New Roman"/>
                <w:sz w:val="16"/>
              </w:rPr>
            </w:pPr>
          </w:p>
        </w:tc>
        <w:tc>
          <w:tcPr>
            <w:tcW w:w="630" w:type="dxa"/>
          </w:tcPr>
          <w:p w14:paraId="0DFDCABE" w14:textId="77777777" w:rsidR="00046465" w:rsidRDefault="00046465">
            <w:pPr>
              <w:pStyle w:val="TableParagraph"/>
              <w:rPr>
                <w:rFonts w:ascii="Times New Roman"/>
                <w:sz w:val="16"/>
              </w:rPr>
            </w:pPr>
          </w:p>
        </w:tc>
        <w:tc>
          <w:tcPr>
            <w:tcW w:w="1170" w:type="dxa"/>
          </w:tcPr>
          <w:p w14:paraId="0DFDCABF" w14:textId="77777777" w:rsidR="00046465" w:rsidRDefault="00046465">
            <w:pPr>
              <w:pStyle w:val="TableParagraph"/>
              <w:rPr>
                <w:rFonts w:ascii="Times New Roman"/>
                <w:sz w:val="16"/>
              </w:rPr>
            </w:pPr>
          </w:p>
        </w:tc>
        <w:tc>
          <w:tcPr>
            <w:tcW w:w="1260" w:type="dxa"/>
          </w:tcPr>
          <w:p w14:paraId="0DFDCAC0" w14:textId="77777777" w:rsidR="00046465" w:rsidRDefault="00046465">
            <w:pPr>
              <w:pStyle w:val="TableParagraph"/>
              <w:rPr>
                <w:rFonts w:ascii="Times New Roman"/>
                <w:sz w:val="16"/>
              </w:rPr>
            </w:pPr>
          </w:p>
        </w:tc>
        <w:tc>
          <w:tcPr>
            <w:tcW w:w="1890" w:type="dxa"/>
          </w:tcPr>
          <w:p w14:paraId="0DFDCAC1" w14:textId="77777777" w:rsidR="00046465" w:rsidRDefault="00046465">
            <w:pPr>
              <w:pStyle w:val="TableParagraph"/>
              <w:rPr>
                <w:rFonts w:ascii="Times New Roman"/>
                <w:sz w:val="16"/>
              </w:rPr>
            </w:pPr>
          </w:p>
        </w:tc>
        <w:tc>
          <w:tcPr>
            <w:tcW w:w="900" w:type="dxa"/>
          </w:tcPr>
          <w:p w14:paraId="0DFDCAC2" w14:textId="77777777" w:rsidR="00046465" w:rsidRDefault="00046465">
            <w:pPr>
              <w:pStyle w:val="TableParagraph"/>
              <w:rPr>
                <w:rFonts w:ascii="Times New Roman"/>
                <w:sz w:val="16"/>
              </w:rPr>
            </w:pPr>
          </w:p>
        </w:tc>
        <w:tc>
          <w:tcPr>
            <w:tcW w:w="630" w:type="dxa"/>
          </w:tcPr>
          <w:p w14:paraId="0DFDCAC3" w14:textId="77777777" w:rsidR="00046465" w:rsidRDefault="00046465">
            <w:pPr>
              <w:pStyle w:val="TableParagraph"/>
              <w:rPr>
                <w:rFonts w:ascii="Times New Roman"/>
                <w:sz w:val="16"/>
              </w:rPr>
            </w:pPr>
          </w:p>
        </w:tc>
        <w:tc>
          <w:tcPr>
            <w:tcW w:w="1800" w:type="dxa"/>
          </w:tcPr>
          <w:p w14:paraId="0DFDCAC4" w14:textId="77777777" w:rsidR="00046465" w:rsidRDefault="00046465">
            <w:pPr>
              <w:pStyle w:val="TableParagraph"/>
              <w:rPr>
                <w:rFonts w:ascii="Times New Roman"/>
                <w:sz w:val="16"/>
              </w:rPr>
            </w:pPr>
          </w:p>
        </w:tc>
        <w:tc>
          <w:tcPr>
            <w:tcW w:w="540" w:type="dxa"/>
          </w:tcPr>
          <w:p w14:paraId="0DFDCAC5" w14:textId="77777777" w:rsidR="00046465" w:rsidRDefault="00046465">
            <w:pPr>
              <w:pStyle w:val="TableParagraph"/>
              <w:rPr>
                <w:rFonts w:ascii="Times New Roman"/>
                <w:sz w:val="16"/>
              </w:rPr>
            </w:pPr>
          </w:p>
        </w:tc>
        <w:tc>
          <w:tcPr>
            <w:tcW w:w="1440" w:type="dxa"/>
          </w:tcPr>
          <w:p w14:paraId="0DFDCAC6" w14:textId="77777777" w:rsidR="00046465" w:rsidRDefault="00046465">
            <w:pPr>
              <w:pStyle w:val="TableParagraph"/>
              <w:rPr>
                <w:rFonts w:ascii="Times New Roman"/>
                <w:sz w:val="16"/>
              </w:rPr>
            </w:pPr>
          </w:p>
        </w:tc>
        <w:tc>
          <w:tcPr>
            <w:tcW w:w="630" w:type="dxa"/>
          </w:tcPr>
          <w:p w14:paraId="0DFDCAC7" w14:textId="77777777" w:rsidR="00046465" w:rsidRDefault="00046465">
            <w:pPr>
              <w:pStyle w:val="TableParagraph"/>
              <w:rPr>
                <w:rFonts w:ascii="Times New Roman"/>
                <w:sz w:val="16"/>
              </w:rPr>
            </w:pPr>
          </w:p>
        </w:tc>
      </w:tr>
      <w:tr w:rsidR="00046465" w14:paraId="0DFDCAE1" w14:textId="77777777">
        <w:trPr>
          <w:trHeight w:val="299"/>
        </w:trPr>
        <w:tc>
          <w:tcPr>
            <w:tcW w:w="1075" w:type="dxa"/>
          </w:tcPr>
          <w:p w14:paraId="0DFDCAC9" w14:textId="77777777" w:rsidR="00046465" w:rsidRDefault="008134EB">
            <w:pPr>
              <w:pStyle w:val="TableParagraph"/>
              <w:spacing w:before="92" w:line="187" w:lineRule="exact"/>
              <w:ind w:right="102"/>
              <w:jc w:val="right"/>
              <w:rPr>
                <w:sz w:val="18"/>
              </w:rPr>
            </w:pPr>
            <w:r>
              <w:rPr>
                <w:spacing w:val="-10"/>
                <w:sz w:val="18"/>
              </w:rPr>
              <w:t>5</w:t>
            </w:r>
          </w:p>
        </w:tc>
        <w:tc>
          <w:tcPr>
            <w:tcW w:w="637" w:type="dxa"/>
          </w:tcPr>
          <w:p w14:paraId="0DFDCACA" w14:textId="77777777" w:rsidR="00046465" w:rsidRDefault="00046465">
            <w:pPr>
              <w:pStyle w:val="TableParagraph"/>
              <w:rPr>
                <w:rFonts w:ascii="Times New Roman"/>
                <w:sz w:val="16"/>
              </w:rPr>
            </w:pPr>
          </w:p>
        </w:tc>
        <w:tc>
          <w:tcPr>
            <w:tcW w:w="720" w:type="dxa"/>
          </w:tcPr>
          <w:p w14:paraId="0DFDCACB" w14:textId="77777777" w:rsidR="00046465" w:rsidRDefault="00046465">
            <w:pPr>
              <w:pStyle w:val="TableParagraph"/>
              <w:rPr>
                <w:rFonts w:ascii="Times New Roman"/>
                <w:sz w:val="16"/>
              </w:rPr>
            </w:pPr>
          </w:p>
        </w:tc>
        <w:tc>
          <w:tcPr>
            <w:tcW w:w="720" w:type="dxa"/>
          </w:tcPr>
          <w:p w14:paraId="0DFDCACC" w14:textId="77777777" w:rsidR="00046465" w:rsidRDefault="00046465">
            <w:pPr>
              <w:pStyle w:val="TableParagraph"/>
              <w:rPr>
                <w:rFonts w:ascii="Times New Roman"/>
                <w:sz w:val="16"/>
              </w:rPr>
            </w:pPr>
          </w:p>
        </w:tc>
        <w:tc>
          <w:tcPr>
            <w:tcW w:w="720" w:type="dxa"/>
          </w:tcPr>
          <w:p w14:paraId="0DFDCACD" w14:textId="77777777" w:rsidR="00046465" w:rsidRDefault="00046465">
            <w:pPr>
              <w:pStyle w:val="TableParagraph"/>
              <w:rPr>
                <w:rFonts w:ascii="Times New Roman"/>
                <w:sz w:val="16"/>
              </w:rPr>
            </w:pPr>
          </w:p>
        </w:tc>
        <w:tc>
          <w:tcPr>
            <w:tcW w:w="720" w:type="dxa"/>
          </w:tcPr>
          <w:p w14:paraId="0DFDCACE" w14:textId="77777777" w:rsidR="00046465" w:rsidRDefault="00046465">
            <w:pPr>
              <w:pStyle w:val="TableParagraph"/>
              <w:rPr>
                <w:rFonts w:ascii="Times New Roman"/>
                <w:sz w:val="16"/>
              </w:rPr>
            </w:pPr>
          </w:p>
        </w:tc>
        <w:tc>
          <w:tcPr>
            <w:tcW w:w="1080" w:type="dxa"/>
          </w:tcPr>
          <w:p w14:paraId="0DFDCACF" w14:textId="77777777" w:rsidR="00046465" w:rsidRDefault="00046465">
            <w:pPr>
              <w:pStyle w:val="TableParagraph"/>
              <w:rPr>
                <w:rFonts w:ascii="Times New Roman"/>
                <w:sz w:val="16"/>
              </w:rPr>
            </w:pPr>
          </w:p>
        </w:tc>
        <w:tc>
          <w:tcPr>
            <w:tcW w:w="630" w:type="dxa"/>
          </w:tcPr>
          <w:p w14:paraId="0DFDCAD0" w14:textId="77777777" w:rsidR="00046465" w:rsidRDefault="00046465">
            <w:pPr>
              <w:pStyle w:val="TableParagraph"/>
              <w:rPr>
                <w:rFonts w:ascii="Times New Roman"/>
                <w:sz w:val="16"/>
              </w:rPr>
            </w:pPr>
          </w:p>
        </w:tc>
        <w:tc>
          <w:tcPr>
            <w:tcW w:w="720" w:type="dxa"/>
          </w:tcPr>
          <w:p w14:paraId="0DFDCAD1" w14:textId="77777777" w:rsidR="00046465" w:rsidRDefault="00046465">
            <w:pPr>
              <w:pStyle w:val="TableParagraph"/>
              <w:rPr>
                <w:rFonts w:ascii="Times New Roman"/>
                <w:sz w:val="16"/>
              </w:rPr>
            </w:pPr>
          </w:p>
        </w:tc>
        <w:tc>
          <w:tcPr>
            <w:tcW w:w="900" w:type="dxa"/>
          </w:tcPr>
          <w:p w14:paraId="0DFDCAD2" w14:textId="77777777" w:rsidR="00046465" w:rsidRDefault="00046465">
            <w:pPr>
              <w:pStyle w:val="TableParagraph"/>
              <w:rPr>
                <w:rFonts w:ascii="Times New Roman"/>
                <w:sz w:val="16"/>
              </w:rPr>
            </w:pPr>
          </w:p>
        </w:tc>
        <w:tc>
          <w:tcPr>
            <w:tcW w:w="900" w:type="dxa"/>
          </w:tcPr>
          <w:p w14:paraId="0DFDCAD3" w14:textId="77777777" w:rsidR="00046465" w:rsidRDefault="00046465">
            <w:pPr>
              <w:pStyle w:val="TableParagraph"/>
              <w:rPr>
                <w:rFonts w:ascii="Times New Roman"/>
                <w:sz w:val="16"/>
              </w:rPr>
            </w:pPr>
          </w:p>
        </w:tc>
        <w:tc>
          <w:tcPr>
            <w:tcW w:w="1080" w:type="dxa"/>
          </w:tcPr>
          <w:p w14:paraId="0DFDCAD4" w14:textId="77777777" w:rsidR="00046465" w:rsidRDefault="00046465">
            <w:pPr>
              <w:pStyle w:val="TableParagraph"/>
              <w:rPr>
                <w:rFonts w:ascii="Times New Roman"/>
                <w:sz w:val="16"/>
              </w:rPr>
            </w:pPr>
          </w:p>
        </w:tc>
        <w:tc>
          <w:tcPr>
            <w:tcW w:w="540" w:type="dxa"/>
          </w:tcPr>
          <w:p w14:paraId="0DFDCAD5" w14:textId="77777777" w:rsidR="00046465" w:rsidRDefault="00046465">
            <w:pPr>
              <w:pStyle w:val="TableParagraph"/>
              <w:rPr>
                <w:rFonts w:ascii="Times New Roman"/>
                <w:sz w:val="16"/>
              </w:rPr>
            </w:pPr>
          </w:p>
        </w:tc>
        <w:tc>
          <w:tcPr>
            <w:tcW w:w="630" w:type="dxa"/>
          </w:tcPr>
          <w:p w14:paraId="0DFDCAD6" w14:textId="77777777" w:rsidR="00046465" w:rsidRDefault="00046465">
            <w:pPr>
              <w:pStyle w:val="TableParagraph"/>
              <w:rPr>
                <w:rFonts w:ascii="Times New Roman"/>
                <w:sz w:val="16"/>
              </w:rPr>
            </w:pPr>
          </w:p>
        </w:tc>
        <w:tc>
          <w:tcPr>
            <w:tcW w:w="630" w:type="dxa"/>
          </w:tcPr>
          <w:p w14:paraId="0DFDCAD7" w14:textId="77777777" w:rsidR="00046465" w:rsidRDefault="00046465">
            <w:pPr>
              <w:pStyle w:val="TableParagraph"/>
              <w:rPr>
                <w:rFonts w:ascii="Times New Roman"/>
                <w:sz w:val="16"/>
              </w:rPr>
            </w:pPr>
          </w:p>
        </w:tc>
        <w:tc>
          <w:tcPr>
            <w:tcW w:w="1170" w:type="dxa"/>
          </w:tcPr>
          <w:p w14:paraId="0DFDCAD8" w14:textId="77777777" w:rsidR="00046465" w:rsidRDefault="00046465">
            <w:pPr>
              <w:pStyle w:val="TableParagraph"/>
              <w:rPr>
                <w:rFonts w:ascii="Times New Roman"/>
                <w:sz w:val="16"/>
              </w:rPr>
            </w:pPr>
          </w:p>
        </w:tc>
        <w:tc>
          <w:tcPr>
            <w:tcW w:w="1260" w:type="dxa"/>
          </w:tcPr>
          <w:p w14:paraId="0DFDCAD9" w14:textId="77777777" w:rsidR="00046465" w:rsidRDefault="00046465">
            <w:pPr>
              <w:pStyle w:val="TableParagraph"/>
              <w:rPr>
                <w:rFonts w:ascii="Times New Roman"/>
                <w:sz w:val="16"/>
              </w:rPr>
            </w:pPr>
          </w:p>
        </w:tc>
        <w:tc>
          <w:tcPr>
            <w:tcW w:w="1890" w:type="dxa"/>
          </w:tcPr>
          <w:p w14:paraId="0DFDCADA" w14:textId="77777777" w:rsidR="00046465" w:rsidRDefault="00046465">
            <w:pPr>
              <w:pStyle w:val="TableParagraph"/>
              <w:rPr>
                <w:rFonts w:ascii="Times New Roman"/>
                <w:sz w:val="16"/>
              </w:rPr>
            </w:pPr>
          </w:p>
        </w:tc>
        <w:tc>
          <w:tcPr>
            <w:tcW w:w="900" w:type="dxa"/>
          </w:tcPr>
          <w:p w14:paraId="0DFDCADB" w14:textId="77777777" w:rsidR="00046465" w:rsidRDefault="00046465">
            <w:pPr>
              <w:pStyle w:val="TableParagraph"/>
              <w:rPr>
                <w:rFonts w:ascii="Times New Roman"/>
                <w:sz w:val="16"/>
              </w:rPr>
            </w:pPr>
          </w:p>
        </w:tc>
        <w:tc>
          <w:tcPr>
            <w:tcW w:w="630" w:type="dxa"/>
          </w:tcPr>
          <w:p w14:paraId="0DFDCADC" w14:textId="77777777" w:rsidR="00046465" w:rsidRDefault="00046465">
            <w:pPr>
              <w:pStyle w:val="TableParagraph"/>
              <w:rPr>
                <w:rFonts w:ascii="Times New Roman"/>
                <w:sz w:val="16"/>
              </w:rPr>
            </w:pPr>
          </w:p>
        </w:tc>
        <w:tc>
          <w:tcPr>
            <w:tcW w:w="1800" w:type="dxa"/>
          </w:tcPr>
          <w:p w14:paraId="0DFDCADD" w14:textId="77777777" w:rsidR="00046465" w:rsidRDefault="00046465">
            <w:pPr>
              <w:pStyle w:val="TableParagraph"/>
              <w:rPr>
                <w:rFonts w:ascii="Times New Roman"/>
                <w:sz w:val="16"/>
              </w:rPr>
            </w:pPr>
          </w:p>
        </w:tc>
        <w:tc>
          <w:tcPr>
            <w:tcW w:w="540" w:type="dxa"/>
          </w:tcPr>
          <w:p w14:paraId="0DFDCADE" w14:textId="77777777" w:rsidR="00046465" w:rsidRDefault="00046465">
            <w:pPr>
              <w:pStyle w:val="TableParagraph"/>
              <w:rPr>
                <w:rFonts w:ascii="Times New Roman"/>
                <w:sz w:val="16"/>
              </w:rPr>
            </w:pPr>
          </w:p>
        </w:tc>
        <w:tc>
          <w:tcPr>
            <w:tcW w:w="1440" w:type="dxa"/>
          </w:tcPr>
          <w:p w14:paraId="0DFDCADF" w14:textId="77777777" w:rsidR="00046465" w:rsidRDefault="00046465">
            <w:pPr>
              <w:pStyle w:val="TableParagraph"/>
              <w:rPr>
                <w:rFonts w:ascii="Times New Roman"/>
                <w:sz w:val="16"/>
              </w:rPr>
            </w:pPr>
          </w:p>
        </w:tc>
        <w:tc>
          <w:tcPr>
            <w:tcW w:w="630" w:type="dxa"/>
          </w:tcPr>
          <w:p w14:paraId="0DFDCAE0" w14:textId="77777777" w:rsidR="00046465" w:rsidRDefault="00046465">
            <w:pPr>
              <w:pStyle w:val="TableParagraph"/>
              <w:rPr>
                <w:rFonts w:ascii="Times New Roman"/>
                <w:sz w:val="16"/>
              </w:rPr>
            </w:pPr>
          </w:p>
        </w:tc>
      </w:tr>
      <w:tr w:rsidR="00046465" w14:paraId="0DFDCAFA" w14:textId="77777777">
        <w:trPr>
          <w:trHeight w:val="299"/>
        </w:trPr>
        <w:tc>
          <w:tcPr>
            <w:tcW w:w="1075" w:type="dxa"/>
          </w:tcPr>
          <w:p w14:paraId="0DFDCAE2" w14:textId="77777777" w:rsidR="00046465" w:rsidRDefault="008134EB">
            <w:pPr>
              <w:pStyle w:val="TableParagraph"/>
              <w:spacing w:before="92" w:line="187" w:lineRule="exact"/>
              <w:ind w:right="102"/>
              <w:jc w:val="right"/>
              <w:rPr>
                <w:sz w:val="18"/>
              </w:rPr>
            </w:pPr>
            <w:r>
              <w:rPr>
                <w:spacing w:val="-10"/>
                <w:sz w:val="18"/>
              </w:rPr>
              <w:t>6</w:t>
            </w:r>
          </w:p>
        </w:tc>
        <w:tc>
          <w:tcPr>
            <w:tcW w:w="637" w:type="dxa"/>
          </w:tcPr>
          <w:p w14:paraId="0DFDCAE3" w14:textId="77777777" w:rsidR="00046465" w:rsidRDefault="00046465">
            <w:pPr>
              <w:pStyle w:val="TableParagraph"/>
              <w:rPr>
                <w:rFonts w:ascii="Times New Roman"/>
                <w:sz w:val="16"/>
              </w:rPr>
            </w:pPr>
          </w:p>
        </w:tc>
        <w:tc>
          <w:tcPr>
            <w:tcW w:w="720" w:type="dxa"/>
          </w:tcPr>
          <w:p w14:paraId="0DFDCAE4" w14:textId="77777777" w:rsidR="00046465" w:rsidRDefault="00046465">
            <w:pPr>
              <w:pStyle w:val="TableParagraph"/>
              <w:rPr>
                <w:rFonts w:ascii="Times New Roman"/>
                <w:sz w:val="16"/>
              </w:rPr>
            </w:pPr>
          </w:p>
        </w:tc>
        <w:tc>
          <w:tcPr>
            <w:tcW w:w="720" w:type="dxa"/>
          </w:tcPr>
          <w:p w14:paraId="0DFDCAE5" w14:textId="77777777" w:rsidR="00046465" w:rsidRDefault="00046465">
            <w:pPr>
              <w:pStyle w:val="TableParagraph"/>
              <w:rPr>
                <w:rFonts w:ascii="Times New Roman"/>
                <w:sz w:val="16"/>
              </w:rPr>
            </w:pPr>
          </w:p>
        </w:tc>
        <w:tc>
          <w:tcPr>
            <w:tcW w:w="720" w:type="dxa"/>
          </w:tcPr>
          <w:p w14:paraId="0DFDCAE6" w14:textId="77777777" w:rsidR="00046465" w:rsidRDefault="00046465">
            <w:pPr>
              <w:pStyle w:val="TableParagraph"/>
              <w:rPr>
                <w:rFonts w:ascii="Times New Roman"/>
                <w:sz w:val="16"/>
              </w:rPr>
            </w:pPr>
          </w:p>
        </w:tc>
        <w:tc>
          <w:tcPr>
            <w:tcW w:w="720" w:type="dxa"/>
          </w:tcPr>
          <w:p w14:paraId="0DFDCAE7" w14:textId="77777777" w:rsidR="00046465" w:rsidRDefault="00046465">
            <w:pPr>
              <w:pStyle w:val="TableParagraph"/>
              <w:rPr>
                <w:rFonts w:ascii="Times New Roman"/>
                <w:sz w:val="16"/>
              </w:rPr>
            </w:pPr>
          </w:p>
        </w:tc>
        <w:tc>
          <w:tcPr>
            <w:tcW w:w="1080" w:type="dxa"/>
          </w:tcPr>
          <w:p w14:paraId="0DFDCAE8" w14:textId="77777777" w:rsidR="00046465" w:rsidRDefault="00046465">
            <w:pPr>
              <w:pStyle w:val="TableParagraph"/>
              <w:rPr>
                <w:rFonts w:ascii="Times New Roman"/>
                <w:sz w:val="16"/>
              </w:rPr>
            </w:pPr>
          </w:p>
        </w:tc>
        <w:tc>
          <w:tcPr>
            <w:tcW w:w="630" w:type="dxa"/>
          </w:tcPr>
          <w:p w14:paraId="0DFDCAE9" w14:textId="77777777" w:rsidR="00046465" w:rsidRDefault="00046465">
            <w:pPr>
              <w:pStyle w:val="TableParagraph"/>
              <w:rPr>
                <w:rFonts w:ascii="Times New Roman"/>
                <w:sz w:val="16"/>
              </w:rPr>
            </w:pPr>
          </w:p>
        </w:tc>
        <w:tc>
          <w:tcPr>
            <w:tcW w:w="720" w:type="dxa"/>
          </w:tcPr>
          <w:p w14:paraId="0DFDCAEA" w14:textId="77777777" w:rsidR="00046465" w:rsidRDefault="00046465">
            <w:pPr>
              <w:pStyle w:val="TableParagraph"/>
              <w:rPr>
                <w:rFonts w:ascii="Times New Roman"/>
                <w:sz w:val="16"/>
              </w:rPr>
            </w:pPr>
          </w:p>
        </w:tc>
        <w:tc>
          <w:tcPr>
            <w:tcW w:w="900" w:type="dxa"/>
          </w:tcPr>
          <w:p w14:paraId="0DFDCAEB" w14:textId="77777777" w:rsidR="00046465" w:rsidRDefault="00046465">
            <w:pPr>
              <w:pStyle w:val="TableParagraph"/>
              <w:rPr>
                <w:rFonts w:ascii="Times New Roman"/>
                <w:sz w:val="16"/>
              </w:rPr>
            </w:pPr>
          </w:p>
        </w:tc>
        <w:tc>
          <w:tcPr>
            <w:tcW w:w="900" w:type="dxa"/>
          </w:tcPr>
          <w:p w14:paraId="0DFDCAEC" w14:textId="77777777" w:rsidR="00046465" w:rsidRDefault="00046465">
            <w:pPr>
              <w:pStyle w:val="TableParagraph"/>
              <w:rPr>
                <w:rFonts w:ascii="Times New Roman"/>
                <w:sz w:val="16"/>
              </w:rPr>
            </w:pPr>
          </w:p>
        </w:tc>
        <w:tc>
          <w:tcPr>
            <w:tcW w:w="1080" w:type="dxa"/>
          </w:tcPr>
          <w:p w14:paraId="0DFDCAED" w14:textId="77777777" w:rsidR="00046465" w:rsidRDefault="00046465">
            <w:pPr>
              <w:pStyle w:val="TableParagraph"/>
              <w:rPr>
                <w:rFonts w:ascii="Times New Roman"/>
                <w:sz w:val="16"/>
              </w:rPr>
            </w:pPr>
          </w:p>
        </w:tc>
        <w:tc>
          <w:tcPr>
            <w:tcW w:w="540" w:type="dxa"/>
          </w:tcPr>
          <w:p w14:paraId="0DFDCAEE" w14:textId="77777777" w:rsidR="00046465" w:rsidRDefault="00046465">
            <w:pPr>
              <w:pStyle w:val="TableParagraph"/>
              <w:rPr>
                <w:rFonts w:ascii="Times New Roman"/>
                <w:sz w:val="16"/>
              </w:rPr>
            </w:pPr>
          </w:p>
        </w:tc>
        <w:tc>
          <w:tcPr>
            <w:tcW w:w="630" w:type="dxa"/>
          </w:tcPr>
          <w:p w14:paraId="0DFDCAEF" w14:textId="77777777" w:rsidR="00046465" w:rsidRDefault="00046465">
            <w:pPr>
              <w:pStyle w:val="TableParagraph"/>
              <w:rPr>
                <w:rFonts w:ascii="Times New Roman"/>
                <w:sz w:val="16"/>
              </w:rPr>
            </w:pPr>
          </w:p>
        </w:tc>
        <w:tc>
          <w:tcPr>
            <w:tcW w:w="630" w:type="dxa"/>
          </w:tcPr>
          <w:p w14:paraId="0DFDCAF0" w14:textId="77777777" w:rsidR="00046465" w:rsidRDefault="00046465">
            <w:pPr>
              <w:pStyle w:val="TableParagraph"/>
              <w:rPr>
                <w:rFonts w:ascii="Times New Roman"/>
                <w:sz w:val="16"/>
              </w:rPr>
            </w:pPr>
          </w:p>
        </w:tc>
        <w:tc>
          <w:tcPr>
            <w:tcW w:w="1170" w:type="dxa"/>
          </w:tcPr>
          <w:p w14:paraId="0DFDCAF1" w14:textId="77777777" w:rsidR="00046465" w:rsidRDefault="00046465">
            <w:pPr>
              <w:pStyle w:val="TableParagraph"/>
              <w:rPr>
                <w:rFonts w:ascii="Times New Roman"/>
                <w:sz w:val="16"/>
              </w:rPr>
            </w:pPr>
          </w:p>
        </w:tc>
        <w:tc>
          <w:tcPr>
            <w:tcW w:w="1260" w:type="dxa"/>
          </w:tcPr>
          <w:p w14:paraId="0DFDCAF2" w14:textId="77777777" w:rsidR="00046465" w:rsidRDefault="00046465">
            <w:pPr>
              <w:pStyle w:val="TableParagraph"/>
              <w:rPr>
                <w:rFonts w:ascii="Times New Roman"/>
                <w:sz w:val="16"/>
              </w:rPr>
            </w:pPr>
          </w:p>
        </w:tc>
        <w:tc>
          <w:tcPr>
            <w:tcW w:w="1890" w:type="dxa"/>
          </w:tcPr>
          <w:p w14:paraId="0DFDCAF3" w14:textId="77777777" w:rsidR="00046465" w:rsidRDefault="00046465">
            <w:pPr>
              <w:pStyle w:val="TableParagraph"/>
              <w:rPr>
                <w:rFonts w:ascii="Times New Roman"/>
                <w:sz w:val="16"/>
              </w:rPr>
            </w:pPr>
          </w:p>
        </w:tc>
        <w:tc>
          <w:tcPr>
            <w:tcW w:w="900" w:type="dxa"/>
          </w:tcPr>
          <w:p w14:paraId="0DFDCAF4" w14:textId="77777777" w:rsidR="00046465" w:rsidRDefault="00046465">
            <w:pPr>
              <w:pStyle w:val="TableParagraph"/>
              <w:rPr>
                <w:rFonts w:ascii="Times New Roman"/>
                <w:sz w:val="16"/>
              </w:rPr>
            </w:pPr>
          </w:p>
        </w:tc>
        <w:tc>
          <w:tcPr>
            <w:tcW w:w="630" w:type="dxa"/>
          </w:tcPr>
          <w:p w14:paraId="0DFDCAF5" w14:textId="77777777" w:rsidR="00046465" w:rsidRDefault="00046465">
            <w:pPr>
              <w:pStyle w:val="TableParagraph"/>
              <w:rPr>
                <w:rFonts w:ascii="Times New Roman"/>
                <w:sz w:val="16"/>
              </w:rPr>
            </w:pPr>
          </w:p>
        </w:tc>
        <w:tc>
          <w:tcPr>
            <w:tcW w:w="1800" w:type="dxa"/>
          </w:tcPr>
          <w:p w14:paraId="0DFDCAF6" w14:textId="77777777" w:rsidR="00046465" w:rsidRDefault="00046465">
            <w:pPr>
              <w:pStyle w:val="TableParagraph"/>
              <w:rPr>
                <w:rFonts w:ascii="Times New Roman"/>
                <w:sz w:val="16"/>
              </w:rPr>
            </w:pPr>
          </w:p>
        </w:tc>
        <w:tc>
          <w:tcPr>
            <w:tcW w:w="540" w:type="dxa"/>
          </w:tcPr>
          <w:p w14:paraId="0DFDCAF7" w14:textId="77777777" w:rsidR="00046465" w:rsidRDefault="00046465">
            <w:pPr>
              <w:pStyle w:val="TableParagraph"/>
              <w:rPr>
                <w:rFonts w:ascii="Times New Roman"/>
                <w:sz w:val="16"/>
              </w:rPr>
            </w:pPr>
          </w:p>
        </w:tc>
        <w:tc>
          <w:tcPr>
            <w:tcW w:w="1440" w:type="dxa"/>
          </w:tcPr>
          <w:p w14:paraId="0DFDCAF8" w14:textId="77777777" w:rsidR="00046465" w:rsidRDefault="00046465">
            <w:pPr>
              <w:pStyle w:val="TableParagraph"/>
              <w:rPr>
                <w:rFonts w:ascii="Times New Roman"/>
                <w:sz w:val="16"/>
              </w:rPr>
            </w:pPr>
          </w:p>
        </w:tc>
        <w:tc>
          <w:tcPr>
            <w:tcW w:w="630" w:type="dxa"/>
          </w:tcPr>
          <w:p w14:paraId="0DFDCAF9" w14:textId="77777777" w:rsidR="00046465" w:rsidRDefault="00046465">
            <w:pPr>
              <w:pStyle w:val="TableParagraph"/>
              <w:rPr>
                <w:rFonts w:ascii="Times New Roman"/>
                <w:sz w:val="16"/>
              </w:rPr>
            </w:pPr>
          </w:p>
        </w:tc>
      </w:tr>
      <w:tr w:rsidR="00046465" w14:paraId="0DFDCB0F" w14:textId="77777777">
        <w:trPr>
          <w:trHeight w:val="300"/>
        </w:trPr>
        <w:tc>
          <w:tcPr>
            <w:tcW w:w="3872" w:type="dxa"/>
            <w:gridSpan w:val="5"/>
          </w:tcPr>
          <w:p w14:paraId="0DFDCAFB" w14:textId="77777777" w:rsidR="00046465" w:rsidRDefault="008134EB">
            <w:pPr>
              <w:pStyle w:val="TableParagraph"/>
              <w:ind w:left="530"/>
              <w:rPr>
                <w:i/>
                <w:sz w:val="18"/>
              </w:rPr>
            </w:pPr>
            <w:r>
              <w:rPr>
                <w:i/>
                <w:sz w:val="18"/>
              </w:rPr>
              <w:t>***insert</w:t>
            </w:r>
            <w:r>
              <w:rPr>
                <w:i/>
                <w:spacing w:val="-3"/>
                <w:sz w:val="18"/>
              </w:rPr>
              <w:t xml:space="preserve"> </w:t>
            </w:r>
            <w:r>
              <w:rPr>
                <w:i/>
                <w:sz w:val="18"/>
              </w:rPr>
              <w:t>rows</w:t>
            </w:r>
            <w:r>
              <w:rPr>
                <w:i/>
                <w:spacing w:val="-2"/>
                <w:sz w:val="18"/>
              </w:rPr>
              <w:t xml:space="preserve"> </w:t>
            </w:r>
            <w:r>
              <w:rPr>
                <w:i/>
                <w:sz w:val="18"/>
              </w:rPr>
              <w:t>here</w:t>
            </w:r>
            <w:r>
              <w:rPr>
                <w:i/>
                <w:spacing w:val="-3"/>
                <w:sz w:val="18"/>
              </w:rPr>
              <w:t xml:space="preserve"> </w:t>
            </w:r>
            <w:r>
              <w:rPr>
                <w:i/>
                <w:sz w:val="18"/>
              </w:rPr>
              <w:t>as</w:t>
            </w:r>
            <w:r>
              <w:rPr>
                <w:i/>
                <w:spacing w:val="-2"/>
                <w:sz w:val="18"/>
              </w:rPr>
              <w:t xml:space="preserve"> necessary***</w:t>
            </w:r>
          </w:p>
        </w:tc>
        <w:tc>
          <w:tcPr>
            <w:tcW w:w="720" w:type="dxa"/>
          </w:tcPr>
          <w:p w14:paraId="0DFDCAFC" w14:textId="77777777" w:rsidR="00046465" w:rsidRDefault="00046465">
            <w:pPr>
              <w:pStyle w:val="TableParagraph"/>
              <w:rPr>
                <w:rFonts w:ascii="Times New Roman"/>
                <w:sz w:val="16"/>
              </w:rPr>
            </w:pPr>
          </w:p>
        </w:tc>
        <w:tc>
          <w:tcPr>
            <w:tcW w:w="1080" w:type="dxa"/>
          </w:tcPr>
          <w:p w14:paraId="0DFDCAFD" w14:textId="77777777" w:rsidR="00046465" w:rsidRDefault="00046465">
            <w:pPr>
              <w:pStyle w:val="TableParagraph"/>
              <w:rPr>
                <w:rFonts w:ascii="Times New Roman"/>
                <w:sz w:val="16"/>
              </w:rPr>
            </w:pPr>
          </w:p>
        </w:tc>
        <w:tc>
          <w:tcPr>
            <w:tcW w:w="630" w:type="dxa"/>
          </w:tcPr>
          <w:p w14:paraId="0DFDCAFE" w14:textId="77777777" w:rsidR="00046465" w:rsidRDefault="00046465">
            <w:pPr>
              <w:pStyle w:val="TableParagraph"/>
              <w:rPr>
                <w:rFonts w:ascii="Times New Roman"/>
                <w:sz w:val="16"/>
              </w:rPr>
            </w:pPr>
          </w:p>
        </w:tc>
        <w:tc>
          <w:tcPr>
            <w:tcW w:w="720" w:type="dxa"/>
          </w:tcPr>
          <w:p w14:paraId="0DFDCAFF" w14:textId="77777777" w:rsidR="00046465" w:rsidRDefault="00046465">
            <w:pPr>
              <w:pStyle w:val="TableParagraph"/>
              <w:rPr>
                <w:rFonts w:ascii="Times New Roman"/>
                <w:sz w:val="16"/>
              </w:rPr>
            </w:pPr>
          </w:p>
        </w:tc>
        <w:tc>
          <w:tcPr>
            <w:tcW w:w="900" w:type="dxa"/>
          </w:tcPr>
          <w:p w14:paraId="0DFDCB00" w14:textId="77777777" w:rsidR="00046465" w:rsidRDefault="00046465">
            <w:pPr>
              <w:pStyle w:val="TableParagraph"/>
              <w:rPr>
                <w:rFonts w:ascii="Times New Roman"/>
                <w:sz w:val="16"/>
              </w:rPr>
            </w:pPr>
          </w:p>
        </w:tc>
        <w:tc>
          <w:tcPr>
            <w:tcW w:w="900" w:type="dxa"/>
          </w:tcPr>
          <w:p w14:paraId="0DFDCB01" w14:textId="77777777" w:rsidR="00046465" w:rsidRDefault="00046465">
            <w:pPr>
              <w:pStyle w:val="TableParagraph"/>
              <w:rPr>
                <w:rFonts w:ascii="Times New Roman"/>
                <w:sz w:val="16"/>
              </w:rPr>
            </w:pPr>
          </w:p>
        </w:tc>
        <w:tc>
          <w:tcPr>
            <w:tcW w:w="1080" w:type="dxa"/>
          </w:tcPr>
          <w:p w14:paraId="0DFDCB02" w14:textId="77777777" w:rsidR="00046465" w:rsidRDefault="00046465">
            <w:pPr>
              <w:pStyle w:val="TableParagraph"/>
              <w:rPr>
                <w:rFonts w:ascii="Times New Roman"/>
                <w:sz w:val="16"/>
              </w:rPr>
            </w:pPr>
          </w:p>
        </w:tc>
        <w:tc>
          <w:tcPr>
            <w:tcW w:w="540" w:type="dxa"/>
          </w:tcPr>
          <w:p w14:paraId="0DFDCB03" w14:textId="77777777" w:rsidR="00046465" w:rsidRDefault="00046465">
            <w:pPr>
              <w:pStyle w:val="TableParagraph"/>
              <w:rPr>
                <w:rFonts w:ascii="Times New Roman"/>
                <w:sz w:val="16"/>
              </w:rPr>
            </w:pPr>
          </w:p>
        </w:tc>
        <w:tc>
          <w:tcPr>
            <w:tcW w:w="630" w:type="dxa"/>
          </w:tcPr>
          <w:p w14:paraId="0DFDCB04" w14:textId="77777777" w:rsidR="00046465" w:rsidRDefault="00046465">
            <w:pPr>
              <w:pStyle w:val="TableParagraph"/>
              <w:rPr>
                <w:rFonts w:ascii="Times New Roman"/>
                <w:sz w:val="16"/>
              </w:rPr>
            </w:pPr>
          </w:p>
        </w:tc>
        <w:tc>
          <w:tcPr>
            <w:tcW w:w="630" w:type="dxa"/>
          </w:tcPr>
          <w:p w14:paraId="0DFDCB05" w14:textId="77777777" w:rsidR="00046465" w:rsidRDefault="00046465">
            <w:pPr>
              <w:pStyle w:val="TableParagraph"/>
              <w:rPr>
                <w:rFonts w:ascii="Times New Roman"/>
                <w:sz w:val="16"/>
              </w:rPr>
            </w:pPr>
          </w:p>
        </w:tc>
        <w:tc>
          <w:tcPr>
            <w:tcW w:w="1170" w:type="dxa"/>
          </w:tcPr>
          <w:p w14:paraId="0DFDCB06" w14:textId="77777777" w:rsidR="00046465" w:rsidRDefault="00046465">
            <w:pPr>
              <w:pStyle w:val="TableParagraph"/>
              <w:rPr>
                <w:rFonts w:ascii="Times New Roman"/>
                <w:sz w:val="16"/>
              </w:rPr>
            </w:pPr>
          </w:p>
        </w:tc>
        <w:tc>
          <w:tcPr>
            <w:tcW w:w="1260" w:type="dxa"/>
          </w:tcPr>
          <w:p w14:paraId="0DFDCB07" w14:textId="77777777" w:rsidR="00046465" w:rsidRDefault="00046465">
            <w:pPr>
              <w:pStyle w:val="TableParagraph"/>
              <w:rPr>
                <w:rFonts w:ascii="Times New Roman"/>
                <w:sz w:val="16"/>
              </w:rPr>
            </w:pPr>
          </w:p>
        </w:tc>
        <w:tc>
          <w:tcPr>
            <w:tcW w:w="1890" w:type="dxa"/>
          </w:tcPr>
          <w:p w14:paraId="0DFDCB08" w14:textId="77777777" w:rsidR="00046465" w:rsidRDefault="00046465">
            <w:pPr>
              <w:pStyle w:val="TableParagraph"/>
              <w:rPr>
                <w:rFonts w:ascii="Times New Roman"/>
                <w:sz w:val="16"/>
              </w:rPr>
            </w:pPr>
          </w:p>
        </w:tc>
        <w:tc>
          <w:tcPr>
            <w:tcW w:w="900" w:type="dxa"/>
          </w:tcPr>
          <w:p w14:paraId="0DFDCB09" w14:textId="77777777" w:rsidR="00046465" w:rsidRDefault="00046465">
            <w:pPr>
              <w:pStyle w:val="TableParagraph"/>
              <w:rPr>
                <w:rFonts w:ascii="Times New Roman"/>
                <w:sz w:val="16"/>
              </w:rPr>
            </w:pPr>
          </w:p>
        </w:tc>
        <w:tc>
          <w:tcPr>
            <w:tcW w:w="630" w:type="dxa"/>
          </w:tcPr>
          <w:p w14:paraId="0DFDCB0A" w14:textId="77777777" w:rsidR="00046465" w:rsidRDefault="00046465">
            <w:pPr>
              <w:pStyle w:val="TableParagraph"/>
              <w:rPr>
                <w:rFonts w:ascii="Times New Roman"/>
                <w:sz w:val="16"/>
              </w:rPr>
            </w:pPr>
          </w:p>
        </w:tc>
        <w:tc>
          <w:tcPr>
            <w:tcW w:w="1800" w:type="dxa"/>
          </w:tcPr>
          <w:p w14:paraId="0DFDCB0B" w14:textId="77777777" w:rsidR="00046465" w:rsidRDefault="00046465">
            <w:pPr>
              <w:pStyle w:val="TableParagraph"/>
              <w:rPr>
                <w:rFonts w:ascii="Times New Roman"/>
                <w:sz w:val="16"/>
              </w:rPr>
            </w:pPr>
          </w:p>
        </w:tc>
        <w:tc>
          <w:tcPr>
            <w:tcW w:w="540" w:type="dxa"/>
          </w:tcPr>
          <w:p w14:paraId="0DFDCB0C" w14:textId="77777777" w:rsidR="00046465" w:rsidRDefault="00046465">
            <w:pPr>
              <w:pStyle w:val="TableParagraph"/>
              <w:rPr>
                <w:rFonts w:ascii="Times New Roman"/>
                <w:sz w:val="16"/>
              </w:rPr>
            </w:pPr>
          </w:p>
        </w:tc>
        <w:tc>
          <w:tcPr>
            <w:tcW w:w="1440" w:type="dxa"/>
          </w:tcPr>
          <w:p w14:paraId="0DFDCB0D" w14:textId="77777777" w:rsidR="00046465" w:rsidRDefault="00046465">
            <w:pPr>
              <w:pStyle w:val="TableParagraph"/>
              <w:rPr>
                <w:rFonts w:ascii="Times New Roman"/>
                <w:sz w:val="16"/>
              </w:rPr>
            </w:pPr>
          </w:p>
        </w:tc>
        <w:tc>
          <w:tcPr>
            <w:tcW w:w="630" w:type="dxa"/>
          </w:tcPr>
          <w:p w14:paraId="0DFDCB0E" w14:textId="77777777" w:rsidR="00046465" w:rsidRDefault="00046465">
            <w:pPr>
              <w:pStyle w:val="TableParagraph"/>
              <w:rPr>
                <w:rFonts w:ascii="Times New Roman"/>
                <w:sz w:val="16"/>
              </w:rPr>
            </w:pPr>
          </w:p>
        </w:tc>
      </w:tr>
      <w:tr w:rsidR="00046465" w14:paraId="0DFDCB25" w14:textId="77777777">
        <w:trPr>
          <w:trHeight w:val="413"/>
        </w:trPr>
        <w:tc>
          <w:tcPr>
            <w:tcW w:w="1075" w:type="dxa"/>
            <w:shd w:val="clear" w:color="auto" w:fill="D9E0F1"/>
          </w:tcPr>
          <w:p w14:paraId="0DFDCB10" w14:textId="77777777" w:rsidR="00046465" w:rsidRDefault="008134EB">
            <w:pPr>
              <w:pStyle w:val="TableParagraph"/>
              <w:spacing w:line="208" w:lineRule="exact"/>
              <w:ind w:left="115"/>
              <w:rPr>
                <w:sz w:val="18"/>
              </w:rPr>
            </w:pPr>
            <w:r>
              <w:rPr>
                <w:sz w:val="18"/>
              </w:rPr>
              <w:t>Total</w:t>
            </w:r>
            <w:r>
              <w:rPr>
                <w:spacing w:val="-15"/>
                <w:sz w:val="18"/>
              </w:rPr>
              <w:t xml:space="preserve"> </w:t>
            </w:r>
            <w:r>
              <w:rPr>
                <w:sz w:val="18"/>
              </w:rPr>
              <w:t>#</w:t>
            </w:r>
            <w:r>
              <w:rPr>
                <w:spacing w:val="-12"/>
                <w:sz w:val="18"/>
              </w:rPr>
              <w:t xml:space="preserve"> </w:t>
            </w:r>
            <w:r>
              <w:rPr>
                <w:sz w:val="18"/>
              </w:rPr>
              <w:t>of cases</w:t>
            </w:r>
            <w:r>
              <w:rPr>
                <w:spacing w:val="-2"/>
                <w:sz w:val="18"/>
              </w:rPr>
              <w:t xml:space="preserve"> </w:t>
            </w:r>
            <w:r>
              <w:rPr>
                <w:sz w:val="18"/>
              </w:rPr>
              <w:t>-</w:t>
            </w:r>
            <w:r>
              <w:rPr>
                <w:spacing w:val="-2"/>
                <w:sz w:val="18"/>
              </w:rPr>
              <w:t xml:space="preserve"> </w:t>
            </w:r>
            <w:r>
              <w:rPr>
                <w:spacing w:val="-10"/>
                <w:sz w:val="18"/>
              </w:rPr>
              <w:t>3</w:t>
            </w:r>
          </w:p>
        </w:tc>
        <w:tc>
          <w:tcPr>
            <w:tcW w:w="2797" w:type="dxa"/>
            <w:gridSpan w:val="4"/>
            <w:shd w:val="clear" w:color="auto" w:fill="D9E0F1"/>
          </w:tcPr>
          <w:p w14:paraId="0DFDCB11" w14:textId="77777777" w:rsidR="00046465" w:rsidRDefault="008134EB">
            <w:pPr>
              <w:pStyle w:val="TableParagraph"/>
              <w:spacing w:before="206" w:line="187" w:lineRule="exact"/>
              <w:ind w:left="550"/>
              <w:rPr>
                <w:sz w:val="18"/>
              </w:rPr>
            </w:pPr>
            <w:r>
              <w:rPr>
                <w:sz w:val="18"/>
              </w:rPr>
              <w:t>Total</w:t>
            </w:r>
            <w:r>
              <w:rPr>
                <w:spacing w:val="-4"/>
                <w:sz w:val="18"/>
              </w:rPr>
              <w:t xml:space="preserve"> </w:t>
            </w:r>
            <w:r>
              <w:rPr>
                <w:sz w:val="18"/>
              </w:rPr>
              <w:t>Reasonably</w:t>
            </w:r>
            <w:r>
              <w:rPr>
                <w:spacing w:val="-3"/>
                <w:sz w:val="18"/>
              </w:rPr>
              <w:t xml:space="preserve"> </w:t>
            </w:r>
            <w:r>
              <w:rPr>
                <w:spacing w:val="-2"/>
                <w:sz w:val="18"/>
              </w:rPr>
              <w:t>Possible</w:t>
            </w:r>
          </w:p>
        </w:tc>
        <w:tc>
          <w:tcPr>
            <w:tcW w:w="720" w:type="dxa"/>
          </w:tcPr>
          <w:p w14:paraId="0DFDCB12" w14:textId="77777777" w:rsidR="00046465" w:rsidRDefault="00046465">
            <w:pPr>
              <w:pStyle w:val="TableParagraph"/>
              <w:rPr>
                <w:rFonts w:ascii="Times New Roman"/>
                <w:sz w:val="16"/>
              </w:rPr>
            </w:pPr>
          </w:p>
        </w:tc>
        <w:tc>
          <w:tcPr>
            <w:tcW w:w="1080" w:type="dxa"/>
          </w:tcPr>
          <w:p w14:paraId="0DFDCB13" w14:textId="77777777" w:rsidR="00046465" w:rsidRDefault="00046465">
            <w:pPr>
              <w:pStyle w:val="TableParagraph"/>
              <w:rPr>
                <w:rFonts w:ascii="Times New Roman"/>
                <w:sz w:val="16"/>
              </w:rPr>
            </w:pPr>
          </w:p>
        </w:tc>
        <w:tc>
          <w:tcPr>
            <w:tcW w:w="630" w:type="dxa"/>
          </w:tcPr>
          <w:p w14:paraId="0DFDCB14" w14:textId="77777777" w:rsidR="00046465" w:rsidRDefault="00046465">
            <w:pPr>
              <w:pStyle w:val="TableParagraph"/>
              <w:rPr>
                <w:rFonts w:ascii="Times New Roman"/>
                <w:sz w:val="16"/>
              </w:rPr>
            </w:pPr>
          </w:p>
        </w:tc>
        <w:tc>
          <w:tcPr>
            <w:tcW w:w="720" w:type="dxa"/>
          </w:tcPr>
          <w:p w14:paraId="0DFDCB15" w14:textId="77777777" w:rsidR="00046465" w:rsidRDefault="00046465">
            <w:pPr>
              <w:pStyle w:val="TableParagraph"/>
              <w:rPr>
                <w:rFonts w:ascii="Times New Roman"/>
                <w:sz w:val="16"/>
              </w:rPr>
            </w:pPr>
          </w:p>
        </w:tc>
        <w:tc>
          <w:tcPr>
            <w:tcW w:w="900" w:type="dxa"/>
          </w:tcPr>
          <w:p w14:paraId="0DFDCB16" w14:textId="77777777" w:rsidR="00046465" w:rsidRDefault="00046465">
            <w:pPr>
              <w:pStyle w:val="TableParagraph"/>
              <w:rPr>
                <w:rFonts w:ascii="Times New Roman"/>
                <w:sz w:val="16"/>
              </w:rPr>
            </w:pPr>
          </w:p>
        </w:tc>
        <w:tc>
          <w:tcPr>
            <w:tcW w:w="900" w:type="dxa"/>
          </w:tcPr>
          <w:p w14:paraId="0DFDCB17" w14:textId="77777777" w:rsidR="00046465" w:rsidRDefault="00046465">
            <w:pPr>
              <w:pStyle w:val="TableParagraph"/>
              <w:rPr>
                <w:rFonts w:ascii="Times New Roman"/>
                <w:sz w:val="16"/>
              </w:rPr>
            </w:pPr>
          </w:p>
        </w:tc>
        <w:tc>
          <w:tcPr>
            <w:tcW w:w="1080" w:type="dxa"/>
          </w:tcPr>
          <w:p w14:paraId="0DFDCB18" w14:textId="77777777" w:rsidR="00046465" w:rsidRDefault="00046465">
            <w:pPr>
              <w:pStyle w:val="TableParagraph"/>
              <w:rPr>
                <w:rFonts w:ascii="Times New Roman"/>
                <w:sz w:val="16"/>
              </w:rPr>
            </w:pPr>
          </w:p>
        </w:tc>
        <w:tc>
          <w:tcPr>
            <w:tcW w:w="540" w:type="dxa"/>
          </w:tcPr>
          <w:p w14:paraId="0DFDCB19" w14:textId="77777777" w:rsidR="00046465" w:rsidRDefault="00046465">
            <w:pPr>
              <w:pStyle w:val="TableParagraph"/>
              <w:rPr>
                <w:rFonts w:ascii="Times New Roman"/>
                <w:sz w:val="16"/>
              </w:rPr>
            </w:pPr>
          </w:p>
        </w:tc>
        <w:tc>
          <w:tcPr>
            <w:tcW w:w="630" w:type="dxa"/>
          </w:tcPr>
          <w:p w14:paraId="0DFDCB1A" w14:textId="77777777" w:rsidR="00046465" w:rsidRDefault="00046465">
            <w:pPr>
              <w:pStyle w:val="TableParagraph"/>
              <w:rPr>
                <w:rFonts w:ascii="Times New Roman"/>
                <w:sz w:val="16"/>
              </w:rPr>
            </w:pPr>
          </w:p>
        </w:tc>
        <w:tc>
          <w:tcPr>
            <w:tcW w:w="630" w:type="dxa"/>
          </w:tcPr>
          <w:p w14:paraId="0DFDCB1B" w14:textId="77777777" w:rsidR="00046465" w:rsidRDefault="00046465">
            <w:pPr>
              <w:pStyle w:val="TableParagraph"/>
              <w:rPr>
                <w:rFonts w:ascii="Times New Roman"/>
                <w:sz w:val="16"/>
              </w:rPr>
            </w:pPr>
          </w:p>
        </w:tc>
        <w:tc>
          <w:tcPr>
            <w:tcW w:w="1170" w:type="dxa"/>
          </w:tcPr>
          <w:p w14:paraId="0DFDCB1C" w14:textId="77777777" w:rsidR="00046465" w:rsidRDefault="00046465">
            <w:pPr>
              <w:pStyle w:val="TableParagraph"/>
              <w:rPr>
                <w:rFonts w:ascii="Times New Roman"/>
                <w:sz w:val="16"/>
              </w:rPr>
            </w:pPr>
          </w:p>
        </w:tc>
        <w:tc>
          <w:tcPr>
            <w:tcW w:w="1260" w:type="dxa"/>
          </w:tcPr>
          <w:p w14:paraId="0DFDCB1D" w14:textId="77777777" w:rsidR="00046465" w:rsidRDefault="00046465">
            <w:pPr>
              <w:pStyle w:val="TableParagraph"/>
              <w:rPr>
                <w:rFonts w:ascii="Times New Roman"/>
                <w:sz w:val="16"/>
              </w:rPr>
            </w:pPr>
          </w:p>
        </w:tc>
        <w:tc>
          <w:tcPr>
            <w:tcW w:w="1890" w:type="dxa"/>
          </w:tcPr>
          <w:p w14:paraId="0DFDCB1E" w14:textId="77777777" w:rsidR="00046465" w:rsidRDefault="00046465">
            <w:pPr>
              <w:pStyle w:val="TableParagraph"/>
              <w:rPr>
                <w:rFonts w:ascii="Times New Roman"/>
                <w:sz w:val="16"/>
              </w:rPr>
            </w:pPr>
          </w:p>
        </w:tc>
        <w:tc>
          <w:tcPr>
            <w:tcW w:w="900" w:type="dxa"/>
          </w:tcPr>
          <w:p w14:paraId="0DFDCB1F" w14:textId="77777777" w:rsidR="00046465" w:rsidRDefault="00046465">
            <w:pPr>
              <w:pStyle w:val="TableParagraph"/>
              <w:rPr>
                <w:rFonts w:ascii="Times New Roman"/>
                <w:sz w:val="16"/>
              </w:rPr>
            </w:pPr>
          </w:p>
        </w:tc>
        <w:tc>
          <w:tcPr>
            <w:tcW w:w="630" w:type="dxa"/>
          </w:tcPr>
          <w:p w14:paraId="0DFDCB20" w14:textId="77777777" w:rsidR="00046465" w:rsidRDefault="00046465">
            <w:pPr>
              <w:pStyle w:val="TableParagraph"/>
              <w:rPr>
                <w:rFonts w:ascii="Times New Roman"/>
                <w:sz w:val="16"/>
              </w:rPr>
            </w:pPr>
          </w:p>
        </w:tc>
        <w:tc>
          <w:tcPr>
            <w:tcW w:w="1800" w:type="dxa"/>
          </w:tcPr>
          <w:p w14:paraId="0DFDCB21" w14:textId="77777777" w:rsidR="00046465" w:rsidRDefault="00046465">
            <w:pPr>
              <w:pStyle w:val="TableParagraph"/>
              <w:rPr>
                <w:rFonts w:ascii="Times New Roman"/>
                <w:sz w:val="16"/>
              </w:rPr>
            </w:pPr>
          </w:p>
        </w:tc>
        <w:tc>
          <w:tcPr>
            <w:tcW w:w="540" w:type="dxa"/>
          </w:tcPr>
          <w:p w14:paraId="0DFDCB22" w14:textId="77777777" w:rsidR="00046465" w:rsidRDefault="00046465">
            <w:pPr>
              <w:pStyle w:val="TableParagraph"/>
              <w:rPr>
                <w:rFonts w:ascii="Times New Roman"/>
                <w:sz w:val="16"/>
              </w:rPr>
            </w:pPr>
          </w:p>
        </w:tc>
        <w:tc>
          <w:tcPr>
            <w:tcW w:w="1440" w:type="dxa"/>
          </w:tcPr>
          <w:p w14:paraId="0DFDCB23" w14:textId="77777777" w:rsidR="00046465" w:rsidRDefault="00046465">
            <w:pPr>
              <w:pStyle w:val="TableParagraph"/>
              <w:rPr>
                <w:rFonts w:ascii="Times New Roman"/>
                <w:sz w:val="16"/>
              </w:rPr>
            </w:pPr>
          </w:p>
        </w:tc>
        <w:tc>
          <w:tcPr>
            <w:tcW w:w="630" w:type="dxa"/>
          </w:tcPr>
          <w:p w14:paraId="0DFDCB24" w14:textId="77777777" w:rsidR="00046465" w:rsidRDefault="00046465">
            <w:pPr>
              <w:pStyle w:val="TableParagraph"/>
              <w:rPr>
                <w:rFonts w:ascii="Times New Roman"/>
                <w:sz w:val="16"/>
              </w:rPr>
            </w:pPr>
          </w:p>
        </w:tc>
      </w:tr>
      <w:tr w:rsidR="00046465" w14:paraId="0DFDCB27" w14:textId="77777777">
        <w:trPr>
          <w:trHeight w:val="297"/>
        </w:trPr>
        <w:tc>
          <w:tcPr>
            <w:tcW w:w="21962" w:type="dxa"/>
            <w:gridSpan w:val="24"/>
            <w:shd w:val="clear" w:color="auto" w:fill="D9D9D9"/>
          </w:tcPr>
          <w:p w14:paraId="0DFDCB26" w14:textId="77777777" w:rsidR="00046465" w:rsidRDefault="008134EB">
            <w:pPr>
              <w:pStyle w:val="TableParagraph"/>
              <w:spacing w:line="204" w:lineRule="exact"/>
              <w:ind w:left="115"/>
              <w:rPr>
                <w:b/>
                <w:sz w:val="18"/>
              </w:rPr>
            </w:pPr>
            <w:r>
              <w:rPr>
                <w:b/>
                <w:spacing w:val="-2"/>
                <w:sz w:val="18"/>
              </w:rPr>
              <w:t>Remote</w:t>
            </w:r>
          </w:p>
        </w:tc>
      </w:tr>
      <w:tr w:rsidR="00046465" w14:paraId="0DFDCB40" w14:textId="77777777">
        <w:trPr>
          <w:trHeight w:val="300"/>
        </w:trPr>
        <w:tc>
          <w:tcPr>
            <w:tcW w:w="1075" w:type="dxa"/>
          </w:tcPr>
          <w:p w14:paraId="0DFDCB28" w14:textId="77777777" w:rsidR="00046465" w:rsidRDefault="008134EB">
            <w:pPr>
              <w:pStyle w:val="TableParagraph"/>
              <w:spacing w:before="92" w:line="188" w:lineRule="exact"/>
              <w:ind w:right="102"/>
              <w:jc w:val="right"/>
              <w:rPr>
                <w:sz w:val="18"/>
              </w:rPr>
            </w:pPr>
            <w:r>
              <w:rPr>
                <w:spacing w:val="-10"/>
                <w:sz w:val="18"/>
              </w:rPr>
              <w:t>7</w:t>
            </w:r>
          </w:p>
        </w:tc>
        <w:tc>
          <w:tcPr>
            <w:tcW w:w="637" w:type="dxa"/>
          </w:tcPr>
          <w:p w14:paraId="0DFDCB29" w14:textId="77777777" w:rsidR="00046465" w:rsidRDefault="00046465">
            <w:pPr>
              <w:pStyle w:val="TableParagraph"/>
              <w:rPr>
                <w:rFonts w:ascii="Times New Roman"/>
                <w:sz w:val="16"/>
              </w:rPr>
            </w:pPr>
          </w:p>
        </w:tc>
        <w:tc>
          <w:tcPr>
            <w:tcW w:w="720" w:type="dxa"/>
          </w:tcPr>
          <w:p w14:paraId="0DFDCB2A" w14:textId="77777777" w:rsidR="00046465" w:rsidRDefault="00046465">
            <w:pPr>
              <w:pStyle w:val="TableParagraph"/>
              <w:rPr>
                <w:rFonts w:ascii="Times New Roman"/>
                <w:sz w:val="16"/>
              </w:rPr>
            </w:pPr>
          </w:p>
        </w:tc>
        <w:tc>
          <w:tcPr>
            <w:tcW w:w="720" w:type="dxa"/>
          </w:tcPr>
          <w:p w14:paraId="0DFDCB2B" w14:textId="77777777" w:rsidR="00046465" w:rsidRDefault="00046465">
            <w:pPr>
              <w:pStyle w:val="TableParagraph"/>
              <w:rPr>
                <w:rFonts w:ascii="Times New Roman"/>
                <w:sz w:val="16"/>
              </w:rPr>
            </w:pPr>
          </w:p>
        </w:tc>
        <w:tc>
          <w:tcPr>
            <w:tcW w:w="720" w:type="dxa"/>
          </w:tcPr>
          <w:p w14:paraId="0DFDCB2C" w14:textId="77777777" w:rsidR="00046465" w:rsidRDefault="00046465">
            <w:pPr>
              <w:pStyle w:val="TableParagraph"/>
              <w:rPr>
                <w:rFonts w:ascii="Times New Roman"/>
                <w:sz w:val="16"/>
              </w:rPr>
            </w:pPr>
          </w:p>
        </w:tc>
        <w:tc>
          <w:tcPr>
            <w:tcW w:w="720" w:type="dxa"/>
          </w:tcPr>
          <w:p w14:paraId="0DFDCB2D" w14:textId="77777777" w:rsidR="00046465" w:rsidRDefault="00046465">
            <w:pPr>
              <w:pStyle w:val="TableParagraph"/>
              <w:rPr>
                <w:rFonts w:ascii="Times New Roman"/>
                <w:sz w:val="16"/>
              </w:rPr>
            </w:pPr>
          </w:p>
        </w:tc>
        <w:tc>
          <w:tcPr>
            <w:tcW w:w="1080" w:type="dxa"/>
          </w:tcPr>
          <w:p w14:paraId="0DFDCB2E" w14:textId="77777777" w:rsidR="00046465" w:rsidRDefault="00046465">
            <w:pPr>
              <w:pStyle w:val="TableParagraph"/>
              <w:rPr>
                <w:rFonts w:ascii="Times New Roman"/>
                <w:sz w:val="16"/>
              </w:rPr>
            </w:pPr>
          </w:p>
        </w:tc>
        <w:tc>
          <w:tcPr>
            <w:tcW w:w="630" w:type="dxa"/>
          </w:tcPr>
          <w:p w14:paraId="0DFDCB2F" w14:textId="77777777" w:rsidR="00046465" w:rsidRDefault="00046465">
            <w:pPr>
              <w:pStyle w:val="TableParagraph"/>
              <w:rPr>
                <w:rFonts w:ascii="Times New Roman"/>
                <w:sz w:val="16"/>
              </w:rPr>
            </w:pPr>
          </w:p>
        </w:tc>
        <w:tc>
          <w:tcPr>
            <w:tcW w:w="720" w:type="dxa"/>
          </w:tcPr>
          <w:p w14:paraId="0DFDCB30" w14:textId="77777777" w:rsidR="00046465" w:rsidRDefault="00046465">
            <w:pPr>
              <w:pStyle w:val="TableParagraph"/>
              <w:rPr>
                <w:rFonts w:ascii="Times New Roman"/>
                <w:sz w:val="16"/>
              </w:rPr>
            </w:pPr>
          </w:p>
        </w:tc>
        <w:tc>
          <w:tcPr>
            <w:tcW w:w="900" w:type="dxa"/>
          </w:tcPr>
          <w:p w14:paraId="0DFDCB31" w14:textId="77777777" w:rsidR="00046465" w:rsidRDefault="00046465">
            <w:pPr>
              <w:pStyle w:val="TableParagraph"/>
              <w:rPr>
                <w:rFonts w:ascii="Times New Roman"/>
                <w:sz w:val="16"/>
              </w:rPr>
            </w:pPr>
          </w:p>
        </w:tc>
        <w:tc>
          <w:tcPr>
            <w:tcW w:w="900" w:type="dxa"/>
          </w:tcPr>
          <w:p w14:paraId="0DFDCB32" w14:textId="77777777" w:rsidR="00046465" w:rsidRDefault="00046465">
            <w:pPr>
              <w:pStyle w:val="TableParagraph"/>
              <w:rPr>
                <w:rFonts w:ascii="Times New Roman"/>
                <w:sz w:val="16"/>
              </w:rPr>
            </w:pPr>
          </w:p>
        </w:tc>
        <w:tc>
          <w:tcPr>
            <w:tcW w:w="1080" w:type="dxa"/>
          </w:tcPr>
          <w:p w14:paraId="0DFDCB33" w14:textId="77777777" w:rsidR="00046465" w:rsidRDefault="00046465">
            <w:pPr>
              <w:pStyle w:val="TableParagraph"/>
              <w:rPr>
                <w:rFonts w:ascii="Times New Roman"/>
                <w:sz w:val="16"/>
              </w:rPr>
            </w:pPr>
          </w:p>
        </w:tc>
        <w:tc>
          <w:tcPr>
            <w:tcW w:w="540" w:type="dxa"/>
          </w:tcPr>
          <w:p w14:paraId="0DFDCB34" w14:textId="77777777" w:rsidR="00046465" w:rsidRDefault="00046465">
            <w:pPr>
              <w:pStyle w:val="TableParagraph"/>
              <w:rPr>
                <w:rFonts w:ascii="Times New Roman"/>
                <w:sz w:val="16"/>
              </w:rPr>
            </w:pPr>
          </w:p>
        </w:tc>
        <w:tc>
          <w:tcPr>
            <w:tcW w:w="630" w:type="dxa"/>
          </w:tcPr>
          <w:p w14:paraId="0DFDCB35" w14:textId="77777777" w:rsidR="00046465" w:rsidRDefault="00046465">
            <w:pPr>
              <w:pStyle w:val="TableParagraph"/>
              <w:rPr>
                <w:rFonts w:ascii="Times New Roman"/>
                <w:sz w:val="16"/>
              </w:rPr>
            </w:pPr>
          </w:p>
        </w:tc>
        <w:tc>
          <w:tcPr>
            <w:tcW w:w="630" w:type="dxa"/>
          </w:tcPr>
          <w:p w14:paraId="0DFDCB36" w14:textId="77777777" w:rsidR="00046465" w:rsidRDefault="00046465">
            <w:pPr>
              <w:pStyle w:val="TableParagraph"/>
              <w:rPr>
                <w:rFonts w:ascii="Times New Roman"/>
                <w:sz w:val="16"/>
              </w:rPr>
            </w:pPr>
          </w:p>
        </w:tc>
        <w:tc>
          <w:tcPr>
            <w:tcW w:w="1170" w:type="dxa"/>
          </w:tcPr>
          <w:p w14:paraId="0DFDCB37" w14:textId="77777777" w:rsidR="00046465" w:rsidRDefault="00046465">
            <w:pPr>
              <w:pStyle w:val="TableParagraph"/>
              <w:rPr>
                <w:rFonts w:ascii="Times New Roman"/>
                <w:sz w:val="16"/>
              </w:rPr>
            </w:pPr>
          </w:p>
        </w:tc>
        <w:tc>
          <w:tcPr>
            <w:tcW w:w="1260" w:type="dxa"/>
          </w:tcPr>
          <w:p w14:paraId="0DFDCB38" w14:textId="77777777" w:rsidR="00046465" w:rsidRDefault="00046465">
            <w:pPr>
              <w:pStyle w:val="TableParagraph"/>
              <w:rPr>
                <w:rFonts w:ascii="Times New Roman"/>
                <w:sz w:val="16"/>
              </w:rPr>
            </w:pPr>
          </w:p>
        </w:tc>
        <w:tc>
          <w:tcPr>
            <w:tcW w:w="1890" w:type="dxa"/>
          </w:tcPr>
          <w:p w14:paraId="0DFDCB39" w14:textId="77777777" w:rsidR="00046465" w:rsidRDefault="00046465">
            <w:pPr>
              <w:pStyle w:val="TableParagraph"/>
              <w:rPr>
                <w:rFonts w:ascii="Times New Roman"/>
                <w:sz w:val="16"/>
              </w:rPr>
            </w:pPr>
          </w:p>
        </w:tc>
        <w:tc>
          <w:tcPr>
            <w:tcW w:w="900" w:type="dxa"/>
          </w:tcPr>
          <w:p w14:paraId="0DFDCB3A" w14:textId="77777777" w:rsidR="00046465" w:rsidRDefault="00046465">
            <w:pPr>
              <w:pStyle w:val="TableParagraph"/>
              <w:rPr>
                <w:rFonts w:ascii="Times New Roman"/>
                <w:sz w:val="16"/>
              </w:rPr>
            </w:pPr>
          </w:p>
        </w:tc>
        <w:tc>
          <w:tcPr>
            <w:tcW w:w="630" w:type="dxa"/>
          </w:tcPr>
          <w:p w14:paraId="0DFDCB3B" w14:textId="77777777" w:rsidR="00046465" w:rsidRDefault="00046465">
            <w:pPr>
              <w:pStyle w:val="TableParagraph"/>
              <w:rPr>
                <w:rFonts w:ascii="Times New Roman"/>
                <w:sz w:val="16"/>
              </w:rPr>
            </w:pPr>
          </w:p>
        </w:tc>
        <w:tc>
          <w:tcPr>
            <w:tcW w:w="1800" w:type="dxa"/>
          </w:tcPr>
          <w:p w14:paraId="0DFDCB3C" w14:textId="77777777" w:rsidR="00046465" w:rsidRDefault="00046465">
            <w:pPr>
              <w:pStyle w:val="TableParagraph"/>
              <w:rPr>
                <w:rFonts w:ascii="Times New Roman"/>
                <w:sz w:val="16"/>
              </w:rPr>
            </w:pPr>
          </w:p>
        </w:tc>
        <w:tc>
          <w:tcPr>
            <w:tcW w:w="540" w:type="dxa"/>
          </w:tcPr>
          <w:p w14:paraId="0DFDCB3D" w14:textId="77777777" w:rsidR="00046465" w:rsidRDefault="00046465">
            <w:pPr>
              <w:pStyle w:val="TableParagraph"/>
              <w:rPr>
                <w:rFonts w:ascii="Times New Roman"/>
                <w:sz w:val="16"/>
              </w:rPr>
            </w:pPr>
          </w:p>
        </w:tc>
        <w:tc>
          <w:tcPr>
            <w:tcW w:w="1440" w:type="dxa"/>
          </w:tcPr>
          <w:p w14:paraId="0DFDCB3E" w14:textId="77777777" w:rsidR="00046465" w:rsidRDefault="00046465">
            <w:pPr>
              <w:pStyle w:val="TableParagraph"/>
              <w:rPr>
                <w:rFonts w:ascii="Times New Roman"/>
                <w:sz w:val="16"/>
              </w:rPr>
            </w:pPr>
          </w:p>
        </w:tc>
        <w:tc>
          <w:tcPr>
            <w:tcW w:w="630" w:type="dxa"/>
          </w:tcPr>
          <w:p w14:paraId="0DFDCB3F" w14:textId="77777777" w:rsidR="00046465" w:rsidRDefault="00046465">
            <w:pPr>
              <w:pStyle w:val="TableParagraph"/>
              <w:rPr>
                <w:rFonts w:ascii="Times New Roman"/>
                <w:sz w:val="16"/>
              </w:rPr>
            </w:pPr>
          </w:p>
        </w:tc>
      </w:tr>
      <w:tr w:rsidR="00046465" w14:paraId="0DFDCB59" w14:textId="77777777">
        <w:trPr>
          <w:trHeight w:val="299"/>
        </w:trPr>
        <w:tc>
          <w:tcPr>
            <w:tcW w:w="1075" w:type="dxa"/>
          </w:tcPr>
          <w:p w14:paraId="0DFDCB41" w14:textId="77777777" w:rsidR="00046465" w:rsidRDefault="008134EB">
            <w:pPr>
              <w:pStyle w:val="TableParagraph"/>
              <w:spacing w:before="92" w:line="187" w:lineRule="exact"/>
              <w:ind w:right="102"/>
              <w:jc w:val="right"/>
              <w:rPr>
                <w:sz w:val="18"/>
              </w:rPr>
            </w:pPr>
            <w:r>
              <w:rPr>
                <w:spacing w:val="-10"/>
                <w:sz w:val="18"/>
              </w:rPr>
              <w:t>8</w:t>
            </w:r>
          </w:p>
        </w:tc>
        <w:tc>
          <w:tcPr>
            <w:tcW w:w="637" w:type="dxa"/>
          </w:tcPr>
          <w:p w14:paraId="0DFDCB42" w14:textId="77777777" w:rsidR="00046465" w:rsidRDefault="00046465">
            <w:pPr>
              <w:pStyle w:val="TableParagraph"/>
              <w:rPr>
                <w:rFonts w:ascii="Times New Roman"/>
                <w:sz w:val="16"/>
              </w:rPr>
            </w:pPr>
          </w:p>
        </w:tc>
        <w:tc>
          <w:tcPr>
            <w:tcW w:w="720" w:type="dxa"/>
          </w:tcPr>
          <w:p w14:paraId="0DFDCB43" w14:textId="77777777" w:rsidR="00046465" w:rsidRDefault="00046465">
            <w:pPr>
              <w:pStyle w:val="TableParagraph"/>
              <w:rPr>
                <w:rFonts w:ascii="Times New Roman"/>
                <w:sz w:val="16"/>
              </w:rPr>
            </w:pPr>
          </w:p>
        </w:tc>
        <w:tc>
          <w:tcPr>
            <w:tcW w:w="720" w:type="dxa"/>
          </w:tcPr>
          <w:p w14:paraId="0DFDCB44" w14:textId="77777777" w:rsidR="00046465" w:rsidRDefault="00046465">
            <w:pPr>
              <w:pStyle w:val="TableParagraph"/>
              <w:rPr>
                <w:rFonts w:ascii="Times New Roman"/>
                <w:sz w:val="16"/>
              </w:rPr>
            </w:pPr>
          </w:p>
        </w:tc>
        <w:tc>
          <w:tcPr>
            <w:tcW w:w="720" w:type="dxa"/>
          </w:tcPr>
          <w:p w14:paraId="0DFDCB45" w14:textId="77777777" w:rsidR="00046465" w:rsidRDefault="00046465">
            <w:pPr>
              <w:pStyle w:val="TableParagraph"/>
              <w:rPr>
                <w:rFonts w:ascii="Times New Roman"/>
                <w:sz w:val="16"/>
              </w:rPr>
            </w:pPr>
          </w:p>
        </w:tc>
        <w:tc>
          <w:tcPr>
            <w:tcW w:w="720" w:type="dxa"/>
          </w:tcPr>
          <w:p w14:paraId="0DFDCB46" w14:textId="77777777" w:rsidR="00046465" w:rsidRDefault="00046465">
            <w:pPr>
              <w:pStyle w:val="TableParagraph"/>
              <w:rPr>
                <w:rFonts w:ascii="Times New Roman"/>
                <w:sz w:val="16"/>
              </w:rPr>
            </w:pPr>
          </w:p>
        </w:tc>
        <w:tc>
          <w:tcPr>
            <w:tcW w:w="1080" w:type="dxa"/>
          </w:tcPr>
          <w:p w14:paraId="0DFDCB47" w14:textId="77777777" w:rsidR="00046465" w:rsidRDefault="00046465">
            <w:pPr>
              <w:pStyle w:val="TableParagraph"/>
              <w:rPr>
                <w:rFonts w:ascii="Times New Roman"/>
                <w:sz w:val="16"/>
              </w:rPr>
            </w:pPr>
          </w:p>
        </w:tc>
        <w:tc>
          <w:tcPr>
            <w:tcW w:w="630" w:type="dxa"/>
          </w:tcPr>
          <w:p w14:paraId="0DFDCB48" w14:textId="77777777" w:rsidR="00046465" w:rsidRDefault="00046465">
            <w:pPr>
              <w:pStyle w:val="TableParagraph"/>
              <w:rPr>
                <w:rFonts w:ascii="Times New Roman"/>
                <w:sz w:val="16"/>
              </w:rPr>
            </w:pPr>
          </w:p>
        </w:tc>
        <w:tc>
          <w:tcPr>
            <w:tcW w:w="720" w:type="dxa"/>
          </w:tcPr>
          <w:p w14:paraId="0DFDCB49" w14:textId="77777777" w:rsidR="00046465" w:rsidRDefault="00046465">
            <w:pPr>
              <w:pStyle w:val="TableParagraph"/>
              <w:rPr>
                <w:rFonts w:ascii="Times New Roman"/>
                <w:sz w:val="16"/>
              </w:rPr>
            </w:pPr>
          </w:p>
        </w:tc>
        <w:tc>
          <w:tcPr>
            <w:tcW w:w="900" w:type="dxa"/>
          </w:tcPr>
          <w:p w14:paraId="0DFDCB4A" w14:textId="77777777" w:rsidR="00046465" w:rsidRDefault="00046465">
            <w:pPr>
              <w:pStyle w:val="TableParagraph"/>
              <w:rPr>
                <w:rFonts w:ascii="Times New Roman"/>
                <w:sz w:val="16"/>
              </w:rPr>
            </w:pPr>
          </w:p>
        </w:tc>
        <w:tc>
          <w:tcPr>
            <w:tcW w:w="900" w:type="dxa"/>
          </w:tcPr>
          <w:p w14:paraId="0DFDCB4B" w14:textId="77777777" w:rsidR="00046465" w:rsidRDefault="00046465">
            <w:pPr>
              <w:pStyle w:val="TableParagraph"/>
              <w:rPr>
                <w:rFonts w:ascii="Times New Roman"/>
                <w:sz w:val="16"/>
              </w:rPr>
            </w:pPr>
          </w:p>
        </w:tc>
        <w:tc>
          <w:tcPr>
            <w:tcW w:w="1080" w:type="dxa"/>
          </w:tcPr>
          <w:p w14:paraId="0DFDCB4C" w14:textId="77777777" w:rsidR="00046465" w:rsidRDefault="00046465">
            <w:pPr>
              <w:pStyle w:val="TableParagraph"/>
              <w:rPr>
                <w:rFonts w:ascii="Times New Roman"/>
                <w:sz w:val="16"/>
              </w:rPr>
            </w:pPr>
          </w:p>
        </w:tc>
        <w:tc>
          <w:tcPr>
            <w:tcW w:w="540" w:type="dxa"/>
          </w:tcPr>
          <w:p w14:paraId="0DFDCB4D" w14:textId="77777777" w:rsidR="00046465" w:rsidRDefault="00046465">
            <w:pPr>
              <w:pStyle w:val="TableParagraph"/>
              <w:rPr>
                <w:rFonts w:ascii="Times New Roman"/>
                <w:sz w:val="16"/>
              </w:rPr>
            </w:pPr>
          </w:p>
        </w:tc>
        <w:tc>
          <w:tcPr>
            <w:tcW w:w="630" w:type="dxa"/>
          </w:tcPr>
          <w:p w14:paraId="0DFDCB4E" w14:textId="77777777" w:rsidR="00046465" w:rsidRDefault="00046465">
            <w:pPr>
              <w:pStyle w:val="TableParagraph"/>
              <w:rPr>
                <w:rFonts w:ascii="Times New Roman"/>
                <w:sz w:val="16"/>
              </w:rPr>
            </w:pPr>
          </w:p>
        </w:tc>
        <w:tc>
          <w:tcPr>
            <w:tcW w:w="630" w:type="dxa"/>
          </w:tcPr>
          <w:p w14:paraId="0DFDCB4F" w14:textId="77777777" w:rsidR="00046465" w:rsidRDefault="00046465">
            <w:pPr>
              <w:pStyle w:val="TableParagraph"/>
              <w:rPr>
                <w:rFonts w:ascii="Times New Roman"/>
                <w:sz w:val="16"/>
              </w:rPr>
            </w:pPr>
          </w:p>
        </w:tc>
        <w:tc>
          <w:tcPr>
            <w:tcW w:w="1170" w:type="dxa"/>
          </w:tcPr>
          <w:p w14:paraId="0DFDCB50" w14:textId="77777777" w:rsidR="00046465" w:rsidRDefault="00046465">
            <w:pPr>
              <w:pStyle w:val="TableParagraph"/>
              <w:rPr>
                <w:rFonts w:ascii="Times New Roman"/>
                <w:sz w:val="16"/>
              </w:rPr>
            </w:pPr>
          </w:p>
        </w:tc>
        <w:tc>
          <w:tcPr>
            <w:tcW w:w="1260" w:type="dxa"/>
          </w:tcPr>
          <w:p w14:paraId="0DFDCB51" w14:textId="77777777" w:rsidR="00046465" w:rsidRDefault="00046465">
            <w:pPr>
              <w:pStyle w:val="TableParagraph"/>
              <w:rPr>
                <w:rFonts w:ascii="Times New Roman"/>
                <w:sz w:val="16"/>
              </w:rPr>
            </w:pPr>
          </w:p>
        </w:tc>
        <w:tc>
          <w:tcPr>
            <w:tcW w:w="1890" w:type="dxa"/>
          </w:tcPr>
          <w:p w14:paraId="0DFDCB52" w14:textId="77777777" w:rsidR="00046465" w:rsidRDefault="00046465">
            <w:pPr>
              <w:pStyle w:val="TableParagraph"/>
              <w:rPr>
                <w:rFonts w:ascii="Times New Roman"/>
                <w:sz w:val="16"/>
              </w:rPr>
            </w:pPr>
          </w:p>
        </w:tc>
        <w:tc>
          <w:tcPr>
            <w:tcW w:w="900" w:type="dxa"/>
          </w:tcPr>
          <w:p w14:paraId="0DFDCB53" w14:textId="77777777" w:rsidR="00046465" w:rsidRDefault="00046465">
            <w:pPr>
              <w:pStyle w:val="TableParagraph"/>
              <w:rPr>
                <w:rFonts w:ascii="Times New Roman"/>
                <w:sz w:val="16"/>
              </w:rPr>
            </w:pPr>
          </w:p>
        </w:tc>
        <w:tc>
          <w:tcPr>
            <w:tcW w:w="630" w:type="dxa"/>
          </w:tcPr>
          <w:p w14:paraId="0DFDCB54" w14:textId="77777777" w:rsidR="00046465" w:rsidRDefault="00046465">
            <w:pPr>
              <w:pStyle w:val="TableParagraph"/>
              <w:rPr>
                <w:rFonts w:ascii="Times New Roman"/>
                <w:sz w:val="16"/>
              </w:rPr>
            </w:pPr>
          </w:p>
        </w:tc>
        <w:tc>
          <w:tcPr>
            <w:tcW w:w="1800" w:type="dxa"/>
          </w:tcPr>
          <w:p w14:paraId="0DFDCB55" w14:textId="77777777" w:rsidR="00046465" w:rsidRDefault="00046465">
            <w:pPr>
              <w:pStyle w:val="TableParagraph"/>
              <w:rPr>
                <w:rFonts w:ascii="Times New Roman"/>
                <w:sz w:val="16"/>
              </w:rPr>
            </w:pPr>
          </w:p>
        </w:tc>
        <w:tc>
          <w:tcPr>
            <w:tcW w:w="540" w:type="dxa"/>
          </w:tcPr>
          <w:p w14:paraId="0DFDCB56" w14:textId="77777777" w:rsidR="00046465" w:rsidRDefault="00046465">
            <w:pPr>
              <w:pStyle w:val="TableParagraph"/>
              <w:rPr>
                <w:rFonts w:ascii="Times New Roman"/>
                <w:sz w:val="16"/>
              </w:rPr>
            </w:pPr>
          </w:p>
        </w:tc>
        <w:tc>
          <w:tcPr>
            <w:tcW w:w="1440" w:type="dxa"/>
          </w:tcPr>
          <w:p w14:paraId="0DFDCB57" w14:textId="77777777" w:rsidR="00046465" w:rsidRDefault="00046465">
            <w:pPr>
              <w:pStyle w:val="TableParagraph"/>
              <w:rPr>
                <w:rFonts w:ascii="Times New Roman"/>
                <w:sz w:val="16"/>
              </w:rPr>
            </w:pPr>
          </w:p>
        </w:tc>
        <w:tc>
          <w:tcPr>
            <w:tcW w:w="630" w:type="dxa"/>
          </w:tcPr>
          <w:p w14:paraId="0DFDCB58" w14:textId="77777777" w:rsidR="00046465" w:rsidRDefault="00046465">
            <w:pPr>
              <w:pStyle w:val="TableParagraph"/>
              <w:rPr>
                <w:rFonts w:ascii="Times New Roman"/>
                <w:sz w:val="16"/>
              </w:rPr>
            </w:pPr>
          </w:p>
        </w:tc>
      </w:tr>
      <w:tr w:rsidR="00046465" w14:paraId="0DFDCB72" w14:textId="77777777">
        <w:trPr>
          <w:trHeight w:val="299"/>
        </w:trPr>
        <w:tc>
          <w:tcPr>
            <w:tcW w:w="1075" w:type="dxa"/>
          </w:tcPr>
          <w:p w14:paraId="0DFDCB5A" w14:textId="77777777" w:rsidR="00046465" w:rsidRDefault="008134EB">
            <w:pPr>
              <w:pStyle w:val="TableParagraph"/>
              <w:spacing w:before="92" w:line="187" w:lineRule="exact"/>
              <w:ind w:right="102"/>
              <w:jc w:val="right"/>
              <w:rPr>
                <w:sz w:val="18"/>
              </w:rPr>
            </w:pPr>
            <w:r>
              <w:rPr>
                <w:spacing w:val="-10"/>
                <w:sz w:val="18"/>
              </w:rPr>
              <w:t>9</w:t>
            </w:r>
          </w:p>
        </w:tc>
        <w:tc>
          <w:tcPr>
            <w:tcW w:w="637" w:type="dxa"/>
          </w:tcPr>
          <w:p w14:paraId="0DFDCB5B" w14:textId="77777777" w:rsidR="00046465" w:rsidRDefault="00046465">
            <w:pPr>
              <w:pStyle w:val="TableParagraph"/>
              <w:rPr>
                <w:rFonts w:ascii="Times New Roman"/>
                <w:sz w:val="16"/>
              </w:rPr>
            </w:pPr>
          </w:p>
        </w:tc>
        <w:tc>
          <w:tcPr>
            <w:tcW w:w="720" w:type="dxa"/>
          </w:tcPr>
          <w:p w14:paraId="0DFDCB5C" w14:textId="77777777" w:rsidR="00046465" w:rsidRDefault="00046465">
            <w:pPr>
              <w:pStyle w:val="TableParagraph"/>
              <w:rPr>
                <w:rFonts w:ascii="Times New Roman"/>
                <w:sz w:val="16"/>
              </w:rPr>
            </w:pPr>
          </w:p>
        </w:tc>
        <w:tc>
          <w:tcPr>
            <w:tcW w:w="720" w:type="dxa"/>
          </w:tcPr>
          <w:p w14:paraId="0DFDCB5D" w14:textId="77777777" w:rsidR="00046465" w:rsidRDefault="00046465">
            <w:pPr>
              <w:pStyle w:val="TableParagraph"/>
              <w:rPr>
                <w:rFonts w:ascii="Times New Roman"/>
                <w:sz w:val="16"/>
              </w:rPr>
            </w:pPr>
          </w:p>
        </w:tc>
        <w:tc>
          <w:tcPr>
            <w:tcW w:w="720" w:type="dxa"/>
          </w:tcPr>
          <w:p w14:paraId="0DFDCB5E" w14:textId="77777777" w:rsidR="00046465" w:rsidRDefault="00046465">
            <w:pPr>
              <w:pStyle w:val="TableParagraph"/>
              <w:rPr>
                <w:rFonts w:ascii="Times New Roman"/>
                <w:sz w:val="16"/>
              </w:rPr>
            </w:pPr>
          </w:p>
        </w:tc>
        <w:tc>
          <w:tcPr>
            <w:tcW w:w="720" w:type="dxa"/>
          </w:tcPr>
          <w:p w14:paraId="0DFDCB5F" w14:textId="77777777" w:rsidR="00046465" w:rsidRDefault="00046465">
            <w:pPr>
              <w:pStyle w:val="TableParagraph"/>
              <w:rPr>
                <w:rFonts w:ascii="Times New Roman"/>
                <w:sz w:val="16"/>
              </w:rPr>
            </w:pPr>
          </w:p>
        </w:tc>
        <w:tc>
          <w:tcPr>
            <w:tcW w:w="1080" w:type="dxa"/>
          </w:tcPr>
          <w:p w14:paraId="0DFDCB60" w14:textId="77777777" w:rsidR="00046465" w:rsidRDefault="00046465">
            <w:pPr>
              <w:pStyle w:val="TableParagraph"/>
              <w:rPr>
                <w:rFonts w:ascii="Times New Roman"/>
                <w:sz w:val="16"/>
              </w:rPr>
            </w:pPr>
          </w:p>
        </w:tc>
        <w:tc>
          <w:tcPr>
            <w:tcW w:w="630" w:type="dxa"/>
          </w:tcPr>
          <w:p w14:paraId="0DFDCB61" w14:textId="77777777" w:rsidR="00046465" w:rsidRDefault="00046465">
            <w:pPr>
              <w:pStyle w:val="TableParagraph"/>
              <w:rPr>
                <w:rFonts w:ascii="Times New Roman"/>
                <w:sz w:val="16"/>
              </w:rPr>
            </w:pPr>
          </w:p>
        </w:tc>
        <w:tc>
          <w:tcPr>
            <w:tcW w:w="720" w:type="dxa"/>
          </w:tcPr>
          <w:p w14:paraId="0DFDCB62" w14:textId="77777777" w:rsidR="00046465" w:rsidRDefault="00046465">
            <w:pPr>
              <w:pStyle w:val="TableParagraph"/>
              <w:rPr>
                <w:rFonts w:ascii="Times New Roman"/>
                <w:sz w:val="16"/>
              </w:rPr>
            </w:pPr>
          </w:p>
        </w:tc>
        <w:tc>
          <w:tcPr>
            <w:tcW w:w="900" w:type="dxa"/>
          </w:tcPr>
          <w:p w14:paraId="0DFDCB63" w14:textId="77777777" w:rsidR="00046465" w:rsidRDefault="00046465">
            <w:pPr>
              <w:pStyle w:val="TableParagraph"/>
              <w:rPr>
                <w:rFonts w:ascii="Times New Roman"/>
                <w:sz w:val="16"/>
              </w:rPr>
            </w:pPr>
          </w:p>
        </w:tc>
        <w:tc>
          <w:tcPr>
            <w:tcW w:w="900" w:type="dxa"/>
          </w:tcPr>
          <w:p w14:paraId="0DFDCB64" w14:textId="77777777" w:rsidR="00046465" w:rsidRDefault="00046465">
            <w:pPr>
              <w:pStyle w:val="TableParagraph"/>
              <w:rPr>
                <w:rFonts w:ascii="Times New Roman"/>
                <w:sz w:val="16"/>
              </w:rPr>
            </w:pPr>
          </w:p>
        </w:tc>
        <w:tc>
          <w:tcPr>
            <w:tcW w:w="1080" w:type="dxa"/>
          </w:tcPr>
          <w:p w14:paraId="0DFDCB65" w14:textId="77777777" w:rsidR="00046465" w:rsidRDefault="00046465">
            <w:pPr>
              <w:pStyle w:val="TableParagraph"/>
              <w:rPr>
                <w:rFonts w:ascii="Times New Roman"/>
                <w:sz w:val="16"/>
              </w:rPr>
            </w:pPr>
          </w:p>
        </w:tc>
        <w:tc>
          <w:tcPr>
            <w:tcW w:w="540" w:type="dxa"/>
          </w:tcPr>
          <w:p w14:paraId="0DFDCB66" w14:textId="77777777" w:rsidR="00046465" w:rsidRDefault="00046465">
            <w:pPr>
              <w:pStyle w:val="TableParagraph"/>
              <w:rPr>
                <w:rFonts w:ascii="Times New Roman"/>
                <w:sz w:val="16"/>
              </w:rPr>
            </w:pPr>
          </w:p>
        </w:tc>
        <w:tc>
          <w:tcPr>
            <w:tcW w:w="630" w:type="dxa"/>
          </w:tcPr>
          <w:p w14:paraId="0DFDCB67" w14:textId="77777777" w:rsidR="00046465" w:rsidRDefault="00046465">
            <w:pPr>
              <w:pStyle w:val="TableParagraph"/>
              <w:rPr>
                <w:rFonts w:ascii="Times New Roman"/>
                <w:sz w:val="16"/>
              </w:rPr>
            </w:pPr>
          </w:p>
        </w:tc>
        <w:tc>
          <w:tcPr>
            <w:tcW w:w="630" w:type="dxa"/>
          </w:tcPr>
          <w:p w14:paraId="0DFDCB68" w14:textId="77777777" w:rsidR="00046465" w:rsidRDefault="00046465">
            <w:pPr>
              <w:pStyle w:val="TableParagraph"/>
              <w:rPr>
                <w:rFonts w:ascii="Times New Roman"/>
                <w:sz w:val="16"/>
              </w:rPr>
            </w:pPr>
          </w:p>
        </w:tc>
        <w:tc>
          <w:tcPr>
            <w:tcW w:w="1170" w:type="dxa"/>
          </w:tcPr>
          <w:p w14:paraId="0DFDCB69" w14:textId="77777777" w:rsidR="00046465" w:rsidRDefault="00046465">
            <w:pPr>
              <w:pStyle w:val="TableParagraph"/>
              <w:rPr>
                <w:rFonts w:ascii="Times New Roman"/>
                <w:sz w:val="16"/>
              </w:rPr>
            </w:pPr>
          </w:p>
        </w:tc>
        <w:tc>
          <w:tcPr>
            <w:tcW w:w="1260" w:type="dxa"/>
          </w:tcPr>
          <w:p w14:paraId="0DFDCB6A" w14:textId="77777777" w:rsidR="00046465" w:rsidRDefault="00046465">
            <w:pPr>
              <w:pStyle w:val="TableParagraph"/>
              <w:rPr>
                <w:rFonts w:ascii="Times New Roman"/>
                <w:sz w:val="16"/>
              </w:rPr>
            </w:pPr>
          </w:p>
        </w:tc>
        <w:tc>
          <w:tcPr>
            <w:tcW w:w="1890" w:type="dxa"/>
          </w:tcPr>
          <w:p w14:paraId="0DFDCB6B" w14:textId="77777777" w:rsidR="00046465" w:rsidRDefault="00046465">
            <w:pPr>
              <w:pStyle w:val="TableParagraph"/>
              <w:rPr>
                <w:rFonts w:ascii="Times New Roman"/>
                <w:sz w:val="16"/>
              </w:rPr>
            </w:pPr>
          </w:p>
        </w:tc>
        <w:tc>
          <w:tcPr>
            <w:tcW w:w="900" w:type="dxa"/>
          </w:tcPr>
          <w:p w14:paraId="0DFDCB6C" w14:textId="77777777" w:rsidR="00046465" w:rsidRDefault="00046465">
            <w:pPr>
              <w:pStyle w:val="TableParagraph"/>
              <w:rPr>
                <w:rFonts w:ascii="Times New Roman"/>
                <w:sz w:val="16"/>
              </w:rPr>
            </w:pPr>
          </w:p>
        </w:tc>
        <w:tc>
          <w:tcPr>
            <w:tcW w:w="630" w:type="dxa"/>
          </w:tcPr>
          <w:p w14:paraId="0DFDCB6D" w14:textId="77777777" w:rsidR="00046465" w:rsidRDefault="00046465">
            <w:pPr>
              <w:pStyle w:val="TableParagraph"/>
              <w:rPr>
                <w:rFonts w:ascii="Times New Roman"/>
                <w:sz w:val="16"/>
              </w:rPr>
            </w:pPr>
          </w:p>
        </w:tc>
        <w:tc>
          <w:tcPr>
            <w:tcW w:w="1800" w:type="dxa"/>
          </w:tcPr>
          <w:p w14:paraId="0DFDCB6E" w14:textId="77777777" w:rsidR="00046465" w:rsidRDefault="00046465">
            <w:pPr>
              <w:pStyle w:val="TableParagraph"/>
              <w:rPr>
                <w:rFonts w:ascii="Times New Roman"/>
                <w:sz w:val="16"/>
              </w:rPr>
            </w:pPr>
          </w:p>
        </w:tc>
        <w:tc>
          <w:tcPr>
            <w:tcW w:w="540" w:type="dxa"/>
          </w:tcPr>
          <w:p w14:paraId="0DFDCB6F" w14:textId="77777777" w:rsidR="00046465" w:rsidRDefault="00046465">
            <w:pPr>
              <w:pStyle w:val="TableParagraph"/>
              <w:rPr>
                <w:rFonts w:ascii="Times New Roman"/>
                <w:sz w:val="16"/>
              </w:rPr>
            </w:pPr>
          </w:p>
        </w:tc>
        <w:tc>
          <w:tcPr>
            <w:tcW w:w="1440" w:type="dxa"/>
          </w:tcPr>
          <w:p w14:paraId="0DFDCB70" w14:textId="77777777" w:rsidR="00046465" w:rsidRDefault="00046465">
            <w:pPr>
              <w:pStyle w:val="TableParagraph"/>
              <w:rPr>
                <w:rFonts w:ascii="Times New Roman"/>
                <w:sz w:val="16"/>
              </w:rPr>
            </w:pPr>
          </w:p>
        </w:tc>
        <w:tc>
          <w:tcPr>
            <w:tcW w:w="630" w:type="dxa"/>
          </w:tcPr>
          <w:p w14:paraId="0DFDCB71" w14:textId="77777777" w:rsidR="00046465" w:rsidRDefault="00046465">
            <w:pPr>
              <w:pStyle w:val="TableParagraph"/>
              <w:rPr>
                <w:rFonts w:ascii="Times New Roman"/>
                <w:sz w:val="16"/>
              </w:rPr>
            </w:pPr>
          </w:p>
        </w:tc>
      </w:tr>
      <w:tr w:rsidR="00046465" w14:paraId="0DFDCB87" w14:textId="77777777">
        <w:trPr>
          <w:trHeight w:val="300"/>
        </w:trPr>
        <w:tc>
          <w:tcPr>
            <w:tcW w:w="3872" w:type="dxa"/>
            <w:gridSpan w:val="5"/>
          </w:tcPr>
          <w:p w14:paraId="0DFDCB73" w14:textId="77777777" w:rsidR="00046465" w:rsidRDefault="008134EB">
            <w:pPr>
              <w:pStyle w:val="TableParagraph"/>
              <w:ind w:left="530"/>
              <w:rPr>
                <w:i/>
                <w:sz w:val="18"/>
              </w:rPr>
            </w:pPr>
            <w:r>
              <w:rPr>
                <w:i/>
                <w:sz w:val="18"/>
              </w:rPr>
              <w:t>***insert</w:t>
            </w:r>
            <w:r>
              <w:rPr>
                <w:i/>
                <w:spacing w:val="-3"/>
                <w:sz w:val="18"/>
              </w:rPr>
              <w:t xml:space="preserve"> </w:t>
            </w:r>
            <w:r>
              <w:rPr>
                <w:i/>
                <w:sz w:val="18"/>
              </w:rPr>
              <w:t>rows</w:t>
            </w:r>
            <w:r>
              <w:rPr>
                <w:i/>
                <w:spacing w:val="-2"/>
                <w:sz w:val="18"/>
              </w:rPr>
              <w:t xml:space="preserve"> </w:t>
            </w:r>
            <w:r>
              <w:rPr>
                <w:i/>
                <w:sz w:val="18"/>
              </w:rPr>
              <w:t>here</w:t>
            </w:r>
            <w:r>
              <w:rPr>
                <w:i/>
                <w:spacing w:val="-3"/>
                <w:sz w:val="18"/>
              </w:rPr>
              <w:t xml:space="preserve"> </w:t>
            </w:r>
            <w:r>
              <w:rPr>
                <w:i/>
                <w:sz w:val="18"/>
              </w:rPr>
              <w:t>as</w:t>
            </w:r>
            <w:r>
              <w:rPr>
                <w:i/>
                <w:spacing w:val="-2"/>
                <w:sz w:val="18"/>
              </w:rPr>
              <w:t xml:space="preserve"> necessary***</w:t>
            </w:r>
          </w:p>
        </w:tc>
        <w:tc>
          <w:tcPr>
            <w:tcW w:w="720" w:type="dxa"/>
          </w:tcPr>
          <w:p w14:paraId="0DFDCB74" w14:textId="77777777" w:rsidR="00046465" w:rsidRDefault="00046465">
            <w:pPr>
              <w:pStyle w:val="TableParagraph"/>
              <w:rPr>
                <w:rFonts w:ascii="Times New Roman"/>
                <w:sz w:val="16"/>
              </w:rPr>
            </w:pPr>
          </w:p>
        </w:tc>
        <w:tc>
          <w:tcPr>
            <w:tcW w:w="1080" w:type="dxa"/>
          </w:tcPr>
          <w:p w14:paraId="0DFDCB75" w14:textId="77777777" w:rsidR="00046465" w:rsidRDefault="00046465">
            <w:pPr>
              <w:pStyle w:val="TableParagraph"/>
              <w:rPr>
                <w:rFonts w:ascii="Times New Roman"/>
                <w:sz w:val="16"/>
              </w:rPr>
            </w:pPr>
          </w:p>
        </w:tc>
        <w:tc>
          <w:tcPr>
            <w:tcW w:w="630" w:type="dxa"/>
          </w:tcPr>
          <w:p w14:paraId="0DFDCB76" w14:textId="77777777" w:rsidR="00046465" w:rsidRDefault="00046465">
            <w:pPr>
              <w:pStyle w:val="TableParagraph"/>
              <w:rPr>
                <w:rFonts w:ascii="Times New Roman"/>
                <w:sz w:val="16"/>
              </w:rPr>
            </w:pPr>
          </w:p>
        </w:tc>
        <w:tc>
          <w:tcPr>
            <w:tcW w:w="720" w:type="dxa"/>
          </w:tcPr>
          <w:p w14:paraId="0DFDCB77" w14:textId="77777777" w:rsidR="00046465" w:rsidRDefault="00046465">
            <w:pPr>
              <w:pStyle w:val="TableParagraph"/>
              <w:rPr>
                <w:rFonts w:ascii="Times New Roman"/>
                <w:sz w:val="16"/>
              </w:rPr>
            </w:pPr>
          </w:p>
        </w:tc>
        <w:tc>
          <w:tcPr>
            <w:tcW w:w="900" w:type="dxa"/>
          </w:tcPr>
          <w:p w14:paraId="0DFDCB78" w14:textId="77777777" w:rsidR="00046465" w:rsidRDefault="00046465">
            <w:pPr>
              <w:pStyle w:val="TableParagraph"/>
              <w:rPr>
                <w:rFonts w:ascii="Times New Roman"/>
                <w:sz w:val="16"/>
              </w:rPr>
            </w:pPr>
          </w:p>
        </w:tc>
        <w:tc>
          <w:tcPr>
            <w:tcW w:w="900" w:type="dxa"/>
          </w:tcPr>
          <w:p w14:paraId="0DFDCB79" w14:textId="77777777" w:rsidR="00046465" w:rsidRDefault="00046465">
            <w:pPr>
              <w:pStyle w:val="TableParagraph"/>
              <w:rPr>
                <w:rFonts w:ascii="Times New Roman"/>
                <w:sz w:val="16"/>
              </w:rPr>
            </w:pPr>
          </w:p>
        </w:tc>
        <w:tc>
          <w:tcPr>
            <w:tcW w:w="1080" w:type="dxa"/>
          </w:tcPr>
          <w:p w14:paraId="0DFDCB7A" w14:textId="77777777" w:rsidR="00046465" w:rsidRDefault="00046465">
            <w:pPr>
              <w:pStyle w:val="TableParagraph"/>
              <w:rPr>
                <w:rFonts w:ascii="Times New Roman"/>
                <w:sz w:val="16"/>
              </w:rPr>
            </w:pPr>
          </w:p>
        </w:tc>
        <w:tc>
          <w:tcPr>
            <w:tcW w:w="540" w:type="dxa"/>
          </w:tcPr>
          <w:p w14:paraId="0DFDCB7B" w14:textId="77777777" w:rsidR="00046465" w:rsidRDefault="00046465">
            <w:pPr>
              <w:pStyle w:val="TableParagraph"/>
              <w:rPr>
                <w:rFonts w:ascii="Times New Roman"/>
                <w:sz w:val="16"/>
              </w:rPr>
            </w:pPr>
          </w:p>
        </w:tc>
        <w:tc>
          <w:tcPr>
            <w:tcW w:w="630" w:type="dxa"/>
          </w:tcPr>
          <w:p w14:paraId="0DFDCB7C" w14:textId="77777777" w:rsidR="00046465" w:rsidRDefault="00046465">
            <w:pPr>
              <w:pStyle w:val="TableParagraph"/>
              <w:rPr>
                <w:rFonts w:ascii="Times New Roman"/>
                <w:sz w:val="16"/>
              </w:rPr>
            </w:pPr>
          </w:p>
        </w:tc>
        <w:tc>
          <w:tcPr>
            <w:tcW w:w="630" w:type="dxa"/>
          </w:tcPr>
          <w:p w14:paraId="0DFDCB7D" w14:textId="77777777" w:rsidR="00046465" w:rsidRDefault="00046465">
            <w:pPr>
              <w:pStyle w:val="TableParagraph"/>
              <w:rPr>
                <w:rFonts w:ascii="Times New Roman"/>
                <w:sz w:val="16"/>
              </w:rPr>
            </w:pPr>
          </w:p>
        </w:tc>
        <w:tc>
          <w:tcPr>
            <w:tcW w:w="1170" w:type="dxa"/>
          </w:tcPr>
          <w:p w14:paraId="0DFDCB7E" w14:textId="77777777" w:rsidR="00046465" w:rsidRDefault="00046465">
            <w:pPr>
              <w:pStyle w:val="TableParagraph"/>
              <w:rPr>
                <w:rFonts w:ascii="Times New Roman"/>
                <w:sz w:val="16"/>
              </w:rPr>
            </w:pPr>
          </w:p>
        </w:tc>
        <w:tc>
          <w:tcPr>
            <w:tcW w:w="1260" w:type="dxa"/>
          </w:tcPr>
          <w:p w14:paraId="0DFDCB7F" w14:textId="77777777" w:rsidR="00046465" w:rsidRDefault="00046465">
            <w:pPr>
              <w:pStyle w:val="TableParagraph"/>
              <w:rPr>
                <w:rFonts w:ascii="Times New Roman"/>
                <w:sz w:val="16"/>
              </w:rPr>
            </w:pPr>
          </w:p>
        </w:tc>
        <w:tc>
          <w:tcPr>
            <w:tcW w:w="1890" w:type="dxa"/>
          </w:tcPr>
          <w:p w14:paraId="0DFDCB80" w14:textId="77777777" w:rsidR="00046465" w:rsidRDefault="00046465">
            <w:pPr>
              <w:pStyle w:val="TableParagraph"/>
              <w:rPr>
                <w:rFonts w:ascii="Times New Roman"/>
                <w:sz w:val="16"/>
              </w:rPr>
            </w:pPr>
          </w:p>
        </w:tc>
        <w:tc>
          <w:tcPr>
            <w:tcW w:w="900" w:type="dxa"/>
          </w:tcPr>
          <w:p w14:paraId="0DFDCB81" w14:textId="77777777" w:rsidR="00046465" w:rsidRDefault="00046465">
            <w:pPr>
              <w:pStyle w:val="TableParagraph"/>
              <w:rPr>
                <w:rFonts w:ascii="Times New Roman"/>
                <w:sz w:val="16"/>
              </w:rPr>
            </w:pPr>
          </w:p>
        </w:tc>
        <w:tc>
          <w:tcPr>
            <w:tcW w:w="630" w:type="dxa"/>
          </w:tcPr>
          <w:p w14:paraId="0DFDCB82" w14:textId="77777777" w:rsidR="00046465" w:rsidRDefault="00046465">
            <w:pPr>
              <w:pStyle w:val="TableParagraph"/>
              <w:rPr>
                <w:rFonts w:ascii="Times New Roman"/>
                <w:sz w:val="16"/>
              </w:rPr>
            </w:pPr>
          </w:p>
        </w:tc>
        <w:tc>
          <w:tcPr>
            <w:tcW w:w="1800" w:type="dxa"/>
          </w:tcPr>
          <w:p w14:paraId="0DFDCB83" w14:textId="77777777" w:rsidR="00046465" w:rsidRDefault="00046465">
            <w:pPr>
              <w:pStyle w:val="TableParagraph"/>
              <w:rPr>
                <w:rFonts w:ascii="Times New Roman"/>
                <w:sz w:val="16"/>
              </w:rPr>
            </w:pPr>
          </w:p>
        </w:tc>
        <w:tc>
          <w:tcPr>
            <w:tcW w:w="540" w:type="dxa"/>
          </w:tcPr>
          <w:p w14:paraId="0DFDCB84" w14:textId="77777777" w:rsidR="00046465" w:rsidRDefault="00046465">
            <w:pPr>
              <w:pStyle w:val="TableParagraph"/>
              <w:rPr>
                <w:rFonts w:ascii="Times New Roman"/>
                <w:sz w:val="16"/>
              </w:rPr>
            </w:pPr>
          </w:p>
        </w:tc>
        <w:tc>
          <w:tcPr>
            <w:tcW w:w="1440" w:type="dxa"/>
          </w:tcPr>
          <w:p w14:paraId="0DFDCB85" w14:textId="77777777" w:rsidR="00046465" w:rsidRDefault="00046465">
            <w:pPr>
              <w:pStyle w:val="TableParagraph"/>
              <w:rPr>
                <w:rFonts w:ascii="Times New Roman"/>
                <w:sz w:val="16"/>
              </w:rPr>
            </w:pPr>
          </w:p>
        </w:tc>
        <w:tc>
          <w:tcPr>
            <w:tcW w:w="630" w:type="dxa"/>
          </w:tcPr>
          <w:p w14:paraId="0DFDCB86" w14:textId="77777777" w:rsidR="00046465" w:rsidRDefault="00046465">
            <w:pPr>
              <w:pStyle w:val="TableParagraph"/>
              <w:rPr>
                <w:rFonts w:ascii="Times New Roman"/>
                <w:sz w:val="16"/>
              </w:rPr>
            </w:pPr>
          </w:p>
        </w:tc>
      </w:tr>
      <w:tr w:rsidR="00046465" w14:paraId="0DFDCB9D" w14:textId="77777777">
        <w:trPr>
          <w:trHeight w:val="413"/>
        </w:trPr>
        <w:tc>
          <w:tcPr>
            <w:tcW w:w="1075" w:type="dxa"/>
            <w:shd w:val="clear" w:color="auto" w:fill="D9E0F1"/>
          </w:tcPr>
          <w:p w14:paraId="0DFDCB88" w14:textId="77777777" w:rsidR="00046465" w:rsidRDefault="008134EB">
            <w:pPr>
              <w:pStyle w:val="TableParagraph"/>
              <w:spacing w:line="208" w:lineRule="exact"/>
              <w:ind w:left="115"/>
              <w:rPr>
                <w:sz w:val="18"/>
              </w:rPr>
            </w:pPr>
            <w:r>
              <w:rPr>
                <w:sz w:val="18"/>
              </w:rPr>
              <w:t>Total</w:t>
            </w:r>
            <w:r>
              <w:rPr>
                <w:spacing w:val="-15"/>
                <w:sz w:val="18"/>
              </w:rPr>
              <w:t xml:space="preserve"> </w:t>
            </w:r>
            <w:r>
              <w:rPr>
                <w:sz w:val="18"/>
              </w:rPr>
              <w:t>#</w:t>
            </w:r>
            <w:r>
              <w:rPr>
                <w:spacing w:val="-12"/>
                <w:sz w:val="18"/>
              </w:rPr>
              <w:t xml:space="preserve"> </w:t>
            </w:r>
            <w:r>
              <w:rPr>
                <w:sz w:val="18"/>
              </w:rPr>
              <w:t>of cases</w:t>
            </w:r>
            <w:r>
              <w:rPr>
                <w:spacing w:val="-2"/>
                <w:sz w:val="18"/>
              </w:rPr>
              <w:t xml:space="preserve"> </w:t>
            </w:r>
            <w:r>
              <w:rPr>
                <w:sz w:val="18"/>
              </w:rPr>
              <w:t>-</w:t>
            </w:r>
            <w:r>
              <w:rPr>
                <w:spacing w:val="-2"/>
                <w:sz w:val="18"/>
              </w:rPr>
              <w:t xml:space="preserve"> </w:t>
            </w:r>
            <w:r>
              <w:rPr>
                <w:spacing w:val="-10"/>
                <w:sz w:val="18"/>
              </w:rPr>
              <w:t>3</w:t>
            </w:r>
          </w:p>
        </w:tc>
        <w:tc>
          <w:tcPr>
            <w:tcW w:w="2797" w:type="dxa"/>
            <w:gridSpan w:val="4"/>
            <w:shd w:val="clear" w:color="auto" w:fill="D9E0F1"/>
          </w:tcPr>
          <w:p w14:paraId="0DFDCB89" w14:textId="77777777" w:rsidR="00046465" w:rsidRDefault="008134EB">
            <w:pPr>
              <w:pStyle w:val="TableParagraph"/>
              <w:spacing w:before="206" w:line="187" w:lineRule="exact"/>
              <w:ind w:left="1602"/>
              <w:rPr>
                <w:sz w:val="18"/>
              </w:rPr>
            </w:pPr>
            <w:r>
              <w:rPr>
                <w:sz w:val="18"/>
              </w:rPr>
              <w:t>Total</w:t>
            </w:r>
            <w:r>
              <w:rPr>
                <w:spacing w:val="-4"/>
                <w:sz w:val="18"/>
              </w:rPr>
              <w:t xml:space="preserve"> </w:t>
            </w:r>
            <w:r>
              <w:rPr>
                <w:spacing w:val="-2"/>
                <w:sz w:val="18"/>
              </w:rPr>
              <w:t>Remote</w:t>
            </w:r>
          </w:p>
        </w:tc>
        <w:tc>
          <w:tcPr>
            <w:tcW w:w="720" w:type="dxa"/>
          </w:tcPr>
          <w:p w14:paraId="0DFDCB8A" w14:textId="77777777" w:rsidR="00046465" w:rsidRDefault="00046465">
            <w:pPr>
              <w:pStyle w:val="TableParagraph"/>
              <w:rPr>
                <w:rFonts w:ascii="Times New Roman"/>
                <w:sz w:val="16"/>
              </w:rPr>
            </w:pPr>
          </w:p>
        </w:tc>
        <w:tc>
          <w:tcPr>
            <w:tcW w:w="1080" w:type="dxa"/>
          </w:tcPr>
          <w:p w14:paraId="0DFDCB8B" w14:textId="77777777" w:rsidR="00046465" w:rsidRDefault="00046465">
            <w:pPr>
              <w:pStyle w:val="TableParagraph"/>
              <w:rPr>
                <w:rFonts w:ascii="Times New Roman"/>
                <w:sz w:val="16"/>
              </w:rPr>
            </w:pPr>
          </w:p>
        </w:tc>
        <w:tc>
          <w:tcPr>
            <w:tcW w:w="630" w:type="dxa"/>
          </w:tcPr>
          <w:p w14:paraId="0DFDCB8C" w14:textId="77777777" w:rsidR="00046465" w:rsidRDefault="00046465">
            <w:pPr>
              <w:pStyle w:val="TableParagraph"/>
              <w:rPr>
                <w:rFonts w:ascii="Times New Roman"/>
                <w:sz w:val="16"/>
              </w:rPr>
            </w:pPr>
          </w:p>
        </w:tc>
        <w:tc>
          <w:tcPr>
            <w:tcW w:w="720" w:type="dxa"/>
          </w:tcPr>
          <w:p w14:paraId="0DFDCB8D" w14:textId="77777777" w:rsidR="00046465" w:rsidRDefault="00046465">
            <w:pPr>
              <w:pStyle w:val="TableParagraph"/>
              <w:rPr>
                <w:rFonts w:ascii="Times New Roman"/>
                <w:sz w:val="16"/>
              </w:rPr>
            </w:pPr>
          </w:p>
        </w:tc>
        <w:tc>
          <w:tcPr>
            <w:tcW w:w="900" w:type="dxa"/>
          </w:tcPr>
          <w:p w14:paraId="0DFDCB8E" w14:textId="77777777" w:rsidR="00046465" w:rsidRDefault="00046465">
            <w:pPr>
              <w:pStyle w:val="TableParagraph"/>
              <w:rPr>
                <w:rFonts w:ascii="Times New Roman"/>
                <w:sz w:val="16"/>
              </w:rPr>
            </w:pPr>
          </w:p>
        </w:tc>
        <w:tc>
          <w:tcPr>
            <w:tcW w:w="900" w:type="dxa"/>
          </w:tcPr>
          <w:p w14:paraId="0DFDCB8F" w14:textId="77777777" w:rsidR="00046465" w:rsidRDefault="00046465">
            <w:pPr>
              <w:pStyle w:val="TableParagraph"/>
              <w:rPr>
                <w:rFonts w:ascii="Times New Roman"/>
                <w:sz w:val="16"/>
              </w:rPr>
            </w:pPr>
          </w:p>
        </w:tc>
        <w:tc>
          <w:tcPr>
            <w:tcW w:w="1080" w:type="dxa"/>
          </w:tcPr>
          <w:p w14:paraId="0DFDCB90" w14:textId="77777777" w:rsidR="00046465" w:rsidRDefault="00046465">
            <w:pPr>
              <w:pStyle w:val="TableParagraph"/>
              <w:rPr>
                <w:rFonts w:ascii="Times New Roman"/>
                <w:sz w:val="16"/>
              </w:rPr>
            </w:pPr>
          </w:p>
        </w:tc>
        <w:tc>
          <w:tcPr>
            <w:tcW w:w="540" w:type="dxa"/>
          </w:tcPr>
          <w:p w14:paraId="0DFDCB91" w14:textId="77777777" w:rsidR="00046465" w:rsidRDefault="00046465">
            <w:pPr>
              <w:pStyle w:val="TableParagraph"/>
              <w:rPr>
                <w:rFonts w:ascii="Times New Roman"/>
                <w:sz w:val="16"/>
              </w:rPr>
            </w:pPr>
          </w:p>
        </w:tc>
        <w:tc>
          <w:tcPr>
            <w:tcW w:w="630" w:type="dxa"/>
          </w:tcPr>
          <w:p w14:paraId="0DFDCB92" w14:textId="77777777" w:rsidR="00046465" w:rsidRDefault="00046465">
            <w:pPr>
              <w:pStyle w:val="TableParagraph"/>
              <w:rPr>
                <w:rFonts w:ascii="Times New Roman"/>
                <w:sz w:val="16"/>
              </w:rPr>
            </w:pPr>
          </w:p>
        </w:tc>
        <w:tc>
          <w:tcPr>
            <w:tcW w:w="630" w:type="dxa"/>
          </w:tcPr>
          <w:p w14:paraId="0DFDCB93" w14:textId="77777777" w:rsidR="00046465" w:rsidRDefault="00046465">
            <w:pPr>
              <w:pStyle w:val="TableParagraph"/>
              <w:rPr>
                <w:rFonts w:ascii="Times New Roman"/>
                <w:sz w:val="16"/>
              </w:rPr>
            </w:pPr>
          </w:p>
        </w:tc>
        <w:tc>
          <w:tcPr>
            <w:tcW w:w="1170" w:type="dxa"/>
          </w:tcPr>
          <w:p w14:paraId="0DFDCB94" w14:textId="77777777" w:rsidR="00046465" w:rsidRDefault="00046465">
            <w:pPr>
              <w:pStyle w:val="TableParagraph"/>
              <w:rPr>
                <w:rFonts w:ascii="Times New Roman"/>
                <w:sz w:val="16"/>
              </w:rPr>
            </w:pPr>
          </w:p>
        </w:tc>
        <w:tc>
          <w:tcPr>
            <w:tcW w:w="1260" w:type="dxa"/>
          </w:tcPr>
          <w:p w14:paraId="0DFDCB95" w14:textId="77777777" w:rsidR="00046465" w:rsidRDefault="00046465">
            <w:pPr>
              <w:pStyle w:val="TableParagraph"/>
              <w:rPr>
                <w:rFonts w:ascii="Times New Roman"/>
                <w:sz w:val="16"/>
              </w:rPr>
            </w:pPr>
          </w:p>
        </w:tc>
        <w:tc>
          <w:tcPr>
            <w:tcW w:w="1890" w:type="dxa"/>
          </w:tcPr>
          <w:p w14:paraId="0DFDCB96" w14:textId="77777777" w:rsidR="00046465" w:rsidRDefault="00046465">
            <w:pPr>
              <w:pStyle w:val="TableParagraph"/>
              <w:rPr>
                <w:rFonts w:ascii="Times New Roman"/>
                <w:sz w:val="16"/>
              </w:rPr>
            </w:pPr>
          </w:p>
        </w:tc>
        <w:tc>
          <w:tcPr>
            <w:tcW w:w="900" w:type="dxa"/>
          </w:tcPr>
          <w:p w14:paraId="0DFDCB97" w14:textId="77777777" w:rsidR="00046465" w:rsidRDefault="00046465">
            <w:pPr>
              <w:pStyle w:val="TableParagraph"/>
              <w:rPr>
                <w:rFonts w:ascii="Times New Roman"/>
                <w:sz w:val="16"/>
              </w:rPr>
            </w:pPr>
          </w:p>
        </w:tc>
        <w:tc>
          <w:tcPr>
            <w:tcW w:w="630" w:type="dxa"/>
          </w:tcPr>
          <w:p w14:paraId="0DFDCB98" w14:textId="77777777" w:rsidR="00046465" w:rsidRDefault="00046465">
            <w:pPr>
              <w:pStyle w:val="TableParagraph"/>
              <w:rPr>
                <w:rFonts w:ascii="Times New Roman"/>
                <w:sz w:val="16"/>
              </w:rPr>
            </w:pPr>
          </w:p>
        </w:tc>
        <w:tc>
          <w:tcPr>
            <w:tcW w:w="1800" w:type="dxa"/>
          </w:tcPr>
          <w:p w14:paraId="0DFDCB99" w14:textId="77777777" w:rsidR="00046465" w:rsidRDefault="00046465">
            <w:pPr>
              <w:pStyle w:val="TableParagraph"/>
              <w:rPr>
                <w:rFonts w:ascii="Times New Roman"/>
                <w:sz w:val="16"/>
              </w:rPr>
            </w:pPr>
          </w:p>
        </w:tc>
        <w:tc>
          <w:tcPr>
            <w:tcW w:w="540" w:type="dxa"/>
          </w:tcPr>
          <w:p w14:paraId="0DFDCB9A" w14:textId="77777777" w:rsidR="00046465" w:rsidRDefault="00046465">
            <w:pPr>
              <w:pStyle w:val="TableParagraph"/>
              <w:rPr>
                <w:rFonts w:ascii="Times New Roman"/>
                <w:sz w:val="16"/>
              </w:rPr>
            </w:pPr>
          </w:p>
        </w:tc>
        <w:tc>
          <w:tcPr>
            <w:tcW w:w="1440" w:type="dxa"/>
          </w:tcPr>
          <w:p w14:paraId="0DFDCB9B" w14:textId="77777777" w:rsidR="00046465" w:rsidRDefault="00046465">
            <w:pPr>
              <w:pStyle w:val="TableParagraph"/>
              <w:rPr>
                <w:rFonts w:ascii="Times New Roman"/>
                <w:sz w:val="16"/>
              </w:rPr>
            </w:pPr>
          </w:p>
        </w:tc>
        <w:tc>
          <w:tcPr>
            <w:tcW w:w="630" w:type="dxa"/>
          </w:tcPr>
          <w:p w14:paraId="0DFDCB9C" w14:textId="77777777" w:rsidR="00046465" w:rsidRDefault="00046465">
            <w:pPr>
              <w:pStyle w:val="TableParagraph"/>
              <w:rPr>
                <w:rFonts w:ascii="Times New Roman"/>
                <w:sz w:val="16"/>
              </w:rPr>
            </w:pPr>
          </w:p>
        </w:tc>
      </w:tr>
      <w:tr w:rsidR="00046465" w14:paraId="0DFDCB9F" w14:textId="77777777">
        <w:trPr>
          <w:trHeight w:val="297"/>
        </w:trPr>
        <w:tc>
          <w:tcPr>
            <w:tcW w:w="21962" w:type="dxa"/>
            <w:gridSpan w:val="24"/>
            <w:shd w:val="clear" w:color="auto" w:fill="D9D9D9"/>
          </w:tcPr>
          <w:p w14:paraId="0DFDCB9E" w14:textId="77777777" w:rsidR="00046465" w:rsidRDefault="008134EB">
            <w:pPr>
              <w:pStyle w:val="TableParagraph"/>
              <w:spacing w:line="204" w:lineRule="exact"/>
              <w:ind w:left="115"/>
              <w:rPr>
                <w:b/>
                <w:sz w:val="18"/>
              </w:rPr>
            </w:pPr>
            <w:r>
              <w:rPr>
                <w:b/>
                <w:sz w:val="18"/>
              </w:rPr>
              <w:t>Unable</w:t>
            </w:r>
            <w:r>
              <w:rPr>
                <w:b/>
                <w:spacing w:val="-2"/>
                <w:sz w:val="18"/>
              </w:rPr>
              <w:t xml:space="preserve"> </w:t>
            </w:r>
            <w:r>
              <w:rPr>
                <w:b/>
                <w:sz w:val="18"/>
              </w:rPr>
              <w:t>to</w:t>
            </w:r>
            <w:r>
              <w:rPr>
                <w:b/>
                <w:spacing w:val="-1"/>
                <w:sz w:val="18"/>
              </w:rPr>
              <w:t xml:space="preserve"> </w:t>
            </w:r>
            <w:r>
              <w:rPr>
                <w:b/>
                <w:spacing w:val="-2"/>
                <w:sz w:val="18"/>
              </w:rPr>
              <w:t>Determine</w:t>
            </w:r>
          </w:p>
        </w:tc>
      </w:tr>
      <w:tr w:rsidR="00046465" w14:paraId="0DFDCBB8" w14:textId="77777777">
        <w:trPr>
          <w:trHeight w:val="300"/>
        </w:trPr>
        <w:tc>
          <w:tcPr>
            <w:tcW w:w="1075" w:type="dxa"/>
          </w:tcPr>
          <w:p w14:paraId="0DFDCBA0" w14:textId="77777777" w:rsidR="00046465" w:rsidRDefault="008134EB">
            <w:pPr>
              <w:pStyle w:val="TableParagraph"/>
              <w:spacing w:before="92" w:line="188" w:lineRule="exact"/>
              <w:ind w:right="104"/>
              <w:jc w:val="right"/>
              <w:rPr>
                <w:sz w:val="18"/>
              </w:rPr>
            </w:pPr>
            <w:r>
              <w:rPr>
                <w:spacing w:val="-5"/>
                <w:sz w:val="18"/>
              </w:rPr>
              <w:t>10</w:t>
            </w:r>
          </w:p>
        </w:tc>
        <w:tc>
          <w:tcPr>
            <w:tcW w:w="637" w:type="dxa"/>
          </w:tcPr>
          <w:p w14:paraId="0DFDCBA1" w14:textId="77777777" w:rsidR="00046465" w:rsidRDefault="00046465">
            <w:pPr>
              <w:pStyle w:val="TableParagraph"/>
              <w:rPr>
                <w:rFonts w:ascii="Times New Roman"/>
                <w:sz w:val="16"/>
              </w:rPr>
            </w:pPr>
          </w:p>
        </w:tc>
        <w:tc>
          <w:tcPr>
            <w:tcW w:w="720" w:type="dxa"/>
          </w:tcPr>
          <w:p w14:paraId="0DFDCBA2" w14:textId="77777777" w:rsidR="00046465" w:rsidRDefault="00046465">
            <w:pPr>
              <w:pStyle w:val="TableParagraph"/>
              <w:rPr>
                <w:rFonts w:ascii="Times New Roman"/>
                <w:sz w:val="16"/>
              </w:rPr>
            </w:pPr>
          </w:p>
        </w:tc>
        <w:tc>
          <w:tcPr>
            <w:tcW w:w="720" w:type="dxa"/>
          </w:tcPr>
          <w:p w14:paraId="0DFDCBA3" w14:textId="77777777" w:rsidR="00046465" w:rsidRDefault="00046465">
            <w:pPr>
              <w:pStyle w:val="TableParagraph"/>
              <w:rPr>
                <w:rFonts w:ascii="Times New Roman"/>
                <w:sz w:val="16"/>
              </w:rPr>
            </w:pPr>
          </w:p>
        </w:tc>
        <w:tc>
          <w:tcPr>
            <w:tcW w:w="720" w:type="dxa"/>
          </w:tcPr>
          <w:p w14:paraId="0DFDCBA4" w14:textId="77777777" w:rsidR="00046465" w:rsidRDefault="00046465">
            <w:pPr>
              <w:pStyle w:val="TableParagraph"/>
              <w:rPr>
                <w:rFonts w:ascii="Times New Roman"/>
                <w:sz w:val="16"/>
              </w:rPr>
            </w:pPr>
          </w:p>
        </w:tc>
        <w:tc>
          <w:tcPr>
            <w:tcW w:w="720" w:type="dxa"/>
          </w:tcPr>
          <w:p w14:paraId="0DFDCBA5" w14:textId="77777777" w:rsidR="00046465" w:rsidRDefault="00046465">
            <w:pPr>
              <w:pStyle w:val="TableParagraph"/>
              <w:rPr>
                <w:rFonts w:ascii="Times New Roman"/>
                <w:sz w:val="16"/>
              </w:rPr>
            </w:pPr>
          </w:p>
        </w:tc>
        <w:tc>
          <w:tcPr>
            <w:tcW w:w="1080" w:type="dxa"/>
          </w:tcPr>
          <w:p w14:paraId="0DFDCBA6" w14:textId="77777777" w:rsidR="00046465" w:rsidRDefault="00046465">
            <w:pPr>
              <w:pStyle w:val="TableParagraph"/>
              <w:rPr>
                <w:rFonts w:ascii="Times New Roman"/>
                <w:sz w:val="16"/>
              </w:rPr>
            </w:pPr>
          </w:p>
        </w:tc>
        <w:tc>
          <w:tcPr>
            <w:tcW w:w="630" w:type="dxa"/>
          </w:tcPr>
          <w:p w14:paraId="0DFDCBA7" w14:textId="77777777" w:rsidR="00046465" w:rsidRDefault="00046465">
            <w:pPr>
              <w:pStyle w:val="TableParagraph"/>
              <w:rPr>
                <w:rFonts w:ascii="Times New Roman"/>
                <w:sz w:val="16"/>
              </w:rPr>
            </w:pPr>
          </w:p>
        </w:tc>
        <w:tc>
          <w:tcPr>
            <w:tcW w:w="720" w:type="dxa"/>
          </w:tcPr>
          <w:p w14:paraId="0DFDCBA8" w14:textId="77777777" w:rsidR="00046465" w:rsidRDefault="00046465">
            <w:pPr>
              <w:pStyle w:val="TableParagraph"/>
              <w:rPr>
                <w:rFonts w:ascii="Times New Roman"/>
                <w:sz w:val="16"/>
              </w:rPr>
            </w:pPr>
          </w:p>
        </w:tc>
        <w:tc>
          <w:tcPr>
            <w:tcW w:w="900" w:type="dxa"/>
          </w:tcPr>
          <w:p w14:paraId="0DFDCBA9" w14:textId="77777777" w:rsidR="00046465" w:rsidRDefault="00046465">
            <w:pPr>
              <w:pStyle w:val="TableParagraph"/>
              <w:rPr>
                <w:rFonts w:ascii="Times New Roman"/>
                <w:sz w:val="16"/>
              </w:rPr>
            </w:pPr>
          </w:p>
        </w:tc>
        <w:tc>
          <w:tcPr>
            <w:tcW w:w="900" w:type="dxa"/>
          </w:tcPr>
          <w:p w14:paraId="0DFDCBAA" w14:textId="77777777" w:rsidR="00046465" w:rsidRDefault="00046465">
            <w:pPr>
              <w:pStyle w:val="TableParagraph"/>
              <w:rPr>
                <w:rFonts w:ascii="Times New Roman"/>
                <w:sz w:val="16"/>
              </w:rPr>
            </w:pPr>
          </w:p>
        </w:tc>
        <w:tc>
          <w:tcPr>
            <w:tcW w:w="1080" w:type="dxa"/>
          </w:tcPr>
          <w:p w14:paraId="0DFDCBAB" w14:textId="77777777" w:rsidR="00046465" w:rsidRDefault="00046465">
            <w:pPr>
              <w:pStyle w:val="TableParagraph"/>
              <w:rPr>
                <w:rFonts w:ascii="Times New Roman"/>
                <w:sz w:val="16"/>
              </w:rPr>
            </w:pPr>
          </w:p>
        </w:tc>
        <w:tc>
          <w:tcPr>
            <w:tcW w:w="540" w:type="dxa"/>
          </w:tcPr>
          <w:p w14:paraId="0DFDCBAC" w14:textId="77777777" w:rsidR="00046465" w:rsidRDefault="00046465">
            <w:pPr>
              <w:pStyle w:val="TableParagraph"/>
              <w:rPr>
                <w:rFonts w:ascii="Times New Roman"/>
                <w:sz w:val="16"/>
              </w:rPr>
            </w:pPr>
          </w:p>
        </w:tc>
        <w:tc>
          <w:tcPr>
            <w:tcW w:w="630" w:type="dxa"/>
          </w:tcPr>
          <w:p w14:paraId="0DFDCBAD" w14:textId="77777777" w:rsidR="00046465" w:rsidRDefault="00046465">
            <w:pPr>
              <w:pStyle w:val="TableParagraph"/>
              <w:rPr>
                <w:rFonts w:ascii="Times New Roman"/>
                <w:sz w:val="16"/>
              </w:rPr>
            </w:pPr>
          </w:p>
        </w:tc>
        <w:tc>
          <w:tcPr>
            <w:tcW w:w="630" w:type="dxa"/>
          </w:tcPr>
          <w:p w14:paraId="0DFDCBAE" w14:textId="77777777" w:rsidR="00046465" w:rsidRDefault="00046465">
            <w:pPr>
              <w:pStyle w:val="TableParagraph"/>
              <w:rPr>
                <w:rFonts w:ascii="Times New Roman"/>
                <w:sz w:val="16"/>
              </w:rPr>
            </w:pPr>
          </w:p>
        </w:tc>
        <w:tc>
          <w:tcPr>
            <w:tcW w:w="1170" w:type="dxa"/>
          </w:tcPr>
          <w:p w14:paraId="0DFDCBAF" w14:textId="77777777" w:rsidR="00046465" w:rsidRDefault="00046465">
            <w:pPr>
              <w:pStyle w:val="TableParagraph"/>
              <w:rPr>
                <w:rFonts w:ascii="Times New Roman"/>
                <w:sz w:val="16"/>
              </w:rPr>
            </w:pPr>
          </w:p>
        </w:tc>
        <w:tc>
          <w:tcPr>
            <w:tcW w:w="1260" w:type="dxa"/>
          </w:tcPr>
          <w:p w14:paraId="0DFDCBB0" w14:textId="77777777" w:rsidR="00046465" w:rsidRDefault="00046465">
            <w:pPr>
              <w:pStyle w:val="TableParagraph"/>
              <w:rPr>
                <w:rFonts w:ascii="Times New Roman"/>
                <w:sz w:val="16"/>
              </w:rPr>
            </w:pPr>
          </w:p>
        </w:tc>
        <w:tc>
          <w:tcPr>
            <w:tcW w:w="1890" w:type="dxa"/>
          </w:tcPr>
          <w:p w14:paraId="0DFDCBB1" w14:textId="77777777" w:rsidR="00046465" w:rsidRDefault="00046465">
            <w:pPr>
              <w:pStyle w:val="TableParagraph"/>
              <w:rPr>
                <w:rFonts w:ascii="Times New Roman"/>
                <w:sz w:val="16"/>
              </w:rPr>
            </w:pPr>
          </w:p>
        </w:tc>
        <w:tc>
          <w:tcPr>
            <w:tcW w:w="900" w:type="dxa"/>
          </w:tcPr>
          <w:p w14:paraId="0DFDCBB2" w14:textId="77777777" w:rsidR="00046465" w:rsidRDefault="00046465">
            <w:pPr>
              <w:pStyle w:val="TableParagraph"/>
              <w:rPr>
                <w:rFonts w:ascii="Times New Roman"/>
                <w:sz w:val="16"/>
              </w:rPr>
            </w:pPr>
          </w:p>
        </w:tc>
        <w:tc>
          <w:tcPr>
            <w:tcW w:w="630" w:type="dxa"/>
          </w:tcPr>
          <w:p w14:paraId="0DFDCBB3" w14:textId="77777777" w:rsidR="00046465" w:rsidRDefault="00046465">
            <w:pPr>
              <w:pStyle w:val="TableParagraph"/>
              <w:rPr>
                <w:rFonts w:ascii="Times New Roman"/>
                <w:sz w:val="16"/>
              </w:rPr>
            </w:pPr>
          </w:p>
        </w:tc>
        <w:tc>
          <w:tcPr>
            <w:tcW w:w="1800" w:type="dxa"/>
          </w:tcPr>
          <w:p w14:paraId="0DFDCBB4" w14:textId="77777777" w:rsidR="00046465" w:rsidRDefault="00046465">
            <w:pPr>
              <w:pStyle w:val="TableParagraph"/>
              <w:rPr>
                <w:rFonts w:ascii="Times New Roman"/>
                <w:sz w:val="16"/>
              </w:rPr>
            </w:pPr>
          </w:p>
        </w:tc>
        <w:tc>
          <w:tcPr>
            <w:tcW w:w="540" w:type="dxa"/>
          </w:tcPr>
          <w:p w14:paraId="0DFDCBB5" w14:textId="77777777" w:rsidR="00046465" w:rsidRDefault="00046465">
            <w:pPr>
              <w:pStyle w:val="TableParagraph"/>
              <w:rPr>
                <w:rFonts w:ascii="Times New Roman"/>
                <w:sz w:val="16"/>
              </w:rPr>
            </w:pPr>
          </w:p>
        </w:tc>
        <w:tc>
          <w:tcPr>
            <w:tcW w:w="1440" w:type="dxa"/>
          </w:tcPr>
          <w:p w14:paraId="0DFDCBB6" w14:textId="77777777" w:rsidR="00046465" w:rsidRDefault="00046465">
            <w:pPr>
              <w:pStyle w:val="TableParagraph"/>
              <w:rPr>
                <w:rFonts w:ascii="Times New Roman"/>
                <w:sz w:val="16"/>
              </w:rPr>
            </w:pPr>
          </w:p>
        </w:tc>
        <w:tc>
          <w:tcPr>
            <w:tcW w:w="630" w:type="dxa"/>
          </w:tcPr>
          <w:p w14:paraId="0DFDCBB7" w14:textId="77777777" w:rsidR="00046465" w:rsidRDefault="00046465">
            <w:pPr>
              <w:pStyle w:val="TableParagraph"/>
              <w:rPr>
                <w:rFonts w:ascii="Times New Roman"/>
                <w:sz w:val="16"/>
              </w:rPr>
            </w:pPr>
          </w:p>
        </w:tc>
      </w:tr>
      <w:tr w:rsidR="00046465" w14:paraId="0DFDCBD1" w14:textId="77777777">
        <w:trPr>
          <w:trHeight w:val="299"/>
        </w:trPr>
        <w:tc>
          <w:tcPr>
            <w:tcW w:w="1075" w:type="dxa"/>
          </w:tcPr>
          <w:p w14:paraId="0DFDCBB9" w14:textId="77777777" w:rsidR="00046465" w:rsidRDefault="008134EB">
            <w:pPr>
              <w:pStyle w:val="TableParagraph"/>
              <w:spacing w:before="92" w:line="187" w:lineRule="exact"/>
              <w:ind w:right="104"/>
              <w:jc w:val="right"/>
              <w:rPr>
                <w:sz w:val="18"/>
              </w:rPr>
            </w:pPr>
            <w:r>
              <w:rPr>
                <w:spacing w:val="-5"/>
                <w:sz w:val="18"/>
              </w:rPr>
              <w:t>11</w:t>
            </w:r>
          </w:p>
        </w:tc>
        <w:tc>
          <w:tcPr>
            <w:tcW w:w="637" w:type="dxa"/>
          </w:tcPr>
          <w:p w14:paraId="0DFDCBBA" w14:textId="77777777" w:rsidR="00046465" w:rsidRDefault="00046465">
            <w:pPr>
              <w:pStyle w:val="TableParagraph"/>
              <w:rPr>
                <w:rFonts w:ascii="Times New Roman"/>
                <w:sz w:val="16"/>
              </w:rPr>
            </w:pPr>
          </w:p>
        </w:tc>
        <w:tc>
          <w:tcPr>
            <w:tcW w:w="720" w:type="dxa"/>
          </w:tcPr>
          <w:p w14:paraId="0DFDCBBB" w14:textId="77777777" w:rsidR="00046465" w:rsidRDefault="00046465">
            <w:pPr>
              <w:pStyle w:val="TableParagraph"/>
              <w:rPr>
                <w:rFonts w:ascii="Times New Roman"/>
                <w:sz w:val="16"/>
              </w:rPr>
            </w:pPr>
          </w:p>
        </w:tc>
        <w:tc>
          <w:tcPr>
            <w:tcW w:w="720" w:type="dxa"/>
          </w:tcPr>
          <w:p w14:paraId="0DFDCBBC" w14:textId="77777777" w:rsidR="00046465" w:rsidRDefault="00046465">
            <w:pPr>
              <w:pStyle w:val="TableParagraph"/>
              <w:rPr>
                <w:rFonts w:ascii="Times New Roman"/>
                <w:sz w:val="16"/>
              </w:rPr>
            </w:pPr>
          </w:p>
        </w:tc>
        <w:tc>
          <w:tcPr>
            <w:tcW w:w="720" w:type="dxa"/>
          </w:tcPr>
          <w:p w14:paraId="0DFDCBBD" w14:textId="77777777" w:rsidR="00046465" w:rsidRDefault="00046465">
            <w:pPr>
              <w:pStyle w:val="TableParagraph"/>
              <w:rPr>
                <w:rFonts w:ascii="Times New Roman"/>
                <w:sz w:val="16"/>
              </w:rPr>
            </w:pPr>
          </w:p>
        </w:tc>
        <w:tc>
          <w:tcPr>
            <w:tcW w:w="720" w:type="dxa"/>
          </w:tcPr>
          <w:p w14:paraId="0DFDCBBE" w14:textId="77777777" w:rsidR="00046465" w:rsidRDefault="00046465">
            <w:pPr>
              <w:pStyle w:val="TableParagraph"/>
              <w:rPr>
                <w:rFonts w:ascii="Times New Roman"/>
                <w:sz w:val="16"/>
              </w:rPr>
            </w:pPr>
          </w:p>
        </w:tc>
        <w:tc>
          <w:tcPr>
            <w:tcW w:w="1080" w:type="dxa"/>
          </w:tcPr>
          <w:p w14:paraId="0DFDCBBF" w14:textId="77777777" w:rsidR="00046465" w:rsidRDefault="00046465">
            <w:pPr>
              <w:pStyle w:val="TableParagraph"/>
              <w:rPr>
                <w:rFonts w:ascii="Times New Roman"/>
                <w:sz w:val="16"/>
              </w:rPr>
            </w:pPr>
          </w:p>
        </w:tc>
        <w:tc>
          <w:tcPr>
            <w:tcW w:w="630" w:type="dxa"/>
          </w:tcPr>
          <w:p w14:paraId="0DFDCBC0" w14:textId="77777777" w:rsidR="00046465" w:rsidRDefault="00046465">
            <w:pPr>
              <w:pStyle w:val="TableParagraph"/>
              <w:rPr>
                <w:rFonts w:ascii="Times New Roman"/>
                <w:sz w:val="16"/>
              </w:rPr>
            </w:pPr>
          </w:p>
        </w:tc>
        <w:tc>
          <w:tcPr>
            <w:tcW w:w="720" w:type="dxa"/>
          </w:tcPr>
          <w:p w14:paraId="0DFDCBC1" w14:textId="77777777" w:rsidR="00046465" w:rsidRDefault="00046465">
            <w:pPr>
              <w:pStyle w:val="TableParagraph"/>
              <w:rPr>
                <w:rFonts w:ascii="Times New Roman"/>
                <w:sz w:val="16"/>
              </w:rPr>
            </w:pPr>
          </w:p>
        </w:tc>
        <w:tc>
          <w:tcPr>
            <w:tcW w:w="900" w:type="dxa"/>
          </w:tcPr>
          <w:p w14:paraId="0DFDCBC2" w14:textId="77777777" w:rsidR="00046465" w:rsidRDefault="00046465">
            <w:pPr>
              <w:pStyle w:val="TableParagraph"/>
              <w:rPr>
                <w:rFonts w:ascii="Times New Roman"/>
                <w:sz w:val="16"/>
              </w:rPr>
            </w:pPr>
          </w:p>
        </w:tc>
        <w:tc>
          <w:tcPr>
            <w:tcW w:w="900" w:type="dxa"/>
          </w:tcPr>
          <w:p w14:paraId="0DFDCBC3" w14:textId="77777777" w:rsidR="00046465" w:rsidRDefault="00046465">
            <w:pPr>
              <w:pStyle w:val="TableParagraph"/>
              <w:rPr>
                <w:rFonts w:ascii="Times New Roman"/>
                <w:sz w:val="16"/>
              </w:rPr>
            </w:pPr>
          </w:p>
        </w:tc>
        <w:tc>
          <w:tcPr>
            <w:tcW w:w="1080" w:type="dxa"/>
          </w:tcPr>
          <w:p w14:paraId="0DFDCBC4" w14:textId="77777777" w:rsidR="00046465" w:rsidRDefault="00046465">
            <w:pPr>
              <w:pStyle w:val="TableParagraph"/>
              <w:rPr>
                <w:rFonts w:ascii="Times New Roman"/>
                <w:sz w:val="16"/>
              </w:rPr>
            </w:pPr>
          </w:p>
        </w:tc>
        <w:tc>
          <w:tcPr>
            <w:tcW w:w="540" w:type="dxa"/>
          </w:tcPr>
          <w:p w14:paraId="0DFDCBC5" w14:textId="77777777" w:rsidR="00046465" w:rsidRDefault="00046465">
            <w:pPr>
              <w:pStyle w:val="TableParagraph"/>
              <w:rPr>
                <w:rFonts w:ascii="Times New Roman"/>
                <w:sz w:val="16"/>
              </w:rPr>
            </w:pPr>
          </w:p>
        </w:tc>
        <w:tc>
          <w:tcPr>
            <w:tcW w:w="630" w:type="dxa"/>
          </w:tcPr>
          <w:p w14:paraId="0DFDCBC6" w14:textId="77777777" w:rsidR="00046465" w:rsidRDefault="00046465">
            <w:pPr>
              <w:pStyle w:val="TableParagraph"/>
              <w:rPr>
                <w:rFonts w:ascii="Times New Roman"/>
                <w:sz w:val="16"/>
              </w:rPr>
            </w:pPr>
          </w:p>
        </w:tc>
        <w:tc>
          <w:tcPr>
            <w:tcW w:w="630" w:type="dxa"/>
          </w:tcPr>
          <w:p w14:paraId="0DFDCBC7" w14:textId="77777777" w:rsidR="00046465" w:rsidRDefault="00046465">
            <w:pPr>
              <w:pStyle w:val="TableParagraph"/>
              <w:rPr>
                <w:rFonts w:ascii="Times New Roman"/>
                <w:sz w:val="16"/>
              </w:rPr>
            </w:pPr>
          </w:p>
        </w:tc>
        <w:tc>
          <w:tcPr>
            <w:tcW w:w="1170" w:type="dxa"/>
          </w:tcPr>
          <w:p w14:paraId="0DFDCBC8" w14:textId="77777777" w:rsidR="00046465" w:rsidRDefault="00046465">
            <w:pPr>
              <w:pStyle w:val="TableParagraph"/>
              <w:rPr>
                <w:rFonts w:ascii="Times New Roman"/>
                <w:sz w:val="16"/>
              </w:rPr>
            </w:pPr>
          </w:p>
        </w:tc>
        <w:tc>
          <w:tcPr>
            <w:tcW w:w="1260" w:type="dxa"/>
          </w:tcPr>
          <w:p w14:paraId="0DFDCBC9" w14:textId="77777777" w:rsidR="00046465" w:rsidRDefault="00046465">
            <w:pPr>
              <w:pStyle w:val="TableParagraph"/>
              <w:rPr>
                <w:rFonts w:ascii="Times New Roman"/>
                <w:sz w:val="16"/>
              </w:rPr>
            </w:pPr>
          </w:p>
        </w:tc>
        <w:tc>
          <w:tcPr>
            <w:tcW w:w="1890" w:type="dxa"/>
          </w:tcPr>
          <w:p w14:paraId="0DFDCBCA" w14:textId="77777777" w:rsidR="00046465" w:rsidRDefault="00046465">
            <w:pPr>
              <w:pStyle w:val="TableParagraph"/>
              <w:rPr>
                <w:rFonts w:ascii="Times New Roman"/>
                <w:sz w:val="16"/>
              </w:rPr>
            </w:pPr>
          </w:p>
        </w:tc>
        <w:tc>
          <w:tcPr>
            <w:tcW w:w="900" w:type="dxa"/>
          </w:tcPr>
          <w:p w14:paraId="0DFDCBCB" w14:textId="77777777" w:rsidR="00046465" w:rsidRDefault="00046465">
            <w:pPr>
              <w:pStyle w:val="TableParagraph"/>
              <w:rPr>
                <w:rFonts w:ascii="Times New Roman"/>
                <w:sz w:val="16"/>
              </w:rPr>
            </w:pPr>
          </w:p>
        </w:tc>
        <w:tc>
          <w:tcPr>
            <w:tcW w:w="630" w:type="dxa"/>
          </w:tcPr>
          <w:p w14:paraId="0DFDCBCC" w14:textId="77777777" w:rsidR="00046465" w:rsidRDefault="00046465">
            <w:pPr>
              <w:pStyle w:val="TableParagraph"/>
              <w:rPr>
                <w:rFonts w:ascii="Times New Roman"/>
                <w:sz w:val="16"/>
              </w:rPr>
            </w:pPr>
          </w:p>
        </w:tc>
        <w:tc>
          <w:tcPr>
            <w:tcW w:w="1800" w:type="dxa"/>
          </w:tcPr>
          <w:p w14:paraId="0DFDCBCD" w14:textId="77777777" w:rsidR="00046465" w:rsidRDefault="00046465">
            <w:pPr>
              <w:pStyle w:val="TableParagraph"/>
              <w:rPr>
                <w:rFonts w:ascii="Times New Roman"/>
                <w:sz w:val="16"/>
              </w:rPr>
            </w:pPr>
          </w:p>
        </w:tc>
        <w:tc>
          <w:tcPr>
            <w:tcW w:w="540" w:type="dxa"/>
          </w:tcPr>
          <w:p w14:paraId="0DFDCBCE" w14:textId="77777777" w:rsidR="00046465" w:rsidRDefault="00046465">
            <w:pPr>
              <w:pStyle w:val="TableParagraph"/>
              <w:rPr>
                <w:rFonts w:ascii="Times New Roman"/>
                <w:sz w:val="16"/>
              </w:rPr>
            </w:pPr>
          </w:p>
        </w:tc>
        <w:tc>
          <w:tcPr>
            <w:tcW w:w="1440" w:type="dxa"/>
          </w:tcPr>
          <w:p w14:paraId="0DFDCBCF" w14:textId="77777777" w:rsidR="00046465" w:rsidRDefault="00046465">
            <w:pPr>
              <w:pStyle w:val="TableParagraph"/>
              <w:rPr>
                <w:rFonts w:ascii="Times New Roman"/>
                <w:sz w:val="16"/>
              </w:rPr>
            </w:pPr>
          </w:p>
        </w:tc>
        <w:tc>
          <w:tcPr>
            <w:tcW w:w="630" w:type="dxa"/>
          </w:tcPr>
          <w:p w14:paraId="0DFDCBD0" w14:textId="77777777" w:rsidR="00046465" w:rsidRDefault="00046465">
            <w:pPr>
              <w:pStyle w:val="TableParagraph"/>
              <w:rPr>
                <w:rFonts w:ascii="Times New Roman"/>
                <w:sz w:val="16"/>
              </w:rPr>
            </w:pPr>
          </w:p>
        </w:tc>
      </w:tr>
      <w:tr w:rsidR="00046465" w14:paraId="0DFDCBEA" w14:textId="77777777">
        <w:trPr>
          <w:trHeight w:val="299"/>
        </w:trPr>
        <w:tc>
          <w:tcPr>
            <w:tcW w:w="1075" w:type="dxa"/>
          </w:tcPr>
          <w:p w14:paraId="0DFDCBD2" w14:textId="77777777" w:rsidR="00046465" w:rsidRDefault="008134EB">
            <w:pPr>
              <w:pStyle w:val="TableParagraph"/>
              <w:spacing w:before="92" w:line="187" w:lineRule="exact"/>
              <w:ind w:right="104"/>
              <w:jc w:val="right"/>
              <w:rPr>
                <w:sz w:val="18"/>
              </w:rPr>
            </w:pPr>
            <w:r>
              <w:rPr>
                <w:spacing w:val="-5"/>
                <w:sz w:val="18"/>
              </w:rPr>
              <w:t>12</w:t>
            </w:r>
          </w:p>
        </w:tc>
        <w:tc>
          <w:tcPr>
            <w:tcW w:w="637" w:type="dxa"/>
          </w:tcPr>
          <w:p w14:paraId="0DFDCBD3" w14:textId="77777777" w:rsidR="00046465" w:rsidRDefault="00046465">
            <w:pPr>
              <w:pStyle w:val="TableParagraph"/>
              <w:rPr>
                <w:rFonts w:ascii="Times New Roman"/>
                <w:sz w:val="16"/>
              </w:rPr>
            </w:pPr>
          </w:p>
        </w:tc>
        <w:tc>
          <w:tcPr>
            <w:tcW w:w="720" w:type="dxa"/>
          </w:tcPr>
          <w:p w14:paraId="0DFDCBD4" w14:textId="77777777" w:rsidR="00046465" w:rsidRDefault="00046465">
            <w:pPr>
              <w:pStyle w:val="TableParagraph"/>
              <w:rPr>
                <w:rFonts w:ascii="Times New Roman"/>
                <w:sz w:val="16"/>
              </w:rPr>
            </w:pPr>
          </w:p>
        </w:tc>
        <w:tc>
          <w:tcPr>
            <w:tcW w:w="720" w:type="dxa"/>
          </w:tcPr>
          <w:p w14:paraId="0DFDCBD5" w14:textId="77777777" w:rsidR="00046465" w:rsidRDefault="00046465">
            <w:pPr>
              <w:pStyle w:val="TableParagraph"/>
              <w:rPr>
                <w:rFonts w:ascii="Times New Roman"/>
                <w:sz w:val="16"/>
              </w:rPr>
            </w:pPr>
          </w:p>
        </w:tc>
        <w:tc>
          <w:tcPr>
            <w:tcW w:w="720" w:type="dxa"/>
          </w:tcPr>
          <w:p w14:paraId="0DFDCBD6" w14:textId="77777777" w:rsidR="00046465" w:rsidRDefault="00046465">
            <w:pPr>
              <w:pStyle w:val="TableParagraph"/>
              <w:rPr>
                <w:rFonts w:ascii="Times New Roman"/>
                <w:sz w:val="16"/>
              </w:rPr>
            </w:pPr>
          </w:p>
        </w:tc>
        <w:tc>
          <w:tcPr>
            <w:tcW w:w="720" w:type="dxa"/>
          </w:tcPr>
          <w:p w14:paraId="0DFDCBD7" w14:textId="77777777" w:rsidR="00046465" w:rsidRDefault="00046465">
            <w:pPr>
              <w:pStyle w:val="TableParagraph"/>
              <w:rPr>
                <w:rFonts w:ascii="Times New Roman"/>
                <w:sz w:val="16"/>
              </w:rPr>
            </w:pPr>
          </w:p>
        </w:tc>
        <w:tc>
          <w:tcPr>
            <w:tcW w:w="1080" w:type="dxa"/>
          </w:tcPr>
          <w:p w14:paraId="0DFDCBD8" w14:textId="77777777" w:rsidR="00046465" w:rsidRDefault="00046465">
            <w:pPr>
              <w:pStyle w:val="TableParagraph"/>
              <w:rPr>
                <w:rFonts w:ascii="Times New Roman"/>
                <w:sz w:val="16"/>
              </w:rPr>
            </w:pPr>
          </w:p>
        </w:tc>
        <w:tc>
          <w:tcPr>
            <w:tcW w:w="630" w:type="dxa"/>
          </w:tcPr>
          <w:p w14:paraId="0DFDCBD9" w14:textId="77777777" w:rsidR="00046465" w:rsidRDefault="00046465">
            <w:pPr>
              <w:pStyle w:val="TableParagraph"/>
              <w:rPr>
                <w:rFonts w:ascii="Times New Roman"/>
                <w:sz w:val="16"/>
              </w:rPr>
            </w:pPr>
          </w:p>
        </w:tc>
        <w:tc>
          <w:tcPr>
            <w:tcW w:w="720" w:type="dxa"/>
          </w:tcPr>
          <w:p w14:paraId="0DFDCBDA" w14:textId="77777777" w:rsidR="00046465" w:rsidRDefault="00046465">
            <w:pPr>
              <w:pStyle w:val="TableParagraph"/>
              <w:rPr>
                <w:rFonts w:ascii="Times New Roman"/>
                <w:sz w:val="16"/>
              </w:rPr>
            </w:pPr>
          </w:p>
        </w:tc>
        <w:tc>
          <w:tcPr>
            <w:tcW w:w="900" w:type="dxa"/>
          </w:tcPr>
          <w:p w14:paraId="0DFDCBDB" w14:textId="77777777" w:rsidR="00046465" w:rsidRDefault="00046465">
            <w:pPr>
              <w:pStyle w:val="TableParagraph"/>
              <w:rPr>
                <w:rFonts w:ascii="Times New Roman"/>
                <w:sz w:val="16"/>
              </w:rPr>
            </w:pPr>
          </w:p>
        </w:tc>
        <w:tc>
          <w:tcPr>
            <w:tcW w:w="900" w:type="dxa"/>
          </w:tcPr>
          <w:p w14:paraId="0DFDCBDC" w14:textId="77777777" w:rsidR="00046465" w:rsidRDefault="00046465">
            <w:pPr>
              <w:pStyle w:val="TableParagraph"/>
              <w:rPr>
                <w:rFonts w:ascii="Times New Roman"/>
                <w:sz w:val="16"/>
              </w:rPr>
            </w:pPr>
          </w:p>
        </w:tc>
        <w:tc>
          <w:tcPr>
            <w:tcW w:w="1080" w:type="dxa"/>
          </w:tcPr>
          <w:p w14:paraId="0DFDCBDD" w14:textId="77777777" w:rsidR="00046465" w:rsidRDefault="00046465">
            <w:pPr>
              <w:pStyle w:val="TableParagraph"/>
              <w:rPr>
                <w:rFonts w:ascii="Times New Roman"/>
                <w:sz w:val="16"/>
              </w:rPr>
            </w:pPr>
          </w:p>
        </w:tc>
        <w:tc>
          <w:tcPr>
            <w:tcW w:w="540" w:type="dxa"/>
          </w:tcPr>
          <w:p w14:paraId="0DFDCBDE" w14:textId="77777777" w:rsidR="00046465" w:rsidRDefault="00046465">
            <w:pPr>
              <w:pStyle w:val="TableParagraph"/>
              <w:rPr>
                <w:rFonts w:ascii="Times New Roman"/>
                <w:sz w:val="16"/>
              </w:rPr>
            </w:pPr>
          </w:p>
        </w:tc>
        <w:tc>
          <w:tcPr>
            <w:tcW w:w="630" w:type="dxa"/>
          </w:tcPr>
          <w:p w14:paraId="0DFDCBDF" w14:textId="77777777" w:rsidR="00046465" w:rsidRDefault="00046465">
            <w:pPr>
              <w:pStyle w:val="TableParagraph"/>
              <w:rPr>
                <w:rFonts w:ascii="Times New Roman"/>
                <w:sz w:val="16"/>
              </w:rPr>
            </w:pPr>
          </w:p>
        </w:tc>
        <w:tc>
          <w:tcPr>
            <w:tcW w:w="630" w:type="dxa"/>
          </w:tcPr>
          <w:p w14:paraId="0DFDCBE0" w14:textId="77777777" w:rsidR="00046465" w:rsidRDefault="00046465">
            <w:pPr>
              <w:pStyle w:val="TableParagraph"/>
              <w:rPr>
                <w:rFonts w:ascii="Times New Roman"/>
                <w:sz w:val="16"/>
              </w:rPr>
            </w:pPr>
          </w:p>
        </w:tc>
        <w:tc>
          <w:tcPr>
            <w:tcW w:w="1170" w:type="dxa"/>
          </w:tcPr>
          <w:p w14:paraId="0DFDCBE1" w14:textId="77777777" w:rsidR="00046465" w:rsidRDefault="00046465">
            <w:pPr>
              <w:pStyle w:val="TableParagraph"/>
              <w:rPr>
                <w:rFonts w:ascii="Times New Roman"/>
                <w:sz w:val="16"/>
              </w:rPr>
            </w:pPr>
          </w:p>
        </w:tc>
        <w:tc>
          <w:tcPr>
            <w:tcW w:w="1260" w:type="dxa"/>
          </w:tcPr>
          <w:p w14:paraId="0DFDCBE2" w14:textId="77777777" w:rsidR="00046465" w:rsidRDefault="00046465">
            <w:pPr>
              <w:pStyle w:val="TableParagraph"/>
              <w:rPr>
                <w:rFonts w:ascii="Times New Roman"/>
                <w:sz w:val="16"/>
              </w:rPr>
            </w:pPr>
          </w:p>
        </w:tc>
        <w:tc>
          <w:tcPr>
            <w:tcW w:w="1890" w:type="dxa"/>
          </w:tcPr>
          <w:p w14:paraId="0DFDCBE3" w14:textId="77777777" w:rsidR="00046465" w:rsidRDefault="00046465">
            <w:pPr>
              <w:pStyle w:val="TableParagraph"/>
              <w:rPr>
                <w:rFonts w:ascii="Times New Roman"/>
                <w:sz w:val="16"/>
              </w:rPr>
            </w:pPr>
          </w:p>
        </w:tc>
        <w:tc>
          <w:tcPr>
            <w:tcW w:w="900" w:type="dxa"/>
          </w:tcPr>
          <w:p w14:paraId="0DFDCBE4" w14:textId="77777777" w:rsidR="00046465" w:rsidRDefault="00046465">
            <w:pPr>
              <w:pStyle w:val="TableParagraph"/>
              <w:rPr>
                <w:rFonts w:ascii="Times New Roman"/>
                <w:sz w:val="16"/>
              </w:rPr>
            </w:pPr>
          </w:p>
        </w:tc>
        <w:tc>
          <w:tcPr>
            <w:tcW w:w="630" w:type="dxa"/>
          </w:tcPr>
          <w:p w14:paraId="0DFDCBE5" w14:textId="77777777" w:rsidR="00046465" w:rsidRDefault="00046465">
            <w:pPr>
              <w:pStyle w:val="TableParagraph"/>
              <w:rPr>
                <w:rFonts w:ascii="Times New Roman"/>
                <w:sz w:val="16"/>
              </w:rPr>
            </w:pPr>
          </w:p>
        </w:tc>
        <w:tc>
          <w:tcPr>
            <w:tcW w:w="1800" w:type="dxa"/>
          </w:tcPr>
          <w:p w14:paraId="0DFDCBE6" w14:textId="77777777" w:rsidR="00046465" w:rsidRDefault="00046465">
            <w:pPr>
              <w:pStyle w:val="TableParagraph"/>
              <w:rPr>
                <w:rFonts w:ascii="Times New Roman"/>
                <w:sz w:val="16"/>
              </w:rPr>
            </w:pPr>
          </w:p>
        </w:tc>
        <w:tc>
          <w:tcPr>
            <w:tcW w:w="540" w:type="dxa"/>
          </w:tcPr>
          <w:p w14:paraId="0DFDCBE7" w14:textId="77777777" w:rsidR="00046465" w:rsidRDefault="00046465">
            <w:pPr>
              <w:pStyle w:val="TableParagraph"/>
              <w:rPr>
                <w:rFonts w:ascii="Times New Roman"/>
                <w:sz w:val="16"/>
              </w:rPr>
            </w:pPr>
          </w:p>
        </w:tc>
        <w:tc>
          <w:tcPr>
            <w:tcW w:w="1440" w:type="dxa"/>
          </w:tcPr>
          <w:p w14:paraId="0DFDCBE8" w14:textId="77777777" w:rsidR="00046465" w:rsidRDefault="00046465">
            <w:pPr>
              <w:pStyle w:val="TableParagraph"/>
              <w:rPr>
                <w:rFonts w:ascii="Times New Roman"/>
                <w:sz w:val="16"/>
              </w:rPr>
            </w:pPr>
          </w:p>
        </w:tc>
        <w:tc>
          <w:tcPr>
            <w:tcW w:w="630" w:type="dxa"/>
          </w:tcPr>
          <w:p w14:paraId="0DFDCBE9" w14:textId="77777777" w:rsidR="00046465" w:rsidRDefault="00046465">
            <w:pPr>
              <w:pStyle w:val="TableParagraph"/>
              <w:rPr>
                <w:rFonts w:ascii="Times New Roman"/>
                <w:sz w:val="16"/>
              </w:rPr>
            </w:pPr>
          </w:p>
        </w:tc>
      </w:tr>
      <w:tr w:rsidR="00046465" w14:paraId="0DFDCBFF" w14:textId="77777777">
        <w:trPr>
          <w:trHeight w:val="300"/>
        </w:trPr>
        <w:tc>
          <w:tcPr>
            <w:tcW w:w="3872" w:type="dxa"/>
            <w:gridSpan w:val="5"/>
          </w:tcPr>
          <w:p w14:paraId="0DFDCBEB" w14:textId="77777777" w:rsidR="00046465" w:rsidRDefault="008134EB">
            <w:pPr>
              <w:pStyle w:val="TableParagraph"/>
              <w:ind w:left="530"/>
              <w:rPr>
                <w:i/>
                <w:sz w:val="18"/>
              </w:rPr>
            </w:pPr>
            <w:r>
              <w:rPr>
                <w:i/>
                <w:sz w:val="18"/>
              </w:rPr>
              <w:t>***insert</w:t>
            </w:r>
            <w:r>
              <w:rPr>
                <w:i/>
                <w:spacing w:val="-3"/>
                <w:sz w:val="18"/>
              </w:rPr>
              <w:t xml:space="preserve"> </w:t>
            </w:r>
            <w:r>
              <w:rPr>
                <w:i/>
                <w:sz w:val="18"/>
              </w:rPr>
              <w:t>rows</w:t>
            </w:r>
            <w:r>
              <w:rPr>
                <w:i/>
                <w:spacing w:val="-2"/>
                <w:sz w:val="18"/>
              </w:rPr>
              <w:t xml:space="preserve"> </w:t>
            </w:r>
            <w:r>
              <w:rPr>
                <w:i/>
                <w:sz w:val="18"/>
              </w:rPr>
              <w:t>here</w:t>
            </w:r>
            <w:r>
              <w:rPr>
                <w:i/>
                <w:spacing w:val="-3"/>
                <w:sz w:val="18"/>
              </w:rPr>
              <w:t xml:space="preserve"> </w:t>
            </w:r>
            <w:r>
              <w:rPr>
                <w:i/>
                <w:sz w:val="18"/>
              </w:rPr>
              <w:t>as</w:t>
            </w:r>
            <w:r>
              <w:rPr>
                <w:i/>
                <w:spacing w:val="-2"/>
                <w:sz w:val="18"/>
              </w:rPr>
              <w:t xml:space="preserve"> necessary***</w:t>
            </w:r>
          </w:p>
        </w:tc>
        <w:tc>
          <w:tcPr>
            <w:tcW w:w="720" w:type="dxa"/>
          </w:tcPr>
          <w:p w14:paraId="0DFDCBEC" w14:textId="77777777" w:rsidR="00046465" w:rsidRDefault="00046465">
            <w:pPr>
              <w:pStyle w:val="TableParagraph"/>
              <w:rPr>
                <w:rFonts w:ascii="Times New Roman"/>
                <w:sz w:val="16"/>
              </w:rPr>
            </w:pPr>
          </w:p>
        </w:tc>
        <w:tc>
          <w:tcPr>
            <w:tcW w:w="1080" w:type="dxa"/>
          </w:tcPr>
          <w:p w14:paraId="0DFDCBED" w14:textId="77777777" w:rsidR="00046465" w:rsidRDefault="00046465">
            <w:pPr>
              <w:pStyle w:val="TableParagraph"/>
              <w:rPr>
                <w:rFonts w:ascii="Times New Roman"/>
                <w:sz w:val="16"/>
              </w:rPr>
            </w:pPr>
          </w:p>
        </w:tc>
        <w:tc>
          <w:tcPr>
            <w:tcW w:w="630" w:type="dxa"/>
          </w:tcPr>
          <w:p w14:paraId="0DFDCBEE" w14:textId="77777777" w:rsidR="00046465" w:rsidRDefault="00046465">
            <w:pPr>
              <w:pStyle w:val="TableParagraph"/>
              <w:rPr>
                <w:rFonts w:ascii="Times New Roman"/>
                <w:sz w:val="16"/>
              </w:rPr>
            </w:pPr>
          </w:p>
        </w:tc>
        <w:tc>
          <w:tcPr>
            <w:tcW w:w="720" w:type="dxa"/>
          </w:tcPr>
          <w:p w14:paraId="0DFDCBEF" w14:textId="77777777" w:rsidR="00046465" w:rsidRDefault="00046465">
            <w:pPr>
              <w:pStyle w:val="TableParagraph"/>
              <w:rPr>
                <w:rFonts w:ascii="Times New Roman"/>
                <w:sz w:val="16"/>
              </w:rPr>
            </w:pPr>
          </w:p>
        </w:tc>
        <w:tc>
          <w:tcPr>
            <w:tcW w:w="900" w:type="dxa"/>
          </w:tcPr>
          <w:p w14:paraId="0DFDCBF0" w14:textId="77777777" w:rsidR="00046465" w:rsidRDefault="00046465">
            <w:pPr>
              <w:pStyle w:val="TableParagraph"/>
              <w:rPr>
                <w:rFonts w:ascii="Times New Roman"/>
                <w:sz w:val="16"/>
              </w:rPr>
            </w:pPr>
          </w:p>
        </w:tc>
        <w:tc>
          <w:tcPr>
            <w:tcW w:w="900" w:type="dxa"/>
          </w:tcPr>
          <w:p w14:paraId="0DFDCBF1" w14:textId="77777777" w:rsidR="00046465" w:rsidRDefault="00046465">
            <w:pPr>
              <w:pStyle w:val="TableParagraph"/>
              <w:rPr>
                <w:rFonts w:ascii="Times New Roman"/>
                <w:sz w:val="16"/>
              </w:rPr>
            </w:pPr>
          </w:p>
        </w:tc>
        <w:tc>
          <w:tcPr>
            <w:tcW w:w="1080" w:type="dxa"/>
          </w:tcPr>
          <w:p w14:paraId="0DFDCBF2" w14:textId="77777777" w:rsidR="00046465" w:rsidRDefault="00046465">
            <w:pPr>
              <w:pStyle w:val="TableParagraph"/>
              <w:rPr>
                <w:rFonts w:ascii="Times New Roman"/>
                <w:sz w:val="16"/>
              </w:rPr>
            </w:pPr>
          </w:p>
        </w:tc>
        <w:tc>
          <w:tcPr>
            <w:tcW w:w="540" w:type="dxa"/>
          </w:tcPr>
          <w:p w14:paraId="0DFDCBF3" w14:textId="77777777" w:rsidR="00046465" w:rsidRDefault="00046465">
            <w:pPr>
              <w:pStyle w:val="TableParagraph"/>
              <w:rPr>
                <w:rFonts w:ascii="Times New Roman"/>
                <w:sz w:val="16"/>
              </w:rPr>
            </w:pPr>
          </w:p>
        </w:tc>
        <w:tc>
          <w:tcPr>
            <w:tcW w:w="630" w:type="dxa"/>
          </w:tcPr>
          <w:p w14:paraId="0DFDCBF4" w14:textId="77777777" w:rsidR="00046465" w:rsidRDefault="00046465">
            <w:pPr>
              <w:pStyle w:val="TableParagraph"/>
              <w:rPr>
                <w:rFonts w:ascii="Times New Roman"/>
                <w:sz w:val="16"/>
              </w:rPr>
            </w:pPr>
          </w:p>
        </w:tc>
        <w:tc>
          <w:tcPr>
            <w:tcW w:w="630" w:type="dxa"/>
          </w:tcPr>
          <w:p w14:paraId="0DFDCBF5" w14:textId="77777777" w:rsidR="00046465" w:rsidRDefault="00046465">
            <w:pPr>
              <w:pStyle w:val="TableParagraph"/>
              <w:rPr>
                <w:rFonts w:ascii="Times New Roman"/>
                <w:sz w:val="16"/>
              </w:rPr>
            </w:pPr>
          </w:p>
        </w:tc>
        <w:tc>
          <w:tcPr>
            <w:tcW w:w="1170" w:type="dxa"/>
          </w:tcPr>
          <w:p w14:paraId="0DFDCBF6" w14:textId="77777777" w:rsidR="00046465" w:rsidRDefault="00046465">
            <w:pPr>
              <w:pStyle w:val="TableParagraph"/>
              <w:rPr>
                <w:rFonts w:ascii="Times New Roman"/>
                <w:sz w:val="16"/>
              </w:rPr>
            </w:pPr>
          </w:p>
        </w:tc>
        <w:tc>
          <w:tcPr>
            <w:tcW w:w="1260" w:type="dxa"/>
          </w:tcPr>
          <w:p w14:paraId="0DFDCBF7" w14:textId="77777777" w:rsidR="00046465" w:rsidRDefault="00046465">
            <w:pPr>
              <w:pStyle w:val="TableParagraph"/>
              <w:rPr>
                <w:rFonts w:ascii="Times New Roman"/>
                <w:sz w:val="16"/>
              </w:rPr>
            </w:pPr>
          </w:p>
        </w:tc>
        <w:tc>
          <w:tcPr>
            <w:tcW w:w="1890" w:type="dxa"/>
          </w:tcPr>
          <w:p w14:paraId="0DFDCBF8" w14:textId="77777777" w:rsidR="00046465" w:rsidRDefault="00046465">
            <w:pPr>
              <w:pStyle w:val="TableParagraph"/>
              <w:rPr>
                <w:rFonts w:ascii="Times New Roman"/>
                <w:sz w:val="16"/>
              </w:rPr>
            </w:pPr>
          </w:p>
        </w:tc>
        <w:tc>
          <w:tcPr>
            <w:tcW w:w="900" w:type="dxa"/>
          </w:tcPr>
          <w:p w14:paraId="0DFDCBF9" w14:textId="77777777" w:rsidR="00046465" w:rsidRDefault="00046465">
            <w:pPr>
              <w:pStyle w:val="TableParagraph"/>
              <w:rPr>
                <w:rFonts w:ascii="Times New Roman"/>
                <w:sz w:val="16"/>
              </w:rPr>
            </w:pPr>
          </w:p>
        </w:tc>
        <w:tc>
          <w:tcPr>
            <w:tcW w:w="630" w:type="dxa"/>
          </w:tcPr>
          <w:p w14:paraId="0DFDCBFA" w14:textId="77777777" w:rsidR="00046465" w:rsidRDefault="00046465">
            <w:pPr>
              <w:pStyle w:val="TableParagraph"/>
              <w:rPr>
                <w:rFonts w:ascii="Times New Roman"/>
                <w:sz w:val="16"/>
              </w:rPr>
            </w:pPr>
          </w:p>
        </w:tc>
        <w:tc>
          <w:tcPr>
            <w:tcW w:w="1800" w:type="dxa"/>
          </w:tcPr>
          <w:p w14:paraId="0DFDCBFB" w14:textId="77777777" w:rsidR="00046465" w:rsidRDefault="00046465">
            <w:pPr>
              <w:pStyle w:val="TableParagraph"/>
              <w:rPr>
                <w:rFonts w:ascii="Times New Roman"/>
                <w:sz w:val="16"/>
              </w:rPr>
            </w:pPr>
          </w:p>
        </w:tc>
        <w:tc>
          <w:tcPr>
            <w:tcW w:w="540" w:type="dxa"/>
          </w:tcPr>
          <w:p w14:paraId="0DFDCBFC" w14:textId="77777777" w:rsidR="00046465" w:rsidRDefault="00046465">
            <w:pPr>
              <w:pStyle w:val="TableParagraph"/>
              <w:rPr>
                <w:rFonts w:ascii="Times New Roman"/>
                <w:sz w:val="16"/>
              </w:rPr>
            </w:pPr>
          </w:p>
        </w:tc>
        <w:tc>
          <w:tcPr>
            <w:tcW w:w="1440" w:type="dxa"/>
          </w:tcPr>
          <w:p w14:paraId="0DFDCBFD" w14:textId="77777777" w:rsidR="00046465" w:rsidRDefault="00046465">
            <w:pPr>
              <w:pStyle w:val="TableParagraph"/>
              <w:rPr>
                <w:rFonts w:ascii="Times New Roman"/>
                <w:sz w:val="16"/>
              </w:rPr>
            </w:pPr>
          </w:p>
        </w:tc>
        <w:tc>
          <w:tcPr>
            <w:tcW w:w="630" w:type="dxa"/>
          </w:tcPr>
          <w:p w14:paraId="0DFDCBFE" w14:textId="77777777" w:rsidR="00046465" w:rsidRDefault="00046465">
            <w:pPr>
              <w:pStyle w:val="TableParagraph"/>
              <w:rPr>
                <w:rFonts w:ascii="Times New Roman"/>
                <w:sz w:val="16"/>
              </w:rPr>
            </w:pPr>
          </w:p>
        </w:tc>
      </w:tr>
      <w:tr w:rsidR="00046465" w14:paraId="0DFDCC15" w14:textId="77777777">
        <w:trPr>
          <w:trHeight w:val="413"/>
        </w:trPr>
        <w:tc>
          <w:tcPr>
            <w:tcW w:w="1075" w:type="dxa"/>
            <w:shd w:val="clear" w:color="auto" w:fill="D9E0F1"/>
          </w:tcPr>
          <w:p w14:paraId="0DFDCC00" w14:textId="77777777" w:rsidR="00046465" w:rsidRDefault="008134EB">
            <w:pPr>
              <w:pStyle w:val="TableParagraph"/>
              <w:spacing w:line="206" w:lineRule="exact"/>
              <w:ind w:left="115"/>
              <w:rPr>
                <w:sz w:val="18"/>
              </w:rPr>
            </w:pPr>
            <w:r>
              <w:rPr>
                <w:sz w:val="18"/>
              </w:rPr>
              <w:t>Total</w:t>
            </w:r>
            <w:r>
              <w:rPr>
                <w:spacing w:val="-15"/>
                <w:sz w:val="18"/>
              </w:rPr>
              <w:t xml:space="preserve"> </w:t>
            </w:r>
            <w:r>
              <w:rPr>
                <w:sz w:val="18"/>
              </w:rPr>
              <w:t>#</w:t>
            </w:r>
            <w:r>
              <w:rPr>
                <w:spacing w:val="-12"/>
                <w:sz w:val="18"/>
              </w:rPr>
              <w:t xml:space="preserve"> </w:t>
            </w:r>
            <w:r>
              <w:rPr>
                <w:sz w:val="18"/>
              </w:rPr>
              <w:t>of cases</w:t>
            </w:r>
            <w:r>
              <w:rPr>
                <w:spacing w:val="-2"/>
                <w:sz w:val="18"/>
              </w:rPr>
              <w:t xml:space="preserve"> </w:t>
            </w:r>
            <w:r>
              <w:rPr>
                <w:sz w:val="18"/>
              </w:rPr>
              <w:t>-</w:t>
            </w:r>
            <w:r>
              <w:rPr>
                <w:spacing w:val="-2"/>
                <w:sz w:val="18"/>
              </w:rPr>
              <w:t xml:space="preserve"> </w:t>
            </w:r>
            <w:r>
              <w:rPr>
                <w:spacing w:val="-10"/>
                <w:sz w:val="18"/>
              </w:rPr>
              <w:t>3</w:t>
            </w:r>
          </w:p>
        </w:tc>
        <w:tc>
          <w:tcPr>
            <w:tcW w:w="2797" w:type="dxa"/>
            <w:gridSpan w:val="4"/>
            <w:shd w:val="clear" w:color="auto" w:fill="D9E0F1"/>
          </w:tcPr>
          <w:p w14:paraId="0DFDCC01" w14:textId="77777777" w:rsidR="00046465" w:rsidRDefault="008134EB">
            <w:pPr>
              <w:pStyle w:val="TableParagraph"/>
              <w:spacing w:line="206" w:lineRule="exact"/>
              <w:ind w:left="580"/>
              <w:rPr>
                <w:sz w:val="18"/>
              </w:rPr>
            </w:pPr>
            <w:r>
              <w:rPr>
                <w:sz w:val="18"/>
              </w:rPr>
              <w:t>Total</w:t>
            </w:r>
            <w:r>
              <w:rPr>
                <w:spacing w:val="-2"/>
                <w:sz w:val="18"/>
              </w:rPr>
              <w:t xml:space="preserve"> </w:t>
            </w:r>
            <w:r>
              <w:rPr>
                <w:sz w:val="18"/>
              </w:rPr>
              <w:t>Unable</w:t>
            </w:r>
            <w:r>
              <w:rPr>
                <w:spacing w:val="-3"/>
                <w:sz w:val="18"/>
              </w:rPr>
              <w:t xml:space="preserve"> </w:t>
            </w:r>
            <w:r>
              <w:rPr>
                <w:sz w:val="18"/>
              </w:rPr>
              <w:t>to</w:t>
            </w:r>
            <w:r>
              <w:rPr>
                <w:spacing w:val="-1"/>
                <w:sz w:val="18"/>
              </w:rPr>
              <w:t xml:space="preserve"> </w:t>
            </w:r>
            <w:r>
              <w:rPr>
                <w:spacing w:val="-2"/>
                <w:sz w:val="18"/>
              </w:rPr>
              <w:t>Determine</w:t>
            </w:r>
          </w:p>
        </w:tc>
        <w:tc>
          <w:tcPr>
            <w:tcW w:w="720" w:type="dxa"/>
          </w:tcPr>
          <w:p w14:paraId="0DFDCC02" w14:textId="77777777" w:rsidR="00046465" w:rsidRDefault="00046465">
            <w:pPr>
              <w:pStyle w:val="TableParagraph"/>
              <w:rPr>
                <w:rFonts w:ascii="Times New Roman"/>
                <w:sz w:val="16"/>
              </w:rPr>
            </w:pPr>
          </w:p>
        </w:tc>
        <w:tc>
          <w:tcPr>
            <w:tcW w:w="1080" w:type="dxa"/>
          </w:tcPr>
          <w:p w14:paraId="0DFDCC03" w14:textId="77777777" w:rsidR="00046465" w:rsidRDefault="00046465">
            <w:pPr>
              <w:pStyle w:val="TableParagraph"/>
              <w:rPr>
                <w:rFonts w:ascii="Times New Roman"/>
                <w:sz w:val="16"/>
              </w:rPr>
            </w:pPr>
          </w:p>
        </w:tc>
        <w:tc>
          <w:tcPr>
            <w:tcW w:w="630" w:type="dxa"/>
          </w:tcPr>
          <w:p w14:paraId="0DFDCC04" w14:textId="77777777" w:rsidR="00046465" w:rsidRDefault="00046465">
            <w:pPr>
              <w:pStyle w:val="TableParagraph"/>
              <w:rPr>
                <w:rFonts w:ascii="Times New Roman"/>
                <w:sz w:val="16"/>
              </w:rPr>
            </w:pPr>
          </w:p>
        </w:tc>
        <w:tc>
          <w:tcPr>
            <w:tcW w:w="720" w:type="dxa"/>
          </w:tcPr>
          <w:p w14:paraId="0DFDCC05" w14:textId="77777777" w:rsidR="00046465" w:rsidRDefault="00046465">
            <w:pPr>
              <w:pStyle w:val="TableParagraph"/>
              <w:rPr>
                <w:rFonts w:ascii="Times New Roman"/>
                <w:sz w:val="16"/>
              </w:rPr>
            </w:pPr>
          </w:p>
        </w:tc>
        <w:tc>
          <w:tcPr>
            <w:tcW w:w="900" w:type="dxa"/>
          </w:tcPr>
          <w:p w14:paraId="0DFDCC06" w14:textId="77777777" w:rsidR="00046465" w:rsidRDefault="00046465">
            <w:pPr>
              <w:pStyle w:val="TableParagraph"/>
              <w:rPr>
                <w:rFonts w:ascii="Times New Roman"/>
                <w:sz w:val="16"/>
              </w:rPr>
            </w:pPr>
          </w:p>
        </w:tc>
        <w:tc>
          <w:tcPr>
            <w:tcW w:w="900" w:type="dxa"/>
          </w:tcPr>
          <w:p w14:paraId="0DFDCC07" w14:textId="77777777" w:rsidR="00046465" w:rsidRDefault="00046465">
            <w:pPr>
              <w:pStyle w:val="TableParagraph"/>
              <w:rPr>
                <w:rFonts w:ascii="Times New Roman"/>
                <w:sz w:val="16"/>
              </w:rPr>
            </w:pPr>
          </w:p>
        </w:tc>
        <w:tc>
          <w:tcPr>
            <w:tcW w:w="1080" w:type="dxa"/>
          </w:tcPr>
          <w:p w14:paraId="0DFDCC08" w14:textId="77777777" w:rsidR="00046465" w:rsidRDefault="00046465">
            <w:pPr>
              <w:pStyle w:val="TableParagraph"/>
              <w:rPr>
                <w:rFonts w:ascii="Times New Roman"/>
                <w:sz w:val="16"/>
              </w:rPr>
            </w:pPr>
          </w:p>
        </w:tc>
        <w:tc>
          <w:tcPr>
            <w:tcW w:w="540" w:type="dxa"/>
          </w:tcPr>
          <w:p w14:paraId="0DFDCC09" w14:textId="77777777" w:rsidR="00046465" w:rsidRDefault="00046465">
            <w:pPr>
              <w:pStyle w:val="TableParagraph"/>
              <w:rPr>
                <w:rFonts w:ascii="Times New Roman"/>
                <w:sz w:val="16"/>
              </w:rPr>
            </w:pPr>
          </w:p>
        </w:tc>
        <w:tc>
          <w:tcPr>
            <w:tcW w:w="630" w:type="dxa"/>
          </w:tcPr>
          <w:p w14:paraId="0DFDCC0A" w14:textId="77777777" w:rsidR="00046465" w:rsidRDefault="00046465">
            <w:pPr>
              <w:pStyle w:val="TableParagraph"/>
              <w:rPr>
                <w:rFonts w:ascii="Times New Roman"/>
                <w:sz w:val="16"/>
              </w:rPr>
            </w:pPr>
          </w:p>
        </w:tc>
        <w:tc>
          <w:tcPr>
            <w:tcW w:w="630" w:type="dxa"/>
          </w:tcPr>
          <w:p w14:paraId="0DFDCC0B" w14:textId="77777777" w:rsidR="00046465" w:rsidRDefault="00046465">
            <w:pPr>
              <w:pStyle w:val="TableParagraph"/>
              <w:rPr>
                <w:rFonts w:ascii="Times New Roman"/>
                <w:sz w:val="16"/>
              </w:rPr>
            </w:pPr>
          </w:p>
        </w:tc>
        <w:tc>
          <w:tcPr>
            <w:tcW w:w="1170" w:type="dxa"/>
          </w:tcPr>
          <w:p w14:paraId="0DFDCC0C" w14:textId="77777777" w:rsidR="00046465" w:rsidRDefault="00046465">
            <w:pPr>
              <w:pStyle w:val="TableParagraph"/>
              <w:rPr>
                <w:rFonts w:ascii="Times New Roman"/>
                <w:sz w:val="16"/>
              </w:rPr>
            </w:pPr>
          </w:p>
        </w:tc>
        <w:tc>
          <w:tcPr>
            <w:tcW w:w="1260" w:type="dxa"/>
          </w:tcPr>
          <w:p w14:paraId="0DFDCC0D" w14:textId="77777777" w:rsidR="00046465" w:rsidRDefault="00046465">
            <w:pPr>
              <w:pStyle w:val="TableParagraph"/>
              <w:rPr>
                <w:rFonts w:ascii="Times New Roman"/>
                <w:sz w:val="16"/>
              </w:rPr>
            </w:pPr>
          </w:p>
        </w:tc>
        <w:tc>
          <w:tcPr>
            <w:tcW w:w="1890" w:type="dxa"/>
          </w:tcPr>
          <w:p w14:paraId="0DFDCC0E" w14:textId="77777777" w:rsidR="00046465" w:rsidRDefault="00046465">
            <w:pPr>
              <w:pStyle w:val="TableParagraph"/>
              <w:rPr>
                <w:rFonts w:ascii="Times New Roman"/>
                <w:sz w:val="16"/>
              </w:rPr>
            </w:pPr>
          </w:p>
        </w:tc>
        <w:tc>
          <w:tcPr>
            <w:tcW w:w="900" w:type="dxa"/>
          </w:tcPr>
          <w:p w14:paraId="0DFDCC0F" w14:textId="77777777" w:rsidR="00046465" w:rsidRDefault="00046465">
            <w:pPr>
              <w:pStyle w:val="TableParagraph"/>
              <w:rPr>
                <w:rFonts w:ascii="Times New Roman"/>
                <w:sz w:val="16"/>
              </w:rPr>
            </w:pPr>
          </w:p>
        </w:tc>
        <w:tc>
          <w:tcPr>
            <w:tcW w:w="630" w:type="dxa"/>
          </w:tcPr>
          <w:p w14:paraId="0DFDCC10" w14:textId="77777777" w:rsidR="00046465" w:rsidRDefault="00046465">
            <w:pPr>
              <w:pStyle w:val="TableParagraph"/>
              <w:rPr>
                <w:rFonts w:ascii="Times New Roman"/>
                <w:sz w:val="16"/>
              </w:rPr>
            </w:pPr>
          </w:p>
        </w:tc>
        <w:tc>
          <w:tcPr>
            <w:tcW w:w="1800" w:type="dxa"/>
          </w:tcPr>
          <w:p w14:paraId="0DFDCC11" w14:textId="77777777" w:rsidR="00046465" w:rsidRDefault="00046465">
            <w:pPr>
              <w:pStyle w:val="TableParagraph"/>
              <w:rPr>
                <w:rFonts w:ascii="Times New Roman"/>
                <w:sz w:val="16"/>
              </w:rPr>
            </w:pPr>
          </w:p>
        </w:tc>
        <w:tc>
          <w:tcPr>
            <w:tcW w:w="540" w:type="dxa"/>
          </w:tcPr>
          <w:p w14:paraId="0DFDCC12" w14:textId="77777777" w:rsidR="00046465" w:rsidRDefault="00046465">
            <w:pPr>
              <w:pStyle w:val="TableParagraph"/>
              <w:rPr>
                <w:rFonts w:ascii="Times New Roman"/>
                <w:sz w:val="16"/>
              </w:rPr>
            </w:pPr>
          </w:p>
        </w:tc>
        <w:tc>
          <w:tcPr>
            <w:tcW w:w="1440" w:type="dxa"/>
          </w:tcPr>
          <w:p w14:paraId="0DFDCC13" w14:textId="77777777" w:rsidR="00046465" w:rsidRDefault="00046465">
            <w:pPr>
              <w:pStyle w:val="TableParagraph"/>
              <w:rPr>
                <w:rFonts w:ascii="Times New Roman"/>
                <w:sz w:val="16"/>
              </w:rPr>
            </w:pPr>
          </w:p>
        </w:tc>
        <w:tc>
          <w:tcPr>
            <w:tcW w:w="630" w:type="dxa"/>
          </w:tcPr>
          <w:p w14:paraId="0DFDCC14" w14:textId="77777777" w:rsidR="00046465" w:rsidRDefault="00046465">
            <w:pPr>
              <w:pStyle w:val="TableParagraph"/>
              <w:rPr>
                <w:rFonts w:ascii="Times New Roman"/>
                <w:sz w:val="16"/>
              </w:rPr>
            </w:pPr>
          </w:p>
        </w:tc>
      </w:tr>
      <w:tr w:rsidR="00046465" w14:paraId="0DFDCC17" w14:textId="77777777">
        <w:trPr>
          <w:trHeight w:val="299"/>
        </w:trPr>
        <w:tc>
          <w:tcPr>
            <w:tcW w:w="21962" w:type="dxa"/>
            <w:gridSpan w:val="24"/>
            <w:shd w:val="clear" w:color="auto" w:fill="D9D9D9"/>
          </w:tcPr>
          <w:p w14:paraId="0DFDCC16" w14:textId="77777777" w:rsidR="00046465" w:rsidRDefault="008134EB">
            <w:pPr>
              <w:pStyle w:val="TableParagraph"/>
              <w:spacing w:line="206" w:lineRule="exact"/>
              <w:ind w:left="115"/>
              <w:rPr>
                <w:b/>
                <w:sz w:val="18"/>
              </w:rPr>
            </w:pPr>
            <w:r>
              <w:rPr>
                <w:b/>
                <w:sz w:val="18"/>
              </w:rPr>
              <w:t>Unasserted</w:t>
            </w:r>
            <w:r>
              <w:rPr>
                <w:b/>
                <w:spacing w:val="-4"/>
                <w:sz w:val="18"/>
              </w:rPr>
              <w:t xml:space="preserve"> </w:t>
            </w:r>
            <w:r>
              <w:rPr>
                <w:b/>
                <w:sz w:val="18"/>
              </w:rPr>
              <w:t>Claims</w:t>
            </w:r>
            <w:r>
              <w:rPr>
                <w:b/>
                <w:spacing w:val="-3"/>
                <w:sz w:val="18"/>
              </w:rPr>
              <w:t xml:space="preserve"> </w:t>
            </w:r>
            <w:r>
              <w:rPr>
                <w:b/>
                <w:sz w:val="18"/>
              </w:rPr>
              <w:t>and</w:t>
            </w:r>
            <w:r>
              <w:rPr>
                <w:b/>
                <w:spacing w:val="-3"/>
                <w:sz w:val="18"/>
              </w:rPr>
              <w:t xml:space="preserve"> </w:t>
            </w:r>
            <w:r>
              <w:rPr>
                <w:b/>
                <w:spacing w:val="-2"/>
                <w:sz w:val="18"/>
              </w:rPr>
              <w:t>Assessments</w:t>
            </w:r>
          </w:p>
        </w:tc>
      </w:tr>
      <w:tr w:rsidR="00046465" w14:paraId="0DFDCC30" w14:textId="77777777">
        <w:trPr>
          <w:trHeight w:val="300"/>
        </w:trPr>
        <w:tc>
          <w:tcPr>
            <w:tcW w:w="1075" w:type="dxa"/>
          </w:tcPr>
          <w:p w14:paraId="0DFDCC18" w14:textId="77777777" w:rsidR="00046465" w:rsidRDefault="008134EB">
            <w:pPr>
              <w:pStyle w:val="TableParagraph"/>
              <w:spacing w:before="92" w:line="188" w:lineRule="exact"/>
              <w:ind w:right="104"/>
              <w:jc w:val="right"/>
              <w:rPr>
                <w:sz w:val="18"/>
              </w:rPr>
            </w:pPr>
            <w:r>
              <w:rPr>
                <w:spacing w:val="-5"/>
                <w:sz w:val="18"/>
              </w:rPr>
              <w:t>13</w:t>
            </w:r>
          </w:p>
        </w:tc>
        <w:tc>
          <w:tcPr>
            <w:tcW w:w="637" w:type="dxa"/>
          </w:tcPr>
          <w:p w14:paraId="0DFDCC19" w14:textId="77777777" w:rsidR="00046465" w:rsidRDefault="00046465">
            <w:pPr>
              <w:pStyle w:val="TableParagraph"/>
              <w:rPr>
                <w:rFonts w:ascii="Times New Roman"/>
                <w:sz w:val="16"/>
              </w:rPr>
            </w:pPr>
          </w:p>
        </w:tc>
        <w:tc>
          <w:tcPr>
            <w:tcW w:w="720" w:type="dxa"/>
          </w:tcPr>
          <w:p w14:paraId="0DFDCC1A" w14:textId="77777777" w:rsidR="00046465" w:rsidRDefault="00046465">
            <w:pPr>
              <w:pStyle w:val="TableParagraph"/>
              <w:rPr>
                <w:rFonts w:ascii="Times New Roman"/>
                <w:sz w:val="16"/>
              </w:rPr>
            </w:pPr>
          </w:p>
        </w:tc>
        <w:tc>
          <w:tcPr>
            <w:tcW w:w="720" w:type="dxa"/>
          </w:tcPr>
          <w:p w14:paraId="0DFDCC1B" w14:textId="77777777" w:rsidR="00046465" w:rsidRDefault="00046465">
            <w:pPr>
              <w:pStyle w:val="TableParagraph"/>
              <w:rPr>
                <w:rFonts w:ascii="Times New Roman"/>
                <w:sz w:val="16"/>
              </w:rPr>
            </w:pPr>
          </w:p>
        </w:tc>
        <w:tc>
          <w:tcPr>
            <w:tcW w:w="720" w:type="dxa"/>
          </w:tcPr>
          <w:p w14:paraId="0DFDCC1C" w14:textId="77777777" w:rsidR="00046465" w:rsidRDefault="00046465">
            <w:pPr>
              <w:pStyle w:val="TableParagraph"/>
              <w:rPr>
                <w:rFonts w:ascii="Times New Roman"/>
                <w:sz w:val="16"/>
              </w:rPr>
            </w:pPr>
          </w:p>
        </w:tc>
        <w:tc>
          <w:tcPr>
            <w:tcW w:w="720" w:type="dxa"/>
          </w:tcPr>
          <w:p w14:paraId="0DFDCC1D" w14:textId="77777777" w:rsidR="00046465" w:rsidRDefault="00046465">
            <w:pPr>
              <w:pStyle w:val="TableParagraph"/>
              <w:rPr>
                <w:rFonts w:ascii="Times New Roman"/>
                <w:sz w:val="16"/>
              </w:rPr>
            </w:pPr>
          </w:p>
        </w:tc>
        <w:tc>
          <w:tcPr>
            <w:tcW w:w="1080" w:type="dxa"/>
          </w:tcPr>
          <w:p w14:paraId="0DFDCC1E" w14:textId="77777777" w:rsidR="00046465" w:rsidRDefault="00046465">
            <w:pPr>
              <w:pStyle w:val="TableParagraph"/>
              <w:rPr>
                <w:rFonts w:ascii="Times New Roman"/>
                <w:sz w:val="16"/>
              </w:rPr>
            </w:pPr>
          </w:p>
        </w:tc>
        <w:tc>
          <w:tcPr>
            <w:tcW w:w="630" w:type="dxa"/>
          </w:tcPr>
          <w:p w14:paraId="0DFDCC1F" w14:textId="77777777" w:rsidR="00046465" w:rsidRDefault="00046465">
            <w:pPr>
              <w:pStyle w:val="TableParagraph"/>
              <w:rPr>
                <w:rFonts w:ascii="Times New Roman"/>
                <w:sz w:val="16"/>
              </w:rPr>
            </w:pPr>
          </w:p>
        </w:tc>
        <w:tc>
          <w:tcPr>
            <w:tcW w:w="720" w:type="dxa"/>
          </w:tcPr>
          <w:p w14:paraId="0DFDCC20" w14:textId="77777777" w:rsidR="00046465" w:rsidRDefault="00046465">
            <w:pPr>
              <w:pStyle w:val="TableParagraph"/>
              <w:rPr>
                <w:rFonts w:ascii="Times New Roman"/>
                <w:sz w:val="16"/>
              </w:rPr>
            </w:pPr>
          </w:p>
        </w:tc>
        <w:tc>
          <w:tcPr>
            <w:tcW w:w="900" w:type="dxa"/>
          </w:tcPr>
          <w:p w14:paraId="0DFDCC21" w14:textId="77777777" w:rsidR="00046465" w:rsidRDefault="00046465">
            <w:pPr>
              <w:pStyle w:val="TableParagraph"/>
              <w:rPr>
                <w:rFonts w:ascii="Times New Roman"/>
                <w:sz w:val="16"/>
              </w:rPr>
            </w:pPr>
          </w:p>
        </w:tc>
        <w:tc>
          <w:tcPr>
            <w:tcW w:w="900" w:type="dxa"/>
          </w:tcPr>
          <w:p w14:paraId="0DFDCC22" w14:textId="77777777" w:rsidR="00046465" w:rsidRDefault="00046465">
            <w:pPr>
              <w:pStyle w:val="TableParagraph"/>
              <w:rPr>
                <w:rFonts w:ascii="Times New Roman"/>
                <w:sz w:val="16"/>
              </w:rPr>
            </w:pPr>
          </w:p>
        </w:tc>
        <w:tc>
          <w:tcPr>
            <w:tcW w:w="1080" w:type="dxa"/>
          </w:tcPr>
          <w:p w14:paraId="0DFDCC23" w14:textId="77777777" w:rsidR="00046465" w:rsidRDefault="00046465">
            <w:pPr>
              <w:pStyle w:val="TableParagraph"/>
              <w:rPr>
                <w:rFonts w:ascii="Times New Roman"/>
                <w:sz w:val="16"/>
              </w:rPr>
            </w:pPr>
          </w:p>
        </w:tc>
        <w:tc>
          <w:tcPr>
            <w:tcW w:w="540" w:type="dxa"/>
          </w:tcPr>
          <w:p w14:paraId="0DFDCC24" w14:textId="77777777" w:rsidR="00046465" w:rsidRDefault="00046465">
            <w:pPr>
              <w:pStyle w:val="TableParagraph"/>
              <w:rPr>
                <w:rFonts w:ascii="Times New Roman"/>
                <w:sz w:val="16"/>
              </w:rPr>
            </w:pPr>
          </w:p>
        </w:tc>
        <w:tc>
          <w:tcPr>
            <w:tcW w:w="630" w:type="dxa"/>
          </w:tcPr>
          <w:p w14:paraId="0DFDCC25" w14:textId="77777777" w:rsidR="00046465" w:rsidRDefault="00046465">
            <w:pPr>
              <w:pStyle w:val="TableParagraph"/>
              <w:rPr>
                <w:rFonts w:ascii="Times New Roman"/>
                <w:sz w:val="16"/>
              </w:rPr>
            </w:pPr>
          </w:p>
        </w:tc>
        <w:tc>
          <w:tcPr>
            <w:tcW w:w="630" w:type="dxa"/>
          </w:tcPr>
          <w:p w14:paraId="0DFDCC26" w14:textId="77777777" w:rsidR="00046465" w:rsidRDefault="00046465">
            <w:pPr>
              <w:pStyle w:val="TableParagraph"/>
              <w:rPr>
                <w:rFonts w:ascii="Times New Roman"/>
                <w:sz w:val="16"/>
              </w:rPr>
            </w:pPr>
          </w:p>
        </w:tc>
        <w:tc>
          <w:tcPr>
            <w:tcW w:w="1170" w:type="dxa"/>
          </w:tcPr>
          <w:p w14:paraId="0DFDCC27" w14:textId="77777777" w:rsidR="00046465" w:rsidRDefault="00046465">
            <w:pPr>
              <w:pStyle w:val="TableParagraph"/>
              <w:rPr>
                <w:rFonts w:ascii="Times New Roman"/>
                <w:sz w:val="16"/>
              </w:rPr>
            </w:pPr>
          </w:p>
        </w:tc>
        <w:tc>
          <w:tcPr>
            <w:tcW w:w="1260" w:type="dxa"/>
          </w:tcPr>
          <w:p w14:paraId="0DFDCC28" w14:textId="77777777" w:rsidR="00046465" w:rsidRDefault="00046465">
            <w:pPr>
              <w:pStyle w:val="TableParagraph"/>
              <w:rPr>
                <w:rFonts w:ascii="Times New Roman"/>
                <w:sz w:val="16"/>
              </w:rPr>
            </w:pPr>
          </w:p>
        </w:tc>
        <w:tc>
          <w:tcPr>
            <w:tcW w:w="1890" w:type="dxa"/>
          </w:tcPr>
          <w:p w14:paraId="0DFDCC29" w14:textId="77777777" w:rsidR="00046465" w:rsidRDefault="00046465">
            <w:pPr>
              <w:pStyle w:val="TableParagraph"/>
              <w:rPr>
                <w:rFonts w:ascii="Times New Roman"/>
                <w:sz w:val="16"/>
              </w:rPr>
            </w:pPr>
          </w:p>
        </w:tc>
        <w:tc>
          <w:tcPr>
            <w:tcW w:w="900" w:type="dxa"/>
          </w:tcPr>
          <w:p w14:paraId="0DFDCC2A" w14:textId="77777777" w:rsidR="00046465" w:rsidRDefault="00046465">
            <w:pPr>
              <w:pStyle w:val="TableParagraph"/>
              <w:rPr>
                <w:rFonts w:ascii="Times New Roman"/>
                <w:sz w:val="16"/>
              </w:rPr>
            </w:pPr>
          </w:p>
        </w:tc>
        <w:tc>
          <w:tcPr>
            <w:tcW w:w="630" w:type="dxa"/>
          </w:tcPr>
          <w:p w14:paraId="0DFDCC2B" w14:textId="77777777" w:rsidR="00046465" w:rsidRDefault="00046465">
            <w:pPr>
              <w:pStyle w:val="TableParagraph"/>
              <w:rPr>
                <w:rFonts w:ascii="Times New Roman"/>
                <w:sz w:val="16"/>
              </w:rPr>
            </w:pPr>
          </w:p>
        </w:tc>
        <w:tc>
          <w:tcPr>
            <w:tcW w:w="1800" w:type="dxa"/>
          </w:tcPr>
          <w:p w14:paraId="0DFDCC2C" w14:textId="77777777" w:rsidR="00046465" w:rsidRDefault="00046465">
            <w:pPr>
              <w:pStyle w:val="TableParagraph"/>
              <w:rPr>
                <w:rFonts w:ascii="Times New Roman"/>
                <w:sz w:val="16"/>
              </w:rPr>
            </w:pPr>
          </w:p>
        </w:tc>
        <w:tc>
          <w:tcPr>
            <w:tcW w:w="540" w:type="dxa"/>
          </w:tcPr>
          <w:p w14:paraId="0DFDCC2D" w14:textId="77777777" w:rsidR="00046465" w:rsidRDefault="00046465">
            <w:pPr>
              <w:pStyle w:val="TableParagraph"/>
              <w:rPr>
                <w:rFonts w:ascii="Times New Roman"/>
                <w:sz w:val="16"/>
              </w:rPr>
            </w:pPr>
          </w:p>
        </w:tc>
        <w:tc>
          <w:tcPr>
            <w:tcW w:w="1440" w:type="dxa"/>
          </w:tcPr>
          <w:p w14:paraId="0DFDCC2E" w14:textId="77777777" w:rsidR="00046465" w:rsidRDefault="00046465">
            <w:pPr>
              <w:pStyle w:val="TableParagraph"/>
              <w:rPr>
                <w:rFonts w:ascii="Times New Roman"/>
                <w:sz w:val="16"/>
              </w:rPr>
            </w:pPr>
          </w:p>
        </w:tc>
        <w:tc>
          <w:tcPr>
            <w:tcW w:w="630" w:type="dxa"/>
          </w:tcPr>
          <w:p w14:paraId="0DFDCC2F" w14:textId="77777777" w:rsidR="00046465" w:rsidRDefault="00046465">
            <w:pPr>
              <w:pStyle w:val="TableParagraph"/>
              <w:rPr>
                <w:rFonts w:ascii="Times New Roman"/>
                <w:sz w:val="16"/>
              </w:rPr>
            </w:pPr>
          </w:p>
        </w:tc>
      </w:tr>
      <w:tr w:rsidR="00046465" w14:paraId="0DFDCC49" w14:textId="77777777">
        <w:trPr>
          <w:trHeight w:val="299"/>
        </w:trPr>
        <w:tc>
          <w:tcPr>
            <w:tcW w:w="1075" w:type="dxa"/>
          </w:tcPr>
          <w:p w14:paraId="0DFDCC31" w14:textId="77777777" w:rsidR="00046465" w:rsidRDefault="008134EB">
            <w:pPr>
              <w:pStyle w:val="TableParagraph"/>
              <w:spacing w:before="91" w:line="188" w:lineRule="exact"/>
              <w:ind w:right="104"/>
              <w:jc w:val="right"/>
              <w:rPr>
                <w:sz w:val="18"/>
              </w:rPr>
            </w:pPr>
            <w:r>
              <w:rPr>
                <w:spacing w:val="-5"/>
                <w:sz w:val="18"/>
              </w:rPr>
              <w:t>14</w:t>
            </w:r>
          </w:p>
        </w:tc>
        <w:tc>
          <w:tcPr>
            <w:tcW w:w="637" w:type="dxa"/>
          </w:tcPr>
          <w:p w14:paraId="0DFDCC32" w14:textId="77777777" w:rsidR="00046465" w:rsidRDefault="00046465">
            <w:pPr>
              <w:pStyle w:val="TableParagraph"/>
              <w:rPr>
                <w:rFonts w:ascii="Times New Roman"/>
                <w:sz w:val="16"/>
              </w:rPr>
            </w:pPr>
          </w:p>
        </w:tc>
        <w:tc>
          <w:tcPr>
            <w:tcW w:w="720" w:type="dxa"/>
          </w:tcPr>
          <w:p w14:paraId="0DFDCC33" w14:textId="77777777" w:rsidR="00046465" w:rsidRDefault="00046465">
            <w:pPr>
              <w:pStyle w:val="TableParagraph"/>
              <w:rPr>
                <w:rFonts w:ascii="Times New Roman"/>
                <w:sz w:val="16"/>
              </w:rPr>
            </w:pPr>
          </w:p>
        </w:tc>
        <w:tc>
          <w:tcPr>
            <w:tcW w:w="720" w:type="dxa"/>
          </w:tcPr>
          <w:p w14:paraId="0DFDCC34" w14:textId="77777777" w:rsidR="00046465" w:rsidRDefault="00046465">
            <w:pPr>
              <w:pStyle w:val="TableParagraph"/>
              <w:rPr>
                <w:rFonts w:ascii="Times New Roman"/>
                <w:sz w:val="16"/>
              </w:rPr>
            </w:pPr>
          </w:p>
        </w:tc>
        <w:tc>
          <w:tcPr>
            <w:tcW w:w="720" w:type="dxa"/>
          </w:tcPr>
          <w:p w14:paraId="0DFDCC35" w14:textId="77777777" w:rsidR="00046465" w:rsidRDefault="00046465">
            <w:pPr>
              <w:pStyle w:val="TableParagraph"/>
              <w:rPr>
                <w:rFonts w:ascii="Times New Roman"/>
                <w:sz w:val="16"/>
              </w:rPr>
            </w:pPr>
          </w:p>
        </w:tc>
        <w:tc>
          <w:tcPr>
            <w:tcW w:w="720" w:type="dxa"/>
          </w:tcPr>
          <w:p w14:paraId="0DFDCC36" w14:textId="77777777" w:rsidR="00046465" w:rsidRDefault="00046465">
            <w:pPr>
              <w:pStyle w:val="TableParagraph"/>
              <w:rPr>
                <w:rFonts w:ascii="Times New Roman"/>
                <w:sz w:val="16"/>
              </w:rPr>
            </w:pPr>
          </w:p>
        </w:tc>
        <w:tc>
          <w:tcPr>
            <w:tcW w:w="1080" w:type="dxa"/>
          </w:tcPr>
          <w:p w14:paraId="0DFDCC37" w14:textId="77777777" w:rsidR="00046465" w:rsidRDefault="00046465">
            <w:pPr>
              <w:pStyle w:val="TableParagraph"/>
              <w:rPr>
                <w:rFonts w:ascii="Times New Roman"/>
                <w:sz w:val="16"/>
              </w:rPr>
            </w:pPr>
          </w:p>
        </w:tc>
        <w:tc>
          <w:tcPr>
            <w:tcW w:w="630" w:type="dxa"/>
          </w:tcPr>
          <w:p w14:paraId="0DFDCC38" w14:textId="77777777" w:rsidR="00046465" w:rsidRDefault="00046465">
            <w:pPr>
              <w:pStyle w:val="TableParagraph"/>
              <w:rPr>
                <w:rFonts w:ascii="Times New Roman"/>
                <w:sz w:val="16"/>
              </w:rPr>
            </w:pPr>
          </w:p>
        </w:tc>
        <w:tc>
          <w:tcPr>
            <w:tcW w:w="720" w:type="dxa"/>
          </w:tcPr>
          <w:p w14:paraId="0DFDCC39" w14:textId="77777777" w:rsidR="00046465" w:rsidRDefault="00046465">
            <w:pPr>
              <w:pStyle w:val="TableParagraph"/>
              <w:rPr>
                <w:rFonts w:ascii="Times New Roman"/>
                <w:sz w:val="16"/>
              </w:rPr>
            </w:pPr>
          </w:p>
        </w:tc>
        <w:tc>
          <w:tcPr>
            <w:tcW w:w="900" w:type="dxa"/>
          </w:tcPr>
          <w:p w14:paraId="0DFDCC3A" w14:textId="77777777" w:rsidR="00046465" w:rsidRDefault="00046465">
            <w:pPr>
              <w:pStyle w:val="TableParagraph"/>
              <w:rPr>
                <w:rFonts w:ascii="Times New Roman"/>
                <w:sz w:val="16"/>
              </w:rPr>
            </w:pPr>
          </w:p>
        </w:tc>
        <w:tc>
          <w:tcPr>
            <w:tcW w:w="900" w:type="dxa"/>
          </w:tcPr>
          <w:p w14:paraId="0DFDCC3B" w14:textId="77777777" w:rsidR="00046465" w:rsidRDefault="00046465">
            <w:pPr>
              <w:pStyle w:val="TableParagraph"/>
              <w:rPr>
                <w:rFonts w:ascii="Times New Roman"/>
                <w:sz w:val="16"/>
              </w:rPr>
            </w:pPr>
          </w:p>
        </w:tc>
        <w:tc>
          <w:tcPr>
            <w:tcW w:w="1080" w:type="dxa"/>
          </w:tcPr>
          <w:p w14:paraId="0DFDCC3C" w14:textId="77777777" w:rsidR="00046465" w:rsidRDefault="00046465">
            <w:pPr>
              <w:pStyle w:val="TableParagraph"/>
              <w:rPr>
                <w:rFonts w:ascii="Times New Roman"/>
                <w:sz w:val="16"/>
              </w:rPr>
            </w:pPr>
          </w:p>
        </w:tc>
        <w:tc>
          <w:tcPr>
            <w:tcW w:w="540" w:type="dxa"/>
          </w:tcPr>
          <w:p w14:paraId="0DFDCC3D" w14:textId="77777777" w:rsidR="00046465" w:rsidRDefault="00046465">
            <w:pPr>
              <w:pStyle w:val="TableParagraph"/>
              <w:rPr>
                <w:rFonts w:ascii="Times New Roman"/>
                <w:sz w:val="16"/>
              </w:rPr>
            </w:pPr>
          </w:p>
        </w:tc>
        <w:tc>
          <w:tcPr>
            <w:tcW w:w="630" w:type="dxa"/>
          </w:tcPr>
          <w:p w14:paraId="0DFDCC3E" w14:textId="77777777" w:rsidR="00046465" w:rsidRDefault="00046465">
            <w:pPr>
              <w:pStyle w:val="TableParagraph"/>
              <w:rPr>
                <w:rFonts w:ascii="Times New Roman"/>
                <w:sz w:val="16"/>
              </w:rPr>
            </w:pPr>
          </w:p>
        </w:tc>
        <w:tc>
          <w:tcPr>
            <w:tcW w:w="630" w:type="dxa"/>
          </w:tcPr>
          <w:p w14:paraId="0DFDCC3F" w14:textId="77777777" w:rsidR="00046465" w:rsidRDefault="00046465">
            <w:pPr>
              <w:pStyle w:val="TableParagraph"/>
              <w:rPr>
                <w:rFonts w:ascii="Times New Roman"/>
                <w:sz w:val="16"/>
              </w:rPr>
            </w:pPr>
          </w:p>
        </w:tc>
        <w:tc>
          <w:tcPr>
            <w:tcW w:w="1170" w:type="dxa"/>
          </w:tcPr>
          <w:p w14:paraId="0DFDCC40" w14:textId="77777777" w:rsidR="00046465" w:rsidRDefault="00046465">
            <w:pPr>
              <w:pStyle w:val="TableParagraph"/>
              <w:rPr>
                <w:rFonts w:ascii="Times New Roman"/>
                <w:sz w:val="16"/>
              </w:rPr>
            </w:pPr>
          </w:p>
        </w:tc>
        <w:tc>
          <w:tcPr>
            <w:tcW w:w="1260" w:type="dxa"/>
          </w:tcPr>
          <w:p w14:paraId="0DFDCC41" w14:textId="77777777" w:rsidR="00046465" w:rsidRDefault="00046465">
            <w:pPr>
              <w:pStyle w:val="TableParagraph"/>
              <w:rPr>
                <w:rFonts w:ascii="Times New Roman"/>
                <w:sz w:val="16"/>
              </w:rPr>
            </w:pPr>
          </w:p>
        </w:tc>
        <w:tc>
          <w:tcPr>
            <w:tcW w:w="1890" w:type="dxa"/>
          </w:tcPr>
          <w:p w14:paraId="0DFDCC42" w14:textId="77777777" w:rsidR="00046465" w:rsidRDefault="00046465">
            <w:pPr>
              <w:pStyle w:val="TableParagraph"/>
              <w:rPr>
                <w:rFonts w:ascii="Times New Roman"/>
                <w:sz w:val="16"/>
              </w:rPr>
            </w:pPr>
          </w:p>
        </w:tc>
        <w:tc>
          <w:tcPr>
            <w:tcW w:w="900" w:type="dxa"/>
          </w:tcPr>
          <w:p w14:paraId="0DFDCC43" w14:textId="77777777" w:rsidR="00046465" w:rsidRDefault="00046465">
            <w:pPr>
              <w:pStyle w:val="TableParagraph"/>
              <w:rPr>
                <w:rFonts w:ascii="Times New Roman"/>
                <w:sz w:val="16"/>
              </w:rPr>
            </w:pPr>
          </w:p>
        </w:tc>
        <w:tc>
          <w:tcPr>
            <w:tcW w:w="630" w:type="dxa"/>
          </w:tcPr>
          <w:p w14:paraId="0DFDCC44" w14:textId="77777777" w:rsidR="00046465" w:rsidRDefault="00046465">
            <w:pPr>
              <w:pStyle w:val="TableParagraph"/>
              <w:rPr>
                <w:rFonts w:ascii="Times New Roman"/>
                <w:sz w:val="16"/>
              </w:rPr>
            </w:pPr>
          </w:p>
        </w:tc>
        <w:tc>
          <w:tcPr>
            <w:tcW w:w="1800" w:type="dxa"/>
          </w:tcPr>
          <w:p w14:paraId="0DFDCC45" w14:textId="77777777" w:rsidR="00046465" w:rsidRDefault="00046465">
            <w:pPr>
              <w:pStyle w:val="TableParagraph"/>
              <w:rPr>
                <w:rFonts w:ascii="Times New Roman"/>
                <w:sz w:val="16"/>
              </w:rPr>
            </w:pPr>
          </w:p>
        </w:tc>
        <w:tc>
          <w:tcPr>
            <w:tcW w:w="540" w:type="dxa"/>
          </w:tcPr>
          <w:p w14:paraId="0DFDCC46" w14:textId="77777777" w:rsidR="00046465" w:rsidRDefault="00046465">
            <w:pPr>
              <w:pStyle w:val="TableParagraph"/>
              <w:rPr>
                <w:rFonts w:ascii="Times New Roman"/>
                <w:sz w:val="16"/>
              </w:rPr>
            </w:pPr>
          </w:p>
        </w:tc>
        <w:tc>
          <w:tcPr>
            <w:tcW w:w="1440" w:type="dxa"/>
          </w:tcPr>
          <w:p w14:paraId="0DFDCC47" w14:textId="77777777" w:rsidR="00046465" w:rsidRDefault="00046465">
            <w:pPr>
              <w:pStyle w:val="TableParagraph"/>
              <w:rPr>
                <w:rFonts w:ascii="Times New Roman"/>
                <w:sz w:val="16"/>
              </w:rPr>
            </w:pPr>
          </w:p>
        </w:tc>
        <w:tc>
          <w:tcPr>
            <w:tcW w:w="630" w:type="dxa"/>
          </w:tcPr>
          <w:p w14:paraId="0DFDCC48" w14:textId="77777777" w:rsidR="00046465" w:rsidRDefault="00046465">
            <w:pPr>
              <w:pStyle w:val="TableParagraph"/>
              <w:rPr>
                <w:rFonts w:ascii="Times New Roman"/>
                <w:sz w:val="16"/>
              </w:rPr>
            </w:pPr>
          </w:p>
        </w:tc>
      </w:tr>
      <w:tr w:rsidR="00046465" w14:paraId="0DFDCC62" w14:textId="77777777">
        <w:trPr>
          <w:trHeight w:val="300"/>
        </w:trPr>
        <w:tc>
          <w:tcPr>
            <w:tcW w:w="1075" w:type="dxa"/>
          </w:tcPr>
          <w:p w14:paraId="0DFDCC4A" w14:textId="77777777" w:rsidR="00046465" w:rsidRDefault="008134EB">
            <w:pPr>
              <w:pStyle w:val="TableParagraph"/>
              <w:spacing w:before="92" w:line="188" w:lineRule="exact"/>
              <w:ind w:right="104"/>
              <w:jc w:val="right"/>
              <w:rPr>
                <w:sz w:val="18"/>
              </w:rPr>
            </w:pPr>
            <w:r>
              <w:rPr>
                <w:spacing w:val="-5"/>
                <w:sz w:val="18"/>
              </w:rPr>
              <w:t>15</w:t>
            </w:r>
          </w:p>
        </w:tc>
        <w:tc>
          <w:tcPr>
            <w:tcW w:w="637" w:type="dxa"/>
          </w:tcPr>
          <w:p w14:paraId="0DFDCC4B" w14:textId="77777777" w:rsidR="00046465" w:rsidRDefault="00046465">
            <w:pPr>
              <w:pStyle w:val="TableParagraph"/>
              <w:rPr>
                <w:rFonts w:ascii="Times New Roman"/>
                <w:sz w:val="16"/>
              </w:rPr>
            </w:pPr>
          </w:p>
        </w:tc>
        <w:tc>
          <w:tcPr>
            <w:tcW w:w="720" w:type="dxa"/>
          </w:tcPr>
          <w:p w14:paraId="0DFDCC4C" w14:textId="77777777" w:rsidR="00046465" w:rsidRDefault="00046465">
            <w:pPr>
              <w:pStyle w:val="TableParagraph"/>
              <w:rPr>
                <w:rFonts w:ascii="Times New Roman"/>
                <w:sz w:val="16"/>
              </w:rPr>
            </w:pPr>
          </w:p>
        </w:tc>
        <w:tc>
          <w:tcPr>
            <w:tcW w:w="720" w:type="dxa"/>
          </w:tcPr>
          <w:p w14:paraId="0DFDCC4D" w14:textId="77777777" w:rsidR="00046465" w:rsidRDefault="00046465">
            <w:pPr>
              <w:pStyle w:val="TableParagraph"/>
              <w:rPr>
                <w:rFonts w:ascii="Times New Roman"/>
                <w:sz w:val="16"/>
              </w:rPr>
            </w:pPr>
          </w:p>
        </w:tc>
        <w:tc>
          <w:tcPr>
            <w:tcW w:w="720" w:type="dxa"/>
          </w:tcPr>
          <w:p w14:paraId="0DFDCC4E" w14:textId="77777777" w:rsidR="00046465" w:rsidRDefault="00046465">
            <w:pPr>
              <w:pStyle w:val="TableParagraph"/>
              <w:rPr>
                <w:rFonts w:ascii="Times New Roman"/>
                <w:sz w:val="16"/>
              </w:rPr>
            </w:pPr>
          </w:p>
        </w:tc>
        <w:tc>
          <w:tcPr>
            <w:tcW w:w="720" w:type="dxa"/>
          </w:tcPr>
          <w:p w14:paraId="0DFDCC4F" w14:textId="77777777" w:rsidR="00046465" w:rsidRDefault="00046465">
            <w:pPr>
              <w:pStyle w:val="TableParagraph"/>
              <w:rPr>
                <w:rFonts w:ascii="Times New Roman"/>
                <w:sz w:val="16"/>
              </w:rPr>
            </w:pPr>
          </w:p>
        </w:tc>
        <w:tc>
          <w:tcPr>
            <w:tcW w:w="1080" w:type="dxa"/>
          </w:tcPr>
          <w:p w14:paraId="0DFDCC50" w14:textId="77777777" w:rsidR="00046465" w:rsidRDefault="00046465">
            <w:pPr>
              <w:pStyle w:val="TableParagraph"/>
              <w:rPr>
                <w:rFonts w:ascii="Times New Roman"/>
                <w:sz w:val="16"/>
              </w:rPr>
            </w:pPr>
          </w:p>
        </w:tc>
        <w:tc>
          <w:tcPr>
            <w:tcW w:w="630" w:type="dxa"/>
          </w:tcPr>
          <w:p w14:paraId="0DFDCC51" w14:textId="77777777" w:rsidR="00046465" w:rsidRDefault="00046465">
            <w:pPr>
              <w:pStyle w:val="TableParagraph"/>
              <w:rPr>
                <w:rFonts w:ascii="Times New Roman"/>
                <w:sz w:val="16"/>
              </w:rPr>
            </w:pPr>
          </w:p>
        </w:tc>
        <w:tc>
          <w:tcPr>
            <w:tcW w:w="720" w:type="dxa"/>
          </w:tcPr>
          <w:p w14:paraId="0DFDCC52" w14:textId="77777777" w:rsidR="00046465" w:rsidRDefault="00046465">
            <w:pPr>
              <w:pStyle w:val="TableParagraph"/>
              <w:rPr>
                <w:rFonts w:ascii="Times New Roman"/>
                <w:sz w:val="16"/>
              </w:rPr>
            </w:pPr>
          </w:p>
        </w:tc>
        <w:tc>
          <w:tcPr>
            <w:tcW w:w="900" w:type="dxa"/>
          </w:tcPr>
          <w:p w14:paraId="0DFDCC53" w14:textId="77777777" w:rsidR="00046465" w:rsidRDefault="00046465">
            <w:pPr>
              <w:pStyle w:val="TableParagraph"/>
              <w:rPr>
                <w:rFonts w:ascii="Times New Roman"/>
                <w:sz w:val="16"/>
              </w:rPr>
            </w:pPr>
          </w:p>
        </w:tc>
        <w:tc>
          <w:tcPr>
            <w:tcW w:w="900" w:type="dxa"/>
          </w:tcPr>
          <w:p w14:paraId="0DFDCC54" w14:textId="77777777" w:rsidR="00046465" w:rsidRDefault="00046465">
            <w:pPr>
              <w:pStyle w:val="TableParagraph"/>
              <w:rPr>
                <w:rFonts w:ascii="Times New Roman"/>
                <w:sz w:val="16"/>
              </w:rPr>
            </w:pPr>
          </w:p>
        </w:tc>
        <w:tc>
          <w:tcPr>
            <w:tcW w:w="1080" w:type="dxa"/>
          </w:tcPr>
          <w:p w14:paraId="0DFDCC55" w14:textId="77777777" w:rsidR="00046465" w:rsidRDefault="00046465">
            <w:pPr>
              <w:pStyle w:val="TableParagraph"/>
              <w:rPr>
                <w:rFonts w:ascii="Times New Roman"/>
                <w:sz w:val="16"/>
              </w:rPr>
            </w:pPr>
          </w:p>
        </w:tc>
        <w:tc>
          <w:tcPr>
            <w:tcW w:w="540" w:type="dxa"/>
          </w:tcPr>
          <w:p w14:paraId="0DFDCC56" w14:textId="77777777" w:rsidR="00046465" w:rsidRDefault="00046465">
            <w:pPr>
              <w:pStyle w:val="TableParagraph"/>
              <w:rPr>
                <w:rFonts w:ascii="Times New Roman"/>
                <w:sz w:val="16"/>
              </w:rPr>
            </w:pPr>
          </w:p>
        </w:tc>
        <w:tc>
          <w:tcPr>
            <w:tcW w:w="630" w:type="dxa"/>
          </w:tcPr>
          <w:p w14:paraId="0DFDCC57" w14:textId="77777777" w:rsidR="00046465" w:rsidRDefault="00046465">
            <w:pPr>
              <w:pStyle w:val="TableParagraph"/>
              <w:rPr>
                <w:rFonts w:ascii="Times New Roman"/>
                <w:sz w:val="16"/>
              </w:rPr>
            </w:pPr>
          </w:p>
        </w:tc>
        <w:tc>
          <w:tcPr>
            <w:tcW w:w="630" w:type="dxa"/>
          </w:tcPr>
          <w:p w14:paraId="0DFDCC58" w14:textId="77777777" w:rsidR="00046465" w:rsidRDefault="00046465">
            <w:pPr>
              <w:pStyle w:val="TableParagraph"/>
              <w:rPr>
                <w:rFonts w:ascii="Times New Roman"/>
                <w:sz w:val="16"/>
              </w:rPr>
            </w:pPr>
          </w:p>
        </w:tc>
        <w:tc>
          <w:tcPr>
            <w:tcW w:w="1170" w:type="dxa"/>
          </w:tcPr>
          <w:p w14:paraId="0DFDCC59" w14:textId="77777777" w:rsidR="00046465" w:rsidRDefault="00046465">
            <w:pPr>
              <w:pStyle w:val="TableParagraph"/>
              <w:rPr>
                <w:rFonts w:ascii="Times New Roman"/>
                <w:sz w:val="16"/>
              </w:rPr>
            </w:pPr>
          </w:p>
        </w:tc>
        <w:tc>
          <w:tcPr>
            <w:tcW w:w="1260" w:type="dxa"/>
          </w:tcPr>
          <w:p w14:paraId="0DFDCC5A" w14:textId="77777777" w:rsidR="00046465" w:rsidRDefault="00046465">
            <w:pPr>
              <w:pStyle w:val="TableParagraph"/>
              <w:rPr>
                <w:rFonts w:ascii="Times New Roman"/>
                <w:sz w:val="16"/>
              </w:rPr>
            </w:pPr>
          </w:p>
        </w:tc>
        <w:tc>
          <w:tcPr>
            <w:tcW w:w="1890" w:type="dxa"/>
          </w:tcPr>
          <w:p w14:paraId="0DFDCC5B" w14:textId="77777777" w:rsidR="00046465" w:rsidRDefault="00046465">
            <w:pPr>
              <w:pStyle w:val="TableParagraph"/>
              <w:rPr>
                <w:rFonts w:ascii="Times New Roman"/>
                <w:sz w:val="16"/>
              </w:rPr>
            </w:pPr>
          </w:p>
        </w:tc>
        <w:tc>
          <w:tcPr>
            <w:tcW w:w="900" w:type="dxa"/>
          </w:tcPr>
          <w:p w14:paraId="0DFDCC5C" w14:textId="77777777" w:rsidR="00046465" w:rsidRDefault="00046465">
            <w:pPr>
              <w:pStyle w:val="TableParagraph"/>
              <w:rPr>
                <w:rFonts w:ascii="Times New Roman"/>
                <w:sz w:val="16"/>
              </w:rPr>
            </w:pPr>
          </w:p>
        </w:tc>
        <w:tc>
          <w:tcPr>
            <w:tcW w:w="630" w:type="dxa"/>
          </w:tcPr>
          <w:p w14:paraId="0DFDCC5D" w14:textId="77777777" w:rsidR="00046465" w:rsidRDefault="00046465">
            <w:pPr>
              <w:pStyle w:val="TableParagraph"/>
              <w:rPr>
                <w:rFonts w:ascii="Times New Roman"/>
                <w:sz w:val="16"/>
              </w:rPr>
            </w:pPr>
          </w:p>
        </w:tc>
        <w:tc>
          <w:tcPr>
            <w:tcW w:w="1800" w:type="dxa"/>
          </w:tcPr>
          <w:p w14:paraId="0DFDCC5E" w14:textId="77777777" w:rsidR="00046465" w:rsidRDefault="00046465">
            <w:pPr>
              <w:pStyle w:val="TableParagraph"/>
              <w:rPr>
                <w:rFonts w:ascii="Times New Roman"/>
                <w:sz w:val="16"/>
              </w:rPr>
            </w:pPr>
          </w:p>
        </w:tc>
        <w:tc>
          <w:tcPr>
            <w:tcW w:w="540" w:type="dxa"/>
          </w:tcPr>
          <w:p w14:paraId="0DFDCC5F" w14:textId="77777777" w:rsidR="00046465" w:rsidRDefault="00046465">
            <w:pPr>
              <w:pStyle w:val="TableParagraph"/>
              <w:rPr>
                <w:rFonts w:ascii="Times New Roman"/>
                <w:sz w:val="16"/>
              </w:rPr>
            </w:pPr>
          </w:p>
        </w:tc>
        <w:tc>
          <w:tcPr>
            <w:tcW w:w="1440" w:type="dxa"/>
          </w:tcPr>
          <w:p w14:paraId="0DFDCC60" w14:textId="77777777" w:rsidR="00046465" w:rsidRDefault="00046465">
            <w:pPr>
              <w:pStyle w:val="TableParagraph"/>
              <w:rPr>
                <w:rFonts w:ascii="Times New Roman"/>
                <w:sz w:val="16"/>
              </w:rPr>
            </w:pPr>
          </w:p>
        </w:tc>
        <w:tc>
          <w:tcPr>
            <w:tcW w:w="630" w:type="dxa"/>
          </w:tcPr>
          <w:p w14:paraId="0DFDCC61" w14:textId="77777777" w:rsidR="00046465" w:rsidRDefault="00046465">
            <w:pPr>
              <w:pStyle w:val="TableParagraph"/>
              <w:rPr>
                <w:rFonts w:ascii="Times New Roman"/>
                <w:sz w:val="16"/>
              </w:rPr>
            </w:pPr>
          </w:p>
        </w:tc>
      </w:tr>
    </w:tbl>
    <w:p w14:paraId="0DFDCC63" w14:textId="77777777" w:rsidR="00046465" w:rsidRDefault="008134EB">
      <w:pPr>
        <w:pStyle w:val="BodyText"/>
        <w:spacing w:before="54"/>
        <w:rPr>
          <w:sz w:val="20"/>
        </w:rPr>
      </w:pPr>
      <w:r>
        <w:rPr>
          <w:noProof/>
          <w:sz w:val="20"/>
        </w:rPr>
        <mc:AlternateContent>
          <mc:Choice Requires="wps">
            <w:drawing>
              <wp:anchor distT="0" distB="0" distL="0" distR="0" simplePos="0" relativeHeight="487742464" behindDoc="1" locked="0" layoutInCell="1" allowOverlap="1" wp14:anchorId="0DFDD76F" wp14:editId="0DFDD770">
                <wp:simplePos x="0" y="0"/>
                <wp:positionH relativeFrom="page">
                  <wp:posOffset>666750</wp:posOffset>
                </wp:positionH>
                <wp:positionV relativeFrom="paragraph">
                  <wp:posOffset>195592</wp:posOffset>
                </wp:positionV>
                <wp:extent cx="13982700" cy="28575"/>
                <wp:effectExtent l="0" t="0" r="0" b="0"/>
                <wp:wrapTopAndBottom/>
                <wp:docPr id="1148" name="Graphic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0" cy="28575"/>
                        </a:xfrm>
                        <a:custGeom>
                          <a:avLst/>
                          <a:gdLst/>
                          <a:ahLst/>
                          <a:cxnLst/>
                          <a:rect l="l" t="t" r="r" b="b"/>
                          <a:pathLst>
                            <a:path w="13982700" h="28575">
                              <a:moveTo>
                                <a:pt x="13982700" y="0"/>
                              </a:moveTo>
                              <a:lnTo>
                                <a:pt x="0" y="0"/>
                              </a:lnTo>
                              <a:lnTo>
                                <a:pt x="0" y="28194"/>
                              </a:lnTo>
                              <a:lnTo>
                                <a:pt x="13982700" y="28194"/>
                              </a:lnTo>
                              <a:lnTo>
                                <a:pt x="1398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159B98" id="Graphic 1148" o:spid="_x0000_s1026" style="position:absolute;margin-left:52.5pt;margin-top:15.4pt;width:1101pt;height:2.25pt;z-index:-15574016;visibility:visible;mso-wrap-style:square;mso-wrap-distance-left:0;mso-wrap-distance-top:0;mso-wrap-distance-right:0;mso-wrap-distance-bottom:0;mso-position-horizontal:absolute;mso-position-horizontal-relative:page;mso-position-vertical:absolute;mso-position-vertical-relative:text;v-text-anchor:top" coordsize="13982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" path="m13982700,l,,,28194r13982700,l13982700,xe" fillcolor="black" stroked="f">
                <v:path arrowok="t"/>
                <w10:wrap type="topAndBottom" anchorx="page"/>
              </v:shape>
            </w:pict>
          </mc:Fallback>
        </mc:AlternateContent>
      </w:r>
    </w:p>
    <w:p w14:paraId="0DFDCC64" w14:textId="77777777" w:rsidR="00046465" w:rsidRDefault="008134EB">
      <w:pPr>
        <w:pStyle w:val="BodyText"/>
        <w:tabs>
          <w:tab w:val="left" w:pos="9884"/>
          <w:tab w:val="left" w:pos="20842"/>
        </w:tabs>
        <w:spacing w:before="19"/>
        <w:ind w:left="360"/>
      </w:pPr>
      <w:r>
        <w:t>June</w:t>
      </w:r>
      <w:r>
        <w:rPr>
          <w:spacing w:val="-5"/>
        </w:rPr>
        <w:t xml:space="preserve"> </w:t>
      </w:r>
      <w:r>
        <w:rPr>
          <w:spacing w:val="-4"/>
        </w:rPr>
        <w:t>2026</w:t>
      </w:r>
      <w:r>
        <w:tab/>
        <w:t>GAO/CIGIE</w:t>
      </w:r>
      <w:r>
        <w:rPr>
          <w:spacing w:val="-11"/>
        </w:rPr>
        <w:t xml:space="preserve"> </w:t>
      </w:r>
      <w:r>
        <w:t>Financial</w:t>
      </w:r>
      <w:r>
        <w:rPr>
          <w:spacing w:val="-10"/>
        </w:rPr>
        <w:t xml:space="preserve"> </w:t>
      </w:r>
      <w:r>
        <w:t>Audit</w:t>
      </w:r>
      <w:r>
        <w:rPr>
          <w:spacing w:val="-10"/>
        </w:rPr>
        <w:t xml:space="preserve"> </w:t>
      </w:r>
      <w:r>
        <w:rPr>
          <w:spacing w:val="-2"/>
        </w:rPr>
        <w:t>Manual</w:t>
      </w:r>
      <w:r>
        <w:tab/>
        <w:t>Page</w:t>
      </w:r>
      <w:r>
        <w:rPr>
          <w:spacing w:val="-9"/>
        </w:rPr>
        <w:t xml:space="preserve"> </w:t>
      </w:r>
      <w:r>
        <w:t>1002</w:t>
      </w:r>
      <w:r>
        <w:rPr>
          <w:spacing w:val="-8"/>
        </w:rPr>
        <w:t xml:space="preserve"> </w:t>
      </w:r>
      <w:r>
        <w:t>D-</w:t>
      </w:r>
      <w:r>
        <w:rPr>
          <w:spacing w:val="-10"/>
        </w:rPr>
        <w:t>2</w:t>
      </w:r>
    </w:p>
    <w:p w14:paraId="0DFDCC65" w14:textId="77777777" w:rsidR="00046465" w:rsidRDefault="00046465">
      <w:pPr>
        <w:pStyle w:val="BodyText"/>
        <w:sectPr w:rsidR="00046465">
          <w:headerReference w:type="default" r:id="rId247"/>
          <w:footerReference w:type="default" r:id="rId248"/>
          <w:pgSz w:w="24480" w:h="15840" w:orient="landscape"/>
          <w:pgMar w:top="720" w:right="1080" w:bottom="280" w:left="720" w:header="0" w:footer="0" w:gutter="0"/>
          <w:cols w:space="720"/>
        </w:sectPr>
      </w:pPr>
    </w:p>
    <w:p w14:paraId="0DFDCC66" w14:textId="77777777" w:rsidR="00046465" w:rsidRDefault="00046465">
      <w:pPr>
        <w:pStyle w:val="BodyText"/>
        <w:spacing w:before="6"/>
        <w:rPr>
          <w:sz w:val="10"/>
        </w:rPr>
      </w:pPr>
    </w:p>
    <w:tbl>
      <w:tblPr>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2797"/>
        <w:gridCol w:w="720"/>
        <w:gridCol w:w="1080"/>
        <w:gridCol w:w="630"/>
        <w:gridCol w:w="720"/>
        <w:gridCol w:w="900"/>
        <w:gridCol w:w="900"/>
        <w:gridCol w:w="1080"/>
        <w:gridCol w:w="540"/>
        <w:gridCol w:w="630"/>
        <w:gridCol w:w="630"/>
        <w:gridCol w:w="1170"/>
        <w:gridCol w:w="1260"/>
        <w:gridCol w:w="1890"/>
        <w:gridCol w:w="900"/>
        <w:gridCol w:w="630"/>
        <w:gridCol w:w="1800"/>
        <w:gridCol w:w="540"/>
        <w:gridCol w:w="1440"/>
        <w:gridCol w:w="630"/>
      </w:tblGrid>
      <w:tr w:rsidR="00046465" w14:paraId="0DFDCC7B" w14:textId="77777777">
        <w:trPr>
          <w:trHeight w:val="299"/>
        </w:trPr>
        <w:tc>
          <w:tcPr>
            <w:tcW w:w="3872" w:type="dxa"/>
            <w:gridSpan w:val="2"/>
          </w:tcPr>
          <w:p w14:paraId="0DFDCC67" w14:textId="77777777" w:rsidR="00046465" w:rsidRDefault="008134EB">
            <w:pPr>
              <w:pStyle w:val="TableParagraph"/>
              <w:spacing w:line="206" w:lineRule="exact"/>
              <w:ind w:left="530"/>
              <w:rPr>
                <w:i/>
                <w:sz w:val="18"/>
              </w:rPr>
            </w:pPr>
            <w:r>
              <w:rPr>
                <w:i/>
                <w:sz w:val="18"/>
              </w:rPr>
              <w:t>***insert</w:t>
            </w:r>
            <w:r>
              <w:rPr>
                <w:i/>
                <w:spacing w:val="-3"/>
                <w:sz w:val="18"/>
              </w:rPr>
              <w:t xml:space="preserve"> </w:t>
            </w:r>
            <w:r>
              <w:rPr>
                <w:i/>
                <w:sz w:val="18"/>
              </w:rPr>
              <w:t>rows</w:t>
            </w:r>
            <w:r>
              <w:rPr>
                <w:i/>
                <w:spacing w:val="-2"/>
                <w:sz w:val="18"/>
              </w:rPr>
              <w:t xml:space="preserve"> </w:t>
            </w:r>
            <w:r>
              <w:rPr>
                <w:i/>
                <w:sz w:val="18"/>
              </w:rPr>
              <w:t>here</w:t>
            </w:r>
            <w:r>
              <w:rPr>
                <w:i/>
                <w:spacing w:val="-3"/>
                <w:sz w:val="18"/>
              </w:rPr>
              <w:t xml:space="preserve"> </w:t>
            </w:r>
            <w:r>
              <w:rPr>
                <w:i/>
                <w:sz w:val="18"/>
              </w:rPr>
              <w:t>as</w:t>
            </w:r>
            <w:r>
              <w:rPr>
                <w:i/>
                <w:spacing w:val="-2"/>
                <w:sz w:val="18"/>
              </w:rPr>
              <w:t xml:space="preserve"> necessary***</w:t>
            </w:r>
          </w:p>
        </w:tc>
        <w:tc>
          <w:tcPr>
            <w:tcW w:w="720" w:type="dxa"/>
          </w:tcPr>
          <w:p w14:paraId="0DFDCC68" w14:textId="77777777" w:rsidR="00046465" w:rsidRDefault="00046465">
            <w:pPr>
              <w:pStyle w:val="TableParagraph"/>
              <w:rPr>
                <w:rFonts w:ascii="Times New Roman"/>
                <w:sz w:val="18"/>
              </w:rPr>
            </w:pPr>
          </w:p>
        </w:tc>
        <w:tc>
          <w:tcPr>
            <w:tcW w:w="1080" w:type="dxa"/>
          </w:tcPr>
          <w:p w14:paraId="0DFDCC69" w14:textId="77777777" w:rsidR="00046465" w:rsidRDefault="00046465">
            <w:pPr>
              <w:pStyle w:val="TableParagraph"/>
              <w:rPr>
                <w:rFonts w:ascii="Times New Roman"/>
                <w:sz w:val="18"/>
              </w:rPr>
            </w:pPr>
          </w:p>
        </w:tc>
        <w:tc>
          <w:tcPr>
            <w:tcW w:w="630" w:type="dxa"/>
          </w:tcPr>
          <w:p w14:paraId="0DFDCC6A" w14:textId="77777777" w:rsidR="00046465" w:rsidRDefault="00046465">
            <w:pPr>
              <w:pStyle w:val="TableParagraph"/>
              <w:rPr>
                <w:rFonts w:ascii="Times New Roman"/>
                <w:sz w:val="18"/>
              </w:rPr>
            </w:pPr>
          </w:p>
        </w:tc>
        <w:tc>
          <w:tcPr>
            <w:tcW w:w="720" w:type="dxa"/>
          </w:tcPr>
          <w:p w14:paraId="0DFDCC6B" w14:textId="77777777" w:rsidR="00046465" w:rsidRDefault="00046465">
            <w:pPr>
              <w:pStyle w:val="TableParagraph"/>
              <w:rPr>
                <w:rFonts w:ascii="Times New Roman"/>
                <w:sz w:val="18"/>
              </w:rPr>
            </w:pPr>
          </w:p>
        </w:tc>
        <w:tc>
          <w:tcPr>
            <w:tcW w:w="900" w:type="dxa"/>
          </w:tcPr>
          <w:p w14:paraId="0DFDCC6C" w14:textId="77777777" w:rsidR="00046465" w:rsidRDefault="00046465">
            <w:pPr>
              <w:pStyle w:val="TableParagraph"/>
              <w:rPr>
                <w:rFonts w:ascii="Times New Roman"/>
                <w:sz w:val="18"/>
              </w:rPr>
            </w:pPr>
          </w:p>
        </w:tc>
        <w:tc>
          <w:tcPr>
            <w:tcW w:w="900" w:type="dxa"/>
          </w:tcPr>
          <w:p w14:paraId="0DFDCC6D" w14:textId="77777777" w:rsidR="00046465" w:rsidRDefault="00046465">
            <w:pPr>
              <w:pStyle w:val="TableParagraph"/>
              <w:rPr>
                <w:rFonts w:ascii="Times New Roman"/>
                <w:sz w:val="18"/>
              </w:rPr>
            </w:pPr>
          </w:p>
        </w:tc>
        <w:tc>
          <w:tcPr>
            <w:tcW w:w="1080" w:type="dxa"/>
          </w:tcPr>
          <w:p w14:paraId="0DFDCC6E" w14:textId="77777777" w:rsidR="00046465" w:rsidRDefault="00046465">
            <w:pPr>
              <w:pStyle w:val="TableParagraph"/>
              <w:rPr>
                <w:rFonts w:ascii="Times New Roman"/>
                <w:sz w:val="18"/>
              </w:rPr>
            </w:pPr>
          </w:p>
        </w:tc>
        <w:tc>
          <w:tcPr>
            <w:tcW w:w="540" w:type="dxa"/>
          </w:tcPr>
          <w:p w14:paraId="0DFDCC6F" w14:textId="77777777" w:rsidR="00046465" w:rsidRDefault="00046465">
            <w:pPr>
              <w:pStyle w:val="TableParagraph"/>
              <w:rPr>
                <w:rFonts w:ascii="Times New Roman"/>
                <w:sz w:val="18"/>
              </w:rPr>
            </w:pPr>
          </w:p>
        </w:tc>
        <w:tc>
          <w:tcPr>
            <w:tcW w:w="630" w:type="dxa"/>
          </w:tcPr>
          <w:p w14:paraId="0DFDCC70" w14:textId="77777777" w:rsidR="00046465" w:rsidRDefault="00046465">
            <w:pPr>
              <w:pStyle w:val="TableParagraph"/>
              <w:rPr>
                <w:rFonts w:ascii="Times New Roman"/>
                <w:sz w:val="18"/>
              </w:rPr>
            </w:pPr>
          </w:p>
        </w:tc>
        <w:tc>
          <w:tcPr>
            <w:tcW w:w="630" w:type="dxa"/>
          </w:tcPr>
          <w:p w14:paraId="0DFDCC71" w14:textId="77777777" w:rsidR="00046465" w:rsidRDefault="00046465">
            <w:pPr>
              <w:pStyle w:val="TableParagraph"/>
              <w:rPr>
                <w:rFonts w:ascii="Times New Roman"/>
                <w:sz w:val="18"/>
              </w:rPr>
            </w:pPr>
          </w:p>
        </w:tc>
        <w:tc>
          <w:tcPr>
            <w:tcW w:w="1170" w:type="dxa"/>
          </w:tcPr>
          <w:p w14:paraId="0DFDCC72" w14:textId="77777777" w:rsidR="00046465" w:rsidRDefault="00046465">
            <w:pPr>
              <w:pStyle w:val="TableParagraph"/>
              <w:rPr>
                <w:rFonts w:ascii="Times New Roman"/>
                <w:sz w:val="18"/>
              </w:rPr>
            </w:pPr>
          </w:p>
        </w:tc>
        <w:tc>
          <w:tcPr>
            <w:tcW w:w="1260" w:type="dxa"/>
          </w:tcPr>
          <w:p w14:paraId="0DFDCC73" w14:textId="77777777" w:rsidR="00046465" w:rsidRDefault="00046465">
            <w:pPr>
              <w:pStyle w:val="TableParagraph"/>
              <w:rPr>
                <w:rFonts w:ascii="Times New Roman"/>
                <w:sz w:val="18"/>
              </w:rPr>
            </w:pPr>
          </w:p>
        </w:tc>
        <w:tc>
          <w:tcPr>
            <w:tcW w:w="1890" w:type="dxa"/>
          </w:tcPr>
          <w:p w14:paraId="0DFDCC74" w14:textId="77777777" w:rsidR="00046465" w:rsidRDefault="00046465">
            <w:pPr>
              <w:pStyle w:val="TableParagraph"/>
              <w:rPr>
                <w:rFonts w:ascii="Times New Roman"/>
                <w:sz w:val="18"/>
              </w:rPr>
            </w:pPr>
          </w:p>
        </w:tc>
        <w:tc>
          <w:tcPr>
            <w:tcW w:w="900" w:type="dxa"/>
          </w:tcPr>
          <w:p w14:paraId="0DFDCC75" w14:textId="77777777" w:rsidR="00046465" w:rsidRDefault="00046465">
            <w:pPr>
              <w:pStyle w:val="TableParagraph"/>
              <w:rPr>
                <w:rFonts w:ascii="Times New Roman"/>
                <w:sz w:val="18"/>
              </w:rPr>
            </w:pPr>
          </w:p>
        </w:tc>
        <w:tc>
          <w:tcPr>
            <w:tcW w:w="630" w:type="dxa"/>
          </w:tcPr>
          <w:p w14:paraId="0DFDCC76" w14:textId="77777777" w:rsidR="00046465" w:rsidRDefault="00046465">
            <w:pPr>
              <w:pStyle w:val="TableParagraph"/>
              <w:rPr>
                <w:rFonts w:ascii="Times New Roman"/>
                <w:sz w:val="18"/>
              </w:rPr>
            </w:pPr>
          </w:p>
        </w:tc>
        <w:tc>
          <w:tcPr>
            <w:tcW w:w="1800" w:type="dxa"/>
          </w:tcPr>
          <w:p w14:paraId="0DFDCC77" w14:textId="77777777" w:rsidR="00046465" w:rsidRDefault="00046465">
            <w:pPr>
              <w:pStyle w:val="TableParagraph"/>
              <w:rPr>
                <w:rFonts w:ascii="Times New Roman"/>
                <w:sz w:val="18"/>
              </w:rPr>
            </w:pPr>
          </w:p>
        </w:tc>
        <w:tc>
          <w:tcPr>
            <w:tcW w:w="540" w:type="dxa"/>
          </w:tcPr>
          <w:p w14:paraId="0DFDCC78" w14:textId="77777777" w:rsidR="00046465" w:rsidRDefault="00046465">
            <w:pPr>
              <w:pStyle w:val="TableParagraph"/>
              <w:rPr>
                <w:rFonts w:ascii="Times New Roman"/>
                <w:sz w:val="18"/>
              </w:rPr>
            </w:pPr>
          </w:p>
        </w:tc>
        <w:tc>
          <w:tcPr>
            <w:tcW w:w="1440" w:type="dxa"/>
          </w:tcPr>
          <w:p w14:paraId="0DFDCC79" w14:textId="77777777" w:rsidR="00046465" w:rsidRDefault="00046465">
            <w:pPr>
              <w:pStyle w:val="TableParagraph"/>
              <w:rPr>
                <w:rFonts w:ascii="Times New Roman"/>
                <w:sz w:val="18"/>
              </w:rPr>
            </w:pPr>
          </w:p>
        </w:tc>
        <w:tc>
          <w:tcPr>
            <w:tcW w:w="630" w:type="dxa"/>
          </w:tcPr>
          <w:p w14:paraId="0DFDCC7A" w14:textId="77777777" w:rsidR="00046465" w:rsidRDefault="00046465">
            <w:pPr>
              <w:pStyle w:val="TableParagraph"/>
              <w:rPr>
                <w:rFonts w:ascii="Times New Roman"/>
                <w:sz w:val="18"/>
              </w:rPr>
            </w:pPr>
          </w:p>
        </w:tc>
      </w:tr>
      <w:tr w:rsidR="00046465" w14:paraId="0DFDCC92" w14:textId="77777777">
        <w:trPr>
          <w:trHeight w:val="414"/>
        </w:trPr>
        <w:tc>
          <w:tcPr>
            <w:tcW w:w="1075" w:type="dxa"/>
            <w:shd w:val="clear" w:color="auto" w:fill="D9E0F1"/>
          </w:tcPr>
          <w:p w14:paraId="0DFDCC7C" w14:textId="77777777" w:rsidR="00046465" w:rsidRDefault="008134EB">
            <w:pPr>
              <w:pStyle w:val="TableParagraph"/>
              <w:spacing w:line="206" w:lineRule="exact"/>
              <w:ind w:left="115" w:right="173"/>
              <w:rPr>
                <w:sz w:val="18"/>
              </w:rPr>
            </w:pPr>
            <w:r>
              <w:rPr>
                <w:sz w:val="18"/>
              </w:rPr>
              <w:t>Total</w:t>
            </w:r>
            <w:r>
              <w:rPr>
                <w:spacing w:val="-9"/>
                <w:sz w:val="18"/>
              </w:rPr>
              <w:t xml:space="preserve"> </w:t>
            </w:r>
            <w:r>
              <w:rPr>
                <w:sz w:val="18"/>
              </w:rPr>
              <w:t>#</w:t>
            </w:r>
            <w:r>
              <w:rPr>
                <w:spacing w:val="-10"/>
                <w:sz w:val="18"/>
              </w:rPr>
              <w:t xml:space="preserve"> </w:t>
            </w:r>
            <w:r>
              <w:rPr>
                <w:sz w:val="18"/>
              </w:rPr>
              <w:t>of claims</w:t>
            </w:r>
            <w:r>
              <w:rPr>
                <w:spacing w:val="-2"/>
                <w:sz w:val="18"/>
              </w:rPr>
              <w:t xml:space="preserve"> </w:t>
            </w:r>
            <w:r>
              <w:rPr>
                <w:sz w:val="18"/>
              </w:rPr>
              <w:t>-</w:t>
            </w:r>
            <w:r>
              <w:rPr>
                <w:spacing w:val="-2"/>
                <w:sz w:val="18"/>
              </w:rPr>
              <w:t xml:space="preserve"> </w:t>
            </w:r>
            <w:r>
              <w:rPr>
                <w:spacing w:val="-10"/>
                <w:sz w:val="18"/>
              </w:rPr>
              <w:t>3</w:t>
            </w:r>
          </w:p>
        </w:tc>
        <w:tc>
          <w:tcPr>
            <w:tcW w:w="2797" w:type="dxa"/>
            <w:shd w:val="clear" w:color="auto" w:fill="D9E0F1"/>
          </w:tcPr>
          <w:p w14:paraId="0DFDCC7D" w14:textId="77777777" w:rsidR="00046465" w:rsidRDefault="008134EB">
            <w:pPr>
              <w:pStyle w:val="TableParagraph"/>
              <w:spacing w:line="207" w:lineRule="exact"/>
              <w:ind w:right="102"/>
              <w:jc w:val="right"/>
              <w:rPr>
                <w:sz w:val="18"/>
              </w:rPr>
            </w:pPr>
            <w:r>
              <w:rPr>
                <w:sz w:val="18"/>
              </w:rPr>
              <w:t>Total</w:t>
            </w:r>
            <w:r>
              <w:rPr>
                <w:spacing w:val="-4"/>
                <w:sz w:val="18"/>
              </w:rPr>
              <w:t xml:space="preserve"> </w:t>
            </w:r>
            <w:r>
              <w:rPr>
                <w:sz w:val="18"/>
              </w:rPr>
              <w:t>Unasserted</w:t>
            </w:r>
            <w:r>
              <w:rPr>
                <w:spacing w:val="-3"/>
                <w:sz w:val="18"/>
              </w:rPr>
              <w:t xml:space="preserve"> </w:t>
            </w:r>
            <w:r>
              <w:rPr>
                <w:sz w:val="18"/>
              </w:rPr>
              <w:t>Claims</w:t>
            </w:r>
            <w:r>
              <w:rPr>
                <w:spacing w:val="-3"/>
                <w:sz w:val="18"/>
              </w:rPr>
              <w:t xml:space="preserve"> </w:t>
            </w:r>
            <w:r>
              <w:rPr>
                <w:spacing w:val="-5"/>
                <w:sz w:val="18"/>
              </w:rPr>
              <w:t>and</w:t>
            </w:r>
          </w:p>
          <w:p w14:paraId="0DFDCC7E" w14:textId="77777777" w:rsidR="00046465" w:rsidRDefault="008134EB">
            <w:pPr>
              <w:pStyle w:val="TableParagraph"/>
              <w:spacing w:line="188" w:lineRule="exact"/>
              <w:ind w:right="104"/>
              <w:jc w:val="right"/>
              <w:rPr>
                <w:sz w:val="18"/>
              </w:rPr>
            </w:pPr>
            <w:r>
              <w:rPr>
                <w:spacing w:val="-2"/>
                <w:sz w:val="18"/>
              </w:rPr>
              <w:t>Assessments</w:t>
            </w:r>
          </w:p>
        </w:tc>
        <w:tc>
          <w:tcPr>
            <w:tcW w:w="720" w:type="dxa"/>
          </w:tcPr>
          <w:p w14:paraId="0DFDCC7F" w14:textId="77777777" w:rsidR="00046465" w:rsidRDefault="00046465">
            <w:pPr>
              <w:pStyle w:val="TableParagraph"/>
              <w:rPr>
                <w:rFonts w:ascii="Times New Roman"/>
                <w:sz w:val="18"/>
              </w:rPr>
            </w:pPr>
          </w:p>
        </w:tc>
        <w:tc>
          <w:tcPr>
            <w:tcW w:w="1080" w:type="dxa"/>
          </w:tcPr>
          <w:p w14:paraId="0DFDCC80" w14:textId="77777777" w:rsidR="00046465" w:rsidRDefault="00046465">
            <w:pPr>
              <w:pStyle w:val="TableParagraph"/>
              <w:rPr>
                <w:rFonts w:ascii="Times New Roman"/>
                <w:sz w:val="18"/>
              </w:rPr>
            </w:pPr>
          </w:p>
        </w:tc>
        <w:tc>
          <w:tcPr>
            <w:tcW w:w="630" w:type="dxa"/>
          </w:tcPr>
          <w:p w14:paraId="0DFDCC81" w14:textId="77777777" w:rsidR="00046465" w:rsidRDefault="00046465">
            <w:pPr>
              <w:pStyle w:val="TableParagraph"/>
              <w:rPr>
                <w:rFonts w:ascii="Times New Roman"/>
                <w:sz w:val="18"/>
              </w:rPr>
            </w:pPr>
          </w:p>
        </w:tc>
        <w:tc>
          <w:tcPr>
            <w:tcW w:w="720" w:type="dxa"/>
          </w:tcPr>
          <w:p w14:paraId="0DFDCC82" w14:textId="77777777" w:rsidR="00046465" w:rsidRDefault="00046465">
            <w:pPr>
              <w:pStyle w:val="TableParagraph"/>
              <w:rPr>
                <w:rFonts w:ascii="Times New Roman"/>
                <w:sz w:val="18"/>
              </w:rPr>
            </w:pPr>
          </w:p>
        </w:tc>
        <w:tc>
          <w:tcPr>
            <w:tcW w:w="900" w:type="dxa"/>
          </w:tcPr>
          <w:p w14:paraId="0DFDCC83" w14:textId="77777777" w:rsidR="00046465" w:rsidRDefault="00046465">
            <w:pPr>
              <w:pStyle w:val="TableParagraph"/>
              <w:rPr>
                <w:rFonts w:ascii="Times New Roman"/>
                <w:sz w:val="18"/>
              </w:rPr>
            </w:pPr>
          </w:p>
        </w:tc>
        <w:tc>
          <w:tcPr>
            <w:tcW w:w="900" w:type="dxa"/>
          </w:tcPr>
          <w:p w14:paraId="0DFDCC84" w14:textId="77777777" w:rsidR="00046465" w:rsidRDefault="00046465">
            <w:pPr>
              <w:pStyle w:val="TableParagraph"/>
              <w:rPr>
                <w:rFonts w:ascii="Times New Roman"/>
                <w:sz w:val="18"/>
              </w:rPr>
            </w:pPr>
          </w:p>
        </w:tc>
        <w:tc>
          <w:tcPr>
            <w:tcW w:w="1080" w:type="dxa"/>
          </w:tcPr>
          <w:p w14:paraId="0DFDCC85" w14:textId="77777777" w:rsidR="00046465" w:rsidRDefault="00046465">
            <w:pPr>
              <w:pStyle w:val="TableParagraph"/>
              <w:rPr>
                <w:rFonts w:ascii="Times New Roman"/>
                <w:sz w:val="18"/>
              </w:rPr>
            </w:pPr>
          </w:p>
        </w:tc>
        <w:tc>
          <w:tcPr>
            <w:tcW w:w="540" w:type="dxa"/>
          </w:tcPr>
          <w:p w14:paraId="0DFDCC86" w14:textId="77777777" w:rsidR="00046465" w:rsidRDefault="00046465">
            <w:pPr>
              <w:pStyle w:val="TableParagraph"/>
              <w:rPr>
                <w:rFonts w:ascii="Times New Roman"/>
                <w:sz w:val="18"/>
              </w:rPr>
            </w:pPr>
          </w:p>
        </w:tc>
        <w:tc>
          <w:tcPr>
            <w:tcW w:w="630" w:type="dxa"/>
          </w:tcPr>
          <w:p w14:paraId="0DFDCC87" w14:textId="77777777" w:rsidR="00046465" w:rsidRDefault="00046465">
            <w:pPr>
              <w:pStyle w:val="TableParagraph"/>
              <w:rPr>
                <w:rFonts w:ascii="Times New Roman"/>
                <w:sz w:val="18"/>
              </w:rPr>
            </w:pPr>
          </w:p>
        </w:tc>
        <w:tc>
          <w:tcPr>
            <w:tcW w:w="630" w:type="dxa"/>
          </w:tcPr>
          <w:p w14:paraId="0DFDCC88" w14:textId="77777777" w:rsidR="00046465" w:rsidRDefault="00046465">
            <w:pPr>
              <w:pStyle w:val="TableParagraph"/>
              <w:rPr>
                <w:rFonts w:ascii="Times New Roman"/>
                <w:sz w:val="18"/>
              </w:rPr>
            </w:pPr>
          </w:p>
        </w:tc>
        <w:tc>
          <w:tcPr>
            <w:tcW w:w="1170" w:type="dxa"/>
          </w:tcPr>
          <w:p w14:paraId="0DFDCC89" w14:textId="77777777" w:rsidR="00046465" w:rsidRDefault="00046465">
            <w:pPr>
              <w:pStyle w:val="TableParagraph"/>
              <w:rPr>
                <w:rFonts w:ascii="Times New Roman"/>
                <w:sz w:val="18"/>
              </w:rPr>
            </w:pPr>
          </w:p>
        </w:tc>
        <w:tc>
          <w:tcPr>
            <w:tcW w:w="1260" w:type="dxa"/>
          </w:tcPr>
          <w:p w14:paraId="0DFDCC8A" w14:textId="77777777" w:rsidR="00046465" w:rsidRDefault="00046465">
            <w:pPr>
              <w:pStyle w:val="TableParagraph"/>
              <w:rPr>
                <w:rFonts w:ascii="Times New Roman"/>
                <w:sz w:val="18"/>
              </w:rPr>
            </w:pPr>
          </w:p>
        </w:tc>
        <w:tc>
          <w:tcPr>
            <w:tcW w:w="1890" w:type="dxa"/>
          </w:tcPr>
          <w:p w14:paraId="0DFDCC8B" w14:textId="77777777" w:rsidR="00046465" w:rsidRDefault="00046465">
            <w:pPr>
              <w:pStyle w:val="TableParagraph"/>
              <w:rPr>
                <w:rFonts w:ascii="Times New Roman"/>
                <w:sz w:val="18"/>
              </w:rPr>
            </w:pPr>
          </w:p>
        </w:tc>
        <w:tc>
          <w:tcPr>
            <w:tcW w:w="900" w:type="dxa"/>
          </w:tcPr>
          <w:p w14:paraId="0DFDCC8C" w14:textId="77777777" w:rsidR="00046465" w:rsidRDefault="00046465">
            <w:pPr>
              <w:pStyle w:val="TableParagraph"/>
              <w:rPr>
                <w:rFonts w:ascii="Times New Roman"/>
                <w:sz w:val="18"/>
              </w:rPr>
            </w:pPr>
          </w:p>
        </w:tc>
        <w:tc>
          <w:tcPr>
            <w:tcW w:w="630" w:type="dxa"/>
          </w:tcPr>
          <w:p w14:paraId="0DFDCC8D" w14:textId="77777777" w:rsidR="00046465" w:rsidRDefault="00046465">
            <w:pPr>
              <w:pStyle w:val="TableParagraph"/>
              <w:rPr>
                <w:rFonts w:ascii="Times New Roman"/>
                <w:sz w:val="18"/>
              </w:rPr>
            </w:pPr>
          </w:p>
        </w:tc>
        <w:tc>
          <w:tcPr>
            <w:tcW w:w="1800" w:type="dxa"/>
          </w:tcPr>
          <w:p w14:paraId="0DFDCC8E" w14:textId="77777777" w:rsidR="00046465" w:rsidRDefault="00046465">
            <w:pPr>
              <w:pStyle w:val="TableParagraph"/>
              <w:rPr>
                <w:rFonts w:ascii="Times New Roman"/>
                <w:sz w:val="18"/>
              </w:rPr>
            </w:pPr>
          </w:p>
        </w:tc>
        <w:tc>
          <w:tcPr>
            <w:tcW w:w="540" w:type="dxa"/>
          </w:tcPr>
          <w:p w14:paraId="0DFDCC8F" w14:textId="77777777" w:rsidR="00046465" w:rsidRDefault="00046465">
            <w:pPr>
              <w:pStyle w:val="TableParagraph"/>
              <w:rPr>
                <w:rFonts w:ascii="Times New Roman"/>
                <w:sz w:val="18"/>
              </w:rPr>
            </w:pPr>
          </w:p>
        </w:tc>
        <w:tc>
          <w:tcPr>
            <w:tcW w:w="1440" w:type="dxa"/>
          </w:tcPr>
          <w:p w14:paraId="0DFDCC90" w14:textId="77777777" w:rsidR="00046465" w:rsidRDefault="00046465">
            <w:pPr>
              <w:pStyle w:val="TableParagraph"/>
              <w:rPr>
                <w:rFonts w:ascii="Times New Roman"/>
                <w:sz w:val="18"/>
              </w:rPr>
            </w:pPr>
          </w:p>
        </w:tc>
        <w:tc>
          <w:tcPr>
            <w:tcW w:w="630" w:type="dxa"/>
          </w:tcPr>
          <w:p w14:paraId="0DFDCC91" w14:textId="77777777" w:rsidR="00046465" w:rsidRDefault="00046465">
            <w:pPr>
              <w:pStyle w:val="TableParagraph"/>
              <w:rPr>
                <w:rFonts w:ascii="Times New Roman"/>
                <w:sz w:val="18"/>
              </w:rPr>
            </w:pPr>
          </w:p>
        </w:tc>
      </w:tr>
      <w:tr w:rsidR="00046465" w14:paraId="0DFDCC94" w14:textId="77777777">
        <w:trPr>
          <w:trHeight w:val="299"/>
        </w:trPr>
        <w:tc>
          <w:tcPr>
            <w:tcW w:w="21962" w:type="dxa"/>
            <w:gridSpan w:val="21"/>
            <w:shd w:val="clear" w:color="auto" w:fill="D9D9D9"/>
          </w:tcPr>
          <w:p w14:paraId="0DFDCC93" w14:textId="77777777" w:rsidR="00046465" w:rsidRDefault="00046465">
            <w:pPr>
              <w:pStyle w:val="TableParagraph"/>
              <w:rPr>
                <w:rFonts w:ascii="Times New Roman"/>
                <w:sz w:val="18"/>
              </w:rPr>
            </w:pPr>
          </w:p>
        </w:tc>
      </w:tr>
    </w:tbl>
    <w:p w14:paraId="0DFDCC95" w14:textId="77777777" w:rsidR="00046465" w:rsidRDefault="00046465">
      <w:pPr>
        <w:pStyle w:val="BodyText"/>
        <w:rPr>
          <w:sz w:val="20"/>
        </w:rPr>
      </w:pPr>
    </w:p>
    <w:p w14:paraId="0DFDCC96" w14:textId="77777777" w:rsidR="00046465" w:rsidRDefault="00046465">
      <w:pPr>
        <w:pStyle w:val="BodyText"/>
        <w:spacing w:before="34" w:after="1"/>
        <w:rPr>
          <w:sz w:val="20"/>
        </w:rPr>
      </w:pPr>
    </w:p>
    <w:tbl>
      <w:tblPr>
        <w:tblW w:w="0" w:type="auto"/>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80"/>
        <w:gridCol w:w="2700"/>
        <w:gridCol w:w="2700"/>
        <w:gridCol w:w="2700"/>
        <w:gridCol w:w="5320"/>
      </w:tblGrid>
      <w:tr w:rsidR="00046465" w14:paraId="0DFDCCA4" w14:textId="77777777">
        <w:trPr>
          <w:trHeight w:val="920"/>
        </w:trPr>
        <w:tc>
          <w:tcPr>
            <w:tcW w:w="4980" w:type="dxa"/>
          </w:tcPr>
          <w:p w14:paraId="0DFDCC97" w14:textId="77777777" w:rsidR="00046465" w:rsidRDefault="008134EB">
            <w:pPr>
              <w:pStyle w:val="TableParagraph"/>
              <w:ind w:left="107"/>
              <w:rPr>
                <w:sz w:val="20"/>
              </w:rPr>
            </w:pPr>
            <w:r>
              <w:rPr>
                <w:sz w:val="20"/>
              </w:rPr>
              <w:t>Reconciliation</w:t>
            </w:r>
            <w:r>
              <w:rPr>
                <w:spacing w:val="-8"/>
                <w:sz w:val="20"/>
              </w:rPr>
              <w:t xml:space="preserve"> </w:t>
            </w:r>
            <w:r>
              <w:rPr>
                <w:sz w:val="20"/>
              </w:rPr>
              <w:t>-</w:t>
            </w:r>
            <w:r>
              <w:rPr>
                <w:spacing w:val="-7"/>
                <w:sz w:val="20"/>
              </w:rPr>
              <w:t xml:space="preserve"> </w:t>
            </w:r>
            <w:r>
              <w:rPr>
                <w:sz w:val="20"/>
              </w:rPr>
              <w:t>Management</w:t>
            </w:r>
            <w:r>
              <w:rPr>
                <w:spacing w:val="-8"/>
                <w:sz w:val="20"/>
              </w:rPr>
              <w:t xml:space="preserve"> </w:t>
            </w:r>
            <w:r>
              <w:rPr>
                <w:sz w:val="20"/>
              </w:rPr>
              <w:t>Schedule</w:t>
            </w:r>
            <w:r>
              <w:rPr>
                <w:spacing w:val="-8"/>
                <w:sz w:val="20"/>
              </w:rPr>
              <w:t xml:space="preserve"> </w:t>
            </w:r>
            <w:r>
              <w:rPr>
                <w:sz w:val="20"/>
              </w:rPr>
              <w:t>to</w:t>
            </w:r>
            <w:r>
              <w:rPr>
                <w:spacing w:val="-8"/>
                <w:sz w:val="20"/>
              </w:rPr>
              <w:t xml:space="preserve"> </w:t>
            </w:r>
            <w:r>
              <w:rPr>
                <w:sz w:val="20"/>
              </w:rPr>
              <w:t xml:space="preserve">Financial </w:t>
            </w:r>
            <w:r>
              <w:rPr>
                <w:spacing w:val="-2"/>
                <w:sz w:val="20"/>
              </w:rPr>
              <w:t>Statements</w:t>
            </w:r>
          </w:p>
        </w:tc>
        <w:tc>
          <w:tcPr>
            <w:tcW w:w="2700" w:type="dxa"/>
          </w:tcPr>
          <w:p w14:paraId="0DFDCC98" w14:textId="77777777" w:rsidR="00046465" w:rsidRDefault="00046465">
            <w:pPr>
              <w:pStyle w:val="TableParagraph"/>
              <w:spacing w:before="210"/>
              <w:rPr>
                <w:sz w:val="20"/>
              </w:rPr>
            </w:pPr>
          </w:p>
          <w:p w14:paraId="0DFDCC99" w14:textId="77777777" w:rsidR="00046465" w:rsidRDefault="008134EB">
            <w:pPr>
              <w:pStyle w:val="TableParagraph"/>
              <w:spacing w:line="230" w:lineRule="atLeast"/>
              <w:ind w:left="1111" w:right="307" w:hanging="791"/>
              <w:rPr>
                <w:sz w:val="20"/>
              </w:rPr>
            </w:pPr>
            <w:r>
              <w:rPr>
                <w:sz w:val="20"/>
              </w:rPr>
              <w:t>Management</w:t>
            </w:r>
            <w:r>
              <w:rPr>
                <w:spacing w:val="-14"/>
                <w:sz w:val="20"/>
              </w:rPr>
              <w:t xml:space="preserve"> </w:t>
            </w:r>
            <w:r>
              <w:rPr>
                <w:sz w:val="20"/>
              </w:rPr>
              <w:t xml:space="preserve">Schedule </w:t>
            </w:r>
            <w:r>
              <w:rPr>
                <w:spacing w:val="-2"/>
                <w:sz w:val="20"/>
              </w:rPr>
              <w:t>totals</w:t>
            </w:r>
          </w:p>
        </w:tc>
        <w:tc>
          <w:tcPr>
            <w:tcW w:w="2700" w:type="dxa"/>
          </w:tcPr>
          <w:p w14:paraId="0DFDCC9A" w14:textId="77777777" w:rsidR="00046465" w:rsidRDefault="00046465">
            <w:pPr>
              <w:pStyle w:val="TableParagraph"/>
              <w:spacing w:before="210"/>
              <w:rPr>
                <w:sz w:val="20"/>
              </w:rPr>
            </w:pPr>
          </w:p>
          <w:p w14:paraId="0DFDCC9B" w14:textId="77777777" w:rsidR="00046465" w:rsidRDefault="008134EB">
            <w:pPr>
              <w:pStyle w:val="TableParagraph"/>
              <w:spacing w:line="230" w:lineRule="atLeast"/>
              <w:ind w:left="854" w:right="288" w:hanging="556"/>
              <w:rPr>
                <w:sz w:val="20"/>
              </w:rPr>
            </w:pPr>
            <w:r>
              <w:rPr>
                <w:sz w:val="20"/>
              </w:rPr>
              <w:t>Financial</w:t>
            </w:r>
            <w:r>
              <w:rPr>
                <w:spacing w:val="-14"/>
                <w:sz w:val="20"/>
              </w:rPr>
              <w:t xml:space="preserve"> </w:t>
            </w:r>
            <w:r>
              <w:rPr>
                <w:sz w:val="20"/>
              </w:rPr>
              <w:t>Statements</w:t>
            </w:r>
            <w:r>
              <w:rPr>
                <w:spacing w:val="-14"/>
                <w:sz w:val="20"/>
              </w:rPr>
              <w:t xml:space="preserve"> </w:t>
            </w:r>
            <w:r>
              <w:rPr>
                <w:sz w:val="20"/>
              </w:rPr>
              <w:t>or other totals</w:t>
            </w:r>
          </w:p>
        </w:tc>
        <w:tc>
          <w:tcPr>
            <w:tcW w:w="2700" w:type="dxa"/>
          </w:tcPr>
          <w:p w14:paraId="0DFDCC9C" w14:textId="77777777" w:rsidR="00046465" w:rsidRDefault="00046465">
            <w:pPr>
              <w:pStyle w:val="TableParagraph"/>
              <w:rPr>
                <w:sz w:val="20"/>
              </w:rPr>
            </w:pPr>
          </w:p>
          <w:p w14:paraId="0DFDCC9D" w14:textId="77777777" w:rsidR="00046465" w:rsidRDefault="00046465">
            <w:pPr>
              <w:pStyle w:val="TableParagraph"/>
              <w:rPr>
                <w:sz w:val="20"/>
              </w:rPr>
            </w:pPr>
          </w:p>
          <w:p w14:paraId="0DFDCC9E" w14:textId="77777777" w:rsidR="00046465" w:rsidRDefault="00046465">
            <w:pPr>
              <w:pStyle w:val="TableParagraph"/>
              <w:rPr>
                <w:sz w:val="20"/>
              </w:rPr>
            </w:pPr>
          </w:p>
          <w:p w14:paraId="0DFDCC9F" w14:textId="77777777" w:rsidR="00046465" w:rsidRDefault="008134EB">
            <w:pPr>
              <w:pStyle w:val="TableParagraph"/>
              <w:spacing w:line="209" w:lineRule="exact"/>
              <w:ind w:left="10"/>
              <w:jc w:val="center"/>
              <w:rPr>
                <w:sz w:val="20"/>
              </w:rPr>
            </w:pPr>
            <w:r>
              <w:rPr>
                <w:spacing w:val="-2"/>
                <w:sz w:val="20"/>
              </w:rPr>
              <w:t>Variance</w:t>
            </w:r>
          </w:p>
        </w:tc>
        <w:tc>
          <w:tcPr>
            <w:tcW w:w="5320" w:type="dxa"/>
          </w:tcPr>
          <w:p w14:paraId="0DFDCCA0" w14:textId="77777777" w:rsidR="00046465" w:rsidRDefault="00046465">
            <w:pPr>
              <w:pStyle w:val="TableParagraph"/>
              <w:rPr>
                <w:sz w:val="20"/>
              </w:rPr>
            </w:pPr>
          </w:p>
          <w:p w14:paraId="0DFDCCA1" w14:textId="77777777" w:rsidR="00046465" w:rsidRDefault="00046465">
            <w:pPr>
              <w:pStyle w:val="TableParagraph"/>
              <w:rPr>
                <w:sz w:val="20"/>
              </w:rPr>
            </w:pPr>
          </w:p>
          <w:p w14:paraId="0DFDCCA2" w14:textId="77777777" w:rsidR="00046465" w:rsidRDefault="00046465">
            <w:pPr>
              <w:pStyle w:val="TableParagraph"/>
              <w:rPr>
                <w:sz w:val="20"/>
              </w:rPr>
            </w:pPr>
          </w:p>
          <w:p w14:paraId="0DFDCCA3" w14:textId="77777777" w:rsidR="00046465" w:rsidRDefault="008134EB">
            <w:pPr>
              <w:pStyle w:val="TableParagraph"/>
              <w:spacing w:line="209" w:lineRule="exact"/>
              <w:ind w:left="107"/>
              <w:rPr>
                <w:sz w:val="20"/>
              </w:rPr>
            </w:pPr>
            <w:r>
              <w:rPr>
                <w:sz w:val="20"/>
              </w:rPr>
              <w:t>Explanation</w:t>
            </w:r>
            <w:r>
              <w:rPr>
                <w:spacing w:val="-5"/>
                <w:sz w:val="20"/>
              </w:rPr>
              <w:t xml:space="preserve"> </w:t>
            </w:r>
            <w:r>
              <w:rPr>
                <w:sz w:val="20"/>
              </w:rPr>
              <w:t>for</w:t>
            </w:r>
            <w:r>
              <w:rPr>
                <w:spacing w:val="-3"/>
                <w:sz w:val="20"/>
              </w:rPr>
              <w:t xml:space="preserve"> </w:t>
            </w:r>
            <w:r>
              <w:rPr>
                <w:spacing w:val="-2"/>
                <w:sz w:val="20"/>
              </w:rPr>
              <w:t>variance</w:t>
            </w:r>
          </w:p>
        </w:tc>
      </w:tr>
      <w:tr w:rsidR="00046465" w14:paraId="0DFDCCAA" w14:textId="77777777">
        <w:trPr>
          <w:trHeight w:val="333"/>
        </w:trPr>
        <w:tc>
          <w:tcPr>
            <w:tcW w:w="4980" w:type="dxa"/>
            <w:tcBorders>
              <w:bottom w:val="nil"/>
            </w:tcBorders>
          </w:tcPr>
          <w:p w14:paraId="0DFDCCA5" w14:textId="77777777" w:rsidR="00046465" w:rsidRDefault="008134EB">
            <w:pPr>
              <w:pStyle w:val="TableParagraph"/>
              <w:spacing w:before="70"/>
              <w:ind w:left="107"/>
              <w:rPr>
                <w:sz w:val="20"/>
              </w:rPr>
            </w:pPr>
            <w:r>
              <w:rPr>
                <w:sz w:val="20"/>
              </w:rPr>
              <w:t>Accrued</w:t>
            </w:r>
            <w:r>
              <w:rPr>
                <w:spacing w:val="-5"/>
                <w:sz w:val="20"/>
              </w:rPr>
              <w:t xml:space="preserve"> </w:t>
            </w:r>
            <w:r>
              <w:rPr>
                <w:spacing w:val="-2"/>
                <w:sz w:val="20"/>
              </w:rPr>
              <w:t>probable</w:t>
            </w:r>
          </w:p>
        </w:tc>
        <w:tc>
          <w:tcPr>
            <w:tcW w:w="2700" w:type="dxa"/>
            <w:vMerge w:val="restart"/>
          </w:tcPr>
          <w:p w14:paraId="0DFDCCA6" w14:textId="77777777" w:rsidR="00046465" w:rsidRDefault="00046465">
            <w:pPr>
              <w:pStyle w:val="TableParagraph"/>
              <w:rPr>
                <w:rFonts w:ascii="Times New Roman"/>
                <w:sz w:val="18"/>
              </w:rPr>
            </w:pPr>
          </w:p>
        </w:tc>
        <w:tc>
          <w:tcPr>
            <w:tcW w:w="2700" w:type="dxa"/>
            <w:vMerge w:val="restart"/>
          </w:tcPr>
          <w:p w14:paraId="0DFDCCA7" w14:textId="77777777" w:rsidR="00046465" w:rsidRDefault="00046465">
            <w:pPr>
              <w:pStyle w:val="TableParagraph"/>
              <w:rPr>
                <w:rFonts w:ascii="Times New Roman"/>
                <w:sz w:val="18"/>
              </w:rPr>
            </w:pPr>
          </w:p>
        </w:tc>
        <w:tc>
          <w:tcPr>
            <w:tcW w:w="2700" w:type="dxa"/>
            <w:vMerge w:val="restart"/>
          </w:tcPr>
          <w:p w14:paraId="0DFDCCA8" w14:textId="77777777" w:rsidR="00046465" w:rsidRDefault="00046465">
            <w:pPr>
              <w:pStyle w:val="TableParagraph"/>
              <w:rPr>
                <w:rFonts w:ascii="Times New Roman"/>
                <w:sz w:val="18"/>
              </w:rPr>
            </w:pPr>
          </w:p>
        </w:tc>
        <w:tc>
          <w:tcPr>
            <w:tcW w:w="5320" w:type="dxa"/>
            <w:vMerge w:val="restart"/>
          </w:tcPr>
          <w:p w14:paraId="0DFDCCA9" w14:textId="77777777" w:rsidR="00046465" w:rsidRDefault="00046465">
            <w:pPr>
              <w:pStyle w:val="TableParagraph"/>
              <w:rPr>
                <w:rFonts w:ascii="Times New Roman"/>
                <w:sz w:val="18"/>
              </w:rPr>
            </w:pPr>
          </w:p>
        </w:tc>
      </w:tr>
      <w:tr w:rsidR="00046465" w14:paraId="0DFDCCB0" w14:textId="77777777">
        <w:trPr>
          <w:trHeight w:val="290"/>
        </w:trPr>
        <w:tc>
          <w:tcPr>
            <w:tcW w:w="4980" w:type="dxa"/>
            <w:tcBorders>
              <w:top w:val="nil"/>
              <w:bottom w:val="nil"/>
            </w:tcBorders>
          </w:tcPr>
          <w:p w14:paraId="0DFDCCAB" w14:textId="77777777" w:rsidR="00046465" w:rsidRDefault="008134EB">
            <w:pPr>
              <w:pStyle w:val="TableParagraph"/>
              <w:spacing w:before="27"/>
              <w:ind w:left="107"/>
              <w:rPr>
                <w:sz w:val="20"/>
              </w:rPr>
            </w:pPr>
            <w:r>
              <w:rPr>
                <w:sz w:val="20"/>
              </w:rPr>
              <w:t>Probable</w:t>
            </w:r>
            <w:r>
              <w:rPr>
                <w:spacing w:val="-3"/>
                <w:sz w:val="20"/>
              </w:rPr>
              <w:t xml:space="preserve"> </w:t>
            </w:r>
            <w:r>
              <w:rPr>
                <w:sz w:val="20"/>
              </w:rPr>
              <w:t>low</w:t>
            </w:r>
            <w:r>
              <w:rPr>
                <w:spacing w:val="-3"/>
                <w:sz w:val="20"/>
              </w:rPr>
              <w:t xml:space="preserve"> </w:t>
            </w:r>
            <w:r>
              <w:rPr>
                <w:sz w:val="20"/>
              </w:rPr>
              <w:t>end</w:t>
            </w:r>
            <w:r>
              <w:rPr>
                <w:spacing w:val="-2"/>
                <w:sz w:val="20"/>
              </w:rPr>
              <w:t xml:space="preserve"> </w:t>
            </w:r>
            <w:r>
              <w:rPr>
                <w:sz w:val="20"/>
              </w:rPr>
              <w:t>of</w:t>
            </w:r>
            <w:r>
              <w:rPr>
                <w:spacing w:val="-2"/>
                <w:sz w:val="20"/>
              </w:rPr>
              <w:t xml:space="preserve"> range</w:t>
            </w:r>
          </w:p>
        </w:tc>
        <w:tc>
          <w:tcPr>
            <w:tcW w:w="2700" w:type="dxa"/>
            <w:vMerge/>
            <w:tcBorders>
              <w:top w:val="nil"/>
            </w:tcBorders>
          </w:tcPr>
          <w:p w14:paraId="0DFDCCAC" w14:textId="77777777" w:rsidR="00046465" w:rsidRDefault="00046465">
            <w:pPr>
              <w:rPr>
                <w:sz w:val="2"/>
                <w:szCs w:val="2"/>
              </w:rPr>
            </w:pPr>
          </w:p>
        </w:tc>
        <w:tc>
          <w:tcPr>
            <w:tcW w:w="2700" w:type="dxa"/>
            <w:vMerge/>
            <w:tcBorders>
              <w:top w:val="nil"/>
            </w:tcBorders>
          </w:tcPr>
          <w:p w14:paraId="0DFDCCAD" w14:textId="77777777" w:rsidR="00046465" w:rsidRDefault="00046465">
            <w:pPr>
              <w:rPr>
                <w:sz w:val="2"/>
                <w:szCs w:val="2"/>
              </w:rPr>
            </w:pPr>
          </w:p>
        </w:tc>
        <w:tc>
          <w:tcPr>
            <w:tcW w:w="2700" w:type="dxa"/>
            <w:vMerge/>
            <w:tcBorders>
              <w:top w:val="nil"/>
            </w:tcBorders>
          </w:tcPr>
          <w:p w14:paraId="0DFDCCAE" w14:textId="77777777" w:rsidR="00046465" w:rsidRDefault="00046465">
            <w:pPr>
              <w:rPr>
                <w:sz w:val="2"/>
                <w:szCs w:val="2"/>
              </w:rPr>
            </w:pPr>
          </w:p>
        </w:tc>
        <w:tc>
          <w:tcPr>
            <w:tcW w:w="5320" w:type="dxa"/>
            <w:vMerge/>
            <w:tcBorders>
              <w:top w:val="nil"/>
            </w:tcBorders>
          </w:tcPr>
          <w:p w14:paraId="0DFDCCAF" w14:textId="77777777" w:rsidR="00046465" w:rsidRDefault="00046465">
            <w:pPr>
              <w:rPr>
                <w:sz w:val="2"/>
                <w:szCs w:val="2"/>
              </w:rPr>
            </w:pPr>
          </w:p>
        </w:tc>
      </w:tr>
      <w:tr w:rsidR="00046465" w14:paraId="0DFDCCB6" w14:textId="77777777">
        <w:trPr>
          <w:trHeight w:val="440"/>
        </w:trPr>
        <w:tc>
          <w:tcPr>
            <w:tcW w:w="4980" w:type="dxa"/>
            <w:tcBorders>
              <w:top w:val="nil"/>
              <w:bottom w:val="nil"/>
            </w:tcBorders>
          </w:tcPr>
          <w:p w14:paraId="0DFDCCB1" w14:textId="77777777" w:rsidR="00046465" w:rsidRDefault="008134EB">
            <w:pPr>
              <w:pStyle w:val="TableParagraph"/>
              <w:spacing w:before="27"/>
              <w:ind w:left="107"/>
              <w:rPr>
                <w:sz w:val="20"/>
              </w:rPr>
            </w:pPr>
            <w:r>
              <w:rPr>
                <w:sz w:val="20"/>
              </w:rPr>
              <w:t>Probable</w:t>
            </w:r>
            <w:r>
              <w:rPr>
                <w:spacing w:val="-3"/>
                <w:sz w:val="20"/>
              </w:rPr>
              <w:t xml:space="preserve"> </w:t>
            </w:r>
            <w:r>
              <w:rPr>
                <w:sz w:val="20"/>
              </w:rPr>
              <w:t>high</w:t>
            </w:r>
            <w:r>
              <w:rPr>
                <w:spacing w:val="-3"/>
                <w:sz w:val="20"/>
              </w:rPr>
              <w:t xml:space="preserve"> </w:t>
            </w:r>
            <w:r>
              <w:rPr>
                <w:sz w:val="20"/>
              </w:rPr>
              <w:t>end</w:t>
            </w:r>
            <w:r>
              <w:rPr>
                <w:spacing w:val="-3"/>
                <w:sz w:val="20"/>
              </w:rPr>
              <w:t xml:space="preserve"> </w:t>
            </w:r>
            <w:r>
              <w:rPr>
                <w:sz w:val="20"/>
              </w:rPr>
              <w:t>of</w:t>
            </w:r>
            <w:r>
              <w:rPr>
                <w:spacing w:val="-2"/>
                <w:sz w:val="20"/>
              </w:rPr>
              <w:t xml:space="preserve"> range</w:t>
            </w:r>
          </w:p>
        </w:tc>
        <w:tc>
          <w:tcPr>
            <w:tcW w:w="2700" w:type="dxa"/>
            <w:vMerge/>
            <w:tcBorders>
              <w:top w:val="nil"/>
            </w:tcBorders>
          </w:tcPr>
          <w:p w14:paraId="0DFDCCB2" w14:textId="77777777" w:rsidR="00046465" w:rsidRDefault="00046465">
            <w:pPr>
              <w:rPr>
                <w:sz w:val="2"/>
                <w:szCs w:val="2"/>
              </w:rPr>
            </w:pPr>
          </w:p>
        </w:tc>
        <w:tc>
          <w:tcPr>
            <w:tcW w:w="2700" w:type="dxa"/>
            <w:vMerge/>
            <w:tcBorders>
              <w:top w:val="nil"/>
            </w:tcBorders>
          </w:tcPr>
          <w:p w14:paraId="0DFDCCB3" w14:textId="77777777" w:rsidR="00046465" w:rsidRDefault="00046465">
            <w:pPr>
              <w:rPr>
                <w:sz w:val="2"/>
                <w:szCs w:val="2"/>
              </w:rPr>
            </w:pPr>
          </w:p>
        </w:tc>
        <w:tc>
          <w:tcPr>
            <w:tcW w:w="2700" w:type="dxa"/>
            <w:vMerge/>
            <w:tcBorders>
              <w:top w:val="nil"/>
            </w:tcBorders>
          </w:tcPr>
          <w:p w14:paraId="0DFDCCB4" w14:textId="77777777" w:rsidR="00046465" w:rsidRDefault="00046465">
            <w:pPr>
              <w:rPr>
                <w:sz w:val="2"/>
                <w:szCs w:val="2"/>
              </w:rPr>
            </w:pPr>
          </w:p>
        </w:tc>
        <w:tc>
          <w:tcPr>
            <w:tcW w:w="5320" w:type="dxa"/>
            <w:vMerge/>
            <w:tcBorders>
              <w:top w:val="nil"/>
            </w:tcBorders>
          </w:tcPr>
          <w:p w14:paraId="0DFDCCB5" w14:textId="77777777" w:rsidR="00046465" w:rsidRDefault="00046465">
            <w:pPr>
              <w:rPr>
                <w:sz w:val="2"/>
                <w:szCs w:val="2"/>
              </w:rPr>
            </w:pPr>
          </w:p>
        </w:tc>
      </w:tr>
      <w:tr w:rsidR="00046465" w14:paraId="0DFDCCBC" w14:textId="77777777">
        <w:trPr>
          <w:trHeight w:val="440"/>
        </w:trPr>
        <w:tc>
          <w:tcPr>
            <w:tcW w:w="4980" w:type="dxa"/>
            <w:tcBorders>
              <w:top w:val="nil"/>
              <w:bottom w:val="nil"/>
            </w:tcBorders>
          </w:tcPr>
          <w:p w14:paraId="0DFDCCB7" w14:textId="77777777" w:rsidR="00046465" w:rsidRDefault="008134EB">
            <w:pPr>
              <w:pStyle w:val="TableParagraph"/>
              <w:spacing w:before="177"/>
              <w:ind w:left="107"/>
              <w:rPr>
                <w:sz w:val="20"/>
              </w:rPr>
            </w:pPr>
            <w:r>
              <w:rPr>
                <w:sz w:val="20"/>
              </w:rPr>
              <w:t>Reasonably</w:t>
            </w:r>
            <w:r>
              <w:rPr>
                <w:spacing w:val="-4"/>
                <w:sz w:val="20"/>
              </w:rPr>
              <w:t xml:space="preserve"> </w:t>
            </w:r>
            <w:r>
              <w:rPr>
                <w:sz w:val="20"/>
              </w:rPr>
              <w:t>possible</w:t>
            </w:r>
            <w:r>
              <w:rPr>
                <w:spacing w:val="-4"/>
                <w:sz w:val="20"/>
              </w:rPr>
              <w:t xml:space="preserve"> </w:t>
            </w:r>
            <w:r>
              <w:rPr>
                <w:sz w:val="20"/>
              </w:rPr>
              <w:t>low</w:t>
            </w:r>
            <w:r>
              <w:rPr>
                <w:spacing w:val="-3"/>
                <w:sz w:val="20"/>
              </w:rPr>
              <w:t xml:space="preserve"> </w:t>
            </w:r>
            <w:r>
              <w:rPr>
                <w:sz w:val="20"/>
              </w:rPr>
              <w:t>end</w:t>
            </w:r>
            <w:r>
              <w:rPr>
                <w:spacing w:val="-4"/>
                <w:sz w:val="20"/>
              </w:rPr>
              <w:t xml:space="preserve"> </w:t>
            </w:r>
            <w:r>
              <w:rPr>
                <w:sz w:val="20"/>
              </w:rPr>
              <w:t>of</w:t>
            </w:r>
            <w:r>
              <w:rPr>
                <w:spacing w:val="-4"/>
                <w:sz w:val="20"/>
              </w:rPr>
              <w:t xml:space="preserve"> </w:t>
            </w:r>
            <w:r>
              <w:rPr>
                <w:spacing w:val="-2"/>
                <w:sz w:val="20"/>
              </w:rPr>
              <w:t>range</w:t>
            </w:r>
          </w:p>
        </w:tc>
        <w:tc>
          <w:tcPr>
            <w:tcW w:w="2700" w:type="dxa"/>
            <w:vMerge/>
            <w:tcBorders>
              <w:top w:val="nil"/>
            </w:tcBorders>
          </w:tcPr>
          <w:p w14:paraId="0DFDCCB8" w14:textId="77777777" w:rsidR="00046465" w:rsidRDefault="00046465">
            <w:pPr>
              <w:rPr>
                <w:sz w:val="2"/>
                <w:szCs w:val="2"/>
              </w:rPr>
            </w:pPr>
          </w:p>
        </w:tc>
        <w:tc>
          <w:tcPr>
            <w:tcW w:w="2700" w:type="dxa"/>
            <w:vMerge/>
            <w:tcBorders>
              <w:top w:val="nil"/>
            </w:tcBorders>
          </w:tcPr>
          <w:p w14:paraId="0DFDCCB9" w14:textId="77777777" w:rsidR="00046465" w:rsidRDefault="00046465">
            <w:pPr>
              <w:rPr>
                <w:sz w:val="2"/>
                <w:szCs w:val="2"/>
              </w:rPr>
            </w:pPr>
          </w:p>
        </w:tc>
        <w:tc>
          <w:tcPr>
            <w:tcW w:w="2700" w:type="dxa"/>
            <w:vMerge/>
            <w:tcBorders>
              <w:top w:val="nil"/>
            </w:tcBorders>
          </w:tcPr>
          <w:p w14:paraId="0DFDCCBA" w14:textId="77777777" w:rsidR="00046465" w:rsidRDefault="00046465">
            <w:pPr>
              <w:rPr>
                <w:sz w:val="2"/>
                <w:szCs w:val="2"/>
              </w:rPr>
            </w:pPr>
          </w:p>
        </w:tc>
        <w:tc>
          <w:tcPr>
            <w:tcW w:w="5320" w:type="dxa"/>
            <w:vMerge/>
            <w:tcBorders>
              <w:top w:val="nil"/>
            </w:tcBorders>
          </w:tcPr>
          <w:p w14:paraId="0DFDCCBB" w14:textId="77777777" w:rsidR="00046465" w:rsidRDefault="00046465">
            <w:pPr>
              <w:rPr>
                <w:sz w:val="2"/>
                <w:szCs w:val="2"/>
              </w:rPr>
            </w:pPr>
          </w:p>
        </w:tc>
      </w:tr>
      <w:tr w:rsidR="00046465" w14:paraId="0DFDCCC2" w14:textId="77777777">
        <w:trPr>
          <w:trHeight w:val="556"/>
        </w:trPr>
        <w:tc>
          <w:tcPr>
            <w:tcW w:w="4980" w:type="dxa"/>
            <w:tcBorders>
              <w:top w:val="nil"/>
            </w:tcBorders>
          </w:tcPr>
          <w:p w14:paraId="0DFDCCBD" w14:textId="77777777" w:rsidR="00046465" w:rsidRDefault="008134EB">
            <w:pPr>
              <w:pStyle w:val="TableParagraph"/>
              <w:spacing w:before="27"/>
              <w:ind w:left="107"/>
              <w:rPr>
                <w:sz w:val="20"/>
              </w:rPr>
            </w:pPr>
            <w:r>
              <w:rPr>
                <w:sz w:val="20"/>
              </w:rPr>
              <w:t>Reasonably</w:t>
            </w:r>
            <w:r>
              <w:rPr>
                <w:spacing w:val="-4"/>
                <w:sz w:val="20"/>
              </w:rPr>
              <w:t xml:space="preserve"> </w:t>
            </w:r>
            <w:r>
              <w:rPr>
                <w:sz w:val="20"/>
              </w:rPr>
              <w:t>possible</w:t>
            </w:r>
            <w:r>
              <w:rPr>
                <w:spacing w:val="-4"/>
                <w:sz w:val="20"/>
              </w:rPr>
              <w:t xml:space="preserve"> </w:t>
            </w:r>
            <w:r>
              <w:rPr>
                <w:sz w:val="20"/>
              </w:rPr>
              <w:t>high</w:t>
            </w:r>
            <w:r>
              <w:rPr>
                <w:spacing w:val="-4"/>
                <w:sz w:val="20"/>
              </w:rPr>
              <w:t xml:space="preserve"> </w:t>
            </w:r>
            <w:r>
              <w:rPr>
                <w:sz w:val="20"/>
              </w:rPr>
              <w:t>end</w:t>
            </w:r>
            <w:r>
              <w:rPr>
                <w:spacing w:val="-4"/>
                <w:sz w:val="20"/>
              </w:rPr>
              <w:t xml:space="preserve"> </w:t>
            </w:r>
            <w:r>
              <w:rPr>
                <w:sz w:val="20"/>
              </w:rPr>
              <w:t>of</w:t>
            </w:r>
            <w:r>
              <w:rPr>
                <w:spacing w:val="-3"/>
                <w:sz w:val="20"/>
              </w:rPr>
              <w:t xml:space="preserve"> </w:t>
            </w:r>
            <w:r>
              <w:rPr>
                <w:spacing w:val="-2"/>
                <w:sz w:val="20"/>
              </w:rPr>
              <w:t>range</w:t>
            </w:r>
          </w:p>
        </w:tc>
        <w:tc>
          <w:tcPr>
            <w:tcW w:w="2700" w:type="dxa"/>
            <w:vMerge/>
            <w:tcBorders>
              <w:top w:val="nil"/>
            </w:tcBorders>
          </w:tcPr>
          <w:p w14:paraId="0DFDCCBE" w14:textId="77777777" w:rsidR="00046465" w:rsidRDefault="00046465">
            <w:pPr>
              <w:rPr>
                <w:sz w:val="2"/>
                <w:szCs w:val="2"/>
              </w:rPr>
            </w:pPr>
          </w:p>
        </w:tc>
        <w:tc>
          <w:tcPr>
            <w:tcW w:w="2700" w:type="dxa"/>
            <w:vMerge/>
            <w:tcBorders>
              <w:top w:val="nil"/>
            </w:tcBorders>
          </w:tcPr>
          <w:p w14:paraId="0DFDCCBF" w14:textId="77777777" w:rsidR="00046465" w:rsidRDefault="00046465">
            <w:pPr>
              <w:rPr>
                <w:sz w:val="2"/>
                <w:szCs w:val="2"/>
              </w:rPr>
            </w:pPr>
          </w:p>
        </w:tc>
        <w:tc>
          <w:tcPr>
            <w:tcW w:w="2700" w:type="dxa"/>
            <w:vMerge/>
            <w:tcBorders>
              <w:top w:val="nil"/>
            </w:tcBorders>
          </w:tcPr>
          <w:p w14:paraId="0DFDCCC0" w14:textId="77777777" w:rsidR="00046465" w:rsidRDefault="00046465">
            <w:pPr>
              <w:rPr>
                <w:sz w:val="2"/>
                <w:szCs w:val="2"/>
              </w:rPr>
            </w:pPr>
          </w:p>
        </w:tc>
        <w:tc>
          <w:tcPr>
            <w:tcW w:w="5320" w:type="dxa"/>
            <w:vMerge/>
            <w:tcBorders>
              <w:top w:val="nil"/>
            </w:tcBorders>
          </w:tcPr>
          <w:p w14:paraId="0DFDCCC1" w14:textId="77777777" w:rsidR="00046465" w:rsidRDefault="00046465">
            <w:pPr>
              <w:rPr>
                <w:sz w:val="2"/>
                <w:szCs w:val="2"/>
              </w:rPr>
            </w:pPr>
          </w:p>
        </w:tc>
      </w:tr>
    </w:tbl>
    <w:p w14:paraId="0DFDCCC3" w14:textId="77777777" w:rsidR="00046465" w:rsidRDefault="00046465">
      <w:pPr>
        <w:pStyle w:val="BodyText"/>
        <w:spacing w:before="186"/>
        <w:rPr>
          <w:sz w:val="18"/>
        </w:rPr>
      </w:pPr>
    </w:p>
    <w:p w14:paraId="0DFDCCC4" w14:textId="77777777" w:rsidR="00046465" w:rsidRDefault="008134EB">
      <w:pPr>
        <w:ind w:left="468"/>
        <w:rPr>
          <w:b/>
          <w:sz w:val="18"/>
        </w:rPr>
      </w:pPr>
      <w:r>
        <w:rPr>
          <w:b/>
          <w:sz w:val="18"/>
        </w:rPr>
        <w:t>Instructions</w:t>
      </w:r>
      <w:r>
        <w:rPr>
          <w:b/>
          <w:spacing w:val="-6"/>
          <w:sz w:val="18"/>
        </w:rPr>
        <w:t xml:space="preserve"> </w:t>
      </w:r>
      <w:r>
        <w:rPr>
          <w:b/>
          <w:sz w:val="18"/>
        </w:rPr>
        <w:t>for</w:t>
      </w:r>
      <w:r>
        <w:rPr>
          <w:b/>
          <w:spacing w:val="-4"/>
          <w:sz w:val="18"/>
        </w:rPr>
        <w:t xml:space="preserve"> </w:t>
      </w:r>
      <w:r>
        <w:rPr>
          <w:b/>
          <w:sz w:val="18"/>
        </w:rPr>
        <w:t>Management</w:t>
      </w:r>
      <w:r>
        <w:rPr>
          <w:b/>
          <w:spacing w:val="-3"/>
          <w:sz w:val="18"/>
        </w:rPr>
        <w:t xml:space="preserve"> </w:t>
      </w:r>
      <w:r>
        <w:rPr>
          <w:b/>
          <w:sz w:val="18"/>
        </w:rPr>
        <w:t>Schedule</w:t>
      </w:r>
      <w:r>
        <w:rPr>
          <w:b/>
          <w:spacing w:val="-3"/>
          <w:sz w:val="18"/>
        </w:rPr>
        <w:t xml:space="preserve"> </w:t>
      </w:r>
      <w:r>
        <w:rPr>
          <w:b/>
          <w:sz w:val="18"/>
        </w:rPr>
        <w:t>Completion</w:t>
      </w:r>
      <w:r>
        <w:rPr>
          <w:b/>
          <w:spacing w:val="-4"/>
          <w:sz w:val="18"/>
        </w:rPr>
        <w:t xml:space="preserve"> </w:t>
      </w:r>
      <w:r>
        <w:rPr>
          <w:b/>
          <w:sz w:val="18"/>
        </w:rPr>
        <w:t>(by</w:t>
      </w:r>
      <w:r>
        <w:rPr>
          <w:b/>
          <w:spacing w:val="-4"/>
          <w:sz w:val="18"/>
        </w:rPr>
        <w:t xml:space="preserve"> </w:t>
      </w:r>
      <w:r>
        <w:rPr>
          <w:b/>
          <w:spacing w:val="-2"/>
          <w:sz w:val="18"/>
        </w:rPr>
        <w:t>column):</w:t>
      </w:r>
    </w:p>
    <w:p w14:paraId="0DFDCCC5" w14:textId="77777777" w:rsidR="00046465" w:rsidRDefault="00046465">
      <w:pPr>
        <w:pStyle w:val="BodyText"/>
        <w:rPr>
          <w:b/>
          <w:sz w:val="18"/>
        </w:rPr>
      </w:pPr>
    </w:p>
    <w:p w14:paraId="0DFDCCC6" w14:textId="77777777" w:rsidR="00046465" w:rsidRDefault="00046465">
      <w:pPr>
        <w:pStyle w:val="BodyText"/>
        <w:spacing w:before="12"/>
        <w:rPr>
          <w:b/>
          <w:sz w:val="18"/>
        </w:rPr>
      </w:pPr>
    </w:p>
    <w:p w14:paraId="0DFDCCC7" w14:textId="77777777" w:rsidR="00046465" w:rsidRDefault="008134EB">
      <w:pPr>
        <w:pStyle w:val="ListParagraph"/>
        <w:numPr>
          <w:ilvl w:val="1"/>
          <w:numId w:val="56"/>
        </w:numPr>
        <w:tabs>
          <w:tab w:val="left" w:pos="735"/>
          <w:tab w:val="left" w:pos="993"/>
        </w:tabs>
        <w:spacing w:before="0"/>
        <w:ind w:right="1401" w:hanging="526"/>
        <w:rPr>
          <w:sz w:val="18"/>
        </w:rPr>
      </w:pPr>
      <w:r>
        <w:rPr>
          <w:sz w:val="18"/>
        </w:rPr>
        <w:t>Fiscal</w:t>
      </w:r>
      <w:r>
        <w:rPr>
          <w:spacing w:val="-1"/>
          <w:sz w:val="18"/>
        </w:rPr>
        <w:t xml:space="preserve"> </w:t>
      </w:r>
      <w:r>
        <w:rPr>
          <w:sz w:val="18"/>
        </w:rPr>
        <w:t>Service</w:t>
      </w:r>
      <w:r>
        <w:rPr>
          <w:spacing w:val="-2"/>
          <w:sz w:val="18"/>
        </w:rPr>
        <w:t xml:space="preserve"> </w:t>
      </w:r>
      <w:r>
        <w:rPr>
          <w:sz w:val="18"/>
        </w:rPr>
        <w:t>Reference Key</w:t>
      </w:r>
      <w:r>
        <w:rPr>
          <w:spacing w:val="-1"/>
          <w:sz w:val="18"/>
        </w:rPr>
        <w:t xml:space="preserve"> </w:t>
      </w:r>
      <w:r>
        <w:rPr>
          <w:sz w:val="18"/>
        </w:rPr>
        <w:t>(if</w:t>
      </w:r>
      <w:r>
        <w:rPr>
          <w:spacing w:val="-1"/>
          <w:sz w:val="18"/>
        </w:rPr>
        <w:t xml:space="preserve"> </w:t>
      </w:r>
      <w:r>
        <w:rPr>
          <w:sz w:val="18"/>
        </w:rPr>
        <w:t>a</w:t>
      </w:r>
      <w:r>
        <w:rPr>
          <w:spacing w:val="-2"/>
          <w:sz w:val="18"/>
        </w:rPr>
        <w:t xml:space="preserve"> </w:t>
      </w:r>
      <w:r>
        <w:rPr>
          <w:sz w:val="18"/>
        </w:rPr>
        <w:t>significant</w:t>
      </w:r>
      <w:r>
        <w:rPr>
          <w:spacing w:val="-1"/>
          <w:sz w:val="18"/>
        </w:rPr>
        <w:t xml:space="preserve"> </w:t>
      </w:r>
      <w:r>
        <w:rPr>
          <w:sz w:val="18"/>
        </w:rPr>
        <w:t>entity)</w:t>
      </w:r>
      <w:r>
        <w:rPr>
          <w:spacing w:val="-1"/>
          <w:sz w:val="18"/>
        </w:rPr>
        <w:t xml:space="preserve"> </w:t>
      </w:r>
      <w:r>
        <w:rPr>
          <w:sz w:val="18"/>
        </w:rPr>
        <w:t>-</w:t>
      </w:r>
      <w:r>
        <w:rPr>
          <w:spacing w:val="-1"/>
          <w:sz w:val="18"/>
        </w:rPr>
        <w:t xml:space="preserve"> </w:t>
      </w:r>
      <w:r>
        <w:rPr>
          <w:sz w:val="18"/>
        </w:rPr>
        <w:t>Assign</w:t>
      </w:r>
      <w:r>
        <w:rPr>
          <w:spacing w:val="-2"/>
          <w:sz w:val="18"/>
        </w:rPr>
        <w:t xml:space="preserve"> </w:t>
      </w:r>
      <w:r>
        <w:rPr>
          <w:sz w:val="18"/>
        </w:rPr>
        <w:t>a</w:t>
      </w:r>
      <w:r>
        <w:rPr>
          <w:spacing w:val="-2"/>
          <w:sz w:val="18"/>
        </w:rPr>
        <w:t xml:space="preserve"> </w:t>
      </w:r>
      <w:r>
        <w:rPr>
          <w:sz w:val="18"/>
        </w:rPr>
        <w:t>numeric</w:t>
      </w:r>
      <w:r>
        <w:rPr>
          <w:spacing w:val="-1"/>
          <w:sz w:val="18"/>
        </w:rPr>
        <w:t xml:space="preserve"> </w:t>
      </w:r>
      <w:r>
        <w:rPr>
          <w:sz w:val="18"/>
        </w:rPr>
        <w:t>value</w:t>
      </w:r>
      <w:r>
        <w:rPr>
          <w:spacing w:val="-2"/>
          <w:sz w:val="18"/>
        </w:rPr>
        <w:t xml:space="preserve"> </w:t>
      </w:r>
      <w:r>
        <w:rPr>
          <w:sz w:val="18"/>
        </w:rPr>
        <w:t>to</w:t>
      </w:r>
      <w:r>
        <w:rPr>
          <w:spacing w:val="-2"/>
          <w:sz w:val="18"/>
        </w:rPr>
        <w:t xml:space="preserve"> </w:t>
      </w:r>
      <w:r>
        <w:rPr>
          <w:sz w:val="18"/>
        </w:rPr>
        <w:t>each case</w:t>
      </w:r>
      <w:r>
        <w:rPr>
          <w:spacing w:val="-2"/>
          <w:sz w:val="18"/>
        </w:rPr>
        <w:t xml:space="preserve"> </w:t>
      </w:r>
      <w:r>
        <w:rPr>
          <w:sz w:val="18"/>
        </w:rPr>
        <w:t>that</w:t>
      </w:r>
      <w:r>
        <w:rPr>
          <w:spacing w:val="-1"/>
          <w:sz w:val="18"/>
        </w:rPr>
        <w:t xml:space="preserve"> </w:t>
      </w:r>
      <w:r>
        <w:rPr>
          <w:sz w:val="18"/>
        </w:rPr>
        <w:t>will be</w:t>
      </w:r>
      <w:r>
        <w:rPr>
          <w:spacing w:val="-2"/>
          <w:sz w:val="18"/>
        </w:rPr>
        <w:t xml:space="preserve"> </w:t>
      </w:r>
      <w:r>
        <w:rPr>
          <w:sz w:val="18"/>
        </w:rPr>
        <w:t>used</w:t>
      </w:r>
      <w:r>
        <w:rPr>
          <w:spacing w:val="-2"/>
          <w:sz w:val="18"/>
        </w:rPr>
        <w:t xml:space="preserve"> </w:t>
      </w:r>
      <w:r>
        <w:rPr>
          <w:sz w:val="18"/>
        </w:rPr>
        <w:t>by</w:t>
      </w:r>
      <w:r>
        <w:rPr>
          <w:spacing w:val="-1"/>
          <w:sz w:val="18"/>
        </w:rPr>
        <w:t xml:space="preserve"> </w:t>
      </w:r>
      <w:r>
        <w:rPr>
          <w:sz w:val="18"/>
        </w:rPr>
        <w:t>the Department</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Treasury’s Bureau</w:t>
      </w:r>
      <w:r>
        <w:rPr>
          <w:spacing w:val="-2"/>
          <w:sz w:val="18"/>
        </w:rPr>
        <w:t xml:space="preserve"> </w:t>
      </w:r>
      <w:r>
        <w:rPr>
          <w:sz w:val="18"/>
        </w:rPr>
        <w:t>of</w:t>
      </w:r>
      <w:r>
        <w:rPr>
          <w:spacing w:val="-1"/>
          <w:sz w:val="18"/>
        </w:rPr>
        <w:t xml:space="preserve"> </w:t>
      </w:r>
      <w:r>
        <w:rPr>
          <w:sz w:val="18"/>
        </w:rPr>
        <w:t>the Fiscal</w:t>
      </w:r>
      <w:r>
        <w:rPr>
          <w:spacing w:val="-1"/>
          <w:sz w:val="18"/>
        </w:rPr>
        <w:t xml:space="preserve"> </w:t>
      </w:r>
      <w:r>
        <w:rPr>
          <w:sz w:val="18"/>
        </w:rPr>
        <w:t>Service</w:t>
      </w:r>
      <w:r>
        <w:rPr>
          <w:spacing w:val="-2"/>
          <w:sz w:val="18"/>
        </w:rPr>
        <w:t xml:space="preserve"> </w:t>
      </w:r>
      <w:r>
        <w:rPr>
          <w:sz w:val="18"/>
        </w:rPr>
        <w:t>to</w:t>
      </w:r>
      <w:r>
        <w:rPr>
          <w:spacing w:val="-2"/>
          <w:sz w:val="18"/>
        </w:rPr>
        <w:t xml:space="preserve"> </w:t>
      </w:r>
      <w:r>
        <w:rPr>
          <w:sz w:val="18"/>
        </w:rPr>
        <w:t>identify</w:t>
      </w:r>
      <w:r>
        <w:rPr>
          <w:spacing w:val="-1"/>
          <w:sz w:val="18"/>
        </w:rPr>
        <w:t xml:space="preserve"> </w:t>
      </w:r>
      <w:r>
        <w:rPr>
          <w:sz w:val="18"/>
        </w:rPr>
        <w:t>the</w:t>
      </w:r>
      <w:r>
        <w:rPr>
          <w:spacing w:val="-2"/>
          <w:sz w:val="18"/>
        </w:rPr>
        <w:t xml:space="preserve"> </w:t>
      </w:r>
      <w:r>
        <w:rPr>
          <w:sz w:val="18"/>
        </w:rPr>
        <w:t>matter</w:t>
      </w:r>
      <w:r>
        <w:rPr>
          <w:spacing w:val="-1"/>
          <w:sz w:val="18"/>
        </w:rPr>
        <w:t xml:space="preserve"> </w:t>
      </w:r>
      <w:r>
        <w:rPr>
          <w:sz w:val="18"/>
        </w:rPr>
        <w:t>throughout</w:t>
      </w:r>
      <w:r>
        <w:rPr>
          <w:spacing w:val="-1"/>
          <w:sz w:val="18"/>
        </w:rPr>
        <w:t xml:space="preserve"> </w:t>
      </w:r>
      <w:r>
        <w:rPr>
          <w:sz w:val="18"/>
        </w:rPr>
        <w:t>the</w:t>
      </w:r>
      <w:r>
        <w:rPr>
          <w:spacing w:val="-2"/>
          <w:sz w:val="18"/>
        </w:rPr>
        <w:t xml:space="preserve"> </w:t>
      </w:r>
      <w:r>
        <w:rPr>
          <w:sz w:val="18"/>
        </w:rPr>
        <w:t>legal</w:t>
      </w:r>
      <w:r>
        <w:rPr>
          <w:spacing w:val="-1"/>
          <w:sz w:val="18"/>
        </w:rPr>
        <w:t xml:space="preserve"> </w:t>
      </w:r>
      <w:r>
        <w:rPr>
          <w:sz w:val="18"/>
        </w:rPr>
        <w:t>counsel</w:t>
      </w:r>
      <w:r>
        <w:rPr>
          <w:spacing w:val="-1"/>
          <w:sz w:val="18"/>
        </w:rPr>
        <w:t xml:space="preserve"> </w:t>
      </w:r>
      <w:r>
        <w:rPr>
          <w:sz w:val="18"/>
        </w:rPr>
        <w:t>response</w:t>
      </w:r>
      <w:r>
        <w:rPr>
          <w:spacing w:val="-2"/>
          <w:sz w:val="18"/>
        </w:rPr>
        <w:t xml:space="preserve"> </w:t>
      </w:r>
      <w:r>
        <w:rPr>
          <w:sz w:val="18"/>
        </w:rPr>
        <w:t>reporting</w:t>
      </w:r>
      <w:r>
        <w:rPr>
          <w:spacing w:val="-2"/>
          <w:sz w:val="18"/>
        </w:rPr>
        <w:t xml:space="preserve"> </w:t>
      </w:r>
      <w:r>
        <w:rPr>
          <w:sz w:val="18"/>
        </w:rPr>
        <w:t>process</w:t>
      </w:r>
      <w:r>
        <w:rPr>
          <w:spacing w:val="-1"/>
          <w:sz w:val="18"/>
        </w:rPr>
        <w:t xml:space="preserve"> </w:t>
      </w:r>
      <w:r>
        <w:rPr>
          <w:sz w:val="18"/>
        </w:rPr>
        <w:t>for</w:t>
      </w:r>
      <w:r>
        <w:rPr>
          <w:spacing w:val="-1"/>
          <w:sz w:val="18"/>
        </w:rPr>
        <w:t xml:space="preserve"> </w:t>
      </w:r>
      <w:r>
        <w:rPr>
          <w:sz w:val="18"/>
        </w:rPr>
        <w:t>the current fiscal year. This value will not change from interim through the final legal counsel response update.</w:t>
      </w:r>
    </w:p>
    <w:p w14:paraId="0DFDCCC8" w14:textId="77777777" w:rsidR="00046465" w:rsidRDefault="008134EB">
      <w:pPr>
        <w:pStyle w:val="ListParagraph"/>
        <w:numPr>
          <w:ilvl w:val="1"/>
          <w:numId w:val="56"/>
        </w:numPr>
        <w:tabs>
          <w:tab w:val="left" w:pos="736"/>
        </w:tabs>
        <w:spacing w:before="117"/>
        <w:ind w:left="736" w:hanging="268"/>
        <w:rPr>
          <w:sz w:val="18"/>
        </w:rPr>
      </w:pPr>
      <w:r>
        <w:rPr>
          <w:sz w:val="18"/>
        </w:rPr>
        <w:t>Entity</w:t>
      </w:r>
      <w:r>
        <w:rPr>
          <w:spacing w:val="-5"/>
          <w:sz w:val="18"/>
        </w:rPr>
        <w:t xml:space="preserve"> </w:t>
      </w:r>
      <w:r>
        <w:rPr>
          <w:sz w:val="18"/>
        </w:rPr>
        <w:t>Reference</w:t>
      </w:r>
      <w:r>
        <w:rPr>
          <w:spacing w:val="-3"/>
          <w:sz w:val="18"/>
        </w:rPr>
        <w:t xml:space="preserve"> </w:t>
      </w:r>
      <w:r>
        <w:rPr>
          <w:sz w:val="18"/>
        </w:rPr>
        <w:t>Key</w:t>
      </w:r>
      <w:r>
        <w:rPr>
          <w:spacing w:val="-2"/>
          <w:sz w:val="18"/>
        </w:rPr>
        <w:t xml:space="preserve"> </w:t>
      </w:r>
      <w:r>
        <w:rPr>
          <w:sz w:val="18"/>
        </w:rPr>
        <w:t>-</w:t>
      </w:r>
      <w:r>
        <w:rPr>
          <w:spacing w:val="-2"/>
          <w:sz w:val="18"/>
        </w:rPr>
        <w:t xml:space="preserve"> </w:t>
      </w:r>
      <w:r>
        <w:rPr>
          <w:sz w:val="18"/>
        </w:rPr>
        <w:t>Enter</w:t>
      </w:r>
      <w:r>
        <w:rPr>
          <w:spacing w:val="-2"/>
          <w:sz w:val="18"/>
        </w:rPr>
        <w:t xml:space="preserve"> </w:t>
      </w:r>
      <w:r>
        <w:rPr>
          <w:sz w:val="18"/>
        </w:rPr>
        <w:t>the</w:t>
      </w:r>
      <w:r>
        <w:rPr>
          <w:spacing w:val="-4"/>
          <w:sz w:val="18"/>
        </w:rPr>
        <w:t xml:space="preserve"> </w:t>
      </w:r>
      <w:r>
        <w:rPr>
          <w:sz w:val="18"/>
        </w:rPr>
        <w:t>entity's</w:t>
      </w:r>
      <w:r>
        <w:rPr>
          <w:spacing w:val="-2"/>
          <w:sz w:val="18"/>
        </w:rPr>
        <w:t xml:space="preserve"> </w:t>
      </w:r>
      <w:r>
        <w:rPr>
          <w:sz w:val="18"/>
        </w:rPr>
        <w:t>reference</w:t>
      </w:r>
      <w:r>
        <w:rPr>
          <w:spacing w:val="-3"/>
          <w:sz w:val="18"/>
        </w:rPr>
        <w:t xml:space="preserve"> </w:t>
      </w:r>
      <w:r>
        <w:rPr>
          <w:sz w:val="18"/>
        </w:rPr>
        <w:t>number</w:t>
      </w:r>
      <w:r>
        <w:rPr>
          <w:spacing w:val="-2"/>
          <w:sz w:val="18"/>
        </w:rPr>
        <w:t xml:space="preserve"> </w:t>
      </w:r>
      <w:r>
        <w:rPr>
          <w:sz w:val="18"/>
        </w:rPr>
        <w:t>for</w:t>
      </w:r>
      <w:r>
        <w:rPr>
          <w:spacing w:val="-2"/>
          <w:sz w:val="18"/>
        </w:rPr>
        <w:t xml:space="preserve"> </w:t>
      </w:r>
      <w:r>
        <w:rPr>
          <w:sz w:val="18"/>
        </w:rPr>
        <w:t>identifying</w:t>
      </w:r>
      <w:r>
        <w:rPr>
          <w:spacing w:val="-4"/>
          <w:sz w:val="18"/>
        </w:rPr>
        <w:t xml:space="preserve"> </w:t>
      </w:r>
      <w:r>
        <w:rPr>
          <w:sz w:val="18"/>
        </w:rPr>
        <w:t>the</w:t>
      </w:r>
      <w:r>
        <w:rPr>
          <w:spacing w:val="-3"/>
          <w:sz w:val="18"/>
        </w:rPr>
        <w:t xml:space="preserve"> </w:t>
      </w:r>
      <w:r>
        <w:rPr>
          <w:sz w:val="18"/>
        </w:rPr>
        <w:t>case(s)</w:t>
      </w:r>
      <w:r>
        <w:rPr>
          <w:spacing w:val="-2"/>
          <w:sz w:val="18"/>
        </w:rPr>
        <w:t xml:space="preserve"> </w:t>
      </w:r>
      <w:r>
        <w:rPr>
          <w:sz w:val="18"/>
        </w:rPr>
        <w:t>listed</w:t>
      </w:r>
      <w:r>
        <w:rPr>
          <w:spacing w:val="-3"/>
          <w:sz w:val="18"/>
        </w:rPr>
        <w:t xml:space="preserve"> </w:t>
      </w:r>
      <w:r>
        <w:rPr>
          <w:sz w:val="18"/>
        </w:rPr>
        <w:t>on</w:t>
      </w:r>
      <w:r>
        <w:rPr>
          <w:spacing w:val="-3"/>
          <w:sz w:val="18"/>
        </w:rPr>
        <w:t xml:space="preserve"> </w:t>
      </w:r>
      <w:r>
        <w:rPr>
          <w:sz w:val="18"/>
        </w:rPr>
        <w:t>each</w:t>
      </w:r>
      <w:r>
        <w:rPr>
          <w:spacing w:val="-3"/>
          <w:sz w:val="18"/>
        </w:rPr>
        <w:t xml:space="preserve"> </w:t>
      </w:r>
      <w:r>
        <w:rPr>
          <w:sz w:val="18"/>
        </w:rPr>
        <w:t>line.</w:t>
      </w:r>
      <w:r>
        <w:rPr>
          <w:spacing w:val="-3"/>
          <w:sz w:val="18"/>
        </w:rPr>
        <w:t xml:space="preserve"> </w:t>
      </w:r>
      <w:r>
        <w:rPr>
          <w:sz w:val="18"/>
        </w:rPr>
        <w:t>This</w:t>
      </w:r>
      <w:r>
        <w:rPr>
          <w:spacing w:val="-2"/>
          <w:sz w:val="18"/>
        </w:rPr>
        <w:t xml:space="preserve"> </w:t>
      </w:r>
      <w:r>
        <w:rPr>
          <w:sz w:val="18"/>
        </w:rPr>
        <w:t>represents</w:t>
      </w:r>
      <w:r>
        <w:rPr>
          <w:spacing w:val="-2"/>
          <w:sz w:val="18"/>
        </w:rPr>
        <w:t xml:space="preserve"> </w:t>
      </w:r>
      <w:r>
        <w:rPr>
          <w:sz w:val="18"/>
        </w:rPr>
        <w:t>the</w:t>
      </w:r>
      <w:r>
        <w:rPr>
          <w:spacing w:val="-3"/>
          <w:sz w:val="18"/>
        </w:rPr>
        <w:t xml:space="preserve"> </w:t>
      </w:r>
      <w:r>
        <w:rPr>
          <w:sz w:val="18"/>
        </w:rPr>
        <w:t>page</w:t>
      </w:r>
      <w:r>
        <w:rPr>
          <w:spacing w:val="-1"/>
          <w:sz w:val="18"/>
        </w:rPr>
        <w:t xml:space="preserve"> </w:t>
      </w:r>
      <w:r>
        <w:rPr>
          <w:sz w:val="18"/>
        </w:rPr>
        <w:t>number</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legal</w:t>
      </w:r>
      <w:r>
        <w:rPr>
          <w:spacing w:val="-2"/>
          <w:sz w:val="18"/>
        </w:rPr>
        <w:t xml:space="preserve"> </w:t>
      </w:r>
      <w:r>
        <w:rPr>
          <w:sz w:val="18"/>
        </w:rPr>
        <w:t>counsel</w:t>
      </w:r>
      <w:r>
        <w:rPr>
          <w:spacing w:val="-2"/>
          <w:sz w:val="18"/>
        </w:rPr>
        <w:t xml:space="preserve"> </w:t>
      </w:r>
      <w:r>
        <w:rPr>
          <w:sz w:val="18"/>
        </w:rPr>
        <w:t>response</w:t>
      </w:r>
      <w:r>
        <w:rPr>
          <w:spacing w:val="-3"/>
          <w:sz w:val="18"/>
        </w:rPr>
        <w:t xml:space="preserve"> </w:t>
      </w:r>
      <w:r>
        <w:rPr>
          <w:sz w:val="18"/>
        </w:rPr>
        <w:t>obtained</w:t>
      </w:r>
      <w:r>
        <w:rPr>
          <w:spacing w:val="-3"/>
          <w:sz w:val="18"/>
        </w:rPr>
        <w:t xml:space="preserve"> </w:t>
      </w:r>
      <w:r>
        <w:rPr>
          <w:sz w:val="18"/>
        </w:rPr>
        <w:t>from</w:t>
      </w:r>
      <w:r>
        <w:rPr>
          <w:spacing w:val="-2"/>
          <w:sz w:val="18"/>
        </w:rPr>
        <w:t xml:space="preserve"> </w:t>
      </w:r>
      <w:r>
        <w:rPr>
          <w:sz w:val="18"/>
        </w:rPr>
        <w:t>general</w:t>
      </w:r>
      <w:r>
        <w:rPr>
          <w:spacing w:val="-1"/>
          <w:sz w:val="18"/>
        </w:rPr>
        <w:t xml:space="preserve"> </w:t>
      </w:r>
      <w:r>
        <w:rPr>
          <w:sz w:val="18"/>
        </w:rPr>
        <w:t>counsel</w:t>
      </w:r>
      <w:r>
        <w:rPr>
          <w:spacing w:val="-2"/>
          <w:sz w:val="18"/>
        </w:rPr>
        <w:t xml:space="preserve"> </w:t>
      </w:r>
      <w:r>
        <w:rPr>
          <w:sz w:val="18"/>
        </w:rPr>
        <w:t>discussing</w:t>
      </w:r>
      <w:r>
        <w:rPr>
          <w:spacing w:val="-4"/>
          <w:sz w:val="18"/>
        </w:rPr>
        <w:t xml:space="preserve"> </w:t>
      </w:r>
      <w:r>
        <w:rPr>
          <w:sz w:val="18"/>
        </w:rPr>
        <w:t>the</w:t>
      </w:r>
      <w:r>
        <w:rPr>
          <w:spacing w:val="-3"/>
          <w:sz w:val="18"/>
        </w:rPr>
        <w:t xml:space="preserve"> </w:t>
      </w:r>
      <w:r>
        <w:rPr>
          <w:sz w:val="18"/>
        </w:rPr>
        <w:t>case,</w:t>
      </w:r>
      <w:r>
        <w:rPr>
          <w:spacing w:val="-2"/>
          <w:sz w:val="18"/>
        </w:rPr>
        <w:t xml:space="preserve"> </w:t>
      </w:r>
      <w:r>
        <w:rPr>
          <w:sz w:val="18"/>
        </w:rPr>
        <w:t>or</w:t>
      </w:r>
      <w:r>
        <w:rPr>
          <w:spacing w:val="-2"/>
          <w:sz w:val="18"/>
        </w:rPr>
        <w:t xml:space="preserve"> </w:t>
      </w:r>
      <w:r>
        <w:rPr>
          <w:sz w:val="18"/>
        </w:rPr>
        <w:t>other</w:t>
      </w:r>
      <w:r>
        <w:rPr>
          <w:spacing w:val="-2"/>
          <w:sz w:val="18"/>
        </w:rPr>
        <w:t xml:space="preserve"> </w:t>
      </w:r>
      <w:r>
        <w:rPr>
          <w:sz w:val="18"/>
        </w:rPr>
        <w:t>reference</w:t>
      </w:r>
      <w:r>
        <w:rPr>
          <w:spacing w:val="-3"/>
          <w:sz w:val="18"/>
        </w:rPr>
        <w:t xml:space="preserve"> </w:t>
      </w:r>
      <w:r>
        <w:rPr>
          <w:spacing w:val="-2"/>
          <w:sz w:val="18"/>
        </w:rPr>
        <w:t>information.</w:t>
      </w:r>
    </w:p>
    <w:p w14:paraId="0DFDCCC9" w14:textId="77777777" w:rsidR="00046465" w:rsidRDefault="008134EB">
      <w:pPr>
        <w:pStyle w:val="ListParagraph"/>
        <w:numPr>
          <w:ilvl w:val="1"/>
          <w:numId w:val="56"/>
        </w:numPr>
        <w:tabs>
          <w:tab w:val="left" w:pos="735"/>
          <w:tab w:val="left" w:pos="993"/>
        </w:tabs>
        <w:spacing w:before="81"/>
        <w:ind w:right="1421" w:hanging="526"/>
        <w:rPr>
          <w:sz w:val="18"/>
        </w:rPr>
      </w:pPr>
      <w:r>
        <w:rPr>
          <w:sz w:val="18"/>
        </w:rPr>
        <w:t>Name</w:t>
      </w:r>
      <w:r>
        <w:rPr>
          <w:spacing w:val="-2"/>
          <w:sz w:val="18"/>
        </w:rPr>
        <w:t xml:space="preserve"> </w:t>
      </w:r>
      <w:r>
        <w:rPr>
          <w:sz w:val="18"/>
        </w:rPr>
        <w:t>of</w:t>
      </w:r>
      <w:r>
        <w:rPr>
          <w:spacing w:val="-1"/>
          <w:sz w:val="18"/>
        </w:rPr>
        <w:t xml:space="preserve"> </w:t>
      </w:r>
      <w:r>
        <w:rPr>
          <w:sz w:val="18"/>
        </w:rPr>
        <w:t>case/related</w:t>
      </w:r>
      <w:r>
        <w:rPr>
          <w:spacing w:val="-2"/>
          <w:sz w:val="18"/>
        </w:rPr>
        <w:t xml:space="preserve"> </w:t>
      </w:r>
      <w:r>
        <w:rPr>
          <w:sz w:val="18"/>
        </w:rPr>
        <w:t>cases</w:t>
      </w:r>
      <w:r>
        <w:rPr>
          <w:spacing w:val="-1"/>
          <w:sz w:val="18"/>
        </w:rPr>
        <w:t xml:space="preserve"> </w:t>
      </w:r>
      <w:r>
        <w:rPr>
          <w:sz w:val="18"/>
        </w:rPr>
        <w:t>-</w:t>
      </w:r>
      <w:r>
        <w:rPr>
          <w:spacing w:val="-1"/>
          <w:sz w:val="18"/>
        </w:rPr>
        <w:t xml:space="preserve"> </w:t>
      </w:r>
      <w:r>
        <w:rPr>
          <w:sz w:val="18"/>
        </w:rPr>
        <w:t>Enter</w:t>
      </w:r>
      <w:r>
        <w:rPr>
          <w:spacing w:val="-1"/>
          <w:sz w:val="18"/>
        </w:rPr>
        <w:t xml:space="preserve"> </w:t>
      </w:r>
      <w:r>
        <w:rPr>
          <w:sz w:val="18"/>
        </w:rPr>
        <w:t>the</w:t>
      </w:r>
      <w:r>
        <w:rPr>
          <w:spacing w:val="-2"/>
          <w:sz w:val="18"/>
        </w:rPr>
        <w:t xml:space="preserve"> </w:t>
      </w:r>
      <w:r>
        <w:rPr>
          <w:sz w:val="18"/>
        </w:rPr>
        <w:t>case</w:t>
      </w:r>
      <w:r>
        <w:rPr>
          <w:spacing w:val="-2"/>
          <w:sz w:val="18"/>
        </w:rPr>
        <w:t xml:space="preserve"> </w:t>
      </w:r>
      <w:r>
        <w:rPr>
          <w:sz w:val="18"/>
        </w:rPr>
        <w:t>name</w:t>
      </w:r>
      <w:r>
        <w:rPr>
          <w:spacing w:val="-2"/>
          <w:sz w:val="18"/>
        </w:rPr>
        <w:t xml:space="preserve"> </w:t>
      </w:r>
      <w:r>
        <w:rPr>
          <w:sz w:val="18"/>
        </w:rPr>
        <w:t>or</w:t>
      </w:r>
      <w:r>
        <w:rPr>
          <w:spacing w:val="-1"/>
          <w:sz w:val="18"/>
        </w:rPr>
        <w:t xml:space="preserve"> </w:t>
      </w:r>
      <w:r>
        <w:rPr>
          <w:sz w:val="18"/>
        </w:rPr>
        <w:t>name</w:t>
      </w:r>
      <w:r>
        <w:rPr>
          <w:spacing w:val="-2"/>
          <w:sz w:val="18"/>
        </w:rPr>
        <w:t xml:space="preserve"> </w:t>
      </w:r>
      <w:r>
        <w:rPr>
          <w:sz w:val="18"/>
        </w:rPr>
        <w:t>of</w:t>
      </w:r>
      <w:r>
        <w:rPr>
          <w:spacing w:val="-1"/>
          <w:sz w:val="18"/>
        </w:rPr>
        <w:t xml:space="preserve"> </w:t>
      </w:r>
      <w:r>
        <w:rPr>
          <w:sz w:val="18"/>
        </w:rPr>
        <w:t>aggregated</w:t>
      </w:r>
      <w:r>
        <w:rPr>
          <w:spacing w:val="-2"/>
          <w:sz w:val="18"/>
        </w:rPr>
        <w:t xml:space="preserve"> </w:t>
      </w:r>
      <w:r>
        <w:rPr>
          <w:sz w:val="18"/>
        </w:rPr>
        <w:t>cases</w:t>
      </w:r>
      <w:r>
        <w:rPr>
          <w:spacing w:val="-1"/>
          <w:sz w:val="18"/>
        </w:rPr>
        <w:t xml:space="preserve"> </w:t>
      </w:r>
      <w:r>
        <w:rPr>
          <w:sz w:val="18"/>
        </w:rPr>
        <w:t>from field</w:t>
      </w:r>
      <w:r>
        <w:rPr>
          <w:spacing w:val="-2"/>
          <w:sz w:val="18"/>
        </w:rPr>
        <w:t xml:space="preserve"> </w:t>
      </w:r>
      <w:r>
        <w:rPr>
          <w:sz w:val="18"/>
        </w:rPr>
        <w:t>1</w:t>
      </w:r>
      <w:r>
        <w:rPr>
          <w:spacing w:val="-2"/>
          <w:sz w:val="18"/>
        </w:rPr>
        <w:t xml:space="preserve"> </w:t>
      </w:r>
      <w:r>
        <w:rPr>
          <w:sz w:val="18"/>
        </w:rPr>
        <w:t>on</w:t>
      </w:r>
      <w:r>
        <w:rPr>
          <w:spacing w:val="-2"/>
          <w:sz w:val="18"/>
        </w:rPr>
        <w:t xml:space="preserve"> </w:t>
      </w:r>
      <w:r>
        <w:rPr>
          <w:sz w:val="18"/>
        </w:rPr>
        <w:t>DOJ’s</w:t>
      </w:r>
      <w:r>
        <w:rPr>
          <w:spacing w:val="-1"/>
          <w:sz w:val="18"/>
        </w:rPr>
        <w:t xml:space="preserve"> </w:t>
      </w:r>
      <w:r>
        <w:rPr>
          <w:sz w:val="18"/>
        </w:rPr>
        <w:t>“Pending</w:t>
      </w:r>
      <w:r>
        <w:rPr>
          <w:spacing w:val="-2"/>
          <w:sz w:val="18"/>
        </w:rPr>
        <w:t xml:space="preserve"> </w:t>
      </w:r>
      <w:r>
        <w:rPr>
          <w:sz w:val="18"/>
        </w:rPr>
        <w:t>or Threatened</w:t>
      </w:r>
      <w:r>
        <w:rPr>
          <w:spacing w:val="-2"/>
          <w:sz w:val="18"/>
        </w:rPr>
        <w:t xml:space="preserve"> </w:t>
      </w:r>
      <w:r>
        <w:rPr>
          <w:sz w:val="18"/>
        </w:rPr>
        <w:t>Litigation” form</w:t>
      </w:r>
      <w:r>
        <w:rPr>
          <w:spacing w:val="-1"/>
          <w:sz w:val="18"/>
        </w:rPr>
        <w:t xml:space="preserve"> </w:t>
      </w:r>
      <w:r>
        <w:rPr>
          <w:sz w:val="18"/>
        </w:rPr>
        <w:t>or</w:t>
      </w:r>
      <w:r>
        <w:rPr>
          <w:spacing w:val="-1"/>
          <w:sz w:val="18"/>
        </w:rPr>
        <w:t xml:space="preserve"> </w:t>
      </w:r>
      <w:r>
        <w:rPr>
          <w:sz w:val="18"/>
        </w:rPr>
        <w:t>for</w:t>
      </w:r>
      <w:r>
        <w:rPr>
          <w:spacing w:val="-1"/>
          <w:sz w:val="18"/>
        </w:rPr>
        <w:t xml:space="preserve"> </w:t>
      </w:r>
      <w:r>
        <w:rPr>
          <w:sz w:val="18"/>
        </w:rPr>
        <w:t>unasserted claims</w:t>
      </w:r>
      <w:r>
        <w:rPr>
          <w:spacing w:val="-1"/>
          <w:sz w:val="18"/>
        </w:rPr>
        <w:t xml:space="preserve"> </w:t>
      </w:r>
      <w:r>
        <w:rPr>
          <w:sz w:val="18"/>
        </w:rPr>
        <w:t>and</w:t>
      </w:r>
      <w:r>
        <w:rPr>
          <w:spacing w:val="-2"/>
          <w:sz w:val="18"/>
        </w:rPr>
        <w:t xml:space="preserve"> </w:t>
      </w:r>
      <w:r>
        <w:rPr>
          <w:sz w:val="18"/>
        </w:rPr>
        <w:t>assessments,</w:t>
      </w:r>
      <w:r>
        <w:rPr>
          <w:spacing w:val="-1"/>
          <w:sz w:val="18"/>
        </w:rPr>
        <w:t xml:space="preserve"> </w:t>
      </w:r>
      <w:r>
        <w:rPr>
          <w:sz w:val="18"/>
        </w:rPr>
        <w:t>enter</w:t>
      </w:r>
      <w:r>
        <w:rPr>
          <w:spacing w:val="-1"/>
          <w:sz w:val="18"/>
        </w:rPr>
        <w:t xml:space="preserve"> </w:t>
      </w:r>
      <w:r>
        <w:rPr>
          <w:sz w:val="18"/>
        </w:rPr>
        <w:t>the</w:t>
      </w:r>
      <w:r>
        <w:rPr>
          <w:spacing w:val="-2"/>
          <w:sz w:val="18"/>
        </w:rPr>
        <w:t xml:space="preserve"> </w:t>
      </w:r>
      <w:r>
        <w:rPr>
          <w:sz w:val="18"/>
        </w:rPr>
        <w:t>name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matter</w:t>
      </w:r>
      <w:r>
        <w:rPr>
          <w:spacing w:val="-1"/>
          <w:sz w:val="18"/>
        </w:rPr>
        <w:t xml:space="preserve"> </w:t>
      </w:r>
      <w:r>
        <w:rPr>
          <w:sz w:val="18"/>
        </w:rPr>
        <w:t>from</w:t>
      </w:r>
      <w:r>
        <w:rPr>
          <w:spacing w:val="-1"/>
          <w:sz w:val="18"/>
        </w:rPr>
        <w:t xml:space="preserve"> </w:t>
      </w:r>
      <w:r>
        <w:rPr>
          <w:sz w:val="18"/>
        </w:rPr>
        <w:t>field</w:t>
      </w:r>
      <w:r>
        <w:rPr>
          <w:spacing w:val="-2"/>
          <w:sz w:val="18"/>
        </w:rPr>
        <w:t xml:space="preserve"> </w:t>
      </w:r>
      <w:r>
        <w:rPr>
          <w:sz w:val="18"/>
        </w:rPr>
        <w:t>1</w:t>
      </w:r>
      <w:r>
        <w:rPr>
          <w:spacing w:val="-2"/>
          <w:sz w:val="18"/>
        </w:rPr>
        <w:t xml:space="preserve"> </w:t>
      </w:r>
      <w:r>
        <w:rPr>
          <w:sz w:val="18"/>
        </w:rPr>
        <w:t>on</w:t>
      </w:r>
      <w:r>
        <w:rPr>
          <w:spacing w:val="-2"/>
          <w:sz w:val="18"/>
        </w:rPr>
        <w:t xml:space="preserve"> </w:t>
      </w:r>
      <w:r>
        <w:rPr>
          <w:sz w:val="18"/>
        </w:rPr>
        <w:t>DOJ’s</w:t>
      </w:r>
      <w:r>
        <w:rPr>
          <w:spacing w:val="-1"/>
          <w:sz w:val="18"/>
        </w:rPr>
        <w:t xml:space="preserve"> </w:t>
      </w:r>
      <w:r>
        <w:rPr>
          <w:sz w:val="18"/>
        </w:rPr>
        <w:t>“Unasserted</w:t>
      </w:r>
      <w:r>
        <w:rPr>
          <w:spacing w:val="-2"/>
          <w:sz w:val="18"/>
        </w:rPr>
        <w:t xml:space="preserve"> </w:t>
      </w:r>
      <w:r>
        <w:rPr>
          <w:sz w:val="18"/>
        </w:rPr>
        <w:t>Claims and Assessments” form.</w:t>
      </w:r>
    </w:p>
    <w:p w14:paraId="0DFDCCCA" w14:textId="77777777" w:rsidR="00046465" w:rsidRDefault="008134EB">
      <w:pPr>
        <w:pStyle w:val="ListParagraph"/>
        <w:numPr>
          <w:ilvl w:val="1"/>
          <w:numId w:val="56"/>
        </w:numPr>
        <w:tabs>
          <w:tab w:val="left" w:pos="939"/>
        </w:tabs>
        <w:spacing w:before="171" w:line="207" w:lineRule="exact"/>
        <w:ind w:left="939" w:hanging="471"/>
        <w:rPr>
          <w:sz w:val="18"/>
        </w:rPr>
      </w:pPr>
      <w:r>
        <w:rPr>
          <w:sz w:val="18"/>
        </w:rPr>
        <w:t>(a)</w:t>
      </w:r>
      <w:r>
        <w:rPr>
          <w:spacing w:val="-4"/>
          <w:sz w:val="18"/>
        </w:rPr>
        <w:t xml:space="preserve"> </w:t>
      </w:r>
      <w:r>
        <w:rPr>
          <w:sz w:val="18"/>
        </w:rPr>
        <w:t>Type</w:t>
      </w:r>
      <w:r>
        <w:rPr>
          <w:spacing w:val="-3"/>
          <w:sz w:val="18"/>
        </w:rPr>
        <w:t xml:space="preserve"> </w:t>
      </w:r>
      <w:r>
        <w:rPr>
          <w:sz w:val="18"/>
        </w:rPr>
        <w:t>of</w:t>
      </w:r>
      <w:r>
        <w:rPr>
          <w:spacing w:val="-3"/>
          <w:sz w:val="18"/>
        </w:rPr>
        <w:t xml:space="preserve"> </w:t>
      </w:r>
      <w:r>
        <w:rPr>
          <w:sz w:val="18"/>
        </w:rPr>
        <w:t>contingency</w:t>
      </w:r>
      <w:r>
        <w:rPr>
          <w:spacing w:val="-1"/>
          <w:sz w:val="18"/>
        </w:rPr>
        <w:t xml:space="preserve"> </w:t>
      </w:r>
      <w:r>
        <w:rPr>
          <w:sz w:val="18"/>
        </w:rPr>
        <w:t>–</w:t>
      </w:r>
      <w:r>
        <w:rPr>
          <w:spacing w:val="-4"/>
          <w:sz w:val="18"/>
        </w:rPr>
        <w:t xml:space="preserve"> </w:t>
      </w:r>
      <w:r>
        <w:rPr>
          <w:sz w:val="18"/>
        </w:rPr>
        <w:t>Enter</w:t>
      </w:r>
      <w:r>
        <w:rPr>
          <w:spacing w:val="-2"/>
          <w:sz w:val="18"/>
        </w:rPr>
        <w:t xml:space="preserve"> </w:t>
      </w:r>
      <w:r>
        <w:rPr>
          <w:sz w:val="18"/>
        </w:rPr>
        <w:t>either</w:t>
      </w:r>
      <w:r>
        <w:rPr>
          <w:spacing w:val="-3"/>
          <w:sz w:val="18"/>
        </w:rPr>
        <w:t xml:space="preserve"> </w:t>
      </w:r>
      <w:r>
        <w:rPr>
          <w:sz w:val="18"/>
        </w:rPr>
        <w:t>“legal”</w:t>
      </w:r>
      <w:r>
        <w:rPr>
          <w:spacing w:val="-2"/>
          <w:sz w:val="18"/>
        </w:rPr>
        <w:t xml:space="preserve"> </w:t>
      </w:r>
      <w:r>
        <w:rPr>
          <w:sz w:val="18"/>
        </w:rPr>
        <w:t>or</w:t>
      </w:r>
      <w:r>
        <w:rPr>
          <w:spacing w:val="-2"/>
          <w:sz w:val="18"/>
        </w:rPr>
        <w:t xml:space="preserve"> </w:t>
      </w:r>
      <w:r>
        <w:rPr>
          <w:sz w:val="18"/>
        </w:rPr>
        <w:t>“legal-</w:t>
      </w:r>
      <w:r>
        <w:rPr>
          <w:spacing w:val="-2"/>
          <w:sz w:val="18"/>
        </w:rPr>
        <w:t>environmental”</w:t>
      </w:r>
    </w:p>
    <w:p w14:paraId="0DFDCCCB" w14:textId="77777777" w:rsidR="00046465" w:rsidRDefault="008134EB">
      <w:pPr>
        <w:spacing w:line="207" w:lineRule="exact"/>
        <w:ind w:left="969"/>
        <w:rPr>
          <w:sz w:val="18"/>
        </w:rPr>
      </w:pPr>
      <w:r>
        <w:rPr>
          <w:sz w:val="18"/>
        </w:rPr>
        <w:t>(b)</w:t>
      </w:r>
      <w:r>
        <w:rPr>
          <w:spacing w:val="-5"/>
          <w:sz w:val="18"/>
        </w:rPr>
        <w:t xml:space="preserve"> </w:t>
      </w:r>
      <w:r>
        <w:rPr>
          <w:sz w:val="18"/>
        </w:rPr>
        <w:t>Description</w:t>
      </w:r>
      <w:r>
        <w:rPr>
          <w:spacing w:val="-3"/>
          <w:sz w:val="18"/>
        </w:rPr>
        <w:t xml:space="preserve"> </w:t>
      </w:r>
      <w:r>
        <w:rPr>
          <w:sz w:val="18"/>
        </w:rPr>
        <w:t>of</w:t>
      </w:r>
      <w:r>
        <w:rPr>
          <w:spacing w:val="-3"/>
          <w:sz w:val="18"/>
        </w:rPr>
        <w:t xml:space="preserve"> </w:t>
      </w:r>
      <w:r>
        <w:rPr>
          <w:sz w:val="18"/>
        </w:rPr>
        <w:t>contingency</w:t>
      </w:r>
      <w:r>
        <w:rPr>
          <w:spacing w:val="-2"/>
          <w:sz w:val="18"/>
        </w:rPr>
        <w:t xml:space="preserve"> </w:t>
      </w:r>
      <w:r>
        <w:rPr>
          <w:sz w:val="18"/>
        </w:rPr>
        <w:t>-</w:t>
      </w:r>
      <w:r>
        <w:rPr>
          <w:spacing w:val="-2"/>
          <w:sz w:val="18"/>
        </w:rPr>
        <w:t xml:space="preserve"> </w:t>
      </w:r>
      <w:r>
        <w:rPr>
          <w:sz w:val="18"/>
        </w:rPr>
        <w:t>Enter</w:t>
      </w:r>
      <w:r>
        <w:rPr>
          <w:spacing w:val="-3"/>
          <w:sz w:val="18"/>
        </w:rPr>
        <w:t xml:space="preserve"> </w:t>
      </w:r>
      <w:r>
        <w:rPr>
          <w:sz w:val="18"/>
        </w:rPr>
        <w:t>a</w:t>
      </w:r>
      <w:r>
        <w:rPr>
          <w:spacing w:val="-1"/>
          <w:sz w:val="18"/>
        </w:rPr>
        <w:t xml:space="preserve"> </w:t>
      </w:r>
      <w:r>
        <w:rPr>
          <w:sz w:val="18"/>
        </w:rPr>
        <w:t>description</w:t>
      </w:r>
      <w:r>
        <w:rPr>
          <w:spacing w:val="-4"/>
          <w:sz w:val="18"/>
        </w:rPr>
        <w:t xml:space="preserve"> </w:t>
      </w:r>
      <w:r>
        <w:rPr>
          <w:sz w:val="18"/>
        </w:rPr>
        <w:t>of</w:t>
      </w:r>
      <w:r>
        <w:rPr>
          <w:spacing w:val="-2"/>
          <w:sz w:val="18"/>
        </w:rPr>
        <w:t xml:space="preserve"> </w:t>
      </w:r>
      <w:r>
        <w:rPr>
          <w:sz w:val="18"/>
        </w:rPr>
        <w:t>the</w:t>
      </w:r>
      <w:r>
        <w:rPr>
          <w:spacing w:val="-3"/>
          <w:sz w:val="18"/>
        </w:rPr>
        <w:t xml:space="preserve"> </w:t>
      </w:r>
      <w:r>
        <w:rPr>
          <w:sz w:val="18"/>
        </w:rPr>
        <w:t>case(s)</w:t>
      </w:r>
      <w:r>
        <w:rPr>
          <w:spacing w:val="-3"/>
          <w:sz w:val="18"/>
        </w:rPr>
        <w:t xml:space="preserve"> </w:t>
      </w:r>
      <w:r>
        <w:rPr>
          <w:sz w:val="18"/>
        </w:rPr>
        <w:t>from</w:t>
      </w:r>
      <w:r>
        <w:rPr>
          <w:spacing w:val="-2"/>
          <w:sz w:val="18"/>
        </w:rPr>
        <w:t xml:space="preserve"> </w:t>
      </w:r>
      <w:r>
        <w:rPr>
          <w:sz w:val="18"/>
        </w:rPr>
        <w:t>field</w:t>
      </w:r>
      <w:r>
        <w:rPr>
          <w:spacing w:val="-4"/>
          <w:sz w:val="18"/>
        </w:rPr>
        <w:t xml:space="preserve"> </w:t>
      </w:r>
      <w:r>
        <w:rPr>
          <w:sz w:val="18"/>
        </w:rPr>
        <w:t>2</w:t>
      </w:r>
      <w:r>
        <w:rPr>
          <w:spacing w:val="-3"/>
          <w:sz w:val="18"/>
        </w:rPr>
        <w:t xml:space="preserve"> </w:t>
      </w:r>
      <w:r>
        <w:rPr>
          <w:sz w:val="18"/>
        </w:rPr>
        <w:t>on</w:t>
      </w:r>
      <w:r>
        <w:rPr>
          <w:spacing w:val="-3"/>
          <w:sz w:val="18"/>
        </w:rPr>
        <w:t xml:space="preserve"> </w:t>
      </w:r>
      <w:r>
        <w:rPr>
          <w:sz w:val="18"/>
        </w:rPr>
        <w:t>DOJ’s</w:t>
      </w:r>
      <w:r>
        <w:rPr>
          <w:spacing w:val="-3"/>
          <w:sz w:val="18"/>
        </w:rPr>
        <w:t xml:space="preserve"> </w:t>
      </w:r>
      <w:r>
        <w:rPr>
          <w:sz w:val="18"/>
        </w:rPr>
        <w:t>“Pending</w:t>
      </w:r>
      <w:r>
        <w:rPr>
          <w:spacing w:val="-1"/>
          <w:sz w:val="18"/>
        </w:rPr>
        <w:t xml:space="preserve"> </w:t>
      </w:r>
      <w:r>
        <w:rPr>
          <w:sz w:val="18"/>
        </w:rPr>
        <w:t>or</w:t>
      </w:r>
      <w:r>
        <w:rPr>
          <w:spacing w:val="-3"/>
          <w:sz w:val="18"/>
        </w:rPr>
        <w:t xml:space="preserve"> </w:t>
      </w:r>
      <w:r>
        <w:rPr>
          <w:sz w:val="18"/>
        </w:rPr>
        <w:t>Threatened</w:t>
      </w:r>
      <w:r>
        <w:rPr>
          <w:spacing w:val="-1"/>
          <w:sz w:val="18"/>
        </w:rPr>
        <w:t xml:space="preserve"> </w:t>
      </w:r>
      <w:r>
        <w:rPr>
          <w:sz w:val="18"/>
        </w:rPr>
        <w:t>Litigation”</w:t>
      </w:r>
      <w:r>
        <w:rPr>
          <w:spacing w:val="-2"/>
          <w:sz w:val="18"/>
        </w:rPr>
        <w:t xml:space="preserve"> </w:t>
      </w:r>
      <w:r>
        <w:rPr>
          <w:sz w:val="18"/>
        </w:rPr>
        <w:t>form</w:t>
      </w:r>
      <w:r>
        <w:rPr>
          <w:spacing w:val="-2"/>
          <w:sz w:val="18"/>
        </w:rPr>
        <w:t xml:space="preserve"> </w:t>
      </w:r>
      <w:r>
        <w:rPr>
          <w:sz w:val="18"/>
        </w:rPr>
        <w:t>or</w:t>
      </w:r>
      <w:r>
        <w:rPr>
          <w:spacing w:val="-2"/>
          <w:sz w:val="18"/>
        </w:rPr>
        <w:t xml:space="preserve"> </w:t>
      </w:r>
      <w:r>
        <w:rPr>
          <w:sz w:val="18"/>
        </w:rPr>
        <w:t>from</w:t>
      </w:r>
      <w:r>
        <w:rPr>
          <w:spacing w:val="-3"/>
          <w:sz w:val="18"/>
        </w:rPr>
        <w:t xml:space="preserve"> </w:t>
      </w:r>
      <w:r>
        <w:rPr>
          <w:sz w:val="18"/>
        </w:rPr>
        <w:t>DOJ’s</w:t>
      </w:r>
      <w:r>
        <w:rPr>
          <w:spacing w:val="-3"/>
          <w:sz w:val="18"/>
        </w:rPr>
        <w:t xml:space="preserve"> </w:t>
      </w:r>
      <w:r>
        <w:rPr>
          <w:sz w:val="18"/>
        </w:rPr>
        <w:t>“Unasserted</w:t>
      </w:r>
      <w:r>
        <w:rPr>
          <w:spacing w:val="-3"/>
          <w:sz w:val="18"/>
        </w:rPr>
        <w:t xml:space="preserve"> </w:t>
      </w:r>
      <w:r>
        <w:rPr>
          <w:sz w:val="18"/>
        </w:rPr>
        <w:t>Claims</w:t>
      </w:r>
      <w:r>
        <w:rPr>
          <w:spacing w:val="-3"/>
          <w:sz w:val="18"/>
        </w:rPr>
        <w:t xml:space="preserve"> </w:t>
      </w:r>
      <w:r>
        <w:rPr>
          <w:sz w:val="18"/>
        </w:rPr>
        <w:t>and</w:t>
      </w:r>
      <w:r>
        <w:rPr>
          <w:spacing w:val="-3"/>
          <w:sz w:val="18"/>
        </w:rPr>
        <w:t xml:space="preserve"> </w:t>
      </w:r>
      <w:r>
        <w:rPr>
          <w:sz w:val="18"/>
        </w:rPr>
        <w:t>Assessments”</w:t>
      </w:r>
      <w:r>
        <w:rPr>
          <w:spacing w:val="-2"/>
          <w:sz w:val="18"/>
        </w:rPr>
        <w:t xml:space="preserve"> form.</w:t>
      </w:r>
    </w:p>
    <w:p w14:paraId="0DFDCCCC" w14:textId="77777777" w:rsidR="00046465" w:rsidRDefault="008134EB">
      <w:pPr>
        <w:pStyle w:val="ListParagraph"/>
        <w:numPr>
          <w:ilvl w:val="1"/>
          <w:numId w:val="56"/>
        </w:numPr>
        <w:tabs>
          <w:tab w:val="left" w:pos="737"/>
        </w:tabs>
        <w:spacing w:before="153"/>
        <w:ind w:left="737" w:hanging="269"/>
        <w:rPr>
          <w:sz w:val="18"/>
        </w:rPr>
      </w:pPr>
      <w:r>
        <w:rPr>
          <w:sz w:val="18"/>
        </w:rPr>
        <w:t>Amount</w:t>
      </w:r>
      <w:r>
        <w:rPr>
          <w:spacing w:val="-3"/>
          <w:sz w:val="18"/>
        </w:rPr>
        <w:t xml:space="preserve"> </w:t>
      </w:r>
      <w:r>
        <w:rPr>
          <w:sz w:val="18"/>
        </w:rPr>
        <w:t>claimed</w:t>
      </w:r>
      <w:r>
        <w:rPr>
          <w:spacing w:val="-3"/>
          <w:sz w:val="18"/>
        </w:rPr>
        <w:t xml:space="preserve"> </w:t>
      </w:r>
      <w:r>
        <w:rPr>
          <w:sz w:val="18"/>
        </w:rPr>
        <w:t>-</w:t>
      </w:r>
      <w:r>
        <w:rPr>
          <w:spacing w:val="-3"/>
          <w:sz w:val="18"/>
        </w:rPr>
        <w:t xml:space="preserve"> </w:t>
      </w:r>
      <w:r>
        <w:rPr>
          <w:sz w:val="18"/>
        </w:rPr>
        <w:t>If</w:t>
      </w:r>
      <w:r>
        <w:rPr>
          <w:spacing w:val="-2"/>
          <w:sz w:val="18"/>
        </w:rPr>
        <w:t xml:space="preserve"> </w:t>
      </w:r>
      <w:r>
        <w:rPr>
          <w:sz w:val="18"/>
        </w:rPr>
        <w:t>specified,</w:t>
      </w:r>
      <w:r>
        <w:rPr>
          <w:spacing w:val="-3"/>
          <w:sz w:val="18"/>
        </w:rPr>
        <w:t xml:space="preserve"> </w:t>
      </w:r>
      <w:r>
        <w:rPr>
          <w:sz w:val="18"/>
        </w:rPr>
        <w:t>enter</w:t>
      </w:r>
      <w:r>
        <w:rPr>
          <w:spacing w:val="-2"/>
          <w:sz w:val="18"/>
        </w:rPr>
        <w:t xml:space="preserve"> </w:t>
      </w:r>
      <w:r>
        <w:rPr>
          <w:sz w:val="18"/>
        </w:rPr>
        <w:t>the</w:t>
      </w:r>
      <w:r>
        <w:rPr>
          <w:spacing w:val="-3"/>
          <w:sz w:val="18"/>
        </w:rPr>
        <w:t xml:space="preserve"> </w:t>
      </w:r>
      <w:r>
        <w:rPr>
          <w:sz w:val="18"/>
        </w:rPr>
        <w:t>claim</w:t>
      </w:r>
      <w:r>
        <w:rPr>
          <w:spacing w:val="-3"/>
          <w:sz w:val="18"/>
        </w:rPr>
        <w:t xml:space="preserve"> </w:t>
      </w:r>
      <w:r>
        <w:rPr>
          <w:sz w:val="18"/>
        </w:rPr>
        <w:t>amount</w:t>
      </w:r>
      <w:r>
        <w:rPr>
          <w:spacing w:val="-2"/>
          <w:sz w:val="18"/>
        </w:rPr>
        <w:t xml:space="preserve"> </w:t>
      </w:r>
      <w:r>
        <w:rPr>
          <w:sz w:val="18"/>
        </w:rPr>
        <w:t>(single</w:t>
      </w:r>
      <w:r>
        <w:rPr>
          <w:spacing w:val="-4"/>
          <w:sz w:val="18"/>
        </w:rPr>
        <w:t xml:space="preserve"> </w:t>
      </w:r>
      <w:r>
        <w:rPr>
          <w:sz w:val="18"/>
        </w:rPr>
        <w:t>dollar</w:t>
      </w:r>
      <w:r>
        <w:rPr>
          <w:spacing w:val="-2"/>
          <w:sz w:val="18"/>
        </w:rPr>
        <w:t xml:space="preserve"> </w:t>
      </w:r>
      <w:r>
        <w:rPr>
          <w:sz w:val="18"/>
        </w:rPr>
        <w:t>estimate)</w:t>
      </w:r>
      <w:r>
        <w:rPr>
          <w:spacing w:val="-2"/>
          <w:sz w:val="18"/>
        </w:rPr>
        <w:t xml:space="preserve"> </w:t>
      </w:r>
      <w:r>
        <w:rPr>
          <w:sz w:val="18"/>
        </w:rPr>
        <w:t>for</w:t>
      </w:r>
      <w:r>
        <w:rPr>
          <w:spacing w:val="-3"/>
          <w:sz w:val="18"/>
        </w:rPr>
        <w:t xml:space="preserve"> </w:t>
      </w:r>
      <w:r>
        <w:rPr>
          <w:sz w:val="18"/>
        </w:rPr>
        <w:t>the</w:t>
      </w:r>
      <w:r>
        <w:rPr>
          <w:spacing w:val="-3"/>
          <w:sz w:val="18"/>
        </w:rPr>
        <w:t xml:space="preserve"> </w:t>
      </w:r>
      <w:r>
        <w:rPr>
          <w:sz w:val="18"/>
        </w:rPr>
        <w:t>litigation,</w:t>
      </w:r>
      <w:r>
        <w:rPr>
          <w:spacing w:val="-3"/>
          <w:sz w:val="18"/>
        </w:rPr>
        <w:t xml:space="preserve"> </w:t>
      </w:r>
      <w:r>
        <w:rPr>
          <w:sz w:val="18"/>
        </w:rPr>
        <w:t>claim,</w:t>
      </w:r>
      <w:r>
        <w:rPr>
          <w:spacing w:val="-1"/>
          <w:sz w:val="18"/>
        </w:rPr>
        <w:t xml:space="preserve"> </w:t>
      </w:r>
      <w:r>
        <w:rPr>
          <w:sz w:val="18"/>
        </w:rPr>
        <w:t>or</w:t>
      </w:r>
      <w:r>
        <w:rPr>
          <w:spacing w:val="-3"/>
          <w:sz w:val="18"/>
        </w:rPr>
        <w:t xml:space="preserve"> </w:t>
      </w:r>
      <w:r>
        <w:rPr>
          <w:sz w:val="18"/>
        </w:rPr>
        <w:t>assessment</w:t>
      </w:r>
      <w:r>
        <w:rPr>
          <w:spacing w:val="-2"/>
          <w:sz w:val="18"/>
        </w:rPr>
        <w:t xml:space="preserve"> </w:t>
      </w:r>
      <w:r>
        <w:rPr>
          <w:sz w:val="18"/>
        </w:rPr>
        <w:t>as</w:t>
      </w:r>
      <w:r>
        <w:rPr>
          <w:spacing w:val="-2"/>
          <w:sz w:val="18"/>
        </w:rPr>
        <w:t xml:space="preserve"> </w:t>
      </w:r>
      <w:r>
        <w:rPr>
          <w:sz w:val="18"/>
        </w:rPr>
        <w:t>specified</w:t>
      </w:r>
      <w:r>
        <w:rPr>
          <w:spacing w:val="-4"/>
          <w:sz w:val="18"/>
        </w:rPr>
        <w:t xml:space="preserve"> </w:t>
      </w:r>
      <w:r>
        <w:rPr>
          <w:sz w:val="18"/>
        </w:rPr>
        <w:t>on</w:t>
      </w:r>
      <w:r>
        <w:rPr>
          <w:spacing w:val="-1"/>
          <w:sz w:val="18"/>
        </w:rPr>
        <w:t xml:space="preserve"> </w:t>
      </w:r>
      <w:r>
        <w:rPr>
          <w:sz w:val="18"/>
        </w:rPr>
        <w:t>the</w:t>
      </w:r>
      <w:r>
        <w:rPr>
          <w:spacing w:val="-4"/>
          <w:sz w:val="18"/>
        </w:rPr>
        <w:t xml:space="preserve"> </w:t>
      </w:r>
      <w:r>
        <w:rPr>
          <w:sz w:val="18"/>
        </w:rPr>
        <w:t>supporting</w:t>
      </w:r>
      <w:r>
        <w:rPr>
          <w:spacing w:val="-1"/>
          <w:sz w:val="18"/>
        </w:rPr>
        <w:t xml:space="preserve"> </w:t>
      </w:r>
      <w:r>
        <w:rPr>
          <w:sz w:val="18"/>
        </w:rPr>
        <w:t>legal</w:t>
      </w:r>
      <w:r>
        <w:rPr>
          <w:spacing w:val="-3"/>
          <w:sz w:val="18"/>
        </w:rPr>
        <w:t xml:space="preserve"> </w:t>
      </w:r>
      <w:r>
        <w:rPr>
          <w:sz w:val="18"/>
        </w:rPr>
        <w:t>counsel</w:t>
      </w:r>
      <w:r>
        <w:rPr>
          <w:spacing w:val="-2"/>
          <w:sz w:val="18"/>
        </w:rPr>
        <w:t xml:space="preserve"> </w:t>
      </w:r>
      <w:r>
        <w:rPr>
          <w:sz w:val="18"/>
        </w:rPr>
        <w:t>response</w:t>
      </w:r>
      <w:r>
        <w:rPr>
          <w:spacing w:val="-2"/>
          <w:sz w:val="18"/>
        </w:rPr>
        <w:t xml:space="preserve"> </w:t>
      </w:r>
      <w:r>
        <w:rPr>
          <w:sz w:val="18"/>
        </w:rPr>
        <w:t>prepared</w:t>
      </w:r>
      <w:r>
        <w:rPr>
          <w:spacing w:val="-4"/>
          <w:sz w:val="18"/>
        </w:rPr>
        <w:t xml:space="preserve"> </w:t>
      </w:r>
      <w:r>
        <w:rPr>
          <w:sz w:val="18"/>
        </w:rPr>
        <w:t>by</w:t>
      </w:r>
      <w:r>
        <w:rPr>
          <w:spacing w:val="-2"/>
          <w:sz w:val="18"/>
        </w:rPr>
        <w:t xml:space="preserve"> </w:t>
      </w:r>
      <w:r>
        <w:rPr>
          <w:sz w:val="18"/>
        </w:rPr>
        <w:t>the</w:t>
      </w:r>
      <w:r>
        <w:rPr>
          <w:spacing w:val="-4"/>
          <w:sz w:val="18"/>
        </w:rPr>
        <w:t xml:space="preserve"> </w:t>
      </w:r>
      <w:r>
        <w:rPr>
          <w:sz w:val="18"/>
        </w:rPr>
        <w:t>entity's</w:t>
      </w:r>
      <w:r>
        <w:rPr>
          <w:spacing w:val="-2"/>
          <w:sz w:val="18"/>
        </w:rPr>
        <w:t xml:space="preserve"> </w:t>
      </w:r>
      <w:r>
        <w:rPr>
          <w:sz w:val="18"/>
        </w:rPr>
        <w:t>general</w:t>
      </w:r>
      <w:r>
        <w:rPr>
          <w:spacing w:val="-2"/>
          <w:sz w:val="18"/>
        </w:rPr>
        <w:t xml:space="preserve"> counsel.</w:t>
      </w:r>
    </w:p>
    <w:p w14:paraId="0DFDCCCD" w14:textId="77777777" w:rsidR="00046465" w:rsidRDefault="008134EB">
      <w:pPr>
        <w:pStyle w:val="ListParagraph"/>
        <w:numPr>
          <w:ilvl w:val="1"/>
          <w:numId w:val="56"/>
        </w:numPr>
        <w:tabs>
          <w:tab w:val="left" w:pos="736"/>
          <w:tab w:val="left" w:pos="993"/>
        </w:tabs>
        <w:spacing w:before="1"/>
        <w:ind w:right="1325" w:hanging="526"/>
        <w:rPr>
          <w:sz w:val="18"/>
        </w:rPr>
      </w:pPr>
      <w:r>
        <w:rPr>
          <w:sz w:val="18"/>
        </w:rPr>
        <w:t xml:space="preserve">Likelihood of loss - Indicate management’s evaluation of the likelihood of loss on individual or aggregated cases. Input “Probable” (loss more likely than not to occur, except for pending/threatened ligation and unasserted claims for which loss is likely to occur), “Reasonably Possible” (the chance of loss is less than probable, but more than remote), “Remote” (the chance of loss is slight), or “Unable to Determine” (per the </w:t>
      </w:r>
      <w:r>
        <w:rPr>
          <w:i/>
          <w:sz w:val="18"/>
        </w:rPr>
        <w:t>Treasury Financial Manual</w:t>
      </w:r>
      <w:r>
        <w:rPr>
          <w:sz w:val="18"/>
        </w:rPr>
        <w:t>, entities significant to the consolidated financial statements of the U.S.</w:t>
      </w:r>
      <w:r>
        <w:rPr>
          <w:spacing w:val="-1"/>
          <w:sz w:val="18"/>
        </w:rPr>
        <w:t xml:space="preserve"> </w:t>
      </w:r>
      <w:r>
        <w:rPr>
          <w:sz w:val="18"/>
        </w:rPr>
        <w:t>government</w:t>
      </w:r>
      <w:r>
        <w:rPr>
          <w:spacing w:val="-1"/>
          <w:sz w:val="18"/>
        </w:rPr>
        <w:t xml:space="preserve"> </w:t>
      </w:r>
      <w:r>
        <w:rPr>
          <w:sz w:val="18"/>
        </w:rPr>
        <w:t>should</w:t>
      </w:r>
      <w:r>
        <w:rPr>
          <w:spacing w:val="-2"/>
          <w:sz w:val="18"/>
        </w:rPr>
        <w:t xml:space="preserve"> </w:t>
      </w:r>
      <w:r>
        <w:rPr>
          <w:sz w:val="18"/>
        </w:rPr>
        <w:t>avoid excessive</w:t>
      </w:r>
      <w:r>
        <w:rPr>
          <w:spacing w:val="-1"/>
          <w:sz w:val="18"/>
        </w:rPr>
        <w:t xml:space="preserve"> </w:t>
      </w:r>
      <w:r>
        <w:rPr>
          <w:sz w:val="18"/>
        </w:rPr>
        <w:t>use and</w:t>
      </w:r>
      <w:r>
        <w:rPr>
          <w:spacing w:val="-2"/>
          <w:sz w:val="18"/>
        </w:rPr>
        <w:t xml:space="preserve"> </w:t>
      </w:r>
      <w:r>
        <w:rPr>
          <w:sz w:val="18"/>
        </w:rPr>
        <w:t>misuse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“unable</w:t>
      </w:r>
      <w:r>
        <w:rPr>
          <w:spacing w:val="-2"/>
          <w:sz w:val="18"/>
        </w:rPr>
        <w:t xml:space="preserve"> </w:t>
      </w:r>
      <w:r>
        <w:rPr>
          <w:sz w:val="18"/>
        </w:rPr>
        <w:t>to</w:t>
      </w:r>
      <w:r>
        <w:rPr>
          <w:spacing w:val="-2"/>
          <w:sz w:val="18"/>
        </w:rPr>
        <w:t xml:space="preserve"> </w:t>
      </w:r>
      <w:r>
        <w:rPr>
          <w:sz w:val="18"/>
        </w:rPr>
        <w:t>determine” assessment;</w:t>
      </w:r>
      <w:r>
        <w:rPr>
          <w:spacing w:val="-1"/>
          <w:sz w:val="18"/>
        </w:rPr>
        <w:t xml:space="preserve"> </w:t>
      </w:r>
      <w:r>
        <w:rPr>
          <w:sz w:val="18"/>
        </w:rPr>
        <w:t>this</w:t>
      </w:r>
      <w:r>
        <w:rPr>
          <w:spacing w:val="-1"/>
          <w:sz w:val="18"/>
        </w:rPr>
        <w:t xml:space="preserve"> </w:t>
      </w:r>
      <w:r>
        <w:rPr>
          <w:sz w:val="18"/>
        </w:rPr>
        <w:t>likelihood</w:t>
      </w:r>
      <w:r>
        <w:rPr>
          <w:spacing w:val="-2"/>
          <w:sz w:val="18"/>
        </w:rPr>
        <w:t xml:space="preserve"> </w:t>
      </w:r>
      <w:r>
        <w:rPr>
          <w:sz w:val="18"/>
        </w:rPr>
        <w:t>should</w:t>
      </w:r>
      <w:r>
        <w:rPr>
          <w:spacing w:val="-2"/>
          <w:sz w:val="18"/>
        </w:rPr>
        <w:t xml:space="preserve"> </w:t>
      </w:r>
      <w:r>
        <w:rPr>
          <w:sz w:val="18"/>
        </w:rPr>
        <w:t>only</w:t>
      </w:r>
      <w:r>
        <w:rPr>
          <w:spacing w:val="-1"/>
          <w:sz w:val="18"/>
        </w:rPr>
        <w:t xml:space="preserve"> </w:t>
      </w:r>
      <w:r>
        <w:rPr>
          <w:sz w:val="18"/>
        </w:rPr>
        <w:t>be</w:t>
      </w:r>
      <w:r>
        <w:rPr>
          <w:spacing w:val="-2"/>
          <w:sz w:val="18"/>
        </w:rPr>
        <w:t xml:space="preserve"> </w:t>
      </w:r>
      <w:r>
        <w:rPr>
          <w:sz w:val="18"/>
        </w:rPr>
        <w:t>used</w:t>
      </w:r>
      <w:r>
        <w:rPr>
          <w:spacing w:val="-2"/>
          <w:sz w:val="18"/>
        </w:rPr>
        <w:t xml:space="preserve"> </w:t>
      </w:r>
      <w:r>
        <w:rPr>
          <w:sz w:val="18"/>
        </w:rPr>
        <w:t>to</w:t>
      </w:r>
      <w:r>
        <w:rPr>
          <w:spacing w:val="-2"/>
          <w:sz w:val="18"/>
        </w:rPr>
        <w:t xml:space="preserve"> </w:t>
      </w:r>
      <w:r>
        <w:rPr>
          <w:sz w:val="18"/>
        </w:rPr>
        <w:t>categorize</w:t>
      </w:r>
      <w:r>
        <w:rPr>
          <w:spacing w:val="-2"/>
          <w:sz w:val="18"/>
        </w:rPr>
        <w:t xml:space="preserve"> </w:t>
      </w:r>
      <w:r>
        <w:rPr>
          <w:sz w:val="18"/>
        </w:rPr>
        <w:t>cases</w:t>
      </w:r>
      <w:r>
        <w:rPr>
          <w:spacing w:val="-1"/>
          <w:sz w:val="18"/>
        </w:rPr>
        <w:t xml:space="preserve"> </w:t>
      </w:r>
      <w:r>
        <w:rPr>
          <w:sz w:val="18"/>
        </w:rPr>
        <w:t>for</w:t>
      </w:r>
      <w:r>
        <w:rPr>
          <w:spacing w:val="-1"/>
          <w:sz w:val="18"/>
        </w:rPr>
        <w:t xml:space="preserve"> </w:t>
      </w:r>
      <w:r>
        <w:rPr>
          <w:sz w:val="18"/>
        </w:rPr>
        <w:t>which</w:t>
      </w:r>
      <w:r>
        <w:rPr>
          <w:spacing w:val="-2"/>
          <w:sz w:val="18"/>
        </w:rPr>
        <w:t xml:space="preserve"> </w:t>
      </w:r>
      <w:r>
        <w:rPr>
          <w:sz w:val="18"/>
        </w:rPr>
        <w:t>the</w:t>
      </w:r>
      <w:r>
        <w:rPr>
          <w:spacing w:val="-2"/>
          <w:sz w:val="18"/>
        </w:rPr>
        <w:t xml:space="preserve"> </w:t>
      </w:r>
      <w:r>
        <w:rPr>
          <w:sz w:val="18"/>
        </w:rPr>
        <w:t>general</w:t>
      </w:r>
      <w:r>
        <w:rPr>
          <w:spacing w:val="-1"/>
          <w:sz w:val="18"/>
        </w:rPr>
        <w:t xml:space="preserve"> </w:t>
      </w:r>
      <w:r>
        <w:rPr>
          <w:sz w:val="18"/>
        </w:rPr>
        <w:t>counsel</w:t>
      </w:r>
      <w:r>
        <w:rPr>
          <w:spacing w:val="-1"/>
          <w:sz w:val="18"/>
        </w:rPr>
        <w:t xml:space="preserve"> </w:t>
      </w:r>
      <w:r>
        <w:rPr>
          <w:sz w:val="18"/>
        </w:rPr>
        <w:t>is</w:t>
      </w:r>
      <w:r>
        <w:rPr>
          <w:spacing w:val="-1"/>
          <w:sz w:val="18"/>
        </w:rPr>
        <w:t xml:space="preserve"> </w:t>
      </w:r>
      <w:r>
        <w:rPr>
          <w:sz w:val="18"/>
        </w:rPr>
        <w:t>unable to</w:t>
      </w:r>
      <w:r>
        <w:rPr>
          <w:spacing w:val="-2"/>
          <w:sz w:val="18"/>
        </w:rPr>
        <w:t xml:space="preserve"> </w:t>
      </w:r>
      <w:r>
        <w:rPr>
          <w:sz w:val="18"/>
        </w:rPr>
        <w:t>express</w:t>
      </w:r>
      <w:r>
        <w:rPr>
          <w:spacing w:val="-1"/>
          <w:sz w:val="18"/>
        </w:rPr>
        <w:t xml:space="preserve"> </w:t>
      </w:r>
      <w:r>
        <w:rPr>
          <w:sz w:val="18"/>
        </w:rPr>
        <w:t>an opinion</w:t>
      </w:r>
      <w:r>
        <w:rPr>
          <w:spacing w:val="-2"/>
          <w:sz w:val="18"/>
        </w:rPr>
        <w:t xml:space="preserve"> </w:t>
      </w:r>
      <w:r>
        <w:rPr>
          <w:sz w:val="18"/>
        </w:rPr>
        <w:t>because</w:t>
      </w:r>
      <w:r>
        <w:rPr>
          <w:spacing w:val="-2"/>
          <w:sz w:val="18"/>
        </w:rPr>
        <w:t xml:space="preserve"> </w:t>
      </w:r>
      <w:r>
        <w:rPr>
          <w:sz w:val="18"/>
        </w:rPr>
        <w:t>of inherent</w:t>
      </w:r>
      <w:r>
        <w:rPr>
          <w:spacing w:val="-1"/>
          <w:sz w:val="18"/>
        </w:rPr>
        <w:t xml:space="preserve"> </w:t>
      </w:r>
      <w:r>
        <w:rPr>
          <w:sz w:val="18"/>
        </w:rPr>
        <w:t>uncertainties).</w:t>
      </w:r>
      <w:r>
        <w:rPr>
          <w:spacing w:val="-1"/>
          <w:sz w:val="18"/>
        </w:rPr>
        <w:t xml:space="preserve"> </w:t>
      </w:r>
      <w:r>
        <w:rPr>
          <w:sz w:val="18"/>
        </w:rPr>
        <w:t>The evaluation should be consistent with the supporting legal counsel response prepared by the entity’s general counsel.</w:t>
      </w:r>
    </w:p>
    <w:p w14:paraId="0DFDCCCE" w14:textId="77777777" w:rsidR="00046465" w:rsidRDefault="008134EB">
      <w:pPr>
        <w:pStyle w:val="ListParagraph"/>
        <w:numPr>
          <w:ilvl w:val="1"/>
          <w:numId w:val="56"/>
        </w:numPr>
        <w:tabs>
          <w:tab w:val="left" w:pos="737"/>
        </w:tabs>
        <w:spacing w:before="189"/>
        <w:ind w:left="737" w:hanging="269"/>
        <w:rPr>
          <w:sz w:val="18"/>
        </w:rPr>
      </w:pPr>
      <w:r>
        <w:rPr>
          <w:sz w:val="18"/>
        </w:rPr>
        <w:t>Estimated</w:t>
      </w:r>
      <w:r>
        <w:rPr>
          <w:spacing w:val="-6"/>
          <w:sz w:val="18"/>
        </w:rPr>
        <w:t xml:space="preserve"> </w:t>
      </w:r>
      <w:r>
        <w:rPr>
          <w:sz w:val="18"/>
        </w:rPr>
        <w:t>amount</w:t>
      </w:r>
      <w:r>
        <w:rPr>
          <w:spacing w:val="-2"/>
          <w:sz w:val="18"/>
        </w:rPr>
        <w:t xml:space="preserve"> </w:t>
      </w:r>
      <w:r>
        <w:rPr>
          <w:sz w:val="18"/>
        </w:rPr>
        <w:t>or</w:t>
      </w:r>
      <w:r>
        <w:rPr>
          <w:spacing w:val="-3"/>
          <w:sz w:val="18"/>
        </w:rPr>
        <w:t xml:space="preserve"> </w:t>
      </w:r>
      <w:r>
        <w:rPr>
          <w:sz w:val="18"/>
        </w:rPr>
        <w:t>range</w:t>
      </w:r>
      <w:r>
        <w:rPr>
          <w:spacing w:val="-1"/>
          <w:sz w:val="18"/>
        </w:rPr>
        <w:t xml:space="preserve"> </w:t>
      </w:r>
      <w:r>
        <w:rPr>
          <w:sz w:val="18"/>
        </w:rPr>
        <w:t>of</w:t>
      </w:r>
      <w:r>
        <w:rPr>
          <w:spacing w:val="-2"/>
          <w:sz w:val="18"/>
        </w:rPr>
        <w:t xml:space="preserve"> </w:t>
      </w:r>
      <w:r>
        <w:rPr>
          <w:sz w:val="18"/>
        </w:rPr>
        <w:t>potential</w:t>
      </w:r>
      <w:r>
        <w:rPr>
          <w:spacing w:val="-3"/>
          <w:sz w:val="18"/>
        </w:rPr>
        <w:t xml:space="preserve"> </w:t>
      </w:r>
      <w:r>
        <w:rPr>
          <w:sz w:val="18"/>
        </w:rPr>
        <w:t>loss</w:t>
      </w:r>
      <w:r>
        <w:rPr>
          <w:spacing w:val="-2"/>
          <w:sz w:val="18"/>
        </w:rPr>
        <w:t xml:space="preserve"> </w:t>
      </w:r>
      <w:r>
        <w:rPr>
          <w:sz w:val="18"/>
        </w:rPr>
        <w:t>(should</w:t>
      </w:r>
      <w:r>
        <w:rPr>
          <w:spacing w:val="-4"/>
          <w:sz w:val="18"/>
        </w:rPr>
        <w:t xml:space="preserve"> </w:t>
      </w:r>
      <w:r>
        <w:rPr>
          <w:sz w:val="18"/>
        </w:rPr>
        <w:t>be</w:t>
      </w:r>
      <w:r>
        <w:rPr>
          <w:spacing w:val="-3"/>
          <w:sz w:val="18"/>
        </w:rPr>
        <w:t xml:space="preserve"> </w:t>
      </w:r>
      <w:r>
        <w:rPr>
          <w:sz w:val="18"/>
        </w:rPr>
        <w:t>consistent</w:t>
      </w:r>
      <w:r>
        <w:rPr>
          <w:spacing w:val="-2"/>
          <w:sz w:val="18"/>
        </w:rPr>
        <w:t xml:space="preserve"> </w:t>
      </w:r>
      <w:r>
        <w:rPr>
          <w:sz w:val="18"/>
        </w:rPr>
        <w:t>with</w:t>
      </w:r>
      <w:r>
        <w:rPr>
          <w:spacing w:val="-4"/>
          <w:sz w:val="18"/>
        </w:rPr>
        <w:t xml:space="preserve"> </w:t>
      </w:r>
      <w:r>
        <w:rPr>
          <w:sz w:val="18"/>
        </w:rPr>
        <w:t>the</w:t>
      </w:r>
      <w:r>
        <w:rPr>
          <w:spacing w:val="-3"/>
          <w:sz w:val="18"/>
        </w:rPr>
        <w:t xml:space="preserve"> </w:t>
      </w:r>
      <w:r>
        <w:rPr>
          <w:sz w:val="18"/>
        </w:rPr>
        <w:t>supporting</w:t>
      </w:r>
      <w:r>
        <w:rPr>
          <w:spacing w:val="-2"/>
          <w:sz w:val="18"/>
        </w:rPr>
        <w:t xml:space="preserve"> </w:t>
      </w:r>
      <w:r>
        <w:rPr>
          <w:sz w:val="18"/>
        </w:rPr>
        <w:t>legal</w:t>
      </w:r>
      <w:r>
        <w:rPr>
          <w:spacing w:val="-3"/>
          <w:sz w:val="18"/>
        </w:rPr>
        <w:t xml:space="preserve"> </w:t>
      </w:r>
      <w:r>
        <w:rPr>
          <w:sz w:val="18"/>
        </w:rPr>
        <w:t>counsel</w:t>
      </w:r>
      <w:r>
        <w:rPr>
          <w:spacing w:val="-2"/>
          <w:sz w:val="18"/>
        </w:rPr>
        <w:t xml:space="preserve"> </w:t>
      </w:r>
      <w:r>
        <w:rPr>
          <w:sz w:val="18"/>
        </w:rPr>
        <w:t>response</w:t>
      </w:r>
      <w:r>
        <w:rPr>
          <w:spacing w:val="-3"/>
          <w:sz w:val="18"/>
        </w:rPr>
        <w:t xml:space="preserve"> </w:t>
      </w:r>
      <w:r>
        <w:rPr>
          <w:sz w:val="18"/>
        </w:rPr>
        <w:t>prepared</w:t>
      </w:r>
      <w:r>
        <w:rPr>
          <w:spacing w:val="-3"/>
          <w:sz w:val="18"/>
        </w:rPr>
        <w:t xml:space="preserve"> </w:t>
      </w:r>
      <w:r>
        <w:rPr>
          <w:sz w:val="18"/>
        </w:rPr>
        <w:t>by</w:t>
      </w:r>
      <w:r>
        <w:rPr>
          <w:spacing w:val="-2"/>
          <w:sz w:val="18"/>
        </w:rPr>
        <w:t xml:space="preserve"> </w:t>
      </w:r>
      <w:r>
        <w:rPr>
          <w:sz w:val="18"/>
        </w:rPr>
        <w:t>the</w:t>
      </w:r>
      <w:r>
        <w:rPr>
          <w:spacing w:val="-4"/>
          <w:sz w:val="18"/>
        </w:rPr>
        <w:t xml:space="preserve"> </w:t>
      </w:r>
      <w:r>
        <w:rPr>
          <w:sz w:val="18"/>
        </w:rPr>
        <w:t>entity’s</w:t>
      </w:r>
      <w:r>
        <w:rPr>
          <w:spacing w:val="-2"/>
          <w:sz w:val="18"/>
        </w:rPr>
        <w:t xml:space="preserve"> </w:t>
      </w:r>
      <w:r>
        <w:rPr>
          <w:sz w:val="18"/>
        </w:rPr>
        <w:t>general</w:t>
      </w:r>
      <w:r>
        <w:rPr>
          <w:spacing w:val="-2"/>
          <w:sz w:val="18"/>
        </w:rPr>
        <w:t xml:space="preserve"> counsel):</w:t>
      </w:r>
    </w:p>
    <w:p w14:paraId="0DFDCCCF" w14:textId="77777777" w:rsidR="00046465" w:rsidRDefault="008134EB">
      <w:pPr>
        <w:pStyle w:val="ListParagraph"/>
        <w:numPr>
          <w:ilvl w:val="2"/>
          <w:numId w:val="56"/>
        </w:numPr>
        <w:tabs>
          <w:tab w:val="left" w:pos="1262"/>
        </w:tabs>
        <w:spacing w:before="63"/>
        <w:ind w:left="1262" w:hanging="269"/>
        <w:rPr>
          <w:sz w:val="18"/>
        </w:rPr>
      </w:pPr>
      <w:r>
        <w:rPr>
          <w:sz w:val="18"/>
        </w:rPr>
        <w:t>Probable</w:t>
      </w:r>
      <w:r>
        <w:rPr>
          <w:spacing w:val="-3"/>
          <w:sz w:val="18"/>
        </w:rPr>
        <w:t xml:space="preserve"> </w:t>
      </w:r>
      <w:r>
        <w:rPr>
          <w:sz w:val="18"/>
        </w:rPr>
        <w:t>-</w:t>
      </w:r>
      <w:r>
        <w:rPr>
          <w:spacing w:val="-1"/>
          <w:sz w:val="18"/>
        </w:rPr>
        <w:t xml:space="preserve"> </w:t>
      </w:r>
      <w:r>
        <w:rPr>
          <w:sz w:val="18"/>
        </w:rPr>
        <w:t>For</w:t>
      </w:r>
      <w:r>
        <w:rPr>
          <w:spacing w:val="-2"/>
          <w:sz w:val="18"/>
        </w:rPr>
        <w:t xml:space="preserve"> </w:t>
      </w:r>
      <w:r>
        <w:rPr>
          <w:sz w:val="18"/>
        </w:rPr>
        <w:t>single</w:t>
      </w:r>
      <w:r>
        <w:rPr>
          <w:spacing w:val="-3"/>
          <w:sz w:val="18"/>
        </w:rPr>
        <w:t xml:space="preserve"> </w:t>
      </w:r>
      <w:r>
        <w:rPr>
          <w:sz w:val="18"/>
        </w:rPr>
        <w:t>estimate,</w:t>
      </w:r>
      <w:r>
        <w:rPr>
          <w:spacing w:val="-2"/>
          <w:sz w:val="18"/>
        </w:rPr>
        <w:t xml:space="preserve"> </w:t>
      </w:r>
      <w:r>
        <w:rPr>
          <w:sz w:val="18"/>
        </w:rPr>
        <w:t>enter</w:t>
      </w:r>
      <w:r>
        <w:rPr>
          <w:spacing w:val="-2"/>
          <w:sz w:val="18"/>
        </w:rPr>
        <w:t xml:space="preserve"> </w:t>
      </w:r>
      <w:r>
        <w:rPr>
          <w:sz w:val="18"/>
        </w:rPr>
        <w:t>single</w:t>
      </w:r>
      <w:r>
        <w:rPr>
          <w:spacing w:val="-3"/>
          <w:sz w:val="18"/>
        </w:rPr>
        <w:t xml:space="preserve"> </w:t>
      </w:r>
      <w:r>
        <w:rPr>
          <w:sz w:val="18"/>
        </w:rPr>
        <w:t>estimate</w:t>
      </w:r>
      <w:r>
        <w:rPr>
          <w:spacing w:val="-3"/>
          <w:sz w:val="18"/>
        </w:rPr>
        <w:t xml:space="preserve"> </w:t>
      </w:r>
      <w:r>
        <w:rPr>
          <w:sz w:val="18"/>
        </w:rPr>
        <w:t>in Column</w:t>
      </w:r>
      <w:r>
        <w:rPr>
          <w:spacing w:val="-3"/>
          <w:sz w:val="18"/>
        </w:rPr>
        <w:t xml:space="preserve"> </w:t>
      </w:r>
      <w:r>
        <w:rPr>
          <w:sz w:val="18"/>
        </w:rPr>
        <w:t>7(a)</w:t>
      </w:r>
      <w:r>
        <w:rPr>
          <w:spacing w:val="-2"/>
          <w:sz w:val="18"/>
        </w:rPr>
        <w:t xml:space="preserve"> </w:t>
      </w:r>
      <w:r>
        <w:rPr>
          <w:b/>
          <w:sz w:val="18"/>
          <w:u w:val="single"/>
        </w:rPr>
        <w:t>and</w:t>
      </w:r>
      <w:r>
        <w:rPr>
          <w:b/>
          <w:spacing w:val="-1"/>
          <w:sz w:val="18"/>
        </w:rPr>
        <w:t xml:space="preserve"> </w:t>
      </w:r>
      <w:r>
        <w:rPr>
          <w:sz w:val="18"/>
        </w:rPr>
        <w:t>Column</w:t>
      </w:r>
      <w:r>
        <w:rPr>
          <w:spacing w:val="-3"/>
          <w:sz w:val="18"/>
        </w:rPr>
        <w:t xml:space="preserve"> </w:t>
      </w:r>
      <w:r>
        <w:rPr>
          <w:sz w:val="18"/>
        </w:rPr>
        <w:t>7(c).</w:t>
      </w:r>
      <w:r>
        <w:rPr>
          <w:spacing w:val="-2"/>
          <w:sz w:val="18"/>
        </w:rPr>
        <w:t xml:space="preserve"> </w:t>
      </w:r>
      <w:r>
        <w:rPr>
          <w:sz w:val="18"/>
        </w:rPr>
        <w:t>For</w:t>
      </w:r>
      <w:r>
        <w:rPr>
          <w:spacing w:val="-2"/>
          <w:sz w:val="18"/>
        </w:rPr>
        <w:t xml:space="preserve"> </w:t>
      </w:r>
      <w:r>
        <w:rPr>
          <w:sz w:val="18"/>
        </w:rPr>
        <w:t>estimated</w:t>
      </w:r>
      <w:r>
        <w:rPr>
          <w:spacing w:val="-3"/>
          <w:sz w:val="18"/>
        </w:rPr>
        <w:t xml:space="preserve"> </w:t>
      </w:r>
      <w:r>
        <w:rPr>
          <w:sz w:val="18"/>
        </w:rPr>
        <w:t>range,</w:t>
      </w:r>
      <w:r>
        <w:rPr>
          <w:spacing w:val="-2"/>
          <w:sz w:val="18"/>
        </w:rPr>
        <w:t xml:space="preserve"> </w:t>
      </w:r>
      <w:r>
        <w:rPr>
          <w:sz w:val="18"/>
        </w:rPr>
        <w:t>enter</w:t>
      </w:r>
      <w:r>
        <w:rPr>
          <w:spacing w:val="-1"/>
          <w:sz w:val="18"/>
        </w:rPr>
        <w:t xml:space="preserve"> </w:t>
      </w:r>
      <w:r>
        <w:rPr>
          <w:sz w:val="18"/>
        </w:rPr>
        <w:t>low</w:t>
      </w:r>
      <w:r>
        <w:rPr>
          <w:spacing w:val="-2"/>
          <w:sz w:val="18"/>
        </w:rPr>
        <w:t xml:space="preserve"> </w:t>
      </w:r>
      <w:r>
        <w:rPr>
          <w:sz w:val="18"/>
        </w:rPr>
        <w:t>end</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range</w:t>
      </w:r>
      <w:r>
        <w:rPr>
          <w:spacing w:val="-3"/>
          <w:sz w:val="18"/>
        </w:rPr>
        <w:t xml:space="preserve"> </w:t>
      </w:r>
      <w:r>
        <w:rPr>
          <w:sz w:val="18"/>
        </w:rPr>
        <w:t>in</w:t>
      </w:r>
      <w:r>
        <w:rPr>
          <w:spacing w:val="-3"/>
          <w:sz w:val="18"/>
        </w:rPr>
        <w:t xml:space="preserve"> </w:t>
      </w:r>
      <w:r>
        <w:rPr>
          <w:sz w:val="18"/>
        </w:rPr>
        <w:t>Column</w:t>
      </w:r>
      <w:r>
        <w:rPr>
          <w:spacing w:val="-3"/>
          <w:sz w:val="18"/>
        </w:rPr>
        <w:t xml:space="preserve"> </w:t>
      </w:r>
      <w:r>
        <w:rPr>
          <w:sz w:val="18"/>
        </w:rPr>
        <w:t>7(a)</w:t>
      </w:r>
      <w:r>
        <w:rPr>
          <w:spacing w:val="-1"/>
          <w:sz w:val="18"/>
        </w:rPr>
        <w:t xml:space="preserve"> </w:t>
      </w:r>
      <w:r>
        <w:rPr>
          <w:sz w:val="18"/>
        </w:rPr>
        <w:t>and</w:t>
      </w:r>
      <w:r>
        <w:rPr>
          <w:spacing w:val="-3"/>
          <w:sz w:val="18"/>
        </w:rPr>
        <w:t xml:space="preserve"> </w:t>
      </w:r>
      <w:r>
        <w:rPr>
          <w:sz w:val="18"/>
        </w:rPr>
        <w:t>upper</w:t>
      </w:r>
      <w:r>
        <w:rPr>
          <w:spacing w:val="-2"/>
          <w:sz w:val="18"/>
        </w:rPr>
        <w:t xml:space="preserve"> </w:t>
      </w:r>
      <w:r>
        <w:rPr>
          <w:sz w:val="18"/>
        </w:rPr>
        <w:t>end</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range</w:t>
      </w:r>
      <w:r>
        <w:rPr>
          <w:spacing w:val="-3"/>
          <w:sz w:val="18"/>
        </w:rPr>
        <w:t xml:space="preserve"> </w:t>
      </w:r>
      <w:r>
        <w:rPr>
          <w:sz w:val="18"/>
        </w:rPr>
        <w:t>in</w:t>
      </w:r>
      <w:r>
        <w:rPr>
          <w:spacing w:val="-3"/>
          <w:sz w:val="18"/>
        </w:rPr>
        <w:t xml:space="preserve"> </w:t>
      </w:r>
      <w:r>
        <w:rPr>
          <w:sz w:val="18"/>
        </w:rPr>
        <w:t xml:space="preserve">Column </w:t>
      </w:r>
      <w:r>
        <w:rPr>
          <w:spacing w:val="-2"/>
          <w:sz w:val="18"/>
        </w:rPr>
        <w:t>7(c).</w:t>
      </w:r>
    </w:p>
    <w:p w14:paraId="0DFDCCD0" w14:textId="77777777" w:rsidR="00046465" w:rsidRDefault="008134EB">
      <w:pPr>
        <w:pStyle w:val="ListParagraph"/>
        <w:numPr>
          <w:ilvl w:val="2"/>
          <w:numId w:val="56"/>
        </w:numPr>
        <w:tabs>
          <w:tab w:val="left" w:pos="1262"/>
        </w:tabs>
        <w:spacing w:before="0" w:line="207" w:lineRule="exact"/>
        <w:ind w:left="1262" w:hanging="269"/>
        <w:rPr>
          <w:sz w:val="18"/>
        </w:rPr>
      </w:pPr>
      <w:r>
        <w:rPr>
          <w:sz w:val="18"/>
        </w:rPr>
        <w:t>Reasonably</w:t>
      </w:r>
      <w:r>
        <w:rPr>
          <w:spacing w:val="-2"/>
          <w:sz w:val="18"/>
        </w:rPr>
        <w:t xml:space="preserve"> </w:t>
      </w:r>
      <w:r>
        <w:rPr>
          <w:sz w:val="18"/>
        </w:rPr>
        <w:t>Possible</w:t>
      </w:r>
      <w:r>
        <w:rPr>
          <w:spacing w:val="-2"/>
          <w:sz w:val="18"/>
        </w:rPr>
        <w:t xml:space="preserve"> </w:t>
      </w:r>
      <w:r>
        <w:rPr>
          <w:sz w:val="18"/>
        </w:rPr>
        <w:t>-</w:t>
      </w:r>
      <w:r>
        <w:rPr>
          <w:spacing w:val="-2"/>
          <w:sz w:val="18"/>
        </w:rPr>
        <w:t xml:space="preserve"> </w:t>
      </w:r>
      <w:r>
        <w:rPr>
          <w:sz w:val="18"/>
        </w:rPr>
        <w:t>For</w:t>
      </w:r>
      <w:r>
        <w:rPr>
          <w:spacing w:val="-2"/>
          <w:sz w:val="18"/>
        </w:rPr>
        <w:t xml:space="preserve"> </w:t>
      </w:r>
      <w:r>
        <w:rPr>
          <w:sz w:val="18"/>
        </w:rPr>
        <w:t>single</w:t>
      </w:r>
      <w:r>
        <w:rPr>
          <w:spacing w:val="-3"/>
          <w:sz w:val="18"/>
        </w:rPr>
        <w:t xml:space="preserve"> </w:t>
      </w:r>
      <w:r>
        <w:rPr>
          <w:sz w:val="18"/>
        </w:rPr>
        <w:t>estimate,</w:t>
      </w:r>
      <w:r>
        <w:rPr>
          <w:spacing w:val="-2"/>
          <w:sz w:val="18"/>
        </w:rPr>
        <w:t xml:space="preserve"> </w:t>
      </w:r>
      <w:r>
        <w:rPr>
          <w:sz w:val="18"/>
        </w:rPr>
        <w:t>enter</w:t>
      </w:r>
      <w:r>
        <w:rPr>
          <w:spacing w:val="-2"/>
          <w:sz w:val="18"/>
        </w:rPr>
        <w:t xml:space="preserve"> </w:t>
      </w:r>
      <w:r>
        <w:rPr>
          <w:sz w:val="18"/>
        </w:rPr>
        <w:t>single</w:t>
      </w:r>
      <w:r>
        <w:rPr>
          <w:spacing w:val="-3"/>
          <w:sz w:val="18"/>
        </w:rPr>
        <w:t xml:space="preserve"> </w:t>
      </w:r>
      <w:r>
        <w:rPr>
          <w:sz w:val="18"/>
        </w:rPr>
        <w:t>estimate</w:t>
      </w:r>
      <w:r>
        <w:rPr>
          <w:spacing w:val="-3"/>
          <w:sz w:val="18"/>
        </w:rPr>
        <w:t xml:space="preserve"> </w:t>
      </w:r>
      <w:r>
        <w:rPr>
          <w:sz w:val="18"/>
        </w:rPr>
        <w:t>in</w:t>
      </w:r>
      <w:r>
        <w:rPr>
          <w:spacing w:val="-3"/>
          <w:sz w:val="18"/>
        </w:rPr>
        <w:t xml:space="preserve"> </w:t>
      </w:r>
      <w:r>
        <w:rPr>
          <w:sz w:val="18"/>
        </w:rPr>
        <w:t>Column</w:t>
      </w:r>
      <w:r>
        <w:rPr>
          <w:spacing w:val="-3"/>
          <w:sz w:val="18"/>
        </w:rPr>
        <w:t xml:space="preserve"> </w:t>
      </w:r>
      <w:r>
        <w:rPr>
          <w:sz w:val="18"/>
        </w:rPr>
        <w:t>7(b)</w:t>
      </w:r>
      <w:r>
        <w:rPr>
          <w:spacing w:val="-2"/>
          <w:sz w:val="18"/>
        </w:rPr>
        <w:t xml:space="preserve"> </w:t>
      </w:r>
      <w:r>
        <w:rPr>
          <w:b/>
          <w:sz w:val="18"/>
          <w:u w:val="single"/>
        </w:rPr>
        <w:t>and</w:t>
      </w:r>
      <w:r>
        <w:rPr>
          <w:b/>
          <w:spacing w:val="-1"/>
          <w:sz w:val="18"/>
        </w:rPr>
        <w:t xml:space="preserve"> </w:t>
      </w:r>
      <w:r>
        <w:rPr>
          <w:sz w:val="18"/>
        </w:rPr>
        <w:t>Column</w:t>
      </w:r>
      <w:r>
        <w:rPr>
          <w:spacing w:val="-3"/>
          <w:sz w:val="18"/>
        </w:rPr>
        <w:t xml:space="preserve"> </w:t>
      </w:r>
      <w:r>
        <w:rPr>
          <w:sz w:val="18"/>
        </w:rPr>
        <w:t>7(c).</w:t>
      </w:r>
      <w:r>
        <w:rPr>
          <w:spacing w:val="-2"/>
          <w:sz w:val="18"/>
        </w:rPr>
        <w:t xml:space="preserve"> </w:t>
      </w:r>
      <w:r>
        <w:rPr>
          <w:sz w:val="18"/>
        </w:rPr>
        <w:t>For</w:t>
      </w:r>
      <w:r>
        <w:rPr>
          <w:spacing w:val="-2"/>
          <w:sz w:val="18"/>
        </w:rPr>
        <w:t xml:space="preserve"> </w:t>
      </w:r>
      <w:r>
        <w:rPr>
          <w:sz w:val="18"/>
        </w:rPr>
        <w:t>estimated</w:t>
      </w:r>
      <w:r>
        <w:rPr>
          <w:spacing w:val="-3"/>
          <w:sz w:val="18"/>
        </w:rPr>
        <w:t xml:space="preserve"> </w:t>
      </w:r>
      <w:r>
        <w:rPr>
          <w:sz w:val="18"/>
        </w:rPr>
        <w:t>range,</w:t>
      </w:r>
      <w:r>
        <w:rPr>
          <w:spacing w:val="-2"/>
          <w:sz w:val="18"/>
        </w:rPr>
        <w:t xml:space="preserve"> </w:t>
      </w:r>
      <w:r>
        <w:rPr>
          <w:sz w:val="18"/>
        </w:rPr>
        <w:t>enter</w:t>
      </w:r>
      <w:r>
        <w:rPr>
          <w:spacing w:val="-2"/>
          <w:sz w:val="18"/>
        </w:rPr>
        <w:t xml:space="preserve"> </w:t>
      </w:r>
      <w:r>
        <w:rPr>
          <w:sz w:val="18"/>
        </w:rPr>
        <w:t>low</w:t>
      </w:r>
      <w:r>
        <w:rPr>
          <w:spacing w:val="-2"/>
          <w:sz w:val="18"/>
        </w:rPr>
        <w:t xml:space="preserve"> </w:t>
      </w:r>
      <w:r>
        <w:rPr>
          <w:sz w:val="18"/>
        </w:rPr>
        <w:t>end</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range</w:t>
      </w:r>
      <w:r>
        <w:rPr>
          <w:spacing w:val="-1"/>
          <w:sz w:val="18"/>
        </w:rPr>
        <w:t xml:space="preserve"> </w:t>
      </w:r>
      <w:r>
        <w:rPr>
          <w:sz w:val="18"/>
        </w:rPr>
        <w:t>in</w:t>
      </w:r>
      <w:r>
        <w:rPr>
          <w:spacing w:val="-3"/>
          <w:sz w:val="18"/>
        </w:rPr>
        <w:t xml:space="preserve"> </w:t>
      </w:r>
      <w:r>
        <w:rPr>
          <w:sz w:val="18"/>
        </w:rPr>
        <w:t>Column</w:t>
      </w:r>
      <w:r>
        <w:rPr>
          <w:spacing w:val="-3"/>
          <w:sz w:val="18"/>
        </w:rPr>
        <w:t xml:space="preserve"> </w:t>
      </w:r>
      <w:r>
        <w:rPr>
          <w:sz w:val="18"/>
        </w:rPr>
        <w:t>7(b)</w:t>
      </w:r>
      <w:r>
        <w:rPr>
          <w:spacing w:val="-2"/>
          <w:sz w:val="18"/>
        </w:rPr>
        <w:t xml:space="preserve"> </w:t>
      </w:r>
      <w:r>
        <w:rPr>
          <w:sz w:val="18"/>
        </w:rPr>
        <w:t>and</w:t>
      </w:r>
      <w:r>
        <w:rPr>
          <w:spacing w:val="-3"/>
          <w:sz w:val="18"/>
        </w:rPr>
        <w:t xml:space="preserve"> </w:t>
      </w:r>
      <w:r>
        <w:rPr>
          <w:sz w:val="18"/>
        </w:rPr>
        <w:t>upper</w:t>
      </w:r>
      <w:r>
        <w:rPr>
          <w:spacing w:val="-2"/>
          <w:sz w:val="18"/>
        </w:rPr>
        <w:t xml:space="preserve"> </w:t>
      </w:r>
      <w:r>
        <w:rPr>
          <w:sz w:val="18"/>
        </w:rPr>
        <w:t>end</w:t>
      </w:r>
      <w:r>
        <w:rPr>
          <w:spacing w:val="-3"/>
          <w:sz w:val="18"/>
        </w:rPr>
        <w:t xml:space="preserve"> </w:t>
      </w:r>
      <w:r>
        <w:rPr>
          <w:sz w:val="18"/>
        </w:rPr>
        <w:t>of</w:t>
      </w:r>
      <w:r>
        <w:rPr>
          <w:spacing w:val="-2"/>
          <w:sz w:val="18"/>
        </w:rPr>
        <w:t xml:space="preserve"> </w:t>
      </w:r>
      <w:r>
        <w:rPr>
          <w:sz w:val="18"/>
        </w:rPr>
        <w:t>the</w:t>
      </w:r>
      <w:r>
        <w:rPr>
          <w:spacing w:val="-3"/>
          <w:sz w:val="18"/>
        </w:rPr>
        <w:t xml:space="preserve"> </w:t>
      </w:r>
      <w:r>
        <w:rPr>
          <w:sz w:val="18"/>
        </w:rPr>
        <w:t>range</w:t>
      </w:r>
      <w:r>
        <w:rPr>
          <w:spacing w:val="-3"/>
          <w:sz w:val="18"/>
        </w:rPr>
        <w:t xml:space="preserve"> </w:t>
      </w:r>
      <w:r>
        <w:rPr>
          <w:sz w:val="18"/>
        </w:rPr>
        <w:t>in</w:t>
      </w:r>
      <w:r>
        <w:rPr>
          <w:spacing w:val="-3"/>
          <w:sz w:val="18"/>
        </w:rPr>
        <w:t xml:space="preserve"> </w:t>
      </w:r>
      <w:r>
        <w:rPr>
          <w:sz w:val="18"/>
        </w:rPr>
        <w:t>Column</w:t>
      </w:r>
      <w:r>
        <w:rPr>
          <w:spacing w:val="-2"/>
          <w:sz w:val="18"/>
        </w:rPr>
        <w:t xml:space="preserve"> 7(c).</w:t>
      </w:r>
    </w:p>
    <w:p w14:paraId="0DFDCCD1" w14:textId="77777777" w:rsidR="00046465" w:rsidRDefault="008134EB">
      <w:pPr>
        <w:pStyle w:val="ListParagraph"/>
        <w:numPr>
          <w:ilvl w:val="2"/>
          <w:numId w:val="56"/>
        </w:numPr>
        <w:tabs>
          <w:tab w:val="left" w:pos="1252"/>
        </w:tabs>
        <w:spacing w:before="0" w:line="207" w:lineRule="exact"/>
        <w:ind w:left="1252" w:hanging="259"/>
        <w:rPr>
          <w:sz w:val="18"/>
        </w:rPr>
      </w:pPr>
      <w:r>
        <w:rPr>
          <w:sz w:val="18"/>
        </w:rPr>
        <w:t>Upper</w:t>
      </w:r>
      <w:r>
        <w:rPr>
          <w:spacing w:val="-5"/>
          <w:sz w:val="18"/>
        </w:rPr>
        <w:t xml:space="preserve"> </w:t>
      </w:r>
      <w:r>
        <w:rPr>
          <w:sz w:val="18"/>
        </w:rPr>
        <w:t>-</w:t>
      </w:r>
      <w:r>
        <w:rPr>
          <w:spacing w:val="-2"/>
          <w:sz w:val="18"/>
        </w:rPr>
        <w:t xml:space="preserve"> </w:t>
      </w:r>
      <w:r>
        <w:rPr>
          <w:sz w:val="18"/>
        </w:rPr>
        <w:t>Enter</w:t>
      </w:r>
      <w:r>
        <w:rPr>
          <w:spacing w:val="-2"/>
          <w:sz w:val="18"/>
        </w:rPr>
        <w:t xml:space="preserve"> </w:t>
      </w:r>
      <w:r>
        <w:rPr>
          <w:sz w:val="18"/>
        </w:rPr>
        <w:t>the</w:t>
      </w:r>
      <w:r>
        <w:rPr>
          <w:spacing w:val="-3"/>
          <w:sz w:val="18"/>
        </w:rPr>
        <w:t xml:space="preserve"> </w:t>
      </w:r>
      <w:r>
        <w:rPr>
          <w:sz w:val="18"/>
        </w:rPr>
        <w:t>single</w:t>
      </w:r>
      <w:r>
        <w:rPr>
          <w:spacing w:val="-3"/>
          <w:sz w:val="18"/>
        </w:rPr>
        <w:t xml:space="preserve"> </w:t>
      </w:r>
      <w:r>
        <w:rPr>
          <w:sz w:val="18"/>
        </w:rPr>
        <w:t>estimate</w:t>
      </w:r>
      <w:r>
        <w:rPr>
          <w:spacing w:val="-3"/>
          <w:sz w:val="18"/>
        </w:rPr>
        <w:t xml:space="preserve"> </w:t>
      </w:r>
      <w:r>
        <w:rPr>
          <w:b/>
          <w:sz w:val="18"/>
          <w:u w:val="single"/>
        </w:rPr>
        <w:t>or</w:t>
      </w:r>
      <w:r>
        <w:rPr>
          <w:b/>
          <w:spacing w:val="-2"/>
          <w:sz w:val="18"/>
        </w:rPr>
        <w:t xml:space="preserve"> </w:t>
      </w:r>
      <w:r>
        <w:rPr>
          <w:sz w:val="18"/>
        </w:rPr>
        <w:t>the</w:t>
      </w:r>
      <w:r>
        <w:rPr>
          <w:spacing w:val="-3"/>
          <w:sz w:val="18"/>
        </w:rPr>
        <w:t xml:space="preserve"> </w:t>
      </w:r>
      <w:r>
        <w:rPr>
          <w:sz w:val="18"/>
        </w:rPr>
        <w:t>upper</w:t>
      </w:r>
      <w:r>
        <w:rPr>
          <w:spacing w:val="-2"/>
          <w:sz w:val="18"/>
        </w:rPr>
        <w:t xml:space="preserve"> </w:t>
      </w:r>
      <w:r>
        <w:rPr>
          <w:sz w:val="18"/>
        </w:rPr>
        <w:t>end</w:t>
      </w:r>
      <w:r>
        <w:rPr>
          <w:spacing w:val="-3"/>
          <w:sz w:val="18"/>
        </w:rPr>
        <w:t xml:space="preserve"> </w:t>
      </w:r>
      <w:r>
        <w:rPr>
          <w:sz w:val="18"/>
        </w:rPr>
        <w:t>of</w:t>
      </w:r>
      <w:r>
        <w:rPr>
          <w:spacing w:val="-2"/>
          <w:sz w:val="18"/>
        </w:rPr>
        <w:t xml:space="preserve"> </w:t>
      </w:r>
      <w:r>
        <w:rPr>
          <w:sz w:val="18"/>
        </w:rPr>
        <w:t>the</w:t>
      </w:r>
      <w:r>
        <w:rPr>
          <w:spacing w:val="-1"/>
          <w:sz w:val="18"/>
        </w:rPr>
        <w:t xml:space="preserve"> </w:t>
      </w:r>
      <w:r>
        <w:rPr>
          <w:sz w:val="18"/>
        </w:rPr>
        <w:t>range</w:t>
      </w:r>
      <w:r>
        <w:rPr>
          <w:spacing w:val="-3"/>
          <w:sz w:val="18"/>
        </w:rPr>
        <w:t xml:space="preserve"> </w:t>
      </w:r>
      <w:r>
        <w:rPr>
          <w:sz w:val="18"/>
        </w:rPr>
        <w:t>of</w:t>
      </w:r>
      <w:r>
        <w:rPr>
          <w:spacing w:val="-2"/>
          <w:sz w:val="18"/>
        </w:rPr>
        <w:t xml:space="preserve"> </w:t>
      </w:r>
      <w:r>
        <w:rPr>
          <w:sz w:val="18"/>
        </w:rPr>
        <w:t>potential</w:t>
      </w:r>
      <w:r>
        <w:rPr>
          <w:spacing w:val="-2"/>
          <w:sz w:val="18"/>
        </w:rPr>
        <w:t xml:space="preserve"> </w:t>
      </w:r>
      <w:r>
        <w:rPr>
          <w:sz w:val="18"/>
        </w:rPr>
        <w:t>loss</w:t>
      </w:r>
      <w:r>
        <w:rPr>
          <w:spacing w:val="-2"/>
          <w:sz w:val="18"/>
        </w:rPr>
        <w:t xml:space="preserve"> </w:t>
      </w:r>
      <w:r>
        <w:rPr>
          <w:sz w:val="18"/>
        </w:rPr>
        <w:t>for</w:t>
      </w:r>
      <w:r>
        <w:rPr>
          <w:spacing w:val="-2"/>
          <w:sz w:val="18"/>
        </w:rPr>
        <w:t xml:space="preserve"> </w:t>
      </w:r>
      <w:r>
        <w:rPr>
          <w:sz w:val="18"/>
        </w:rPr>
        <w:t>probable</w:t>
      </w:r>
      <w:r>
        <w:rPr>
          <w:spacing w:val="-3"/>
          <w:sz w:val="18"/>
        </w:rPr>
        <w:t xml:space="preserve"> </w:t>
      </w:r>
      <w:r>
        <w:rPr>
          <w:sz w:val="18"/>
        </w:rPr>
        <w:t>and</w:t>
      </w:r>
      <w:r>
        <w:rPr>
          <w:spacing w:val="-3"/>
          <w:sz w:val="18"/>
        </w:rPr>
        <w:t xml:space="preserve"> </w:t>
      </w:r>
      <w:r>
        <w:rPr>
          <w:sz w:val="18"/>
        </w:rPr>
        <w:t>reasonably</w:t>
      </w:r>
      <w:r>
        <w:rPr>
          <w:spacing w:val="-2"/>
          <w:sz w:val="18"/>
        </w:rPr>
        <w:t xml:space="preserve"> </w:t>
      </w:r>
      <w:r>
        <w:rPr>
          <w:sz w:val="18"/>
        </w:rPr>
        <w:t>possible</w:t>
      </w:r>
      <w:r>
        <w:rPr>
          <w:spacing w:val="-3"/>
          <w:sz w:val="18"/>
        </w:rPr>
        <w:t xml:space="preserve"> </w:t>
      </w:r>
      <w:r>
        <w:rPr>
          <w:spacing w:val="-2"/>
          <w:sz w:val="18"/>
        </w:rPr>
        <w:t>cases.</w:t>
      </w:r>
    </w:p>
    <w:p w14:paraId="0DFDCCD2" w14:textId="77777777" w:rsidR="00046465" w:rsidRDefault="008134EB">
      <w:pPr>
        <w:pStyle w:val="ListParagraph"/>
        <w:numPr>
          <w:ilvl w:val="2"/>
          <w:numId w:val="56"/>
        </w:numPr>
        <w:tabs>
          <w:tab w:val="left" w:pos="1262"/>
        </w:tabs>
        <w:spacing w:before="1"/>
        <w:ind w:left="1262" w:hanging="269"/>
        <w:rPr>
          <w:sz w:val="18"/>
        </w:rPr>
      </w:pPr>
      <w:r>
        <w:rPr>
          <w:sz w:val="18"/>
        </w:rPr>
        <w:t>Unknown</w:t>
      </w:r>
      <w:r>
        <w:rPr>
          <w:spacing w:val="-5"/>
          <w:sz w:val="18"/>
        </w:rPr>
        <w:t xml:space="preserve"> </w:t>
      </w:r>
      <w:r>
        <w:rPr>
          <w:sz w:val="18"/>
        </w:rPr>
        <w:t>-</w:t>
      </w:r>
      <w:r>
        <w:rPr>
          <w:spacing w:val="-1"/>
          <w:sz w:val="18"/>
        </w:rPr>
        <w:t xml:space="preserve"> </w:t>
      </w:r>
      <w:r>
        <w:rPr>
          <w:sz w:val="18"/>
        </w:rPr>
        <w:t>Enter</w:t>
      </w:r>
      <w:r>
        <w:rPr>
          <w:spacing w:val="-2"/>
          <w:sz w:val="18"/>
        </w:rPr>
        <w:t xml:space="preserve"> </w:t>
      </w:r>
      <w:r>
        <w:rPr>
          <w:sz w:val="18"/>
        </w:rPr>
        <w:t>“U”</w:t>
      </w:r>
      <w:r>
        <w:rPr>
          <w:spacing w:val="-2"/>
          <w:sz w:val="18"/>
        </w:rPr>
        <w:t xml:space="preserve"> </w:t>
      </w:r>
      <w:r>
        <w:rPr>
          <w:sz w:val="18"/>
        </w:rPr>
        <w:t>if</w:t>
      </w:r>
      <w:r>
        <w:rPr>
          <w:spacing w:val="-2"/>
          <w:sz w:val="18"/>
        </w:rPr>
        <w:t xml:space="preserve"> </w:t>
      </w:r>
      <w:r>
        <w:rPr>
          <w:sz w:val="18"/>
        </w:rPr>
        <w:t>estimated</w:t>
      </w:r>
      <w:r>
        <w:rPr>
          <w:spacing w:val="-3"/>
          <w:sz w:val="18"/>
        </w:rPr>
        <w:t xml:space="preserve"> </w:t>
      </w:r>
      <w:r>
        <w:rPr>
          <w:sz w:val="18"/>
        </w:rPr>
        <w:t>amount</w:t>
      </w:r>
      <w:r>
        <w:rPr>
          <w:spacing w:val="-2"/>
          <w:sz w:val="18"/>
        </w:rPr>
        <w:t xml:space="preserve"> </w:t>
      </w:r>
      <w:r>
        <w:rPr>
          <w:sz w:val="18"/>
        </w:rPr>
        <w:t>or</w:t>
      </w:r>
      <w:r>
        <w:rPr>
          <w:spacing w:val="-2"/>
          <w:sz w:val="18"/>
        </w:rPr>
        <w:t xml:space="preserve"> </w:t>
      </w:r>
      <w:r>
        <w:rPr>
          <w:sz w:val="18"/>
        </w:rPr>
        <w:t>range</w:t>
      </w:r>
      <w:r>
        <w:rPr>
          <w:spacing w:val="-3"/>
          <w:sz w:val="18"/>
        </w:rPr>
        <w:t xml:space="preserve"> </w:t>
      </w:r>
      <w:r>
        <w:rPr>
          <w:sz w:val="18"/>
        </w:rPr>
        <w:t>of</w:t>
      </w:r>
      <w:r>
        <w:rPr>
          <w:spacing w:val="-2"/>
          <w:sz w:val="18"/>
        </w:rPr>
        <w:t xml:space="preserve"> </w:t>
      </w:r>
      <w:r>
        <w:rPr>
          <w:sz w:val="18"/>
        </w:rPr>
        <w:t>potential</w:t>
      </w:r>
      <w:r>
        <w:rPr>
          <w:spacing w:val="-2"/>
          <w:sz w:val="18"/>
        </w:rPr>
        <w:t xml:space="preserve"> </w:t>
      </w:r>
      <w:r>
        <w:rPr>
          <w:sz w:val="18"/>
        </w:rPr>
        <w:t>loss</w:t>
      </w:r>
      <w:r>
        <w:rPr>
          <w:spacing w:val="-2"/>
          <w:sz w:val="18"/>
        </w:rPr>
        <w:t xml:space="preserve"> </w:t>
      </w:r>
      <w:r>
        <w:rPr>
          <w:sz w:val="18"/>
        </w:rPr>
        <w:t>cannot</w:t>
      </w:r>
      <w:r>
        <w:rPr>
          <w:spacing w:val="-2"/>
          <w:sz w:val="18"/>
        </w:rPr>
        <w:t xml:space="preserve"> </w:t>
      </w:r>
      <w:r>
        <w:rPr>
          <w:sz w:val="18"/>
        </w:rPr>
        <w:t>be</w:t>
      </w:r>
      <w:r>
        <w:rPr>
          <w:spacing w:val="-3"/>
          <w:sz w:val="18"/>
        </w:rPr>
        <w:t xml:space="preserve"> </w:t>
      </w:r>
      <w:r>
        <w:rPr>
          <w:spacing w:val="-2"/>
          <w:sz w:val="18"/>
        </w:rPr>
        <w:t>determined.</w:t>
      </w:r>
    </w:p>
    <w:p w14:paraId="0DFDCCD3" w14:textId="77777777" w:rsidR="00046465" w:rsidRDefault="008134EB">
      <w:pPr>
        <w:pStyle w:val="ListParagraph"/>
        <w:numPr>
          <w:ilvl w:val="1"/>
          <w:numId w:val="56"/>
        </w:numPr>
        <w:tabs>
          <w:tab w:val="left" w:pos="735"/>
          <w:tab w:val="left" w:pos="993"/>
        </w:tabs>
        <w:spacing w:before="189"/>
        <w:ind w:right="1426" w:hanging="526"/>
        <w:rPr>
          <w:sz w:val="18"/>
        </w:rPr>
      </w:pPr>
      <w:r>
        <w:rPr>
          <w:sz w:val="18"/>
        </w:rPr>
        <w:t xml:space="preserve">Is assessment of case(s) on the management schedule consistent with the assessment of case(s) by general counsel in supporting the interim or updated legal counsel response? - Indicate whether the likelihood of loss (Column 6) </w:t>
      </w:r>
      <w:r>
        <w:rPr>
          <w:b/>
          <w:sz w:val="18"/>
          <w:u w:val="single"/>
        </w:rPr>
        <w:t>and</w:t>
      </w:r>
      <w:r>
        <w:rPr>
          <w:b/>
          <w:sz w:val="18"/>
        </w:rPr>
        <w:t xml:space="preserve"> </w:t>
      </w:r>
      <w:r>
        <w:rPr>
          <w:sz w:val="18"/>
        </w:rPr>
        <w:t>estimated amount or range</w:t>
      </w:r>
      <w:r>
        <w:rPr>
          <w:spacing w:val="-2"/>
          <w:sz w:val="18"/>
        </w:rPr>
        <w:t xml:space="preserve"> </w:t>
      </w:r>
      <w:r>
        <w:rPr>
          <w:sz w:val="18"/>
        </w:rPr>
        <w:t>of</w:t>
      </w:r>
      <w:r>
        <w:rPr>
          <w:spacing w:val="-1"/>
          <w:sz w:val="18"/>
        </w:rPr>
        <w:t xml:space="preserve"> </w:t>
      </w:r>
      <w:r>
        <w:rPr>
          <w:sz w:val="18"/>
        </w:rPr>
        <w:t>potential</w:t>
      </w:r>
      <w:r>
        <w:rPr>
          <w:spacing w:val="-1"/>
          <w:sz w:val="18"/>
        </w:rPr>
        <w:t xml:space="preserve"> </w:t>
      </w:r>
      <w:r>
        <w:rPr>
          <w:sz w:val="18"/>
        </w:rPr>
        <w:t>loss</w:t>
      </w:r>
      <w:r>
        <w:rPr>
          <w:spacing w:val="-1"/>
          <w:sz w:val="18"/>
        </w:rPr>
        <w:t xml:space="preserve"> </w:t>
      </w:r>
      <w:r>
        <w:rPr>
          <w:sz w:val="18"/>
        </w:rPr>
        <w:t>(Column</w:t>
      </w:r>
      <w:r>
        <w:rPr>
          <w:spacing w:val="-2"/>
          <w:sz w:val="18"/>
        </w:rPr>
        <w:t xml:space="preserve"> </w:t>
      </w:r>
      <w:r>
        <w:rPr>
          <w:sz w:val="18"/>
        </w:rPr>
        <w:t>7)</w:t>
      </w:r>
      <w:r>
        <w:rPr>
          <w:spacing w:val="-1"/>
          <w:sz w:val="18"/>
        </w:rPr>
        <w:t xml:space="preserve"> </w:t>
      </w:r>
      <w:r>
        <w:rPr>
          <w:sz w:val="18"/>
        </w:rPr>
        <w:t>for</w:t>
      </w:r>
      <w:r>
        <w:rPr>
          <w:spacing w:val="-1"/>
          <w:sz w:val="18"/>
        </w:rPr>
        <w:t xml:space="preserve"> </w:t>
      </w:r>
      <w:r>
        <w:rPr>
          <w:sz w:val="18"/>
        </w:rPr>
        <w:t>the</w:t>
      </w:r>
      <w:r>
        <w:rPr>
          <w:spacing w:val="-2"/>
          <w:sz w:val="18"/>
        </w:rPr>
        <w:t xml:space="preserve"> </w:t>
      </w:r>
      <w:r>
        <w:rPr>
          <w:sz w:val="18"/>
        </w:rPr>
        <w:t>case(s)</w:t>
      </w:r>
      <w:r>
        <w:rPr>
          <w:spacing w:val="-1"/>
          <w:sz w:val="18"/>
        </w:rPr>
        <w:t xml:space="preserve"> </w:t>
      </w:r>
      <w:r>
        <w:rPr>
          <w:sz w:val="18"/>
        </w:rPr>
        <w:t>is</w:t>
      </w:r>
      <w:r>
        <w:rPr>
          <w:spacing w:val="-1"/>
          <w:sz w:val="18"/>
        </w:rPr>
        <w:t xml:space="preserve"> </w:t>
      </w:r>
      <w:r>
        <w:rPr>
          <w:sz w:val="18"/>
        </w:rPr>
        <w:t>consistent</w:t>
      </w:r>
      <w:r>
        <w:rPr>
          <w:spacing w:val="-1"/>
          <w:sz w:val="18"/>
        </w:rPr>
        <w:t xml:space="preserve"> </w:t>
      </w:r>
      <w:r>
        <w:rPr>
          <w:sz w:val="18"/>
        </w:rPr>
        <w:t>with</w:t>
      </w:r>
      <w:r>
        <w:rPr>
          <w:spacing w:val="-2"/>
          <w:sz w:val="18"/>
        </w:rPr>
        <w:t xml:space="preserve"> </w:t>
      </w:r>
      <w:r>
        <w:rPr>
          <w:sz w:val="18"/>
        </w:rPr>
        <w:t>the</w:t>
      </w:r>
      <w:r>
        <w:rPr>
          <w:spacing w:val="-2"/>
          <w:sz w:val="18"/>
        </w:rPr>
        <w:t xml:space="preserve"> </w:t>
      </w:r>
      <w:r>
        <w:rPr>
          <w:sz w:val="18"/>
        </w:rPr>
        <w:t>supporting</w:t>
      </w:r>
      <w:r>
        <w:rPr>
          <w:spacing w:val="-2"/>
          <w:sz w:val="18"/>
        </w:rPr>
        <w:t xml:space="preserve"> </w:t>
      </w:r>
      <w:r>
        <w:rPr>
          <w:sz w:val="18"/>
        </w:rPr>
        <w:t>interim or</w:t>
      </w:r>
      <w:r>
        <w:rPr>
          <w:spacing w:val="-1"/>
          <w:sz w:val="18"/>
        </w:rPr>
        <w:t xml:space="preserve"> </w:t>
      </w:r>
      <w:r>
        <w:rPr>
          <w:sz w:val="18"/>
        </w:rPr>
        <w:t>updated</w:t>
      </w:r>
      <w:r>
        <w:rPr>
          <w:spacing w:val="-2"/>
          <w:sz w:val="18"/>
        </w:rPr>
        <w:t xml:space="preserve"> </w:t>
      </w:r>
      <w:r>
        <w:rPr>
          <w:sz w:val="18"/>
        </w:rPr>
        <w:t>legal</w:t>
      </w:r>
      <w:r>
        <w:rPr>
          <w:spacing w:val="-1"/>
          <w:sz w:val="18"/>
        </w:rPr>
        <w:t xml:space="preserve"> </w:t>
      </w:r>
      <w:r>
        <w:rPr>
          <w:sz w:val="18"/>
        </w:rPr>
        <w:t>counsel</w:t>
      </w:r>
      <w:r>
        <w:rPr>
          <w:spacing w:val="-1"/>
          <w:sz w:val="18"/>
        </w:rPr>
        <w:t xml:space="preserve"> </w:t>
      </w:r>
      <w:r>
        <w:rPr>
          <w:sz w:val="18"/>
        </w:rPr>
        <w:t>response</w:t>
      </w:r>
      <w:r>
        <w:rPr>
          <w:spacing w:val="-2"/>
          <w:sz w:val="18"/>
        </w:rPr>
        <w:t xml:space="preserve"> </w:t>
      </w:r>
      <w:r>
        <w:rPr>
          <w:sz w:val="18"/>
        </w:rPr>
        <w:t>prepared by</w:t>
      </w:r>
      <w:r>
        <w:rPr>
          <w:spacing w:val="-1"/>
          <w:sz w:val="18"/>
        </w:rPr>
        <w:t xml:space="preserve"> </w:t>
      </w:r>
      <w:r>
        <w:rPr>
          <w:sz w:val="18"/>
        </w:rPr>
        <w:t>the</w:t>
      </w:r>
      <w:r>
        <w:rPr>
          <w:spacing w:val="-2"/>
          <w:sz w:val="18"/>
        </w:rPr>
        <w:t xml:space="preserve"> </w:t>
      </w:r>
      <w:r>
        <w:rPr>
          <w:sz w:val="18"/>
        </w:rPr>
        <w:t>entity’s general</w:t>
      </w:r>
      <w:r>
        <w:rPr>
          <w:spacing w:val="-1"/>
          <w:sz w:val="18"/>
        </w:rPr>
        <w:t xml:space="preserve"> </w:t>
      </w:r>
      <w:r>
        <w:rPr>
          <w:sz w:val="18"/>
        </w:rPr>
        <w:t>counsel</w:t>
      </w:r>
      <w:r>
        <w:rPr>
          <w:spacing w:val="-1"/>
          <w:sz w:val="18"/>
        </w:rPr>
        <w:t xml:space="preserve"> </w:t>
      </w:r>
      <w:r>
        <w:rPr>
          <w:sz w:val="18"/>
        </w:rPr>
        <w:t>(i.e.,</w:t>
      </w:r>
      <w:r>
        <w:rPr>
          <w:spacing w:val="-1"/>
          <w:sz w:val="18"/>
        </w:rPr>
        <w:t xml:space="preserve"> </w:t>
      </w:r>
      <w:r>
        <w:rPr>
          <w:sz w:val="18"/>
        </w:rPr>
        <w:t>responses</w:t>
      </w:r>
      <w:r>
        <w:rPr>
          <w:spacing w:val="-1"/>
          <w:sz w:val="18"/>
        </w:rPr>
        <w:t xml:space="preserve"> </w:t>
      </w:r>
      <w:r>
        <w:rPr>
          <w:sz w:val="18"/>
        </w:rPr>
        <w:t>to</w:t>
      </w:r>
      <w:r>
        <w:rPr>
          <w:spacing w:val="-2"/>
          <w:sz w:val="18"/>
        </w:rPr>
        <w:t xml:space="preserve"> </w:t>
      </w:r>
      <w:r>
        <w:rPr>
          <w:sz w:val="18"/>
        </w:rPr>
        <w:t>fields</w:t>
      </w:r>
      <w:r>
        <w:rPr>
          <w:spacing w:val="-1"/>
          <w:sz w:val="18"/>
        </w:rPr>
        <w:t xml:space="preserve"> </w:t>
      </w:r>
      <w:r>
        <w:rPr>
          <w:sz w:val="18"/>
        </w:rPr>
        <w:t>5-6</w:t>
      </w:r>
      <w:r>
        <w:rPr>
          <w:spacing w:val="-2"/>
          <w:sz w:val="18"/>
        </w:rPr>
        <w:t xml:space="preserve"> </w:t>
      </w:r>
      <w:r>
        <w:rPr>
          <w:sz w:val="18"/>
        </w:rPr>
        <w:t>on</w:t>
      </w:r>
      <w:r>
        <w:rPr>
          <w:spacing w:val="-2"/>
          <w:sz w:val="18"/>
        </w:rPr>
        <w:t xml:space="preserve"> </w:t>
      </w:r>
      <w:r>
        <w:rPr>
          <w:sz w:val="18"/>
        </w:rPr>
        <w:t>DOJ’s</w:t>
      </w:r>
      <w:r>
        <w:rPr>
          <w:spacing w:val="-1"/>
          <w:sz w:val="18"/>
        </w:rPr>
        <w:t xml:space="preserve"> </w:t>
      </w:r>
      <w:r>
        <w:rPr>
          <w:sz w:val="18"/>
        </w:rPr>
        <w:t>“Pending</w:t>
      </w:r>
      <w:r>
        <w:rPr>
          <w:spacing w:val="-2"/>
          <w:sz w:val="18"/>
        </w:rPr>
        <w:t xml:space="preserve"> </w:t>
      </w:r>
      <w:r>
        <w:rPr>
          <w:sz w:val="18"/>
        </w:rPr>
        <w:t>or</w:t>
      </w:r>
      <w:r>
        <w:rPr>
          <w:spacing w:val="-1"/>
          <w:sz w:val="18"/>
        </w:rPr>
        <w:t xml:space="preserve"> </w:t>
      </w:r>
      <w:r>
        <w:rPr>
          <w:sz w:val="18"/>
        </w:rPr>
        <w:t>Threatened</w:t>
      </w:r>
      <w:r>
        <w:rPr>
          <w:spacing w:val="-2"/>
          <w:sz w:val="18"/>
        </w:rPr>
        <w:t xml:space="preserve"> </w:t>
      </w:r>
      <w:r>
        <w:rPr>
          <w:sz w:val="18"/>
        </w:rPr>
        <w:t>Litigation”</w:t>
      </w:r>
      <w:r>
        <w:rPr>
          <w:spacing w:val="-1"/>
          <w:sz w:val="18"/>
        </w:rPr>
        <w:t xml:space="preserve"> </w:t>
      </w:r>
      <w:r>
        <w:rPr>
          <w:sz w:val="18"/>
        </w:rPr>
        <w:t>form</w:t>
      </w:r>
      <w:r>
        <w:rPr>
          <w:spacing w:val="-1"/>
          <w:sz w:val="18"/>
        </w:rPr>
        <w:t xml:space="preserve"> </w:t>
      </w:r>
      <w:r>
        <w:rPr>
          <w:sz w:val="18"/>
        </w:rPr>
        <w:t>or</w:t>
      </w:r>
      <w:r>
        <w:rPr>
          <w:spacing w:val="-1"/>
          <w:sz w:val="18"/>
        </w:rPr>
        <w:t xml:space="preserve"> </w:t>
      </w:r>
      <w:r>
        <w:rPr>
          <w:sz w:val="18"/>
        </w:rPr>
        <w:t>to</w:t>
      </w:r>
      <w:r>
        <w:rPr>
          <w:spacing w:val="-2"/>
          <w:sz w:val="18"/>
        </w:rPr>
        <w:t xml:space="preserve"> </w:t>
      </w:r>
      <w:r>
        <w:rPr>
          <w:sz w:val="18"/>
        </w:rPr>
        <w:t>fields 4-5 on DOJ’s “Unasserted Claims and Assessments” form) by entering “Yes – Interim legal counsel response,” “Yes – Updated legal counsel response,” or “No.”</w:t>
      </w:r>
    </w:p>
    <w:p w14:paraId="0DFDCCD4" w14:textId="77777777" w:rsidR="00046465" w:rsidRDefault="008134EB">
      <w:pPr>
        <w:pStyle w:val="ListParagraph"/>
        <w:numPr>
          <w:ilvl w:val="1"/>
          <w:numId w:val="56"/>
        </w:numPr>
        <w:tabs>
          <w:tab w:val="left" w:pos="735"/>
          <w:tab w:val="left" w:pos="993"/>
        </w:tabs>
        <w:spacing w:before="141"/>
        <w:ind w:right="1421" w:hanging="526"/>
        <w:rPr>
          <w:sz w:val="18"/>
        </w:rPr>
      </w:pPr>
      <w:r>
        <w:rPr>
          <w:sz w:val="18"/>
        </w:rPr>
        <w:t>Provide</w:t>
      </w:r>
      <w:r>
        <w:rPr>
          <w:spacing w:val="-2"/>
          <w:sz w:val="18"/>
        </w:rPr>
        <w:t xml:space="preserve"> </w:t>
      </w:r>
      <w:r>
        <w:rPr>
          <w:sz w:val="18"/>
        </w:rPr>
        <w:t>a</w:t>
      </w:r>
      <w:r>
        <w:rPr>
          <w:spacing w:val="-2"/>
          <w:sz w:val="18"/>
        </w:rPr>
        <w:t xml:space="preserve"> </w:t>
      </w:r>
      <w:r>
        <w:rPr>
          <w:sz w:val="18"/>
        </w:rPr>
        <w:t>brief</w:t>
      </w:r>
      <w:r>
        <w:rPr>
          <w:spacing w:val="-1"/>
          <w:sz w:val="18"/>
        </w:rPr>
        <w:t xml:space="preserve"> </w:t>
      </w:r>
      <w:r>
        <w:rPr>
          <w:sz w:val="18"/>
        </w:rPr>
        <w:t>description of</w:t>
      </w:r>
      <w:r>
        <w:rPr>
          <w:spacing w:val="-1"/>
          <w:sz w:val="18"/>
        </w:rPr>
        <w:t xml:space="preserve"> </w:t>
      </w:r>
      <w:r>
        <w:rPr>
          <w:sz w:val="18"/>
        </w:rPr>
        <w:t>inconsistencies</w:t>
      </w:r>
      <w:r>
        <w:rPr>
          <w:spacing w:val="-1"/>
          <w:sz w:val="18"/>
        </w:rPr>
        <w:t xml:space="preserve"> </w:t>
      </w:r>
      <w:r>
        <w:rPr>
          <w:sz w:val="18"/>
        </w:rPr>
        <w:t>noted</w:t>
      </w:r>
      <w:r>
        <w:rPr>
          <w:spacing w:val="-2"/>
          <w:sz w:val="18"/>
        </w:rPr>
        <w:t xml:space="preserve"> </w:t>
      </w:r>
      <w:r>
        <w:rPr>
          <w:sz w:val="18"/>
        </w:rPr>
        <w:t>in</w:t>
      </w:r>
      <w:r>
        <w:rPr>
          <w:spacing w:val="-2"/>
          <w:sz w:val="18"/>
        </w:rPr>
        <w:t xml:space="preserve"> </w:t>
      </w:r>
      <w:r>
        <w:rPr>
          <w:sz w:val="18"/>
        </w:rPr>
        <w:t>column</w:t>
      </w:r>
      <w:r>
        <w:rPr>
          <w:spacing w:val="-2"/>
          <w:sz w:val="18"/>
        </w:rPr>
        <w:t xml:space="preserve"> </w:t>
      </w:r>
      <w:r>
        <w:rPr>
          <w:sz w:val="18"/>
        </w:rPr>
        <w:t>8.</w:t>
      </w:r>
      <w:r>
        <w:rPr>
          <w:spacing w:val="-1"/>
          <w:sz w:val="18"/>
        </w:rPr>
        <w:t xml:space="preserve"> </w:t>
      </w:r>
      <w:r>
        <w:rPr>
          <w:sz w:val="18"/>
        </w:rPr>
        <w:t>- If</w:t>
      </w:r>
      <w:r>
        <w:rPr>
          <w:spacing w:val="-1"/>
          <w:sz w:val="18"/>
        </w:rPr>
        <w:t xml:space="preserve"> </w:t>
      </w:r>
      <w:r>
        <w:rPr>
          <w:sz w:val="18"/>
        </w:rPr>
        <w:t>entity</w:t>
      </w:r>
      <w:r>
        <w:rPr>
          <w:spacing w:val="-1"/>
          <w:sz w:val="18"/>
        </w:rPr>
        <w:t xml:space="preserve"> </w:t>
      </w:r>
      <w:r>
        <w:rPr>
          <w:sz w:val="18"/>
        </w:rPr>
        <w:t>management’s</w:t>
      </w:r>
      <w:r>
        <w:rPr>
          <w:spacing w:val="-1"/>
          <w:sz w:val="18"/>
        </w:rPr>
        <w:t xml:space="preserve"> </w:t>
      </w:r>
      <w:r>
        <w:rPr>
          <w:sz w:val="18"/>
        </w:rPr>
        <w:t>assessment</w:t>
      </w:r>
      <w:r>
        <w:rPr>
          <w:spacing w:val="-1"/>
          <w:sz w:val="18"/>
        </w:rPr>
        <w:t xml:space="preserve"> </w:t>
      </w:r>
      <w:r>
        <w:rPr>
          <w:sz w:val="18"/>
        </w:rPr>
        <w:t>of</w:t>
      </w:r>
      <w:r>
        <w:rPr>
          <w:spacing w:val="-1"/>
          <w:sz w:val="18"/>
        </w:rPr>
        <w:t xml:space="preserve"> </w:t>
      </w:r>
      <w:r>
        <w:rPr>
          <w:sz w:val="18"/>
        </w:rPr>
        <w:t>likelihood</w:t>
      </w:r>
      <w:r>
        <w:rPr>
          <w:spacing w:val="-2"/>
          <w:sz w:val="18"/>
        </w:rPr>
        <w:t xml:space="preserve"> </w:t>
      </w:r>
      <w:r>
        <w:rPr>
          <w:sz w:val="18"/>
        </w:rPr>
        <w:t>of loss</w:t>
      </w:r>
      <w:r>
        <w:rPr>
          <w:spacing w:val="-1"/>
          <w:sz w:val="18"/>
        </w:rPr>
        <w:t xml:space="preserve"> </w:t>
      </w:r>
      <w:r>
        <w:rPr>
          <w:sz w:val="18"/>
        </w:rPr>
        <w:t>(Column</w:t>
      </w:r>
      <w:r>
        <w:rPr>
          <w:spacing w:val="-2"/>
          <w:sz w:val="18"/>
        </w:rPr>
        <w:t xml:space="preserve"> </w:t>
      </w:r>
      <w:r>
        <w:rPr>
          <w:sz w:val="18"/>
        </w:rPr>
        <w:t>6)</w:t>
      </w:r>
      <w:r>
        <w:rPr>
          <w:spacing w:val="-1"/>
          <w:sz w:val="18"/>
        </w:rPr>
        <w:t xml:space="preserve"> </w:t>
      </w:r>
      <w:r>
        <w:rPr>
          <w:b/>
          <w:sz w:val="18"/>
          <w:u w:val="single"/>
        </w:rPr>
        <w:t>and</w:t>
      </w:r>
      <w:r>
        <w:rPr>
          <w:b/>
          <w:sz w:val="18"/>
        </w:rPr>
        <w:t xml:space="preserve"> </w:t>
      </w:r>
      <w:r>
        <w:rPr>
          <w:sz w:val="18"/>
        </w:rPr>
        <w:t>estimated</w:t>
      </w:r>
      <w:r>
        <w:rPr>
          <w:spacing w:val="-2"/>
          <w:sz w:val="18"/>
        </w:rPr>
        <w:t xml:space="preserve"> </w:t>
      </w:r>
      <w:r>
        <w:rPr>
          <w:sz w:val="18"/>
        </w:rPr>
        <w:t>amount</w:t>
      </w:r>
      <w:r>
        <w:rPr>
          <w:spacing w:val="-1"/>
          <w:sz w:val="18"/>
        </w:rPr>
        <w:t xml:space="preserve"> </w:t>
      </w:r>
      <w:r>
        <w:rPr>
          <w:sz w:val="18"/>
        </w:rPr>
        <w:t>or</w:t>
      </w:r>
      <w:r>
        <w:rPr>
          <w:spacing w:val="-1"/>
          <w:sz w:val="18"/>
        </w:rPr>
        <w:t xml:space="preserve"> </w:t>
      </w:r>
      <w:r>
        <w:rPr>
          <w:sz w:val="18"/>
        </w:rPr>
        <w:t>range</w:t>
      </w:r>
      <w:r>
        <w:rPr>
          <w:spacing w:val="-2"/>
          <w:sz w:val="18"/>
        </w:rPr>
        <w:t xml:space="preserve"> </w:t>
      </w:r>
      <w:r>
        <w:rPr>
          <w:sz w:val="18"/>
        </w:rPr>
        <w:t>of</w:t>
      </w:r>
      <w:r>
        <w:rPr>
          <w:spacing w:val="-1"/>
          <w:sz w:val="18"/>
        </w:rPr>
        <w:t xml:space="preserve"> </w:t>
      </w:r>
      <w:r>
        <w:rPr>
          <w:sz w:val="18"/>
        </w:rPr>
        <w:t>potential</w:t>
      </w:r>
      <w:r>
        <w:rPr>
          <w:spacing w:val="-1"/>
          <w:sz w:val="18"/>
        </w:rPr>
        <w:t xml:space="preserve"> </w:t>
      </w:r>
      <w:r>
        <w:rPr>
          <w:sz w:val="18"/>
        </w:rPr>
        <w:t>loss</w:t>
      </w:r>
      <w:r>
        <w:rPr>
          <w:spacing w:val="-1"/>
          <w:sz w:val="18"/>
        </w:rPr>
        <w:t xml:space="preserve"> </w:t>
      </w:r>
      <w:r>
        <w:rPr>
          <w:sz w:val="18"/>
        </w:rPr>
        <w:t>(Column 7)</w:t>
      </w:r>
      <w:r>
        <w:rPr>
          <w:spacing w:val="-1"/>
          <w:sz w:val="18"/>
        </w:rPr>
        <w:t xml:space="preserve"> </w:t>
      </w:r>
      <w:r>
        <w:rPr>
          <w:sz w:val="18"/>
        </w:rPr>
        <w:t>differs</w:t>
      </w:r>
      <w:r>
        <w:rPr>
          <w:spacing w:val="-1"/>
          <w:sz w:val="18"/>
        </w:rPr>
        <w:t xml:space="preserve"> </w:t>
      </w:r>
      <w:r>
        <w:rPr>
          <w:sz w:val="18"/>
        </w:rPr>
        <w:t>from</w:t>
      </w:r>
      <w:r>
        <w:rPr>
          <w:spacing w:val="-1"/>
          <w:sz w:val="18"/>
        </w:rPr>
        <w:t xml:space="preserve"> </w:t>
      </w:r>
      <w:r>
        <w:rPr>
          <w:sz w:val="18"/>
        </w:rPr>
        <w:t>that</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entity’s</w:t>
      </w:r>
      <w:r>
        <w:rPr>
          <w:spacing w:val="-1"/>
          <w:sz w:val="18"/>
        </w:rPr>
        <w:t xml:space="preserve"> </w:t>
      </w:r>
      <w:r>
        <w:rPr>
          <w:sz w:val="18"/>
        </w:rPr>
        <w:t>general counsel’s</w:t>
      </w:r>
      <w:r>
        <w:rPr>
          <w:spacing w:val="-1"/>
          <w:sz w:val="18"/>
        </w:rPr>
        <w:t xml:space="preserve"> </w:t>
      </w:r>
      <w:r>
        <w:rPr>
          <w:sz w:val="18"/>
        </w:rPr>
        <w:t>(i.e.,</w:t>
      </w:r>
      <w:r>
        <w:rPr>
          <w:spacing w:val="-1"/>
          <w:sz w:val="18"/>
        </w:rPr>
        <w:t xml:space="preserve"> </w:t>
      </w:r>
      <w:r>
        <w:rPr>
          <w:sz w:val="18"/>
        </w:rPr>
        <w:t>responses to fields 5-6 on DOJ’s “Pending or Threatened Litigation” form or to fields 4-5 on DOJ's "Unasserted Claims and Assessments" form), provide a brief description of and explanation for the inconsistency.</w:t>
      </w:r>
    </w:p>
    <w:p w14:paraId="0DFDCCD5" w14:textId="77777777" w:rsidR="00046465" w:rsidRDefault="008134EB">
      <w:pPr>
        <w:pStyle w:val="ListParagraph"/>
        <w:numPr>
          <w:ilvl w:val="1"/>
          <w:numId w:val="56"/>
        </w:numPr>
        <w:tabs>
          <w:tab w:val="left" w:pos="835"/>
          <w:tab w:val="left" w:pos="993"/>
        </w:tabs>
        <w:spacing w:before="206"/>
        <w:ind w:right="1290" w:hanging="526"/>
        <w:rPr>
          <w:sz w:val="18"/>
        </w:rPr>
      </w:pPr>
      <w:r>
        <w:rPr>
          <w:sz w:val="18"/>
        </w:rPr>
        <w:t>In</w:t>
      </w:r>
      <w:r>
        <w:rPr>
          <w:spacing w:val="-2"/>
          <w:sz w:val="18"/>
        </w:rPr>
        <w:t xml:space="preserve"> </w:t>
      </w:r>
      <w:r>
        <w:rPr>
          <w:sz w:val="18"/>
        </w:rPr>
        <w:t>cases</w:t>
      </w:r>
      <w:r>
        <w:rPr>
          <w:spacing w:val="-1"/>
          <w:sz w:val="18"/>
        </w:rPr>
        <w:t xml:space="preserve"> </w:t>
      </w:r>
      <w:r>
        <w:rPr>
          <w:sz w:val="18"/>
        </w:rPr>
        <w:t>in</w:t>
      </w:r>
      <w:r>
        <w:rPr>
          <w:spacing w:val="-2"/>
          <w:sz w:val="18"/>
        </w:rPr>
        <w:t xml:space="preserve"> </w:t>
      </w:r>
      <w:r>
        <w:rPr>
          <w:sz w:val="18"/>
        </w:rPr>
        <w:t>which</w:t>
      </w:r>
      <w:r>
        <w:rPr>
          <w:spacing w:val="-1"/>
          <w:sz w:val="18"/>
        </w:rPr>
        <w:t xml:space="preserve"> </w:t>
      </w:r>
      <w:r>
        <w:rPr>
          <w:sz w:val="18"/>
        </w:rPr>
        <w:t>more</w:t>
      </w:r>
      <w:r>
        <w:rPr>
          <w:spacing w:val="-2"/>
          <w:sz w:val="18"/>
        </w:rPr>
        <w:t xml:space="preserve"> </w:t>
      </w:r>
      <w:r>
        <w:rPr>
          <w:sz w:val="18"/>
        </w:rPr>
        <w:t>than</w:t>
      </w:r>
      <w:r>
        <w:rPr>
          <w:spacing w:val="-2"/>
          <w:sz w:val="18"/>
        </w:rPr>
        <w:t xml:space="preserve"> </w:t>
      </w:r>
      <w:r>
        <w:rPr>
          <w:sz w:val="18"/>
        </w:rPr>
        <w:t>one</w:t>
      </w:r>
      <w:r>
        <w:rPr>
          <w:spacing w:val="-2"/>
          <w:sz w:val="18"/>
        </w:rPr>
        <w:t xml:space="preserve"> </w:t>
      </w:r>
      <w:r>
        <w:rPr>
          <w:sz w:val="18"/>
        </w:rPr>
        <w:t>entity</w:t>
      </w:r>
      <w:r>
        <w:rPr>
          <w:spacing w:val="-1"/>
          <w:sz w:val="18"/>
        </w:rPr>
        <w:t xml:space="preserve"> </w:t>
      </w:r>
      <w:r>
        <w:rPr>
          <w:sz w:val="18"/>
        </w:rPr>
        <w:t>is</w:t>
      </w:r>
      <w:r>
        <w:rPr>
          <w:spacing w:val="-1"/>
          <w:sz w:val="18"/>
        </w:rPr>
        <w:t xml:space="preserve"> </w:t>
      </w:r>
      <w:r>
        <w:rPr>
          <w:sz w:val="18"/>
        </w:rPr>
        <w:t>affected,</w:t>
      </w:r>
      <w:r>
        <w:rPr>
          <w:spacing w:val="-1"/>
          <w:sz w:val="18"/>
        </w:rPr>
        <w:t xml:space="preserve"> </w:t>
      </w:r>
      <w:r>
        <w:rPr>
          <w:sz w:val="18"/>
        </w:rPr>
        <w:t>entities</w:t>
      </w:r>
      <w:r>
        <w:rPr>
          <w:spacing w:val="-1"/>
          <w:sz w:val="18"/>
        </w:rPr>
        <w:t xml:space="preserve"> </w:t>
      </w:r>
      <w:r>
        <w:rPr>
          <w:sz w:val="18"/>
        </w:rPr>
        <w:t>must</w:t>
      </w:r>
      <w:r>
        <w:rPr>
          <w:spacing w:val="-1"/>
          <w:sz w:val="18"/>
        </w:rPr>
        <w:t xml:space="preserve"> </w:t>
      </w:r>
      <w:r>
        <w:rPr>
          <w:sz w:val="18"/>
        </w:rPr>
        <w:t>collaborate</w:t>
      </w:r>
      <w:r>
        <w:rPr>
          <w:spacing w:val="-2"/>
          <w:sz w:val="18"/>
        </w:rPr>
        <w:t xml:space="preserve"> </w:t>
      </w:r>
      <w:r>
        <w:rPr>
          <w:sz w:val="18"/>
        </w:rPr>
        <w:t>with</w:t>
      </w:r>
      <w:r>
        <w:rPr>
          <w:spacing w:val="-2"/>
          <w:sz w:val="18"/>
        </w:rPr>
        <w:t xml:space="preserve"> </w:t>
      </w:r>
      <w:r>
        <w:rPr>
          <w:sz w:val="18"/>
        </w:rPr>
        <w:t>each other</w:t>
      </w:r>
      <w:r>
        <w:rPr>
          <w:spacing w:val="-1"/>
          <w:sz w:val="18"/>
        </w:rPr>
        <w:t xml:space="preserve"> </w:t>
      </w:r>
      <w:r>
        <w:rPr>
          <w:sz w:val="18"/>
        </w:rPr>
        <w:t>on</w:t>
      </w:r>
      <w:r>
        <w:rPr>
          <w:spacing w:val="-2"/>
          <w:sz w:val="18"/>
        </w:rPr>
        <w:t xml:space="preserve"> </w:t>
      </w:r>
      <w:r>
        <w:rPr>
          <w:sz w:val="18"/>
        </w:rPr>
        <w:t>shared</w:t>
      </w:r>
      <w:r>
        <w:rPr>
          <w:spacing w:val="-2"/>
          <w:sz w:val="18"/>
        </w:rPr>
        <w:t xml:space="preserve"> </w:t>
      </w:r>
      <w:r>
        <w:rPr>
          <w:sz w:val="18"/>
        </w:rPr>
        <w:t>cases</w:t>
      </w:r>
      <w:r>
        <w:rPr>
          <w:spacing w:val="-1"/>
          <w:sz w:val="18"/>
        </w:rPr>
        <w:t xml:space="preserve"> </w:t>
      </w:r>
      <w:r>
        <w:rPr>
          <w:sz w:val="18"/>
        </w:rPr>
        <w:t>to</w:t>
      </w:r>
      <w:r>
        <w:rPr>
          <w:spacing w:val="-2"/>
          <w:sz w:val="18"/>
        </w:rPr>
        <w:t xml:space="preserve"> </w:t>
      </w:r>
      <w:r>
        <w:rPr>
          <w:sz w:val="18"/>
        </w:rPr>
        <w:t>ensure</w:t>
      </w:r>
      <w:r>
        <w:rPr>
          <w:spacing w:val="-2"/>
          <w:sz w:val="18"/>
        </w:rPr>
        <w:t xml:space="preserve"> </w:t>
      </w:r>
      <w:r>
        <w:rPr>
          <w:sz w:val="18"/>
        </w:rPr>
        <w:t>appropriate reporting.</w:t>
      </w:r>
      <w:r>
        <w:rPr>
          <w:spacing w:val="-1"/>
          <w:sz w:val="18"/>
        </w:rPr>
        <w:t xml:space="preserve"> </w:t>
      </w:r>
      <w:r>
        <w:rPr>
          <w:sz w:val="18"/>
        </w:rPr>
        <w:t>Responsibility</w:t>
      </w:r>
      <w:r>
        <w:rPr>
          <w:spacing w:val="-1"/>
          <w:sz w:val="18"/>
        </w:rPr>
        <w:t xml:space="preserve"> </w:t>
      </w:r>
      <w:r>
        <w:rPr>
          <w:sz w:val="18"/>
        </w:rPr>
        <w:t>for</w:t>
      </w:r>
      <w:r>
        <w:rPr>
          <w:spacing w:val="-1"/>
          <w:sz w:val="18"/>
        </w:rPr>
        <w:t xml:space="preserve"> </w:t>
      </w:r>
      <w:r>
        <w:rPr>
          <w:sz w:val="18"/>
        </w:rPr>
        <w:t>the</w:t>
      </w:r>
      <w:r>
        <w:rPr>
          <w:spacing w:val="-2"/>
          <w:sz w:val="18"/>
        </w:rPr>
        <w:t xml:space="preserve"> </w:t>
      </w:r>
      <w:r>
        <w:rPr>
          <w:sz w:val="18"/>
        </w:rPr>
        <w:t>case</w:t>
      </w:r>
      <w:r>
        <w:rPr>
          <w:spacing w:val="-2"/>
          <w:sz w:val="18"/>
        </w:rPr>
        <w:t xml:space="preserve"> </w:t>
      </w:r>
      <w:r>
        <w:rPr>
          <w:sz w:val="18"/>
        </w:rPr>
        <w:t>must be</w:t>
      </w:r>
      <w:r>
        <w:rPr>
          <w:spacing w:val="-2"/>
          <w:sz w:val="18"/>
        </w:rPr>
        <w:t xml:space="preserve"> </w:t>
      </w:r>
      <w:r>
        <w:rPr>
          <w:sz w:val="18"/>
        </w:rPr>
        <w:t>allocated</w:t>
      </w:r>
      <w:r>
        <w:rPr>
          <w:spacing w:val="-2"/>
          <w:sz w:val="18"/>
        </w:rPr>
        <w:t xml:space="preserve"> </w:t>
      </w:r>
      <w:r>
        <w:rPr>
          <w:sz w:val="18"/>
        </w:rPr>
        <w:t>among</w:t>
      </w:r>
      <w:r>
        <w:rPr>
          <w:spacing w:val="-2"/>
          <w:sz w:val="18"/>
        </w:rPr>
        <w:t xml:space="preserve"> </w:t>
      </w:r>
      <w:r>
        <w:rPr>
          <w:sz w:val="18"/>
        </w:rPr>
        <w:t>affected</w:t>
      </w:r>
      <w:r>
        <w:rPr>
          <w:spacing w:val="-1"/>
          <w:sz w:val="18"/>
        </w:rPr>
        <w:t xml:space="preserve"> </w:t>
      </w:r>
      <w:r>
        <w:rPr>
          <w:sz w:val="18"/>
        </w:rPr>
        <w:t>entities</w:t>
      </w:r>
      <w:r>
        <w:rPr>
          <w:spacing w:val="-1"/>
          <w:sz w:val="18"/>
        </w:rPr>
        <w:t xml:space="preserve"> </w:t>
      </w:r>
      <w:r>
        <w:rPr>
          <w:sz w:val="18"/>
        </w:rPr>
        <w:t>to</w:t>
      </w:r>
      <w:r>
        <w:rPr>
          <w:spacing w:val="-2"/>
          <w:sz w:val="18"/>
        </w:rPr>
        <w:t xml:space="preserve"> </w:t>
      </w:r>
      <w:r>
        <w:rPr>
          <w:sz w:val="18"/>
        </w:rPr>
        <w:t>ensure</w:t>
      </w:r>
      <w:r>
        <w:rPr>
          <w:spacing w:val="-2"/>
          <w:sz w:val="18"/>
        </w:rPr>
        <w:t xml:space="preserve"> </w:t>
      </w:r>
      <w:r>
        <w:rPr>
          <w:sz w:val="18"/>
        </w:rPr>
        <w:t>that</w:t>
      </w:r>
      <w:r>
        <w:rPr>
          <w:spacing w:val="-1"/>
          <w:sz w:val="18"/>
        </w:rPr>
        <w:t xml:space="preserve"> </w:t>
      </w:r>
      <w:r>
        <w:rPr>
          <w:sz w:val="18"/>
        </w:rPr>
        <w:t>100</w:t>
      </w:r>
      <w:r>
        <w:rPr>
          <w:spacing w:val="-1"/>
          <w:sz w:val="18"/>
        </w:rPr>
        <w:t xml:space="preserve"> </w:t>
      </w:r>
      <w:r>
        <w:rPr>
          <w:sz w:val="18"/>
        </w:rPr>
        <w:t>percent</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contingency</w:t>
      </w:r>
      <w:r>
        <w:rPr>
          <w:spacing w:val="-1"/>
          <w:sz w:val="18"/>
        </w:rPr>
        <w:t xml:space="preserve"> </w:t>
      </w:r>
      <w:r>
        <w:rPr>
          <w:sz w:val="18"/>
        </w:rPr>
        <w:t>is accounted for. Is the legal case considered a "shared case" with another entity?</w:t>
      </w:r>
    </w:p>
    <w:p w14:paraId="0DFDCCD6" w14:textId="77777777" w:rsidR="00046465" w:rsidRDefault="00046465">
      <w:pPr>
        <w:pStyle w:val="BodyText"/>
        <w:spacing w:before="1"/>
        <w:rPr>
          <w:sz w:val="18"/>
        </w:rPr>
      </w:pPr>
    </w:p>
    <w:p w14:paraId="0DFDCCD7" w14:textId="77777777" w:rsidR="00046465" w:rsidRDefault="008134EB">
      <w:pPr>
        <w:pStyle w:val="ListParagraph"/>
        <w:numPr>
          <w:ilvl w:val="1"/>
          <w:numId w:val="56"/>
        </w:numPr>
        <w:tabs>
          <w:tab w:val="left" w:pos="836"/>
        </w:tabs>
        <w:spacing w:before="0"/>
        <w:ind w:left="836" w:hanging="368"/>
        <w:rPr>
          <w:sz w:val="18"/>
        </w:rPr>
      </w:pPr>
      <w:r>
        <w:rPr>
          <w:sz w:val="18"/>
        </w:rPr>
        <w:t>Is</w:t>
      </w:r>
      <w:r>
        <w:rPr>
          <w:spacing w:val="-2"/>
          <w:sz w:val="18"/>
        </w:rPr>
        <w:t xml:space="preserve"> </w:t>
      </w:r>
      <w:r>
        <w:rPr>
          <w:sz w:val="18"/>
        </w:rPr>
        <w:t>this</w:t>
      </w:r>
      <w:r>
        <w:rPr>
          <w:spacing w:val="-2"/>
          <w:sz w:val="18"/>
        </w:rPr>
        <w:t xml:space="preserve"> </w:t>
      </w:r>
      <w:r>
        <w:rPr>
          <w:sz w:val="18"/>
        </w:rPr>
        <w:t>case</w:t>
      </w:r>
      <w:r>
        <w:rPr>
          <w:spacing w:val="-2"/>
          <w:sz w:val="18"/>
        </w:rPr>
        <w:t xml:space="preserve"> </w:t>
      </w:r>
      <w:r>
        <w:rPr>
          <w:sz w:val="18"/>
        </w:rPr>
        <w:t>related</w:t>
      </w:r>
      <w:r>
        <w:rPr>
          <w:spacing w:val="-3"/>
          <w:sz w:val="18"/>
        </w:rPr>
        <w:t xml:space="preserve"> </w:t>
      </w:r>
      <w:r>
        <w:rPr>
          <w:sz w:val="18"/>
        </w:rPr>
        <w:t>to</w:t>
      </w:r>
      <w:r>
        <w:rPr>
          <w:spacing w:val="-3"/>
          <w:sz w:val="18"/>
        </w:rPr>
        <w:t xml:space="preserve"> </w:t>
      </w:r>
      <w:r>
        <w:rPr>
          <w:sz w:val="18"/>
        </w:rPr>
        <w:t>a</w:t>
      </w:r>
      <w:r>
        <w:rPr>
          <w:spacing w:val="-2"/>
          <w:sz w:val="18"/>
        </w:rPr>
        <w:t xml:space="preserve"> </w:t>
      </w:r>
      <w:r>
        <w:rPr>
          <w:sz w:val="18"/>
        </w:rPr>
        <w:t>treaty</w:t>
      </w:r>
      <w:r>
        <w:rPr>
          <w:spacing w:val="-2"/>
          <w:sz w:val="18"/>
        </w:rPr>
        <w:t xml:space="preserve"> </w:t>
      </w:r>
      <w:r>
        <w:rPr>
          <w:sz w:val="18"/>
        </w:rPr>
        <w:t>or</w:t>
      </w:r>
      <w:r>
        <w:rPr>
          <w:spacing w:val="-2"/>
          <w:sz w:val="18"/>
        </w:rPr>
        <w:t xml:space="preserve"> </w:t>
      </w:r>
      <w:r>
        <w:rPr>
          <w:sz w:val="18"/>
        </w:rPr>
        <w:t>international</w:t>
      </w:r>
      <w:r>
        <w:rPr>
          <w:spacing w:val="-1"/>
          <w:sz w:val="18"/>
        </w:rPr>
        <w:t xml:space="preserve"> </w:t>
      </w:r>
      <w:r>
        <w:rPr>
          <w:sz w:val="18"/>
        </w:rPr>
        <w:t>agreement?</w:t>
      </w:r>
      <w:r>
        <w:rPr>
          <w:spacing w:val="-2"/>
          <w:sz w:val="18"/>
        </w:rPr>
        <w:t xml:space="preserve"> </w:t>
      </w:r>
      <w:r>
        <w:rPr>
          <w:sz w:val="18"/>
        </w:rPr>
        <w:t>-</w:t>
      </w:r>
      <w:r>
        <w:rPr>
          <w:spacing w:val="-2"/>
          <w:sz w:val="18"/>
        </w:rPr>
        <w:t xml:space="preserve"> </w:t>
      </w:r>
      <w:r>
        <w:rPr>
          <w:sz w:val="18"/>
        </w:rPr>
        <w:t>Enter</w:t>
      </w:r>
      <w:r>
        <w:rPr>
          <w:spacing w:val="-1"/>
          <w:sz w:val="18"/>
        </w:rPr>
        <w:t xml:space="preserve"> </w:t>
      </w:r>
      <w:r>
        <w:rPr>
          <w:sz w:val="18"/>
        </w:rPr>
        <w:t>“Yes”</w:t>
      </w:r>
      <w:r>
        <w:rPr>
          <w:spacing w:val="-2"/>
          <w:sz w:val="18"/>
        </w:rPr>
        <w:t xml:space="preserve"> </w:t>
      </w:r>
      <w:r>
        <w:rPr>
          <w:sz w:val="18"/>
        </w:rPr>
        <w:t>or</w:t>
      </w:r>
      <w:r>
        <w:rPr>
          <w:spacing w:val="-1"/>
          <w:sz w:val="18"/>
        </w:rPr>
        <w:t xml:space="preserve"> </w:t>
      </w:r>
      <w:r>
        <w:rPr>
          <w:spacing w:val="-2"/>
          <w:sz w:val="18"/>
        </w:rPr>
        <w:t>“No.”</w:t>
      </w:r>
    </w:p>
    <w:p w14:paraId="0DFDCCD8" w14:textId="77777777" w:rsidR="00046465" w:rsidRDefault="008134EB">
      <w:pPr>
        <w:pStyle w:val="ListParagraph"/>
        <w:numPr>
          <w:ilvl w:val="1"/>
          <w:numId w:val="56"/>
        </w:numPr>
        <w:tabs>
          <w:tab w:val="left" w:pos="836"/>
        </w:tabs>
        <w:spacing w:before="117"/>
        <w:ind w:left="836" w:hanging="368"/>
        <w:rPr>
          <w:sz w:val="18"/>
        </w:rPr>
      </w:pPr>
      <w:r>
        <w:rPr>
          <w:sz w:val="18"/>
        </w:rPr>
        <w:t>Disposition</w:t>
      </w:r>
      <w:r>
        <w:rPr>
          <w:spacing w:val="-4"/>
          <w:sz w:val="18"/>
        </w:rPr>
        <w:t xml:space="preserve"> </w:t>
      </w:r>
      <w:r>
        <w:rPr>
          <w:sz w:val="18"/>
        </w:rPr>
        <w:t>in</w:t>
      </w:r>
      <w:r>
        <w:rPr>
          <w:spacing w:val="-3"/>
          <w:sz w:val="18"/>
        </w:rPr>
        <w:t xml:space="preserve"> </w:t>
      </w:r>
      <w:r>
        <w:rPr>
          <w:sz w:val="18"/>
        </w:rPr>
        <w:t>Financial</w:t>
      </w:r>
      <w:r>
        <w:rPr>
          <w:spacing w:val="-3"/>
          <w:sz w:val="18"/>
        </w:rPr>
        <w:t xml:space="preserve"> </w:t>
      </w:r>
      <w:r>
        <w:rPr>
          <w:sz w:val="18"/>
        </w:rPr>
        <w:t>Statements:</w:t>
      </w:r>
      <w:r>
        <w:rPr>
          <w:spacing w:val="-2"/>
          <w:sz w:val="18"/>
        </w:rPr>
        <w:t xml:space="preserve"> </w:t>
      </w:r>
      <w:r>
        <w:rPr>
          <w:sz w:val="18"/>
        </w:rPr>
        <w:t>amount</w:t>
      </w:r>
      <w:r>
        <w:rPr>
          <w:spacing w:val="-2"/>
          <w:sz w:val="18"/>
        </w:rPr>
        <w:t xml:space="preserve"> </w:t>
      </w:r>
      <w:r>
        <w:rPr>
          <w:sz w:val="18"/>
        </w:rPr>
        <w:t>recorded</w:t>
      </w:r>
      <w:r>
        <w:rPr>
          <w:spacing w:val="-4"/>
          <w:sz w:val="18"/>
        </w:rPr>
        <w:t xml:space="preserve"> </w:t>
      </w:r>
      <w:r>
        <w:rPr>
          <w:sz w:val="18"/>
        </w:rPr>
        <w:t>as</w:t>
      </w:r>
      <w:r>
        <w:rPr>
          <w:spacing w:val="-2"/>
          <w:sz w:val="18"/>
        </w:rPr>
        <w:t xml:space="preserve"> </w:t>
      </w:r>
      <w:r>
        <w:rPr>
          <w:sz w:val="18"/>
        </w:rPr>
        <w:t>a</w:t>
      </w:r>
      <w:r>
        <w:rPr>
          <w:spacing w:val="-4"/>
          <w:sz w:val="18"/>
        </w:rPr>
        <w:t xml:space="preserve"> </w:t>
      </w:r>
      <w:r>
        <w:rPr>
          <w:sz w:val="18"/>
        </w:rPr>
        <w:t>liability</w:t>
      </w:r>
      <w:r>
        <w:rPr>
          <w:spacing w:val="-2"/>
          <w:sz w:val="18"/>
        </w:rPr>
        <w:t xml:space="preserve"> </w:t>
      </w:r>
      <w:r>
        <w:rPr>
          <w:sz w:val="18"/>
        </w:rPr>
        <w:t>on</w:t>
      </w:r>
      <w:r>
        <w:rPr>
          <w:spacing w:val="-2"/>
          <w:sz w:val="18"/>
        </w:rPr>
        <w:t xml:space="preserve"> </w:t>
      </w:r>
      <w:r>
        <w:rPr>
          <w:sz w:val="18"/>
        </w:rPr>
        <w:t>the</w:t>
      </w:r>
      <w:r>
        <w:rPr>
          <w:spacing w:val="-4"/>
          <w:sz w:val="18"/>
        </w:rPr>
        <w:t xml:space="preserve"> </w:t>
      </w:r>
      <w:r>
        <w:rPr>
          <w:sz w:val="18"/>
        </w:rPr>
        <w:t>balance</w:t>
      </w:r>
      <w:r>
        <w:rPr>
          <w:spacing w:val="-1"/>
          <w:sz w:val="18"/>
        </w:rPr>
        <w:t xml:space="preserve"> </w:t>
      </w:r>
      <w:r>
        <w:rPr>
          <w:sz w:val="18"/>
        </w:rPr>
        <w:t>sheet</w:t>
      </w:r>
      <w:r>
        <w:rPr>
          <w:spacing w:val="-3"/>
          <w:sz w:val="18"/>
        </w:rPr>
        <w:t xml:space="preserve"> </w:t>
      </w:r>
      <w:r>
        <w:rPr>
          <w:sz w:val="18"/>
        </w:rPr>
        <w:t>-</w:t>
      </w:r>
      <w:r>
        <w:rPr>
          <w:spacing w:val="-2"/>
          <w:sz w:val="18"/>
        </w:rPr>
        <w:t xml:space="preserve"> </w:t>
      </w:r>
      <w:r>
        <w:rPr>
          <w:sz w:val="18"/>
        </w:rPr>
        <w:t>For</w:t>
      </w:r>
      <w:r>
        <w:rPr>
          <w:spacing w:val="-3"/>
          <w:sz w:val="18"/>
        </w:rPr>
        <w:t xml:space="preserve"> </w:t>
      </w:r>
      <w:r>
        <w:rPr>
          <w:sz w:val="18"/>
        </w:rPr>
        <w:t>probable</w:t>
      </w:r>
      <w:r>
        <w:rPr>
          <w:spacing w:val="-3"/>
          <w:sz w:val="18"/>
        </w:rPr>
        <w:t xml:space="preserve"> </w:t>
      </w:r>
      <w:r>
        <w:rPr>
          <w:sz w:val="18"/>
        </w:rPr>
        <w:t>contingencies</w:t>
      </w:r>
      <w:r>
        <w:rPr>
          <w:spacing w:val="-2"/>
          <w:sz w:val="18"/>
        </w:rPr>
        <w:t xml:space="preserve"> </w:t>
      </w:r>
      <w:r>
        <w:rPr>
          <w:sz w:val="18"/>
        </w:rPr>
        <w:t>that</w:t>
      </w:r>
      <w:r>
        <w:rPr>
          <w:spacing w:val="-3"/>
          <w:sz w:val="18"/>
        </w:rPr>
        <w:t xml:space="preserve"> </w:t>
      </w:r>
      <w:r>
        <w:rPr>
          <w:sz w:val="18"/>
        </w:rPr>
        <w:t>are</w:t>
      </w:r>
      <w:r>
        <w:rPr>
          <w:spacing w:val="-1"/>
          <w:sz w:val="18"/>
        </w:rPr>
        <w:t xml:space="preserve"> </w:t>
      </w:r>
      <w:r>
        <w:rPr>
          <w:sz w:val="18"/>
        </w:rPr>
        <w:t>reasonably</w:t>
      </w:r>
      <w:r>
        <w:rPr>
          <w:spacing w:val="-2"/>
          <w:sz w:val="18"/>
        </w:rPr>
        <w:t xml:space="preserve"> </w:t>
      </w:r>
      <w:r>
        <w:rPr>
          <w:sz w:val="18"/>
        </w:rPr>
        <w:t>estimable,</w:t>
      </w:r>
      <w:r>
        <w:rPr>
          <w:spacing w:val="-2"/>
          <w:sz w:val="18"/>
        </w:rPr>
        <w:t xml:space="preserve"> </w:t>
      </w:r>
      <w:r>
        <w:rPr>
          <w:sz w:val="18"/>
        </w:rPr>
        <w:t>enter</w:t>
      </w:r>
      <w:r>
        <w:rPr>
          <w:spacing w:val="-3"/>
          <w:sz w:val="18"/>
        </w:rPr>
        <w:t xml:space="preserve"> </w:t>
      </w:r>
      <w:r>
        <w:rPr>
          <w:sz w:val="18"/>
        </w:rPr>
        <w:t>the</w:t>
      </w:r>
      <w:r>
        <w:rPr>
          <w:spacing w:val="-3"/>
          <w:sz w:val="18"/>
        </w:rPr>
        <w:t xml:space="preserve"> </w:t>
      </w:r>
      <w:r>
        <w:rPr>
          <w:sz w:val="18"/>
        </w:rPr>
        <w:t>single</w:t>
      </w:r>
      <w:r>
        <w:rPr>
          <w:spacing w:val="-1"/>
          <w:sz w:val="18"/>
        </w:rPr>
        <w:t xml:space="preserve"> </w:t>
      </w:r>
      <w:r>
        <w:rPr>
          <w:sz w:val="18"/>
        </w:rPr>
        <w:t>estimate</w:t>
      </w:r>
      <w:r>
        <w:rPr>
          <w:spacing w:val="-4"/>
          <w:sz w:val="18"/>
        </w:rPr>
        <w:t xml:space="preserve"> </w:t>
      </w:r>
      <w:r>
        <w:rPr>
          <w:sz w:val="18"/>
        </w:rPr>
        <w:t>amount</w:t>
      </w:r>
      <w:r>
        <w:rPr>
          <w:spacing w:val="-2"/>
          <w:sz w:val="18"/>
        </w:rPr>
        <w:t xml:space="preserve"> </w:t>
      </w:r>
      <w:r>
        <w:rPr>
          <w:sz w:val="18"/>
        </w:rPr>
        <w:t>or</w:t>
      </w:r>
      <w:r>
        <w:rPr>
          <w:spacing w:val="-3"/>
          <w:sz w:val="18"/>
        </w:rPr>
        <w:t xml:space="preserve"> </w:t>
      </w:r>
      <w:r>
        <w:rPr>
          <w:sz w:val="18"/>
        </w:rPr>
        <w:t>low</w:t>
      </w:r>
      <w:r>
        <w:rPr>
          <w:spacing w:val="-2"/>
          <w:sz w:val="18"/>
        </w:rPr>
        <w:t xml:space="preserve"> </w:t>
      </w:r>
      <w:r>
        <w:rPr>
          <w:sz w:val="18"/>
        </w:rPr>
        <w:t>end</w:t>
      </w:r>
      <w:r>
        <w:rPr>
          <w:spacing w:val="-3"/>
          <w:sz w:val="18"/>
        </w:rPr>
        <w:t xml:space="preserve"> </w:t>
      </w:r>
      <w:r>
        <w:rPr>
          <w:sz w:val="18"/>
        </w:rPr>
        <w:t>of</w:t>
      </w:r>
      <w:r>
        <w:rPr>
          <w:spacing w:val="-3"/>
          <w:sz w:val="18"/>
        </w:rPr>
        <w:t xml:space="preserve"> </w:t>
      </w:r>
      <w:r>
        <w:rPr>
          <w:sz w:val="18"/>
        </w:rPr>
        <w:t>the</w:t>
      </w:r>
      <w:r>
        <w:rPr>
          <w:spacing w:val="-3"/>
          <w:sz w:val="18"/>
        </w:rPr>
        <w:t xml:space="preserve"> </w:t>
      </w:r>
      <w:r>
        <w:rPr>
          <w:sz w:val="18"/>
        </w:rPr>
        <w:t>range</w:t>
      </w:r>
      <w:r>
        <w:rPr>
          <w:spacing w:val="-4"/>
          <w:sz w:val="18"/>
        </w:rPr>
        <w:t xml:space="preserve"> </w:t>
      </w:r>
      <w:r>
        <w:rPr>
          <w:sz w:val="18"/>
        </w:rPr>
        <w:t>recorded</w:t>
      </w:r>
      <w:r>
        <w:rPr>
          <w:spacing w:val="-1"/>
          <w:sz w:val="18"/>
        </w:rPr>
        <w:t xml:space="preserve"> </w:t>
      </w:r>
      <w:r>
        <w:rPr>
          <w:sz w:val="18"/>
        </w:rPr>
        <w:t>on</w:t>
      </w:r>
      <w:r>
        <w:rPr>
          <w:spacing w:val="-3"/>
          <w:sz w:val="18"/>
        </w:rPr>
        <w:t xml:space="preserve"> </w:t>
      </w:r>
      <w:r>
        <w:rPr>
          <w:sz w:val="18"/>
        </w:rPr>
        <w:t>the</w:t>
      </w:r>
      <w:r>
        <w:rPr>
          <w:spacing w:val="-4"/>
          <w:sz w:val="18"/>
        </w:rPr>
        <w:t xml:space="preserve"> </w:t>
      </w:r>
      <w:r>
        <w:rPr>
          <w:sz w:val="18"/>
        </w:rPr>
        <w:t>entity’s</w:t>
      </w:r>
      <w:r>
        <w:rPr>
          <w:spacing w:val="-2"/>
          <w:sz w:val="18"/>
        </w:rPr>
        <w:t xml:space="preserve"> </w:t>
      </w:r>
      <w:r>
        <w:rPr>
          <w:sz w:val="18"/>
        </w:rPr>
        <w:t>balance</w:t>
      </w:r>
      <w:r>
        <w:rPr>
          <w:spacing w:val="-3"/>
          <w:sz w:val="18"/>
        </w:rPr>
        <w:t xml:space="preserve"> </w:t>
      </w:r>
      <w:r>
        <w:rPr>
          <w:spacing w:val="-2"/>
          <w:sz w:val="18"/>
        </w:rPr>
        <w:t>sheet.</w:t>
      </w:r>
    </w:p>
    <w:p w14:paraId="0DFDCCD9" w14:textId="77777777" w:rsidR="00046465" w:rsidRDefault="00046465">
      <w:pPr>
        <w:pStyle w:val="ListParagraph"/>
        <w:rPr>
          <w:sz w:val="18"/>
        </w:rPr>
        <w:sectPr w:rsidR="00046465">
          <w:headerReference w:type="default" r:id="rId249"/>
          <w:footerReference w:type="default" r:id="rId250"/>
          <w:pgSz w:w="24480" w:h="15840" w:orient="landscape"/>
          <w:pgMar w:top="1340" w:right="1080" w:bottom="940" w:left="720" w:header="721" w:footer="757" w:gutter="0"/>
          <w:pgNumType w:start="3"/>
          <w:cols w:space="720"/>
        </w:sectPr>
      </w:pPr>
    </w:p>
    <w:p w14:paraId="0DFDCCDA" w14:textId="77777777" w:rsidR="00046465" w:rsidRDefault="00046465">
      <w:pPr>
        <w:pStyle w:val="BodyText"/>
        <w:spacing w:before="94"/>
        <w:rPr>
          <w:sz w:val="20"/>
        </w:rPr>
      </w:pPr>
    </w:p>
    <w:tbl>
      <w:tblPr>
        <w:tblW w:w="0" w:type="auto"/>
        <w:tblInd w:w="425" w:type="dxa"/>
        <w:tblLayout w:type="fixed"/>
        <w:tblCellMar>
          <w:left w:w="0" w:type="dxa"/>
          <w:right w:w="0" w:type="dxa"/>
        </w:tblCellMar>
        <w:tblLook w:val="01E0" w:firstRow="1" w:lastRow="1" w:firstColumn="1" w:lastColumn="1" w:noHBand="0" w:noVBand="0"/>
      </w:tblPr>
      <w:tblGrid>
        <w:gridCol w:w="21023"/>
      </w:tblGrid>
      <w:tr w:rsidR="00046465" w14:paraId="0DFDCCDC" w14:textId="77777777">
        <w:trPr>
          <w:trHeight w:val="1090"/>
        </w:trPr>
        <w:tc>
          <w:tcPr>
            <w:tcW w:w="21023" w:type="dxa"/>
          </w:tcPr>
          <w:p w14:paraId="0DFDCCDB" w14:textId="77777777" w:rsidR="00046465" w:rsidRDefault="008134EB">
            <w:pPr>
              <w:pStyle w:val="TableParagraph"/>
              <w:ind w:left="575" w:right="82" w:hanging="526"/>
              <w:rPr>
                <w:sz w:val="18"/>
              </w:rPr>
            </w:pPr>
            <w:r>
              <w:rPr>
                <w:sz w:val="18"/>
              </w:rPr>
              <w:t>(13) Disposition in Financial Statements: note disclosure - For probable contingencies where the estimated loss is a range of amounts, provide the financial statement note number where the entity discloses the range and a description of the nature of the contingency (SFFAS 5, para.</w:t>
            </w:r>
            <w:r>
              <w:rPr>
                <w:spacing w:val="-1"/>
                <w:sz w:val="18"/>
              </w:rPr>
              <w:t xml:space="preserve"> </w:t>
            </w:r>
            <w:r>
              <w:rPr>
                <w:sz w:val="18"/>
              </w:rPr>
              <w:t>39). For reasonably possible</w:t>
            </w:r>
            <w:r>
              <w:rPr>
                <w:spacing w:val="-1"/>
                <w:sz w:val="18"/>
              </w:rPr>
              <w:t xml:space="preserve"> </w:t>
            </w:r>
            <w:r>
              <w:rPr>
                <w:sz w:val="18"/>
              </w:rPr>
              <w:t>contingencies where</w:t>
            </w:r>
            <w:r>
              <w:rPr>
                <w:spacing w:val="-1"/>
                <w:sz w:val="18"/>
              </w:rPr>
              <w:t xml:space="preserve"> </w:t>
            </w:r>
            <w:r>
              <w:rPr>
                <w:sz w:val="18"/>
              </w:rPr>
              <w:t>the</w:t>
            </w:r>
            <w:r>
              <w:rPr>
                <w:spacing w:val="-1"/>
                <w:sz w:val="18"/>
              </w:rPr>
              <w:t xml:space="preserve"> </w:t>
            </w:r>
            <w:r>
              <w:rPr>
                <w:sz w:val="18"/>
              </w:rPr>
              <w:t>estimated</w:t>
            </w:r>
            <w:r>
              <w:rPr>
                <w:spacing w:val="-1"/>
                <w:sz w:val="18"/>
              </w:rPr>
              <w:t xml:space="preserve"> </w:t>
            </w:r>
            <w:r>
              <w:rPr>
                <w:sz w:val="18"/>
              </w:rPr>
              <w:t>loss amount or range</w:t>
            </w:r>
            <w:r>
              <w:rPr>
                <w:spacing w:val="-1"/>
                <w:sz w:val="18"/>
              </w:rPr>
              <w:t xml:space="preserve"> </w:t>
            </w:r>
            <w:r>
              <w:rPr>
                <w:sz w:val="18"/>
              </w:rPr>
              <w:t>can</w:t>
            </w:r>
            <w:r>
              <w:rPr>
                <w:spacing w:val="-1"/>
                <w:sz w:val="18"/>
              </w:rPr>
              <w:t xml:space="preserve"> </w:t>
            </w:r>
            <w:r>
              <w:rPr>
                <w:sz w:val="18"/>
              </w:rPr>
              <w:t>be</w:t>
            </w:r>
            <w:r>
              <w:rPr>
                <w:spacing w:val="-1"/>
                <w:sz w:val="18"/>
              </w:rPr>
              <w:t xml:space="preserve"> </w:t>
            </w:r>
            <w:r>
              <w:rPr>
                <w:sz w:val="18"/>
              </w:rPr>
              <w:t>reasonably measured, provide</w:t>
            </w:r>
            <w:r>
              <w:rPr>
                <w:spacing w:val="-1"/>
                <w:sz w:val="18"/>
              </w:rPr>
              <w:t xml:space="preserve"> </w:t>
            </w:r>
            <w:r>
              <w:rPr>
                <w:sz w:val="18"/>
              </w:rPr>
              <w:t>the financial statement note</w:t>
            </w:r>
            <w:r>
              <w:rPr>
                <w:spacing w:val="-1"/>
                <w:sz w:val="18"/>
              </w:rPr>
              <w:t xml:space="preserve"> </w:t>
            </w:r>
            <w:r>
              <w:rPr>
                <w:sz w:val="18"/>
              </w:rPr>
              <w:t>number where</w:t>
            </w:r>
            <w:r>
              <w:rPr>
                <w:spacing w:val="-1"/>
                <w:sz w:val="18"/>
              </w:rPr>
              <w:t xml:space="preserve"> </w:t>
            </w:r>
            <w:r>
              <w:rPr>
                <w:sz w:val="18"/>
              </w:rPr>
              <w:t>the</w:t>
            </w:r>
            <w:r>
              <w:rPr>
                <w:spacing w:val="-1"/>
                <w:sz w:val="18"/>
              </w:rPr>
              <w:t xml:space="preserve"> </w:t>
            </w:r>
            <w:r>
              <w:rPr>
                <w:sz w:val="18"/>
              </w:rPr>
              <w:t>entity discloses the</w:t>
            </w:r>
            <w:r>
              <w:rPr>
                <w:spacing w:val="-1"/>
                <w:sz w:val="18"/>
              </w:rPr>
              <w:t xml:space="preserve"> </w:t>
            </w:r>
            <w:r>
              <w:rPr>
                <w:sz w:val="18"/>
              </w:rPr>
              <w:t>nature</w:t>
            </w:r>
            <w:r>
              <w:rPr>
                <w:spacing w:val="-1"/>
                <w:sz w:val="18"/>
              </w:rPr>
              <w:t xml:space="preserve"> </w:t>
            </w:r>
            <w:r>
              <w:rPr>
                <w:sz w:val="18"/>
              </w:rPr>
              <w:t>of the contingency and</w:t>
            </w:r>
            <w:r>
              <w:rPr>
                <w:spacing w:val="-1"/>
                <w:sz w:val="18"/>
              </w:rPr>
              <w:t xml:space="preserve"> </w:t>
            </w:r>
            <w:r>
              <w:rPr>
                <w:sz w:val="18"/>
              </w:rPr>
              <w:t>an estimate of the possible liability (SFFAS No. 5, paras. 40–41). For probable and reasonably possible contingencies where the estimated loss amount cannot be reasonably measured, provide the financial statement note number where the entity discloses the</w:t>
            </w:r>
            <w:r>
              <w:rPr>
                <w:spacing w:val="-2"/>
                <w:sz w:val="18"/>
              </w:rPr>
              <w:t xml:space="preserve"> </w:t>
            </w:r>
            <w:r>
              <w:rPr>
                <w:sz w:val="18"/>
              </w:rPr>
              <w:t>nature of</w:t>
            </w:r>
            <w:r>
              <w:rPr>
                <w:spacing w:val="-1"/>
                <w:sz w:val="18"/>
              </w:rPr>
              <w:t xml:space="preserve"> </w:t>
            </w:r>
            <w:r>
              <w:rPr>
                <w:sz w:val="18"/>
              </w:rPr>
              <w:t>the</w:t>
            </w:r>
            <w:r>
              <w:rPr>
                <w:spacing w:val="-2"/>
                <w:sz w:val="18"/>
              </w:rPr>
              <w:t xml:space="preserve"> </w:t>
            </w:r>
            <w:r>
              <w:rPr>
                <w:sz w:val="18"/>
              </w:rPr>
              <w:t>contingency</w:t>
            </w:r>
            <w:r>
              <w:rPr>
                <w:spacing w:val="-1"/>
                <w:sz w:val="18"/>
              </w:rPr>
              <w:t xml:space="preserve"> </w:t>
            </w:r>
            <w:r>
              <w:rPr>
                <w:sz w:val="18"/>
              </w:rPr>
              <w:t>and</w:t>
            </w:r>
            <w:r>
              <w:rPr>
                <w:spacing w:val="-2"/>
                <w:sz w:val="18"/>
              </w:rPr>
              <w:t xml:space="preserve"> </w:t>
            </w:r>
            <w:r>
              <w:rPr>
                <w:sz w:val="18"/>
              </w:rPr>
              <w:t>a</w:t>
            </w:r>
            <w:r>
              <w:rPr>
                <w:spacing w:val="-2"/>
                <w:sz w:val="18"/>
              </w:rPr>
              <w:t xml:space="preserve"> </w:t>
            </w:r>
            <w:r>
              <w:rPr>
                <w:sz w:val="18"/>
              </w:rPr>
              <w:t>statement</w:t>
            </w:r>
            <w:r>
              <w:rPr>
                <w:spacing w:val="-1"/>
                <w:sz w:val="18"/>
              </w:rPr>
              <w:t xml:space="preserve"> </w:t>
            </w:r>
            <w:r>
              <w:rPr>
                <w:sz w:val="18"/>
              </w:rPr>
              <w:t>that</w:t>
            </w:r>
            <w:r>
              <w:rPr>
                <w:spacing w:val="-1"/>
                <w:sz w:val="18"/>
              </w:rPr>
              <w:t xml:space="preserve"> </w:t>
            </w:r>
            <w:r>
              <w:rPr>
                <w:sz w:val="18"/>
              </w:rPr>
              <w:t>an</w:t>
            </w:r>
            <w:r>
              <w:rPr>
                <w:spacing w:val="-2"/>
                <w:sz w:val="18"/>
              </w:rPr>
              <w:t xml:space="preserve"> </w:t>
            </w:r>
            <w:r>
              <w:rPr>
                <w:sz w:val="18"/>
              </w:rPr>
              <w:t>estimate</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potential</w:t>
            </w:r>
            <w:r>
              <w:rPr>
                <w:spacing w:val="-1"/>
                <w:sz w:val="18"/>
              </w:rPr>
              <w:t xml:space="preserve"> </w:t>
            </w:r>
            <w:r>
              <w:rPr>
                <w:sz w:val="18"/>
              </w:rPr>
              <w:t>loss</w:t>
            </w:r>
            <w:r>
              <w:rPr>
                <w:spacing w:val="-1"/>
                <w:sz w:val="18"/>
              </w:rPr>
              <w:t xml:space="preserve"> </w:t>
            </w:r>
            <w:r>
              <w:rPr>
                <w:sz w:val="18"/>
              </w:rPr>
              <w:t>amount</w:t>
            </w:r>
            <w:r>
              <w:rPr>
                <w:spacing w:val="-1"/>
                <w:sz w:val="18"/>
              </w:rPr>
              <w:t xml:space="preserve"> </w:t>
            </w:r>
            <w:r>
              <w:rPr>
                <w:sz w:val="18"/>
              </w:rPr>
              <w:t>cannot</w:t>
            </w:r>
            <w:r>
              <w:rPr>
                <w:spacing w:val="-1"/>
                <w:sz w:val="18"/>
              </w:rPr>
              <w:t xml:space="preserve"> </w:t>
            </w:r>
            <w:r>
              <w:rPr>
                <w:sz w:val="18"/>
              </w:rPr>
              <w:t>be made</w:t>
            </w:r>
            <w:r>
              <w:rPr>
                <w:spacing w:val="-2"/>
                <w:sz w:val="18"/>
              </w:rPr>
              <w:t xml:space="preserve"> </w:t>
            </w:r>
            <w:r>
              <w:rPr>
                <w:sz w:val="18"/>
              </w:rPr>
              <w:t>(SFFAS</w:t>
            </w:r>
            <w:r>
              <w:rPr>
                <w:spacing w:val="-1"/>
                <w:sz w:val="18"/>
              </w:rPr>
              <w:t xml:space="preserve"> </w:t>
            </w:r>
            <w:r>
              <w:rPr>
                <w:sz w:val="18"/>
              </w:rPr>
              <w:t>No.</w:t>
            </w:r>
            <w:r>
              <w:rPr>
                <w:spacing w:val="-1"/>
                <w:sz w:val="18"/>
              </w:rPr>
              <w:t xml:space="preserve"> </w:t>
            </w:r>
            <w:r>
              <w:rPr>
                <w:sz w:val="18"/>
              </w:rPr>
              <w:t>5,</w:t>
            </w:r>
            <w:r>
              <w:rPr>
                <w:spacing w:val="-1"/>
                <w:sz w:val="18"/>
              </w:rPr>
              <w:t xml:space="preserve"> </w:t>
            </w:r>
            <w:r>
              <w:rPr>
                <w:sz w:val="18"/>
              </w:rPr>
              <w:t>paras.</w:t>
            </w:r>
            <w:r>
              <w:rPr>
                <w:spacing w:val="-1"/>
                <w:sz w:val="18"/>
              </w:rPr>
              <w:t xml:space="preserve"> </w:t>
            </w:r>
            <w:r>
              <w:rPr>
                <w:sz w:val="18"/>
              </w:rPr>
              <w:t>40–41).</w:t>
            </w:r>
            <w:r>
              <w:rPr>
                <w:spacing w:val="-1"/>
                <w:sz w:val="18"/>
              </w:rPr>
              <w:t xml:space="preserve"> </w:t>
            </w:r>
            <w:r>
              <w:rPr>
                <w:sz w:val="18"/>
              </w:rPr>
              <w:t>For</w:t>
            </w:r>
            <w:r>
              <w:rPr>
                <w:spacing w:val="-1"/>
                <w:sz w:val="18"/>
              </w:rPr>
              <w:t xml:space="preserve"> </w:t>
            </w:r>
            <w:r>
              <w:rPr>
                <w:sz w:val="18"/>
              </w:rPr>
              <w:t>contingencies</w:t>
            </w:r>
            <w:r>
              <w:rPr>
                <w:spacing w:val="-1"/>
                <w:sz w:val="18"/>
              </w:rPr>
              <w:t xml:space="preserve"> </w:t>
            </w:r>
            <w:r>
              <w:rPr>
                <w:sz w:val="18"/>
              </w:rPr>
              <w:t>where</w:t>
            </w:r>
            <w:r>
              <w:rPr>
                <w:spacing w:val="-2"/>
                <w:sz w:val="18"/>
              </w:rPr>
              <w:t xml:space="preserve"> </w:t>
            </w:r>
            <w:r>
              <w:rPr>
                <w:sz w:val="18"/>
              </w:rPr>
              <w:t>the</w:t>
            </w:r>
            <w:r>
              <w:rPr>
                <w:spacing w:val="-2"/>
                <w:sz w:val="18"/>
              </w:rPr>
              <w:t xml:space="preserve"> </w:t>
            </w:r>
            <w:r>
              <w:rPr>
                <w:sz w:val="18"/>
              </w:rPr>
              <w:t>likelihood of</w:t>
            </w:r>
            <w:r>
              <w:rPr>
                <w:spacing w:val="-1"/>
                <w:sz w:val="18"/>
              </w:rPr>
              <w:t xml:space="preserve"> </w:t>
            </w:r>
            <w:r>
              <w:rPr>
                <w:sz w:val="18"/>
              </w:rPr>
              <w:t>loss</w:t>
            </w:r>
            <w:r>
              <w:rPr>
                <w:spacing w:val="-1"/>
                <w:sz w:val="18"/>
              </w:rPr>
              <w:t xml:space="preserve"> </w:t>
            </w:r>
            <w:r>
              <w:rPr>
                <w:sz w:val="18"/>
              </w:rPr>
              <w:t>is</w:t>
            </w:r>
            <w:r>
              <w:rPr>
                <w:spacing w:val="-1"/>
                <w:sz w:val="18"/>
              </w:rPr>
              <w:t xml:space="preserve"> </w:t>
            </w:r>
            <w:r>
              <w:rPr>
                <w:sz w:val="18"/>
              </w:rPr>
              <w:t>not</w:t>
            </w:r>
            <w:r>
              <w:rPr>
                <w:spacing w:val="-1"/>
                <w:sz w:val="18"/>
              </w:rPr>
              <w:t xml:space="preserve"> </w:t>
            </w:r>
            <w:r>
              <w:rPr>
                <w:sz w:val="18"/>
              </w:rPr>
              <w:t>able</w:t>
            </w:r>
            <w:r>
              <w:rPr>
                <w:spacing w:val="-2"/>
                <w:sz w:val="18"/>
              </w:rPr>
              <w:t xml:space="preserve"> </w:t>
            </w:r>
            <w:r>
              <w:rPr>
                <w:sz w:val="18"/>
              </w:rPr>
              <w:t>to</w:t>
            </w:r>
            <w:r>
              <w:rPr>
                <w:spacing w:val="-2"/>
                <w:sz w:val="18"/>
              </w:rPr>
              <w:t xml:space="preserve"> </w:t>
            </w:r>
            <w:r>
              <w:rPr>
                <w:sz w:val="18"/>
              </w:rPr>
              <w:t>be determined</w:t>
            </w:r>
            <w:r>
              <w:rPr>
                <w:spacing w:val="-2"/>
                <w:sz w:val="18"/>
              </w:rPr>
              <w:t xml:space="preserve"> </w:t>
            </w:r>
            <w:r>
              <w:rPr>
                <w:sz w:val="18"/>
              </w:rPr>
              <w:t>and</w:t>
            </w:r>
            <w:r>
              <w:rPr>
                <w:spacing w:val="-2"/>
                <w:sz w:val="18"/>
              </w:rPr>
              <w:t xml:space="preserve"> </w:t>
            </w:r>
            <w:r>
              <w:rPr>
                <w:sz w:val="18"/>
              </w:rPr>
              <w:t>the</w:t>
            </w:r>
            <w:r>
              <w:rPr>
                <w:spacing w:val="-2"/>
                <w:sz w:val="18"/>
              </w:rPr>
              <w:t xml:space="preserve"> </w:t>
            </w:r>
            <w:r>
              <w:rPr>
                <w:sz w:val="18"/>
              </w:rPr>
              <w:t>estimated</w:t>
            </w:r>
            <w:r>
              <w:rPr>
                <w:spacing w:val="-2"/>
                <w:sz w:val="18"/>
              </w:rPr>
              <w:t xml:space="preserve"> </w:t>
            </w:r>
            <w:r>
              <w:rPr>
                <w:sz w:val="18"/>
              </w:rPr>
              <w:t>loss</w:t>
            </w:r>
            <w:r>
              <w:rPr>
                <w:spacing w:val="-1"/>
                <w:sz w:val="18"/>
              </w:rPr>
              <w:t xml:space="preserve"> </w:t>
            </w:r>
            <w:r>
              <w:rPr>
                <w:sz w:val="18"/>
              </w:rPr>
              <w:t>amount</w:t>
            </w:r>
            <w:r>
              <w:rPr>
                <w:spacing w:val="-1"/>
                <w:sz w:val="18"/>
              </w:rPr>
              <w:t xml:space="preserve"> </w:t>
            </w:r>
            <w:r>
              <w:rPr>
                <w:sz w:val="18"/>
              </w:rPr>
              <w:t>cannot</w:t>
            </w:r>
            <w:r>
              <w:rPr>
                <w:spacing w:val="-1"/>
                <w:sz w:val="18"/>
              </w:rPr>
              <w:t xml:space="preserve"> </w:t>
            </w:r>
            <w:r>
              <w:rPr>
                <w:sz w:val="18"/>
              </w:rPr>
              <w:t>be reasonably measured, provide the financial statement note number where the entity discloses the nature of the contingency and a statement that an estimate of the potential loss amount cannot be made.</w:t>
            </w:r>
          </w:p>
        </w:tc>
      </w:tr>
      <w:tr w:rsidR="00046465" w14:paraId="0DFDCCDE" w14:textId="77777777">
        <w:trPr>
          <w:trHeight w:val="782"/>
        </w:trPr>
        <w:tc>
          <w:tcPr>
            <w:tcW w:w="21023" w:type="dxa"/>
          </w:tcPr>
          <w:p w14:paraId="0DFDCCDD" w14:textId="77777777" w:rsidR="00046465" w:rsidRDefault="008134EB">
            <w:pPr>
              <w:pStyle w:val="TableParagraph"/>
              <w:spacing w:before="55"/>
              <w:ind w:left="575" w:right="82" w:hanging="526"/>
              <w:rPr>
                <w:sz w:val="18"/>
              </w:rPr>
            </w:pPr>
            <w:r>
              <w:rPr>
                <w:sz w:val="18"/>
              </w:rPr>
              <w:t>(14) For amounts recorded in column 12 and note disclosures indicated in column 13, did the entity record/disclose the estimated loss, that is, dollar amounts, for probable and reasonably possible cases in accordance with requirements in SFFAS No. 5, paras. 38–41,</w:t>
            </w:r>
            <w:r>
              <w:rPr>
                <w:spacing w:val="-1"/>
                <w:sz w:val="18"/>
              </w:rPr>
              <w:t xml:space="preserve"> </w:t>
            </w:r>
            <w:r>
              <w:rPr>
                <w:sz w:val="18"/>
              </w:rPr>
              <w:t>-</w:t>
            </w:r>
            <w:r>
              <w:rPr>
                <w:spacing w:val="-1"/>
                <w:sz w:val="18"/>
              </w:rPr>
              <w:t xml:space="preserve"> </w:t>
            </w:r>
            <w:r>
              <w:rPr>
                <w:sz w:val="18"/>
              </w:rPr>
              <w:t>For</w:t>
            </w:r>
            <w:r>
              <w:rPr>
                <w:spacing w:val="-1"/>
                <w:sz w:val="18"/>
              </w:rPr>
              <w:t xml:space="preserve"> </w:t>
            </w:r>
            <w:r>
              <w:rPr>
                <w:sz w:val="18"/>
              </w:rPr>
              <w:t>probable and</w:t>
            </w:r>
            <w:r>
              <w:rPr>
                <w:spacing w:val="-2"/>
                <w:sz w:val="18"/>
              </w:rPr>
              <w:t xml:space="preserve"> </w:t>
            </w:r>
            <w:r>
              <w:rPr>
                <w:sz w:val="18"/>
              </w:rPr>
              <w:t>reasonably</w:t>
            </w:r>
            <w:r>
              <w:rPr>
                <w:spacing w:val="-1"/>
                <w:sz w:val="18"/>
              </w:rPr>
              <w:t xml:space="preserve"> </w:t>
            </w:r>
            <w:r>
              <w:rPr>
                <w:sz w:val="18"/>
              </w:rPr>
              <w:t>possible</w:t>
            </w:r>
            <w:r>
              <w:rPr>
                <w:spacing w:val="-2"/>
                <w:sz w:val="18"/>
              </w:rPr>
              <w:t xml:space="preserve"> </w:t>
            </w:r>
            <w:r>
              <w:rPr>
                <w:sz w:val="18"/>
              </w:rPr>
              <w:t>contingencies,</w:t>
            </w:r>
            <w:r>
              <w:rPr>
                <w:spacing w:val="-1"/>
                <w:sz w:val="18"/>
              </w:rPr>
              <w:t xml:space="preserve"> </w:t>
            </w:r>
            <w:r>
              <w:rPr>
                <w:sz w:val="18"/>
              </w:rPr>
              <w:t>indicate</w:t>
            </w:r>
            <w:r>
              <w:rPr>
                <w:spacing w:val="-2"/>
                <w:sz w:val="18"/>
              </w:rPr>
              <w:t xml:space="preserve"> </w:t>
            </w:r>
            <w:r>
              <w:rPr>
                <w:sz w:val="18"/>
              </w:rPr>
              <w:t>whether</w:t>
            </w:r>
            <w:r>
              <w:rPr>
                <w:spacing w:val="-1"/>
                <w:sz w:val="18"/>
              </w:rPr>
              <w:t xml:space="preserve"> </w:t>
            </w:r>
            <w:r>
              <w:rPr>
                <w:sz w:val="18"/>
              </w:rPr>
              <w:t>the</w:t>
            </w:r>
            <w:r>
              <w:rPr>
                <w:spacing w:val="-2"/>
                <w:sz w:val="18"/>
              </w:rPr>
              <w:t xml:space="preserve"> </w:t>
            </w:r>
            <w:r>
              <w:rPr>
                <w:sz w:val="18"/>
              </w:rPr>
              <w:t>entity</w:t>
            </w:r>
            <w:r>
              <w:rPr>
                <w:spacing w:val="-1"/>
                <w:sz w:val="18"/>
              </w:rPr>
              <w:t xml:space="preserve"> </w:t>
            </w:r>
            <w:r>
              <w:rPr>
                <w:sz w:val="18"/>
              </w:rPr>
              <w:t>reports,</w:t>
            </w:r>
            <w:r>
              <w:rPr>
                <w:spacing w:val="-1"/>
                <w:sz w:val="18"/>
              </w:rPr>
              <w:t xml:space="preserve"> </w:t>
            </w:r>
            <w:r>
              <w:rPr>
                <w:sz w:val="18"/>
              </w:rPr>
              <w:t>discloses,</w:t>
            </w:r>
            <w:r>
              <w:rPr>
                <w:spacing w:val="-1"/>
                <w:sz w:val="18"/>
              </w:rPr>
              <w:t xml:space="preserve"> </w:t>
            </w:r>
            <w:r>
              <w:rPr>
                <w:sz w:val="18"/>
              </w:rPr>
              <w:t>or</w:t>
            </w:r>
            <w:r>
              <w:rPr>
                <w:spacing w:val="-1"/>
                <w:sz w:val="18"/>
              </w:rPr>
              <w:t xml:space="preserve"> </w:t>
            </w:r>
            <w:r>
              <w:rPr>
                <w:sz w:val="18"/>
              </w:rPr>
              <w:t>both</w:t>
            </w:r>
            <w:r>
              <w:rPr>
                <w:spacing w:val="-2"/>
                <w:sz w:val="18"/>
              </w:rPr>
              <w:t xml:space="preserve"> </w:t>
            </w:r>
            <w:r>
              <w:rPr>
                <w:sz w:val="18"/>
              </w:rPr>
              <w:t>the amounts</w:t>
            </w:r>
            <w:r>
              <w:rPr>
                <w:spacing w:val="-1"/>
                <w:sz w:val="18"/>
              </w:rPr>
              <w:t xml:space="preserve"> </w:t>
            </w:r>
            <w:r>
              <w:rPr>
                <w:sz w:val="18"/>
              </w:rPr>
              <w:t>of</w:t>
            </w:r>
            <w:r>
              <w:rPr>
                <w:spacing w:val="-1"/>
                <w:sz w:val="18"/>
              </w:rPr>
              <w:t xml:space="preserve"> </w:t>
            </w:r>
            <w:r>
              <w:rPr>
                <w:sz w:val="18"/>
              </w:rPr>
              <w:t>potential</w:t>
            </w:r>
            <w:r>
              <w:rPr>
                <w:spacing w:val="-1"/>
                <w:sz w:val="18"/>
              </w:rPr>
              <w:t xml:space="preserve"> </w:t>
            </w:r>
            <w:r>
              <w:rPr>
                <w:sz w:val="18"/>
              </w:rPr>
              <w:t>loss</w:t>
            </w:r>
            <w:r>
              <w:rPr>
                <w:spacing w:val="-1"/>
                <w:sz w:val="18"/>
              </w:rPr>
              <w:t xml:space="preserve"> </w:t>
            </w:r>
            <w:r>
              <w:rPr>
                <w:sz w:val="18"/>
              </w:rPr>
              <w:t>(dollar</w:t>
            </w:r>
            <w:r>
              <w:rPr>
                <w:spacing w:val="-1"/>
                <w:sz w:val="18"/>
              </w:rPr>
              <w:t xml:space="preserve"> </w:t>
            </w:r>
            <w:r>
              <w:rPr>
                <w:sz w:val="18"/>
              </w:rPr>
              <w:t>amounts)</w:t>
            </w:r>
            <w:r>
              <w:rPr>
                <w:spacing w:val="-1"/>
                <w:sz w:val="18"/>
              </w:rPr>
              <w:t xml:space="preserve"> </w:t>
            </w:r>
            <w:r>
              <w:rPr>
                <w:sz w:val="18"/>
              </w:rPr>
              <w:t>on the</w:t>
            </w:r>
            <w:r>
              <w:rPr>
                <w:spacing w:val="-2"/>
                <w:sz w:val="18"/>
              </w:rPr>
              <w:t xml:space="preserve"> </w:t>
            </w:r>
            <w:r>
              <w:rPr>
                <w:sz w:val="18"/>
              </w:rPr>
              <w:t>financial</w:t>
            </w:r>
            <w:r>
              <w:rPr>
                <w:spacing w:val="-1"/>
                <w:sz w:val="18"/>
              </w:rPr>
              <w:t xml:space="preserve"> </w:t>
            </w:r>
            <w:r>
              <w:rPr>
                <w:sz w:val="18"/>
              </w:rPr>
              <w:t>statements,</w:t>
            </w:r>
            <w:r>
              <w:rPr>
                <w:spacing w:val="-1"/>
                <w:sz w:val="18"/>
              </w:rPr>
              <w:t xml:space="preserve"> </w:t>
            </w:r>
            <w:r>
              <w:rPr>
                <w:sz w:val="18"/>
              </w:rPr>
              <w:t>in</w:t>
            </w:r>
            <w:r>
              <w:rPr>
                <w:spacing w:val="-2"/>
                <w:sz w:val="18"/>
              </w:rPr>
              <w:t xml:space="preserve"> </w:t>
            </w:r>
            <w:r>
              <w:rPr>
                <w:sz w:val="18"/>
              </w:rPr>
              <w:t>the</w:t>
            </w:r>
            <w:r>
              <w:rPr>
                <w:spacing w:val="-2"/>
                <w:sz w:val="18"/>
              </w:rPr>
              <w:t xml:space="preserve"> </w:t>
            </w:r>
            <w:r>
              <w:rPr>
                <w:sz w:val="18"/>
              </w:rPr>
              <w:t>notes</w:t>
            </w:r>
            <w:r>
              <w:rPr>
                <w:spacing w:val="-1"/>
                <w:sz w:val="18"/>
              </w:rPr>
              <w:t xml:space="preserve"> </w:t>
            </w:r>
            <w:r>
              <w:rPr>
                <w:sz w:val="18"/>
              </w:rPr>
              <w:t>to</w:t>
            </w:r>
            <w:r>
              <w:rPr>
                <w:spacing w:val="-2"/>
                <w:sz w:val="18"/>
              </w:rPr>
              <w:t xml:space="preserve"> </w:t>
            </w:r>
            <w:r>
              <w:rPr>
                <w:sz w:val="18"/>
              </w:rPr>
              <w:t>the</w:t>
            </w:r>
            <w:r>
              <w:rPr>
                <w:spacing w:val="-2"/>
                <w:sz w:val="18"/>
              </w:rPr>
              <w:t xml:space="preserve"> </w:t>
            </w:r>
            <w:r>
              <w:rPr>
                <w:sz w:val="18"/>
              </w:rPr>
              <w:t>financial</w:t>
            </w:r>
            <w:r>
              <w:rPr>
                <w:spacing w:val="-1"/>
                <w:sz w:val="18"/>
              </w:rPr>
              <w:t xml:space="preserve"> </w:t>
            </w:r>
            <w:r>
              <w:rPr>
                <w:sz w:val="18"/>
              </w:rPr>
              <w:t>statements,</w:t>
            </w:r>
            <w:r>
              <w:rPr>
                <w:spacing w:val="-1"/>
                <w:sz w:val="18"/>
              </w:rPr>
              <w:t xml:space="preserve"> </w:t>
            </w:r>
            <w:r>
              <w:rPr>
                <w:sz w:val="18"/>
              </w:rPr>
              <w:t>or</w:t>
            </w:r>
            <w:r>
              <w:rPr>
                <w:spacing w:val="-1"/>
                <w:sz w:val="18"/>
              </w:rPr>
              <w:t xml:space="preserve"> </w:t>
            </w:r>
            <w:r>
              <w:rPr>
                <w:sz w:val="18"/>
              </w:rPr>
              <w:t>both</w:t>
            </w:r>
            <w:r>
              <w:rPr>
                <w:spacing w:val="-2"/>
                <w:sz w:val="18"/>
              </w:rPr>
              <w:t xml:space="preserve"> </w:t>
            </w:r>
            <w:r>
              <w:rPr>
                <w:sz w:val="18"/>
              </w:rPr>
              <w:t>in alignment</w:t>
            </w:r>
            <w:r>
              <w:rPr>
                <w:spacing w:val="-1"/>
                <w:sz w:val="18"/>
              </w:rPr>
              <w:t xml:space="preserve"> </w:t>
            </w:r>
            <w:r>
              <w:rPr>
                <w:sz w:val="18"/>
              </w:rPr>
              <w:t>with guidance in SFFAS No. 5, paras. 38–41.</w:t>
            </w:r>
          </w:p>
        </w:tc>
      </w:tr>
      <w:tr w:rsidR="00046465" w14:paraId="0DFDCCE2" w14:textId="77777777">
        <w:trPr>
          <w:trHeight w:val="998"/>
        </w:trPr>
        <w:tc>
          <w:tcPr>
            <w:tcW w:w="21023" w:type="dxa"/>
          </w:tcPr>
          <w:p w14:paraId="0DFDCCDF" w14:textId="77777777" w:rsidR="00046465" w:rsidRDefault="008134EB">
            <w:pPr>
              <w:pStyle w:val="TableParagraph"/>
              <w:numPr>
                <w:ilvl w:val="0"/>
                <w:numId w:val="55"/>
              </w:numPr>
              <w:tabs>
                <w:tab w:val="left" w:pos="417"/>
              </w:tabs>
              <w:spacing w:before="100"/>
              <w:ind w:left="417" w:hanging="367"/>
              <w:rPr>
                <w:sz w:val="18"/>
              </w:rPr>
            </w:pPr>
            <w:r>
              <w:rPr>
                <w:sz w:val="18"/>
              </w:rPr>
              <w:t>Do</w:t>
            </w:r>
            <w:r>
              <w:rPr>
                <w:spacing w:val="-5"/>
                <w:sz w:val="18"/>
              </w:rPr>
              <w:t xml:space="preserve"> </w:t>
            </w:r>
            <w:r>
              <w:rPr>
                <w:sz w:val="18"/>
              </w:rPr>
              <w:t>the</w:t>
            </w:r>
            <w:r>
              <w:rPr>
                <w:spacing w:val="-3"/>
                <w:sz w:val="18"/>
              </w:rPr>
              <w:t xml:space="preserve"> </w:t>
            </w:r>
            <w:r>
              <w:rPr>
                <w:sz w:val="18"/>
              </w:rPr>
              <w:t>amounts</w:t>
            </w:r>
            <w:r>
              <w:rPr>
                <w:spacing w:val="-2"/>
                <w:sz w:val="18"/>
              </w:rPr>
              <w:t xml:space="preserve"> </w:t>
            </w:r>
            <w:r>
              <w:rPr>
                <w:sz w:val="18"/>
              </w:rPr>
              <w:t>recorded</w:t>
            </w:r>
            <w:r>
              <w:rPr>
                <w:spacing w:val="-1"/>
                <w:sz w:val="18"/>
              </w:rPr>
              <w:t xml:space="preserve"> </w:t>
            </w:r>
            <w:r>
              <w:rPr>
                <w:sz w:val="18"/>
              </w:rPr>
              <w:t>in</w:t>
            </w:r>
            <w:r>
              <w:rPr>
                <w:spacing w:val="-3"/>
                <w:sz w:val="18"/>
              </w:rPr>
              <w:t xml:space="preserve"> </w:t>
            </w:r>
            <w:r>
              <w:rPr>
                <w:sz w:val="18"/>
              </w:rPr>
              <w:t>column</w:t>
            </w:r>
            <w:r>
              <w:rPr>
                <w:spacing w:val="-2"/>
                <w:sz w:val="18"/>
              </w:rPr>
              <w:t xml:space="preserve"> </w:t>
            </w:r>
            <w:r>
              <w:rPr>
                <w:sz w:val="18"/>
              </w:rPr>
              <w:t>12</w:t>
            </w:r>
            <w:r>
              <w:rPr>
                <w:spacing w:val="-2"/>
                <w:sz w:val="18"/>
              </w:rPr>
              <w:t xml:space="preserve"> </w:t>
            </w:r>
            <w:r>
              <w:rPr>
                <w:sz w:val="18"/>
              </w:rPr>
              <w:t>and</w:t>
            </w:r>
            <w:r>
              <w:rPr>
                <w:spacing w:val="-3"/>
                <w:sz w:val="18"/>
              </w:rPr>
              <w:t xml:space="preserve"> </w:t>
            </w:r>
            <w:r>
              <w:rPr>
                <w:sz w:val="18"/>
              </w:rPr>
              <w:t>note</w:t>
            </w:r>
            <w:r>
              <w:rPr>
                <w:spacing w:val="-1"/>
                <w:sz w:val="18"/>
              </w:rPr>
              <w:t xml:space="preserve"> </w:t>
            </w:r>
            <w:r>
              <w:rPr>
                <w:sz w:val="18"/>
              </w:rPr>
              <w:t>disclosures</w:t>
            </w:r>
            <w:r>
              <w:rPr>
                <w:spacing w:val="-2"/>
                <w:sz w:val="18"/>
              </w:rPr>
              <w:t xml:space="preserve"> </w:t>
            </w:r>
            <w:r>
              <w:rPr>
                <w:sz w:val="18"/>
              </w:rPr>
              <w:t>indicated</w:t>
            </w:r>
            <w:r>
              <w:rPr>
                <w:spacing w:val="-2"/>
                <w:sz w:val="18"/>
              </w:rPr>
              <w:t xml:space="preserve"> </w:t>
            </w:r>
            <w:r>
              <w:rPr>
                <w:sz w:val="18"/>
              </w:rPr>
              <w:t>in</w:t>
            </w:r>
            <w:r>
              <w:rPr>
                <w:spacing w:val="-3"/>
                <w:sz w:val="18"/>
              </w:rPr>
              <w:t xml:space="preserve"> </w:t>
            </w:r>
            <w:r>
              <w:rPr>
                <w:sz w:val="18"/>
              </w:rPr>
              <w:t>column</w:t>
            </w:r>
            <w:r>
              <w:rPr>
                <w:spacing w:val="-3"/>
                <w:sz w:val="18"/>
              </w:rPr>
              <w:t xml:space="preserve"> </w:t>
            </w:r>
            <w:r>
              <w:rPr>
                <w:sz w:val="18"/>
              </w:rPr>
              <w:t>13</w:t>
            </w:r>
            <w:r>
              <w:rPr>
                <w:spacing w:val="-2"/>
                <w:sz w:val="18"/>
              </w:rPr>
              <w:t xml:space="preserve"> </w:t>
            </w:r>
            <w:r>
              <w:rPr>
                <w:sz w:val="18"/>
              </w:rPr>
              <w:t>agree</w:t>
            </w:r>
            <w:r>
              <w:rPr>
                <w:spacing w:val="-3"/>
                <w:sz w:val="18"/>
              </w:rPr>
              <w:t xml:space="preserve"> </w:t>
            </w:r>
            <w:r>
              <w:rPr>
                <w:sz w:val="18"/>
              </w:rPr>
              <w:t>with</w:t>
            </w:r>
            <w:r>
              <w:rPr>
                <w:spacing w:val="-2"/>
                <w:sz w:val="18"/>
              </w:rPr>
              <w:t xml:space="preserve"> </w:t>
            </w:r>
            <w:r>
              <w:rPr>
                <w:sz w:val="18"/>
              </w:rPr>
              <w:t>the</w:t>
            </w:r>
            <w:r>
              <w:rPr>
                <w:spacing w:val="-3"/>
                <w:sz w:val="18"/>
              </w:rPr>
              <w:t xml:space="preserve"> </w:t>
            </w:r>
            <w:r>
              <w:rPr>
                <w:sz w:val="18"/>
              </w:rPr>
              <w:t>amounts</w:t>
            </w:r>
            <w:r>
              <w:rPr>
                <w:spacing w:val="-2"/>
                <w:sz w:val="18"/>
              </w:rPr>
              <w:t xml:space="preserve"> </w:t>
            </w:r>
            <w:r>
              <w:rPr>
                <w:sz w:val="18"/>
              </w:rPr>
              <w:t>in</w:t>
            </w:r>
            <w:r>
              <w:rPr>
                <w:spacing w:val="-3"/>
                <w:sz w:val="18"/>
              </w:rPr>
              <w:t xml:space="preserve"> </w:t>
            </w:r>
            <w:r>
              <w:rPr>
                <w:sz w:val="18"/>
              </w:rPr>
              <w:t>column</w:t>
            </w:r>
            <w:r>
              <w:rPr>
                <w:spacing w:val="-2"/>
                <w:sz w:val="18"/>
              </w:rPr>
              <w:t xml:space="preserve"> </w:t>
            </w:r>
            <w:r>
              <w:rPr>
                <w:spacing w:val="-5"/>
                <w:sz w:val="18"/>
              </w:rPr>
              <w:t>7?</w:t>
            </w:r>
          </w:p>
          <w:p w14:paraId="0DFDCCE0" w14:textId="77777777" w:rsidR="00046465" w:rsidRDefault="00046465">
            <w:pPr>
              <w:pStyle w:val="TableParagraph"/>
              <w:rPr>
                <w:sz w:val="18"/>
              </w:rPr>
            </w:pPr>
          </w:p>
          <w:p w14:paraId="0DFDCCE1" w14:textId="77777777" w:rsidR="00046465" w:rsidRDefault="008134EB">
            <w:pPr>
              <w:pStyle w:val="TableParagraph"/>
              <w:numPr>
                <w:ilvl w:val="0"/>
                <w:numId w:val="55"/>
              </w:numPr>
              <w:tabs>
                <w:tab w:val="left" w:pos="417"/>
                <w:tab w:val="left" w:pos="575"/>
              </w:tabs>
              <w:ind w:left="575" w:right="82" w:hanging="526"/>
              <w:rPr>
                <w:sz w:val="18"/>
              </w:rPr>
            </w:pPr>
            <w:r>
              <w:rPr>
                <w:sz w:val="18"/>
              </w:rPr>
              <w:t>Provide</w:t>
            </w:r>
            <w:r>
              <w:rPr>
                <w:spacing w:val="-2"/>
                <w:sz w:val="18"/>
              </w:rPr>
              <w:t xml:space="preserve"> </w:t>
            </w:r>
            <w:r>
              <w:rPr>
                <w:sz w:val="18"/>
              </w:rPr>
              <w:t>an</w:t>
            </w:r>
            <w:r>
              <w:rPr>
                <w:spacing w:val="-2"/>
                <w:sz w:val="18"/>
              </w:rPr>
              <w:t xml:space="preserve"> </w:t>
            </w:r>
            <w:r>
              <w:rPr>
                <w:sz w:val="18"/>
              </w:rPr>
              <w:t>explanation</w:t>
            </w:r>
            <w:r>
              <w:rPr>
                <w:spacing w:val="-2"/>
                <w:sz w:val="18"/>
              </w:rPr>
              <w:t xml:space="preserve"> </w:t>
            </w:r>
            <w:r>
              <w:rPr>
                <w:sz w:val="18"/>
              </w:rPr>
              <w:t>for</w:t>
            </w:r>
            <w:r>
              <w:rPr>
                <w:spacing w:val="-1"/>
                <w:sz w:val="18"/>
              </w:rPr>
              <w:t xml:space="preserve"> </w:t>
            </w:r>
            <w:r>
              <w:rPr>
                <w:sz w:val="18"/>
              </w:rPr>
              <w:t>any</w:t>
            </w:r>
            <w:r>
              <w:rPr>
                <w:spacing w:val="-1"/>
                <w:sz w:val="18"/>
              </w:rPr>
              <w:t xml:space="preserve"> </w:t>
            </w:r>
            <w:r>
              <w:rPr>
                <w:sz w:val="18"/>
              </w:rPr>
              <w:t>“No”</w:t>
            </w:r>
            <w:r>
              <w:rPr>
                <w:spacing w:val="-1"/>
                <w:sz w:val="18"/>
              </w:rPr>
              <w:t xml:space="preserve"> </w:t>
            </w:r>
            <w:r>
              <w:rPr>
                <w:sz w:val="18"/>
              </w:rPr>
              <w:t>responses</w:t>
            </w:r>
            <w:r>
              <w:rPr>
                <w:spacing w:val="-1"/>
                <w:sz w:val="18"/>
              </w:rPr>
              <w:t xml:space="preserve"> </w:t>
            </w:r>
            <w:r>
              <w:rPr>
                <w:sz w:val="18"/>
              </w:rPr>
              <w:t>in</w:t>
            </w:r>
            <w:r>
              <w:rPr>
                <w:spacing w:val="-2"/>
                <w:sz w:val="18"/>
              </w:rPr>
              <w:t xml:space="preserve"> </w:t>
            </w:r>
            <w:r>
              <w:rPr>
                <w:sz w:val="18"/>
              </w:rPr>
              <w:t>column</w:t>
            </w:r>
            <w:r>
              <w:rPr>
                <w:spacing w:val="-2"/>
                <w:sz w:val="18"/>
              </w:rPr>
              <w:t xml:space="preserve"> </w:t>
            </w:r>
            <w:r>
              <w:rPr>
                <w:sz w:val="18"/>
              </w:rPr>
              <w:t>14,</w:t>
            </w:r>
            <w:r>
              <w:rPr>
                <w:spacing w:val="-1"/>
                <w:sz w:val="18"/>
              </w:rPr>
              <w:t xml:space="preserve"> </w:t>
            </w:r>
            <w:r>
              <w:rPr>
                <w:sz w:val="18"/>
              </w:rPr>
              <w:t>column 15,</w:t>
            </w:r>
            <w:r>
              <w:rPr>
                <w:spacing w:val="-1"/>
                <w:sz w:val="18"/>
              </w:rPr>
              <w:t xml:space="preserve"> </w:t>
            </w:r>
            <w:r>
              <w:rPr>
                <w:sz w:val="18"/>
              </w:rPr>
              <w:t>or</w:t>
            </w:r>
            <w:r>
              <w:rPr>
                <w:spacing w:val="-1"/>
                <w:sz w:val="18"/>
              </w:rPr>
              <w:t xml:space="preserve"> </w:t>
            </w:r>
            <w:r>
              <w:rPr>
                <w:sz w:val="18"/>
              </w:rPr>
              <w:t>both.</w:t>
            </w:r>
            <w:r>
              <w:rPr>
                <w:spacing w:val="-1"/>
                <w:sz w:val="18"/>
              </w:rPr>
              <w:t xml:space="preserve"> </w:t>
            </w:r>
            <w:r>
              <w:rPr>
                <w:sz w:val="18"/>
              </w:rPr>
              <w:t>-</w:t>
            </w:r>
            <w:r>
              <w:rPr>
                <w:spacing w:val="-1"/>
                <w:sz w:val="18"/>
              </w:rPr>
              <w:t xml:space="preserve"> </w:t>
            </w:r>
            <w:r>
              <w:rPr>
                <w:sz w:val="18"/>
              </w:rPr>
              <w:t>Provide</w:t>
            </w:r>
            <w:r>
              <w:rPr>
                <w:spacing w:val="-2"/>
                <w:sz w:val="18"/>
              </w:rPr>
              <w:t xml:space="preserve"> </w:t>
            </w:r>
            <w:r>
              <w:rPr>
                <w:sz w:val="18"/>
              </w:rPr>
              <w:t>an</w:t>
            </w:r>
            <w:r>
              <w:rPr>
                <w:spacing w:val="-2"/>
                <w:sz w:val="18"/>
              </w:rPr>
              <w:t xml:space="preserve"> </w:t>
            </w:r>
            <w:r>
              <w:rPr>
                <w:sz w:val="18"/>
              </w:rPr>
              <w:t>explanation</w:t>
            </w:r>
            <w:r>
              <w:rPr>
                <w:spacing w:val="-2"/>
                <w:sz w:val="18"/>
              </w:rPr>
              <w:t xml:space="preserve"> </w:t>
            </w:r>
            <w:r>
              <w:rPr>
                <w:sz w:val="18"/>
              </w:rPr>
              <w:t>for</w:t>
            </w:r>
            <w:r>
              <w:rPr>
                <w:spacing w:val="-1"/>
                <w:sz w:val="18"/>
              </w:rPr>
              <w:t xml:space="preserve"> </w:t>
            </w:r>
            <w:r>
              <w:rPr>
                <w:sz w:val="18"/>
              </w:rPr>
              <w:t>any</w:t>
            </w:r>
            <w:r>
              <w:rPr>
                <w:spacing w:val="-1"/>
                <w:sz w:val="18"/>
              </w:rPr>
              <w:t xml:space="preserve"> </w:t>
            </w:r>
            <w:r>
              <w:rPr>
                <w:sz w:val="18"/>
              </w:rPr>
              <w:t>instances</w:t>
            </w:r>
            <w:r>
              <w:rPr>
                <w:spacing w:val="-1"/>
                <w:sz w:val="18"/>
              </w:rPr>
              <w:t xml:space="preserve"> </w:t>
            </w:r>
            <w:r>
              <w:rPr>
                <w:sz w:val="18"/>
              </w:rPr>
              <w:t>in</w:t>
            </w:r>
            <w:r>
              <w:rPr>
                <w:spacing w:val="-2"/>
                <w:sz w:val="18"/>
              </w:rPr>
              <w:t xml:space="preserve"> </w:t>
            </w:r>
            <w:r>
              <w:rPr>
                <w:sz w:val="18"/>
              </w:rPr>
              <w:t>which</w:t>
            </w:r>
            <w:r>
              <w:rPr>
                <w:spacing w:val="-2"/>
                <w:sz w:val="18"/>
              </w:rPr>
              <w:t xml:space="preserve"> </w:t>
            </w:r>
            <w:r>
              <w:rPr>
                <w:sz w:val="18"/>
              </w:rPr>
              <w:t>the</w:t>
            </w:r>
            <w:r>
              <w:rPr>
                <w:spacing w:val="-2"/>
                <w:sz w:val="18"/>
              </w:rPr>
              <w:t xml:space="preserve"> </w:t>
            </w:r>
            <w:r>
              <w:rPr>
                <w:sz w:val="18"/>
              </w:rPr>
              <w:t>entity</w:t>
            </w:r>
            <w:r>
              <w:rPr>
                <w:spacing w:val="-1"/>
                <w:sz w:val="18"/>
              </w:rPr>
              <w:t xml:space="preserve"> </w:t>
            </w:r>
            <w:r>
              <w:rPr>
                <w:sz w:val="18"/>
              </w:rPr>
              <w:t>did</w:t>
            </w:r>
            <w:r>
              <w:rPr>
                <w:spacing w:val="-2"/>
                <w:sz w:val="18"/>
              </w:rPr>
              <w:t xml:space="preserve"> </w:t>
            </w:r>
            <w:r>
              <w:rPr>
                <w:sz w:val="18"/>
              </w:rPr>
              <w:t>not</w:t>
            </w:r>
            <w:r>
              <w:rPr>
                <w:spacing w:val="-1"/>
                <w:sz w:val="18"/>
              </w:rPr>
              <w:t xml:space="preserve"> </w:t>
            </w:r>
            <w:r>
              <w:rPr>
                <w:sz w:val="18"/>
              </w:rPr>
              <w:t>record</w:t>
            </w:r>
            <w:r>
              <w:rPr>
                <w:spacing w:val="-2"/>
                <w:sz w:val="18"/>
              </w:rPr>
              <w:t xml:space="preserve"> </w:t>
            </w:r>
            <w:r>
              <w:rPr>
                <w:sz w:val="18"/>
              </w:rPr>
              <w:t>on</w:t>
            </w:r>
            <w:r>
              <w:rPr>
                <w:spacing w:val="-2"/>
                <w:sz w:val="18"/>
              </w:rPr>
              <w:t xml:space="preserve"> </w:t>
            </w:r>
            <w:r>
              <w:rPr>
                <w:sz w:val="18"/>
              </w:rPr>
              <w:t>the</w:t>
            </w:r>
            <w:r>
              <w:rPr>
                <w:spacing w:val="-2"/>
                <w:sz w:val="18"/>
              </w:rPr>
              <w:t xml:space="preserve"> </w:t>
            </w:r>
            <w:r>
              <w:rPr>
                <w:sz w:val="18"/>
              </w:rPr>
              <w:t>financial</w:t>
            </w:r>
            <w:r>
              <w:rPr>
                <w:spacing w:val="-1"/>
                <w:sz w:val="18"/>
              </w:rPr>
              <w:t xml:space="preserve"> </w:t>
            </w:r>
            <w:r>
              <w:rPr>
                <w:sz w:val="18"/>
              </w:rPr>
              <w:t>statements</w:t>
            </w:r>
            <w:r>
              <w:rPr>
                <w:spacing w:val="-1"/>
                <w:sz w:val="18"/>
              </w:rPr>
              <w:t xml:space="preserve"> </w:t>
            </w:r>
            <w:r>
              <w:rPr>
                <w:sz w:val="18"/>
              </w:rPr>
              <w:t>or</w:t>
            </w:r>
            <w:r>
              <w:rPr>
                <w:spacing w:val="-1"/>
                <w:sz w:val="18"/>
              </w:rPr>
              <w:t xml:space="preserve"> </w:t>
            </w:r>
            <w:r>
              <w:rPr>
                <w:sz w:val="18"/>
              </w:rPr>
              <w:t>disclose</w:t>
            </w:r>
            <w:r>
              <w:rPr>
                <w:spacing w:val="-2"/>
                <w:sz w:val="18"/>
              </w:rPr>
              <w:t xml:space="preserve"> </w:t>
            </w:r>
            <w:r>
              <w:rPr>
                <w:sz w:val="18"/>
              </w:rPr>
              <w:t>in</w:t>
            </w:r>
            <w:r>
              <w:rPr>
                <w:spacing w:val="-2"/>
                <w:sz w:val="18"/>
              </w:rPr>
              <w:t xml:space="preserve"> </w:t>
            </w:r>
            <w:r>
              <w:rPr>
                <w:sz w:val="18"/>
              </w:rPr>
              <w:t>the</w:t>
            </w:r>
            <w:r>
              <w:rPr>
                <w:spacing w:val="-2"/>
                <w:sz w:val="18"/>
              </w:rPr>
              <w:t xml:space="preserve"> </w:t>
            </w:r>
            <w:r>
              <w:rPr>
                <w:sz w:val="18"/>
              </w:rPr>
              <w:t>notes to</w:t>
            </w:r>
            <w:r>
              <w:rPr>
                <w:spacing w:val="-2"/>
                <w:sz w:val="18"/>
              </w:rPr>
              <w:t xml:space="preserve"> </w:t>
            </w:r>
            <w:r>
              <w:rPr>
                <w:sz w:val="18"/>
              </w:rPr>
              <w:t>the</w:t>
            </w:r>
            <w:r>
              <w:rPr>
                <w:spacing w:val="-2"/>
                <w:sz w:val="18"/>
              </w:rPr>
              <w:t xml:space="preserve"> </w:t>
            </w:r>
            <w:r>
              <w:rPr>
                <w:sz w:val="18"/>
              </w:rPr>
              <w:t>financial</w:t>
            </w:r>
            <w:r>
              <w:rPr>
                <w:spacing w:val="-1"/>
                <w:sz w:val="18"/>
              </w:rPr>
              <w:t xml:space="preserve"> </w:t>
            </w:r>
            <w:r>
              <w:rPr>
                <w:sz w:val="18"/>
              </w:rPr>
              <w:t>statements</w:t>
            </w:r>
            <w:r>
              <w:rPr>
                <w:spacing w:val="-1"/>
                <w:sz w:val="18"/>
              </w:rPr>
              <w:t xml:space="preserve"> </w:t>
            </w:r>
            <w:r>
              <w:rPr>
                <w:sz w:val="18"/>
              </w:rPr>
              <w:t>contingencies</w:t>
            </w:r>
            <w:r>
              <w:rPr>
                <w:spacing w:val="-1"/>
                <w:sz w:val="18"/>
              </w:rPr>
              <w:t xml:space="preserve"> </w:t>
            </w:r>
            <w:r>
              <w:rPr>
                <w:sz w:val="18"/>
              </w:rPr>
              <w:t>meeting the criteria for recognition and/or disclosure in SFFAS No. 5, pars. 39-41.</w:t>
            </w:r>
          </w:p>
        </w:tc>
      </w:tr>
      <w:tr w:rsidR="00046465" w14:paraId="0DFDCCE4" w14:textId="77777777">
        <w:trPr>
          <w:trHeight w:val="755"/>
        </w:trPr>
        <w:tc>
          <w:tcPr>
            <w:tcW w:w="21023" w:type="dxa"/>
          </w:tcPr>
          <w:p w14:paraId="0DFDCCE3" w14:textId="77777777" w:rsidR="00046465" w:rsidRDefault="008134EB">
            <w:pPr>
              <w:pStyle w:val="TableParagraph"/>
              <w:spacing w:before="64"/>
              <w:ind w:left="575" w:right="82" w:hanging="526"/>
              <w:rPr>
                <w:sz w:val="18"/>
              </w:rPr>
            </w:pPr>
            <w:r>
              <w:rPr>
                <w:sz w:val="18"/>
              </w:rPr>
              <w:t>(17)</w:t>
            </w:r>
            <w:r>
              <w:rPr>
                <w:spacing w:val="-1"/>
                <w:sz w:val="18"/>
              </w:rPr>
              <w:t xml:space="preserve"> </w:t>
            </w:r>
            <w:r>
              <w:rPr>
                <w:sz w:val="18"/>
              </w:rPr>
              <w:t>If</w:t>
            </w:r>
            <w:r>
              <w:rPr>
                <w:spacing w:val="-1"/>
                <w:sz w:val="18"/>
              </w:rPr>
              <w:t xml:space="preserve"> </w:t>
            </w:r>
            <w:r>
              <w:rPr>
                <w:sz w:val="18"/>
              </w:rPr>
              <w:t>updates to</w:t>
            </w:r>
            <w:r>
              <w:rPr>
                <w:spacing w:val="-2"/>
                <w:sz w:val="18"/>
              </w:rPr>
              <w:t xml:space="preserve"> </w:t>
            </w:r>
            <w:r>
              <w:rPr>
                <w:sz w:val="18"/>
              </w:rPr>
              <w:t>case(s)</w:t>
            </w:r>
            <w:r>
              <w:rPr>
                <w:spacing w:val="-1"/>
                <w:sz w:val="18"/>
              </w:rPr>
              <w:t xml:space="preserve"> </w:t>
            </w:r>
            <w:r>
              <w:rPr>
                <w:sz w:val="18"/>
              </w:rPr>
              <w:t>were</w:t>
            </w:r>
            <w:r>
              <w:rPr>
                <w:spacing w:val="-2"/>
                <w:sz w:val="18"/>
              </w:rPr>
              <w:t xml:space="preserve"> </w:t>
            </w:r>
            <w:r>
              <w:rPr>
                <w:sz w:val="18"/>
              </w:rPr>
              <w:t>provided</w:t>
            </w:r>
            <w:r>
              <w:rPr>
                <w:spacing w:val="-2"/>
                <w:sz w:val="18"/>
              </w:rPr>
              <w:t xml:space="preserve"> </w:t>
            </w:r>
            <w:r>
              <w:rPr>
                <w:sz w:val="18"/>
              </w:rPr>
              <w:t>in</w:t>
            </w:r>
            <w:r>
              <w:rPr>
                <w:spacing w:val="-2"/>
                <w:sz w:val="18"/>
              </w:rPr>
              <w:t xml:space="preserve"> </w:t>
            </w:r>
            <w:r>
              <w:rPr>
                <w:sz w:val="18"/>
              </w:rPr>
              <w:t>the</w:t>
            </w:r>
            <w:r>
              <w:rPr>
                <w:spacing w:val="-1"/>
                <w:sz w:val="18"/>
              </w:rPr>
              <w:t xml:space="preserve"> </w:t>
            </w:r>
            <w:r>
              <w:rPr>
                <w:sz w:val="18"/>
              </w:rPr>
              <w:t>final</w:t>
            </w:r>
            <w:r>
              <w:rPr>
                <w:spacing w:val="-2"/>
                <w:sz w:val="18"/>
              </w:rPr>
              <w:t xml:space="preserve"> </w:t>
            </w:r>
            <w:r>
              <w:rPr>
                <w:sz w:val="18"/>
              </w:rPr>
              <w:t>legal</w:t>
            </w:r>
            <w:r>
              <w:rPr>
                <w:spacing w:val="-1"/>
                <w:sz w:val="18"/>
              </w:rPr>
              <w:t xml:space="preserve"> </w:t>
            </w:r>
            <w:r>
              <w:rPr>
                <w:sz w:val="18"/>
              </w:rPr>
              <w:t>counsel</w:t>
            </w:r>
            <w:r>
              <w:rPr>
                <w:spacing w:val="-1"/>
                <w:sz w:val="18"/>
              </w:rPr>
              <w:t xml:space="preserve"> </w:t>
            </w:r>
            <w:r>
              <w:rPr>
                <w:sz w:val="18"/>
              </w:rPr>
              <w:t>response,</w:t>
            </w:r>
            <w:r>
              <w:rPr>
                <w:spacing w:val="-1"/>
                <w:sz w:val="18"/>
              </w:rPr>
              <w:t xml:space="preserve"> </w:t>
            </w:r>
            <w:r>
              <w:rPr>
                <w:sz w:val="18"/>
              </w:rPr>
              <w:t>were</w:t>
            </w:r>
            <w:r>
              <w:rPr>
                <w:spacing w:val="-2"/>
                <w:sz w:val="18"/>
              </w:rPr>
              <w:t xml:space="preserve"> </w:t>
            </w:r>
            <w:r>
              <w:rPr>
                <w:sz w:val="18"/>
              </w:rPr>
              <w:t>these updates</w:t>
            </w:r>
            <w:r>
              <w:rPr>
                <w:spacing w:val="-1"/>
                <w:sz w:val="18"/>
              </w:rPr>
              <w:t xml:space="preserve"> </w:t>
            </w:r>
            <w:r>
              <w:rPr>
                <w:sz w:val="18"/>
              </w:rPr>
              <w:t>related</w:t>
            </w:r>
            <w:r>
              <w:rPr>
                <w:spacing w:val="-2"/>
                <w:sz w:val="18"/>
              </w:rPr>
              <w:t xml:space="preserve"> </w:t>
            </w:r>
            <w:r>
              <w:rPr>
                <w:sz w:val="18"/>
              </w:rPr>
              <w:t>to</w:t>
            </w:r>
            <w:r>
              <w:rPr>
                <w:spacing w:val="-2"/>
                <w:sz w:val="18"/>
              </w:rPr>
              <w:t xml:space="preserve"> </w:t>
            </w:r>
            <w:r>
              <w:rPr>
                <w:sz w:val="18"/>
              </w:rPr>
              <w:t>likelihood of</w:t>
            </w:r>
            <w:r>
              <w:rPr>
                <w:spacing w:val="-1"/>
                <w:sz w:val="18"/>
              </w:rPr>
              <w:t xml:space="preserve"> </w:t>
            </w:r>
            <w:r>
              <w:rPr>
                <w:sz w:val="18"/>
              </w:rPr>
              <w:t>loss,</w:t>
            </w:r>
            <w:r>
              <w:rPr>
                <w:spacing w:val="-1"/>
                <w:sz w:val="18"/>
              </w:rPr>
              <w:t xml:space="preserve"> </w:t>
            </w:r>
            <w:r>
              <w:rPr>
                <w:sz w:val="18"/>
              </w:rPr>
              <w:t>estimated</w:t>
            </w:r>
            <w:r>
              <w:rPr>
                <w:spacing w:val="-2"/>
                <w:sz w:val="18"/>
              </w:rPr>
              <w:t xml:space="preserve"> </w:t>
            </w:r>
            <w:r>
              <w:rPr>
                <w:sz w:val="18"/>
              </w:rPr>
              <w:t>amount</w:t>
            </w:r>
            <w:r>
              <w:rPr>
                <w:spacing w:val="-1"/>
                <w:sz w:val="18"/>
              </w:rPr>
              <w:t xml:space="preserve"> </w:t>
            </w:r>
            <w:r>
              <w:rPr>
                <w:sz w:val="18"/>
              </w:rPr>
              <w:t>or</w:t>
            </w:r>
            <w:r>
              <w:rPr>
                <w:spacing w:val="-1"/>
                <w:sz w:val="18"/>
              </w:rPr>
              <w:t xml:space="preserve"> </w:t>
            </w:r>
            <w:r>
              <w:rPr>
                <w:sz w:val="18"/>
              </w:rPr>
              <w:t>range</w:t>
            </w:r>
            <w:r>
              <w:rPr>
                <w:spacing w:val="-2"/>
                <w:sz w:val="18"/>
              </w:rPr>
              <w:t xml:space="preserve"> </w:t>
            </w:r>
            <w:r>
              <w:rPr>
                <w:sz w:val="18"/>
              </w:rPr>
              <w:t>of</w:t>
            </w:r>
            <w:r>
              <w:rPr>
                <w:spacing w:val="-1"/>
                <w:sz w:val="18"/>
              </w:rPr>
              <w:t xml:space="preserve"> </w:t>
            </w:r>
            <w:r>
              <w:rPr>
                <w:sz w:val="18"/>
              </w:rPr>
              <w:t>potential</w:t>
            </w:r>
            <w:r>
              <w:rPr>
                <w:spacing w:val="-1"/>
                <w:sz w:val="18"/>
              </w:rPr>
              <w:t xml:space="preserve"> </w:t>
            </w:r>
            <w:r>
              <w:rPr>
                <w:sz w:val="18"/>
              </w:rPr>
              <w:t>loss, new</w:t>
            </w:r>
            <w:r>
              <w:rPr>
                <w:spacing w:val="-1"/>
                <w:sz w:val="18"/>
              </w:rPr>
              <w:t xml:space="preserve"> </w:t>
            </w:r>
            <w:r>
              <w:rPr>
                <w:sz w:val="18"/>
              </w:rPr>
              <w:t>case,</w:t>
            </w:r>
            <w:r>
              <w:rPr>
                <w:spacing w:val="-1"/>
                <w:sz w:val="18"/>
              </w:rPr>
              <w:t xml:space="preserve"> </w:t>
            </w:r>
            <w:r>
              <w:rPr>
                <w:sz w:val="18"/>
              </w:rPr>
              <w:t>no</w:t>
            </w:r>
            <w:r>
              <w:rPr>
                <w:spacing w:val="-2"/>
                <w:sz w:val="18"/>
              </w:rPr>
              <w:t xml:space="preserve"> </w:t>
            </w:r>
            <w:r>
              <w:rPr>
                <w:sz w:val="18"/>
              </w:rPr>
              <w:t>longer</w:t>
            </w:r>
            <w:r>
              <w:rPr>
                <w:spacing w:val="-1"/>
                <w:sz w:val="18"/>
              </w:rPr>
              <w:t xml:space="preserve"> </w:t>
            </w:r>
            <w:r>
              <w:rPr>
                <w:sz w:val="18"/>
              </w:rPr>
              <w:t>pending,</w:t>
            </w:r>
            <w:r>
              <w:rPr>
                <w:spacing w:val="-1"/>
                <w:sz w:val="18"/>
              </w:rPr>
              <w:t xml:space="preserve"> </w:t>
            </w:r>
            <w:r>
              <w:rPr>
                <w:sz w:val="18"/>
              </w:rPr>
              <w:t>progress</w:t>
            </w:r>
            <w:r>
              <w:rPr>
                <w:spacing w:val="-1"/>
                <w:sz w:val="18"/>
              </w:rPr>
              <w:t xml:space="preserve"> </w:t>
            </w:r>
            <w:r>
              <w:rPr>
                <w:sz w:val="18"/>
              </w:rPr>
              <w:t>update, other,</w:t>
            </w:r>
            <w:r>
              <w:rPr>
                <w:spacing w:val="-1"/>
                <w:sz w:val="18"/>
              </w:rPr>
              <w:t xml:space="preserve"> </w:t>
            </w:r>
            <w:r>
              <w:rPr>
                <w:sz w:val="18"/>
              </w:rPr>
              <w:t>or</w:t>
            </w:r>
            <w:r>
              <w:rPr>
                <w:spacing w:val="-1"/>
                <w:sz w:val="18"/>
              </w:rPr>
              <w:t xml:space="preserve"> </w:t>
            </w:r>
            <w:r>
              <w:rPr>
                <w:sz w:val="18"/>
              </w:rPr>
              <w:t>no</w:t>
            </w:r>
            <w:r>
              <w:rPr>
                <w:spacing w:val="-2"/>
                <w:sz w:val="18"/>
              </w:rPr>
              <w:t xml:space="preserve"> </w:t>
            </w:r>
            <w:r>
              <w:rPr>
                <w:sz w:val="18"/>
              </w:rPr>
              <w:t>updates</w:t>
            </w:r>
            <w:r>
              <w:rPr>
                <w:spacing w:val="-1"/>
                <w:sz w:val="18"/>
              </w:rPr>
              <w:t xml:space="preserve"> </w:t>
            </w:r>
            <w:r>
              <w:rPr>
                <w:sz w:val="18"/>
              </w:rPr>
              <w:t>since</w:t>
            </w:r>
            <w:r>
              <w:rPr>
                <w:spacing w:val="-2"/>
                <w:sz w:val="18"/>
              </w:rPr>
              <w:t xml:space="preserve"> </w:t>
            </w:r>
            <w:r>
              <w:rPr>
                <w:sz w:val="18"/>
              </w:rPr>
              <w:t>interim?</w:t>
            </w:r>
            <w:r>
              <w:rPr>
                <w:spacing w:val="-2"/>
                <w:sz w:val="18"/>
              </w:rPr>
              <w:t xml:space="preserve"> </w:t>
            </w:r>
            <w:r>
              <w:rPr>
                <w:sz w:val="18"/>
              </w:rPr>
              <w:t>-</w:t>
            </w:r>
            <w:r>
              <w:rPr>
                <w:spacing w:val="-1"/>
                <w:sz w:val="18"/>
              </w:rPr>
              <w:t xml:space="preserve"> </w:t>
            </w:r>
            <w:r>
              <w:rPr>
                <w:sz w:val="18"/>
              </w:rPr>
              <w:t xml:space="preserve">Indicate whether there were updates to case(s) between the entity’s interim and final legal counsel responses. If there is more than one type of update from interim, input one type of update (i.e., likelihood of loss, estimated amount or range of potential loss, new case, no longer pending, progress update, or other) and describe </w:t>
            </w:r>
            <w:r>
              <w:rPr>
                <w:b/>
                <w:sz w:val="18"/>
                <w:u w:val="single"/>
              </w:rPr>
              <w:t>all</w:t>
            </w:r>
            <w:r>
              <w:rPr>
                <w:b/>
                <w:sz w:val="18"/>
              </w:rPr>
              <w:t xml:space="preserve"> </w:t>
            </w:r>
            <w:r>
              <w:rPr>
                <w:sz w:val="18"/>
              </w:rPr>
              <w:t>applicable updates in column 18. This requirement only applies to the final management schedule.</w:t>
            </w:r>
          </w:p>
        </w:tc>
      </w:tr>
      <w:tr w:rsidR="00046465" w14:paraId="0DFDCCE6" w14:textId="77777777">
        <w:trPr>
          <w:trHeight w:val="589"/>
        </w:trPr>
        <w:tc>
          <w:tcPr>
            <w:tcW w:w="21023" w:type="dxa"/>
          </w:tcPr>
          <w:p w14:paraId="0DFDCCE5" w14:textId="77777777" w:rsidR="00046465" w:rsidRDefault="008134EB">
            <w:pPr>
              <w:pStyle w:val="TableParagraph"/>
              <w:spacing w:before="64"/>
              <w:ind w:left="575" w:right="82" w:hanging="526"/>
              <w:rPr>
                <w:sz w:val="18"/>
              </w:rPr>
            </w:pPr>
            <w:r>
              <w:rPr>
                <w:sz w:val="18"/>
              </w:rPr>
              <w:t>(18)</w:t>
            </w:r>
            <w:r>
              <w:rPr>
                <w:spacing w:val="-1"/>
                <w:sz w:val="18"/>
              </w:rPr>
              <w:t xml:space="preserve"> </w:t>
            </w:r>
            <w:r>
              <w:rPr>
                <w:sz w:val="18"/>
              </w:rPr>
              <w:t>Provide</w:t>
            </w:r>
            <w:r>
              <w:rPr>
                <w:spacing w:val="-2"/>
                <w:sz w:val="18"/>
              </w:rPr>
              <w:t xml:space="preserve"> </w:t>
            </w:r>
            <w:r>
              <w:rPr>
                <w:sz w:val="18"/>
              </w:rPr>
              <w:t>a brief</w:t>
            </w:r>
            <w:r>
              <w:rPr>
                <w:spacing w:val="-1"/>
                <w:sz w:val="18"/>
              </w:rPr>
              <w:t xml:space="preserve"> </w:t>
            </w:r>
            <w:r>
              <w:rPr>
                <w:sz w:val="18"/>
              </w:rPr>
              <w:t>description</w:t>
            </w:r>
            <w:r>
              <w:rPr>
                <w:spacing w:val="-2"/>
                <w:sz w:val="18"/>
              </w:rPr>
              <w:t xml:space="preserve"> </w:t>
            </w:r>
            <w:r>
              <w:rPr>
                <w:sz w:val="18"/>
              </w:rPr>
              <w:t>of</w:t>
            </w:r>
            <w:r>
              <w:rPr>
                <w:spacing w:val="-1"/>
                <w:sz w:val="18"/>
              </w:rPr>
              <w:t xml:space="preserve"> </w:t>
            </w:r>
            <w:r>
              <w:rPr>
                <w:sz w:val="18"/>
              </w:rPr>
              <w:t>the</w:t>
            </w:r>
            <w:r>
              <w:rPr>
                <w:spacing w:val="-2"/>
                <w:sz w:val="18"/>
              </w:rPr>
              <w:t xml:space="preserve"> </w:t>
            </w:r>
            <w:r>
              <w:rPr>
                <w:sz w:val="18"/>
              </w:rPr>
              <w:t>update entered</w:t>
            </w:r>
            <w:r>
              <w:rPr>
                <w:spacing w:val="-2"/>
                <w:sz w:val="18"/>
              </w:rPr>
              <w:t xml:space="preserve"> </w:t>
            </w:r>
            <w:r>
              <w:rPr>
                <w:sz w:val="18"/>
              </w:rPr>
              <w:t>in</w:t>
            </w:r>
            <w:r>
              <w:rPr>
                <w:spacing w:val="-2"/>
                <w:sz w:val="18"/>
              </w:rPr>
              <w:t xml:space="preserve"> </w:t>
            </w:r>
            <w:r>
              <w:rPr>
                <w:sz w:val="18"/>
              </w:rPr>
              <w:t>column</w:t>
            </w:r>
            <w:r>
              <w:rPr>
                <w:spacing w:val="-2"/>
                <w:sz w:val="18"/>
              </w:rPr>
              <w:t xml:space="preserve"> </w:t>
            </w:r>
            <w:r>
              <w:rPr>
                <w:sz w:val="18"/>
              </w:rPr>
              <w:t>17. -</w:t>
            </w:r>
            <w:r>
              <w:rPr>
                <w:spacing w:val="-1"/>
                <w:sz w:val="18"/>
              </w:rPr>
              <w:t xml:space="preserve"> </w:t>
            </w:r>
            <w:r>
              <w:rPr>
                <w:sz w:val="18"/>
              </w:rPr>
              <w:t>Describe</w:t>
            </w:r>
            <w:r>
              <w:rPr>
                <w:spacing w:val="-2"/>
                <w:sz w:val="18"/>
              </w:rPr>
              <w:t xml:space="preserve"> </w:t>
            </w:r>
            <w:r>
              <w:rPr>
                <w:sz w:val="18"/>
              </w:rPr>
              <w:t>updates</w:t>
            </w:r>
            <w:r>
              <w:rPr>
                <w:spacing w:val="-1"/>
                <w:sz w:val="18"/>
              </w:rPr>
              <w:t xml:space="preserve"> </w:t>
            </w:r>
            <w:r>
              <w:rPr>
                <w:sz w:val="18"/>
              </w:rPr>
              <w:t>to</w:t>
            </w:r>
            <w:r>
              <w:rPr>
                <w:spacing w:val="-2"/>
                <w:sz w:val="18"/>
              </w:rPr>
              <w:t xml:space="preserve"> </w:t>
            </w:r>
            <w:r>
              <w:rPr>
                <w:sz w:val="18"/>
              </w:rPr>
              <w:t>likelihood</w:t>
            </w:r>
            <w:r>
              <w:rPr>
                <w:spacing w:val="-2"/>
                <w:sz w:val="18"/>
              </w:rPr>
              <w:t xml:space="preserve"> </w:t>
            </w:r>
            <w:r>
              <w:rPr>
                <w:sz w:val="18"/>
              </w:rPr>
              <w:t>of</w:t>
            </w:r>
            <w:r>
              <w:rPr>
                <w:spacing w:val="-1"/>
                <w:sz w:val="18"/>
              </w:rPr>
              <w:t xml:space="preserve"> </w:t>
            </w:r>
            <w:r>
              <w:rPr>
                <w:sz w:val="18"/>
              </w:rPr>
              <w:t>loss,</w:t>
            </w:r>
            <w:r>
              <w:rPr>
                <w:spacing w:val="-1"/>
                <w:sz w:val="18"/>
              </w:rPr>
              <w:t xml:space="preserve"> </w:t>
            </w:r>
            <w:r>
              <w:rPr>
                <w:sz w:val="18"/>
              </w:rPr>
              <w:t>estimated</w:t>
            </w:r>
            <w:r>
              <w:rPr>
                <w:spacing w:val="-2"/>
                <w:sz w:val="18"/>
              </w:rPr>
              <w:t xml:space="preserve"> </w:t>
            </w:r>
            <w:r>
              <w:rPr>
                <w:sz w:val="18"/>
              </w:rPr>
              <w:t>amount</w:t>
            </w:r>
            <w:r>
              <w:rPr>
                <w:spacing w:val="-1"/>
                <w:sz w:val="18"/>
              </w:rPr>
              <w:t xml:space="preserve"> </w:t>
            </w:r>
            <w:r>
              <w:rPr>
                <w:sz w:val="18"/>
              </w:rPr>
              <w:t>or</w:t>
            </w:r>
            <w:r>
              <w:rPr>
                <w:spacing w:val="-1"/>
                <w:sz w:val="18"/>
              </w:rPr>
              <w:t xml:space="preserve"> </w:t>
            </w:r>
            <w:r>
              <w:rPr>
                <w:sz w:val="18"/>
              </w:rPr>
              <w:t>range of</w:t>
            </w:r>
            <w:r>
              <w:rPr>
                <w:spacing w:val="-1"/>
                <w:sz w:val="18"/>
              </w:rPr>
              <w:t xml:space="preserve"> </w:t>
            </w:r>
            <w:r>
              <w:rPr>
                <w:sz w:val="18"/>
              </w:rPr>
              <w:t>potential</w:t>
            </w:r>
            <w:r>
              <w:rPr>
                <w:spacing w:val="-1"/>
                <w:sz w:val="18"/>
              </w:rPr>
              <w:t xml:space="preserve"> </w:t>
            </w:r>
            <w:r>
              <w:rPr>
                <w:sz w:val="18"/>
              </w:rPr>
              <w:t>loss,</w:t>
            </w:r>
            <w:r>
              <w:rPr>
                <w:spacing w:val="-1"/>
                <w:sz w:val="18"/>
              </w:rPr>
              <w:t xml:space="preserve"> </w:t>
            </w:r>
            <w:r>
              <w:rPr>
                <w:sz w:val="18"/>
              </w:rPr>
              <w:t>and/or</w:t>
            </w:r>
            <w:r>
              <w:rPr>
                <w:spacing w:val="-1"/>
                <w:sz w:val="18"/>
              </w:rPr>
              <w:t xml:space="preserve"> </w:t>
            </w:r>
            <w:r>
              <w:rPr>
                <w:sz w:val="18"/>
              </w:rPr>
              <w:t>other change</w:t>
            </w:r>
            <w:r>
              <w:rPr>
                <w:spacing w:val="-2"/>
                <w:sz w:val="18"/>
              </w:rPr>
              <w:t xml:space="preserve"> </w:t>
            </w:r>
            <w:r>
              <w:rPr>
                <w:sz w:val="18"/>
              </w:rPr>
              <w:t>indicated</w:t>
            </w:r>
            <w:r>
              <w:rPr>
                <w:spacing w:val="-2"/>
                <w:sz w:val="18"/>
              </w:rPr>
              <w:t xml:space="preserve"> </w:t>
            </w:r>
            <w:r>
              <w:rPr>
                <w:sz w:val="18"/>
              </w:rPr>
              <w:t>in</w:t>
            </w:r>
            <w:r>
              <w:rPr>
                <w:spacing w:val="-2"/>
                <w:sz w:val="18"/>
              </w:rPr>
              <w:t xml:space="preserve"> </w:t>
            </w:r>
            <w:r>
              <w:rPr>
                <w:sz w:val="18"/>
              </w:rPr>
              <w:t>column 17.</w:t>
            </w:r>
            <w:r>
              <w:rPr>
                <w:spacing w:val="-1"/>
                <w:sz w:val="18"/>
              </w:rPr>
              <w:t xml:space="preserve"> </w:t>
            </w:r>
            <w:r>
              <w:rPr>
                <w:sz w:val="18"/>
              </w:rPr>
              <w:t>At</w:t>
            </w:r>
            <w:r>
              <w:rPr>
                <w:spacing w:val="-1"/>
                <w:sz w:val="18"/>
              </w:rPr>
              <w:t xml:space="preserve"> </w:t>
            </w:r>
            <w:r>
              <w:rPr>
                <w:sz w:val="18"/>
              </w:rPr>
              <w:t>a</w:t>
            </w:r>
            <w:r>
              <w:rPr>
                <w:spacing w:val="-2"/>
                <w:sz w:val="18"/>
              </w:rPr>
              <w:t xml:space="preserve"> </w:t>
            </w:r>
            <w:r>
              <w:rPr>
                <w:sz w:val="18"/>
              </w:rPr>
              <w:t>minimum,</w:t>
            </w:r>
            <w:r>
              <w:rPr>
                <w:spacing w:val="-1"/>
                <w:sz w:val="18"/>
              </w:rPr>
              <w:t xml:space="preserve"> </w:t>
            </w:r>
            <w:r>
              <w:rPr>
                <w:sz w:val="18"/>
              </w:rPr>
              <w:t>be</w:t>
            </w:r>
            <w:r>
              <w:rPr>
                <w:spacing w:val="-2"/>
                <w:sz w:val="18"/>
              </w:rPr>
              <w:t xml:space="preserve"> </w:t>
            </w:r>
            <w:r>
              <w:rPr>
                <w:sz w:val="18"/>
              </w:rPr>
              <w:t>sure</w:t>
            </w:r>
            <w:r>
              <w:rPr>
                <w:spacing w:val="-2"/>
                <w:sz w:val="18"/>
              </w:rPr>
              <w:t xml:space="preserve"> </w:t>
            </w:r>
            <w:r>
              <w:rPr>
                <w:sz w:val="18"/>
              </w:rPr>
              <w:t>to</w:t>
            </w:r>
            <w:r>
              <w:rPr>
                <w:spacing w:val="-2"/>
                <w:sz w:val="18"/>
              </w:rPr>
              <w:t xml:space="preserve"> </w:t>
            </w:r>
            <w:r>
              <w:rPr>
                <w:sz w:val="18"/>
              </w:rPr>
              <w:t>include</w:t>
            </w:r>
            <w:r>
              <w:rPr>
                <w:spacing w:val="-2"/>
                <w:sz w:val="18"/>
              </w:rPr>
              <w:t xml:space="preserve"> </w:t>
            </w:r>
            <w:r>
              <w:rPr>
                <w:sz w:val="18"/>
              </w:rPr>
              <w:t>any</w:t>
            </w:r>
            <w:r>
              <w:rPr>
                <w:spacing w:val="-1"/>
                <w:sz w:val="18"/>
              </w:rPr>
              <w:t xml:space="preserve"> </w:t>
            </w:r>
            <w:r>
              <w:rPr>
                <w:sz w:val="18"/>
              </w:rPr>
              <w:t>updates</w:t>
            </w:r>
            <w:r>
              <w:rPr>
                <w:spacing w:val="-1"/>
                <w:sz w:val="18"/>
              </w:rPr>
              <w:t xml:space="preserve"> </w:t>
            </w:r>
            <w:r>
              <w:rPr>
                <w:sz w:val="18"/>
              </w:rPr>
              <w:t>to</w:t>
            </w:r>
            <w:r>
              <w:rPr>
                <w:spacing w:val="-2"/>
                <w:sz w:val="18"/>
              </w:rPr>
              <w:t xml:space="preserve"> </w:t>
            </w:r>
            <w:r>
              <w:rPr>
                <w:sz w:val="18"/>
              </w:rPr>
              <w:t>likelihood</w:t>
            </w:r>
            <w:r>
              <w:rPr>
                <w:spacing w:val="-2"/>
                <w:sz w:val="18"/>
              </w:rPr>
              <w:t xml:space="preserve"> </w:t>
            </w:r>
            <w:r>
              <w:rPr>
                <w:sz w:val="18"/>
              </w:rPr>
              <w:t>of</w:t>
            </w:r>
            <w:r>
              <w:rPr>
                <w:spacing w:val="-1"/>
                <w:sz w:val="18"/>
              </w:rPr>
              <w:t xml:space="preserve"> </w:t>
            </w:r>
            <w:r>
              <w:rPr>
                <w:sz w:val="18"/>
              </w:rPr>
              <w:t>loss and estimated amount or range of potential loss. This requirement only applies to the final management schedule.</w:t>
            </w:r>
          </w:p>
        </w:tc>
      </w:tr>
      <w:tr w:rsidR="00046465" w14:paraId="0DFDCCE9" w14:textId="77777777">
        <w:trPr>
          <w:trHeight w:val="837"/>
        </w:trPr>
        <w:tc>
          <w:tcPr>
            <w:tcW w:w="21023" w:type="dxa"/>
          </w:tcPr>
          <w:p w14:paraId="0DFDCCE7" w14:textId="77777777" w:rsidR="00046465" w:rsidRDefault="008134EB">
            <w:pPr>
              <w:pStyle w:val="TableParagraph"/>
              <w:spacing w:before="104"/>
              <w:ind w:left="50"/>
              <w:rPr>
                <w:sz w:val="18"/>
              </w:rPr>
            </w:pPr>
            <w:r>
              <w:rPr>
                <w:sz w:val="18"/>
              </w:rPr>
              <w:t>(19)</w:t>
            </w:r>
            <w:r>
              <w:rPr>
                <w:spacing w:val="-2"/>
                <w:sz w:val="18"/>
              </w:rPr>
              <w:t xml:space="preserve"> </w:t>
            </w:r>
            <w:r>
              <w:rPr>
                <w:sz w:val="18"/>
              </w:rPr>
              <w:t>If</w:t>
            </w:r>
            <w:r>
              <w:rPr>
                <w:spacing w:val="-2"/>
                <w:sz w:val="18"/>
              </w:rPr>
              <w:t xml:space="preserve"> </w:t>
            </w:r>
            <w:r>
              <w:rPr>
                <w:sz w:val="18"/>
              </w:rPr>
              <w:t>the</w:t>
            </w:r>
            <w:r>
              <w:rPr>
                <w:spacing w:val="-3"/>
                <w:sz w:val="18"/>
              </w:rPr>
              <w:t xml:space="preserve"> </w:t>
            </w:r>
            <w:r>
              <w:rPr>
                <w:sz w:val="18"/>
              </w:rPr>
              <w:t>lead</w:t>
            </w:r>
            <w:r>
              <w:rPr>
                <w:spacing w:val="-1"/>
                <w:sz w:val="18"/>
              </w:rPr>
              <w:t xml:space="preserve"> </w:t>
            </w:r>
            <w:r>
              <w:rPr>
                <w:sz w:val="18"/>
              </w:rPr>
              <w:t>counsel</w:t>
            </w:r>
            <w:r>
              <w:rPr>
                <w:spacing w:val="-1"/>
                <w:sz w:val="18"/>
              </w:rPr>
              <w:t xml:space="preserve"> </w:t>
            </w:r>
            <w:r>
              <w:rPr>
                <w:sz w:val="18"/>
              </w:rPr>
              <w:t>for</w:t>
            </w:r>
            <w:r>
              <w:rPr>
                <w:spacing w:val="-2"/>
                <w:sz w:val="18"/>
              </w:rPr>
              <w:t xml:space="preserve"> </w:t>
            </w:r>
            <w:r>
              <w:rPr>
                <w:sz w:val="18"/>
              </w:rPr>
              <w:t>the</w:t>
            </w:r>
            <w:r>
              <w:rPr>
                <w:spacing w:val="-1"/>
                <w:sz w:val="18"/>
              </w:rPr>
              <w:t xml:space="preserve"> </w:t>
            </w:r>
            <w:r>
              <w:rPr>
                <w:sz w:val="18"/>
              </w:rPr>
              <w:t>case</w:t>
            </w:r>
            <w:r>
              <w:rPr>
                <w:spacing w:val="-3"/>
                <w:sz w:val="18"/>
              </w:rPr>
              <w:t xml:space="preserve"> </w:t>
            </w:r>
            <w:r>
              <w:rPr>
                <w:sz w:val="18"/>
              </w:rPr>
              <w:t>is</w:t>
            </w:r>
            <w:r>
              <w:rPr>
                <w:spacing w:val="-2"/>
                <w:sz w:val="18"/>
              </w:rPr>
              <w:t xml:space="preserve"> </w:t>
            </w:r>
            <w:r>
              <w:rPr>
                <w:sz w:val="18"/>
              </w:rPr>
              <w:t>external</w:t>
            </w:r>
            <w:r>
              <w:rPr>
                <w:spacing w:val="-2"/>
                <w:sz w:val="18"/>
              </w:rPr>
              <w:t xml:space="preserve"> </w:t>
            </w:r>
            <w:r>
              <w:rPr>
                <w:sz w:val="18"/>
              </w:rPr>
              <w:t>to</w:t>
            </w:r>
            <w:r>
              <w:rPr>
                <w:spacing w:val="-2"/>
                <w:sz w:val="18"/>
              </w:rPr>
              <w:t xml:space="preserve"> </w:t>
            </w:r>
            <w:r>
              <w:rPr>
                <w:sz w:val="18"/>
              </w:rPr>
              <w:t>the</w:t>
            </w:r>
            <w:r>
              <w:rPr>
                <w:spacing w:val="-3"/>
                <w:sz w:val="18"/>
              </w:rPr>
              <w:t xml:space="preserve"> </w:t>
            </w:r>
            <w:r>
              <w:rPr>
                <w:sz w:val="18"/>
              </w:rPr>
              <w:t>entity</w:t>
            </w:r>
            <w:r>
              <w:rPr>
                <w:spacing w:val="-1"/>
                <w:sz w:val="18"/>
              </w:rPr>
              <w:t xml:space="preserve"> </w:t>
            </w:r>
            <w:r>
              <w:rPr>
                <w:sz w:val="18"/>
              </w:rPr>
              <w:t>(e.g.,</w:t>
            </w:r>
            <w:r>
              <w:rPr>
                <w:spacing w:val="-2"/>
                <w:sz w:val="18"/>
              </w:rPr>
              <w:t xml:space="preserve"> </w:t>
            </w:r>
            <w:r>
              <w:rPr>
                <w:sz w:val="18"/>
              </w:rPr>
              <w:t>DOJ),</w:t>
            </w:r>
            <w:r>
              <w:rPr>
                <w:spacing w:val="-1"/>
                <w:sz w:val="18"/>
              </w:rPr>
              <w:t xml:space="preserve"> </w:t>
            </w:r>
            <w:r>
              <w:rPr>
                <w:sz w:val="18"/>
              </w:rPr>
              <w:t>does</w:t>
            </w:r>
            <w:r>
              <w:rPr>
                <w:spacing w:val="-2"/>
                <w:sz w:val="18"/>
              </w:rPr>
              <w:t xml:space="preserve"> </w:t>
            </w:r>
            <w:r>
              <w:rPr>
                <w:sz w:val="18"/>
              </w:rPr>
              <w:t>the</w:t>
            </w:r>
            <w:r>
              <w:rPr>
                <w:spacing w:val="-3"/>
                <w:sz w:val="18"/>
              </w:rPr>
              <w:t xml:space="preserve"> </w:t>
            </w:r>
            <w:r>
              <w:rPr>
                <w:sz w:val="18"/>
              </w:rPr>
              <w:t>lead</w:t>
            </w:r>
            <w:r>
              <w:rPr>
                <w:spacing w:val="-3"/>
                <w:sz w:val="18"/>
              </w:rPr>
              <w:t xml:space="preserve"> </w:t>
            </w:r>
            <w:r>
              <w:rPr>
                <w:sz w:val="18"/>
              </w:rPr>
              <w:t>counsel</w:t>
            </w:r>
            <w:r>
              <w:rPr>
                <w:spacing w:val="-2"/>
                <w:sz w:val="18"/>
              </w:rPr>
              <w:t xml:space="preserve"> </w:t>
            </w:r>
            <w:r>
              <w:rPr>
                <w:sz w:val="18"/>
              </w:rPr>
              <w:t>concur</w:t>
            </w:r>
            <w:r>
              <w:rPr>
                <w:spacing w:val="-1"/>
                <w:sz w:val="18"/>
              </w:rPr>
              <w:t xml:space="preserve"> </w:t>
            </w:r>
            <w:r>
              <w:rPr>
                <w:sz w:val="18"/>
              </w:rPr>
              <w:t>with</w:t>
            </w:r>
            <w:r>
              <w:rPr>
                <w:spacing w:val="-3"/>
                <w:sz w:val="18"/>
              </w:rPr>
              <w:t xml:space="preserve"> </w:t>
            </w:r>
            <w:r>
              <w:rPr>
                <w:sz w:val="18"/>
              </w:rPr>
              <w:t>the</w:t>
            </w:r>
            <w:r>
              <w:rPr>
                <w:spacing w:val="-3"/>
                <w:sz w:val="18"/>
              </w:rPr>
              <w:t xml:space="preserve"> </w:t>
            </w:r>
            <w:r>
              <w:rPr>
                <w:sz w:val="18"/>
              </w:rPr>
              <w:t>entity's</w:t>
            </w:r>
            <w:r>
              <w:rPr>
                <w:spacing w:val="-2"/>
                <w:sz w:val="18"/>
              </w:rPr>
              <w:t xml:space="preserve"> </w:t>
            </w:r>
            <w:r>
              <w:rPr>
                <w:sz w:val="18"/>
              </w:rPr>
              <w:t>assessments</w:t>
            </w:r>
            <w:r>
              <w:rPr>
                <w:spacing w:val="-2"/>
                <w:sz w:val="18"/>
              </w:rPr>
              <w:t xml:space="preserve"> </w:t>
            </w:r>
            <w:r>
              <w:rPr>
                <w:sz w:val="18"/>
              </w:rPr>
              <w:t>of</w:t>
            </w:r>
            <w:r>
              <w:rPr>
                <w:spacing w:val="-1"/>
                <w:sz w:val="18"/>
              </w:rPr>
              <w:t xml:space="preserve"> </w:t>
            </w:r>
            <w:r>
              <w:rPr>
                <w:sz w:val="18"/>
              </w:rPr>
              <w:t>the</w:t>
            </w:r>
            <w:r>
              <w:rPr>
                <w:spacing w:val="-3"/>
                <w:sz w:val="18"/>
              </w:rPr>
              <w:t xml:space="preserve"> </w:t>
            </w:r>
            <w:r>
              <w:rPr>
                <w:sz w:val="18"/>
              </w:rPr>
              <w:t>likelihood</w:t>
            </w:r>
            <w:r>
              <w:rPr>
                <w:spacing w:val="-3"/>
                <w:sz w:val="18"/>
              </w:rPr>
              <w:t xml:space="preserve"> </w:t>
            </w:r>
            <w:r>
              <w:rPr>
                <w:sz w:val="18"/>
              </w:rPr>
              <w:t>of</w:t>
            </w:r>
            <w:r>
              <w:rPr>
                <w:spacing w:val="-2"/>
                <w:sz w:val="18"/>
              </w:rPr>
              <w:t xml:space="preserve"> </w:t>
            </w:r>
            <w:r>
              <w:rPr>
                <w:sz w:val="18"/>
              </w:rPr>
              <w:t>loss</w:t>
            </w:r>
            <w:r>
              <w:rPr>
                <w:spacing w:val="-1"/>
                <w:sz w:val="18"/>
              </w:rPr>
              <w:t xml:space="preserve"> </w:t>
            </w:r>
            <w:r>
              <w:rPr>
                <w:sz w:val="18"/>
              </w:rPr>
              <w:t>and</w:t>
            </w:r>
            <w:r>
              <w:rPr>
                <w:spacing w:val="-3"/>
                <w:sz w:val="18"/>
              </w:rPr>
              <w:t xml:space="preserve"> </w:t>
            </w:r>
            <w:r>
              <w:rPr>
                <w:sz w:val="18"/>
              </w:rPr>
              <w:t>estimated</w:t>
            </w:r>
            <w:r>
              <w:rPr>
                <w:spacing w:val="-3"/>
                <w:sz w:val="18"/>
              </w:rPr>
              <w:t xml:space="preserve"> </w:t>
            </w:r>
            <w:r>
              <w:rPr>
                <w:sz w:val="18"/>
              </w:rPr>
              <w:t>amount</w:t>
            </w:r>
            <w:r>
              <w:rPr>
                <w:spacing w:val="-1"/>
                <w:sz w:val="18"/>
              </w:rPr>
              <w:t xml:space="preserve"> </w:t>
            </w:r>
            <w:r>
              <w:rPr>
                <w:sz w:val="18"/>
              </w:rPr>
              <w:t>or</w:t>
            </w:r>
            <w:r>
              <w:rPr>
                <w:spacing w:val="-2"/>
                <w:sz w:val="18"/>
              </w:rPr>
              <w:t xml:space="preserve"> </w:t>
            </w:r>
            <w:r>
              <w:rPr>
                <w:sz w:val="18"/>
              </w:rPr>
              <w:t>range</w:t>
            </w:r>
            <w:r>
              <w:rPr>
                <w:spacing w:val="-2"/>
                <w:sz w:val="18"/>
              </w:rPr>
              <w:t xml:space="preserve"> </w:t>
            </w:r>
            <w:r>
              <w:rPr>
                <w:sz w:val="18"/>
              </w:rPr>
              <w:t>of</w:t>
            </w:r>
            <w:r>
              <w:rPr>
                <w:spacing w:val="-2"/>
                <w:sz w:val="18"/>
              </w:rPr>
              <w:t xml:space="preserve"> </w:t>
            </w:r>
            <w:r>
              <w:rPr>
                <w:sz w:val="18"/>
              </w:rPr>
              <w:t>potential</w:t>
            </w:r>
            <w:r>
              <w:rPr>
                <w:spacing w:val="-2"/>
                <w:sz w:val="18"/>
              </w:rPr>
              <w:t xml:space="preserve"> </w:t>
            </w:r>
            <w:r>
              <w:rPr>
                <w:sz w:val="18"/>
              </w:rPr>
              <w:t>loss?</w:t>
            </w:r>
            <w:r>
              <w:rPr>
                <w:spacing w:val="-3"/>
                <w:sz w:val="18"/>
              </w:rPr>
              <w:t xml:space="preserve"> </w:t>
            </w:r>
            <w:r>
              <w:rPr>
                <w:sz w:val="18"/>
              </w:rPr>
              <w:t>If</w:t>
            </w:r>
            <w:r>
              <w:rPr>
                <w:spacing w:val="-2"/>
                <w:sz w:val="18"/>
              </w:rPr>
              <w:t xml:space="preserve"> </w:t>
            </w:r>
            <w:r>
              <w:rPr>
                <w:sz w:val="18"/>
              </w:rPr>
              <w:t>the</w:t>
            </w:r>
            <w:r>
              <w:rPr>
                <w:spacing w:val="-2"/>
                <w:sz w:val="18"/>
              </w:rPr>
              <w:t xml:space="preserve"> </w:t>
            </w:r>
            <w:r>
              <w:rPr>
                <w:sz w:val="18"/>
              </w:rPr>
              <w:t>lead</w:t>
            </w:r>
            <w:r>
              <w:rPr>
                <w:spacing w:val="-3"/>
                <w:sz w:val="18"/>
              </w:rPr>
              <w:t xml:space="preserve"> </w:t>
            </w:r>
            <w:r>
              <w:rPr>
                <w:sz w:val="18"/>
              </w:rPr>
              <w:t>counsel</w:t>
            </w:r>
            <w:r>
              <w:rPr>
                <w:spacing w:val="-2"/>
                <w:sz w:val="18"/>
              </w:rPr>
              <w:t xml:space="preserve"> </w:t>
            </w:r>
            <w:r>
              <w:rPr>
                <w:sz w:val="18"/>
              </w:rPr>
              <w:t>is</w:t>
            </w:r>
            <w:r>
              <w:rPr>
                <w:spacing w:val="-2"/>
                <w:sz w:val="18"/>
              </w:rPr>
              <w:t xml:space="preserve"> </w:t>
            </w:r>
            <w:r>
              <w:rPr>
                <w:sz w:val="18"/>
              </w:rPr>
              <w:t>not</w:t>
            </w:r>
            <w:r>
              <w:rPr>
                <w:spacing w:val="-2"/>
                <w:sz w:val="18"/>
              </w:rPr>
              <w:t xml:space="preserve"> </w:t>
            </w:r>
            <w:r>
              <w:rPr>
                <w:sz w:val="18"/>
              </w:rPr>
              <w:t>external to</w:t>
            </w:r>
            <w:r>
              <w:rPr>
                <w:spacing w:val="-3"/>
                <w:sz w:val="18"/>
              </w:rPr>
              <w:t xml:space="preserve"> </w:t>
            </w:r>
            <w:r>
              <w:rPr>
                <w:sz w:val="18"/>
              </w:rPr>
              <w:t>the</w:t>
            </w:r>
            <w:r>
              <w:rPr>
                <w:spacing w:val="-3"/>
                <w:sz w:val="18"/>
              </w:rPr>
              <w:t xml:space="preserve"> </w:t>
            </w:r>
            <w:r>
              <w:rPr>
                <w:sz w:val="18"/>
              </w:rPr>
              <w:t>entity,</w:t>
            </w:r>
            <w:r>
              <w:rPr>
                <w:spacing w:val="-2"/>
                <w:sz w:val="18"/>
              </w:rPr>
              <w:t xml:space="preserve"> </w:t>
            </w:r>
            <w:r>
              <w:rPr>
                <w:sz w:val="18"/>
              </w:rPr>
              <w:t>input</w:t>
            </w:r>
            <w:r>
              <w:rPr>
                <w:spacing w:val="-1"/>
                <w:sz w:val="18"/>
              </w:rPr>
              <w:t xml:space="preserve"> </w:t>
            </w:r>
            <w:r>
              <w:rPr>
                <w:spacing w:val="-2"/>
                <w:sz w:val="18"/>
              </w:rPr>
              <w:t>“N/A.”</w:t>
            </w:r>
          </w:p>
          <w:p w14:paraId="0DFDCCE8" w14:textId="77777777" w:rsidR="00046465" w:rsidRDefault="008134EB">
            <w:pPr>
              <w:pStyle w:val="TableParagraph"/>
              <w:spacing w:before="1"/>
              <w:ind w:left="575" w:hanging="1"/>
              <w:rPr>
                <w:sz w:val="18"/>
              </w:rPr>
            </w:pPr>
            <w:r>
              <w:rPr>
                <w:sz w:val="18"/>
              </w:rPr>
              <w:t>-</w:t>
            </w:r>
            <w:r>
              <w:rPr>
                <w:spacing w:val="-1"/>
                <w:sz w:val="18"/>
              </w:rPr>
              <w:t xml:space="preserve"> </w:t>
            </w:r>
            <w:r>
              <w:rPr>
                <w:sz w:val="18"/>
              </w:rPr>
              <w:t>For</w:t>
            </w:r>
            <w:r>
              <w:rPr>
                <w:spacing w:val="-1"/>
                <w:sz w:val="18"/>
              </w:rPr>
              <w:t xml:space="preserve"> </w:t>
            </w:r>
            <w:r>
              <w:rPr>
                <w:sz w:val="18"/>
              </w:rPr>
              <w:t>circumstances</w:t>
            </w:r>
            <w:r>
              <w:rPr>
                <w:spacing w:val="-1"/>
                <w:sz w:val="18"/>
              </w:rPr>
              <w:t xml:space="preserve"> </w:t>
            </w:r>
            <w:r>
              <w:rPr>
                <w:sz w:val="18"/>
              </w:rPr>
              <w:t>where</w:t>
            </w:r>
            <w:r>
              <w:rPr>
                <w:spacing w:val="-2"/>
                <w:sz w:val="18"/>
              </w:rPr>
              <w:t xml:space="preserve"> </w:t>
            </w:r>
            <w:r>
              <w:rPr>
                <w:sz w:val="18"/>
              </w:rPr>
              <w:t>the lead</w:t>
            </w:r>
            <w:r>
              <w:rPr>
                <w:spacing w:val="-2"/>
                <w:sz w:val="18"/>
              </w:rPr>
              <w:t xml:space="preserve"> </w:t>
            </w:r>
            <w:r>
              <w:rPr>
                <w:sz w:val="18"/>
              </w:rPr>
              <w:t>representation</w:t>
            </w:r>
            <w:r>
              <w:rPr>
                <w:spacing w:val="-2"/>
                <w:sz w:val="18"/>
              </w:rPr>
              <w:t xml:space="preserve"> </w:t>
            </w:r>
            <w:r>
              <w:rPr>
                <w:sz w:val="18"/>
              </w:rPr>
              <w:t>is</w:t>
            </w:r>
            <w:r>
              <w:rPr>
                <w:spacing w:val="-1"/>
                <w:sz w:val="18"/>
              </w:rPr>
              <w:t xml:space="preserve"> </w:t>
            </w:r>
            <w:r>
              <w:rPr>
                <w:sz w:val="18"/>
              </w:rPr>
              <w:t>external</w:t>
            </w:r>
            <w:r>
              <w:rPr>
                <w:spacing w:val="-1"/>
                <w:sz w:val="18"/>
              </w:rPr>
              <w:t xml:space="preserve"> </w:t>
            </w:r>
            <w:r>
              <w:rPr>
                <w:sz w:val="18"/>
              </w:rPr>
              <w:t>to</w:t>
            </w:r>
            <w:r>
              <w:rPr>
                <w:spacing w:val="-2"/>
                <w:sz w:val="18"/>
              </w:rPr>
              <w:t xml:space="preserve"> </w:t>
            </w:r>
            <w:r>
              <w:rPr>
                <w:sz w:val="18"/>
              </w:rPr>
              <w:t>the</w:t>
            </w:r>
            <w:r>
              <w:rPr>
                <w:spacing w:val="-2"/>
                <w:sz w:val="18"/>
              </w:rPr>
              <w:t xml:space="preserve"> </w:t>
            </w:r>
            <w:r>
              <w:rPr>
                <w:sz w:val="18"/>
              </w:rPr>
              <w:t>entity</w:t>
            </w:r>
            <w:r>
              <w:rPr>
                <w:spacing w:val="-1"/>
                <w:sz w:val="18"/>
              </w:rPr>
              <w:t xml:space="preserve"> </w:t>
            </w:r>
            <w:r>
              <w:rPr>
                <w:sz w:val="18"/>
              </w:rPr>
              <w:t>(e.g.,</w:t>
            </w:r>
            <w:r>
              <w:rPr>
                <w:spacing w:val="-1"/>
                <w:sz w:val="18"/>
              </w:rPr>
              <w:t xml:space="preserve"> </w:t>
            </w:r>
            <w:r>
              <w:rPr>
                <w:sz w:val="18"/>
              </w:rPr>
              <w:t>DOJ),</w:t>
            </w:r>
            <w:r>
              <w:rPr>
                <w:spacing w:val="-1"/>
                <w:sz w:val="18"/>
              </w:rPr>
              <w:t xml:space="preserve"> </w:t>
            </w:r>
            <w:r>
              <w:rPr>
                <w:sz w:val="18"/>
              </w:rPr>
              <w:t>indicate</w:t>
            </w:r>
            <w:r>
              <w:rPr>
                <w:spacing w:val="-2"/>
                <w:sz w:val="18"/>
              </w:rPr>
              <w:t xml:space="preserve"> </w:t>
            </w:r>
            <w:r>
              <w:rPr>
                <w:sz w:val="18"/>
              </w:rPr>
              <w:t>whether</w:t>
            </w:r>
            <w:r>
              <w:rPr>
                <w:spacing w:val="-1"/>
                <w:sz w:val="18"/>
              </w:rPr>
              <w:t xml:space="preserve"> </w:t>
            </w:r>
            <w:r>
              <w:rPr>
                <w:sz w:val="18"/>
              </w:rPr>
              <w:t>the</w:t>
            </w:r>
            <w:r>
              <w:rPr>
                <w:spacing w:val="-2"/>
                <w:sz w:val="18"/>
              </w:rPr>
              <w:t xml:space="preserve"> </w:t>
            </w:r>
            <w:r>
              <w:rPr>
                <w:sz w:val="18"/>
              </w:rPr>
              <w:t>lead</w:t>
            </w:r>
            <w:r>
              <w:rPr>
                <w:spacing w:val="-2"/>
                <w:sz w:val="18"/>
              </w:rPr>
              <w:t xml:space="preserve"> </w:t>
            </w:r>
            <w:r>
              <w:rPr>
                <w:sz w:val="18"/>
              </w:rPr>
              <w:t>attorney</w:t>
            </w:r>
            <w:r>
              <w:rPr>
                <w:spacing w:val="-1"/>
                <w:sz w:val="18"/>
              </w:rPr>
              <w:t xml:space="preserve"> </w:t>
            </w:r>
            <w:r>
              <w:rPr>
                <w:sz w:val="18"/>
              </w:rPr>
              <w:t>concurs</w:t>
            </w:r>
            <w:r>
              <w:rPr>
                <w:spacing w:val="-1"/>
                <w:sz w:val="18"/>
              </w:rPr>
              <w:t xml:space="preserve"> </w:t>
            </w:r>
            <w:r>
              <w:rPr>
                <w:sz w:val="18"/>
              </w:rPr>
              <w:t>with the</w:t>
            </w:r>
            <w:r>
              <w:rPr>
                <w:spacing w:val="-2"/>
                <w:sz w:val="18"/>
              </w:rPr>
              <w:t xml:space="preserve"> </w:t>
            </w:r>
            <w:r>
              <w:rPr>
                <w:sz w:val="18"/>
              </w:rPr>
              <w:t>entity's</w:t>
            </w:r>
            <w:r>
              <w:rPr>
                <w:spacing w:val="-1"/>
                <w:sz w:val="18"/>
              </w:rPr>
              <w:t xml:space="preserve"> </w:t>
            </w:r>
            <w:r>
              <w:rPr>
                <w:sz w:val="18"/>
              </w:rPr>
              <w:t>general</w:t>
            </w:r>
            <w:r>
              <w:rPr>
                <w:spacing w:val="-1"/>
                <w:sz w:val="18"/>
              </w:rPr>
              <w:t xml:space="preserve"> </w:t>
            </w:r>
            <w:r>
              <w:rPr>
                <w:sz w:val="18"/>
              </w:rPr>
              <w:t>counsel’s assessments</w:t>
            </w:r>
            <w:r>
              <w:rPr>
                <w:spacing w:val="-1"/>
                <w:sz w:val="18"/>
              </w:rPr>
              <w:t xml:space="preserve"> </w:t>
            </w:r>
            <w:r>
              <w:rPr>
                <w:sz w:val="18"/>
              </w:rPr>
              <w:t>of</w:t>
            </w:r>
            <w:r>
              <w:rPr>
                <w:spacing w:val="-1"/>
                <w:sz w:val="18"/>
              </w:rPr>
              <w:t xml:space="preserve"> </w:t>
            </w:r>
            <w:r>
              <w:rPr>
                <w:sz w:val="18"/>
              </w:rPr>
              <w:t>the</w:t>
            </w:r>
            <w:r>
              <w:rPr>
                <w:spacing w:val="-2"/>
                <w:sz w:val="18"/>
              </w:rPr>
              <w:t xml:space="preserve"> </w:t>
            </w:r>
            <w:r>
              <w:rPr>
                <w:sz w:val="18"/>
              </w:rPr>
              <w:t>case's</w:t>
            </w:r>
            <w:r>
              <w:rPr>
                <w:spacing w:val="-1"/>
                <w:sz w:val="18"/>
              </w:rPr>
              <w:t xml:space="preserve"> </w:t>
            </w:r>
            <w:r>
              <w:rPr>
                <w:sz w:val="18"/>
              </w:rPr>
              <w:t>likelihood</w:t>
            </w:r>
            <w:r>
              <w:rPr>
                <w:spacing w:val="-2"/>
                <w:sz w:val="18"/>
              </w:rPr>
              <w:t xml:space="preserve"> </w:t>
            </w:r>
            <w:r>
              <w:rPr>
                <w:sz w:val="18"/>
              </w:rPr>
              <w:t>of</w:t>
            </w:r>
            <w:r>
              <w:rPr>
                <w:spacing w:val="-1"/>
                <w:sz w:val="18"/>
              </w:rPr>
              <w:t xml:space="preserve"> </w:t>
            </w:r>
            <w:r>
              <w:rPr>
                <w:sz w:val="18"/>
              </w:rPr>
              <w:t>loss</w:t>
            </w:r>
            <w:r>
              <w:rPr>
                <w:spacing w:val="-1"/>
                <w:sz w:val="18"/>
              </w:rPr>
              <w:t xml:space="preserve"> </w:t>
            </w:r>
            <w:r>
              <w:rPr>
                <w:b/>
                <w:sz w:val="18"/>
                <w:u w:val="single"/>
              </w:rPr>
              <w:t>and</w:t>
            </w:r>
            <w:r>
              <w:rPr>
                <w:b/>
                <w:sz w:val="18"/>
              </w:rPr>
              <w:t xml:space="preserve"> </w:t>
            </w:r>
            <w:r>
              <w:rPr>
                <w:sz w:val="18"/>
              </w:rPr>
              <w:t>estimated</w:t>
            </w:r>
            <w:r>
              <w:rPr>
                <w:spacing w:val="-2"/>
                <w:sz w:val="18"/>
              </w:rPr>
              <w:t xml:space="preserve"> </w:t>
            </w:r>
            <w:r>
              <w:rPr>
                <w:sz w:val="18"/>
              </w:rPr>
              <w:t>amount</w:t>
            </w:r>
            <w:r>
              <w:rPr>
                <w:spacing w:val="-1"/>
                <w:sz w:val="18"/>
              </w:rPr>
              <w:t xml:space="preserve"> </w:t>
            </w:r>
            <w:r>
              <w:rPr>
                <w:sz w:val="18"/>
              </w:rPr>
              <w:t>or</w:t>
            </w:r>
            <w:r>
              <w:rPr>
                <w:spacing w:val="-1"/>
                <w:sz w:val="18"/>
              </w:rPr>
              <w:t xml:space="preserve"> </w:t>
            </w:r>
            <w:r>
              <w:rPr>
                <w:sz w:val="18"/>
              </w:rPr>
              <w:t>range of</w:t>
            </w:r>
            <w:r>
              <w:rPr>
                <w:spacing w:val="-1"/>
                <w:sz w:val="18"/>
              </w:rPr>
              <w:t xml:space="preserve"> </w:t>
            </w:r>
            <w:r>
              <w:rPr>
                <w:sz w:val="18"/>
              </w:rPr>
              <w:t>potential</w:t>
            </w:r>
            <w:r>
              <w:rPr>
                <w:spacing w:val="-1"/>
                <w:sz w:val="18"/>
              </w:rPr>
              <w:t xml:space="preserve"> </w:t>
            </w:r>
            <w:r>
              <w:rPr>
                <w:sz w:val="18"/>
              </w:rPr>
              <w:t>loss (i.e., responses to fields 5-6 on DOJ’s “Pending or Threatened Litigation” form or to fields 4-5 on DOJ’s “Unasserted Claims and Assessments” form).</w:t>
            </w:r>
          </w:p>
        </w:tc>
      </w:tr>
      <w:tr w:rsidR="00046465" w14:paraId="0DFDCCEB" w14:textId="77777777">
        <w:trPr>
          <w:trHeight w:val="518"/>
        </w:trPr>
        <w:tc>
          <w:tcPr>
            <w:tcW w:w="21023" w:type="dxa"/>
          </w:tcPr>
          <w:p w14:paraId="0DFDCCEA" w14:textId="77777777" w:rsidR="00046465" w:rsidRDefault="008134EB">
            <w:pPr>
              <w:pStyle w:val="TableParagraph"/>
              <w:spacing w:before="86" w:line="206" w:lineRule="exact"/>
              <w:ind w:left="575" w:right="82" w:hanging="526"/>
              <w:rPr>
                <w:sz w:val="18"/>
              </w:rPr>
            </w:pPr>
            <w:r>
              <w:rPr>
                <w:sz w:val="18"/>
              </w:rPr>
              <w:t>(20)</w:t>
            </w:r>
            <w:r>
              <w:rPr>
                <w:spacing w:val="-1"/>
                <w:sz w:val="18"/>
              </w:rPr>
              <w:t xml:space="preserve"> </w:t>
            </w:r>
            <w:r>
              <w:rPr>
                <w:sz w:val="18"/>
              </w:rPr>
              <w:t>Provide</w:t>
            </w:r>
            <w:r>
              <w:rPr>
                <w:spacing w:val="-2"/>
                <w:sz w:val="18"/>
              </w:rPr>
              <w:t xml:space="preserve"> </w:t>
            </w:r>
            <w:r>
              <w:rPr>
                <w:sz w:val="18"/>
              </w:rPr>
              <w:t>an</w:t>
            </w:r>
            <w:r>
              <w:rPr>
                <w:spacing w:val="-2"/>
                <w:sz w:val="18"/>
              </w:rPr>
              <w:t xml:space="preserve"> </w:t>
            </w:r>
            <w:r>
              <w:rPr>
                <w:sz w:val="18"/>
              </w:rPr>
              <w:t>explanation</w:t>
            </w:r>
            <w:r>
              <w:rPr>
                <w:spacing w:val="-2"/>
                <w:sz w:val="18"/>
              </w:rPr>
              <w:t xml:space="preserve"> </w:t>
            </w:r>
            <w:r>
              <w:rPr>
                <w:sz w:val="18"/>
              </w:rPr>
              <w:t>for</w:t>
            </w:r>
            <w:r>
              <w:rPr>
                <w:spacing w:val="-1"/>
                <w:sz w:val="18"/>
              </w:rPr>
              <w:t xml:space="preserve"> </w:t>
            </w:r>
            <w:r>
              <w:rPr>
                <w:sz w:val="18"/>
              </w:rPr>
              <w:t>any</w:t>
            </w:r>
            <w:r>
              <w:rPr>
                <w:spacing w:val="-1"/>
                <w:sz w:val="18"/>
              </w:rPr>
              <w:t xml:space="preserve"> </w:t>
            </w:r>
            <w:r>
              <w:rPr>
                <w:sz w:val="18"/>
              </w:rPr>
              <w:t>“No” responses</w:t>
            </w:r>
            <w:r>
              <w:rPr>
                <w:spacing w:val="-1"/>
                <w:sz w:val="18"/>
              </w:rPr>
              <w:t xml:space="preserve"> </w:t>
            </w:r>
            <w:r>
              <w:rPr>
                <w:sz w:val="18"/>
              </w:rPr>
              <w:t>in</w:t>
            </w:r>
            <w:r>
              <w:rPr>
                <w:spacing w:val="-2"/>
                <w:sz w:val="18"/>
              </w:rPr>
              <w:t xml:space="preserve"> </w:t>
            </w:r>
            <w:r>
              <w:rPr>
                <w:sz w:val="18"/>
              </w:rPr>
              <w:t>column</w:t>
            </w:r>
            <w:r>
              <w:rPr>
                <w:spacing w:val="-2"/>
                <w:sz w:val="18"/>
              </w:rPr>
              <w:t xml:space="preserve"> </w:t>
            </w:r>
            <w:r>
              <w:rPr>
                <w:sz w:val="18"/>
              </w:rPr>
              <w:t>19. -</w:t>
            </w:r>
            <w:r>
              <w:rPr>
                <w:spacing w:val="-1"/>
                <w:sz w:val="18"/>
              </w:rPr>
              <w:t xml:space="preserve"> </w:t>
            </w:r>
            <w:r>
              <w:rPr>
                <w:sz w:val="18"/>
              </w:rPr>
              <w:t>Provide</w:t>
            </w:r>
            <w:r>
              <w:rPr>
                <w:spacing w:val="-2"/>
                <w:sz w:val="18"/>
              </w:rPr>
              <w:t xml:space="preserve"> </w:t>
            </w:r>
            <w:r>
              <w:rPr>
                <w:sz w:val="18"/>
              </w:rPr>
              <w:t>an</w:t>
            </w:r>
            <w:r>
              <w:rPr>
                <w:spacing w:val="-2"/>
                <w:sz w:val="18"/>
              </w:rPr>
              <w:t xml:space="preserve"> </w:t>
            </w:r>
            <w:r>
              <w:rPr>
                <w:sz w:val="18"/>
              </w:rPr>
              <w:t>explanation</w:t>
            </w:r>
            <w:r>
              <w:rPr>
                <w:spacing w:val="-2"/>
                <w:sz w:val="18"/>
              </w:rPr>
              <w:t xml:space="preserve"> </w:t>
            </w:r>
            <w:r>
              <w:rPr>
                <w:sz w:val="18"/>
              </w:rPr>
              <w:t>for</w:t>
            </w:r>
            <w:r>
              <w:rPr>
                <w:spacing w:val="-1"/>
                <w:sz w:val="18"/>
              </w:rPr>
              <w:t xml:space="preserve"> </w:t>
            </w:r>
            <w:r>
              <w:rPr>
                <w:sz w:val="18"/>
              </w:rPr>
              <w:t>any</w:t>
            </w:r>
            <w:r>
              <w:rPr>
                <w:spacing w:val="-1"/>
                <w:sz w:val="18"/>
              </w:rPr>
              <w:t xml:space="preserve"> </w:t>
            </w:r>
            <w:r>
              <w:rPr>
                <w:sz w:val="18"/>
              </w:rPr>
              <w:t>circumstances</w:t>
            </w:r>
            <w:r>
              <w:rPr>
                <w:spacing w:val="-1"/>
                <w:sz w:val="18"/>
              </w:rPr>
              <w:t xml:space="preserve"> </w:t>
            </w:r>
            <w:r>
              <w:rPr>
                <w:sz w:val="18"/>
              </w:rPr>
              <w:t>where</w:t>
            </w:r>
            <w:r>
              <w:rPr>
                <w:spacing w:val="-2"/>
                <w:sz w:val="18"/>
              </w:rPr>
              <w:t xml:space="preserve"> </w:t>
            </w:r>
            <w:r>
              <w:rPr>
                <w:sz w:val="18"/>
              </w:rPr>
              <w:t>the</w:t>
            </w:r>
            <w:r>
              <w:rPr>
                <w:spacing w:val="-2"/>
                <w:sz w:val="18"/>
              </w:rPr>
              <w:t xml:space="preserve"> </w:t>
            </w:r>
            <w:r>
              <w:rPr>
                <w:sz w:val="18"/>
              </w:rPr>
              <w:t>entity’s</w:t>
            </w:r>
            <w:r>
              <w:rPr>
                <w:spacing w:val="-1"/>
                <w:sz w:val="18"/>
              </w:rPr>
              <w:t xml:space="preserve"> </w:t>
            </w:r>
            <w:r>
              <w:rPr>
                <w:sz w:val="18"/>
              </w:rPr>
              <w:t>general</w:t>
            </w:r>
            <w:r>
              <w:rPr>
                <w:spacing w:val="-1"/>
                <w:sz w:val="18"/>
              </w:rPr>
              <w:t xml:space="preserve"> </w:t>
            </w:r>
            <w:r>
              <w:rPr>
                <w:sz w:val="18"/>
              </w:rPr>
              <w:t>counsel’s</w:t>
            </w:r>
            <w:r>
              <w:rPr>
                <w:spacing w:val="-1"/>
                <w:sz w:val="18"/>
              </w:rPr>
              <w:t xml:space="preserve"> </w:t>
            </w:r>
            <w:r>
              <w:rPr>
                <w:sz w:val="18"/>
              </w:rPr>
              <w:t>assessments of</w:t>
            </w:r>
            <w:r>
              <w:rPr>
                <w:spacing w:val="-1"/>
                <w:sz w:val="18"/>
              </w:rPr>
              <w:t xml:space="preserve"> </w:t>
            </w:r>
            <w:r>
              <w:rPr>
                <w:sz w:val="18"/>
              </w:rPr>
              <w:t>a</w:t>
            </w:r>
            <w:r>
              <w:rPr>
                <w:spacing w:val="-2"/>
                <w:sz w:val="18"/>
              </w:rPr>
              <w:t xml:space="preserve"> </w:t>
            </w:r>
            <w:r>
              <w:rPr>
                <w:sz w:val="18"/>
              </w:rPr>
              <w:t>case</w:t>
            </w:r>
            <w:r>
              <w:rPr>
                <w:spacing w:val="-2"/>
                <w:sz w:val="18"/>
              </w:rPr>
              <w:t xml:space="preserve"> </w:t>
            </w:r>
            <w:r>
              <w:rPr>
                <w:sz w:val="18"/>
              </w:rPr>
              <w:t>(e.g.,</w:t>
            </w:r>
            <w:r>
              <w:rPr>
                <w:spacing w:val="-1"/>
                <w:sz w:val="18"/>
              </w:rPr>
              <w:t xml:space="preserve"> </w:t>
            </w:r>
            <w:r>
              <w:rPr>
                <w:sz w:val="18"/>
              </w:rPr>
              <w:t>likelihood</w:t>
            </w:r>
            <w:r>
              <w:rPr>
                <w:spacing w:val="-2"/>
                <w:sz w:val="18"/>
              </w:rPr>
              <w:t xml:space="preserve"> </w:t>
            </w:r>
            <w:r>
              <w:rPr>
                <w:sz w:val="18"/>
              </w:rPr>
              <w:t>of</w:t>
            </w:r>
            <w:r>
              <w:rPr>
                <w:spacing w:val="-1"/>
                <w:sz w:val="18"/>
              </w:rPr>
              <w:t xml:space="preserve"> </w:t>
            </w:r>
            <w:r>
              <w:rPr>
                <w:sz w:val="18"/>
              </w:rPr>
              <w:t>loss,</w:t>
            </w:r>
            <w:r>
              <w:rPr>
                <w:spacing w:val="-1"/>
                <w:sz w:val="18"/>
              </w:rPr>
              <w:t xml:space="preserve"> </w:t>
            </w:r>
            <w:r>
              <w:rPr>
                <w:sz w:val="18"/>
              </w:rPr>
              <w:t>estimated amount</w:t>
            </w:r>
            <w:r>
              <w:rPr>
                <w:spacing w:val="-1"/>
                <w:sz w:val="18"/>
              </w:rPr>
              <w:t xml:space="preserve"> </w:t>
            </w:r>
            <w:r>
              <w:rPr>
                <w:sz w:val="18"/>
              </w:rPr>
              <w:t>or</w:t>
            </w:r>
            <w:r>
              <w:rPr>
                <w:spacing w:val="-1"/>
                <w:sz w:val="18"/>
              </w:rPr>
              <w:t xml:space="preserve"> </w:t>
            </w:r>
            <w:r>
              <w:rPr>
                <w:sz w:val="18"/>
              </w:rPr>
              <w:t>range</w:t>
            </w:r>
            <w:r>
              <w:rPr>
                <w:spacing w:val="-2"/>
                <w:sz w:val="18"/>
              </w:rPr>
              <w:t xml:space="preserve"> </w:t>
            </w:r>
            <w:r>
              <w:rPr>
                <w:sz w:val="18"/>
              </w:rPr>
              <w:t>of</w:t>
            </w:r>
            <w:r>
              <w:rPr>
                <w:spacing w:val="-1"/>
                <w:sz w:val="18"/>
              </w:rPr>
              <w:t xml:space="preserve"> </w:t>
            </w:r>
            <w:r>
              <w:rPr>
                <w:sz w:val="18"/>
              </w:rPr>
              <w:t>potential</w:t>
            </w:r>
            <w:r>
              <w:rPr>
                <w:spacing w:val="-1"/>
                <w:sz w:val="18"/>
              </w:rPr>
              <w:t xml:space="preserve"> </w:t>
            </w:r>
            <w:r>
              <w:rPr>
                <w:sz w:val="18"/>
              </w:rPr>
              <w:t>loss,</w:t>
            </w:r>
            <w:r>
              <w:rPr>
                <w:spacing w:val="-1"/>
                <w:sz w:val="18"/>
              </w:rPr>
              <w:t xml:space="preserve"> </w:t>
            </w:r>
            <w:r>
              <w:rPr>
                <w:sz w:val="18"/>
              </w:rPr>
              <w:t>or</w:t>
            </w:r>
            <w:r>
              <w:rPr>
                <w:spacing w:val="-1"/>
                <w:sz w:val="18"/>
              </w:rPr>
              <w:t xml:space="preserve"> </w:t>
            </w:r>
            <w:r>
              <w:rPr>
                <w:sz w:val="18"/>
              </w:rPr>
              <w:t>both)</w:t>
            </w:r>
            <w:r>
              <w:rPr>
                <w:spacing w:val="-1"/>
                <w:sz w:val="18"/>
              </w:rPr>
              <w:t xml:space="preserve"> </w:t>
            </w:r>
            <w:r>
              <w:rPr>
                <w:sz w:val="18"/>
              </w:rPr>
              <w:t>differ</w:t>
            </w:r>
            <w:r>
              <w:rPr>
                <w:spacing w:val="-1"/>
                <w:sz w:val="18"/>
              </w:rPr>
              <w:t xml:space="preserve"> </w:t>
            </w:r>
            <w:r>
              <w:rPr>
                <w:sz w:val="18"/>
              </w:rPr>
              <w:t>from those of the lead counsel handling the case.</w:t>
            </w:r>
          </w:p>
        </w:tc>
      </w:tr>
    </w:tbl>
    <w:p w14:paraId="0DFDCCEC" w14:textId="77777777" w:rsidR="00046465" w:rsidRDefault="00046465">
      <w:pPr>
        <w:pStyle w:val="TableParagraph"/>
        <w:spacing w:line="206" w:lineRule="exact"/>
        <w:rPr>
          <w:sz w:val="18"/>
        </w:rPr>
        <w:sectPr w:rsidR="00046465">
          <w:pgSz w:w="24480" w:h="15840" w:orient="landscape"/>
          <w:pgMar w:top="1340" w:right="1080" w:bottom="940" w:left="720" w:header="721" w:footer="757" w:gutter="0"/>
          <w:cols w:space="720"/>
        </w:sectPr>
      </w:pPr>
    </w:p>
    <w:p w14:paraId="0DFDCCED" w14:textId="77777777" w:rsidR="00046465" w:rsidRDefault="008134EB">
      <w:pPr>
        <w:pStyle w:val="Heading3"/>
        <w:spacing w:before="361"/>
        <w:ind w:left="1080"/>
        <w:rPr>
          <w:u w:val="none"/>
        </w:rPr>
      </w:pPr>
      <w:bookmarkStart w:id="410" w:name="1003_–_Financial_Statement_Audit_Complet"/>
      <w:bookmarkStart w:id="411" w:name="_bookmark232"/>
      <w:bookmarkEnd w:id="410"/>
      <w:bookmarkEnd w:id="411"/>
      <w:r>
        <w:lastRenderedPageBreak/>
        <w:t>1003</w:t>
      </w:r>
      <w:r>
        <w:rPr>
          <w:spacing w:val="-7"/>
        </w:rPr>
        <w:t xml:space="preserve"> </w:t>
      </w:r>
      <w:r>
        <w:t>–</w:t>
      </w:r>
      <w:r>
        <w:rPr>
          <w:spacing w:val="-6"/>
        </w:rPr>
        <w:t xml:space="preserve"> </w:t>
      </w:r>
      <w:r>
        <w:t>Financial</w:t>
      </w:r>
      <w:r>
        <w:rPr>
          <w:spacing w:val="-5"/>
        </w:rPr>
        <w:t xml:space="preserve"> </w:t>
      </w:r>
      <w:r>
        <w:t>Statement</w:t>
      </w:r>
      <w:r>
        <w:rPr>
          <w:spacing w:val="-17"/>
        </w:rPr>
        <w:t xml:space="preserve"> </w:t>
      </w:r>
      <w:r>
        <w:t>Audit</w:t>
      </w:r>
      <w:r>
        <w:rPr>
          <w:spacing w:val="-6"/>
        </w:rPr>
        <w:t xml:space="preserve"> </w:t>
      </w:r>
      <w:r>
        <w:t>Completion</w:t>
      </w:r>
      <w:r>
        <w:rPr>
          <w:spacing w:val="-5"/>
        </w:rPr>
        <w:t xml:space="preserve"> </w:t>
      </w:r>
      <w:r>
        <w:rPr>
          <w:spacing w:val="-2"/>
        </w:rPr>
        <w:t>Checklist</w:t>
      </w:r>
    </w:p>
    <w:p w14:paraId="0DFDCCEE" w14:textId="77777777" w:rsidR="00046465" w:rsidRDefault="00046465">
      <w:pPr>
        <w:pStyle w:val="BodyText"/>
        <w:spacing w:before="47"/>
        <w:rPr>
          <w:b/>
        </w:rPr>
      </w:pPr>
    </w:p>
    <w:p w14:paraId="0DFDCCEF" w14:textId="77777777" w:rsidR="00046465" w:rsidRDefault="008134EB">
      <w:pPr>
        <w:pStyle w:val="BodyText"/>
        <w:tabs>
          <w:tab w:val="left" w:pos="10283"/>
        </w:tabs>
        <w:spacing w:line="352" w:lineRule="auto"/>
        <w:ind w:left="1080" w:right="870" w:hanging="1"/>
        <w:jc w:val="both"/>
      </w:pPr>
      <w:r>
        <w:t>Entity:</w:t>
      </w:r>
      <w:r>
        <w:rPr>
          <w:spacing w:val="90"/>
        </w:rPr>
        <w:t xml:space="preserve"> </w:t>
      </w:r>
      <w:r>
        <w:rPr>
          <w:u w:val="single"/>
        </w:rPr>
        <w:tab/>
      </w:r>
      <w:r>
        <w:t xml:space="preserve"> Job Code:</w:t>
      </w:r>
      <w:r>
        <w:rPr>
          <w:spacing w:val="66"/>
        </w:rPr>
        <w:t xml:space="preserve"> </w:t>
      </w:r>
      <w:r>
        <w:rPr>
          <w:u w:val="single"/>
        </w:rPr>
        <w:tab/>
      </w:r>
      <w:r>
        <w:t xml:space="preserve"> Principal Report:</w:t>
      </w:r>
      <w:r>
        <w:rPr>
          <w:spacing w:val="177"/>
        </w:rPr>
        <w:t xml:space="preserve"> </w:t>
      </w:r>
      <w:r>
        <w:rPr>
          <w:u w:val="single"/>
        </w:rPr>
        <w:tab/>
      </w:r>
      <w:r>
        <w:t xml:space="preserve"> Other Reports (including separate reports to management and testimonies):</w:t>
      </w:r>
      <w:r>
        <w:rPr>
          <w:spacing w:val="65"/>
        </w:rPr>
        <w:t xml:space="preserve"> </w:t>
      </w:r>
      <w:r>
        <w:rPr>
          <w:u w:val="single"/>
        </w:rPr>
        <w:tab/>
      </w:r>
    </w:p>
    <w:p w14:paraId="0DFDCCF0" w14:textId="77777777" w:rsidR="00046465" w:rsidRDefault="008134EB">
      <w:pPr>
        <w:pStyle w:val="BodyText"/>
        <w:spacing w:before="5"/>
        <w:rPr>
          <w:sz w:val="19"/>
        </w:rPr>
      </w:pPr>
      <w:r>
        <w:rPr>
          <w:noProof/>
          <w:sz w:val="19"/>
        </w:rPr>
        <mc:AlternateContent>
          <mc:Choice Requires="wps">
            <w:drawing>
              <wp:anchor distT="0" distB="0" distL="0" distR="0" simplePos="0" relativeHeight="487742976" behindDoc="1" locked="0" layoutInCell="1" allowOverlap="1" wp14:anchorId="0DFDD771" wp14:editId="0DFDD772">
                <wp:simplePos x="0" y="0"/>
                <wp:positionH relativeFrom="page">
                  <wp:posOffset>932946</wp:posOffset>
                </wp:positionH>
                <wp:positionV relativeFrom="paragraph">
                  <wp:posOffset>157242</wp:posOffset>
                </wp:positionV>
                <wp:extent cx="5825490" cy="1270"/>
                <wp:effectExtent l="0" t="0" r="0" b="0"/>
                <wp:wrapTopAndBottom/>
                <wp:docPr id="1163" name="Graphic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5490" cy="1270"/>
                        </a:xfrm>
                        <a:custGeom>
                          <a:avLst/>
                          <a:gdLst/>
                          <a:ahLst/>
                          <a:cxnLst/>
                          <a:rect l="l" t="t" r="r" b="b"/>
                          <a:pathLst>
                            <a:path w="5825490">
                              <a:moveTo>
                                <a:pt x="0" y="0"/>
                              </a:moveTo>
                              <a:lnTo>
                                <a:pt x="5825356" y="0"/>
                              </a:lnTo>
                            </a:path>
                          </a:pathLst>
                        </a:custGeom>
                        <a:ln w="878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676129" id="Graphic 1163" o:spid="_x0000_s1026" style="position:absolute;margin-left:73.45pt;margin-top:12.4pt;width:458.7pt;height:.1pt;z-index:-15573504;visibility:visible;mso-wrap-style:square;mso-wrap-distance-left:0;mso-wrap-distance-top:0;mso-wrap-distance-right:0;mso-wrap-distance-bottom:0;mso-position-horizontal:absolute;mso-position-horizontal-relative:page;mso-position-vertical:absolute;mso-position-vertical-relative:text;v-text-anchor:top" coordsize="58254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" path="m,l5825356,e" filled="f" strokeweight=".24403mm">
                <v:path arrowok="t"/>
                <w10:wrap type="topAndBottom" anchorx="page"/>
              </v:shape>
            </w:pict>
          </mc:Fallback>
        </mc:AlternateContent>
      </w:r>
    </w:p>
    <w:p w14:paraId="0DFDCCF1" w14:textId="77777777" w:rsidR="00046465" w:rsidRDefault="008134EB">
      <w:pPr>
        <w:spacing w:before="123"/>
        <w:ind w:left="1080"/>
        <w:rPr>
          <w:b/>
        </w:rPr>
      </w:pPr>
      <w:r>
        <w:rPr>
          <w:b/>
          <w:spacing w:val="-2"/>
        </w:rPr>
        <w:t>Instructions</w:t>
      </w:r>
    </w:p>
    <w:p w14:paraId="0DFDCCF2" w14:textId="77777777" w:rsidR="00046465" w:rsidRDefault="008134EB">
      <w:pPr>
        <w:pStyle w:val="BodyText"/>
        <w:spacing w:before="119"/>
        <w:ind w:left="1080" w:right="763"/>
      </w:pPr>
      <w:r>
        <w:t xml:space="preserve">This checklist is intended to help financial statement auditors determine whether they have complied with </w:t>
      </w:r>
      <w:r>
        <w:rPr>
          <w:i/>
        </w:rPr>
        <w:t xml:space="preserve">Government Auditing Standards </w:t>
      </w:r>
      <w:r>
        <w:t xml:space="preserve">(GAGAS), </w:t>
      </w:r>
      <w:r>
        <w:rPr>
          <w:i/>
        </w:rPr>
        <w:t xml:space="preserve">U.S. Auditing Standards—AICPA [Clarified] </w:t>
      </w:r>
      <w:r>
        <w:t xml:space="preserve">(AU-C), and the GAO/CIGIE </w:t>
      </w:r>
      <w:r>
        <w:rPr>
          <w:i/>
        </w:rPr>
        <w:t xml:space="preserve">Financial Audit Manual </w:t>
      </w:r>
      <w:r>
        <w:t>(FAM). This checklist contains selected procedures for achieving audit objectives. It does not contain all procedures that should</w:t>
      </w:r>
      <w:r>
        <w:rPr>
          <w:spacing w:val="-3"/>
        </w:rPr>
        <w:t xml:space="preserve"> </w:t>
      </w:r>
      <w:r>
        <w:t>be</w:t>
      </w:r>
      <w:r>
        <w:rPr>
          <w:spacing w:val="-3"/>
        </w:rPr>
        <w:t xml:space="preserve"> </w:t>
      </w:r>
      <w:r>
        <w:t>performed</w:t>
      </w:r>
      <w:r>
        <w:rPr>
          <w:spacing w:val="-3"/>
        </w:rPr>
        <w:t xml:space="preserve"> </w:t>
      </w:r>
      <w:r>
        <w:t>to</w:t>
      </w:r>
      <w:r>
        <w:rPr>
          <w:spacing w:val="-3"/>
        </w:rPr>
        <w:t xml:space="preserve"> </w:t>
      </w:r>
      <w:r>
        <w:t>achieve</w:t>
      </w:r>
      <w:r>
        <w:rPr>
          <w:spacing w:val="-2"/>
        </w:rPr>
        <w:t xml:space="preserve"> </w:t>
      </w:r>
      <w:r>
        <w:t>the</w:t>
      </w:r>
      <w:r>
        <w:rPr>
          <w:spacing w:val="-4"/>
        </w:rPr>
        <w:t xml:space="preserve"> </w:t>
      </w:r>
      <w:r>
        <w:t>audit</w:t>
      </w:r>
      <w:r>
        <w:rPr>
          <w:spacing w:val="-3"/>
        </w:rPr>
        <w:t xml:space="preserve"> </w:t>
      </w:r>
      <w:r>
        <w:t>objectives.</w:t>
      </w:r>
      <w:r>
        <w:rPr>
          <w:spacing w:val="-3"/>
        </w:rPr>
        <w:t xml:space="preserve"> </w:t>
      </w:r>
      <w:r>
        <w:t>The</w:t>
      </w:r>
      <w:r>
        <w:rPr>
          <w:spacing w:val="-3"/>
        </w:rPr>
        <w:t xml:space="preserve"> </w:t>
      </w:r>
      <w:r>
        <w:t>auditor</w:t>
      </w:r>
      <w:r>
        <w:rPr>
          <w:spacing w:val="-3"/>
        </w:rPr>
        <w:t xml:space="preserve"> </w:t>
      </w:r>
      <w:r>
        <w:t>is</w:t>
      </w:r>
      <w:r>
        <w:rPr>
          <w:spacing w:val="-3"/>
        </w:rPr>
        <w:t xml:space="preserve"> </w:t>
      </w:r>
      <w:r>
        <w:t>responsible</w:t>
      </w:r>
      <w:r>
        <w:rPr>
          <w:spacing w:val="-3"/>
        </w:rPr>
        <w:t xml:space="preserve"> </w:t>
      </w:r>
      <w:r>
        <w:t>for</w:t>
      </w:r>
      <w:r>
        <w:rPr>
          <w:spacing w:val="-3"/>
        </w:rPr>
        <w:t xml:space="preserve"> </w:t>
      </w:r>
      <w:r>
        <w:t>ensuring</w:t>
      </w:r>
      <w:r>
        <w:rPr>
          <w:spacing w:val="-3"/>
        </w:rPr>
        <w:t xml:space="preserve"> </w:t>
      </w:r>
      <w:r>
        <w:t>that all</w:t>
      </w:r>
      <w:r>
        <w:rPr>
          <w:spacing w:val="-7"/>
        </w:rPr>
        <w:t xml:space="preserve"> </w:t>
      </w:r>
      <w:r>
        <w:t>relevant</w:t>
      </w:r>
      <w:r>
        <w:rPr>
          <w:spacing w:val="-10"/>
        </w:rPr>
        <w:t xml:space="preserve"> </w:t>
      </w:r>
      <w:r>
        <w:t>audit</w:t>
      </w:r>
      <w:r>
        <w:rPr>
          <w:spacing w:val="-6"/>
        </w:rPr>
        <w:t xml:space="preserve"> </w:t>
      </w:r>
      <w:r>
        <w:t>requirements</w:t>
      </w:r>
      <w:r>
        <w:rPr>
          <w:spacing w:val="-7"/>
        </w:rPr>
        <w:t xml:space="preserve"> </w:t>
      </w:r>
      <w:r>
        <w:t>are</w:t>
      </w:r>
      <w:r>
        <w:rPr>
          <w:spacing w:val="-7"/>
        </w:rPr>
        <w:t xml:space="preserve"> </w:t>
      </w:r>
      <w:r>
        <w:t>met.</w:t>
      </w:r>
      <w:r>
        <w:rPr>
          <w:spacing w:val="-6"/>
        </w:rPr>
        <w:t xml:space="preserve"> </w:t>
      </w:r>
      <w:r>
        <w:t>This</w:t>
      </w:r>
      <w:r>
        <w:rPr>
          <w:spacing w:val="-6"/>
        </w:rPr>
        <w:t xml:space="preserve"> </w:t>
      </w:r>
      <w:r>
        <w:t>checklist</w:t>
      </w:r>
      <w:r>
        <w:rPr>
          <w:spacing w:val="-7"/>
        </w:rPr>
        <w:t xml:space="preserve"> </w:t>
      </w:r>
      <w:r>
        <w:t>should</w:t>
      </w:r>
      <w:r>
        <w:rPr>
          <w:spacing w:val="-7"/>
        </w:rPr>
        <w:t xml:space="preserve"> </w:t>
      </w:r>
      <w:r>
        <w:t>be</w:t>
      </w:r>
      <w:r>
        <w:rPr>
          <w:spacing w:val="-7"/>
        </w:rPr>
        <w:t xml:space="preserve"> </w:t>
      </w:r>
      <w:r>
        <w:t>completed</w:t>
      </w:r>
      <w:r>
        <w:rPr>
          <w:spacing w:val="-7"/>
        </w:rPr>
        <w:t xml:space="preserve"> </w:t>
      </w:r>
      <w:r>
        <w:t>as</w:t>
      </w:r>
      <w:r>
        <w:rPr>
          <w:spacing w:val="-6"/>
        </w:rPr>
        <w:t xml:space="preserve"> </w:t>
      </w:r>
      <w:r>
        <w:t>described</w:t>
      </w:r>
      <w:r>
        <w:rPr>
          <w:spacing w:val="-7"/>
        </w:rPr>
        <w:t xml:space="preserve"> </w:t>
      </w:r>
      <w:r>
        <w:rPr>
          <w:spacing w:val="-2"/>
        </w:rPr>
        <w:t>below.</w:t>
      </w:r>
    </w:p>
    <w:p w14:paraId="0DFDCCF3" w14:textId="77777777" w:rsidR="00046465" w:rsidRDefault="008134EB">
      <w:pPr>
        <w:pStyle w:val="ListParagraph"/>
        <w:numPr>
          <w:ilvl w:val="0"/>
          <w:numId w:val="54"/>
        </w:numPr>
        <w:tabs>
          <w:tab w:val="left" w:pos="1440"/>
        </w:tabs>
        <w:ind w:left="1440" w:hanging="359"/>
      </w:pPr>
      <w:r>
        <w:rPr>
          <w:b/>
        </w:rPr>
        <w:t>On</w:t>
      </w:r>
      <w:r>
        <w:rPr>
          <w:b/>
          <w:spacing w:val="-7"/>
        </w:rPr>
        <w:t xml:space="preserve"> </w:t>
      </w:r>
      <w:r>
        <w:rPr>
          <w:b/>
        </w:rPr>
        <w:t>or</w:t>
      </w:r>
      <w:r>
        <w:rPr>
          <w:b/>
          <w:spacing w:val="-7"/>
        </w:rPr>
        <w:t xml:space="preserve"> </w:t>
      </w:r>
      <w:r>
        <w:rPr>
          <w:b/>
        </w:rPr>
        <w:t>before</w:t>
      </w:r>
      <w:r>
        <w:rPr>
          <w:b/>
          <w:spacing w:val="-6"/>
        </w:rPr>
        <w:t xml:space="preserve"> </w:t>
      </w:r>
      <w:r>
        <w:rPr>
          <w:b/>
        </w:rPr>
        <w:t>the</w:t>
      </w:r>
      <w:r>
        <w:rPr>
          <w:b/>
          <w:spacing w:val="-7"/>
        </w:rPr>
        <w:t xml:space="preserve"> </w:t>
      </w:r>
      <w:r>
        <w:rPr>
          <w:b/>
        </w:rPr>
        <w:t>auditor’s</w:t>
      </w:r>
      <w:r>
        <w:rPr>
          <w:b/>
          <w:spacing w:val="-6"/>
        </w:rPr>
        <w:t xml:space="preserve"> </w:t>
      </w:r>
      <w:r>
        <w:rPr>
          <w:b/>
        </w:rPr>
        <w:t>report</w:t>
      </w:r>
      <w:r>
        <w:rPr>
          <w:b/>
          <w:spacing w:val="-5"/>
        </w:rPr>
        <w:t xml:space="preserve"> </w:t>
      </w:r>
      <w:r>
        <w:rPr>
          <w:b/>
        </w:rPr>
        <w:t>date</w:t>
      </w:r>
      <w:r>
        <w:rPr>
          <w:b/>
          <w:spacing w:val="-6"/>
        </w:rPr>
        <w:t xml:space="preserve"> </w:t>
      </w:r>
      <w:r>
        <w:t>(i.e.,</w:t>
      </w:r>
      <w:r>
        <w:rPr>
          <w:spacing w:val="-6"/>
        </w:rPr>
        <w:t xml:space="preserve"> </w:t>
      </w:r>
      <w:r>
        <w:t>audit</w:t>
      </w:r>
      <w:r>
        <w:rPr>
          <w:spacing w:val="-6"/>
        </w:rPr>
        <w:t xml:space="preserve"> </w:t>
      </w:r>
      <w:r>
        <w:t>completion</w:t>
      </w:r>
      <w:r>
        <w:rPr>
          <w:spacing w:val="-7"/>
        </w:rPr>
        <w:t xml:space="preserve"> </w:t>
      </w:r>
      <w:r>
        <w:rPr>
          <w:spacing w:val="-2"/>
        </w:rPr>
        <w:t>date):</w:t>
      </w:r>
    </w:p>
    <w:p w14:paraId="0DFDCCF4" w14:textId="77777777" w:rsidR="00046465" w:rsidRDefault="008134EB">
      <w:pPr>
        <w:pStyle w:val="ListParagraph"/>
        <w:numPr>
          <w:ilvl w:val="1"/>
          <w:numId w:val="54"/>
        </w:numPr>
        <w:tabs>
          <w:tab w:val="left" w:pos="1800"/>
        </w:tabs>
        <w:spacing w:before="131" w:line="223" w:lineRule="auto"/>
        <w:ind w:right="748"/>
      </w:pPr>
      <w:r>
        <w:t>The</w:t>
      </w:r>
      <w:r>
        <w:rPr>
          <w:spacing w:val="-3"/>
        </w:rPr>
        <w:t xml:space="preserve"> </w:t>
      </w:r>
      <w:r>
        <w:t>auditor-in-charge</w:t>
      </w:r>
      <w:r>
        <w:rPr>
          <w:spacing w:val="-3"/>
        </w:rPr>
        <w:t xml:space="preserve"> </w:t>
      </w:r>
      <w:r>
        <w:t>(AIC)</w:t>
      </w:r>
      <w:r>
        <w:rPr>
          <w:spacing w:val="-3"/>
        </w:rPr>
        <w:t xml:space="preserve"> </w:t>
      </w:r>
      <w:r>
        <w:t>should</w:t>
      </w:r>
      <w:r>
        <w:rPr>
          <w:spacing w:val="-3"/>
        </w:rPr>
        <w:t xml:space="preserve"> </w:t>
      </w:r>
      <w:r>
        <w:t>ensure</w:t>
      </w:r>
      <w:r>
        <w:rPr>
          <w:spacing w:val="-3"/>
        </w:rPr>
        <w:t xml:space="preserve"> </w:t>
      </w:r>
      <w:r>
        <w:t>that</w:t>
      </w:r>
      <w:r>
        <w:rPr>
          <w:spacing w:val="-3"/>
        </w:rPr>
        <w:t xml:space="preserve"> </w:t>
      </w:r>
      <w:r>
        <w:t>sections</w:t>
      </w:r>
      <w:r>
        <w:rPr>
          <w:spacing w:val="-3"/>
        </w:rPr>
        <w:t xml:space="preserve"> </w:t>
      </w:r>
      <w:r>
        <w:t>I</w:t>
      </w:r>
      <w:r>
        <w:rPr>
          <w:spacing w:val="-3"/>
        </w:rPr>
        <w:t xml:space="preserve"> </w:t>
      </w:r>
      <w:r>
        <w:t>through</w:t>
      </w:r>
      <w:r>
        <w:rPr>
          <w:spacing w:val="-3"/>
        </w:rPr>
        <w:t xml:space="preserve"> </w:t>
      </w:r>
      <w:r>
        <w:t>VII</w:t>
      </w:r>
      <w:r>
        <w:rPr>
          <w:spacing w:val="-3"/>
        </w:rPr>
        <w:t xml:space="preserve"> </w:t>
      </w:r>
      <w:r>
        <w:t>of</w:t>
      </w:r>
      <w:r>
        <w:rPr>
          <w:spacing w:val="-3"/>
        </w:rPr>
        <w:t xml:space="preserve"> </w:t>
      </w:r>
      <w:r>
        <w:t>this</w:t>
      </w:r>
      <w:r>
        <w:rPr>
          <w:spacing w:val="-3"/>
        </w:rPr>
        <w:t xml:space="preserve"> </w:t>
      </w:r>
      <w:r>
        <w:t>checklist</w:t>
      </w:r>
      <w:r>
        <w:rPr>
          <w:spacing w:val="-4"/>
        </w:rPr>
        <w:t xml:space="preserve"> </w:t>
      </w:r>
      <w:r>
        <w:t>are completed and then sign in section VII.</w:t>
      </w:r>
    </w:p>
    <w:p w14:paraId="0DFDCCF5" w14:textId="77777777" w:rsidR="00046465" w:rsidRDefault="008134EB">
      <w:pPr>
        <w:pStyle w:val="ListParagraph"/>
        <w:numPr>
          <w:ilvl w:val="1"/>
          <w:numId w:val="54"/>
        </w:numPr>
        <w:tabs>
          <w:tab w:val="left" w:pos="1801"/>
        </w:tabs>
        <w:spacing w:before="136" w:line="223" w:lineRule="auto"/>
        <w:ind w:left="1801" w:right="969"/>
      </w:pPr>
      <w:r>
        <w:t>The</w:t>
      </w:r>
      <w:r>
        <w:rPr>
          <w:spacing w:val="-4"/>
        </w:rPr>
        <w:t xml:space="preserve"> </w:t>
      </w:r>
      <w:r>
        <w:t>assistant</w:t>
      </w:r>
      <w:r>
        <w:rPr>
          <w:spacing w:val="-4"/>
        </w:rPr>
        <w:t xml:space="preserve"> </w:t>
      </w:r>
      <w:r>
        <w:t>director</w:t>
      </w:r>
      <w:r>
        <w:rPr>
          <w:spacing w:val="-4"/>
        </w:rPr>
        <w:t xml:space="preserve"> </w:t>
      </w:r>
      <w:r>
        <w:t>and</w:t>
      </w:r>
      <w:r>
        <w:rPr>
          <w:spacing w:val="-4"/>
        </w:rPr>
        <w:t xml:space="preserve"> </w:t>
      </w:r>
      <w:r>
        <w:t>first</w:t>
      </w:r>
      <w:r>
        <w:rPr>
          <w:spacing w:val="-4"/>
        </w:rPr>
        <w:t xml:space="preserve"> </w:t>
      </w:r>
      <w:r>
        <w:t>partner</w:t>
      </w:r>
      <w:r>
        <w:rPr>
          <w:spacing w:val="-4"/>
        </w:rPr>
        <w:t xml:space="preserve"> </w:t>
      </w:r>
      <w:r>
        <w:t>(audit</w:t>
      </w:r>
      <w:r>
        <w:rPr>
          <w:spacing w:val="-4"/>
        </w:rPr>
        <w:t xml:space="preserve"> </w:t>
      </w:r>
      <w:r>
        <w:t>director)</w:t>
      </w:r>
      <w:r>
        <w:rPr>
          <w:spacing w:val="-4"/>
        </w:rPr>
        <w:t xml:space="preserve"> </w:t>
      </w:r>
      <w:r>
        <w:t>should</w:t>
      </w:r>
      <w:r>
        <w:rPr>
          <w:spacing w:val="-4"/>
        </w:rPr>
        <w:t xml:space="preserve"> </w:t>
      </w:r>
      <w:r>
        <w:t>review</w:t>
      </w:r>
      <w:r>
        <w:rPr>
          <w:spacing w:val="-5"/>
        </w:rPr>
        <w:t xml:space="preserve"> </w:t>
      </w:r>
      <w:r>
        <w:t>sections</w:t>
      </w:r>
      <w:r>
        <w:rPr>
          <w:spacing w:val="-4"/>
        </w:rPr>
        <w:t xml:space="preserve"> </w:t>
      </w:r>
      <w:r>
        <w:t>I</w:t>
      </w:r>
      <w:r>
        <w:rPr>
          <w:spacing w:val="-4"/>
        </w:rPr>
        <w:t xml:space="preserve"> </w:t>
      </w:r>
      <w:r>
        <w:t>through VII and then sign in section VII.</w:t>
      </w:r>
    </w:p>
    <w:p w14:paraId="0DFDCCF6" w14:textId="77777777" w:rsidR="00046465" w:rsidRDefault="008134EB">
      <w:pPr>
        <w:pStyle w:val="BodyText"/>
        <w:spacing w:before="124"/>
        <w:ind w:left="1441" w:right="436" w:hanging="1"/>
      </w:pPr>
      <w:r>
        <w:t>Section</w:t>
      </w:r>
      <w:r>
        <w:rPr>
          <w:spacing w:val="-3"/>
        </w:rPr>
        <w:t xml:space="preserve"> </w:t>
      </w:r>
      <w:r>
        <w:t>V,</w:t>
      </w:r>
      <w:r>
        <w:rPr>
          <w:spacing w:val="-3"/>
        </w:rPr>
        <w:t xml:space="preserve"> </w:t>
      </w:r>
      <w:r>
        <w:t>GAO’s</w:t>
      </w:r>
      <w:r>
        <w:rPr>
          <w:spacing w:val="-3"/>
        </w:rPr>
        <w:t xml:space="preserve"> </w:t>
      </w:r>
      <w:r>
        <w:t>Quality</w:t>
      </w:r>
      <w:r>
        <w:rPr>
          <w:spacing w:val="-3"/>
        </w:rPr>
        <w:t xml:space="preserve"> </w:t>
      </w:r>
      <w:r>
        <w:t>Control,</w:t>
      </w:r>
      <w:r>
        <w:rPr>
          <w:spacing w:val="-3"/>
        </w:rPr>
        <w:t xml:space="preserve"> </w:t>
      </w:r>
      <w:r>
        <w:t>is</w:t>
      </w:r>
      <w:r>
        <w:rPr>
          <w:spacing w:val="-4"/>
        </w:rPr>
        <w:t xml:space="preserve"> </w:t>
      </w:r>
      <w:r>
        <w:t>intended</w:t>
      </w:r>
      <w:r>
        <w:rPr>
          <w:spacing w:val="-3"/>
        </w:rPr>
        <w:t xml:space="preserve"> </w:t>
      </w:r>
      <w:r>
        <w:t>for</w:t>
      </w:r>
      <w:r>
        <w:rPr>
          <w:spacing w:val="-4"/>
        </w:rPr>
        <w:t xml:space="preserve"> </w:t>
      </w:r>
      <w:r>
        <w:t>GAO</w:t>
      </w:r>
      <w:r>
        <w:rPr>
          <w:spacing w:val="-4"/>
        </w:rPr>
        <w:t xml:space="preserve"> </w:t>
      </w:r>
      <w:r>
        <w:t>auditors</w:t>
      </w:r>
      <w:r>
        <w:rPr>
          <w:spacing w:val="-2"/>
        </w:rPr>
        <w:t xml:space="preserve"> </w:t>
      </w:r>
      <w:r>
        <w:t>only.</w:t>
      </w:r>
      <w:r>
        <w:rPr>
          <w:spacing w:val="-3"/>
        </w:rPr>
        <w:t xml:space="preserve"> </w:t>
      </w:r>
      <w:r>
        <w:t>Non-GAO</w:t>
      </w:r>
      <w:r>
        <w:rPr>
          <w:spacing w:val="-4"/>
        </w:rPr>
        <w:t xml:space="preserve"> </w:t>
      </w:r>
      <w:r>
        <w:t>auditors</w:t>
      </w:r>
      <w:r>
        <w:rPr>
          <w:spacing w:val="-3"/>
        </w:rPr>
        <w:t xml:space="preserve"> </w:t>
      </w:r>
      <w:r>
        <w:t>may adapt this section to their respective audit organizations as appropriate.</w:t>
      </w:r>
    </w:p>
    <w:p w14:paraId="0DFDCCF7" w14:textId="77777777" w:rsidR="00046465" w:rsidRDefault="008134EB">
      <w:pPr>
        <w:pStyle w:val="ListParagraph"/>
        <w:numPr>
          <w:ilvl w:val="0"/>
          <w:numId w:val="54"/>
        </w:numPr>
        <w:tabs>
          <w:tab w:val="left" w:pos="1441"/>
        </w:tabs>
        <w:spacing w:before="119"/>
      </w:pPr>
      <w:r>
        <w:rPr>
          <w:b/>
        </w:rPr>
        <w:t>On</w:t>
      </w:r>
      <w:r>
        <w:rPr>
          <w:b/>
          <w:spacing w:val="-6"/>
        </w:rPr>
        <w:t xml:space="preserve"> </w:t>
      </w:r>
      <w:r>
        <w:rPr>
          <w:b/>
        </w:rPr>
        <w:t>or</w:t>
      </w:r>
      <w:r>
        <w:rPr>
          <w:b/>
          <w:spacing w:val="-7"/>
        </w:rPr>
        <w:t xml:space="preserve"> </w:t>
      </w:r>
      <w:r>
        <w:rPr>
          <w:b/>
        </w:rPr>
        <w:t>before</w:t>
      </w:r>
      <w:r>
        <w:rPr>
          <w:b/>
          <w:spacing w:val="-5"/>
        </w:rPr>
        <w:t xml:space="preserve"> </w:t>
      </w:r>
      <w:r>
        <w:rPr>
          <w:b/>
        </w:rPr>
        <w:t>the</w:t>
      </w:r>
      <w:r>
        <w:rPr>
          <w:b/>
          <w:spacing w:val="-6"/>
        </w:rPr>
        <w:t xml:space="preserve"> </w:t>
      </w:r>
      <w:r>
        <w:rPr>
          <w:b/>
        </w:rPr>
        <w:t>report</w:t>
      </w:r>
      <w:r>
        <w:rPr>
          <w:b/>
          <w:spacing w:val="-5"/>
        </w:rPr>
        <w:t xml:space="preserve"> </w:t>
      </w:r>
      <w:r>
        <w:rPr>
          <w:b/>
        </w:rPr>
        <w:t>release</w:t>
      </w:r>
      <w:r>
        <w:rPr>
          <w:b/>
          <w:spacing w:val="-6"/>
        </w:rPr>
        <w:t xml:space="preserve"> </w:t>
      </w:r>
      <w:r>
        <w:rPr>
          <w:b/>
          <w:spacing w:val="-2"/>
        </w:rPr>
        <w:t>date</w:t>
      </w:r>
      <w:r>
        <w:rPr>
          <w:spacing w:val="-2"/>
        </w:rPr>
        <w:t>:</w:t>
      </w:r>
    </w:p>
    <w:p w14:paraId="0DFDCCF8" w14:textId="77777777" w:rsidR="00046465" w:rsidRDefault="008134EB">
      <w:pPr>
        <w:pStyle w:val="ListParagraph"/>
        <w:numPr>
          <w:ilvl w:val="1"/>
          <w:numId w:val="54"/>
        </w:numPr>
        <w:tabs>
          <w:tab w:val="left" w:pos="1800"/>
        </w:tabs>
        <w:spacing w:before="119"/>
        <w:ind w:hanging="359"/>
      </w:pPr>
      <w:r>
        <w:t>The</w:t>
      </w:r>
      <w:r>
        <w:rPr>
          <w:spacing w:val="-6"/>
        </w:rPr>
        <w:t xml:space="preserve"> </w:t>
      </w:r>
      <w:r>
        <w:t>AIC</w:t>
      </w:r>
      <w:r>
        <w:rPr>
          <w:spacing w:val="-7"/>
        </w:rPr>
        <w:t xml:space="preserve"> </w:t>
      </w:r>
      <w:r>
        <w:t>should</w:t>
      </w:r>
      <w:r>
        <w:rPr>
          <w:spacing w:val="-5"/>
        </w:rPr>
        <w:t xml:space="preserve"> </w:t>
      </w:r>
      <w:r>
        <w:t>complete</w:t>
      </w:r>
      <w:r>
        <w:rPr>
          <w:spacing w:val="-6"/>
        </w:rPr>
        <w:t xml:space="preserve"> </w:t>
      </w:r>
      <w:r>
        <w:t>and</w:t>
      </w:r>
      <w:r>
        <w:rPr>
          <w:spacing w:val="-6"/>
        </w:rPr>
        <w:t xml:space="preserve"> </w:t>
      </w:r>
      <w:r>
        <w:t>then</w:t>
      </w:r>
      <w:r>
        <w:rPr>
          <w:spacing w:val="-5"/>
        </w:rPr>
        <w:t xml:space="preserve"> </w:t>
      </w:r>
      <w:r>
        <w:t>sign</w:t>
      </w:r>
      <w:r>
        <w:rPr>
          <w:spacing w:val="-6"/>
        </w:rPr>
        <w:t xml:space="preserve"> </w:t>
      </w:r>
      <w:r>
        <w:t>in</w:t>
      </w:r>
      <w:r>
        <w:rPr>
          <w:spacing w:val="-5"/>
        </w:rPr>
        <w:t xml:space="preserve"> </w:t>
      </w:r>
      <w:r>
        <w:t>section</w:t>
      </w:r>
      <w:r>
        <w:rPr>
          <w:spacing w:val="-6"/>
        </w:rPr>
        <w:t xml:space="preserve"> </w:t>
      </w:r>
      <w:r>
        <w:rPr>
          <w:spacing w:val="-2"/>
        </w:rPr>
        <w:t>VIII.</w:t>
      </w:r>
    </w:p>
    <w:p w14:paraId="0DFDCCF9" w14:textId="77777777" w:rsidR="00046465" w:rsidRDefault="008134EB">
      <w:pPr>
        <w:pStyle w:val="ListParagraph"/>
        <w:numPr>
          <w:ilvl w:val="1"/>
          <w:numId w:val="54"/>
        </w:numPr>
        <w:tabs>
          <w:tab w:val="left" w:pos="1800"/>
        </w:tabs>
        <w:spacing w:before="100"/>
        <w:ind w:hanging="359"/>
      </w:pPr>
      <w:r>
        <w:t>The</w:t>
      </w:r>
      <w:r>
        <w:rPr>
          <w:spacing w:val="-6"/>
        </w:rPr>
        <w:t xml:space="preserve"> </w:t>
      </w:r>
      <w:r>
        <w:t>assistant</w:t>
      </w:r>
      <w:r>
        <w:rPr>
          <w:spacing w:val="-6"/>
        </w:rPr>
        <w:t xml:space="preserve"> </w:t>
      </w:r>
      <w:r>
        <w:t>director</w:t>
      </w:r>
      <w:r>
        <w:rPr>
          <w:spacing w:val="-6"/>
        </w:rPr>
        <w:t xml:space="preserve"> </w:t>
      </w:r>
      <w:r>
        <w:t>and</w:t>
      </w:r>
      <w:r>
        <w:rPr>
          <w:spacing w:val="-5"/>
        </w:rPr>
        <w:t xml:space="preserve"> </w:t>
      </w:r>
      <w:r>
        <w:t>first</w:t>
      </w:r>
      <w:r>
        <w:rPr>
          <w:spacing w:val="-6"/>
        </w:rPr>
        <w:t xml:space="preserve"> </w:t>
      </w:r>
      <w:r>
        <w:t>partner</w:t>
      </w:r>
      <w:r>
        <w:rPr>
          <w:spacing w:val="-6"/>
        </w:rPr>
        <w:t xml:space="preserve"> </w:t>
      </w:r>
      <w:r>
        <w:t>should</w:t>
      </w:r>
      <w:r>
        <w:rPr>
          <w:spacing w:val="-6"/>
        </w:rPr>
        <w:t xml:space="preserve"> </w:t>
      </w:r>
      <w:r>
        <w:t>review</w:t>
      </w:r>
      <w:r>
        <w:rPr>
          <w:spacing w:val="-6"/>
        </w:rPr>
        <w:t xml:space="preserve"> </w:t>
      </w:r>
      <w:r>
        <w:t>and</w:t>
      </w:r>
      <w:r>
        <w:rPr>
          <w:spacing w:val="-6"/>
        </w:rPr>
        <w:t xml:space="preserve"> </w:t>
      </w:r>
      <w:r>
        <w:t>then</w:t>
      </w:r>
      <w:r>
        <w:rPr>
          <w:spacing w:val="-6"/>
        </w:rPr>
        <w:t xml:space="preserve"> </w:t>
      </w:r>
      <w:r>
        <w:t>sign</w:t>
      </w:r>
      <w:r>
        <w:rPr>
          <w:spacing w:val="-6"/>
        </w:rPr>
        <w:t xml:space="preserve"> </w:t>
      </w:r>
      <w:r>
        <w:t>in</w:t>
      </w:r>
      <w:r>
        <w:rPr>
          <w:spacing w:val="-6"/>
        </w:rPr>
        <w:t xml:space="preserve"> </w:t>
      </w:r>
      <w:r>
        <w:t>section</w:t>
      </w:r>
      <w:r>
        <w:rPr>
          <w:spacing w:val="-6"/>
        </w:rPr>
        <w:t xml:space="preserve"> </w:t>
      </w:r>
      <w:r>
        <w:rPr>
          <w:spacing w:val="-2"/>
        </w:rPr>
        <w:t>VIII.</w:t>
      </w:r>
    </w:p>
    <w:p w14:paraId="0DFDCCFA" w14:textId="77777777" w:rsidR="00046465" w:rsidRDefault="008134EB">
      <w:pPr>
        <w:pStyle w:val="ListParagraph"/>
        <w:numPr>
          <w:ilvl w:val="1"/>
          <w:numId w:val="54"/>
        </w:numPr>
        <w:tabs>
          <w:tab w:val="left" w:pos="1801"/>
        </w:tabs>
        <w:spacing w:before="114" w:line="223" w:lineRule="auto"/>
        <w:ind w:left="1801" w:right="919"/>
      </w:pPr>
      <w:r>
        <w:t>The</w:t>
      </w:r>
      <w:r>
        <w:rPr>
          <w:spacing w:val="-3"/>
        </w:rPr>
        <w:t xml:space="preserve"> </w:t>
      </w:r>
      <w:r>
        <w:t>reviewer</w:t>
      </w:r>
      <w:r>
        <w:rPr>
          <w:spacing w:val="-3"/>
        </w:rPr>
        <w:t xml:space="preserve"> </w:t>
      </w:r>
      <w:r>
        <w:t>(second</w:t>
      </w:r>
      <w:r>
        <w:rPr>
          <w:spacing w:val="-3"/>
        </w:rPr>
        <w:t xml:space="preserve"> </w:t>
      </w:r>
      <w:r>
        <w:t>partner)</w:t>
      </w:r>
      <w:r>
        <w:rPr>
          <w:spacing w:val="-3"/>
        </w:rPr>
        <w:t xml:space="preserve"> </w:t>
      </w:r>
      <w:r>
        <w:t>should</w:t>
      </w:r>
      <w:r>
        <w:rPr>
          <w:spacing w:val="-3"/>
        </w:rPr>
        <w:t xml:space="preserve"> </w:t>
      </w:r>
      <w:r>
        <w:t>review</w:t>
      </w:r>
      <w:r>
        <w:rPr>
          <w:spacing w:val="-4"/>
        </w:rPr>
        <w:t xml:space="preserve"> </w:t>
      </w:r>
      <w:r>
        <w:t>all</w:t>
      </w:r>
      <w:r>
        <w:rPr>
          <w:spacing w:val="-4"/>
        </w:rPr>
        <w:t xml:space="preserve"> </w:t>
      </w:r>
      <w:r>
        <w:t>sections</w:t>
      </w:r>
      <w:r>
        <w:rPr>
          <w:spacing w:val="-4"/>
        </w:rPr>
        <w:t xml:space="preserve"> </w:t>
      </w:r>
      <w:r>
        <w:t>of</w:t>
      </w:r>
      <w:r>
        <w:rPr>
          <w:spacing w:val="-3"/>
        </w:rPr>
        <w:t xml:space="preserve"> </w:t>
      </w:r>
      <w:r>
        <w:t>this</w:t>
      </w:r>
      <w:r>
        <w:rPr>
          <w:spacing w:val="-3"/>
        </w:rPr>
        <w:t xml:space="preserve"> </w:t>
      </w:r>
      <w:r>
        <w:t>checklist</w:t>
      </w:r>
      <w:r>
        <w:rPr>
          <w:spacing w:val="-4"/>
        </w:rPr>
        <w:t xml:space="preserve"> </w:t>
      </w:r>
      <w:r>
        <w:t>and</w:t>
      </w:r>
      <w:r>
        <w:rPr>
          <w:spacing w:val="-3"/>
        </w:rPr>
        <w:t xml:space="preserve"> </w:t>
      </w:r>
      <w:r>
        <w:t>then</w:t>
      </w:r>
      <w:r>
        <w:rPr>
          <w:spacing w:val="-3"/>
        </w:rPr>
        <w:t xml:space="preserve"> </w:t>
      </w:r>
      <w:r>
        <w:t>sign in section IX.</w:t>
      </w:r>
    </w:p>
    <w:p w14:paraId="0DFDCCFB" w14:textId="77777777" w:rsidR="00046465" w:rsidRDefault="008134EB">
      <w:pPr>
        <w:pStyle w:val="BodyText"/>
        <w:spacing w:before="123"/>
        <w:ind w:left="1081" w:right="755" w:hanging="1"/>
      </w:pPr>
      <w:r>
        <w:t>The detailed questions in this checklist are to be answered “yes,” “no,” or “N/A.” For most questions, “no” answers indicate departures from professional standards or the FAM. The auditor</w:t>
      </w:r>
      <w:r>
        <w:rPr>
          <w:spacing w:val="-1"/>
        </w:rPr>
        <w:t xml:space="preserve"> </w:t>
      </w:r>
      <w:r>
        <w:t>should</w:t>
      </w:r>
      <w:r>
        <w:rPr>
          <w:spacing w:val="-1"/>
        </w:rPr>
        <w:t xml:space="preserve"> </w:t>
      </w:r>
      <w:r>
        <w:t>explain</w:t>
      </w:r>
      <w:r>
        <w:rPr>
          <w:spacing w:val="-2"/>
        </w:rPr>
        <w:t xml:space="preserve"> </w:t>
      </w:r>
      <w:r>
        <w:t>all</w:t>
      </w:r>
      <w:r>
        <w:rPr>
          <w:spacing w:val="-2"/>
        </w:rPr>
        <w:t xml:space="preserve"> </w:t>
      </w:r>
      <w:r>
        <w:t>“no” answers</w:t>
      </w:r>
      <w:r>
        <w:rPr>
          <w:spacing w:val="-1"/>
        </w:rPr>
        <w:t xml:space="preserve"> </w:t>
      </w:r>
      <w:r>
        <w:t>in</w:t>
      </w:r>
      <w:r>
        <w:rPr>
          <w:spacing w:val="-1"/>
        </w:rPr>
        <w:t xml:space="preserve"> </w:t>
      </w:r>
      <w:r>
        <w:t>section</w:t>
      </w:r>
      <w:r>
        <w:rPr>
          <w:spacing w:val="-2"/>
        </w:rPr>
        <w:t xml:space="preserve"> </w:t>
      </w:r>
      <w:r>
        <w:t>VI</w:t>
      </w:r>
      <w:r>
        <w:rPr>
          <w:spacing w:val="-1"/>
        </w:rPr>
        <w:t xml:space="preserve"> </w:t>
      </w:r>
      <w:r>
        <w:t>of</w:t>
      </w:r>
      <w:r>
        <w:rPr>
          <w:spacing w:val="-1"/>
        </w:rPr>
        <w:t xml:space="preserve"> </w:t>
      </w:r>
      <w:r>
        <w:t>this</w:t>
      </w:r>
      <w:r>
        <w:rPr>
          <w:spacing w:val="-1"/>
        </w:rPr>
        <w:t xml:space="preserve"> </w:t>
      </w:r>
      <w:r>
        <w:t>checklist</w:t>
      </w:r>
      <w:r>
        <w:rPr>
          <w:spacing w:val="-1"/>
        </w:rPr>
        <w:t xml:space="preserve"> </w:t>
      </w:r>
      <w:r>
        <w:t>and</w:t>
      </w:r>
      <w:r>
        <w:rPr>
          <w:spacing w:val="-1"/>
        </w:rPr>
        <w:t xml:space="preserve"> </w:t>
      </w:r>
      <w:r>
        <w:t>determine</w:t>
      </w:r>
      <w:r>
        <w:rPr>
          <w:spacing w:val="-1"/>
        </w:rPr>
        <w:t xml:space="preserve"> </w:t>
      </w:r>
      <w:r>
        <w:t>their</w:t>
      </w:r>
      <w:r>
        <w:rPr>
          <w:spacing w:val="-1"/>
        </w:rPr>
        <w:t xml:space="preserve"> </w:t>
      </w:r>
      <w:r>
        <w:t>effect and</w:t>
      </w:r>
      <w:r>
        <w:rPr>
          <w:spacing w:val="-3"/>
        </w:rPr>
        <w:t xml:space="preserve"> </w:t>
      </w:r>
      <w:r>
        <w:t>significance,</w:t>
      </w:r>
      <w:r>
        <w:rPr>
          <w:spacing w:val="-3"/>
        </w:rPr>
        <w:t xml:space="preserve"> </w:t>
      </w:r>
      <w:r>
        <w:t>including</w:t>
      </w:r>
      <w:r>
        <w:rPr>
          <w:spacing w:val="-3"/>
        </w:rPr>
        <w:t xml:space="preserve"> </w:t>
      </w:r>
      <w:r>
        <w:t>any</w:t>
      </w:r>
      <w:r>
        <w:rPr>
          <w:spacing w:val="-3"/>
        </w:rPr>
        <w:t xml:space="preserve"> </w:t>
      </w:r>
      <w:r>
        <w:t>effect</w:t>
      </w:r>
      <w:r>
        <w:rPr>
          <w:spacing w:val="-4"/>
        </w:rPr>
        <w:t xml:space="preserve"> </w:t>
      </w:r>
      <w:r>
        <w:t>on</w:t>
      </w:r>
      <w:r>
        <w:rPr>
          <w:spacing w:val="-3"/>
        </w:rPr>
        <w:t xml:space="preserve"> </w:t>
      </w:r>
      <w:r>
        <w:t>the</w:t>
      </w:r>
      <w:r>
        <w:rPr>
          <w:spacing w:val="-3"/>
        </w:rPr>
        <w:t xml:space="preserve"> </w:t>
      </w:r>
      <w:r>
        <w:t>auditor’s</w:t>
      </w:r>
      <w:r>
        <w:rPr>
          <w:spacing w:val="-3"/>
        </w:rPr>
        <w:t xml:space="preserve"> </w:t>
      </w:r>
      <w:r>
        <w:t>report.</w:t>
      </w:r>
      <w:r>
        <w:rPr>
          <w:spacing w:val="-4"/>
        </w:rPr>
        <w:t xml:space="preserve"> </w:t>
      </w:r>
      <w:r>
        <w:t>Auditors</w:t>
      </w:r>
      <w:r>
        <w:rPr>
          <w:spacing w:val="-3"/>
        </w:rPr>
        <w:t xml:space="preserve"> </w:t>
      </w:r>
      <w:r>
        <w:t>should</w:t>
      </w:r>
      <w:r>
        <w:rPr>
          <w:spacing w:val="-3"/>
        </w:rPr>
        <w:t xml:space="preserve"> </w:t>
      </w:r>
      <w:r>
        <w:t>enter</w:t>
      </w:r>
      <w:r>
        <w:rPr>
          <w:spacing w:val="-2"/>
        </w:rPr>
        <w:t xml:space="preserve"> </w:t>
      </w:r>
      <w:r>
        <w:t>“N/A”</w:t>
      </w:r>
      <w:r>
        <w:rPr>
          <w:spacing w:val="-3"/>
        </w:rPr>
        <w:t xml:space="preserve"> </w:t>
      </w:r>
      <w:r>
        <w:t>when an item does not exist or when the item exists but is judged to be immaterial. Because the checklist is designed for a wide range of financial statement audits, there may be many “N/A” answers. If the reason that a question is not applicable is not obvious, the auditor should document the reason on the checklist or in an attachment. It is not necessary to create additional documentation to support “yes” answers, but a “Ref.” column is provided for the auditor to insert a reference to related audit documentation. For most questions, there is a reference to professional literature that provides more detail.</w:t>
      </w:r>
    </w:p>
    <w:p w14:paraId="0DFDCCFC" w14:textId="77777777" w:rsidR="00046465" w:rsidRDefault="008134EB">
      <w:pPr>
        <w:spacing w:before="180"/>
        <w:ind w:left="1081"/>
        <w:rPr>
          <w:b/>
        </w:rPr>
      </w:pPr>
      <w:r>
        <w:rPr>
          <w:b/>
          <w:spacing w:val="-2"/>
          <w:u w:val="single"/>
        </w:rPr>
        <w:t>References</w:t>
      </w:r>
    </w:p>
    <w:p w14:paraId="0DFDCCFD" w14:textId="77777777" w:rsidR="00046465" w:rsidRDefault="008134EB">
      <w:pPr>
        <w:tabs>
          <w:tab w:val="left" w:leader="dot" w:pos="9812"/>
        </w:tabs>
        <w:spacing w:before="180"/>
        <w:ind w:left="1080"/>
      </w:pPr>
      <w:r>
        <w:rPr>
          <w:i/>
        </w:rPr>
        <w:t>U.S.</w:t>
      </w:r>
      <w:r>
        <w:rPr>
          <w:i/>
          <w:spacing w:val="-13"/>
        </w:rPr>
        <w:t xml:space="preserve"> </w:t>
      </w:r>
      <w:r>
        <w:rPr>
          <w:i/>
        </w:rPr>
        <w:t>Auditing</w:t>
      </w:r>
      <w:r>
        <w:rPr>
          <w:i/>
          <w:spacing w:val="-12"/>
        </w:rPr>
        <w:t xml:space="preserve"> </w:t>
      </w:r>
      <w:r>
        <w:rPr>
          <w:i/>
        </w:rPr>
        <w:t>Standards—AICPA</w:t>
      </w:r>
      <w:r>
        <w:rPr>
          <w:i/>
          <w:spacing w:val="-13"/>
        </w:rPr>
        <w:t xml:space="preserve"> </w:t>
      </w:r>
      <w:r>
        <w:rPr>
          <w:i/>
          <w:spacing w:val="-2"/>
        </w:rPr>
        <w:t>[Clarified]</w:t>
      </w:r>
      <w:r>
        <w:rPr>
          <w:i/>
        </w:rPr>
        <w:tab/>
      </w:r>
      <w:r>
        <w:rPr>
          <w:spacing w:val="-2"/>
        </w:rPr>
        <w:t>AU-</w:t>
      </w:r>
      <w:r>
        <w:rPr>
          <w:spacing w:val="-10"/>
        </w:rPr>
        <w:t>C</w:t>
      </w:r>
    </w:p>
    <w:p w14:paraId="0DFDCCFE" w14:textId="77777777" w:rsidR="00046465" w:rsidRDefault="008134EB">
      <w:pPr>
        <w:tabs>
          <w:tab w:val="left" w:leader="dot" w:pos="9885"/>
        </w:tabs>
        <w:ind w:left="1079"/>
      </w:pPr>
      <w:r>
        <w:t>GAO/CIGIE</w:t>
      </w:r>
      <w:r>
        <w:rPr>
          <w:spacing w:val="-11"/>
        </w:rPr>
        <w:t xml:space="preserve"> </w:t>
      </w:r>
      <w:r>
        <w:rPr>
          <w:i/>
        </w:rPr>
        <w:t>Financial</w:t>
      </w:r>
      <w:r>
        <w:rPr>
          <w:i/>
          <w:spacing w:val="-10"/>
        </w:rPr>
        <w:t xml:space="preserve"> </w:t>
      </w:r>
      <w:r>
        <w:rPr>
          <w:i/>
        </w:rPr>
        <w:t>Audit</w:t>
      </w:r>
      <w:r>
        <w:rPr>
          <w:i/>
          <w:spacing w:val="-10"/>
        </w:rPr>
        <w:t xml:space="preserve"> </w:t>
      </w:r>
      <w:r>
        <w:rPr>
          <w:i/>
          <w:spacing w:val="-2"/>
        </w:rPr>
        <w:t>Manual</w:t>
      </w:r>
      <w:r>
        <w:rPr>
          <w:i/>
        </w:rPr>
        <w:tab/>
      </w:r>
      <w:r>
        <w:rPr>
          <w:spacing w:val="-5"/>
        </w:rPr>
        <w:t>FAM</w:t>
      </w:r>
    </w:p>
    <w:p w14:paraId="0DFDCCFF" w14:textId="77777777" w:rsidR="00046465" w:rsidRDefault="008134EB">
      <w:pPr>
        <w:tabs>
          <w:tab w:val="left" w:leader="dot" w:pos="9567"/>
        </w:tabs>
        <w:ind w:left="1080"/>
      </w:pPr>
      <w:r>
        <w:rPr>
          <w:i/>
        </w:rPr>
        <w:t>Government</w:t>
      </w:r>
      <w:r>
        <w:rPr>
          <w:i/>
          <w:spacing w:val="-10"/>
        </w:rPr>
        <w:t xml:space="preserve"> </w:t>
      </w:r>
      <w:r>
        <w:rPr>
          <w:i/>
        </w:rPr>
        <w:t>Auditing</w:t>
      </w:r>
      <w:r>
        <w:rPr>
          <w:i/>
          <w:spacing w:val="-10"/>
        </w:rPr>
        <w:t xml:space="preserve"> </w:t>
      </w:r>
      <w:r>
        <w:rPr>
          <w:i/>
        </w:rPr>
        <w:t>Standards</w:t>
      </w:r>
      <w:r>
        <w:rPr>
          <w:i/>
          <w:spacing w:val="-10"/>
        </w:rPr>
        <w:t xml:space="preserve"> </w:t>
      </w:r>
      <w:r>
        <w:t>(2018</w:t>
      </w:r>
      <w:r>
        <w:rPr>
          <w:spacing w:val="-9"/>
        </w:rPr>
        <w:t xml:space="preserve"> </w:t>
      </w:r>
      <w:r>
        <w:rPr>
          <w:spacing w:val="-2"/>
        </w:rPr>
        <w:t>revision)</w:t>
      </w:r>
      <w:r>
        <w:tab/>
      </w:r>
      <w:r>
        <w:rPr>
          <w:spacing w:val="-2"/>
        </w:rPr>
        <w:t>GAGAS</w:t>
      </w:r>
    </w:p>
    <w:p w14:paraId="0DFDCD00" w14:textId="77777777" w:rsidR="00046465" w:rsidRDefault="00046465">
      <w:pPr>
        <w:sectPr w:rsidR="00046465">
          <w:headerReference w:type="default" r:id="rId251"/>
          <w:footerReference w:type="default" r:id="rId252"/>
          <w:pgSz w:w="12240" w:h="15840"/>
          <w:pgMar w:top="1340" w:right="720" w:bottom="940" w:left="360" w:header="721" w:footer="757" w:gutter="0"/>
          <w:pgNumType w:start="1"/>
          <w:cols w:space="720"/>
        </w:sectPr>
      </w:pPr>
    </w:p>
    <w:p w14:paraId="0DFDCD01" w14:textId="77777777" w:rsidR="00046465" w:rsidRDefault="008134EB">
      <w:pPr>
        <w:pStyle w:val="Heading4"/>
        <w:ind w:left="1080"/>
      </w:pPr>
      <w:bookmarkStart w:id="412" w:name="Section_I:_Planning_and_Risk_Assessment"/>
      <w:bookmarkEnd w:id="412"/>
      <w:r>
        <w:lastRenderedPageBreak/>
        <w:t>Section</w:t>
      </w:r>
      <w:r>
        <w:rPr>
          <w:spacing w:val="-10"/>
        </w:rPr>
        <w:t xml:space="preserve"> </w:t>
      </w:r>
      <w:r>
        <w:t>I:</w:t>
      </w:r>
      <w:r>
        <w:rPr>
          <w:spacing w:val="-8"/>
        </w:rPr>
        <w:t xml:space="preserve"> </w:t>
      </w:r>
      <w:r>
        <w:t>Planning</w:t>
      </w:r>
      <w:r>
        <w:rPr>
          <w:spacing w:val="-9"/>
        </w:rPr>
        <w:t xml:space="preserve"> </w:t>
      </w:r>
      <w:r>
        <w:t>and</w:t>
      </w:r>
      <w:r>
        <w:rPr>
          <w:spacing w:val="-9"/>
        </w:rPr>
        <w:t xml:space="preserve"> </w:t>
      </w:r>
      <w:r>
        <w:t>Risk</w:t>
      </w:r>
      <w:r>
        <w:rPr>
          <w:spacing w:val="-8"/>
        </w:rPr>
        <w:t xml:space="preserve"> </w:t>
      </w:r>
      <w:r>
        <w:rPr>
          <w:spacing w:val="-2"/>
        </w:rPr>
        <w:t>Assessment</w:t>
      </w:r>
    </w:p>
    <w:p w14:paraId="0DFDCD02" w14:textId="77777777" w:rsidR="00046465" w:rsidRDefault="00046465">
      <w:pPr>
        <w:pStyle w:val="BodyText"/>
        <w:spacing w:before="7"/>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09"/>
      </w:tblGrid>
      <w:tr w:rsidR="00046465" w14:paraId="0DFDCD09" w14:textId="77777777">
        <w:trPr>
          <w:trHeight w:val="938"/>
        </w:trPr>
        <w:tc>
          <w:tcPr>
            <w:tcW w:w="7380" w:type="dxa"/>
            <w:tcBorders>
              <w:bottom w:val="single" w:sz="6" w:space="0" w:color="000000"/>
              <w:right w:val="single" w:sz="6" w:space="0" w:color="000000"/>
            </w:tcBorders>
            <w:shd w:val="clear" w:color="auto" w:fill="A6A6A6"/>
          </w:tcPr>
          <w:p w14:paraId="0DFDCD03" w14:textId="77777777" w:rsidR="00046465" w:rsidRDefault="00046465">
            <w:pPr>
              <w:pStyle w:val="TableParagraph"/>
              <w:spacing w:before="267"/>
              <w:rPr>
                <w:b/>
                <w:sz w:val="24"/>
              </w:rPr>
            </w:pPr>
          </w:p>
          <w:p w14:paraId="0DFDCD04" w14:textId="77777777" w:rsidR="00046465" w:rsidRDefault="008134EB">
            <w:pPr>
              <w:pStyle w:val="TableParagraph"/>
              <w:ind w:left="123"/>
              <w:rPr>
                <w:b/>
                <w:sz w:val="24"/>
              </w:rPr>
            </w:pPr>
            <w:r>
              <w:rPr>
                <w:b/>
                <w:sz w:val="24"/>
              </w:rPr>
              <w:t>Section</w:t>
            </w:r>
            <w:r>
              <w:rPr>
                <w:b/>
                <w:spacing w:val="-3"/>
                <w:sz w:val="24"/>
              </w:rPr>
              <w:t xml:space="preserve"> </w:t>
            </w:r>
            <w:r>
              <w:rPr>
                <w:b/>
                <w:sz w:val="24"/>
              </w:rPr>
              <w:t>I:</w:t>
            </w:r>
            <w:r>
              <w:rPr>
                <w:b/>
                <w:spacing w:val="-4"/>
                <w:sz w:val="24"/>
              </w:rPr>
              <w:t xml:space="preserve"> </w:t>
            </w:r>
            <w:r>
              <w:rPr>
                <w:b/>
                <w:sz w:val="24"/>
              </w:rPr>
              <w:t>Planning</w:t>
            </w:r>
            <w:r>
              <w:rPr>
                <w:b/>
                <w:spacing w:val="-2"/>
                <w:sz w:val="24"/>
              </w:rPr>
              <w:t xml:space="preserve"> </w:t>
            </w:r>
            <w:r>
              <w:rPr>
                <w:b/>
                <w:sz w:val="24"/>
              </w:rPr>
              <w:t>and</w:t>
            </w:r>
            <w:r>
              <w:rPr>
                <w:b/>
                <w:spacing w:val="-3"/>
                <w:sz w:val="24"/>
              </w:rPr>
              <w:t xml:space="preserve"> </w:t>
            </w:r>
            <w:r>
              <w:rPr>
                <w:b/>
                <w:sz w:val="24"/>
              </w:rPr>
              <w:t>Risk</w:t>
            </w:r>
            <w:r>
              <w:rPr>
                <w:b/>
                <w:spacing w:val="-2"/>
                <w:sz w:val="24"/>
              </w:rPr>
              <w:t xml:space="preserve"> Assessment</w:t>
            </w:r>
          </w:p>
        </w:tc>
        <w:tc>
          <w:tcPr>
            <w:tcW w:w="810" w:type="dxa"/>
            <w:tcBorders>
              <w:left w:val="single" w:sz="6" w:space="0" w:color="000000"/>
              <w:bottom w:val="single" w:sz="6" w:space="0" w:color="000000"/>
              <w:right w:val="single" w:sz="6" w:space="0" w:color="000000"/>
            </w:tcBorders>
            <w:shd w:val="clear" w:color="auto" w:fill="A6A6A6"/>
          </w:tcPr>
          <w:p w14:paraId="0DFDCD05" w14:textId="77777777" w:rsidR="00046465" w:rsidRDefault="008134EB">
            <w:pPr>
              <w:pStyle w:val="TableParagraph"/>
              <w:spacing w:before="121"/>
              <w:ind w:left="138" w:right="201"/>
              <w:jc w:val="both"/>
              <w:rPr>
                <w:b/>
              </w:rPr>
            </w:pPr>
            <w:r>
              <w:rPr>
                <w:b/>
                <w:spacing w:val="-4"/>
              </w:rPr>
              <w:t>Yes, No,* N/A</w:t>
            </w:r>
          </w:p>
        </w:tc>
        <w:tc>
          <w:tcPr>
            <w:tcW w:w="1309" w:type="dxa"/>
            <w:tcBorders>
              <w:left w:val="single" w:sz="6" w:space="0" w:color="000000"/>
              <w:bottom w:val="single" w:sz="6" w:space="0" w:color="000000"/>
            </w:tcBorders>
            <w:shd w:val="clear" w:color="auto" w:fill="A6A6A6"/>
          </w:tcPr>
          <w:p w14:paraId="0DFDCD06" w14:textId="77777777" w:rsidR="00046465" w:rsidRDefault="00046465">
            <w:pPr>
              <w:pStyle w:val="TableParagraph"/>
              <w:rPr>
                <w:b/>
              </w:rPr>
            </w:pPr>
          </w:p>
          <w:p w14:paraId="0DFDCD07" w14:textId="77777777" w:rsidR="00046465" w:rsidRDefault="00046465">
            <w:pPr>
              <w:pStyle w:val="TableParagraph"/>
              <w:spacing w:before="120"/>
              <w:rPr>
                <w:b/>
              </w:rPr>
            </w:pPr>
          </w:p>
          <w:p w14:paraId="0DFDCD08" w14:textId="77777777" w:rsidR="00046465" w:rsidRDefault="008134EB">
            <w:pPr>
              <w:pStyle w:val="TableParagraph"/>
              <w:ind w:left="214"/>
              <w:rPr>
                <w:b/>
              </w:rPr>
            </w:pPr>
            <w:r>
              <w:rPr>
                <w:b/>
              </w:rPr>
              <w:t>Doc.</w:t>
            </w:r>
            <w:r>
              <w:rPr>
                <w:b/>
                <w:spacing w:val="-6"/>
              </w:rPr>
              <w:t xml:space="preserve"> </w:t>
            </w:r>
            <w:r>
              <w:rPr>
                <w:b/>
                <w:spacing w:val="-4"/>
              </w:rPr>
              <w:t>ref.</w:t>
            </w:r>
          </w:p>
        </w:tc>
      </w:tr>
      <w:tr w:rsidR="00046465" w14:paraId="0DFDCD0D" w14:textId="77777777">
        <w:trPr>
          <w:trHeight w:val="492"/>
        </w:trPr>
        <w:tc>
          <w:tcPr>
            <w:tcW w:w="7380" w:type="dxa"/>
            <w:tcBorders>
              <w:top w:val="single" w:sz="6" w:space="0" w:color="000000"/>
              <w:bottom w:val="single" w:sz="6" w:space="0" w:color="000000"/>
              <w:right w:val="single" w:sz="6" w:space="0" w:color="000000"/>
            </w:tcBorders>
          </w:tcPr>
          <w:p w14:paraId="0DFDCD0A" w14:textId="77777777" w:rsidR="00046465" w:rsidRDefault="008134EB">
            <w:pPr>
              <w:pStyle w:val="TableParagraph"/>
              <w:spacing w:before="119"/>
              <w:ind w:left="483"/>
            </w:pPr>
            <w:r>
              <w:t>1.</w:t>
            </w:r>
            <w:r>
              <w:rPr>
                <w:spacing w:val="73"/>
                <w:w w:val="150"/>
              </w:rPr>
              <w:t xml:space="preserve"> </w:t>
            </w:r>
            <w:r>
              <w:t>Has</w:t>
            </w:r>
            <w:r>
              <w:rPr>
                <w:spacing w:val="-4"/>
              </w:rPr>
              <w:t xml:space="preserve"> </w:t>
            </w:r>
            <w:r>
              <w:t>the</w:t>
            </w:r>
            <w:r>
              <w:rPr>
                <w:spacing w:val="-4"/>
              </w:rPr>
              <w:t xml:space="preserve"> </w:t>
            </w:r>
            <w:r>
              <w:t>auditor</w:t>
            </w:r>
            <w:r>
              <w:rPr>
                <w:spacing w:val="-4"/>
              </w:rPr>
              <w:t xml:space="preserve"> </w:t>
            </w:r>
            <w:r>
              <w:t>documented</w:t>
            </w:r>
            <w:r>
              <w:rPr>
                <w:spacing w:val="-4"/>
              </w:rPr>
              <w:t xml:space="preserve"> </w:t>
            </w:r>
            <w:r>
              <w:t>that</w:t>
            </w:r>
            <w:r>
              <w:rPr>
                <w:spacing w:val="-4"/>
              </w:rPr>
              <w:t xml:space="preserve"> </w:t>
            </w:r>
            <w:r>
              <w:t>it</w:t>
            </w:r>
            <w:r>
              <w:rPr>
                <w:spacing w:val="-3"/>
              </w:rPr>
              <w:t xml:space="preserve"> </w:t>
            </w:r>
            <w:r>
              <w:rPr>
                <w:spacing w:val="-5"/>
              </w:rPr>
              <w:t>has</w:t>
            </w:r>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14:paraId="0DFDCD0B"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shd w:val="clear" w:color="auto" w:fill="BEBEBE"/>
          </w:tcPr>
          <w:p w14:paraId="0DFDCD0C" w14:textId="77777777" w:rsidR="00046465" w:rsidRDefault="00046465">
            <w:pPr>
              <w:pStyle w:val="TableParagraph"/>
              <w:rPr>
                <w:rFonts w:ascii="Times New Roman"/>
              </w:rPr>
            </w:pPr>
          </w:p>
        </w:tc>
      </w:tr>
      <w:tr w:rsidR="00046465" w14:paraId="0DFDCD11" w14:textId="77777777">
        <w:trPr>
          <w:trHeight w:val="2010"/>
        </w:trPr>
        <w:tc>
          <w:tcPr>
            <w:tcW w:w="7380" w:type="dxa"/>
            <w:tcBorders>
              <w:top w:val="single" w:sz="6" w:space="0" w:color="000000"/>
              <w:bottom w:val="single" w:sz="6" w:space="0" w:color="000000"/>
              <w:right w:val="single" w:sz="6" w:space="0" w:color="000000"/>
            </w:tcBorders>
          </w:tcPr>
          <w:p w14:paraId="0DFDCD0E" w14:textId="77777777" w:rsidR="00046465" w:rsidRDefault="008134EB">
            <w:pPr>
              <w:pStyle w:val="TableParagraph"/>
              <w:spacing w:before="119"/>
              <w:ind w:left="1249" w:right="150" w:hanging="360"/>
            </w:pPr>
            <w:r>
              <w:t>a.</w:t>
            </w:r>
            <w:r>
              <w:rPr>
                <w:spacing w:val="80"/>
              </w:rPr>
              <w:t xml:space="preserve"> </w:t>
            </w:r>
            <w:r>
              <w:t>established an understanding with the entity’s management and, when appropriate, those charged with governance on the terms of the audit engagement, including the objectives and scope of the work; management’s responsibilities; auditors’</w:t>
            </w:r>
            <w:r>
              <w:rPr>
                <w:spacing w:val="-6"/>
              </w:rPr>
              <w:t xml:space="preserve"> </w:t>
            </w:r>
            <w:r>
              <w:t>responsibilities;</w:t>
            </w:r>
            <w:r>
              <w:rPr>
                <w:spacing w:val="-6"/>
              </w:rPr>
              <w:t xml:space="preserve"> </w:t>
            </w:r>
            <w:r>
              <w:t>and</w:t>
            </w:r>
            <w:r>
              <w:rPr>
                <w:spacing w:val="-6"/>
              </w:rPr>
              <w:t xml:space="preserve"> </w:t>
            </w:r>
            <w:r>
              <w:t>the</w:t>
            </w:r>
            <w:r>
              <w:rPr>
                <w:spacing w:val="-6"/>
              </w:rPr>
              <w:t xml:space="preserve"> </w:t>
            </w:r>
            <w:r>
              <w:t>expected</w:t>
            </w:r>
            <w:r>
              <w:rPr>
                <w:spacing w:val="-6"/>
              </w:rPr>
              <w:t xml:space="preserve"> </w:t>
            </w:r>
            <w:r>
              <w:t>form</w:t>
            </w:r>
            <w:r>
              <w:rPr>
                <w:spacing w:val="-6"/>
              </w:rPr>
              <w:t xml:space="preserve"> </w:t>
            </w:r>
            <w:r>
              <w:t>and</w:t>
            </w:r>
            <w:r>
              <w:rPr>
                <w:spacing w:val="-6"/>
              </w:rPr>
              <w:t xml:space="preserve"> </w:t>
            </w:r>
            <w:r>
              <w:t>content of reports on the financial statements, internal control, and compliance and</w:t>
            </w:r>
          </w:p>
        </w:tc>
        <w:tc>
          <w:tcPr>
            <w:tcW w:w="810" w:type="dxa"/>
            <w:tcBorders>
              <w:top w:val="single" w:sz="6" w:space="0" w:color="000000"/>
              <w:left w:val="single" w:sz="6" w:space="0" w:color="000000"/>
              <w:bottom w:val="single" w:sz="6" w:space="0" w:color="000000"/>
              <w:right w:val="single" w:sz="6" w:space="0" w:color="000000"/>
            </w:tcBorders>
          </w:tcPr>
          <w:p w14:paraId="0DFDCD0F"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10" w14:textId="77777777" w:rsidR="00046465" w:rsidRDefault="00046465">
            <w:pPr>
              <w:pStyle w:val="TableParagraph"/>
              <w:rPr>
                <w:rFonts w:ascii="Times New Roman"/>
              </w:rPr>
            </w:pPr>
          </w:p>
        </w:tc>
      </w:tr>
      <w:tr w:rsidR="00046465" w14:paraId="0DFDCD15" w14:textId="77777777">
        <w:trPr>
          <w:trHeight w:val="1505"/>
        </w:trPr>
        <w:tc>
          <w:tcPr>
            <w:tcW w:w="7380" w:type="dxa"/>
            <w:tcBorders>
              <w:top w:val="single" w:sz="6" w:space="0" w:color="000000"/>
              <w:bottom w:val="single" w:sz="6" w:space="0" w:color="000000"/>
              <w:right w:val="single" w:sz="6" w:space="0" w:color="000000"/>
            </w:tcBorders>
          </w:tcPr>
          <w:p w14:paraId="0DFDCD12" w14:textId="77777777" w:rsidR="00046465" w:rsidRDefault="008134EB">
            <w:pPr>
              <w:pStyle w:val="TableParagraph"/>
              <w:spacing w:before="119"/>
              <w:ind w:left="1249" w:right="150" w:hanging="360"/>
            </w:pPr>
            <w:r>
              <w:t>b.</w:t>
            </w:r>
            <w:r>
              <w:rPr>
                <w:spacing w:val="80"/>
              </w:rPr>
              <w:t xml:space="preserve"> </w:t>
            </w:r>
            <w:r>
              <w:t>issued an audit engagement letter or other suitable form of written agreement to describe the terms of the audit engagement</w:t>
            </w:r>
            <w:r>
              <w:rPr>
                <w:spacing w:val="-7"/>
              </w:rPr>
              <w:t xml:space="preserve"> </w:t>
            </w:r>
            <w:r>
              <w:t>and</w:t>
            </w:r>
            <w:r>
              <w:rPr>
                <w:spacing w:val="-7"/>
              </w:rPr>
              <w:t xml:space="preserve"> </w:t>
            </w:r>
            <w:r>
              <w:t>obtained</w:t>
            </w:r>
            <w:r>
              <w:rPr>
                <w:spacing w:val="-7"/>
              </w:rPr>
              <w:t xml:space="preserve"> </w:t>
            </w:r>
            <w:r>
              <w:t>agreement</w:t>
            </w:r>
            <w:r>
              <w:rPr>
                <w:spacing w:val="-7"/>
              </w:rPr>
              <w:t xml:space="preserve"> </w:t>
            </w:r>
            <w:r>
              <w:t>from</w:t>
            </w:r>
            <w:r>
              <w:rPr>
                <w:spacing w:val="-8"/>
              </w:rPr>
              <w:t xml:space="preserve"> </w:t>
            </w:r>
            <w:r>
              <w:t>management</w:t>
            </w:r>
            <w:r>
              <w:rPr>
                <w:spacing w:val="-7"/>
              </w:rPr>
              <w:t xml:space="preserve"> </w:t>
            </w:r>
            <w:r>
              <w:t xml:space="preserve">that it acknowledges and understands its responsibility? (FAM </w:t>
            </w:r>
            <w:r>
              <w:rPr>
                <w:spacing w:val="-4"/>
              </w:rPr>
              <w:t>215)</w:t>
            </w:r>
          </w:p>
        </w:tc>
        <w:tc>
          <w:tcPr>
            <w:tcW w:w="810" w:type="dxa"/>
            <w:tcBorders>
              <w:top w:val="single" w:sz="6" w:space="0" w:color="000000"/>
              <w:left w:val="single" w:sz="6" w:space="0" w:color="000000"/>
              <w:bottom w:val="single" w:sz="6" w:space="0" w:color="000000"/>
              <w:right w:val="single" w:sz="6" w:space="0" w:color="000000"/>
            </w:tcBorders>
          </w:tcPr>
          <w:p w14:paraId="0DFDCD13"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14" w14:textId="77777777" w:rsidR="00046465" w:rsidRDefault="00046465">
            <w:pPr>
              <w:pStyle w:val="TableParagraph"/>
              <w:rPr>
                <w:rFonts w:ascii="Times New Roman"/>
              </w:rPr>
            </w:pPr>
          </w:p>
        </w:tc>
      </w:tr>
      <w:tr w:rsidR="00046465" w14:paraId="0DFDCD19" w14:textId="77777777">
        <w:trPr>
          <w:trHeight w:val="1251"/>
        </w:trPr>
        <w:tc>
          <w:tcPr>
            <w:tcW w:w="7380" w:type="dxa"/>
            <w:tcBorders>
              <w:top w:val="single" w:sz="6" w:space="0" w:color="000000"/>
              <w:bottom w:val="single" w:sz="6" w:space="0" w:color="000000"/>
              <w:right w:val="single" w:sz="6" w:space="0" w:color="000000"/>
            </w:tcBorders>
          </w:tcPr>
          <w:p w14:paraId="0DFDCD16" w14:textId="77777777" w:rsidR="00046465" w:rsidRDefault="008134EB">
            <w:pPr>
              <w:pStyle w:val="TableParagraph"/>
              <w:spacing w:before="119"/>
              <w:ind w:left="843" w:right="203" w:hanging="360"/>
            </w:pPr>
            <w:r>
              <w:t>2.</w:t>
            </w:r>
            <w:r>
              <w:rPr>
                <w:spacing w:val="80"/>
              </w:rPr>
              <w:t xml:space="preserve"> </w:t>
            </w:r>
            <w:r>
              <w:t>If, prior to completing the audit engagement, the terms of the audit engagement are changed, does the audit engagement letter</w:t>
            </w:r>
            <w:r>
              <w:rPr>
                <w:spacing w:val="-4"/>
              </w:rPr>
              <w:t xml:space="preserve"> </w:t>
            </w:r>
            <w:r>
              <w:t>or</w:t>
            </w:r>
            <w:r>
              <w:rPr>
                <w:spacing w:val="-4"/>
              </w:rPr>
              <w:t xml:space="preserve"> </w:t>
            </w:r>
            <w:r>
              <w:t>other</w:t>
            </w:r>
            <w:r>
              <w:rPr>
                <w:spacing w:val="-4"/>
              </w:rPr>
              <w:t xml:space="preserve"> </w:t>
            </w:r>
            <w:r>
              <w:t>suitable</w:t>
            </w:r>
            <w:r>
              <w:rPr>
                <w:spacing w:val="-4"/>
              </w:rPr>
              <w:t xml:space="preserve"> </w:t>
            </w:r>
            <w:r>
              <w:t>form</w:t>
            </w:r>
            <w:r>
              <w:rPr>
                <w:spacing w:val="-5"/>
              </w:rPr>
              <w:t xml:space="preserve"> </w:t>
            </w:r>
            <w:r>
              <w:t>of</w:t>
            </w:r>
            <w:r>
              <w:rPr>
                <w:spacing w:val="-4"/>
              </w:rPr>
              <w:t xml:space="preserve"> </w:t>
            </w:r>
            <w:r>
              <w:t>written</w:t>
            </w:r>
            <w:r>
              <w:rPr>
                <w:spacing w:val="-4"/>
              </w:rPr>
              <w:t xml:space="preserve"> </w:t>
            </w:r>
            <w:r>
              <w:t>agreement</w:t>
            </w:r>
            <w:r>
              <w:rPr>
                <w:spacing w:val="-4"/>
              </w:rPr>
              <w:t xml:space="preserve"> </w:t>
            </w:r>
            <w:r>
              <w:t>contain</w:t>
            </w:r>
            <w:r>
              <w:rPr>
                <w:spacing w:val="-4"/>
              </w:rPr>
              <w:t xml:space="preserve"> </w:t>
            </w:r>
            <w:r>
              <w:t>the</w:t>
            </w:r>
            <w:r>
              <w:rPr>
                <w:spacing w:val="-5"/>
              </w:rPr>
              <w:t xml:space="preserve"> </w:t>
            </w:r>
            <w:r>
              <w:t>new terms of the audit engagement? (FAM 215)</w:t>
            </w:r>
          </w:p>
        </w:tc>
        <w:tc>
          <w:tcPr>
            <w:tcW w:w="810" w:type="dxa"/>
            <w:tcBorders>
              <w:top w:val="single" w:sz="6" w:space="0" w:color="000000"/>
              <w:left w:val="single" w:sz="6" w:space="0" w:color="000000"/>
              <w:bottom w:val="single" w:sz="6" w:space="0" w:color="000000"/>
              <w:right w:val="single" w:sz="6" w:space="0" w:color="000000"/>
            </w:tcBorders>
          </w:tcPr>
          <w:p w14:paraId="0DFDCD17"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18" w14:textId="77777777" w:rsidR="00046465" w:rsidRDefault="00046465">
            <w:pPr>
              <w:pStyle w:val="TableParagraph"/>
              <w:rPr>
                <w:rFonts w:ascii="Times New Roman"/>
              </w:rPr>
            </w:pPr>
          </w:p>
        </w:tc>
      </w:tr>
      <w:tr w:rsidR="00046465" w14:paraId="0DFDCD1D" w14:textId="77777777">
        <w:trPr>
          <w:trHeight w:val="493"/>
        </w:trPr>
        <w:tc>
          <w:tcPr>
            <w:tcW w:w="7380" w:type="dxa"/>
            <w:tcBorders>
              <w:top w:val="single" w:sz="6" w:space="0" w:color="000000"/>
              <w:bottom w:val="single" w:sz="6" w:space="0" w:color="000000"/>
              <w:right w:val="single" w:sz="6" w:space="0" w:color="000000"/>
            </w:tcBorders>
          </w:tcPr>
          <w:p w14:paraId="0DFDCD1A" w14:textId="77777777" w:rsidR="00046465" w:rsidRDefault="008134EB">
            <w:pPr>
              <w:pStyle w:val="TableParagraph"/>
              <w:spacing w:before="121"/>
              <w:ind w:left="483"/>
            </w:pPr>
            <w:r>
              <w:t>3.</w:t>
            </w:r>
            <w:r>
              <w:rPr>
                <w:spacing w:val="68"/>
                <w:w w:val="150"/>
              </w:rPr>
              <w:t xml:space="preserve"> </w:t>
            </w:r>
            <w:r>
              <w:t>Was</w:t>
            </w:r>
            <w:r>
              <w:rPr>
                <w:spacing w:val="-6"/>
              </w:rPr>
              <w:t xml:space="preserve"> </w:t>
            </w:r>
            <w:r>
              <w:t>an</w:t>
            </w:r>
            <w:r>
              <w:rPr>
                <w:spacing w:val="-6"/>
              </w:rPr>
              <w:t xml:space="preserve"> </w:t>
            </w:r>
            <w:r>
              <w:t>entrance</w:t>
            </w:r>
            <w:r>
              <w:rPr>
                <w:spacing w:val="-5"/>
              </w:rPr>
              <w:t xml:space="preserve"> </w:t>
            </w:r>
            <w:r>
              <w:t>conference</w:t>
            </w:r>
            <w:r>
              <w:rPr>
                <w:spacing w:val="-6"/>
              </w:rPr>
              <w:t xml:space="preserve"> </w:t>
            </w:r>
            <w:r>
              <w:t>held</w:t>
            </w:r>
            <w:r>
              <w:rPr>
                <w:spacing w:val="-6"/>
              </w:rPr>
              <w:t xml:space="preserve"> </w:t>
            </w:r>
            <w:r>
              <w:t>and</w:t>
            </w:r>
            <w:r>
              <w:rPr>
                <w:spacing w:val="-5"/>
              </w:rPr>
              <w:t xml:space="preserve"> </w:t>
            </w:r>
            <w:r>
              <w:t>documented?</w:t>
            </w:r>
            <w:r>
              <w:rPr>
                <w:spacing w:val="-6"/>
              </w:rPr>
              <w:t xml:space="preserve"> </w:t>
            </w:r>
            <w:r>
              <w:t>(FAM</w:t>
            </w:r>
            <w:r>
              <w:rPr>
                <w:spacing w:val="-7"/>
              </w:rPr>
              <w:t xml:space="preserve"> </w:t>
            </w:r>
            <w:r>
              <w:rPr>
                <w:spacing w:val="-4"/>
              </w:rPr>
              <w:t>215)</w:t>
            </w:r>
          </w:p>
        </w:tc>
        <w:tc>
          <w:tcPr>
            <w:tcW w:w="810" w:type="dxa"/>
            <w:tcBorders>
              <w:top w:val="single" w:sz="6" w:space="0" w:color="000000"/>
              <w:left w:val="single" w:sz="6" w:space="0" w:color="000000"/>
              <w:bottom w:val="single" w:sz="6" w:space="0" w:color="000000"/>
              <w:right w:val="single" w:sz="6" w:space="0" w:color="000000"/>
            </w:tcBorders>
          </w:tcPr>
          <w:p w14:paraId="0DFDCD1B"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1C" w14:textId="77777777" w:rsidR="00046465" w:rsidRDefault="00046465">
            <w:pPr>
              <w:pStyle w:val="TableParagraph"/>
              <w:rPr>
                <w:rFonts w:ascii="Times New Roman"/>
              </w:rPr>
            </w:pPr>
          </w:p>
        </w:tc>
      </w:tr>
      <w:tr w:rsidR="00046465" w14:paraId="0DFDCD21" w14:textId="77777777">
        <w:trPr>
          <w:trHeight w:val="1504"/>
        </w:trPr>
        <w:tc>
          <w:tcPr>
            <w:tcW w:w="7380" w:type="dxa"/>
            <w:tcBorders>
              <w:top w:val="single" w:sz="6" w:space="0" w:color="000000"/>
              <w:bottom w:val="single" w:sz="6" w:space="0" w:color="000000"/>
              <w:right w:val="single" w:sz="6" w:space="0" w:color="000000"/>
            </w:tcBorders>
          </w:tcPr>
          <w:p w14:paraId="0DFDCD1E" w14:textId="77777777" w:rsidR="00046465" w:rsidRDefault="008134EB">
            <w:pPr>
              <w:pStyle w:val="TableParagraph"/>
              <w:spacing w:before="119"/>
              <w:ind w:left="843" w:right="203" w:hanging="360"/>
            </w:pPr>
            <w:r>
              <w:t>4.</w:t>
            </w:r>
            <w:r>
              <w:rPr>
                <w:spacing w:val="80"/>
              </w:rPr>
              <w:t xml:space="preserve"> </w:t>
            </w:r>
            <w:r>
              <w:t>Does the audit documentation contain an understanding of the entity and its environment, the applicable financial reporting framework (generally U.S. GAAP), and the entity’s internal control</w:t>
            </w:r>
            <w:r>
              <w:rPr>
                <w:spacing w:val="-5"/>
              </w:rPr>
              <w:t xml:space="preserve"> </w:t>
            </w:r>
            <w:r>
              <w:t>sufficient</w:t>
            </w:r>
            <w:r>
              <w:rPr>
                <w:spacing w:val="-5"/>
              </w:rPr>
              <w:t xml:space="preserve"> </w:t>
            </w:r>
            <w:r>
              <w:t>for</w:t>
            </w:r>
            <w:r>
              <w:rPr>
                <w:spacing w:val="-5"/>
              </w:rPr>
              <w:t xml:space="preserve"> </w:t>
            </w:r>
            <w:r>
              <w:t>assessing</w:t>
            </w:r>
            <w:r>
              <w:rPr>
                <w:spacing w:val="-5"/>
              </w:rPr>
              <w:t xml:space="preserve"> </w:t>
            </w:r>
            <w:r>
              <w:t>risk</w:t>
            </w:r>
            <w:r>
              <w:rPr>
                <w:spacing w:val="-5"/>
              </w:rPr>
              <w:t xml:space="preserve"> </w:t>
            </w:r>
            <w:r>
              <w:t>and</w:t>
            </w:r>
            <w:r>
              <w:rPr>
                <w:spacing w:val="-5"/>
              </w:rPr>
              <w:t xml:space="preserve"> </w:t>
            </w:r>
            <w:r>
              <w:t>planning</w:t>
            </w:r>
            <w:r>
              <w:rPr>
                <w:spacing w:val="-6"/>
              </w:rPr>
              <w:t xml:space="preserve"> </w:t>
            </w:r>
            <w:r>
              <w:t>the</w:t>
            </w:r>
            <w:r>
              <w:rPr>
                <w:spacing w:val="-5"/>
              </w:rPr>
              <w:t xml:space="preserve"> </w:t>
            </w:r>
            <w:r>
              <w:t>audit?</w:t>
            </w:r>
            <w:r>
              <w:rPr>
                <w:spacing w:val="-5"/>
              </w:rPr>
              <w:t xml:space="preserve"> </w:t>
            </w:r>
            <w:r>
              <w:t>(FAM 290 and 390)</w:t>
            </w:r>
          </w:p>
        </w:tc>
        <w:tc>
          <w:tcPr>
            <w:tcW w:w="810" w:type="dxa"/>
            <w:tcBorders>
              <w:top w:val="single" w:sz="6" w:space="0" w:color="000000"/>
              <w:left w:val="single" w:sz="6" w:space="0" w:color="000000"/>
              <w:bottom w:val="single" w:sz="6" w:space="0" w:color="000000"/>
              <w:right w:val="single" w:sz="6" w:space="0" w:color="000000"/>
            </w:tcBorders>
          </w:tcPr>
          <w:p w14:paraId="0DFDCD1F"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20" w14:textId="77777777" w:rsidR="00046465" w:rsidRDefault="00046465">
            <w:pPr>
              <w:pStyle w:val="TableParagraph"/>
              <w:rPr>
                <w:rFonts w:ascii="Times New Roman"/>
              </w:rPr>
            </w:pPr>
          </w:p>
        </w:tc>
      </w:tr>
      <w:tr w:rsidR="00046465" w14:paraId="0DFDCD25" w14:textId="77777777">
        <w:trPr>
          <w:trHeight w:val="745"/>
        </w:trPr>
        <w:tc>
          <w:tcPr>
            <w:tcW w:w="7380" w:type="dxa"/>
            <w:tcBorders>
              <w:top w:val="single" w:sz="6" w:space="0" w:color="000000"/>
              <w:bottom w:val="single" w:sz="6" w:space="0" w:color="000000"/>
              <w:right w:val="single" w:sz="6" w:space="0" w:color="000000"/>
            </w:tcBorders>
          </w:tcPr>
          <w:p w14:paraId="0DFDCD22" w14:textId="77777777" w:rsidR="00046465" w:rsidRDefault="008134EB">
            <w:pPr>
              <w:pStyle w:val="TableParagraph"/>
              <w:spacing w:before="121"/>
              <w:ind w:left="843" w:hanging="360"/>
            </w:pPr>
            <w:r>
              <w:t>5.</w:t>
            </w:r>
            <w:r>
              <w:rPr>
                <w:spacing w:val="80"/>
              </w:rPr>
              <w:t xml:space="preserve"> </w:t>
            </w:r>
            <w:r>
              <w:t>Does</w:t>
            </w:r>
            <w:r>
              <w:rPr>
                <w:spacing w:val="-4"/>
              </w:rPr>
              <w:t xml:space="preserve"> </w:t>
            </w:r>
            <w:r>
              <w:t>the</w:t>
            </w:r>
            <w:r>
              <w:rPr>
                <w:spacing w:val="-4"/>
              </w:rPr>
              <w:t xml:space="preserve"> </w:t>
            </w:r>
            <w:r>
              <w:t>audit</w:t>
            </w:r>
            <w:r>
              <w:rPr>
                <w:spacing w:val="-4"/>
              </w:rPr>
              <w:t xml:space="preserve"> </w:t>
            </w:r>
            <w:r>
              <w:t>documentation</w:t>
            </w:r>
            <w:r>
              <w:rPr>
                <w:spacing w:val="-4"/>
              </w:rPr>
              <w:t xml:space="preserve"> </w:t>
            </w:r>
            <w:r>
              <w:t>contain</w:t>
            </w:r>
            <w:r>
              <w:rPr>
                <w:spacing w:val="-4"/>
              </w:rPr>
              <w:t xml:space="preserve"> </w:t>
            </w:r>
            <w:r>
              <w:t>an</w:t>
            </w:r>
            <w:r>
              <w:rPr>
                <w:spacing w:val="-4"/>
              </w:rPr>
              <w:t xml:space="preserve"> </w:t>
            </w:r>
            <w:r>
              <w:t>adequate</w:t>
            </w:r>
            <w:r>
              <w:rPr>
                <w:spacing w:val="-4"/>
              </w:rPr>
              <w:t xml:space="preserve"> </w:t>
            </w:r>
            <w:r>
              <w:t>audit</w:t>
            </w:r>
            <w:r>
              <w:rPr>
                <w:spacing w:val="-4"/>
              </w:rPr>
              <w:t xml:space="preserve"> </w:t>
            </w:r>
            <w:r>
              <w:t>strategy and audit plan? (FAM 290)</w:t>
            </w:r>
          </w:p>
        </w:tc>
        <w:tc>
          <w:tcPr>
            <w:tcW w:w="810" w:type="dxa"/>
            <w:tcBorders>
              <w:top w:val="single" w:sz="6" w:space="0" w:color="000000"/>
              <w:left w:val="single" w:sz="6" w:space="0" w:color="000000"/>
              <w:bottom w:val="single" w:sz="6" w:space="0" w:color="000000"/>
              <w:right w:val="single" w:sz="6" w:space="0" w:color="000000"/>
            </w:tcBorders>
          </w:tcPr>
          <w:p w14:paraId="0DFDCD23"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24" w14:textId="77777777" w:rsidR="00046465" w:rsidRDefault="00046465">
            <w:pPr>
              <w:pStyle w:val="TableParagraph"/>
              <w:rPr>
                <w:rFonts w:ascii="Times New Roman"/>
              </w:rPr>
            </w:pPr>
          </w:p>
        </w:tc>
      </w:tr>
      <w:tr w:rsidR="00046465" w14:paraId="0DFDCD29" w14:textId="77777777">
        <w:trPr>
          <w:trHeight w:val="746"/>
        </w:trPr>
        <w:tc>
          <w:tcPr>
            <w:tcW w:w="7380" w:type="dxa"/>
            <w:tcBorders>
              <w:top w:val="single" w:sz="6" w:space="0" w:color="000000"/>
              <w:bottom w:val="single" w:sz="6" w:space="0" w:color="000000"/>
              <w:right w:val="single" w:sz="6" w:space="0" w:color="000000"/>
            </w:tcBorders>
          </w:tcPr>
          <w:p w14:paraId="0DFDCD26" w14:textId="77777777" w:rsidR="00046465" w:rsidRDefault="008134EB">
            <w:pPr>
              <w:pStyle w:val="TableParagraph"/>
              <w:spacing w:before="121"/>
              <w:ind w:left="843" w:right="437" w:hanging="360"/>
            </w:pPr>
            <w:r>
              <w:t>6.</w:t>
            </w:r>
            <w:r>
              <w:rPr>
                <w:spacing w:val="80"/>
              </w:rPr>
              <w:t xml:space="preserve"> </w:t>
            </w:r>
            <w:r>
              <w:t>Did</w:t>
            </w:r>
            <w:r>
              <w:rPr>
                <w:spacing w:val="-4"/>
              </w:rPr>
              <w:t xml:space="preserve"> </w:t>
            </w:r>
            <w:r>
              <w:t>the</w:t>
            </w:r>
            <w:r>
              <w:rPr>
                <w:spacing w:val="-4"/>
              </w:rPr>
              <w:t xml:space="preserve"> </w:t>
            </w:r>
            <w:r>
              <w:t>auditor</w:t>
            </w:r>
            <w:r>
              <w:rPr>
                <w:spacing w:val="-4"/>
              </w:rPr>
              <w:t xml:space="preserve"> </w:t>
            </w:r>
            <w:r>
              <w:t>adequately</w:t>
            </w:r>
            <w:r>
              <w:rPr>
                <w:spacing w:val="-4"/>
              </w:rPr>
              <w:t xml:space="preserve"> </w:t>
            </w:r>
            <w:r>
              <w:t>plan</w:t>
            </w:r>
            <w:r>
              <w:rPr>
                <w:spacing w:val="-4"/>
              </w:rPr>
              <w:t xml:space="preserve"> </w:t>
            </w:r>
            <w:r>
              <w:t>the</w:t>
            </w:r>
            <w:r>
              <w:rPr>
                <w:spacing w:val="-5"/>
              </w:rPr>
              <w:t xml:space="preserve"> </w:t>
            </w:r>
            <w:r>
              <w:t>audit,</w:t>
            </w:r>
            <w:r>
              <w:rPr>
                <w:spacing w:val="-4"/>
              </w:rPr>
              <w:t xml:space="preserve"> </w:t>
            </w:r>
            <w:r>
              <w:t>including</w:t>
            </w:r>
            <w:r>
              <w:rPr>
                <w:spacing w:val="-4"/>
              </w:rPr>
              <w:t xml:space="preserve"> </w:t>
            </w:r>
            <w:r>
              <w:t>performing the following: (FAM 290)</w:t>
            </w:r>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14:paraId="0DFDCD27"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shd w:val="clear" w:color="auto" w:fill="BEBEBE"/>
          </w:tcPr>
          <w:p w14:paraId="0DFDCD28" w14:textId="77777777" w:rsidR="00046465" w:rsidRDefault="00046465">
            <w:pPr>
              <w:pStyle w:val="TableParagraph"/>
              <w:rPr>
                <w:rFonts w:ascii="Times New Roman"/>
              </w:rPr>
            </w:pPr>
          </w:p>
        </w:tc>
      </w:tr>
      <w:tr w:rsidR="00046465" w14:paraId="0DFDCD2D" w14:textId="77777777">
        <w:trPr>
          <w:trHeight w:val="999"/>
        </w:trPr>
        <w:tc>
          <w:tcPr>
            <w:tcW w:w="7380" w:type="dxa"/>
            <w:tcBorders>
              <w:top w:val="single" w:sz="6" w:space="0" w:color="000000"/>
              <w:bottom w:val="single" w:sz="6" w:space="0" w:color="000000"/>
              <w:right w:val="single" w:sz="6" w:space="0" w:color="000000"/>
            </w:tcBorders>
          </w:tcPr>
          <w:p w14:paraId="0DFDCD2A" w14:textId="77777777" w:rsidR="00046465" w:rsidRDefault="008134EB">
            <w:pPr>
              <w:pStyle w:val="TableParagraph"/>
              <w:spacing w:before="119"/>
              <w:ind w:left="1249" w:hanging="360"/>
            </w:pPr>
            <w:r>
              <w:t>a.</w:t>
            </w:r>
            <w:r>
              <w:rPr>
                <w:spacing w:val="80"/>
              </w:rPr>
              <w:t xml:space="preserve"> </w:t>
            </w:r>
            <w:r>
              <w:t>Determine</w:t>
            </w:r>
            <w:r>
              <w:rPr>
                <w:spacing w:val="-3"/>
              </w:rPr>
              <w:t xml:space="preserve"> </w:t>
            </w:r>
            <w:r>
              <w:t>whether</w:t>
            </w:r>
            <w:r>
              <w:rPr>
                <w:spacing w:val="-4"/>
              </w:rPr>
              <w:t xml:space="preserve"> </w:t>
            </w:r>
            <w:r>
              <w:t>the</w:t>
            </w:r>
            <w:r>
              <w:rPr>
                <w:spacing w:val="-4"/>
              </w:rPr>
              <w:t xml:space="preserve"> </w:t>
            </w:r>
            <w:r>
              <w:t>engagement</w:t>
            </w:r>
            <w:r>
              <w:rPr>
                <w:spacing w:val="-4"/>
              </w:rPr>
              <w:t xml:space="preserve"> </w:t>
            </w:r>
            <w:r>
              <w:t>team</w:t>
            </w:r>
            <w:r>
              <w:rPr>
                <w:spacing w:val="-5"/>
              </w:rPr>
              <w:t xml:space="preserve"> </w:t>
            </w:r>
            <w:r>
              <w:t>can</w:t>
            </w:r>
            <w:r>
              <w:rPr>
                <w:spacing w:val="-4"/>
              </w:rPr>
              <w:t xml:space="preserve"> </w:t>
            </w:r>
            <w:r>
              <w:t>comply</w:t>
            </w:r>
            <w:r>
              <w:rPr>
                <w:spacing w:val="-4"/>
              </w:rPr>
              <w:t xml:space="preserve"> </w:t>
            </w:r>
            <w:r>
              <w:t>with relevant ethical requirements, including independence requirements? (FAM 215)</w:t>
            </w:r>
          </w:p>
        </w:tc>
        <w:tc>
          <w:tcPr>
            <w:tcW w:w="810" w:type="dxa"/>
            <w:tcBorders>
              <w:top w:val="single" w:sz="6" w:space="0" w:color="000000"/>
              <w:left w:val="single" w:sz="6" w:space="0" w:color="000000"/>
              <w:bottom w:val="single" w:sz="6" w:space="0" w:color="000000"/>
              <w:right w:val="single" w:sz="6" w:space="0" w:color="000000"/>
            </w:tcBorders>
          </w:tcPr>
          <w:p w14:paraId="0DFDCD2B"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2C" w14:textId="77777777" w:rsidR="00046465" w:rsidRDefault="00046465">
            <w:pPr>
              <w:pStyle w:val="TableParagraph"/>
              <w:rPr>
                <w:rFonts w:ascii="Times New Roman"/>
              </w:rPr>
            </w:pPr>
          </w:p>
        </w:tc>
      </w:tr>
      <w:tr w:rsidR="00046465" w14:paraId="0DFDCD31" w14:textId="77777777">
        <w:trPr>
          <w:trHeight w:val="492"/>
        </w:trPr>
        <w:tc>
          <w:tcPr>
            <w:tcW w:w="7380" w:type="dxa"/>
            <w:tcBorders>
              <w:top w:val="single" w:sz="6" w:space="0" w:color="000000"/>
              <w:bottom w:val="single" w:sz="6" w:space="0" w:color="000000"/>
              <w:right w:val="single" w:sz="6" w:space="0" w:color="000000"/>
            </w:tcBorders>
          </w:tcPr>
          <w:p w14:paraId="0DFDCD2E" w14:textId="77777777" w:rsidR="00046465" w:rsidRDefault="008134EB">
            <w:pPr>
              <w:pStyle w:val="TableParagraph"/>
              <w:spacing w:before="119"/>
              <w:ind w:left="889"/>
            </w:pPr>
            <w:r>
              <w:t>b.</w:t>
            </w:r>
            <w:r>
              <w:rPr>
                <w:spacing w:val="65"/>
                <w:w w:val="150"/>
              </w:rPr>
              <w:t xml:space="preserve"> </w:t>
            </w:r>
            <w:r>
              <w:t>Perform</w:t>
            </w:r>
            <w:r>
              <w:rPr>
                <w:spacing w:val="-8"/>
              </w:rPr>
              <w:t xml:space="preserve"> </w:t>
            </w:r>
            <w:r>
              <w:t>preliminary</w:t>
            </w:r>
            <w:r>
              <w:rPr>
                <w:spacing w:val="-6"/>
              </w:rPr>
              <w:t xml:space="preserve"> </w:t>
            </w:r>
            <w:r>
              <w:t>analytical</w:t>
            </w:r>
            <w:r>
              <w:rPr>
                <w:spacing w:val="-7"/>
              </w:rPr>
              <w:t xml:space="preserve"> </w:t>
            </w:r>
            <w:r>
              <w:t>procedures?</w:t>
            </w:r>
            <w:r>
              <w:rPr>
                <w:spacing w:val="-7"/>
              </w:rPr>
              <w:t xml:space="preserve"> </w:t>
            </w:r>
            <w:r>
              <w:t>(FAM</w:t>
            </w:r>
            <w:r>
              <w:rPr>
                <w:spacing w:val="-7"/>
              </w:rPr>
              <w:t xml:space="preserve"> </w:t>
            </w:r>
            <w:r>
              <w:rPr>
                <w:spacing w:val="-4"/>
              </w:rPr>
              <w:t>225)</w:t>
            </w:r>
          </w:p>
        </w:tc>
        <w:tc>
          <w:tcPr>
            <w:tcW w:w="810" w:type="dxa"/>
            <w:tcBorders>
              <w:top w:val="single" w:sz="6" w:space="0" w:color="000000"/>
              <w:left w:val="single" w:sz="6" w:space="0" w:color="000000"/>
              <w:bottom w:val="single" w:sz="6" w:space="0" w:color="000000"/>
              <w:right w:val="single" w:sz="6" w:space="0" w:color="000000"/>
            </w:tcBorders>
          </w:tcPr>
          <w:p w14:paraId="0DFDCD2F"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30" w14:textId="77777777" w:rsidR="00046465" w:rsidRDefault="00046465">
            <w:pPr>
              <w:pStyle w:val="TableParagraph"/>
              <w:rPr>
                <w:rFonts w:ascii="Times New Roman"/>
              </w:rPr>
            </w:pPr>
          </w:p>
        </w:tc>
      </w:tr>
      <w:tr w:rsidR="00046465" w14:paraId="0DFDCD35" w14:textId="77777777">
        <w:trPr>
          <w:trHeight w:val="492"/>
        </w:trPr>
        <w:tc>
          <w:tcPr>
            <w:tcW w:w="7380" w:type="dxa"/>
            <w:tcBorders>
              <w:top w:val="single" w:sz="6" w:space="0" w:color="000000"/>
              <w:bottom w:val="single" w:sz="6" w:space="0" w:color="000000"/>
              <w:right w:val="single" w:sz="6" w:space="0" w:color="000000"/>
            </w:tcBorders>
          </w:tcPr>
          <w:p w14:paraId="0DFDCD32" w14:textId="77777777" w:rsidR="00046465" w:rsidRDefault="008134EB">
            <w:pPr>
              <w:pStyle w:val="TableParagraph"/>
              <w:spacing w:before="119"/>
              <w:ind w:left="889"/>
            </w:pPr>
            <w:r>
              <w:t>c.</w:t>
            </w:r>
            <w:r>
              <w:rPr>
                <w:spacing w:val="79"/>
                <w:w w:val="150"/>
              </w:rPr>
              <w:t xml:space="preserve"> </w:t>
            </w:r>
            <w:r>
              <w:t>Determine</w:t>
            </w:r>
            <w:r>
              <w:rPr>
                <w:spacing w:val="-4"/>
              </w:rPr>
              <w:t xml:space="preserve"> </w:t>
            </w:r>
            <w:r>
              <w:t>materiality?</w:t>
            </w:r>
            <w:r>
              <w:rPr>
                <w:spacing w:val="-6"/>
              </w:rPr>
              <w:t xml:space="preserve"> </w:t>
            </w:r>
            <w:r>
              <w:t>(FAM</w:t>
            </w:r>
            <w:r>
              <w:rPr>
                <w:spacing w:val="-7"/>
              </w:rPr>
              <w:t xml:space="preserve"> </w:t>
            </w:r>
            <w:r>
              <w:rPr>
                <w:spacing w:val="-4"/>
              </w:rPr>
              <w:t>230)</w:t>
            </w:r>
          </w:p>
        </w:tc>
        <w:tc>
          <w:tcPr>
            <w:tcW w:w="810" w:type="dxa"/>
            <w:tcBorders>
              <w:top w:val="single" w:sz="6" w:space="0" w:color="000000"/>
              <w:left w:val="single" w:sz="6" w:space="0" w:color="000000"/>
              <w:bottom w:val="single" w:sz="6" w:space="0" w:color="000000"/>
              <w:right w:val="single" w:sz="6" w:space="0" w:color="000000"/>
            </w:tcBorders>
          </w:tcPr>
          <w:p w14:paraId="0DFDCD33"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34" w14:textId="77777777" w:rsidR="00046465" w:rsidRDefault="00046465">
            <w:pPr>
              <w:pStyle w:val="TableParagraph"/>
              <w:rPr>
                <w:rFonts w:ascii="Times New Roman"/>
              </w:rPr>
            </w:pPr>
          </w:p>
        </w:tc>
      </w:tr>
      <w:tr w:rsidR="00046465" w14:paraId="0DFDCD39" w14:textId="77777777">
        <w:trPr>
          <w:trHeight w:val="687"/>
        </w:trPr>
        <w:tc>
          <w:tcPr>
            <w:tcW w:w="7380" w:type="dxa"/>
            <w:tcBorders>
              <w:top w:val="single" w:sz="6" w:space="0" w:color="000000"/>
              <w:right w:val="single" w:sz="6" w:space="0" w:color="000000"/>
            </w:tcBorders>
          </w:tcPr>
          <w:p w14:paraId="0DFDCD36" w14:textId="77777777" w:rsidR="00046465" w:rsidRDefault="008134EB">
            <w:pPr>
              <w:pStyle w:val="TableParagraph"/>
              <w:spacing w:before="59"/>
              <w:ind w:left="1609" w:right="179" w:hanging="291"/>
            </w:pPr>
            <w:r>
              <w:t>i.</w:t>
            </w:r>
            <w:r>
              <w:rPr>
                <w:spacing w:val="40"/>
              </w:rPr>
              <w:t xml:space="preserve"> </w:t>
            </w:r>
            <w:r>
              <w:t>Did</w:t>
            </w:r>
            <w:r>
              <w:rPr>
                <w:spacing w:val="-5"/>
              </w:rPr>
              <w:t xml:space="preserve"> </w:t>
            </w:r>
            <w:r>
              <w:t>the</w:t>
            </w:r>
            <w:r>
              <w:rPr>
                <w:spacing w:val="-5"/>
              </w:rPr>
              <w:t xml:space="preserve"> </w:t>
            </w:r>
            <w:r>
              <w:t>auditor</w:t>
            </w:r>
            <w:r>
              <w:rPr>
                <w:spacing w:val="-5"/>
              </w:rPr>
              <w:t xml:space="preserve"> </w:t>
            </w:r>
            <w:r>
              <w:t>consider</w:t>
            </w:r>
            <w:r>
              <w:rPr>
                <w:spacing w:val="-6"/>
              </w:rPr>
              <w:t xml:space="preserve"> </w:t>
            </w:r>
            <w:r>
              <w:t>intragovernmental</w:t>
            </w:r>
            <w:r>
              <w:rPr>
                <w:spacing w:val="-5"/>
              </w:rPr>
              <w:t xml:space="preserve"> </w:t>
            </w:r>
            <w:r>
              <w:t>and</w:t>
            </w:r>
            <w:r>
              <w:rPr>
                <w:spacing w:val="-5"/>
              </w:rPr>
              <w:t xml:space="preserve"> </w:t>
            </w:r>
            <w:r>
              <w:t>offsetting balances when determining materiality?</w:t>
            </w:r>
          </w:p>
        </w:tc>
        <w:tc>
          <w:tcPr>
            <w:tcW w:w="810" w:type="dxa"/>
            <w:tcBorders>
              <w:top w:val="single" w:sz="6" w:space="0" w:color="000000"/>
              <w:left w:val="single" w:sz="6" w:space="0" w:color="000000"/>
              <w:right w:val="single" w:sz="6" w:space="0" w:color="000000"/>
            </w:tcBorders>
          </w:tcPr>
          <w:p w14:paraId="0DFDCD37" w14:textId="77777777" w:rsidR="00046465" w:rsidRDefault="00046465">
            <w:pPr>
              <w:pStyle w:val="TableParagraph"/>
              <w:rPr>
                <w:rFonts w:ascii="Times New Roman"/>
              </w:rPr>
            </w:pPr>
          </w:p>
        </w:tc>
        <w:tc>
          <w:tcPr>
            <w:tcW w:w="1309" w:type="dxa"/>
            <w:tcBorders>
              <w:top w:val="single" w:sz="6" w:space="0" w:color="000000"/>
              <w:left w:val="single" w:sz="6" w:space="0" w:color="000000"/>
            </w:tcBorders>
          </w:tcPr>
          <w:p w14:paraId="0DFDCD38" w14:textId="77777777" w:rsidR="00046465" w:rsidRDefault="00046465">
            <w:pPr>
              <w:pStyle w:val="TableParagraph"/>
              <w:rPr>
                <w:rFonts w:ascii="Times New Roman"/>
              </w:rPr>
            </w:pPr>
          </w:p>
        </w:tc>
      </w:tr>
    </w:tbl>
    <w:p w14:paraId="0DFDCD3A"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CD3B" w14:textId="77777777" w:rsidR="00046465" w:rsidRDefault="00046465">
      <w:pPr>
        <w:pStyle w:val="BodyText"/>
        <w:spacing w:before="9"/>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09"/>
      </w:tblGrid>
      <w:tr w:rsidR="00046465" w14:paraId="0DFDCD42" w14:textId="77777777">
        <w:trPr>
          <w:trHeight w:val="937"/>
        </w:trPr>
        <w:tc>
          <w:tcPr>
            <w:tcW w:w="7380" w:type="dxa"/>
            <w:tcBorders>
              <w:bottom w:val="single" w:sz="6" w:space="0" w:color="000000"/>
              <w:right w:val="single" w:sz="6" w:space="0" w:color="000000"/>
            </w:tcBorders>
            <w:shd w:val="clear" w:color="auto" w:fill="A6A6A6"/>
          </w:tcPr>
          <w:p w14:paraId="0DFDCD3C" w14:textId="77777777" w:rsidR="00046465" w:rsidRDefault="00046465">
            <w:pPr>
              <w:pStyle w:val="TableParagraph"/>
              <w:spacing w:before="266"/>
              <w:rPr>
                <w:b/>
                <w:sz w:val="24"/>
              </w:rPr>
            </w:pPr>
          </w:p>
          <w:p w14:paraId="0DFDCD3D" w14:textId="77777777" w:rsidR="00046465" w:rsidRDefault="008134EB">
            <w:pPr>
              <w:pStyle w:val="TableParagraph"/>
              <w:ind w:left="123"/>
              <w:rPr>
                <w:b/>
                <w:sz w:val="24"/>
              </w:rPr>
            </w:pPr>
            <w:r>
              <w:rPr>
                <w:b/>
                <w:sz w:val="24"/>
              </w:rPr>
              <w:t>Section</w:t>
            </w:r>
            <w:r>
              <w:rPr>
                <w:b/>
                <w:spacing w:val="-3"/>
                <w:sz w:val="24"/>
              </w:rPr>
              <w:t xml:space="preserve"> </w:t>
            </w:r>
            <w:r>
              <w:rPr>
                <w:b/>
                <w:sz w:val="24"/>
              </w:rPr>
              <w:t>I:</w:t>
            </w:r>
            <w:r>
              <w:rPr>
                <w:b/>
                <w:spacing w:val="-4"/>
                <w:sz w:val="24"/>
              </w:rPr>
              <w:t xml:space="preserve"> </w:t>
            </w:r>
            <w:r>
              <w:rPr>
                <w:b/>
                <w:sz w:val="24"/>
              </w:rPr>
              <w:t>Planning</w:t>
            </w:r>
            <w:r>
              <w:rPr>
                <w:b/>
                <w:spacing w:val="-2"/>
                <w:sz w:val="24"/>
              </w:rPr>
              <w:t xml:space="preserve"> </w:t>
            </w:r>
            <w:r>
              <w:rPr>
                <w:b/>
                <w:sz w:val="24"/>
              </w:rPr>
              <w:t>and</w:t>
            </w:r>
            <w:r>
              <w:rPr>
                <w:b/>
                <w:spacing w:val="-3"/>
                <w:sz w:val="24"/>
              </w:rPr>
              <w:t xml:space="preserve"> </w:t>
            </w:r>
            <w:r>
              <w:rPr>
                <w:b/>
                <w:sz w:val="24"/>
              </w:rPr>
              <w:t>Risk</w:t>
            </w:r>
            <w:r>
              <w:rPr>
                <w:b/>
                <w:spacing w:val="-2"/>
                <w:sz w:val="24"/>
              </w:rPr>
              <w:t xml:space="preserve"> Assessment</w:t>
            </w:r>
          </w:p>
        </w:tc>
        <w:tc>
          <w:tcPr>
            <w:tcW w:w="810" w:type="dxa"/>
            <w:tcBorders>
              <w:left w:val="single" w:sz="6" w:space="0" w:color="000000"/>
              <w:bottom w:val="single" w:sz="6" w:space="0" w:color="000000"/>
              <w:right w:val="single" w:sz="6" w:space="0" w:color="000000"/>
            </w:tcBorders>
            <w:shd w:val="clear" w:color="auto" w:fill="A6A6A6"/>
          </w:tcPr>
          <w:p w14:paraId="0DFDCD3E" w14:textId="77777777" w:rsidR="00046465" w:rsidRDefault="008134EB">
            <w:pPr>
              <w:pStyle w:val="TableParagraph"/>
              <w:spacing w:before="120"/>
              <w:ind w:left="138" w:right="201"/>
              <w:jc w:val="both"/>
              <w:rPr>
                <w:b/>
              </w:rPr>
            </w:pPr>
            <w:r>
              <w:rPr>
                <w:b/>
                <w:spacing w:val="-4"/>
              </w:rPr>
              <w:t>Yes, No,* N/A</w:t>
            </w:r>
          </w:p>
        </w:tc>
        <w:tc>
          <w:tcPr>
            <w:tcW w:w="1309" w:type="dxa"/>
            <w:tcBorders>
              <w:left w:val="single" w:sz="6" w:space="0" w:color="000000"/>
              <w:bottom w:val="single" w:sz="6" w:space="0" w:color="000000"/>
            </w:tcBorders>
            <w:shd w:val="clear" w:color="auto" w:fill="A6A6A6"/>
          </w:tcPr>
          <w:p w14:paraId="0DFDCD3F" w14:textId="77777777" w:rsidR="00046465" w:rsidRDefault="00046465">
            <w:pPr>
              <w:pStyle w:val="TableParagraph"/>
              <w:rPr>
                <w:b/>
              </w:rPr>
            </w:pPr>
          </w:p>
          <w:p w14:paraId="0DFDCD40" w14:textId="77777777" w:rsidR="00046465" w:rsidRDefault="00046465">
            <w:pPr>
              <w:pStyle w:val="TableParagraph"/>
              <w:spacing w:before="120"/>
              <w:rPr>
                <w:b/>
              </w:rPr>
            </w:pPr>
          </w:p>
          <w:p w14:paraId="0DFDCD41" w14:textId="77777777" w:rsidR="00046465" w:rsidRDefault="008134EB">
            <w:pPr>
              <w:pStyle w:val="TableParagraph"/>
              <w:ind w:left="214"/>
              <w:rPr>
                <w:b/>
              </w:rPr>
            </w:pPr>
            <w:r>
              <w:rPr>
                <w:b/>
              </w:rPr>
              <w:t>Doc.</w:t>
            </w:r>
            <w:r>
              <w:rPr>
                <w:b/>
                <w:spacing w:val="-6"/>
              </w:rPr>
              <w:t xml:space="preserve"> </w:t>
            </w:r>
            <w:r>
              <w:rPr>
                <w:b/>
                <w:spacing w:val="-4"/>
              </w:rPr>
              <w:t>ref.</w:t>
            </w:r>
          </w:p>
        </w:tc>
      </w:tr>
      <w:tr w:rsidR="00046465" w14:paraId="0DFDCD46" w14:textId="77777777">
        <w:trPr>
          <w:trHeight w:val="1252"/>
        </w:trPr>
        <w:tc>
          <w:tcPr>
            <w:tcW w:w="7380" w:type="dxa"/>
            <w:tcBorders>
              <w:top w:val="single" w:sz="6" w:space="0" w:color="000000"/>
              <w:bottom w:val="single" w:sz="6" w:space="0" w:color="000000"/>
              <w:right w:val="single" w:sz="6" w:space="0" w:color="000000"/>
            </w:tcBorders>
          </w:tcPr>
          <w:p w14:paraId="0DFDCD43" w14:textId="77777777" w:rsidR="00046465" w:rsidRDefault="008134EB">
            <w:pPr>
              <w:pStyle w:val="TableParagraph"/>
              <w:spacing w:before="121"/>
              <w:ind w:left="1249" w:hanging="360"/>
            </w:pPr>
            <w:r>
              <w:t>d.</w:t>
            </w:r>
            <w:r>
              <w:rPr>
                <w:spacing w:val="80"/>
              </w:rPr>
              <w:t xml:space="preserve"> </w:t>
            </w:r>
            <w:r>
              <w:t>Identify</w:t>
            </w:r>
            <w:r>
              <w:rPr>
                <w:spacing w:val="-4"/>
              </w:rPr>
              <w:t xml:space="preserve"> </w:t>
            </w:r>
            <w:r>
              <w:t>material</w:t>
            </w:r>
            <w:r>
              <w:rPr>
                <w:spacing w:val="-4"/>
              </w:rPr>
              <w:t xml:space="preserve"> </w:t>
            </w:r>
            <w:r>
              <w:t>line</w:t>
            </w:r>
            <w:r>
              <w:rPr>
                <w:spacing w:val="-5"/>
              </w:rPr>
              <w:t xml:space="preserve"> </w:t>
            </w:r>
            <w:r>
              <w:t>items,</w:t>
            </w:r>
            <w:r>
              <w:rPr>
                <w:spacing w:val="-4"/>
              </w:rPr>
              <w:t xml:space="preserve"> </w:t>
            </w:r>
            <w:r>
              <w:t>accounts,</w:t>
            </w:r>
            <w:r>
              <w:rPr>
                <w:spacing w:val="-4"/>
              </w:rPr>
              <w:t xml:space="preserve"> </w:t>
            </w:r>
            <w:r>
              <w:t>note</w:t>
            </w:r>
            <w:r>
              <w:rPr>
                <w:spacing w:val="-4"/>
              </w:rPr>
              <w:t xml:space="preserve"> </w:t>
            </w:r>
            <w:r>
              <w:t>disclosures,</w:t>
            </w:r>
            <w:r>
              <w:rPr>
                <w:spacing w:val="-4"/>
              </w:rPr>
              <w:t xml:space="preserve"> </w:t>
            </w:r>
            <w:r>
              <w:t>and classes of transactions; applicable assertions; significant business process applications; and significant manual processes? (FAM 235)</w:t>
            </w:r>
          </w:p>
        </w:tc>
        <w:tc>
          <w:tcPr>
            <w:tcW w:w="810" w:type="dxa"/>
            <w:tcBorders>
              <w:top w:val="single" w:sz="6" w:space="0" w:color="000000"/>
              <w:left w:val="single" w:sz="6" w:space="0" w:color="000000"/>
              <w:bottom w:val="single" w:sz="6" w:space="0" w:color="000000"/>
              <w:right w:val="single" w:sz="6" w:space="0" w:color="000000"/>
            </w:tcBorders>
          </w:tcPr>
          <w:p w14:paraId="0DFDCD44"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45" w14:textId="77777777" w:rsidR="00046465" w:rsidRDefault="00046465">
            <w:pPr>
              <w:pStyle w:val="TableParagraph"/>
              <w:rPr>
                <w:rFonts w:ascii="Times New Roman"/>
              </w:rPr>
            </w:pPr>
          </w:p>
        </w:tc>
      </w:tr>
      <w:tr w:rsidR="00046465" w14:paraId="0DFDCD4A" w14:textId="77777777">
        <w:trPr>
          <w:trHeight w:val="745"/>
        </w:trPr>
        <w:tc>
          <w:tcPr>
            <w:tcW w:w="7380" w:type="dxa"/>
            <w:tcBorders>
              <w:top w:val="single" w:sz="6" w:space="0" w:color="000000"/>
              <w:bottom w:val="single" w:sz="6" w:space="0" w:color="000000"/>
              <w:right w:val="single" w:sz="6" w:space="0" w:color="000000"/>
            </w:tcBorders>
          </w:tcPr>
          <w:p w14:paraId="0DFDCD47" w14:textId="77777777" w:rsidR="00046465" w:rsidRDefault="008134EB">
            <w:pPr>
              <w:pStyle w:val="TableParagraph"/>
              <w:spacing w:before="119"/>
              <w:ind w:left="1249" w:hanging="360"/>
            </w:pPr>
            <w:r>
              <w:t>e.</w:t>
            </w:r>
            <w:r>
              <w:rPr>
                <w:spacing w:val="80"/>
              </w:rPr>
              <w:t xml:space="preserve"> </w:t>
            </w:r>
            <w:r>
              <w:t>Identify</w:t>
            </w:r>
            <w:r>
              <w:rPr>
                <w:spacing w:val="-5"/>
              </w:rPr>
              <w:t xml:space="preserve"> </w:t>
            </w:r>
            <w:r>
              <w:t>significant</w:t>
            </w:r>
            <w:r>
              <w:rPr>
                <w:spacing w:val="-5"/>
              </w:rPr>
              <w:t xml:space="preserve"> </w:t>
            </w:r>
            <w:r>
              <w:t>provisions</w:t>
            </w:r>
            <w:r>
              <w:rPr>
                <w:spacing w:val="-5"/>
              </w:rPr>
              <w:t xml:space="preserve"> </w:t>
            </w:r>
            <w:r>
              <w:t>of</w:t>
            </w:r>
            <w:r>
              <w:rPr>
                <w:spacing w:val="-5"/>
              </w:rPr>
              <w:t xml:space="preserve"> </w:t>
            </w:r>
            <w:r>
              <w:t>applicable</w:t>
            </w:r>
            <w:r>
              <w:rPr>
                <w:spacing w:val="-4"/>
              </w:rPr>
              <w:t xml:space="preserve"> </w:t>
            </w:r>
            <w:r>
              <w:t>laws</w:t>
            </w:r>
            <w:r>
              <w:rPr>
                <w:spacing w:val="-5"/>
              </w:rPr>
              <w:t xml:space="preserve"> </w:t>
            </w:r>
            <w:r>
              <w:t>and regulations? (FAM 245)</w:t>
            </w:r>
          </w:p>
        </w:tc>
        <w:tc>
          <w:tcPr>
            <w:tcW w:w="810" w:type="dxa"/>
            <w:tcBorders>
              <w:top w:val="single" w:sz="6" w:space="0" w:color="000000"/>
              <w:left w:val="single" w:sz="6" w:space="0" w:color="000000"/>
              <w:bottom w:val="single" w:sz="6" w:space="0" w:color="000000"/>
              <w:right w:val="single" w:sz="6" w:space="0" w:color="000000"/>
            </w:tcBorders>
          </w:tcPr>
          <w:p w14:paraId="0DFDCD48"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49" w14:textId="77777777" w:rsidR="00046465" w:rsidRDefault="00046465">
            <w:pPr>
              <w:pStyle w:val="TableParagraph"/>
              <w:rPr>
                <w:rFonts w:ascii="Times New Roman"/>
              </w:rPr>
            </w:pPr>
          </w:p>
        </w:tc>
      </w:tr>
      <w:tr w:rsidR="00046465" w14:paraId="0DFDCD4E" w14:textId="77777777">
        <w:trPr>
          <w:trHeight w:val="745"/>
        </w:trPr>
        <w:tc>
          <w:tcPr>
            <w:tcW w:w="7380" w:type="dxa"/>
            <w:tcBorders>
              <w:top w:val="single" w:sz="6" w:space="0" w:color="000000"/>
              <w:bottom w:val="single" w:sz="6" w:space="0" w:color="000000"/>
              <w:right w:val="single" w:sz="6" w:space="0" w:color="000000"/>
            </w:tcBorders>
          </w:tcPr>
          <w:p w14:paraId="0DFDCD4B" w14:textId="77777777" w:rsidR="00046465" w:rsidRDefault="008134EB">
            <w:pPr>
              <w:pStyle w:val="TableParagraph"/>
              <w:tabs>
                <w:tab w:val="left" w:pos="1249"/>
              </w:tabs>
              <w:spacing w:before="119"/>
              <w:ind w:left="1249" w:right="193" w:hanging="360"/>
            </w:pPr>
            <w:r>
              <w:rPr>
                <w:spacing w:val="-6"/>
              </w:rPr>
              <w:t>f.</w:t>
            </w:r>
            <w:r>
              <w:tab/>
              <w:t>Determine</w:t>
            </w:r>
            <w:r>
              <w:rPr>
                <w:spacing w:val="-6"/>
              </w:rPr>
              <w:t xml:space="preserve"> </w:t>
            </w:r>
            <w:r>
              <w:t>the</w:t>
            </w:r>
            <w:r>
              <w:rPr>
                <w:spacing w:val="-6"/>
              </w:rPr>
              <w:t xml:space="preserve"> </w:t>
            </w:r>
            <w:r>
              <w:t>approach</w:t>
            </w:r>
            <w:r>
              <w:rPr>
                <w:spacing w:val="-7"/>
              </w:rPr>
              <w:t xml:space="preserve"> </w:t>
            </w:r>
            <w:r>
              <w:t>for</w:t>
            </w:r>
            <w:r>
              <w:rPr>
                <w:spacing w:val="-6"/>
              </w:rPr>
              <w:t xml:space="preserve"> </w:t>
            </w:r>
            <w:r>
              <w:t>identifying</w:t>
            </w:r>
            <w:r>
              <w:rPr>
                <w:spacing w:val="-6"/>
              </w:rPr>
              <w:t xml:space="preserve"> </w:t>
            </w:r>
            <w:r>
              <w:t>and</w:t>
            </w:r>
            <w:r>
              <w:rPr>
                <w:spacing w:val="-6"/>
              </w:rPr>
              <w:t xml:space="preserve"> </w:t>
            </w:r>
            <w:r>
              <w:t>testing</w:t>
            </w:r>
            <w:r>
              <w:rPr>
                <w:spacing w:val="-6"/>
              </w:rPr>
              <w:t xml:space="preserve"> </w:t>
            </w:r>
            <w:r>
              <w:t>significant provisions of contracts and grant agreements? (FAM 245)</w:t>
            </w:r>
          </w:p>
        </w:tc>
        <w:tc>
          <w:tcPr>
            <w:tcW w:w="810" w:type="dxa"/>
            <w:tcBorders>
              <w:top w:val="single" w:sz="6" w:space="0" w:color="000000"/>
              <w:left w:val="single" w:sz="6" w:space="0" w:color="000000"/>
              <w:bottom w:val="single" w:sz="6" w:space="0" w:color="000000"/>
              <w:right w:val="single" w:sz="6" w:space="0" w:color="000000"/>
            </w:tcBorders>
          </w:tcPr>
          <w:p w14:paraId="0DFDCD4C"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4D" w14:textId="77777777" w:rsidR="00046465" w:rsidRDefault="00046465">
            <w:pPr>
              <w:pStyle w:val="TableParagraph"/>
              <w:rPr>
                <w:rFonts w:ascii="Times New Roman"/>
              </w:rPr>
            </w:pPr>
          </w:p>
        </w:tc>
      </w:tr>
      <w:tr w:rsidR="00046465" w14:paraId="0DFDCD52" w14:textId="77777777">
        <w:trPr>
          <w:trHeight w:val="493"/>
        </w:trPr>
        <w:tc>
          <w:tcPr>
            <w:tcW w:w="7380" w:type="dxa"/>
            <w:tcBorders>
              <w:top w:val="single" w:sz="6" w:space="0" w:color="000000"/>
              <w:bottom w:val="single" w:sz="6" w:space="0" w:color="000000"/>
              <w:right w:val="single" w:sz="6" w:space="0" w:color="000000"/>
            </w:tcBorders>
          </w:tcPr>
          <w:p w14:paraId="0DFDCD4F" w14:textId="77777777" w:rsidR="00046465" w:rsidRDefault="008134EB">
            <w:pPr>
              <w:pStyle w:val="TableParagraph"/>
              <w:spacing w:before="121"/>
              <w:ind w:left="889"/>
            </w:pPr>
            <w:r>
              <w:t>g.</w:t>
            </w:r>
            <w:r>
              <w:rPr>
                <w:spacing w:val="68"/>
                <w:w w:val="150"/>
              </w:rPr>
              <w:t xml:space="preserve"> </w:t>
            </w:r>
            <w:r>
              <w:t>Identify</w:t>
            </w:r>
            <w:r>
              <w:rPr>
                <w:spacing w:val="-6"/>
              </w:rPr>
              <w:t xml:space="preserve"> </w:t>
            </w:r>
            <w:r>
              <w:t>relevant</w:t>
            </w:r>
            <w:r>
              <w:rPr>
                <w:spacing w:val="-5"/>
              </w:rPr>
              <w:t xml:space="preserve"> </w:t>
            </w:r>
            <w:r>
              <w:t>budget</w:t>
            </w:r>
            <w:r>
              <w:rPr>
                <w:spacing w:val="-7"/>
              </w:rPr>
              <w:t xml:space="preserve"> </w:t>
            </w:r>
            <w:r>
              <w:t>restrictions?</w:t>
            </w:r>
            <w:r>
              <w:rPr>
                <w:spacing w:val="-6"/>
              </w:rPr>
              <w:t xml:space="preserve"> </w:t>
            </w:r>
            <w:r>
              <w:t>(FAM</w:t>
            </w:r>
            <w:r>
              <w:rPr>
                <w:spacing w:val="-7"/>
              </w:rPr>
              <w:t xml:space="preserve"> </w:t>
            </w:r>
            <w:r>
              <w:rPr>
                <w:spacing w:val="-4"/>
              </w:rPr>
              <w:t>250)</w:t>
            </w:r>
          </w:p>
        </w:tc>
        <w:tc>
          <w:tcPr>
            <w:tcW w:w="810" w:type="dxa"/>
            <w:tcBorders>
              <w:top w:val="single" w:sz="6" w:space="0" w:color="000000"/>
              <w:left w:val="single" w:sz="6" w:space="0" w:color="000000"/>
              <w:bottom w:val="single" w:sz="6" w:space="0" w:color="000000"/>
              <w:right w:val="single" w:sz="6" w:space="0" w:color="000000"/>
            </w:tcBorders>
          </w:tcPr>
          <w:p w14:paraId="0DFDCD50"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51" w14:textId="77777777" w:rsidR="00046465" w:rsidRDefault="00046465">
            <w:pPr>
              <w:pStyle w:val="TableParagraph"/>
              <w:rPr>
                <w:rFonts w:ascii="Times New Roman"/>
              </w:rPr>
            </w:pPr>
          </w:p>
        </w:tc>
      </w:tr>
      <w:tr w:rsidR="00046465" w14:paraId="0DFDCD56" w14:textId="77777777">
        <w:trPr>
          <w:trHeight w:val="998"/>
        </w:trPr>
        <w:tc>
          <w:tcPr>
            <w:tcW w:w="7380" w:type="dxa"/>
            <w:tcBorders>
              <w:top w:val="single" w:sz="6" w:space="0" w:color="000000"/>
              <w:bottom w:val="single" w:sz="6" w:space="0" w:color="000000"/>
              <w:right w:val="single" w:sz="6" w:space="0" w:color="000000"/>
            </w:tcBorders>
          </w:tcPr>
          <w:p w14:paraId="0DFDCD53" w14:textId="77777777" w:rsidR="00046465" w:rsidRDefault="008134EB">
            <w:pPr>
              <w:pStyle w:val="TableParagraph"/>
              <w:spacing w:before="119"/>
              <w:ind w:left="1249" w:hanging="360"/>
            </w:pPr>
            <w:r>
              <w:t>h.</w:t>
            </w:r>
            <w:r>
              <w:rPr>
                <w:spacing w:val="80"/>
              </w:rPr>
              <w:t xml:space="preserve"> </w:t>
            </w:r>
            <w:r>
              <w:t>Evaluate</w:t>
            </w:r>
            <w:r>
              <w:rPr>
                <w:spacing w:val="-3"/>
              </w:rPr>
              <w:t xml:space="preserve"> </w:t>
            </w:r>
            <w:r>
              <w:t>the</w:t>
            </w:r>
            <w:r>
              <w:rPr>
                <w:spacing w:val="-4"/>
              </w:rPr>
              <w:t xml:space="preserve"> </w:t>
            </w:r>
            <w:r>
              <w:t>design</w:t>
            </w:r>
            <w:r>
              <w:rPr>
                <w:spacing w:val="-3"/>
              </w:rPr>
              <w:t xml:space="preserve"> </w:t>
            </w:r>
            <w:r>
              <w:t>of</w:t>
            </w:r>
            <w:r>
              <w:rPr>
                <w:spacing w:val="-4"/>
              </w:rPr>
              <w:t xml:space="preserve"> </w:t>
            </w:r>
            <w:r>
              <w:t>the</w:t>
            </w:r>
            <w:r>
              <w:rPr>
                <w:spacing w:val="-3"/>
              </w:rPr>
              <w:t xml:space="preserve"> </w:t>
            </w:r>
            <w:r>
              <w:t>five</w:t>
            </w:r>
            <w:r>
              <w:rPr>
                <w:spacing w:val="-4"/>
              </w:rPr>
              <w:t xml:space="preserve"> </w:t>
            </w:r>
            <w:r>
              <w:t>components</w:t>
            </w:r>
            <w:r>
              <w:rPr>
                <w:spacing w:val="-3"/>
              </w:rPr>
              <w:t xml:space="preserve"> </w:t>
            </w:r>
            <w:r>
              <w:t>of</w:t>
            </w:r>
            <w:r>
              <w:rPr>
                <w:spacing w:val="-4"/>
              </w:rPr>
              <w:t xml:space="preserve"> </w:t>
            </w:r>
            <w:r>
              <w:t>internal</w:t>
            </w:r>
            <w:r>
              <w:rPr>
                <w:spacing w:val="-3"/>
              </w:rPr>
              <w:t xml:space="preserve"> </w:t>
            </w:r>
            <w:r>
              <w:t xml:space="preserve">control and determine whether they have been implemented? (FAM </w:t>
            </w:r>
            <w:r>
              <w:rPr>
                <w:spacing w:val="-4"/>
              </w:rPr>
              <w:t>260)</w:t>
            </w:r>
          </w:p>
        </w:tc>
        <w:tc>
          <w:tcPr>
            <w:tcW w:w="810" w:type="dxa"/>
            <w:tcBorders>
              <w:top w:val="single" w:sz="6" w:space="0" w:color="000000"/>
              <w:left w:val="single" w:sz="6" w:space="0" w:color="000000"/>
              <w:bottom w:val="single" w:sz="6" w:space="0" w:color="000000"/>
              <w:right w:val="single" w:sz="6" w:space="0" w:color="000000"/>
            </w:tcBorders>
          </w:tcPr>
          <w:p w14:paraId="0DFDCD54"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55" w14:textId="77777777" w:rsidR="00046465" w:rsidRDefault="00046465">
            <w:pPr>
              <w:pStyle w:val="TableParagraph"/>
              <w:rPr>
                <w:rFonts w:ascii="Times New Roman"/>
              </w:rPr>
            </w:pPr>
          </w:p>
        </w:tc>
      </w:tr>
      <w:tr w:rsidR="00046465" w14:paraId="0DFDCD5A" w14:textId="77777777">
        <w:trPr>
          <w:trHeight w:val="1504"/>
        </w:trPr>
        <w:tc>
          <w:tcPr>
            <w:tcW w:w="7380" w:type="dxa"/>
            <w:tcBorders>
              <w:top w:val="single" w:sz="6" w:space="0" w:color="000000"/>
              <w:bottom w:val="single" w:sz="6" w:space="0" w:color="000000"/>
              <w:right w:val="single" w:sz="6" w:space="0" w:color="000000"/>
            </w:tcBorders>
          </w:tcPr>
          <w:p w14:paraId="0DFDCD57" w14:textId="77777777" w:rsidR="00046465" w:rsidRDefault="008134EB">
            <w:pPr>
              <w:pStyle w:val="TableParagraph"/>
              <w:tabs>
                <w:tab w:val="left" w:pos="1249"/>
              </w:tabs>
              <w:spacing w:before="119"/>
              <w:ind w:left="1249" w:right="179" w:hanging="361"/>
            </w:pPr>
            <w:r>
              <w:rPr>
                <w:spacing w:val="-6"/>
              </w:rPr>
              <w:t>i.</w:t>
            </w:r>
            <w:r>
              <w:tab/>
              <w:t>Identify the methodology the auditor plans to use to assess IS</w:t>
            </w:r>
            <w:r>
              <w:rPr>
                <w:spacing w:val="-5"/>
              </w:rPr>
              <w:t xml:space="preserve"> </w:t>
            </w:r>
            <w:r>
              <w:t>controls</w:t>
            </w:r>
            <w:r>
              <w:rPr>
                <w:spacing w:val="-5"/>
              </w:rPr>
              <w:t xml:space="preserve"> </w:t>
            </w:r>
            <w:r>
              <w:t>and</w:t>
            </w:r>
            <w:r>
              <w:rPr>
                <w:spacing w:val="-5"/>
              </w:rPr>
              <w:t xml:space="preserve"> </w:t>
            </w:r>
            <w:r>
              <w:t>document</w:t>
            </w:r>
            <w:r>
              <w:rPr>
                <w:spacing w:val="-5"/>
              </w:rPr>
              <w:t xml:space="preserve"> </w:t>
            </w:r>
            <w:r>
              <w:t>the</w:t>
            </w:r>
            <w:r>
              <w:rPr>
                <w:spacing w:val="-5"/>
              </w:rPr>
              <w:t xml:space="preserve"> </w:t>
            </w:r>
            <w:r>
              <w:t>basis</w:t>
            </w:r>
            <w:r>
              <w:rPr>
                <w:spacing w:val="-5"/>
              </w:rPr>
              <w:t xml:space="preserve"> </w:t>
            </w:r>
            <w:r>
              <w:t>for</w:t>
            </w:r>
            <w:r>
              <w:rPr>
                <w:spacing w:val="-5"/>
              </w:rPr>
              <w:t xml:space="preserve"> </w:t>
            </w:r>
            <w:r>
              <w:t>determining</w:t>
            </w:r>
            <w:r>
              <w:rPr>
                <w:spacing w:val="-5"/>
              </w:rPr>
              <w:t xml:space="preserve"> </w:t>
            </w:r>
            <w:r>
              <w:t>that</w:t>
            </w:r>
            <w:r>
              <w:rPr>
                <w:spacing w:val="-5"/>
              </w:rPr>
              <w:t xml:space="preserve"> </w:t>
            </w:r>
            <w:r>
              <w:t xml:space="preserve">such methodology is appropriate? (GAO auditors should use the </w:t>
            </w:r>
            <w:r>
              <w:rPr>
                <w:i/>
              </w:rPr>
              <w:t>Federal Information System Controls Audit Manual (</w:t>
            </w:r>
            <w:r>
              <w:t>FISCAM).) (FAM 260)</w:t>
            </w:r>
          </w:p>
        </w:tc>
        <w:tc>
          <w:tcPr>
            <w:tcW w:w="810" w:type="dxa"/>
            <w:tcBorders>
              <w:top w:val="single" w:sz="6" w:space="0" w:color="000000"/>
              <w:left w:val="single" w:sz="6" w:space="0" w:color="000000"/>
              <w:bottom w:val="single" w:sz="6" w:space="0" w:color="000000"/>
              <w:right w:val="single" w:sz="6" w:space="0" w:color="000000"/>
            </w:tcBorders>
          </w:tcPr>
          <w:p w14:paraId="0DFDCD58"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59" w14:textId="77777777" w:rsidR="00046465" w:rsidRDefault="00046465">
            <w:pPr>
              <w:pStyle w:val="TableParagraph"/>
              <w:rPr>
                <w:rFonts w:ascii="Times New Roman"/>
              </w:rPr>
            </w:pPr>
          </w:p>
        </w:tc>
      </w:tr>
      <w:tr w:rsidR="00046465" w14:paraId="0DFDCD5E" w14:textId="77777777">
        <w:trPr>
          <w:trHeight w:val="1252"/>
        </w:trPr>
        <w:tc>
          <w:tcPr>
            <w:tcW w:w="7380" w:type="dxa"/>
            <w:tcBorders>
              <w:top w:val="single" w:sz="6" w:space="0" w:color="000000"/>
              <w:bottom w:val="single" w:sz="6" w:space="0" w:color="000000"/>
              <w:right w:val="single" w:sz="6" w:space="0" w:color="000000"/>
            </w:tcBorders>
          </w:tcPr>
          <w:p w14:paraId="0DFDCD5B" w14:textId="77777777" w:rsidR="00046465" w:rsidRDefault="008134EB">
            <w:pPr>
              <w:pStyle w:val="TableParagraph"/>
              <w:tabs>
                <w:tab w:val="left" w:pos="1249"/>
              </w:tabs>
              <w:spacing w:before="119"/>
              <w:ind w:left="1249" w:right="351" w:hanging="361"/>
            </w:pPr>
            <w:r>
              <w:rPr>
                <w:spacing w:val="-6"/>
              </w:rPr>
              <w:t>j.</w:t>
            </w:r>
            <w:r>
              <w:tab/>
              <w:t>Design the audit to achieve an acceptable level of audit assurance</w:t>
            </w:r>
            <w:r>
              <w:rPr>
                <w:spacing w:val="-5"/>
              </w:rPr>
              <w:t xml:space="preserve"> </w:t>
            </w:r>
            <w:r>
              <w:t>that</w:t>
            </w:r>
            <w:r>
              <w:rPr>
                <w:spacing w:val="-5"/>
              </w:rPr>
              <w:t xml:space="preserve"> </w:t>
            </w:r>
            <w:r>
              <w:t>the</w:t>
            </w:r>
            <w:r>
              <w:rPr>
                <w:spacing w:val="-5"/>
              </w:rPr>
              <w:t xml:space="preserve"> </w:t>
            </w:r>
            <w:r>
              <w:t>financial</w:t>
            </w:r>
            <w:r>
              <w:rPr>
                <w:spacing w:val="-5"/>
              </w:rPr>
              <w:t xml:space="preserve"> </w:t>
            </w:r>
            <w:r>
              <w:t>statements</w:t>
            </w:r>
            <w:r>
              <w:rPr>
                <w:spacing w:val="-5"/>
              </w:rPr>
              <w:t xml:space="preserve"> </w:t>
            </w:r>
            <w:r>
              <w:t>as</w:t>
            </w:r>
            <w:r>
              <w:rPr>
                <w:spacing w:val="-5"/>
              </w:rPr>
              <w:t xml:space="preserve"> </w:t>
            </w:r>
            <w:r>
              <w:t>a</w:t>
            </w:r>
            <w:r>
              <w:rPr>
                <w:spacing w:val="-5"/>
              </w:rPr>
              <w:t xml:space="preserve"> </w:t>
            </w:r>
            <w:r>
              <w:t>whole</w:t>
            </w:r>
            <w:r>
              <w:rPr>
                <w:spacing w:val="-5"/>
              </w:rPr>
              <w:t xml:space="preserve"> </w:t>
            </w:r>
            <w:r>
              <w:t>are</w:t>
            </w:r>
            <w:r>
              <w:rPr>
                <w:spacing w:val="-5"/>
              </w:rPr>
              <w:t xml:space="preserve"> </w:t>
            </w:r>
            <w:r>
              <w:t>free from material misstatement, whether due to fraud or error? (GAO uses 95 percent.) (FAM 265)</w:t>
            </w:r>
          </w:p>
        </w:tc>
        <w:tc>
          <w:tcPr>
            <w:tcW w:w="810" w:type="dxa"/>
            <w:tcBorders>
              <w:top w:val="single" w:sz="6" w:space="0" w:color="000000"/>
              <w:left w:val="single" w:sz="6" w:space="0" w:color="000000"/>
              <w:bottom w:val="single" w:sz="6" w:space="0" w:color="000000"/>
              <w:right w:val="single" w:sz="6" w:space="0" w:color="000000"/>
            </w:tcBorders>
          </w:tcPr>
          <w:p w14:paraId="0DFDCD5C"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5D" w14:textId="77777777" w:rsidR="00046465" w:rsidRDefault="00046465">
            <w:pPr>
              <w:pStyle w:val="TableParagraph"/>
              <w:rPr>
                <w:rFonts w:ascii="Times New Roman"/>
              </w:rPr>
            </w:pPr>
          </w:p>
        </w:tc>
      </w:tr>
      <w:tr w:rsidR="00046465" w14:paraId="0DFDCD62" w14:textId="77777777">
        <w:trPr>
          <w:trHeight w:val="2263"/>
        </w:trPr>
        <w:tc>
          <w:tcPr>
            <w:tcW w:w="7380" w:type="dxa"/>
            <w:tcBorders>
              <w:top w:val="single" w:sz="6" w:space="0" w:color="000000"/>
              <w:bottom w:val="single" w:sz="6" w:space="0" w:color="000000"/>
              <w:right w:val="single" w:sz="6" w:space="0" w:color="000000"/>
            </w:tcBorders>
          </w:tcPr>
          <w:p w14:paraId="0DFDCD5F" w14:textId="77777777" w:rsidR="00046465" w:rsidRDefault="008134EB">
            <w:pPr>
              <w:pStyle w:val="TableParagraph"/>
              <w:spacing w:before="119"/>
              <w:ind w:left="1249" w:right="150" w:hanging="360"/>
            </w:pPr>
            <w:r>
              <w:t>k.</w:t>
            </w:r>
            <w:r>
              <w:rPr>
                <w:spacing w:val="80"/>
              </w:rPr>
              <w:t xml:space="preserve"> </w:t>
            </w:r>
            <w:r>
              <w:t>Brainstorm</w:t>
            </w:r>
            <w:r>
              <w:rPr>
                <w:spacing w:val="-5"/>
              </w:rPr>
              <w:t xml:space="preserve"> </w:t>
            </w:r>
            <w:r>
              <w:rPr>
                <w:color w:val="242424"/>
              </w:rPr>
              <w:t>among</w:t>
            </w:r>
            <w:r>
              <w:rPr>
                <w:color w:val="242424"/>
                <w:spacing w:val="-4"/>
              </w:rPr>
              <w:t xml:space="preserve"> </w:t>
            </w:r>
            <w:r>
              <w:rPr>
                <w:color w:val="242424"/>
              </w:rPr>
              <w:t>the</w:t>
            </w:r>
            <w:r>
              <w:rPr>
                <w:color w:val="242424"/>
                <w:spacing w:val="-4"/>
              </w:rPr>
              <w:t xml:space="preserve"> </w:t>
            </w:r>
            <w:r>
              <w:rPr>
                <w:color w:val="242424"/>
              </w:rPr>
              <w:t>engagement</w:t>
            </w:r>
            <w:r>
              <w:rPr>
                <w:color w:val="242424"/>
                <w:spacing w:val="-4"/>
              </w:rPr>
              <w:t xml:space="preserve"> </w:t>
            </w:r>
            <w:r>
              <w:rPr>
                <w:color w:val="242424"/>
              </w:rPr>
              <w:t>team</w:t>
            </w:r>
            <w:r>
              <w:rPr>
                <w:color w:val="242424"/>
                <w:spacing w:val="-5"/>
              </w:rPr>
              <w:t xml:space="preserve"> </w:t>
            </w:r>
            <w:r>
              <w:rPr>
                <w:color w:val="242424"/>
              </w:rPr>
              <w:t>members,</w:t>
            </w:r>
            <w:r>
              <w:rPr>
                <w:color w:val="242424"/>
                <w:spacing w:val="-4"/>
              </w:rPr>
              <w:t xml:space="preserve"> </w:t>
            </w:r>
            <w:r>
              <w:rPr>
                <w:color w:val="242424"/>
              </w:rPr>
              <w:t xml:space="preserve">including the first/engagement partner, about how and where the entity’s financial statements (at the financial statement and assertion levels) might be susceptible to material misstatement due to fraud or error, how management could perpetrate and conceal fraudulent financial reporting, and how assets of the entity could be misappropriated? </w:t>
            </w:r>
            <w:r>
              <w:t xml:space="preserve">(FAM </w:t>
            </w:r>
            <w:r>
              <w:rPr>
                <w:spacing w:val="-4"/>
              </w:rPr>
              <w:t>265)</w:t>
            </w:r>
          </w:p>
        </w:tc>
        <w:tc>
          <w:tcPr>
            <w:tcW w:w="810" w:type="dxa"/>
            <w:tcBorders>
              <w:top w:val="single" w:sz="6" w:space="0" w:color="000000"/>
              <w:left w:val="single" w:sz="6" w:space="0" w:color="000000"/>
              <w:bottom w:val="single" w:sz="6" w:space="0" w:color="000000"/>
              <w:right w:val="single" w:sz="6" w:space="0" w:color="000000"/>
            </w:tcBorders>
          </w:tcPr>
          <w:p w14:paraId="0DFDCD60"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61" w14:textId="77777777" w:rsidR="00046465" w:rsidRDefault="00046465">
            <w:pPr>
              <w:pStyle w:val="TableParagraph"/>
              <w:rPr>
                <w:rFonts w:ascii="Times New Roman"/>
              </w:rPr>
            </w:pPr>
          </w:p>
        </w:tc>
      </w:tr>
      <w:tr w:rsidR="00046465" w14:paraId="0DFDCD66" w14:textId="77777777">
        <w:trPr>
          <w:trHeight w:val="2012"/>
        </w:trPr>
        <w:tc>
          <w:tcPr>
            <w:tcW w:w="7380" w:type="dxa"/>
            <w:tcBorders>
              <w:top w:val="single" w:sz="6" w:space="0" w:color="000000"/>
              <w:right w:val="single" w:sz="6" w:space="0" w:color="000000"/>
            </w:tcBorders>
          </w:tcPr>
          <w:p w14:paraId="0DFDCD63" w14:textId="77777777" w:rsidR="00046465" w:rsidRDefault="008134EB">
            <w:pPr>
              <w:pStyle w:val="TableParagraph"/>
              <w:tabs>
                <w:tab w:val="left" w:pos="1249"/>
              </w:tabs>
              <w:spacing w:before="119"/>
              <w:ind w:left="1249" w:right="437" w:hanging="361"/>
            </w:pPr>
            <w:r>
              <w:rPr>
                <w:spacing w:val="-6"/>
              </w:rPr>
              <w:t>l.</w:t>
            </w:r>
            <w:r>
              <w:tab/>
              <w:t>Identify the risks of material misstatements due to error or fraud at the financial statement and assertion levels, including</w:t>
            </w:r>
            <w:r>
              <w:rPr>
                <w:spacing w:val="-7"/>
              </w:rPr>
              <w:t xml:space="preserve"> </w:t>
            </w:r>
            <w:r>
              <w:t>any</w:t>
            </w:r>
            <w:r>
              <w:rPr>
                <w:spacing w:val="-7"/>
              </w:rPr>
              <w:t xml:space="preserve"> </w:t>
            </w:r>
            <w:r>
              <w:t>related</w:t>
            </w:r>
            <w:r>
              <w:rPr>
                <w:spacing w:val="-7"/>
              </w:rPr>
              <w:t xml:space="preserve"> </w:t>
            </w:r>
            <w:r>
              <w:t>to</w:t>
            </w:r>
            <w:r>
              <w:rPr>
                <w:spacing w:val="-7"/>
              </w:rPr>
              <w:t xml:space="preserve"> </w:t>
            </w:r>
            <w:r>
              <w:t>revenue</w:t>
            </w:r>
            <w:r>
              <w:rPr>
                <w:spacing w:val="-7"/>
              </w:rPr>
              <w:t xml:space="preserve"> </w:t>
            </w:r>
            <w:r>
              <w:t>recognition,</w:t>
            </w:r>
            <w:r>
              <w:rPr>
                <w:spacing w:val="-7"/>
              </w:rPr>
              <w:t xml:space="preserve"> </w:t>
            </w:r>
            <w:r>
              <w:t>management override of controls, significant unusual transactions, disclosure entities, related parties, and public-private partnerships; and exercise professional skepticism throughout the audit? (FAM 265)</w:t>
            </w:r>
          </w:p>
        </w:tc>
        <w:tc>
          <w:tcPr>
            <w:tcW w:w="810" w:type="dxa"/>
            <w:tcBorders>
              <w:top w:val="single" w:sz="6" w:space="0" w:color="000000"/>
              <w:left w:val="single" w:sz="6" w:space="0" w:color="000000"/>
              <w:right w:val="single" w:sz="6" w:space="0" w:color="000000"/>
            </w:tcBorders>
          </w:tcPr>
          <w:p w14:paraId="0DFDCD64" w14:textId="77777777" w:rsidR="00046465" w:rsidRDefault="00046465">
            <w:pPr>
              <w:pStyle w:val="TableParagraph"/>
              <w:rPr>
                <w:rFonts w:ascii="Times New Roman"/>
              </w:rPr>
            </w:pPr>
          </w:p>
        </w:tc>
        <w:tc>
          <w:tcPr>
            <w:tcW w:w="1309" w:type="dxa"/>
            <w:tcBorders>
              <w:top w:val="single" w:sz="6" w:space="0" w:color="000000"/>
              <w:left w:val="single" w:sz="6" w:space="0" w:color="000000"/>
            </w:tcBorders>
          </w:tcPr>
          <w:p w14:paraId="0DFDCD65" w14:textId="77777777" w:rsidR="00046465" w:rsidRDefault="00046465">
            <w:pPr>
              <w:pStyle w:val="TableParagraph"/>
              <w:rPr>
                <w:rFonts w:ascii="Times New Roman"/>
              </w:rPr>
            </w:pPr>
          </w:p>
        </w:tc>
      </w:tr>
    </w:tbl>
    <w:p w14:paraId="0DFDCD67"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CD68" w14:textId="77777777" w:rsidR="00046465" w:rsidRDefault="00046465">
      <w:pPr>
        <w:pStyle w:val="BodyText"/>
        <w:spacing w:before="9"/>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09"/>
      </w:tblGrid>
      <w:tr w:rsidR="00046465" w14:paraId="0DFDCD6F" w14:textId="77777777">
        <w:trPr>
          <w:trHeight w:val="937"/>
        </w:trPr>
        <w:tc>
          <w:tcPr>
            <w:tcW w:w="7380" w:type="dxa"/>
            <w:tcBorders>
              <w:bottom w:val="single" w:sz="6" w:space="0" w:color="000000"/>
              <w:right w:val="single" w:sz="6" w:space="0" w:color="000000"/>
            </w:tcBorders>
            <w:shd w:val="clear" w:color="auto" w:fill="A6A6A6"/>
          </w:tcPr>
          <w:p w14:paraId="0DFDCD69" w14:textId="77777777" w:rsidR="00046465" w:rsidRDefault="00046465">
            <w:pPr>
              <w:pStyle w:val="TableParagraph"/>
              <w:spacing w:before="266"/>
              <w:rPr>
                <w:b/>
                <w:sz w:val="24"/>
              </w:rPr>
            </w:pPr>
          </w:p>
          <w:p w14:paraId="0DFDCD6A" w14:textId="77777777" w:rsidR="00046465" w:rsidRDefault="008134EB">
            <w:pPr>
              <w:pStyle w:val="TableParagraph"/>
              <w:ind w:left="123"/>
              <w:rPr>
                <w:b/>
                <w:sz w:val="24"/>
              </w:rPr>
            </w:pPr>
            <w:r>
              <w:rPr>
                <w:b/>
                <w:sz w:val="24"/>
              </w:rPr>
              <w:t>Section</w:t>
            </w:r>
            <w:r>
              <w:rPr>
                <w:b/>
                <w:spacing w:val="-3"/>
                <w:sz w:val="24"/>
              </w:rPr>
              <w:t xml:space="preserve"> </w:t>
            </w:r>
            <w:r>
              <w:rPr>
                <w:b/>
                <w:sz w:val="24"/>
              </w:rPr>
              <w:t>I:</w:t>
            </w:r>
            <w:r>
              <w:rPr>
                <w:b/>
                <w:spacing w:val="-4"/>
                <w:sz w:val="24"/>
              </w:rPr>
              <w:t xml:space="preserve"> </w:t>
            </w:r>
            <w:r>
              <w:rPr>
                <w:b/>
                <w:sz w:val="24"/>
              </w:rPr>
              <w:t>Planning</w:t>
            </w:r>
            <w:r>
              <w:rPr>
                <w:b/>
                <w:spacing w:val="-2"/>
                <w:sz w:val="24"/>
              </w:rPr>
              <w:t xml:space="preserve"> </w:t>
            </w:r>
            <w:r>
              <w:rPr>
                <w:b/>
                <w:sz w:val="24"/>
              </w:rPr>
              <w:t>and</w:t>
            </w:r>
            <w:r>
              <w:rPr>
                <w:b/>
                <w:spacing w:val="-3"/>
                <w:sz w:val="24"/>
              </w:rPr>
              <w:t xml:space="preserve"> </w:t>
            </w:r>
            <w:r>
              <w:rPr>
                <w:b/>
                <w:sz w:val="24"/>
              </w:rPr>
              <w:t>Risk</w:t>
            </w:r>
            <w:r>
              <w:rPr>
                <w:b/>
                <w:spacing w:val="-2"/>
                <w:sz w:val="24"/>
              </w:rPr>
              <w:t xml:space="preserve"> Assessment</w:t>
            </w:r>
          </w:p>
        </w:tc>
        <w:tc>
          <w:tcPr>
            <w:tcW w:w="810" w:type="dxa"/>
            <w:tcBorders>
              <w:left w:val="single" w:sz="6" w:space="0" w:color="000000"/>
              <w:bottom w:val="single" w:sz="6" w:space="0" w:color="000000"/>
              <w:right w:val="single" w:sz="6" w:space="0" w:color="000000"/>
            </w:tcBorders>
            <w:shd w:val="clear" w:color="auto" w:fill="A6A6A6"/>
          </w:tcPr>
          <w:p w14:paraId="0DFDCD6B" w14:textId="77777777" w:rsidR="00046465" w:rsidRDefault="008134EB">
            <w:pPr>
              <w:pStyle w:val="TableParagraph"/>
              <w:spacing w:before="120"/>
              <w:ind w:left="138" w:right="201"/>
              <w:jc w:val="both"/>
              <w:rPr>
                <w:b/>
              </w:rPr>
            </w:pPr>
            <w:r>
              <w:rPr>
                <w:b/>
                <w:spacing w:val="-4"/>
              </w:rPr>
              <w:t>Yes, No,* N/A</w:t>
            </w:r>
          </w:p>
        </w:tc>
        <w:tc>
          <w:tcPr>
            <w:tcW w:w="1309" w:type="dxa"/>
            <w:tcBorders>
              <w:left w:val="single" w:sz="6" w:space="0" w:color="000000"/>
              <w:bottom w:val="single" w:sz="6" w:space="0" w:color="000000"/>
            </w:tcBorders>
            <w:shd w:val="clear" w:color="auto" w:fill="A6A6A6"/>
          </w:tcPr>
          <w:p w14:paraId="0DFDCD6C" w14:textId="77777777" w:rsidR="00046465" w:rsidRDefault="00046465">
            <w:pPr>
              <w:pStyle w:val="TableParagraph"/>
              <w:rPr>
                <w:b/>
              </w:rPr>
            </w:pPr>
          </w:p>
          <w:p w14:paraId="0DFDCD6D" w14:textId="77777777" w:rsidR="00046465" w:rsidRDefault="00046465">
            <w:pPr>
              <w:pStyle w:val="TableParagraph"/>
              <w:spacing w:before="120"/>
              <w:rPr>
                <w:b/>
              </w:rPr>
            </w:pPr>
          </w:p>
          <w:p w14:paraId="0DFDCD6E" w14:textId="77777777" w:rsidR="00046465" w:rsidRDefault="008134EB">
            <w:pPr>
              <w:pStyle w:val="TableParagraph"/>
              <w:ind w:left="214"/>
              <w:rPr>
                <w:b/>
              </w:rPr>
            </w:pPr>
            <w:r>
              <w:rPr>
                <w:b/>
              </w:rPr>
              <w:t>Doc.</w:t>
            </w:r>
            <w:r>
              <w:rPr>
                <w:b/>
                <w:spacing w:val="-6"/>
              </w:rPr>
              <w:t xml:space="preserve"> </w:t>
            </w:r>
            <w:r>
              <w:rPr>
                <w:b/>
                <w:spacing w:val="-4"/>
              </w:rPr>
              <w:t>ref.</w:t>
            </w:r>
          </w:p>
        </w:tc>
      </w:tr>
      <w:tr w:rsidR="00046465" w14:paraId="0DFDCD73" w14:textId="77777777">
        <w:trPr>
          <w:trHeight w:val="998"/>
        </w:trPr>
        <w:tc>
          <w:tcPr>
            <w:tcW w:w="7380" w:type="dxa"/>
            <w:tcBorders>
              <w:top w:val="single" w:sz="6" w:space="0" w:color="000000"/>
              <w:bottom w:val="single" w:sz="6" w:space="0" w:color="000000"/>
              <w:right w:val="single" w:sz="6" w:space="0" w:color="000000"/>
            </w:tcBorders>
          </w:tcPr>
          <w:p w14:paraId="0DFDCD70" w14:textId="77777777" w:rsidR="00046465" w:rsidRDefault="008134EB">
            <w:pPr>
              <w:pStyle w:val="TableParagraph"/>
              <w:spacing w:before="121"/>
              <w:ind w:left="1249" w:right="179" w:hanging="361"/>
            </w:pPr>
            <w:r>
              <w:t>m.</w:t>
            </w:r>
            <w:r>
              <w:rPr>
                <w:spacing w:val="40"/>
              </w:rPr>
              <w:t xml:space="preserve"> </w:t>
            </w:r>
            <w:r>
              <w:t>Assess</w:t>
            </w:r>
            <w:r>
              <w:rPr>
                <w:spacing w:val="-4"/>
              </w:rPr>
              <w:t xml:space="preserve"> </w:t>
            </w:r>
            <w:r>
              <w:t>the</w:t>
            </w:r>
            <w:r>
              <w:rPr>
                <w:spacing w:val="-4"/>
              </w:rPr>
              <w:t xml:space="preserve"> </w:t>
            </w:r>
            <w:r>
              <w:t>risks</w:t>
            </w:r>
            <w:r>
              <w:rPr>
                <w:spacing w:val="-4"/>
              </w:rPr>
              <w:t xml:space="preserve"> </w:t>
            </w:r>
            <w:r>
              <w:t>of</w:t>
            </w:r>
            <w:r>
              <w:rPr>
                <w:spacing w:val="-5"/>
              </w:rPr>
              <w:t xml:space="preserve"> </w:t>
            </w:r>
            <w:r>
              <w:t>material</w:t>
            </w:r>
            <w:r>
              <w:rPr>
                <w:spacing w:val="-4"/>
              </w:rPr>
              <w:t xml:space="preserve"> </w:t>
            </w:r>
            <w:r>
              <w:t>misstatements</w:t>
            </w:r>
            <w:r>
              <w:rPr>
                <w:spacing w:val="-4"/>
              </w:rPr>
              <w:t xml:space="preserve"> </w:t>
            </w:r>
            <w:r>
              <w:t>due</w:t>
            </w:r>
            <w:r>
              <w:rPr>
                <w:spacing w:val="-4"/>
              </w:rPr>
              <w:t xml:space="preserve"> </w:t>
            </w:r>
            <w:r>
              <w:t>to</w:t>
            </w:r>
            <w:r>
              <w:rPr>
                <w:spacing w:val="-4"/>
              </w:rPr>
              <w:t xml:space="preserve"> </w:t>
            </w:r>
            <w:r>
              <w:t>error</w:t>
            </w:r>
            <w:r>
              <w:rPr>
                <w:spacing w:val="-4"/>
              </w:rPr>
              <w:t xml:space="preserve"> </w:t>
            </w:r>
            <w:r>
              <w:t>or fraud at the financial statement level and design overall responses to address them? (FAM 265)</w:t>
            </w:r>
          </w:p>
        </w:tc>
        <w:tc>
          <w:tcPr>
            <w:tcW w:w="810" w:type="dxa"/>
            <w:tcBorders>
              <w:top w:val="single" w:sz="6" w:space="0" w:color="000000"/>
              <w:left w:val="single" w:sz="6" w:space="0" w:color="000000"/>
              <w:bottom w:val="single" w:sz="6" w:space="0" w:color="000000"/>
              <w:right w:val="single" w:sz="6" w:space="0" w:color="000000"/>
            </w:tcBorders>
          </w:tcPr>
          <w:p w14:paraId="0DFDCD71"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72" w14:textId="77777777" w:rsidR="00046465" w:rsidRDefault="00046465">
            <w:pPr>
              <w:pStyle w:val="TableParagraph"/>
              <w:rPr>
                <w:rFonts w:ascii="Times New Roman"/>
              </w:rPr>
            </w:pPr>
          </w:p>
        </w:tc>
      </w:tr>
      <w:tr w:rsidR="00046465" w14:paraId="0DFDCD77" w14:textId="77777777">
        <w:trPr>
          <w:trHeight w:val="885"/>
        </w:trPr>
        <w:tc>
          <w:tcPr>
            <w:tcW w:w="7380" w:type="dxa"/>
            <w:tcBorders>
              <w:top w:val="single" w:sz="6" w:space="0" w:color="000000"/>
              <w:bottom w:val="single" w:sz="6" w:space="0" w:color="000000"/>
              <w:right w:val="single" w:sz="6" w:space="0" w:color="000000"/>
            </w:tcBorders>
          </w:tcPr>
          <w:p w14:paraId="0DFDCD74" w14:textId="77777777" w:rsidR="00046465" w:rsidRDefault="008134EB">
            <w:pPr>
              <w:pStyle w:val="TableParagraph"/>
              <w:spacing w:before="121"/>
              <w:ind w:left="1249" w:hanging="360"/>
            </w:pPr>
            <w:r>
              <w:t>n.</w:t>
            </w:r>
            <w:r>
              <w:rPr>
                <w:spacing w:val="80"/>
              </w:rPr>
              <w:t xml:space="preserve"> </w:t>
            </w:r>
            <w:r>
              <w:t>Assess</w:t>
            </w:r>
            <w:r>
              <w:rPr>
                <w:spacing w:val="-4"/>
              </w:rPr>
              <w:t xml:space="preserve"> </w:t>
            </w:r>
            <w:r>
              <w:t>inherent</w:t>
            </w:r>
            <w:r>
              <w:rPr>
                <w:spacing w:val="-4"/>
              </w:rPr>
              <w:t xml:space="preserve"> </w:t>
            </w:r>
            <w:r>
              <w:t>risk</w:t>
            </w:r>
            <w:r>
              <w:rPr>
                <w:spacing w:val="-4"/>
              </w:rPr>
              <w:t xml:space="preserve"> </w:t>
            </w:r>
            <w:r>
              <w:t>for</w:t>
            </w:r>
            <w:r>
              <w:rPr>
                <w:spacing w:val="-6"/>
              </w:rPr>
              <w:t xml:space="preserve"> </w:t>
            </w:r>
            <w:r>
              <w:t>each</w:t>
            </w:r>
            <w:r>
              <w:rPr>
                <w:spacing w:val="-4"/>
              </w:rPr>
              <w:t xml:space="preserve"> </w:t>
            </w:r>
            <w:r>
              <w:t>identified</w:t>
            </w:r>
            <w:r>
              <w:rPr>
                <w:spacing w:val="-4"/>
              </w:rPr>
              <w:t xml:space="preserve"> </w:t>
            </w:r>
            <w:r>
              <w:t>risk</w:t>
            </w:r>
            <w:r>
              <w:rPr>
                <w:spacing w:val="-4"/>
              </w:rPr>
              <w:t xml:space="preserve"> </w:t>
            </w:r>
            <w:r>
              <w:t>of</w:t>
            </w:r>
            <w:r>
              <w:rPr>
                <w:spacing w:val="-4"/>
              </w:rPr>
              <w:t xml:space="preserve"> </w:t>
            </w:r>
            <w:r>
              <w:t>material misstatement at the assertion level? (FAM 265)</w:t>
            </w:r>
          </w:p>
        </w:tc>
        <w:tc>
          <w:tcPr>
            <w:tcW w:w="810" w:type="dxa"/>
            <w:tcBorders>
              <w:top w:val="single" w:sz="6" w:space="0" w:color="000000"/>
              <w:left w:val="single" w:sz="6" w:space="0" w:color="000000"/>
              <w:bottom w:val="single" w:sz="6" w:space="0" w:color="000000"/>
              <w:right w:val="single" w:sz="6" w:space="0" w:color="000000"/>
            </w:tcBorders>
          </w:tcPr>
          <w:p w14:paraId="0DFDCD75"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76" w14:textId="77777777" w:rsidR="00046465" w:rsidRDefault="00046465">
            <w:pPr>
              <w:pStyle w:val="TableParagraph"/>
              <w:rPr>
                <w:rFonts w:ascii="Times New Roman"/>
              </w:rPr>
            </w:pPr>
          </w:p>
        </w:tc>
      </w:tr>
      <w:tr w:rsidR="00046465" w14:paraId="0DFDCD7B" w14:textId="77777777">
        <w:trPr>
          <w:trHeight w:val="745"/>
        </w:trPr>
        <w:tc>
          <w:tcPr>
            <w:tcW w:w="7380" w:type="dxa"/>
            <w:tcBorders>
              <w:top w:val="single" w:sz="6" w:space="0" w:color="000000"/>
              <w:bottom w:val="single" w:sz="6" w:space="0" w:color="000000"/>
              <w:right w:val="single" w:sz="6" w:space="0" w:color="000000"/>
            </w:tcBorders>
          </w:tcPr>
          <w:p w14:paraId="0DFDCD78" w14:textId="77777777" w:rsidR="00046465" w:rsidRDefault="008134EB">
            <w:pPr>
              <w:pStyle w:val="TableParagraph"/>
              <w:spacing w:before="119"/>
              <w:ind w:left="1249" w:right="150" w:hanging="360"/>
            </w:pPr>
            <w:r>
              <w:t>o.</w:t>
            </w:r>
            <w:r>
              <w:rPr>
                <w:spacing w:val="80"/>
              </w:rPr>
              <w:t xml:space="preserve"> </w:t>
            </w:r>
            <w:r>
              <w:t>Identify</w:t>
            </w:r>
            <w:r>
              <w:rPr>
                <w:spacing w:val="-4"/>
              </w:rPr>
              <w:t xml:space="preserve"> </w:t>
            </w:r>
            <w:r>
              <w:t>relevant</w:t>
            </w:r>
            <w:r>
              <w:rPr>
                <w:spacing w:val="-4"/>
              </w:rPr>
              <w:t xml:space="preserve"> </w:t>
            </w:r>
            <w:r>
              <w:t>operations</w:t>
            </w:r>
            <w:r>
              <w:rPr>
                <w:spacing w:val="-4"/>
              </w:rPr>
              <w:t xml:space="preserve"> </w:t>
            </w:r>
            <w:r>
              <w:t>controls</w:t>
            </w:r>
            <w:r>
              <w:rPr>
                <w:spacing w:val="-5"/>
              </w:rPr>
              <w:t xml:space="preserve"> </w:t>
            </w:r>
            <w:r>
              <w:t>to</w:t>
            </w:r>
            <w:r>
              <w:rPr>
                <w:spacing w:val="-4"/>
              </w:rPr>
              <w:t xml:space="preserve"> </w:t>
            </w:r>
            <w:r>
              <w:t>evaluate</w:t>
            </w:r>
            <w:r>
              <w:rPr>
                <w:spacing w:val="-5"/>
              </w:rPr>
              <w:t xml:space="preserve"> </w:t>
            </w:r>
            <w:r>
              <w:t>and</w:t>
            </w:r>
            <w:r>
              <w:rPr>
                <w:spacing w:val="-4"/>
              </w:rPr>
              <w:t xml:space="preserve"> </w:t>
            </w:r>
            <w:r>
              <w:t>test? (FAM 270)</w:t>
            </w:r>
          </w:p>
        </w:tc>
        <w:tc>
          <w:tcPr>
            <w:tcW w:w="810" w:type="dxa"/>
            <w:tcBorders>
              <w:top w:val="single" w:sz="6" w:space="0" w:color="000000"/>
              <w:left w:val="single" w:sz="6" w:space="0" w:color="000000"/>
              <w:bottom w:val="single" w:sz="6" w:space="0" w:color="000000"/>
              <w:right w:val="single" w:sz="6" w:space="0" w:color="000000"/>
            </w:tcBorders>
          </w:tcPr>
          <w:p w14:paraId="0DFDCD79"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7A" w14:textId="77777777" w:rsidR="00046465" w:rsidRDefault="00046465">
            <w:pPr>
              <w:pStyle w:val="TableParagraph"/>
              <w:rPr>
                <w:rFonts w:ascii="Times New Roman"/>
              </w:rPr>
            </w:pPr>
          </w:p>
        </w:tc>
      </w:tr>
      <w:tr w:rsidR="00046465" w14:paraId="0DFDCD7F" w14:textId="77777777">
        <w:trPr>
          <w:trHeight w:val="1252"/>
        </w:trPr>
        <w:tc>
          <w:tcPr>
            <w:tcW w:w="7380" w:type="dxa"/>
            <w:tcBorders>
              <w:top w:val="single" w:sz="6" w:space="0" w:color="000000"/>
              <w:bottom w:val="single" w:sz="6" w:space="0" w:color="000000"/>
              <w:right w:val="single" w:sz="6" w:space="0" w:color="000000"/>
            </w:tcBorders>
          </w:tcPr>
          <w:p w14:paraId="0DFDCD7C" w14:textId="77777777" w:rsidR="00046465" w:rsidRDefault="008134EB">
            <w:pPr>
              <w:pStyle w:val="TableParagraph"/>
              <w:spacing w:before="121"/>
              <w:ind w:left="1249" w:right="216" w:hanging="360"/>
            </w:pPr>
            <w:r>
              <w:t>p.</w:t>
            </w:r>
            <w:r>
              <w:rPr>
                <w:spacing w:val="80"/>
              </w:rPr>
              <w:t xml:space="preserve"> </w:t>
            </w:r>
            <w:r>
              <w:t>Plan other procedures (e.g., legal inquiries, management representations, RSI, other information, and relationships and</w:t>
            </w:r>
            <w:r>
              <w:rPr>
                <w:spacing w:val="-6"/>
              </w:rPr>
              <w:t xml:space="preserve"> </w:t>
            </w:r>
            <w:r>
              <w:t>transactions</w:t>
            </w:r>
            <w:r>
              <w:rPr>
                <w:spacing w:val="-6"/>
              </w:rPr>
              <w:t xml:space="preserve"> </w:t>
            </w:r>
            <w:r>
              <w:t>with</w:t>
            </w:r>
            <w:r>
              <w:rPr>
                <w:spacing w:val="-6"/>
              </w:rPr>
              <w:t xml:space="preserve"> </w:t>
            </w:r>
            <w:r>
              <w:t>disclosure</w:t>
            </w:r>
            <w:r>
              <w:rPr>
                <w:spacing w:val="-6"/>
              </w:rPr>
              <w:t xml:space="preserve"> </w:t>
            </w:r>
            <w:r>
              <w:t>entities,</w:t>
            </w:r>
            <w:r>
              <w:rPr>
                <w:spacing w:val="-6"/>
              </w:rPr>
              <w:t xml:space="preserve"> </w:t>
            </w:r>
            <w:r>
              <w:t>related</w:t>
            </w:r>
            <w:r>
              <w:rPr>
                <w:spacing w:val="-7"/>
              </w:rPr>
              <w:t xml:space="preserve"> </w:t>
            </w:r>
            <w:r>
              <w:t>parties,</w:t>
            </w:r>
            <w:r>
              <w:rPr>
                <w:spacing w:val="-6"/>
              </w:rPr>
              <w:t xml:space="preserve"> </w:t>
            </w:r>
            <w:r>
              <w:t>and public-private partnerships)? (FAM 280)</w:t>
            </w:r>
          </w:p>
        </w:tc>
        <w:tc>
          <w:tcPr>
            <w:tcW w:w="810" w:type="dxa"/>
            <w:tcBorders>
              <w:top w:val="single" w:sz="6" w:space="0" w:color="000000"/>
              <w:left w:val="single" w:sz="6" w:space="0" w:color="000000"/>
              <w:bottom w:val="single" w:sz="6" w:space="0" w:color="000000"/>
              <w:right w:val="single" w:sz="6" w:space="0" w:color="000000"/>
            </w:tcBorders>
          </w:tcPr>
          <w:p w14:paraId="0DFDCD7D"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7E" w14:textId="77777777" w:rsidR="00046465" w:rsidRDefault="00046465">
            <w:pPr>
              <w:pStyle w:val="TableParagraph"/>
              <w:rPr>
                <w:rFonts w:ascii="Times New Roman"/>
              </w:rPr>
            </w:pPr>
          </w:p>
        </w:tc>
      </w:tr>
      <w:tr w:rsidR="00046465" w14:paraId="0DFDCD83" w14:textId="77777777">
        <w:trPr>
          <w:trHeight w:val="492"/>
        </w:trPr>
        <w:tc>
          <w:tcPr>
            <w:tcW w:w="7380" w:type="dxa"/>
            <w:tcBorders>
              <w:top w:val="single" w:sz="6" w:space="0" w:color="000000"/>
              <w:bottom w:val="single" w:sz="6" w:space="0" w:color="000000"/>
              <w:right w:val="single" w:sz="6" w:space="0" w:color="000000"/>
            </w:tcBorders>
          </w:tcPr>
          <w:p w14:paraId="0DFDCD80" w14:textId="77777777" w:rsidR="00046465" w:rsidRDefault="008134EB">
            <w:pPr>
              <w:pStyle w:val="TableParagraph"/>
              <w:spacing w:before="119"/>
              <w:ind w:left="889"/>
            </w:pPr>
            <w:r>
              <w:t>q.</w:t>
            </w:r>
            <w:r>
              <w:rPr>
                <w:spacing w:val="72"/>
                <w:w w:val="150"/>
              </w:rPr>
              <w:t xml:space="preserve"> </w:t>
            </w:r>
            <w:r>
              <w:t>Plan</w:t>
            </w:r>
            <w:r>
              <w:rPr>
                <w:spacing w:val="-4"/>
              </w:rPr>
              <w:t xml:space="preserve"> </w:t>
            </w:r>
            <w:r>
              <w:t>locations</w:t>
            </w:r>
            <w:r>
              <w:rPr>
                <w:spacing w:val="-4"/>
              </w:rPr>
              <w:t xml:space="preserve"> </w:t>
            </w:r>
            <w:r>
              <w:t>to</w:t>
            </w:r>
            <w:r>
              <w:rPr>
                <w:spacing w:val="-4"/>
              </w:rPr>
              <w:t xml:space="preserve"> </w:t>
            </w:r>
            <w:r>
              <w:t>test?</w:t>
            </w:r>
            <w:r>
              <w:rPr>
                <w:spacing w:val="-4"/>
              </w:rPr>
              <w:t xml:space="preserve"> </w:t>
            </w:r>
            <w:r>
              <w:t>(FAM</w:t>
            </w:r>
            <w:r>
              <w:rPr>
                <w:spacing w:val="-5"/>
              </w:rPr>
              <w:t xml:space="preserve"> </w:t>
            </w:r>
            <w:r>
              <w:rPr>
                <w:spacing w:val="-4"/>
              </w:rPr>
              <w:t>285)</w:t>
            </w:r>
          </w:p>
        </w:tc>
        <w:tc>
          <w:tcPr>
            <w:tcW w:w="810" w:type="dxa"/>
            <w:tcBorders>
              <w:top w:val="single" w:sz="6" w:space="0" w:color="000000"/>
              <w:left w:val="single" w:sz="6" w:space="0" w:color="000000"/>
              <w:bottom w:val="single" w:sz="6" w:space="0" w:color="000000"/>
              <w:right w:val="single" w:sz="6" w:space="0" w:color="000000"/>
            </w:tcBorders>
          </w:tcPr>
          <w:p w14:paraId="0DFDCD81"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82" w14:textId="77777777" w:rsidR="00046465" w:rsidRDefault="00046465">
            <w:pPr>
              <w:pStyle w:val="TableParagraph"/>
              <w:rPr>
                <w:rFonts w:ascii="Times New Roman"/>
              </w:rPr>
            </w:pPr>
          </w:p>
        </w:tc>
      </w:tr>
      <w:tr w:rsidR="00046465" w14:paraId="0DFDCD87" w14:textId="77777777">
        <w:trPr>
          <w:trHeight w:val="745"/>
        </w:trPr>
        <w:tc>
          <w:tcPr>
            <w:tcW w:w="7380" w:type="dxa"/>
            <w:tcBorders>
              <w:top w:val="single" w:sz="6" w:space="0" w:color="000000"/>
              <w:bottom w:val="single" w:sz="6" w:space="0" w:color="000000"/>
              <w:right w:val="single" w:sz="6" w:space="0" w:color="000000"/>
            </w:tcBorders>
          </w:tcPr>
          <w:p w14:paraId="0DFDCD84" w14:textId="77777777" w:rsidR="00046465" w:rsidRDefault="008134EB">
            <w:pPr>
              <w:pStyle w:val="TableParagraph"/>
              <w:tabs>
                <w:tab w:val="left" w:pos="1249"/>
              </w:tabs>
              <w:spacing w:before="121"/>
              <w:ind w:left="1249" w:right="1135" w:hanging="360"/>
            </w:pPr>
            <w:r>
              <w:rPr>
                <w:spacing w:val="-6"/>
              </w:rPr>
              <w:t>r.</w:t>
            </w:r>
            <w:r>
              <w:tab/>
              <w:t>Consider</w:t>
            </w:r>
            <w:r>
              <w:rPr>
                <w:spacing w:val="-8"/>
              </w:rPr>
              <w:t xml:space="preserve"> </w:t>
            </w:r>
            <w:r>
              <w:t>the</w:t>
            </w:r>
            <w:r>
              <w:rPr>
                <w:spacing w:val="-8"/>
              </w:rPr>
              <w:t xml:space="preserve"> </w:t>
            </w:r>
            <w:r>
              <w:t>appropriateness</w:t>
            </w:r>
            <w:r>
              <w:rPr>
                <w:spacing w:val="-8"/>
              </w:rPr>
              <w:t xml:space="preserve"> </w:t>
            </w:r>
            <w:r>
              <w:t>of</w:t>
            </w:r>
            <w:r>
              <w:rPr>
                <w:spacing w:val="-8"/>
              </w:rPr>
              <w:t xml:space="preserve"> </w:t>
            </w:r>
            <w:r>
              <w:t>performing</w:t>
            </w:r>
            <w:r>
              <w:rPr>
                <w:spacing w:val="-8"/>
              </w:rPr>
              <w:t xml:space="preserve"> </w:t>
            </w:r>
            <w:r>
              <w:t>interim substantive testing? (FAM 295 D)</w:t>
            </w:r>
          </w:p>
        </w:tc>
        <w:tc>
          <w:tcPr>
            <w:tcW w:w="810" w:type="dxa"/>
            <w:tcBorders>
              <w:top w:val="single" w:sz="6" w:space="0" w:color="000000"/>
              <w:left w:val="single" w:sz="6" w:space="0" w:color="000000"/>
              <w:bottom w:val="single" w:sz="6" w:space="0" w:color="000000"/>
              <w:right w:val="single" w:sz="6" w:space="0" w:color="000000"/>
            </w:tcBorders>
          </w:tcPr>
          <w:p w14:paraId="0DFDCD85"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86" w14:textId="77777777" w:rsidR="00046465" w:rsidRDefault="00046465">
            <w:pPr>
              <w:pStyle w:val="TableParagraph"/>
              <w:rPr>
                <w:rFonts w:ascii="Times New Roman"/>
              </w:rPr>
            </w:pPr>
          </w:p>
        </w:tc>
      </w:tr>
      <w:tr w:rsidR="00046465" w14:paraId="0DFDCD8B" w14:textId="77777777">
        <w:trPr>
          <w:trHeight w:val="493"/>
        </w:trPr>
        <w:tc>
          <w:tcPr>
            <w:tcW w:w="7380" w:type="dxa"/>
            <w:tcBorders>
              <w:top w:val="single" w:sz="6" w:space="0" w:color="000000"/>
              <w:bottom w:val="single" w:sz="6" w:space="0" w:color="000000"/>
              <w:right w:val="single" w:sz="6" w:space="0" w:color="000000"/>
            </w:tcBorders>
          </w:tcPr>
          <w:p w14:paraId="0DFDCD88" w14:textId="77777777" w:rsidR="00046465" w:rsidRDefault="008134EB">
            <w:pPr>
              <w:pStyle w:val="TableParagraph"/>
              <w:spacing w:before="121"/>
              <w:ind w:left="889"/>
            </w:pPr>
            <w:r>
              <w:t>s.</w:t>
            </w:r>
            <w:r>
              <w:rPr>
                <w:spacing w:val="77"/>
                <w:w w:val="150"/>
              </w:rPr>
              <w:t xml:space="preserve"> </w:t>
            </w:r>
            <w:r>
              <w:t>Determine</w:t>
            </w:r>
            <w:r>
              <w:rPr>
                <w:spacing w:val="-6"/>
              </w:rPr>
              <w:t xml:space="preserve"> </w:t>
            </w:r>
            <w:r>
              <w:t>staffing</w:t>
            </w:r>
            <w:r>
              <w:rPr>
                <w:spacing w:val="-7"/>
              </w:rPr>
              <w:t xml:space="preserve"> </w:t>
            </w:r>
            <w:r>
              <w:t>and</w:t>
            </w:r>
            <w:r>
              <w:rPr>
                <w:spacing w:val="-6"/>
              </w:rPr>
              <w:t xml:space="preserve"> </w:t>
            </w:r>
            <w:r>
              <w:t>review</w:t>
            </w:r>
            <w:r>
              <w:rPr>
                <w:spacing w:val="-7"/>
              </w:rPr>
              <w:t xml:space="preserve"> </w:t>
            </w:r>
            <w:r>
              <w:t>requirements?</w:t>
            </w:r>
            <w:r>
              <w:rPr>
                <w:spacing w:val="-6"/>
              </w:rPr>
              <w:t xml:space="preserve"> </w:t>
            </w:r>
            <w:r>
              <w:t>(FAM</w:t>
            </w:r>
            <w:r>
              <w:rPr>
                <w:spacing w:val="-7"/>
              </w:rPr>
              <w:t xml:space="preserve"> </w:t>
            </w:r>
            <w:r>
              <w:rPr>
                <w:spacing w:val="-4"/>
              </w:rPr>
              <w:t>290)</w:t>
            </w:r>
          </w:p>
        </w:tc>
        <w:tc>
          <w:tcPr>
            <w:tcW w:w="810" w:type="dxa"/>
            <w:tcBorders>
              <w:top w:val="single" w:sz="6" w:space="0" w:color="000000"/>
              <w:left w:val="single" w:sz="6" w:space="0" w:color="000000"/>
              <w:bottom w:val="single" w:sz="6" w:space="0" w:color="000000"/>
              <w:right w:val="single" w:sz="6" w:space="0" w:color="000000"/>
            </w:tcBorders>
          </w:tcPr>
          <w:p w14:paraId="0DFDCD89"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8A" w14:textId="77777777" w:rsidR="00046465" w:rsidRDefault="00046465">
            <w:pPr>
              <w:pStyle w:val="TableParagraph"/>
              <w:rPr>
                <w:rFonts w:ascii="Times New Roman"/>
              </w:rPr>
            </w:pPr>
          </w:p>
        </w:tc>
      </w:tr>
      <w:tr w:rsidR="00046465" w14:paraId="0DFDCD8F" w14:textId="77777777">
        <w:trPr>
          <w:trHeight w:val="745"/>
        </w:trPr>
        <w:tc>
          <w:tcPr>
            <w:tcW w:w="7380" w:type="dxa"/>
            <w:tcBorders>
              <w:top w:val="single" w:sz="6" w:space="0" w:color="000000"/>
              <w:bottom w:val="single" w:sz="6" w:space="0" w:color="000000"/>
              <w:right w:val="single" w:sz="6" w:space="0" w:color="000000"/>
            </w:tcBorders>
          </w:tcPr>
          <w:p w14:paraId="0DFDCD8C" w14:textId="77777777" w:rsidR="00046465" w:rsidRDefault="008134EB">
            <w:pPr>
              <w:pStyle w:val="TableParagraph"/>
              <w:tabs>
                <w:tab w:val="left" w:pos="1249"/>
              </w:tabs>
              <w:spacing w:before="119"/>
              <w:ind w:left="1249" w:right="999" w:hanging="360"/>
            </w:pPr>
            <w:r>
              <w:rPr>
                <w:spacing w:val="-6"/>
              </w:rPr>
              <w:t>t.</w:t>
            </w:r>
            <w:r>
              <w:tab/>
              <w:t>Determine</w:t>
            </w:r>
            <w:r>
              <w:rPr>
                <w:spacing w:val="-7"/>
              </w:rPr>
              <w:t xml:space="preserve"> </w:t>
            </w:r>
            <w:r>
              <w:t>audit</w:t>
            </w:r>
            <w:r>
              <w:rPr>
                <w:spacing w:val="-7"/>
              </w:rPr>
              <w:t xml:space="preserve"> </w:t>
            </w:r>
            <w:r>
              <w:t>timing,</w:t>
            </w:r>
            <w:r>
              <w:rPr>
                <w:spacing w:val="-7"/>
              </w:rPr>
              <w:t xml:space="preserve"> </w:t>
            </w:r>
            <w:r>
              <w:t>including</w:t>
            </w:r>
            <w:r>
              <w:rPr>
                <w:spacing w:val="-7"/>
              </w:rPr>
              <w:t xml:space="preserve"> </w:t>
            </w:r>
            <w:r>
              <w:t>milestones</w:t>
            </w:r>
            <w:r>
              <w:rPr>
                <w:spacing w:val="-7"/>
              </w:rPr>
              <w:t xml:space="preserve"> </w:t>
            </w:r>
            <w:r>
              <w:t>and</w:t>
            </w:r>
            <w:r>
              <w:rPr>
                <w:spacing w:val="-8"/>
              </w:rPr>
              <w:t xml:space="preserve"> </w:t>
            </w:r>
            <w:r>
              <w:t>the estimated date of the auditor’s report? (FAM 290)</w:t>
            </w:r>
          </w:p>
        </w:tc>
        <w:tc>
          <w:tcPr>
            <w:tcW w:w="810" w:type="dxa"/>
            <w:tcBorders>
              <w:top w:val="single" w:sz="6" w:space="0" w:color="000000"/>
              <w:left w:val="single" w:sz="6" w:space="0" w:color="000000"/>
              <w:bottom w:val="single" w:sz="6" w:space="0" w:color="000000"/>
              <w:right w:val="single" w:sz="6" w:space="0" w:color="000000"/>
            </w:tcBorders>
          </w:tcPr>
          <w:p w14:paraId="0DFDCD8D"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8E" w14:textId="77777777" w:rsidR="00046465" w:rsidRDefault="00046465">
            <w:pPr>
              <w:pStyle w:val="TableParagraph"/>
              <w:rPr>
                <w:rFonts w:ascii="Times New Roman"/>
              </w:rPr>
            </w:pPr>
          </w:p>
        </w:tc>
      </w:tr>
      <w:tr w:rsidR="00046465" w14:paraId="0DFDCD93" w14:textId="77777777">
        <w:trPr>
          <w:trHeight w:val="745"/>
        </w:trPr>
        <w:tc>
          <w:tcPr>
            <w:tcW w:w="7380" w:type="dxa"/>
            <w:tcBorders>
              <w:top w:val="single" w:sz="6" w:space="0" w:color="000000"/>
              <w:bottom w:val="single" w:sz="6" w:space="0" w:color="000000"/>
              <w:right w:val="single" w:sz="6" w:space="0" w:color="000000"/>
            </w:tcBorders>
          </w:tcPr>
          <w:p w14:paraId="0DFDCD90" w14:textId="77777777" w:rsidR="00046465" w:rsidRDefault="008134EB">
            <w:pPr>
              <w:pStyle w:val="TableParagraph"/>
              <w:spacing w:before="119"/>
              <w:ind w:left="1249" w:right="150" w:hanging="360"/>
            </w:pPr>
            <w:r>
              <w:t>u.</w:t>
            </w:r>
            <w:r>
              <w:rPr>
                <w:spacing w:val="80"/>
              </w:rPr>
              <w:t xml:space="preserve"> </w:t>
            </w:r>
            <w:r>
              <w:t>Determine</w:t>
            </w:r>
            <w:r>
              <w:rPr>
                <w:spacing w:val="-4"/>
              </w:rPr>
              <w:t xml:space="preserve"> </w:t>
            </w:r>
            <w:r>
              <w:t>the</w:t>
            </w:r>
            <w:r>
              <w:rPr>
                <w:spacing w:val="-4"/>
              </w:rPr>
              <w:t xml:space="preserve"> </w:t>
            </w:r>
            <w:r>
              <w:t>extent</w:t>
            </w:r>
            <w:r>
              <w:rPr>
                <w:spacing w:val="-4"/>
              </w:rPr>
              <w:t xml:space="preserve"> </w:t>
            </w:r>
            <w:r>
              <w:t>of</w:t>
            </w:r>
            <w:r>
              <w:rPr>
                <w:spacing w:val="-5"/>
              </w:rPr>
              <w:t xml:space="preserve"> </w:t>
            </w:r>
            <w:r>
              <w:t>assistance</w:t>
            </w:r>
            <w:r>
              <w:rPr>
                <w:spacing w:val="-4"/>
              </w:rPr>
              <w:t xml:space="preserve"> </w:t>
            </w:r>
            <w:r>
              <w:t>from</w:t>
            </w:r>
            <w:r>
              <w:rPr>
                <w:spacing w:val="-5"/>
              </w:rPr>
              <w:t xml:space="preserve"> </w:t>
            </w:r>
            <w:r>
              <w:t>entity</w:t>
            </w:r>
            <w:r>
              <w:rPr>
                <w:spacing w:val="-4"/>
              </w:rPr>
              <w:t xml:space="preserve"> </w:t>
            </w:r>
            <w:r>
              <w:t>personnel? (FAM 290)</w:t>
            </w:r>
          </w:p>
        </w:tc>
        <w:tc>
          <w:tcPr>
            <w:tcW w:w="810" w:type="dxa"/>
            <w:tcBorders>
              <w:top w:val="single" w:sz="6" w:space="0" w:color="000000"/>
              <w:left w:val="single" w:sz="6" w:space="0" w:color="000000"/>
              <w:bottom w:val="single" w:sz="6" w:space="0" w:color="000000"/>
              <w:right w:val="single" w:sz="6" w:space="0" w:color="000000"/>
            </w:tcBorders>
          </w:tcPr>
          <w:p w14:paraId="0DFDCD91"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92" w14:textId="77777777" w:rsidR="00046465" w:rsidRDefault="00046465">
            <w:pPr>
              <w:pStyle w:val="TableParagraph"/>
              <w:rPr>
                <w:rFonts w:ascii="Times New Roman"/>
              </w:rPr>
            </w:pPr>
          </w:p>
        </w:tc>
      </w:tr>
      <w:tr w:rsidR="00046465" w14:paraId="0DFDCD97" w14:textId="77777777">
        <w:trPr>
          <w:trHeight w:val="999"/>
        </w:trPr>
        <w:tc>
          <w:tcPr>
            <w:tcW w:w="7380" w:type="dxa"/>
            <w:tcBorders>
              <w:top w:val="single" w:sz="6" w:space="0" w:color="000000"/>
              <w:bottom w:val="single" w:sz="6" w:space="0" w:color="000000"/>
              <w:right w:val="single" w:sz="6" w:space="0" w:color="000000"/>
            </w:tcBorders>
          </w:tcPr>
          <w:p w14:paraId="0DFDCD94" w14:textId="77777777" w:rsidR="00046465" w:rsidRDefault="008134EB">
            <w:pPr>
              <w:pStyle w:val="TableParagraph"/>
              <w:spacing w:before="119"/>
              <w:ind w:left="843" w:right="203" w:hanging="360"/>
            </w:pPr>
            <w:r>
              <w:t>7.</w:t>
            </w:r>
            <w:r>
              <w:rPr>
                <w:spacing w:val="80"/>
              </w:rPr>
              <w:t xml:space="preserve"> </w:t>
            </w:r>
            <w:r>
              <w:t>Does</w:t>
            </w:r>
            <w:r>
              <w:rPr>
                <w:spacing w:val="-4"/>
              </w:rPr>
              <w:t xml:space="preserve"> </w:t>
            </w:r>
            <w:r>
              <w:t>the</w:t>
            </w:r>
            <w:r>
              <w:rPr>
                <w:spacing w:val="-4"/>
              </w:rPr>
              <w:t xml:space="preserve"> </w:t>
            </w:r>
            <w:r>
              <w:t>audit</w:t>
            </w:r>
            <w:r>
              <w:rPr>
                <w:spacing w:val="-4"/>
              </w:rPr>
              <w:t xml:space="preserve"> </w:t>
            </w:r>
            <w:r>
              <w:t>strategy</w:t>
            </w:r>
            <w:r>
              <w:rPr>
                <w:spacing w:val="-5"/>
              </w:rPr>
              <w:t xml:space="preserve"> </w:t>
            </w:r>
            <w:r>
              <w:t>consider</w:t>
            </w:r>
            <w:r>
              <w:rPr>
                <w:spacing w:val="-4"/>
              </w:rPr>
              <w:t xml:space="preserve"> </w:t>
            </w:r>
            <w:r>
              <w:t>findings</w:t>
            </w:r>
            <w:r>
              <w:rPr>
                <w:spacing w:val="-4"/>
              </w:rPr>
              <w:t xml:space="preserve"> </w:t>
            </w:r>
            <w:r>
              <w:t>and</w:t>
            </w:r>
            <w:r>
              <w:rPr>
                <w:spacing w:val="-4"/>
              </w:rPr>
              <w:t xml:space="preserve"> </w:t>
            </w:r>
            <w:r>
              <w:t>recommendations from previous audits that could affect the current audit objectives? (GAGAS (2018) 6.11)</w:t>
            </w:r>
          </w:p>
        </w:tc>
        <w:tc>
          <w:tcPr>
            <w:tcW w:w="810" w:type="dxa"/>
            <w:tcBorders>
              <w:top w:val="single" w:sz="6" w:space="0" w:color="000000"/>
              <w:left w:val="single" w:sz="6" w:space="0" w:color="000000"/>
              <w:bottom w:val="single" w:sz="6" w:space="0" w:color="000000"/>
              <w:right w:val="single" w:sz="6" w:space="0" w:color="000000"/>
            </w:tcBorders>
          </w:tcPr>
          <w:p w14:paraId="0DFDCD95"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tcPr>
          <w:p w14:paraId="0DFDCD96" w14:textId="77777777" w:rsidR="00046465" w:rsidRDefault="00046465">
            <w:pPr>
              <w:pStyle w:val="TableParagraph"/>
              <w:rPr>
                <w:rFonts w:ascii="Times New Roman"/>
              </w:rPr>
            </w:pPr>
          </w:p>
        </w:tc>
      </w:tr>
      <w:tr w:rsidR="00046465" w14:paraId="0DFDCD9B" w14:textId="77777777">
        <w:trPr>
          <w:trHeight w:val="999"/>
        </w:trPr>
        <w:tc>
          <w:tcPr>
            <w:tcW w:w="7380" w:type="dxa"/>
            <w:tcBorders>
              <w:top w:val="single" w:sz="6" w:space="0" w:color="000000"/>
              <w:right w:val="single" w:sz="6" w:space="0" w:color="000000"/>
            </w:tcBorders>
          </w:tcPr>
          <w:p w14:paraId="0DFDCD98" w14:textId="77777777" w:rsidR="00046465" w:rsidRDefault="008134EB">
            <w:pPr>
              <w:pStyle w:val="TableParagraph"/>
              <w:spacing w:before="119"/>
              <w:ind w:left="843" w:hanging="360"/>
            </w:pPr>
            <w:r>
              <w:t>8.</w:t>
            </w:r>
            <w:r>
              <w:rPr>
                <w:spacing w:val="80"/>
              </w:rPr>
              <w:t xml:space="preserve"> </w:t>
            </w:r>
            <w:r>
              <w:t>Did the auditor identify compliance controls over significant provisions</w:t>
            </w:r>
            <w:r>
              <w:rPr>
                <w:spacing w:val="-6"/>
              </w:rPr>
              <w:t xml:space="preserve"> </w:t>
            </w:r>
            <w:r>
              <w:t>of</w:t>
            </w:r>
            <w:r>
              <w:rPr>
                <w:spacing w:val="-6"/>
              </w:rPr>
              <w:t xml:space="preserve"> </w:t>
            </w:r>
            <w:r>
              <w:t>applicable</w:t>
            </w:r>
            <w:r>
              <w:rPr>
                <w:spacing w:val="-6"/>
              </w:rPr>
              <w:t xml:space="preserve"> </w:t>
            </w:r>
            <w:r>
              <w:t>laws,</w:t>
            </w:r>
            <w:r>
              <w:rPr>
                <w:spacing w:val="-6"/>
              </w:rPr>
              <w:t xml:space="preserve"> </w:t>
            </w:r>
            <w:r>
              <w:t>regulations,</w:t>
            </w:r>
            <w:r>
              <w:rPr>
                <w:spacing w:val="-6"/>
              </w:rPr>
              <w:t xml:space="preserve"> </w:t>
            </w:r>
            <w:r>
              <w:t>contracts,</w:t>
            </w:r>
            <w:r>
              <w:rPr>
                <w:spacing w:val="-6"/>
              </w:rPr>
              <w:t xml:space="preserve"> </w:t>
            </w:r>
            <w:r>
              <w:t>and</w:t>
            </w:r>
            <w:r>
              <w:rPr>
                <w:spacing w:val="-6"/>
              </w:rPr>
              <w:t xml:space="preserve"> </w:t>
            </w:r>
            <w:r>
              <w:t>grant agreements? (FAM 245, 310, and 330)</w:t>
            </w:r>
          </w:p>
        </w:tc>
        <w:tc>
          <w:tcPr>
            <w:tcW w:w="810" w:type="dxa"/>
            <w:tcBorders>
              <w:top w:val="single" w:sz="6" w:space="0" w:color="000000"/>
              <w:left w:val="single" w:sz="6" w:space="0" w:color="000000"/>
              <w:right w:val="single" w:sz="6" w:space="0" w:color="000000"/>
            </w:tcBorders>
          </w:tcPr>
          <w:p w14:paraId="0DFDCD99" w14:textId="77777777" w:rsidR="00046465" w:rsidRDefault="00046465">
            <w:pPr>
              <w:pStyle w:val="TableParagraph"/>
              <w:rPr>
                <w:rFonts w:ascii="Times New Roman"/>
              </w:rPr>
            </w:pPr>
          </w:p>
        </w:tc>
        <w:tc>
          <w:tcPr>
            <w:tcW w:w="1309" w:type="dxa"/>
            <w:tcBorders>
              <w:top w:val="single" w:sz="6" w:space="0" w:color="000000"/>
              <w:left w:val="single" w:sz="6" w:space="0" w:color="000000"/>
            </w:tcBorders>
          </w:tcPr>
          <w:p w14:paraId="0DFDCD9A" w14:textId="77777777" w:rsidR="00046465" w:rsidRDefault="00046465">
            <w:pPr>
              <w:pStyle w:val="TableParagraph"/>
              <w:rPr>
                <w:rFonts w:ascii="Times New Roman"/>
              </w:rPr>
            </w:pPr>
          </w:p>
        </w:tc>
      </w:tr>
    </w:tbl>
    <w:p w14:paraId="0DFDCD9C"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CD9D" w14:textId="77777777" w:rsidR="00046465" w:rsidRDefault="00046465">
      <w:pPr>
        <w:pStyle w:val="BodyText"/>
        <w:spacing w:before="9"/>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09"/>
      </w:tblGrid>
      <w:tr w:rsidR="00046465" w14:paraId="0DFDCDA4" w14:textId="77777777">
        <w:trPr>
          <w:trHeight w:val="937"/>
        </w:trPr>
        <w:tc>
          <w:tcPr>
            <w:tcW w:w="7380" w:type="dxa"/>
            <w:tcBorders>
              <w:bottom w:val="single" w:sz="6" w:space="0" w:color="000000"/>
              <w:right w:val="single" w:sz="6" w:space="0" w:color="000000"/>
            </w:tcBorders>
            <w:shd w:val="clear" w:color="auto" w:fill="A6A6A6"/>
          </w:tcPr>
          <w:p w14:paraId="0DFDCD9E" w14:textId="77777777" w:rsidR="00046465" w:rsidRDefault="00046465">
            <w:pPr>
              <w:pStyle w:val="TableParagraph"/>
              <w:spacing w:before="266"/>
              <w:rPr>
                <w:b/>
                <w:sz w:val="24"/>
              </w:rPr>
            </w:pPr>
          </w:p>
          <w:p w14:paraId="0DFDCD9F" w14:textId="77777777" w:rsidR="00046465" w:rsidRDefault="008134EB">
            <w:pPr>
              <w:pStyle w:val="TableParagraph"/>
              <w:ind w:left="123"/>
              <w:rPr>
                <w:b/>
                <w:sz w:val="24"/>
              </w:rPr>
            </w:pPr>
            <w:r>
              <w:rPr>
                <w:b/>
                <w:sz w:val="24"/>
              </w:rPr>
              <w:t>Section</w:t>
            </w:r>
            <w:r>
              <w:rPr>
                <w:b/>
                <w:spacing w:val="-3"/>
                <w:sz w:val="24"/>
              </w:rPr>
              <w:t xml:space="preserve"> </w:t>
            </w:r>
            <w:r>
              <w:rPr>
                <w:b/>
                <w:sz w:val="24"/>
              </w:rPr>
              <w:t>I:</w:t>
            </w:r>
            <w:r>
              <w:rPr>
                <w:b/>
                <w:spacing w:val="-4"/>
                <w:sz w:val="24"/>
              </w:rPr>
              <w:t xml:space="preserve"> </w:t>
            </w:r>
            <w:r>
              <w:rPr>
                <w:b/>
                <w:sz w:val="24"/>
              </w:rPr>
              <w:t>Planning</w:t>
            </w:r>
            <w:r>
              <w:rPr>
                <w:b/>
                <w:spacing w:val="-2"/>
                <w:sz w:val="24"/>
              </w:rPr>
              <w:t xml:space="preserve"> </w:t>
            </w:r>
            <w:r>
              <w:rPr>
                <w:b/>
                <w:sz w:val="24"/>
              </w:rPr>
              <w:t>and</w:t>
            </w:r>
            <w:r>
              <w:rPr>
                <w:b/>
                <w:spacing w:val="-3"/>
                <w:sz w:val="24"/>
              </w:rPr>
              <w:t xml:space="preserve"> </w:t>
            </w:r>
            <w:r>
              <w:rPr>
                <w:b/>
                <w:sz w:val="24"/>
              </w:rPr>
              <w:t>Risk</w:t>
            </w:r>
            <w:r>
              <w:rPr>
                <w:b/>
                <w:spacing w:val="-2"/>
                <w:sz w:val="24"/>
              </w:rPr>
              <w:t xml:space="preserve"> Assessment</w:t>
            </w:r>
          </w:p>
        </w:tc>
        <w:tc>
          <w:tcPr>
            <w:tcW w:w="810" w:type="dxa"/>
            <w:tcBorders>
              <w:left w:val="single" w:sz="6" w:space="0" w:color="000000"/>
              <w:bottom w:val="single" w:sz="6" w:space="0" w:color="000000"/>
              <w:right w:val="single" w:sz="6" w:space="0" w:color="000000"/>
            </w:tcBorders>
            <w:shd w:val="clear" w:color="auto" w:fill="A6A6A6"/>
          </w:tcPr>
          <w:p w14:paraId="0DFDCDA0" w14:textId="77777777" w:rsidR="00046465" w:rsidRDefault="008134EB">
            <w:pPr>
              <w:pStyle w:val="TableParagraph"/>
              <w:spacing w:before="120"/>
              <w:ind w:left="138" w:right="201"/>
              <w:jc w:val="both"/>
              <w:rPr>
                <w:b/>
              </w:rPr>
            </w:pPr>
            <w:r>
              <w:rPr>
                <w:b/>
                <w:spacing w:val="-4"/>
              </w:rPr>
              <w:t>Yes, No,* N/A</w:t>
            </w:r>
          </w:p>
        </w:tc>
        <w:tc>
          <w:tcPr>
            <w:tcW w:w="1309" w:type="dxa"/>
            <w:tcBorders>
              <w:left w:val="single" w:sz="6" w:space="0" w:color="000000"/>
              <w:bottom w:val="single" w:sz="6" w:space="0" w:color="000000"/>
            </w:tcBorders>
            <w:shd w:val="clear" w:color="auto" w:fill="A6A6A6"/>
          </w:tcPr>
          <w:p w14:paraId="0DFDCDA1" w14:textId="77777777" w:rsidR="00046465" w:rsidRDefault="00046465">
            <w:pPr>
              <w:pStyle w:val="TableParagraph"/>
              <w:rPr>
                <w:b/>
              </w:rPr>
            </w:pPr>
          </w:p>
          <w:p w14:paraId="0DFDCDA2" w14:textId="77777777" w:rsidR="00046465" w:rsidRDefault="00046465">
            <w:pPr>
              <w:pStyle w:val="TableParagraph"/>
              <w:spacing w:before="120"/>
              <w:rPr>
                <w:b/>
              </w:rPr>
            </w:pPr>
          </w:p>
          <w:p w14:paraId="0DFDCDA3" w14:textId="77777777" w:rsidR="00046465" w:rsidRDefault="008134EB">
            <w:pPr>
              <w:pStyle w:val="TableParagraph"/>
              <w:ind w:left="214"/>
              <w:rPr>
                <w:b/>
              </w:rPr>
            </w:pPr>
            <w:r>
              <w:rPr>
                <w:b/>
              </w:rPr>
              <w:t>Doc.</w:t>
            </w:r>
            <w:r>
              <w:rPr>
                <w:b/>
                <w:spacing w:val="-6"/>
              </w:rPr>
              <w:t xml:space="preserve"> </w:t>
            </w:r>
            <w:r>
              <w:rPr>
                <w:b/>
                <w:spacing w:val="-4"/>
              </w:rPr>
              <w:t>ref.</w:t>
            </w:r>
          </w:p>
        </w:tc>
      </w:tr>
      <w:tr w:rsidR="00046465" w14:paraId="0DFDCDA8" w14:textId="77777777">
        <w:trPr>
          <w:trHeight w:val="1668"/>
        </w:trPr>
        <w:tc>
          <w:tcPr>
            <w:tcW w:w="7380" w:type="dxa"/>
            <w:tcBorders>
              <w:top w:val="single" w:sz="6" w:space="0" w:color="000000"/>
              <w:bottom w:val="single" w:sz="6" w:space="0" w:color="000000"/>
              <w:right w:val="single" w:sz="6" w:space="0" w:color="000000"/>
            </w:tcBorders>
          </w:tcPr>
          <w:p w14:paraId="0DFDCDA5" w14:textId="77777777" w:rsidR="00046465" w:rsidRDefault="008134EB">
            <w:pPr>
              <w:pStyle w:val="TableParagraph"/>
              <w:spacing w:before="121"/>
              <w:ind w:left="843" w:right="117" w:hanging="360"/>
            </w:pPr>
            <w:r>
              <w:t>9.</w:t>
            </w:r>
            <w:r>
              <w:rPr>
                <w:spacing w:val="80"/>
              </w:rPr>
              <w:t xml:space="preserve"> </w:t>
            </w:r>
            <w:r>
              <w:t>If expertise in a field other than accounting or auditing is necessary to obtain sufficient appropriate audit evidence, did the auditor plan to use the work of an auditor’s specialist (e.g., IT specialist,</w:t>
            </w:r>
            <w:r>
              <w:rPr>
                <w:spacing w:val="-5"/>
              </w:rPr>
              <w:t xml:space="preserve"> </w:t>
            </w:r>
            <w:r>
              <w:t>actuary,</w:t>
            </w:r>
            <w:r>
              <w:rPr>
                <w:spacing w:val="-5"/>
              </w:rPr>
              <w:t xml:space="preserve"> </w:t>
            </w:r>
            <w:r>
              <w:t>or</w:t>
            </w:r>
            <w:r>
              <w:rPr>
                <w:spacing w:val="-5"/>
              </w:rPr>
              <w:t xml:space="preserve"> </w:t>
            </w:r>
            <w:r>
              <w:t>specialist</w:t>
            </w:r>
            <w:r>
              <w:rPr>
                <w:spacing w:val="-5"/>
              </w:rPr>
              <w:t xml:space="preserve"> </w:t>
            </w:r>
            <w:r>
              <w:t>who</w:t>
            </w:r>
            <w:r>
              <w:rPr>
                <w:spacing w:val="-5"/>
              </w:rPr>
              <w:t xml:space="preserve"> </w:t>
            </w:r>
            <w:r>
              <w:t>determines</w:t>
            </w:r>
            <w:r>
              <w:rPr>
                <w:spacing w:val="-4"/>
              </w:rPr>
              <w:t xml:space="preserve"> </w:t>
            </w:r>
            <w:r>
              <w:t>value</w:t>
            </w:r>
            <w:r>
              <w:rPr>
                <w:spacing w:val="-5"/>
              </w:rPr>
              <w:t xml:space="preserve"> </w:t>
            </w:r>
            <w:r>
              <w:t>of</w:t>
            </w:r>
            <w:r>
              <w:rPr>
                <w:spacing w:val="-5"/>
              </w:rPr>
              <w:t xml:space="preserve"> </w:t>
            </w:r>
            <w:r>
              <w:t>assets)? (FAM 620) Also, see section III of this checklist.</w:t>
            </w:r>
          </w:p>
        </w:tc>
        <w:tc>
          <w:tcPr>
            <w:tcW w:w="810" w:type="dxa"/>
            <w:tcBorders>
              <w:top w:val="single" w:sz="6" w:space="0" w:color="000000"/>
              <w:left w:val="single" w:sz="6" w:space="0" w:color="000000"/>
              <w:bottom w:val="single" w:sz="6" w:space="0" w:color="000000"/>
              <w:right w:val="single" w:sz="6" w:space="0" w:color="000000"/>
            </w:tcBorders>
          </w:tcPr>
          <w:p w14:paraId="0DFDCDA6" w14:textId="77777777" w:rsidR="00046465" w:rsidRDefault="00046465">
            <w:pPr>
              <w:pStyle w:val="TableParagraph"/>
              <w:rPr>
                <w:rFonts w:ascii="Times New Roman"/>
                <w:sz w:val="20"/>
              </w:rPr>
            </w:pPr>
          </w:p>
        </w:tc>
        <w:tc>
          <w:tcPr>
            <w:tcW w:w="1309" w:type="dxa"/>
            <w:tcBorders>
              <w:top w:val="single" w:sz="6" w:space="0" w:color="000000"/>
              <w:left w:val="single" w:sz="6" w:space="0" w:color="000000"/>
              <w:bottom w:val="single" w:sz="6" w:space="0" w:color="000000"/>
            </w:tcBorders>
          </w:tcPr>
          <w:p w14:paraId="0DFDCDA7" w14:textId="77777777" w:rsidR="00046465" w:rsidRDefault="00046465">
            <w:pPr>
              <w:pStyle w:val="TableParagraph"/>
              <w:rPr>
                <w:rFonts w:ascii="Times New Roman"/>
                <w:sz w:val="20"/>
              </w:rPr>
            </w:pPr>
          </w:p>
        </w:tc>
      </w:tr>
      <w:tr w:rsidR="00046465" w14:paraId="0DFDCDAC" w14:textId="77777777">
        <w:trPr>
          <w:trHeight w:val="999"/>
        </w:trPr>
        <w:tc>
          <w:tcPr>
            <w:tcW w:w="7380" w:type="dxa"/>
            <w:tcBorders>
              <w:top w:val="single" w:sz="6" w:space="0" w:color="000000"/>
              <w:bottom w:val="single" w:sz="6" w:space="0" w:color="000000"/>
              <w:right w:val="single" w:sz="6" w:space="0" w:color="000000"/>
            </w:tcBorders>
          </w:tcPr>
          <w:p w14:paraId="0DFDCDA9" w14:textId="77777777" w:rsidR="00046465" w:rsidRDefault="008134EB">
            <w:pPr>
              <w:pStyle w:val="TableParagraph"/>
              <w:spacing w:before="121"/>
              <w:ind w:left="843" w:right="365" w:hanging="360"/>
              <w:rPr>
                <w:position w:val="7"/>
                <w:sz w:val="14"/>
              </w:rPr>
            </w:pPr>
            <w:r>
              <w:t>10. In addition to the questions above, answer the following regarding</w:t>
            </w:r>
            <w:r>
              <w:rPr>
                <w:spacing w:val="-6"/>
              </w:rPr>
              <w:t xml:space="preserve"> </w:t>
            </w:r>
            <w:r>
              <w:t>whether</w:t>
            </w:r>
            <w:r>
              <w:rPr>
                <w:spacing w:val="-6"/>
              </w:rPr>
              <w:t xml:space="preserve"> </w:t>
            </w:r>
            <w:r>
              <w:t>the</w:t>
            </w:r>
            <w:r>
              <w:rPr>
                <w:spacing w:val="-6"/>
              </w:rPr>
              <w:t xml:space="preserve"> </w:t>
            </w:r>
            <w:r>
              <w:t>auditor</w:t>
            </w:r>
            <w:r>
              <w:rPr>
                <w:spacing w:val="-6"/>
              </w:rPr>
              <w:t xml:space="preserve"> </w:t>
            </w:r>
            <w:r>
              <w:t>achieved</w:t>
            </w:r>
            <w:r>
              <w:rPr>
                <w:spacing w:val="-6"/>
              </w:rPr>
              <w:t xml:space="preserve"> </w:t>
            </w:r>
            <w:r>
              <w:t>the</w:t>
            </w:r>
            <w:r>
              <w:rPr>
                <w:spacing w:val="-6"/>
              </w:rPr>
              <w:t xml:space="preserve"> </w:t>
            </w:r>
            <w:r>
              <w:t>following</w:t>
            </w:r>
            <w:r>
              <w:rPr>
                <w:spacing w:val="-6"/>
              </w:rPr>
              <w:t xml:space="preserve"> </w:t>
            </w:r>
            <w:r>
              <w:t>objectives (AU-C 200.23):</w:t>
            </w:r>
            <w:hyperlink w:anchor="_bookmark233" w:history="1">
              <w:r>
                <w:rPr>
                  <w:position w:val="7"/>
                  <w:sz w:val="14"/>
                </w:rPr>
                <w:t>19</w:t>
              </w:r>
            </w:hyperlink>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14:paraId="0DFDCDAA" w14:textId="77777777" w:rsidR="00046465" w:rsidRDefault="00046465">
            <w:pPr>
              <w:pStyle w:val="TableParagraph"/>
              <w:rPr>
                <w:rFonts w:ascii="Times New Roman"/>
                <w:sz w:val="20"/>
              </w:rPr>
            </w:pPr>
          </w:p>
        </w:tc>
        <w:tc>
          <w:tcPr>
            <w:tcW w:w="1309" w:type="dxa"/>
            <w:tcBorders>
              <w:top w:val="single" w:sz="6" w:space="0" w:color="000000"/>
              <w:left w:val="single" w:sz="6" w:space="0" w:color="000000"/>
              <w:bottom w:val="single" w:sz="6" w:space="0" w:color="000000"/>
            </w:tcBorders>
            <w:shd w:val="clear" w:color="auto" w:fill="BEBEBE"/>
          </w:tcPr>
          <w:p w14:paraId="0DFDCDAB" w14:textId="77777777" w:rsidR="00046465" w:rsidRDefault="00046465">
            <w:pPr>
              <w:pStyle w:val="TableParagraph"/>
              <w:rPr>
                <w:rFonts w:ascii="Times New Roman"/>
                <w:sz w:val="20"/>
              </w:rPr>
            </w:pPr>
          </w:p>
        </w:tc>
      </w:tr>
      <w:tr w:rsidR="00046465" w14:paraId="0DFDCDB2" w14:textId="77777777">
        <w:trPr>
          <w:trHeight w:val="2300"/>
        </w:trPr>
        <w:tc>
          <w:tcPr>
            <w:tcW w:w="7380" w:type="dxa"/>
            <w:tcBorders>
              <w:top w:val="single" w:sz="6" w:space="0" w:color="000000"/>
              <w:bottom w:val="single" w:sz="6" w:space="0" w:color="000000"/>
              <w:right w:val="single" w:sz="6" w:space="0" w:color="000000"/>
            </w:tcBorders>
          </w:tcPr>
          <w:p w14:paraId="0DFDCDAD" w14:textId="77777777" w:rsidR="00046465" w:rsidRDefault="008134EB">
            <w:pPr>
              <w:pStyle w:val="TableParagraph"/>
              <w:numPr>
                <w:ilvl w:val="0"/>
                <w:numId w:val="53"/>
              </w:numPr>
              <w:tabs>
                <w:tab w:val="left" w:pos="1248"/>
              </w:tabs>
              <w:spacing w:before="121"/>
              <w:ind w:left="1248" w:hanging="359"/>
            </w:pPr>
            <w:r>
              <w:t>For</w:t>
            </w:r>
            <w:r>
              <w:rPr>
                <w:spacing w:val="-5"/>
              </w:rPr>
              <w:t xml:space="preserve"> </w:t>
            </w:r>
            <w:r>
              <w:t>a</w:t>
            </w:r>
            <w:r>
              <w:rPr>
                <w:spacing w:val="-4"/>
              </w:rPr>
              <w:t xml:space="preserve"> </w:t>
            </w:r>
            <w:r>
              <w:t>new</w:t>
            </w:r>
            <w:r>
              <w:rPr>
                <w:spacing w:val="-5"/>
              </w:rPr>
              <w:t xml:space="preserve"> </w:t>
            </w:r>
            <w:r>
              <w:t>or</w:t>
            </w:r>
            <w:r>
              <w:rPr>
                <w:spacing w:val="-4"/>
              </w:rPr>
              <w:t xml:space="preserve"> </w:t>
            </w:r>
            <w:r>
              <w:t>existing</w:t>
            </w:r>
            <w:r>
              <w:rPr>
                <w:spacing w:val="-5"/>
              </w:rPr>
              <w:t xml:space="preserve"> </w:t>
            </w:r>
            <w:r>
              <w:t>audit</w:t>
            </w:r>
            <w:r>
              <w:rPr>
                <w:spacing w:val="-4"/>
              </w:rPr>
              <w:t xml:space="preserve"> </w:t>
            </w:r>
            <w:r>
              <w:t>client,</w:t>
            </w:r>
            <w:r>
              <w:rPr>
                <w:spacing w:val="-5"/>
              </w:rPr>
              <w:t xml:space="preserve"> </w:t>
            </w:r>
            <w:r>
              <w:t>did</w:t>
            </w:r>
            <w:r>
              <w:rPr>
                <w:spacing w:val="-5"/>
              </w:rPr>
              <w:t xml:space="preserve"> </w:t>
            </w:r>
            <w:r>
              <w:t>the</w:t>
            </w:r>
            <w:r>
              <w:rPr>
                <w:spacing w:val="-4"/>
              </w:rPr>
              <w:t xml:space="preserve"> </w:t>
            </w:r>
            <w:r>
              <w:rPr>
                <w:spacing w:val="-2"/>
              </w:rPr>
              <w:t>auditor:</w:t>
            </w:r>
          </w:p>
          <w:p w14:paraId="0DFDCDAE" w14:textId="77777777" w:rsidR="00046465" w:rsidRDefault="008134EB">
            <w:pPr>
              <w:pStyle w:val="TableParagraph"/>
              <w:numPr>
                <w:ilvl w:val="1"/>
                <w:numId w:val="53"/>
              </w:numPr>
              <w:tabs>
                <w:tab w:val="left" w:pos="1606"/>
                <w:tab w:val="left" w:pos="1609"/>
              </w:tabs>
              <w:spacing w:before="119"/>
              <w:ind w:right="750" w:hanging="360"/>
              <w:rPr>
                <w:rFonts w:ascii="Symbol" w:hAnsi="Symbol"/>
              </w:rPr>
            </w:pPr>
            <w:r>
              <w:t>establish</w:t>
            </w:r>
            <w:r>
              <w:rPr>
                <w:spacing w:val="-5"/>
              </w:rPr>
              <w:t xml:space="preserve"> </w:t>
            </w:r>
            <w:r>
              <w:t>whether</w:t>
            </w:r>
            <w:r>
              <w:rPr>
                <w:spacing w:val="-5"/>
              </w:rPr>
              <w:t xml:space="preserve"> </w:t>
            </w:r>
            <w:r>
              <w:t>the</w:t>
            </w:r>
            <w:r>
              <w:rPr>
                <w:spacing w:val="-5"/>
              </w:rPr>
              <w:t xml:space="preserve"> </w:t>
            </w:r>
            <w:r>
              <w:t>preconditions</w:t>
            </w:r>
            <w:r>
              <w:rPr>
                <w:spacing w:val="-6"/>
              </w:rPr>
              <w:t xml:space="preserve"> </w:t>
            </w:r>
            <w:r>
              <w:t>for</w:t>
            </w:r>
            <w:r>
              <w:rPr>
                <w:spacing w:val="-5"/>
              </w:rPr>
              <w:t xml:space="preserve"> </w:t>
            </w:r>
            <w:r>
              <w:t>an</w:t>
            </w:r>
            <w:r>
              <w:rPr>
                <w:spacing w:val="-5"/>
              </w:rPr>
              <w:t xml:space="preserve"> </w:t>
            </w:r>
            <w:r>
              <w:t>audit</w:t>
            </w:r>
            <w:r>
              <w:rPr>
                <w:spacing w:val="-6"/>
              </w:rPr>
              <w:t xml:space="preserve"> </w:t>
            </w:r>
            <w:r>
              <w:t>are present and</w:t>
            </w:r>
          </w:p>
          <w:p w14:paraId="0DFDCDAF" w14:textId="77777777" w:rsidR="00046465" w:rsidRDefault="008134EB">
            <w:pPr>
              <w:pStyle w:val="TableParagraph"/>
              <w:numPr>
                <w:ilvl w:val="1"/>
                <w:numId w:val="53"/>
              </w:numPr>
              <w:tabs>
                <w:tab w:val="left" w:pos="1607"/>
                <w:tab w:val="left" w:pos="1609"/>
              </w:tabs>
              <w:spacing w:before="120" w:line="237" w:lineRule="auto"/>
              <w:ind w:left="1607" w:right="211" w:hanging="360"/>
              <w:rPr>
                <w:rFonts w:ascii="Symbol" w:hAnsi="Symbol"/>
                <w:sz w:val="24"/>
              </w:rPr>
            </w:pPr>
            <w:r>
              <w:t>confirm</w:t>
            </w:r>
            <w:r>
              <w:rPr>
                <w:spacing w:val="-4"/>
              </w:rPr>
              <w:t xml:space="preserve"> </w:t>
            </w:r>
            <w:r>
              <w:t>that</w:t>
            </w:r>
            <w:r>
              <w:rPr>
                <w:spacing w:val="-4"/>
              </w:rPr>
              <w:t xml:space="preserve"> </w:t>
            </w:r>
            <w:r>
              <w:t>a</w:t>
            </w:r>
            <w:r>
              <w:rPr>
                <w:spacing w:val="-4"/>
              </w:rPr>
              <w:t xml:space="preserve"> </w:t>
            </w:r>
            <w:r>
              <w:t>common</w:t>
            </w:r>
            <w:r>
              <w:rPr>
                <w:spacing w:val="-4"/>
              </w:rPr>
              <w:t xml:space="preserve"> </w:t>
            </w:r>
            <w:r>
              <w:t>understanding</w:t>
            </w:r>
            <w:r>
              <w:rPr>
                <w:spacing w:val="-4"/>
              </w:rPr>
              <w:t xml:space="preserve"> </w:t>
            </w:r>
            <w:r>
              <w:t>of</w:t>
            </w:r>
            <w:r>
              <w:rPr>
                <w:spacing w:val="-4"/>
              </w:rPr>
              <w:t xml:space="preserve"> </w:t>
            </w:r>
            <w:r>
              <w:t>the</w:t>
            </w:r>
            <w:r>
              <w:rPr>
                <w:spacing w:val="-4"/>
              </w:rPr>
              <w:t xml:space="preserve"> </w:t>
            </w:r>
            <w:r>
              <w:t>terms</w:t>
            </w:r>
            <w:r>
              <w:rPr>
                <w:spacing w:val="-4"/>
              </w:rPr>
              <w:t xml:space="preserve"> </w:t>
            </w:r>
            <w:r>
              <w:t>of</w:t>
            </w:r>
            <w:r>
              <w:rPr>
                <w:spacing w:val="-4"/>
              </w:rPr>
              <w:t xml:space="preserve"> </w:t>
            </w:r>
            <w:r>
              <w:t>the audit engagement exists between the auditor and management</w:t>
            </w:r>
            <w:r>
              <w:rPr>
                <w:spacing w:val="-2"/>
              </w:rPr>
              <w:t xml:space="preserve"> </w:t>
            </w:r>
            <w:r>
              <w:t>and,</w:t>
            </w:r>
            <w:r>
              <w:rPr>
                <w:spacing w:val="-2"/>
              </w:rPr>
              <w:t xml:space="preserve"> </w:t>
            </w:r>
            <w:r>
              <w:t>when</w:t>
            </w:r>
            <w:r>
              <w:rPr>
                <w:spacing w:val="-2"/>
              </w:rPr>
              <w:t xml:space="preserve"> </w:t>
            </w:r>
            <w:r>
              <w:t>appropriate,</w:t>
            </w:r>
            <w:r>
              <w:rPr>
                <w:spacing w:val="-3"/>
              </w:rPr>
              <w:t xml:space="preserve"> </w:t>
            </w:r>
            <w:r>
              <w:t>those</w:t>
            </w:r>
            <w:r>
              <w:rPr>
                <w:spacing w:val="-2"/>
              </w:rPr>
              <w:t xml:space="preserve"> </w:t>
            </w:r>
            <w:r>
              <w:t>charged</w:t>
            </w:r>
            <w:r>
              <w:rPr>
                <w:spacing w:val="-2"/>
              </w:rPr>
              <w:t xml:space="preserve"> </w:t>
            </w:r>
            <w:r>
              <w:t>with governance? (AU-C 210)</w:t>
            </w:r>
          </w:p>
        </w:tc>
        <w:tc>
          <w:tcPr>
            <w:tcW w:w="810" w:type="dxa"/>
            <w:tcBorders>
              <w:top w:val="single" w:sz="6" w:space="0" w:color="000000"/>
              <w:left w:val="single" w:sz="6" w:space="0" w:color="000000"/>
              <w:bottom w:val="single" w:sz="6" w:space="0" w:color="000000"/>
              <w:right w:val="single" w:sz="6" w:space="0" w:color="000000"/>
            </w:tcBorders>
          </w:tcPr>
          <w:p w14:paraId="0DFDCDB0" w14:textId="77777777" w:rsidR="00046465" w:rsidRDefault="00046465">
            <w:pPr>
              <w:pStyle w:val="TableParagraph"/>
              <w:rPr>
                <w:rFonts w:ascii="Times New Roman"/>
                <w:sz w:val="20"/>
              </w:rPr>
            </w:pPr>
          </w:p>
        </w:tc>
        <w:tc>
          <w:tcPr>
            <w:tcW w:w="1309" w:type="dxa"/>
            <w:tcBorders>
              <w:top w:val="single" w:sz="6" w:space="0" w:color="000000"/>
              <w:left w:val="single" w:sz="6" w:space="0" w:color="000000"/>
              <w:bottom w:val="single" w:sz="6" w:space="0" w:color="000000"/>
            </w:tcBorders>
            <w:shd w:val="clear" w:color="auto" w:fill="BEBEBE"/>
          </w:tcPr>
          <w:p w14:paraId="0DFDCDB1" w14:textId="77777777" w:rsidR="00046465" w:rsidRDefault="00046465">
            <w:pPr>
              <w:pStyle w:val="TableParagraph"/>
              <w:rPr>
                <w:rFonts w:ascii="Times New Roman"/>
                <w:sz w:val="20"/>
              </w:rPr>
            </w:pPr>
          </w:p>
        </w:tc>
      </w:tr>
      <w:tr w:rsidR="00046465" w14:paraId="0DFDCDB6" w14:textId="77777777">
        <w:trPr>
          <w:trHeight w:val="999"/>
        </w:trPr>
        <w:tc>
          <w:tcPr>
            <w:tcW w:w="7380" w:type="dxa"/>
            <w:tcBorders>
              <w:top w:val="single" w:sz="6" w:space="0" w:color="000000"/>
              <w:bottom w:val="single" w:sz="6" w:space="0" w:color="000000"/>
              <w:right w:val="single" w:sz="6" w:space="0" w:color="000000"/>
            </w:tcBorders>
          </w:tcPr>
          <w:p w14:paraId="0DFDCDB3" w14:textId="77777777" w:rsidR="00046465" w:rsidRDefault="008134EB">
            <w:pPr>
              <w:pStyle w:val="TableParagraph"/>
              <w:spacing w:before="119"/>
              <w:ind w:left="1249" w:right="769" w:hanging="360"/>
              <w:jc w:val="both"/>
            </w:pPr>
            <w:r>
              <w:t>b.</w:t>
            </w:r>
            <w:r>
              <w:rPr>
                <w:spacing w:val="80"/>
              </w:rPr>
              <w:t xml:space="preserve"> </w:t>
            </w:r>
            <w:r>
              <w:t>Did</w:t>
            </w:r>
            <w:r>
              <w:rPr>
                <w:spacing w:val="-4"/>
              </w:rPr>
              <w:t xml:space="preserve"> </w:t>
            </w:r>
            <w:r>
              <w:t>the</w:t>
            </w:r>
            <w:r>
              <w:rPr>
                <w:spacing w:val="-4"/>
              </w:rPr>
              <w:t xml:space="preserve"> </w:t>
            </w:r>
            <w:r>
              <w:t>auditor</w:t>
            </w:r>
            <w:r>
              <w:rPr>
                <w:spacing w:val="-4"/>
              </w:rPr>
              <w:t xml:space="preserve"> </w:t>
            </w:r>
            <w:r>
              <w:t>identify</w:t>
            </w:r>
            <w:r>
              <w:rPr>
                <w:spacing w:val="-4"/>
              </w:rPr>
              <w:t xml:space="preserve"> </w:t>
            </w:r>
            <w:r>
              <w:t>and</w:t>
            </w:r>
            <w:r>
              <w:rPr>
                <w:spacing w:val="-4"/>
              </w:rPr>
              <w:t xml:space="preserve"> </w:t>
            </w:r>
            <w:r>
              <w:t>assess</w:t>
            </w:r>
            <w:r>
              <w:rPr>
                <w:spacing w:val="-4"/>
              </w:rPr>
              <w:t xml:space="preserve"> </w:t>
            </w:r>
            <w:r>
              <w:t>the</w:t>
            </w:r>
            <w:r>
              <w:rPr>
                <w:spacing w:val="-4"/>
              </w:rPr>
              <w:t xml:space="preserve"> </w:t>
            </w:r>
            <w:r>
              <w:t>risks</w:t>
            </w:r>
            <w:r>
              <w:rPr>
                <w:spacing w:val="-4"/>
              </w:rPr>
              <w:t xml:space="preserve"> </w:t>
            </w:r>
            <w:r>
              <w:t>of</w:t>
            </w:r>
            <w:r>
              <w:rPr>
                <w:spacing w:val="-5"/>
              </w:rPr>
              <w:t xml:space="preserve"> </w:t>
            </w:r>
            <w:r>
              <w:t>material misstatement of the financial statements due to fraud? (AU-C 240.10a)</w:t>
            </w:r>
          </w:p>
        </w:tc>
        <w:tc>
          <w:tcPr>
            <w:tcW w:w="810" w:type="dxa"/>
            <w:tcBorders>
              <w:top w:val="single" w:sz="6" w:space="0" w:color="000000"/>
              <w:left w:val="single" w:sz="6" w:space="0" w:color="000000"/>
              <w:bottom w:val="single" w:sz="6" w:space="0" w:color="000000"/>
              <w:right w:val="single" w:sz="6" w:space="0" w:color="000000"/>
            </w:tcBorders>
          </w:tcPr>
          <w:p w14:paraId="0DFDCDB4" w14:textId="77777777" w:rsidR="00046465" w:rsidRDefault="00046465">
            <w:pPr>
              <w:pStyle w:val="TableParagraph"/>
              <w:rPr>
                <w:rFonts w:ascii="Times New Roman"/>
                <w:sz w:val="20"/>
              </w:rPr>
            </w:pPr>
          </w:p>
        </w:tc>
        <w:tc>
          <w:tcPr>
            <w:tcW w:w="1309" w:type="dxa"/>
            <w:tcBorders>
              <w:top w:val="single" w:sz="6" w:space="0" w:color="000000"/>
              <w:left w:val="single" w:sz="6" w:space="0" w:color="000000"/>
              <w:bottom w:val="single" w:sz="6" w:space="0" w:color="000000"/>
            </w:tcBorders>
            <w:shd w:val="clear" w:color="auto" w:fill="BEBEBE"/>
          </w:tcPr>
          <w:p w14:paraId="0DFDCDB5" w14:textId="77777777" w:rsidR="00046465" w:rsidRDefault="00046465">
            <w:pPr>
              <w:pStyle w:val="TableParagraph"/>
              <w:rPr>
                <w:rFonts w:ascii="Times New Roman"/>
                <w:sz w:val="20"/>
              </w:rPr>
            </w:pPr>
          </w:p>
        </w:tc>
      </w:tr>
      <w:tr w:rsidR="00046465" w14:paraId="0DFDCDBC" w14:textId="77777777">
        <w:trPr>
          <w:trHeight w:val="2554"/>
        </w:trPr>
        <w:tc>
          <w:tcPr>
            <w:tcW w:w="7380" w:type="dxa"/>
            <w:tcBorders>
              <w:top w:val="single" w:sz="6" w:space="0" w:color="000000"/>
              <w:right w:val="single" w:sz="6" w:space="0" w:color="000000"/>
            </w:tcBorders>
          </w:tcPr>
          <w:p w14:paraId="0DFDCDB7" w14:textId="77777777" w:rsidR="00046465" w:rsidRDefault="008134EB">
            <w:pPr>
              <w:pStyle w:val="TableParagraph"/>
              <w:numPr>
                <w:ilvl w:val="0"/>
                <w:numId w:val="52"/>
              </w:numPr>
              <w:tabs>
                <w:tab w:val="left" w:pos="1248"/>
              </w:tabs>
              <w:spacing w:before="119"/>
              <w:ind w:left="1248" w:hanging="359"/>
            </w:pPr>
            <w:r>
              <w:t>Did</w:t>
            </w:r>
            <w:r>
              <w:rPr>
                <w:spacing w:val="-4"/>
              </w:rPr>
              <w:t xml:space="preserve"> </w:t>
            </w:r>
            <w:r>
              <w:t>the</w:t>
            </w:r>
            <w:r>
              <w:rPr>
                <w:spacing w:val="-4"/>
              </w:rPr>
              <w:t xml:space="preserve"> </w:t>
            </w:r>
            <w:r>
              <w:rPr>
                <w:spacing w:val="-2"/>
              </w:rPr>
              <w:t>auditor</w:t>
            </w:r>
          </w:p>
          <w:p w14:paraId="0DFDCDB8" w14:textId="77777777" w:rsidR="00046465" w:rsidRDefault="008134EB">
            <w:pPr>
              <w:pStyle w:val="TableParagraph"/>
              <w:numPr>
                <w:ilvl w:val="1"/>
                <w:numId w:val="52"/>
              </w:numPr>
              <w:tabs>
                <w:tab w:val="left" w:pos="1606"/>
                <w:tab w:val="left" w:pos="1609"/>
              </w:tabs>
              <w:spacing w:before="120"/>
              <w:ind w:right="162" w:hanging="360"/>
              <w:rPr>
                <w:rFonts w:ascii="Symbol" w:hAnsi="Symbol"/>
              </w:rPr>
            </w:pPr>
            <w:r>
              <w:t>communicate</w:t>
            </w:r>
            <w:r>
              <w:rPr>
                <w:spacing w:val="-5"/>
              </w:rPr>
              <w:t xml:space="preserve"> </w:t>
            </w:r>
            <w:r>
              <w:t>clearly</w:t>
            </w:r>
            <w:r>
              <w:rPr>
                <w:spacing w:val="-7"/>
              </w:rPr>
              <w:t xml:space="preserve"> </w:t>
            </w:r>
            <w:r>
              <w:t>with</w:t>
            </w:r>
            <w:r>
              <w:rPr>
                <w:spacing w:val="-7"/>
              </w:rPr>
              <w:t xml:space="preserve"> </w:t>
            </w:r>
            <w:r>
              <w:t>those</w:t>
            </w:r>
            <w:r>
              <w:rPr>
                <w:spacing w:val="-7"/>
              </w:rPr>
              <w:t xml:space="preserve"> </w:t>
            </w:r>
            <w:r>
              <w:t>charged</w:t>
            </w:r>
            <w:r>
              <w:rPr>
                <w:spacing w:val="-7"/>
              </w:rPr>
              <w:t xml:space="preserve"> </w:t>
            </w:r>
            <w:r>
              <w:t>with</w:t>
            </w:r>
            <w:r>
              <w:rPr>
                <w:spacing w:val="-7"/>
              </w:rPr>
              <w:t xml:space="preserve"> </w:t>
            </w:r>
            <w:r>
              <w:t>governance the responsibilities of the auditor regarding the financial statement audit and an overview of the planned scope and timing of the audit, including significant risks identified by the auditor, and</w:t>
            </w:r>
          </w:p>
          <w:p w14:paraId="0DFDCDB9" w14:textId="77777777" w:rsidR="00046465" w:rsidRDefault="008134EB">
            <w:pPr>
              <w:pStyle w:val="TableParagraph"/>
              <w:numPr>
                <w:ilvl w:val="1"/>
                <w:numId w:val="52"/>
              </w:numPr>
              <w:tabs>
                <w:tab w:val="left" w:pos="1607"/>
                <w:tab w:val="left" w:pos="1609"/>
              </w:tabs>
              <w:spacing w:before="123" w:line="235" w:lineRule="auto"/>
              <w:ind w:left="1607" w:right="372" w:hanging="360"/>
              <w:rPr>
                <w:rFonts w:ascii="Symbol" w:hAnsi="Symbol"/>
                <w:sz w:val="24"/>
              </w:rPr>
            </w:pPr>
            <w:r>
              <w:t>obtain</w:t>
            </w:r>
            <w:r>
              <w:rPr>
                <w:spacing w:val="-6"/>
              </w:rPr>
              <w:t xml:space="preserve"> </w:t>
            </w:r>
            <w:r>
              <w:t>from</w:t>
            </w:r>
            <w:r>
              <w:rPr>
                <w:spacing w:val="-8"/>
              </w:rPr>
              <w:t xml:space="preserve"> </w:t>
            </w:r>
            <w:r>
              <w:t>those</w:t>
            </w:r>
            <w:r>
              <w:rPr>
                <w:spacing w:val="-7"/>
              </w:rPr>
              <w:t xml:space="preserve"> </w:t>
            </w:r>
            <w:r>
              <w:t>charged</w:t>
            </w:r>
            <w:r>
              <w:rPr>
                <w:spacing w:val="-7"/>
              </w:rPr>
              <w:t xml:space="preserve"> </w:t>
            </w:r>
            <w:r>
              <w:t>with</w:t>
            </w:r>
            <w:r>
              <w:rPr>
                <w:spacing w:val="-7"/>
              </w:rPr>
              <w:t xml:space="preserve"> </w:t>
            </w:r>
            <w:r>
              <w:t>governance</w:t>
            </w:r>
            <w:r>
              <w:rPr>
                <w:spacing w:val="-7"/>
              </w:rPr>
              <w:t xml:space="preserve"> </w:t>
            </w:r>
            <w:r>
              <w:t>information relevant to the audit? (AU-C 260)</w:t>
            </w:r>
          </w:p>
        </w:tc>
        <w:tc>
          <w:tcPr>
            <w:tcW w:w="810" w:type="dxa"/>
            <w:tcBorders>
              <w:top w:val="single" w:sz="6" w:space="0" w:color="000000"/>
              <w:left w:val="single" w:sz="6" w:space="0" w:color="000000"/>
              <w:right w:val="single" w:sz="6" w:space="0" w:color="000000"/>
            </w:tcBorders>
          </w:tcPr>
          <w:p w14:paraId="0DFDCDBA" w14:textId="77777777" w:rsidR="00046465" w:rsidRDefault="00046465">
            <w:pPr>
              <w:pStyle w:val="TableParagraph"/>
              <w:rPr>
                <w:rFonts w:ascii="Times New Roman"/>
                <w:sz w:val="20"/>
              </w:rPr>
            </w:pPr>
          </w:p>
        </w:tc>
        <w:tc>
          <w:tcPr>
            <w:tcW w:w="1309" w:type="dxa"/>
            <w:tcBorders>
              <w:top w:val="single" w:sz="6" w:space="0" w:color="000000"/>
              <w:left w:val="single" w:sz="6" w:space="0" w:color="000000"/>
            </w:tcBorders>
            <w:shd w:val="clear" w:color="auto" w:fill="BEBEBE"/>
          </w:tcPr>
          <w:p w14:paraId="0DFDCDBB" w14:textId="77777777" w:rsidR="00046465" w:rsidRDefault="00046465">
            <w:pPr>
              <w:pStyle w:val="TableParagraph"/>
              <w:rPr>
                <w:rFonts w:ascii="Times New Roman"/>
                <w:sz w:val="20"/>
              </w:rPr>
            </w:pPr>
          </w:p>
        </w:tc>
      </w:tr>
    </w:tbl>
    <w:p w14:paraId="0DFDCDBD" w14:textId="77777777" w:rsidR="00046465" w:rsidRDefault="00046465">
      <w:pPr>
        <w:pStyle w:val="BodyText"/>
        <w:rPr>
          <w:b/>
          <w:sz w:val="20"/>
        </w:rPr>
      </w:pPr>
    </w:p>
    <w:p w14:paraId="0DFDCDBE" w14:textId="77777777" w:rsidR="00046465" w:rsidRDefault="00046465">
      <w:pPr>
        <w:pStyle w:val="BodyText"/>
        <w:rPr>
          <w:b/>
          <w:sz w:val="20"/>
        </w:rPr>
      </w:pPr>
    </w:p>
    <w:p w14:paraId="0DFDCDBF" w14:textId="77777777" w:rsidR="00046465" w:rsidRDefault="00046465">
      <w:pPr>
        <w:pStyle w:val="BodyText"/>
        <w:rPr>
          <w:b/>
          <w:sz w:val="20"/>
        </w:rPr>
      </w:pPr>
    </w:p>
    <w:p w14:paraId="0DFDCDC0" w14:textId="77777777" w:rsidR="00046465" w:rsidRDefault="008134EB">
      <w:pPr>
        <w:pStyle w:val="BodyText"/>
        <w:spacing w:before="184"/>
        <w:rPr>
          <w:b/>
          <w:sz w:val="20"/>
        </w:rPr>
      </w:pPr>
      <w:r>
        <w:rPr>
          <w:b/>
          <w:noProof/>
          <w:sz w:val="20"/>
        </w:rPr>
        <mc:AlternateContent>
          <mc:Choice Requires="wps">
            <w:drawing>
              <wp:anchor distT="0" distB="0" distL="0" distR="0" simplePos="0" relativeHeight="487743488" behindDoc="1" locked="0" layoutInCell="1" allowOverlap="1" wp14:anchorId="0DFDD773" wp14:editId="0DFDD774">
                <wp:simplePos x="0" y="0"/>
                <wp:positionH relativeFrom="page">
                  <wp:posOffset>914400</wp:posOffset>
                </wp:positionH>
                <wp:positionV relativeFrom="paragraph">
                  <wp:posOffset>278687</wp:posOffset>
                </wp:positionV>
                <wp:extent cx="1828800" cy="5715"/>
                <wp:effectExtent l="0" t="0" r="0" b="0"/>
                <wp:wrapTopAndBottom/>
                <wp:docPr id="1164" name="Graphic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5B23B3" id="Graphic 1164" o:spid="_x0000_s1026" style="position:absolute;margin-left:1in;margin-top:21.95pt;width:2in;height:.45pt;z-index:-15572992;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" path="m1828800,l,,,5321r1828800,l1828800,xe" fillcolor="black" stroked="f">
                <v:path arrowok="t"/>
                <w10:wrap type="topAndBottom" anchorx="page"/>
              </v:shape>
            </w:pict>
          </mc:Fallback>
        </mc:AlternateContent>
      </w:r>
    </w:p>
    <w:p w14:paraId="0DFDCDC1" w14:textId="77777777" w:rsidR="00046465" w:rsidRDefault="008134EB">
      <w:pPr>
        <w:spacing w:before="202" w:line="242" w:lineRule="auto"/>
        <w:ind w:left="1079" w:right="752"/>
        <w:rPr>
          <w:sz w:val="18"/>
        </w:rPr>
      </w:pPr>
      <w:bookmarkStart w:id="413" w:name="_bookmark233"/>
      <w:bookmarkEnd w:id="413"/>
      <w:r>
        <w:rPr>
          <w:position w:val="7"/>
          <w:sz w:val="14"/>
        </w:rPr>
        <w:t>19</w:t>
      </w:r>
      <w:r>
        <w:rPr>
          <w:sz w:val="18"/>
        </w:rPr>
        <w:t>AU-C 200.23 states that to achieve the overall objectives of the auditor (see FAM 110.24), the auditor should use the objectives stated in individual</w:t>
      </w:r>
      <w:r>
        <w:rPr>
          <w:spacing w:val="-2"/>
          <w:sz w:val="18"/>
        </w:rPr>
        <w:t xml:space="preserve"> </w:t>
      </w:r>
      <w:r>
        <w:rPr>
          <w:sz w:val="18"/>
        </w:rPr>
        <w:t>AU-C sections in planning and performing the audit, considering the interrelationships within</w:t>
      </w:r>
      <w:r>
        <w:rPr>
          <w:spacing w:val="-3"/>
          <w:sz w:val="18"/>
        </w:rPr>
        <w:t xml:space="preserve"> </w:t>
      </w:r>
      <w:r>
        <w:rPr>
          <w:sz w:val="18"/>
        </w:rPr>
        <w:t>U.S.</w:t>
      </w:r>
      <w:r>
        <w:rPr>
          <w:spacing w:val="-3"/>
          <w:sz w:val="18"/>
        </w:rPr>
        <w:t xml:space="preserve"> </w:t>
      </w:r>
      <w:r>
        <w:rPr>
          <w:sz w:val="18"/>
        </w:rPr>
        <w:t>generally</w:t>
      </w:r>
      <w:r>
        <w:rPr>
          <w:spacing w:val="-2"/>
          <w:sz w:val="18"/>
        </w:rPr>
        <w:t xml:space="preserve"> </w:t>
      </w:r>
      <w:r>
        <w:rPr>
          <w:sz w:val="18"/>
        </w:rPr>
        <w:t>accepted</w:t>
      </w:r>
      <w:r>
        <w:rPr>
          <w:spacing w:val="-4"/>
          <w:sz w:val="18"/>
        </w:rPr>
        <w:t xml:space="preserve"> </w:t>
      </w:r>
      <w:r>
        <w:rPr>
          <w:sz w:val="18"/>
        </w:rPr>
        <w:t>auditing</w:t>
      </w:r>
      <w:r>
        <w:rPr>
          <w:spacing w:val="-4"/>
          <w:sz w:val="18"/>
        </w:rPr>
        <w:t xml:space="preserve"> </w:t>
      </w:r>
      <w:r>
        <w:rPr>
          <w:sz w:val="18"/>
        </w:rPr>
        <w:t>standards to (a) determine</w:t>
      </w:r>
      <w:r>
        <w:rPr>
          <w:spacing w:val="-1"/>
          <w:sz w:val="18"/>
        </w:rPr>
        <w:t xml:space="preserve"> </w:t>
      </w:r>
      <w:r>
        <w:rPr>
          <w:sz w:val="18"/>
        </w:rPr>
        <w:t>whether any audit procedures in addition to those required by individual</w:t>
      </w:r>
      <w:r>
        <w:rPr>
          <w:spacing w:val="-2"/>
          <w:sz w:val="18"/>
        </w:rPr>
        <w:t xml:space="preserve"> </w:t>
      </w:r>
      <w:r>
        <w:rPr>
          <w:sz w:val="18"/>
        </w:rPr>
        <w:t>AU-C sections are necessary in pursuance</w:t>
      </w:r>
      <w:r>
        <w:rPr>
          <w:spacing w:val="33"/>
          <w:sz w:val="18"/>
        </w:rPr>
        <w:t xml:space="preserve"> </w:t>
      </w:r>
      <w:r>
        <w:rPr>
          <w:sz w:val="18"/>
        </w:rPr>
        <w:t>of the objectives stated in each AU-C section and (b) evaluate</w:t>
      </w:r>
      <w:r>
        <w:rPr>
          <w:spacing w:val="-4"/>
          <w:sz w:val="18"/>
        </w:rPr>
        <w:t xml:space="preserve"> </w:t>
      </w:r>
      <w:r>
        <w:rPr>
          <w:sz w:val="18"/>
        </w:rPr>
        <w:t>whether</w:t>
      </w:r>
      <w:r>
        <w:rPr>
          <w:spacing w:val="-4"/>
          <w:sz w:val="18"/>
        </w:rPr>
        <w:t xml:space="preserve"> </w:t>
      </w:r>
      <w:r>
        <w:rPr>
          <w:sz w:val="18"/>
        </w:rPr>
        <w:t>sufficient</w:t>
      </w:r>
      <w:r>
        <w:rPr>
          <w:spacing w:val="-4"/>
          <w:sz w:val="18"/>
        </w:rPr>
        <w:t xml:space="preserve"> </w:t>
      </w:r>
      <w:r>
        <w:rPr>
          <w:sz w:val="18"/>
        </w:rPr>
        <w:t>appropriate</w:t>
      </w:r>
      <w:r>
        <w:rPr>
          <w:spacing w:val="-4"/>
          <w:sz w:val="18"/>
        </w:rPr>
        <w:t xml:space="preserve"> </w:t>
      </w:r>
      <w:r>
        <w:rPr>
          <w:sz w:val="18"/>
        </w:rPr>
        <w:t>audit</w:t>
      </w:r>
      <w:r>
        <w:rPr>
          <w:spacing w:val="-4"/>
          <w:sz w:val="18"/>
        </w:rPr>
        <w:t xml:space="preserve"> </w:t>
      </w:r>
      <w:r>
        <w:rPr>
          <w:sz w:val="18"/>
        </w:rPr>
        <w:t>evidence</w:t>
      </w:r>
      <w:r>
        <w:rPr>
          <w:spacing w:val="-4"/>
          <w:sz w:val="18"/>
        </w:rPr>
        <w:t xml:space="preserve"> </w:t>
      </w:r>
      <w:r>
        <w:rPr>
          <w:sz w:val="18"/>
        </w:rPr>
        <w:t>has</w:t>
      </w:r>
      <w:r>
        <w:rPr>
          <w:spacing w:val="-6"/>
          <w:sz w:val="18"/>
        </w:rPr>
        <w:t xml:space="preserve"> </w:t>
      </w:r>
      <w:r>
        <w:rPr>
          <w:sz w:val="18"/>
        </w:rPr>
        <w:t>been</w:t>
      </w:r>
      <w:r>
        <w:rPr>
          <w:spacing w:val="-4"/>
          <w:sz w:val="18"/>
        </w:rPr>
        <w:t xml:space="preserve"> </w:t>
      </w:r>
      <w:r>
        <w:rPr>
          <w:sz w:val="18"/>
        </w:rPr>
        <w:t>obtained. AU-C 200.29 further states that if an objective in a relevant AU-C section cannot be achieved, the auditor should evaluate whether this prevents</w:t>
      </w:r>
      <w:r>
        <w:rPr>
          <w:spacing w:val="-2"/>
          <w:sz w:val="18"/>
        </w:rPr>
        <w:t xml:space="preserve"> </w:t>
      </w:r>
      <w:r>
        <w:rPr>
          <w:sz w:val="18"/>
        </w:rPr>
        <w:t>the</w:t>
      </w:r>
      <w:r>
        <w:rPr>
          <w:spacing w:val="-3"/>
          <w:sz w:val="18"/>
        </w:rPr>
        <w:t xml:space="preserve"> </w:t>
      </w:r>
      <w:r>
        <w:rPr>
          <w:sz w:val="18"/>
        </w:rPr>
        <w:t>auditor</w:t>
      </w:r>
      <w:r>
        <w:rPr>
          <w:spacing w:val="-2"/>
          <w:sz w:val="18"/>
        </w:rPr>
        <w:t xml:space="preserve"> </w:t>
      </w:r>
      <w:r>
        <w:rPr>
          <w:sz w:val="18"/>
        </w:rPr>
        <w:t>from</w:t>
      </w:r>
      <w:r>
        <w:rPr>
          <w:spacing w:val="-2"/>
          <w:sz w:val="18"/>
        </w:rPr>
        <w:t xml:space="preserve"> </w:t>
      </w:r>
      <w:r>
        <w:rPr>
          <w:sz w:val="18"/>
        </w:rPr>
        <w:t>achieving</w:t>
      </w:r>
      <w:r>
        <w:rPr>
          <w:spacing w:val="-3"/>
          <w:sz w:val="18"/>
        </w:rPr>
        <w:t xml:space="preserve"> </w:t>
      </w:r>
      <w:r>
        <w:rPr>
          <w:sz w:val="18"/>
        </w:rPr>
        <w:t>the</w:t>
      </w:r>
      <w:r>
        <w:rPr>
          <w:spacing w:val="-3"/>
          <w:sz w:val="18"/>
        </w:rPr>
        <w:t xml:space="preserve"> </w:t>
      </w:r>
      <w:r>
        <w:rPr>
          <w:sz w:val="18"/>
        </w:rPr>
        <w:t>overall</w:t>
      </w:r>
      <w:r>
        <w:rPr>
          <w:spacing w:val="-2"/>
          <w:sz w:val="18"/>
        </w:rPr>
        <w:t xml:space="preserve"> </w:t>
      </w:r>
      <w:r>
        <w:rPr>
          <w:sz w:val="18"/>
        </w:rPr>
        <w:t>objectives</w:t>
      </w:r>
      <w:r>
        <w:rPr>
          <w:spacing w:val="-2"/>
          <w:sz w:val="18"/>
        </w:rPr>
        <w:t xml:space="preserve"> </w:t>
      </w:r>
      <w:r>
        <w:rPr>
          <w:sz w:val="18"/>
        </w:rPr>
        <w:t>of</w:t>
      </w:r>
      <w:r>
        <w:rPr>
          <w:spacing w:val="-2"/>
          <w:sz w:val="18"/>
        </w:rPr>
        <w:t xml:space="preserve"> </w:t>
      </w:r>
      <w:r>
        <w:rPr>
          <w:sz w:val="18"/>
        </w:rPr>
        <w:t>the</w:t>
      </w:r>
      <w:r>
        <w:rPr>
          <w:spacing w:val="-3"/>
          <w:sz w:val="18"/>
        </w:rPr>
        <w:t xml:space="preserve"> </w:t>
      </w:r>
      <w:r>
        <w:rPr>
          <w:sz w:val="18"/>
        </w:rPr>
        <w:t>auditor</w:t>
      </w:r>
      <w:r>
        <w:rPr>
          <w:spacing w:val="-2"/>
          <w:sz w:val="18"/>
        </w:rPr>
        <w:t xml:space="preserve"> </w:t>
      </w:r>
      <w:r>
        <w:rPr>
          <w:sz w:val="18"/>
        </w:rPr>
        <w:t>and</w:t>
      </w:r>
      <w:r>
        <w:rPr>
          <w:spacing w:val="-3"/>
          <w:sz w:val="18"/>
        </w:rPr>
        <w:t xml:space="preserve"> </w:t>
      </w:r>
      <w:r>
        <w:rPr>
          <w:sz w:val="18"/>
        </w:rPr>
        <w:t>thereby</w:t>
      </w:r>
      <w:r>
        <w:rPr>
          <w:spacing w:val="-2"/>
          <w:sz w:val="18"/>
        </w:rPr>
        <w:t xml:space="preserve"> </w:t>
      </w:r>
      <w:r>
        <w:rPr>
          <w:sz w:val="18"/>
        </w:rPr>
        <w:t>requires</w:t>
      </w:r>
      <w:r>
        <w:rPr>
          <w:spacing w:val="-2"/>
          <w:sz w:val="18"/>
        </w:rPr>
        <w:t xml:space="preserve"> </w:t>
      </w:r>
      <w:r>
        <w:rPr>
          <w:sz w:val="18"/>
        </w:rPr>
        <w:t>the</w:t>
      </w:r>
      <w:r>
        <w:rPr>
          <w:spacing w:val="-3"/>
          <w:sz w:val="18"/>
        </w:rPr>
        <w:t xml:space="preserve"> </w:t>
      </w:r>
      <w:r>
        <w:rPr>
          <w:sz w:val="18"/>
        </w:rPr>
        <w:t>auditor</w:t>
      </w:r>
      <w:r>
        <w:rPr>
          <w:spacing w:val="-1"/>
          <w:sz w:val="18"/>
        </w:rPr>
        <w:t xml:space="preserve"> </w:t>
      </w:r>
      <w:r>
        <w:rPr>
          <w:sz w:val="18"/>
        </w:rPr>
        <w:t>to</w:t>
      </w:r>
      <w:r>
        <w:rPr>
          <w:spacing w:val="-3"/>
          <w:sz w:val="18"/>
        </w:rPr>
        <w:t xml:space="preserve"> </w:t>
      </w:r>
      <w:r>
        <w:rPr>
          <w:sz w:val="18"/>
        </w:rPr>
        <w:t>modify</w:t>
      </w:r>
      <w:r>
        <w:rPr>
          <w:spacing w:val="-2"/>
          <w:sz w:val="18"/>
        </w:rPr>
        <w:t xml:space="preserve"> </w:t>
      </w:r>
      <w:r>
        <w:rPr>
          <w:sz w:val="18"/>
        </w:rPr>
        <w:t>the auditor’s opinion or withdraw from the engagement when withdrawal is possible under applicable law or regulation.</w:t>
      </w:r>
    </w:p>
    <w:p w14:paraId="0DFDCDC2" w14:textId="77777777" w:rsidR="00046465" w:rsidRDefault="008134EB">
      <w:pPr>
        <w:spacing w:line="242" w:lineRule="auto"/>
        <w:ind w:left="1080" w:right="964"/>
        <w:rPr>
          <w:sz w:val="18"/>
        </w:rPr>
      </w:pPr>
      <w:r>
        <w:rPr>
          <w:sz w:val="18"/>
        </w:rPr>
        <w:t>Failure</w:t>
      </w:r>
      <w:r>
        <w:rPr>
          <w:spacing w:val="-3"/>
          <w:sz w:val="18"/>
        </w:rPr>
        <w:t xml:space="preserve"> </w:t>
      </w:r>
      <w:r>
        <w:rPr>
          <w:sz w:val="18"/>
        </w:rPr>
        <w:t>to</w:t>
      </w:r>
      <w:r>
        <w:rPr>
          <w:spacing w:val="-3"/>
          <w:sz w:val="18"/>
        </w:rPr>
        <w:t xml:space="preserve"> </w:t>
      </w:r>
      <w:r>
        <w:rPr>
          <w:sz w:val="18"/>
        </w:rPr>
        <w:t>achieve</w:t>
      </w:r>
      <w:r>
        <w:rPr>
          <w:spacing w:val="-3"/>
          <w:sz w:val="18"/>
        </w:rPr>
        <w:t xml:space="preserve"> </w:t>
      </w:r>
      <w:r>
        <w:rPr>
          <w:sz w:val="18"/>
        </w:rPr>
        <w:t>an</w:t>
      </w:r>
      <w:r>
        <w:rPr>
          <w:spacing w:val="-3"/>
          <w:sz w:val="18"/>
        </w:rPr>
        <w:t xml:space="preserve"> </w:t>
      </w:r>
      <w:r>
        <w:rPr>
          <w:sz w:val="18"/>
        </w:rPr>
        <w:t>objective</w:t>
      </w:r>
      <w:r>
        <w:rPr>
          <w:spacing w:val="-3"/>
          <w:sz w:val="18"/>
        </w:rPr>
        <w:t xml:space="preserve"> </w:t>
      </w:r>
      <w:r>
        <w:rPr>
          <w:sz w:val="18"/>
        </w:rPr>
        <w:t>represents</w:t>
      </w:r>
      <w:r>
        <w:rPr>
          <w:spacing w:val="-2"/>
          <w:sz w:val="18"/>
        </w:rPr>
        <w:t xml:space="preserve"> </w:t>
      </w:r>
      <w:r>
        <w:rPr>
          <w:sz w:val="18"/>
        </w:rPr>
        <w:t>a</w:t>
      </w:r>
      <w:r>
        <w:rPr>
          <w:spacing w:val="-2"/>
          <w:sz w:val="18"/>
        </w:rPr>
        <w:t xml:space="preserve"> </w:t>
      </w:r>
      <w:r>
        <w:rPr>
          <w:sz w:val="18"/>
        </w:rPr>
        <w:t>significant</w:t>
      </w:r>
      <w:r>
        <w:rPr>
          <w:spacing w:val="-2"/>
          <w:sz w:val="18"/>
        </w:rPr>
        <w:t xml:space="preserve"> </w:t>
      </w:r>
      <w:r>
        <w:rPr>
          <w:sz w:val="18"/>
        </w:rPr>
        <w:t>finding</w:t>
      </w:r>
      <w:r>
        <w:rPr>
          <w:spacing w:val="-3"/>
          <w:sz w:val="18"/>
        </w:rPr>
        <w:t xml:space="preserve"> </w:t>
      </w:r>
      <w:r>
        <w:rPr>
          <w:sz w:val="18"/>
        </w:rPr>
        <w:t>or</w:t>
      </w:r>
      <w:r>
        <w:rPr>
          <w:spacing w:val="-2"/>
          <w:sz w:val="18"/>
        </w:rPr>
        <w:t xml:space="preserve"> </w:t>
      </w:r>
      <w:r>
        <w:rPr>
          <w:sz w:val="18"/>
        </w:rPr>
        <w:t>issue</w:t>
      </w:r>
      <w:r>
        <w:rPr>
          <w:spacing w:val="-3"/>
          <w:sz w:val="18"/>
        </w:rPr>
        <w:t xml:space="preserve"> </w:t>
      </w:r>
      <w:r>
        <w:rPr>
          <w:sz w:val="18"/>
        </w:rPr>
        <w:t>requiring</w:t>
      </w:r>
      <w:r>
        <w:rPr>
          <w:spacing w:val="-3"/>
          <w:sz w:val="18"/>
        </w:rPr>
        <w:t xml:space="preserve"> </w:t>
      </w:r>
      <w:r>
        <w:rPr>
          <w:sz w:val="18"/>
        </w:rPr>
        <w:t>documentation</w:t>
      </w:r>
      <w:r>
        <w:rPr>
          <w:spacing w:val="-3"/>
          <w:sz w:val="18"/>
        </w:rPr>
        <w:t xml:space="preserve"> </w:t>
      </w:r>
      <w:r>
        <w:rPr>
          <w:sz w:val="18"/>
        </w:rPr>
        <w:t>in</w:t>
      </w:r>
      <w:r>
        <w:rPr>
          <w:spacing w:val="-3"/>
          <w:sz w:val="18"/>
        </w:rPr>
        <w:t xml:space="preserve"> </w:t>
      </w:r>
      <w:r>
        <w:rPr>
          <w:sz w:val="18"/>
        </w:rPr>
        <w:t>accordance</w:t>
      </w:r>
      <w:r>
        <w:rPr>
          <w:spacing w:val="-3"/>
          <w:sz w:val="18"/>
        </w:rPr>
        <w:t xml:space="preserve"> </w:t>
      </w:r>
      <w:r>
        <w:rPr>
          <w:sz w:val="18"/>
        </w:rPr>
        <w:t xml:space="preserve">with AU-C 230, </w:t>
      </w:r>
      <w:r>
        <w:rPr>
          <w:i/>
          <w:sz w:val="18"/>
        </w:rPr>
        <w:t>Audit Documentation</w:t>
      </w:r>
      <w:r>
        <w:rPr>
          <w:sz w:val="18"/>
        </w:rPr>
        <w:t>. See AU-C 200.A90 and .A91 for further guidance.</w:t>
      </w:r>
    </w:p>
    <w:p w14:paraId="0DFDCDC3" w14:textId="77777777" w:rsidR="00046465" w:rsidRDefault="00046465">
      <w:pPr>
        <w:spacing w:line="242" w:lineRule="auto"/>
        <w:rPr>
          <w:sz w:val="18"/>
        </w:rPr>
        <w:sectPr w:rsidR="00046465">
          <w:pgSz w:w="12240" w:h="15840"/>
          <w:pgMar w:top="1340" w:right="720" w:bottom="940" w:left="360" w:header="721" w:footer="757" w:gutter="0"/>
          <w:cols w:space="720"/>
        </w:sectPr>
      </w:pPr>
    </w:p>
    <w:p w14:paraId="0DFDCDC4" w14:textId="77777777" w:rsidR="00046465" w:rsidRDefault="00046465">
      <w:pPr>
        <w:pStyle w:val="BodyText"/>
        <w:spacing w:before="9"/>
        <w:rPr>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09"/>
      </w:tblGrid>
      <w:tr w:rsidR="00046465" w14:paraId="0DFDCDCB" w14:textId="77777777">
        <w:trPr>
          <w:trHeight w:val="937"/>
        </w:trPr>
        <w:tc>
          <w:tcPr>
            <w:tcW w:w="7380" w:type="dxa"/>
            <w:tcBorders>
              <w:bottom w:val="single" w:sz="6" w:space="0" w:color="000000"/>
              <w:right w:val="single" w:sz="6" w:space="0" w:color="000000"/>
            </w:tcBorders>
            <w:shd w:val="clear" w:color="auto" w:fill="A6A6A6"/>
          </w:tcPr>
          <w:p w14:paraId="0DFDCDC5" w14:textId="77777777" w:rsidR="00046465" w:rsidRDefault="00046465">
            <w:pPr>
              <w:pStyle w:val="TableParagraph"/>
              <w:spacing w:before="266"/>
              <w:rPr>
                <w:sz w:val="24"/>
              </w:rPr>
            </w:pPr>
          </w:p>
          <w:p w14:paraId="0DFDCDC6" w14:textId="77777777" w:rsidR="00046465" w:rsidRDefault="008134EB">
            <w:pPr>
              <w:pStyle w:val="TableParagraph"/>
              <w:ind w:left="123"/>
              <w:rPr>
                <w:b/>
                <w:sz w:val="24"/>
              </w:rPr>
            </w:pPr>
            <w:r>
              <w:rPr>
                <w:b/>
                <w:sz w:val="24"/>
              </w:rPr>
              <w:t>Section</w:t>
            </w:r>
            <w:r>
              <w:rPr>
                <w:b/>
                <w:spacing w:val="-3"/>
                <w:sz w:val="24"/>
              </w:rPr>
              <w:t xml:space="preserve"> </w:t>
            </w:r>
            <w:r>
              <w:rPr>
                <w:b/>
                <w:sz w:val="24"/>
              </w:rPr>
              <w:t>I:</w:t>
            </w:r>
            <w:r>
              <w:rPr>
                <w:b/>
                <w:spacing w:val="-4"/>
                <w:sz w:val="24"/>
              </w:rPr>
              <w:t xml:space="preserve"> </w:t>
            </w:r>
            <w:r>
              <w:rPr>
                <w:b/>
                <w:sz w:val="24"/>
              </w:rPr>
              <w:t>Planning</w:t>
            </w:r>
            <w:r>
              <w:rPr>
                <w:b/>
                <w:spacing w:val="-2"/>
                <w:sz w:val="24"/>
              </w:rPr>
              <w:t xml:space="preserve"> </w:t>
            </w:r>
            <w:r>
              <w:rPr>
                <w:b/>
                <w:sz w:val="24"/>
              </w:rPr>
              <w:t>and</w:t>
            </w:r>
            <w:r>
              <w:rPr>
                <w:b/>
                <w:spacing w:val="-3"/>
                <w:sz w:val="24"/>
              </w:rPr>
              <w:t xml:space="preserve"> </w:t>
            </w:r>
            <w:r>
              <w:rPr>
                <w:b/>
                <w:sz w:val="24"/>
              </w:rPr>
              <w:t>Risk</w:t>
            </w:r>
            <w:r>
              <w:rPr>
                <w:b/>
                <w:spacing w:val="-2"/>
                <w:sz w:val="24"/>
              </w:rPr>
              <w:t xml:space="preserve"> Assessment</w:t>
            </w:r>
          </w:p>
        </w:tc>
        <w:tc>
          <w:tcPr>
            <w:tcW w:w="810" w:type="dxa"/>
            <w:tcBorders>
              <w:left w:val="single" w:sz="6" w:space="0" w:color="000000"/>
              <w:bottom w:val="single" w:sz="6" w:space="0" w:color="000000"/>
              <w:right w:val="single" w:sz="6" w:space="0" w:color="000000"/>
            </w:tcBorders>
            <w:shd w:val="clear" w:color="auto" w:fill="A6A6A6"/>
          </w:tcPr>
          <w:p w14:paraId="0DFDCDC7" w14:textId="77777777" w:rsidR="00046465" w:rsidRDefault="008134EB">
            <w:pPr>
              <w:pStyle w:val="TableParagraph"/>
              <w:spacing w:before="120"/>
              <w:ind w:left="138" w:right="201"/>
              <w:jc w:val="both"/>
              <w:rPr>
                <w:b/>
              </w:rPr>
            </w:pPr>
            <w:r>
              <w:rPr>
                <w:b/>
                <w:spacing w:val="-4"/>
              </w:rPr>
              <w:t>Yes, No,* N/A</w:t>
            </w:r>
          </w:p>
        </w:tc>
        <w:tc>
          <w:tcPr>
            <w:tcW w:w="1309" w:type="dxa"/>
            <w:tcBorders>
              <w:left w:val="single" w:sz="6" w:space="0" w:color="000000"/>
              <w:bottom w:val="single" w:sz="6" w:space="0" w:color="000000"/>
            </w:tcBorders>
            <w:shd w:val="clear" w:color="auto" w:fill="A6A6A6"/>
          </w:tcPr>
          <w:p w14:paraId="0DFDCDC8" w14:textId="77777777" w:rsidR="00046465" w:rsidRDefault="00046465">
            <w:pPr>
              <w:pStyle w:val="TableParagraph"/>
            </w:pPr>
          </w:p>
          <w:p w14:paraId="0DFDCDC9" w14:textId="77777777" w:rsidR="00046465" w:rsidRDefault="00046465">
            <w:pPr>
              <w:pStyle w:val="TableParagraph"/>
              <w:spacing w:before="120"/>
            </w:pPr>
          </w:p>
          <w:p w14:paraId="0DFDCDCA" w14:textId="77777777" w:rsidR="00046465" w:rsidRDefault="008134EB">
            <w:pPr>
              <w:pStyle w:val="TableParagraph"/>
              <w:ind w:left="214"/>
              <w:rPr>
                <w:b/>
              </w:rPr>
            </w:pPr>
            <w:r>
              <w:rPr>
                <w:b/>
              </w:rPr>
              <w:t>Doc.</w:t>
            </w:r>
            <w:r>
              <w:rPr>
                <w:b/>
                <w:spacing w:val="-6"/>
              </w:rPr>
              <w:t xml:space="preserve"> </w:t>
            </w:r>
            <w:r>
              <w:rPr>
                <w:b/>
                <w:spacing w:val="-4"/>
              </w:rPr>
              <w:t>ref.</w:t>
            </w:r>
          </w:p>
        </w:tc>
      </w:tr>
      <w:tr w:rsidR="00046465" w14:paraId="0DFDCDCF" w14:textId="77777777">
        <w:trPr>
          <w:trHeight w:val="2263"/>
        </w:trPr>
        <w:tc>
          <w:tcPr>
            <w:tcW w:w="7380" w:type="dxa"/>
            <w:tcBorders>
              <w:top w:val="single" w:sz="6" w:space="0" w:color="000000"/>
              <w:bottom w:val="single" w:sz="6" w:space="0" w:color="000000"/>
              <w:right w:val="single" w:sz="6" w:space="0" w:color="000000"/>
            </w:tcBorders>
          </w:tcPr>
          <w:p w14:paraId="0DFDCDCC" w14:textId="77777777" w:rsidR="00046465" w:rsidRDefault="008134EB">
            <w:pPr>
              <w:pStyle w:val="TableParagraph"/>
              <w:spacing w:before="121"/>
              <w:ind w:left="1249" w:hanging="360"/>
            </w:pPr>
            <w:r>
              <w:t>d.</w:t>
            </w:r>
            <w:r>
              <w:rPr>
                <w:spacing w:val="80"/>
              </w:rPr>
              <w:t xml:space="preserve"> </w:t>
            </w:r>
            <w:r>
              <w:t>Did the auditor identify and assess the risks of material misstatement,</w:t>
            </w:r>
            <w:r>
              <w:rPr>
                <w:spacing w:val="-3"/>
              </w:rPr>
              <w:t xml:space="preserve"> </w:t>
            </w:r>
            <w:r>
              <w:t>whether</w:t>
            </w:r>
            <w:r>
              <w:rPr>
                <w:spacing w:val="-3"/>
              </w:rPr>
              <w:t xml:space="preserve"> </w:t>
            </w:r>
            <w:r>
              <w:t>due</w:t>
            </w:r>
            <w:r>
              <w:rPr>
                <w:spacing w:val="-3"/>
              </w:rPr>
              <w:t xml:space="preserve"> </w:t>
            </w:r>
            <w:r>
              <w:t>to</w:t>
            </w:r>
            <w:r>
              <w:rPr>
                <w:spacing w:val="-3"/>
              </w:rPr>
              <w:t xml:space="preserve"> </w:t>
            </w:r>
            <w:r>
              <w:t>fraud</w:t>
            </w:r>
            <w:r>
              <w:rPr>
                <w:spacing w:val="-4"/>
              </w:rPr>
              <w:t xml:space="preserve"> </w:t>
            </w:r>
            <w:r>
              <w:t>or</w:t>
            </w:r>
            <w:r>
              <w:rPr>
                <w:spacing w:val="-3"/>
              </w:rPr>
              <w:t xml:space="preserve"> </w:t>
            </w:r>
            <w:r>
              <w:t>error,</w:t>
            </w:r>
            <w:r>
              <w:rPr>
                <w:spacing w:val="-3"/>
              </w:rPr>
              <w:t xml:space="preserve"> </w:t>
            </w:r>
            <w:r>
              <w:t>at</w:t>
            </w:r>
            <w:r>
              <w:rPr>
                <w:spacing w:val="-3"/>
              </w:rPr>
              <w:t xml:space="preserve"> </w:t>
            </w:r>
            <w:r>
              <w:t>the</w:t>
            </w:r>
            <w:r>
              <w:rPr>
                <w:spacing w:val="-3"/>
              </w:rPr>
              <w:t xml:space="preserve"> </w:t>
            </w:r>
            <w:r>
              <w:t>financial statement and assertion levels through understanding the entity</w:t>
            </w:r>
            <w:r>
              <w:rPr>
                <w:spacing w:val="-6"/>
              </w:rPr>
              <w:t xml:space="preserve"> </w:t>
            </w:r>
            <w:r>
              <w:t>and</w:t>
            </w:r>
            <w:r>
              <w:rPr>
                <w:spacing w:val="-6"/>
              </w:rPr>
              <w:t xml:space="preserve"> </w:t>
            </w:r>
            <w:r>
              <w:t>its</w:t>
            </w:r>
            <w:r>
              <w:rPr>
                <w:spacing w:val="-6"/>
              </w:rPr>
              <w:t xml:space="preserve"> </w:t>
            </w:r>
            <w:r>
              <w:t>environment,</w:t>
            </w:r>
            <w:r>
              <w:rPr>
                <w:spacing w:val="-6"/>
              </w:rPr>
              <w:t xml:space="preserve"> </w:t>
            </w:r>
            <w:r>
              <w:t>the</w:t>
            </w:r>
            <w:r>
              <w:rPr>
                <w:spacing w:val="-6"/>
              </w:rPr>
              <w:t xml:space="preserve"> </w:t>
            </w:r>
            <w:r>
              <w:t>applicable</w:t>
            </w:r>
            <w:r>
              <w:rPr>
                <w:spacing w:val="-6"/>
              </w:rPr>
              <w:t xml:space="preserve"> </w:t>
            </w:r>
            <w:r>
              <w:t>financial</w:t>
            </w:r>
            <w:r>
              <w:rPr>
                <w:spacing w:val="-6"/>
              </w:rPr>
              <w:t xml:space="preserve"> </w:t>
            </w:r>
            <w:r>
              <w:t>reporting framework (generally U.S. GAAP), and the entity’s internal control, thereby providing a basis for designing and implementing responses to the assessed risks of material misstatement? (AU-C 315)</w:t>
            </w:r>
          </w:p>
        </w:tc>
        <w:tc>
          <w:tcPr>
            <w:tcW w:w="810" w:type="dxa"/>
            <w:tcBorders>
              <w:top w:val="single" w:sz="6" w:space="0" w:color="000000"/>
              <w:left w:val="single" w:sz="6" w:space="0" w:color="000000"/>
              <w:bottom w:val="single" w:sz="6" w:space="0" w:color="000000"/>
              <w:right w:val="single" w:sz="6" w:space="0" w:color="000000"/>
            </w:tcBorders>
          </w:tcPr>
          <w:p w14:paraId="0DFDCDCD"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shd w:val="clear" w:color="auto" w:fill="BEBEBE"/>
          </w:tcPr>
          <w:p w14:paraId="0DFDCDCE" w14:textId="77777777" w:rsidR="00046465" w:rsidRDefault="00046465">
            <w:pPr>
              <w:pStyle w:val="TableParagraph"/>
              <w:rPr>
                <w:rFonts w:ascii="Times New Roman"/>
              </w:rPr>
            </w:pPr>
          </w:p>
        </w:tc>
      </w:tr>
      <w:tr w:rsidR="00046465" w14:paraId="0DFDCDD3" w14:textId="77777777">
        <w:trPr>
          <w:trHeight w:val="745"/>
        </w:trPr>
        <w:tc>
          <w:tcPr>
            <w:tcW w:w="7380" w:type="dxa"/>
            <w:tcBorders>
              <w:top w:val="single" w:sz="6" w:space="0" w:color="000000"/>
              <w:bottom w:val="single" w:sz="6" w:space="0" w:color="000000"/>
              <w:right w:val="single" w:sz="6" w:space="0" w:color="000000"/>
            </w:tcBorders>
          </w:tcPr>
          <w:p w14:paraId="0DFDCDD0" w14:textId="77777777" w:rsidR="00046465" w:rsidRDefault="008134EB">
            <w:pPr>
              <w:pStyle w:val="TableParagraph"/>
              <w:spacing w:before="121"/>
              <w:ind w:left="1249" w:right="437" w:hanging="360"/>
            </w:pPr>
            <w:r>
              <w:t>e.</w:t>
            </w:r>
            <w:r>
              <w:rPr>
                <w:spacing w:val="80"/>
              </w:rPr>
              <w:t xml:space="preserve"> </w:t>
            </w:r>
            <w:r>
              <w:t>Did</w:t>
            </w:r>
            <w:r>
              <w:rPr>
                <w:spacing w:val="-3"/>
              </w:rPr>
              <w:t xml:space="preserve"> </w:t>
            </w:r>
            <w:r>
              <w:t>the</w:t>
            </w:r>
            <w:r>
              <w:rPr>
                <w:spacing w:val="-3"/>
              </w:rPr>
              <w:t xml:space="preserve"> </w:t>
            </w:r>
            <w:r>
              <w:t>auditor</w:t>
            </w:r>
            <w:r>
              <w:rPr>
                <w:spacing w:val="-3"/>
              </w:rPr>
              <w:t xml:space="preserve"> </w:t>
            </w:r>
            <w:r>
              <w:t>plan</w:t>
            </w:r>
            <w:r>
              <w:rPr>
                <w:spacing w:val="-3"/>
              </w:rPr>
              <w:t xml:space="preserve"> </w:t>
            </w:r>
            <w:r>
              <w:t>the</w:t>
            </w:r>
            <w:r>
              <w:rPr>
                <w:spacing w:val="-4"/>
              </w:rPr>
              <w:t xml:space="preserve"> </w:t>
            </w:r>
            <w:r>
              <w:t>audit</w:t>
            </w:r>
            <w:r>
              <w:rPr>
                <w:spacing w:val="-3"/>
              </w:rPr>
              <w:t xml:space="preserve"> </w:t>
            </w:r>
            <w:r>
              <w:t>so</w:t>
            </w:r>
            <w:r>
              <w:rPr>
                <w:spacing w:val="-3"/>
              </w:rPr>
              <w:t xml:space="preserve"> </w:t>
            </w:r>
            <w:r>
              <w:t>that</w:t>
            </w:r>
            <w:r>
              <w:rPr>
                <w:spacing w:val="-4"/>
              </w:rPr>
              <w:t xml:space="preserve"> </w:t>
            </w:r>
            <w:r>
              <w:t>it</w:t>
            </w:r>
            <w:r>
              <w:rPr>
                <w:spacing w:val="-3"/>
              </w:rPr>
              <w:t xml:space="preserve"> </w:t>
            </w:r>
            <w:r>
              <w:t>will</w:t>
            </w:r>
            <w:r>
              <w:rPr>
                <w:spacing w:val="-3"/>
              </w:rPr>
              <w:t xml:space="preserve"> </w:t>
            </w:r>
            <w:r>
              <w:t>be</w:t>
            </w:r>
            <w:r>
              <w:rPr>
                <w:spacing w:val="-3"/>
              </w:rPr>
              <w:t xml:space="preserve"> </w:t>
            </w:r>
            <w:r>
              <w:t>performed</w:t>
            </w:r>
            <w:r>
              <w:rPr>
                <w:spacing w:val="-3"/>
              </w:rPr>
              <w:t xml:space="preserve"> </w:t>
            </w:r>
            <w:r>
              <w:t>in an effective manner? (AU-C 300)</w:t>
            </w:r>
          </w:p>
        </w:tc>
        <w:tc>
          <w:tcPr>
            <w:tcW w:w="810" w:type="dxa"/>
            <w:tcBorders>
              <w:top w:val="single" w:sz="6" w:space="0" w:color="000000"/>
              <w:left w:val="single" w:sz="6" w:space="0" w:color="000000"/>
              <w:bottom w:val="single" w:sz="6" w:space="0" w:color="000000"/>
              <w:right w:val="single" w:sz="6" w:space="0" w:color="000000"/>
            </w:tcBorders>
          </w:tcPr>
          <w:p w14:paraId="0DFDCDD1"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shd w:val="clear" w:color="auto" w:fill="BEBEBE"/>
          </w:tcPr>
          <w:p w14:paraId="0DFDCDD2" w14:textId="77777777" w:rsidR="00046465" w:rsidRDefault="00046465">
            <w:pPr>
              <w:pStyle w:val="TableParagraph"/>
              <w:rPr>
                <w:rFonts w:ascii="Times New Roman"/>
              </w:rPr>
            </w:pPr>
          </w:p>
        </w:tc>
      </w:tr>
      <w:tr w:rsidR="00046465" w14:paraId="0DFDCDD7" w14:textId="77777777">
        <w:trPr>
          <w:trHeight w:val="746"/>
        </w:trPr>
        <w:tc>
          <w:tcPr>
            <w:tcW w:w="7380" w:type="dxa"/>
            <w:tcBorders>
              <w:top w:val="single" w:sz="6" w:space="0" w:color="000000"/>
              <w:bottom w:val="single" w:sz="6" w:space="0" w:color="000000"/>
              <w:right w:val="single" w:sz="6" w:space="0" w:color="000000"/>
            </w:tcBorders>
          </w:tcPr>
          <w:p w14:paraId="0DFDCDD4" w14:textId="77777777" w:rsidR="00046465" w:rsidRDefault="008134EB">
            <w:pPr>
              <w:pStyle w:val="TableParagraph"/>
              <w:tabs>
                <w:tab w:val="left" w:pos="1249"/>
              </w:tabs>
              <w:spacing w:before="121"/>
              <w:ind w:left="1249" w:right="241" w:hanging="360"/>
            </w:pPr>
            <w:r>
              <w:rPr>
                <w:spacing w:val="-6"/>
              </w:rPr>
              <w:t>f.</w:t>
            </w:r>
            <w:r>
              <w:tab/>
              <w:t>Did</w:t>
            </w:r>
            <w:r>
              <w:rPr>
                <w:spacing w:val="-5"/>
              </w:rPr>
              <w:t xml:space="preserve"> </w:t>
            </w:r>
            <w:r>
              <w:t>the</w:t>
            </w:r>
            <w:r>
              <w:rPr>
                <w:spacing w:val="-5"/>
              </w:rPr>
              <w:t xml:space="preserve"> </w:t>
            </w:r>
            <w:r>
              <w:t>auditor</w:t>
            </w:r>
            <w:r>
              <w:rPr>
                <w:spacing w:val="-5"/>
              </w:rPr>
              <w:t xml:space="preserve"> </w:t>
            </w:r>
            <w:r>
              <w:t>apply</w:t>
            </w:r>
            <w:r>
              <w:rPr>
                <w:spacing w:val="-5"/>
              </w:rPr>
              <w:t xml:space="preserve"> </w:t>
            </w:r>
            <w:r>
              <w:t>the</w:t>
            </w:r>
            <w:r>
              <w:rPr>
                <w:spacing w:val="-6"/>
              </w:rPr>
              <w:t xml:space="preserve"> </w:t>
            </w:r>
            <w:r>
              <w:t>concept</w:t>
            </w:r>
            <w:r>
              <w:rPr>
                <w:spacing w:val="-5"/>
              </w:rPr>
              <w:t xml:space="preserve"> </w:t>
            </w:r>
            <w:r>
              <w:t>of</w:t>
            </w:r>
            <w:r>
              <w:rPr>
                <w:spacing w:val="-6"/>
              </w:rPr>
              <w:t xml:space="preserve"> </w:t>
            </w:r>
            <w:r>
              <w:t>materiality</w:t>
            </w:r>
            <w:r>
              <w:rPr>
                <w:spacing w:val="-5"/>
              </w:rPr>
              <w:t xml:space="preserve"> </w:t>
            </w:r>
            <w:r>
              <w:t>appropriately in planning and performing the audit? (AU-C 320)</w:t>
            </w:r>
          </w:p>
        </w:tc>
        <w:tc>
          <w:tcPr>
            <w:tcW w:w="810" w:type="dxa"/>
            <w:tcBorders>
              <w:top w:val="single" w:sz="6" w:space="0" w:color="000000"/>
              <w:left w:val="single" w:sz="6" w:space="0" w:color="000000"/>
              <w:bottom w:val="single" w:sz="6" w:space="0" w:color="000000"/>
              <w:right w:val="single" w:sz="6" w:space="0" w:color="000000"/>
            </w:tcBorders>
          </w:tcPr>
          <w:p w14:paraId="0DFDCDD5" w14:textId="77777777" w:rsidR="00046465" w:rsidRDefault="00046465">
            <w:pPr>
              <w:pStyle w:val="TableParagraph"/>
              <w:rPr>
                <w:rFonts w:ascii="Times New Roman"/>
              </w:rPr>
            </w:pPr>
          </w:p>
        </w:tc>
        <w:tc>
          <w:tcPr>
            <w:tcW w:w="1309" w:type="dxa"/>
            <w:tcBorders>
              <w:top w:val="single" w:sz="6" w:space="0" w:color="000000"/>
              <w:left w:val="single" w:sz="6" w:space="0" w:color="000000"/>
              <w:bottom w:val="single" w:sz="6" w:space="0" w:color="000000"/>
            </w:tcBorders>
            <w:shd w:val="clear" w:color="auto" w:fill="BEBEBE"/>
          </w:tcPr>
          <w:p w14:paraId="0DFDCDD6" w14:textId="77777777" w:rsidR="00046465" w:rsidRDefault="00046465">
            <w:pPr>
              <w:pStyle w:val="TableParagraph"/>
              <w:rPr>
                <w:rFonts w:ascii="Times New Roman"/>
              </w:rPr>
            </w:pPr>
          </w:p>
        </w:tc>
      </w:tr>
      <w:tr w:rsidR="00046465" w14:paraId="0DFDCDDB" w14:textId="77777777">
        <w:trPr>
          <w:trHeight w:val="1506"/>
        </w:trPr>
        <w:tc>
          <w:tcPr>
            <w:tcW w:w="7380" w:type="dxa"/>
            <w:tcBorders>
              <w:top w:val="single" w:sz="6" w:space="0" w:color="000000"/>
              <w:right w:val="single" w:sz="6" w:space="0" w:color="000000"/>
            </w:tcBorders>
          </w:tcPr>
          <w:p w14:paraId="0DFDCDD8" w14:textId="77777777" w:rsidR="00046465" w:rsidRDefault="008134EB">
            <w:pPr>
              <w:pStyle w:val="TableParagraph"/>
              <w:spacing w:before="119"/>
              <w:ind w:left="1249" w:right="166" w:hanging="360"/>
            </w:pPr>
            <w:r>
              <w:t>g.</w:t>
            </w:r>
            <w:r>
              <w:rPr>
                <w:spacing w:val="80"/>
              </w:rPr>
              <w:t xml:space="preserve"> </w:t>
            </w:r>
            <w:r>
              <w:t>Did the auditor obtain an understanding of the nature and significance of the services provided by the entity’s service organization(s) and their effect on the entity’s internal controls</w:t>
            </w:r>
            <w:r>
              <w:rPr>
                <w:spacing w:val="-4"/>
              </w:rPr>
              <w:t xml:space="preserve"> </w:t>
            </w:r>
            <w:r>
              <w:t>relevant</w:t>
            </w:r>
            <w:r>
              <w:rPr>
                <w:spacing w:val="-4"/>
              </w:rPr>
              <w:t xml:space="preserve"> </w:t>
            </w:r>
            <w:r>
              <w:t>to</w:t>
            </w:r>
            <w:r>
              <w:rPr>
                <w:spacing w:val="-4"/>
              </w:rPr>
              <w:t xml:space="preserve"> </w:t>
            </w:r>
            <w:r>
              <w:t>the</w:t>
            </w:r>
            <w:r>
              <w:rPr>
                <w:spacing w:val="-4"/>
              </w:rPr>
              <w:t xml:space="preserve"> </w:t>
            </w:r>
            <w:r>
              <w:t>audit,</w:t>
            </w:r>
            <w:r>
              <w:rPr>
                <w:spacing w:val="-4"/>
              </w:rPr>
              <w:t xml:space="preserve"> </w:t>
            </w:r>
            <w:r>
              <w:t>sufficient</w:t>
            </w:r>
            <w:r>
              <w:rPr>
                <w:spacing w:val="-4"/>
              </w:rPr>
              <w:t xml:space="preserve"> </w:t>
            </w:r>
            <w:r>
              <w:t>to</w:t>
            </w:r>
            <w:r>
              <w:rPr>
                <w:spacing w:val="-4"/>
              </w:rPr>
              <w:t xml:space="preserve"> </w:t>
            </w:r>
            <w:r>
              <w:t>identify</w:t>
            </w:r>
            <w:r>
              <w:rPr>
                <w:spacing w:val="-5"/>
              </w:rPr>
              <w:t xml:space="preserve"> </w:t>
            </w:r>
            <w:r>
              <w:t>and</w:t>
            </w:r>
            <w:r>
              <w:rPr>
                <w:spacing w:val="-4"/>
              </w:rPr>
              <w:t xml:space="preserve"> </w:t>
            </w:r>
            <w:r>
              <w:t>assess the risks of material misstatement? (AU-C 402)</w:t>
            </w:r>
          </w:p>
        </w:tc>
        <w:tc>
          <w:tcPr>
            <w:tcW w:w="810" w:type="dxa"/>
            <w:tcBorders>
              <w:top w:val="single" w:sz="6" w:space="0" w:color="000000"/>
              <w:left w:val="single" w:sz="6" w:space="0" w:color="000000"/>
              <w:right w:val="single" w:sz="6" w:space="0" w:color="000000"/>
            </w:tcBorders>
          </w:tcPr>
          <w:p w14:paraId="0DFDCDD9" w14:textId="77777777" w:rsidR="00046465" w:rsidRDefault="00046465">
            <w:pPr>
              <w:pStyle w:val="TableParagraph"/>
              <w:rPr>
                <w:rFonts w:ascii="Times New Roman"/>
              </w:rPr>
            </w:pPr>
          </w:p>
        </w:tc>
        <w:tc>
          <w:tcPr>
            <w:tcW w:w="1309" w:type="dxa"/>
            <w:tcBorders>
              <w:top w:val="single" w:sz="6" w:space="0" w:color="000000"/>
              <w:left w:val="single" w:sz="6" w:space="0" w:color="000000"/>
            </w:tcBorders>
            <w:shd w:val="clear" w:color="auto" w:fill="BEBEBE"/>
          </w:tcPr>
          <w:p w14:paraId="0DFDCDDA" w14:textId="77777777" w:rsidR="00046465" w:rsidRDefault="00046465">
            <w:pPr>
              <w:pStyle w:val="TableParagraph"/>
              <w:rPr>
                <w:rFonts w:ascii="Times New Roman"/>
              </w:rPr>
            </w:pPr>
          </w:p>
        </w:tc>
      </w:tr>
    </w:tbl>
    <w:p w14:paraId="0DFDCDDC"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CDDD" w14:textId="77777777" w:rsidR="00046465" w:rsidRDefault="008134EB" w:rsidP="00C30459">
      <w:pPr>
        <w:pStyle w:val="Heading4"/>
        <w:ind w:left="1080"/>
      </w:pPr>
      <w:bookmarkStart w:id="414" w:name="Section_II:_Performing_the_Engagement"/>
      <w:bookmarkEnd w:id="414"/>
      <w:r>
        <w:lastRenderedPageBreak/>
        <w:t>Section</w:t>
      </w:r>
      <w:r>
        <w:rPr>
          <w:spacing w:val="-11"/>
        </w:rPr>
        <w:t xml:space="preserve"> </w:t>
      </w:r>
      <w:r>
        <w:t>II:</w:t>
      </w:r>
      <w:r>
        <w:rPr>
          <w:spacing w:val="-10"/>
        </w:rPr>
        <w:t xml:space="preserve"> </w:t>
      </w:r>
      <w:r>
        <w:t>Performing</w:t>
      </w:r>
      <w:r>
        <w:rPr>
          <w:spacing w:val="-10"/>
        </w:rPr>
        <w:t xml:space="preserve"> </w:t>
      </w:r>
      <w:r>
        <w:t>the</w:t>
      </w:r>
      <w:r>
        <w:rPr>
          <w:spacing w:val="-9"/>
        </w:rPr>
        <w:t xml:space="preserve"> </w:t>
      </w:r>
      <w:r>
        <w:rPr>
          <w:spacing w:val="-2"/>
        </w:rPr>
        <w:t>Engagement</w:t>
      </w:r>
    </w:p>
    <w:p w14:paraId="0DFDCDDE" w14:textId="77777777" w:rsidR="00046465" w:rsidRDefault="00046465">
      <w:pPr>
        <w:pStyle w:val="BodyText"/>
        <w:spacing w:before="5"/>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CDE5" w14:textId="77777777">
        <w:trPr>
          <w:trHeight w:val="937"/>
        </w:trPr>
        <w:tc>
          <w:tcPr>
            <w:tcW w:w="7380" w:type="dxa"/>
            <w:tcBorders>
              <w:right w:val="single" w:sz="8" w:space="0" w:color="000000"/>
            </w:tcBorders>
            <w:shd w:val="clear" w:color="auto" w:fill="A6A6A6"/>
          </w:tcPr>
          <w:p w14:paraId="0DFDCDDF" w14:textId="77777777" w:rsidR="00046465" w:rsidRDefault="00046465">
            <w:pPr>
              <w:pStyle w:val="TableParagraph"/>
              <w:spacing w:before="267"/>
              <w:rPr>
                <w:b/>
                <w:sz w:val="24"/>
              </w:rPr>
            </w:pPr>
          </w:p>
          <w:p w14:paraId="0DFDCDE0"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CDE1" w14:textId="77777777" w:rsidR="00046465" w:rsidRDefault="008134EB">
            <w:pPr>
              <w:pStyle w:val="TableParagraph"/>
              <w:spacing w:before="121"/>
              <w:ind w:left="183" w:right="160" w:hanging="8"/>
              <w:jc w:val="both"/>
              <w:rPr>
                <w:b/>
              </w:rPr>
            </w:pPr>
            <w:r>
              <w:rPr>
                <w:b/>
                <w:spacing w:val="-4"/>
              </w:rPr>
              <w:t>Yes, No,* N/A</w:t>
            </w:r>
          </w:p>
        </w:tc>
        <w:tc>
          <w:tcPr>
            <w:tcW w:w="1349" w:type="dxa"/>
            <w:tcBorders>
              <w:left w:val="single" w:sz="8" w:space="0" w:color="000000"/>
            </w:tcBorders>
            <w:shd w:val="clear" w:color="auto" w:fill="A6A6A6"/>
          </w:tcPr>
          <w:p w14:paraId="0DFDCDE2" w14:textId="77777777" w:rsidR="00046465" w:rsidRDefault="00046465">
            <w:pPr>
              <w:pStyle w:val="TableParagraph"/>
              <w:rPr>
                <w:b/>
              </w:rPr>
            </w:pPr>
          </w:p>
          <w:p w14:paraId="0DFDCDE3" w14:textId="77777777" w:rsidR="00046465" w:rsidRDefault="00046465">
            <w:pPr>
              <w:pStyle w:val="TableParagraph"/>
              <w:spacing w:before="120"/>
              <w:rPr>
                <w:b/>
              </w:rPr>
            </w:pPr>
          </w:p>
          <w:p w14:paraId="0DFDCDE4"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CDE9" w14:textId="77777777">
        <w:trPr>
          <w:trHeight w:val="1251"/>
        </w:trPr>
        <w:tc>
          <w:tcPr>
            <w:tcW w:w="7380" w:type="dxa"/>
            <w:tcBorders>
              <w:bottom w:val="single" w:sz="8" w:space="0" w:color="000000"/>
              <w:right w:val="single" w:sz="8" w:space="0" w:color="000000"/>
            </w:tcBorders>
          </w:tcPr>
          <w:p w14:paraId="0DFDCDE6" w14:textId="77777777" w:rsidR="00046465" w:rsidRDefault="008134EB">
            <w:pPr>
              <w:pStyle w:val="TableParagraph"/>
              <w:spacing w:before="120"/>
              <w:ind w:left="844" w:right="172" w:hanging="361"/>
            </w:pPr>
            <w:r>
              <w:t>1.</w:t>
            </w:r>
            <w:r>
              <w:rPr>
                <w:spacing w:val="80"/>
              </w:rPr>
              <w:t xml:space="preserve"> </w:t>
            </w:r>
            <w:r>
              <w:t>Did</w:t>
            </w:r>
            <w:r>
              <w:rPr>
                <w:spacing w:val="-4"/>
              </w:rPr>
              <w:t xml:space="preserve"> </w:t>
            </w:r>
            <w:r>
              <w:t>the</w:t>
            </w:r>
            <w:r>
              <w:rPr>
                <w:spacing w:val="-4"/>
              </w:rPr>
              <w:t xml:space="preserve"> </w:t>
            </w:r>
            <w:r>
              <w:t>auditor</w:t>
            </w:r>
            <w:r>
              <w:rPr>
                <w:spacing w:val="-4"/>
              </w:rPr>
              <w:t xml:space="preserve"> </w:t>
            </w:r>
            <w:r>
              <w:t>prepare</w:t>
            </w:r>
            <w:r>
              <w:rPr>
                <w:spacing w:val="-4"/>
              </w:rPr>
              <w:t xml:space="preserve"> </w:t>
            </w:r>
            <w:r>
              <w:t>the</w:t>
            </w:r>
            <w:r>
              <w:rPr>
                <w:spacing w:val="-4"/>
              </w:rPr>
              <w:t xml:space="preserve"> </w:t>
            </w:r>
            <w:r>
              <w:t>following</w:t>
            </w:r>
            <w:r>
              <w:rPr>
                <w:spacing w:val="-5"/>
              </w:rPr>
              <w:t xml:space="preserve"> </w:t>
            </w:r>
            <w:r>
              <w:t>documentation</w:t>
            </w:r>
            <w:r>
              <w:rPr>
                <w:spacing w:val="-4"/>
              </w:rPr>
              <w:t xml:space="preserve"> </w:t>
            </w:r>
            <w:r>
              <w:t>or</w:t>
            </w:r>
            <w:r>
              <w:rPr>
                <w:spacing w:val="-4"/>
              </w:rPr>
              <w:t xml:space="preserve"> </w:t>
            </w:r>
            <w:r>
              <w:t>equivalent summarizing considerations in planning and performing audit procedures for material line items, accounts, note disclosures, and classes of transactions (FAM 290 and 390):</w:t>
            </w:r>
          </w:p>
        </w:tc>
        <w:tc>
          <w:tcPr>
            <w:tcW w:w="811" w:type="dxa"/>
            <w:tcBorders>
              <w:left w:val="single" w:sz="8" w:space="0" w:color="000000"/>
              <w:bottom w:val="single" w:sz="8" w:space="0" w:color="000000"/>
              <w:right w:val="single" w:sz="8" w:space="0" w:color="000000"/>
            </w:tcBorders>
            <w:shd w:val="clear" w:color="auto" w:fill="BEBEBE"/>
          </w:tcPr>
          <w:p w14:paraId="0DFDCDE7" w14:textId="77777777" w:rsidR="00046465" w:rsidRDefault="00046465">
            <w:pPr>
              <w:pStyle w:val="TableParagraph"/>
              <w:rPr>
                <w:rFonts w:ascii="Times New Roman"/>
              </w:rPr>
            </w:pPr>
          </w:p>
        </w:tc>
        <w:tc>
          <w:tcPr>
            <w:tcW w:w="1349" w:type="dxa"/>
            <w:tcBorders>
              <w:left w:val="single" w:sz="8" w:space="0" w:color="000000"/>
              <w:bottom w:val="single" w:sz="8" w:space="0" w:color="000000"/>
            </w:tcBorders>
            <w:shd w:val="clear" w:color="auto" w:fill="BEBEBE"/>
          </w:tcPr>
          <w:p w14:paraId="0DFDCDE8" w14:textId="77777777" w:rsidR="00046465" w:rsidRDefault="00046465">
            <w:pPr>
              <w:pStyle w:val="TableParagraph"/>
              <w:rPr>
                <w:rFonts w:ascii="Times New Roman"/>
              </w:rPr>
            </w:pPr>
          </w:p>
        </w:tc>
      </w:tr>
      <w:tr w:rsidR="00046465" w14:paraId="0DFDCDED" w14:textId="77777777">
        <w:trPr>
          <w:trHeight w:val="1505"/>
        </w:trPr>
        <w:tc>
          <w:tcPr>
            <w:tcW w:w="7380" w:type="dxa"/>
            <w:tcBorders>
              <w:top w:val="single" w:sz="8" w:space="0" w:color="000000"/>
              <w:bottom w:val="single" w:sz="8" w:space="0" w:color="000000"/>
              <w:right w:val="single" w:sz="8" w:space="0" w:color="000000"/>
            </w:tcBorders>
          </w:tcPr>
          <w:p w14:paraId="0DFDCDEA" w14:textId="77777777" w:rsidR="00046465" w:rsidRDefault="008134EB">
            <w:pPr>
              <w:pStyle w:val="TableParagraph"/>
              <w:spacing w:before="121"/>
              <w:ind w:left="1249" w:right="172" w:hanging="360"/>
            </w:pPr>
            <w:r>
              <w:t>a.</w:t>
            </w:r>
            <w:r>
              <w:rPr>
                <w:spacing w:val="80"/>
              </w:rPr>
              <w:t xml:space="preserve"> </w:t>
            </w:r>
            <w:r>
              <w:t>Cycle matrix that links material line items, accounts, note disclosures, and classes of transactions to the related significant</w:t>
            </w:r>
            <w:r>
              <w:rPr>
                <w:spacing w:val="-8"/>
              </w:rPr>
              <w:t xml:space="preserve"> </w:t>
            </w:r>
            <w:r>
              <w:t>business</w:t>
            </w:r>
            <w:r>
              <w:rPr>
                <w:spacing w:val="-9"/>
              </w:rPr>
              <w:t xml:space="preserve"> </w:t>
            </w:r>
            <w:r>
              <w:t>process</w:t>
            </w:r>
            <w:r>
              <w:rPr>
                <w:spacing w:val="-8"/>
              </w:rPr>
              <w:t xml:space="preserve"> </w:t>
            </w:r>
            <w:r>
              <w:t>applications,</w:t>
            </w:r>
            <w:r>
              <w:rPr>
                <w:spacing w:val="-8"/>
              </w:rPr>
              <w:t xml:space="preserve"> </w:t>
            </w:r>
            <w:r>
              <w:t>significant</w:t>
            </w:r>
            <w:r>
              <w:rPr>
                <w:spacing w:val="-8"/>
              </w:rPr>
              <w:t xml:space="preserve"> </w:t>
            </w:r>
            <w:r>
              <w:t>manual processes, line item risk analysis (LIRA) forms, and cycles, as applicable? (FAM 235)</w:t>
            </w:r>
          </w:p>
        </w:tc>
        <w:tc>
          <w:tcPr>
            <w:tcW w:w="811" w:type="dxa"/>
            <w:tcBorders>
              <w:top w:val="single" w:sz="8" w:space="0" w:color="000000"/>
              <w:left w:val="single" w:sz="8" w:space="0" w:color="000000"/>
              <w:bottom w:val="single" w:sz="8" w:space="0" w:color="000000"/>
              <w:right w:val="single" w:sz="8" w:space="0" w:color="000000"/>
            </w:tcBorders>
          </w:tcPr>
          <w:p w14:paraId="0DFDCDEB" w14:textId="7E7EB94E"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3746EAA3" w14:textId="699F1ECE" w:rsidR="009D5654" w:rsidRDefault="009D5654" w:rsidP="009D5654">
            <w:pPr>
              <w:pStyle w:val="TableParagraph"/>
              <w:rPr>
                <w:rFonts w:ascii="Times New Roman"/>
              </w:rPr>
            </w:pPr>
          </w:p>
          <w:p w14:paraId="0DFDCDEC" w14:textId="4ED5F290" w:rsidR="009D5654" w:rsidRDefault="009D5654">
            <w:pPr>
              <w:pStyle w:val="TableParagraph"/>
              <w:rPr>
                <w:rFonts w:ascii="Times New Roman"/>
              </w:rPr>
            </w:pPr>
          </w:p>
        </w:tc>
      </w:tr>
      <w:tr w:rsidR="00046465" w14:paraId="0DFDCDF1" w14:textId="77777777">
        <w:trPr>
          <w:trHeight w:val="493"/>
        </w:trPr>
        <w:tc>
          <w:tcPr>
            <w:tcW w:w="7380" w:type="dxa"/>
            <w:tcBorders>
              <w:top w:val="single" w:sz="8" w:space="0" w:color="000000"/>
              <w:bottom w:val="single" w:sz="8" w:space="0" w:color="000000"/>
              <w:right w:val="single" w:sz="8" w:space="0" w:color="000000"/>
            </w:tcBorders>
          </w:tcPr>
          <w:p w14:paraId="0DFDCDEE" w14:textId="77777777" w:rsidR="00046465" w:rsidRDefault="008134EB">
            <w:pPr>
              <w:pStyle w:val="TableParagraph"/>
              <w:spacing w:before="121"/>
              <w:ind w:left="889"/>
            </w:pPr>
            <w:r>
              <w:t>b.</w:t>
            </w:r>
            <w:r>
              <w:rPr>
                <w:spacing w:val="74"/>
                <w:w w:val="150"/>
              </w:rPr>
              <w:t xml:space="preserve"> </w:t>
            </w:r>
            <w:r>
              <w:t>LIRA</w:t>
            </w:r>
            <w:r>
              <w:rPr>
                <w:spacing w:val="-4"/>
              </w:rPr>
              <w:t xml:space="preserve"> </w:t>
            </w:r>
            <w:r>
              <w:t>forms?</w:t>
            </w:r>
            <w:r>
              <w:rPr>
                <w:spacing w:val="-2"/>
              </w:rPr>
              <w:t xml:space="preserve"> </w:t>
            </w:r>
            <w:r>
              <w:t>(FAM</w:t>
            </w:r>
            <w:r>
              <w:rPr>
                <w:spacing w:val="-4"/>
              </w:rPr>
              <w:t xml:space="preserve"> </w:t>
            </w:r>
            <w:r>
              <w:t>235</w:t>
            </w:r>
            <w:r>
              <w:rPr>
                <w:spacing w:val="-4"/>
              </w:rPr>
              <w:t xml:space="preserve"> </w:t>
            </w:r>
            <w:r>
              <w:t>and</w:t>
            </w:r>
            <w:r>
              <w:rPr>
                <w:spacing w:val="-3"/>
              </w:rPr>
              <w:t xml:space="preserve"> </w:t>
            </w:r>
            <w:r>
              <w:t>395</w:t>
            </w:r>
            <w:r>
              <w:rPr>
                <w:spacing w:val="-4"/>
              </w:rPr>
              <w:t xml:space="preserve"> </w:t>
            </w:r>
            <w:r>
              <w:rPr>
                <w:spacing w:val="-5"/>
              </w:rPr>
              <w:t>H)</w:t>
            </w:r>
          </w:p>
        </w:tc>
        <w:tc>
          <w:tcPr>
            <w:tcW w:w="811" w:type="dxa"/>
            <w:tcBorders>
              <w:top w:val="single" w:sz="8" w:space="0" w:color="000000"/>
              <w:left w:val="single" w:sz="8" w:space="0" w:color="000000"/>
              <w:bottom w:val="single" w:sz="8" w:space="0" w:color="000000"/>
              <w:right w:val="single" w:sz="8" w:space="0" w:color="000000"/>
            </w:tcBorders>
          </w:tcPr>
          <w:p w14:paraId="0DFDCDEF"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DF0" w14:textId="77777777" w:rsidR="00046465" w:rsidRDefault="00046465">
            <w:pPr>
              <w:pStyle w:val="TableParagraph"/>
              <w:rPr>
                <w:rFonts w:ascii="Times New Roman"/>
              </w:rPr>
            </w:pPr>
          </w:p>
        </w:tc>
      </w:tr>
      <w:tr w:rsidR="00046465" w14:paraId="0DFDCDF5" w14:textId="77777777">
        <w:trPr>
          <w:trHeight w:val="492"/>
        </w:trPr>
        <w:tc>
          <w:tcPr>
            <w:tcW w:w="7380" w:type="dxa"/>
            <w:tcBorders>
              <w:top w:val="single" w:sz="8" w:space="0" w:color="000000"/>
              <w:bottom w:val="single" w:sz="8" w:space="0" w:color="000000"/>
              <w:right w:val="single" w:sz="8" w:space="0" w:color="000000"/>
            </w:tcBorders>
          </w:tcPr>
          <w:p w14:paraId="0DFDCDF2" w14:textId="77777777" w:rsidR="00046465" w:rsidRDefault="008134EB">
            <w:pPr>
              <w:pStyle w:val="TableParagraph"/>
              <w:spacing w:before="119"/>
              <w:ind w:left="889"/>
            </w:pPr>
            <w:r>
              <w:t>c.</w:t>
            </w:r>
            <w:r>
              <w:rPr>
                <w:spacing w:val="25"/>
              </w:rPr>
              <w:t xml:space="preserve">  </w:t>
            </w:r>
            <w:r>
              <w:t>Cycle</w:t>
            </w:r>
            <w:r>
              <w:rPr>
                <w:spacing w:val="-5"/>
              </w:rPr>
              <w:t xml:space="preserve"> </w:t>
            </w:r>
            <w:r>
              <w:t>memorandum?</w:t>
            </w:r>
            <w:r>
              <w:rPr>
                <w:spacing w:val="-5"/>
              </w:rPr>
              <w:t xml:space="preserve"> </w:t>
            </w:r>
            <w:r>
              <w:t>(FAM</w:t>
            </w:r>
            <w:r>
              <w:rPr>
                <w:spacing w:val="-6"/>
              </w:rPr>
              <w:t xml:space="preserve"> </w:t>
            </w:r>
            <w:r>
              <w:rPr>
                <w:spacing w:val="-4"/>
              </w:rPr>
              <w:t>320)</w:t>
            </w:r>
          </w:p>
        </w:tc>
        <w:tc>
          <w:tcPr>
            <w:tcW w:w="811" w:type="dxa"/>
            <w:tcBorders>
              <w:top w:val="single" w:sz="8" w:space="0" w:color="000000"/>
              <w:left w:val="single" w:sz="8" w:space="0" w:color="000000"/>
              <w:bottom w:val="single" w:sz="8" w:space="0" w:color="000000"/>
              <w:right w:val="single" w:sz="8" w:space="0" w:color="000000"/>
            </w:tcBorders>
          </w:tcPr>
          <w:p w14:paraId="0DFDCDF3"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DF4" w14:textId="77777777" w:rsidR="00046465" w:rsidRDefault="00046465">
            <w:pPr>
              <w:pStyle w:val="TableParagraph"/>
              <w:rPr>
                <w:rFonts w:ascii="Times New Roman"/>
              </w:rPr>
            </w:pPr>
          </w:p>
        </w:tc>
      </w:tr>
      <w:tr w:rsidR="00046465" w14:paraId="0DFDCDF9" w14:textId="77777777">
        <w:trPr>
          <w:trHeight w:val="745"/>
        </w:trPr>
        <w:tc>
          <w:tcPr>
            <w:tcW w:w="7380" w:type="dxa"/>
            <w:tcBorders>
              <w:top w:val="single" w:sz="8" w:space="0" w:color="000000"/>
              <w:bottom w:val="single" w:sz="8" w:space="0" w:color="000000"/>
              <w:right w:val="single" w:sz="8" w:space="0" w:color="000000"/>
            </w:tcBorders>
          </w:tcPr>
          <w:p w14:paraId="0DFDCDF6" w14:textId="77777777" w:rsidR="00046465" w:rsidRDefault="008134EB">
            <w:pPr>
              <w:pStyle w:val="TableParagraph"/>
              <w:spacing w:before="121"/>
              <w:ind w:left="1249" w:hanging="360"/>
            </w:pPr>
            <w:r>
              <w:t>d.</w:t>
            </w:r>
            <w:r>
              <w:rPr>
                <w:spacing w:val="80"/>
              </w:rPr>
              <w:t xml:space="preserve"> </w:t>
            </w:r>
            <w:r>
              <w:t>Specific</w:t>
            </w:r>
            <w:r>
              <w:rPr>
                <w:spacing w:val="-4"/>
              </w:rPr>
              <w:t xml:space="preserve"> </w:t>
            </w:r>
            <w:r>
              <w:t>control</w:t>
            </w:r>
            <w:r>
              <w:rPr>
                <w:spacing w:val="-4"/>
              </w:rPr>
              <w:t xml:space="preserve"> </w:t>
            </w:r>
            <w:r>
              <w:t>evaluation</w:t>
            </w:r>
            <w:r>
              <w:rPr>
                <w:spacing w:val="-4"/>
              </w:rPr>
              <w:t xml:space="preserve"> </w:t>
            </w:r>
            <w:r>
              <w:t>(SCE)</w:t>
            </w:r>
            <w:r>
              <w:rPr>
                <w:spacing w:val="-4"/>
              </w:rPr>
              <w:t xml:space="preserve"> </w:t>
            </w:r>
            <w:r>
              <w:t>worksheets?</w:t>
            </w:r>
            <w:r>
              <w:rPr>
                <w:spacing w:val="-4"/>
              </w:rPr>
              <w:t xml:space="preserve"> </w:t>
            </w:r>
            <w:r>
              <w:t>(FAM</w:t>
            </w:r>
            <w:r>
              <w:rPr>
                <w:spacing w:val="-5"/>
              </w:rPr>
              <w:t xml:space="preserve"> </w:t>
            </w:r>
            <w:r>
              <w:t>350</w:t>
            </w:r>
            <w:r>
              <w:rPr>
                <w:spacing w:val="-4"/>
              </w:rPr>
              <w:t xml:space="preserve"> </w:t>
            </w:r>
            <w:r>
              <w:t>and 395 G)</w:t>
            </w:r>
          </w:p>
        </w:tc>
        <w:tc>
          <w:tcPr>
            <w:tcW w:w="811" w:type="dxa"/>
            <w:tcBorders>
              <w:top w:val="single" w:sz="8" w:space="0" w:color="000000"/>
              <w:left w:val="single" w:sz="8" w:space="0" w:color="000000"/>
              <w:bottom w:val="single" w:sz="8" w:space="0" w:color="000000"/>
              <w:right w:val="single" w:sz="8" w:space="0" w:color="000000"/>
            </w:tcBorders>
          </w:tcPr>
          <w:p w14:paraId="0DFDCDF7"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DF8" w14:textId="77777777" w:rsidR="00046465" w:rsidRDefault="00046465">
            <w:pPr>
              <w:pStyle w:val="TableParagraph"/>
              <w:rPr>
                <w:rFonts w:ascii="Times New Roman"/>
              </w:rPr>
            </w:pPr>
          </w:p>
        </w:tc>
      </w:tr>
      <w:tr w:rsidR="00046465" w14:paraId="0DFDCDFD" w14:textId="77777777">
        <w:trPr>
          <w:trHeight w:val="493"/>
        </w:trPr>
        <w:tc>
          <w:tcPr>
            <w:tcW w:w="7380" w:type="dxa"/>
            <w:tcBorders>
              <w:top w:val="single" w:sz="8" w:space="0" w:color="000000"/>
              <w:bottom w:val="single" w:sz="8" w:space="0" w:color="000000"/>
              <w:right w:val="single" w:sz="8" w:space="0" w:color="000000"/>
            </w:tcBorders>
          </w:tcPr>
          <w:p w14:paraId="0DFDCDFA" w14:textId="77777777" w:rsidR="00046465" w:rsidRDefault="008134EB">
            <w:pPr>
              <w:pStyle w:val="TableParagraph"/>
              <w:spacing w:before="121"/>
              <w:ind w:left="889"/>
            </w:pPr>
            <w:r>
              <w:t>e.</w:t>
            </w:r>
            <w:r>
              <w:rPr>
                <w:spacing w:val="71"/>
                <w:w w:val="150"/>
              </w:rPr>
              <w:t xml:space="preserve"> </w:t>
            </w:r>
            <w:r>
              <w:t>Audit</w:t>
            </w:r>
            <w:r>
              <w:rPr>
                <w:spacing w:val="-5"/>
              </w:rPr>
              <w:t xml:space="preserve"> </w:t>
            </w:r>
            <w:r>
              <w:t>plan</w:t>
            </w:r>
            <w:r>
              <w:rPr>
                <w:spacing w:val="-5"/>
              </w:rPr>
              <w:t xml:space="preserve"> </w:t>
            </w:r>
            <w:r>
              <w:t>and</w:t>
            </w:r>
            <w:r>
              <w:rPr>
                <w:spacing w:val="-4"/>
              </w:rPr>
              <w:t xml:space="preserve"> </w:t>
            </w:r>
            <w:r>
              <w:t>procedures?</w:t>
            </w:r>
            <w:r>
              <w:rPr>
                <w:spacing w:val="-5"/>
              </w:rPr>
              <w:t xml:space="preserve"> </w:t>
            </w:r>
            <w:r>
              <w:t>(FAM</w:t>
            </w:r>
            <w:r>
              <w:rPr>
                <w:spacing w:val="-5"/>
              </w:rPr>
              <w:t xml:space="preserve"> </w:t>
            </w:r>
            <w:r>
              <w:rPr>
                <w:spacing w:val="-4"/>
              </w:rPr>
              <w:t>210)</w:t>
            </w:r>
          </w:p>
        </w:tc>
        <w:tc>
          <w:tcPr>
            <w:tcW w:w="811" w:type="dxa"/>
            <w:tcBorders>
              <w:top w:val="single" w:sz="8" w:space="0" w:color="000000"/>
              <w:left w:val="single" w:sz="8" w:space="0" w:color="000000"/>
              <w:bottom w:val="single" w:sz="8" w:space="0" w:color="000000"/>
              <w:right w:val="single" w:sz="8" w:space="0" w:color="000000"/>
            </w:tcBorders>
          </w:tcPr>
          <w:p w14:paraId="0DFDCDFB"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DFC" w14:textId="77777777" w:rsidR="00046465" w:rsidRDefault="00046465">
            <w:pPr>
              <w:pStyle w:val="TableParagraph"/>
              <w:rPr>
                <w:rFonts w:ascii="Times New Roman"/>
              </w:rPr>
            </w:pPr>
          </w:p>
        </w:tc>
      </w:tr>
      <w:tr w:rsidR="00046465" w14:paraId="0DFDCE01" w14:textId="77777777">
        <w:trPr>
          <w:trHeight w:val="1252"/>
        </w:trPr>
        <w:tc>
          <w:tcPr>
            <w:tcW w:w="7380" w:type="dxa"/>
            <w:tcBorders>
              <w:top w:val="single" w:sz="8" w:space="0" w:color="000000"/>
              <w:bottom w:val="single" w:sz="8" w:space="0" w:color="000000"/>
              <w:right w:val="single" w:sz="8" w:space="0" w:color="000000"/>
            </w:tcBorders>
          </w:tcPr>
          <w:p w14:paraId="0DFDCDFE" w14:textId="77777777" w:rsidR="00046465" w:rsidRDefault="008134EB">
            <w:pPr>
              <w:pStyle w:val="TableParagraph"/>
              <w:spacing w:before="119"/>
              <w:ind w:left="843" w:right="172" w:hanging="360"/>
            </w:pPr>
            <w:r>
              <w:t>2.</w:t>
            </w:r>
            <w:r>
              <w:rPr>
                <w:spacing w:val="80"/>
              </w:rPr>
              <w:t xml:space="preserve"> </w:t>
            </w:r>
            <w:r>
              <w:t>If</w:t>
            </w:r>
            <w:r>
              <w:rPr>
                <w:spacing w:val="-3"/>
              </w:rPr>
              <w:t xml:space="preserve"> </w:t>
            </w:r>
            <w:r>
              <w:t>conditions</w:t>
            </w:r>
            <w:r>
              <w:rPr>
                <w:spacing w:val="-4"/>
              </w:rPr>
              <w:t xml:space="preserve"> </w:t>
            </w:r>
            <w:r>
              <w:t>changed</w:t>
            </w:r>
            <w:r>
              <w:rPr>
                <w:spacing w:val="-3"/>
              </w:rPr>
              <w:t xml:space="preserve"> </w:t>
            </w:r>
            <w:r>
              <w:t>during</w:t>
            </w:r>
            <w:r>
              <w:rPr>
                <w:spacing w:val="-3"/>
              </w:rPr>
              <w:t xml:space="preserve"> </w:t>
            </w:r>
            <w:r>
              <w:t>the</w:t>
            </w:r>
            <w:r>
              <w:rPr>
                <w:spacing w:val="-3"/>
              </w:rPr>
              <w:t xml:space="preserve"> </w:t>
            </w:r>
            <w:r>
              <w:t>course</w:t>
            </w:r>
            <w:r>
              <w:rPr>
                <w:spacing w:val="-3"/>
              </w:rPr>
              <w:t xml:space="preserve"> </w:t>
            </w:r>
            <w:r>
              <w:t>of</w:t>
            </w:r>
            <w:r>
              <w:rPr>
                <w:spacing w:val="-3"/>
              </w:rPr>
              <w:t xml:space="preserve"> </w:t>
            </w:r>
            <w:r>
              <w:t>the</w:t>
            </w:r>
            <w:r>
              <w:rPr>
                <w:spacing w:val="-3"/>
              </w:rPr>
              <w:t xml:space="preserve"> </w:t>
            </w:r>
            <w:r>
              <w:t>audit,</w:t>
            </w:r>
            <w:r>
              <w:rPr>
                <w:spacing w:val="-3"/>
              </w:rPr>
              <w:t xml:space="preserve"> </w:t>
            </w:r>
            <w:r>
              <w:t>were</w:t>
            </w:r>
            <w:r>
              <w:rPr>
                <w:spacing w:val="-3"/>
              </w:rPr>
              <w:t xml:space="preserve"> </w:t>
            </w:r>
            <w:r>
              <w:t>the audit strategy, audit plans, and procedures modified as appropriate in the circumstances, including evidence of first partner (audit director) approval? (FAM 210)</w:t>
            </w:r>
          </w:p>
        </w:tc>
        <w:tc>
          <w:tcPr>
            <w:tcW w:w="811" w:type="dxa"/>
            <w:tcBorders>
              <w:top w:val="single" w:sz="8" w:space="0" w:color="000000"/>
              <w:left w:val="single" w:sz="8" w:space="0" w:color="000000"/>
              <w:bottom w:val="single" w:sz="8" w:space="0" w:color="000000"/>
              <w:right w:val="single" w:sz="8" w:space="0" w:color="000000"/>
            </w:tcBorders>
          </w:tcPr>
          <w:p w14:paraId="0DFDCDFF"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00" w14:textId="77777777" w:rsidR="00046465" w:rsidRDefault="00046465">
            <w:pPr>
              <w:pStyle w:val="TableParagraph"/>
              <w:rPr>
                <w:rFonts w:ascii="Times New Roman"/>
              </w:rPr>
            </w:pPr>
          </w:p>
        </w:tc>
      </w:tr>
      <w:tr w:rsidR="00046465" w14:paraId="0DFDCE05" w14:textId="77777777">
        <w:trPr>
          <w:trHeight w:val="998"/>
        </w:trPr>
        <w:tc>
          <w:tcPr>
            <w:tcW w:w="7380" w:type="dxa"/>
            <w:tcBorders>
              <w:top w:val="single" w:sz="8" w:space="0" w:color="000000"/>
              <w:bottom w:val="single" w:sz="8" w:space="0" w:color="000000"/>
              <w:right w:val="single" w:sz="8" w:space="0" w:color="000000"/>
            </w:tcBorders>
          </w:tcPr>
          <w:p w14:paraId="0DFDCE02" w14:textId="77777777" w:rsidR="00046465" w:rsidRDefault="008134EB">
            <w:pPr>
              <w:pStyle w:val="TableParagraph"/>
              <w:spacing w:before="119"/>
              <w:ind w:left="843" w:hanging="360"/>
            </w:pPr>
            <w:r>
              <w:t>3.</w:t>
            </w:r>
            <w:r>
              <w:rPr>
                <w:spacing w:val="80"/>
              </w:rPr>
              <w:t xml:space="preserve"> </w:t>
            </w:r>
            <w:r>
              <w:t>Has the audit director determined that communications have occurred</w:t>
            </w:r>
            <w:r>
              <w:rPr>
                <w:spacing w:val="-5"/>
              </w:rPr>
              <w:t xml:space="preserve"> </w:t>
            </w:r>
            <w:r>
              <w:t>among</w:t>
            </w:r>
            <w:r>
              <w:rPr>
                <w:spacing w:val="-5"/>
              </w:rPr>
              <w:t xml:space="preserve"> </w:t>
            </w:r>
            <w:r>
              <w:t>the</w:t>
            </w:r>
            <w:r>
              <w:rPr>
                <w:spacing w:val="-5"/>
              </w:rPr>
              <w:t xml:space="preserve"> </w:t>
            </w:r>
            <w:r>
              <w:t>engagement</w:t>
            </w:r>
            <w:r>
              <w:rPr>
                <w:spacing w:val="-5"/>
              </w:rPr>
              <w:t xml:space="preserve"> </w:t>
            </w:r>
            <w:r>
              <w:t>team</w:t>
            </w:r>
            <w:r>
              <w:rPr>
                <w:spacing w:val="-6"/>
              </w:rPr>
              <w:t xml:space="preserve"> </w:t>
            </w:r>
            <w:r>
              <w:t>regarding</w:t>
            </w:r>
            <w:r>
              <w:rPr>
                <w:spacing w:val="-5"/>
              </w:rPr>
              <w:t xml:space="preserve"> </w:t>
            </w:r>
            <w:r>
              <w:t>fraud</w:t>
            </w:r>
            <w:r>
              <w:rPr>
                <w:spacing w:val="-5"/>
              </w:rPr>
              <w:t xml:space="preserve"> </w:t>
            </w:r>
            <w:r>
              <w:t>risks</w:t>
            </w:r>
            <w:r>
              <w:rPr>
                <w:spacing w:val="-6"/>
              </w:rPr>
              <w:t xml:space="preserve"> </w:t>
            </w:r>
            <w:r>
              <w:t>and error risks? (FAM 265 and FAM 290)</w:t>
            </w:r>
          </w:p>
        </w:tc>
        <w:tc>
          <w:tcPr>
            <w:tcW w:w="811" w:type="dxa"/>
            <w:tcBorders>
              <w:top w:val="single" w:sz="8" w:space="0" w:color="000000"/>
              <w:left w:val="single" w:sz="8" w:space="0" w:color="000000"/>
              <w:bottom w:val="single" w:sz="8" w:space="0" w:color="000000"/>
              <w:right w:val="single" w:sz="8" w:space="0" w:color="000000"/>
            </w:tcBorders>
          </w:tcPr>
          <w:p w14:paraId="0DFDCE03"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04" w14:textId="77777777" w:rsidR="00046465" w:rsidRDefault="00046465">
            <w:pPr>
              <w:pStyle w:val="TableParagraph"/>
              <w:rPr>
                <w:rFonts w:ascii="Times New Roman"/>
              </w:rPr>
            </w:pPr>
          </w:p>
        </w:tc>
      </w:tr>
      <w:tr w:rsidR="00046465" w14:paraId="0DFDCE09" w14:textId="77777777">
        <w:trPr>
          <w:trHeight w:val="745"/>
        </w:trPr>
        <w:tc>
          <w:tcPr>
            <w:tcW w:w="7380" w:type="dxa"/>
            <w:tcBorders>
              <w:top w:val="single" w:sz="8" w:space="0" w:color="000000"/>
              <w:bottom w:val="single" w:sz="8" w:space="0" w:color="000000"/>
              <w:right w:val="single" w:sz="8" w:space="0" w:color="000000"/>
            </w:tcBorders>
          </w:tcPr>
          <w:p w14:paraId="0DFDCE06" w14:textId="77777777" w:rsidR="00046465" w:rsidRDefault="008134EB">
            <w:pPr>
              <w:pStyle w:val="TableParagraph"/>
              <w:spacing w:before="119"/>
              <w:ind w:left="844" w:right="172" w:hanging="361"/>
            </w:pPr>
            <w:r>
              <w:t>4.</w:t>
            </w:r>
            <w:r>
              <w:rPr>
                <w:spacing w:val="80"/>
              </w:rPr>
              <w:t xml:space="preserve"> </w:t>
            </w:r>
            <w:r>
              <w:t>When</w:t>
            </w:r>
            <w:r>
              <w:rPr>
                <w:spacing w:val="-4"/>
              </w:rPr>
              <w:t xml:space="preserve"> </w:t>
            </w:r>
            <w:r>
              <w:t>the</w:t>
            </w:r>
            <w:r>
              <w:rPr>
                <w:spacing w:val="-4"/>
              </w:rPr>
              <w:t xml:space="preserve"> </w:t>
            </w:r>
            <w:r>
              <w:t>auditor</w:t>
            </w:r>
            <w:r>
              <w:rPr>
                <w:spacing w:val="-4"/>
              </w:rPr>
              <w:t xml:space="preserve"> </w:t>
            </w:r>
            <w:r>
              <w:t>performed</w:t>
            </w:r>
            <w:r>
              <w:rPr>
                <w:spacing w:val="-4"/>
              </w:rPr>
              <w:t xml:space="preserve"> </w:t>
            </w:r>
            <w:r>
              <w:t>audit</w:t>
            </w:r>
            <w:r>
              <w:rPr>
                <w:spacing w:val="-4"/>
              </w:rPr>
              <w:t xml:space="preserve"> </w:t>
            </w:r>
            <w:r>
              <w:t>sampling,</w:t>
            </w:r>
            <w:r>
              <w:rPr>
                <w:spacing w:val="-4"/>
              </w:rPr>
              <w:t xml:space="preserve"> </w:t>
            </w:r>
            <w:r>
              <w:t>did</w:t>
            </w:r>
            <w:r>
              <w:rPr>
                <w:spacing w:val="-4"/>
              </w:rPr>
              <w:t xml:space="preserve"> </w:t>
            </w:r>
            <w:r>
              <w:t>the</w:t>
            </w:r>
            <w:r>
              <w:rPr>
                <w:spacing w:val="-4"/>
              </w:rPr>
              <w:t xml:space="preserve"> </w:t>
            </w:r>
            <w:r>
              <w:t>auditor properly determine and document the</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E07"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E08" w14:textId="77777777" w:rsidR="00046465" w:rsidRDefault="00046465">
            <w:pPr>
              <w:pStyle w:val="TableParagraph"/>
              <w:rPr>
                <w:rFonts w:ascii="Times New Roman"/>
              </w:rPr>
            </w:pPr>
          </w:p>
        </w:tc>
      </w:tr>
      <w:tr w:rsidR="00046465" w14:paraId="0DFDCE0D" w14:textId="77777777">
        <w:trPr>
          <w:trHeight w:val="998"/>
        </w:trPr>
        <w:tc>
          <w:tcPr>
            <w:tcW w:w="7380" w:type="dxa"/>
            <w:tcBorders>
              <w:top w:val="single" w:sz="8" w:space="0" w:color="000000"/>
              <w:bottom w:val="single" w:sz="8" w:space="0" w:color="000000"/>
              <w:right w:val="single" w:sz="8" w:space="0" w:color="000000"/>
            </w:tcBorders>
          </w:tcPr>
          <w:p w14:paraId="0DFDCE0A" w14:textId="77777777" w:rsidR="00046465" w:rsidRDefault="008134EB">
            <w:pPr>
              <w:pStyle w:val="TableParagraph"/>
              <w:spacing w:before="121"/>
              <w:ind w:left="1249" w:right="262" w:hanging="360"/>
              <w:jc w:val="both"/>
            </w:pPr>
            <w:r>
              <w:t>a.</w:t>
            </w:r>
            <w:r>
              <w:rPr>
                <w:spacing w:val="80"/>
              </w:rPr>
              <w:t xml:space="preserve"> </w:t>
            </w:r>
            <w:r>
              <w:t>method</w:t>
            </w:r>
            <w:r>
              <w:rPr>
                <w:spacing w:val="-3"/>
              </w:rPr>
              <w:t xml:space="preserve"> </w:t>
            </w:r>
            <w:r>
              <w:t>used</w:t>
            </w:r>
            <w:r>
              <w:rPr>
                <w:spacing w:val="-3"/>
              </w:rPr>
              <w:t xml:space="preserve"> </w:t>
            </w:r>
            <w:r>
              <w:t>in</w:t>
            </w:r>
            <w:r>
              <w:rPr>
                <w:spacing w:val="-3"/>
              </w:rPr>
              <w:t xml:space="preserve"> </w:t>
            </w:r>
            <w:r>
              <w:t>relation</w:t>
            </w:r>
            <w:r>
              <w:rPr>
                <w:spacing w:val="-4"/>
              </w:rPr>
              <w:t xml:space="preserve"> </w:t>
            </w:r>
            <w:r>
              <w:t>to</w:t>
            </w:r>
            <w:r>
              <w:rPr>
                <w:spacing w:val="-3"/>
              </w:rPr>
              <w:t xml:space="preserve"> </w:t>
            </w:r>
            <w:r>
              <w:t>test</w:t>
            </w:r>
            <w:r>
              <w:rPr>
                <w:spacing w:val="-3"/>
              </w:rPr>
              <w:t xml:space="preserve"> </w:t>
            </w:r>
            <w:r>
              <w:t>objectives,</w:t>
            </w:r>
            <w:r>
              <w:rPr>
                <w:spacing w:val="-4"/>
              </w:rPr>
              <w:t xml:space="preserve"> </w:t>
            </w:r>
            <w:r>
              <w:t>such</w:t>
            </w:r>
            <w:r>
              <w:rPr>
                <w:spacing w:val="-3"/>
              </w:rPr>
              <w:t xml:space="preserve"> </w:t>
            </w:r>
            <w:r>
              <w:t>as</w:t>
            </w:r>
            <w:r>
              <w:rPr>
                <w:spacing w:val="-3"/>
              </w:rPr>
              <w:t xml:space="preserve"> </w:t>
            </w:r>
            <w:r>
              <w:t>statistical sampling</w:t>
            </w:r>
            <w:r>
              <w:rPr>
                <w:spacing w:val="-3"/>
              </w:rPr>
              <w:t xml:space="preserve"> </w:t>
            </w:r>
            <w:r>
              <w:t>(e.g.,</w:t>
            </w:r>
            <w:r>
              <w:rPr>
                <w:spacing w:val="-3"/>
              </w:rPr>
              <w:t xml:space="preserve"> </w:t>
            </w:r>
            <w:r>
              <w:t>monetary</w:t>
            </w:r>
            <w:r>
              <w:rPr>
                <w:spacing w:val="-3"/>
              </w:rPr>
              <w:t xml:space="preserve"> </w:t>
            </w:r>
            <w:r>
              <w:t>unit</w:t>
            </w:r>
            <w:r>
              <w:rPr>
                <w:spacing w:val="-3"/>
              </w:rPr>
              <w:t xml:space="preserve"> </w:t>
            </w:r>
            <w:r>
              <w:t>sample</w:t>
            </w:r>
            <w:r>
              <w:rPr>
                <w:spacing w:val="-4"/>
              </w:rPr>
              <w:t xml:space="preserve"> </w:t>
            </w:r>
            <w:r>
              <w:t>or</w:t>
            </w:r>
            <w:r>
              <w:rPr>
                <w:spacing w:val="-3"/>
              </w:rPr>
              <w:t xml:space="preserve"> </w:t>
            </w:r>
            <w:r>
              <w:t>attribute</w:t>
            </w:r>
            <w:r>
              <w:rPr>
                <w:spacing w:val="-4"/>
              </w:rPr>
              <w:t xml:space="preserve"> </w:t>
            </w:r>
            <w:r>
              <w:t>sample)</w:t>
            </w:r>
            <w:r>
              <w:rPr>
                <w:spacing w:val="-3"/>
              </w:rPr>
              <w:t xml:space="preserve"> </w:t>
            </w:r>
            <w:r>
              <w:t>or nonstatistical sampling;</w:t>
            </w:r>
          </w:p>
        </w:tc>
        <w:tc>
          <w:tcPr>
            <w:tcW w:w="811" w:type="dxa"/>
            <w:tcBorders>
              <w:top w:val="single" w:sz="8" w:space="0" w:color="000000"/>
              <w:left w:val="single" w:sz="8" w:space="0" w:color="000000"/>
              <w:bottom w:val="single" w:sz="8" w:space="0" w:color="000000"/>
              <w:right w:val="single" w:sz="8" w:space="0" w:color="000000"/>
            </w:tcBorders>
          </w:tcPr>
          <w:p w14:paraId="0DFDCE0B"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0C" w14:textId="77777777" w:rsidR="00046465" w:rsidRDefault="00046465">
            <w:pPr>
              <w:pStyle w:val="TableParagraph"/>
              <w:rPr>
                <w:rFonts w:ascii="Times New Roman"/>
              </w:rPr>
            </w:pPr>
          </w:p>
        </w:tc>
      </w:tr>
      <w:tr w:rsidR="00046465" w14:paraId="0DFDCE11" w14:textId="77777777">
        <w:trPr>
          <w:trHeight w:val="746"/>
        </w:trPr>
        <w:tc>
          <w:tcPr>
            <w:tcW w:w="7380" w:type="dxa"/>
            <w:tcBorders>
              <w:top w:val="single" w:sz="8" w:space="0" w:color="000000"/>
              <w:bottom w:val="single" w:sz="8" w:space="0" w:color="000000"/>
              <w:right w:val="single" w:sz="8" w:space="0" w:color="000000"/>
            </w:tcBorders>
          </w:tcPr>
          <w:p w14:paraId="0DFDCE0E" w14:textId="77777777" w:rsidR="00046465" w:rsidRDefault="008134EB">
            <w:pPr>
              <w:pStyle w:val="TableParagraph"/>
              <w:spacing w:before="121"/>
              <w:ind w:left="1249" w:right="172" w:hanging="360"/>
            </w:pPr>
            <w:r>
              <w:t>b.</w:t>
            </w:r>
            <w:r>
              <w:rPr>
                <w:spacing w:val="80"/>
              </w:rPr>
              <w:t xml:space="preserve"> </w:t>
            </w:r>
            <w:r>
              <w:t>sample</w:t>
            </w:r>
            <w:r>
              <w:rPr>
                <w:spacing w:val="-4"/>
              </w:rPr>
              <w:t xml:space="preserve"> </w:t>
            </w:r>
            <w:r>
              <w:t>size</w:t>
            </w:r>
            <w:r>
              <w:rPr>
                <w:spacing w:val="-5"/>
              </w:rPr>
              <w:t xml:space="preserve"> </w:t>
            </w:r>
            <w:r>
              <w:t>and</w:t>
            </w:r>
            <w:r>
              <w:rPr>
                <w:spacing w:val="-4"/>
              </w:rPr>
              <w:t xml:space="preserve"> </w:t>
            </w:r>
            <w:r>
              <w:t>method</w:t>
            </w:r>
            <w:r>
              <w:rPr>
                <w:spacing w:val="-4"/>
              </w:rPr>
              <w:t xml:space="preserve"> </w:t>
            </w:r>
            <w:r>
              <w:t>(e.g.,</w:t>
            </w:r>
            <w:r>
              <w:rPr>
                <w:spacing w:val="-4"/>
              </w:rPr>
              <w:t xml:space="preserve"> </w:t>
            </w:r>
            <w:r>
              <w:t>IDEA)</w:t>
            </w:r>
            <w:r>
              <w:rPr>
                <w:spacing w:val="-3"/>
              </w:rPr>
              <w:t xml:space="preserve"> </w:t>
            </w:r>
            <w:r>
              <w:t>of</w:t>
            </w:r>
            <w:r>
              <w:rPr>
                <w:spacing w:val="-4"/>
              </w:rPr>
              <w:t xml:space="preserve"> </w:t>
            </w:r>
            <w:r>
              <w:t>determining</w:t>
            </w:r>
            <w:r>
              <w:rPr>
                <w:spacing w:val="-4"/>
              </w:rPr>
              <w:t xml:space="preserve"> </w:t>
            </w:r>
            <w:r>
              <w:t>the sample size;</w:t>
            </w:r>
          </w:p>
        </w:tc>
        <w:tc>
          <w:tcPr>
            <w:tcW w:w="811" w:type="dxa"/>
            <w:tcBorders>
              <w:top w:val="single" w:sz="8" w:space="0" w:color="000000"/>
              <w:left w:val="single" w:sz="8" w:space="0" w:color="000000"/>
              <w:bottom w:val="single" w:sz="8" w:space="0" w:color="000000"/>
              <w:right w:val="single" w:sz="8" w:space="0" w:color="000000"/>
            </w:tcBorders>
          </w:tcPr>
          <w:p w14:paraId="0DFDCE0F"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10" w14:textId="77777777" w:rsidR="00046465" w:rsidRDefault="00046465">
            <w:pPr>
              <w:pStyle w:val="TableParagraph"/>
              <w:rPr>
                <w:rFonts w:ascii="Times New Roman"/>
              </w:rPr>
            </w:pPr>
          </w:p>
        </w:tc>
      </w:tr>
      <w:tr w:rsidR="00046465" w14:paraId="0DFDCE15" w14:textId="77777777">
        <w:trPr>
          <w:trHeight w:val="492"/>
        </w:trPr>
        <w:tc>
          <w:tcPr>
            <w:tcW w:w="7380" w:type="dxa"/>
            <w:tcBorders>
              <w:top w:val="single" w:sz="8" w:space="0" w:color="000000"/>
              <w:bottom w:val="single" w:sz="8" w:space="0" w:color="000000"/>
              <w:right w:val="single" w:sz="8" w:space="0" w:color="000000"/>
            </w:tcBorders>
          </w:tcPr>
          <w:p w14:paraId="0DFDCE12" w14:textId="77777777" w:rsidR="00046465" w:rsidRDefault="008134EB">
            <w:pPr>
              <w:pStyle w:val="TableParagraph"/>
              <w:spacing w:before="119"/>
              <w:ind w:left="889"/>
            </w:pPr>
            <w:r>
              <w:t>c.</w:t>
            </w:r>
            <w:r>
              <w:rPr>
                <w:spacing w:val="30"/>
              </w:rPr>
              <w:t xml:space="preserve">  </w:t>
            </w:r>
            <w:r>
              <w:t>tests</w:t>
            </w:r>
            <w:r>
              <w:rPr>
                <w:spacing w:val="-1"/>
              </w:rPr>
              <w:t xml:space="preserve"> </w:t>
            </w:r>
            <w:r>
              <w:rPr>
                <w:spacing w:val="-2"/>
              </w:rPr>
              <w:t>performed;</w:t>
            </w:r>
          </w:p>
        </w:tc>
        <w:tc>
          <w:tcPr>
            <w:tcW w:w="811" w:type="dxa"/>
            <w:tcBorders>
              <w:top w:val="single" w:sz="8" w:space="0" w:color="000000"/>
              <w:left w:val="single" w:sz="8" w:space="0" w:color="000000"/>
              <w:bottom w:val="single" w:sz="8" w:space="0" w:color="000000"/>
              <w:right w:val="single" w:sz="8" w:space="0" w:color="000000"/>
            </w:tcBorders>
          </w:tcPr>
          <w:p w14:paraId="0DFDCE13"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14" w14:textId="77777777" w:rsidR="00046465" w:rsidRDefault="00046465">
            <w:pPr>
              <w:pStyle w:val="TableParagraph"/>
              <w:rPr>
                <w:rFonts w:ascii="Times New Roman"/>
              </w:rPr>
            </w:pPr>
          </w:p>
        </w:tc>
      </w:tr>
      <w:tr w:rsidR="00046465" w14:paraId="0DFDCE19" w14:textId="77777777">
        <w:trPr>
          <w:trHeight w:val="493"/>
        </w:trPr>
        <w:tc>
          <w:tcPr>
            <w:tcW w:w="7380" w:type="dxa"/>
            <w:tcBorders>
              <w:top w:val="single" w:sz="8" w:space="0" w:color="000000"/>
              <w:bottom w:val="single" w:sz="8" w:space="0" w:color="000000"/>
              <w:right w:val="single" w:sz="8" w:space="0" w:color="000000"/>
            </w:tcBorders>
          </w:tcPr>
          <w:p w14:paraId="0DFDCE16" w14:textId="77777777" w:rsidR="00046465" w:rsidRDefault="008134EB">
            <w:pPr>
              <w:pStyle w:val="TableParagraph"/>
              <w:spacing w:before="121"/>
              <w:ind w:left="889"/>
            </w:pPr>
            <w:r>
              <w:t>d.</w:t>
            </w:r>
            <w:r>
              <w:rPr>
                <w:spacing w:val="67"/>
                <w:w w:val="150"/>
              </w:rPr>
              <w:t xml:space="preserve"> </w:t>
            </w:r>
            <w:r>
              <w:t>results</w:t>
            </w:r>
            <w:r>
              <w:rPr>
                <w:spacing w:val="-6"/>
              </w:rPr>
              <w:t xml:space="preserve"> </w:t>
            </w:r>
            <w:r>
              <w:t>(misstatements</w:t>
            </w:r>
            <w:r>
              <w:rPr>
                <w:spacing w:val="-6"/>
              </w:rPr>
              <w:t xml:space="preserve"> </w:t>
            </w:r>
            <w:r>
              <w:t>and</w:t>
            </w:r>
            <w:r>
              <w:rPr>
                <w:spacing w:val="-6"/>
              </w:rPr>
              <w:t xml:space="preserve"> </w:t>
            </w:r>
            <w:r>
              <w:t>deviations</w:t>
            </w:r>
            <w:r>
              <w:rPr>
                <w:spacing w:val="-6"/>
              </w:rPr>
              <w:t xml:space="preserve"> </w:t>
            </w:r>
            <w:r>
              <w:rPr>
                <w:spacing w:val="-2"/>
              </w:rPr>
              <w:t>found);</w:t>
            </w:r>
          </w:p>
        </w:tc>
        <w:tc>
          <w:tcPr>
            <w:tcW w:w="811" w:type="dxa"/>
            <w:tcBorders>
              <w:top w:val="single" w:sz="8" w:space="0" w:color="000000"/>
              <w:left w:val="single" w:sz="8" w:space="0" w:color="000000"/>
              <w:bottom w:val="single" w:sz="8" w:space="0" w:color="000000"/>
              <w:right w:val="single" w:sz="8" w:space="0" w:color="000000"/>
            </w:tcBorders>
          </w:tcPr>
          <w:p w14:paraId="0DFDCE17"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18" w14:textId="77777777" w:rsidR="00046465" w:rsidRDefault="00046465">
            <w:pPr>
              <w:pStyle w:val="TableParagraph"/>
              <w:rPr>
                <w:rFonts w:ascii="Times New Roman"/>
              </w:rPr>
            </w:pPr>
          </w:p>
        </w:tc>
      </w:tr>
    </w:tbl>
    <w:p w14:paraId="0DFDCE1A"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CE1B" w14:textId="77777777" w:rsidR="00046465" w:rsidRDefault="00046465">
      <w:pPr>
        <w:pStyle w:val="BodyText"/>
        <w:spacing w:before="6"/>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CE22" w14:textId="77777777">
        <w:trPr>
          <w:trHeight w:val="936"/>
        </w:trPr>
        <w:tc>
          <w:tcPr>
            <w:tcW w:w="7380" w:type="dxa"/>
            <w:tcBorders>
              <w:right w:val="single" w:sz="8" w:space="0" w:color="000000"/>
            </w:tcBorders>
            <w:shd w:val="clear" w:color="auto" w:fill="A6A6A6"/>
          </w:tcPr>
          <w:p w14:paraId="0DFDCE1C" w14:textId="77777777" w:rsidR="00046465" w:rsidRDefault="00046465">
            <w:pPr>
              <w:pStyle w:val="TableParagraph"/>
              <w:spacing w:before="266"/>
              <w:rPr>
                <w:b/>
                <w:sz w:val="24"/>
              </w:rPr>
            </w:pPr>
          </w:p>
          <w:p w14:paraId="0DFDCE1D"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CE1E"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CE1F" w14:textId="77777777" w:rsidR="00046465" w:rsidRDefault="00046465">
            <w:pPr>
              <w:pStyle w:val="TableParagraph"/>
              <w:rPr>
                <w:b/>
              </w:rPr>
            </w:pPr>
          </w:p>
          <w:p w14:paraId="0DFDCE20" w14:textId="77777777" w:rsidR="00046465" w:rsidRDefault="00046465">
            <w:pPr>
              <w:pStyle w:val="TableParagraph"/>
              <w:spacing w:before="120"/>
              <w:rPr>
                <w:b/>
              </w:rPr>
            </w:pPr>
          </w:p>
          <w:p w14:paraId="0DFDCE21"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CE26" w14:textId="77777777">
        <w:trPr>
          <w:trHeight w:val="746"/>
        </w:trPr>
        <w:tc>
          <w:tcPr>
            <w:tcW w:w="7380" w:type="dxa"/>
            <w:tcBorders>
              <w:bottom w:val="single" w:sz="8" w:space="0" w:color="000000"/>
              <w:right w:val="single" w:sz="8" w:space="0" w:color="000000"/>
            </w:tcBorders>
          </w:tcPr>
          <w:p w14:paraId="0DFDCE23" w14:textId="77777777" w:rsidR="00046465" w:rsidRDefault="008134EB">
            <w:pPr>
              <w:pStyle w:val="TableParagraph"/>
              <w:spacing w:before="121"/>
              <w:ind w:left="1249" w:hanging="360"/>
            </w:pPr>
            <w:r>
              <w:t>e.</w:t>
            </w:r>
            <w:r>
              <w:rPr>
                <w:spacing w:val="80"/>
              </w:rPr>
              <w:t xml:space="preserve"> </w:t>
            </w:r>
            <w:r>
              <w:t>evaluation</w:t>
            </w:r>
            <w:r>
              <w:rPr>
                <w:spacing w:val="-4"/>
              </w:rPr>
              <w:t xml:space="preserve"> </w:t>
            </w:r>
            <w:r>
              <w:t>(including</w:t>
            </w:r>
            <w:r>
              <w:rPr>
                <w:spacing w:val="-4"/>
              </w:rPr>
              <w:t xml:space="preserve"> </w:t>
            </w:r>
            <w:r>
              <w:t>projection</w:t>
            </w:r>
            <w:r>
              <w:rPr>
                <w:spacing w:val="-4"/>
              </w:rPr>
              <w:t xml:space="preserve"> </w:t>
            </w:r>
            <w:r>
              <w:t>to</w:t>
            </w:r>
            <w:r>
              <w:rPr>
                <w:spacing w:val="-4"/>
              </w:rPr>
              <w:t xml:space="preserve"> </w:t>
            </w:r>
            <w:r>
              <w:t>the</w:t>
            </w:r>
            <w:r>
              <w:rPr>
                <w:spacing w:val="-4"/>
              </w:rPr>
              <w:t xml:space="preserve"> </w:t>
            </w:r>
            <w:r>
              <w:t>population</w:t>
            </w:r>
            <w:r>
              <w:rPr>
                <w:spacing w:val="-4"/>
              </w:rPr>
              <w:t xml:space="preserve"> </w:t>
            </w:r>
            <w:r>
              <w:t>if</w:t>
            </w:r>
            <w:r>
              <w:rPr>
                <w:spacing w:val="-4"/>
              </w:rPr>
              <w:t xml:space="preserve"> </w:t>
            </w:r>
            <w:r>
              <w:t>statistical sampling was used);</w:t>
            </w:r>
          </w:p>
        </w:tc>
        <w:tc>
          <w:tcPr>
            <w:tcW w:w="811" w:type="dxa"/>
            <w:tcBorders>
              <w:left w:val="single" w:sz="8" w:space="0" w:color="000000"/>
              <w:bottom w:val="single" w:sz="8" w:space="0" w:color="000000"/>
              <w:right w:val="single" w:sz="8" w:space="0" w:color="000000"/>
            </w:tcBorders>
          </w:tcPr>
          <w:p w14:paraId="0DFDCE24" w14:textId="77777777" w:rsidR="00046465" w:rsidRDefault="00046465">
            <w:pPr>
              <w:pStyle w:val="TableParagraph"/>
              <w:rPr>
                <w:rFonts w:ascii="Times New Roman"/>
              </w:rPr>
            </w:pPr>
          </w:p>
        </w:tc>
        <w:tc>
          <w:tcPr>
            <w:tcW w:w="1349" w:type="dxa"/>
            <w:tcBorders>
              <w:left w:val="single" w:sz="8" w:space="0" w:color="000000"/>
              <w:bottom w:val="single" w:sz="8" w:space="0" w:color="000000"/>
            </w:tcBorders>
          </w:tcPr>
          <w:p w14:paraId="0DFDCE25" w14:textId="77777777" w:rsidR="00046465" w:rsidRDefault="00046465">
            <w:pPr>
              <w:pStyle w:val="TableParagraph"/>
              <w:rPr>
                <w:rFonts w:ascii="Times New Roman"/>
              </w:rPr>
            </w:pPr>
          </w:p>
        </w:tc>
      </w:tr>
      <w:tr w:rsidR="00046465" w14:paraId="0DFDCE2A" w14:textId="77777777">
        <w:trPr>
          <w:trHeight w:val="493"/>
        </w:trPr>
        <w:tc>
          <w:tcPr>
            <w:tcW w:w="7380" w:type="dxa"/>
            <w:tcBorders>
              <w:top w:val="single" w:sz="8" w:space="0" w:color="000000"/>
              <w:bottom w:val="single" w:sz="8" w:space="0" w:color="000000"/>
              <w:right w:val="single" w:sz="8" w:space="0" w:color="000000"/>
            </w:tcBorders>
          </w:tcPr>
          <w:p w14:paraId="0DFDCE27" w14:textId="77777777" w:rsidR="00046465" w:rsidRDefault="008134EB">
            <w:pPr>
              <w:pStyle w:val="TableParagraph"/>
              <w:tabs>
                <w:tab w:val="left" w:pos="1249"/>
              </w:tabs>
              <w:spacing w:before="121"/>
              <w:ind w:left="889"/>
            </w:pPr>
            <w:r>
              <w:rPr>
                <w:spacing w:val="-5"/>
              </w:rPr>
              <w:t>f.</w:t>
            </w:r>
            <w:r>
              <w:tab/>
              <w:t>conclusions;</w:t>
            </w:r>
            <w:r>
              <w:rPr>
                <w:spacing w:val="-15"/>
              </w:rPr>
              <w:t xml:space="preserve"> </w:t>
            </w:r>
            <w:r>
              <w:rPr>
                <w:spacing w:val="-5"/>
              </w:rPr>
              <w:t>and</w:t>
            </w:r>
          </w:p>
        </w:tc>
        <w:tc>
          <w:tcPr>
            <w:tcW w:w="811" w:type="dxa"/>
            <w:tcBorders>
              <w:top w:val="single" w:sz="8" w:space="0" w:color="000000"/>
              <w:left w:val="single" w:sz="8" w:space="0" w:color="000000"/>
              <w:bottom w:val="single" w:sz="8" w:space="0" w:color="000000"/>
              <w:right w:val="single" w:sz="8" w:space="0" w:color="000000"/>
            </w:tcBorders>
          </w:tcPr>
          <w:p w14:paraId="0DFDCE28"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29" w14:textId="77777777" w:rsidR="00046465" w:rsidRDefault="00046465">
            <w:pPr>
              <w:pStyle w:val="TableParagraph"/>
              <w:rPr>
                <w:rFonts w:ascii="Times New Roman"/>
              </w:rPr>
            </w:pPr>
          </w:p>
        </w:tc>
      </w:tr>
      <w:tr w:rsidR="00046465" w14:paraId="0DFDCE2E" w14:textId="77777777">
        <w:trPr>
          <w:trHeight w:val="998"/>
        </w:trPr>
        <w:tc>
          <w:tcPr>
            <w:tcW w:w="7380" w:type="dxa"/>
            <w:tcBorders>
              <w:top w:val="single" w:sz="8" w:space="0" w:color="000000"/>
              <w:bottom w:val="single" w:sz="8" w:space="0" w:color="000000"/>
              <w:right w:val="single" w:sz="8" w:space="0" w:color="000000"/>
            </w:tcBorders>
          </w:tcPr>
          <w:p w14:paraId="0DFDCE2B" w14:textId="77777777" w:rsidR="00046465" w:rsidRDefault="008134EB">
            <w:pPr>
              <w:pStyle w:val="TableParagraph"/>
              <w:spacing w:before="119"/>
              <w:ind w:left="1249" w:right="505" w:hanging="360"/>
              <w:jc w:val="both"/>
            </w:pPr>
            <w:r>
              <w:t>g.</w:t>
            </w:r>
            <w:r>
              <w:rPr>
                <w:spacing w:val="80"/>
              </w:rPr>
              <w:t xml:space="preserve"> </w:t>
            </w:r>
            <w:r>
              <w:t>requirements described in section III of this checklist with respect</w:t>
            </w:r>
            <w:r>
              <w:rPr>
                <w:spacing w:val="-5"/>
              </w:rPr>
              <w:t xml:space="preserve"> </w:t>
            </w:r>
            <w:r>
              <w:t>to</w:t>
            </w:r>
            <w:r>
              <w:rPr>
                <w:spacing w:val="-5"/>
              </w:rPr>
              <w:t xml:space="preserve"> </w:t>
            </w:r>
            <w:r>
              <w:t>consultation</w:t>
            </w:r>
            <w:r>
              <w:rPr>
                <w:spacing w:val="-6"/>
              </w:rPr>
              <w:t xml:space="preserve"> </w:t>
            </w:r>
            <w:r>
              <w:t>with</w:t>
            </w:r>
            <w:r>
              <w:rPr>
                <w:spacing w:val="-5"/>
              </w:rPr>
              <w:t xml:space="preserve"> </w:t>
            </w:r>
            <w:r>
              <w:t>the</w:t>
            </w:r>
            <w:r>
              <w:rPr>
                <w:spacing w:val="-5"/>
              </w:rPr>
              <w:t xml:space="preserve"> </w:t>
            </w:r>
            <w:r>
              <w:t>audit</w:t>
            </w:r>
            <w:r>
              <w:rPr>
                <w:spacing w:val="-5"/>
              </w:rPr>
              <w:t xml:space="preserve"> </w:t>
            </w:r>
            <w:r>
              <w:t>sampling</w:t>
            </w:r>
            <w:r>
              <w:rPr>
                <w:spacing w:val="-5"/>
              </w:rPr>
              <w:t xml:space="preserve"> </w:t>
            </w:r>
            <w:r>
              <w:t>specialist? (FAM 490)</w:t>
            </w:r>
          </w:p>
        </w:tc>
        <w:tc>
          <w:tcPr>
            <w:tcW w:w="811" w:type="dxa"/>
            <w:tcBorders>
              <w:top w:val="single" w:sz="8" w:space="0" w:color="000000"/>
              <w:left w:val="single" w:sz="8" w:space="0" w:color="000000"/>
              <w:bottom w:val="single" w:sz="8" w:space="0" w:color="000000"/>
              <w:right w:val="single" w:sz="8" w:space="0" w:color="000000"/>
            </w:tcBorders>
          </w:tcPr>
          <w:p w14:paraId="0DFDCE2C"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2D" w14:textId="77777777" w:rsidR="00046465" w:rsidRDefault="00046465">
            <w:pPr>
              <w:pStyle w:val="TableParagraph"/>
              <w:rPr>
                <w:rFonts w:ascii="Times New Roman"/>
              </w:rPr>
            </w:pPr>
          </w:p>
        </w:tc>
      </w:tr>
      <w:tr w:rsidR="00046465" w14:paraId="0DFDCE32" w14:textId="77777777">
        <w:trPr>
          <w:trHeight w:val="745"/>
        </w:trPr>
        <w:tc>
          <w:tcPr>
            <w:tcW w:w="7380" w:type="dxa"/>
            <w:tcBorders>
              <w:top w:val="single" w:sz="8" w:space="0" w:color="000000"/>
              <w:bottom w:val="single" w:sz="8" w:space="0" w:color="000000"/>
              <w:right w:val="single" w:sz="8" w:space="0" w:color="000000"/>
            </w:tcBorders>
          </w:tcPr>
          <w:p w14:paraId="0DFDCE2F" w14:textId="77777777" w:rsidR="00046465" w:rsidRDefault="008134EB">
            <w:pPr>
              <w:pStyle w:val="TableParagraph"/>
              <w:spacing w:before="119"/>
              <w:ind w:left="844" w:hanging="361"/>
            </w:pPr>
            <w:r>
              <w:t>5.</w:t>
            </w:r>
            <w:r>
              <w:rPr>
                <w:spacing w:val="80"/>
              </w:rPr>
              <w:t xml:space="preserve"> </w:t>
            </w:r>
            <w:r>
              <w:t>Did</w:t>
            </w:r>
            <w:r>
              <w:rPr>
                <w:spacing w:val="-4"/>
              </w:rPr>
              <w:t xml:space="preserve"> </w:t>
            </w:r>
            <w:r>
              <w:t>the</w:t>
            </w:r>
            <w:r>
              <w:rPr>
                <w:spacing w:val="-4"/>
              </w:rPr>
              <w:t xml:space="preserve"> </w:t>
            </w:r>
            <w:r>
              <w:t>auditor</w:t>
            </w:r>
            <w:r>
              <w:rPr>
                <w:spacing w:val="-4"/>
              </w:rPr>
              <w:t xml:space="preserve"> </w:t>
            </w:r>
            <w:r>
              <w:t>properly</w:t>
            </w:r>
            <w:r>
              <w:rPr>
                <w:spacing w:val="-5"/>
              </w:rPr>
              <w:t xml:space="preserve"> </w:t>
            </w:r>
            <w:r>
              <w:t>perform</w:t>
            </w:r>
            <w:r>
              <w:rPr>
                <w:spacing w:val="-5"/>
              </w:rPr>
              <w:t xml:space="preserve"> </w:t>
            </w:r>
            <w:r>
              <w:t>and</w:t>
            </w:r>
            <w:r>
              <w:rPr>
                <w:spacing w:val="-4"/>
              </w:rPr>
              <w:t xml:space="preserve"> </w:t>
            </w:r>
            <w:r>
              <w:t>document</w:t>
            </w:r>
            <w:r>
              <w:rPr>
                <w:spacing w:val="-4"/>
              </w:rPr>
              <w:t xml:space="preserve"> </w:t>
            </w:r>
            <w:r>
              <w:t>its</w:t>
            </w:r>
            <w:r>
              <w:rPr>
                <w:spacing w:val="-4"/>
              </w:rPr>
              <w:t xml:space="preserve"> </w:t>
            </w:r>
            <w:r>
              <w:t>substantive analytical procedures? (FAM 475 and 490)</w:t>
            </w:r>
          </w:p>
        </w:tc>
        <w:tc>
          <w:tcPr>
            <w:tcW w:w="811" w:type="dxa"/>
            <w:tcBorders>
              <w:top w:val="single" w:sz="8" w:space="0" w:color="000000"/>
              <w:left w:val="single" w:sz="8" w:space="0" w:color="000000"/>
              <w:bottom w:val="single" w:sz="8" w:space="0" w:color="000000"/>
              <w:right w:val="single" w:sz="8" w:space="0" w:color="000000"/>
            </w:tcBorders>
          </w:tcPr>
          <w:p w14:paraId="0DFDCE30"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31" w14:textId="77777777" w:rsidR="00046465" w:rsidRDefault="00046465">
            <w:pPr>
              <w:pStyle w:val="TableParagraph"/>
              <w:rPr>
                <w:rFonts w:ascii="Times New Roman"/>
              </w:rPr>
            </w:pPr>
          </w:p>
        </w:tc>
      </w:tr>
      <w:tr w:rsidR="00046465" w14:paraId="0DFDCE36" w14:textId="77777777">
        <w:trPr>
          <w:trHeight w:val="493"/>
        </w:trPr>
        <w:tc>
          <w:tcPr>
            <w:tcW w:w="7380" w:type="dxa"/>
            <w:tcBorders>
              <w:top w:val="single" w:sz="8" w:space="0" w:color="000000"/>
              <w:bottom w:val="single" w:sz="8" w:space="0" w:color="000000"/>
              <w:right w:val="single" w:sz="8" w:space="0" w:color="000000"/>
            </w:tcBorders>
          </w:tcPr>
          <w:p w14:paraId="0DFDCE33" w14:textId="77777777" w:rsidR="00046465" w:rsidRDefault="008134EB">
            <w:pPr>
              <w:pStyle w:val="TableParagraph"/>
              <w:spacing w:before="121"/>
              <w:ind w:left="483"/>
            </w:pPr>
            <w:r>
              <w:t>6.</w:t>
            </w:r>
            <w:r>
              <w:rPr>
                <w:spacing w:val="70"/>
                <w:w w:val="150"/>
              </w:rPr>
              <w:t xml:space="preserve"> </w:t>
            </w:r>
            <w:r>
              <w:t>When</w:t>
            </w:r>
            <w:r>
              <w:rPr>
                <w:spacing w:val="-5"/>
              </w:rPr>
              <w:t xml:space="preserve"> </w:t>
            </w:r>
            <w:r>
              <w:t>the</w:t>
            </w:r>
            <w:r>
              <w:rPr>
                <w:spacing w:val="-4"/>
              </w:rPr>
              <w:t xml:space="preserve"> </w:t>
            </w:r>
            <w:r>
              <w:t>auditor</w:t>
            </w:r>
            <w:r>
              <w:rPr>
                <w:spacing w:val="-5"/>
              </w:rPr>
              <w:t xml:space="preserve"> </w:t>
            </w:r>
            <w:r>
              <w:t>performed</w:t>
            </w:r>
            <w:r>
              <w:rPr>
                <w:spacing w:val="-5"/>
              </w:rPr>
              <w:t xml:space="preserve"> </w:t>
            </w:r>
            <w:r>
              <w:t>interim</w:t>
            </w:r>
            <w:r>
              <w:rPr>
                <w:spacing w:val="-5"/>
              </w:rPr>
              <w:t xml:space="preserve"> </w:t>
            </w:r>
            <w:r>
              <w:t>testing,</w:t>
            </w:r>
            <w:r>
              <w:rPr>
                <w:spacing w:val="-5"/>
              </w:rPr>
              <w:t xml:space="preserve"> </w:t>
            </w:r>
            <w:r>
              <w:t>did</w:t>
            </w:r>
            <w:r>
              <w:rPr>
                <w:spacing w:val="-4"/>
              </w:rPr>
              <w:t xml:space="preserve"> </w:t>
            </w:r>
            <w:r>
              <w:t>the</w:t>
            </w:r>
            <w:r>
              <w:rPr>
                <w:spacing w:val="-5"/>
              </w:rPr>
              <w:t xml:space="preserve"> </w:t>
            </w:r>
            <w:r>
              <w:rPr>
                <w:spacing w:val="-2"/>
              </w:rPr>
              <w:t>auditor</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E34"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E35" w14:textId="77777777" w:rsidR="00046465" w:rsidRDefault="00046465">
            <w:pPr>
              <w:pStyle w:val="TableParagraph"/>
              <w:rPr>
                <w:rFonts w:ascii="Times New Roman"/>
              </w:rPr>
            </w:pPr>
          </w:p>
        </w:tc>
      </w:tr>
      <w:tr w:rsidR="00046465" w14:paraId="0DFDCE3A" w14:textId="77777777">
        <w:trPr>
          <w:trHeight w:val="492"/>
        </w:trPr>
        <w:tc>
          <w:tcPr>
            <w:tcW w:w="7380" w:type="dxa"/>
            <w:tcBorders>
              <w:top w:val="single" w:sz="8" w:space="0" w:color="000000"/>
              <w:bottom w:val="single" w:sz="8" w:space="0" w:color="000000"/>
              <w:right w:val="single" w:sz="8" w:space="0" w:color="000000"/>
            </w:tcBorders>
          </w:tcPr>
          <w:p w14:paraId="0DFDCE37" w14:textId="77777777" w:rsidR="00046465" w:rsidRDefault="008134EB">
            <w:pPr>
              <w:pStyle w:val="TableParagraph"/>
              <w:spacing w:before="119"/>
              <w:ind w:left="889"/>
            </w:pPr>
            <w:r>
              <w:t>a.</w:t>
            </w:r>
            <w:r>
              <w:rPr>
                <w:spacing w:val="72"/>
                <w:w w:val="150"/>
              </w:rPr>
              <w:t xml:space="preserve"> </w:t>
            </w:r>
            <w:r>
              <w:t>test</w:t>
            </w:r>
            <w:r>
              <w:rPr>
                <w:spacing w:val="-4"/>
              </w:rPr>
              <w:t xml:space="preserve"> </w:t>
            </w:r>
            <w:r>
              <w:t>the</w:t>
            </w:r>
            <w:r>
              <w:rPr>
                <w:spacing w:val="-4"/>
              </w:rPr>
              <w:t xml:space="preserve"> </w:t>
            </w:r>
            <w:r>
              <w:t>roll-forward</w:t>
            </w:r>
            <w:r>
              <w:rPr>
                <w:spacing w:val="-4"/>
              </w:rPr>
              <w:t xml:space="preserve"> </w:t>
            </w:r>
            <w:r>
              <w:t>period</w:t>
            </w:r>
            <w:r>
              <w:rPr>
                <w:spacing w:val="-5"/>
              </w:rPr>
              <w:t xml:space="preserve"> and</w:t>
            </w:r>
          </w:p>
        </w:tc>
        <w:tc>
          <w:tcPr>
            <w:tcW w:w="811" w:type="dxa"/>
            <w:tcBorders>
              <w:top w:val="single" w:sz="8" w:space="0" w:color="000000"/>
              <w:left w:val="single" w:sz="8" w:space="0" w:color="000000"/>
              <w:bottom w:val="single" w:sz="8" w:space="0" w:color="000000"/>
              <w:right w:val="single" w:sz="8" w:space="0" w:color="000000"/>
            </w:tcBorders>
          </w:tcPr>
          <w:p w14:paraId="0DFDCE38"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39" w14:textId="77777777" w:rsidR="00046465" w:rsidRDefault="00046465">
            <w:pPr>
              <w:pStyle w:val="TableParagraph"/>
              <w:rPr>
                <w:rFonts w:ascii="Times New Roman"/>
              </w:rPr>
            </w:pPr>
          </w:p>
        </w:tc>
      </w:tr>
      <w:tr w:rsidR="00046465" w14:paraId="0DFDCE3E" w14:textId="77777777">
        <w:trPr>
          <w:trHeight w:val="493"/>
        </w:trPr>
        <w:tc>
          <w:tcPr>
            <w:tcW w:w="7380" w:type="dxa"/>
            <w:tcBorders>
              <w:top w:val="single" w:sz="8" w:space="0" w:color="000000"/>
              <w:bottom w:val="single" w:sz="8" w:space="0" w:color="000000"/>
              <w:right w:val="single" w:sz="8" w:space="0" w:color="000000"/>
            </w:tcBorders>
          </w:tcPr>
          <w:p w14:paraId="0DFDCE3B" w14:textId="77777777" w:rsidR="00046465" w:rsidRDefault="008134EB">
            <w:pPr>
              <w:pStyle w:val="TableParagraph"/>
              <w:spacing w:before="121"/>
              <w:ind w:left="889"/>
            </w:pPr>
            <w:r>
              <w:t>b.</w:t>
            </w:r>
            <w:r>
              <w:rPr>
                <w:spacing w:val="69"/>
                <w:w w:val="150"/>
              </w:rPr>
              <w:t xml:space="preserve"> </w:t>
            </w:r>
            <w:r>
              <w:t>properly</w:t>
            </w:r>
            <w:r>
              <w:rPr>
                <w:spacing w:val="-4"/>
              </w:rPr>
              <w:t xml:space="preserve"> </w:t>
            </w:r>
            <w:r>
              <w:t>document</w:t>
            </w:r>
            <w:r>
              <w:rPr>
                <w:spacing w:val="-4"/>
              </w:rPr>
              <w:t xml:space="preserve"> </w:t>
            </w:r>
            <w:r>
              <w:rPr>
                <w:spacing w:val="-5"/>
              </w:rPr>
              <w:t>the</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E3C"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E3D" w14:textId="77777777" w:rsidR="00046465" w:rsidRDefault="00046465">
            <w:pPr>
              <w:pStyle w:val="TableParagraph"/>
              <w:rPr>
                <w:rFonts w:ascii="Times New Roman"/>
              </w:rPr>
            </w:pPr>
          </w:p>
        </w:tc>
      </w:tr>
      <w:tr w:rsidR="00046465" w14:paraId="0DFDCE42" w14:textId="77777777">
        <w:trPr>
          <w:trHeight w:val="998"/>
        </w:trPr>
        <w:tc>
          <w:tcPr>
            <w:tcW w:w="7380" w:type="dxa"/>
            <w:tcBorders>
              <w:top w:val="single" w:sz="8" w:space="0" w:color="000000"/>
              <w:bottom w:val="single" w:sz="8" w:space="0" w:color="000000"/>
              <w:right w:val="single" w:sz="8" w:space="0" w:color="000000"/>
            </w:tcBorders>
          </w:tcPr>
          <w:p w14:paraId="0DFDCE3F" w14:textId="77777777" w:rsidR="00046465" w:rsidRDefault="008134EB">
            <w:pPr>
              <w:pStyle w:val="TableParagraph"/>
              <w:spacing w:before="119"/>
              <w:ind w:left="1609" w:right="239" w:hanging="291"/>
            </w:pPr>
            <w:r>
              <w:t>i.</w:t>
            </w:r>
            <w:r>
              <w:rPr>
                <w:spacing w:val="40"/>
              </w:rPr>
              <w:t xml:space="preserve"> </w:t>
            </w:r>
            <w:r>
              <w:t>basis for using interim testing and the line items, accounts,</w:t>
            </w:r>
            <w:r>
              <w:rPr>
                <w:spacing w:val="-6"/>
              </w:rPr>
              <w:t xml:space="preserve"> </w:t>
            </w:r>
            <w:r>
              <w:t>note</w:t>
            </w:r>
            <w:r>
              <w:rPr>
                <w:spacing w:val="-6"/>
              </w:rPr>
              <w:t xml:space="preserve"> </w:t>
            </w:r>
            <w:r>
              <w:t>disclosures,</w:t>
            </w:r>
            <w:r>
              <w:rPr>
                <w:spacing w:val="-6"/>
              </w:rPr>
              <w:t xml:space="preserve"> </w:t>
            </w:r>
            <w:r>
              <w:t>classes</w:t>
            </w:r>
            <w:r>
              <w:rPr>
                <w:spacing w:val="-7"/>
              </w:rPr>
              <w:t xml:space="preserve"> </w:t>
            </w:r>
            <w:r>
              <w:t>of</w:t>
            </w:r>
            <w:r>
              <w:rPr>
                <w:spacing w:val="-6"/>
              </w:rPr>
              <w:t xml:space="preserve"> </w:t>
            </w:r>
            <w:r>
              <w:t>transactions,</w:t>
            </w:r>
            <w:r>
              <w:rPr>
                <w:spacing w:val="-6"/>
              </w:rPr>
              <w:t xml:space="preserve"> </w:t>
            </w:r>
            <w:r>
              <w:t>and assertions tested, as applicable,</w:t>
            </w:r>
          </w:p>
        </w:tc>
        <w:tc>
          <w:tcPr>
            <w:tcW w:w="811" w:type="dxa"/>
            <w:tcBorders>
              <w:top w:val="single" w:sz="8" w:space="0" w:color="000000"/>
              <w:left w:val="single" w:sz="8" w:space="0" w:color="000000"/>
              <w:bottom w:val="single" w:sz="8" w:space="0" w:color="000000"/>
              <w:right w:val="single" w:sz="8" w:space="0" w:color="000000"/>
            </w:tcBorders>
          </w:tcPr>
          <w:p w14:paraId="0DFDCE40"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41" w14:textId="77777777" w:rsidR="00046465" w:rsidRDefault="00046465">
            <w:pPr>
              <w:pStyle w:val="TableParagraph"/>
              <w:rPr>
                <w:rFonts w:ascii="Times New Roman"/>
              </w:rPr>
            </w:pPr>
          </w:p>
        </w:tc>
      </w:tr>
      <w:tr w:rsidR="00046465" w14:paraId="0DFDCE46" w14:textId="77777777">
        <w:trPr>
          <w:trHeight w:val="492"/>
        </w:trPr>
        <w:tc>
          <w:tcPr>
            <w:tcW w:w="7380" w:type="dxa"/>
            <w:tcBorders>
              <w:top w:val="single" w:sz="8" w:space="0" w:color="000000"/>
              <w:bottom w:val="single" w:sz="8" w:space="0" w:color="000000"/>
              <w:right w:val="single" w:sz="8" w:space="0" w:color="000000"/>
            </w:tcBorders>
          </w:tcPr>
          <w:p w14:paraId="0DFDCE43" w14:textId="77777777" w:rsidR="00046465" w:rsidRDefault="008134EB">
            <w:pPr>
              <w:pStyle w:val="TableParagraph"/>
              <w:spacing w:before="119"/>
              <w:ind w:left="1269"/>
            </w:pPr>
            <w:r>
              <w:t>ii.</w:t>
            </w:r>
            <w:r>
              <w:rPr>
                <w:spacing w:val="60"/>
              </w:rPr>
              <w:t xml:space="preserve"> </w:t>
            </w:r>
            <w:r>
              <w:t>procedures</w:t>
            </w:r>
            <w:r>
              <w:rPr>
                <w:spacing w:val="-7"/>
              </w:rPr>
              <w:t xml:space="preserve"> </w:t>
            </w:r>
            <w:r>
              <w:t>performed,</w:t>
            </w:r>
            <w:r>
              <w:rPr>
                <w:spacing w:val="-6"/>
              </w:rPr>
              <w:t xml:space="preserve"> </w:t>
            </w:r>
            <w:r>
              <w:rPr>
                <w:spacing w:val="-5"/>
              </w:rPr>
              <w:t>and</w:t>
            </w:r>
          </w:p>
        </w:tc>
        <w:tc>
          <w:tcPr>
            <w:tcW w:w="811" w:type="dxa"/>
            <w:tcBorders>
              <w:top w:val="single" w:sz="8" w:space="0" w:color="000000"/>
              <w:left w:val="single" w:sz="8" w:space="0" w:color="000000"/>
              <w:bottom w:val="single" w:sz="8" w:space="0" w:color="000000"/>
              <w:right w:val="single" w:sz="8" w:space="0" w:color="000000"/>
            </w:tcBorders>
          </w:tcPr>
          <w:p w14:paraId="0DFDCE44"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45" w14:textId="77777777" w:rsidR="00046465" w:rsidRDefault="00046465">
            <w:pPr>
              <w:pStyle w:val="TableParagraph"/>
              <w:rPr>
                <w:rFonts w:ascii="Times New Roman"/>
              </w:rPr>
            </w:pPr>
          </w:p>
        </w:tc>
      </w:tr>
      <w:tr w:rsidR="00046465" w14:paraId="0DFDCE4A" w14:textId="77777777">
        <w:trPr>
          <w:trHeight w:val="493"/>
        </w:trPr>
        <w:tc>
          <w:tcPr>
            <w:tcW w:w="7380" w:type="dxa"/>
            <w:tcBorders>
              <w:top w:val="single" w:sz="8" w:space="0" w:color="000000"/>
              <w:bottom w:val="single" w:sz="8" w:space="0" w:color="000000"/>
              <w:right w:val="single" w:sz="8" w:space="0" w:color="000000"/>
            </w:tcBorders>
          </w:tcPr>
          <w:p w14:paraId="0DFDCE47" w14:textId="77777777" w:rsidR="00046465" w:rsidRDefault="008134EB">
            <w:pPr>
              <w:pStyle w:val="TableParagraph"/>
              <w:spacing w:before="121"/>
              <w:ind w:left="1220"/>
            </w:pPr>
            <w:r>
              <w:t>iii.</w:t>
            </w:r>
            <w:r>
              <w:rPr>
                <w:spacing w:val="60"/>
              </w:rPr>
              <w:t xml:space="preserve"> </w:t>
            </w:r>
            <w:r>
              <w:t>effects</w:t>
            </w:r>
            <w:r>
              <w:rPr>
                <w:spacing w:val="-5"/>
              </w:rPr>
              <w:t xml:space="preserve"> </w:t>
            </w:r>
            <w:r>
              <w:t>of</w:t>
            </w:r>
            <w:r>
              <w:rPr>
                <w:spacing w:val="-5"/>
              </w:rPr>
              <w:t xml:space="preserve"> </w:t>
            </w:r>
            <w:r>
              <w:t>any</w:t>
            </w:r>
            <w:r>
              <w:rPr>
                <w:spacing w:val="-6"/>
              </w:rPr>
              <w:t xml:space="preserve"> </w:t>
            </w:r>
            <w:r>
              <w:t>misstatements</w:t>
            </w:r>
            <w:r>
              <w:rPr>
                <w:spacing w:val="-5"/>
              </w:rPr>
              <w:t xml:space="preserve"> </w:t>
            </w:r>
            <w:r>
              <w:t>found?</w:t>
            </w:r>
            <w:r>
              <w:rPr>
                <w:spacing w:val="-6"/>
              </w:rPr>
              <w:t xml:space="preserve"> </w:t>
            </w:r>
            <w:r>
              <w:t>(FAM</w:t>
            </w:r>
            <w:r>
              <w:rPr>
                <w:spacing w:val="-6"/>
              </w:rPr>
              <w:t xml:space="preserve"> </w:t>
            </w:r>
            <w:r>
              <w:t>495</w:t>
            </w:r>
            <w:r>
              <w:rPr>
                <w:spacing w:val="-5"/>
              </w:rPr>
              <w:t xml:space="preserve"> C)</w:t>
            </w:r>
          </w:p>
        </w:tc>
        <w:tc>
          <w:tcPr>
            <w:tcW w:w="811" w:type="dxa"/>
            <w:tcBorders>
              <w:top w:val="single" w:sz="8" w:space="0" w:color="000000"/>
              <w:left w:val="single" w:sz="8" w:space="0" w:color="000000"/>
              <w:bottom w:val="single" w:sz="8" w:space="0" w:color="000000"/>
              <w:right w:val="single" w:sz="8" w:space="0" w:color="000000"/>
            </w:tcBorders>
          </w:tcPr>
          <w:p w14:paraId="0DFDCE48"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49" w14:textId="77777777" w:rsidR="00046465" w:rsidRDefault="00046465">
            <w:pPr>
              <w:pStyle w:val="TableParagraph"/>
              <w:rPr>
                <w:rFonts w:ascii="Times New Roman"/>
              </w:rPr>
            </w:pPr>
          </w:p>
        </w:tc>
      </w:tr>
      <w:tr w:rsidR="00046465" w14:paraId="0DFDCE4E" w14:textId="77777777">
        <w:trPr>
          <w:trHeight w:val="745"/>
        </w:trPr>
        <w:tc>
          <w:tcPr>
            <w:tcW w:w="7380" w:type="dxa"/>
            <w:tcBorders>
              <w:top w:val="single" w:sz="8" w:space="0" w:color="000000"/>
              <w:bottom w:val="single" w:sz="8" w:space="0" w:color="000000"/>
              <w:right w:val="single" w:sz="8" w:space="0" w:color="000000"/>
            </w:tcBorders>
          </w:tcPr>
          <w:p w14:paraId="0DFDCE4B" w14:textId="77777777" w:rsidR="00046465" w:rsidRDefault="008134EB">
            <w:pPr>
              <w:pStyle w:val="TableParagraph"/>
              <w:spacing w:before="119"/>
              <w:ind w:left="844" w:hanging="361"/>
            </w:pPr>
            <w:r>
              <w:t>7.</w:t>
            </w:r>
            <w:r>
              <w:rPr>
                <w:spacing w:val="80"/>
              </w:rPr>
              <w:t xml:space="preserve"> </w:t>
            </w:r>
            <w:r>
              <w:t>Did</w:t>
            </w:r>
            <w:r>
              <w:rPr>
                <w:spacing w:val="-4"/>
              </w:rPr>
              <w:t xml:space="preserve"> </w:t>
            </w:r>
            <w:r>
              <w:t>the</w:t>
            </w:r>
            <w:r>
              <w:rPr>
                <w:spacing w:val="-4"/>
              </w:rPr>
              <w:t xml:space="preserve"> </w:t>
            </w:r>
            <w:r>
              <w:t>auditor</w:t>
            </w:r>
            <w:r>
              <w:rPr>
                <w:spacing w:val="-4"/>
              </w:rPr>
              <w:t xml:space="preserve"> </w:t>
            </w:r>
            <w:r>
              <w:t>evaluate</w:t>
            </w:r>
            <w:r>
              <w:rPr>
                <w:spacing w:val="-5"/>
              </w:rPr>
              <w:t xml:space="preserve"> </w:t>
            </w:r>
            <w:r>
              <w:t>the</w:t>
            </w:r>
            <w:r>
              <w:rPr>
                <w:spacing w:val="-4"/>
              </w:rPr>
              <w:t xml:space="preserve"> </w:t>
            </w:r>
            <w:r>
              <w:t>reasonableness</w:t>
            </w:r>
            <w:r>
              <w:rPr>
                <w:spacing w:val="-4"/>
              </w:rPr>
              <w:t xml:space="preserve"> </w:t>
            </w:r>
            <w:r>
              <w:t>of</w:t>
            </w:r>
            <w:r>
              <w:rPr>
                <w:spacing w:val="-5"/>
              </w:rPr>
              <w:t xml:space="preserve"> </w:t>
            </w:r>
            <w:r>
              <w:t>significant accounting estimates made by management? (FAM 905)</w:t>
            </w:r>
          </w:p>
        </w:tc>
        <w:tc>
          <w:tcPr>
            <w:tcW w:w="811" w:type="dxa"/>
            <w:tcBorders>
              <w:top w:val="single" w:sz="8" w:space="0" w:color="000000"/>
              <w:left w:val="single" w:sz="8" w:space="0" w:color="000000"/>
              <w:bottom w:val="single" w:sz="8" w:space="0" w:color="000000"/>
              <w:right w:val="single" w:sz="8" w:space="0" w:color="000000"/>
            </w:tcBorders>
          </w:tcPr>
          <w:p w14:paraId="0DFDCE4C"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4D" w14:textId="77777777" w:rsidR="00046465" w:rsidRDefault="00046465">
            <w:pPr>
              <w:pStyle w:val="TableParagraph"/>
              <w:rPr>
                <w:rFonts w:ascii="Times New Roman"/>
              </w:rPr>
            </w:pPr>
          </w:p>
        </w:tc>
      </w:tr>
      <w:tr w:rsidR="00046465" w14:paraId="0DFDCE52" w14:textId="77777777">
        <w:trPr>
          <w:trHeight w:val="998"/>
        </w:trPr>
        <w:tc>
          <w:tcPr>
            <w:tcW w:w="7380" w:type="dxa"/>
            <w:tcBorders>
              <w:top w:val="single" w:sz="8" w:space="0" w:color="000000"/>
              <w:bottom w:val="single" w:sz="8" w:space="0" w:color="000000"/>
              <w:right w:val="single" w:sz="8" w:space="0" w:color="000000"/>
            </w:tcBorders>
          </w:tcPr>
          <w:p w14:paraId="0DFDCE4F" w14:textId="77777777" w:rsidR="00046465" w:rsidRDefault="008134EB">
            <w:pPr>
              <w:pStyle w:val="TableParagraph"/>
              <w:spacing w:before="121"/>
              <w:ind w:left="843" w:right="314" w:hanging="360"/>
              <w:jc w:val="both"/>
            </w:pPr>
            <w:r>
              <w:t>8.</w:t>
            </w:r>
            <w:r>
              <w:rPr>
                <w:spacing w:val="80"/>
              </w:rPr>
              <w:t xml:space="preserve"> </w:t>
            </w:r>
            <w:r>
              <w:t>Did</w:t>
            </w:r>
            <w:r>
              <w:rPr>
                <w:spacing w:val="-4"/>
              </w:rPr>
              <w:t xml:space="preserve"> </w:t>
            </w:r>
            <w:r>
              <w:t>an</w:t>
            </w:r>
            <w:r>
              <w:rPr>
                <w:spacing w:val="-4"/>
              </w:rPr>
              <w:t xml:space="preserve"> </w:t>
            </w:r>
            <w:r>
              <w:t>IS</w:t>
            </w:r>
            <w:r>
              <w:rPr>
                <w:spacing w:val="-4"/>
              </w:rPr>
              <w:t xml:space="preserve"> </w:t>
            </w:r>
            <w:r>
              <w:t>controls</w:t>
            </w:r>
            <w:r>
              <w:rPr>
                <w:spacing w:val="-4"/>
              </w:rPr>
              <w:t xml:space="preserve"> </w:t>
            </w:r>
            <w:r>
              <w:t>auditor</w:t>
            </w:r>
            <w:r>
              <w:rPr>
                <w:spacing w:val="-4"/>
              </w:rPr>
              <w:t xml:space="preserve"> </w:t>
            </w:r>
            <w:r>
              <w:t>concur</w:t>
            </w:r>
            <w:r>
              <w:rPr>
                <w:spacing w:val="-4"/>
              </w:rPr>
              <w:t xml:space="preserve"> </w:t>
            </w:r>
            <w:r>
              <w:t>with</w:t>
            </w:r>
            <w:r>
              <w:rPr>
                <w:spacing w:val="-4"/>
              </w:rPr>
              <w:t xml:space="preserve"> </w:t>
            </w:r>
            <w:r>
              <w:t>the</w:t>
            </w:r>
            <w:r>
              <w:rPr>
                <w:spacing w:val="-4"/>
              </w:rPr>
              <w:t xml:space="preserve"> </w:t>
            </w:r>
            <w:r>
              <w:t>auditor’s</w:t>
            </w:r>
            <w:r>
              <w:rPr>
                <w:spacing w:val="-4"/>
              </w:rPr>
              <w:t xml:space="preserve"> </w:t>
            </w:r>
            <w:r>
              <w:t>identification of</w:t>
            </w:r>
            <w:r>
              <w:rPr>
                <w:spacing w:val="-4"/>
              </w:rPr>
              <w:t xml:space="preserve"> </w:t>
            </w:r>
            <w:r>
              <w:t>IS</w:t>
            </w:r>
            <w:r>
              <w:rPr>
                <w:spacing w:val="-4"/>
              </w:rPr>
              <w:t xml:space="preserve"> </w:t>
            </w:r>
            <w:r>
              <w:t>controls</w:t>
            </w:r>
            <w:r>
              <w:rPr>
                <w:spacing w:val="-4"/>
              </w:rPr>
              <w:t xml:space="preserve"> </w:t>
            </w:r>
            <w:r>
              <w:t>that</w:t>
            </w:r>
            <w:r>
              <w:rPr>
                <w:spacing w:val="-4"/>
              </w:rPr>
              <w:t xml:space="preserve"> </w:t>
            </w:r>
            <w:r>
              <w:t>will</w:t>
            </w:r>
            <w:r>
              <w:rPr>
                <w:spacing w:val="-4"/>
              </w:rPr>
              <w:t xml:space="preserve"> </w:t>
            </w:r>
            <w:r>
              <w:t>be</w:t>
            </w:r>
            <w:r>
              <w:rPr>
                <w:spacing w:val="-5"/>
              </w:rPr>
              <w:t xml:space="preserve"> </w:t>
            </w:r>
            <w:r>
              <w:t>tested</w:t>
            </w:r>
            <w:r>
              <w:rPr>
                <w:spacing w:val="-4"/>
              </w:rPr>
              <w:t xml:space="preserve"> </w:t>
            </w:r>
            <w:r>
              <w:t>(including</w:t>
            </w:r>
            <w:r>
              <w:rPr>
                <w:spacing w:val="-4"/>
              </w:rPr>
              <w:t xml:space="preserve"> </w:t>
            </w:r>
            <w:r>
              <w:t>controls</w:t>
            </w:r>
            <w:r>
              <w:rPr>
                <w:spacing w:val="-4"/>
              </w:rPr>
              <w:t xml:space="preserve"> </w:t>
            </w:r>
            <w:r>
              <w:t>performed</w:t>
            </w:r>
            <w:r>
              <w:rPr>
                <w:spacing w:val="-4"/>
              </w:rPr>
              <w:t xml:space="preserve"> </w:t>
            </w:r>
            <w:r>
              <w:t>at service organizations used by the entity)? (FAM 350)</w:t>
            </w:r>
          </w:p>
        </w:tc>
        <w:tc>
          <w:tcPr>
            <w:tcW w:w="811" w:type="dxa"/>
            <w:tcBorders>
              <w:top w:val="single" w:sz="8" w:space="0" w:color="000000"/>
              <w:left w:val="single" w:sz="8" w:space="0" w:color="000000"/>
              <w:bottom w:val="single" w:sz="8" w:space="0" w:color="000000"/>
              <w:right w:val="single" w:sz="8" w:space="0" w:color="000000"/>
            </w:tcBorders>
          </w:tcPr>
          <w:p w14:paraId="0DFDCE50"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51" w14:textId="77777777" w:rsidR="00046465" w:rsidRDefault="00046465">
            <w:pPr>
              <w:pStyle w:val="TableParagraph"/>
              <w:rPr>
                <w:rFonts w:ascii="Times New Roman"/>
              </w:rPr>
            </w:pPr>
          </w:p>
        </w:tc>
      </w:tr>
      <w:tr w:rsidR="00046465" w14:paraId="0DFDCE56" w14:textId="77777777">
        <w:trPr>
          <w:trHeight w:val="998"/>
        </w:trPr>
        <w:tc>
          <w:tcPr>
            <w:tcW w:w="7380" w:type="dxa"/>
            <w:tcBorders>
              <w:top w:val="single" w:sz="8" w:space="0" w:color="000000"/>
              <w:bottom w:val="single" w:sz="8" w:space="0" w:color="000000"/>
              <w:right w:val="single" w:sz="8" w:space="0" w:color="000000"/>
            </w:tcBorders>
          </w:tcPr>
          <w:p w14:paraId="0DFDCE53" w14:textId="77777777" w:rsidR="00046465" w:rsidRDefault="008134EB">
            <w:pPr>
              <w:pStyle w:val="TableParagraph"/>
              <w:spacing w:before="121"/>
              <w:ind w:left="843" w:right="172" w:hanging="360"/>
            </w:pPr>
            <w:r>
              <w:t>9.</w:t>
            </w:r>
            <w:r>
              <w:rPr>
                <w:spacing w:val="80"/>
              </w:rPr>
              <w:t xml:space="preserve"> </w:t>
            </w:r>
            <w:r>
              <w:t>For any identified budget controls, did the auditor perform sufficient</w:t>
            </w:r>
            <w:r>
              <w:rPr>
                <w:spacing w:val="-5"/>
              </w:rPr>
              <w:t xml:space="preserve"> </w:t>
            </w:r>
            <w:r>
              <w:t>work</w:t>
            </w:r>
            <w:r>
              <w:rPr>
                <w:spacing w:val="-5"/>
              </w:rPr>
              <w:t xml:space="preserve"> </w:t>
            </w:r>
            <w:r>
              <w:t>to</w:t>
            </w:r>
            <w:r>
              <w:rPr>
                <w:spacing w:val="-5"/>
              </w:rPr>
              <w:t xml:space="preserve"> </w:t>
            </w:r>
            <w:r>
              <w:t>support</w:t>
            </w:r>
            <w:r>
              <w:rPr>
                <w:spacing w:val="-6"/>
              </w:rPr>
              <w:t xml:space="preserve"> </w:t>
            </w:r>
            <w:r>
              <w:t>the</w:t>
            </w:r>
            <w:r>
              <w:rPr>
                <w:spacing w:val="-5"/>
              </w:rPr>
              <w:t xml:space="preserve"> </w:t>
            </w:r>
            <w:r>
              <w:t>conclusions</w:t>
            </w:r>
            <w:r>
              <w:rPr>
                <w:spacing w:val="-5"/>
              </w:rPr>
              <w:t xml:space="preserve"> </w:t>
            </w:r>
            <w:r>
              <w:t>on</w:t>
            </w:r>
            <w:r>
              <w:rPr>
                <w:spacing w:val="-5"/>
              </w:rPr>
              <w:t xml:space="preserve"> </w:t>
            </w:r>
            <w:r>
              <w:t>internal</w:t>
            </w:r>
            <w:r>
              <w:rPr>
                <w:spacing w:val="-5"/>
              </w:rPr>
              <w:t xml:space="preserve"> </w:t>
            </w:r>
            <w:r>
              <w:t>control? (FAM 250, 330, and 460)</w:t>
            </w:r>
          </w:p>
        </w:tc>
        <w:tc>
          <w:tcPr>
            <w:tcW w:w="811" w:type="dxa"/>
            <w:tcBorders>
              <w:top w:val="single" w:sz="8" w:space="0" w:color="000000"/>
              <w:left w:val="single" w:sz="8" w:space="0" w:color="000000"/>
              <w:bottom w:val="single" w:sz="8" w:space="0" w:color="000000"/>
              <w:right w:val="single" w:sz="8" w:space="0" w:color="000000"/>
            </w:tcBorders>
          </w:tcPr>
          <w:p w14:paraId="0DFDCE54"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55" w14:textId="77777777" w:rsidR="00046465" w:rsidRDefault="00046465">
            <w:pPr>
              <w:pStyle w:val="TableParagraph"/>
              <w:rPr>
                <w:rFonts w:ascii="Times New Roman"/>
              </w:rPr>
            </w:pPr>
          </w:p>
        </w:tc>
      </w:tr>
      <w:tr w:rsidR="00046465" w14:paraId="0DFDCE5A" w14:textId="77777777">
        <w:trPr>
          <w:trHeight w:val="998"/>
        </w:trPr>
        <w:tc>
          <w:tcPr>
            <w:tcW w:w="7380" w:type="dxa"/>
            <w:tcBorders>
              <w:top w:val="single" w:sz="8" w:space="0" w:color="000000"/>
              <w:bottom w:val="single" w:sz="8" w:space="0" w:color="000000"/>
              <w:right w:val="single" w:sz="8" w:space="0" w:color="000000"/>
            </w:tcBorders>
          </w:tcPr>
          <w:p w14:paraId="0DFDCE57" w14:textId="77777777" w:rsidR="00046465" w:rsidRDefault="008134EB">
            <w:pPr>
              <w:pStyle w:val="TableParagraph"/>
              <w:spacing w:before="121"/>
              <w:ind w:left="844" w:right="172" w:hanging="361"/>
            </w:pPr>
            <w:r>
              <w:t>10.</w:t>
            </w:r>
            <w:r>
              <w:rPr>
                <w:spacing w:val="-11"/>
              </w:rPr>
              <w:t xml:space="preserve"> </w:t>
            </w:r>
            <w:r>
              <w:t>For</w:t>
            </w:r>
            <w:r>
              <w:rPr>
                <w:spacing w:val="-5"/>
              </w:rPr>
              <w:t xml:space="preserve"> </w:t>
            </w:r>
            <w:r>
              <w:t>any</w:t>
            </w:r>
            <w:r>
              <w:rPr>
                <w:spacing w:val="-5"/>
              </w:rPr>
              <w:t xml:space="preserve"> </w:t>
            </w:r>
            <w:r>
              <w:t>identified</w:t>
            </w:r>
            <w:r>
              <w:rPr>
                <w:spacing w:val="-5"/>
              </w:rPr>
              <w:t xml:space="preserve"> </w:t>
            </w:r>
            <w:r>
              <w:t>compliance</w:t>
            </w:r>
            <w:r>
              <w:rPr>
                <w:spacing w:val="-5"/>
              </w:rPr>
              <w:t xml:space="preserve"> </w:t>
            </w:r>
            <w:r>
              <w:t>controls,</w:t>
            </w:r>
            <w:r>
              <w:rPr>
                <w:spacing w:val="-5"/>
              </w:rPr>
              <w:t xml:space="preserve"> </w:t>
            </w:r>
            <w:r>
              <w:t>did</w:t>
            </w:r>
            <w:r>
              <w:rPr>
                <w:spacing w:val="-5"/>
              </w:rPr>
              <w:t xml:space="preserve"> </w:t>
            </w:r>
            <w:r>
              <w:t>the</w:t>
            </w:r>
            <w:r>
              <w:rPr>
                <w:spacing w:val="-5"/>
              </w:rPr>
              <w:t xml:space="preserve"> </w:t>
            </w:r>
            <w:r>
              <w:t>auditor</w:t>
            </w:r>
            <w:r>
              <w:rPr>
                <w:spacing w:val="-4"/>
              </w:rPr>
              <w:t xml:space="preserve"> </w:t>
            </w:r>
            <w:r>
              <w:t>perform sufficient work to support the conclusions on internal control? (FAM 245, 330, and 460)</w:t>
            </w:r>
          </w:p>
        </w:tc>
        <w:tc>
          <w:tcPr>
            <w:tcW w:w="811" w:type="dxa"/>
            <w:tcBorders>
              <w:top w:val="single" w:sz="8" w:space="0" w:color="000000"/>
              <w:left w:val="single" w:sz="8" w:space="0" w:color="000000"/>
              <w:bottom w:val="single" w:sz="8" w:space="0" w:color="000000"/>
              <w:right w:val="single" w:sz="8" w:space="0" w:color="000000"/>
            </w:tcBorders>
          </w:tcPr>
          <w:p w14:paraId="0DFDCE58"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59" w14:textId="77777777" w:rsidR="00046465" w:rsidRDefault="00046465">
            <w:pPr>
              <w:pStyle w:val="TableParagraph"/>
              <w:rPr>
                <w:rFonts w:ascii="Times New Roman"/>
              </w:rPr>
            </w:pPr>
          </w:p>
        </w:tc>
      </w:tr>
      <w:tr w:rsidR="00046465" w14:paraId="0DFDCE5E" w14:textId="77777777">
        <w:trPr>
          <w:trHeight w:val="1253"/>
        </w:trPr>
        <w:tc>
          <w:tcPr>
            <w:tcW w:w="7380" w:type="dxa"/>
            <w:tcBorders>
              <w:top w:val="single" w:sz="8" w:space="0" w:color="000000"/>
              <w:bottom w:val="single" w:sz="8" w:space="0" w:color="000000"/>
              <w:right w:val="single" w:sz="8" w:space="0" w:color="000000"/>
            </w:tcBorders>
          </w:tcPr>
          <w:p w14:paraId="0DFDCE5B" w14:textId="77777777" w:rsidR="00046465" w:rsidRDefault="008134EB">
            <w:pPr>
              <w:pStyle w:val="TableParagraph"/>
              <w:spacing w:before="121"/>
              <w:ind w:left="123" w:right="172"/>
              <w:rPr>
                <w:b/>
              </w:rPr>
            </w:pPr>
            <w:r>
              <w:rPr>
                <w:b/>
              </w:rPr>
              <w:t>Based</w:t>
            </w:r>
            <w:r>
              <w:rPr>
                <w:b/>
                <w:spacing w:val="-4"/>
              </w:rPr>
              <w:t xml:space="preserve"> </w:t>
            </w:r>
            <w:r>
              <w:rPr>
                <w:b/>
              </w:rPr>
              <w:t>on</w:t>
            </w:r>
            <w:r>
              <w:rPr>
                <w:b/>
                <w:spacing w:val="-4"/>
              </w:rPr>
              <w:t xml:space="preserve"> </w:t>
            </w:r>
            <w:r>
              <w:rPr>
                <w:b/>
              </w:rPr>
              <w:t>the</w:t>
            </w:r>
            <w:r>
              <w:rPr>
                <w:b/>
                <w:spacing w:val="-4"/>
              </w:rPr>
              <w:t xml:space="preserve"> </w:t>
            </w:r>
            <w:r>
              <w:rPr>
                <w:b/>
              </w:rPr>
              <w:t>risk</w:t>
            </w:r>
            <w:r>
              <w:rPr>
                <w:b/>
                <w:spacing w:val="-4"/>
              </w:rPr>
              <w:t xml:space="preserve"> </w:t>
            </w:r>
            <w:r>
              <w:rPr>
                <w:b/>
              </w:rPr>
              <w:t>of</w:t>
            </w:r>
            <w:r>
              <w:rPr>
                <w:b/>
                <w:spacing w:val="-4"/>
              </w:rPr>
              <w:t xml:space="preserve"> </w:t>
            </w:r>
            <w:r>
              <w:rPr>
                <w:b/>
              </w:rPr>
              <w:t>material</w:t>
            </w:r>
            <w:r>
              <w:rPr>
                <w:b/>
                <w:spacing w:val="-4"/>
              </w:rPr>
              <w:t xml:space="preserve"> </w:t>
            </w:r>
            <w:r>
              <w:rPr>
                <w:b/>
              </w:rPr>
              <w:t>misstatement,</w:t>
            </w:r>
            <w:r>
              <w:rPr>
                <w:b/>
                <w:spacing w:val="-4"/>
              </w:rPr>
              <w:t xml:space="preserve"> </w:t>
            </w:r>
            <w:r>
              <w:rPr>
                <w:b/>
              </w:rPr>
              <w:t>did</w:t>
            </w:r>
            <w:r>
              <w:rPr>
                <w:b/>
                <w:spacing w:val="-4"/>
              </w:rPr>
              <w:t xml:space="preserve"> </w:t>
            </w:r>
            <w:r>
              <w:rPr>
                <w:b/>
              </w:rPr>
              <w:t>the</w:t>
            </w:r>
            <w:r>
              <w:rPr>
                <w:b/>
                <w:spacing w:val="-4"/>
              </w:rPr>
              <w:t xml:space="preserve"> </w:t>
            </w:r>
            <w:r>
              <w:rPr>
                <w:b/>
              </w:rPr>
              <w:t>auditor</w:t>
            </w:r>
            <w:r>
              <w:rPr>
                <w:b/>
                <w:spacing w:val="-4"/>
              </w:rPr>
              <w:t xml:space="preserve"> </w:t>
            </w:r>
            <w:r>
              <w:rPr>
                <w:b/>
              </w:rPr>
              <w:t>perform adequate substantive audit procedures for material line items, accounts, note disclosures, and classes of transactions for items 11 through 19? (If not a material area, enter N/A.)</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E5C"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E5D" w14:textId="77777777" w:rsidR="00046465" w:rsidRDefault="00046465">
            <w:pPr>
              <w:pStyle w:val="TableParagraph"/>
              <w:rPr>
                <w:rFonts w:ascii="Times New Roman"/>
              </w:rPr>
            </w:pPr>
          </w:p>
        </w:tc>
      </w:tr>
    </w:tbl>
    <w:p w14:paraId="0DFDCE5F"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CE60" w14:textId="77777777" w:rsidR="00046465" w:rsidRDefault="00046465">
      <w:pPr>
        <w:pStyle w:val="BodyText"/>
        <w:spacing w:before="6"/>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CE67" w14:textId="77777777">
        <w:trPr>
          <w:trHeight w:val="936"/>
        </w:trPr>
        <w:tc>
          <w:tcPr>
            <w:tcW w:w="7380" w:type="dxa"/>
            <w:tcBorders>
              <w:right w:val="single" w:sz="8" w:space="0" w:color="000000"/>
            </w:tcBorders>
            <w:shd w:val="clear" w:color="auto" w:fill="A6A6A6"/>
          </w:tcPr>
          <w:p w14:paraId="0DFDCE61" w14:textId="77777777" w:rsidR="00046465" w:rsidRDefault="00046465">
            <w:pPr>
              <w:pStyle w:val="TableParagraph"/>
              <w:spacing w:before="266"/>
              <w:rPr>
                <w:b/>
                <w:sz w:val="24"/>
              </w:rPr>
            </w:pPr>
          </w:p>
          <w:p w14:paraId="0DFDCE62"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CE63"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CE64" w14:textId="77777777" w:rsidR="00046465" w:rsidRDefault="00046465">
            <w:pPr>
              <w:pStyle w:val="TableParagraph"/>
              <w:rPr>
                <w:b/>
              </w:rPr>
            </w:pPr>
          </w:p>
          <w:p w14:paraId="0DFDCE65" w14:textId="77777777" w:rsidR="00046465" w:rsidRDefault="00046465">
            <w:pPr>
              <w:pStyle w:val="TableParagraph"/>
              <w:spacing w:before="120"/>
              <w:rPr>
                <w:b/>
              </w:rPr>
            </w:pPr>
          </w:p>
          <w:p w14:paraId="0DFDCE66"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CE6B" w14:textId="77777777">
        <w:trPr>
          <w:trHeight w:val="494"/>
        </w:trPr>
        <w:tc>
          <w:tcPr>
            <w:tcW w:w="7380" w:type="dxa"/>
            <w:tcBorders>
              <w:bottom w:val="single" w:sz="8" w:space="0" w:color="000000"/>
              <w:right w:val="single" w:sz="8" w:space="0" w:color="000000"/>
            </w:tcBorders>
          </w:tcPr>
          <w:p w14:paraId="0DFDCE68" w14:textId="77777777" w:rsidR="00046465" w:rsidRDefault="008134EB">
            <w:pPr>
              <w:pStyle w:val="TableParagraph"/>
              <w:spacing w:before="121"/>
              <w:ind w:left="483"/>
              <w:rPr>
                <w:b/>
              </w:rPr>
            </w:pPr>
            <w:r>
              <w:t>11.</w:t>
            </w:r>
            <w:r>
              <w:rPr>
                <w:spacing w:val="-16"/>
              </w:rPr>
              <w:t xml:space="preserve"> </w:t>
            </w:r>
            <w:r>
              <w:rPr>
                <w:b/>
              </w:rPr>
              <w:t>Intragovernmental</w:t>
            </w:r>
            <w:r>
              <w:rPr>
                <w:b/>
                <w:spacing w:val="-9"/>
              </w:rPr>
              <w:t xml:space="preserve"> </w:t>
            </w:r>
            <w:r>
              <w:rPr>
                <w:b/>
              </w:rPr>
              <w:t>Activity</w:t>
            </w:r>
            <w:r>
              <w:rPr>
                <w:b/>
                <w:spacing w:val="-9"/>
              </w:rPr>
              <w:t xml:space="preserve"> </w:t>
            </w:r>
            <w:r>
              <w:rPr>
                <w:b/>
              </w:rPr>
              <w:t>and</w:t>
            </w:r>
            <w:r>
              <w:rPr>
                <w:b/>
                <w:spacing w:val="-9"/>
              </w:rPr>
              <w:t xml:space="preserve"> </w:t>
            </w:r>
            <w:r>
              <w:rPr>
                <w:b/>
              </w:rPr>
              <w:t>Balances</w:t>
            </w:r>
            <w:r>
              <w:rPr>
                <w:b/>
                <w:spacing w:val="-9"/>
              </w:rPr>
              <w:t xml:space="preserve"> </w:t>
            </w:r>
            <w:r>
              <w:rPr>
                <w:b/>
              </w:rPr>
              <w:t>(FAM</w:t>
            </w:r>
            <w:r>
              <w:rPr>
                <w:b/>
                <w:spacing w:val="-9"/>
              </w:rPr>
              <w:t xml:space="preserve"> </w:t>
            </w:r>
            <w:r>
              <w:rPr>
                <w:b/>
                <w:spacing w:val="-4"/>
              </w:rPr>
              <w:t>902)</w:t>
            </w:r>
          </w:p>
        </w:tc>
        <w:tc>
          <w:tcPr>
            <w:tcW w:w="811" w:type="dxa"/>
            <w:tcBorders>
              <w:left w:val="single" w:sz="8" w:space="0" w:color="000000"/>
              <w:bottom w:val="single" w:sz="8" w:space="0" w:color="000000"/>
              <w:right w:val="single" w:sz="8" w:space="0" w:color="000000"/>
            </w:tcBorders>
            <w:shd w:val="clear" w:color="auto" w:fill="BEBEBE"/>
          </w:tcPr>
          <w:p w14:paraId="0DFDCE69" w14:textId="77777777" w:rsidR="00046465" w:rsidRDefault="00046465">
            <w:pPr>
              <w:pStyle w:val="TableParagraph"/>
              <w:rPr>
                <w:rFonts w:ascii="Times New Roman"/>
                <w:sz w:val="20"/>
              </w:rPr>
            </w:pPr>
          </w:p>
        </w:tc>
        <w:tc>
          <w:tcPr>
            <w:tcW w:w="1349" w:type="dxa"/>
            <w:tcBorders>
              <w:left w:val="single" w:sz="8" w:space="0" w:color="000000"/>
              <w:bottom w:val="single" w:sz="8" w:space="0" w:color="000000"/>
            </w:tcBorders>
            <w:shd w:val="clear" w:color="auto" w:fill="BEBEBE"/>
          </w:tcPr>
          <w:p w14:paraId="0DFDCE6A" w14:textId="77777777" w:rsidR="00046465" w:rsidRDefault="00046465">
            <w:pPr>
              <w:pStyle w:val="TableParagraph"/>
              <w:rPr>
                <w:rFonts w:ascii="Times New Roman"/>
                <w:sz w:val="20"/>
              </w:rPr>
            </w:pPr>
          </w:p>
        </w:tc>
      </w:tr>
      <w:tr w:rsidR="00046465" w14:paraId="0DFDCE6F" w14:textId="77777777">
        <w:trPr>
          <w:trHeight w:val="492"/>
        </w:trPr>
        <w:tc>
          <w:tcPr>
            <w:tcW w:w="7380" w:type="dxa"/>
            <w:tcBorders>
              <w:top w:val="single" w:sz="8" w:space="0" w:color="000000"/>
              <w:bottom w:val="single" w:sz="8" w:space="0" w:color="000000"/>
              <w:right w:val="single" w:sz="8" w:space="0" w:color="000000"/>
            </w:tcBorders>
          </w:tcPr>
          <w:p w14:paraId="0DFDCE6C" w14:textId="77777777" w:rsidR="00046465" w:rsidRDefault="008134EB">
            <w:pPr>
              <w:pStyle w:val="TableParagraph"/>
              <w:spacing w:before="119"/>
              <w:ind w:left="843"/>
            </w:pPr>
            <w:r>
              <w:t>Did</w:t>
            </w:r>
            <w:r>
              <w:rPr>
                <w:spacing w:val="-5"/>
              </w:rPr>
              <w:t xml:space="preserve"> </w:t>
            </w:r>
            <w:r>
              <w:t>the</w:t>
            </w:r>
            <w:r>
              <w:rPr>
                <w:spacing w:val="-4"/>
              </w:rPr>
              <w:t xml:space="preserve"> </w:t>
            </w:r>
            <w:r>
              <w:t>auditor</w:t>
            </w:r>
            <w:r>
              <w:rPr>
                <w:spacing w:val="-4"/>
              </w:rPr>
              <w:t xml:space="preserve"> </w:t>
            </w:r>
            <w:r>
              <w:t>do</w:t>
            </w:r>
            <w:r>
              <w:rPr>
                <w:spacing w:val="-4"/>
              </w:rPr>
              <w:t xml:space="preserve"> </w:t>
            </w:r>
            <w:r>
              <w:t>the</w:t>
            </w:r>
            <w:r>
              <w:rPr>
                <w:spacing w:val="-4"/>
              </w:rPr>
              <w:t xml:space="preserve"> </w:t>
            </w:r>
            <w:r>
              <w:rPr>
                <w:spacing w:val="-2"/>
              </w:rPr>
              <w:t>following:</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E6D"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shd w:val="clear" w:color="auto" w:fill="BEBEBE"/>
          </w:tcPr>
          <w:p w14:paraId="0DFDCE6E" w14:textId="77777777" w:rsidR="00046465" w:rsidRDefault="00046465">
            <w:pPr>
              <w:pStyle w:val="TableParagraph"/>
              <w:rPr>
                <w:rFonts w:ascii="Times New Roman"/>
                <w:sz w:val="20"/>
              </w:rPr>
            </w:pPr>
          </w:p>
        </w:tc>
      </w:tr>
      <w:tr w:rsidR="00046465" w14:paraId="0DFDCE73" w14:textId="77777777">
        <w:trPr>
          <w:trHeight w:val="1252"/>
        </w:trPr>
        <w:tc>
          <w:tcPr>
            <w:tcW w:w="7380" w:type="dxa"/>
            <w:tcBorders>
              <w:top w:val="single" w:sz="8" w:space="0" w:color="000000"/>
              <w:bottom w:val="single" w:sz="8" w:space="0" w:color="000000"/>
              <w:right w:val="single" w:sz="8" w:space="0" w:color="000000"/>
            </w:tcBorders>
          </w:tcPr>
          <w:p w14:paraId="0DFDCE70" w14:textId="77777777" w:rsidR="00046465" w:rsidRDefault="008134EB">
            <w:pPr>
              <w:pStyle w:val="TableParagraph"/>
              <w:spacing w:before="121"/>
              <w:ind w:left="1249" w:hanging="360"/>
            </w:pPr>
            <w:r>
              <w:t>a.</w:t>
            </w:r>
            <w:r>
              <w:rPr>
                <w:spacing w:val="80"/>
              </w:rPr>
              <w:t xml:space="preserve"> </w:t>
            </w:r>
            <w:r>
              <w:t>Determine whether the entity resolved (i.e., reconciled and adjusted</w:t>
            </w:r>
            <w:r>
              <w:rPr>
                <w:spacing w:val="-5"/>
              </w:rPr>
              <w:t xml:space="preserve"> </w:t>
            </w:r>
            <w:r>
              <w:t>the</w:t>
            </w:r>
            <w:r>
              <w:rPr>
                <w:spacing w:val="-6"/>
              </w:rPr>
              <w:t xml:space="preserve"> </w:t>
            </w:r>
            <w:r>
              <w:t>accounting</w:t>
            </w:r>
            <w:r>
              <w:rPr>
                <w:spacing w:val="-6"/>
              </w:rPr>
              <w:t xml:space="preserve"> </w:t>
            </w:r>
            <w:r>
              <w:t>records</w:t>
            </w:r>
            <w:r>
              <w:rPr>
                <w:spacing w:val="-5"/>
              </w:rPr>
              <w:t xml:space="preserve"> </w:t>
            </w:r>
            <w:r>
              <w:t>resulting</w:t>
            </w:r>
            <w:r>
              <w:rPr>
                <w:spacing w:val="-5"/>
              </w:rPr>
              <w:t xml:space="preserve"> </w:t>
            </w:r>
            <w:r>
              <w:t>in</w:t>
            </w:r>
            <w:r>
              <w:rPr>
                <w:spacing w:val="-5"/>
              </w:rPr>
              <w:t xml:space="preserve"> </w:t>
            </w:r>
            <w:r>
              <w:t>the</w:t>
            </w:r>
            <w:r>
              <w:rPr>
                <w:spacing w:val="-5"/>
              </w:rPr>
              <w:t xml:space="preserve"> </w:t>
            </w:r>
            <w:r>
              <w:t>difference</w:t>
            </w:r>
            <w:r>
              <w:rPr>
                <w:spacing w:val="-5"/>
              </w:rPr>
              <w:t xml:space="preserve"> </w:t>
            </w:r>
            <w:r>
              <w:t>no longer existing) all material intragovernmental differences quarterly and, most importantly, at year-end?</w:t>
            </w:r>
          </w:p>
        </w:tc>
        <w:tc>
          <w:tcPr>
            <w:tcW w:w="811" w:type="dxa"/>
            <w:tcBorders>
              <w:top w:val="single" w:sz="8" w:space="0" w:color="000000"/>
              <w:left w:val="single" w:sz="8" w:space="0" w:color="000000"/>
              <w:bottom w:val="single" w:sz="8" w:space="0" w:color="000000"/>
              <w:right w:val="single" w:sz="8" w:space="0" w:color="000000"/>
            </w:tcBorders>
          </w:tcPr>
          <w:p w14:paraId="0DFDCE71"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E72" w14:textId="77777777" w:rsidR="00046465" w:rsidRDefault="00046465">
            <w:pPr>
              <w:pStyle w:val="TableParagraph"/>
              <w:rPr>
                <w:rFonts w:ascii="Times New Roman"/>
                <w:sz w:val="20"/>
              </w:rPr>
            </w:pPr>
          </w:p>
        </w:tc>
      </w:tr>
      <w:tr w:rsidR="00046465" w14:paraId="0DFDCE77" w14:textId="77777777">
        <w:trPr>
          <w:trHeight w:val="745"/>
        </w:trPr>
        <w:tc>
          <w:tcPr>
            <w:tcW w:w="7380" w:type="dxa"/>
            <w:tcBorders>
              <w:top w:val="single" w:sz="8" w:space="0" w:color="000000"/>
              <w:bottom w:val="single" w:sz="8" w:space="0" w:color="000000"/>
              <w:right w:val="single" w:sz="8" w:space="0" w:color="000000"/>
            </w:tcBorders>
          </w:tcPr>
          <w:p w14:paraId="0DFDCE74" w14:textId="77777777" w:rsidR="00046465" w:rsidRDefault="008134EB">
            <w:pPr>
              <w:pStyle w:val="TableParagraph"/>
              <w:spacing w:before="119"/>
              <w:ind w:left="1249" w:hanging="360"/>
            </w:pPr>
            <w:r>
              <w:t>b.</w:t>
            </w:r>
            <w:r>
              <w:rPr>
                <w:spacing w:val="80"/>
              </w:rPr>
              <w:t xml:space="preserve"> </w:t>
            </w:r>
            <w:r>
              <w:t>Assess</w:t>
            </w:r>
            <w:r>
              <w:rPr>
                <w:spacing w:val="-4"/>
              </w:rPr>
              <w:t xml:space="preserve"> </w:t>
            </w:r>
            <w:r>
              <w:t>(at</w:t>
            </w:r>
            <w:r>
              <w:rPr>
                <w:spacing w:val="-4"/>
              </w:rPr>
              <w:t xml:space="preserve"> </w:t>
            </w:r>
            <w:r>
              <w:t>absolute</w:t>
            </w:r>
            <w:r>
              <w:rPr>
                <w:spacing w:val="-4"/>
              </w:rPr>
              <w:t xml:space="preserve"> </w:t>
            </w:r>
            <w:r>
              <w:t>value)</w:t>
            </w:r>
            <w:r>
              <w:rPr>
                <w:spacing w:val="-4"/>
              </w:rPr>
              <w:t xml:space="preserve"> </w:t>
            </w:r>
            <w:r>
              <w:t>the</w:t>
            </w:r>
            <w:r>
              <w:rPr>
                <w:spacing w:val="-4"/>
              </w:rPr>
              <w:t xml:space="preserve"> </w:t>
            </w:r>
            <w:r>
              <w:t>materiality</w:t>
            </w:r>
            <w:r>
              <w:rPr>
                <w:spacing w:val="-3"/>
              </w:rPr>
              <w:t xml:space="preserve"> </w:t>
            </w:r>
            <w:r>
              <w:t>of</w:t>
            </w:r>
            <w:r>
              <w:rPr>
                <w:spacing w:val="-5"/>
              </w:rPr>
              <w:t xml:space="preserve"> </w:t>
            </w:r>
            <w:r>
              <w:t>unresolved differences at year-end?</w:t>
            </w:r>
          </w:p>
        </w:tc>
        <w:tc>
          <w:tcPr>
            <w:tcW w:w="811" w:type="dxa"/>
            <w:tcBorders>
              <w:top w:val="single" w:sz="8" w:space="0" w:color="000000"/>
              <w:left w:val="single" w:sz="8" w:space="0" w:color="000000"/>
              <w:bottom w:val="single" w:sz="8" w:space="0" w:color="000000"/>
              <w:right w:val="single" w:sz="8" w:space="0" w:color="000000"/>
            </w:tcBorders>
          </w:tcPr>
          <w:p w14:paraId="0DFDCE75"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E76" w14:textId="77777777" w:rsidR="00046465" w:rsidRDefault="00046465">
            <w:pPr>
              <w:pStyle w:val="TableParagraph"/>
              <w:rPr>
                <w:rFonts w:ascii="Times New Roman"/>
                <w:sz w:val="20"/>
              </w:rPr>
            </w:pPr>
          </w:p>
        </w:tc>
      </w:tr>
      <w:tr w:rsidR="00046465" w14:paraId="0DFDCE7C" w14:textId="77777777">
        <w:trPr>
          <w:trHeight w:val="2516"/>
        </w:trPr>
        <w:tc>
          <w:tcPr>
            <w:tcW w:w="7380" w:type="dxa"/>
            <w:tcBorders>
              <w:top w:val="single" w:sz="8" w:space="0" w:color="000000"/>
              <w:bottom w:val="single" w:sz="8" w:space="0" w:color="000000"/>
              <w:right w:val="single" w:sz="8" w:space="0" w:color="000000"/>
            </w:tcBorders>
          </w:tcPr>
          <w:p w14:paraId="0DFDCE78" w14:textId="77777777" w:rsidR="00046465" w:rsidRDefault="008134EB">
            <w:pPr>
              <w:pStyle w:val="TableParagraph"/>
              <w:spacing w:before="121"/>
              <w:ind w:left="1249" w:right="172" w:hanging="360"/>
            </w:pPr>
            <w:r>
              <w:t>c.</w:t>
            </w:r>
            <w:r>
              <w:rPr>
                <w:spacing w:val="80"/>
              </w:rPr>
              <w:t xml:space="preserve"> </w:t>
            </w:r>
            <w:r>
              <w:t>Determine (1) whether the entity reviewed journal vouchers that</w:t>
            </w:r>
            <w:r>
              <w:rPr>
                <w:spacing w:val="-4"/>
              </w:rPr>
              <w:t xml:space="preserve"> </w:t>
            </w:r>
            <w:r>
              <w:t>Treasury</w:t>
            </w:r>
            <w:r>
              <w:rPr>
                <w:spacing w:val="-3"/>
              </w:rPr>
              <w:t xml:space="preserve"> </w:t>
            </w:r>
            <w:r>
              <w:t>recorded</w:t>
            </w:r>
            <w:r>
              <w:rPr>
                <w:spacing w:val="-4"/>
              </w:rPr>
              <w:t xml:space="preserve"> </w:t>
            </w:r>
            <w:r>
              <w:t>to</w:t>
            </w:r>
            <w:r>
              <w:rPr>
                <w:spacing w:val="-4"/>
              </w:rPr>
              <w:t xml:space="preserve"> </w:t>
            </w:r>
            <w:r>
              <w:t>the</w:t>
            </w:r>
            <w:r>
              <w:rPr>
                <w:spacing w:val="-4"/>
              </w:rPr>
              <w:t xml:space="preserve"> </w:t>
            </w:r>
            <w:r>
              <w:t>entity’s</w:t>
            </w:r>
            <w:r>
              <w:rPr>
                <w:spacing w:val="-4"/>
              </w:rPr>
              <w:t xml:space="preserve"> </w:t>
            </w:r>
            <w:r>
              <w:t>data</w:t>
            </w:r>
            <w:r>
              <w:rPr>
                <w:spacing w:val="-4"/>
              </w:rPr>
              <w:t xml:space="preserve"> </w:t>
            </w:r>
            <w:r>
              <w:t>in</w:t>
            </w:r>
            <w:r>
              <w:rPr>
                <w:spacing w:val="-4"/>
              </w:rPr>
              <w:t xml:space="preserve"> </w:t>
            </w:r>
            <w:r>
              <w:t>order</w:t>
            </w:r>
            <w:r>
              <w:rPr>
                <w:spacing w:val="-4"/>
              </w:rPr>
              <w:t xml:space="preserve"> </w:t>
            </w:r>
            <w:r>
              <w:t>to</w:t>
            </w:r>
            <w:r>
              <w:rPr>
                <w:spacing w:val="-4"/>
              </w:rPr>
              <w:t xml:space="preserve"> </w:t>
            </w:r>
            <w:r>
              <w:t>remove intragovernmental differences in preparing the prior-year</w:t>
            </w:r>
          </w:p>
          <w:p w14:paraId="0DFDCE79" w14:textId="77777777" w:rsidR="00046465" w:rsidRDefault="008134EB">
            <w:pPr>
              <w:pStyle w:val="TableParagraph"/>
              <w:ind w:left="1249" w:hanging="1"/>
            </w:pPr>
            <w:r>
              <w:t>U.S.</w:t>
            </w:r>
            <w:r>
              <w:rPr>
                <w:spacing w:val="-6"/>
              </w:rPr>
              <w:t xml:space="preserve"> </w:t>
            </w:r>
            <w:r>
              <w:t>government’s</w:t>
            </w:r>
            <w:r>
              <w:rPr>
                <w:spacing w:val="-6"/>
              </w:rPr>
              <w:t xml:space="preserve"> </w:t>
            </w:r>
            <w:r>
              <w:t>consolidated</w:t>
            </w:r>
            <w:r>
              <w:rPr>
                <w:spacing w:val="-6"/>
              </w:rPr>
              <w:t xml:space="preserve"> </w:t>
            </w:r>
            <w:r>
              <w:t>financial</w:t>
            </w:r>
            <w:r>
              <w:rPr>
                <w:spacing w:val="-6"/>
              </w:rPr>
              <w:t xml:space="preserve"> </w:t>
            </w:r>
            <w:r>
              <w:t>statements;</w:t>
            </w:r>
            <w:r>
              <w:rPr>
                <w:spacing w:val="-6"/>
              </w:rPr>
              <w:t xml:space="preserve"> </w:t>
            </w:r>
            <w:r>
              <w:t>(2)</w:t>
            </w:r>
            <w:r>
              <w:rPr>
                <w:spacing w:val="-6"/>
              </w:rPr>
              <w:t xml:space="preserve"> </w:t>
            </w:r>
            <w:r>
              <w:t>why the entity did not resolve these differences (even though Treasury was able to reconcile and remove them); and (3) if appropriate, whether the entity fixed the causes of these differences</w:t>
            </w:r>
            <w:r>
              <w:rPr>
                <w:spacing w:val="-1"/>
              </w:rPr>
              <w:t xml:space="preserve"> </w:t>
            </w:r>
            <w:r>
              <w:t>so that they</w:t>
            </w:r>
            <w:r>
              <w:rPr>
                <w:spacing w:val="-1"/>
              </w:rPr>
              <w:t xml:space="preserve"> </w:t>
            </w:r>
            <w:r>
              <w:t>will not exist</w:t>
            </w:r>
            <w:r>
              <w:rPr>
                <w:spacing w:val="-1"/>
              </w:rPr>
              <w:t xml:space="preserve"> </w:t>
            </w:r>
            <w:r>
              <w:t xml:space="preserve">at the end of the current </w:t>
            </w:r>
            <w:r>
              <w:rPr>
                <w:spacing w:val="-2"/>
              </w:rPr>
              <w:t>year?</w:t>
            </w:r>
          </w:p>
        </w:tc>
        <w:tc>
          <w:tcPr>
            <w:tcW w:w="811" w:type="dxa"/>
            <w:tcBorders>
              <w:top w:val="single" w:sz="8" w:space="0" w:color="000000"/>
              <w:left w:val="single" w:sz="8" w:space="0" w:color="000000"/>
              <w:bottom w:val="single" w:sz="8" w:space="0" w:color="000000"/>
              <w:right w:val="single" w:sz="8" w:space="0" w:color="000000"/>
            </w:tcBorders>
          </w:tcPr>
          <w:p w14:paraId="0DFDCE7A"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E7B" w14:textId="77777777" w:rsidR="00046465" w:rsidRDefault="00046465">
            <w:pPr>
              <w:pStyle w:val="TableParagraph"/>
              <w:rPr>
                <w:rFonts w:ascii="Times New Roman"/>
                <w:sz w:val="20"/>
              </w:rPr>
            </w:pPr>
          </w:p>
        </w:tc>
      </w:tr>
      <w:tr w:rsidR="00046465" w14:paraId="0DFDCE81" w14:textId="77777777">
        <w:trPr>
          <w:trHeight w:val="1193"/>
        </w:trPr>
        <w:tc>
          <w:tcPr>
            <w:tcW w:w="7380" w:type="dxa"/>
            <w:tcBorders>
              <w:top w:val="single" w:sz="8" w:space="0" w:color="000000"/>
              <w:bottom w:val="single" w:sz="8" w:space="0" w:color="000000"/>
              <w:right w:val="single" w:sz="8" w:space="0" w:color="000000"/>
            </w:tcBorders>
          </w:tcPr>
          <w:p w14:paraId="0DFDCE7D" w14:textId="77777777" w:rsidR="00046465" w:rsidRDefault="008134EB">
            <w:pPr>
              <w:pStyle w:val="TableParagraph"/>
              <w:spacing w:before="121"/>
              <w:ind w:left="483"/>
              <w:rPr>
                <w:b/>
              </w:rPr>
            </w:pPr>
            <w:r>
              <w:t>12.</w:t>
            </w:r>
            <w:r>
              <w:rPr>
                <w:spacing w:val="-14"/>
              </w:rPr>
              <w:t xml:space="preserve"> </w:t>
            </w:r>
            <w:r>
              <w:rPr>
                <w:b/>
              </w:rPr>
              <w:t>Fund</w:t>
            </w:r>
            <w:r>
              <w:rPr>
                <w:b/>
                <w:spacing w:val="-6"/>
              </w:rPr>
              <w:t xml:space="preserve"> </w:t>
            </w:r>
            <w:r>
              <w:rPr>
                <w:b/>
              </w:rPr>
              <w:t>Balance</w:t>
            </w:r>
            <w:r>
              <w:rPr>
                <w:b/>
                <w:spacing w:val="-7"/>
              </w:rPr>
              <w:t xml:space="preserve"> </w:t>
            </w:r>
            <w:r>
              <w:rPr>
                <w:b/>
              </w:rPr>
              <w:t>with</w:t>
            </w:r>
            <w:r>
              <w:rPr>
                <w:b/>
                <w:spacing w:val="-7"/>
              </w:rPr>
              <w:t xml:space="preserve"> </w:t>
            </w:r>
            <w:r>
              <w:rPr>
                <w:b/>
              </w:rPr>
              <w:t>Treasury</w:t>
            </w:r>
            <w:r>
              <w:rPr>
                <w:b/>
                <w:spacing w:val="-7"/>
              </w:rPr>
              <w:t xml:space="preserve"> </w:t>
            </w:r>
            <w:r>
              <w:rPr>
                <w:b/>
              </w:rPr>
              <w:t>(FBWT)</w:t>
            </w:r>
            <w:r>
              <w:rPr>
                <w:b/>
                <w:spacing w:val="-7"/>
              </w:rPr>
              <w:t xml:space="preserve"> </w:t>
            </w:r>
            <w:r>
              <w:rPr>
                <w:b/>
              </w:rPr>
              <w:t>(FAM</w:t>
            </w:r>
            <w:r>
              <w:rPr>
                <w:b/>
                <w:spacing w:val="-6"/>
              </w:rPr>
              <w:t xml:space="preserve"> </w:t>
            </w:r>
            <w:r>
              <w:rPr>
                <w:b/>
                <w:spacing w:val="-4"/>
              </w:rPr>
              <w:t>921)</w:t>
            </w:r>
          </w:p>
          <w:p w14:paraId="0DFDCE7E" w14:textId="77777777" w:rsidR="00046465" w:rsidRDefault="008134EB">
            <w:pPr>
              <w:pStyle w:val="TableParagraph"/>
              <w:spacing w:before="239"/>
              <w:ind w:left="844" w:hanging="1"/>
              <w:rPr>
                <w:i/>
                <w:sz w:val="20"/>
              </w:rPr>
            </w:pPr>
            <w:r>
              <w:rPr>
                <w:i/>
                <w:sz w:val="20"/>
              </w:rPr>
              <w:t>Note:</w:t>
            </w:r>
            <w:r>
              <w:rPr>
                <w:i/>
                <w:spacing w:val="-6"/>
                <w:sz w:val="20"/>
              </w:rPr>
              <w:t xml:space="preserve"> </w:t>
            </w:r>
            <w:r>
              <w:rPr>
                <w:i/>
                <w:sz w:val="20"/>
              </w:rPr>
              <w:t>Although</w:t>
            </w:r>
            <w:r>
              <w:rPr>
                <w:i/>
                <w:spacing w:val="-6"/>
                <w:sz w:val="20"/>
              </w:rPr>
              <w:t xml:space="preserve"> </w:t>
            </w:r>
            <w:r>
              <w:rPr>
                <w:i/>
                <w:sz w:val="20"/>
              </w:rPr>
              <w:t>FBWT</w:t>
            </w:r>
            <w:r>
              <w:rPr>
                <w:i/>
                <w:spacing w:val="-6"/>
                <w:sz w:val="20"/>
              </w:rPr>
              <w:t xml:space="preserve"> </w:t>
            </w:r>
            <w:r>
              <w:rPr>
                <w:i/>
                <w:sz w:val="20"/>
              </w:rPr>
              <w:t>is</w:t>
            </w:r>
            <w:r>
              <w:rPr>
                <w:i/>
                <w:spacing w:val="-5"/>
                <w:sz w:val="20"/>
              </w:rPr>
              <w:t xml:space="preserve"> </w:t>
            </w:r>
            <w:r>
              <w:rPr>
                <w:i/>
                <w:sz w:val="20"/>
              </w:rPr>
              <w:t>intragovernmental,</w:t>
            </w:r>
            <w:r>
              <w:rPr>
                <w:i/>
                <w:spacing w:val="-6"/>
                <w:sz w:val="20"/>
              </w:rPr>
              <w:t xml:space="preserve"> </w:t>
            </w:r>
            <w:r>
              <w:rPr>
                <w:i/>
                <w:sz w:val="20"/>
              </w:rPr>
              <w:t>FBWT</w:t>
            </w:r>
            <w:r>
              <w:rPr>
                <w:i/>
                <w:spacing w:val="-6"/>
                <w:sz w:val="20"/>
              </w:rPr>
              <w:t xml:space="preserve"> </w:t>
            </w:r>
            <w:r>
              <w:rPr>
                <w:i/>
                <w:sz w:val="20"/>
              </w:rPr>
              <w:t>is</w:t>
            </w:r>
            <w:r>
              <w:rPr>
                <w:i/>
                <w:spacing w:val="-5"/>
                <w:sz w:val="20"/>
              </w:rPr>
              <w:t xml:space="preserve"> </w:t>
            </w:r>
            <w:r>
              <w:rPr>
                <w:i/>
                <w:sz w:val="20"/>
              </w:rPr>
              <w:t>separately addressed because of its significance.</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E7F"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shd w:val="clear" w:color="auto" w:fill="BEBEBE"/>
          </w:tcPr>
          <w:p w14:paraId="0DFDCE80" w14:textId="77777777" w:rsidR="00046465" w:rsidRDefault="00046465">
            <w:pPr>
              <w:pStyle w:val="TableParagraph"/>
              <w:rPr>
                <w:rFonts w:ascii="Times New Roman"/>
                <w:sz w:val="20"/>
              </w:rPr>
            </w:pPr>
          </w:p>
        </w:tc>
      </w:tr>
      <w:tr w:rsidR="00046465" w14:paraId="0DFDCE85" w14:textId="77777777">
        <w:trPr>
          <w:trHeight w:val="493"/>
        </w:trPr>
        <w:tc>
          <w:tcPr>
            <w:tcW w:w="7380" w:type="dxa"/>
            <w:tcBorders>
              <w:top w:val="single" w:sz="8" w:space="0" w:color="000000"/>
              <w:bottom w:val="single" w:sz="8" w:space="0" w:color="000000"/>
              <w:right w:val="single" w:sz="8" w:space="0" w:color="000000"/>
            </w:tcBorders>
          </w:tcPr>
          <w:p w14:paraId="0DFDCE82" w14:textId="77777777" w:rsidR="00046465" w:rsidRDefault="008134EB">
            <w:pPr>
              <w:pStyle w:val="TableParagraph"/>
              <w:spacing w:before="121"/>
              <w:ind w:left="889"/>
            </w:pPr>
            <w:r>
              <w:t>a.</w:t>
            </w:r>
            <w:r>
              <w:rPr>
                <w:spacing w:val="74"/>
                <w:w w:val="150"/>
              </w:rPr>
              <w:t xml:space="preserve"> </w:t>
            </w:r>
            <w:r>
              <w:t>Did</w:t>
            </w:r>
            <w:r>
              <w:rPr>
                <w:spacing w:val="-4"/>
              </w:rPr>
              <w:t xml:space="preserve"> </w:t>
            </w:r>
            <w:r>
              <w:t>the</w:t>
            </w:r>
            <w:r>
              <w:rPr>
                <w:spacing w:val="-4"/>
              </w:rPr>
              <w:t xml:space="preserve"> </w:t>
            </w:r>
            <w:r>
              <w:t>auditor</w:t>
            </w:r>
            <w:r>
              <w:rPr>
                <w:spacing w:val="-3"/>
              </w:rPr>
              <w:t xml:space="preserve"> </w:t>
            </w:r>
            <w:r>
              <w:t>determine</w:t>
            </w:r>
            <w:r>
              <w:rPr>
                <w:spacing w:val="-4"/>
              </w:rPr>
              <w:t xml:space="preserve"> </w:t>
            </w:r>
            <w:r>
              <w:t>if</w:t>
            </w:r>
            <w:r>
              <w:rPr>
                <w:spacing w:val="-3"/>
              </w:rPr>
              <w:t xml:space="preserve"> </w:t>
            </w:r>
            <w:r>
              <w:t>the</w:t>
            </w:r>
            <w:r>
              <w:rPr>
                <w:spacing w:val="-4"/>
              </w:rPr>
              <w:t xml:space="preserve"> </w:t>
            </w:r>
            <w:r>
              <w:rPr>
                <w:spacing w:val="-2"/>
              </w:rPr>
              <w:t>entity</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E83"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shd w:val="clear" w:color="auto" w:fill="BEBEBE"/>
          </w:tcPr>
          <w:p w14:paraId="0DFDCE84" w14:textId="77777777" w:rsidR="00046465" w:rsidRDefault="00046465">
            <w:pPr>
              <w:pStyle w:val="TableParagraph"/>
              <w:rPr>
                <w:rFonts w:ascii="Times New Roman"/>
                <w:sz w:val="20"/>
              </w:rPr>
            </w:pPr>
          </w:p>
        </w:tc>
      </w:tr>
      <w:tr w:rsidR="00046465" w14:paraId="0DFDCE89" w14:textId="77777777">
        <w:trPr>
          <w:trHeight w:val="745"/>
        </w:trPr>
        <w:tc>
          <w:tcPr>
            <w:tcW w:w="7380" w:type="dxa"/>
            <w:tcBorders>
              <w:top w:val="single" w:sz="8" w:space="0" w:color="000000"/>
              <w:bottom w:val="single" w:sz="8" w:space="0" w:color="000000"/>
              <w:right w:val="single" w:sz="8" w:space="0" w:color="000000"/>
            </w:tcBorders>
          </w:tcPr>
          <w:p w14:paraId="0DFDCE86" w14:textId="77777777" w:rsidR="00046465" w:rsidRDefault="008134EB">
            <w:pPr>
              <w:pStyle w:val="TableParagraph"/>
              <w:spacing w:before="119"/>
              <w:ind w:left="1609" w:hanging="291"/>
            </w:pPr>
            <w:r>
              <w:t>i.</w:t>
            </w:r>
            <w:r>
              <w:rPr>
                <w:spacing w:val="40"/>
              </w:rPr>
              <w:t xml:space="preserve"> </w:t>
            </w:r>
            <w:r>
              <w:t>properly</w:t>
            </w:r>
            <w:r>
              <w:rPr>
                <w:spacing w:val="-4"/>
              </w:rPr>
              <w:t xml:space="preserve"> </w:t>
            </w:r>
            <w:r>
              <w:t>and</w:t>
            </w:r>
            <w:r>
              <w:rPr>
                <w:spacing w:val="-5"/>
              </w:rPr>
              <w:t xml:space="preserve"> </w:t>
            </w:r>
            <w:r>
              <w:t>timely</w:t>
            </w:r>
            <w:r>
              <w:rPr>
                <w:spacing w:val="-4"/>
              </w:rPr>
              <w:t xml:space="preserve"> </w:t>
            </w:r>
            <w:r>
              <w:t>recorded</w:t>
            </w:r>
            <w:r>
              <w:rPr>
                <w:spacing w:val="-4"/>
              </w:rPr>
              <w:t xml:space="preserve"> </w:t>
            </w:r>
            <w:r>
              <w:t>and</w:t>
            </w:r>
            <w:r>
              <w:rPr>
                <w:spacing w:val="-4"/>
              </w:rPr>
              <w:t xml:space="preserve"> </w:t>
            </w:r>
            <w:r>
              <w:t>reported</w:t>
            </w:r>
            <w:r>
              <w:rPr>
                <w:spacing w:val="-4"/>
              </w:rPr>
              <w:t xml:space="preserve"> </w:t>
            </w:r>
            <w:r>
              <w:t>collection</w:t>
            </w:r>
            <w:r>
              <w:rPr>
                <w:spacing w:val="-4"/>
              </w:rPr>
              <w:t xml:space="preserve"> </w:t>
            </w:r>
            <w:r>
              <w:t>and disbursement activity in its FBWT accounts;</w:t>
            </w:r>
          </w:p>
        </w:tc>
        <w:tc>
          <w:tcPr>
            <w:tcW w:w="811" w:type="dxa"/>
            <w:tcBorders>
              <w:top w:val="single" w:sz="8" w:space="0" w:color="000000"/>
              <w:left w:val="single" w:sz="8" w:space="0" w:color="000000"/>
              <w:bottom w:val="single" w:sz="8" w:space="0" w:color="000000"/>
              <w:right w:val="single" w:sz="8" w:space="0" w:color="000000"/>
            </w:tcBorders>
          </w:tcPr>
          <w:p w14:paraId="0DFDCE87"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E88" w14:textId="77777777" w:rsidR="00046465" w:rsidRDefault="00046465">
            <w:pPr>
              <w:pStyle w:val="TableParagraph"/>
              <w:rPr>
                <w:rFonts w:ascii="Times New Roman"/>
                <w:sz w:val="20"/>
              </w:rPr>
            </w:pPr>
          </w:p>
        </w:tc>
      </w:tr>
      <w:tr w:rsidR="00046465" w14:paraId="0DFDCE8D" w14:textId="77777777">
        <w:trPr>
          <w:trHeight w:val="1252"/>
        </w:trPr>
        <w:tc>
          <w:tcPr>
            <w:tcW w:w="7380" w:type="dxa"/>
            <w:tcBorders>
              <w:top w:val="single" w:sz="8" w:space="0" w:color="000000"/>
              <w:bottom w:val="single" w:sz="8" w:space="0" w:color="000000"/>
              <w:right w:val="single" w:sz="8" w:space="0" w:color="000000"/>
            </w:tcBorders>
          </w:tcPr>
          <w:p w14:paraId="0DFDCE8A" w14:textId="77777777" w:rsidR="00046465" w:rsidRDefault="008134EB">
            <w:pPr>
              <w:pStyle w:val="TableParagraph"/>
              <w:spacing w:before="119"/>
              <w:ind w:left="1609" w:hanging="340"/>
            </w:pPr>
            <w:r>
              <w:t>ii.</w:t>
            </w:r>
            <w:r>
              <w:rPr>
                <w:spacing w:val="40"/>
              </w:rPr>
              <w:t xml:space="preserve"> </w:t>
            </w:r>
            <w:r>
              <w:t>timely investigated FBWT balances recorded to clearing Treasury account symbols (TAS) and classified the balances</w:t>
            </w:r>
            <w:r>
              <w:rPr>
                <w:spacing w:val="-4"/>
              </w:rPr>
              <w:t xml:space="preserve"> </w:t>
            </w:r>
            <w:r>
              <w:t>to</w:t>
            </w:r>
            <w:r>
              <w:rPr>
                <w:spacing w:val="-5"/>
              </w:rPr>
              <w:t xml:space="preserve"> </w:t>
            </w:r>
            <w:r>
              <w:t>the</w:t>
            </w:r>
            <w:r>
              <w:rPr>
                <w:spacing w:val="-4"/>
              </w:rPr>
              <w:t xml:space="preserve"> </w:t>
            </w:r>
            <w:r>
              <w:t>proper</w:t>
            </w:r>
            <w:r>
              <w:rPr>
                <w:spacing w:val="-4"/>
              </w:rPr>
              <w:t xml:space="preserve"> </w:t>
            </w:r>
            <w:r>
              <w:t>TASs</w:t>
            </w:r>
            <w:r>
              <w:rPr>
                <w:spacing w:val="-4"/>
              </w:rPr>
              <w:t xml:space="preserve"> </w:t>
            </w:r>
            <w:r>
              <w:t>in</w:t>
            </w:r>
            <w:r>
              <w:rPr>
                <w:spacing w:val="-4"/>
              </w:rPr>
              <w:t xml:space="preserve"> </w:t>
            </w:r>
            <w:r>
              <w:t>the</w:t>
            </w:r>
            <w:r>
              <w:rPr>
                <w:spacing w:val="-4"/>
              </w:rPr>
              <w:t xml:space="preserve"> </w:t>
            </w:r>
            <w:r>
              <w:t>entity’s</w:t>
            </w:r>
            <w:r>
              <w:rPr>
                <w:spacing w:val="-4"/>
              </w:rPr>
              <w:t xml:space="preserve"> </w:t>
            </w:r>
            <w:r>
              <w:t>general</w:t>
            </w:r>
            <w:r>
              <w:rPr>
                <w:spacing w:val="-4"/>
              </w:rPr>
              <w:t xml:space="preserve"> </w:t>
            </w:r>
            <w:r>
              <w:t>ledger and the Central Accounting Reporting System;</w:t>
            </w:r>
          </w:p>
        </w:tc>
        <w:tc>
          <w:tcPr>
            <w:tcW w:w="811" w:type="dxa"/>
            <w:tcBorders>
              <w:top w:val="single" w:sz="8" w:space="0" w:color="000000"/>
              <w:left w:val="single" w:sz="8" w:space="0" w:color="000000"/>
              <w:bottom w:val="single" w:sz="8" w:space="0" w:color="000000"/>
              <w:right w:val="single" w:sz="8" w:space="0" w:color="000000"/>
            </w:tcBorders>
          </w:tcPr>
          <w:p w14:paraId="0DFDCE8B"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E8C" w14:textId="77777777" w:rsidR="00046465" w:rsidRDefault="00046465">
            <w:pPr>
              <w:pStyle w:val="TableParagraph"/>
              <w:rPr>
                <w:rFonts w:ascii="Times New Roman"/>
                <w:sz w:val="20"/>
              </w:rPr>
            </w:pPr>
          </w:p>
        </w:tc>
      </w:tr>
      <w:tr w:rsidR="00046465" w14:paraId="0DFDCE91" w14:textId="77777777">
        <w:trPr>
          <w:trHeight w:val="745"/>
        </w:trPr>
        <w:tc>
          <w:tcPr>
            <w:tcW w:w="7380" w:type="dxa"/>
            <w:tcBorders>
              <w:top w:val="single" w:sz="8" w:space="0" w:color="000000"/>
              <w:bottom w:val="single" w:sz="8" w:space="0" w:color="000000"/>
              <w:right w:val="single" w:sz="8" w:space="0" w:color="000000"/>
            </w:tcBorders>
          </w:tcPr>
          <w:p w14:paraId="0DFDCE8E" w14:textId="77777777" w:rsidR="00046465" w:rsidRDefault="008134EB">
            <w:pPr>
              <w:pStyle w:val="TableParagraph"/>
              <w:spacing w:before="119"/>
              <w:ind w:left="1609" w:hanging="389"/>
            </w:pPr>
            <w:r>
              <w:t>iii.</w:t>
            </w:r>
            <w:r>
              <w:rPr>
                <w:spacing w:val="40"/>
              </w:rPr>
              <w:t xml:space="preserve"> </w:t>
            </w:r>
            <w:r>
              <w:t>reconciled</w:t>
            </w:r>
            <w:r>
              <w:rPr>
                <w:spacing w:val="-6"/>
              </w:rPr>
              <w:t xml:space="preserve"> </w:t>
            </w:r>
            <w:r>
              <w:t>its</w:t>
            </w:r>
            <w:r>
              <w:rPr>
                <w:spacing w:val="-5"/>
              </w:rPr>
              <w:t xml:space="preserve"> </w:t>
            </w:r>
            <w:r>
              <w:t>FBWT</w:t>
            </w:r>
            <w:r>
              <w:rPr>
                <w:spacing w:val="-5"/>
              </w:rPr>
              <w:t xml:space="preserve"> </w:t>
            </w:r>
            <w:r>
              <w:t>account</w:t>
            </w:r>
            <w:r>
              <w:rPr>
                <w:spacing w:val="-5"/>
              </w:rPr>
              <w:t xml:space="preserve"> </w:t>
            </w:r>
            <w:r>
              <w:t>balance</w:t>
            </w:r>
            <w:r>
              <w:rPr>
                <w:spacing w:val="-5"/>
              </w:rPr>
              <w:t xml:space="preserve"> </w:t>
            </w:r>
            <w:r>
              <w:t>and</w:t>
            </w:r>
            <w:r>
              <w:rPr>
                <w:spacing w:val="-5"/>
              </w:rPr>
              <w:t xml:space="preserve"> </w:t>
            </w:r>
            <w:r>
              <w:t>activity periodically and at year-end;</w:t>
            </w:r>
          </w:p>
        </w:tc>
        <w:tc>
          <w:tcPr>
            <w:tcW w:w="811" w:type="dxa"/>
            <w:tcBorders>
              <w:top w:val="single" w:sz="8" w:space="0" w:color="000000"/>
              <w:left w:val="single" w:sz="8" w:space="0" w:color="000000"/>
              <w:bottom w:val="single" w:sz="8" w:space="0" w:color="000000"/>
              <w:right w:val="single" w:sz="8" w:space="0" w:color="000000"/>
            </w:tcBorders>
          </w:tcPr>
          <w:p w14:paraId="0DFDCE8F"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E90" w14:textId="77777777" w:rsidR="00046465" w:rsidRDefault="00046465">
            <w:pPr>
              <w:pStyle w:val="TableParagraph"/>
              <w:rPr>
                <w:rFonts w:ascii="Times New Roman"/>
                <w:sz w:val="20"/>
              </w:rPr>
            </w:pPr>
          </w:p>
        </w:tc>
      </w:tr>
      <w:tr w:rsidR="00046465" w14:paraId="0DFDCE95" w14:textId="77777777">
        <w:trPr>
          <w:trHeight w:val="745"/>
        </w:trPr>
        <w:tc>
          <w:tcPr>
            <w:tcW w:w="7380" w:type="dxa"/>
            <w:tcBorders>
              <w:top w:val="single" w:sz="8" w:space="0" w:color="000000"/>
              <w:bottom w:val="single" w:sz="8" w:space="0" w:color="000000"/>
              <w:right w:val="single" w:sz="8" w:space="0" w:color="000000"/>
            </w:tcBorders>
          </w:tcPr>
          <w:p w14:paraId="0DFDCE92" w14:textId="77777777" w:rsidR="00046465" w:rsidRDefault="008134EB">
            <w:pPr>
              <w:pStyle w:val="TableParagraph"/>
              <w:spacing w:before="121"/>
              <w:ind w:left="1609" w:right="100" w:hanging="401"/>
            </w:pPr>
            <w:r>
              <w:t>iv.</w:t>
            </w:r>
            <w:r>
              <w:rPr>
                <w:spacing w:val="40"/>
              </w:rPr>
              <w:t xml:space="preserve"> </w:t>
            </w:r>
            <w:r>
              <w:t>appropriately</w:t>
            </w:r>
            <w:r>
              <w:rPr>
                <w:spacing w:val="-5"/>
              </w:rPr>
              <w:t xml:space="preserve"> </w:t>
            </w:r>
            <w:r>
              <w:t>recorded</w:t>
            </w:r>
            <w:r>
              <w:rPr>
                <w:spacing w:val="-5"/>
              </w:rPr>
              <w:t xml:space="preserve"> </w:t>
            </w:r>
            <w:r>
              <w:t>and</w:t>
            </w:r>
            <w:r>
              <w:rPr>
                <w:spacing w:val="-5"/>
              </w:rPr>
              <w:t xml:space="preserve"> </w:t>
            </w:r>
            <w:r>
              <w:t>reviewed</w:t>
            </w:r>
            <w:r>
              <w:rPr>
                <w:spacing w:val="-5"/>
              </w:rPr>
              <w:t xml:space="preserve"> </w:t>
            </w:r>
            <w:r>
              <w:t>any</w:t>
            </w:r>
            <w:r>
              <w:rPr>
                <w:spacing w:val="-5"/>
              </w:rPr>
              <w:t xml:space="preserve"> </w:t>
            </w:r>
            <w:r>
              <w:t>adjusting</w:t>
            </w:r>
            <w:r>
              <w:rPr>
                <w:spacing w:val="-5"/>
              </w:rPr>
              <w:t xml:space="preserve"> </w:t>
            </w:r>
            <w:r>
              <w:t>journal vouchers recorded to FBWT accounts;</w:t>
            </w:r>
          </w:p>
        </w:tc>
        <w:tc>
          <w:tcPr>
            <w:tcW w:w="811" w:type="dxa"/>
            <w:tcBorders>
              <w:top w:val="single" w:sz="8" w:space="0" w:color="000000"/>
              <w:left w:val="single" w:sz="8" w:space="0" w:color="000000"/>
              <w:bottom w:val="single" w:sz="8" w:space="0" w:color="000000"/>
              <w:right w:val="single" w:sz="8" w:space="0" w:color="000000"/>
            </w:tcBorders>
          </w:tcPr>
          <w:p w14:paraId="0DFDCE93"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E94" w14:textId="77777777" w:rsidR="00046465" w:rsidRDefault="00046465">
            <w:pPr>
              <w:pStyle w:val="TableParagraph"/>
              <w:rPr>
                <w:rFonts w:ascii="Times New Roman"/>
                <w:sz w:val="20"/>
              </w:rPr>
            </w:pPr>
          </w:p>
        </w:tc>
      </w:tr>
      <w:tr w:rsidR="00046465" w14:paraId="0DFDCE99" w14:textId="77777777">
        <w:trPr>
          <w:trHeight w:val="999"/>
        </w:trPr>
        <w:tc>
          <w:tcPr>
            <w:tcW w:w="7380" w:type="dxa"/>
            <w:tcBorders>
              <w:top w:val="single" w:sz="8" w:space="0" w:color="000000"/>
              <w:bottom w:val="single" w:sz="8" w:space="0" w:color="000000"/>
              <w:right w:val="single" w:sz="8" w:space="0" w:color="000000"/>
            </w:tcBorders>
          </w:tcPr>
          <w:p w14:paraId="0DFDCE96" w14:textId="77777777" w:rsidR="00046465" w:rsidRDefault="008134EB">
            <w:pPr>
              <w:pStyle w:val="TableParagraph"/>
              <w:spacing w:before="121"/>
              <w:ind w:left="1609" w:right="293" w:hanging="352"/>
              <w:jc w:val="both"/>
            </w:pPr>
            <w:r>
              <w:t>v.</w:t>
            </w:r>
            <w:r>
              <w:rPr>
                <w:spacing w:val="40"/>
              </w:rPr>
              <w:t xml:space="preserve"> </w:t>
            </w:r>
            <w:r>
              <w:t>disclosed</w:t>
            </w:r>
            <w:r>
              <w:rPr>
                <w:spacing w:val="-1"/>
              </w:rPr>
              <w:t xml:space="preserve"> </w:t>
            </w:r>
            <w:r>
              <w:t>the</w:t>
            </w:r>
            <w:r>
              <w:rPr>
                <w:spacing w:val="-1"/>
              </w:rPr>
              <w:t xml:space="preserve"> </w:t>
            </w:r>
            <w:r>
              <w:t>status</w:t>
            </w:r>
            <w:r>
              <w:rPr>
                <w:spacing w:val="-1"/>
              </w:rPr>
              <w:t xml:space="preserve"> </w:t>
            </w:r>
            <w:r>
              <w:t>of</w:t>
            </w:r>
            <w:r>
              <w:rPr>
                <w:spacing w:val="-1"/>
              </w:rPr>
              <w:t xml:space="preserve"> </w:t>
            </w:r>
            <w:r>
              <w:t>accounts,</w:t>
            </w:r>
            <w:r>
              <w:rPr>
                <w:spacing w:val="-2"/>
              </w:rPr>
              <w:t xml:space="preserve"> </w:t>
            </w:r>
            <w:r>
              <w:t>such</w:t>
            </w:r>
            <w:r>
              <w:rPr>
                <w:spacing w:val="-1"/>
              </w:rPr>
              <w:t xml:space="preserve"> </w:t>
            </w:r>
            <w:r>
              <w:t>as</w:t>
            </w:r>
            <w:r>
              <w:rPr>
                <w:spacing w:val="-1"/>
              </w:rPr>
              <w:t xml:space="preserve"> </w:t>
            </w:r>
            <w:r>
              <w:t>open,</w:t>
            </w:r>
            <w:r>
              <w:rPr>
                <w:spacing w:val="-1"/>
              </w:rPr>
              <w:t xml:space="preserve"> </w:t>
            </w:r>
            <w:r>
              <w:t>expired, or</w:t>
            </w:r>
            <w:r>
              <w:rPr>
                <w:spacing w:val="-6"/>
              </w:rPr>
              <w:t xml:space="preserve"> </w:t>
            </w:r>
            <w:r>
              <w:t>cancelled,</w:t>
            </w:r>
            <w:r>
              <w:rPr>
                <w:spacing w:val="-6"/>
              </w:rPr>
              <w:t xml:space="preserve"> </w:t>
            </w:r>
            <w:r>
              <w:t>and</w:t>
            </w:r>
            <w:r>
              <w:rPr>
                <w:spacing w:val="-6"/>
              </w:rPr>
              <w:t xml:space="preserve"> </w:t>
            </w:r>
            <w:r>
              <w:t>whether</w:t>
            </w:r>
            <w:r>
              <w:rPr>
                <w:spacing w:val="-6"/>
              </w:rPr>
              <w:t xml:space="preserve"> </w:t>
            </w:r>
            <w:r>
              <w:t>each</w:t>
            </w:r>
            <w:r>
              <w:rPr>
                <w:spacing w:val="-6"/>
              </w:rPr>
              <w:t xml:space="preserve"> </w:t>
            </w:r>
            <w:r>
              <w:t>account</w:t>
            </w:r>
            <w:r>
              <w:rPr>
                <w:spacing w:val="-6"/>
              </w:rPr>
              <w:t xml:space="preserve"> </w:t>
            </w:r>
            <w:r>
              <w:t>is</w:t>
            </w:r>
            <w:r>
              <w:rPr>
                <w:spacing w:val="-6"/>
              </w:rPr>
              <w:t xml:space="preserve"> </w:t>
            </w:r>
            <w:r>
              <w:t>appropriately included in the FBWT line item; and</w:t>
            </w:r>
          </w:p>
        </w:tc>
        <w:tc>
          <w:tcPr>
            <w:tcW w:w="811" w:type="dxa"/>
            <w:tcBorders>
              <w:top w:val="single" w:sz="8" w:space="0" w:color="000000"/>
              <w:left w:val="single" w:sz="8" w:space="0" w:color="000000"/>
              <w:bottom w:val="single" w:sz="8" w:space="0" w:color="000000"/>
              <w:right w:val="single" w:sz="8" w:space="0" w:color="000000"/>
            </w:tcBorders>
          </w:tcPr>
          <w:p w14:paraId="0DFDCE97"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E98" w14:textId="77777777" w:rsidR="00046465" w:rsidRDefault="00046465">
            <w:pPr>
              <w:pStyle w:val="TableParagraph"/>
              <w:rPr>
                <w:rFonts w:ascii="Times New Roman"/>
                <w:sz w:val="20"/>
              </w:rPr>
            </w:pPr>
          </w:p>
        </w:tc>
      </w:tr>
    </w:tbl>
    <w:p w14:paraId="0DFDCE9A" w14:textId="77777777" w:rsidR="00046465" w:rsidRDefault="00046465">
      <w:pPr>
        <w:pStyle w:val="TableParagraph"/>
        <w:rPr>
          <w:rFonts w:ascii="Times New Roman"/>
          <w:sz w:val="20"/>
        </w:rPr>
        <w:sectPr w:rsidR="00046465">
          <w:pgSz w:w="12240" w:h="15840"/>
          <w:pgMar w:top="1340" w:right="720" w:bottom="940" w:left="360" w:header="721" w:footer="757" w:gutter="0"/>
          <w:cols w:space="720"/>
        </w:sectPr>
      </w:pPr>
    </w:p>
    <w:p w14:paraId="0DFDCE9B" w14:textId="77777777" w:rsidR="00046465" w:rsidRDefault="00046465">
      <w:pPr>
        <w:pStyle w:val="BodyText"/>
        <w:spacing w:before="6"/>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CEA2" w14:textId="77777777">
        <w:trPr>
          <w:trHeight w:val="936"/>
        </w:trPr>
        <w:tc>
          <w:tcPr>
            <w:tcW w:w="7380" w:type="dxa"/>
            <w:tcBorders>
              <w:right w:val="single" w:sz="8" w:space="0" w:color="000000"/>
            </w:tcBorders>
            <w:shd w:val="clear" w:color="auto" w:fill="A6A6A6"/>
          </w:tcPr>
          <w:p w14:paraId="0DFDCE9C" w14:textId="77777777" w:rsidR="00046465" w:rsidRDefault="00046465">
            <w:pPr>
              <w:pStyle w:val="TableParagraph"/>
              <w:spacing w:before="266"/>
              <w:rPr>
                <w:b/>
                <w:sz w:val="24"/>
              </w:rPr>
            </w:pPr>
          </w:p>
          <w:p w14:paraId="0DFDCE9D"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CE9E"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CE9F" w14:textId="77777777" w:rsidR="00046465" w:rsidRDefault="00046465">
            <w:pPr>
              <w:pStyle w:val="TableParagraph"/>
              <w:rPr>
                <w:b/>
              </w:rPr>
            </w:pPr>
          </w:p>
          <w:p w14:paraId="0DFDCEA0" w14:textId="77777777" w:rsidR="00046465" w:rsidRDefault="00046465">
            <w:pPr>
              <w:pStyle w:val="TableParagraph"/>
              <w:spacing w:before="120"/>
              <w:rPr>
                <w:b/>
              </w:rPr>
            </w:pPr>
          </w:p>
          <w:p w14:paraId="0DFDCEA1"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CEA6" w14:textId="77777777">
        <w:trPr>
          <w:trHeight w:val="1252"/>
        </w:trPr>
        <w:tc>
          <w:tcPr>
            <w:tcW w:w="7380" w:type="dxa"/>
            <w:tcBorders>
              <w:bottom w:val="single" w:sz="8" w:space="0" w:color="000000"/>
              <w:right w:val="single" w:sz="8" w:space="0" w:color="000000"/>
            </w:tcBorders>
          </w:tcPr>
          <w:p w14:paraId="0DFDCEA3" w14:textId="77777777" w:rsidR="00046465" w:rsidRDefault="008134EB">
            <w:pPr>
              <w:pStyle w:val="TableParagraph"/>
              <w:spacing w:before="121"/>
              <w:ind w:left="1609" w:right="53" w:hanging="401"/>
            </w:pPr>
            <w:r>
              <w:t>vi.</w:t>
            </w:r>
            <w:r>
              <w:rPr>
                <w:spacing w:val="40"/>
              </w:rPr>
              <w:t xml:space="preserve"> </w:t>
            </w:r>
            <w:r>
              <w:t>disclosed in the notes to the financial statements (a) material unreconciled differences, (b) material unreconciled</w:t>
            </w:r>
            <w:r>
              <w:rPr>
                <w:spacing w:val="-5"/>
              </w:rPr>
              <w:t xml:space="preserve"> </w:t>
            </w:r>
            <w:r>
              <w:t>differences</w:t>
            </w:r>
            <w:r>
              <w:rPr>
                <w:spacing w:val="-5"/>
              </w:rPr>
              <w:t xml:space="preserve"> </w:t>
            </w:r>
            <w:r>
              <w:t>that</w:t>
            </w:r>
            <w:r>
              <w:rPr>
                <w:spacing w:val="-5"/>
              </w:rPr>
              <w:t xml:space="preserve"> </w:t>
            </w:r>
            <w:r>
              <w:t>were</w:t>
            </w:r>
            <w:r>
              <w:rPr>
                <w:spacing w:val="-5"/>
              </w:rPr>
              <w:t xml:space="preserve"> </w:t>
            </w:r>
            <w:r>
              <w:t>written</w:t>
            </w:r>
            <w:r>
              <w:rPr>
                <w:spacing w:val="-5"/>
              </w:rPr>
              <w:t xml:space="preserve"> </w:t>
            </w:r>
            <w:r>
              <w:t>off</w:t>
            </w:r>
            <w:r>
              <w:rPr>
                <w:spacing w:val="-5"/>
              </w:rPr>
              <w:t xml:space="preserve"> </w:t>
            </w:r>
            <w:r>
              <w:t>by</w:t>
            </w:r>
            <w:r>
              <w:rPr>
                <w:spacing w:val="-5"/>
              </w:rPr>
              <w:t xml:space="preserve"> </w:t>
            </w:r>
            <w:r>
              <w:t>the</w:t>
            </w:r>
            <w:r>
              <w:rPr>
                <w:spacing w:val="-5"/>
              </w:rPr>
              <w:t xml:space="preserve"> </w:t>
            </w:r>
            <w:r>
              <w:t>entity during the year, and (c) material restrictions?</w:t>
            </w:r>
          </w:p>
        </w:tc>
        <w:tc>
          <w:tcPr>
            <w:tcW w:w="811" w:type="dxa"/>
            <w:tcBorders>
              <w:left w:val="single" w:sz="8" w:space="0" w:color="000000"/>
              <w:bottom w:val="single" w:sz="8" w:space="0" w:color="000000"/>
              <w:right w:val="single" w:sz="8" w:space="0" w:color="000000"/>
            </w:tcBorders>
          </w:tcPr>
          <w:p w14:paraId="0DFDCEA4" w14:textId="77777777" w:rsidR="00046465" w:rsidRDefault="00046465">
            <w:pPr>
              <w:pStyle w:val="TableParagraph"/>
              <w:rPr>
                <w:rFonts w:ascii="Times New Roman"/>
              </w:rPr>
            </w:pPr>
          </w:p>
        </w:tc>
        <w:tc>
          <w:tcPr>
            <w:tcW w:w="1349" w:type="dxa"/>
            <w:tcBorders>
              <w:left w:val="single" w:sz="8" w:space="0" w:color="000000"/>
              <w:bottom w:val="single" w:sz="8" w:space="0" w:color="000000"/>
            </w:tcBorders>
          </w:tcPr>
          <w:p w14:paraId="0DFDCEA5" w14:textId="77777777" w:rsidR="00046465" w:rsidRDefault="00046465">
            <w:pPr>
              <w:pStyle w:val="TableParagraph"/>
              <w:rPr>
                <w:rFonts w:ascii="Times New Roman"/>
              </w:rPr>
            </w:pPr>
          </w:p>
        </w:tc>
      </w:tr>
      <w:tr w:rsidR="00046465" w14:paraId="0DFDCEAA" w14:textId="77777777">
        <w:trPr>
          <w:trHeight w:val="1252"/>
        </w:trPr>
        <w:tc>
          <w:tcPr>
            <w:tcW w:w="7380" w:type="dxa"/>
            <w:tcBorders>
              <w:top w:val="single" w:sz="8" w:space="0" w:color="000000"/>
              <w:bottom w:val="single" w:sz="8" w:space="0" w:color="000000"/>
              <w:right w:val="single" w:sz="8" w:space="0" w:color="000000"/>
            </w:tcBorders>
          </w:tcPr>
          <w:p w14:paraId="0DFDCEA7" w14:textId="77777777" w:rsidR="00046465" w:rsidRDefault="008134EB">
            <w:pPr>
              <w:pStyle w:val="TableParagraph"/>
              <w:spacing w:before="119"/>
              <w:ind w:left="1249" w:right="172" w:hanging="360"/>
            </w:pPr>
            <w:r>
              <w:t>b.</w:t>
            </w:r>
            <w:r>
              <w:rPr>
                <w:spacing w:val="80"/>
              </w:rPr>
              <w:t xml:space="preserve"> </w:t>
            </w:r>
            <w:r>
              <w:t>Did the auditor determine the materiality of gross unreconciled differences and clearing account balances by analyzing</w:t>
            </w:r>
            <w:r>
              <w:rPr>
                <w:spacing w:val="-7"/>
              </w:rPr>
              <w:t xml:space="preserve"> </w:t>
            </w:r>
            <w:r>
              <w:t>the</w:t>
            </w:r>
            <w:r>
              <w:rPr>
                <w:spacing w:val="-6"/>
              </w:rPr>
              <w:t xml:space="preserve"> </w:t>
            </w:r>
            <w:r>
              <w:t>aggregate</w:t>
            </w:r>
            <w:r>
              <w:rPr>
                <w:spacing w:val="-6"/>
              </w:rPr>
              <w:t xml:space="preserve"> </w:t>
            </w:r>
            <w:r>
              <w:t>absolute</w:t>
            </w:r>
            <w:r>
              <w:rPr>
                <w:spacing w:val="-6"/>
              </w:rPr>
              <w:t xml:space="preserve"> </w:t>
            </w:r>
            <w:r>
              <w:t>values</w:t>
            </w:r>
            <w:r>
              <w:rPr>
                <w:spacing w:val="-6"/>
              </w:rPr>
              <w:t xml:space="preserve"> </w:t>
            </w:r>
            <w:r>
              <w:t>and</w:t>
            </w:r>
            <w:r>
              <w:rPr>
                <w:spacing w:val="-6"/>
              </w:rPr>
              <w:t xml:space="preserve"> </w:t>
            </w:r>
            <w:r>
              <w:t>resulting</w:t>
            </w:r>
            <w:r>
              <w:rPr>
                <w:spacing w:val="-6"/>
              </w:rPr>
              <w:t xml:space="preserve"> </w:t>
            </w:r>
            <w:r>
              <w:t>effect on the financial statements?</w:t>
            </w:r>
          </w:p>
        </w:tc>
        <w:tc>
          <w:tcPr>
            <w:tcW w:w="811" w:type="dxa"/>
            <w:tcBorders>
              <w:top w:val="single" w:sz="8" w:space="0" w:color="000000"/>
              <w:left w:val="single" w:sz="8" w:space="0" w:color="000000"/>
              <w:bottom w:val="single" w:sz="8" w:space="0" w:color="000000"/>
              <w:right w:val="single" w:sz="8" w:space="0" w:color="000000"/>
            </w:tcBorders>
          </w:tcPr>
          <w:p w14:paraId="0DFDCEA8"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A9" w14:textId="77777777" w:rsidR="00046465" w:rsidRDefault="00046465">
            <w:pPr>
              <w:pStyle w:val="TableParagraph"/>
              <w:rPr>
                <w:rFonts w:ascii="Times New Roman"/>
              </w:rPr>
            </w:pPr>
          </w:p>
        </w:tc>
      </w:tr>
      <w:tr w:rsidR="00046465" w14:paraId="0DFDCEAF" w14:textId="77777777">
        <w:trPr>
          <w:trHeight w:val="925"/>
        </w:trPr>
        <w:tc>
          <w:tcPr>
            <w:tcW w:w="7380" w:type="dxa"/>
            <w:tcBorders>
              <w:top w:val="single" w:sz="8" w:space="0" w:color="000000"/>
              <w:bottom w:val="single" w:sz="8" w:space="0" w:color="000000"/>
              <w:right w:val="single" w:sz="8" w:space="0" w:color="000000"/>
            </w:tcBorders>
          </w:tcPr>
          <w:p w14:paraId="0DFDCEAB" w14:textId="77777777" w:rsidR="00046465" w:rsidRDefault="008134EB">
            <w:pPr>
              <w:pStyle w:val="TableParagraph"/>
              <w:spacing w:before="121"/>
              <w:ind w:left="483"/>
              <w:rPr>
                <w:b/>
              </w:rPr>
            </w:pPr>
            <w:r>
              <w:t>13.</w:t>
            </w:r>
            <w:r>
              <w:rPr>
                <w:spacing w:val="-11"/>
              </w:rPr>
              <w:t xml:space="preserve"> </w:t>
            </w:r>
            <w:r>
              <w:rPr>
                <w:b/>
                <w:spacing w:val="-2"/>
              </w:rPr>
              <w:t>Receivables</w:t>
            </w:r>
          </w:p>
          <w:p w14:paraId="0DFDCEAC" w14:textId="77777777" w:rsidR="00046465" w:rsidRDefault="008134EB">
            <w:pPr>
              <w:pStyle w:val="TableParagraph"/>
              <w:spacing w:before="179"/>
              <w:ind w:left="843"/>
            </w:pPr>
            <w:r>
              <w:t>Consider</w:t>
            </w:r>
            <w:r>
              <w:rPr>
                <w:spacing w:val="-9"/>
              </w:rPr>
              <w:t xml:space="preserve"> </w:t>
            </w:r>
            <w:r>
              <w:t>these</w:t>
            </w:r>
            <w:r>
              <w:rPr>
                <w:spacing w:val="-8"/>
              </w:rPr>
              <w:t xml:space="preserve"> </w:t>
            </w:r>
            <w:r>
              <w:rPr>
                <w:spacing w:val="-2"/>
              </w:rPr>
              <w:t>issues: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EAD"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EAE" w14:textId="77777777" w:rsidR="00046465" w:rsidRDefault="00046465">
            <w:pPr>
              <w:pStyle w:val="TableParagraph"/>
              <w:rPr>
                <w:rFonts w:ascii="Times New Roman"/>
              </w:rPr>
            </w:pPr>
          </w:p>
        </w:tc>
      </w:tr>
      <w:tr w:rsidR="00046465" w14:paraId="0DFDCEB3" w14:textId="77777777">
        <w:trPr>
          <w:trHeight w:val="998"/>
        </w:trPr>
        <w:tc>
          <w:tcPr>
            <w:tcW w:w="7380" w:type="dxa"/>
            <w:tcBorders>
              <w:top w:val="single" w:sz="8" w:space="0" w:color="000000"/>
              <w:bottom w:val="single" w:sz="8" w:space="0" w:color="000000"/>
              <w:right w:val="single" w:sz="8" w:space="0" w:color="000000"/>
            </w:tcBorders>
          </w:tcPr>
          <w:p w14:paraId="0DFDCEB0" w14:textId="77777777" w:rsidR="00046465" w:rsidRDefault="008134EB">
            <w:pPr>
              <w:pStyle w:val="TableParagraph"/>
              <w:spacing w:before="121"/>
              <w:ind w:left="1249" w:right="178" w:hanging="360"/>
              <w:jc w:val="both"/>
            </w:pPr>
            <w:r>
              <w:t>a.</w:t>
            </w:r>
            <w:r>
              <w:rPr>
                <w:spacing w:val="80"/>
              </w:rPr>
              <w:t xml:space="preserve"> </w:t>
            </w:r>
            <w:r>
              <w:t>Were receivables confirmed and appropriate follow-up steps taken,</w:t>
            </w:r>
            <w:r>
              <w:rPr>
                <w:spacing w:val="-7"/>
              </w:rPr>
              <w:t xml:space="preserve"> </w:t>
            </w:r>
            <w:r>
              <w:t>including</w:t>
            </w:r>
            <w:r>
              <w:rPr>
                <w:spacing w:val="-7"/>
              </w:rPr>
              <w:t xml:space="preserve"> </w:t>
            </w:r>
            <w:r>
              <w:t>second</w:t>
            </w:r>
            <w:r>
              <w:rPr>
                <w:spacing w:val="-8"/>
              </w:rPr>
              <w:t xml:space="preserve"> </w:t>
            </w:r>
            <w:r>
              <w:t>requests</w:t>
            </w:r>
            <w:r>
              <w:rPr>
                <w:spacing w:val="-7"/>
              </w:rPr>
              <w:t xml:space="preserve"> </w:t>
            </w:r>
            <w:r>
              <w:t>and</w:t>
            </w:r>
            <w:r>
              <w:rPr>
                <w:spacing w:val="-7"/>
              </w:rPr>
              <w:t xml:space="preserve"> </w:t>
            </w:r>
            <w:r>
              <w:t>subsequent</w:t>
            </w:r>
            <w:r>
              <w:rPr>
                <w:spacing w:val="-7"/>
              </w:rPr>
              <w:t xml:space="preserve"> </w:t>
            </w:r>
            <w:r>
              <w:t>collections (AU-C 505)?</w:t>
            </w:r>
          </w:p>
        </w:tc>
        <w:tc>
          <w:tcPr>
            <w:tcW w:w="811" w:type="dxa"/>
            <w:tcBorders>
              <w:top w:val="single" w:sz="8" w:space="0" w:color="000000"/>
              <w:left w:val="single" w:sz="8" w:space="0" w:color="000000"/>
              <w:bottom w:val="single" w:sz="8" w:space="0" w:color="000000"/>
              <w:right w:val="single" w:sz="8" w:space="0" w:color="000000"/>
            </w:tcBorders>
          </w:tcPr>
          <w:p w14:paraId="0DFDCEB1"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B2" w14:textId="77777777" w:rsidR="00046465" w:rsidRDefault="00046465">
            <w:pPr>
              <w:pStyle w:val="TableParagraph"/>
              <w:rPr>
                <w:rFonts w:ascii="Times New Roman"/>
              </w:rPr>
            </w:pPr>
          </w:p>
        </w:tc>
      </w:tr>
      <w:tr w:rsidR="00046465" w14:paraId="0DFDCEB7" w14:textId="77777777">
        <w:trPr>
          <w:trHeight w:val="746"/>
        </w:trPr>
        <w:tc>
          <w:tcPr>
            <w:tcW w:w="7380" w:type="dxa"/>
            <w:tcBorders>
              <w:top w:val="single" w:sz="8" w:space="0" w:color="000000"/>
              <w:bottom w:val="single" w:sz="8" w:space="0" w:color="000000"/>
              <w:right w:val="single" w:sz="8" w:space="0" w:color="000000"/>
            </w:tcBorders>
          </w:tcPr>
          <w:p w14:paraId="0DFDCEB4" w14:textId="77777777" w:rsidR="00046465" w:rsidRDefault="008134EB">
            <w:pPr>
              <w:pStyle w:val="TableParagraph"/>
              <w:spacing w:before="121"/>
              <w:ind w:left="1249" w:right="172" w:hanging="360"/>
            </w:pPr>
            <w:r>
              <w:t>b.</w:t>
            </w:r>
            <w:r>
              <w:rPr>
                <w:spacing w:val="80"/>
              </w:rPr>
              <w:t xml:space="preserve"> </w:t>
            </w:r>
            <w:r>
              <w:t>Are</w:t>
            </w:r>
            <w:r>
              <w:rPr>
                <w:spacing w:val="-4"/>
              </w:rPr>
              <w:t xml:space="preserve"> </w:t>
            </w:r>
            <w:r>
              <w:t>receivables</w:t>
            </w:r>
            <w:r>
              <w:rPr>
                <w:spacing w:val="-4"/>
              </w:rPr>
              <w:t xml:space="preserve"> </w:t>
            </w:r>
            <w:r>
              <w:t>stated</w:t>
            </w:r>
            <w:r>
              <w:rPr>
                <w:spacing w:val="-5"/>
              </w:rPr>
              <w:t xml:space="preserve"> </w:t>
            </w:r>
            <w:r>
              <w:t>at</w:t>
            </w:r>
            <w:r>
              <w:rPr>
                <w:spacing w:val="-4"/>
              </w:rPr>
              <w:t xml:space="preserve"> </w:t>
            </w:r>
            <w:r>
              <w:t>net</w:t>
            </w:r>
            <w:r>
              <w:rPr>
                <w:spacing w:val="-4"/>
              </w:rPr>
              <w:t xml:space="preserve"> </w:t>
            </w:r>
            <w:r>
              <w:t>realizable</w:t>
            </w:r>
            <w:r>
              <w:rPr>
                <w:spacing w:val="-4"/>
              </w:rPr>
              <w:t xml:space="preserve"> </w:t>
            </w:r>
            <w:r>
              <w:t>value</w:t>
            </w:r>
            <w:r>
              <w:rPr>
                <w:spacing w:val="-4"/>
              </w:rPr>
              <w:t xml:space="preserve"> </w:t>
            </w:r>
            <w:r>
              <w:t>after</w:t>
            </w:r>
            <w:r>
              <w:rPr>
                <w:spacing w:val="-4"/>
              </w:rPr>
              <w:t xml:space="preserve"> </w:t>
            </w:r>
            <w:r>
              <w:t>allowance for uncollectible accounts (AU-C 540)?</w:t>
            </w:r>
          </w:p>
        </w:tc>
        <w:tc>
          <w:tcPr>
            <w:tcW w:w="811" w:type="dxa"/>
            <w:tcBorders>
              <w:top w:val="single" w:sz="8" w:space="0" w:color="000000"/>
              <w:left w:val="single" w:sz="8" w:space="0" w:color="000000"/>
              <w:bottom w:val="single" w:sz="8" w:space="0" w:color="000000"/>
              <w:right w:val="single" w:sz="8" w:space="0" w:color="000000"/>
            </w:tcBorders>
          </w:tcPr>
          <w:p w14:paraId="0DFDCEB5"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B6" w14:textId="77777777" w:rsidR="00046465" w:rsidRDefault="00046465">
            <w:pPr>
              <w:pStyle w:val="TableParagraph"/>
              <w:rPr>
                <w:rFonts w:ascii="Times New Roman"/>
              </w:rPr>
            </w:pPr>
          </w:p>
        </w:tc>
      </w:tr>
      <w:tr w:rsidR="00046465" w14:paraId="0DFDCEBB" w14:textId="77777777">
        <w:trPr>
          <w:trHeight w:val="1252"/>
        </w:trPr>
        <w:tc>
          <w:tcPr>
            <w:tcW w:w="7380" w:type="dxa"/>
            <w:tcBorders>
              <w:top w:val="single" w:sz="8" w:space="0" w:color="000000"/>
              <w:bottom w:val="single" w:sz="8" w:space="0" w:color="000000"/>
              <w:right w:val="single" w:sz="8" w:space="0" w:color="000000"/>
            </w:tcBorders>
          </w:tcPr>
          <w:p w14:paraId="0DFDCEB8" w14:textId="77777777" w:rsidR="00046465" w:rsidRDefault="008134EB">
            <w:pPr>
              <w:pStyle w:val="TableParagraph"/>
              <w:spacing w:before="119"/>
              <w:ind w:left="843" w:hanging="360"/>
              <w:rPr>
                <w:b/>
              </w:rPr>
            </w:pPr>
            <w:r>
              <w:t>14.</w:t>
            </w:r>
            <w:r>
              <w:rPr>
                <w:spacing w:val="-12"/>
              </w:rPr>
              <w:t xml:space="preserve"> </w:t>
            </w:r>
            <w:r>
              <w:rPr>
                <w:b/>
              </w:rPr>
              <w:t>Valuation</w:t>
            </w:r>
            <w:r>
              <w:rPr>
                <w:b/>
                <w:spacing w:val="-5"/>
              </w:rPr>
              <w:t xml:space="preserve"> </w:t>
            </w:r>
            <w:r>
              <w:rPr>
                <w:b/>
              </w:rPr>
              <w:t>of</w:t>
            </w:r>
            <w:r>
              <w:rPr>
                <w:b/>
                <w:spacing w:val="-5"/>
              </w:rPr>
              <w:t xml:space="preserve"> </w:t>
            </w:r>
            <w:r>
              <w:rPr>
                <w:b/>
              </w:rPr>
              <w:t>Investments</w:t>
            </w:r>
            <w:r>
              <w:rPr>
                <w:b/>
                <w:spacing w:val="-5"/>
              </w:rPr>
              <w:t xml:space="preserve"> </w:t>
            </w:r>
            <w:r>
              <w:rPr>
                <w:b/>
              </w:rPr>
              <w:t>in</w:t>
            </w:r>
            <w:r>
              <w:rPr>
                <w:b/>
                <w:spacing w:val="-5"/>
              </w:rPr>
              <w:t xml:space="preserve"> </w:t>
            </w:r>
            <w:r>
              <w:rPr>
                <w:b/>
              </w:rPr>
              <w:t>Securities</w:t>
            </w:r>
            <w:r>
              <w:rPr>
                <w:b/>
                <w:spacing w:val="-5"/>
              </w:rPr>
              <w:t xml:space="preserve"> </w:t>
            </w:r>
            <w:r>
              <w:rPr>
                <w:b/>
              </w:rPr>
              <w:t>When</w:t>
            </w:r>
            <w:r>
              <w:rPr>
                <w:b/>
                <w:spacing w:val="-5"/>
              </w:rPr>
              <w:t xml:space="preserve"> </w:t>
            </w:r>
            <w:r>
              <w:rPr>
                <w:b/>
              </w:rPr>
              <w:t>Valuations</w:t>
            </w:r>
            <w:r>
              <w:rPr>
                <w:b/>
                <w:spacing w:val="-5"/>
              </w:rPr>
              <w:t xml:space="preserve"> </w:t>
            </w:r>
            <w:r>
              <w:rPr>
                <w:b/>
              </w:rPr>
              <w:t>Are Based on the Investee’s Financial Results, Excluding Investments Accounted for Using the Equity Method of Accounting (AU-C 501)</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EB9"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EBA" w14:textId="77777777" w:rsidR="00046465" w:rsidRDefault="00046465">
            <w:pPr>
              <w:pStyle w:val="TableParagraph"/>
              <w:rPr>
                <w:rFonts w:ascii="Times New Roman"/>
              </w:rPr>
            </w:pPr>
          </w:p>
        </w:tc>
      </w:tr>
      <w:tr w:rsidR="00046465" w14:paraId="0DFDCEBF" w14:textId="77777777">
        <w:trPr>
          <w:trHeight w:val="1757"/>
        </w:trPr>
        <w:tc>
          <w:tcPr>
            <w:tcW w:w="7380" w:type="dxa"/>
            <w:tcBorders>
              <w:top w:val="single" w:sz="8" w:space="0" w:color="000000"/>
              <w:bottom w:val="single" w:sz="8" w:space="0" w:color="000000"/>
              <w:right w:val="single" w:sz="8" w:space="0" w:color="000000"/>
            </w:tcBorders>
          </w:tcPr>
          <w:p w14:paraId="0DFDCEBC" w14:textId="77777777" w:rsidR="00046465" w:rsidRDefault="008134EB">
            <w:pPr>
              <w:pStyle w:val="TableParagraph"/>
              <w:spacing w:before="119"/>
              <w:ind w:left="1248" w:hanging="360"/>
            </w:pPr>
            <w:r>
              <w:t>a.</w:t>
            </w:r>
            <w:r>
              <w:rPr>
                <w:spacing w:val="80"/>
              </w:rPr>
              <w:t xml:space="preserve"> </w:t>
            </w:r>
            <w:r>
              <w:rPr>
                <w:color w:val="242424"/>
              </w:rPr>
              <w:t>When investments in securities are valued based on an investee’s</w:t>
            </w:r>
            <w:r>
              <w:rPr>
                <w:color w:val="242424"/>
                <w:spacing w:val="-8"/>
              </w:rPr>
              <w:t xml:space="preserve"> </w:t>
            </w:r>
            <w:r>
              <w:rPr>
                <w:color w:val="242424"/>
              </w:rPr>
              <w:t>financial</w:t>
            </w:r>
            <w:r>
              <w:rPr>
                <w:color w:val="242424"/>
                <w:spacing w:val="-8"/>
              </w:rPr>
              <w:t xml:space="preserve"> </w:t>
            </w:r>
            <w:r>
              <w:rPr>
                <w:color w:val="242424"/>
              </w:rPr>
              <w:t>results,</w:t>
            </w:r>
            <w:r>
              <w:rPr>
                <w:color w:val="242424"/>
                <w:spacing w:val="-8"/>
              </w:rPr>
              <w:t xml:space="preserve"> </w:t>
            </w:r>
            <w:r>
              <w:rPr>
                <w:color w:val="242424"/>
              </w:rPr>
              <w:t>excluding</w:t>
            </w:r>
            <w:r>
              <w:rPr>
                <w:color w:val="242424"/>
                <w:spacing w:val="-8"/>
              </w:rPr>
              <w:t xml:space="preserve"> </w:t>
            </w:r>
            <w:r>
              <w:rPr>
                <w:color w:val="242424"/>
              </w:rPr>
              <w:t>investments</w:t>
            </w:r>
            <w:r>
              <w:rPr>
                <w:color w:val="242424"/>
                <w:spacing w:val="-8"/>
              </w:rPr>
              <w:t xml:space="preserve"> </w:t>
            </w:r>
            <w:r>
              <w:rPr>
                <w:color w:val="242424"/>
              </w:rPr>
              <w:t>accounted for using the equity method of accounting, did the auditor obtain sufficient appropriate audit evidence regarding the investee’s financial results, including as applicable in the circumstances, performing the following procedures: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EBD"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EBE" w14:textId="77777777" w:rsidR="00046465" w:rsidRDefault="00046465">
            <w:pPr>
              <w:pStyle w:val="TableParagraph"/>
              <w:rPr>
                <w:rFonts w:ascii="Times New Roman"/>
              </w:rPr>
            </w:pPr>
          </w:p>
        </w:tc>
      </w:tr>
      <w:tr w:rsidR="00046465" w14:paraId="0DFDCEC3" w14:textId="77777777">
        <w:trPr>
          <w:trHeight w:val="1252"/>
        </w:trPr>
        <w:tc>
          <w:tcPr>
            <w:tcW w:w="7380" w:type="dxa"/>
            <w:tcBorders>
              <w:top w:val="single" w:sz="8" w:space="0" w:color="000000"/>
              <w:bottom w:val="single" w:sz="8" w:space="0" w:color="000000"/>
              <w:right w:val="single" w:sz="8" w:space="0" w:color="000000"/>
            </w:tcBorders>
          </w:tcPr>
          <w:p w14:paraId="0DFDCEC0" w14:textId="77777777" w:rsidR="00046465" w:rsidRDefault="008134EB">
            <w:pPr>
              <w:pStyle w:val="TableParagraph"/>
              <w:spacing w:before="121"/>
              <w:ind w:left="1519" w:right="172" w:hanging="201"/>
            </w:pPr>
            <w:r>
              <w:rPr>
                <w:color w:val="242424"/>
              </w:rPr>
              <w:t>i.</w:t>
            </w:r>
            <w:r>
              <w:rPr>
                <w:color w:val="242424"/>
                <w:spacing w:val="22"/>
              </w:rPr>
              <w:t xml:space="preserve"> </w:t>
            </w:r>
            <w:r>
              <w:rPr>
                <w:color w:val="242424"/>
              </w:rPr>
              <w:t>Obtain</w:t>
            </w:r>
            <w:r>
              <w:rPr>
                <w:color w:val="242424"/>
                <w:spacing w:val="-5"/>
              </w:rPr>
              <w:t xml:space="preserve"> </w:t>
            </w:r>
            <w:r>
              <w:rPr>
                <w:color w:val="242424"/>
              </w:rPr>
              <w:t>and</w:t>
            </w:r>
            <w:r>
              <w:rPr>
                <w:color w:val="242424"/>
                <w:spacing w:val="-5"/>
              </w:rPr>
              <w:t xml:space="preserve"> </w:t>
            </w:r>
            <w:r>
              <w:rPr>
                <w:color w:val="242424"/>
              </w:rPr>
              <w:t>read</w:t>
            </w:r>
            <w:r>
              <w:rPr>
                <w:color w:val="242424"/>
                <w:spacing w:val="-5"/>
              </w:rPr>
              <w:t xml:space="preserve"> </w:t>
            </w:r>
            <w:r>
              <w:rPr>
                <w:color w:val="242424"/>
              </w:rPr>
              <w:t>available</w:t>
            </w:r>
            <w:r>
              <w:rPr>
                <w:color w:val="242424"/>
                <w:spacing w:val="-5"/>
              </w:rPr>
              <w:t xml:space="preserve"> </w:t>
            </w:r>
            <w:r>
              <w:rPr>
                <w:color w:val="242424"/>
              </w:rPr>
              <w:t>financial</w:t>
            </w:r>
            <w:r>
              <w:rPr>
                <w:color w:val="242424"/>
                <w:spacing w:val="-6"/>
              </w:rPr>
              <w:t xml:space="preserve"> </w:t>
            </w:r>
            <w:r>
              <w:rPr>
                <w:color w:val="242424"/>
              </w:rPr>
              <w:t>statements</w:t>
            </w:r>
            <w:r>
              <w:rPr>
                <w:color w:val="242424"/>
                <w:spacing w:val="-5"/>
              </w:rPr>
              <w:t xml:space="preserve"> </w:t>
            </w:r>
            <w:r>
              <w:rPr>
                <w:color w:val="242424"/>
              </w:rPr>
              <w:t>of</w:t>
            </w:r>
            <w:r>
              <w:rPr>
                <w:color w:val="242424"/>
                <w:spacing w:val="-5"/>
              </w:rPr>
              <w:t xml:space="preserve"> </w:t>
            </w:r>
            <w:r>
              <w:rPr>
                <w:color w:val="242424"/>
              </w:rPr>
              <w:t>the investee and the accompanying audit report, if any, including</w:t>
            </w:r>
            <w:r>
              <w:rPr>
                <w:color w:val="242424"/>
                <w:spacing w:val="-2"/>
              </w:rPr>
              <w:t xml:space="preserve"> </w:t>
            </w:r>
            <w:r>
              <w:rPr>
                <w:color w:val="242424"/>
              </w:rPr>
              <w:t>determining</w:t>
            </w:r>
            <w:r>
              <w:rPr>
                <w:color w:val="242424"/>
                <w:spacing w:val="-2"/>
              </w:rPr>
              <w:t xml:space="preserve"> </w:t>
            </w:r>
            <w:r>
              <w:rPr>
                <w:color w:val="242424"/>
              </w:rPr>
              <w:t>whether</w:t>
            </w:r>
            <w:r>
              <w:rPr>
                <w:color w:val="242424"/>
                <w:spacing w:val="-2"/>
              </w:rPr>
              <w:t xml:space="preserve"> </w:t>
            </w:r>
            <w:r>
              <w:rPr>
                <w:color w:val="242424"/>
              </w:rPr>
              <w:t>the</w:t>
            </w:r>
            <w:r>
              <w:rPr>
                <w:color w:val="242424"/>
                <w:spacing w:val="-2"/>
              </w:rPr>
              <w:t xml:space="preserve"> </w:t>
            </w:r>
            <w:r>
              <w:rPr>
                <w:color w:val="242424"/>
              </w:rPr>
              <w:t>report</w:t>
            </w:r>
            <w:r>
              <w:rPr>
                <w:color w:val="242424"/>
                <w:spacing w:val="-2"/>
              </w:rPr>
              <w:t xml:space="preserve"> </w:t>
            </w:r>
            <w:r>
              <w:rPr>
                <w:color w:val="242424"/>
              </w:rPr>
              <w:t>of</w:t>
            </w:r>
            <w:r>
              <w:rPr>
                <w:color w:val="242424"/>
                <w:spacing w:val="-2"/>
              </w:rPr>
              <w:t xml:space="preserve"> </w:t>
            </w:r>
            <w:r>
              <w:rPr>
                <w:color w:val="242424"/>
              </w:rPr>
              <w:t>the</w:t>
            </w:r>
            <w:r>
              <w:rPr>
                <w:color w:val="242424"/>
                <w:spacing w:val="-3"/>
              </w:rPr>
              <w:t xml:space="preserve"> </w:t>
            </w:r>
            <w:r>
              <w:rPr>
                <w:color w:val="242424"/>
              </w:rPr>
              <w:t>other auditor is satisfactory for this purpose?</w:t>
            </w:r>
          </w:p>
        </w:tc>
        <w:tc>
          <w:tcPr>
            <w:tcW w:w="811" w:type="dxa"/>
            <w:tcBorders>
              <w:top w:val="single" w:sz="8" w:space="0" w:color="000000"/>
              <w:left w:val="single" w:sz="8" w:space="0" w:color="000000"/>
              <w:bottom w:val="single" w:sz="8" w:space="0" w:color="000000"/>
              <w:right w:val="single" w:sz="8" w:space="0" w:color="000000"/>
            </w:tcBorders>
          </w:tcPr>
          <w:p w14:paraId="0DFDCEC1"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C2" w14:textId="77777777" w:rsidR="00046465" w:rsidRDefault="00046465">
            <w:pPr>
              <w:pStyle w:val="TableParagraph"/>
              <w:rPr>
                <w:rFonts w:ascii="Times New Roman"/>
              </w:rPr>
            </w:pPr>
          </w:p>
        </w:tc>
      </w:tr>
      <w:tr w:rsidR="00046465" w14:paraId="0DFDCEC7" w14:textId="77777777">
        <w:trPr>
          <w:trHeight w:val="2264"/>
        </w:trPr>
        <w:tc>
          <w:tcPr>
            <w:tcW w:w="7380" w:type="dxa"/>
            <w:tcBorders>
              <w:top w:val="single" w:sz="8" w:space="0" w:color="000000"/>
              <w:bottom w:val="single" w:sz="8" w:space="0" w:color="000000"/>
              <w:right w:val="single" w:sz="8" w:space="0" w:color="000000"/>
            </w:tcBorders>
          </w:tcPr>
          <w:p w14:paraId="0DFDCEC4" w14:textId="77777777" w:rsidR="00046465" w:rsidRDefault="008134EB">
            <w:pPr>
              <w:pStyle w:val="TableParagraph"/>
              <w:spacing w:before="121"/>
              <w:ind w:left="1519" w:right="172" w:hanging="250"/>
            </w:pPr>
            <w:r>
              <w:rPr>
                <w:color w:val="242424"/>
              </w:rPr>
              <w:t>ii.</w:t>
            </w:r>
            <w:r>
              <w:rPr>
                <w:color w:val="242424"/>
                <w:spacing w:val="23"/>
              </w:rPr>
              <w:t xml:space="preserve"> </w:t>
            </w:r>
            <w:r>
              <w:rPr>
                <w:color w:val="242424"/>
              </w:rPr>
              <w:t>If</w:t>
            </w:r>
            <w:r>
              <w:rPr>
                <w:color w:val="242424"/>
                <w:spacing w:val="-4"/>
              </w:rPr>
              <w:t xml:space="preserve"> </w:t>
            </w:r>
            <w:r>
              <w:rPr>
                <w:color w:val="242424"/>
              </w:rPr>
              <w:t>the</w:t>
            </w:r>
            <w:r>
              <w:rPr>
                <w:color w:val="242424"/>
                <w:spacing w:val="-4"/>
              </w:rPr>
              <w:t xml:space="preserve"> </w:t>
            </w:r>
            <w:r>
              <w:rPr>
                <w:color w:val="242424"/>
              </w:rPr>
              <w:t>investee’s</w:t>
            </w:r>
            <w:r>
              <w:rPr>
                <w:color w:val="242424"/>
                <w:spacing w:val="-4"/>
              </w:rPr>
              <w:t xml:space="preserve"> </w:t>
            </w:r>
            <w:r>
              <w:rPr>
                <w:color w:val="242424"/>
              </w:rPr>
              <w:t>financial</w:t>
            </w:r>
            <w:r>
              <w:rPr>
                <w:color w:val="242424"/>
                <w:spacing w:val="-4"/>
              </w:rPr>
              <w:t xml:space="preserve"> </w:t>
            </w:r>
            <w:r>
              <w:rPr>
                <w:color w:val="242424"/>
              </w:rPr>
              <w:t>statements</w:t>
            </w:r>
            <w:r>
              <w:rPr>
                <w:color w:val="242424"/>
                <w:spacing w:val="-5"/>
              </w:rPr>
              <w:t xml:space="preserve"> </w:t>
            </w:r>
            <w:r>
              <w:rPr>
                <w:color w:val="242424"/>
              </w:rPr>
              <w:t>are</w:t>
            </w:r>
            <w:r>
              <w:rPr>
                <w:color w:val="242424"/>
                <w:spacing w:val="-4"/>
              </w:rPr>
              <w:t xml:space="preserve"> </w:t>
            </w:r>
            <w:r>
              <w:rPr>
                <w:color w:val="242424"/>
              </w:rPr>
              <w:t>not</w:t>
            </w:r>
            <w:r>
              <w:rPr>
                <w:color w:val="242424"/>
                <w:spacing w:val="-4"/>
              </w:rPr>
              <w:t xml:space="preserve"> </w:t>
            </w:r>
            <w:r>
              <w:rPr>
                <w:color w:val="242424"/>
              </w:rPr>
              <w:t>audited,</w:t>
            </w:r>
            <w:r>
              <w:rPr>
                <w:color w:val="242424"/>
                <w:spacing w:val="-4"/>
              </w:rPr>
              <w:t xml:space="preserve"> </w:t>
            </w:r>
            <w:r>
              <w:rPr>
                <w:color w:val="242424"/>
              </w:rPr>
              <w:t>or</w:t>
            </w:r>
            <w:r>
              <w:rPr>
                <w:color w:val="242424"/>
                <w:spacing w:val="-4"/>
              </w:rPr>
              <w:t xml:space="preserve"> </w:t>
            </w:r>
            <w:r>
              <w:rPr>
                <w:color w:val="242424"/>
              </w:rPr>
              <w:t>if the audit report on such financial statements is not satisfactory to the auditor, apply—or request that the investor entity arrange with the investee to have another auditor apply—appropriate auditing procedures to such financial statements, considering the materiality of the investment in relation to the financial statements of the investor entity?</w:t>
            </w:r>
          </w:p>
        </w:tc>
        <w:tc>
          <w:tcPr>
            <w:tcW w:w="811" w:type="dxa"/>
            <w:tcBorders>
              <w:top w:val="single" w:sz="8" w:space="0" w:color="000000"/>
              <w:left w:val="single" w:sz="8" w:space="0" w:color="000000"/>
              <w:bottom w:val="single" w:sz="8" w:space="0" w:color="000000"/>
              <w:right w:val="single" w:sz="8" w:space="0" w:color="000000"/>
            </w:tcBorders>
          </w:tcPr>
          <w:p w14:paraId="0DFDCEC5"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C6" w14:textId="77777777" w:rsidR="00046465" w:rsidRDefault="00046465">
            <w:pPr>
              <w:pStyle w:val="TableParagraph"/>
              <w:rPr>
                <w:rFonts w:ascii="Times New Roman"/>
              </w:rPr>
            </w:pPr>
          </w:p>
        </w:tc>
      </w:tr>
    </w:tbl>
    <w:p w14:paraId="0DFDCEC8"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CEC9" w14:textId="77777777" w:rsidR="00046465" w:rsidRDefault="00046465">
      <w:pPr>
        <w:pStyle w:val="BodyText"/>
        <w:spacing w:before="6"/>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CED0" w14:textId="77777777">
        <w:trPr>
          <w:trHeight w:val="936"/>
        </w:trPr>
        <w:tc>
          <w:tcPr>
            <w:tcW w:w="7380" w:type="dxa"/>
            <w:tcBorders>
              <w:right w:val="single" w:sz="8" w:space="0" w:color="000000"/>
            </w:tcBorders>
            <w:shd w:val="clear" w:color="auto" w:fill="A6A6A6"/>
          </w:tcPr>
          <w:p w14:paraId="0DFDCECA" w14:textId="77777777" w:rsidR="00046465" w:rsidRDefault="00046465">
            <w:pPr>
              <w:pStyle w:val="TableParagraph"/>
              <w:spacing w:before="266"/>
              <w:rPr>
                <w:b/>
                <w:sz w:val="24"/>
              </w:rPr>
            </w:pPr>
          </w:p>
          <w:p w14:paraId="0DFDCECB"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CECC"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CECD" w14:textId="77777777" w:rsidR="00046465" w:rsidRDefault="00046465">
            <w:pPr>
              <w:pStyle w:val="TableParagraph"/>
              <w:rPr>
                <w:b/>
              </w:rPr>
            </w:pPr>
          </w:p>
          <w:p w14:paraId="0DFDCECE" w14:textId="77777777" w:rsidR="00046465" w:rsidRDefault="00046465">
            <w:pPr>
              <w:pStyle w:val="TableParagraph"/>
              <w:spacing w:before="120"/>
              <w:rPr>
                <w:b/>
              </w:rPr>
            </w:pPr>
          </w:p>
          <w:p w14:paraId="0DFDCECF"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CED4" w14:textId="77777777">
        <w:trPr>
          <w:trHeight w:val="1759"/>
        </w:trPr>
        <w:tc>
          <w:tcPr>
            <w:tcW w:w="7380" w:type="dxa"/>
            <w:tcBorders>
              <w:bottom w:val="single" w:sz="8" w:space="0" w:color="000000"/>
              <w:right w:val="single" w:sz="8" w:space="0" w:color="000000"/>
            </w:tcBorders>
          </w:tcPr>
          <w:p w14:paraId="0DFDCED1" w14:textId="77777777" w:rsidR="00046465" w:rsidRDefault="008134EB">
            <w:pPr>
              <w:pStyle w:val="TableParagraph"/>
              <w:spacing w:before="121"/>
              <w:ind w:left="1519" w:right="172" w:hanging="299"/>
            </w:pPr>
            <w:r>
              <w:rPr>
                <w:color w:val="242424"/>
              </w:rPr>
              <w:t>iii.</w:t>
            </w:r>
            <w:r>
              <w:rPr>
                <w:color w:val="242424"/>
                <w:spacing w:val="22"/>
              </w:rPr>
              <w:t xml:space="preserve"> </w:t>
            </w:r>
            <w:r>
              <w:rPr>
                <w:color w:val="242424"/>
              </w:rPr>
              <w:t>If</w:t>
            </w:r>
            <w:r>
              <w:rPr>
                <w:color w:val="242424"/>
                <w:spacing w:val="-4"/>
              </w:rPr>
              <w:t xml:space="preserve"> </w:t>
            </w:r>
            <w:r>
              <w:rPr>
                <w:color w:val="242424"/>
              </w:rPr>
              <w:t>the</w:t>
            </w:r>
            <w:r>
              <w:rPr>
                <w:color w:val="242424"/>
                <w:spacing w:val="-4"/>
              </w:rPr>
              <w:t xml:space="preserve"> </w:t>
            </w:r>
            <w:r>
              <w:rPr>
                <w:color w:val="242424"/>
              </w:rPr>
              <w:t>carrying</w:t>
            </w:r>
            <w:r>
              <w:rPr>
                <w:color w:val="242424"/>
                <w:spacing w:val="-4"/>
              </w:rPr>
              <w:t xml:space="preserve"> </w:t>
            </w:r>
            <w:r>
              <w:rPr>
                <w:color w:val="242424"/>
              </w:rPr>
              <w:t>amount</w:t>
            </w:r>
            <w:r>
              <w:rPr>
                <w:color w:val="242424"/>
                <w:spacing w:val="-4"/>
              </w:rPr>
              <w:t xml:space="preserve"> </w:t>
            </w:r>
            <w:r>
              <w:rPr>
                <w:color w:val="242424"/>
              </w:rPr>
              <w:t>of</w:t>
            </w:r>
            <w:r>
              <w:rPr>
                <w:color w:val="242424"/>
                <w:spacing w:val="-4"/>
              </w:rPr>
              <w:t xml:space="preserve"> </w:t>
            </w:r>
            <w:r>
              <w:rPr>
                <w:color w:val="242424"/>
              </w:rPr>
              <w:t>the</w:t>
            </w:r>
            <w:r>
              <w:rPr>
                <w:color w:val="242424"/>
                <w:spacing w:val="-4"/>
              </w:rPr>
              <w:t xml:space="preserve"> </w:t>
            </w:r>
            <w:r>
              <w:rPr>
                <w:color w:val="242424"/>
              </w:rPr>
              <w:t>investment</w:t>
            </w:r>
            <w:r>
              <w:rPr>
                <w:color w:val="242424"/>
                <w:spacing w:val="-4"/>
              </w:rPr>
              <w:t xml:space="preserve"> </w:t>
            </w:r>
            <w:r>
              <w:rPr>
                <w:color w:val="242424"/>
              </w:rPr>
              <w:t>reflects</w:t>
            </w:r>
            <w:r>
              <w:rPr>
                <w:color w:val="242424"/>
                <w:spacing w:val="-4"/>
              </w:rPr>
              <w:t xml:space="preserve"> </w:t>
            </w:r>
            <w:r>
              <w:rPr>
                <w:color w:val="242424"/>
              </w:rPr>
              <w:t xml:space="preserve">factors that are not recognized in the investee’s financial statements or fair values of assets that are materially different from the investee’s carrying amounts, obtain sufficient appropriate audit evidence regarding such </w:t>
            </w:r>
            <w:r>
              <w:rPr>
                <w:color w:val="242424"/>
                <w:spacing w:val="-2"/>
              </w:rPr>
              <w:t>amounts?</w:t>
            </w:r>
          </w:p>
        </w:tc>
        <w:tc>
          <w:tcPr>
            <w:tcW w:w="811" w:type="dxa"/>
            <w:tcBorders>
              <w:left w:val="single" w:sz="8" w:space="0" w:color="000000"/>
              <w:bottom w:val="single" w:sz="8" w:space="0" w:color="000000"/>
              <w:right w:val="single" w:sz="8" w:space="0" w:color="000000"/>
            </w:tcBorders>
          </w:tcPr>
          <w:p w14:paraId="0DFDCED2" w14:textId="77777777" w:rsidR="00046465" w:rsidRDefault="00046465">
            <w:pPr>
              <w:pStyle w:val="TableParagraph"/>
              <w:rPr>
                <w:rFonts w:ascii="Times New Roman"/>
              </w:rPr>
            </w:pPr>
          </w:p>
        </w:tc>
        <w:tc>
          <w:tcPr>
            <w:tcW w:w="1349" w:type="dxa"/>
            <w:tcBorders>
              <w:left w:val="single" w:sz="8" w:space="0" w:color="000000"/>
              <w:bottom w:val="single" w:sz="8" w:space="0" w:color="000000"/>
            </w:tcBorders>
          </w:tcPr>
          <w:p w14:paraId="0DFDCED3" w14:textId="77777777" w:rsidR="00046465" w:rsidRDefault="00046465">
            <w:pPr>
              <w:pStyle w:val="TableParagraph"/>
              <w:rPr>
                <w:rFonts w:ascii="Times New Roman"/>
              </w:rPr>
            </w:pPr>
          </w:p>
        </w:tc>
      </w:tr>
      <w:tr w:rsidR="00046465" w14:paraId="0DFDCED8" w14:textId="77777777">
        <w:trPr>
          <w:trHeight w:val="1757"/>
        </w:trPr>
        <w:tc>
          <w:tcPr>
            <w:tcW w:w="7380" w:type="dxa"/>
            <w:tcBorders>
              <w:top w:val="single" w:sz="8" w:space="0" w:color="000000"/>
              <w:bottom w:val="single" w:sz="8" w:space="0" w:color="000000"/>
              <w:right w:val="single" w:sz="8" w:space="0" w:color="000000"/>
            </w:tcBorders>
          </w:tcPr>
          <w:p w14:paraId="0DFDCED5" w14:textId="77777777" w:rsidR="00046465" w:rsidRDefault="008134EB">
            <w:pPr>
              <w:pStyle w:val="TableParagraph"/>
              <w:spacing w:before="119"/>
              <w:ind w:left="1519" w:right="100" w:hanging="311"/>
            </w:pPr>
            <w:r>
              <w:rPr>
                <w:color w:val="242424"/>
              </w:rPr>
              <w:t>iv.</w:t>
            </w:r>
            <w:r>
              <w:rPr>
                <w:color w:val="242424"/>
                <w:spacing w:val="31"/>
              </w:rPr>
              <w:t xml:space="preserve"> </w:t>
            </w:r>
            <w:r>
              <w:rPr>
                <w:color w:val="242424"/>
              </w:rPr>
              <w:t>If the difference between the financial statement period of the entity and the investee has or could have a material effect on the entity’s financial statements, determine whether</w:t>
            </w:r>
            <w:r>
              <w:rPr>
                <w:color w:val="242424"/>
                <w:spacing w:val="-7"/>
              </w:rPr>
              <w:t xml:space="preserve"> </w:t>
            </w:r>
            <w:r>
              <w:rPr>
                <w:color w:val="242424"/>
              </w:rPr>
              <w:t>the</w:t>
            </w:r>
            <w:r>
              <w:rPr>
                <w:color w:val="242424"/>
                <w:spacing w:val="-7"/>
              </w:rPr>
              <w:t xml:space="preserve"> </w:t>
            </w:r>
            <w:r>
              <w:rPr>
                <w:color w:val="242424"/>
              </w:rPr>
              <w:t>entity’s</w:t>
            </w:r>
            <w:r>
              <w:rPr>
                <w:color w:val="242424"/>
                <w:spacing w:val="-7"/>
              </w:rPr>
              <w:t xml:space="preserve"> </w:t>
            </w:r>
            <w:r>
              <w:rPr>
                <w:color w:val="242424"/>
              </w:rPr>
              <w:t>management</w:t>
            </w:r>
            <w:r>
              <w:rPr>
                <w:color w:val="242424"/>
                <w:spacing w:val="-7"/>
              </w:rPr>
              <w:t xml:space="preserve"> </w:t>
            </w:r>
            <w:r>
              <w:rPr>
                <w:color w:val="242424"/>
              </w:rPr>
              <w:t>has</w:t>
            </w:r>
            <w:r>
              <w:rPr>
                <w:color w:val="242424"/>
                <w:spacing w:val="-7"/>
              </w:rPr>
              <w:t xml:space="preserve"> </w:t>
            </w:r>
            <w:r>
              <w:rPr>
                <w:color w:val="242424"/>
              </w:rPr>
              <w:t>properly</w:t>
            </w:r>
            <w:r>
              <w:rPr>
                <w:color w:val="242424"/>
                <w:spacing w:val="-7"/>
              </w:rPr>
              <w:t xml:space="preserve"> </w:t>
            </w:r>
            <w:r>
              <w:rPr>
                <w:color w:val="242424"/>
              </w:rPr>
              <w:t>considered the lack of comparability and determine the effect, if any, on the auditor’s report?</w:t>
            </w:r>
          </w:p>
        </w:tc>
        <w:tc>
          <w:tcPr>
            <w:tcW w:w="811" w:type="dxa"/>
            <w:tcBorders>
              <w:top w:val="single" w:sz="8" w:space="0" w:color="000000"/>
              <w:left w:val="single" w:sz="8" w:space="0" w:color="000000"/>
              <w:bottom w:val="single" w:sz="8" w:space="0" w:color="000000"/>
              <w:right w:val="single" w:sz="8" w:space="0" w:color="000000"/>
            </w:tcBorders>
          </w:tcPr>
          <w:p w14:paraId="0DFDCED6"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D7" w14:textId="77777777" w:rsidR="00046465" w:rsidRDefault="00046465">
            <w:pPr>
              <w:pStyle w:val="TableParagraph"/>
              <w:rPr>
                <w:rFonts w:ascii="Times New Roman"/>
              </w:rPr>
            </w:pPr>
          </w:p>
        </w:tc>
      </w:tr>
      <w:tr w:rsidR="00046465" w14:paraId="0DFDCEDC" w14:textId="77777777">
        <w:trPr>
          <w:trHeight w:val="2516"/>
        </w:trPr>
        <w:tc>
          <w:tcPr>
            <w:tcW w:w="7380" w:type="dxa"/>
            <w:tcBorders>
              <w:top w:val="single" w:sz="8" w:space="0" w:color="000000"/>
              <w:bottom w:val="single" w:sz="8" w:space="0" w:color="000000"/>
              <w:right w:val="single" w:sz="8" w:space="0" w:color="000000"/>
            </w:tcBorders>
          </w:tcPr>
          <w:p w14:paraId="0DFDCED9" w14:textId="77777777" w:rsidR="00046465" w:rsidRDefault="008134EB">
            <w:pPr>
              <w:pStyle w:val="TableParagraph"/>
              <w:spacing w:before="121"/>
              <w:ind w:left="1248" w:right="172" w:hanging="360"/>
            </w:pPr>
            <w:r>
              <w:t>b.</w:t>
            </w:r>
            <w:r>
              <w:rPr>
                <w:spacing w:val="80"/>
              </w:rPr>
              <w:t xml:space="preserve"> </w:t>
            </w:r>
            <w:r>
              <w:rPr>
                <w:color w:val="242424"/>
              </w:rPr>
              <w:t>With respect to subsequent events and transactions of the investee occurring after the date of the investee’s financial statements</w:t>
            </w:r>
            <w:r>
              <w:rPr>
                <w:color w:val="242424"/>
                <w:spacing w:val="-3"/>
              </w:rPr>
              <w:t xml:space="preserve"> </w:t>
            </w:r>
            <w:r>
              <w:rPr>
                <w:color w:val="242424"/>
              </w:rPr>
              <w:t>but</w:t>
            </w:r>
            <w:r>
              <w:rPr>
                <w:color w:val="242424"/>
                <w:spacing w:val="-3"/>
              </w:rPr>
              <w:t xml:space="preserve"> </w:t>
            </w:r>
            <w:r>
              <w:rPr>
                <w:color w:val="242424"/>
              </w:rPr>
              <w:t>before</w:t>
            </w:r>
            <w:r>
              <w:rPr>
                <w:color w:val="242424"/>
                <w:spacing w:val="-3"/>
              </w:rPr>
              <w:t xml:space="preserve"> </w:t>
            </w:r>
            <w:r>
              <w:rPr>
                <w:color w:val="242424"/>
              </w:rPr>
              <w:t>the</w:t>
            </w:r>
            <w:r>
              <w:rPr>
                <w:color w:val="242424"/>
                <w:spacing w:val="-3"/>
              </w:rPr>
              <w:t xml:space="preserve"> </w:t>
            </w:r>
            <w:r>
              <w:rPr>
                <w:color w:val="242424"/>
              </w:rPr>
              <w:t>date</w:t>
            </w:r>
            <w:r>
              <w:rPr>
                <w:color w:val="242424"/>
                <w:spacing w:val="-3"/>
              </w:rPr>
              <w:t xml:space="preserve"> </w:t>
            </w:r>
            <w:r>
              <w:rPr>
                <w:color w:val="242424"/>
              </w:rPr>
              <w:t>of</w:t>
            </w:r>
            <w:r>
              <w:rPr>
                <w:color w:val="242424"/>
                <w:spacing w:val="-3"/>
              </w:rPr>
              <w:t xml:space="preserve"> </w:t>
            </w:r>
            <w:r>
              <w:rPr>
                <w:color w:val="242424"/>
              </w:rPr>
              <w:t>the</w:t>
            </w:r>
            <w:r>
              <w:rPr>
                <w:color w:val="242424"/>
                <w:spacing w:val="-3"/>
              </w:rPr>
              <w:t xml:space="preserve"> </w:t>
            </w:r>
            <w:r>
              <w:rPr>
                <w:color w:val="242424"/>
              </w:rPr>
              <w:t>auditor’s</w:t>
            </w:r>
            <w:r>
              <w:rPr>
                <w:color w:val="242424"/>
                <w:spacing w:val="-3"/>
              </w:rPr>
              <w:t xml:space="preserve"> </w:t>
            </w:r>
            <w:r>
              <w:rPr>
                <w:color w:val="242424"/>
              </w:rPr>
              <w:t>report,</w:t>
            </w:r>
            <w:r>
              <w:rPr>
                <w:color w:val="242424"/>
                <w:spacing w:val="-3"/>
              </w:rPr>
              <w:t xml:space="preserve"> </w:t>
            </w:r>
            <w:r>
              <w:rPr>
                <w:color w:val="242424"/>
              </w:rPr>
              <w:t>did</w:t>
            </w:r>
            <w:r>
              <w:rPr>
                <w:color w:val="242424"/>
                <w:spacing w:val="-3"/>
              </w:rPr>
              <w:t xml:space="preserve"> </w:t>
            </w:r>
            <w:r>
              <w:rPr>
                <w:color w:val="242424"/>
              </w:rPr>
              <w:t>the auditor</w:t>
            </w:r>
            <w:r>
              <w:rPr>
                <w:color w:val="242424"/>
                <w:spacing w:val="-6"/>
              </w:rPr>
              <w:t xml:space="preserve"> </w:t>
            </w:r>
            <w:r>
              <w:rPr>
                <w:color w:val="242424"/>
              </w:rPr>
              <w:t>obtain</w:t>
            </w:r>
            <w:r>
              <w:rPr>
                <w:color w:val="242424"/>
                <w:spacing w:val="-6"/>
              </w:rPr>
              <w:t xml:space="preserve"> </w:t>
            </w:r>
            <w:r>
              <w:rPr>
                <w:color w:val="242424"/>
              </w:rPr>
              <w:t>and</w:t>
            </w:r>
            <w:r>
              <w:rPr>
                <w:color w:val="242424"/>
                <w:spacing w:val="-6"/>
              </w:rPr>
              <w:t xml:space="preserve"> </w:t>
            </w:r>
            <w:r>
              <w:rPr>
                <w:color w:val="242424"/>
              </w:rPr>
              <w:t>read</w:t>
            </w:r>
            <w:r>
              <w:rPr>
                <w:color w:val="242424"/>
                <w:spacing w:val="-6"/>
              </w:rPr>
              <w:t xml:space="preserve"> </w:t>
            </w:r>
            <w:r>
              <w:rPr>
                <w:color w:val="242424"/>
              </w:rPr>
              <w:t>available</w:t>
            </w:r>
            <w:r>
              <w:rPr>
                <w:color w:val="242424"/>
                <w:spacing w:val="-7"/>
              </w:rPr>
              <w:t xml:space="preserve"> </w:t>
            </w:r>
            <w:r>
              <w:rPr>
                <w:color w:val="242424"/>
              </w:rPr>
              <w:t>interim</w:t>
            </w:r>
            <w:r>
              <w:rPr>
                <w:color w:val="242424"/>
                <w:spacing w:val="-7"/>
              </w:rPr>
              <w:t xml:space="preserve"> </w:t>
            </w:r>
            <w:r>
              <w:rPr>
                <w:color w:val="242424"/>
              </w:rPr>
              <w:t>financial</w:t>
            </w:r>
            <w:r>
              <w:rPr>
                <w:color w:val="242424"/>
                <w:spacing w:val="-6"/>
              </w:rPr>
              <w:t xml:space="preserve"> </w:t>
            </w:r>
            <w:r>
              <w:rPr>
                <w:color w:val="242424"/>
              </w:rPr>
              <w:t>statements of the investee and make appropriate inquiries of management of the investor to identify such events and transactions that may be material to the investor’s financial statements</w:t>
            </w:r>
            <w:r>
              <w:rPr>
                <w:color w:val="242424"/>
                <w:spacing w:val="-1"/>
              </w:rPr>
              <w:t xml:space="preserve"> </w:t>
            </w:r>
            <w:r>
              <w:rPr>
                <w:color w:val="242424"/>
              </w:rPr>
              <w:t>and</w:t>
            </w:r>
            <w:r>
              <w:rPr>
                <w:color w:val="242424"/>
                <w:spacing w:val="-1"/>
              </w:rPr>
              <w:t xml:space="preserve"> </w:t>
            </w:r>
            <w:r>
              <w:rPr>
                <w:color w:val="242424"/>
              </w:rPr>
              <w:t>that</w:t>
            </w:r>
            <w:r>
              <w:rPr>
                <w:color w:val="242424"/>
                <w:spacing w:val="-1"/>
              </w:rPr>
              <w:t xml:space="preserve"> </w:t>
            </w:r>
            <w:r>
              <w:rPr>
                <w:color w:val="242424"/>
              </w:rPr>
              <w:t>may</w:t>
            </w:r>
            <w:r>
              <w:rPr>
                <w:color w:val="242424"/>
                <w:spacing w:val="-1"/>
              </w:rPr>
              <w:t xml:space="preserve"> </w:t>
            </w:r>
            <w:r>
              <w:rPr>
                <w:color w:val="242424"/>
              </w:rPr>
              <w:t>need</w:t>
            </w:r>
            <w:r>
              <w:rPr>
                <w:color w:val="242424"/>
                <w:spacing w:val="-1"/>
              </w:rPr>
              <w:t xml:space="preserve"> </w:t>
            </w:r>
            <w:r>
              <w:rPr>
                <w:color w:val="242424"/>
              </w:rPr>
              <w:t>to</w:t>
            </w:r>
            <w:r>
              <w:rPr>
                <w:color w:val="242424"/>
                <w:spacing w:val="-1"/>
              </w:rPr>
              <w:t xml:space="preserve"> </w:t>
            </w:r>
            <w:r>
              <w:rPr>
                <w:color w:val="242424"/>
              </w:rPr>
              <w:t>be</w:t>
            </w:r>
            <w:r>
              <w:rPr>
                <w:color w:val="242424"/>
                <w:spacing w:val="-2"/>
              </w:rPr>
              <w:t xml:space="preserve"> </w:t>
            </w:r>
            <w:r>
              <w:rPr>
                <w:color w:val="242424"/>
              </w:rPr>
              <w:t>recognized</w:t>
            </w:r>
            <w:r>
              <w:rPr>
                <w:color w:val="242424"/>
                <w:spacing w:val="-2"/>
              </w:rPr>
              <w:t xml:space="preserve"> </w:t>
            </w:r>
            <w:r>
              <w:rPr>
                <w:color w:val="242424"/>
              </w:rPr>
              <w:t>or</w:t>
            </w:r>
            <w:r>
              <w:rPr>
                <w:color w:val="242424"/>
                <w:spacing w:val="-1"/>
              </w:rPr>
              <w:t xml:space="preserve"> </w:t>
            </w:r>
            <w:r>
              <w:rPr>
                <w:color w:val="242424"/>
              </w:rPr>
              <w:t>disclosed in the investor’s financial statements?</w:t>
            </w:r>
          </w:p>
        </w:tc>
        <w:tc>
          <w:tcPr>
            <w:tcW w:w="811" w:type="dxa"/>
            <w:tcBorders>
              <w:top w:val="single" w:sz="8" w:space="0" w:color="000000"/>
              <w:left w:val="single" w:sz="8" w:space="0" w:color="000000"/>
              <w:bottom w:val="single" w:sz="8" w:space="0" w:color="000000"/>
              <w:right w:val="single" w:sz="8" w:space="0" w:color="000000"/>
            </w:tcBorders>
          </w:tcPr>
          <w:p w14:paraId="0DFDCEDA"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DB" w14:textId="77777777" w:rsidR="00046465" w:rsidRDefault="00046465">
            <w:pPr>
              <w:pStyle w:val="TableParagraph"/>
              <w:rPr>
                <w:rFonts w:ascii="Times New Roman"/>
              </w:rPr>
            </w:pPr>
          </w:p>
        </w:tc>
      </w:tr>
      <w:tr w:rsidR="00046465" w14:paraId="0DFDCEE0" w14:textId="77777777">
        <w:trPr>
          <w:trHeight w:val="493"/>
        </w:trPr>
        <w:tc>
          <w:tcPr>
            <w:tcW w:w="7380" w:type="dxa"/>
            <w:tcBorders>
              <w:top w:val="single" w:sz="8" w:space="0" w:color="000000"/>
              <w:bottom w:val="single" w:sz="8" w:space="0" w:color="000000"/>
              <w:right w:val="single" w:sz="8" w:space="0" w:color="000000"/>
            </w:tcBorders>
          </w:tcPr>
          <w:p w14:paraId="0DFDCEDD" w14:textId="77777777" w:rsidR="00046465" w:rsidRDefault="008134EB">
            <w:pPr>
              <w:pStyle w:val="TableParagraph"/>
              <w:spacing w:before="121"/>
              <w:ind w:left="483"/>
              <w:rPr>
                <w:b/>
              </w:rPr>
            </w:pPr>
            <w:r>
              <w:t>15.</w:t>
            </w:r>
            <w:r>
              <w:rPr>
                <w:spacing w:val="-15"/>
              </w:rPr>
              <w:t xml:space="preserve"> </w:t>
            </w:r>
            <w:r>
              <w:rPr>
                <w:b/>
              </w:rPr>
              <w:t>Inventories</w:t>
            </w:r>
            <w:r>
              <w:rPr>
                <w:b/>
                <w:spacing w:val="-8"/>
              </w:rPr>
              <w:t xml:space="preserve"> </w:t>
            </w:r>
            <w:r>
              <w:rPr>
                <w:b/>
              </w:rPr>
              <w:t>(AU-C</w:t>
            </w:r>
            <w:r>
              <w:rPr>
                <w:b/>
                <w:spacing w:val="-9"/>
              </w:rPr>
              <w:t xml:space="preserve"> </w:t>
            </w:r>
            <w:r>
              <w:rPr>
                <w:b/>
                <w:spacing w:val="-4"/>
              </w:rPr>
              <w:t>501)</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EDE"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EDF" w14:textId="77777777" w:rsidR="00046465" w:rsidRDefault="00046465">
            <w:pPr>
              <w:pStyle w:val="TableParagraph"/>
              <w:rPr>
                <w:rFonts w:ascii="Times New Roman"/>
              </w:rPr>
            </w:pPr>
          </w:p>
        </w:tc>
      </w:tr>
      <w:tr w:rsidR="00046465" w14:paraId="0DFDCEE4" w14:textId="77777777">
        <w:trPr>
          <w:trHeight w:val="2264"/>
        </w:trPr>
        <w:tc>
          <w:tcPr>
            <w:tcW w:w="7380" w:type="dxa"/>
            <w:tcBorders>
              <w:top w:val="single" w:sz="8" w:space="0" w:color="000000"/>
              <w:bottom w:val="single" w:sz="8" w:space="0" w:color="000000"/>
              <w:right w:val="single" w:sz="8" w:space="0" w:color="000000"/>
            </w:tcBorders>
          </w:tcPr>
          <w:p w14:paraId="0DFDCEE1" w14:textId="77777777" w:rsidR="00046465" w:rsidRDefault="008134EB">
            <w:pPr>
              <w:pStyle w:val="TableParagraph"/>
              <w:spacing w:before="119"/>
              <w:ind w:left="1203" w:right="172" w:hanging="360"/>
            </w:pPr>
            <w:r>
              <w:rPr>
                <w:color w:val="242424"/>
              </w:rPr>
              <w:t>a.</w:t>
            </w:r>
            <w:r>
              <w:rPr>
                <w:color w:val="242424"/>
                <w:spacing w:val="80"/>
              </w:rPr>
              <w:t xml:space="preserve"> </w:t>
            </w:r>
            <w:r>
              <w:rPr>
                <w:color w:val="242424"/>
              </w:rPr>
              <w:t xml:space="preserve">Did the auditor consider the effects of </w:t>
            </w:r>
            <w:r>
              <w:t>SFFAS 48, Opening Balances for Inventory, Operating Materials and Supplies, and</w:t>
            </w:r>
            <w:r>
              <w:rPr>
                <w:spacing w:val="-4"/>
              </w:rPr>
              <w:t xml:space="preserve"> </w:t>
            </w:r>
            <w:r>
              <w:t>Stockpile</w:t>
            </w:r>
            <w:r>
              <w:rPr>
                <w:spacing w:val="-4"/>
              </w:rPr>
              <w:t xml:space="preserve"> </w:t>
            </w:r>
            <w:r>
              <w:t>Materials</w:t>
            </w:r>
            <w:r>
              <w:rPr>
                <w:spacing w:val="-4"/>
              </w:rPr>
              <w:t xml:space="preserve"> </w:t>
            </w:r>
            <w:r>
              <w:t>if</w:t>
            </w:r>
            <w:r>
              <w:rPr>
                <w:spacing w:val="-4"/>
              </w:rPr>
              <w:t xml:space="preserve"> </w:t>
            </w:r>
            <w:r>
              <w:t>applied</w:t>
            </w:r>
            <w:r>
              <w:rPr>
                <w:spacing w:val="-4"/>
              </w:rPr>
              <w:t xml:space="preserve"> </w:t>
            </w:r>
            <w:r>
              <w:t>by</w:t>
            </w:r>
            <w:r>
              <w:rPr>
                <w:spacing w:val="-5"/>
              </w:rPr>
              <w:t xml:space="preserve"> </w:t>
            </w:r>
            <w:r>
              <w:t>the</w:t>
            </w:r>
            <w:r>
              <w:rPr>
                <w:spacing w:val="-4"/>
              </w:rPr>
              <w:t xml:space="preserve"> </w:t>
            </w:r>
            <w:r>
              <w:t>entity?</w:t>
            </w:r>
            <w:r>
              <w:rPr>
                <w:spacing w:val="-4"/>
              </w:rPr>
              <w:t xml:space="preserve"> </w:t>
            </w:r>
            <w:r>
              <w:t>SFFAS</w:t>
            </w:r>
            <w:r>
              <w:rPr>
                <w:spacing w:val="-4"/>
              </w:rPr>
              <w:t xml:space="preserve"> </w:t>
            </w:r>
            <w:r>
              <w:t>48</w:t>
            </w:r>
            <w:r>
              <w:rPr>
                <w:spacing w:val="-4"/>
              </w:rPr>
              <w:t xml:space="preserve"> </w:t>
            </w:r>
            <w:r>
              <w:t>is intended to provide an alternative valuation method to adoption</w:t>
            </w:r>
            <w:r>
              <w:rPr>
                <w:spacing w:val="-2"/>
              </w:rPr>
              <w:t xml:space="preserve"> </w:t>
            </w:r>
            <w:r>
              <w:t>of</w:t>
            </w:r>
            <w:r>
              <w:rPr>
                <w:spacing w:val="-3"/>
              </w:rPr>
              <w:t xml:space="preserve"> </w:t>
            </w:r>
            <w:r>
              <w:t>U.S.</w:t>
            </w:r>
            <w:r>
              <w:rPr>
                <w:spacing w:val="-2"/>
              </w:rPr>
              <w:t xml:space="preserve"> </w:t>
            </w:r>
            <w:r>
              <w:t>GAAP</w:t>
            </w:r>
            <w:r>
              <w:rPr>
                <w:spacing w:val="-1"/>
              </w:rPr>
              <w:t xml:space="preserve"> </w:t>
            </w:r>
            <w:r>
              <w:t>when</w:t>
            </w:r>
            <w:r>
              <w:rPr>
                <w:spacing w:val="-2"/>
              </w:rPr>
              <w:t xml:space="preserve"> </w:t>
            </w:r>
            <w:r>
              <w:t>historical</w:t>
            </w:r>
            <w:r>
              <w:rPr>
                <w:spacing w:val="-2"/>
              </w:rPr>
              <w:t xml:space="preserve"> </w:t>
            </w:r>
            <w:r>
              <w:t>records</w:t>
            </w:r>
            <w:r>
              <w:rPr>
                <w:spacing w:val="-3"/>
              </w:rPr>
              <w:t xml:space="preserve"> </w:t>
            </w:r>
            <w:r>
              <w:t>and</w:t>
            </w:r>
            <w:r>
              <w:rPr>
                <w:spacing w:val="-2"/>
              </w:rPr>
              <w:t xml:space="preserve"> </w:t>
            </w:r>
            <w:r>
              <w:t>systems do not provide a basis for valuation of opening balances in accordance with SFFAS 3, Accounting for Inventory and Related Property.</w:t>
            </w:r>
          </w:p>
        </w:tc>
        <w:tc>
          <w:tcPr>
            <w:tcW w:w="811" w:type="dxa"/>
            <w:tcBorders>
              <w:top w:val="single" w:sz="8" w:space="0" w:color="000000"/>
              <w:left w:val="single" w:sz="8" w:space="0" w:color="000000"/>
              <w:bottom w:val="single" w:sz="8" w:space="0" w:color="000000"/>
              <w:right w:val="single" w:sz="8" w:space="0" w:color="000000"/>
            </w:tcBorders>
          </w:tcPr>
          <w:p w14:paraId="0DFDCEE2"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E3" w14:textId="77777777" w:rsidR="00046465" w:rsidRDefault="00046465">
            <w:pPr>
              <w:pStyle w:val="TableParagraph"/>
              <w:rPr>
                <w:rFonts w:ascii="Times New Roman"/>
              </w:rPr>
            </w:pPr>
          </w:p>
        </w:tc>
      </w:tr>
    </w:tbl>
    <w:p w14:paraId="0DFDCEE5"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CEE6" w14:textId="77777777" w:rsidR="00046465" w:rsidRDefault="00046465">
      <w:pPr>
        <w:pStyle w:val="BodyText"/>
        <w:spacing w:before="6"/>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CEED" w14:textId="77777777">
        <w:trPr>
          <w:trHeight w:val="936"/>
        </w:trPr>
        <w:tc>
          <w:tcPr>
            <w:tcW w:w="7380" w:type="dxa"/>
            <w:tcBorders>
              <w:right w:val="single" w:sz="8" w:space="0" w:color="000000"/>
            </w:tcBorders>
            <w:shd w:val="clear" w:color="auto" w:fill="A6A6A6"/>
          </w:tcPr>
          <w:p w14:paraId="0DFDCEE7" w14:textId="77777777" w:rsidR="00046465" w:rsidRDefault="00046465">
            <w:pPr>
              <w:pStyle w:val="TableParagraph"/>
              <w:spacing w:before="266"/>
              <w:rPr>
                <w:b/>
                <w:sz w:val="24"/>
              </w:rPr>
            </w:pPr>
          </w:p>
          <w:p w14:paraId="0DFDCEE8"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CEE9"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CEEA" w14:textId="77777777" w:rsidR="00046465" w:rsidRDefault="00046465">
            <w:pPr>
              <w:pStyle w:val="TableParagraph"/>
              <w:rPr>
                <w:b/>
              </w:rPr>
            </w:pPr>
          </w:p>
          <w:p w14:paraId="0DFDCEEB" w14:textId="77777777" w:rsidR="00046465" w:rsidRDefault="00046465">
            <w:pPr>
              <w:pStyle w:val="TableParagraph"/>
              <w:spacing w:before="120"/>
              <w:rPr>
                <w:b/>
              </w:rPr>
            </w:pPr>
          </w:p>
          <w:p w14:paraId="0DFDCEEC"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CEF7" w14:textId="77777777">
        <w:trPr>
          <w:trHeight w:val="4562"/>
        </w:trPr>
        <w:tc>
          <w:tcPr>
            <w:tcW w:w="7380" w:type="dxa"/>
            <w:tcBorders>
              <w:bottom w:val="single" w:sz="8" w:space="0" w:color="000000"/>
              <w:right w:val="single" w:sz="8" w:space="0" w:color="000000"/>
            </w:tcBorders>
          </w:tcPr>
          <w:p w14:paraId="0DFDCEEE" w14:textId="77777777" w:rsidR="00046465" w:rsidRDefault="008134EB">
            <w:pPr>
              <w:pStyle w:val="TableParagraph"/>
              <w:numPr>
                <w:ilvl w:val="0"/>
                <w:numId w:val="51"/>
              </w:numPr>
              <w:tabs>
                <w:tab w:val="left" w:pos="1203"/>
              </w:tabs>
              <w:spacing w:before="121"/>
              <w:ind w:right="467"/>
              <w:jc w:val="both"/>
            </w:pPr>
            <w:r>
              <w:rPr>
                <w:color w:val="242424"/>
              </w:rPr>
              <w:t>Did</w:t>
            </w:r>
            <w:r>
              <w:rPr>
                <w:color w:val="242424"/>
                <w:spacing w:val="-6"/>
              </w:rPr>
              <w:t xml:space="preserve"> </w:t>
            </w:r>
            <w:r>
              <w:rPr>
                <w:color w:val="242424"/>
              </w:rPr>
              <w:t>the</w:t>
            </w:r>
            <w:r>
              <w:rPr>
                <w:color w:val="242424"/>
                <w:spacing w:val="-6"/>
              </w:rPr>
              <w:t xml:space="preserve"> </w:t>
            </w:r>
            <w:r>
              <w:rPr>
                <w:color w:val="242424"/>
              </w:rPr>
              <w:t>auditor</w:t>
            </w:r>
            <w:r>
              <w:rPr>
                <w:color w:val="242424"/>
                <w:spacing w:val="-6"/>
              </w:rPr>
              <w:t xml:space="preserve"> </w:t>
            </w:r>
            <w:r>
              <w:rPr>
                <w:color w:val="242424"/>
              </w:rPr>
              <w:t>obtain</w:t>
            </w:r>
            <w:r>
              <w:rPr>
                <w:color w:val="242424"/>
                <w:spacing w:val="-6"/>
              </w:rPr>
              <w:t xml:space="preserve"> </w:t>
            </w:r>
            <w:r>
              <w:rPr>
                <w:color w:val="242424"/>
              </w:rPr>
              <w:t>sufficient</w:t>
            </w:r>
            <w:r>
              <w:rPr>
                <w:color w:val="242424"/>
                <w:spacing w:val="-6"/>
              </w:rPr>
              <w:t xml:space="preserve"> </w:t>
            </w:r>
            <w:r>
              <w:rPr>
                <w:color w:val="242424"/>
              </w:rPr>
              <w:t>appropriate</w:t>
            </w:r>
            <w:r>
              <w:rPr>
                <w:color w:val="242424"/>
                <w:spacing w:val="-6"/>
              </w:rPr>
              <w:t xml:space="preserve"> </w:t>
            </w:r>
            <w:r>
              <w:rPr>
                <w:color w:val="242424"/>
              </w:rPr>
              <w:t>audit</w:t>
            </w:r>
            <w:r>
              <w:rPr>
                <w:color w:val="242424"/>
                <w:spacing w:val="-7"/>
              </w:rPr>
              <w:t xml:space="preserve"> </w:t>
            </w:r>
            <w:r>
              <w:rPr>
                <w:color w:val="242424"/>
              </w:rPr>
              <w:t>evidence regarding the existence and condition of inventory by</w:t>
            </w:r>
          </w:p>
          <w:p w14:paraId="0DFDCEEF" w14:textId="77777777" w:rsidR="00046465" w:rsidRDefault="008134EB">
            <w:pPr>
              <w:pStyle w:val="TableParagraph"/>
              <w:numPr>
                <w:ilvl w:val="1"/>
                <w:numId w:val="51"/>
              </w:numPr>
              <w:tabs>
                <w:tab w:val="left" w:pos="1517"/>
                <w:tab w:val="left" w:pos="1519"/>
              </w:tabs>
              <w:spacing w:before="119"/>
              <w:ind w:right="1459"/>
              <w:jc w:val="both"/>
            </w:pPr>
            <w:r>
              <w:rPr>
                <w:color w:val="242424"/>
              </w:rPr>
              <w:t>attending</w:t>
            </w:r>
            <w:r>
              <w:rPr>
                <w:color w:val="242424"/>
                <w:spacing w:val="-9"/>
              </w:rPr>
              <w:t xml:space="preserve"> </w:t>
            </w:r>
            <w:r>
              <w:rPr>
                <w:color w:val="242424"/>
              </w:rPr>
              <w:t>physical</w:t>
            </w:r>
            <w:r>
              <w:rPr>
                <w:color w:val="242424"/>
                <w:spacing w:val="-9"/>
              </w:rPr>
              <w:t xml:space="preserve"> </w:t>
            </w:r>
            <w:r>
              <w:rPr>
                <w:color w:val="242424"/>
              </w:rPr>
              <w:t>inventory</w:t>
            </w:r>
            <w:r>
              <w:rPr>
                <w:color w:val="242424"/>
                <w:spacing w:val="-9"/>
              </w:rPr>
              <w:t xml:space="preserve"> </w:t>
            </w:r>
            <w:r>
              <w:rPr>
                <w:color w:val="242424"/>
              </w:rPr>
              <w:t>counting,</w:t>
            </w:r>
            <w:r>
              <w:rPr>
                <w:color w:val="242424"/>
                <w:spacing w:val="-9"/>
              </w:rPr>
              <w:t xml:space="preserve"> </w:t>
            </w:r>
            <w:r>
              <w:rPr>
                <w:color w:val="242424"/>
              </w:rPr>
              <w:t>unless impracticable, to</w:t>
            </w:r>
          </w:p>
          <w:p w14:paraId="0DFDCEF0" w14:textId="77777777" w:rsidR="00046465" w:rsidRDefault="008134EB">
            <w:pPr>
              <w:pStyle w:val="TableParagraph"/>
              <w:numPr>
                <w:ilvl w:val="2"/>
                <w:numId w:val="51"/>
              </w:numPr>
              <w:tabs>
                <w:tab w:val="left" w:pos="1969"/>
              </w:tabs>
              <w:spacing w:before="120"/>
              <w:ind w:right="216"/>
              <w:jc w:val="both"/>
            </w:pPr>
            <w:r>
              <w:rPr>
                <w:color w:val="242424"/>
              </w:rPr>
              <w:t>evaluate management’s instructions and procedures for</w:t>
            </w:r>
            <w:r>
              <w:rPr>
                <w:color w:val="242424"/>
                <w:spacing w:val="-5"/>
              </w:rPr>
              <w:t xml:space="preserve"> </w:t>
            </w:r>
            <w:r>
              <w:rPr>
                <w:color w:val="242424"/>
              </w:rPr>
              <w:t>recording</w:t>
            </w:r>
            <w:r>
              <w:rPr>
                <w:color w:val="242424"/>
                <w:spacing w:val="-5"/>
              </w:rPr>
              <w:t xml:space="preserve"> </w:t>
            </w:r>
            <w:r>
              <w:rPr>
                <w:color w:val="242424"/>
              </w:rPr>
              <w:t>and</w:t>
            </w:r>
            <w:r>
              <w:rPr>
                <w:color w:val="242424"/>
                <w:spacing w:val="-5"/>
              </w:rPr>
              <w:t xml:space="preserve"> </w:t>
            </w:r>
            <w:r>
              <w:rPr>
                <w:color w:val="242424"/>
              </w:rPr>
              <w:t>controlling</w:t>
            </w:r>
            <w:r>
              <w:rPr>
                <w:color w:val="242424"/>
                <w:spacing w:val="-5"/>
              </w:rPr>
              <w:t xml:space="preserve"> </w:t>
            </w:r>
            <w:r>
              <w:rPr>
                <w:color w:val="242424"/>
              </w:rPr>
              <w:t>the</w:t>
            </w:r>
            <w:r>
              <w:rPr>
                <w:color w:val="242424"/>
                <w:spacing w:val="-5"/>
              </w:rPr>
              <w:t xml:space="preserve"> </w:t>
            </w:r>
            <w:r>
              <w:rPr>
                <w:color w:val="242424"/>
              </w:rPr>
              <w:t>results</w:t>
            </w:r>
            <w:r>
              <w:rPr>
                <w:color w:val="242424"/>
                <w:spacing w:val="-5"/>
              </w:rPr>
              <w:t xml:space="preserve"> </w:t>
            </w:r>
            <w:r>
              <w:rPr>
                <w:color w:val="242424"/>
              </w:rPr>
              <w:t>of</w:t>
            </w:r>
            <w:r>
              <w:rPr>
                <w:color w:val="242424"/>
                <w:spacing w:val="-5"/>
              </w:rPr>
              <w:t xml:space="preserve"> </w:t>
            </w:r>
            <w:r>
              <w:rPr>
                <w:color w:val="242424"/>
              </w:rPr>
              <w:t>the</w:t>
            </w:r>
            <w:r>
              <w:rPr>
                <w:color w:val="242424"/>
                <w:spacing w:val="-5"/>
              </w:rPr>
              <w:t xml:space="preserve"> </w:t>
            </w:r>
            <w:r>
              <w:rPr>
                <w:color w:val="242424"/>
              </w:rPr>
              <w:t>entity’s physical inventory counting,</w:t>
            </w:r>
          </w:p>
          <w:p w14:paraId="0DFDCEF1" w14:textId="77777777" w:rsidR="00046465" w:rsidRDefault="008134EB">
            <w:pPr>
              <w:pStyle w:val="TableParagraph"/>
              <w:numPr>
                <w:ilvl w:val="2"/>
                <w:numId w:val="51"/>
              </w:numPr>
              <w:tabs>
                <w:tab w:val="left" w:pos="1969"/>
              </w:tabs>
              <w:spacing w:before="119"/>
              <w:ind w:right="584"/>
            </w:pPr>
            <w:r>
              <w:rPr>
                <w:color w:val="242424"/>
              </w:rPr>
              <w:t>observe</w:t>
            </w:r>
            <w:r>
              <w:rPr>
                <w:color w:val="242424"/>
                <w:spacing w:val="-8"/>
              </w:rPr>
              <w:t xml:space="preserve"> </w:t>
            </w:r>
            <w:r>
              <w:rPr>
                <w:color w:val="242424"/>
              </w:rPr>
              <w:t>the</w:t>
            </w:r>
            <w:r>
              <w:rPr>
                <w:color w:val="242424"/>
                <w:spacing w:val="-9"/>
              </w:rPr>
              <w:t xml:space="preserve"> </w:t>
            </w:r>
            <w:r>
              <w:rPr>
                <w:color w:val="242424"/>
              </w:rPr>
              <w:t>performance</w:t>
            </w:r>
            <w:r>
              <w:rPr>
                <w:color w:val="242424"/>
                <w:spacing w:val="-8"/>
              </w:rPr>
              <w:t xml:space="preserve"> </w:t>
            </w:r>
            <w:r>
              <w:rPr>
                <w:color w:val="242424"/>
              </w:rPr>
              <w:t>of</w:t>
            </w:r>
            <w:r>
              <w:rPr>
                <w:color w:val="242424"/>
                <w:spacing w:val="-8"/>
              </w:rPr>
              <w:t xml:space="preserve"> </w:t>
            </w:r>
            <w:r>
              <w:rPr>
                <w:color w:val="242424"/>
              </w:rPr>
              <w:t>management’s</w:t>
            </w:r>
            <w:r>
              <w:rPr>
                <w:color w:val="242424"/>
                <w:spacing w:val="-8"/>
              </w:rPr>
              <w:t xml:space="preserve"> </w:t>
            </w:r>
            <w:r>
              <w:rPr>
                <w:color w:val="242424"/>
              </w:rPr>
              <w:t xml:space="preserve">count </w:t>
            </w:r>
            <w:r>
              <w:rPr>
                <w:color w:val="242424"/>
                <w:spacing w:val="-2"/>
              </w:rPr>
              <w:t>procedures,</w:t>
            </w:r>
          </w:p>
          <w:p w14:paraId="0DFDCEF2" w14:textId="77777777" w:rsidR="00046465" w:rsidRDefault="008134EB">
            <w:pPr>
              <w:pStyle w:val="TableParagraph"/>
              <w:numPr>
                <w:ilvl w:val="2"/>
                <w:numId w:val="51"/>
              </w:numPr>
              <w:tabs>
                <w:tab w:val="left" w:pos="1969"/>
              </w:tabs>
              <w:spacing w:before="118"/>
            </w:pPr>
            <w:r>
              <w:rPr>
                <w:color w:val="242424"/>
              </w:rPr>
              <w:t>inspect</w:t>
            </w:r>
            <w:r>
              <w:rPr>
                <w:color w:val="242424"/>
                <w:spacing w:val="-7"/>
              </w:rPr>
              <w:t xml:space="preserve"> </w:t>
            </w:r>
            <w:r>
              <w:rPr>
                <w:color w:val="242424"/>
              </w:rPr>
              <w:t>the</w:t>
            </w:r>
            <w:r>
              <w:rPr>
                <w:color w:val="242424"/>
                <w:spacing w:val="-8"/>
              </w:rPr>
              <w:t xml:space="preserve"> </w:t>
            </w:r>
            <w:r>
              <w:rPr>
                <w:color w:val="242424"/>
              </w:rPr>
              <w:t>inventory,</w:t>
            </w:r>
            <w:r>
              <w:rPr>
                <w:color w:val="242424"/>
                <w:spacing w:val="-7"/>
              </w:rPr>
              <w:t xml:space="preserve"> </w:t>
            </w:r>
            <w:r>
              <w:rPr>
                <w:color w:val="242424"/>
                <w:spacing w:val="-5"/>
              </w:rPr>
              <w:t>and</w:t>
            </w:r>
          </w:p>
          <w:p w14:paraId="0DFDCEF3" w14:textId="77777777" w:rsidR="00046465" w:rsidRDefault="008134EB">
            <w:pPr>
              <w:pStyle w:val="TableParagraph"/>
              <w:numPr>
                <w:ilvl w:val="2"/>
                <w:numId w:val="51"/>
              </w:numPr>
              <w:tabs>
                <w:tab w:val="left" w:pos="1969"/>
              </w:tabs>
              <w:spacing w:before="118"/>
            </w:pPr>
            <w:r>
              <w:rPr>
                <w:color w:val="242424"/>
              </w:rPr>
              <w:t>perform</w:t>
            </w:r>
            <w:r>
              <w:rPr>
                <w:color w:val="242424"/>
                <w:spacing w:val="-7"/>
              </w:rPr>
              <w:t xml:space="preserve"> </w:t>
            </w:r>
            <w:r>
              <w:rPr>
                <w:color w:val="242424"/>
              </w:rPr>
              <w:t>test</w:t>
            </w:r>
            <w:r>
              <w:rPr>
                <w:color w:val="242424"/>
                <w:spacing w:val="-6"/>
              </w:rPr>
              <w:t xml:space="preserve"> </w:t>
            </w:r>
            <w:r>
              <w:rPr>
                <w:color w:val="242424"/>
                <w:spacing w:val="-2"/>
              </w:rPr>
              <w:t>counts?</w:t>
            </w:r>
          </w:p>
          <w:p w14:paraId="0DFDCEF4" w14:textId="77777777" w:rsidR="00046465" w:rsidRDefault="008134EB">
            <w:pPr>
              <w:pStyle w:val="TableParagraph"/>
              <w:numPr>
                <w:ilvl w:val="1"/>
                <w:numId w:val="51"/>
              </w:numPr>
              <w:tabs>
                <w:tab w:val="left" w:pos="1563"/>
              </w:tabs>
              <w:spacing w:before="119"/>
              <w:ind w:left="1563" w:right="682" w:hanging="384"/>
            </w:pPr>
            <w:r>
              <w:rPr>
                <w:color w:val="242424"/>
              </w:rPr>
              <w:t>performing audit procedures over the entity’s final inventory</w:t>
            </w:r>
            <w:r>
              <w:rPr>
                <w:color w:val="242424"/>
                <w:spacing w:val="-7"/>
              </w:rPr>
              <w:t xml:space="preserve"> </w:t>
            </w:r>
            <w:r>
              <w:rPr>
                <w:color w:val="242424"/>
              </w:rPr>
              <w:t>records</w:t>
            </w:r>
            <w:r>
              <w:rPr>
                <w:color w:val="242424"/>
                <w:spacing w:val="-7"/>
              </w:rPr>
              <w:t xml:space="preserve"> </w:t>
            </w:r>
            <w:r>
              <w:rPr>
                <w:color w:val="242424"/>
              </w:rPr>
              <w:t>to</w:t>
            </w:r>
            <w:r>
              <w:rPr>
                <w:color w:val="242424"/>
                <w:spacing w:val="-7"/>
              </w:rPr>
              <w:t xml:space="preserve"> </w:t>
            </w:r>
            <w:r>
              <w:rPr>
                <w:color w:val="242424"/>
              </w:rPr>
              <w:t>determine</w:t>
            </w:r>
            <w:r>
              <w:rPr>
                <w:color w:val="242424"/>
                <w:spacing w:val="-7"/>
              </w:rPr>
              <w:t xml:space="preserve"> </w:t>
            </w:r>
            <w:r>
              <w:rPr>
                <w:color w:val="242424"/>
              </w:rPr>
              <w:t>whether</w:t>
            </w:r>
            <w:r>
              <w:rPr>
                <w:color w:val="242424"/>
                <w:spacing w:val="-7"/>
              </w:rPr>
              <w:t xml:space="preserve"> </w:t>
            </w:r>
            <w:r>
              <w:rPr>
                <w:color w:val="242424"/>
              </w:rPr>
              <w:t>they</w:t>
            </w:r>
            <w:r>
              <w:rPr>
                <w:color w:val="242424"/>
                <w:spacing w:val="-7"/>
              </w:rPr>
              <w:t xml:space="preserve"> </w:t>
            </w:r>
            <w:r>
              <w:rPr>
                <w:color w:val="242424"/>
              </w:rPr>
              <w:t>actually reflect actual inventory count results?</w:t>
            </w:r>
          </w:p>
        </w:tc>
        <w:tc>
          <w:tcPr>
            <w:tcW w:w="811" w:type="dxa"/>
            <w:tcBorders>
              <w:left w:val="single" w:sz="8" w:space="0" w:color="000000"/>
              <w:bottom w:val="single" w:sz="8" w:space="0" w:color="000000"/>
              <w:right w:val="single" w:sz="8" w:space="0" w:color="000000"/>
            </w:tcBorders>
          </w:tcPr>
          <w:p w14:paraId="0DFDCEF5" w14:textId="77777777" w:rsidR="00046465" w:rsidRDefault="00046465">
            <w:pPr>
              <w:pStyle w:val="TableParagraph"/>
              <w:rPr>
                <w:rFonts w:ascii="Times New Roman"/>
              </w:rPr>
            </w:pPr>
          </w:p>
        </w:tc>
        <w:tc>
          <w:tcPr>
            <w:tcW w:w="1349" w:type="dxa"/>
            <w:tcBorders>
              <w:left w:val="single" w:sz="8" w:space="0" w:color="000000"/>
              <w:bottom w:val="single" w:sz="8" w:space="0" w:color="000000"/>
            </w:tcBorders>
          </w:tcPr>
          <w:p w14:paraId="0DFDCEF6" w14:textId="77777777" w:rsidR="00046465" w:rsidRDefault="00046465">
            <w:pPr>
              <w:pStyle w:val="TableParagraph"/>
              <w:rPr>
                <w:rFonts w:ascii="Times New Roman"/>
              </w:rPr>
            </w:pPr>
          </w:p>
        </w:tc>
      </w:tr>
      <w:tr w:rsidR="00046465" w14:paraId="0DFDCEFB" w14:textId="77777777">
        <w:trPr>
          <w:trHeight w:val="1757"/>
        </w:trPr>
        <w:tc>
          <w:tcPr>
            <w:tcW w:w="7380" w:type="dxa"/>
            <w:tcBorders>
              <w:top w:val="single" w:sz="8" w:space="0" w:color="000000"/>
              <w:bottom w:val="single" w:sz="8" w:space="0" w:color="000000"/>
              <w:right w:val="single" w:sz="8" w:space="0" w:color="000000"/>
            </w:tcBorders>
          </w:tcPr>
          <w:p w14:paraId="0DFDCEF8" w14:textId="77777777" w:rsidR="00046465" w:rsidRDefault="008134EB">
            <w:pPr>
              <w:pStyle w:val="TableParagraph"/>
              <w:spacing w:before="119"/>
              <w:ind w:left="1203" w:right="172" w:hanging="360"/>
            </w:pPr>
            <w:r>
              <w:t>c.</w:t>
            </w:r>
            <w:r>
              <w:rPr>
                <w:spacing w:val="80"/>
              </w:rPr>
              <w:t xml:space="preserve"> </w:t>
            </w:r>
            <w:r>
              <w:t>If physical inventory counting was conducted at a date other than the date of the financial statements, did the auditor, in addition</w:t>
            </w:r>
            <w:r>
              <w:rPr>
                <w:spacing w:val="-5"/>
              </w:rPr>
              <w:t xml:space="preserve"> </w:t>
            </w:r>
            <w:r>
              <w:t>to</w:t>
            </w:r>
            <w:r>
              <w:rPr>
                <w:spacing w:val="-5"/>
              </w:rPr>
              <w:t xml:space="preserve"> </w:t>
            </w:r>
            <w:r>
              <w:t>the</w:t>
            </w:r>
            <w:r>
              <w:rPr>
                <w:spacing w:val="-5"/>
              </w:rPr>
              <w:t xml:space="preserve"> </w:t>
            </w:r>
            <w:r>
              <w:t>procedures</w:t>
            </w:r>
            <w:r>
              <w:rPr>
                <w:spacing w:val="-5"/>
              </w:rPr>
              <w:t xml:space="preserve"> </w:t>
            </w:r>
            <w:r>
              <w:t>required</w:t>
            </w:r>
            <w:r>
              <w:rPr>
                <w:spacing w:val="-5"/>
              </w:rPr>
              <w:t xml:space="preserve"> </w:t>
            </w:r>
            <w:r>
              <w:t>in</w:t>
            </w:r>
            <w:r>
              <w:rPr>
                <w:spacing w:val="-5"/>
              </w:rPr>
              <w:t xml:space="preserve"> </w:t>
            </w:r>
            <w:r>
              <w:t>b</w:t>
            </w:r>
            <w:r>
              <w:rPr>
                <w:spacing w:val="-5"/>
              </w:rPr>
              <w:t xml:space="preserve"> </w:t>
            </w:r>
            <w:r>
              <w:t>above,</w:t>
            </w:r>
            <w:r>
              <w:rPr>
                <w:spacing w:val="-5"/>
              </w:rPr>
              <w:t xml:space="preserve"> </w:t>
            </w:r>
            <w:r>
              <w:t>perform</w:t>
            </w:r>
            <w:r>
              <w:rPr>
                <w:spacing w:val="-6"/>
              </w:rPr>
              <w:t xml:space="preserve"> </w:t>
            </w:r>
            <w:r>
              <w:t>audit procedures to obtain audit evidence about whether changes in inventory between the count date and the date of the financial statements are recorded properly? (AU-C 501.13)</w:t>
            </w:r>
          </w:p>
        </w:tc>
        <w:tc>
          <w:tcPr>
            <w:tcW w:w="811" w:type="dxa"/>
            <w:tcBorders>
              <w:top w:val="single" w:sz="8" w:space="0" w:color="000000"/>
              <w:left w:val="single" w:sz="8" w:space="0" w:color="000000"/>
              <w:bottom w:val="single" w:sz="8" w:space="0" w:color="000000"/>
              <w:right w:val="single" w:sz="8" w:space="0" w:color="000000"/>
            </w:tcBorders>
          </w:tcPr>
          <w:p w14:paraId="0DFDCEF9"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FA" w14:textId="77777777" w:rsidR="00046465" w:rsidRDefault="00046465">
            <w:pPr>
              <w:pStyle w:val="TableParagraph"/>
              <w:rPr>
                <w:rFonts w:ascii="Times New Roman"/>
              </w:rPr>
            </w:pPr>
          </w:p>
        </w:tc>
      </w:tr>
      <w:tr w:rsidR="00046465" w14:paraId="0DFDCEFF" w14:textId="77777777">
        <w:trPr>
          <w:trHeight w:val="1505"/>
        </w:trPr>
        <w:tc>
          <w:tcPr>
            <w:tcW w:w="7380" w:type="dxa"/>
            <w:tcBorders>
              <w:top w:val="single" w:sz="8" w:space="0" w:color="000000"/>
              <w:bottom w:val="single" w:sz="8" w:space="0" w:color="000000"/>
              <w:right w:val="single" w:sz="8" w:space="0" w:color="000000"/>
            </w:tcBorders>
          </w:tcPr>
          <w:p w14:paraId="0DFDCEFC" w14:textId="77777777" w:rsidR="00046465" w:rsidRDefault="008134EB">
            <w:pPr>
              <w:pStyle w:val="TableParagraph"/>
              <w:spacing w:before="121"/>
              <w:ind w:left="1203" w:hanging="360"/>
            </w:pPr>
            <w:r>
              <w:t>d.</w:t>
            </w:r>
            <w:r>
              <w:rPr>
                <w:spacing w:val="80"/>
              </w:rPr>
              <w:t xml:space="preserve"> </w:t>
            </w:r>
            <w:r>
              <w:t>If</w:t>
            </w:r>
            <w:r>
              <w:rPr>
                <w:spacing w:val="-3"/>
              </w:rPr>
              <w:t xml:space="preserve"> </w:t>
            </w:r>
            <w:r>
              <w:t>the</w:t>
            </w:r>
            <w:r>
              <w:rPr>
                <w:spacing w:val="-3"/>
              </w:rPr>
              <w:t xml:space="preserve"> </w:t>
            </w:r>
            <w:r>
              <w:t>auditor</w:t>
            </w:r>
            <w:r>
              <w:rPr>
                <w:spacing w:val="-4"/>
              </w:rPr>
              <w:t xml:space="preserve"> </w:t>
            </w:r>
            <w:r>
              <w:t>was</w:t>
            </w:r>
            <w:r>
              <w:rPr>
                <w:spacing w:val="-3"/>
              </w:rPr>
              <w:t xml:space="preserve"> </w:t>
            </w:r>
            <w:r>
              <w:t>unable</w:t>
            </w:r>
            <w:r>
              <w:rPr>
                <w:spacing w:val="-4"/>
              </w:rPr>
              <w:t xml:space="preserve"> </w:t>
            </w:r>
            <w:r>
              <w:t>to</w:t>
            </w:r>
            <w:r>
              <w:rPr>
                <w:spacing w:val="-3"/>
              </w:rPr>
              <w:t xml:space="preserve"> </w:t>
            </w:r>
            <w:r>
              <w:t>attend</w:t>
            </w:r>
            <w:r>
              <w:rPr>
                <w:spacing w:val="-3"/>
              </w:rPr>
              <w:t xml:space="preserve"> </w:t>
            </w:r>
            <w:r>
              <w:t>physical</w:t>
            </w:r>
            <w:r>
              <w:rPr>
                <w:spacing w:val="-3"/>
              </w:rPr>
              <w:t xml:space="preserve"> </w:t>
            </w:r>
            <w:r>
              <w:t>inventory</w:t>
            </w:r>
            <w:r>
              <w:rPr>
                <w:spacing w:val="-3"/>
              </w:rPr>
              <w:t xml:space="preserve"> </w:t>
            </w:r>
            <w:r>
              <w:t xml:space="preserve">counting due to unforeseen circumstances, did the auditor make or observe some physical counts on an alternative date and perform audit procedures on intervening transactions? (AU-C </w:t>
            </w:r>
            <w:r>
              <w:rPr>
                <w:spacing w:val="-2"/>
              </w:rPr>
              <w:t>501.14)</w:t>
            </w:r>
          </w:p>
        </w:tc>
        <w:tc>
          <w:tcPr>
            <w:tcW w:w="811" w:type="dxa"/>
            <w:tcBorders>
              <w:top w:val="single" w:sz="8" w:space="0" w:color="000000"/>
              <w:left w:val="single" w:sz="8" w:space="0" w:color="000000"/>
              <w:bottom w:val="single" w:sz="8" w:space="0" w:color="000000"/>
              <w:right w:val="single" w:sz="8" w:space="0" w:color="000000"/>
            </w:tcBorders>
          </w:tcPr>
          <w:p w14:paraId="0DFDCEFD"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EFE" w14:textId="77777777" w:rsidR="00046465" w:rsidRDefault="00046465">
            <w:pPr>
              <w:pStyle w:val="TableParagraph"/>
              <w:rPr>
                <w:rFonts w:ascii="Times New Roman"/>
              </w:rPr>
            </w:pPr>
          </w:p>
        </w:tc>
      </w:tr>
      <w:tr w:rsidR="00046465" w14:paraId="0DFDCF03" w14:textId="77777777">
        <w:trPr>
          <w:trHeight w:val="1758"/>
        </w:trPr>
        <w:tc>
          <w:tcPr>
            <w:tcW w:w="7380" w:type="dxa"/>
            <w:tcBorders>
              <w:top w:val="single" w:sz="8" w:space="0" w:color="000000"/>
              <w:bottom w:val="single" w:sz="8" w:space="0" w:color="000000"/>
              <w:right w:val="single" w:sz="8" w:space="0" w:color="000000"/>
            </w:tcBorders>
          </w:tcPr>
          <w:p w14:paraId="0DFDCF00" w14:textId="77777777" w:rsidR="00046465" w:rsidRDefault="008134EB">
            <w:pPr>
              <w:pStyle w:val="TableParagraph"/>
              <w:spacing w:before="119"/>
              <w:ind w:left="1203" w:hanging="360"/>
            </w:pPr>
            <w:r>
              <w:t>e.</w:t>
            </w:r>
            <w:r>
              <w:rPr>
                <w:spacing w:val="80"/>
              </w:rPr>
              <w:t xml:space="preserve"> </w:t>
            </w:r>
            <w:r>
              <w:t>If</w:t>
            </w:r>
            <w:r>
              <w:rPr>
                <w:spacing w:val="-4"/>
              </w:rPr>
              <w:t xml:space="preserve"> </w:t>
            </w:r>
            <w:r>
              <w:t>attending</w:t>
            </w:r>
            <w:r>
              <w:rPr>
                <w:spacing w:val="-5"/>
              </w:rPr>
              <w:t xml:space="preserve"> </w:t>
            </w:r>
            <w:r>
              <w:t>physical</w:t>
            </w:r>
            <w:r>
              <w:rPr>
                <w:spacing w:val="-4"/>
              </w:rPr>
              <w:t xml:space="preserve"> </w:t>
            </w:r>
            <w:r>
              <w:t>inventory</w:t>
            </w:r>
            <w:r>
              <w:rPr>
                <w:spacing w:val="-4"/>
              </w:rPr>
              <w:t xml:space="preserve"> </w:t>
            </w:r>
            <w:r>
              <w:t>counting</w:t>
            </w:r>
            <w:r>
              <w:rPr>
                <w:spacing w:val="-4"/>
              </w:rPr>
              <w:t xml:space="preserve"> </w:t>
            </w:r>
            <w:r>
              <w:t>was</w:t>
            </w:r>
            <w:r>
              <w:rPr>
                <w:spacing w:val="-4"/>
              </w:rPr>
              <w:t xml:space="preserve"> </w:t>
            </w:r>
            <w:r>
              <w:t>impracticable,</w:t>
            </w:r>
            <w:r>
              <w:rPr>
                <w:spacing w:val="-5"/>
              </w:rPr>
              <w:t xml:space="preserve"> </w:t>
            </w:r>
            <w:r>
              <w:t>did the auditor perform alternative audit procedures to obtain sufficient appropriate audit evidence regarding the existence and condition of inventory? If it was not possible to do so, did the auditor modify the opinion in the auditor’s report, in accordance with AU-C 705? (AU-C 501.15)</w:t>
            </w:r>
          </w:p>
        </w:tc>
        <w:tc>
          <w:tcPr>
            <w:tcW w:w="811" w:type="dxa"/>
            <w:tcBorders>
              <w:top w:val="single" w:sz="8" w:space="0" w:color="000000"/>
              <w:left w:val="single" w:sz="8" w:space="0" w:color="000000"/>
              <w:bottom w:val="single" w:sz="8" w:space="0" w:color="000000"/>
              <w:right w:val="single" w:sz="8" w:space="0" w:color="000000"/>
            </w:tcBorders>
          </w:tcPr>
          <w:p w14:paraId="0DFDCF01"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02" w14:textId="77777777" w:rsidR="00046465" w:rsidRDefault="00046465">
            <w:pPr>
              <w:pStyle w:val="TableParagraph"/>
              <w:rPr>
                <w:rFonts w:ascii="Times New Roman"/>
              </w:rPr>
            </w:pPr>
          </w:p>
        </w:tc>
      </w:tr>
    </w:tbl>
    <w:p w14:paraId="0DFDCF04"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CF05" w14:textId="77777777" w:rsidR="00046465" w:rsidRDefault="00046465">
      <w:pPr>
        <w:pStyle w:val="BodyText"/>
        <w:spacing w:before="6"/>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CF0C" w14:textId="77777777">
        <w:trPr>
          <w:trHeight w:val="936"/>
        </w:trPr>
        <w:tc>
          <w:tcPr>
            <w:tcW w:w="7380" w:type="dxa"/>
            <w:tcBorders>
              <w:right w:val="single" w:sz="8" w:space="0" w:color="000000"/>
            </w:tcBorders>
            <w:shd w:val="clear" w:color="auto" w:fill="A6A6A6"/>
          </w:tcPr>
          <w:p w14:paraId="0DFDCF06" w14:textId="77777777" w:rsidR="00046465" w:rsidRDefault="00046465">
            <w:pPr>
              <w:pStyle w:val="TableParagraph"/>
              <w:spacing w:before="266"/>
              <w:rPr>
                <w:b/>
                <w:sz w:val="24"/>
              </w:rPr>
            </w:pPr>
          </w:p>
          <w:p w14:paraId="0DFDCF07"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CF08"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CF09" w14:textId="77777777" w:rsidR="00046465" w:rsidRDefault="00046465">
            <w:pPr>
              <w:pStyle w:val="TableParagraph"/>
              <w:rPr>
                <w:b/>
              </w:rPr>
            </w:pPr>
          </w:p>
          <w:p w14:paraId="0DFDCF0A" w14:textId="77777777" w:rsidR="00046465" w:rsidRDefault="00046465">
            <w:pPr>
              <w:pStyle w:val="TableParagraph"/>
              <w:spacing w:before="120"/>
              <w:rPr>
                <w:b/>
              </w:rPr>
            </w:pPr>
          </w:p>
          <w:p w14:paraId="0DFDCF0B"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CF12" w14:textId="77777777">
        <w:trPr>
          <w:trHeight w:val="3029"/>
        </w:trPr>
        <w:tc>
          <w:tcPr>
            <w:tcW w:w="7380" w:type="dxa"/>
            <w:tcBorders>
              <w:bottom w:val="single" w:sz="8" w:space="0" w:color="000000"/>
              <w:right w:val="single" w:sz="8" w:space="0" w:color="000000"/>
            </w:tcBorders>
          </w:tcPr>
          <w:p w14:paraId="0DFDCF0D" w14:textId="77777777" w:rsidR="00046465" w:rsidRDefault="008134EB">
            <w:pPr>
              <w:pStyle w:val="TableParagraph"/>
              <w:numPr>
                <w:ilvl w:val="0"/>
                <w:numId w:val="50"/>
              </w:numPr>
              <w:tabs>
                <w:tab w:val="left" w:pos="1203"/>
              </w:tabs>
              <w:spacing w:before="121"/>
              <w:ind w:right="185"/>
            </w:pPr>
            <w:r>
              <w:t>If</w:t>
            </w:r>
            <w:r>
              <w:rPr>
                <w:spacing w:val="-4"/>
              </w:rPr>
              <w:t xml:space="preserve"> </w:t>
            </w:r>
            <w:r>
              <w:t>inventory</w:t>
            </w:r>
            <w:r>
              <w:rPr>
                <w:spacing w:val="-5"/>
              </w:rPr>
              <w:t xml:space="preserve"> </w:t>
            </w:r>
            <w:r>
              <w:t>under</w:t>
            </w:r>
            <w:r>
              <w:rPr>
                <w:spacing w:val="-4"/>
              </w:rPr>
              <w:t xml:space="preserve"> </w:t>
            </w:r>
            <w:r>
              <w:t>the</w:t>
            </w:r>
            <w:r>
              <w:rPr>
                <w:spacing w:val="-4"/>
              </w:rPr>
              <w:t xml:space="preserve"> </w:t>
            </w:r>
            <w:r>
              <w:t>custody</w:t>
            </w:r>
            <w:r>
              <w:rPr>
                <w:spacing w:val="-4"/>
              </w:rPr>
              <w:t xml:space="preserve"> </w:t>
            </w:r>
            <w:r>
              <w:t>and</w:t>
            </w:r>
            <w:r>
              <w:rPr>
                <w:spacing w:val="-4"/>
              </w:rPr>
              <w:t xml:space="preserve"> </w:t>
            </w:r>
            <w:r>
              <w:t>control</w:t>
            </w:r>
            <w:r>
              <w:rPr>
                <w:spacing w:val="-4"/>
              </w:rPr>
              <w:t xml:space="preserve"> </w:t>
            </w:r>
            <w:r>
              <w:t>of</w:t>
            </w:r>
            <w:r>
              <w:rPr>
                <w:spacing w:val="-4"/>
              </w:rPr>
              <w:t xml:space="preserve"> </w:t>
            </w:r>
            <w:r>
              <w:t>a</w:t>
            </w:r>
            <w:r>
              <w:rPr>
                <w:spacing w:val="-4"/>
              </w:rPr>
              <w:t xml:space="preserve"> </w:t>
            </w:r>
            <w:r>
              <w:t>third</w:t>
            </w:r>
            <w:r>
              <w:rPr>
                <w:spacing w:val="-4"/>
              </w:rPr>
              <w:t xml:space="preserve"> </w:t>
            </w:r>
            <w:r>
              <w:t>party</w:t>
            </w:r>
            <w:r>
              <w:rPr>
                <w:spacing w:val="-4"/>
              </w:rPr>
              <w:t xml:space="preserve"> </w:t>
            </w:r>
            <w:r>
              <w:t>was material to the financial statements, did the auditor obtain sufficient appropriate audit evidence regarding the existence and condition of that inventory by performing one or both of the following:</w:t>
            </w:r>
          </w:p>
          <w:p w14:paraId="0DFDCF0E" w14:textId="77777777" w:rsidR="00046465" w:rsidRDefault="008134EB">
            <w:pPr>
              <w:pStyle w:val="TableParagraph"/>
              <w:numPr>
                <w:ilvl w:val="1"/>
                <w:numId w:val="50"/>
              </w:numPr>
              <w:tabs>
                <w:tab w:val="left" w:pos="1514"/>
              </w:tabs>
              <w:spacing w:before="120"/>
              <w:ind w:right="265"/>
              <w:jc w:val="left"/>
            </w:pPr>
            <w:r>
              <w:t>Request confirmation from the third party regarding the quantities</w:t>
            </w:r>
            <w:r>
              <w:rPr>
                <w:spacing w:val="-4"/>
              </w:rPr>
              <w:t xml:space="preserve"> </w:t>
            </w:r>
            <w:r>
              <w:t>and</w:t>
            </w:r>
            <w:r>
              <w:rPr>
                <w:spacing w:val="-4"/>
              </w:rPr>
              <w:t xml:space="preserve"> </w:t>
            </w:r>
            <w:r>
              <w:t>condition</w:t>
            </w:r>
            <w:r>
              <w:rPr>
                <w:spacing w:val="-5"/>
              </w:rPr>
              <w:t xml:space="preserve"> </w:t>
            </w:r>
            <w:r>
              <w:t>of</w:t>
            </w:r>
            <w:r>
              <w:rPr>
                <w:spacing w:val="-4"/>
              </w:rPr>
              <w:t xml:space="preserve"> </w:t>
            </w:r>
            <w:r>
              <w:t>inventory</w:t>
            </w:r>
            <w:r>
              <w:rPr>
                <w:spacing w:val="-5"/>
              </w:rPr>
              <w:t xml:space="preserve"> </w:t>
            </w:r>
            <w:r>
              <w:t>held</w:t>
            </w:r>
            <w:r>
              <w:rPr>
                <w:spacing w:val="-4"/>
              </w:rPr>
              <w:t xml:space="preserve"> </w:t>
            </w:r>
            <w:r>
              <w:t>on</w:t>
            </w:r>
            <w:r>
              <w:rPr>
                <w:spacing w:val="-4"/>
              </w:rPr>
              <w:t xml:space="preserve"> </w:t>
            </w:r>
            <w:r>
              <w:t>behalf</w:t>
            </w:r>
            <w:r>
              <w:rPr>
                <w:spacing w:val="-4"/>
              </w:rPr>
              <w:t xml:space="preserve"> </w:t>
            </w:r>
            <w:r>
              <w:t>of</w:t>
            </w:r>
            <w:r>
              <w:rPr>
                <w:spacing w:val="-4"/>
              </w:rPr>
              <w:t xml:space="preserve"> </w:t>
            </w:r>
            <w:r>
              <w:t xml:space="preserve">the </w:t>
            </w:r>
            <w:r>
              <w:rPr>
                <w:spacing w:val="-2"/>
              </w:rPr>
              <w:t>entity?</w:t>
            </w:r>
          </w:p>
          <w:p w14:paraId="0DFDCF0F" w14:textId="77777777" w:rsidR="00046465" w:rsidRDefault="008134EB">
            <w:pPr>
              <w:pStyle w:val="TableParagraph"/>
              <w:numPr>
                <w:ilvl w:val="1"/>
                <w:numId w:val="50"/>
              </w:numPr>
              <w:tabs>
                <w:tab w:val="left" w:pos="1511"/>
                <w:tab w:val="left" w:pos="1514"/>
              </w:tabs>
              <w:spacing w:before="121" w:line="237" w:lineRule="auto"/>
              <w:ind w:right="304" w:hanging="350"/>
              <w:jc w:val="left"/>
              <w:rPr>
                <w:sz w:val="24"/>
              </w:rPr>
            </w:pPr>
            <w:r>
              <w:t>Perform</w:t>
            </w:r>
            <w:r>
              <w:rPr>
                <w:spacing w:val="-7"/>
              </w:rPr>
              <w:t xml:space="preserve"> </w:t>
            </w:r>
            <w:r>
              <w:t>inspection</w:t>
            </w:r>
            <w:r>
              <w:rPr>
                <w:spacing w:val="-6"/>
              </w:rPr>
              <w:t xml:space="preserve"> </w:t>
            </w:r>
            <w:r>
              <w:t>or</w:t>
            </w:r>
            <w:r>
              <w:rPr>
                <w:spacing w:val="-6"/>
              </w:rPr>
              <w:t xml:space="preserve"> </w:t>
            </w:r>
            <w:r>
              <w:t>other</w:t>
            </w:r>
            <w:r>
              <w:rPr>
                <w:spacing w:val="-6"/>
              </w:rPr>
              <w:t xml:space="preserve"> </w:t>
            </w:r>
            <w:r>
              <w:t>audit</w:t>
            </w:r>
            <w:r>
              <w:rPr>
                <w:spacing w:val="-6"/>
              </w:rPr>
              <w:t xml:space="preserve"> </w:t>
            </w:r>
            <w:r>
              <w:t>procedures</w:t>
            </w:r>
            <w:r>
              <w:rPr>
                <w:spacing w:val="-6"/>
              </w:rPr>
              <w:t xml:space="preserve"> </w:t>
            </w:r>
            <w:r>
              <w:t>appropriate in the circumstances? (AU-C 501.16)</w:t>
            </w:r>
          </w:p>
        </w:tc>
        <w:tc>
          <w:tcPr>
            <w:tcW w:w="811" w:type="dxa"/>
            <w:tcBorders>
              <w:left w:val="single" w:sz="8" w:space="0" w:color="000000"/>
              <w:bottom w:val="single" w:sz="8" w:space="0" w:color="000000"/>
              <w:right w:val="single" w:sz="8" w:space="0" w:color="000000"/>
            </w:tcBorders>
          </w:tcPr>
          <w:p w14:paraId="0DFDCF10" w14:textId="77777777" w:rsidR="00046465" w:rsidRDefault="00046465">
            <w:pPr>
              <w:pStyle w:val="TableParagraph"/>
              <w:rPr>
                <w:rFonts w:ascii="Times New Roman"/>
              </w:rPr>
            </w:pPr>
          </w:p>
        </w:tc>
        <w:tc>
          <w:tcPr>
            <w:tcW w:w="1349" w:type="dxa"/>
            <w:tcBorders>
              <w:left w:val="single" w:sz="8" w:space="0" w:color="000000"/>
              <w:bottom w:val="single" w:sz="8" w:space="0" w:color="000000"/>
            </w:tcBorders>
          </w:tcPr>
          <w:p w14:paraId="0DFDCF11" w14:textId="77777777" w:rsidR="00046465" w:rsidRDefault="00046465">
            <w:pPr>
              <w:pStyle w:val="TableParagraph"/>
              <w:rPr>
                <w:rFonts w:ascii="Times New Roman"/>
              </w:rPr>
            </w:pPr>
          </w:p>
        </w:tc>
      </w:tr>
      <w:tr w:rsidR="00046465" w14:paraId="0DFDCF17" w14:textId="77777777">
        <w:trPr>
          <w:trHeight w:val="985"/>
        </w:trPr>
        <w:tc>
          <w:tcPr>
            <w:tcW w:w="7380" w:type="dxa"/>
            <w:tcBorders>
              <w:top w:val="single" w:sz="8" w:space="0" w:color="000000"/>
              <w:bottom w:val="single" w:sz="8" w:space="0" w:color="000000"/>
              <w:right w:val="single" w:sz="8" w:space="0" w:color="000000"/>
            </w:tcBorders>
          </w:tcPr>
          <w:p w14:paraId="0DFDCF13" w14:textId="77777777" w:rsidR="00046465" w:rsidRDefault="008134EB">
            <w:pPr>
              <w:pStyle w:val="TableParagraph"/>
              <w:spacing w:before="119"/>
              <w:ind w:left="483"/>
              <w:rPr>
                <w:b/>
              </w:rPr>
            </w:pPr>
            <w:r>
              <w:t>16.</w:t>
            </w:r>
            <w:r>
              <w:rPr>
                <w:spacing w:val="-13"/>
              </w:rPr>
              <w:t xml:space="preserve"> </w:t>
            </w:r>
            <w:r>
              <w:rPr>
                <w:b/>
              </w:rPr>
              <w:t>Property,</w:t>
            </w:r>
            <w:r>
              <w:rPr>
                <w:b/>
                <w:spacing w:val="-6"/>
              </w:rPr>
              <w:t xml:space="preserve"> </w:t>
            </w:r>
            <w:r>
              <w:rPr>
                <w:b/>
              </w:rPr>
              <w:t>Plant,</w:t>
            </w:r>
            <w:r>
              <w:rPr>
                <w:b/>
                <w:spacing w:val="-7"/>
              </w:rPr>
              <w:t xml:space="preserve"> </w:t>
            </w:r>
            <w:r>
              <w:rPr>
                <w:b/>
              </w:rPr>
              <w:t>and</w:t>
            </w:r>
            <w:r>
              <w:rPr>
                <w:b/>
                <w:spacing w:val="-6"/>
              </w:rPr>
              <w:t xml:space="preserve"> </w:t>
            </w:r>
            <w:r>
              <w:rPr>
                <w:b/>
                <w:spacing w:val="-2"/>
              </w:rPr>
              <w:t>Equipment</w:t>
            </w:r>
          </w:p>
          <w:p w14:paraId="0DFDCF14" w14:textId="77777777" w:rsidR="00046465" w:rsidRDefault="008134EB">
            <w:pPr>
              <w:pStyle w:val="TableParagraph"/>
              <w:spacing w:before="241"/>
              <w:ind w:left="843"/>
            </w:pPr>
            <w:r>
              <w:t>Consider</w:t>
            </w:r>
            <w:r>
              <w:rPr>
                <w:spacing w:val="-9"/>
              </w:rPr>
              <w:t xml:space="preserve"> </w:t>
            </w:r>
            <w:r>
              <w:t>these</w:t>
            </w:r>
            <w:r>
              <w:rPr>
                <w:spacing w:val="-8"/>
              </w:rPr>
              <w:t xml:space="preserve"> </w:t>
            </w:r>
            <w:r>
              <w:rPr>
                <w:spacing w:val="-2"/>
              </w:rPr>
              <w:t>issues: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F15"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F16" w14:textId="77777777" w:rsidR="00046465" w:rsidRDefault="00046465">
            <w:pPr>
              <w:pStyle w:val="TableParagraph"/>
              <w:rPr>
                <w:rFonts w:ascii="Times New Roman"/>
              </w:rPr>
            </w:pPr>
          </w:p>
        </w:tc>
      </w:tr>
      <w:tr w:rsidR="00046465" w14:paraId="0DFDCF1B" w14:textId="77777777">
        <w:trPr>
          <w:trHeight w:val="998"/>
        </w:trPr>
        <w:tc>
          <w:tcPr>
            <w:tcW w:w="7380" w:type="dxa"/>
            <w:tcBorders>
              <w:top w:val="single" w:sz="8" w:space="0" w:color="000000"/>
              <w:bottom w:val="single" w:sz="8" w:space="0" w:color="000000"/>
              <w:right w:val="single" w:sz="8" w:space="0" w:color="000000"/>
            </w:tcBorders>
          </w:tcPr>
          <w:p w14:paraId="0DFDCF18" w14:textId="77777777" w:rsidR="00046465" w:rsidRDefault="008134EB">
            <w:pPr>
              <w:pStyle w:val="TableParagraph"/>
              <w:spacing w:before="119"/>
              <w:ind w:left="1249" w:hanging="360"/>
            </w:pPr>
            <w:r>
              <w:t>a.</w:t>
            </w:r>
            <w:r>
              <w:rPr>
                <w:spacing w:val="80"/>
              </w:rPr>
              <w:t xml:space="preserve"> </w:t>
            </w:r>
            <w:r>
              <w:t>Was a summary schedule prepared (or obtained) to show beginning</w:t>
            </w:r>
            <w:r>
              <w:rPr>
                <w:spacing w:val="-6"/>
              </w:rPr>
              <w:t xml:space="preserve"> </w:t>
            </w:r>
            <w:r>
              <w:t>balances,</w:t>
            </w:r>
            <w:r>
              <w:rPr>
                <w:spacing w:val="-7"/>
              </w:rPr>
              <w:t xml:space="preserve"> </w:t>
            </w:r>
            <w:r>
              <w:t>changes</w:t>
            </w:r>
            <w:r>
              <w:rPr>
                <w:spacing w:val="-6"/>
              </w:rPr>
              <w:t xml:space="preserve"> </w:t>
            </w:r>
            <w:r>
              <w:t>during</w:t>
            </w:r>
            <w:r>
              <w:rPr>
                <w:spacing w:val="-6"/>
              </w:rPr>
              <w:t xml:space="preserve"> </w:t>
            </w:r>
            <w:r>
              <w:t>the</w:t>
            </w:r>
            <w:r>
              <w:rPr>
                <w:spacing w:val="-6"/>
              </w:rPr>
              <w:t xml:space="preserve"> </w:t>
            </w:r>
            <w:r>
              <w:t>period,</w:t>
            </w:r>
            <w:r>
              <w:rPr>
                <w:spacing w:val="-7"/>
              </w:rPr>
              <w:t xml:space="preserve"> </w:t>
            </w:r>
            <w:r>
              <w:t>and</w:t>
            </w:r>
            <w:r>
              <w:rPr>
                <w:spacing w:val="-6"/>
              </w:rPr>
              <w:t xml:space="preserve"> </w:t>
            </w:r>
            <w:r>
              <w:t>ending balances for</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F19"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F1A" w14:textId="77777777" w:rsidR="00046465" w:rsidRDefault="00046465">
            <w:pPr>
              <w:pStyle w:val="TableParagraph"/>
              <w:rPr>
                <w:rFonts w:ascii="Times New Roman"/>
              </w:rPr>
            </w:pPr>
          </w:p>
        </w:tc>
      </w:tr>
      <w:tr w:rsidR="00046465" w14:paraId="0DFDCF1F" w14:textId="77777777">
        <w:trPr>
          <w:trHeight w:val="492"/>
        </w:trPr>
        <w:tc>
          <w:tcPr>
            <w:tcW w:w="7380" w:type="dxa"/>
            <w:tcBorders>
              <w:top w:val="single" w:sz="8" w:space="0" w:color="000000"/>
              <w:bottom w:val="single" w:sz="8" w:space="0" w:color="000000"/>
              <w:right w:val="single" w:sz="8" w:space="0" w:color="000000"/>
            </w:tcBorders>
          </w:tcPr>
          <w:p w14:paraId="0DFDCF1C" w14:textId="77777777" w:rsidR="00046465" w:rsidRDefault="008134EB">
            <w:pPr>
              <w:pStyle w:val="TableParagraph"/>
              <w:spacing w:before="121"/>
              <w:ind w:left="1319"/>
            </w:pPr>
            <w:r>
              <w:t>i.</w:t>
            </w:r>
            <w:r>
              <w:rPr>
                <w:spacing w:val="61"/>
              </w:rPr>
              <w:t xml:space="preserve"> </w:t>
            </w:r>
            <w:r>
              <w:t>property,</w:t>
            </w:r>
            <w:r>
              <w:rPr>
                <w:spacing w:val="-5"/>
              </w:rPr>
              <w:t xml:space="preserve"> </w:t>
            </w:r>
            <w:r>
              <w:t>plant,</w:t>
            </w:r>
            <w:r>
              <w:rPr>
                <w:spacing w:val="-5"/>
              </w:rPr>
              <w:t xml:space="preserve"> </w:t>
            </w:r>
            <w:r>
              <w:t>and</w:t>
            </w:r>
            <w:r>
              <w:rPr>
                <w:spacing w:val="-5"/>
              </w:rPr>
              <w:t xml:space="preserve"> </w:t>
            </w:r>
            <w:r>
              <w:t>equipment</w:t>
            </w:r>
            <w:r>
              <w:rPr>
                <w:spacing w:val="-6"/>
              </w:rPr>
              <w:t xml:space="preserve"> </w:t>
            </w:r>
            <w:r>
              <w:rPr>
                <w:spacing w:val="-5"/>
              </w:rPr>
              <w:t>and</w:t>
            </w:r>
          </w:p>
        </w:tc>
        <w:tc>
          <w:tcPr>
            <w:tcW w:w="811" w:type="dxa"/>
            <w:tcBorders>
              <w:top w:val="single" w:sz="8" w:space="0" w:color="000000"/>
              <w:left w:val="single" w:sz="8" w:space="0" w:color="000000"/>
              <w:bottom w:val="single" w:sz="8" w:space="0" w:color="000000"/>
              <w:right w:val="single" w:sz="8" w:space="0" w:color="000000"/>
            </w:tcBorders>
          </w:tcPr>
          <w:p w14:paraId="0DFDCF1D"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1E" w14:textId="77777777" w:rsidR="00046465" w:rsidRDefault="00046465">
            <w:pPr>
              <w:pStyle w:val="TableParagraph"/>
              <w:rPr>
                <w:rFonts w:ascii="Times New Roman"/>
              </w:rPr>
            </w:pPr>
          </w:p>
        </w:tc>
      </w:tr>
      <w:tr w:rsidR="00046465" w14:paraId="0DFDCF23" w14:textId="77777777">
        <w:trPr>
          <w:trHeight w:val="493"/>
        </w:trPr>
        <w:tc>
          <w:tcPr>
            <w:tcW w:w="7380" w:type="dxa"/>
            <w:tcBorders>
              <w:top w:val="single" w:sz="8" w:space="0" w:color="000000"/>
              <w:bottom w:val="single" w:sz="8" w:space="0" w:color="000000"/>
              <w:right w:val="single" w:sz="8" w:space="0" w:color="000000"/>
            </w:tcBorders>
          </w:tcPr>
          <w:p w14:paraId="0DFDCF20" w14:textId="77777777" w:rsidR="00046465" w:rsidRDefault="008134EB">
            <w:pPr>
              <w:pStyle w:val="TableParagraph"/>
              <w:spacing w:before="121"/>
              <w:ind w:left="1269"/>
            </w:pPr>
            <w:r>
              <w:t>ii.</w:t>
            </w:r>
            <w:r>
              <w:rPr>
                <w:spacing w:val="75"/>
                <w:w w:val="150"/>
              </w:rPr>
              <w:t xml:space="preserve"> </w:t>
            </w:r>
            <w:r>
              <w:t>accumulated</w:t>
            </w:r>
            <w:r>
              <w:rPr>
                <w:spacing w:val="-4"/>
              </w:rPr>
              <w:t xml:space="preserve"> </w:t>
            </w:r>
            <w:r>
              <w:rPr>
                <w:spacing w:val="-2"/>
              </w:rPr>
              <w:t>depreciation?</w:t>
            </w:r>
          </w:p>
        </w:tc>
        <w:tc>
          <w:tcPr>
            <w:tcW w:w="811" w:type="dxa"/>
            <w:tcBorders>
              <w:top w:val="single" w:sz="8" w:space="0" w:color="000000"/>
              <w:left w:val="single" w:sz="8" w:space="0" w:color="000000"/>
              <w:bottom w:val="single" w:sz="8" w:space="0" w:color="000000"/>
              <w:right w:val="single" w:sz="8" w:space="0" w:color="000000"/>
            </w:tcBorders>
          </w:tcPr>
          <w:p w14:paraId="0DFDCF21"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22" w14:textId="77777777" w:rsidR="00046465" w:rsidRDefault="00046465">
            <w:pPr>
              <w:pStyle w:val="TableParagraph"/>
              <w:rPr>
                <w:rFonts w:ascii="Times New Roman"/>
              </w:rPr>
            </w:pPr>
          </w:p>
        </w:tc>
      </w:tr>
      <w:tr w:rsidR="00046465" w14:paraId="0DFDCF27" w14:textId="77777777">
        <w:trPr>
          <w:trHeight w:val="2010"/>
        </w:trPr>
        <w:tc>
          <w:tcPr>
            <w:tcW w:w="7380" w:type="dxa"/>
            <w:tcBorders>
              <w:top w:val="single" w:sz="8" w:space="0" w:color="000000"/>
              <w:bottom w:val="single" w:sz="8" w:space="0" w:color="000000"/>
              <w:right w:val="single" w:sz="8" w:space="0" w:color="000000"/>
            </w:tcBorders>
          </w:tcPr>
          <w:p w14:paraId="0DFDCF24" w14:textId="77777777" w:rsidR="00046465" w:rsidRDefault="008134EB">
            <w:pPr>
              <w:pStyle w:val="TableParagraph"/>
              <w:spacing w:before="119"/>
              <w:ind w:left="1249" w:right="239" w:hanging="360"/>
            </w:pPr>
            <w:r>
              <w:t>b.</w:t>
            </w:r>
            <w:r>
              <w:rPr>
                <w:spacing w:val="80"/>
              </w:rPr>
              <w:t xml:space="preserve"> </w:t>
            </w:r>
            <w:r>
              <w:t>Did the auditor consider the effects of SFFAS 50, Establishing</w:t>
            </w:r>
            <w:r>
              <w:rPr>
                <w:spacing w:val="-1"/>
              </w:rPr>
              <w:t xml:space="preserve"> </w:t>
            </w:r>
            <w:r>
              <w:t>Opening Balances for General Property, Plant, and</w:t>
            </w:r>
            <w:r>
              <w:rPr>
                <w:spacing w:val="-5"/>
              </w:rPr>
              <w:t xml:space="preserve"> </w:t>
            </w:r>
            <w:r>
              <w:t>Equipment,</w:t>
            </w:r>
            <w:r>
              <w:rPr>
                <w:spacing w:val="-5"/>
              </w:rPr>
              <w:t xml:space="preserve"> </w:t>
            </w:r>
            <w:r>
              <w:t>if</w:t>
            </w:r>
            <w:r>
              <w:rPr>
                <w:spacing w:val="-5"/>
              </w:rPr>
              <w:t xml:space="preserve"> </w:t>
            </w:r>
            <w:r>
              <w:t>applied</w:t>
            </w:r>
            <w:r>
              <w:rPr>
                <w:spacing w:val="-5"/>
              </w:rPr>
              <w:t xml:space="preserve"> </w:t>
            </w:r>
            <w:r>
              <w:t>by</w:t>
            </w:r>
            <w:r>
              <w:rPr>
                <w:spacing w:val="-5"/>
              </w:rPr>
              <w:t xml:space="preserve"> </w:t>
            </w:r>
            <w:r>
              <w:t>the</w:t>
            </w:r>
            <w:r>
              <w:rPr>
                <w:spacing w:val="-5"/>
              </w:rPr>
              <w:t xml:space="preserve"> </w:t>
            </w:r>
            <w:r>
              <w:t>entity?</w:t>
            </w:r>
            <w:r>
              <w:rPr>
                <w:spacing w:val="-5"/>
              </w:rPr>
              <w:t xml:space="preserve"> </w:t>
            </w:r>
            <w:r>
              <w:t>SFFAS</w:t>
            </w:r>
            <w:r>
              <w:rPr>
                <w:spacing w:val="-5"/>
              </w:rPr>
              <w:t xml:space="preserve"> </w:t>
            </w:r>
            <w:r>
              <w:t>50</w:t>
            </w:r>
            <w:r>
              <w:rPr>
                <w:spacing w:val="-5"/>
              </w:rPr>
              <w:t xml:space="preserve"> </w:t>
            </w:r>
            <w:r>
              <w:t>provides implementation guidance to allow a reporting entity, under specific conditions, to apply alternative methods in establishing opening balances for general property, plant, and equipment.</w:t>
            </w:r>
          </w:p>
        </w:tc>
        <w:tc>
          <w:tcPr>
            <w:tcW w:w="811" w:type="dxa"/>
            <w:tcBorders>
              <w:top w:val="single" w:sz="8" w:space="0" w:color="000000"/>
              <w:left w:val="single" w:sz="8" w:space="0" w:color="000000"/>
              <w:bottom w:val="single" w:sz="8" w:space="0" w:color="000000"/>
              <w:right w:val="single" w:sz="8" w:space="0" w:color="000000"/>
            </w:tcBorders>
          </w:tcPr>
          <w:p w14:paraId="0DFDCF25"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26" w14:textId="77777777" w:rsidR="00046465" w:rsidRDefault="00046465">
            <w:pPr>
              <w:pStyle w:val="TableParagraph"/>
              <w:rPr>
                <w:rFonts w:ascii="Times New Roman"/>
              </w:rPr>
            </w:pPr>
          </w:p>
        </w:tc>
      </w:tr>
      <w:tr w:rsidR="00046465" w14:paraId="0DFDCF2B" w14:textId="77777777">
        <w:trPr>
          <w:trHeight w:val="746"/>
        </w:trPr>
        <w:tc>
          <w:tcPr>
            <w:tcW w:w="7380" w:type="dxa"/>
            <w:tcBorders>
              <w:top w:val="single" w:sz="8" w:space="0" w:color="000000"/>
              <w:bottom w:val="single" w:sz="8" w:space="0" w:color="000000"/>
              <w:right w:val="single" w:sz="8" w:space="0" w:color="000000"/>
            </w:tcBorders>
          </w:tcPr>
          <w:p w14:paraId="0DFDCF28" w14:textId="77777777" w:rsidR="00046465" w:rsidRDefault="008134EB">
            <w:pPr>
              <w:pStyle w:val="TableParagraph"/>
              <w:spacing w:before="121"/>
              <w:ind w:left="1249" w:hanging="360"/>
            </w:pPr>
            <w:r>
              <w:t>c.</w:t>
            </w:r>
            <w:r>
              <w:rPr>
                <w:spacing w:val="80"/>
              </w:rPr>
              <w:t xml:space="preserve"> </w:t>
            </w:r>
            <w:r>
              <w:t>Were</w:t>
            </w:r>
            <w:r>
              <w:rPr>
                <w:spacing w:val="-4"/>
              </w:rPr>
              <w:t xml:space="preserve"> </w:t>
            </w:r>
            <w:r>
              <w:t>significant</w:t>
            </w:r>
            <w:r>
              <w:rPr>
                <w:spacing w:val="-4"/>
              </w:rPr>
              <w:t xml:space="preserve"> </w:t>
            </w:r>
            <w:r>
              <w:t>activity</w:t>
            </w:r>
            <w:r>
              <w:rPr>
                <w:spacing w:val="-5"/>
              </w:rPr>
              <w:t xml:space="preserve"> </w:t>
            </w:r>
            <w:r>
              <w:t>and</w:t>
            </w:r>
            <w:r>
              <w:rPr>
                <w:spacing w:val="-4"/>
              </w:rPr>
              <w:t xml:space="preserve"> </w:t>
            </w:r>
            <w:r>
              <w:t>balances</w:t>
            </w:r>
            <w:r>
              <w:rPr>
                <w:spacing w:val="-4"/>
              </w:rPr>
              <w:t xml:space="preserve"> </w:t>
            </w:r>
            <w:r>
              <w:t>tested,</w:t>
            </w:r>
            <w:r>
              <w:rPr>
                <w:spacing w:val="-4"/>
              </w:rPr>
              <w:t xml:space="preserve"> </w:t>
            </w:r>
            <w:r>
              <w:t>particularly</w:t>
            </w:r>
            <w:r>
              <w:rPr>
                <w:spacing w:val="-4"/>
              </w:rPr>
              <w:t xml:space="preserve"> </w:t>
            </w:r>
            <w:r>
              <w:t>for existence and other significant assertions?</w:t>
            </w:r>
          </w:p>
        </w:tc>
        <w:tc>
          <w:tcPr>
            <w:tcW w:w="811" w:type="dxa"/>
            <w:tcBorders>
              <w:top w:val="single" w:sz="8" w:space="0" w:color="000000"/>
              <w:left w:val="single" w:sz="8" w:space="0" w:color="000000"/>
              <w:bottom w:val="single" w:sz="8" w:space="0" w:color="000000"/>
              <w:right w:val="single" w:sz="8" w:space="0" w:color="000000"/>
            </w:tcBorders>
          </w:tcPr>
          <w:p w14:paraId="0DFDCF29"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2A" w14:textId="77777777" w:rsidR="00046465" w:rsidRDefault="00046465">
            <w:pPr>
              <w:pStyle w:val="TableParagraph"/>
              <w:rPr>
                <w:rFonts w:ascii="Times New Roman"/>
              </w:rPr>
            </w:pPr>
          </w:p>
        </w:tc>
      </w:tr>
      <w:tr w:rsidR="00046465" w14:paraId="0DFDCF2F" w14:textId="77777777">
        <w:trPr>
          <w:trHeight w:val="745"/>
        </w:trPr>
        <w:tc>
          <w:tcPr>
            <w:tcW w:w="7380" w:type="dxa"/>
            <w:tcBorders>
              <w:top w:val="single" w:sz="8" w:space="0" w:color="000000"/>
              <w:bottom w:val="single" w:sz="8" w:space="0" w:color="000000"/>
              <w:right w:val="single" w:sz="8" w:space="0" w:color="000000"/>
            </w:tcBorders>
          </w:tcPr>
          <w:p w14:paraId="0DFDCF2C" w14:textId="77777777" w:rsidR="00046465" w:rsidRDefault="008134EB">
            <w:pPr>
              <w:pStyle w:val="TableParagraph"/>
              <w:spacing w:before="119"/>
              <w:ind w:left="1249" w:right="172" w:hanging="360"/>
            </w:pPr>
            <w:r>
              <w:t>d.</w:t>
            </w:r>
            <w:r>
              <w:rPr>
                <w:spacing w:val="80"/>
              </w:rPr>
              <w:t xml:space="preserve"> </w:t>
            </w:r>
            <w:r>
              <w:t>Were</w:t>
            </w:r>
            <w:r>
              <w:rPr>
                <w:spacing w:val="-4"/>
              </w:rPr>
              <w:t xml:space="preserve"> </w:t>
            </w:r>
            <w:r>
              <w:t>property</w:t>
            </w:r>
            <w:r>
              <w:rPr>
                <w:spacing w:val="-4"/>
              </w:rPr>
              <w:t xml:space="preserve"> </w:t>
            </w:r>
            <w:r>
              <w:t>items</w:t>
            </w:r>
            <w:r>
              <w:rPr>
                <w:spacing w:val="-4"/>
              </w:rPr>
              <w:t xml:space="preserve"> </w:t>
            </w:r>
            <w:r>
              <w:t>capitalized</w:t>
            </w:r>
            <w:r>
              <w:rPr>
                <w:spacing w:val="-4"/>
              </w:rPr>
              <w:t xml:space="preserve"> </w:t>
            </w:r>
            <w:r>
              <w:t>or</w:t>
            </w:r>
            <w:r>
              <w:rPr>
                <w:spacing w:val="-4"/>
              </w:rPr>
              <w:t xml:space="preserve"> </w:t>
            </w:r>
            <w:r>
              <w:t>expensed</w:t>
            </w:r>
            <w:r>
              <w:rPr>
                <w:spacing w:val="-4"/>
              </w:rPr>
              <w:t xml:space="preserve"> </w:t>
            </w:r>
            <w:r>
              <w:t>in</w:t>
            </w:r>
            <w:r>
              <w:rPr>
                <w:spacing w:val="-4"/>
              </w:rPr>
              <w:t xml:space="preserve"> </w:t>
            </w:r>
            <w:r>
              <w:t>accordance with consistent capitalization limits?</w:t>
            </w:r>
          </w:p>
        </w:tc>
        <w:tc>
          <w:tcPr>
            <w:tcW w:w="811" w:type="dxa"/>
            <w:tcBorders>
              <w:top w:val="single" w:sz="8" w:space="0" w:color="000000"/>
              <w:left w:val="single" w:sz="8" w:space="0" w:color="000000"/>
              <w:bottom w:val="single" w:sz="8" w:space="0" w:color="000000"/>
              <w:right w:val="single" w:sz="8" w:space="0" w:color="000000"/>
            </w:tcBorders>
          </w:tcPr>
          <w:p w14:paraId="0DFDCF2D"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2E" w14:textId="77777777" w:rsidR="00046465" w:rsidRDefault="00046465">
            <w:pPr>
              <w:pStyle w:val="TableParagraph"/>
              <w:rPr>
                <w:rFonts w:ascii="Times New Roman"/>
              </w:rPr>
            </w:pPr>
          </w:p>
        </w:tc>
      </w:tr>
      <w:tr w:rsidR="00046465" w14:paraId="0DFDCF33" w14:textId="77777777">
        <w:trPr>
          <w:trHeight w:val="745"/>
        </w:trPr>
        <w:tc>
          <w:tcPr>
            <w:tcW w:w="7380" w:type="dxa"/>
            <w:tcBorders>
              <w:top w:val="single" w:sz="8" w:space="0" w:color="000000"/>
              <w:bottom w:val="single" w:sz="8" w:space="0" w:color="000000"/>
              <w:right w:val="single" w:sz="8" w:space="0" w:color="000000"/>
            </w:tcBorders>
          </w:tcPr>
          <w:p w14:paraId="0DFDCF30" w14:textId="77777777" w:rsidR="00046465" w:rsidRDefault="008134EB">
            <w:pPr>
              <w:pStyle w:val="TableParagraph"/>
              <w:spacing w:before="119"/>
              <w:ind w:left="1249" w:right="239" w:hanging="360"/>
            </w:pPr>
            <w:r>
              <w:t>e.</w:t>
            </w:r>
            <w:r>
              <w:rPr>
                <w:spacing w:val="80"/>
              </w:rPr>
              <w:t xml:space="preserve"> </w:t>
            </w:r>
            <w:r>
              <w:t>Did</w:t>
            </w:r>
            <w:r>
              <w:rPr>
                <w:spacing w:val="-4"/>
              </w:rPr>
              <w:t xml:space="preserve"> </w:t>
            </w:r>
            <w:r>
              <w:t>the</w:t>
            </w:r>
            <w:r>
              <w:rPr>
                <w:spacing w:val="-4"/>
              </w:rPr>
              <w:t xml:space="preserve"> </w:t>
            </w:r>
            <w:r>
              <w:t>auditor</w:t>
            </w:r>
            <w:r>
              <w:rPr>
                <w:spacing w:val="-4"/>
              </w:rPr>
              <w:t xml:space="preserve"> </w:t>
            </w:r>
            <w:r>
              <w:t>perform</w:t>
            </w:r>
            <w:r>
              <w:rPr>
                <w:spacing w:val="-5"/>
              </w:rPr>
              <w:t xml:space="preserve"> </w:t>
            </w:r>
            <w:r>
              <w:t>tests</w:t>
            </w:r>
            <w:r>
              <w:rPr>
                <w:spacing w:val="-4"/>
              </w:rPr>
              <w:t xml:space="preserve"> </w:t>
            </w:r>
            <w:r>
              <w:t>of</w:t>
            </w:r>
            <w:r>
              <w:rPr>
                <w:spacing w:val="-4"/>
              </w:rPr>
              <w:t xml:space="preserve"> </w:t>
            </w:r>
            <w:r>
              <w:t>completeness,</w:t>
            </w:r>
            <w:r>
              <w:rPr>
                <w:spacing w:val="-5"/>
              </w:rPr>
              <w:t xml:space="preserve"> </w:t>
            </w:r>
            <w:r>
              <w:t>such</w:t>
            </w:r>
            <w:r>
              <w:rPr>
                <w:spacing w:val="-4"/>
              </w:rPr>
              <w:t xml:space="preserve"> </w:t>
            </w:r>
            <w:r>
              <w:t>as testing from disbursements to property records?</w:t>
            </w:r>
          </w:p>
        </w:tc>
        <w:tc>
          <w:tcPr>
            <w:tcW w:w="811" w:type="dxa"/>
            <w:tcBorders>
              <w:top w:val="single" w:sz="8" w:space="0" w:color="000000"/>
              <w:left w:val="single" w:sz="8" w:space="0" w:color="000000"/>
              <w:bottom w:val="single" w:sz="8" w:space="0" w:color="000000"/>
              <w:right w:val="single" w:sz="8" w:space="0" w:color="000000"/>
            </w:tcBorders>
          </w:tcPr>
          <w:p w14:paraId="0DFDCF31"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32" w14:textId="77777777" w:rsidR="00046465" w:rsidRDefault="00046465">
            <w:pPr>
              <w:pStyle w:val="TableParagraph"/>
              <w:rPr>
                <w:rFonts w:ascii="Times New Roman"/>
              </w:rPr>
            </w:pPr>
          </w:p>
        </w:tc>
      </w:tr>
      <w:tr w:rsidR="00046465" w14:paraId="0DFDCF38" w14:textId="77777777">
        <w:trPr>
          <w:trHeight w:val="986"/>
        </w:trPr>
        <w:tc>
          <w:tcPr>
            <w:tcW w:w="7380" w:type="dxa"/>
            <w:tcBorders>
              <w:top w:val="single" w:sz="8" w:space="0" w:color="000000"/>
              <w:bottom w:val="single" w:sz="8" w:space="0" w:color="000000"/>
              <w:right w:val="single" w:sz="8" w:space="0" w:color="000000"/>
            </w:tcBorders>
          </w:tcPr>
          <w:p w14:paraId="0DFDCF34" w14:textId="77777777" w:rsidR="00046465" w:rsidRDefault="008134EB">
            <w:pPr>
              <w:pStyle w:val="TableParagraph"/>
              <w:spacing w:before="121"/>
              <w:ind w:left="483"/>
              <w:rPr>
                <w:b/>
              </w:rPr>
            </w:pPr>
            <w:r>
              <w:t>17.</w:t>
            </w:r>
            <w:r>
              <w:rPr>
                <w:spacing w:val="-11"/>
              </w:rPr>
              <w:t xml:space="preserve"> </w:t>
            </w:r>
            <w:r>
              <w:rPr>
                <w:b/>
                <w:spacing w:val="-2"/>
              </w:rPr>
              <w:t>Liabilities</w:t>
            </w:r>
          </w:p>
          <w:p w14:paraId="0DFDCF35" w14:textId="77777777" w:rsidR="00046465" w:rsidRDefault="008134EB">
            <w:pPr>
              <w:pStyle w:val="TableParagraph"/>
              <w:spacing w:before="240"/>
              <w:ind w:left="843"/>
            </w:pPr>
            <w:r>
              <w:t>Consider</w:t>
            </w:r>
            <w:r>
              <w:rPr>
                <w:spacing w:val="-9"/>
              </w:rPr>
              <w:t xml:space="preserve"> </w:t>
            </w:r>
            <w:r>
              <w:t>these</w:t>
            </w:r>
            <w:r>
              <w:rPr>
                <w:spacing w:val="-8"/>
              </w:rPr>
              <w:t xml:space="preserve"> </w:t>
            </w:r>
            <w:r>
              <w:rPr>
                <w:spacing w:val="-2"/>
              </w:rPr>
              <w:t>issues: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F36"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F37" w14:textId="77777777" w:rsidR="00046465" w:rsidRDefault="00046465">
            <w:pPr>
              <w:pStyle w:val="TableParagraph"/>
              <w:rPr>
                <w:rFonts w:ascii="Times New Roman"/>
              </w:rPr>
            </w:pPr>
          </w:p>
        </w:tc>
      </w:tr>
    </w:tbl>
    <w:p w14:paraId="0DFDCF39"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CF3A" w14:textId="77777777" w:rsidR="00046465" w:rsidRDefault="00046465">
      <w:pPr>
        <w:pStyle w:val="BodyText"/>
        <w:spacing w:before="6"/>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CF41" w14:textId="77777777">
        <w:trPr>
          <w:trHeight w:val="936"/>
        </w:trPr>
        <w:tc>
          <w:tcPr>
            <w:tcW w:w="7380" w:type="dxa"/>
            <w:tcBorders>
              <w:right w:val="single" w:sz="8" w:space="0" w:color="000000"/>
            </w:tcBorders>
            <w:shd w:val="clear" w:color="auto" w:fill="A6A6A6"/>
          </w:tcPr>
          <w:p w14:paraId="0DFDCF3B" w14:textId="77777777" w:rsidR="00046465" w:rsidRDefault="00046465">
            <w:pPr>
              <w:pStyle w:val="TableParagraph"/>
              <w:spacing w:before="266"/>
              <w:rPr>
                <w:b/>
                <w:sz w:val="24"/>
              </w:rPr>
            </w:pPr>
          </w:p>
          <w:p w14:paraId="0DFDCF3C"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CF3D"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CF3E" w14:textId="77777777" w:rsidR="00046465" w:rsidRDefault="00046465">
            <w:pPr>
              <w:pStyle w:val="TableParagraph"/>
              <w:rPr>
                <w:b/>
              </w:rPr>
            </w:pPr>
          </w:p>
          <w:p w14:paraId="0DFDCF3F" w14:textId="77777777" w:rsidR="00046465" w:rsidRDefault="00046465">
            <w:pPr>
              <w:pStyle w:val="TableParagraph"/>
              <w:spacing w:before="120"/>
              <w:rPr>
                <w:b/>
              </w:rPr>
            </w:pPr>
          </w:p>
          <w:p w14:paraId="0DFDCF40"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CF45" w14:textId="77777777">
        <w:trPr>
          <w:trHeight w:val="746"/>
        </w:trPr>
        <w:tc>
          <w:tcPr>
            <w:tcW w:w="7380" w:type="dxa"/>
            <w:tcBorders>
              <w:bottom w:val="single" w:sz="8" w:space="0" w:color="000000"/>
              <w:right w:val="single" w:sz="8" w:space="0" w:color="000000"/>
            </w:tcBorders>
          </w:tcPr>
          <w:p w14:paraId="0DFDCF42" w14:textId="77777777" w:rsidR="00046465" w:rsidRDefault="008134EB">
            <w:pPr>
              <w:pStyle w:val="TableParagraph"/>
              <w:spacing w:before="121"/>
              <w:ind w:left="1159" w:hanging="361"/>
            </w:pPr>
            <w:r>
              <w:t>a.</w:t>
            </w:r>
            <w:r>
              <w:rPr>
                <w:spacing w:val="78"/>
              </w:rPr>
              <w:t xml:space="preserve"> </w:t>
            </w:r>
            <w:r>
              <w:t>Did</w:t>
            </w:r>
            <w:r>
              <w:rPr>
                <w:spacing w:val="-4"/>
              </w:rPr>
              <w:t xml:space="preserve"> </w:t>
            </w:r>
            <w:r>
              <w:t>the</w:t>
            </w:r>
            <w:r>
              <w:rPr>
                <w:spacing w:val="-4"/>
              </w:rPr>
              <w:t xml:space="preserve"> </w:t>
            </w:r>
            <w:r>
              <w:t>auditor</w:t>
            </w:r>
            <w:r>
              <w:rPr>
                <w:spacing w:val="-4"/>
              </w:rPr>
              <w:t xml:space="preserve"> </w:t>
            </w:r>
            <w:r>
              <w:t>perform</w:t>
            </w:r>
            <w:r>
              <w:rPr>
                <w:spacing w:val="-5"/>
              </w:rPr>
              <w:t xml:space="preserve"> </w:t>
            </w:r>
            <w:r>
              <w:t>an</w:t>
            </w:r>
            <w:r>
              <w:rPr>
                <w:spacing w:val="-4"/>
              </w:rPr>
              <w:t xml:space="preserve"> </w:t>
            </w:r>
            <w:r>
              <w:t>adequate</w:t>
            </w:r>
            <w:r>
              <w:rPr>
                <w:spacing w:val="-5"/>
              </w:rPr>
              <w:t xml:space="preserve"> </w:t>
            </w:r>
            <w:r>
              <w:t>search</w:t>
            </w:r>
            <w:r>
              <w:rPr>
                <w:spacing w:val="-4"/>
              </w:rPr>
              <w:t xml:space="preserve"> </w:t>
            </w:r>
            <w:r>
              <w:t>for</w:t>
            </w:r>
            <w:r>
              <w:rPr>
                <w:spacing w:val="-4"/>
              </w:rPr>
              <w:t xml:space="preserve"> </w:t>
            </w:r>
            <w:r>
              <w:t>unrecorded liabilities as close as possible to the opinion date?</w:t>
            </w:r>
          </w:p>
        </w:tc>
        <w:tc>
          <w:tcPr>
            <w:tcW w:w="811" w:type="dxa"/>
            <w:tcBorders>
              <w:left w:val="single" w:sz="8" w:space="0" w:color="000000"/>
              <w:bottom w:val="single" w:sz="8" w:space="0" w:color="000000"/>
              <w:right w:val="single" w:sz="8" w:space="0" w:color="000000"/>
            </w:tcBorders>
          </w:tcPr>
          <w:p w14:paraId="0DFDCF43" w14:textId="77777777" w:rsidR="00046465" w:rsidRDefault="00046465">
            <w:pPr>
              <w:pStyle w:val="TableParagraph"/>
              <w:rPr>
                <w:rFonts w:ascii="Times New Roman"/>
              </w:rPr>
            </w:pPr>
          </w:p>
        </w:tc>
        <w:tc>
          <w:tcPr>
            <w:tcW w:w="1349" w:type="dxa"/>
            <w:tcBorders>
              <w:left w:val="single" w:sz="8" w:space="0" w:color="000000"/>
              <w:bottom w:val="single" w:sz="8" w:space="0" w:color="000000"/>
            </w:tcBorders>
          </w:tcPr>
          <w:p w14:paraId="0DFDCF44" w14:textId="77777777" w:rsidR="00046465" w:rsidRDefault="00046465">
            <w:pPr>
              <w:pStyle w:val="TableParagraph"/>
              <w:rPr>
                <w:rFonts w:ascii="Times New Roman"/>
              </w:rPr>
            </w:pPr>
          </w:p>
        </w:tc>
      </w:tr>
      <w:tr w:rsidR="00046465" w14:paraId="0DFDCF49" w14:textId="77777777">
        <w:trPr>
          <w:trHeight w:val="1505"/>
        </w:trPr>
        <w:tc>
          <w:tcPr>
            <w:tcW w:w="7380" w:type="dxa"/>
            <w:tcBorders>
              <w:top w:val="single" w:sz="8" w:space="0" w:color="000000"/>
              <w:bottom w:val="single" w:sz="8" w:space="0" w:color="000000"/>
              <w:right w:val="single" w:sz="8" w:space="0" w:color="000000"/>
            </w:tcBorders>
          </w:tcPr>
          <w:p w14:paraId="0DFDCF46" w14:textId="77777777" w:rsidR="00046465" w:rsidRDefault="008134EB">
            <w:pPr>
              <w:pStyle w:val="TableParagraph"/>
              <w:spacing w:before="121"/>
              <w:ind w:left="1159" w:hanging="360"/>
            </w:pPr>
            <w:r>
              <w:t>b.</w:t>
            </w:r>
            <w:r>
              <w:rPr>
                <w:spacing w:val="80"/>
              </w:rPr>
              <w:t xml:space="preserve"> </w:t>
            </w:r>
            <w:r>
              <w:t>Did the auditor consider expenses that might require accrual (e.g.,</w:t>
            </w:r>
            <w:r>
              <w:rPr>
                <w:spacing w:val="-8"/>
              </w:rPr>
              <w:t xml:space="preserve"> </w:t>
            </w:r>
            <w:r>
              <w:t>pensions,</w:t>
            </w:r>
            <w:r>
              <w:rPr>
                <w:spacing w:val="-8"/>
              </w:rPr>
              <w:t xml:space="preserve"> </w:t>
            </w:r>
            <w:r>
              <w:t>compensated</w:t>
            </w:r>
            <w:r>
              <w:rPr>
                <w:spacing w:val="-8"/>
              </w:rPr>
              <w:t xml:space="preserve"> </w:t>
            </w:r>
            <w:r>
              <w:t>absences,</w:t>
            </w:r>
            <w:r>
              <w:rPr>
                <w:spacing w:val="-8"/>
              </w:rPr>
              <w:t xml:space="preserve"> </w:t>
            </w:r>
            <w:r>
              <w:t>other</w:t>
            </w:r>
            <w:r>
              <w:rPr>
                <w:spacing w:val="-8"/>
              </w:rPr>
              <w:t xml:space="preserve"> </w:t>
            </w:r>
            <w:r>
              <w:t>postretirement benefits, or postemployment benefits provided to former or inactive employees prior to retirement) and whether accrued expenses were reasonably stated?</w:t>
            </w:r>
          </w:p>
        </w:tc>
        <w:tc>
          <w:tcPr>
            <w:tcW w:w="811" w:type="dxa"/>
            <w:tcBorders>
              <w:top w:val="single" w:sz="8" w:space="0" w:color="000000"/>
              <w:left w:val="single" w:sz="8" w:space="0" w:color="000000"/>
              <w:bottom w:val="single" w:sz="8" w:space="0" w:color="000000"/>
              <w:right w:val="single" w:sz="8" w:space="0" w:color="000000"/>
            </w:tcBorders>
          </w:tcPr>
          <w:p w14:paraId="0DFDCF47"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48" w14:textId="77777777" w:rsidR="00046465" w:rsidRDefault="00046465">
            <w:pPr>
              <w:pStyle w:val="TableParagraph"/>
              <w:rPr>
                <w:rFonts w:ascii="Times New Roman"/>
              </w:rPr>
            </w:pPr>
          </w:p>
        </w:tc>
      </w:tr>
      <w:tr w:rsidR="00046465" w14:paraId="0DFDCF4E" w14:textId="77777777">
        <w:trPr>
          <w:trHeight w:val="925"/>
        </w:trPr>
        <w:tc>
          <w:tcPr>
            <w:tcW w:w="7380" w:type="dxa"/>
            <w:tcBorders>
              <w:top w:val="single" w:sz="8" w:space="0" w:color="000000"/>
              <w:bottom w:val="single" w:sz="8" w:space="0" w:color="000000"/>
              <w:right w:val="single" w:sz="8" w:space="0" w:color="000000"/>
            </w:tcBorders>
          </w:tcPr>
          <w:p w14:paraId="0DFDCF4A" w14:textId="77777777" w:rsidR="00046465" w:rsidRDefault="008134EB">
            <w:pPr>
              <w:pStyle w:val="TableParagraph"/>
              <w:spacing w:before="121"/>
              <w:ind w:left="483"/>
              <w:rPr>
                <w:b/>
              </w:rPr>
            </w:pPr>
            <w:r>
              <w:t>18.</w:t>
            </w:r>
            <w:r>
              <w:rPr>
                <w:spacing w:val="-13"/>
              </w:rPr>
              <w:t xml:space="preserve"> </w:t>
            </w:r>
            <w:r>
              <w:rPr>
                <w:b/>
              </w:rPr>
              <w:t>Revenue</w:t>
            </w:r>
            <w:r>
              <w:rPr>
                <w:b/>
                <w:spacing w:val="-6"/>
              </w:rPr>
              <w:t xml:space="preserve"> </w:t>
            </w:r>
            <w:r>
              <w:rPr>
                <w:b/>
              </w:rPr>
              <w:t>and</w:t>
            </w:r>
            <w:r>
              <w:rPr>
                <w:b/>
                <w:spacing w:val="-6"/>
              </w:rPr>
              <w:t xml:space="preserve"> </w:t>
            </w:r>
            <w:r>
              <w:rPr>
                <w:b/>
                <w:spacing w:val="-2"/>
              </w:rPr>
              <w:t>Expenses</w:t>
            </w:r>
          </w:p>
          <w:p w14:paraId="0DFDCF4B" w14:textId="77777777" w:rsidR="00046465" w:rsidRDefault="008134EB">
            <w:pPr>
              <w:pStyle w:val="TableParagraph"/>
              <w:spacing w:before="180"/>
              <w:ind w:left="843"/>
            </w:pPr>
            <w:r>
              <w:t>Consider</w:t>
            </w:r>
            <w:r>
              <w:rPr>
                <w:spacing w:val="-9"/>
              </w:rPr>
              <w:t xml:space="preserve"> </w:t>
            </w:r>
            <w:r>
              <w:t>these</w:t>
            </w:r>
            <w:r>
              <w:rPr>
                <w:spacing w:val="-8"/>
              </w:rPr>
              <w:t xml:space="preserve"> </w:t>
            </w:r>
            <w:r>
              <w:rPr>
                <w:spacing w:val="-2"/>
              </w:rPr>
              <w:t>issues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F4C"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F4D" w14:textId="77777777" w:rsidR="00046465" w:rsidRDefault="00046465">
            <w:pPr>
              <w:pStyle w:val="TableParagraph"/>
              <w:rPr>
                <w:rFonts w:ascii="Times New Roman"/>
              </w:rPr>
            </w:pPr>
          </w:p>
        </w:tc>
      </w:tr>
      <w:tr w:rsidR="00046465" w14:paraId="0DFDCF52" w14:textId="77777777">
        <w:trPr>
          <w:trHeight w:val="940"/>
        </w:trPr>
        <w:tc>
          <w:tcPr>
            <w:tcW w:w="7380" w:type="dxa"/>
            <w:tcBorders>
              <w:top w:val="single" w:sz="8" w:space="0" w:color="000000"/>
              <w:bottom w:val="single" w:sz="8" w:space="0" w:color="000000"/>
              <w:right w:val="single" w:sz="8" w:space="0" w:color="000000"/>
            </w:tcBorders>
          </w:tcPr>
          <w:p w14:paraId="0DFDCF4F" w14:textId="77777777" w:rsidR="00046465" w:rsidRDefault="008134EB">
            <w:pPr>
              <w:pStyle w:val="TableParagraph"/>
              <w:spacing w:before="61"/>
              <w:ind w:left="1249" w:right="239" w:hanging="360"/>
            </w:pPr>
            <w:r>
              <w:t>a.</w:t>
            </w:r>
            <w:r>
              <w:rPr>
                <w:spacing w:val="80"/>
              </w:rPr>
              <w:t xml:space="preserve"> </w:t>
            </w:r>
            <w:r>
              <w:t>Did the auditor compare revenue and expenses for the period</w:t>
            </w:r>
            <w:r>
              <w:rPr>
                <w:spacing w:val="-5"/>
              </w:rPr>
              <w:t xml:space="preserve"> </w:t>
            </w:r>
            <w:r>
              <w:t>to</w:t>
            </w:r>
            <w:r>
              <w:rPr>
                <w:spacing w:val="-5"/>
              </w:rPr>
              <w:t xml:space="preserve"> </w:t>
            </w:r>
            <w:r>
              <w:t>expectations,</w:t>
            </w:r>
            <w:r>
              <w:rPr>
                <w:spacing w:val="-6"/>
              </w:rPr>
              <w:t xml:space="preserve"> </w:t>
            </w:r>
            <w:r>
              <w:t>based</w:t>
            </w:r>
            <w:r>
              <w:rPr>
                <w:spacing w:val="-5"/>
              </w:rPr>
              <w:t xml:space="preserve"> </w:t>
            </w:r>
            <w:r>
              <w:t>on</w:t>
            </w:r>
            <w:r>
              <w:rPr>
                <w:spacing w:val="-5"/>
              </w:rPr>
              <w:t xml:space="preserve"> </w:t>
            </w:r>
            <w:r>
              <w:t>the</w:t>
            </w:r>
            <w:r>
              <w:rPr>
                <w:spacing w:val="-5"/>
              </w:rPr>
              <w:t xml:space="preserve"> </w:t>
            </w:r>
            <w:r>
              <w:t>budget</w:t>
            </w:r>
            <w:r>
              <w:rPr>
                <w:spacing w:val="-5"/>
              </w:rPr>
              <w:t xml:space="preserve"> </w:t>
            </w:r>
            <w:r>
              <w:t>and</w:t>
            </w:r>
            <w:r>
              <w:rPr>
                <w:spacing w:val="-5"/>
              </w:rPr>
              <w:t xml:space="preserve"> </w:t>
            </w:r>
            <w:r>
              <w:t>the</w:t>
            </w:r>
            <w:r>
              <w:rPr>
                <w:spacing w:val="-5"/>
              </w:rPr>
              <w:t xml:space="preserve"> </w:t>
            </w:r>
            <w:r>
              <w:t>results of the preceding period?</w:t>
            </w:r>
          </w:p>
        </w:tc>
        <w:tc>
          <w:tcPr>
            <w:tcW w:w="811" w:type="dxa"/>
            <w:tcBorders>
              <w:top w:val="single" w:sz="8" w:space="0" w:color="000000"/>
              <w:left w:val="single" w:sz="8" w:space="0" w:color="000000"/>
              <w:bottom w:val="single" w:sz="8" w:space="0" w:color="000000"/>
              <w:right w:val="single" w:sz="8" w:space="0" w:color="000000"/>
            </w:tcBorders>
          </w:tcPr>
          <w:p w14:paraId="0DFDCF50"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51" w14:textId="77777777" w:rsidR="00046465" w:rsidRDefault="00046465">
            <w:pPr>
              <w:pStyle w:val="TableParagraph"/>
              <w:rPr>
                <w:rFonts w:ascii="Times New Roman"/>
              </w:rPr>
            </w:pPr>
          </w:p>
        </w:tc>
      </w:tr>
      <w:tr w:rsidR="00046465" w14:paraId="0DFDCF56" w14:textId="77777777">
        <w:trPr>
          <w:trHeight w:val="1443"/>
        </w:trPr>
        <w:tc>
          <w:tcPr>
            <w:tcW w:w="7380" w:type="dxa"/>
            <w:tcBorders>
              <w:top w:val="single" w:sz="8" w:space="0" w:color="000000"/>
              <w:bottom w:val="single" w:sz="8" w:space="0" w:color="000000"/>
              <w:right w:val="single" w:sz="8" w:space="0" w:color="000000"/>
            </w:tcBorders>
          </w:tcPr>
          <w:p w14:paraId="0DFDCF53" w14:textId="77777777" w:rsidR="00046465" w:rsidRDefault="008134EB">
            <w:pPr>
              <w:pStyle w:val="TableParagraph"/>
              <w:spacing w:before="59"/>
              <w:ind w:left="1249" w:right="53" w:hanging="360"/>
            </w:pPr>
            <w:r>
              <w:t>b.</w:t>
            </w:r>
            <w:r>
              <w:rPr>
                <w:spacing w:val="80"/>
              </w:rPr>
              <w:t xml:space="preserve"> </w:t>
            </w:r>
            <w:r>
              <w:t>For significant variances and fluctuations from expectations, were management’s explanations corroborated with other audit</w:t>
            </w:r>
            <w:r>
              <w:rPr>
                <w:spacing w:val="-5"/>
              </w:rPr>
              <w:t xml:space="preserve"> </w:t>
            </w:r>
            <w:r>
              <w:t>evidence,</w:t>
            </w:r>
            <w:r>
              <w:rPr>
                <w:spacing w:val="-5"/>
              </w:rPr>
              <w:t xml:space="preserve"> </w:t>
            </w:r>
            <w:r>
              <w:t>or</w:t>
            </w:r>
            <w:r>
              <w:rPr>
                <w:spacing w:val="-5"/>
              </w:rPr>
              <w:t xml:space="preserve"> </w:t>
            </w:r>
            <w:r>
              <w:t>if</w:t>
            </w:r>
            <w:r>
              <w:rPr>
                <w:spacing w:val="-5"/>
              </w:rPr>
              <w:t xml:space="preserve"> </w:t>
            </w:r>
            <w:r>
              <w:t>explanations</w:t>
            </w:r>
            <w:r>
              <w:rPr>
                <w:spacing w:val="-5"/>
              </w:rPr>
              <w:t xml:space="preserve"> </w:t>
            </w:r>
            <w:r>
              <w:t>could</w:t>
            </w:r>
            <w:r>
              <w:rPr>
                <w:spacing w:val="-5"/>
              </w:rPr>
              <w:t xml:space="preserve"> </w:t>
            </w:r>
            <w:r>
              <w:t>not</w:t>
            </w:r>
            <w:r>
              <w:rPr>
                <w:spacing w:val="-5"/>
              </w:rPr>
              <w:t xml:space="preserve"> </w:t>
            </w:r>
            <w:r>
              <w:t>be</w:t>
            </w:r>
            <w:r>
              <w:rPr>
                <w:spacing w:val="-5"/>
              </w:rPr>
              <w:t xml:space="preserve"> </w:t>
            </w:r>
            <w:r>
              <w:t>obtained,</w:t>
            </w:r>
            <w:r>
              <w:rPr>
                <w:spacing w:val="-5"/>
              </w:rPr>
              <w:t xml:space="preserve"> </w:t>
            </w:r>
            <w:r>
              <w:t>were other audit procedures performed to determine whether the variance is a misstatement?</w:t>
            </w:r>
          </w:p>
        </w:tc>
        <w:tc>
          <w:tcPr>
            <w:tcW w:w="811" w:type="dxa"/>
            <w:tcBorders>
              <w:top w:val="single" w:sz="8" w:space="0" w:color="000000"/>
              <w:left w:val="single" w:sz="8" w:space="0" w:color="000000"/>
              <w:bottom w:val="single" w:sz="8" w:space="0" w:color="000000"/>
              <w:right w:val="single" w:sz="8" w:space="0" w:color="000000"/>
            </w:tcBorders>
          </w:tcPr>
          <w:p w14:paraId="0DFDCF54"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55" w14:textId="77777777" w:rsidR="00046465" w:rsidRDefault="00046465">
            <w:pPr>
              <w:pStyle w:val="TableParagraph"/>
              <w:rPr>
                <w:rFonts w:ascii="Times New Roman"/>
              </w:rPr>
            </w:pPr>
          </w:p>
        </w:tc>
      </w:tr>
      <w:tr w:rsidR="00046465" w14:paraId="0DFDCF5A" w14:textId="77777777">
        <w:trPr>
          <w:trHeight w:val="493"/>
        </w:trPr>
        <w:tc>
          <w:tcPr>
            <w:tcW w:w="7380" w:type="dxa"/>
            <w:tcBorders>
              <w:top w:val="single" w:sz="8" w:space="0" w:color="000000"/>
              <w:bottom w:val="single" w:sz="8" w:space="0" w:color="000000"/>
              <w:right w:val="single" w:sz="8" w:space="0" w:color="000000"/>
            </w:tcBorders>
          </w:tcPr>
          <w:p w14:paraId="0DFDCF57" w14:textId="77777777" w:rsidR="00046465" w:rsidRDefault="008134EB">
            <w:pPr>
              <w:pStyle w:val="TableParagraph"/>
              <w:spacing w:before="61"/>
              <w:ind w:left="889"/>
            </w:pPr>
            <w:r>
              <w:t>c.</w:t>
            </w:r>
            <w:r>
              <w:rPr>
                <w:spacing w:val="31"/>
              </w:rPr>
              <w:t xml:space="preserve"> </w:t>
            </w:r>
            <w:r>
              <w:t>Did</w:t>
            </w:r>
            <w:r>
              <w:rPr>
                <w:spacing w:val="-4"/>
              </w:rPr>
              <w:t xml:space="preserve"> </w:t>
            </w:r>
            <w:r>
              <w:t>the</w:t>
            </w:r>
            <w:r>
              <w:rPr>
                <w:spacing w:val="-4"/>
              </w:rPr>
              <w:t xml:space="preserve"> </w:t>
            </w:r>
            <w:r>
              <w:t>auditor</w:t>
            </w:r>
            <w:r>
              <w:rPr>
                <w:spacing w:val="-3"/>
              </w:rPr>
              <w:t xml:space="preserve"> </w:t>
            </w:r>
            <w:r>
              <w:rPr>
                <w:spacing w:val="-2"/>
              </w:rPr>
              <w:t>consider</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F58"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F59" w14:textId="77777777" w:rsidR="00046465" w:rsidRDefault="00046465">
            <w:pPr>
              <w:pStyle w:val="TableParagraph"/>
              <w:rPr>
                <w:rFonts w:ascii="Times New Roman"/>
              </w:rPr>
            </w:pPr>
          </w:p>
        </w:tc>
      </w:tr>
      <w:tr w:rsidR="00046465" w14:paraId="0DFDCF5E" w14:textId="77777777">
        <w:trPr>
          <w:trHeight w:val="492"/>
        </w:trPr>
        <w:tc>
          <w:tcPr>
            <w:tcW w:w="7380" w:type="dxa"/>
            <w:tcBorders>
              <w:top w:val="single" w:sz="8" w:space="0" w:color="000000"/>
              <w:bottom w:val="single" w:sz="8" w:space="0" w:color="000000"/>
              <w:right w:val="single" w:sz="8" w:space="0" w:color="000000"/>
            </w:tcBorders>
          </w:tcPr>
          <w:p w14:paraId="0DFDCF5B" w14:textId="77777777" w:rsidR="00046465" w:rsidRDefault="008134EB">
            <w:pPr>
              <w:pStyle w:val="TableParagraph"/>
              <w:spacing w:before="119"/>
              <w:ind w:left="1319"/>
            </w:pPr>
            <w:r>
              <w:t>i.</w:t>
            </w:r>
            <w:r>
              <w:rPr>
                <w:spacing w:val="73"/>
                <w:w w:val="150"/>
              </w:rPr>
              <w:t xml:space="preserve"> </w:t>
            </w:r>
            <w:r>
              <w:t>the</w:t>
            </w:r>
            <w:r>
              <w:rPr>
                <w:spacing w:val="-5"/>
              </w:rPr>
              <w:t xml:space="preserve"> </w:t>
            </w:r>
            <w:r>
              <w:t>entity’s</w:t>
            </w:r>
            <w:r>
              <w:rPr>
                <w:spacing w:val="-5"/>
              </w:rPr>
              <w:t xml:space="preserve"> </w:t>
            </w:r>
            <w:r>
              <w:t>revenue</w:t>
            </w:r>
            <w:r>
              <w:rPr>
                <w:spacing w:val="-5"/>
              </w:rPr>
              <w:t xml:space="preserve"> </w:t>
            </w:r>
            <w:r>
              <w:t>recognition</w:t>
            </w:r>
            <w:r>
              <w:rPr>
                <w:spacing w:val="-5"/>
              </w:rPr>
              <w:t xml:space="preserve"> </w:t>
            </w:r>
            <w:r>
              <w:rPr>
                <w:spacing w:val="-2"/>
              </w:rPr>
              <w:t>policy,</w:t>
            </w:r>
          </w:p>
        </w:tc>
        <w:tc>
          <w:tcPr>
            <w:tcW w:w="811" w:type="dxa"/>
            <w:tcBorders>
              <w:top w:val="single" w:sz="8" w:space="0" w:color="000000"/>
              <w:left w:val="single" w:sz="8" w:space="0" w:color="000000"/>
              <w:bottom w:val="single" w:sz="8" w:space="0" w:color="000000"/>
              <w:right w:val="single" w:sz="8" w:space="0" w:color="000000"/>
            </w:tcBorders>
          </w:tcPr>
          <w:p w14:paraId="0DFDCF5C"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5D" w14:textId="77777777" w:rsidR="00046465" w:rsidRDefault="00046465">
            <w:pPr>
              <w:pStyle w:val="TableParagraph"/>
              <w:rPr>
                <w:rFonts w:ascii="Times New Roman"/>
              </w:rPr>
            </w:pPr>
          </w:p>
        </w:tc>
      </w:tr>
      <w:tr w:rsidR="00046465" w14:paraId="0DFDCF62" w14:textId="77777777">
        <w:trPr>
          <w:trHeight w:val="493"/>
        </w:trPr>
        <w:tc>
          <w:tcPr>
            <w:tcW w:w="7380" w:type="dxa"/>
            <w:tcBorders>
              <w:top w:val="single" w:sz="8" w:space="0" w:color="000000"/>
              <w:bottom w:val="single" w:sz="8" w:space="0" w:color="000000"/>
              <w:right w:val="single" w:sz="8" w:space="0" w:color="000000"/>
            </w:tcBorders>
          </w:tcPr>
          <w:p w14:paraId="0DFDCF5F" w14:textId="77777777" w:rsidR="00046465" w:rsidRDefault="008134EB">
            <w:pPr>
              <w:pStyle w:val="TableParagraph"/>
              <w:spacing w:before="121"/>
              <w:ind w:left="1269"/>
            </w:pPr>
            <w:r>
              <w:t>ii.</w:t>
            </w:r>
            <w:r>
              <w:rPr>
                <w:spacing w:val="73"/>
                <w:w w:val="150"/>
              </w:rPr>
              <w:t xml:space="preserve"> </w:t>
            </w:r>
            <w:r>
              <w:t>unusual</w:t>
            </w:r>
            <w:r>
              <w:rPr>
                <w:spacing w:val="-5"/>
              </w:rPr>
              <w:t xml:space="preserve"> </w:t>
            </w:r>
            <w:r>
              <w:t>transactions,</w:t>
            </w:r>
            <w:r>
              <w:rPr>
                <w:spacing w:val="-5"/>
              </w:rPr>
              <w:t xml:space="preserve"> and</w:t>
            </w:r>
          </w:p>
        </w:tc>
        <w:tc>
          <w:tcPr>
            <w:tcW w:w="811" w:type="dxa"/>
            <w:tcBorders>
              <w:top w:val="single" w:sz="8" w:space="0" w:color="000000"/>
              <w:left w:val="single" w:sz="8" w:space="0" w:color="000000"/>
              <w:bottom w:val="single" w:sz="8" w:space="0" w:color="000000"/>
              <w:right w:val="single" w:sz="8" w:space="0" w:color="000000"/>
            </w:tcBorders>
          </w:tcPr>
          <w:p w14:paraId="0DFDCF60"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61" w14:textId="77777777" w:rsidR="00046465" w:rsidRDefault="00046465">
            <w:pPr>
              <w:pStyle w:val="TableParagraph"/>
              <w:rPr>
                <w:rFonts w:ascii="Times New Roman"/>
              </w:rPr>
            </w:pPr>
          </w:p>
        </w:tc>
      </w:tr>
      <w:tr w:rsidR="00046465" w14:paraId="0DFDCF66" w14:textId="77777777">
        <w:trPr>
          <w:trHeight w:val="492"/>
        </w:trPr>
        <w:tc>
          <w:tcPr>
            <w:tcW w:w="7380" w:type="dxa"/>
            <w:tcBorders>
              <w:top w:val="single" w:sz="8" w:space="0" w:color="000000"/>
              <w:bottom w:val="single" w:sz="8" w:space="0" w:color="000000"/>
              <w:right w:val="single" w:sz="8" w:space="0" w:color="000000"/>
            </w:tcBorders>
          </w:tcPr>
          <w:p w14:paraId="0DFDCF63" w14:textId="77777777" w:rsidR="00046465" w:rsidRDefault="008134EB">
            <w:pPr>
              <w:pStyle w:val="TableParagraph"/>
              <w:spacing w:before="119"/>
              <w:ind w:left="1220"/>
            </w:pPr>
            <w:r>
              <w:t>iii.</w:t>
            </w:r>
            <w:r>
              <w:rPr>
                <w:spacing w:val="25"/>
              </w:rPr>
              <w:t xml:space="preserve">  </w:t>
            </w:r>
            <w:r>
              <w:t>fraud</w:t>
            </w:r>
            <w:r>
              <w:rPr>
                <w:spacing w:val="-1"/>
              </w:rPr>
              <w:t xml:space="preserve"> </w:t>
            </w:r>
            <w:r>
              <w:rPr>
                <w:spacing w:val="-2"/>
              </w:rPr>
              <w:t>risks?</w:t>
            </w:r>
          </w:p>
        </w:tc>
        <w:tc>
          <w:tcPr>
            <w:tcW w:w="811" w:type="dxa"/>
            <w:tcBorders>
              <w:top w:val="single" w:sz="8" w:space="0" w:color="000000"/>
              <w:left w:val="single" w:sz="8" w:space="0" w:color="000000"/>
              <w:bottom w:val="single" w:sz="8" w:space="0" w:color="000000"/>
              <w:right w:val="single" w:sz="8" w:space="0" w:color="000000"/>
            </w:tcBorders>
          </w:tcPr>
          <w:p w14:paraId="0DFDCF64"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65" w14:textId="77777777" w:rsidR="00046465" w:rsidRDefault="00046465">
            <w:pPr>
              <w:pStyle w:val="TableParagraph"/>
              <w:rPr>
                <w:rFonts w:ascii="Times New Roman"/>
              </w:rPr>
            </w:pPr>
          </w:p>
        </w:tc>
      </w:tr>
      <w:tr w:rsidR="00046465" w14:paraId="0DFDCF6B" w14:textId="77777777">
        <w:trPr>
          <w:trHeight w:val="925"/>
        </w:trPr>
        <w:tc>
          <w:tcPr>
            <w:tcW w:w="7380" w:type="dxa"/>
            <w:tcBorders>
              <w:top w:val="single" w:sz="8" w:space="0" w:color="000000"/>
              <w:bottom w:val="single" w:sz="8" w:space="0" w:color="000000"/>
              <w:right w:val="single" w:sz="8" w:space="0" w:color="000000"/>
            </w:tcBorders>
          </w:tcPr>
          <w:p w14:paraId="0DFDCF67" w14:textId="77777777" w:rsidR="00046465" w:rsidRDefault="008134EB">
            <w:pPr>
              <w:pStyle w:val="TableParagraph"/>
              <w:spacing w:before="121"/>
              <w:ind w:left="483"/>
              <w:rPr>
                <w:b/>
              </w:rPr>
            </w:pPr>
            <w:r>
              <w:t>19.</w:t>
            </w:r>
            <w:r>
              <w:rPr>
                <w:spacing w:val="-15"/>
              </w:rPr>
              <w:t xml:space="preserve"> </w:t>
            </w:r>
            <w:r>
              <w:rPr>
                <w:b/>
              </w:rPr>
              <w:t>Statement</w:t>
            </w:r>
            <w:r>
              <w:rPr>
                <w:b/>
                <w:spacing w:val="-9"/>
              </w:rPr>
              <w:t xml:space="preserve"> </w:t>
            </w:r>
            <w:r>
              <w:rPr>
                <w:b/>
              </w:rPr>
              <w:t>of</w:t>
            </w:r>
            <w:r>
              <w:rPr>
                <w:b/>
                <w:spacing w:val="-8"/>
              </w:rPr>
              <w:t xml:space="preserve"> </w:t>
            </w:r>
            <w:r>
              <w:rPr>
                <w:b/>
              </w:rPr>
              <w:t>Budgetary</w:t>
            </w:r>
            <w:r>
              <w:rPr>
                <w:b/>
                <w:spacing w:val="-9"/>
              </w:rPr>
              <w:t xml:space="preserve"> </w:t>
            </w:r>
            <w:r>
              <w:rPr>
                <w:b/>
              </w:rPr>
              <w:t>Resources</w:t>
            </w:r>
            <w:r>
              <w:rPr>
                <w:b/>
                <w:spacing w:val="-8"/>
              </w:rPr>
              <w:t xml:space="preserve"> </w:t>
            </w:r>
            <w:r>
              <w:rPr>
                <w:b/>
                <w:spacing w:val="-4"/>
              </w:rPr>
              <w:t>(SBR)</w:t>
            </w:r>
          </w:p>
          <w:p w14:paraId="0DFDCF68" w14:textId="77777777" w:rsidR="00046465" w:rsidRDefault="008134EB">
            <w:pPr>
              <w:pStyle w:val="TableParagraph"/>
              <w:spacing w:before="180"/>
              <w:ind w:left="843"/>
            </w:pPr>
            <w:r>
              <w:t>Consider</w:t>
            </w:r>
            <w:r>
              <w:rPr>
                <w:spacing w:val="-9"/>
              </w:rPr>
              <w:t xml:space="preserve"> </w:t>
            </w:r>
            <w:r>
              <w:t>these</w:t>
            </w:r>
            <w:r>
              <w:rPr>
                <w:spacing w:val="-8"/>
              </w:rPr>
              <w:t xml:space="preserve"> </w:t>
            </w:r>
            <w:r>
              <w:rPr>
                <w:spacing w:val="-2"/>
              </w:rPr>
              <w:t>issues: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F69"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F6A" w14:textId="77777777" w:rsidR="00046465" w:rsidRDefault="00046465">
            <w:pPr>
              <w:pStyle w:val="TableParagraph"/>
              <w:rPr>
                <w:rFonts w:ascii="Times New Roman"/>
              </w:rPr>
            </w:pPr>
          </w:p>
        </w:tc>
      </w:tr>
      <w:tr w:rsidR="00046465" w14:paraId="0DFDCF6F" w14:textId="77777777">
        <w:trPr>
          <w:trHeight w:val="493"/>
        </w:trPr>
        <w:tc>
          <w:tcPr>
            <w:tcW w:w="7380" w:type="dxa"/>
            <w:tcBorders>
              <w:top w:val="single" w:sz="8" w:space="0" w:color="000000"/>
              <w:bottom w:val="single" w:sz="8" w:space="0" w:color="000000"/>
              <w:right w:val="single" w:sz="8" w:space="0" w:color="000000"/>
            </w:tcBorders>
          </w:tcPr>
          <w:p w14:paraId="0DFDCF6C" w14:textId="77777777" w:rsidR="00046465" w:rsidRDefault="008134EB">
            <w:pPr>
              <w:pStyle w:val="TableParagraph"/>
              <w:tabs>
                <w:tab w:val="left" w:pos="1339"/>
              </w:tabs>
              <w:spacing w:before="61"/>
              <w:ind w:left="889"/>
            </w:pPr>
            <w:r>
              <w:rPr>
                <w:spacing w:val="-5"/>
              </w:rPr>
              <w:t>a.</w:t>
            </w:r>
            <w:r>
              <w:tab/>
              <w:t>Were</w:t>
            </w:r>
            <w:r>
              <w:rPr>
                <w:spacing w:val="-9"/>
              </w:rPr>
              <w:t xml:space="preserve"> </w:t>
            </w:r>
            <w:r>
              <w:t>appropriate</w:t>
            </w:r>
            <w:r>
              <w:rPr>
                <w:spacing w:val="-8"/>
              </w:rPr>
              <w:t xml:space="preserve"> </w:t>
            </w:r>
            <w:r>
              <w:t>procedures</w:t>
            </w:r>
            <w:r>
              <w:rPr>
                <w:spacing w:val="-9"/>
              </w:rPr>
              <w:t xml:space="preserve"> </w:t>
            </w:r>
            <w:r>
              <w:t>applied,</w:t>
            </w:r>
            <w:r>
              <w:rPr>
                <w:spacing w:val="-8"/>
              </w:rPr>
              <w:t xml:space="preserve"> </w:t>
            </w:r>
            <w:r>
              <w:t>such</w:t>
            </w:r>
            <w:r>
              <w:rPr>
                <w:spacing w:val="-8"/>
              </w:rPr>
              <w:t xml:space="preserve"> </w:t>
            </w:r>
            <w:r>
              <w:rPr>
                <w:spacing w:val="-5"/>
              </w:rPr>
              <w:t>as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F6D"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F6E" w14:textId="77777777" w:rsidR="00046465" w:rsidRDefault="00046465">
            <w:pPr>
              <w:pStyle w:val="TableParagraph"/>
              <w:rPr>
                <w:rFonts w:ascii="Times New Roman"/>
              </w:rPr>
            </w:pPr>
          </w:p>
        </w:tc>
      </w:tr>
      <w:tr w:rsidR="00046465" w14:paraId="0DFDCF73" w14:textId="77777777">
        <w:trPr>
          <w:trHeight w:val="685"/>
        </w:trPr>
        <w:tc>
          <w:tcPr>
            <w:tcW w:w="7380" w:type="dxa"/>
            <w:tcBorders>
              <w:top w:val="single" w:sz="8" w:space="0" w:color="000000"/>
              <w:bottom w:val="single" w:sz="8" w:space="0" w:color="000000"/>
              <w:right w:val="single" w:sz="8" w:space="0" w:color="000000"/>
            </w:tcBorders>
          </w:tcPr>
          <w:p w14:paraId="0DFDCF70" w14:textId="77777777" w:rsidR="00046465" w:rsidRDefault="008134EB">
            <w:pPr>
              <w:pStyle w:val="TableParagraph"/>
              <w:spacing w:before="59"/>
              <w:ind w:left="1699" w:right="558" w:hanging="291"/>
            </w:pPr>
            <w:r>
              <w:t>i.</w:t>
            </w:r>
            <w:r>
              <w:rPr>
                <w:spacing w:val="80"/>
              </w:rPr>
              <w:t xml:space="preserve"> </w:t>
            </w:r>
            <w:r>
              <w:t>understanding</w:t>
            </w:r>
            <w:r>
              <w:rPr>
                <w:spacing w:val="-5"/>
              </w:rPr>
              <w:t xml:space="preserve"> </w:t>
            </w:r>
            <w:r>
              <w:t>and</w:t>
            </w:r>
            <w:r>
              <w:rPr>
                <w:spacing w:val="-5"/>
              </w:rPr>
              <w:t xml:space="preserve"> </w:t>
            </w:r>
            <w:r>
              <w:t>testing</w:t>
            </w:r>
            <w:r>
              <w:rPr>
                <w:spacing w:val="-5"/>
              </w:rPr>
              <w:t xml:space="preserve"> </w:t>
            </w:r>
            <w:r>
              <w:t>the</w:t>
            </w:r>
            <w:r>
              <w:rPr>
                <w:spacing w:val="-5"/>
              </w:rPr>
              <w:t xml:space="preserve"> </w:t>
            </w:r>
            <w:r>
              <w:t>budget</w:t>
            </w:r>
            <w:r>
              <w:rPr>
                <w:spacing w:val="-5"/>
              </w:rPr>
              <w:t xml:space="preserve"> </w:t>
            </w:r>
            <w:r>
              <w:t xml:space="preserve">execution </w:t>
            </w:r>
            <w:r>
              <w:rPr>
                <w:spacing w:val="-2"/>
              </w:rPr>
              <w:t>controls;</w:t>
            </w:r>
          </w:p>
        </w:tc>
        <w:tc>
          <w:tcPr>
            <w:tcW w:w="811" w:type="dxa"/>
            <w:tcBorders>
              <w:top w:val="single" w:sz="8" w:space="0" w:color="000000"/>
              <w:left w:val="single" w:sz="8" w:space="0" w:color="000000"/>
              <w:bottom w:val="single" w:sz="8" w:space="0" w:color="000000"/>
              <w:right w:val="single" w:sz="8" w:space="0" w:color="000000"/>
            </w:tcBorders>
          </w:tcPr>
          <w:p w14:paraId="0DFDCF71"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72" w14:textId="77777777" w:rsidR="00046465" w:rsidRDefault="00046465">
            <w:pPr>
              <w:pStyle w:val="TableParagraph"/>
              <w:rPr>
                <w:rFonts w:ascii="Times New Roman"/>
              </w:rPr>
            </w:pPr>
          </w:p>
        </w:tc>
      </w:tr>
      <w:tr w:rsidR="00046465" w14:paraId="0DFDCF77" w14:textId="77777777">
        <w:trPr>
          <w:trHeight w:val="939"/>
        </w:trPr>
        <w:tc>
          <w:tcPr>
            <w:tcW w:w="7380" w:type="dxa"/>
            <w:tcBorders>
              <w:top w:val="single" w:sz="8" w:space="0" w:color="000000"/>
              <w:bottom w:val="single" w:sz="8" w:space="0" w:color="000000"/>
              <w:right w:val="single" w:sz="8" w:space="0" w:color="000000"/>
            </w:tcBorders>
          </w:tcPr>
          <w:p w14:paraId="0DFDCF74" w14:textId="77777777" w:rsidR="00046465" w:rsidRDefault="008134EB">
            <w:pPr>
              <w:pStyle w:val="TableParagraph"/>
              <w:spacing w:before="61"/>
              <w:ind w:left="1699" w:right="239" w:hanging="340"/>
            </w:pPr>
            <w:r>
              <w:t>ii.</w:t>
            </w:r>
            <w:r>
              <w:rPr>
                <w:spacing w:val="80"/>
              </w:rPr>
              <w:t xml:space="preserve"> </w:t>
            </w:r>
            <w:r>
              <w:t>tests</w:t>
            </w:r>
            <w:r>
              <w:rPr>
                <w:spacing w:val="-3"/>
              </w:rPr>
              <w:t xml:space="preserve"> </w:t>
            </w:r>
            <w:r>
              <w:t>of</w:t>
            </w:r>
            <w:r>
              <w:rPr>
                <w:spacing w:val="-3"/>
              </w:rPr>
              <w:t xml:space="preserve"> </w:t>
            </w:r>
            <w:r>
              <w:t>the</w:t>
            </w:r>
            <w:r>
              <w:rPr>
                <w:spacing w:val="-4"/>
              </w:rPr>
              <w:t xml:space="preserve"> </w:t>
            </w:r>
            <w:r>
              <w:t>process</w:t>
            </w:r>
            <w:r>
              <w:rPr>
                <w:spacing w:val="-3"/>
              </w:rPr>
              <w:t xml:space="preserve"> </w:t>
            </w:r>
            <w:r>
              <w:t>of</w:t>
            </w:r>
            <w:r>
              <w:rPr>
                <w:spacing w:val="-3"/>
              </w:rPr>
              <w:t xml:space="preserve"> </w:t>
            </w:r>
            <w:r>
              <w:t>preparing</w:t>
            </w:r>
            <w:r>
              <w:rPr>
                <w:spacing w:val="-3"/>
              </w:rPr>
              <w:t xml:space="preserve"> </w:t>
            </w:r>
            <w:r>
              <w:t>the</w:t>
            </w:r>
            <w:r>
              <w:rPr>
                <w:spacing w:val="-4"/>
              </w:rPr>
              <w:t xml:space="preserve"> </w:t>
            </w:r>
            <w:r>
              <w:t>SBR</w:t>
            </w:r>
            <w:r>
              <w:rPr>
                <w:spacing w:val="-4"/>
              </w:rPr>
              <w:t xml:space="preserve"> </w:t>
            </w:r>
            <w:r>
              <w:t>and</w:t>
            </w:r>
            <w:r>
              <w:rPr>
                <w:spacing w:val="-3"/>
              </w:rPr>
              <w:t xml:space="preserve"> </w:t>
            </w:r>
            <w:r>
              <w:t xml:space="preserve">controls for ensuring validity of undelivered order (UDO) </w:t>
            </w:r>
            <w:r>
              <w:rPr>
                <w:spacing w:val="-2"/>
              </w:rPr>
              <w:t>balances;</w:t>
            </w:r>
          </w:p>
        </w:tc>
        <w:tc>
          <w:tcPr>
            <w:tcW w:w="811" w:type="dxa"/>
            <w:tcBorders>
              <w:top w:val="single" w:sz="8" w:space="0" w:color="000000"/>
              <w:left w:val="single" w:sz="8" w:space="0" w:color="000000"/>
              <w:bottom w:val="single" w:sz="8" w:space="0" w:color="000000"/>
              <w:right w:val="single" w:sz="8" w:space="0" w:color="000000"/>
            </w:tcBorders>
          </w:tcPr>
          <w:p w14:paraId="0DFDCF75"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76" w14:textId="77777777" w:rsidR="00046465" w:rsidRDefault="00046465">
            <w:pPr>
              <w:pStyle w:val="TableParagraph"/>
              <w:rPr>
                <w:rFonts w:ascii="Times New Roman"/>
              </w:rPr>
            </w:pPr>
          </w:p>
        </w:tc>
      </w:tr>
    </w:tbl>
    <w:p w14:paraId="0DFDCF78"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CF79" w14:textId="77777777" w:rsidR="00046465" w:rsidRDefault="00046465">
      <w:pPr>
        <w:pStyle w:val="BodyText"/>
        <w:spacing w:before="6"/>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CF80" w14:textId="77777777">
        <w:trPr>
          <w:trHeight w:val="936"/>
        </w:trPr>
        <w:tc>
          <w:tcPr>
            <w:tcW w:w="7380" w:type="dxa"/>
            <w:tcBorders>
              <w:right w:val="single" w:sz="8" w:space="0" w:color="000000"/>
            </w:tcBorders>
            <w:shd w:val="clear" w:color="auto" w:fill="A6A6A6"/>
          </w:tcPr>
          <w:p w14:paraId="0DFDCF7A" w14:textId="77777777" w:rsidR="00046465" w:rsidRDefault="00046465">
            <w:pPr>
              <w:pStyle w:val="TableParagraph"/>
              <w:spacing w:before="266"/>
              <w:rPr>
                <w:b/>
                <w:sz w:val="24"/>
              </w:rPr>
            </w:pPr>
          </w:p>
          <w:p w14:paraId="0DFDCF7B"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CF7C"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CF7D" w14:textId="77777777" w:rsidR="00046465" w:rsidRDefault="00046465">
            <w:pPr>
              <w:pStyle w:val="TableParagraph"/>
              <w:rPr>
                <w:b/>
              </w:rPr>
            </w:pPr>
          </w:p>
          <w:p w14:paraId="0DFDCF7E" w14:textId="77777777" w:rsidR="00046465" w:rsidRDefault="00046465">
            <w:pPr>
              <w:pStyle w:val="TableParagraph"/>
              <w:spacing w:before="120"/>
              <w:rPr>
                <w:b/>
              </w:rPr>
            </w:pPr>
          </w:p>
          <w:p w14:paraId="0DFDCF7F"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CF84" w14:textId="77777777">
        <w:trPr>
          <w:trHeight w:val="1699"/>
        </w:trPr>
        <w:tc>
          <w:tcPr>
            <w:tcW w:w="7380" w:type="dxa"/>
            <w:tcBorders>
              <w:bottom w:val="single" w:sz="8" w:space="0" w:color="000000"/>
              <w:right w:val="single" w:sz="8" w:space="0" w:color="000000"/>
            </w:tcBorders>
          </w:tcPr>
          <w:p w14:paraId="0DFDCF81" w14:textId="77777777" w:rsidR="00046465" w:rsidRDefault="008134EB">
            <w:pPr>
              <w:pStyle w:val="TableParagraph"/>
              <w:spacing w:before="61"/>
              <w:ind w:left="1699" w:right="172" w:hanging="389"/>
            </w:pPr>
            <w:r>
              <w:t>iii.</w:t>
            </w:r>
            <w:r>
              <w:rPr>
                <w:spacing w:val="80"/>
              </w:rPr>
              <w:t xml:space="preserve"> </w:t>
            </w:r>
            <w:r>
              <w:t>tests</w:t>
            </w:r>
            <w:r>
              <w:rPr>
                <w:spacing w:val="-4"/>
              </w:rPr>
              <w:t xml:space="preserve"> </w:t>
            </w:r>
            <w:r>
              <w:t>of</w:t>
            </w:r>
            <w:r>
              <w:rPr>
                <w:spacing w:val="-4"/>
              </w:rPr>
              <w:t xml:space="preserve"> </w:t>
            </w:r>
            <w:r>
              <w:t>budgetary</w:t>
            </w:r>
            <w:r>
              <w:rPr>
                <w:spacing w:val="-4"/>
              </w:rPr>
              <w:t xml:space="preserve"> </w:t>
            </w:r>
            <w:r>
              <w:t>resources</w:t>
            </w:r>
            <w:r>
              <w:rPr>
                <w:spacing w:val="-4"/>
              </w:rPr>
              <w:t xml:space="preserve"> </w:t>
            </w:r>
            <w:r>
              <w:t>reported</w:t>
            </w:r>
            <w:r>
              <w:rPr>
                <w:spacing w:val="-4"/>
              </w:rPr>
              <w:t xml:space="preserve"> </w:t>
            </w:r>
            <w:r>
              <w:t>in</w:t>
            </w:r>
            <w:r>
              <w:rPr>
                <w:spacing w:val="-4"/>
              </w:rPr>
              <w:t xml:space="preserve"> </w:t>
            </w:r>
            <w:r>
              <w:t>the</w:t>
            </w:r>
            <w:r>
              <w:rPr>
                <w:spacing w:val="-4"/>
              </w:rPr>
              <w:t xml:space="preserve"> </w:t>
            </w:r>
            <w:r>
              <w:t>SBR,</w:t>
            </w:r>
            <w:r>
              <w:rPr>
                <w:spacing w:val="-4"/>
              </w:rPr>
              <w:t xml:space="preserve"> </w:t>
            </w:r>
            <w:r>
              <w:t>such as appropriations and recoveries from downward adjustments to prior-year UDOs, and including the consistency</w:t>
            </w:r>
            <w:r>
              <w:rPr>
                <w:spacing w:val="-6"/>
              </w:rPr>
              <w:t xml:space="preserve"> </w:t>
            </w:r>
            <w:r>
              <w:t>of</w:t>
            </w:r>
            <w:r>
              <w:rPr>
                <w:spacing w:val="-5"/>
              </w:rPr>
              <w:t xml:space="preserve"> </w:t>
            </w:r>
            <w:r>
              <w:t>recorded</w:t>
            </w:r>
            <w:r>
              <w:rPr>
                <w:spacing w:val="-6"/>
              </w:rPr>
              <w:t xml:space="preserve"> </w:t>
            </w:r>
            <w:r>
              <w:t>offsetting</w:t>
            </w:r>
            <w:r>
              <w:rPr>
                <w:spacing w:val="-5"/>
              </w:rPr>
              <w:t xml:space="preserve"> </w:t>
            </w:r>
            <w:r>
              <w:t>collections</w:t>
            </w:r>
            <w:r>
              <w:rPr>
                <w:spacing w:val="-5"/>
              </w:rPr>
              <w:t xml:space="preserve"> </w:t>
            </w:r>
            <w:r>
              <w:t>to</w:t>
            </w:r>
            <w:r>
              <w:rPr>
                <w:spacing w:val="-5"/>
              </w:rPr>
              <w:t xml:space="preserve"> </w:t>
            </w:r>
            <w:r>
              <w:t>related assets, liabilities, revenues, and expended and unexpended appropriation accounts;</w:t>
            </w:r>
          </w:p>
        </w:tc>
        <w:tc>
          <w:tcPr>
            <w:tcW w:w="811" w:type="dxa"/>
            <w:tcBorders>
              <w:left w:val="single" w:sz="8" w:space="0" w:color="000000"/>
              <w:bottom w:val="single" w:sz="8" w:space="0" w:color="000000"/>
              <w:right w:val="single" w:sz="8" w:space="0" w:color="000000"/>
            </w:tcBorders>
          </w:tcPr>
          <w:p w14:paraId="0DFDCF82" w14:textId="77777777" w:rsidR="00046465" w:rsidRDefault="00046465">
            <w:pPr>
              <w:pStyle w:val="TableParagraph"/>
              <w:rPr>
                <w:rFonts w:ascii="Times New Roman"/>
              </w:rPr>
            </w:pPr>
          </w:p>
        </w:tc>
        <w:tc>
          <w:tcPr>
            <w:tcW w:w="1349" w:type="dxa"/>
            <w:tcBorders>
              <w:left w:val="single" w:sz="8" w:space="0" w:color="000000"/>
              <w:bottom w:val="single" w:sz="8" w:space="0" w:color="000000"/>
            </w:tcBorders>
          </w:tcPr>
          <w:p w14:paraId="0DFDCF83" w14:textId="77777777" w:rsidR="00046465" w:rsidRDefault="00046465">
            <w:pPr>
              <w:pStyle w:val="TableParagraph"/>
              <w:rPr>
                <w:rFonts w:ascii="Times New Roman"/>
              </w:rPr>
            </w:pPr>
          </w:p>
        </w:tc>
      </w:tr>
      <w:tr w:rsidR="00046465" w14:paraId="0DFDCF88" w14:textId="77777777">
        <w:trPr>
          <w:trHeight w:val="685"/>
        </w:trPr>
        <w:tc>
          <w:tcPr>
            <w:tcW w:w="7380" w:type="dxa"/>
            <w:tcBorders>
              <w:top w:val="single" w:sz="8" w:space="0" w:color="000000"/>
              <w:bottom w:val="single" w:sz="8" w:space="0" w:color="000000"/>
              <w:right w:val="single" w:sz="8" w:space="0" w:color="000000"/>
            </w:tcBorders>
          </w:tcPr>
          <w:p w14:paraId="0DFDCF85" w14:textId="77777777" w:rsidR="00046465" w:rsidRDefault="008134EB">
            <w:pPr>
              <w:pStyle w:val="TableParagraph"/>
              <w:spacing w:before="59"/>
              <w:ind w:left="1699" w:right="100" w:hanging="401"/>
            </w:pPr>
            <w:r>
              <w:t>iv.</w:t>
            </w:r>
            <w:r>
              <w:rPr>
                <w:spacing w:val="80"/>
              </w:rPr>
              <w:t xml:space="preserve"> </w:t>
            </w:r>
            <w:r>
              <w:t>tests</w:t>
            </w:r>
            <w:r>
              <w:rPr>
                <w:spacing w:val="-4"/>
              </w:rPr>
              <w:t xml:space="preserve"> </w:t>
            </w:r>
            <w:r>
              <w:t>of</w:t>
            </w:r>
            <w:r>
              <w:rPr>
                <w:spacing w:val="-4"/>
              </w:rPr>
              <w:t xml:space="preserve"> </w:t>
            </w:r>
            <w:r>
              <w:t>obligations</w:t>
            </w:r>
            <w:r>
              <w:rPr>
                <w:spacing w:val="-4"/>
              </w:rPr>
              <w:t xml:space="preserve"> </w:t>
            </w:r>
            <w:r>
              <w:t>incurred,</w:t>
            </w:r>
            <w:r>
              <w:rPr>
                <w:spacing w:val="-4"/>
              </w:rPr>
              <w:t xml:space="preserve"> </w:t>
            </w:r>
            <w:r>
              <w:t>and</w:t>
            </w:r>
            <w:r>
              <w:rPr>
                <w:spacing w:val="-4"/>
              </w:rPr>
              <w:t xml:space="preserve"> </w:t>
            </w:r>
            <w:r>
              <w:t>upward</w:t>
            </w:r>
            <w:r>
              <w:rPr>
                <w:spacing w:val="-4"/>
              </w:rPr>
              <w:t xml:space="preserve"> </w:t>
            </w:r>
            <w:r>
              <w:t>and</w:t>
            </w:r>
            <w:r>
              <w:rPr>
                <w:spacing w:val="-4"/>
              </w:rPr>
              <w:t xml:space="preserve"> </w:t>
            </w:r>
            <w:r>
              <w:t>downward adjustments to obligations, for the fiscal year;</w:t>
            </w:r>
          </w:p>
        </w:tc>
        <w:tc>
          <w:tcPr>
            <w:tcW w:w="811" w:type="dxa"/>
            <w:tcBorders>
              <w:top w:val="single" w:sz="8" w:space="0" w:color="000000"/>
              <w:left w:val="single" w:sz="8" w:space="0" w:color="000000"/>
              <w:bottom w:val="single" w:sz="8" w:space="0" w:color="000000"/>
              <w:right w:val="single" w:sz="8" w:space="0" w:color="000000"/>
            </w:tcBorders>
          </w:tcPr>
          <w:p w14:paraId="0DFDCF86"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87" w14:textId="77777777" w:rsidR="00046465" w:rsidRDefault="00046465">
            <w:pPr>
              <w:pStyle w:val="TableParagraph"/>
              <w:rPr>
                <w:rFonts w:ascii="Times New Roman"/>
              </w:rPr>
            </w:pPr>
          </w:p>
        </w:tc>
      </w:tr>
      <w:tr w:rsidR="00046465" w14:paraId="0DFDCF8C" w14:textId="77777777">
        <w:trPr>
          <w:trHeight w:val="492"/>
        </w:trPr>
        <w:tc>
          <w:tcPr>
            <w:tcW w:w="7380" w:type="dxa"/>
            <w:tcBorders>
              <w:top w:val="single" w:sz="8" w:space="0" w:color="000000"/>
              <w:bottom w:val="single" w:sz="8" w:space="0" w:color="000000"/>
              <w:right w:val="single" w:sz="8" w:space="0" w:color="000000"/>
            </w:tcBorders>
          </w:tcPr>
          <w:p w14:paraId="0DFDCF89" w14:textId="77777777" w:rsidR="00046465" w:rsidRDefault="008134EB">
            <w:pPr>
              <w:pStyle w:val="TableParagraph"/>
              <w:spacing w:before="61"/>
              <w:ind w:left="1347"/>
            </w:pPr>
            <w:r>
              <w:t>v.</w:t>
            </w:r>
            <w:r>
              <w:rPr>
                <w:spacing w:val="76"/>
                <w:w w:val="150"/>
              </w:rPr>
              <w:t xml:space="preserve"> </w:t>
            </w:r>
            <w:r>
              <w:t>tests</w:t>
            </w:r>
            <w:r>
              <w:rPr>
                <w:spacing w:val="-4"/>
              </w:rPr>
              <w:t xml:space="preserve"> </w:t>
            </w:r>
            <w:r>
              <w:t>of</w:t>
            </w:r>
            <w:r>
              <w:rPr>
                <w:spacing w:val="-4"/>
              </w:rPr>
              <w:t xml:space="preserve"> </w:t>
            </w:r>
            <w:r>
              <w:t>UDO</w:t>
            </w:r>
            <w:r>
              <w:rPr>
                <w:spacing w:val="-5"/>
              </w:rPr>
              <w:t xml:space="preserve"> </w:t>
            </w:r>
            <w:r>
              <w:t>balances,</w:t>
            </w:r>
            <w:r>
              <w:rPr>
                <w:spacing w:val="-4"/>
              </w:rPr>
              <w:t xml:space="preserve"> </w:t>
            </w:r>
            <w:r>
              <w:t>as</w:t>
            </w:r>
            <w:r>
              <w:rPr>
                <w:spacing w:val="-4"/>
              </w:rPr>
              <w:t xml:space="preserve"> </w:t>
            </w:r>
            <w:r>
              <w:t>of</w:t>
            </w:r>
            <w:r>
              <w:rPr>
                <w:spacing w:val="-4"/>
              </w:rPr>
              <w:t xml:space="preserve"> </w:t>
            </w:r>
            <w:r>
              <w:t>the</w:t>
            </w:r>
            <w:r>
              <w:rPr>
                <w:spacing w:val="-4"/>
              </w:rPr>
              <w:t xml:space="preserve"> </w:t>
            </w:r>
            <w:r>
              <w:t>reporting</w:t>
            </w:r>
            <w:r>
              <w:rPr>
                <w:spacing w:val="-3"/>
              </w:rPr>
              <w:t xml:space="preserve"> </w:t>
            </w:r>
            <w:r>
              <w:rPr>
                <w:spacing w:val="-2"/>
              </w:rPr>
              <w:t>date;</w:t>
            </w:r>
          </w:p>
        </w:tc>
        <w:tc>
          <w:tcPr>
            <w:tcW w:w="811" w:type="dxa"/>
            <w:tcBorders>
              <w:top w:val="single" w:sz="8" w:space="0" w:color="000000"/>
              <w:left w:val="single" w:sz="8" w:space="0" w:color="000000"/>
              <w:bottom w:val="single" w:sz="8" w:space="0" w:color="000000"/>
              <w:right w:val="single" w:sz="8" w:space="0" w:color="000000"/>
            </w:tcBorders>
          </w:tcPr>
          <w:p w14:paraId="0DFDCF8A"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8B" w14:textId="77777777" w:rsidR="00046465" w:rsidRDefault="00046465">
            <w:pPr>
              <w:pStyle w:val="TableParagraph"/>
              <w:rPr>
                <w:rFonts w:ascii="Times New Roman"/>
              </w:rPr>
            </w:pPr>
          </w:p>
        </w:tc>
      </w:tr>
      <w:tr w:rsidR="00046465" w14:paraId="0DFDCF90" w14:textId="77777777">
        <w:trPr>
          <w:trHeight w:val="1191"/>
        </w:trPr>
        <w:tc>
          <w:tcPr>
            <w:tcW w:w="7380" w:type="dxa"/>
            <w:tcBorders>
              <w:top w:val="single" w:sz="8" w:space="0" w:color="000000"/>
              <w:bottom w:val="single" w:sz="8" w:space="0" w:color="000000"/>
              <w:right w:val="single" w:sz="8" w:space="0" w:color="000000"/>
            </w:tcBorders>
          </w:tcPr>
          <w:p w14:paraId="0DFDCF8D" w14:textId="77777777" w:rsidR="00046465" w:rsidRDefault="008134EB">
            <w:pPr>
              <w:pStyle w:val="TableParagraph"/>
              <w:spacing w:before="61"/>
              <w:ind w:left="1699" w:right="100" w:hanging="401"/>
            </w:pPr>
            <w:r>
              <w:t>vi.</w:t>
            </w:r>
            <w:r>
              <w:rPr>
                <w:spacing w:val="80"/>
              </w:rPr>
              <w:t xml:space="preserve"> </w:t>
            </w:r>
            <w:r>
              <w:t>tests</w:t>
            </w:r>
            <w:r>
              <w:rPr>
                <w:spacing w:val="-4"/>
              </w:rPr>
              <w:t xml:space="preserve"> </w:t>
            </w:r>
            <w:r>
              <w:t>of</w:t>
            </w:r>
            <w:r>
              <w:rPr>
                <w:spacing w:val="-4"/>
              </w:rPr>
              <w:t xml:space="preserve"> </w:t>
            </w:r>
            <w:r>
              <w:t>budgetary</w:t>
            </w:r>
            <w:r>
              <w:rPr>
                <w:spacing w:val="-4"/>
              </w:rPr>
              <w:t xml:space="preserve"> </w:t>
            </w:r>
            <w:r>
              <w:t>balances</w:t>
            </w:r>
            <w:r>
              <w:rPr>
                <w:spacing w:val="-4"/>
              </w:rPr>
              <w:t xml:space="preserve"> </w:t>
            </w:r>
            <w:r>
              <w:t>for</w:t>
            </w:r>
            <w:r>
              <w:rPr>
                <w:spacing w:val="-4"/>
              </w:rPr>
              <w:t xml:space="preserve"> </w:t>
            </w:r>
            <w:r>
              <w:t>ending</w:t>
            </w:r>
            <w:r>
              <w:rPr>
                <w:spacing w:val="-4"/>
              </w:rPr>
              <w:t xml:space="preserve"> </w:t>
            </w:r>
            <w:r>
              <w:t>obligations,</w:t>
            </w:r>
            <w:r>
              <w:rPr>
                <w:spacing w:val="-4"/>
              </w:rPr>
              <w:t xml:space="preserve"> </w:t>
            </w:r>
            <w:r>
              <w:t>such as delivered orders unpaid, delivered orders paid, and unobligated balances, among others, to related components of the FBWT account for consistency; and</w:t>
            </w:r>
          </w:p>
        </w:tc>
        <w:tc>
          <w:tcPr>
            <w:tcW w:w="811" w:type="dxa"/>
            <w:tcBorders>
              <w:top w:val="single" w:sz="8" w:space="0" w:color="000000"/>
              <w:left w:val="single" w:sz="8" w:space="0" w:color="000000"/>
              <w:bottom w:val="single" w:sz="8" w:space="0" w:color="000000"/>
              <w:right w:val="single" w:sz="8" w:space="0" w:color="000000"/>
            </w:tcBorders>
          </w:tcPr>
          <w:p w14:paraId="0DFDCF8E"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8F" w14:textId="77777777" w:rsidR="00046465" w:rsidRDefault="00046465">
            <w:pPr>
              <w:pStyle w:val="TableParagraph"/>
              <w:rPr>
                <w:rFonts w:ascii="Times New Roman"/>
              </w:rPr>
            </w:pPr>
          </w:p>
        </w:tc>
      </w:tr>
      <w:tr w:rsidR="00046465" w14:paraId="0DFDCF94" w14:textId="77777777">
        <w:trPr>
          <w:trHeight w:val="686"/>
        </w:trPr>
        <w:tc>
          <w:tcPr>
            <w:tcW w:w="7380" w:type="dxa"/>
            <w:tcBorders>
              <w:top w:val="single" w:sz="8" w:space="0" w:color="000000"/>
              <w:bottom w:val="single" w:sz="8" w:space="0" w:color="000000"/>
              <w:right w:val="single" w:sz="8" w:space="0" w:color="000000"/>
            </w:tcBorders>
          </w:tcPr>
          <w:p w14:paraId="0DFDCF91" w14:textId="77777777" w:rsidR="00046465" w:rsidRDefault="008134EB">
            <w:pPr>
              <w:pStyle w:val="TableParagraph"/>
              <w:spacing w:before="61"/>
              <w:ind w:left="1699" w:hanging="450"/>
            </w:pPr>
            <w:r>
              <w:t>vii.</w:t>
            </w:r>
            <w:r>
              <w:rPr>
                <w:spacing w:val="80"/>
              </w:rPr>
              <w:t xml:space="preserve"> </w:t>
            </w:r>
            <w:r>
              <w:t>review</w:t>
            </w:r>
            <w:r>
              <w:rPr>
                <w:spacing w:val="-4"/>
              </w:rPr>
              <w:t xml:space="preserve"> </w:t>
            </w:r>
            <w:r>
              <w:t>of</w:t>
            </w:r>
            <w:r>
              <w:rPr>
                <w:spacing w:val="-3"/>
              </w:rPr>
              <w:t xml:space="preserve"> </w:t>
            </w:r>
            <w:r>
              <w:t>the</w:t>
            </w:r>
            <w:r>
              <w:rPr>
                <w:spacing w:val="-3"/>
              </w:rPr>
              <w:t xml:space="preserve"> </w:t>
            </w:r>
            <w:r>
              <w:t>reconciliation</w:t>
            </w:r>
            <w:r>
              <w:rPr>
                <w:spacing w:val="-3"/>
              </w:rPr>
              <w:t xml:space="preserve"> </w:t>
            </w:r>
            <w:r>
              <w:t>of</w:t>
            </w:r>
            <w:r>
              <w:rPr>
                <w:spacing w:val="-3"/>
              </w:rPr>
              <w:t xml:space="preserve"> </w:t>
            </w:r>
            <w:r>
              <w:t>the</w:t>
            </w:r>
            <w:r>
              <w:rPr>
                <w:spacing w:val="-3"/>
              </w:rPr>
              <w:t xml:space="preserve"> </w:t>
            </w:r>
            <w:r>
              <w:t>prior-year</w:t>
            </w:r>
            <w:r>
              <w:rPr>
                <w:spacing w:val="-3"/>
              </w:rPr>
              <w:t xml:space="preserve"> </w:t>
            </w:r>
            <w:r>
              <w:t>SBR</w:t>
            </w:r>
            <w:r>
              <w:rPr>
                <w:spacing w:val="-2"/>
              </w:rPr>
              <w:t xml:space="preserve"> </w:t>
            </w:r>
            <w:r>
              <w:t>to</w:t>
            </w:r>
            <w:r>
              <w:rPr>
                <w:spacing w:val="-3"/>
              </w:rPr>
              <w:t xml:space="preserve"> </w:t>
            </w:r>
            <w:r>
              <w:t>the President’s Budget?</w:t>
            </w:r>
          </w:p>
        </w:tc>
        <w:tc>
          <w:tcPr>
            <w:tcW w:w="811" w:type="dxa"/>
            <w:tcBorders>
              <w:top w:val="single" w:sz="8" w:space="0" w:color="000000"/>
              <w:left w:val="single" w:sz="8" w:space="0" w:color="000000"/>
              <w:bottom w:val="single" w:sz="8" w:space="0" w:color="000000"/>
              <w:right w:val="single" w:sz="8" w:space="0" w:color="000000"/>
            </w:tcBorders>
          </w:tcPr>
          <w:p w14:paraId="0DFDCF92"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93" w14:textId="77777777" w:rsidR="00046465" w:rsidRDefault="00046465">
            <w:pPr>
              <w:pStyle w:val="TableParagraph"/>
              <w:rPr>
                <w:rFonts w:ascii="Times New Roman"/>
              </w:rPr>
            </w:pPr>
          </w:p>
        </w:tc>
      </w:tr>
      <w:tr w:rsidR="00046465" w14:paraId="0DFDCF98" w14:textId="77777777">
        <w:trPr>
          <w:trHeight w:val="1503"/>
        </w:trPr>
        <w:tc>
          <w:tcPr>
            <w:tcW w:w="7380" w:type="dxa"/>
            <w:tcBorders>
              <w:top w:val="single" w:sz="8" w:space="0" w:color="000000"/>
              <w:bottom w:val="single" w:sz="8" w:space="0" w:color="000000"/>
              <w:right w:val="single" w:sz="8" w:space="0" w:color="000000"/>
            </w:tcBorders>
          </w:tcPr>
          <w:p w14:paraId="0DFDCF95" w14:textId="77777777" w:rsidR="00046465" w:rsidRDefault="008134EB">
            <w:pPr>
              <w:pStyle w:val="TableParagraph"/>
              <w:spacing w:before="119"/>
              <w:ind w:left="843" w:hanging="360"/>
            </w:pPr>
            <w:r>
              <w:t>20. Did the auditor identify and determine whether the entity implemented relevant control activities that relate to services provided by a service organization(s), including those that are applied</w:t>
            </w:r>
            <w:r>
              <w:rPr>
                <w:spacing w:val="-6"/>
              </w:rPr>
              <w:t xml:space="preserve"> </w:t>
            </w:r>
            <w:r>
              <w:t>to</w:t>
            </w:r>
            <w:r>
              <w:rPr>
                <w:spacing w:val="-6"/>
              </w:rPr>
              <w:t xml:space="preserve"> </w:t>
            </w:r>
            <w:r>
              <w:t>transactions</w:t>
            </w:r>
            <w:r>
              <w:rPr>
                <w:spacing w:val="-7"/>
              </w:rPr>
              <w:t xml:space="preserve"> </w:t>
            </w:r>
            <w:r>
              <w:t>processed</w:t>
            </w:r>
            <w:r>
              <w:rPr>
                <w:spacing w:val="-6"/>
              </w:rPr>
              <w:t xml:space="preserve"> </w:t>
            </w:r>
            <w:r>
              <w:t>by</w:t>
            </w:r>
            <w:r>
              <w:rPr>
                <w:spacing w:val="-6"/>
              </w:rPr>
              <w:t xml:space="preserve"> </w:t>
            </w:r>
            <w:r>
              <w:t>the</w:t>
            </w:r>
            <w:r>
              <w:rPr>
                <w:spacing w:val="-6"/>
              </w:rPr>
              <w:t xml:space="preserve"> </w:t>
            </w:r>
            <w:r>
              <w:t>service</w:t>
            </w:r>
            <w:r>
              <w:rPr>
                <w:spacing w:val="-6"/>
              </w:rPr>
              <w:t xml:space="preserve"> </w:t>
            </w:r>
            <w:r>
              <w:t>organization? (FAM 640)</w:t>
            </w:r>
          </w:p>
        </w:tc>
        <w:tc>
          <w:tcPr>
            <w:tcW w:w="811" w:type="dxa"/>
            <w:tcBorders>
              <w:top w:val="single" w:sz="8" w:space="0" w:color="000000"/>
              <w:left w:val="single" w:sz="8" w:space="0" w:color="000000"/>
              <w:bottom w:val="single" w:sz="8" w:space="0" w:color="000000"/>
              <w:right w:val="single" w:sz="8" w:space="0" w:color="000000"/>
            </w:tcBorders>
          </w:tcPr>
          <w:p w14:paraId="0DFDCF96"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97" w14:textId="77777777" w:rsidR="00046465" w:rsidRDefault="00046465">
            <w:pPr>
              <w:pStyle w:val="TableParagraph"/>
              <w:rPr>
                <w:rFonts w:ascii="Times New Roman"/>
              </w:rPr>
            </w:pPr>
          </w:p>
        </w:tc>
      </w:tr>
      <w:tr w:rsidR="00046465" w14:paraId="0DFDCF9C" w14:textId="77777777">
        <w:trPr>
          <w:trHeight w:val="998"/>
        </w:trPr>
        <w:tc>
          <w:tcPr>
            <w:tcW w:w="7380" w:type="dxa"/>
            <w:tcBorders>
              <w:top w:val="single" w:sz="8" w:space="0" w:color="000000"/>
              <w:bottom w:val="single" w:sz="8" w:space="0" w:color="000000"/>
              <w:right w:val="single" w:sz="8" w:space="0" w:color="000000"/>
            </w:tcBorders>
          </w:tcPr>
          <w:p w14:paraId="0DFDCF99" w14:textId="77777777" w:rsidR="00046465" w:rsidRDefault="008134EB">
            <w:pPr>
              <w:pStyle w:val="TableParagraph"/>
              <w:spacing w:before="121"/>
              <w:ind w:left="843" w:right="172" w:hanging="360"/>
            </w:pPr>
            <w:r>
              <w:t>21. Does the documentation indicate that the auditor properly performed</w:t>
            </w:r>
            <w:r>
              <w:rPr>
                <w:spacing w:val="-5"/>
              </w:rPr>
              <w:t xml:space="preserve"> </w:t>
            </w:r>
            <w:r>
              <w:t>procedures</w:t>
            </w:r>
            <w:r>
              <w:rPr>
                <w:spacing w:val="-5"/>
              </w:rPr>
              <w:t xml:space="preserve"> </w:t>
            </w:r>
            <w:r>
              <w:t>in</w:t>
            </w:r>
            <w:r>
              <w:rPr>
                <w:spacing w:val="-6"/>
              </w:rPr>
              <w:t xml:space="preserve"> </w:t>
            </w:r>
            <w:r>
              <w:t>the</w:t>
            </w:r>
            <w:r>
              <w:rPr>
                <w:spacing w:val="-5"/>
              </w:rPr>
              <w:t xml:space="preserve"> </w:t>
            </w:r>
            <w:r>
              <w:t>reporting</w:t>
            </w:r>
            <w:r>
              <w:rPr>
                <w:spacing w:val="-5"/>
              </w:rPr>
              <w:t xml:space="preserve"> </w:t>
            </w:r>
            <w:r>
              <w:t>phase</w:t>
            </w:r>
            <w:r>
              <w:rPr>
                <w:spacing w:val="-5"/>
              </w:rPr>
              <w:t xml:space="preserve"> </w:t>
            </w:r>
            <w:r>
              <w:t>of</w:t>
            </w:r>
            <w:r>
              <w:rPr>
                <w:spacing w:val="-5"/>
              </w:rPr>
              <w:t xml:space="preserve"> </w:t>
            </w:r>
            <w:r>
              <w:t>the</w:t>
            </w:r>
            <w:r>
              <w:rPr>
                <w:spacing w:val="-5"/>
              </w:rPr>
              <w:t xml:space="preserve"> </w:t>
            </w:r>
            <w:r>
              <w:t>audit</w:t>
            </w:r>
            <w:r>
              <w:rPr>
                <w:spacing w:val="-5"/>
              </w:rPr>
              <w:t xml:space="preserve"> </w:t>
            </w:r>
            <w:r>
              <w:t>(FAM 590) as follows:</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F9A"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shd w:val="clear" w:color="auto" w:fill="BEBEBE"/>
          </w:tcPr>
          <w:p w14:paraId="0DFDCF9B" w14:textId="77777777" w:rsidR="00046465" w:rsidRDefault="00046465">
            <w:pPr>
              <w:pStyle w:val="TableParagraph"/>
              <w:rPr>
                <w:rFonts w:ascii="Times New Roman"/>
              </w:rPr>
            </w:pPr>
          </w:p>
        </w:tc>
      </w:tr>
      <w:tr w:rsidR="00046465" w14:paraId="0DFDCFA0" w14:textId="77777777">
        <w:trPr>
          <w:trHeight w:val="493"/>
        </w:trPr>
        <w:tc>
          <w:tcPr>
            <w:tcW w:w="7380" w:type="dxa"/>
            <w:tcBorders>
              <w:top w:val="single" w:sz="8" w:space="0" w:color="000000"/>
              <w:bottom w:val="single" w:sz="8" w:space="0" w:color="000000"/>
              <w:right w:val="single" w:sz="8" w:space="0" w:color="000000"/>
            </w:tcBorders>
          </w:tcPr>
          <w:p w14:paraId="0DFDCF9D" w14:textId="77777777" w:rsidR="00046465" w:rsidRDefault="008134EB">
            <w:pPr>
              <w:pStyle w:val="TableParagraph"/>
              <w:spacing w:before="121"/>
              <w:ind w:left="889"/>
            </w:pPr>
            <w:r>
              <w:t>a.</w:t>
            </w:r>
            <w:r>
              <w:rPr>
                <w:spacing w:val="66"/>
                <w:w w:val="150"/>
              </w:rPr>
              <w:t xml:space="preserve"> </w:t>
            </w:r>
            <w:r>
              <w:t>Perform</w:t>
            </w:r>
            <w:r>
              <w:rPr>
                <w:spacing w:val="-7"/>
              </w:rPr>
              <w:t xml:space="preserve"> </w:t>
            </w:r>
            <w:r>
              <w:t>overall</w:t>
            </w:r>
            <w:r>
              <w:rPr>
                <w:spacing w:val="-6"/>
              </w:rPr>
              <w:t xml:space="preserve"> </w:t>
            </w:r>
            <w:r>
              <w:t>analytical</w:t>
            </w:r>
            <w:r>
              <w:rPr>
                <w:spacing w:val="-7"/>
              </w:rPr>
              <w:t xml:space="preserve"> </w:t>
            </w:r>
            <w:r>
              <w:t>procedures?</w:t>
            </w:r>
            <w:r>
              <w:rPr>
                <w:spacing w:val="-6"/>
              </w:rPr>
              <w:t xml:space="preserve"> </w:t>
            </w:r>
            <w:r>
              <w:t>(FAM</w:t>
            </w:r>
            <w:r>
              <w:rPr>
                <w:spacing w:val="-7"/>
              </w:rPr>
              <w:t xml:space="preserve"> </w:t>
            </w:r>
            <w:r>
              <w:rPr>
                <w:spacing w:val="-4"/>
              </w:rPr>
              <w:t>520)</w:t>
            </w:r>
          </w:p>
        </w:tc>
        <w:tc>
          <w:tcPr>
            <w:tcW w:w="811" w:type="dxa"/>
            <w:tcBorders>
              <w:top w:val="single" w:sz="8" w:space="0" w:color="000000"/>
              <w:left w:val="single" w:sz="8" w:space="0" w:color="000000"/>
              <w:bottom w:val="single" w:sz="8" w:space="0" w:color="000000"/>
              <w:right w:val="single" w:sz="8" w:space="0" w:color="000000"/>
            </w:tcBorders>
          </w:tcPr>
          <w:p w14:paraId="0DFDCF9E"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9F" w14:textId="77777777" w:rsidR="00046465" w:rsidRDefault="00046465">
            <w:pPr>
              <w:pStyle w:val="TableParagraph"/>
              <w:rPr>
                <w:rFonts w:ascii="Times New Roman"/>
              </w:rPr>
            </w:pPr>
          </w:p>
        </w:tc>
      </w:tr>
      <w:tr w:rsidR="00046465" w14:paraId="0DFDCFA4" w14:textId="77777777">
        <w:trPr>
          <w:trHeight w:val="745"/>
        </w:trPr>
        <w:tc>
          <w:tcPr>
            <w:tcW w:w="7380" w:type="dxa"/>
            <w:tcBorders>
              <w:top w:val="single" w:sz="8" w:space="0" w:color="000000"/>
              <w:bottom w:val="single" w:sz="8" w:space="0" w:color="000000"/>
              <w:right w:val="single" w:sz="8" w:space="0" w:color="000000"/>
            </w:tcBorders>
          </w:tcPr>
          <w:p w14:paraId="0DFDCFA1" w14:textId="77777777" w:rsidR="00046465" w:rsidRDefault="008134EB">
            <w:pPr>
              <w:pStyle w:val="TableParagraph"/>
              <w:spacing w:before="119"/>
              <w:ind w:left="1249" w:right="172" w:hanging="360"/>
            </w:pPr>
            <w:r>
              <w:t>b.</w:t>
            </w:r>
            <w:r>
              <w:rPr>
                <w:spacing w:val="80"/>
              </w:rPr>
              <w:t xml:space="preserve"> </w:t>
            </w:r>
            <w:r>
              <w:t>Reassess</w:t>
            </w:r>
            <w:r>
              <w:rPr>
                <w:spacing w:val="-5"/>
              </w:rPr>
              <w:t xml:space="preserve"> </w:t>
            </w:r>
            <w:r>
              <w:t>materiality</w:t>
            </w:r>
            <w:r>
              <w:rPr>
                <w:spacing w:val="-5"/>
              </w:rPr>
              <w:t xml:space="preserve"> </w:t>
            </w:r>
            <w:r>
              <w:t>and</w:t>
            </w:r>
            <w:r>
              <w:rPr>
                <w:spacing w:val="-5"/>
              </w:rPr>
              <w:t xml:space="preserve"> </w:t>
            </w:r>
            <w:r>
              <w:t>risks</w:t>
            </w:r>
            <w:r>
              <w:rPr>
                <w:spacing w:val="-5"/>
              </w:rPr>
              <w:t xml:space="preserve"> </w:t>
            </w:r>
            <w:r>
              <w:t>of</w:t>
            </w:r>
            <w:r>
              <w:rPr>
                <w:spacing w:val="-5"/>
              </w:rPr>
              <w:t xml:space="preserve"> </w:t>
            </w:r>
            <w:r>
              <w:t>material</w:t>
            </w:r>
            <w:r>
              <w:rPr>
                <w:spacing w:val="-5"/>
              </w:rPr>
              <w:t xml:space="preserve"> </w:t>
            </w:r>
            <w:r>
              <w:t>misstatement? (FAM 530)</w:t>
            </w:r>
          </w:p>
        </w:tc>
        <w:tc>
          <w:tcPr>
            <w:tcW w:w="811" w:type="dxa"/>
            <w:tcBorders>
              <w:top w:val="single" w:sz="8" w:space="0" w:color="000000"/>
              <w:left w:val="single" w:sz="8" w:space="0" w:color="000000"/>
              <w:bottom w:val="single" w:sz="8" w:space="0" w:color="000000"/>
              <w:right w:val="single" w:sz="8" w:space="0" w:color="000000"/>
            </w:tcBorders>
          </w:tcPr>
          <w:p w14:paraId="0DFDCFA2"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A3" w14:textId="77777777" w:rsidR="00046465" w:rsidRDefault="00046465">
            <w:pPr>
              <w:pStyle w:val="TableParagraph"/>
              <w:rPr>
                <w:rFonts w:ascii="Times New Roman"/>
              </w:rPr>
            </w:pPr>
          </w:p>
        </w:tc>
      </w:tr>
      <w:tr w:rsidR="00046465" w14:paraId="0DFDCFA8" w14:textId="77777777">
        <w:trPr>
          <w:trHeight w:val="998"/>
        </w:trPr>
        <w:tc>
          <w:tcPr>
            <w:tcW w:w="7380" w:type="dxa"/>
            <w:tcBorders>
              <w:top w:val="single" w:sz="8" w:space="0" w:color="000000"/>
              <w:bottom w:val="single" w:sz="8" w:space="0" w:color="000000"/>
              <w:right w:val="single" w:sz="8" w:space="0" w:color="000000"/>
            </w:tcBorders>
          </w:tcPr>
          <w:p w14:paraId="0DFDCFA5" w14:textId="77777777" w:rsidR="00046465" w:rsidRDefault="008134EB">
            <w:pPr>
              <w:pStyle w:val="TableParagraph"/>
              <w:spacing w:before="121"/>
              <w:ind w:left="1249" w:hanging="360"/>
            </w:pPr>
            <w:r>
              <w:t>c.</w:t>
            </w:r>
            <w:r>
              <w:rPr>
                <w:spacing w:val="80"/>
              </w:rPr>
              <w:t xml:space="preserve"> </w:t>
            </w:r>
            <w:r>
              <w:t>Evaluate the effects of both uncorrected and corrected misstatements</w:t>
            </w:r>
            <w:r>
              <w:rPr>
                <w:spacing w:val="-6"/>
              </w:rPr>
              <w:t xml:space="preserve"> </w:t>
            </w:r>
            <w:r>
              <w:t>on</w:t>
            </w:r>
            <w:r>
              <w:rPr>
                <w:spacing w:val="-6"/>
              </w:rPr>
              <w:t xml:space="preserve"> </w:t>
            </w:r>
            <w:r>
              <w:t>the</w:t>
            </w:r>
            <w:r>
              <w:rPr>
                <w:spacing w:val="-6"/>
              </w:rPr>
              <w:t xml:space="preserve"> </w:t>
            </w:r>
            <w:r>
              <w:t>financial</w:t>
            </w:r>
            <w:r>
              <w:rPr>
                <w:spacing w:val="-6"/>
              </w:rPr>
              <w:t xml:space="preserve"> </w:t>
            </w:r>
            <w:r>
              <w:t>statements</w:t>
            </w:r>
            <w:r>
              <w:rPr>
                <w:spacing w:val="-6"/>
              </w:rPr>
              <w:t xml:space="preserve"> </w:t>
            </w:r>
            <w:r>
              <w:t>and</w:t>
            </w:r>
            <w:r>
              <w:rPr>
                <w:spacing w:val="-6"/>
              </w:rPr>
              <w:t xml:space="preserve"> </w:t>
            </w:r>
            <w:r>
              <w:t>notes?</w:t>
            </w:r>
            <w:r>
              <w:rPr>
                <w:spacing w:val="-6"/>
              </w:rPr>
              <w:t xml:space="preserve"> </w:t>
            </w:r>
            <w:r>
              <w:t xml:space="preserve">(FAM </w:t>
            </w:r>
            <w:r>
              <w:rPr>
                <w:spacing w:val="-4"/>
              </w:rPr>
              <w:t>540)</w:t>
            </w:r>
          </w:p>
        </w:tc>
        <w:tc>
          <w:tcPr>
            <w:tcW w:w="811" w:type="dxa"/>
            <w:tcBorders>
              <w:top w:val="single" w:sz="8" w:space="0" w:color="000000"/>
              <w:left w:val="single" w:sz="8" w:space="0" w:color="000000"/>
              <w:bottom w:val="single" w:sz="8" w:space="0" w:color="000000"/>
              <w:right w:val="single" w:sz="8" w:space="0" w:color="000000"/>
            </w:tcBorders>
          </w:tcPr>
          <w:p w14:paraId="0DFDCFA6"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A7" w14:textId="77777777" w:rsidR="00046465" w:rsidRDefault="00046465">
            <w:pPr>
              <w:pStyle w:val="TableParagraph"/>
              <w:rPr>
                <w:rFonts w:ascii="Times New Roman"/>
              </w:rPr>
            </w:pPr>
          </w:p>
        </w:tc>
      </w:tr>
      <w:tr w:rsidR="00046465" w14:paraId="0DFDCFAC" w14:textId="77777777">
        <w:trPr>
          <w:trHeight w:val="1000"/>
        </w:trPr>
        <w:tc>
          <w:tcPr>
            <w:tcW w:w="7380" w:type="dxa"/>
            <w:tcBorders>
              <w:top w:val="single" w:sz="8" w:space="0" w:color="000000"/>
              <w:bottom w:val="single" w:sz="8" w:space="0" w:color="000000"/>
              <w:right w:val="single" w:sz="8" w:space="0" w:color="000000"/>
            </w:tcBorders>
          </w:tcPr>
          <w:p w14:paraId="0DFDCFA9" w14:textId="77777777" w:rsidR="00046465" w:rsidRDefault="008134EB">
            <w:pPr>
              <w:pStyle w:val="TableParagraph"/>
              <w:spacing w:before="121"/>
              <w:ind w:left="1249" w:right="398" w:hanging="360"/>
              <w:jc w:val="both"/>
            </w:pPr>
            <w:r>
              <w:t>d.</w:t>
            </w:r>
            <w:r>
              <w:rPr>
                <w:spacing w:val="80"/>
              </w:rPr>
              <w:t xml:space="preserve"> </w:t>
            </w:r>
            <w:r>
              <w:t>Document all misstatements accumulated during the audit (other</w:t>
            </w:r>
            <w:r>
              <w:rPr>
                <w:spacing w:val="-5"/>
              </w:rPr>
              <w:t xml:space="preserve"> </w:t>
            </w:r>
            <w:r>
              <w:t>than</w:t>
            </w:r>
            <w:r>
              <w:rPr>
                <w:spacing w:val="-5"/>
              </w:rPr>
              <w:t xml:space="preserve"> </w:t>
            </w:r>
            <w:r>
              <w:t>clearly</w:t>
            </w:r>
            <w:r>
              <w:rPr>
                <w:spacing w:val="-5"/>
              </w:rPr>
              <w:t xml:space="preserve"> </w:t>
            </w:r>
            <w:r>
              <w:t>trivial</w:t>
            </w:r>
            <w:r>
              <w:rPr>
                <w:spacing w:val="-6"/>
              </w:rPr>
              <w:t xml:space="preserve"> </w:t>
            </w:r>
            <w:r>
              <w:t>ones)</w:t>
            </w:r>
            <w:r>
              <w:rPr>
                <w:spacing w:val="-5"/>
              </w:rPr>
              <w:t xml:space="preserve"> </w:t>
            </w:r>
            <w:r>
              <w:t>and</w:t>
            </w:r>
            <w:r>
              <w:rPr>
                <w:spacing w:val="-5"/>
              </w:rPr>
              <w:t xml:space="preserve"> </w:t>
            </w:r>
            <w:r>
              <w:t>identify</w:t>
            </w:r>
            <w:r>
              <w:rPr>
                <w:spacing w:val="-5"/>
              </w:rPr>
              <w:t xml:space="preserve"> </w:t>
            </w:r>
            <w:r>
              <w:t>those</w:t>
            </w:r>
            <w:r>
              <w:rPr>
                <w:spacing w:val="-5"/>
              </w:rPr>
              <w:t xml:space="preserve"> </w:t>
            </w:r>
            <w:r>
              <w:t>that</w:t>
            </w:r>
            <w:r>
              <w:rPr>
                <w:spacing w:val="-5"/>
              </w:rPr>
              <w:t xml:space="preserve"> </w:t>
            </w:r>
            <w:r>
              <w:t>were not corrected? (FAM 540)</w:t>
            </w:r>
          </w:p>
        </w:tc>
        <w:tc>
          <w:tcPr>
            <w:tcW w:w="811" w:type="dxa"/>
            <w:tcBorders>
              <w:top w:val="single" w:sz="8" w:space="0" w:color="000000"/>
              <w:left w:val="single" w:sz="8" w:space="0" w:color="000000"/>
              <w:bottom w:val="single" w:sz="8" w:space="0" w:color="000000"/>
              <w:right w:val="single" w:sz="8" w:space="0" w:color="000000"/>
            </w:tcBorders>
          </w:tcPr>
          <w:p w14:paraId="0DFDCFAA"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AB" w14:textId="77777777" w:rsidR="00046465" w:rsidRDefault="00046465">
            <w:pPr>
              <w:pStyle w:val="TableParagraph"/>
              <w:rPr>
                <w:rFonts w:ascii="Times New Roman"/>
              </w:rPr>
            </w:pPr>
          </w:p>
        </w:tc>
      </w:tr>
    </w:tbl>
    <w:p w14:paraId="0DFDCFAD"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CFAE" w14:textId="77777777" w:rsidR="00046465" w:rsidRDefault="00046465">
      <w:pPr>
        <w:pStyle w:val="BodyText"/>
        <w:spacing w:before="6"/>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CFB5" w14:textId="77777777">
        <w:trPr>
          <w:trHeight w:val="936"/>
        </w:trPr>
        <w:tc>
          <w:tcPr>
            <w:tcW w:w="7380" w:type="dxa"/>
            <w:tcBorders>
              <w:right w:val="single" w:sz="8" w:space="0" w:color="000000"/>
            </w:tcBorders>
            <w:shd w:val="clear" w:color="auto" w:fill="A6A6A6"/>
          </w:tcPr>
          <w:p w14:paraId="0DFDCFAF" w14:textId="77777777" w:rsidR="00046465" w:rsidRDefault="00046465">
            <w:pPr>
              <w:pStyle w:val="TableParagraph"/>
              <w:spacing w:before="266"/>
              <w:rPr>
                <w:b/>
                <w:sz w:val="24"/>
              </w:rPr>
            </w:pPr>
          </w:p>
          <w:p w14:paraId="0DFDCFB0"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CFB1"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CFB2" w14:textId="77777777" w:rsidR="00046465" w:rsidRDefault="00046465">
            <w:pPr>
              <w:pStyle w:val="TableParagraph"/>
              <w:rPr>
                <w:b/>
              </w:rPr>
            </w:pPr>
          </w:p>
          <w:p w14:paraId="0DFDCFB3" w14:textId="77777777" w:rsidR="00046465" w:rsidRDefault="00046465">
            <w:pPr>
              <w:pStyle w:val="TableParagraph"/>
              <w:spacing w:before="120"/>
              <w:rPr>
                <w:b/>
              </w:rPr>
            </w:pPr>
          </w:p>
          <w:p w14:paraId="0DFDCFB4"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CFB9" w14:textId="77777777">
        <w:trPr>
          <w:trHeight w:val="1759"/>
        </w:trPr>
        <w:tc>
          <w:tcPr>
            <w:tcW w:w="7380" w:type="dxa"/>
            <w:tcBorders>
              <w:bottom w:val="single" w:sz="8" w:space="0" w:color="000000"/>
              <w:right w:val="single" w:sz="8" w:space="0" w:color="000000"/>
            </w:tcBorders>
          </w:tcPr>
          <w:p w14:paraId="0DFDCFB6" w14:textId="77777777" w:rsidR="00046465" w:rsidRDefault="008134EB">
            <w:pPr>
              <w:pStyle w:val="TableParagraph"/>
              <w:spacing w:before="121"/>
              <w:ind w:left="1249" w:hanging="360"/>
            </w:pPr>
            <w:r>
              <w:t>e.</w:t>
            </w:r>
            <w:r>
              <w:rPr>
                <w:spacing w:val="80"/>
              </w:rPr>
              <w:t xml:space="preserve"> </w:t>
            </w:r>
            <w:r>
              <w:t>Classify the uncorrected misstatements identified in step d above</w:t>
            </w:r>
            <w:r>
              <w:rPr>
                <w:spacing w:val="-4"/>
              </w:rPr>
              <w:t xml:space="preserve"> </w:t>
            </w:r>
            <w:r>
              <w:t>as</w:t>
            </w:r>
            <w:r>
              <w:rPr>
                <w:spacing w:val="-4"/>
              </w:rPr>
              <w:t xml:space="preserve"> </w:t>
            </w:r>
            <w:r>
              <w:t>either</w:t>
            </w:r>
            <w:r>
              <w:rPr>
                <w:spacing w:val="-4"/>
              </w:rPr>
              <w:t xml:space="preserve"> </w:t>
            </w:r>
            <w:r>
              <w:t>factual,</w:t>
            </w:r>
            <w:r>
              <w:rPr>
                <w:spacing w:val="-4"/>
              </w:rPr>
              <w:t xml:space="preserve"> </w:t>
            </w:r>
            <w:r>
              <w:t>judgmental,</w:t>
            </w:r>
            <w:r>
              <w:rPr>
                <w:spacing w:val="-4"/>
              </w:rPr>
              <w:t xml:space="preserve"> </w:t>
            </w:r>
            <w:r>
              <w:t>or</w:t>
            </w:r>
            <w:r>
              <w:rPr>
                <w:spacing w:val="-4"/>
              </w:rPr>
              <w:t xml:space="preserve"> </w:t>
            </w:r>
            <w:r>
              <w:t>projected</w:t>
            </w:r>
            <w:r>
              <w:rPr>
                <w:spacing w:val="-5"/>
              </w:rPr>
              <w:t xml:space="preserve"> </w:t>
            </w:r>
            <w:r>
              <w:t>on</w:t>
            </w:r>
            <w:r>
              <w:rPr>
                <w:spacing w:val="-4"/>
              </w:rPr>
              <w:t xml:space="preserve"> </w:t>
            </w:r>
            <w:r>
              <w:t>the</w:t>
            </w:r>
            <w:r>
              <w:rPr>
                <w:spacing w:val="-4"/>
              </w:rPr>
              <w:t xml:space="preserve"> </w:t>
            </w:r>
            <w:r>
              <w:t>list</w:t>
            </w:r>
            <w:r>
              <w:rPr>
                <w:spacing w:val="-4"/>
              </w:rPr>
              <w:t xml:space="preserve"> </w:t>
            </w:r>
            <w:r>
              <w:t>of adjusting entries needed to correct the uncorrected misstatements (FAM 540 and FAM 595 C) and bring them to the attention of management and those charged with governance? (FAM 540 and FAM 550)</w:t>
            </w:r>
          </w:p>
        </w:tc>
        <w:tc>
          <w:tcPr>
            <w:tcW w:w="811" w:type="dxa"/>
            <w:tcBorders>
              <w:left w:val="single" w:sz="8" w:space="0" w:color="000000"/>
              <w:bottom w:val="single" w:sz="8" w:space="0" w:color="000000"/>
              <w:right w:val="single" w:sz="8" w:space="0" w:color="000000"/>
            </w:tcBorders>
          </w:tcPr>
          <w:p w14:paraId="0DFDCFB7" w14:textId="77777777" w:rsidR="00046465" w:rsidRDefault="00046465">
            <w:pPr>
              <w:pStyle w:val="TableParagraph"/>
              <w:rPr>
                <w:rFonts w:ascii="Times New Roman"/>
                <w:sz w:val="20"/>
              </w:rPr>
            </w:pPr>
          </w:p>
        </w:tc>
        <w:tc>
          <w:tcPr>
            <w:tcW w:w="1349" w:type="dxa"/>
            <w:tcBorders>
              <w:left w:val="single" w:sz="8" w:space="0" w:color="000000"/>
              <w:bottom w:val="single" w:sz="8" w:space="0" w:color="000000"/>
            </w:tcBorders>
          </w:tcPr>
          <w:p w14:paraId="0DFDCFB8" w14:textId="77777777" w:rsidR="00046465" w:rsidRDefault="00046465">
            <w:pPr>
              <w:pStyle w:val="TableParagraph"/>
              <w:rPr>
                <w:rFonts w:ascii="Times New Roman"/>
                <w:sz w:val="20"/>
              </w:rPr>
            </w:pPr>
          </w:p>
        </w:tc>
      </w:tr>
      <w:tr w:rsidR="00046465" w14:paraId="0DFDCFBD" w14:textId="77777777">
        <w:trPr>
          <w:trHeight w:val="1504"/>
        </w:trPr>
        <w:tc>
          <w:tcPr>
            <w:tcW w:w="7380" w:type="dxa"/>
            <w:tcBorders>
              <w:top w:val="single" w:sz="8" w:space="0" w:color="000000"/>
              <w:bottom w:val="single" w:sz="8" w:space="0" w:color="000000"/>
              <w:right w:val="single" w:sz="8" w:space="0" w:color="000000"/>
            </w:tcBorders>
          </w:tcPr>
          <w:p w14:paraId="0DFDCFBA" w14:textId="77777777" w:rsidR="00046465" w:rsidRDefault="008134EB">
            <w:pPr>
              <w:pStyle w:val="TableParagraph"/>
              <w:tabs>
                <w:tab w:val="left" w:pos="1249"/>
              </w:tabs>
              <w:spacing w:before="119"/>
              <w:ind w:left="1249" w:right="558" w:hanging="360"/>
            </w:pPr>
            <w:r>
              <w:rPr>
                <w:spacing w:val="-6"/>
              </w:rPr>
              <w:t>f.</w:t>
            </w:r>
            <w:r>
              <w:tab/>
              <w:t>Evaluate audit exposure, including uncorrected misstatements,</w:t>
            </w:r>
            <w:r>
              <w:rPr>
                <w:spacing w:val="-10"/>
              </w:rPr>
              <w:t xml:space="preserve"> </w:t>
            </w:r>
            <w:r>
              <w:t>possible</w:t>
            </w:r>
            <w:r>
              <w:rPr>
                <w:spacing w:val="-10"/>
              </w:rPr>
              <w:t xml:space="preserve"> </w:t>
            </w:r>
            <w:r>
              <w:t>undetected</w:t>
            </w:r>
            <w:r>
              <w:rPr>
                <w:spacing w:val="-10"/>
              </w:rPr>
              <w:t xml:space="preserve"> </w:t>
            </w:r>
            <w:r>
              <w:t>misstatements</w:t>
            </w:r>
            <w:r>
              <w:rPr>
                <w:spacing w:val="-10"/>
              </w:rPr>
              <w:t xml:space="preserve"> </w:t>
            </w:r>
            <w:r>
              <w:t>(e.g., untested amounts and audit precision), and qualitative considerations, and determine the effect on the financial statements and notes? (FAM 545)</w:t>
            </w:r>
          </w:p>
        </w:tc>
        <w:tc>
          <w:tcPr>
            <w:tcW w:w="811" w:type="dxa"/>
            <w:tcBorders>
              <w:top w:val="single" w:sz="8" w:space="0" w:color="000000"/>
              <w:left w:val="single" w:sz="8" w:space="0" w:color="000000"/>
              <w:bottom w:val="single" w:sz="8" w:space="0" w:color="000000"/>
              <w:right w:val="single" w:sz="8" w:space="0" w:color="000000"/>
            </w:tcBorders>
          </w:tcPr>
          <w:p w14:paraId="0DFDCFBB"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FBC" w14:textId="77777777" w:rsidR="00046465" w:rsidRDefault="00046465">
            <w:pPr>
              <w:pStyle w:val="TableParagraph"/>
              <w:rPr>
                <w:rFonts w:ascii="Times New Roman"/>
                <w:sz w:val="20"/>
              </w:rPr>
            </w:pPr>
          </w:p>
        </w:tc>
      </w:tr>
      <w:tr w:rsidR="00046465" w14:paraId="0DFDCFC1" w14:textId="77777777">
        <w:trPr>
          <w:trHeight w:val="746"/>
        </w:trPr>
        <w:tc>
          <w:tcPr>
            <w:tcW w:w="7380" w:type="dxa"/>
            <w:tcBorders>
              <w:top w:val="single" w:sz="8" w:space="0" w:color="000000"/>
              <w:bottom w:val="single" w:sz="8" w:space="0" w:color="000000"/>
              <w:right w:val="single" w:sz="8" w:space="0" w:color="000000"/>
            </w:tcBorders>
          </w:tcPr>
          <w:p w14:paraId="0DFDCFBE" w14:textId="77777777" w:rsidR="00046465" w:rsidRDefault="008134EB">
            <w:pPr>
              <w:pStyle w:val="TableParagraph"/>
              <w:spacing w:before="121"/>
              <w:ind w:left="1249" w:right="172" w:hanging="360"/>
            </w:pPr>
            <w:r>
              <w:t>g.</w:t>
            </w:r>
            <w:r>
              <w:rPr>
                <w:spacing w:val="80"/>
              </w:rPr>
              <w:t xml:space="preserve"> </w:t>
            </w:r>
            <w:r>
              <w:t>Directly</w:t>
            </w:r>
            <w:r>
              <w:rPr>
                <w:spacing w:val="-4"/>
              </w:rPr>
              <w:t xml:space="preserve"> </w:t>
            </w:r>
            <w:r>
              <w:t>obtain</w:t>
            </w:r>
            <w:r>
              <w:rPr>
                <w:spacing w:val="-4"/>
              </w:rPr>
              <w:t xml:space="preserve"> </w:t>
            </w:r>
            <w:r>
              <w:t>the</w:t>
            </w:r>
            <w:r>
              <w:rPr>
                <w:spacing w:val="-4"/>
              </w:rPr>
              <w:t xml:space="preserve"> </w:t>
            </w:r>
            <w:r>
              <w:t>legal</w:t>
            </w:r>
            <w:r>
              <w:rPr>
                <w:spacing w:val="-5"/>
              </w:rPr>
              <w:t xml:space="preserve"> </w:t>
            </w:r>
            <w:r>
              <w:t>counsel</w:t>
            </w:r>
            <w:r>
              <w:rPr>
                <w:spacing w:val="-4"/>
              </w:rPr>
              <w:t xml:space="preserve"> </w:t>
            </w:r>
            <w:r>
              <w:t>response?</w:t>
            </w:r>
            <w:r>
              <w:rPr>
                <w:spacing w:val="-4"/>
              </w:rPr>
              <w:t xml:space="preserve"> </w:t>
            </w:r>
            <w:r>
              <w:t>(FAM</w:t>
            </w:r>
            <w:r>
              <w:rPr>
                <w:spacing w:val="-5"/>
              </w:rPr>
              <w:t xml:space="preserve"> </w:t>
            </w:r>
            <w:r>
              <w:t>550</w:t>
            </w:r>
            <w:r>
              <w:rPr>
                <w:spacing w:val="-4"/>
              </w:rPr>
              <w:t xml:space="preserve"> </w:t>
            </w:r>
            <w:r>
              <w:t>and FAM 1002)</w:t>
            </w:r>
          </w:p>
        </w:tc>
        <w:tc>
          <w:tcPr>
            <w:tcW w:w="811" w:type="dxa"/>
            <w:tcBorders>
              <w:top w:val="single" w:sz="8" w:space="0" w:color="000000"/>
              <w:left w:val="single" w:sz="8" w:space="0" w:color="000000"/>
              <w:bottom w:val="single" w:sz="8" w:space="0" w:color="000000"/>
              <w:right w:val="single" w:sz="8" w:space="0" w:color="000000"/>
            </w:tcBorders>
          </w:tcPr>
          <w:p w14:paraId="0DFDCFBF"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FC0" w14:textId="77777777" w:rsidR="00046465" w:rsidRDefault="00046465">
            <w:pPr>
              <w:pStyle w:val="TableParagraph"/>
              <w:rPr>
                <w:rFonts w:ascii="Times New Roman"/>
                <w:sz w:val="20"/>
              </w:rPr>
            </w:pPr>
          </w:p>
        </w:tc>
      </w:tr>
      <w:tr w:rsidR="00046465" w14:paraId="0DFDCFC5" w14:textId="77777777">
        <w:trPr>
          <w:trHeight w:val="745"/>
        </w:trPr>
        <w:tc>
          <w:tcPr>
            <w:tcW w:w="7380" w:type="dxa"/>
            <w:tcBorders>
              <w:top w:val="single" w:sz="8" w:space="0" w:color="000000"/>
              <w:bottom w:val="single" w:sz="8" w:space="0" w:color="000000"/>
              <w:right w:val="single" w:sz="8" w:space="0" w:color="000000"/>
            </w:tcBorders>
          </w:tcPr>
          <w:p w14:paraId="0DFDCFC2" w14:textId="77777777" w:rsidR="00046465" w:rsidRDefault="008134EB">
            <w:pPr>
              <w:pStyle w:val="TableParagraph"/>
              <w:spacing w:before="119"/>
              <w:ind w:left="1249" w:hanging="360"/>
            </w:pPr>
            <w:r>
              <w:t>h.</w:t>
            </w:r>
            <w:r>
              <w:rPr>
                <w:spacing w:val="80"/>
              </w:rPr>
              <w:t xml:space="preserve"> </w:t>
            </w:r>
            <w:r>
              <w:t>Perform</w:t>
            </w:r>
            <w:r>
              <w:rPr>
                <w:spacing w:val="-5"/>
              </w:rPr>
              <w:t xml:space="preserve"> </w:t>
            </w:r>
            <w:r>
              <w:t>procedures</w:t>
            </w:r>
            <w:r>
              <w:rPr>
                <w:spacing w:val="-4"/>
              </w:rPr>
              <w:t xml:space="preserve"> </w:t>
            </w:r>
            <w:r>
              <w:t>to</w:t>
            </w:r>
            <w:r>
              <w:rPr>
                <w:spacing w:val="-4"/>
              </w:rPr>
              <w:t xml:space="preserve"> </w:t>
            </w:r>
            <w:r>
              <w:t>identify</w:t>
            </w:r>
            <w:r>
              <w:rPr>
                <w:spacing w:val="-4"/>
              </w:rPr>
              <w:t xml:space="preserve"> </w:t>
            </w:r>
            <w:r>
              <w:t>material</w:t>
            </w:r>
            <w:r>
              <w:rPr>
                <w:spacing w:val="-4"/>
              </w:rPr>
              <w:t xml:space="preserve"> </w:t>
            </w:r>
            <w:r>
              <w:t>subsequent</w:t>
            </w:r>
            <w:r>
              <w:rPr>
                <w:spacing w:val="-4"/>
              </w:rPr>
              <w:t xml:space="preserve"> </w:t>
            </w:r>
            <w:r>
              <w:t>events? (FAM 550 and FAM 1005)</w:t>
            </w:r>
          </w:p>
        </w:tc>
        <w:tc>
          <w:tcPr>
            <w:tcW w:w="811" w:type="dxa"/>
            <w:tcBorders>
              <w:top w:val="single" w:sz="8" w:space="0" w:color="000000"/>
              <w:left w:val="single" w:sz="8" w:space="0" w:color="000000"/>
              <w:bottom w:val="single" w:sz="8" w:space="0" w:color="000000"/>
              <w:right w:val="single" w:sz="8" w:space="0" w:color="000000"/>
            </w:tcBorders>
          </w:tcPr>
          <w:p w14:paraId="0DFDCFC3"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FC4" w14:textId="77777777" w:rsidR="00046465" w:rsidRDefault="00046465">
            <w:pPr>
              <w:pStyle w:val="TableParagraph"/>
              <w:rPr>
                <w:rFonts w:ascii="Times New Roman"/>
                <w:sz w:val="20"/>
              </w:rPr>
            </w:pPr>
          </w:p>
        </w:tc>
      </w:tr>
      <w:tr w:rsidR="00046465" w14:paraId="0DFDCFC9" w14:textId="77777777">
        <w:trPr>
          <w:trHeight w:val="745"/>
        </w:trPr>
        <w:tc>
          <w:tcPr>
            <w:tcW w:w="7380" w:type="dxa"/>
            <w:tcBorders>
              <w:top w:val="single" w:sz="8" w:space="0" w:color="000000"/>
              <w:bottom w:val="single" w:sz="8" w:space="0" w:color="000000"/>
              <w:right w:val="single" w:sz="8" w:space="0" w:color="000000"/>
            </w:tcBorders>
          </w:tcPr>
          <w:p w14:paraId="0DFDCFC6" w14:textId="77777777" w:rsidR="00046465" w:rsidRDefault="008134EB">
            <w:pPr>
              <w:pStyle w:val="TableParagraph"/>
              <w:tabs>
                <w:tab w:val="left" w:pos="1249"/>
              </w:tabs>
              <w:spacing w:before="119"/>
              <w:ind w:left="1249" w:right="949" w:hanging="361"/>
            </w:pPr>
            <w:r>
              <w:rPr>
                <w:spacing w:val="-6"/>
              </w:rPr>
              <w:t>i.</w:t>
            </w:r>
            <w:r>
              <w:tab/>
              <w:t>Obtain</w:t>
            </w:r>
            <w:r>
              <w:rPr>
                <w:spacing w:val="-8"/>
              </w:rPr>
              <w:t xml:space="preserve"> </w:t>
            </w:r>
            <w:r>
              <w:t>management</w:t>
            </w:r>
            <w:r>
              <w:rPr>
                <w:spacing w:val="-8"/>
              </w:rPr>
              <w:t xml:space="preserve"> </w:t>
            </w:r>
            <w:r>
              <w:t>representations?</w:t>
            </w:r>
            <w:r>
              <w:rPr>
                <w:spacing w:val="-8"/>
              </w:rPr>
              <w:t xml:space="preserve"> </w:t>
            </w:r>
            <w:r>
              <w:t>(FAM</w:t>
            </w:r>
            <w:r>
              <w:rPr>
                <w:spacing w:val="-9"/>
              </w:rPr>
              <w:t xml:space="preserve"> </w:t>
            </w:r>
            <w:r>
              <w:t>550</w:t>
            </w:r>
            <w:r>
              <w:rPr>
                <w:spacing w:val="-8"/>
              </w:rPr>
              <w:t xml:space="preserve"> </w:t>
            </w:r>
            <w:r>
              <w:t>and FAM 1001)</w:t>
            </w:r>
          </w:p>
        </w:tc>
        <w:tc>
          <w:tcPr>
            <w:tcW w:w="811" w:type="dxa"/>
            <w:tcBorders>
              <w:top w:val="single" w:sz="8" w:space="0" w:color="000000"/>
              <w:left w:val="single" w:sz="8" w:space="0" w:color="000000"/>
              <w:bottom w:val="single" w:sz="8" w:space="0" w:color="000000"/>
              <w:right w:val="single" w:sz="8" w:space="0" w:color="000000"/>
            </w:tcBorders>
          </w:tcPr>
          <w:p w14:paraId="0DFDCFC7"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FC8" w14:textId="77777777" w:rsidR="00046465" w:rsidRDefault="00046465">
            <w:pPr>
              <w:pStyle w:val="TableParagraph"/>
              <w:rPr>
                <w:rFonts w:ascii="Times New Roman"/>
                <w:sz w:val="20"/>
              </w:rPr>
            </w:pPr>
          </w:p>
        </w:tc>
      </w:tr>
      <w:tr w:rsidR="00046465" w14:paraId="0DFDCFCD" w14:textId="77777777">
        <w:trPr>
          <w:trHeight w:val="998"/>
        </w:trPr>
        <w:tc>
          <w:tcPr>
            <w:tcW w:w="7380" w:type="dxa"/>
            <w:tcBorders>
              <w:top w:val="single" w:sz="8" w:space="0" w:color="000000"/>
              <w:bottom w:val="single" w:sz="8" w:space="0" w:color="000000"/>
              <w:right w:val="single" w:sz="8" w:space="0" w:color="000000"/>
            </w:tcBorders>
          </w:tcPr>
          <w:p w14:paraId="0DFDCFCA" w14:textId="77777777" w:rsidR="00046465" w:rsidRDefault="008134EB">
            <w:pPr>
              <w:pStyle w:val="TableParagraph"/>
              <w:tabs>
                <w:tab w:val="left" w:pos="1249"/>
              </w:tabs>
              <w:spacing w:before="121"/>
              <w:ind w:left="1249" w:right="642" w:hanging="361"/>
            </w:pPr>
            <w:r>
              <w:rPr>
                <w:spacing w:val="-6"/>
              </w:rPr>
              <w:t>j.</w:t>
            </w:r>
            <w:r>
              <w:tab/>
              <w:t>Identify</w:t>
            </w:r>
            <w:r>
              <w:rPr>
                <w:spacing w:val="-7"/>
              </w:rPr>
              <w:t xml:space="preserve"> </w:t>
            </w:r>
            <w:r>
              <w:t>and</w:t>
            </w:r>
            <w:r>
              <w:rPr>
                <w:spacing w:val="-7"/>
              </w:rPr>
              <w:t xml:space="preserve"> </w:t>
            </w:r>
            <w:r>
              <w:t>evaluate</w:t>
            </w:r>
            <w:r>
              <w:rPr>
                <w:spacing w:val="-7"/>
              </w:rPr>
              <w:t xml:space="preserve"> </w:t>
            </w:r>
            <w:r>
              <w:t>relationships</w:t>
            </w:r>
            <w:r>
              <w:rPr>
                <w:spacing w:val="-7"/>
              </w:rPr>
              <w:t xml:space="preserve"> </w:t>
            </w:r>
            <w:r>
              <w:t>and</w:t>
            </w:r>
            <w:r>
              <w:rPr>
                <w:spacing w:val="-7"/>
              </w:rPr>
              <w:t xml:space="preserve"> </w:t>
            </w:r>
            <w:r>
              <w:t>transactions</w:t>
            </w:r>
            <w:r>
              <w:rPr>
                <w:spacing w:val="-7"/>
              </w:rPr>
              <w:t xml:space="preserve"> </w:t>
            </w:r>
            <w:r>
              <w:t>with related parties, disclosure entities, and public-private partnerships? (FAM 550 and FAM 904)</w:t>
            </w:r>
          </w:p>
        </w:tc>
        <w:tc>
          <w:tcPr>
            <w:tcW w:w="811" w:type="dxa"/>
            <w:tcBorders>
              <w:top w:val="single" w:sz="8" w:space="0" w:color="000000"/>
              <w:left w:val="single" w:sz="8" w:space="0" w:color="000000"/>
              <w:bottom w:val="single" w:sz="8" w:space="0" w:color="000000"/>
              <w:right w:val="single" w:sz="8" w:space="0" w:color="000000"/>
            </w:tcBorders>
          </w:tcPr>
          <w:p w14:paraId="0DFDCFCB"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FCC" w14:textId="77777777" w:rsidR="00046465" w:rsidRDefault="00046465">
            <w:pPr>
              <w:pStyle w:val="TableParagraph"/>
              <w:rPr>
                <w:rFonts w:ascii="Times New Roman"/>
                <w:sz w:val="20"/>
              </w:rPr>
            </w:pPr>
          </w:p>
        </w:tc>
      </w:tr>
      <w:tr w:rsidR="00046465" w14:paraId="0DFDCFD1" w14:textId="77777777">
        <w:trPr>
          <w:trHeight w:val="746"/>
        </w:trPr>
        <w:tc>
          <w:tcPr>
            <w:tcW w:w="7380" w:type="dxa"/>
            <w:tcBorders>
              <w:top w:val="single" w:sz="8" w:space="0" w:color="000000"/>
              <w:bottom w:val="single" w:sz="8" w:space="0" w:color="000000"/>
              <w:right w:val="single" w:sz="8" w:space="0" w:color="000000"/>
            </w:tcBorders>
          </w:tcPr>
          <w:p w14:paraId="0DFDCFCE" w14:textId="77777777" w:rsidR="00046465" w:rsidRDefault="008134EB">
            <w:pPr>
              <w:pStyle w:val="TableParagraph"/>
              <w:spacing w:before="121"/>
              <w:ind w:left="1249" w:right="172" w:hanging="360"/>
            </w:pPr>
            <w:r>
              <w:t>k.</w:t>
            </w:r>
            <w:r>
              <w:rPr>
                <w:spacing w:val="80"/>
              </w:rPr>
              <w:t xml:space="preserve"> </w:t>
            </w:r>
            <w:r>
              <w:t>Communicate</w:t>
            </w:r>
            <w:r>
              <w:rPr>
                <w:spacing w:val="-5"/>
              </w:rPr>
              <w:t xml:space="preserve"> </w:t>
            </w:r>
            <w:r>
              <w:t>with</w:t>
            </w:r>
            <w:r>
              <w:rPr>
                <w:spacing w:val="-5"/>
              </w:rPr>
              <w:t xml:space="preserve"> </w:t>
            </w:r>
            <w:r>
              <w:t>those</w:t>
            </w:r>
            <w:r>
              <w:rPr>
                <w:spacing w:val="-5"/>
              </w:rPr>
              <w:t xml:space="preserve"> </w:t>
            </w:r>
            <w:r>
              <w:t>charged</w:t>
            </w:r>
            <w:r>
              <w:rPr>
                <w:spacing w:val="-5"/>
              </w:rPr>
              <w:t xml:space="preserve"> </w:t>
            </w:r>
            <w:r>
              <w:t>with</w:t>
            </w:r>
            <w:r>
              <w:rPr>
                <w:spacing w:val="-5"/>
              </w:rPr>
              <w:t xml:space="preserve"> </w:t>
            </w:r>
            <w:r>
              <w:t>governance?</w:t>
            </w:r>
            <w:r>
              <w:rPr>
                <w:spacing w:val="-5"/>
              </w:rPr>
              <w:t xml:space="preserve"> </w:t>
            </w:r>
            <w:r>
              <w:t xml:space="preserve">(FAM </w:t>
            </w:r>
            <w:r>
              <w:rPr>
                <w:spacing w:val="-4"/>
              </w:rPr>
              <w:t>550)</w:t>
            </w:r>
          </w:p>
        </w:tc>
        <w:tc>
          <w:tcPr>
            <w:tcW w:w="811" w:type="dxa"/>
            <w:tcBorders>
              <w:top w:val="single" w:sz="8" w:space="0" w:color="000000"/>
              <w:left w:val="single" w:sz="8" w:space="0" w:color="000000"/>
              <w:bottom w:val="single" w:sz="8" w:space="0" w:color="000000"/>
              <w:right w:val="single" w:sz="8" w:space="0" w:color="000000"/>
            </w:tcBorders>
          </w:tcPr>
          <w:p w14:paraId="0DFDCFCF"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FD0" w14:textId="77777777" w:rsidR="00046465" w:rsidRDefault="00046465">
            <w:pPr>
              <w:pStyle w:val="TableParagraph"/>
              <w:rPr>
                <w:rFonts w:ascii="Times New Roman"/>
                <w:sz w:val="20"/>
              </w:rPr>
            </w:pPr>
          </w:p>
        </w:tc>
      </w:tr>
      <w:tr w:rsidR="00046465" w14:paraId="0DFDCFD5" w14:textId="77777777">
        <w:trPr>
          <w:trHeight w:val="1503"/>
        </w:trPr>
        <w:tc>
          <w:tcPr>
            <w:tcW w:w="7380" w:type="dxa"/>
            <w:tcBorders>
              <w:top w:val="single" w:sz="8" w:space="0" w:color="000000"/>
              <w:bottom w:val="single" w:sz="8" w:space="0" w:color="000000"/>
              <w:right w:val="single" w:sz="8" w:space="0" w:color="000000"/>
            </w:tcBorders>
          </w:tcPr>
          <w:p w14:paraId="0DFDCFD2" w14:textId="77777777" w:rsidR="00046465" w:rsidRDefault="008134EB">
            <w:pPr>
              <w:pStyle w:val="TableParagraph"/>
              <w:tabs>
                <w:tab w:val="left" w:pos="1249"/>
              </w:tabs>
              <w:spacing w:before="119"/>
              <w:ind w:left="1249" w:right="388" w:hanging="361"/>
            </w:pPr>
            <w:r>
              <w:rPr>
                <w:spacing w:val="-6"/>
              </w:rPr>
              <w:t>l.</w:t>
            </w:r>
            <w:r>
              <w:tab/>
              <w:t>Assess and conclude on procedures performed for RSI, including</w:t>
            </w:r>
            <w:r>
              <w:rPr>
                <w:spacing w:val="-8"/>
              </w:rPr>
              <w:t xml:space="preserve"> </w:t>
            </w:r>
            <w:r>
              <w:t>Management’s</w:t>
            </w:r>
            <w:r>
              <w:rPr>
                <w:spacing w:val="-8"/>
              </w:rPr>
              <w:t xml:space="preserve"> </w:t>
            </w:r>
            <w:r>
              <w:t>Discussion</w:t>
            </w:r>
            <w:r>
              <w:rPr>
                <w:spacing w:val="-8"/>
              </w:rPr>
              <w:t xml:space="preserve"> </w:t>
            </w:r>
            <w:r>
              <w:t>and</w:t>
            </w:r>
            <w:r>
              <w:rPr>
                <w:spacing w:val="-8"/>
              </w:rPr>
              <w:t xml:space="preserve"> </w:t>
            </w:r>
            <w:r>
              <w:t>Analysis</w:t>
            </w:r>
            <w:r>
              <w:rPr>
                <w:spacing w:val="-8"/>
              </w:rPr>
              <w:t xml:space="preserve"> </w:t>
            </w:r>
            <w:r>
              <w:t>(MD&amp;A), and other information in the entity’s annual report (e.g., performance and accountability report or agency financial report)? (FAM 550)</w:t>
            </w:r>
          </w:p>
        </w:tc>
        <w:tc>
          <w:tcPr>
            <w:tcW w:w="811" w:type="dxa"/>
            <w:tcBorders>
              <w:top w:val="single" w:sz="8" w:space="0" w:color="000000"/>
              <w:left w:val="single" w:sz="8" w:space="0" w:color="000000"/>
              <w:bottom w:val="single" w:sz="8" w:space="0" w:color="000000"/>
              <w:right w:val="single" w:sz="8" w:space="0" w:color="000000"/>
            </w:tcBorders>
          </w:tcPr>
          <w:p w14:paraId="0DFDCFD3"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FD4" w14:textId="77777777" w:rsidR="00046465" w:rsidRDefault="00046465">
            <w:pPr>
              <w:pStyle w:val="TableParagraph"/>
              <w:rPr>
                <w:rFonts w:ascii="Times New Roman"/>
                <w:sz w:val="20"/>
              </w:rPr>
            </w:pPr>
          </w:p>
        </w:tc>
      </w:tr>
      <w:tr w:rsidR="00046465" w14:paraId="0DFDCFD9" w14:textId="77777777">
        <w:trPr>
          <w:trHeight w:val="1251"/>
        </w:trPr>
        <w:tc>
          <w:tcPr>
            <w:tcW w:w="7380" w:type="dxa"/>
            <w:tcBorders>
              <w:top w:val="single" w:sz="8" w:space="0" w:color="000000"/>
              <w:bottom w:val="single" w:sz="8" w:space="0" w:color="000000"/>
              <w:right w:val="single" w:sz="8" w:space="0" w:color="000000"/>
            </w:tcBorders>
          </w:tcPr>
          <w:p w14:paraId="0DFDCFD6" w14:textId="77777777" w:rsidR="00046465" w:rsidRDefault="008134EB">
            <w:pPr>
              <w:pStyle w:val="TableParagraph"/>
              <w:spacing w:before="121"/>
              <w:ind w:left="843" w:right="172" w:hanging="360"/>
            </w:pPr>
            <w:r>
              <w:t>22. Did the auditor evaluate the severity of each internal control deficiency identified and determine whether the deficiency, individually</w:t>
            </w:r>
            <w:r>
              <w:rPr>
                <w:spacing w:val="-6"/>
              </w:rPr>
              <w:t xml:space="preserve"> </w:t>
            </w:r>
            <w:r>
              <w:t>or</w:t>
            </w:r>
            <w:r>
              <w:rPr>
                <w:spacing w:val="-5"/>
              </w:rPr>
              <w:t xml:space="preserve"> </w:t>
            </w:r>
            <w:r>
              <w:t>in</w:t>
            </w:r>
            <w:r>
              <w:rPr>
                <w:spacing w:val="-5"/>
              </w:rPr>
              <w:t xml:space="preserve"> </w:t>
            </w:r>
            <w:r>
              <w:t>combination</w:t>
            </w:r>
            <w:r>
              <w:rPr>
                <w:spacing w:val="-5"/>
              </w:rPr>
              <w:t xml:space="preserve"> </w:t>
            </w:r>
            <w:r>
              <w:t>with</w:t>
            </w:r>
            <w:r>
              <w:rPr>
                <w:spacing w:val="-5"/>
              </w:rPr>
              <w:t xml:space="preserve"> </w:t>
            </w:r>
            <w:r>
              <w:t>others,</w:t>
            </w:r>
            <w:r>
              <w:rPr>
                <w:spacing w:val="-5"/>
              </w:rPr>
              <w:t xml:space="preserve"> </w:t>
            </w:r>
            <w:r>
              <w:t>is</w:t>
            </w:r>
            <w:r>
              <w:rPr>
                <w:spacing w:val="-5"/>
              </w:rPr>
              <w:t xml:space="preserve"> </w:t>
            </w:r>
            <w:r>
              <w:t>a</w:t>
            </w:r>
            <w:r>
              <w:rPr>
                <w:spacing w:val="-5"/>
              </w:rPr>
              <w:t xml:space="preserve"> </w:t>
            </w:r>
            <w:r>
              <w:t>material</w:t>
            </w:r>
            <w:r>
              <w:rPr>
                <w:spacing w:val="-5"/>
              </w:rPr>
              <w:t xml:space="preserve"> </w:t>
            </w:r>
            <w:r>
              <w:t>weakness or a significant deficiency? (FAM 580)</w:t>
            </w:r>
          </w:p>
        </w:tc>
        <w:tc>
          <w:tcPr>
            <w:tcW w:w="811" w:type="dxa"/>
            <w:tcBorders>
              <w:top w:val="single" w:sz="8" w:space="0" w:color="000000"/>
              <w:left w:val="single" w:sz="8" w:space="0" w:color="000000"/>
              <w:bottom w:val="single" w:sz="8" w:space="0" w:color="000000"/>
              <w:right w:val="single" w:sz="8" w:space="0" w:color="000000"/>
            </w:tcBorders>
          </w:tcPr>
          <w:p w14:paraId="0DFDCFD7"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tcPr>
          <w:p w14:paraId="0DFDCFD8" w14:textId="77777777" w:rsidR="00046465" w:rsidRDefault="00046465">
            <w:pPr>
              <w:pStyle w:val="TableParagraph"/>
              <w:rPr>
                <w:rFonts w:ascii="Times New Roman"/>
                <w:sz w:val="20"/>
              </w:rPr>
            </w:pPr>
          </w:p>
        </w:tc>
      </w:tr>
      <w:tr w:rsidR="00046465" w14:paraId="0DFDCFDE" w14:textId="77777777">
        <w:trPr>
          <w:trHeight w:val="1470"/>
        </w:trPr>
        <w:tc>
          <w:tcPr>
            <w:tcW w:w="7380" w:type="dxa"/>
            <w:tcBorders>
              <w:top w:val="single" w:sz="8" w:space="0" w:color="000000"/>
              <w:bottom w:val="single" w:sz="8" w:space="0" w:color="000000"/>
              <w:right w:val="single" w:sz="8" w:space="0" w:color="000000"/>
            </w:tcBorders>
          </w:tcPr>
          <w:p w14:paraId="0DFDCFDA" w14:textId="77777777" w:rsidR="00046465" w:rsidRDefault="008134EB">
            <w:pPr>
              <w:pStyle w:val="TableParagraph"/>
              <w:spacing w:before="121"/>
              <w:ind w:left="843" w:hanging="360"/>
            </w:pPr>
            <w:r>
              <w:t>23.</w:t>
            </w:r>
            <w:r>
              <w:rPr>
                <w:spacing w:val="-12"/>
              </w:rPr>
              <w:t xml:space="preserve"> </w:t>
            </w:r>
            <w:r>
              <w:t>Does</w:t>
            </w:r>
            <w:r>
              <w:rPr>
                <w:spacing w:val="-5"/>
              </w:rPr>
              <w:t xml:space="preserve"> </w:t>
            </w:r>
            <w:r>
              <w:t>the</w:t>
            </w:r>
            <w:r>
              <w:rPr>
                <w:spacing w:val="-5"/>
              </w:rPr>
              <w:t xml:space="preserve"> </w:t>
            </w:r>
            <w:r>
              <w:rPr>
                <w:b/>
              </w:rPr>
              <w:t>audit</w:t>
            </w:r>
            <w:r>
              <w:rPr>
                <w:b/>
                <w:spacing w:val="-5"/>
              </w:rPr>
              <w:t xml:space="preserve"> </w:t>
            </w:r>
            <w:r>
              <w:rPr>
                <w:b/>
              </w:rPr>
              <w:t>summary</w:t>
            </w:r>
            <w:r>
              <w:rPr>
                <w:b/>
                <w:spacing w:val="-5"/>
              </w:rPr>
              <w:t xml:space="preserve"> </w:t>
            </w:r>
            <w:r>
              <w:rPr>
                <w:b/>
              </w:rPr>
              <w:t>memorandum</w:t>
            </w:r>
            <w:r>
              <w:rPr>
                <w:b/>
                <w:spacing w:val="-4"/>
              </w:rPr>
              <w:t xml:space="preserve"> </w:t>
            </w:r>
            <w:r>
              <w:t>or</w:t>
            </w:r>
            <w:r>
              <w:rPr>
                <w:spacing w:val="-5"/>
              </w:rPr>
              <w:t xml:space="preserve"> </w:t>
            </w:r>
            <w:r>
              <w:t>equivalent</w:t>
            </w:r>
            <w:r>
              <w:rPr>
                <w:spacing w:val="-5"/>
              </w:rPr>
              <w:t xml:space="preserve"> </w:t>
            </w:r>
            <w:r>
              <w:t>properly summarize or refer to documentation addressing the following (FAM 590)?</w:t>
            </w:r>
          </w:p>
          <w:p w14:paraId="0DFDCFDB" w14:textId="77777777" w:rsidR="00046465" w:rsidRDefault="008134EB">
            <w:pPr>
              <w:pStyle w:val="TableParagraph"/>
              <w:spacing w:before="240"/>
              <w:ind w:left="843"/>
              <w:rPr>
                <w:i/>
                <w:sz w:val="20"/>
              </w:rPr>
            </w:pPr>
            <w:r>
              <w:rPr>
                <w:i/>
                <w:sz w:val="20"/>
              </w:rPr>
              <w:t>Note:</w:t>
            </w:r>
            <w:r>
              <w:rPr>
                <w:i/>
                <w:spacing w:val="-3"/>
                <w:sz w:val="20"/>
              </w:rPr>
              <w:t xml:space="preserve"> </w:t>
            </w:r>
            <w:r>
              <w:rPr>
                <w:i/>
                <w:sz w:val="20"/>
              </w:rPr>
              <w:t>If</w:t>
            </w:r>
            <w:r>
              <w:rPr>
                <w:i/>
                <w:spacing w:val="-3"/>
                <w:sz w:val="20"/>
              </w:rPr>
              <w:t xml:space="preserve"> </w:t>
            </w:r>
            <w:r>
              <w:rPr>
                <w:i/>
                <w:sz w:val="20"/>
              </w:rPr>
              <w:t>the</w:t>
            </w:r>
            <w:r>
              <w:rPr>
                <w:i/>
                <w:spacing w:val="-3"/>
                <w:sz w:val="20"/>
              </w:rPr>
              <w:t xml:space="preserve"> </w:t>
            </w:r>
            <w:r>
              <w:rPr>
                <w:i/>
                <w:sz w:val="20"/>
              </w:rPr>
              <w:t>situation</w:t>
            </w:r>
            <w:r>
              <w:rPr>
                <w:i/>
                <w:spacing w:val="-3"/>
                <w:sz w:val="20"/>
              </w:rPr>
              <w:t xml:space="preserve"> </w:t>
            </w:r>
            <w:r>
              <w:rPr>
                <w:i/>
                <w:sz w:val="20"/>
              </w:rPr>
              <w:t>or</w:t>
            </w:r>
            <w:r>
              <w:rPr>
                <w:i/>
                <w:spacing w:val="-2"/>
                <w:sz w:val="20"/>
              </w:rPr>
              <w:t xml:space="preserve"> </w:t>
            </w:r>
            <w:r>
              <w:rPr>
                <w:i/>
                <w:sz w:val="20"/>
              </w:rPr>
              <w:t>issue</w:t>
            </w:r>
            <w:r>
              <w:rPr>
                <w:i/>
                <w:spacing w:val="-3"/>
                <w:sz w:val="20"/>
              </w:rPr>
              <w:t xml:space="preserve"> </w:t>
            </w:r>
            <w:r>
              <w:rPr>
                <w:i/>
                <w:sz w:val="20"/>
              </w:rPr>
              <w:t>did</w:t>
            </w:r>
            <w:r>
              <w:rPr>
                <w:i/>
                <w:spacing w:val="-3"/>
                <w:sz w:val="20"/>
              </w:rPr>
              <w:t xml:space="preserve"> </w:t>
            </w:r>
            <w:r>
              <w:rPr>
                <w:i/>
                <w:sz w:val="20"/>
              </w:rPr>
              <w:t>not</w:t>
            </w:r>
            <w:r>
              <w:rPr>
                <w:i/>
                <w:spacing w:val="-3"/>
                <w:sz w:val="20"/>
              </w:rPr>
              <w:t xml:space="preserve"> </w:t>
            </w:r>
            <w:r>
              <w:rPr>
                <w:i/>
                <w:sz w:val="20"/>
              </w:rPr>
              <w:t>occur,</w:t>
            </w:r>
            <w:r>
              <w:rPr>
                <w:i/>
                <w:spacing w:val="-3"/>
                <w:sz w:val="20"/>
              </w:rPr>
              <w:t xml:space="preserve"> </w:t>
            </w:r>
            <w:r>
              <w:rPr>
                <w:i/>
                <w:sz w:val="20"/>
              </w:rPr>
              <w:t>answer</w:t>
            </w:r>
            <w:r>
              <w:rPr>
                <w:i/>
                <w:spacing w:val="-1"/>
                <w:sz w:val="20"/>
              </w:rPr>
              <w:t xml:space="preserve"> </w:t>
            </w:r>
            <w:r>
              <w:rPr>
                <w:i/>
                <w:spacing w:val="-4"/>
                <w:sz w:val="20"/>
              </w:rPr>
              <w:t>N/A.</w:t>
            </w:r>
          </w:p>
        </w:tc>
        <w:tc>
          <w:tcPr>
            <w:tcW w:w="811" w:type="dxa"/>
            <w:tcBorders>
              <w:top w:val="single" w:sz="8" w:space="0" w:color="000000"/>
              <w:left w:val="single" w:sz="8" w:space="0" w:color="000000"/>
              <w:bottom w:val="single" w:sz="8" w:space="0" w:color="000000"/>
              <w:right w:val="single" w:sz="8" w:space="0" w:color="000000"/>
            </w:tcBorders>
            <w:shd w:val="clear" w:color="auto" w:fill="BEBEBE"/>
          </w:tcPr>
          <w:p w14:paraId="0DFDCFDC" w14:textId="77777777" w:rsidR="00046465" w:rsidRDefault="00046465">
            <w:pPr>
              <w:pStyle w:val="TableParagraph"/>
              <w:rPr>
                <w:rFonts w:ascii="Times New Roman"/>
                <w:sz w:val="20"/>
              </w:rPr>
            </w:pPr>
          </w:p>
        </w:tc>
        <w:tc>
          <w:tcPr>
            <w:tcW w:w="1349" w:type="dxa"/>
            <w:tcBorders>
              <w:top w:val="single" w:sz="8" w:space="0" w:color="000000"/>
              <w:left w:val="single" w:sz="8" w:space="0" w:color="000000"/>
              <w:bottom w:val="single" w:sz="8" w:space="0" w:color="000000"/>
            </w:tcBorders>
            <w:shd w:val="clear" w:color="auto" w:fill="BEBEBE"/>
          </w:tcPr>
          <w:p w14:paraId="0DFDCFDD" w14:textId="77777777" w:rsidR="00046465" w:rsidRDefault="00046465">
            <w:pPr>
              <w:pStyle w:val="TableParagraph"/>
              <w:rPr>
                <w:rFonts w:ascii="Times New Roman"/>
                <w:sz w:val="20"/>
              </w:rPr>
            </w:pPr>
          </w:p>
        </w:tc>
      </w:tr>
    </w:tbl>
    <w:p w14:paraId="0DFDCFDF" w14:textId="77777777" w:rsidR="00046465" w:rsidRDefault="00046465">
      <w:pPr>
        <w:pStyle w:val="TableParagraph"/>
        <w:rPr>
          <w:rFonts w:ascii="Times New Roman"/>
          <w:sz w:val="20"/>
        </w:rPr>
        <w:sectPr w:rsidR="00046465">
          <w:pgSz w:w="12240" w:h="15840"/>
          <w:pgMar w:top="1340" w:right="720" w:bottom="940" w:left="360" w:header="721" w:footer="757" w:gutter="0"/>
          <w:cols w:space="720"/>
        </w:sectPr>
      </w:pPr>
    </w:p>
    <w:p w14:paraId="0DFDCFE0" w14:textId="77777777" w:rsidR="00046465" w:rsidRDefault="00046465">
      <w:pPr>
        <w:pStyle w:val="BodyText"/>
        <w:spacing w:before="6"/>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CFE7" w14:textId="77777777">
        <w:trPr>
          <w:trHeight w:val="936"/>
        </w:trPr>
        <w:tc>
          <w:tcPr>
            <w:tcW w:w="7380" w:type="dxa"/>
            <w:tcBorders>
              <w:right w:val="single" w:sz="8" w:space="0" w:color="000000"/>
            </w:tcBorders>
            <w:shd w:val="clear" w:color="auto" w:fill="A6A6A6"/>
          </w:tcPr>
          <w:p w14:paraId="0DFDCFE1" w14:textId="77777777" w:rsidR="00046465" w:rsidRDefault="00046465">
            <w:pPr>
              <w:pStyle w:val="TableParagraph"/>
              <w:spacing w:before="266"/>
              <w:rPr>
                <w:b/>
                <w:sz w:val="24"/>
              </w:rPr>
            </w:pPr>
          </w:p>
          <w:p w14:paraId="0DFDCFE2" w14:textId="77777777" w:rsidR="00046465" w:rsidRDefault="008134EB">
            <w:pPr>
              <w:pStyle w:val="TableParagraph"/>
              <w:ind w:right="2795"/>
              <w:jc w:val="right"/>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CFE3"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CFE4" w14:textId="77777777" w:rsidR="00046465" w:rsidRDefault="00046465">
            <w:pPr>
              <w:pStyle w:val="TableParagraph"/>
              <w:rPr>
                <w:b/>
              </w:rPr>
            </w:pPr>
          </w:p>
          <w:p w14:paraId="0DFDCFE5" w14:textId="77777777" w:rsidR="00046465" w:rsidRDefault="00046465">
            <w:pPr>
              <w:pStyle w:val="TableParagraph"/>
              <w:spacing w:before="120"/>
              <w:rPr>
                <w:b/>
              </w:rPr>
            </w:pPr>
          </w:p>
          <w:p w14:paraId="0DFDCFE6"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CFEB" w14:textId="77777777">
        <w:trPr>
          <w:trHeight w:val="1252"/>
        </w:trPr>
        <w:tc>
          <w:tcPr>
            <w:tcW w:w="7380" w:type="dxa"/>
            <w:tcBorders>
              <w:bottom w:val="single" w:sz="8" w:space="0" w:color="000000"/>
              <w:right w:val="single" w:sz="8" w:space="0" w:color="000000"/>
            </w:tcBorders>
          </w:tcPr>
          <w:p w14:paraId="0DFDCFE8" w14:textId="77777777" w:rsidR="00046465" w:rsidRDefault="008134EB">
            <w:pPr>
              <w:pStyle w:val="TableParagraph"/>
              <w:spacing w:before="121"/>
              <w:ind w:left="1249" w:right="172" w:hanging="360"/>
            </w:pPr>
            <w:r>
              <w:t>a.</w:t>
            </w:r>
            <w:r>
              <w:rPr>
                <w:spacing w:val="80"/>
              </w:rPr>
              <w:t xml:space="preserve"> </w:t>
            </w:r>
            <w:r>
              <w:t>Any significant changes from the auditor’s original assessment of materiality for the financial statements as a whole</w:t>
            </w:r>
            <w:r>
              <w:rPr>
                <w:spacing w:val="-5"/>
              </w:rPr>
              <w:t xml:space="preserve"> </w:t>
            </w:r>
            <w:r>
              <w:t>and</w:t>
            </w:r>
            <w:r>
              <w:rPr>
                <w:spacing w:val="-5"/>
              </w:rPr>
              <w:t xml:space="preserve"> </w:t>
            </w:r>
            <w:r>
              <w:t>the</w:t>
            </w:r>
            <w:r>
              <w:rPr>
                <w:spacing w:val="-5"/>
              </w:rPr>
              <w:t xml:space="preserve"> </w:t>
            </w:r>
            <w:r>
              <w:t>risks</w:t>
            </w:r>
            <w:r>
              <w:rPr>
                <w:spacing w:val="-5"/>
              </w:rPr>
              <w:t xml:space="preserve"> </w:t>
            </w:r>
            <w:r>
              <w:t>of</w:t>
            </w:r>
            <w:r>
              <w:rPr>
                <w:spacing w:val="-5"/>
              </w:rPr>
              <w:t xml:space="preserve"> </w:t>
            </w:r>
            <w:r>
              <w:t>material</w:t>
            </w:r>
            <w:r>
              <w:rPr>
                <w:spacing w:val="-5"/>
              </w:rPr>
              <w:t xml:space="preserve"> </w:t>
            </w:r>
            <w:r>
              <w:t>misstatement</w:t>
            </w:r>
            <w:r>
              <w:rPr>
                <w:spacing w:val="-5"/>
              </w:rPr>
              <w:t xml:space="preserve"> </w:t>
            </w:r>
            <w:r>
              <w:t>at</w:t>
            </w:r>
            <w:r>
              <w:rPr>
                <w:spacing w:val="-5"/>
              </w:rPr>
              <w:t xml:space="preserve"> </w:t>
            </w:r>
            <w:r>
              <w:t>the</w:t>
            </w:r>
            <w:r>
              <w:rPr>
                <w:spacing w:val="-5"/>
              </w:rPr>
              <w:t xml:space="preserve"> </w:t>
            </w:r>
            <w:r>
              <w:t>financial statement and assertion levels.</w:t>
            </w:r>
          </w:p>
        </w:tc>
        <w:tc>
          <w:tcPr>
            <w:tcW w:w="811" w:type="dxa"/>
            <w:tcBorders>
              <w:left w:val="single" w:sz="8" w:space="0" w:color="000000"/>
              <w:bottom w:val="single" w:sz="8" w:space="0" w:color="000000"/>
              <w:right w:val="single" w:sz="8" w:space="0" w:color="000000"/>
            </w:tcBorders>
          </w:tcPr>
          <w:p w14:paraId="0DFDCFE9" w14:textId="77777777" w:rsidR="00046465" w:rsidRDefault="00046465">
            <w:pPr>
              <w:pStyle w:val="TableParagraph"/>
              <w:rPr>
                <w:rFonts w:ascii="Times New Roman"/>
              </w:rPr>
            </w:pPr>
          </w:p>
        </w:tc>
        <w:tc>
          <w:tcPr>
            <w:tcW w:w="1349" w:type="dxa"/>
            <w:tcBorders>
              <w:left w:val="single" w:sz="8" w:space="0" w:color="000000"/>
              <w:bottom w:val="single" w:sz="8" w:space="0" w:color="000000"/>
            </w:tcBorders>
          </w:tcPr>
          <w:p w14:paraId="0DFDCFEA" w14:textId="77777777" w:rsidR="00046465" w:rsidRDefault="00046465">
            <w:pPr>
              <w:pStyle w:val="TableParagraph"/>
              <w:rPr>
                <w:rFonts w:ascii="Times New Roman"/>
              </w:rPr>
            </w:pPr>
          </w:p>
        </w:tc>
      </w:tr>
      <w:tr w:rsidR="00046465" w14:paraId="0DFDCFEF" w14:textId="77777777">
        <w:trPr>
          <w:trHeight w:val="1758"/>
        </w:trPr>
        <w:tc>
          <w:tcPr>
            <w:tcW w:w="7380" w:type="dxa"/>
            <w:tcBorders>
              <w:top w:val="single" w:sz="8" w:space="0" w:color="000000"/>
              <w:bottom w:val="single" w:sz="8" w:space="0" w:color="000000"/>
              <w:right w:val="single" w:sz="8" w:space="0" w:color="000000"/>
            </w:tcBorders>
          </w:tcPr>
          <w:p w14:paraId="0DFDCFEC" w14:textId="77777777" w:rsidR="00046465" w:rsidRDefault="008134EB">
            <w:pPr>
              <w:pStyle w:val="TableParagraph"/>
              <w:spacing w:before="119"/>
              <w:ind w:left="1249" w:right="137" w:hanging="360"/>
            </w:pPr>
            <w:r>
              <w:t>b.</w:t>
            </w:r>
            <w:r>
              <w:rPr>
                <w:spacing w:val="80"/>
              </w:rPr>
              <w:t xml:space="preserve"> </w:t>
            </w:r>
            <w:r>
              <w:t>Any additional fraud risks or other conditions beyond those considered in planning (FAM 265), including analytical relationships identified during the audit that caused the auditor to believe that additional audit procedures or any other</w:t>
            </w:r>
            <w:r>
              <w:rPr>
                <w:spacing w:val="-5"/>
              </w:rPr>
              <w:t xml:space="preserve"> </w:t>
            </w:r>
            <w:r>
              <w:t>response</w:t>
            </w:r>
            <w:r>
              <w:rPr>
                <w:spacing w:val="-5"/>
              </w:rPr>
              <w:t xml:space="preserve"> </w:t>
            </w:r>
            <w:r>
              <w:t>was</w:t>
            </w:r>
            <w:r>
              <w:rPr>
                <w:spacing w:val="-5"/>
              </w:rPr>
              <w:t xml:space="preserve"> </w:t>
            </w:r>
            <w:r>
              <w:t>required,</w:t>
            </w:r>
            <w:r>
              <w:rPr>
                <w:spacing w:val="-5"/>
              </w:rPr>
              <w:t xml:space="preserve"> </w:t>
            </w:r>
            <w:r>
              <w:t>as</w:t>
            </w:r>
            <w:r>
              <w:rPr>
                <w:spacing w:val="-5"/>
              </w:rPr>
              <w:t xml:space="preserve"> </w:t>
            </w:r>
            <w:r>
              <w:t>well</w:t>
            </w:r>
            <w:r>
              <w:rPr>
                <w:spacing w:val="-5"/>
              </w:rPr>
              <w:t xml:space="preserve"> </w:t>
            </w:r>
            <w:r>
              <w:t>as</w:t>
            </w:r>
            <w:r>
              <w:rPr>
                <w:spacing w:val="-5"/>
              </w:rPr>
              <w:t xml:space="preserve"> </w:t>
            </w:r>
            <w:r>
              <w:t>any</w:t>
            </w:r>
            <w:r>
              <w:rPr>
                <w:spacing w:val="-6"/>
              </w:rPr>
              <w:t xml:space="preserve"> </w:t>
            </w:r>
            <w:r>
              <w:t>further</w:t>
            </w:r>
            <w:r>
              <w:rPr>
                <w:spacing w:val="-5"/>
              </w:rPr>
              <w:t xml:space="preserve"> </w:t>
            </w:r>
            <w:r>
              <w:t>response that the auditor concluded was appropriate.</w:t>
            </w:r>
          </w:p>
        </w:tc>
        <w:tc>
          <w:tcPr>
            <w:tcW w:w="811" w:type="dxa"/>
            <w:tcBorders>
              <w:top w:val="single" w:sz="8" w:space="0" w:color="000000"/>
              <w:left w:val="single" w:sz="8" w:space="0" w:color="000000"/>
              <w:bottom w:val="single" w:sz="8" w:space="0" w:color="000000"/>
              <w:right w:val="single" w:sz="8" w:space="0" w:color="000000"/>
            </w:tcBorders>
          </w:tcPr>
          <w:p w14:paraId="0DFDCFED"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EE" w14:textId="77777777" w:rsidR="00046465" w:rsidRDefault="00046465">
            <w:pPr>
              <w:pStyle w:val="TableParagraph"/>
              <w:rPr>
                <w:rFonts w:ascii="Times New Roman"/>
              </w:rPr>
            </w:pPr>
          </w:p>
        </w:tc>
      </w:tr>
      <w:tr w:rsidR="00046465" w14:paraId="0DFDCFF3" w14:textId="77777777">
        <w:trPr>
          <w:trHeight w:val="1504"/>
        </w:trPr>
        <w:tc>
          <w:tcPr>
            <w:tcW w:w="7380" w:type="dxa"/>
            <w:tcBorders>
              <w:top w:val="single" w:sz="8" w:space="0" w:color="000000"/>
              <w:bottom w:val="single" w:sz="8" w:space="0" w:color="000000"/>
              <w:right w:val="single" w:sz="8" w:space="0" w:color="000000"/>
            </w:tcBorders>
          </w:tcPr>
          <w:p w14:paraId="0DFDCFF0" w14:textId="77777777" w:rsidR="00046465" w:rsidRDefault="008134EB">
            <w:pPr>
              <w:pStyle w:val="TableParagraph"/>
              <w:spacing w:before="119"/>
              <w:ind w:left="1249" w:right="172" w:hanging="360"/>
            </w:pPr>
            <w:r>
              <w:t>c.</w:t>
            </w:r>
            <w:r>
              <w:rPr>
                <w:spacing w:val="80"/>
              </w:rPr>
              <w:t xml:space="preserve"> </w:t>
            </w:r>
            <w:r>
              <w:t>The results of the procedures performed to specifically address the risk of management override of controls, including the consideration of the qualitative aspects of the entity’s</w:t>
            </w:r>
            <w:r>
              <w:rPr>
                <w:spacing w:val="-7"/>
              </w:rPr>
              <w:t xml:space="preserve"> </w:t>
            </w:r>
            <w:r>
              <w:t>accounting</w:t>
            </w:r>
            <w:r>
              <w:rPr>
                <w:spacing w:val="-6"/>
              </w:rPr>
              <w:t xml:space="preserve"> </w:t>
            </w:r>
            <w:r>
              <w:t>practices,</w:t>
            </w:r>
            <w:r>
              <w:rPr>
                <w:spacing w:val="-6"/>
              </w:rPr>
              <w:t xml:space="preserve"> </w:t>
            </w:r>
            <w:r>
              <w:t>including</w:t>
            </w:r>
            <w:r>
              <w:rPr>
                <w:spacing w:val="-6"/>
              </w:rPr>
              <w:t xml:space="preserve"> </w:t>
            </w:r>
            <w:r>
              <w:t>indicators</w:t>
            </w:r>
            <w:r>
              <w:rPr>
                <w:spacing w:val="-7"/>
              </w:rPr>
              <w:t xml:space="preserve"> </w:t>
            </w:r>
            <w:r>
              <w:t>of</w:t>
            </w:r>
            <w:r>
              <w:rPr>
                <w:spacing w:val="-6"/>
              </w:rPr>
              <w:t xml:space="preserve"> </w:t>
            </w:r>
            <w:r>
              <w:t>possible bias in management’s judgments.</w:t>
            </w:r>
          </w:p>
        </w:tc>
        <w:tc>
          <w:tcPr>
            <w:tcW w:w="811" w:type="dxa"/>
            <w:tcBorders>
              <w:top w:val="single" w:sz="8" w:space="0" w:color="000000"/>
              <w:left w:val="single" w:sz="8" w:space="0" w:color="000000"/>
              <w:bottom w:val="single" w:sz="8" w:space="0" w:color="000000"/>
              <w:right w:val="single" w:sz="8" w:space="0" w:color="000000"/>
            </w:tcBorders>
          </w:tcPr>
          <w:p w14:paraId="0DFDCFF1"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F2" w14:textId="77777777" w:rsidR="00046465" w:rsidRDefault="00046465">
            <w:pPr>
              <w:pStyle w:val="TableParagraph"/>
              <w:rPr>
                <w:rFonts w:ascii="Times New Roman"/>
              </w:rPr>
            </w:pPr>
          </w:p>
        </w:tc>
      </w:tr>
      <w:tr w:rsidR="00046465" w14:paraId="0DFDCFF7" w14:textId="77777777">
        <w:trPr>
          <w:trHeight w:val="1505"/>
        </w:trPr>
        <w:tc>
          <w:tcPr>
            <w:tcW w:w="7380" w:type="dxa"/>
            <w:tcBorders>
              <w:top w:val="single" w:sz="8" w:space="0" w:color="000000"/>
              <w:bottom w:val="single" w:sz="8" w:space="0" w:color="000000"/>
              <w:right w:val="single" w:sz="8" w:space="0" w:color="000000"/>
            </w:tcBorders>
          </w:tcPr>
          <w:p w14:paraId="0DFDCFF4" w14:textId="77777777" w:rsidR="00046465" w:rsidRDefault="008134EB">
            <w:pPr>
              <w:pStyle w:val="TableParagraph"/>
              <w:spacing w:before="121"/>
              <w:ind w:left="1249" w:hanging="360"/>
            </w:pPr>
            <w:r>
              <w:t>d.</w:t>
            </w:r>
            <w:r>
              <w:rPr>
                <w:spacing w:val="80"/>
              </w:rPr>
              <w:t xml:space="preserve"> </w:t>
            </w:r>
            <w:r>
              <w:t>The</w:t>
            </w:r>
            <w:r>
              <w:rPr>
                <w:spacing w:val="-4"/>
              </w:rPr>
              <w:t xml:space="preserve"> </w:t>
            </w:r>
            <w:r>
              <w:t>work</w:t>
            </w:r>
            <w:r>
              <w:rPr>
                <w:spacing w:val="-4"/>
              </w:rPr>
              <w:t xml:space="preserve"> </w:t>
            </w:r>
            <w:r>
              <w:t>performed</w:t>
            </w:r>
            <w:r>
              <w:rPr>
                <w:spacing w:val="-4"/>
              </w:rPr>
              <w:t xml:space="preserve"> </w:t>
            </w:r>
            <w:r>
              <w:t>that</w:t>
            </w:r>
            <w:r>
              <w:rPr>
                <w:spacing w:val="-4"/>
              </w:rPr>
              <w:t xml:space="preserve"> </w:t>
            </w:r>
            <w:r>
              <w:t>demonstrates</w:t>
            </w:r>
            <w:r>
              <w:rPr>
                <w:spacing w:val="-4"/>
              </w:rPr>
              <w:t xml:space="preserve"> </w:t>
            </w:r>
            <w:r>
              <w:t>that</w:t>
            </w:r>
            <w:r>
              <w:rPr>
                <w:spacing w:val="-4"/>
              </w:rPr>
              <w:t xml:space="preserve"> </w:t>
            </w:r>
            <w:r>
              <w:t>information</w:t>
            </w:r>
            <w:r>
              <w:rPr>
                <w:spacing w:val="-4"/>
              </w:rPr>
              <w:t xml:space="preserve"> </w:t>
            </w:r>
            <w:r>
              <w:t>in</w:t>
            </w:r>
            <w:r>
              <w:rPr>
                <w:spacing w:val="-4"/>
              </w:rPr>
              <w:t xml:space="preserve"> </w:t>
            </w:r>
            <w:r>
              <w:t>the financial statements agrees or reconciles with the underlying accounting records, including agreeing or reconciling note disclosures,</w:t>
            </w:r>
            <w:r>
              <w:rPr>
                <w:spacing w:val="-1"/>
              </w:rPr>
              <w:t xml:space="preserve"> </w:t>
            </w:r>
            <w:r>
              <w:t>whether such information is obtained from</w:t>
            </w:r>
            <w:r>
              <w:rPr>
                <w:spacing w:val="-1"/>
              </w:rPr>
              <w:t xml:space="preserve"> </w:t>
            </w:r>
            <w:r>
              <w:t>within or outside of the general and subsidiary ledgers.</w:t>
            </w:r>
          </w:p>
        </w:tc>
        <w:tc>
          <w:tcPr>
            <w:tcW w:w="811" w:type="dxa"/>
            <w:tcBorders>
              <w:top w:val="single" w:sz="8" w:space="0" w:color="000000"/>
              <w:left w:val="single" w:sz="8" w:space="0" w:color="000000"/>
              <w:bottom w:val="single" w:sz="8" w:space="0" w:color="000000"/>
              <w:right w:val="single" w:sz="8" w:space="0" w:color="000000"/>
            </w:tcBorders>
          </w:tcPr>
          <w:p w14:paraId="0DFDCFF5"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F6" w14:textId="77777777" w:rsidR="00046465" w:rsidRDefault="00046465">
            <w:pPr>
              <w:pStyle w:val="TableParagraph"/>
              <w:rPr>
                <w:rFonts w:ascii="Times New Roman"/>
              </w:rPr>
            </w:pPr>
          </w:p>
        </w:tc>
      </w:tr>
      <w:tr w:rsidR="00046465" w14:paraId="0DFDCFFB" w14:textId="77777777">
        <w:trPr>
          <w:trHeight w:val="745"/>
        </w:trPr>
        <w:tc>
          <w:tcPr>
            <w:tcW w:w="7380" w:type="dxa"/>
            <w:tcBorders>
              <w:top w:val="single" w:sz="8" w:space="0" w:color="000000"/>
              <w:bottom w:val="single" w:sz="8" w:space="0" w:color="000000"/>
              <w:right w:val="single" w:sz="8" w:space="0" w:color="000000"/>
            </w:tcBorders>
          </w:tcPr>
          <w:p w14:paraId="0DFDCFF8" w14:textId="77777777" w:rsidR="00046465" w:rsidRDefault="008134EB">
            <w:pPr>
              <w:pStyle w:val="TableParagraph"/>
              <w:spacing w:before="121"/>
              <w:ind w:left="1249" w:hanging="360"/>
            </w:pPr>
            <w:r>
              <w:t>e.</w:t>
            </w:r>
            <w:r>
              <w:rPr>
                <w:spacing w:val="80"/>
              </w:rPr>
              <w:t xml:space="preserve"> </w:t>
            </w:r>
            <w:r>
              <w:t>The</w:t>
            </w:r>
            <w:r>
              <w:rPr>
                <w:spacing w:val="-4"/>
              </w:rPr>
              <w:t xml:space="preserve"> </w:t>
            </w:r>
            <w:r>
              <w:t>auditor’s</w:t>
            </w:r>
            <w:r>
              <w:rPr>
                <w:spacing w:val="-4"/>
              </w:rPr>
              <w:t xml:space="preserve"> </w:t>
            </w:r>
            <w:r>
              <w:t>evaluation</w:t>
            </w:r>
            <w:r>
              <w:rPr>
                <w:spacing w:val="-5"/>
              </w:rPr>
              <w:t xml:space="preserve"> </w:t>
            </w:r>
            <w:r>
              <w:t>of</w:t>
            </w:r>
            <w:r>
              <w:rPr>
                <w:spacing w:val="-4"/>
              </w:rPr>
              <w:t xml:space="preserve"> </w:t>
            </w:r>
            <w:r>
              <w:t>misstatements</w:t>
            </w:r>
            <w:r>
              <w:rPr>
                <w:spacing w:val="-4"/>
              </w:rPr>
              <w:t xml:space="preserve"> </w:t>
            </w:r>
            <w:r>
              <w:t>that</w:t>
            </w:r>
            <w:r>
              <w:rPr>
                <w:spacing w:val="-4"/>
              </w:rPr>
              <w:t xml:space="preserve"> </w:t>
            </w:r>
            <w:r>
              <w:t>the</w:t>
            </w:r>
            <w:r>
              <w:rPr>
                <w:spacing w:val="-4"/>
              </w:rPr>
              <w:t xml:space="preserve"> </w:t>
            </w:r>
            <w:r>
              <w:t>auditor believes are or might be the result of fraud.</w:t>
            </w:r>
          </w:p>
        </w:tc>
        <w:tc>
          <w:tcPr>
            <w:tcW w:w="811" w:type="dxa"/>
            <w:tcBorders>
              <w:top w:val="single" w:sz="8" w:space="0" w:color="000000"/>
              <w:left w:val="single" w:sz="8" w:space="0" w:color="000000"/>
              <w:bottom w:val="single" w:sz="8" w:space="0" w:color="000000"/>
              <w:right w:val="single" w:sz="8" w:space="0" w:color="000000"/>
            </w:tcBorders>
          </w:tcPr>
          <w:p w14:paraId="0DFDCFF9"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FA" w14:textId="77777777" w:rsidR="00046465" w:rsidRDefault="00046465">
            <w:pPr>
              <w:pStyle w:val="TableParagraph"/>
              <w:rPr>
                <w:rFonts w:ascii="Times New Roman"/>
              </w:rPr>
            </w:pPr>
          </w:p>
        </w:tc>
      </w:tr>
      <w:tr w:rsidR="00046465" w14:paraId="0DFDCFFF" w14:textId="77777777">
        <w:trPr>
          <w:trHeight w:val="1252"/>
        </w:trPr>
        <w:tc>
          <w:tcPr>
            <w:tcW w:w="7380" w:type="dxa"/>
            <w:tcBorders>
              <w:top w:val="single" w:sz="8" w:space="0" w:color="000000"/>
              <w:bottom w:val="single" w:sz="8" w:space="0" w:color="000000"/>
              <w:right w:val="single" w:sz="8" w:space="0" w:color="000000"/>
            </w:tcBorders>
          </w:tcPr>
          <w:p w14:paraId="0DFDCFFC" w14:textId="77777777" w:rsidR="00046465" w:rsidRDefault="008134EB">
            <w:pPr>
              <w:pStyle w:val="TableParagraph"/>
              <w:tabs>
                <w:tab w:val="left" w:pos="1249"/>
              </w:tabs>
              <w:spacing w:before="121"/>
              <w:ind w:left="1249" w:right="422" w:hanging="360"/>
            </w:pPr>
            <w:r>
              <w:rPr>
                <w:spacing w:val="-6"/>
              </w:rPr>
              <w:t>f.</w:t>
            </w:r>
            <w:r>
              <w:tab/>
              <w:t>The</w:t>
            </w:r>
            <w:r>
              <w:rPr>
                <w:spacing w:val="-5"/>
              </w:rPr>
              <w:t xml:space="preserve"> </w:t>
            </w:r>
            <w:r>
              <w:t>nature</w:t>
            </w:r>
            <w:r>
              <w:rPr>
                <w:spacing w:val="-5"/>
              </w:rPr>
              <w:t xml:space="preserve"> </w:t>
            </w:r>
            <w:r>
              <w:t>of</w:t>
            </w:r>
            <w:r>
              <w:rPr>
                <w:spacing w:val="-5"/>
              </w:rPr>
              <w:t xml:space="preserve"> </w:t>
            </w:r>
            <w:r>
              <w:t>any</w:t>
            </w:r>
            <w:r>
              <w:rPr>
                <w:spacing w:val="-5"/>
              </w:rPr>
              <w:t xml:space="preserve"> </w:t>
            </w:r>
            <w:r>
              <w:t>communications</w:t>
            </w:r>
            <w:r>
              <w:rPr>
                <w:spacing w:val="-6"/>
              </w:rPr>
              <w:t xml:space="preserve"> </w:t>
            </w:r>
            <w:r>
              <w:t>about</w:t>
            </w:r>
            <w:r>
              <w:rPr>
                <w:spacing w:val="-5"/>
              </w:rPr>
              <w:t xml:space="preserve"> </w:t>
            </w:r>
            <w:r>
              <w:t>fraud</w:t>
            </w:r>
            <w:r>
              <w:rPr>
                <w:spacing w:val="-6"/>
              </w:rPr>
              <w:t xml:space="preserve"> </w:t>
            </w:r>
            <w:r>
              <w:t>or</w:t>
            </w:r>
            <w:r>
              <w:rPr>
                <w:spacing w:val="-5"/>
              </w:rPr>
              <w:t xml:space="preserve"> </w:t>
            </w:r>
            <w:r>
              <w:t>possible fraud (and any significant abuse) made to management, those charged with governance, the Special Investigator Unit, the office of inspector general, or others.</w:t>
            </w:r>
          </w:p>
        </w:tc>
        <w:tc>
          <w:tcPr>
            <w:tcW w:w="811" w:type="dxa"/>
            <w:tcBorders>
              <w:top w:val="single" w:sz="8" w:space="0" w:color="000000"/>
              <w:left w:val="single" w:sz="8" w:space="0" w:color="000000"/>
              <w:bottom w:val="single" w:sz="8" w:space="0" w:color="000000"/>
              <w:right w:val="single" w:sz="8" w:space="0" w:color="000000"/>
            </w:tcBorders>
          </w:tcPr>
          <w:p w14:paraId="0DFDCFFD"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CFFE" w14:textId="77777777" w:rsidR="00046465" w:rsidRDefault="00046465">
            <w:pPr>
              <w:pStyle w:val="TableParagraph"/>
              <w:rPr>
                <w:rFonts w:ascii="Times New Roman"/>
              </w:rPr>
            </w:pPr>
          </w:p>
        </w:tc>
      </w:tr>
      <w:tr w:rsidR="00046465" w14:paraId="0DFDD003" w14:textId="77777777">
        <w:trPr>
          <w:trHeight w:val="746"/>
        </w:trPr>
        <w:tc>
          <w:tcPr>
            <w:tcW w:w="7380" w:type="dxa"/>
            <w:tcBorders>
              <w:top w:val="single" w:sz="8" w:space="0" w:color="000000"/>
              <w:bottom w:val="single" w:sz="8" w:space="0" w:color="000000"/>
              <w:right w:val="single" w:sz="8" w:space="0" w:color="000000"/>
            </w:tcBorders>
          </w:tcPr>
          <w:p w14:paraId="0DFDD000" w14:textId="77777777" w:rsidR="00046465" w:rsidRDefault="008134EB">
            <w:pPr>
              <w:pStyle w:val="TableParagraph"/>
              <w:spacing w:before="121"/>
              <w:ind w:left="1249" w:right="172" w:hanging="360"/>
            </w:pPr>
            <w:r>
              <w:t>g.</w:t>
            </w:r>
            <w:r>
              <w:rPr>
                <w:spacing w:val="80"/>
              </w:rPr>
              <w:t xml:space="preserve"> </w:t>
            </w:r>
            <w:r>
              <w:t>The</w:t>
            </w:r>
            <w:r>
              <w:rPr>
                <w:spacing w:val="-5"/>
              </w:rPr>
              <w:t xml:space="preserve"> </w:t>
            </w:r>
            <w:r>
              <w:t>auditor’s</w:t>
            </w:r>
            <w:r>
              <w:rPr>
                <w:spacing w:val="-5"/>
              </w:rPr>
              <w:t xml:space="preserve"> </w:t>
            </w:r>
            <w:r>
              <w:t>summary</w:t>
            </w:r>
            <w:r>
              <w:rPr>
                <w:spacing w:val="-5"/>
              </w:rPr>
              <w:t xml:space="preserve"> </w:t>
            </w:r>
            <w:r>
              <w:t>conclusions</w:t>
            </w:r>
            <w:r>
              <w:rPr>
                <w:spacing w:val="-6"/>
              </w:rPr>
              <w:t xml:space="preserve"> </w:t>
            </w:r>
            <w:r>
              <w:t>related</w:t>
            </w:r>
            <w:r>
              <w:rPr>
                <w:spacing w:val="-5"/>
              </w:rPr>
              <w:t xml:space="preserve"> </w:t>
            </w:r>
            <w:r>
              <w:t>to</w:t>
            </w:r>
            <w:r>
              <w:rPr>
                <w:spacing w:val="-5"/>
              </w:rPr>
              <w:t xml:space="preserve"> </w:t>
            </w:r>
            <w:r>
              <w:t>the consideration of fraud.</w:t>
            </w:r>
          </w:p>
        </w:tc>
        <w:tc>
          <w:tcPr>
            <w:tcW w:w="811" w:type="dxa"/>
            <w:tcBorders>
              <w:top w:val="single" w:sz="8" w:space="0" w:color="000000"/>
              <w:left w:val="single" w:sz="8" w:space="0" w:color="000000"/>
              <w:bottom w:val="single" w:sz="8" w:space="0" w:color="000000"/>
              <w:right w:val="single" w:sz="8" w:space="0" w:color="000000"/>
            </w:tcBorders>
          </w:tcPr>
          <w:p w14:paraId="0DFDD001"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02" w14:textId="77777777" w:rsidR="00046465" w:rsidRDefault="00046465">
            <w:pPr>
              <w:pStyle w:val="TableParagraph"/>
              <w:rPr>
                <w:rFonts w:ascii="Times New Roman"/>
              </w:rPr>
            </w:pPr>
          </w:p>
        </w:tc>
      </w:tr>
      <w:tr w:rsidR="00046465" w14:paraId="0DFDD007" w14:textId="77777777">
        <w:trPr>
          <w:trHeight w:val="998"/>
        </w:trPr>
        <w:tc>
          <w:tcPr>
            <w:tcW w:w="7380" w:type="dxa"/>
            <w:tcBorders>
              <w:top w:val="single" w:sz="8" w:space="0" w:color="000000"/>
              <w:bottom w:val="single" w:sz="8" w:space="0" w:color="000000"/>
              <w:right w:val="single" w:sz="8" w:space="0" w:color="000000"/>
            </w:tcBorders>
          </w:tcPr>
          <w:p w14:paraId="0DFDD004" w14:textId="77777777" w:rsidR="00046465" w:rsidRDefault="008134EB">
            <w:pPr>
              <w:pStyle w:val="TableParagraph"/>
              <w:spacing w:before="119"/>
              <w:ind w:left="1249" w:hanging="360"/>
            </w:pPr>
            <w:r>
              <w:t>h.</w:t>
            </w:r>
            <w:r>
              <w:rPr>
                <w:spacing w:val="80"/>
              </w:rPr>
              <w:t xml:space="preserve"> </w:t>
            </w:r>
            <w:r>
              <w:t>Significant findings or issues (accounting, auditing, or reporting),</w:t>
            </w:r>
            <w:r>
              <w:rPr>
                <w:spacing w:val="-7"/>
              </w:rPr>
              <w:t xml:space="preserve"> </w:t>
            </w:r>
            <w:r>
              <w:t>the</w:t>
            </w:r>
            <w:r>
              <w:rPr>
                <w:spacing w:val="-7"/>
              </w:rPr>
              <w:t xml:space="preserve"> </w:t>
            </w:r>
            <w:r>
              <w:t>conclusions</w:t>
            </w:r>
            <w:r>
              <w:rPr>
                <w:spacing w:val="-7"/>
              </w:rPr>
              <w:t xml:space="preserve"> </w:t>
            </w:r>
            <w:r>
              <w:t>reached</w:t>
            </w:r>
            <w:r>
              <w:rPr>
                <w:spacing w:val="-7"/>
              </w:rPr>
              <w:t xml:space="preserve"> </w:t>
            </w:r>
            <w:r>
              <w:t>thereon,</w:t>
            </w:r>
            <w:r>
              <w:rPr>
                <w:spacing w:val="-7"/>
              </w:rPr>
              <w:t xml:space="preserve"> </w:t>
            </w:r>
            <w:r>
              <w:t>and</w:t>
            </w:r>
            <w:r>
              <w:rPr>
                <w:spacing w:val="-7"/>
              </w:rPr>
              <w:t xml:space="preserve"> </w:t>
            </w:r>
            <w:r>
              <w:t>significant judgments made in reaching those conclusions.</w:t>
            </w:r>
          </w:p>
        </w:tc>
        <w:tc>
          <w:tcPr>
            <w:tcW w:w="811" w:type="dxa"/>
            <w:tcBorders>
              <w:top w:val="single" w:sz="8" w:space="0" w:color="000000"/>
              <w:left w:val="single" w:sz="8" w:space="0" w:color="000000"/>
              <w:bottom w:val="single" w:sz="8" w:space="0" w:color="000000"/>
              <w:right w:val="single" w:sz="8" w:space="0" w:color="000000"/>
            </w:tcBorders>
          </w:tcPr>
          <w:p w14:paraId="0DFDD005"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06" w14:textId="77777777" w:rsidR="00046465" w:rsidRDefault="00046465">
            <w:pPr>
              <w:pStyle w:val="TableParagraph"/>
              <w:rPr>
                <w:rFonts w:ascii="Times New Roman"/>
              </w:rPr>
            </w:pPr>
          </w:p>
        </w:tc>
      </w:tr>
      <w:tr w:rsidR="00046465" w14:paraId="0DFDD00B" w14:textId="77777777">
        <w:trPr>
          <w:trHeight w:val="998"/>
        </w:trPr>
        <w:tc>
          <w:tcPr>
            <w:tcW w:w="7380" w:type="dxa"/>
            <w:tcBorders>
              <w:top w:val="single" w:sz="8" w:space="0" w:color="000000"/>
              <w:bottom w:val="single" w:sz="8" w:space="0" w:color="000000"/>
              <w:right w:val="single" w:sz="8" w:space="0" w:color="000000"/>
            </w:tcBorders>
          </w:tcPr>
          <w:p w14:paraId="0DFDD008" w14:textId="77777777" w:rsidR="00046465" w:rsidRDefault="008134EB">
            <w:pPr>
              <w:pStyle w:val="TableParagraph"/>
              <w:tabs>
                <w:tab w:val="left" w:pos="1249"/>
              </w:tabs>
              <w:spacing w:before="119"/>
              <w:ind w:left="1249" w:right="153" w:hanging="361"/>
            </w:pPr>
            <w:r>
              <w:rPr>
                <w:spacing w:val="-6"/>
              </w:rPr>
              <w:t>i.</w:t>
            </w:r>
            <w:r>
              <w:tab/>
              <w:t>If the auditor identified information that is inconsistent with the</w:t>
            </w:r>
            <w:r>
              <w:rPr>
                <w:spacing w:val="-5"/>
              </w:rPr>
              <w:t xml:space="preserve"> </w:t>
            </w:r>
            <w:r>
              <w:t>auditor’s</w:t>
            </w:r>
            <w:r>
              <w:rPr>
                <w:spacing w:val="-6"/>
              </w:rPr>
              <w:t xml:space="preserve"> </w:t>
            </w:r>
            <w:r>
              <w:t>final</w:t>
            </w:r>
            <w:r>
              <w:rPr>
                <w:spacing w:val="-5"/>
              </w:rPr>
              <w:t xml:space="preserve"> </w:t>
            </w:r>
            <w:r>
              <w:t>conclusion</w:t>
            </w:r>
            <w:r>
              <w:rPr>
                <w:spacing w:val="-5"/>
              </w:rPr>
              <w:t xml:space="preserve"> </w:t>
            </w:r>
            <w:r>
              <w:t>regarding</w:t>
            </w:r>
            <w:r>
              <w:rPr>
                <w:spacing w:val="-5"/>
              </w:rPr>
              <w:t xml:space="preserve"> </w:t>
            </w:r>
            <w:r>
              <w:t>a</w:t>
            </w:r>
            <w:r>
              <w:rPr>
                <w:spacing w:val="-5"/>
              </w:rPr>
              <w:t xml:space="preserve"> </w:t>
            </w:r>
            <w:r>
              <w:t>significant</w:t>
            </w:r>
            <w:r>
              <w:rPr>
                <w:spacing w:val="-5"/>
              </w:rPr>
              <w:t xml:space="preserve"> </w:t>
            </w:r>
            <w:r>
              <w:t>finding</w:t>
            </w:r>
            <w:r>
              <w:rPr>
                <w:spacing w:val="-5"/>
              </w:rPr>
              <w:t xml:space="preserve"> </w:t>
            </w:r>
            <w:r>
              <w:t>or issue, how the auditor addressed the inconsistencies.</w:t>
            </w:r>
          </w:p>
        </w:tc>
        <w:tc>
          <w:tcPr>
            <w:tcW w:w="811" w:type="dxa"/>
            <w:tcBorders>
              <w:top w:val="single" w:sz="8" w:space="0" w:color="000000"/>
              <w:left w:val="single" w:sz="8" w:space="0" w:color="000000"/>
              <w:bottom w:val="single" w:sz="8" w:space="0" w:color="000000"/>
              <w:right w:val="single" w:sz="8" w:space="0" w:color="000000"/>
            </w:tcBorders>
          </w:tcPr>
          <w:p w14:paraId="0DFDD009"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0A" w14:textId="77777777" w:rsidR="00046465" w:rsidRDefault="00046465">
            <w:pPr>
              <w:pStyle w:val="TableParagraph"/>
              <w:rPr>
                <w:rFonts w:ascii="Times New Roman"/>
              </w:rPr>
            </w:pPr>
          </w:p>
        </w:tc>
      </w:tr>
      <w:tr w:rsidR="00046465" w14:paraId="0DFDD00F" w14:textId="77777777">
        <w:trPr>
          <w:trHeight w:val="493"/>
        </w:trPr>
        <w:tc>
          <w:tcPr>
            <w:tcW w:w="7380" w:type="dxa"/>
            <w:tcBorders>
              <w:top w:val="single" w:sz="8" w:space="0" w:color="000000"/>
              <w:bottom w:val="single" w:sz="8" w:space="0" w:color="000000"/>
              <w:right w:val="single" w:sz="8" w:space="0" w:color="000000"/>
            </w:tcBorders>
          </w:tcPr>
          <w:p w14:paraId="0DFDD00C" w14:textId="77777777" w:rsidR="00046465" w:rsidRDefault="008134EB">
            <w:pPr>
              <w:pStyle w:val="TableParagraph"/>
              <w:tabs>
                <w:tab w:val="left" w:pos="360"/>
              </w:tabs>
              <w:spacing w:before="119"/>
              <w:ind w:right="2756"/>
              <w:jc w:val="right"/>
            </w:pPr>
            <w:r>
              <w:rPr>
                <w:spacing w:val="-5"/>
              </w:rPr>
              <w:t>j.</w:t>
            </w:r>
            <w:r>
              <w:tab/>
              <w:t>Any</w:t>
            </w:r>
            <w:r>
              <w:rPr>
                <w:spacing w:val="-6"/>
              </w:rPr>
              <w:t xml:space="preserve"> </w:t>
            </w:r>
            <w:r>
              <w:t>limitations</w:t>
            </w:r>
            <w:r>
              <w:rPr>
                <w:spacing w:val="-6"/>
              </w:rPr>
              <w:t xml:space="preserve"> </w:t>
            </w:r>
            <w:r>
              <w:t>on</w:t>
            </w:r>
            <w:r>
              <w:rPr>
                <w:spacing w:val="-5"/>
              </w:rPr>
              <w:t xml:space="preserve"> </w:t>
            </w:r>
            <w:r>
              <w:t>the</w:t>
            </w:r>
            <w:r>
              <w:rPr>
                <w:spacing w:val="-6"/>
              </w:rPr>
              <w:t xml:space="preserve"> </w:t>
            </w:r>
            <w:r>
              <w:t>audit</w:t>
            </w:r>
            <w:r>
              <w:rPr>
                <w:spacing w:val="-5"/>
              </w:rPr>
              <w:t xml:space="preserve"> </w:t>
            </w:r>
            <w:r>
              <w:rPr>
                <w:spacing w:val="-2"/>
              </w:rPr>
              <w:t>scope.</w:t>
            </w:r>
          </w:p>
        </w:tc>
        <w:tc>
          <w:tcPr>
            <w:tcW w:w="811" w:type="dxa"/>
            <w:tcBorders>
              <w:top w:val="single" w:sz="8" w:space="0" w:color="000000"/>
              <w:left w:val="single" w:sz="8" w:space="0" w:color="000000"/>
              <w:bottom w:val="single" w:sz="8" w:space="0" w:color="000000"/>
              <w:right w:val="single" w:sz="8" w:space="0" w:color="000000"/>
            </w:tcBorders>
          </w:tcPr>
          <w:p w14:paraId="0DFDD00D"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0E" w14:textId="77777777" w:rsidR="00046465" w:rsidRDefault="00046465">
            <w:pPr>
              <w:pStyle w:val="TableParagraph"/>
              <w:rPr>
                <w:rFonts w:ascii="Times New Roman"/>
              </w:rPr>
            </w:pPr>
          </w:p>
        </w:tc>
      </w:tr>
    </w:tbl>
    <w:p w14:paraId="0DFDD010"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011" w14:textId="77777777" w:rsidR="00046465" w:rsidRDefault="00046465">
      <w:pPr>
        <w:pStyle w:val="BodyText"/>
        <w:spacing w:before="6"/>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D018" w14:textId="77777777">
        <w:trPr>
          <w:trHeight w:val="936"/>
        </w:trPr>
        <w:tc>
          <w:tcPr>
            <w:tcW w:w="7380" w:type="dxa"/>
            <w:tcBorders>
              <w:right w:val="single" w:sz="8" w:space="0" w:color="000000"/>
            </w:tcBorders>
            <w:shd w:val="clear" w:color="auto" w:fill="A6A6A6"/>
          </w:tcPr>
          <w:p w14:paraId="0DFDD012" w14:textId="77777777" w:rsidR="00046465" w:rsidRDefault="00046465">
            <w:pPr>
              <w:pStyle w:val="TableParagraph"/>
              <w:spacing w:before="266"/>
              <w:rPr>
                <w:b/>
                <w:sz w:val="24"/>
              </w:rPr>
            </w:pPr>
          </w:p>
          <w:p w14:paraId="0DFDD013"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D014"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D015" w14:textId="77777777" w:rsidR="00046465" w:rsidRDefault="00046465">
            <w:pPr>
              <w:pStyle w:val="TableParagraph"/>
              <w:rPr>
                <w:b/>
              </w:rPr>
            </w:pPr>
          </w:p>
          <w:p w14:paraId="0DFDD016" w14:textId="77777777" w:rsidR="00046465" w:rsidRDefault="00046465">
            <w:pPr>
              <w:pStyle w:val="TableParagraph"/>
              <w:spacing w:before="120"/>
              <w:rPr>
                <w:b/>
              </w:rPr>
            </w:pPr>
          </w:p>
          <w:p w14:paraId="0DFDD017"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01C" w14:textId="77777777">
        <w:trPr>
          <w:trHeight w:val="2770"/>
        </w:trPr>
        <w:tc>
          <w:tcPr>
            <w:tcW w:w="7380" w:type="dxa"/>
            <w:tcBorders>
              <w:bottom w:val="single" w:sz="8" w:space="0" w:color="000000"/>
              <w:right w:val="single" w:sz="8" w:space="0" w:color="000000"/>
            </w:tcBorders>
          </w:tcPr>
          <w:p w14:paraId="0DFDD019" w14:textId="77777777" w:rsidR="00046465" w:rsidRDefault="008134EB">
            <w:pPr>
              <w:pStyle w:val="TableParagraph"/>
              <w:spacing w:before="121"/>
              <w:ind w:left="1249" w:right="167" w:hanging="360"/>
            </w:pPr>
            <w:r>
              <w:t>k.</w:t>
            </w:r>
            <w:r>
              <w:rPr>
                <w:spacing w:val="80"/>
              </w:rPr>
              <w:t xml:space="preserve"> </w:t>
            </w:r>
            <w:r>
              <w:t>The auditor’s conclusions, at the financial statement and assertion levels, on whether the audit evidence obtained is sufficient and appropriate, and supports the auditor’s reports on</w:t>
            </w:r>
            <w:r>
              <w:rPr>
                <w:spacing w:val="-5"/>
              </w:rPr>
              <w:t xml:space="preserve"> </w:t>
            </w:r>
            <w:r>
              <w:t>the</w:t>
            </w:r>
            <w:r>
              <w:rPr>
                <w:spacing w:val="-5"/>
              </w:rPr>
              <w:t xml:space="preserve"> </w:t>
            </w:r>
            <w:r>
              <w:t>financial</w:t>
            </w:r>
            <w:r>
              <w:rPr>
                <w:spacing w:val="-5"/>
              </w:rPr>
              <w:t xml:space="preserve"> </w:t>
            </w:r>
            <w:r>
              <w:t>statements;</w:t>
            </w:r>
            <w:r>
              <w:rPr>
                <w:spacing w:val="-5"/>
              </w:rPr>
              <w:t xml:space="preserve"> </w:t>
            </w:r>
            <w:r>
              <w:t>RSI</w:t>
            </w:r>
            <w:r>
              <w:rPr>
                <w:spacing w:val="-5"/>
              </w:rPr>
              <w:t xml:space="preserve"> </w:t>
            </w:r>
            <w:r>
              <w:t>(including</w:t>
            </w:r>
            <w:r>
              <w:rPr>
                <w:spacing w:val="-5"/>
              </w:rPr>
              <w:t xml:space="preserve"> </w:t>
            </w:r>
            <w:r>
              <w:t>MD&amp;A),</w:t>
            </w:r>
            <w:r>
              <w:rPr>
                <w:spacing w:val="-5"/>
              </w:rPr>
              <w:t xml:space="preserve"> </w:t>
            </w:r>
            <w:r>
              <w:t>and</w:t>
            </w:r>
            <w:r>
              <w:rPr>
                <w:spacing w:val="-5"/>
              </w:rPr>
              <w:t xml:space="preserve"> </w:t>
            </w:r>
            <w:r>
              <w:t>other information included in the annual report; internal control over financial reporting; whether financial management systems comply substantially with the three FFMIA requirements (for CFO Act agencies); and compliance with significant provisions of applicable laws, regulations, contracts, and grant agreements.</w:t>
            </w:r>
          </w:p>
        </w:tc>
        <w:tc>
          <w:tcPr>
            <w:tcW w:w="811" w:type="dxa"/>
            <w:tcBorders>
              <w:left w:val="single" w:sz="8" w:space="0" w:color="000000"/>
              <w:bottom w:val="single" w:sz="8" w:space="0" w:color="000000"/>
              <w:right w:val="single" w:sz="8" w:space="0" w:color="000000"/>
            </w:tcBorders>
          </w:tcPr>
          <w:p w14:paraId="0DFDD01A" w14:textId="77777777" w:rsidR="00046465" w:rsidRDefault="00046465">
            <w:pPr>
              <w:pStyle w:val="TableParagraph"/>
              <w:rPr>
                <w:rFonts w:ascii="Times New Roman"/>
              </w:rPr>
            </w:pPr>
          </w:p>
        </w:tc>
        <w:tc>
          <w:tcPr>
            <w:tcW w:w="1349" w:type="dxa"/>
            <w:tcBorders>
              <w:left w:val="single" w:sz="8" w:space="0" w:color="000000"/>
              <w:bottom w:val="single" w:sz="8" w:space="0" w:color="000000"/>
            </w:tcBorders>
          </w:tcPr>
          <w:p w14:paraId="0DFDD01B" w14:textId="77777777" w:rsidR="00046465" w:rsidRDefault="00046465">
            <w:pPr>
              <w:pStyle w:val="TableParagraph"/>
              <w:rPr>
                <w:rFonts w:ascii="Times New Roman"/>
              </w:rPr>
            </w:pPr>
          </w:p>
        </w:tc>
      </w:tr>
      <w:tr w:rsidR="00046465" w14:paraId="0DFDD020" w14:textId="77777777">
        <w:trPr>
          <w:trHeight w:val="998"/>
        </w:trPr>
        <w:tc>
          <w:tcPr>
            <w:tcW w:w="7380" w:type="dxa"/>
            <w:tcBorders>
              <w:top w:val="single" w:sz="8" w:space="0" w:color="000000"/>
              <w:bottom w:val="single" w:sz="8" w:space="0" w:color="000000"/>
              <w:right w:val="single" w:sz="8" w:space="0" w:color="000000"/>
            </w:tcBorders>
          </w:tcPr>
          <w:p w14:paraId="0DFDD01D" w14:textId="77777777" w:rsidR="00046465" w:rsidRDefault="008134EB">
            <w:pPr>
              <w:pStyle w:val="TableParagraph"/>
              <w:tabs>
                <w:tab w:val="left" w:pos="1249"/>
              </w:tabs>
              <w:spacing w:before="119"/>
              <w:ind w:left="1249" w:right="363" w:hanging="361"/>
            </w:pPr>
            <w:r>
              <w:rPr>
                <w:spacing w:val="-6"/>
              </w:rPr>
              <w:t>l.</w:t>
            </w:r>
            <w:r>
              <w:tab/>
              <w:t>The</w:t>
            </w:r>
            <w:r>
              <w:rPr>
                <w:spacing w:val="-7"/>
              </w:rPr>
              <w:t xml:space="preserve"> </w:t>
            </w:r>
            <w:r>
              <w:t>auditor’s</w:t>
            </w:r>
            <w:r>
              <w:rPr>
                <w:spacing w:val="-7"/>
              </w:rPr>
              <w:t xml:space="preserve"> </w:t>
            </w:r>
            <w:r>
              <w:t>conclusions</w:t>
            </w:r>
            <w:r>
              <w:rPr>
                <w:spacing w:val="-7"/>
              </w:rPr>
              <w:t xml:space="preserve"> </w:t>
            </w:r>
            <w:r>
              <w:t>on</w:t>
            </w:r>
            <w:r>
              <w:rPr>
                <w:spacing w:val="-7"/>
              </w:rPr>
              <w:t xml:space="preserve"> </w:t>
            </w:r>
            <w:r>
              <w:t>whether</w:t>
            </w:r>
            <w:r>
              <w:rPr>
                <w:spacing w:val="-7"/>
              </w:rPr>
              <w:t xml:space="preserve"> </w:t>
            </w:r>
            <w:r>
              <w:t>sufficient</w:t>
            </w:r>
            <w:r>
              <w:rPr>
                <w:spacing w:val="-7"/>
              </w:rPr>
              <w:t xml:space="preserve"> </w:t>
            </w:r>
            <w:r>
              <w:t>appropriate audit evidence was obtained to reduce audit risk to an appropriately low level.</w:t>
            </w:r>
          </w:p>
        </w:tc>
        <w:tc>
          <w:tcPr>
            <w:tcW w:w="811" w:type="dxa"/>
            <w:tcBorders>
              <w:top w:val="single" w:sz="8" w:space="0" w:color="000000"/>
              <w:left w:val="single" w:sz="8" w:space="0" w:color="000000"/>
              <w:bottom w:val="single" w:sz="8" w:space="0" w:color="000000"/>
              <w:right w:val="single" w:sz="8" w:space="0" w:color="000000"/>
            </w:tcBorders>
          </w:tcPr>
          <w:p w14:paraId="0DFDD01E"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1F" w14:textId="77777777" w:rsidR="00046465" w:rsidRDefault="00046465">
            <w:pPr>
              <w:pStyle w:val="TableParagraph"/>
              <w:rPr>
                <w:rFonts w:ascii="Times New Roman"/>
              </w:rPr>
            </w:pPr>
          </w:p>
        </w:tc>
      </w:tr>
      <w:tr w:rsidR="00046465" w14:paraId="0DFDD024" w14:textId="77777777">
        <w:trPr>
          <w:trHeight w:val="1251"/>
        </w:trPr>
        <w:tc>
          <w:tcPr>
            <w:tcW w:w="7380" w:type="dxa"/>
            <w:tcBorders>
              <w:top w:val="single" w:sz="8" w:space="0" w:color="000000"/>
              <w:bottom w:val="single" w:sz="8" w:space="0" w:color="000000"/>
              <w:right w:val="single" w:sz="8" w:space="0" w:color="000000"/>
            </w:tcBorders>
          </w:tcPr>
          <w:p w14:paraId="0DFDD021" w14:textId="77777777" w:rsidR="00046465" w:rsidRDefault="008134EB">
            <w:pPr>
              <w:pStyle w:val="TableParagraph"/>
              <w:spacing w:before="119"/>
              <w:ind w:left="1249" w:right="53" w:hanging="361"/>
            </w:pPr>
            <w:r>
              <w:t>m.</w:t>
            </w:r>
            <w:r>
              <w:rPr>
                <w:spacing w:val="40"/>
              </w:rPr>
              <w:t xml:space="preserve"> </w:t>
            </w:r>
            <w:r>
              <w:t>The</w:t>
            </w:r>
            <w:r>
              <w:rPr>
                <w:spacing w:val="-4"/>
              </w:rPr>
              <w:t xml:space="preserve"> </w:t>
            </w:r>
            <w:r>
              <w:t>auditor’s</w:t>
            </w:r>
            <w:r>
              <w:rPr>
                <w:spacing w:val="-4"/>
              </w:rPr>
              <w:t xml:space="preserve"> </w:t>
            </w:r>
            <w:r>
              <w:t>conclusion</w:t>
            </w:r>
            <w:r>
              <w:rPr>
                <w:spacing w:val="-5"/>
              </w:rPr>
              <w:t xml:space="preserve"> </w:t>
            </w:r>
            <w:r>
              <w:t>on</w:t>
            </w:r>
            <w:r>
              <w:rPr>
                <w:spacing w:val="-4"/>
              </w:rPr>
              <w:t xml:space="preserve"> </w:t>
            </w:r>
            <w:r>
              <w:t>whether</w:t>
            </w:r>
            <w:r>
              <w:rPr>
                <w:spacing w:val="-4"/>
              </w:rPr>
              <w:t xml:space="preserve"> </w:t>
            </w:r>
            <w:r>
              <w:t>the</w:t>
            </w:r>
            <w:r>
              <w:rPr>
                <w:spacing w:val="-4"/>
              </w:rPr>
              <w:t xml:space="preserve"> </w:t>
            </w:r>
            <w:r>
              <w:t>audit</w:t>
            </w:r>
            <w:r>
              <w:rPr>
                <w:spacing w:val="-4"/>
              </w:rPr>
              <w:t xml:space="preserve"> </w:t>
            </w:r>
            <w:r>
              <w:t>was</w:t>
            </w:r>
            <w:r>
              <w:rPr>
                <w:spacing w:val="-4"/>
              </w:rPr>
              <w:t xml:space="preserve"> </w:t>
            </w:r>
            <w:r>
              <w:t xml:space="preserve">performed in accordance with GAGAS; OMB audit guidance, if applicable; and the FAM, and whether the report is </w:t>
            </w:r>
            <w:r>
              <w:rPr>
                <w:spacing w:val="-2"/>
              </w:rPr>
              <w:t>appropriate.</w:t>
            </w:r>
          </w:p>
        </w:tc>
        <w:tc>
          <w:tcPr>
            <w:tcW w:w="811" w:type="dxa"/>
            <w:tcBorders>
              <w:top w:val="single" w:sz="8" w:space="0" w:color="000000"/>
              <w:left w:val="single" w:sz="8" w:space="0" w:color="000000"/>
              <w:bottom w:val="single" w:sz="8" w:space="0" w:color="000000"/>
              <w:right w:val="single" w:sz="8" w:space="0" w:color="000000"/>
            </w:tcBorders>
          </w:tcPr>
          <w:p w14:paraId="0DFDD022"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23" w14:textId="77777777" w:rsidR="00046465" w:rsidRDefault="00046465">
            <w:pPr>
              <w:pStyle w:val="TableParagraph"/>
              <w:rPr>
                <w:rFonts w:ascii="Times New Roman"/>
              </w:rPr>
            </w:pPr>
          </w:p>
        </w:tc>
      </w:tr>
      <w:tr w:rsidR="00046465" w14:paraId="0DFDD028" w14:textId="77777777">
        <w:trPr>
          <w:trHeight w:val="745"/>
        </w:trPr>
        <w:tc>
          <w:tcPr>
            <w:tcW w:w="7380" w:type="dxa"/>
            <w:tcBorders>
              <w:top w:val="single" w:sz="8" w:space="0" w:color="000000"/>
              <w:bottom w:val="single" w:sz="8" w:space="0" w:color="000000"/>
              <w:right w:val="single" w:sz="8" w:space="0" w:color="000000"/>
            </w:tcBorders>
          </w:tcPr>
          <w:p w14:paraId="0DFDD025" w14:textId="77777777" w:rsidR="00046465" w:rsidRDefault="008134EB">
            <w:pPr>
              <w:pStyle w:val="TableParagraph"/>
              <w:spacing w:before="119"/>
              <w:ind w:left="1249" w:hanging="360"/>
            </w:pPr>
            <w:r>
              <w:t>n.</w:t>
            </w:r>
            <w:r>
              <w:rPr>
                <w:spacing w:val="80"/>
              </w:rPr>
              <w:t xml:space="preserve"> </w:t>
            </w:r>
            <w:r>
              <w:t>The</w:t>
            </w:r>
            <w:r>
              <w:rPr>
                <w:spacing w:val="-4"/>
              </w:rPr>
              <w:t xml:space="preserve"> </w:t>
            </w:r>
            <w:r>
              <w:t>auditor’s</w:t>
            </w:r>
            <w:r>
              <w:rPr>
                <w:spacing w:val="-4"/>
              </w:rPr>
              <w:t xml:space="preserve"> </w:t>
            </w:r>
            <w:r>
              <w:t>conclusion</w:t>
            </w:r>
            <w:r>
              <w:rPr>
                <w:spacing w:val="-5"/>
              </w:rPr>
              <w:t xml:space="preserve"> </w:t>
            </w:r>
            <w:r>
              <w:t>on</w:t>
            </w:r>
            <w:r>
              <w:rPr>
                <w:spacing w:val="-4"/>
              </w:rPr>
              <w:t xml:space="preserve"> </w:t>
            </w:r>
            <w:r>
              <w:t>whether</w:t>
            </w:r>
            <w:r>
              <w:rPr>
                <w:spacing w:val="-4"/>
              </w:rPr>
              <w:t xml:space="preserve"> </w:t>
            </w:r>
            <w:r>
              <w:t>the</w:t>
            </w:r>
            <w:r>
              <w:rPr>
                <w:spacing w:val="-4"/>
              </w:rPr>
              <w:t xml:space="preserve"> </w:t>
            </w:r>
            <w:r>
              <w:t>entity’s</w:t>
            </w:r>
            <w:r>
              <w:rPr>
                <w:spacing w:val="-4"/>
              </w:rPr>
              <w:t xml:space="preserve"> </w:t>
            </w:r>
            <w:r>
              <w:t>financial statements are in accordance with U.S. GAAP.</w:t>
            </w:r>
          </w:p>
        </w:tc>
        <w:tc>
          <w:tcPr>
            <w:tcW w:w="811" w:type="dxa"/>
            <w:tcBorders>
              <w:top w:val="single" w:sz="8" w:space="0" w:color="000000"/>
              <w:left w:val="single" w:sz="8" w:space="0" w:color="000000"/>
              <w:bottom w:val="single" w:sz="8" w:space="0" w:color="000000"/>
              <w:right w:val="single" w:sz="8" w:space="0" w:color="000000"/>
            </w:tcBorders>
          </w:tcPr>
          <w:p w14:paraId="0DFDD026"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27" w14:textId="77777777" w:rsidR="00046465" w:rsidRDefault="00046465">
            <w:pPr>
              <w:pStyle w:val="TableParagraph"/>
              <w:rPr>
                <w:rFonts w:ascii="Times New Roman"/>
              </w:rPr>
            </w:pPr>
          </w:p>
        </w:tc>
      </w:tr>
      <w:tr w:rsidR="00046465" w14:paraId="0DFDD02C" w14:textId="77777777">
        <w:trPr>
          <w:trHeight w:val="998"/>
        </w:trPr>
        <w:tc>
          <w:tcPr>
            <w:tcW w:w="7380" w:type="dxa"/>
            <w:tcBorders>
              <w:top w:val="single" w:sz="8" w:space="0" w:color="000000"/>
              <w:bottom w:val="single" w:sz="8" w:space="0" w:color="000000"/>
              <w:right w:val="single" w:sz="8" w:space="0" w:color="000000"/>
            </w:tcBorders>
          </w:tcPr>
          <w:p w14:paraId="0DFDD029" w14:textId="77777777" w:rsidR="00046465" w:rsidRDefault="008134EB">
            <w:pPr>
              <w:pStyle w:val="TableParagraph"/>
              <w:spacing w:before="121"/>
              <w:ind w:left="1249" w:hanging="360"/>
            </w:pPr>
            <w:r>
              <w:t>o.</w:t>
            </w:r>
            <w:r>
              <w:rPr>
                <w:spacing w:val="80"/>
              </w:rPr>
              <w:t xml:space="preserve"> </w:t>
            </w:r>
            <w:r>
              <w:t>The auditor’s evaluation of the consistency of the financial statements</w:t>
            </w:r>
            <w:r>
              <w:rPr>
                <w:spacing w:val="-6"/>
              </w:rPr>
              <w:t xml:space="preserve"> </w:t>
            </w:r>
            <w:r>
              <w:t>between</w:t>
            </w:r>
            <w:r>
              <w:rPr>
                <w:spacing w:val="-6"/>
              </w:rPr>
              <w:t xml:space="preserve"> </w:t>
            </w:r>
            <w:r>
              <w:t>periods</w:t>
            </w:r>
            <w:r>
              <w:rPr>
                <w:spacing w:val="-6"/>
              </w:rPr>
              <w:t xml:space="preserve"> </w:t>
            </w:r>
            <w:r>
              <w:t>and</w:t>
            </w:r>
            <w:r>
              <w:rPr>
                <w:spacing w:val="-6"/>
              </w:rPr>
              <w:t xml:space="preserve"> </w:t>
            </w:r>
            <w:r>
              <w:t>how</w:t>
            </w:r>
            <w:r>
              <w:rPr>
                <w:spacing w:val="-6"/>
              </w:rPr>
              <w:t xml:space="preserve"> </w:t>
            </w:r>
            <w:r>
              <w:t>the</w:t>
            </w:r>
            <w:r>
              <w:rPr>
                <w:spacing w:val="-6"/>
              </w:rPr>
              <w:t xml:space="preserve"> </w:t>
            </w:r>
            <w:r>
              <w:t>auditor</w:t>
            </w:r>
            <w:r>
              <w:rPr>
                <w:spacing w:val="-6"/>
              </w:rPr>
              <w:t xml:space="preserve"> </w:t>
            </w:r>
            <w:r>
              <w:t>addressed any material inconsistencies identified.</w:t>
            </w:r>
          </w:p>
        </w:tc>
        <w:tc>
          <w:tcPr>
            <w:tcW w:w="811" w:type="dxa"/>
            <w:tcBorders>
              <w:top w:val="single" w:sz="8" w:space="0" w:color="000000"/>
              <w:left w:val="single" w:sz="8" w:space="0" w:color="000000"/>
              <w:bottom w:val="single" w:sz="8" w:space="0" w:color="000000"/>
              <w:right w:val="single" w:sz="8" w:space="0" w:color="000000"/>
            </w:tcBorders>
          </w:tcPr>
          <w:p w14:paraId="0DFDD02A"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2B" w14:textId="77777777" w:rsidR="00046465" w:rsidRDefault="00046465">
            <w:pPr>
              <w:pStyle w:val="TableParagraph"/>
              <w:rPr>
                <w:rFonts w:ascii="Times New Roman"/>
              </w:rPr>
            </w:pPr>
          </w:p>
        </w:tc>
      </w:tr>
      <w:tr w:rsidR="00046465" w14:paraId="0DFDD030" w14:textId="77777777">
        <w:trPr>
          <w:trHeight w:val="493"/>
        </w:trPr>
        <w:tc>
          <w:tcPr>
            <w:tcW w:w="7380" w:type="dxa"/>
            <w:tcBorders>
              <w:top w:val="single" w:sz="8" w:space="0" w:color="000000"/>
              <w:bottom w:val="single" w:sz="8" w:space="0" w:color="000000"/>
              <w:right w:val="single" w:sz="8" w:space="0" w:color="000000"/>
            </w:tcBorders>
          </w:tcPr>
          <w:p w14:paraId="0DFDD02D" w14:textId="77777777" w:rsidR="00046465" w:rsidRDefault="008134EB">
            <w:pPr>
              <w:pStyle w:val="TableParagraph"/>
              <w:spacing w:before="121"/>
              <w:ind w:left="889"/>
            </w:pPr>
            <w:r>
              <w:t>p.</w:t>
            </w:r>
            <w:r>
              <w:rPr>
                <w:spacing w:val="69"/>
                <w:w w:val="150"/>
              </w:rPr>
              <w:t xml:space="preserve"> </w:t>
            </w:r>
            <w:r>
              <w:t>Significant</w:t>
            </w:r>
            <w:r>
              <w:rPr>
                <w:spacing w:val="-6"/>
              </w:rPr>
              <w:t xml:space="preserve"> </w:t>
            </w:r>
            <w:r>
              <w:t>subsequent</w:t>
            </w:r>
            <w:r>
              <w:rPr>
                <w:spacing w:val="-5"/>
              </w:rPr>
              <w:t xml:space="preserve"> </w:t>
            </w:r>
            <w:r>
              <w:t>events,</w:t>
            </w:r>
            <w:r>
              <w:rPr>
                <w:spacing w:val="-5"/>
              </w:rPr>
              <w:t xml:space="preserve"> </w:t>
            </w:r>
            <w:r>
              <w:t>if</w:t>
            </w:r>
            <w:r>
              <w:rPr>
                <w:spacing w:val="-5"/>
              </w:rPr>
              <w:t xml:space="preserve"> </w:t>
            </w:r>
            <w:r>
              <w:rPr>
                <w:spacing w:val="-4"/>
              </w:rPr>
              <w:t>any.</w:t>
            </w:r>
          </w:p>
        </w:tc>
        <w:tc>
          <w:tcPr>
            <w:tcW w:w="811" w:type="dxa"/>
            <w:tcBorders>
              <w:top w:val="single" w:sz="8" w:space="0" w:color="000000"/>
              <w:left w:val="single" w:sz="8" w:space="0" w:color="000000"/>
              <w:bottom w:val="single" w:sz="8" w:space="0" w:color="000000"/>
              <w:right w:val="single" w:sz="8" w:space="0" w:color="000000"/>
            </w:tcBorders>
          </w:tcPr>
          <w:p w14:paraId="0DFDD02E"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2F" w14:textId="77777777" w:rsidR="00046465" w:rsidRDefault="00046465">
            <w:pPr>
              <w:pStyle w:val="TableParagraph"/>
              <w:rPr>
                <w:rFonts w:ascii="Times New Roman"/>
              </w:rPr>
            </w:pPr>
          </w:p>
        </w:tc>
      </w:tr>
      <w:tr w:rsidR="00046465" w14:paraId="0DFDD034" w14:textId="77777777">
        <w:trPr>
          <w:trHeight w:val="998"/>
        </w:trPr>
        <w:tc>
          <w:tcPr>
            <w:tcW w:w="7380" w:type="dxa"/>
            <w:tcBorders>
              <w:top w:val="single" w:sz="8" w:space="0" w:color="000000"/>
              <w:bottom w:val="single" w:sz="8" w:space="0" w:color="000000"/>
              <w:right w:val="single" w:sz="8" w:space="0" w:color="000000"/>
            </w:tcBorders>
          </w:tcPr>
          <w:p w14:paraId="0DFDD031" w14:textId="77777777" w:rsidR="00046465" w:rsidRDefault="008134EB">
            <w:pPr>
              <w:pStyle w:val="TableParagraph"/>
              <w:spacing w:before="119"/>
              <w:ind w:left="1249" w:right="214" w:hanging="360"/>
              <w:jc w:val="both"/>
            </w:pPr>
            <w:r>
              <w:t>q.</w:t>
            </w:r>
            <w:r>
              <w:rPr>
                <w:spacing w:val="80"/>
              </w:rPr>
              <w:t xml:space="preserve"> </w:t>
            </w:r>
            <w:r>
              <w:t>Findings</w:t>
            </w:r>
            <w:r>
              <w:rPr>
                <w:spacing w:val="-4"/>
              </w:rPr>
              <w:t xml:space="preserve"> </w:t>
            </w:r>
            <w:r>
              <w:t>with</w:t>
            </w:r>
            <w:r>
              <w:rPr>
                <w:spacing w:val="-4"/>
              </w:rPr>
              <w:t xml:space="preserve"> </w:t>
            </w:r>
            <w:r>
              <w:t>respect</w:t>
            </w:r>
            <w:r>
              <w:rPr>
                <w:spacing w:val="-4"/>
              </w:rPr>
              <w:t xml:space="preserve"> </w:t>
            </w:r>
            <w:r>
              <w:t>to</w:t>
            </w:r>
            <w:r>
              <w:rPr>
                <w:spacing w:val="-5"/>
              </w:rPr>
              <w:t xml:space="preserve"> </w:t>
            </w:r>
            <w:r>
              <w:t>transactions</w:t>
            </w:r>
            <w:r>
              <w:rPr>
                <w:spacing w:val="-5"/>
              </w:rPr>
              <w:t xml:space="preserve"> </w:t>
            </w:r>
            <w:r>
              <w:t>with</w:t>
            </w:r>
            <w:r>
              <w:rPr>
                <w:spacing w:val="-4"/>
              </w:rPr>
              <w:t xml:space="preserve"> </w:t>
            </w:r>
            <w:r>
              <w:t>disclosure</w:t>
            </w:r>
            <w:r>
              <w:rPr>
                <w:spacing w:val="-4"/>
              </w:rPr>
              <w:t xml:space="preserve"> </w:t>
            </w:r>
            <w:r>
              <w:t>entities, related parties, and public-private partnerships and complex or unusual transactions.</w:t>
            </w:r>
          </w:p>
        </w:tc>
        <w:tc>
          <w:tcPr>
            <w:tcW w:w="811" w:type="dxa"/>
            <w:tcBorders>
              <w:top w:val="single" w:sz="8" w:space="0" w:color="000000"/>
              <w:left w:val="single" w:sz="8" w:space="0" w:color="000000"/>
              <w:bottom w:val="single" w:sz="8" w:space="0" w:color="000000"/>
              <w:right w:val="single" w:sz="8" w:space="0" w:color="000000"/>
            </w:tcBorders>
          </w:tcPr>
          <w:p w14:paraId="0DFDD032"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33" w14:textId="77777777" w:rsidR="00046465" w:rsidRDefault="00046465">
            <w:pPr>
              <w:pStyle w:val="TableParagraph"/>
              <w:rPr>
                <w:rFonts w:ascii="Times New Roman"/>
              </w:rPr>
            </w:pPr>
          </w:p>
        </w:tc>
      </w:tr>
      <w:tr w:rsidR="00046465" w14:paraId="0DFDD038" w14:textId="77777777">
        <w:trPr>
          <w:trHeight w:val="1758"/>
        </w:trPr>
        <w:tc>
          <w:tcPr>
            <w:tcW w:w="7380" w:type="dxa"/>
            <w:tcBorders>
              <w:top w:val="single" w:sz="8" w:space="0" w:color="000000"/>
              <w:bottom w:val="single" w:sz="8" w:space="0" w:color="000000"/>
              <w:right w:val="single" w:sz="8" w:space="0" w:color="000000"/>
            </w:tcBorders>
          </w:tcPr>
          <w:p w14:paraId="0DFDD035" w14:textId="77777777" w:rsidR="00046465" w:rsidRDefault="008134EB">
            <w:pPr>
              <w:pStyle w:val="TableParagraph"/>
              <w:tabs>
                <w:tab w:val="left" w:pos="1249"/>
              </w:tabs>
              <w:spacing w:before="119"/>
              <w:ind w:left="1249" w:right="178" w:hanging="361"/>
            </w:pPr>
            <w:r>
              <w:rPr>
                <w:spacing w:val="-6"/>
              </w:rPr>
              <w:t>r.</w:t>
            </w:r>
            <w:r>
              <w:tab/>
              <w:t>The summary of uncorrected misstatements; summary of corrected misstatements; communication of the misstatements to management and those charged with governance; the auditor’s conclusion about whether uncorrected</w:t>
            </w:r>
            <w:r>
              <w:rPr>
                <w:spacing w:val="-7"/>
              </w:rPr>
              <w:t xml:space="preserve"> </w:t>
            </w:r>
            <w:r>
              <w:t>misstatements</w:t>
            </w:r>
            <w:r>
              <w:rPr>
                <w:spacing w:val="-6"/>
              </w:rPr>
              <w:t xml:space="preserve"> </w:t>
            </w:r>
            <w:r>
              <w:t>are</w:t>
            </w:r>
            <w:r>
              <w:rPr>
                <w:spacing w:val="-6"/>
              </w:rPr>
              <w:t xml:space="preserve"> </w:t>
            </w:r>
            <w:r>
              <w:t>material,</w:t>
            </w:r>
            <w:r>
              <w:rPr>
                <w:spacing w:val="-6"/>
              </w:rPr>
              <w:t xml:space="preserve"> </w:t>
            </w:r>
            <w:r>
              <w:t>individually</w:t>
            </w:r>
            <w:r>
              <w:rPr>
                <w:spacing w:val="-6"/>
              </w:rPr>
              <w:t xml:space="preserve"> </w:t>
            </w:r>
            <w:r>
              <w:t>or</w:t>
            </w:r>
            <w:r>
              <w:rPr>
                <w:spacing w:val="-6"/>
              </w:rPr>
              <w:t xml:space="preserve"> </w:t>
            </w:r>
            <w:r>
              <w:t>in</w:t>
            </w:r>
            <w:r>
              <w:rPr>
                <w:spacing w:val="-6"/>
              </w:rPr>
              <w:t xml:space="preserve"> </w:t>
            </w:r>
            <w:r>
              <w:t>the aggregate; and the basis for that conclusion.</w:t>
            </w:r>
          </w:p>
        </w:tc>
        <w:tc>
          <w:tcPr>
            <w:tcW w:w="811" w:type="dxa"/>
            <w:tcBorders>
              <w:top w:val="single" w:sz="8" w:space="0" w:color="000000"/>
              <w:left w:val="single" w:sz="8" w:space="0" w:color="000000"/>
              <w:bottom w:val="single" w:sz="8" w:space="0" w:color="000000"/>
              <w:right w:val="single" w:sz="8" w:space="0" w:color="000000"/>
            </w:tcBorders>
          </w:tcPr>
          <w:p w14:paraId="0DFDD036"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37" w14:textId="77777777" w:rsidR="00046465" w:rsidRDefault="00046465">
            <w:pPr>
              <w:pStyle w:val="TableParagraph"/>
              <w:rPr>
                <w:rFonts w:ascii="Times New Roman"/>
              </w:rPr>
            </w:pPr>
          </w:p>
        </w:tc>
      </w:tr>
      <w:tr w:rsidR="00046465" w14:paraId="0DFDD03C" w14:textId="77777777">
        <w:trPr>
          <w:trHeight w:val="1505"/>
        </w:trPr>
        <w:tc>
          <w:tcPr>
            <w:tcW w:w="7380" w:type="dxa"/>
            <w:tcBorders>
              <w:top w:val="single" w:sz="8" w:space="0" w:color="000000"/>
              <w:bottom w:val="single" w:sz="8" w:space="0" w:color="000000"/>
              <w:right w:val="single" w:sz="8" w:space="0" w:color="000000"/>
            </w:tcBorders>
          </w:tcPr>
          <w:p w14:paraId="0DFDD039" w14:textId="77777777" w:rsidR="00046465" w:rsidRDefault="008134EB">
            <w:pPr>
              <w:pStyle w:val="TableParagraph"/>
              <w:spacing w:before="119"/>
              <w:ind w:left="1249" w:right="148" w:hanging="360"/>
            </w:pPr>
            <w:r>
              <w:t>s.</w:t>
            </w:r>
            <w:r>
              <w:rPr>
                <w:spacing w:val="80"/>
              </w:rPr>
              <w:t xml:space="preserve"> </w:t>
            </w:r>
            <w:r>
              <w:t>A summary of internal control deficiencies classified as material</w:t>
            </w:r>
            <w:r>
              <w:rPr>
                <w:spacing w:val="-6"/>
              </w:rPr>
              <w:t xml:space="preserve"> </w:t>
            </w:r>
            <w:r>
              <w:t>weaknesses,</w:t>
            </w:r>
            <w:r>
              <w:rPr>
                <w:spacing w:val="-6"/>
              </w:rPr>
              <w:t xml:space="preserve"> </w:t>
            </w:r>
            <w:r>
              <w:t>significant</w:t>
            </w:r>
            <w:r>
              <w:rPr>
                <w:spacing w:val="-6"/>
              </w:rPr>
              <w:t xml:space="preserve"> </w:t>
            </w:r>
            <w:r>
              <w:t>deficiencies,</w:t>
            </w:r>
            <w:r>
              <w:rPr>
                <w:spacing w:val="-6"/>
              </w:rPr>
              <w:t xml:space="preserve"> </w:t>
            </w:r>
            <w:r>
              <w:t>or</w:t>
            </w:r>
            <w:r>
              <w:rPr>
                <w:spacing w:val="-7"/>
              </w:rPr>
              <w:t xml:space="preserve"> </w:t>
            </w:r>
            <w:r>
              <w:t>other</w:t>
            </w:r>
            <w:r>
              <w:rPr>
                <w:spacing w:val="-6"/>
              </w:rPr>
              <w:t xml:space="preserve"> </w:t>
            </w:r>
            <w:r>
              <w:t>control deficiencies, and a comparison of material weaknesses the auditor found to those reported in management’s</w:t>
            </w:r>
            <w:r>
              <w:rPr>
                <w:spacing w:val="40"/>
              </w:rPr>
              <w:t xml:space="preserve"> </w:t>
            </w:r>
            <w:r>
              <w:t>assessment about the effectiveness of internal control.</w:t>
            </w:r>
          </w:p>
        </w:tc>
        <w:tc>
          <w:tcPr>
            <w:tcW w:w="811" w:type="dxa"/>
            <w:tcBorders>
              <w:top w:val="single" w:sz="8" w:space="0" w:color="000000"/>
              <w:left w:val="single" w:sz="8" w:space="0" w:color="000000"/>
              <w:bottom w:val="single" w:sz="8" w:space="0" w:color="000000"/>
              <w:right w:val="single" w:sz="8" w:space="0" w:color="000000"/>
            </w:tcBorders>
          </w:tcPr>
          <w:p w14:paraId="0DFDD03A"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3B" w14:textId="77777777" w:rsidR="00046465" w:rsidRDefault="00046465">
            <w:pPr>
              <w:pStyle w:val="TableParagraph"/>
              <w:rPr>
                <w:rFonts w:ascii="Times New Roman"/>
              </w:rPr>
            </w:pPr>
          </w:p>
        </w:tc>
      </w:tr>
    </w:tbl>
    <w:p w14:paraId="0DFDD03D"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03E" w14:textId="77777777" w:rsidR="00046465" w:rsidRDefault="00046465">
      <w:pPr>
        <w:pStyle w:val="BodyText"/>
        <w:spacing w:before="9"/>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D045" w14:textId="77777777">
        <w:trPr>
          <w:trHeight w:val="936"/>
        </w:trPr>
        <w:tc>
          <w:tcPr>
            <w:tcW w:w="7380" w:type="dxa"/>
            <w:tcBorders>
              <w:right w:val="single" w:sz="8" w:space="0" w:color="000000"/>
            </w:tcBorders>
            <w:shd w:val="clear" w:color="auto" w:fill="A6A6A6"/>
          </w:tcPr>
          <w:p w14:paraId="0DFDD03F" w14:textId="77777777" w:rsidR="00046465" w:rsidRDefault="00046465">
            <w:pPr>
              <w:pStyle w:val="TableParagraph"/>
              <w:spacing w:before="266"/>
              <w:rPr>
                <w:b/>
                <w:sz w:val="24"/>
              </w:rPr>
            </w:pPr>
          </w:p>
          <w:p w14:paraId="0DFDD040"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D041"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D042" w14:textId="77777777" w:rsidR="00046465" w:rsidRDefault="00046465">
            <w:pPr>
              <w:pStyle w:val="TableParagraph"/>
              <w:rPr>
                <w:b/>
              </w:rPr>
            </w:pPr>
          </w:p>
          <w:p w14:paraId="0DFDD043" w14:textId="77777777" w:rsidR="00046465" w:rsidRDefault="00046465">
            <w:pPr>
              <w:pStyle w:val="TableParagraph"/>
              <w:spacing w:before="120"/>
              <w:rPr>
                <w:b/>
              </w:rPr>
            </w:pPr>
          </w:p>
          <w:p w14:paraId="0DFDD044"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049" w14:textId="77777777">
        <w:trPr>
          <w:trHeight w:val="1252"/>
        </w:trPr>
        <w:tc>
          <w:tcPr>
            <w:tcW w:w="7380" w:type="dxa"/>
            <w:tcBorders>
              <w:bottom w:val="single" w:sz="8" w:space="0" w:color="000000"/>
              <w:right w:val="single" w:sz="8" w:space="0" w:color="000000"/>
            </w:tcBorders>
          </w:tcPr>
          <w:p w14:paraId="0DFDD046" w14:textId="77777777" w:rsidR="00046465" w:rsidRDefault="008134EB">
            <w:pPr>
              <w:pStyle w:val="TableParagraph"/>
              <w:tabs>
                <w:tab w:val="left" w:pos="1249"/>
              </w:tabs>
              <w:spacing w:before="121"/>
              <w:ind w:left="1249" w:right="422" w:hanging="360"/>
            </w:pPr>
            <w:r>
              <w:rPr>
                <w:spacing w:val="-6"/>
              </w:rPr>
              <w:t>t.</w:t>
            </w:r>
            <w:r>
              <w:tab/>
              <w:t>A summary of instances in which the entity’s financial management systems do not comply substantially with FFMIA requirements, as well as areas in which there is substantial</w:t>
            </w:r>
            <w:r>
              <w:rPr>
                <w:spacing w:val="-6"/>
              </w:rPr>
              <w:t xml:space="preserve"> </w:t>
            </w:r>
            <w:r>
              <w:t>but</w:t>
            </w:r>
            <w:r>
              <w:rPr>
                <w:spacing w:val="-5"/>
              </w:rPr>
              <w:t xml:space="preserve"> </w:t>
            </w:r>
            <w:r>
              <w:t>not</w:t>
            </w:r>
            <w:r>
              <w:rPr>
                <w:spacing w:val="-5"/>
              </w:rPr>
              <w:t xml:space="preserve"> </w:t>
            </w:r>
            <w:r>
              <w:t>full</w:t>
            </w:r>
            <w:r>
              <w:rPr>
                <w:spacing w:val="-5"/>
              </w:rPr>
              <w:t xml:space="preserve"> </w:t>
            </w:r>
            <w:r>
              <w:t>compliance</w:t>
            </w:r>
            <w:r>
              <w:rPr>
                <w:spacing w:val="-5"/>
              </w:rPr>
              <w:t xml:space="preserve"> </w:t>
            </w:r>
            <w:r>
              <w:t>(for</w:t>
            </w:r>
            <w:r>
              <w:rPr>
                <w:spacing w:val="-5"/>
              </w:rPr>
              <w:t xml:space="preserve"> </w:t>
            </w:r>
            <w:r>
              <w:t>CFO</w:t>
            </w:r>
            <w:r>
              <w:rPr>
                <w:spacing w:val="-6"/>
              </w:rPr>
              <w:t xml:space="preserve"> </w:t>
            </w:r>
            <w:r>
              <w:t>Act</w:t>
            </w:r>
            <w:r>
              <w:rPr>
                <w:spacing w:val="-4"/>
              </w:rPr>
              <w:t xml:space="preserve"> </w:t>
            </w:r>
            <w:r>
              <w:t>agencies).</w:t>
            </w:r>
          </w:p>
        </w:tc>
        <w:tc>
          <w:tcPr>
            <w:tcW w:w="811" w:type="dxa"/>
            <w:tcBorders>
              <w:left w:val="single" w:sz="8" w:space="0" w:color="000000"/>
              <w:bottom w:val="single" w:sz="8" w:space="0" w:color="000000"/>
              <w:right w:val="single" w:sz="8" w:space="0" w:color="000000"/>
            </w:tcBorders>
          </w:tcPr>
          <w:p w14:paraId="0DFDD047" w14:textId="77777777" w:rsidR="00046465" w:rsidRDefault="00046465">
            <w:pPr>
              <w:pStyle w:val="TableParagraph"/>
              <w:rPr>
                <w:rFonts w:ascii="Times New Roman"/>
              </w:rPr>
            </w:pPr>
          </w:p>
        </w:tc>
        <w:tc>
          <w:tcPr>
            <w:tcW w:w="1349" w:type="dxa"/>
            <w:tcBorders>
              <w:left w:val="single" w:sz="8" w:space="0" w:color="000000"/>
              <w:bottom w:val="single" w:sz="8" w:space="0" w:color="000000"/>
            </w:tcBorders>
          </w:tcPr>
          <w:p w14:paraId="0DFDD048" w14:textId="77777777" w:rsidR="00046465" w:rsidRDefault="00046465">
            <w:pPr>
              <w:pStyle w:val="TableParagraph"/>
              <w:rPr>
                <w:rFonts w:ascii="Times New Roman"/>
              </w:rPr>
            </w:pPr>
          </w:p>
        </w:tc>
      </w:tr>
      <w:tr w:rsidR="00046465" w14:paraId="0DFDD04D" w14:textId="77777777">
        <w:trPr>
          <w:trHeight w:val="998"/>
        </w:trPr>
        <w:tc>
          <w:tcPr>
            <w:tcW w:w="7380" w:type="dxa"/>
            <w:tcBorders>
              <w:top w:val="single" w:sz="8" w:space="0" w:color="000000"/>
              <w:bottom w:val="single" w:sz="8" w:space="0" w:color="000000"/>
              <w:right w:val="single" w:sz="8" w:space="0" w:color="000000"/>
            </w:tcBorders>
          </w:tcPr>
          <w:p w14:paraId="0DFDD04A" w14:textId="77777777" w:rsidR="00046465" w:rsidRDefault="008134EB">
            <w:pPr>
              <w:pStyle w:val="TableParagraph"/>
              <w:spacing w:before="119"/>
              <w:ind w:left="1249" w:right="172" w:hanging="360"/>
            </w:pPr>
            <w:r>
              <w:t>u.</w:t>
            </w:r>
            <w:r>
              <w:rPr>
                <w:spacing w:val="80"/>
              </w:rPr>
              <w:t xml:space="preserve"> </w:t>
            </w:r>
            <w:r>
              <w:t>A</w:t>
            </w:r>
            <w:r>
              <w:rPr>
                <w:spacing w:val="-4"/>
              </w:rPr>
              <w:t xml:space="preserve"> </w:t>
            </w:r>
            <w:r>
              <w:t>summary</w:t>
            </w:r>
            <w:r>
              <w:rPr>
                <w:spacing w:val="-3"/>
              </w:rPr>
              <w:t xml:space="preserve"> </w:t>
            </w:r>
            <w:r>
              <w:t>of</w:t>
            </w:r>
            <w:r>
              <w:rPr>
                <w:spacing w:val="-4"/>
              </w:rPr>
              <w:t xml:space="preserve"> </w:t>
            </w:r>
            <w:r>
              <w:t>instances</w:t>
            </w:r>
            <w:r>
              <w:rPr>
                <w:spacing w:val="-5"/>
              </w:rPr>
              <w:t xml:space="preserve"> </w:t>
            </w:r>
            <w:r>
              <w:t>of</w:t>
            </w:r>
            <w:r>
              <w:rPr>
                <w:spacing w:val="-4"/>
              </w:rPr>
              <w:t xml:space="preserve"> </w:t>
            </w:r>
            <w:r>
              <w:t>noncompliance</w:t>
            </w:r>
            <w:r>
              <w:rPr>
                <w:spacing w:val="-4"/>
              </w:rPr>
              <w:t xml:space="preserve"> </w:t>
            </w:r>
            <w:r>
              <w:t>with</w:t>
            </w:r>
            <w:r>
              <w:rPr>
                <w:spacing w:val="-4"/>
              </w:rPr>
              <w:t xml:space="preserve"> </w:t>
            </w:r>
            <w:r>
              <w:t>significant provisions of applicable laws, regulations, contracts, and grant agreements.</w:t>
            </w:r>
          </w:p>
        </w:tc>
        <w:tc>
          <w:tcPr>
            <w:tcW w:w="811" w:type="dxa"/>
            <w:tcBorders>
              <w:top w:val="single" w:sz="8" w:space="0" w:color="000000"/>
              <w:left w:val="single" w:sz="8" w:space="0" w:color="000000"/>
              <w:bottom w:val="single" w:sz="8" w:space="0" w:color="000000"/>
              <w:right w:val="single" w:sz="8" w:space="0" w:color="000000"/>
            </w:tcBorders>
          </w:tcPr>
          <w:p w14:paraId="0DFDD04B"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4C" w14:textId="77777777" w:rsidR="00046465" w:rsidRDefault="00046465">
            <w:pPr>
              <w:pStyle w:val="TableParagraph"/>
              <w:rPr>
                <w:rFonts w:ascii="Times New Roman"/>
              </w:rPr>
            </w:pPr>
          </w:p>
        </w:tc>
      </w:tr>
      <w:tr w:rsidR="00046465" w14:paraId="0DFDD051" w14:textId="77777777">
        <w:trPr>
          <w:trHeight w:val="493"/>
        </w:trPr>
        <w:tc>
          <w:tcPr>
            <w:tcW w:w="7380" w:type="dxa"/>
            <w:tcBorders>
              <w:top w:val="single" w:sz="8" w:space="0" w:color="000000"/>
              <w:bottom w:val="single" w:sz="8" w:space="0" w:color="000000"/>
              <w:right w:val="single" w:sz="8" w:space="0" w:color="000000"/>
            </w:tcBorders>
          </w:tcPr>
          <w:p w14:paraId="0DFDD04E" w14:textId="77777777" w:rsidR="00046465" w:rsidRDefault="008134EB">
            <w:pPr>
              <w:pStyle w:val="TableParagraph"/>
              <w:spacing w:before="121"/>
              <w:ind w:left="889"/>
            </w:pPr>
            <w:r>
              <w:t>v.</w:t>
            </w:r>
            <w:r>
              <w:rPr>
                <w:spacing w:val="79"/>
                <w:w w:val="150"/>
              </w:rPr>
              <w:t xml:space="preserve"> </w:t>
            </w:r>
            <w:r>
              <w:t>Documentation</w:t>
            </w:r>
            <w:r>
              <w:rPr>
                <w:spacing w:val="-5"/>
              </w:rPr>
              <w:t xml:space="preserve"> </w:t>
            </w:r>
            <w:r>
              <w:t>of</w:t>
            </w:r>
            <w:r>
              <w:rPr>
                <w:spacing w:val="-5"/>
              </w:rPr>
              <w:t xml:space="preserve"> </w:t>
            </w:r>
            <w:r>
              <w:t>overall</w:t>
            </w:r>
            <w:r>
              <w:rPr>
                <w:spacing w:val="-6"/>
              </w:rPr>
              <w:t xml:space="preserve"> </w:t>
            </w:r>
            <w:r>
              <w:t>analytical</w:t>
            </w:r>
            <w:r>
              <w:rPr>
                <w:spacing w:val="-5"/>
              </w:rPr>
              <w:t xml:space="preserve"> </w:t>
            </w:r>
            <w:r>
              <w:rPr>
                <w:spacing w:val="-2"/>
              </w:rPr>
              <w:t>procedures.</w:t>
            </w:r>
          </w:p>
        </w:tc>
        <w:tc>
          <w:tcPr>
            <w:tcW w:w="811" w:type="dxa"/>
            <w:tcBorders>
              <w:top w:val="single" w:sz="8" w:space="0" w:color="000000"/>
              <w:left w:val="single" w:sz="8" w:space="0" w:color="000000"/>
              <w:bottom w:val="single" w:sz="8" w:space="0" w:color="000000"/>
              <w:right w:val="single" w:sz="8" w:space="0" w:color="000000"/>
            </w:tcBorders>
          </w:tcPr>
          <w:p w14:paraId="0DFDD04F"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50" w14:textId="77777777" w:rsidR="00046465" w:rsidRDefault="00046465">
            <w:pPr>
              <w:pStyle w:val="TableParagraph"/>
              <w:rPr>
                <w:rFonts w:ascii="Times New Roman"/>
              </w:rPr>
            </w:pPr>
          </w:p>
        </w:tc>
      </w:tr>
      <w:tr w:rsidR="00046465" w14:paraId="0DFDD055" w14:textId="77777777">
        <w:trPr>
          <w:trHeight w:val="1503"/>
        </w:trPr>
        <w:tc>
          <w:tcPr>
            <w:tcW w:w="7380" w:type="dxa"/>
            <w:tcBorders>
              <w:top w:val="single" w:sz="8" w:space="0" w:color="000000"/>
              <w:bottom w:val="single" w:sz="8" w:space="0" w:color="000000"/>
              <w:right w:val="single" w:sz="8" w:space="0" w:color="000000"/>
            </w:tcBorders>
          </w:tcPr>
          <w:p w14:paraId="0DFDD052" w14:textId="77777777" w:rsidR="00046465" w:rsidRDefault="008134EB">
            <w:pPr>
              <w:pStyle w:val="TableParagraph"/>
              <w:spacing w:before="119"/>
              <w:ind w:left="1249" w:right="239" w:hanging="360"/>
            </w:pPr>
            <w:r>
              <w:t>w.</w:t>
            </w:r>
            <w:r>
              <w:rPr>
                <w:spacing w:val="40"/>
              </w:rPr>
              <w:t xml:space="preserve"> </w:t>
            </w:r>
            <w:r>
              <w:t>Documentation of required oral or written communication with management, those charged with governance, and others, including the nature of the significant findings or issues</w:t>
            </w:r>
            <w:r>
              <w:rPr>
                <w:spacing w:val="-5"/>
              </w:rPr>
              <w:t xml:space="preserve"> </w:t>
            </w:r>
            <w:r>
              <w:t>discussed,</w:t>
            </w:r>
            <w:r>
              <w:rPr>
                <w:spacing w:val="-5"/>
              </w:rPr>
              <w:t xml:space="preserve"> </w:t>
            </w:r>
            <w:r>
              <w:t>and</w:t>
            </w:r>
            <w:r>
              <w:rPr>
                <w:spacing w:val="-5"/>
              </w:rPr>
              <w:t xml:space="preserve"> </w:t>
            </w:r>
            <w:r>
              <w:t>when</w:t>
            </w:r>
            <w:r>
              <w:rPr>
                <w:spacing w:val="-5"/>
              </w:rPr>
              <w:t xml:space="preserve"> </w:t>
            </w:r>
            <w:r>
              <w:t>and</w:t>
            </w:r>
            <w:r>
              <w:rPr>
                <w:spacing w:val="-5"/>
              </w:rPr>
              <w:t xml:space="preserve"> </w:t>
            </w:r>
            <w:r>
              <w:t>with</w:t>
            </w:r>
            <w:r>
              <w:rPr>
                <w:spacing w:val="-5"/>
              </w:rPr>
              <w:t xml:space="preserve"> </w:t>
            </w:r>
            <w:r>
              <w:t>whom</w:t>
            </w:r>
            <w:r>
              <w:rPr>
                <w:spacing w:val="-6"/>
              </w:rPr>
              <w:t xml:space="preserve"> </w:t>
            </w:r>
            <w:r>
              <w:t>the</w:t>
            </w:r>
            <w:r>
              <w:rPr>
                <w:spacing w:val="-4"/>
              </w:rPr>
              <w:t xml:space="preserve"> </w:t>
            </w:r>
            <w:r>
              <w:t>discussions took place.</w:t>
            </w:r>
          </w:p>
        </w:tc>
        <w:tc>
          <w:tcPr>
            <w:tcW w:w="811" w:type="dxa"/>
            <w:tcBorders>
              <w:top w:val="single" w:sz="8" w:space="0" w:color="000000"/>
              <w:left w:val="single" w:sz="8" w:space="0" w:color="000000"/>
              <w:bottom w:val="single" w:sz="8" w:space="0" w:color="000000"/>
              <w:right w:val="single" w:sz="8" w:space="0" w:color="000000"/>
            </w:tcBorders>
          </w:tcPr>
          <w:p w14:paraId="0DFDD053"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54" w14:textId="77777777" w:rsidR="00046465" w:rsidRDefault="00046465">
            <w:pPr>
              <w:pStyle w:val="TableParagraph"/>
              <w:rPr>
                <w:rFonts w:ascii="Times New Roman"/>
              </w:rPr>
            </w:pPr>
          </w:p>
        </w:tc>
      </w:tr>
      <w:tr w:rsidR="00046465" w14:paraId="0DFDD059" w14:textId="77777777">
        <w:trPr>
          <w:trHeight w:val="2011"/>
        </w:trPr>
        <w:tc>
          <w:tcPr>
            <w:tcW w:w="7380" w:type="dxa"/>
            <w:tcBorders>
              <w:top w:val="single" w:sz="8" w:space="0" w:color="000000"/>
              <w:bottom w:val="single" w:sz="8" w:space="0" w:color="000000"/>
              <w:right w:val="single" w:sz="8" w:space="0" w:color="000000"/>
            </w:tcBorders>
          </w:tcPr>
          <w:p w14:paraId="0DFDD056" w14:textId="77777777" w:rsidR="00046465" w:rsidRDefault="008134EB">
            <w:pPr>
              <w:pStyle w:val="TableParagraph"/>
              <w:spacing w:before="121"/>
              <w:ind w:left="1249" w:right="172" w:hanging="360"/>
            </w:pPr>
            <w:r>
              <w:t>x.</w:t>
            </w:r>
            <w:r>
              <w:rPr>
                <w:spacing w:val="80"/>
              </w:rPr>
              <w:t xml:space="preserve"> </w:t>
            </w:r>
            <w:r>
              <w:t>A copy or summary of management’s communications provided to those charged with governance if, as part of its communication to those charged with governance, management communicated some or all of the matters the auditor is required to communicate, and as a result, the auditor</w:t>
            </w:r>
            <w:r>
              <w:rPr>
                <w:spacing w:val="-5"/>
              </w:rPr>
              <w:t xml:space="preserve"> </w:t>
            </w:r>
            <w:r>
              <w:t>did</w:t>
            </w:r>
            <w:r>
              <w:rPr>
                <w:spacing w:val="-5"/>
              </w:rPr>
              <w:t xml:space="preserve"> </w:t>
            </w:r>
            <w:r>
              <w:t>not</w:t>
            </w:r>
            <w:r>
              <w:rPr>
                <w:spacing w:val="-5"/>
              </w:rPr>
              <w:t xml:space="preserve"> </w:t>
            </w:r>
            <w:r>
              <w:t>communicate</w:t>
            </w:r>
            <w:r>
              <w:rPr>
                <w:spacing w:val="-5"/>
              </w:rPr>
              <w:t xml:space="preserve"> </w:t>
            </w:r>
            <w:r>
              <w:t>these</w:t>
            </w:r>
            <w:r>
              <w:rPr>
                <w:spacing w:val="-5"/>
              </w:rPr>
              <w:t xml:space="preserve"> </w:t>
            </w:r>
            <w:r>
              <w:t>matters</w:t>
            </w:r>
            <w:r>
              <w:rPr>
                <w:spacing w:val="-5"/>
              </w:rPr>
              <w:t xml:space="preserve"> </w:t>
            </w:r>
            <w:r>
              <w:t>at</w:t>
            </w:r>
            <w:r>
              <w:rPr>
                <w:spacing w:val="-5"/>
              </w:rPr>
              <w:t xml:space="preserve"> </w:t>
            </w:r>
            <w:r>
              <w:t>the</w:t>
            </w:r>
            <w:r>
              <w:rPr>
                <w:spacing w:val="-5"/>
              </w:rPr>
              <w:t xml:space="preserve"> </w:t>
            </w:r>
            <w:r>
              <w:t>same</w:t>
            </w:r>
            <w:r>
              <w:rPr>
                <w:spacing w:val="-5"/>
              </w:rPr>
              <w:t xml:space="preserve"> </w:t>
            </w:r>
            <w:r>
              <w:t>level of detail as management.</w:t>
            </w:r>
          </w:p>
        </w:tc>
        <w:tc>
          <w:tcPr>
            <w:tcW w:w="811" w:type="dxa"/>
            <w:tcBorders>
              <w:top w:val="single" w:sz="8" w:space="0" w:color="000000"/>
              <w:left w:val="single" w:sz="8" w:space="0" w:color="000000"/>
              <w:bottom w:val="single" w:sz="8" w:space="0" w:color="000000"/>
              <w:right w:val="single" w:sz="8" w:space="0" w:color="000000"/>
            </w:tcBorders>
          </w:tcPr>
          <w:p w14:paraId="0DFDD057"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58" w14:textId="77777777" w:rsidR="00046465" w:rsidRDefault="00046465">
            <w:pPr>
              <w:pStyle w:val="TableParagraph"/>
              <w:rPr>
                <w:rFonts w:ascii="Times New Roman"/>
              </w:rPr>
            </w:pPr>
          </w:p>
        </w:tc>
      </w:tr>
      <w:tr w:rsidR="00046465" w14:paraId="0DFDD05D" w14:textId="77777777">
        <w:trPr>
          <w:trHeight w:val="745"/>
        </w:trPr>
        <w:tc>
          <w:tcPr>
            <w:tcW w:w="7380" w:type="dxa"/>
            <w:tcBorders>
              <w:top w:val="single" w:sz="8" w:space="0" w:color="000000"/>
              <w:bottom w:val="single" w:sz="8" w:space="0" w:color="000000"/>
              <w:right w:val="single" w:sz="8" w:space="0" w:color="000000"/>
            </w:tcBorders>
          </w:tcPr>
          <w:p w14:paraId="0DFDD05A" w14:textId="77777777" w:rsidR="00046465" w:rsidRDefault="008134EB">
            <w:pPr>
              <w:pStyle w:val="TableParagraph"/>
              <w:spacing w:before="119"/>
              <w:ind w:left="1249" w:hanging="360"/>
            </w:pPr>
            <w:r>
              <w:t>y.</w:t>
            </w:r>
            <w:r>
              <w:rPr>
                <w:spacing w:val="80"/>
              </w:rPr>
              <w:t xml:space="preserve"> </w:t>
            </w:r>
            <w:r>
              <w:t>The</w:t>
            </w:r>
            <w:r>
              <w:rPr>
                <w:spacing w:val="-4"/>
              </w:rPr>
              <w:t xml:space="preserve"> </w:t>
            </w:r>
            <w:r>
              <w:t>auditor’s</w:t>
            </w:r>
            <w:r>
              <w:rPr>
                <w:spacing w:val="-4"/>
              </w:rPr>
              <w:t xml:space="preserve"> </w:t>
            </w:r>
            <w:r>
              <w:t>conclusion</w:t>
            </w:r>
            <w:r>
              <w:rPr>
                <w:spacing w:val="-5"/>
              </w:rPr>
              <w:t xml:space="preserve"> </w:t>
            </w:r>
            <w:r>
              <w:t>on</w:t>
            </w:r>
            <w:r>
              <w:rPr>
                <w:spacing w:val="-4"/>
              </w:rPr>
              <w:t xml:space="preserve"> </w:t>
            </w:r>
            <w:r>
              <w:t>the</w:t>
            </w:r>
            <w:r>
              <w:rPr>
                <w:spacing w:val="-4"/>
              </w:rPr>
              <w:t xml:space="preserve"> </w:t>
            </w:r>
            <w:r>
              <w:t>adequacy</w:t>
            </w:r>
            <w:r>
              <w:rPr>
                <w:spacing w:val="-4"/>
              </w:rPr>
              <w:t xml:space="preserve"> </w:t>
            </w:r>
            <w:r>
              <w:t>of</w:t>
            </w:r>
            <w:r>
              <w:rPr>
                <w:spacing w:val="-4"/>
              </w:rPr>
              <w:t xml:space="preserve"> </w:t>
            </w:r>
            <w:r>
              <w:t>two-way communication with those charged with governance.</w:t>
            </w:r>
          </w:p>
        </w:tc>
        <w:tc>
          <w:tcPr>
            <w:tcW w:w="811" w:type="dxa"/>
            <w:tcBorders>
              <w:top w:val="single" w:sz="8" w:space="0" w:color="000000"/>
              <w:left w:val="single" w:sz="8" w:space="0" w:color="000000"/>
              <w:bottom w:val="single" w:sz="8" w:space="0" w:color="000000"/>
              <w:right w:val="single" w:sz="8" w:space="0" w:color="000000"/>
            </w:tcBorders>
          </w:tcPr>
          <w:p w14:paraId="0DFDD05B"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5C" w14:textId="77777777" w:rsidR="00046465" w:rsidRDefault="00046465">
            <w:pPr>
              <w:pStyle w:val="TableParagraph"/>
              <w:rPr>
                <w:rFonts w:ascii="Times New Roman"/>
              </w:rPr>
            </w:pPr>
          </w:p>
        </w:tc>
      </w:tr>
      <w:tr w:rsidR="00046465" w14:paraId="0DFDD061" w14:textId="77777777">
        <w:trPr>
          <w:trHeight w:val="1758"/>
        </w:trPr>
        <w:tc>
          <w:tcPr>
            <w:tcW w:w="7380" w:type="dxa"/>
            <w:tcBorders>
              <w:top w:val="single" w:sz="8" w:space="0" w:color="000000"/>
              <w:bottom w:val="single" w:sz="8" w:space="0" w:color="000000"/>
              <w:right w:val="single" w:sz="8" w:space="0" w:color="000000"/>
            </w:tcBorders>
          </w:tcPr>
          <w:p w14:paraId="0DFDD05E" w14:textId="77777777" w:rsidR="00046465" w:rsidRDefault="008134EB">
            <w:pPr>
              <w:pStyle w:val="TableParagraph"/>
              <w:spacing w:before="119"/>
              <w:ind w:left="1249" w:right="178" w:hanging="360"/>
            </w:pPr>
            <w:r>
              <w:t>z.</w:t>
            </w:r>
            <w:r>
              <w:rPr>
                <w:spacing w:val="80"/>
              </w:rPr>
              <w:t xml:space="preserve"> </w:t>
            </w:r>
            <w:r>
              <w:t>Any departures from the applicable “should” procedures in the</w:t>
            </w:r>
            <w:r>
              <w:rPr>
                <w:spacing w:val="-4"/>
              </w:rPr>
              <w:t xml:space="preserve"> </w:t>
            </w:r>
            <w:r>
              <w:t>FAM</w:t>
            </w:r>
            <w:r>
              <w:rPr>
                <w:spacing w:val="-5"/>
              </w:rPr>
              <w:t xml:space="preserve"> </w:t>
            </w:r>
            <w:r>
              <w:t>and</w:t>
            </w:r>
            <w:r>
              <w:rPr>
                <w:spacing w:val="-4"/>
              </w:rPr>
              <w:t xml:space="preserve"> </w:t>
            </w:r>
            <w:r>
              <w:t>the</w:t>
            </w:r>
            <w:r>
              <w:rPr>
                <w:spacing w:val="-4"/>
              </w:rPr>
              <w:t xml:space="preserve"> </w:t>
            </w:r>
            <w:r>
              <w:t>basis</w:t>
            </w:r>
            <w:r>
              <w:rPr>
                <w:spacing w:val="-4"/>
              </w:rPr>
              <w:t xml:space="preserve"> </w:t>
            </w:r>
            <w:r>
              <w:t>for</w:t>
            </w:r>
            <w:r>
              <w:rPr>
                <w:spacing w:val="-4"/>
              </w:rPr>
              <w:t xml:space="preserve"> </w:t>
            </w:r>
            <w:r>
              <w:t>them,</w:t>
            </w:r>
            <w:r>
              <w:rPr>
                <w:spacing w:val="-4"/>
              </w:rPr>
              <w:t xml:space="preserve"> </w:t>
            </w:r>
            <w:r>
              <w:t>including</w:t>
            </w:r>
            <w:r>
              <w:rPr>
                <w:spacing w:val="-4"/>
              </w:rPr>
              <w:t xml:space="preserve"> </w:t>
            </w:r>
            <w:r>
              <w:t>the</w:t>
            </w:r>
            <w:r>
              <w:rPr>
                <w:spacing w:val="-4"/>
              </w:rPr>
              <w:t xml:space="preserve"> </w:t>
            </w:r>
            <w:r>
              <w:t>audit</w:t>
            </w:r>
            <w:r>
              <w:rPr>
                <w:spacing w:val="-4"/>
              </w:rPr>
              <w:t xml:space="preserve"> </w:t>
            </w:r>
            <w:r>
              <w:t>director’s approval and a statement about whether the engagement team</w:t>
            </w:r>
            <w:r>
              <w:rPr>
                <w:spacing w:val="-5"/>
              </w:rPr>
              <w:t xml:space="preserve"> </w:t>
            </w:r>
            <w:r>
              <w:t>provided</w:t>
            </w:r>
            <w:r>
              <w:rPr>
                <w:spacing w:val="-4"/>
              </w:rPr>
              <w:t xml:space="preserve"> </w:t>
            </w:r>
            <w:r>
              <w:t>supporting</w:t>
            </w:r>
            <w:r>
              <w:rPr>
                <w:spacing w:val="-4"/>
              </w:rPr>
              <w:t xml:space="preserve"> </w:t>
            </w:r>
            <w:r>
              <w:t>documentation</w:t>
            </w:r>
            <w:r>
              <w:rPr>
                <w:spacing w:val="-4"/>
              </w:rPr>
              <w:t xml:space="preserve"> </w:t>
            </w:r>
            <w:r>
              <w:t>to</w:t>
            </w:r>
            <w:r>
              <w:rPr>
                <w:spacing w:val="-4"/>
              </w:rPr>
              <w:t xml:space="preserve"> </w:t>
            </w:r>
            <w:r>
              <w:t>the</w:t>
            </w:r>
            <w:r>
              <w:rPr>
                <w:spacing w:val="-4"/>
              </w:rPr>
              <w:t xml:space="preserve"> </w:t>
            </w:r>
            <w:r>
              <w:t>reviewer</w:t>
            </w:r>
            <w:r>
              <w:rPr>
                <w:spacing w:val="-4"/>
              </w:rPr>
              <w:t xml:space="preserve"> </w:t>
            </w:r>
            <w:r>
              <w:t>in</w:t>
            </w:r>
            <w:r>
              <w:rPr>
                <w:spacing w:val="-4"/>
              </w:rPr>
              <w:t xml:space="preserve"> </w:t>
            </w:r>
            <w:r>
              <w:t>a timely manner to allow any issues to be promptly identified and resolved.</w:t>
            </w:r>
          </w:p>
        </w:tc>
        <w:tc>
          <w:tcPr>
            <w:tcW w:w="811" w:type="dxa"/>
            <w:tcBorders>
              <w:top w:val="single" w:sz="8" w:space="0" w:color="000000"/>
              <w:left w:val="single" w:sz="8" w:space="0" w:color="000000"/>
              <w:bottom w:val="single" w:sz="8" w:space="0" w:color="000000"/>
              <w:right w:val="single" w:sz="8" w:space="0" w:color="000000"/>
            </w:tcBorders>
          </w:tcPr>
          <w:p w14:paraId="0DFDD05F" w14:textId="77777777" w:rsidR="00046465" w:rsidRDefault="00046465">
            <w:pPr>
              <w:pStyle w:val="TableParagraph"/>
              <w:rPr>
                <w:rFonts w:ascii="Times New Roman"/>
              </w:rPr>
            </w:pPr>
          </w:p>
        </w:tc>
        <w:tc>
          <w:tcPr>
            <w:tcW w:w="1349" w:type="dxa"/>
            <w:tcBorders>
              <w:top w:val="single" w:sz="8" w:space="0" w:color="000000"/>
              <w:left w:val="single" w:sz="8" w:space="0" w:color="000000"/>
              <w:bottom w:val="single" w:sz="8" w:space="0" w:color="000000"/>
            </w:tcBorders>
          </w:tcPr>
          <w:p w14:paraId="0DFDD060" w14:textId="77777777" w:rsidR="00046465" w:rsidRDefault="00046465">
            <w:pPr>
              <w:pStyle w:val="TableParagraph"/>
              <w:rPr>
                <w:rFonts w:ascii="Times New Roman"/>
              </w:rPr>
            </w:pPr>
          </w:p>
        </w:tc>
      </w:tr>
      <w:tr w:rsidR="00046465" w14:paraId="0DFDD065" w14:textId="77777777">
        <w:trPr>
          <w:trHeight w:val="745"/>
        </w:trPr>
        <w:tc>
          <w:tcPr>
            <w:tcW w:w="7380" w:type="dxa"/>
            <w:tcBorders>
              <w:top w:val="single" w:sz="8" w:space="0" w:color="000000"/>
              <w:bottom w:val="single" w:sz="6" w:space="0" w:color="000000"/>
              <w:right w:val="single" w:sz="6" w:space="0" w:color="000000"/>
            </w:tcBorders>
          </w:tcPr>
          <w:p w14:paraId="0DFDD062" w14:textId="77777777" w:rsidR="00046465" w:rsidRDefault="008134EB">
            <w:pPr>
              <w:pStyle w:val="TableParagraph"/>
              <w:spacing w:before="119"/>
              <w:ind w:left="843" w:right="150" w:hanging="360"/>
            </w:pPr>
            <w:r>
              <w:t>24.</w:t>
            </w:r>
            <w:r>
              <w:rPr>
                <w:spacing w:val="-11"/>
              </w:rPr>
              <w:t xml:space="preserve"> </w:t>
            </w:r>
            <w:r>
              <w:t>In</w:t>
            </w:r>
            <w:r>
              <w:rPr>
                <w:spacing w:val="-5"/>
              </w:rPr>
              <w:t xml:space="preserve"> </w:t>
            </w:r>
            <w:r>
              <w:t>addition</w:t>
            </w:r>
            <w:r>
              <w:rPr>
                <w:spacing w:val="-5"/>
              </w:rPr>
              <w:t xml:space="preserve"> </w:t>
            </w:r>
            <w:r>
              <w:t>to</w:t>
            </w:r>
            <w:r>
              <w:rPr>
                <w:spacing w:val="-5"/>
              </w:rPr>
              <w:t xml:space="preserve"> </w:t>
            </w:r>
            <w:r>
              <w:t>the</w:t>
            </w:r>
            <w:r>
              <w:rPr>
                <w:spacing w:val="-5"/>
              </w:rPr>
              <w:t xml:space="preserve"> </w:t>
            </w:r>
            <w:r>
              <w:t>questions</w:t>
            </w:r>
            <w:r>
              <w:rPr>
                <w:spacing w:val="-5"/>
              </w:rPr>
              <w:t xml:space="preserve"> </w:t>
            </w:r>
            <w:r>
              <w:t>above,</w:t>
            </w:r>
            <w:r>
              <w:rPr>
                <w:spacing w:val="-5"/>
              </w:rPr>
              <w:t xml:space="preserve"> </w:t>
            </w:r>
            <w:r>
              <w:t>determine</w:t>
            </w:r>
            <w:r>
              <w:rPr>
                <w:spacing w:val="-5"/>
              </w:rPr>
              <w:t xml:space="preserve"> </w:t>
            </w:r>
            <w:r>
              <w:t>whether</w:t>
            </w:r>
            <w:r>
              <w:rPr>
                <w:spacing w:val="-5"/>
              </w:rPr>
              <w:t xml:space="preserve"> </w:t>
            </w:r>
            <w:r>
              <w:t>the following objectives were achieved (AU-C 200.23).</w:t>
            </w:r>
          </w:p>
        </w:tc>
        <w:tc>
          <w:tcPr>
            <w:tcW w:w="811" w:type="dxa"/>
            <w:tcBorders>
              <w:top w:val="single" w:sz="8" w:space="0" w:color="000000"/>
              <w:left w:val="single" w:sz="6" w:space="0" w:color="000000"/>
              <w:bottom w:val="single" w:sz="6" w:space="0" w:color="000000"/>
              <w:right w:val="single" w:sz="6" w:space="0" w:color="000000"/>
            </w:tcBorders>
            <w:shd w:val="clear" w:color="auto" w:fill="BEBEBE"/>
          </w:tcPr>
          <w:p w14:paraId="0DFDD063" w14:textId="77777777" w:rsidR="00046465" w:rsidRDefault="00046465">
            <w:pPr>
              <w:pStyle w:val="TableParagraph"/>
              <w:rPr>
                <w:rFonts w:ascii="Times New Roman"/>
              </w:rPr>
            </w:pPr>
          </w:p>
        </w:tc>
        <w:tc>
          <w:tcPr>
            <w:tcW w:w="1349" w:type="dxa"/>
            <w:tcBorders>
              <w:top w:val="single" w:sz="8" w:space="0" w:color="000000"/>
              <w:left w:val="single" w:sz="6" w:space="0" w:color="000000"/>
              <w:bottom w:val="single" w:sz="6" w:space="0" w:color="000000"/>
            </w:tcBorders>
            <w:shd w:val="clear" w:color="auto" w:fill="BEBEBE"/>
          </w:tcPr>
          <w:p w14:paraId="0DFDD064" w14:textId="77777777" w:rsidR="00046465" w:rsidRDefault="00046465">
            <w:pPr>
              <w:pStyle w:val="TableParagraph"/>
              <w:rPr>
                <w:rFonts w:ascii="Times New Roman"/>
              </w:rPr>
            </w:pPr>
          </w:p>
        </w:tc>
      </w:tr>
      <w:tr w:rsidR="00046465" w14:paraId="0DFDD06B" w14:textId="77777777">
        <w:trPr>
          <w:trHeight w:val="2027"/>
        </w:trPr>
        <w:tc>
          <w:tcPr>
            <w:tcW w:w="7380" w:type="dxa"/>
            <w:tcBorders>
              <w:top w:val="single" w:sz="6" w:space="0" w:color="000000"/>
              <w:bottom w:val="single" w:sz="6" w:space="0" w:color="000000"/>
              <w:right w:val="single" w:sz="6" w:space="0" w:color="000000"/>
            </w:tcBorders>
          </w:tcPr>
          <w:p w14:paraId="0DFDD066" w14:textId="77777777" w:rsidR="00046465" w:rsidRDefault="008134EB">
            <w:pPr>
              <w:pStyle w:val="TableParagraph"/>
              <w:numPr>
                <w:ilvl w:val="0"/>
                <w:numId w:val="49"/>
              </w:numPr>
              <w:tabs>
                <w:tab w:val="left" w:pos="1202"/>
              </w:tabs>
              <w:spacing w:before="119"/>
              <w:ind w:left="1202" w:hanging="359"/>
            </w:pPr>
            <w:r>
              <w:t>Did</w:t>
            </w:r>
            <w:r>
              <w:rPr>
                <w:spacing w:val="-4"/>
              </w:rPr>
              <w:t xml:space="preserve"> </w:t>
            </w:r>
            <w:r>
              <w:t>the</w:t>
            </w:r>
            <w:r>
              <w:rPr>
                <w:spacing w:val="-4"/>
              </w:rPr>
              <w:t xml:space="preserve"> </w:t>
            </w:r>
            <w:r>
              <w:rPr>
                <w:spacing w:val="-2"/>
              </w:rPr>
              <w:t>auditor</w:t>
            </w:r>
          </w:p>
          <w:p w14:paraId="0DFDD067" w14:textId="77777777" w:rsidR="00046465" w:rsidRDefault="008134EB">
            <w:pPr>
              <w:pStyle w:val="TableParagraph"/>
              <w:numPr>
                <w:ilvl w:val="1"/>
                <w:numId w:val="49"/>
              </w:numPr>
              <w:tabs>
                <w:tab w:val="left" w:pos="1520"/>
              </w:tabs>
              <w:spacing w:before="120"/>
              <w:ind w:right="288"/>
            </w:pPr>
            <w:r>
              <w:t>obtain</w:t>
            </w:r>
            <w:r>
              <w:rPr>
                <w:spacing w:val="-7"/>
              </w:rPr>
              <w:t xml:space="preserve"> </w:t>
            </w:r>
            <w:r>
              <w:t>sufficient</w:t>
            </w:r>
            <w:r>
              <w:rPr>
                <w:spacing w:val="-7"/>
              </w:rPr>
              <w:t xml:space="preserve"> </w:t>
            </w:r>
            <w:r>
              <w:t>appropriate</w:t>
            </w:r>
            <w:r>
              <w:rPr>
                <w:spacing w:val="-7"/>
              </w:rPr>
              <w:t xml:space="preserve"> </w:t>
            </w:r>
            <w:r>
              <w:t>audit</w:t>
            </w:r>
            <w:r>
              <w:rPr>
                <w:spacing w:val="-7"/>
              </w:rPr>
              <w:t xml:space="preserve"> </w:t>
            </w:r>
            <w:r>
              <w:t>evidence</w:t>
            </w:r>
            <w:r>
              <w:rPr>
                <w:spacing w:val="-7"/>
              </w:rPr>
              <w:t xml:space="preserve"> </w:t>
            </w:r>
            <w:r>
              <w:t>regarding</w:t>
            </w:r>
            <w:r>
              <w:rPr>
                <w:spacing w:val="-7"/>
              </w:rPr>
              <w:t xml:space="preserve"> </w:t>
            </w:r>
            <w:r>
              <w:t>the risks of material misstatement due to fraud, through designing and implementing appropriate responses, and</w:t>
            </w:r>
          </w:p>
          <w:p w14:paraId="0DFDD068" w14:textId="77777777" w:rsidR="00046465" w:rsidRDefault="008134EB">
            <w:pPr>
              <w:pStyle w:val="TableParagraph"/>
              <w:numPr>
                <w:ilvl w:val="1"/>
                <w:numId w:val="49"/>
              </w:numPr>
              <w:tabs>
                <w:tab w:val="left" w:pos="1520"/>
              </w:tabs>
              <w:spacing w:before="119"/>
              <w:ind w:right="1009"/>
            </w:pPr>
            <w:r>
              <w:t>respond</w:t>
            </w:r>
            <w:r>
              <w:rPr>
                <w:spacing w:val="-7"/>
              </w:rPr>
              <w:t xml:space="preserve"> </w:t>
            </w:r>
            <w:r>
              <w:t>appropriately</w:t>
            </w:r>
            <w:r>
              <w:rPr>
                <w:spacing w:val="-7"/>
              </w:rPr>
              <w:t xml:space="preserve"> </w:t>
            </w:r>
            <w:r>
              <w:t>to</w:t>
            </w:r>
            <w:r>
              <w:rPr>
                <w:spacing w:val="-8"/>
              </w:rPr>
              <w:t xml:space="preserve"> </w:t>
            </w:r>
            <w:r>
              <w:t>fraud</w:t>
            </w:r>
            <w:r>
              <w:rPr>
                <w:spacing w:val="-7"/>
              </w:rPr>
              <w:t xml:space="preserve"> </w:t>
            </w:r>
            <w:r>
              <w:t>or</w:t>
            </w:r>
            <w:r>
              <w:rPr>
                <w:spacing w:val="-7"/>
              </w:rPr>
              <w:t xml:space="preserve"> </w:t>
            </w:r>
            <w:r>
              <w:t>suspected</w:t>
            </w:r>
            <w:r>
              <w:rPr>
                <w:spacing w:val="-7"/>
              </w:rPr>
              <w:t xml:space="preserve"> </w:t>
            </w:r>
            <w:r>
              <w:t>fraud identified during the audit? (AU-C 240)</w:t>
            </w:r>
          </w:p>
        </w:tc>
        <w:tc>
          <w:tcPr>
            <w:tcW w:w="811" w:type="dxa"/>
            <w:tcBorders>
              <w:top w:val="single" w:sz="6" w:space="0" w:color="000000"/>
              <w:left w:val="single" w:sz="6" w:space="0" w:color="000000"/>
              <w:bottom w:val="single" w:sz="6" w:space="0" w:color="000000"/>
              <w:right w:val="single" w:sz="6" w:space="0" w:color="000000"/>
            </w:tcBorders>
          </w:tcPr>
          <w:p w14:paraId="0DFDD069" w14:textId="77777777" w:rsidR="00046465" w:rsidRDefault="00046465">
            <w:pPr>
              <w:pStyle w:val="TableParagraph"/>
              <w:rPr>
                <w:rFonts w:ascii="Times New Roman"/>
              </w:rPr>
            </w:pPr>
          </w:p>
        </w:tc>
        <w:tc>
          <w:tcPr>
            <w:tcW w:w="1349" w:type="dxa"/>
            <w:tcBorders>
              <w:top w:val="single" w:sz="6" w:space="0" w:color="000000"/>
              <w:left w:val="single" w:sz="6" w:space="0" w:color="000000"/>
              <w:bottom w:val="single" w:sz="6" w:space="0" w:color="000000"/>
            </w:tcBorders>
            <w:shd w:val="clear" w:color="auto" w:fill="BEBEBE"/>
          </w:tcPr>
          <w:p w14:paraId="0DFDD06A" w14:textId="77777777" w:rsidR="00046465" w:rsidRDefault="00046465">
            <w:pPr>
              <w:pStyle w:val="TableParagraph"/>
              <w:rPr>
                <w:rFonts w:ascii="Times New Roman"/>
              </w:rPr>
            </w:pPr>
          </w:p>
        </w:tc>
      </w:tr>
    </w:tbl>
    <w:p w14:paraId="0DFDD06C"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06D" w14:textId="77777777" w:rsidR="00046465" w:rsidRDefault="00046465">
      <w:pPr>
        <w:pStyle w:val="BodyText"/>
        <w:spacing w:before="9"/>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D074" w14:textId="77777777">
        <w:trPr>
          <w:trHeight w:val="936"/>
        </w:trPr>
        <w:tc>
          <w:tcPr>
            <w:tcW w:w="7380" w:type="dxa"/>
            <w:tcBorders>
              <w:right w:val="single" w:sz="8" w:space="0" w:color="000000"/>
            </w:tcBorders>
            <w:shd w:val="clear" w:color="auto" w:fill="A6A6A6"/>
          </w:tcPr>
          <w:p w14:paraId="0DFDD06E" w14:textId="77777777" w:rsidR="00046465" w:rsidRDefault="00046465">
            <w:pPr>
              <w:pStyle w:val="TableParagraph"/>
              <w:spacing w:before="266"/>
              <w:rPr>
                <w:b/>
                <w:sz w:val="24"/>
              </w:rPr>
            </w:pPr>
          </w:p>
          <w:p w14:paraId="0DFDD06F"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D070"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D071" w14:textId="77777777" w:rsidR="00046465" w:rsidRDefault="00046465">
            <w:pPr>
              <w:pStyle w:val="TableParagraph"/>
              <w:rPr>
                <w:b/>
              </w:rPr>
            </w:pPr>
          </w:p>
          <w:p w14:paraId="0DFDD072" w14:textId="77777777" w:rsidR="00046465" w:rsidRDefault="00046465">
            <w:pPr>
              <w:pStyle w:val="TableParagraph"/>
              <w:spacing w:before="120"/>
              <w:rPr>
                <w:b/>
              </w:rPr>
            </w:pPr>
          </w:p>
          <w:p w14:paraId="0DFDD073"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07B" w14:textId="77777777">
        <w:trPr>
          <w:trHeight w:val="3919"/>
        </w:trPr>
        <w:tc>
          <w:tcPr>
            <w:tcW w:w="7380" w:type="dxa"/>
            <w:tcBorders>
              <w:bottom w:val="single" w:sz="6" w:space="0" w:color="000000"/>
              <w:right w:val="single" w:sz="6" w:space="0" w:color="000000"/>
            </w:tcBorders>
          </w:tcPr>
          <w:p w14:paraId="0DFDD075" w14:textId="77777777" w:rsidR="00046465" w:rsidRDefault="008134EB">
            <w:pPr>
              <w:pStyle w:val="TableParagraph"/>
              <w:numPr>
                <w:ilvl w:val="0"/>
                <w:numId w:val="48"/>
              </w:numPr>
              <w:tabs>
                <w:tab w:val="left" w:pos="1202"/>
              </w:tabs>
              <w:spacing w:before="121"/>
              <w:ind w:left="1202" w:hanging="359"/>
            </w:pPr>
            <w:r>
              <w:t>Did</w:t>
            </w:r>
            <w:r>
              <w:rPr>
                <w:spacing w:val="-4"/>
              </w:rPr>
              <w:t xml:space="preserve"> </w:t>
            </w:r>
            <w:r>
              <w:t>the</w:t>
            </w:r>
            <w:r>
              <w:rPr>
                <w:spacing w:val="-4"/>
              </w:rPr>
              <w:t xml:space="preserve"> </w:t>
            </w:r>
            <w:r>
              <w:rPr>
                <w:spacing w:val="-2"/>
              </w:rPr>
              <w:t>auditor</w:t>
            </w:r>
          </w:p>
          <w:p w14:paraId="0DFDD076" w14:textId="77777777" w:rsidR="00046465" w:rsidRDefault="008134EB">
            <w:pPr>
              <w:pStyle w:val="TableParagraph"/>
              <w:numPr>
                <w:ilvl w:val="1"/>
                <w:numId w:val="48"/>
              </w:numPr>
              <w:tabs>
                <w:tab w:val="left" w:pos="1520"/>
              </w:tabs>
              <w:spacing w:before="120"/>
              <w:ind w:right="164"/>
              <w:rPr>
                <w:rFonts w:ascii="Symbol" w:hAnsi="Symbol"/>
              </w:rPr>
            </w:pPr>
            <w:r>
              <w:t>obtain sufficient appropriate audit evidence regarding material amounts and disclosures in the financial statements that are determined by the provisions of those laws</w:t>
            </w:r>
            <w:r>
              <w:rPr>
                <w:spacing w:val="-5"/>
              </w:rPr>
              <w:t xml:space="preserve"> </w:t>
            </w:r>
            <w:r>
              <w:t>and</w:t>
            </w:r>
            <w:r>
              <w:rPr>
                <w:spacing w:val="-5"/>
              </w:rPr>
              <w:t xml:space="preserve"> </w:t>
            </w:r>
            <w:r>
              <w:t>regulations</w:t>
            </w:r>
            <w:r>
              <w:rPr>
                <w:spacing w:val="-5"/>
              </w:rPr>
              <w:t xml:space="preserve"> </w:t>
            </w:r>
            <w:r>
              <w:t>generally</w:t>
            </w:r>
            <w:r>
              <w:rPr>
                <w:spacing w:val="-5"/>
              </w:rPr>
              <w:t xml:space="preserve"> </w:t>
            </w:r>
            <w:r>
              <w:t>recognized</w:t>
            </w:r>
            <w:r>
              <w:rPr>
                <w:spacing w:val="-5"/>
              </w:rPr>
              <w:t xml:space="preserve"> </w:t>
            </w:r>
            <w:r>
              <w:t>to</w:t>
            </w:r>
            <w:r>
              <w:rPr>
                <w:spacing w:val="-5"/>
              </w:rPr>
              <w:t xml:space="preserve"> </w:t>
            </w:r>
            <w:r>
              <w:t>have</w:t>
            </w:r>
            <w:r>
              <w:rPr>
                <w:spacing w:val="-5"/>
              </w:rPr>
              <w:t xml:space="preserve"> </w:t>
            </w:r>
            <w:r>
              <w:t>a</w:t>
            </w:r>
            <w:r>
              <w:rPr>
                <w:spacing w:val="-5"/>
              </w:rPr>
              <w:t xml:space="preserve"> </w:t>
            </w:r>
            <w:r>
              <w:t>direct effect on their determination?</w:t>
            </w:r>
          </w:p>
          <w:p w14:paraId="0DFDD077" w14:textId="77777777" w:rsidR="00046465" w:rsidRDefault="008134EB">
            <w:pPr>
              <w:pStyle w:val="TableParagraph"/>
              <w:numPr>
                <w:ilvl w:val="1"/>
                <w:numId w:val="48"/>
              </w:numPr>
              <w:tabs>
                <w:tab w:val="left" w:pos="1520"/>
              </w:tabs>
              <w:spacing w:before="118"/>
              <w:ind w:right="301"/>
              <w:rPr>
                <w:rFonts w:ascii="Symbol" w:hAnsi="Symbol"/>
              </w:rPr>
            </w:pPr>
            <w:r>
              <w:t>perform specified audit procedures that may identify instances</w:t>
            </w:r>
            <w:r>
              <w:rPr>
                <w:spacing w:val="-6"/>
              </w:rPr>
              <w:t xml:space="preserve"> </w:t>
            </w:r>
            <w:r>
              <w:t>of</w:t>
            </w:r>
            <w:r>
              <w:rPr>
                <w:spacing w:val="-7"/>
              </w:rPr>
              <w:t xml:space="preserve"> </w:t>
            </w:r>
            <w:r>
              <w:t>noncompliance</w:t>
            </w:r>
            <w:r>
              <w:rPr>
                <w:spacing w:val="-6"/>
              </w:rPr>
              <w:t xml:space="preserve"> </w:t>
            </w:r>
            <w:r>
              <w:t>with</w:t>
            </w:r>
            <w:r>
              <w:rPr>
                <w:spacing w:val="-6"/>
              </w:rPr>
              <w:t xml:space="preserve"> </w:t>
            </w:r>
            <w:r>
              <w:t>provisions</w:t>
            </w:r>
            <w:r>
              <w:rPr>
                <w:spacing w:val="-6"/>
              </w:rPr>
              <w:t xml:space="preserve"> </w:t>
            </w:r>
            <w:r>
              <w:t>of</w:t>
            </w:r>
            <w:r>
              <w:rPr>
                <w:spacing w:val="-6"/>
              </w:rPr>
              <w:t xml:space="preserve"> </w:t>
            </w:r>
            <w:r>
              <w:t>other</w:t>
            </w:r>
            <w:r>
              <w:rPr>
                <w:spacing w:val="-6"/>
              </w:rPr>
              <w:t xml:space="preserve"> </w:t>
            </w:r>
            <w:r>
              <w:t>laws and regulations that may have a material effect on the financial statements?</w:t>
            </w:r>
          </w:p>
          <w:p w14:paraId="0DFDD078" w14:textId="77777777" w:rsidR="00046465" w:rsidRDefault="008134EB">
            <w:pPr>
              <w:pStyle w:val="TableParagraph"/>
              <w:numPr>
                <w:ilvl w:val="1"/>
                <w:numId w:val="48"/>
              </w:numPr>
              <w:tabs>
                <w:tab w:val="left" w:pos="1520"/>
              </w:tabs>
              <w:spacing w:before="118"/>
              <w:ind w:right="531"/>
              <w:jc w:val="both"/>
              <w:rPr>
                <w:rFonts w:ascii="Symbol" w:hAnsi="Symbol"/>
                <w:sz w:val="20"/>
              </w:rPr>
            </w:pPr>
            <w:r>
              <w:t>respond appropriately to noncompliance or suspected noncompliance</w:t>
            </w:r>
            <w:r>
              <w:rPr>
                <w:spacing w:val="-7"/>
              </w:rPr>
              <w:t xml:space="preserve"> </w:t>
            </w:r>
            <w:r>
              <w:t>with</w:t>
            </w:r>
            <w:r>
              <w:rPr>
                <w:spacing w:val="-7"/>
              </w:rPr>
              <w:t xml:space="preserve"> </w:t>
            </w:r>
            <w:r>
              <w:t>provisions</w:t>
            </w:r>
            <w:r>
              <w:rPr>
                <w:spacing w:val="-7"/>
              </w:rPr>
              <w:t xml:space="preserve"> </w:t>
            </w:r>
            <w:r>
              <w:t>of</w:t>
            </w:r>
            <w:r>
              <w:rPr>
                <w:spacing w:val="-7"/>
              </w:rPr>
              <w:t xml:space="preserve"> </w:t>
            </w:r>
            <w:r>
              <w:t>laws</w:t>
            </w:r>
            <w:r>
              <w:rPr>
                <w:spacing w:val="-7"/>
              </w:rPr>
              <w:t xml:space="preserve"> </w:t>
            </w:r>
            <w:r>
              <w:t>and</w:t>
            </w:r>
            <w:r>
              <w:rPr>
                <w:spacing w:val="-7"/>
              </w:rPr>
              <w:t xml:space="preserve"> </w:t>
            </w:r>
            <w:r>
              <w:t>regulations identified during the audit? (AU-C 250)</w:t>
            </w:r>
          </w:p>
        </w:tc>
        <w:tc>
          <w:tcPr>
            <w:tcW w:w="811" w:type="dxa"/>
            <w:tcBorders>
              <w:left w:val="single" w:sz="6" w:space="0" w:color="000000"/>
              <w:bottom w:val="single" w:sz="6" w:space="0" w:color="000000"/>
              <w:right w:val="single" w:sz="6" w:space="0" w:color="000000"/>
            </w:tcBorders>
          </w:tcPr>
          <w:p w14:paraId="0DFDD079" w14:textId="77777777" w:rsidR="00046465" w:rsidRDefault="00046465">
            <w:pPr>
              <w:pStyle w:val="TableParagraph"/>
              <w:rPr>
                <w:rFonts w:ascii="Times New Roman"/>
              </w:rPr>
            </w:pPr>
          </w:p>
        </w:tc>
        <w:tc>
          <w:tcPr>
            <w:tcW w:w="1349" w:type="dxa"/>
            <w:tcBorders>
              <w:left w:val="single" w:sz="6" w:space="0" w:color="000000"/>
              <w:bottom w:val="single" w:sz="6" w:space="0" w:color="000000"/>
            </w:tcBorders>
            <w:shd w:val="clear" w:color="auto" w:fill="BEBEBE"/>
          </w:tcPr>
          <w:p w14:paraId="0DFDD07A" w14:textId="77777777" w:rsidR="00046465" w:rsidRDefault="00046465">
            <w:pPr>
              <w:pStyle w:val="TableParagraph"/>
              <w:rPr>
                <w:rFonts w:ascii="Times New Roman"/>
              </w:rPr>
            </w:pPr>
          </w:p>
        </w:tc>
      </w:tr>
      <w:tr w:rsidR="00046465" w14:paraId="0DFDD07F" w14:textId="77777777">
        <w:trPr>
          <w:trHeight w:val="2010"/>
        </w:trPr>
        <w:tc>
          <w:tcPr>
            <w:tcW w:w="7380" w:type="dxa"/>
            <w:tcBorders>
              <w:top w:val="single" w:sz="6" w:space="0" w:color="000000"/>
              <w:bottom w:val="single" w:sz="6" w:space="0" w:color="000000"/>
              <w:right w:val="single" w:sz="6" w:space="0" w:color="000000"/>
            </w:tcBorders>
          </w:tcPr>
          <w:p w14:paraId="0DFDD07C" w14:textId="77777777" w:rsidR="00046465" w:rsidRDefault="008134EB">
            <w:pPr>
              <w:pStyle w:val="TableParagraph"/>
              <w:spacing w:before="119"/>
              <w:ind w:left="1203" w:right="150" w:hanging="360"/>
            </w:pPr>
            <w:r>
              <w:t>c.</w:t>
            </w:r>
            <w:r>
              <w:rPr>
                <w:spacing w:val="80"/>
              </w:rPr>
              <w:t xml:space="preserve"> </w:t>
            </w:r>
            <w:r>
              <w:t>In</w:t>
            </w:r>
            <w:r>
              <w:rPr>
                <w:spacing w:val="-4"/>
              </w:rPr>
              <w:t xml:space="preserve"> </w:t>
            </w:r>
            <w:r>
              <w:t>addition</w:t>
            </w:r>
            <w:r>
              <w:rPr>
                <w:spacing w:val="-4"/>
              </w:rPr>
              <w:t xml:space="preserve"> </w:t>
            </w:r>
            <w:r>
              <w:t>to</w:t>
            </w:r>
            <w:r>
              <w:rPr>
                <w:spacing w:val="-4"/>
              </w:rPr>
              <w:t xml:space="preserve"> </w:t>
            </w:r>
            <w:r>
              <w:t>the</w:t>
            </w:r>
            <w:r>
              <w:rPr>
                <w:spacing w:val="-4"/>
              </w:rPr>
              <w:t xml:space="preserve"> </w:t>
            </w:r>
            <w:r>
              <w:t>AICPA</w:t>
            </w:r>
            <w:r>
              <w:rPr>
                <w:spacing w:val="-3"/>
              </w:rPr>
              <w:t xml:space="preserve"> </w:t>
            </w:r>
            <w:r>
              <w:t>requirements</w:t>
            </w:r>
            <w:r>
              <w:rPr>
                <w:spacing w:val="-4"/>
              </w:rPr>
              <w:t xml:space="preserve"> </w:t>
            </w:r>
            <w:r>
              <w:t>(AU-C</w:t>
            </w:r>
            <w:r>
              <w:rPr>
                <w:spacing w:val="-5"/>
              </w:rPr>
              <w:t xml:space="preserve"> </w:t>
            </w:r>
            <w:r>
              <w:t>250)</w:t>
            </w:r>
            <w:r>
              <w:rPr>
                <w:spacing w:val="-4"/>
              </w:rPr>
              <w:t xml:space="preserve"> </w:t>
            </w:r>
            <w:r>
              <w:t>concerning fraud and noncompliance with provisions of applicable laws and regulations, when performing a GAGAS financial audit, did the auditor extend the AICPA requirements pertaining to the auditor’s responsibilities for laws and regulations to also apply to consideration of compliance with provisions of contracts or grant agreements? (GAGAS (2018) 6.15)</w:t>
            </w:r>
          </w:p>
        </w:tc>
        <w:tc>
          <w:tcPr>
            <w:tcW w:w="811" w:type="dxa"/>
            <w:tcBorders>
              <w:top w:val="single" w:sz="6" w:space="0" w:color="000000"/>
              <w:left w:val="single" w:sz="6" w:space="0" w:color="000000"/>
              <w:bottom w:val="single" w:sz="6" w:space="0" w:color="000000"/>
              <w:right w:val="single" w:sz="6" w:space="0" w:color="000000"/>
            </w:tcBorders>
          </w:tcPr>
          <w:p w14:paraId="0DFDD07D" w14:textId="77777777" w:rsidR="00046465" w:rsidRDefault="00046465">
            <w:pPr>
              <w:pStyle w:val="TableParagraph"/>
              <w:rPr>
                <w:rFonts w:ascii="Times New Roman"/>
              </w:rPr>
            </w:pPr>
          </w:p>
        </w:tc>
        <w:tc>
          <w:tcPr>
            <w:tcW w:w="1349" w:type="dxa"/>
            <w:tcBorders>
              <w:top w:val="single" w:sz="6" w:space="0" w:color="000000"/>
              <w:left w:val="single" w:sz="6" w:space="0" w:color="000000"/>
              <w:bottom w:val="single" w:sz="6" w:space="0" w:color="000000"/>
            </w:tcBorders>
            <w:shd w:val="clear" w:color="auto" w:fill="BEBEBE"/>
          </w:tcPr>
          <w:p w14:paraId="0DFDD07E" w14:textId="77777777" w:rsidR="00046465" w:rsidRDefault="00046465">
            <w:pPr>
              <w:pStyle w:val="TableParagraph"/>
              <w:rPr>
                <w:rFonts w:ascii="Times New Roman"/>
              </w:rPr>
            </w:pPr>
          </w:p>
        </w:tc>
      </w:tr>
      <w:tr w:rsidR="00046465" w14:paraId="0DFDD083" w14:textId="77777777">
        <w:trPr>
          <w:trHeight w:val="1252"/>
        </w:trPr>
        <w:tc>
          <w:tcPr>
            <w:tcW w:w="7380" w:type="dxa"/>
            <w:tcBorders>
              <w:top w:val="single" w:sz="6" w:space="0" w:color="000000"/>
              <w:bottom w:val="single" w:sz="6" w:space="0" w:color="000000"/>
              <w:right w:val="single" w:sz="6" w:space="0" w:color="000000"/>
            </w:tcBorders>
          </w:tcPr>
          <w:p w14:paraId="0DFDD080" w14:textId="77777777" w:rsidR="00046465" w:rsidRDefault="008134EB">
            <w:pPr>
              <w:pStyle w:val="TableParagraph"/>
              <w:spacing w:before="121"/>
              <w:ind w:left="1203" w:right="150" w:hanging="360"/>
            </w:pPr>
            <w:r>
              <w:t>d.</w:t>
            </w:r>
            <w:r>
              <w:rPr>
                <w:spacing w:val="80"/>
              </w:rPr>
              <w:t xml:space="preserve"> </w:t>
            </w:r>
            <w:r>
              <w:t>Did the auditor obtain sufficient appropriate audit evidence regarding the risks of material misstatement through designing</w:t>
            </w:r>
            <w:r>
              <w:rPr>
                <w:spacing w:val="-7"/>
              </w:rPr>
              <w:t xml:space="preserve"> </w:t>
            </w:r>
            <w:r>
              <w:t>and</w:t>
            </w:r>
            <w:r>
              <w:rPr>
                <w:spacing w:val="-7"/>
              </w:rPr>
              <w:t xml:space="preserve"> </w:t>
            </w:r>
            <w:r>
              <w:t>implementing</w:t>
            </w:r>
            <w:r>
              <w:rPr>
                <w:spacing w:val="-7"/>
              </w:rPr>
              <w:t xml:space="preserve"> </w:t>
            </w:r>
            <w:r>
              <w:t>appropriate</w:t>
            </w:r>
            <w:r>
              <w:rPr>
                <w:spacing w:val="-7"/>
              </w:rPr>
              <w:t xml:space="preserve"> </w:t>
            </w:r>
            <w:r>
              <w:t>responses</w:t>
            </w:r>
            <w:r>
              <w:rPr>
                <w:spacing w:val="-7"/>
              </w:rPr>
              <w:t xml:space="preserve"> </w:t>
            </w:r>
            <w:r>
              <w:t>to</w:t>
            </w:r>
            <w:r>
              <w:rPr>
                <w:spacing w:val="-7"/>
              </w:rPr>
              <w:t xml:space="preserve"> </w:t>
            </w:r>
            <w:r>
              <w:t>those risks? (AU-C 330)</w:t>
            </w:r>
          </w:p>
        </w:tc>
        <w:tc>
          <w:tcPr>
            <w:tcW w:w="811" w:type="dxa"/>
            <w:tcBorders>
              <w:top w:val="single" w:sz="6" w:space="0" w:color="000000"/>
              <w:left w:val="single" w:sz="6" w:space="0" w:color="000000"/>
              <w:bottom w:val="single" w:sz="6" w:space="0" w:color="000000"/>
              <w:right w:val="single" w:sz="6" w:space="0" w:color="000000"/>
            </w:tcBorders>
          </w:tcPr>
          <w:p w14:paraId="0DFDD081" w14:textId="77777777" w:rsidR="00046465" w:rsidRDefault="00046465">
            <w:pPr>
              <w:pStyle w:val="TableParagraph"/>
              <w:rPr>
                <w:rFonts w:ascii="Times New Roman"/>
              </w:rPr>
            </w:pPr>
          </w:p>
        </w:tc>
        <w:tc>
          <w:tcPr>
            <w:tcW w:w="1349" w:type="dxa"/>
            <w:tcBorders>
              <w:top w:val="single" w:sz="6" w:space="0" w:color="000000"/>
              <w:left w:val="single" w:sz="6" w:space="0" w:color="000000"/>
              <w:bottom w:val="single" w:sz="6" w:space="0" w:color="000000"/>
            </w:tcBorders>
            <w:shd w:val="clear" w:color="auto" w:fill="BEBEBE"/>
          </w:tcPr>
          <w:p w14:paraId="0DFDD082" w14:textId="77777777" w:rsidR="00046465" w:rsidRDefault="00046465">
            <w:pPr>
              <w:pStyle w:val="TableParagraph"/>
              <w:rPr>
                <w:rFonts w:ascii="Times New Roman"/>
              </w:rPr>
            </w:pPr>
          </w:p>
        </w:tc>
      </w:tr>
      <w:tr w:rsidR="00046465" w14:paraId="0DFDD087" w14:textId="77777777">
        <w:trPr>
          <w:trHeight w:val="998"/>
        </w:trPr>
        <w:tc>
          <w:tcPr>
            <w:tcW w:w="7380" w:type="dxa"/>
            <w:tcBorders>
              <w:top w:val="single" w:sz="6" w:space="0" w:color="000000"/>
              <w:bottom w:val="single" w:sz="6" w:space="0" w:color="000000"/>
              <w:right w:val="single" w:sz="6" w:space="0" w:color="000000"/>
            </w:tcBorders>
          </w:tcPr>
          <w:p w14:paraId="0DFDD084" w14:textId="77777777" w:rsidR="00046465" w:rsidRDefault="008134EB">
            <w:pPr>
              <w:pStyle w:val="TableParagraph"/>
              <w:spacing w:before="119"/>
              <w:ind w:left="1203" w:right="150" w:hanging="360"/>
            </w:pPr>
            <w:r>
              <w:t>e.</w:t>
            </w:r>
            <w:r>
              <w:rPr>
                <w:spacing w:val="80"/>
              </w:rPr>
              <w:t xml:space="preserve"> </w:t>
            </w:r>
            <w:r>
              <w:t>When</w:t>
            </w:r>
            <w:r>
              <w:rPr>
                <w:spacing w:val="-3"/>
              </w:rPr>
              <w:t xml:space="preserve"> </w:t>
            </w:r>
            <w:r>
              <w:t>the</w:t>
            </w:r>
            <w:r>
              <w:rPr>
                <w:spacing w:val="-3"/>
              </w:rPr>
              <w:t xml:space="preserve"> </w:t>
            </w:r>
            <w:r>
              <w:t>entity</w:t>
            </w:r>
            <w:r>
              <w:rPr>
                <w:spacing w:val="-3"/>
              </w:rPr>
              <w:t xml:space="preserve"> </w:t>
            </w:r>
            <w:r>
              <w:t>used</w:t>
            </w:r>
            <w:r>
              <w:rPr>
                <w:spacing w:val="-3"/>
              </w:rPr>
              <w:t xml:space="preserve"> </w:t>
            </w:r>
            <w:r>
              <w:t>the</w:t>
            </w:r>
            <w:r>
              <w:rPr>
                <w:spacing w:val="-3"/>
              </w:rPr>
              <w:t xml:space="preserve"> </w:t>
            </w:r>
            <w:r>
              <w:t>services</w:t>
            </w:r>
            <w:r>
              <w:rPr>
                <w:spacing w:val="-3"/>
              </w:rPr>
              <w:t xml:space="preserve"> </w:t>
            </w:r>
            <w:r>
              <w:t>of</w:t>
            </w:r>
            <w:r>
              <w:rPr>
                <w:spacing w:val="-3"/>
              </w:rPr>
              <w:t xml:space="preserve"> </w:t>
            </w:r>
            <w:r>
              <w:t>a</w:t>
            </w:r>
            <w:r>
              <w:rPr>
                <w:spacing w:val="-3"/>
              </w:rPr>
              <w:t xml:space="preserve"> </w:t>
            </w:r>
            <w:r>
              <w:t>service</w:t>
            </w:r>
            <w:r>
              <w:rPr>
                <w:spacing w:val="-3"/>
              </w:rPr>
              <w:t xml:space="preserve"> </w:t>
            </w:r>
            <w:r>
              <w:t>organization, did the auditor design and perform audit procedures responsive to those risks? (AU-C 402)</w:t>
            </w:r>
          </w:p>
        </w:tc>
        <w:tc>
          <w:tcPr>
            <w:tcW w:w="811" w:type="dxa"/>
            <w:tcBorders>
              <w:top w:val="single" w:sz="6" w:space="0" w:color="000000"/>
              <w:left w:val="single" w:sz="6" w:space="0" w:color="000000"/>
              <w:bottom w:val="single" w:sz="6" w:space="0" w:color="000000"/>
              <w:right w:val="single" w:sz="6" w:space="0" w:color="000000"/>
            </w:tcBorders>
          </w:tcPr>
          <w:p w14:paraId="0DFDD085" w14:textId="77777777" w:rsidR="00046465" w:rsidRDefault="00046465">
            <w:pPr>
              <w:pStyle w:val="TableParagraph"/>
              <w:rPr>
                <w:rFonts w:ascii="Times New Roman"/>
              </w:rPr>
            </w:pPr>
          </w:p>
        </w:tc>
        <w:tc>
          <w:tcPr>
            <w:tcW w:w="1349" w:type="dxa"/>
            <w:tcBorders>
              <w:top w:val="single" w:sz="6" w:space="0" w:color="000000"/>
              <w:left w:val="single" w:sz="6" w:space="0" w:color="000000"/>
              <w:bottom w:val="single" w:sz="6" w:space="0" w:color="000000"/>
            </w:tcBorders>
            <w:shd w:val="clear" w:color="auto" w:fill="BEBEBE"/>
          </w:tcPr>
          <w:p w14:paraId="0DFDD086" w14:textId="77777777" w:rsidR="00046465" w:rsidRDefault="00046465">
            <w:pPr>
              <w:pStyle w:val="TableParagraph"/>
              <w:rPr>
                <w:rFonts w:ascii="Times New Roman"/>
              </w:rPr>
            </w:pPr>
          </w:p>
        </w:tc>
      </w:tr>
      <w:tr w:rsidR="00046465" w14:paraId="0DFDD08B" w14:textId="77777777">
        <w:trPr>
          <w:trHeight w:val="1252"/>
        </w:trPr>
        <w:tc>
          <w:tcPr>
            <w:tcW w:w="7380" w:type="dxa"/>
            <w:tcBorders>
              <w:top w:val="single" w:sz="6" w:space="0" w:color="000000"/>
              <w:bottom w:val="single" w:sz="6" w:space="0" w:color="000000"/>
              <w:right w:val="single" w:sz="6" w:space="0" w:color="000000"/>
            </w:tcBorders>
          </w:tcPr>
          <w:p w14:paraId="0DFDD088" w14:textId="77777777" w:rsidR="00046465" w:rsidRDefault="008134EB">
            <w:pPr>
              <w:pStyle w:val="TableParagraph"/>
              <w:tabs>
                <w:tab w:val="left" w:pos="1203"/>
              </w:tabs>
              <w:spacing w:before="119"/>
              <w:ind w:left="1204" w:right="347" w:hanging="361"/>
            </w:pPr>
            <w:r>
              <w:rPr>
                <w:spacing w:val="-6"/>
              </w:rPr>
              <w:t>f.</w:t>
            </w:r>
            <w:r>
              <w:tab/>
              <w:t>Did the auditor evaluate the effect of (a) identified misstatements on the audit and (b) uncorrected misstatements,</w:t>
            </w:r>
            <w:r>
              <w:rPr>
                <w:spacing w:val="-6"/>
              </w:rPr>
              <w:t xml:space="preserve"> </w:t>
            </w:r>
            <w:r>
              <w:t>if</w:t>
            </w:r>
            <w:r>
              <w:rPr>
                <w:spacing w:val="-6"/>
              </w:rPr>
              <w:t xml:space="preserve"> </w:t>
            </w:r>
            <w:r>
              <w:t>any,</w:t>
            </w:r>
            <w:r>
              <w:rPr>
                <w:spacing w:val="-7"/>
              </w:rPr>
              <w:t xml:space="preserve"> </w:t>
            </w:r>
            <w:r>
              <w:t>on</w:t>
            </w:r>
            <w:r>
              <w:rPr>
                <w:spacing w:val="-6"/>
              </w:rPr>
              <w:t xml:space="preserve"> </w:t>
            </w:r>
            <w:r>
              <w:t>the</w:t>
            </w:r>
            <w:r>
              <w:rPr>
                <w:spacing w:val="-6"/>
              </w:rPr>
              <w:t xml:space="preserve"> </w:t>
            </w:r>
            <w:r>
              <w:t>financial</w:t>
            </w:r>
            <w:r>
              <w:rPr>
                <w:spacing w:val="-6"/>
              </w:rPr>
              <w:t xml:space="preserve"> </w:t>
            </w:r>
            <w:r>
              <w:t>statements,</w:t>
            </w:r>
            <w:r>
              <w:rPr>
                <w:spacing w:val="-6"/>
              </w:rPr>
              <w:t xml:space="preserve"> </w:t>
            </w:r>
            <w:r>
              <w:t>including note disclosures? (AU-C 450.03a and .03b)</w:t>
            </w:r>
          </w:p>
        </w:tc>
        <w:tc>
          <w:tcPr>
            <w:tcW w:w="811" w:type="dxa"/>
            <w:tcBorders>
              <w:top w:val="single" w:sz="6" w:space="0" w:color="000000"/>
              <w:left w:val="single" w:sz="6" w:space="0" w:color="000000"/>
              <w:bottom w:val="single" w:sz="6" w:space="0" w:color="000000"/>
              <w:right w:val="single" w:sz="6" w:space="0" w:color="000000"/>
            </w:tcBorders>
          </w:tcPr>
          <w:p w14:paraId="0DFDD089" w14:textId="77777777" w:rsidR="00046465" w:rsidRDefault="00046465">
            <w:pPr>
              <w:pStyle w:val="TableParagraph"/>
              <w:rPr>
                <w:rFonts w:ascii="Times New Roman"/>
              </w:rPr>
            </w:pPr>
          </w:p>
        </w:tc>
        <w:tc>
          <w:tcPr>
            <w:tcW w:w="1349" w:type="dxa"/>
            <w:tcBorders>
              <w:top w:val="single" w:sz="6" w:space="0" w:color="000000"/>
              <w:left w:val="single" w:sz="6" w:space="0" w:color="000000"/>
              <w:bottom w:val="single" w:sz="6" w:space="0" w:color="000000"/>
            </w:tcBorders>
            <w:shd w:val="clear" w:color="auto" w:fill="BEBEBE"/>
          </w:tcPr>
          <w:p w14:paraId="0DFDD08A" w14:textId="77777777" w:rsidR="00046465" w:rsidRDefault="00046465">
            <w:pPr>
              <w:pStyle w:val="TableParagraph"/>
              <w:rPr>
                <w:rFonts w:ascii="Times New Roman"/>
              </w:rPr>
            </w:pPr>
          </w:p>
        </w:tc>
      </w:tr>
      <w:tr w:rsidR="00046465" w14:paraId="0DFDD08F" w14:textId="77777777">
        <w:trPr>
          <w:trHeight w:val="1252"/>
        </w:trPr>
        <w:tc>
          <w:tcPr>
            <w:tcW w:w="7380" w:type="dxa"/>
            <w:tcBorders>
              <w:top w:val="single" w:sz="6" w:space="0" w:color="000000"/>
              <w:bottom w:val="single" w:sz="6" w:space="0" w:color="000000"/>
              <w:right w:val="single" w:sz="6" w:space="0" w:color="000000"/>
            </w:tcBorders>
          </w:tcPr>
          <w:p w14:paraId="0DFDD08C" w14:textId="77777777" w:rsidR="00046465" w:rsidRDefault="008134EB">
            <w:pPr>
              <w:pStyle w:val="TableParagraph"/>
              <w:spacing w:before="119"/>
              <w:ind w:left="1203" w:right="150" w:hanging="360"/>
            </w:pPr>
            <w:r>
              <w:t>g.</w:t>
            </w:r>
            <w:r>
              <w:rPr>
                <w:spacing w:val="80"/>
              </w:rPr>
              <w:t xml:space="preserve"> </w:t>
            </w:r>
            <w:r>
              <w:t>Did the auditor design and perform audit procedures that enable the auditor to obtain sufficient appropriate audit evidence</w:t>
            </w:r>
            <w:r>
              <w:rPr>
                <w:spacing w:val="-5"/>
              </w:rPr>
              <w:t xml:space="preserve"> </w:t>
            </w:r>
            <w:r>
              <w:t>to</w:t>
            </w:r>
            <w:r>
              <w:rPr>
                <w:spacing w:val="-6"/>
              </w:rPr>
              <w:t xml:space="preserve"> </w:t>
            </w:r>
            <w:r>
              <w:t>be</w:t>
            </w:r>
            <w:r>
              <w:rPr>
                <w:spacing w:val="-5"/>
              </w:rPr>
              <w:t xml:space="preserve"> </w:t>
            </w:r>
            <w:r>
              <w:t>able</w:t>
            </w:r>
            <w:r>
              <w:rPr>
                <w:spacing w:val="-5"/>
              </w:rPr>
              <w:t xml:space="preserve"> </w:t>
            </w:r>
            <w:r>
              <w:t>to</w:t>
            </w:r>
            <w:r>
              <w:rPr>
                <w:spacing w:val="-5"/>
              </w:rPr>
              <w:t xml:space="preserve"> </w:t>
            </w:r>
            <w:r>
              <w:t>draw</w:t>
            </w:r>
            <w:r>
              <w:rPr>
                <w:spacing w:val="-6"/>
              </w:rPr>
              <w:t xml:space="preserve"> </w:t>
            </w:r>
            <w:r>
              <w:t>reasonable</w:t>
            </w:r>
            <w:r>
              <w:rPr>
                <w:spacing w:val="-5"/>
              </w:rPr>
              <w:t xml:space="preserve"> </w:t>
            </w:r>
            <w:r>
              <w:t>conclusions</w:t>
            </w:r>
            <w:r>
              <w:rPr>
                <w:spacing w:val="-5"/>
              </w:rPr>
              <w:t xml:space="preserve"> </w:t>
            </w:r>
            <w:r>
              <w:t>on</w:t>
            </w:r>
            <w:r>
              <w:rPr>
                <w:spacing w:val="-5"/>
              </w:rPr>
              <w:t xml:space="preserve"> </w:t>
            </w:r>
            <w:r>
              <w:t>which to base the auditor’s opinion? (AU-C 500)</w:t>
            </w:r>
          </w:p>
        </w:tc>
        <w:tc>
          <w:tcPr>
            <w:tcW w:w="811" w:type="dxa"/>
            <w:tcBorders>
              <w:top w:val="single" w:sz="6" w:space="0" w:color="000000"/>
              <w:left w:val="single" w:sz="6" w:space="0" w:color="000000"/>
              <w:bottom w:val="single" w:sz="6" w:space="0" w:color="000000"/>
              <w:right w:val="single" w:sz="6" w:space="0" w:color="000000"/>
            </w:tcBorders>
          </w:tcPr>
          <w:p w14:paraId="0DFDD08D" w14:textId="77777777" w:rsidR="00046465" w:rsidRDefault="00046465">
            <w:pPr>
              <w:pStyle w:val="TableParagraph"/>
              <w:rPr>
                <w:rFonts w:ascii="Times New Roman"/>
              </w:rPr>
            </w:pPr>
          </w:p>
        </w:tc>
        <w:tc>
          <w:tcPr>
            <w:tcW w:w="1349" w:type="dxa"/>
            <w:tcBorders>
              <w:top w:val="single" w:sz="6" w:space="0" w:color="000000"/>
              <w:left w:val="single" w:sz="6" w:space="0" w:color="000000"/>
              <w:bottom w:val="single" w:sz="6" w:space="0" w:color="000000"/>
            </w:tcBorders>
            <w:shd w:val="clear" w:color="auto" w:fill="BEBEBE"/>
          </w:tcPr>
          <w:p w14:paraId="0DFDD08E" w14:textId="77777777" w:rsidR="00046465" w:rsidRDefault="00046465">
            <w:pPr>
              <w:pStyle w:val="TableParagraph"/>
              <w:rPr>
                <w:rFonts w:ascii="Times New Roman"/>
              </w:rPr>
            </w:pPr>
          </w:p>
        </w:tc>
      </w:tr>
    </w:tbl>
    <w:p w14:paraId="0DFDD090"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091" w14:textId="77777777" w:rsidR="00046465" w:rsidRDefault="00046465">
      <w:pPr>
        <w:pStyle w:val="BodyText"/>
        <w:spacing w:before="9"/>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D098" w14:textId="77777777">
        <w:trPr>
          <w:trHeight w:val="936"/>
        </w:trPr>
        <w:tc>
          <w:tcPr>
            <w:tcW w:w="7380" w:type="dxa"/>
            <w:tcBorders>
              <w:right w:val="single" w:sz="8" w:space="0" w:color="000000"/>
            </w:tcBorders>
            <w:shd w:val="clear" w:color="auto" w:fill="A6A6A6"/>
          </w:tcPr>
          <w:p w14:paraId="0DFDD092" w14:textId="77777777" w:rsidR="00046465" w:rsidRDefault="00046465">
            <w:pPr>
              <w:pStyle w:val="TableParagraph"/>
              <w:spacing w:before="266"/>
              <w:rPr>
                <w:b/>
                <w:sz w:val="24"/>
              </w:rPr>
            </w:pPr>
          </w:p>
          <w:p w14:paraId="0DFDD093"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D094"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D095" w14:textId="77777777" w:rsidR="00046465" w:rsidRDefault="00046465">
            <w:pPr>
              <w:pStyle w:val="TableParagraph"/>
              <w:rPr>
                <w:b/>
              </w:rPr>
            </w:pPr>
          </w:p>
          <w:p w14:paraId="0DFDD096" w14:textId="77777777" w:rsidR="00046465" w:rsidRDefault="00046465">
            <w:pPr>
              <w:pStyle w:val="TableParagraph"/>
              <w:spacing w:before="120"/>
              <w:rPr>
                <w:b/>
              </w:rPr>
            </w:pPr>
          </w:p>
          <w:p w14:paraId="0DFDD097"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0A1" w14:textId="77777777">
        <w:trPr>
          <w:trHeight w:val="3737"/>
        </w:trPr>
        <w:tc>
          <w:tcPr>
            <w:tcW w:w="7380" w:type="dxa"/>
            <w:tcBorders>
              <w:bottom w:val="single" w:sz="6" w:space="0" w:color="000000"/>
              <w:right w:val="single" w:sz="6" w:space="0" w:color="000000"/>
            </w:tcBorders>
          </w:tcPr>
          <w:p w14:paraId="0DFDD099" w14:textId="77777777" w:rsidR="00046465" w:rsidRDefault="008134EB">
            <w:pPr>
              <w:pStyle w:val="TableParagraph"/>
              <w:numPr>
                <w:ilvl w:val="0"/>
                <w:numId w:val="47"/>
              </w:numPr>
              <w:tabs>
                <w:tab w:val="left" w:pos="1203"/>
              </w:tabs>
              <w:spacing w:before="121"/>
              <w:ind w:right="984"/>
            </w:pPr>
            <w:r>
              <w:t>Did</w:t>
            </w:r>
            <w:r>
              <w:rPr>
                <w:spacing w:val="-6"/>
              </w:rPr>
              <w:t xml:space="preserve"> </w:t>
            </w:r>
            <w:r>
              <w:t>the</w:t>
            </w:r>
            <w:r>
              <w:rPr>
                <w:spacing w:val="-6"/>
              </w:rPr>
              <w:t xml:space="preserve"> </w:t>
            </w:r>
            <w:r>
              <w:t>auditor</w:t>
            </w:r>
            <w:r>
              <w:rPr>
                <w:spacing w:val="-6"/>
              </w:rPr>
              <w:t xml:space="preserve"> </w:t>
            </w:r>
            <w:r>
              <w:t>obtain</w:t>
            </w:r>
            <w:r>
              <w:rPr>
                <w:spacing w:val="-6"/>
              </w:rPr>
              <w:t xml:space="preserve"> </w:t>
            </w:r>
            <w:r>
              <w:t>sufficient</w:t>
            </w:r>
            <w:r>
              <w:rPr>
                <w:spacing w:val="-6"/>
              </w:rPr>
              <w:t xml:space="preserve"> </w:t>
            </w:r>
            <w:r>
              <w:t>and</w:t>
            </w:r>
            <w:r>
              <w:rPr>
                <w:spacing w:val="-7"/>
              </w:rPr>
              <w:t xml:space="preserve"> </w:t>
            </w:r>
            <w:r>
              <w:t>appropriate</w:t>
            </w:r>
            <w:r>
              <w:rPr>
                <w:spacing w:val="-7"/>
              </w:rPr>
              <w:t xml:space="preserve"> </w:t>
            </w:r>
            <w:r>
              <w:t>audit evidence regarding the</w:t>
            </w:r>
          </w:p>
          <w:p w14:paraId="0DFDD09A" w14:textId="77777777" w:rsidR="00046465" w:rsidRDefault="008134EB">
            <w:pPr>
              <w:pStyle w:val="TableParagraph"/>
              <w:numPr>
                <w:ilvl w:val="1"/>
                <w:numId w:val="47"/>
              </w:numPr>
              <w:tabs>
                <w:tab w:val="left" w:pos="1520"/>
              </w:tabs>
              <w:spacing w:before="119"/>
              <w:ind w:right="813"/>
              <w:rPr>
                <w:rFonts w:ascii="Symbol" w:hAnsi="Symbol"/>
              </w:rPr>
            </w:pPr>
            <w:r>
              <w:t>valuation</w:t>
            </w:r>
            <w:r>
              <w:rPr>
                <w:spacing w:val="-6"/>
              </w:rPr>
              <w:t xml:space="preserve"> </w:t>
            </w:r>
            <w:r>
              <w:t>of</w:t>
            </w:r>
            <w:r>
              <w:rPr>
                <w:spacing w:val="-7"/>
              </w:rPr>
              <w:t xml:space="preserve"> </w:t>
            </w:r>
            <w:r>
              <w:t>investments</w:t>
            </w:r>
            <w:r>
              <w:rPr>
                <w:spacing w:val="-7"/>
              </w:rPr>
              <w:t xml:space="preserve"> </w:t>
            </w:r>
            <w:r>
              <w:t>in</w:t>
            </w:r>
            <w:r>
              <w:rPr>
                <w:spacing w:val="-6"/>
              </w:rPr>
              <w:t xml:space="preserve"> </w:t>
            </w:r>
            <w:r>
              <w:t>securities</w:t>
            </w:r>
            <w:r>
              <w:rPr>
                <w:spacing w:val="-7"/>
              </w:rPr>
              <w:t xml:space="preserve"> </w:t>
            </w:r>
            <w:r>
              <w:t>and</w:t>
            </w:r>
            <w:r>
              <w:rPr>
                <w:spacing w:val="-6"/>
              </w:rPr>
              <w:t xml:space="preserve"> </w:t>
            </w:r>
            <w:r>
              <w:t xml:space="preserve">derivative </w:t>
            </w:r>
            <w:r>
              <w:rPr>
                <w:spacing w:val="-2"/>
              </w:rPr>
              <w:t>instruments;</w:t>
            </w:r>
          </w:p>
          <w:p w14:paraId="0DFDD09B" w14:textId="77777777" w:rsidR="00046465" w:rsidRDefault="008134EB">
            <w:pPr>
              <w:pStyle w:val="TableParagraph"/>
              <w:numPr>
                <w:ilvl w:val="1"/>
                <w:numId w:val="47"/>
              </w:numPr>
              <w:tabs>
                <w:tab w:val="left" w:pos="1520"/>
              </w:tabs>
              <w:spacing w:before="118"/>
              <w:ind w:hanging="273"/>
              <w:rPr>
                <w:rFonts w:ascii="Symbol" w:hAnsi="Symbol"/>
              </w:rPr>
            </w:pPr>
            <w:r>
              <w:t>existence</w:t>
            </w:r>
            <w:r>
              <w:rPr>
                <w:spacing w:val="-7"/>
              </w:rPr>
              <w:t xml:space="preserve"> </w:t>
            </w:r>
            <w:r>
              <w:t>and</w:t>
            </w:r>
            <w:r>
              <w:rPr>
                <w:spacing w:val="-6"/>
              </w:rPr>
              <w:t xml:space="preserve"> </w:t>
            </w:r>
            <w:r>
              <w:t>condition</w:t>
            </w:r>
            <w:r>
              <w:rPr>
                <w:spacing w:val="-8"/>
              </w:rPr>
              <w:t xml:space="preserve"> </w:t>
            </w:r>
            <w:r>
              <w:t>of</w:t>
            </w:r>
            <w:r>
              <w:rPr>
                <w:spacing w:val="-6"/>
              </w:rPr>
              <w:t xml:space="preserve"> </w:t>
            </w:r>
            <w:r>
              <w:rPr>
                <w:spacing w:val="-2"/>
              </w:rPr>
              <w:t>inventory;</w:t>
            </w:r>
          </w:p>
          <w:p w14:paraId="0DFDD09C" w14:textId="77777777" w:rsidR="00046465" w:rsidRDefault="008134EB">
            <w:pPr>
              <w:pStyle w:val="TableParagraph"/>
              <w:numPr>
                <w:ilvl w:val="1"/>
                <w:numId w:val="47"/>
              </w:numPr>
              <w:tabs>
                <w:tab w:val="left" w:pos="1520"/>
              </w:tabs>
              <w:spacing w:before="120"/>
              <w:ind w:right="777"/>
              <w:rPr>
                <w:rFonts w:ascii="Symbol" w:hAnsi="Symbol"/>
              </w:rPr>
            </w:pPr>
            <w:r>
              <w:t>completeness</w:t>
            </w:r>
            <w:r>
              <w:rPr>
                <w:spacing w:val="-8"/>
              </w:rPr>
              <w:t xml:space="preserve"> </w:t>
            </w:r>
            <w:r>
              <w:t>of</w:t>
            </w:r>
            <w:r>
              <w:rPr>
                <w:spacing w:val="-8"/>
              </w:rPr>
              <w:t xml:space="preserve"> </w:t>
            </w:r>
            <w:r>
              <w:t>litigation,</w:t>
            </w:r>
            <w:r>
              <w:rPr>
                <w:spacing w:val="-8"/>
              </w:rPr>
              <w:t xml:space="preserve"> </w:t>
            </w:r>
            <w:r>
              <w:t>claims,</w:t>
            </w:r>
            <w:r>
              <w:rPr>
                <w:spacing w:val="-8"/>
              </w:rPr>
              <w:t xml:space="preserve"> </w:t>
            </w:r>
            <w:r>
              <w:t>and</w:t>
            </w:r>
            <w:r>
              <w:rPr>
                <w:spacing w:val="-8"/>
              </w:rPr>
              <w:t xml:space="preserve"> </w:t>
            </w:r>
            <w:r>
              <w:t>assessments involving the entity;</w:t>
            </w:r>
          </w:p>
          <w:p w14:paraId="0DFDD09D" w14:textId="77777777" w:rsidR="00046465" w:rsidRDefault="008134EB">
            <w:pPr>
              <w:pStyle w:val="TableParagraph"/>
              <w:numPr>
                <w:ilvl w:val="1"/>
                <w:numId w:val="47"/>
              </w:numPr>
              <w:tabs>
                <w:tab w:val="left" w:pos="1520"/>
              </w:tabs>
              <w:spacing w:before="119" w:line="237" w:lineRule="auto"/>
              <w:ind w:right="544"/>
              <w:rPr>
                <w:rFonts w:ascii="Symbol" w:hAnsi="Symbol"/>
                <w:sz w:val="24"/>
              </w:rPr>
            </w:pPr>
            <w:r>
              <w:t>presentation</w:t>
            </w:r>
            <w:r>
              <w:rPr>
                <w:spacing w:val="-7"/>
              </w:rPr>
              <w:t xml:space="preserve"> </w:t>
            </w:r>
            <w:r>
              <w:t>and</w:t>
            </w:r>
            <w:r>
              <w:rPr>
                <w:spacing w:val="-7"/>
              </w:rPr>
              <w:t xml:space="preserve"> </w:t>
            </w:r>
            <w:r>
              <w:t>disclosure</w:t>
            </w:r>
            <w:r>
              <w:rPr>
                <w:spacing w:val="-7"/>
              </w:rPr>
              <w:t xml:space="preserve"> </w:t>
            </w:r>
            <w:r>
              <w:t>of</w:t>
            </w:r>
            <w:r>
              <w:rPr>
                <w:spacing w:val="-7"/>
              </w:rPr>
              <w:t xml:space="preserve"> </w:t>
            </w:r>
            <w:r>
              <w:t>segment</w:t>
            </w:r>
            <w:r>
              <w:rPr>
                <w:spacing w:val="-7"/>
              </w:rPr>
              <w:t xml:space="preserve"> </w:t>
            </w:r>
            <w:r>
              <w:t>information,</w:t>
            </w:r>
            <w:r>
              <w:rPr>
                <w:spacing w:val="-7"/>
              </w:rPr>
              <w:t xml:space="preserve"> </w:t>
            </w:r>
            <w:r>
              <w:t>in accordance with the applicable financial reporting framework (generally U.S. GAAP); and</w:t>
            </w:r>
          </w:p>
          <w:p w14:paraId="0DFDD09E" w14:textId="77777777" w:rsidR="00046465" w:rsidRDefault="008134EB">
            <w:pPr>
              <w:pStyle w:val="TableParagraph"/>
              <w:numPr>
                <w:ilvl w:val="1"/>
                <w:numId w:val="47"/>
              </w:numPr>
              <w:tabs>
                <w:tab w:val="left" w:pos="1520"/>
              </w:tabs>
              <w:spacing w:before="120"/>
              <w:ind w:hanging="273"/>
              <w:rPr>
                <w:rFonts w:ascii="Symbol" w:hAnsi="Symbol"/>
                <w:sz w:val="24"/>
              </w:rPr>
            </w:pPr>
            <w:r>
              <w:t>work</w:t>
            </w:r>
            <w:r>
              <w:rPr>
                <w:spacing w:val="-10"/>
              </w:rPr>
              <w:t xml:space="preserve"> </w:t>
            </w:r>
            <w:r>
              <w:t>of</w:t>
            </w:r>
            <w:r>
              <w:rPr>
                <w:spacing w:val="-9"/>
              </w:rPr>
              <w:t xml:space="preserve"> </w:t>
            </w:r>
            <w:r>
              <w:t>management’s</w:t>
            </w:r>
            <w:r>
              <w:rPr>
                <w:spacing w:val="-9"/>
              </w:rPr>
              <w:t xml:space="preserve"> </w:t>
            </w:r>
            <w:r>
              <w:t>specialists?</w:t>
            </w:r>
            <w:r>
              <w:rPr>
                <w:spacing w:val="-10"/>
              </w:rPr>
              <w:t xml:space="preserve"> </w:t>
            </w:r>
            <w:r>
              <w:t>(AU-C</w:t>
            </w:r>
            <w:r>
              <w:rPr>
                <w:spacing w:val="-10"/>
              </w:rPr>
              <w:t xml:space="preserve"> </w:t>
            </w:r>
            <w:r>
              <w:rPr>
                <w:spacing w:val="-4"/>
              </w:rPr>
              <w:t>501)</w:t>
            </w:r>
          </w:p>
        </w:tc>
        <w:tc>
          <w:tcPr>
            <w:tcW w:w="811" w:type="dxa"/>
            <w:tcBorders>
              <w:left w:val="single" w:sz="6" w:space="0" w:color="000000"/>
              <w:bottom w:val="single" w:sz="6" w:space="0" w:color="000000"/>
              <w:right w:val="single" w:sz="6" w:space="0" w:color="000000"/>
            </w:tcBorders>
          </w:tcPr>
          <w:p w14:paraId="0DFDD09F" w14:textId="77777777" w:rsidR="00046465" w:rsidRDefault="00046465">
            <w:pPr>
              <w:pStyle w:val="TableParagraph"/>
              <w:rPr>
                <w:rFonts w:ascii="Times New Roman"/>
              </w:rPr>
            </w:pPr>
          </w:p>
        </w:tc>
        <w:tc>
          <w:tcPr>
            <w:tcW w:w="1349" w:type="dxa"/>
            <w:tcBorders>
              <w:left w:val="single" w:sz="6" w:space="0" w:color="000000"/>
              <w:bottom w:val="single" w:sz="6" w:space="0" w:color="000000"/>
            </w:tcBorders>
            <w:shd w:val="clear" w:color="auto" w:fill="BEBEBE"/>
          </w:tcPr>
          <w:p w14:paraId="0DFDD0A0" w14:textId="77777777" w:rsidR="00046465" w:rsidRDefault="00046465">
            <w:pPr>
              <w:pStyle w:val="TableParagraph"/>
              <w:rPr>
                <w:rFonts w:ascii="Times New Roman"/>
              </w:rPr>
            </w:pPr>
          </w:p>
        </w:tc>
      </w:tr>
      <w:tr w:rsidR="00046465" w14:paraId="0DFDD0A5" w14:textId="77777777">
        <w:trPr>
          <w:trHeight w:val="998"/>
        </w:trPr>
        <w:tc>
          <w:tcPr>
            <w:tcW w:w="7380" w:type="dxa"/>
            <w:tcBorders>
              <w:top w:val="single" w:sz="6" w:space="0" w:color="000000"/>
              <w:bottom w:val="single" w:sz="6" w:space="0" w:color="000000"/>
              <w:right w:val="single" w:sz="6" w:space="0" w:color="000000"/>
            </w:tcBorders>
          </w:tcPr>
          <w:p w14:paraId="0DFDD0A2" w14:textId="77777777" w:rsidR="00046465" w:rsidRDefault="008134EB">
            <w:pPr>
              <w:pStyle w:val="TableParagraph"/>
              <w:tabs>
                <w:tab w:val="left" w:pos="1203"/>
              </w:tabs>
              <w:spacing w:before="119"/>
              <w:ind w:left="1204" w:right="151" w:hanging="361"/>
            </w:pPr>
            <w:r>
              <w:rPr>
                <w:spacing w:val="-6"/>
              </w:rPr>
              <w:t>i.</w:t>
            </w:r>
            <w:r>
              <w:tab/>
              <w:t>Did</w:t>
            </w:r>
            <w:r>
              <w:rPr>
                <w:spacing w:val="-6"/>
              </w:rPr>
              <w:t xml:space="preserve"> </w:t>
            </w:r>
            <w:r>
              <w:t>the</w:t>
            </w:r>
            <w:r>
              <w:rPr>
                <w:spacing w:val="-6"/>
              </w:rPr>
              <w:t xml:space="preserve"> </w:t>
            </w:r>
            <w:r>
              <w:t>auditor,</w:t>
            </w:r>
            <w:r>
              <w:rPr>
                <w:spacing w:val="-6"/>
              </w:rPr>
              <w:t xml:space="preserve"> </w:t>
            </w:r>
            <w:r>
              <w:t>when</w:t>
            </w:r>
            <w:r>
              <w:rPr>
                <w:spacing w:val="-6"/>
              </w:rPr>
              <w:t xml:space="preserve"> </w:t>
            </w:r>
            <w:r>
              <w:t>using</w:t>
            </w:r>
            <w:r>
              <w:rPr>
                <w:spacing w:val="-6"/>
              </w:rPr>
              <w:t xml:space="preserve"> </w:t>
            </w:r>
            <w:r>
              <w:t>external</w:t>
            </w:r>
            <w:r>
              <w:rPr>
                <w:spacing w:val="-6"/>
              </w:rPr>
              <w:t xml:space="preserve"> </w:t>
            </w:r>
            <w:r>
              <w:t>confirmation</w:t>
            </w:r>
            <w:r>
              <w:rPr>
                <w:spacing w:val="-6"/>
              </w:rPr>
              <w:t xml:space="preserve"> </w:t>
            </w:r>
            <w:r>
              <w:t>procedures, design and perform such procedures to obtain relevant and reliable audit evidence?</w:t>
            </w:r>
          </w:p>
        </w:tc>
        <w:tc>
          <w:tcPr>
            <w:tcW w:w="811" w:type="dxa"/>
            <w:tcBorders>
              <w:top w:val="single" w:sz="6" w:space="0" w:color="000000"/>
              <w:left w:val="single" w:sz="6" w:space="0" w:color="000000"/>
              <w:bottom w:val="single" w:sz="6" w:space="0" w:color="000000"/>
              <w:right w:val="single" w:sz="6" w:space="0" w:color="000000"/>
            </w:tcBorders>
          </w:tcPr>
          <w:p w14:paraId="0DFDD0A3" w14:textId="77777777" w:rsidR="00046465" w:rsidRDefault="00046465">
            <w:pPr>
              <w:pStyle w:val="TableParagraph"/>
              <w:rPr>
                <w:rFonts w:ascii="Times New Roman"/>
              </w:rPr>
            </w:pPr>
          </w:p>
        </w:tc>
        <w:tc>
          <w:tcPr>
            <w:tcW w:w="1349" w:type="dxa"/>
            <w:tcBorders>
              <w:top w:val="single" w:sz="6" w:space="0" w:color="000000"/>
              <w:left w:val="single" w:sz="6" w:space="0" w:color="000000"/>
              <w:bottom w:val="single" w:sz="6" w:space="0" w:color="000000"/>
            </w:tcBorders>
            <w:shd w:val="clear" w:color="auto" w:fill="BEBEBE"/>
          </w:tcPr>
          <w:p w14:paraId="0DFDD0A4" w14:textId="77777777" w:rsidR="00046465" w:rsidRDefault="00046465">
            <w:pPr>
              <w:pStyle w:val="TableParagraph"/>
              <w:rPr>
                <w:rFonts w:ascii="Times New Roman"/>
              </w:rPr>
            </w:pPr>
          </w:p>
        </w:tc>
      </w:tr>
      <w:tr w:rsidR="00046465" w14:paraId="0DFDD0AB" w14:textId="77777777">
        <w:trPr>
          <w:trHeight w:val="4071"/>
        </w:trPr>
        <w:tc>
          <w:tcPr>
            <w:tcW w:w="7380" w:type="dxa"/>
            <w:tcBorders>
              <w:top w:val="single" w:sz="6" w:space="0" w:color="000000"/>
              <w:bottom w:val="single" w:sz="6" w:space="0" w:color="000000"/>
              <w:right w:val="single" w:sz="6" w:space="0" w:color="000000"/>
            </w:tcBorders>
          </w:tcPr>
          <w:p w14:paraId="0DFDD0A6" w14:textId="77777777" w:rsidR="00046465" w:rsidRDefault="008134EB">
            <w:pPr>
              <w:pStyle w:val="TableParagraph"/>
              <w:numPr>
                <w:ilvl w:val="0"/>
                <w:numId w:val="46"/>
              </w:numPr>
              <w:tabs>
                <w:tab w:val="left" w:pos="1204"/>
              </w:tabs>
              <w:spacing w:before="119"/>
              <w:ind w:right="163"/>
            </w:pPr>
            <w:r>
              <w:t>Did the auditor, in conducting an initial audit engagement, including a reaudit engagement (an initial audit engagement to audit financial statements that have been previously audited by a predecessor auditor), obtain sufficient appropriate</w:t>
            </w:r>
            <w:r>
              <w:rPr>
                <w:spacing w:val="-7"/>
              </w:rPr>
              <w:t xml:space="preserve"> </w:t>
            </w:r>
            <w:r>
              <w:t>audit</w:t>
            </w:r>
            <w:r>
              <w:rPr>
                <w:spacing w:val="-7"/>
              </w:rPr>
              <w:t xml:space="preserve"> </w:t>
            </w:r>
            <w:r>
              <w:t>evidence</w:t>
            </w:r>
            <w:r>
              <w:rPr>
                <w:spacing w:val="-7"/>
              </w:rPr>
              <w:t xml:space="preserve"> </w:t>
            </w:r>
            <w:r>
              <w:t>regarding</w:t>
            </w:r>
            <w:r>
              <w:rPr>
                <w:spacing w:val="-7"/>
              </w:rPr>
              <w:t xml:space="preserve"> </w:t>
            </w:r>
            <w:r>
              <w:t>opening</w:t>
            </w:r>
            <w:r>
              <w:rPr>
                <w:spacing w:val="-7"/>
              </w:rPr>
              <w:t xml:space="preserve"> </w:t>
            </w:r>
            <w:r>
              <w:t>balances</w:t>
            </w:r>
            <w:r>
              <w:rPr>
                <w:spacing w:val="-7"/>
              </w:rPr>
              <w:t xml:space="preserve"> </w:t>
            </w:r>
            <w:r>
              <w:t xml:space="preserve">about </w:t>
            </w:r>
            <w:r>
              <w:rPr>
                <w:spacing w:val="-2"/>
              </w:rPr>
              <w:t>whether</w:t>
            </w:r>
          </w:p>
          <w:p w14:paraId="0DFDD0A7" w14:textId="77777777" w:rsidR="00046465" w:rsidRDefault="008134EB">
            <w:pPr>
              <w:pStyle w:val="TableParagraph"/>
              <w:numPr>
                <w:ilvl w:val="1"/>
                <w:numId w:val="46"/>
              </w:numPr>
              <w:tabs>
                <w:tab w:val="left" w:pos="1520"/>
              </w:tabs>
              <w:spacing w:before="120"/>
              <w:ind w:right="422"/>
              <w:rPr>
                <w:rFonts w:ascii="Symbol" w:hAnsi="Symbol"/>
              </w:rPr>
            </w:pPr>
            <w:r>
              <w:t>opening</w:t>
            </w:r>
            <w:r>
              <w:rPr>
                <w:spacing w:val="-8"/>
              </w:rPr>
              <w:t xml:space="preserve"> </w:t>
            </w:r>
            <w:r>
              <w:t>balances</w:t>
            </w:r>
            <w:r>
              <w:rPr>
                <w:spacing w:val="-8"/>
              </w:rPr>
              <w:t xml:space="preserve"> </w:t>
            </w:r>
            <w:r>
              <w:t>contain</w:t>
            </w:r>
            <w:r>
              <w:rPr>
                <w:spacing w:val="-8"/>
              </w:rPr>
              <w:t xml:space="preserve"> </w:t>
            </w:r>
            <w:r>
              <w:t>misstatements</w:t>
            </w:r>
            <w:r>
              <w:rPr>
                <w:spacing w:val="-8"/>
              </w:rPr>
              <w:t xml:space="preserve"> </w:t>
            </w:r>
            <w:r>
              <w:t>that</w:t>
            </w:r>
            <w:r>
              <w:rPr>
                <w:spacing w:val="-8"/>
              </w:rPr>
              <w:t xml:space="preserve"> </w:t>
            </w:r>
            <w:r>
              <w:t>materially affect the current period’s financial statements and</w:t>
            </w:r>
          </w:p>
          <w:p w14:paraId="0DFDD0A8" w14:textId="77777777" w:rsidR="00046465" w:rsidRDefault="008134EB">
            <w:pPr>
              <w:pStyle w:val="TableParagraph"/>
              <w:numPr>
                <w:ilvl w:val="1"/>
                <w:numId w:val="46"/>
              </w:numPr>
              <w:tabs>
                <w:tab w:val="left" w:pos="1520"/>
              </w:tabs>
              <w:spacing w:before="119"/>
              <w:ind w:right="129"/>
              <w:rPr>
                <w:rFonts w:ascii="Symbol" w:hAnsi="Symbol"/>
                <w:sz w:val="24"/>
              </w:rPr>
            </w:pPr>
            <w:r>
              <w:t>appropriate accounting policies reflected in the opening balances have been consistently applied in the current period’s financial statements, or changes thereto are appropriately</w:t>
            </w:r>
            <w:r>
              <w:rPr>
                <w:spacing w:val="-7"/>
              </w:rPr>
              <w:t xml:space="preserve"> </w:t>
            </w:r>
            <w:r>
              <w:t>accounted</w:t>
            </w:r>
            <w:r>
              <w:rPr>
                <w:spacing w:val="-8"/>
              </w:rPr>
              <w:t xml:space="preserve"> </w:t>
            </w:r>
            <w:r>
              <w:t>for</w:t>
            </w:r>
            <w:r>
              <w:rPr>
                <w:spacing w:val="-7"/>
              </w:rPr>
              <w:t xml:space="preserve"> </w:t>
            </w:r>
            <w:r>
              <w:t>and</w:t>
            </w:r>
            <w:r>
              <w:rPr>
                <w:spacing w:val="-7"/>
              </w:rPr>
              <w:t xml:space="preserve"> </w:t>
            </w:r>
            <w:r>
              <w:t>adequately</w:t>
            </w:r>
            <w:r>
              <w:rPr>
                <w:spacing w:val="-7"/>
              </w:rPr>
              <w:t xml:space="preserve"> </w:t>
            </w:r>
            <w:r>
              <w:t>presented</w:t>
            </w:r>
            <w:r>
              <w:rPr>
                <w:spacing w:val="-7"/>
              </w:rPr>
              <w:t xml:space="preserve"> </w:t>
            </w:r>
            <w:r>
              <w:t>and disclosed in accordance with the applicable financial reporting framework (generally U.S. GAAP)? (AU-C 510)</w:t>
            </w:r>
          </w:p>
        </w:tc>
        <w:tc>
          <w:tcPr>
            <w:tcW w:w="811" w:type="dxa"/>
            <w:tcBorders>
              <w:top w:val="single" w:sz="6" w:space="0" w:color="000000"/>
              <w:left w:val="single" w:sz="6" w:space="0" w:color="000000"/>
              <w:bottom w:val="single" w:sz="6" w:space="0" w:color="000000"/>
              <w:right w:val="single" w:sz="6" w:space="0" w:color="000000"/>
            </w:tcBorders>
          </w:tcPr>
          <w:p w14:paraId="0DFDD0A9" w14:textId="77777777" w:rsidR="00046465" w:rsidRDefault="00046465">
            <w:pPr>
              <w:pStyle w:val="TableParagraph"/>
              <w:rPr>
                <w:rFonts w:ascii="Times New Roman"/>
              </w:rPr>
            </w:pPr>
          </w:p>
        </w:tc>
        <w:tc>
          <w:tcPr>
            <w:tcW w:w="1349" w:type="dxa"/>
            <w:tcBorders>
              <w:top w:val="single" w:sz="6" w:space="0" w:color="000000"/>
              <w:left w:val="single" w:sz="6" w:space="0" w:color="000000"/>
              <w:bottom w:val="single" w:sz="6" w:space="0" w:color="000000"/>
            </w:tcBorders>
            <w:shd w:val="clear" w:color="auto" w:fill="BEBEBE"/>
          </w:tcPr>
          <w:p w14:paraId="0DFDD0AA" w14:textId="77777777" w:rsidR="00046465" w:rsidRDefault="00046465">
            <w:pPr>
              <w:pStyle w:val="TableParagraph"/>
              <w:rPr>
                <w:rFonts w:ascii="Times New Roman"/>
              </w:rPr>
            </w:pPr>
          </w:p>
        </w:tc>
      </w:tr>
      <w:tr w:rsidR="00046465" w14:paraId="0DFDD0B1" w14:textId="77777777">
        <w:trPr>
          <w:trHeight w:val="2554"/>
        </w:trPr>
        <w:tc>
          <w:tcPr>
            <w:tcW w:w="7380" w:type="dxa"/>
            <w:tcBorders>
              <w:top w:val="single" w:sz="6" w:space="0" w:color="000000"/>
              <w:bottom w:val="single" w:sz="6" w:space="0" w:color="000000"/>
              <w:right w:val="single" w:sz="6" w:space="0" w:color="000000"/>
            </w:tcBorders>
          </w:tcPr>
          <w:p w14:paraId="0DFDD0AC" w14:textId="77777777" w:rsidR="00046465" w:rsidRDefault="008134EB">
            <w:pPr>
              <w:pStyle w:val="TableParagraph"/>
              <w:numPr>
                <w:ilvl w:val="0"/>
                <w:numId w:val="45"/>
              </w:numPr>
              <w:tabs>
                <w:tab w:val="left" w:pos="1202"/>
              </w:tabs>
              <w:spacing w:before="121"/>
              <w:ind w:left="1202" w:hanging="359"/>
            </w:pPr>
            <w:r>
              <w:t>Did</w:t>
            </w:r>
            <w:r>
              <w:rPr>
                <w:spacing w:val="-4"/>
              </w:rPr>
              <w:t xml:space="preserve"> </w:t>
            </w:r>
            <w:r>
              <w:t>the</w:t>
            </w:r>
            <w:r>
              <w:rPr>
                <w:spacing w:val="-4"/>
              </w:rPr>
              <w:t xml:space="preserve"> </w:t>
            </w:r>
            <w:r>
              <w:rPr>
                <w:spacing w:val="-2"/>
              </w:rPr>
              <w:t>auditor</w:t>
            </w:r>
          </w:p>
          <w:p w14:paraId="0DFDD0AD" w14:textId="77777777" w:rsidR="00046465" w:rsidRDefault="008134EB">
            <w:pPr>
              <w:pStyle w:val="TableParagraph"/>
              <w:numPr>
                <w:ilvl w:val="1"/>
                <w:numId w:val="45"/>
              </w:numPr>
              <w:tabs>
                <w:tab w:val="left" w:pos="1520"/>
              </w:tabs>
              <w:spacing w:before="119"/>
              <w:ind w:right="531"/>
              <w:rPr>
                <w:rFonts w:ascii="Symbol" w:hAnsi="Symbol"/>
              </w:rPr>
            </w:pPr>
            <w:r>
              <w:t>obtain</w:t>
            </w:r>
            <w:r>
              <w:rPr>
                <w:spacing w:val="-6"/>
              </w:rPr>
              <w:t xml:space="preserve"> </w:t>
            </w:r>
            <w:r>
              <w:t>relevant</w:t>
            </w:r>
            <w:r>
              <w:rPr>
                <w:spacing w:val="-6"/>
              </w:rPr>
              <w:t xml:space="preserve"> </w:t>
            </w:r>
            <w:r>
              <w:t>and</w:t>
            </w:r>
            <w:r>
              <w:rPr>
                <w:spacing w:val="-6"/>
              </w:rPr>
              <w:t xml:space="preserve"> </w:t>
            </w:r>
            <w:r>
              <w:t>reliable</w:t>
            </w:r>
            <w:r>
              <w:rPr>
                <w:spacing w:val="-6"/>
              </w:rPr>
              <w:t xml:space="preserve"> </w:t>
            </w:r>
            <w:r>
              <w:t>audit</w:t>
            </w:r>
            <w:r>
              <w:rPr>
                <w:spacing w:val="-6"/>
              </w:rPr>
              <w:t xml:space="preserve"> </w:t>
            </w:r>
            <w:r>
              <w:t>evidence</w:t>
            </w:r>
            <w:r>
              <w:rPr>
                <w:spacing w:val="-6"/>
              </w:rPr>
              <w:t xml:space="preserve"> </w:t>
            </w:r>
            <w:r>
              <w:t>when</w:t>
            </w:r>
            <w:r>
              <w:rPr>
                <w:spacing w:val="-6"/>
              </w:rPr>
              <w:t xml:space="preserve"> </w:t>
            </w:r>
            <w:r>
              <w:t>using substantive analytical procedures and</w:t>
            </w:r>
          </w:p>
          <w:p w14:paraId="0DFDD0AE" w14:textId="77777777" w:rsidR="00046465" w:rsidRDefault="008134EB">
            <w:pPr>
              <w:pStyle w:val="TableParagraph"/>
              <w:numPr>
                <w:ilvl w:val="1"/>
                <w:numId w:val="45"/>
              </w:numPr>
              <w:tabs>
                <w:tab w:val="left" w:pos="1520"/>
              </w:tabs>
              <w:spacing w:before="121" w:line="237" w:lineRule="auto"/>
              <w:ind w:right="252"/>
              <w:rPr>
                <w:rFonts w:ascii="Symbol" w:hAnsi="Symbol"/>
                <w:sz w:val="24"/>
              </w:rPr>
            </w:pPr>
            <w:r>
              <w:t>design</w:t>
            </w:r>
            <w:r>
              <w:rPr>
                <w:spacing w:val="-5"/>
              </w:rPr>
              <w:t xml:space="preserve"> </w:t>
            </w:r>
            <w:r>
              <w:t>and</w:t>
            </w:r>
            <w:r>
              <w:rPr>
                <w:spacing w:val="-6"/>
              </w:rPr>
              <w:t xml:space="preserve"> </w:t>
            </w:r>
            <w:r>
              <w:t>perform</w:t>
            </w:r>
            <w:r>
              <w:rPr>
                <w:spacing w:val="-6"/>
              </w:rPr>
              <w:t xml:space="preserve"> </w:t>
            </w:r>
            <w:r>
              <w:t>analytical</w:t>
            </w:r>
            <w:r>
              <w:rPr>
                <w:spacing w:val="-5"/>
              </w:rPr>
              <w:t xml:space="preserve"> </w:t>
            </w:r>
            <w:r>
              <w:t>procedures</w:t>
            </w:r>
            <w:r>
              <w:rPr>
                <w:spacing w:val="-5"/>
              </w:rPr>
              <w:t xml:space="preserve"> </w:t>
            </w:r>
            <w:r>
              <w:t>near</w:t>
            </w:r>
            <w:r>
              <w:rPr>
                <w:spacing w:val="-5"/>
              </w:rPr>
              <w:t xml:space="preserve"> </w:t>
            </w:r>
            <w:r>
              <w:t>the</w:t>
            </w:r>
            <w:r>
              <w:rPr>
                <w:spacing w:val="-5"/>
              </w:rPr>
              <w:t xml:space="preserve"> </w:t>
            </w:r>
            <w:r>
              <w:t>end</w:t>
            </w:r>
            <w:r>
              <w:rPr>
                <w:spacing w:val="-5"/>
              </w:rPr>
              <w:t xml:space="preserve"> </w:t>
            </w:r>
            <w:r>
              <w:t>of the audit that assist the auditor when forming an overall conclusion about whether the financial statements are consistent with the auditor's understanding of the entity? (AU-C 520)</w:t>
            </w:r>
          </w:p>
        </w:tc>
        <w:tc>
          <w:tcPr>
            <w:tcW w:w="811" w:type="dxa"/>
            <w:tcBorders>
              <w:top w:val="single" w:sz="6" w:space="0" w:color="000000"/>
              <w:left w:val="single" w:sz="6" w:space="0" w:color="000000"/>
              <w:bottom w:val="single" w:sz="6" w:space="0" w:color="000000"/>
              <w:right w:val="single" w:sz="6" w:space="0" w:color="000000"/>
            </w:tcBorders>
          </w:tcPr>
          <w:p w14:paraId="0DFDD0AF" w14:textId="77777777" w:rsidR="00046465" w:rsidRDefault="00046465">
            <w:pPr>
              <w:pStyle w:val="TableParagraph"/>
              <w:rPr>
                <w:rFonts w:ascii="Times New Roman"/>
              </w:rPr>
            </w:pPr>
          </w:p>
        </w:tc>
        <w:tc>
          <w:tcPr>
            <w:tcW w:w="1349" w:type="dxa"/>
            <w:tcBorders>
              <w:top w:val="single" w:sz="6" w:space="0" w:color="000000"/>
              <w:left w:val="single" w:sz="6" w:space="0" w:color="000000"/>
              <w:bottom w:val="single" w:sz="6" w:space="0" w:color="000000"/>
            </w:tcBorders>
            <w:shd w:val="clear" w:color="auto" w:fill="BEBEBE"/>
          </w:tcPr>
          <w:p w14:paraId="0DFDD0B0" w14:textId="77777777" w:rsidR="00046465" w:rsidRDefault="00046465">
            <w:pPr>
              <w:pStyle w:val="TableParagraph"/>
              <w:rPr>
                <w:rFonts w:ascii="Times New Roman"/>
              </w:rPr>
            </w:pPr>
          </w:p>
        </w:tc>
      </w:tr>
    </w:tbl>
    <w:p w14:paraId="0DFDD0B2"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0B3" w14:textId="77777777" w:rsidR="00046465" w:rsidRDefault="00046465">
      <w:pPr>
        <w:pStyle w:val="BodyText"/>
        <w:spacing w:before="9"/>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D0BA" w14:textId="77777777">
        <w:trPr>
          <w:trHeight w:val="936"/>
        </w:trPr>
        <w:tc>
          <w:tcPr>
            <w:tcW w:w="7380" w:type="dxa"/>
            <w:tcBorders>
              <w:right w:val="single" w:sz="8" w:space="0" w:color="000000"/>
            </w:tcBorders>
            <w:shd w:val="clear" w:color="auto" w:fill="A6A6A6"/>
          </w:tcPr>
          <w:p w14:paraId="0DFDD0B4" w14:textId="77777777" w:rsidR="00046465" w:rsidRDefault="00046465">
            <w:pPr>
              <w:pStyle w:val="TableParagraph"/>
              <w:spacing w:before="266"/>
              <w:rPr>
                <w:b/>
                <w:sz w:val="24"/>
              </w:rPr>
            </w:pPr>
          </w:p>
          <w:p w14:paraId="0DFDD0B5"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D0B6"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D0B7" w14:textId="77777777" w:rsidR="00046465" w:rsidRDefault="00046465">
            <w:pPr>
              <w:pStyle w:val="TableParagraph"/>
              <w:rPr>
                <w:b/>
              </w:rPr>
            </w:pPr>
          </w:p>
          <w:p w14:paraId="0DFDD0B8" w14:textId="77777777" w:rsidR="00046465" w:rsidRDefault="00046465">
            <w:pPr>
              <w:pStyle w:val="TableParagraph"/>
              <w:spacing w:before="120"/>
              <w:rPr>
                <w:b/>
              </w:rPr>
            </w:pPr>
          </w:p>
          <w:p w14:paraId="0DFDD0B9"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0BE" w14:textId="77777777">
        <w:trPr>
          <w:trHeight w:val="1252"/>
        </w:trPr>
        <w:tc>
          <w:tcPr>
            <w:tcW w:w="7380" w:type="dxa"/>
            <w:tcBorders>
              <w:bottom w:val="single" w:sz="6" w:space="0" w:color="000000"/>
              <w:right w:val="single" w:sz="6" w:space="0" w:color="000000"/>
            </w:tcBorders>
          </w:tcPr>
          <w:p w14:paraId="0DFDD0BB" w14:textId="77777777" w:rsidR="00046465" w:rsidRDefault="008134EB">
            <w:pPr>
              <w:pStyle w:val="TableParagraph"/>
              <w:tabs>
                <w:tab w:val="left" w:pos="1203"/>
              </w:tabs>
              <w:spacing w:before="121"/>
              <w:ind w:left="1204" w:right="456" w:hanging="361"/>
            </w:pPr>
            <w:r>
              <w:rPr>
                <w:spacing w:val="-6"/>
              </w:rPr>
              <w:t>l.</w:t>
            </w:r>
            <w:r>
              <w:tab/>
              <w:t>Did the auditor, when using audit sampling, provide a reasonable</w:t>
            </w:r>
            <w:r>
              <w:rPr>
                <w:spacing w:val="-6"/>
              </w:rPr>
              <w:t xml:space="preserve"> </w:t>
            </w:r>
            <w:r>
              <w:t>basis</w:t>
            </w:r>
            <w:r>
              <w:rPr>
                <w:spacing w:val="-5"/>
              </w:rPr>
              <w:t xml:space="preserve"> </w:t>
            </w:r>
            <w:r>
              <w:t>for</w:t>
            </w:r>
            <w:r>
              <w:rPr>
                <w:spacing w:val="-5"/>
              </w:rPr>
              <w:t xml:space="preserve"> </w:t>
            </w:r>
            <w:r>
              <w:t>the</w:t>
            </w:r>
            <w:r>
              <w:rPr>
                <w:spacing w:val="-6"/>
              </w:rPr>
              <w:t xml:space="preserve"> </w:t>
            </w:r>
            <w:r>
              <w:t>auditor</w:t>
            </w:r>
            <w:r>
              <w:rPr>
                <w:spacing w:val="-5"/>
              </w:rPr>
              <w:t xml:space="preserve"> </w:t>
            </w:r>
            <w:r>
              <w:t>to</w:t>
            </w:r>
            <w:r>
              <w:rPr>
                <w:spacing w:val="-5"/>
              </w:rPr>
              <w:t xml:space="preserve"> </w:t>
            </w:r>
            <w:r>
              <w:t>draw</w:t>
            </w:r>
            <w:r>
              <w:rPr>
                <w:spacing w:val="-6"/>
              </w:rPr>
              <w:t xml:space="preserve"> </w:t>
            </w:r>
            <w:r>
              <w:t>conclusions</w:t>
            </w:r>
            <w:r>
              <w:rPr>
                <w:spacing w:val="-5"/>
              </w:rPr>
              <w:t xml:space="preserve"> </w:t>
            </w:r>
            <w:r>
              <w:t xml:space="preserve">about the population from which the sample is selected? (AU-C </w:t>
            </w:r>
            <w:r>
              <w:rPr>
                <w:spacing w:val="-4"/>
              </w:rPr>
              <w:t>530)</w:t>
            </w:r>
          </w:p>
        </w:tc>
        <w:tc>
          <w:tcPr>
            <w:tcW w:w="811" w:type="dxa"/>
            <w:tcBorders>
              <w:left w:val="single" w:sz="6" w:space="0" w:color="000000"/>
              <w:bottom w:val="single" w:sz="6" w:space="0" w:color="000000"/>
              <w:right w:val="single" w:sz="6" w:space="0" w:color="000000"/>
            </w:tcBorders>
          </w:tcPr>
          <w:p w14:paraId="0DFDD0BC" w14:textId="77777777" w:rsidR="00046465" w:rsidRDefault="00046465">
            <w:pPr>
              <w:pStyle w:val="TableParagraph"/>
              <w:rPr>
                <w:rFonts w:ascii="Times New Roman"/>
              </w:rPr>
            </w:pPr>
          </w:p>
        </w:tc>
        <w:tc>
          <w:tcPr>
            <w:tcW w:w="1349" w:type="dxa"/>
            <w:tcBorders>
              <w:left w:val="single" w:sz="6" w:space="0" w:color="000000"/>
              <w:bottom w:val="single" w:sz="6" w:space="0" w:color="000000"/>
            </w:tcBorders>
            <w:shd w:val="clear" w:color="auto" w:fill="BEBEBE"/>
          </w:tcPr>
          <w:p w14:paraId="0DFDD0BD" w14:textId="77777777" w:rsidR="00046465" w:rsidRDefault="00046465">
            <w:pPr>
              <w:pStyle w:val="TableParagraph"/>
              <w:rPr>
                <w:rFonts w:ascii="Times New Roman"/>
              </w:rPr>
            </w:pPr>
          </w:p>
        </w:tc>
      </w:tr>
      <w:tr w:rsidR="00046465" w14:paraId="0DFDD0C2" w14:textId="77777777">
        <w:trPr>
          <w:trHeight w:val="1505"/>
        </w:trPr>
        <w:tc>
          <w:tcPr>
            <w:tcW w:w="7380" w:type="dxa"/>
            <w:tcBorders>
              <w:top w:val="single" w:sz="6" w:space="0" w:color="000000"/>
              <w:bottom w:val="single" w:sz="6" w:space="0" w:color="000000"/>
              <w:right w:val="single" w:sz="6" w:space="0" w:color="000000"/>
            </w:tcBorders>
          </w:tcPr>
          <w:p w14:paraId="0DFDD0BF" w14:textId="77777777" w:rsidR="00046465" w:rsidRDefault="008134EB">
            <w:pPr>
              <w:pStyle w:val="TableParagraph"/>
              <w:spacing w:before="119"/>
              <w:ind w:left="1204" w:hanging="361"/>
            </w:pPr>
            <w:r>
              <w:t>m.</w:t>
            </w:r>
            <w:r>
              <w:rPr>
                <w:spacing w:val="40"/>
              </w:rPr>
              <w:t xml:space="preserve"> </w:t>
            </w:r>
            <w:r>
              <w:t>Did the auditor obtain sufficient appropriate audit evidence about whether accounting estimates and related note disclosures</w:t>
            </w:r>
            <w:r>
              <w:rPr>
                <w:spacing w:val="-5"/>
              </w:rPr>
              <w:t xml:space="preserve"> </w:t>
            </w:r>
            <w:r>
              <w:t>in</w:t>
            </w:r>
            <w:r>
              <w:rPr>
                <w:spacing w:val="-5"/>
              </w:rPr>
              <w:t xml:space="preserve"> </w:t>
            </w:r>
            <w:r>
              <w:t>the</w:t>
            </w:r>
            <w:r>
              <w:rPr>
                <w:spacing w:val="-5"/>
              </w:rPr>
              <w:t xml:space="preserve"> </w:t>
            </w:r>
            <w:r>
              <w:t>financial</w:t>
            </w:r>
            <w:r>
              <w:rPr>
                <w:spacing w:val="-5"/>
              </w:rPr>
              <w:t xml:space="preserve"> </w:t>
            </w:r>
            <w:r>
              <w:t>statements</w:t>
            </w:r>
            <w:r>
              <w:rPr>
                <w:spacing w:val="-5"/>
              </w:rPr>
              <w:t xml:space="preserve"> </w:t>
            </w:r>
            <w:r>
              <w:t>are</w:t>
            </w:r>
            <w:r>
              <w:rPr>
                <w:spacing w:val="-5"/>
              </w:rPr>
              <w:t xml:space="preserve"> </w:t>
            </w:r>
            <w:r>
              <w:t>reasonable,</w:t>
            </w:r>
            <w:r>
              <w:rPr>
                <w:spacing w:val="-5"/>
              </w:rPr>
              <w:t xml:space="preserve"> </w:t>
            </w:r>
            <w:r>
              <w:t>in</w:t>
            </w:r>
            <w:r>
              <w:rPr>
                <w:spacing w:val="-5"/>
              </w:rPr>
              <w:t xml:space="preserve"> </w:t>
            </w:r>
            <w:r>
              <w:t>the context of the applicable financial reporting framework (generally U.S. GAAP)</w:t>
            </w:r>
            <w:r>
              <w:rPr>
                <w:spacing w:val="40"/>
              </w:rPr>
              <w:t xml:space="preserve"> </w:t>
            </w:r>
            <w:r>
              <w:t>(AU-C 540)</w:t>
            </w:r>
          </w:p>
        </w:tc>
        <w:tc>
          <w:tcPr>
            <w:tcW w:w="811" w:type="dxa"/>
            <w:tcBorders>
              <w:top w:val="single" w:sz="6" w:space="0" w:color="000000"/>
              <w:left w:val="single" w:sz="6" w:space="0" w:color="000000"/>
              <w:bottom w:val="single" w:sz="6" w:space="0" w:color="000000"/>
              <w:right w:val="single" w:sz="6" w:space="0" w:color="000000"/>
            </w:tcBorders>
          </w:tcPr>
          <w:p w14:paraId="0DFDD0C0" w14:textId="77777777" w:rsidR="00046465" w:rsidRDefault="00046465">
            <w:pPr>
              <w:pStyle w:val="TableParagraph"/>
              <w:rPr>
                <w:rFonts w:ascii="Times New Roman"/>
              </w:rPr>
            </w:pPr>
          </w:p>
        </w:tc>
        <w:tc>
          <w:tcPr>
            <w:tcW w:w="1349" w:type="dxa"/>
            <w:tcBorders>
              <w:top w:val="single" w:sz="6" w:space="0" w:color="000000"/>
              <w:left w:val="single" w:sz="6" w:space="0" w:color="000000"/>
              <w:bottom w:val="single" w:sz="6" w:space="0" w:color="000000"/>
            </w:tcBorders>
            <w:shd w:val="clear" w:color="auto" w:fill="BEBEBE"/>
          </w:tcPr>
          <w:p w14:paraId="0DFDD0C1" w14:textId="77777777" w:rsidR="00046465" w:rsidRDefault="00046465">
            <w:pPr>
              <w:pStyle w:val="TableParagraph"/>
              <w:rPr>
                <w:rFonts w:ascii="Times New Roman"/>
              </w:rPr>
            </w:pPr>
          </w:p>
        </w:tc>
      </w:tr>
      <w:tr w:rsidR="00046465" w14:paraId="0DFDD0CA" w14:textId="77777777">
        <w:trPr>
          <w:trHeight w:val="5125"/>
        </w:trPr>
        <w:tc>
          <w:tcPr>
            <w:tcW w:w="7380" w:type="dxa"/>
            <w:tcBorders>
              <w:top w:val="single" w:sz="6" w:space="0" w:color="000000"/>
              <w:bottom w:val="single" w:sz="6" w:space="0" w:color="000000"/>
              <w:right w:val="single" w:sz="6" w:space="0" w:color="000000"/>
            </w:tcBorders>
          </w:tcPr>
          <w:p w14:paraId="0DFDD0C3" w14:textId="77777777" w:rsidR="00046465" w:rsidRDefault="008134EB">
            <w:pPr>
              <w:pStyle w:val="TableParagraph"/>
              <w:numPr>
                <w:ilvl w:val="0"/>
                <w:numId w:val="44"/>
              </w:numPr>
              <w:tabs>
                <w:tab w:val="left" w:pos="1202"/>
              </w:tabs>
              <w:spacing w:before="119"/>
              <w:ind w:left="1202" w:hanging="359"/>
              <w:jc w:val="both"/>
            </w:pPr>
            <w:r>
              <w:t>Did</w:t>
            </w:r>
            <w:r>
              <w:rPr>
                <w:spacing w:val="-5"/>
              </w:rPr>
              <w:t xml:space="preserve"> </w:t>
            </w:r>
            <w:r>
              <w:t>the</w:t>
            </w:r>
            <w:r>
              <w:rPr>
                <w:spacing w:val="-4"/>
              </w:rPr>
              <w:t xml:space="preserve"> </w:t>
            </w:r>
            <w:r>
              <w:t>auditor</w:t>
            </w:r>
            <w:r>
              <w:rPr>
                <w:spacing w:val="-4"/>
              </w:rPr>
              <w:t xml:space="preserve"> </w:t>
            </w:r>
            <w:r>
              <w:t>do</w:t>
            </w:r>
            <w:r>
              <w:rPr>
                <w:spacing w:val="-4"/>
              </w:rPr>
              <w:t xml:space="preserve"> </w:t>
            </w:r>
            <w:r>
              <w:t>the</w:t>
            </w:r>
            <w:r>
              <w:rPr>
                <w:spacing w:val="-4"/>
              </w:rPr>
              <w:t xml:space="preserve"> </w:t>
            </w:r>
            <w:r>
              <w:rPr>
                <w:spacing w:val="-2"/>
              </w:rPr>
              <w:t>following:</w:t>
            </w:r>
          </w:p>
          <w:p w14:paraId="0DFDD0C4" w14:textId="77777777" w:rsidR="00046465" w:rsidRDefault="008134EB">
            <w:pPr>
              <w:pStyle w:val="TableParagraph"/>
              <w:numPr>
                <w:ilvl w:val="1"/>
                <w:numId w:val="44"/>
              </w:numPr>
              <w:tabs>
                <w:tab w:val="left" w:pos="1514"/>
              </w:tabs>
              <w:spacing w:before="120"/>
              <w:ind w:right="208"/>
              <w:jc w:val="both"/>
              <w:rPr>
                <w:rFonts w:ascii="Symbol" w:hAnsi="Symbol"/>
              </w:rPr>
            </w:pPr>
            <w:r>
              <w:t>Obtain</w:t>
            </w:r>
            <w:r>
              <w:rPr>
                <w:spacing w:val="-7"/>
              </w:rPr>
              <w:t xml:space="preserve"> </w:t>
            </w:r>
            <w:r>
              <w:t>an</w:t>
            </w:r>
            <w:r>
              <w:rPr>
                <w:spacing w:val="-7"/>
              </w:rPr>
              <w:t xml:space="preserve"> </w:t>
            </w:r>
            <w:r>
              <w:t>understanding</w:t>
            </w:r>
            <w:r>
              <w:rPr>
                <w:spacing w:val="-7"/>
              </w:rPr>
              <w:t xml:space="preserve"> </w:t>
            </w:r>
            <w:r>
              <w:t>of</w:t>
            </w:r>
            <w:r>
              <w:rPr>
                <w:spacing w:val="-7"/>
              </w:rPr>
              <w:t xml:space="preserve"> </w:t>
            </w:r>
            <w:r>
              <w:t>relationships</w:t>
            </w:r>
            <w:r>
              <w:rPr>
                <w:spacing w:val="-7"/>
              </w:rPr>
              <w:t xml:space="preserve"> </w:t>
            </w:r>
            <w:r>
              <w:t>and</w:t>
            </w:r>
            <w:r>
              <w:rPr>
                <w:spacing w:val="-7"/>
              </w:rPr>
              <w:t xml:space="preserve"> </w:t>
            </w:r>
            <w:r>
              <w:t>transactions with disclosure entities, related parties, and public-private partnerships sufficient to be able to</w:t>
            </w:r>
          </w:p>
          <w:p w14:paraId="0DFDD0C5" w14:textId="77777777" w:rsidR="00046465" w:rsidRDefault="008134EB">
            <w:pPr>
              <w:pStyle w:val="TableParagraph"/>
              <w:numPr>
                <w:ilvl w:val="2"/>
                <w:numId w:val="44"/>
              </w:numPr>
              <w:tabs>
                <w:tab w:val="left" w:pos="1875"/>
              </w:tabs>
              <w:spacing w:before="125" w:line="242" w:lineRule="auto"/>
              <w:ind w:right="385"/>
            </w:pPr>
            <w:r>
              <w:t>recognize</w:t>
            </w:r>
            <w:r>
              <w:rPr>
                <w:spacing w:val="-5"/>
              </w:rPr>
              <w:t xml:space="preserve"> </w:t>
            </w:r>
            <w:r>
              <w:t>fraud</w:t>
            </w:r>
            <w:r>
              <w:rPr>
                <w:spacing w:val="-5"/>
              </w:rPr>
              <w:t xml:space="preserve"> </w:t>
            </w:r>
            <w:r>
              <w:t>risk</w:t>
            </w:r>
            <w:r>
              <w:rPr>
                <w:spacing w:val="-5"/>
              </w:rPr>
              <w:t xml:space="preserve"> </w:t>
            </w:r>
            <w:r>
              <w:t>factors,</w:t>
            </w:r>
            <w:r>
              <w:rPr>
                <w:spacing w:val="-5"/>
              </w:rPr>
              <w:t xml:space="preserve"> </w:t>
            </w:r>
            <w:r>
              <w:t>if</w:t>
            </w:r>
            <w:r>
              <w:rPr>
                <w:spacing w:val="-5"/>
              </w:rPr>
              <w:t xml:space="preserve"> </w:t>
            </w:r>
            <w:r>
              <w:t>any,</w:t>
            </w:r>
            <w:r>
              <w:rPr>
                <w:spacing w:val="-5"/>
              </w:rPr>
              <w:t xml:space="preserve"> </w:t>
            </w:r>
            <w:r>
              <w:t>arising</w:t>
            </w:r>
            <w:r>
              <w:rPr>
                <w:spacing w:val="-5"/>
              </w:rPr>
              <w:t xml:space="preserve"> </w:t>
            </w:r>
            <w:r>
              <w:t>from</w:t>
            </w:r>
            <w:r>
              <w:rPr>
                <w:spacing w:val="-6"/>
              </w:rPr>
              <w:t xml:space="preserve"> </w:t>
            </w:r>
            <w:r>
              <w:t>such relationships and transactions that are relevant to identifying and assessing the risks of material misstatement due to fraud and</w:t>
            </w:r>
          </w:p>
          <w:p w14:paraId="0DFDD0C6" w14:textId="77777777" w:rsidR="00046465" w:rsidRDefault="008134EB">
            <w:pPr>
              <w:pStyle w:val="TableParagraph"/>
              <w:numPr>
                <w:ilvl w:val="2"/>
                <w:numId w:val="44"/>
              </w:numPr>
              <w:tabs>
                <w:tab w:val="left" w:pos="1875"/>
              </w:tabs>
              <w:spacing w:before="119"/>
              <w:ind w:right="386"/>
            </w:pPr>
            <w:r>
              <w:t>conclude, based on the audit evidence obtained, whether</w:t>
            </w:r>
            <w:r>
              <w:rPr>
                <w:spacing w:val="-6"/>
              </w:rPr>
              <w:t xml:space="preserve"> </w:t>
            </w:r>
            <w:r>
              <w:t>the</w:t>
            </w:r>
            <w:r>
              <w:rPr>
                <w:spacing w:val="-6"/>
              </w:rPr>
              <w:t xml:space="preserve"> </w:t>
            </w:r>
            <w:r>
              <w:t>financial</w:t>
            </w:r>
            <w:r>
              <w:rPr>
                <w:spacing w:val="-7"/>
              </w:rPr>
              <w:t xml:space="preserve"> </w:t>
            </w:r>
            <w:r>
              <w:t>statements,</w:t>
            </w:r>
            <w:r>
              <w:rPr>
                <w:spacing w:val="-6"/>
              </w:rPr>
              <w:t xml:space="preserve"> </w:t>
            </w:r>
            <w:r>
              <w:t>insofar</w:t>
            </w:r>
            <w:r>
              <w:rPr>
                <w:spacing w:val="-6"/>
              </w:rPr>
              <w:t xml:space="preserve"> </w:t>
            </w:r>
            <w:r>
              <w:t>as</w:t>
            </w:r>
            <w:r>
              <w:rPr>
                <w:spacing w:val="-6"/>
              </w:rPr>
              <w:t xml:space="preserve"> </w:t>
            </w:r>
            <w:r>
              <w:t>they</w:t>
            </w:r>
            <w:r>
              <w:rPr>
                <w:spacing w:val="-7"/>
              </w:rPr>
              <w:t xml:space="preserve"> </w:t>
            </w:r>
            <w:r>
              <w:t>are affected by those relationships and transactions, achieve fair presentation?</w:t>
            </w:r>
          </w:p>
          <w:p w14:paraId="0DFDD0C7" w14:textId="77777777" w:rsidR="00046465" w:rsidRDefault="008134EB">
            <w:pPr>
              <w:pStyle w:val="TableParagraph"/>
              <w:numPr>
                <w:ilvl w:val="1"/>
                <w:numId w:val="44"/>
              </w:numPr>
              <w:tabs>
                <w:tab w:val="left" w:pos="1514"/>
              </w:tabs>
              <w:spacing w:before="124" w:line="237" w:lineRule="auto"/>
              <w:ind w:right="147"/>
              <w:rPr>
                <w:rFonts w:ascii="Symbol" w:hAnsi="Symbol"/>
                <w:sz w:val="24"/>
              </w:rPr>
            </w:pPr>
            <w:r>
              <w:t>Obtain</w:t>
            </w:r>
            <w:r>
              <w:rPr>
                <w:spacing w:val="-7"/>
              </w:rPr>
              <w:t xml:space="preserve"> </w:t>
            </w:r>
            <w:r>
              <w:t>sufficient</w:t>
            </w:r>
            <w:r>
              <w:rPr>
                <w:spacing w:val="-7"/>
              </w:rPr>
              <w:t xml:space="preserve"> </w:t>
            </w:r>
            <w:r>
              <w:t>appropriate</w:t>
            </w:r>
            <w:r>
              <w:rPr>
                <w:spacing w:val="-7"/>
              </w:rPr>
              <w:t xml:space="preserve"> </w:t>
            </w:r>
            <w:r>
              <w:t>audit</w:t>
            </w:r>
            <w:r>
              <w:rPr>
                <w:spacing w:val="-7"/>
              </w:rPr>
              <w:t xml:space="preserve"> </w:t>
            </w:r>
            <w:r>
              <w:t>evidence</w:t>
            </w:r>
            <w:r>
              <w:rPr>
                <w:spacing w:val="-7"/>
              </w:rPr>
              <w:t xml:space="preserve"> </w:t>
            </w:r>
            <w:r>
              <w:t>about</w:t>
            </w:r>
            <w:r>
              <w:rPr>
                <w:spacing w:val="-8"/>
              </w:rPr>
              <w:t xml:space="preserve"> </w:t>
            </w:r>
            <w:r>
              <w:t>whether relationships and transactions with disclosure entities, related parties, and public-private partnerships have been appropriately identified, accounted for, and disclosed in the financial statements? (AU-C 550)</w:t>
            </w:r>
          </w:p>
        </w:tc>
        <w:tc>
          <w:tcPr>
            <w:tcW w:w="811" w:type="dxa"/>
            <w:tcBorders>
              <w:top w:val="single" w:sz="6" w:space="0" w:color="000000"/>
              <w:left w:val="single" w:sz="6" w:space="0" w:color="000000"/>
              <w:bottom w:val="single" w:sz="6" w:space="0" w:color="000000"/>
              <w:right w:val="single" w:sz="6" w:space="0" w:color="000000"/>
            </w:tcBorders>
          </w:tcPr>
          <w:p w14:paraId="0DFDD0C8" w14:textId="77777777" w:rsidR="00046465" w:rsidRDefault="00046465">
            <w:pPr>
              <w:pStyle w:val="TableParagraph"/>
              <w:rPr>
                <w:rFonts w:ascii="Times New Roman"/>
              </w:rPr>
            </w:pPr>
          </w:p>
        </w:tc>
        <w:tc>
          <w:tcPr>
            <w:tcW w:w="1349" w:type="dxa"/>
            <w:tcBorders>
              <w:top w:val="single" w:sz="6" w:space="0" w:color="000000"/>
              <w:left w:val="single" w:sz="6" w:space="0" w:color="000000"/>
              <w:bottom w:val="single" w:sz="6" w:space="0" w:color="000000"/>
            </w:tcBorders>
            <w:shd w:val="clear" w:color="auto" w:fill="BEBEBE"/>
          </w:tcPr>
          <w:p w14:paraId="0DFDD0C9" w14:textId="77777777" w:rsidR="00046465" w:rsidRDefault="00046465">
            <w:pPr>
              <w:pStyle w:val="TableParagraph"/>
              <w:rPr>
                <w:rFonts w:ascii="Times New Roman"/>
              </w:rPr>
            </w:pPr>
          </w:p>
        </w:tc>
      </w:tr>
      <w:tr w:rsidR="00046465" w14:paraId="0DFDD0CE" w14:textId="77777777">
        <w:trPr>
          <w:trHeight w:val="2010"/>
        </w:trPr>
        <w:tc>
          <w:tcPr>
            <w:tcW w:w="7380" w:type="dxa"/>
            <w:tcBorders>
              <w:top w:val="single" w:sz="6" w:space="0" w:color="000000"/>
              <w:bottom w:val="single" w:sz="6" w:space="0" w:color="000000"/>
              <w:right w:val="single" w:sz="6" w:space="0" w:color="000000"/>
            </w:tcBorders>
          </w:tcPr>
          <w:p w14:paraId="0DFDD0CB" w14:textId="77777777" w:rsidR="00046465" w:rsidRDefault="008134EB">
            <w:pPr>
              <w:pStyle w:val="TableParagraph"/>
              <w:spacing w:before="121"/>
              <w:ind w:left="1204" w:right="150" w:hanging="361"/>
            </w:pPr>
            <w:r>
              <w:t>o.</w:t>
            </w:r>
            <w:r>
              <w:rPr>
                <w:spacing w:val="80"/>
              </w:rPr>
              <w:t xml:space="preserve"> </w:t>
            </w:r>
            <w:r>
              <w:t>Did the auditor obtain sufficient appropriate audit evidence about whether events occurring between the date of the financial</w:t>
            </w:r>
            <w:r>
              <w:rPr>
                <w:spacing w:val="-5"/>
              </w:rPr>
              <w:t xml:space="preserve"> </w:t>
            </w:r>
            <w:r>
              <w:t>statements</w:t>
            </w:r>
            <w:r>
              <w:rPr>
                <w:spacing w:val="-5"/>
              </w:rPr>
              <w:t xml:space="preserve"> </w:t>
            </w:r>
            <w:r>
              <w:t>and</w:t>
            </w:r>
            <w:r>
              <w:rPr>
                <w:spacing w:val="-5"/>
              </w:rPr>
              <w:t xml:space="preserve"> </w:t>
            </w:r>
            <w:r>
              <w:t>the</w:t>
            </w:r>
            <w:r>
              <w:rPr>
                <w:spacing w:val="-5"/>
              </w:rPr>
              <w:t xml:space="preserve"> </w:t>
            </w:r>
            <w:r>
              <w:t>date</w:t>
            </w:r>
            <w:r>
              <w:rPr>
                <w:spacing w:val="-5"/>
              </w:rPr>
              <w:t xml:space="preserve"> </w:t>
            </w:r>
            <w:r>
              <w:t>of</w:t>
            </w:r>
            <w:r>
              <w:rPr>
                <w:spacing w:val="-5"/>
              </w:rPr>
              <w:t xml:space="preserve"> </w:t>
            </w:r>
            <w:r>
              <w:t>the</w:t>
            </w:r>
            <w:r>
              <w:rPr>
                <w:spacing w:val="-5"/>
              </w:rPr>
              <w:t xml:space="preserve"> </w:t>
            </w:r>
            <w:r>
              <w:t>auditor’s</w:t>
            </w:r>
            <w:r>
              <w:rPr>
                <w:spacing w:val="-5"/>
              </w:rPr>
              <w:t xml:space="preserve"> </w:t>
            </w:r>
            <w:r>
              <w:t>report</w:t>
            </w:r>
            <w:r>
              <w:rPr>
                <w:spacing w:val="-5"/>
              </w:rPr>
              <w:t xml:space="preserve"> </w:t>
            </w:r>
            <w:r>
              <w:t>that require adjustment of, or disclosure in, the financial statements are appropriately reflected in those financial statements in accordance with the applicable financial reporting framework (generally U.S. GAAP)? (AU-C 560)</w:t>
            </w:r>
          </w:p>
        </w:tc>
        <w:tc>
          <w:tcPr>
            <w:tcW w:w="811" w:type="dxa"/>
            <w:tcBorders>
              <w:top w:val="single" w:sz="6" w:space="0" w:color="000000"/>
              <w:left w:val="single" w:sz="6" w:space="0" w:color="000000"/>
              <w:bottom w:val="single" w:sz="6" w:space="0" w:color="000000"/>
              <w:right w:val="single" w:sz="6" w:space="0" w:color="000000"/>
            </w:tcBorders>
          </w:tcPr>
          <w:p w14:paraId="0DFDD0CC" w14:textId="77777777" w:rsidR="00046465" w:rsidRDefault="00046465">
            <w:pPr>
              <w:pStyle w:val="TableParagraph"/>
              <w:rPr>
                <w:rFonts w:ascii="Times New Roman"/>
              </w:rPr>
            </w:pPr>
          </w:p>
        </w:tc>
        <w:tc>
          <w:tcPr>
            <w:tcW w:w="1349" w:type="dxa"/>
            <w:tcBorders>
              <w:top w:val="single" w:sz="6" w:space="0" w:color="000000"/>
              <w:left w:val="single" w:sz="6" w:space="0" w:color="000000"/>
              <w:bottom w:val="single" w:sz="6" w:space="0" w:color="000000"/>
            </w:tcBorders>
            <w:shd w:val="clear" w:color="auto" w:fill="BEBEBE"/>
          </w:tcPr>
          <w:p w14:paraId="0DFDD0CD" w14:textId="77777777" w:rsidR="00046465" w:rsidRDefault="00046465">
            <w:pPr>
              <w:pStyle w:val="TableParagraph"/>
              <w:rPr>
                <w:rFonts w:ascii="Times New Roman"/>
              </w:rPr>
            </w:pPr>
          </w:p>
        </w:tc>
      </w:tr>
      <w:tr w:rsidR="00046465" w14:paraId="0DFDD0D2" w14:textId="77777777">
        <w:trPr>
          <w:trHeight w:val="1506"/>
        </w:trPr>
        <w:tc>
          <w:tcPr>
            <w:tcW w:w="7380" w:type="dxa"/>
            <w:tcBorders>
              <w:top w:val="single" w:sz="6" w:space="0" w:color="000000"/>
              <w:bottom w:val="single" w:sz="6" w:space="0" w:color="000000"/>
              <w:right w:val="single" w:sz="6" w:space="0" w:color="000000"/>
            </w:tcBorders>
          </w:tcPr>
          <w:p w14:paraId="0DFDD0CF" w14:textId="77777777" w:rsidR="00046465" w:rsidRDefault="008134EB">
            <w:pPr>
              <w:pStyle w:val="TableParagraph"/>
              <w:spacing w:before="121"/>
              <w:ind w:left="1203" w:hanging="360"/>
            </w:pPr>
            <w:r>
              <w:t>p.</w:t>
            </w:r>
            <w:r>
              <w:rPr>
                <w:spacing w:val="80"/>
              </w:rPr>
              <w:t xml:space="preserve"> </w:t>
            </w:r>
            <w:r>
              <w:t>Did the auditor respond appropriately to facts that became known to the auditor after the date of the prior-year auditor’s report that, had they been known to the auditor at that date, may</w:t>
            </w:r>
            <w:r>
              <w:rPr>
                <w:spacing w:val="-5"/>
              </w:rPr>
              <w:t xml:space="preserve"> </w:t>
            </w:r>
            <w:r>
              <w:t>have</w:t>
            </w:r>
            <w:r>
              <w:rPr>
                <w:spacing w:val="-5"/>
              </w:rPr>
              <w:t xml:space="preserve"> </w:t>
            </w:r>
            <w:r>
              <w:t>caused</w:t>
            </w:r>
            <w:r>
              <w:rPr>
                <w:spacing w:val="-5"/>
              </w:rPr>
              <w:t xml:space="preserve"> </w:t>
            </w:r>
            <w:r>
              <w:t>the</w:t>
            </w:r>
            <w:r>
              <w:rPr>
                <w:spacing w:val="-5"/>
              </w:rPr>
              <w:t xml:space="preserve"> </w:t>
            </w:r>
            <w:r>
              <w:t>auditor</w:t>
            </w:r>
            <w:r>
              <w:rPr>
                <w:spacing w:val="-5"/>
              </w:rPr>
              <w:t xml:space="preserve"> </w:t>
            </w:r>
            <w:r>
              <w:t>to</w:t>
            </w:r>
            <w:r>
              <w:rPr>
                <w:spacing w:val="-5"/>
              </w:rPr>
              <w:t xml:space="preserve"> </w:t>
            </w:r>
            <w:r>
              <w:t>revise</w:t>
            </w:r>
            <w:r>
              <w:rPr>
                <w:spacing w:val="-5"/>
              </w:rPr>
              <w:t xml:space="preserve"> </w:t>
            </w:r>
            <w:r>
              <w:t>the</w:t>
            </w:r>
            <w:r>
              <w:rPr>
                <w:spacing w:val="-5"/>
              </w:rPr>
              <w:t xml:space="preserve"> </w:t>
            </w:r>
            <w:r>
              <w:t>prior-year</w:t>
            </w:r>
            <w:r>
              <w:rPr>
                <w:spacing w:val="-5"/>
              </w:rPr>
              <w:t xml:space="preserve"> </w:t>
            </w:r>
            <w:r>
              <w:t>auditor’s report? (AU-C 560)</w:t>
            </w:r>
          </w:p>
        </w:tc>
        <w:tc>
          <w:tcPr>
            <w:tcW w:w="811" w:type="dxa"/>
            <w:tcBorders>
              <w:top w:val="single" w:sz="6" w:space="0" w:color="000000"/>
              <w:left w:val="single" w:sz="6" w:space="0" w:color="000000"/>
              <w:bottom w:val="single" w:sz="6" w:space="0" w:color="000000"/>
              <w:right w:val="single" w:sz="6" w:space="0" w:color="000000"/>
            </w:tcBorders>
          </w:tcPr>
          <w:p w14:paraId="0DFDD0D0" w14:textId="77777777" w:rsidR="00046465" w:rsidRDefault="00046465">
            <w:pPr>
              <w:pStyle w:val="TableParagraph"/>
              <w:rPr>
                <w:rFonts w:ascii="Times New Roman"/>
              </w:rPr>
            </w:pPr>
          </w:p>
        </w:tc>
        <w:tc>
          <w:tcPr>
            <w:tcW w:w="1349" w:type="dxa"/>
            <w:tcBorders>
              <w:top w:val="single" w:sz="6" w:space="0" w:color="000000"/>
              <w:left w:val="single" w:sz="6" w:space="0" w:color="000000"/>
              <w:bottom w:val="single" w:sz="6" w:space="0" w:color="000000"/>
            </w:tcBorders>
            <w:shd w:val="clear" w:color="auto" w:fill="BEBEBE"/>
          </w:tcPr>
          <w:p w14:paraId="0DFDD0D1" w14:textId="77777777" w:rsidR="00046465" w:rsidRDefault="00046465">
            <w:pPr>
              <w:pStyle w:val="TableParagraph"/>
              <w:rPr>
                <w:rFonts w:ascii="Times New Roman"/>
              </w:rPr>
            </w:pPr>
          </w:p>
        </w:tc>
      </w:tr>
    </w:tbl>
    <w:p w14:paraId="0DFDD0D3"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0D4" w14:textId="77777777" w:rsidR="00046465" w:rsidRDefault="00046465">
      <w:pPr>
        <w:pStyle w:val="BodyText"/>
        <w:spacing w:before="9"/>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1"/>
        <w:gridCol w:w="1349"/>
      </w:tblGrid>
      <w:tr w:rsidR="00046465" w14:paraId="0DFDD0DB" w14:textId="77777777">
        <w:trPr>
          <w:trHeight w:val="936"/>
        </w:trPr>
        <w:tc>
          <w:tcPr>
            <w:tcW w:w="7380" w:type="dxa"/>
            <w:tcBorders>
              <w:right w:val="single" w:sz="8" w:space="0" w:color="000000"/>
            </w:tcBorders>
            <w:shd w:val="clear" w:color="auto" w:fill="A6A6A6"/>
          </w:tcPr>
          <w:p w14:paraId="0DFDD0D5" w14:textId="77777777" w:rsidR="00046465" w:rsidRDefault="00046465">
            <w:pPr>
              <w:pStyle w:val="TableParagraph"/>
              <w:spacing w:before="266"/>
              <w:rPr>
                <w:b/>
                <w:sz w:val="24"/>
              </w:rPr>
            </w:pPr>
          </w:p>
          <w:p w14:paraId="0DFDD0D6" w14:textId="77777777" w:rsidR="00046465" w:rsidRDefault="008134EB">
            <w:pPr>
              <w:pStyle w:val="TableParagraph"/>
              <w:ind w:left="123"/>
              <w:rPr>
                <w:b/>
                <w:sz w:val="24"/>
              </w:rPr>
            </w:pPr>
            <w:r>
              <w:rPr>
                <w:b/>
                <w:sz w:val="24"/>
              </w:rPr>
              <w:t>Section</w:t>
            </w:r>
            <w:r>
              <w:rPr>
                <w:b/>
                <w:spacing w:val="-5"/>
                <w:sz w:val="24"/>
              </w:rPr>
              <w:t xml:space="preserve"> </w:t>
            </w:r>
            <w:r>
              <w:rPr>
                <w:b/>
                <w:sz w:val="24"/>
              </w:rPr>
              <w:t>II:</w:t>
            </w:r>
            <w:r>
              <w:rPr>
                <w:b/>
                <w:spacing w:val="-4"/>
                <w:sz w:val="24"/>
              </w:rPr>
              <w:t xml:space="preserve"> </w:t>
            </w:r>
            <w:r>
              <w:rPr>
                <w:b/>
                <w:sz w:val="24"/>
              </w:rPr>
              <w:t>Performing</w:t>
            </w:r>
            <w:r>
              <w:rPr>
                <w:b/>
                <w:spacing w:val="-2"/>
                <w:sz w:val="24"/>
              </w:rPr>
              <w:t xml:space="preserve"> </w:t>
            </w:r>
            <w:r>
              <w:rPr>
                <w:b/>
                <w:sz w:val="24"/>
              </w:rPr>
              <w:t>the</w:t>
            </w:r>
            <w:r>
              <w:rPr>
                <w:b/>
                <w:spacing w:val="-2"/>
                <w:sz w:val="24"/>
              </w:rPr>
              <w:t xml:space="preserve"> Engagement</w:t>
            </w:r>
          </w:p>
        </w:tc>
        <w:tc>
          <w:tcPr>
            <w:tcW w:w="811" w:type="dxa"/>
            <w:tcBorders>
              <w:left w:val="single" w:sz="8" w:space="0" w:color="000000"/>
              <w:right w:val="single" w:sz="8" w:space="0" w:color="000000"/>
            </w:tcBorders>
            <w:shd w:val="clear" w:color="auto" w:fill="A6A6A6"/>
          </w:tcPr>
          <w:p w14:paraId="0DFDD0D7" w14:textId="77777777" w:rsidR="00046465" w:rsidRDefault="008134EB">
            <w:pPr>
              <w:pStyle w:val="TableParagraph"/>
              <w:spacing w:before="120"/>
              <w:ind w:left="183" w:right="160" w:hanging="8"/>
              <w:jc w:val="both"/>
              <w:rPr>
                <w:b/>
              </w:rPr>
            </w:pPr>
            <w:r>
              <w:rPr>
                <w:b/>
                <w:spacing w:val="-4"/>
              </w:rPr>
              <w:t>Yes, No,* N/A</w:t>
            </w:r>
          </w:p>
        </w:tc>
        <w:tc>
          <w:tcPr>
            <w:tcW w:w="1349" w:type="dxa"/>
            <w:tcBorders>
              <w:left w:val="single" w:sz="8" w:space="0" w:color="000000"/>
            </w:tcBorders>
            <w:shd w:val="clear" w:color="auto" w:fill="A6A6A6"/>
          </w:tcPr>
          <w:p w14:paraId="0DFDD0D8" w14:textId="77777777" w:rsidR="00046465" w:rsidRDefault="00046465">
            <w:pPr>
              <w:pStyle w:val="TableParagraph"/>
              <w:rPr>
                <w:b/>
              </w:rPr>
            </w:pPr>
          </w:p>
          <w:p w14:paraId="0DFDD0D9" w14:textId="77777777" w:rsidR="00046465" w:rsidRDefault="00046465">
            <w:pPr>
              <w:pStyle w:val="TableParagraph"/>
              <w:spacing w:before="120"/>
              <w:rPr>
                <w:b/>
              </w:rPr>
            </w:pPr>
          </w:p>
          <w:p w14:paraId="0DFDD0DA"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0DF" w14:textId="77777777">
        <w:trPr>
          <w:trHeight w:val="2011"/>
        </w:trPr>
        <w:tc>
          <w:tcPr>
            <w:tcW w:w="7380" w:type="dxa"/>
            <w:tcBorders>
              <w:bottom w:val="single" w:sz="6" w:space="0" w:color="000000"/>
              <w:right w:val="single" w:sz="6" w:space="0" w:color="000000"/>
            </w:tcBorders>
          </w:tcPr>
          <w:p w14:paraId="0DFDD0DC" w14:textId="77777777" w:rsidR="00046465" w:rsidRDefault="008134EB">
            <w:pPr>
              <w:pStyle w:val="TableParagraph"/>
              <w:spacing w:before="121"/>
              <w:ind w:left="1203" w:right="150" w:hanging="360"/>
            </w:pPr>
            <w:r>
              <w:t>q.</w:t>
            </w:r>
            <w:r>
              <w:rPr>
                <w:spacing w:val="80"/>
              </w:rPr>
              <w:t xml:space="preserve"> </w:t>
            </w:r>
            <w:r>
              <w:t>If the auditor is a predecessor auditor who is requested to reissue a previously issued auditor’s report on financial statements that are to be presented on a comparative basis with</w:t>
            </w:r>
            <w:r>
              <w:rPr>
                <w:spacing w:val="-5"/>
              </w:rPr>
              <w:t xml:space="preserve"> </w:t>
            </w:r>
            <w:r>
              <w:t>audited</w:t>
            </w:r>
            <w:r>
              <w:rPr>
                <w:spacing w:val="-6"/>
              </w:rPr>
              <w:t xml:space="preserve"> </w:t>
            </w:r>
            <w:r>
              <w:t>financial</w:t>
            </w:r>
            <w:r>
              <w:rPr>
                <w:spacing w:val="-6"/>
              </w:rPr>
              <w:t xml:space="preserve"> </w:t>
            </w:r>
            <w:r>
              <w:t>statements</w:t>
            </w:r>
            <w:r>
              <w:rPr>
                <w:spacing w:val="-5"/>
              </w:rPr>
              <w:t xml:space="preserve"> </w:t>
            </w:r>
            <w:r>
              <w:t>of</w:t>
            </w:r>
            <w:r>
              <w:rPr>
                <w:spacing w:val="-5"/>
              </w:rPr>
              <w:t xml:space="preserve"> </w:t>
            </w:r>
            <w:r>
              <w:t>a</w:t>
            </w:r>
            <w:r>
              <w:rPr>
                <w:spacing w:val="-5"/>
              </w:rPr>
              <w:t xml:space="preserve"> </w:t>
            </w:r>
            <w:r>
              <w:t>subsequent</w:t>
            </w:r>
            <w:r>
              <w:rPr>
                <w:spacing w:val="-6"/>
              </w:rPr>
              <w:t xml:space="preserve"> </w:t>
            </w:r>
            <w:r>
              <w:t>period,</w:t>
            </w:r>
            <w:r>
              <w:rPr>
                <w:spacing w:val="-5"/>
              </w:rPr>
              <w:t xml:space="preserve"> </w:t>
            </w:r>
            <w:r>
              <w:t>did the auditor perform specified procedures to determine whether the previously issued auditor’s report is still appropriate before such report is reissued? (AU-C 560)</w:t>
            </w:r>
          </w:p>
        </w:tc>
        <w:tc>
          <w:tcPr>
            <w:tcW w:w="811" w:type="dxa"/>
            <w:tcBorders>
              <w:left w:val="single" w:sz="6" w:space="0" w:color="000000"/>
              <w:bottom w:val="single" w:sz="6" w:space="0" w:color="000000"/>
              <w:right w:val="single" w:sz="6" w:space="0" w:color="000000"/>
            </w:tcBorders>
          </w:tcPr>
          <w:p w14:paraId="0DFDD0DD" w14:textId="77777777" w:rsidR="00046465" w:rsidRDefault="00046465">
            <w:pPr>
              <w:pStyle w:val="TableParagraph"/>
              <w:rPr>
                <w:rFonts w:ascii="Times New Roman"/>
              </w:rPr>
            </w:pPr>
          </w:p>
        </w:tc>
        <w:tc>
          <w:tcPr>
            <w:tcW w:w="1349" w:type="dxa"/>
            <w:tcBorders>
              <w:left w:val="single" w:sz="6" w:space="0" w:color="000000"/>
              <w:bottom w:val="single" w:sz="6" w:space="0" w:color="000000"/>
            </w:tcBorders>
            <w:shd w:val="clear" w:color="auto" w:fill="BEBEBE"/>
          </w:tcPr>
          <w:p w14:paraId="0DFDD0DE" w14:textId="77777777" w:rsidR="00046465" w:rsidRDefault="00046465">
            <w:pPr>
              <w:pStyle w:val="TableParagraph"/>
              <w:rPr>
                <w:rFonts w:ascii="Times New Roman"/>
              </w:rPr>
            </w:pPr>
          </w:p>
        </w:tc>
      </w:tr>
      <w:tr w:rsidR="00046465" w14:paraId="0DFDD0E6" w14:textId="77777777">
        <w:trPr>
          <w:trHeight w:val="3448"/>
        </w:trPr>
        <w:tc>
          <w:tcPr>
            <w:tcW w:w="7380" w:type="dxa"/>
            <w:tcBorders>
              <w:top w:val="single" w:sz="6" w:space="0" w:color="000000"/>
              <w:bottom w:val="single" w:sz="6" w:space="0" w:color="000000"/>
              <w:right w:val="single" w:sz="6" w:space="0" w:color="000000"/>
            </w:tcBorders>
          </w:tcPr>
          <w:p w14:paraId="0DFDD0E0" w14:textId="77777777" w:rsidR="00046465" w:rsidRDefault="008134EB">
            <w:pPr>
              <w:pStyle w:val="TableParagraph"/>
              <w:numPr>
                <w:ilvl w:val="0"/>
                <w:numId w:val="43"/>
              </w:numPr>
              <w:tabs>
                <w:tab w:val="left" w:pos="1203"/>
              </w:tabs>
              <w:spacing w:before="121"/>
            </w:pPr>
            <w:r>
              <w:t>For</w:t>
            </w:r>
            <w:r>
              <w:rPr>
                <w:spacing w:val="-6"/>
              </w:rPr>
              <w:t xml:space="preserve"> </w:t>
            </w:r>
            <w:r>
              <w:t>entities</w:t>
            </w:r>
            <w:r>
              <w:rPr>
                <w:spacing w:val="-6"/>
              </w:rPr>
              <w:t xml:space="preserve"> </w:t>
            </w:r>
            <w:r>
              <w:t>that</w:t>
            </w:r>
            <w:r>
              <w:rPr>
                <w:spacing w:val="-6"/>
              </w:rPr>
              <w:t xml:space="preserve"> </w:t>
            </w:r>
            <w:r>
              <w:t>conform</w:t>
            </w:r>
            <w:r>
              <w:rPr>
                <w:spacing w:val="-6"/>
              </w:rPr>
              <w:t xml:space="preserve"> </w:t>
            </w:r>
            <w:r>
              <w:t>to</w:t>
            </w:r>
            <w:r>
              <w:rPr>
                <w:spacing w:val="-6"/>
              </w:rPr>
              <w:t xml:space="preserve"> </w:t>
            </w:r>
            <w:r>
              <w:t>FASB</w:t>
            </w:r>
            <w:r>
              <w:rPr>
                <w:spacing w:val="-6"/>
              </w:rPr>
              <w:t xml:space="preserve"> </w:t>
            </w:r>
            <w:r>
              <w:t>standards,</w:t>
            </w:r>
            <w:r>
              <w:rPr>
                <w:spacing w:val="-6"/>
              </w:rPr>
              <w:t xml:space="preserve"> </w:t>
            </w:r>
            <w:r>
              <w:t>did</w:t>
            </w:r>
            <w:r>
              <w:rPr>
                <w:spacing w:val="-5"/>
              </w:rPr>
              <w:t xml:space="preserve"> </w:t>
            </w:r>
            <w:r>
              <w:t>the</w:t>
            </w:r>
            <w:r>
              <w:rPr>
                <w:spacing w:val="-6"/>
              </w:rPr>
              <w:t xml:space="preserve"> </w:t>
            </w:r>
            <w:r>
              <w:rPr>
                <w:spacing w:val="-2"/>
              </w:rPr>
              <w:t>auditor</w:t>
            </w:r>
          </w:p>
          <w:p w14:paraId="0DFDD0E1" w14:textId="77777777" w:rsidR="00046465" w:rsidRDefault="008134EB">
            <w:pPr>
              <w:pStyle w:val="TableParagraph"/>
              <w:numPr>
                <w:ilvl w:val="1"/>
                <w:numId w:val="43"/>
              </w:numPr>
              <w:tabs>
                <w:tab w:val="left" w:pos="1520"/>
              </w:tabs>
              <w:spacing w:before="119"/>
              <w:ind w:right="592"/>
              <w:rPr>
                <w:rFonts w:ascii="Symbol" w:hAnsi="Symbol"/>
              </w:rPr>
            </w:pPr>
            <w:r>
              <w:t>evaluate and conclude, based on the audit evidence obtained,</w:t>
            </w:r>
            <w:r>
              <w:rPr>
                <w:spacing w:val="-6"/>
              </w:rPr>
              <w:t xml:space="preserve"> </w:t>
            </w:r>
            <w:r>
              <w:t>whether</w:t>
            </w:r>
            <w:r>
              <w:rPr>
                <w:spacing w:val="-6"/>
              </w:rPr>
              <w:t xml:space="preserve"> </w:t>
            </w:r>
            <w:r>
              <w:t>there</w:t>
            </w:r>
            <w:r>
              <w:rPr>
                <w:spacing w:val="-6"/>
              </w:rPr>
              <w:t xml:space="preserve"> </w:t>
            </w:r>
            <w:r>
              <w:t>is</w:t>
            </w:r>
            <w:r>
              <w:rPr>
                <w:spacing w:val="-6"/>
              </w:rPr>
              <w:t xml:space="preserve"> </w:t>
            </w:r>
            <w:r>
              <w:t>substantial</w:t>
            </w:r>
            <w:r>
              <w:rPr>
                <w:spacing w:val="-6"/>
              </w:rPr>
              <w:t xml:space="preserve"> </w:t>
            </w:r>
            <w:r>
              <w:t>doubt</w:t>
            </w:r>
            <w:r>
              <w:rPr>
                <w:spacing w:val="-6"/>
              </w:rPr>
              <w:t xml:space="preserve"> </w:t>
            </w:r>
            <w:r>
              <w:t>about</w:t>
            </w:r>
            <w:r>
              <w:rPr>
                <w:spacing w:val="-6"/>
              </w:rPr>
              <w:t xml:space="preserve"> </w:t>
            </w:r>
            <w:r>
              <w:t>the entity’s ability to continue as a going concern for a reasonable period of time;</w:t>
            </w:r>
          </w:p>
          <w:p w14:paraId="0DFDD0E2" w14:textId="77777777" w:rsidR="00046465" w:rsidRDefault="008134EB">
            <w:pPr>
              <w:pStyle w:val="TableParagraph"/>
              <w:numPr>
                <w:ilvl w:val="1"/>
                <w:numId w:val="43"/>
              </w:numPr>
              <w:tabs>
                <w:tab w:val="left" w:pos="1520"/>
              </w:tabs>
              <w:spacing w:before="118"/>
              <w:ind w:right="298"/>
              <w:rPr>
                <w:rFonts w:ascii="Symbol" w:hAnsi="Symbol"/>
              </w:rPr>
            </w:pPr>
            <w:r>
              <w:t>assess</w:t>
            </w:r>
            <w:r>
              <w:rPr>
                <w:spacing w:val="-5"/>
              </w:rPr>
              <w:t xml:space="preserve"> </w:t>
            </w:r>
            <w:r>
              <w:t>the</w:t>
            </w:r>
            <w:r>
              <w:rPr>
                <w:spacing w:val="-5"/>
              </w:rPr>
              <w:t xml:space="preserve"> </w:t>
            </w:r>
            <w:r>
              <w:t>possible</w:t>
            </w:r>
            <w:r>
              <w:rPr>
                <w:spacing w:val="-5"/>
              </w:rPr>
              <w:t xml:space="preserve"> </w:t>
            </w:r>
            <w:r>
              <w:t>financial</w:t>
            </w:r>
            <w:r>
              <w:rPr>
                <w:spacing w:val="-4"/>
              </w:rPr>
              <w:t xml:space="preserve"> </w:t>
            </w:r>
            <w:r>
              <w:t>statement</w:t>
            </w:r>
            <w:r>
              <w:rPr>
                <w:spacing w:val="-4"/>
              </w:rPr>
              <w:t xml:space="preserve"> </w:t>
            </w:r>
            <w:r>
              <w:t>effects,</w:t>
            </w:r>
            <w:r>
              <w:rPr>
                <w:spacing w:val="-5"/>
              </w:rPr>
              <w:t xml:space="preserve"> </w:t>
            </w:r>
            <w:r>
              <w:t>including the</w:t>
            </w:r>
            <w:r>
              <w:rPr>
                <w:spacing w:val="-7"/>
              </w:rPr>
              <w:t xml:space="preserve"> </w:t>
            </w:r>
            <w:r>
              <w:t>adequacy</w:t>
            </w:r>
            <w:r>
              <w:rPr>
                <w:spacing w:val="-7"/>
              </w:rPr>
              <w:t xml:space="preserve"> </w:t>
            </w:r>
            <w:r>
              <w:t>of</w:t>
            </w:r>
            <w:r>
              <w:rPr>
                <w:spacing w:val="-7"/>
              </w:rPr>
              <w:t xml:space="preserve"> </w:t>
            </w:r>
            <w:r>
              <w:t>disclosure</w:t>
            </w:r>
            <w:r>
              <w:rPr>
                <w:spacing w:val="-7"/>
              </w:rPr>
              <w:t xml:space="preserve"> </w:t>
            </w:r>
            <w:r>
              <w:t>regarding</w:t>
            </w:r>
            <w:r>
              <w:rPr>
                <w:spacing w:val="-7"/>
              </w:rPr>
              <w:t xml:space="preserve"> </w:t>
            </w:r>
            <w:r>
              <w:t>uncertainties</w:t>
            </w:r>
            <w:r>
              <w:rPr>
                <w:spacing w:val="-7"/>
              </w:rPr>
              <w:t xml:space="preserve"> </w:t>
            </w:r>
            <w:r>
              <w:t>about the entity’s ability to continue as a going concern for a reasonable period of time; and</w:t>
            </w:r>
          </w:p>
          <w:p w14:paraId="0DFDD0E3" w14:textId="77777777" w:rsidR="00046465" w:rsidRDefault="008134EB">
            <w:pPr>
              <w:pStyle w:val="TableParagraph"/>
              <w:numPr>
                <w:ilvl w:val="1"/>
                <w:numId w:val="43"/>
              </w:numPr>
              <w:tabs>
                <w:tab w:val="left" w:pos="1520"/>
              </w:tabs>
              <w:spacing w:before="124" w:line="235" w:lineRule="auto"/>
              <w:ind w:right="265"/>
              <w:rPr>
                <w:rFonts w:ascii="Symbol" w:hAnsi="Symbol"/>
                <w:sz w:val="24"/>
              </w:rPr>
            </w:pPr>
            <w:r>
              <w:t>determine</w:t>
            </w:r>
            <w:r>
              <w:rPr>
                <w:spacing w:val="-6"/>
              </w:rPr>
              <w:t xml:space="preserve"> </w:t>
            </w:r>
            <w:r>
              <w:t>the</w:t>
            </w:r>
            <w:r>
              <w:rPr>
                <w:spacing w:val="-6"/>
              </w:rPr>
              <w:t xml:space="preserve"> </w:t>
            </w:r>
            <w:r>
              <w:t>implications</w:t>
            </w:r>
            <w:r>
              <w:rPr>
                <w:spacing w:val="-6"/>
              </w:rPr>
              <w:t xml:space="preserve"> </w:t>
            </w:r>
            <w:r>
              <w:t>for</w:t>
            </w:r>
            <w:r>
              <w:rPr>
                <w:spacing w:val="-6"/>
              </w:rPr>
              <w:t xml:space="preserve"> </w:t>
            </w:r>
            <w:r>
              <w:t>the</w:t>
            </w:r>
            <w:r>
              <w:rPr>
                <w:spacing w:val="-6"/>
              </w:rPr>
              <w:t xml:space="preserve"> </w:t>
            </w:r>
            <w:r>
              <w:t>auditor’s</w:t>
            </w:r>
            <w:r>
              <w:rPr>
                <w:spacing w:val="-6"/>
              </w:rPr>
              <w:t xml:space="preserve"> </w:t>
            </w:r>
            <w:r>
              <w:t>report?</w:t>
            </w:r>
            <w:r>
              <w:rPr>
                <w:spacing w:val="-7"/>
              </w:rPr>
              <w:t xml:space="preserve"> </w:t>
            </w:r>
            <w:r>
              <w:t xml:space="preserve">(AU-C </w:t>
            </w:r>
            <w:r>
              <w:rPr>
                <w:spacing w:val="-4"/>
              </w:rPr>
              <w:t>570)</w:t>
            </w:r>
          </w:p>
        </w:tc>
        <w:tc>
          <w:tcPr>
            <w:tcW w:w="811" w:type="dxa"/>
            <w:tcBorders>
              <w:top w:val="single" w:sz="6" w:space="0" w:color="000000"/>
              <w:left w:val="single" w:sz="6" w:space="0" w:color="000000"/>
              <w:bottom w:val="single" w:sz="6" w:space="0" w:color="000000"/>
              <w:right w:val="single" w:sz="6" w:space="0" w:color="000000"/>
            </w:tcBorders>
          </w:tcPr>
          <w:p w14:paraId="0DFDD0E4" w14:textId="77777777" w:rsidR="00046465" w:rsidRDefault="00046465">
            <w:pPr>
              <w:pStyle w:val="TableParagraph"/>
              <w:rPr>
                <w:rFonts w:ascii="Times New Roman"/>
              </w:rPr>
            </w:pPr>
          </w:p>
        </w:tc>
        <w:tc>
          <w:tcPr>
            <w:tcW w:w="1349" w:type="dxa"/>
            <w:tcBorders>
              <w:top w:val="single" w:sz="6" w:space="0" w:color="000000"/>
              <w:left w:val="single" w:sz="6" w:space="0" w:color="000000"/>
              <w:bottom w:val="single" w:sz="6" w:space="0" w:color="000000"/>
            </w:tcBorders>
            <w:shd w:val="clear" w:color="auto" w:fill="BEBEBE"/>
          </w:tcPr>
          <w:p w14:paraId="0DFDD0E5" w14:textId="77777777" w:rsidR="00046465" w:rsidRDefault="00046465">
            <w:pPr>
              <w:pStyle w:val="TableParagraph"/>
              <w:rPr>
                <w:rFonts w:ascii="Times New Roman"/>
              </w:rPr>
            </w:pPr>
          </w:p>
        </w:tc>
      </w:tr>
      <w:tr w:rsidR="00046465" w14:paraId="0DFDD0ED" w14:textId="77777777">
        <w:trPr>
          <w:trHeight w:val="4711"/>
        </w:trPr>
        <w:tc>
          <w:tcPr>
            <w:tcW w:w="7380" w:type="dxa"/>
            <w:tcBorders>
              <w:top w:val="single" w:sz="6" w:space="0" w:color="000000"/>
              <w:bottom w:val="single" w:sz="6" w:space="0" w:color="000000"/>
              <w:right w:val="single" w:sz="6" w:space="0" w:color="000000"/>
            </w:tcBorders>
          </w:tcPr>
          <w:p w14:paraId="0DFDD0E7" w14:textId="77777777" w:rsidR="00046465" w:rsidRDefault="008134EB">
            <w:pPr>
              <w:pStyle w:val="TableParagraph"/>
              <w:numPr>
                <w:ilvl w:val="0"/>
                <w:numId w:val="42"/>
              </w:numPr>
              <w:tabs>
                <w:tab w:val="left" w:pos="1202"/>
              </w:tabs>
              <w:spacing w:before="119"/>
              <w:ind w:left="1202" w:hanging="359"/>
            </w:pPr>
            <w:r>
              <w:t>Did</w:t>
            </w:r>
            <w:r>
              <w:rPr>
                <w:spacing w:val="-4"/>
              </w:rPr>
              <w:t xml:space="preserve"> </w:t>
            </w:r>
            <w:r>
              <w:t>the</w:t>
            </w:r>
            <w:r>
              <w:rPr>
                <w:spacing w:val="-4"/>
              </w:rPr>
              <w:t xml:space="preserve"> </w:t>
            </w:r>
            <w:r>
              <w:rPr>
                <w:spacing w:val="-2"/>
              </w:rPr>
              <w:t>auditor</w:t>
            </w:r>
          </w:p>
          <w:p w14:paraId="0DFDD0E8" w14:textId="77777777" w:rsidR="00046465" w:rsidRDefault="008134EB">
            <w:pPr>
              <w:pStyle w:val="TableParagraph"/>
              <w:numPr>
                <w:ilvl w:val="1"/>
                <w:numId w:val="42"/>
              </w:numPr>
              <w:tabs>
                <w:tab w:val="left" w:pos="1520"/>
              </w:tabs>
              <w:spacing w:before="120"/>
              <w:ind w:right="152"/>
              <w:rPr>
                <w:rFonts w:ascii="Symbol" w:hAnsi="Symbol"/>
              </w:rPr>
            </w:pPr>
            <w:r>
              <w:t>obtain written representations from management and, when appropriate, those charged with governance that they</w:t>
            </w:r>
            <w:r>
              <w:rPr>
                <w:spacing w:val="-5"/>
              </w:rPr>
              <w:t xml:space="preserve"> </w:t>
            </w:r>
            <w:r>
              <w:t>believe</w:t>
            </w:r>
            <w:r>
              <w:rPr>
                <w:spacing w:val="-6"/>
              </w:rPr>
              <w:t xml:space="preserve"> </w:t>
            </w:r>
            <w:r>
              <w:t>that</w:t>
            </w:r>
            <w:r>
              <w:rPr>
                <w:spacing w:val="-5"/>
              </w:rPr>
              <w:t xml:space="preserve"> </w:t>
            </w:r>
            <w:r>
              <w:t>they</w:t>
            </w:r>
            <w:r>
              <w:rPr>
                <w:spacing w:val="-5"/>
              </w:rPr>
              <w:t xml:space="preserve"> </w:t>
            </w:r>
            <w:r>
              <w:t>have</w:t>
            </w:r>
            <w:r>
              <w:rPr>
                <w:spacing w:val="-5"/>
              </w:rPr>
              <w:t xml:space="preserve"> </w:t>
            </w:r>
            <w:r>
              <w:t>fulfilled</w:t>
            </w:r>
            <w:r>
              <w:rPr>
                <w:spacing w:val="-5"/>
              </w:rPr>
              <w:t xml:space="preserve"> </w:t>
            </w:r>
            <w:r>
              <w:t>their</w:t>
            </w:r>
            <w:r>
              <w:rPr>
                <w:spacing w:val="-5"/>
              </w:rPr>
              <w:t xml:space="preserve"> </w:t>
            </w:r>
            <w:r>
              <w:t>responsibilities</w:t>
            </w:r>
            <w:r>
              <w:rPr>
                <w:spacing w:val="-5"/>
              </w:rPr>
              <w:t xml:space="preserve"> </w:t>
            </w:r>
            <w:r>
              <w:t>for the preparation and fair presentation of the financial statements and for the completeness of the information provided to the auditor;</w:t>
            </w:r>
          </w:p>
          <w:p w14:paraId="0DFDD0E9" w14:textId="77777777" w:rsidR="00046465" w:rsidRDefault="008134EB">
            <w:pPr>
              <w:pStyle w:val="TableParagraph"/>
              <w:numPr>
                <w:ilvl w:val="1"/>
                <w:numId w:val="42"/>
              </w:numPr>
              <w:tabs>
                <w:tab w:val="left" w:pos="1520"/>
              </w:tabs>
              <w:spacing w:before="118"/>
              <w:ind w:right="325"/>
              <w:rPr>
                <w:rFonts w:ascii="Symbol" w:hAnsi="Symbol"/>
              </w:rPr>
            </w:pPr>
            <w:r>
              <w:t>support other audit evidence relevant to the financial statements or specific assertions in the financial statements</w:t>
            </w:r>
            <w:r>
              <w:rPr>
                <w:spacing w:val="-8"/>
              </w:rPr>
              <w:t xml:space="preserve"> </w:t>
            </w:r>
            <w:r>
              <w:t>through</w:t>
            </w:r>
            <w:r>
              <w:rPr>
                <w:spacing w:val="-8"/>
              </w:rPr>
              <w:t xml:space="preserve"> </w:t>
            </w:r>
            <w:r>
              <w:t>written</w:t>
            </w:r>
            <w:r>
              <w:rPr>
                <w:spacing w:val="-8"/>
              </w:rPr>
              <w:t xml:space="preserve"> </w:t>
            </w:r>
            <w:r>
              <w:t>representations</w:t>
            </w:r>
            <w:r>
              <w:rPr>
                <w:spacing w:val="-8"/>
              </w:rPr>
              <w:t xml:space="preserve"> </w:t>
            </w:r>
            <w:r>
              <w:t>if</w:t>
            </w:r>
            <w:r>
              <w:rPr>
                <w:spacing w:val="-8"/>
              </w:rPr>
              <w:t xml:space="preserve"> </w:t>
            </w:r>
            <w:r>
              <w:t>determined necessary by the auditor or required by other AU-C sections; and</w:t>
            </w:r>
          </w:p>
          <w:p w14:paraId="0DFDD0EA" w14:textId="77777777" w:rsidR="00046465" w:rsidRDefault="008134EB">
            <w:pPr>
              <w:pStyle w:val="TableParagraph"/>
              <w:numPr>
                <w:ilvl w:val="1"/>
                <w:numId w:val="42"/>
              </w:numPr>
              <w:tabs>
                <w:tab w:val="left" w:pos="1520"/>
              </w:tabs>
              <w:spacing w:before="122" w:line="237" w:lineRule="auto"/>
              <w:ind w:right="312"/>
              <w:rPr>
                <w:rFonts w:ascii="Symbol" w:hAnsi="Symbol"/>
                <w:sz w:val="24"/>
              </w:rPr>
            </w:pPr>
            <w:r>
              <w:t>respond</w:t>
            </w:r>
            <w:r>
              <w:rPr>
                <w:spacing w:val="-5"/>
              </w:rPr>
              <w:t xml:space="preserve"> </w:t>
            </w:r>
            <w:r>
              <w:t>appropriately</w:t>
            </w:r>
            <w:r>
              <w:rPr>
                <w:spacing w:val="-5"/>
              </w:rPr>
              <w:t xml:space="preserve"> </w:t>
            </w:r>
            <w:r>
              <w:t>if</w:t>
            </w:r>
            <w:r>
              <w:rPr>
                <w:spacing w:val="-6"/>
              </w:rPr>
              <w:t xml:space="preserve"> </w:t>
            </w:r>
            <w:r>
              <w:t>the</w:t>
            </w:r>
            <w:r>
              <w:rPr>
                <w:spacing w:val="-5"/>
              </w:rPr>
              <w:t xml:space="preserve"> </w:t>
            </w:r>
            <w:r>
              <w:t>auditor</w:t>
            </w:r>
            <w:r>
              <w:rPr>
                <w:spacing w:val="-5"/>
              </w:rPr>
              <w:t xml:space="preserve"> </w:t>
            </w:r>
            <w:r>
              <w:t>has</w:t>
            </w:r>
            <w:r>
              <w:rPr>
                <w:spacing w:val="-5"/>
              </w:rPr>
              <w:t xml:space="preserve"> </w:t>
            </w:r>
            <w:r>
              <w:t>doubts</w:t>
            </w:r>
            <w:r>
              <w:rPr>
                <w:spacing w:val="-5"/>
              </w:rPr>
              <w:t xml:space="preserve"> </w:t>
            </w:r>
            <w:r>
              <w:t>about</w:t>
            </w:r>
            <w:r>
              <w:rPr>
                <w:spacing w:val="-5"/>
              </w:rPr>
              <w:t xml:space="preserve"> </w:t>
            </w:r>
            <w:r>
              <w:t>the reliability of the written representations provided or if the requested written representations were not provided? (AU-C 580)</w:t>
            </w:r>
          </w:p>
        </w:tc>
        <w:tc>
          <w:tcPr>
            <w:tcW w:w="811" w:type="dxa"/>
            <w:tcBorders>
              <w:top w:val="single" w:sz="6" w:space="0" w:color="000000"/>
              <w:left w:val="single" w:sz="6" w:space="0" w:color="000000"/>
              <w:bottom w:val="single" w:sz="6" w:space="0" w:color="000000"/>
              <w:right w:val="single" w:sz="6" w:space="0" w:color="000000"/>
            </w:tcBorders>
          </w:tcPr>
          <w:p w14:paraId="0DFDD0EB" w14:textId="77777777" w:rsidR="00046465" w:rsidRDefault="00046465">
            <w:pPr>
              <w:pStyle w:val="TableParagraph"/>
              <w:rPr>
                <w:rFonts w:ascii="Times New Roman"/>
              </w:rPr>
            </w:pPr>
          </w:p>
        </w:tc>
        <w:tc>
          <w:tcPr>
            <w:tcW w:w="1349" w:type="dxa"/>
            <w:tcBorders>
              <w:top w:val="single" w:sz="6" w:space="0" w:color="000000"/>
              <w:left w:val="single" w:sz="6" w:space="0" w:color="000000"/>
              <w:bottom w:val="single" w:sz="6" w:space="0" w:color="000000"/>
            </w:tcBorders>
            <w:shd w:val="clear" w:color="auto" w:fill="BEBEBE"/>
          </w:tcPr>
          <w:p w14:paraId="0DFDD0EC" w14:textId="77777777" w:rsidR="00046465" w:rsidRDefault="00046465">
            <w:pPr>
              <w:pStyle w:val="TableParagraph"/>
              <w:rPr>
                <w:rFonts w:ascii="Times New Roman"/>
              </w:rPr>
            </w:pPr>
          </w:p>
        </w:tc>
      </w:tr>
      <w:tr w:rsidR="00046465" w14:paraId="0DFDD0F1" w14:textId="77777777">
        <w:trPr>
          <w:trHeight w:val="1132"/>
        </w:trPr>
        <w:tc>
          <w:tcPr>
            <w:tcW w:w="7380" w:type="dxa"/>
            <w:tcBorders>
              <w:top w:val="single" w:sz="6" w:space="0" w:color="000000"/>
              <w:right w:val="single" w:sz="6" w:space="0" w:color="000000"/>
            </w:tcBorders>
          </w:tcPr>
          <w:p w14:paraId="0DFDD0EE" w14:textId="77777777" w:rsidR="00046465" w:rsidRDefault="008134EB">
            <w:pPr>
              <w:pStyle w:val="TableParagraph"/>
              <w:tabs>
                <w:tab w:val="left" w:pos="1203"/>
              </w:tabs>
              <w:spacing w:before="101" w:line="250" w:lineRule="atLeast"/>
              <w:ind w:left="1203" w:right="288" w:hanging="360"/>
            </w:pPr>
            <w:r>
              <w:rPr>
                <w:spacing w:val="-6"/>
              </w:rPr>
              <w:t>t.</w:t>
            </w:r>
            <w:r>
              <w:tab/>
              <w:t>Did the auditor assess the effect of omitted procedures of which the auditor becomes aware on the auditor’s present ability to support the previously expressed opinion on the financial</w:t>
            </w:r>
            <w:r>
              <w:rPr>
                <w:spacing w:val="-8"/>
              </w:rPr>
              <w:t xml:space="preserve"> </w:t>
            </w:r>
            <w:r>
              <w:t>statements</w:t>
            </w:r>
            <w:r>
              <w:rPr>
                <w:spacing w:val="-7"/>
              </w:rPr>
              <w:t xml:space="preserve"> </w:t>
            </w:r>
            <w:r>
              <w:t>and</w:t>
            </w:r>
            <w:r>
              <w:rPr>
                <w:spacing w:val="-7"/>
              </w:rPr>
              <w:t xml:space="preserve"> </w:t>
            </w:r>
            <w:r>
              <w:t>respond</w:t>
            </w:r>
            <w:r>
              <w:rPr>
                <w:spacing w:val="-7"/>
              </w:rPr>
              <w:t xml:space="preserve"> </w:t>
            </w:r>
            <w:r>
              <w:t>appropriately?</w:t>
            </w:r>
            <w:r>
              <w:rPr>
                <w:spacing w:val="-7"/>
              </w:rPr>
              <w:t xml:space="preserve"> </w:t>
            </w:r>
            <w:r>
              <w:t>(AU-C</w:t>
            </w:r>
            <w:r>
              <w:rPr>
                <w:spacing w:val="-8"/>
              </w:rPr>
              <w:t xml:space="preserve"> </w:t>
            </w:r>
            <w:r>
              <w:t>585)</w:t>
            </w:r>
          </w:p>
        </w:tc>
        <w:tc>
          <w:tcPr>
            <w:tcW w:w="811" w:type="dxa"/>
            <w:tcBorders>
              <w:top w:val="single" w:sz="6" w:space="0" w:color="000000"/>
              <w:left w:val="single" w:sz="6" w:space="0" w:color="000000"/>
              <w:right w:val="single" w:sz="6" w:space="0" w:color="000000"/>
            </w:tcBorders>
          </w:tcPr>
          <w:p w14:paraId="0DFDD0EF" w14:textId="77777777" w:rsidR="00046465" w:rsidRDefault="00046465">
            <w:pPr>
              <w:pStyle w:val="TableParagraph"/>
              <w:rPr>
                <w:rFonts w:ascii="Times New Roman"/>
              </w:rPr>
            </w:pPr>
          </w:p>
        </w:tc>
        <w:tc>
          <w:tcPr>
            <w:tcW w:w="1349" w:type="dxa"/>
            <w:tcBorders>
              <w:top w:val="single" w:sz="6" w:space="0" w:color="000000"/>
              <w:left w:val="single" w:sz="6" w:space="0" w:color="000000"/>
            </w:tcBorders>
            <w:shd w:val="clear" w:color="auto" w:fill="BEBEBE"/>
          </w:tcPr>
          <w:p w14:paraId="0DFDD0F0" w14:textId="77777777" w:rsidR="00046465" w:rsidRDefault="00046465">
            <w:pPr>
              <w:pStyle w:val="TableParagraph"/>
              <w:rPr>
                <w:rFonts w:ascii="Times New Roman"/>
              </w:rPr>
            </w:pPr>
          </w:p>
        </w:tc>
      </w:tr>
    </w:tbl>
    <w:p w14:paraId="0DFDD0F2"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0F3" w14:textId="77777777" w:rsidR="00046465" w:rsidRDefault="008134EB" w:rsidP="00C30459">
      <w:pPr>
        <w:pStyle w:val="Heading4"/>
        <w:ind w:left="1080"/>
      </w:pPr>
      <w:bookmarkStart w:id="415" w:name="Section_III:_Communicating_with_Auditor’"/>
      <w:bookmarkEnd w:id="415"/>
      <w:r>
        <w:lastRenderedPageBreak/>
        <w:t>Section</w:t>
      </w:r>
      <w:r>
        <w:rPr>
          <w:spacing w:val="-14"/>
        </w:rPr>
        <w:t xml:space="preserve"> </w:t>
      </w:r>
      <w:r>
        <w:t>III:</w:t>
      </w:r>
      <w:r>
        <w:rPr>
          <w:spacing w:val="-12"/>
        </w:rPr>
        <w:t xml:space="preserve"> </w:t>
      </w:r>
      <w:r>
        <w:t>Communicating</w:t>
      </w:r>
      <w:r>
        <w:rPr>
          <w:spacing w:val="-14"/>
        </w:rPr>
        <w:t xml:space="preserve"> </w:t>
      </w:r>
      <w:r>
        <w:t>with</w:t>
      </w:r>
      <w:r>
        <w:rPr>
          <w:spacing w:val="-13"/>
        </w:rPr>
        <w:t xml:space="preserve"> </w:t>
      </w:r>
      <w:r>
        <w:t>Auditor’s</w:t>
      </w:r>
      <w:r>
        <w:rPr>
          <w:spacing w:val="-13"/>
        </w:rPr>
        <w:t xml:space="preserve"> </w:t>
      </w:r>
      <w:r>
        <w:t>Specialists</w:t>
      </w:r>
      <w:r>
        <w:rPr>
          <w:spacing w:val="-12"/>
        </w:rPr>
        <w:t xml:space="preserve"> </w:t>
      </w:r>
      <w:r>
        <w:t>and</w:t>
      </w:r>
      <w:r>
        <w:rPr>
          <w:spacing w:val="-14"/>
        </w:rPr>
        <w:t xml:space="preserve"> </w:t>
      </w:r>
      <w:r>
        <w:rPr>
          <w:spacing w:val="-2"/>
        </w:rPr>
        <w:t>Reviewer</w:t>
      </w:r>
    </w:p>
    <w:p w14:paraId="0DFDD0F4" w14:textId="77777777" w:rsidR="00046465" w:rsidRDefault="00046465">
      <w:pPr>
        <w:pStyle w:val="BodyText"/>
        <w:spacing w:before="5"/>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260"/>
      </w:tblGrid>
      <w:tr w:rsidR="00046465" w14:paraId="0DFDD0FA" w14:textId="77777777">
        <w:trPr>
          <w:trHeight w:val="938"/>
        </w:trPr>
        <w:tc>
          <w:tcPr>
            <w:tcW w:w="7380" w:type="dxa"/>
            <w:tcBorders>
              <w:bottom w:val="single" w:sz="6" w:space="0" w:color="000000"/>
              <w:right w:val="single" w:sz="8" w:space="0" w:color="000000"/>
            </w:tcBorders>
            <w:shd w:val="clear" w:color="auto" w:fill="A6A6A6"/>
          </w:tcPr>
          <w:p w14:paraId="0DFDD0F5" w14:textId="77777777" w:rsidR="00046465" w:rsidRDefault="008134EB">
            <w:pPr>
              <w:pStyle w:val="TableParagraph"/>
              <w:spacing w:before="267"/>
              <w:ind w:left="123"/>
              <w:rPr>
                <w:b/>
                <w:sz w:val="24"/>
              </w:rPr>
            </w:pPr>
            <w:r>
              <w:rPr>
                <w:b/>
                <w:sz w:val="24"/>
              </w:rPr>
              <w:t>Section</w:t>
            </w:r>
            <w:r>
              <w:rPr>
                <w:b/>
                <w:spacing w:val="-6"/>
                <w:sz w:val="24"/>
              </w:rPr>
              <w:t xml:space="preserve"> </w:t>
            </w:r>
            <w:r>
              <w:rPr>
                <w:b/>
                <w:sz w:val="24"/>
              </w:rPr>
              <w:t>III:</w:t>
            </w:r>
            <w:r>
              <w:rPr>
                <w:b/>
                <w:spacing w:val="-7"/>
                <w:sz w:val="24"/>
              </w:rPr>
              <w:t xml:space="preserve"> </w:t>
            </w:r>
            <w:r>
              <w:rPr>
                <w:b/>
                <w:sz w:val="24"/>
              </w:rPr>
              <w:t>Communicating</w:t>
            </w:r>
            <w:r>
              <w:rPr>
                <w:b/>
                <w:spacing w:val="-6"/>
                <w:sz w:val="24"/>
              </w:rPr>
              <w:t xml:space="preserve"> </w:t>
            </w:r>
            <w:r>
              <w:rPr>
                <w:b/>
                <w:sz w:val="24"/>
              </w:rPr>
              <w:t>with</w:t>
            </w:r>
            <w:r>
              <w:rPr>
                <w:b/>
                <w:spacing w:val="-6"/>
                <w:sz w:val="24"/>
              </w:rPr>
              <w:t xml:space="preserve"> </w:t>
            </w:r>
            <w:r>
              <w:rPr>
                <w:b/>
                <w:sz w:val="24"/>
              </w:rPr>
              <w:t>Auditor’s</w:t>
            </w:r>
            <w:r>
              <w:rPr>
                <w:b/>
                <w:spacing w:val="-6"/>
                <w:sz w:val="24"/>
              </w:rPr>
              <w:t xml:space="preserve"> </w:t>
            </w:r>
            <w:r>
              <w:rPr>
                <w:b/>
                <w:sz w:val="24"/>
              </w:rPr>
              <w:t>Specialists</w:t>
            </w:r>
            <w:r>
              <w:rPr>
                <w:b/>
                <w:spacing w:val="-7"/>
                <w:sz w:val="24"/>
              </w:rPr>
              <w:t xml:space="preserve"> </w:t>
            </w:r>
            <w:r>
              <w:rPr>
                <w:b/>
                <w:sz w:val="24"/>
              </w:rPr>
              <w:t xml:space="preserve">and </w:t>
            </w:r>
            <w:r>
              <w:rPr>
                <w:b/>
                <w:spacing w:val="-2"/>
                <w:sz w:val="24"/>
              </w:rPr>
              <w:t>Reviewer</w:t>
            </w:r>
          </w:p>
        </w:tc>
        <w:tc>
          <w:tcPr>
            <w:tcW w:w="810" w:type="dxa"/>
            <w:tcBorders>
              <w:left w:val="single" w:sz="8" w:space="0" w:color="000000"/>
              <w:bottom w:val="single" w:sz="6" w:space="0" w:color="000000"/>
              <w:right w:val="single" w:sz="8" w:space="0" w:color="000000"/>
            </w:tcBorders>
            <w:shd w:val="clear" w:color="auto" w:fill="A6A6A6"/>
          </w:tcPr>
          <w:p w14:paraId="0DFDD0F6" w14:textId="77777777" w:rsidR="00046465" w:rsidRDefault="008134EB">
            <w:pPr>
              <w:pStyle w:val="TableParagraph"/>
              <w:spacing w:before="121"/>
              <w:ind w:left="182" w:right="159" w:hanging="6"/>
              <w:jc w:val="both"/>
              <w:rPr>
                <w:b/>
              </w:rPr>
            </w:pPr>
            <w:r>
              <w:rPr>
                <w:b/>
                <w:spacing w:val="-4"/>
              </w:rPr>
              <w:t>Yes, No,* N/A</w:t>
            </w:r>
          </w:p>
        </w:tc>
        <w:tc>
          <w:tcPr>
            <w:tcW w:w="1260" w:type="dxa"/>
            <w:tcBorders>
              <w:left w:val="single" w:sz="8" w:space="0" w:color="000000"/>
              <w:bottom w:val="single" w:sz="6" w:space="0" w:color="000000"/>
            </w:tcBorders>
            <w:shd w:val="clear" w:color="auto" w:fill="A6A6A6"/>
          </w:tcPr>
          <w:p w14:paraId="0DFDD0F7" w14:textId="77777777" w:rsidR="00046465" w:rsidRDefault="00046465">
            <w:pPr>
              <w:pStyle w:val="TableParagraph"/>
              <w:rPr>
                <w:b/>
              </w:rPr>
            </w:pPr>
          </w:p>
          <w:p w14:paraId="0DFDD0F8" w14:textId="77777777" w:rsidR="00046465" w:rsidRDefault="00046465">
            <w:pPr>
              <w:pStyle w:val="TableParagraph"/>
              <w:spacing w:before="120"/>
              <w:rPr>
                <w:b/>
              </w:rPr>
            </w:pPr>
          </w:p>
          <w:p w14:paraId="0DFDD0F9" w14:textId="77777777" w:rsidR="00046465" w:rsidRDefault="008134EB">
            <w:pPr>
              <w:pStyle w:val="TableParagraph"/>
              <w:ind w:left="186"/>
              <w:rPr>
                <w:b/>
              </w:rPr>
            </w:pPr>
            <w:r>
              <w:rPr>
                <w:b/>
              </w:rPr>
              <w:t>Doc.</w:t>
            </w:r>
            <w:r>
              <w:rPr>
                <w:b/>
                <w:spacing w:val="-6"/>
              </w:rPr>
              <w:t xml:space="preserve"> </w:t>
            </w:r>
            <w:r>
              <w:rPr>
                <w:b/>
                <w:spacing w:val="-4"/>
              </w:rPr>
              <w:t>ref.</w:t>
            </w:r>
          </w:p>
        </w:tc>
      </w:tr>
      <w:tr w:rsidR="00046465" w14:paraId="0DFDD0FE" w14:textId="77777777">
        <w:trPr>
          <w:trHeight w:val="1504"/>
        </w:trPr>
        <w:tc>
          <w:tcPr>
            <w:tcW w:w="7380" w:type="dxa"/>
            <w:tcBorders>
              <w:top w:val="single" w:sz="6" w:space="0" w:color="000000"/>
              <w:bottom w:val="single" w:sz="8" w:space="0" w:color="000000"/>
              <w:right w:val="single" w:sz="8" w:space="0" w:color="000000"/>
            </w:tcBorders>
          </w:tcPr>
          <w:p w14:paraId="0DFDD0FB" w14:textId="77777777" w:rsidR="00046465" w:rsidRDefault="008134EB">
            <w:pPr>
              <w:pStyle w:val="TableParagraph"/>
              <w:spacing w:before="119"/>
              <w:ind w:left="843" w:right="172" w:hanging="360"/>
            </w:pPr>
            <w:r>
              <w:t>1.</w:t>
            </w:r>
            <w:r>
              <w:rPr>
                <w:spacing w:val="80"/>
              </w:rPr>
              <w:t xml:space="preserve"> </w:t>
            </w:r>
            <w:r>
              <w:t>If expertise in a field other than accounting or auditing is necessary</w:t>
            </w:r>
            <w:r>
              <w:rPr>
                <w:spacing w:val="-1"/>
              </w:rPr>
              <w:t xml:space="preserve"> </w:t>
            </w:r>
            <w:r>
              <w:t>to obtain sufficient appropriate audit</w:t>
            </w:r>
            <w:r>
              <w:rPr>
                <w:spacing w:val="-1"/>
              </w:rPr>
              <w:t xml:space="preserve"> </w:t>
            </w:r>
            <w:r>
              <w:t>evidence, did the auditor use the work of an auditor’s specialist (e.g., audit sampling</w:t>
            </w:r>
            <w:r>
              <w:rPr>
                <w:spacing w:val="-7"/>
              </w:rPr>
              <w:t xml:space="preserve"> </w:t>
            </w:r>
            <w:r>
              <w:t>specialist,</w:t>
            </w:r>
            <w:r>
              <w:rPr>
                <w:spacing w:val="-7"/>
              </w:rPr>
              <w:t xml:space="preserve"> </w:t>
            </w:r>
            <w:r>
              <w:t>IT</w:t>
            </w:r>
            <w:r>
              <w:rPr>
                <w:spacing w:val="-7"/>
              </w:rPr>
              <w:t xml:space="preserve"> </w:t>
            </w:r>
            <w:r>
              <w:t>specialist,</w:t>
            </w:r>
            <w:r>
              <w:rPr>
                <w:spacing w:val="-7"/>
              </w:rPr>
              <w:t xml:space="preserve"> </w:t>
            </w:r>
            <w:r>
              <w:t>actuary,</w:t>
            </w:r>
            <w:r>
              <w:rPr>
                <w:spacing w:val="-7"/>
              </w:rPr>
              <w:t xml:space="preserve"> </w:t>
            </w:r>
            <w:r>
              <w:t>statistician,</w:t>
            </w:r>
            <w:r>
              <w:rPr>
                <w:spacing w:val="-7"/>
              </w:rPr>
              <w:t xml:space="preserve"> </w:t>
            </w:r>
            <w:r>
              <w:t>economist, or legal counsel)? (FAM 620)</w:t>
            </w:r>
          </w:p>
        </w:tc>
        <w:tc>
          <w:tcPr>
            <w:tcW w:w="810" w:type="dxa"/>
            <w:tcBorders>
              <w:top w:val="single" w:sz="6" w:space="0" w:color="000000"/>
              <w:left w:val="single" w:sz="8" w:space="0" w:color="000000"/>
              <w:bottom w:val="single" w:sz="8" w:space="0" w:color="000000"/>
              <w:right w:val="single" w:sz="8" w:space="0" w:color="000000"/>
            </w:tcBorders>
          </w:tcPr>
          <w:p w14:paraId="0DFDD0FC" w14:textId="77777777" w:rsidR="00046465" w:rsidRDefault="00046465">
            <w:pPr>
              <w:pStyle w:val="TableParagraph"/>
              <w:rPr>
                <w:rFonts w:ascii="Times New Roman"/>
              </w:rPr>
            </w:pPr>
          </w:p>
        </w:tc>
        <w:tc>
          <w:tcPr>
            <w:tcW w:w="1260" w:type="dxa"/>
            <w:tcBorders>
              <w:top w:val="single" w:sz="6" w:space="0" w:color="000000"/>
              <w:left w:val="single" w:sz="8" w:space="0" w:color="000000"/>
              <w:bottom w:val="single" w:sz="8" w:space="0" w:color="000000"/>
            </w:tcBorders>
          </w:tcPr>
          <w:p w14:paraId="0DFDD0FD" w14:textId="77777777" w:rsidR="00046465" w:rsidRDefault="00046465">
            <w:pPr>
              <w:pStyle w:val="TableParagraph"/>
              <w:rPr>
                <w:rFonts w:ascii="Times New Roman"/>
              </w:rPr>
            </w:pPr>
          </w:p>
        </w:tc>
      </w:tr>
      <w:tr w:rsidR="00046465" w14:paraId="0DFDD102" w14:textId="77777777">
        <w:trPr>
          <w:trHeight w:val="745"/>
        </w:trPr>
        <w:tc>
          <w:tcPr>
            <w:tcW w:w="7380" w:type="dxa"/>
            <w:tcBorders>
              <w:top w:val="single" w:sz="8" w:space="0" w:color="000000"/>
              <w:bottom w:val="single" w:sz="8" w:space="0" w:color="000000"/>
              <w:right w:val="single" w:sz="8" w:space="0" w:color="000000"/>
            </w:tcBorders>
          </w:tcPr>
          <w:p w14:paraId="0DFDD0FF" w14:textId="77777777" w:rsidR="00046465" w:rsidRDefault="008134EB">
            <w:pPr>
              <w:pStyle w:val="TableParagraph"/>
              <w:spacing w:before="121"/>
              <w:ind w:left="843" w:hanging="360"/>
            </w:pPr>
            <w:r>
              <w:t>2.</w:t>
            </w:r>
            <w:r>
              <w:rPr>
                <w:spacing w:val="80"/>
              </w:rPr>
              <w:t xml:space="preserve"> </w:t>
            </w:r>
            <w:r>
              <w:t>Did</w:t>
            </w:r>
            <w:r>
              <w:rPr>
                <w:spacing w:val="-3"/>
              </w:rPr>
              <w:t xml:space="preserve"> </w:t>
            </w:r>
            <w:r>
              <w:t>the</w:t>
            </w:r>
            <w:r>
              <w:rPr>
                <w:spacing w:val="-3"/>
              </w:rPr>
              <w:t xml:space="preserve"> </w:t>
            </w:r>
            <w:r>
              <w:t>auditor</w:t>
            </w:r>
            <w:r>
              <w:rPr>
                <w:spacing w:val="-3"/>
              </w:rPr>
              <w:t xml:space="preserve"> </w:t>
            </w:r>
            <w:r>
              <w:t>consult</w:t>
            </w:r>
            <w:r>
              <w:rPr>
                <w:spacing w:val="-4"/>
              </w:rPr>
              <w:t xml:space="preserve"> </w:t>
            </w:r>
            <w:r>
              <w:t>with</w:t>
            </w:r>
            <w:r>
              <w:rPr>
                <w:spacing w:val="-3"/>
              </w:rPr>
              <w:t xml:space="preserve"> </w:t>
            </w:r>
            <w:r>
              <w:t>the</w:t>
            </w:r>
            <w:r>
              <w:rPr>
                <w:spacing w:val="-3"/>
              </w:rPr>
              <w:t xml:space="preserve"> </w:t>
            </w:r>
            <w:r>
              <w:t>audit</w:t>
            </w:r>
            <w:r>
              <w:rPr>
                <w:spacing w:val="-3"/>
              </w:rPr>
              <w:t xml:space="preserve"> </w:t>
            </w:r>
            <w:r>
              <w:t>sampling</w:t>
            </w:r>
            <w:r>
              <w:rPr>
                <w:spacing w:val="-3"/>
              </w:rPr>
              <w:t xml:space="preserve"> </w:t>
            </w:r>
            <w:r>
              <w:t>specialist</w:t>
            </w:r>
            <w:r>
              <w:rPr>
                <w:spacing w:val="-3"/>
              </w:rPr>
              <w:t xml:space="preserve"> </w:t>
            </w:r>
            <w:r>
              <w:t>in performing the following:</w:t>
            </w:r>
          </w:p>
        </w:tc>
        <w:tc>
          <w:tcPr>
            <w:tcW w:w="810" w:type="dxa"/>
            <w:tcBorders>
              <w:top w:val="single" w:sz="8" w:space="0" w:color="000000"/>
              <w:left w:val="single" w:sz="8" w:space="0" w:color="000000"/>
              <w:bottom w:val="single" w:sz="8" w:space="0" w:color="000000"/>
              <w:right w:val="single" w:sz="8" w:space="0" w:color="000000"/>
            </w:tcBorders>
            <w:shd w:val="clear" w:color="auto" w:fill="BEBEBE"/>
          </w:tcPr>
          <w:p w14:paraId="0DFDD100"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shd w:val="clear" w:color="auto" w:fill="BEBEBE"/>
          </w:tcPr>
          <w:p w14:paraId="0DFDD101" w14:textId="77777777" w:rsidR="00046465" w:rsidRDefault="00046465">
            <w:pPr>
              <w:pStyle w:val="TableParagraph"/>
              <w:rPr>
                <w:rFonts w:ascii="Times New Roman"/>
              </w:rPr>
            </w:pPr>
          </w:p>
        </w:tc>
      </w:tr>
      <w:tr w:rsidR="00046465" w14:paraId="0DFDD106" w14:textId="77777777">
        <w:trPr>
          <w:trHeight w:val="746"/>
        </w:trPr>
        <w:tc>
          <w:tcPr>
            <w:tcW w:w="7380" w:type="dxa"/>
            <w:tcBorders>
              <w:top w:val="single" w:sz="8" w:space="0" w:color="000000"/>
              <w:bottom w:val="single" w:sz="8" w:space="0" w:color="000000"/>
              <w:right w:val="single" w:sz="8" w:space="0" w:color="000000"/>
            </w:tcBorders>
          </w:tcPr>
          <w:p w14:paraId="0DFDD103" w14:textId="77777777" w:rsidR="00046465" w:rsidRDefault="008134EB">
            <w:pPr>
              <w:pStyle w:val="TableParagraph"/>
              <w:spacing w:before="121"/>
              <w:ind w:left="1245" w:hanging="360"/>
            </w:pPr>
            <w:r>
              <w:t>a.</w:t>
            </w:r>
            <w:r>
              <w:rPr>
                <w:spacing w:val="80"/>
              </w:rPr>
              <w:t xml:space="preserve"> </w:t>
            </w:r>
            <w:r>
              <w:t>If</w:t>
            </w:r>
            <w:r>
              <w:rPr>
                <w:spacing w:val="-4"/>
              </w:rPr>
              <w:t xml:space="preserve"> </w:t>
            </w:r>
            <w:r>
              <w:t>complex</w:t>
            </w:r>
            <w:r>
              <w:rPr>
                <w:spacing w:val="-4"/>
              </w:rPr>
              <w:t xml:space="preserve"> </w:t>
            </w:r>
            <w:r>
              <w:t>statistical</w:t>
            </w:r>
            <w:r>
              <w:rPr>
                <w:spacing w:val="-4"/>
              </w:rPr>
              <w:t xml:space="preserve"> </w:t>
            </w:r>
            <w:r>
              <w:t>concepts</w:t>
            </w:r>
            <w:r>
              <w:rPr>
                <w:spacing w:val="-4"/>
              </w:rPr>
              <w:t xml:space="preserve"> </w:t>
            </w:r>
            <w:r>
              <w:t>are</w:t>
            </w:r>
            <w:r>
              <w:rPr>
                <w:spacing w:val="-4"/>
              </w:rPr>
              <w:t xml:space="preserve"> </w:t>
            </w:r>
            <w:r>
              <w:t>applied,</w:t>
            </w:r>
            <w:r>
              <w:rPr>
                <w:spacing w:val="-4"/>
              </w:rPr>
              <w:t xml:space="preserve"> </w:t>
            </w:r>
            <w:r>
              <w:t>designing</w:t>
            </w:r>
            <w:r>
              <w:rPr>
                <w:spacing w:val="-4"/>
              </w:rPr>
              <w:t xml:space="preserve"> </w:t>
            </w:r>
            <w:r>
              <w:t>and evaluating audit samples? (FAM 400)</w:t>
            </w:r>
          </w:p>
        </w:tc>
        <w:tc>
          <w:tcPr>
            <w:tcW w:w="810" w:type="dxa"/>
            <w:tcBorders>
              <w:top w:val="single" w:sz="8" w:space="0" w:color="000000"/>
              <w:left w:val="single" w:sz="8" w:space="0" w:color="000000"/>
              <w:bottom w:val="single" w:sz="8" w:space="0" w:color="000000"/>
              <w:right w:val="single" w:sz="8" w:space="0" w:color="000000"/>
            </w:tcBorders>
          </w:tcPr>
          <w:p w14:paraId="0DFDD104"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05" w14:textId="77777777" w:rsidR="00046465" w:rsidRDefault="00046465">
            <w:pPr>
              <w:pStyle w:val="TableParagraph"/>
              <w:rPr>
                <w:rFonts w:ascii="Times New Roman"/>
              </w:rPr>
            </w:pPr>
          </w:p>
        </w:tc>
      </w:tr>
      <w:tr w:rsidR="00046465" w14:paraId="0DFDD10A" w14:textId="77777777">
        <w:trPr>
          <w:trHeight w:val="998"/>
        </w:trPr>
        <w:tc>
          <w:tcPr>
            <w:tcW w:w="7380" w:type="dxa"/>
            <w:tcBorders>
              <w:top w:val="single" w:sz="8" w:space="0" w:color="000000"/>
              <w:bottom w:val="single" w:sz="8" w:space="0" w:color="000000"/>
              <w:right w:val="single" w:sz="8" w:space="0" w:color="000000"/>
            </w:tcBorders>
          </w:tcPr>
          <w:p w14:paraId="0DFDD107" w14:textId="77777777" w:rsidR="00046465" w:rsidRDefault="008134EB">
            <w:pPr>
              <w:pStyle w:val="TableParagraph"/>
              <w:spacing w:before="119"/>
              <w:ind w:left="1245" w:hanging="360"/>
            </w:pPr>
            <w:r>
              <w:t>b.</w:t>
            </w:r>
            <w:r>
              <w:rPr>
                <w:spacing w:val="80"/>
              </w:rPr>
              <w:t xml:space="preserve"> </w:t>
            </w:r>
            <w:r>
              <w:t>Determining</w:t>
            </w:r>
            <w:r>
              <w:rPr>
                <w:spacing w:val="-5"/>
              </w:rPr>
              <w:t xml:space="preserve"> </w:t>
            </w:r>
            <w:r>
              <w:t>overall</w:t>
            </w:r>
            <w:r>
              <w:rPr>
                <w:spacing w:val="-5"/>
              </w:rPr>
              <w:t xml:space="preserve"> </w:t>
            </w:r>
            <w:r>
              <w:t>sampling</w:t>
            </w:r>
            <w:r>
              <w:rPr>
                <w:spacing w:val="-5"/>
              </w:rPr>
              <w:t xml:space="preserve"> </w:t>
            </w:r>
            <w:r>
              <w:t>precision</w:t>
            </w:r>
            <w:r>
              <w:rPr>
                <w:spacing w:val="-5"/>
              </w:rPr>
              <w:t xml:space="preserve"> </w:t>
            </w:r>
            <w:r>
              <w:t>for</w:t>
            </w:r>
            <w:r>
              <w:rPr>
                <w:spacing w:val="-5"/>
              </w:rPr>
              <w:t xml:space="preserve"> </w:t>
            </w:r>
            <w:r>
              <w:t>statistical</w:t>
            </w:r>
            <w:r>
              <w:rPr>
                <w:spacing w:val="-5"/>
              </w:rPr>
              <w:t xml:space="preserve"> </w:t>
            </w:r>
            <w:r>
              <w:t>samples selected using methods other than monetary unit sampling? (FAM 545)</w:t>
            </w:r>
          </w:p>
        </w:tc>
        <w:tc>
          <w:tcPr>
            <w:tcW w:w="810" w:type="dxa"/>
            <w:tcBorders>
              <w:top w:val="single" w:sz="8" w:space="0" w:color="000000"/>
              <w:left w:val="single" w:sz="8" w:space="0" w:color="000000"/>
              <w:bottom w:val="single" w:sz="8" w:space="0" w:color="000000"/>
              <w:right w:val="single" w:sz="8" w:space="0" w:color="000000"/>
            </w:tcBorders>
          </w:tcPr>
          <w:p w14:paraId="0DFDD108"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09" w14:textId="77777777" w:rsidR="00046465" w:rsidRDefault="00046465">
            <w:pPr>
              <w:pStyle w:val="TableParagraph"/>
              <w:rPr>
                <w:rFonts w:ascii="Times New Roman"/>
              </w:rPr>
            </w:pPr>
          </w:p>
        </w:tc>
      </w:tr>
      <w:tr w:rsidR="00046465" w14:paraId="0DFDD10E" w14:textId="77777777">
        <w:trPr>
          <w:trHeight w:val="745"/>
        </w:trPr>
        <w:tc>
          <w:tcPr>
            <w:tcW w:w="7380" w:type="dxa"/>
            <w:tcBorders>
              <w:top w:val="single" w:sz="8" w:space="0" w:color="000000"/>
              <w:bottom w:val="single" w:sz="8" w:space="0" w:color="000000"/>
              <w:right w:val="single" w:sz="8" w:space="0" w:color="000000"/>
            </w:tcBorders>
          </w:tcPr>
          <w:p w14:paraId="0DFDD10B" w14:textId="77777777" w:rsidR="00046465" w:rsidRDefault="008134EB">
            <w:pPr>
              <w:pStyle w:val="TableParagraph"/>
              <w:spacing w:before="119"/>
              <w:ind w:left="1245" w:hanging="360"/>
            </w:pPr>
            <w:r>
              <w:t>c.</w:t>
            </w:r>
            <w:r>
              <w:rPr>
                <w:spacing w:val="80"/>
              </w:rPr>
              <w:t xml:space="preserve"> </w:t>
            </w:r>
            <w:r>
              <w:t>Expanding</w:t>
            </w:r>
            <w:r>
              <w:rPr>
                <w:spacing w:val="-4"/>
              </w:rPr>
              <w:t xml:space="preserve"> </w:t>
            </w:r>
            <w:r>
              <w:t>a</w:t>
            </w:r>
            <w:r>
              <w:rPr>
                <w:spacing w:val="-5"/>
              </w:rPr>
              <w:t xml:space="preserve"> </w:t>
            </w:r>
            <w:r>
              <w:t>statistical</w:t>
            </w:r>
            <w:r>
              <w:rPr>
                <w:spacing w:val="-5"/>
              </w:rPr>
              <w:t xml:space="preserve"> </w:t>
            </w:r>
            <w:r>
              <w:t>sample</w:t>
            </w:r>
            <w:r>
              <w:rPr>
                <w:spacing w:val="-4"/>
              </w:rPr>
              <w:t xml:space="preserve"> </w:t>
            </w:r>
            <w:r>
              <w:t>to</w:t>
            </w:r>
            <w:r>
              <w:rPr>
                <w:spacing w:val="-4"/>
              </w:rPr>
              <w:t xml:space="preserve"> </w:t>
            </w:r>
            <w:r>
              <w:t>test</w:t>
            </w:r>
            <w:r>
              <w:rPr>
                <w:spacing w:val="-4"/>
              </w:rPr>
              <w:t xml:space="preserve"> </w:t>
            </w:r>
            <w:r>
              <w:t>additional</w:t>
            </w:r>
            <w:r>
              <w:rPr>
                <w:spacing w:val="-5"/>
              </w:rPr>
              <w:t xml:space="preserve"> </w:t>
            </w:r>
            <w:r>
              <w:t>items?</w:t>
            </w:r>
            <w:r>
              <w:rPr>
                <w:spacing w:val="-4"/>
              </w:rPr>
              <w:t xml:space="preserve"> </w:t>
            </w:r>
            <w:r>
              <w:t>(FAM 440, 460, and 480)</w:t>
            </w:r>
          </w:p>
        </w:tc>
        <w:tc>
          <w:tcPr>
            <w:tcW w:w="810" w:type="dxa"/>
            <w:tcBorders>
              <w:top w:val="single" w:sz="8" w:space="0" w:color="000000"/>
              <w:left w:val="single" w:sz="8" w:space="0" w:color="000000"/>
              <w:bottom w:val="single" w:sz="8" w:space="0" w:color="000000"/>
              <w:right w:val="single" w:sz="8" w:space="0" w:color="000000"/>
            </w:tcBorders>
          </w:tcPr>
          <w:p w14:paraId="0DFDD10C"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0D" w14:textId="77777777" w:rsidR="00046465" w:rsidRDefault="00046465">
            <w:pPr>
              <w:pStyle w:val="TableParagraph"/>
              <w:rPr>
                <w:rFonts w:ascii="Times New Roman"/>
              </w:rPr>
            </w:pPr>
          </w:p>
        </w:tc>
      </w:tr>
      <w:tr w:rsidR="00046465" w14:paraId="0DFDD113" w14:textId="77777777">
        <w:trPr>
          <w:trHeight w:val="1303"/>
        </w:trPr>
        <w:tc>
          <w:tcPr>
            <w:tcW w:w="7380" w:type="dxa"/>
            <w:tcBorders>
              <w:top w:val="single" w:sz="8" w:space="0" w:color="000000"/>
              <w:bottom w:val="single" w:sz="8" w:space="0" w:color="000000"/>
              <w:right w:val="single" w:sz="8" w:space="0" w:color="000000"/>
            </w:tcBorders>
          </w:tcPr>
          <w:p w14:paraId="0DFDD10F" w14:textId="77777777" w:rsidR="00046465" w:rsidRDefault="008134EB">
            <w:pPr>
              <w:pStyle w:val="TableParagraph"/>
              <w:spacing w:before="121"/>
              <w:ind w:left="885"/>
            </w:pPr>
            <w:r>
              <w:t>d.</w:t>
            </w:r>
            <w:r>
              <w:rPr>
                <w:spacing w:val="67"/>
                <w:w w:val="150"/>
              </w:rPr>
              <w:t xml:space="preserve"> </w:t>
            </w:r>
            <w:r>
              <w:t>Deciding</w:t>
            </w:r>
            <w:r>
              <w:rPr>
                <w:spacing w:val="-6"/>
              </w:rPr>
              <w:t xml:space="preserve"> </w:t>
            </w:r>
            <w:r>
              <w:t>to</w:t>
            </w:r>
            <w:r>
              <w:rPr>
                <w:spacing w:val="-7"/>
              </w:rPr>
              <w:t xml:space="preserve"> </w:t>
            </w:r>
            <w:r>
              <w:t>perform</w:t>
            </w:r>
            <w:r>
              <w:rPr>
                <w:spacing w:val="-7"/>
              </w:rPr>
              <w:t xml:space="preserve"> </w:t>
            </w:r>
            <w:r>
              <w:t>nonstatistical</w:t>
            </w:r>
            <w:r>
              <w:rPr>
                <w:spacing w:val="-7"/>
              </w:rPr>
              <w:t xml:space="preserve"> </w:t>
            </w:r>
            <w:r>
              <w:t>sampling?</w:t>
            </w:r>
            <w:r>
              <w:rPr>
                <w:spacing w:val="-6"/>
              </w:rPr>
              <w:t xml:space="preserve"> </w:t>
            </w:r>
            <w:r>
              <w:t>(FAM</w:t>
            </w:r>
            <w:r>
              <w:rPr>
                <w:spacing w:val="-7"/>
              </w:rPr>
              <w:t xml:space="preserve"> </w:t>
            </w:r>
            <w:r>
              <w:rPr>
                <w:spacing w:val="-4"/>
              </w:rPr>
              <w:t>480)</w:t>
            </w:r>
          </w:p>
          <w:p w14:paraId="0DFDD110" w14:textId="77777777" w:rsidR="00046465" w:rsidRDefault="008134EB">
            <w:pPr>
              <w:pStyle w:val="TableParagraph"/>
              <w:spacing w:before="119"/>
              <w:ind w:left="1245" w:right="172"/>
              <w:rPr>
                <w:i/>
                <w:sz w:val="20"/>
              </w:rPr>
            </w:pPr>
            <w:r>
              <w:rPr>
                <w:i/>
                <w:sz w:val="20"/>
              </w:rPr>
              <w:t>Note: Nonstatistical sampling is different from nonstatistical selection.</w:t>
            </w:r>
            <w:r>
              <w:rPr>
                <w:i/>
                <w:spacing w:val="-4"/>
                <w:sz w:val="20"/>
              </w:rPr>
              <w:t xml:space="preserve"> </w:t>
            </w:r>
            <w:r>
              <w:rPr>
                <w:i/>
                <w:sz w:val="20"/>
              </w:rPr>
              <w:t>The</w:t>
            </w:r>
            <w:r>
              <w:rPr>
                <w:i/>
                <w:spacing w:val="-4"/>
                <w:sz w:val="20"/>
              </w:rPr>
              <w:t xml:space="preserve"> </w:t>
            </w:r>
            <w:r>
              <w:rPr>
                <w:i/>
                <w:sz w:val="20"/>
              </w:rPr>
              <w:t>auditor</w:t>
            </w:r>
            <w:r>
              <w:rPr>
                <w:i/>
                <w:spacing w:val="-3"/>
                <w:sz w:val="20"/>
              </w:rPr>
              <w:t xml:space="preserve"> </w:t>
            </w:r>
            <w:r>
              <w:rPr>
                <w:i/>
                <w:sz w:val="20"/>
              </w:rPr>
              <w:t>does</w:t>
            </w:r>
            <w:r>
              <w:rPr>
                <w:i/>
                <w:spacing w:val="-4"/>
                <w:sz w:val="20"/>
              </w:rPr>
              <w:t xml:space="preserve"> </w:t>
            </w:r>
            <w:r>
              <w:rPr>
                <w:i/>
                <w:sz w:val="20"/>
                <w:u w:val="single"/>
              </w:rPr>
              <w:t>not</w:t>
            </w:r>
            <w:r>
              <w:rPr>
                <w:i/>
                <w:spacing w:val="-5"/>
                <w:sz w:val="20"/>
              </w:rPr>
              <w:t xml:space="preserve"> </w:t>
            </w:r>
            <w:r>
              <w:rPr>
                <w:i/>
                <w:sz w:val="20"/>
              </w:rPr>
              <w:t>need</w:t>
            </w:r>
            <w:r>
              <w:rPr>
                <w:i/>
                <w:spacing w:val="-4"/>
                <w:sz w:val="20"/>
              </w:rPr>
              <w:t xml:space="preserve"> </w:t>
            </w:r>
            <w:r>
              <w:rPr>
                <w:i/>
                <w:sz w:val="20"/>
              </w:rPr>
              <w:t>to</w:t>
            </w:r>
            <w:r>
              <w:rPr>
                <w:i/>
                <w:spacing w:val="-4"/>
                <w:sz w:val="20"/>
              </w:rPr>
              <w:t xml:space="preserve"> </w:t>
            </w:r>
            <w:r>
              <w:rPr>
                <w:i/>
                <w:sz w:val="20"/>
              </w:rPr>
              <w:t>consult</w:t>
            </w:r>
            <w:r>
              <w:rPr>
                <w:i/>
                <w:spacing w:val="-4"/>
                <w:sz w:val="20"/>
              </w:rPr>
              <w:t xml:space="preserve"> </w:t>
            </w:r>
            <w:r>
              <w:rPr>
                <w:i/>
                <w:sz w:val="20"/>
              </w:rPr>
              <w:t>the</w:t>
            </w:r>
            <w:r>
              <w:rPr>
                <w:i/>
                <w:spacing w:val="-4"/>
                <w:sz w:val="20"/>
              </w:rPr>
              <w:t xml:space="preserve"> </w:t>
            </w:r>
            <w:r>
              <w:rPr>
                <w:i/>
                <w:sz w:val="20"/>
              </w:rPr>
              <w:t>audit</w:t>
            </w:r>
            <w:r>
              <w:rPr>
                <w:i/>
                <w:spacing w:val="-4"/>
                <w:sz w:val="20"/>
              </w:rPr>
              <w:t xml:space="preserve"> </w:t>
            </w:r>
            <w:r>
              <w:rPr>
                <w:i/>
                <w:sz w:val="20"/>
              </w:rPr>
              <w:t>sampling specialist when performing nonstatistical selection.</w:t>
            </w:r>
          </w:p>
        </w:tc>
        <w:tc>
          <w:tcPr>
            <w:tcW w:w="810" w:type="dxa"/>
            <w:tcBorders>
              <w:top w:val="single" w:sz="8" w:space="0" w:color="000000"/>
              <w:left w:val="single" w:sz="8" w:space="0" w:color="000000"/>
              <w:bottom w:val="single" w:sz="8" w:space="0" w:color="000000"/>
              <w:right w:val="single" w:sz="8" w:space="0" w:color="000000"/>
            </w:tcBorders>
          </w:tcPr>
          <w:p w14:paraId="0DFDD111"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12" w14:textId="77777777" w:rsidR="00046465" w:rsidRDefault="00046465">
            <w:pPr>
              <w:pStyle w:val="TableParagraph"/>
              <w:rPr>
                <w:rFonts w:ascii="Times New Roman"/>
              </w:rPr>
            </w:pPr>
          </w:p>
        </w:tc>
      </w:tr>
      <w:tr w:rsidR="00046465" w14:paraId="0DFDD117" w14:textId="77777777">
        <w:trPr>
          <w:trHeight w:val="745"/>
        </w:trPr>
        <w:tc>
          <w:tcPr>
            <w:tcW w:w="7380" w:type="dxa"/>
            <w:tcBorders>
              <w:top w:val="single" w:sz="8" w:space="0" w:color="000000"/>
              <w:bottom w:val="single" w:sz="8" w:space="0" w:color="000000"/>
              <w:right w:val="single" w:sz="8" w:space="0" w:color="000000"/>
            </w:tcBorders>
          </w:tcPr>
          <w:p w14:paraId="0DFDD114" w14:textId="77777777" w:rsidR="00046465" w:rsidRDefault="008134EB">
            <w:pPr>
              <w:pStyle w:val="TableParagraph"/>
              <w:spacing w:before="119"/>
              <w:ind w:left="1245" w:right="558" w:hanging="360"/>
            </w:pPr>
            <w:r>
              <w:t>e.</w:t>
            </w:r>
            <w:r>
              <w:rPr>
                <w:spacing w:val="80"/>
              </w:rPr>
              <w:t xml:space="preserve"> </w:t>
            </w:r>
            <w:r>
              <w:t>Using</w:t>
            </w:r>
            <w:r>
              <w:rPr>
                <w:spacing w:val="-5"/>
              </w:rPr>
              <w:t xml:space="preserve"> </w:t>
            </w:r>
            <w:r>
              <w:t>regression</w:t>
            </w:r>
            <w:r>
              <w:rPr>
                <w:spacing w:val="-5"/>
              </w:rPr>
              <w:t xml:space="preserve"> </w:t>
            </w:r>
            <w:r>
              <w:t>analysis</w:t>
            </w:r>
            <w:r>
              <w:rPr>
                <w:spacing w:val="-5"/>
              </w:rPr>
              <w:t xml:space="preserve"> </w:t>
            </w:r>
            <w:r>
              <w:t>for</w:t>
            </w:r>
            <w:r>
              <w:rPr>
                <w:spacing w:val="-5"/>
              </w:rPr>
              <w:t xml:space="preserve"> </w:t>
            </w:r>
            <w:r>
              <w:t>analytical</w:t>
            </w:r>
            <w:r>
              <w:rPr>
                <w:spacing w:val="-5"/>
              </w:rPr>
              <w:t xml:space="preserve"> </w:t>
            </w:r>
            <w:r>
              <w:t>procedures? (FAM 495 A)</w:t>
            </w:r>
          </w:p>
        </w:tc>
        <w:tc>
          <w:tcPr>
            <w:tcW w:w="810" w:type="dxa"/>
            <w:tcBorders>
              <w:top w:val="single" w:sz="8" w:space="0" w:color="000000"/>
              <w:left w:val="single" w:sz="8" w:space="0" w:color="000000"/>
              <w:bottom w:val="single" w:sz="8" w:space="0" w:color="000000"/>
              <w:right w:val="single" w:sz="8" w:space="0" w:color="000000"/>
            </w:tcBorders>
          </w:tcPr>
          <w:p w14:paraId="0DFDD115"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16" w14:textId="77777777" w:rsidR="00046465" w:rsidRDefault="00046465">
            <w:pPr>
              <w:pStyle w:val="TableParagraph"/>
              <w:rPr>
                <w:rFonts w:ascii="Times New Roman"/>
              </w:rPr>
            </w:pPr>
          </w:p>
        </w:tc>
      </w:tr>
      <w:tr w:rsidR="00046465" w14:paraId="0DFDD11B" w14:textId="77777777">
        <w:trPr>
          <w:trHeight w:val="998"/>
        </w:trPr>
        <w:tc>
          <w:tcPr>
            <w:tcW w:w="7380" w:type="dxa"/>
            <w:tcBorders>
              <w:top w:val="single" w:sz="8" w:space="0" w:color="000000"/>
              <w:bottom w:val="single" w:sz="8" w:space="0" w:color="000000"/>
              <w:right w:val="single" w:sz="8" w:space="0" w:color="000000"/>
            </w:tcBorders>
          </w:tcPr>
          <w:p w14:paraId="0DFDD118" w14:textId="77777777" w:rsidR="00046465" w:rsidRDefault="008134EB">
            <w:pPr>
              <w:pStyle w:val="TableParagraph"/>
              <w:spacing w:before="119"/>
              <w:ind w:left="843" w:right="679" w:hanging="360"/>
              <w:jc w:val="both"/>
            </w:pPr>
            <w:r>
              <w:t>3.</w:t>
            </w:r>
            <w:r>
              <w:rPr>
                <w:spacing w:val="80"/>
              </w:rPr>
              <w:t xml:space="preserve"> </w:t>
            </w:r>
            <w:r>
              <w:t>When</w:t>
            </w:r>
            <w:r>
              <w:rPr>
                <w:spacing w:val="-4"/>
              </w:rPr>
              <w:t xml:space="preserve"> </w:t>
            </w:r>
            <w:r>
              <w:t>applicable,</w:t>
            </w:r>
            <w:r>
              <w:rPr>
                <w:spacing w:val="-4"/>
              </w:rPr>
              <w:t xml:space="preserve"> </w:t>
            </w:r>
            <w:r>
              <w:t>did</w:t>
            </w:r>
            <w:r>
              <w:rPr>
                <w:spacing w:val="-4"/>
              </w:rPr>
              <w:t xml:space="preserve"> </w:t>
            </w:r>
            <w:r>
              <w:t>the</w:t>
            </w:r>
            <w:r>
              <w:rPr>
                <w:spacing w:val="-5"/>
              </w:rPr>
              <w:t xml:space="preserve"> </w:t>
            </w:r>
            <w:r>
              <w:t>engagement</w:t>
            </w:r>
            <w:r>
              <w:rPr>
                <w:spacing w:val="-3"/>
              </w:rPr>
              <w:t xml:space="preserve"> </w:t>
            </w:r>
            <w:r>
              <w:t>team</w:t>
            </w:r>
            <w:r>
              <w:rPr>
                <w:spacing w:val="-5"/>
              </w:rPr>
              <w:t xml:space="preserve"> </w:t>
            </w:r>
            <w:r>
              <w:t>consult</w:t>
            </w:r>
            <w:r>
              <w:rPr>
                <w:spacing w:val="-4"/>
              </w:rPr>
              <w:t xml:space="preserve"> </w:t>
            </w:r>
            <w:r>
              <w:t>with</w:t>
            </w:r>
            <w:r>
              <w:rPr>
                <w:spacing w:val="-4"/>
              </w:rPr>
              <w:t xml:space="preserve"> </w:t>
            </w:r>
            <w:r>
              <w:t xml:space="preserve">the Office of General Counsel (OGC) when taking the following </w:t>
            </w:r>
            <w:r>
              <w:rPr>
                <w:spacing w:val="-2"/>
              </w:rPr>
              <w:t>steps:</w:t>
            </w:r>
          </w:p>
        </w:tc>
        <w:tc>
          <w:tcPr>
            <w:tcW w:w="810" w:type="dxa"/>
            <w:tcBorders>
              <w:top w:val="single" w:sz="8" w:space="0" w:color="000000"/>
              <w:left w:val="single" w:sz="8" w:space="0" w:color="000000"/>
              <w:bottom w:val="single" w:sz="8" w:space="0" w:color="000000"/>
              <w:right w:val="single" w:sz="8" w:space="0" w:color="000000"/>
            </w:tcBorders>
            <w:shd w:val="clear" w:color="auto" w:fill="BEBEBE"/>
          </w:tcPr>
          <w:p w14:paraId="0DFDD119"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shd w:val="clear" w:color="auto" w:fill="BEBEBE"/>
          </w:tcPr>
          <w:p w14:paraId="0DFDD11A" w14:textId="77777777" w:rsidR="00046465" w:rsidRDefault="00046465">
            <w:pPr>
              <w:pStyle w:val="TableParagraph"/>
              <w:rPr>
                <w:rFonts w:ascii="Times New Roman"/>
              </w:rPr>
            </w:pPr>
          </w:p>
        </w:tc>
      </w:tr>
      <w:tr w:rsidR="00046465" w14:paraId="0DFDD11F" w14:textId="77777777">
        <w:trPr>
          <w:trHeight w:val="998"/>
        </w:trPr>
        <w:tc>
          <w:tcPr>
            <w:tcW w:w="7380" w:type="dxa"/>
            <w:tcBorders>
              <w:top w:val="single" w:sz="8" w:space="0" w:color="000000"/>
              <w:bottom w:val="single" w:sz="8" w:space="0" w:color="000000"/>
              <w:right w:val="single" w:sz="8" w:space="0" w:color="000000"/>
            </w:tcBorders>
          </w:tcPr>
          <w:p w14:paraId="0DFDD11C" w14:textId="77777777" w:rsidR="00046465" w:rsidRDefault="008134EB">
            <w:pPr>
              <w:pStyle w:val="TableParagraph"/>
              <w:spacing w:before="119"/>
              <w:ind w:left="1245" w:right="172" w:hanging="360"/>
            </w:pPr>
            <w:r>
              <w:t>a.</w:t>
            </w:r>
            <w:r>
              <w:rPr>
                <w:spacing w:val="80"/>
              </w:rPr>
              <w:t xml:space="preserve"> </w:t>
            </w:r>
            <w:r>
              <w:t>Identifying provisions of laws and regulations that have a direct</w:t>
            </w:r>
            <w:r>
              <w:rPr>
                <w:spacing w:val="-5"/>
              </w:rPr>
              <w:t xml:space="preserve"> </w:t>
            </w:r>
            <w:r>
              <w:t>effect</w:t>
            </w:r>
            <w:r>
              <w:rPr>
                <w:spacing w:val="-6"/>
              </w:rPr>
              <w:t xml:space="preserve"> </w:t>
            </w:r>
            <w:r>
              <w:t>on</w:t>
            </w:r>
            <w:r>
              <w:rPr>
                <w:spacing w:val="-5"/>
              </w:rPr>
              <w:t xml:space="preserve"> </w:t>
            </w:r>
            <w:r>
              <w:t>the</w:t>
            </w:r>
            <w:r>
              <w:rPr>
                <w:spacing w:val="-5"/>
              </w:rPr>
              <w:t xml:space="preserve"> </w:t>
            </w:r>
            <w:r>
              <w:t>determination</w:t>
            </w:r>
            <w:r>
              <w:rPr>
                <w:spacing w:val="-5"/>
              </w:rPr>
              <w:t xml:space="preserve"> </w:t>
            </w:r>
            <w:r>
              <w:t>of</w:t>
            </w:r>
            <w:r>
              <w:rPr>
                <w:spacing w:val="-5"/>
              </w:rPr>
              <w:t xml:space="preserve"> </w:t>
            </w:r>
            <w:r>
              <w:t>material</w:t>
            </w:r>
            <w:r>
              <w:rPr>
                <w:spacing w:val="-5"/>
              </w:rPr>
              <w:t xml:space="preserve"> </w:t>
            </w:r>
            <w:r>
              <w:t>amounts</w:t>
            </w:r>
            <w:r>
              <w:rPr>
                <w:spacing w:val="-5"/>
              </w:rPr>
              <w:t xml:space="preserve"> </w:t>
            </w:r>
            <w:r>
              <w:t>and disclosures in the financial statements? (FAM 245)</w:t>
            </w:r>
          </w:p>
        </w:tc>
        <w:tc>
          <w:tcPr>
            <w:tcW w:w="810" w:type="dxa"/>
            <w:tcBorders>
              <w:top w:val="single" w:sz="8" w:space="0" w:color="000000"/>
              <w:left w:val="single" w:sz="8" w:space="0" w:color="000000"/>
              <w:bottom w:val="single" w:sz="8" w:space="0" w:color="000000"/>
              <w:right w:val="single" w:sz="8" w:space="0" w:color="000000"/>
            </w:tcBorders>
          </w:tcPr>
          <w:p w14:paraId="0DFDD11D"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1E" w14:textId="77777777" w:rsidR="00046465" w:rsidRDefault="00046465">
            <w:pPr>
              <w:pStyle w:val="TableParagraph"/>
              <w:rPr>
                <w:rFonts w:ascii="Times New Roman"/>
              </w:rPr>
            </w:pPr>
          </w:p>
        </w:tc>
      </w:tr>
      <w:tr w:rsidR="00046465" w14:paraId="0DFDD123" w14:textId="77777777">
        <w:trPr>
          <w:trHeight w:val="493"/>
        </w:trPr>
        <w:tc>
          <w:tcPr>
            <w:tcW w:w="7380" w:type="dxa"/>
            <w:tcBorders>
              <w:top w:val="single" w:sz="8" w:space="0" w:color="000000"/>
              <w:bottom w:val="single" w:sz="8" w:space="0" w:color="000000"/>
              <w:right w:val="single" w:sz="8" w:space="0" w:color="000000"/>
            </w:tcBorders>
          </w:tcPr>
          <w:p w14:paraId="0DFDD120" w14:textId="77777777" w:rsidR="00046465" w:rsidRDefault="008134EB">
            <w:pPr>
              <w:pStyle w:val="TableParagraph"/>
              <w:spacing w:before="121"/>
              <w:ind w:left="885"/>
            </w:pPr>
            <w:r>
              <w:t>b.</w:t>
            </w:r>
            <w:r>
              <w:rPr>
                <w:spacing w:val="65"/>
                <w:w w:val="150"/>
              </w:rPr>
              <w:t xml:space="preserve"> </w:t>
            </w:r>
            <w:r>
              <w:t>Identifying</w:t>
            </w:r>
            <w:r>
              <w:rPr>
                <w:spacing w:val="-6"/>
              </w:rPr>
              <w:t xml:space="preserve"> </w:t>
            </w:r>
            <w:r>
              <w:t>relevant</w:t>
            </w:r>
            <w:r>
              <w:rPr>
                <w:spacing w:val="-6"/>
              </w:rPr>
              <w:t xml:space="preserve"> </w:t>
            </w:r>
            <w:r>
              <w:t>budget</w:t>
            </w:r>
            <w:r>
              <w:rPr>
                <w:spacing w:val="-7"/>
              </w:rPr>
              <w:t xml:space="preserve"> </w:t>
            </w:r>
            <w:r>
              <w:t>restrictions?</w:t>
            </w:r>
            <w:r>
              <w:rPr>
                <w:spacing w:val="-6"/>
              </w:rPr>
              <w:t xml:space="preserve"> </w:t>
            </w:r>
            <w:r>
              <w:t>(FAM</w:t>
            </w:r>
            <w:r>
              <w:rPr>
                <w:spacing w:val="-8"/>
              </w:rPr>
              <w:t xml:space="preserve"> </w:t>
            </w:r>
            <w:r>
              <w:rPr>
                <w:spacing w:val="-4"/>
              </w:rPr>
              <w:t>250)</w:t>
            </w:r>
          </w:p>
        </w:tc>
        <w:tc>
          <w:tcPr>
            <w:tcW w:w="810" w:type="dxa"/>
            <w:tcBorders>
              <w:top w:val="single" w:sz="8" w:space="0" w:color="000000"/>
              <w:left w:val="single" w:sz="8" w:space="0" w:color="000000"/>
              <w:bottom w:val="single" w:sz="8" w:space="0" w:color="000000"/>
              <w:right w:val="single" w:sz="8" w:space="0" w:color="000000"/>
            </w:tcBorders>
          </w:tcPr>
          <w:p w14:paraId="0DFDD121"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22" w14:textId="77777777" w:rsidR="00046465" w:rsidRDefault="00046465">
            <w:pPr>
              <w:pStyle w:val="TableParagraph"/>
              <w:rPr>
                <w:rFonts w:ascii="Times New Roman"/>
              </w:rPr>
            </w:pPr>
          </w:p>
        </w:tc>
      </w:tr>
      <w:tr w:rsidR="00046465" w14:paraId="0DFDD127" w14:textId="77777777">
        <w:trPr>
          <w:trHeight w:val="745"/>
        </w:trPr>
        <w:tc>
          <w:tcPr>
            <w:tcW w:w="7380" w:type="dxa"/>
            <w:tcBorders>
              <w:top w:val="single" w:sz="8" w:space="0" w:color="000000"/>
              <w:bottom w:val="single" w:sz="8" w:space="0" w:color="000000"/>
              <w:right w:val="single" w:sz="8" w:space="0" w:color="000000"/>
            </w:tcBorders>
          </w:tcPr>
          <w:p w14:paraId="0DFDD124" w14:textId="77777777" w:rsidR="00046465" w:rsidRDefault="008134EB">
            <w:pPr>
              <w:pStyle w:val="TableParagraph"/>
              <w:spacing w:before="119"/>
              <w:ind w:left="1245" w:hanging="360"/>
            </w:pPr>
            <w:r>
              <w:t>c.</w:t>
            </w:r>
            <w:r>
              <w:rPr>
                <w:spacing w:val="80"/>
              </w:rPr>
              <w:t xml:space="preserve"> </w:t>
            </w:r>
            <w:r>
              <w:t>Identifying</w:t>
            </w:r>
            <w:r>
              <w:rPr>
                <w:spacing w:val="-4"/>
              </w:rPr>
              <w:t xml:space="preserve"> </w:t>
            </w:r>
            <w:r>
              <w:t>any</w:t>
            </w:r>
            <w:r>
              <w:rPr>
                <w:spacing w:val="-4"/>
              </w:rPr>
              <w:t xml:space="preserve"> </w:t>
            </w:r>
            <w:r>
              <w:t>impoundments</w:t>
            </w:r>
            <w:r>
              <w:rPr>
                <w:spacing w:val="-4"/>
              </w:rPr>
              <w:t xml:space="preserve"> </w:t>
            </w:r>
            <w:r>
              <w:t>(rescissions</w:t>
            </w:r>
            <w:r>
              <w:rPr>
                <w:spacing w:val="-4"/>
              </w:rPr>
              <w:t xml:space="preserve"> </w:t>
            </w:r>
            <w:r>
              <w:t>or</w:t>
            </w:r>
            <w:r>
              <w:rPr>
                <w:spacing w:val="-6"/>
              </w:rPr>
              <w:t xml:space="preserve"> </w:t>
            </w:r>
            <w:r>
              <w:t>deferrals)</w:t>
            </w:r>
            <w:r>
              <w:rPr>
                <w:spacing w:val="-4"/>
              </w:rPr>
              <w:t xml:space="preserve"> </w:t>
            </w:r>
            <w:r>
              <w:t>as</w:t>
            </w:r>
            <w:r>
              <w:rPr>
                <w:spacing w:val="-4"/>
              </w:rPr>
              <w:t xml:space="preserve"> </w:t>
            </w:r>
            <w:r>
              <w:t>a result of evaluating budgetary controls? (FAM 395 F)</w:t>
            </w:r>
          </w:p>
        </w:tc>
        <w:tc>
          <w:tcPr>
            <w:tcW w:w="810" w:type="dxa"/>
            <w:tcBorders>
              <w:top w:val="single" w:sz="8" w:space="0" w:color="000000"/>
              <w:left w:val="single" w:sz="8" w:space="0" w:color="000000"/>
              <w:bottom w:val="single" w:sz="8" w:space="0" w:color="000000"/>
              <w:right w:val="single" w:sz="8" w:space="0" w:color="000000"/>
            </w:tcBorders>
          </w:tcPr>
          <w:p w14:paraId="0DFDD125"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26" w14:textId="77777777" w:rsidR="00046465" w:rsidRDefault="00046465">
            <w:pPr>
              <w:pStyle w:val="TableParagraph"/>
              <w:rPr>
                <w:rFonts w:ascii="Times New Roman"/>
              </w:rPr>
            </w:pPr>
          </w:p>
        </w:tc>
      </w:tr>
      <w:tr w:rsidR="00046465" w14:paraId="0DFDD12B" w14:textId="77777777">
        <w:trPr>
          <w:trHeight w:val="1000"/>
        </w:trPr>
        <w:tc>
          <w:tcPr>
            <w:tcW w:w="7380" w:type="dxa"/>
            <w:tcBorders>
              <w:top w:val="single" w:sz="8" w:space="0" w:color="000000"/>
              <w:bottom w:val="single" w:sz="8" w:space="0" w:color="000000"/>
              <w:right w:val="single" w:sz="8" w:space="0" w:color="000000"/>
            </w:tcBorders>
          </w:tcPr>
          <w:p w14:paraId="0DFDD128" w14:textId="77777777" w:rsidR="00046465" w:rsidRDefault="008134EB">
            <w:pPr>
              <w:pStyle w:val="TableParagraph"/>
              <w:spacing w:before="119"/>
              <w:ind w:left="1245" w:hanging="360"/>
            </w:pPr>
            <w:r>
              <w:t>d.</w:t>
            </w:r>
            <w:r>
              <w:rPr>
                <w:spacing w:val="80"/>
              </w:rPr>
              <w:t xml:space="preserve"> </w:t>
            </w:r>
            <w:r>
              <w:t>Evaluating</w:t>
            </w:r>
            <w:r>
              <w:rPr>
                <w:spacing w:val="-4"/>
              </w:rPr>
              <w:t xml:space="preserve"> </w:t>
            </w:r>
            <w:r>
              <w:t>possible</w:t>
            </w:r>
            <w:r>
              <w:rPr>
                <w:spacing w:val="-5"/>
              </w:rPr>
              <w:t xml:space="preserve"> </w:t>
            </w:r>
            <w:r>
              <w:t>instances</w:t>
            </w:r>
            <w:r>
              <w:rPr>
                <w:spacing w:val="-4"/>
              </w:rPr>
              <w:t xml:space="preserve"> </w:t>
            </w:r>
            <w:r>
              <w:t>of</w:t>
            </w:r>
            <w:r>
              <w:rPr>
                <w:spacing w:val="-4"/>
              </w:rPr>
              <w:t xml:space="preserve"> </w:t>
            </w:r>
            <w:r>
              <w:t>noncompliance</w:t>
            </w:r>
            <w:r>
              <w:rPr>
                <w:spacing w:val="-5"/>
              </w:rPr>
              <w:t xml:space="preserve"> </w:t>
            </w:r>
            <w:r>
              <w:t>noted</w:t>
            </w:r>
            <w:r>
              <w:rPr>
                <w:spacing w:val="-4"/>
              </w:rPr>
              <w:t xml:space="preserve"> </w:t>
            </w:r>
            <w:r>
              <w:t>in connection with compliance testing (including testing of contracts and grant agreements)? (FAM 460)</w:t>
            </w:r>
          </w:p>
        </w:tc>
        <w:tc>
          <w:tcPr>
            <w:tcW w:w="810" w:type="dxa"/>
            <w:tcBorders>
              <w:top w:val="single" w:sz="8" w:space="0" w:color="000000"/>
              <w:left w:val="single" w:sz="8" w:space="0" w:color="000000"/>
              <w:bottom w:val="single" w:sz="8" w:space="0" w:color="000000"/>
              <w:right w:val="single" w:sz="8" w:space="0" w:color="000000"/>
            </w:tcBorders>
          </w:tcPr>
          <w:p w14:paraId="0DFDD129"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2A" w14:textId="77777777" w:rsidR="00046465" w:rsidRDefault="00046465">
            <w:pPr>
              <w:pStyle w:val="TableParagraph"/>
              <w:rPr>
                <w:rFonts w:ascii="Times New Roman"/>
              </w:rPr>
            </w:pPr>
          </w:p>
        </w:tc>
      </w:tr>
    </w:tbl>
    <w:p w14:paraId="0DFDD12C"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12D" w14:textId="77777777" w:rsidR="00046465" w:rsidRDefault="00046465">
      <w:pPr>
        <w:pStyle w:val="BodyText"/>
        <w:spacing w:before="6"/>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260"/>
      </w:tblGrid>
      <w:tr w:rsidR="00046465" w14:paraId="0DFDD133" w14:textId="77777777">
        <w:trPr>
          <w:trHeight w:val="937"/>
        </w:trPr>
        <w:tc>
          <w:tcPr>
            <w:tcW w:w="7380" w:type="dxa"/>
            <w:tcBorders>
              <w:bottom w:val="single" w:sz="8" w:space="0" w:color="000000"/>
              <w:right w:val="single" w:sz="8" w:space="0" w:color="000000"/>
            </w:tcBorders>
            <w:shd w:val="clear" w:color="auto" w:fill="A6A6A6"/>
          </w:tcPr>
          <w:p w14:paraId="0DFDD12E" w14:textId="77777777" w:rsidR="00046465" w:rsidRDefault="008134EB">
            <w:pPr>
              <w:pStyle w:val="TableParagraph"/>
              <w:spacing w:before="266"/>
              <w:ind w:left="123"/>
              <w:rPr>
                <w:b/>
                <w:sz w:val="24"/>
              </w:rPr>
            </w:pPr>
            <w:r>
              <w:rPr>
                <w:b/>
                <w:sz w:val="24"/>
              </w:rPr>
              <w:t>Section</w:t>
            </w:r>
            <w:r>
              <w:rPr>
                <w:b/>
                <w:spacing w:val="-6"/>
                <w:sz w:val="24"/>
              </w:rPr>
              <w:t xml:space="preserve"> </w:t>
            </w:r>
            <w:r>
              <w:rPr>
                <w:b/>
                <w:sz w:val="24"/>
              </w:rPr>
              <w:t>III:</w:t>
            </w:r>
            <w:r>
              <w:rPr>
                <w:b/>
                <w:spacing w:val="-7"/>
                <w:sz w:val="24"/>
              </w:rPr>
              <w:t xml:space="preserve"> </w:t>
            </w:r>
            <w:r>
              <w:rPr>
                <w:b/>
                <w:sz w:val="24"/>
              </w:rPr>
              <w:t>Communicating</w:t>
            </w:r>
            <w:r>
              <w:rPr>
                <w:b/>
                <w:spacing w:val="-6"/>
                <w:sz w:val="24"/>
              </w:rPr>
              <w:t xml:space="preserve"> </w:t>
            </w:r>
            <w:r>
              <w:rPr>
                <w:b/>
                <w:sz w:val="24"/>
              </w:rPr>
              <w:t>with</w:t>
            </w:r>
            <w:r>
              <w:rPr>
                <w:b/>
                <w:spacing w:val="-6"/>
                <w:sz w:val="24"/>
              </w:rPr>
              <w:t xml:space="preserve"> </w:t>
            </w:r>
            <w:r>
              <w:rPr>
                <w:b/>
                <w:sz w:val="24"/>
              </w:rPr>
              <w:t>Auditor’s</w:t>
            </w:r>
            <w:r>
              <w:rPr>
                <w:b/>
                <w:spacing w:val="-6"/>
                <w:sz w:val="24"/>
              </w:rPr>
              <w:t xml:space="preserve"> </w:t>
            </w:r>
            <w:r>
              <w:rPr>
                <w:b/>
                <w:sz w:val="24"/>
              </w:rPr>
              <w:t>Specialists</w:t>
            </w:r>
            <w:r>
              <w:rPr>
                <w:b/>
                <w:spacing w:val="-7"/>
                <w:sz w:val="24"/>
              </w:rPr>
              <w:t xml:space="preserve"> </w:t>
            </w:r>
            <w:r>
              <w:rPr>
                <w:b/>
                <w:sz w:val="24"/>
              </w:rPr>
              <w:t xml:space="preserve">and </w:t>
            </w:r>
            <w:r>
              <w:rPr>
                <w:b/>
                <w:spacing w:val="-2"/>
                <w:sz w:val="24"/>
              </w:rPr>
              <w:t>Reviewer</w:t>
            </w:r>
          </w:p>
        </w:tc>
        <w:tc>
          <w:tcPr>
            <w:tcW w:w="810" w:type="dxa"/>
            <w:tcBorders>
              <w:left w:val="single" w:sz="8" w:space="0" w:color="000000"/>
              <w:bottom w:val="single" w:sz="8" w:space="0" w:color="000000"/>
              <w:right w:val="single" w:sz="8" w:space="0" w:color="000000"/>
            </w:tcBorders>
            <w:shd w:val="clear" w:color="auto" w:fill="A6A6A6"/>
          </w:tcPr>
          <w:p w14:paraId="0DFDD12F" w14:textId="77777777" w:rsidR="00046465" w:rsidRDefault="008134EB">
            <w:pPr>
              <w:pStyle w:val="TableParagraph"/>
              <w:spacing w:before="120"/>
              <w:ind w:left="182" w:right="159" w:hanging="6"/>
              <w:jc w:val="both"/>
              <w:rPr>
                <w:b/>
              </w:rPr>
            </w:pPr>
            <w:r>
              <w:rPr>
                <w:b/>
                <w:spacing w:val="-4"/>
              </w:rPr>
              <w:t>Yes, No,* N/A</w:t>
            </w:r>
          </w:p>
        </w:tc>
        <w:tc>
          <w:tcPr>
            <w:tcW w:w="1260" w:type="dxa"/>
            <w:tcBorders>
              <w:left w:val="single" w:sz="8" w:space="0" w:color="000000"/>
              <w:bottom w:val="single" w:sz="8" w:space="0" w:color="000000"/>
            </w:tcBorders>
            <w:shd w:val="clear" w:color="auto" w:fill="A6A6A6"/>
          </w:tcPr>
          <w:p w14:paraId="0DFDD130" w14:textId="77777777" w:rsidR="00046465" w:rsidRDefault="00046465">
            <w:pPr>
              <w:pStyle w:val="TableParagraph"/>
              <w:rPr>
                <w:b/>
              </w:rPr>
            </w:pPr>
          </w:p>
          <w:p w14:paraId="0DFDD131" w14:textId="77777777" w:rsidR="00046465" w:rsidRDefault="00046465">
            <w:pPr>
              <w:pStyle w:val="TableParagraph"/>
              <w:spacing w:before="120"/>
              <w:rPr>
                <w:b/>
              </w:rPr>
            </w:pPr>
          </w:p>
          <w:p w14:paraId="0DFDD132" w14:textId="77777777" w:rsidR="00046465" w:rsidRDefault="008134EB">
            <w:pPr>
              <w:pStyle w:val="TableParagraph"/>
              <w:ind w:left="186"/>
              <w:rPr>
                <w:b/>
              </w:rPr>
            </w:pPr>
            <w:r>
              <w:rPr>
                <w:b/>
              </w:rPr>
              <w:t>Doc.</w:t>
            </w:r>
            <w:r>
              <w:rPr>
                <w:b/>
                <w:spacing w:val="-6"/>
              </w:rPr>
              <w:t xml:space="preserve"> </w:t>
            </w:r>
            <w:r>
              <w:rPr>
                <w:b/>
                <w:spacing w:val="-4"/>
              </w:rPr>
              <w:t>ref.</w:t>
            </w:r>
          </w:p>
        </w:tc>
      </w:tr>
      <w:tr w:rsidR="00046465" w14:paraId="0DFDD137" w14:textId="77777777">
        <w:trPr>
          <w:trHeight w:val="746"/>
        </w:trPr>
        <w:tc>
          <w:tcPr>
            <w:tcW w:w="7380" w:type="dxa"/>
            <w:tcBorders>
              <w:top w:val="single" w:sz="8" w:space="0" w:color="000000"/>
              <w:bottom w:val="single" w:sz="8" w:space="0" w:color="000000"/>
              <w:right w:val="single" w:sz="8" w:space="0" w:color="000000"/>
            </w:tcBorders>
          </w:tcPr>
          <w:p w14:paraId="0DFDD134" w14:textId="77777777" w:rsidR="00046465" w:rsidRDefault="008134EB">
            <w:pPr>
              <w:pStyle w:val="TableParagraph"/>
              <w:spacing w:before="121"/>
              <w:ind w:left="1245" w:hanging="360"/>
            </w:pPr>
            <w:r>
              <w:t>e.</w:t>
            </w:r>
            <w:r>
              <w:rPr>
                <w:spacing w:val="80"/>
              </w:rPr>
              <w:t xml:space="preserve"> </w:t>
            </w:r>
            <w:r>
              <w:t>After</w:t>
            </w:r>
            <w:r>
              <w:rPr>
                <w:spacing w:val="-4"/>
              </w:rPr>
              <w:t xml:space="preserve"> </w:t>
            </w:r>
            <w:r>
              <w:t>consulting</w:t>
            </w:r>
            <w:r>
              <w:rPr>
                <w:spacing w:val="-4"/>
              </w:rPr>
              <w:t xml:space="preserve"> </w:t>
            </w:r>
            <w:r>
              <w:t>with</w:t>
            </w:r>
            <w:r>
              <w:rPr>
                <w:spacing w:val="-4"/>
              </w:rPr>
              <w:t xml:space="preserve"> </w:t>
            </w:r>
            <w:r>
              <w:t>the</w:t>
            </w:r>
            <w:r>
              <w:rPr>
                <w:spacing w:val="-5"/>
              </w:rPr>
              <w:t xml:space="preserve"> </w:t>
            </w:r>
            <w:r>
              <w:t>audit</w:t>
            </w:r>
            <w:r>
              <w:rPr>
                <w:spacing w:val="-4"/>
              </w:rPr>
              <w:t xml:space="preserve"> </w:t>
            </w:r>
            <w:r>
              <w:t>director,</w:t>
            </w:r>
            <w:r>
              <w:rPr>
                <w:spacing w:val="-4"/>
              </w:rPr>
              <w:t xml:space="preserve"> </w:t>
            </w:r>
            <w:r>
              <w:t>determining</w:t>
            </w:r>
            <w:r>
              <w:rPr>
                <w:spacing w:val="-3"/>
              </w:rPr>
              <w:t xml:space="preserve"> </w:t>
            </w:r>
            <w:r>
              <w:t>that</w:t>
            </w:r>
            <w:r>
              <w:rPr>
                <w:spacing w:val="-4"/>
              </w:rPr>
              <w:t xml:space="preserve"> </w:t>
            </w:r>
            <w:r>
              <w:t>a misstatement is or might be a result of fraud? (FAM 540)</w:t>
            </w:r>
          </w:p>
        </w:tc>
        <w:tc>
          <w:tcPr>
            <w:tcW w:w="810" w:type="dxa"/>
            <w:tcBorders>
              <w:top w:val="single" w:sz="8" w:space="0" w:color="000000"/>
              <w:left w:val="single" w:sz="8" w:space="0" w:color="000000"/>
              <w:bottom w:val="single" w:sz="8" w:space="0" w:color="000000"/>
              <w:right w:val="single" w:sz="8" w:space="0" w:color="000000"/>
            </w:tcBorders>
          </w:tcPr>
          <w:p w14:paraId="0DFDD135"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36" w14:textId="77777777" w:rsidR="00046465" w:rsidRDefault="00046465">
            <w:pPr>
              <w:pStyle w:val="TableParagraph"/>
              <w:rPr>
                <w:rFonts w:ascii="Times New Roman"/>
              </w:rPr>
            </w:pPr>
          </w:p>
        </w:tc>
      </w:tr>
      <w:tr w:rsidR="00046465" w14:paraId="0DFDD13B" w14:textId="77777777">
        <w:trPr>
          <w:trHeight w:val="745"/>
        </w:trPr>
        <w:tc>
          <w:tcPr>
            <w:tcW w:w="7380" w:type="dxa"/>
            <w:tcBorders>
              <w:top w:val="single" w:sz="8" w:space="0" w:color="000000"/>
              <w:bottom w:val="single" w:sz="8" w:space="0" w:color="000000"/>
              <w:right w:val="single" w:sz="8" w:space="0" w:color="000000"/>
            </w:tcBorders>
          </w:tcPr>
          <w:p w14:paraId="0DFDD138" w14:textId="77777777" w:rsidR="00046465" w:rsidRDefault="008134EB">
            <w:pPr>
              <w:pStyle w:val="TableParagraph"/>
              <w:tabs>
                <w:tab w:val="left" w:pos="1245"/>
              </w:tabs>
              <w:spacing w:before="119"/>
              <w:ind w:left="1245" w:right="194" w:hanging="360"/>
            </w:pPr>
            <w:r>
              <w:rPr>
                <w:spacing w:val="-6"/>
              </w:rPr>
              <w:t>f.</w:t>
            </w:r>
            <w:r>
              <w:tab/>
              <w:t>Concluding</w:t>
            </w:r>
            <w:r>
              <w:rPr>
                <w:spacing w:val="-8"/>
              </w:rPr>
              <w:t xml:space="preserve"> </w:t>
            </w:r>
            <w:r>
              <w:t>on</w:t>
            </w:r>
            <w:r>
              <w:rPr>
                <w:spacing w:val="-7"/>
              </w:rPr>
              <w:t xml:space="preserve"> </w:t>
            </w:r>
            <w:r>
              <w:t>any</w:t>
            </w:r>
            <w:r>
              <w:rPr>
                <w:spacing w:val="-7"/>
              </w:rPr>
              <w:t xml:space="preserve"> </w:t>
            </w:r>
            <w:r>
              <w:t>noncompliance</w:t>
            </w:r>
            <w:r>
              <w:rPr>
                <w:spacing w:val="-7"/>
              </w:rPr>
              <w:t xml:space="preserve"> </w:t>
            </w:r>
            <w:r>
              <w:t>with</w:t>
            </w:r>
            <w:r>
              <w:rPr>
                <w:spacing w:val="-7"/>
              </w:rPr>
              <w:t xml:space="preserve"> </w:t>
            </w:r>
            <w:r>
              <w:t>significant</w:t>
            </w:r>
            <w:r>
              <w:rPr>
                <w:spacing w:val="-7"/>
              </w:rPr>
              <w:t xml:space="preserve"> </w:t>
            </w:r>
            <w:r>
              <w:t>provisions of applicable laws and regulations? (FAM 580)</w:t>
            </w:r>
          </w:p>
        </w:tc>
        <w:tc>
          <w:tcPr>
            <w:tcW w:w="810" w:type="dxa"/>
            <w:tcBorders>
              <w:top w:val="single" w:sz="8" w:space="0" w:color="000000"/>
              <w:left w:val="single" w:sz="8" w:space="0" w:color="000000"/>
              <w:bottom w:val="single" w:sz="8" w:space="0" w:color="000000"/>
              <w:right w:val="single" w:sz="8" w:space="0" w:color="000000"/>
            </w:tcBorders>
          </w:tcPr>
          <w:p w14:paraId="0DFDD139"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3A" w14:textId="77777777" w:rsidR="00046465" w:rsidRDefault="00046465">
            <w:pPr>
              <w:pStyle w:val="TableParagraph"/>
              <w:rPr>
                <w:rFonts w:ascii="Times New Roman"/>
              </w:rPr>
            </w:pPr>
          </w:p>
        </w:tc>
      </w:tr>
      <w:tr w:rsidR="00046465" w14:paraId="0DFDD13F" w14:textId="77777777">
        <w:trPr>
          <w:trHeight w:val="998"/>
        </w:trPr>
        <w:tc>
          <w:tcPr>
            <w:tcW w:w="7380" w:type="dxa"/>
            <w:tcBorders>
              <w:top w:val="single" w:sz="8" w:space="0" w:color="000000"/>
              <w:bottom w:val="single" w:sz="8" w:space="0" w:color="000000"/>
              <w:right w:val="single" w:sz="8" w:space="0" w:color="000000"/>
            </w:tcBorders>
          </w:tcPr>
          <w:p w14:paraId="0DFDD13C" w14:textId="77777777" w:rsidR="00046465" w:rsidRDefault="008134EB">
            <w:pPr>
              <w:pStyle w:val="TableParagraph"/>
              <w:spacing w:before="119"/>
              <w:ind w:left="1245" w:right="830" w:hanging="360"/>
              <w:jc w:val="both"/>
            </w:pPr>
            <w:r>
              <w:t>g.</w:t>
            </w:r>
            <w:r>
              <w:rPr>
                <w:spacing w:val="40"/>
              </w:rPr>
              <w:t xml:space="preserve"> </w:t>
            </w:r>
            <w:r>
              <w:t>Concluding</w:t>
            </w:r>
            <w:r>
              <w:rPr>
                <w:spacing w:val="-6"/>
              </w:rPr>
              <w:t xml:space="preserve"> </w:t>
            </w:r>
            <w:r>
              <w:t>whether</w:t>
            </w:r>
            <w:r>
              <w:rPr>
                <w:spacing w:val="-5"/>
              </w:rPr>
              <w:t xml:space="preserve"> </w:t>
            </w:r>
            <w:r>
              <w:t>the</w:t>
            </w:r>
            <w:r>
              <w:rPr>
                <w:spacing w:val="-5"/>
              </w:rPr>
              <w:t xml:space="preserve"> </w:t>
            </w:r>
            <w:r>
              <w:t>entity’s</w:t>
            </w:r>
            <w:r>
              <w:rPr>
                <w:spacing w:val="-6"/>
              </w:rPr>
              <w:t xml:space="preserve"> </w:t>
            </w:r>
            <w:r>
              <w:t>financial</w:t>
            </w:r>
            <w:r>
              <w:rPr>
                <w:spacing w:val="-5"/>
              </w:rPr>
              <w:t xml:space="preserve"> </w:t>
            </w:r>
            <w:r>
              <w:t>management systems</w:t>
            </w:r>
            <w:r>
              <w:rPr>
                <w:spacing w:val="-3"/>
              </w:rPr>
              <w:t xml:space="preserve"> </w:t>
            </w:r>
            <w:r>
              <w:t>comply</w:t>
            </w:r>
            <w:r>
              <w:rPr>
                <w:spacing w:val="-3"/>
              </w:rPr>
              <w:t xml:space="preserve"> </w:t>
            </w:r>
            <w:r>
              <w:t>substantially</w:t>
            </w:r>
            <w:r>
              <w:rPr>
                <w:spacing w:val="-3"/>
              </w:rPr>
              <w:t xml:space="preserve"> </w:t>
            </w:r>
            <w:r>
              <w:t>with</w:t>
            </w:r>
            <w:r>
              <w:rPr>
                <w:spacing w:val="-3"/>
              </w:rPr>
              <w:t xml:space="preserve"> </w:t>
            </w:r>
            <w:r>
              <w:t>the</w:t>
            </w:r>
            <w:r>
              <w:rPr>
                <w:spacing w:val="-3"/>
              </w:rPr>
              <w:t xml:space="preserve"> </w:t>
            </w:r>
            <w:r>
              <w:t>requirements</w:t>
            </w:r>
            <w:r>
              <w:rPr>
                <w:spacing w:val="-3"/>
              </w:rPr>
              <w:t xml:space="preserve"> </w:t>
            </w:r>
            <w:r>
              <w:t>of FFMIA? (FAM 580)</w:t>
            </w:r>
          </w:p>
        </w:tc>
        <w:tc>
          <w:tcPr>
            <w:tcW w:w="810" w:type="dxa"/>
            <w:tcBorders>
              <w:top w:val="single" w:sz="8" w:space="0" w:color="000000"/>
              <w:left w:val="single" w:sz="8" w:space="0" w:color="000000"/>
              <w:bottom w:val="single" w:sz="8" w:space="0" w:color="000000"/>
              <w:right w:val="single" w:sz="8" w:space="0" w:color="000000"/>
            </w:tcBorders>
          </w:tcPr>
          <w:p w14:paraId="0DFDD13D"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3E" w14:textId="77777777" w:rsidR="00046465" w:rsidRDefault="00046465">
            <w:pPr>
              <w:pStyle w:val="TableParagraph"/>
              <w:rPr>
                <w:rFonts w:ascii="Times New Roman"/>
              </w:rPr>
            </w:pPr>
          </w:p>
        </w:tc>
      </w:tr>
      <w:tr w:rsidR="00046465" w14:paraId="0DFDD143" w14:textId="77777777">
        <w:trPr>
          <w:trHeight w:val="998"/>
        </w:trPr>
        <w:tc>
          <w:tcPr>
            <w:tcW w:w="7380" w:type="dxa"/>
            <w:tcBorders>
              <w:top w:val="single" w:sz="8" w:space="0" w:color="000000"/>
              <w:bottom w:val="single" w:sz="8" w:space="0" w:color="000000"/>
              <w:right w:val="single" w:sz="8" w:space="0" w:color="000000"/>
            </w:tcBorders>
          </w:tcPr>
          <w:p w14:paraId="0DFDD140" w14:textId="77777777" w:rsidR="00046465" w:rsidRDefault="008134EB">
            <w:pPr>
              <w:pStyle w:val="TableParagraph"/>
              <w:spacing w:before="119"/>
              <w:ind w:left="1245" w:hanging="360"/>
            </w:pPr>
            <w:r>
              <w:t>h.</w:t>
            </w:r>
            <w:r>
              <w:rPr>
                <w:spacing w:val="80"/>
              </w:rPr>
              <w:t xml:space="preserve"> </w:t>
            </w:r>
            <w:r>
              <w:t>Determining</w:t>
            </w:r>
            <w:r>
              <w:rPr>
                <w:spacing w:val="-4"/>
              </w:rPr>
              <w:t xml:space="preserve"> </w:t>
            </w:r>
            <w:r>
              <w:t>the</w:t>
            </w:r>
            <w:r>
              <w:rPr>
                <w:spacing w:val="-4"/>
              </w:rPr>
              <w:t xml:space="preserve"> </w:t>
            </w:r>
            <w:r>
              <w:t>effects</w:t>
            </w:r>
            <w:r>
              <w:rPr>
                <w:spacing w:val="-5"/>
              </w:rPr>
              <w:t xml:space="preserve"> </w:t>
            </w:r>
            <w:r>
              <w:t>on</w:t>
            </w:r>
            <w:r>
              <w:rPr>
                <w:spacing w:val="-4"/>
              </w:rPr>
              <w:t xml:space="preserve"> </w:t>
            </w:r>
            <w:r>
              <w:t>the</w:t>
            </w:r>
            <w:r>
              <w:rPr>
                <w:spacing w:val="-4"/>
              </w:rPr>
              <w:t xml:space="preserve"> </w:t>
            </w:r>
            <w:r>
              <w:t>auditor’s</w:t>
            </w:r>
            <w:r>
              <w:rPr>
                <w:spacing w:val="-4"/>
              </w:rPr>
              <w:t xml:space="preserve"> </w:t>
            </w:r>
            <w:r>
              <w:t>report</w:t>
            </w:r>
            <w:r>
              <w:rPr>
                <w:spacing w:val="-4"/>
              </w:rPr>
              <w:t xml:space="preserve"> </w:t>
            </w:r>
            <w:r>
              <w:t>if</w:t>
            </w:r>
            <w:r>
              <w:rPr>
                <w:spacing w:val="-5"/>
              </w:rPr>
              <w:t xml:space="preserve"> </w:t>
            </w:r>
            <w:r>
              <w:t>weaknesses are found in compliance controls but no instances of noncompliance are detected? (FAM 580)</w:t>
            </w:r>
          </w:p>
        </w:tc>
        <w:tc>
          <w:tcPr>
            <w:tcW w:w="810" w:type="dxa"/>
            <w:tcBorders>
              <w:top w:val="single" w:sz="8" w:space="0" w:color="000000"/>
              <w:left w:val="single" w:sz="8" w:space="0" w:color="000000"/>
              <w:bottom w:val="single" w:sz="8" w:space="0" w:color="000000"/>
              <w:right w:val="single" w:sz="8" w:space="0" w:color="000000"/>
            </w:tcBorders>
          </w:tcPr>
          <w:p w14:paraId="0DFDD141"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42" w14:textId="77777777" w:rsidR="00046465" w:rsidRDefault="00046465">
            <w:pPr>
              <w:pStyle w:val="TableParagraph"/>
              <w:rPr>
                <w:rFonts w:ascii="Times New Roman"/>
              </w:rPr>
            </w:pPr>
          </w:p>
        </w:tc>
      </w:tr>
      <w:tr w:rsidR="00046465" w14:paraId="0DFDD147" w14:textId="77777777">
        <w:trPr>
          <w:trHeight w:val="998"/>
        </w:trPr>
        <w:tc>
          <w:tcPr>
            <w:tcW w:w="7380" w:type="dxa"/>
            <w:tcBorders>
              <w:top w:val="single" w:sz="8" w:space="0" w:color="000000"/>
              <w:bottom w:val="single" w:sz="8" w:space="0" w:color="000000"/>
              <w:right w:val="single" w:sz="8" w:space="0" w:color="000000"/>
            </w:tcBorders>
          </w:tcPr>
          <w:p w14:paraId="0DFDD144" w14:textId="77777777" w:rsidR="00046465" w:rsidRDefault="008134EB">
            <w:pPr>
              <w:pStyle w:val="TableParagraph"/>
              <w:spacing w:before="121"/>
              <w:ind w:left="843" w:right="217" w:hanging="360"/>
              <w:jc w:val="both"/>
            </w:pPr>
            <w:r>
              <w:t>4.</w:t>
            </w:r>
            <w:r>
              <w:rPr>
                <w:spacing w:val="80"/>
              </w:rPr>
              <w:t xml:space="preserve"> </w:t>
            </w:r>
            <w:r>
              <w:t>When</w:t>
            </w:r>
            <w:r>
              <w:rPr>
                <w:spacing w:val="-4"/>
              </w:rPr>
              <w:t xml:space="preserve"> </w:t>
            </w:r>
            <w:r>
              <w:t>applicable,</w:t>
            </w:r>
            <w:r>
              <w:rPr>
                <w:spacing w:val="-4"/>
              </w:rPr>
              <w:t xml:space="preserve"> </w:t>
            </w:r>
            <w:r>
              <w:t>did</w:t>
            </w:r>
            <w:r>
              <w:rPr>
                <w:spacing w:val="-4"/>
              </w:rPr>
              <w:t xml:space="preserve"> </w:t>
            </w:r>
            <w:r>
              <w:t>the</w:t>
            </w:r>
            <w:r>
              <w:rPr>
                <w:spacing w:val="-5"/>
              </w:rPr>
              <w:t xml:space="preserve"> </w:t>
            </w:r>
            <w:r>
              <w:t>engagement</w:t>
            </w:r>
            <w:r>
              <w:rPr>
                <w:spacing w:val="-4"/>
              </w:rPr>
              <w:t xml:space="preserve"> </w:t>
            </w:r>
            <w:r>
              <w:t>team</w:t>
            </w:r>
            <w:r>
              <w:rPr>
                <w:spacing w:val="-5"/>
              </w:rPr>
              <w:t xml:space="preserve"> </w:t>
            </w:r>
            <w:r>
              <w:t>provide</w:t>
            </w:r>
            <w:r>
              <w:rPr>
                <w:spacing w:val="-4"/>
              </w:rPr>
              <w:t xml:space="preserve"> </w:t>
            </w:r>
            <w:r>
              <w:t>the</w:t>
            </w:r>
            <w:r>
              <w:rPr>
                <w:spacing w:val="-4"/>
              </w:rPr>
              <w:t xml:space="preserve"> </w:t>
            </w:r>
            <w:r>
              <w:t>reviewer with</w:t>
            </w:r>
            <w:r>
              <w:rPr>
                <w:spacing w:val="-2"/>
              </w:rPr>
              <w:t xml:space="preserve"> </w:t>
            </w:r>
            <w:r>
              <w:t>documentation</w:t>
            </w:r>
            <w:r>
              <w:rPr>
                <w:spacing w:val="-2"/>
              </w:rPr>
              <w:t xml:space="preserve"> </w:t>
            </w:r>
            <w:r>
              <w:t>related</w:t>
            </w:r>
            <w:r>
              <w:rPr>
                <w:spacing w:val="-2"/>
              </w:rPr>
              <w:t xml:space="preserve"> </w:t>
            </w:r>
            <w:r>
              <w:t>to</w:t>
            </w:r>
            <w:r>
              <w:rPr>
                <w:spacing w:val="-2"/>
              </w:rPr>
              <w:t xml:space="preserve"> </w:t>
            </w:r>
            <w:r>
              <w:t>the</w:t>
            </w:r>
            <w:r>
              <w:rPr>
                <w:spacing w:val="-2"/>
              </w:rPr>
              <w:t xml:space="preserve"> </w:t>
            </w:r>
            <w:r>
              <w:t>following</w:t>
            </w:r>
            <w:r>
              <w:rPr>
                <w:spacing w:val="-2"/>
              </w:rPr>
              <w:t xml:space="preserve"> </w:t>
            </w:r>
            <w:r>
              <w:t>in</w:t>
            </w:r>
            <w:r>
              <w:rPr>
                <w:spacing w:val="-2"/>
              </w:rPr>
              <w:t xml:space="preserve"> </w:t>
            </w:r>
            <w:r>
              <w:t>a</w:t>
            </w:r>
            <w:r>
              <w:rPr>
                <w:spacing w:val="-2"/>
              </w:rPr>
              <w:t xml:space="preserve"> </w:t>
            </w:r>
            <w:r>
              <w:t>timely</w:t>
            </w:r>
            <w:r>
              <w:rPr>
                <w:spacing w:val="-2"/>
              </w:rPr>
              <w:t xml:space="preserve"> </w:t>
            </w:r>
            <w:r>
              <w:t>manner</w:t>
            </w:r>
            <w:r>
              <w:rPr>
                <w:spacing w:val="-2"/>
              </w:rPr>
              <w:t xml:space="preserve"> </w:t>
            </w:r>
            <w:r>
              <w:t>to allow any issues to be promptly identified and resolved:</w:t>
            </w:r>
          </w:p>
        </w:tc>
        <w:tc>
          <w:tcPr>
            <w:tcW w:w="810" w:type="dxa"/>
            <w:tcBorders>
              <w:top w:val="single" w:sz="8" w:space="0" w:color="000000"/>
              <w:left w:val="single" w:sz="8" w:space="0" w:color="000000"/>
              <w:bottom w:val="single" w:sz="8" w:space="0" w:color="000000"/>
              <w:right w:val="single" w:sz="8" w:space="0" w:color="000000"/>
            </w:tcBorders>
            <w:shd w:val="clear" w:color="auto" w:fill="BEBEBE"/>
          </w:tcPr>
          <w:p w14:paraId="0DFDD145"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shd w:val="clear" w:color="auto" w:fill="BEBEBE"/>
          </w:tcPr>
          <w:p w14:paraId="0DFDD146" w14:textId="77777777" w:rsidR="00046465" w:rsidRDefault="00046465">
            <w:pPr>
              <w:pStyle w:val="TableParagraph"/>
              <w:rPr>
                <w:rFonts w:ascii="Times New Roman"/>
              </w:rPr>
            </w:pPr>
          </w:p>
        </w:tc>
      </w:tr>
      <w:tr w:rsidR="00046465" w14:paraId="0DFDD14B" w14:textId="77777777">
        <w:trPr>
          <w:trHeight w:val="998"/>
        </w:trPr>
        <w:tc>
          <w:tcPr>
            <w:tcW w:w="7380" w:type="dxa"/>
            <w:tcBorders>
              <w:top w:val="single" w:sz="8" w:space="0" w:color="000000"/>
              <w:bottom w:val="single" w:sz="8" w:space="0" w:color="000000"/>
              <w:right w:val="single" w:sz="8" w:space="0" w:color="000000"/>
            </w:tcBorders>
          </w:tcPr>
          <w:p w14:paraId="0DFDD148" w14:textId="77777777" w:rsidR="00046465" w:rsidRDefault="008134EB">
            <w:pPr>
              <w:pStyle w:val="TableParagraph"/>
              <w:spacing w:before="121"/>
              <w:ind w:left="1244" w:hanging="360"/>
            </w:pPr>
            <w:r>
              <w:t>a.</w:t>
            </w:r>
            <w:r>
              <w:rPr>
                <w:spacing w:val="80"/>
              </w:rPr>
              <w:t xml:space="preserve"> </w:t>
            </w:r>
            <w:r>
              <w:t>Using</w:t>
            </w:r>
            <w:r>
              <w:rPr>
                <w:spacing w:val="-4"/>
              </w:rPr>
              <w:t xml:space="preserve"> </w:t>
            </w:r>
            <w:r>
              <w:t>nonstatistical</w:t>
            </w:r>
            <w:r>
              <w:rPr>
                <w:spacing w:val="-4"/>
              </w:rPr>
              <w:t xml:space="preserve"> </w:t>
            </w:r>
            <w:r>
              <w:t>sampling?</w:t>
            </w:r>
            <w:r>
              <w:rPr>
                <w:spacing w:val="-4"/>
              </w:rPr>
              <w:t xml:space="preserve"> </w:t>
            </w:r>
            <w:r>
              <w:t>(This</w:t>
            </w:r>
            <w:r>
              <w:rPr>
                <w:spacing w:val="-5"/>
              </w:rPr>
              <w:t xml:space="preserve"> </w:t>
            </w:r>
            <w:r>
              <w:t>is</w:t>
            </w:r>
            <w:r>
              <w:rPr>
                <w:spacing w:val="-4"/>
              </w:rPr>
              <w:t xml:space="preserve"> </w:t>
            </w:r>
            <w:r>
              <w:t>not</w:t>
            </w:r>
            <w:r>
              <w:rPr>
                <w:spacing w:val="-4"/>
              </w:rPr>
              <w:t xml:space="preserve"> </w:t>
            </w:r>
            <w:r>
              <w:t>the</w:t>
            </w:r>
            <w:r>
              <w:rPr>
                <w:spacing w:val="-4"/>
              </w:rPr>
              <w:t xml:space="preserve"> </w:t>
            </w:r>
            <w:r>
              <w:t>same</w:t>
            </w:r>
            <w:r>
              <w:rPr>
                <w:spacing w:val="-4"/>
              </w:rPr>
              <w:t xml:space="preserve"> </w:t>
            </w:r>
            <w:r>
              <w:t>as nonstatistical selection, which is not intended to be representative of the population.) (FAM 480)</w:t>
            </w:r>
          </w:p>
        </w:tc>
        <w:tc>
          <w:tcPr>
            <w:tcW w:w="810" w:type="dxa"/>
            <w:tcBorders>
              <w:top w:val="single" w:sz="8" w:space="0" w:color="000000"/>
              <w:left w:val="single" w:sz="8" w:space="0" w:color="000000"/>
              <w:bottom w:val="single" w:sz="8" w:space="0" w:color="000000"/>
              <w:right w:val="single" w:sz="8" w:space="0" w:color="000000"/>
            </w:tcBorders>
          </w:tcPr>
          <w:p w14:paraId="0DFDD149"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4A" w14:textId="77777777" w:rsidR="00046465" w:rsidRDefault="00046465">
            <w:pPr>
              <w:pStyle w:val="TableParagraph"/>
              <w:rPr>
                <w:rFonts w:ascii="Times New Roman"/>
              </w:rPr>
            </w:pPr>
          </w:p>
        </w:tc>
      </w:tr>
      <w:tr w:rsidR="00046465" w14:paraId="0DFDD14F" w14:textId="77777777">
        <w:trPr>
          <w:trHeight w:val="998"/>
        </w:trPr>
        <w:tc>
          <w:tcPr>
            <w:tcW w:w="7380" w:type="dxa"/>
            <w:tcBorders>
              <w:top w:val="single" w:sz="8" w:space="0" w:color="000000"/>
              <w:bottom w:val="single" w:sz="8" w:space="0" w:color="000000"/>
              <w:right w:val="single" w:sz="8" w:space="0" w:color="000000"/>
            </w:tcBorders>
          </w:tcPr>
          <w:p w14:paraId="0DFDD14C" w14:textId="77777777" w:rsidR="00046465" w:rsidRDefault="008134EB">
            <w:pPr>
              <w:pStyle w:val="TableParagraph"/>
              <w:spacing w:before="121"/>
              <w:ind w:left="1244" w:right="245" w:hanging="360"/>
              <w:jc w:val="both"/>
            </w:pPr>
            <w:r>
              <w:t>b.</w:t>
            </w:r>
            <w:r>
              <w:rPr>
                <w:spacing w:val="80"/>
              </w:rPr>
              <w:t xml:space="preserve"> </w:t>
            </w:r>
            <w:r>
              <w:t>Determining</w:t>
            </w:r>
            <w:r>
              <w:rPr>
                <w:spacing w:val="-3"/>
              </w:rPr>
              <w:t xml:space="preserve"> </w:t>
            </w:r>
            <w:r>
              <w:t>the</w:t>
            </w:r>
            <w:r>
              <w:rPr>
                <w:spacing w:val="-3"/>
              </w:rPr>
              <w:t xml:space="preserve"> </w:t>
            </w:r>
            <w:r>
              <w:t>adequacy</w:t>
            </w:r>
            <w:r>
              <w:rPr>
                <w:spacing w:val="-3"/>
              </w:rPr>
              <w:t xml:space="preserve"> </w:t>
            </w:r>
            <w:r>
              <w:t>of</w:t>
            </w:r>
            <w:r>
              <w:rPr>
                <w:spacing w:val="-3"/>
              </w:rPr>
              <w:t xml:space="preserve"> </w:t>
            </w:r>
            <w:r>
              <w:t>substantive</w:t>
            </w:r>
            <w:r>
              <w:rPr>
                <w:spacing w:val="-3"/>
              </w:rPr>
              <w:t xml:space="preserve"> </w:t>
            </w:r>
            <w:r>
              <w:t>procedures</w:t>
            </w:r>
            <w:r>
              <w:rPr>
                <w:spacing w:val="-3"/>
              </w:rPr>
              <w:t xml:space="preserve"> </w:t>
            </w:r>
            <w:r>
              <w:t>in</w:t>
            </w:r>
            <w:r>
              <w:rPr>
                <w:spacing w:val="-3"/>
              </w:rPr>
              <w:t xml:space="preserve"> </w:t>
            </w:r>
            <w:r>
              <w:t>light of</w:t>
            </w:r>
            <w:r>
              <w:rPr>
                <w:spacing w:val="-5"/>
              </w:rPr>
              <w:t xml:space="preserve"> </w:t>
            </w:r>
            <w:r>
              <w:t>any</w:t>
            </w:r>
            <w:r>
              <w:rPr>
                <w:spacing w:val="-5"/>
              </w:rPr>
              <w:t xml:space="preserve"> </w:t>
            </w:r>
            <w:r>
              <w:t>reassessment</w:t>
            </w:r>
            <w:r>
              <w:rPr>
                <w:spacing w:val="-5"/>
              </w:rPr>
              <w:t xml:space="preserve"> </w:t>
            </w:r>
            <w:r>
              <w:t>of</w:t>
            </w:r>
            <w:r>
              <w:rPr>
                <w:spacing w:val="-5"/>
              </w:rPr>
              <w:t xml:space="preserve"> </w:t>
            </w:r>
            <w:r>
              <w:t>risk</w:t>
            </w:r>
            <w:r>
              <w:rPr>
                <w:spacing w:val="-5"/>
              </w:rPr>
              <w:t xml:space="preserve"> </w:t>
            </w:r>
            <w:r>
              <w:t>of</w:t>
            </w:r>
            <w:r>
              <w:rPr>
                <w:spacing w:val="-5"/>
              </w:rPr>
              <w:t xml:space="preserve"> </w:t>
            </w:r>
            <w:r>
              <w:t>material</w:t>
            </w:r>
            <w:r>
              <w:rPr>
                <w:spacing w:val="-5"/>
              </w:rPr>
              <w:t xml:space="preserve"> </w:t>
            </w:r>
            <w:r>
              <w:t>misstatement?</w:t>
            </w:r>
            <w:r>
              <w:rPr>
                <w:spacing w:val="-5"/>
              </w:rPr>
              <w:t xml:space="preserve"> </w:t>
            </w:r>
            <w:r>
              <w:t xml:space="preserve">(FAM </w:t>
            </w:r>
            <w:r>
              <w:rPr>
                <w:spacing w:val="-4"/>
              </w:rPr>
              <w:t>530)</w:t>
            </w:r>
          </w:p>
        </w:tc>
        <w:tc>
          <w:tcPr>
            <w:tcW w:w="810" w:type="dxa"/>
            <w:tcBorders>
              <w:top w:val="single" w:sz="8" w:space="0" w:color="000000"/>
              <w:left w:val="single" w:sz="8" w:space="0" w:color="000000"/>
              <w:bottom w:val="single" w:sz="8" w:space="0" w:color="000000"/>
              <w:right w:val="single" w:sz="8" w:space="0" w:color="000000"/>
            </w:tcBorders>
          </w:tcPr>
          <w:p w14:paraId="0DFDD14D"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4E" w14:textId="77777777" w:rsidR="00046465" w:rsidRDefault="00046465">
            <w:pPr>
              <w:pStyle w:val="TableParagraph"/>
              <w:rPr>
                <w:rFonts w:ascii="Times New Roman"/>
              </w:rPr>
            </w:pPr>
          </w:p>
        </w:tc>
      </w:tr>
      <w:tr w:rsidR="00046465" w14:paraId="0DFDD153" w14:textId="77777777">
        <w:trPr>
          <w:trHeight w:val="999"/>
        </w:trPr>
        <w:tc>
          <w:tcPr>
            <w:tcW w:w="7380" w:type="dxa"/>
            <w:tcBorders>
              <w:top w:val="single" w:sz="8" w:space="0" w:color="000000"/>
              <w:bottom w:val="single" w:sz="8" w:space="0" w:color="000000"/>
              <w:right w:val="single" w:sz="8" w:space="0" w:color="000000"/>
            </w:tcBorders>
          </w:tcPr>
          <w:p w14:paraId="0DFDD150" w14:textId="77777777" w:rsidR="00046465" w:rsidRDefault="008134EB">
            <w:pPr>
              <w:pStyle w:val="TableParagraph"/>
              <w:spacing w:before="121"/>
              <w:ind w:left="1244" w:hanging="360"/>
            </w:pPr>
            <w:r>
              <w:t>c.</w:t>
            </w:r>
            <w:r>
              <w:rPr>
                <w:spacing w:val="80"/>
              </w:rPr>
              <w:t xml:space="preserve"> </w:t>
            </w:r>
            <w:r>
              <w:t>Determining</w:t>
            </w:r>
            <w:r>
              <w:rPr>
                <w:spacing w:val="-4"/>
              </w:rPr>
              <w:t xml:space="preserve"> </w:t>
            </w:r>
            <w:r>
              <w:t>the</w:t>
            </w:r>
            <w:r>
              <w:rPr>
                <w:spacing w:val="-4"/>
              </w:rPr>
              <w:t xml:space="preserve"> </w:t>
            </w:r>
            <w:r>
              <w:t>need</w:t>
            </w:r>
            <w:r>
              <w:rPr>
                <w:spacing w:val="-4"/>
              </w:rPr>
              <w:t xml:space="preserve"> </w:t>
            </w:r>
            <w:r>
              <w:t>to</w:t>
            </w:r>
            <w:r>
              <w:rPr>
                <w:spacing w:val="-5"/>
              </w:rPr>
              <w:t xml:space="preserve"> </w:t>
            </w:r>
            <w:r>
              <w:t>perform</w:t>
            </w:r>
            <w:r>
              <w:rPr>
                <w:spacing w:val="-5"/>
              </w:rPr>
              <w:t xml:space="preserve"> </w:t>
            </w:r>
            <w:r>
              <w:t>additional</w:t>
            </w:r>
            <w:r>
              <w:rPr>
                <w:spacing w:val="-4"/>
              </w:rPr>
              <w:t xml:space="preserve"> </w:t>
            </w:r>
            <w:r>
              <w:t>procedures</w:t>
            </w:r>
            <w:r>
              <w:rPr>
                <w:spacing w:val="-4"/>
              </w:rPr>
              <w:t xml:space="preserve"> </w:t>
            </w:r>
            <w:r>
              <w:t>when there are questions about the adequacy of work performed? (FAM 530)</w:t>
            </w:r>
          </w:p>
        </w:tc>
        <w:tc>
          <w:tcPr>
            <w:tcW w:w="810" w:type="dxa"/>
            <w:tcBorders>
              <w:top w:val="single" w:sz="8" w:space="0" w:color="000000"/>
              <w:left w:val="single" w:sz="8" w:space="0" w:color="000000"/>
              <w:bottom w:val="single" w:sz="8" w:space="0" w:color="000000"/>
              <w:right w:val="single" w:sz="8" w:space="0" w:color="000000"/>
            </w:tcBorders>
          </w:tcPr>
          <w:p w14:paraId="0DFDD151"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52" w14:textId="77777777" w:rsidR="00046465" w:rsidRDefault="00046465">
            <w:pPr>
              <w:pStyle w:val="TableParagraph"/>
              <w:rPr>
                <w:rFonts w:ascii="Times New Roman"/>
              </w:rPr>
            </w:pPr>
          </w:p>
        </w:tc>
      </w:tr>
      <w:tr w:rsidR="00046465" w14:paraId="0DFDD157" w14:textId="77777777">
        <w:trPr>
          <w:trHeight w:val="1503"/>
        </w:trPr>
        <w:tc>
          <w:tcPr>
            <w:tcW w:w="7380" w:type="dxa"/>
            <w:tcBorders>
              <w:top w:val="single" w:sz="8" w:space="0" w:color="000000"/>
              <w:bottom w:val="single" w:sz="8" w:space="0" w:color="000000"/>
              <w:right w:val="single" w:sz="8" w:space="0" w:color="000000"/>
            </w:tcBorders>
          </w:tcPr>
          <w:p w14:paraId="0DFDD154" w14:textId="77777777" w:rsidR="00046465" w:rsidRDefault="008134EB">
            <w:pPr>
              <w:pStyle w:val="TableParagraph"/>
              <w:spacing w:before="119"/>
              <w:ind w:left="1244" w:hanging="360"/>
            </w:pPr>
            <w:r>
              <w:t>d.</w:t>
            </w:r>
            <w:r>
              <w:rPr>
                <w:spacing w:val="80"/>
              </w:rPr>
              <w:t xml:space="preserve"> </w:t>
            </w:r>
            <w:r>
              <w:t>Evaluating audit exposure, including uncorrected misstatements,</w:t>
            </w:r>
            <w:r>
              <w:rPr>
                <w:spacing w:val="-9"/>
              </w:rPr>
              <w:t xml:space="preserve"> </w:t>
            </w:r>
            <w:r>
              <w:t>possible</w:t>
            </w:r>
            <w:r>
              <w:rPr>
                <w:spacing w:val="-10"/>
              </w:rPr>
              <w:t xml:space="preserve"> </w:t>
            </w:r>
            <w:r>
              <w:t>undetected</w:t>
            </w:r>
            <w:r>
              <w:rPr>
                <w:spacing w:val="-10"/>
              </w:rPr>
              <w:t xml:space="preserve"> </w:t>
            </w:r>
            <w:r>
              <w:t>misstatements</w:t>
            </w:r>
            <w:r>
              <w:rPr>
                <w:spacing w:val="-9"/>
              </w:rPr>
              <w:t xml:space="preserve"> </w:t>
            </w:r>
            <w:r>
              <w:t>(e.g., untested amounts and audit precision), and qualitative considerations,</w:t>
            </w:r>
            <w:r>
              <w:rPr>
                <w:spacing w:val="-6"/>
              </w:rPr>
              <w:t xml:space="preserve"> </w:t>
            </w:r>
            <w:r>
              <w:t>and</w:t>
            </w:r>
            <w:r>
              <w:rPr>
                <w:spacing w:val="-6"/>
              </w:rPr>
              <w:t xml:space="preserve"> </w:t>
            </w:r>
            <w:r>
              <w:t>determining</w:t>
            </w:r>
            <w:r>
              <w:rPr>
                <w:spacing w:val="-6"/>
              </w:rPr>
              <w:t xml:space="preserve"> </w:t>
            </w:r>
            <w:r>
              <w:t>its</w:t>
            </w:r>
            <w:r>
              <w:rPr>
                <w:spacing w:val="-6"/>
              </w:rPr>
              <w:t xml:space="preserve"> </w:t>
            </w:r>
            <w:r>
              <w:t>effect</w:t>
            </w:r>
            <w:r>
              <w:rPr>
                <w:spacing w:val="-6"/>
              </w:rPr>
              <w:t xml:space="preserve"> </w:t>
            </w:r>
            <w:r>
              <w:t>on</w:t>
            </w:r>
            <w:r>
              <w:rPr>
                <w:spacing w:val="-6"/>
              </w:rPr>
              <w:t xml:space="preserve"> </w:t>
            </w:r>
            <w:r>
              <w:t>the</w:t>
            </w:r>
            <w:r>
              <w:rPr>
                <w:spacing w:val="-6"/>
              </w:rPr>
              <w:t xml:space="preserve"> </w:t>
            </w:r>
            <w:r>
              <w:t>financial statements and notes? (FAM 545)</w:t>
            </w:r>
          </w:p>
        </w:tc>
        <w:tc>
          <w:tcPr>
            <w:tcW w:w="810" w:type="dxa"/>
            <w:tcBorders>
              <w:top w:val="single" w:sz="8" w:space="0" w:color="000000"/>
              <w:left w:val="single" w:sz="8" w:space="0" w:color="000000"/>
              <w:bottom w:val="single" w:sz="8" w:space="0" w:color="000000"/>
              <w:right w:val="single" w:sz="8" w:space="0" w:color="000000"/>
            </w:tcBorders>
          </w:tcPr>
          <w:p w14:paraId="0DFDD155"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56" w14:textId="77777777" w:rsidR="00046465" w:rsidRDefault="00046465">
            <w:pPr>
              <w:pStyle w:val="TableParagraph"/>
              <w:rPr>
                <w:rFonts w:ascii="Times New Roman"/>
              </w:rPr>
            </w:pPr>
          </w:p>
        </w:tc>
      </w:tr>
      <w:tr w:rsidR="00046465" w14:paraId="0DFDD15B" w14:textId="77777777">
        <w:trPr>
          <w:trHeight w:val="1505"/>
        </w:trPr>
        <w:tc>
          <w:tcPr>
            <w:tcW w:w="7380" w:type="dxa"/>
            <w:tcBorders>
              <w:top w:val="single" w:sz="8" w:space="0" w:color="000000"/>
              <w:bottom w:val="single" w:sz="8" w:space="0" w:color="000000"/>
              <w:right w:val="single" w:sz="8" w:space="0" w:color="000000"/>
            </w:tcBorders>
          </w:tcPr>
          <w:p w14:paraId="0DFDD158" w14:textId="77777777" w:rsidR="00046465" w:rsidRDefault="008134EB">
            <w:pPr>
              <w:pStyle w:val="TableParagraph"/>
              <w:spacing w:before="121"/>
              <w:ind w:left="1244" w:hanging="361"/>
            </w:pPr>
            <w:r>
              <w:t>e.</w:t>
            </w:r>
            <w:r>
              <w:rPr>
                <w:spacing w:val="80"/>
              </w:rPr>
              <w:t xml:space="preserve"> </w:t>
            </w:r>
            <w:r>
              <w:t>Determining</w:t>
            </w:r>
            <w:r>
              <w:rPr>
                <w:spacing w:val="-4"/>
              </w:rPr>
              <w:t xml:space="preserve"> </w:t>
            </w:r>
            <w:r>
              <w:t>the</w:t>
            </w:r>
            <w:r>
              <w:rPr>
                <w:spacing w:val="-4"/>
              </w:rPr>
              <w:t xml:space="preserve"> </w:t>
            </w:r>
            <w:r>
              <w:t>effects</w:t>
            </w:r>
            <w:r>
              <w:rPr>
                <w:spacing w:val="-5"/>
              </w:rPr>
              <w:t xml:space="preserve"> </w:t>
            </w:r>
            <w:r>
              <w:t>on</w:t>
            </w:r>
            <w:r>
              <w:rPr>
                <w:spacing w:val="-4"/>
              </w:rPr>
              <w:t xml:space="preserve"> </w:t>
            </w:r>
            <w:r>
              <w:t>the</w:t>
            </w:r>
            <w:r>
              <w:rPr>
                <w:spacing w:val="-4"/>
              </w:rPr>
              <w:t xml:space="preserve"> </w:t>
            </w:r>
            <w:r>
              <w:t>auditor’s</w:t>
            </w:r>
            <w:r>
              <w:rPr>
                <w:spacing w:val="-4"/>
              </w:rPr>
              <w:t xml:space="preserve"> </w:t>
            </w:r>
            <w:r>
              <w:t>report,</w:t>
            </w:r>
            <w:r>
              <w:rPr>
                <w:spacing w:val="-3"/>
              </w:rPr>
              <w:t xml:space="preserve"> </w:t>
            </w:r>
            <w:r>
              <w:t>current-period financial statements, and prior-period financial statements of any other than clearly trivial misstatements detected in the current period that arose during prior periods but were not detected during prior audits? (FAM 540)</w:t>
            </w:r>
          </w:p>
        </w:tc>
        <w:tc>
          <w:tcPr>
            <w:tcW w:w="810" w:type="dxa"/>
            <w:tcBorders>
              <w:top w:val="single" w:sz="8" w:space="0" w:color="000000"/>
              <w:left w:val="single" w:sz="8" w:space="0" w:color="000000"/>
              <w:bottom w:val="single" w:sz="8" w:space="0" w:color="000000"/>
              <w:right w:val="single" w:sz="8" w:space="0" w:color="000000"/>
            </w:tcBorders>
          </w:tcPr>
          <w:p w14:paraId="0DFDD159"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5A" w14:textId="77777777" w:rsidR="00046465" w:rsidRDefault="00046465">
            <w:pPr>
              <w:pStyle w:val="TableParagraph"/>
              <w:rPr>
                <w:rFonts w:ascii="Times New Roman"/>
              </w:rPr>
            </w:pPr>
          </w:p>
        </w:tc>
      </w:tr>
      <w:tr w:rsidR="00046465" w14:paraId="0DFDD15F" w14:textId="77777777">
        <w:trPr>
          <w:trHeight w:val="1000"/>
        </w:trPr>
        <w:tc>
          <w:tcPr>
            <w:tcW w:w="7380" w:type="dxa"/>
            <w:tcBorders>
              <w:top w:val="single" w:sz="8" w:space="0" w:color="000000"/>
              <w:bottom w:val="single" w:sz="8" w:space="0" w:color="000000"/>
              <w:right w:val="single" w:sz="8" w:space="0" w:color="000000"/>
            </w:tcBorders>
          </w:tcPr>
          <w:p w14:paraId="0DFDD15C" w14:textId="77777777" w:rsidR="00046465" w:rsidRDefault="008134EB">
            <w:pPr>
              <w:pStyle w:val="TableParagraph"/>
              <w:tabs>
                <w:tab w:val="left" w:pos="1244"/>
              </w:tabs>
              <w:spacing w:before="119"/>
              <w:ind w:left="1244" w:right="404" w:hanging="360"/>
            </w:pPr>
            <w:r>
              <w:rPr>
                <w:spacing w:val="-6"/>
              </w:rPr>
              <w:t>f.</w:t>
            </w:r>
            <w:r>
              <w:tab/>
              <w:t>Deciding to perform additional procedures to increase assurance</w:t>
            </w:r>
            <w:r>
              <w:rPr>
                <w:spacing w:val="-6"/>
              </w:rPr>
              <w:t xml:space="preserve"> </w:t>
            </w:r>
            <w:r>
              <w:t>of</w:t>
            </w:r>
            <w:r>
              <w:rPr>
                <w:spacing w:val="-6"/>
              </w:rPr>
              <w:t xml:space="preserve"> </w:t>
            </w:r>
            <w:r>
              <w:t>any</w:t>
            </w:r>
            <w:r>
              <w:rPr>
                <w:spacing w:val="-6"/>
              </w:rPr>
              <w:t xml:space="preserve"> </w:t>
            </w:r>
            <w:r>
              <w:t>projected</w:t>
            </w:r>
            <w:r>
              <w:rPr>
                <w:spacing w:val="-6"/>
              </w:rPr>
              <w:t xml:space="preserve"> </w:t>
            </w:r>
            <w:r>
              <w:t>misstatements?</w:t>
            </w:r>
            <w:r>
              <w:rPr>
                <w:spacing w:val="-6"/>
              </w:rPr>
              <w:t xml:space="preserve"> </w:t>
            </w:r>
            <w:r>
              <w:t>(FAM</w:t>
            </w:r>
            <w:r>
              <w:rPr>
                <w:spacing w:val="-7"/>
              </w:rPr>
              <w:t xml:space="preserve"> </w:t>
            </w:r>
            <w:r>
              <w:t>440</w:t>
            </w:r>
            <w:r>
              <w:rPr>
                <w:spacing w:val="-6"/>
              </w:rPr>
              <w:t xml:space="preserve"> </w:t>
            </w:r>
            <w:r>
              <w:t xml:space="preserve">and </w:t>
            </w:r>
            <w:r>
              <w:rPr>
                <w:spacing w:val="-4"/>
              </w:rPr>
              <w:t>480)</w:t>
            </w:r>
          </w:p>
        </w:tc>
        <w:tc>
          <w:tcPr>
            <w:tcW w:w="810" w:type="dxa"/>
            <w:tcBorders>
              <w:top w:val="single" w:sz="8" w:space="0" w:color="000000"/>
              <w:left w:val="single" w:sz="8" w:space="0" w:color="000000"/>
              <w:bottom w:val="single" w:sz="8" w:space="0" w:color="000000"/>
              <w:right w:val="single" w:sz="8" w:space="0" w:color="000000"/>
            </w:tcBorders>
          </w:tcPr>
          <w:p w14:paraId="0DFDD15D"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5E" w14:textId="77777777" w:rsidR="00046465" w:rsidRDefault="00046465">
            <w:pPr>
              <w:pStyle w:val="TableParagraph"/>
              <w:rPr>
                <w:rFonts w:ascii="Times New Roman"/>
              </w:rPr>
            </w:pPr>
          </w:p>
        </w:tc>
      </w:tr>
    </w:tbl>
    <w:p w14:paraId="0DFDD160"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161" w14:textId="77777777" w:rsidR="00046465" w:rsidRDefault="00046465">
      <w:pPr>
        <w:pStyle w:val="BodyText"/>
        <w:spacing w:before="9"/>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260"/>
      </w:tblGrid>
      <w:tr w:rsidR="00046465" w14:paraId="0DFDD167" w14:textId="77777777">
        <w:trPr>
          <w:trHeight w:val="937"/>
        </w:trPr>
        <w:tc>
          <w:tcPr>
            <w:tcW w:w="7380" w:type="dxa"/>
            <w:tcBorders>
              <w:bottom w:val="single" w:sz="8" w:space="0" w:color="000000"/>
              <w:right w:val="single" w:sz="8" w:space="0" w:color="000000"/>
            </w:tcBorders>
            <w:shd w:val="clear" w:color="auto" w:fill="A6A6A6"/>
          </w:tcPr>
          <w:p w14:paraId="0DFDD162" w14:textId="77777777" w:rsidR="00046465" w:rsidRDefault="008134EB">
            <w:pPr>
              <w:pStyle w:val="TableParagraph"/>
              <w:spacing w:before="266"/>
              <w:ind w:left="123"/>
              <w:rPr>
                <w:b/>
                <w:sz w:val="24"/>
              </w:rPr>
            </w:pPr>
            <w:r>
              <w:rPr>
                <w:b/>
                <w:sz w:val="24"/>
              </w:rPr>
              <w:t>Section</w:t>
            </w:r>
            <w:r>
              <w:rPr>
                <w:b/>
                <w:spacing w:val="-6"/>
                <w:sz w:val="24"/>
              </w:rPr>
              <w:t xml:space="preserve"> </w:t>
            </w:r>
            <w:r>
              <w:rPr>
                <w:b/>
                <w:sz w:val="24"/>
              </w:rPr>
              <w:t>III:</w:t>
            </w:r>
            <w:r>
              <w:rPr>
                <w:b/>
                <w:spacing w:val="-7"/>
                <w:sz w:val="24"/>
              </w:rPr>
              <w:t xml:space="preserve"> </w:t>
            </w:r>
            <w:r>
              <w:rPr>
                <w:b/>
                <w:sz w:val="24"/>
              </w:rPr>
              <w:t>Communicating</w:t>
            </w:r>
            <w:r>
              <w:rPr>
                <w:b/>
                <w:spacing w:val="-6"/>
                <w:sz w:val="24"/>
              </w:rPr>
              <w:t xml:space="preserve"> </w:t>
            </w:r>
            <w:r>
              <w:rPr>
                <w:b/>
                <w:sz w:val="24"/>
              </w:rPr>
              <w:t>with</w:t>
            </w:r>
            <w:r>
              <w:rPr>
                <w:b/>
                <w:spacing w:val="-6"/>
                <w:sz w:val="24"/>
              </w:rPr>
              <w:t xml:space="preserve"> </w:t>
            </w:r>
            <w:r>
              <w:rPr>
                <w:b/>
                <w:sz w:val="24"/>
              </w:rPr>
              <w:t>Auditor’s</w:t>
            </w:r>
            <w:r>
              <w:rPr>
                <w:b/>
                <w:spacing w:val="-6"/>
                <w:sz w:val="24"/>
              </w:rPr>
              <w:t xml:space="preserve"> </w:t>
            </w:r>
            <w:r>
              <w:rPr>
                <w:b/>
                <w:sz w:val="24"/>
              </w:rPr>
              <w:t>Specialists</w:t>
            </w:r>
            <w:r>
              <w:rPr>
                <w:b/>
                <w:spacing w:val="-7"/>
                <w:sz w:val="24"/>
              </w:rPr>
              <w:t xml:space="preserve"> </w:t>
            </w:r>
            <w:r>
              <w:rPr>
                <w:b/>
                <w:sz w:val="24"/>
              </w:rPr>
              <w:t xml:space="preserve">and </w:t>
            </w:r>
            <w:r>
              <w:rPr>
                <w:b/>
                <w:spacing w:val="-2"/>
                <w:sz w:val="24"/>
              </w:rPr>
              <w:t>Reviewer</w:t>
            </w:r>
          </w:p>
        </w:tc>
        <w:tc>
          <w:tcPr>
            <w:tcW w:w="810" w:type="dxa"/>
            <w:tcBorders>
              <w:left w:val="single" w:sz="8" w:space="0" w:color="000000"/>
              <w:bottom w:val="single" w:sz="8" w:space="0" w:color="000000"/>
              <w:right w:val="single" w:sz="8" w:space="0" w:color="000000"/>
            </w:tcBorders>
            <w:shd w:val="clear" w:color="auto" w:fill="A6A6A6"/>
          </w:tcPr>
          <w:p w14:paraId="0DFDD163" w14:textId="77777777" w:rsidR="00046465" w:rsidRDefault="008134EB">
            <w:pPr>
              <w:pStyle w:val="TableParagraph"/>
              <w:spacing w:before="120"/>
              <w:ind w:left="182" w:right="159" w:hanging="6"/>
              <w:jc w:val="both"/>
              <w:rPr>
                <w:b/>
              </w:rPr>
            </w:pPr>
            <w:r>
              <w:rPr>
                <w:b/>
                <w:spacing w:val="-4"/>
              </w:rPr>
              <w:t>Yes, No,* N/A</w:t>
            </w:r>
          </w:p>
        </w:tc>
        <w:tc>
          <w:tcPr>
            <w:tcW w:w="1260" w:type="dxa"/>
            <w:tcBorders>
              <w:left w:val="single" w:sz="8" w:space="0" w:color="000000"/>
              <w:bottom w:val="single" w:sz="8" w:space="0" w:color="000000"/>
            </w:tcBorders>
            <w:shd w:val="clear" w:color="auto" w:fill="A6A6A6"/>
          </w:tcPr>
          <w:p w14:paraId="0DFDD164" w14:textId="77777777" w:rsidR="00046465" w:rsidRDefault="00046465">
            <w:pPr>
              <w:pStyle w:val="TableParagraph"/>
              <w:rPr>
                <w:b/>
              </w:rPr>
            </w:pPr>
          </w:p>
          <w:p w14:paraId="0DFDD165" w14:textId="77777777" w:rsidR="00046465" w:rsidRDefault="00046465">
            <w:pPr>
              <w:pStyle w:val="TableParagraph"/>
              <w:spacing w:before="120"/>
              <w:rPr>
                <w:b/>
              </w:rPr>
            </w:pPr>
          </w:p>
          <w:p w14:paraId="0DFDD166" w14:textId="77777777" w:rsidR="00046465" w:rsidRDefault="008134EB">
            <w:pPr>
              <w:pStyle w:val="TableParagraph"/>
              <w:ind w:left="186"/>
              <w:rPr>
                <w:b/>
              </w:rPr>
            </w:pPr>
            <w:r>
              <w:rPr>
                <w:b/>
              </w:rPr>
              <w:t>Doc.</w:t>
            </w:r>
            <w:r>
              <w:rPr>
                <w:b/>
                <w:spacing w:val="-6"/>
              </w:rPr>
              <w:t xml:space="preserve"> </w:t>
            </w:r>
            <w:r>
              <w:rPr>
                <w:b/>
                <w:spacing w:val="-4"/>
              </w:rPr>
              <w:t>ref.</w:t>
            </w:r>
          </w:p>
        </w:tc>
      </w:tr>
      <w:tr w:rsidR="00046465" w14:paraId="0DFDD16B" w14:textId="77777777">
        <w:trPr>
          <w:trHeight w:val="746"/>
        </w:trPr>
        <w:tc>
          <w:tcPr>
            <w:tcW w:w="7380" w:type="dxa"/>
            <w:tcBorders>
              <w:top w:val="single" w:sz="8" w:space="0" w:color="000000"/>
              <w:bottom w:val="single" w:sz="8" w:space="0" w:color="000000"/>
              <w:right w:val="single" w:sz="8" w:space="0" w:color="000000"/>
            </w:tcBorders>
          </w:tcPr>
          <w:p w14:paraId="0DFDD168" w14:textId="77777777" w:rsidR="00046465" w:rsidRDefault="008134EB">
            <w:pPr>
              <w:pStyle w:val="TableParagraph"/>
              <w:spacing w:before="121"/>
              <w:ind w:left="1244" w:hanging="360"/>
            </w:pPr>
            <w:r>
              <w:t>g.</w:t>
            </w:r>
            <w:r>
              <w:rPr>
                <w:spacing w:val="80"/>
              </w:rPr>
              <w:t xml:space="preserve"> </w:t>
            </w:r>
            <w:r>
              <w:t>The</w:t>
            </w:r>
            <w:r>
              <w:rPr>
                <w:spacing w:val="-4"/>
              </w:rPr>
              <w:t xml:space="preserve"> </w:t>
            </w:r>
            <w:r>
              <w:t>engagement</w:t>
            </w:r>
            <w:r>
              <w:rPr>
                <w:spacing w:val="-4"/>
              </w:rPr>
              <w:t xml:space="preserve"> </w:t>
            </w:r>
            <w:r>
              <w:t>team</w:t>
            </w:r>
            <w:r>
              <w:rPr>
                <w:spacing w:val="-5"/>
              </w:rPr>
              <w:t xml:space="preserve"> </w:t>
            </w:r>
            <w:r>
              <w:t>believes</w:t>
            </w:r>
            <w:r>
              <w:rPr>
                <w:spacing w:val="-4"/>
              </w:rPr>
              <w:t xml:space="preserve"> </w:t>
            </w:r>
            <w:r>
              <w:t>a</w:t>
            </w:r>
            <w:r>
              <w:rPr>
                <w:spacing w:val="-5"/>
              </w:rPr>
              <w:t xml:space="preserve"> </w:t>
            </w:r>
            <w:r>
              <w:t>misstatement</w:t>
            </w:r>
            <w:r>
              <w:rPr>
                <w:spacing w:val="-4"/>
              </w:rPr>
              <w:t xml:space="preserve"> </w:t>
            </w:r>
            <w:r>
              <w:t>may</w:t>
            </w:r>
            <w:r>
              <w:rPr>
                <w:spacing w:val="-4"/>
              </w:rPr>
              <w:t xml:space="preserve"> </w:t>
            </w:r>
            <w:r>
              <w:t>be</w:t>
            </w:r>
            <w:r>
              <w:rPr>
                <w:spacing w:val="-4"/>
              </w:rPr>
              <w:t xml:space="preserve"> </w:t>
            </w:r>
            <w:r>
              <w:t>the result of fraud? (FAM 540)</w:t>
            </w:r>
          </w:p>
        </w:tc>
        <w:tc>
          <w:tcPr>
            <w:tcW w:w="810" w:type="dxa"/>
            <w:tcBorders>
              <w:top w:val="single" w:sz="8" w:space="0" w:color="000000"/>
              <w:left w:val="single" w:sz="8" w:space="0" w:color="000000"/>
              <w:bottom w:val="single" w:sz="8" w:space="0" w:color="000000"/>
              <w:right w:val="single" w:sz="8" w:space="0" w:color="000000"/>
            </w:tcBorders>
          </w:tcPr>
          <w:p w14:paraId="0DFDD169"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6A" w14:textId="77777777" w:rsidR="00046465" w:rsidRDefault="00046465">
            <w:pPr>
              <w:pStyle w:val="TableParagraph"/>
              <w:rPr>
                <w:rFonts w:ascii="Times New Roman"/>
              </w:rPr>
            </w:pPr>
          </w:p>
        </w:tc>
      </w:tr>
      <w:tr w:rsidR="00046465" w14:paraId="0DFDD16F" w14:textId="77777777">
        <w:trPr>
          <w:trHeight w:val="998"/>
        </w:trPr>
        <w:tc>
          <w:tcPr>
            <w:tcW w:w="7380" w:type="dxa"/>
            <w:tcBorders>
              <w:top w:val="single" w:sz="8" w:space="0" w:color="000000"/>
              <w:bottom w:val="single" w:sz="8" w:space="0" w:color="000000"/>
              <w:right w:val="single" w:sz="8" w:space="0" w:color="000000"/>
            </w:tcBorders>
          </w:tcPr>
          <w:p w14:paraId="0DFDD16C" w14:textId="77777777" w:rsidR="00046465" w:rsidRDefault="008134EB">
            <w:pPr>
              <w:pStyle w:val="TableParagraph"/>
              <w:spacing w:before="119"/>
              <w:ind w:left="1244" w:right="391" w:hanging="360"/>
              <w:jc w:val="both"/>
            </w:pPr>
            <w:r>
              <w:t>h.</w:t>
            </w:r>
            <w:r>
              <w:rPr>
                <w:spacing w:val="80"/>
              </w:rPr>
              <w:t xml:space="preserve"> </w:t>
            </w:r>
            <w:r>
              <w:t>Deciding</w:t>
            </w:r>
            <w:r>
              <w:rPr>
                <w:spacing w:val="-3"/>
              </w:rPr>
              <w:t xml:space="preserve"> </w:t>
            </w:r>
            <w:r>
              <w:t>to</w:t>
            </w:r>
            <w:r>
              <w:rPr>
                <w:spacing w:val="-3"/>
              </w:rPr>
              <w:t xml:space="preserve"> </w:t>
            </w:r>
            <w:r>
              <w:t>include</w:t>
            </w:r>
            <w:r>
              <w:rPr>
                <w:spacing w:val="-3"/>
              </w:rPr>
              <w:t xml:space="preserve"> </w:t>
            </w:r>
            <w:r>
              <w:t>a</w:t>
            </w:r>
            <w:r>
              <w:rPr>
                <w:spacing w:val="-3"/>
              </w:rPr>
              <w:t xml:space="preserve"> </w:t>
            </w:r>
            <w:r>
              <w:t>discussion</w:t>
            </w:r>
            <w:r>
              <w:rPr>
                <w:spacing w:val="-4"/>
              </w:rPr>
              <w:t xml:space="preserve"> </w:t>
            </w:r>
            <w:r>
              <w:t>of</w:t>
            </w:r>
            <w:r>
              <w:rPr>
                <w:spacing w:val="-3"/>
              </w:rPr>
              <w:t xml:space="preserve"> </w:t>
            </w:r>
            <w:r>
              <w:t>fraud</w:t>
            </w:r>
            <w:r>
              <w:rPr>
                <w:spacing w:val="-3"/>
              </w:rPr>
              <w:t xml:space="preserve"> </w:t>
            </w:r>
            <w:r>
              <w:t>in</w:t>
            </w:r>
            <w:r>
              <w:rPr>
                <w:spacing w:val="-3"/>
              </w:rPr>
              <w:t xml:space="preserve"> </w:t>
            </w:r>
            <w:r>
              <w:t>the</w:t>
            </w:r>
            <w:r>
              <w:rPr>
                <w:spacing w:val="-3"/>
              </w:rPr>
              <w:t xml:space="preserve"> </w:t>
            </w:r>
            <w:r>
              <w:t>audit</w:t>
            </w:r>
            <w:r>
              <w:rPr>
                <w:spacing w:val="-3"/>
              </w:rPr>
              <w:t xml:space="preserve"> </w:t>
            </w:r>
            <w:r>
              <w:t>report that</w:t>
            </w:r>
            <w:r>
              <w:rPr>
                <w:spacing w:val="-4"/>
              </w:rPr>
              <w:t xml:space="preserve"> </w:t>
            </w:r>
            <w:r>
              <w:t>involves</w:t>
            </w:r>
            <w:r>
              <w:rPr>
                <w:spacing w:val="-4"/>
              </w:rPr>
              <w:t xml:space="preserve"> </w:t>
            </w:r>
            <w:r>
              <w:t>senior</w:t>
            </w:r>
            <w:r>
              <w:rPr>
                <w:spacing w:val="-4"/>
              </w:rPr>
              <w:t xml:space="preserve"> </w:t>
            </w:r>
            <w:r>
              <w:t>management</w:t>
            </w:r>
            <w:r>
              <w:rPr>
                <w:spacing w:val="-4"/>
              </w:rPr>
              <w:t xml:space="preserve"> </w:t>
            </w:r>
            <w:r>
              <w:t>or</w:t>
            </w:r>
            <w:r>
              <w:rPr>
                <w:spacing w:val="-4"/>
              </w:rPr>
              <w:t xml:space="preserve"> </w:t>
            </w:r>
            <w:r>
              <w:t>that</w:t>
            </w:r>
            <w:r>
              <w:rPr>
                <w:spacing w:val="-4"/>
              </w:rPr>
              <w:t xml:space="preserve"> </w:t>
            </w:r>
            <w:r>
              <w:t>causes</w:t>
            </w:r>
            <w:r>
              <w:rPr>
                <w:spacing w:val="-4"/>
              </w:rPr>
              <w:t xml:space="preserve"> </w:t>
            </w:r>
            <w:r>
              <w:t>a</w:t>
            </w:r>
            <w:r>
              <w:rPr>
                <w:spacing w:val="-4"/>
              </w:rPr>
              <w:t xml:space="preserve"> </w:t>
            </w:r>
            <w:r>
              <w:t>material misstatement of the financial statements? (FAM 540)</w:t>
            </w:r>
          </w:p>
        </w:tc>
        <w:tc>
          <w:tcPr>
            <w:tcW w:w="810" w:type="dxa"/>
            <w:tcBorders>
              <w:top w:val="single" w:sz="8" w:space="0" w:color="000000"/>
              <w:left w:val="single" w:sz="8" w:space="0" w:color="000000"/>
              <w:bottom w:val="single" w:sz="8" w:space="0" w:color="000000"/>
              <w:right w:val="single" w:sz="8" w:space="0" w:color="000000"/>
            </w:tcBorders>
          </w:tcPr>
          <w:p w14:paraId="0DFDD16D"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6E" w14:textId="77777777" w:rsidR="00046465" w:rsidRDefault="00046465">
            <w:pPr>
              <w:pStyle w:val="TableParagraph"/>
              <w:rPr>
                <w:rFonts w:ascii="Times New Roman"/>
              </w:rPr>
            </w:pPr>
          </w:p>
        </w:tc>
      </w:tr>
      <w:tr w:rsidR="00046465" w14:paraId="0DFDD173" w14:textId="77777777">
        <w:trPr>
          <w:trHeight w:val="998"/>
        </w:trPr>
        <w:tc>
          <w:tcPr>
            <w:tcW w:w="7380" w:type="dxa"/>
            <w:tcBorders>
              <w:top w:val="single" w:sz="8" w:space="0" w:color="000000"/>
              <w:bottom w:val="single" w:sz="8" w:space="0" w:color="000000"/>
              <w:right w:val="single" w:sz="8" w:space="0" w:color="000000"/>
            </w:tcBorders>
          </w:tcPr>
          <w:p w14:paraId="0DFDD170" w14:textId="77777777" w:rsidR="00046465" w:rsidRDefault="008134EB">
            <w:pPr>
              <w:pStyle w:val="TableParagraph"/>
              <w:tabs>
                <w:tab w:val="left" w:pos="1244"/>
              </w:tabs>
              <w:spacing w:before="119"/>
              <w:ind w:left="1244" w:right="453" w:hanging="361"/>
            </w:pPr>
            <w:r>
              <w:rPr>
                <w:spacing w:val="-6"/>
              </w:rPr>
              <w:t>i.</w:t>
            </w:r>
            <w:r>
              <w:tab/>
              <w:t>Concluding on whether the financial statements are materially</w:t>
            </w:r>
            <w:r>
              <w:rPr>
                <w:spacing w:val="-5"/>
              </w:rPr>
              <w:t xml:space="preserve"> </w:t>
            </w:r>
            <w:r>
              <w:t>affected</w:t>
            </w:r>
            <w:r>
              <w:rPr>
                <w:spacing w:val="-5"/>
              </w:rPr>
              <w:t xml:space="preserve"> </w:t>
            </w:r>
            <w:r>
              <w:t>by</w:t>
            </w:r>
            <w:r>
              <w:rPr>
                <w:spacing w:val="-5"/>
              </w:rPr>
              <w:t xml:space="preserve"> </w:t>
            </w:r>
            <w:r>
              <w:t>a</w:t>
            </w:r>
            <w:r>
              <w:rPr>
                <w:spacing w:val="-6"/>
              </w:rPr>
              <w:t xml:space="preserve"> </w:t>
            </w:r>
            <w:r>
              <w:t>departure</w:t>
            </w:r>
            <w:r>
              <w:rPr>
                <w:spacing w:val="-5"/>
              </w:rPr>
              <w:t xml:space="preserve"> </w:t>
            </w:r>
            <w:r>
              <w:t>from</w:t>
            </w:r>
            <w:r>
              <w:rPr>
                <w:spacing w:val="-6"/>
              </w:rPr>
              <w:t xml:space="preserve"> </w:t>
            </w:r>
            <w:r>
              <w:t>U.S.</w:t>
            </w:r>
            <w:r>
              <w:rPr>
                <w:spacing w:val="-4"/>
              </w:rPr>
              <w:t xml:space="preserve"> </w:t>
            </w:r>
            <w:r>
              <w:t>GAAP?</w:t>
            </w:r>
            <w:r>
              <w:rPr>
                <w:spacing w:val="-5"/>
              </w:rPr>
              <w:t xml:space="preserve"> </w:t>
            </w:r>
            <w:r>
              <w:t xml:space="preserve">(FAM </w:t>
            </w:r>
            <w:r>
              <w:rPr>
                <w:spacing w:val="-4"/>
              </w:rPr>
              <w:t>580)</w:t>
            </w:r>
          </w:p>
        </w:tc>
        <w:tc>
          <w:tcPr>
            <w:tcW w:w="810" w:type="dxa"/>
            <w:tcBorders>
              <w:top w:val="single" w:sz="8" w:space="0" w:color="000000"/>
              <w:left w:val="single" w:sz="8" w:space="0" w:color="000000"/>
              <w:bottom w:val="single" w:sz="8" w:space="0" w:color="000000"/>
              <w:right w:val="single" w:sz="8" w:space="0" w:color="000000"/>
            </w:tcBorders>
          </w:tcPr>
          <w:p w14:paraId="0DFDD171"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72" w14:textId="77777777" w:rsidR="00046465" w:rsidRDefault="00046465">
            <w:pPr>
              <w:pStyle w:val="TableParagraph"/>
              <w:rPr>
                <w:rFonts w:ascii="Times New Roman"/>
              </w:rPr>
            </w:pPr>
          </w:p>
        </w:tc>
      </w:tr>
      <w:tr w:rsidR="00046465" w14:paraId="0DFDD177" w14:textId="77777777">
        <w:trPr>
          <w:trHeight w:val="745"/>
        </w:trPr>
        <w:tc>
          <w:tcPr>
            <w:tcW w:w="7380" w:type="dxa"/>
            <w:tcBorders>
              <w:top w:val="single" w:sz="8" w:space="0" w:color="000000"/>
              <w:bottom w:val="single" w:sz="8" w:space="0" w:color="000000"/>
              <w:right w:val="single" w:sz="8" w:space="0" w:color="000000"/>
            </w:tcBorders>
          </w:tcPr>
          <w:p w14:paraId="0DFDD174" w14:textId="77777777" w:rsidR="00046465" w:rsidRDefault="008134EB">
            <w:pPr>
              <w:pStyle w:val="TableParagraph"/>
              <w:tabs>
                <w:tab w:val="left" w:pos="1244"/>
              </w:tabs>
              <w:spacing w:before="119"/>
              <w:ind w:left="1244" w:right="793" w:hanging="361"/>
            </w:pPr>
            <w:r>
              <w:rPr>
                <w:spacing w:val="-6"/>
              </w:rPr>
              <w:t>j.</w:t>
            </w:r>
            <w:r>
              <w:tab/>
              <w:t>Determining</w:t>
            </w:r>
            <w:r>
              <w:rPr>
                <w:spacing w:val="-6"/>
              </w:rPr>
              <w:t xml:space="preserve"> </w:t>
            </w:r>
            <w:r>
              <w:t>the</w:t>
            </w:r>
            <w:r>
              <w:rPr>
                <w:spacing w:val="-6"/>
              </w:rPr>
              <w:t xml:space="preserve"> </w:t>
            </w:r>
            <w:r>
              <w:t>appropriate</w:t>
            </w:r>
            <w:r>
              <w:rPr>
                <w:spacing w:val="-6"/>
              </w:rPr>
              <w:t xml:space="preserve"> </w:t>
            </w:r>
            <w:r>
              <w:t>type</w:t>
            </w:r>
            <w:r>
              <w:rPr>
                <w:spacing w:val="-6"/>
              </w:rPr>
              <w:t xml:space="preserve"> </w:t>
            </w:r>
            <w:r>
              <w:t>of</w:t>
            </w:r>
            <w:r>
              <w:rPr>
                <w:spacing w:val="-7"/>
              </w:rPr>
              <w:t xml:space="preserve"> </w:t>
            </w:r>
            <w:r>
              <w:t>opinion</w:t>
            </w:r>
            <w:r>
              <w:rPr>
                <w:spacing w:val="-6"/>
              </w:rPr>
              <w:t xml:space="preserve"> </w:t>
            </w:r>
            <w:r>
              <w:t>on</w:t>
            </w:r>
            <w:r>
              <w:rPr>
                <w:spacing w:val="-6"/>
              </w:rPr>
              <w:t xml:space="preserve"> </w:t>
            </w:r>
            <w:r>
              <w:t>internal control when there is a scope limitation? (FAM 580)</w:t>
            </w:r>
          </w:p>
        </w:tc>
        <w:tc>
          <w:tcPr>
            <w:tcW w:w="810" w:type="dxa"/>
            <w:tcBorders>
              <w:top w:val="single" w:sz="8" w:space="0" w:color="000000"/>
              <w:left w:val="single" w:sz="8" w:space="0" w:color="000000"/>
              <w:bottom w:val="single" w:sz="8" w:space="0" w:color="000000"/>
              <w:right w:val="single" w:sz="8" w:space="0" w:color="000000"/>
            </w:tcBorders>
          </w:tcPr>
          <w:p w14:paraId="0DFDD175"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76" w14:textId="77777777" w:rsidR="00046465" w:rsidRDefault="00046465">
            <w:pPr>
              <w:pStyle w:val="TableParagraph"/>
              <w:rPr>
                <w:rFonts w:ascii="Times New Roman"/>
              </w:rPr>
            </w:pPr>
          </w:p>
        </w:tc>
      </w:tr>
      <w:tr w:rsidR="00046465" w14:paraId="0DFDD17B" w14:textId="77777777">
        <w:trPr>
          <w:trHeight w:val="998"/>
        </w:trPr>
        <w:tc>
          <w:tcPr>
            <w:tcW w:w="7380" w:type="dxa"/>
            <w:tcBorders>
              <w:top w:val="single" w:sz="8" w:space="0" w:color="000000"/>
              <w:bottom w:val="single" w:sz="8" w:space="0" w:color="000000"/>
              <w:right w:val="single" w:sz="8" w:space="0" w:color="000000"/>
            </w:tcBorders>
          </w:tcPr>
          <w:p w14:paraId="0DFDD178" w14:textId="77777777" w:rsidR="00046465" w:rsidRDefault="008134EB">
            <w:pPr>
              <w:pStyle w:val="TableParagraph"/>
              <w:spacing w:before="121"/>
              <w:ind w:left="1244" w:hanging="360"/>
            </w:pPr>
            <w:r>
              <w:t>k.</w:t>
            </w:r>
            <w:r>
              <w:rPr>
                <w:spacing w:val="80"/>
              </w:rPr>
              <w:t xml:space="preserve"> </w:t>
            </w:r>
            <w:r>
              <w:t>Determining</w:t>
            </w:r>
            <w:r>
              <w:rPr>
                <w:spacing w:val="-4"/>
              </w:rPr>
              <w:t xml:space="preserve"> </w:t>
            </w:r>
            <w:r>
              <w:t>the</w:t>
            </w:r>
            <w:r>
              <w:rPr>
                <w:spacing w:val="-4"/>
              </w:rPr>
              <w:t xml:space="preserve"> </w:t>
            </w:r>
            <w:r>
              <w:t>effects</w:t>
            </w:r>
            <w:r>
              <w:rPr>
                <w:spacing w:val="-5"/>
              </w:rPr>
              <w:t xml:space="preserve"> </w:t>
            </w:r>
            <w:r>
              <w:t>on</w:t>
            </w:r>
            <w:r>
              <w:rPr>
                <w:spacing w:val="-4"/>
              </w:rPr>
              <w:t xml:space="preserve"> </w:t>
            </w:r>
            <w:r>
              <w:t>the</w:t>
            </w:r>
            <w:r>
              <w:rPr>
                <w:spacing w:val="-4"/>
              </w:rPr>
              <w:t xml:space="preserve"> </w:t>
            </w:r>
            <w:r>
              <w:t>auditor’s</w:t>
            </w:r>
            <w:r>
              <w:rPr>
                <w:spacing w:val="-4"/>
              </w:rPr>
              <w:t xml:space="preserve"> </w:t>
            </w:r>
            <w:r>
              <w:t>report</w:t>
            </w:r>
            <w:r>
              <w:rPr>
                <w:spacing w:val="-4"/>
              </w:rPr>
              <w:t xml:space="preserve"> </w:t>
            </w:r>
            <w:r>
              <w:t>if</w:t>
            </w:r>
            <w:r>
              <w:rPr>
                <w:spacing w:val="-5"/>
              </w:rPr>
              <w:t xml:space="preserve"> </w:t>
            </w:r>
            <w:r>
              <w:t>weaknesses are found in compliance controls but no instances of noncompliance are detected? (FAM 580)</w:t>
            </w:r>
          </w:p>
        </w:tc>
        <w:tc>
          <w:tcPr>
            <w:tcW w:w="810" w:type="dxa"/>
            <w:tcBorders>
              <w:top w:val="single" w:sz="8" w:space="0" w:color="000000"/>
              <w:left w:val="single" w:sz="8" w:space="0" w:color="000000"/>
              <w:bottom w:val="single" w:sz="8" w:space="0" w:color="000000"/>
              <w:right w:val="single" w:sz="8" w:space="0" w:color="000000"/>
            </w:tcBorders>
          </w:tcPr>
          <w:p w14:paraId="0DFDD179"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7A" w14:textId="77777777" w:rsidR="00046465" w:rsidRDefault="00046465">
            <w:pPr>
              <w:pStyle w:val="TableParagraph"/>
              <w:rPr>
                <w:rFonts w:ascii="Times New Roman"/>
              </w:rPr>
            </w:pPr>
          </w:p>
        </w:tc>
      </w:tr>
      <w:tr w:rsidR="00046465" w14:paraId="0DFDD17F" w14:textId="77777777">
        <w:trPr>
          <w:trHeight w:val="745"/>
        </w:trPr>
        <w:tc>
          <w:tcPr>
            <w:tcW w:w="7380" w:type="dxa"/>
            <w:tcBorders>
              <w:top w:val="single" w:sz="8" w:space="0" w:color="000000"/>
              <w:bottom w:val="single" w:sz="8" w:space="0" w:color="000000"/>
              <w:right w:val="single" w:sz="8" w:space="0" w:color="000000"/>
            </w:tcBorders>
          </w:tcPr>
          <w:p w14:paraId="0DFDD17C" w14:textId="77777777" w:rsidR="00046465" w:rsidRDefault="008134EB">
            <w:pPr>
              <w:pStyle w:val="TableParagraph"/>
              <w:tabs>
                <w:tab w:val="left" w:pos="1244"/>
              </w:tabs>
              <w:spacing w:before="121"/>
              <w:ind w:left="1244" w:right="609" w:hanging="361"/>
            </w:pPr>
            <w:r>
              <w:rPr>
                <w:spacing w:val="-6"/>
              </w:rPr>
              <w:t>l.</w:t>
            </w:r>
            <w:r>
              <w:tab/>
              <w:t>Departing</w:t>
            </w:r>
            <w:r>
              <w:rPr>
                <w:spacing w:val="-6"/>
              </w:rPr>
              <w:t xml:space="preserve"> </w:t>
            </w:r>
            <w:r>
              <w:t>from</w:t>
            </w:r>
            <w:r>
              <w:rPr>
                <w:spacing w:val="-6"/>
              </w:rPr>
              <w:t xml:space="preserve"> </w:t>
            </w:r>
            <w:r>
              <w:t>the</w:t>
            </w:r>
            <w:r>
              <w:rPr>
                <w:spacing w:val="-6"/>
              </w:rPr>
              <w:t xml:space="preserve"> </w:t>
            </w:r>
            <w:r>
              <w:t>applicable</w:t>
            </w:r>
            <w:r>
              <w:rPr>
                <w:spacing w:val="-6"/>
              </w:rPr>
              <w:t xml:space="preserve"> </w:t>
            </w:r>
            <w:r>
              <w:t>“should”</w:t>
            </w:r>
            <w:r>
              <w:rPr>
                <w:spacing w:val="-6"/>
              </w:rPr>
              <w:t xml:space="preserve"> </w:t>
            </w:r>
            <w:r>
              <w:t>procedures</w:t>
            </w:r>
            <w:r>
              <w:rPr>
                <w:spacing w:val="-6"/>
              </w:rPr>
              <w:t xml:space="preserve"> </w:t>
            </w:r>
            <w:r>
              <w:t>in</w:t>
            </w:r>
            <w:r>
              <w:rPr>
                <w:spacing w:val="-6"/>
              </w:rPr>
              <w:t xml:space="preserve"> </w:t>
            </w:r>
            <w:r>
              <w:t>the FAM and documenting the basis for the departure?</w:t>
            </w:r>
          </w:p>
        </w:tc>
        <w:tc>
          <w:tcPr>
            <w:tcW w:w="810" w:type="dxa"/>
            <w:tcBorders>
              <w:top w:val="single" w:sz="8" w:space="0" w:color="000000"/>
              <w:left w:val="single" w:sz="8" w:space="0" w:color="000000"/>
              <w:bottom w:val="single" w:sz="8" w:space="0" w:color="000000"/>
              <w:right w:val="single" w:sz="8" w:space="0" w:color="000000"/>
            </w:tcBorders>
          </w:tcPr>
          <w:p w14:paraId="0DFDD17D"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tcPr>
          <w:p w14:paraId="0DFDD17E" w14:textId="77777777" w:rsidR="00046465" w:rsidRDefault="00046465">
            <w:pPr>
              <w:pStyle w:val="TableParagraph"/>
              <w:rPr>
                <w:rFonts w:ascii="Times New Roman"/>
              </w:rPr>
            </w:pPr>
          </w:p>
        </w:tc>
      </w:tr>
      <w:tr w:rsidR="00046465" w14:paraId="0DFDD183" w14:textId="77777777">
        <w:trPr>
          <w:trHeight w:val="1000"/>
        </w:trPr>
        <w:tc>
          <w:tcPr>
            <w:tcW w:w="7380" w:type="dxa"/>
            <w:tcBorders>
              <w:top w:val="single" w:sz="8" w:space="0" w:color="000000"/>
              <w:bottom w:val="single" w:sz="8" w:space="0" w:color="000000"/>
              <w:right w:val="single" w:sz="8" w:space="0" w:color="000000"/>
            </w:tcBorders>
          </w:tcPr>
          <w:p w14:paraId="0DFDD180" w14:textId="77777777" w:rsidR="00046465" w:rsidRDefault="008134EB">
            <w:pPr>
              <w:pStyle w:val="TableParagraph"/>
              <w:spacing w:before="121"/>
              <w:ind w:left="843" w:right="363" w:hanging="360"/>
            </w:pPr>
            <w:r>
              <w:t>5.</w:t>
            </w:r>
            <w:r>
              <w:rPr>
                <w:spacing w:val="80"/>
              </w:rPr>
              <w:t xml:space="preserve"> </w:t>
            </w:r>
            <w:r>
              <w:t>In addition to the questions above, answer the following regarding</w:t>
            </w:r>
            <w:r>
              <w:rPr>
                <w:spacing w:val="-6"/>
              </w:rPr>
              <w:t xml:space="preserve"> </w:t>
            </w:r>
            <w:r>
              <w:t>whether</w:t>
            </w:r>
            <w:r>
              <w:rPr>
                <w:spacing w:val="-6"/>
              </w:rPr>
              <w:t xml:space="preserve"> </w:t>
            </w:r>
            <w:r>
              <w:t>the</w:t>
            </w:r>
            <w:r>
              <w:rPr>
                <w:spacing w:val="-6"/>
              </w:rPr>
              <w:t xml:space="preserve"> </w:t>
            </w:r>
            <w:r>
              <w:t>auditor</w:t>
            </w:r>
            <w:r>
              <w:rPr>
                <w:spacing w:val="-6"/>
              </w:rPr>
              <w:t xml:space="preserve"> </w:t>
            </w:r>
            <w:r>
              <w:t>achieved</w:t>
            </w:r>
            <w:r>
              <w:rPr>
                <w:spacing w:val="-6"/>
              </w:rPr>
              <w:t xml:space="preserve"> </w:t>
            </w:r>
            <w:r>
              <w:t>the</w:t>
            </w:r>
            <w:r>
              <w:rPr>
                <w:spacing w:val="-6"/>
              </w:rPr>
              <w:t xml:space="preserve"> </w:t>
            </w:r>
            <w:r>
              <w:t>following</w:t>
            </w:r>
            <w:r>
              <w:rPr>
                <w:spacing w:val="-6"/>
              </w:rPr>
              <w:t xml:space="preserve"> </w:t>
            </w:r>
            <w:r>
              <w:t>objectives (AU-C 200.23).</w:t>
            </w:r>
          </w:p>
        </w:tc>
        <w:tc>
          <w:tcPr>
            <w:tcW w:w="810" w:type="dxa"/>
            <w:tcBorders>
              <w:top w:val="single" w:sz="8" w:space="0" w:color="000000"/>
              <w:left w:val="single" w:sz="8" w:space="0" w:color="000000"/>
              <w:bottom w:val="single" w:sz="8" w:space="0" w:color="000000"/>
              <w:right w:val="single" w:sz="8" w:space="0" w:color="000000"/>
            </w:tcBorders>
            <w:shd w:val="clear" w:color="auto" w:fill="BEBEBE"/>
          </w:tcPr>
          <w:p w14:paraId="0DFDD181" w14:textId="77777777" w:rsidR="00046465" w:rsidRDefault="00046465">
            <w:pPr>
              <w:pStyle w:val="TableParagraph"/>
              <w:rPr>
                <w:rFonts w:ascii="Times New Roman"/>
              </w:rPr>
            </w:pPr>
          </w:p>
        </w:tc>
        <w:tc>
          <w:tcPr>
            <w:tcW w:w="1260" w:type="dxa"/>
            <w:tcBorders>
              <w:top w:val="single" w:sz="8" w:space="0" w:color="000000"/>
              <w:left w:val="single" w:sz="8" w:space="0" w:color="000000"/>
              <w:bottom w:val="single" w:sz="8" w:space="0" w:color="000000"/>
            </w:tcBorders>
            <w:shd w:val="clear" w:color="auto" w:fill="BEBEBE"/>
          </w:tcPr>
          <w:p w14:paraId="0DFDD182" w14:textId="77777777" w:rsidR="00046465" w:rsidRDefault="00046465">
            <w:pPr>
              <w:pStyle w:val="TableParagraph"/>
              <w:rPr>
                <w:rFonts w:ascii="Times New Roman"/>
              </w:rPr>
            </w:pPr>
          </w:p>
        </w:tc>
      </w:tr>
      <w:tr w:rsidR="00046465" w14:paraId="0DFDD189" w14:textId="77777777">
        <w:trPr>
          <w:trHeight w:val="1789"/>
        </w:trPr>
        <w:tc>
          <w:tcPr>
            <w:tcW w:w="7380" w:type="dxa"/>
            <w:tcBorders>
              <w:top w:val="single" w:sz="8" w:space="0" w:color="000000"/>
              <w:right w:val="single" w:sz="8" w:space="0" w:color="000000"/>
            </w:tcBorders>
          </w:tcPr>
          <w:p w14:paraId="0DFDD184" w14:textId="77777777" w:rsidR="00046465" w:rsidRDefault="008134EB">
            <w:pPr>
              <w:pStyle w:val="TableParagraph"/>
              <w:spacing w:before="119"/>
              <w:ind w:left="843"/>
            </w:pPr>
            <w:r>
              <w:t>Did</w:t>
            </w:r>
            <w:r>
              <w:rPr>
                <w:spacing w:val="-4"/>
              </w:rPr>
              <w:t xml:space="preserve"> </w:t>
            </w:r>
            <w:r>
              <w:t>the</w:t>
            </w:r>
            <w:r>
              <w:rPr>
                <w:spacing w:val="-4"/>
              </w:rPr>
              <w:t xml:space="preserve"> </w:t>
            </w:r>
            <w:r>
              <w:rPr>
                <w:spacing w:val="-2"/>
              </w:rPr>
              <w:t>auditor</w:t>
            </w:r>
          </w:p>
          <w:p w14:paraId="0DFDD185" w14:textId="77777777" w:rsidR="00046465" w:rsidRDefault="008134EB">
            <w:pPr>
              <w:pStyle w:val="TableParagraph"/>
              <w:numPr>
                <w:ilvl w:val="0"/>
                <w:numId w:val="41"/>
              </w:numPr>
              <w:tabs>
                <w:tab w:val="left" w:pos="1203"/>
              </w:tabs>
              <w:spacing w:before="100" w:line="247" w:lineRule="auto"/>
              <w:ind w:right="356"/>
              <w:rPr>
                <w:rFonts w:ascii="Symbol" w:hAnsi="Symbol"/>
              </w:rPr>
            </w:pPr>
            <w:r>
              <w:t>determine</w:t>
            </w:r>
            <w:r>
              <w:rPr>
                <w:spacing w:val="-4"/>
              </w:rPr>
              <w:t xml:space="preserve"> </w:t>
            </w:r>
            <w:r>
              <w:t>whether</w:t>
            </w:r>
            <w:r>
              <w:rPr>
                <w:spacing w:val="-4"/>
              </w:rPr>
              <w:t xml:space="preserve"> </w:t>
            </w:r>
            <w:r>
              <w:t>to</w:t>
            </w:r>
            <w:r>
              <w:rPr>
                <w:spacing w:val="-4"/>
              </w:rPr>
              <w:t xml:space="preserve"> </w:t>
            </w:r>
            <w:r>
              <w:t>use</w:t>
            </w:r>
            <w:r>
              <w:rPr>
                <w:spacing w:val="-4"/>
              </w:rPr>
              <w:t xml:space="preserve"> </w:t>
            </w:r>
            <w:r>
              <w:t>the</w:t>
            </w:r>
            <w:r>
              <w:rPr>
                <w:spacing w:val="-4"/>
              </w:rPr>
              <w:t xml:space="preserve"> </w:t>
            </w:r>
            <w:r>
              <w:t>work</w:t>
            </w:r>
            <w:r>
              <w:rPr>
                <w:spacing w:val="-4"/>
              </w:rPr>
              <w:t xml:space="preserve"> </w:t>
            </w:r>
            <w:r>
              <w:t>of</w:t>
            </w:r>
            <w:r>
              <w:rPr>
                <w:spacing w:val="-4"/>
              </w:rPr>
              <w:t xml:space="preserve"> </w:t>
            </w:r>
            <w:r>
              <w:t>an</w:t>
            </w:r>
            <w:r>
              <w:rPr>
                <w:spacing w:val="-4"/>
              </w:rPr>
              <w:t xml:space="preserve"> </w:t>
            </w:r>
            <w:r>
              <w:t>auditor’s</w:t>
            </w:r>
            <w:r>
              <w:rPr>
                <w:spacing w:val="-4"/>
              </w:rPr>
              <w:t xml:space="preserve"> </w:t>
            </w:r>
            <w:r>
              <w:t xml:space="preserve">specialist </w:t>
            </w:r>
            <w:r>
              <w:rPr>
                <w:spacing w:val="-4"/>
              </w:rPr>
              <w:t>and</w:t>
            </w:r>
          </w:p>
          <w:p w14:paraId="0DFDD186" w14:textId="77777777" w:rsidR="00046465" w:rsidRDefault="008134EB">
            <w:pPr>
              <w:pStyle w:val="TableParagraph"/>
              <w:numPr>
                <w:ilvl w:val="0"/>
                <w:numId w:val="41"/>
              </w:numPr>
              <w:tabs>
                <w:tab w:val="left" w:pos="1203"/>
              </w:tabs>
              <w:spacing w:before="110"/>
              <w:ind w:right="199"/>
              <w:rPr>
                <w:rFonts w:ascii="Symbol" w:hAnsi="Symbol"/>
                <w:sz w:val="24"/>
              </w:rPr>
            </w:pPr>
            <w:r>
              <w:t>if</w:t>
            </w:r>
            <w:r>
              <w:rPr>
                <w:spacing w:val="-5"/>
              </w:rPr>
              <w:t xml:space="preserve"> </w:t>
            </w:r>
            <w:r>
              <w:t>using</w:t>
            </w:r>
            <w:r>
              <w:rPr>
                <w:spacing w:val="-5"/>
              </w:rPr>
              <w:t xml:space="preserve"> </w:t>
            </w:r>
            <w:r>
              <w:t>the</w:t>
            </w:r>
            <w:r>
              <w:rPr>
                <w:spacing w:val="-6"/>
              </w:rPr>
              <w:t xml:space="preserve"> </w:t>
            </w:r>
            <w:r>
              <w:t>work</w:t>
            </w:r>
            <w:r>
              <w:rPr>
                <w:spacing w:val="-5"/>
              </w:rPr>
              <w:t xml:space="preserve"> </w:t>
            </w:r>
            <w:r>
              <w:t>of</w:t>
            </w:r>
            <w:r>
              <w:rPr>
                <w:spacing w:val="-5"/>
              </w:rPr>
              <w:t xml:space="preserve"> </w:t>
            </w:r>
            <w:r>
              <w:t>an</w:t>
            </w:r>
            <w:r>
              <w:rPr>
                <w:spacing w:val="-5"/>
              </w:rPr>
              <w:t xml:space="preserve"> </w:t>
            </w:r>
            <w:r>
              <w:t>auditor’s</w:t>
            </w:r>
            <w:r>
              <w:rPr>
                <w:spacing w:val="-5"/>
              </w:rPr>
              <w:t xml:space="preserve"> </w:t>
            </w:r>
            <w:r>
              <w:t>specialist,</w:t>
            </w:r>
            <w:r>
              <w:rPr>
                <w:spacing w:val="-5"/>
              </w:rPr>
              <w:t xml:space="preserve"> </w:t>
            </w:r>
            <w:r>
              <w:t>determine</w:t>
            </w:r>
            <w:r>
              <w:rPr>
                <w:spacing w:val="-5"/>
              </w:rPr>
              <w:t xml:space="preserve"> </w:t>
            </w:r>
            <w:r>
              <w:t>whether that</w:t>
            </w:r>
            <w:r>
              <w:rPr>
                <w:spacing w:val="-3"/>
              </w:rPr>
              <w:t xml:space="preserve"> </w:t>
            </w:r>
            <w:r>
              <w:t>work</w:t>
            </w:r>
            <w:r>
              <w:rPr>
                <w:spacing w:val="-3"/>
              </w:rPr>
              <w:t xml:space="preserve"> </w:t>
            </w:r>
            <w:r>
              <w:t>is</w:t>
            </w:r>
            <w:r>
              <w:rPr>
                <w:spacing w:val="-4"/>
              </w:rPr>
              <w:t xml:space="preserve"> </w:t>
            </w:r>
            <w:r>
              <w:t>adequate</w:t>
            </w:r>
            <w:r>
              <w:rPr>
                <w:spacing w:val="-3"/>
              </w:rPr>
              <w:t xml:space="preserve"> </w:t>
            </w:r>
            <w:r>
              <w:t>for</w:t>
            </w:r>
            <w:r>
              <w:rPr>
                <w:spacing w:val="-3"/>
              </w:rPr>
              <w:t xml:space="preserve"> </w:t>
            </w:r>
            <w:r>
              <w:t>the</w:t>
            </w:r>
            <w:r>
              <w:rPr>
                <w:spacing w:val="-3"/>
              </w:rPr>
              <w:t xml:space="preserve"> </w:t>
            </w:r>
            <w:r>
              <w:t>auditor’s</w:t>
            </w:r>
            <w:r>
              <w:rPr>
                <w:spacing w:val="-3"/>
              </w:rPr>
              <w:t xml:space="preserve"> </w:t>
            </w:r>
            <w:r>
              <w:t>purposes?</w:t>
            </w:r>
            <w:r>
              <w:rPr>
                <w:spacing w:val="-4"/>
              </w:rPr>
              <w:t xml:space="preserve"> </w:t>
            </w:r>
            <w:r>
              <w:t>(AU-C</w:t>
            </w:r>
            <w:r>
              <w:rPr>
                <w:spacing w:val="-4"/>
              </w:rPr>
              <w:t xml:space="preserve"> </w:t>
            </w:r>
            <w:r>
              <w:t>620)</w:t>
            </w:r>
          </w:p>
        </w:tc>
        <w:tc>
          <w:tcPr>
            <w:tcW w:w="810" w:type="dxa"/>
            <w:tcBorders>
              <w:top w:val="single" w:sz="8" w:space="0" w:color="000000"/>
              <w:left w:val="single" w:sz="8" w:space="0" w:color="000000"/>
              <w:right w:val="single" w:sz="8" w:space="0" w:color="000000"/>
            </w:tcBorders>
          </w:tcPr>
          <w:p w14:paraId="0DFDD187" w14:textId="77777777" w:rsidR="00046465" w:rsidRDefault="00046465">
            <w:pPr>
              <w:pStyle w:val="TableParagraph"/>
              <w:rPr>
                <w:rFonts w:ascii="Times New Roman"/>
              </w:rPr>
            </w:pPr>
          </w:p>
        </w:tc>
        <w:tc>
          <w:tcPr>
            <w:tcW w:w="1260" w:type="dxa"/>
            <w:tcBorders>
              <w:top w:val="single" w:sz="8" w:space="0" w:color="000000"/>
              <w:left w:val="single" w:sz="8" w:space="0" w:color="000000"/>
            </w:tcBorders>
            <w:shd w:val="clear" w:color="auto" w:fill="BEBEBE"/>
          </w:tcPr>
          <w:p w14:paraId="0DFDD188" w14:textId="77777777" w:rsidR="00046465" w:rsidRDefault="00046465">
            <w:pPr>
              <w:pStyle w:val="TableParagraph"/>
              <w:rPr>
                <w:rFonts w:ascii="Times New Roman"/>
              </w:rPr>
            </w:pPr>
          </w:p>
        </w:tc>
      </w:tr>
    </w:tbl>
    <w:p w14:paraId="0DFDD18A"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18B" w14:textId="77777777" w:rsidR="00046465" w:rsidRDefault="008134EB" w:rsidP="00C30459">
      <w:pPr>
        <w:pStyle w:val="Heading4"/>
        <w:ind w:left="1080"/>
      </w:pPr>
      <w:bookmarkStart w:id="416" w:name="Section_IV:_Communicating_and_Reporting_"/>
      <w:bookmarkEnd w:id="416"/>
      <w:r>
        <w:lastRenderedPageBreak/>
        <w:t>Section</w:t>
      </w:r>
      <w:r>
        <w:rPr>
          <w:spacing w:val="-14"/>
        </w:rPr>
        <w:t xml:space="preserve"> </w:t>
      </w:r>
      <w:r>
        <w:t>IV:</w:t>
      </w:r>
      <w:r>
        <w:rPr>
          <w:spacing w:val="-13"/>
        </w:rPr>
        <w:t xml:space="preserve"> </w:t>
      </w:r>
      <w:r>
        <w:t>Communicating</w:t>
      </w:r>
      <w:r>
        <w:rPr>
          <w:spacing w:val="-14"/>
        </w:rPr>
        <w:t xml:space="preserve"> </w:t>
      </w:r>
      <w:r>
        <w:t>and</w:t>
      </w:r>
      <w:r>
        <w:rPr>
          <w:spacing w:val="-13"/>
        </w:rPr>
        <w:t xml:space="preserve"> </w:t>
      </w:r>
      <w:r>
        <w:t>Reporting</w:t>
      </w:r>
      <w:r>
        <w:rPr>
          <w:spacing w:val="-13"/>
        </w:rPr>
        <w:t xml:space="preserve"> </w:t>
      </w:r>
      <w:r>
        <w:rPr>
          <w:spacing w:val="-2"/>
        </w:rPr>
        <w:t>Results</w:t>
      </w:r>
    </w:p>
    <w:p w14:paraId="0DFDD18C" w14:textId="77777777" w:rsidR="00046465" w:rsidRDefault="00046465">
      <w:pPr>
        <w:pStyle w:val="BodyText"/>
        <w:spacing w:before="7"/>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50"/>
      </w:tblGrid>
      <w:tr w:rsidR="00046465" w14:paraId="0DFDD194" w14:textId="77777777">
        <w:trPr>
          <w:trHeight w:val="998"/>
        </w:trPr>
        <w:tc>
          <w:tcPr>
            <w:tcW w:w="7380" w:type="dxa"/>
            <w:tcBorders>
              <w:right w:val="single" w:sz="8" w:space="0" w:color="000000"/>
            </w:tcBorders>
            <w:shd w:val="clear" w:color="auto" w:fill="A6A6A6"/>
          </w:tcPr>
          <w:p w14:paraId="0DFDD18D" w14:textId="77777777" w:rsidR="00046465" w:rsidRDefault="00046465">
            <w:pPr>
              <w:pStyle w:val="TableParagraph"/>
              <w:rPr>
                <w:b/>
                <w:sz w:val="24"/>
              </w:rPr>
            </w:pPr>
          </w:p>
          <w:p w14:paraId="0DFDD18E" w14:textId="77777777" w:rsidR="00046465" w:rsidRDefault="00046465">
            <w:pPr>
              <w:pStyle w:val="TableParagraph"/>
              <w:spacing w:before="74"/>
              <w:rPr>
                <w:b/>
                <w:sz w:val="24"/>
              </w:rPr>
            </w:pPr>
          </w:p>
          <w:p w14:paraId="0DFDD18F" w14:textId="77777777" w:rsidR="00046465" w:rsidRDefault="008134EB">
            <w:pPr>
              <w:pStyle w:val="TableParagraph"/>
              <w:ind w:left="123"/>
              <w:rPr>
                <w:b/>
                <w:sz w:val="24"/>
              </w:rPr>
            </w:pPr>
            <w:r>
              <w:rPr>
                <w:b/>
                <w:sz w:val="24"/>
              </w:rPr>
              <w:t>Section</w:t>
            </w:r>
            <w:r>
              <w:rPr>
                <w:b/>
                <w:spacing w:val="-4"/>
                <w:sz w:val="24"/>
              </w:rPr>
              <w:t xml:space="preserve"> </w:t>
            </w:r>
            <w:r>
              <w:rPr>
                <w:b/>
                <w:sz w:val="24"/>
              </w:rPr>
              <w:t>IV:</w:t>
            </w:r>
            <w:r>
              <w:rPr>
                <w:b/>
                <w:spacing w:val="-4"/>
                <w:sz w:val="24"/>
              </w:rPr>
              <w:t xml:space="preserve"> </w:t>
            </w:r>
            <w:r>
              <w:rPr>
                <w:b/>
                <w:sz w:val="24"/>
              </w:rPr>
              <w:t>Communicating</w:t>
            </w:r>
            <w:r>
              <w:rPr>
                <w:b/>
                <w:spacing w:val="-4"/>
                <w:sz w:val="24"/>
              </w:rPr>
              <w:t xml:space="preserve"> </w:t>
            </w:r>
            <w:r>
              <w:rPr>
                <w:b/>
                <w:sz w:val="24"/>
              </w:rPr>
              <w:t>and</w:t>
            </w:r>
            <w:r>
              <w:rPr>
                <w:b/>
                <w:spacing w:val="-4"/>
                <w:sz w:val="24"/>
              </w:rPr>
              <w:t xml:space="preserve"> </w:t>
            </w:r>
            <w:r>
              <w:rPr>
                <w:b/>
                <w:sz w:val="24"/>
              </w:rPr>
              <w:t>Reporting</w:t>
            </w:r>
            <w:r>
              <w:rPr>
                <w:b/>
                <w:spacing w:val="-3"/>
                <w:sz w:val="24"/>
              </w:rPr>
              <w:t xml:space="preserve"> </w:t>
            </w:r>
            <w:r>
              <w:rPr>
                <w:b/>
                <w:spacing w:val="-2"/>
                <w:sz w:val="24"/>
              </w:rPr>
              <w:t>Results</w:t>
            </w:r>
          </w:p>
        </w:tc>
        <w:tc>
          <w:tcPr>
            <w:tcW w:w="810" w:type="dxa"/>
            <w:tcBorders>
              <w:left w:val="single" w:sz="8" w:space="0" w:color="000000"/>
              <w:right w:val="single" w:sz="8" w:space="0" w:color="000000"/>
            </w:tcBorders>
            <w:shd w:val="clear" w:color="auto" w:fill="A6A6A6"/>
          </w:tcPr>
          <w:p w14:paraId="0DFDD190" w14:textId="77777777" w:rsidR="00046465" w:rsidRDefault="008134EB">
            <w:pPr>
              <w:pStyle w:val="TableParagraph"/>
              <w:spacing w:before="121"/>
              <w:ind w:left="136" w:right="199"/>
              <w:jc w:val="both"/>
              <w:rPr>
                <w:b/>
              </w:rPr>
            </w:pPr>
            <w:r>
              <w:rPr>
                <w:b/>
                <w:spacing w:val="-4"/>
              </w:rPr>
              <w:t>Yes, No,* N/A</w:t>
            </w:r>
          </w:p>
        </w:tc>
        <w:tc>
          <w:tcPr>
            <w:tcW w:w="1350" w:type="dxa"/>
            <w:tcBorders>
              <w:left w:val="single" w:sz="8" w:space="0" w:color="000000"/>
            </w:tcBorders>
            <w:shd w:val="clear" w:color="auto" w:fill="A6A6A6"/>
          </w:tcPr>
          <w:p w14:paraId="0DFDD191" w14:textId="77777777" w:rsidR="00046465" w:rsidRDefault="00046465">
            <w:pPr>
              <w:pStyle w:val="TableParagraph"/>
              <w:rPr>
                <w:b/>
              </w:rPr>
            </w:pPr>
          </w:p>
          <w:p w14:paraId="0DFDD192" w14:textId="77777777" w:rsidR="00046465" w:rsidRDefault="00046465">
            <w:pPr>
              <w:pStyle w:val="TableParagraph"/>
              <w:spacing w:before="120"/>
              <w:rPr>
                <w:b/>
              </w:rPr>
            </w:pPr>
          </w:p>
          <w:p w14:paraId="0DFDD193"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198" w14:textId="77777777">
        <w:trPr>
          <w:trHeight w:val="493"/>
        </w:trPr>
        <w:tc>
          <w:tcPr>
            <w:tcW w:w="7380" w:type="dxa"/>
            <w:tcBorders>
              <w:bottom w:val="single" w:sz="8" w:space="0" w:color="000000"/>
              <w:right w:val="single" w:sz="8" w:space="0" w:color="000000"/>
            </w:tcBorders>
          </w:tcPr>
          <w:p w14:paraId="0DFDD195" w14:textId="77777777" w:rsidR="00046465" w:rsidRDefault="008134EB">
            <w:pPr>
              <w:pStyle w:val="TableParagraph"/>
              <w:spacing w:before="121"/>
              <w:ind w:left="555"/>
            </w:pPr>
            <w:r>
              <w:t>1.</w:t>
            </w:r>
            <w:r>
              <w:rPr>
                <w:spacing w:val="71"/>
                <w:w w:val="150"/>
              </w:rPr>
              <w:t xml:space="preserve"> </w:t>
            </w:r>
            <w:r>
              <w:t>Is</w:t>
            </w:r>
            <w:r>
              <w:rPr>
                <w:spacing w:val="-5"/>
              </w:rPr>
              <w:t xml:space="preserve"> </w:t>
            </w:r>
            <w:r>
              <w:t>the</w:t>
            </w:r>
            <w:r>
              <w:rPr>
                <w:spacing w:val="-4"/>
              </w:rPr>
              <w:t xml:space="preserve"> </w:t>
            </w:r>
            <w:r>
              <w:t>auditor’s</w:t>
            </w:r>
            <w:r>
              <w:rPr>
                <w:spacing w:val="-5"/>
              </w:rPr>
              <w:t xml:space="preserve"> </w:t>
            </w:r>
            <w:r>
              <w:t>report</w:t>
            </w:r>
            <w:r>
              <w:rPr>
                <w:spacing w:val="-4"/>
              </w:rPr>
              <w:t xml:space="preserve"> </w:t>
            </w:r>
            <w:r>
              <w:t>appropriate</w:t>
            </w:r>
            <w:r>
              <w:rPr>
                <w:spacing w:val="-5"/>
              </w:rPr>
              <w:t xml:space="preserve"> </w:t>
            </w:r>
            <w:r>
              <w:t>as</w:t>
            </w:r>
            <w:r>
              <w:rPr>
                <w:spacing w:val="-5"/>
              </w:rPr>
              <w:t xml:space="preserve"> </w:t>
            </w:r>
            <w:r>
              <w:t>to</w:t>
            </w:r>
            <w:r>
              <w:rPr>
                <w:spacing w:val="-5"/>
              </w:rPr>
              <w:t xml:space="preserve"> </w:t>
            </w:r>
            <w:r>
              <w:t>the</w:t>
            </w:r>
            <w:r>
              <w:rPr>
                <w:spacing w:val="-4"/>
              </w:rPr>
              <w:t xml:space="preserve"> </w:t>
            </w:r>
            <w:r>
              <w:t>following</w:t>
            </w:r>
            <w:r>
              <w:rPr>
                <w:spacing w:val="-5"/>
              </w:rPr>
              <w:t xml:space="preserve"> </w:t>
            </w:r>
            <w:r>
              <w:t>(FAM</w:t>
            </w:r>
            <w:r>
              <w:rPr>
                <w:spacing w:val="-5"/>
              </w:rPr>
              <w:t xml:space="preserve"> </w:t>
            </w:r>
            <w:r>
              <w:rPr>
                <w:spacing w:val="-2"/>
              </w:rPr>
              <w:t>580):</w:t>
            </w:r>
          </w:p>
        </w:tc>
        <w:tc>
          <w:tcPr>
            <w:tcW w:w="810" w:type="dxa"/>
            <w:tcBorders>
              <w:left w:val="single" w:sz="8" w:space="0" w:color="000000"/>
              <w:bottom w:val="single" w:sz="8" w:space="0" w:color="000000"/>
              <w:right w:val="single" w:sz="8" w:space="0" w:color="000000"/>
            </w:tcBorders>
            <w:shd w:val="clear" w:color="auto" w:fill="BEBEBE"/>
          </w:tcPr>
          <w:p w14:paraId="0DFDD196" w14:textId="77777777" w:rsidR="00046465" w:rsidRDefault="00046465">
            <w:pPr>
              <w:pStyle w:val="TableParagraph"/>
              <w:rPr>
                <w:rFonts w:ascii="Times New Roman"/>
              </w:rPr>
            </w:pPr>
          </w:p>
        </w:tc>
        <w:tc>
          <w:tcPr>
            <w:tcW w:w="1350" w:type="dxa"/>
            <w:tcBorders>
              <w:left w:val="single" w:sz="8" w:space="0" w:color="000000"/>
              <w:bottom w:val="single" w:sz="8" w:space="0" w:color="000000"/>
            </w:tcBorders>
            <w:shd w:val="clear" w:color="auto" w:fill="BEBEBE"/>
          </w:tcPr>
          <w:p w14:paraId="0DFDD197" w14:textId="77777777" w:rsidR="00046465" w:rsidRDefault="00046465">
            <w:pPr>
              <w:pStyle w:val="TableParagraph"/>
              <w:rPr>
                <w:rFonts w:ascii="Times New Roman"/>
              </w:rPr>
            </w:pPr>
          </w:p>
        </w:tc>
      </w:tr>
      <w:tr w:rsidR="00046465" w14:paraId="0DFDD19C" w14:textId="77777777">
        <w:trPr>
          <w:trHeight w:val="493"/>
        </w:trPr>
        <w:tc>
          <w:tcPr>
            <w:tcW w:w="7380" w:type="dxa"/>
            <w:tcBorders>
              <w:top w:val="single" w:sz="8" w:space="0" w:color="000000"/>
              <w:bottom w:val="single" w:sz="6" w:space="0" w:color="000000"/>
              <w:right w:val="single" w:sz="6" w:space="0" w:color="000000"/>
            </w:tcBorders>
          </w:tcPr>
          <w:p w14:paraId="0DFDD199" w14:textId="77777777" w:rsidR="00046465" w:rsidRDefault="008134EB">
            <w:pPr>
              <w:pStyle w:val="TableParagraph"/>
              <w:tabs>
                <w:tab w:val="left" w:pos="1334"/>
              </w:tabs>
              <w:spacing w:before="121"/>
              <w:ind w:left="943"/>
            </w:pPr>
            <w:r>
              <w:rPr>
                <w:spacing w:val="-5"/>
              </w:rPr>
              <w:t>a.</w:t>
            </w:r>
            <w:r>
              <w:tab/>
              <w:t>Format,</w:t>
            </w:r>
            <w:r>
              <w:rPr>
                <w:spacing w:val="-8"/>
              </w:rPr>
              <w:t xml:space="preserve"> </w:t>
            </w:r>
            <w:r>
              <w:t>including</w:t>
            </w:r>
            <w:r>
              <w:rPr>
                <w:spacing w:val="-7"/>
              </w:rPr>
              <w:t xml:space="preserve"> </w:t>
            </w:r>
            <w:r>
              <w:t>section</w:t>
            </w:r>
            <w:r>
              <w:rPr>
                <w:spacing w:val="-7"/>
              </w:rPr>
              <w:t xml:space="preserve"> </w:t>
            </w:r>
            <w:r>
              <w:t>titles</w:t>
            </w:r>
            <w:r>
              <w:rPr>
                <w:spacing w:val="-7"/>
              </w:rPr>
              <w:t xml:space="preserve"> </w:t>
            </w:r>
            <w:r>
              <w:t>and</w:t>
            </w:r>
            <w:r>
              <w:rPr>
                <w:spacing w:val="-8"/>
              </w:rPr>
              <w:t xml:space="preserve"> </w:t>
            </w:r>
            <w:r>
              <w:rPr>
                <w:spacing w:val="-2"/>
              </w:rPr>
              <w:t>organization?</w:t>
            </w:r>
          </w:p>
        </w:tc>
        <w:tc>
          <w:tcPr>
            <w:tcW w:w="810" w:type="dxa"/>
            <w:tcBorders>
              <w:top w:val="single" w:sz="8" w:space="0" w:color="000000"/>
              <w:left w:val="single" w:sz="6" w:space="0" w:color="000000"/>
              <w:bottom w:val="single" w:sz="6" w:space="0" w:color="000000"/>
              <w:right w:val="single" w:sz="6" w:space="0" w:color="000000"/>
            </w:tcBorders>
          </w:tcPr>
          <w:p w14:paraId="0DFDD19A" w14:textId="77777777" w:rsidR="00046465" w:rsidRDefault="00046465">
            <w:pPr>
              <w:pStyle w:val="TableParagraph"/>
              <w:rPr>
                <w:rFonts w:ascii="Times New Roman"/>
              </w:rPr>
            </w:pPr>
          </w:p>
        </w:tc>
        <w:tc>
          <w:tcPr>
            <w:tcW w:w="1350" w:type="dxa"/>
            <w:tcBorders>
              <w:top w:val="single" w:sz="8" w:space="0" w:color="000000"/>
              <w:left w:val="single" w:sz="6" w:space="0" w:color="000000"/>
              <w:bottom w:val="single" w:sz="6" w:space="0" w:color="000000"/>
            </w:tcBorders>
          </w:tcPr>
          <w:p w14:paraId="0DFDD19B" w14:textId="77777777" w:rsidR="00046465" w:rsidRDefault="00046465">
            <w:pPr>
              <w:pStyle w:val="TableParagraph"/>
              <w:rPr>
                <w:rFonts w:ascii="Times New Roman"/>
              </w:rPr>
            </w:pPr>
          </w:p>
        </w:tc>
      </w:tr>
      <w:tr w:rsidR="00046465" w14:paraId="0DFDD1A0" w14:textId="77777777">
        <w:trPr>
          <w:trHeight w:val="745"/>
        </w:trPr>
        <w:tc>
          <w:tcPr>
            <w:tcW w:w="7380" w:type="dxa"/>
            <w:tcBorders>
              <w:top w:val="single" w:sz="6" w:space="0" w:color="000000"/>
              <w:bottom w:val="single" w:sz="6" w:space="0" w:color="000000"/>
              <w:right w:val="single" w:sz="6" w:space="0" w:color="000000"/>
            </w:tcBorders>
          </w:tcPr>
          <w:p w14:paraId="0DFDD19D" w14:textId="77777777" w:rsidR="00046465" w:rsidRDefault="008134EB">
            <w:pPr>
              <w:pStyle w:val="TableParagraph"/>
              <w:tabs>
                <w:tab w:val="left" w:pos="1334"/>
              </w:tabs>
              <w:spacing w:before="119"/>
              <w:ind w:left="1303" w:right="472" w:hanging="360"/>
            </w:pPr>
            <w:r>
              <w:rPr>
                <w:spacing w:val="-6"/>
              </w:rPr>
              <w:t>b.</w:t>
            </w:r>
            <w:r>
              <w:tab/>
            </w:r>
            <w:r>
              <w:tab/>
              <w:t>Opinion</w:t>
            </w:r>
            <w:r>
              <w:rPr>
                <w:spacing w:val="-4"/>
              </w:rPr>
              <w:t xml:space="preserve"> </w:t>
            </w:r>
            <w:r>
              <w:t>and</w:t>
            </w:r>
            <w:r>
              <w:rPr>
                <w:spacing w:val="-4"/>
              </w:rPr>
              <w:t xml:space="preserve"> </w:t>
            </w:r>
            <w:r>
              <w:t>basis</w:t>
            </w:r>
            <w:r>
              <w:rPr>
                <w:spacing w:val="-4"/>
              </w:rPr>
              <w:t xml:space="preserve"> </w:t>
            </w:r>
            <w:r>
              <w:t>for</w:t>
            </w:r>
            <w:r>
              <w:rPr>
                <w:spacing w:val="-4"/>
              </w:rPr>
              <w:t xml:space="preserve"> </w:t>
            </w:r>
            <w:r>
              <w:t>opinion,</w:t>
            </w:r>
            <w:r>
              <w:rPr>
                <w:spacing w:val="-4"/>
              </w:rPr>
              <w:t xml:space="preserve"> </w:t>
            </w:r>
            <w:r>
              <w:t>or</w:t>
            </w:r>
            <w:r>
              <w:rPr>
                <w:spacing w:val="-4"/>
              </w:rPr>
              <w:t xml:space="preserve"> </w:t>
            </w:r>
            <w:r>
              <w:t>disclaimer</w:t>
            </w:r>
            <w:r>
              <w:rPr>
                <w:spacing w:val="-4"/>
              </w:rPr>
              <w:t xml:space="preserve"> </w:t>
            </w:r>
            <w:r>
              <w:t>and</w:t>
            </w:r>
            <w:r>
              <w:rPr>
                <w:spacing w:val="-4"/>
              </w:rPr>
              <w:t xml:space="preserve"> </w:t>
            </w:r>
            <w:r>
              <w:t>basis</w:t>
            </w:r>
            <w:r>
              <w:rPr>
                <w:spacing w:val="-4"/>
              </w:rPr>
              <w:t xml:space="preserve"> </w:t>
            </w:r>
            <w:r>
              <w:t>for disclaimer, on the financial statements?</w:t>
            </w:r>
          </w:p>
        </w:tc>
        <w:tc>
          <w:tcPr>
            <w:tcW w:w="810" w:type="dxa"/>
            <w:tcBorders>
              <w:top w:val="single" w:sz="6" w:space="0" w:color="000000"/>
              <w:left w:val="single" w:sz="6" w:space="0" w:color="000000"/>
              <w:bottom w:val="single" w:sz="6" w:space="0" w:color="000000"/>
              <w:right w:val="single" w:sz="6" w:space="0" w:color="000000"/>
            </w:tcBorders>
          </w:tcPr>
          <w:p w14:paraId="0DFDD19E"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9F" w14:textId="77777777" w:rsidR="00046465" w:rsidRDefault="00046465">
            <w:pPr>
              <w:pStyle w:val="TableParagraph"/>
              <w:rPr>
                <w:rFonts w:ascii="Times New Roman"/>
              </w:rPr>
            </w:pPr>
          </w:p>
        </w:tc>
      </w:tr>
      <w:tr w:rsidR="00046465" w14:paraId="0DFDD1A4" w14:textId="77777777">
        <w:trPr>
          <w:trHeight w:val="999"/>
        </w:trPr>
        <w:tc>
          <w:tcPr>
            <w:tcW w:w="7380" w:type="dxa"/>
            <w:tcBorders>
              <w:top w:val="single" w:sz="6" w:space="0" w:color="000000"/>
              <w:bottom w:val="single" w:sz="6" w:space="0" w:color="000000"/>
              <w:right w:val="single" w:sz="6" w:space="0" w:color="000000"/>
            </w:tcBorders>
          </w:tcPr>
          <w:p w14:paraId="0DFDD1A1" w14:textId="77777777" w:rsidR="00046465" w:rsidRDefault="008134EB">
            <w:pPr>
              <w:pStyle w:val="TableParagraph"/>
              <w:tabs>
                <w:tab w:val="left" w:pos="1334"/>
              </w:tabs>
              <w:spacing w:before="119"/>
              <w:ind w:left="1303" w:right="347" w:hanging="360"/>
            </w:pPr>
            <w:r>
              <w:rPr>
                <w:spacing w:val="-6"/>
              </w:rPr>
              <w:t>c.</w:t>
            </w:r>
            <w:r>
              <w:tab/>
            </w:r>
            <w:r>
              <w:tab/>
              <w:t>Opinion and basis for opinion on internal control over financial reporting, or results of consideration of internal control</w:t>
            </w:r>
            <w:r>
              <w:rPr>
                <w:spacing w:val="-5"/>
              </w:rPr>
              <w:t xml:space="preserve"> </w:t>
            </w:r>
            <w:r>
              <w:t>over</w:t>
            </w:r>
            <w:r>
              <w:rPr>
                <w:spacing w:val="-7"/>
              </w:rPr>
              <w:t xml:space="preserve"> </w:t>
            </w:r>
            <w:r>
              <w:t>financial</w:t>
            </w:r>
            <w:r>
              <w:rPr>
                <w:spacing w:val="-5"/>
              </w:rPr>
              <w:t xml:space="preserve"> </w:t>
            </w:r>
            <w:r>
              <w:t>reporting</w:t>
            </w:r>
            <w:r>
              <w:rPr>
                <w:spacing w:val="-5"/>
              </w:rPr>
              <w:t xml:space="preserve"> </w:t>
            </w:r>
            <w:r>
              <w:t>and</w:t>
            </w:r>
            <w:r>
              <w:rPr>
                <w:spacing w:val="-5"/>
              </w:rPr>
              <w:t xml:space="preserve"> </w:t>
            </w:r>
            <w:r>
              <w:t>basis</w:t>
            </w:r>
            <w:r>
              <w:rPr>
                <w:spacing w:val="-5"/>
              </w:rPr>
              <w:t xml:space="preserve"> </w:t>
            </w:r>
            <w:r>
              <w:t>for</w:t>
            </w:r>
            <w:r>
              <w:rPr>
                <w:spacing w:val="-5"/>
              </w:rPr>
              <w:t xml:space="preserve"> </w:t>
            </w:r>
            <w:r>
              <w:t>those</w:t>
            </w:r>
            <w:r>
              <w:rPr>
                <w:spacing w:val="-5"/>
              </w:rPr>
              <w:t xml:space="preserve"> </w:t>
            </w:r>
            <w:r>
              <w:t>results?</w:t>
            </w:r>
          </w:p>
        </w:tc>
        <w:tc>
          <w:tcPr>
            <w:tcW w:w="810" w:type="dxa"/>
            <w:tcBorders>
              <w:top w:val="single" w:sz="6" w:space="0" w:color="000000"/>
              <w:left w:val="single" w:sz="6" w:space="0" w:color="000000"/>
              <w:bottom w:val="single" w:sz="6" w:space="0" w:color="000000"/>
              <w:right w:val="single" w:sz="6" w:space="0" w:color="000000"/>
            </w:tcBorders>
          </w:tcPr>
          <w:p w14:paraId="0DFDD1A2"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A3" w14:textId="77777777" w:rsidR="00046465" w:rsidRDefault="00046465">
            <w:pPr>
              <w:pStyle w:val="TableParagraph"/>
              <w:rPr>
                <w:rFonts w:ascii="Times New Roman"/>
              </w:rPr>
            </w:pPr>
          </w:p>
        </w:tc>
      </w:tr>
      <w:tr w:rsidR="00046465" w14:paraId="0DFDD1A8" w14:textId="77777777">
        <w:trPr>
          <w:trHeight w:val="492"/>
        </w:trPr>
        <w:tc>
          <w:tcPr>
            <w:tcW w:w="7380" w:type="dxa"/>
            <w:tcBorders>
              <w:top w:val="single" w:sz="6" w:space="0" w:color="000000"/>
              <w:bottom w:val="single" w:sz="6" w:space="0" w:color="000000"/>
              <w:right w:val="single" w:sz="6" w:space="0" w:color="000000"/>
            </w:tcBorders>
          </w:tcPr>
          <w:p w14:paraId="0DFDD1A5" w14:textId="77777777" w:rsidR="00046465" w:rsidRDefault="008134EB">
            <w:pPr>
              <w:pStyle w:val="TableParagraph"/>
              <w:tabs>
                <w:tab w:val="left" w:pos="1334"/>
              </w:tabs>
              <w:spacing w:before="121"/>
              <w:ind w:left="943"/>
            </w:pPr>
            <w:r>
              <w:rPr>
                <w:spacing w:val="-5"/>
              </w:rPr>
              <w:t>d.</w:t>
            </w:r>
            <w:r>
              <w:tab/>
            </w:r>
            <w:r>
              <w:rPr>
                <w:spacing w:val="-2"/>
              </w:rPr>
              <w:t>Management’s</w:t>
            </w:r>
            <w:r>
              <w:rPr>
                <w:spacing w:val="8"/>
              </w:rPr>
              <w:t xml:space="preserve"> </w:t>
            </w:r>
            <w:r>
              <w:rPr>
                <w:spacing w:val="-2"/>
              </w:rPr>
              <w:t>responsibilities?</w:t>
            </w:r>
          </w:p>
        </w:tc>
        <w:tc>
          <w:tcPr>
            <w:tcW w:w="810" w:type="dxa"/>
            <w:tcBorders>
              <w:top w:val="single" w:sz="6" w:space="0" w:color="000000"/>
              <w:left w:val="single" w:sz="6" w:space="0" w:color="000000"/>
              <w:bottom w:val="single" w:sz="6" w:space="0" w:color="000000"/>
              <w:right w:val="single" w:sz="6" w:space="0" w:color="000000"/>
            </w:tcBorders>
          </w:tcPr>
          <w:p w14:paraId="0DFDD1A6"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A7" w14:textId="77777777" w:rsidR="00046465" w:rsidRDefault="00046465">
            <w:pPr>
              <w:pStyle w:val="TableParagraph"/>
              <w:rPr>
                <w:rFonts w:ascii="Times New Roman"/>
              </w:rPr>
            </w:pPr>
          </w:p>
        </w:tc>
      </w:tr>
      <w:tr w:rsidR="00046465" w14:paraId="0DFDD1AC" w14:textId="77777777">
        <w:trPr>
          <w:trHeight w:val="493"/>
        </w:trPr>
        <w:tc>
          <w:tcPr>
            <w:tcW w:w="7380" w:type="dxa"/>
            <w:tcBorders>
              <w:top w:val="single" w:sz="6" w:space="0" w:color="000000"/>
              <w:bottom w:val="single" w:sz="6" w:space="0" w:color="000000"/>
              <w:right w:val="single" w:sz="6" w:space="0" w:color="000000"/>
            </w:tcBorders>
          </w:tcPr>
          <w:p w14:paraId="0DFDD1A9" w14:textId="77777777" w:rsidR="00046465" w:rsidRDefault="008134EB">
            <w:pPr>
              <w:pStyle w:val="TableParagraph"/>
              <w:tabs>
                <w:tab w:val="left" w:pos="1334"/>
              </w:tabs>
              <w:spacing w:before="121"/>
              <w:ind w:left="943"/>
            </w:pPr>
            <w:r>
              <w:rPr>
                <w:spacing w:val="-5"/>
              </w:rPr>
              <w:t>e.</w:t>
            </w:r>
            <w:r>
              <w:tab/>
              <w:t>Auditor’s</w:t>
            </w:r>
            <w:r>
              <w:rPr>
                <w:spacing w:val="-10"/>
              </w:rPr>
              <w:t xml:space="preserve"> </w:t>
            </w:r>
            <w:r>
              <w:rPr>
                <w:spacing w:val="-2"/>
              </w:rPr>
              <w:t>responsibilities?</w:t>
            </w:r>
          </w:p>
        </w:tc>
        <w:tc>
          <w:tcPr>
            <w:tcW w:w="810" w:type="dxa"/>
            <w:tcBorders>
              <w:top w:val="single" w:sz="6" w:space="0" w:color="000000"/>
              <w:left w:val="single" w:sz="6" w:space="0" w:color="000000"/>
              <w:bottom w:val="single" w:sz="6" w:space="0" w:color="000000"/>
              <w:right w:val="single" w:sz="6" w:space="0" w:color="000000"/>
            </w:tcBorders>
          </w:tcPr>
          <w:p w14:paraId="0DFDD1AA"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AB" w14:textId="77777777" w:rsidR="00046465" w:rsidRDefault="00046465">
            <w:pPr>
              <w:pStyle w:val="TableParagraph"/>
              <w:rPr>
                <w:rFonts w:ascii="Times New Roman"/>
              </w:rPr>
            </w:pPr>
          </w:p>
        </w:tc>
      </w:tr>
      <w:tr w:rsidR="00046465" w14:paraId="0DFDD1B0" w14:textId="77777777">
        <w:trPr>
          <w:trHeight w:val="745"/>
        </w:trPr>
        <w:tc>
          <w:tcPr>
            <w:tcW w:w="7380" w:type="dxa"/>
            <w:tcBorders>
              <w:top w:val="single" w:sz="6" w:space="0" w:color="000000"/>
              <w:bottom w:val="single" w:sz="6" w:space="0" w:color="000000"/>
              <w:right w:val="single" w:sz="6" w:space="0" w:color="000000"/>
            </w:tcBorders>
          </w:tcPr>
          <w:p w14:paraId="0DFDD1AD" w14:textId="77777777" w:rsidR="00046465" w:rsidRDefault="008134EB">
            <w:pPr>
              <w:pStyle w:val="TableParagraph"/>
              <w:tabs>
                <w:tab w:val="left" w:pos="1303"/>
              </w:tabs>
              <w:spacing w:before="119"/>
              <w:ind w:left="1303" w:right="566" w:hanging="360"/>
            </w:pPr>
            <w:r>
              <w:rPr>
                <w:spacing w:val="-6"/>
              </w:rPr>
              <w:t>f.</w:t>
            </w:r>
            <w:r>
              <w:tab/>
              <w:t>Definition</w:t>
            </w:r>
            <w:r>
              <w:rPr>
                <w:spacing w:val="-6"/>
              </w:rPr>
              <w:t xml:space="preserve"> </w:t>
            </w:r>
            <w:r>
              <w:t>and</w:t>
            </w:r>
            <w:r>
              <w:rPr>
                <w:spacing w:val="-6"/>
              </w:rPr>
              <w:t xml:space="preserve"> </w:t>
            </w:r>
            <w:r>
              <w:t>inherent</w:t>
            </w:r>
            <w:r>
              <w:rPr>
                <w:spacing w:val="-6"/>
              </w:rPr>
              <w:t xml:space="preserve"> </w:t>
            </w:r>
            <w:r>
              <w:t>limitations</w:t>
            </w:r>
            <w:r>
              <w:rPr>
                <w:spacing w:val="-6"/>
              </w:rPr>
              <w:t xml:space="preserve"> </w:t>
            </w:r>
            <w:r>
              <w:t>of</w:t>
            </w:r>
            <w:r>
              <w:rPr>
                <w:spacing w:val="-7"/>
              </w:rPr>
              <w:t xml:space="preserve"> </w:t>
            </w:r>
            <w:r>
              <w:t>internal</w:t>
            </w:r>
            <w:r>
              <w:rPr>
                <w:spacing w:val="-6"/>
              </w:rPr>
              <w:t xml:space="preserve"> </w:t>
            </w:r>
            <w:r>
              <w:t>control</w:t>
            </w:r>
            <w:r>
              <w:rPr>
                <w:spacing w:val="-6"/>
              </w:rPr>
              <w:t xml:space="preserve"> </w:t>
            </w:r>
            <w:r>
              <w:t>over financial reporting</w:t>
            </w:r>
          </w:p>
        </w:tc>
        <w:tc>
          <w:tcPr>
            <w:tcW w:w="810" w:type="dxa"/>
            <w:tcBorders>
              <w:top w:val="single" w:sz="6" w:space="0" w:color="000000"/>
              <w:left w:val="single" w:sz="6" w:space="0" w:color="000000"/>
              <w:bottom w:val="single" w:sz="6" w:space="0" w:color="000000"/>
              <w:right w:val="single" w:sz="6" w:space="0" w:color="000000"/>
            </w:tcBorders>
          </w:tcPr>
          <w:p w14:paraId="0DFDD1AE"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AF" w14:textId="77777777" w:rsidR="00046465" w:rsidRDefault="00046465">
            <w:pPr>
              <w:pStyle w:val="TableParagraph"/>
              <w:rPr>
                <w:rFonts w:ascii="Times New Roman"/>
              </w:rPr>
            </w:pPr>
          </w:p>
        </w:tc>
      </w:tr>
      <w:tr w:rsidR="00046465" w14:paraId="0DFDD1B4" w14:textId="77777777">
        <w:trPr>
          <w:trHeight w:val="492"/>
        </w:trPr>
        <w:tc>
          <w:tcPr>
            <w:tcW w:w="7380" w:type="dxa"/>
            <w:tcBorders>
              <w:top w:val="single" w:sz="6" w:space="0" w:color="000000"/>
              <w:bottom w:val="single" w:sz="6" w:space="0" w:color="000000"/>
              <w:right w:val="single" w:sz="6" w:space="0" w:color="000000"/>
            </w:tcBorders>
          </w:tcPr>
          <w:p w14:paraId="0DFDD1B1" w14:textId="77777777" w:rsidR="00046465" w:rsidRDefault="008134EB">
            <w:pPr>
              <w:pStyle w:val="TableParagraph"/>
              <w:tabs>
                <w:tab w:val="left" w:pos="1334"/>
              </w:tabs>
              <w:spacing w:before="119"/>
              <w:ind w:left="943"/>
            </w:pPr>
            <w:r>
              <w:rPr>
                <w:spacing w:val="-5"/>
              </w:rPr>
              <w:t>g.</w:t>
            </w:r>
            <w:r>
              <w:tab/>
              <w:t>Reporting</w:t>
            </w:r>
            <w:r>
              <w:rPr>
                <w:spacing w:val="-6"/>
              </w:rPr>
              <w:t xml:space="preserve"> </w:t>
            </w:r>
            <w:r>
              <w:t>on</w:t>
            </w:r>
            <w:r>
              <w:rPr>
                <w:spacing w:val="-5"/>
              </w:rPr>
              <w:t xml:space="preserve"> </w:t>
            </w:r>
            <w:r>
              <w:t>RSI</w:t>
            </w:r>
            <w:r>
              <w:rPr>
                <w:spacing w:val="-6"/>
              </w:rPr>
              <w:t xml:space="preserve"> </w:t>
            </w:r>
            <w:r>
              <w:t>and</w:t>
            </w:r>
            <w:r>
              <w:rPr>
                <w:spacing w:val="-5"/>
              </w:rPr>
              <w:t xml:space="preserve"> </w:t>
            </w:r>
            <w:r>
              <w:t>other</w:t>
            </w:r>
            <w:r>
              <w:rPr>
                <w:spacing w:val="-6"/>
              </w:rPr>
              <w:t xml:space="preserve"> </w:t>
            </w:r>
            <w:r>
              <w:rPr>
                <w:spacing w:val="-2"/>
              </w:rPr>
              <w:t>information?</w:t>
            </w:r>
          </w:p>
        </w:tc>
        <w:tc>
          <w:tcPr>
            <w:tcW w:w="810" w:type="dxa"/>
            <w:tcBorders>
              <w:top w:val="single" w:sz="6" w:space="0" w:color="000000"/>
              <w:left w:val="single" w:sz="6" w:space="0" w:color="000000"/>
              <w:bottom w:val="single" w:sz="6" w:space="0" w:color="000000"/>
              <w:right w:val="single" w:sz="6" w:space="0" w:color="000000"/>
            </w:tcBorders>
          </w:tcPr>
          <w:p w14:paraId="0DFDD1B2"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B3" w14:textId="77777777" w:rsidR="00046465" w:rsidRDefault="00046465">
            <w:pPr>
              <w:pStyle w:val="TableParagraph"/>
              <w:rPr>
                <w:rFonts w:ascii="Times New Roman"/>
              </w:rPr>
            </w:pPr>
          </w:p>
        </w:tc>
      </w:tr>
      <w:tr w:rsidR="00046465" w14:paraId="0DFDD1B8" w14:textId="77777777">
        <w:trPr>
          <w:trHeight w:val="999"/>
        </w:trPr>
        <w:tc>
          <w:tcPr>
            <w:tcW w:w="7380" w:type="dxa"/>
            <w:tcBorders>
              <w:top w:val="single" w:sz="6" w:space="0" w:color="000000"/>
              <w:bottom w:val="single" w:sz="6" w:space="0" w:color="000000"/>
              <w:right w:val="single" w:sz="6" w:space="0" w:color="000000"/>
            </w:tcBorders>
          </w:tcPr>
          <w:p w14:paraId="0DFDD1B5" w14:textId="77777777" w:rsidR="00046465" w:rsidRDefault="008134EB">
            <w:pPr>
              <w:pStyle w:val="TableParagraph"/>
              <w:tabs>
                <w:tab w:val="left" w:pos="1334"/>
              </w:tabs>
              <w:spacing w:before="119"/>
              <w:ind w:left="1303" w:right="791" w:hanging="360"/>
            </w:pPr>
            <w:r>
              <w:rPr>
                <w:spacing w:val="-6"/>
              </w:rPr>
              <w:t>h.</w:t>
            </w:r>
            <w:r>
              <w:tab/>
            </w:r>
            <w:r>
              <w:tab/>
              <w:t>Reporting</w:t>
            </w:r>
            <w:r>
              <w:rPr>
                <w:spacing w:val="-7"/>
              </w:rPr>
              <w:t xml:space="preserve"> </w:t>
            </w:r>
            <w:r>
              <w:t>on</w:t>
            </w:r>
            <w:r>
              <w:rPr>
                <w:spacing w:val="-7"/>
              </w:rPr>
              <w:t xml:space="preserve"> </w:t>
            </w:r>
            <w:r>
              <w:t>compliance</w:t>
            </w:r>
            <w:r>
              <w:rPr>
                <w:spacing w:val="-7"/>
              </w:rPr>
              <w:t xml:space="preserve"> </w:t>
            </w:r>
            <w:r>
              <w:t>with</w:t>
            </w:r>
            <w:r>
              <w:rPr>
                <w:spacing w:val="-7"/>
              </w:rPr>
              <w:t xml:space="preserve"> </w:t>
            </w:r>
            <w:r>
              <w:t>significant</w:t>
            </w:r>
            <w:r>
              <w:rPr>
                <w:spacing w:val="-7"/>
              </w:rPr>
              <w:t xml:space="preserve"> </w:t>
            </w:r>
            <w:r>
              <w:t>provisions</w:t>
            </w:r>
            <w:r>
              <w:rPr>
                <w:spacing w:val="-7"/>
              </w:rPr>
              <w:t xml:space="preserve"> </w:t>
            </w:r>
            <w:r>
              <w:t xml:space="preserve">of applicable laws, regulations, contracts, and grant </w:t>
            </w:r>
            <w:r>
              <w:rPr>
                <w:spacing w:val="-2"/>
              </w:rPr>
              <w:t>agreements?</w:t>
            </w:r>
          </w:p>
        </w:tc>
        <w:tc>
          <w:tcPr>
            <w:tcW w:w="810" w:type="dxa"/>
            <w:tcBorders>
              <w:top w:val="single" w:sz="6" w:space="0" w:color="000000"/>
              <w:left w:val="single" w:sz="6" w:space="0" w:color="000000"/>
              <w:bottom w:val="single" w:sz="6" w:space="0" w:color="000000"/>
              <w:right w:val="single" w:sz="6" w:space="0" w:color="000000"/>
            </w:tcBorders>
          </w:tcPr>
          <w:p w14:paraId="0DFDD1B6"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B7" w14:textId="77777777" w:rsidR="00046465" w:rsidRDefault="00046465">
            <w:pPr>
              <w:pStyle w:val="TableParagraph"/>
              <w:rPr>
                <w:rFonts w:ascii="Times New Roman"/>
              </w:rPr>
            </w:pPr>
          </w:p>
        </w:tc>
      </w:tr>
      <w:tr w:rsidR="00046465" w14:paraId="0DFDD1BC" w14:textId="77777777">
        <w:trPr>
          <w:trHeight w:val="998"/>
        </w:trPr>
        <w:tc>
          <w:tcPr>
            <w:tcW w:w="7380" w:type="dxa"/>
            <w:tcBorders>
              <w:top w:val="single" w:sz="6" w:space="0" w:color="000000"/>
              <w:bottom w:val="single" w:sz="6" w:space="0" w:color="000000"/>
              <w:right w:val="single" w:sz="6" w:space="0" w:color="000000"/>
            </w:tcBorders>
          </w:tcPr>
          <w:p w14:paraId="0DFDD1B9" w14:textId="77777777" w:rsidR="00046465" w:rsidRDefault="008134EB">
            <w:pPr>
              <w:pStyle w:val="TableParagraph"/>
              <w:tabs>
                <w:tab w:val="left" w:pos="1334"/>
              </w:tabs>
              <w:spacing w:before="119"/>
              <w:ind w:left="1303" w:right="339" w:hanging="361"/>
            </w:pPr>
            <w:r>
              <w:rPr>
                <w:spacing w:val="-6"/>
              </w:rPr>
              <w:t>i.</w:t>
            </w:r>
            <w:r>
              <w:tab/>
            </w:r>
            <w:r>
              <w:tab/>
              <w:t>Conclusions</w:t>
            </w:r>
            <w:r>
              <w:rPr>
                <w:spacing w:val="-7"/>
              </w:rPr>
              <w:t xml:space="preserve"> </w:t>
            </w:r>
            <w:r>
              <w:t>on</w:t>
            </w:r>
            <w:r>
              <w:rPr>
                <w:spacing w:val="-7"/>
              </w:rPr>
              <w:t xml:space="preserve"> </w:t>
            </w:r>
            <w:r>
              <w:t>whether</w:t>
            </w:r>
            <w:r>
              <w:rPr>
                <w:spacing w:val="-7"/>
              </w:rPr>
              <w:t xml:space="preserve"> </w:t>
            </w:r>
            <w:r>
              <w:t>the</w:t>
            </w:r>
            <w:r>
              <w:rPr>
                <w:spacing w:val="-7"/>
              </w:rPr>
              <w:t xml:space="preserve"> </w:t>
            </w:r>
            <w:r>
              <w:t>entity’s</w:t>
            </w:r>
            <w:r>
              <w:rPr>
                <w:spacing w:val="-7"/>
              </w:rPr>
              <w:t xml:space="preserve"> </w:t>
            </w:r>
            <w:r>
              <w:t>financial</w:t>
            </w:r>
            <w:r>
              <w:rPr>
                <w:spacing w:val="-7"/>
              </w:rPr>
              <w:t xml:space="preserve"> </w:t>
            </w:r>
            <w:r>
              <w:t>management systems comply substantially with the requirements of FFMIA (for CFO Act agencies)?</w:t>
            </w:r>
          </w:p>
        </w:tc>
        <w:tc>
          <w:tcPr>
            <w:tcW w:w="810" w:type="dxa"/>
            <w:tcBorders>
              <w:top w:val="single" w:sz="6" w:space="0" w:color="000000"/>
              <w:left w:val="single" w:sz="6" w:space="0" w:color="000000"/>
              <w:bottom w:val="single" w:sz="6" w:space="0" w:color="000000"/>
              <w:right w:val="single" w:sz="6" w:space="0" w:color="000000"/>
            </w:tcBorders>
          </w:tcPr>
          <w:p w14:paraId="0DFDD1BA"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BB" w14:textId="77777777" w:rsidR="00046465" w:rsidRDefault="00046465">
            <w:pPr>
              <w:pStyle w:val="TableParagraph"/>
              <w:rPr>
                <w:rFonts w:ascii="Times New Roman"/>
              </w:rPr>
            </w:pPr>
          </w:p>
        </w:tc>
      </w:tr>
      <w:tr w:rsidR="00046465" w14:paraId="0DFDD1C0" w14:textId="77777777">
        <w:trPr>
          <w:trHeight w:val="745"/>
        </w:trPr>
        <w:tc>
          <w:tcPr>
            <w:tcW w:w="7380" w:type="dxa"/>
            <w:tcBorders>
              <w:top w:val="single" w:sz="6" w:space="0" w:color="000000"/>
              <w:bottom w:val="single" w:sz="6" w:space="0" w:color="000000"/>
              <w:right w:val="single" w:sz="6" w:space="0" w:color="000000"/>
            </w:tcBorders>
          </w:tcPr>
          <w:p w14:paraId="0DFDD1BD" w14:textId="77777777" w:rsidR="00046465" w:rsidRDefault="008134EB">
            <w:pPr>
              <w:pStyle w:val="TableParagraph"/>
              <w:tabs>
                <w:tab w:val="left" w:pos="1303"/>
              </w:tabs>
              <w:spacing w:before="119"/>
              <w:ind w:left="1303" w:right="910" w:hanging="361"/>
            </w:pPr>
            <w:r>
              <w:rPr>
                <w:spacing w:val="-6"/>
              </w:rPr>
              <w:t>j.</w:t>
            </w:r>
            <w:r>
              <w:tab/>
              <w:t>Emphasis-of-matter</w:t>
            </w:r>
            <w:r>
              <w:rPr>
                <w:spacing w:val="-10"/>
              </w:rPr>
              <w:t xml:space="preserve"> </w:t>
            </w:r>
            <w:r>
              <w:t>and</w:t>
            </w:r>
            <w:r>
              <w:rPr>
                <w:spacing w:val="-10"/>
              </w:rPr>
              <w:t xml:space="preserve"> </w:t>
            </w:r>
            <w:r>
              <w:t>other-matter</w:t>
            </w:r>
            <w:r>
              <w:rPr>
                <w:spacing w:val="-10"/>
              </w:rPr>
              <w:t xml:space="preserve"> </w:t>
            </w:r>
            <w:r>
              <w:t>paragraphs,</w:t>
            </w:r>
            <w:r>
              <w:rPr>
                <w:spacing w:val="-10"/>
              </w:rPr>
              <w:t xml:space="preserve"> </w:t>
            </w:r>
            <w:r>
              <w:t xml:space="preserve">as </w:t>
            </w:r>
            <w:r>
              <w:rPr>
                <w:spacing w:val="-2"/>
              </w:rPr>
              <w:t>applicable?</w:t>
            </w:r>
          </w:p>
        </w:tc>
        <w:tc>
          <w:tcPr>
            <w:tcW w:w="810" w:type="dxa"/>
            <w:tcBorders>
              <w:top w:val="single" w:sz="6" w:space="0" w:color="000000"/>
              <w:left w:val="single" w:sz="6" w:space="0" w:color="000000"/>
              <w:bottom w:val="single" w:sz="6" w:space="0" w:color="000000"/>
              <w:right w:val="single" w:sz="6" w:space="0" w:color="000000"/>
            </w:tcBorders>
          </w:tcPr>
          <w:p w14:paraId="0DFDD1BE"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BF" w14:textId="77777777" w:rsidR="00046465" w:rsidRDefault="00046465">
            <w:pPr>
              <w:pStyle w:val="TableParagraph"/>
              <w:rPr>
                <w:rFonts w:ascii="Times New Roman"/>
              </w:rPr>
            </w:pPr>
          </w:p>
        </w:tc>
      </w:tr>
      <w:tr w:rsidR="00046465" w14:paraId="0DFDD1C4" w14:textId="77777777">
        <w:trPr>
          <w:trHeight w:val="745"/>
        </w:trPr>
        <w:tc>
          <w:tcPr>
            <w:tcW w:w="7380" w:type="dxa"/>
            <w:tcBorders>
              <w:top w:val="single" w:sz="6" w:space="0" w:color="000000"/>
              <w:bottom w:val="single" w:sz="6" w:space="0" w:color="000000"/>
              <w:right w:val="single" w:sz="6" w:space="0" w:color="000000"/>
            </w:tcBorders>
          </w:tcPr>
          <w:p w14:paraId="0DFDD1C1" w14:textId="77777777" w:rsidR="00046465" w:rsidRDefault="008134EB">
            <w:pPr>
              <w:pStyle w:val="TableParagraph"/>
              <w:spacing w:before="121"/>
              <w:ind w:left="915" w:hanging="360"/>
            </w:pPr>
            <w:r>
              <w:t>2.</w:t>
            </w:r>
            <w:r>
              <w:rPr>
                <w:spacing w:val="80"/>
              </w:rPr>
              <w:t xml:space="preserve"> </w:t>
            </w:r>
            <w:r>
              <w:t>Is</w:t>
            </w:r>
            <w:r>
              <w:rPr>
                <w:spacing w:val="-4"/>
              </w:rPr>
              <w:t xml:space="preserve"> </w:t>
            </w:r>
            <w:r>
              <w:t>background</w:t>
            </w:r>
            <w:r>
              <w:rPr>
                <w:spacing w:val="-4"/>
              </w:rPr>
              <w:t xml:space="preserve"> </w:t>
            </w:r>
            <w:r>
              <w:t>material</w:t>
            </w:r>
            <w:r>
              <w:rPr>
                <w:spacing w:val="-4"/>
              </w:rPr>
              <w:t xml:space="preserve"> </w:t>
            </w:r>
            <w:r>
              <w:t>(purpose,</w:t>
            </w:r>
            <w:r>
              <w:rPr>
                <w:spacing w:val="-4"/>
              </w:rPr>
              <w:t xml:space="preserve"> </w:t>
            </w:r>
            <w:r>
              <w:t>authority,</w:t>
            </w:r>
            <w:r>
              <w:rPr>
                <w:spacing w:val="-4"/>
              </w:rPr>
              <w:t xml:space="preserve"> </w:t>
            </w:r>
            <w:r>
              <w:t>and</w:t>
            </w:r>
            <w:r>
              <w:rPr>
                <w:spacing w:val="-4"/>
              </w:rPr>
              <w:t xml:space="preserve"> </w:t>
            </w:r>
            <w:r>
              <w:t>functions</w:t>
            </w:r>
            <w:r>
              <w:rPr>
                <w:spacing w:val="-4"/>
              </w:rPr>
              <w:t xml:space="preserve"> </w:t>
            </w:r>
            <w:r>
              <w:t>of programs or activities) limited to what is necessary?</w:t>
            </w:r>
          </w:p>
        </w:tc>
        <w:tc>
          <w:tcPr>
            <w:tcW w:w="810" w:type="dxa"/>
            <w:tcBorders>
              <w:top w:val="single" w:sz="6" w:space="0" w:color="000000"/>
              <w:left w:val="single" w:sz="6" w:space="0" w:color="000000"/>
              <w:bottom w:val="single" w:sz="6" w:space="0" w:color="000000"/>
              <w:right w:val="single" w:sz="6" w:space="0" w:color="000000"/>
            </w:tcBorders>
          </w:tcPr>
          <w:p w14:paraId="0DFDD1C2"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C3" w14:textId="77777777" w:rsidR="00046465" w:rsidRDefault="00046465">
            <w:pPr>
              <w:pStyle w:val="TableParagraph"/>
              <w:rPr>
                <w:rFonts w:ascii="Times New Roman"/>
              </w:rPr>
            </w:pPr>
          </w:p>
        </w:tc>
      </w:tr>
      <w:tr w:rsidR="00046465" w14:paraId="0DFDD1C8" w14:textId="77777777">
        <w:trPr>
          <w:trHeight w:val="1252"/>
        </w:trPr>
        <w:tc>
          <w:tcPr>
            <w:tcW w:w="7380" w:type="dxa"/>
            <w:tcBorders>
              <w:top w:val="single" w:sz="6" w:space="0" w:color="000000"/>
              <w:bottom w:val="single" w:sz="6" w:space="0" w:color="000000"/>
              <w:right w:val="single" w:sz="6" w:space="0" w:color="000000"/>
            </w:tcBorders>
          </w:tcPr>
          <w:p w14:paraId="0DFDD1C5" w14:textId="77777777" w:rsidR="00046465" w:rsidRDefault="008134EB">
            <w:pPr>
              <w:pStyle w:val="TableParagraph"/>
              <w:spacing w:before="121"/>
              <w:ind w:left="915" w:right="150" w:hanging="360"/>
            </w:pPr>
            <w:r>
              <w:t>3.</w:t>
            </w:r>
            <w:r>
              <w:rPr>
                <w:spacing w:val="80"/>
              </w:rPr>
              <w:t xml:space="preserve"> </w:t>
            </w:r>
            <w:r>
              <w:t>Were</w:t>
            </w:r>
            <w:r>
              <w:rPr>
                <w:spacing w:val="-4"/>
              </w:rPr>
              <w:t xml:space="preserve"> </w:t>
            </w:r>
            <w:r>
              <w:t>the</w:t>
            </w:r>
            <w:r>
              <w:rPr>
                <w:spacing w:val="-4"/>
              </w:rPr>
              <w:t xml:space="preserve"> </w:t>
            </w:r>
            <w:r>
              <w:t>auditor’s</w:t>
            </w:r>
            <w:r>
              <w:rPr>
                <w:spacing w:val="-4"/>
              </w:rPr>
              <w:t xml:space="preserve"> </w:t>
            </w:r>
            <w:r>
              <w:t>report</w:t>
            </w:r>
            <w:r>
              <w:rPr>
                <w:spacing w:val="-5"/>
              </w:rPr>
              <w:t xml:space="preserve"> </w:t>
            </w:r>
            <w:r>
              <w:t>and</w:t>
            </w:r>
            <w:r>
              <w:rPr>
                <w:spacing w:val="-4"/>
              </w:rPr>
              <w:t xml:space="preserve"> </w:t>
            </w:r>
            <w:r>
              <w:t>the</w:t>
            </w:r>
            <w:r>
              <w:rPr>
                <w:spacing w:val="-4"/>
              </w:rPr>
              <w:t xml:space="preserve"> </w:t>
            </w:r>
            <w:r>
              <w:t>management</w:t>
            </w:r>
            <w:r>
              <w:rPr>
                <w:spacing w:val="-4"/>
              </w:rPr>
              <w:t xml:space="preserve"> </w:t>
            </w:r>
            <w:r>
              <w:t>representation letter dated when all appropriate, sufficient audit evidence is obtained to</w:t>
            </w:r>
            <w:r>
              <w:rPr>
                <w:spacing w:val="-1"/>
              </w:rPr>
              <w:t xml:space="preserve"> </w:t>
            </w:r>
            <w:r>
              <w:t>support the</w:t>
            </w:r>
            <w:r>
              <w:rPr>
                <w:spacing w:val="-1"/>
              </w:rPr>
              <w:t xml:space="preserve"> </w:t>
            </w:r>
            <w:r>
              <w:t>opinion and</w:t>
            </w:r>
            <w:r>
              <w:rPr>
                <w:spacing w:val="-1"/>
              </w:rPr>
              <w:t xml:space="preserve"> </w:t>
            </w:r>
            <w:r>
              <w:t>all significant issues</w:t>
            </w:r>
            <w:r>
              <w:rPr>
                <w:spacing w:val="-1"/>
              </w:rPr>
              <w:t xml:space="preserve"> </w:t>
            </w:r>
            <w:r>
              <w:t>have been resolved? (FAM 550 and FAM 580)</w:t>
            </w:r>
          </w:p>
        </w:tc>
        <w:tc>
          <w:tcPr>
            <w:tcW w:w="810" w:type="dxa"/>
            <w:tcBorders>
              <w:top w:val="single" w:sz="6" w:space="0" w:color="000000"/>
              <w:left w:val="single" w:sz="6" w:space="0" w:color="000000"/>
              <w:bottom w:val="single" w:sz="6" w:space="0" w:color="000000"/>
              <w:right w:val="single" w:sz="6" w:space="0" w:color="000000"/>
            </w:tcBorders>
          </w:tcPr>
          <w:p w14:paraId="0DFDD1C6"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C7" w14:textId="77777777" w:rsidR="00046465" w:rsidRDefault="00046465">
            <w:pPr>
              <w:pStyle w:val="TableParagraph"/>
              <w:rPr>
                <w:rFonts w:ascii="Times New Roman"/>
              </w:rPr>
            </w:pPr>
          </w:p>
        </w:tc>
      </w:tr>
      <w:tr w:rsidR="00046465" w14:paraId="0DFDD1CC" w14:textId="77777777">
        <w:trPr>
          <w:trHeight w:val="1252"/>
        </w:trPr>
        <w:tc>
          <w:tcPr>
            <w:tcW w:w="7380" w:type="dxa"/>
            <w:tcBorders>
              <w:top w:val="single" w:sz="6" w:space="0" w:color="000000"/>
              <w:bottom w:val="single" w:sz="6" w:space="0" w:color="000000"/>
              <w:right w:val="single" w:sz="6" w:space="0" w:color="000000"/>
            </w:tcBorders>
          </w:tcPr>
          <w:p w14:paraId="0DFDD1C9" w14:textId="77777777" w:rsidR="00046465" w:rsidRDefault="008134EB">
            <w:pPr>
              <w:pStyle w:val="TableParagraph"/>
              <w:spacing w:before="119"/>
              <w:ind w:left="915" w:right="150" w:hanging="360"/>
            </w:pPr>
            <w:r>
              <w:t>4.</w:t>
            </w:r>
            <w:r>
              <w:rPr>
                <w:spacing w:val="80"/>
              </w:rPr>
              <w:t xml:space="preserve"> </w:t>
            </w:r>
            <w:r>
              <w:t>If the financial statements of a prior period are presented and have</w:t>
            </w:r>
            <w:r>
              <w:rPr>
                <w:spacing w:val="-4"/>
              </w:rPr>
              <w:t xml:space="preserve"> </w:t>
            </w:r>
            <w:r>
              <w:t>been</w:t>
            </w:r>
            <w:r>
              <w:rPr>
                <w:spacing w:val="-4"/>
              </w:rPr>
              <w:t xml:space="preserve"> </w:t>
            </w:r>
            <w:r>
              <w:t>audited</w:t>
            </w:r>
            <w:r>
              <w:rPr>
                <w:spacing w:val="-4"/>
              </w:rPr>
              <w:t xml:space="preserve"> </w:t>
            </w:r>
            <w:r>
              <w:t>by</w:t>
            </w:r>
            <w:r>
              <w:rPr>
                <w:spacing w:val="-4"/>
              </w:rPr>
              <w:t xml:space="preserve"> </w:t>
            </w:r>
            <w:r>
              <w:t>a</w:t>
            </w:r>
            <w:r>
              <w:rPr>
                <w:spacing w:val="-5"/>
              </w:rPr>
              <w:t xml:space="preserve"> </w:t>
            </w:r>
            <w:r>
              <w:t>predecessor</w:t>
            </w:r>
            <w:r>
              <w:rPr>
                <w:spacing w:val="-5"/>
              </w:rPr>
              <w:t xml:space="preserve"> </w:t>
            </w:r>
            <w:r>
              <w:t>auditor</w:t>
            </w:r>
            <w:r>
              <w:rPr>
                <w:spacing w:val="-4"/>
              </w:rPr>
              <w:t xml:space="preserve"> </w:t>
            </w:r>
            <w:r>
              <w:t>whose</w:t>
            </w:r>
            <w:r>
              <w:rPr>
                <w:spacing w:val="-4"/>
              </w:rPr>
              <w:t xml:space="preserve"> </w:t>
            </w:r>
            <w:r>
              <w:t>report</w:t>
            </w:r>
            <w:r>
              <w:rPr>
                <w:spacing w:val="-4"/>
              </w:rPr>
              <w:t xml:space="preserve"> </w:t>
            </w:r>
            <w:r>
              <w:t>is</w:t>
            </w:r>
            <w:r>
              <w:rPr>
                <w:spacing w:val="-5"/>
              </w:rPr>
              <w:t xml:space="preserve"> </w:t>
            </w:r>
            <w:r>
              <w:t>not presented, does the auditor’s report refer to the predecessor auditor’s report? (FAM 580)</w:t>
            </w:r>
          </w:p>
        </w:tc>
        <w:tc>
          <w:tcPr>
            <w:tcW w:w="810" w:type="dxa"/>
            <w:tcBorders>
              <w:top w:val="single" w:sz="6" w:space="0" w:color="000000"/>
              <w:left w:val="single" w:sz="6" w:space="0" w:color="000000"/>
              <w:bottom w:val="single" w:sz="6" w:space="0" w:color="000000"/>
              <w:right w:val="single" w:sz="6" w:space="0" w:color="000000"/>
            </w:tcBorders>
          </w:tcPr>
          <w:p w14:paraId="0DFDD1CA"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CB" w14:textId="77777777" w:rsidR="00046465" w:rsidRDefault="00046465">
            <w:pPr>
              <w:pStyle w:val="TableParagraph"/>
              <w:rPr>
                <w:rFonts w:ascii="Times New Roman"/>
              </w:rPr>
            </w:pPr>
          </w:p>
        </w:tc>
      </w:tr>
    </w:tbl>
    <w:p w14:paraId="0DFDD1CD"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1CE" w14:textId="77777777" w:rsidR="00046465" w:rsidRDefault="00046465">
      <w:pPr>
        <w:pStyle w:val="BodyText"/>
        <w:spacing w:before="9"/>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50"/>
      </w:tblGrid>
      <w:tr w:rsidR="00046465" w14:paraId="0DFDD1D6" w14:textId="77777777">
        <w:trPr>
          <w:trHeight w:val="998"/>
        </w:trPr>
        <w:tc>
          <w:tcPr>
            <w:tcW w:w="7380" w:type="dxa"/>
            <w:tcBorders>
              <w:right w:val="single" w:sz="8" w:space="0" w:color="000000"/>
            </w:tcBorders>
            <w:shd w:val="clear" w:color="auto" w:fill="A6A6A6"/>
          </w:tcPr>
          <w:p w14:paraId="0DFDD1CF" w14:textId="77777777" w:rsidR="00046465" w:rsidRDefault="00046465">
            <w:pPr>
              <w:pStyle w:val="TableParagraph"/>
              <w:rPr>
                <w:b/>
                <w:sz w:val="24"/>
              </w:rPr>
            </w:pPr>
          </w:p>
          <w:p w14:paraId="0DFDD1D0" w14:textId="77777777" w:rsidR="00046465" w:rsidRDefault="00046465">
            <w:pPr>
              <w:pStyle w:val="TableParagraph"/>
              <w:spacing w:before="72"/>
              <w:rPr>
                <w:b/>
                <w:sz w:val="24"/>
              </w:rPr>
            </w:pPr>
          </w:p>
          <w:p w14:paraId="0DFDD1D1" w14:textId="77777777" w:rsidR="00046465" w:rsidRDefault="008134EB">
            <w:pPr>
              <w:pStyle w:val="TableParagraph"/>
              <w:spacing w:before="1"/>
              <w:ind w:left="123"/>
              <w:rPr>
                <w:b/>
                <w:sz w:val="24"/>
              </w:rPr>
            </w:pPr>
            <w:r>
              <w:rPr>
                <w:b/>
                <w:sz w:val="24"/>
              </w:rPr>
              <w:t>Section</w:t>
            </w:r>
            <w:r>
              <w:rPr>
                <w:b/>
                <w:spacing w:val="-4"/>
                <w:sz w:val="24"/>
              </w:rPr>
              <w:t xml:space="preserve"> </w:t>
            </w:r>
            <w:r>
              <w:rPr>
                <w:b/>
                <w:sz w:val="24"/>
              </w:rPr>
              <w:t>IV:</w:t>
            </w:r>
            <w:r>
              <w:rPr>
                <w:b/>
                <w:spacing w:val="-4"/>
                <w:sz w:val="24"/>
              </w:rPr>
              <w:t xml:space="preserve"> </w:t>
            </w:r>
            <w:r>
              <w:rPr>
                <w:b/>
                <w:sz w:val="24"/>
              </w:rPr>
              <w:t>Communicating</w:t>
            </w:r>
            <w:r>
              <w:rPr>
                <w:b/>
                <w:spacing w:val="-4"/>
                <w:sz w:val="24"/>
              </w:rPr>
              <w:t xml:space="preserve"> </w:t>
            </w:r>
            <w:r>
              <w:rPr>
                <w:b/>
                <w:sz w:val="24"/>
              </w:rPr>
              <w:t>and</w:t>
            </w:r>
            <w:r>
              <w:rPr>
                <w:b/>
                <w:spacing w:val="-4"/>
                <w:sz w:val="24"/>
              </w:rPr>
              <w:t xml:space="preserve"> </w:t>
            </w:r>
            <w:r>
              <w:rPr>
                <w:b/>
                <w:sz w:val="24"/>
              </w:rPr>
              <w:t>Reporting</w:t>
            </w:r>
            <w:r>
              <w:rPr>
                <w:b/>
                <w:spacing w:val="-3"/>
                <w:sz w:val="24"/>
              </w:rPr>
              <w:t xml:space="preserve"> </w:t>
            </w:r>
            <w:r>
              <w:rPr>
                <w:b/>
                <w:spacing w:val="-2"/>
                <w:sz w:val="24"/>
              </w:rPr>
              <w:t>Results</w:t>
            </w:r>
          </w:p>
        </w:tc>
        <w:tc>
          <w:tcPr>
            <w:tcW w:w="810" w:type="dxa"/>
            <w:tcBorders>
              <w:left w:val="single" w:sz="8" w:space="0" w:color="000000"/>
              <w:right w:val="single" w:sz="8" w:space="0" w:color="000000"/>
            </w:tcBorders>
            <w:shd w:val="clear" w:color="auto" w:fill="A6A6A6"/>
          </w:tcPr>
          <w:p w14:paraId="0DFDD1D2" w14:textId="77777777" w:rsidR="00046465" w:rsidRDefault="008134EB">
            <w:pPr>
              <w:pStyle w:val="TableParagraph"/>
              <w:spacing w:before="120"/>
              <w:ind w:left="136" w:right="199"/>
              <w:jc w:val="both"/>
              <w:rPr>
                <w:b/>
              </w:rPr>
            </w:pPr>
            <w:r>
              <w:rPr>
                <w:b/>
                <w:spacing w:val="-4"/>
              </w:rPr>
              <w:t>Yes, No,* N/A</w:t>
            </w:r>
          </w:p>
        </w:tc>
        <w:tc>
          <w:tcPr>
            <w:tcW w:w="1350" w:type="dxa"/>
            <w:tcBorders>
              <w:left w:val="single" w:sz="8" w:space="0" w:color="000000"/>
            </w:tcBorders>
            <w:shd w:val="clear" w:color="auto" w:fill="A6A6A6"/>
          </w:tcPr>
          <w:p w14:paraId="0DFDD1D3" w14:textId="77777777" w:rsidR="00046465" w:rsidRDefault="00046465">
            <w:pPr>
              <w:pStyle w:val="TableParagraph"/>
              <w:rPr>
                <w:b/>
              </w:rPr>
            </w:pPr>
          </w:p>
          <w:p w14:paraId="0DFDD1D4" w14:textId="77777777" w:rsidR="00046465" w:rsidRDefault="00046465">
            <w:pPr>
              <w:pStyle w:val="TableParagraph"/>
              <w:spacing w:before="120"/>
              <w:rPr>
                <w:b/>
              </w:rPr>
            </w:pPr>
          </w:p>
          <w:p w14:paraId="0DFDD1D5"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1DA" w14:textId="77777777">
        <w:trPr>
          <w:trHeight w:val="746"/>
        </w:trPr>
        <w:tc>
          <w:tcPr>
            <w:tcW w:w="7380" w:type="dxa"/>
            <w:tcBorders>
              <w:bottom w:val="single" w:sz="6" w:space="0" w:color="000000"/>
              <w:right w:val="single" w:sz="6" w:space="0" w:color="000000"/>
            </w:tcBorders>
          </w:tcPr>
          <w:p w14:paraId="0DFDD1D7" w14:textId="77777777" w:rsidR="00046465" w:rsidRDefault="008134EB">
            <w:pPr>
              <w:pStyle w:val="TableParagraph"/>
              <w:spacing w:before="120"/>
              <w:ind w:left="915" w:hanging="360"/>
            </w:pPr>
            <w:r>
              <w:t>5.</w:t>
            </w:r>
            <w:r>
              <w:rPr>
                <w:spacing w:val="80"/>
              </w:rPr>
              <w:t xml:space="preserve"> </w:t>
            </w:r>
            <w:r>
              <w:t>When</w:t>
            </w:r>
            <w:r>
              <w:rPr>
                <w:spacing w:val="-4"/>
              </w:rPr>
              <w:t xml:space="preserve"> </w:t>
            </w:r>
            <w:r>
              <w:t>illegal</w:t>
            </w:r>
            <w:r>
              <w:rPr>
                <w:spacing w:val="-5"/>
              </w:rPr>
              <w:t xml:space="preserve"> </w:t>
            </w:r>
            <w:r>
              <w:t>acts</w:t>
            </w:r>
            <w:r>
              <w:rPr>
                <w:spacing w:val="-4"/>
              </w:rPr>
              <w:t xml:space="preserve"> </w:t>
            </w:r>
            <w:r>
              <w:t>occurred</w:t>
            </w:r>
            <w:r>
              <w:rPr>
                <w:spacing w:val="-4"/>
              </w:rPr>
              <w:t xml:space="preserve"> </w:t>
            </w:r>
            <w:r>
              <w:t>involving</w:t>
            </w:r>
            <w:r>
              <w:rPr>
                <w:spacing w:val="-5"/>
              </w:rPr>
              <w:t xml:space="preserve"> </w:t>
            </w:r>
            <w:r>
              <w:t>funds</w:t>
            </w:r>
            <w:r>
              <w:rPr>
                <w:spacing w:val="-4"/>
              </w:rPr>
              <w:t xml:space="preserve"> </w:t>
            </w:r>
            <w:r>
              <w:t>received</w:t>
            </w:r>
            <w:r>
              <w:rPr>
                <w:spacing w:val="-4"/>
              </w:rPr>
              <w:t xml:space="preserve"> </w:t>
            </w:r>
            <w:r>
              <w:t>from</w:t>
            </w:r>
            <w:r>
              <w:rPr>
                <w:spacing w:val="-5"/>
              </w:rPr>
              <w:t xml:space="preserve"> </w:t>
            </w:r>
            <w:r>
              <w:t>other governmental entities, did the auditor</w:t>
            </w:r>
          </w:p>
        </w:tc>
        <w:tc>
          <w:tcPr>
            <w:tcW w:w="810" w:type="dxa"/>
            <w:tcBorders>
              <w:left w:val="single" w:sz="6" w:space="0" w:color="000000"/>
              <w:bottom w:val="single" w:sz="6" w:space="0" w:color="000000"/>
              <w:right w:val="single" w:sz="6" w:space="0" w:color="000000"/>
            </w:tcBorders>
          </w:tcPr>
          <w:p w14:paraId="0DFDD1D8" w14:textId="77777777" w:rsidR="00046465" w:rsidRDefault="00046465">
            <w:pPr>
              <w:pStyle w:val="TableParagraph"/>
              <w:rPr>
                <w:rFonts w:ascii="Times New Roman"/>
              </w:rPr>
            </w:pPr>
          </w:p>
        </w:tc>
        <w:tc>
          <w:tcPr>
            <w:tcW w:w="1350" w:type="dxa"/>
            <w:tcBorders>
              <w:left w:val="single" w:sz="6" w:space="0" w:color="000000"/>
              <w:bottom w:val="single" w:sz="6" w:space="0" w:color="000000"/>
            </w:tcBorders>
          </w:tcPr>
          <w:p w14:paraId="0DFDD1D9" w14:textId="77777777" w:rsidR="00046465" w:rsidRDefault="00046465">
            <w:pPr>
              <w:pStyle w:val="TableParagraph"/>
              <w:rPr>
                <w:rFonts w:ascii="Times New Roman"/>
              </w:rPr>
            </w:pPr>
          </w:p>
        </w:tc>
      </w:tr>
      <w:tr w:rsidR="00046465" w14:paraId="0DFDD1DE" w14:textId="77777777">
        <w:trPr>
          <w:trHeight w:val="745"/>
        </w:trPr>
        <w:tc>
          <w:tcPr>
            <w:tcW w:w="7380" w:type="dxa"/>
            <w:tcBorders>
              <w:top w:val="single" w:sz="6" w:space="0" w:color="000000"/>
              <w:bottom w:val="single" w:sz="6" w:space="0" w:color="000000"/>
              <w:right w:val="single" w:sz="6" w:space="0" w:color="000000"/>
            </w:tcBorders>
          </w:tcPr>
          <w:p w14:paraId="0DFDD1DB" w14:textId="77777777" w:rsidR="00046465" w:rsidRDefault="008134EB">
            <w:pPr>
              <w:pStyle w:val="TableParagraph"/>
              <w:spacing w:before="119"/>
              <w:ind w:left="1334" w:right="203" w:hanging="360"/>
            </w:pPr>
            <w:r>
              <w:t>a.</w:t>
            </w:r>
            <w:r>
              <w:rPr>
                <w:spacing w:val="80"/>
              </w:rPr>
              <w:t xml:space="preserve"> </w:t>
            </w:r>
            <w:r>
              <w:t>satisfy itself that the audited entity notified the proper officials</w:t>
            </w:r>
            <w:r>
              <w:rPr>
                <w:spacing w:val="-5"/>
              </w:rPr>
              <w:t xml:space="preserve"> </w:t>
            </w:r>
            <w:r>
              <w:t>of</w:t>
            </w:r>
            <w:r>
              <w:rPr>
                <w:spacing w:val="-5"/>
              </w:rPr>
              <w:t xml:space="preserve"> </w:t>
            </w:r>
            <w:r>
              <w:t>those</w:t>
            </w:r>
            <w:r>
              <w:rPr>
                <w:spacing w:val="-5"/>
              </w:rPr>
              <w:t xml:space="preserve"> </w:t>
            </w:r>
            <w:r>
              <w:t>entities</w:t>
            </w:r>
            <w:r>
              <w:rPr>
                <w:spacing w:val="-6"/>
              </w:rPr>
              <w:t xml:space="preserve"> </w:t>
            </w:r>
            <w:r>
              <w:t>within</w:t>
            </w:r>
            <w:r>
              <w:rPr>
                <w:spacing w:val="-5"/>
              </w:rPr>
              <w:t xml:space="preserve"> </w:t>
            </w:r>
            <w:r>
              <w:t>a</w:t>
            </w:r>
            <w:r>
              <w:rPr>
                <w:spacing w:val="-5"/>
              </w:rPr>
              <w:t xml:space="preserve"> </w:t>
            </w:r>
            <w:r>
              <w:t>reasonable</w:t>
            </w:r>
            <w:r>
              <w:rPr>
                <w:spacing w:val="-5"/>
              </w:rPr>
              <w:t xml:space="preserve"> </w:t>
            </w:r>
            <w:r>
              <w:t>time</w:t>
            </w:r>
            <w:r>
              <w:rPr>
                <w:spacing w:val="-5"/>
              </w:rPr>
              <w:t xml:space="preserve"> </w:t>
            </w:r>
            <w:r>
              <w:t>and</w:t>
            </w:r>
          </w:p>
        </w:tc>
        <w:tc>
          <w:tcPr>
            <w:tcW w:w="810" w:type="dxa"/>
            <w:tcBorders>
              <w:top w:val="single" w:sz="6" w:space="0" w:color="000000"/>
              <w:left w:val="single" w:sz="6" w:space="0" w:color="000000"/>
              <w:bottom w:val="single" w:sz="6" w:space="0" w:color="000000"/>
              <w:right w:val="single" w:sz="6" w:space="0" w:color="000000"/>
            </w:tcBorders>
          </w:tcPr>
          <w:p w14:paraId="0DFDD1DC"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DD" w14:textId="77777777" w:rsidR="00046465" w:rsidRDefault="00046465">
            <w:pPr>
              <w:pStyle w:val="TableParagraph"/>
              <w:rPr>
                <w:rFonts w:ascii="Times New Roman"/>
              </w:rPr>
            </w:pPr>
          </w:p>
        </w:tc>
      </w:tr>
      <w:tr w:rsidR="00046465" w14:paraId="0DFDD1E2" w14:textId="77777777">
        <w:trPr>
          <w:trHeight w:val="999"/>
        </w:trPr>
        <w:tc>
          <w:tcPr>
            <w:tcW w:w="7380" w:type="dxa"/>
            <w:tcBorders>
              <w:top w:val="single" w:sz="6" w:space="0" w:color="000000"/>
              <w:bottom w:val="single" w:sz="6" w:space="0" w:color="000000"/>
              <w:right w:val="single" w:sz="6" w:space="0" w:color="000000"/>
            </w:tcBorders>
          </w:tcPr>
          <w:p w14:paraId="0DFDD1DF" w14:textId="77777777" w:rsidR="00046465" w:rsidRDefault="008134EB">
            <w:pPr>
              <w:pStyle w:val="TableParagraph"/>
              <w:spacing w:before="119"/>
              <w:ind w:left="1334" w:hanging="360"/>
            </w:pPr>
            <w:r>
              <w:t>b.</w:t>
            </w:r>
            <w:r>
              <w:rPr>
                <w:spacing w:val="80"/>
              </w:rPr>
              <w:t xml:space="preserve"> </w:t>
            </w:r>
            <w:r>
              <w:t>report</w:t>
            </w:r>
            <w:r>
              <w:rPr>
                <w:spacing w:val="-4"/>
              </w:rPr>
              <w:t xml:space="preserve"> </w:t>
            </w:r>
            <w:r>
              <w:t>these</w:t>
            </w:r>
            <w:r>
              <w:rPr>
                <w:spacing w:val="-5"/>
              </w:rPr>
              <w:t xml:space="preserve"> </w:t>
            </w:r>
            <w:r>
              <w:t>acts</w:t>
            </w:r>
            <w:r>
              <w:rPr>
                <w:spacing w:val="-4"/>
              </w:rPr>
              <w:t xml:space="preserve"> </w:t>
            </w:r>
            <w:r>
              <w:t>to</w:t>
            </w:r>
            <w:r>
              <w:rPr>
                <w:spacing w:val="-4"/>
              </w:rPr>
              <w:t xml:space="preserve"> </w:t>
            </w:r>
            <w:r>
              <w:t>the</w:t>
            </w:r>
            <w:r>
              <w:rPr>
                <w:spacing w:val="-5"/>
              </w:rPr>
              <w:t xml:space="preserve"> </w:t>
            </w:r>
            <w:r>
              <w:t>officials</w:t>
            </w:r>
            <w:r>
              <w:rPr>
                <w:spacing w:val="-4"/>
              </w:rPr>
              <w:t xml:space="preserve"> </w:t>
            </w:r>
            <w:r>
              <w:t>of</w:t>
            </w:r>
            <w:r>
              <w:rPr>
                <w:spacing w:val="-4"/>
              </w:rPr>
              <w:t xml:space="preserve"> </w:t>
            </w:r>
            <w:r>
              <w:t>those</w:t>
            </w:r>
            <w:r>
              <w:rPr>
                <w:spacing w:val="-4"/>
              </w:rPr>
              <w:t xml:space="preserve"> </w:t>
            </w:r>
            <w:r>
              <w:t>other</w:t>
            </w:r>
            <w:r>
              <w:rPr>
                <w:spacing w:val="-4"/>
              </w:rPr>
              <w:t xml:space="preserve"> </w:t>
            </w:r>
            <w:r>
              <w:t>governmental entities if the entity did not, or was unable to do so because the top official was involved? (GAGAS (2018) 6.53)</w:t>
            </w:r>
          </w:p>
        </w:tc>
        <w:tc>
          <w:tcPr>
            <w:tcW w:w="810" w:type="dxa"/>
            <w:tcBorders>
              <w:top w:val="single" w:sz="6" w:space="0" w:color="000000"/>
              <w:left w:val="single" w:sz="6" w:space="0" w:color="000000"/>
              <w:bottom w:val="single" w:sz="6" w:space="0" w:color="000000"/>
              <w:right w:val="single" w:sz="6" w:space="0" w:color="000000"/>
            </w:tcBorders>
          </w:tcPr>
          <w:p w14:paraId="0DFDD1E0"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E1" w14:textId="77777777" w:rsidR="00046465" w:rsidRDefault="00046465">
            <w:pPr>
              <w:pStyle w:val="TableParagraph"/>
              <w:rPr>
                <w:rFonts w:ascii="Times New Roman"/>
              </w:rPr>
            </w:pPr>
          </w:p>
        </w:tc>
      </w:tr>
      <w:tr w:rsidR="00046465" w14:paraId="0DFDD1E6" w14:textId="77777777">
        <w:trPr>
          <w:trHeight w:val="492"/>
        </w:trPr>
        <w:tc>
          <w:tcPr>
            <w:tcW w:w="7380" w:type="dxa"/>
            <w:tcBorders>
              <w:top w:val="single" w:sz="6" w:space="0" w:color="000000"/>
              <w:bottom w:val="single" w:sz="6" w:space="0" w:color="000000"/>
              <w:right w:val="single" w:sz="6" w:space="0" w:color="000000"/>
            </w:tcBorders>
          </w:tcPr>
          <w:p w14:paraId="0DFDD1E3" w14:textId="77777777" w:rsidR="00046465" w:rsidRDefault="008134EB">
            <w:pPr>
              <w:pStyle w:val="TableParagraph"/>
              <w:spacing w:before="121"/>
              <w:ind w:left="555"/>
            </w:pPr>
            <w:r>
              <w:t>6.</w:t>
            </w:r>
            <w:r>
              <w:rPr>
                <w:spacing w:val="73"/>
                <w:w w:val="150"/>
              </w:rPr>
              <w:t xml:space="preserve"> </w:t>
            </w:r>
            <w:r>
              <w:t>Does</w:t>
            </w:r>
            <w:r>
              <w:rPr>
                <w:spacing w:val="-3"/>
              </w:rPr>
              <w:t xml:space="preserve"> </w:t>
            </w:r>
            <w:r>
              <w:t>the</w:t>
            </w:r>
            <w:r>
              <w:rPr>
                <w:spacing w:val="-4"/>
              </w:rPr>
              <w:t xml:space="preserve"> </w:t>
            </w:r>
            <w:r>
              <w:t>auditor’s</w:t>
            </w:r>
            <w:r>
              <w:rPr>
                <w:spacing w:val="-4"/>
              </w:rPr>
              <w:t xml:space="preserve"> </w:t>
            </w:r>
            <w:r>
              <w:t>report</w:t>
            </w:r>
            <w:r>
              <w:rPr>
                <w:spacing w:val="-4"/>
              </w:rPr>
              <w:t xml:space="preserve"> </w:t>
            </w:r>
            <w:r>
              <w:rPr>
                <w:spacing w:val="-2"/>
              </w:rPr>
              <w:t>include</w:t>
            </w:r>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14:paraId="0DFDD1E4"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shd w:val="clear" w:color="auto" w:fill="BEBEBE"/>
          </w:tcPr>
          <w:p w14:paraId="0DFDD1E5" w14:textId="77777777" w:rsidR="00046465" w:rsidRDefault="00046465">
            <w:pPr>
              <w:pStyle w:val="TableParagraph"/>
              <w:rPr>
                <w:rFonts w:ascii="Times New Roman"/>
              </w:rPr>
            </w:pPr>
          </w:p>
        </w:tc>
      </w:tr>
      <w:tr w:rsidR="00046465" w14:paraId="0DFDD1EA" w14:textId="77777777">
        <w:trPr>
          <w:trHeight w:val="747"/>
        </w:trPr>
        <w:tc>
          <w:tcPr>
            <w:tcW w:w="7380" w:type="dxa"/>
            <w:tcBorders>
              <w:top w:val="single" w:sz="6" w:space="0" w:color="000000"/>
              <w:bottom w:val="single" w:sz="6" w:space="0" w:color="000000"/>
              <w:right w:val="single" w:sz="6" w:space="0" w:color="000000"/>
            </w:tcBorders>
          </w:tcPr>
          <w:p w14:paraId="0DFDD1E7" w14:textId="77777777" w:rsidR="00046465" w:rsidRDefault="008134EB">
            <w:pPr>
              <w:pStyle w:val="TableParagraph"/>
              <w:tabs>
                <w:tab w:val="left" w:pos="1334"/>
              </w:tabs>
              <w:spacing w:before="121"/>
              <w:ind w:left="1303" w:right="1024" w:hanging="360"/>
            </w:pPr>
            <w:r>
              <w:rPr>
                <w:spacing w:val="-6"/>
              </w:rPr>
              <w:t>a.</w:t>
            </w:r>
            <w:r>
              <w:tab/>
            </w:r>
            <w:r>
              <w:tab/>
              <w:t>identification</w:t>
            </w:r>
            <w:r>
              <w:rPr>
                <w:spacing w:val="-9"/>
              </w:rPr>
              <w:t xml:space="preserve"> </w:t>
            </w:r>
            <w:r>
              <w:t>of</w:t>
            </w:r>
            <w:r>
              <w:rPr>
                <w:spacing w:val="-8"/>
              </w:rPr>
              <w:t xml:space="preserve"> </w:t>
            </w:r>
            <w:r>
              <w:t>significant</w:t>
            </w:r>
            <w:r>
              <w:rPr>
                <w:spacing w:val="-8"/>
              </w:rPr>
              <w:t xml:space="preserve"> </w:t>
            </w:r>
            <w:r>
              <w:t>deficiencies</w:t>
            </w:r>
            <w:r>
              <w:rPr>
                <w:spacing w:val="-8"/>
              </w:rPr>
              <w:t xml:space="preserve"> </w:t>
            </w:r>
            <w:r>
              <w:t>and</w:t>
            </w:r>
            <w:r>
              <w:rPr>
                <w:spacing w:val="-8"/>
              </w:rPr>
              <w:t xml:space="preserve"> </w:t>
            </w:r>
            <w:r>
              <w:t>material weaknesses (GAGAS (2018) 6.40);</w:t>
            </w:r>
          </w:p>
        </w:tc>
        <w:tc>
          <w:tcPr>
            <w:tcW w:w="810" w:type="dxa"/>
            <w:tcBorders>
              <w:top w:val="single" w:sz="6" w:space="0" w:color="000000"/>
              <w:left w:val="single" w:sz="6" w:space="0" w:color="000000"/>
              <w:bottom w:val="single" w:sz="6" w:space="0" w:color="000000"/>
              <w:right w:val="single" w:sz="6" w:space="0" w:color="000000"/>
            </w:tcBorders>
          </w:tcPr>
          <w:p w14:paraId="0DFDD1E8"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E9" w14:textId="77777777" w:rsidR="00046465" w:rsidRDefault="00046465">
            <w:pPr>
              <w:pStyle w:val="TableParagraph"/>
              <w:rPr>
                <w:rFonts w:ascii="Times New Roman"/>
              </w:rPr>
            </w:pPr>
          </w:p>
        </w:tc>
      </w:tr>
      <w:tr w:rsidR="00046465" w14:paraId="0DFDD1EE" w14:textId="77777777">
        <w:trPr>
          <w:trHeight w:val="1504"/>
        </w:trPr>
        <w:tc>
          <w:tcPr>
            <w:tcW w:w="7380" w:type="dxa"/>
            <w:tcBorders>
              <w:top w:val="single" w:sz="6" w:space="0" w:color="000000"/>
              <w:bottom w:val="single" w:sz="6" w:space="0" w:color="000000"/>
              <w:right w:val="single" w:sz="6" w:space="0" w:color="000000"/>
            </w:tcBorders>
          </w:tcPr>
          <w:p w14:paraId="0DFDD1EB" w14:textId="77777777" w:rsidR="00046465" w:rsidRDefault="008134EB">
            <w:pPr>
              <w:pStyle w:val="TableParagraph"/>
              <w:spacing w:before="119"/>
              <w:ind w:left="1303" w:hanging="360"/>
            </w:pPr>
            <w:r>
              <w:t>b.</w:t>
            </w:r>
            <w:r>
              <w:rPr>
                <w:spacing w:val="80"/>
              </w:rPr>
              <w:t xml:space="preserve"> </w:t>
            </w:r>
            <w:r>
              <w:t>[for</w:t>
            </w:r>
            <w:r>
              <w:rPr>
                <w:spacing w:val="-4"/>
              </w:rPr>
              <w:t xml:space="preserve"> </w:t>
            </w:r>
            <w:r>
              <w:t>audits</w:t>
            </w:r>
            <w:r>
              <w:rPr>
                <w:spacing w:val="-4"/>
              </w:rPr>
              <w:t xml:space="preserve"> </w:t>
            </w:r>
            <w:r>
              <w:t>where</w:t>
            </w:r>
            <w:r>
              <w:rPr>
                <w:spacing w:val="-4"/>
              </w:rPr>
              <w:t xml:space="preserve"> </w:t>
            </w:r>
            <w:r>
              <w:t>no</w:t>
            </w:r>
            <w:r>
              <w:rPr>
                <w:spacing w:val="-4"/>
              </w:rPr>
              <w:t xml:space="preserve"> </w:t>
            </w:r>
            <w:r>
              <w:t>opinion</w:t>
            </w:r>
            <w:r>
              <w:rPr>
                <w:spacing w:val="-4"/>
              </w:rPr>
              <w:t xml:space="preserve"> </w:t>
            </w:r>
            <w:r>
              <w:t>on</w:t>
            </w:r>
            <w:r>
              <w:rPr>
                <w:spacing w:val="-4"/>
              </w:rPr>
              <w:t xml:space="preserve"> </w:t>
            </w:r>
            <w:r>
              <w:t>internal</w:t>
            </w:r>
            <w:r>
              <w:rPr>
                <w:spacing w:val="-4"/>
              </w:rPr>
              <w:t xml:space="preserve"> </w:t>
            </w:r>
            <w:r>
              <w:t>control</w:t>
            </w:r>
            <w:r>
              <w:rPr>
                <w:spacing w:val="-4"/>
              </w:rPr>
              <w:t xml:space="preserve"> </w:t>
            </w:r>
            <w:r>
              <w:t>over</w:t>
            </w:r>
            <w:r>
              <w:rPr>
                <w:spacing w:val="-4"/>
              </w:rPr>
              <w:t xml:space="preserve"> </w:t>
            </w:r>
            <w:r>
              <w:t>financial reporting is expressed] a statement that the auditor did not identify any deficiencies in internal control over financial reporting</w:t>
            </w:r>
            <w:r>
              <w:rPr>
                <w:spacing w:val="-5"/>
              </w:rPr>
              <w:t xml:space="preserve"> </w:t>
            </w:r>
            <w:r>
              <w:t>that</w:t>
            </w:r>
            <w:r>
              <w:rPr>
                <w:spacing w:val="-5"/>
              </w:rPr>
              <w:t xml:space="preserve"> </w:t>
            </w:r>
            <w:r>
              <w:t>were</w:t>
            </w:r>
            <w:r>
              <w:rPr>
                <w:spacing w:val="-5"/>
              </w:rPr>
              <w:t xml:space="preserve"> </w:t>
            </w:r>
            <w:r>
              <w:t>considered</w:t>
            </w:r>
            <w:r>
              <w:rPr>
                <w:spacing w:val="-5"/>
              </w:rPr>
              <w:t xml:space="preserve"> </w:t>
            </w:r>
            <w:r>
              <w:t>to</w:t>
            </w:r>
            <w:r>
              <w:rPr>
                <w:spacing w:val="-5"/>
              </w:rPr>
              <w:t xml:space="preserve"> </w:t>
            </w:r>
            <w:r>
              <w:t>be</w:t>
            </w:r>
            <w:r>
              <w:rPr>
                <w:spacing w:val="-5"/>
              </w:rPr>
              <w:t xml:space="preserve"> </w:t>
            </w:r>
            <w:r>
              <w:t>material</w:t>
            </w:r>
            <w:r>
              <w:rPr>
                <w:spacing w:val="-5"/>
              </w:rPr>
              <w:t xml:space="preserve"> </w:t>
            </w:r>
            <w:r>
              <w:t>weaknesses,</w:t>
            </w:r>
            <w:r>
              <w:rPr>
                <w:spacing w:val="-5"/>
              </w:rPr>
              <w:t xml:space="preserve"> </w:t>
            </w:r>
            <w:r>
              <w:t>if such were true (OMB audit guidance); and</w:t>
            </w:r>
          </w:p>
        </w:tc>
        <w:tc>
          <w:tcPr>
            <w:tcW w:w="810" w:type="dxa"/>
            <w:tcBorders>
              <w:top w:val="single" w:sz="6" w:space="0" w:color="000000"/>
              <w:left w:val="single" w:sz="6" w:space="0" w:color="000000"/>
              <w:bottom w:val="single" w:sz="6" w:space="0" w:color="000000"/>
              <w:right w:val="single" w:sz="6" w:space="0" w:color="000000"/>
            </w:tcBorders>
          </w:tcPr>
          <w:p w14:paraId="0DFDD1EC"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ED" w14:textId="77777777" w:rsidR="00046465" w:rsidRDefault="00046465">
            <w:pPr>
              <w:pStyle w:val="TableParagraph"/>
              <w:rPr>
                <w:rFonts w:ascii="Times New Roman"/>
              </w:rPr>
            </w:pPr>
          </w:p>
        </w:tc>
      </w:tr>
      <w:tr w:rsidR="00046465" w14:paraId="0DFDD1F2" w14:textId="77777777">
        <w:trPr>
          <w:trHeight w:val="1252"/>
        </w:trPr>
        <w:tc>
          <w:tcPr>
            <w:tcW w:w="7380" w:type="dxa"/>
            <w:tcBorders>
              <w:top w:val="single" w:sz="6" w:space="0" w:color="000000"/>
              <w:bottom w:val="single" w:sz="6" w:space="0" w:color="000000"/>
              <w:right w:val="single" w:sz="6" w:space="0" w:color="000000"/>
            </w:tcBorders>
          </w:tcPr>
          <w:p w14:paraId="0DFDD1EF" w14:textId="77777777" w:rsidR="00046465" w:rsidRDefault="008134EB">
            <w:pPr>
              <w:pStyle w:val="TableParagraph"/>
              <w:spacing w:before="119"/>
              <w:ind w:left="1303" w:right="179" w:hanging="360"/>
            </w:pPr>
            <w:r>
              <w:t>c.</w:t>
            </w:r>
            <w:r>
              <w:rPr>
                <w:spacing w:val="80"/>
              </w:rPr>
              <w:t xml:space="preserve"> </w:t>
            </w:r>
            <w:r>
              <w:t>presentation</w:t>
            </w:r>
            <w:r>
              <w:rPr>
                <w:spacing w:val="-4"/>
              </w:rPr>
              <w:t xml:space="preserve"> </w:t>
            </w:r>
            <w:r>
              <w:t>of</w:t>
            </w:r>
            <w:r>
              <w:rPr>
                <w:spacing w:val="-3"/>
              </w:rPr>
              <w:t xml:space="preserve"> </w:t>
            </w:r>
            <w:r>
              <w:t>all</w:t>
            </w:r>
            <w:r>
              <w:rPr>
                <w:spacing w:val="-3"/>
              </w:rPr>
              <w:t xml:space="preserve"> </w:t>
            </w:r>
            <w:r>
              <w:t>identified</w:t>
            </w:r>
            <w:r>
              <w:rPr>
                <w:spacing w:val="-3"/>
              </w:rPr>
              <w:t xml:space="preserve"> </w:t>
            </w:r>
            <w:r>
              <w:t>(1)</w:t>
            </w:r>
            <w:r>
              <w:rPr>
                <w:spacing w:val="-3"/>
              </w:rPr>
              <w:t xml:space="preserve"> </w:t>
            </w:r>
            <w:r>
              <w:t>instances</w:t>
            </w:r>
            <w:r>
              <w:rPr>
                <w:spacing w:val="-3"/>
              </w:rPr>
              <w:t xml:space="preserve"> </w:t>
            </w:r>
            <w:r>
              <w:t>of</w:t>
            </w:r>
            <w:r>
              <w:rPr>
                <w:spacing w:val="-3"/>
              </w:rPr>
              <w:t xml:space="preserve"> </w:t>
            </w:r>
            <w:r>
              <w:t>fraud</w:t>
            </w:r>
            <w:r>
              <w:rPr>
                <w:spacing w:val="-4"/>
              </w:rPr>
              <w:t xml:space="preserve"> </w:t>
            </w:r>
            <w:r>
              <w:t>and</w:t>
            </w:r>
            <w:r>
              <w:rPr>
                <w:spacing w:val="-3"/>
              </w:rPr>
              <w:t xml:space="preserve"> </w:t>
            </w:r>
            <w:r>
              <w:t>illegal acts that are more than inconsequential and (2) material violations of provisions of contracts or grant agreements? (GAGAS (2018) 6.41)</w:t>
            </w:r>
          </w:p>
        </w:tc>
        <w:tc>
          <w:tcPr>
            <w:tcW w:w="810" w:type="dxa"/>
            <w:tcBorders>
              <w:top w:val="single" w:sz="6" w:space="0" w:color="000000"/>
              <w:left w:val="single" w:sz="6" w:space="0" w:color="000000"/>
              <w:bottom w:val="single" w:sz="6" w:space="0" w:color="000000"/>
              <w:right w:val="single" w:sz="6" w:space="0" w:color="000000"/>
            </w:tcBorders>
          </w:tcPr>
          <w:p w14:paraId="0DFDD1F0"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F1" w14:textId="77777777" w:rsidR="00046465" w:rsidRDefault="00046465">
            <w:pPr>
              <w:pStyle w:val="TableParagraph"/>
              <w:rPr>
                <w:rFonts w:ascii="Times New Roman"/>
              </w:rPr>
            </w:pPr>
          </w:p>
        </w:tc>
      </w:tr>
      <w:tr w:rsidR="00046465" w14:paraId="0DFDD1F6" w14:textId="77777777">
        <w:trPr>
          <w:trHeight w:val="998"/>
        </w:trPr>
        <w:tc>
          <w:tcPr>
            <w:tcW w:w="7380" w:type="dxa"/>
            <w:tcBorders>
              <w:top w:val="single" w:sz="6" w:space="0" w:color="000000"/>
              <w:bottom w:val="single" w:sz="6" w:space="0" w:color="000000"/>
              <w:right w:val="single" w:sz="6" w:space="0" w:color="000000"/>
            </w:tcBorders>
          </w:tcPr>
          <w:p w14:paraId="0DFDD1F3" w14:textId="77777777" w:rsidR="00046465" w:rsidRDefault="008134EB">
            <w:pPr>
              <w:pStyle w:val="TableParagraph"/>
              <w:spacing w:before="119"/>
              <w:ind w:left="915" w:right="203" w:hanging="360"/>
            </w:pPr>
            <w:r>
              <w:t>7.</w:t>
            </w:r>
            <w:r>
              <w:rPr>
                <w:spacing w:val="80"/>
              </w:rPr>
              <w:t xml:space="preserve"> </w:t>
            </w:r>
            <w:r>
              <w:t>When</w:t>
            </w:r>
            <w:r>
              <w:rPr>
                <w:spacing w:val="-4"/>
              </w:rPr>
              <w:t xml:space="preserve"> </w:t>
            </w:r>
            <w:r>
              <w:t>appropriate,</w:t>
            </w:r>
            <w:r>
              <w:rPr>
                <w:spacing w:val="-4"/>
              </w:rPr>
              <w:t xml:space="preserve"> </w:t>
            </w:r>
            <w:r>
              <w:t>did</w:t>
            </w:r>
            <w:r>
              <w:rPr>
                <w:spacing w:val="-4"/>
              </w:rPr>
              <w:t xml:space="preserve"> </w:t>
            </w:r>
            <w:r>
              <w:t>the</w:t>
            </w:r>
            <w:r>
              <w:rPr>
                <w:spacing w:val="-4"/>
              </w:rPr>
              <w:t xml:space="preserve"> </w:t>
            </w:r>
            <w:r>
              <w:t>auditor</w:t>
            </w:r>
            <w:r>
              <w:rPr>
                <w:spacing w:val="-4"/>
              </w:rPr>
              <w:t xml:space="preserve"> </w:t>
            </w:r>
            <w:r>
              <w:t>report</w:t>
            </w:r>
            <w:r>
              <w:rPr>
                <w:spacing w:val="-4"/>
              </w:rPr>
              <w:t xml:space="preserve"> </w:t>
            </w:r>
            <w:r>
              <w:t>directly</w:t>
            </w:r>
            <w:r>
              <w:rPr>
                <w:spacing w:val="-6"/>
              </w:rPr>
              <w:t xml:space="preserve"> </w:t>
            </w:r>
            <w:r>
              <w:t>to</w:t>
            </w:r>
            <w:r>
              <w:rPr>
                <w:spacing w:val="-4"/>
              </w:rPr>
              <w:t xml:space="preserve"> </w:t>
            </w:r>
            <w:r>
              <w:t>outside parties on fraud, illegal acts, or violations of provisions of contracts or grant agreements? (GAGAS (2018) 6.53)</w:t>
            </w:r>
          </w:p>
        </w:tc>
        <w:tc>
          <w:tcPr>
            <w:tcW w:w="810" w:type="dxa"/>
            <w:tcBorders>
              <w:top w:val="single" w:sz="6" w:space="0" w:color="000000"/>
              <w:left w:val="single" w:sz="6" w:space="0" w:color="000000"/>
              <w:bottom w:val="single" w:sz="6" w:space="0" w:color="000000"/>
              <w:right w:val="single" w:sz="6" w:space="0" w:color="000000"/>
            </w:tcBorders>
          </w:tcPr>
          <w:p w14:paraId="0DFDD1F4"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F5" w14:textId="77777777" w:rsidR="00046465" w:rsidRDefault="00046465">
            <w:pPr>
              <w:pStyle w:val="TableParagraph"/>
              <w:rPr>
                <w:rFonts w:ascii="Times New Roman"/>
              </w:rPr>
            </w:pPr>
          </w:p>
        </w:tc>
      </w:tr>
      <w:tr w:rsidR="00046465" w14:paraId="0DFDD1FA" w14:textId="77777777">
        <w:trPr>
          <w:trHeight w:val="1757"/>
        </w:trPr>
        <w:tc>
          <w:tcPr>
            <w:tcW w:w="7380" w:type="dxa"/>
            <w:tcBorders>
              <w:top w:val="single" w:sz="6" w:space="0" w:color="000000"/>
              <w:bottom w:val="single" w:sz="6" w:space="0" w:color="000000"/>
              <w:right w:val="single" w:sz="6" w:space="0" w:color="000000"/>
            </w:tcBorders>
          </w:tcPr>
          <w:p w14:paraId="0DFDD1F7" w14:textId="77777777" w:rsidR="00046465" w:rsidRDefault="008134EB">
            <w:pPr>
              <w:pStyle w:val="TableParagraph"/>
              <w:spacing w:before="119"/>
              <w:ind w:left="915" w:right="391" w:hanging="360"/>
            </w:pPr>
            <w:r>
              <w:t>8.</w:t>
            </w:r>
            <w:r>
              <w:rPr>
                <w:spacing w:val="80"/>
              </w:rPr>
              <w:t xml:space="preserve"> </w:t>
            </w:r>
            <w:r>
              <w:t>Did the auditor consider the status of all known significant findings</w:t>
            </w:r>
            <w:r>
              <w:rPr>
                <w:spacing w:val="-5"/>
              </w:rPr>
              <w:t xml:space="preserve"> </w:t>
            </w:r>
            <w:r>
              <w:t>and</w:t>
            </w:r>
            <w:r>
              <w:rPr>
                <w:spacing w:val="-6"/>
              </w:rPr>
              <w:t xml:space="preserve"> </w:t>
            </w:r>
            <w:r>
              <w:t>recommendations</w:t>
            </w:r>
            <w:r>
              <w:rPr>
                <w:spacing w:val="-5"/>
              </w:rPr>
              <w:t xml:space="preserve"> </w:t>
            </w:r>
            <w:r>
              <w:t>from</w:t>
            </w:r>
            <w:r>
              <w:rPr>
                <w:spacing w:val="-6"/>
              </w:rPr>
              <w:t xml:space="preserve"> </w:t>
            </w:r>
            <w:r>
              <w:t>prior</w:t>
            </w:r>
            <w:r>
              <w:rPr>
                <w:spacing w:val="-5"/>
              </w:rPr>
              <w:t xml:space="preserve"> </w:t>
            </w:r>
            <w:r>
              <w:t>audits</w:t>
            </w:r>
            <w:r>
              <w:rPr>
                <w:spacing w:val="-5"/>
              </w:rPr>
              <w:t xml:space="preserve"> </w:t>
            </w:r>
            <w:r>
              <w:t>that</w:t>
            </w:r>
            <w:r>
              <w:rPr>
                <w:spacing w:val="-5"/>
              </w:rPr>
              <w:t xml:space="preserve"> </w:t>
            </w:r>
            <w:r>
              <w:t>affect</w:t>
            </w:r>
            <w:r>
              <w:rPr>
                <w:spacing w:val="-5"/>
              </w:rPr>
              <w:t xml:space="preserve"> </w:t>
            </w:r>
            <w:r>
              <w:t xml:space="preserve">the current-year report, including whether any failure to correct previously identified deficiencies in internal control is a significant deficiency or material weakness? (GAGAS (2018) </w:t>
            </w:r>
            <w:r>
              <w:rPr>
                <w:spacing w:val="-2"/>
              </w:rPr>
              <w:t>6.11)</w:t>
            </w:r>
          </w:p>
        </w:tc>
        <w:tc>
          <w:tcPr>
            <w:tcW w:w="810" w:type="dxa"/>
            <w:tcBorders>
              <w:top w:val="single" w:sz="6" w:space="0" w:color="000000"/>
              <w:left w:val="single" w:sz="6" w:space="0" w:color="000000"/>
              <w:bottom w:val="single" w:sz="6" w:space="0" w:color="000000"/>
              <w:right w:val="single" w:sz="6" w:space="0" w:color="000000"/>
            </w:tcBorders>
          </w:tcPr>
          <w:p w14:paraId="0DFDD1F8"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1F9" w14:textId="77777777" w:rsidR="00046465" w:rsidRDefault="00046465">
            <w:pPr>
              <w:pStyle w:val="TableParagraph"/>
              <w:rPr>
                <w:rFonts w:ascii="Times New Roman"/>
              </w:rPr>
            </w:pPr>
          </w:p>
        </w:tc>
      </w:tr>
      <w:tr w:rsidR="00046465" w14:paraId="0DFDD1FE" w14:textId="77777777">
        <w:trPr>
          <w:trHeight w:val="493"/>
        </w:trPr>
        <w:tc>
          <w:tcPr>
            <w:tcW w:w="7380" w:type="dxa"/>
            <w:tcBorders>
              <w:top w:val="single" w:sz="6" w:space="0" w:color="000000"/>
              <w:bottom w:val="single" w:sz="6" w:space="0" w:color="000000"/>
              <w:right w:val="single" w:sz="6" w:space="0" w:color="000000"/>
            </w:tcBorders>
          </w:tcPr>
          <w:p w14:paraId="0DFDD1FB" w14:textId="77777777" w:rsidR="00046465" w:rsidRDefault="008134EB">
            <w:pPr>
              <w:pStyle w:val="TableParagraph"/>
              <w:spacing w:before="121"/>
              <w:ind w:left="555"/>
            </w:pPr>
            <w:r>
              <w:t>9.</w:t>
            </w:r>
            <w:r>
              <w:rPr>
                <w:spacing w:val="71"/>
                <w:w w:val="150"/>
              </w:rPr>
              <w:t xml:space="preserve"> </w:t>
            </w:r>
            <w:r>
              <w:t>Did</w:t>
            </w:r>
            <w:r>
              <w:rPr>
                <w:spacing w:val="-4"/>
              </w:rPr>
              <w:t xml:space="preserve"> </w:t>
            </w:r>
            <w:r>
              <w:t>the</w:t>
            </w:r>
            <w:r>
              <w:rPr>
                <w:spacing w:val="-5"/>
              </w:rPr>
              <w:t xml:space="preserve"> </w:t>
            </w:r>
            <w:r>
              <w:t>auditor</w:t>
            </w:r>
            <w:r>
              <w:rPr>
                <w:spacing w:val="-4"/>
              </w:rPr>
              <w:t xml:space="preserve"> </w:t>
            </w:r>
            <w:r>
              <w:t>document</w:t>
            </w:r>
            <w:r>
              <w:rPr>
                <w:spacing w:val="-5"/>
              </w:rPr>
              <w:t xml:space="preserve"> </w:t>
            </w:r>
            <w:r>
              <w:t>the</w:t>
            </w:r>
            <w:r>
              <w:rPr>
                <w:spacing w:val="-4"/>
              </w:rPr>
              <w:t xml:space="preserve"> </w:t>
            </w:r>
            <w:r>
              <w:t>basis</w:t>
            </w:r>
            <w:r>
              <w:rPr>
                <w:spacing w:val="-6"/>
              </w:rPr>
              <w:t xml:space="preserve"> </w:t>
            </w:r>
            <w:r>
              <w:t>to</w:t>
            </w:r>
            <w:r>
              <w:rPr>
                <w:spacing w:val="-4"/>
              </w:rPr>
              <w:t xml:space="preserve"> </w:t>
            </w:r>
            <w:r>
              <w:t>support</w:t>
            </w:r>
            <w:r>
              <w:rPr>
                <w:spacing w:val="-5"/>
              </w:rPr>
              <w:t xml:space="preserve"> </w:t>
            </w:r>
            <w:r>
              <w:t>the</w:t>
            </w:r>
            <w:r>
              <w:rPr>
                <w:spacing w:val="-4"/>
              </w:rPr>
              <w:t xml:space="preserve"> </w:t>
            </w:r>
            <w:r>
              <w:t>(FAM</w:t>
            </w:r>
            <w:r>
              <w:rPr>
                <w:spacing w:val="-5"/>
              </w:rPr>
              <w:t xml:space="preserve"> </w:t>
            </w:r>
            <w:r>
              <w:rPr>
                <w:spacing w:val="-4"/>
              </w:rPr>
              <w:t>590)</w:t>
            </w:r>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14:paraId="0DFDD1FC"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shd w:val="clear" w:color="auto" w:fill="BEBEBE"/>
          </w:tcPr>
          <w:p w14:paraId="0DFDD1FD" w14:textId="77777777" w:rsidR="00046465" w:rsidRDefault="00046465">
            <w:pPr>
              <w:pStyle w:val="TableParagraph"/>
              <w:rPr>
                <w:rFonts w:ascii="Times New Roman"/>
              </w:rPr>
            </w:pPr>
          </w:p>
        </w:tc>
      </w:tr>
      <w:tr w:rsidR="00046465" w14:paraId="0DFDD202" w14:textId="77777777">
        <w:trPr>
          <w:trHeight w:val="745"/>
        </w:trPr>
        <w:tc>
          <w:tcPr>
            <w:tcW w:w="7380" w:type="dxa"/>
            <w:tcBorders>
              <w:top w:val="single" w:sz="6" w:space="0" w:color="000000"/>
              <w:bottom w:val="single" w:sz="6" w:space="0" w:color="000000"/>
              <w:right w:val="single" w:sz="6" w:space="0" w:color="000000"/>
            </w:tcBorders>
          </w:tcPr>
          <w:p w14:paraId="0DFDD1FF" w14:textId="77777777" w:rsidR="00046465" w:rsidRDefault="008134EB">
            <w:pPr>
              <w:pStyle w:val="TableParagraph"/>
              <w:spacing w:before="119"/>
              <w:ind w:left="1244" w:hanging="360"/>
            </w:pPr>
            <w:r>
              <w:t>a.</w:t>
            </w:r>
            <w:r>
              <w:rPr>
                <w:spacing w:val="80"/>
              </w:rPr>
              <w:t xml:space="preserve"> </w:t>
            </w:r>
            <w:r>
              <w:t>opinion</w:t>
            </w:r>
            <w:r>
              <w:rPr>
                <w:spacing w:val="-4"/>
              </w:rPr>
              <w:t xml:space="preserve"> </w:t>
            </w:r>
            <w:r>
              <w:t>about</w:t>
            </w:r>
            <w:r>
              <w:rPr>
                <w:spacing w:val="-4"/>
              </w:rPr>
              <w:t xml:space="preserve"> </w:t>
            </w:r>
            <w:r>
              <w:t>whether</w:t>
            </w:r>
            <w:r>
              <w:rPr>
                <w:spacing w:val="-4"/>
              </w:rPr>
              <w:t xml:space="preserve"> </w:t>
            </w:r>
            <w:r>
              <w:t>the</w:t>
            </w:r>
            <w:r>
              <w:rPr>
                <w:spacing w:val="-4"/>
              </w:rPr>
              <w:t xml:space="preserve"> </w:t>
            </w:r>
            <w:r>
              <w:t>financial</w:t>
            </w:r>
            <w:r>
              <w:rPr>
                <w:spacing w:val="-5"/>
              </w:rPr>
              <w:t xml:space="preserve"> </w:t>
            </w:r>
            <w:r>
              <w:t>statements</w:t>
            </w:r>
            <w:r>
              <w:rPr>
                <w:spacing w:val="-4"/>
              </w:rPr>
              <w:t xml:space="preserve"> </w:t>
            </w:r>
            <w:r>
              <w:t>are</w:t>
            </w:r>
            <w:r>
              <w:rPr>
                <w:spacing w:val="-4"/>
              </w:rPr>
              <w:t xml:space="preserve"> </w:t>
            </w:r>
            <w:r>
              <w:t>presented fairly,</w:t>
            </w:r>
            <w:r>
              <w:rPr>
                <w:spacing w:val="-7"/>
              </w:rPr>
              <w:t xml:space="preserve"> </w:t>
            </w:r>
            <w:r>
              <w:t>in</w:t>
            </w:r>
            <w:r>
              <w:rPr>
                <w:spacing w:val="-6"/>
              </w:rPr>
              <w:t xml:space="preserve"> </w:t>
            </w:r>
            <w:r>
              <w:t>all</w:t>
            </w:r>
            <w:r>
              <w:rPr>
                <w:spacing w:val="-7"/>
              </w:rPr>
              <w:t xml:space="preserve"> </w:t>
            </w:r>
            <w:r>
              <w:t>material</w:t>
            </w:r>
            <w:r>
              <w:rPr>
                <w:spacing w:val="-6"/>
              </w:rPr>
              <w:t xml:space="preserve"> </w:t>
            </w:r>
            <w:r>
              <w:t>respects,</w:t>
            </w:r>
            <w:r>
              <w:rPr>
                <w:spacing w:val="-6"/>
              </w:rPr>
              <w:t xml:space="preserve"> </w:t>
            </w:r>
            <w:r>
              <w:t>in</w:t>
            </w:r>
            <w:r>
              <w:rPr>
                <w:spacing w:val="-6"/>
              </w:rPr>
              <w:t xml:space="preserve"> </w:t>
            </w:r>
            <w:r>
              <w:t>accordance</w:t>
            </w:r>
            <w:r>
              <w:rPr>
                <w:spacing w:val="-6"/>
              </w:rPr>
              <w:t xml:space="preserve"> </w:t>
            </w:r>
            <w:r>
              <w:t>with</w:t>
            </w:r>
            <w:r>
              <w:rPr>
                <w:spacing w:val="-7"/>
              </w:rPr>
              <w:t xml:space="preserve"> </w:t>
            </w:r>
            <w:r>
              <w:t>U.S.</w:t>
            </w:r>
            <w:r>
              <w:rPr>
                <w:spacing w:val="-6"/>
              </w:rPr>
              <w:t xml:space="preserve"> </w:t>
            </w:r>
            <w:r>
              <w:rPr>
                <w:spacing w:val="-2"/>
              </w:rPr>
              <w:t>GAAP;</w:t>
            </w:r>
          </w:p>
        </w:tc>
        <w:tc>
          <w:tcPr>
            <w:tcW w:w="810" w:type="dxa"/>
            <w:tcBorders>
              <w:top w:val="single" w:sz="6" w:space="0" w:color="000000"/>
              <w:left w:val="single" w:sz="6" w:space="0" w:color="000000"/>
              <w:bottom w:val="single" w:sz="6" w:space="0" w:color="000000"/>
              <w:right w:val="single" w:sz="6" w:space="0" w:color="000000"/>
            </w:tcBorders>
          </w:tcPr>
          <w:p w14:paraId="0DFDD200"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201" w14:textId="77777777" w:rsidR="00046465" w:rsidRDefault="00046465">
            <w:pPr>
              <w:pStyle w:val="TableParagraph"/>
              <w:rPr>
                <w:rFonts w:ascii="Times New Roman"/>
              </w:rPr>
            </w:pPr>
          </w:p>
        </w:tc>
      </w:tr>
      <w:tr w:rsidR="00046465" w14:paraId="0DFDD206" w14:textId="77777777">
        <w:trPr>
          <w:trHeight w:val="492"/>
        </w:trPr>
        <w:tc>
          <w:tcPr>
            <w:tcW w:w="7380" w:type="dxa"/>
            <w:tcBorders>
              <w:top w:val="single" w:sz="6" w:space="0" w:color="000000"/>
              <w:bottom w:val="single" w:sz="6" w:space="0" w:color="000000"/>
              <w:right w:val="single" w:sz="6" w:space="0" w:color="000000"/>
            </w:tcBorders>
          </w:tcPr>
          <w:p w14:paraId="0DFDD203" w14:textId="77777777" w:rsidR="00046465" w:rsidRDefault="008134EB">
            <w:pPr>
              <w:pStyle w:val="TableParagraph"/>
              <w:spacing w:before="119"/>
              <w:ind w:left="884"/>
            </w:pPr>
            <w:r>
              <w:t>b.</w:t>
            </w:r>
            <w:r>
              <w:rPr>
                <w:spacing w:val="72"/>
                <w:w w:val="150"/>
              </w:rPr>
              <w:t xml:space="preserve"> </w:t>
            </w:r>
            <w:r>
              <w:t>opinion</w:t>
            </w:r>
            <w:r>
              <w:rPr>
                <w:spacing w:val="-4"/>
              </w:rPr>
              <w:t xml:space="preserve"> </w:t>
            </w:r>
            <w:r>
              <w:t>or</w:t>
            </w:r>
            <w:r>
              <w:rPr>
                <w:spacing w:val="-4"/>
              </w:rPr>
              <w:t xml:space="preserve"> </w:t>
            </w:r>
            <w:r>
              <w:t>conclusion</w:t>
            </w:r>
            <w:r>
              <w:rPr>
                <w:spacing w:val="-6"/>
              </w:rPr>
              <w:t xml:space="preserve"> </w:t>
            </w:r>
            <w:r>
              <w:t>on</w:t>
            </w:r>
            <w:r>
              <w:rPr>
                <w:spacing w:val="-4"/>
              </w:rPr>
              <w:t xml:space="preserve"> </w:t>
            </w:r>
            <w:r>
              <w:t>internal</w:t>
            </w:r>
            <w:r>
              <w:rPr>
                <w:spacing w:val="-4"/>
              </w:rPr>
              <w:t xml:space="preserve"> </w:t>
            </w:r>
            <w:r>
              <w:rPr>
                <w:spacing w:val="-2"/>
              </w:rPr>
              <w:t>control;</w:t>
            </w:r>
          </w:p>
        </w:tc>
        <w:tc>
          <w:tcPr>
            <w:tcW w:w="810" w:type="dxa"/>
            <w:tcBorders>
              <w:top w:val="single" w:sz="6" w:space="0" w:color="000000"/>
              <w:left w:val="single" w:sz="6" w:space="0" w:color="000000"/>
              <w:bottom w:val="single" w:sz="6" w:space="0" w:color="000000"/>
              <w:right w:val="single" w:sz="6" w:space="0" w:color="000000"/>
            </w:tcBorders>
          </w:tcPr>
          <w:p w14:paraId="0DFDD204"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205" w14:textId="77777777" w:rsidR="00046465" w:rsidRDefault="00046465">
            <w:pPr>
              <w:pStyle w:val="TableParagraph"/>
              <w:rPr>
                <w:rFonts w:ascii="Times New Roman"/>
              </w:rPr>
            </w:pPr>
          </w:p>
        </w:tc>
      </w:tr>
      <w:tr w:rsidR="00046465" w14:paraId="0DFDD20A" w14:textId="77777777">
        <w:trPr>
          <w:trHeight w:val="626"/>
        </w:trPr>
        <w:tc>
          <w:tcPr>
            <w:tcW w:w="7380" w:type="dxa"/>
            <w:tcBorders>
              <w:top w:val="single" w:sz="6" w:space="0" w:color="000000"/>
              <w:bottom w:val="single" w:sz="6" w:space="0" w:color="000000"/>
              <w:right w:val="single" w:sz="6" w:space="0" w:color="000000"/>
            </w:tcBorders>
          </w:tcPr>
          <w:p w14:paraId="0DFDD207" w14:textId="77777777" w:rsidR="00046465" w:rsidRDefault="008134EB">
            <w:pPr>
              <w:pStyle w:val="TableParagraph"/>
              <w:spacing w:before="101" w:line="250" w:lineRule="atLeast"/>
              <w:ind w:left="1244" w:hanging="360"/>
            </w:pPr>
            <w:r>
              <w:t>c.</w:t>
            </w:r>
            <w:r>
              <w:rPr>
                <w:spacing w:val="80"/>
              </w:rPr>
              <w:t xml:space="preserve"> </w:t>
            </w:r>
            <w:r>
              <w:t>conclusion on whether the entity’s financial management systems</w:t>
            </w:r>
            <w:r>
              <w:rPr>
                <w:spacing w:val="-6"/>
              </w:rPr>
              <w:t xml:space="preserve"> </w:t>
            </w:r>
            <w:r>
              <w:t>comply</w:t>
            </w:r>
            <w:r>
              <w:rPr>
                <w:spacing w:val="-6"/>
              </w:rPr>
              <w:t xml:space="preserve"> </w:t>
            </w:r>
            <w:r>
              <w:t>substantially</w:t>
            </w:r>
            <w:r>
              <w:rPr>
                <w:spacing w:val="-6"/>
              </w:rPr>
              <w:t xml:space="preserve"> </w:t>
            </w:r>
            <w:r>
              <w:t>with</w:t>
            </w:r>
            <w:r>
              <w:rPr>
                <w:spacing w:val="-6"/>
              </w:rPr>
              <w:t xml:space="preserve"> </w:t>
            </w:r>
            <w:r>
              <w:t>the</w:t>
            </w:r>
            <w:r>
              <w:rPr>
                <w:spacing w:val="-6"/>
              </w:rPr>
              <w:t xml:space="preserve"> </w:t>
            </w:r>
            <w:r>
              <w:t>requirements</w:t>
            </w:r>
            <w:r>
              <w:rPr>
                <w:spacing w:val="-6"/>
              </w:rPr>
              <w:t xml:space="preserve"> </w:t>
            </w:r>
            <w:r>
              <w:t>of</w:t>
            </w:r>
            <w:r>
              <w:rPr>
                <w:spacing w:val="-6"/>
              </w:rPr>
              <w:t xml:space="preserve"> </w:t>
            </w:r>
            <w:r>
              <w:t>FFMIA</w:t>
            </w:r>
          </w:p>
        </w:tc>
        <w:tc>
          <w:tcPr>
            <w:tcW w:w="810" w:type="dxa"/>
            <w:tcBorders>
              <w:top w:val="single" w:sz="6" w:space="0" w:color="000000"/>
              <w:left w:val="single" w:sz="6" w:space="0" w:color="000000"/>
              <w:bottom w:val="single" w:sz="6" w:space="0" w:color="000000"/>
              <w:right w:val="single" w:sz="6" w:space="0" w:color="000000"/>
            </w:tcBorders>
          </w:tcPr>
          <w:p w14:paraId="0DFDD208"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209" w14:textId="77777777" w:rsidR="00046465" w:rsidRDefault="00046465">
            <w:pPr>
              <w:pStyle w:val="TableParagraph"/>
              <w:rPr>
                <w:rFonts w:ascii="Times New Roman"/>
              </w:rPr>
            </w:pPr>
          </w:p>
        </w:tc>
      </w:tr>
    </w:tbl>
    <w:p w14:paraId="0DFDD20B"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20C" w14:textId="77777777" w:rsidR="00046465" w:rsidRDefault="00046465">
      <w:pPr>
        <w:pStyle w:val="BodyText"/>
        <w:spacing w:before="9"/>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50"/>
      </w:tblGrid>
      <w:tr w:rsidR="00046465" w14:paraId="0DFDD214" w14:textId="77777777">
        <w:trPr>
          <w:trHeight w:val="998"/>
        </w:trPr>
        <w:tc>
          <w:tcPr>
            <w:tcW w:w="7380" w:type="dxa"/>
            <w:tcBorders>
              <w:right w:val="single" w:sz="8" w:space="0" w:color="000000"/>
            </w:tcBorders>
            <w:shd w:val="clear" w:color="auto" w:fill="A6A6A6"/>
          </w:tcPr>
          <w:p w14:paraId="0DFDD20D" w14:textId="77777777" w:rsidR="00046465" w:rsidRDefault="00046465">
            <w:pPr>
              <w:pStyle w:val="TableParagraph"/>
              <w:rPr>
                <w:b/>
                <w:sz w:val="24"/>
              </w:rPr>
            </w:pPr>
          </w:p>
          <w:p w14:paraId="0DFDD20E" w14:textId="77777777" w:rsidR="00046465" w:rsidRDefault="00046465">
            <w:pPr>
              <w:pStyle w:val="TableParagraph"/>
              <w:spacing w:before="72"/>
              <w:rPr>
                <w:b/>
                <w:sz w:val="24"/>
              </w:rPr>
            </w:pPr>
          </w:p>
          <w:p w14:paraId="0DFDD20F" w14:textId="77777777" w:rsidR="00046465" w:rsidRDefault="008134EB">
            <w:pPr>
              <w:pStyle w:val="TableParagraph"/>
              <w:spacing w:before="1"/>
              <w:ind w:left="123"/>
              <w:rPr>
                <w:b/>
                <w:sz w:val="24"/>
              </w:rPr>
            </w:pPr>
            <w:r>
              <w:rPr>
                <w:b/>
                <w:sz w:val="24"/>
              </w:rPr>
              <w:t>Section</w:t>
            </w:r>
            <w:r>
              <w:rPr>
                <w:b/>
                <w:spacing w:val="-4"/>
                <w:sz w:val="24"/>
              </w:rPr>
              <w:t xml:space="preserve"> </w:t>
            </w:r>
            <w:r>
              <w:rPr>
                <w:b/>
                <w:sz w:val="24"/>
              </w:rPr>
              <w:t>IV:</w:t>
            </w:r>
            <w:r>
              <w:rPr>
                <w:b/>
                <w:spacing w:val="-4"/>
                <w:sz w:val="24"/>
              </w:rPr>
              <w:t xml:space="preserve"> </w:t>
            </w:r>
            <w:r>
              <w:rPr>
                <w:b/>
                <w:sz w:val="24"/>
              </w:rPr>
              <w:t>Communicating</w:t>
            </w:r>
            <w:r>
              <w:rPr>
                <w:b/>
                <w:spacing w:val="-4"/>
                <w:sz w:val="24"/>
              </w:rPr>
              <w:t xml:space="preserve"> </w:t>
            </w:r>
            <w:r>
              <w:rPr>
                <w:b/>
                <w:sz w:val="24"/>
              </w:rPr>
              <w:t>and</w:t>
            </w:r>
            <w:r>
              <w:rPr>
                <w:b/>
                <w:spacing w:val="-4"/>
                <w:sz w:val="24"/>
              </w:rPr>
              <w:t xml:space="preserve"> </w:t>
            </w:r>
            <w:r>
              <w:rPr>
                <w:b/>
                <w:sz w:val="24"/>
              </w:rPr>
              <w:t>Reporting</w:t>
            </w:r>
            <w:r>
              <w:rPr>
                <w:b/>
                <w:spacing w:val="-3"/>
                <w:sz w:val="24"/>
              </w:rPr>
              <w:t xml:space="preserve"> </w:t>
            </w:r>
            <w:r>
              <w:rPr>
                <w:b/>
                <w:spacing w:val="-2"/>
                <w:sz w:val="24"/>
              </w:rPr>
              <w:t>Results</w:t>
            </w:r>
          </w:p>
        </w:tc>
        <w:tc>
          <w:tcPr>
            <w:tcW w:w="810" w:type="dxa"/>
            <w:tcBorders>
              <w:left w:val="single" w:sz="8" w:space="0" w:color="000000"/>
              <w:right w:val="single" w:sz="8" w:space="0" w:color="000000"/>
            </w:tcBorders>
            <w:shd w:val="clear" w:color="auto" w:fill="A6A6A6"/>
          </w:tcPr>
          <w:p w14:paraId="0DFDD210" w14:textId="77777777" w:rsidR="00046465" w:rsidRDefault="008134EB">
            <w:pPr>
              <w:pStyle w:val="TableParagraph"/>
              <w:spacing w:before="120"/>
              <w:ind w:left="136" w:right="199"/>
              <w:jc w:val="both"/>
              <w:rPr>
                <w:b/>
              </w:rPr>
            </w:pPr>
            <w:r>
              <w:rPr>
                <w:b/>
                <w:spacing w:val="-4"/>
              </w:rPr>
              <w:t>Yes, No,* N/A</w:t>
            </w:r>
          </w:p>
        </w:tc>
        <w:tc>
          <w:tcPr>
            <w:tcW w:w="1350" w:type="dxa"/>
            <w:tcBorders>
              <w:left w:val="single" w:sz="8" w:space="0" w:color="000000"/>
            </w:tcBorders>
            <w:shd w:val="clear" w:color="auto" w:fill="A6A6A6"/>
          </w:tcPr>
          <w:p w14:paraId="0DFDD211" w14:textId="77777777" w:rsidR="00046465" w:rsidRDefault="00046465">
            <w:pPr>
              <w:pStyle w:val="TableParagraph"/>
              <w:rPr>
                <w:b/>
              </w:rPr>
            </w:pPr>
          </w:p>
          <w:p w14:paraId="0DFDD212" w14:textId="77777777" w:rsidR="00046465" w:rsidRDefault="00046465">
            <w:pPr>
              <w:pStyle w:val="TableParagraph"/>
              <w:spacing w:before="120"/>
              <w:rPr>
                <w:b/>
              </w:rPr>
            </w:pPr>
          </w:p>
          <w:p w14:paraId="0DFDD213"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218" w14:textId="77777777">
        <w:trPr>
          <w:trHeight w:val="373"/>
        </w:trPr>
        <w:tc>
          <w:tcPr>
            <w:tcW w:w="7380" w:type="dxa"/>
            <w:tcBorders>
              <w:bottom w:val="single" w:sz="6" w:space="0" w:color="000000"/>
              <w:right w:val="single" w:sz="6" w:space="0" w:color="000000"/>
            </w:tcBorders>
          </w:tcPr>
          <w:p w14:paraId="0DFDD215" w14:textId="77777777" w:rsidR="00046465" w:rsidRDefault="008134EB">
            <w:pPr>
              <w:pStyle w:val="TableParagraph"/>
              <w:ind w:left="1244"/>
            </w:pPr>
            <w:r>
              <w:t>(for</w:t>
            </w:r>
            <w:r>
              <w:rPr>
                <w:spacing w:val="-6"/>
              </w:rPr>
              <w:t xml:space="preserve"> </w:t>
            </w:r>
            <w:r>
              <w:t>CFO</w:t>
            </w:r>
            <w:r>
              <w:rPr>
                <w:spacing w:val="-7"/>
              </w:rPr>
              <w:t xml:space="preserve"> </w:t>
            </w:r>
            <w:r>
              <w:t>Act</w:t>
            </w:r>
            <w:r>
              <w:rPr>
                <w:spacing w:val="-5"/>
              </w:rPr>
              <w:t xml:space="preserve"> </w:t>
            </w:r>
            <w:r>
              <w:t>agencies);</w:t>
            </w:r>
            <w:r>
              <w:rPr>
                <w:spacing w:val="-7"/>
              </w:rPr>
              <w:t xml:space="preserve"> </w:t>
            </w:r>
            <w:r>
              <w:rPr>
                <w:spacing w:val="-5"/>
              </w:rPr>
              <w:t>and</w:t>
            </w:r>
          </w:p>
        </w:tc>
        <w:tc>
          <w:tcPr>
            <w:tcW w:w="810" w:type="dxa"/>
            <w:tcBorders>
              <w:left w:val="single" w:sz="6" w:space="0" w:color="000000"/>
              <w:bottom w:val="single" w:sz="6" w:space="0" w:color="000000"/>
              <w:right w:val="single" w:sz="6" w:space="0" w:color="000000"/>
            </w:tcBorders>
          </w:tcPr>
          <w:p w14:paraId="0DFDD216" w14:textId="77777777" w:rsidR="00046465" w:rsidRDefault="00046465">
            <w:pPr>
              <w:pStyle w:val="TableParagraph"/>
              <w:rPr>
                <w:rFonts w:ascii="Times New Roman"/>
              </w:rPr>
            </w:pPr>
          </w:p>
        </w:tc>
        <w:tc>
          <w:tcPr>
            <w:tcW w:w="1350" w:type="dxa"/>
            <w:tcBorders>
              <w:left w:val="single" w:sz="6" w:space="0" w:color="000000"/>
              <w:bottom w:val="single" w:sz="6" w:space="0" w:color="000000"/>
            </w:tcBorders>
          </w:tcPr>
          <w:p w14:paraId="0DFDD217" w14:textId="77777777" w:rsidR="00046465" w:rsidRDefault="00046465">
            <w:pPr>
              <w:pStyle w:val="TableParagraph"/>
              <w:rPr>
                <w:rFonts w:ascii="Times New Roman"/>
              </w:rPr>
            </w:pPr>
          </w:p>
        </w:tc>
      </w:tr>
      <w:tr w:rsidR="00046465" w14:paraId="0DFDD21C" w14:textId="77777777">
        <w:trPr>
          <w:trHeight w:val="998"/>
        </w:trPr>
        <w:tc>
          <w:tcPr>
            <w:tcW w:w="7380" w:type="dxa"/>
            <w:tcBorders>
              <w:top w:val="single" w:sz="6" w:space="0" w:color="000000"/>
              <w:bottom w:val="single" w:sz="6" w:space="0" w:color="000000"/>
              <w:right w:val="single" w:sz="6" w:space="0" w:color="000000"/>
            </w:tcBorders>
          </w:tcPr>
          <w:p w14:paraId="0DFDD219" w14:textId="77777777" w:rsidR="00046465" w:rsidRDefault="008134EB">
            <w:pPr>
              <w:pStyle w:val="TableParagraph"/>
              <w:spacing w:before="121"/>
              <w:ind w:left="1244" w:right="150" w:hanging="360"/>
            </w:pPr>
            <w:r>
              <w:t>d.</w:t>
            </w:r>
            <w:r>
              <w:rPr>
                <w:spacing w:val="80"/>
              </w:rPr>
              <w:t xml:space="preserve"> </w:t>
            </w:r>
            <w:r>
              <w:t>conclusion</w:t>
            </w:r>
            <w:r>
              <w:rPr>
                <w:spacing w:val="-5"/>
              </w:rPr>
              <w:t xml:space="preserve"> </w:t>
            </w:r>
            <w:r>
              <w:t>on</w:t>
            </w:r>
            <w:r>
              <w:rPr>
                <w:spacing w:val="-5"/>
              </w:rPr>
              <w:t xml:space="preserve"> </w:t>
            </w:r>
            <w:r>
              <w:t>compliance</w:t>
            </w:r>
            <w:r>
              <w:rPr>
                <w:spacing w:val="-5"/>
              </w:rPr>
              <w:t xml:space="preserve"> </w:t>
            </w:r>
            <w:r>
              <w:t>with</w:t>
            </w:r>
            <w:r>
              <w:rPr>
                <w:spacing w:val="-5"/>
              </w:rPr>
              <w:t xml:space="preserve"> </w:t>
            </w:r>
            <w:r>
              <w:t>significant</w:t>
            </w:r>
            <w:r>
              <w:rPr>
                <w:spacing w:val="-5"/>
              </w:rPr>
              <w:t xml:space="preserve"> </w:t>
            </w:r>
            <w:r>
              <w:t>provisions</w:t>
            </w:r>
            <w:r>
              <w:rPr>
                <w:spacing w:val="-5"/>
              </w:rPr>
              <w:t xml:space="preserve"> </w:t>
            </w:r>
            <w:r>
              <w:t xml:space="preserve">of applicable laws, regulations, contracts, and grant </w:t>
            </w:r>
            <w:r>
              <w:rPr>
                <w:spacing w:val="-2"/>
              </w:rPr>
              <w:t>agreements?</w:t>
            </w:r>
          </w:p>
        </w:tc>
        <w:tc>
          <w:tcPr>
            <w:tcW w:w="810" w:type="dxa"/>
            <w:tcBorders>
              <w:top w:val="single" w:sz="6" w:space="0" w:color="000000"/>
              <w:left w:val="single" w:sz="6" w:space="0" w:color="000000"/>
              <w:bottom w:val="single" w:sz="6" w:space="0" w:color="000000"/>
              <w:right w:val="single" w:sz="6" w:space="0" w:color="000000"/>
            </w:tcBorders>
          </w:tcPr>
          <w:p w14:paraId="0DFDD21A"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21B" w14:textId="77777777" w:rsidR="00046465" w:rsidRDefault="00046465">
            <w:pPr>
              <w:pStyle w:val="TableParagraph"/>
              <w:rPr>
                <w:rFonts w:ascii="Times New Roman"/>
              </w:rPr>
            </w:pPr>
          </w:p>
        </w:tc>
      </w:tr>
      <w:tr w:rsidR="00046465" w14:paraId="0DFDD220" w14:textId="77777777">
        <w:trPr>
          <w:trHeight w:val="492"/>
        </w:trPr>
        <w:tc>
          <w:tcPr>
            <w:tcW w:w="7380" w:type="dxa"/>
            <w:tcBorders>
              <w:top w:val="single" w:sz="6" w:space="0" w:color="000000"/>
              <w:bottom w:val="single" w:sz="6" w:space="0" w:color="000000"/>
              <w:right w:val="single" w:sz="6" w:space="0" w:color="000000"/>
            </w:tcBorders>
          </w:tcPr>
          <w:p w14:paraId="0DFDD21D" w14:textId="77777777" w:rsidR="00046465" w:rsidRDefault="008134EB">
            <w:pPr>
              <w:pStyle w:val="TableParagraph"/>
              <w:spacing w:before="121"/>
              <w:ind w:left="555"/>
            </w:pPr>
            <w:r>
              <w:t>10.</w:t>
            </w:r>
            <w:r>
              <w:rPr>
                <w:spacing w:val="-13"/>
              </w:rPr>
              <w:t xml:space="preserve"> </w:t>
            </w:r>
            <w:r>
              <w:t>Did</w:t>
            </w:r>
            <w:r>
              <w:rPr>
                <w:spacing w:val="-5"/>
              </w:rPr>
              <w:t xml:space="preserve"> </w:t>
            </w:r>
            <w:r>
              <w:t>the</w:t>
            </w:r>
            <w:r>
              <w:rPr>
                <w:spacing w:val="-6"/>
              </w:rPr>
              <w:t xml:space="preserve"> </w:t>
            </w:r>
            <w:r>
              <w:t>auditor</w:t>
            </w:r>
            <w:r>
              <w:rPr>
                <w:spacing w:val="-6"/>
              </w:rPr>
              <w:t xml:space="preserve"> </w:t>
            </w:r>
            <w:r>
              <w:t>document</w:t>
            </w:r>
            <w:r>
              <w:rPr>
                <w:spacing w:val="-6"/>
              </w:rPr>
              <w:t xml:space="preserve"> </w:t>
            </w:r>
            <w:r>
              <w:t>the</w:t>
            </w:r>
            <w:r>
              <w:rPr>
                <w:spacing w:val="-6"/>
              </w:rPr>
              <w:t xml:space="preserve"> </w:t>
            </w:r>
            <w:r>
              <w:t>basis</w:t>
            </w:r>
            <w:r>
              <w:rPr>
                <w:spacing w:val="-6"/>
              </w:rPr>
              <w:t xml:space="preserve"> </w:t>
            </w:r>
            <w:r>
              <w:t>for</w:t>
            </w:r>
            <w:r>
              <w:rPr>
                <w:spacing w:val="-6"/>
              </w:rPr>
              <w:t xml:space="preserve"> </w:t>
            </w:r>
            <w:r>
              <w:t>reported</w:t>
            </w:r>
            <w:r>
              <w:rPr>
                <w:spacing w:val="-6"/>
              </w:rPr>
              <w:t xml:space="preserve"> </w:t>
            </w:r>
            <w:r>
              <w:t>findings</w:t>
            </w:r>
            <w:r>
              <w:rPr>
                <w:spacing w:val="-6"/>
              </w:rPr>
              <w:t xml:space="preserve"> </w:t>
            </w:r>
            <w:r>
              <w:rPr>
                <w:spacing w:val="-5"/>
              </w:rPr>
              <w:t>on</w:t>
            </w:r>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14:paraId="0DFDD21E"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shd w:val="clear" w:color="auto" w:fill="BEBEBE"/>
          </w:tcPr>
          <w:p w14:paraId="0DFDD21F" w14:textId="77777777" w:rsidR="00046465" w:rsidRDefault="00046465">
            <w:pPr>
              <w:pStyle w:val="TableParagraph"/>
              <w:rPr>
                <w:rFonts w:ascii="Times New Roman"/>
              </w:rPr>
            </w:pPr>
          </w:p>
        </w:tc>
      </w:tr>
      <w:tr w:rsidR="00046465" w14:paraId="0DFDD224" w14:textId="77777777">
        <w:trPr>
          <w:trHeight w:val="999"/>
        </w:trPr>
        <w:tc>
          <w:tcPr>
            <w:tcW w:w="7380" w:type="dxa"/>
            <w:tcBorders>
              <w:top w:val="single" w:sz="6" w:space="0" w:color="000000"/>
              <w:bottom w:val="single" w:sz="6" w:space="0" w:color="000000"/>
              <w:right w:val="single" w:sz="6" w:space="0" w:color="000000"/>
            </w:tcBorders>
          </w:tcPr>
          <w:p w14:paraId="0DFDD221" w14:textId="77777777" w:rsidR="00046465" w:rsidRDefault="008134EB">
            <w:pPr>
              <w:pStyle w:val="TableParagraph"/>
              <w:spacing w:before="121"/>
              <w:ind w:left="1244" w:right="171" w:hanging="360"/>
              <w:jc w:val="both"/>
            </w:pPr>
            <w:r>
              <w:t>a.</w:t>
            </w:r>
            <w:r>
              <w:rPr>
                <w:spacing w:val="80"/>
              </w:rPr>
              <w:t xml:space="preserve"> </w:t>
            </w:r>
            <w:r>
              <w:t>internal</w:t>
            </w:r>
            <w:r>
              <w:rPr>
                <w:spacing w:val="-3"/>
              </w:rPr>
              <w:t xml:space="preserve"> </w:t>
            </w:r>
            <w:r>
              <w:t>control</w:t>
            </w:r>
            <w:r>
              <w:rPr>
                <w:spacing w:val="-3"/>
              </w:rPr>
              <w:t xml:space="preserve"> </w:t>
            </w:r>
            <w:r>
              <w:t>deficiencies,</w:t>
            </w:r>
            <w:r>
              <w:rPr>
                <w:spacing w:val="-3"/>
              </w:rPr>
              <w:t xml:space="preserve"> </w:t>
            </w:r>
            <w:r>
              <w:t>including</w:t>
            </w:r>
            <w:r>
              <w:rPr>
                <w:spacing w:val="-4"/>
              </w:rPr>
              <w:t xml:space="preserve"> </w:t>
            </w:r>
            <w:r>
              <w:t>classification</w:t>
            </w:r>
            <w:r>
              <w:rPr>
                <w:spacing w:val="-3"/>
              </w:rPr>
              <w:t xml:space="preserve"> </w:t>
            </w:r>
            <w:r>
              <w:t>of</w:t>
            </w:r>
            <w:r>
              <w:rPr>
                <w:spacing w:val="-3"/>
              </w:rPr>
              <w:t xml:space="preserve"> </w:t>
            </w:r>
            <w:r>
              <w:t>control deficiencies</w:t>
            </w:r>
            <w:r>
              <w:rPr>
                <w:spacing w:val="-8"/>
              </w:rPr>
              <w:t xml:space="preserve"> </w:t>
            </w:r>
            <w:r>
              <w:t>as</w:t>
            </w:r>
            <w:r>
              <w:rPr>
                <w:spacing w:val="-7"/>
              </w:rPr>
              <w:t xml:space="preserve"> </w:t>
            </w:r>
            <w:r>
              <w:t>material</w:t>
            </w:r>
            <w:r>
              <w:rPr>
                <w:spacing w:val="-7"/>
              </w:rPr>
              <w:t xml:space="preserve"> </w:t>
            </w:r>
            <w:r>
              <w:t>weaknesses,</w:t>
            </w:r>
            <w:r>
              <w:rPr>
                <w:spacing w:val="-7"/>
              </w:rPr>
              <w:t xml:space="preserve"> </w:t>
            </w:r>
            <w:r>
              <w:t>significant</w:t>
            </w:r>
            <w:r>
              <w:rPr>
                <w:spacing w:val="-8"/>
              </w:rPr>
              <w:t xml:space="preserve"> </w:t>
            </w:r>
            <w:r>
              <w:t>deficiencies, or other control deficiencies (FAM 590);</w:t>
            </w:r>
          </w:p>
        </w:tc>
        <w:tc>
          <w:tcPr>
            <w:tcW w:w="810" w:type="dxa"/>
            <w:tcBorders>
              <w:top w:val="single" w:sz="6" w:space="0" w:color="000000"/>
              <w:left w:val="single" w:sz="6" w:space="0" w:color="000000"/>
              <w:bottom w:val="single" w:sz="6" w:space="0" w:color="000000"/>
              <w:right w:val="single" w:sz="6" w:space="0" w:color="000000"/>
            </w:tcBorders>
          </w:tcPr>
          <w:p w14:paraId="0DFDD222"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223" w14:textId="77777777" w:rsidR="00046465" w:rsidRDefault="00046465">
            <w:pPr>
              <w:pStyle w:val="TableParagraph"/>
              <w:rPr>
                <w:rFonts w:ascii="Times New Roman"/>
              </w:rPr>
            </w:pPr>
          </w:p>
        </w:tc>
      </w:tr>
      <w:tr w:rsidR="00046465" w14:paraId="0DFDD228" w14:textId="77777777">
        <w:trPr>
          <w:trHeight w:val="998"/>
        </w:trPr>
        <w:tc>
          <w:tcPr>
            <w:tcW w:w="7380" w:type="dxa"/>
            <w:tcBorders>
              <w:top w:val="single" w:sz="6" w:space="0" w:color="000000"/>
              <w:bottom w:val="single" w:sz="6" w:space="0" w:color="000000"/>
              <w:right w:val="single" w:sz="6" w:space="0" w:color="000000"/>
            </w:tcBorders>
          </w:tcPr>
          <w:p w14:paraId="0DFDD225" w14:textId="77777777" w:rsidR="00046465" w:rsidRDefault="008134EB">
            <w:pPr>
              <w:pStyle w:val="TableParagraph"/>
              <w:spacing w:before="121"/>
              <w:ind w:left="1244" w:hanging="360"/>
            </w:pPr>
            <w:r>
              <w:t>b.</w:t>
            </w:r>
            <w:r>
              <w:rPr>
                <w:spacing w:val="80"/>
              </w:rPr>
              <w:t xml:space="preserve"> </w:t>
            </w:r>
            <w:r>
              <w:t>the entity’s financial management systems not complying substantially</w:t>
            </w:r>
            <w:r>
              <w:rPr>
                <w:spacing w:val="-6"/>
              </w:rPr>
              <w:t xml:space="preserve"> </w:t>
            </w:r>
            <w:r>
              <w:t>with</w:t>
            </w:r>
            <w:r>
              <w:rPr>
                <w:spacing w:val="-5"/>
              </w:rPr>
              <w:t xml:space="preserve"> </w:t>
            </w:r>
            <w:r>
              <w:t>the</w:t>
            </w:r>
            <w:r>
              <w:rPr>
                <w:spacing w:val="-5"/>
              </w:rPr>
              <w:t xml:space="preserve"> </w:t>
            </w:r>
            <w:r>
              <w:t>requirements</w:t>
            </w:r>
            <w:r>
              <w:rPr>
                <w:spacing w:val="-5"/>
              </w:rPr>
              <w:t xml:space="preserve"> </w:t>
            </w:r>
            <w:r>
              <w:t>of</w:t>
            </w:r>
            <w:r>
              <w:rPr>
                <w:spacing w:val="-5"/>
              </w:rPr>
              <w:t xml:space="preserve"> </w:t>
            </w:r>
            <w:r>
              <w:t>FFMIA</w:t>
            </w:r>
            <w:r>
              <w:rPr>
                <w:spacing w:val="-5"/>
              </w:rPr>
              <w:t xml:space="preserve"> </w:t>
            </w:r>
            <w:r>
              <w:t>(for</w:t>
            </w:r>
            <w:r>
              <w:rPr>
                <w:spacing w:val="-4"/>
              </w:rPr>
              <w:t xml:space="preserve"> </w:t>
            </w:r>
            <w:r>
              <w:t>CFO</w:t>
            </w:r>
            <w:r>
              <w:rPr>
                <w:spacing w:val="-6"/>
              </w:rPr>
              <w:t xml:space="preserve"> </w:t>
            </w:r>
            <w:r>
              <w:t>Act agencies) (FAM 590); and</w:t>
            </w:r>
          </w:p>
        </w:tc>
        <w:tc>
          <w:tcPr>
            <w:tcW w:w="810" w:type="dxa"/>
            <w:tcBorders>
              <w:top w:val="single" w:sz="6" w:space="0" w:color="000000"/>
              <w:left w:val="single" w:sz="6" w:space="0" w:color="000000"/>
              <w:bottom w:val="single" w:sz="6" w:space="0" w:color="000000"/>
              <w:right w:val="single" w:sz="6" w:space="0" w:color="000000"/>
            </w:tcBorders>
          </w:tcPr>
          <w:p w14:paraId="0DFDD226"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227" w14:textId="77777777" w:rsidR="00046465" w:rsidRDefault="00046465">
            <w:pPr>
              <w:pStyle w:val="TableParagraph"/>
              <w:rPr>
                <w:rFonts w:ascii="Times New Roman"/>
              </w:rPr>
            </w:pPr>
          </w:p>
        </w:tc>
      </w:tr>
      <w:tr w:rsidR="00046465" w14:paraId="0DFDD22C" w14:textId="77777777">
        <w:trPr>
          <w:trHeight w:val="998"/>
        </w:trPr>
        <w:tc>
          <w:tcPr>
            <w:tcW w:w="7380" w:type="dxa"/>
            <w:tcBorders>
              <w:top w:val="single" w:sz="6" w:space="0" w:color="000000"/>
              <w:bottom w:val="single" w:sz="6" w:space="0" w:color="000000"/>
              <w:right w:val="single" w:sz="6" w:space="0" w:color="000000"/>
            </w:tcBorders>
          </w:tcPr>
          <w:p w14:paraId="0DFDD229" w14:textId="77777777" w:rsidR="00046465" w:rsidRDefault="008134EB">
            <w:pPr>
              <w:pStyle w:val="TableParagraph"/>
              <w:spacing w:before="121"/>
              <w:ind w:left="1244" w:hanging="360"/>
            </w:pPr>
            <w:r>
              <w:t>c.</w:t>
            </w:r>
            <w:r>
              <w:rPr>
                <w:spacing w:val="80"/>
              </w:rPr>
              <w:t xml:space="preserve"> </w:t>
            </w:r>
            <w:r>
              <w:t>noncompliance</w:t>
            </w:r>
            <w:r>
              <w:rPr>
                <w:spacing w:val="-4"/>
              </w:rPr>
              <w:t xml:space="preserve"> </w:t>
            </w:r>
            <w:r>
              <w:t>with</w:t>
            </w:r>
            <w:r>
              <w:rPr>
                <w:spacing w:val="-4"/>
              </w:rPr>
              <w:t xml:space="preserve"> </w:t>
            </w:r>
            <w:r>
              <w:t>significant</w:t>
            </w:r>
            <w:r>
              <w:rPr>
                <w:spacing w:val="-4"/>
              </w:rPr>
              <w:t xml:space="preserve"> </w:t>
            </w:r>
            <w:r>
              <w:t>provisions</w:t>
            </w:r>
            <w:r>
              <w:rPr>
                <w:spacing w:val="-4"/>
              </w:rPr>
              <w:t xml:space="preserve"> </w:t>
            </w:r>
            <w:r>
              <w:t>of</w:t>
            </w:r>
            <w:r>
              <w:rPr>
                <w:spacing w:val="-5"/>
              </w:rPr>
              <w:t xml:space="preserve"> </w:t>
            </w:r>
            <w:r>
              <w:t>applicable</w:t>
            </w:r>
            <w:r>
              <w:rPr>
                <w:spacing w:val="-5"/>
              </w:rPr>
              <w:t xml:space="preserve"> </w:t>
            </w:r>
            <w:r>
              <w:t xml:space="preserve">laws, regulations, contracts, and grant agreements (FAM 590), if </w:t>
            </w:r>
            <w:r>
              <w:rPr>
                <w:spacing w:val="-4"/>
              </w:rPr>
              <w:t>any?</w:t>
            </w:r>
          </w:p>
        </w:tc>
        <w:tc>
          <w:tcPr>
            <w:tcW w:w="810" w:type="dxa"/>
            <w:tcBorders>
              <w:top w:val="single" w:sz="6" w:space="0" w:color="000000"/>
              <w:left w:val="single" w:sz="6" w:space="0" w:color="000000"/>
              <w:bottom w:val="single" w:sz="6" w:space="0" w:color="000000"/>
              <w:right w:val="single" w:sz="6" w:space="0" w:color="000000"/>
            </w:tcBorders>
          </w:tcPr>
          <w:p w14:paraId="0DFDD22A"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22B" w14:textId="77777777" w:rsidR="00046465" w:rsidRDefault="00046465">
            <w:pPr>
              <w:pStyle w:val="TableParagraph"/>
              <w:rPr>
                <w:rFonts w:ascii="Times New Roman"/>
              </w:rPr>
            </w:pPr>
          </w:p>
        </w:tc>
      </w:tr>
      <w:tr w:rsidR="00046465" w14:paraId="0DFDD230" w14:textId="77777777">
        <w:trPr>
          <w:trHeight w:val="745"/>
        </w:trPr>
        <w:tc>
          <w:tcPr>
            <w:tcW w:w="7380" w:type="dxa"/>
            <w:tcBorders>
              <w:top w:val="single" w:sz="6" w:space="0" w:color="000000"/>
              <w:bottom w:val="single" w:sz="6" w:space="0" w:color="000000"/>
              <w:right w:val="single" w:sz="6" w:space="0" w:color="000000"/>
            </w:tcBorders>
          </w:tcPr>
          <w:p w14:paraId="0DFDD22D" w14:textId="77777777" w:rsidR="00046465" w:rsidRDefault="008134EB">
            <w:pPr>
              <w:pStyle w:val="TableParagraph"/>
              <w:spacing w:before="121"/>
              <w:ind w:left="915" w:hanging="360"/>
            </w:pPr>
            <w:r>
              <w:t>11.</w:t>
            </w:r>
            <w:r>
              <w:rPr>
                <w:spacing w:val="-11"/>
              </w:rPr>
              <w:t xml:space="preserve"> </w:t>
            </w:r>
            <w:r>
              <w:t>Did</w:t>
            </w:r>
            <w:r>
              <w:rPr>
                <w:spacing w:val="-4"/>
              </w:rPr>
              <w:t xml:space="preserve"> </w:t>
            </w:r>
            <w:r>
              <w:t>the</w:t>
            </w:r>
            <w:r>
              <w:rPr>
                <w:spacing w:val="-4"/>
              </w:rPr>
              <w:t xml:space="preserve"> </w:t>
            </w:r>
            <w:r>
              <w:t>auditor</w:t>
            </w:r>
            <w:r>
              <w:rPr>
                <w:spacing w:val="-4"/>
              </w:rPr>
              <w:t xml:space="preserve"> </w:t>
            </w:r>
            <w:r>
              <w:t>develop</w:t>
            </w:r>
            <w:r>
              <w:rPr>
                <w:spacing w:val="-4"/>
              </w:rPr>
              <w:t xml:space="preserve"> </w:t>
            </w:r>
            <w:r>
              <w:t>the</w:t>
            </w:r>
            <w:r>
              <w:rPr>
                <w:spacing w:val="-4"/>
              </w:rPr>
              <w:t xml:space="preserve"> </w:t>
            </w:r>
            <w:r>
              <w:t>elements</w:t>
            </w:r>
            <w:r>
              <w:rPr>
                <w:spacing w:val="-4"/>
              </w:rPr>
              <w:t xml:space="preserve"> </w:t>
            </w:r>
            <w:r>
              <w:t>of</w:t>
            </w:r>
            <w:r>
              <w:rPr>
                <w:spacing w:val="-4"/>
              </w:rPr>
              <w:t xml:space="preserve"> </w:t>
            </w:r>
            <w:r>
              <w:t>audit</w:t>
            </w:r>
            <w:r>
              <w:rPr>
                <w:spacing w:val="-4"/>
              </w:rPr>
              <w:t xml:space="preserve"> </w:t>
            </w:r>
            <w:r>
              <w:t>findings</w:t>
            </w:r>
            <w:r>
              <w:rPr>
                <w:spacing w:val="-4"/>
              </w:rPr>
              <w:t xml:space="preserve"> </w:t>
            </w:r>
            <w:r>
              <w:t>to</w:t>
            </w:r>
            <w:r>
              <w:rPr>
                <w:spacing w:val="-4"/>
              </w:rPr>
              <w:t xml:space="preserve"> </w:t>
            </w:r>
            <w:r>
              <w:t>include (where appropriate and known) the</w:t>
            </w:r>
          </w:p>
        </w:tc>
        <w:tc>
          <w:tcPr>
            <w:tcW w:w="810" w:type="dxa"/>
            <w:tcBorders>
              <w:top w:val="single" w:sz="6" w:space="0" w:color="000000"/>
              <w:left w:val="single" w:sz="6" w:space="0" w:color="000000"/>
              <w:bottom w:val="single" w:sz="6" w:space="0" w:color="000000"/>
              <w:right w:val="single" w:sz="6" w:space="0" w:color="000000"/>
            </w:tcBorders>
            <w:shd w:val="clear" w:color="auto" w:fill="A6A6A6"/>
          </w:tcPr>
          <w:p w14:paraId="0DFDD22E"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shd w:val="clear" w:color="auto" w:fill="A6A6A6"/>
          </w:tcPr>
          <w:p w14:paraId="0DFDD22F" w14:textId="77777777" w:rsidR="00046465" w:rsidRDefault="00046465">
            <w:pPr>
              <w:pStyle w:val="TableParagraph"/>
              <w:rPr>
                <w:rFonts w:ascii="Times New Roman"/>
              </w:rPr>
            </w:pPr>
          </w:p>
        </w:tc>
      </w:tr>
      <w:tr w:rsidR="00046465" w14:paraId="0DFDD234" w14:textId="77777777">
        <w:trPr>
          <w:trHeight w:val="493"/>
        </w:trPr>
        <w:tc>
          <w:tcPr>
            <w:tcW w:w="7380" w:type="dxa"/>
            <w:tcBorders>
              <w:top w:val="single" w:sz="6" w:space="0" w:color="000000"/>
              <w:bottom w:val="single" w:sz="6" w:space="0" w:color="000000"/>
              <w:right w:val="single" w:sz="6" w:space="0" w:color="000000"/>
            </w:tcBorders>
          </w:tcPr>
          <w:p w14:paraId="0DFDD231" w14:textId="77777777" w:rsidR="00046465" w:rsidRDefault="008134EB">
            <w:pPr>
              <w:pStyle w:val="TableParagraph"/>
              <w:tabs>
                <w:tab w:val="left" w:pos="1334"/>
              </w:tabs>
              <w:spacing w:before="121"/>
              <w:ind w:left="944"/>
            </w:pPr>
            <w:r>
              <w:rPr>
                <w:spacing w:val="-5"/>
              </w:rPr>
              <w:t>a.</w:t>
            </w:r>
            <w:r>
              <w:tab/>
              <w:t>condition</w:t>
            </w:r>
            <w:r>
              <w:rPr>
                <w:spacing w:val="-8"/>
              </w:rPr>
              <w:t xml:space="preserve"> </w:t>
            </w:r>
            <w:r>
              <w:t>(describe</w:t>
            </w:r>
            <w:r>
              <w:rPr>
                <w:spacing w:val="-7"/>
              </w:rPr>
              <w:t xml:space="preserve"> </w:t>
            </w:r>
            <w:r>
              <w:t>the</w:t>
            </w:r>
            <w:r>
              <w:rPr>
                <w:spacing w:val="-9"/>
              </w:rPr>
              <w:t xml:space="preserve"> </w:t>
            </w:r>
            <w:r>
              <w:t>existing</w:t>
            </w:r>
            <w:r>
              <w:rPr>
                <w:spacing w:val="-8"/>
              </w:rPr>
              <w:t xml:space="preserve"> </w:t>
            </w:r>
            <w:r>
              <w:rPr>
                <w:spacing w:val="-2"/>
              </w:rPr>
              <w:t>situation),</w:t>
            </w:r>
          </w:p>
        </w:tc>
        <w:tc>
          <w:tcPr>
            <w:tcW w:w="810" w:type="dxa"/>
            <w:tcBorders>
              <w:top w:val="single" w:sz="6" w:space="0" w:color="000000"/>
              <w:left w:val="single" w:sz="6" w:space="0" w:color="000000"/>
              <w:bottom w:val="single" w:sz="6" w:space="0" w:color="000000"/>
              <w:right w:val="single" w:sz="6" w:space="0" w:color="000000"/>
            </w:tcBorders>
          </w:tcPr>
          <w:p w14:paraId="0DFDD232"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233" w14:textId="77777777" w:rsidR="00046465" w:rsidRDefault="00046465">
            <w:pPr>
              <w:pStyle w:val="TableParagraph"/>
              <w:rPr>
                <w:rFonts w:ascii="Times New Roman"/>
              </w:rPr>
            </w:pPr>
          </w:p>
        </w:tc>
      </w:tr>
      <w:tr w:rsidR="00046465" w14:paraId="0DFDD238" w14:textId="77777777">
        <w:trPr>
          <w:trHeight w:val="492"/>
        </w:trPr>
        <w:tc>
          <w:tcPr>
            <w:tcW w:w="7380" w:type="dxa"/>
            <w:tcBorders>
              <w:top w:val="single" w:sz="6" w:space="0" w:color="000000"/>
              <w:bottom w:val="single" w:sz="6" w:space="0" w:color="000000"/>
              <w:right w:val="single" w:sz="6" w:space="0" w:color="000000"/>
            </w:tcBorders>
          </w:tcPr>
          <w:p w14:paraId="0DFDD235" w14:textId="77777777" w:rsidR="00046465" w:rsidRDefault="008134EB">
            <w:pPr>
              <w:pStyle w:val="TableParagraph"/>
              <w:tabs>
                <w:tab w:val="left" w:pos="1334"/>
              </w:tabs>
              <w:spacing w:before="119"/>
              <w:ind w:left="944"/>
            </w:pPr>
            <w:r>
              <w:rPr>
                <w:spacing w:val="-5"/>
              </w:rPr>
              <w:t>b.</w:t>
            </w:r>
            <w:r>
              <w:tab/>
              <w:t>criteria</w:t>
            </w:r>
            <w:r>
              <w:rPr>
                <w:spacing w:val="-7"/>
              </w:rPr>
              <w:t xml:space="preserve"> </w:t>
            </w:r>
            <w:r>
              <w:t>(state</w:t>
            </w:r>
            <w:r>
              <w:rPr>
                <w:spacing w:val="-6"/>
              </w:rPr>
              <w:t xml:space="preserve"> </w:t>
            </w:r>
            <w:r>
              <w:t>what</w:t>
            </w:r>
            <w:r>
              <w:rPr>
                <w:spacing w:val="-6"/>
              </w:rPr>
              <w:t xml:space="preserve"> </w:t>
            </w:r>
            <w:r>
              <w:t>we</w:t>
            </w:r>
            <w:r>
              <w:rPr>
                <w:spacing w:val="-7"/>
              </w:rPr>
              <w:t xml:space="preserve"> </w:t>
            </w:r>
            <w:r>
              <w:t>are</w:t>
            </w:r>
            <w:r>
              <w:rPr>
                <w:spacing w:val="-6"/>
              </w:rPr>
              <w:t xml:space="preserve"> </w:t>
            </w:r>
            <w:r>
              <w:t>comparing</w:t>
            </w:r>
            <w:r>
              <w:rPr>
                <w:spacing w:val="-7"/>
              </w:rPr>
              <w:t xml:space="preserve"> </w:t>
            </w:r>
            <w:r>
              <w:rPr>
                <w:spacing w:val="-4"/>
              </w:rPr>
              <w:t>to),</w:t>
            </w:r>
          </w:p>
        </w:tc>
        <w:tc>
          <w:tcPr>
            <w:tcW w:w="810" w:type="dxa"/>
            <w:tcBorders>
              <w:top w:val="single" w:sz="6" w:space="0" w:color="000000"/>
              <w:left w:val="single" w:sz="6" w:space="0" w:color="000000"/>
              <w:bottom w:val="single" w:sz="6" w:space="0" w:color="000000"/>
              <w:right w:val="single" w:sz="6" w:space="0" w:color="000000"/>
            </w:tcBorders>
          </w:tcPr>
          <w:p w14:paraId="0DFDD236"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237" w14:textId="77777777" w:rsidR="00046465" w:rsidRDefault="00046465">
            <w:pPr>
              <w:pStyle w:val="TableParagraph"/>
              <w:rPr>
                <w:rFonts w:ascii="Times New Roman"/>
              </w:rPr>
            </w:pPr>
          </w:p>
        </w:tc>
      </w:tr>
      <w:tr w:rsidR="00046465" w14:paraId="0DFDD23C" w14:textId="77777777">
        <w:trPr>
          <w:trHeight w:val="745"/>
        </w:trPr>
        <w:tc>
          <w:tcPr>
            <w:tcW w:w="7380" w:type="dxa"/>
            <w:tcBorders>
              <w:top w:val="single" w:sz="6" w:space="0" w:color="000000"/>
              <w:bottom w:val="single" w:sz="6" w:space="0" w:color="000000"/>
              <w:right w:val="single" w:sz="6" w:space="0" w:color="000000"/>
            </w:tcBorders>
          </w:tcPr>
          <w:p w14:paraId="0DFDD239" w14:textId="77777777" w:rsidR="00046465" w:rsidRDefault="008134EB">
            <w:pPr>
              <w:pStyle w:val="TableParagraph"/>
              <w:tabs>
                <w:tab w:val="left" w:pos="1334"/>
              </w:tabs>
              <w:spacing w:before="119"/>
              <w:ind w:left="1304" w:right="670" w:hanging="360"/>
            </w:pPr>
            <w:r>
              <w:rPr>
                <w:spacing w:val="-6"/>
              </w:rPr>
              <w:t>c.</w:t>
            </w:r>
            <w:r>
              <w:tab/>
            </w:r>
            <w:r>
              <w:tab/>
              <w:t>cause</w:t>
            </w:r>
            <w:r>
              <w:rPr>
                <w:spacing w:val="-5"/>
              </w:rPr>
              <w:t xml:space="preserve"> </w:t>
            </w:r>
            <w:r>
              <w:t>(reflect</w:t>
            </w:r>
            <w:r>
              <w:rPr>
                <w:spacing w:val="-5"/>
              </w:rPr>
              <w:t xml:space="preserve"> </w:t>
            </w:r>
            <w:r>
              <w:t>reason</w:t>
            </w:r>
            <w:r>
              <w:rPr>
                <w:spacing w:val="-5"/>
              </w:rPr>
              <w:t xml:space="preserve"> </w:t>
            </w:r>
            <w:r>
              <w:t>or</w:t>
            </w:r>
            <w:r>
              <w:rPr>
                <w:spacing w:val="-7"/>
              </w:rPr>
              <w:t xml:space="preserve"> </w:t>
            </w:r>
            <w:r>
              <w:t>reasons</w:t>
            </w:r>
            <w:r>
              <w:rPr>
                <w:spacing w:val="-5"/>
              </w:rPr>
              <w:t xml:space="preserve"> </w:t>
            </w:r>
            <w:r>
              <w:t>why</w:t>
            </w:r>
            <w:r>
              <w:rPr>
                <w:spacing w:val="-5"/>
              </w:rPr>
              <w:t xml:space="preserve"> </w:t>
            </w:r>
            <w:r>
              <w:t>the</w:t>
            </w:r>
            <w:r>
              <w:rPr>
                <w:spacing w:val="-5"/>
              </w:rPr>
              <w:t xml:space="preserve"> </w:t>
            </w:r>
            <w:r>
              <w:t>condition</w:t>
            </w:r>
            <w:r>
              <w:rPr>
                <w:spacing w:val="-5"/>
              </w:rPr>
              <w:t xml:space="preserve"> </w:t>
            </w:r>
            <w:r>
              <w:t>and criteria differ), and</w:t>
            </w:r>
          </w:p>
        </w:tc>
        <w:tc>
          <w:tcPr>
            <w:tcW w:w="810" w:type="dxa"/>
            <w:tcBorders>
              <w:top w:val="single" w:sz="6" w:space="0" w:color="000000"/>
              <w:left w:val="single" w:sz="6" w:space="0" w:color="000000"/>
              <w:bottom w:val="single" w:sz="6" w:space="0" w:color="000000"/>
              <w:right w:val="single" w:sz="6" w:space="0" w:color="000000"/>
            </w:tcBorders>
          </w:tcPr>
          <w:p w14:paraId="0DFDD23A"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23B" w14:textId="77777777" w:rsidR="00046465" w:rsidRDefault="00046465">
            <w:pPr>
              <w:pStyle w:val="TableParagraph"/>
              <w:rPr>
                <w:rFonts w:ascii="Times New Roman"/>
              </w:rPr>
            </w:pPr>
          </w:p>
        </w:tc>
      </w:tr>
      <w:tr w:rsidR="00046465" w14:paraId="0DFDD241" w14:textId="77777777">
        <w:trPr>
          <w:trHeight w:val="998"/>
        </w:trPr>
        <w:tc>
          <w:tcPr>
            <w:tcW w:w="7380" w:type="dxa"/>
            <w:tcBorders>
              <w:top w:val="single" w:sz="6" w:space="0" w:color="000000"/>
              <w:bottom w:val="single" w:sz="6" w:space="0" w:color="000000"/>
              <w:right w:val="single" w:sz="6" w:space="0" w:color="000000"/>
            </w:tcBorders>
          </w:tcPr>
          <w:p w14:paraId="0DFDD23D" w14:textId="77777777" w:rsidR="00046465" w:rsidRDefault="008134EB">
            <w:pPr>
              <w:pStyle w:val="TableParagraph"/>
              <w:tabs>
                <w:tab w:val="left" w:pos="1334"/>
              </w:tabs>
              <w:spacing w:before="121"/>
              <w:ind w:left="1304" w:right="332" w:hanging="360"/>
            </w:pPr>
            <w:r>
              <w:rPr>
                <w:spacing w:val="-6"/>
              </w:rPr>
              <w:t>d.</w:t>
            </w:r>
            <w:r>
              <w:tab/>
            </w:r>
            <w:r>
              <w:tab/>
              <w:t>effect (describe the result of the difference between the condition</w:t>
            </w:r>
            <w:r>
              <w:rPr>
                <w:spacing w:val="-5"/>
              </w:rPr>
              <w:t xml:space="preserve"> </w:t>
            </w:r>
            <w:r>
              <w:t>and</w:t>
            </w:r>
            <w:r>
              <w:rPr>
                <w:spacing w:val="-5"/>
              </w:rPr>
              <w:t xml:space="preserve"> </w:t>
            </w:r>
            <w:r>
              <w:t>criteria)?</w:t>
            </w:r>
            <w:r>
              <w:rPr>
                <w:spacing w:val="-5"/>
              </w:rPr>
              <w:t xml:space="preserve"> </w:t>
            </w:r>
            <w:r>
              <w:t>(FAM</w:t>
            </w:r>
            <w:r>
              <w:rPr>
                <w:spacing w:val="-6"/>
              </w:rPr>
              <w:t xml:space="preserve"> </w:t>
            </w:r>
            <w:r>
              <w:t>580</w:t>
            </w:r>
            <w:r>
              <w:rPr>
                <w:spacing w:val="-5"/>
              </w:rPr>
              <w:t xml:space="preserve"> </w:t>
            </w:r>
            <w:r>
              <w:t>and</w:t>
            </w:r>
            <w:r>
              <w:rPr>
                <w:spacing w:val="-5"/>
              </w:rPr>
              <w:t xml:space="preserve"> </w:t>
            </w:r>
            <w:r>
              <w:t>GAGAS</w:t>
            </w:r>
            <w:r>
              <w:rPr>
                <w:spacing w:val="-5"/>
              </w:rPr>
              <w:t xml:space="preserve"> </w:t>
            </w:r>
            <w:r>
              <w:t>(2018)</w:t>
            </w:r>
            <w:r>
              <w:rPr>
                <w:spacing w:val="-5"/>
              </w:rPr>
              <w:t xml:space="preserve"> </w:t>
            </w:r>
            <w:r>
              <w:t>6.25</w:t>
            </w:r>
          </w:p>
          <w:p w14:paraId="0DFDD23E" w14:textId="77777777" w:rsidR="00046465" w:rsidRDefault="008134EB">
            <w:pPr>
              <w:pStyle w:val="TableParagraph"/>
              <w:spacing w:line="252" w:lineRule="exact"/>
              <w:ind w:left="1304"/>
            </w:pPr>
            <w:r>
              <w:t>through</w:t>
            </w:r>
            <w:r>
              <w:rPr>
                <w:spacing w:val="-8"/>
              </w:rPr>
              <w:t xml:space="preserve"> </w:t>
            </w:r>
            <w:r>
              <w:rPr>
                <w:spacing w:val="-2"/>
              </w:rPr>
              <w:t>6.28)</w:t>
            </w:r>
          </w:p>
        </w:tc>
        <w:tc>
          <w:tcPr>
            <w:tcW w:w="810" w:type="dxa"/>
            <w:tcBorders>
              <w:top w:val="single" w:sz="6" w:space="0" w:color="000000"/>
              <w:left w:val="single" w:sz="6" w:space="0" w:color="000000"/>
              <w:bottom w:val="single" w:sz="6" w:space="0" w:color="000000"/>
              <w:right w:val="single" w:sz="6" w:space="0" w:color="000000"/>
            </w:tcBorders>
          </w:tcPr>
          <w:p w14:paraId="0DFDD23F"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240" w14:textId="77777777" w:rsidR="00046465" w:rsidRDefault="00046465">
            <w:pPr>
              <w:pStyle w:val="TableParagraph"/>
              <w:rPr>
                <w:rFonts w:ascii="Times New Roman"/>
              </w:rPr>
            </w:pPr>
          </w:p>
        </w:tc>
      </w:tr>
      <w:tr w:rsidR="00046465" w14:paraId="0DFDD245" w14:textId="77777777">
        <w:trPr>
          <w:trHeight w:val="745"/>
        </w:trPr>
        <w:tc>
          <w:tcPr>
            <w:tcW w:w="7380" w:type="dxa"/>
            <w:tcBorders>
              <w:top w:val="single" w:sz="6" w:space="0" w:color="000000"/>
              <w:bottom w:val="single" w:sz="6" w:space="0" w:color="000000"/>
              <w:right w:val="single" w:sz="6" w:space="0" w:color="000000"/>
            </w:tcBorders>
          </w:tcPr>
          <w:p w14:paraId="0DFDD242" w14:textId="77777777" w:rsidR="00046465" w:rsidRDefault="008134EB">
            <w:pPr>
              <w:pStyle w:val="TableParagraph"/>
              <w:spacing w:before="119"/>
              <w:ind w:left="915" w:right="150" w:hanging="360"/>
            </w:pPr>
            <w:r>
              <w:t>12.</w:t>
            </w:r>
            <w:r>
              <w:rPr>
                <w:spacing w:val="-12"/>
              </w:rPr>
              <w:t xml:space="preserve"> </w:t>
            </w:r>
            <w:r>
              <w:t>Are</w:t>
            </w:r>
            <w:r>
              <w:rPr>
                <w:spacing w:val="-6"/>
              </w:rPr>
              <w:t xml:space="preserve"> </w:t>
            </w:r>
            <w:r>
              <w:t>recommendations</w:t>
            </w:r>
            <w:r>
              <w:rPr>
                <w:spacing w:val="-6"/>
              </w:rPr>
              <w:t xml:space="preserve"> </w:t>
            </w:r>
            <w:r>
              <w:t>and</w:t>
            </w:r>
            <w:r>
              <w:rPr>
                <w:spacing w:val="-6"/>
              </w:rPr>
              <w:t xml:space="preserve"> </w:t>
            </w:r>
            <w:r>
              <w:t>suggestions</w:t>
            </w:r>
            <w:r>
              <w:rPr>
                <w:spacing w:val="-6"/>
              </w:rPr>
              <w:t xml:space="preserve"> </w:t>
            </w:r>
            <w:r>
              <w:t>(if</w:t>
            </w:r>
            <w:r>
              <w:rPr>
                <w:spacing w:val="-6"/>
              </w:rPr>
              <w:t xml:space="preserve"> </w:t>
            </w:r>
            <w:r>
              <w:t>any)</w:t>
            </w:r>
            <w:r>
              <w:rPr>
                <w:spacing w:val="-6"/>
              </w:rPr>
              <w:t xml:space="preserve"> </w:t>
            </w:r>
            <w:r>
              <w:t>reasonable, doable, and cost-effective?</w:t>
            </w:r>
          </w:p>
        </w:tc>
        <w:tc>
          <w:tcPr>
            <w:tcW w:w="810" w:type="dxa"/>
            <w:tcBorders>
              <w:top w:val="single" w:sz="6" w:space="0" w:color="000000"/>
              <w:left w:val="single" w:sz="6" w:space="0" w:color="000000"/>
              <w:bottom w:val="single" w:sz="6" w:space="0" w:color="000000"/>
              <w:right w:val="single" w:sz="6" w:space="0" w:color="000000"/>
            </w:tcBorders>
          </w:tcPr>
          <w:p w14:paraId="0DFDD243"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tcPr>
          <w:p w14:paraId="0DFDD244" w14:textId="77777777" w:rsidR="00046465" w:rsidRDefault="00046465">
            <w:pPr>
              <w:pStyle w:val="TableParagraph"/>
              <w:rPr>
                <w:rFonts w:ascii="Times New Roman"/>
              </w:rPr>
            </w:pPr>
          </w:p>
        </w:tc>
      </w:tr>
      <w:tr w:rsidR="00046465" w14:paraId="0DFDD249" w14:textId="77777777">
        <w:trPr>
          <w:trHeight w:val="745"/>
        </w:trPr>
        <w:tc>
          <w:tcPr>
            <w:tcW w:w="7380" w:type="dxa"/>
            <w:tcBorders>
              <w:top w:val="single" w:sz="6" w:space="0" w:color="000000"/>
              <w:bottom w:val="single" w:sz="6" w:space="0" w:color="000000"/>
              <w:right w:val="single" w:sz="6" w:space="0" w:color="000000"/>
            </w:tcBorders>
          </w:tcPr>
          <w:p w14:paraId="0DFDD246" w14:textId="77777777" w:rsidR="00046465" w:rsidRDefault="008134EB">
            <w:pPr>
              <w:pStyle w:val="TableParagraph"/>
              <w:spacing w:before="121"/>
              <w:ind w:left="915" w:right="150" w:hanging="360"/>
            </w:pPr>
            <w:r>
              <w:t>13.</w:t>
            </w:r>
            <w:r>
              <w:rPr>
                <w:spacing w:val="-11"/>
              </w:rPr>
              <w:t xml:space="preserve"> </w:t>
            </w:r>
            <w:r>
              <w:t>In</w:t>
            </w:r>
            <w:r>
              <w:rPr>
                <w:spacing w:val="-4"/>
              </w:rPr>
              <w:t xml:space="preserve"> </w:t>
            </w:r>
            <w:r>
              <w:t>addition</w:t>
            </w:r>
            <w:r>
              <w:rPr>
                <w:spacing w:val="-4"/>
              </w:rPr>
              <w:t xml:space="preserve"> </w:t>
            </w:r>
            <w:r>
              <w:t>to</w:t>
            </w:r>
            <w:r>
              <w:rPr>
                <w:spacing w:val="-4"/>
              </w:rPr>
              <w:t xml:space="preserve"> </w:t>
            </w:r>
            <w:r>
              <w:t>the</w:t>
            </w:r>
            <w:r>
              <w:rPr>
                <w:spacing w:val="-4"/>
              </w:rPr>
              <w:t xml:space="preserve"> </w:t>
            </w:r>
            <w:r>
              <w:t>questions</w:t>
            </w:r>
            <w:r>
              <w:rPr>
                <w:spacing w:val="-4"/>
              </w:rPr>
              <w:t xml:space="preserve"> </w:t>
            </w:r>
            <w:r>
              <w:t>above,</w:t>
            </w:r>
            <w:r>
              <w:rPr>
                <w:spacing w:val="-5"/>
              </w:rPr>
              <w:t xml:space="preserve"> </w:t>
            </w:r>
            <w:r>
              <w:t>determine</w:t>
            </w:r>
            <w:r>
              <w:rPr>
                <w:spacing w:val="-4"/>
              </w:rPr>
              <w:t xml:space="preserve"> </w:t>
            </w:r>
            <w:r>
              <w:t>whether</w:t>
            </w:r>
            <w:r>
              <w:rPr>
                <w:spacing w:val="-4"/>
              </w:rPr>
              <w:t xml:space="preserve"> </w:t>
            </w:r>
            <w:r>
              <w:t>the following objectives were achieved. (AU-C 200.23)</w:t>
            </w:r>
          </w:p>
        </w:tc>
        <w:tc>
          <w:tcPr>
            <w:tcW w:w="810" w:type="dxa"/>
            <w:tcBorders>
              <w:top w:val="single" w:sz="6" w:space="0" w:color="000000"/>
              <w:left w:val="single" w:sz="6" w:space="0" w:color="000000"/>
              <w:bottom w:val="single" w:sz="6" w:space="0" w:color="000000"/>
              <w:right w:val="single" w:sz="6" w:space="0" w:color="000000"/>
            </w:tcBorders>
            <w:shd w:val="clear" w:color="auto" w:fill="BEBEBE"/>
          </w:tcPr>
          <w:p w14:paraId="0DFDD247"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shd w:val="clear" w:color="auto" w:fill="BEBEBE"/>
          </w:tcPr>
          <w:p w14:paraId="0DFDD248" w14:textId="77777777" w:rsidR="00046465" w:rsidRDefault="00046465">
            <w:pPr>
              <w:pStyle w:val="TableParagraph"/>
              <w:rPr>
                <w:rFonts w:ascii="Times New Roman"/>
              </w:rPr>
            </w:pPr>
          </w:p>
        </w:tc>
      </w:tr>
      <w:tr w:rsidR="00046465" w14:paraId="0DFDD24F" w14:textId="77777777">
        <w:trPr>
          <w:trHeight w:val="1908"/>
        </w:trPr>
        <w:tc>
          <w:tcPr>
            <w:tcW w:w="7380" w:type="dxa"/>
            <w:tcBorders>
              <w:top w:val="single" w:sz="6" w:space="0" w:color="000000"/>
              <w:bottom w:val="single" w:sz="6" w:space="0" w:color="000000"/>
              <w:right w:val="single" w:sz="6" w:space="0" w:color="000000"/>
            </w:tcBorders>
          </w:tcPr>
          <w:p w14:paraId="0DFDD24A" w14:textId="77777777" w:rsidR="00046465" w:rsidRDefault="008134EB">
            <w:pPr>
              <w:pStyle w:val="TableParagraph"/>
              <w:numPr>
                <w:ilvl w:val="0"/>
                <w:numId w:val="40"/>
              </w:numPr>
              <w:tabs>
                <w:tab w:val="left" w:pos="1334"/>
              </w:tabs>
              <w:spacing w:before="121"/>
            </w:pPr>
            <w:r>
              <w:t>Did</w:t>
            </w:r>
            <w:r>
              <w:rPr>
                <w:spacing w:val="-4"/>
              </w:rPr>
              <w:t xml:space="preserve"> </w:t>
            </w:r>
            <w:r>
              <w:t>the</w:t>
            </w:r>
            <w:r>
              <w:rPr>
                <w:spacing w:val="-4"/>
              </w:rPr>
              <w:t xml:space="preserve"> </w:t>
            </w:r>
            <w:r>
              <w:rPr>
                <w:spacing w:val="-2"/>
              </w:rPr>
              <w:t>auditor</w:t>
            </w:r>
          </w:p>
          <w:p w14:paraId="0DFDD24B" w14:textId="77777777" w:rsidR="00046465" w:rsidRDefault="008134EB">
            <w:pPr>
              <w:pStyle w:val="TableParagraph"/>
              <w:numPr>
                <w:ilvl w:val="1"/>
                <w:numId w:val="40"/>
              </w:numPr>
              <w:tabs>
                <w:tab w:val="left" w:pos="1693"/>
              </w:tabs>
              <w:spacing w:before="119"/>
              <w:ind w:right="443" w:hanging="361"/>
            </w:pPr>
            <w:r>
              <w:t>provide those charged with governance with timely observations</w:t>
            </w:r>
            <w:r>
              <w:rPr>
                <w:spacing w:val="-5"/>
              </w:rPr>
              <w:t xml:space="preserve"> </w:t>
            </w:r>
            <w:r>
              <w:t>arising</w:t>
            </w:r>
            <w:r>
              <w:rPr>
                <w:spacing w:val="-5"/>
              </w:rPr>
              <w:t xml:space="preserve"> </w:t>
            </w:r>
            <w:r>
              <w:t>from</w:t>
            </w:r>
            <w:r>
              <w:rPr>
                <w:spacing w:val="-6"/>
              </w:rPr>
              <w:t xml:space="preserve"> </w:t>
            </w:r>
            <w:r>
              <w:t>the</w:t>
            </w:r>
            <w:r>
              <w:rPr>
                <w:spacing w:val="-5"/>
              </w:rPr>
              <w:t xml:space="preserve"> </w:t>
            </w:r>
            <w:r>
              <w:t>audit</w:t>
            </w:r>
            <w:r>
              <w:rPr>
                <w:spacing w:val="-5"/>
              </w:rPr>
              <w:t xml:space="preserve"> </w:t>
            </w:r>
            <w:r>
              <w:t>that</w:t>
            </w:r>
            <w:r>
              <w:rPr>
                <w:spacing w:val="-5"/>
              </w:rPr>
              <w:t xml:space="preserve"> </w:t>
            </w:r>
            <w:r>
              <w:t>are</w:t>
            </w:r>
            <w:r>
              <w:rPr>
                <w:spacing w:val="-5"/>
              </w:rPr>
              <w:t xml:space="preserve"> </w:t>
            </w:r>
            <w:r>
              <w:t>significant and relevant to their responsibility to oversee the financial reporting process and</w:t>
            </w:r>
          </w:p>
          <w:p w14:paraId="0DFDD24C" w14:textId="77777777" w:rsidR="00046465" w:rsidRDefault="008134EB">
            <w:pPr>
              <w:pStyle w:val="TableParagraph"/>
              <w:numPr>
                <w:ilvl w:val="1"/>
                <w:numId w:val="40"/>
              </w:numPr>
              <w:tabs>
                <w:tab w:val="left" w:pos="1694"/>
              </w:tabs>
              <w:spacing w:before="118" w:line="249" w:lineRule="exact"/>
              <w:ind w:left="1694" w:hanging="361"/>
            </w:pPr>
            <w:r>
              <w:t>promote</w:t>
            </w:r>
            <w:r>
              <w:rPr>
                <w:spacing w:val="-11"/>
              </w:rPr>
              <w:t xml:space="preserve"> </w:t>
            </w:r>
            <w:r>
              <w:t>effective</w:t>
            </w:r>
            <w:r>
              <w:rPr>
                <w:spacing w:val="-11"/>
              </w:rPr>
              <w:t xml:space="preserve"> </w:t>
            </w:r>
            <w:r>
              <w:t>two-way</w:t>
            </w:r>
            <w:r>
              <w:rPr>
                <w:spacing w:val="-11"/>
              </w:rPr>
              <w:t xml:space="preserve"> </w:t>
            </w:r>
            <w:r>
              <w:t>communication</w:t>
            </w:r>
            <w:r>
              <w:rPr>
                <w:spacing w:val="-11"/>
              </w:rPr>
              <w:t xml:space="preserve"> </w:t>
            </w:r>
            <w:r>
              <w:t>between</w:t>
            </w:r>
            <w:r>
              <w:rPr>
                <w:spacing w:val="-11"/>
              </w:rPr>
              <w:t xml:space="preserve"> </w:t>
            </w:r>
            <w:r>
              <w:rPr>
                <w:spacing w:val="-5"/>
              </w:rPr>
              <w:t>the</w:t>
            </w:r>
          </w:p>
        </w:tc>
        <w:tc>
          <w:tcPr>
            <w:tcW w:w="810" w:type="dxa"/>
            <w:tcBorders>
              <w:top w:val="single" w:sz="6" w:space="0" w:color="000000"/>
              <w:left w:val="single" w:sz="6" w:space="0" w:color="000000"/>
              <w:bottom w:val="single" w:sz="6" w:space="0" w:color="000000"/>
              <w:right w:val="single" w:sz="6" w:space="0" w:color="000000"/>
            </w:tcBorders>
          </w:tcPr>
          <w:p w14:paraId="0DFDD24D"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shd w:val="clear" w:color="auto" w:fill="BEBEBE"/>
          </w:tcPr>
          <w:p w14:paraId="0DFDD24E" w14:textId="77777777" w:rsidR="00046465" w:rsidRDefault="00046465">
            <w:pPr>
              <w:pStyle w:val="TableParagraph"/>
              <w:rPr>
                <w:rFonts w:ascii="Times New Roman"/>
              </w:rPr>
            </w:pPr>
          </w:p>
        </w:tc>
      </w:tr>
    </w:tbl>
    <w:p w14:paraId="0DFDD250"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251" w14:textId="77777777" w:rsidR="00046465" w:rsidRDefault="00046465">
      <w:pPr>
        <w:pStyle w:val="BodyText"/>
        <w:spacing w:before="9"/>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50"/>
      </w:tblGrid>
      <w:tr w:rsidR="00046465" w14:paraId="0DFDD259" w14:textId="77777777">
        <w:trPr>
          <w:trHeight w:val="998"/>
        </w:trPr>
        <w:tc>
          <w:tcPr>
            <w:tcW w:w="7380" w:type="dxa"/>
            <w:tcBorders>
              <w:right w:val="single" w:sz="8" w:space="0" w:color="000000"/>
            </w:tcBorders>
            <w:shd w:val="clear" w:color="auto" w:fill="A6A6A6"/>
          </w:tcPr>
          <w:p w14:paraId="0DFDD252" w14:textId="77777777" w:rsidR="00046465" w:rsidRDefault="00046465">
            <w:pPr>
              <w:pStyle w:val="TableParagraph"/>
              <w:rPr>
                <w:b/>
                <w:sz w:val="24"/>
              </w:rPr>
            </w:pPr>
          </w:p>
          <w:p w14:paraId="0DFDD253" w14:textId="77777777" w:rsidR="00046465" w:rsidRDefault="00046465">
            <w:pPr>
              <w:pStyle w:val="TableParagraph"/>
              <w:spacing w:before="72"/>
              <w:rPr>
                <w:b/>
                <w:sz w:val="24"/>
              </w:rPr>
            </w:pPr>
          </w:p>
          <w:p w14:paraId="0DFDD254" w14:textId="77777777" w:rsidR="00046465" w:rsidRDefault="008134EB">
            <w:pPr>
              <w:pStyle w:val="TableParagraph"/>
              <w:spacing w:before="1"/>
              <w:ind w:left="123"/>
              <w:rPr>
                <w:b/>
                <w:sz w:val="24"/>
              </w:rPr>
            </w:pPr>
            <w:r>
              <w:rPr>
                <w:b/>
                <w:sz w:val="24"/>
              </w:rPr>
              <w:t>Section</w:t>
            </w:r>
            <w:r>
              <w:rPr>
                <w:b/>
                <w:spacing w:val="-4"/>
                <w:sz w:val="24"/>
              </w:rPr>
              <w:t xml:space="preserve"> </w:t>
            </w:r>
            <w:r>
              <w:rPr>
                <w:b/>
                <w:sz w:val="24"/>
              </w:rPr>
              <w:t>IV:</w:t>
            </w:r>
            <w:r>
              <w:rPr>
                <w:b/>
                <w:spacing w:val="-4"/>
                <w:sz w:val="24"/>
              </w:rPr>
              <w:t xml:space="preserve"> </w:t>
            </w:r>
            <w:r>
              <w:rPr>
                <w:b/>
                <w:sz w:val="24"/>
              </w:rPr>
              <w:t>Communicating</w:t>
            </w:r>
            <w:r>
              <w:rPr>
                <w:b/>
                <w:spacing w:val="-4"/>
                <w:sz w:val="24"/>
              </w:rPr>
              <w:t xml:space="preserve"> </w:t>
            </w:r>
            <w:r>
              <w:rPr>
                <w:b/>
                <w:sz w:val="24"/>
              </w:rPr>
              <w:t>and</w:t>
            </w:r>
            <w:r>
              <w:rPr>
                <w:b/>
                <w:spacing w:val="-4"/>
                <w:sz w:val="24"/>
              </w:rPr>
              <w:t xml:space="preserve"> </w:t>
            </w:r>
            <w:r>
              <w:rPr>
                <w:b/>
                <w:sz w:val="24"/>
              </w:rPr>
              <w:t>Reporting</w:t>
            </w:r>
            <w:r>
              <w:rPr>
                <w:b/>
                <w:spacing w:val="-3"/>
                <w:sz w:val="24"/>
              </w:rPr>
              <w:t xml:space="preserve"> </w:t>
            </w:r>
            <w:r>
              <w:rPr>
                <w:b/>
                <w:spacing w:val="-2"/>
                <w:sz w:val="24"/>
              </w:rPr>
              <w:t>Results</w:t>
            </w:r>
          </w:p>
        </w:tc>
        <w:tc>
          <w:tcPr>
            <w:tcW w:w="810" w:type="dxa"/>
            <w:tcBorders>
              <w:left w:val="single" w:sz="8" w:space="0" w:color="000000"/>
              <w:right w:val="single" w:sz="8" w:space="0" w:color="000000"/>
            </w:tcBorders>
            <w:shd w:val="clear" w:color="auto" w:fill="A6A6A6"/>
          </w:tcPr>
          <w:p w14:paraId="0DFDD255" w14:textId="77777777" w:rsidR="00046465" w:rsidRDefault="008134EB">
            <w:pPr>
              <w:pStyle w:val="TableParagraph"/>
              <w:spacing w:before="120"/>
              <w:ind w:left="136" w:right="199"/>
              <w:jc w:val="both"/>
              <w:rPr>
                <w:b/>
              </w:rPr>
            </w:pPr>
            <w:r>
              <w:rPr>
                <w:b/>
                <w:spacing w:val="-4"/>
              </w:rPr>
              <w:t>Yes, No,* N/A</w:t>
            </w:r>
          </w:p>
        </w:tc>
        <w:tc>
          <w:tcPr>
            <w:tcW w:w="1350" w:type="dxa"/>
            <w:tcBorders>
              <w:left w:val="single" w:sz="8" w:space="0" w:color="000000"/>
            </w:tcBorders>
            <w:shd w:val="clear" w:color="auto" w:fill="A6A6A6"/>
          </w:tcPr>
          <w:p w14:paraId="0DFDD256" w14:textId="77777777" w:rsidR="00046465" w:rsidRDefault="00046465">
            <w:pPr>
              <w:pStyle w:val="TableParagraph"/>
              <w:rPr>
                <w:b/>
              </w:rPr>
            </w:pPr>
          </w:p>
          <w:p w14:paraId="0DFDD257" w14:textId="77777777" w:rsidR="00046465" w:rsidRDefault="00046465">
            <w:pPr>
              <w:pStyle w:val="TableParagraph"/>
              <w:spacing w:before="120"/>
              <w:rPr>
                <w:b/>
              </w:rPr>
            </w:pPr>
          </w:p>
          <w:p w14:paraId="0DFDD258"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25D" w14:textId="77777777">
        <w:trPr>
          <w:trHeight w:val="373"/>
        </w:trPr>
        <w:tc>
          <w:tcPr>
            <w:tcW w:w="7380" w:type="dxa"/>
            <w:tcBorders>
              <w:bottom w:val="single" w:sz="6" w:space="0" w:color="000000"/>
              <w:right w:val="single" w:sz="6" w:space="0" w:color="000000"/>
            </w:tcBorders>
          </w:tcPr>
          <w:p w14:paraId="0DFDD25A" w14:textId="77777777" w:rsidR="00046465" w:rsidRDefault="008134EB">
            <w:pPr>
              <w:pStyle w:val="TableParagraph"/>
              <w:ind w:left="1693"/>
            </w:pPr>
            <w:r>
              <w:t>auditor</w:t>
            </w:r>
            <w:r>
              <w:rPr>
                <w:spacing w:val="-8"/>
              </w:rPr>
              <w:t xml:space="preserve"> </w:t>
            </w:r>
            <w:r>
              <w:t>and</w:t>
            </w:r>
            <w:r>
              <w:rPr>
                <w:spacing w:val="-8"/>
              </w:rPr>
              <w:t xml:space="preserve"> </w:t>
            </w:r>
            <w:r>
              <w:t>those</w:t>
            </w:r>
            <w:r>
              <w:rPr>
                <w:spacing w:val="-7"/>
              </w:rPr>
              <w:t xml:space="preserve"> </w:t>
            </w:r>
            <w:r>
              <w:t>charged</w:t>
            </w:r>
            <w:r>
              <w:rPr>
                <w:spacing w:val="-8"/>
              </w:rPr>
              <w:t xml:space="preserve"> </w:t>
            </w:r>
            <w:r>
              <w:t>with</w:t>
            </w:r>
            <w:r>
              <w:rPr>
                <w:spacing w:val="-8"/>
              </w:rPr>
              <w:t xml:space="preserve"> </w:t>
            </w:r>
            <w:r>
              <w:t>governance?</w:t>
            </w:r>
            <w:r>
              <w:rPr>
                <w:spacing w:val="-7"/>
              </w:rPr>
              <w:t xml:space="preserve"> </w:t>
            </w:r>
            <w:r>
              <w:t>(AU-C</w:t>
            </w:r>
            <w:r>
              <w:rPr>
                <w:spacing w:val="-9"/>
              </w:rPr>
              <w:t xml:space="preserve"> </w:t>
            </w:r>
            <w:r>
              <w:rPr>
                <w:spacing w:val="-4"/>
              </w:rPr>
              <w:t>260)</w:t>
            </w:r>
          </w:p>
        </w:tc>
        <w:tc>
          <w:tcPr>
            <w:tcW w:w="810" w:type="dxa"/>
            <w:tcBorders>
              <w:left w:val="single" w:sz="6" w:space="0" w:color="000000"/>
              <w:bottom w:val="single" w:sz="6" w:space="0" w:color="000000"/>
              <w:right w:val="single" w:sz="6" w:space="0" w:color="000000"/>
            </w:tcBorders>
          </w:tcPr>
          <w:p w14:paraId="0DFDD25B" w14:textId="77777777" w:rsidR="00046465" w:rsidRDefault="00046465">
            <w:pPr>
              <w:pStyle w:val="TableParagraph"/>
              <w:rPr>
                <w:rFonts w:ascii="Times New Roman"/>
              </w:rPr>
            </w:pPr>
          </w:p>
        </w:tc>
        <w:tc>
          <w:tcPr>
            <w:tcW w:w="1350" w:type="dxa"/>
            <w:tcBorders>
              <w:left w:val="single" w:sz="6" w:space="0" w:color="000000"/>
              <w:bottom w:val="single" w:sz="6" w:space="0" w:color="000000"/>
            </w:tcBorders>
            <w:shd w:val="clear" w:color="auto" w:fill="BEBEBE"/>
          </w:tcPr>
          <w:p w14:paraId="0DFDD25C" w14:textId="77777777" w:rsidR="00046465" w:rsidRDefault="00046465">
            <w:pPr>
              <w:pStyle w:val="TableParagraph"/>
              <w:rPr>
                <w:rFonts w:ascii="Times New Roman"/>
              </w:rPr>
            </w:pPr>
          </w:p>
        </w:tc>
      </w:tr>
      <w:tr w:rsidR="00046465" w14:paraId="0DFDD261" w14:textId="77777777">
        <w:trPr>
          <w:trHeight w:val="2010"/>
        </w:trPr>
        <w:tc>
          <w:tcPr>
            <w:tcW w:w="7380" w:type="dxa"/>
            <w:tcBorders>
              <w:top w:val="single" w:sz="6" w:space="0" w:color="000000"/>
              <w:bottom w:val="single" w:sz="6" w:space="0" w:color="000000"/>
              <w:right w:val="single" w:sz="6" w:space="0" w:color="000000"/>
            </w:tcBorders>
          </w:tcPr>
          <w:p w14:paraId="0DFDD25E" w14:textId="77777777" w:rsidR="00046465" w:rsidRDefault="008134EB">
            <w:pPr>
              <w:pStyle w:val="TableParagraph"/>
              <w:tabs>
                <w:tab w:val="left" w:pos="1334"/>
              </w:tabs>
              <w:spacing w:before="121"/>
              <w:ind w:left="1304" w:right="181" w:hanging="360"/>
            </w:pPr>
            <w:r>
              <w:rPr>
                <w:spacing w:val="-6"/>
              </w:rPr>
              <w:t>b.</w:t>
            </w:r>
            <w:r>
              <w:tab/>
            </w:r>
            <w:r>
              <w:tab/>
              <w:t>Did</w:t>
            </w:r>
            <w:r>
              <w:rPr>
                <w:spacing w:val="-6"/>
              </w:rPr>
              <w:t xml:space="preserve"> </w:t>
            </w:r>
            <w:r>
              <w:t>the</w:t>
            </w:r>
            <w:r>
              <w:rPr>
                <w:spacing w:val="-6"/>
              </w:rPr>
              <w:t xml:space="preserve"> </w:t>
            </w:r>
            <w:r>
              <w:t>auditor</w:t>
            </w:r>
            <w:r>
              <w:rPr>
                <w:spacing w:val="-6"/>
              </w:rPr>
              <w:t xml:space="preserve"> </w:t>
            </w:r>
            <w:r>
              <w:t>appropriately</w:t>
            </w:r>
            <w:r>
              <w:rPr>
                <w:spacing w:val="-6"/>
              </w:rPr>
              <w:t xml:space="preserve"> </w:t>
            </w:r>
            <w:r>
              <w:t>communicate</w:t>
            </w:r>
            <w:r>
              <w:rPr>
                <w:spacing w:val="-6"/>
              </w:rPr>
              <w:t xml:space="preserve"> </w:t>
            </w:r>
            <w:r>
              <w:t>to</w:t>
            </w:r>
            <w:r>
              <w:rPr>
                <w:spacing w:val="-6"/>
              </w:rPr>
              <w:t xml:space="preserve"> </w:t>
            </w:r>
            <w:r>
              <w:t>those</w:t>
            </w:r>
            <w:r>
              <w:rPr>
                <w:spacing w:val="-6"/>
              </w:rPr>
              <w:t xml:space="preserve"> </w:t>
            </w:r>
            <w:r>
              <w:t>charged with governance, management, and others, as appropriate, significant findings and issues and internal control deficiencies that, in the auditor’s professional judgment, are of sufficient importance to merit their respective attentions (e.g.,</w:t>
            </w:r>
            <w:r>
              <w:rPr>
                <w:spacing w:val="-2"/>
              </w:rPr>
              <w:t xml:space="preserve"> </w:t>
            </w:r>
            <w:r>
              <w:t>material</w:t>
            </w:r>
            <w:r>
              <w:rPr>
                <w:spacing w:val="-2"/>
              </w:rPr>
              <w:t xml:space="preserve"> </w:t>
            </w:r>
            <w:r>
              <w:t>weaknesses,</w:t>
            </w:r>
            <w:r>
              <w:rPr>
                <w:spacing w:val="-2"/>
              </w:rPr>
              <w:t xml:space="preserve"> </w:t>
            </w:r>
            <w:r>
              <w:t>significant</w:t>
            </w:r>
            <w:r>
              <w:rPr>
                <w:spacing w:val="-2"/>
              </w:rPr>
              <w:t xml:space="preserve"> </w:t>
            </w:r>
            <w:r>
              <w:t>deficiencies,</w:t>
            </w:r>
            <w:r>
              <w:rPr>
                <w:spacing w:val="-2"/>
              </w:rPr>
              <w:t xml:space="preserve"> </w:t>
            </w:r>
            <w:r>
              <w:t>and</w:t>
            </w:r>
            <w:r>
              <w:rPr>
                <w:spacing w:val="-2"/>
              </w:rPr>
              <w:t xml:space="preserve"> </w:t>
            </w:r>
            <w:r>
              <w:t>any other identified deficiencies in internal control)? (AU-C 265)</w:t>
            </w:r>
          </w:p>
        </w:tc>
        <w:tc>
          <w:tcPr>
            <w:tcW w:w="810" w:type="dxa"/>
            <w:tcBorders>
              <w:top w:val="single" w:sz="6" w:space="0" w:color="000000"/>
              <w:left w:val="single" w:sz="6" w:space="0" w:color="000000"/>
              <w:bottom w:val="single" w:sz="6" w:space="0" w:color="000000"/>
              <w:right w:val="single" w:sz="6" w:space="0" w:color="000000"/>
            </w:tcBorders>
          </w:tcPr>
          <w:p w14:paraId="0DFDD25F"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shd w:val="clear" w:color="auto" w:fill="BEBEBE"/>
          </w:tcPr>
          <w:p w14:paraId="0DFDD260" w14:textId="77777777" w:rsidR="00046465" w:rsidRDefault="00046465">
            <w:pPr>
              <w:pStyle w:val="TableParagraph"/>
              <w:rPr>
                <w:rFonts w:ascii="Times New Roman"/>
              </w:rPr>
            </w:pPr>
          </w:p>
        </w:tc>
      </w:tr>
      <w:tr w:rsidR="00046465" w14:paraId="0DFDD268" w14:textId="77777777">
        <w:trPr>
          <w:trHeight w:val="3934"/>
        </w:trPr>
        <w:tc>
          <w:tcPr>
            <w:tcW w:w="7380" w:type="dxa"/>
            <w:tcBorders>
              <w:top w:val="single" w:sz="6" w:space="0" w:color="000000"/>
              <w:bottom w:val="single" w:sz="6" w:space="0" w:color="000000"/>
              <w:right w:val="single" w:sz="6" w:space="0" w:color="000000"/>
            </w:tcBorders>
          </w:tcPr>
          <w:p w14:paraId="0DFDD262" w14:textId="77777777" w:rsidR="00046465" w:rsidRDefault="008134EB">
            <w:pPr>
              <w:pStyle w:val="TableParagraph"/>
              <w:numPr>
                <w:ilvl w:val="0"/>
                <w:numId w:val="39"/>
              </w:numPr>
              <w:tabs>
                <w:tab w:val="left" w:pos="1304"/>
                <w:tab w:val="left" w:pos="1333"/>
              </w:tabs>
              <w:spacing w:before="121"/>
              <w:ind w:right="742" w:hanging="360"/>
              <w:jc w:val="both"/>
            </w:pPr>
            <w:r>
              <w:t>If</w:t>
            </w:r>
            <w:r>
              <w:rPr>
                <w:spacing w:val="23"/>
              </w:rPr>
              <w:t xml:space="preserve"> </w:t>
            </w:r>
            <w:r>
              <w:t>the</w:t>
            </w:r>
            <w:r>
              <w:rPr>
                <w:spacing w:val="-3"/>
              </w:rPr>
              <w:t xml:space="preserve"> </w:t>
            </w:r>
            <w:r>
              <w:t>auditor</w:t>
            </w:r>
            <w:r>
              <w:rPr>
                <w:spacing w:val="-4"/>
              </w:rPr>
              <w:t xml:space="preserve"> </w:t>
            </w:r>
            <w:r>
              <w:t>decides</w:t>
            </w:r>
            <w:r>
              <w:rPr>
                <w:spacing w:val="-3"/>
              </w:rPr>
              <w:t xml:space="preserve"> </w:t>
            </w:r>
            <w:r>
              <w:t>to</w:t>
            </w:r>
            <w:r>
              <w:rPr>
                <w:spacing w:val="-4"/>
              </w:rPr>
              <w:t xml:space="preserve"> </w:t>
            </w:r>
            <w:r>
              <w:t>act</w:t>
            </w:r>
            <w:r>
              <w:rPr>
                <w:spacing w:val="-3"/>
              </w:rPr>
              <w:t xml:space="preserve"> </w:t>
            </w:r>
            <w:r>
              <w:t>as</w:t>
            </w:r>
            <w:r>
              <w:rPr>
                <w:spacing w:val="-3"/>
              </w:rPr>
              <w:t xml:space="preserve"> </w:t>
            </w:r>
            <w:r>
              <w:t>the</w:t>
            </w:r>
            <w:r>
              <w:rPr>
                <w:spacing w:val="-3"/>
              </w:rPr>
              <w:t xml:space="preserve"> </w:t>
            </w:r>
            <w:r>
              <w:t>auditor</w:t>
            </w:r>
            <w:r>
              <w:rPr>
                <w:spacing w:val="-3"/>
              </w:rPr>
              <w:t xml:space="preserve"> </w:t>
            </w:r>
            <w:r>
              <w:t>of</w:t>
            </w:r>
            <w:r>
              <w:rPr>
                <w:spacing w:val="-3"/>
              </w:rPr>
              <w:t xml:space="preserve"> </w:t>
            </w:r>
            <w:r>
              <w:t>the</w:t>
            </w:r>
            <w:r>
              <w:rPr>
                <w:spacing w:val="-4"/>
              </w:rPr>
              <w:t xml:space="preserve"> </w:t>
            </w:r>
            <w:r>
              <w:t>group financial statements, did the auditor</w:t>
            </w:r>
          </w:p>
          <w:p w14:paraId="0DFDD263" w14:textId="77777777" w:rsidR="00046465" w:rsidRDefault="008134EB">
            <w:pPr>
              <w:pStyle w:val="TableParagraph"/>
              <w:numPr>
                <w:ilvl w:val="1"/>
                <w:numId w:val="39"/>
              </w:numPr>
              <w:tabs>
                <w:tab w:val="left" w:pos="1693"/>
              </w:tabs>
              <w:spacing w:before="120"/>
              <w:ind w:right="408" w:hanging="361"/>
              <w:jc w:val="both"/>
            </w:pPr>
            <w:r>
              <w:t>determine</w:t>
            </w:r>
            <w:r>
              <w:rPr>
                <w:spacing w:val="-3"/>
              </w:rPr>
              <w:t xml:space="preserve"> </w:t>
            </w:r>
            <w:r>
              <w:t>whether</w:t>
            </w:r>
            <w:r>
              <w:rPr>
                <w:spacing w:val="-3"/>
              </w:rPr>
              <w:t xml:space="preserve"> </w:t>
            </w:r>
            <w:r>
              <w:t>to</w:t>
            </w:r>
            <w:r>
              <w:rPr>
                <w:spacing w:val="-3"/>
              </w:rPr>
              <w:t xml:space="preserve"> </w:t>
            </w:r>
            <w:r>
              <w:t>make</w:t>
            </w:r>
            <w:r>
              <w:rPr>
                <w:spacing w:val="-3"/>
              </w:rPr>
              <w:t xml:space="preserve"> </w:t>
            </w:r>
            <w:r>
              <w:t>reference</w:t>
            </w:r>
            <w:r>
              <w:rPr>
                <w:spacing w:val="-3"/>
              </w:rPr>
              <w:t xml:space="preserve"> </w:t>
            </w:r>
            <w:r>
              <w:t>to</w:t>
            </w:r>
            <w:r>
              <w:rPr>
                <w:spacing w:val="-3"/>
              </w:rPr>
              <w:t xml:space="preserve"> </w:t>
            </w:r>
            <w:r>
              <w:t>the</w:t>
            </w:r>
            <w:r>
              <w:rPr>
                <w:spacing w:val="-3"/>
              </w:rPr>
              <w:t xml:space="preserve"> </w:t>
            </w:r>
            <w:r>
              <w:t>audit</w:t>
            </w:r>
            <w:r>
              <w:rPr>
                <w:spacing w:val="-3"/>
              </w:rPr>
              <w:t xml:space="preserve"> </w:t>
            </w:r>
            <w:r>
              <w:t>of</w:t>
            </w:r>
            <w:r>
              <w:rPr>
                <w:spacing w:val="-3"/>
              </w:rPr>
              <w:t xml:space="preserve"> </w:t>
            </w:r>
            <w:r>
              <w:t>a component</w:t>
            </w:r>
            <w:r>
              <w:rPr>
                <w:spacing w:val="-5"/>
              </w:rPr>
              <w:t xml:space="preserve"> </w:t>
            </w:r>
            <w:r>
              <w:t>auditor</w:t>
            </w:r>
            <w:r>
              <w:rPr>
                <w:spacing w:val="-5"/>
              </w:rPr>
              <w:t xml:space="preserve"> </w:t>
            </w:r>
            <w:r>
              <w:t>in</w:t>
            </w:r>
            <w:r>
              <w:rPr>
                <w:spacing w:val="-5"/>
              </w:rPr>
              <w:t xml:space="preserve"> </w:t>
            </w:r>
            <w:r>
              <w:t>the</w:t>
            </w:r>
            <w:r>
              <w:rPr>
                <w:spacing w:val="-5"/>
              </w:rPr>
              <w:t xml:space="preserve"> </w:t>
            </w:r>
            <w:r>
              <w:t>auditor’s</w:t>
            </w:r>
            <w:r>
              <w:rPr>
                <w:spacing w:val="-5"/>
              </w:rPr>
              <w:t xml:space="preserve"> </w:t>
            </w:r>
            <w:r>
              <w:t>report</w:t>
            </w:r>
            <w:r>
              <w:rPr>
                <w:spacing w:val="-5"/>
              </w:rPr>
              <w:t xml:space="preserve"> </w:t>
            </w:r>
            <w:r>
              <w:t>on</w:t>
            </w:r>
            <w:r>
              <w:rPr>
                <w:spacing w:val="-5"/>
              </w:rPr>
              <w:t xml:space="preserve"> </w:t>
            </w:r>
            <w:r>
              <w:t>the</w:t>
            </w:r>
            <w:r>
              <w:rPr>
                <w:spacing w:val="-6"/>
              </w:rPr>
              <w:t xml:space="preserve"> </w:t>
            </w:r>
            <w:r>
              <w:t>group financial statements;</w:t>
            </w:r>
          </w:p>
          <w:p w14:paraId="0DFDD264" w14:textId="77777777" w:rsidR="00046465" w:rsidRDefault="008134EB">
            <w:pPr>
              <w:pStyle w:val="TableParagraph"/>
              <w:numPr>
                <w:ilvl w:val="1"/>
                <w:numId w:val="39"/>
              </w:numPr>
              <w:tabs>
                <w:tab w:val="left" w:pos="1694"/>
              </w:tabs>
              <w:spacing w:before="117"/>
              <w:ind w:left="1694" w:hanging="361"/>
              <w:jc w:val="both"/>
            </w:pPr>
            <w:r>
              <w:t>communicate</w:t>
            </w:r>
            <w:r>
              <w:rPr>
                <w:spacing w:val="-10"/>
              </w:rPr>
              <w:t xml:space="preserve"> </w:t>
            </w:r>
            <w:r>
              <w:t>clearly</w:t>
            </w:r>
            <w:r>
              <w:rPr>
                <w:spacing w:val="-10"/>
              </w:rPr>
              <w:t xml:space="preserve"> </w:t>
            </w:r>
            <w:r>
              <w:t>with</w:t>
            </w:r>
            <w:r>
              <w:rPr>
                <w:spacing w:val="-10"/>
              </w:rPr>
              <w:t xml:space="preserve"> </w:t>
            </w:r>
            <w:r>
              <w:t>component</w:t>
            </w:r>
            <w:r>
              <w:rPr>
                <w:spacing w:val="-9"/>
              </w:rPr>
              <w:t xml:space="preserve"> </w:t>
            </w:r>
            <w:r>
              <w:t>auditors;</w:t>
            </w:r>
            <w:r>
              <w:rPr>
                <w:spacing w:val="-10"/>
              </w:rPr>
              <w:t xml:space="preserve"> </w:t>
            </w:r>
            <w:r>
              <w:rPr>
                <w:spacing w:val="-5"/>
              </w:rPr>
              <w:t>and</w:t>
            </w:r>
          </w:p>
          <w:p w14:paraId="0DFDD265" w14:textId="77777777" w:rsidR="00046465" w:rsidRDefault="008134EB">
            <w:pPr>
              <w:pStyle w:val="TableParagraph"/>
              <w:numPr>
                <w:ilvl w:val="1"/>
                <w:numId w:val="39"/>
              </w:numPr>
              <w:tabs>
                <w:tab w:val="left" w:pos="1693"/>
              </w:tabs>
              <w:spacing w:before="119"/>
              <w:ind w:right="262" w:hanging="361"/>
            </w:pPr>
            <w:r>
              <w:t>obtain sufficient appropriate audit evidence regarding the financial information of the components and the consolidation process to express an opinion about whether</w:t>
            </w:r>
            <w:r>
              <w:rPr>
                <w:spacing w:val="-6"/>
              </w:rPr>
              <w:t xml:space="preserve"> </w:t>
            </w:r>
            <w:r>
              <w:t>the</w:t>
            </w:r>
            <w:r>
              <w:rPr>
                <w:spacing w:val="-6"/>
              </w:rPr>
              <w:t xml:space="preserve"> </w:t>
            </w:r>
            <w:r>
              <w:t>group</w:t>
            </w:r>
            <w:r>
              <w:rPr>
                <w:spacing w:val="-6"/>
              </w:rPr>
              <w:t xml:space="preserve"> </w:t>
            </w:r>
            <w:r>
              <w:t>financial</w:t>
            </w:r>
            <w:r>
              <w:rPr>
                <w:spacing w:val="-6"/>
              </w:rPr>
              <w:t xml:space="preserve"> </w:t>
            </w:r>
            <w:r>
              <w:t>statements</w:t>
            </w:r>
            <w:r>
              <w:rPr>
                <w:spacing w:val="-6"/>
              </w:rPr>
              <w:t xml:space="preserve"> </w:t>
            </w:r>
            <w:r>
              <w:t>are</w:t>
            </w:r>
            <w:r>
              <w:rPr>
                <w:spacing w:val="-6"/>
              </w:rPr>
              <w:t xml:space="preserve"> </w:t>
            </w:r>
            <w:r>
              <w:t>prepared,</w:t>
            </w:r>
            <w:r>
              <w:rPr>
                <w:spacing w:val="-6"/>
              </w:rPr>
              <w:t xml:space="preserve"> </w:t>
            </w:r>
            <w:r>
              <w:t>in all material respects, in accordance with the applicable financial reporting framework (generally U.S. GAAP)? (AU-C 600A)</w:t>
            </w:r>
          </w:p>
        </w:tc>
        <w:tc>
          <w:tcPr>
            <w:tcW w:w="810" w:type="dxa"/>
            <w:tcBorders>
              <w:top w:val="single" w:sz="6" w:space="0" w:color="000000"/>
              <w:left w:val="single" w:sz="6" w:space="0" w:color="000000"/>
              <w:bottom w:val="single" w:sz="6" w:space="0" w:color="000000"/>
              <w:right w:val="single" w:sz="6" w:space="0" w:color="000000"/>
            </w:tcBorders>
          </w:tcPr>
          <w:p w14:paraId="0DFDD266"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shd w:val="clear" w:color="auto" w:fill="BEBEBE"/>
          </w:tcPr>
          <w:p w14:paraId="0DFDD267" w14:textId="77777777" w:rsidR="00046465" w:rsidRDefault="00046465">
            <w:pPr>
              <w:pStyle w:val="TableParagraph"/>
              <w:rPr>
                <w:rFonts w:ascii="Times New Roman"/>
              </w:rPr>
            </w:pPr>
          </w:p>
        </w:tc>
      </w:tr>
      <w:tr w:rsidR="00046465" w14:paraId="0DFDD26E" w14:textId="77777777">
        <w:trPr>
          <w:trHeight w:val="2532"/>
        </w:trPr>
        <w:tc>
          <w:tcPr>
            <w:tcW w:w="7380" w:type="dxa"/>
            <w:tcBorders>
              <w:top w:val="single" w:sz="6" w:space="0" w:color="000000"/>
              <w:bottom w:val="single" w:sz="6" w:space="0" w:color="000000"/>
              <w:right w:val="single" w:sz="6" w:space="0" w:color="000000"/>
            </w:tcBorders>
          </w:tcPr>
          <w:p w14:paraId="0DFDD269" w14:textId="77777777" w:rsidR="00046465" w:rsidRDefault="008134EB">
            <w:pPr>
              <w:pStyle w:val="TableParagraph"/>
              <w:numPr>
                <w:ilvl w:val="0"/>
                <w:numId w:val="38"/>
              </w:numPr>
              <w:tabs>
                <w:tab w:val="left" w:pos="1334"/>
              </w:tabs>
              <w:spacing w:before="119"/>
            </w:pPr>
            <w:r>
              <w:t>Did</w:t>
            </w:r>
            <w:r>
              <w:rPr>
                <w:spacing w:val="-4"/>
              </w:rPr>
              <w:t xml:space="preserve"> </w:t>
            </w:r>
            <w:r>
              <w:t>the</w:t>
            </w:r>
            <w:r>
              <w:rPr>
                <w:spacing w:val="-4"/>
              </w:rPr>
              <w:t xml:space="preserve"> </w:t>
            </w:r>
            <w:r>
              <w:rPr>
                <w:spacing w:val="-2"/>
              </w:rPr>
              <w:t>auditor</w:t>
            </w:r>
          </w:p>
          <w:p w14:paraId="0DFDD26A" w14:textId="77777777" w:rsidR="00046465" w:rsidRDefault="008134EB">
            <w:pPr>
              <w:pStyle w:val="TableParagraph"/>
              <w:numPr>
                <w:ilvl w:val="1"/>
                <w:numId w:val="38"/>
              </w:numPr>
              <w:tabs>
                <w:tab w:val="left" w:pos="1693"/>
              </w:tabs>
              <w:spacing w:before="120"/>
              <w:ind w:right="187" w:hanging="361"/>
            </w:pPr>
            <w:r>
              <w:t>form</w:t>
            </w:r>
            <w:r>
              <w:rPr>
                <w:spacing w:val="-5"/>
              </w:rPr>
              <w:t xml:space="preserve"> </w:t>
            </w:r>
            <w:r>
              <w:t>an</w:t>
            </w:r>
            <w:r>
              <w:rPr>
                <w:spacing w:val="-5"/>
              </w:rPr>
              <w:t xml:space="preserve"> </w:t>
            </w:r>
            <w:r>
              <w:t>opinion</w:t>
            </w:r>
            <w:r>
              <w:rPr>
                <w:spacing w:val="-5"/>
              </w:rPr>
              <w:t xml:space="preserve"> </w:t>
            </w:r>
            <w:r>
              <w:t>on</w:t>
            </w:r>
            <w:r>
              <w:rPr>
                <w:spacing w:val="-5"/>
              </w:rPr>
              <w:t xml:space="preserve"> </w:t>
            </w:r>
            <w:r>
              <w:t>the</w:t>
            </w:r>
            <w:r>
              <w:rPr>
                <w:spacing w:val="-5"/>
              </w:rPr>
              <w:t xml:space="preserve"> </w:t>
            </w:r>
            <w:r>
              <w:t>financial</w:t>
            </w:r>
            <w:r>
              <w:rPr>
                <w:spacing w:val="-5"/>
              </w:rPr>
              <w:t xml:space="preserve"> </w:t>
            </w:r>
            <w:r>
              <w:t>statements</w:t>
            </w:r>
            <w:r>
              <w:rPr>
                <w:spacing w:val="-5"/>
              </w:rPr>
              <w:t xml:space="preserve"> </w:t>
            </w:r>
            <w:r>
              <w:t>based</w:t>
            </w:r>
            <w:r>
              <w:rPr>
                <w:spacing w:val="-5"/>
              </w:rPr>
              <w:t xml:space="preserve"> </w:t>
            </w:r>
            <w:r>
              <w:t>on</w:t>
            </w:r>
            <w:r>
              <w:rPr>
                <w:spacing w:val="-5"/>
              </w:rPr>
              <w:t xml:space="preserve"> </w:t>
            </w:r>
            <w:r>
              <w:t>an evaluation of the audit evidence obtained, including evidence obtained about comparative financial statements or comparative financial information, and</w:t>
            </w:r>
          </w:p>
          <w:p w14:paraId="0DFDD26B" w14:textId="77777777" w:rsidR="00046465" w:rsidRDefault="008134EB">
            <w:pPr>
              <w:pStyle w:val="TableParagraph"/>
              <w:numPr>
                <w:ilvl w:val="1"/>
                <w:numId w:val="38"/>
              </w:numPr>
              <w:tabs>
                <w:tab w:val="left" w:pos="1693"/>
              </w:tabs>
              <w:spacing w:before="119"/>
              <w:ind w:right="223" w:hanging="361"/>
            </w:pPr>
            <w:r>
              <w:t>express clearly that opinion on the financial statements through</w:t>
            </w:r>
            <w:r>
              <w:rPr>
                <w:spacing w:val="-4"/>
              </w:rPr>
              <w:t xml:space="preserve"> </w:t>
            </w:r>
            <w:r>
              <w:t>a</w:t>
            </w:r>
            <w:r>
              <w:rPr>
                <w:spacing w:val="-4"/>
              </w:rPr>
              <w:t xml:space="preserve"> </w:t>
            </w:r>
            <w:r>
              <w:t>written</w:t>
            </w:r>
            <w:r>
              <w:rPr>
                <w:spacing w:val="-4"/>
              </w:rPr>
              <w:t xml:space="preserve"> </w:t>
            </w:r>
            <w:r>
              <w:t>report</w:t>
            </w:r>
            <w:r>
              <w:rPr>
                <w:spacing w:val="-4"/>
              </w:rPr>
              <w:t xml:space="preserve"> </w:t>
            </w:r>
            <w:r>
              <w:t>that</w:t>
            </w:r>
            <w:r>
              <w:rPr>
                <w:spacing w:val="-4"/>
              </w:rPr>
              <w:t xml:space="preserve"> </w:t>
            </w:r>
            <w:r>
              <w:t>also</w:t>
            </w:r>
            <w:r>
              <w:rPr>
                <w:spacing w:val="-4"/>
              </w:rPr>
              <w:t xml:space="preserve"> </w:t>
            </w:r>
            <w:r>
              <w:t>describes</w:t>
            </w:r>
            <w:r>
              <w:rPr>
                <w:spacing w:val="-4"/>
              </w:rPr>
              <w:t xml:space="preserve"> </w:t>
            </w:r>
            <w:r>
              <w:t>the</w:t>
            </w:r>
            <w:r>
              <w:rPr>
                <w:spacing w:val="-4"/>
              </w:rPr>
              <w:t xml:space="preserve"> </w:t>
            </w:r>
            <w:r>
              <w:t>basis</w:t>
            </w:r>
            <w:r>
              <w:rPr>
                <w:spacing w:val="-4"/>
              </w:rPr>
              <w:t xml:space="preserve"> </w:t>
            </w:r>
            <w:r>
              <w:t>for that opinion? (AU-C 700)</w:t>
            </w:r>
          </w:p>
        </w:tc>
        <w:tc>
          <w:tcPr>
            <w:tcW w:w="810" w:type="dxa"/>
            <w:tcBorders>
              <w:top w:val="single" w:sz="6" w:space="0" w:color="000000"/>
              <w:left w:val="single" w:sz="6" w:space="0" w:color="000000"/>
              <w:bottom w:val="single" w:sz="6" w:space="0" w:color="000000"/>
              <w:right w:val="single" w:sz="6" w:space="0" w:color="000000"/>
            </w:tcBorders>
          </w:tcPr>
          <w:p w14:paraId="0DFDD26C"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shd w:val="clear" w:color="auto" w:fill="BEBEBE"/>
          </w:tcPr>
          <w:p w14:paraId="0DFDD26D" w14:textId="77777777" w:rsidR="00046465" w:rsidRDefault="00046465">
            <w:pPr>
              <w:pStyle w:val="TableParagraph"/>
              <w:rPr>
                <w:rFonts w:ascii="Times New Roman"/>
              </w:rPr>
            </w:pPr>
          </w:p>
        </w:tc>
      </w:tr>
      <w:tr w:rsidR="00046465" w14:paraId="0DFDD274" w14:textId="77777777">
        <w:trPr>
          <w:trHeight w:val="2533"/>
        </w:trPr>
        <w:tc>
          <w:tcPr>
            <w:tcW w:w="7380" w:type="dxa"/>
            <w:tcBorders>
              <w:top w:val="single" w:sz="6" w:space="0" w:color="000000"/>
              <w:bottom w:val="single" w:sz="6" w:space="0" w:color="000000"/>
              <w:right w:val="single" w:sz="6" w:space="0" w:color="000000"/>
            </w:tcBorders>
          </w:tcPr>
          <w:p w14:paraId="0DFDD26F" w14:textId="77777777" w:rsidR="00046465" w:rsidRDefault="008134EB">
            <w:pPr>
              <w:pStyle w:val="TableParagraph"/>
              <w:numPr>
                <w:ilvl w:val="0"/>
                <w:numId w:val="37"/>
              </w:numPr>
              <w:tabs>
                <w:tab w:val="left" w:pos="1304"/>
                <w:tab w:val="left" w:pos="1334"/>
              </w:tabs>
              <w:spacing w:before="121"/>
              <w:ind w:right="357" w:hanging="360"/>
            </w:pPr>
            <w:r>
              <w:t>Did</w:t>
            </w:r>
            <w:r>
              <w:rPr>
                <w:spacing w:val="40"/>
              </w:rPr>
              <w:t xml:space="preserve"> </w:t>
            </w:r>
            <w:r>
              <w:t>the auditor express clearly an appropriately modified opinion</w:t>
            </w:r>
            <w:r>
              <w:rPr>
                <w:spacing w:val="-5"/>
              </w:rPr>
              <w:t xml:space="preserve"> </w:t>
            </w:r>
            <w:r>
              <w:t>on</w:t>
            </w:r>
            <w:r>
              <w:rPr>
                <w:spacing w:val="-5"/>
              </w:rPr>
              <w:t xml:space="preserve"> </w:t>
            </w:r>
            <w:r>
              <w:t>the</w:t>
            </w:r>
            <w:r>
              <w:rPr>
                <w:spacing w:val="-5"/>
              </w:rPr>
              <w:t xml:space="preserve"> </w:t>
            </w:r>
            <w:r>
              <w:t>financial</w:t>
            </w:r>
            <w:r>
              <w:rPr>
                <w:spacing w:val="-6"/>
              </w:rPr>
              <w:t xml:space="preserve"> </w:t>
            </w:r>
            <w:r>
              <w:t>statements</w:t>
            </w:r>
            <w:r>
              <w:rPr>
                <w:spacing w:val="-5"/>
              </w:rPr>
              <w:t xml:space="preserve"> </w:t>
            </w:r>
            <w:r>
              <w:t>that</w:t>
            </w:r>
            <w:r>
              <w:rPr>
                <w:spacing w:val="-5"/>
              </w:rPr>
              <w:t xml:space="preserve"> </w:t>
            </w:r>
            <w:r>
              <w:t>is</w:t>
            </w:r>
            <w:r>
              <w:rPr>
                <w:spacing w:val="-5"/>
              </w:rPr>
              <w:t xml:space="preserve"> </w:t>
            </w:r>
            <w:r>
              <w:t>necessary</w:t>
            </w:r>
            <w:r>
              <w:rPr>
                <w:spacing w:val="-5"/>
              </w:rPr>
              <w:t xml:space="preserve"> </w:t>
            </w:r>
            <w:r>
              <w:t>when</w:t>
            </w:r>
          </w:p>
          <w:p w14:paraId="0DFDD270" w14:textId="77777777" w:rsidR="00046465" w:rsidRDefault="008134EB">
            <w:pPr>
              <w:pStyle w:val="TableParagraph"/>
              <w:numPr>
                <w:ilvl w:val="1"/>
                <w:numId w:val="37"/>
              </w:numPr>
              <w:tabs>
                <w:tab w:val="left" w:pos="1693"/>
              </w:tabs>
              <w:spacing w:before="119"/>
              <w:ind w:right="458" w:hanging="361"/>
            </w:pPr>
            <w:r>
              <w:t>the auditor concludes, based on the audit evidence obtained,</w:t>
            </w:r>
            <w:r>
              <w:rPr>
                <w:spacing w:val="-5"/>
              </w:rPr>
              <w:t xml:space="preserve"> </w:t>
            </w:r>
            <w:r>
              <w:t>that</w:t>
            </w:r>
            <w:r>
              <w:rPr>
                <w:spacing w:val="-5"/>
              </w:rPr>
              <w:t xml:space="preserve"> </w:t>
            </w:r>
            <w:r>
              <w:t>the</w:t>
            </w:r>
            <w:r>
              <w:rPr>
                <w:spacing w:val="-5"/>
              </w:rPr>
              <w:t xml:space="preserve"> </w:t>
            </w:r>
            <w:r>
              <w:t>financial</w:t>
            </w:r>
            <w:r>
              <w:rPr>
                <w:spacing w:val="-5"/>
              </w:rPr>
              <w:t xml:space="preserve"> </w:t>
            </w:r>
            <w:r>
              <w:t>statements</w:t>
            </w:r>
            <w:r>
              <w:rPr>
                <w:spacing w:val="-5"/>
              </w:rPr>
              <w:t xml:space="preserve"> </w:t>
            </w:r>
            <w:r>
              <w:t>as</w:t>
            </w:r>
            <w:r>
              <w:rPr>
                <w:spacing w:val="-5"/>
              </w:rPr>
              <w:t xml:space="preserve"> </w:t>
            </w:r>
            <w:r>
              <w:t>a</w:t>
            </w:r>
            <w:r>
              <w:rPr>
                <w:spacing w:val="-5"/>
              </w:rPr>
              <w:t xml:space="preserve"> </w:t>
            </w:r>
            <w:r>
              <w:t>whole</w:t>
            </w:r>
            <w:r>
              <w:rPr>
                <w:spacing w:val="-5"/>
              </w:rPr>
              <w:t xml:space="preserve"> </w:t>
            </w:r>
            <w:r>
              <w:t>are materially misstated or</w:t>
            </w:r>
          </w:p>
          <w:p w14:paraId="0DFDD271" w14:textId="77777777" w:rsidR="00046465" w:rsidRDefault="008134EB">
            <w:pPr>
              <w:pStyle w:val="TableParagraph"/>
              <w:numPr>
                <w:ilvl w:val="1"/>
                <w:numId w:val="37"/>
              </w:numPr>
              <w:tabs>
                <w:tab w:val="left" w:pos="1693"/>
              </w:tabs>
              <w:spacing w:before="118"/>
              <w:ind w:right="126" w:hanging="361"/>
            </w:pPr>
            <w:r>
              <w:t>the</w:t>
            </w:r>
            <w:r>
              <w:rPr>
                <w:spacing w:val="-5"/>
              </w:rPr>
              <w:t xml:space="preserve"> </w:t>
            </w:r>
            <w:r>
              <w:t>auditor</w:t>
            </w:r>
            <w:r>
              <w:rPr>
                <w:spacing w:val="-5"/>
              </w:rPr>
              <w:t xml:space="preserve"> </w:t>
            </w:r>
            <w:r>
              <w:t>is</w:t>
            </w:r>
            <w:r>
              <w:rPr>
                <w:spacing w:val="-5"/>
              </w:rPr>
              <w:t xml:space="preserve"> </w:t>
            </w:r>
            <w:r>
              <w:t>unable</w:t>
            </w:r>
            <w:r>
              <w:rPr>
                <w:spacing w:val="-5"/>
              </w:rPr>
              <w:t xml:space="preserve"> </w:t>
            </w:r>
            <w:r>
              <w:t>to</w:t>
            </w:r>
            <w:r>
              <w:rPr>
                <w:spacing w:val="-6"/>
              </w:rPr>
              <w:t xml:space="preserve"> </w:t>
            </w:r>
            <w:r>
              <w:t>obtain</w:t>
            </w:r>
            <w:r>
              <w:rPr>
                <w:spacing w:val="-5"/>
              </w:rPr>
              <w:t xml:space="preserve"> </w:t>
            </w:r>
            <w:r>
              <w:t>sufficient</w:t>
            </w:r>
            <w:r>
              <w:rPr>
                <w:spacing w:val="-5"/>
              </w:rPr>
              <w:t xml:space="preserve"> </w:t>
            </w:r>
            <w:r>
              <w:t>appropriate</w:t>
            </w:r>
            <w:r>
              <w:rPr>
                <w:spacing w:val="-5"/>
              </w:rPr>
              <w:t xml:space="preserve"> </w:t>
            </w:r>
            <w:r>
              <w:t>audit evidence to conclude that the financial statements as a whole are free from material misstatement? (AU-C 705)</w:t>
            </w:r>
          </w:p>
        </w:tc>
        <w:tc>
          <w:tcPr>
            <w:tcW w:w="810" w:type="dxa"/>
            <w:tcBorders>
              <w:top w:val="single" w:sz="6" w:space="0" w:color="000000"/>
              <w:left w:val="single" w:sz="6" w:space="0" w:color="000000"/>
              <w:bottom w:val="single" w:sz="6" w:space="0" w:color="000000"/>
              <w:right w:val="single" w:sz="6" w:space="0" w:color="000000"/>
            </w:tcBorders>
          </w:tcPr>
          <w:p w14:paraId="0DFDD272"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shd w:val="clear" w:color="auto" w:fill="BEBEBE"/>
          </w:tcPr>
          <w:p w14:paraId="0DFDD273" w14:textId="77777777" w:rsidR="00046465" w:rsidRDefault="00046465">
            <w:pPr>
              <w:pStyle w:val="TableParagraph"/>
              <w:rPr>
                <w:rFonts w:ascii="Times New Roman"/>
              </w:rPr>
            </w:pPr>
          </w:p>
        </w:tc>
      </w:tr>
      <w:tr w:rsidR="00046465" w14:paraId="0DFDD278" w14:textId="77777777">
        <w:trPr>
          <w:trHeight w:val="627"/>
        </w:trPr>
        <w:tc>
          <w:tcPr>
            <w:tcW w:w="7380" w:type="dxa"/>
            <w:tcBorders>
              <w:top w:val="single" w:sz="6" w:space="0" w:color="000000"/>
              <w:bottom w:val="single" w:sz="6" w:space="0" w:color="000000"/>
              <w:right w:val="single" w:sz="6" w:space="0" w:color="000000"/>
            </w:tcBorders>
          </w:tcPr>
          <w:p w14:paraId="0DFDD275" w14:textId="77777777" w:rsidR="00046465" w:rsidRDefault="008134EB">
            <w:pPr>
              <w:pStyle w:val="TableParagraph"/>
              <w:tabs>
                <w:tab w:val="left" w:pos="1334"/>
              </w:tabs>
              <w:spacing w:before="101" w:line="250" w:lineRule="atLeast"/>
              <w:ind w:left="1304" w:right="449" w:hanging="360"/>
            </w:pPr>
            <w:r>
              <w:rPr>
                <w:spacing w:val="-6"/>
              </w:rPr>
              <w:t>f.</w:t>
            </w:r>
            <w:r>
              <w:tab/>
            </w:r>
            <w:r>
              <w:tab/>
              <w:t>Did</w:t>
            </w:r>
            <w:r>
              <w:rPr>
                <w:spacing w:val="-5"/>
              </w:rPr>
              <w:t xml:space="preserve"> </w:t>
            </w:r>
            <w:r>
              <w:t>the</w:t>
            </w:r>
            <w:r>
              <w:rPr>
                <w:spacing w:val="-5"/>
              </w:rPr>
              <w:t xml:space="preserve"> </w:t>
            </w:r>
            <w:r>
              <w:t>auditor,</w:t>
            </w:r>
            <w:r>
              <w:rPr>
                <w:spacing w:val="-5"/>
              </w:rPr>
              <w:t xml:space="preserve"> </w:t>
            </w:r>
            <w:r>
              <w:t>having</w:t>
            </w:r>
            <w:r>
              <w:rPr>
                <w:spacing w:val="-5"/>
              </w:rPr>
              <w:t xml:space="preserve"> </w:t>
            </w:r>
            <w:r>
              <w:t>formed</w:t>
            </w:r>
            <w:r>
              <w:rPr>
                <w:spacing w:val="-5"/>
              </w:rPr>
              <w:t xml:space="preserve"> </w:t>
            </w:r>
            <w:r>
              <w:t>an</w:t>
            </w:r>
            <w:r>
              <w:rPr>
                <w:spacing w:val="-5"/>
              </w:rPr>
              <w:t xml:space="preserve"> </w:t>
            </w:r>
            <w:r>
              <w:t>opinion</w:t>
            </w:r>
            <w:r>
              <w:rPr>
                <w:spacing w:val="-5"/>
              </w:rPr>
              <w:t xml:space="preserve"> </w:t>
            </w:r>
            <w:r>
              <w:t>on</w:t>
            </w:r>
            <w:r>
              <w:rPr>
                <w:spacing w:val="-5"/>
              </w:rPr>
              <w:t xml:space="preserve"> </w:t>
            </w:r>
            <w:r>
              <w:t>the</w:t>
            </w:r>
            <w:r>
              <w:rPr>
                <w:spacing w:val="-5"/>
              </w:rPr>
              <w:t xml:space="preserve"> </w:t>
            </w:r>
            <w:r>
              <w:t>financial statements, draw users’ attention—when in the auditor’s</w:t>
            </w:r>
          </w:p>
        </w:tc>
        <w:tc>
          <w:tcPr>
            <w:tcW w:w="810" w:type="dxa"/>
            <w:tcBorders>
              <w:top w:val="single" w:sz="6" w:space="0" w:color="000000"/>
              <w:left w:val="single" w:sz="6" w:space="0" w:color="000000"/>
              <w:bottom w:val="single" w:sz="6" w:space="0" w:color="000000"/>
              <w:right w:val="single" w:sz="6" w:space="0" w:color="000000"/>
            </w:tcBorders>
          </w:tcPr>
          <w:p w14:paraId="0DFDD276" w14:textId="77777777" w:rsidR="00046465" w:rsidRDefault="00046465">
            <w:pPr>
              <w:pStyle w:val="TableParagraph"/>
              <w:rPr>
                <w:rFonts w:ascii="Times New Roman"/>
              </w:rPr>
            </w:pPr>
          </w:p>
        </w:tc>
        <w:tc>
          <w:tcPr>
            <w:tcW w:w="1350" w:type="dxa"/>
            <w:tcBorders>
              <w:top w:val="single" w:sz="6" w:space="0" w:color="000000"/>
              <w:left w:val="single" w:sz="6" w:space="0" w:color="000000"/>
              <w:bottom w:val="single" w:sz="6" w:space="0" w:color="000000"/>
            </w:tcBorders>
            <w:shd w:val="clear" w:color="auto" w:fill="BEBEBE"/>
          </w:tcPr>
          <w:p w14:paraId="0DFDD277" w14:textId="77777777" w:rsidR="00046465" w:rsidRDefault="00046465">
            <w:pPr>
              <w:pStyle w:val="TableParagraph"/>
              <w:rPr>
                <w:rFonts w:ascii="Times New Roman"/>
              </w:rPr>
            </w:pPr>
          </w:p>
        </w:tc>
      </w:tr>
    </w:tbl>
    <w:p w14:paraId="0DFDD279"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27A" w14:textId="77777777" w:rsidR="00046465" w:rsidRDefault="00046465">
      <w:pPr>
        <w:pStyle w:val="BodyText"/>
        <w:spacing w:before="9"/>
        <w:rPr>
          <w:b/>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50"/>
      </w:tblGrid>
      <w:tr w:rsidR="00046465" w14:paraId="0DFDD282" w14:textId="77777777">
        <w:trPr>
          <w:trHeight w:val="998"/>
        </w:trPr>
        <w:tc>
          <w:tcPr>
            <w:tcW w:w="7380" w:type="dxa"/>
            <w:tcBorders>
              <w:right w:val="single" w:sz="8" w:space="0" w:color="000000"/>
            </w:tcBorders>
            <w:shd w:val="clear" w:color="auto" w:fill="A6A6A6"/>
          </w:tcPr>
          <w:p w14:paraId="0DFDD27B" w14:textId="77777777" w:rsidR="00046465" w:rsidRDefault="00046465">
            <w:pPr>
              <w:pStyle w:val="TableParagraph"/>
              <w:rPr>
                <w:b/>
                <w:sz w:val="24"/>
              </w:rPr>
            </w:pPr>
          </w:p>
          <w:p w14:paraId="0DFDD27C" w14:textId="77777777" w:rsidR="00046465" w:rsidRDefault="00046465">
            <w:pPr>
              <w:pStyle w:val="TableParagraph"/>
              <w:spacing w:before="72"/>
              <w:rPr>
                <w:b/>
                <w:sz w:val="24"/>
              </w:rPr>
            </w:pPr>
          </w:p>
          <w:p w14:paraId="0DFDD27D" w14:textId="77777777" w:rsidR="00046465" w:rsidRDefault="008134EB">
            <w:pPr>
              <w:pStyle w:val="TableParagraph"/>
              <w:spacing w:before="1"/>
              <w:ind w:left="123"/>
              <w:rPr>
                <w:b/>
                <w:sz w:val="24"/>
              </w:rPr>
            </w:pPr>
            <w:r>
              <w:rPr>
                <w:b/>
                <w:sz w:val="24"/>
              </w:rPr>
              <w:t>Section</w:t>
            </w:r>
            <w:r>
              <w:rPr>
                <w:b/>
                <w:spacing w:val="-4"/>
                <w:sz w:val="24"/>
              </w:rPr>
              <w:t xml:space="preserve"> </w:t>
            </w:r>
            <w:r>
              <w:rPr>
                <w:b/>
                <w:sz w:val="24"/>
              </w:rPr>
              <w:t>IV:</w:t>
            </w:r>
            <w:r>
              <w:rPr>
                <w:b/>
                <w:spacing w:val="-4"/>
                <w:sz w:val="24"/>
              </w:rPr>
              <w:t xml:space="preserve"> </w:t>
            </w:r>
            <w:r>
              <w:rPr>
                <w:b/>
                <w:sz w:val="24"/>
              </w:rPr>
              <w:t>Communicating</w:t>
            </w:r>
            <w:r>
              <w:rPr>
                <w:b/>
                <w:spacing w:val="-4"/>
                <w:sz w:val="24"/>
              </w:rPr>
              <w:t xml:space="preserve"> </w:t>
            </w:r>
            <w:r>
              <w:rPr>
                <w:b/>
                <w:sz w:val="24"/>
              </w:rPr>
              <w:t>and</w:t>
            </w:r>
            <w:r>
              <w:rPr>
                <w:b/>
                <w:spacing w:val="-4"/>
                <w:sz w:val="24"/>
              </w:rPr>
              <w:t xml:space="preserve"> </w:t>
            </w:r>
            <w:r>
              <w:rPr>
                <w:b/>
                <w:sz w:val="24"/>
              </w:rPr>
              <w:t>Reporting</w:t>
            </w:r>
            <w:r>
              <w:rPr>
                <w:b/>
                <w:spacing w:val="-3"/>
                <w:sz w:val="24"/>
              </w:rPr>
              <w:t xml:space="preserve"> </w:t>
            </w:r>
            <w:r>
              <w:rPr>
                <w:b/>
                <w:spacing w:val="-2"/>
                <w:sz w:val="24"/>
              </w:rPr>
              <w:t>Results</w:t>
            </w:r>
          </w:p>
        </w:tc>
        <w:tc>
          <w:tcPr>
            <w:tcW w:w="810" w:type="dxa"/>
            <w:tcBorders>
              <w:left w:val="single" w:sz="8" w:space="0" w:color="000000"/>
              <w:right w:val="single" w:sz="8" w:space="0" w:color="000000"/>
            </w:tcBorders>
            <w:shd w:val="clear" w:color="auto" w:fill="A6A6A6"/>
          </w:tcPr>
          <w:p w14:paraId="0DFDD27E" w14:textId="77777777" w:rsidR="00046465" w:rsidRDefault="008134EB">
            <w:pPr>
              <w:pStyle w:val="TableParagraph"/>
              <w:spacing w:before="120"/>
              <w:ind w:left="136" w:right="199"/>
              <w:jc w:val="both"/>
              <w:rPr>
                <w:b/>
              </w:rPr>
            </w:pPr>
            <w:r>
              <w:rPr>
                <w:b/>
                <w:spacing w:val="-4"/>
              </w:rPr>
              <w:t>Yes, No,* N/A</w:t>
            </w:r>
          </w:p>
        </w:tc>
        <w:tc>
          <w:tcPr>
            <w:tcW w:w="1350" w:type="dxa"/>
            <w:tcBorders>
              <w:left w:val="single" w:sz="8" w:space="0" w:color="000000"/>
            </w:tcBorders>
            <w:shd w:val="clear" w:color="auto" w:fill="A6A6A6"/>
          </w:tcPr>
          <w:p w14:paraId="0DFDD27F" w14:textId="77777777" w:rsidR="00046465" w:rsidRDefault="00046465">
            <w:pPr>
              <w:pStyle w:val="TableParagraph"/>
              <w:rPr>
                <w:b/>
              </w:rPr>
            </w:pPr>
          </w:p>
          <w:p w14:paraId="0DFDD280" w14:textId="77777777" w:rsidR="00046465" w:rsidRDefault="00046465">
            <w:pPr>
              <w:pStyle w:val="TableParagraph"/>
              <w:spacing w:before="120"/>
              <w:rPr>
                <w:b/>
              </w:rPr>
            </w:pPr>
          </w:p>
          <w:p w14:paraId="0DFDD281"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288" w14:textId="77777777">
        <w:trPr>
          <w:trHeight w:val="2666"/>
        </w:trPr>
        <w:tc>
          <w:tcPr>
            <w:tcW w:w="7380" w:type="dxa"/>
            <w:tcBorders>
              <w:bottom w:val="single" w:sz="6" w:space="0" w:color="000000"/>
              <w:right w:val="single" w:sz="6" w:space="0" w:color="000000"/>
            </w:tcBorders>
          </w:tcPr>
          <w:p w14:paraId="0DFDD283" w14:textId="77777777" w:rsidR="00046465" w:rsidRDefault="008134EB">
            <w:pPr>
              <w:pStyle w:val="TableParagraph"/>
              <w:ind w:left="1304"/>
            </w:pPr>
            <w:r>
              <w:t>judgment</w:t>
            </w:r>
            <w:r>
              <w:rPr>
                <w:spacing w:val="-4"/>
              </w:rPr>
              <w:t xml:space="preserve"> </w:t>
            </w:r>
            <w:r>
              <w:t>it</w:t>
            </w:r>
            <w:r>
              <w:rPr>
                <w:spacing w:val="-4"/>
              </w:rPr>
              <w:t xml:space="preserve"> </w:t>
            </w:r>
            <w:r>
              <w:t>is</w:t>
            </w:r>
            <w:r>
              <w:rPr>
                <w:spacing w:val="-4"/>
              </w:rPr>
              <w:t xml:space="preserve"> </w:t>
            </w:r>
            <w:r>
              <w:t>necessary</w:t>
            </w:r>
            <w:r>
              <w:rPr>
                <w:spacing w:val="-5"/>
              </w:rPr>
              <w:t xml:space="preserve"> </w:t>
            </w:r>
            <w:r>
              <w:t>to</w:t>
            </w:r>
            <w:r>
              <w:rPr>
                <w:spacing w:val="-4"/>
              </w:rPr>
              <w:t xml:space="preserve"> </w:t>
            </w:r>
            <w:r>
              <w:t>do</w:t>
            </w:r>
            <w:r>
              <w:rPr>
                <w:spacing w:val="-4"/>
              </w:rPr>
              <w:t xml:space="preserve"> </w:t>
            </w:r>
            <w:r>
              <w:t>so,</w:t>
            </w:r>
            <w:r>
              <w:rPr>
                <w:spacing w:val="-4"/>
              </w:rPr>
              <w:t xml:space="preserve"> </w:t>
            </w:r>
            <w:r>
              <w:t>by</w:t>
            </w:r>
            <w:r>
              <w:rPr>
                <w:spacing w:val="-5"/>
              </w:rPr>
              <w:t xml:space="preserve"> </w:t>
            </w:r>
            <w:r>
              <w:t>way</w:t>
            </w:r>
            <w:r>
              <w:rPr>
                <w:spacing w:val="-4"/>
              </w:rPr>
              <w:t xml:space="preserve"> </w:t>
            </w:r>
            <w:r>
              <w:t>of</w:t>
            </w:r>
            <w:r>
              <w:rPr>
                <w:spacing w:val="-4"/>
              </w:rPr>
              <w:t xml:space="preserve"> </w:t>
            </w:r>
            <w:r>
              <w:t>clear</w:t>
            </w:r>
            <w:r>
              <w:rPr>
                <w:spacing w:val="-4"/>
              </w:rPr>
              <w:t xml:space="preserve"> </w:t>
            </w:r>
            <w:r>
              <w:t>additional communication in the auditor’s report—to</w:t>
            </w:r>
          </w:p>
          <w:p w14:paraId="0DFDD284" w14:textId="77777777" w:rsidR="00046465" w:rsidRDefault="008134EB">
            <w:pPr>
              <w:pStyle w:val="TableParagraph"/>
              <w:numPr>
                <w:ilvl w:val="0"/>
                <w:numId w:val="36"/>
              </w:numPr>
              <w:tabs>
                <w:tab w:val="left" w:pos="1693"/>
              </w:tabs>
              <w:spacing w:before="120"/>
              <w:ind w:right="271" w:hanging="361"/>
            </w:pPr>
            <w:r>
              <w:t>a</w:t>
            </w:r>
            <w:r>
              <w:rPr>
                <w:spacing w:val="-6"/>
              </w:rPr>
              <w:t xml:space="preserve"> </w:t>
            </w:r>
            <w:r>
              <w:t>matter,</w:t>
            </w:r>
            <w:r>
              <w:rPr>
                <w:spacing w:val="-6"/>
              </w:rPr>
              <w:t xml:space="preserve"> </w:t>
            </w:r>
            <w:r>
              <w:t>although</w:t>
            </w:r>
            <w:r>
              <w:rPr>
                <w:spacing w:val="-6"/>
              </w:rPr>
              <w:t xml:space="preserve"> </w:t>
            </w:r>
            <w:r>
              <w:t>appropriately</w:t>
            </w:r>
            <w:r>
              <w:rPr>
                <w:spacing w:val="-6"/>
              </w:rPr>
              <w:t xml:space="preserve"> </w:t>
            </w:r>
            <w:r>
              <w:t>presented</w:t>
            </w:r>
            <w:r>
              <w:rPr>
                <w:spacing w:val="-6"/>
              </w:rPr>
              <w:t xml:space="preserve"> </w:t>
            </w:r>
            <w:r>
              <w:t>or</w:t>
            </w:r>
            <w:r>
              <w:rPr>
                <w:spacing w:val="-6"/>
              </w:rPr>
              <w:t xml:space="preserve"> </w:t>
            </w:r>
            <w:r>
              <w:t>disclosed in the financial statements, that is of such importance that it is fundamental to users’ understanding of the financial statements or</w:t>
            </w:r>
          </w:p>
          <w:p w14:paraId="0DFDD285" w14:textId="77777777" w:rsidR="00046465" w:rsidRDefault="008134EB">
            <w:pPr>
              <w:pStyle w:val="TableParagraph"/>
              <w:numPr>
                <w:ilvl w:val="0"/>
                <w:numId w:val="36"/>
              </w:numPr>
              <w:tabs>
                <w:tab w:val="left" w:pos="1693"/>
              </w:tabs>
              <w:spacing w:before="119"/>
              <w:ind w:right="137" w:hanging="361"/>
            </w:pPr>
            <w:r>
              <w:t>as</w:t>
            </w:r>
            <w:r>
              <w:rPr>
                <w:spacing w:val="-4"/>
              </w:rPr>
              <w:t xml:space="preserve"> </w:t>
            </w:r>
            <w:r>
              <w:t>appropriate,</w:t>
            </w:r>
            <w:r>
              <w:rPr>
                <w:spacing w:val="-4"/>
              </w:rPr>
              <w:t xml:space="preserve"> </w:t>
            </w:r>
            <w:r>
              <w:t>any</w:t>
            </w:r>
            <w:r>
              <w:rPr>
                <w:spacing w:val="-4"/>
              </w:rPr>
              <w:t xml:space="preserve"> </w:t>
            </w:r>
            <w:r>
              <w:t>other</w:t>
            </w:r>
            <w:r>
              <w:rPr>
                <w:spacing w:val="-5"/>
              </w:rPr>
              <w:t xml:space="preserve"> </w:t>
            </w:r>
            <w:r>
              <w:t>matter</w:t>
            </w:r>
            <w:r>
              <w:rPr>
                <w:spacing w:val="-4"/>
              </w:rPr>
              <w:t xml:space="preserve"> </w:t>
            </w:r>
            <w:r>
              <w:t>that</w:t>
            </w:r>
            <w:r>
              <w:rPr>
                <w:spacing w:val="-4"/>
              </w:rPr>
              <w:t xml:space="preserve"> </w:t>
            </w:r>
            <w:r>
              <w:t>is</w:t>
            </w:r>
            <w:r>
              <w:rPr>
                <w:spacing w:val="-4"/>
              </w:rPr>
              <w:t xml:space="preserve"> </w:t>
            </w:r>
            <w:r>
              <w:t>relevant</w:t>
            </w:r>
            <w:r>
              <w:rPr>
                <w:spacing w:val="-4"/>
              </w:rPr>
              <w:t xml:space="preserve"> </w:t>
            </w:r>
            <w:r>
              <w:t>to</w:t>
            </w:r>
            <w:r>
              <w:rPr>
                <w:spacing w:val="-5"/>
              </w:rPr>
              <w:t xml:space="preserve"> </w:t>
            </w:r>
            <w:r>
              <w:t>users’ understanding of the audit, the auditor’s responsibilities, or the auditor’s report? (AU-C 706)</w:t>
            </w:r>
          </w:p>
        </w:tc>
        <w:tc>
          <w:tcPr>
            <w:tcW w:w="810" w:type="dxa"/>
            <w:tcBorders>
              <w:left w:val="single" w:sz="6" w:space="0" w:color="000000"/>
              <w:bottom w:val="single" w:sz="6" w:space="0" w:color="000000"/>
              <w:right w:val="single" w:sz="6" w:space="0" w:color="000000"/>
            </w:tcBorders>
          </w:tcPr>
          <w:p w14:paraId="0DFDD286" w14:textId="77777777" w:rsidR="00046465" w:rsidRDefault="00046465">
            <w:pPr>
              <w:pStyle w:val="TableParagraph"/>
              <w:rPr>
                <w:rFonts w:ascii="Times New Roman"/>
                <w:sz w:val="20"/>
              </w:rPr>
            </w:pPr>
          </w:p>
        </w:tc>
        <w:tc>
          <w:tcPr>
            <w:tcW w:w="1350" w:type="dxa"/>
            <w:tcBorders>
              <w:left w:val="single" w:sz="6" w:space="0" w:color="000000"/>
              <w:bottom w:val="single" w:sz="6" w:space="0" w:color="000000"/>
            </w:tcBorders>
            <w:shd w:val="clear" w:color="auto" w:fill="BEBEBE"/>
          </w:tcPr>
          <w:p w14:paraId="0DFDD287" w14:textId="77777777" w:rsidR="00046465" w:rsidRDefault="00046465">
            <w:pPr>
              <w:pStyle w:val="TableParagraph"/>
              <w:rPr>
                <w:rFonts w:ascii="Times New Roman"/>
                <w:sz w:val="20"/>
              </w:rPr>
            </w:pPr>
          </w:p>
        </w:tc>
      </w:tr>
      <w:tr w:rsidR="00046465" w14:paraId="0DFDD28E" w14:textId="77777777">
        <w:trPr>
          <w:trHeight w:val="2847"/>
        </w:trPr>
        <w:tc>
          <w:tcPr>
            <w:tcW w:w="7380" w:type="dxa"/>
            <w:tcBorders>
              <w:top w:val="single" w:sz="6" w:space="0" w:color="000000"/>
              <w:bottom w:val="single" w:sz="6" w:space="0" w:color="000000"/>
              <w:right w:val="single" w:sz="6" w:space="0" w:color="000000"/>
            </w:tcBorders>
          </w:tcPr>
          <w:p w14:paraId="0DFDD289" w14:textId="77777777" w:rsidR="00046465" w:rsidRDefault="008134EB">
            <w:pPr>
              <w:pStyle w:val="TableParagraph"/>
              <w:numPr>
                <w:ilvl w:val="0"/>
                <w:numId w:val="35"/>
              </w:numPr>
              <w:tabs>
                <w:tab w:val="left" w:pos="1334"/>
              </w:tabs>
              <w:spacing w:before="61"/>
            </w:pPr>
            <w:r>
              <w:t>Did</w:t>
            </w:r>
            <w:r>
              <w:rPr>
                <w:spacing w:val="-4"/>
              </w:rPr>
              <w:t xml:space="preserve"> </w:t>
            </w:r>
            <w:r>
              <w:t>the</w:t>
            </w:r>
            <w:r>
              <w:rPr>
                <w:spacing w:val="-4"/>
              </w:rPr>
              <w:t xml:space="preserve"> </w:t>
            </w:r>
            <w:r>
              <w:rPr>
                <w:spacing w:val="-2"/>
              </w:rPr>
              <w:t>auditor</w:t>
            </w:r>
          </w:p>
          <w:p w14:paraId="0DFDD28A" w14:textId="77777777" w:rsidR="00046465" w:rsidRDefault="008134EB">
            <w:pPr>
              <w:pStyle w:val="TableParagraph"/>
              <w:numPr>
                <w:ilvl w:val="1"/>
                <w:numId w:val="35"/>
              </w:numPr>
              <w:tabs>
                <w:tab w:val="left" w:pos="1695"/>
              </w:tabs>
              <w:spacing w:before="179"/>
              <w:ind w:right="626"/>
            </w:pPr>
            <w:r>
              <w:t>evaluate</w:t>
            </w:r>
            <w:r>
              <w:rPr>
                <w:spacing w:val="-6"/>
              </w:rPr>
              <w:t xml:space="preserve"> </w:t>
            </w:r>
            <w:r>
              <w:t>the</w:t>
            </w:r>
            <w:r>
              <w:rPr>
                <w:spacing w:val="-7"/>
              </w:rPr>
              <w:t xml:space="preserve"> </w:t>
            </w:r>
            <w:r>
              <w:t>consistency</w:t>
            </w:r>
            <w:r>
              <w:rPr>
                <w:spacing w:val="-7"/>
              </w:rPr>
              <w:t xml:space="preserve"> </w:t>
            </w:r>
            <w:r>
              <w:t>of</w:t>
            </w:r>
            <w:r>
              <w:rPr>
                <w:spacing w:val="-6"/>
              </w:rPr>
              <w:t xml:space="preserve"> </w:t>
            </w:r>
            <w:r>
              <w:t>the</w:t>
            </w:r>
            <w:r>
              <w:rPr>
                <w:spacing w:val="-6"/>
              </w:rPr>
              <w:t xml:space="preserve"> </w:t>
            </w:r>
            <w:r>
              <w:t>financial</w:t>
            </w:r>
            <w:r>
              <w:rPr>
                <w:spacing w:val="-6"/>
              </w:rPr>
              <w:t xml:space="preserve"> </w:t>
            </w:r>
            <w:r>
              <w:t>statements between periods</w:t>
            </w:r>
            <w:hyperlink w:anchor="_bookmark234" w:history="1">
              <w:r>
                <w:rPr>
                  <w:position w:val="7"/>
                  <w:sz w:val="14"/>
                </w:rPr>
                <w:t>20</w:t>
              </w:r>
            </w:hyperlink>
            <w:r>
              <w:rPr>
                <w:spacing w:val="40"/>
                <w:position w:val="7"/>
                <w:sz w:val="14"/>
              </w:rPr>
              <w:t xml:space="preserve"> </w:t>
            </w:r>
            <w:r>
              <w:t>and</w:t>
            </w:r>
          </w:p>
          <w:p w14:paraId="0DFDD28B" w14:textId="77777777" w:rsidR="00046465" w:rsidRDefault="008134EB">
            <w:pPr>
              <w:pStyle w:val="TableParagraph"/>
              <w:numPr>
                <w:ilvl w:val="1"/>
                <w:numId w:val="35"/>
              </w:numPr>
              <w:tabs>
                <w:tab w:val="left" w:pos="1695"/>
              </w:tabs>
              <w:spacing w:before="179"/>
              <w:ind w:right="297"/>
            </w:pPr>
            <w:r>
              <w:t>communicate</w:t>
            </w:r>
            <w:r>
              <w:rPr>
                <w:spacing w:val="-7"/>
              </w:rPr>
              <w:t xml:space="preserve"> </w:t>
            </w:r>
            <w:r>
              <w:t>appropriately</w:t>
            </w:r>
            <w:r>
              <w:rPr>
                <w:spacing w:val="-7"/>
              </w:rPr>
              <w:t xml:space="preserve"> </w:t>
            </w:r>
            <w:r>
              <w:t>in</w:t>
            </w:r>
            <w:r>
              <w:rPr>
                <w:spacing w:val="-7"/>
              </w:rPr>
              <w:t xml:space="preserve"> </w:t>
            </w:r>
            <w:r>
              <w:t>the</w:t>
            </w:r>
            <w:r>
              <w:rPr>
                <w:spacing w:val="-7"/>
              </w:rPr>
              <w:t xml:space="preserve"> </w:t>
            </w:r>
            <w:r>
              <w:t>auditor’s</w:t>
            </w:r>
            <w:r>
              <w:rPr>
                <w:spacing w:val="-7"/>
              </w:rPr>
              <w:t xml:space="preserve"> </w:t>
            </w:r>
            <w:r>
              <w:t>report</w:t>
            </w:r>
            <w:r>
              <w:rPr>
                <w:spacing w:val="-8"/>
              </w:rPr>
              <w:t xml:space="preserve"> </w:t>
            </w:r>
            <w:r>
              <w:t>when the comparability of financial statements between periods has been materially affected by a change in accounting principle or by adjustments to correct a material misstatement in previously issued financial statements? (Based on AU-C 708)</w:t>
            </w:r>
          </w:p>
        </w:tc>
        <w:tc>
          <w:tcPr>
            <w:tcW w:w="810" w:type="dxa"/>
            <w:tcBorders>
              <w:top w:val="single" w:sz="6" w:space="0" w:color="000000"/>
              <w:left w:val="single" w:sz="6" w:space="0" w:color="000000"/>
              <w:bottom w:val="single" w:sz="6" w:space="0" w:color="000000"/>
              <w:right w:val="single" w:sz="6" w:space="0" w:color="000000"/>
            </w:tcBorders>
          </w:tcPr>
          <w:p w14:paraId="0DFDD28C" w14:textId="77777777" w:rsidR="00046465" w:rsidRDefault="00046465">
            <w:pPr>
              <w:pStyle w:val="TableParagraph"/>
              <w:rPr>
                <w:rFonts w:ascii="Times New Roman"/>
                <w:sz w:val="20"/>
              </w:rPr>
            </w:pPr>
          </w:p>
        </w:tc>
        <w:tc>
          <w:tcPr>
            <w:tcW w:w="1350" w:type="dxa"/>
            <w:tcBorders>
              <w:top w:val="single" w:sz="6" w:space="0" w:color="000000"/>
              <w:left w:val="single" w:sz="6" w:space="0" w:color="000000"/>
              <w:bottom w:val="single" w:sz="6" w:space="0" w:color="000000"/>
            </w:tcBorders>
            <w:shd w:val="clear" w:color="auto" w:fill="BEBEBE"/>
          </w:tcPr>
          <w:p w14:paraId="0DFDD28D" w14:textId="77777777" w:rsidR="00046465" w:rsidRDefault="00046465">
            <w:pPr>
              <w:pStyle w:val="TableParagraph"/>
              <w:rPr>
                <w:rFonts w:ascii="Times New Roman"/>
                <w:sz w:val="20"/>
              </w:rPr>
            </w:pPr>
          </w:p>
        </w:tc>
      </w:tr>
      <w:tr w:rsidR="00046465" w14:paraId="0DFDD292" w14:textId="77777777">
        <w:trPr>
          <w:trHeight w:val="1252"/>
        </w:trPr>
        <w:tc>
          <w:tcPr>
            <w:tcW w:w="7380" w:type="dxa"/>
            <w:tcBorders>
              <w:top w:val="single" w:sz="6" w:space="0" w:color="000000"/>
              <w:bottom w:val="single" w:sz="6" w:space="0" w:color="000000"/>
              <w:right w:val="single" w:sz="6" w:space="0" w:color="000000"/>
            </w:tcBorders>
          </w:tcPr>
          <w:p w14:paraId="0DFDD28F" w14:textId="77777777" w:rsidR="00046465" w:rsidRDefault="008134EB">
            <w:pPr>
              <w:pStyle w:val="TableParagraph"/>
              <w:tabs>
                <w:tab w:val="left" w:pos="1334"/>
              </w:tabs>
              <w:spacing w:before="119"/>
              <w:ind w:left="1304" w:right="259" w:hanging="360"/>
            </w:pPr>
            <w:r>
              <w:rPr>
                <w:spacing w:val="-6"/>
              </w:rPr>
              <w:t>h.</w:t>
            </w:r>
            <w:r>
              <w:tab/>
            </w:r>
            <w:r>
              <w:tab/>
              <w:t>Did the auditor respond appropriately when the auditor became</w:t>
            </w:r>
            <w:r>
              <w:rPr>
                <w:spacing w:val="-5"/>
              </w:rPr>
              <w:t xml:space="preserve"> </w:t>
            </w:r>
            <w:r>
              <w:t>aware</w:t>
            </w:r>
            <w:r>
              <w:rPr>
                <w:spacing w:val="-5"/>
              </w:rPr>
              <w:t xml:space="preserve"> </w:t>
            </w:r>
            <w:r>
              <w:t>that</w:t>
            </w:r>
            <w:r>
              <w:rPr>
                <w:spacing w:val="-5"/>
              </w:rPr>
              <w:t xml:space="preserve"> </w:t>
            </w:r>
            <w:r>
              <w:t>the</w:t>
            </w:r>
            <w:r>
              <w:rPr>
                <w:spacing w:val="-6"/>
              </w:rPr>
              <w:t xml:space="preserve"> </w:t>
            </w:r>
            <w:r>
              <w:t>entity’s</w:t>
            </w:r>
            <w:r>
              <w:rPr>
                <w:spacing w:val="-6"/>
              </w:rPr>
              <w:t xml:space="preserve"> </w:t>
            </w:r>
            <w:r>
              <w:t>annual</w:t>
            </w:r>
            <w:r>
              <w:rPr>
                <w:spacing w:val="-5"/>
              </w:rPr>
              <w:t xml:space="preserve"> </w:t>
            </w:r>
            <w:r>
              <w:t>report</w:t>
            </w:r>
            <w:r>
              <w:rPr>
                <w:spacing w:val="-5"/>
              </w:rPr>
              <w:t xml:space="preserve"> </w:t>
            </w:r>
            <w:r>
              <w:t>included</w:t>
            </w:r>
            <w:r>
              <w:rPr>
                <w:spacing w:val="-4"/>
              </w:rPr>
              <w:t xml:space="preserve"> </w:t>
            </w:r>
            <w:r>
              <w:t>other information that could undermine the credibility of those financial statements and the auditor’s report? (AU-C 720)</w:t>
            </w:r>
          </w:p>
        </w:tc>
        <w:tc>
          <w:tcPr>
            <w:tcW w:w="810" w:type="dxa"/>
            <w:tcBorders>
              <w:top w:val="single" w:sz="6" w:space="0" w:color="000000"/>
              <w:left w:val="single" w:sz="6" w:space="0" w:color="000000"/>
              <w:bottom w:val="single" w:sz="6" w:space="0" w:color="000000"/>
              <w:right w:val="single" w:sz="6" w:space="0" w:color="000000"/>
            </w:tcBorders>
          </w:tcPr>
          <w:p w14:paraId="0DFDD290" w14:textId="77777777" w:rsidR="00046465" w:rsidRDefault="00046465">
            <w:pPr>
              <w:pStyle w:val="TableParagraph"/>
              <w:rPr>
                <w:rFonts w:ascii="Times New Roman"/>
                <w:sz w:val="20"/>
              </w:rPr>
            </w:pPr>
          </w:p>
        </w:tc>
        <w:tc>
          <w:tcPr>
            <w:tcW w:w="1350" w:type="dxa"/>
            <w:tcBorders>
              <w:top w:val="single" w:sz="6" w:space="0" w:color="000000"/>
              <w:left w:val="single" w:sz="6" w:space="0" w:color="000000"/>
              <w:bottom w:val="single" w:sz="6" w:space="0" w:color="000000"/>
            </w:tcBorders>
            <w:shd w:val="clear" w:color="auto" w:fill="BEBEBE"/>
          </w:tcPr>
          <w:p w14:paraId="0DFDD291" w14:textId="77777777" w:rsidR="00046465" w:rsidRDefault="00046465">
            <w:pPr>
              <w:pStyle w:val="TableParagraph"/>
              <w:rPr>
                <w:rFonts w:ascii="Times New Roman"/>
                <w:sz w:val="20"/>
              </w:rPr>
            </w:pPr>
          </w:p>
        </w:tc>
      </w:tr>
      <w:tr w:rsidR="00046465" w14:paraId="0DFDD298" w14:textId="77777777">
        <w:trPr>
          <w:trHeight w:val="3010"/>
        </w:trPr>
        <w:tc>
          <w:tcPr>
            <w:tcW w:w="7380" w:type="dxa"/>
            <w:tcBorders>
              <w:top w:val="single" w:sz="6" w:space="0" w:color="000000"/>
              <w:bottom w:val="single" w:sz="6" w:space="0" w:color="000000"/>
              <w:right w:val="single" w:sz="6" w:space="0" w:color="000000"/>
            </w:tcBorders>
          </w:tcPr>
          <w:p w14:paraId="0DFDD293" w14:textId="77777777" w:rsidR="00046465" w:rsidRDefault="008134EB">
            <w:pPr>
              <w:pStyle w:val="TableParagraph"/>
              <w:tabs>
                <w:tab w:val="left" w:pos="1334"/>
              </w:tabs>
              <w:spacing w:before="119"/>
              <w:ind w:left="1304" w:right="166" w:hanging="360"/>
            </w:pPr>
            <w:r>
              <w:rPr>
                <w:spacing w:val="-6"/>
              </w:rPr>
              <w:t>i.</w:t>
            </w:r>
            <w:r>
              <w:tab/>
            </w:r>
            <w:r>
              <w:tab/>
              <w:t>When providing an opinion or a disclaimer on financial statements, did the auditor also report on internal control over financial reporting and on compliance with selected provisions</w:t>
            </w:r>
            <w:r>
              <w:rPr>
                <w:spacing w:val="-6"/>
              </w:rPr>
              <w:t xml:space="preserve"> </w:t>
            </w:r>
            <w:r>
              <w:t>of</w:t>
            </w:r>
            <w:r>
              <w:rPr>
                <w:spacing w:val="-6"/>
              </w:rPr>
              <w:t xml:space="preserve"> </w:t>
            </w:r>
            <w:r>
              <w:t>applicable</w:t>
            </w:r>
            <w:r>
              <w:rPr>
                <w:spacing w:val="-6"/>
              </w:rPr>
              <w:t xml:space="preserve"> </w:t>
            </w:r>
            <w:r>
              <w:t>laws,</w:t>
            </w:r>
            <w:r>
              <w:rPr>
                <w:spacing w:val="-6"/>
              </w:rPr>
              <w:t xml:space="preserve"> </w:t>
            </w:r>
            <w:r>
              <w:t>regulations,</w:t>
            </w:r>
            <w:r>
              <w:rPr>
                <w:spacing w:val="-6"/>
              </w:rPr>
              <w:t xml:space="preserve"> </w:t>
            </w:r>
            <w:r>
              <w:t>contracts,</w:t>
            </w:r>
            <w:r>
              <w:rPr>
                <w:spacing w:val="-6"/>
              </w:rPr>
              <w:t xml:space="preserve"> </w:t>
            </w:r>
            <w:r>
              <w:t>or</w:t>
            </w:r>
            <w:r>
              <w:rPr>
                <w:spacing w:val="-6"/>
              </w:rPr>
              <w:t xml:space="preserve"> </w:t>
            </w:r>
            <w:r>
              <w:t xml:space="preserve">grant agreements that have a material effect on the financial </w:t>
            </w:r>
            <w:r>
              <w:rPr>
                <w:spacing w:val="-2"/>
              </w:rPr>
              <w:t>statements?</w:t>
            </w:r>
          </w:p>
          <w:p w14:paraId="0DFDD294" w14:textId="77777777" w:rsidR="00046465" w:rsidRDefault="008134EB">
            <w:pPr>
              <w:pStyle w:val="TableParagraph"/>
              <w:spacing w:before="241"/>
              <w:ind w:left="1304"/>
            </w:pPr>
            <w:r>
              <w:t>Did the auditor report on internal control and compliance, regardless</w:t>
            </w:r>
            <w:r>
              <w:rPr>
                <w:spacing w:val="-6"/>
              </w:rPr>
              <w:t xml:space="preserve"> </w:t>
            </w:r>
            <w:r>
              <w:t>of</w:t>
            </w:r>
            <w:r>
              <w:rPr>
                <w:spacing w:val="-6"/>
              </w:rPr>
              <w:t xml:space="preserve"> </w:t>
            </w:r>
            <w:r>
              <w:t>whether</w:t>
            </w:r>
            <w:r>
              <w:rPr>
                <w:spacing w:val="-6"/>
              </w:rPr>
              <w:t xml:space="preserve"> </w:t>
            </w:r>
            <w:r>
              <w:t>the</w:t>
            </w:r>
            <w:r>
              <w:rPr>
                <w:spacing w:val="-6"/>
              </w:rPr>
              <w:t xml:space="preserve"> </w:t>
            </w:r>
            <w:r>
              <w:t>auditor</w:t>
            </w:r>
            <w:r>
              <w:rPr>
                <w:spacing w:val="-6"/>
              </w:rPr>
              <w:t xml:space="preserve"> </w:t>
            </w:r>
            <w:r>
              <w:t>identified</w:t>
            </w:r>
            <w:r>
              <w:rPr>
                <w:spacing w:val="-6"/>
              </w:rPr>
              <w:t xml:space="preserve"> </w:t>
            </w:r>
            <w:r>
              <w:t>internal</w:t>
            </w:r>
            <w:r>
              <w:rPr>
                <w:spacing w:val="-6"/>
              </w:rPr>
              <w:t xml:space="preserve"> </w:t>
            </w:r>
            <w:r>
              <w:t>control deficiencies or instances of noncompliance?</w:t>
            </w:r>
          </w:p>
          <w:p w14:paraId="0DFDD295" w14:textId="77777777" w:rsidR="00046465" w:rsidRDefault="008134EB">
            <w:pPr>
              <w:pStyle w:val="TableParagraph"/>
              <w:ind w:left="1304"/>
            </w:pPr>
            <w:r>
              <w:t>(GAGAS</w:t>
            </w:r>
            <w:r>
              <w:rPr>
                <w:spacing w:val="-6"/>
              </w:rPr>
              <w:t xml:space="preserve"> </w:t>
            </w:r>
            <w:r>
              <w:t>(2018)</w:t>
            </w:r>
            <w:r>
              <w:rPr>
                <w:spacing w:val="-6"/>
              </w:rPr>
              <w:t xml:space="preserve"> </w:t>
            </w:r>
            <w:r>
              <w:t>6.39</w:t>
            </w:r>
            <w:r>
              <w:rPr>
                <w:spacing w:val="-6"/>
              </w:rPr>
              <w:t xml:space="preserve"> </w:t>
            </w:r>
            <w:r>
              <w:t>and</w:t>
            </w:r>
            <w:r>
              <w:rPr>
                <w:spacing w:val="-6"/>
              </w:rPr>
              <w:t xml:space="preserve"> </w:t>
            </w:r>
            <w:r>
              <w:rPr>
                <w:spacing w:val="-2"/>
              </w:rPr>
              <w:t>6.40)</w:t>
            </w:r>
          </w:p>
        </w:tc>
        <w:tc>
          <w:tcPr>
            <w:tcW w:w="810" w:type="dxa"/>
            <w:tcBorders>
              <w:top w:val="single" w:sz="6" w:space="0" w:color="000000"/>
              <w:left w:val="single" w:sz="6" w:space="0" w:color="000000"/>
              <w:bottom w:val="single" w:sz="6" w:space="0" w:color="000000"/>
              <w:right w:val="single" w:sz="6" w:space="0" w:color="000000"/>
            </w:tcBorders>
          </w:tcPr>
          <w:p w14:paraId="0DFDD296" w14:textId="77777777" w:rsidR="00046465" w:rsidRDefault="00046465">
            <w:pPr>
              <w:pStyle w:val="TableParagraph"/>
              <w:rPr>
                <w:rFonts w:ascii="Times New Roman"/>
                <w:sz w:val="20"/>
              </w:rPr>
            </w:pPr>
          </w:p>
        </w:tc>
        <w:tc>
          <w:tcPr>
            <w:tcW w:w="1350" w:type="dxa"/>
            <w:tcBorders>
              <w:top w:val="single" w:sz="6" w:space="0" w:color="000000"/>
              <w:left w:val="single" w:sz="6" w:space="0" w:color="000000"/>
              <w:bottom w:val="single" w:sz="6" w:space="0" w:color="000000"/>
            </w:tcBorders>
            <w:shd w:val="clear" w:color="auto" w:fill="BEBEBE"/>
          </w:tcPr>
          <w:p w14:paraId="0DFDD297" w14:textId="77777777" w:rsidR="00046465" w:rsidRDefault="00046465">
            <w:pPr>
              <w:pStyle w:val="TableParagraph"/>
              <w:rPr>
                <w:rFonts w:ascii="Times New Roman"/>
                <w:sz w:val="20"/>
              </w:rPr>
            </w:pPr>
          </w:p>
        </w:tc>
      </w:tr>
    </w:tbl>
    <w:p w14:paraId="0DFDD299" w14:textId="77777777" w:rsidR="00046465" w:rsidRDefault="00046465">
      <w:pPr>
        <w:pStyle w:val="BodyText"/>
        <w:rPr>
          <w:b/>
          <w:sz w:val="20"/>
        </w:rPr>
      </w:pPr>
    </w:p>
    <w:p w14:paraId="0DFDD29A" w14:textId="77777777" w:rsidR="00046465" w:rsidRDefault="008134EB">
      <w:pPr>
        <w:pStyle w:val="BodyText"/>
        <w:spacing w:before="51"/>
        <w:rPr>
          <w:b/>
          <w:sz w:val="20"/>
        </w:rPr>
      </w:pPr>
      <w:r>
        <w:rPr>
          <w:b/>
          <w:noProof/>
          <w:sz w:val="20"/>
        </w:rPr>
        <mc:AlternateContent>
          <mc:Choice Requires="wps">
            <w:drawing>
              <wp:anchor distT="0" distB="0" distL="0" distR="0" simplePos="0" relativeHeight="487744000" behindDoc="1" locked="0" layoutInCell="1" allowOverlap="1" wp14:anchorId="0DFDD775" wp14:editId="0DFDD776">
                <wp:simplePos x="0" y="0"/>
                <wp:positionH relativeFrom="page">
                  <wp:posOffset>914400</wp:posOffset>
                </wp:positionH>
                <wp:positionV relativeFrom="paragraph">
                  <wp:posOffset>194195</wp:posOffset>
                </wp:positionV>
                <wp:extent cx="1828800" cy="5715"/>
                <wp:effectExtent l="0" t="0" r="0" b="0"/>
                <wp:wrapTopAndBottom/>
                <wp:docPr id="1165" name="Graphic 1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33"/>
                              </a:lnTo>
                              <a:lnTo>
                                <a:pt x="1828800" y="5333"/>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819252" id="Graphic 1165" o:spid="_x0000_s1026" style="position:absolute;margin-left:1in;margin-top:15.3pt;width:2in;height:.45pt;z-index:-15572480;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" path="m1828800,l,,,5333r1828800,l1828800,xe" fillcolor="black" stroked="f">
                <v:path arrowok="t"/>
                <w10:wrap type="topAndBottom" anchorx="page"/>
              </v:shape>
            </w:pict>
          </mc:Fallback>
        </mc:AlternateContent>
      </w:r>
    </w:p>
    <w:p w14:paraId="0DFDD29B" w14:textId="77777777" w:rsidR="00046465" w:rsidRDefault="00046465">
      <w:pPr>
        <w:pStyle w:val="BodyText"/>
        <w:spacing w:before="114"/>
        <w:rPr>
          <w:b/>
          <w:sz w:val="18"/>
        </w:rPr>
      </w:pPr>
    </w:p>
    <w:p w14:paraId="0DFDD29C" w14:textId="77777777" w:rsidR="00046465" w:rsidRDefault="008134EB">
      <w:pPr>
        <w:spacing w:before="1" w:line="242" w:lineRule="auto"/>
        <w:ind w:left="1079" w:right="755"/>
        <w:rPr>
          <w:sz w:val="18"/>
        </w:rPr>
      </w:pPr>
      <w:bookmarkStart w:id="417" w:name="_bookmark234"/>
      <w:bookmarkEnd w:id="417"/>
      <w:r>
        <w:rPr>
          <w:position w:val="7"/>
          <w:sz w:val="14"/>
        </w:rPr>
        <w:t>20</w:t>
      </w:r>
      <w:r>
        <w:rPr>
          <w:sz w:val="18"/>
        </w:rPr>
        <w:t>When the auditor’s opinion covers only the current period, the auditor should evaluate the consistency of the current-period</w:t>
      </w:r>
      <w:r>
        <w:rPr>
          <w:spacing w:val="-4"/>
          <w:sz w:val="18"/>
        </w:rPr>
        <w:t xml:space="preserve"> </w:t>
      </w:r>
      <w:r>
        <w:rPr>
          <w:sz w:val="18"/>
        </w:rPr>
        <w:t>financial</w:t>
      </w:r>
      <w:r>
        <w:rPr>
          <w:spacing w:val="-3"/>
          <w:sz w:val="18"/>
        </w:rPr>
        <w:t xml:space="preserve"> </w:t>
      </w:r>
      <w:r>
        <w:rPr>
          <w:sz w:val="18"/>
        </w:rPr>
        <w:t>statements</w:t>
      </w:r>
      <w:r>
        <w:rPr>
          <w:spacing w:val="-3"/>
          <w:sz w:val="18"/>
        </w:rPr>
        <w:t xml:space="preserve"> </w:t>
      </w:r>
      <w:r>
        <w:rPr>
          <w:sz w:val="18"/>
        </w:rPr>
        <w:t>with</w:t>
      </w:r>
      <w:r>
        <w:rPr>
          <w:spacing w:val="-4"/>
          <w:sz w:val="18"/>
        </w:rPr>
        <w:t xml:space="preserve"> </w:t>
      </w:r>
      <w:r>
        <w:rPr>
          <w:sz w:val="18"/>
        </w:rPr>
        <w:t>those</w:t>
      </w:r>
      <w:r>
        <w:rPr>
          <w:spacing w:val="-2"/>
          <w:sz w:val="18"/>
        </w:rPr>
        <w:t xml:space="preserve"> </w:t>
      </w:r>
      <w:r>
        <w:rPr>
          <w:sz w:val="18"/>
        </w:rPr>
        <w:t>of</w:t>
      </w:r>
      <w:r>
        <w:rPr>
          <w:spacing w:val="-3"/>
          <w:sz w:val="18"/>
        </w:rPr>
        <w:t xml:space="preserve"> </w:t>
      </w:r>
      <w:r>
        <w:rPr>
          <w:sz w:val="18"/>
        </w:rPr>
        <w:t>the</w:t>
      </w:r>
      <w:r>
        <w:rPr>
          <w:spacing w:val="-4"/>
          <w:sz w:val="18"/>
        </w:rPr>
        <w:t xml:space="preserve"> </w:t>
      </w:r>
      <w:r>
        <w:rPr>
          <w:sz w:val="18"/>
        </w:rPr>
        <w:t>preceding</w:t>
      </w:r>
      <w:r>
        <w:rPr>
          <w:spacing w:val="-4"/>
          <w:sz w:val="18"/>
        </w:rPr>
        <w:t xml:space="preserve"> </w:t>
      </w:r>
      <w:r>
        <w:rPr>
          <w:sz w:val="18"/>
        </w:rPr>
        <w:t>period.</w:t>
      </w:r>
      <w:r>
        <w:rPr>
          <w:spacing w:val="-3"/>
          <w:sz w:val="18"/>
        </w:rPr>
        <w:t xml:space="preserve"> </w:t>
      </w:r>
      <w:r>
        <w:rPr>
          <w:sz w:val="18"/>
        </w:rPr>
        <w:t>When</w:t>
      </w:r>
      <w:r>
        <w:rPr>
          <w:spacing w:val="-4"/>
          <w:sz w:val="18"/>
        </w:rPr>
        <w:t xml:space="preserve"> </w:t>
      </w:r>
      <w:r>
        <w:rPr>
          <w:sz w:val="18"/>
        </w:rPr>
        <w:t>the</w:t>
      </w:r>
      <w:r>
        <w:rPr>
          <w:spacing w:val="-4"/>
          <w:sz w:val="18"/>
        </w:rPr>
        <w:t xml:space="preserve"> </w:t>
      </w:r>
      <w:r>
        <w:rPr>
          <w:sz w:val="18"/>
        </w:rPr>
        <w:t>auditor’s</w:t>
      </w:r>
      <w:r>
        <w:rPr>
          <w:spacing w:val="-2"/>
          <w:sz w:val="18"/>
        </w:rPr>
        <w:t xml:space="preserve"> </w:t>
      </w:r>
      <w:r>
        <w:rPr>
          <w:sz w:val="18"/>
        </w:rPr>
        <w:t>opinion</w:t>
      </w:r>
      <w:r>
        <w:rPr>
          <w:spacing w:val="-4"/>
          <w:sz w:val="18"/>
        </w:rPr>
        <w:t xml:space="preserve"> </w:t>
      </w:r>
      <w:r>
        <w:rPr>
          <w:sz w:val="18"/>
        </w:rPr>
        <w:t>covers</w:t>
      </w:r>
      <w:r>
        <w:rPr>
          <w:spacing w:val="-2"/>
          <w:sz w:val="18"/>
        </w:rPr>
        <w:t xml:space="preserve"> </w:t>
      </w:r>
      <w:r>
        <w:rPr>
          <w:sz w:val="18"/>
        </w:rPr>
        <w:t>two</w:t>
      </w:r>
      <w:r>
        <w:rPr>
          <w:spacing w:val="-4"/>
          <w:sz w:val="18"/>
        </w:rPr>
        <w:t xml:space="preserve"> </w:t>
      </w:r>
      <w:r>
        <w:rPr>
          <w:sz w:val="18"/>
        </w:rPr>
        <w:t>or</w:t>
      </w:r>
      <w:r>
        <w:rPr>
          <w:spacing w:val="-3"/>
          <w:sz w:val="18"/>
        </w:rPr>
        <w:t xml:space="preserve"> </w:t>
      </w:r>
      <w:r>
        <w:rPr>
          <w:sz w:val="18"/>
        </w:rPr>
        <w:t>more periods, the auditor should evaluate the consistency between such periods and the consistency of the earliest period covered by the auditor’s opinion with the period preceding it. The auditor should also evaluate whether the financial statements for the prior periods being reported upon are consistent with previously issued financial statements for those periods.</w:t>
      </w:r>
    </w:p>
    <w:p w14:paraId="0DFDD29D" w14:textId="77777777" w:rsidR="00046465" w:rsidRDefault="00046465">
      <w:pPr>
        <w:spacing w:line="242" w:lineRule="auto"/>
        <w:rPr>
          <w:sz w:val="18"/>
        </w:rPr>
        <w:sectPr w:rsidR="00046465">
          <w:pgSz w:w="12240" w:h="15840"/>
          <w:pgMar w:top="1340" w:right="720" w:bottom="940" w:left="360" w:header="721" w:footer="757" w:gutter="0"/>
          <w:cols w:space="720"/>
        </w:sectPr>
      </w:pPr>
    </w:p>
    <w:p w14:paraId="0DFDD29E" w14:textId="77777777" w:rsidR="00046465" w:rsidRDefault="00046465">
      <w:pPr>
        <w:pStyle w:val="BodyText"/>
        <w:spacing w:before="9"/>
        <w:rPr>
          <w:sz w:val="11"/>
        </w:rPr>
      </w:pPr>
    </w:p>
    <w:tbl>
      <w:tblPr>
        <w:tblW w:w="0" w:type="auto"/>
        <w:tblInd w:w="1102"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380"/>
        <w:gridCol w:w="810"/>
        <w:gridCol w:w="1350"/>
      </w:tblGrid>
      <w:tr w:rsidR="00046465" w14:paraId="0DFDD2A6" w14:textId="77777777">
        <w:trPr>
          <w:trHeight w:val="998"/>
        </w:trPr>
        <w:tc>
          <w:tcPr>
            <w:tcW w:w="7380" w:type="dxa"/>
            <w:tcBorders>
              <w:right w:val="single" w:sz="8" w:space="0" w:color="000000"/>
            </w:tcBorders>
            <w:shd w:val="clear" w:color="auto" w:fill="A6A6A6"/>
          </w:tcPr>
          <w:p w14:paraId="0DFDD29F" w14:textId="77777777" w:rsidR="00046465" w:rsidRDefault="00046465">
            <w:pPr>
              <w:pStyle w:val="TableParagraph"/>
              <w:rPr>
                <w:sz w:val="24"/>
              </w:rPr>
            </w:pPr>
          </w:p>
          <w:p w14:paraId="0DFDD2A0" w14:textId="77777777" w:rsidR="00046465" w:rsidRDefault="00046465">
            <w:pPr>
              <w:pStyle w:val="TableParagraph"/>
              <w:spacing w:before="72"/>
              <w:rPr>
                <w:sz w:val="24"/>
              </w:rPr>
            </w:pPr>
          </w:p>
          <w:p w14:paraId="0DFDD2A1" w14:textId="77777777" w:rsidR="00046465" w:rsidRDefault="008134EB">
            <w:pPr>
              <w:pStyle w:val="TableParagraph"/>
              <w:spacing w:before="1"/>
              <w:ind w:left="123"/>
              <w:rPr>
                <w:b/>
                <w:sz w:val="24"/>
              </w:rPr>
            </w:pPr>
            <w:r>
              <w:rPr>
                <w:b/>
                <w:sz w:val="24"/>
              </w:rPr>
              <w:t>Section</w:t>
            </w:r>
            <w:r>
              <w:rPr>
                <w:b/>
                <w:spacing w:val="-4"/>
                <w:sz w:val="24"/>
              </w:rPr>
              <w:t xml:space="preserve"> </w:t>
            </w:r>
            <w:r>
              <w:rPr>
                <w:b/>
                <w:sz w:val="24"/>
              </w:rPr>
              <w:t>IV:</w:t>
            </w:r>
            <w:r>
              <w:rPr>
                <w:b/>
                <w:spacing w:val="-4"/>
                <w:sz w:val="24"/>
              </w:rPr>
              <w:t xml:space="preserve"> </w:t>
            </w:r>
            <w:r>
              <w:rPr>
                <w:b/>
                <w:sz w:val="24"/>
              </w:rPr>
              <w:t>Communicating</w:t>
            </w:r>
            <w:r>
              <w:rPr>
                <w:b/>
                <w:spacing w:val="-4"/>
                <w:sz w:val="24"/>
              </w:rPr>
              <w:t xml:space="preserve"> </w:t>
            </w:r>
            <w:r>
              <w:rPr>
                <w:b/>
                <w:sz w:val="24"/>
              </w:rPr>
              <w:t>and</w:t>
            </w:r>
            <w:r>
              <w:rPr>
                <w:b/>
                <w:spacing w:val="-4"/>
                <w:sz w:val="24"/>
              </w:rPr>
              <w:t xml:space="preserve"> </w:t>
            </w:r>
            <w:r>
              <w:rPr>
                <w:b/>
                <w:sz w:val="24"/>
              </w:rPr>
              <w:t>Reporting</w:t>
            </w:r>
            <w:r>
              <w:rPr>
                <w:b/>
                <w:spacing w:val="-3"/>
                <w:sz w:val="24"/>
              </w:rPr>
              <w:t xml:space="preserve"> </w:t>
            </w:r>
            <w:r>
              <w:rPr>
                <w:b/>
                <w:spacing w:val="-2"/>
                <w:sz w:val="24"/>
              </w:rPr>
              <w:t>Results</w:t>
            </w:r>
          </w:p>
        </w:tc>
        <w:tc>
          <w:tcPr>
            <w:tcW w:w="810" w:type="dxa"/>
            <w:tcBorders>
              <w:left w:val="single" w:sz="8" w:space="0" w:color="000000"/>
              <w:right w:val="single" w:sz="8" w:space="0" w:color="000000"/>
            </w:tcBorders>
            <w:shd w:val="clear" w:color="auto" w:fill="A6A6A6"/>
          </w:tcPr>
          <w:p w14:paraId="0DFDD2A2" w14:textId="77777777" w:rsidR="00046465" w:rsidRDefault="008134EB">
            <w:pPr>
              <w:pStyle w:val="TableParagraph"/>
              <w:spacing w:before="120"/>
              <w:ind w:left="136" w:right="199"/>
              <w:jc w:val="both"/>
              <w:rPr>
                <w:b/>
              </w:rPr>
            </w:pPr>
            <w:r>
              <w:rPr>
                <w:b/>
                <w:spacing w:val="-4"/>
              </w:rPr>
              <w:t>Yes, No,* N/A</w:t>
            </w:r>
          </w:p>
        </w:tc>
        <w:tc>
          <w:tcPr>
            <w:tcW w:w="1350" w:type="dxa"/>
            <w:tcBorders>
              <w:left w:val="single" w:sz="8" w:space="0" w:color="000000"/>
            </w:tcBorders>
            <w:shd w:val="clear" w:color="auto" w:fill="A6A6A6"/>
          </w:tcPr>
          <w:p w14:paraId="0DFDD2A3" w14:textId="77777777" w:rsidR="00046465" w:rsidRDefault="00046465">
            <w:pPr>
              <w:pStyle w:val="TableParagraph"/>
            </w:pPr>
          </w:p>
          <w:p w14:paraId="0DFDD2A4" w14:textId="77777777" w:rsidR="00046465" w:rsidRDefault="00046465">
            <w:pPr>
              <w:pStyle w:val="TableParagraph"/>
              <w:spacing w:before="120"/>
            </w:pPr>
          </w:p>
          <w:p w14:paraId="0DFDD2A5"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2AC" w14:textId="77777777">
        <w:trPr>
          <w:trHeight w:val="3546"/>
        </w:trPr>
        <w:tc>
          <w:tcPr>
            <w:tcW w:w="7380" w:type="dxa"/>
            <w:tcBorders>
              <w:bottom w:val="single" w:sz="6" w:space="0" w:color="000000"/>
              <w:right w:val="single" w:sz="6" w:space="0" w:color="000000"/>
            </w:tcBorders>
          </w:tcPr>
          <w:p w14:paraId="0DFDD2A7" w14:textId="77777777" w:rsidR="00046465" w:rsidRDefault="008134EB">
            <w:pPr>
              <w:pStyle w:val="TableParagraph"/>
              <w:numPr>
                <w:ilvl w:val="0"/>
                <w:numId w:val="34"/>
              </w:numPr>
              <w:tabs>
                <w:tab w:val="left" w:pos="1304"/>
                <w:tab w:val="left" w:pos="1334"/>
              </w:tabs>
              <w:spacing w:before="120"/>
              <w:ind w:right="407" w:hanging="360"/>
            </w:pPr>
            <w:r>
              <w:t>When</w:t>
            </w:r>
            <w:r>
              <w:rPr>
                <w:spacing w:val="38"/>
              </w:rPr>
              <w:t xml:space="preserve"> </w:t>
            </w:r>
            <w:r>
              <w:t>a designated accounting standards setter required information</w:t>
            </w:r>
            <w:r>
              <w:rPr>
                <w:spacing w:val="-7"/>
              </w:rPr>
              <w:t xml:space="preserve"> </w:t>
            </w:r>
            <w:r>
              <w:t>to</w:t>
            </w:r>
            <w:r>
              <w:rPr>
                <w:spacing w:val="-7"/>
              </w:rPr>
              <w:t xml:space="preserve"> </w:t>
            </w:r>
            <w:r>
              <w:t>accompany</w:t>
            </w:r>
            <w:r>
              <w:rPr>
                <w:spacing w:val="-7"/>
              </w:rPr>
              <w:t xml:space="preserve"> </w:t>
            </w:r>
            <w:r>
              <w:t>an</w:t>
            </w:r>
            <w:r>
              <w:rPr>
                <w:spacing w:val="-7"/>
              </w:rPr>
              <w:t xml:space="preserve"> </w:t>
            </w:r>
            <w:r>
              <w:t>entity’s</w:t>
            </w:r>
            <w:r>
              <w:rPr>
                <w:spacing w:val="-8"/>
              </w:rPr>
              <w:t xml:space="preserve"> </w:t>
            </w:r>
            <w:r>
              <w:t>financial</w:t>
            </w:r>
            <w:r>
              <w:rPr>
                <w:spacing w:val="-8"/>
              </w:rPr>
              <w:t xml:space="preserve"> </w:t>
            </w:r>
            <w:r>
              <w:t>statements, did the auditor perform specified procedures in order to</w:t>
            </w:r>
          </w:p>
          <w:p w14:paraId="0DFDD2A8" w14:textId="77777777" w:rsidR="00046465" w:rsidRDefault="008134EB">
            <w:pPr>
              <w:pStyle w:val="TableParagraph"/>
              <w:numPr>
                <w:ilvl w:val="1"/>
                <w:numId w:val="34"/>
              </w:numPr>
              <w:tabs>
                <w:tab w:val="left" w:pos="1693"/>
              </w:tabs>
              <w:spacing w:before="120"/>
              <w:ind w:right="860" w:hanging="361"/>
            </w:pPr>
            <w:r>
              <w:t>describe,</w:t>
            </w:r>
            <w:r>
              <w:rPr>
                <w:spacing w:val="-6"/>
              </w:rPr>
              <w:t xml:space="preserve"> </w:t>
            </w:r>
            <w:r>
              <w:t>in</w:t>
            </w:r>
            <w:r>
              <w:rPr>
                <w:spacing w:val="-7"/>
              </w:rPr>
              <w:t xml:space="preserve"> </w:t>
            </w:r>
            <w:r>
              <w:t>the</w:t>
            </w:r>
            <w:r>
              <w:rPr>
                <w:spacing w:val="-6"/>
              </w:rPr>
              <w:t xml:space="preserve"> </w:t>
            </w:r>
            <w:r>
              <w:t>auditor’s</w:t>
            </w:r>
            <w:r>
              <w:rPr>
                <w:spacing w:val="-7"/>
              </w:rPr>
              <w:t xml:space="preserve"> </w:t>
            </w:r>
            <w:r>
              <w:t>report,</w:t>
            </w:r>
            <w:r>
              <w:rPr>
                <w:spacing w:val="-6"/>
              </w:rPr>
              <w:t xml:space="preserve"> </w:t>
            </w:r>
            <w:r>
              <w:t>whether</w:t>
            </w:r>
            <w:r>
              <w:rPr>
                <w:spacing w:val="-6"/>
              </w:rPr>
              <w:t xml:space="preserve"> </w:t>
            </w:r>
            <w:r>
              <w:t>required supplementary information is presented and</w:t>
            </w:r>
          </w:p>
          <w:p w14:paraId="0DFDD2A9" w14:textId="77777777" w:rsidR="00046465" w:rsidRDefault="008134EB">
            <w:pPr>
              <w:pStyle w:val="TableParagraph"/>
              <w:numPr>
                <w:ilvl w:val="1"/>
                <w:numId w:val="34"/>
              </w:numPr>
              <w:tabs>
                <w:tab w:val="left" w:pos="1693"/>
              </w:tabs>
              <w:spacing w:before="119"/>
              <w:ind w:right="138" w:hanging="361"/>
            </w:pPr>
            <w:r>
              <w:t>communicate when some or all of the required supplementary information has not been presented in accordance</w:t>
            </w:r>
            <w:r>
              <w:rPr>
                <w:spacing w:val="-7"/>
              </w:rPr>
              <w:t xml:space="preserve"> </w:t>
            </w:r>
            <w:r>
              <w:t>with</w:t>
            </w:r>
            <w:r>
              <w:rPr>
                <w:spacing w:val="-7"/>
              </w:rPr>
              <w:t xml:space="preserve"> </w:t>
            </w:r>
            <w:r>
              <w:t>guidelines</w:t>
            </w:r>
            <w:r>
              <w:rPr>
                <w:spacing w:val="-7"/>
              </w:rPr>
              <w:t xml:space="preserve"> </w:t>
            </w:r>
            <w:r>
              <w:t>that</w:t>
            </w:r>
            <w:r>
              <w:rPr>
                <w:spacing w:val="-7"/>
              </w:rPr>
              <w:t xml:space="preserve"> </w:t>
            </w:r>
            <w:r>
              <w:t>a</w:t>
            </w:r>
            <w:r>
              <w:rPr>
                <w:spacing w:val="-7"/>
              </w:rPr>
              <w:t xml:space="preserve"> </w:t>
            </w:r>
            <w:r>
              <w:t>designated</w:t>
            </w:r>
            <w:r>
              <w:rPr>
                <w:spacing w:val="-7"/>
              </w:rPr>
              <w:t xml:space="preserve"> </w:t>
            </w:r>
            <w:r>
              <w:t>accounting standards setter established or when the auditor has identified material modifications that should be made to the RSI for it to be in accordance with the standards setter’s guidelines? (AU-C 730)</w:t>
            </w:r>
          </w:p>
        </w:tc>
        <w:tc>
          <w:tcPr>
            <w:tcW w:w="810" w:type="dxa"/>
            <w:tcBorders>
              <w:left w:val="single" w:sz="6" w:space="0" w:color="000000"/>
              <w:bottom w:val="single" w:sz="6" w:space="0" w:color="000000"/>
              <w:right w:val="single" w:sz="6" w:space="0" w:color="000000"/>
            </w:tcBorders>
          </w:tcPr>
          <w:p w14:paraId="0DFDD2AA" w14:textId="77777777" w:rsidR="00046465" w:rsidRDefault="00046465">
            <w:pPr>
              <w:pStyle w:val="TableParagraph"/>
              <w:rPr>
                <w:rFonts w:ascii="Times New Roman"/>
              </w:rPr>
            </w:pPr>
          </w:p>
        </w:tc>
        <w:tc>
          <w:tcPr>
            <w:tcW w:w="1350" w:type="dxa"/>
            <w:tcBorders>
              <w:left w:val="single" w:sz="6" w:space="0" w:color="000000"/>
              <w:bottom w:val="single" w:sz="6" w:space="0" w:color="000000"/>
            </w:tcBorders>
            <w:shd w:val="clear" w:color="auto" w:fill="BEBEBE"/>
          </w:tcPr>
          <w:p w14:paraId="0DFDD2AB" w14:textId="77777777" w:rsidR="00046465" w:rsidRDefault="00046465">
            <w:pPr>
              <w:pStyle w:val="TableParagraph"/>
              <w:rPr>
                <w:rFonts w:ascii="Times New Roman"/>
              </w:rPr>
            </w:pPr>
          </w:p>
        </w:tc>
      </w:tr>
      <w:tr w:rsidR="00046465" w14:paraId="0DFDD2B0" w14:textId="77777777">
        <w:trPr>
          <w:trHeight w:val="1759"/>
        </w:trPr>
        <w:tc>
          <w:tcPr>
            <w:tcW w:w="7380" w:type="dxa"/>
            <w:tcBorders>
              <w:top w:val="single" w:sz="6" w:space="0" w:color="000000"/>
              <w:right w:val="single" w:sz="6" w:space="0" w:color="000000"/>
            </w:tcBorders>
          </w:tcPr>
          <w:p w14:paraId="0DFDD2AD" w14:textId="77777777" w:rsidR="00046465" w:rsidRDefault="008134EB">
            <w:pPr>
              <w:pStyle w:val="TableParagraph"/>
              <w:tabs>
                <w:tab w:val="left" w:pos="1334"/>
              </w:tabs>
              <w:spacing w:before="119"/>
              <w:ind w:left="1304" w:right="163" w:hanging="360"/>
            </w:pPr>
            <w:r>
              <w:rPr>
                <w:spacing w:val="-6"/>
              </w:rPr>
              <w:t>k.</w:t>
            </w:r>
            <w:r>
              <w:tab/>
            </w:r>
            <w:r>
              <w:tab/>
              <w:t>Did the auditor restrict the use of the auditor’s written communication by including an alert when the potential exists</w:t>
            </w:r>
            <w:r>
              <w:rPr>
                <w:spacing w:val="-6"/>
              </w:rPr>
              <w:t xml:space="preserve"> </w:t>
            </w:r>
            <w:r>
              <w:t>for</w:t>
            </w:r>
            <w:r>
              <w:rPr>
                <w:spacing w:val="-5"/>
              </w:rPr>
              <w:t xml:space="preserve"> </w:t>
            </w:r>
            <w:r>
              <w:t>such</w:t>
            </w:r>
            <w:r>
              <w:rPr>
                <w:spacing w:val="-5"/>
              </w:rPr>
              <w:t xml:space="preserve"> </w:t>
            </w:r>
            <w:r>
              <w:t>written</w:t>
            </w:r>
            <w:r>
              <w:rPr>
                <w:spacing w:val="-5"/>
              </w:rPr>
              <w:t xml:space="preserve"> </w:t>
            </w:r>
            <w:r>
              <w:t>communication</w:t>
            </w:r>
            <w:r>
              <w:rPr>
                <w:spacing w:val="-5"/>
              </w:rPr>
              <w:t xml:space="preserve"> </w:t>
            </w:r>
            <w:r>
              <w:t>to</w:t>
            </w:r>
            <w:r>
              <w:rPr>
                <w:spacing w:val="-5"/>
              </w:rPr>
              <w:t xml:space="preserve"> </w:t>
            </w:r>
            <w:r>
              <w:t>be</w:t>
            </w:r>
            <w:r>
              <w:rPr>
                <w:spacing w:val="-5"/>
              </w:rPr>
              <w:t xml:space="preserve"> </w:t>
            </w:r>
            <w:r>
              <w:t>misunderstood</w:t>
            </w:r>
            <w:r>
              <w:rPr>
                <w:spacing w:val="-5"/>
              </w:rPr>
              <w:t xml:space="preserve"> </w:t>
            </w:r>
            <w:r>
              <w:t>if taken out of the context in which it is intended to be used (e.g., restricted use of report on compliance with laws, regulations, contracts, and grant agreements)? (AU-C 905)</w:t>
            </w:r>
          </w:p>
        </w:tc>
        <w:tc>
          <w:tcPr>
            <w:tcW w:w="810" w:type="dxa"/>
            <w:tcBorders>
              <w:top w:val="single" w:sz="6" w:space="0" w:color="000000"/>
              <w:left w:val="single" w:sz="6" w:space="0" w:color="000000"/>
              <w:right w:val="single" w:sz="6" w:space="0" w:color="000000"/>
            </w:tcBorders>
          </w:tcPr>
          <w:p w14:paraId="0DFDD2AE" w14:textId="77777777" w:rsidR="00046465" w:rsidRDefault="00046465">
            <w:pPr>
              <w:pStyle w:val="TableParagraph"/>
              <w:rPr>
                <w:rFonts w:ascii="Times New Roman"/>
              </w:rPr>
            </w:pPr>
          </w:p>
        </w:tc>
        <w:tc>
          <w:tcPr>
            <w:tcW w:w="1350" w:type="dxa"/>
            <w:tcBorders>
              <w:top w:val="single" w:sz="6" w:space="0" w:color="000000"/>
              <w:left w:val="single" w:sz="6" w:space="0" w:color="000000"/>
            </w:tcBorders>
            <w:shd w:val="clear" w:color="auto" w:fill="BEBEBE"/>
          </w:tcPr>
          <w:p w14:paraId="0DFDD2AF" w14:textId="77777777" w:rsidR="00046465" w:rsidRDefault="00046465">
            <w:pPr>
              <w:pStyle w:val="TableParagraph"/>
              <w:rPr>
                <w:rFonts w:ascii="Times New Roman"/>
              </w:rPr>
            </w:pPr>
          </w:p>
        </w:tc>
      </w:tr>
    </w:tbl>
    <w:p w14:paraId="0DFDD2B1"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2B2" w14:textId="77777777" w:rsidR="00046465" w:rsidRDefault="008134EB">
      <w:pPr>
        <w:pStyle w:val="Heading4"/>
        <w:ind w:left="1080"/>
      </w:pPr>
      <w:bookmarkStart w:id="418" w:name="Section_V:_GAO’s_Quality_Control_(GAO_On"/>
      <w:bookmarkEnd w:id="418"/>
      <w:r>
        <w:lastRenderedPageBreak/>
        <w:t>Section</w:t>
      </w:r>
      <w:r>
        <w:rPr>
          <w:spacing w:val="-10"/>
        </w:rPr>
        <w:t xml:space="preserve"> </w:t>
      </w:r>
      <w:r>
        <w:t>V:</w:t>
      </w:r>
      <w:r>
        <w:rPr>
          <w:spacing w:val="-10"/>
        </w:rPr>
        <w:t xml:space="preserve"> </w:t>
      </w:r>
      <w:r>
        <w:t>GAO’s</w:t>
      </w:r>
      <w:r>
        <w:rPr>
          <w:spacing w:val="-10"/>
        </w:rPr>
        <w:t xml:space="preserve"> </w:t>
      </w:r>
      <w:r>
        <w:t>Quality</w:t>
      </w:r>
      <w:r>
        <w:rPr>
          <w:spacing w:val="-11"/>
        </w:rPr>
        <w:t xml:space="preserve"> </w:t>
      </w:r>
      <w:r>
        <w:t>Control</w:t>
      </w:r>
      <w:r>
        <w:rPr>
          <w:spacing w:val="-10"/>
        </w:rPr>
        <w:t xml:space="preserve"> </w:t>
      </w:r>
      <w:r>
        <w:t>(GAO</w:t>
      </w:r>
      <w:r>
        <w:rPr>
          <w:spacing w:val="-11"/>
        </w:rPr>
        <w:t xml:space="preserve"> </w:t>
      </w:r>
      <w:r>
        <w:rPr>
          <w:spacing w:val="-2"/>
        </w:rPr>
        <w:t>Only)</w:t>
      </w:r>
    </w:p>
    <w:p w14:paraId="0DFDD2B3" w14:textId="77777777" w:rsidR="00046465" w:rsidRDefault="008134EB">
      <w:pPr>
        <w:spacing w:before="120"/>
        <w:ind w:left="1079" w:right="436"/>
        <w:rPr>
          <w:sz w:val="20"/>
        </w:rPr>
      </w:pPr>
      <w:r>
        <w:rPr>
          <w:sz w:val="20"/>
        </w:rPr>
        <w:t>(See</w:t>
      </w:r>
      <w:r>
        <w:rPr>
          <w:spacing w:val="-3"/>
          <w:sz w:val="20"/>
        </w:rPr>
        <w:t xml:space="preserve"> </w:t>
      </w:r>
      <w:r>
        <w:rPr>
          <w:sz w:val="20"/>
        </w:rPr>
        <w:t>Financial</w:t>
      </w:r>
      <w:r>
        <w:rPr>
          <w:spacing w:val="-3"/>
          <w:sz w:val="20"/>
        </w:rPr>
        <w:t xml:space="preserve"> </w:t>
      </w:r>
      <w:r>
        <w:rPr>
          <w:sz w:val="20"/>
        </w:rPr>
        <w:t>Audit</w:t>
      </w:r>
      <w:r>
        <w:rPr>
          <w:spacing w:val="-3"/>
          <w:sz w:val="20"/>
        </w:rPr>
        <w:t xml:space="preserve"> </w:t>
      </w:r>
      <w:r>
        <w:rPr>
          <w:sz w:val="20"/>
        </w:rPr>
        <w:t>Practice</w:t>
      </w:r>
      <w:r>
        <w:rPr>
          <w:spacing w:val="-3"/>
          <w:sz w:val="20"/>
        </w:rPr>
        <w:t xml:space="preserve"> </w:t>
      </w:r>
      <w:r>
        <w:rPr>
          <w:sz w:val="20"/>
        </w:rPr>
        <w:t>(FP)</w:t>
      </w:r>
      <w:r>
        <w:rPr>
          <w:spacing w:val="-2"/>
          <w:sz w:val="20"/>
        </w:rPr>
        <w:t xml:space="preserve"> </w:t>
      </w:r>
      <w:r>
        <w:rPr>
          <w:sz w:val="20"/>
        </w:rPr>
        <w:t>Memo</w:t>
      </w:r>
      <w:r>
        <w:rPr>
          <w:spacing w:val="-3"/>
          <w:sz w:val="20"/>
        </w:rPr>
        <w:t xml:space="preserve"> </w:t>
      </w:r>
      <w:r>
        <w:rPr>
          <w:sz w:val="20"/>
        </w:rPr>
        <w:t>1,</w:t>
      </w:r>
      <w:r>
        <w:rPr>
          <w:spacing w:val="-4"/>
          <w:sz w:val="20"/>
        </w:rPr>
        <w:t xml:space="preserve"> </w:t>
      </w:r>
      <w:r>
        <w:rPr>
          <w:i/>
          <w:sz w:val="20"/>
        </w:rPr>
        <w:t>Quality</w:t>
      </w:r>
      <w:r>
        <w:rPr>
          <w:i/>
          <w:spacing w:val="-2"/>
          <w:sz w:val="20"/>
        </w:rPr>
        <w:t xml:space="preserve"> </w:t>
      </w:r>
      <w:r>
        <w:rPr>
          <w:i/>
          <w:sz w:val="20"/>
        </w:rPr>
        <w:t>Control</w:t>
      </w:r>
      <w:r>
        <w:rPr>
          <w:i/>
          <w:spacing w:val="-3"/>
          <w:sz w:val="20"/>
        </w:rPr>
        <w:t xml:space="preserve"> </w:t>
      </w:r>
      <w:r>
        <w:rPr>
          <w:i/>
          <w:sz w:val="20"/>
        </w:rPr>
        <w:t>for</w:t>
      </w:r>
      <w:r>
        <w:rPr>
          <w:i/>
          <w:spacing w:val="-2"/>
          <w:sz w:val="20"/>
        </w:rPr>
        <w:t xml:space="preserve"> </w:t>
      </w:r>
      <w:r>
        <w:rPr>
          <w:i/>
          <w:sz w:val="20"/>
        </w:rPr>
        <w:t>Financial</w:t>
      </w:r>
      <w:r>
        <w:rPr>
          <w:i/>
          <w:spacing w:val="-3"/>
          <w:sz w:val="20"/>
        </w:rPr>
        <w:t xml:space="preserve"> </w:t>
      </w:r>
      <w:r>
        <w:rPr>
          <w:i/>
          <w:sz w:val="20"/>
        </w:rPr>
        <w:t>Statement</w:t>
      </w:r>
      <w:r>
        <w:rPr>
          <w:i/>
          <w:spacing w:val="-3"/>
          <w:sz w:val="20"/>
        </w:rPr>
        <w:t xml:space="preserve"> </w:t>
      </w:r>
      <w:r>
        <w:rPr>
          <w:i/>
          <w:sz w:val="20"/>
        </w:rPr>
        <w:t>Audits</w:t>
      </w:r>
      <w:r>
        <w:rPr>
          <w:i/>
          <w:spacing w:val="-2"/>
          <w:sz w:val="20"/>
        </w:rPr>
        <w:t xml:space="preserve"> </w:t>
      </w:r>
      <w:r>
        <w:rPr>
          <w:i/>
          <w:sz w:val="20"/>
        </w:rPr>
        <w:t>Performed</w:t>
      </w:r>
      <w:r>
        <w:rPr>
          <w:i/>
          <w:spacing w:val="-3"/>
          <w:sz w:val="20"/>
        </w:rPr>
        <w:t xml:space="preserve"> </w:t>
      </w:r>
      <w:r>
        <w:rPr>
          <w:i/>
          <w:sz w:val="20"/>
        </w:rPr>
        <w:t>by GAO</w:t>
      </w:r>
      <w:r>
        <w:rPr>
          <w:sz w:val="20"/>
        </w:rPr>
        <w:t xml:space="preserve">, and FP Memo 6, </w:t>
      </w:r>
      <w:r>
        <w:rPr>
          <w:i/>
          <w:sz w:val="20"/>
        </w:rPr>
        <w:t>Supplemental Financial Audit Manual Guidance Applicable Only to GAO Engagements</w:t>
      </w:r>
      <w:r>
        <w:rPr>
          <w:sz w:val="20"/>
        </w:rPr>
        <w:t>, for details.)</w:t>
      </w:r>
    </w:p>
    <w:p w14:paraId="0DFDD2B4" w14:textId="77777777" w:rsidR="00046465" w:rsidRDefault="00046465">
      <w:pPr>
        <w:pStyle w:val="BodyText"/>
        <w:spacing w:before="5"/>
        <w:rPr>
          <w:sz w:val="11"/>
        </w:rPr>
      </w:pPr>
    </w:p>
    <w:tbl>
      <w:tblPr>
        <w:tblW w:w="0" w:type="auto"/>
        <w:tblInd w:w="112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446"/>
        <w:gridCol w:w="720"/>
        <w:gridCol w:w="1350"/>
      </w:tblGrid>
      <w:tr w:rsidR="00046465" w14:paraId="0DFDD2BC" w14:textId="77777777">
        <w:trPr>
          <w:trHeight w:val="999"/>
        </w:trPr>
        <w:tc>
          <w:tcPr>
            <w:tcW w:w="7446" w:type="dxa"/>
            <w:tcBorders>
              <w:bottom w:val="double" w:sz="4" w:space="0" w:color="000000"/>
              <w:right w:val="single" w:sz="8" w:space="0" w:color="000000"/>
            </w:tcBorders>
            <w:shd w:val="clear" w:color="auto" w:fill="A6A6A6"/>
          </w:tcPr>
          <w:p w14:paraId="0DFDD2B5" w14:textId="77777777" w:rsidR="00046465" w:rsidRDefault="00046465">
            <w:pPr>
              <w:pStyle w:val="TableParagraph"/>
              <w:rPr>
                <w:sz w:val="24"/>
              </w:rPr>
            </w:pPr>
          </w:p>
          <w:p w14:paraId="0DFDD2B6" w14:textId="77777777" w:rsidR="00046465" w:rsidRDefault="00046465">
            <w:pPr>
              <w:pStyle w:val="TableParagraph"/>
              <w:spacing w:before="74"/>
              <w:rPr>
                <w:sz w:val="24"/>
              </w:rPr>
            </w:pPr>
          </w:p>
          <w:p w14:paraId="0DFDD2B7" w14:textId="77777777" w:rsidR="00046465" w:rsidRDefault="008134EB">
            <w:pPr>
              <w:pStyle w:val="TableParagraph"/>
              <w:ind w:left="104"/>
              <w:rPr>
                <w:b/>
                <w:sz w:val="24"/>
              </w:rPr>
            </w:pPr>
            <w:r>
              <w:rPr>
                <w:b/>
                <w:sz w:val="24"/>
              </w:rPr>
              <w:t>Section</w:t>
            </w:r>
            <w:r>
              <w:rPr>
                <w:b/>
                <w:spacing w:val="-3"/>
                <w:sz w:val="24"/>
              </w:rPr>
              <w:t xml:space="preserve"> </w:t>
            </w:r>
            <w:r>
              <w:rPr>
                <w:b/>
                <w:sz w:val="24"/>
              </w:rPr>
              <w:t>V:</w:t>
            </w:r>
            <w:r>
              <w:rPr>
                <w:b/>
                <w:spacing w:val="-2"/>
                <w:sz w:val="24"/>
              </w:rPr>
              <w:t xml:space="preserve"> </w:t>
            </w:r>
            <w:r>
              <w:rPr>
                <w:b/>
                <w:sz w:val="24"/>
              </w:rPr>
              <w:t>GAO’s</w:t>
            </w:r>
            <w:r>
              <w:rPr>
                <w:b/>
                <w:spacing w:val="-3"/>
                <w:sz w:val="24"/>
              </w:rPr>
              <w:t xml:space="preserve"> </w:t>
            </w:r>
            <w:r>
              <w:rPr>
                <w:b/>
                <w:sz w:val="24"/>
              </w:rPr>
              <w:t>Quality</w:t>
            </w:r>
            <w:r>
              <w:rPr>
                <w:b/>
                <w:spacing w:val="-3"/>
                <w:sz w:val="24"/>
              </w:rPr>
              <w:t xml:space="preserve"> </w:t>
            </w:r>
            <w:r>
              <w:rPr>
                <w:b/>
                <w:sz w:val="24"/>
              </w:rPr>
              <w:t>Control</w:t>
            </w:r>
            <w:r>
              <w:rPr>
                <w:b/>
                <w:spacing w:val="-2"/>
                <w:sz w:val="24"/>
              </w:rPr>
              <w:t xml:space="preserve"> </w:t>
            </w:r>
            <w:r>
              <w:rPr>
                <w:b/>
                <w:sz w:val="24"/>
              </w:rPr>
              <w:t>(GAO</w:t>
            </w:r>
            <w:r>
              <w:rPr>
                <w:b/>
                <w:spacing w:val="-1"/>
                <w:sz w:val="24"/>
              </w:rPr>
              <w:t xml:space="preserve"> </w:t>
            </w:r>
            <w:r>
              <w:rPr>
                <w:b/>
                <w:spacing w:val="-4"/>
                <w:sz w:val="24"/>
              </w:rPr>
              <w:t>Only)</w:t>
            </w:r>
          </w:p>
        </w:tc>
        <w:tc>
          <w:tcPr>
            <w:tcW w:w="720" w:type="dxa"/>
            <w:tcBorders>
              <w:left w:val="single" w:sz="8" w:space="0" w:color="000000"/>
              <w:bottom w:val="double" w:sz="4" w:space="0" w:color="000000"/>
              <w:right w:val="single" w:sz="8" w:space="0" w:color="000000"/>
            </w:tcBorders>
            <w:shd w:val="clear" w:color="auto" w:fill="A6A6A6"/>
          </w:tcPr>
          <w:p w14:paraId="0DFDD2B8" w14:textId="77777777" w:rsidR="00046465" w:rsidRDefault="008134EB">
            <w:pPr>
              <w:pStyle w:val="TableParagraph"/>
              <w:spacing w:before="121"/>
              <w:ind w:left="137" w:right="115" w:hanging="8"/>
              <w:jc w:val="both"/>
              <w:rPr>
                <w:b/>
              </w:rPr>
            </w:pPr>
            <w:r>
              <w:rPr>
                <w:b/>
                <w:spacing w:val="-4"/>
              </w:rPr>
              <w:t>Yes, No,* N/A</w:t>
            </w:r>
          </w:p>
        </w:tc>
        <w:tc>
          <w:tcPr>
            <w:tcW w:w="1350" w:type="dxa"/>
            <w:tcBorders>
              <w:left w:val="single" w:sz="8" w:space="0" w:color="000000"/>
              <w:bottom w:val="double" w:sz="4" w:space="0" w:color="000000"/>
            </w:tcBorders>
            <w:shd w:val="clear" w:color="auto" w:fill="A6A6A6"/>
          </w:tcPr>
          <w:p w14:paraId="0DFDD2B9" w14:textId="77777777" w:rsidR="00046465" w:rsidRDefault="00046465">
            <w:pPr>
              <w:pStyle w:val="TableParagraph"/>
            </w:pPr>
          </w:p>
          <w:p w14:paraId="0DFDD2BA" w14:textId="77777777" w:rsidR="00046465" w:rsidRDefault="00046465">
            <w:pPr>
              <w:pStyle w:val="TableParagraph"/>
              <w:spacing w:before="120"/>
            </w:pPr>
          </w:p>
          <w:p w14:paraId="0DFDD2BB"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2C0" w14:textId="77777777">
        <w:trPr>
          <w:trHeight w:val="493"/>
        </w:trPr>
        <w:tc>
          <w:tcPr>
            <w:tcW w:w="7446" w:type="dxa"/>
            <w:tcBorders>
              <w:top w:val="double" w:sz="4" w:space="0" w:color="000000"/>
              <w:bottom w:val="single" w:sz="8" w:space="0" w:color="000000"/>
              <w:right w:val="single" w:sz="6" w:space="0" w:color="000000"/>
            </w:tcBorders>
          </w:tcPr>
          <w:p w14:paraId="0DFDD2BD" w14:textId="77777777" w:rsidR="00046465" w:rsidRDefault="008134EB">
            <w:pPr>
              <w:pStyle w:val="TableParagraph"/>
              <w:spacing w:before="120"/>
              <w:ind w:left="554"/>
            </w:pPr>
            <w:r>
              <w:t>1.</w:t>
            </w:r>
            <w:r>
              <w:rPr>
                <w:spacing w:val="73"/>
                <w:w w:val="150"/>
              </w:rPr>
              <w:t xml:space="preserve"> </w:t>
            </w:r>
            <w:r>
              <w:t>Was</w:t>
            </w:r>
            <w:r>
              <w:rPr>
                <w:spacing w:val="-4"/>
              </w:rPr>
              <w:t xml:space="preserve"> </w:t>
            </w:r>
            <w:r>
              <w:t>the</w:t>
            </w:r>
            <w:r>
              <w:rPr>
                <w:spacing w:val="-4"/>
              </w:rPr>
              <w:t xml:space="preserve"> </w:t>
            </w:r>
            <w:r>
              <w:t>draft</w:t>
            </w:r>
            <w:r>
              <w:rPr>
                <w:spacing w:val="-4"/>
              </w:rPr>
              <w:t xml:space="preserve"> </w:t>
            </w:r>
            <w:r>
              <w:t>audit</w:t>
            </w:r>
            <w:r>
              <w:rPr>
                <w:spacing w:val="-4"/>
              </w:rPr>
              <w:t xml:space="preserve"> </w:t>
            </w:r>
            <w:r>
              <w:t>report</w:t>
            </w:r>
            <w:r>
              <w:rPr>
                <w:spacing w:val="-4"/>
              </w:rPr>
              <w:t xml:space="preserve"> </w:t>
            </w:r>
            <w:r>
              <w:t>reviewed</w:t>
            </w:r>
            <w:r>
              <w:rPr>
                <w:spacing w:val="-4"/>
              </w:rPr>
              <w:t xml:space="preserve"> </w:t>
            </w:r>
            <w:r>
              <w:t>by</w:t>
            </w:r>
            <w:r>
              <w:rPr>
                <w:spacing w:val="-3"/>
              </w:rPr>
              <w:t xml:space="preserve"> </w:t>
            </w:r>
            <w:r>
              <w:rPr>
                <w:spacing w:val="-5"/>
              </w:rPr>
              <w:t>the</w:t>
            </w:r>
          </w:p>
        </w:tc>
        <w:tc>
          <w:tcPr>
            <w:tcW w:w="720" w:type="dxa"/>
            <w:tcBorders>
              <w:top w:val="double" w:sz="4" w:space="0" w:color="000000"/>
              <w:left w:val="single" w:sz="6" w:space="0" w:color="000000"/>
              <w:bottom w:val="single" w:sz="8" w:space="0" w:color="000000"/>
              <w:right w:val="single" w:sz="6" w:space="0" w:color="000000"/>
            </w:tcBorders>
            <w:shd w:val="clear" w:color="auto" w:fill="BEBEBE"/>
          </w:tcPr>
          <w:p w14:paraId="0DFDD2BE" w14:textId="77777777" w:rsidR="00046465" w:rsidRDefault="00046465">
            <w:pPr>
              <w:pStyle w:val="TableParagraph"/>
              <w:rPr>
                <w:rFonts w:ascii="Times New Roman"/>
                <w:sz w:val="20"/>
              </w:rPr>
            </w:pPr>
          </w:p>
        </w:tc>
        <w:tc>
          <w:tcPr>
            <w:tcW w:w="1350" w:type="dxa"/>
            <w:tcBorders>
              <w:top w:val="double" w:sz="4" w:space="0" w:color="000000"/>
              <w:left w:val="single" w:sz="6" w:space="0" w:color="000000"/>
              <w:bottom w:val="single" w:sz="8" w:space="0" w:color="000000"/>
            </w:tcBorders>
            <w:shd w:val="clear" w:color="auto" w:fill="BEBEBE"/>
          </w:tcPr>
          <w:p w14:paraId="0DFDD2BF" w14:textId="77777777" w:rsidR="00046465" w:rsidRDefault="00046465">
            <w:pPr>
              <w:pStyle w:val="TableParagraph"/>
              <w:rPr>
                <w:rFonts w:ascii="Times New Roman"/>
                <w:sz w:val="20"/>
              </w:rPr>
            </w:pPr>
          </w:p>
        </w:tc>
      </w:tr>
      <w:tr w:rsidR="00046465" w14:paraId="0DFDD2C4" w14:textId="77777777">
        <w:trPr>
          <w:trHeight w:val="492"/>
        </w:trPr>
        <w:tc>
          <w:tcPr>
            <w:tcW w:w="7446" w:type="dxa"/>
            <w:tcBorders>
              <w:top w:val="single" w:sz="8" w:space="0" w:color="000000"/>
              <w:bottom w:val="single" w:sz="8" w:space="0" w:color="000000"/>
              <w:right w:val="single" w:sz="8" w:space="0" w:color="000000"/>
            </w:tcBorders>
          </w:tcPr>
          <w:p w14:paraId="0DFDD2C1" w14:textId="77777777" w:rsidR="00046465" w:rsidRDefault="008134EB">
            <w:pPr>
              <w:pStyle w:val="TableParagraph"/>
              <w:tabs>
                <w:tab w:val="left" w:pos="1310"/>
              </w:tabs>
              <w:spacing w:before="121"/>
              <w:ind w:left="925"/>
            </w:pPr>
            <w:r>
              <w:rPr>
                <w:spacing w:val="-5"/>
              </w:rPr>
              <w:t>a.</w:t>
            </w:r>
            <w:r>
              <w:tab/>
              <w:t>assistant</w:t>
            </w:r>
            <w:r>
              <w:rPr>
                <w:spacing w:val="-10"/>
              </w:rPr>
              <w:t xml:space="preserve"> </w:t>
            </w:r>
            <w:r>
              <w:rPr>
                <w:spacing w:val="-2"/>
              </w:rPr>
              <w:t>director,</w:t>
            </w:r>
          </w:p>
        </w:tc>
        <w:tc>
          <w:tcPr>
            <w:tcW w:w="720" w:type="dxa"/>
            <w:tcBorders>
              <w:top w:val="single" w:sz="8" w:space="0" w:color="000000"/>
              <w:left w:val="single" w:sz="8" w:space="0" w:color="000000"/>
              <w:bottom w:val="single" w:sz="8" w:space="0" w:color="000000"/>
              <w:right w:val="single" w:sz="8" w:space="0" w:color="000000"/>
            </w:tcBorders>
          </w:tcPr>
          <w:p w14:paraId="0DFDD2C2"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2C3" w14:textId="77777777" w:rsidR="00046465" w:rsidRDefault="00046465">
            <w:pPr>
              <w:pStyle w:val="TableParagraph"/>
              <w:rPr>
                <w:rFonts w:ascii="Times New Roman"/>
                <w:sz w:val="20"/>
              </w:rPr>
            </w:pPr>
          </w:p>
        </w:tc>
      </w:tr>
      <w:tr w:rsidR="00046465" w14:paraId="0DFDD2C8" w14:textId="77777777">
        <w:trPr>
          <w:trHeight w:val="493"/>
        </w:trPr>
        <w:tc>
          <w:tcPr>
            <w:tcW w:w="7446" w:type="dxa"/>
            <w:tcBorders>
              <w:top w:val="single" w:sz="8" w:space="0" w:color="000000"/>
              <w:bottom w:val="single" w:sz="8" w:space="0" w:color="000000"/>
              <w:right w:val="single" w:sz="8" w:space="0" w:color="000000"/>
            </w:tcBorders>
          </w:tcPr>
          <w:p w14:paraId="0DFDD2C5" w14:textId="77777777" w:rsidR="00046465" w:rsidRDefault="008134EB">
            <w:pPr>
              <w:pStyle w:val="TableParagraph"/>
              <w:tabs>
                <w:tab w:val="left" w:pos="1310"/>
              </w:tabs>
              <w:spacing w:before="121"/>
              <w:ind w:left="925"/>
            </w:pPr>
            <w:r>
              <w:rPr>
                <w:spacing w:val="-5"/>
              </w:rPr>
              <w:t>b.</w:t>
            </w:r>
            <w:r>
              <w:tab/>
              <w:t>audit</w:t>
            </w:r>
            <w:r>
              <w:rPr>
                <w:spacing w:val="-11"/>
              </w:rPr>
              <w:t xml:space="preserve"> </w:t>
            </w:r>
            <w:r>
              <w:t>director</w:t>
            </w:r>
            <w:r>
              <w:rPr>
                <w:spacing w:val="-11"/>
              </w:rPr>
              <w:t xml:space="preserve"> </w:t>
            </w:r>
            <w:r>
              <w:t>(first/engagement</w:t>
            </w:r>
            <w:r>
              <w:rPr>
                <w:spacing w:val="-11"/>
              </w:rPr>
              <w:t xml:space="preserve"> </w:t>
            </w:r>
            <w:r>
              <w:rPr>
                <w:spacing w:val="-2"/>
              </w:rPr>
              <w:t>partner),</w:t>
            </w:r>
          </w:p>
        </w:tc>
        <w:tc>
          <w:tcPr>
            <w:tcW w:w="720" w:type="dxa"/>
            <w:tcBorders>
              <w:top w:val="single" w:sz="8" w:space="0" w:color="000000"/>
              <w:left w:val="single" w:sz="8" w:space="0" w:color="000000"/>
              <w:bottom w:val="single" w:sz="8" w:space="0" w:color="000000"/>
              <w:right w:val="single" w:sz="8" w:space="0" w:color="000000"/>
            </w:tcBorders>
          </w:tcPr>
          <w:p w14:paraId="0DFDD2C6"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2C7" w14:textId="77777777" w:rsidR="00046465" w:rsidRDefault="00046465">
            <w:pPr>
              <w:pStyle w:val="TableParagraph"/>
              <w:rPr>
                <w:rFonts w:ascii="Times New Roman"/>
                <w:sz w:val="20"/>
              </w:rPr>
            </w:pPr>
          </w:p>
        </w:tc>
      </w:tr>
      <w:tr w:rsidR="00046465" w14:paraId="0DFDD2CC" w14:textId="77777777">
        <w:trPr>
          <w:trHeight w:val="492"/>
        </w:trPr>
        <w:tc>
          <w:tcPr>
            <w:tcW w:w="7446" w:type="dxa"/>
            <w:tcBorders>
              <w:top w:val="single" w:sz="8" w:space="0" w:color="000000"/>
              <w:bottom w:val="single" w:sz="8" w:space="0" w:color="000000"/>
              <w:right w:val="single" w:sz="8" w:space="0" w:color="000000"/>
            </w:tcBorders>
          </w:tcPr>
          <w:p w14:paraId="0DFDD2C9" w14:textId="77777777" w:rsidR="00046465" w:rsidRDefault="008134EB">
            <w:pPr>
              <w:pStyle w:val="TableParagraph"/>
              <w:tabs>
                <w:tab w:val="left" w:pos="1334"/>
              </w:tabs>
              <w:spacing w:before="121"/>
              <w:ind w:left="925"/>
            </w:pPr>
            <w:r>
              <w:rPr>
                <w:spacing w:val="-5"/>
              </w:rPr>
              <w:t>c.</w:t>
            </w:r>
            <w:r>
              <w:tab/>
              <w:t>OGC</w:t>
            </w:r>
            <w:r>
              <w:rPr>
                <w:spacing w:val="-7"/>
              </w:rPr>
              <w:t xml:space="preserve"> </w:t>
            </w:r>
            <w:r>
              <w:t>(Form</w:t>
            </w:r>
            <w:r>
              <w:rPr>
                <w:spacing w:val="-6"/>
              </w:rPr>
              <w:t xml:space="preserve"> </w:t>
            </w:r>
            <w:r>
              <w:rPr>
                <w:spacing w:val="-2"/>
              </w:rPr>
              <w:t>124A),</w:t>
            </w:r>
          </w:p>
        </w:tc>
        <w:tc>
          <w:tcPr>
            <w:tcW w:w="720" w:type="dxa"/>
            <w:tcBorders>
              <w:top w:val="single" w:sz="8" w:space="0" w:color="000000"/>
              <w:left w:val="single" w:sz="8" w:space="0" w:color="000000"/>
              <w:bottom w:val="single" w:sz="8" w:space="0" w:color="000000"/>
              <w:right w:val="single" w:sz="8" w:space="0" w:color="000000"/>
            </w:tcBorders>
          </w:tcPr>
          <w:p w14:paraId="0DFDD2CA"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2CB" w14:textId="77777777" w:rsidR="00046465" w:rsidRDefault="00046465">
            <w:pPr>
              <w:pStyle w:val="TableParagraph"/>
              <w:rPr>
                <w:rFonts w:ascii="Times New Roman"/>
                <w:sz w:val="20"/>
              </w:rPr>
            </w:pPr>
          </w:p>
        </w:tc>
      </w:tr>
      <w:tr w:rsidR="00046465" w14:paraId="0DFDD2D0" w14:textId="77777777">
        <w:trPr>
          <w:trHeight w:val="493"/>
        </w:trPr>
        <w:tc>
          <w:tcPr>
            <w:tcW w:w="7446" w:type="dxa"/>
            <w:tcBorders>
              <w:top w:val="single" w:sz="8" w:space="0" w:color="000000"/>
              <w:bottom w:val="single" w:sz="8" w:space="0" w:color="000000"/>
              <w:right w:val="single" w:sz="8" w:space="0" w:color="000000"/>
            </w:tcBorders>
          </w:tcPr>
          <w:p w14:paraId="0DFDD2CD" w14:textId="77777777" w:rsidR="00046465" w:rsidRDefault="008134EB">
            <w:pPr>
              <w:pStyle w:val="TableParagraph"/>
              <w:tabs>
                <w:tab w:val="left" w:pos="1310"/>
              </w:tabs>
              <w:spacing w:before="121"/>
              <w:ind w:left="925"/>
            </w:pPr>
            <w:r>
              <w:rPr>
                <w:spacing w:val="-5"/>
              </w:rPr>
              <w:t>d.</w:t>
            </w:r>
            <w:r>
              <w:tab/>
              <w:t>other</w:t>
            </w:r>
            <w:r>
              <w:rPr>
                <w:spacing w:val="-9"/>
              </w:rPr>
              <w:t xml:space="preserve"> </w:t>
            </w:r>
            <w:r>
              <w:t>stakeholders</w:t>
            </w:r>
            <w:r>
              <w:rPr>
                <w:spacing w:val="-8"/>
              </w:rPr>
              <w:t xml:space="preserve"> </w:t>
            </w:r>
            <w:r>
              <w:t>(Form</w:t>
            </w:r>
            <w:r>
              <w:rPr>
                <w:spacing w:val="-9"/>
              </w:rPr>
              <w:t xml:space="preserve"> </w:t>
            </w:r>
            <w:r>
              <w:t>124C),</w:t>
            </w:r>
            <w:r>
              <w:rPr>
                <w:spacing w:val="-8"/>
              </w:rPr>
              <w:t xml:space="preserve"> </w:t>
            </w:r>
            <w:r>
              <w:rPr>
                <w:spacing w:val="-5"/>
              </w:rPr>
              <w:t>and</w:t>
            </w:r>
          </w:p>
        </w:tc>
        <w:tc>
          <w:tcPr>
            <w:tcW w:w="720" w:type="dxa"/>
            <w:tcBorders>
              <w:top w:val="single" w:sz="8" w:space="0" w:color="000000"/>
              <w:left w:val="single" w:sz="8" w:space="0" w:color="000000"/>
              <w:bottom w:val="single" w:sz="8" w:space="0" w:color="000000"/>
              <w:right w:val="single" w:sz="8" w:space="0" w:color="000000"/>
            </w:tcBorders>
          </w:tcPr>
          <w:p w14:paraId="0DFDD2CE"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2CF" w14:textId="77777777" w:rsidR="00046465" w:rsidRDefault="00046465">
            <w:pPr>
              <w:pStyle w:val="TableParagraph"/>
              <w:rPr>
                <w:rFonts w:ascii="Times New Roman"/>
                <w:sz w:val="20"/>
              </w:rPr>
            </w:pPr>
          </w:p>
        </w:tc>
      </w:tr>
      <w:tr w:rsidR="00046465" w14:paraId="0DFDD2D4" w14:textId="77777777">
        <w:trPr>
          <w:trHeight w:val="492"/>
        </w:trPr>
        <w:tc>
          <w:tcPr>
            <w:tcW w:w="7446" w:type="dxa"/>
            <w:tcBorders>
              <w:top w:val="single" w:sz="8" w:space="0" w:color="000000"/>
              <w:bottom w:val="single" w:sz="8" w:space="0" w:color="000000"/>
              <w:right w:val="single" w:sz="8" w:space="0" w:color="000000"/>
            </w:tcBorders>
          </w:tcPr>
          <w:p w14:paraId="0DFDD2D1" w14:textId="77777777" w:rsidR="00046465" w:rsidRDefault="008134EB">
            <w:pPr>
              <w:pStyle w:val="TableParagraph"/>
              <w:tabs>
                <w:tab w:val="left" w:pos="1310"/>
              </w:tabs>
              <w:spacing w:before="121"/>
              <w:ind w:left="925"/>
            </w:pPr>
            <w:r>
              <w:rPr>
                <w:spacing w:val="-5"/>
              </w:rPr>
              <w:t>e.</w:t>
            </w:r>
            <w:r>
              <w:tab/>
              <w:t>reviewer</w:t>
            </w:r>
            <w:r>
              <w:rPr>
                <w:spacing w:val="-10"/>
              </w:rPr>
              <w:t xml:space="preserve"> </w:t>
            </w:r>
            <w:r>
              <w:t>(second</w:t>
            </w:r>
            <w:r>
              <w:rPr>
                <w:spacing w:val="-9"/>
              </w:rPr>
              <w:t xml:space="preserve"> </w:t>
            </w:r>
            <w:r>
              <w:rPr>
                <w:spacing w:val="-2"/>
              </w:rPr>
              <w:t>partner)?</w:t>
            </w:r>
          </w:p>
        </w:tc>
        <w:tc>
          <w:tcPr>
            <w:tcW w:w="720" w:type="dxa"/>
            <w:tcBorders>
              <w:top w:val="single" w:sz="8" w:space="0" w:color="000000"/>
              <w:left w:val="single" w:sz="8" w:space="0" w:color="000000"/>
              <w:bottom w:val="single" w:sz="8" w:space="0" w:color="000000"/>
              <w:right w:val="single" w:sz="8" w:space="0" w:color="000000"/>
            </w:tcBorders>
          </w:tcPr>
          <w:p w14:paraId="0DFDD2D2"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2D3" w14:textId="77777777" w:rsidR="00046465" w:rsidRDefault="00046465">
            <w:pPr>
              <w:pStyle w:val="TableParagraph"/>
              <w:rPr>
                <w:rFonts w:ascii="Times New Roman"/>
                <w:sz w:val="20"/>
              </w:rPr>
            </w:pPr>
          </w:p>
        </w:tc>
      </w:tr>
      <w:tr w:rsidR="00046465" w14:paraId="0DFDD2D8" w14:textId="77777777">
        <w:trPr>
          <w:trHeight w:val="493"/>
        </w:trPr>
        <w:tc>
          <w:tcPr>
            <w:tcW w:w="7446" w:type="dxa"/>
            <w:tcBorders>
              <w:top w:val="single" w:sz="8" w:space="0" w:color="000000"/>
              <w:bottom w:val="single" w:sz="8" w:space="0" w:color="000000"/>
              <w:right w:val="single" w:sz="8" w:space="0" w:color="000000"/>
            </w:tcBorders>
          </w:tcPr>
          <w:p w14:paraId="0DFDD2D5" w14:textId="77777777" w:rsidR="00046465" w:rsidRDefault="008134EB">
            <w:pPr>
              <w:pStyle w:val="TableParagraph"/>
              <w:spacing w:before="121"/>
              <w:ind w:left="554"/>
            </w:pPr>
            <w:r>
              <w:t>2.</w:t>
            </w:r>
            <w:r>
              <w:rPr>
                <w:spacing w:val="67"/>
                <w:w w:val="150"/>
              </w:rPr>
              <w:t xml:space="preserve"> </w:t>
            </w:r>
            <w:r>
              <w:t>Did</w:t>
            </w:r>
            <w:r>
              <w:rPr>
                <w:spacing w:val="-5"/>
              </w:rPr>
              <w:t xml:space="preserve"> </w:t>
            </w:r>
            <w:r>
              <w:t>the</w:t>
            </w:r>
            <w:r>
              <w:rPr>
                <w:spacing w:val="-6"/>
              </w:rPr>
              <w:t xml:space="preserve"> </w:t>
            </w:r>
            <w:r>
              <w:t>audit</w:t>
            </w:r>
            <w:r>
              <w:rPr>
                <w:spacing w:val="-6"/>
              </w:rPr>
              <w:t xml:space="preserve"> </w:t>
            </w:r>
            <w:r>
              <w:t>director</w:t>
            </w:r>
            <w:r>
              <w:rPr>
                <w:spacing w:val="-5"/>
              </w:rPr>
              <w:t xml:space="preserve"> </w:t>
            </w:r>
            <w:r>
              <w:t>(first/engagement</w:t>
            </w:r>
            <w:r>
              <w:rPr>
                <w:spacing w:val="-6"/>
              </w:rPr>
              <w:t xml:space="preserve"> </w:t>
            </w:r>
            <w:r>
              <w:t>partner)</w:t>
            </w:r>
            <w:r>
              <w:rPr>
                <w:spacing w:val="-6"/>
              </w:rPr>
              <w:t xml:space="preserve"> </w:t>
            </w:r>
            <w:r>
              <w:t>review</w:t>
            </w:r>
            <w:r>
              <w:rPr>
                <w:spacing w:val="-7"/>
              </w:rPr>
              <w:t xml:space="preserve"> </w:t>
            </w:r>
            <w:r>
              <w:rPr>
                <w:spacing w:val="-5"/>
              </w:rPr>
              <w:t>the</w:t>
            </w:r>
          </w:p>
        </w:tc>
        <w:tc>
          <w:tcPr>
            <w:tcW w:w="720" w:type="dxa"/>
            <w:tcBorders>
              <w:top w:val="single" w:sz="8" w:space="0" w:color="000000"/>
              <w:left w:val="single" w:sz="8" w:space="0" w:color="000000"/>
              <w:bottom w:val="single" w:sz="8" w:space="0" w:color="000000"/>
              <w:right w:val="single" w:sz="8" w:space="0" w:color="000000"/>
            </w:tcBorders>
            <w:shd w:val="clear" w:color="auto" w:fill="BEBEBE"/>
          </w:tcPr>
          <w:p w14:paraId="0DFDD2D6"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shd w:val="clear" w:color="auto" w:fill="BEBEBE"/>
          </w:tcPr>
          <w:p w14:paraId="0DFDD2D7" w14:textId="77777777" w:rsidR="00046465" w:rsidRDefault="00046465">
            <w:pPr>
              <w:pStyle w:val="TableParagraph"/>
              <w:rPr>
                <w:rFonts w:ascii="Times New Roman"/>
                <w:sz w:val="20"/>
              </w:rPr>
            </w:pPr>
          </w:p>
        </w:tc>
      </w:tr>
      <w:tr w:rsidR="00046465" w14:paraId="0DFDD2DC" w14:textId="77777777">
        <w:trPr>
          <w:trHeight w:val="492"/>
        </w:trPr>
        <w:tc>
          <w:tcPr>
            <w:tcW w:w="7446" w:type="dxa"/>
            <w:tcBorders>
              <w:top w:val="single" w:sz="8" w:space="0" w:color="000000"/>
              <w:bottom w:val="single" w:sz="8" w:space="0" w:color="000000"/>
              <w:right w:val="single" w:sz="8" w:space="0" w:color="000000"/>
            </w:tcBorders>
          </w:tcPr>
          <w:p w14:paraId="0DFDD2D9" w14:textId="77777777" w:rsidR="00046465" w:rsidRDefault="008134EB">
            <w:pPr>
              <w:pStyle w:val="TableParagraph"/>
              <w:tabs>
                <w:tab w:val="left" w:pos="1310"/>
              </w:tabs>
              <w:spacing w:before="121"/>
              <w:ind w:left="925"/>
            </w:pPr>
            <w:r>
              <w:rPr>
                <w:spacing w:val="-5"/>
              </w:rPr>
              <w:t>a.</w:t>
            </w:r>
            <w:r>
              <w:tab/>
              <w:t>audit</w:t>
            </w:r>
            <w:r>
              <w:rPr>
                <w:spacing w:val="-8"/>
              </w:rPr>
              <w:t xml:space="preserve"> </w:t>
            </w:r>
            <w:r>
              <w:t>strategy,</w:t>
            </w:r>
            <w:r>
              <w:rPr>
                <w:spacing w:val="-8"/>
              </w:rPr>
              <w:t xml:space="preserve"> </w:t>
            </w:r>
            <w:r>
              <w:t>including</w:t>
            </w:r>
            <w:r>
              <w:rPr>
                <w:spacing w:val="-9"/>
              </w:rPr>
              <w:t xml:space="preserve"> </w:t>
            </w:r>
            <w:r>
              <w:t>audit</w:t>
            </w:r>
            <w:r>
              <w:rPr>
                <w:spacing w:val="-8"/>
              </w:rPr>
              <w:t xml:space="preserve"> </w:t>
            </w:r>
            <w:r>
              <w:t>sampling</w:t>
            </w:r>
            <w:r>
              <w:rPr>
                <w:spacing w:val="-8"/>
              </w:rPr>
              <w:t xml:space="preserve"> </w:t>
            </w:r>
            <w:r>
              <w:t>approach</w:t>
            </w:r>
            <w:r>
              <w:rPr>
                <w:spacing w:val="-9"/>
              </w:rPr>
              <w:t xml:space="preserve"> </w:t>
            </w:r>
            <w:r>
              <w:t>(FAM</w:t>
            </w:r>
            <w:r>
              <w:rPr>
                <w:spacing w:val="-9"/>
              </w:rPr>
              <w:t xml:space="preserve"> </w:t>
            </w:r>
            <w:r>
              <w:rPr>
                <w:spacing w:val="-2"/>
              </w:rPr>
              <w:t>290);</w:t>
            </w:r>
          </w:p>
        </w:tc>
        <w:tc>
          <w:tcPr>
            <w:tcW w:w="720" w:type="dxa"/>
            <w:tcBorders>
              <w:top w:val="single" w:sz="8" w:space="0" w:color="000000"/>
              <w:left w:val="single" w:sz="8" w:space="0" w:color="000000"/>
              <w:bottom w:val="single" w:sz="8" w:space="0" w:color="000000"/>
              <w:right w:val="single" w:sz="8" w:space="0" w:color="000000"/>
            </w:tcBorders>
          </w:tcPr>
          <w:p w14:paraId="0DFDD2DA"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2DB" w14:textId="77777777" w:rsidR="00046465" w:rsidRDefault="00046465">
            <w:pPr>
              <w:pStyle w:val="TableParagraph"/>
              <w:rPr>
                <w:rFonts w:ascii="Times New Roman"/>
                <w:sz w:val="20"/>
              </w:rPr>
            </w:pPr>
          </w:p>
        </w:tc>
      </w:tr>
      <w:tr w:rsidR="00046465" w14:paraId="0DFDD2E0" w14:textId="77777777">
        <w:trPr>
          <w:trHeight w:val="998"/>
        </w:trPr>
        <w:tc>
          <w:tcPr>
            <w:tcW w:w="7446" w:type="dxa"/>
            <w:tcBorders>
              <w:top w:val="single" w:sz="8" w:space="0" w:color="000000"/>
              <w:bottom w:val="single" w:sz="8" w:space="0" w:color="000000"/>
              <w:right w:val="single" w:sz="8" w:space="0" w:color="000000"/>
            </w:tcBorders>
          </w:tcPr>
          <w:p w14:paraId="0DFDD2DD" w14:textId="77777777" w:rsidR="00046465" w:rsidRDefault="008134EB">
            <w:pPr>
              <w:pStyle w:val="TableParagraph"/>
              <w:spacing w:before="121"/>
              <w:ind w:left="1285" w:right="329" w:hanging="360"/>
              <w:jc w:val="both"/>
            </w:pPr>
            <w:r>
              <w:t>b.</w:t>
            </w:r>
            <w:r>
              <w:rPr>
                <w:spacing w:val="80"/>
              </w:rPr>
              <w:t xml:space="preserve"> </w:t>
            </w:r>
            <w:r>
              <w:t>LIRA</w:t>
            </w:r>
            <w:r>
              <w:rPr>
                <w:spacing w:val="-3"/>
              </w:rPr>
              <w:t xml:space="preserve"> </w:t>
            </w:r>
            <w:r>
              <w:t>forms</w:t>
            </w:r>
            <w:r>
              <w:rPr>
                <w:spacing w:val="-3"/>
              </w:rPr>
              <w:t xml:space="preserve"> </w:t>
            </w:r>
            <w:r>
              <w:t>that</w:t>
            </w:r>
            <w:r>
              <w:rPr>
                <w:spacing w:val="-3"/>
              </w:rPr>
              <w:t xml:space="preserve"> </w:t>
            </w:r>
            <w:r>
              <w:t>contain</w:t>
            </w:r>
            <w:r>
              <w:rPr>
                <w:spacing w:val="-4"/>
              </w:rPr>
              <w:t xml:space="preserve"> </w:t>
            </w:r>
            <w:r>
              <w:t>high</w:t>
            </w:r>
            <w:r>
              <w:rPr>
                <w:spacing w:val="-3"/>
              </w:rPr>
              <w:t xml:space="preserve"> </w:t>
            </w:r>
            <w:r>
              <w:t>or</w:t>
            </w:r>
            <w:r>
              <w:rPr>
                <w:spacing w:val="-3"/>
              </w:rPr>
              <w:t xml:space="preserve"> </w:t>
            </w:r>
            <w:r>
              <w:t>moderate</w:t>
            </w:r>
            <w:r>
              <w:rPr>
                <w:spacing w:val="-3"/>
              </w:rPr>
              <w:t xml:space="preserve"> </w:t>
            </w:r>
            <w:r>
              <w:t>risk(s)</w:t>
            </w:r>
            <w:r>
              <w:rPr>
                <w:spacing w:val="-4"/>
              </w:rPr>
              <w:t xml:space="preserve"> </w:t>
            </w:r>
            <w:r>
              <w:t>of</w:t>
            </w:r>
            <w:r>
              <w:rPr>
                <w:spacing w:val="-3"/>
              </w:rPr>
              <w:t xml:space="preserve"> </w:t>
            </w:r>
            <w:r>
              <w:t>material misstatement at the assertion level (i.e., combined inherent risk and control risk) or significant risk(s) (FAM 290);</w:t>
            </w:r>
          </w:p>
        </w:tc>
        <w:tc>
          <w:tcPr>
            <w:tcW w:w="720" w:type="dxa"/>
            <w:tcBorders>
              <w:top w:val="single" w:sz="8" w:space="0" w:color="000000"/>
              <w:left w:val="single" w:sz="8" w:space="0" w:color="000000"/>
              <w:bottom w:val="single" w:sz="8" w:space="0" w:color="000000"/>
              <w:right w:val="single" w:sz="8" w:space="0" w:color="000000"/>
            </w:tcBorders>
          </w:tcPr>
          <w:p w14:paraId="0DFDD2DE"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2DF" w14:textId="77777777" w:rsidR="00046465" w:rsidRDefault="00046465">
            <w:pPr>
              <w:pStyle w:val="TableParagraph"/>
              <w:rPr>
                <w:rFonts w:ascii="Times New Roman"/>
                <w:sz w:val="20"/>
              </w:rPr>
            </w:pPr>
          </w:p>
        </w:tc>
      </w:tr>
      <w:tr w:rsidR="00046465" w14:paraId="0DFDD2E4" w14:textId="77777777">
        <w:trPr>
          <w:trHeight w:val="1000"/>
        </w:trPr>
        <w:tc>
          <w:tcPr>
            <w:tcW w:w="7446" w:type="dxa"/>
            <w:tcBorders>
              <w:top w:val="single" w:sz="8" w:space="0" w:color="000000"/>
              <w:bottom w:val="single" w:sz="8" w:space="0" w:color="000000"/>
              <w:right w:val="single" w:sz="8" w:space="0" w:color="000000"/>
            </w:tcBorders>
          </w:tcPr>
          <w:p w14:paraId="0DFDD2E1" w14:textId="77777777" w:rsidR="00046465" w:rsidRDefault="008134EB">
            <w:pPr>
              <w:pStyle w:val="TableParagraph"/>
              <w:tabs>
                <w:tab w:val="left" w:pos="1310"/>
              </w:tabs>
              <w:spacing w:before="121"/>
              <w:ind w:left="1285" w:right="512" w:hanging="360"/>
            </w:pPr>
            <w:r>
              <w:rPr>
                <w:spacing w:val="-6"/>
              </w:rPr>
              <w:t>c.</w:t>
            </w:r>
            <w:r>
              <w:tab/>
            </w:r>
            <w:r>
              <w:tab/>
              <w:t>cycle summary memos for cycles that contain high or moderate</w:t>
            </w:r>
            <w:r>
              <w:rPr>
                <w:spacing w:val="-6"/>
              </w:rPr>
              <w:t xml:space="preserve"> </w:t>
            </w:r>
            <w:r>
              <w:t>risk(s)</w:t>
            </w:r>
            <w:r>
              <w:rPr>
                <w:spacing w:val="-6"/>
              </w:rPr>
              <w:t xml:space="preserve"> </w:t>
            </w:r>
            <w:r>
              <w:t>of</w:t>
            </w:r>
            <w:r>
              <w:rPr>
                <w:spacing w:val="-6"/>
              </w:rPr>
              <w:t xml:space="preserve"> </w:t>
            </w:r>
            <w:r>
              <w:t>material</w:t>
            </w:r>
            <w:r>
              <w:rPr>
                <w:spacing w:val="-6"/>
              </w:rPr>
              <w:t xml:space="preserve"> </w:t>
            </w:r>
            <w:r>
              <w:t>misstatement</w:t>
            </w:r>
            <w:r>
              <w:rPr>
                <w:spacing w:val="-6"/>
              </w:rPr>
              <w:t xml:space="preserve"> </w:t>
            </w:r>
            <w:r>
              <w:t>at</w:t>
            </w:r>
            <w:r>
              <w:rPr>
                <w:spacing w:val="-6"/>
              </w:rPr>
              <w:t xml:space="preserve"> </w:t>
            </w:r>
            <w:r>
              <w:t>the</w:t>
            </w:r>
            <w:r>
              <w:rPr>
                <w:spacing w:val="-6"/>
              </w:rPr>
              <w:t xml:space="preserve"> </w:t>
            </w:r>
            <w:r>
              <w:t>assertion level or significant risk(s) (FAM 490);</w:t>
            </w:r>
          </w:p>
        </w:tc>
        <w:tc>
          <w:tcPr>
            <w:tcW w:w="720" w:type="dxa"/>
            <w:tcBorders>
              <w:top w:val="single" w:sz="8" w:space="0" w:color="000000"/>
              <w:left w:val="single" w:sz="8" w:space="0" w:color="000000"/>
              <w:bottom w:val="single" w:sz="8" w:space="0" w:color="000000"/>
              <w:right w:val="single" w:sz="8" w:space="0" w:color="000000"/>
            </w:tcBorders>
          </w:tcPr>
          <w:p w14:paraId="0DFDD2E2"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2E3" w14:textId="77777777" w:rsidR="00046465" w:rsidRDefault="00046465">
            <w:pPr>
              <w:pStyle w:val="TableParagraph"/>
              <w:rPr>
                <w:rFonts w:ascii="Times New Roman"/>
                <w:sz w:val="20"/>
              </w:rPr>
            </w:pPr>
          </w:p>
        </w:tc>
      </w:tr>
      <w:tr w:rsidR="00046465" w14:paraId="0DFDD2E8" w14:textId="77777777">
        <w:trPr>
          <w:trHeight w:val="492"/>
        </w:trPr>
        <w:tc>
          <w:tcPr>
            <w:tcW w:w="7446" w:type="dxa"/>
            <w:tcBorders>
              <w:top w:val="single" w:sz="8" w:space="0" w:color="000000"/>
              <w:bottom w:val="single" w:sz="8" w:space="0" w:color="000000"/>
              <w:right w:val="single" w:sz="8" w:space="0" w:color="000000"/>
            </w:tcBorders>
          </w:tcPr>
          <w:p w14:paraId="0DFDD2E5" w14:textId="77777777" w:rsidR="00046465" w:rsidRDefault="008134EB">
            <w:pPr>
              <w:pStyle w:val="TableParagraph"/>
              <w:tabs>
                <w:tab w:val="left" w:pos="1334"/>
              </w:tabs>
              <w:spacing w:before="119"/>
              <w:ind w:left="925"/>
            </w:pPr>
            <w:r>
              <w:rPr>
                <w:spacing w:val="-5"/>
              </w:rPr>
              <w:t>d.</w:t>
            </w:r>
            <w:r>
              <w:tab/>
              <w:t>audit</w:t>
            </w:r>
            <w:r>
              <w:rPr>
                <w:spacing w:val="-9"/>
              </w:rPr>
              <w:t xml:space="preserve"> </w:t>
            </w:r>
            <w:r>
              <w:t>summary</w:t>
            </w:r>
            <w:r>
              <w:rPr>
                <w:spacing w:val="-9"/>
              </w:rPr>
              <w:t xml:space="preserve"> </w:t>
            </w:r>
            <w:r>
              <w:t>memorandum</w:t>
            </w:r>
            <w:r>
              <w:rPr>
                <w:spacing w:val="-9"/>
              </w:rPr>
              <w:t xml:space="preserve"> </w:t>
            </w:r>
            <w:r>
              <w:t>(FAM</w:t>
            </w:r>
            <w:r>
              <w:rPr>
                <w:spacing w:val="-9"/>
              </w:rPr>
              <w:t xml:space="preserve"> </w:t>
            </w:r>
            <w:r>
              <w:rPr>
                <w:spacing w:val="-2"/>
              </w:rPr>
              <w:t>590);</w:t>
            </w:r>
          </w:p>
        </w:tc>
        <w:tc>
          <w:tcPr>
            <w:tcW w:w="720" w:type="dxa"/>
            <w:tcBorders>
              <w:top w:val="single" w:sz="8" w:space="0" w:color="000000"/>
              <w:left w:val="single" w:sz="8" w:space="0" w:color="000000"/>
              <w:bottom w:val="single" w:sz="8" w:space="0" w:color="000000"/>
              <w:right w:val="single" w:sz="8" w:space="0" w:color="000000"/>
            </w:tcBorders>
          </w:tcPr>
          <w:p w14:paraId="0DFDD2E6"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2E7" w14:textId="77777777" w:rsidR="00046465" w:rsidRDefault="00046465">
            <w:pPr>
              <w:pStyle w:val="TableParagraph"/>
              <w:rPr>
                <w:rFonts w:ascii="Times New Roman"/>
                <w:sz w:val="20"/>
              </w:rPr>
            </w:pPr>
          </w:p>
        </w:tc>
      </w:tr>
      <w:tr w:rsidR="00046465" w14:paraId="0DFDD2EC" w14:textId="77777777">
        <w:trPr>
          <w:trHeight w:val="493"/>
        </w:trPr>
        <w:tc>
          <w:tcPr>
            <w:tcW w:w="7446" w:type="dxa"/>
            <w:tcBorders>
              <w:top w:val="single" w:sz="8" w:space="0" w:color="000000"/>
              <w:bottom w:val="single" w:sz="8" w:space="0" w:color="000000"/>
              <w:right w:val="single" w:sz="8" w:space="0" w:color="000000"/>
            </w:tcBorders>
          </w:tcPr>
          <w:p w14:paraId="0DFDD2E9" w14:textId="77777777" w:rsidR="00046465" w:rsidRDefault="008134EB">
            <w:pPr>
              <w:pStyle w:val="TableParagraph"/>
              <w:tabs>
                <w:tab w:val="left" w:pos="1334"/>
              </w:tabs>
              <w:spacing w:before="121"/>
              <w:ind w:left="925"/>
            </w:pPr>
            <w:r>
              <w:rPr>
                <w:spacing w:val="-5"/>
              </w:rPr>
              <w:t>e.</w:t>
            </w:r>
            <w:r>
              <w:tab/>
              <w:t>management</w:t>
            </w:r>
            <w:r>
              <w:rPr>
                <w:spacing w:val="-11"/>
              </w:rPr>
              <w:t xml:space="preserve"> </w:t>
            </w:r>
            <w:r>
              <w:t>representation</w:t>
            </w:r>
            <w:r>
              <w:rPr>
                <w:spacing w:val="-10"/>
              </w:rPr>
              <w:t xml:space="preserve"> </w:t>
            </w:r>
            <w:r>
              <w:t>letter</w:t>
            </w:r>
            <w:r>
              <w:rPr>
                <w:spacing w:val="-10"/>
              </w:rPr>
              <w:t xml:space="preserve"> </w:t>
            </w:r>
            <w:r>
              <w:t>(FAM</w:t>
            </w:r>
            <w:r>
              <w:rPr>
                <w:spacing w:val="-12"/>
              </w:rPr>
              <w:t xml:space="preserve"> </w:t>
            </w:r>
            <w:r>
              <w:rPr>
                <w:spacing w:val="-2"/>
              </w:rPr>
              <w:t>1001);</w:t>
            </w:r>
          </w:p>
        </w:tc>
        <w:tc>
          <w:tcPr>
            <w:tcW w:w="720" w:type="dxa"/>
            <w:tcBorders>
              <w:top w:val="single" w:sz="8" w:space="0" w:color="000000"/>
              <w:left w:val="single" w:sz="8" w:space="0" w:color="000000"/>
              <w:bottom w:val="single" w:sz="8" w:space="0" w:color="000000"/>
              <w:right w:val="single" w:sz="8" w:space="0" w:color="000000"/>
            </w:tcBorders>
          </w:tcPr>
          <w:p w14:paraId="0DFDD2EA"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2EB" w14:textId="77777777" w:rsidR="00046465" w:rsidRDefault="00046465">
            <w:pPr>
              <w:pStyle w:val="TableParagraph"/>
              <w:rPr>
                <w:rFonts w:ascii="Times New Roman"/>
                <w:sz w:val="20"/>
              </w:rPr>
            </w:pPr>
          </w:p>
        </w:tc>
      </w:tr>
      <w:tr w:rsidR="00046465" w14:paraId="0DFDD2F0" w14:textId="77777777">
        <w:trPr>
          <w:trHeight w:val="492"/>
        </w:trPr>
        <w:tc>
          <w:tcPr>
            <w:tcW w:w="7446" w:type="dxa"/>
            <w:tcBorders>
              <w:top w:val="single" w:sz="8" w:space="0" w:color="000000"/>
              <w:bottom w:val="single" w:sz="8" w:space="0" w:color="000000"/>
              <w:right w:val="single" w:sz="8" w:space="0" w:color="000000"/>
            </w:tcBorders>
          </w:tcPr>
          <w:p w14:paraId="0DFDD2ED" w14:textId="77777777" w:rsidR="00046465" w:rsidRDefault="008134EB">
            <w:pPr>
              <w:pStyle w:val="TableParagraph"/>
              <w:tabs>
                <w:tab w:val="left" w:pos="1334"/>
              </w:tabs>
              <w:spacing w:before="119"/>
              <w:ind w:left="925"/>
            </w:pPr>
            <w:r>
              <w:rPr>
                <w:spacing w:val="-5"/>
              </w:rPr>
              <w:t>f.</w:t>
            </w:r>
            <w:r>
              <w:tab/>
              <w:t>legal</w:t>
            </w:r>
            <w:r>
              <w:rPr>
                <w:spacing w:val="-8"/>
              </w:rPr>
              <w:t xml:space="preserve"> </w:t>
            </w:r>
            <w:r>
              <w:t>counsel</w:t>
            </w:r>
            <w:r>
              <w:rPr>
                <w:spacing w:val="-7"/>
              </w:rPr>
              <w:t xml:space="preserve"> </w:t>
            </w:r>
            <w:r>
              <w:t>response</w:t>
            </w:r>
            <w:r>
              <w:rPr>
                <w:spacing w:val="-9"/>
              </w:rPr>
              <w:t xml:space="preserve"> </w:t>
            </w:r>
            <w:r>
              <w:t>(FAM</w:t>
            </w:r>
            <w:r>
              <w:rPr>
                <w:spacing w:val="-8"/>
              </w:rPr>
              <w:t xml:space="preserve"> </w:t>
            </w:r>
            <w:r>
              <w:rPr>
                <w:spacing w:val="-2"/>
              </w:rPr>
              <w:t>1002);</w:t>
            </w:r>
          </w:p>
        </w:tc>
        <w:tc>
          <w:tcPr>
            <w:tcW w:w="720" w:type="dxa"/>
            <w:tcBorders>
              <w:top w:val="single" w:sz="8" w:space="0" w:color="000000"/>
              <w:left w:val="single" w:sz="8" w:space="0" w:color="000000"/>
              <w:bottom w:val="single" w:sz="8" w:space="0" w:color="000000"/>
              <w:right w:val="single" w:sz="8" w:space="0" w:color="000000"/>
            </w:tcBorders>
          </w:tcPr>
          <w:p w14:paraId="0DFDD2EE"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2EF" w14:textId="77777777" w:rsidR="00046465" w:rsidRDefault="00046465">
            <w:pPr>
              <w:pStyle w:val="TableParagraph"/>
              <w:rPr>
                <w:rFonts w:ascii="Times New Roman"/>
                <w:sz w:val="20"/>
              </w:rPr>
            </w:pPr>
          </w:p>
        </w:tc>
      </w:tr>
      <w:tr w:rsidR="00046465" w14:paraId="0DFDD2F4" w14:textId="77777777">
        <w:trPr>
          <w:trHeight w:val="493"/>
        </w:trPr>
        <w:tc>
          <w:tcPr>
            <w:tcW w:w="7446" w:type="dxa"/>
            <w:tcBorders>
              <w:top w:val="single" w:sz="8" w:space="0" w:color="000000"/>
              <w:bottom w:val="single" w:sz="8" w:space="0" w:color="000000"/>
              <w:right w:val="single" w:sz="8" w:space="0" w:color="000000"/>
            </w:tcBorders>
          </w:tcPr>
          <w:p w14:paraId="0DFDD2F1" w14:textId="77777777" w:rsidR="00046465" w:rsidRDefault="008134EB">
            <w:pPr>
              <w:pStyle w:val="TableParagraph"/>
              <w:tabs>
                <w:tab w:val="left" w:pos="1334"/>
              </w:tabs>
              <w:spacing w:before="121"/>
              <w:ind w:left="925"/>
            </w:pPr>
            <w:r>
              <w:rPr>
                <w:spacing w:val="-5"/>
              </w:rPr>
              <w:t>g.</w:t>
            </w:r>
            <w:r>
              <w:tab/>
              <w:t>summary</w:t>
            </w:r>
            <w:r>
              <w:rPr>
                <w:spacing w:val="-9"/>
              </w:rPr>
              <w:t xml:space="preserve"> </w:t>
            </w:r>
            <w:r>
              <w:t>of</w:t>
            </w:r>
            <w:r>
              <w:rPr>
                <w:spacing w:val="-8"/>
              </w:rPr>
              <w:t xml:space="preserve"> </w:t>
            </w:r>
            <w:r>
              <w:t>uncorrected</w:t>
            </w:r>
            <w:r>
              <w:rPr>
                <w:spacing w:val="-10"/>
              </w:rPr>
              <w:t xml:space="preserve"> </w:t>
            </w:r>
            <w:r>
              <w:t>misstatements</w:t>
            </w:r>
            <w:r>
              <w:rPr>
                <w:spacing w:val="-8"/>
              </w:rPr>
              <w:t xml:space="preserve"> </w:t>
            </w:r>
            <w:r>
              <w:t>(FAM</w:t>
            </w:r>
            <w:r>
              <w:rPr>
                <w:spacing w:val="-10"/>
              </w:rPr>
              <w:t xml:space="preserve"> </w:t>
            </w:r>
            <w:r>
              <w:t>595</w:t>
            </w:r>
            <w:r>
              <w:rPr>
                <w:spacing w:val="-8"/>
              </w:rPr>
              <w:t xml:space="preserve"> </w:t>
            </w:r>
            <w:r>
              <w:rPr>
                <w:spacing w:val="-5"/>
              </w:rPr>
              <w:t>C);</w:t>
            </w:r>
          </w:p>
        </w:tc>
        <w:tc>
          <w:tcPr>
            <w:tcW w:w="720" w:type="dxa"/>
            <w:tcBorders>
              <w:top w:val="single" w:sz="8" w:space="0" w:color="000000"/>
              <w:left w:val="single" w:sz="8" w:space="0" w:color="000000"/>
              <w:bottom w:val="single" w:sz="8" w:space="0" w:color="000000"/>
              <w:right w:val="single" w:sz="8" w:space="0" w:color="000000"/>
            </w:tcBorders>
          </w:tcPr>
          <w:p w14:paraId="0DFDD2F2"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2F3" w14:textId="77777777" w:rsidR="00046465" w:rsidRDefault="00046465">
            <w:pPr>
              <w:pStyle w:val="TableParagraph"/>
              <w:rPr>
                <w:rFonts w:ascii="Times New Roman"/>
                <w:sz w:val="20"/>
              </w:rPr>
            </w:pPr>
          </w:p>
        </w:tc>
      </w:tr>
      <w:tr w:rsidR="00046465" w14:paraId="0DFDD2F8" w14:textId="77777777">
        <w:trPr>
          <w:trHeight w:val="492"/>
        </w:trPr>
        <w:tc>
          <w:tcPr>
            <w:tcW w:w="7446" w:type="dxa"/>
            <w:tcBorders>
              <w:top w:val="single" w:sz="8" w:space="0" w:color="000000"/>
              <w:bottom w:val="single" w:sz="8" w:space="0" w:color="000000"/>
              <w:right w:val="single" w:sz="8" w:space="0" w:color="000000"/>
            </w:tcBorders>
          </w:tcPr>
          <w:p w14:paraId="0DFDD2F5" w14:textId="77777777" w:rsidR="00046465" w:rsidRDefault="008134EB">
            <w:pPr>
              <w:pStyle w:val="TableParagraph"/>
              <w:spacing w:before="119"/>
              <w:ind w:left="925"/>
            </w:pPr>
            <w:r>
              <w:t>h.</w:t>
            </w:r>
            <w:r>
              <w:rPr>
                <w:spacing w:val="29"/>
              </w:rPr>
              <w:t xml:space="preserve">  </w:t>
            </w:r>
            <w:r>
              <w:t>entity</w:t>
            </w:r>
            <w:r>
              <w:rPr>
                <w:spacing w:val="-5"/>
              </w:rPr>
              <w:t xml:space="preserve"> </w:t>
            </w:r>
            <w:r>
              <w:t>financial</w:t>
            </w:r>
            <w:r>
              <w:rPr>
                <w:spacing w:val="-4"/>
              </w:rPr>
              <w:t xml:space="preserve"> </w:t>
            </w:r>
            <w:r>
              <w:t>statements</w:t>
            </w:r>
            <w:r>
              <w:rPr>
                <w:spacing w:val="-5"/>
              </w:rPr>
              <w:t xml:space="preserve"> </w:t>
            </w:r>
            <w:r>
              <w:t>and</w:t>
            </w:r>
            <w:r>
              <w:rPr>
                <w:spacing w:val="-4"/>
              </w:rPr>
              <w:t xml:space="preserve"> </w:t>
            </w:r>
            <w:r>
              <w:rPr>
                <w:spacing w:val="-2"/>
              </w:rPr>
              <w:t>notes;</w:t>
            </w:r>
          </w:p>
        </w:tc>
        <w:tc>
          <w:tcPr>
            <w:tcW w:w="720" w:type="dxa"/>
            <w:tcBorders>
              <w:top w:val="single" w:sz="8" w:space="0" w:color="000000"/>
              <w:left w:val="single" w:sz="8" w:space="0" w:color="000000"/>
              <w:bottom w:val="single" w:sz="8" w:space="0" w:color="000000"/>
              <w:right w:val="single" w:sz="8" w:space="0" w:color="000000"/>
            </w:tcBorders>
          </w:tcPr>
          <w:p w14:paraId="0DFDD2F6"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2F7" w14:textId="77777777" w:rsidR="00046465" w:rsidRDefault="00046465">
            <w:pPr>
              <w:pStyle w:val="TableParagraph"/>
              <w:rPr>
                <w:rFonts w:ascii="Times New Roman"/>
                <w:sz w:val="20"/>
              </w:rPr>
            </w:pPr>
          </w:p>
        </w:tc>
      </w:tr>
      <w:tr w:rsidR="00046465" w14:paraId="0DFDD2FC" w14:textId="77777777">
        <w:trPr>
          <w:trHeight w:val="492"/>
        </w:trPr>
        <w:tc>
          <w:tcPr>
            <w:tcW w:w="7446" w:type="dxa"/>
            <w:tcBorders>
              <w:top w:val="single" w:sz="8" w:space="0" w:color="000000"/>
              <w:bottom w:val="single" w:sz="8" w:space="0" w:color="000000"/>
              <w:right w:val="single" w:sz="8" w:space="0" w:color="000000"/>
            </w:tcBorders>
          </w:tcPr>
          <w:p w14:paraId="0DFDD2F9" w14:textId="77777777" w:rsidR="00046465" w:rsidRDefault="008134EB">
            <w:pPr>
              <w:pStyle w:val="TableParagraph"/>
              <w:tabs>
                <w:tab w:val="left" w:pos="1334"/>
              </w:tabs>
              <w:spacing w:before="121"/>
              <w:ind w:left="925"/>
            </w:pPr>
            <w:r>
              <w:rPr>
                <w:spacing w:val="-5"/>
              </w:rPr>
              <w:t>i.</w:t>
            </w:r>
            <w:r>
              <w:tab/>
              <w:t>exit</w:t>
            </w:r>
            <w:r>
              <w:rPr>
                <w:spacing w:val="-8"/>
              </w:rPr>
              <w:t xml:space="preserve"> </w:t>
            </w:r>
            <w:r>
              <w:t>conference</w:t>
            </w:r>
            <w:r>
              <w:rPr>
                <w:spacing w:val="-8"/>
              </w:rPr>
              <w:t xml:space="preserve"> </w:t>
            </w:r>
            <w:r>
              <w:t>memorandum</w:t>
            </w:r>
            <w:r>
              <w:rPr>
                <w:spacing w:val="-9"/>
              </w:rPr>
              <w:t xml:space="preserve"> </w:t>
            </w:r>
            <w:r>
              <w:t>(FAM</w:t>
            </w:r>
            <w:r>
              <w:rPr>
                <w:spacing w:val="-9"/>
              </w:rPr>
              <w:t xml:space="preserve"> </w:t>
            </w:r>
            <w:r>
              <w:t>590);</w:t>
            </w:r>
            <w:r>
              <w:rPr>
                <w:spacing w:val="-8"/>
              </w:rPr>
              <w:t xml:space="preserve"> </w:t>
            </w:r>
            <w:r>
              <w:rPr>
                <w:spacing w:val="-5"/>
              </w:rPr>
              <w:t>and</w:t>
            </w:r>
          </w:p>
        </w:tc>
        <w:tc>
          <w:tcPr>
            <w:tcW w:w="720" w:type="dxa"/>
            <w:tcBorders>
              <w:top w:val="single" w:sz="8" w:space="0" w:color="000000"/>
              <w:left w:val="single" w:sz="8" w:space="0" w:color="000000"/>
              <w:bottom w:val="single" w:sz="8" w:space="0" w:color="000000"/>
              <w:right w:val="single" w:sz="8" w:space="0" w:color="000000"/>
            </w:tcBorders>
          </w:tcPr>
          <w:p w14:paraId="0DFDD2FA"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2FB" w14:textId="77777777" w:rsidR="00046465" w:rsidRDefault="00046465">
            <w:pPr>
              <w:pStyle w:val="TableParagraph"/>
              <w:rPr>
                <w:rFonts w:ascii="Times New Roman"/>
                <w:sz w:val="20"/>
              </w:rPr>
            </w:pPr>
          </w:p>
        </w:tc>
      </w:tr>
      <w:tr w:rsidR="00046465" w14:paraId="0DFDD300" w14:textId="77777777">
        <w:trPr>
          <w:trHeight w:val="746"/>
        </w:trPr>
        <w:tc>
          <w:tcPr>
            <w:tcW w:w="7446" w:type="dxa"/>
            <w:tcBorders>
              <w:top w:val="single" w:sz="8" w:space="0" w:color="000000"/>
              <w:bottom w:val="single" w:sz="8" w:space="0" w:color="000000"/>
              <w:right w:val="single" w:sz="8" w:space="0" w:color="000000"/>
            </w:tcBorders>
          </w:tcPr>
          <w:p w14:paraId="0DFDD2FD" w14:textId="77777777" w:rsidR="00046465" w:rsidRDefault="008134EB">
            <w:pPr>
              <w:pStyle w:val="TableParagraph"/>
              <w:tabs>
                <w:tab w:val="left" w:pos="1304"/>
              </w:tabs>
              <w:spacing w:before="121"/>
              <w:ind w:left="1285" w:right="639" w:hanging="361"/>
            </w:pPr>
            <w:r>
              <w:rPr>
                <w:spacing w:val="-6"/>
              </w:rPr>
              <w:t>j.</w:t>
            </w:r>
            <w:r>
              <w:tab/>
            </w:r>
            <w:r>
              <w:tab/>
              <w:t>memorandum(s)</w:t>
            </w:r>
            <w:r>
              <w:rPr>
                <w:spacing w:val="-8"/>
              </w:rPr>
              <w:t xml:space="preserve"> </w:t>
            </w:r>
            <w:r>
              <w:t>on</w:t>
            </w:r>
            <w:r>
              <w:rPr>
                <w:spacing w:val="-8"/>
              </w:rPr>
              <w:t xml:space="preserve"> </w:t>
            </w:r>
            <w:r>
              <w:t>significant</w:t>
            </w:r>
            <w:r>
              <w:rPr>
                <w:spacing w:val="-7"/>
              </w:rPr>
              <w:t xml:space="preserve"> </w:t>
            </w:r>
            <w:r>
              <w:t>accounting,</w:t>
            </w:r>
            <w:r>
              <w:rPr>
                <w:spacing w:val="-8"/>
              </w:rPr>
              <w:t xml:space="preserve"> </w:t>
            </w:r>
            <w:r>
              <w:t>auditing,</w:t>
            </w:r>
            <w:r>
              <w:rPr>
                <w:spacing w:val="-8"/>
              </w:rPr>
              <w:t xml:space="preserve"> </w:t>
            </w:r>
            <w:r>
              <w:t>and reporting issues (FAM 590)?</w:t>
            </w:r>
          </w:p>
        </w:tc>
        <w:tc>
          <w:tcPr>
            <w:tcW w:w="720" w:type="dxa"/>
            <w:tcBorders>
              <w:top w:val="single" w:sz="8" w:space="0" w:color="000000"/>
              <w:left w:val="single" w:sz="8" w:space="0" w:color="000000"/>
              <w:bottom w:val="single" w:sz="8" w:space="0" w:color="000000"/>
              <w:right w:val="single" w:sz="8" w:space="0" w:color="000000"/>
            </w:tcBorders>
          </w:tcPr>
          <w:p w14:paraId="0DFDD2FE"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2FF" w14:textId="77777777" w:rsidR="00046465" w:rsidRDefault="00046465">
            <w:pPr>
              <w:pStyle w:val="TableParagraph"/>
              <w:rPr>
                <w:rFonts w:ascii="Times New Roman"/>
                <w:sz w:val="20"/>
              </w:rPr>
            </w:pPr>
          </w:p>
        </w:tc>
      </w:tr>
      <w:tr w:rsidR="00046465" w14:paraId="0DFDD304" w14:textId="77777777">
        <w:trPr>
          <w:trHeight w:val="493"/>
        </w:trPr>
        <w:tc>
          <w:tcPr>
            <w:tcW w:w="7446" w:type="dxa"/>
            <w:tcBorders>
              <w:top w:val="single" w:sz="8" w:space="0" w:color="000000"/>
              <w:bottom w:val="single" w:sz="8" w:space="0" w:color="000000"/>
              <w:right w:val="single" w:sz="8" w:space="0" w:color="000000"/>
            </w:tcBorders>
          </w:tcPr>
          <w:p w14:paraId="0DFDD301" w14:textId="77777777" w:rsidR="00046465" w:rsidRDefault="008134EB">
            <w:pPr>
              <w:pStyle w:val="TableParagraph"/>
              <w:spacing w:before="119"/>
              <w:ind w:left="554"/>
            </w:pPr>
            <w:r>
              <w:t>3.</w:t>
            </w:r>
            <w:r>
              <w:rPr>
                <w:spacing w:val="72"/>
                <w:w w:val="150"/>
              </w:rPr>
              <w:t xml:space="preserve"> </w:t>
            </w:r>
            <w:r>
              <w:t>Did</w:t>
            </w:r>
            <w:r>
              <w:rPr>
                <w:spacing w:val="-5"/>
              </w:rPr>
              <w:t xml:space="preserve"> </w:t>
            </w:r>
            <w:r>
              <w:t>the</w:t>
            </w:r>
            <w:r>
              <w:rPr>
                <w:spacing w:val="-4"/>
              </w:rPr>
              <w:t xml:space="preserve"> </w:t>
            </w:r>
            <w:r>
              <w:t>assistant</w:t>
            </w:r>
            <w:r>
              <w:rPr>
                <w:spacing w:val="-4"/>
              </w:rPr>
              <w:t xml:space="preserve"> </w:t>
            </w:r>
            <w:r>
              <w:t>director</w:t>
            </w:r>
            <w:r>
              <w:rPr>
                <w:spacing w:val="-4"/>
              </w:rPr>
              <w:t xml:space="preserve"> </w:t>
            </w:r>
            <w:r>
              <w:t>review</w:t>
            </w:r>
            <w:r>
              <w:rPr>
                <w:spacing w:val="-6"/>
              </w:rPr>
              <w:t xml:space="preserve"> </w:t>
            </w:r>
            <w:r>
              <w:rPr>
                <w:spacing w:val="-5"/>
              </w:rPr>
              <w:t>the</w:t>
            </w:r>
          </w:p>
        </w:tc>
        <w:tc>
          <w:tcPr>
            <w:tcW w:w="720" w:type="dxa"/>
            <w:tcBorders>
              <w:top w:val="single" w:sz="8" w:space="0" w:color="000000"/>
              <w:left w:val="single" w:sz="8" w:space="0" w:color="000000"/>
              <w:bottom w:val="single" w:sz="8" w:space="0" w:color="000000"/>
              <w:right w:val="single" w:sz="8" w:space="0" w:color="000000"/>
            </w:tcBorders>
            <w:shd w:val="clear" w:color="auto" w:fill="BEBEBE"/>
          </w:tcPr>
          <w:p w14:paraId="0DFDD302"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shd w:val="clear" w:color="auto" w:fill="BEBEBE"/>
          </w:tcPr>
          <w:p w14:paraId="0DFDD303" w14:textId="77777777" w:rsidR="00046465" w:rsidRDefault="00046465">
            <w:pPr>
              <w:pStyle w:val="TableParagraph"/>
              <w:rPr>
                <w:rFonts w:ascii="Times New Roman"/>
                <w:sz w:val="20"/>
              </w:rPr>
            </w:pPr>
          </w:p>
        </w:tc>
      </w:tr>
    </w:tbl>
    <w:p w14:paraId="0DFDD305" w14:textId="77777777" w:rsidR="00046465" w:rsidRDefault="00046465">
      <w:pPr>
        <w:pStyle w:val="TableParagraph"/>
        <w:rPr>
          <w:rFonts w:ascii="Times New Roman"/>
          <w:sz w:val="20"/>
        </w:rPr>
        <w:sectPr w:rsidR="00046465">
          <w:pgSz w:w="12240" w:h="15840"/>
          <w:pgMar w:top="1340" w:right="720" w:bottom="940" w:left="360" w:header="721" w:footer="757" w:gutter="0"/>
          <w:cols w:space="720"/>
        </w:sectPr>
      </w:pPr>
    </w:p>
    <w:p w14:paraId="0DFDD306" w14:textId="77777777" w:rsidR="00046465" w:rsidRDefault="00046465">
      <w:pPr>
        <w:pStyle w:val="BodyText"/>
        <w:spacing w:before="9"/>
        <w:rPr>
          <w:sz w:val="11"/>
        </w:rPr>
      </w:pPr>
    </w:p>
    <w:tbl>
      <w:tblPr>
        <w:tblW w:w="0" w:type="auto"/>
        <w:tblInd w:w="112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446"/>
        <w:gridCol w:w="720"/>
        <w:gridCol w:w="1350"/>
      </w:tblGrid>
      <w:tr w:rsidR="00046465" w14:paraId="0DFDD30E" w14:textId="77777777">
        <w:trPr>
          <w:trHeight w:val="999"/>
        </w:trPr>
        <w:tc>
          <w:tcPr>
            <w:tcW w:w="7446" w:type="dxa"/>
            <w:tcBorders>
              <w:bottom w:val="double" w:sz="4" w:space="0" w:color="000000"/>
              <w:right w:val="single" w:sz="8" w:space="0" w:color="000000"/>
            </w:tcBorders>
            <w:shd w:val="clear" w:color="auto" w:fill="A6A6A6"/>
          </w:tcPr>
          <w:p w14:paraId="0DFDD307" w14:textId="77777777" w:rsidR="00046465" w:rsidRDefault="00046465">
            <w:pPr>
              <w:pStyle w:val="TableParagraph"/>
              <w:rPr>
                <w:sz w:val="24"/>
              </w:rPr>
            </w:pPr>
          </w:p>
          <w:p w14:paraId="0DFDD308" w14:textId="77777777" w:rsidR="00046465" w:rsidRDefault="00046465">
            <w:pPr>
              <w:pStyle w:val="TableParagraph"/>
              <w:spacing w:before="72"/>
              <w:rPr>
                <w:sz w:val="24"/>
              </w:rPr>
            </w:pPr>
          </w:p>
          <w:p w14:paraId="0DFDD309" w14:textId="77777777" w:rsidR="00046465" w:rsidRDefault="008134EB">
            <w:pPr>
              <w:pStyle w:val="TableParagraph"/>
              <w:spacing w:before="1"/>
              <w:ind w:left="104"/>
              <w:rPr>
                <w:b/>
                <w:sz w:val="24"/>
              </w:rPr>
            </w:pPr>
            <w:r>
              <w:rPr>
                <w:b/>
                <w:sz w:val="24"/>
              </w:rPr>
              <w:t>Section</w:t>
            </w:r>
            <w:r>
              <w:rPr>
                <w:b/>
                <w:spacing w:val="-3"/>
                <w:sz w:val="24"/>
              </w:rPr>
              <w:t xml:space="preserve"> </w:t>
            </w:r>
            <w:r>
              <w:rPr>
                <w:b/>
                <w:sz w:val="24"/>
              </w:rPr>
              <w:t>V:</w:t>
            </w:r>
            <w:r>
              <w:rPr>
                <w:b/>
                <w:spacing w:val="-2"/>
                <w:sz w:val="24"/>
              </w:rPr>
              <w:t xml:space="preserve"> </w:t>
            </w:r>
            <w:r>
              <w:rPr>
                <w:b/>
                <w:sz w:val="24"/>
              </w:rPr>
              <w:t>GAO’s</w:t>
            </w:r>
            <w:r>
              <w:rPr>
                <w:b/>
                <w:spacing w:val="-3"/>
                <w:sz w:val="24"/>
              </w:rPr>
              <w:t xml:space="preserve"> </w:t>
            </w:r>
            <w:r>
              <w:rPr>
                <w:b/>
                <w:sz w:val="24"/>
              </w:rPr>
              <w:t>Quality</w:t>
            </w:r>
            <w:r>
              <w:rPr>
                <w:b/>
                <w:spacing w:val="-3"/>
                <w:sz w:val="24"/>
              </w:rPr>
              <w:t xml:space="preserve"> </w:t>
            </w:r>
            <w:r>
              <w:rPr>
                <w:b/>
                <w:sz w:val="24"/>
              </w:rPr>
              <w:t>Control</w:t>
            </w:r>
            <w:r>
              <w:rPr>
                <w:b/>
                <w:spacing w:val="-2"/>
                <w:sz w:val="24"/>
              </w:rPr>
              <w:t xml:space="preserve"> </w:t>
            </w:r>
            <w:r>
              <w:rPr>
                <w:b/>
                <w:sz w:val="24"/>
              </w:rPr>
              <w:t>(GAO</w:t>
            </w:r>
            <w:r>
              <w:rPr>
                <w:b/>
                <w:spacing w:val="-1"/>
                <w:sz w:val="24"/>
              </w:rPr>
              <w:t xml:space="preserve"> </w:t>
            </w:r>
            <w:r>
              <w:rPr>
                <w:b/>
                <w:spacing w:val="-4"/>
                <w:sz w:val="24"/>
              </w:rPr>
              <w:t>Only)</w:t>
            </w:r>
          </w:p>
        </w:tc>
        <w:tc>
          <w:tcPr>
            <w:tcW w:w="720" w:type="dxa"/>
            <w:tcBorders>
              <w:left w:val="single" w:sz="8" w:space="0" w:color="000000"/>
              <w:bottom w:val="double" w:sz="4" w:space="0" w:color="000000"/>
              <w:right w:val="single" w:sz="8" w:space="0" w:color="000000"/>
            </w:tcBorders>
            <w:shd w:val="clear" w:color="auto" w:fill="A6A6A6"/>
          </w:tcPr>
          <w:p w14:paraId="0DFDD30A" w14:textId="77777777" w:rsidR="00046465" w:rsidRDefault="008134EB">
            <w:pPr>
              <w:pStyle w:val="TableParagraph"/>
              <w:spacing w:before="120"/>
              <w:ind w:left="137" w:right="115" w:hanging="8"/>
              <w:jc w:val="both"/>
              <w:rPr>
                <w:b/>
              </w:rPr>
            </w:pPr>
            <w:r>
              <w:rPr>
                <w:b/>
                <w:spacing w:val="-4"/>
              </w:rPr>
              <w:t>Yes, No,* N/A</w:t>
            </w:r>
          </w:p>
        </w:tc>
        <w:tc>
          <w:tcPr>
            <w:tcW w:w="1350" w:type="dxa"/>
            <w:tcBorders>
              <w:left w:val="single" w:sz="8" w:space="0" w:color="000000"/>
              <w:bottom w:val="double" w:sz="4" w:space="0" w:color="000000"/>
            </w:tcBorders>
            <w:shd w:val="clear" w:color="auto" w:fill="A6A6A6"/>
          </w:tcPr>
          <w:p w14:paraId="0DFDD30B" w14:textId="77777777" w:rsidR="00046465" w:rsidRDefault="00046465">
            <w:pPr>
              <w:pStyle w:val="TableParagraph"/>
            </w:pPr>
          </w:p>
          <w:p w14:paraId="0DFDD30C" w14:textId="77777777" w:rsidR="00046465" w:rsidRDefault="00046465">
            <w:pPr>
              <w:pStyle w:val="TableParagraph"/>
              <w:spacing w:before="120"/>
            </w:pPr>
          </w:p>
          <w:p w14:paraId="0DFDD30D"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312" w14:textId="77777777">
        <w:trPr>
          <w:trHeight w:val="493"/>
        </w:trPr>
        <w:tc>
          <w:tcPr>
            <w:tcW w:w="7446" w:type="dxa"/>
            <w:tcBorders>
              <w:top w:val="double" w:sz="4" w:space="0" w:color="000000"/>
              <w:bottom w:val="single" w:sz="8" w:space="0" w:color="000000"/>
              <w:right w:val="single" w:sz="6" w:space="0" w:color="000000"/>
            </w:tcBorders>
          </w:tcPr>
          <w:p w14:paraId="0DFDD30F" w14:textId="77777777" w:rsidR="00046465" w:rsidRDefault="008134EB">
            <w:pPr>
              <w:pStyle w:val="TableParagraph"/>
              <w:tabs>
                <w:tab w:val="left" w:pos="1334"/>
              </w:tabs>
              <w:spacing w:before="120"/>
              <w:ind w:left="925"/>
            </w:pPr>
            <w:r>
              <w:rPr>
                <w:spacing w:val="-5"/>
              </w:rPr>
              <w:t>a.</w:t>
            </w:r>
            <w:r>
              <w:tab/>
              <w:t>entity</w:t>
            </w:r>
            <w:r>
              <w:rPr>
                <w:spacing w:val="-7"/>
              </w:rPr>
              <w:t xml:space="preserve"> </w:t>
            </w:r>
            <w:r>
              <w:t>profile</w:t>
            </w:r>
            <w:r>
              <w:rPr>
                <w:spacing w:val="-7"/>
              </w:rPr>
              <w:t xml:space="preserve"> </w:t>
            </w:r>
            <w:r>
              <w:t>(FAM</w:t>
            </w:r>
            <w:r>
              <w:rPr>
                <w:spacing w:val="-7"/>
              </w:rPr>
              <w:t xml:space="preserve"> </w:t>
            </w:r>
            <w:r>
              <w:rPr>
                <w:spacing w:val="-2"/>
              </w:rPr>
              <w:t>290);</w:t>
            </w:r>
          </w:p>
        </w:tc>
        <w:tc>
          <w:tcPr>
            <w:tcW w:w="720" w:type="dxa"/>
            <w:tcBorders>
              <w:top w:val="double" w:sz="4" w:space="0" w:color="000000"/>
              <w:left w:val="single" w:sz="6" w:space="0" w:color="000000"/>
              <w:bottom w:val="single" w:sz="8" w:space="0" w:color="000000"/>
              <w:right w:val="single" w:sz="6" w:space="0" w:color="000000"/>
            </w:tcBorders>
          </w:tcPr>
          <w:p w14:paraId="0DFDD310" w14:textId="77777777" w:rsidR="00046465" w:rsidRDefault="00046465">
            <w:pPr>
              <w:pStyle w:val="TableParagraph"/>
              <w:rPr>
                <w:rFonts w:ascii="Times New Roman"/>
                <w:sz w:val="20"/>
              </w:rPr>
            </w:pPr>
          </w:p>
        </w:tc>
        <w:tc>
          <w:tcPr>
            <w:tcW w:w="1350" w:type="dxa"/>
            <w:tcBorders>
              <w:top w:val="double" w:sz="4" w:space="0" w:color="000000"/>
              <w:left w:val="single" w:sz="6" w:space="0" w:color="000000"/>
              <w:bottom w:val="single" w:sz="8" w:space="0" w:color="000000"/>
            </w:tcBorders>
          </w:tcPr>
          <w:p w14:paraId="0DFDD311" w14:textId="77777777" w:rsidR="00046465" w:rsidRDefault="00046465">
            <w:pPr>
              <w:pStyle w:val="TableParagraph"/>
              <w:rPr>
                <w:rFonts w:ascii="Times New Roman"/>
                <w:sz w:val="20"/>
              </w:rPr>
            </w:pPr>
          </w:p>
        </w:tc>
      </w:tr>
      <w:tr w:rsidR="00046465" w14:paraId="0DFDD316" w14:textId="77777777">
        <w:trPr>
          <w:trHeight w:val="492"/>
        </w:trPr>
        <w:tc>
          <w:tcPr>
            <w:tcW w:w="7446" w:type="dxa"/>
            <w:tcBorders>
              <w:top w:val="single" w:sz="8" w:space="0" w:color="000000"/>
              <w:bottom w:val="single" w:sz="8" w:space="0" w:color="000000"/>
              <w:right w:val="single" w:sz="6" w:space="0" w:color="000000"/>
            </w:tcBorders>
          </w:tcPr>
          <w:p w14:paraId="0DFDD313" w14:textId="77777777" w:rsidR="00046465" w:rsidRDefault="008134EB">
            <w:pPr>
              <w:pStyle w:val="TableParagraph"/>
              <w:tabs>
                <w:tab w:val="left" w:pos="1310"/>
              </w:tabs>
              <w:spacing w:before="119"/>
              <w:ind w:left="925"/>
            </w:pPr>
            <w:r>
              <w:rPr>
                <w:spacing w:val="-5"/>
              </w:rPr>
              <w:t>b.</w:t>
            </w:r>
            <w:r>
              <w:tab/>
              <w:t>audit</w:t>
            </w:r>
            <w:r>
              <w:rPr>
                <w:spacing w:val="-8"/>
              </w:rPr>
              <w:t xml:space="preserve"> </w:t>
            </w:r>
            <w:r>
              <w:t>strategy,</w:t>
            </w:r>
            <w:r>
              <w:rPr>
                <w:spacing w:val="-8"/>
              </w:rPr>
              <w:t xml:space="preserve"> </w:t>
            </w:r>
            <w:r>
              <w:t>including</w:t>
            </w:r>
            <w:r>
              <w:rPr>
                <w:spacing w:val="-9"/>
              </w:rPr>
              <w:t xml:space="preserve"> </w:t>
            </w:r>
            <w:r>
              <w:t>audit</w:t>
            </w:r>
            <w:r>
              <w:rPr>
                <w:spacing w:val="-8"/>
              </w:rPr>
              <w:t xml:space="preserve"> </w:t>
            </w:r>
            <w:r>
              <w:t>sampling</w:t>
            </w:r>
            <w:r>
              <w:rPr>
                <w:spacing w:val="-8"/>
              </w:rPr>
              <w:t xml:space="preserve"> </w:t>
            </w:r>
            <w:r>
              <w:t>approach</w:t>
            </w:r>
            <w:r>
              <w:rPr>
                <w:spacing w:val="-9"/>
              </w:rPr>
              <w:t xml:space="preserve"> </w:t>
            </w:r>
            <w:r>
              <w:t>(FAM</w:t>
            </w:r>
            <w:r>
              <w:rPr>
                <w:spacing w:val="-9"/>
              </w:rPr>
              <w:t xml:space="preserve"> </w:t>
            </w:r>
            <w:r>
              <w:rPr>
                <w:spacing w:val="-2"/>
              </w:rPr>
              <w:t>290);</w:t>
            </w:r>
          </w:p>
        </w:tc>
        <w:tc>
          <w:tcPr>
            <w:tcW w:w="720" w:type="dxa"/>
            <w:tcBorders>
              <w:top w:val="single" w:sz="8" w:space="0" w:color="000000"/>
              <w:left w:val="single" w:sz="6" w:space="0" w:color="000000"/>
              <w:bottom w:val="single" w:sz="8" w:space="0" w:color="000000"/>
              <w:right w:val="single" w:sz="6" w:space="0" w:color="000000"/>
            </w:tcBorders>
          </w:tcPr>
          <w:p w14:paraId="0DFDD314"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8" w:space="0" w:color="000000"/>
            </w:tcBorders>
          </w:tcPr>
          <w:p w14:paraId="0DFDD315" w14:textId="77777777" w:rsidR="00046465" w:rsidRDefault="00046465">
            <w:pPr>
              <w:pStyle w:val="TableParagraph"/>
              <w:rPr>
                <w:rFonts w:ascii="Times New Roman"/>
                <w:sz w:val="20"/>
              </w:rPr>
            </w:pPr>
          </w:p>
        </w:tc>
      </w:tr>
      <w:tr w:rsidR="00046465" w14:paraId="0DFDD31A" w14:textId="77777777">
        <w:trPr>
          <w:trHeight w:val="493"/>
        </w:trPr>
        <w:tc>
          <w:tcPr>
            <w:tcW w:w="7446" w:type="dxa"/>
            <w:tcBorders>
              <w:top w:val="single" w:sz="8" w:space="0" w:color="000000"/>
              <w:bottom w:val="single" w:sz="8" w:space="0" w:color="000000"/>
              <w:right w:val="single" w:sz="6" w:space="0" w:color="000000"/>
            </w:tcBorders>
          </w:tcPr>
          <w:p w14:paraId="0DFDD317" w14:textId="77777777" w:rsidR="00046465" w:rsidRDefault="008134EB">
            <w:pPr>
              <w:pStyle w:val="TableParagraph"/>
              <w:tabs>
                <w:tab w:val="left" w:pos="1334"/>
              </w:tabs>
              <w:spacing w:before="121"/>
              <w:ind w:left="925"/>
            </w:pPr>
            <w:r>
              <w:rPr>
                <w:spacing w:val="-5"/>
              </w:rPr>
              <w:t>c.</w:t>
            </w:r>
            <w:r>
              <w:tab/>
              <w:t>LIRA</w:t>
            </w:r>
            <w:r>
              <w:rPr>
                <w:spacing w:val="-7"/>
              </w:rPr>
              <w:t xml:space="preserve"> </w:t>
            </w:r>
            <w:r>
              <w:t>forms</w:t>
            </w:r>
            <w:r>
              <w:rPr>
                <w:spacing w:val="-5"/>
              </w:rPr>
              <w:t xml:space="preserve"> </w:t>
            </w:r>
            <w:r>
              <w:t>(FAM</w:t>
            </w:r>
            <w:r>
              <w:rPr>
                <w:spacing w:val="-7"/>
              </w:rPr>
              <w:t xml:space="preserve"> </w:t>
            </w:r>
            <w:r>
              <w:rPr>
                <w:spacing w:val="-2"/>
              </w:rPr>
              <w:t>290);</w:t>
            </w:r>
          </w:p>
        </w:tc>
        <w:tc>
          <w:tcPr>
            <w:tcW w:w="720" w:type="dxa"/>
            <w:tcBorders>
              <w:top w:val="single" w:sz="8" w:space="0" w:color="000000"/>
              <w:left w:val="single" w:sz="6" w:space="0" w:color="000000"/>
              <w:bottom w:val="single" w:sz="8" w:space="0" w:color="000000"/>
              <w:right w:val="single" w:sz="6" w:space="0" w:color="000000"/>
            </w:tcBorders>
          </w:tcPr>
          <w:p w14:paraId="0DFDD318"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8" w:space="0" w:color="000000"/>
            </w:tcBorders>
          </w:tcPr>
          <w:p w14:paraId="0DFDD319" w14:textId="77777777" w:rsidR="00046465" w:rsidRDefault="00046465">
            <w:pPr>
              <w:pStyle w:val="TableParagraph"/>
              <w:rPr>
                <w:rFonts w:ascii="Times New Roman"/>
                <w:sz w:val="20"/>
              </w:rPr>
            </w:pPr>
          </w:p>
        </w:tc>
      </w:tr>
      <w:tr w:rsidR="00046465" w14:paraId="0DFDD31E" w14:textId="77777777">
        <w:trPr>
          <w:trHeight w:val="492"/>
        </w:trPr>
        <w:tc>
          <w:tcPr>
            <w:tcW w:w="7446" w:type="dxa"/>
            <w:tcBorders>
              <w:top w:val="single" w:sz="8" w:space="0" w:color="000000"/>
              <w:bottom w:val="single" w:sz="8" w:space="0" w:color="000000"/>
              <w:right w:val="single" w:sz="6" w:space="0" w:color="000000"/>
            </w:tcBorders>
          </w:tcPr>
          <w:p w14:paraId="0DFDD31B" w14:textId="77777777" w:rsidR="00046465" w:rsidRDefault="008134EB">
            <w:pPr>
              <w:pStyle w:val="TableParagraph"/>
              <w:tabs>
                <w:tab w:val="left" w:pos="1334"/>
              </w:tabs>
              <w:spacing w:before="119"/>
              <w:ind w:left="925"/>
            </w:pPr>
            <w:r>
              <w:rPr>
                <w:spacing w:val="-5"/>
              </w:rPr>
              <w:t>d.</w:t>
            </w:r>
            <w:r>
              <w:tab/>
              <w:t>initial</w:t>
            </w:r>
            <w:r>
              <w:rPr>
                <w:spacing w:val="-7"/>
              </w:rPr>
              <w:t xml:space="preserve"> </w:t>
            </w:r>
            <w:r>
              <w:t>audit</w:t>
            </w:r>
            <w:r>
              <w:rPr>
                <w:spacing w:val="-7"/>
              </w:rPr>
              <w:t xml:space="preserve"> </w:t>
            </w:r>
            <w:r>
              <w:t>plan</w:t>
            </w:r>
            <w:r>
              <w:rPr>
                <w:spacing w:val="-7"/>
              </w:rPr>
              <w:t xml:space="preserve"> </w:t>
            </w:r>
            <w:r>
              <w:t>with</w:t>
            </w:r>
            <w:r>
              <w:rPr>
                <w:spacing w:val="-6"/>
              </w:rPr>
              <w:t xml:space="preserve"> </w:t>
            </w:r>
            <w:r>
              <w:t>procedures</w:t>
            </w:r>
            <w:r>
              <w:rPr>
                <w:spacing w:val="-7"/>
              </w:rPr>
              <w:t xml:space="preserve"> </w:t>
            </w:r>
            <w:r>
              <w:t>(FAM</w:t>
            </w:r>
            <w:r>
              <w:rPr>
                <w:spacing w:val="-8"/>
              </w:rPr>
              <w:t xml:space="preserve"> </w:t>
            </w:r>
            <w:r>
              <w:rPr>
                <w:spacing w:val="-2"/>
              </w:rPr>
              <w:t>290);</w:t>
            </w:r>
          </w:p>
        </w:tc>
        <w:tc>
          <w:tcPr>
            <w:tcW w:w="720" w:type="dxa"/>
            <w:tcBorders>
              <w:top w:val="single" w:sz="8" w:space="0" w:color="000000"/>
              <w:left w:val="single" w:sz="6" w:space="0" w:color="000000"/>
              <w:bottom w:val="single" w:sz="8" w:space="0" w:color="000000"/>
              <w:right w:val="single" w:sz="6" w:space="0" w:color="000000"/>
            </w:tcBorders>
          </w:tcPr>
          <w:p w14:paraId="0DFDD31C"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8" w:space="0" w:color="000000"/>
            </w:tcBorders>
          </w:tcPr>
          <w:p w14:paraId="0DFDD31D" w14:textId="77777777" w:rsidR="00046465" w:rsidRDefault="00046465">
            <w:pPr>
              <w:pStyle w:val="TableParagraph"/>
              <w:rPr>
                <w:rFonts w:ascii="Times New Roman"/>
                <w:sz w:val="20"/>
              </w:rPr>
            </w:pPr>
          </w:p>
        </w:tc>
      </w:tr>
      <w:tr w:rsidR="00046465" w14:paraId="0DFDD322" w14:textId="77777777">
        <w:trPr>
          <w:trHeight w:val="493"/>
        </w:trPr>
        <w:tc>
          <w:tcPr>
            <w:tcW w:w="7446" w:type="dxa"/>
            <w:tcBorders>
              <w:top w:val="single" w:sz="8" w:space="0" w:color="000000"/>
              <w:bottom w:val="single" w:sz="8" w:space="0" w:color="000000"/>
              <w:right w:val="single" w:sz="6" w:space="0" w:color="000000"/>
            </w:tcBorders>
          </w:tcPr>
          <w:p w14:paraId="0DFDD31F" w14:textId="77777777" w:rsidR="00046465" w:rsidRDefault="008134EB">
            <w:pPr>
              <w:pStyle w:val="TableParagraph"/>
              <w:tabs>
                <w:tab w:val="left" w:pos="1334"/>
              </w:tabs>
              <w:spacing w:before="121"/>
              <w:ind w:left="925"/>
            </w:pPr>
            <w:r>
              <w:rPr>
                <w:spacing w:val="-5"/>
              </w:rPr>
              <w:t>e.</w:t>
            </w:r>
            <w:r>
              <w:tab/>
              <w:t>line</w:t>
            </w:r>
            <w:r>
              <w:rPr>
                <w:spacing w:val="-8"/>
              </w:rPr>
              <w:t xml:space="preserve"> </w:t>
            </w:r>
            <w:r>
              <w:t>item/account</w:t>
            </w:r>
            <w:r>
              <w:rPr>
                <w:spacing w:val="-7"/>
              </w:rPr>
              <w:t xml:space="preserve"> </w:t>
            </w:r>
            <w:r>
              <w:t>lead</w:t>
            </w:r>
            <w:r>
              <w:rPr>
                <w:spacing w:val="-8"/>
              </w:rPr>
              <w:t xml:space="preserve"> </w:t>
            </w:r>
            <w:r>
              <w:rPr>
                <w:spacing w:val="-2"/>
              </w:rPr>
              <w:t>schedules;</w:t>
            </w:r>
          </w:p>
        </w:tc>
        <w:tc>
          <w:tcPr>
            <w:tcW w:w="720" w:type="dxa"/>
            <w:tcBorders>
              <w:top w:val="single" w:sz="8" w:space="0" w:color="000000"/>
              <w:left w:val="single" w:sz="6" w:space="0" w:color="000000"/>
              <w:bottom w:val="single" w:sz="8" w:space="0" w:color="000000"/>
              <w:right w:val="single" w:sz="6" w:space="0" w:color="000000"/>
            </w:tcBorders>
          </w:tcPr>
          <w:p w14:paraId="0DFDD320"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8" w:space="0" w:color="000000"/>
            </w:tcBorders>
          </w:tcPr>
          <w:p w14:paraId="0DFDD321" w14:textId="77777777" w:rsidR="00046465" w:rsidRDefault="00046465">
            <w:pPr>
              <w:pStyle w:val="TableParagraph"/>
              <w:rPr>
                <w:rFonts w:ascii="Times New Roman"/>
                <w:sz w:val="20"/>
              </w:rPr>
            </w:pPr>
          </w:p>
        </w:tc>
      </w:tr>
      <w:tr w:rsidR="00046465" w14:paraId="0DFDD326" w14:textId="77777777">
        <w:trPr>
          <w:trHeight w:val="492"/>
        </w:trPr>
        <w:tc>
          <w:tcPr>
            <w:tcW w:w="7446" w:type="dxa"/>
            <w:tcBorders>
              <w:top w:val="single" w:sz="8" w:space="0" w:color="000000"/>
              <w:bottom w:val="single" w:sz="8" w:space="0" w:color="000000"/>
              <w:right w:val="single" w:sz="6" w:space="0" w:color="000000"/>
            </w:tcBorders>
          </w:tcPr>
          <w:p w14:paraId="0DFDD323" w14:textId="77777777" w:rsidR="00046465" w:rsidRDefault="008134EB">
            <w:pPr>
              <w:pStyle w:val="TableParagraph"/>
              <w:tabs>
                <w:tab w:val="left" w:pos="1334"/>
              </w:tabs>
              <w:spacing w:before="119"/>
              <w:ind w:left="925"/>
            </w:pPr>
            <w:r>
              <w:rPr>
                <w:spacing w:val="-5"/>
              </w:rPr>
              <w:t>f.</w:t>
            </w:r>
            <w:r>
              <w:tab/>
              <w:t>completed</w:t>
            </w:r>
            <w:r>
              <w:rPr>
                <w:spacing w:val="-8"/>
              </w:rPr>
              <w:t xml:space="preserve"> </w:t>
            </w:r>
            <w:r>
              <w:t>audit</w:t>
            </w:r>
            <w:r>
              <w:rPr>
                <w:spacing w:val="-7"/>
              </w:rPr>
              <w:t xml:space="preserve"> </w:t>
            </w:r>
            <w:r>
              <w:t>plan</w:t>
            </w:r>
            <w:r>
              <w:rPr>
                <w:spacing w:val="-8"/>
              </w:rPr>
              <w:t xml:space="preserve"> </w:t>
            </w:r>
            <w:r>
              <w:t>with</w:t>
            </w:r>
            <w:r>
              <w:rPr>
                <w:spacing w:val="-7"/>
              </w:rPr>
              <w:t xml:space="preserve"> </w:t>
            </w:r>
            <w:r>
              <w:t>procedures</w:t>
            </w:r>
            <w:r>
              <w:rPr>
                <w:spacing w:val="-8"/>
              </w:rPr>
              <w:t xml:space="preserve"> </w:t>
            </w:r>
            <w:r>
              <w:t>(FAM</w:t>
            </w:r>
            <w:r>
              <w:rPr>
                <w:spacing w:val="-8"/>
              </w:rPr>
              <w:t xml:space="preserve"> </w:t>
            </w:r>
            <w:r>
              <w:rPr>
                <w:spacing w:val="-2"/>
              </w:rPr>
              <w:t>290);</w:t>
            </w:r>
          </w:p>
        </w:tc>
        <w:tc>
          <w:tcPr>
            <w:tcW w:w="720" w:type="dxa"/>
            <w:tcBorders>
              <w:top w:val="single" w:sz="8" w:space="0" w:color="000000"/>
              <w:left w:val="single" w:sz="6" w:space="0" w:color="000000"/>
              <w:bottom w:val="single" w:sz="8" w:space="0" w:color="000000"/>
              <w:right w:val="single" w:sz="6" w:space="0" w:color="000000"/>
            </w:tcBorders>
          </w:tcPr>
          <w:p w14:paraId="0DFDD324"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8" w:space="0" w:color="000000"/>
            </w:tcBorders>
          </w:tcPr>
          <w:p w14:paraId="0DFDD325" w14:textId="77777777" w:rsidR="00046465" w:rsidRDefault="00046465">
            <w:pPr>
              <w:pStyle w:val="TableParagraph"/>
              <w:rPr>
                <w:rFonts w:ascii="Times New Roman"/>
                <w:sz w:val="20"/>
              </w:rPr>
            </w:pPr>
          </w:p>
        </w:tc>
      </w:tr>
      <w:tr w:rsidR="00046465" w14:paraId="0DFDD32A" w14:textId="77777777">
        <w:trPr>
          <w:trHeight w:val="493"/>
        </w:trPr>
        <w:tc>
          <w:tcPr>
            <w:tcW w:w="7446" w:type="dxa"/>
            <w:tcBorders>
              <w:top w:val="single" w:sz="8" w:space="0" w:color="000000"/>
              <w:bottom w:val="single" w:sz="8" w:space="0" w:color="000000"/>
              <w:right w:val="single" w:sz="6" w:space="0" w:color="000000"/>
            </w:tcBorders>
          </w:tcPr>
          <w:p w14:paraId="0DFDD327" w14:textId="77777777" w:rsidR="00046465" w:rsidRDefault="008134EB">
            <w:pPr>
              <w:pStyle w:val="TableParagraph"/>
              <w:tabs>
                <w:tab w:val="left" w:pos="1334"/>
              </w:tabs>
              <w:spacing w:before="121"/>
              <w:ind w:left="925"/>
            </w:pPr>
            <w:r>
              <w:rPr>
                <w:spacing w:val="-5"/>
              </w:rPr>
              <w:t>g.</w:t>
            </w:r>
            <w:r>
              <w:tab/>
              <w:t>SCE</w:t>
            </w:r>
            <w:r>
              <w:rPr>
                <w:spacing w:val="-9"/>
              </w:rPr>
              <w:t xml:space="preserve"> </w:t>
            </w:r>
            <w:r>
              <w:t>worksheets</w:t>
            </w:r>
            <w:r>
              <w:rPr>
                <w:spacing w:val="-8"/>
              </w:rPr>
              <w:t xml:space="preserve"> </w:t>
            </w:r>
            <w:r>
              <w:t>(FAM</w:t>
            </w:r>
            <w:r>
              <w:rPr>
                <w:spacing w:val="-9"/>
              </w:rPr>
              <w:t xml:space="preserve"> </w:t>
            </w:r>
            <w:r>
              <w:rPr>
                <w:spacing w:val="-2"/>
              </w:rPr>
              <w:t>390);</w:t>
            </w:r>
          </w:p>
        </w:tc>
        <w:tc>
          <w:tcPr>
            <w:tcW w:w="720" w:type="dxa"/>
            <w:tcBorders>
              <w:top w:val="single" w:sz="8" w:space="0" w:color="000000"/>
              <w:left w:val="single" w:sz="6" w:space="0" w:color="000000"/>
              <w:bottom w:val="single" w:sz="8" w:space="0" w:color="000000"/>
              <w:right w:val="single" w:sz="6" w:space="0" w:color="000000"/>
            </w:tcBorders>
          </w:tcPr>
          <w:p w14:paraId="0DFDD328"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8" w:space="0" w:color="000000"/>
            </w:tcBorders>
          </w:tcPr>
          <w:p w14:paraId="0DFDD329" w14:textId="77777777" w:rsidR="00046465" w:rsidRDefault="00046465">
            <w:pPr>
              <w:pStyle w:val="TableParagraph"/>
              <w:rPr>
                <w:rFonts w:ascii="Times New Roman"/>
                <w:sz w:val="20"/>
              </w:rPr>
            </w:pPr>
          </w:p>
        </w:tc>
      </w:tr>
      <w:tr w:rsidR="00046465" w14:paraId="0DFDD32E" w14:textId="77777777">
        <w:trPr>
          <w:trHeight w:val="492"/>
        </w:trPr>
        <w:tc>
          <w:tcPr>
            <w:tcW w:w="7446" w:type="dxa"/>
            <w:tcBorders>
              <w:top w:val="single" w:sz="8" w:space="0" w:color="000000"/>
              <w:bottom w:val="single" w:sz="8" w:space="0" w:color="000000"/>
              <w:right w:val="single" w:sz="6" w:space="0" w:color="000000"/>
            </w:tcBorders>
          </w:tcPr>
          <w:p w14:paraId="0DFDD32B" w14:textId="77777777" w:rsidR="00046465" w:rsidRDefault="008134EB">
            <w:pPr>
              <w:pStyle w:val="TableParagraph"/>
              <w:tabs>
                <w:tab w:val="left" w:pos="1334"/>
              </w:tabs>
              <w:spacing w:before="119"/>
              <w:ind w:left="925"/>
            </w:pPr>
            <w:r>
              <w:rPr>
                <w:spacing w:val="-5"/>
              </w:rPr>
              <w:t>h.</w:t>
            </w:r>
            <w:r>
              <w:tab/>
              <w:t>cycle</w:t>
            </w:r>
            <w:r>
              <w:rPr>
                <w:spacing w:val="-9"/>
              </w:rPr>
              <w:t xml:space="preserve"> </w:t>
            </w:r>
            <w:r>
              <w:t>summary</w:t>
            </w:r>
            <w:r>
              <w:rPr>
                <w:spacing w:val="-7"/>
              </w:rPr>
              <w:t xml:space="preserve"> </w:t>
            </w:r>
            <w:r>
              <w:t>memos</w:t>
            </w:r>
            <w:r>
              <w:rPr>
                <w:spacing w:val="-8"/>
              </w:rPr>
              <w:t xml:space="preserve"> </w:t>
            </w:r>
            <w:r>
              <w:t>(FAM</w:t>
            </w:r>
            <w:r>
              <w:rPr>
                <w:spacing w:val="-8"/>
              </w:rPr>
              <w:t xml:space="preserve"> </w:t>
            </w:r>
            <w:r>
              <w:rPr>
                <w:spacing w:val="-2"/>
              </w:rPr>
              <w:t>490);</w:t>
            </w:r>
          </w:p>
        </w:tc>
        <w:tc>
          <w:tcPr>
            <w:tcW w:w="720" w:type="dxa"/>
            <w:tcBorders>
              <w:top w:val="single" w:sz="8" w:space="0" w:color="000000"/>
              <w:left w:val="single" w:sz="6" w:space="0" w:color="000000"/>
              <w:bottom w:val="single" w:sz="8" w:space="0" w:color="000000"/>
              <w:right w:val="single" w:sz="6" w:space="0" w:color="000000"/>
            </w:tcBorders>
          </w:tcPr>
          <w:p w14:paraId="0DFDD32C"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8" w:space="0" w:color="000000"/>
            </w:tcBorders>
          </w:tcPr>
          <w:p w14:paraId="0DFDD32D" w14:textId="77777777" w:rsidR="00046465" w:rsidRDefault="00046465">
            <w:pPr>
              <w:pStyle w:val="TableParagraph"/>
              <w:rPr>
                <w:rFonts w:ascii="Times New Roman"/>
                <w:sz w:val="20"/>
              </w:rPr>
            </w:pPr>
          </w:p>
        </w:tc>
      </w:tr>
      <w:tr w:rsidR="00046465" w14:paraId="0DFDD332" w14:textId="77777777">
        <w:trPr>
          <w:trHeight w:val="493"/>
        </w:trPr>
        <w:tc>
          <w:tcPr>
            <w:tcW w:w="7446" w:type="dxa"/>
            <w:tcBorders>
              <w:top w:val="single" w:sz="8" w:space="0" w:color="000000"/>
              <w:bottom w:val="single" w:sz="8" w:space="0" w:color="000000"/>
              <w:right w:val="single" w:sz="6" w:space="0" w:color="000000"/>
            </w:tcBorders>
          </w:tcPr>
          <w:p w14:paraId="0DFDD32F" w14:textId="77777777" w:rsidR="00046465" w:rsidRDefault="008134EB">
            <w:pPr>
              <w:pStyle w:val="TableParagraph"/>
              <w:tabs>
                <w:tab w:val="left" w:pos="1334"/>
              </w:tabs>
              <w:spacing w:before="121"/>
              <w:ind w:left="925"/>
            </w:pPr>
            <w:r>
              <w:rPr>
                <w:spacing w:val="-5"/>
              </w:rPr>
              <w:t>i.</w:t>
            </w:r>
            <w:r>
              <w:tab/>
              <w:t>audit</w:t>
            </w:r>
            <w:r>
              <w:rPr>
                <w:spacing w:val="-9"/>
              </w:rPr>
              <w:t xml:space="preserve"> </w:t>
            </w:r>
            <w:r>
              <w:t>summary</w:t>
            </w:r>
            <w:r>
              <w:rPr>
                <w:spacing w:val="-9"/>
              </w:rPr>
              <w:t xml:space="preserve"> </w:t>
            </w:r>
            <w:r>
              <w:t>memorandum</w:t>
            </w:r>
            <w:r>
              <w:rPr>
                <w:spacing w:val="-9"/>
              </w:rPr>
              <w:t xml:space="preserve"> </w:t>
            </w:r>
            <w:r>
              <w:t>(FAM</w:t>
            </w:r>
            <w:r>
              <w:rPr>
                <w:spacing w:val="-9"/>
              </w:rPr>
              <w:t xml:space="preserve"> </w:t>
            </w:r>
            <w:r>
              <w:rPr>
                <w:spacing w:val="-2"/>
              </w:rPr>
              <w:t>590);</w:t>
            </w:r>
          </w:p>
        </w:tc>
        <w:tc>
          <w:tcPr>
            <w:tcW w:w="720" w:type="dxa"/>
            <w:tcBorders>
              <w:top w:val="single" w:sz="8" w:space="0" w:color="000000"/>
              <w:left w:val="single" w:sz="6" w:space="0" w:color="000000"/>
              <w:bottom w:val="single" w:sz="8" w:space="0" w:color="000000"/>
              <w:right w:val="single" w:sz="6" w:space="0" w:color="000000"/>
            </w:tcBorders>
          </w:tcPr>
          <w:p w14:paraId="0DFDD330"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8" w:space="0" w:color="000000"/>
            </w:tcBorders>
          </w:tcPr>
          <w:p w14:paraId="0DFDD331" w14:textId="77777777" w:rsidR="00046465" w:rsidRDefault="00046465">
            <w:pPr>
              <w:pStyle w:val="TableParagraph"/>
              <w:rPr>
                <w:rFonts w:ascii="Times New Roman"/>
                <w:sz w:val="20"/>
              </w:rPr>
            </w:pPr>
          </w:p>
        </w:tc>
      </w:tr>
      <w:tr w:rsidR="00046465" w14:paraId="0DFDD336" w14:textId="77777777">
        <w:trPr>
          <w:trHeight w:val="2010"/>
        </w:trPr>
        <w:tc>
          <w:tcPr>
            <w:tcW w:w="7446" w:type="dxa"/>
            <w:tcBorders>
              <w:top w:val="single" w:sz="8" w:space="0" w:color="000000"/>
              <w:bottom w:val="single" w:sz="8" w:space="0" w:color="000000"/>
              <w:right w:val="single" w:sz="6" w:space="0" w:color="000000"/>
            </w:tcBorders>
          </w:tcPr>
          <w:p w14:paraId="0DFDD333" w14:textId="77777777" w:rsidR="00046465" w:rsidRDefault="008134EB">
            <w:pPr>
              <w:pStyle w:val="TableParagraph"/>
              <w:tabs>
                <w:tab w:val="left" w:pos="1310"/>
              </w:tabs>
              <w:spacing w:before="119"/>
              <w:ind w:left="1285" w:right="345" w:hanging="360"/>
            </w:pPr>
            <w:r>
              <w:rPr>
                <w:spacing w:val="-6"/>
              </w:rPr>
              <w:t>j.</w:t>
            </w:r>
            <w:r>
              <w:tab/>
            </w:r>
            <w:r>
              <w:tab/>
              <w:t>documentation used to evaluate whether the financial statements are presented in accordance with U.S. GAAP (e.g., Federal Financial Reporting Checklist for statements using U.S. GAAP promulgated by FASAB,</w:t>
            </w:r>
            <w:hyperlink w:anchor="_bookmark235" w:history="1">
              <w:r>
                <w:rPr>
                  <w:position w:val="7"/>
                  <w:sz w:val="14"/>
                </w:rPr>
                <w:t>21</w:t>
              </w:r>
            </w:hyperlink>
            <w:r>
              <w:rPr>
                <w:spacing w:val="40"/>
                <w:position w:val="7"/>
                <w:sz w:val="14"/>
              </w:rPr>
              <w:t xml:space="preserve"> </w:t>
            </w:r>
            <w:r>
              <w:t>financial reporting</w:t>
            </w:r>
            <w:r>
              <w:rPr>
                <w:spacing w:val="-6"/>
              </w:rPr>
              <w:t xml:space="preserve"> </w:t>
            </w:r>
            <w:r>
              <w:t>and</w:t>
            </w:r>
            <w:r>
              <w:rPr>
                <w:spacing w:val="-6"/>
              </w:rPr>
              <w:t xml:space="preserve"> </w:t>
            </w:r>
            <w:r>
              <w:t>disclosure</w:t>
            </w:r>
            <w:r>
              <w:rPr>
                <w:spacing w:val="-7"/>
              </w:rPr>
              <w:t xml:space="preserve"> </w:t>
            </w:r>
            <w:r>
              <w:t>checklist</w:t>
            </w:r>
            <w:r>
              <w:rPr>
                <w:spacing w:val="-6"/>
              </w:rPr>
              <w:t xml:space="preserve"> </w:t>
            </w:r>
            <w:r>
              <w:t>for</w:t>
            </w:r>
            <w:r>
              <w:rPr>
                <w:spacing w:val="-7"/>
              </w:rPr>
              <w:t xml:space="preserve"> </w:t>
            </w:r>
            <w:r>
              <w:t>statements</w:t>
            </w:r>
            <w:r>
              <w:rPr>
                <w:spacing w:val="-6"/>
              </w:rPr>
              <w:t xml:space="preserve"> </w:t>
            </w:r>
            <w:r>
              <w:t>using</w:t>
            </w:r>
            <w:r>
              <w:rPr>
                <w:spacing w:val="-6"/>
              </w:rPr>
              <w:t xml:space="preserve"> </w:t>
            </w:r>
            <w:r>
              <w:t>U.S. GAAP promulgated by Financial Accounting Standards Board, or an equivalent U.S. GAAP checklist);</w:t>
            </w:r>
          </w:p>
        </w:tc>
        <w:tc>
          <w:tcPr>
            <w:tcW w:w="720" w:type="dxa"/>
            <w:tcBorders>
              <w:top w:val="single" w:sz="8" w:space="0" w:color="000000"/>
              <w:left w:val="single" w:sz="6" w:space="0" w:color="000000"/>
              <w:bottom w:val="single" w:sz="8" w:space="0" w:color="000000"/>
              <w:right w:val="single" w:sz="6" w:space="0" w:color="000000"/>
            </w:tcBorders>
          </w:tcPr>
          <w:p w14:paraId="0DFDD334"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8" w:space="0" w:color="000000"/>
            </w:tcBorders>
          </w:tcPr>
          <w:p w14:paraId="0DFDD335" w14:textId="77777777" w:rsidR="00046465" w:rsidRDefault="00046465">
            <w:pPr>
              <w:pStyle w:val="TableParagraph"/>
              <w:rPr>
                <w:rFonts w:ascii="Times New Roman"/>
                <w:sz w:val="20"/>
              </w:rPr>
            </w:pPr>
          </w:p>
        </w:tc>
      </w:tr>
      <w:tr w:rsidR="00046465" w14:paraId="0DFDD33A" w14:textId="77777777">
        <w:trPr>
          <w:trHeight w:val="492"/>
        </w:trPr>
        <w:tc>
          <w:tcPr>
            <w:tcW w:w="7446" w:type="dxa"/>
            <w:tcBorders>
              <w:top w:val="single" w:sz="8" w:space="0" w:color="000000"/>
              <w:bottom w:val="single" w:sz="8" w:space="0" w:color="000000"/>
              <w:right w:val="single" w:sz="6" w:space="0" w:color="000000"/>
            </w:tcBorders>
          </w:tcPr>
          <w:p w14:paraId="0DFDD337" w14:textId="77777777" w:rsidR="00046465" w:rsidRDefault="008134EB">
            <w:pPr>
              <w:pStyle w:val="TableParagraph"/>
              <w:tabs>
                <w:tab w:val="left" w:pos="1334"/>
              </w:tabs>
              <w:spacing w:before="121"/>
              <w:ind w:left="925"/>
            </w:pPr>
            <w:r>
              <w:rPr>
                <w:spacing w:val="-5"/>
              </w:rPr>
              <w:t>k.</w:t>
            </w:r>
            <w:r>
              <w:tab/>
              <w:t>management</w:t>
            </w:r>
            <w:r>
              <w:rPr>
                <w:spacing w:val="-11"/>
              </w:rPr>
              <w:t xml:space="preserve"> </w:t>
            </w:r>
            <w:r>
              <w:t>representation</w:t>
            </w:r>
            <w:r>
              <w:rPr>
                <w:spacing w:val="-10"/>
              </w:rPr>
              <w:t xml:space="preserve"> </w:t>
            </w:r>
            <w:r>
              <w:t>letter</w:t>
            </w:r>
            <w:r>
              <w:rPr>
                <w:spacing w:val="-10"/>
              </w:rPr>
              <w:t xml:space="preserve"> </w:t>
            </w:r>
            <w:r>
              <w:t>(FAM</w:t>
            </w:r>
            <w:r>
              <w:rPr>
                <w:spacing w:val="-12"/>
              </w:rPr>
              <w:t xml:space="preserve"> </w:t>
            </w:r>
            <w:r>
              <w:rPr>
                <w:spacing w:val="-2"/>
              </w:rPr>
              <w:t>1001);</w:t>
            </w:r>
          </w:p>
        </w:tc>
        <w:tc>
          <w:tcPr>
            <w:tcW w:w="720" w:type="dxa"/>
            <w:tcBorders>
              <w:top w:val="single" w:sz="8" w:space="0" w:color="000000"/>
              <w:left w:val="single" w:sz="6" w:space="0" w:color="000000"/>
              <w:bottom w:val="single" w:sz="8" w:space="0" w:color="000000"/>
              <w:right w:val="single" w:sz="6" w:space="0" w:color="000000"/>
            </w:tcBorders>
          </w:tcPr>
          <w:p w14:paraId="0DFDD338"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8" w:space="0" w:color="000000"/>
            </w:tcBorders>
          </w:tcPr>
          <w:p w14:paraId="0DFDD339" w14:textId="77777777" w:rsidR="00046465" w:rsidRDefault="00046465">
            <w:pPr>
              <w:pStyle w:val="TableParagraph"/>
              <w:rPr>
                <w:rFonts w:ascii="Times New Roman"/>
                <w:sz w:val="20"/>
              </w:rPr>
            </w:pPr>
          </w:p>
        </w:tc>
      </w:tr>
      <w:tr w:rsidR="00046465" w14:paraId="0DFDD33E" w14:textId="77777777">
        <w:trPr>
          <w:trHeight w:val="493"/>
        </w:trPr>
        <w:tc>
          <w:tcPr>
            <w:tcW w:w="7446" w:type="dxa"/>
            <w:tcBorders>
              <w:top w:val="single" w:sz="8" w:space="0" w:color="000000"/>
              <w:bottom w:val="single" w:sz="8" w:space="0" w:color="000000"/>
              <w:right w:val="single" w:sz="6" w:space="0" w:color="000000"/>
            </w:tcBorders>
          </w:tcPr>
          <w:p w14:paraId="0DFDD33B" w14:textId="77777777" w:rsidR="00046465" w:rsidRDefault="008134EB">
            <w:pPr>
              <w:pStyle w:val="TableParagraph"/>
              <w:tabs>
                <w:tab w:val="left" w:pos="1285"/>
              </w:tabs>
              <w:spacing w:before="121"/>
              <w:ind w:left="925"/>
            </w:pPr>
            <w:r>
              <w:rPr>
                <w:spacing w:val="-5"/>
              </w:rPr>
              <w:t>l.</w:t>
            </w:r>
            <w:r>
              <w:tab/>
              <w:t>legal</w:t>
            </w:r>
            <w:r>
              <w:rPr>
                <w:spacing w:val="-8"/>
              </w:rPr>
              <w:t xml:space="preserve"> </w:t>
            </w:r>
            <w:r>
              <w:t>counsel</w:t>
            </w:r>
            <w:r>
              <w:rPr>
                <w:spacing w:val="-7"/>
              </w:rPr>
              <w:t xml:space="preserve"> </w:t>
            </w:r>
            <w:r>
              <w:t>response</w:t>
            </w:r>
            <w:r>
              <w:rPr>
                <w:spacing w:val="-9"/>
              </w:rPr>
              <w:t xml:space="preserve"> </w:t>
            </w:r>
            <w:r>
              <w:t>(FAM</w:t>
            </w:r>
            <w:r>
              <w:rPr>
                <w:spacing w:val="-8"/>
              </w:rPr>
              <w:t xml:space="preserve"> </w:t>
            </w:r>
            <w:r>
              <w:rPr>
                <w:spacing w:val="-2"/>
              </w:rPr>
              <w:t>1002);</w:t>
            </w:r>
          </w:p>
        </w:tc>
        <w:tc>
          <w:tcPr>
            <w:tcW w:w="720" w:type="dxa"/>
            <w:tcBorders>
              <w:top w:val="single" w:sz="8" w:space="0" w:color="000000"/>
              <w:left w:val="single" w:sz="6" w:space="0" w:color="000000"/>
              <w:bottom w:val="single" w:sz="8" w:space="0" w:color="000000"/>
              <w:right w:val="single" w:sz="6" w:space="0" w:color="000000"/>
            </w:tcBorders>
          </w:tcPr>
          <w:p w14:paraId="0DFDD33C"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8" w:space="0" w:color="000000"/>
            </w:tcBorders>
          </w:tcPr>
          <w:p w14:paraId="0DFDD33D" w14:textId="77777777" w:rsidR="00046465" w:rsidRDefault="00046465">
            <w:pPr>
              <w:pStyle w:val="TableParagraph"/>
              <w:rPr>
                <w:rFonts w:ascii="Times New Roman"/>
                <w:sz w:val="20"/>
              </w:rPr>
            </w:pPr>
          </w:p>
        </w:tc>
      </w:tr>
      <w:tr w:rsidR="00046465" w14:paraId="0DFDD342" w14:textId="77777777">
        <w:trPr>
          <w:trHeight w:val="492"/>
        </w:trPr>
        <w:tc>
          <w:tcPr>
            <w:tcW w:w="7446" w:type="dxa"/>
            <w:tcBorders>
              <w:top w:val="single" w:sz="8" w:space="0" w:color="000000"/>
              <w:bottom w:val="single" w:sz="8" w:space="0" w:color="000000"/>
              <w:right w:val="single" w:sz="6" w:space="0" w:color="000000"/>
            </w:tcBorders>
          </w:tcPr>
          <w:p w14:paraId="0DFDD33F" w14:textId="77777777" w:rsidR="00046465" w:rsidRDefault="008134EB">
            <w:pPr>
              <w:pStyle w:val="TableParagraph"/>
              <w:spacing w:before="121"/>
              <w:ind w:left="925"/>
            </w:pPr>
            <w:r>
              <w:t>m.</w:t>
            </w:r>
            <w:r>
              <w:rPr>
                <w:spacing w:val="41"/>
              </w:rPr>
              <w:t xml:space="preserve"> </w:t>
            </w:r>
            <w:r>
              <w:t>summary</w:t>
            </w:r>
            <w:r>
              <w:rPr>
                <w:spacing w:val="-6"/>
              </w:rPr>
              <w:t xml:space="preserve"> </w:t>
            </w:r>
            <w:r>
              <w:t>of</w:t>
            </w:r>
            <w:r>
              <w:rPr>
                <w:spacing w:val="-7"/>
              </w:rPr>
              <w:t xml:space="preserve"> </w:t>
            </w:r>
            <w:r>
              <w:t>uncorrected</w:t>
            </w:r>
            <w:r>
              <w:rPr>
                <w:spacing w:val="-8"/>
              </w:rPr>
              <w:t xml:space="preserve"> </w:t>
            </w:r>
            <w:r>
              <w:t>misstatements</w:t>
            </w:r>
            <w:r>
              <w:rPr>
                <w:spacing w:val="-7"/>
              </w:rPr>
              <w:t xml:space="preserve"> </w:t>
            </w:r>
            <w:r>
              <w:t>(FAM</w:t>
            </w:r>
            <w:r>
              <w:rPr>
                <w:spacing w:val="-8"/>
              </w:rPr>
              <w:t xml:space="preserve"> </w:t>
            </w:r>
            <w:r>
              <w:t>595</w:t>
            </w:r>
            <w:r>
              <w:rPr>
                <w:spacing w:val="-7"/>
              </w:rPr>
              <w:t xml:space="preserve"> </w:t>
            </w:r>
            <w:r>
              <w:rPr>
                <w:spacing w:val="-5"/>
              </w:rPr>
              <w:t>C);</w:t>
            </w:r>
          </w:p>
        </w:tc>
        <w:tc>
          <w:tcPr>
            <w:tcW w:w="720" w:type="dxa"/>
            <w:tcBorders>
              <w:top w:val="single" w:sz="8" w:space="0" w:color="000000"/>
              <w:left w:val="single" w:sz="6" w:space="0" w:color="000000"/>
              <w:bottom w:val="single" w:sz="8" w:space="0" w:color="000000"/>
              <w:right w:val="single" w:sz="6" w:space="0" w:color="000000"/>
            </w:tcBorders>
          </w:tcPr>
          <w:p w14:paraId="0DFDD340"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8" w:space="0" w:color="000000"/>
            </w:tcBorders>
          </w:tcPr>
          <w:p w14:paraId="0DFDD341" w14:textId="77777777" w:rsidR="00046465" w:rsidRDefault="00046465">
            <w:pPr>
              <w:pStyle w:val="TableParagraph"/>
              <w:rPr>
                <w:rFonts w:ascii="Times New Roman"/>
                <w:sz w:val="20"/>
              </w:rPr>
            </w:pPr>
          </w:p>
        </w:tc>
      </w:tr>
      <w:tr w:rsidR="00046465" w14:paraId="0DFDD346" w14:textId="77777777">
        <w:trPr>
          <w:trHeight w:val="493"/>
        </w:trPr>
        <w:tc>
          <w:tcPr>
            <w:tcW w:w="7446" w:type="dxa"/>
            <w:tcBorders>
              <w:top w:val="single" w:sz="8" w:space="0" w:color="000000"/>
              <w:bottom w:val="single" w:sz="8" w:space="0" w:color="000000"/>
              <w:right w:val="single" w:sz="6" w:space="0" w:color="000000"/>
            </w:tcBorders>
          </w:tcPr>
          <w:p w14:paraId="0DFDD343" w14:textId="77777777" w:rsidR="00046465" w:rsidRDefault="008134EB">
            <w:pPr>
              <w:pStyle w:val="TableParagraph"/>
              <w:spacing w:before="121"/>
              <w:ind w:left="925"/>
            </w:pPr>
            <w:r>
              <w:t>n.</w:t>
            </w:r>
            <w:r>
              <w:rPr>
                <w:spacing w:val="69"/>
                <w:w w:val="150"/>
              </w:rPr>
              <w:t xml:space="preserve"> </w:t>
            </w:r>
            <w:r>
              <w:t>exit</w:t>
            </w:r>
            <w:r>
              <w:rPr>
                <w:spacing w:val="-5"/>
              </w:rPr>
              <w:t xml:space="preserve"> </w:t>
            </w:r>
            <w:r>
              <w:t>conference</w:t>
            </w:r>
            <w:r>
              <w:rPr>
                <w:spacing w:val="-6"/>
              </w:rPr>
              <w:t xml:space="preserve"> </w:t>
            </w:r>
            <w:r>
              <w:t>memorandum</w:t>
            </w:r>
            <w:r>
              <w:rPr>
                <w:spacing w:val="-6"/>
              </w:rPr>
              <w:t xml:space="preserve"> </w:t>
            </w:r>
            <w:r>
              <w:t>(FAM</w:t>
            </w:r>
            <w:r>
              <w:rPr>
                <w:spacing w:val="-6"/>
              </w:rPr>
              <w:t xml:space="preserve"> </w:t>
            </w:r>
            <w:r>
              <w:t>590);</w:t>
            </w:r>
            <w:r>
              <w:rPr>
                <w:spacing w:val="-5"/>
              </w:rPr>
              <w:t xml:space="preserve"> and</w:t>
            </w:r>
          </w:p>
        </w:tc>
        <w:tc>
          <w:tcPr>
            <w:tcW w:w="720" w:type="dxa"/>
            <w:tcBorders>
              <w:top w:val="single" w:sz="8" w:space="0" w:color="000000"/>
              <w:left w:val="single" w:sz="6" w:space="0" w:color="000000"/>
              <w:bottom w:val="single" w:sz="8" w:space="0" w:color="000000"/>
              <w:right w:val="single" w:sz="6" w:space="0" w:color="000000"/>
            </w:tcBorders>
          </w:tcPr>
          <w:p w14:paraId="0DFDD344"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8" w:space="0" w:color="000000"/>
            </w:tcBorders>
          </w:tcPr>
          <w:p w14:paraId="0DFDD345" w14:textId="77777777" w:rsidR="00046465" w:rsidRDefault="00046465">
            <w:pPr>
              <w:pStyle w:val="TableParagraph"/>
              <w:rPr>
                <w:rFonts w:ascii="Times New Roman"/>
                <w:sz w:val="20"/>
              </w:rPr>
            </w:pPr>
          </w:p>
        </w:tc>
      </w:tr>
      <w:tr w:rsidR="00046465" w14:paraId="0DFDD34A" w14:textId="77777777">
        <w:trPr>
          <w:trHeight w:val="492"/>
        </w:trPr>
        <w:tc>
          <w:tcPr>
            <w:tcW w:w="7446" w:type="dxa"/>
            <w:tcBorders>
              <w:top w:val="single" w:sz="8" w:space="0" w:color="000000"/>
              <w:bottom w:val="single" w:sz="8" w:space="0" w:color="000000"/>
              <w:right w:val="single" w:sz="6" w:space="0" w:color="000000"/>
            </w:tcBorders>
          </w:tcPr>
          <w:p w14:paraId="0DFDD347" w14:textId="77777777" w:rsidR="00046465" w:rsidRDefault="008134EB">
            <w:pPr>
              <w:pStyle w:val="TableParagraph"/>
              <w:spacing w:before="121"/>
              <w:ind w:left="925"/>
            </w:pPr>
            <w:r>
              <w:t>o.</w:t>
            </w:r>
            <w:r>
              <w:rPr>
                <w:spacing w:val="70"/>
                <w:w w:val="150"/>
              </w:rPr>
              <w:t xml:space="preserve"> </w:t>
            </w:r>
            <w:r>
              <w:t>entity</w:t>
            </w:r>
            <w:r>
              <w:rPr>
                <w:spacing w:val="-5"/>
              </w:rPr>
              <w:t xml:space="preserve"> </w:t>
            </w:r>
            <w:r>
              <w:t>financial</w:t>
            </w:r>
            <w:r>
              <w:rPr>
                <w:spacing w:val="-4"/>
              </w:rPr>
              <w:t xml:space="preserve"> </w:t>
            </w:r>
            <w:r>
              <w:t>statements</w:t>
            </w:r>
            <w:r>
              <w:rPr>
                <w:spacing w:val="-5"/>
              </w:rPr>
              <w:t xml:space="preserve"> </w:t>
            </w:r>
            <w:r>
              <w:t>and</w:t>
            </w:r>
            <w:r>
              <w:rPr>
                <w:spacing w:val="-5"/>
              </w:rPr>
              <w:t xml:space="preserve"> </w:t>
            </w:r>
            <w:r>
              <w:t>notes;</w:t>
            </w:r>
            <w:r>
              <w:rPr>
                <w:spacing w:val="-6"/>
              </w:rPr>
              <w:t xml:space="preserve"> </w:t>
            </w:r>
            <w:r>
              <w:rPr>
                <w:spacing w:val="-5"/>
              </w:rPr>
              <w:t>and</w:t>
            </w:r>
          </w:p>
        </w:tc>
        <w:tc>
          <w:tcPr>
            <w:tcW w:w="720" w:type="dxa"/>
            <w:tcBorders>
              <w:top w:val="single" w:sz="8" w:space="0" w:color="000000"/>
              <w:left w:val="single" w:sz="6" w:space="0" w:color="000000"/>
              <w:bottom w:val="single" w:sz="8" w:space="0" w:color="000000"/>
              <w:right w:val="single" w:sz="6" w:space="0" w:color="000000"/>
            </w:tcBorders>
          </w:tcPr>
          <w:p w14:paraId="0DFDD348"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8" w:space="0" w:color="000000"/>
            </w:tcBorders>
          </w:tcPr>
          <w:p w14:paraId="0DFDD349" w14:textId="77777777" w:rsidR="00046465" w:rsidRDefault="00046465">
            <w:pPr>
              <w:pStyle w:val="TableParagraph"/>
              <w:rPr>
                <w:rFonts w:ascii="Times New Roman"/>
                <w:sz w:val="20"/>
              </w:rPr>
            </w:pPr>
          </w:p>
        </w:tc>
      </w:tr>
      <w:tr w:rsidR="00046465" w14:paraId="0DFDD34E" w14:textId="77777777">
        <w:trPr>
          <w:trHeight w:val="746"/>
        </w:trPr>
        <w:tc>
          <w:tcPr>
            <w:tcW w:w="7446" w:type="dxa"/>
            <w:tcBorders>
              <w:top w:val="single" w:sz="8" w:space="0" w:color="000000"/>
              <w:bottom w:val="single" w:sz="8" w:space="0" w:color="000000"/>
              <w:right w:val="single" w:sz="6" w:space="0" w:color="000000"/>
            </w:tcBorders>
          </w:tcPr>
          <w:p w14:paraId="0DFDD34B" w14:textId="77777777" w:rsidR="00046465" w:rsidRDefault="008134EB">
            <w:pPr>
              <w:pStyle w:val="TableParagraph"/>
              <w:spacing w:before="121"/>
              <w:ind w:left="1285" w:hanging="361"/>
            </w:pPr>
            <w:r>
              <w:t>p.</w:t>
            </w:r>
            <w:r>
              <w:rPr>
                <w:spacing w:val="80"/>
              </w:rPr>
              <w:t xml:space="preserve"> </w:t>
            </w:r>
            <w:r>
              <w:t>memorandum(s)</w:t>
            </w:r>
            <w:r>
              <w:rPr>
                <w:spacing w:val="-5"/>
              </w:rPr>
              <w:t xml:space="preserve"> </w:t>
            </w:r>
            <w:r>
              <w:t>on</w:t>
            </w:r>
            <w:r>
              <w:rPr>
                <w:spacing w:val="-5"/>
              </w:rPr>
              <w:t xml:space="preserve"> </w:t>
            </w:r>
            <w:r>
              <w:t>significant</w:t>
            </w:r>
            <w:r>
              <w:rPr>
                <w:spacing w:val="-4"/>
              </w:rPr>
              <w:t xml:space="preserve"> </w:t>
            </w:r>
            <w:r>
              <w:t>accounting,</w:t>
            </w:r>
            <w:r>
              <w:rPr>
                <w:spacing w:val="-5"/>
              </w:rPr>
              <w:t xml:space="preserve"> </w:t>
            </w:r>
            <w:r>
              <w:t>auditing,</w:t>
            </w:r>
            <w:r>
              <w:rPr>
                <w:spacing w:val="-5"/>
              </w:rPr>
              <w:t xml:space="preserve"> </w:t>
            </w:r>
            <w:r>
              <w:t>and reporting issues (FAM 590)?</w:t>
            </w:r>
          </w:p>
        </w:tc>
        <w:tc>
          <w:tcPr>
            <w:tcW w:w="720" w:type="dxa"/>
            <w:tcBorders>
              <w:top w:val="single" w:sz="8" w:space="0" w:color="000000"/>
              <w:left w:val="single" w:sz="6" w:space="0" w:color="000000"/>
              <w:bottom w:val="single" w:sz="8" w:space="0" w:color="000000"/>
              <w:right w:val="single" w:sz="6" w:space="0" w:color="000000"/>
            </w:tcBorders>
          </w:tcPr>
          <w:p w14:paraId="0DFDD34C"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8" w:space="0" w:color="000000"/>
            </w:tcBorders>
          </w:tcPr>
          <w:p w14:paraId="0DFDD34D" w14:textId="77777777" w:rsidR="00046465" w:rsidRDefault="00046465">
            <w:pPr>
              <w:pStyle w:val="TableParagraph"/>
              <w:rPr>
                <w:rFonts w:ascii="Times New Roman"/>
                <w:sz w:val="20"/>
              </w:rPr>
            </w:pPr>
          </w:p>
        </w:tc>
      </w:tr>
      <w:tr w:rsidR="00046465" w14:paraId="0DFDD352" w14:textId="77777777">
        <w:trPr>
          <w:trHeight w:val="745"/>
        </w:trPr>
        <w:tc>
          <w:tcPr>
            <w:tcW w:w="7446" w:type="dxa"/>
            <w:tcBorders>
              <w:top w:val="single" w:sz="8" w:space="0" w:color="000000"/>
              <w:bottom w:val="single" w:sz="6" w:space="0" w:color="000000"/>
              <w:right w:val="single" w:sz="6" w:space="0" w:color="000000"/>
            </w:tcBorders>
          </w:tcPr>
          <w:p w14:paraId="0DFDD34F" w14:textId="77777777" w:rsidR="00046465" w:rsidRDefault="008134EB">
            <w:pPr>
              <w:pStyle w:val="TableParagraph"/>
              <w:spacing w:before="119"/>
              <w:ind w:left="914" w:right="345" w:hanging="361"/>
            </w:pPr>
            <w:r>
              <w:t>4.</w:t>
            </w:r>
            <w:r>
              <w:rPr>
                <w:spacing w:val="80"/>
              </w:rPr>
              <w:t xml:space="preserve"> </w:t>
            </w:r>
            <w:r>
              <w:t>Did</w:t>
            </w:r>
            <w:r>
              <w:rPr>
                <w:spacing w:val="-4"/>
              </w:rPr>
              <w:t xml:space="preserve"> </w:t>
            </w:r>
            <w:r>
              <w:t>the</w:t>
            </w:r>
            <w:r>
              <w:rPr>
                <w:spacing w:val="-4"/>
              </w:rPr>
              <w:t xml:space="preserve"> </w:t>
            </w:r>
            <w:r>
              <w:t>assistant</w:t>
            </w:r>
            <w:r>
              <w:rPr>
                <w:spacing w:val="-4"/>
              </w:rPr>
              <w:t xml:space="preserve"> </w:t>
            </w:r>
            <w:r>
              <w:t>director</w:t>
            </w:r>
            <w:r>
              <w:rPr>
                <w:spacing w:val="-4"/>
              </w:rPr>
              <w:t xml:space="preserve"> </w:t>
            </w:r>
            <w:r>
              <w:t>determine</w:t>
            </w:r>
            <w:r>
              <w:rPr>
                <w:spacing w:val="-4"/>
              </w:rPr>
              <w:t xml:space="preserve"> </w:t>
            </w:r>
            <w:r>
              <w:t>that</w:t>
            </w:r>
            <w:r>
              <w:rPr>
                <w:spacing w:val="-4"/>
              </w:rPr>
              <w:t xml:space="preserve"> </w:t>
            </w:r>
            <w:r>
              <w:t>all</w:t>
            </w:r>
            <w:r>
              <w:rPr>
                <w:spacing w:val="-4"/>
              </w:rPr>
              <w:t xml:space="preserve"> </w:t>
            </w:r>
            <w:r>
              <w:t>significant</w:t>
            </w:r>
            <w:r>
              <w:rPr>
                <w:spacing w:val="-4"/>
              </w:rPr>
              <w:t xml:space="preserve"> </w:t>
            </w:r>
            <w:r>
              <w:t>review notes were resolved appropriately?</w:t>
            </w:r>
          </w:p>
        </w:tc>
        <w:tc>
          <w:tcPr>
            <w:tcW w:w="720" w:type="dxa"/>
            <w:tcBorders>
              <w:top w:val="single" w:sz="8" w:space="0" w:color="000000"/>
              <w:left w:val="single" w:sz="6" w:space="0" w:color="000000"/>
              <w:bottom w:val="single" w:sz="6" w:space="0" w:color="000000"/>
              <w:right w:val="single" w:sz="6" w:space="0" w:color="000000"/>
            </w:tcBorders>
          </w:tcPr>
          <w:p w14:paraId="0DFDD350" w14:textId="77777777" w:rsidR="00046465" w:rsidRDefault="00046465">
            <w:pPr>
              <w:pStyle w:val="TableParagraph"/>
              <w:rPr>
                <w:rFonts w:ascii="Times New Roman"/>
                <w:sz w:val="20"/>
              </w:rPr>
            </w:pPr>
          </w:p>
        </w:tc>
        <w:tc>
          <w:tcPr>
            <w:tcW w:w="1350" w:type="dxa"/>
            <w:tcBorders>
              <w:top w:val="single" w:sz="8" w:space="0" w:color="000000"/>
              <w:left w:val="single" w:sz="6" w:space="0" w:color="000000"/>
              <w:bottom w:val="single" w:sz="6" w:space="0" w:color="000000"/>
            </w:tcBorders>
          </w:tcPr>
          <w:p w14:paraId="0DFDD351" w14:textId="77777777" w:rsidR="00046465" w:rsidRDefault="00046465">
            <w:pPr>
              <w:pStyle w:val="TableParagraph"/>
              <w:rPr>
                <w:rFonts w:ascii="Times New Roman"/>
                <w:sz w:val="20"/>
              </w:rPr>
            </w:pPr>
          </w:p>
        </w:tc>
      </w:tr>
    </w:tbl>
    <w:p w14:paraId="0DFDD353" w14:textId="77777777" w:rsidR="00046465" w:rsidRDefault="00046465">
      <w:pPr>
        <w:pStyle w:val="BodyText"/>
        <w:rPr>
          <w:sz w:val="20"/>
        </w:rPr>
      </w:pPr>
    </w:p>
    <w:p w14:paraId="0DFDD354" w14:textId="77777777" w:rsidR="00046465" w:rsidRDefault="008134EB">
      <w:pPr>
        <w:pStyle w:val="BodyText"/>
        <w:spacing w:before="117"/>
        <w:rPr>
          <w:sz w:val="20"/>
        </w:rPr>
      </w:pPr>
      <w:r>
        <w:rPr>
          <w:noProof/>
          <w:sz w:val="20"/>
        </w:rPr>
        <mc:AlternateContent>
          <mc:Choice Requires="wps">
            <w:drawing>
              <wp:anchor distT="0" distB="0" distL="0" distR="0" simplePos="0" relativeHeight="487744512" behindDoc="1" locked="0" layoutInCell="1" allowOverlap="1" wp14:anchorId="0DFDD777" wp14:editId="0DFDD778">
                <wp:simplePos x="0" y="0"/>
                <wp:positionH relativeFrom="page">
                  <wp:posOffset>914400</wp:posOffset>
                </wp:positionH>
                <wp:positionV relativeFrom="paragraph">
                  <wp:posOffset>236118</wp:posOffset>
                </wp:positionV>
                <wp:extent cx="1828800" cy="5715"/>
                <wp:effectExtent l="0" t="0" r="0" b="0"/>
                <wp:wrapTopAndBottom/>
                <wp:docPr id="1166" name="Graphic 1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5715"/>
                        </a:xfrm>
                        <a:custGeom>
                          <a:avLst/>
                          <a:gdLst/>
                          <a:ahLst/>
                          <a:cxnLst/>
                          <a:rect l="l" t="t" r="r" b="b"/>
                          <a:pathLst>
                            <a:path w="1828800" h="5715">
                              <a:moveTo>
                                <a:pt x="1828800" y="0"/>
                              </a:moveTo>
                              <a:lnTo>
                                <a:pt x="0" y="0"/>
                              </a:lnTo>
                              <a:lnTo>
                                <a:pt x="0" y="5321"/>
                              </a:lnTo>
                              <a:lnTo>
                                <a:pt x="1828800" y="5321"/>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7CFCCE" id="Graphic 1166" o:spid="_x0000_s1026" style="position:absolute;margin-left:1in;margin-top:18.6pt;width:2in;height:.45pt;z-index:-15571968;visibility:visible;mso-wrap-style:square;mso-wrap-distance-left:0;mso-wrap-distance-top:0;mso-wrap-distance-right:0;mso-wrap-distance-bottom:0;mso-position-horizontal:absolute;mso-position-horizontal-relative:page;mso-position-vertical:absolute;mso-position-vertical-relative:text;v-text-anchor:top" coordsize="1828800,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" path="m1828800,l,,,5321r1828800,l1828800,xe" fillcolor="black" stroked="f">
                <v:path arrowok="t"/>
                <w10:wrap type="topAndBottom" anchorx="page"/>
              </v:shape>
            </w:pict>
          </mc:Fallback>
        </mc:AlternateContent>
      </w:r>
    </w:p>
    <w:p w14:paraId="0DFDD355" w14:textId="77777777" w:rsidR="00046465" w:rsidRDefault="008134EB">
      <w:pPr>
        <w:spacing w:before="202" w:line="249" w:lineRule="auto"/>
        <w:ind w:left="1079" w:right="1020"/>
        <w:rPr>
          <w:sz w:val="18"/>
        </w:rPr>
      </w:pPr>
      <w:bookmarkStart w:id="419" w:name="_bookmark235"/>
      <w:bookmarkEnd w:id="419"/>
      <w:r>
        <w:rPr>
          <w:position w:val="7"/>
          <w:sz w:val="14"/>
        </w:rPr>
        <w:t>21</w:t>
      </w:r>
      <w:r>
        <w:rPr>
          <w:sz w:val="18"/>
        </w:rPr>
        <w:t>Auditors</w:t>
      </w:r>
      <w:r>
        <w:rPr>
          <w:spacing w:val="-4"/>
          <w:sz w:val="18"/>
        </w:rPr>
        <w:t xml:space="preserve"> </w:t>
      </w:r>
      <w:r>
        <w:rPr>
          <w:sz w:val="18"/>
        </w:rPr>
        <w:t>may</w:t>
      </w:r>
      <w:r>
        <w:rPr>
          <w:spacing w:val="-4"/>
          <w:sz w:val="18"/>
        </w:rPr>
        <w:t xml:space="preserve"> </w:t>
      </w:r>
      <w:r>
        <w:rPr>
          <w:sz w:val="18"/>
        </w:rPr>
        <w:t>obtain</w:t>
      </w:r>
      <w:r>
        <w:rPr>
          <w:spacing w:val="-5"/>
          <w:sz w:val="18"/>
        </w:rPr>
        <w:t xml:space="preserve"> </w:t>
      </w:r>
      <w:r>
        <w:rPr>
          <w:sz w:val="18"/>
        </w:rPr>
        <w:t>the</w:t>
      </w:r>
      <w:r>
        <w:rPr>
          <w:spacing w:val="-5"/>
          <w:sz w:val="18"/>
        </w:rPr>
        <w:t xml:space="preserve"> </w:t>
      </w:r>
      <w:r>
        <w:rPr>
          <w:sz w:val="18"/>
        </w:rPr>
        <w:t>Federal</w:t>
      </w:r>
      <w:r>
        <w:rPr>
          <w:spacing w:val="-4"/>
          <w:sz w:val="18"/>
        </w:rPr>
        <w:t xml:space="preserve"> </w:t>
      </w:r>
      <w:r>
        <w:rPr>
          <w:sz w:val="18"/>
        </w:rPr>
        <w:t>Financial</w:t>
      </w:r>
      <w:r>
        <w:rPr>
          <w:spacing w:val="-4"/>
          <w:sz w:val="18"/>
        </w:rPr>
        <w:t xml:space="preserve"> </w:t>
      </w:r>
      <w:r>
        <w:rPr>
          <w:sz w:val="18"/>
        </w:rPr>
        <w:t>Reporting</w:t>
      </w:r>
      <w:r>
        <w:rPr>
          <w:spacing w:val="-5"/>
          <w:sz w:val="18"/>
        </w:rPr>
        <w:t xml:space="preserve"> </w:t>
      </w:r>
      <w:r>
        <w:rPr>
          <w:sz w:val="18"/>
        </w:rPr>
        <w:t>Checklist</w:t>
      </w:r>
      <w:r>
        <w:rPr>
          <w:spacing w:val="-3"/>
          <w:sz w:val="18"/>
        </w:rPr>
        <w:t xml:space="preserve"> </w:t>
      </w:r>
      <w:r>
        <w:rPr>
          <w:sz w:val="18"/>
        </w:rPr>
        <w:t>(FAM</w:t>
      </w:r>
      <w:r>
        <w:rPr>
          <w:spacing w:val="-4"/>
          <w:sz w:val="18"/>
        </w:rPr>
        <w:t xml:space="preserve"> </w:t>
      </w:r>
      <w:r>
        <w:rPr>
          <w:sz w:val="18"/>
        </w:rPr>
        <w:t>volume</w:t>
      </w:r>
      <w:r>
        <w:rPr>
          <w:spacing w:val="-5"/>
          <w:sz w:val="18"/>
        </w:rPr>
        <w:t xml:space="preserve"> </w:t>
      </w:r>
      <w:r>
        <w:rPr>
          <w:sz w:val="18"/>
        </w:rPr>
        <w:t>3)</w:t>
      </w:r>
      <w:r>
        <w:rPr>
          <w:spacing w:val="-4"/>
          <w:sz w:val="18"/>
        </w:rPr>
        <w:t xml:space="preserve"> </w:t>
      </w:r>
      <w:r>
        <w:rPr>
          <w:sz w:val="18"/>
        </w:rPr>
        <w:t>at</w:t>
      </w:r>
      <w:r>
        <w:rPr>
          <w:spacing w:val="-3"/>
          <w:sz w:val="18"/>
        </w:rPr>
        <w:t xml:space="preserve"> </w:t>
      </w:r>
      <w:hyperlink r:id="rId253">
        <w:r>
          <w:rPr>
            <w:color w:val="0000FF"/>
            <w:sz w:val="18"/>
          </w:rPr>
          <w:t>https://www.gao.gov/financial-</w:t>
        </w:r>
      </w:hyperlink>
      <w:hyperlink r:id="rId254">
        <w:r>
          <w:rPr>
            <w:color w:val="0000FF"/>
            <w:sz w:val="18"/>
          </w:rPr>
          <w:t>audit-manual</w:t>
        </w:r>
      </w:hyperlink>
      <w:r>
        <w:rPr>
          <w:color w:val="0000FF"/>
          <w:sz w:val="18"/>
        </w:rPr>
        <w:t xml:space="preserve"> </w:t>
      </w:r>
      <w:r>
        <w:rPr>
          <w:sz w:val="18"/>
        </w:rPr>
        <w:t>(accessed June 4, 2026).</w:t>
      </w:r>
    </w:p>
    <w:p w14:paraId="0DFDD356" w14:textId="77777777" w:rsidR="00046465" w:rsidRDefault="00046465">
      <w:pPr>
        <w:spacing w:line="249" w:lineRule="auto"/>
        <w:rPr>
          <w:sz w:val="18"/>
        </w:rPr>
        <w:sectPr w:rsidR="00046465">
          <w:pgSz w:w="12240" w:h="15840"/>
          <w:pgMar w:top="1340" w:right="720" w:bottom="940" w:left="360" w:header="721" w:footer="757" w:gutter="0"/>
          <w:cols w:space="720"/>
        </w:sectPr>
      </w:pPr>
    </w:p>
    <w:p w14:paraId="0DFDD357" w14:textId="77777777" w:rsidR="00046465" w:rsidRDefault="00046465">
      <w:pPr>
        <w:pStyle w:val="BodyText"/>
        <w:spacing w:before="6"/>
        <w:rPr>
          <w:sz w:val="11"/>
        </w:rPr>
      </w:pPr>
    </w:p>
    <w:tbl>
      <w:tblPr>
        <w:tblW w:w="0" w:type="auto"/>
        <w:tblInd w:w="112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446"/>
        <w:gridCol w:w="720"/>
        <w:gridCol w:w="1350"/>
      </w:tblGrid>
      <w:tr w:rsidR="00046465" w14:paraId="0DFDD35F" w14:textId="77777777">
        <w:trPr>
          <w:trHeight w:val="999"/>
        </w:trPr>
        <w:tc>
          <w:tcPr>
            <w:tcW w:w="7446" w:type="dxa"/>
            <w:tcBorders>
              <w:bottom w:val="double" w:sz="4" w:space="0" w:color="000000"/>
              <w:right w:val="single" w:sz="8" w:space="0" w:color="000000"/>
            </w:tcBorders>
            <w:shd w:val="clear" w:color="auto" w:fill="A6A6A6"/>
          </w:tcPr>
          <w:p w14:paraId="0DFDD358" w14:textId="77777777" w:rsidR="00046465" w:rsidRDefault="00046465">
            <w:pPr>
              <w:pStyle w:val="TableParagraph"/>
              <w:rPr>
                <w:sz w:val="24"/>
              </w:rPr>
            </w:pPr>
          </w:p>
          <w:p w14:paraId="0DFDD359" w14:textId="77777777" w:rsidR="00046465" w:rsidRDefault="00046465">
            <w:pPr>
              <w:pStyle w:val="TableParagraph"/>
              <w:spacing w:before="72"/>
              <w:rPr>
                <w:sz w:val="24"/>
              </w:rPr>
            </w:pPr>
          </w:p>
          <w:p w14:paraId="0DFDD35A" w14:textId="77777777" w:rsidR="00046465" w:rsidRDefault="008134EB">
            <w:pPr>
              <w:pStyle w:val="TableParagraph"/>
              <w:spacing w:before="1"/>
              <w:ind w:left="104"/>
              <w:rPr>
                <w:b/>
                <w:sz w:val="24"/>
              </w:rPr>
            </w:pPr>
            <w:r>
              <w:rPr>
                <w:b/>
                <w:sz w:val="24"/>
              </w:rPr>
              <w:t>Section</w:t>
            </w:r>
            <w:r>
              <w:rPr>
                <w:b/>
                <w:spacing w:val="-3"/>
                <w:sz w:val="24"/>
              </w:rPr>
              <w:t xml:space="preserve"> </w:t>
            </w:r>
            <w:r>
              <w:rPr>
                <w:b/>
                <w:sz w:val="24"/>
              </w:rPr>
              <w:t>V:</w:t>
            </w:r>
            <w:r>
              <w:rPr>
                <w:b/>
                <w:spacing w:val="-2"/>
                <w:sz w:val="24"/>
              </w:rPr>
              <w:t xml:space="preserve"> </w:t>
            </w:r>
            <w:r>
              <w:rPr>
                <w:b/>
                <w:sz w:val="24"/>
              </w:rPr>
              <w:t>GAO’s</w:t>
            </w:r>
            <w:r>
              <w:rPr>
                <w:b/>
                <w:spacing w:val="-3"/>
                <w:sz w:val="24"/>
              </w:rPr>
              <w:t xml:space="preserve"> </w:t>
            </w:r>
            <w:r>
              <w:rPr>
                <w:b/>
                <w:sz w:val="24"/>
              </w:rPr>
              <w:t>Quality</w:t>
            </w:r>
            <w:r>
              <w:rPr>
                <w:b/>
                <w:spacing w:val="-3"/>
                <w:sz w:val="24"/>
              </w:rPr>
              <w:t xml:space="preserve"> </w:t>
            </w:r>
            <w:r>
              <w:rPr>
                <w:b/>
                <w:sz w:val="24"/>
              </w:rPr>
              <w:t>Control</w:t>
            </w:r>
            <w:r>
              <w:rPr>
                <w:b/>
                <w:spacing w:val="-2"/>
                <w:sz w:val="24"/>
              </w:rPr>
              <w:t xml:space="preserve"> </w:t>
            </w:r>
            <w:r>
              <w:rPr>
                <w:b/>
                <w:sz w:val="24"/>
              </w:rPr>
              <w:t>(GAO</w:t>
            </w:r>
            <w:r>
              <w:rPr>
                <w:b/>
                <w:spacing w:val="-1"/>
                <w:sz w:val="24"/>
              </w:rPr>
              <w:t xml:space="preserve"> </w:t>
            </w:r>
            <w:r>
              <w:rPr>
                <w:b/>
                <w:spacing w:val="-4"/>
                <w:sz w:val="24"/>
              </w:rPr>
              <w:t>Only)</w:t>
            </w:r>
          </w:p>
        </w:tc>
        <w:tc>
          <w:tcPr>
            <w:tcW w:w="720" w:type="dxa"/>
            <w:tcBorders>
              <w:left w:val="single" w:sz="8" w:space="0" w:color="000000"/>
              <w:bottom w:val="double" w:sz="4" w:space="0" w:color="000000"/>
              <w:right w:val="single" w:sz="8" w:space="0" w:color="000000"/>
            </w:tcBorders>
            <w:shd w:val="clear" w:color="auto" w:fill="A6A6A6"/>
          </w:tcPr>
          <w:p w14:paraId="0DFDD35B" w14:textId="77777777" w:rsidR="00046465" w:rsidRDefault="008134EB">
            <w:pPr>
              <w:pStyle w:val="TableParagraph"/>
              <w:spacing w:before="120"/>
              <w:ind w:left="137" w:right="115" w:hanging="8"/>
              <w:jc w:val="both"/>
              <w:rPr>
                <w:b/>
              </w:rPr>
            </w:pPr>
            <w:r>
              <w:rPr>
                <w:b/>
                <w:spacing w:val="-4"/>
              </w:rPr>
              <w:t>Yes, No,* N/A</w:t>
            </w:r>
          </w:p>
        </w:tc>
        <w:tc>
          <w:tcPr>
            <w:tcW w:w="1350" w:type="dxa"/>
            <w:tcBorders>
              <w:left w:val="single" w:sz="8" w:space="0" w:color="000000"/>
              <w:bottom w:val="double" w:sz="4" w:space="0" w:color="000000"/>
            </w:tcBorders>
            <w:shd w:val="clear" w:color="auto" w:fill="A6A6A6"/>
          </w:tcPr>
          <w:p w14:paraId="0DFDD35C" w14:textId="77777777" w:rsidR="00046465" w:rsidRDefault="00046465">
            <w:pPr>
              <w:pStyle w:val="TableParagraph"/>
            </w:pPr>
          </w:p>
          <w:p w14:paraId="0DFDD35D" w14:textId="77777777" w:rsidR="00046465" w:rsidRDefault="00046465">
            <w:pPr>
              <w:pStyle w:val="TableParagraph"/>
              <w:spacing w:before="120"/>
            </w:pPr>
          </w:p>
          <w:p w14:paraId="0DFDD35E"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364" w14:textId="77777777">
        <w:trPr>
          <w:trHeight w:val="2871"/>
        </w:trPr>
        <w:tc>
          <w:tcPr>
            <w:tcW w:w="7446" w:type="dxa"/>
            <w:tcBorders>
              <w:top w:val="double" w:sz="4" w:space="0" w:color="000000"/>
              <w:bottom w:val="single" w:sz="8" w:space="0" w:color="000000"/>
              <w:right w:val="single" w:sz="6" w:space="0" w:color="000000"/>
            </w:tcBorders>
          </w:tcPr>
          <w:p w14:paraId="0DFDD360" w14:textId="77777777" w:rsidR="00046465" w:rsidRDefault="008134EB">
            <w:pPr>
              <w:pStyle w:val="TableParagraph"/>
              <w:spacing w:before="120"/>
              <w:ind w:left="914" w:hanging="361"/>
            </w:pPr>
            <w:r>
              <w:t>5.</w:t>
            </w:r>
            <w:r>
              <w:rPr>
                <w:spacing w:val="80"/>
              </w:rPr>
              <w:t xml:space="preserve"> </w:t>
            </w:r>
            <w:r>
              <w:t>Did</w:t>
            </w:r>
            <w:r>
              <w:rPr>
                <w:spacing w:val="-4"/>
              </w:rPr>
              <w:t xml:space="preserve"> </w:t>
            </w:r>
            <w:r>
              <w:t>the</w:t>
            </w:r>
            <w:r>
              <w:rPr>
                <w:spacing w:val="-4"/>
              </w:rPr>
              <w:t xml:space="preserve"> </w:t>
            </w:r>
            <w:r>
              <w:t>assistant</w:t>
            </w:r>
            <w:r>
              <w:rPr>
                <w:spacing w:val="-4"/>
              </w:rPr>
              <w:t xml:space="preserve"> </w:t>
            </w:r>
            <w:r>
              <w:t>director</w:t>
            </w:r>
            <w:r>
              <w:rPr>
                <w:spacing w:val="-4"/>
              </w:rPr>
              <w:t xml:space="preserve"> </w:t>
            </w:r>
            <w:r>
              <w:t>indicate</w:t>
            </w:r>
            <w:r>
              <w:rPr>
                <w:spacing w:val="-4"/>
              </w:rPr>
              <w:t xml:space="preserve"> </w:t>
            </w:r>
            <w:r>
              <w:t>that</w:t>
            </w:r>
            <w:r>
              <w:rPr>
                <w:spacing w:val="-4"/>
              </w:rPr>
              <w:t xml:space="preserve"> </w:t>
            </w:r>
            <w:r>
              <w:t>all</w:t>
            </w:r>
            <w:r>
              <w:rPr>
                <w:spacing w:val="-4"/>
              </w:rPr>
              <w:t xml:space="preserve"> </w:t>
            </w:r>
            <w:r>
              <w:t>documentation</w:t>
            </w:r>
            <w:r>
              <w:rPr>
                <w:spacing w:val="-4"/>
              </w:rPr>
              <w:t xml:space="preserve"> </w:t>
            </w:r>
            <w:r>
              <w:t>was sufficiently reviewed by the auditor’s report date (FAM 580), including any required secondary reviews?</w:t>
            </w:r>
          </w:p>
          <w:p w14:paraId="0DFDD361" w14:textId="77777777" w:rsidR="00046465" w:rsidRDefault="008134EB">
            <w:pPr>
              <w:pStyle w:val="TableParagraph"/>
              <w:spacing w:before="241"/>
              <w:ind w:left="914" w:right="111"/>
              <w:rPr>
                <w:i/>
              </w:rPr>
            </w:pPr>
            <w:r>
              <w:rPr>
                <w:i/>
                <w:sz w:val="20"/>
              </w:rPr>
              <w:t>Note: There may be instances where the audit documentation is not completely organized by the auditor’s report date. However, the</w:t>
            </w:r>
            <w:r>
              <w:rPr>
                <w:i/>
                <w:spacing w:val="40"/>
                <w:sz w:val="20"/>
              </w:rPr>
              <w:t xml:space="preserve"> </w:t>
            </w:r>
            <w:r>
              <w:rPr>
                <w:i/>
                <w:sz w:val="20"/>
              </w:rPr>
              <w:t>auditor’s review date represents when the audit evidence has been obtained, discussed, and agreed to by relevant members of the engagement team. Certain documentation, such as agency comments on</w:t>
            </w:r>
            <w:r>
              <w:rPr>
                <w:i/>
                <w:spacing w:val="-4"/>
                <w:sz w:val="20"/>
              </w:rPr>
              <w:t xml:space="preserve"> </w:t>
            </w:r>
            <w:r>
              <w:rPr>
                <w:i/>
                <w:sz w:val="20"/>
              </w:rPr>
              <w:t>a</w:t>
            </w:r>
            <w:r>
              <w:rPr>
                <w:i/>
                <w:spacing w:val="-4"/>
                <w:sz w:val="20"/>
              </w:rPr>
              <w:t xml:space="preserve"> </w:t>
            </w:r>
            <w:r>
              <w:rPr>
                <w:i/>
                <w:sz w:val="20"/>
              </w:rPr>
              <w:t>draft</w:t>
            </w:r>
            <w:r>
              <w:rPr>
                <w:i/>
                <w:spacing w:val="-4"/>
                <w:sz w:val="20"/>
              </w:rPr>
              <w:t xml:space="preserve"> </w:t>
            </w:r>
            <w:r>
              <w:rPr>
                <w:i/>
                <w:sz w:val="20"/>
              </w:rPr>
              <w:t>report</w:t>
            </w:r>
            <w:r>
              <w:rPr>
                <w:i/>
                <w:spacing w:val="-4"/>
                <w:sz w:val="20"/>
              </w:rPr>
              <w:t xml:space="preserve"> </w:t>
            </w:r>
            <w:r>
              <w:rPr>
                <w:i/>
                <w:sz w:val="20"/>
              </w:rPr>
              <w:t>or</w:t>
            </w:r>
            <w:r>
              <w:rPr>
                <w:i/>
                <w:spacing w:val="-3"/>
                <w:sz w:val="20"/>
              </w:rPr>
              <w:t xml:space="preserve"> </w:t>
            </w:r>
            <w:r>
              <w:rPr>
                <w:i/>
                <w:sz w:val="20"/>
              </w:rPr>
              <w:t>procedures</w:t>
            </w:r>
            <w:r>
              <w:rPr>
                <w:i/>
                <w:spacing w:val="-3"/>
                <w:sz w:val="20"/>
              </w:rPr>
              <w:t xml:space="preserve"> </w:t>
            </w:r>
            <w:r>
              <w:rPr>
                <w:i/>
                <w:sz w:val="20"/>
              </w:rPr>
              <w:t>related</w:t>
            </w:r>
            <w:r>
              <w:rPr>
                <w:i/>
                <w:spacing w:val="-4"/>
                <w:sz w:val="20"/>
              </w:rPr>
              <w:t xml:space="preserve"> </w:t>
            </w:r>
            <w:r>
              <w:rPr>
                <w:i/>
                <w:sz w:val="20"/>
              </w:rPr>
              <w:t>to</w:t>
            </w:r>
            <w:r>
              <w:rPr>
                <w:i/>
                <w:spacing w:val="-4"/>
                <w:sz w:val="20"/>
              </w:rPr>
              <w:t xml:space="preserve"> </w:t>
            </w:r>
            <w:r>
              <w:rPr>
                <w:i/>
                <w:sz w:val="20"/>
              </w:rPr>
              <w:t>subsequently</w:t>
            </w:r>
            <w:r>
              <w:rPr>
                <w:i/>
                <w:spacing w:val="-3"/>
                <w:sz w:val="20"/>
              </w:rPr>
              <w:t xml:space="preserve"> </w:t>
            </w:r>
            <w:r>
              <w:rPr>
                <w:i/>
                <w:sz w:val="20"/>
              </w:rPr>
              <w:t>discovered</w:t>
            </w:r>
            <w:r>
              <w:rPr>
                <w:i/>
                <w:spacing w:val="-5"/>
                <w:sz w:val="20"/>
              </w:rPr>
              <w:t xml:space="preserve"> </w:t>
            </w:r>
            <w:r>
              <w:rPr>
                <w:i/>
                <w:sz w:val="20"/>
              </w:rPr>
              <w:t>facts, cannot be reviewed until after the auditor’s report date</w:t>
            </w:r>
            <w:r>
              <w:rPr>
                <w:i/>
              </w:rPr>
              <w:t>.</w:t>
            </w:r>
          </w:p>
        </w:tc>
        <w:tc>
          <w:tcPr>
            <w:tcW w:w="720" w:type="dxa"/>
            <w:tcBorders>
              <w:top w:val="double" w:sz="4" w:space="0" w:color="000000"/>
              <w:left w:val="single" w:sz="6" w:space="0" w:color="000000"/>
              <w:bottom w:val="single" w:sz="8" w:space="0" w:color="000000"/>
              <w:right w:val="single" w:sz="6" w:space="0" w:color="000000"/>
            </w:tcBorders>
          </w:tcPr>
          <w:p w14:paraId="0DFDD362" w14:textId="77777777" w:rsidR="00046465" w:rsidRDefault="00046465">
            <w:pPr>
              <w:pStyle w:val="TableParagraph"/>
              <w:rPr>
                <w:rFonts w:ascii="Times New Roman"/>
                <w:sz w:val="20"/>
              </w:rPr>
            </w:pPr>
          </w:p>
        </w:tc>
        <w:tc>
          <w:tcPr>
            <w:tcW w:w="1350" w:type="dxa"/>
            <w:tcBorders>
              <w:top w:val="double" w:sz="4" w:space="0" w:color="000000"/>
              <w:left w:val="single" w:sz="6" w:space="0" w:color="000000"/>
              <w:bottom w:val="single" w:sz="8" w:space="0" w:color="000000"/>
            </w:tcBorders>
          </w:tcPr>
          <w:p w14:paraId="0DFDD363" w14:textId="77777777" w:rsidR="00046465" w:rsidRDefault="00046465">
            <w:pPr>
              <w:pStyle w:val="TableParagraph"/>
              <w:rPr>
                <w:rFonts w:ascii="Times New Roman"/>
                <w:sz w:val="20"/>
              </w:rPr>
            </w:pPr>
          </w:p>
        </w:tc>
      </w:tr>
      <w:tr w:rsidR="00046465" w14:paraId="0DFDD368" w14:textId="77777777">
        <w:trPr>
          <w:trHeight w:val="745"/>
        </w:trPr>
        <w:tc>
          <w:tcPr>
            <w:tcW w:w="7446" w:type="dxa"/>
            <w:tcBorders>
              <w:top w:val="single" w:sz="8" w:space="0" w:color="000000"/>
              <w:bottom w:val="single" w:sz="8" w:space="0" w:color="000000"/>
              <w:right w:val="single" w:sz="8" w:space="0" w:color="000000"/>
            </w:tcBorders>
          </w:tcPr>
          <w:p w14:paraId="0DFDD365" w14:textId="77777777" w:rsidR="00046465" w:rsidRDefault="008134EB">
            <w:pPr>
              <w:pStyle w:val="TableParagraph"/>
              <w:spacing w:before="121"/>
              <w:ind w:left="914" w:right="243" w:hanging="361"/>
            </w:pPr>
            <w:r>
              <w:t>6.</w:t>
            </w:r>
            <w:r>
              <w:rPr>
                <w:spacing w:val="80"/>
              </w:rPr>
              <w:t xml:space="preserve"> </w:t>
            </w:r>
            <w:r>
              <w:t>Were</w:t>
            </w:r>
            <w:r>
              <w:rPr>
                <w:spacing w:val="-5"/>
              </w:rPr>
              <w:t xml:space="preserve"> </w:t>
            </w:r>
            <w:r>
              <w:t>review</w:t>
            </w:r>
            <w:r>
              <w:rPr>
                <w:spacing w:val="-6"/>
              </w:rPr>
              <w:t xml:space="preserve"> </w:t>
            </w:r>
            <w:r>
              <w:t>responsibilities</w:t>
            </w:r>
            <w:r>
              <w:rPr>
                <w:spacing w:val="-5"/>
              </w:rPr>
              <w:t xml:space="preserve"> </w:t>
            </w:r>
            <w:r>
              <w:t>documented</w:t>
            </w:r>
            <w:r>
              <w:rPr>
                <w:spacing w:val="-5"/>
              </w:rPr>
              <w:t xml:space="preserve"> </w:t>
            </w:r>
            <w:r>
              <w:t>and</w:t>
            </w:r>
            <w:r>
              <w:rPr>
                <w:spacing w:val="-5"/>
              </w:rPr>
              <w:t xml:space="preserve"> </w:t>
            </w:r>
            <w:r>
              <w:t>communicated</w:t>
            </w:r>
            <w:r>
              <w:rPr>
                <w:spacing w:val="-4"/>
              </w:rPr>
              <w:t xml:space="preserve"> </w:t>
            </w:r>
            <w:r>
              <w:t>to all individuals on the engagement?</w:t>
            </w:r>
          </w:p>
        </w:tc>
        <w:tc>
          <w:tcPr>
            <w:tcW w:w="720" w:type="dxa"/>
            <w:tcBorders>
              <w:top w:val="single" w:sz="8" w:space="0" w:color="000000"/>
              <w:left w:val="single" w:sz="8" w:space="0" w:color="000000"/>
              <w:bottom w:val="single" w:sz="8" w:space="0" w:color="000000"/>
              <w:right w:val="single" w:sz="8" w:space="0" w:color="000000"/>
            </w:tcBorders>
          </w:tcPr>
          <w:p w14:paraId="0DFDD366"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367" w14:textId="77777777" w:rsidR="00046465" w:rsidRDefault="00046465">
            <w:pPr>
              <w:pStyle w:val="TableParagraph"/>
              <w:rPr>
                <w:rFonts w:ascii="Times New Roman"/>
                <w:sz w:val="20"/>
              </w:rPr>
            </w:pPr>
          </w:p>
        </w:tc>
      </w:tr>
      <w:tr w:rsidR="00046465" w14:paraId="0DFDD36C" w14:textId="77777777">
        <w:trPr>
          <w:trHeight w:val="998"/>
        </w:trPr>
        <w:tc>
          <w:tcPr>
            <w:tcW w:w="7446" w:type="dxa"/>
            <w:tcBorders>
              <w:top w:val="single" w:sz="8" w:space="0" w:color="000000"/>
              <w:bottom w:val="single" w:sz="8" w:space="0" w:color="000000"/>
              <w:right w:val="single" w:sz="8" w:space="0" w:color="000000"/>
            </w:tcBorders>
          </w:tcPr>
          <w:p w14:paraId="0DFDD369" w14:textId="77777777" w:rsidR="00046465" w:rsidRDefault="008134EB">
            <w:pPr>
              <w:pStyle w:val="TableParagraph"/>
              <w:spacing w:before="121"/>
              <w:ind w:left="914" w:right="114" w:hanging="361"/>
              <w:jc w:val="both"/>
            </w:pPr>
            <w:r>
              <w:t>7.</w:t>
            </w:r>
            <w:r>
              <w:rPr>
                <w:spacing w:val="80"/>
              </w:rPr>
              <w:t xml:space="preserve"> </w:t>
            </w:r>
            <w:r>
              <w:t>Did</w:t>
            </w:r>
            <w:r>
              <w:rPr>
                <w:spacing w:val="-3"/>
              </w:rPr>
              <w:t xml:space="preserve"> </w:t>
            </w:r>
            <w:r>
              <w:t>the</w:t>
            </w:r>
            <w:r>
              <w:rPr>
                <w:spacing w:val="-3"/>
              </w:rPr>
              <w:t xml:space="preserve"> </w:t>
            </w:r>
            <w:r>
              <w:t>audit</w:t>
            </w:r>
            <w:r>
              <w:rPr>
                <w:spacing w:val="-3"/>
              </w:rPr>
              <w:t xml:space="preserve"> </w:t>
            </w:r>
            <w:r>
              <w:t>director</w:t>
            </w:r>
            <w:r>
              <w:rPr>
                <w:spacing w:val="-3"/>
              </w:rPr>
              <w:t xml:space="preserve"> </w:t>
            </w:r>
            <w:r>
              <w:t>determine</w:t>
            </w:r>
            <w:r>
              <w:rPr>
                <w:spacing w:val="-3"/>
              </w:rPr>
              <w:t xml:space="preserve"> </w:t>
            </w:r>
            <w:r>
              <w:t>that</w:t>
            </w:r>
            <w:r>
              <w:rPr>
                <w:spacing w:val="-3"/>
              </w:rPr>
              <w:t xml:space="preserve"> </w:t>
            </w:r>
            <w:r>
              <w:t>the</w:t>
            </w:r>
            <w:r>
              <w:rPr>
                <w:spacing w:val="-3"/>
              </w:rPr>
              <w:t xml:space="preserve"> </w:t>
            </w:r>
            <w:r>
              <w:t>work</w:t>
            </w:r>
            <w:r>
              <w:rPr>
                <w:spacing w:val="-3"/>
              </w:rPr>
              <w:t xml:space="preserve"> </w:t>
            </w:r>
            <w:r>
              <w:t>performed</w:t>
            </w:r>
            <w:r>
              <w:rPr>
                <w:spacing w:val="-3"/>
              </w:rPr>
              <w:t xml:space="preserve"> </w:t>
            </w:r>
            <w:r>
              <w:t>by</w:t>
            </w:r>
            <w:r>
              <w:rPr>
                <w:spacing w:val="-3"/>
              </w:rPr>
              <w:t xml:space="preserve"> </w:t>
            </w:r>
            <w:r>
              <w:t>the</w:t>
            </w:r>
            <w:r>
              <w:rPr>
                <w:spacing w:val="-3"/>
              </w:rPr>
              <w:t xml:space="preserve"> </w:t>
            </w:r>
            <w:r>
              <w:t xml:space="preserve">IS controls auditor is sufficient and appropriate for meeting the audit </w:t>
            </w:r>
            <w:r>
              <w:rPr>
                <w:spacing w:val="-2"/>
              </w:rPr>
              <w:t>objectives?</w:t>
            </w:r>
          </w:p>
        </w:tc>
        <w:tc>
          <w:tcPr>
            <w:tcW w:w="720" w:type="dxa"/>
            <w:tcBorders>
              <w:top w:val="single" w:sz="8" w:space="0" w:color="000000"/>
              <w:left w:val="single" w:sz="8" w:space="0" w:color="000000"/>
              <w:bottom w:val="single" w:sz="8" w:space="0" w:color="000000"/>
              <w:right w:val="single" w:sz="8" w:space="0" w:color="000000"/>
            </w:tcBorders>
          </w:tcPr>
          <w:p w14:paraId="0DFDD36A"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36B" w14:textId="77777777" w:rsidR="00046465" w:rsidRDefault="00046465">
            <w:pPr>
              <w:pStyle w:val="TableParagraph"/>
              <w:rPr>
                <w:rFonts w:ascii="Times New Roman"/>
                <w:sz w:val="20"/>
              </w:rPr>
            </w:pPr>
          </w:p>
        </w:tc>
      </w:tr>
      <w:tr w:rsidR="00046465" w14:paraId="0DFDD370" w14:textId="77777777">
        <w:trPr>
          <w:trHeight w:val="1252"/>
        </w:trPr>
        <w:tc>
          <w:tcPr>
            <w:tcW w:w="7446" w:type="dxa"/>
            <w:tcBorders>
              <w:top w:val="single" w:sz="8" w:space="0" w:color="000000"/>
              <w:bottom w:val="single" w:sz="8" w:space="0" w:color="000000"/>
              <w:right w:val="single" w:sz="8" w:space="0" w:color="000000"/>
            </w:tcBorders>
          </w:tcPr>
          <w:p w14:paraId="0DFDD36D" w14:textId="77777777" w:rsidR="00046465" w:rsidRDefault="008134EB">
            <w:pPr>
              <w:pStyle w:val="TableParagraph"/>
              <w:spacing w:before="121"/>
              <w:ind w:left="914" w:hanging="361"/>
            </w:pPr>
            <w:r>
              <w:t>8.</w:t>
            </w:r>
            <w:r>
              <w:rPr>
                <w:spacing w:val="80"/>
              </w:rPr>
              <w:t xml:space="preserve"> </w:t>
            </w:r>
            <w:r>
              <w:t>Was any documentation prepared by an IS controls auditor reviewed</w:t>
            </w:r>
            <w:r>
              <w:rPr>
                <w:spacing w:val="-5"/>
              </w:rPr>
              <w:t xml:space="preserve"> </w:t>
            </w:r>
            <w:r>
              <w:t>by</w:t>
            </w:r>
            <w:r>
              <w:rPr>
                <w:spacing w:val="-6"/>
              </w:rPr>
              <w:t xml:space="preserve"> </w:t>
            </w:r>
            <w:r>
              <w:t>an</w:t>
            </w:r>
            <w:r>
              <w:rPr>
                <w:spacing w:val="-5"/>
              </w:rPr>
              <w:t xml:space="preserve"> </w:t>
            </w:r>
            <w:r>
              <w:t>individual</w:t>
            </w:r>
            <w:r>
              <w:rPr>
                <w:spacing w:val="-5"/>
              </w:rPr>
              <w:t xml:space="preserve"> </w:t>
            </w:r>
            <w:r>
              <w:t>with</w:t>
            </w:r>
            <w:r>
              <w:rPr>
                <w:spacing w:val="-5"/>
              </w:rPr>
              <w:t xml:space="preserve"> </w:t>
            </w:r>
            <w:r>
              <w:t>sufficient</w:t>
            </w:r>
            <w:r>
              <w:rPr>
                <w:spacing w:val="-5"/>
              </w:rPr>
              <w:t xml:space="preserve"> </w:t>
            </w:r>
            <w:r>
              <w:t>technical</w:t>
            </w:r>
            <w:r>
              <w:rPr>
                <w:spacing w:val="-5"/>
              </w:rPr>
              <w:t xml:space="preserve"> </w:t>
            </w:r>
            <w:r>
              <w:t>knowledge</w:t>
            </w:r>
            <w:r>
              <w:rPr>
                <w:spacing w:val="-5"/>
              </w:rPr>
              <w:t xml:space="preserve"> </w:t>
            </w:r>
            <w:r>
              <w:t>to determine whether the work was properly performed and the conclusions reached are reasonable and supported?</w:t>
            </w:r>
          </w:p>
        </w:tc>
        <w:tc>
          <w:tcPr>
            <w:tcW w:w="720" w:type="dxa"/>
            <w:tcBorders>
              <w:top w:val="single" w:sz="8" w:space="0" w:color="000000"/>
              <w:left w:val="single" w:sz="8" w:space="0" w:color="000000"/>
              <w:bottom w:val="single" w:sz="8" w:space="0" w:color="000000"/>
              <w:right w:val="single" w:sz="8" w:space="0" w:color="000000"/>
            </w:tcBorders>
          </w:tcPr>
          <w:p w14:paraId="0DFDD36E"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36F" w14:textId="77777777" w:rsidR="00046465" w:rsidRDefault="00046465">
            <w:pPr>
              <w:pStyle w:val="TableParagraph"/>
              <w:rPr>
                <w:rFonts w:ascii="Times New Roman"/>
                <w:sz w:val="20"/>
              </w:rPr>
            </w:pPr>
          </w:p>
        </w:tc>
      </w:tr>
      <w:tr w:rsidR="00046465" w14:paraId="0DFDD374" w14:textId="77777777">
        <w:trPr>
          <w:trHeight w:val="1252"/>
        </w:trPr>
        <w:tc>
          <w:tcPr>
            <w:tcW w:w="7446" w:type="dxa"/>
            <w:tcBorders>
              <w:top w:val="single" w:sz="8" w:space="0" w:color="000000"/>
              <w:bottom w:val="single" w:sz="8" w:space="0" w:color="000000"/>
              <w:right w:val="single" w:sz="8" w:space="0" w:color="000000"/>
            </w:tcBorders>
          </w:tcPr>
          <w:p w14:paraId="0DFDD371" w14:textId="77777777" w:rsidR="00046465" w:rsidRDefault="008134EB">
            <w:pPr>
              <w:pStyle w:val="TableParagraph"/>
              <w:spacing w:before="121"/>
              <w:ind w:left="914" w:right="243" w:hanging="361"/>
            </w:pPr>
            <w:r>
              <w:t>9.</w:t>
            </w:r>
            <w:r>
              <w:rPr>
                <w:spacing w:val="79"/>
              </w:rPr>
              <w:t xml:space="preserve"> </w:t>
            </w:r>
            <w:r>
              <w:t>For</w:t>
            </w:r>
            <w:r>
              <w:rPr>
                <w:spacing w:val="-3"/>
              </w:rPr>
              <w:t xml:space="preserve"> </w:t>
            </w:r>
            <w:r>
              <w:t>(a)</w:t>
            </w:r>
            <w:r>
              <w:rPr>
                <w:spacing w:val="-3"/>
              </w:rPr>
              <w:t xml:space="preserve"> </w:t>
            </w:r>
            <w:r>
              <w:t>financial</w:t>
            </w:r>
            <w:r>
              <w:rPr>
                <w:spacing w:val="-3"/>
              </w:rPr>
              <w:t xml:space="preserve"> </w:t>
            </w:r>
            <w:r>
              <w:t>statement</w:t>
            </w:r>
            <w:r>
              <w:rPr>
                <w:spacing w:val="-3"/>
              </w:rPr>
              <w:t xml:space="preserve"> </w:t>
            </w:r>
            <w:r>
              <w:t>level</w:t>
            </w:r>
            <w:r>
              <w:rPr>
                <w:spacing w:val="-3"/>
              </w:rPr>
              <w:t xml:space="preserve"> </w:t>
            </w:r>
            <w:r>
              <w:t>risks</w:t>
            </w:r>
            <w:r>
              <w:rPr>
                <w:spacing w:val="-3"/>
              </w:rPr>
              <w:t xml:space="preserve"> </w:t>
            </w:r>
            <w:r>
              <w:t>and</w:t>
            </w:r>
            <w:r>
              <w:rPr>
                <w:spacing w:val="-3"/>
              </w:rPr>
              <w:t xml:space="preserve"> </w:t>
            </w:r>
            <w:r>
              <w:t>(b)</w:t>
            </w:r>
            <w:r>
              <w:rPr>
                <w:spacing w:val="-3"/>
              </w:rPr>
              <w:t xml:space="preserve"> </w:t>
            </w:r>
            <w:r>
              <w:t>significant</w:t>
            </w:r>
            <w:r>
              <w:rPr>
                <w:spacing w:val="-3"/>
              </w:rPr>
              <w:t xml:space="preserve"> </w:t>
            </w:r>
            <w:r>
              <w:t>risks</w:t>
            </w:r>
            <w:r>
              <w:rPr>
                <w:spacing w:val="-4"/>
              </w:rPr>
              <w:t xml:space="preserve"> </w:t>
            </w:r>
            <w:r>
              <w:t>at the assertion level, did the audit director or assistant director perform secondary review of the audit documentation detailing the auditor’s response to those risks?</w:t>
            </w:r>
          </w:p>
        </w:tc>
        <w:tc>
          <w:tcPr>
            <w:tcW w:w="720" w:type="dxa"/>
            <w:tcBorders>
              <w:top w:val="single" w:sz="8" w:space="0" w:color="000000"/>
              <w:left w:val="single" w:sz="8" w:space="0" w:color="000000"/>
              <w:bottom w:val="single" w:sz="8" w:space="0" w:color="000000"/>
              <w:right w:val="single" w:sz="8" w:space="0" w:color="000000"/>
            </w:tcBorders>
          </w:tcPr>
          <w:p w14:paraId="0DFDD372"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373" w14:textId="77777777" w:rsidR="00046465" w:rsidRDefault="00046465">
            <w:pPr>
              <w:pStyle w:val="TableParagraph"/>
              <w:rPr>
                <w:rFonts w:ascii="Times New Roman"/>
                <w:sz w:val="20"/>
              </w:rPr>
            </w:pPr>
          </w:p>
        </w:tc>
      </w:tr>
      <w:tr w:rsidR="00046465" w14:paraId="0DFDD378" w14:textId="77777777">
        <w:trPr>
          <w:trHeight w:val="998"/>
        </w:trPr>
        <w:tc>
          <w:tcPr>
            <w:tcW w:w="7446" w:type="dxa"/>
            <w:tcBorders>
              <w:top w:val="single" w:sz="8" w:space="0" w:color="000000"/>
              <w:bottom w:val="single" w:sz="8" w:space="0" w:color="000000"/>
              <w:right w:val="single" w:sz="8" w:space="0" w:color="000000"/>
            </w:tcBorders>
          </w:tcPr>
          <w:p w14:paraId="0DFDD375" w14:textId="77777777" w:rsidR="00046465" w:rsidRDefault="008134EB">
            <w:pPr>
              <w:pStyle w:val="TableParagraph"/>
              <w:spacing w:before="121"/>
              <w:ind w:left="914" w:right="75" w:hanging="360"/>
            </w:pPr>
            <w:r>
              <w:t>10.</w:t>
            </w:r>
            <w:r>
              <w:rPr>
                <w:spacing w:val="-11"/>
              </w:rPr>
              <w:t xml:space="preserve"> </w:t>
            </w:r>
            <w:r>
              <w:t>Was</w:t>
            </w:r>
            <w:r>
              <w:rPr>
                <w:spacing w:val="-4"/>
              </w:rPr>
              <w:t xml:space="preserve"> </w:t>
            </w:r>
            <w:r>
              <w:t>all</w:t>
            </w:r>
            <w:r>
              <w:rPr>
                <w:spacing w:val="-4"/>
              </w:rPr>
              <w:t xml:space="preserve"> </w:t>
            </w:r>
            <w:r>
              <w:t>documentation</w:t>
            </w:r>
            <w:r>
              <w:rPr>
                <w:spacing w:val="-4"/>
              </w:rPr>
              <w:t xml:space="preserve"> </w:t>
            </w:r>
            <w:r>
              <w:t>prepared</w:t>
            </w:r>
            <w:r>
              <w:rPr>
                <w:spacing w:val="-4"/>
              </w:rPr>
              <w:t xml:space="preserve"> </w:t>
            </w:r>
            <w:r>
              <w:t>by</w:t>
            </w:r>
            <w:r>
              <w:rPr>
                <w:spacing w:val="-5"/>
              </w:rPr>
              <w:t xml:space="preserve"> </w:t>
            </w:r>
            <w:r>
              <w:t>the</w:t>
            </w:r>
            <w:r>
              <w:rPr>
                <w:spacing w:val="-4"/>
              </w:rPr>
              <w:t xml:space="preserve"> </w:t>
            </w:r>
            <w:r>
              <w:t>audit</w:t>
            </w:r>
            <w:r>
              <w:rPr>
                <w:spacing w:val="-4"/>
              </w:rPr>
              <w:t xml:space="preserve"> </w:t>
            </w:r>
            <w:r>
              <w:t>director</w:t>
            </w:r>
            <w:r>
              <w:rPr>
                <w:spacing w:val="-4"/>
              </w:rPr>
              <w:t xml:space="preserve"> </w:t>
            </w:r>
            <w:r>
              <w:t>or</w:t>
            </w:r>
            <w:r>
              <w:rPr>
                <w:spacing w:val="-4"/>
              </w:rPr>
              <w:t xml:space="preserve"> </w:t>
            </w:r>
            <w:r>
              <w:t>assistant directors read by the auditor-in-charge to determine its consistency with any related documentation?</w:t>
            </w:r>
          </w:p>
        </w:tc>
        <w:tc>
          <w:tcPr>
            <w:tcW w:w="720" w:type="dxa"/>
            <w:tcBorders>
              <w:top w:val="single" w:sz="8" w:space="0" w:color="000000"/>
              <w:left w:val="single" w:sz="8" w:space="0" w:color="000000"/>
              <w:bottom w:val="single" w:sz="8" w:space="0" w:color="000000"/>
              <w:right w:val="single" w:sz="8" w:space="0" w:color="000000"/>
            </w:tcBorders>
          </w:tcPr>
          <w:p w14:paraId="0DFDD376"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377" w14:textId="77777777" w:rsidR="00046465" w:rsidRDefault="00046465">
            <w:pPr>
              <w:pStyle w:val="TableParagraph"/>
              <w:rPr>
                <w:rFonts w:ascii="Times New Roman"/>
                <w:sz w:val="20"/>
              </w:rPr>
            </w:pPr>
          </w:p>
        </w:tc>
      </w:tr>
      <w:tr w:rsidR="00046465" w14:paraId="0DFDD37C" w14:textId="77777777">
        <w:trPr>
          <w:trHeight w:val="1251"/>
        </w:trPr>
        <w:tc>
          <w:tcPr>
            <w:tcW w:w="7446" w:type="dxa"/>
            <w:tcBorders>
              <w:top w:val="single" w:sz="8" w:space="0" w:color="000000"/>
              <w:bottom w:val="single" w:sz="8" w:space="0" w:color="000000"/>
              <w:right w:val="single" w:sz="8" w:space="0" w:color="000000"/>
            </w:tcBorders>
          </w:tcPr>
          <w:p w14:paraId="0DFDD379" w14:textId="77777777" w:rsidR="00046465" w:rsidRDefault="008134EB">
            <w:pPr>
              <w:pStyle w:val="TableParagraph"/>
              <w:spacing w:before="121"/>
              <w:ind w:left="914" w:hanging="360"/>
            </w:pPr>
            <w:r>
              <w:t>11. If the documentation indicated a difference of opinion between engagement</w:t>
            </w:r>
            <w:r>
              <w:rPr>
                <w:spacing w:val="-6"/>
              </w:rPr>
              <w:t xml:space="preserve"> </w:t>
            </w:r>
            <w:r>
              <w:t>personnel</w:t>
            </w:r>
            <w:r>
              <w:rPr>
                <w:spacing w:val="-6"/>
              </w:rPr>
              <w:t xml:space="preserve"> </w:t>
            </w:r>
            <w:r>
              <w:t>or</w:t>
            </w:r>
            <w:r>
              <w:rPr>
                <w:spacing w:val="-6"/>
              </w:rPr>
              <w:t xml:space="preserve"> </w:t>
            </w:r>
            <w:r>
              <w:t>between</w:t>
            </w:r>
            <w:r>
              <w:rPr>
                <w:spacing w:val="-6"/>
              </w:rPr>
              <w:t xml:space="preserve"> </w:t>
            </w:r>
            <w:r>
              <w:t>engagement</w:t>
            </w:r>
            <w:r>
              <w:rPr>
                <w:spacing w:val="-6"/>
              </w:rPr>
              <w:t xml:space="preserve"> </w:t>
            </w:r>
            <w:r>
              <w:t>personnel</w:t>
            </w:r>
            <w:r>
              <w:rPr>
                <w:spacing w:val="-6"/>
              </w:rPr>
              <w:t xml:space="preserve"> </w:t>
            </w:r>
            <w:r>
              <w:t>and</w:t>
            </w:r>
            <w:r>
              <w:rPr>
                <w:spacing w:val="-6"/>
              </w:rPr>
              <w:t xml:space="preserve"> </w:t>
            </w:r>
            <w:r>
              <w:t>a specialist or other person consulted, was the difference resolved appropriately and was the basis of the resolution documented?</w:t>
            </w:r>
          </w:p>
        </w:tc>
        <w:tc>
          <w:tcPr>
            <w:tcW w:w="720" w:type="dxa"/>
            <w:tcBorders>
              <w:top w:val="single" w:sz="8" w:space="0" w:color="000000"/>
              <w:left w:val="single" w:sz="8" w:space="0" w:color="000000"/>
              <w:bottom w:val="single" w:sz="8" w:space="0" w:color="000000"/>
              <w:right w:val="single" w:sz="8" w:space="0" w:color="000000"/>
            </w:tcBorders>
          </w:tcPr>
          <w:p w14:paraId="0DFDD37A"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tcPr>
          <w:p w14:paraId="0DFDD37B" w14:textId="77777777" w:rsidR="00046465" w:rsidRDefault="00046465">
            <w:pPr>
              <w:pStyle w:val="TableParagraph"/>
              <w:rPr>
                <w:rFonts w:ascii="Times New Roman"/>
                <w:sz w:val="20"/>
              </w:rPr>
            </w:pPr>
          </w:p>
        </w:tc>
      </w:tr>
      <w:tr w:rsidR="00046465" w14:paraId="0DFDD380" w14:textId="77777777">
        <w:trPr>
          <w:trHeight w:val="746"/>
        </w:trPr>
        <w:tc>
          <w:tcPr>
            <w:tcW w:w="7446" w:type="dxa"/>
            <w:tcBorders>
              <w:top w:val="single" w:sz="8" w:space="0" w:color="000000"/>
              <w:bottom w:val="single" w:sz="8" w:space="0" w:color="000000"/>
              <w:right w:val="single" w:sz="8" w:space="0" w:color="000000"/>
            </w:tcBorders>
          </w:tcPr>
          <w:p w14:paraId="0DFDD37D" w14:textId="77777777" w:rsidR="00046465" w:rsidRDefault="008134EB">
            <w:pPr>
              <w:pStyle w:val="TableParagraph"/>
              <w:spacing w:before="121"/>
              <w:ind w:left="914" w:right="512" w:hanging="360"/>
            </w:pPr>
            <w:r>
              <w:t>12.</w:t>
            </w:r>
            <w:r>
              <w:rPr>
                <w:spacing w:val="-11"/>
              </w:rPr>
              <w:t xml:space="preserve"> </w:t>
            </w:r>
            <w:r>
              <w:t>In</w:t>
            </w:r>
            <w:r>
              <w:rPr>
                <w:spacing w:val="-4"/>
              </w:rPr>
              <w:t xml:space="preserve"> </w:t>
            </w:r>
            <w:r>
              <w:t>addition</w:t>
            </w:r>
            <w:r>
              <w:rPr>
                <w:spacing w:val="-4"/>
              </w:rPr>
              <w:t xml:space="preserve"> </w:t>
            </w:r>
            <w:r>
              <w:t>to</w:t>
            </w:r>
            <w:r>
              <w:rPr>
                <w:spacing w:val="-4"/>
              </w:rPr>
              <w:t xml:space="preserve"> </w:t>
            </w:r>
            <w:r>
              <w:t>the</w:t>
            </w:r>
            <w:r>
              <w:rPr>
                <w:spacing w:val="-4"/>
              </w:rPr>
              <w:t xml:space="preserve"> </w:t>
            </w:r>
            <w:r>
              <w:t>questions</w:t>
            </w:r>
            <w:r>
              <w:rPr>
                <w:spacing w:val="-4"/>
              </w:rPr>
              <w:t xml:space="preserve"> </w:t>
            </w:r>
            <w:r>
              <w:t>above,</w:t>
            </w:r>
            <w:r>
              <w:rPr>
                <w:spacing w:val="-5"/>
              </w:rPr>
              <w:t xml:space="preserve"> </w:t>
            </w:r>
            <w:r>
              <w:t>determine</w:t>
            </w:r>
            <w:r>
              <w:rPr>
                <w:spacing w:val="-4"/>
              </w:rPr>
              <w:t xml:space="preserve"> </w:t>
            </w:r>
            <w:r>
              <w:t>whether</w:t>
            </w:r>
            <w:r>
              <w:rPr>
                <w:spacing w:val="-4"/>
              </w:rPr>
              <w:t xml:space="preserve"> </w:t>
            </w:r>
            <w:r>
              <w:t>the following objectives were achieved. (AU-C 200.23)</w:t>
            </w:r>
          </w:p>
        </w:tc>
        <w:tc>
          <w:tcPr>
            <w:tcW w:w="720" w:type="dxa"/>
            <w:tcBorders>
              <w:top w:val="single" w:sz="8" w:space="0" w:color="000000"/>
              <w:left w:val="single" w:sz="8" w:space="0" w:color="000000"/>
              <w:bottom w:val="single" w:sz="8" w:space="0" w:color="000000"/>
              <w:right w:val="single" w:sz="8" w:space="0" w:color="000000"/>
            </w:tcBorders>
            <w:shd w:val="clear" w:color="auto" w:fill="BEBEBE"/>
          </w:tcPr>
          <w:p w14:paraId="0DFDD37E" w14:textId="77777777" w:rsidR="00046465" w:rsidRDefault="00046465">
            <w:pPr>
              <w:pStyle w:val="TableParagraph"/>
              <w:rPr>
                <w:rFonts w:ascii="Times New Roman"/>
                <w:sz w:val="20"/>
              </w:rPr>
            </w:pPr>
          </w:p>
        </w:tc>
        <w:tc>
          <w:tcPr>
            <w:tcW w:w="1350" w:type="dxa"/>
            <w:tcBorders>
              <w:top w:val="single" w:sz="8" w:space="0" w:color="000000"/>
              <w:left w:val="single" w:sz="8" w:space="0" w:color="000000"/>
              <w:bottom w:val="single" w:sz="8" w:space="0" w:color="000000"/>
            </w:tcBorders>
            <w:shd w:val="clear" w:color="auto" w:fill="BEBEBE"/>
          </w:tcPr>
          <w:p w14:paraId="0DFDD37F" w14:textId="77777777" w:rsidR="00046465" w:rsidRDefault="00046465">
            <w:pPr>
              <w:pStyle w:val="TableParagraph"/>
              <w:rPr>
                <w:rFonts w:ascii="Times New Roman"/>
                <w:sz w:val="20"/>
              </w:rPr>
            </w:pPr>
          </w:p>
        </w:tc>
      </w:tr>
    </w:tbl>
    <w:p w14:paraId="0DFDD381" w14:textId="77777777" w:rsidR="00046465" w:rsidRDefault="00046465">
      <w:pPr>
        <w:pStyle w:val="TableParagraph"/>
        <w:rPr>
          <w:rFonts w:ascii="Times New Roman"/>
          <w:sz w:val="20"/>
        </w:rPr>
        <w:sectPr w:rsidR="00046465">
          <w:pgSz w:w="12240" w:h="15840"/>
          <w:pgMar w:top="1340" w:right="720" w:bottom="940" w:left="360" w:header="721" w:footer="757" w:gutter="0"/>
          <w:cols w:space="720"/>
        </w:sectPr>
      </w:pPr>
    </w:p>
    <w:p w14:paraId="0DFDD382" w14:textId="77777777" w:rsidR="00046465" w:rsidRDefault="00046465">
      <w:pPr>
        <w:pStyle w:val="BodyText"/>
        <w:spacing w:before="9"/>
        <w:rPr>
          <w:sz w:val="11"/>
        </w:rPr>
      </w:pPr>
    </w:p>
    <w:tbl>
      <w:tblPr>
        <w:tblW w:w="0" w:type="auto"/>
        <w:tblInd w:w="1126" w:type="dxa"/>
        <w:tblBorders>
          <w:top w:val="double" w:sz="6" w:space="0" w:color="000000"/>
          <w:left w:val="double" w:sz="6" w:space="0" w:color="000000"/>
          <w:bottom w:val="double" w:sz="6" w:space="0" w:color="000000"/>
          <w:right w:val="double" w:sz="6" w:space="0" w:color="000000"/>
          <w:insideH w:val="double" w:sz="6" w:space="0" w:color="000000"/>
          <w:insideV w:val="double" w:sz="6" w:space="0" w:color="000000"/>
        </w:tblBorders>
        <w:tblLayout w:type="fixed"/>
        <w:tblCellMar>
          <w:left w:w="0" w:type="dxa"/>
          <w:right w:w="0" w:type="dxa"/>
        </w:tblCellMar>
        <w:tblLook w:val="01E0" w:firstRow="1" w:lastRow="1" w:firstColumn="1" w:lastColumn="1" w:noHBand="0" w:noVBand="0"/>
      </w:tblPr>
      <w:tblGrid>
        <w:gridCol w:w="7446"/>
        <w:gridCol w:w="720"/>
        <w:gridCol w:w="1350"/>
      </w:tblGrid>
      <w:tr w:rsidR="00046465" w14:paraId="0DFDD38A" w14:textId="77777777">
        <w:trPr>
          <w:trHeight w:val="999"/>
        </w:trPr>
        <w:tc>
          <w:tcPr>
            <w:tcW w:w="7446" w:type="dxa"/>
            <w:tcBorders>
              <w:bottom w:val="double" w:sz="4" w:space="0" w:color="000000"/>
              <w:right w:val="single" w:sz="8" w:space="0" w:color="000000"/>
            </w:tcBorders>
            <w:shd w:val="clear" w:color="auto" w:fill="A6A6A6"/>
          </w:tcPr>
          <w:p w14:paraId="0DFDD383" w14:textId="77777777" w:rsidR="00046465" w:rsidRDefault="00046465">
            <w:pPr>
              <w:pStyle w:val="TableParagraph"/>
              <w:rPr>
                <w:sz w:val="24"/>
              </w:rPr>
            </w:pPr>
          </w:p>
          <w:p w14:paraId="0DFDD384" w14:textId="77777777" w:rsidR="00046465" w:rsidRDefault="00046465">
            <w:pPr>
              <w:pStyle w:val="TableParagraph"/>
              <w:spacing w:before="72"/>
              <w:rPr>
                <w:sz w:val="24"/>
              </w:rPr>
            </w:pPr>
          </w:p>
          <w:p w14:paraId="0DFDD385" w14:textId="77777777" w:rsidR="00046465" w:rsidRDefault="008134EB">
            <w:pPr>
              <w:pStyle w:val="TableParagraph"/>
              <w:spacing w:before="1"/>
              <w:ind w:left="104"/>
              <w:rPr>
                <w:b/>
                <w:sz w:val="24"/>
              </w:rPr>
            </w:pPr>
            <w:r>
              <w:rPr>
                <w:b/>
                <w:sz w:val="24"/>
              </w:rPr>
              <w:t>Section</w:t>
            </w:r>
            <w:r>
              <w:rPr>
                <w:b/>
                <w:spacing w:val="-3"/>
                <w:sz w:val="24"/>
              </w:rPr>
              <w:t xml:space="preserve"> </w:t>
            </w:r>
            <w:r>
              <w:rPr>
                <w:b/>
                <w:sz w:val="24"/>
              </w:rPr>
              <w:t>V:</w:t>
            </w:r>
            <w:r>
              <w:rPr>
                <w:b/>
                <w:spacing w:val="-2"/>
                <w:sz w:val="24"/>
              </w:rPr>
              <w:t xml:space="preserve"> </w:t>
            </w:r>
            <w:r>
              <w:rPr>
                <w:b/>
                <w:sz w:val="24"/>
              </w:rPr>
              <w:t>GAO’s</w:t>
            </w:r>
            <w:r>
              <w:rPr>
                <w:b/>
                <w:spacing w:val="-3"/>
                <w:sz w:val="24"/>
              </w:rPr>
              <w:t xml:space="preserve"> </w:t>
            </w:r>
            <w:r>
              <w:rPr>
                <w:b/>
                <w:sz w:val="24"/>
              </w:rPr>
              <w:t>Quality</w:t>
            </w:r>
            <w:r>
              <w:rPr>
                <w:b/>
                <w:spacing w:val="-3"/>
                <w:sz w:val="24"/>
              </w:rPr>
              <w:t xml:space="preserve"> </w:t>
            </w:r>
            <w:r>
              <w:rPr>
                <w:b/>
                <w:sz w:val="24"/>
              </w:rPr>
              <w:t>Control</w:t>
            </w:r>
            <w:r>
              <w:rPr>
                <w:b/>
                <w:spacing w:val="-2"/>
                <w:sz w:val="24"/>
              </w:rPr>
              <w:t xml:space="preserve"> </w:t>
            </w:r>
            <w:r>
              <w:rPr>
                <w:b/>
                <w:sz w:val="24"/>
              </w:rPr>
              <w:t>(GAO</w:t>
            </w:r>
            <w:r>
              <w:rPr>
                <w:b/>
                <w:spacing w:val="-1"/>
                <w:sz w:val="24"/>
              </w:rPr>
              <w:t xml:space="preserve"> </w:t>
            </w:r>
            <w:r>
              <w:rPr>
                <w:b/>
                <w:spacing w:val="-4"/>
                <w:sz w:val="24"/>
              </w:rPr>
              <w:t>Only)</w:t>
            </w:r>
          </w:p>
        </w:tc>
        <w:tc>
          <w:tcPr>
            <w:tcW w:w="720" w:type="dxa"/>
            <w:tcBorders>
              <w:left w:val="single" w:sz="8" w:space="0" w:color="000000"/>
              <w:bottom w:val="double" w:sz="4" w:space="0" w:color="000000"/>
              <w:right w:val="single" w:sz="8" w:space="0" w:color="000000"/>
            </w:tcBorders>
            <w:shd w:val="clear" w:color="auto" w:fill="A6A6A6"/>
          </w:tcPr>
          <w:p w14:paraId="0DFDD386" w14:textId="77777777" w:rsidR="00046465" w:rsidRDefault="008134EB">
            <w:pPr>
              <w:pStyle w:val="TableParagraph"/>
              <w:spacing w:before="120"/>
              <w:ind w:left="137" w:right="115" w:hanging="8"/>
              <w:jc w:val="both"/>
              <w:rPr>
                <w:b/>
              </w:rPr>
            </w:pPr>
            <w:r>
              <w:rPr>
                <w:b/>
                <w:spacing w:val="-4"/>
              </w:rPr>
              <w:t>Yes, No,* N/A</w:t>
            </w:r>
          </w:p>
        </w:tc>
        <w:tc>
          <w:tcPr>
            <w:tcW w:w="1350" w:type="dxa"/>
            <w:tcBorders>
              <w:left w:val="single" w:sz="8" w:space="0" w:color="000000"/>
              <w:bottom w:val="double" w:sz="4" w:space="0" w:color="000000"/>
            </w:tcBorders>
            <w:shd w:val="clear" w:color="auto" w:fill="A6A6A6"/>
          </w:tcPr>
          <w:p w14:paraId="0DFDD387" w14:textId="77777777" w:rsidR="00046465" w:rsidRDefault="00046465">
            <w:pPr>
              <w:pStyle w:val="TableParagraph"/>
            </w:pPr>
          </w:p>
          <w:p w14:paraId="0DFDD388" w14:textId="77777777" w:rsidR="00046465" w:rsidRDefault="00046465">
            <w:pPr>
              <w:pStyle w:val="TableParagraph"/>
              <w:spacing w:before="120"/>
            </w:pPr>
          </w:p>
          <w:p w14:paraId="0DFDD389" w14:textId="77777777" w:rsidR="00046465" w:rsidRDefault="008134EB">
            <w:pPr>
              <w:pStyle w:val="TableParagraph"/>
              <w:ind w:left="232"/>
              <w:rPr>
                <w:b/>
              </w:rPr>
            </w:pPr>
            <w:r>
              <w:rPr>
                <w:b/>
              </w:rPr>
              <w:t>Doc.</w:t>
            </w:r>
            <w:r>
              <w:rPr>
                <w:b/>
                <w:spacing w:val="-6"/>
              </w:rPr>
              <w:t xml:space="preserve"> </w:t>
            </w:r>
            <w:r>
              <w:rPr>
                <w:b/>
                <w:spacing w:val="-4"/>
              </w:rPr>
              <w:t>ref.</w:t>
            </w:r>
          </w:p>
        </w:tc>
      </w:tr>
      <w:tr w:rsidR="00046465" w14:paraId="0DFDD390" w14:textId="77777777">
        <w:trPr>
          <w:trHeight w:val="3292"/>
        </w:trPr>
        <w:tc>
          <w:tcPr>
            <w:tcW w:w="7446" w:type="dxa"/>
            <w:tcBorders>
              <w:top w:val="double" w:sz="4" w:space="0" w:color="000000"/>
              <w:bottom w:val="single" w:sz="8" w:space="0" w:color="000000"/>
              <w:right w:val="single" w:sz="8" w:space="0" w:color="000000"/>
            </w:tcBorders>
          </w:tcPr>
          <w:p w14:paraId="0DFDD38B" w14:textId="77777777" w:rsidR="00046465" w:rsidRDefault="008134EB">
            <w:pPr>
              <w:pStyle w:val="TableParagraph"/>
              <w:numPr>
                <w:ilvl w:val="0"/>
                <w:numId w:val="33"/>
              </w:numPr>
              <w:tabs>
                <w:tab w:val="left" w:pos="1284"/>
              </w:tabs>
              <w:spacing w:before="120"/>
              <w:ind w:left="1284" w:hanging="359"/>
            </w:pPr>
            <w:r>
              <w:t>Did</w:t>
            </w:r>
            <w:r>
              <w:rPr>
                <w:spacing w:val="-6"/>
              </w:rPr>
              <w:t xml:space="preserve"> </w:t>
            </w:r>
            <w:r>
              <w:t>the</w:t>
            </w:r>
            <w:r>
              <w:rPr>
                <w:spacing w:val="-5"/>
              </w:rPr>
              <w:t xml:space="preserve"> </w:t>
            </w:r>
            <w:r>
              <w:t>auditor,</w:t>
            </w:r>
            <w:r>
              <w:rPr>
                <w:spacing w:val="-6"/>
              </w:rPr>
              <w:t xml:space="preserve"> </w:t>
            </w:r>
            <w:r>
              <w:t>in</w:t>
            </w:r>
            <w:r>
              <w:rPr>
                <w:spacing w:val="-5"/>
              </w:rPr>
              <w:t xml:space="preserve"> </w:t>
            </w:r>
            <w:r>
              <w:t>conducting</w:t>
            </w:r>
            <w:r>
              <w:rPr>
                <w:spacing w:val="-5"/>
              </w:rPr>
              <w:t xml:space="preserve"> </w:t>
            </w:r>
            <w:r>
              <w:t>an</w:t>
            </w:r>
            <w:r>
              <w:rPr>
                <w:spacing w:val="-6"/>
              </w:rPr>
              <w:t xml:space="preserve"> </w:t>
            </w:r>
            <w:r>
              <w:t>audit</w:t>
            </w:r>
            <w:r>
              <w:rPr>
                <w:spacing w:val="-5"/>
              </w:rPr>
              <w:t xml:space="preserve"> </w:t>
            </w:r>
            <w:r>
              <w:t>of</w:t>
            </w:r>
            <w:r>
              <w:rPr>
                <w:spacing w:val="-5"/>
              </w:rPr>
              <w:t xml:space="preserve"> </w:t>
            </w:r>
            <w:r>
              <w:t>financial</w:t>
            </w:r>
            <w:r>
              <w:rPr>
                <w:spacing w:val="-7"/>
              </w:rPr>
              <w:t xml:space="preserve"> </w:t>
            </w:r>
            <w:r>
              <w:rPr>
                <w:spacing w:val="-2"/>
              </w:rPr>
              <w:t>statements,</w:t>
            </w:r>
          </w:p>
          <w:p w14:paraId="0DFDD38C" w14:textId="77777777" w:rsidR="00046465" w:rsidRDefault="008134EB">
            <w:pPr>
              <w:pStyle w:val="TableParagraph"/>
              <w:numPr>
                <w:ilvl w:val="1"/>
                <w:numId w:val="33"/>
              </w:numPr>
              <w:tabs>
                <w:tab w:val="left" w:pos="1674"/>
              </w:tabs>
              <w:spacing w:before="120"/>
              <w:ind w:right="137" w:hanging="361"/>
            </w:pPr>
            <w:r>
              <w:t>obtain reasonable assurance about whether the financial statements as a whole are free from material misstatement, whether due to fraud or error, thereby enabling</w:t>
            </w:r>
            <w:r>
              <w:rPr>
                <w:spacing w:val="-5"/>
              </w:rPr>
              <w:t xml:space="preserve"> </w:t>
            </w:r>
            <w:r>
              <w:t>the</w:t>
            </w:r>
            <w:r>
              <w:rPr>
                <w:spacing w:val="-6"/>
              </w:rPr>
              <w:t xml:space="preserve"> </w:t>
            </w:r>
            <w:r>
              <w:t>auditor</w:t>
            </w:r>
            <w:r>
              <w:rPr>
                <w:spacing w:val="-5"/>
              </w:rPr>
              <w:t xml:space="preserve"> </w:t>
            </w:r>
            <w:r>
              <w:t>to</w:t>
            </w:r>
            <w:r>
              <w:rPr>
                <w:spacing w:val="-5"/>
              </w:rPr>
              <w:t xml:space="preserve"> </w:t>
            </w:r>
            <w:r>
              <w:t>express</w:t>
            </w:r>
            <w:r>
              <w:rPr>
                <w:spacing w:val="-5"/>
              </w:rPr>
              <w:t xml:space="preserve"> </w:t>
            </w:r>
            <w:r>
              <w:t>an</w:t>
            </w:r>
            <w:r>
              <w:rPr>
                <w:spacing w:val="-5"/>
              </w:rPr>
              <w:t xml:space="preserve"> </w:t>
            </w:r>
            <w:r>
              <w:t>opinion</w:t>
            </w:r>
            <w:r>
              <w:rPr>
                <w:spacing w:val="-5"/>
              </w:rPr>
              <w:t xml:space="preserve"> </w:t>
            </w:r>
            <w:r>
              <w:t>on</w:t>
            </w:r>
            <w:r>
              <w:rPr>
                <w:spacing w:val="-5"/>
              </w:rPr>
              <w:t xml:space="preserve"> </w:t>
            </w:r>
            <w:r>
              <w:t>whether</w:t>
            </w:r>
            <w:r>
              <w:rPr>
                <w:spacing w:val="-5"/>
              </w:rPr>
              <w:t xml:space="preserve"> </w:t>
            </w:r>
            <w:r>
              <w:t>the financial statements are presented fairly, in all material respects, in accordance with an applicable financial reporting framework (generally</w:t>
            </w:r>
            <w:r>
              <w:rPr>
                <w:spacing w:val="40"/>
              </w:rPr>
              <w:t xml:space="preserve"> </w:t>
            </w:r>
            <w:r>
              <w:t>U.S. GAAP), and</w:t>
            </w:r>
          </w:p>
          <w:p w14:paraId="0DFDD38D" w14:textId="77777777" w:rsidR="00046465" w:rsidRDefault="008134EB">
            <w:pPr>
              <w:pStyle w:val="TableParagraph"/>
              <w:numPr>
                <w:ilvl w:val="1"/>
                <w:numId w:val="33"/>
              </w:numPr>
              <w:tabs>
                <w:tab w:val="left" w:pos="1674"/>
              </w:tabs>
              <w:spacing w:before="118"/>
              <w:ind w:right="329" w:hanging="361"/>
            </w:pPr>
            <w:r>
              <w:t>report</w:t>
            </w:r>
            <w:r>
              <w:rPr>
                <w:spacing w:val="-5"/>
              </w:rPr>
              <w:t xml:space="preserve"> </w:t>
            </w:r>
            <w:r>
              <w:t>on</w:t>
            </w:r>
            <w:r>
              <w:rPr>
                <w:spacing w:val="-5"/>
              </w:rPr>
              <w:t xml:space="preserve"> </w:t>
            </w:r>
            <w:r>
              <w:t>the</w:t>
            </w:r>
            <w:r>
              <w:rPr>
                <w:spacing w:val="-5"/>
              </w:rPr>
              <w:t xml:space="preserve"> </w:t>
            </w:r>
            <w:r>
              <w:t>financial</w:t>
            </w:r>
            <w:r>
              <w:rPr>
                <w:spacing w:val="-6"/>
              </w:rPr>
              <w:t xml:space="preserve"> </w:t>
            </w:r>
            <w:r>
              <w:t>statements,</w:t>
            </w:r>
            <w:r>
              <w:rPr>
                <w:spacing w:val="-5"/>
              </w:rPr>
              <w:t xml:space="preserve"> </w:t>
            </w:r>
            <w:r>
              <w:t>and</w:t>
            </w:r>
            <w:r>
              <w:rPr>
                <w:spacing w:val="-5"/>
              </w:rPr>
              <w:t xml:space="preserve"> </w:t>
            </w:r>
            <w:r>
              <w:t>communicate</w:t>
            </w:r>
            <w:r>
              <w:rPr>
                <w:spacing w:val="-5"/>
              </w:rPr>
              <w:t xml:space="preserve"> </w:t>
            </w:r>
            <w:r>
              <w:t>as required by GAGAS, in accordance with the auditor’s findings? (AU-C 200)</w:t>
            </w:r>
          </w:p>
        </w:tc>
        <w:tc>
          <w:tcPr>
            <w:tcW w:w="720" w:type="dxa"/>
            <w:tcBorders>
              <w:top w:val="double" w:sz="4" w:space="0" w:color="000000"/>
              <w:left w:val="single" w:sz="8" w:space="0" w:color="000000"/>
              <w:bottom w:val="single" w:sz="8" w:space="0" w:color="000000"/>
              <w:right w:val="single" w:sz="8" w:space="0" w:color="000000"/>
            </w:tcBorders>
          </w:tcPr>
          <w:p w14:paraId="0DFDD38E" w14:textId="77777777" w:rsidR="00046465" w:rsidRDefault="00046465">
            <w:pPr>
              <w:pStyle w:val="TableParagraph"/>
              <w:rPr>
                <w:rFonts w:ascii="Times New Roman"/>
              </w:rPr>
            </w:pPr>
          </w:p>
        </w:tc>
        <w:tc>
          <w:tcPr>
            <w:tcW w:w="1350" w:type="dxa"/>
            <w:tcBorders>
              <w:top w:val="double" w:sz="4" w:space="0" w:color="000000"/>
              <w:left w:val="single" w:sz="8" w:space="0" w:color="000000"/>
              <w:bottom w:val="single" w:sz="8" w:space="0" w:color="000000"/>
            </w:tcBorders>
            <w:shd w:val="clear" w:color="auto" w:fill="BEBEBE"/>
          </w:tcPr>
          <w:p w14:paraId="0DFDD38F" w14:textId="77777777" w:rsidR="00046465" w:rsidRDefault="00046465">
            <w:pPr>
              <w:pStyle w:val="TableParagraph"/>
              <w:rPr>
                <w:rFonts w:ascii="Times New Roman"/>
              </w:rPr>
            </w:pPr>
          </w:p>
        </w:tc>
      </w:tr>
      <w:tr w:rsidR="00046465" w14:paraId="0DFDD394" w14:textId="77777777">
        <w:trPr>
          <w:trHeight w:val="1504"/>
        </w:trPr>
        <w:tc>
          <w:tcPr>
            <w:tcW w:w="7446" w:type="dxa"/>
            <w:tcBorders>
              <w:top w:val="single" w:sz="8" w:space="0" w:color="000000"/>
              <w:bottom w:val="single" w:sz="8" w:space="0" w:color="000000"/>
              <w:right w:val="single" w:sz="8" w:space="0" w:color="000000"/>
            </w:tcBorders>
          </w:tcPr>
          <w:p w14:paraId="0DFDD391" w14:textId="77777777" w:rsidR="00046465" w:rsidRDefault="008134EB">
            <w:pPr>
              <w:pStyle w:val="TableParagraph"/>
              <w:spacing w:before="119"/>
              <w:ind w:left="1285" w:right="243" w:hanging="360"/>
            </w:pPr>
            <w:r>
              <w:t>b.</w:t>
            </w:r>
            <w:r>
              <w:rPr>
                <w:spacing w:val="80"/>
              </w:rPr>
              <w:t xml:space="preserve"> </w:t>
            </w:r>
            <w:r>
              <w:t>In all cases</w:t>
            </w:r>
            <w:r>
              <w:rPr>
                <w:spacing w:val="-1"/>
              </w:rPr>
              <w:t xml:space="preserve"> </w:t>
            </w:r>
            <w:r>
              <w:t>when reasonable assurance cannot</w:t>
            </w:r>
            <w:r>
              <w:rPr>
                <w:spacing w:val="-1"/>
              </w:rPr>
              <w:t xml:space="preserve"> </w:t>
            </w:r>
            <w:r>
              <w:t>be obtained and</w:t>
            </w:r>
            <w:r>
              <w:rPr>
                <w:spacing w:val="-4"/>
              </w:rPr>
              <w:t xml:space="preserve"> </w:t>
            </w:r>
            <w:r>
              <w:t>a</w:t>
            </w:r>
            <w:r>
              <w:rPr>
                <w:spacing w:val="-4"/>
              </w:rPr>
              <w:t xml:space="preserve"> </w:t>
            </w:r>
            <w:r>
              <w:t>qualified</w:t>
            </w:r>
            <w:r>
              <w:rPr>
                <w:spacing w:val="-4"/>
              </w:rPr>
              <w:t xml:space="preserve"> </w:t>
            </w:r>
            <w:r>
              <w:t>opinion</w:t>
            </w:r>
            <w:r>
              <w:rPr>
                <w:spacing w:val="-4"/>
              </w:rPr>
              <w:t xml:space="preserve"> </w:t>
            </w:r>
            <w:r>
              <w:t>in</w:t>
            </w:r>
            <w:r>
              <w:rPr>
                <w:spacing w:val="-4"/>
              </w:rPr>
              <w:t xml:space="preserve"> </w:t>
            </w:r>
            <w:r>
              <w:t>the</w:t>
            </w:r>
            <w:r>
              <w:rPr>
                <w:spacing w:val="-4"/>
              </w:rPr>
              <w:t xml:space="preserve"> </w:t>
            </w:r>
            <w:r>
              <w:t>auditor’s</w:t>
            </w:r>
            <w:r>
              <w:rPr>
                <w:spacing w:val="-4"/>
              </w:rPr>
              <w:t xml:space="preserve"> </w:t>
            </w:r>
            <w:r>
              <w:t>report</w:t>
            </w:r>
            <w:r>
              <w:rPr>
                <w:spacing w:val="-4"/>
              </w:rPr>
              <w:t xml:space="preserve"> </w:t>
            </w:r>
            <w:r>
              <w:t>is</w:t>
            </w:r>
            <w:r>
              <w:rPr>
                <w:spacing w:val="-5"/>
              </w:rPr>
              <w:t xml:space="preserve"> </w:t>
            </w:r>
            <w:r>
              <w:t>insufficient</w:t>
            </w:r>
            <w:r>
              <w:rPr>
                <w:spacing w:val="-4"/>
              </w:rPr>
              <w:t xml:space="preserve"> </w:t>
            </w:r>
            <w:r>
              <w:t>in the circumstances for reporting to the intended users of the financial statements, did the auditor disclaim an opinion? (AU-C 200)</w:t>
            </w:r>
          </w:p>
        </w:tc>
        <w:tc>
          <w:tcPr>
            <w:tcW w:w="720" w:type="dxa"/>
            <w:tcBorders>
              <w:top w:val="single" w:sz="8" w:space="0" w:color="000000"/>
              <w:left w:val="single" w:sz="8" w:space="0" w:color="000000"/>
              <w:bottom w:val="single" w:sz="8" w:space="0" w:color="000000"/>
              <w:right w:val="single" w:sz="8" w:space="0" w:color="000000"/>
            </w:tcBorders>
          </w:tcPr>
          <w:p w14:paraId="0DFDD392" w14:textId="77777777" w:rsidR="00046465" w:rsidRDefault="00046465">
            <w:pPr>
              <w:pStyle w:val="TableParagraph"/>
              <w:rPr>
                <w:rFonts w:ascii="Times New Roman"/>
              </w:rPr>
            </w:pPr>
          </w:p>
        </w:tc>
        <w:tc>
          <w:tcPr>
            <w:tcW w:w="1350" w:type="dxa"/>
            <w:tcBorders>
              <w:top w:val="single" w:sz="8" w:space="0" w:color="000000"/>
              <w:left w:val="single" w:sz="8" w:space="0" w:color="000000"/>
              <w:bottom w:val="single" w:sz="8" w:space="0" w:color="000000"/>
            </w:tcBorders>
            <w:shd w:val="clear" w:color="auto" w:fill="BEBEBE"/>
          </w:tcPr>
          <w:p w14:paraId="0DFDD393" w14:textId="77777777" w:rsidR="00046465" w:rsidRDefault="00046465">
            <w:pPr>
              <w:pStyle w:val="TableParagraph"/>
              <w:rPr>
                <w:rFonts w:ascii="Times New Roman"/>
              </w:rPr>
            </w:pPr>
          </w:p>
        </w:tc>
      </w:tr>
      <w:tr w:rsidR="00046465" w14:paraId="0DFDD39A" w14:textId="77777777">
        <w:trPr>
          <w:trHeight w:val="2280"/>
        </w:trPr>
        <w:tc>
          <w:tcPr>
            <w:tcW w:w="7446" w:type="dxa"/>
            <w:tcBorders>
              <w:top w:val="single" w:sz="8" w:space="0" w:color="000000"/>
              <w:bottom w:val="single" w:sz="8" w:space="0" w:color="000000"/>
              <w:right w:val="single" w:sz="8" w:space="0" w:color="000000"/>
            </w:tcBorders>
          </w:tcPr>
          <w:p w14:paraId="0DFDD395" w14:textId="77777777" w:rsidR="00046465" w:rsidRDefault="008134EB">
            <w:pPr>
              <w:pStyle w:val="TableParagraph"/>
              <w:numPr>
                <w:ilvl w:val="0"/>
                <w:numId w:val="32"/>
              </w:numPr>
              <w:tabs>
                <w:tab w:val="left" w:pos="1285"/>
              </w:tabs>
              <w:spacing w:before="121"/>
              <w:ind w:right="428"/>
              <w:jc w:val="both"/>
            </w:pPr>
            <w:r>
              <w:t>Did</w:t>
            </w:r>
            <w:r>
              <w:rPr>
                <w:spacing w:val="-5"/>
              </w:rPr>
              <w:t xml:space="preserve"> </w:t>
            </w:r>
            <w:r>
              <w:t>the</w:t>
            </w:r>
            <w:r>
              <w:rPr>
                <w:spacing w:val="-5"/>
              </w:rPr>
              <w:t xml:space="preserve"> </w:t>
            </w:r>
            <w:r>
              <w:t>auditor</w:t>
            </w:r>
            <w:r>
              <w:rPr>
                <w:spacing w:val="-5"/>
              </w:rPr>
              <w:t xml:space="preserve"> </w:t>
            </w:r>
            <w:r>
              <w:t>implement</w:t>
            </w:r>
            <w:r>
              <w:rPr>
                <w:spacing w:val="-5"/>
              </w:rPr>
              <w:t xml:space="preserve"> </w:t>
            </w:r>
            <w:r>
              <w:t>quality</w:t>
            </w:r>
            <w:r>
              <w:rPr>
                <w:spacing w:val="-6"/>
              </w:rPr>
              <w:t xml:space="preserve"> </w:t>
            </w:r>
            <w:r>
              <w:t>control</w:t>
            </w:r>
            <w:r>
              <w:rPr>
                <w:spacing w:val="-5"/>
              </w:rPr>
              <w:t xml:space="preserve"> </w:t>
            </w:r>
            <w:r>
              <w:t>procedures</w:t>
            </w:r>
            <w:r>
              <w:rPr>
                <w:spacing w:val="-5"/>
              </w:rPr>
              <w:t xml:space="preserve"> </w:t>
            </w:r>
            <w:r>
              <w:t>at</w:t>
            </w:r>
            <w:r>
              <w:rPr>
                <w:spacing w:val="-5"/>
              </w:rPr>
              <w:t xml:space="preserve"> </w:t>
            </w:r>
            <w:r>
              <w:t>the engagement level that provide the auditor with reasonable assurance that</w:t>
            </w:r>
          </w:p>
          <w:p w14:paraId="0DFDD396" w14:textId="77777777" w:rsidR="00046465" w:rsidRDefault="008134EB">
            <w:pPr>
              <w:pStyle w:val="TableParagraph"/>
              <w:numPr>
                <w:ilvl w:val="1"/>
                <w:numId w:val="32"/>
              </w:numPr>
              <w:tabs>
                <w:tab w:val="left" w:pos="1674"/>
              </w:tabs>
              <w:spacing w:before="119"/>
              <w:ind w:right="807" w:hanging="361"/>
            </w:pPr>
            <w:r>
              <w:t>the</w:t>
            </w:r>
            <w:r>
              <w:rPr>
                <w:spacing w:val="-6"/>
              </w:rPr>
              <w:t xml:space="preserve"> </w:t>
            </w:r>
            <w:r>
              <w:t>audit</w:t>
            </w:r>
            <w:r>
              <w:rPr>
                <w:spacing w:val="-6"/>
              </w:rPr>
              <w:t xml:space="preserve"> </w:t>
            </w:r>
            <w:r>
              <w:t>complies</w:t>
            </w:r>
            <w:r>
              <w:rPr>
                <w:spacing w:val="-6"/>
              </w:rPr>
              <w:t xml:space="preserve"> </w:t>
            </w:r>
            <w:r>
              <w:t>with</w:t>
            </w:r>
            <w:r>
              <w:rPr>
                <w:spacing w:val="-6"/>
              </w:rPr>
              <w:t xml:space="preserve"> </w:t>
            </w:r>
            <w:r>
              <w:t>professional</w:t>
            </w:r>
            <w:r>
              <w:rPr>
                <w:spacing w:val="-7"/>
              </w:rPr>
              <w:t xml:space="preserve"> </w:t>
            </w:r>
            <w:r>
              <w:t>standards</w:t>
            </w:r>
            <w:r>
              <w:rPr>
                <w:spacing w:val="-6"/>
              </w:rPr>
              <w:t xml:space="preserve"> </w:t>
            </w:r>
            <w:r>
              <w:t>and applicable legal and regulatory requirements and</w:t>
            </w:r>
          </w:p>
          <w:p w14:paraId="0DFDD397" w14:textId="77777777" w:rsidR="00046465" w:rsidRDefault="008134EB">
            <w:pPr>
              <w:pStyle w:val="TableParagraph"/>
              <w:numPr>
                <w:ilvl w:val="1"/>
                <w:numId w:val="32"/>
              </w:numPr>
              <w:tabs>
                <w:tab w:val="left" w:pos="1674"/>
              </w:tabs>
              <w:spacing w:before="118"/>
              <w:ind w:right="1210" w:hanging="361"/>
            </w:pPr>
            <w:r>
              <w:t>the</w:t>
            </w:r>
            <w:r>
              <w:rPr>
                <w:spacing w:val="-5"/>
              </w:rPr>
              <w:t xml:space="preserve"> </w:t>
            </w:r>
            <w:r>
              <w:t>auditor’s</w:t>
            </w:r>
            <w:r>
              <w:rPr>
                <w:spacing w:val="-6"/>
              </w:rPr>
              <w:t xml:space="preserve"> </w:t>
            </w:r>
            <w:r>
              <w:t>report</w:t>
            </w:r>
            <w:r>
              <w:rPr>
                <w:spacing w:val="-5"/>
              </w:rPr>
              <w:t xml:space="preserve"> </w:t>
            </w:r>
            <w:r>
              <w:t>issued</w:t>
            </w:r>
            <w:r>
              <w:rPr>
                <w:spacing w:val="-5"/>
              </w:rPr>
              <w:t xml:space="preserve"> </w:t>
            </w:r>
            <w:r>
              <w:t>is</w:t>
            </w:r>
            <w:r>
              <w:rPr>
                <w:spacing w:val="-5"/>
              </w:rPr>
              <w:t xml:space="preserve"> </w:t>
            </w:r>
            <w:r>
              <w:t>appropriate</w:t>
            </w:r>
            <w:r>
              <w:rPr>
                <w:spacing w:val="-5"/>
              </w:rPr>
              <w:t xml:space="preserve"> </w:t>
            </w:r>
            <w:r>
              <w:t>in</w:t>
            </w:r>
            <w:r>
              <w:rPr>
                <w:spacing w:val="-5"/>
              </w:rPr>
              <w:t xml:space="preserve"> </w:t>
            </w:r>
            <w:r>
              <w:t>the circumstances? (AU-C 220A)</w:t>
            </w:r>
          </w:p>
        </w:tc>
        <w:tc>
          <w:tcPr>
            <w:tcW w:w="720" w:type="dxa"/>
            <w:tcBorders>
              <w:top w:val="single" w:sz="8" w:space="0" w:color="000000"/>
              <w:left w:val="single" w:sz="8" w:space="0" w:color="000000"/>
              <w:bottom w:val="single" w:sz="8" w:space="0" w:color="000000"/>
              <w:right w:val="single" w:sz="8" w:space="0" w:color="000000"/>
            </w:tcBorders>
          </w:tcPr>
          <w:p w14:paraId="0DFDD398" w14:textId="77777777" w:rsidR="00046465" w:rsidRDefault="00046465">
            <w:pPr>
              <w:pStyle w:val="TableParagraph"/>
              <w:rPr>
                <w:rFonts w:ascii="Times New Roman"/>
              </w:rPr>
            </w:pPr>
          </w:p>
        </w:tc>
        <w:tc>
          <w:tcPr>
            <w:tcW w:w="1350" w:type="dxa"/>
            <w:tcBorders>
              <w:top w:val="single" w:sz="8" w:space="0" w:color="000000"/>
              <w:left w:val="single" w:sz="8" w:space="0" w:color="000000"/>
              <w:bottom w:val="single" w:sz="8" w:space="0" w:color="000000"/>
            </w:tcBorders>
            <w:shd w:val="clear" w:color="auto" w:fill="BEBEBE"/>
          </w:tcPr>
          <w:p w14:paraId="0DFDD399" w14:textId="77777777" w:rsidR="00046465" w:rsidRDefault="00046465">
            <w:pPr>
              <w:pStyle w:val="TableParagraph"/>
              <w:rPr>
                <w:rFonts w:ascii="Times New Roman"/>
              </w:rPr>
            </w:pPr>
          </w:p>
        </w:tc>
      </w:tr>
      <w:tr w:rsidR="00046465" w14:paraId="0DFDD3A1" w14:textId="77777777">
        <w:trPr>
          <w:trHeight w:val="2282"/>
        </w:trPr>
        <w:tc>
          <w:tcPr>
            <w:tcW w:w="7446" w:type="dxa"/>
            <w:tcBorders>
              <w:top w:val="single" w:sz="8" w:space="0" w:color="000000"/>
              <w:right w:val="single" w:sz="8" w:space="0" w:color="000000"/>
            </w:tcBorders>
          </w:tcPr>
          <w:p w14:paraId="0DFDD39B" w14:textId="77777777" w:rsidR="00046465" w:rsidRDefault="008134EB">
            <w:pPr>
              <w:pStyle w:val="TableParagraph"/>
              <w:numPr>
                <w:ilvl w:val="0"/>
                <w:numId w:val="31"/>
              </w:numPr>
              <w:tabs>
                <w:tab w:val="left" w:pos="1284"/>
              </w:tabs>
              <w:spacing w:before="121"/>
              <w:ind w:left="1284" w:hanging="359"/>
            </w:pPr>
            <w:r>
              <w:t>Did</w:t>
            </w:r>
            <w:r>
              <w:rPr>
                <w:spacing w:val="-7"/>
              </w:rPr>
              <w:t xml:space="preserve"> </w:t>
            </w:r>
            <w:r>
              <w:t>the</w:t>
            </w:r>
            <w:r>
              <w:rPr>
                <w:spacing w:val="-7"/>
              </w:rPr>
              <w:t xml:space="preserve"> </w:t>
            </w:r>
            <w:r>
              <w:t>auditor</w:t>
            </w:r>
            <w:r>
              <w:rPr>
                <w:spacing w:val="-7"/>
              </w:rPr>
              <w:t xml:space="preserve"> </w:t>
            </w:r>
            <w:r>
              <w:t>prepare</w:t>
            </w:r>
            <w:r>
              <w:rPr>
                <w:spacing w:val="-7"/>
              </w:rPr>
              <w:t xml:space="preserve"> </w:t>
            </w:r>
            <w:r>
              <w:t>documentation</w:t>
            </w:r>
            <w:r>
              <w:rPr>
                <w:spacing w:val="-7"/>
              </w:rPr>
              <w:t xml:space="preserve"> </w:t>
            </w:r>
            <w:r>
              <w:t>that</w:t>
            </w:r>
            <w:r>
              <w:rPr>
                <w:spacing w:val="-7"/>
              </w:rPr>
              <w:t xml:space="preserve"> </w:t>
            </w:r>
            <w:r>
              <w:rPr>
                <w:spacing w:val="-2"/>
              </w:rPr>
              <w:t>provides</w:t>
            </w:r>
          </w:p>
          <w:p w14:paraId="0DFDD39C" w14:textId="77777777" w:rsidR="00046465" w:rsidRDefault="008134EB">
            <w:pPr>
              <w:pStyle w:val="TableParagraph"/>
              <w:numPr>
                <w:ilvl w:val="1"/>
                <w:numId w:val="31"/>
              </w:numPr>
              <w:tabs>
                <w:tab w:val="left" w:pos="1674"/>
              </w:tabs>
              <w:spacing w:before="119"/>
              <w:ind w:right="527" w:hanging="361"/>
            </w:pPr>
            <w:r>
              <w:t>a</w:t>
            </w:r>
            <w:r>
              <w:rPr>
                <w:spacing w:val="-4"/>
              </w:rPr>
              <w:t xml:space="preserve"> </w:t>
            </w:r>
            <w:r>
              <w:t>sufficient</w:t>
            </w:r>
            <w:r>
              <w:rPr>
                <w:spacing w:val="-5"/>
              </w:rPr>
              <w:t xml:space="preserve"> </w:t>
            </w:r>
            <w:r>
              <w:t>and</w:t>
            </w:r>
            <w:r>
              <w:rPr>
                <w:spacing w:val="-4"/>
              </w:rPr>
              <w:t xml:space="preserve"> </w:t>
            </w:r>
            <w:r>
              <w:t>appropriate</w:t>
            </w:r>
            <w:r>
              <w:rPr>
                <w:spacing w:val="-4"/>
              </w:rPr>
              <w:t xml:space="preserve"> </w:t>
            </w:r>
            <w:r>
              <w:t>record</w:t>
            </w:r>
            <w:r>
              <w:rPr>
                <w:spacing w:val="-4"/>
              </w:rPr>
              <w:t xml:space="preserve"> </w:t>
            </w:r>
            <w:r>
              <w:t>of</w:t>
            </w:r>
            <w:r>
              <w:rPr>
                <w:spacing w:val="-4"/>
              </w:rPr>
              <w:t xml:space="preserve"> </w:t>
            </w:r>
            <w:r>
              <w:t>the</w:t>
            </w:r>
            <w:r>
              <w:rPr>
                <w:spacing w:val="-4"/>
              </w:rPr>
              <w:t xml:space="preserve"> </w:t>
            </w:r>
            <w:r>
              <w:t>basis</w:t>
            </w:r>
            <w:r>
              <w:rPr>
                <w:spacing w:val="-5"/>
              </w:rPr>
              <w:t xml:space="preserve"> </w:t>
            </w:r>
            <w:r>
              <w:t>for</w:t>
            </w:r>
            <w:r>
              <w:rPr>
                <w:spacing w:val="-4"/>
              </w:rPr>
              <w:t xml:space="preserve"> </w:t>
            </w:r>
            <w:r>
              <w:t>the auditor’s report and</w:t>
            </w:r>
          </w:p>
          <w:p w14:paraId="0DFDD39D" w14:textId="77777777" w:rsidR="00046465" w:rsidRDefault="008134EB">
            <w:pPr>
              <w:pStyle w:val="TableParagraph"/>
              <w:numPr>
                <w:ilvl w:val="1"/>
                <w:numId w:val="31"/>
              </w:numPr>
              <w:tabs>
                <w:tab w:val="left" w:pos="1674"/>
              </w:tabs>
              <w:spacing w:before="119"/>
              <w:ind w:right="222" w:hanging="361"/>
            </w:pPr>
            <w:r>
              <w:t>evidence that the audit was planned and performed in accordance with GAGAS and applicable legal and regulatory</w:t>
            </w:r>
            <w:r>
              <w:rPr>
                <w:spacing w:val="-7"/>
              </w:rPr>
              <w:t xml:space="preserve"> </w:t>
            </w:r>
            <w:r>
              <w:t>requirements?</w:t>
            </w:r>
            <w:r>
              <w:rPr>
                <w:spacing w:val="-7"/>
              </w:rPr>
              <w:t xml:space="preserve"> </w:t>
            </w:r>
            <w:r>
              <w:t>(AU-C</w:t>
            </w:r>
            <w:r>
              <w:rPr>
                <w:spacing w:val="-8"/>
              </w:rPr>
              <w:t xml:space="preserve"> </w:t>
            </w:r>
            <w:r>
              <w:t>230</w:t>
            </w:r>
            <w:r>
              <w:rPr>
                <w:spacing w:val="-6"/>
              </w:rPr>
              <w:t xml:space="preserve"> </w:t>
            </w:r>
            <w:r>
              <w:t>and</w:t>
            </w:r>
            <w:r>
              <w:rPr>
                <w:spacing w:val="-7"/>
              </w:rPr>
              <w:t xml:space="preserve"> </w:t>
            </w:r>
            <w:r>
              <w:t>GAGAS</w:t>
            </w:r>
            <w:r>
              <w:rPr>
                <w:spacing w:val="-7"/>
              </w:rPr>
              <w:t xml:space="preserve"> </w:t>
            </w:r>
            <w:r>
              <w:t>(2018)</w:t>
            </w:r>
          </w:p>
          <w:p w14:paraId="0DFDD39E" w14:textId="77777777" w:rsidR="00046465" w:rsidRDefault="008134EB">
            <w:pPr>
              <w:pStyle w:val="TableParagraph"/>
              <w:spacing w:line="252" w:lineRule="exact"/>
              <w:ind w:left="1674"/>
            </w:pPr>
            <w:r>
              <w:t>6.31</w:t>
            </w:r>
            <w:r>
              <w:rPr>
                <w:spacing w:val="-4"/>
              </w:rPr>
              <w:t xml:space="preserve"> </w:t>
            </w:r>
            <w:r>
              <w:t>and</w:t>
            </w:r>
            <w:r>
              <w:rPr>
                <w:spacing w:val="-4"/>
              </w:rPr>
              <w:t xml:space="preserve"> </w:t>
            </w:r>
            <w:r>
              <w:rPr>
                <w:spacing w:val="-2"/>
              </w:rPr>
              <w:t>6.32)</w:t>
            </w:r>
          </w:p>
        </w:tc>
        <w:tc>
          <w:tcPr>
            <w:tcW w:w="720" w:type="dxa"/>
            <w:tcBorders>
              <w:top w:val="single" w:sz="8" w:space="0" w:color="000000"/>
              <w:left w:val="single" w:sz="8" w:space="0" w:color="000000"/>
              <w:right w:val="single" w:sz="8" w:space="0" w:color="000000"/>
            </w:tcBorders>
          </w:tcPr>
          <w:p w14:paraId="0DFDD39F" w14:textId="77777777" w:rsidR="00046465" w:rsidRDefault="00046465">
            <w:pPr>
              <w:pStyle w:val="TableParagraph"/>
              <w:rPr>
                <w:rFonts w:ascii="Times New Roman"/>
              </w:rPr>
            </w:pPr>
          </w:p>
        </w:tc>
        <w:tc>
          <w:tcPr>
            <w:tcW w:w="1350" w:type="dxa"/>
            <w:tcBorders>
              <w:top w:val="single" w:sz="8" w:space="0" w:color="000000"/>
              <w:left w:val="single" w:sz="8" w:space="0" w:color="000000"/>
            </w:tcBorders>
            <w:shd w:val="clear" w:color="auto" w:fill="BEBEBE"/>
          </w:tcPr>
          <w:p w14:paraId="0DFDD3A0" w14:textId="77777777" w:rsidR="00046465" w:rsidRDefault="00046465">
            <w:pPr>
              <w:pStyle w:val="TableParagraph"/>
              <w:rPr>
                <w:rFonts w:ascii="Times New Roman"/>
              </w:rPr>
            </w:pPr>
          </w:p>
        </w:tc>
      </w:tr>
    </w:tbl>
    <w:p w14:paraId="0DFDD3A2"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3A3" w14:textId="77777777" w:rsidR="00046465" w:rsidRDefault="008134EB">
      <w:pPr>
        <w:pStyle w:val="Heading4"/>
        <w:ind w:left="1080"/>
      </w:pPr>
      <w:bookmarkStart w:id="420" w:name="Section_VI:_Explanation_of_“No”_Answers_"/>
      <w:bookmarkEnd w:id="420"/>
      <w:r>
        <w:lastRenderedPageBreak/>
        <w:t>Section</w:t>
      </w:r>
      <w:r>
        <w:rPr>
          <w:spacing w:val="-9"/>
        </w:rPr>
        <w:t xml:space="preserve"> </w:t>
      </w:r>
      <w:r>
        <w:t>VI:</w:t>
      </w:r>
      <w:r>
        <w:rPr>
          <w:spacing w:val="-10"/>
        </w:rPr>
        <w:t xml:space="preserve"> </w:t>
      </w:r>
      <w:r>
        <w:t>Explanation</w:t>
      </w:r>
      <w:r>
        <w:rPr>
          <w:spacing w:val="-11"/>
        </w:rPr>
        <w:t xml:space="preserve"> </w:t>
      </w:r>
      <w:r>
        <w:t>of</w:t>
      </w:r>
      <w:r>
        <w:rPr>
          <w:spacing w:val="-9"/>
        </w:rPr>
        <w:t xml:space="preserve"> </w:t>
      </w:r>
      <w:r>
        <w:t>“No”</w:t>
      </w:r>
      <w:r>
        <w:rPr>
          <w:spacing w:val="-9"/>
        </w:rPr>
        <w:t xml:space="preserve"> </w:t>
      </w:r>
      <w:r>
        <w:t>Answers</w:t>
      </w:r>
      <w:r>
        <w:rPr>
          <w:spacing w:val="-10"/>
        </w:rPr>
        <w:t xml:space="preserve"> </w:t>
      </w:r>
      <w:r>
        <w:t>and</w:t>
      </w:r>
      <w:r>
        <w:rPr>
          <w:spacing w:val="-11"/>
        </w:rPr>
        <w:t xml:space="preserve"> </w:t>
      </w:r>
      <w:r>
        <w:t>Other</w:t>
      </w:r>
      <w:r>
        <w:rPr>
          <w:spacing w:val="-9"/>
        </w:rPr>
        <w:t xml:space="preserve"> </w:t>
      </w:r>
      <w:r>
        <w:rPr>
          <w:spacing w:val="-2"/>
        </w:rPr>
        <w:t>Comments</w:t>
      </w:r>
    </w:p>
    <w:p w14:paraId="0DFDD3A4" w14:textId="77777777" w:rsidR="00046465" w:rsidRDefault="00046465">
      <w:pPr>
        <w:pStyle w:val="BodyText"/>
        <w:spacing w:before="153"/>
        <w:rPr>
          <w:b/>
          <w:sz w:val="20"/>
        </w:rPr>
      </w:pPr>
    </w:p>
    <w:tbl>
      <w:tblPr>
        <w:tblW w:w="0" w:type="auto"/>
        <w:tblInd w:w="1119"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424"/>
        <w:gridCol w:w="1778"/>
        <w:gridCol w:w="3672"/>
        <w:gridCol w:w="2641"/>
      </w:tblGrid>
      <w:tr w:rsidR="00046465" w14:paraId="0DFDD3A6" w14:textId="77777777">
        <w:trPr>
          <w:trHeight w:val="515"/>
        </w:trPr>
        <w:tc>
          <w:tcPr>
            <w:tcW w:w="9515" w:type="dxa"/>
            <w:gridSpan w:val="4"/>
            <w:tcBorders>
              <w:bottom w:val="single" w:sz="8" w:space="0" w:color="000000"/>
            </w:tcBorders>
            <w:shd w:val="clear" w:color="auto" w:fill="A6A6A6"/>
          </w:tcPr>
          <w:p w14:paraId="0DFDD3A5" w14:textId="77777777" w:rsidR="00046465" w:rsidRDefault="008134EB">
            <w:pPr>
              <w:pStyle w:val="TableParagraph"/>
              <w:spacing w:before="120"/>
              <w:ind w:left="109"/>
              <w:rPr>
                <w:b/>
                <w:sz w:val="24"/>
              </w:rPr>
            </w:pPr>
            <w:r>
              <w:rPr>
                <w:b/>
                <w:sz w:val="24"/>
              </w:rPr>
              <w:t>Section</w:t>
            </w:r>
            <w:r>
              <w:rPr>
                <w:b/>
                <w:spacing w:val="-3"/>
                <w:sz w:val="24"/>
              </w:rPr>
              <w:t xml:space="preserve"> </w:t>
            </w:r>
            <w:r>
              <w:rPr>
                <w:b/>
                <w:sz w:val="24"/>
              </w:rPr>
              <w:t>VI:</w:t>
            </w:r>
            <w:r>
              <w:rPr>
                <w:b/>
                <w:spacing w:val="-2"/>
                <w:sz w:val="24"/>
              </w:rPr>
              <w:t xml:space="preserve"> </w:t>
            </w:r>
            <w:r>
              <w:rPr>
                <w:b/>
                <w:sz w:val="24"/>
              </w:rPr>
              <w:t>Explanation</w:t>
            </w:r>
            <w:r>
              <w:rPr>
                <w:b/>
                <w:spacing w:val="-3"/>
                <w:sz w:val="24"/>
              </w:rPr>
              <w:t xml:space="preserve"> </w:t>
            </w:r>
            <w:r>
              <w:rPr>
                <w:b/>
                <w:sz w:val="24"/>
              </w:rPr>
              <w:t>of</w:t>
            </w:r>
            <w:r>
              <w:rPr>
                <w:b/>
                <w:spacing w:val="-2"/>
                <w:sz w:val="24"/>
              </w:rPr>
              <w:t xml:space="preserve"> </w:t>
            </w:r>
            <w:r>
              <w:rPr>
                <w:b/>
                <w:sz w:val="24"/>
              </w:rPr>
              <w:t>“No”</w:t>
            </w:r>
            <w:r>
              <w:rPr>
                <w:b/>
                <w:spacing w:val="-3"/>
                <w:sz w:val="24"/>
              </w:rPr>
              <w:t xml:space="preserve"> </w:t>
            </w:r>
            <w:r>
              <w:rPr>
                <w:b/>
                <w:sz w:val="24"/>
              </w:rPr>
              <w:t>Answers</w:t>
            </w:r>
            <w:r>
              <w:rPr>
                <w:b/>
                <w:spacing w:val="-4"/>
                <w:sz w:val="24"/>
              </w:rPr>
              <w:t xml:space="preserve"> </w:t>
            </w:r>
            <w:r>
              <w:rPr>
                <w:b/>
                <w:sz w:val="24"/>
              </w:rPr>
              <w:t>and</w:t>
            </w:r>
            <w:r>
              <w:rPr>
                <w:b/>
                <w:spacing w:val="-3"/>
                <w:sz w:val="24"/>
              </w:rPr>
              <w:t xml:space="preserve"> </w:t>
            </w:r>
            <w:r>
              <w:rPr>
                <w:b/>
                <w:sz w:val="24"/>
              </w:rPr>
              <w:t>Other</w:t>
            </w:r>
            <w:r>
              <w:rPr>
                <w:b/>
                <w:spacing w:val="-3"/>
                <w:sz w:val="24"/>
              </w:rPr>
              <w:t xml:space="preserve"> </w:t>
            </w:r>
            <w:r>
              <w:rPr>
                <w:b/>
                <w:spacing w:val="-2"/>
                <w:sz w:val="24"/>
              </w:rPr>
              <w:t>Comments</w:t>
            </w:r>
          </w:p>
        </w:tc>
      </w:tr>
      <w:tr w:rsidR="00046465" w14:paraId="0DFDD3A9" w14:textId="77777777">
        <w:trPr>
          <w:trHeight w:val="1745"/>
        </w:trPr>
        <w:tc>
          <w:tcPr>
            <w:tcW w:w="9515" w:type="dxa"/>
            <w:gridSpan w:val="4"/>
            <w:tcBorders>
              <w:top w:val="single" w:sz="8" w:space="0" w:color="000000"/>
              <w:bottom w:val="single" w:sz="8" w:space="0" w:color="000000"/>
            </w:tcBorders>
          </w:tcPr>
          <w:p w14:paraId="0DFDD3A7" w14:textId="77777777" w:rsidR="00046465" w:rsidRDefault="008134EB">
            <w:pPr>
              <w:pStyle w:val="TableParagraph"/>
              <w:spacing w:before="121"/>
              <w:ind w:left="110" w:right="175" w:hanging="1"/>
            </w:pPr>
            <w:r>
              <w:t>This</w:t>
            </w:r>
            <w:r>
              <w:rPr>
                <w:spacing w:val="-2"/>
              </w:rPr>
              <w:t xml:space="preserve"> </w:t>
            </w:r>
            <w:r>
              <w:t>section</w:t>
            </w:r>
            <w:r>
              <w:rPr>
                <w:spacing w:val="-3"/>
              </w:rPr>
              <w:t xml:space="preserve"> </w:t>
            </w:r>
            <w:r>
              <w:t>is</w:t>
            </w:r>
            <w:r>
              <w:rPr>
                <w:spacing w:val="-2"/>
              </w:rPr>
              <w:t xml:space="preserve"> </w:t>
            </w:r>
            <w:r>
              <w:t>provided</w:t>
            </w:r>
            <w:r>
              <w:rPr>
                <w:spacing w:val="-3"/>
              </w:rPr>
              <w:t xml:space="preserve"> </w:t>
            </w:r>
            <w:r>
              <w:t>for</w:t>
            </w:r>
            <w:r>
              <w:rPr>
                <w:spacing w:val="-2"/>
              </w:rPr>
              <w:t xml:space="preserve"> </w:t>
            </w:r>
            <w:r>
              <w:t>the</w:t>
            </w:r>
            <w:r>
              <w:rPr>
                <w:spacing w:val="-2"/>
              </w:rPr>
              <w:t xml:space="preserve"> </w:t>
            </w:r>
            <w:r>
              <w:t>auditor</w:t>
            </w:r>
            <w:r>
              <w:rPr>
                <w:spacing w:val="-2"/>
              </w:rPr>
              <w:t xml:space="preserve"> </w:t>
            </w:r>
            <w:r>
              <w:t>to</w:t>
            </w:r>
            <w:r>
              <w:rPr>
                <w:spacing w:val="-2"/>
              </w:rPr>
              <w:t xml:space="preserve"> </w:t>
            </w:r>
            <w:r>
              <w:t>explain</w:t>
            </w:r>
            <w:r>
              <w:rPr>
                <w:spacing w:val="-3"/>
              </w:rPr>
              <w:t xml:space="preserve"> </w:t>
            </w:r>
            <w:r>
              <w:t>all</w:t>
            </w:r>
            <w:r>
              <w:rPr>
                <w:spacing w:val="-2"/>
              </w:rPr>
              <w:t xml:space="preserve"> </w:t>
            </w:r>
            <w:r>
              <w:t>“no”</w:t>
            </w:r>
            <w:r>
              <w:rPr>
                <w:spacing w:val="-2"/>
              </w:rPr>
              <w:t xml:space="preserve"> </w:t>
            </w:r>
            <w:r>
              <w:t>answers</w:t>
            </w:r>
            <w:r>
              <w:rPr>
                <w:spacing w:val="-2"/>
              </w:rPr>
              <w:t xml:space="preserve"> </w:t>
            </w:r>
            <w:r>
              <w:t>and</w:t>
            </w:r>
            <w:r>
              <w:rPr>
                <w:spacing w:val="-2"/>
              </w:rPr>
              <w:t xml:space="preserve"> </w:t>
            </w:r>
            <w:r>
              <w:t>to</w:t>
            </w:r>
            <w:r>
              <w:rPr>
                <w:spacing w:val="-2"/>
              </w:rPr>
              <w:t xml:space="preserve"> </w:t>
            </w:r>
            <w:r>
              <w:t>expand</w:t>
            </w:r>
            <w:r>
              <w:rPr>
                <w:spacing w:val="-2"/>
              </w:rPr>
              <w:t xml:space="preserve"> </w:t>
            </w:r>
            <w:r>
              <w:t>on</w:t>
            </w:r>
            <w:r>
              <w:rPr>
                <w:spacing w:val="-2"/>
              </w:rPr>
              <w:t xml:space="preserve"> </w:t>
            </w:r>
            <w:r>
              <w:t>any</w:t>
            </w:r>
            <w:r>
              <w:rPr>
                <w:spacing w:val="-2"/>
              </w:rPr>
              <w:t xml:space="preserve"> </w:t>
            </w:r>
            <w:r>
              <w:t>“yes” or “N/A” answers, as needed. It may be modified as necessary.</w:t>
            </w:r>
          </w:p>
          <w:p w14:paraId="0DFDD3A8" w14:textId="77777777" w:rsidR="00046465" w:rsidRDefault="008134EB">
            <w:pPr>
              <w:pStyle w:val="TableParagraph"/>
              <w:spacing w:before="239"/>
              <w:ind w:left="110"/>
            </w:pPr>
            <w:r>
              <w:t>For some questions, “no” answers may indicate departures from professional standards or auditor</w:t>
            </w:r>
            <w:r>
              <w:rPr>
                <w:spacing w:val="-3"/>
              </w:rPr>
              <w:t xml:space="preserve"> </w:t>
            </w:r>
            <w:r>
              <w:t>policies.</w:t>
            </w:r>
            <w:r>
              <w:rPr>
                <w:spacing w:val="-3"/>
              </w:rPr>
              <w:t xml:space="preserve"> </w:t>
            </w:r>
            <w:r>
              <w:t>The</w:t>
            </w:r>
            <w:r>
              <w:rPr>
                <w:spacing w:val="-3"/>
              </w:rPr>
              <w:t xml:space="preserve"> </w:t>
            </w:r>
            <w:r>
              <w:t>auditor</w:t>
            </w:r>
            <w:r>
              <w:rPr>
                <w:spacing w:val="-3"/>
              </w:rPr>
              <w:t xml:space="preserve"> </w:t>
            </w:r>
            <w:r>
              <w:t>should</w:t>
            </w:r>
            <w:r>
              <w:rPr>
                <w:spacing w:val="-3"/>
              </w:rPr>
              <w:t xml:space="preserve"> </w:t>
            </w:r>
            <w:r>
              <w:t>explain</w:t>
            </w:r>
            <w:r>
              <w:rPr>
                <w:spacing w:val="-3"/>
              </w:rPr>
              <w:t xml:space="preserve"> </w:t>
            </w:r>
            <w:r>
              <w:t>all</w:t>
            </w:r>
            <w:r>
              <w:rPr>
                <w:spacing w:val="-3"/>
              </w:rPr>
              <w:t xml:space="preserve"> </w:t>
            </w:r>
            <w:r>
              <w:t>“no”</w:t>
            </w:r>
            <w:r>
              <w:rPr>
                <w:spacing w:val="-3"/>
              </w:rPr>
              <w:t xml:space="preserve"> </w:t>
            </w:r>
            <w:r>
              <w:t>answers</w:t>
            </w:r>
            <w:r>
              <w:rPr>
                <w:spacing w:val="-3"/>
              </w:rPr>
              <w:t xml:space="preserve"> </w:t>
            </w:r>
            <w:r>
              <w:t>below</w:t>
            </w:r>
            <w:r>
              <w:rPr>
                <w:spacing w:val="-4"/>
              </w:rPr>
              <w:t xml:space="preserve"> </w:t>
            </w:r>
            <w:r>
              <w:t>and</w:t>
            </w:r>
            <w:r>
              <w:rPr>
                <w:spacing w:val="-3"/>
              </w:rPr>
              <w:t xml:space="preserve"> </w:t>
            </w:r>
            <w:r>
              <w:t>determine</w:t>
            </w:r>
            <w:r>
              <w:rPr>
                <w:spacing w:val="-3"/>
              </w:rPr>
              <w:t xml:space="preserve"> </w:t>
            </w:r>
            <w:r>
              <w:t>their</w:t>
            </w:r>
            <w:r>
              <w:rPr>
                <w:spacing w:val="-2"/>
              </w:rPr>
              <w:t xml:space="preserve"> </w:t>
            </w:r>
            <w:r>
              <w:t>effects and significance, including any effect on the auditor’s report.</w:t>
            </w:r>
          </w:p>
        </w:tc>
      </w:tr>
      <w:tr w:rsidR="00046465" w14:paraId="0DFDD3AE" w14:textId="77777777">
        <w:trPr>
          <w:trHeight w:val="492"/>
        </w:trPr>
        <w:tc>
          <w:tcPr>
            <w:tcW w:w="1424" w:type="dxa"/>
            <w:tcBorders>
              <w:top w:val="single" w:sz="8" w:space="0" w:color="000000"/>
              <w:bottom w:val="single" w:sz="8" w:space="0" w:color="000000"/>
              <w:right w:val="single" w:sz="8" w:space="0" w:color="000000"/>
            </w:tcBorders>
          </w:tcPr>
          <w:p w14:paraId="0DFDD3AA" w14:textId="77777777" w:rsidR="00046465" w:rsidRDefault="008134EB">
            <w:pPr>
              <w:pStyle w:val="TableParagraph"/>
              <w:spacing w:before="119"/>
              <w:ind w:left="109"/>
              <w:rPr>
                <w:b/>
              </w:rPr>
            </w:pPr>
            <w:r>
              <w:rPr>
                <w:b/>
              </w:rPr>
              <w:t>Page</w:t>
            </w:r>
            <w:r>
              <w:rPr>
                <w:b/>
                <w:spacing w:val="-7"/>
              </w:rPr>
              <w:t xml:space="preserve"> </w:t>
            </w:r>
            <w:r>
              <w:rPr>
                <w:b/>
                <w:spacing w:val="-5"/>
              </w:rPr>
              <w:t>no.</w:t>
            </w:r>
          </w:p>
        </w:tc>
        <w:tc>
          <w:tcPr>
            <w:tcW w:w="1778" w:type="dxa"/>
            <w:tcBorders>
              <w:top w:val="single" w:sz="8" w:space="0" w:color="000000"/>
              <w:left w:val="single" w:sz="8" w:space="0" w:color="000000"/>
              <w:bottom w:val="single" w:sz="8" w:space="0" w:color="000000"/>
              <w:right w:val="single" w:sz="8" w:space="0" w:color="000000"/>
            </w:tcBorders>
          </w:tcPr>
          <w:p w14:paraId="0DFDD3AB" w14:textId="77777777" w:rsidR="00046465" w:rsidRDefault="008134EB">
            <w:pPr>
              <w:pStyle w:val="TableParagraph"/>
              <w:spacing w:before="119"/>
              <w:ind w:left="115"/>
              <w:rPr>
                <w:b/>
              </w:rPr>
            </w:pPr>
            <w:r>
              <w:rPr>
                <w:b/>
              </w:rPr>
              <w:t>Question</w:t>
            </w:r>
            <w:r>
              <w:rPr>
                <w:b/>
                <w:spacing w:val="-11"/>
              </w:rPr>
              <w:t xml:space="preserve"> </w:t>
            </w:r>
            <w:r>
              <w:rPr>
                <w:b/>
                <w:spacing w:val="-5"/>
              </w:rPr>
              <w:t>no.</w:t>
            </w:r>
          </w:p>
        </w:tc>
        <w:tc>
          <w:tcPr>
            <w:tcW w:w="3672" w:type="dxa"/>
            <w:tcBorders>
              <w:top w:val="single" w:sz="8" w:space="0" w:color="000000"/>
              <w:left w:val="single" w:sz="8" w:space="0" w:color="000000"/>
              <w:bottom w:val="single" w:sz="8" w:space="0" w:color="000000"/>
              <w:right w:val="single" w:sz="8" w:space="0" w:color="000000"/>
            </w:tcBorders>
          </w:tcPr>
          <w:p w14:paraId="0DFDD3AC" w14:textId="77777777" w:rsidR="00046465" w:rsidRDefault="008134EB">
            <w:pPr>
              <w:pStyle w:val="TableParagraph"/>
              <w:spacing w:before="119"/>
              <w:ind w:left="115"/>
              <w:rPr>
                <w:b/>
              </w:rPr>
            </w:pPr>
            <w:r>
              <w:rPr>
                <w:b/>
                <w:spacing w:val="-2"/>
              </w:rPr>
              <w:t>Explanation/Comments</w:t>
            </w:r>
          </w:p>
        </w:tc>
        <w:tc>
          <w:tcPr>
            <w:tcW w:w="2641" w:type="dxa"/>
            <w:tcBorders>
              <w:top w:val="single" w:sz="8" w:space="0" w:color="000000"/>
              <w:left w:val="single" w:sz="8" w:space="0" w:color="000000"/>
              <w:bottom w:val="single" w:sz="8" w:space="0" w:color="000000"/>
            </w:tcBorders>
          </w:tcPr>
          <w:p w14:paraId="0DFDD3AD" w14:textId="77777777" w:rsidR="00046465" w:rsidRDefault="008134EB">
            <w:pPr>
              <w:pStyle w:val="TableParagraph"/>
              <w:spacing w:before="119"/>
              <w:ind w:left="115"/>
              <w:rPr>
                <w:b/>
              </w:rPr>
            </w:pPr>
            <w:r>
              <w:rPr>
                <w:b/>
                <w:spacing w:val="-2"/>
              </w:rPr>
              <w:t>Conclusion</w:t>
            </w:r>
          </w:p>
        </w:tc>
      </w:tr>
      <w:tr w:rsidR="00046465" w14:paraId="0DFDD3B3" w14:textId="77777777">
        <w:trPr>
          <w:trHeight w:val="493"/>
        </w:trPr>
        <w:tc>
          <w:tcPr>
            <w:tcW w:w="1424" w:type="dxa"/>
            <w:tcBorders>
              <w:top w:val="single" w:sz="8" w:space="0" w:color="000000"/>
              <w:bottom w:val="single" w:sz="8" w:space="0" w:color="000000"/>
              <w:right w:val="single" w:sz="8" w:space="0" w:color="000000"/>
            </w:tcBorders>
          </w:tcPr>
          <w:p w14:paraId="0DFDD3AF" w14:textId="77777777" w:rsidR="00046465" w:rsidRDefault="00046465">
            <w:pPr>
              <w:pStyle w:val="TableParagraph"/>
              <w:rPr>
                <w:rFonts w:ascii="Times New Roman"/>
              </w:rPr>
            </w:pPr>
          </w:p>
        </w:tc>
        <w:tc>
          <w:tcPr>
            <w:tcW w:w="1778" w:type="dxa"/>
            <w:tcBorders>
              <w:top w:val="single" w:sz="8" w:space="0" w:color="000000"/>
              <w:left w:val="single" w:sz="8" w:space="0" w:color="000000"/>
              <w:bottom w:val="single" w:sz="8" w:space="0" w:color="000000"/>
              <w:right w:val="single" w:sz="8" w:space="0" w:color="000000"/>
            </w:tcBorders>
          </w:tcPr>
          <w:p w14:paraId="0DFDD3B0" w14:textId="77777777" w:rsidR="00046465" w:rsidRDefault="00046465">
            <w:pPr>
              <w:pStyle w:val="TableParagraph"/>
              <w:rPr>
                <w:rFonts w:ascii="Times New Roman"/>
              </w:rPr>
            </w:pPr>
          </w:p>
        </w:tc>
        <w:tc>
          <w:tcPr>
            <w:tcW w:w="3672" w:type="dxa"/>
            <w:tcBorders>
              <w:top w:val="single" w:sz="8" w:space="0" w:color="000000"/>
              <w:left w:val="single" w:sz="8" w:space="0" w:color="000000"/>
              <w:bottom w:val="single" w:sz="8" w:space="0" w:color="000000"/>
              <w:right w:val="single" w:sz="8" w:space="0" w:color="000000"/>
            </w:tcBorders>
          </w:tcPr>
          <w:p w14:paraId="0DFDD3B1" w14:textId="77777777" w:rsidR="00046465" w:rsidRDefault="00046465">
            <w:pPr>
              <w:pStyle w:val="TableParagraph"/>
              <w:rPr>
                <w:rFonts w:ascii="Times New Roman"/>
              </w:rPr>
            </w:pPr>
          </w:p>
        </w:tc>
        <w:tc>
          <w:tcPr>
            <w:tcW w:w="2641" w:type="dxa"/>
            <w:tcBorders>
              <w:top w:val="single" w:sz="8" w:space="0" w:color="000000"/>
              <w:left w:val="single" w:sz="8" w:space="0" w:color="000000"/>
              <w:bottom w:val="single" w:sz="8" w:space="0" w:color="000000"/>
            </w:tcBorders>
          </w:tcPr>
          <w:p w14:paraId="0DFDD3B2" w14:textId="77777777" w:rsidR="00046465" w:rsidRDefault="00046465">
            <w:pPr>
              <w:pStyle w:val="TableParagraph"/>
              <w:rPr>
                <w:rFonts w:ascii="Times New Roman"/>
              </w:rPr>
            </w:pPr>
          </w:p>
        </w:tc>
      </w:tr>
      <w:tr w:rsidR="00046465" w14:paraId="0DFDD3B8" w14:textId="77777777">
        <w:trPr>
          <w:trHeight w:val="492"/>
        </w:trPr>
        <w:tc>
          <w:tcPr>
            <w:tcW w:w="1424" w:type="dxa"/>
            <w:tcBorders>
              <w:top w:val="single" w:sz="8" w:space="0" w:color="000000"/>
              <w:bottom w:val="single" w:sz="8" w:space="0" w:color="000000"/>
              <w:right w:val="single" w:sz="8" w:space="0" w:color="000000"/>
            </w:tcBorders>
          </w:tcPr>
          <w:p w14:paraId="0DFDD3B4" w14:textId="77777777" w:rsidR="00046465" w:rsidRDefault="00046465">
            <w:pPr>
              <w:pStyle w:val="TableParagraph"/>
              <w:rPr>
                <w:rFonts w:ascii="Times New Roman"/>
              </w:rPr>
            </w:pPr>
          </w:p>
        </w:tc>
        <w:tc>
          <w:tcPr>
            <w:tcW w:w="1778" w:type="dxa"/>
            <w:tcBorders>
              <w:top w:val="single" w:sz="8" w:space="0" w:color="000000"/>
              <w:left w:val="single" w:sz="8" w:space="0" w:color="000000"/>
              <w:bottom w:val="single" w:sz="8" w:space="0" w:color="000000"/>
              <w:right w:val="single" w:sz="8" w:space="0" w:color="000000"/>
            </w:tcBorders>
          </w:tcPr>
          <w:p w14:paraId="0DFDD3B5" w14:textId="77777777" w:rsidR="00046465" w:rsidRDefault="00046465">
            <w:pPr>
              <w:pStyle w:val="TableParagraph"/>
              <w:rPr>
                <w:rFonts w:ascii="Times New Roman"/>
              </w:rPr>
            </w:pPr>
          </w:p>
        </w:tc>
        <w:tc>
          <w:tcPr>
            <w:tcW w:w="3672" w:type="dxa"/>
            <w:tcBorders>
              <w:top w:val="single" w:sz="8" w:space="0" w:color="000000"/>
              <w:left w:val="single" w:sz="8" w:space="0" w:color="000000"/>
              <w:bottom w:val="single" w:sz="8" w:space="0" w:color="000000"/>
              <w:right w:val="single" w:sz="8" w:space="0" w:color="000000"/>
            </w:tcBorders>
          </w:tcPr>
          <w:p w14:paraId="0DFDD3B6" w14:textId="77777777" w:rsidR="00046465" w:rsidRDefault="00046465">
            <w:pPr>
              <w:pStyle w:val="TableParagraph"/>
              <w:rPr>
                <w:rFonts w:ascii="Times New Roman"/>
              </w:rPr>
            </w:pPr>
          </w:p>
        </w:tc>
        <w:tc>
          <w:tcPr>
            <w:tcW w:w="2641" w:type="dxa"/>
            <w:tcBorders>
              <w:top w:val="single" w:sz="8" w:space="0" w:color="000000"/>
              <w:left w:val="single" w:sz="8" w:space="0" w:color="000000"/>
              <w:bottom w:val="single" w:sz="8" w:space="0" w:color="000000"/>
            </w:tcBorders>
          </w:tcPr>
          <w:p w14:paraId="0DFDD3B7" w14:textId="77777777" w:rsidR="00046465" w:rsidRDefault="00046465">
            <w:pPr>
              <w:pStyle w:val="TableParagraph"/>
              <w:rPr>
                <w:rFonts w:ascii="Times New Roman"/>
              </w:rPr>
            </w:pPr>
          </w:p>
        </w:tc>
      </w:tr>
      <w:tr w:rsidR="00046465" w14:paraId="0DFDD3BD" w14:textId="77777777">
        <w:trPr>
          <w:trHeight w:val="493"/>
        </w:trPr>
        <w:tc>
          <w:tcPr>
            <w:tcW w:w="1424" w:type="dxa"/>
            <w:tcBorders>
              <w:top w:val="single" w:sz="8" w:space="0" w:color="000000"/>
              <w:bottom w:val="single" w:sz="8" w:space="0" w:color="000000"/>
              <w:right w:val="single" w:sz="8" w:space="0" w:color="000000"/>
            </w:tcBorders>
          </w:tcPr>
          <w:p w14:paraId="0DFDD3B9" w14:textId="77777777" w:rsidR="00046465" w:rsidRDefault="00046465">
            <w:pPr>
              <w:pStyle w:val="TableParagraph"/>
              <w:rPr>
                <w:rFonts w:ascii="Times New Roman"/>
              </w:rPr>
            </w:pPr>
          </w:p>
        </w:tc>
        <w:tc>
          <w:tcPr>
            <w:tcW w:w="1778" w:type="dxa"/>
            <w:tcBorders>
              <w:top w:val="single" w:sz="8" w:space="0" w:color="000000"/>
              <w:left w:val="single" w:sz="8" w:space="0" w:color="000000"/>
              <w:bottom w:val="single" w:sz="8" w:space="0" w:color="000000"/>
              <w:right w:val="single" w:sz="8" w:space="0" w:color="000000"/>
            </w:tcBorders>
          </w:tcPr>
          <w:p w14:paraId="0DFDD3BA" w14:textId="77777777" w:rsidR="00046465" w:rsidRDefault="00046465">
            <w:pPr>
              <w:pStyle w:val="TableParagraph"/>
              <w:rPr>
                <w:rFonts w:ascii="Times New Roman"/>
              </w:rPr>
            </w:pPr>
          </w:p>
        </w:tc>
        <w:tc>
          <w:tcPr>
            <w:tcW w:w="3672" w:type="dxa"/>
            <w:tcBorders>
              <w:top w:val="single" w:sz="8" w:space="0" w:color="000000"/>
              <w:left w:val="single" w:sz="8" w:space="0" w:color="000000"/>
              <w:bottom w:val="single" w:sz="8" w:space="0" w:color="000000"/>
              <w:right w:val="single" w:sz="8" w:space="0" w:color="000000"/>
            </w:tcBorders>
          </w:tcPr>
          <w:p w14:paraId="0DFDD3BB" w14:textId="77777777" w:rsidR="00046465" w:rsidRDefault="00046465">
            <w:pPr>
              <w:pStyle w:val="TableParagraph"/>
              <w:rPr>
                <w:rFonts w:ascii="Times New Roman"/>
              </w:rPr>
            </w:pPr>
          </w:p>
        </w:tc>
        <w:tc>
          <w:tcPr>
            <w:tcW w:w="2641" w:type="dxa"/>
            <w:tcBorders>
              <w:top w:val="single" w:sz="8" w:space="0" w:color="000000"/>
              <w:left w:val="single" w:sz="8" w:space="0" w:color="000000"/>
              <w:bottom w:val="single" w:sz="8" w:space="0" w:color="000000"/>
            </w:tcBorders>
          </w:tcPr>
          <w:p w14:paraId="0DFDD3BC" w14:textId="77777777" w:rsidR="00046465" w:rsidRDefault="00046465">
            <w:pPr>
              <w:pStyle w:val="TableParagraph"/>
              <w:rPr>
                <w:rFonts w:ascii="Times New Roman"/>
              </w:rPr>
            </w:pPr>
          </w:p>
        </w:tc>
      </w:tr>
      <w:tr w:rsidR="00046465" w14:paraId="0DFDD3C2" w14:textId="77777777">
        <w:trPr>
          <w:trHeight w:val="492"/>
        </w:trPr>
        <w:tc>
          <w:tcPr>
            <w:tcW w:w="1424" w:type="dxa"/>
            <w:tcBorders>
              <w:top w:val="single" w:sz="8" w:space="0" w:color="000000"/>
              <w:bottom w:val="single" w:sz="8" w:space="0" w:color="000000"/>
              <w:right w:val="single" w:sz="8" w:space="0" w:color="000000"/>
            </w:tcBorders>
          </w:tcPr>
          <w:p w14:paraId="0DFDD3BE" w14:textId="77777777" w:rsidR="00046465" w:rsidRDefault="00046465">
            <w:pPr>
              <w:pStyle w:val="TableParagraph"/>
              <w:rPr>
                <w:rFonts w:ascii="Times New Roman"/>
              </w:rPr>
            </w:pPr>
          </w:p>
        </w:tc>
        <w:tc>
          <w:tcPr>
            <w:tcW w:w="1778" w:type="dxa"/>
            <w:tcBorders>
              <w:top w:val="single" w:sz="8" w:space="0" w:color="000000"/>
              <w:left w:val="single" w:sz="8" w:space="0" w:color="000000"/>
              <w:bottom w:val="single" w:sz="8" w:space="0" w:color="000000"/>
              <w:right w:val="single" w:sz="8" w:space="0" w:color="000000"/>
            </w:tcBorders>
          </w:tcPr>
          <w:p w14:paraId="0DFDD3BF" w14:textId="77777777" w:rsidR="00046465" w:rsidRDefault="00046465">
            <w:pPr>
              <w:pStyle w:val="TableParagraph"/>
              <w:rPr>
                <w:rFonts w:ascii="Times New Roman"/>
              </w:rPr>
            </w:pPr>
          </w:p>
        </w:tc>
        <w:tc>
          <w:tcPr>
            <w:tcW w:w="3672" w:type="dxa"/>
            <w:tcBorders>
              <w:top w:val="single" w:sz="8" w:space="0" w:color="000000"/>
              <w:left w:val="single" w:sz="8" w:space="0" w:color="000000"/>
              <w:bottom w:val="single" w:sz="8" w:space="0" w:color="000000"/>
              <w:right w:val="single" w:sz="8" w:space="0" w:color="000000"/>
            </w:tcBorders>
          </w:tcPr>
          <w:p w14:paraId="0DFDD3C0" w14:textId="77777777" w:rsidR="00046465" w:rsidRDefault="00046465">
            <w:pPr>
              <w:pStyle w:val="TableParagraph"/>
              <w:rPr>
                <w:rFonts w:ascii="Times New Roman"/>
              </w:rPr>
            </w:pPr>
          </w:p>
        </w:tc>
        <w:tc>
          <w:tcPr>
            <w:tcW w:w="2641" w:type="dxa"/>
            <w:tcBorders>
              <w:top w:val="single" w:sz="8" w:space="0" w:color="000000"/>
              <w:left w:val="single" w:sz="8" w:space="0" w:color="000000"/>
              <w:bottom w:val="single" w:sz="8" w:space="0" w:color="000000"/>
            </w:tcBorders>
          </w:tcPr>
          <w:p w14:paraId="0DFDD3C1" w14:textId="77777777" w:rsidR="00046465" w:rsidRDefault="00046465">
            <w:pPr>
              <w:pStyle w:val="TableParagraph"/>
              <w:rPr>
                <w:rFonts w:ascii="Times New Roman"/>
              </w:rPr>
            </w:pPr>
          </w:p>
        </w:tc>
      </w:tr>
      <w:tr w:rsidR="00046465" w14:paraId="0DFDD3C7" w14:textId="77777777">
        <w:trPr>
          <w:trHeight w:val="493"/>
        </w:trPr>
        <w:tc>
          <w:tcPr>
            <w:tcW w:w="1424" w:type="dxa"/>
            <w:tcBorders>
              <w:top w:val="single" w:sz="8" w:space="0" w:color="000000"/>
              <w:bottom w:val="single" w:sz="8" w:space="0" w:color="000000"/>
              <w:right w:val="single" w:sz="8" w:space="0" w:color="000000"/>
            </w:tcBorders>
          </w:tcPr>
          <w:p w14:paraId="0DFDD3C3" w14:textId="77777777" w:rsidR="00046465" w:rsidRDefault="00046465">
            <w:pPr>
              <w:pStyle w:val="TableParagraph"/>
              <w:rPr>
                <w:rFonts w:ascii="Times New Roman"/>
              </w:rPr>
            </w:pPr>
          </w:p>
        </w:tc>
        <w:tc>
          <w:tcPr>
            <w:tcW w:w="1778" w:type="dxa"/>
            <w:tcBorders>
              <w:top w:val="single" w:sz="8" w:space="0" w:color="000000"/>
              <w:left w:val="single" w:sz="8" w:space="0" w:color="000000"/>
              <w:bottom w:val="single" w:sz="8" w:space="0" w:color="000000"/>
              <w:right w:val="single" w:sz="8" w:space="0" w:color="000000"/>
            </w:tcBorders>
          </w:tcPr>
          <w:p w14:paraId="0DFDD3C4" w14:textId="77777777" w:rsidR="00046465" w:rsidRDefault="00046465">
            <w:pPr>
              <w:pStyle w:val="TableParagraph"/>
              <w:rPr>
                <w:rFonts w:ascii="Times New Roman"/>
              </w:rPr>
            </w:pPr>
          </w:p>
        </w:tc>
        <w:tc>
          <w:tcPr>
            <w:tcW w:w="3672" w:type="dxa"/>
            <w:tcBorders>
              <w:top w:val="single" w:sz="8" w:space="0" w:color="000000"/>
              <w:left w:val="single" w:sz="8" w:space="0" w:color="000000"/>
              <w:bottom w:val="single" w:sz="8" w:space="0" w:color="000000"/>
              <w:right w:val="single" w:sz="8" w:space="0" w:color="000000"/>
            </w:tcBorders>
          </w:tcPr>
          <w:p w14:paraId="0DFDD3C5" w14:textId="77777777" w:rsidR="00046465" w:rsidRDefault="00046465">
            <w:pPr>
              <w:pStyle w:val="TableParagraph"/>
              <w:rPr>
                <w:rFonts w:ascii="Times New Roman"/>
              </w:rPr>
            </w:pPr>
          </w:p>
        </w:tc>
        <w:tc>
          <w:tcPr>
            <w:tcW w:w="2641" w:type="dxa"/>
            <w:tcBorders>
              <w:top w:val="single" w:sz="8" w:space="0" w:color="000000"/>
              <w:left w:val="single" w:sz="8" w:space="0" w:color="000000"/>
              <w:bottom w:val="single" w:sz="8" w:space="0" w:color="000000"/>
            </w:tcBorders>
          </w:tcPr>
          <w:p w14:paraId="0DFDD3C6" w14:textId="77777777" w:rsidR="00046465" w:rsidRDefault="00046465">
            <w:pPr>
              <w:pStyle w:val="TableParagraph"/>
              <w:rPr>
                <w:rFonts w:ascii="Times New Roman"/>
              </w:rPr>
            </w:pPr>
          </w:p>
        </w:tc>
      </w:tr>
      <w:tr w:rsidR="00046465" w14:paraId="0DFDD3CC" w14:textId="77777777">
        <w:trPr>
          <w:trHeight w:val="493"/>
        </w:trPr>
        <w:tc>
          <w:tcPr>
            <w:tcW w:w="1424" w:type="dxa"/>
            <w:tcBorders>
              <w:top w:val="single" w:sz="8" w:space="0" w:color="000000"/>
              <w:right w:val="single" w:sz="8" w:space="0" w:color="000000"/>
            </w:tcBorders>
          </w:tcPr>
          <w:p w14:paraId="0DFDD3C8" w14:textId="77777777" w:rsidR="00046465" w:rsidRDefault="00046465">
            <w:pPr>
              <w:pStyle w:val="TableParagraph"/>
              <w:rPr>
                <w:rFonts w:ascii="Times New Roman"/>
              </w:rPr>
            </w:pPr>
          </w:p>
        </w:tc>
        <w:tc>
          <w:tcPr>
            <w:tcW w:w="1778" w:type="dxa"/>
            <w:tcBorders>
              <w:top w:val="single" w:sz="8" w:space="0" w:color="000000"/>
              <w:left w:val="single" w:sz="8" w:space="0" w:color="000000"/>
              <w:right w:val="single" w:sz="8" w:space="0" w:color="000000"/>
            </w:tcBorders>
          </w:tcPr>
          <w:p w14:paraId="0DFDD3C9" w14:textId="77777777" w:rsidR="00046465" w:rsidRDefault="00046465">
            <w:pPr>
              <w:pStyle w:val="TableParagraph"/>
              <w:rPr>
                <w:rFonts w:ascii="Times New Roman"/>
              </w:rPr>
            </w:pPr>
          </w:p>
        </w:tc>
        <w:tc>
          <w:tcPr>
            <w:tcW w:w="3672" w:type="dxa"/>
            <w:tcBorders>
              <w:top w:val="single" w:sz="8" w:space="0" w:color="000000"/>
              <w:left w:val="single" w:sz="8" w:space="0" w:color="000000"/>
              <w:right w:val="single" w:sz="8" w:space="0" w:color="000000"/>
            </w:tcBorders>
          </w:tcPr>
          <w:p w14:paraId="0DFDD3CA" w14:textId="77777777" w:rsidR="00046465" w:rsidRDefault="00046465">
            <w:pPr>
              <w:pStyle w:val="TableParagraph"/>
              <w:rPr>
                <w:rFonts w:ascii="Times New Roman"/>
              </w:rPr>
            </w:pPr>
          </w:p>
        </w:tc>
        <w:tc>
          <w:tcPr>
            <w:tcW w:w="2641" w:type="dxa"/>
            <w:tcBorders>
              <w:top w:val="single" w:sz="8" w:space="0" w:color="000000"/>
              <w:left w:val="single" w:sz="8" w:space="0" w:color="000000"/>
            </w:tcBorders>
          </w:tcPr>
          <w:p w14:paraId="0DFDD3CB" w14:textId="77777777" w:rsidR="00046465" w:rsidRDefault="00046465">
            <w:pPr>
              <w:pStyle w:val="TableParagraph"/>
              <w:rPr>
                <w:rFonts w:ascii="Times New Roman"/>
              </w:rPr>
            </w:pPr>
          </w:p>
        </w:tc>
      </w:tr>
    </w:tbl>
    <w:p w14:paraId="0DFDD3CD" w14:textId="77777777" w:rsidR="00046465" w:rsidRDefault="00046465">
      <w:pPr>
        <w:pStyle w:val="TableParagraph"/>
        <w:rPr>
          <w:rFonts w:ascii="Times New Roman"/>
        </w:rPr>
        <w:sectPr w:rsidR="00046465">
          <w:pgSz w:w="12240" w:h="15840"/>
          <w:pgMar w:top="1340" w:right="720" w:bottom="940" w:left="360" w:header="721" w:footer="757" w:gutter="0"/>
          <w:cols w:space="720"/>
        </w:sectPr>
      </w:pPr>
    </w:p>
    <w:p w14:paraId="0DFDD3CE" w14:textId="77777777" w:rsidR="00046465" w:rsidRDefault="008134EB" w:rsidP="00FC437E">
      <w:pPr>
        <w:pStyle w:val="Heading4"/>
        <w:ind w:left="1080"/>
      </w:pPr>
      <w:bookmarkStart w:id="421" w:name="Section_VII:_Conclusions"/>
      <w:bookmarkEnd w:id="421"/>
      <w:r>
        <w:lastRenderedPageBreak/>
        <w:t>Section</w:t>
      </w:r>
      <w:r>
        <w:rPr>
          <w:spacing w:val="-8"/>
        </w:rPr>
        <w:t xml:space="preserve"> </w:t>
      </w:r>
      <w:r>
        <w:t>VII:</w:t>
      </w:r>
      <w:r>
        <w:rPr>
          <w:spacing w:val="-9"/>
        </w:rPr>
        <w:t xml:space="preserve"> </w:t>
      </w:r>
      <w:r>
        <w:rPr>
          <w:spacing w:val="-2"/>
        </w:rPr>
        <w:t>Conclusions</w:t>
      </w:r>
    </w:p>
    <w:p w14:paraId="0DFDD3CF" w14:textId="77777777" w:rsidR="00046465" w:rsidRDefault="00046465">
      <w:pPr>
        <w:pStyle w:val="BodyText"/>
        <w:spacing w:before="9"/>
        <w:rPr>
          <w:b/>
          <w:sz w:val="10"/>
        </w:rPr>
      </w:pPr>
    </w:p>
    <w:tbl>
      <w:tblPr>
        <w:tblW w:w="0" w:type="auto"/>
        <w:tblInd w:w="108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7649"/>
        <w:gridCol w:w="797"/>
        <w:gridCol w:w="971"/>
      </w:tblGrid>
      <w:tr w:rsidR="00046465" w14:paraId="0DFDD3D3" w14:textId="77777777">
        <w:trPr>
          <w:trHeight w:val="516"/>
        </w:trPr>
        <w:tc>
          <w:tcPr>
            <w:tcW w:w="7649" w:type="dxa"/>
            <w:tcBorders>
              <w:bottom w:val="single" w:sz="6" w:space="0" w:color="000000"/>
              <w:right w:val="single" w:sz="8" w:space="0" w:color="000000"/>
            </w:tcBorders>
            <w:shd w:val="clear" w:color="auto" w:fill="A6A6A6"/>
          </w:tcPr>
          <w:p w14:paraId="0DFDD3D0" w14:textId="77777777" w:rsidR="00046465" w:rsidRDefault="008134EB">
            <w:pPr>
              <w:pStyle w:val="TableParagraph"/>
              <w:spacing w:before="121"/>
              <w:ind w:left="140"/>
              <w:rPr>
                <w:b/>
                <w:sz w:val="24"/>
              </w:rPr>
            </w:pPr>
            <w:r>
              <w:rPr>
                <w:b/>
                <w:sz w:val="24"/>
              </w:rPr>
              <w:t>Section</w:t>
            </w:r>
            <w:r>
              <w:rPr>
                <w:b/>
                <w:spacing w:val="-3"/>
                <w:sz w:val="24"/>
              </w:rPr>
              <w:t xml:space="preserve"> </w:t>
            </w:r>
            <w:r>
              <w:rPr>
                <w:b/>
                <w:sz w:val="24"/>
              </w:rPr>
              <w:t>VII:</w:t>
            </w:r>
            <w:r>
              <w:rPr>
                <w:b/>
                <w:spacing w:val="-2"/>
                <w:sz w:val="24"/>
              </w:rPr>
              <w:t xml:space="preserve"> Conclusions</w:t>
            </w:r>
          </w:p>
        </w:tc>
        <w:tc>
          <w:tcPr>
            <w:tcW w:w="797" w:type="dxa"/>
            <w:tcBorders>
              <w:left w:val="single" w:sz="8" w:space="0" w:color="000000"/>
              <w:bottom w:val="single" w:sz="6" w:space="0" w:color="000000"/>
              <w:right w:val="single" w:sz="8" w:space="0" w:color="000000"/>
            </w:tcBorders>
            <w:shd w:val="clear" w:color="auto" w:fill="A6A6A6"/>
          </w:tcPr>
          <w:p w14:paraId="0DFDD3D1" w14:textId="77777777" w:rsidR="00046465" w:rsidRDefault="008134EB">
            <w:pPr>
              <w:pStyle w:val="TableParagraph"/>
              <w:spacing w:before="121"/>
              <w:ind w:left="177"/>
              <w:rPr>
                <w:b/>
                <w:sz w:val="24"/>
              </w:rPr>
            </w:pPr>
            <w:r>
              <w:rPr>
                <w:b/>
                <w:spacing w:val="-5"/>
                <w:sz w:val="24"/>
              </w:rPr>
              <w:t>Yes</w:t>
            </w:r>
          </w:p>
        </w:tc>
        <w:tc>
          <w:tcPr>
            <w:tcW w:w="971" w:type="dxa"/>
            <w:tcBorders>
              <w:left w:val="single" w:sz="8" w:space="0" w:color="000000"/>
              <w:bottom w:val="single" w:sz="6" w:space="0" w:color="000000"/>
            </w:tcBorders>
            <w:shd w:val="clear" w:color="auto" w:fill="A6A6A6"/>
          </w:tcPr>
          <w:p w14:paraId="0DFDD3D2" w14:textId="77777777" w:rsidR="00046465" w:rsidRDefault="008134EB">
            <w:pPr>
              <w:pStyle w:val="TableParagraph"/>
              <w:spacing w:before="121"/>
              <w:ind w:left="270"/>
              <w:rPr>
                <w:b/>
                <w:sz w:val="24"/>
              </w:rPr>
            </w:pPr>
            <w:r>
              <w:rPr>
                <w:b/>
                <w:spacing w:val="-5"/>
                <w:sz w:val="24"/>
              </w:rPr>
              <w:t>No*</w:t>
            </w:r>
          </w:p>
        </w:tc>
      </w:tr>
      <w:tr w:rsidR="00046465" w14:paraId="0DFDD3D7" w14:textId="77777777">
        <w:trPr>
          <w:trHeight w:val="745"/>
        </w:trPr>
        <w:tc>
          <w:tcPr>
            <w:tcW w:w="7649" w:type="dxa"/>
            <w:tcBorders>
              <w:top w:val="single" w:sz="6" w:space="0" w:color="000000"/>
              <w:bottom w:val="single" w:sz="6" w:space="0" w:color="000000"/>
              <w:right w:val="single" w:sz="6" w:space="0" w:color="000000"/>
            </w:tcBorders>
          </w:tcPr>
          <w:p w14:paraId="0DFDD3D4" w14:textId="77777777" w:rsidR="00046465" w:rsidRDefault="008134EB">
            <w:pPr>
              <w:pStyle w:val="TableParagraph"/>
              <w:spacing w:before="119"/>
              <w:ind w:left="140" w:right="263"/>
            </w:pPr>
            <w:r>
              <w:t>Based</w:t>
            </w:r>
            <w:r>
              <w:rPr>
                <w:spacing w:val="-5"/>
              </w:rPr>
              <w:t xml:space="preserve"> </w:t>
            </w:r>
            <w:r>
              <w:t>on</w:t>
            </w:r>
            <w:r>
              <w:rPr>
                <w:spacing w:val="-5"/>
              </w:rPr>
              <w:t xml:space="preserve"> </w:t>
            </w:r>
            <w:r>
              <w:t>your</w:t>
            </w:r>
            <w:r>
              <w:rPr>
                <w:spacing w:val="-5"/>
              </w:rPr>
              <w:t xml:space="preserve"> </w:t>
            </w:r>
            <w:r>
              <w:t>review</w:t>
            </w:r>
            <w:r>
              <w:rPr>
                <w:spacing w:val="-6"/>
              </w:rPr>
              <w:t xml:space="preserve"> </w:t>
            </w:r>
            <w:r>
              <w:t>and</w:t>
            </w:r>
            <w:r>
              <w:rPr>
                <w:spacing w:val="-5"/>
              </w:rPr>
              <w:t xml:space="preserve"> </w:t>
            </w:r>
            <w:r>
              <w:t>knowledge,</w:t>
            </w:r>
            <w:r>
              <w:rPr>
                <w:spacing w:val="-5"/>
              </w:rPr>
              <w:t xml:space="preserve"> </w:t>
            </w:r>
            <w:r>
              <w:t>are</w:t>
            </w:r>
            <w:r>
              <w:rPr>
                <w:spacing w:val="-5"/>
              </w:rPr>
              <w:t xml:space="preserve"> </w:t>
            </w:r>
            <w:r>
              <w:t>the</w:t>
            </w:r>
            <w:r>
              <w:rPr>
                <w:spacing w:val="-5"/>
              </w:rPr>
              <w:t xml:space="preserve"> </w:t>
            </w:r>
            <w:r>
              <w:t>following</w:t>
            </w:r>
            <w:r>
              <w:rPr>
                <w:spacing w:val="-5"/>
              </w:rPr>
              <w:t xml:space="preserve"> </w:t>
            </w:r>
            <w:r>
              <w:t xml:space="preserve">statements </w:t>
            </w:r>
            <w:r>
              <w:rPr>
                <w:spacing w:val="-2"/>
              </w:rPr>
              <w:t>correct?</w:t>
            </w:r>
          </w:p>
        </w:tc>
        <w:tc>
          <w:tcPr>
            <w:tcW w:w="797" w:type="dxa"/>
            <w:tcBorders>
              <w:top w:val="single" w:sz="6" w:space="0" w:color="000000"/>
              <w:left w:val="single" w:sz="6" w:space="0" w:color="000000"/>
              <w:bottom w:val="single" w:sz="6" w:space="0" w:color="000000"/>
              <w:right w:val="single" w:sz="6" w:space="0" w:color="000000"/>
            </w:tcBorders>
          </w:tcPr>
          <w:p w14:paraId="0DFDD3D5" w14:textId="77777777" w:rsidR="00046465" w:rsidRDefault="00046465">
            <w:pPr>
              <w:pStyle w:val="TableParagraph"/>
              <w:rPr>
                <w:rFonts w:ascii="Times New Roman"/>
              </w:rPr>
            </w:pPr>
          </w:p>
        </w:tc>
        <w:tc>
          <w:tcPr>
            <w:tcW w:w="971" w:type="dxa"/>
            <w:tcBorders>
              <w:top w:val="single" w:sz="6" w:space="0" w:color="000000"/>
              <w:left w:val="single" w:sz="6" w:space="0" w:color="000000"/>
              <w:bottom w:val="single" w:sz="6" w:space="0" w:color="000000"/>
            </w:tcBorders>
          </w:tcPr>
          <w:p w14:paraId="0DFDD3D6" w14:textId="77777777" w:rsidR="00046465" w:rsidRDefault="00046465">
            <w:pPr>
              <w:pStyle w:val="TableParagraph"/>
              <w:rPr>
                <w:rFonts w:ascii="Times New Roman"/>
              </w:rPr>
            </w:pPr>
          </w:p>
        </w:tc>
      </w:tr>
      <w:tr w:rsidR="00046465" w14:paraId="0DFDD3DB" w14:textId="77777777">
        <w:trPr>
          <w:trHeight w:val="1252"/>
        </w:trPr>
        <w:tc>
          <w:tcPr>
            <w:tcW w:w="7649" w:type="dxa"/>
            <w:tcBorders>
              <w:top w:val="single" w:sz="6" w:space="0" w:color="000000"/>
              <w:bottom w:val="single" w:sz="6" w:space="0" w:color="000000"/>
              <w:right w:val="single" w:sz="6" w:space="0" w:color="000000"/>
            </w:tcBorders>
          </w:tcPr>
          <w:p w14:paraId="0DFDD3D8" w14:textId="77777777" w:rsidR="00046465" w:rsidRDefault="008134EB">
            <w:pPr>
              <w:pStyle w:val="TableParagraph"/>
              <w:spacing w:before="119"/>
              <w:ind w:left="860" w:right="263" w:hanging="360"/>
            </w:pPr>
            <w:r>
              <w:t>1.</w:t>
            </w:r>
            <w:r>
              <w:rPr>
                <w:spacing w:val="80"/>
              </w:rPr>
              <w:t xml:space="preserve"> </w:t>
            </w:r>
            <w:r>
              <w:t>The</w:t>
            </w:r>
            <w:r>
              <w:rPr>
                <w:spacing w:val="-4"/>
              </w:rPr>
              <w:t xml:space="preserve"> </w:t>
            </w:r>
            <w:r>
              <w:t>engagement</w:t>
            </w:r>
            <w:r>
              <w:rPr>
                <w:spacing w:val="-4"/>
              </w:rPr>
              <w:t xml:space="preserve"> </w:t>
            </w:r>
            <w:r>
              <w:t>team</w:t>
            </w:r>
            <w:r>
              <w:rPr>
                <w:spacing w:val="-5"/>
              </w:rPr>
              <w:t xml:space="preserve"> </w:t>
            </w:r>
            <w:r>
              <w:t>planned</w:t>
            </w:r>
            <w:r>
              <w:rPr>
                <w:spacing w:val="-4"/>
              </w:rPr>
              <w:t xml:space="preserve"> </w:t>
            </w:r>
            <w:r>
              <w:t>and</w:t>
            </w:r>
            <w:r>
              <w:rPr>
                <w:spacing w:val="-5"/>
              </w:rPr>
              <w:t xml:space="preserve"> </w:t>
            </w:r>
            <w:r>
              <w:t>performed</w:t>
            </w:r>
            <w:r>
              <w:rPr>
                <w:spacing w:val="-4"/>
              </w:rPr>
              <w:t xml:space="preserve"> </w:t>
            </w:r>
            <w:r>
              <w:t>the</w:t>
            </w:r>
            <w:r>
              <w:rPr>
                <w:spacing w:val="-4"/>
              </w:rPr>
              <w:t xml:space="preserve"> </w:t>
            </w:r>
            <w:r>
              <w:t>engagement,</w:t>
            </w:r>
            <w:r>
              <w:rPr>
                <w:spacing w:val="-4"/>
              </w:rPr>
              <w:t xml:space="preserve"> </w:t>
            </w:r>
            <w:r>
              <w:t>in all material respects, in accordance with GAGAS (which includes U.S.</w:t>
            </w:r>
            <w:r>
              <w:rPr>
                <w:spacing w:val="-2"/>
              </w:rPr>
              <w:t xml:space="preserve"> </w:t>
            </w:r>
            <w:r>
              <w:t>GAAS)</w:t>
            </w:r>
            <w:r>
              <w:rPr>
                <w:spacing w:val="-1"/>
              </w:rPr>
              <w:t xml:space="preserve"> </w:t>
            </w:r>
            <w:r>
              <w:t>and</w:t>
            </w:r>
            <w:r>
              <w:rPr>
                <w:spacing w:val="-2"/>
              </w:rPr>
              <w:t xml:space="preserve"> </w:t>
            </w:r>
            <w:r>
              <w:t>OMB</w:t>
            </w:r>
            <w:r>
              <w:rPr>
                <w:spacing w:val="-2"/>
              </w:rPr>
              <w:t xml:space="preserve"> </w:t>
            </w:r>
            <w:r>
              <w:t>audit</w:t>
            </w:r>
            <w:r>
              <w:rPr>
                <w:spacing w:val="-2"/>
              </w:rPr>
              <w:t xml:space="preserve"> </w:t>
            </w:r>
            <w:r>
              <w:t>guidance,</w:t>
            </w:r>
            <w:r>
              <w:rPr>
                <w:spacing w:val="-2"/>
              </w:rPr>
              <w:t xml:space="preserve"> </w:t>
            </w:r>
            <w:r>
              <w:t>or</w:t>
            </w:r>
            <w:r>
              <w:rPr>
                <w:spacing w:val="-2"/>
              </w:rPr>
              <w:t xml:space="preserve"> </w:t>
            </w:r>
            <w:r>
              <w:t>if</w:t>
            </w:r>
            <w:r>
              <w:rPr>
                <w:spacing w:val="-2"/>
              </w:rPr>
              <w:t xml:space="preserve"> </w:t>
            </w:r>
            <w:r>
              <w:t>not,</w:t>
            </w:r>
            <w:r>
              <w:rPr>
                <w:spacing w:val="-2"/>
              </w:rPr>
              <w:t xml:space="preserve"> </w:t>
            </w:r>
            <w:r>
              <w:t>the</w:t>
            </w:r>
            <w:r>
              <w:rPr>
                <w:spacing w:val="-2"/>
              </w:rPr>
              <w:t xml:space="preserve"> </w:t>
            </w:r>
            <w:r>
              <w:t>auditor’s</w:t>
            </w:r>
            <w:r>
              <w:rPr>
                <w:spacing w:val="-3"/>
              </w:rPr>
              <w:t xml:space="preserve"> </w:t>
            </w:r>
            <w:r>
              <w:t>report was appropriately modified.</w:t>
            </w:r>
          </w:p>
        </w:tc>
        <w:tc>
          <w:tcPr>
            <w:tcW w:w="797" w:type="dxa"/>
            <w:tcBorders>
              <w:top w:val="single" w:sz="6" w:space="0" w:color="000000"/>
              <w:left w:val="single" w:sz="6" w:space="0" w:color="000000"/>
              <w:bottom w:val="single" w:sz="6" w:space="0" w:color="000000"/>
              <w:right w:val="single" w:sz="6" w:space="0" w:color="000000"/>
            </w:tcBorders>
          </w:tcPr>
          <w:p w14:paraId="0DFDD3D9" w14:textId="77777777" w:rsidR="00046465" w:rsidRDefault="00046465">
            <w:pPr>
              <w:pStyle w:val="TableParagraph"/>
              <w:rPr>
                <w:rFonts w:ascii="Times New Roman"/>
              </w:rPr>
            </w:pPr>
          </w:p>
        </w:tc>
        <w:tc>
          <w:tcPr>
            <w:tcW w:w="971" w:type="dxa"/>
            <w:tcBorders>
              <w:top w:val="single" w:sz="6" w:space="0" w:color="000000"/>
              <w:left w:val="single" w:sz="6" w:space="0" w:color="000000"/>
              <w:bottom w:val="single" w:sz="6" w:space="0" w:color="000000"/>
            </w:tcBorders>
          </w:tcPr>
          <w:p w14:paraId="0DFDD3DA" w14:textId="77777777" w:rsidR="00046465" w:rsidRDefault="00046465">
            <w:pPr>
              <w:pStyle w:val="TableParagraph"/>
              <w:rPr>
                <w:rFonts w:ascii="Times New Roman"/>
              </w:rPr>
            </w:pPr>
          </w:p>
        </w:tc>
      </w:tr>
      <w:tr w:rsidR="00046465" w14:paraId="0DFDD3E0" w14:textId="77777777">
        <w:trPr>
          <w:trHeight w:val="997"/>
        </w:trPr>
        <w:tc>
          <w:tcPr>
            <w:tcW w:w="7649" w:type="dxa"/>
            <w:tcBorders>
              <w:top w:val="single" w:sz="6" w:space="0" w:color="000000"/>
              <w:bottom w:val="single" w:sz="8" w:space="0" w:color="000000"/>
              <w:right w:val="single" w:sz="8" w:space="0" w:color="000000"/>
            </w:tcBorders>
          </w:tcPr>
          <w:p w14:paraId="0DFDD3DC" w14:textId="77777777" w:rsidR="00046465" w:rsidRDefault="008134EB">
            <w:pPr>
              <w:pStyle w:val="TableParagraph"/>
              <w:spacing w:before="119"/>
              <w:ind w:left="500"/>
            </w:pPr>
            <w:r>
              <w:t>2.</w:t>
            </w:r>
            <w:r>
              <w:rPr>
                <w:spacing w:val="67"/>
                <w:w w:val="150"/>
              </w:rPr>
              <w:t xml:space="preserve"> </w:t>
            </w:r>
            <w:r>
              <w:t>The</w:t>
            </w:r>
            <w:r>
              <w:rPr>
                <w:spacing w:val="-6"/>
              </w:rPr>
              <w:t xml:space="preserve"> </w:t>
            </w:r>
            <w:r>
              <w:t>financial</w:t>
            </w:r>
            <w:r>
              <w:rPr>
                <w:spacing w:val="-5"/>
              </w:rPr>
              <w:t xml:space="preserve"> </w:t>
            </w:r>
            <w:r>
              <w:t>statements</w:t>
            </w:r>
            <w:r>
              <w:rPr>
                <w:spacing w:val="-7"/>
              </w:rPr>
              <w:t xml:space="preserve"> </w:t>
            </w:r>
            <w:r>
              <w:t>conformed,</w:t>
            </w:r>
            <w:r>
              <w:rPr>
                <w:spacing w:val="-6"/>
              </w:rPr>
              <w:t xml:space="preserve"> </w:t>
            </w:r>
            <w:r>
              <w:t>in</w:t>
            </w:r>
            <w:r>
              <w:rPr>
                <w:spacing w:val="-6"/>
              </w:rPr>
              <w:t xml:space="preserve"> </w:t>
            </w:r>
            <w:r>
              <w:t>all</w:t>
            </w:r>
            <w:r>
              <w:rPr>
                <w:spacing w:val="-6"/>
              </w:rPr>
              <w:t xml:space="preserve"> </w:t>
            </w:r>
            <w:r>
              <w:t>material</w:t>
            </w:r>
            <w:r>
              <w:rPr>
                <w:spacing w:val="-5"/>
              </w:rPr>
              <w:t xml:space="preserve"> </w:t>
            </w:r>
            <w:r>
              <w:t>respects,</w:t>
            </w:r>
            <w:r>
              <w:rPr>
                <w:spacing w:val="-7"/>
              </w:rPr>
              <w:t xml:space="preserve"> </w:t>
            </w:r>
            <w:r>
              <w:rPr>
                <w:spacing w:val="-4"/>
              </w:rPr>
              <w:t>with</w:t>
            </w:r>
          </w:p>
          <w:p w14:paraId="0DFDD3DD" w14:textId="77777777" w:rsidR="00046465" w:rsidRDefault="008134EB">
            <w:pPr>
              <w:pStyle w:val="TableParagraph"/>
              <w:spacing w:before="1"/>
              <w:ind w:left="860" w:right="262" w:hanging="1"/>
            </w:pPr>
            <w:r>
              <w:t>U.S.</w:t>
            </w:r>
            <w:r>
              <w:rPr>
                <w:spacing w:val="-4"/>
              </w:rPr>
              <w:t xml:space="preserve"> </w:t>
            </w:r>
            <w:r>
              <w:t>GAAP,</w:t>
            </w:r>
            <w:r>
              <w:rPr>
                <w:spacing w:val="-4"/>
              </w:rPr>
              <w:t xml:space="preserve"> </w:t>
            </w:r>
            <w:r>
              <w:t>or</w:t>
            </w:r>
            <w:r>
              <w:rPr>
                <w:spacing w:val="-4"/>
              </w:rPr>
              <w:t xml:space="preserve"> </w:t>
            </w:r>
            <w:r>
              <w:t>if</w:t>
            </w:r>
            <w:r>
              <w:rPr>
                <w:spacing w:val="-4"/>
              </w:rPr>
              <w:t xml:space="preserve"> </w:t>
            </w:r>
            <w:r>
              <w:t>not,</w:t>
            </w:r>
            <w:r>
              <w:rPr>
                <w:spacing w:val="-4"/>
              </w:rPr>
              <w:t xml:space="preserve"> </w:t>
            </w:r>
            <w:r>
              <w:t>the</w:t>
            </w:r>
            <w:r>
              <w:rPr>
                <w:spacing w:val="-5"/>
              </w:rPr>
              <w:t xml:space="preserve"> </w:t>
            </w:r>
            <w:r>
              <w:t>auditor’s</w:t>
            </w:r>
            <w:r>
              <w:rPr>
                <w:spacing w:val="-4"/>
              </w:rPr>
              <w:t xml:space="preserve"> </w:t>
            </w:r>
            <w:r>
              <w:t>report</w:t>
            </w:r>
            <w:r>
              <w:rPr>
                <w:spacing w:val="-4"/>
              </w:rPr>
              <w:t xml:space="preserve"> </w:t>
            </w:r>
            <w:r>
              <w:t>was</w:t>
            </w:r>
            <w:r>
              <w:rPr>
                <w:spacing w:val="-4"/>
              </w:rPr>
              <w:t xml:space="preserve"> </w:t>
            </w:r>
            <w:r>
              <w:t xml:space="preserve">appropriately </w:t>
            </w:r>
            <w:r>
              <w:rPr>
                <w:spacing w:val="-2"/>
              </w:rPr>
              <w:t>modified.</w:t>
            </w:r>
          </w:p>
        </w:tc>
        <w:tc>
          <w:tcPr>
            <w:tcW w:w="797" w:type="dxa"/>
            <w:tcBorders>
              <w:top w:val="single" w:sz="6" w:space="0" w:color="000000"/>
              <w:left w:val="single" w:sz="8" w:space="0" w:color="000000"/>
              <w:bottom w:val="single" w:sz="8" w:space="0" w:color="000000"/>
              <w:right w:val="single" w:sz="8" w:space="0" w:color="000000"/>
            </w:tcBorders>
          </w:tcPr>
          <w:p w14:paraId="0DFDD3DE" w14:textId="77777777" w:rsidR="00046465" w:rsidRDefault="00046465">
            <w:pPr>
              <w:pStyle w:val="TableParagraph"/>
              <w:rPr>
                <w:rFonts w:ascii="Times New Roman"/>
              </w:rPr>
            </w:pPr>
          </w:p>
        </w:tc>
        <w:tc>
          <w:tcPr>
            <w:tcW w:w="971" w:type="dxa"/>
            <w:tcBorders>
              <w:top w:val="single" w:sz="6" w:space="0" w:color="000000"/>
              <w:left w:val="single" w:sz="8" w:space="0" w:color="000000"/>
              <w:bottom w:val="single" w:sz="8" w:space="0" w:color="000000"/>
            </w:tcBorders>
          </w:tcPr>
          <w:p w14:paraId="0DFDD3DF" w14:textId="77777777" w:rsidR="00046465" w:rsidRDefault="00046465">
            <w:pPr>
              <w:pStyle w:val="TableParagraph"/>
              <w:rPr>
                <w:rFonts w:ascii="Times New Roman"/>
              </w:rPr>
            </w:pPr>
          </w:p>
        </w:tc>
      </w:tr>
      <w:tr w:rsidR="00046465" w14:paraId="0DFDD3E4" w14:textId="77777777">
        <w:trPr>
          <w:trHeight w:val="490"/>
        </w:trPr>
        <w:tc>
          <w:tcPr>
            <w:tcW w:w="7649" w:type="dxa"/>
            <w:tcBorders>
              <w:top w:val="single" w:sz="8" w:space="0" w:color="000000"/>
              <w:bottom w:val="single" w:sz="8" w:space="0" w:color="000000"/>
              <w:right w:val="single" w:sz="8" w:space="0" w:color="000000"/>
            </w:tcBorders>
          </w:tcPr>
          <w:p w14:paraId="0DFDD3E1" w14:textId="77777777" w:rsidR="00046465" w:rsidRDefault="008134EB">
            <w:pPr>
              <w:pStyle w:val="TableParagraph"/>
              <w:spacing w:before="118"/>
              <w:ind w:left="500"/>
            </w:pPr>
            <w:r>
              <w:t>3.</w:t>
            </w:r>
            <w:r>
              <w:rPr>
                <w:spacing w:val="72"/>
                <w:w w:val="150"/>
              </w:rPr>
              <w:t xml:space="preserve"> </w:t>
            </w:r>
            <w:r>
              <w:t>The</w:t>
            </w:r>
            <w:r>
              <w:rPr>
                <w:spacing w:val="-4"/>
              </w:rPr>
              <w:t xml:space="preserve"> </w:t>
            </w:r>
            <w:r>
              <w:t>auditor’s</w:t>
            </w:r>
            <w:r>
              <w:rPr>
                <w:spacing w:val="-5"/>
              </w:rPr>
              <w:t xml:space="preserve"> </w:t>
            </w:r>
            <w:r>
              <w:t>report</w:t>
            </w:r>
            <w:r>
              <w:rPr>
                <w:spacing w:val="-4"/>
              </w:rPr>
              <w:t xml:space="preserve"> </w:t>
            </w:r>
            <w:r>
              <w:t>was</w:t>
            </w:r>
            <w:r>
              <w:rPr>
                <w:spacing w:val="-5"/>
              </w:rPr>
              <w:t xml:space="preserve"> </w:t>
            </w:r>
            <w:r>
              <w:t>appropriate</w:t>
            </w:r>
            <w:r>
              <w:rPr>
                <w:spacing w:val="-5"/>
              </w:rPr>
              <w:t xml:space="preserve"> </w:t>
            </w:r>
            <w:r>
              <w:t>in</w:t>
            </w:r>
            <w:r>
              <w:rPr>
                <w:spacing w:val="-4"/>
              </w:rPr>
              <w:t xml:space="preserve"> </w:t>
            </w:r>
            <w:r>
              <w:t>the</w:t>
            </w:r>
            <w:r>
              <w:rPr>
                <w:spacing w:val="-5"/>
              </w:rPr>
              <w:t xml:space="preserve"> </w:t>
            </w:r>
            <w:r>
              <w:rPr>
                <w:spacing w:val="-2"/>
              </w:rPr>
              <w:t>circumstances.</w:t>
            </w:r>
          </w:p>
        </w:tc>
        <w:tc>
          <w:tcPr>
            <w:tcW w:w="797" w:type="dxa"/>
            <w:tcBorders>
              <w:top w:val="single" w:sz="8" w:space="0" w:color="000000"/>
              <w:left w:val="single" w:sz="8" w:space="0" w:color="000000"/>
              <w:bottom w:val="single" w:sz="8" w:space="0" w:color="000000"/>
              <w:right w:val="single" w:sz="8" w:space="0" w:color="000000"/>
            </w:tcBorders>
          </w:tcPr>
          <w:p w14:paraId="0DFDD3E2" w14:textId="77777777" w:rsidR="00046465" w:rsidRDefault="00046465">
            <w:pPr>
              <w:pStyle w:val="TableParagraph"/>
              <w:rPr>
                <w:rFonts w:ascii="Times New Roman"/>
              </w:rPr>
            </w:pPr>
          </w:p>
        </w:tc>
        <w:tc>
          <w:tcPr>
            <w:tcW w:w="971" w:type="dxa"/>
            <w:tcBorders>
              <w:top w:val="single" w:sz="8" w:space="0" w:color="000000"/>
              <w:left w:val="single" w:sz="8" w:space="0" w:color="000000"/>
              <w:bottom w:val="single" w:sz="8" w:space="0" w:color="000000"/>
            </w:tcBorders>
          </w:tcPr>
          <w:p w14:paraId="0DFDD3E3" w14:textId="77777777" w:rsidR="00046465" w:rsidRDefault="00046465">
            <w:pPr>
              <w:pStyle w:val="TableParagraph"/>
              <w:rPr>
                <w:rFonts w:ascii="Times New Roman"/>
              </w:rPr>
            </w:pPr>
          </w:p>
        </w:tc>
      </w:tr>
      <w:tr w:rsidR="00046465" w14:paraId="0DFDD3EC" w14:textId="77777777">
        <w:trPr>
          <w:trHeight w:val="2799"/>
        </w:trPr>
        <w:tc>
          <w:tcPr>
            <w:tcW w:w="7649" w:type="dxa"/>
            <w:tcBorders>
              <w:top w:val="single" w:sz="8" w:space="0" w:color="000000"/>
              <w:bottom w:val="single" w:sz="8" w:space="0" w:color="000000"/>
              <w:right w:val="single" w:sz="8" w:space="0" w:color="000000"/>
            </w:tcBorders>
          </w:tcPr>
          <w:p w14:paraId="0DFDD3E5" w14:textId="77777777" w:rsidR="00046465" w:rsidRDefault="008134EB">
            <w:pPr>
              <w:pStyle w:val="TableParagraph"/>
              <w:numPr>
                <w:ilvl w:val="0"/>
                <w:numId w:val="30"/>
              </w:numPr>
              <w:tabs>
                <w:tab w:val="left" w:pos="859"/>
              </w:tabs>
              <w:spacing w:before="118"/>
              <w:ind w:left="859" w:hanging="359"/>
            </w:pPr>
            <w:r>
              <w:t>The</w:t>
            </w:r>
            <w:r>
              <w:rPr>
                <w:spacing w:val="-8"/>
              </w:rPr>
              <w:t xml:space="preserve"> </w:t>
            </w:r>
            <w:r>
              <w:t>documentation</w:t>
            </w:r>
            <w:r>
              <w:rPr>
                <w:spacing w:val="-7"/>
              </w:rPr>
              <w:t xml:space="preserve"> </w:t>
            </w:r>
            <w:r>
              <w:t>on</w:t>
            </w:r>
            <w:r>
              <w:rPr>
                <w:spacing w:val="-7"/>
              </w:rPr>
              <w:t xml:space="preserve"> </w:t>
            </w:r>
            <w:r>
              <w:t>this</w:t>
            </w:r>
            <w:r>
              <w:rPr>
                <w:spacing w:val="-8"/>
              </w:rPr>
              <w:t xml:space="preserve"> </w:t>
            </w:r>
            <w:r>
              <w:t>engagement</w:t>
            </w:r>
            <w:r>
              <w:rPr>
                <w:spacing w:val="-7"/>
              </w:rPr>
              <w:t xml:space="preserve"> </w:t>
            </w:r>
            <w:r>
              <w:t>supports</w:t>
            </w:r>
            <w:r>
              <w:rPr>
                <w:spacing w:val="-8"/>
              </w:rPr>
              <w:t xml:space="preserve"> </w:t>
            </w:r>
            <w:r>
              <w:t>the</w:t>
            </w:r>
            <w:r>
              <w:rPr>
                <w:spacing w:val="-7"/>
              </w:rPr>
              <w:t xml:space="preserve"> </w:t>
            </w:r>
            <w:r>
              <w:rPr>
                <w:spacing w:val="-2"/>
              </w:rPr>
              <w:t>auditor’s</w:t>
            </w:r>
          </w:p>
          <w:p w14:paraId="0DFDD3E6" w14:textId="77777777" w:rsidR="00046465" w:rsidRDefault="008134EB">
            <w:pPr>
              <w:pStyle w:val="TableParagraph"/>
              <w:numPr>
                <w:ilvl w:val="1"/>
                <w:numId w:val="30"/>
              </w:numPr>
              <w:tabs>
                <w:tab w:val="left" w:pos="1161"/>
              </w:tabs>
              <w:spacing w:before="120"/>
              <w:ind w:left="1161" w:hanging="273"/>
            </w:pPr>
            <w:r>
              <w:t>opinion</w:t>
            </w:r>
            <w:r>
              <w:rPr>
                <w:spacing w:val="-6"/>
              </w:rPr>
              <w:t xml:space="preserve"> </w:t>
            </w:r>
            <w:r>
              <w:t>on</w:t>
            </w:r>
            <w:r>
              <w:rPr>
                <w:spacing w:val="-6"/>
              </w:rPr>
              <w:t xml:space="preserve"> </w:t>
            </w:r>
            <w:r>
              <w:t>the</w:t>
            </w:r>
            <w:r>
              <w:rPr>
                <w:spacing w:val="-6"/>
              </w:rPr>
              <w:t xml:space="preserve"> </w:t>
            </w:r>
            <w:r>
              <w:t>financial</w:t>
            </w:r>
            <w:r>
              <w:rPr>
                <w:spacing w:val="-6"/>
              </w:rPr>
              <w:t xml:space="preserve"> </w:t>
            </w:r>
            <w:r>
              <w:rPr>
                <w:spacing w:val="-2"/>
              </w:rPr>
              <w:t>statements;</w:t>
            </w:r>
          </w:p>
          <w:p w14:paraId="0DFDD3E7" w14:textId="77777777" w:rsidR="00046465" w:rsidRDefault="008134EB">
            <w:pPr>
              <w:pStyle w:val="TableParagraph"/>
              <w:numPr>
                <w:ilvl w:val="1"/>
                <w:numId w:val="30"/>
              </w:numPr>
              <w:tabs>
                <w:tab w:val="left" w:pos="1161"/>
              </w:tabs>
              <w:spacing w:before="118"/>
              <w:ind w:left="1161" w:hanging="273"/>
            </w:pPr>
            <w:r>
              <w:t>opinion</w:t>
            </w:r>
            <w:r>
              <w:rPr>
                <w:spacing w:val="-7"/>
              </w:rPr>
              <w:t xml:space="preserve"> </w:t>
            </w:r>
            <w:r>
              <w:t>or</w:t>
            </w:r>
            <w:r>
              <w:rPr>
                <w:spacing w:val="-7"/>
              </w:rPr>
              <w:t xml:space="preserve"> </w:t>
            </w:r>
            <w:r>
              <w:t>conclusions</w:t>
            </w:r>
            <w:r>
              <w:rPr>
                <w:spacing w:val="-6"/>
              </w:rPr>
              <w:t xml:space="preserve"> </w:t>
            </w:r>
            <w:r>
              <w:t>on</w:t>
            </w:r>
            <w:r>
              <w:rPr>
                <w:spacing w:val="-7"/>
              </w:rPr>
              <w:t xml:space="preserve"> </w:t>
            </w:r>
            <w:r>
              <w:t>internal</w:t>
            </w:r>
            <w:r>
              <w:rPr>
                <w:spacing w:val="-7"/>
              </w:rPr>
              <w:t xml:space="preserve"> </w:t>
            </w:r>
            <w:r>
              <w:rPr>
                <w:spacing w:val="-2"/>
              </w:rPr>
              <w:t>control;</w:t>
            </w:r>
          </w:p>
          <w:p w14:paraId="0DFDD3E8" w14:textId="77777777" w:rsidR="00046465" w:rsidRDefault="008134EB">
            <w:pPr>
              <w:pStyle w:val="TableParagraph"/>
              <w:numPr>
                <w:ilvl w:val="1"/>
                <w:numId w:val="30"/>
              </w:numPr>
              <w:tabs>
                <w:tab w:val="left" w:pos="1162"/>
              </w:tabs>
              <w:spacing w:before="118"/>
              <w:ind w:right="500"/>
            </w:pPr>
            <w:r>
              <w:t>conclusions on whether the entity’s financial management systems</w:t>
            </w:r>
            <w:r>
              <w:rPr>
                <w:spacing w:val="-6"/>
              </w:rPr>
              <w:t xml:space="preserve"> </w:t>
            </w:r>
            <w:r>
              <w:t>comply</w:t>
            </w:r>
            <w:r>
              <w:rPr>
                <w:spacing w:val="-6"/>
              </w:rPr>
              <w:t xml:space="preserve"> </w:t>
            </w:r>
            <w:r>
              <w:t>substantially</w:t>
            </w:r>
            <w:r>
              <w:rPr>
                <w:spacing w:val="-6"/>
              </w:rPr>
              <w:t xml:space="preserve"> </w:t>
            </w:r>
            <w:r>
              <w:t>with</w:t>
            </w:r>
            <w:r>
              <w:rPr>
                <w:spacing w:val="-6"/>
              </w:rPr>
              <w:t xml:space="preserve"> </w:t>
            </w:r>
            <w:r>
              <w:t>the</w:t>
            </w:r>
            <w:r>
              <w:rPr>
                <w:spacing w:val="-6"/>
              </w:rPr>
              <w:t xml:space="preserve"> </w:t>
            </w:r>
            <w:r>
              <w:t>requirements</w:t>
            </w:r>
            <w:r>
              <w:rPr>
                <w:spacing w:val="-6"/>
              </w:rPr>
              <w:t xml:space="preserve"> </w:t>
            </w:r>
            <w:r>
              <w:t>of</w:t>
            </w:r>
            <w:r>
              <w:rPr>
                <w:spacing w:val="-6"/>
              </w:rPr>
              <w:t xml:space="preserve"> </w:t>
            </w:r>
            <w:r>
              <w:t>FFMIA (for CFO Act agencies); and</w:t>
            </w:r>
          </w:p>
          <w:p w14:paraId="0DFDD3E9" w14:textId="77777777" w:rsidR="00046465" w:rsidRDefault="008134EB">
            <w:pPr>
              <w:pStyle w:val="TableParagraph"/>
              <w:numPr>
                <w:ilvl w:val="1"/>
                <w:numId w:val="30"/>
              </w:numPr>
              <w:tabs>
                <w:tab w:val="left" w:pos="1162"/>
                <w:tab w:val="left" w:pos="1223"/>
              </w:tabs>
              <w:spacing w:before="119"/>
              <w:ind w:right="427"/>
            </w:pPr>
            <w:r>
              <w:rPr>
                <w:rFonts w:ascii="Times New Roman" w:hAnsi="Times New Roman"/>
              </w:rPr>
              <w:tab/>
            </w:r>
            <w:r>
              <w:t>conclusions on compliance with significant provisions of applicable</w:t>
            </w:r>
            <w:r>
              <w:rPr>
                <w:spacing w:val="-8"/>
              </w:rPr>
              <w:t xml:space="preserve"> </w:t>
            </w:r>
            <w:r>
              <w:t>laws,</w:t>
            </w:r>
            <w:r>
              <w:rPr>
                <w:spacing w:val="-7"/>
              </w:rPr>
              <w:t xml:space="preserve"> </w:t>
            </w:r>
            <w:r>
              <w:t>regulations,</w:t>
            </w:r>
            <w:r>
              <w:rPr>
                <w:spacing w:val="-7"/>
              </w:rPr>
              <w:t xml:space="preserve"> </w:t>
            </w:r>
            <w:r>
              <w:t>contracts,</w:t>
            </w:r>
            <w:r>
              <w:rPr>
                <w:spacing w:val="-7"/>
              </w:rPr>
              <w:t xml:space="preserve"> </w:t>
            </w:r>
            <w:r>
              <w:t>and</w:t>
            </w:r>
            <w:r>
              <w:rPr>
                <w:spacing w:val="-7"/>
              </w:rPr>
              <w:t xml:space="preserve"> </w:t>
            </w:r>
            <w:r>
              <w:t>grant</w:t>
            </w:r>
            <w:r>
              <w:rPr>
                <w:spacing w:val="-8"/>
              </w:rPr>
              <w:t xml:space="preserve"> </w:t>
            </w:r>
            <w:r>
              <w:t>agreements.</w:t>
            </w:r>
          </w:p>
        </w:tc>
        <w:tc>
          <w:tcPr>
            <w:tcW w:w="797" w:type="dxa"/>
            <w:tcBorders>
              <w:top w:val="single" w:sz="8" w:space="0" w:color="000000"/>
              <w:left w:val="single" w:sz="8" w:space="0" w:color="000000"/>
              <w:bottom w:val="single" w:sz="8" w:space="0" w:color="000000"/>
              <w:right w:val="single" w:sz="8" w:space="0" w:color="000000"/>
            </w:tcBorders>
          </w:tcPr>
          <w:p w14:paraId="0DFDD3EA" w14:textId="77777777" w:rsidR="00046465" w:rsidRDefault="00046465">
            <w:pPr>
              <w:pStyle w:val="TableParagraph"/>
              <w:rPr>
                <w:rFonts w:ascii="Times New Roman"/>
              </w:rPr>
            </w:pPr>
          </w:p>
        </w:tc>
        <w:tc>
          <w:tcPr>
            <w:tcW w:w="971" w:type="dxa"/>
            <w:tcBorders>
              <w:top w:val="single" w:sz="8" w:space="0" w:color="000000"/>
              <w:left w:val="single" w:sz="8" w:space="0" w:color="000000"/>
              <w:bottom w:val="single" w:sz="8" w:space="0" w:color="000000"/>
            </w:tcBorders>
          </w:tcPr>
          <w:p w14:paraId="0DFDD3EB" w14:textId="77777777" w:rsidR="00046465" w:rsidRDefault="00046465">
            <w:pPr>
              <w:pStyle w:val="TableParagraph"/>
              <w:rPr>
                <w:rFonts w:ascii="Times New Roman"/>
              </w:rPr>
            </w:pPr>
          </w:p>
        </w:tc>
      </w:tr>
      <w:tr w:rsidR="00046465" w14:paraId="0DFDD3F0" w14:textId="77777777">
        <w:trPr>
          <w:trHeight w:val="744"/>
        </w:trPr>
        <w:tc>
          <w:tcPr>
            <w:tcW w:w="7649" w:type="dxa"/>
            <w:tcBorders>
              <w:top w:val="single" w:sz="8" w:space="0" w:color="000000"/>
              <w:right w:val="single" w:sz="8" w:space="0" w:color="000000"/>
            </w:tcBorders>
          </w:tcPr>
          <w:p w14:paraId="0DFDD3ED" w14:textId="77777777" w:rsidR="00046465" w:rsidRDefault="008134EB">
            <w:pPr>
              <w:pStyle w:val="TableParagraph"/>
              <w:spacing w:before="118"/>
              <w:ind w:left="860" w:right="262" w:hanging="360"/>
            </w:pPr>
            <w:r>
              <w:t>5.</w:t>
            </w:r>
            <w:r>
              <w:rPr>
                <w:spacing w:val="80"/>
              </w:rPr>
              <w:t xml:space="preserve"> </w:t>
            </w:r>
            <w:r>
              <w:t>The</w:t>
            </w:r>
            <w:r>
              <w:rPr>
                <w:spacing w:val="-4"/>
              </w:rPr>
              <w:t xml:space="preserve"> </w:t>
            </w:r>
            <w:r>
              <w:t>engagement</w:t>
            </w:r>
            <w:r>
              <w:rPr>
                <w:spacing w:val="-4"/>
              </w:rPr>
              <w:t xml:space="preserve"> </w:t>
            </w:r>
            <w:r>
              <w:t>team</w:t>
            </w:r>
            <w:r>
              <w:rPr>
                <w:spacing w:val="-4"/>
              </w:rPr>
              <w:t xml:space="preserve"> </w:t>
            </w:r>
            <w:r>
              <w:t>complied,</w:t>
            </w:r>
            <w:r>
              <w:rPr>
                <w:spacing w:val="-4"/>
              </w:rPr>
              <w:t xml:space="preserve"> </w:t>
            </w:r>
            <w:r>
              <w:t>in</w:t>
            </w:r>
            <w:r>
              <w:rPr>
                <w:spacing w:val="-4"/>
              </w:rPr>
              <w:t xml:space="preserve"> </w:t>
            </w:r>
            <w:r>
              <w:t>all</w:t>
            </w:r>
            <w:r>
              <w:rPr>
                <w:spacing w:val="-4"/>
              </w:rPr>
              <w:t xml:space="preserve"> </w:t>
            </w:r>
            <w:r>
              <w:t>material</w:t>
            </w:r>
            <w:r>
              <w:rPr>
                <w:spacing w:val="-4"/>
              </w:rPr>
              <w:t xml:space="preserve"> </w:t>
            </w:r>
            <w:r>
              <w:t>respects,</w:t>
            </w:r>
            <w:r>
              <w:rPr>
                <w:spacing w:val="-4"/>
              </w:rPr>
              <w:t xml:space="preserve"> </w:t>
            </w:r>
            <w:r>
              <w:t>with</w:t>
            </w:r>
            <w:r>
              <w:rPr>
                <w:spacing w:val="-4"/>
              </w:rPr>
              <w:t xml:space="preserve"> </w:t>
            </w:r>
            <w:r>
              <w:t>the audit organization’s policies and procedures.</w:t>
            </w:r>
          </w:p>
        </w:tc>
        <w:tc>
          <w:tcPr>
            <w:tcW w:w="797" w:type="dxa"/>
            <w:tcBorders>
              <w:top w:val="single" w:sz="8" w:space="0" w:color="000000"/>
              <w:left w:val="single" w:sz="8" w:space="0" w:color="000000"/>
              <w:right w:val="single" w:sz="8" w:space="0" w:color="000000"/>
            </w:tcBorders>
          </w:tcPr>
          <w:p w14:paraId="0DFDD3EE" w14:textId="77777777" w:rsidR="00046465" w:rsidRDefault="00046465">
            <w:pPr>
              <w:pStyle w:val="TableParagraph"/>
              <w:rPr>
                <w:rFonts w:ascii="Times New Roman"/>
              </w:rPr>
            </w:pPr>
          </w:p>
        </w:tc>
        <w:tc>
          <w:tcPr>
            <w:tcW w:w="971" w:type="dxa"/>
            <w:tcBorders>
              <w:top w:val="single" w:sz="8" w:space="0" w:color="000000"/>
              <w:left w:val="single" w:sz="8" w:space="0" w:color="000000"/>
            </w:tcBorders>
          </w:tcPr>
          <w:p w14:paraId="0DFDD3EF" w14:textId="77777777" w:rsidR="00046465" w:rsidRDefault="00046465">
            <w:pPr>
              <w:pStyle w:val="TableParagraph"/>
              <w:rPr>
                <w:rFonts w:ascii="Times New Roman"/>
              </w:rPr>
            </w:pPr>
          </w:p>
        </w:tc>
      </w:tr>
    </w:tbl>
    <w:p w14:paraId="0DFDD3F1" w14:textId="77777777" w:rsidR="00046465" w:rsidRDefault="008134EB">
      <w:pPr>
        <w:pStyle w:val="BodyText"/>
        <w:spacing w:before="58"/>
        <w:ind w:left="1079" w:right="436"/>
      </w:pPr>
      <w:r>
        <w:t>*If</w:t>
      </w:r>
      <w:r>
        <w:rPr>
          <w:spacing w:val="-3"/>
        </w:rPr>
        <w:t xml:space="preserve"> </w:t>
      </w:r>
      <w:r>
        <w:t>the</w:t>
      </w:r>
      <w:r>
        <w:rPr>
          <w:spacing w:val="-3"/>
        </w:rPr>
        <w:t xml:space="preserve"> </w:t>
      </w:r>
      <w:r>
        <w:t>response</w:t>
      </w:r>
      <w:r>
        <w:rPr>
          <w:spacing w:val="-3"/>
        </w:rPr>
        <w:t xml:space="preserve"> </w:t>
      </w:r>
      <w:r>
        <w:t>to</w:t>
      </w:r>
      <w:r>
        <w:rPr>
          <w:spacing w:val="-3"/>
        </w:rPr>
        <w:t xml:space="preserve"> </w:t>
      </w:r>
      <w:r>
        <w:t>any</w:t>
      </w:r>
      <w:r>
        <w:rPr>
          <w:spacing w:val="-3"/>
        </w:rPr>
        <w:t xml:space="preserve"> </w:t>
      </w:r>
      <w:r>
        <w:t>of</w:t>
      </w:r>
      <w:r>
        <w:rPr>
          <w:spacing w:val="-3"/>
        </w:rPr>
        <w:t xml:space="preserve"> </w:t>
      </w:r>
      <w:r>
        <w:t>the</w:t>
      </w:r>
      <w:r>
        <w:rPr>
          <w:spacing w:val="-3"/>
        </w:rPr>
        <w:t xml:space="preserve"> </w:t>
      </w:r>
      <w:r>
        <w:t>five</w:t>
      </w:r>
      <w:r>
        <w:rPr>
          <w:spacing w:val="-3"/>
        </w:rPr>
        <w:t xml:space="preserve"> </w:t>
      </w:r>
      <w:r>
        <w:t>statements</w:t>
      </w:r>
      <w:r>
        <w:rPr>
          <w:spacing w:val="-3"/>
        </w:rPr>
        <w:t xml:space="preserve"> </w:t>
      </w:r>
      <w:r>
        <w:t>above</w:t>
      </w:r>
      <w:r>
        <w:rPr>
          <w:spacing w:val="-3"/>
        </w:rPr>
        <w:t xml:space="preserve"> </w:t>
      </w:r>
      <w:r>
        <w:t>is</w:t>
      </w:r>
      <w:r>
        <w:rPr>
          <w:spacing w:val="-3"/>
        </w:rPr>
        <w:t xml:space="preserve"> </w:t>
      </w:r>
      <w:r>
        <w:t>“no,”</w:t>
      </w:r>
      <w:r>
        <w:rPr>
          <w:spacing w:val="-3"/>
        </w:rPr>
        <w:t xml:space="preserve"> </w:t>
      </w:r>
      <w:r>
        <w:t>describe</w:t>
      </w:r>
      <w:r>
        <w:rPr>
          <w:spacing w:val="-3"/>
        </w:rPr>
        <w:t xml:space="preserve"> </w:t>
      </w:r>
      <w:r>
        <w:t>the</w:t>
      </w:r>
      <w:r>
        <w:rPr>
          <w:spacing w:val="-3"/>
        </w:rPr>
        <w:t xml:space="preserve"> </w:t>
      </w:r>
      <w:r>
        <w:t>response</w:t>
      </w:r>
      <w:r>
        <w:rPr>
          <w:spacing w:val="-3"/>
        </w:rPr>
        <w:t xml:space="preserve"> </w:t>
      </w:r>
      <w:r>
        <w:t>in</w:t>
      </w:r>
      <w:r>
        <w:rPr>
          <w:spacing w:val="-4"/>
        </w:rPr>
        <w:t xml:space="preserve"> </w:t>
      </w:r>
      <w:r>
        <w:t>a memorandum to the reviewer.</w:t>
      </w:r>
    </w:p>
    <w:p w14:paraId="0DFDD3F2" w14:textId="77777777" w:rsidR="00046465" w:rsidRDefault="00046465">
      <w:pPr>
        <w:pStyle w:val="BodyText"/>
        <w:rPr>
          <w:sz w:val="20"/>
        </w:rPr>
      </w:pPr>
    </w:p>
    <w:p w14:paraId="0DFDD3F3" w14:textId="77777777" w:rsidR="00046465" w:rsidRDefault="00046465">
      <w:pPr>
        <w:pStyle w:val="BodyText"/>
        <w:spacing w:before="220"/>
        <w:rPr>
          <w:sz w:val="20"/>
        </w:rPr>
      </w:pPr>
    </w:p>
    <w:tbl>
      <w:tblPr>
        <w:tblW w:w="0" w:type="auto"/>
        <w:tblInd w:w="1037" w:type="dxa"/>
        <w:tblLayout w:type="fixed"/>
        <w:tblCellMar>
          <w:left w:w="0" w:type="dxa"/>
          <w:right w:w="0" w:type="dxa"/>
        </w:tblCellMar>
        <w:tblLook w:val="01E0" w:firstRow="1" w:lastRow="1" w:firstColumn="1" w:lastColumn="1" w:noHBand="0" w:noVBand="0"/>
      </w:tblPr>
      <w:tblGrid>
        <w:gridCol w:w="2227"/>
        <w:gridCol w:w="3395"/>
        <w:gridCol w:w="2550"/>
      </w:tblGrid>
      <w:tr w:rsidR="00046465" w14:paraId="0DFDD3F7" w14:textId="77777777">
        <w:trPr>
          <w:trHeight w:val="495"/>
        </w:trPr>
        <w:tc>
          <w:tcPr>
            <w:tcW w:w="2227" w:type="dxa"/>
          </w:tcPr>
          <w:p w14:paraId="0DFDD3F4" w14:textId="77777777" w:rsidR="00046465" w:rsidRDefault="008134EB">
            <w:pPr>
              <w:pStyle w:val="TableParagraph"/>
              <w:spacing w:line="245" w:lineRule="exact"/>
              <w:ind w:left="50"/>
            </w:pPr>
            <w:r>
              <w:t>Auditor’s</w:t>
            </w:r>
            <w:r>
              <w:rPr>
                <w:spacing w:val="-9"/>
              </w:rPr>
              <w:t xml:space="preserve"> </w:t>
            </w:r>
            <w:r>
              <w:t>report</w:t>
            </w:r>
            <w:r>
              <w:rPr>
                <w:spacing w:val="-8"/>
              </w:rPr>
              <w:t xml:space="preserve"> </w:t>
            </w:r>
            <w:r>
              <w:rPr>
                <w:spacing w:val="-4"/>
              </w:rPr>
              <w:t>date</w:t>
            </w:r>
          </w:p>
        </w:tc>
        <w:tc>
          <w:tcPr>
            <w:tcW w:w="3395" w:type="dxa"/>
          </w:tcPr>
          <w:p w14:paraId="0DFDD3F5" w14:textId="77777777" w:rsidR="00046465" w:rsidRDefault="008134EB">
            <w:pPr>
              <w:pStyle w:val="TableParagraph"/>
              <w:tabs>
                <w:tab w:val="left" w:pos="3182"/>
              </w:tabs>
              <w:spacing w:line="245" w:lineRule="exact"/>
              <w:ind w:left="125"/>
              <w:jc w:val="center"/>
            </w:pPr>
            <w:r>
              <w:rPr>
                <w:w w:val="99"/>
                <w:u w:val="single"/>
              </w:rPr>
              <w:t xml:space="preserve"> </w:t>
            </w:r>
            <w:r>
              <w:rPr>
                <w:u w:val="single"/>
              </w:rPr>
              <w:tab/>
            </w:r>
          </w:p>
        </w:tc>
        <w:tc>
          <w:tcPr>
            <w:tcW w:w="2550" w:type="dxa"/>
          </w:tcPr>
          <w:p w14:paraId="0DFDD3F6" w14:textId="77777777" w:rsidR="00046465" w:rsidRDefault="00046465">
            <w:pPr>
              <w:pStyle w:val="TableParagraph"/>
              <w:rPr>
                <w:rFonts w:ascii="Times New Roman"/>
              </w:rPr>
            </w:pPr>
          </w:p>
        </w:tc>
      </w:tr>
      <w:tr w:rsidR="00046465" w14:paraId="0DFDD3FB" w14:textId="77777777">
        <w:trPr>
          <w:trHeight w:val="559"/>
        </w:trPr>
        <w:tc>
          <w:tcPr>
            <w:tcW w:w="2227" w:type="dxa"/>
          </w:tcPr>
          <w:p w14:paraId="0DFDD3F8" w14:textId="77777777" w:rsidR="00046465" w:rsidRDefault="008134EB">
            <w:pPr>
              <w:pStyle w:val="TableParagraph"/>
              <w:spacing w:before="243"/>
              <w:ind w:left="50"/>
            </w:pPr>
            <w:r>
              <w:rPr>
                <w:spacing w:val="-2"/>
              </w:rPr>
              <w:t>Auditor-in-Charge</w:t>
            </w:r>
          </w:p>
        </w:tc>
        <w:tc>
          <w:tcPr>
            <w:tcW w:w="3395" w:type="dxa"/>
          </w:tcPr>
          <w:p w14:paraId="0DFDD3F9" w14:textId="77777777" w:rsidR="00046465" w:rsidRDefault="008134EB">
            <w:pPr>
              <w:pStyle w:val="TableParagraph"/>
              <w:tabs>
                <w:tab w:val="left" w:pos="3184"/>
              </w:tabs>
              <w:spacing w:before="243"/>
              <w:ind w:left="127"/>
              <w:jc w:val="center"/>
            </w:pPr>
            <w:r>
              <w:rPr>
                <w:w w:val="99"/>
                <w:u w:val="single"/>
              </w:rPr>
              <w:t xml:space="preserve"> </w:t>
            </w:r>
            <w:r>
              <w:rPr>
                <w:u w:val="single"/>
              </w:rPr>
              <w:tab/>
            </w:r>
          </w:p>
        </w:tc>
        <w:tc>
          <w:tcPr>
            <w:tcW w:w="2550" w:type="dxa"/>
          </w:tcPr>
          <w:p w14:paraId="0DFDD3FA" w14:textId="77777777" w:rsidR="00046465" w:rsidRDefault="008134EB">
            <w:pPr>
              <w:pStyle w:val="TableParagraph"/>
              <w:tabs>
                <w:tab w:val="left" w:pos="2450"/>
              </w:tabs>
              <w:spacing w:before="243"/>
              <w:ind w:left="91"/>
              <w:jc w:val="center"/>
            </w:pPr>
            <w:r>
              <w:t xml:space="preserve">Date </w:t>
            </w:r>
            <w:r>
              <w:rPr>
                <w:u w:val="single"/>
              </w:rPr>
              <w:tab/>
            </w:r>
          </w:p>
        </w:tc>
      </w:tr>
      <w:tr w:rsidR="00046465" w14:paraId="0DFDD3FF" w14:textId="77777777">
        <w:trPr>
          <w:trHeight w:val="373"/>
        </w:trPr>
        <w:tc>
          <w:tcPr>
            <w:tcW w:w="2227" w:type="dxa"/>
          </w:tcPr>
          <w:p w14:paraId="0DFDD3FC" w14:textId="77777777" w:rsidR="00046465" w:rsidRDefault="008134EB">
            <w:pPr>
              <w:pStyle w:val="TableParagraph"/>
              <w:spacing w:before="56"/>
              <w:ind w:left="50"/>
            </w:pPr>
            <w:r>
              <w:t>Assistant</w:t>
            </w:r>
            <w:r>
              <w:rPr>
                <w:spacing w:val="-10"/>
              </w:rPr>
              <w:t xml:space="preserve"> </w:t>
            </w:r>
            <w:r>
              <w:rPr>
                <w:spacing w:val="-2"/>
              </w:rPr>
              <w:t>Director</w:t>
            </w:r>
          </w:p>
        </w:tc>
        <w:tc>
          <w:tcPr>
            <w:tcW w:w="3395" w:type="dxa"/>
          </w:tcPr>
          <w:p w14:paraId="0DFDD3FD" w14:textId="77777777" w:rsidR="00046465" w:rsidRDefault="008134EB">
            <w:pPr>
              <w:pStyle w:val="TableParagraph"/>
              <w:tabs>
                <w:tab w:val="left" w:pos="3161"/>
              </w:tabs>
              <w:spacing w:before="56"/>
              <w:ind w:left="103"/>
              <w:jc w:val="center"/>
            </w:pPr>
            <w:r>
              <w:rPr>
                <w:w w:val="99"/>
                <w:u w:val="single"/>
              </w:rPr>
              <w:t xml:space="preserve"> </w:t>
            </w:r>
            <w:r>
              <w:rPr>
                <w:u w:val="single"/>
              </w:rPr>
              <w:tab/>
            </w:r>
          </w:p>
        </w:tc>
        <w:tc>
          <w:tcPr>
            <w:tcW w:w="2550" w:type="dxa"/>
          </w:tcPr>
          <w:p w14:paraId="0DFDD3FE" w14:textId="77777777" w:rsidR="00046465" w:rsidRDefault="008134EB">
            <w:pPr>
              <w:pStyle w:val="TableParagraph"/>
              <w:tabs>
                <w:tab w:val="left" w:pos="2427"/>
              </w:tabs>
              <w:spacing w:before="56"/>
              <w:ind w:left="68"/>
              <w:jc w:val="center"/>
            </w:pPr>
            <w:r>
              <w:t xml:space="preserve">Date </w:t>
            </w:r>
            <w:r>
              <w:rPr>
                <w:u w:val="single"/>
              </w:rPr>
              <w:tab/>
            </w:r>
          </w:p>
        </w:tc>
      </w:tr>
      <w:tr w:rsidR="00046465" w14:paraId="0DFDD403" w14:textId="77777777">
        <w:trPr>
          <w:trHeight w:val="309"/>
        </w:trPr>
        <w:tc>
          <w:tcPr>
            <w:tcW w:w="2227" w:type="dxa"/>
          </w:tcPr>
          <w:p w14:paraId="0DFDD400" w14:textId="77777777" w:rsidR="00046465" w:rsidRDefault="008134EB">
            <w:pPr>
              <w:pStyle w:val="TableParagraph"/>
              <w:spacing w:before="56" w:line="233" w:lineRule="exact"/>
              <w:ind w:left="50"/>
            </w:pPr>
            <w:r>
              <w:t>Audit</w:t>
            </w:r>
            <w:r>
              <w:rPr>
                <w:spacing w:val="-7"/>
              </w:rPr>
              <w:t xml:space="preserve"> </w:t>
            </w:r>
            <w:r>
              <w:rPr>
                <w:spacing w:val="-2"/>
              </w:rPr>
              <w:t>Director</w:t>
            </w:r>
          </w:p>
        </w:tc>
        <w:tc>
          <w:tcPr>
            <w:tcW w:w="3395" w:type="dxa"/>
          </w:tcPr>
          <w:p w14:paraId="0DFDD401" w14:textId="77777777" w:rsidR="00046465" w:rsidRDefault="008134EB">
            <w:pPr>
              <w:pStyle w:val="TableParagraph"/>
              <w:tabs>
                <w:tab w:val="left" w:pos="3113"/>
              </w:tabs>
              <w:spacing w:before="56" w:line="233" w:lineRule="exact"/>
              <w:ind w:left="56"/>
              <w:jc w:val="center"/>
            </w:pPr>
            <w:r>
              <w:rPr>
                <w:w w:val="99"/>
                <w:u w:val="single"/>
              </w:rPr>
              <w:t xml:space="preserve"> </w:t>
            </w:r>
            <w:r>
              <w:rPr>
                <w:u w:val="single"/>
              </w:rPr>
              <w:tab/>
            </w:r>
          </w:p>
        </w:tc>
        <w:tc>
          <w:tcPr>
            <w:tcW w:w="2550" w:type="dxa"/>
          </w:tcPr>
          <w:p w14:paraId="0DFDD402" w14:textId="77777777" w:rsidR="00046465" w:rsidRDefault="008134EB">
            <w:pPr>
              <w:pStyle w:val="TableParagraph"/>
              <w:tabs>
                <w:tab w:val="left" w:pos="2378"/>
              </w:tabs>
              <w:spacing w:before="56" w:line="233" w:lineRule="exact"/>
              <w:ind w:left="19"/>
              <w:jc w:val="center"/>
            </w:pPr>
            <w:r>
              <w:t xml:space="preserve">Date </w:t>
            </w:r>
            <w:r>
              <w:rPr>
                <w:u w:val="single"/>
              </w:rPr>
              <w:tab/>
            </w:r>
          </w:p>
        </w:tc>
      </w:tr>
    </w:tbl>
    <w:p w14:paraId="0DFDD404" w14:textId="77777777" w:rsidR="00046465" w:rsidRDefault="00046465">
      <w:pPr>
        <w:pStyle w:val="TableParagraph"/>
        <w:spacing w:line="233" w:lineRule="exact"/>
        <w:jc w:val="center"/>
        <w:sectPr w:rsidR="00046465">
          <w:pgSz w:w="12240" w:h="15840"/>
          <w:pgMar w:top="1340" w:right="720" w:bottom="940" w:left="360" w:header="721" w:footer="757" w:gutter="0"/>
          <w:cols w:space="720"/>
        </w:sectPr>
      </w:pPr>
    </w:p>
    <w:p w14:paraId="0DFDD405" w14:textId="77777777" w:rsidR="00046465" w:rsidRDefault="008134EB" w:rsidP="00FC437E">
      <w:pPr>
        <w:pStyle w:val="Heading4"/>
        <w:ind w:left="1080"/>
      </w:pPr>
      <w:bookmarkStart w:id="422" w:name="Section_VIII:_Procedures_Before_Report_R"/>
      <w:bookmarkEnd w:id="422"/>
      <w:r>
        <w:lastRenderedPageBreak/>
        <w:t>Section</w:t>
      </w:r>
      <w:r>
        <w:rPr>
          <w:spacing w:val="-12"/>
        </w:rPr>
        <w:t xml:space="preserve"> </w:t>
      </w:r>
      <w:r>
        <w:t>VIII:</w:t>
      </w:r>
      <w:r>
        <w:rPr>
          <w:spacing w:val="-12"/>
        </w:rPr>
        <w:t xml:space="preserve"> </w:t>
      </w:r>
      <w:r>
        <w:t>Procedures</w:t>
      </w:r>
      <w:r>
        <w:rPr>
          <w:spacing w:val="-12"/>
        </w:rPr>
        <w:t xml:space="preserve"> </w:t>
      </w:r>
      <w:r>
        <w:t>Before</w:t>
      </w:r>
      <w:r>
        <w:rPr>
          <w:spacing w:val="-13"/>
        </w:rPr>
        <w:t xml:space="preserve"> </w:t>
      </w:r>
      <w:r>
        <w:t>Report</w:t>
      </w:r>
      <w:r>
        <w:rPr>
          <w:spacing w:val="-12"/>
        </w:rPr>
        <w:t xml:space="preserve"> </w:t>
      </w:r>
      <w:r>
        <w:t>Release</w:t>
      </w:r>
      <w:r>
        <w:rPr>
          <w:spacing w:val="-12"/>
        </w:rPr>
        <w:t xml:space="preserve"> </w:t>
      </w:r>
      <w:r>
        <w:rPr>
          <w:spacing w:val="-4"/>
        </w:rPr>
        <w:t>Date</w:t>
      </w:r>
    </w:p>
    <w:p w14:paraId="0DFDD406" w14:textId="77777777" w:rsidR="00046465" w:rsidRDefault="00046465">
      <w:pPr>
        <w:pStyle w:val="BodyText"/>
        <w:spacing w:before="9"/>
        <w:rPr>
          <w:b/>
          <w:sz w:val="10"/>
        </w:rPr>
      </w:pPr>
    </w:p>
    <w:tbl>
      <w:tblPr>
        <w:tblW w:w="0" w:type="auto"/>
        <w:tblInd w:w="1087"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7649"/>
        <w:gridCol w:w="797"/>
        <w:gridCol w:w="971"/>
      </w:tblGrid>
      <w:tr w:rsidR="00046465" w14:paraId="0DFDD40A" w14:textId="77777777">
        <w:trPr>
          <w:trHeight w:val="516"/>
        </w:trPr>
        <w:tc>
          <w:tcPr>
            <w:tcW w:w="7649" w:type="dxa"/>
            <w:tcBorders>
              <w:bottom w:val="single" w:sz="6" w:space="0" w:color="000000"/>
              <w:right w:val="single" w:sz="8" w:space="0" w:color="000000"/>
            </w:tcBorders>
            <w:shd w:val="clear" w:color="auto" w:fill="A6A6A6"/>
          </w:tcPr>
          <w:p w14:paraId="0DFDD407" w14:textId="77777777" w:rsidR="00046465" w:rsidRDefault="008134EB">
            <w:pPr>
              <w:pStyle w:val="TableParagraph"/>
              <w:spacing w:before="121"/>
              <w:ind w:right="1502"/>
              <w:jc w:val="right"/>
              <w:rPr>
                <w:b/>
                <w:sz w:val="24"/>
              </w:rPr>
            </w:pPr>
            <w:r>
              <w:rPr>
                <w:b/>
                <w:sz w:val="24"/>
              </w:rPr>
              <w:t>Section</w:t>
            </w:r>
            <w:r>
              <w:rPr>
                <w:b/>
                <w:spacing w:val="-5"/>
                <w:sz w:val="24"/>
              </w:rPr>
              <w:t xml:space="preserve"> </w:t>
            </w:r>
            <w:r>
              <w:rPr>
                <w:b/>
                <w:sz w:val="24"/>
              </w:rPr>
              <w:t>VIII:</w:t>
            </w:r>
            <w:r>
              <w:rPr>
                <w:b/>
                <w:spacing w:val="-3"/>
                <w:sz w:val="24"/>
              </w:rPr>
              <w:t xml:space="preserve"> </w:t>
            </w:r>
            <w:r>
              <w:rPr>
                <w:b/>
                <w:sz w:val="24"/>
              </w:rPr>
              <w:t>Procedures</w:t>
            </w:r>
            <w:r>
              <w:rPr>
                <w:b/>
                <w:spacing w:val="-4"/>
                <w:sz w:val="24"/>
              </w:rPr>
              <w:t xml:space="preserve"> </w:t>
            </w:r>
            <w:r>
              <w:rPr>
                <w:b/>
                <w:sz w:val="24"/>
              </w:rPr>
              <w:t>Before</w:t>
            </w:r>
            <w:r>
              <w:rPr>
                <w:b/>
                <w:spacing w:val="-4"/>
                <w:sz w:val="24"/>
              </w:rPr>
              <w:t xml:space="preserve"> </w:t>
            </w:r>
            <w:r>
              <w:rPr>
                <w:b/>
                <w:sz w:val="24"/>
              </w:rPr>
              <w:t>Report</w:t>
            </w:r>
            <w:r>
              <w:rPr>
                <w:b/>
                <w:spacing w:val="-3"/>
                <w:sz w:val="24"/>
              </w:rPr>
              <w:t xml:space="preserve"> </w:t>
            </w:r>
            <w:r>
              <w:rPr>
                <w:b/>
                <w:sz w:val="24"/>
              </w:rPr>
              <w:t>Release</w:t>
            </w:r>
            <w:r>
              <w:rPr>
                <w:b/>
                <w:spacing w:val="-4"/>
                <w:sz w:val="24"/>
              </w:rPr>
              <w:t xml:space="preserve"> Date</w:t>
            </w:r>
          </w:p>
        </w:tc>
        <w:tc>
          <w:tcPr>
            <w:tcW w:w="797" w:type="dxa"/>
            <w:tcBorders>
              <w:left w:val="single" w:sz="8" w:space="0" w:color="000000"/>
              <w:bottom w:val="single" w:sz="6" w:space="0" w:color="000000"/>
              <w:right w:val="single" w:sz="8" w:space="0" w:color="000000"/>
            </w:tcBorders>
            <w:shd w:val="clear" w:color="auto" w:fill="A6A6A6"/>
          </w:tcPr>
          <w:p w14:paraId="0DFDD408" w14:textId="77777777" w:rsidR="00046465" w:rsidRDefault="008134EB">
            <w:pPr>
              <w:pStyle w:val="TableParagraph"/>
              <w:spacing w:before="121"/>
              <w:ind w:left="177"/>
              <w:rPr>
                <w:b/>
                <w:sz w:val="24"/>
              </w:rPr>
            </w:pPr>
            <w:r>
              <w:rPr>
                <w:b/>
                <w:spacing w:val="-5"/>
                <w:sz w:val="24"/>
              </w:rPr>
              <w:t>Yes</w:t>
            </w:r>
          </w:p>
        </w:tc>
        <w:tc>
          <w:tcPr>
            <w:tcW w:w="971" w:type="dxa"/>
            <w:tcBorders>
              <w:left w:val="single" w:sz="8" w:space="0" w:color="000000"/>
              <w:bottom w:val="single" w:sz="6" w:space="0" w:color="000000"/>
            </w:tcBorders>
            <w:shd w:val="clear" w:color="auto" w:fill="A6A6A6"/>
          </w:tcPr>
          <w:p w14:paraId="0DFDD409" w14:textId="77777777" w:rsidR="00046465" w:rsidRDefault="008134EB">
            <w:pPr>
              <w:pStyle w:val="TableParagraph"/>
              <w:spacing w:before="121"/>
              <w:ind w:left="316"/>
              <w:rPr>
                <w:b/>
                <w:sz w:val="24"/>
              </w:rPr>
            </w:pPr>
            <w:r>
              <w:rPr>
                <w:b/>
                <w:spacing w:val="-5"/>
                <w:sz w:val="24"/>
              </w:rPr>
              <w:t>No</w:t>
            </w:r>
          </w:p>
        </w:tc>
      </w:tr>
      <w:tr w:rsidR="00046465" w14:paraId="0DFDD40E" w14:textId="77777777">
        <w:trPr>
          <w:trHeight w:val="1252"/>
        </w:trPr>
        <w:tc>
          <w:tcPr>
            <w:tcW w:w="7649" w:type="dxa"/>
            <w:tcBorders>
              <w:top w:val="single" w:sz="6" w:space="0" w:color="000000"/>
              <w:bottom w:val="single" w:sz="6" w:space="0" w:color="000000"/>
              <w:right w:val="single" w:sz="6" w:space="0" w:color="000000"/>
            </w:tcBorders>
          </w:tcPr>
          <w:p w14:paraId="0DFDD40B" w14:textId="77777777" w:rsidR="00046465" w:rsidRDefault="008134EB">
            <w:pPr>
              <w:pStyle w:val="TableParagraph"/>
              <w:spacing w:before="119"/>
              <w:ind w:left="860" w:hanging="360"/>
            </w:pPr>
            <w:r>
              <w:t>1.</w:t>
            </w:r>
            <w:r>
              <w:rPr>
                <w:spacing w:val="80"/>
              </w:rPr>
              <w:t xml:space="preserve"> </w:t>
            </w:r>
            <w:r>
              <w:t>Did</w:t>
            </w:r>
            <w:r>
              <w:rPr>
                <w:spacing w:val="-3"/>
              </w:rPr>
              <w:t xml:space="preserve"> </w:t>
            </w:r>
            <w:r>
              <w:t>the</w:t>
            </w:r>
            <w:r>
              <w:rPr>
                <w:spacing w:val="-3"/>
              </w:rPr>
              <w:t xml:space="preserve"> </w:t>
            </w:r>
            <w:r>
              <w:t>auditor</w:t>
            </w:r>
            <w:r>
              <w:rPr>
                <w:spacing w:val="-3"/>
              </w:rPr>
              <w:t xml:space="preserve"> </w:t>
            </w:r>
            <w:r>
              <w:t>respond</w:t>
            </w:r>
            <w:r>
              <w:rPr>
                <w:spacing w:val="-4"/>
              </w:rPr>
              <w:t xml:space="preserve"> </w:t>
            </w:r>
            <w:r>
              <w:t>appropriately</w:t>
            </w:r>
            <w:r>
              <w:rPr>
                <w:spacing w:val="-3"/>
              </w:rPr>
              <w:t xml:space="preserve"> </w:t>
            </w:r>
            <w:r>
              <w:t>to</w:t>
            </w:r>
            <w:r>
              <w:rPr>
                <w:spacing w:val="-3"/>
              </w:rPr>
              <w:t xml:space="preserve"> </w:t>
            </w:r>
            <w:r>
              <w:t>facts</w:t>
            </w:r>
            <w:r>
              <w:rPr>
                <w:spacing w:val="-4"/>
              </w:rPr>
              <w:t xml:space="preserve"> </w:t>
            </w:r>
            <w:r>
              <w:t>that</w:t>
            </w:r>
            <w:r>
              <w:rPr>
                <w:spacing w:val="-3"/>
              </w:rPr>
              <w:t xml:space="preserve"> </w:t>
            </w:r>
            <w:r>
              <w:t>became</w:t>
            </w:r>
            <w:r>
              <w:rPr>
                <w:spacing w:val="-3"/>
              </w:rPr>
              <w:t xml:space="preserve"> </w:t>
            </w:r>
            <w:r>
              <w:t>known</w:t>
            </w:r>
            <w:r>
              <w:rPr>
                <w:spacing w:val="-3"/>
              </w:rPr>
              <w:t xml:space="preserve"> </w:t>
            </w:r>
            <w:r>
              <w:t>to the auditor after the date of the auditor’s report that, had they been known to the auditor at that date, may have caused the auditor to revise the auditor’s report? (AU-C 560)</w:t>
            </w:r>
          </w:p>
        </w:tc>
        <w:tc>
          <w:tcPr>
            <w:tcW w:w="797" w:type="dxa"/>
            <w:tcBorders>
              <w:top w:val="single" w:sz="6" w:space="0" w:color="000000"/>
              <w:left w:val="single" w:sz="6" w:space="0" w:color="000000"/>
              <w:bottom w:val="single" w:sz="6" w:space="0" w:color="000000"/>
              <w:right w:val="single" w:sz="6" w:space="0" w:color="000000"/>
            </w:tcBorders>
          </w:tcPr>
          <w:p w14:paraId="0DFDD40C" w14:textId="77777777" w:rsidR="00046465" w:rsidRDefault="00046465" w:rsidP="008134EB">
            <w:pPr>
              <w:pStyle w:val="TableParagraph"/>
              <w:jc w:val="center"/>
              <w:rPr>
                <w:rFonts w:ascii="Times New Roman"/>
              </w:rPr>
            </w:pPr>
          </w:p>
        </w:tc>
        <w:tc>
          <w:tcPr>
            <w:tcW w:w="971" w:type="dxa"/>
            <w:tcBorders>
              <w:top w:val="single" w:sz="6" w:space="0" w:color="000000"/>
              <w:left w:val="single" w:sz="6" w:space="0" w:color="000000"/>
              <w:bottom w:val="single" w:sz="6" w:space="0" w:color="000000"/>
            </w:tcBorders>
          </w:tcPr>
          <w:p w14:paraId="0DFDD40D" w14:textId="77777777" w:rsidR="00046465" w:rsidRDefault="00046465" w:rsidP="008134EB">
            <w:pPr>
              <w:pStyle w:val="TableParagraph"/>
              <w:jc w:val="center"/>
              <w:rPr>
                <w:rFonts w:ascii="Times New Roman"/>
              </w:rPr>
            </w:pPr>
          </w:p>
        </w:tc>
      </w:tr>
      <w:tr w:rsidR="00046465" w14:paraId="0DFDD412" w14:textId="77777777">
        <w:trPr>
          <w:trHeight w:val="996"/>
        </w:trPr>
        <w:tc>
          <w:tcPr>
            <w:tcW w:w="7649" w:type="dxa"/>
            <w:tcBorders>
              <w:top w:val="single" w:sz="6" w:space="0" w:color="000000"/>
              <w:bottom w:val="single" w:sz="8" w:space="0" w:color="000000"/>
              <w:right w:val="single" w:sz="8" w:space="0" w:color="000000"/>
            </w:tcBorders>
          </w:tcPr>
          <w:p w14:paraId="0DFDD40F" w14:textId="77777777" w:rsidR="00046465" w:rsidRDefault="008134EB">
            <w:pPr>
              <w:pStyle w:val="TableParagraph"/>
              <w:spacing w:before="119"/>
              <w:ind w:left="860" w:hanging="360"/>
            </w:pPr>
            <w:r>
              <w:t>2.</w:t>
            </w:r>
            <w:r>
              <w:rPr>
                <w:spacing w:val="80"/>
              </w:rPr>
              <w:t xml:space="preserve"> </w:t>
            </w:r>
            <w:r>
              <w:t>Did the auditor obtain and appropriately report the views of responsible</w:t>
            </w:r>
            <w:r>
              <w:rPr>
                <w:spacing w:val="-5"/>
              </w:rPr>
              <w:t xml:space="preserve"> </w:t>
            </w:r>
            <w:r>
              <w:t>officials</w:t>
            </w:r>
            <w:r>
              <w:rPr>
                <w:spacing w:val="-5"/>
              </w:rPr>
              <w:t xml:space="preserve"> </w:t>
            </w:r>
            <w:r>
              <w:t>in</w:t>
            </w:r>
            <w:r>
              <w:rPr>
                <w:spacing w:val="-5"/>
              </w:rPr>
              <w:t xml:space="preserve"> </w:t>
            </w:r>
            <w:r>
              <w:t>the</w:t>
            </w:r>
            <w:r>
              <w:rPr>
                <w:spacing w:val="-5"/>
              </w:rPr>
              <w:t xml:space="preserve"> </w:t>
            </w:r>
            <w:r>
              <w:t>agency</w:t>
            </w:r>
            <w:r>
              <w:rPr>
                <w:spacing w:val="-5"/>
              </w:rPr>
              <w:t xml:space="preserve"> </w:t>
            </w:r>
            <w:r>
              <w:t>comments</w:t>
            </w:r>
            <w:r>
              <w:rPr>
                <w:spacing w:val="-4"/>
              </w:rPr>
              <w:t xml:space="preserve"> </w:t>
            </w:r>
            <w:r>
              <w:t>section</w:t>
            </w:r>
            <w:r>
              <w:rPr>
                <w:spacing w:val="-5"/>
              </w:rPr>
              <w:t xml:space="preserve"> </w:t>
            </w:r>
            <w:r>
              <w:t>of</w:t>
            </w:r>
            <w:r>
              <w:rPr>
                <w:spacing w:val="-5"/>
              </w:rPr>
              <w:t xml:space="preserve"> </w:t>
            </w:r>
            <w:r>
              <w:t>the</w:t>
            </w:r>
            <w:r>
              <w:rPr>
                <w:spacing w:val="-5"/>
              </w:rPr>
              <w:t xml:space="preserve"> </w:t>
            </w:r>
            <w:r>
              <w:t>auditor’s report, including</w:t>
            </w:r>
          </w:p>
        </w:tc>
        <w:tc>
          <w:tcPr>
            <w:tcW w:w="797" w:type="dxa"/>
            <w:tcBorders>
              <w:top w:val="single" w:sz="6" w:space="0" w:color="000000"/>
              <w:left w:val="single" w:sz="8" w:space="0" w:color="000000"/>
              <w:bottom w:val="single" w:sz="8" w:space="0" w:color="000000"/>
              <w:right w:val="single" w:sz="8" w:space="0" w:color="000000"/>
            </w:tcBorders>
          </w:tcPr>
          <w:p w14:paraId="0DFDD410" w14:textId="77777777" w:rsidR="00046465" w:rsidRDefault="00046465" w:rsidP="008134EB">
            <w:pPr>
              <w:pStyle w:val="TableParagraph"/>
              <w:jc w:val="center"/>
              <w:rPr>
                <w:rFonts w:ascii="Times New Roman"/>
              </w:rPr>
            </w:pPr>
          </w:p>
        </w:tc>
        <w:tc>
          <w:tcPr>
            <w:tcW w:w="971" w:type="dxa"/>
            <w:tcBorders>
              <w:top w:val="single" w:sz="6" w:space="0" w:color="000000"/>
              <w:left w:val="single" w:sz="8" w:space="0" w:color="000000"/>
              <w:bottom w:val="single" w:sz="8" w:space="0" w:color="000000"/>
            </w:tcBorders>
          </w:tcPr>
          <w:p w14:paraId="0DFDD411" w14:textId="77777777" w:rsidR="00046465" w:rsidRDefault="00046465" w:rsidP="008134EB">
            <w:pPr>
              <w:pStyle w:val="TableParagraph"/>
              <w:jc w:val="center"/>
              <w:rPr>
                <w:rFonts w:ascii="Times New Roman"/>
              </w:rPr>
            </w:pPr>
          </w:p>
        </w:tc>
      </w:tr>
      <w:tr w:rsidR="00046465" w14:paraId="0DFDD416" w14:textId="77777777">
        <w:trPr>
          <w:trHeight w:val="489"/>
        </w:trPr>
        <w:tc>
          <w:tcPr>
            <w:tcW w:w="7649" w:type="dxa"/>
            <w:tcBorders>
              <w:top w:val="single" w:sz="8" w:space="0" w:color="000000"/>
              <w:bottom w:val="single" w:sz="8" w:space="0" w:color="000000"/>
              <w:right w:val="single" w:sz="8" w:space="0" w:color="000000"/>
            </w:tcBorders>
          </w:tcPr>
          <w:p w14:paraId="0DFDD413" w14:textId="77777777" w:rsidR="00046465" w:rsidRDefault="008134EB">
            <w:pPr>
              <w:pStyle w:val="TableParagraph"/>
              <w:spacing w:before="119"/>
              <w:ind w:left="890"/>
            </w:pPr>
            <w:r>
              <w:t>a.</w:t>
            </w:r>
            <w:r>
              <w:rPr>
                <w:spacing w:val="73"/>
                <w:w w:val="150"/>
              </w:rPr>
              <w:t xml:space="preserve"> </w:t>
            </w:r>
            <w:r>
              <w:t>either</w:t>
            </w:r>
            <w:r>
              <w:rPr>
                <w:spacing w:val="-3"/>
              </w:rPr>
              <w:t xml:space="preserve"> </w:t>
            </w:r>
            <w:r>
              <w:t>oral</w:t>
            </w:r>
            <w:r>
              <w:rPr>
                <w:spacing w:val="-3"/>
              </w:rPr>
              <w:t xml:space="preserve"> </w:t>
            </w:r>
            <w:r>
              <w:t>or</w:t>
            </w:r>
            <w:r>
              <w:rPr>
                <w:spacing w:val="-3"/>
              </w:rPr>
              <w:t xml:space="preserve"> </w:t>
            </w:r>
            <w:r>
              <w:t>written</w:t>
            </w:r>
            <w:r>
              <w:rPr>
                <w:spacing w:val="-3"/>
              </w:rPr>
              <w:t xml:space="preserve"> </w:t>
            </w:r>
            <w:r>
              <w:rPr>
                <w:spacing w:val="-2"/>
              </w:rPr>
              <w:t>comments;</w:t>
            </w:r>
          </w:p>
        </w:tc>
        <w:tc>
          <w:tcPr>
            <w:tcW w:w="797" w:type="dxa"/>
            <w:tcBorders>
              <w:top w:val="single" w:sz="8" w:space="0" w:color="000000"/>
              <w:left w:val="single" w:sz="8" w:space="0" w:color="000000"/>
              <w:bottom w:val="single" w:sz="8" w:space="0" w:color="000000"/>
              <w:right w:val="single" w:sz="8" w:space="0" w:color="000000"/>
            </w:tcBorders>
          </w:tcPr>
          <w:p w14:paraId="0DFDD414" w14:textId="77777777" w:rsidR="00046465" w:rsidRDefault="00046465" w:rsidP="008134EB">
            <w:pPr>
              <w:pStyle w:val="TableParagraph"/>
              <w:jc w:val="center"/>
              <w:rPr>
                <w:rFonts w:ascii="Times New Roman"/>
              </w:rPr>
            </w:pPr>
          </w:p>
        </w:tc>
        <w:tc>
          <w:tcPr>
            <w:tcW w:w="971" w:type="dxa"/>
            <w:tcBorders>
              <w:top w:val="single" w:sz="8" w:space="0" w:color="000000"/>
              <w:left w:val="single" w:sz="8" w:space="0" w:color="000000"/>
              <w:bottom w:val="single" w:sz="8" w:space="0" w:color="000000"/>
            </w:tcBorders>
          </w:tcPr>
          <w:p w14:paraId="0DFDD415" w14:textId="77777777" w:rsidR="00046465" w:rsidRDefault="00046465" w:rsidP="008134EB">
            <w:pPr>
              <w:pStyle w:val="TableParagraph"/>
              <w:jc w:val="center"/>
              <w:rPr>
                <w:rFonts w:ascii="Times New Roman"/>
              </w:rPr>
            </w:pPr>
          </w:p>
        </w:tc>
      </w:tr>
      <w:tr w:rsidR="00046465" w14:paraId="0DFDD41A" w14:textId="77777777">
        <w:trPr>
          <w:trHeight w:val="743"/>
        </w:trPr>
        <w:tc>
          <w:tcPr>
            <w:tcW w:w="7649" w:type="dxa"/>
            <w:tcBorders>
              <w:top w:val="single" w:sz="8" w:space="0" w:color="000000"/>
              <w:bottom w:val="single" w:sz="8" w:space="0" w:color="000000"/>
              <w:right w:val="single" w:sz="8" w:space="0" w:color="000000"/>
            </w:tcBorders>
          </w:tcPr>
          <w:p w14:paraId="0DFDD417" w14:textId="77777777" w:rsidR="00046465" w:rsidRDefault="008134EB">
            <w:pPr>
              <w:pStyle w:val="TableParagraph"/>
              <w:spacing w:before="118"/>
              <w:ind w:left="1250" w:right="262" w:hanging="360"/>
            </w:pPr>
            <w:r>
              <w:t>b.</w:t>
            </w:r>
            <w:r>
              <w:rPr>
                <w:spacing w:val="80"/>
              </w:rPr>
              <w:t xml:space="preserve"> </w:t>
            </w:r>
            <w:r>
              <w:t>accurate</w:t>
            </w:r>
            <w:r>
              <w:rPr>
                <w:spacing w:val="-5"/>
              </w:rPr>
              <w:t xml:space="preserve"> </w:t>
            </w:r>
            <w:r>
              <w:t>characterization</w:t>
            </w:r>
            <w:r>
              <w:rPr>
                <w:spacing w:val="-5"/>
              </w:rPr>
              <w:t xml:space="preserve"> </w:t>
            </w:r>
            <w:r>
              <w:t>of</w:t>
            </w:r>
            <w:r>
              <w:rPr>
                <w:spacing w:val="-5"/>
              </w:rPr>
              <w:t xml:space="preserve"> </w:t>
            </w:r>
            <w:r>
              <w:t>general</w:t>
            </w:r>
            <w:r>
              <w:rPr>
                <w:spacing w:val="-6"/>
              </w:rPr>
              <w:t xml:space="preserve"> </w:t>
            </w:r>
            <w:r>
              <w:t>agreement</w:t>
            </w:r>
            <w:r>
              <w:rPr>
                <w:spacing w:val="-5"/>
              </w:rPr>
              <w:t xml:space="preserve"> </w:t>
            </w:r>
            <w:r>
              <w:t>or disagreement with the report;</w:t>
            </w:r>
          </w:p>
        </w:tc>
        <w:tc>
          <w:tcPr>
            <w:tcW w:w="797" w:type="dxa"/>
            <w:tcBorders>
              <w:top w:val="single" w:sz="8" w:space="0" w:color="000000"/>
              <w:left w:val="single" w:sz="8" w:space="0" w:color="000000"/>
              <w:bottom w:val="single" w:sz="8" w:space="0" w:color="000000"/>
              <w:right w:val="single" w:sz="8" w:space="0" w:color="000000"/>
            </w:tcBorders>
          </w:tcPr>
          <w:p w14:paraId="0DFDD418" w14:textId="77777777" w:rsidR="00046465" w:rsidRDefault="00046465" w:rsidP="008134EB">
            <w:pPr>
              <w:pStyle w:val="TableParagraph"/>
              <w:jc w:val="center"/>
              <w:rPr>
                <w:rFonts w:ascii="Times New Roman"/>
              </w:rPr>
            </w:pPr>
          </w:p>
        </w:tc>
        <w:tc>
          <w:tcPr>
            <w:tcW w:w="971" w:type="dxa"/>
            <w:tcBorders>
              <w:top w:val="single" w:sz="8" w:space="0" w:color="000000"/>
              <w:left w:val="single" w:sz="8" w:space="0" w:color="000000"/>
              <w:bottom w:val="single" w:sz="8" w:space="0" w:color="000000"/>
            </w:tcBorders>
          </w:tcPr>
          <w:p w14:paraId="0DFDD419" w14:textId="77777777" w:rsidR="00046465" w:rsidRDefault="00046465" w:rsidP="008134EB">
            <w:pPr>
              <w:pStyle w:val="TableParagraph"/>
              <w:jc w:val="center"/>
              <w:rPr>
                <w:rFonts w:ascii="Times New Roman"/>
              </w:rPr>
            </w:pPr>
          </w:p>
        </w:tc>
      </w:tr>
      <w:tr w:rsidR="00046465" w14:paraId="0DFDD41E" w14:textId="77777777">
        <w:trPr>
          <w:trHeight w:val="490"/>
        </w:trPr>
        <w:tc>
          <w:tcPr>
            <w:tcW w:w="7649" w:type="dxa"/>
            <w:tcBorders>
              <w:top w:val="single" w:sz="8" w:space="0" w:color="000000"/>
              <w:bottom w:val="single" w:sz="8" w:space="0" w:color="000000"/>
              <w:right w:val="single" w:sz="8" w:space="0" w:color="000000"/>
            </w:tcBorders>
          </w:tcPr>
          <w:p w14:paraId="0DFDD41B" w14:textId="77777777" w:rsidR="00046465" w:rsidRDefault="008134EB">
            <w:pPr>
              <w:pStyle w:val="TableParagraph"/>
              <w:spacing w:before="118"/>
              <w:ind w:right="1465"/>
              <w:jc w:val="right"/>
            </w:pPr>
            <w:r>
              <w:t>c.</w:t>
            </w:r>
            <w:r>
              <w:rPr>
                <w:spacing w:val="25"/>
              </w:rPr>
              <w:t xml:space="preserve">  </w:t>
            </w:r>
            <w:r>
              <w:t>description</w:t>
            </w:r>
            <w:r>
              <w:rPr>
                <w:spacing w:val="-6"/>
              </w:rPr>
              <w:t xml:space="preserve"> </w:t>
            </w:r>
            <w:r>
              <w:t>of</w:t>
            </w:r>
            <w:r>
              <w:rPr>
                <w:spacing w:val="-5"/>
              </w:rPr>
              <w:t xml:space="preserve"> </w:t>
            </w:r>
            <w:r>
              <w:t>the</w:t>
            </w:r>
            <w:r>
              <w:rPr>
                <w:spacing w:val="-5"/>
              </w:rPr>
              <w:t xml:space="preserve"> </w:t>
            </w:r>
            <w:r>
              <w:t>substance</w:t>
            </w:r>
            <w:r>
              <w:rPr>
                <w:spacing w:val="-5"/>
              </w:rPr>
              <w:t xml:space="preserve"> </w:t>
            </w:r>
            <w:r>
              <w:t>of</w:t>
            </w:r>
            <w:r>
              <w:rPr>
                <w:spacing w:val="-4"/>
              </w:rPr>
              <w:t xml:space="preserve"> </w:t>
            </w:r>
            <w:r>
              <w:t>the</w:t>
            </w:r>
            <w:r>
              <w:rPr>
                <w:spacing w:val="-6"/>
              </w:rPr>
              <w:t xml:space="preserve"> </w:t>
            </w:r>
            <w:r>
              <w:t>comments;</w:t>
            </w:r>
            <w:r>
              <w:rPr>
                <w:spacing w:val="-5"/>
              </w:rPr>
              <w:t xml:space="preserve"> and</w:t>
            </w:r>
          </w:p>
        </w:tc>
        <w:tc>
          <w:tcPr>
            <w:tcW w:w="797" w:type="dxa"/>
            <w:tcBorders>
              <w:top w:val="single" w:sz="8" w:space="0" w:color="000000"/>
              <w:left w:val="single" w:sz="8" w:space="0" w:color="000000"/>
              <w:bottom w:val="single" w:sz="8" w:space="0" w:color="000000"/>
              <w:right w:val="single" w:sz="8" w:space="0" w:color="000000"/>
            </w:tcBorders>
          </w:tcPr>
          <w:p w14:paraId="0DFDD41C" w14:textId="77777777" w:rsidR="00046465" w:rsidRDefault="00046465" w:rsidP="008134EB">
            <w:pPr>
              <w:pStyle w:val="TableParagraph"/>
              <w:jc w:val="center"/>
              <w:rPr>
                <w:rFonts w:ascii="Times New Roman"/>
              </w:rPr>
            </w:pPr>
          </w:p>
        </w:tc>
        <w:tc>
          <w:tcPr>
            <w:tcW w:w="971" w:type="dxa"/>
            <w:tcBorders>
              <w:top w:val="single" w:sz="8" w:space="0" w:color="000000"/>
              <w:left w:val="single" w:sz="8" w:space="0" w:color="000000"/>
              <w:bottom w:val="single" w:sz="8" w:space="0" w:color="000000"/>
            </w:tcBorders>
          </w:tcPr>
          <w:p w14:paraId="0DFDD41D" w14:textId="77777777" w:rsidR="00046465" w:rsidRDefault="00046465" w:rsidP="008134EB">
            <w:pPr>
              <w:pStyle w:val="TableParagraph"/>
              <w:jc w:val="center"/>
              <w:rPr>
                <w:rFonts w:ascii="Times New Roman"/>
              </w:rPr>
            </w:pPr>
          </w:p>
        </w:tc>
      </w:tr>
      <w:tr w:rsidR="00046465" w14:paraId="0DFDD423" w14:textId="77777777">
        <w:trPr>
          <w:trHeight w:val="1249"/>
        </w:trPr>
        <w:tc>
          <w:tcPr>
            <w:tcW w:w="7649" w:type="dxa"/>
            <w:tcBorders>
              <w:top w:val="single" w:sz="8" w:space="0" w:color="000000"/>
              <w:bottom w:val="single" w:sz="8" w:space="0" w:color="000000"/>
              <w:right w:val="single" w:sz="8" w:space="0" w:color="000000"/>
            </w:tcBorders>
          </w:tcPr>
          <w:p w14:paraId="0DFDD41F" w14:textId="77777777" w:rsidR="00046465" w:rsidRDefault="008134EB">
            <w:pPr>
              <w:pStyle w:val="TableParagraph"/>
              <w:spacing w:before="118"/>
              <w:ind w:left="1250" w:right="473" w:hanging="360"/>
              <w:jc w:val="both"/>
            </w:pPr>
            <w:r>
              <w:t>d.</w:t>
            </w:r>
            <w:r>
              <w:rPr>
                <w:spacing w:val="80"/>
              </w:rPr>
              <w:t xml:space="preserve"> </w:t>
            </w:r>
            <w:r>
              <w:t>auditor evaluation of the comments, particularly if comments disagree,</w:t>
            </w:r>
            <w:r>
              <w:rPr>
                <w:spacing w:val="-5"/>
              </w:rPr>
              <w:t xml:space="preserve"> </w:t>
            </w:r>
            <w:r>
              <w:t>are</w:t>
            </w:r>
            <w:r>
              <w:rPr>
                <w:spacing w:val="-5"/>
              </w:rPr>
              <w:t xml:space="preserve"> </w:t>
            </w:r>
            <w:r>
              <w:t>inconsistent,</w:t>
            </w:r>
            <w:r>
              <w:rPr>
                <w:spacing w:val="-5"/>
              </w:rPr>
              <w:t xml:space="preserve"> </w:t>
            </w:r>
            <w:r>
              <w:t>or</w:t>
            </w:r>
            <w:r>
              <w:rPr>
                <w:spacing w:val="-5"/>
              </w:rPr>
              <w:t xml:space="preserve"> </w:t>
            </w:r>
            <w:r>
              <w:t>conflict</w:t>
            </w:r>
            <w:r>
              <w:rPr>
                <w:spacing w:val="-5"/>
              </w:rPr>
              <w:t xml:space="preserve"> </w:t>
            </w:r>
            <w:r>
              <w:t>with</w:t>
            </w:r>
            <w:r>
              <w:rPr>
                <w:spacing w:val="-5"/>
              </w:rPr>
              <w:t xml:space="preserve"> </w:t>
            </w:r>
            <w:r>
              <w:t>the</w:t>
            </w:r>
            <w:r>
              <w:rPr>
                <w:spacing w:val="-5"/>
              </w:rPr>
              <w:t xml:space="preserve"> </w:t>
            </w:r>
            <w:r>
              <w:t>report</w:t>
            </w:r>
            <w:r>
              <w:rPr>
                <w:spacing w:val="-5"/>
              </w:rPr>
              <w:t xml:space="preserve"> </w:t>
            </w:r>
            <w:r>
              <w:t>findings, conclusions, or recommendations? (GAGAS (2018) 6.57</w:t>
            </w:r>
          </w:p>
          <w:p w14:paraId="0DFDD420" w14:textId="77777777" w:rsidR="00046465" w:rsidRDefault="008134EB">
            <w:pPr>
              <w:pStyle w:val="TableParagraph"/>
              <w:spacing w:before="1"/>
              <w:ind w:left="1250"/>
              <w:jc w:val="both"/>
            </w:pPr>
            <w:r>
              <w:t>through</w:t>
            </w:r>
            <w:r>
              <w:rPr>
                <w:spacing w:val="-8"/>
              </w:rPr>
              <w:t xml:space="preserve"> </w:t>
            </w:r>
            <w:r>
              <w:rPr>
                <w:spacing w:val="-2"/>
              </w:rPr>
              <w:t>6.62)</w:t>
            </w:r>
          </w:p>
        </w:tc>
        <w:tc>
          <w:tcPr>
            <w:tcW w:w="797" w:type="dxa"/>
            <w:tcBorders>
              <w:top w:val="single" w:sz="8" w:space="0" w:color="000000"/>
              <w:left w:val="single" w:sz="8" w:space="0" w:color="000000"/>
              <w:bottom w:val="single" w:sz="8" w:space="0" w:color="000000"/>
              <w:right w:val="single" w:sz="8" w:space="0" w:color="000000"/>
            </w:tcBorders>
          </w:tcPr>
          <w:p w14:paraId="0DFDD421" w14:textId="77777777" w:rsidR="00046465" w:rsidRDefault="00046465" w:rsidP="008134EB">
            <w:pPr>
              <w:pStyle w:val="TableParagraph"/>
              <w:jc w:val="center"/>
              <w:rPr>
                <w:rFonts w:ascii="Times New Roman"/>
              </w:rPr>
            </w:pPr>
          </w:p>
        </w:tc>
        <w:tc>
          <w:tcPr>
            <w:tcW w:w="971" w:type="dxa"/>
            <w:tcBorders>
              <w:top w:val="single" w:sz="8" w:space="0" w:color="000000"/>
              <w:left w:val="single" w:sz="8" w:space="0" w:color="000000"/>
              <w:bottom w:val="single" w:sz="8" w:space="0" w:color="000000"/>
            </w:tcBorders>
          </w:tcPr>
          <w:p w14:paraId="0DFDD422" w14:textId="77777777" w:rsidR="00046465" w:rsidRDefault="00046465" w:rsidP="008134EB">
            <w:pPr>
              <w:pStyle w:val="TableParagraph"/>
              <w:jc w:val="center"/>
              <w:rPr>
                <w:rFonts w:ascii="Times New Roman"/>
              </w:rPr>
            </w:pPr>
          </w:p>
        </w:tc>
      </w:tr>
      <w:tr w:rsidR="00046465" w14:paraId="0DFDD427" w14:textId="77777777">
        <w:trPr>
          <w:trHeight w:val="995"/>
        </w:trPr>
        <w:tc>
          <w:tcPr>
            <w:tcW w:w="7649" w:type="dxa"/>
            <w:tcBorders>
              <w:top w:val="single" w:sz="8" w:space="0" w:color="000000"/>
              <w:bottom w:val="single" w:sz="8" w:space="0" w:color="000000"/>
              <w:right w:val="single" w:sz="8" w:space="0" w:color="000000"/>
            </w:tcBorders>
          </w:tcPr>
          <w:p w14:paraId="0DFDD424" w14:textId="77777777" w:rsidR="00046465" w:rsidRDefault="008134EB">
            <w:pPr>
              <w:pStyle w:val="TableParagraph"/>
              <w:spacing w:before="118"/>
              <w:ind w:left="860" w:right="262" w:hanging="360"/>
            </w:pPr>
            <w:r>
              <w:t>3.</w:t>
            </w:r>
            <w:r>
              <w:rPr>
                <w:spacing w:val="80"/>
              </w:rPr>
              <w:t xml:space="preserve"> </w:t>
            </w:r>
            <w:r>
              <w:t>Did</w:t>
            </w:r>
            <w:r>
              <w:rPr>
                <w:spacing w:val="-4"/>
              </w:rPr>
              <w:t xml:space="preserve"> </w:t>
            </w:r>
            <w:r>
              <w:t>the</w:t>
            </w:r>
            <w:r>
              <w:rPr>
                <w:spacing w:val="-4"/>
              </w:rPr>
              <w:t xml:space="preserve"> </w:t>
            </w:r>
            <w:r>
              <w:t>auditor</w:t>
            </w:r>
            <w:r>
              <w:rPr>
                <w:spacing w:val="-4"/>
              </w:rPr>
              <w:t xml:space="preserve"> </w:t>
            </w:r>
            <w:r>
              <w:t>verify</w:t>
            </w:r>
            <w:r>
              <w:rPr>
                <w:spacing w:val="-4"/>
              </w:rPr>
              <w:t xml:space="preserve"> </w:t>
            </w:r>
            <w:r>
              <w:t>that</w:t>
            </w:r>
            <w:r>
              <w:rPr>
                <w:spacing w:val="-4"/>
              </w:rPr>
              <w:t xml:space="preserve"> </w:t>
            </w:r>
            <w:r>
              <w:t>the</w:t>
            </w:r>
            <w:r>
              <w:rPr>
                <w:spacing w:val="-4"/>
              </w:rPr>
              <w:t xml:space="preserve"> </w:t>
            </w:r>
            <w:r>
              <w:t>entity</w:t>
            </w:r>
            <w:r>
              <w:rPr>
                <w:spacing w:val="-4"/>
              </w:rPr>
              <w:t xml:space="preserve"> </w:t>
            </w:r>
            <w:r>
              <w:t>financial</w:t>
            </w:r>
            <w:r>
              <w:rPr>
                <w:spacing w:val="-4"/>
              </w:rPr>
              <w:t xml:space="preserve"> </w:t>
            </w:r>
            <w:r>
              <w:t>statements</w:t>
            </w:r>
            <w:r>
              <w:rPr>
                <w:spacing w:val="-4"/>
              </w:rPr>
              <w:t xml:space="preserve"> </w:t>
            </w:r>
            <w:r>
              <w:t>and</w:t>
            </w:r>
            <w:r>
              <w:rPr>
                <w:spacing w:val="-4"/>
              </w:rPr>
              <w:t xml:space="preserve"> </w:t>
            </w:r>
            <w:r>
              <w:t>notes did not change between the auditor’s report date and the report release date?</w:t>
            </w:r>
          </w:p>
        </w:tc>
        <w:tc>
          <w:tcPr>
            <w:tcW w:w="797" w:type="dxa"/>
            <w:tcBorders>
              <w:top w:val="single" w:sz="8" w:space="0" w:color="000000"/>
              <w:left w:val="single" w:sz="8" w:space="0" w:color="000000"/>
              <w:bottom w:val="single" w:sz="8" w:space="0" w:color="000000"/>
              <w:right w:val="single" w:sz="8" w:space="0" w:color="000000"/>
            </w:tcBorders>
          </w:tcPr>
          <w:p w14:paraId="0DFDD425" w14:textId="77777777" w:rsidR="00046465" w:rsidRDefault="00046465" w:rsidP="008134EB">
            <w:pPr>
              <w:pStyle w:val="TableParagraph"/>
              <w:jc w:val="center"/>
              <w:rPr>
                <w:rFonts w:ascii="Times New Roman"/>
              </w:rPr>
            </w:pPr>
          </w:p>
        </w:tc>
        <w:tc>
          <w:tcPr>
            <w:tcW w:w="971" w:type="dxa"/>
            <w:tcBorders>
              <w:top w:val="single" w:sz="8" w:space="0" w:color="000000"/>
              <w:left w:val="single" w:sz="8" w:space="0" w:color="000000"/>
              <w:bottom w:val="single" w:sz="8" w:space="0" w:color="000000"/>
            </w:tcBorders>
          </w:tcPr>
          <w:p w14:paraId="0DFDD426" w14:textId="77777777" w:rsidR="00046465" w:rsidRDefault="00046465" w:rsidP="008134EB">
            <w:pPr>
              <w:pStyle w:val="TableParagraph"/>
              <w:jc w:val="center"/>
              <w:rPr>
                <w:rFonts w:ascii="Times New Roman"/>
              </w:rPr>
            </w:pPr>
          </w:p>
        </w:tc>
      </w:tr>
      <w:tr w:rsidR="00046465" w14:paraId="0DFDD42B" w14:textId="77777777">
        <w:trPr>
          <w:trHeight w:val="743"/>
        </w:trPr>
        <w:tc>
          <w:tcPr>
            <w:tcW w:w="7649" w:type="dxa"/>
            <w:tcBorders>
              <w:top w:val="single" w:sz="8" w:space="0" w:color="000000"/>
              <w:bottom w:val="single" w:sz="8" w:space="0" w:color="000000"/>
              <w:right w:val="single" w:sz="8" w:space="0" w:color="000000"/>
            </w:tcBorders>
          </w:tcPr>
          <w:p w14:paraId="0DFDD428" w14:textId="77777777" w:rsidR="00046465" w:rsidRDefault="008134EB">
            <w:pPr>
              <w:pStyle w:val="TableParagraph"/>
              <w:spacing w:before="118"/>
              <w:ind w:left="860" w:right="262" w:hanging="360"/>
            </w:pPr>
            <w:r>
              <w:t>4.</w:t>
            </w:r>
            <w:r>
              <w:rPr>
                <w:spacing w:val="80"/>
              </w:rPr>
              <w:t xml:space="preserve"> </w:t>
            </w:r>
            <w:r>
              <w:t>(GAO</w:t>
            </w:r>
            <w:r>
              <w:rPr>
                <w:spacing w:val="-4"/>
              </w:rPr>
              <w:t xml:space="preserve"> </w:t>
            </w:r>
            <w:r>
              <w:t>only)</w:t>
            </w:r>
            <w:r>
              <w:rPr>
                <w:spacing w:val="-3"/>
              </w:rPr>
              <w:t xml:space="preserve"> </w:t>
            </w:r>
            <w:r>
              <w:t>Did</w:t>
            </w:r>
            <w:r>
              <w:rPr>
                <w:spacing w:val="-3"/>
              </w:rPr>
              <w:t xml:space="preserve"> </w:t>
            </w:r>
            <w:r>
              <w:t>the</w:t>
            </w:r>
            <w:r>
              <w:rPr>
                <w:spacing w:val="-3"/>
              </w:rPr>
              <w:t xml:space="preserve"> </w:t>
            </w:r>
            <w:r>
              <w:t>assistant</w:t>
            </w:r>
            <w:r>
              <w:rPr>
                <w:spacing w:val="-3"/>
              </w:rPr>
              <w:t xml:space="preserve"> </w:t>
            </w:r>
            <w:r>
              <w:t>director</w:t>
            </w:r>
            <w:r>
              <w:rPr>
                <w:spacing w:val="-3"/>
              </w:rPr>
              <w:t xml:space="preserve"> </w:t>
            </w:r>
            <w:r>
              <w:t>and</w:t>
            </w:r>
            <w:r>
              <w:rPr>
                <w:spacing w:val="-3"/>
              </w:rPr>
              <w:t xml:space="preserve"> </w:t>
            </w:r>
            <w:r>
              <w:t>audit</w:t>
            </w:r>
            <w:r>
              <w:rPr>
                <w:spacing w:val="-3"/>
              </w:rPr>
              <w:t xml:space="preserve"> </w:t>
            </w:r>
            <w:r>
              <w:t>director</w:t>
            </w:r>
            <w:r>
              <w:rPr>
                <w:spacing w:val="-3"/>
              </w:rPr>
              <w:t xml:space="preserve"> </w:t>
            </w:r>
            <w:r>
              <w:t>review</w:t>
            </w:r>
            <w:r>
              <w:rPr>
                <w:spacing w:val="-4"/>
              </w:rPr>
              <w:t xml:space="preserve"> </w:t>
            </w:r>
            <w:r>
              <w:t>the final audit report and transmittal letter?</w:t>
            </w:r>
          </w:p>
        </w:tc>
        <w:tc>
          <w:tcPr>
            <w:tcW w:w="797" w:type="dxa"/>
            <w:tcBorders>
              <w:top w:val="single" w:sz="8" w:space="0" w:color="000000"/>
              <w:left w:val="single" w:sz="8" w:space="0" w:color="000000"/>
              <w:bottom w:val="single" w:sz="8" w:space="0" w:color="000000"/>
              <w:right w:val="single" w:sz="8" w:space="0" w:color="000000"/>
            </w:tcBorders>
          </w:tcPr>
          <w:p w14:paraId="0DFDD429" w14:textId="565D8E54" w:rsidR="00046465" w:rsidRDefault="00046465" w:rsidP="008134EB">
            <w:pPr>
              <w:pStyle w:val="TableParagraph"/>
              <w:jc w:val="center"/>
              <w:rPr>
                <w:rFonts w:ascii="Times New Roman"/>
              </w:rPr>
            </w:pPr>
          </w:p>
        </w:tc>
        <w:tc>
          <w:tcPr>
            <w:tcW w:w="971" w:type="dxa"/>
            <w:tcBorders>
              <w:top w:val="single" w:sz="8" w:space="0" w:color="000000"/>
              <w:left w:val="single" w:sz="8" w:space="0" w:color="000000"/>
              <w:bottom w:val="single" w:sz="8" w:space="0" w:color="000000"/>
            </w:tcBorders>
          </w:tcPr>
          <w:p w14:paraId="0DFDD42A" w14:textId="77777777" w:rsidR="00046465" w:rsidRDefault="00046465" w:rsidP="008134EB">
            <w:pPr>
              <w:pStyle w:val="TableParagraph"/>
              <w:jc w:val="center"/>
              <w:rPr>
                <w:rFonts w:ascii="Times New Roman"/>
              </w:rPr>
            </w:pPr>
          </w:p>
        </w:tc>
      </w:tr>
      <w:tr w:rsidR="00046465" w14:paraId="0DFDD42D" w14:textId="77777777">
        <w:trPr>
          <w:trHeight w:val="1667"/>
        </w:trPr>
        <w:tc>
          <w:tcPr>
            <w:tcW w:w="9417" w:type="dxa"/>
            <w:gridSpan w:val="3"/>
            <w:tcBorders>
              <w:top w:val="single" w:sz="8" w:space="0" w:color="000000"/>
            </w:tcBorders>
          </w:tcPr>
          <w:p w14:paraId="0DFDD42C" w14:textId="77777777" w:rsidR="00046465" w:rsidRDefault="008134EB">
            <w:pPr>
              <w:pStyle w:val="TableParagraph"/>
              <w:spacing w:before="118"/>
              <w:ind w:left="140"/>
            </w:pPr>
            <w:r>
              <w:t>Explanation</w:t>
            </w:r>
            <w:r>
              <w:rPr>
                <w:spacing w:val="-7"/>
              </w:rPr>
              <w:t xml:space="preserve"> </w:t>
            </w:r>
            <w:r>
              <w:t>of</w:t>
            </w:r>
            <w:r>
              <w:rPr>
                <w:spacing w:val="-5"/>
              </w:rPr>
              <w:t xml:space="preserve"> </w:t>
            </w:r>
            <w:r>
              <w:t>any</w:t>
            </w:r>
            <w:r>
              <w:rPr>
                <w:spacing w:val="-6"/>
              </w:rPr>
              <w:t xml:space="preserve"> </w:t>
            </w:r>
            <w:r>
              <w:t>“no”</w:t>
            </w:r>
            <w:r>
              <w:rPr>
                <w:spacing w:val="-7"/>
              </w:rPr>
              <w:t xml:space="preserve"> </w:t>
            </w:r>
            <w:r>
              <w:t>answers</w:t>
            </w:r>
            <w:r>
              <w:rPr>
                <w:spacing w:val="-5"/>
              </w:rPr>
              <w:t xml:space="preserve"> </w:t>
            </w:r>
            <w:r>
              <w:t>in</w:t>
            </w:r>
            <w:r>
              <w:rPr>
                <w:spacing w:val="-6"/>
              </w:rPr>
              <w:t xml:space="preserve"> </w:t>
            </w:r>
            <w:r>
              <w:t>this</w:t>
            </w:r>
            <w:r>
              <w:rPr>
                <w:spacing w:val="-5"/>
              </w:rPr>
              <w:t xml:space="preserve"> </w:t>
            </w:r>
            <w:r>
              <w:t>section</w:t>
            </w:r>
            <w:r>
              <w:rPr>
                <w:spacing w:val="-6"/>
              </w:rPr>
              <w:t xml:space="preserve"> </w:t>
            </w:r>
            <w:r>
              <w:t>or</w:t>
            </w:r>
            <w:r>
              <w:rPr>
                <w:spacing w:val="-5"/>
              </w:rPr>
              <w:t xml:space="preserve"> </w:t>
            </w:r>
            <w:r>
              <w:t>other</w:t>
            </w:r>
            <w:r>
              <w:rPr>
                <w:spacing w:val="-6"/>
              </w:rPr>
              <w:t xml:space="preserve"> </w:t>
            </w:r>
            <w:r>
              <w:rPr>
                <w:spacing w:val="-2"/>
              </w:rPr>
              <w:t>comments:</w:t>
            </w:r>
          </w:p>
        </w:tc>
      </w:tr>
    </w:tbl>
    <w:p w14:paraId="0DFDD42E" w14:textId="77777777" w:rsidR="00046465" w:rsidRDefault="00046465">
      <w:pPr>
        <w:pStyle w:val="BodyText"/>
        <w:rPr>
          <w:b/>
          <w:sz w:val="20"/>
        </w:rPr>
      </w:pPr>
    </w:p>
    <w:p w14:paraId="0DFDD42F" w14:textId="77777777" w:rsidR="00046465" w:rsidRDefault="00046465">
      <w:pPr>
        <w:pStyle w:val="BodyText"/>
        <w:rPr>
          <w:b/>
          <w:sz w:val="20"/>
        </w:rPr>
      </w:pPr>
    </w:p>
    <w:p w14:paraId="0DFDD430" w14:textId="77777777" w:rsidR="00046465" w:rsidRDefault="00046465">
      <w:pPr>
        <w:pStyle w:val="BodyText"/>
        <w:spacing w:before="219"/>
        <w:rPr>
          <w:b/>
          <w:sz w:val="20"/>
        </w:rPr>
      </w:pPr>
    </w:p>
    <w:tbl>
      <w:tblPr>
        <w:tblW w:w="0" w:type="auto"/>
        <w:tblInd w:w="1037" w:type="dxa"/>
        <w:tblLayout w:type="fixed"/>
        <w:tblCellMar>
          <w:left w:w="0" w:type="dxa"/>
          <w:right w:w="0" w:type="dxa"/>
        </w:tblCellMar>
        <w:tblLook w:val="01E0" w:firstRow="1" w:lastRow="1" w:firstColumn="1" w:lastColumn="1" w:noHBand="0" w:noVBand="0"/>
      </w:tblPr>
      <w:tblGrid>
        <w:gridCol w:w="2203"/>
        <w:gridCol w:w="3425"/>
        <w:gridCol w:w="2543"/>
      </w:tblGrid>
      <w:tr w:rsidR="00046465" w14:paraId="0DFDD434" w14:textId="77777777">
        <w:trPr>
          <w:trHeight w:val="495"/>
        </w:trPr>
        <w:tc>
          <w:tcPr>
            <w:tcW w:w="2203" w:type="dxa"/>
          </w:tcPr>
          <w:p w14:paraId="0DFDD431" w14:textId="77777777" w:rsidR="00046465" w:rsidRDefault="008134EB">
            <w:pPr>
              <w:pStyle w:val="TableParagraph"/>
              <w:spacing w:line="245" w:lineRule="exact"/>
              <w:ind w:left="50"/>
            </w:pPr>
            <w:r>
              <w:t>Report</w:t>
            </w:r>
            <w:r>
              <w:rPr>
                <w:spacing w:val="-8"/>
              </w:rPr>
              <w:t xml:space="preserve"> </w:t>
            </w:r>
            <w:r>
              <w:t>release</w:t>
            </w:r>
            <w:r>
              <w:rPr>
                <w:spacing w:val="-7"/>
              </w:rPr>
              <w:t xml:space="preserve"> </w:t>
            </w:r>
            <w:r>
              <w:rPr>
                <w:spacing w:val="-4"/>
              </w:rPr>
              <w:t>date</w:t>
            </w:r>
          </w:p>
        </w:tc>
        <w:tc>
          <w:tcPr>
            <w:tcW w:w="3425" w:type="dxa"/>
          </w:tcPr>
          <w:p w14:paraId="0DFDD432" w14:textId="77777777" w:rsidR="00046465" w:rsidRDefault="008134EB">
            <w:pPr>
              <w:pStyle w:val="TableParagraph"/>
              <w:tabs>
                <w:tab w:val="left" w:pos="3227"/>
              </w:tabs>
              <w:spacing w:line="245" w:lineRule="exact"/>
              <w:ind w:left="169"/>
              <w:jc w:val="center"/>
            </w:pPr>
            <w:r>
              <w:rPr>
                <w:w w:val="99"/>
                <w:u w:val="single"/>
              </w:rPr>
              <w:t xml:space="preserve"> </w:t>
            </w:r>
            <w:r>
              <w:rPr>
                <w:u w:val="single"/>
              </w:rPr>
              <w:tab/>
            </w:r>
          </w:p>
        </w:tc>
        <w:tc>
          <w:tcPr>
            <w:tcW w:w="2543" w:type="dxa"/>
          </w:tcPr>
          <w:p w14:paraId="0DFDD433" w14:textId="77777777" w:rsidR="00046465" w:rsidRDefault="00046465">
            <w:pPr>
              <w:pStyle w:val="TableParagraph"/>
              <w:rPr>
                <w:rFonts w:ascii="Times New Roman"/>
              </w:rPr>
            </w:pPr>
          </w:p>
        </w:tc>
      </w:tr>
      <w:tr w:rsidR="00046465" w14:paraId="0DFDD438" w14:textId="77777777">
        <w:trPr>
          <w:trHeight w:val="559"/>
        </w:trPr>
        <w:tc>
          <w:tcPr>
            <w:tcW w:w="2203" w:type="dxa"/>
          </w:tcPr>
          <w:p w14:paraId="0DFDD435" w14:textId="77777777" w:rsidR="00046465" w:rsidRDefault="008134EB">
            <w:pPr>
              <w:pStyle w:val="TableParagraph"/>
              <w:spacing w:before="243"/>
              <w:ind w:left="50"/>
            </w:pPr>
            <w:r>
              <w:rPr>
                <w:spacing w:val="-2"/>
              </w:rPr>
              <w:t>Auditor-in-Charge</w:t>
            </w:r>
          </w:p>
        </w:tc>
        <w:tc>
          <w:tcPr>
            <w:tcW w:w="3425" w:type="dxa"/>
          </w:tcPr>
          <w:p w14:paraId="0DFDD436" w14:textId="77777777" w:rsidR="00046465" w:rsidRDefault="008134EB">
            <w:pPr>
              <w:pStyle w:val="TableParagraph"/>
              <w:tabs>
                <w:tab w:val="left" w:pos="3202"/>
              </w:tabs>
              <w:spacing w:before="243"/>
              <w:ind w:left="144"/>
              <w:jc w:val="center"/>
            </w:pPr>
            <w:r>
              <w:rPr>
                <w:w w:val="99"/>
                <w:u w:val="single"/>
              </w:rPr>
              <w:t xml:space="preserve"> </w:t>
            </w:r>
            <w:r>
              <w:rPr>
                <w:u w:val="single"/>
              </w:rPr>
              <w:tab/>
            </w:r>
          </w:p>
        </w:tc>
        <w:tc>
          <w:tcPr>
            <w:tcW w:w="2543" w:type="dxa"/>
          </w:tcPr>
          <w:p w14:paraId="0DFDD437" w14:textId="77777777" w:rsidR="00046465" w:rsidRDefault="008134EB">
            <w:pPr>
              <w:pStyle w:val="TableParagraph"/>
              <w:tabs>
                <w:tab w:val="left" w:pos="2442"/>
              </w:tabs>
              <w:spacing w:before="243"/>
              <w:ind w:left="83"/>
              <w:jc w:val="center"/>
            </w:pPr>
            <w:r>
              <w:t xml:space="preserve">Date </w:t>
            </w:r>
            <w:r>
              <w:rPr>
                <w:u w:val="single"/>
              </w:rPr>
              <w:tab/>
            </w:r>
          </w:p>
        </w:tc>
      </w:tr>
      <w:tr w:rsidR="00046465" w14:paraId="0DFDD43C" w14:textId="77777777">
        <w:trPr>
          <w:trHeight w:val="373"/>
        </w:trPr>
        <w:tc>
          <w:tcPr>
            <w:tcW w:w="2203" w:type="dxa"/>
          </w:tcPr>
          <w:p w14:paraId="0DFDD439" w14:textId="77777777" w:rsidR="00046465" w:rsidRDefault="008134EB">
            <w:pPr>
              <w:pStyle w:val="TableParagraph"/>
              <w:spacing w:before="56"/>
              <w:ind w:left="50"/>
            </w:pPr>
            <w:r>
              <w:t>Assistant</w:t>
            </w:r>
            <w:r>
              <w:rPr>
                <w:spacing w:val="-10"/>
              </w:rPr>
              <w:t xml:space="preserve"> </w:t>
            </w:r>
            <w:r>
              <w:rPr>
                <w:spacing w:val="-2"/>
              </w:rPr>
              <w:t>Director</w:t>
            </w:r>
          </w:p>
        </w:tc>
        <w:tc>
          <w:tcPr>
            <w:tcW w:w="3425" w:type="dxa"/>
          </w:tcPr>
          <w:p w14:paraId="0DFDD43A" w14:textId="77777777" w:rsidR="00046465" w:rsidRDefault="008134EB">
            <w:pPr>
              <w:pStyle w:val="TableParagraph"/>
              <w:tabs>
                <w:tab w:val="left" w:pos="3179"/>
              </w:tabs>
              <w:spacing w:before="56"/>
              <w:ind w:left="121"/>
              <w:jc w:val="center"/>
            </w:pPr>
            <w:r>
              <w:rPr>
                <w:w w:val="99"/>
                <w:u w:val="single"/>
              </w:rPr>
              <w:t xml:space="preserve"> </w:t>
            </w:r>
            <w:r>
              <w:rPr>
                <w:u w:val="single"/>
              </w:rPr>
              <w:tab/>
            </w:r>
          </w:p>
        </w:tc>
        <w:tc>
          <w:tcPr>
            <w:tcW w:w="2543" w:type="dxa"/>
          </w:tcPr>
          <w:p w14:paraId="0DFDD43B" w14:textId="77777777" w:rsidR="00046465" w:rsidRDefault="008134EB">
            <w:pPr>
              <w:pStyle w:val="TableParagraph"/>
              <w:tabs>
                <w:tab w:val="left" w:pos="2419"/>
              </w:tabs>
              <w:spacing w:before="56"/>
              <w:ind w:left="60"/>
              <w:jc w:val="center"/>
            </w:pPr>
            <w:r>
              <w:t xml:space="preserve">Date </w:t>
            </w:r>
            <w:r>
              <w:rPr>
                <w:u w:val="single"/>
              </w:rPr>
              <w:tab/>
            </w:r>
          </w:p>
        </w:tc>
      </w:tr>
      <w:tr w:rsidR="00046465" w14:paraId="0DFDD440" w14:textId="77777777">
        <w:trPr>
          <w:trHeight w:val="309"/>
        </w:trPr>
        <w:tc>
          <w:tcPr>
            <w:tcW w:w="2203" w:type="dxa"/>
          </w:tcPr>
          <w:p w14:paraId="0DFDD43D" w14:textId="77777777" w:rsidR="00046465" w:rsidRDefault="008134EB">
            <w:pPr>
              <w:pStyle w:val="TableParagraph"/>
              <w:spacing w:before="56" w:line="233" w:lineRule="exact"/>
              <w:ind w:left="50"/>
            </w:pPr>
            <w:r>
              <w:t>Audit</w:t>
            </w:r>
            <w:r>
              <w:rPr>
                <w:spacing w:val="-7"/>
              </w:rPr>
              <w:t xml:space="preserve"> </w:t>
            </w:r>
            <w:r>
              <w:rPr>
                <w:spacing w:val="-2"/>
              </w:rPr>
              <w:t>Director</w:t>
            </w:r>
          </w:p>
        </w:tc>
        <w:tc>
          <w:tcPr>
            <w:tcW w:w="3425" w:type="dxa"/>
          </w:tcPr>
          <w:p w14:paraId="0DFDD43E" w14:textId="77777777" w:rsidR="00046465" w:rsidRDefault="008134EB">
            <w:pPr>
              <w:pStyle w:val="TableParagraph"/>
              <w:tabs>
                <w:tab w:val="left" w:pos="3131"/>
              </w:tabs>
              <w:spacing w:before="56" w:line="233" w:lineRule="exact"/>
              <w:ind w:left="73"/>
              <w:jc w:val="center"/>
            </w:pPr>
            <w:r>
              <w:rPr>
                <w:w w:val="99"/>
                <w:u w:val="single"/>
              </w:rPr>
              <w:t xml:space="preserve"> </w:t>
            </w:r>
            <w:r>
              <w:rPr>
                <w:u w:val="single"/>
              </w:rPr>
              <w:tab/>
            </w:r>
          </w:p>
        </w:tc>
        <w:tc>
          <w:tcPr>
            <w:tcW w:w="2543" w:type="dxa"/>
          </w:tcPr>
          <w:p w14:paraId="0DFDD43F" w14:textId="77777777" w:rsidR="00046465" w:rsidRDefault="008134EB">
            <w:pPr>
              <w:pStyle w:val="TableParagraph"/>
              <w:tabs>
                <w:tab w:val="left" w:pos="2371"/>
              </w:tabs>
              <w:spacing w:before="56" w:line="233" w:lineRule="exact"/>
              <w:ind w:left="12"/>
              <w:jc w:val="center"/>
            </w:pPr>
            <w:r>
              <w:t xml:space="preserve">Date </w:t>
            </w:r>
            <w:r>
              <w:rPr>
                <w:u w:val="single"/>
              </w:rPr>
              <w:tab/>
            </w:r>
          </w:p>
        </w:tc>
      </w:tr>
    </w:tbl>
    <w:p w14:paraId="0DFDD441" w14:textId="77777777" w:rsidR="00046465" w:rsidRDefault="00046465">
      <w:pPr>
        <w:pStyle w:val="TableParagraph"/>
        <w:spacing w:line="233" w:lineRule="exact"/>
        <w:jc w:val="center"/>
        <w:sectPr w:rsidR="00046465">
          <w:pgSz w:w="12240" w:h="15840"/>
          <w:pgMar w:top="1340" w:right="720" w:bottom="940" w:left="360" w:header="721" w:footer="757" w:gutter="0"/>
          <w:cols w:space="720"/>
        </w:sectPr>
      </w:pPr>
    </w:p>
    <w:p w14:paraId="0DFDD442" w14:textId="77777777" w:rsidR="00046465" w:rsidRDefault="008134EB" w:rsidP="00FC437E">
      <w:pPr>
        <w:pStyle w:val="Heading4"/>
        <w:ind w:left="1080"/>
      </w:pPr>
      <w:bookmarkStart w:id="423" w:name="Section_IX:_Engagement_Quality_Control_R"/>
      <w:bookmarkEnd w:id="423"/>
      <w:r>
        <w:lastRenderedPageBreak/>
        <w:t>Section</w:t>
      </w:r>
      <w:r>
        <w:rPr>
          <w:spacing w:val="-14"/>
        </w:rPr>
        <w:t xml:space="preserve"> </w:t>
      </w:r>
      <w:r>
        <w:t>IX:</w:t>
      </w:r>
      <w:r>
        <w:rPr>
          <w:spacing w:val="-12"/>
        </w:rPr>
        <w:t xml:space="preserve"> </w:t>
      </w:r>
      <w:r>
        <w:t>Engagement</w:t>
      </w:r>
      <w:r>
        <w:rPr>
          <w:spacing w:val="-12"/>
        </w:rPr>
        <w:t xml:space="preserve"> </w:t>
      </w:r>
      <w:r>
        <w:t>Quality</w:t>
      </w:r>
      <w:r>
        <w:rPr>
          <w:spacing w:val="-13"/>
        </w:rPr>
        <w:t xml:space="preserve"> </w:t>
      </w:r>
      <w:r>
        <w:t>Control</w:t>
      </w:r>
      <w:r>
        <w:rPr>
          <w:spacing w:val="-12"/>
        </w:rPr>
        <w:t xml:space="preserve"> </w:t>
      </w:r>
      <w:r>
        <w:t>Review</w:t>
      </w:r>
      <w:r>
        <w:rPr>
          <w:spacing w:val="-13"/>
        </w:rPr>
        <w:t xml:space="preserve"> </w:t>
      </w:r>
      <w:r>
        <w:t>(Second</w:t>
      </w:r>
      <w:r>
        <w:rPr>
          <w:spacing w:val="-13"/>
        </w:rPr>
        <w:t xml:space="preserve"> </w:t>
      </w:r>
      <w:r>
        <w:rPr>
          <w:spacing w:val="-2"/>
        </w:rPr>
        <w:t>Partner)</w:t>
      </w:r>
    </w:p>
    <w:p w14:paraId="0DFDD443" w14:textId="77777777" w:rsidR="00046465" w:rsidRDefault="00046465">
      <w:pPr>
        <w:pStyle w:val="BodyText"/>
        <w:spacing w:before="10"/>
        <w:rPr>
          <w:b/>
          <w:sz w:val="11"/>
        </w:rPr>
      </w:pPr>
    </w:p>
    <w:tbl>
      <w:tblPr>
        <w:tblW w:w="0" w:type="auto"/>
        <w:tblInd w:w="1135" w:type="dxa"/>
        <w:tblBorders>
          <w:top w:val="double" w:sz="8" w:space="0" w:color="000000"/>
          <w:left w:val="double" w:sz="8" w:space="0" w:color="000000"/>
          <w:bottom w:val="double" w:sz="8" w:space="0" w:color="000000"/>
          <w:right w:val="double" w:sz="8" w:space="0" w:color="000000"/>
          <w:insideH w:val="double" w:sz="8" w:space="0" w:color="000000"/>
          <w:insideV w:val="double" w:sz="8" w:space="0" w:color="000000"/>
        </w:tblBorders>
        <w:tblLayout w:type="fixed"/>
        <w:tblCellMar>
          <w:left w:w="0" w:type="dxa"/>
          <w:right w:w="0" w:type="dxa"/>
        </w:tblCellMar>
        <w:tblLook w:val="01E0" w:firstRow="1" w:lastRow="1" w:firstColumn="1" w:lastColumn="1" w:noHBand="0" w:noVBand="0"/>
      </w:tblPr>
      <w:tblGrid>
        <w:gridCol w:w="9337"/>
      </w:tblGrid>
      <w:tr w:rsidR="00046465" w14:paraId="0DFDD445" w14:textId="77777777">
        <w:trPr>
          <w:trHeight w:val="511"/>
        </w:trPr>
        <w:tc>
          <w:tcPr>
            <w:tcW w:w="9337" w:type="dxa"/>
            <w:tcBorders>
              <w:bottom w:val="double" w:sz="2" w:space="0" w:color="000000"/>
            </w:tcBorders>
            <w:shd w:val="clear" w:color="auto" w:fill="A6A6A6"/>
          </w:tcPr>
          <w:p w14:paraId="0DFDD444" w14:textId="77777777" w:rsidR="00046465" w:rsidRDefault="008134EB">
            <w:pPr>
              <w:pStyle w:val="TableParagraph"/>
              <w:spacing w:before="116"/>
              <w:ind w:left="98"/>
              <w:rPr>
                <w:b/>
                <w:sz w:val="24"/>
              </w:rPr>
            </w:pPr>
            <w:r>
              <w:rPr>
                <w:b/>
                <w:sz w:val="24"/>
              </w:rPr>
              <w:t>Section</w:t>
            </w:r>
            <w:r>
              <w:rPr>
                <w:b/>
                <w:spacing w:val="-5"/>
                <w:sz w:val="24"/>
              </w:rPr>
              <w:t xml:space="preserve"> </w:t>
            </w:r>
            <w:r>
              <w:rPr>
                <w:b/>
                <w:sz w:val="24"/>
              </w:rPr>
              <w:t>IX:</w:t>
            </w:r>
            <w:r>
              <w:rPr>
                <w:b/>
                <w:spacing w:val="-3"/>
                <w:sz w:val="24"/>
              </w:rPr>
              <w:t xml:space="preserve"> </w:t>
            </w:r>
            <w:r>
              <w:rPr>
                <w:b/>
                <w:sz w:val="24"/>
              </w:rPr>
              <w:t>Engagement</w:t>
            </w:r>
            <w:r>
              <w:rPr>
                <w:b/>
                <w:spacing w:val="-3"/>
                <w:sz w:val="24"/>
              </w:rPr>
              <w:t xml:space="preserve"> </w:t>
            </w:r>
            <w:r>
              <w:rPr>
                <w:b/>
                <w:sz w:val="24"/>
              </w:rPr>
              <w:t>Quality</w:t>
            </w:r>
            <w:r>
              <w:rPr>
                <w:b/>
                <w:spacing w:val="-5"/>
                <w:sz w:val="24"/>
              </w:rPr>
              <w:t xml:space="preserve"> </w:t>
            </w:r>
            <w:r>
              <w:rPr>
                <w:b/>
                <w:sz w:val="24"/>
              </w:rPr>
              <w:t>Control</w:t>
            </w:r>
            <w:r>
              <w:rPr>
                <w:b/>
                <w:spacing w:val="-5"/>
                <w:sz w:val="24"/>
              </w:rPr>
              <w:t xml:space="preserve"> </w:t>
            </w:r>
            <w:r>
              <w:rPr>
                <w:b/>
                <w:sz w:val="24"/>
              </w:rPr>
              <w:t>Review</w:t>
            </w:r>
            <w:r>
              <w:rPr>
                <w:b/>
                <w:spacing w:val="-3"/>
                <w:sz w:val="24"/>
              </w:rPr>
              <w:t xml:space="preserve"> </w:t>
            </w:r>
            <w:r>
              <w:rPr>
                <w:b/>
                <w:sz w:val="24"/>
              </w:rPr>
              <w:t>(Second</w:t>
            </w:r>
            <w:r>
              <w:rPr>
                <w:b/>
                <w:spacing w:val="-4"/>
                <w:sz w:val="24"/>
              </w:rPr>
              <w:t xml:space="preserve"> </w:t>
            </w:r>
            <w:r>
              <w:rPr>
                <w:b/>
                <w:spacing w:val="-2"/>
                <w:sz w:val="24"/>
              </w:rPr>
              <w:t>Partner)</w:t>
            </w:r>
          </w:p>
        </w:tc>
      </w:tr>
      <w:tr w:rsidR="00046465" w14:paraId="0DFDD456" w14:textId="77777777">
        <w:trPr>
          <w:trHeight w:val="10456"/>
        </w:trPr>
        <w:tc>
          <w:tcPr>
            <w:tcW w:w="9337" w:type="dxa"/>
            <w:tcBorders>
              <w:top w:val="double" w:sz="2" w:space="0" w:color="000000"/>
              <w:left w:val="double" w:sz="2" w:space="0" w:color="000000"/>
              <w:bottom w:val="double" w:sz="2" w:space="0" w:color="000000"/>
              <w:right w:val="double" w:sz="2" w:space="0" w:color="000000"/>
            </w:tcBorders>
          </w:tcPr>
          <w:p w14:paraId="0DFDD446" w14:textId="77777777" w:rsidR="00046465" w:rsidRDefault="008134EB">
            <w:pPr>
              <w:pStyle w:val="TableParagraph"/>
              <w:spacing w:before="119"/>
              <w:ind w:left="121" w:right="159" w:hanging="1"/>
            </w:pPr>
            <w:r>
              <w:rPr>
                <w:b/>
              </w:rPr>
              <w:t>Objective:</w:t>
            </w:r>
            <w:r>
              <w:rPr>
                <w:b/>
                <w:spacing w:val="-4"/>
              </w:rPr>
              <w:t xml:space="preserve"> </w:t>
            </w:r>
            <w:r>
              <w:t>To</w:t>
            </w:r>
            <w:r>
              <w:rPr>
                <w:spacing w:val="-4"/>
              </w:rPr>
              <w:t xml:space="preserve"> </w:t>
            </w:r>
            <w:r>
              <w:t>evaluate</w:t>
            </w:r>
            <w:r>
              <w:rPr>
                <w:spacing w:val="-5"/>
              </w:rPr>
              <w:t xml:space="preserve"> </w:t>
            </w:r>
            <w:r>
              <w:t>the</w:t>
            </w:r>
            <w:r>
              <w:rPr>
                <w:spacing w:val="-4"/>
              </w:rPr>
              <w:t xml:space="preserve"> </w:t>
            </w:r>
            <w:r>
              <w:t>engagement</w:t>
            </w:r>
            <w:r>
              <w:rPr>
                <w:spacing w:val="-4"/>
              </w:rPr>
              <w:t xml:space="preserve"> </w:t>
            </w:r>
            <w:r>
              <w:t>team’s</w:t>
            </w:r>
            <w:r>
              <w:rPr>
                <w:spacing w:val="-4"/>
              </w:rPr>
              <w:t xml:space="preserve"> </w:t>
            </w:r>
            <w:r>
              <w:t>judgments</w:t>
            </w:r>
            <w:r>
              <w:rPr>
                <w:spacing w:val="-4"/>
              </w:rPr>
              <w:t xml:space="preserve"> </w:t>
            </w:r>
            <w:r>
              <w:t>and</w:t>
            </w:r>
            <w:r>
              <w:rPr>
                <w:spacing w:val="-4"/>
              </w:rPr>
              <w:t xml:space="preserve"> </w:t>
            </w:r>
            <w:r>
              <w:t>the</w:t>
            </w:r>
            <w:r>
              <w:rPr>
                <w:spacing w:val="-4"/>
              </w:rPr>
              <w:t xml:space="preserve"> </w:t>
            </w:r>
            <w:r>
              <w:t>conclusions</w:t>
            </w:r>
            <w:r>
              <w:rPr>
                <w:spacing w:val="-4"/>
              </w:rPr>
              <w:t xml:space="preserve"> </w:t>
            </w:r>
            <w:r>
              <w:t>reached</w:t>
            </w:r>
            <w:r>
              <w:rPr>
                <w:spacing w:val="-4"/>
              </w:rPr>
              <w:t xml:space="preserve"> </w:t>
            </w:r>
            <w:r>
              <w:t>in formulating the auditor’s report objectively.</w:t>
            </w:r>
          </w:p>
          <w:p w14:paraId="0DFDD447" w14:textId="77777777" w:rsidR="00046465" w:rsidRDefault="008134EB">
            <w:pPr>
              <w:pStyle w:val="TableParagraph"/>
              <w:spacing w:before="241"/>
              <w:ind w:left="121" w:right="159"/>
            </w:pPr>
            <w:r>
              <w:rPr>
                <w:b/>
              </w:rPr>
              <w:t>Procedures:</w:t>
            </w:r>
            <w:r>
              <w:rPr>
                <w:b/>
                <w:spacing w:val="-4"/>
              </w:rPr>
              <w:t xml:space="preserve"> </w:t>
            </w:r>
            <w:r>
              <w:t>My</w:t>
            </w:r>
            <w:r>
              <w:rPr>
                <w:spacing w:val="-4"/>
              </w:rPr>
              <w:t xml:space="preserve"> </w:t>
            </w:r>
            <w:r>
              <w:t>evaluation,</w:t>
            </w:r>
            <w:r>
              <w:rPr>
                <w:spacing w:val="-4"/>
              </w:rPr>
              <w:t xml:space="preserve"> </w:t>
            </w:r>
            <w:r>
              <w:t>including</w:t>
            </w:r>
            <w:r>
              <w:rPr>
                <w:spacing w:val="-4"/>
              </w:rPr>
              <w:t xml:space="preserve"> </w:t>
            </w:r>
            <w:r>
              <w:t>that</w:t>
            </w:r>
            <w:r>
              <w:rPr>
                <w:spacing w:val="-4"/>
              </w:rPr>
              <w:t xml:space="preserve"> </w:t>
            </w:r>
            <w:r>
              <w:t>required</w:t>
            </w:r>
            <w:r>
              <w:rPr>
                <w:spacing w:val="-4"/>
              </w:rPr>
              <w:t xml:space="preserve"> </w:t>
            </w:r>
            <w:r>
              <w:t>for</w:t>
            </w:r>
            <w:r>
              <w:rPr>
                <w:spacing w:val="-4"/>
              </w:rPr>
              <w:t xml:space="preserve"> </w:t>
            </w:r>
            <w:r>
              <w:t>documenting</w:t>
            </w:r>
            <w:r>
              <w:rPr>
                <w:spacing w:val="-4"/>
              </w:rPr>
              <w:t xml:space="preserve"> </w:t>
            </w:r>
            <w:r>
              <w:t>the</w:t>
            </w:r>
            <w:r>
              <w:rPr>
                <w:spacing w:val="-4"/>
              </w:rPr>
              <w:t xml:space="preserve"> </w:t>
            </w:r>
            <w:r>
              <w:t>engagement</w:t>
            </w:r>
            <w:r>
              <w:rPr>
                <w:spacing w:val="-4"/>
              </w:rPr>
              <w:t xml:space="preserve"> </w:t>
            </w:r>
            <w:r>
              <w:t>quality control review, involved the following:</w:t>
            </w:r>
          </w:p>
          <w:p w14:paraId="0DFDD448" w14:textId="77777777" w:rsidR="00046465" w:rsidRDefault="008134EB">
            <w:pPr>
              <w:pStyle w:val="TableParagraph"/>
              <w:numPr>
                <w:ilvl w:val="0"/>
                <w:numId w:val="29"/>
              </w:numPr>
              <w:tabs>
                <w:tab w:val="left" w:pos="781"/>
              </w:tabs>
              <w:spacing w:before="239"/>
              <w:ind w:right="421"/>
            </w:pPr>
            <w:r>
              <w:t>Discussing</w:t>
            </w:r>
            <w:r>
              <w:rPr>
                <w:spacing w:val="-5"/>
              </w:rPr>
              <w:t xml:space="preserve"> </w:t>
            </w:r>
            <w:r>
              <w:t>significant</w:t>
            </w:r>
            <w:r>
              <w:rPr>
                <w:spacing w:val="-4"/>
              </w:rPr>
              <w:t xml:space="preserve"> </w:t>
            </w:r>
            <w:r>
              <w:t>auditing,</w:t>
            </w:r>
            <w:r>
              <w:rPr>
                <w:spacing w:val="-4"/>
              </w:rPr>
              <w:t xml:space="preserve"> </w:t>
            </w:r>
            <w:r>
              <w:t>accounting,</w:t>
            </w:r>
            <w:r>
              <w:rPr>
                <w:spacing w:val="-4"/>
              </w:rPr>
              <w:t xml:space="preserve"> </w:t>
            </w:r>
            <w:r>
              <w:t>and</w:t>
            </w:r>
            <w:r>
              <w:rPr>
                <w:spacing w:val="-5"/>
              </w:rPr>
              <w:t xml:space="preserve"> </w:t>
            </w:r>
            <w:r>
              <w:t>reporting</w:t>
            </w:r>
            <w:r>
              <w:rPr>
                <w:spacing w:val="-4"/>
              </w:rPr>
              <w:t xml:space="preserve"> </w:t>
            </w:r>
            <w:r>
              <w:t>findings</w:t>
            </w:r>
            <w:r>
              <w:rPr>
                <w:spacing w:val="-4"/>
              </w:rPr>
              <w:t xml:space="preserve"> </w:t>
            </w:r>
            <w:r>
              <w:t>or</w:t>
            </w:r>
            <w:r>
              <w:rPr>
                <w:spacing w:val="-4"/>
              </w:rPr>
              <w:t xml:space="preserve"> </w:t>
            </w:r>
            <w:r>
              <w:t>issues</w:t>
            </w:r>
            <w:r>
              <w:rPr>
                <w:spacing w:val="-4"/>
              </w:rPr>
              <w:t xml:space="preserve"> </w:t>
            </w:r>
            <w:r>
              <w:t>with</w:t>
            </w:r>
            <w:r>
              <w:rPr>
                <w:spacing w:val="-4"/>
              </w:rPr>
              <w:t xml:space="preserve"> </w:t>
            </w:r>
            <w:r>
              <w:t>the audit director (first/engagement partner).</w:t>
            </w:r>
          </w:p>
          <w:p w14:paraId="0DFDD449" w14:textId="77777777" w:rsidR="00046465" w:rsidRDefault="008134EB">
            <w:pPr>
              <w:pStyle w:val="TableParagraph"/>
              <w:numPr>
                <w:ilvl w:val="0"/>
                <w:numId w:val="29"/>
              </w:numPr>
              <w:tabs>
                <w:tab w:val="left" w:pos="781"/>
              </w:tabs>
              <w:spacing w:before="241"/>
              <w:ind w:right="286"/>
            </w:pPr>
            <w:r>
              <w:t>Reading</w:t>
            </w:r>
            <w:r>
              <w:rPr>
                <w:spacing w:val="-4"/>
              </w:rPr>
              <w:t xml:space="preserve"> </w:t>
            </w:r>
            <w:r>
              <w:t>the</w:t>
            </w:r>
            <w:r>
              <w:rPr>
                <w:spacing w:val="-4"/>
              </w:rPr>
              <w:t xml:space="preserve"> </w:t>
            </w:r>
            <w:r>
              <w:t>financial</w:t>
            </w:r>
            <w:r>
              <w:rPr>
                <w:spacing w:val="-5"/>
              </w:rPr>
              <w:t xml:space="preserve"> </w:t>
            </w:r>
            <w:r>
              <w:t>report,</w:t>
            </w:r>
            <w:r>
              <w:rPr>
                <w:spacing w:val="-4"/>
              </w:rPr>
              <w:t xml:space="preserve"> </w:t>
            </w:r>
            <w:r>
              <w:t>including</w:t>
            </w:r>
            <w:r>
              <w:rPr>
                <w:spacing w:val="-4"/>
              </w:rPr>
              <w:t xml:space="preserve"> </w:t>
            </w:r>
            <w:r>
              <w:t>the</w:t>
            </w:r>
            <w:r>
              <w:rPr>
                <w:spacing w:val="-4"/>
              </w:rPr>
              <w:t xml:space="preserve"> </w:t>
            </w:r>
            <w:r>
              <w:t>financial</w:t>
            </w:r>
            <w:r>
              <w:rPr>
                <w:spacing w:val="-4"/>
              </w:rPr>
              <w:t xml:space="preserve"> </w:t>
            </w:r>
            <w:r>
              <w:t>statements,</w:t>
            </w:r>
            <w:r>
              <w:rPr>
                <w:spacing w:val="-4"/>
              </w:rPr>
              <w:t xml:space="preserve"> </w:t>
            </w:r>
            <w:r>
              <w:t>notes,</w:t>
            </w:r>
            <w:r>
              <w:rPr>
                <w:spacing w:val="-5"/>
              </w:rPr>
              <w:t xml:space="preserve"> </w:t>
            </w:r>
            <w:r>
              <w:t>RSI,</w:t>
            </w:r>
            <w:r>
              <w:rPr>
                <w:spacing w:val="-4"/>
              </w:rPr>
              <w:t xml:space="preserve"> </w:t>
            </w:r>
            <w:r>
              <w:t>and</w:t>
            </w:r>
            <w:r>
              <w:rPr>
                <w:spacing w:val="-4"/>
              </w:rPr>
              <w:t xml:space="preserve"> </w:t>
            </w:r>
            <w:r>
              <w:t>other information and the proposed audit report.</w:t>
            </w:r>
          </w:p>
          <w:p w14:paraId="0DFDD44A" w14:textId="77777777" w:rsidR="00046465" w:rsidRDefault="008134EB">
            <w:pPr>
              <w:pStyle w:val="TableParagraph"/>
              <w:numPr>
                <w:ilvl w:val="0"/>
                <w:numId w:val="29"/>
              </w:numPr>
              <w:tabs>
                <w:tab w:val="left" w:pos="781"/>
              </w:tabs>
              <w:spacing w:before="240"/>
              <w:ind w:right="355"/>
            </w:pPr>
            <w:r>
              <w:t>Reviewing selected documentation relating to the significant judgments and key decisions</w:t>
            </w:r>
            <w:r>
              <w:rPr>
                <w:spacing w:val="-4"/>
              </w:rPr>
              <w:t xml:space="preserve"> </w:t>
            </w:r>
            <w:r>
              <w:t>of</w:t>
            </w:r>
            <w:r>
              <w:rPr>
                <w:spacing w:val="-4"/>
              </w:rPr>
              <w:t xml:space="preserve"> </w:t>
            </w:r>
            <w:r>
              <w:t>the</w:t>
            </w:r>
            <w:r>
              <w:rPr>
                <w:spacing w:val="-4"/>
              </w:rPr>
              <w:t xml:space="preserve"> </w:t>
            </w:r>
            <w:r>
              <w:t>engagement</w:t>
            </w:r>
            <w:r>
              <w:rPr>
                <w:spacing w:val="-4"/>
              </w:rPr>
              <w:t xml:space="preserve"> </w:t>
            </w:r>
            <w:r>
              <w:t>team</w:t>
            </w:r>
            <w:r>
              <w:rPr>
                <w:spacing w:val="-4"/>
              </w:rPr>
              <w:t xml:space="preserve"> </w:t>
            </w:r>
            <w:r>
              <w:t>and</w:t>
            </w:r>
            <w:r>
              <w:rPr>
                <w:spacing w:val="-4"/>
              </w:rPr>
              <w:t xml:space="preserve"> </w:t>
            </w:r>
            <w:r>
              <w:t>the</w:t>
            </w:r>
            <w:r>
              <w:rPr>
                <w:spacing w:val="-4"/>
              </w:rPr>
              <w:t xml:space="preserve"> </w:t>
            </w:r>
            <w:r>
              <w:t>related</w:t>
            </w:r>
            <w:r>
              <w:rPr>
                <w:spacing w:val="-4"/>
              </w:rPr>
              <w:t xml:space="preserve"> </w:t>
            </w:r>
            <w:r>
              <w:t>conclusions</w:t>
            </w:r>
            <w:r>
              <w:rPr>
                <w:spacing w:val="-4"/>
              </w:rPr>
              <w:t xml:space="preserve"> </w:t>
            </w:r>
            <w:r>
              <w:t>it</w:t>
            </w:r>
            <w:r>
              <w:rPr>
                <w:spacing w:val="-4"/>
              </w:rPr>
              <w:t xml:space="preserve"> </w:t>
            </w:r>
            <w:r>
              <w:t>reached,</w:t>
            </w:r>
            <w:r>
              <w:rPr>
                <w:spacing w:val="-4"/>
              </w:rPr>
              <w:t xml:space="preserve"> </w:t>
            </w:r>
            <w:r>
              <w:t>including, as appropriate, reviewing selected documentation consisting of</w:t>
            </w:r>
          </w:p>
          <w:p w14:paraId="0DFDD44B" w14:textId="77777777" w:rsidR="00046465" w:rsidRDefault="008134EB">
            <w:pPr>
              <w:pStyle w:val="TableParagraph"/>
              <w:numPr>
                <w:ilvl w:val="1"/>
                <w:numId w:val="29"/>
              </w:numPr>
              <w:tabs>
                <w:tab w:val="left" w:pos="1140"/>
              </w:tabs>
              <w:spacing w:before="240"/>
              <w:ind w:right="290"/>
            </w:pPr>
            <w:r>
              <w:t>the audit summary memorandum, which contains the conclusions reached in formulating</w:t>
            </w:r>
            <w:r>
              <w:rPr>
                <w:spacing w:val="-4"/>
              </w:rPr>
              <w:t xml:space="preserve"> </w:t>
            </w:r>
            <w:r>
              <w:t>the</w:t>
            </w:r>
            <w:r>
              <w:rPr>
                <w:spacing w:val="-4"/>
              </w:rPr>
              <w:t xml:space="preserve"> </w:t>
            </w:r>
            <w:r>
              <w:t>auditor’s</w:t>
            </w:r>
            <w:r>
              <w:rPr>
                <w:spacing w:val="-5"/>
              </w:rPr>
              <w:t xml:space="preserve"> </w:t>
            </w:r>
            <w:r>
              <w:t>report</w:t>
            </w:r>
            <w:r>
              <w:rPr>
                <w:spacing w:val="-4"/>
              </w:rPr>
              <w:t xml:space="preserve"> </w:t>
            </w:r>
            <w:r>
              <w:t>and</w:t>
            </w:r>
            <w:r>
              <w:rPr>
                <w:spacing w:val="-4"/>
              </w:rPr>
              <w:t xml:space="preserve"> </w:t>
            </w:r>
            <w:r>
              <w:t>other</w:t>
            </w:r>
            <w:r>
              <w:rPr>
                <w:spacing w:val="-4"/>
              </w:rPr>
              <w:t xml:space="preserve"> </w:t>
            </w:r>
            <w:r>
              <w:t>selected</w:t>
            </w:r>
            <w:r>
              <w:rPr>
                <w:spacing w:val="-4"/>
              </w:rPr>
              <w:t xml:space="preserve"> </w:t>
            </w:r>
            <w:r>
              <w:t>documentation</w:t>
            </w:r>
            <w:r>
              <w:rPr>
                <w:spacing w:val="-4"/>
              </w:rPr>
              <w:t xml:space="preserve"> </w:t>
            </w:r>
            <w:r>
              <w:t>as</w:t>
            </w:r>
            <w:r>
              <w:rPr>
                <w:spacing w:val="-4"/>
              </w:rPr>
              <w:t xml:space="preserve"> </w:t>
            </w:r>
            <w:r>
              <w:t>appropriate;</w:t>
            </w:r>
          </w:p>
          <w:p w14:paraId="0DFDD44C" w14:textId="77777777" w:rsidR="00046465" w:rsidRDefault="008134EB">
            <w:pPr>
              <w:pStyle w:val="TableParagraph"/>
              <w:numPr>
                <w:ilvl w:val="1"/>
                <w:numId w:val="29"/>
              </w:numPr>
              <w:tabs>
                <w:tab w:val="left" w:pos="1140"/>
              </w:tabs>
              <w:spacing w:before="240"/>
              <w:ind w:hanging="359"/>
            </w:pPr>
            <w:r>
              <w:t>the</w:t>
            </w:r>
            <w:r>
              <w:rPr>
                <w:spacing w:val="-10"/>
              </w:rPr>
              <w:t xml:space="preserve"> </w:t>
            </w:r>
            <w:r>
              <w:t>summary</w:t>
            </w:r>
            <w:r>
              <w:rPr>
                <w:spacing w:val="-9"/>
              </w:rPr>
              <w:t xml:space="preserve"> </w:t>
            </w:r>
            <w:r>
              <w:t>of</w:t>
            </w:r>
            <w:r>
              <w:rPr>
                <w:spacing w:val="-9"/>
              </w:rPr>
              <w:t xml:space="preserve"> </w:t>
            </w:r>
            <w:r>
              <w:t>uncorrected</w:t>
            </w:r>
            <w:r>
              <w:rPr>
                <w:spacing w:val="-9"/>
              </w:rPr>
              <w:t xml:space="preserve"> </w:t>
            </w:r>
            <w:r>
              <w:t>misstatements;</w:t>
            </w:r>
            <w:r>
              <w:rPr>
                <w:spacing w:val="-9"/>
              </w:rPr>
              <w:t xml:space="preserve"> </w:t>
            </w:r>
            <w:r>
              <w:rPr>
                <w:spacing w:val="-5"/>
              </w:rPr>
              <w:t>and</w:t>
            </w:r>
          </w:p>
          <w:p w14:paraId="0DFDD44D" w14:textId="77777777" w:rsidR="00046465" w:rsidRDefault="008134EB">
            <w:pPr>
              <w:pStyle w:val="TableParagraph"/>
              <w:numPr>
                <w:ilvl w:val="1"/>
                <w:numId w:val="29"/>
              </w:numPr>
              <w:tabs>
                <w:tab w:val="left" w:pos="1140"/>
              </w:tabs>
              <w:spacing w:before="239"/>
              <w:ind w:right="414"/>
            </w:pPr>
            <w:r>
              <w:t>consultations</w:t>
            </w:r>
            <w:r>
              <w:rPr>
                <w:spacing w:val="-6"/>
              </w:rPr>
              <w:t xml:space="preserve"> </w:t>
            </w:r>
            <w:r>
              <w:t>with</w:t>
            </w:r>
            <w:r>
              <w:rPr>
                <w:spacing w:val="-6"/>
              </w:rPr>
              <w:t xml:space="preserve"> </w:t>
            </w:r>
            <w:r>
              <w:t>audit</w:t>
            </w:r>
            <w:r>
              <w:rPr>
                <w:spacing w:val="-7"/>
              </w:rPr>
              <w:t xml:space="preserve"> </w:t>
            </w:r>
            <w:r>
              <w:t>sampling</w:t>
            </w:r>
            <w:r>
              <w:rPr>
                <w:spacing w:val="-6"/>
              </w:rPr>
              <w:t xml:space="preserve"> </w:t>
            </w:r>
            <w:r>
              <w:t>specialists,</w:t>
            </w:r>
            <w:r>
              <w:rPr>
                <w:spacing w:val="-6"/>
              </w:rPr>
              <w:t xml:space="preserve"> </w:t>
            </w:r>
            <w:r>
              <w:t>information</w:t>
            </w:r>
            <w:r>
              <w:rPr>
                <w:spacing w:val="-6"/>
              </w:rPr>
              <w:t xml:space="preserve"> </w:t>
            </w:r>
            <w:r>
              <w:t>technology</w:t>
            </w:r>
            <w:r>
              <w:rPr>
                <w:spacing w:val="-6"/>
              </w:rPr>
              <w:t xml:space="preserve"> </w:t>
            </w:r>
            <w:r>
              <w:t>specialists, and others.</w:t>
            </w:r>
          </w:p>
          <w:p w14:paraId="0DFDD44E" w14:textId="77777777" w:rsidR="00046465" w:rsidRDefault="008134EB">
            <w:pPr>
              <w:pStyle w:val="TableParagraph"/>
              <w:numPr>
                <w:ilvl w:val="0"/>
                <w:numId w:val="29"/>
              </w:numPr>
              <w:tabs>
                <w:tab w:val="left" w:pos="780"/>
              </w:tabs>
              <w:spacing w:before="240"/>
              <w:ind w:left="780" w:right="1042"/>
            </w:pPr>
            <w:r>
              <w:t>Confirming</w:t>
            </w:r>
            <w:r>
              <w:rPr>
                <w:spacing w:val="-4"/>
              </w:rPr>
              <w:t xml:space="preserve"> </w:t>
            </w:r>
            <w:r>
              <w:t>with</w:t>
            </w:r>
            <w:r>
              <w:rPr>
                <w:spacing w:val="-4"/>
              </w:rPr>
              <w:t xml:space="preserve"> </w:t>
            </w:r>
            <w:r>
              <w:t>the</w:t>
            </w:r>
            <w:r>
              <w:rPr>
                <w:spacing w:val="-4"/>
              </w:rPr>
              <w:t xml:space="preserve"> </w:t>
            </w:r>
            <w:r>
              <w:t>audit</w:t>
            </w:r>
            <w:r>
              <w:rPr>
                <w:spacing w:val="-4"/>
              </w:rPr>
              <w:t xml:space="preserve"> </w:t>
            </w:r>
            <w:r>
              <w:t>director</w:t>
            </w:r>
            <w:r>
              <w:rPr>
                <w:spacing w:val="-4"/>
              </w:rPr>
              <w:t xml:space="preserve"> </w:t>
            </w:r>
            <w:r>
              <w:t>(first/engagement</w:t>
            </w:r>
            <w:r>
              <w:rPr>
                <w:spacing w:val="-4"/>
              </w:rPr>
              <w:t xml:space="preserve"> </w:t>
            </w:r>
            <w:r>
              <w:t>partner)</w:t>
            </w:r>
            <w:r>
              <w:rPr>
                <w:spacing w:val="-4"/>
              </w:rPr>
              <w:t xml:space="preserve"> </w:t>
            </w:r>
            <w:r>
              <w:t>that</w:t>
            </w:r>
            <w:r>
              <w:rPr>
                <w:spacing w:val="-4"/>
              </w:rPr>
              <w:t xml:space="preserve"> </w:t>
            </w:r>
            <w:r>
              <w:t>there</w:t>
            </w:r>
            <w:r>
              <w:rPr>
                <w:spacing w:val="-4"/>
              </w:rPr>
              <w:t xml:space="preserve"> </w:t>
            </w:r>
            <w:r>
              <w:t>are</w:t>
            </w:r>
            <w:r>
              <w:rPr>
                <w:spacing w:val="-4"/>
              </w:rPr>
              <w:t xml:space="preserve"> </w:t>
            </w:r>
            <w:r>
              <w:t>no unresolved issues.</w:t>
            </w:r>
          </w:p>
          <w:p w14:paraId="0DFDD44F" w14:textId="77777777" w:rsidR="00046465" w:rsidRDefault="008134EB">
            <w:pPr>
              <w:pStyle w:val="TableParagraph"/>
              <w:spacing w:before="241"/>
              <w:ind w:left="120" w:right="159"/>
            </w:pPr>
            <w:r>
              <w:rPr>
                <w:b/>
              </w:rPr>
              <w:t>Conclusion:</w:t>
            </w:r>
            <w:r>
              <w:rPr>
                <w:b/>
                <w:spacing w:val="-1"/>
              </w:rPr>
              <w:t xml:space="preserve"> </w:t>
            </w:r>
            <w:r>
              <w:t>Based</w:t>
            </w:r>
            <w:r>
              <w:rPr>
                <w:spacing w:val="-1"/>
              </w:rPr>
              <w:t xml:space="preserve"> </w:t>
            </w:r>
            <w:r>
              <w:t>on</w:t>
            </w:r>
            <w:r>
              <w:rPr>
                <w:spacing w:val="-1"/>
              </w:rPr>
              <w:t xml:space="preserve"> </w:t>
            </w:r>
            <w:r>
              <w:t>all</w:t>
            </w:r>
            <w:r>
              <w:rPr>
                <w:spacing w:val="-1"/>
              </w:rPr>
              <w:t xml:space="preserve"> </w:t>
            </w:r>
            <w:r>
              <w:t>the</w:t>
            </w:r>
            <w:r>
              <w:rPr>
                <w:spacing w:val="-1"/>
              </w:rPr>
              <w:t xml:space="preserve"> </w:t>
            </w:r>
            <w:r>
              <w:t>relevant</w:t>
            </w:r>
            <w:r>
              <w:rPr>
                <w:spacing w:val="-1"/>
              </w:rPr>
              <w:t xml:space="preserve"> </w:t>
            </w:r>
            <w:r>
              <w:t>facts</w:t>
            </w:r>
            <w:r>
              <w:rPr>
                <w:spacing w:val="-1"/>
              </w:rPr>
              <w:t xml:space="preserve"> </w:t>
            </w:r>
            <w:r>
              <w:t>of</w:t>
            </w:r>
            <w:r>
              <w:rPr>
                <w:spacing w:val="-2"/>
              </w:rPr>
              <w:t xml:space="preserve"> </w:t>
            </w:r>
            <w:r>
              <w:t>which</w:t>
            </w:r>
            <w:r>
              <w:rPr>
                <w:spacing w:val="-1"/>
              </w:rPr>
              <w:t xml:space="preserve"> </w:t>
            </w:r>
            <w:r>
              <w:t>I</w:t>
            </w:r>
            <w:r>
              <w:rPr>
                <w:spacing w:val="-1"/>
              </w:rPr>
              <w:t xml:space="preserve"> </w:t>
            </w:r>
            <w:r>
              <w:t>have</w:t>
            </w:r>
            <w:r>
              <w:rPr>
                <w:spacing w:val="-2"/>
              </w:rPr>
              <w:t xml:space="preserve"> </w:t>
            </w:r>
            <w:r>
              <w:t>knowledge,</w:t>
            </w:r>
            <w:r>
              <w:rPr>
                <w:spacing w:val="-2"/>
              </w:rPr>
              <w:t xml:space="preserve"> </w:t>
            </w:r>
            <w:r>
              <w:t>I</w:t>
            </w:r>
            <w:r>
              <w:rPr>
                <w:spacing w:val="-1"/>
              </w:rPr>
              <w:t xml:space="preserve"> </w:t>
            </w:r>
            <w:r>
              <w:t>found</w:t>
            </w:r>
            <w:r>
              <w:rPr>
                <w:spacing w:val="-1"/>
              </w:rPr>
              <w:t xml:space="preserve"> </w:t>
            </w:r>
            <w:r>
              <w:t>no</w:t>
            </w:r>
            <w:r>
              <w:rPr>
                <w:spacing w:val="-2"/>
              </w:rPr>
              <w:t xml:space="preserve"> </w:t>
            </w:r>
            <w:r>
              <w:t>matters, other</w:t>
            </w:r>
            <w:r>
              <w:rPr>
                <w:spacing w:val="-6"/>
              </w:rPr>
              <w:t xml:space="preserve"> </w:t>
            </w:r>
            <w:r>
              <w:t>than</w:t>
            </w:r>
            <w:r>
              <w:rPr>
                <w:spacing w:val="-5"/>
              </w:rPr>
              <w:t xml:space="preserve"> </w:t>
            </w:r>
            <w:r>
              <w:t>those</w:t>
            </w:r>
            <w:r>
              <w:rPr>
                <w:spacing w:val="-5"/>
              </w:rPr>
              <w:t xml:space="preserve"> </w:t>
            </w:r>
            <w:r>
              <w:t>that</w:t>
            </w:r>
            <w:r>
              <w:rPr>
                <w:spacing w:val="-6"/>
              </w:rPr>
              <w:t xml:space="preserve"> </w:t>
            </w:r>
            <w:r>
              <w:t>may</w:t>
            </w:r>
            <w:r>
              <w:rPr>
                <w:spacing w:val="-5"/>
              </w:rPr>
              <w:t xml:space="preserve"> </w:t>
            </w:r>
            <w:r>
              <w:t>be</w:t>
            </w:r>
            <w:r>
              <w:rPr>
                <w:spacing w:val="-5"/>
              </w:rPr>
              <w:t xml:space="preserve"> </w:t>
            </w:r>
            <w:r>
              <w:t>discussed</w:t>
            </w:r>
            <w:r>
              <w:rPr>
                <w:spacing w:val="-5"/>
              </w:rPr>
              <w:t xml:space="preserve"> </w:t>
            </w:r>
            <w:r>
              <w:t>in</w:t>
            </w:r>
            <w:r>
              <w:rPr>
                <w:spacing w:val="-6"/>
              </w:rPr>
              <w:t xml:space="preserve"> </w:t>
            </w:r>
            <w:r>
              <w:t>the</w:t>
            </w:r>
            <w:r>
              <w:rPr>
                <w:spacing w:val="-5"/>
              </w:rPr>
              <w:t xml:space="preserve"> </w:t>
            </w:r>
            <w:r>
              <w:t>auditor’s</w:t>
            </w:r>
            <w:r>
              <w:rPr>
                <w:spacing w:val="-5"/>
              </w:rPr>
              <w:t xml:space="preserve"> </w:t>
            </w:r>
            <w:r>
              <w:t>report,</w:t>
            </w:r>
            <w:r>
              <w:rPr>
                <w:spacing w:val="-6"/>
              </w:rPr>
              <w:t xml:space="preserve"> </w:t>
            </w:r>
            <w:r>
              <w:t>that</w:t>
            </w:r>
            <w:r>
              <w:rPr>
                <w:spacing w:val="-5"/>
              </w:rPr>
              <w:t xml:space="preserve"> </w:t>
            </w:r>
            <w:r>
              <w:t>cause</w:t>
            </w:r>
            <w:r>
              <w:rPr>
                <w:spacing w:val="-5"/>
              </w:rPr>
              <w:t xml:space="preserve"> </w:t>
            </w:r>
            <w:r>
              <w:t>me</w:t>
            </w:r>
            <w:r>
              <w:rPr>
                <w:spacing w:val="-5"/>
              </w:rPr>
              <w:t xml:space="preserve"> </w:t>
            </w:r>
            <w:r>
              <w:t>to</w:t>
            </w:r>
            <w:r>
              <w:rPr>
                <w:spacing w:val="-6"/>
              </w:rPr>
              <w:t xml:space="preserve"> </w:t>
            </w:r>
            <w:r>
              <w:t>believe</w:t>
            </w:r>
            <w:r>
              <w:rPr>
                <w:spacing w:val="-5"/>
              </w:rPr>
              <w:t xml:space="preserve"> </w:t>
            </w:r>
            <w:r>
              <w:rPr>
                <w:spacing w:val="-4"/>
              </w:rPr>
              <w:t>that</w:t>
            </w:r>
          </w:p>
          <w:p w14:paraId="0DFDD450" w14:textId="77777777" w:rsidR="00046465" w:rsidRDefault="008134EB">
            <w:pPr>
              <w:pStyle w:val="TableParagraph"/>
              <w:ind w:left="120" w:right="159"/>
            </w:pPr>
            <w:r>
              <w:t>(1) the audit was not performed in accordance with GAGAS; (2) the financial statements are not, in all material respects, in conformity with U.S. GAAP; and (3) the report is not in accordance</w:t>
            </w:r>
            <w:r>
              <w:rPr>
                <w:spacing w:val="-4"/>
              </w:rPr>
              <w:t xml:space="preserve"> </w:t>
            </w:r>
            <w:r>
              <w:t>with</w:t>
            </w:r>
            <w:r>
              <w:rPr>
                <w:spacing w:val="-3"/>
              </w:rPr>
              <w:t xml:space="preserve"> </w:t>
            </w:r>
            <w:r>
              <w:t>professional</w:t>
            </w:r>
            <w:r>
              <w:rPr>
                <w:spacing w:val="-3"/>
              </w:rPr>
              <w:t xml:space="preserve"> </w:t>
            </w:r>
            <w:r>
              <w:t>standards</w:t>
            </w:r>
            <w:r>
              <w:rPr>
                <w:spacing w:val="-3"/>
              </w:rPr>
              <w:t xml:space="preserve"> </w:t>
            </w:r>
            <w:r>
              <w:t>and</w:t>
            </w:r>
            <w:r>
              <w:rPr>
                <w:spacing w:val="-3"/>
              </w:rPr>
              <w:t xml:space="preserve"> </w:t>
            </w:r>
            <w:r>
              <w:t>the</w:t>
            </w:r>
            <w:r>
              <w:rPr>
                <w:spacing w:val="-3"/>
              </w:rPr>
              <w:t xml:space="preserve"> </w:t>
            </w:r>
            <w:r>
              <w:t>auditor’s</w:t>
            </w:r>
            <w:r>
              <w:rPr>
                <w:spacing w:val="-3"/>
              </w:rPr>
              <w:t xml:space="preserve"> </w:t>
            </w:r>
            <w:r>
              <w:t>policies.</w:t>
            </w:r>
            <w:r>
              <w:rPr>
                <w:spacing w:val="-3"/>
              </w:rPr>
              <w:t xml:space="preserve"> </w:t>
            </w:r>
            <w:r>
              <w:t>Also,</w:t>
            </w:r>
            <w:r>
              <w:rPr>
                <w:spacing w:val="-3"/>
              </w:rPr>
              <w:t xml:space="preserve"> </w:t>
            </w:r>
            <w:r>
              <w:t>I</w:t>
            </w:r>
            <w:r>
              <w:rPr>
                <w:spacing w:val="-3"/>
              </w:rPr>
              <w:t xml:space="preserve"> </w:t>
            </w:r>
            <w:r>
              <w:t>am</w:t>
            </w:r>
            <w:r>
              <w:rPr>
                <w:spacing w:val="-4"/>
              </w:rPr>
              <w:t xml:space="preserve"> </w:t>
            </w:r>
            <w:r>
              <w:t>unaware</w:t>
            </w:r>
            <w:r>
              <w:rPr>
                <w:spacing w:val="-2"/>
              </w:rPr>
              <w:t xml:space="preserve"> </w:t>
            </w:r>
            <w:r>
              <w:t>of</w:t>
            </w:r>
            <w:r>
              <w:rPr>
                <w:spacing w:val="-3"/>
              </w:rPr>
              <w:t xml:space="preserve"> </w:t>
            </w:r>
            <w:r>
              <w:t>any unresolved matters that cause me to believe that the significant judgments of the engagement team and the conclusions it reached were not appropriate.</w:t>
            </w:r>
          </w:p>
          <w:p w14:paraId="0DFDD451" w14:textId="77777777" w:rsidR="00046465" w:rsidRDefault="008134EB">
            <w:pPr>
              <w:pStyle w:val="TableParagraph"/>
              <w:spacing w:before="239"/>
              <w:ind w:left="120" w:right="159"/>
            </w:pPr>
            <w:r>
              <w:t>In</w:t>
            </w:r>
            <w:r>
              <w:rPr>
                <w:spacing w:val="-3"/>
              </w:rPr>
              <w:t xml:space="preserve"> </w:t>
            </w:r>
            <w:r>
              <w:t>signing</w:t>
            </w:r>
            <w:r>
              <w:rPr>
                <w:spacing w:val="-3"/>
              </w:rPr>
              <w:t xml:space="preserve"> </w:t>
            </w:r>
            <w:r>
              <w:t>this</w:t>
            </w:r>
            <w:r>
              <w:rPr>
                <w:spacing w:val="-3"/>
              </w:rPr>
              <w:t xml:space="preserve"> </w:t>
            </w:r>
            <w:r>
              <w:t>form,</w:t>
            </w:r>
            <w:r>
              <w:rPr>
                <w:spacing w:val="-3"/>
              </w:rPr>
              <w:t xml:space="preserve"> </w:t>
            </w:r>
            <w:r>
              <w:t>I</w:t>
            </w:r>
            <w:r>
              <w:rPr>
                <w:spacing w:val="-3"/>
              </w:rPr>
              <w:t xml:space="preserve"> </w:t>
            </w:r>
            <w:r>
              <w:t>acknowledge</w:t>
            </w:r>
            <w:r>
              <w:rPr>
                <w:spacing w:val="-3"/>
              </w:rPr>
              <w:t xml:space="preserve"> </w:t>
            </w:r>
            <w:r>
              <w:t>that</w:t>
            </w:r>
            <w:r>
              <w:rPr>
                <w:spacing w:val="-3"/>
              </w:rPr>
              <w:t xml:space="preserve"> </w:t>
            </w:r>
            <w:r>
              <w:t>there</w:t>
            </w:r>
            <w:r>
              <w:rPr>
                <w:spacing w:val="-3"/>
              </w:rPr>
              <w:t xml:space="preserve"> </w:t>
            </w:r>
            <w:r>
              <w:t>have</w:t>
            </w:r>
            <w:r>
              <w:rPr>
                <w:spacing w:val="-3"/>
              </w:rPr>
              <w:t xml:space="preserve"> </w:t>
            </w:r>
            <w:r>
              <w:t>been</w:t>
            </w:r>
            <w:r>
              <w:rPr>
                <w:spacing w:val="-3"/>
              </w:rPr>
              <w:t xml:space="preserve"> </w:t>
            </w:r>
            <w:r>
              <w:t>no</w:t>
            </w:r>
            <w:r>
              <w:rPr>
                <w:spacing w:val="-4"/>
              </w:rPr>
              <w:t xml:space="preserve"> </w:t>
            </w:r>
            <w:r>
              <w:t>personal</w:t>
            </w:r>
            <w:r>
              <w:rPr>
                <w:spacing w:val="-3"/>
              </w:rPr>
              <w:t xml:space="preserve"> </w:t>
            </w:r>
            <w:r>
              <w:t>or</w:t>
            </w:r>
            <w:r>
              <w:rPr>
                <w:spacing w:val="-5"/>
              </w:rPr>
              <w:t xml:space="preserve"> </w:t>
            </w:r>
            <w:r>
              <w:t>external</w:t>
            </w:r>
            <w:r>
              <w:rPr>
                <w:spacing w:val="-3"/>
              </w:rPr>
              <w:t xml:space="preserve"> </w:t>
            </w:r>
            <w:r>
              <w:t>impairments to independence regarding my work on this engagement.</w:t>
            </w:r>
          </w:p>
          <w:p w14:paraId="0DFDD452" w14:textId="77777777" w:rsidR="00046465" w:rsidRDefault="00046465">
            <w:pPr>
              <w:pStyle w:val="TableParagraph"/>
              <w:rPr>
                <w:b/>
                <w:sz w:val="20"/>
              </w:rPr>
            </w:pPr>
          </w:p>
          <w:p w14:paraId="0DFDD453" w14:textId="77777777" w:rsidR="00046465" w:rsidRDefault="00046465" w:rsidP="008134EB">
            <w:pPr>
              <w:pStyle w:val="TableParagraph"/>
              <w:spacing w:before="23" w:after="1"/>
              <w:ind w:firstLine="720"/>
              <w:rPr>
                <w:b/>
                <w:sz w:val="20"/>
              </w:rPr>
            </w:pPr>
          </w:p>
          <w:p w14:paraId="0DFDD454" w14:textId="77777777" w:rsidR="00046465" w:rsidRDefault="008134EB">
            <w:pPr>
              <w:pStyle w:val="TableParagraph"/>
              <w:spacing w:line="20" w:lineRule="exact"/>
              <w:ind w:left="120"/>
              <w:rPr>
                <w:sz w:val="2"/>
              </w:rPr>
            </w:pPr>
            <w:r>
              <w:rPr>
                <w:noProof/>
                <w:sz w:val="2"/>
              </w:rPr>
              <mc:AlternateContent>
                <mc:Choice Requires="wpg">
                  <w:drawing>
                    <wp:inline distT="0" distB="0" distL="0" distR="0" wp14:anchorId="0DFDD779" wp14:editId="0DFDD77A">
                      <wp:extent cx="5748020" cy="8890"/>
                      <wp:effectExtent l="9525" t="0" r="0" b="635"/>
                      <wp:docPr id="1167" name="Group 1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48020" cy="8890"/>
                                <a:chOff x="0" y="0"/>
                                <a:chExt cx="5748020" cy="8890"/>
                              </a:xfrm>
                            </wpg:grpSpPr>
                            <wps:wsp>
                              <wps:cNvPr id="1168" name="Graphic 1168"/>
                              <wps:cNvSpPr/>
                              <wps:spPr>
                                <a:xfrm>
                                  <a:off x="0" y="4392"/>
                                  <a:ext cx="5748020" cy="1270"/>
                                </a:xfrm>
                                <a:custGeom>
                                  <a:avLst/>
                                  <a:gdLst/>
                                  <a:ahLst/>
                                  <a:cxnLst/>
                                  <a:rect l="l" t="t" r="r" b="b"/>
                                  <a:pathLst>
                                    <a:path w="5748020">
                                      <a:moveTo>
                                        <a:pt x="0" y="0"/>
                                      </a:moveTo>
                                      <a:lnTo>
                                        <a:pt x="5747685" y="0"/>
                                      </a:lnTo>
                                    </a:path>
                                  </a:pathLst>
                                </a:custGeom>
                                <a:ln w="878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C7AFE02" id="Group 1167" o:spid="_x0000_s1026" style="width:452.6pt;height:.7pt;mso-position-horizontal-relative:char;mso-position-vertical-relative:line" coordsize="5748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">
                      <v:shape id="Graphic 1168" o:spid="_x0000_s1027" style="position:absolute;top:43;width:57480;height:13;visibility:visible;mso-wrap-style:square;v-text-anchor:top" coordsize="5748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" path="m,l5747685,e" filled="f" strokeweight=".24403mm">
                        <v:path arrowok="t"/>
                      </v:shape>
                      <w10:anchorlock/>
                    </v:group>
                  </w:pict>
                </mc:Fallback>
              </mc:AlternateContent>
            </w:r>
          </w:p>
          <w:p w14:paraId="0DFDD455" w14:textId="77777777" w:rsidR="00046465" w:rsidRDefault="008134EB">
            <w:pPr>
              <w:pStyle w:val="TableParagraph"/>
              <w:tabs>
                <w:tab w:val="left" w:pos="6161"/>
                <w:tab w:val="left" w:pos="8328"/>
              </w:tabs>
              <w:spacing w:before="230"/>
              <w:ind w:left="120"/>
            </w:pPr>
            <w:r>
              <w:t>Engagement</w:t>
            </w:r>
            <w:r>
              <w:rPr>
                <w:spacing w:val="-8"/>
              </w:rPr>
              <w:t xml:space="preserve"> </w:t>
            </w:r>
            <w:r>
              <w:t>quality</w:t>
            </w:r>
            <w:r>
              <w:rPr>
                <w:spacing w:val="-9"/>
              </w:rPr>
              <w:t xml:space="preserve"> </w:t>
            </w:r>
            <w:r>
              <w:t>control</w:t>
            </w:r>
            <w:r>
              <w:rPr>
                <w:spacing w:val="-8"/>
              </w:rPr>
              <w:t xml:space="preserve"> </w:t>
            </w:r>
            <w:r>
              <w:t>reviewer</w:t>
            </w:r>
            <w:r>
              <w:rPr>
                <w:spacing w:val="-9"/>
              </w:rPr>
              <w:t xml:space="preserve"> </w:t>
            </w:r>
            <w:r>
              <w:t>name</w:t>
            </w:r>
            <w:r>
              <w:rPr>
                <w:spacing w:val="-8"/>
              </w:rPr>
              <w:t xml:space="preserve"> </w:t>
            </w:r>
            <w:r>
              <w:t>and</w:t>
            </w:r>
            <w:r>
              <w:rPr>
                <w:spacing w:val="-7"/>
              </w:rPr>
              <w:t xml:space="preserve"> </w:t>
            </w:r>
            <w:r>
              <w:rPr>
                <w:spacing w:val="-2"/>
              </w:rPr>
              <w:t>title</w:t>
            </w:r>
            <w:r>
              <w:tab/>
            </w:r>
            <w:r>
              <w:rPr>
                <w:spacing w:val="-2"/>
              </w:rPr>
              <w:t>Signature</w:t>
            </w:r>
            <w:r>
              <w:tab/>
            </w:r>
            <w:r>
              <w:rPr>
                <w:spacing w:val="-4"/>
              </w:rPr>
              <w:t>Date</w:t>
            </w:r>
          </w:p>
        </w:tc>
      </w:tr>
    </w:tbl>
    <w:p w14:paraId="0DFDD457" w14:textId="77777777" w:rsidR="00046465" w:rsidRDefault="00046465">
      <w:pPr>
        <w:pStyle w:val="TableParagraph"/>
        <w:sectPr w:rsidR="00046465">
          <w:pgSz w:w="12240" w:h="15840"/>
          <w:pgMar w:top="1340" w:right="720" w:bottom="940" w:left="360" w:header="721" w:footer="757" w:gutter="0"/>
          <w:cols w:space="720"/>
        </w:sectPr>
      </w:pPr>
    </w:p>
    <w:p w14:paraId="0DFDD458" w14:textId="77777777" w:rsidR="00046465" w:rsidRDefault="008134EB">
      <w:pPr>
        <w:pStyle w:val="Heading3"/>
        <w:spacing w:before="361"/>
        <w:ind w:left="1080"/>
        <w:rPr>
          <w:u w:val="none"/>
        </w:rPr>
      </w:pPr>
      <w:bookmarkStart w:id="424" w:name="1005_–_Subsequent_Events_Review"/>
      <w:bookmarkStart w:id="425" w:name="_bookmark236"/>
      <w:bookmarkEnd w:id="424"/>
      <w:bookmarkEnd w:id="425"/>
      <w:r>
        <w:lastRenderedPageBreak/>
        <w:t>1005</w:t>
      </w:r>
      <w:r>
        <w:rPr>
          <w:spacing w:val="-4"/>
        </w:rPr>
        <w:t xml:space="preserve"> </w:t>
      </w:r>
      <w:r>
        <w:t>–</w:t>
      </w:r>
      <w:r>
        <w:rPr>
          <w:spacing w:val="-5"/>
        </w:rPr>
        <w:t xml:space="preserve"> </w:t>
      </w:r>
      <w:r>
        <w:t>Subsequent</w:t>
      </w:r>
      <w:r>
        <w:rPr>
          <w:spacing w:val="-5"/>
        </w:rPr>
        <w:t xml:space="preserve"> </w:t>
      </w:r>
      <w:r>
        <w:t>Events</w:t>
      </w:r>
      <w:r>
        <w:rPr>
          <w:spacing w:val="-3"/>
        </w:rPr>
        <w:t xml:space="preserve"> </w:t>
      </w:r>
      <w:r>
        <w:rPr>
          <w:spacing w:val="-2"/>
        </w:rPr>
        <w:t>Review</w:t>
      </w:r>
    </w:p>
    <w:p w14:paraId="0DFDD459" w14:textId="77777777" w:rsidR="00046465" w:rsidRDefault="008134EB">
      <w:pPr>
        <w:pStyle w:val="ListParagraph"/>
        <w:numPr>
          <w:ilvl w:val="0"/>
          <w:numId w:val="28"/>
        </w:numPr>
        <w:tabs>
          <w:tab w:val="left" w:pos="2520"/>
        </w:tabs>
        <w:spacing w:before="239"/>
        <w:ind w:right="736"/>
      </w:pPr>
      <w:r>
        <w:t xml:space="preserve">This section discusses the subsequent events review that the auditor </w:t>
      </w:r>
      <w:r>
        <w:rPr>
          <w:b/>
        </w:rPr>
        <w:t xml:space="preserve">should </w:t>
      </w:r>
      <w:r>
        <w:t xml:space="preserve">perform as part of the audit, as described in FAM 550. AU-C 560, </w:t>
      </w:r>
      <w:r>
        <w:rPr>
          <w:i/>
        </w:rPr>
        <w:t>Subsequent Events</w:t>
      </w:r>
      <w:r>
        <w:rPr>
          <w:i/>
          <w:spacing w:val="-5"/>
        </w:rPr>
        <w:t xml:space="preserve"> </w:t>
      </w:r>
      <w:r>
        <w:rPr>
          <w:i/>
        </w:rPr>
        <w:t>and</w:t>
      </w:r>
      <w:r>
        <w:rPr>
          <w:i/>
          <w:spacing w:val="-5"/>
        </w:rPr>
        <w:t xml:space="preserve"> </w:t>
      </w:r>
      <w:r>
        <w:rPr>
          <w:i/>
        </w:rPr>
        <w:t>Subsequently</w:t>
      </w:r>
      <w:r>
        <w:rPr>
          <w:i/>
          <w:spacing w:val="-5"/>
        </w:rPr>
        <w:t xml:space="preserve"> </w:t>
      </w:r>
      <w:r>
        <w:rPr>
          <w:i/>
        </w:rPr>
        <w:t>Discovered</w:t>
      </w:r>
      <w:r>
        <w:rPr>
          <w:i/>
          <w:spacing w:val="-5"/>
        </w:rPr>
        <w:t xml:space="preserve"> </w:t>
      </w:r>
      <w:r>
        <w:rPr>
          <w:i/>
        </w:rPr>
        <w:t>Facts,</w:t>
      </w:r>
      <w:r>
        <w:rPr>
          <w:i/>
          <w:spacing w:val="-4"/>
        </w:rPr>
        <w:t xml:space="preserve"> </w:t>
      </w:r>
      <w:r>
        <w:t>describes</w:t>
      </w:r>
      <w:r>
        <w:rPr>
          <w:spacing w:val="-5"/>
        </w:rPr>
        <w:t xml:space="preserve"> </w:t>
      </w:r>
      <w:r>
        <w:t>and</w:t>
      </w:r>
      <w:r>
        <w:rPr>
          <w:spacing w:val="-5"/>
        </w:rPr>
        <w:t xml:space="preserve"> </w:t>
      </w:r>
      <w:r>
        <w:t>provides</w:t>
      </w:r>
      <w:r>
        <w:rPr>
          <w:spacing w:val="-5"/>
        </w:rPr>
        <w:t xml:space="preserve"> </w:t>
      </w:r>
      <w:r>
        <w:t>guidance</w:t>
      </w:r>
      <w:r>
        <w:rPr>
          <w:spacing w:val="-5"/>
        </w:rPr>
        <w:t xml:space="preserve"> </w:t>
      </w:r>
      <w:r>
        <w:t>on the types of subsequent events that the auditor should evaluate as well as the procedures</w:t>
      </w:r>
      <w:r>
        <w:rPr>
          <w:spacing w:val="-4"/>
        </w:rPr>
        <w:t xml:space="preserve"> </w:t>
      </w:r>
      <w:r>
        <w:t>that</w:t>
      </w:r>
      <w:r>
        <w:rPr>
          <w:spacing w:val="-4"/>
        </w:rPr>
        <w:t xml:space="preserve"> </w:t>
      </w:r>
      <w:r>
        <w:t>the</w:t>
      </w:r>
      <w:r>
        <w:rPr>
          <w:spacing w:val="-4"/>
        </w:rPr>
        <w:t xml:space="preserve"> </w:t>
      </w:r>
      <w:r>
        <w:t>auditor</w:t>
      </w:r>
      <w:r>
        <w:rPr>
          <w:spacing w:val="-4"/>
        </w:rPr>
        <w:t xml:space="preserve"> </w:t>
      </w:r>
      <w:r>
        <w:t>should</w:t>
      </w:r>
      <w:r>
        <w:rPr>
          <w:spacing w:val="-4"/>
        </w:rPr>
        <w:t xml:space="preserve"> </w:t>
      </w:r>
      <w:r>
        <w:t>perform</w:t>
      </w:r>
      <w:r>
        <w:rPr>
          <w:spacing w:val="-5"/>
        </w:rPr>
        <w:t xml:space="preserve"> </w:t>
      </w:r>
      <w:r>
        <w:t>to</w:t>
      </w:r>
      <w:r>
        <w:rPr>
          <w:spacing w:val="-4"/>
        </w:rPr>
        <w:t xml:space="preserve"> </w:t>
      </w:r>
      <w:r>
        <w:t>discover</w:t>
      </w:r>
      <w:r>
        <w:rPr>
          <w:spacing w:val="-4"/>
        </w:rPr>
        <w:t xml:space="preserve"> </w:t>
      </w:r>
      <w:r>
        <w:t>whether</w:t>
      </w:r>
      <w:r>
        <w:rPr>
          <w:spacing w:val="-4"/>
        </w:rPr>
        <w:t xml:space="preserve"> </w:t>
      </w:r>
      <w:r>
        <w:t>such</w:t>
      </w:r>
      <w:r>
        <w:rPr>
          <w:spacing w:val="-4"/>
        </w:rPr>
        <w:t xml:space="preserve"> </w:t>
      </w:r>
      <w:r>
        <w:t>events</w:t>
      </w:r>
      <w:r>
        <w:rPr>
          <w:spacing w:val="-4"/>
        </w:rPr>
        <w:t xml:space="preserve"> </w:t>
      </w:r>
      <w:r>
        <w:t>have occurred. The auditor should perform audit procedures designed to obtain sufficient appropriate audit evidence that all subsequent events that require adjustment</w:t>
      </w:r>
      <w:r>
        <w:rPr>
          <w:spacing w:val="-3"/>
        </w:rPr>
        <w:t xml:space="preserve"> </w:t>
      </w:r>
      <w:r>
        <w:t>of,</w:t>
      </w:r>
      <w:r>
        <w:rPr>
          <w:spacing w:val="-3"/>
        </w:rPr>
        <w:t xml:space="preserve"> </w:t>
      </w:r>
      <w:r>
        <w:t>or</w:t>
      </w:r>
      <w:r>
        <w:rPr>
          <w:spacing w:val="-3"/>
        </w:rPr>
        <w:t xml:space="preserve"> </w:t>
      </w:r>
      <w:r>
        <w:t>disclosure</w:t>
      </w:r>
      <w:r>
        <w:rPr>
          <w:spacing w:val="-3"/>
        </w:rPr>
        <w:t xml:space="preserve"> </w:t>
      </w:r>
      <w:r>
        <w:t>in,</w:t>
      </w:r>
      <w:r>
        <w:rPr>
          <w:spacing w:val="-3"/>
        </w:rPr>
        <w:t xml:space="preserve"> </w:t>
      </w:r>
      <w:r>
        <w:t>the</w:t>
      </w:r>
      <w:r>
        <w:rPr>
          <w:spacing w:val="-3"/>
        </w:rPr>
        <w:t xml:space="preserve"> </w:t>
      </w:r>
      <w:r>
        <w:t>financial</w:t>
      </w:r>
      <w:r>
        <w:rPr>
          <w:spacing w:val="-4"/>
        </w:rPr>
        <w:t xml:space="preserve"> </w:t>
      </w:r>
      <w:r>
        <w:t>statements</w:t>
      </w:r>
      <w:r>
        <w:rPr>
          <w:spacing w:val="-3"/>
        </w:rPr>
        <w:t xml:space="preserve"> </w:t>
      </w:r>
      <w:r>
        <w:t>have</w:t>
      </w:r>
      <w:r>
        <w:rPr>
          <w:spacing w:val="-3"/>
        </w:rPr>
        <w:t xml:space="preserve"> </w:t>
      </w:r>
      <w:r>
        <w:t>been</w:t>
      </w:r>
      <w:r>
        <w:rPr>
          <w:spacing w:val="-3"/>
        </w:rPr>
        <w:t xml:space="preserve"> </w:t>
      </w:r>
      <w:r>
        <w:t>identified.</w:t>
      </w:r>
      <w:r>
        <w:rPr>
          <w:spacing w:val="-3"/>
        </w:rPr>
        <w:t xml:space="preserve"> </w:t>
      </w:r>
      <w:r>
        <w:t>The auditor is not, however, expected to perform additional audit procedures on matters to which previously applied audit procedures have provided satisfactory conclusions (AU-C 560.09).</w:t>
      </w:r>
    </w:p>
    <w:p w14:paraId="0DFDD45A" w14:textId="77777777" w:rsidR="00046465" w:rsidRDefault="008134EB">
      <w:pPr>
        <w:pStyle w:val="ListParagraph"/>
        <w:numPr>
          <w:ilvl w:val="0"/>
          <w:numId w:val="28"/>
        </w:numPr>
        <w:tabs>
          <w:tab w:val="left" w:pos="2520"/>
        </w:tabs>
        <w:ind w:right="860"/>
      </w:pPr>
      <w:r>
        <w:t>Subsequent events are those events or transactions that affect the financial statements,</w:t>
      </w:r>
      <w:r>
        <w:rPr>
          <w:spacing w:val="-3"/>
        </w:rPr>
        <w:t xml:space="preserve"> </w:t>
      </w:r>
      <w:r>
        <w:t>notes,</w:t>
      </w:r>
      <w:r>
        <w:rPr>
          <w:spacing w:val="-3"/>
        </w:rPr>
        <w:t xml:space="preserve"> </w:t>
      </w:r>
      <w:r>
        <w:t>or</w:t>
      </w:r>
      <w:r>
        <w:rPr>
          <w:spacing w:val="-3"/>
        </w:rPr>
        <w:t xml:space="preserve"> </w:t>
      </w:r>
      <w:r>
        <w:t>RSI</w:t>
      </w:r>
      <w:r>
        <w:rPr>
          <w:spacing w:val="-3"/>
        </w:rPr>
        <w:t xml:space="preserve"> </w:t>
      </w:r>
      <w:r>
        <w:t>that</w:t>
      </w:r>
      <w:r>
        <w:rPr>
          <w:spacing w:val="-3"/>
        </w:rPr>
        <w:t xml:space="preserve"> </w:t>
      </w:r>
      <w:r>
        <w:t>may</w:t>
      </w:r>
      <w:r>
        <w:rPr>
          <w:spacing w:val="-3"/>
        </w:rPr>
        <w:t xml:space="preserve"> </w:t>
      </w:r>
      <w:r>
        <w:t>occur</w:t>
      </w:r>
      <w:r>
        <w:rPr>
          <w:spacing w:val="-3"/>
        </w:rPr>
        <w:t xml:space="preserve"> </w:t>
      </w:r>
      <w:r>
        <w:t>or</w:t>
      </w:r>
      <w:r>
        <w:rPr>
          <w:spacing w:val="-3"/>
        </w:rPr>
        <w:t xml:space="preserve"> </w:t>
      </w:r>
      <w:r>
        <w:t>become</w:t>
      </w:r>
      <w:r>
        <w:rPr>
          <w:spacing w:val="-3"/>
        </w:rPr>
        <w:t xml:space="preserve"> </w:t>
      </w:r>
      <w:r>
        <w:t>known</w:t>
      </w:r>
      <w:r>
        <w:rPr>
          <w:spacing w:val="-3"/>
        </w:rPr>
        <w:t xml:space="preserve"> </w:t>
      </w:r>
      <w:r>
        <w:t>between</w:t>
      </w:r>
      <w:r>
        <w:rPr>
          <w:spacing w:val="-3"/>
        </w:rPr>
        <w:t xml:space="preserve"> </w:t>
      </w:r>
      <w:r>
        <w:t>the</w:t>
      </w:r>
      <w:r>
        <w:rPr>
          <w:spacing w:val="-3"/>
        </w:rPr>
        <w:t xml:space="preserve"> </w:t>
      </w:r>
      <w:r>
        <w:t>date</w:t>
      </w:r>
      <w:r>
        <w:rPr>
          <w:spacing w:val="-3"/>
        </w:rPr>
        <w:t xml:space="preserve"> </w:t>
      </w:r>
      <w:r>
        <w:t>of the financial statements and the date of the auditor’s report.</w:t>
      </w:r>
    </w:p>
    <w:p w14:paraId="0DFDD45B" w14:textId="77777777" w:rsidR="00046465" w:rsidRDefault="008134EB">
      <w:pPr>
        <w:pStyle w:val="ListParagraph"/>
        <w:numPr>
          <w:ilvl w:val="0"/>
          <w:numId w:val="28"/>
        </w:numPr>
        <w:tabs>
          <w:tab w:val="left" w:pos="2519"/>
        </w:tabs>
        <w:spacing w:before="121"/>
        <w:ind w:left="2519" w:hanging="720"/>
      </w:pPr>
      <w:r>
        <w:t>Two</w:t>
      </w:r>
      <w:r>
        <w:rPr>
          <w:spacing w:val="-7"/>
        </w:rPr>
        <w:t xml:space="preserve"> </w:t>
      </w:r>
      <w:r>
        <w:t>types</w:t>
      </w:r>
      <w:r>
        <w:rPr>
          <w:spacing w:val="-6"/>
        </w:rPr>
        <w:t xml:space="preserve"> </w:t>
      </w:r>
      <w:r>
        <w:t>of</w:t>
      </w:r>
      <w:r>
        <w:rPr>
          <w:spacing w:val="-6"/>
        </w:rPr>
        <w:t xml:space="preserve"> </w:t>
      </w:r>
      <w:r>
        <w:t>subsequent</w:t>
      </w:r>
      <w:r>
        <w:rPr>
          <w:spacing w:val="-6"/>
        </w:rPr>
        <w:t xml:space="preserve"> </w:t>
      </w:r>
      <w:r>
        <w:t>events</w:t>
      </w:r>
      <w:r>
        <w:rPr>
          <w:spacing w:val="-7"/>
        </w:rPr>
        <w:t xml:space="preserve"> </w:t>
      </w:r>
      <w:r>
        <w:t>may</w:t>
      </w:r>
      <w:r>
        <w:rPr>
          <w:spacing w:val="-6"/>
        </w:rPr>
        <w:t xml:space="preserve"> </w:t>
      </w:r>
      <w:r>
        <w:rPr>
          <w:spacing w:val="-2"/>
        </w:rPr>
        <w:t>occur:</w:t>
      </w:r>
    </w:p>
    <w:p w14:paraId="0DFDD45C" w14:textId="77777777" w:rsidR="00046465" w:rsidRDefault="008134EB">
      <w:pPr>
        <w:pStyle w:val="ListParagraph"/>
        <w:numPr>
          <w:ilvl w:val="1"/>
          <w:numId w:val="28"/>
        </w:numPr>
        <w:tabs>
          <w:tab w:val="left" w:pos="2879"/>
        </w:tabs>
        <w:ind w:left="2879" w:right="768"/>
      </w:pPr>
      <w:r>
        <w:rPr>
          <w:b/>
        </w:rPr>
        <w:t xml:space="preserve">Recognized events: </w:t>
      </w:r>
      <w:r>
        <w:t>Subsequent events that provide additional evidence with respect to conditions that existed at the date of the financial statements and affect the estimates inherent in the process of preparing the financial statements, notes, and RSI. For example, a subsequent event may reveal that</w:t>
      </w:r>
      <w:r>
        <w:rPr>
          <w:spacing w:val="-2"/>
        </w:rPr>
        <w:t xml:space="preserve"> </w:t>
      </w:r>
      <w:r>
        <w:t>an</w:t>
      </w:r>
      <w:r>
        <w:rPr>
          <w:spacing w:val="-2"/>
        </w:rPr>
        <w:t xml:space="preserve"> </w:t>
      </w:r>
      <w:r>
        <w:t>accounting</w:t>
      </w:r>
      <w:r>
        <w:rPr>
          <w:spacing w:val="-2"/>
        </w:rPr>
        <w:t xml:space="preserve"> </w:t>
      </w:r>
      <w:r>
        <w:t>estimate</w:t>
      </w:r>
      <w:r>
        <w:rPr>
          <w:spacing w:val="-2"/>
        </w:rPr>
        <w:t xml:space="preserve"> </w:t>
      </w:r>
      <w:r>
        <w:t>is</w:t>
      </w:r>
      <w:r>
        <w:rPr>
          <w:spacing w:val="-2"/>
        </w:rPr>
        <w:t xml:space="preserve"> </w:t>
      </w:r>
      <w:r>
        <w:t>materially</w:t>
      </w:r>
      <w:r>
        <w:rPr>
          <w:spacing w:val="-2"/>
        </w:rPr>
        <w:t xml:space="preserve"> </w:t>
      </w:r>
      <w:r>
        <w:t>incorrect</w:t>
      </w:r>
      <w:r>
        <w:rPr>
          <w:spacing w:val="-2"/>
        </w:rPr>
        <w:t xml:space="preserve"> </w:t>
      </w:r>
      <w:r>
        <w:t>and</w:t>
      </w:r>
      <w:r>
        <w:rPr>
          <w:spacing w:val="-2"/>
        </w:rPr>
        <w:t xml:space="preserve"> </w:t>
      </w:r>
      <w:r>
        <w:t>that</w:t>
      </w:r>
      <w:r>
        <w:rPr>
          <w:spacing w:val="-2"/>
        </w:rPr>
        <w:t xml:space="preserve"> </w:t>
      </w:r>
      <w:r>
        <w:t>the</w:t>
      </w:r>
      <w:r>
        <w:rPr>
          <w:spacing w:val="-2"/>
        </w:rPr>
        <w:t xml:space="preserve"> </w:t>
      </w:r>
      <w:r>
        <w:t>auditor</w:t>
      </w:r>
      <w:r>
        <w:rPr>
          <w:spacing w:val="-2"/>
        </w:rPr>
        <w:t xml:space="preserve"> </w:t>
      </w:r>
      <w:r>
        <w:t>should ask</w:t>
      </w:r>
      <w:r>
        <w:rPr>
          <w:spacing w:val="-3"/>
        </w:rPr>
        <w:t xml:space="preserve"> </w:t>
      </w:r>
      <w:r>
        <w:t>management</w:t>
      </w:r>
      <w:r>
        <w:rPr>
          <w:spacing w:val="-3"/>
        </w:rPr>
        <w:t xml:space="preserve"> </w:t>
      </w:r>
      <w:r>
        <w:t>to</w:t>
      </w:r>
      <w:r>
        <w:rPr>
          <w:spacing w:val="-3"/>
        </w:rPr>
        <w:t xml:space="preserve"> </w:t>
      </w:r>
      <w:r>
        <w:t>adjust</w:t>
      </w:r>
      <w:r>
        <w:rPr>
          <w:spacing w:val="-3"/>
        </w:rPr>
        <w:t xml:space="preserve"> </w:t>
      </w:r>
      <w:r>
        <w:t>the</w:t>
      </w:r>
      <w:r>
        <w:rPr>
          <w:spacing w:val="-3"/>
        </w:rPr>
        <w:t xml:space="preserve"> </w:t>
      </w:r>
      <w:r>
        <w:t>financial</w:t>
      </w:r>
      <w:r>
        <w:rPr>
          <w:spacing w:val="-3"/>
        </w:rPr>
        <w:t xml:space="preserve"> </w:t>
      </w:r>
      <w:r>
        <w:t>statements</w:t>
      </w:r>
      <w:r>
        <w:rPr>
          <w:spacing w:val="-3"/>
        </w:rPr>
        <w:t xml:space="preserve"> </w:t>
      </w:r>
      <w:r>
        <w:t>for</w:t>
      </w:r>
      <w:r>
        <w:rPr>
          <w:spacing w:val="-3"/>
        </w:rPr>
        <w:t xml:space="preserve"> </w:t>
      </w:r>
      <w:r>
        <w:t>the</w:t>
      </w:r>
      <w:r>
        <w:rPr>
          <w:spacing w:val="-3"/>
        </w:rPr>
        <w:t xml:space="preserve"> </w:t>
      </w:r>
      <w:r>
        <w:t>effect</w:t>
      </w:r>
      <w:r>
        <w:rPr>
          <w:spacing w:val="-3"/>
        </w:rPr>
        <w:t xml:space="preserve"> </w:t>
      </w:r>
      <w:r>
        <w:t>of</w:t>
      </w:r>
      <w:r>
        <w:rPr>
          <w:spacing w:val="-3"/>
        </w:rPr>
        <w:t xml:space="preserve"> </w:t>
      </w:r>
      <w:r>
        <w:t>the</w:t>
      </w:r>
      <w:r>
        <w:rPr>
          <w:spacing w:val="-3"/>
        </w:rPr>
        <w:t xml:space="preserve"> </w:t>
      </w:r>
      <w:r>
        <w:t>event.</w:t>
      </w:r>
    </w:p>
    <w:p w14:paraId="0DFDD45D" w14:textId="77777777" w:rsidR="00046465" w:rsidRDefault="008134EB">
      <w:pPr>
        <w:pStyle w:val="ListParagraph"/>
        <w:numPr>
          <w:ilvl w:val="1"/>
          <w:numId w:val="28"/>
        </w:numPr>
        <w:tabs>
          <w:tab w:val="left" w:pos="2879"/>
        </w:tabs>
        <w:spacing w:before="118"/>
        <w:ind w:left="2879" w:right="819"/>
      </w:pPr>
      <w:r>
        <w:rPr>
          <w:b/>
        </w:rPr>
        <w:t xml:space="preserve">Nonrecognized events: </w:t>
      </w:r>
      <w:r>
        <w:t>Subsequent events that provide evidence with respect to conditions that did not exist at the date of the financial statements but</w:t>
      </w:r>
      <w:r>
        <w:rPr>
          <w:spacing w:val="-3"/>
        </w:rPr>
        <w:t xml:space="preserve"> </w:t>
      </w:r>
      <w:r>
        <w:t>arose</w:t>
      </w:r>
      <w:r>
        <w:rPr>
          <w:spacing w:val="-3"/>
        </w:rPr>
        <w:t xml:space="preserve"> </w:t>
      </w:r>
      <w:r>
        <w:t>subsequent</w:t>
      </w:r>
      <w:r>
        <w:rPr>
          <w:spacing w:val="-3"/>
        </w:rPr>
        <w:t xml:space="preserve"> </w:t>
      </w:r>
      <w:r>
        <w:t>to</w:t>
      </w:r>
      <w:r>
        <w:rPr>
          <w:spacing w:val="-4"/>
        </w:rPr>
        <w:t xml:space="preserve"> </w:t>
      </w:r>
      <w:r>
        <w:t>that</w:t>
      </w:r>
      <w:r>
        <w:rPr>
          <w:spacing w:val="-3"/>
        </w:rPr>
        <w:t xml:space="preserve"> </w:t>
      </w:r>
      <w:r>
        <w:t>date.</w:t>
      </w:r>
      <w:r>
        <w:rPr>
          <w:spacing w:val="-3"/>
        </w:rPr>
        <w:t xml:space="preserve"> </w:t>
      </w:r>
      <w:r>
        <w:t>For</w:t>
      </w:r>
      <w:r>
        <w:rPr>
          <w:spacing w:val="-3"/>
        </w:rPr>
        <w:t xml:space="preserve"> </w:t>
      </w:r>
      <w:r>
        <w:t>example,</w:t>
      </w:r>
      <w:r>
        <w:rPr>
          <w:spacing w:val="-3"/>
        </w:rPr>
        <w:t xml:space="preserve"> </w:t>
      </w:r>
      <w:r>
        <w:t>a</w:t>
      </w:r>
      <w:r>
        <w:rPr>
          <w:spacing w:val="-3"/>
        </w:rPr>
        <w:t xml:space="preserve"> </w:t>
      </w:r>
      <w:r>
        <w:t>fire</w:t>
      </w:r>
      <w:r>
        <w:rPr>
          <w:spacing w:val="-3"/>
        </w:rPr>
        <w:t xml:space="preserve"> </w:t>
      </w:r>
      <w:r>
        <w:t>or</w:t>
      </w:r>
      <w:r>
        <w:rPr>
          <w:spacing w:val="-3"/>
        </w:rPr>
        <w:t xml:space="preserve"> </w:t>
      </w:r>
      <w:r>
        <w:t>flood</w:t>
      </w:r>
      <w:r>
        <w:rPr>
          <w:spacing w:val="-3"/>
        </w:rPr>
        <w:t xml:space="preserve"> </w:t>
      </w:r>
      <w:r>
        <w:t>after</w:t>
      </w:r>
      <w:r>
        <w:rPr>
          <w:spacing w:val="-3"/>
        </w:rPr>
        <w:t xml:space="preserve"> </w:t>
      </w:r>
      <w:r>
        <w:t>year-end may cause a significant loss (SFFAS 39).</w:t>
      </w:r>
    </w:p>
    <w:p w14:paraId="0DFDD45E" w14:textId="77777777" w:rsidR="00046465" w:rsidRDefault="008134EB">
      <w:pPr>
        <w:pStyle w:val="ListParagraph"/>
        <w:numPr>
          <w:ilvl w:val="0"/>
          <w:numId w:val="28"/>
        </w:numPr>
        <w:tabs>
          <w:tab w:val="left" w:pos="2520"/>
        </w:tabs>
        <w:spacing w:before="119"/>
        <w:ind w:right="981"/>
      </w:pPr>
      <w:r>
        <w:t>The purpose of a subsequent events review is to determine whether all subsequent</w:t>
      </w:r>
      <w:r>
        <w:rPr>
          <w:spacing w:val="-4"/>
        </w:rPr>
        <w:t xml:space="preserve"> </w:t>
      </w:r>
      <w:r>
        <w:t>events</w:t>
      </w:r>
      <w:r>
        <w:rPr>
          <w:spacing w:val="-4"/>
        </w:rPr>
        <w:t xml:space="preserve"> </w:t>
      </w:r>
      <w:r>
        <w:t>that</w:t>
      </w:r>
      <w:r>
        <w:rPr>
          <w:spacing w:val="-4"/>
        </w:rPr>
        <w:t xml:space="preserve"> </w:t>
      </w:r>
      <w:r>
        <w:t>have</w:t>
      </w:r>
      <w:r>
        <w:rPr>
          <w:spacing w:val="-4"/>
        </w:rPr>
        <w:t xml:space="preserve"> </w:t>
      </w:r>
      <w:r>
        <w:t>a</w:t>
      </w:r>
      <w:r>
        <w:rPr>
          <w:spacing w:val="-4"/>
        </w:rPr>
        <w:t xml:space="preserve"> </w:t>
      </w:r>
      <w:r>
        <w:t>material</w:t>
      </w:r>
      <w:r>
        <w:rPr>
          <w:spacing w:val="-4"/>
        </w:rPr>
        <w:t xml:space="preserve"> </w:t>
      </w:r>
      <w:r>
        <w:t>effect</w:t>
      </w:r>
      <w:r>
        <w:rPr>
          <w:spacing w:val="-4"/>
        </w:rPr>
        <w:t xml:space="preserve"> </w:t>
      </w:r>
      <w:r>
        <w:t>on</w:t>
      </w:r>
      <w:r>
        <w:rPr>
          <w:spacing w:val="-4"/>
        </w:rPr>
        <w:t xml:space="preserve"> </w:t>
      </w:r>
      <w:r>
        <w:t>the</w:t>
      </w:r>
      <w:r>
        <w:rPr>
          <w:spacing w:val="-4"/>
        </w:rPr>
        <w:t xml:space="preserve"> </w:t>
      </w:r>
      <w:r>
        <w:t>financial</w:t>
      </w:r>
      <w:r>
        <w:rPr>
          <w:spacing w:val="-4"/>
        </w:rPr>
        <w:t xml:space="preserve"> </w:t>
      </w:r>
      <w:r>
        <w:t>statements</w:t>
      </w:r>
      <w:r>
        <w:rPr>
          <w:spacing w:val="-4"/>
        </w:rPr>
        <w:t xml:space="preserve"> </w:t>
      </w:r>
      <w:r>
        <w:t>have been considered and treated appropriately in the financial statements. The subsequent period covered is from the date of the financial statements to the date of the auditor’s report.</w:t>
      </w:r>
    </w:p>
    <w:p w14:paraId="0DFDD45F" w14:textId="77777777" w:rsidR="00046465" w:rsidRDefault="008134EB">
      <w:pPr>
        <w:pStyle w:val="ListParagraph"/>
        <w:numPr>
          <w:ilvl w:val="0"/>
          <w:numId w:val="28"/>
        </w:numPr>
        <w:tabs>
          <w:tab w:val="left" w:pos="2519"/>
        </w:tabs>
        <w:ind w:left="2519" w:right="726" w:hanging="720"/>
      </w:pPr>
      <w:r>
        <w:t>In</w:t>
      </w:r>
      <w:r>
        <w:rPr>
          <w:spacing w:val="-1"/>
        </w:rPr>
        <w:t xml:space="preserve"> </w:t>
      </w:r>
      <w:r>
        <w:t>addition,</w:t>
      </w:r>
      <w:r>
        <w:rPr>
          <w:spacing w:val="-2"/>
        </w:rPr>
        <w:t xml:space="preserve"> </w:t>
      </w:r>
      <w:r>
        <w:t>close</w:t>
      </w:r>
      <w:r>
        <w:rPr>
          <w:spacing w:val="-1"/>
        </w:rPr>
        <w:t xml:space="preserve"> </w:t>
      </w:r>
      <w:r>
        <w:t>to</w:t>
      </w:r>
      <w:r>
        <w:rPr>
          <w:spacing w:val="-1"/>
        </w:rPr>
        <w:t xml:space="preserve"> </w:t>
      </w:r>
      <w:r>
        <w:t>but</w:t>
      </w:r>
      <w:r>
        <w:rPr>
          <w:spacing w:val="-2"/>
        </w:rPr>
        <w:t xml:space="preserve"> </w:t>
      </w:r>
      <w:r>
        <w:t>prior</w:t>
      </w:r>
      <w:r>
        <w:rPr>
          <w:spacing w:val="-1"/>
        </w:rPr>
        <w:t xml:space="preserve"> </w:t>
      </w:r>
      <w:r>
        <w:t>to</w:t>
      </w:r>
      <w:r>
        <w:rPr>
          <w:spacing w:val="-1"/>
        </w:rPr>
        <w:t xml:space="preserve"> </w:t>
      </w:r>
      <w:r>
        <w:t>the</w:t>
      </w:r>
      <w:r>
        <w:rPr>
          <w:spacing w:val="-1"/>
        </w:rPr>
        <w:t xml:space="preserve"> </w:t>
      </w:r>
      <w:r>
        <w:t>report</w:t>
      </w:r>
      <w:r>
        <w:rPr>
          <w:spacing w:val="-1"/>
        </w:rPr>
        <w:t xml:space="preserve"> </w:t>
      </w:r>
      <w:r>
        <w:t>release</w:t>
      </w:r>
      <w:r>
        <w:rPr>
          <w:spacing w:val="-1"/>
        </w:rPr>
        <w:t xml:space="preserve"> </w:t>
      </w:r>
      <w:r>
        <w:t>date,</w:t>
      </w:r>
      <w:r>
        <w:rPr>
          <w:spacing w:val="-1"/>
        </w:rPr>
        <w:t xml:space="preserve"> </w:t>
      </w:r>
      <w:r>
        <w:t>the</w:t>
      </w:r>
      <w:r>
        <w:rPr>
          <w:spacing w:val="-1"/>
        </w:rPr>
        <w:t xml:space="preserve"> </w:t>
      </w:r>
      <w:r>
        <w:t>auditor</w:t>
      </w:r>
      <w:r>
        <w:rPr>
          <w:spacing w:val="-1"/>
        </w:rPr>
        <w:t xml:space="preserve"> </w:t>
      </w:r>
      <w:r>
        <w:t>may inquire</w:t>
      </w:r>
      <w:r>
        <w:rPr>
          <w:spacing w:val="-1"/>
        </w:rPr>
        <w:t xml:space="preserve"> </w:t>
      </w:r>
      <w:r>
        <w:t>of management</w:t>
      </w:r>
      <w:r>
        <w:rPr>
          <w:spacing w:val="-2"/>
        </w:rPr>
        <w:t xml:space="preserve"> </w:t>
      </w:r>
      <w:r>
        <w:t>to</w:t>
      </w:r>
      <w:r>
        <w:rPr>
          <w:spacing w:val="-2"/>
        </w:rPr>
        <w:t xml:space="preserve"> </w:t>
      </w:r>
      <w:r>
        <w:t>determine</w:t>
      </w:r>
      <w:r>
        <w:rPr>
          <w:spacing w:val="-2"/>
        </w:rPr>
        <w:t xml:space="preserve"> </w:t>
      </w:r>
      <w:r>
        <w:t>if</w:t>
      </w:r>
      <w:r>
        <w:rPr>
          <w:spacing w:val="-2"/>
        </w:rPr>
        <w:t xml:space="preserve"> </w:t>
      </w:r>
      <w:r>
        <w:t>it</w:t>
      </w:r>
      <w:r>
        <w:rPr>
          <w:spacing w:val="-2"/>
        </w:rPr>
        <w:t xml:space="preserve"> </w:t>
      </w:r>
      <w:r>
        <w:t>is</w:t>
      </w:r>
      <w:r>
        <w:rPr>
          <w:spacing w:val="-2"/>
        </w:rPr>
        <w:t xml:space="preserve"> </w:t>
      </w:r>
      <w:r>
        <w:t>aware</w:t>
      </w:r>
      <w:r>
        <w:rPr>
          <w:spacing w:val="-2"/>
        </w:rPr>
        <w:t xml:space="preserve"> </w:t>
      </w:r>
      <w:r>
        <w:t>of</w:t>
      </w:r>
      <w:r>
        <w:rPr>
          <w:spacing w:val="-2"/>
        </w:rPr>
        <w:t xml:space="preserve"> </w:t>
      </w:r>
      <w:r>
        <w:t>any</w:t>
      </w:r>
      <w:r>
        <w:rPr>
          <w:spacing w:val="-2"/>
        </w:rPr>
        <w:t xml:space="preserve"> </w:t>
      </w:r>
      <w:r>
        <w:t>subsequently</w:t>
      </w:r>
      <w:r>
        <w:rPr>
          <w:spacing w:val="-2"/>
        </w:rPr>
        <w:t xml:space="preserve"> </w:t>
      </w:r>
      <w:r>
        <w:t>discovered</w:t>
      </w:r>
      <w:r>
        <w:rPr>
          <w:spacing w:val="-2"/>
        </w:rPr>
        <w:t xml:space="preserve"> </w:t>
      </w:r>
      <w:r>
        <w:t>facts</w:t>
      </w:r>
      <w:r>
        <w:rPr>
          <w:spacing w:val="-2"/>
        </w:rPr>
        <w:t xml:space="preserve"> </w:t>
      </w:r>
      <w:r>
        <w:t>that could</w:t>
      </w:r>
      <w:r>
        <w:rPr>
          <w:spacing w:val="-4"/>
        </w:rPr>
        <w:t xml:space="preserve"> </w:t>
      </w:r>
      <w:r>
        <w:t>materially</w:t>
      </w:r>
      <w:r>
        <w:rPr>
          <w:spacing w:val="-4"/>
        </w:rPr>
        <w:t xml:space="preserve"> </w:t>
      </w:r>
      <w:r>
        <w:t>affect</w:t>
      </w:r>
      <w:r>
        <w:rPr>
          <w:spacing w:val="-4"/>
        </w:rPr>
        <w:t xml:space="preserve"> </w:t>
      </w:r>
      <w:r>
        <w:t>the</w:t>
      </w:r>
      <w:r>
        <w:rPr>
          <w:spacing w:val="-4"/>
        </w:rPr>
        <w:t xml:space="preserve"> </w:t>
      </w:r>
      <w:r>
        <w:t>financial</w:t>
      </w:r>
      <w:r>
        <w:rPr>
          <w:spacing w:val="-5"/>
        </w:rPr>
        <w:t xml:space="preserve"> </w:t>
      </w:r>
      <w:r>
        <w:t>statements</w:t>
      </w:r>
      <w:r>
        <w:rPr>
          <w:spacing w:val="-3"/>
        </w:rPr>
        <w:t xml:space="preserve"> </w:t>
      </w:r>
      <w:r>
        <w:t>(see</w:t>
      </w:r>
      <w:r>
        <w:rPr>
          <w:spacing w:val="-4"/>
        </w:rPr>
        <w:t xml:space="preserve"> </w:t>
      </w:r>
      <w:r>
        <w:t>FAM</w:t>
      </w:r>
      <w:r>
        <w:rPr>
          <w:spacing w:val="-5"/>
        </w:rPr>
        <w:t xml:space="preserve"> </w:t>
      </w:r>
      <w:r>
        <w:t>550.06).</w:t>
      </w:r>
      <w:r>
        <w:rPr>
          <w:spacing w:val="-4"/>
        </w:rPr>
        <w:t xml:space="preserve"> </w:t>
      </w:r>
      <w:r>
        <w:t>If</w:t>
      </w:r>
      <w:r>
        <w:rPr>
          <w:spacing w:val="-4"/>
        </w:rPr>
        <w:t xml:space="preserve"> </w:t>
      </w:r>
      <w:r>
        <w:t>management revises the financial statements for subsequently discovered facts after the original date of the auditor’s report, see AU-C 560.13 for further guidance.</w:t>
      </w:r>
    </w:p>
    <w:p w14:paraId="0DFDD460" w14:textId="77777777" w:rsidR="00046465" w:rsidRDefault="008134EB">
      <w:pPr>
        <w:pStyle w:val="Heading4"/>
        <w:spacing w:before="240"/>
        <w:ind w:left="1080"/>
      </w:pPr>
      <w:bookmarkStart w:id="426" w:name="Audit_Procedures"/>
      <w:bookmarkEnd w:id="426"/>
      <w:r>
        <w:t>Audit</w:t>
      </w:r>
      <w:r>
        <w:rPr>
          <w:spacing w:val="-10"/>
        </w:rPr>
        <w:t xml:space="preserve"> </w:t>
      </w:r>
      <w:r>
        <w:rPr>
          <w:spacing w:val="-2"/>
        </w:rPr>
        <w:t>Procedures</w:t>
      </w:r>
    </w:p>
    <w:p w14:paraId="0DFDD461" w14:textId="77777777" w:rsidR="00046465" w:rsidRDefault="008134EB">
      <w:pPr>
        <w:pStyle w:val="ListParagraph"/>
        <w:numPr>
          <w:ilvl w:val="0"/>
          <w:numId w:val="28"/>
        </w:numPr>
        <w:tabs>
          <w:tab w:val="left" w:pos="2520"/>
        </w:tabs>
        <w:spacing w:before="119"/>
        <w:ind w:right="751"/>
      </w:pPr>
      <w:r>
        <w:t>At or near the completion of the audit, the auditor should perform procedures to be aware of any subsequent events that the auditor may ask management to adjust</w:t>
      </w:r>
      <w:r>
        <w:rPr>
          <w:spacing w:val="-4"/>
        </w:rPr>
        <w:t xml:space="preserve"> </w:t>
      </w:r>
      <w:r>
        <w:t>or</w:t>
      </w:r>
      <w:r>
        <w:rPr>
          <w:spacing w:val="-4"/>
        </w:rPr>
        <w:t xml:space="preserve"> </w:t>
      </w:r>
      <w:r>
        <w:t>disclose</w:t>
      </w:r>
      <w:r>
        <w:rPr>
          <w:spacing w:val="-4"/>
        </w:rPr>
        <w:t xml:space="preserve"> </w:t>
      </w:r>
      <w:r>
        <w:t>in</w:t>
      </w:r>
      <w:r>
        <w:rPr>
          <w:spacing w:val="-4"/>
        </w:rPr>
        <w:t xml:space="preserve"> </w:t>
      </w:r>
      <w:r>
        <w:t>the</w:t>
      </w:r>
      <w:r>
        <w:rPr>
          <w:spacing w:val="-4"/>
        </w:rPr>
        <w:t xml:space="preserve"> </w:t>
      </w:r>
      <w:r>
        <w:t>financial</w:t>
      </w:r>
      <w:r>
        <w:rPr>
          <w:spacing w:val="-4"/>
        </w:rPr>
        <w:t xml:space="preserve"> </w:t>
      </w:r>
      <w:r>
        <w:t>statements.</w:t>
      </w:r>
      <w:r>
        <w:rPr>
          <w:spacing w:val="-4"/>
        </w:rPr>
        <w:t xml:space="preserve"> </w:t>
      </w:r>
      <w:r>
        <w:t>These</w:t>
      </w:r>
      <w:r>
        <w:rPr>
          <w:spacing w:val="-4"/>
        </w:rPr>
        <w:t xml:space="preserve"> </w:t>
      </w:r>
      <w:r>
        <w:t>procedures</w:t>
      </w:r>
      <w:r>
        <w:rPr>
          <w:spacing w:val="-4"/>
        </w:rPr>
        <w:t xml:space="preserve"> </w:t>
      </w:r>
      <w:r>
        <w:t>are</w:t>
      </w:r>
      <w:r>
        <w:rPr>
          <w:spacing w:val="-4"/>
        </w:rPr>
        <w:t xml:space="preserve"> </w:t>
      </w:r>
      <w:r>
        <w:t>in</w:t>
      </w:r>
      <w:r>
        <w:rPr>
          <w:spacing w:val="-4"/>
        </w:rPr>
        <w:t xml:space="preserve"> </w:t>
      </w:r>
      <w:r>
        <w:t>addition</w:t>
      </w:r>
      <w:r>
        <w:rPr>
          <w:spacing w:val="-4"/>
        </w:rPr>
        <w:t xml:space="preserve"> </w:t>
      </w:r>
      <w:r>
        <w:t>to substantive tests that the auditor may apply to transactions occurring after the date of the financial statements, such as examining subsequent disbursements</w:t>
      </w:r>
      <w:r>
        <w:rPr>
          <w:spacing w:val="40"/>
        </w:rPr>
        <w:t xml:space="preserve"> </w:t>
      </w:r>
      <w:r>
        <w:t>to test completeness of accounts payable.</w:t>
      </w:r>
    </w:p>
    <w:p w14:paraId="0DFDD462" w14:textId="77777777" w:rsidR="00046465" w:rsidRDefault="00046465">
      <w:pPr>
        <w:pStyle w:val="ListParagraph"/>
        <w:sectPr w:rsidR="00046465">
          <w:headerReference w:type="default" r:id="rId255"/>
          <w:footerReference w:type="default" r:id="rId256"/>
          <w:pgSz w:w="12240" w:h="15840"/>
          <w:pgMar w:top="1340" w:right="720" w:bottom="940" w:left="360" w:header="721" w:footer="757" w:gutter="0"/>
          <w:cols w:space="720"/>
        </w:sectPr>
      </w:pPr>
    </w:p>
    <w:p w14:paraId="0DFDD463" w14:textId="77777777" w:rsidR="00046465" w:rsidRDefault="008134EB">
      <w:pPr>
        <w:pStyle w:val="ListParagraph"/>
        <w:numPr>
          <w:ilvl w:val="0"/>
          <w:numId w:val="28"/>
        </w:numPr>
        <w:tabs>
          <w:tab w:val="left" w:pos="2520"/>
        </w:tabs>
        <w:spacing w:before="121"/>
        <w:ind w:right="739"/>
      </w:pPr>
      <w:r>
        <w:lastRenderedPageBreak/>
        <w:t>The following program describes audit procedures that the auditor should</w:t>
      </w:r>
      <w:r>
        <w:rPr>
          <w:spacing w:val="40"/>
        </w:rPr>
        <w:t xml:space="preserve"> </w:t>
      </w:r>
      <w:r>
        <w:t>perform</w:t>
      </w:r>
      <w:r>
        <w:rPr>
          <w:spacing w:val="-3"/>
        </w:rPr>
        <w:t xml:space="preserve"> </w:t>
      </w:r>
      <w:r>
        <w:t>as</w:t>
      </w:r>
      <w:r>
        <w:rPr>
          <w:spacing w:val="-2"/>
        </w:rPr>
        <w:t xml:space="preserve"> </w:t>
      </w:r>
      <w:r>
        <w:t>part</w:t>
      </w:r>
      <w:r>
        <w:rPr>
          <w:spacing w:val="-2"/>
        </w:rPr>
        <w:t xml:space="preserve"> </w:t>
      </w:r>
      <w:r>
        <w:t>of</w:t>
      </w:r>
      <w:r>
        <w:rPr>
          <w:spacing w:val="-2"/>
        </w:rPr>
        <w:t xml:space="preserve"> </w:t>
      </w:r>
      <w:r>
        <w:t>a</w:t>
      </w:r>
      <w:r>
        <w:rPr>
          <w:spacing w:val="-2"/>
        </w:rPr>
        <w:t xml:space="preserve"> </w:t>
      </w:r>
      <w:r>
        <w:t>subsequent</w:t>
      </w:r>
      <w:r>
        <w:rPr>
          <w:spacing w:val="-2"/>
        </w:rPr>
        <w:t xml:space="preserve"> </w:t>
      </w:r>
      <w:r>
        <w:t>events</w:t>
      </w:r>
      <w:r>
        <w:rPr>
          <w:spacing w:val="-2"/>
        </w:rPr>
        <w:t xml:space="preserve"> </w:t>
      </w:r>
      <w:r>
        <w:t>review.</w:t>
      </w:r>
      <w:r>
        <w:rPr>
          <w:spacing w:val="-3"/>
        </w:rPr>
        <w:t xml:space="preserve"> </w:t>
      </w:r>
      <w:r>
        <w:t>The</w:t>
      </w:r>
      <w:r>
        <w:rPr>
          <w:spacing w:val="-2"/>
        </w:rPr>
        <w:t xml:space="preserve"> </w:t>
      </w:r>
      <w:r>
        <w:t>auditor</w:t>
      </w:r>
      <w:r>
        <w:rPr>
          <w:spacing w:val="-4"/>
        </w:rPr>
        <w:t xml:space="preserve"> </w:t>
      </w:r>
      <w:r>
        <w:t>should</w:t>
      </w:r>
      <w:r>
        <w:rPr>
          <w:spacing w:val="-2"/>
        </w:rPr>
        <w:t xml:space="preserve"> </w:t>
      </w:r>
      <w:r>
        <w:t>customize</w:t>
      </w:r>
      <w:r>
        <w:rPr>
          <w:spacing w:val="-2"/>
        </w:rPr>
        <w:t xml:space="preserve"> </w:t>
      </w:r>
      <w:r>
        <w:t>the procedures</w:t>
      </w:r>
      <w:r>
        <w:rPr>
          <w:spacing w:val="-1"/>
        </w:rPr>
        <w:t xml:space="preserve"> </w:t>
      </w:r>
      <w:r>
        <w:t>for</w:t>
      </w:r>
      <w:r>
        <w:rPr>
          <w:spacing w:val="-1"/>
        </w:rPr>
        <w:t xml:space="preserve"> </w:t>
      </w:r>
      <w:r>
        <w:t>the</w:t>
      </w:r>
      <w:r>
        <w:rPr>
          <w:spacing w:val="-1"/>
        </w:rPr>
        <w:t xml:space="preserve"> </w:t>
      </w:r>
      <w:r>
        <w:t>particular</w:t>
      </w:r>
      <w:r>
        <w:rPr>
          <w:spacing w:val="-1"/>
        </w:rPr>
        <w:t xml:space="preserve"> </w:t>
      </w:r>
      <w:r>
        <w:t>entity</w:t>
      </w:r>
      <w:r>
        <w:rPr>
          <w:spacing w:val="-1"/>
        </w:rPr>
        <w:t xml:space="preserve"> </w:t>
      </w:r>
      <w:r>
        <w:t>and</w:t>
      </w:r>
      <w:r>
        <w:rPr>
          <w:spacing w:val="-1"/>
        </w:rPr>
        <w:t xml:space="preserve"> </w:t>
      </w:r>
      <w:r>
        <w:t>should</w:t>
      </w:r>
      <w:r>
        <w:rPr>
          <w:spacing w:val="-1"/>
        </w:rPr>
        <w:t xml:space="preserve"> </w:t>
      </w:r>
      <w:r>
        <w:t>take</w:t>
      </w:r>
      <w:r>
        <w:rPr>
          <w:spacing w:val="-1"/>
        </w:rPr>
        <w:t xml:space="preserve"> </w:t>
      </w:r>
      <w:r>
        <w:t>into</w:t>
      </w:r>
      <w:r>
        <w:rPr>
          <w:spacing w:val="-1"/>
        </w:rPr>
        <w:t xml:space="preserve"> </w:t>
      </w:r>
      <w:r>
        <w:t>account</w:t>
      </w:r>
      <w:r>
        <w:rPr>
          <w:spacing w:val="-1"/>
        </w:rPr>
        <w:t xml:space="preserve"> </w:t>
      </w:r>
      <w:r>
        <w:t>the</w:t>
      </w:r>
      <w:r>
        <w:rPr>
          <w:spacing w:val="-1"/>
        </w:rPr>
        <w:t xml:space="preserve"> </w:t>
      </w:r>
      <w:r>
        <w:t>auditor’s</w:t>
      </w:r>
      <w:r>
        <w:rPr>
          <w:spacing w:val="-1"/>
        </w:rPr>
        <w:t xml:space="preserve"> </w:t>
      </w:r>
      <w:r>
        <w:t>risk assessment</w:t>
      </w:r>
      <w:r>
        <w:rPr>
          <w:spacing w:val="-5"/>
        </w:rPr>
        <w:t xml:space="preserve"> </w:t>
      </w:r>
      <w:r>
        <w:t>in</w:t>
      </w:r>
      <w:r>
        <w:rPr>
          <w:spacing w:val="-4"/>
        </w:rPr>
        <w:t xml:space="preserve"> </w:t>
      </w:r>
      <w:r>
        <w:t>determining</w:t>
      </w:r>
      <w:r>
        <w:rPr>
          <w:spacing w:val="-4"/>
        </w:rPr>
        <w:t xml:space="preserve"> </w:t>
      </w:r>
      <w:r>
        <w:t>the</w:t>
      </w:r>
      <w:r>
        <w:rPr>
          <w:spacing w:val="-4"/>
        </w:rPr>
        <w:t xml:space="preserve"> </w:t>
      </w:r>
      <w:r>
        <w:t>nature</w:t>
      </w:r>
      <w:r>
        <w:rPr>
          <w:spacing w:val="-4"/>
        </w:rPr>
        <w:t xml:space="preserve"> </w:t>
      </w:r>
      <w:r>
        <w:t>and</w:t>
      </w:r>
      <w:r>
        <w:rPr>
          <w:spacing w:val="-4"/>
        </w:rPr>
        <w:t xml:space="preserve"> </w:t>
      </w:r>
      <w:r>
        <w:t>extent</w:t>
      </w:r>
      <w:r>
        <w:rPr>
          <w:spacing w:val="-5"/>
        </w:rPr>
        <w:t xml:space="preserve"> </w:t>
      </w:r>
      <w:r>
        <w:t>of</w:t>
      </w:r>
      <w:r>
        <w:rPr>
          <w:spacing w:val="-4"/>
        </w:rPr>
        <w:t xml:space="preserve"> </w:t>
      </w:r>
      <w:r>
        <w:t>such</w:t>
      </w:r>
      <w:r>
        <w:rPr>
          <w:spacing w:val="-4"/>
        </w:rPr>
        <w:t xml:space="preserve"> </w:t>
      </w:r>
      <w:r>
        <w:t>audit</w:t>
      </w:r>
      <w:r>
        <w:rPr>
          <w:spacing w:val="-4"/>
        </w:rPr>
        <w:t xml:space="preserve"> </w:t>
      </w:r>
      <w:r>
        <w:t>procedures</w:t>
      </w:r>
      <w:r>
        <w:rPr>
          <w:spacing w:val="-4"/>
        </w:rPr>
        <w:t xml:space="preserve"> </w:t>
      </w:r>
      <w:r>
        <w:t xml:space="preserve">(AU-C </w:t>
      </w:r>
      <w:r>
        <w:rPr>
          <w:spacing w:val="-2"/>
        </w:rPr>
        <w:t>560.10).</w:t>
      </w:r>
    </w:p>
    <w:p w14:paraId="0DFDD464" w14:textId="77777777" w:rsidR="00046465" w:rsidRDefault="00046465">
      <w:pPr>
        <w:pStyle w:val="ListParagraph"/>
        <w:sectPr w:rsidR="00046465">
          <w:headerReference w:type="default" r:id="rId257"/>
          <w:footerReference w:type="default" r:id="rId258"/>
          <w:pgSz w:w="12240" w:h="15840"/>
          <w:pgMar w:top="1340" w:right="720" w:bottom="940" w:left="360" w:header="721" w:footer="757" w:gutter="0"/>
          <w:pgNumType w:start="2"/>
          <w:cols w:space="720"/>
        </w:sectPr>
      </w:pPr>
    </w:p>
    <w:p w14:paraId="0DFDD465" w14:textId="77777777" w:rsidR="00046465" w:rsidRDefault="008134EB">
      <w:pPr>
        <w:pStyle w:val="BodyText"/>
        <w:tabs>
          <w:tab w:val="left" w:pos="10405"/>
        </w:tabs>
        <w:spacing w:before="121"/>
        <w:ind w:left="1080"/>
      </w:pPr>
      <w:r>
        <w:lastRenderedPageBreak/>
        <w:t xml:space="preserve">Entity </w:t>
      </w:r>
      <w:r>
        <w:rPr>
          <w:u w:val="single"/>
        </w:rPr>
        <w:tab/>
      </w:r>
    </w:p>
    <w:p w14:paraId="0DFDD466" w14:textId="77777777" w:rsidR="00046465" w:rsidRDefault="008134EB">
      <w:pPr>
        <w:pStyle w:val="BodyText"/>
        <w:tabs>
          <w:tab w:val="left" w:pos="10405"/>
        </w:tabs>
        <w:spacing w:before="180" w:line="352" w:lineRule="auto"/>
        <w:ind w:left="1080" w:right="751"/>
      </w:pPr>
      <w:r>
        <w:t xml:space="preserve">Period of financial statements </w:t>
      </w:r>
      <w:r>
        <w:rPr>
          <w:u w:val="single"/>
        </w:rPr>
        <w:tab/>
      </w:r>
      <w:r>
        <w:t xml:space="preserve"> Job code</w:t>
      </w:r>
      <w:r>
        <w:rPr>
          <w:spacing w:val="53"/>
        </w:rPr>
        <w:t xml:space="preserve"> </w:t>
      </w:r>
      <w:r>
        <w:rPr>
          <w:u w:val="single"/>
        </w:rPr>
        <w:tab/>
      </w:r>
    </w:p>
    <w:p w14:paraId="0DFDD467" w14:textId="77777777" w:rsidR="00046465" w:rsidRDefault="00046465">
      <w:pPr>
        <w:pStyle w:val="BodyText"/>
        <w:rPr>
          <w:sz w:val="20"/>
        </w:rPr>
      </w:pPr>
    </w:p>
    <w:p w14:paraId="0DFDD468" w14:textId="77777777" w:rsidR="00046465" w:rsidRDefault="00046465">
      <w:pPr>
        <w:pStyle w:val="BodyText"/>
        <w:spacing w:before="35"/>
        <w:rPr>
          <w:sz w:val="20"/>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0"/>
        <w:gridCol w:w="1170"/>
        <w:gridCol w:w="1368"/>
      </w:tblGrid>
      <w:tr w:rsidR="00046465" w14:paraId="0DFDD46C" w14:textId="77777777">
        <w:trPr>
          <w:trHeight w:val="745"/>
        </w:trPr>
        <w:tc>
          <w:tcPr>
            <w:tcW w:w="6930" w:type="dxa"/>
            <w:shd w:val="clear" w:color="auto" w:fill="A6A6A6"/>
          </w:tcPr>
          <w:p w14:paraId="0DFDD469" w14:textId="77777777" w:rsidR="00046465" w:rsidRDefault="008134EB">
            <w:pPr>
              <w:pStyle w:val="TableParagraph"/>
              <w:spacing w:before="121"/>
              <w:ind w:left="107"/>
              <w:rPr>
                <w:b/>
              </w:rPr>
            </w:pPr>
            <w:r>
              <w:rPr>
                <w:b/>
              </w:rPr>
              <w:t>Subsequent</w:t>
            </w:r>
            <w:r>
              <w:rPr>
                <w:b/>
                <w:spacing w:val="-8"/>
              </w:rPr>
              <w:t xml:space="preserve"> </w:t>
            </w:r>
            <w:r>
              <w:rPr>
                <w:b/>
              </w:rPr>
              <w:t>Events</w:t>
            </w:r>
            <w:r>
              <w:rPr>
                <w:b/>
                <w:spacing w:val="-7"/>
              </w:rPr>
              <w:t xml:space="preserve"> </w:t>
            </w:r>
            <w:r>
              <w:rPr>
                <w:b/>
              </w:rPr>
              <w:t>Review</w:t>
            </w:r>
            <w:r>
              <w:rPr>
                <w:b/>
                <w:spacing w:val="-9"/>
              </w:rPr>
              <w:t xml:space="preserve"> </w:t>
            </w:r>
            <w:r>
              <w:rPr>
                <w:b/>
              </w:rPr>
              <w:t>–</w:t>
            </w:r>
            <w:r>
              <w:rPr>
                <w:b/>
                <w:spacing w:val="-7"/>
              </w:rPr>
              <w:t xml:space="preserve"> </w:t>
            </w:r>
            <w:r>
              <w:rPr>
                <w:b/>
              </w:rPr>
              <w:t>Audit</w:t>
            </w:r>
            <w:r>
              <w:rPr>
                <w:b/>
                <w:spacing w:val="-8"/>
              </w:rPr>
              <w:t xml:space="preserve"> </w:t>
            </w:r>
            <w:r>
              <w:rPr>
                <w:b/>
                <w:spacing w:val="-2"/>
              </w:rPr>
              <w:t>Procedures</w:t>
            </w:r>
          </w:p>
        </w:tc>
        <w:tc>
          <w:tcPr>
            <w:tcW w:w="1170" w:type="dxa"/>
            <w:shd w:val="clear" w:color="auto" w:fill="A6A6A6"/>
          </w:tcPr>
          <w:p w14:paraId="0DFDD46A" w14:textId="77777777" w:rsidR="00046465" w:rsidRDefault="008134EB">
            <w:pPr>
              <w:pStyle w:val="TableParagraph"/>
              <w:spacing w:before="120"/>
              <w:ind w:left="107" w:right="144"/>
              <w:rPr>
                <w:b/>
              </w:rPr>
            </w:pPr>
            <w:r>
              <w:rPr>
                <w:b/>
                <w:spacing w:val="-2"/>
              </w:rPr>
              <w:t xml:space="preserve">Initials </w:t>
            </w:r>
            <w:r>
              <w:rPr>
                <w:b/>
              </w:rPr>
              <w:t>and</w:t>
            </w:r>
            <w:r>
              <w:rPr>
                <w:b/>
                <w:spacing w:val="-16"/>
              </w:rPr>
              <w:t xml:space="preserve"> </w:t>
            </w:r>
            <w:r>
              <w:rPr>
                <w:b/>
              </w:rPr>
              <w:t>date</w:t>
            </w:r>
          </w:p>
        </w:tc>
        <w:tc>
          <w:tcPr>
            <w:tcW w:w="1368" w:type="dxa"/>
            <w:shd w:val="clear" w:color="auto" w:fill="A6A6A6"/>
          </w:tcPr>
          <w:p w14:paraId="0DFDD46B" w14:textId="77777777" w:rsidR="00046465" w:rsidRDefault="008134EB">
            <w:pPr>
              <w:pStyle w:val="TableParagraph"/>
              <w:spacing w:before="121"/>
              <w:ind w:left="107"/>
              <w:rPr>
                <w:b/>
              </w:rPr>
            </w:pPr>
            <w:r>
              <w:rPr>
                <w:b/>
              </w:rPr>
              <w:t>Doc.</w:t>
            </w:r>
            <w:r>
              <w:rPr>
                <w:b/>
                <w:spacing w:val="-6"/>
              </w:rPr>
              <w:t xml:space="preserve"> </w:t>
            </w:r>
            <w:r>
              <w:rPr>
                <w:b/>
                <w:spacing w:val="-4"/>
              </w:rPr>
              <w:t>ref.</w:t>
            </w:r>
          </w:p>
        </w:tc>
      </w:tr>
      <w:tr w:rsidR="00046465" w14:paraId="0DFDD471" w14:textId="77777777">
        <w:trPr>
          <w:trHeight w:val="1745"/>
        </w:trPr>
        <w:tc>
          <w:tcPr>
            <w:tcW w:w="6930" w:type="dxa"/>
          </w:tcPr>
          <w:p w14:paraId="0DFDD46D" w14:textId="77777777" w:rsidR="00046465" w:rsidRDefault="008134EB">
            <w:pPr>
              <w:pStyle w:val="TableParagraph"/>
              <w:spacing w:before="121"/>
              <w:ind w:left="107"/>
              <w:rPr>
                <w:b/>
              </w:rPr>
            </w:pPr>
            <w:r>
              <w:rPr>
                <w:b/>
                <w:u w:val="single"/>
              </w:rPr>
              <w:t>I.</w:t>
            </w:r>
            <w:r>
              <w:rPr>
                <w:b/>
                <w:spacing w:val="-9"/>
                <w:u w:val="single"/>
              </w:rPr>
              <w:t xml:space="preserve"> </w:t>
            </w:r>
            <w:r>
              <w:rPr>
                <w:b/>
                <w:u w:val="single"/>
              </w:rPr>
              <w:t>Management’s</w:t>
            </w:r>
            <w:r>
              <w:rPr>
                <w:b/>
                <w:spacing w:val="-9"/>
                <w:u w:val="single"/>
              </w:rPr>
              <w:t xml:space="preserve"> </w:t>
            </w:r>
            <w:r>
              <w:rPr>
                <w:b/>
                <w:spacing w:val="-2"/>
                <w:u w:val="single"/>
              </w:rPr>
              <w:t>procedures</w:t>
            </w:r>
          </w:p>
          <w:p w14:paraId="0DFDD46E" w14:textId="77777777" w:rsidR="00046465" w:rsidRDefault="008134EB">
            <w:pPr>
              <w:pStyle w:val="TableParagraph"/>
              <w:tabs>
                <w:tab w:val="left" w:pos="723"/>
              </w:tabs>
              <w:spacing w:before="239"/>
              <w:ind w:left="723" w:right="190" w:hanging="616"/>
            </w:pPr>
            <w:r>
              <w:rPr>
                <w:spacing w:val="-6"/>
              </w:rPr>
              <w:t>1)</w:t>
            </w:r>
            <w:r>
              <w:tab/>
              <w:t>Obtain</w:t>
            </w:r>
            <w:r>
              <w:rPr>
                <w:spacing w:val="-6"/>
              </w:rPr>
              <w:t xml:space="preserve"> </w:t>
            </w:r>
            <w:r>
              <w:t>an</w:t>
            </w:r>
            <w:r>
              <w:rPr>
                <w:spacing w:val="-6"/>
              </w:rPr>
              <w:t xml:space="preserve"> </w:t>
            </w:r>
            <w:r>
              <w:t>understanding</w:t>
            </w:r>
            <w:r>
              <w:rPr>
                <w:spacing w:val="-6"/>
              </w:rPr>
              <w:t xml:space="preserve"> </w:t>
            </w:r>
            <w:r>
              <w:t>of</w:t>
            </w:r>
            <w:r>
              <w:rPr>
                <w:spacing w:val="-6"/>
              </w:rPr>
              <w:t xml:space="preserve"> </w:t>
            </w:r>
            <w:r>
              <w:t>any</w:t>
            </w:r>
            <w:r>
              <w:rPr>
                <w:spacing w:val="-6"/>
              </w:rPr>
              <w:t xml:space="preserve"> </w:t>
            </w:r>
            <w:r>
              <w:t>procedures</w:t>
            </w:r>
            <w:r>
              <w:rPr>
                <w:spacing w:val="-6"/>
              </w:rPr>
              <w:t xml:space="preserve"> </w:t>
            </w:r>
            <w:r>
              <w:t>that</w:t>
            </w:r>
            <w:r>
              <w:rPr>
                <w:spacing w:val="-7"/>
              </w:rPr>
              <w:t xml:space="preserve"> </w:t>
            </w:r>
            <w:r>
              <w:t xml:space="preserve">management has established to ensure that subsequent events are identified (AU-C 560.10a). See SFFAS 39 for management’s </w:t>
            </w:r>
            <w:r>
              <w:rPr>
                <w:spacing w:val="-2"/>
              </w:rPr>
              <w:t>responsibilities.</w:t>
            </w:r>
          </w:p>
        </w:tc>
        <w:tc>
          <w:tcPr>
            <w:tcW w:w="1170" w:type="dxa"/>
          </w:tcPr>
          <w:p w14:paraId="0DFDD46F" w14:textId="77777777" w:rsidR="00046465" w:rsidRDefault="00046465">
            <w:pPr>
              <w:pStyle w:val="TableParagraph"/>
              <w:rPr>
                <w:rFonts w:ascii="Times New Roman"/>
                <w:sz w:val="20"/>
              </w:rPr>
            </w:pPr>
          </w:p>
        </w:tc>
        <w:tc>
          <w:tcPr>
            <w:tcW w:w="1368" w:type="dxa"/>
          </w:tcPr>
          <w:p w14:paraId="0DFDD470" w14:textId="77777777" w:rsidR="00046465" w:rsidRDefault="00046465">
            <w:pPr>
              <w:pStyle w:val="TableParagraph"/>
              <w:rPr>
                <w:rFonts w:ascii="Times New Roman"/>
                <w:sz w:val="20"/>
              </w:rPr>
            </w:pPr>
          </w:p>
        </w:tc>
      </w:tr>
      <w:tr w:rsidR="00046465" w14:paraId="0DFDD47B" w14:textId="77777777">
        <w:trPr>
          <w:trHeight w:val="6752"/>
        </w:trPr>
        <w:tc>
          <w:tcPr>
            <w:tcW w:w="6930" w:type="dxa"/>
          </w:tcPr>
          <w:p w14:paraId="0DFDD472" w14:textId="77777777" w:rsidR="00046465" w:rsidRDefault="008134EB">
            <w:pPr>
              <w:pStyle w:val="TableParagraph"/>
              <w:spacing w:before="120"/>
              <w:ind w:left="363" w:right="190" w:hanging="272"/>
              <w:rPr>
                <w:b/>
              </w:rPr>
            </w:pPr>
            <w:r>
              <w:rPr>
                <w:b/>
                <w:u w:val="single"/>
              </w:rPr>
              <w:t>II.</w:t>
            </w:r>
            <w:r>
              <w:rPr>
                <w:b/>
                <w:spacing w:val="-6"/>
                <w:u w:val="single"/>
              </w:rPr>
              <w:t xml:space="preserve"> </w:t>
            </w:r>
            <w:r>
              <w:rPr>
                <w:b/>
                <w:u w:val="single"/>
              </w:rPr>
              <w:t>Read</w:t>
            </w:r>
            <w:r>
              <w:rPr>
                <w:b/>
                <w:spacing w:val="-6"/>
                <w:u w:val="single"/>
              </w:rPr>
              <w:t xml:space="preserve"> </w:t>
            </w:r>
            <w:r>
              <w:rPr>
                <w:b/>
                <w:u w:val="single"/>
              </w:rPr>
              <w:t>latest</w:t>
            </w:r>
            <w:r>
              <w:rPr>
                <w:b/>
                <w:spacing w:val="-6"/>
                <w:u w:val="single"/>
              </w:rPr>
              <w:t xml:space="preserve"> </w:t>
            </w:r>
            <w:r>
              <w:rPr>
                <w:b/>
                <w:u w:val="single"/>
              </w:rPr>
              <w:t>subsequent</w:t>
            </w:r>
            <w:r>
              <w:rPr>
                <w:b/>
                <w:spacing w:val="-6"/>
                <w:u w:val="single"/>
              </w:rPr>
              <w:t xml:space="preserve"> </w:t>
            </w:r>
            <w:r>
              <w:rPr>
                <w:b/>
                <w:u w:val="single"/>
              </w:rPr>
              <w:t>interim</w:t>
            </w:r>
            <w:r>
              <w:rPr>
                <w:b/>
                <w:spacing w:val="-6"/>
                <w:u w:val="single"/>
              </w:rPr>
              <w:t xml:space="preserve"> </w:t>
            </w:r>
            <w:r>
              <w:rPr>
                <w:b/>
                <w:u w:val="single"/>
              </w:rPr>
              <w:t>financial</w:t>
            </w:r>
            <w:r>
              <w:rPr>
                <w:b/>
                <w:spacing w:val="-6"/>
                <w:u w:val="single"/>
              </w:rPr>
              <w:t xml:space="preserve"> </w:t>
            </w:r>
            <w:r>
              <w:rPr>
                <w:b/>
                <w:u w:val="single"/>
              </w:rPr>
              <w:t>statements</w:t>
            </w:r>
            <w:r>
              <w:rPr>
                <w:b/>
                <w:spacing w:val="-6"/>
                <w:u w:val="single"/>
              </w:rPr>
              <w:t xml:space="preserve"> </w:t>
            </w:r>
            <w:r>
              <w:rPr>
                <w:b/>
                <w:u w:val="single"/>
              </w:rPr>
              <w:t>(AU-C</w:t>
            </w:r>
            <w:r>
              <w:rPr>
                <w:b/>
              </w:rPr>
              <w:t xml:space="preserve"> </w:t>
            </w:r>
            <w:r>
              <w:rPr>
                <w:b/>
                <w:spacing w:val="-2"/>
                <w:u w:val="single"/>
              </w:rPr>
              <w:t>560.10d)</w:t>
            </w:r>
          </w:p>
          <w:p w14:paraId="0DFDD473" w14:textId="77777777" w:rsidR="00046465" w:rsidRDefault="008134EB">
            <w:pPr>
              <w:pStyle w:val="TableParagraph"/>
              <w:numPr>
                <w:ilvl w:val="0"/>
                <w:numId w:val="27"/>
              </w:numPr>
              <w:tabs>
                <w:tab w:val="left" w:pos="683"/>
              </w:tabs>
              <w:spacing w:before="119"/>
              <w:ind w:right="218"/>
            </w:pPr>
            <w:r>
              <w:t>Compare the latest available interim financial statements, if any, with the financial statements under audit to identify any unusual</w:t>
            </w:r>
            <w:r>
              <w:rPr>
                <w:spacing w:val="-7"/>
              </w:rPr>
              <w:t xml:space="preserve"> </w:t>
            </w:r>
            <w:r>
              <w:t>adjustments</w:t>
            </w:r>
            <w:r>
              <w:rPr>
                <w:spacing w:val="-7"/>
              </w:rPr>
              <w:t xml:space="preserve"> </w:t>
            </w:r>
            <w:r>
              <w:t>and</w:t>
            </w:r>
            <w:r>
              <w:rPr>
                <w:spacing w:val="-7"/>
              </w:rPr>
              <w:t xml:space="preserve"> </w:t>
            </w:r>
            <w:r>
              <w:t>investigate</w:t>
            </w:r>
            <w:r>
              <w:rPr>
                <w:spacing w:val="-7"/>
              </w:rPr>
              <w:t xml:space="preserve"> </w:t>
            </w:r>
            <w:r>
              <w:t>any</w:t>
            </w:r>
            <w:r>
              <w:rPr>
                <w:spacing w:val="-7"/>
              </w:rPr>
              <w:t xml:space="preserve"> </w:t>
            </w:r>
            <w:r>
              <w:t>significant</w:t>
            </w:r>
            <w:r>
              <w:rPr>
                <w:spacing w:val="-7"/>
              </w:rPr>
              <w:t xml:space="preserve"> </w:t>
            </w:r>
            <w:r>
              <w:t>variations from expectations.</w:t>
            </w:r>
          </w:p>
          <w:p w14:paraId="0DFDD474" w14:textId="77777777" w:rsidR="00046465" w:rsidRDefault="008134EB">
            <w:pPr>
              <w:pStyle w:val="TableParagraph"/>
              <w:numPr>
                <w:ilvl w:val="0"/>
                <w:numId w:val="27"/>
              </w:numPr>
              <w:tabs>
                <w:tab w:val="left" w:pos="683"/>
              </w:tabs>
              <w:spacing w:before="121"/>
              <w:ind w:right="866"/>
            </w:pPr>
            <w:r>
              <w:t>Inquire</w:t>
            </w:r>
            <w:r>
              <w:rPr>
                <w:spacing w:val="-5"/>
              </w:rPr>
              <w:t xml:space="preserve"> </w:t>
            </w:r>
            <w:r>
              <w:t>as</w:t>
            </w:r>
            <w:r>
              <w:rPr>
                <w:spacing w:val="-5"/>
              </w:rPr>
              <w:t xml:space="preserve"> </w:t>
            </w:r>
            <w:r>
              <w:t>to</w:t>
            </w:r>
            <w:r>
              <w:rPr>
                <w:spacing w:val="-6"/>
              </w:rPr>
              <w:t xml:space="preserve"> </w:t>
            </w:r>
            <w:r>
              <w:t>whether</w:t>
            </w:r>
            <w:r>
              <w:rPr>
                <w:spacing w:val="-5"/>
              </w:rPr>
              <w:t xml:space="preserve"> </w:t>
            </w:r>
            <w:r>
              <w:t>the</w:t>
            </w:r>
            <w:r>
              <w:rPr>
                <w:spacing w:val="-5"/>
              </w:rPr>
              <w:t xml:space="preserve"> </w:t>
            </w:r>
            <w:r>
              <w:t>interim</w:t>
            </w:r>
            <w:r>
              <w:rPr>
                <w:spacing w:val="-6"/>
              </w:rPr>
              <w:t xml:space="preserve"> </w:t>
            </w:r>
            <w:r>
              <w:t>statements</w:t>
            </w:r>
            <w:r>
              <w:rPr>
                <w:spacing w:val="-5"/>
              </w:rPr>
              <w:t xml:space="preserve"> </w:t>
            </w:r>
            <w:r>
              <w:t>have</w:t>
            </w:r>
            <w:r>
              <w:rPr>
                <w:spacing w:val="-5"/>
              </w:rPr>
              <w:t xml:space="preserve"> </w:t>
            </w:r>
            <w:r>
              <w:t>been prepared on the same basis as the annual statements.</w:t>
            </w:r>
          </w:p>
          <w:p w14:paraId="0DFDD475" w14:textId="77777777" w:rsidR="00046465" w:rsidRDefault="008134EB">
            <w:pPr>
              <w:pStyle w:val="TableParagraph"/>
              <w:numPr>
                <w:ilvl w:val="0"/>
                <w:numId w:val="27"/>
              </w:numPr>
              <w:tabs>
                <w:tab w:val="left" w:pos="681"/>
                <w:tab w:val="left" w:pos="683"/>
              </w:tabs>
              <w:spacing w:before="239"/>
              <w:ind w:right="267"/>
              <w:jc w:val="both"/>
            </w:pPr>
            <w:r>
              <w:t>Compare</w:t>
            </w:r>
            <w:r>
              <w:rPr>
                <w:spacing w:val="-4"/>
              </w:rPr>
              <w:t xml:space="preserve"> </w:t>
            </w:r>
            <w:r>
              <w:t>items</w:t>
            </w:r>
            <w:r>
              <w:rPr>
                <w:spacing w:val="-4"/>
              </w:rPr>
              <w:t xml:space="preserve"> </w:t>
            </w:r>
            <w:r>
              <w:t>in</w:t>
            </w:r>
            <w:r>
              <w:rPr>
                <w:spacing w:val="-4"/>
              </w:rPr>
              <w:t xml:space="preserve"> </w:t>
            </w:r>
            <w:r>
              <w:t>the</w:t>
            </w:r>
            <w:r>
              <w:rPr>
                <w:spacing w:val="-4"/>
              </w:rPr>
              <w:t xml:space="preserve"> </w:t>
            </w:r>
            <w:r>
              <w:t>statement</w:t>
            </w:r>
            <w:r>
              <w:rPr>
                <w:spacing w:val="-4"/>
              </w:rPr>
              <w:t xml:space="preserve"> </w:t>
            </w:r>
            <w:r>
              <w:t>of</w:t>
            </w:r>
            <w:r>
              <w:rPr>
                <w:spacing w:val="-4"/>
              </w:rPr>
              <w:t xml:space="preserve"> </w:t>
            </w:r>
            <w:r>
              <w:t>net</w:t>
            </w:r>
            <w:r>
              <w:rPr>
                <w:spacing w:val="-4"/>
              </w:rPr>
              <w:t xml:space="preserve"> </w:t>
            </w:r>
            <w:r>
              <w:t>costs</w:t>
            </w:r>
            <w:r>
              <w:rPr>
                <w:spacing w:val="-4"/>
              </w:rPr>
              <w:t xml:space="preserve"> </w:t>
            </w:r>
            <w:r>
              <w:t>to</w:t>
            </w:r>
            <w:r>
              <w:rPr>
                <w:spacing w:val="-5"/>
              </w:rPr>
              <w:t xml:space="preserve"> </w:t>
            </w:r>
            <w:r>
              <w:t>similar</w:t>
            </w:r>
            <w:r>
              <w:rPr>
                <w:spacing w:val="-4"/>
              </w:rPr>
              <w:t xml:space="preserve"> </w:t>
            </w:r>
            <w:r>
              <w:t>interim financial</w:t>
            </w:r>
            <w:r>
              <w:rPr>
                <w:spacing w:val="-3"/>
              </w:rPr>
              <w:t xml:space="preserve"> </w:t>
            </w:r>
            <w:r>
              <w:t>statements</w:t>
            </w:r>
            <w:r>
              <w:rPr>
                <w:spacing w:val="-2"/>
              </w:rPr>
              <w:t xml:space="preserve"> </w:t>
            </w:r>
            <w:r>
              <w:t>of</w:t>
            </w:r>
            <w:r>
              <w:rPr>
                <w:spacing w:val="-2"/>
              </w:rPr>
              <w:t xml:space="preserve"> </w:t>
            </w:r>
            <w:r>
              <w:t>the</w:t>
            </w:r>
            <w:r>
              <w:rPr>
                <w:spacing w:val="-2"/>
              </w:rPr>
              <w:t xml:space="preserve"> </w:t>
            </w:r>
            <w:r>
              <w:t>prior</w:t>
            </w:r>
            <w:r>
              <w:rPr>
                <w:spacing w:val="-2"/>
              </w:rPr>
              <w:t xml:space="preserve"> </w:t>
            </w:r>
            <w:r>
              <w:t>year;</w:t>
            </w:r>
            <w:r>
              <w:rPr>
                <w:spacing w:val="-3"/>
              </w:rPr>
              <w:t xml:space="preserve"> </w:t>
            </w:r>
            <w:r>
              <w:t>determine</w:t>
            </w:r>
            <w:r>
              <w:rPr>
                <w:spacing w:val="-2"/>
              </w:rPr>
              <w:t xml:space="preserve"> </w:t>
            </w:r>
            <w:r>
              <w:t>expectations and investigate any significant variations from expectations.</w:t>
            </w:r>
          </w:p>
          <w:p w14:paraId="0DFDD476" w14:textId="77777777" w:rsidR="00046465" w:rsidRDefault="008134EB">
            <w:pPr>
              <w:pStyle w:val="TableParagraph"/>
              <w:numPr>
                <w:ilvl w:val="0"/>
                <w:numId w:val="27"/>
              </w:numPr>
              <w:tabs>
                <w:tab w:val="left" w:pos="683"/>
              </w:tabs>
              <w:spacing w:before="240"/>
              <w:ind w:hanging="576"/>
            </w:pPr>
            <w:r>
              <w:t>If</w:t>
            </w:r>
            <w:r>
              <w:rPr>
                <w:spacing w:val="-7"/>
              </w:rPr>
              <w:t xml:space="preserve"> </w:t>
            </w:r>
            <w:r>
              <w:t>interim</w:t>
            </w:r>
            <w:r>
              <w:rPr>
                <w:spacing w:val="-7"/>
              </w:rPr>
              <w:t xml:space="preserve"> </w:t>
            </w:r>
            <w:r>
              <w:t>financial</w:t>
            </w:r>
            <w:r>
              <w:rPr>
                <w:spacing w:val="-6"/>
              </w:rPr>
              <w:t xml:space="preserve"> </w:t>
            </w:r>
            <w:r>
              <w:t>statements</w:t>
            </w:r>
            <w:r>
              <w:rPr>
                <w:spacing w:val="-7"/>
              </w:rPr>
              <w:t xml:space="preserve"> </w:t>
            </w:r>
            <w:r>
              <w:t>are</w:t>
            </w:r>
            <w:r>
              <w:rPr>
                <w:spacing w:val="-6"/>
              </w:rPr>
              <w:t xml:space="preserve"> </w:t>
            </w:r>
            <w:r>
              <w:t>not</w:t>
            </w:r>
            <w:r>
              <w:rPr>
                <w:spacing w:val="-6"/>
              </w:rPr>
              <w:t xml:space="preserve"> </w:t>
            </w:r>
            <w:r>
              <w:rPr>
                <w:spacing w:val="-2"/>
              </w:rPr>
              <w:t>available:</w:t>
            </w:r>
          </w:p>
          <w:p w14:paraId="0DFDD477" w14:textId="77777777" w:rsidR="00046465" w:rsidRDefault="008134EB">
            <w:pPr>
              <w:pStyle w:val="TableParagraph"/>
              <w:numPr>
                <w:ilvl w:val="1"/>
                <w:numId w:val="27"/>
              </w:numPr>
              <w:tabs>
                <w:tab w:val="left" w:pos="1259"/>
              </w:tabs>
              <w:spacing w:before="241"/>
              <w:ind w:right="387"/>
            </w:pPr>
            <w:r>
              <w:t>Compare</w:t>
            </w:r>
            <w:r>
              <w:rPr>
                <w:spacing w:val="-6"/>
              </w:rPr>
              <w:t xml:space="preserve"> </w:t>
            </w:r>
            <w:r>
              <w:t>interim</w:t>
            </w:r>
            <w:r>
              <w:rPr>
                <w:spacing w:val="-7"/>
              </w:rPr>
              <w:t xml:space="preserve"> </w:t>
            </w:r>
            <w:r>
              <w:t>internal</w:t>
            </w:r>
            <w:r>
              <w:rPr>
                <w:spacing w:val="-6"/>
              </w:rPr>
              <w:t xml:space="preserve"> </w:t>
            </w:r>
            <w:r>
              <w:t>financial</w:t>
            </w:r>
            <w:r>
              <w:rPr>
                <w:spacing w:val="-7"/>
              </w:rPr>
              <w:t xml:space="preserve"> </w:t>
            </w:r>
            <w:r>
              <w:t>reports</w:t>
            </w:r>
            <w:r>
              <w:rPr>
                <w:spacing w:val="-6"/>
              </w:rPr>
              <w:t xml:space="preserve"> </w:t>
            </w:r>
            <w:r>
              <w:t>or</w:t>
            </w:r>
            <w:r>
              <w:rPr>
                <w:spacing w:val="-6"/>
              </w:rPr>
              <w:t xml:space="preserve"> </w:t>
            </w:r>
            <w:r>
              <w:t>analyses, budgets, or cash flow forecasts, considering any adjustments to the internal reports that may be necessary to make meaningful comparisons.</w:t>
            </w:r>
          </w:p>
          <w:p w14:paraId="0DFDD478" w14:textId="77777777" w:rsidR="00046465" w:rsidRDefault="008134EB">
            <w:pPr>
              <w:pStyle w:val="TableParagraph"/>
              <w:numPr>
                <w:ilvl w:val="1"/>
                <w:numId w:val="27"/>
              </w:numPr>
              <w:tabs>
                <w:tab w:val="left" w:pos="1259"/>
              </w:tabs>
              <w:spacing w:before="239"/>
              <w:ind w:right="130"/>
            </w:pPr>
            <w:r>
              <w:t>Review the accounting records prepared since the date of the financial statements for material transactions that may require adjustment to or disclosure in the financial statements.</w:t>
            </w:r>
            <w:r>
              <w:rPr>
                <w:spacing w:val="-6"/>
              </w:rPr>
              <w:t xml:space="preserve"> </w:t>
            </w:r>
            <w:r>
              <w:t>For</w:t>
            </w:r>
            <w:r>
              <w:rPr>
                <w:spacing w:val="-6"/>
              </w:rPr>
              <w:t xml:space="preserve"> </w:t>
            </w:r>
            <w:r>
              <w:t>example,</w:t>
            </w:r>
            <w:r>
              <w:rPr>
                <w:spacing w:val="-6"/>
              </w:rPr>
              <w:t xml:space="preserve"> </w:t>
            </w:r>
            <w:r>
              <w:t>scan</w:t>
            </w:r>
            <w:r>
              <w:rPr>
                <w:spacing w:val="-6"/>
              </w:rPr>
              <w:t xml:space="preserve"> </w:t>
            </w:r>
            <w:r>
              <w:t>the</w:t>
            </w:r>
            <w:r>
              <w:rPr>
                <w:spacing w:val="-6"/>
              </w:rPr>
              <w:t xml:space="preserve"> </w:t>
            </w:r>
            <w:r>
              <w:t>general</w:t>
            </w:r>
            <w:r>
              <w:rPr>
                <w:spacing w:val="-6"/>
              </w:rPr>
              <w:t xml:space="preserve"> </w:t>
            </w:r>
            <w:r>
              <w:t>ledger</w:t>
            </w:r>
            <w:r>
              <w:rPr>
                <w:spacing w:val="-6"/>
              </w:rPr>
              <w:t xml:space="preserve"> </w:t>
            </w:r>
            <w:r>
              <w:t>and/or journals, or both for material, unusual entries.</w:t>
            </w:r>
          </w:p>
        </w:tc>
        <w:tc>
          <w:tcPr>
            <w:tcW w:w="1170" w:type="dxa"/>
          </w:tcPr>
          <w:p w14:paraId="0DFDD479" w14:textId="77777777" w:rsidR="00046465" w:rsidRDefault="00046465">
            <w:pPr>
              <w:pStyle w:val="TableParagraph"/>
              <w:rPr>
                <w:rFonts w:ascii="Times New Roman"/>
                <w:sz w:val="20"/>
              </w:rPr>
            </w:pPr>
          </w:p>
        </w:tc>
        <w:tc>
          <w:tcPr>
            <w:tcW w:w="1368" w:type="dxa"/>
          </w:tcPr>
          <w:p w14:paraId="0DFDD47A" w14:textId="77777777" w:rsidR="00046465" w:rsidRDefault="00046465">
            <w:pPr>
              <w:pStyle w:val="TableParagraph"/>
              <w:rPr>
                <w:rFonts w:ascii="Times New Roman"/>
                <w:sz w:val="20"/>
              </w:rPr>
            </w:pPr>
          </w:p>
        </w:tc>
      </w:tr>
    </w:tbl>
    <w:p w14:paraId="0DFDD47C" w14:textId="77777777" w:rsidR="00046465" w:rsidRDefault="00046465">
      <w:pPr>
        <w:pStyle w:val="TableParagraph"/>
        <w:rPr>
          <w:rFonts w:ascii="Times New Roman"/>
          <w:sz w:val="20"/>
        </w:rPr>
        <w:sectPr w:rsidR="00046465">
          <w:pgSz w:w="12240" w:h="15840"/>
          <w:pgMar w:top="1340" w:right="720" w:bottom="940" w:left="360" w:header="721" w:footer="757" w:gutter="0"/>
          <w:cols w:space="720"/>
        </w:sectPr>
      </w:pPr>
    </w:p>
    <w:p w14:paraId="0DFDD47D" w14:textId="77777777" w:rsidR="00046465" w:rsidRDefault="00046465">
      <w:pPr>
        <w:pStyle w:val="BodyText"/>
        <w:spacing w:before="6"/>
        <w:rPr>
          <w:sz w:val="10"/>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0"/>
        <w:gridCol w:w="1170"/>
        <w:gridCol w:w="1368"/>
      </w:tblGrid>
      <w:tr w:rsidR="00046465" w14:paraId="0DFDD481" w14:textId="77777777">
        <w:trPr>
          <w:trHeight w:val="746"/>
        </w:trPr>
        <w:tc>
          <w:tcPr>
            <w:tcW w:w="6930" w:type="dxa"/>
            <w:shd w:val="clear" w:color="auto" w:fill="A6A6A6"/>
          </w:tcPr>
          <w:p w14:paraId="0DFDD47E" w14:textId="77777777" w:rsidR="00046465" w:rsidRDefault="008134EB">
            <w:pPr>
              <w:pStyle w:val="TableParagraph"/>
              <w:spacing w:before="120"/>
              <w:ind w:left="107"/>
              <w:rPr>
                <w:b/>
              </w:rPr>
            </w:pPr>
            <w:r>
              <w:rPr>
                <w:b/>
              </w:rPr>
              <w:t>Subsequent</w:t>
            </w:r>
            <w:r>
              <w:rPr>
                <w:b/>
                <w:spacing w:val="-8"/>
              </w:rPr>
              <w:t xml:space="preserve"> </w:t>
            </w:r>
            <w:r>
              <w:rPr>
                <w:b/>
              </w:rPr>
              <w:t>Events</w:t>
            </w:r>
            <w:r>
              <w:rPr>
                <w:b/>
                <w:spacing w:val="-7"/>
              </w:rPr>
              <w:t xml:space="preserve"> </w:t>
            </w:r>
            <w:r>
              <w:rPr>
                <w:b/>
              </w:rPr>
              <w:t>Review</w:t>
            </w:r>
            <w:r>
              <w:rPr>
                <w:b/>
                <w:spacing w:val="-9"/>
              </w:rPr>
              <w:t xml:space="preserve"> </w:t>
            </w:r>
            <w:r>
              <w:rPr>
                <w:b/>
              </w:rPr>
              <w:t>–</w:t>
            </w:r>
            <w:r>
              <w:rPr>
                <w:b/>
                <w:spacing w:val="-7"/>
              </w:rPr>
              <w:t xml:space="preserve"> </w:t>
            </w:r>
            <w:r>
              <w:rPr>
                <w:b/>
              </w:rPr>
              <w:t>Audit</w:t>
            </w:r>
            <w:r>
              <w:rPr>
                <w:b/>
                <w:spacing w:val="-8"/>
              </w:rPr>
              <w:t xml:space="preserve"> </w:t>
            </w:r>
            <w:r>
              <w:rPr>
                <w:b/>
                <w:spacing w:val="-2"/>
              </w:rPr>
              <w:t>Procedures</w:t>
            </w:r>
          </w:p>
        </w:tc>
        <w:tc>
          <w:tcPr>
            <w:tcW w:w="1170" w:type="dxa"/>
            <w:shd w:val="clear" w:color="auto" w:fill="A6A6A6"/>
          </w:tcPr>
          <w:p w14:paraId="0DFDD47F" w14:textId="77777777" w:rsidR="00046465" w:rsidRDefault="008134EB">
            <w:pPr>
              <w:pStyle w:val="TableParagraph"/>
              <w:spacing w:before="120"/>
              <w:ind w:left="107" w:right="144"/>
              <w:rPr>
                <w:b/>
              </w:rPr>
            </w:pPr>
            <w:r>
              <w:rPr>
                <w:b/>
                <w:spacing w:val="-2"/>
              </w:rPr>
              <w:t xml:space="preserve">Initials </w:t>
            </w:r>
            <w:r>
              <w:rPr>
                <w:b/>
              </w:rPr>
              <w:t>and</w:t>
            </w:r>
            <w:r>
              <w:rPr>
                <w:b/>
                <w:spacing w:val="-16"/>
              </w:rPr>
              <w:t xml:space="preserve"> </w:t>
            </w:r>
            <w:r>
              <w:rPr>
                <w:b/>
              </w:rPr>
              <w:t>date</w:t>
            </w:r>
          </w:p>
        </w:tc>
        <w:tc>
          <w:tcPr>
            <w:tcW w:w="1368" w:type="dxa"/>
            <w:shd w:val="clear" w:color="auto" w:fill="A6A6A6"/>
          </w:tcPr>
          <w:p w14:paraId="0DFDD480" w14:textId="77777777" w:rsidR="00046465" w:rsidRDefault="008134EB">
            <w:pPr>
              <w:pStyle w:val="TableParagraph"/>
              <w:spacing w:before="120"/>
              <w:ind w:left="107"/>
              <w:rPr>
                <w:b/>
              </w:rPr>
            </w:pPr>
            <w:r>
              <w:rPr>
                <w:b/>
              </w:rPr>
              <w:t>Doc.</w:t>
            </w:r>
            <w:r>
              <w:rPr>
                <w:b/>
                <w:spacing w:val="-6"/>
              </w:rPr>
              <w:t xml:space="preserve"> </w:t>
            </w:r>
            <w:r>
              <w:rPr>
                <w:b/>
                <w:spacing w:val="-4"/>
              </w:rPr>
              <w:t>ref.</w:t>
            </w:r>
          </w:p>
        </w:tc>
      </w:tr>
      <w:tr w:rsidR="00046465" w14:paraId="0DFDD499" w14:textId="77777777">
        <w:trPr>
          <w:trHeight w:val="12237"/>
        </w:trPr>
        <w:tc>
          <w:tcPr>
            <w:tcW w:w="6930" w:type="dxa"/>
          </w:tcPr>
          <w:p w14:paraId="0DFDD482" w14:textId="77777777" w:rsidR="00046465" w:rsidRDefault="008134EB">
            <w:pPr>
              <w:pStyle w:val="TableParagraph"/>
              <w:spacing w:before="99"/>
              <w:ind w:left="107"/>
              <w:rPr>
                <w:b/>
              </w:rPr>
            </w:pPr>
            <w:r>
              <w:rPr>
                <w:b/>
                <w:u w:val="single"/>
              </w:rPr>
              <w:t>III.</w:t>
            </w:r>
            <w:r>
              <w:rPr>
                <w:b/>
                <w:spacing w:val="-6"/>
                <w:u w:val="single"/>
              </w:rPr>
              <w:t xml:space="preserve"> </w:t>
            </w:r>
            <w:r>
              <w:rPr>
                <w:b/>
                <w:u w:val="single"/>
              </w:rPr>
              <w:t>Inquire</w:t>
            </w:r>
            <w:r>
              <w:rPr>
                <w:b/>
                <w:spacing w:val="-4"/>
                <w:u w:val="single"/>
              </w:rPr>
              <w:t xml:space="preserve"> </w:t>
            </w:r>
            <w:r>
              <w:rPr>
                <w:b/>
                <w:u w:val="single"/>
              </w:rPr>
              <w:t>of</w:t>
            </w:r>
            <w:r>
              <w:rPr>
                <w:b/>
                <w:spacing w:val="-4"/>
                <w:u w:val="single"/>
              </w:rPr>
              <w:t xml:space="preserve"> </w:t>
            </w:r>
            <w:r>
              <w:rPr>
                <w:b/>
                <w:spacing w:val="-2"/>
                <w:u w:val="single"/>
              </w:rPr>
              <w:t>management</w:t>
            </w:r>
          </w:p>
          <w:p w14:paraId="0DFDD483" w14:textId="77777777" w:rsidR="00046465" w:rsidRDefault="008134EB">
            <w:pPr>
              <w:pStyle w:val="TableParagraph"/>
              <w:spacing w:before="201"/>
              <w:ind w:left="453"/>
            </w:pPr>
            <w:r>
              <w:t>Based on AU-C 560.10b and .A6, inquire of management and, when appropriate, those charged with governance, whether any subsequent</w:t>
            </w:r>
            <w:r>
              <w:rPr>
                <w:spacing w:val="-6"/>
              </w:rPr>
              <w:t xml:space="preserve"> </w:t>
            </w:r>
            <w:r>
              <w:t>events</w:t>
            </w:r>
            <w:r>
              <w:rPr>
                <w:spacing w:val="-5"/>
              </w:rPr>
              <w:t xml:space="preserve"> </w:t>
            </w:r>
            <w:r>
              <w:t>have</w:t>
            </w:r>
            <w:r>
              <w:rPr>
                <w:spacing w:val="-6"/>
              </w:rPr>
              <w:t xml:space="preserve"> </w:t>
            </w:r>
            <w:r>
              <w:t>occurred</w:t>
            </w:r>
            <w:r>
              <w:rPr>
                <w:spacing w:val="-5"/>
              </w:rPr>
              <w:t xml:space="preserve"> </w:t>
            </w:r>
            <w:r>
              <w:t>that</w:t>
            </w:r>
            <w:r>
              <w:rPr>
                <w:spacing w:val="-5"/>
              </w:rPr>
              <w:t xml:space="preserve"> </w:t>
            </w:r>
            <w:r>
              <w:t>might</w:t>
            </w:r>
            <w:r>
              <w:rPr>
                <w:spacing w:val="-5"/>
              </w:rPr>
              <w:t xml:space="preserve"> </w:t>
            </w:r>
            <w:r>
              <w:t>materially</w:t>
            </w:r>
            <w:r>
              <w:rPr>
                <w:spacing w:val="-5"/>
              </w:rPr>
              <w:t xml:space="preserve"> </w:t>
            </w:r>
            <w:r>
              <w:t>affect</w:t>
            </w:r>
            <w:r>
              <w:rPr>
                <w:spacing w:val="-6"/>
              </w:rPr>
              <w:t xml:space="preserve"> </w:t>
            </w:r>
            <w:r>
              <w:t>the financial statements. Inquiries may include the following:</w:t>
            </w:r>
          </w:p>
          <w:p w14:paraId="0DFDD484" w14:textId="77777777" w:rsidR="00046465" w:rsidRDefault="008134EB">
            <w:pPr>
              <w:pStyle w:val="TableParagraph"/>
              <w:numPr>
                <w:ilvl w:val="0"/>
                <w:numId w:val="26"/>
              </w:numPr>
              <w:tabs>
                <w:tab w:val="left" w:pos="684"/>
              </w:tabs>
              <w:spacing w:before="200"/>
              <w:ind w:right="399"/>
            </w:pPr>
            <w:r>
              <w:t>whether</w:t>
            </w:r>
            <w:r>
              <w:rPr>
                <w:spacing w:val="-6"/>
              </w:rPr>
              <w:t xml:space="preserve"> </w:t>
            </w:r>
            <w:r>
              <w:t>new</w:t>
            </w:r>
            <w:r>
              <w:rPr>
                <w:spacing w:val="-7"/>
              </w:rPr>
              <w:t xml:space="preserve"> </w:t>
            </w:r>
            <w:r>
              <w:t>commitments,</w:t>
            </w:r>
            <w:r>
              <w:rPr>
                <w:spacing w:val="-6"/>
              </w:rPr>
              <w:t xml:space="preserve"> </w:t>
            </w:r>
            <w:r>
              <w:t>borrowings,</w:t>
            </w:r>
            <w:r>
              <w:rPr>
                <w:spacing w:val="-6"/>
              </w:rPr>
              <w:t xml:space="preserve"> </w:t>
            </w:r>
            <w:r>
              <w:t>or</w:t>
            </w:r>
            <w:r>
              <w:rPr>
                <w:spacing w:val="-6"/>
              </w:rPr>
              <w:t xml:space="preserve"> </w:t>
            </w:r>
            <w:r>
              <w:t>guarantees</w:t>
            </w:r>
            <w:r>
              <w:rPr>
                <w:spacing w:val="-6"/>
              </w:rPr>
              <w:t xml:space="preserve"> </w:t>
            </w:r>
            <w:r>
              <w:t>have been entered into</w:t>
            </w:r>
          </w:p>
          <w:p w14:paraId="0DFDD485" w14:textId="77777777" w:rsidR="00046465" w:rsidRDefault="008134EB">
            <w:pPr>
              <w:pStyle w:val="TableParagraph"/>
              <w:numPr>
                <w:ilvl w:val="0"/>
                <w:numId w:val="26"/>
              </w:numPr>
              <w:tabs>
                <w:tab w:val="left" w:pos="684"/>
              </w:tabs>
              <w:spacing w:before="100"/>
              <w:ind w:right="717"/>
            </w:pPr>
            <w:r>
              <w:t>whether</w:t>
            </w:r>
            <w:r>
              <w:rPr>
                <w:spacing w:val="-6"/>
              </w:rPr>
              <w:t xml:space="preserve"> </w:t>
            </w:r>
            <w:r>
              <w:t>any</w:t>
            </w:r>
            <w:r>
              <w:rPr>
                <w:spacing w:val="-6"/>
              </w:rPr>
              <w:t xml:space="preserve"> </w:t>
            </w:r>
            <w:r>
              <w:t>significant</w:t>
            </w:r>
            <w:r>
              <w:rPr>
                <w:spacing w:val="-6"/>
              </w:rPr>
              <w:t xml:space="preserve"> </w:t>
            </w:r>
            <w:r>
              <w:t>changes</w:t>
            </w:r>
            <w:r>
              <w:rPr>
                <w:spacing w:val="-6"/>
              </w:rPr>
              <w:t xml:space="preserve"> </w:t>
            </w:r>
            <w:r>
              <w:t>occurred</w:t>
            </w:r>
            <w:r>
              <w:rPr>
                <w:spacing w:val="-6"/>
              </w:rPr>
              <w:t xml:space="preserve"> </w:t>
            </w:r>
            <w:r>
              <w:t>in</w:t>
            </w:r>
            <w:r>
              <w:rPr>
                <w:spacing w:val="-6"/>
              </w:rPr>
              <w:t xml:space="preserve"> </w:t>
            </w:r>
            <w:r>
              <w:t>the</w:t>
            </w:r>
            <w:r>
              <w:rPr>
                <w:spacing w:val="-7"/>
              </w:rPr>
              <w:t xml:space="preserve"> </w:t>
            </w:r>
            <w:r>
              <w:t>financial condition</w:t>
            </w:r>
            <w:r>
              <w:rPr>
                <w:spacing w:val="-1"/>
              </w:rPr>
              <w:t xml:space="preserve"> </w:t>
            </w:r>
            <w:r>
              <w:t>of</w:t>
            </w:r>
            <w:r>
              <w:rPr>
                <w:spacing w:val="-2"/>
              </w:rPr>
              <w:t xml:space="preserve"> </w:t>
            </w:r>
            <w:r>
              <w:t>the</w:t>
            </w:r>
            <w:r>
              <w:rPr>
                <w:spacing w:val="-1"/>
              </w:rPr>
              <w:t xml:space="preserve"> </w:t>
            </w:r>
            <w:r>
              <w:t>entity</w:t>
            </w:r>
            <w:r>
              <w:rPr>
                <w:spacing w:val="-1"/>
              </w:rPr>
              <w:t xml:space="preserve"> </w:t>
            </w:r>
            <w:r>
              <w:t>or</w:t>
            </w:r>
            <w:r>
              <w:rPr>
                <w:spacing w:val="-3"/>
              </w:rPr>
              <w:t xml:space="preserve"> </w:t>
            </w:r>
            <w:r>
              <w:t>in</w:t>
            </w:r>
            <w:r>
              <w:rPr>
                <w:spacing w:val="-1"/>
              </w:rPr>
              <w:t xml:space="preserve"> </w:t>
            </w:r>
            <w:r>
              <w:t>net</w:t>
            </w:r>
            <w:r>
              <w:rPr>
                <w:spacing w:val="-1"/>
              </w:rPr>
              <w:t xml:space="preserve"> </w:t>
            </w:r>
            <w:r>
              <w:t>position</w:t>
            </w:r>
            <w:r>
              <w:rPr>
                <w:spacing w:val="-1"/>
              </w:rPr>
              <w:t xml:space="preserve"> </w:t>
            </w:r>
            <w:r>
              <w:t>or</w:t>
            </w:r>
            <w:r>
              <w:rPr>
                <w:spacing w:val="-1"/>
              </w:rPr>
              <w:t xml:space="preserve"> </w:t>
            </w:r>
            <w:r>
              <w:t>long-term</w:t>
            </w:r>
            <w:r>
              <w:rPr>
                <w:spacing w:val="-2"/>
              </w:rPr>
              <w:t xml:space="preserve"> </w:t>
            </w:r>
            <w:r>
              <w:t>debt</w:t>
            </w:r>
          </w:p>
          <w:p w14:paraId="0DFDD486" w14:textId="77777777" w:rsidR="00046465" w:rsidRDefault="008134EB">
            <w:pPr>
              <w:pStyle w:val="TableParagraph"/>
              <w:numPr>
                <w:ilvl w:val="0"/>
                <w:numId w:val="26"/>
              </w:numPr>
              <w:tabs>
                <w:tab w:val="left" w:pos="684"/>
              </w:tabs>
              <w:spacing w:before="253"/>
              <w:ind w:right="219"/>
            </w:pPr>
            <w:r>
              <w:t>whether there are any items in the financial statements that were</w:t>
            </w:r>
            <w:r>
              <w:rPr>
                <w:spacing w:val="-5"/>
              </w:rPr>
              <w:t xml:space="preserve"> </w:t>
            </w:r>
            <w:r>
              <w:t>accounted</w:t>
            </w:r>
            <w:r>
              <w:rPr>
                <w:spacing w:val="-5"/>
              </w:rPr>
              <w:t xml:space="preserve"> </w:t>
            </w:r>
            <w:r>
              <w:t>for</w:t>
            </w:r>
            <w:r>
              <w:rPr>
                <w:spacing w:val="-5"/>
              </w:rPr>
              <w:t xml:space="preserve"> </w:t>
            </w:r>
            <w:r>
              <w:t>on</w:t>
            </w:r>
            <w:r>
              <w:rPr>
                <w:spacing w:val="-5"/>
              </w:rPr>
              <w:t xml:space="preserve"> </w:t>
            </w:r>
            <w:r>
              <w:t>the</w:t>
            </w:r>
            <w:r>
              <w:rPr>
                <w:spacing w:val="-5"/>
              </w:rPr>
              <w:t xml:space="preserve"> </w:t>
            </w:r>
            <w:r>
              <w:t>basis</w:t>
            </w:r>
            <w:r>
              <w:rPr>
                <w:spacing w:val="-5"/>
              </w:rPr>
              <w:t xml:space="preserve"> </w:t>
            </w:r>
            <w:r>
              <w:t>of</w:t>
            </w:r>
            <w:r>
              <w:rPr>
                <w:spacing w:val="-6"/>
              </w:rPr>
              <w:t xml:space="preserve"> </w:t>
            </w:r>
            <w:r>
              <w:t>preliminary</w:t>
            </w:r>
            <w:r>
              <w:rPr>
                <w:spacing w:val="-6"/>
              </w:rPr>
              <w:t xml:space="preserve"> </w:t>
            </w:r>
            <w:r>
              <w:t>or</w:t>
            </w:r>
            <w:r>
              <w:rPr>
                <w:spacing w:val="-5"/>
              </w:rPr>
              <w:t xml:space="preserve"> </w:t>
            </w:r>
            <w:r>
              <w:t>inconclusive data and the current status of such items</w:t>
            </w:r>
          </w:p>
          <w:p w14:paraId="0DFDD487" w14:textId="77777777" w:rsidR="00046465" w:rsidRDefault="008134EB">
            <w:pPr>
              <w:pStyle w:val="TableParagraph"/>
              <w:numPr>
                <w:ilvl w:val="0"/>
                <w:numId w:val="26"/>
              </w:numPr>
              <w:tabs>
                <w:tab w:val="left" w:pos="684"/>
              </w:tabs>
              <w:spacing w:before="252"/>
              <w:ind w:right="265"/>
            </w:pPr>
            <w:r>
              <w:t>whether</w:t>
            </w:r>
            <w:r>
              <w:rPr>
                <w:spacing w:val="-5"/>
              </w:rPr>
              <w:t xml:space="preserve"> </w:t>
            </w:r>
            <w:r>
              <w:t>any</w:t>
            </w:r>
            <w:r>
              <w:rPr>
                <w:spacing w:val="-5"/>
              </w:rPr>
              <w:t xml:space="preserve"> </w:t>
            </w:r>
            <w:r>
              <w:t>significant</w:t>
            </w:r>
            <w:r>
              <w:rPr>
                <w:spacing w:val="-5"/>
              </w:rPr>
              <w:t xml:space="preserve"> </w:t>
            </w:r>
            <w:r>
              <w:t>changes</w:t>
            </w:r>
            <w:r>
              <w:rPr>
                <w:spacing w:val="-5"/>
              </w:rPr>
              <w:t xml:space="preserve"> </w:t>
            </w:r>
            <w:r>
              <w:t>in</w:t>
            </w:r>
            <w:r>
              <w:rPr>
                <w:spacing w:val="-5"/>
              </w:rPr>
              <w:t xml:space="preserve"> </w:t>
            </w:r>
            <w:r>
              <w:t>estimates</w:t>
            </w:r>
            <w:r>
              <w:rPr>
                <w:spacing w:val="-5"/>
              </w:rPr>
              <w:t xml:space="preserve"> </w:t>
            </w:r>
            <w:r>
              <w:t>were</w:t>
            </w:r>
            <w:r>
              <w:rPr>
                <w:spacing w:val="-5"/>
              </w:rPr>
              <w:t xml:space="preserve"> </w:t>
            </w:r>
            <w:r>
              <w:t>made</w:t>
            </w:r>
            <w:r>
              <w:rPr>
                <w:spacing w:val="-5"/>
              </w:rPr>
              <w:t xml:space="preserve"> </w:t>
            </w:r>
            <w:r>
              <w:t>with respect to amounts included or disclosed in the financial statements, or any significant changes in assumptions or factors were considered in determining estimates</w:t>
            </w:r>
          </w:p>
          <w:p w14:paraId="0DFDD488" w14:textId="77777777" w:rsidR="00046465" w:rsidRDefault="00046465">
            <w:pPr>
              <w:pStyle w:val="TableParagraph"/>
              <w:spacing w:before="1"/>
            </w:pPr>
          </w:p>
          <w:p w14:paraId="0DFDD489" w14:textId="77777777" w:rsidR="00046465" w:rsidRDefault="008134EB">
            <w:pPr>
              <w:pStyle w:val="TableParagraph"/>
              <w:numPr>
                <w:ilvl w:val="0"/>
                <w:numId w:val="26"/>
              </w:numPr>
              <w:tabs>
                <w:tab w:val="left" w:pos="684"/>
              </w:tabs>
              <w:ind w:right="129"/>
            </w:pPr>
            <w:r>
              <w:t>whether</w:t>
            </w:r>
            <w:r>
              <w:rPr>
                <w:spacing w:val="-6"/>
              </w:rPr>
              <w:t xml:space="preserve"> </w:t>
            </w:r>
            <w:r>
              <w:t>any</w:t>
            </w:r>
            <w:r>
              <w:rPr>
                <w:spacing w:val="-6"/>
              </w:rPr>
              <w:t xml:space="preserve"> </w:t>
            </w:r>
            <w:r>
              <w:t>unusual</w:t>
            </w:r>
            <w:r>
              <w:rPr>
                <w:spacing w:val="-5"/>
              </w:rPr>
              <w:t xml:space="preserve"> </w:t>
            </w:r>
            <w:r>
              <w:t>accounting</w:t>
            </w:r>
            <w:r>
              <w:rPr>
                <w:spacing w:val="-6"/>
              </w:rPr>
              <w:t xml:space="preserve"> </w:t>
            </w:r>
            <w:r>
              <w:t>adjustments</w:t>
            </w:r>
            <w:r>
              <w:rPr>
                <w:spacing w:val="-5"/>
              </w:rPr>
              <w:t xml:space="preserve"> </w:t>
            </w:r>
            <w:r>
              <w:t>have</w:t>
            </w:r>
            <w:r>
              <w:rPr>
                <w:spacing w:val="-6"/>
              </w:rPr>
              <w:t xml:space="preserve"> </w:t>
            </w:r>
            <w:r>
              <w:t>been</w:t>
            </w:r>
            <w:r>
              <w:rPr>
                <w:spacing w:val="-6"/>
              </w:rPr>
              <w:t xml:space="preserve"> </w:t>
            </w:r>
            <w:r>
              <w:t>made or are contemplated</w:t>
            </w:r>
          </w:p>
          <w:p w14:paraId="0DFDD48A" w14:textId="77777777" w:rsidR="00046465" w:rsidRDefault="00046465">
            <w:pPr>
              <w:pStyle w:val="TableParagraph"/>
            </w:pPr>
          </w:p>
          <w:p w14:paraId="0DFDD48B" w14:textId="77777777" w:rsidR="00046465" w:rsidRDefault="008134EB">
            <w:pPr>
              <w:pStyle w:val="TableParagraph"/>
              <w:numPr>
                <w:ilvl w:val="0"/>
                <w:numId w:val="26"/>
              </w:numPr>
              <w:tabs>
                <w:tab w:val="left" w:pos="684"/>
              </w:tabs>
              <w:ind w:right="218" w:hanging="576"/>
            </w:pPr>
            <w:r>
              <w:t>whether there have been any developments regarding contingencies,</w:t>
            </w:r>
            <w:r>
              <w:rPr>
                <w:spacing w:val="-6"/>
              </w:rPr>
              <w:t xml:space="preserve"> </w:t>
            </w:r>
            <w:r>
              <w:t>including</w:t>
            </w:r>
            <w:r>
              <w:rPr>
                <w:spacing w:val="-7"/>
              </w:rPr>
              <w:t xml:space="preserve"> </w:t>
            </w:r>
            <w:r>
              <w:t>those</w:t>
            </w:r>
            <w:r>
              <w:rPr>
                <w:spacing w:val="-6"/>
              </w:rPr>
              <w:t xml:space="preserve"> </w:t>
            </w:r>
            <w:r>
              <w:t>related</w:t>
            </w:r>
            <w:r>
              <w:rPr>
                <w:spacing w:val="-6"/>
              </w:rPr>
              <w:t xml:space="preserve"> </w:t>
            </w:r>
            <w:r>
              <w:t>to</w:t>
            </w:r>
            <w:r>
              <w:rPr>
                <w:spacing w:val="-6"/>
              </w:rPr>
              <w:t xml:space="preserve"> </w:t>
            </w:r>
            <w:r>
              <w:t>litigation,</w:t>
            </w:r>
            <w:r>
              <w:rPr>
                <w:spacing w:val="-6"/>
              </w:rPr>
              <w:t xml:space="preserve"> </w:t>
            </w:r>
            <w:r>
              <w:t>claims,</w:t>
            </w:r>
            <w:r>
              <w:rPr>
                <w:spacing w:val="-6"/>
              </w:rPr>
              <w:t xml:space="preserve"> </w:t>
            </w:r>
            <w:r>
              <w:t xml:space="preserve">and </w:t>
            </w:r>
            <w:r>
              <w:rPr>
                <w:spacing w:val="-2"/>
              </w:rPr>
              <w:t>assessments</w:t>
            </w:r>
          </w:p>
          <w:p w14:paraId="0DFDD48C" w14:textId="77777777" w:rsidR="00046465" w:rsidRDefault="00046465">
            <w:pPr>
              <w:pStyle w:val="TableParagraph"/>
            </w:pPr>
          </w:p>
          <w:p w14:paraId="0DFDD48D" w14:textId="77777777" w:rsidR="00046465" w:rsidRDefault="008134EB">
            <w:pPr>
              <w:pStyle w:val="TableParagraph"/>
              <w:numPr>
                <w:ilvl w:val="0"/>
                <w:numId w:val="26"/>
              </w:numPr>
              <w:tabs>
                <w:tab w:val="left" w:pos="684"/>
              </w:tabs>
              <w:ind w:right="607" w:hanging="576"/>
            </w:pPr>
            <w:r>
              <w:t>whether</w:t>
            </w:r>
            <w:r>
              <w:rPr>
                <w:spacing w:val="-6"/>
              </w:rPr>
              <w:t xml:space="preserve"> </w:t>
            </w:r>
            <w:r>
              <w:t>any</w:t>
            </w:r>
            <w:r>
              <w:rPr>
                <w:spacing w:val="-6"/>
              </w:rPr>
              <w:t xml:space="preserve"> </w:t>
            </w:r>
            <w:r>
              <w:t>significant</w:t>
            </w:r>
            <w:r>
              <w:rPr>
                <w:spacing w:val="-6"/>
              </w:rPr>
              <w:t xml:space="preserve"> </w:t>
            </w:r>
            <w:r>
              <w:t>acquisitions</w:t>
            </w:r>
            <w:r>
              <w:rPr>
                <w:spacing w:val="-5"/>
              </w:rPr>
              <w:t xml:space="preserve"> </w:t>
            </w:r>
            <w:r>
              <w:t>or</w:t>
            </w:r>
            <w:r>
              <w:rPr>
                <w:spacing w:val="-6"/>
              </w:rPr>
              <w:t xml:space="preserve"> </w:t>
            </w:r>
            <w:r>
              <w:t>disposals</w:t>
            </w:r>
            <w:r>
              <w:rPr>
                <w:spacing w:val="-7"/>
              </w:rPr>
              <w:t xml:space="preserve"> </w:t>
            </w:r>
            <w:r>
              <w:t>of</w:t>
            </w:r>
            <w:r>
              <w:rPr>
                <w:spacing w:val="-6"/>
              </w:rPr>
              <w:t xml:space="preserve"> </w:t>
            </w:r>
            <w:r>
              <w:t>assets have occurred or are planned</w:t>
            </w:r>
          </w:p>
          <w:p w14:paraId="0DFDD48E" w14:textId="77777777" w:rsidR="00046465" w:rsidRDefault="00046465">
            <w:pPr>
              <w:pStyle w:val="TableParagraph"/>
            </w:pPr>
          </w:p>
          <w:p w14:paraId="0DFDD48F" w14:textId="77777777" w:rsidR="00046465" w:rsidRDefault="008134EB">
            <w:pPr>
              <w:pStyle w:val="TableParagraph"/>
              <w:numPr>
                <w:ilvl w:val="0"/>
                <w:numId w:val="26"/>
              </w:numPr>
              <w:tabs>
                <w:tab w:val="left" w:pos="683"/>
              </w:tabs>
              <w:ind w:left="683" w:right="411" w:hanging="576"/>
            </w:pPr>
            <w:r>
              <w:t>whether</w:t>
            </w:r>
            <w:r>
              <w:rPr>
                <w:spacing w:val="-4"/>
              </w:rPr>
              <w:t xml:space="preserve"> </w:t>
            </w:r>
            <w:r>
              <w:t>any</w:t>
            </w:r>
            <w:r>
              <w:rPr>
                <w:spacing w:val="-4"/>
              </w:rPr>
              <w:t xml:space="preserve"> </w:t>
            </w:r>
            <w:r>
              <w:t>events</w:t>
            </w:r>
            <w:r>
              <w:rPr>
                <w:spacing w:val="-4"/>
              </w:rPr>
              <w:t xml:space="preserve"> </w:t>
            </w:r>
            <w:r>
              <w:t>have</w:t>
            </w:r>
            <w:r>
              <w:rPr>
                <w:spacing w:val="-4"/>
              </w:rPr>
              <w:t xml:space="preserve"> </w:t>
            </w:r>
            <w:r>
              <w:t>occurred</w:t>
            </w:r>
            <w:r>
              <w:rPr>
                <w:spacing w:val="-4"/>
              </w:rPr>
              <w:t xml:space="preserve"> </w:t>
            </w:r>
            <w:r>
              <w:t>or</w:t>
            </w:r>
            <w:r>
              <w:rPr>
                <w:spacing w:val="-4"/>
              </w:rPr>
              <w:t xml:space="preserve"> </w:t>
            </w:r>
            <w:r>
              <w:t>are</w:t>
            </w:r>
            <w:r>
              <w:rPr>
                <w:spacing w:val="-4"/>
              </w:rPr>
              <w:t xml:space="preserve"> </w:t>
            </w:r>
            <w:r>
              <w:t>likely</w:t>
            </w:r>
            <w:r>
              <w:rPr>
                <w:spacing w:val="-4"/>
              </w:rPr>
              <w:t xml:space="preserve"> </w:t>
            </w:r>
            <w:r>
              <w:t>to</w:t>
            </w:r>
            <w:r>
              <w:rPr>
                <w:spacing w:val="-4"/>
              </w:rPr>
              <w:t xml:space="preserve"> </w:t>
            </w:r>
            <w:r>
              <w:t>occur</w:t>
            </w:r>
            <w:r>
              <w:rPr>
                <w:spacing w:val="-4"/>
              </w:rPr>
              <w:t xml:space="preserve"> </w:t>
            </w:r>
            <w:r>
              <w:t>that will bring into question the appropriateness of accounting policies used in the financial statements</w:t>
            </w:r>
          </w:p>
          <w:p w14:paraId="0DFDD490" w14:textId="77777777" w:rsidR="00046465" w:rsidRDefault="00046465">
            <w:pPr>
              <w:pStyle w:val="TableParagraph"/>
            </w:pPr>
          </w:p>
          <w:p w14:paraId="0DFDD491" w14:textId="77777777" w:rsidR="00046465" w:rsidRDefault="008134EB">
            <w:pPr>
              <w:pStyle w:val="TableParagraph"/>
              <w:numPr>
                <w:ilvl w:val="0"/>
                <w:numId w:val="26"/>
              </w:numPr>
              <w:tabs>
                <w:tab w:val="left" w:pos="683"/>
              </w:tabs>
              <w:ind w:left="683" w:right="254" w:hanging="576"/>
            </w:pPr>
            <w:r>
              <w:t>whether any events have occurred that are relevant to the measurement</w:t>
            </w:r>
            <w:r>
              <w:rPr>
                <w:spacing w:val="-5"/>
              </w:rPr>
              <w:t xml:space="preserve"> </w:t>
            </w:r>
            <w:r>
              <w:t>of</w:t>
            </w:r>
            <w:r>
              <w:rPr>
                <w:spacing w:val="-5"/>
              </w:rPr>
              <w:t xml:space="preserve"> </w:t>
            </w:r>
            <w:r>
              <w:t>estimates</w:t>
            </w:r>
            <w:r>
              <w:rPr>
                <w:spacing w:val="-5"/>
              </w:rPr>
              <w:t xml:space="preserve"> </w:t>
            </w:r>
            <w:r>
              <w:t>or</w:t>
            </w:r>
            <w:r>
              <w:rPr>
                <w:spacing w:val="-5"/>
              </w:rPr>
              <w:t xml:space="preserve"> </w:t>
            </w:r>
            <w:r>
              <w:t>provisions</w:t>
            </w:r>
            <w:r>
              <w:rPr>
                <w:spacing w:val="-5"/>
              </w:rPr>
              <w:t xml:space="preserve"> </w:t>
            </w:r>
            <w:r>
              <w:t>made</w:t>
            </w:r>
            <w:r>
              <w:rPr>
                <w:spacing w:val="-5"/>
              </w:rPr>
              <w:t xml:space="preserve"> </w:t>
            </w:r>
            <w:r>
              <w:t>in</w:t>
            </w:r>
            <w:r>
              <w:rPr>
                <w:spacing w:val="-5"/>
              </w:rPr>
              <w:t xml:space="preserve"> </w:t>
            </w:r>
            <w:r>
              <w:t>the</w:t>
            </w:r>
            <w:r>
              <w:rPr>
                <w:spacing w:val="-5"/>
              </w:rPr>
              <w:t xml:space="preserve"> </w:t>
            </w:r>
            <w:r>
              <w:t xml:space="preserve">financial </w:t>
            </w:r>
            <w:r>
              <w:rPr>
                <w:spacing w:val="-2"/>
              </w:rPr>
              <w:t>statements</w:t>
            </w:r>
          </w:p>
          <w:p w14:paraId="0DFDD492" w14:textId="77777777" w:rsidR="00046465" w:rsidRDefault="00046465">
            <w:pPr>
              <w:pStyle w:val="TableParagraph"/>
            </w:pPr>
          </w:p>
          <w:p w14:paraId="0DFDD493" w14:textId="77777777" w:rsidR="00046465" w:rsidRDefault="008134EB">
            <w:pPr>
              <w:pStyle w:val="TableParagraph"/>
              <w:numPr>
                <w:ilvl w:val="0"/>
                <w:numId w:val="26"/>
              </w:numPr>
              <w:tabs>
                <w:tab w:val="left" w:pos="683"/>
              </w:tabs>
              <w:ind w:left="683" w:right="511"/>
            </w:pPr>
            <w:r>
              <w:t>whether any events have occurred that are relevant to the recoverability</w:t>
            </w:r>
            <w:r>
              <w:rPr>
                <w:spacing w:val="-6"/>
              </w:rPr>
              <w:t xml:space="preserve"> </w:t>
            </w:r>
            <w:r>
              <w:t>of</w:t>
            </w:r>
            <w:r>
              <w:rPr>
                <w:spacing w:val="-6"/>
              </w:rPr>
              <w:t xml:space="preserve"> </w:t>
            </w:r>
            <w:r>
              <w:t>assets</w:t>
            </w:r>
            <w:r>
              <w:rPr>
                <w:spacing w:val="-6"/>
              </w:rPr>
              <w:t xml:space="preserve"> </w:t>
            </w:r>
            <w:r>
              <w:t>(e.g.,</w:t>
            </w:r>
            <w:r>
              <w:rPr>
                <w:spacing w:val="-6"/>
              </w:rPr>
              <w:t xml:space="preserve"> </w:t>
            </w:r>
            <w:r>
              <w:t>impairment</w:t>
            </w:r>
            <w:r>
              <w:rPr>
                <w:spacing w:val="-6"/>
              </w:rPr>
              <w:t xml:space="preserve"> </w:t>
            </w:r>
            <w:r>
              <w:t>of</w:t>
            </w:r>
            <w:r>
              <w:rPr>
                <w:spacing w:val="-6"/>
              </w:rPr>
              <w:t xml:space="preserve"> </w:t>
            </w:r>
            <w:r>
              <w:t>property,</w:t>
            </w:r>
            <w:r>
              <w:rPr>
                <w:spacing w:val="-6"/>
              </w:rPr>
              <w:t xml:space="preserve"> </w:t>
            </w:r>
            <w:r>
              <w:t>plant, and equipment)</w:t>
            </w:r>
          </w:p>
          <w:p w14:paraId="0DFDD494" w14:textId="77777777" w:rsidR="00046465" w:rsidRDefault="00046465">
            <w:pPr>
              <w:pStyle w:val="TableParagraph"/>
              <w:spacing w:before="1"/>
            </w:pPr>
          </w:p>
          <w:p w14:paraId="0DFDD495" w14:textId="77777777" w:rsidR="00046465" w:rsidRDefault="008134EB">
            <w:pPr>
              <w:pStyle w:val="TableParagraph"/>
              <w:numPr>
                <w:ilvl w:val="0"/>
                <w:numId w:val="26"/>
              </w:numPr>
              <w:tabs>
                <w:tab w:val="left" w:pos="680"/>
                <w:tab w:val="left" w:pos="683"/>
              </w:tabs>
              <w:ind w:left="683" w:right="1110"/>
              <w:jc w:val="both"/>
            </w:pPr>
            <w:r>
              <w:t>whether there have been</w:t>
            </w:r>
            <w:r>
              <w:rPr>
                <w:spacing w:val="-1"/>
              </w:rPr>
              <w:t xml:space="preserve"> </w:t>
            </w:r>
            <w:r>
              <w:t>any changes in the entity’s disclosure</w:t>
            </w:r>
            <w:r>
              <w:rPr>
                <w:spacing w:val="-8"/>
              </w:rPr>
              <w:t xml:space="preserve"> </w:t>
            </w:r>
            <w:r>
              <w:t>entities,</w:t>
            </w:r>
            <w:r>
              <w:rPr>
                <w:spacing w:val="-8"/>
              </w:rPr>
              <w:t xml:space="preserve"> </w:t>
            </w:r>
            <w:r>
              <w:t>related</w:t>
            </w:r>
            <w:r>
              <w:rPr>
                <w:spacing w:val="-8"/>
              </w:rPr>
              <w:t xml:space="preserve"> </w:t>
            </w:r>
            <w:r>
              <w:t>parties,</w:t>
            </w:r>
            <w:r>
              <w:rPr>
                <w:spacing w:val="-8"/>
              </w:rPr>
              <w:t xml:space="preserve"> </w:t>
            </w:r>
            <w:r>
              <w:t>and</w:t>
            </w:r>
            <w:r>
              <w:rPr>
                <w:spacing w:val="-8"/>
              </w:rPr>
              <w:t xml:space="preserve"> </w:t>
            </w:r>
            <w:r>
              <w:t xml:space="preserve">public-private </w:t>
            </w:r>
            <w:r>
              <w:rPr>
                <w:spacing w:val="-2"/>
              </w:rPr>
              <w:t>partnerships</w:t>
            </w:r>
          </w:p>
          <w:p w14:paraId="0DFDD496" w14:textId="77777777" w:rsidR="00046465" w:rsidRDefault="008134EB">
            <w:pPr>
              <w:pStyle w:val="TableParagraph"/>
              <w:numPr>
                <w:ilvl w:val="0"/>
                <w:numId w:val="26"/>
              </w:numPr>
              <w:tabs>
                <w:tab w:val="left" w:pos="683"/>
              </w:tabs>
              <w:spacing w:before="252" w:line="233" w:lineRule="exact"/>
              <w:ind w:left="683" w:hanging="576"/>
            </w:pPr>
            <w:r>
              <w:t>whether</w:t>
            </w:r>
            <w:r>
              <w:rPr>
                <w:spacing w:val="-7"/>
              </w:rPr>
              <w:t xml:space="preserve"> </w:t>
            </w:r>
            <w:r>
              <w:t>there</w:t>
            </w:r>
            <w:r>
              <w:rPr>
                <w:spacing w:val="-7"/>
              </w:rPr>
              <w:t xml:space="preserve"> </w:t>
            </w:r>
            <w:r>
              <w:t>have</w:t>
            </w:r>
            <w:r>
              <w:rPr>
                <w:spacing w:val="-7"/>
              </w:rPr>
              <w:t xml:space="preserve"> </w:t>
            </w:r>
            <w:r>
              <w:t>been</w:t>
            </w:r>
            <w:r>
              <w:rPr>
                <w:spacing w:val="-8"/>
              </w:rPr>
              <w:t xml:space="preserve"> </w:t>
            </w:r>
            <w:r>
              <w:t>any</w:t>
            </w:r>
            <w:r>
              <w:rPr>
                <w:spacing w:val="-7"/>
              </w:rPr>
              <w:t xml:space="preserve"> </w:t>
            </w:r>
            <w:r>
              <w:t>significant</w:t>
            </w:r>
            <w:r>
              <w:rPr>
                <w:spacing w:val="-7"/>
              </w:rPr>
              <w:t xml:space="preserve"> </w:t>
            </w:r>
            <w:r>
              <w:t>new</w:t>
            </w:r>
            <w:r>
              <w:rPr>
                <w:spacing w:val="-6"/>
              </w:rPr>
              <w:t xml:space="preserve"> </w:t>
            </w:r>
            <w:r>
              <w:t>transactions</w:t>
            </w:r>
            <w:r>
              <w:rPr>
                <w:spacing w:val="-8"/>
              </w:rPr>
              <w:t xml:space="preserve"> </w:t>
            </w:r>
            <w:r>
              <w:rPr>
                <w:spacing w:val="-4"/>
              </w:rPr>
              <w:t>with</w:t>
            </w:r>
          </w:p>
        </w:tc>
        <w:tc>
          <w:tcPr>
            <w:tcW w:w="1170" w:type="dxa"/>
          </w:tcPr>
          <w:p w14:paraId="0DFDD497" w14:textId="77777777" w:rsidR="00046465" w:rsidRDefault="00046465">
            <w:pPr>
              <w:pStyle w:val="TableParagraph"/>
              <w:rPr>
                <w:rFonts w:ascii="Times New Roman"/>
                <w:sz w:val="20"/>
              </w:rPr>
            </w:pPr>
          </w:p>
        </w:tc>
        <w:tc>
          <w:tcPr>
            <w:tcW w:w="1368" w:type="dxa"/>
          </w:tcPr>
          <w:p w14:paraId="0DFDD498" w14:textId="77777777" w:rsidR="00046465" w:rsidRDefault="00046465">
            <w:pPr>
              <w:pStyle w:val="TableParagraph"/>
              <w:rPr>
                <w:rFonts w:ascii="Times New Roman"/>
                <w:sz w:val="20"/>
              </w:rPr>
            </w:pPr>
          </w:p>
        </w:tc>
      </w:tr>
    </w:tbl>
    <w:p w14:paraId="0DFDD49A" w14:textId="77777777" w:rsidR="00046465" w:rsidRDefault="00046465">
      <w:pPr>
        <w:pStyle w:val="TableParagraph"/>
        <w:rPr>
          <w:rFonts w:ascii="Times New Roman"/>
          <w:sz w:val="20"/>
        </w:rPr>
        <w:sectPr w:rsidR="00046465">
          <w:pgSz w:w="12240" w:h="15840"/>
          <w:pgMar w:top="1340" w:right="720" w:bottom="940" w:left="360" w:header="721" w:footer="757" w:gutter="0"/>
          <w:cols w:space="720"/>
        </w:sectPr>
      </w:pPr>
    </w:p>
    <w:p w14:paraId="0DFDD49B" w14:textId="77777777" w:rsidR="00046465" w:rsidRDefault="00046465">
      <w:pPr>
        <w:pStyle w:val="BodyText"/>
        <w:spacing w:before="6"/>
        <w:rPr>
          <w:sz w:val="10"/>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0"/>
        <w:gridCol w:w="1170"/>
        <w:gridCol w:w="1368"/>
      </w:tblGrid>
      <w:tr w:rsidR="00046465" w14:paraId="0DFDD49F" w14:textId="77777777">
        <w:trPr>
          <w:trHeight w:val="746"/>
        </w:trPr>
        <w:tc>
          <w:tcPr>
            <w:tcW w:w="6930" w:type="dxa"/>
            <w:shd w:val="clear" w:color="auto" w:fill="A6A6A6"/>
          </w:tcPr>
          <w:p w14:paraId="0DFDD49C" w14:textId="77777777" w:rsidR="00046465" w:rsidRDefault="008134EB">
            <w:pPr>
              <w:pStyle w:val="TableParagraph"/>
              <w:spacing w:before="120"/>
              <w:ind w:left="107"/>
              <w:rPr>
                <w:b/>
              </w:rPr>
            </w:pPr>
            <w:r>
              <w:rPr>
                <w:b/>
              </w:rPr>
              <w:t>Subsequent</w:t>
            </w:r>
            <w:r>
              <w:rPr>
                <w:b/>
                <w:spacing w:val="-8"/>
              </w:rPr>
              <w:t xml:space="preserve"> </w:t>
            </w:r>
            <w:r>
              <w:rPr>
                <w:b/>
              </w:rPr>
              <w:t>Events</w:t>
            </w:r>
            <w:r>
              <w:rPr>
                <w:b/>
                <w:spacing w:val="-7"/>
              </w:rPr>
              <w:t xml:space="preserve"> </w:t>
            </w:r>
            <w:r>
              <w:rPr>
                <w:b/>
              </w:rPr>
              <w:t>Review</w:t>
            </w:r>
            <w:r>
              <w:rPr>
                <w:b/>
                <w:spacing w:val="-9"/>
              </w:rPr>
              <w:t xml:space="preserve"> </w:t>
            </w:r>
            <w:r>
              <w:rPr>
                <w:b/>
              </w:rPr>
              <w:t>–</w:t>
            </w:r>
            <w:r>
              <w:rPr>
                <w:b/>
                <w:spacing w:val="-7"/>
              </w:rPr>
              <w:t xml:space="preserve"> </w:t>
            </w:r>
            <w:r>
              <w:rPr>
                <w:b/>
              </w:rPr>
              <w:t>Audit</w:t>
            </w:r>
            <w:r>
              <w:rPr>
                <w:b/>
                <w:spacing w:val="-8"/>
              </w:rPr>
              <w:t xml:space="preserve"> </w:t>
            </w:r>
            <w:r>
              <w:rPr>
                <w:b/>
                <w:spacing w:val="-2"/>
              </w:rPr>
              <w:t>Procedures</w:t>
            </w:r>
          </w:p>
        </w:tc>
        <w:tc>
          <w:tcPr>
            <w:tcW w:w="1170" w:type="dxa"/>
            <w:shd w:val="clear" w:color="auto" w:fill="A6A6A6"/>
          </w:tcPr>
          <w:p w14:paraId="0DFDD49D" w14:textId="77777777" w:rsidR="00046465" w:rsidRDefault="008134EB">
            <w:pPr>
              <w:pStyle w:val="TableParagraph"/>
              <w:spacing w:before="120"/>
              <w:ind w:left="107" w:right="144"/>
              <w:rPr>
                <w:b/>
              </w:rPr>
            </w:pPr>
            <w:r>
              <w:rPr>
                <w:b/>
                <w:spacing w:val="-2"/>
              </w:rPr>
              <w:t xml:space="preserve">Initials </w:t>
            </w:r>
            <w:r>
              <w:rPr>
                <w:b/>
              </w:rPr>
              <w:t>and</w:t>
            </w:r>
            <w:r>
              <w:rPr>
                <w:b/>
                <w:spacing w:val="-16"/>
              </w:rPr>
              <w:t xml:space="preserve"> </w:t>
            </w:r>
            <w:r>
              <w:rPr>
                <w:b/>
              </w:rPr>
              <w:t>date</w:t>
            </w:r>
          </w:p>
        </w:tc>
        <w:tc>
          <w:tcPr>
            <w:tcW w:w="1368" w:type="dxa"/>
            <w:shd w:val="clear" w:color="auto" w:fill="A6A6A6"/>
          </w:tcPr>
          <w:p w14:paraId="0DFDD49E" w14:textId="77777777" w:rsidR="00046465" w:rsidRDefault="008134EB">
            <w:pPr>
              <w:pStyle w:val="TableParagraph"/>
              <w:spacing w:before="120"/>
              <w:ind w:left="107"/>
              <w:rPr>
                <w:b/>
              </w:rPr>
            </w:pPr>
            <w:r>
              <w:rPr>
                <w:b/>
              </w:rPr>
              <w:t>Doc.</w:t>
            </w:r>
            <w:r>
              <w:rPr>
                <w:b/>
                <w:spacing w:val="-6"/>
              </w:rPr>
              <w:t xml:space="preserve"> </w:t>
            </w:r>
            <w:r>
              <w:rPr>
                <w:b/>
                <w:spacing w:val="-4"/>
              </w:rPr>
              <w:t>ref.</w:t>
            </w:r>
          </w:p>
        </w:tc>
      </w:tr>
      <w:tr w:rsidR="00046465" w14:paraId="0DFDD4A6" w14:textId="77777777">
        <w:trPr>
          <w:trHeight w:val="3123"/>
        </w:trPr>
        <w:tc>
          <w:tcPr>
            <w:tcW w:w="6930" w:type="dxa"/>
          </w:tcPr>
          <w:p w14:paraId="0DFDD4A0" w14:textId="77777777" w:rsidR="00046465" w:rsidRDefault="008134EB">
            <w:pPr>
              <w:pStyle w:val="TableParagraph"/>
              <w:ind w:left="683"/>
            </w:pPr>
            <w:r>
              <w:t>disclosure</w:t>
            </w:r>
            <w:r>
              <w:rPr>
                <w:spacing w:val="-8"/>
              </w:rPr>
              <w:t xml:space="preserve"> </w:t>
            </w:r>
            <w:r>
              <w:t>entities,</w:t>
            </w:r>
            <w:r>
              <w:rPr>
                <w:spacing w:val="-8"/>
              </w:rPr>
              <w:t xml:space="preserve"> </w:t>
            </w:r>
            <w:r>
              <w:t>related</w:t>
            </w:r>
            <w:r>
              <w:rPr>
                <w:spacing w:val="-8"/>
              </w:rPr>
              <w:t xml:space="preserve"> </w:t>
            </w:r>
            <w:r>
              <w:t>parties,</w:t>
            </w:r>
            <w:r>
              <w:rPr>
                <w:spacing w:val="-8"/>
              </w:rPr>
              <w:t xml:space="preserve"> </w:t>
            </w:r>
            <w:r>
              <w:t>and</w:t>
            </w:r>
            <w:r>
              <w:rPr>
                <w:spacing w:val="-8"/>
              </w:rPr>
              <w:t xml:space="preserve"> </w:t>
            </w:r>
            <w:r>
              <w:t xml:space="preserve">public-private </w:t>
            </w:r>
            <w:r>
              <w:rPr>
                <w:spacing w:val="-2"/>
              </w:rPr>
              <w:t>partnerships</w:t>
            </w:r>
          </w:p>
          <w:p w14:paraId="0DFDD4A1" w14:textId="77777777" w:rsidR="00046465" w:rsidRDefault="00046465">
            <w:pPr>
              <w:pStyle w:val="TableParagraph"/>
            </w:pPr>
          </w:p>
          <w:p w14:paraId="0DFDD4A2" w14:textId="77777777" w:rsidR="00046465" w:rsidRDefault="008134EB">
            <w:pPr>
              <w:pStyle w:val="TableParagraph"/>
              <w:numPr>
                <w:ilvl w:val="0"/>
                <w:numId w:val="25"/>
              </w:numPr>
              <w:tabs>
                <w:tab w:val="left" w:pos="683"/>
              </w:tabs>
              <w:ind w:right="571"/>
            </w:pPr>
            <w:r>
              <w:t>whether</w:t>
            </w:r>
            <w:r>
              <w:rPr>
                <w:spacing w:val="-5"/>
              </w:rPr>
              <w:t xml:space="preserve"> </w:t>
            </w:r>
            <w:r>
              <w:t>the</w:t>
            </w:r>
            <w:r>
              <w:rPr>
                <w:spacing w:val="-5"/>
              </w:rPr>
              <w:t xml:space="preserve"> </w:t>
            </w:r>
            <w:r>
              <w:t>entity</w:t>
            </w:r>
            <w:r>
              <w:rPr>
                <w:spacing w:val="-5"/>
              </w:rPr>
              <w:t xml:space="preserve"> </w:t>
            </w:r>
            <w:r>
              <w:t>has</w:t>
            </w:r>
            <w:r>
              <w:rPr>
                <w:spacing w:val="-5"/>
              </w:rPr>
              <w:t xml:space="preserve"> </w:t>
            </w:r>
            <w:r>
              <w:t>entered</w:t>
            </w:r>
            <w:r>
              <w:rPr>
                <w:spacing w:val="-5"/>
              </w:rPr>
              <w:t xml:space="preserve"> </w:t>
            </w:r>
            <w:r>
              <w:t>into</w:t>
            </w:r>
            <w:r>
              <w:rPr>
                <w:spacing w:val="-5"/>
              </w:rPr>
              <w:t xml:space="preserve"> </w:t>
            </w:r>
            <w:r>
              <w:t>any</w:t>
            </w:r>
            <w:r>
              <w:rPr>
                <w:spacing w:val="-5"/>
              </w:rPr>
              <w:t xml:space="preserve"> </w:t>
            </w:r>
            <w:r>
              <w:t>significant</w:t>
            </w:r>
            <w:r>
              <w:rPr>
                <w:spacing w:val="-5"/>
              </w:rPr>
              <w:t xml:space="preserve"> </w:t>
            </w:r>
            <w:r>
              <w:t xml:space="preserve">unusual </w:t>
            </w:r>
            <w:r>
              <w:rPr>
                <w:spacing w:val="-2"/>
              </w:rPr>
              <w:t>transactions</w:t>
            </w:r>
          </w:p>
          <w:p w14:paraId="0DFDD4A3" w14:textId="77777777" w:rsidR="00046465" w:rsidRDefault="008134EB">
            <w:pPr>
              <w:pStyle w:val="TableParagraph"/>
              <w:numPr>
                <w:ilvl w:val="0"/>
                <w:numId w:val="25"/>
              </w:numPr>
              <w:tabs>
                <w:tab w:val="left" w:pos="683"/>
              </w:tabs>
              <w:spacing w:before="99"/>
              <w:ind w:right="253"/>
            </w:pPr>
            <w:r>
              <w:t>[For</w:t>
            </w:r>
            <w:r>
              <w:rPr>
                <w:spacing w:val="-5"/>
              </w:rPr>
              <w:t xml:space="preserve"> </w:t>
            </w:r>
            <w:r>
              <w:t>audits</w:t>
            </w:r>
            <w:r>
              <w:rPr>
                <w:spacing w:val="-5"/>
              </w:rPr>
              <w:t xml:space="preserve"> </w:t>
            </w:r>
            <w:r>
              <w:t>of</w:t>
            </w:r>
            <w:r>
              <w:rPr>
                <w:spacing w:val="-5"/>
              </w:rPr>
              <w:t xml:space="preserve"> </w:t>
            </w:r>
            <w:r>
              <w:t>internal</w:t>
            </w:r>
            <w:r>
              <w:rPr>
                <w:spacing w:val="-5"/>
              </w:rPr>
              <w:t xml:space="preserve"> </w:t>
            </w:r>
            <w:r>
              <w:t>control</w:t>
            </w:r>
            <w:r>
              <w:rPr>
                <w:spacing w:val="-5"/>
              </w:rPr>
              <w:t xml:space="preserve"> </w:t>
            </w:r>
            <w:r>
              <w:t>over</w:t>
            </w:r>
            <w:r>
              <w:rPr>
                <w:spacing w:val="-5"/>
              </w:rPr>
              <w:t xml:space="preserve"> </w:t>
            </w:r>
            <w:r>
              <w:t>financial</w:t>
            </w:r>
            <w:r>
              <w:rPr>
                <w:spacing w:val="-5"/>
              </w:rPr>
              <w:t xml:space="preserve"> </w:t>
            </w:r>
            <w:r>
              <w:t>reporting]</w:t>
            </w:r>
            <w:r>
              <w:rPr>
                <w:spacing w:val="-5"/>
              </w:rPr>
              <w:t xml:space="preserve"> </w:t>
            </w:r>
            <w:r>
              <w:t>whether there were any changes in internal control over financial reporting or conditions that might significantly affect internal control over financial reporting subsequent to the balance sheet date but before the date of the auditor’s report (AU-C 940.06b and .48)</w:t>
            </w:r>
          </w:p>
        </w:tc>
        <w:tc>
          <w:tcPr>
            <w:tcW w:w="1170" w:type="dxa"/>
          </w:tcPr>
          <w:p w14:paraId="0DFDD4A4" w14:textId="77777777" w:rsidR="00046465" w:rsidRDefault="00046465">
            <w:pPr>
              <w:pStyle w:val="TableParagraph"/>
              <w:rPr>
                <w:rFonts w:ascii="Times New Roman"/>
                <w:sz w:val="20"/>
              </w:rPr>
            </w:pPr>
          </w:p>
        </w:tc>
        <w:tc>
          <w:tcPr>
            <w:tcW w:w="1368" w:type="dxa"/>
          </w:tcPr>
          <w:p w14:paraId="0DFDD4A5" w14:textId="77777777" w:rsidR="00046465" w:rsidRDefault="00046465">
            <w:pPr>
              <w:pStyle w:val="TableParagraph"/>
              <w:rPr>
                <w:rFonts w:ascii="Times New Roman"/>
                <w:sz w:val="20"/>
              </w:rPr>
            </w:pPr>
          </w:p>
        </w:tc>
      </w:tr>
      <w:tr w:rsidR="00046465" w14:paraId="0DFDD4B0" w14:textId="77777777">
        <w:trPr>
          <w:trHeight w:val="7182"/>
        </w:trPr>
        <w:tc>
          <w:tcPr>
            <w:tcW w:w="6930" w:type="dxa"/>
          </w:tcPr>
          <w:p w14:paraId="0DFDD4A7" w14:textId="77777777" w:rsidR="00046465" w:rsidRDefault="008134EB">
            <w:pPr>
              <w:pStyle w:val="TableParagraph"/>
              <w:spacing w:before="120"/>
              <w:ind w:left="107"/>
              <w:rPr>
                <w:b/>
              </w:rPr>
            </w:pPr>
            <w:r>
              <w:rPr>
                <w:b/>
                <w:u w:val="single"/>
              </w:rPr>
              <w:t>IV.</w:t>
            </w:r>
            <w:r>
              <w:rPr>
                <w:b/>
                <w:spacing w:val="-7"/>
                <w:u w:val="single"/>
              </w:rPr>
              <w:t xml:space="preserve"> </w:t>
            </w:r>
            <w:r>
              <w:rPr>
                <w:b/>
                <w:u w:val="single"/>
              </w:rPr>
              <w:t>Read</w:t>
            </w:r>
            <w:r>
              <w:rPr>
                <w:b/>
                <w:spacing w:val="-6"/>
                <w:u w:val="single"/>
              </w:rPr>
              <w:t xml:space="preserve"> </w:t>
            </w:r>
            <w:r>
              <w:rPr>
                <w:b/>
                <w:u w:val="single"/>
              </w:rPr>
              <w:t>minutes</w:t>
            </w:r>
            <w:r>
              <w:rPr>
                <w:b/>
                <w:spacing w:val="-6"/>
                <w:u w:val="single"/>
              </w:rPr>
              <w:t xml:space="preserve"> </w:t>
            </w:r>
            <w:r>
              <w:rPr>
                <w:b/>
                <w:u w:val="single"/>
              </w:rPr>
              <w:t>and</w:t>
            </w:r>
            <w:r>
              <w:rPr>
                <w:b/>
                <w:spacing w:val="-6"/>
                <w:u w:val="single"/>
              </w:rPr>
              <w:t xml:space="preserve"> </w:t>
            </w:r>
            <w:r>
              <w:rPr>
                <w:b/>
                <w:u w:val="single"/>
              </w:rPr>
              <w:t>related</w:t>
            </w:r>
            <w:r>
              <w:rPr>
                <w:b/>
                <w:spacing w:val="-6"/>
                <w:u w:val="single"/>
              </w:rPr>
              <w:t xml:space="preserve"> </w:t>
            </w:r>
            <w:r>
              <w:rPr>
                <w:b/>
                <w:spacing w:val="-2"/>
                <w:u w:val="single"/>
              </w:rPr>
              <w:t>reports</w:t>
            </w:r>
          </w:p>
          <w:p w14:paraId="0DFDD4A8" w14:textId="77777777" w:rsidR="00046465" w:rsidRDefault="008134EB">
            <w:pPr>
              <w:pStyle w:val="TableParagraph"/>
              <w:numPr>
                <w:ilvl w:val="0"/>
                <w:numId w:val="24"/>
              </w:numPr>
              <w:tabs>
                <w:tab w:val="left" w:pos="682"/>
              </w:tabs>
              <w:spacing w:before="240"/>
              <w:ind w:right="108"/>
            </w:pPr>
            <w:r>
              <w:t>Read</w:t>
            </w:r>
            <w:r>
              <w:rPr>
                <w:spacing w:val="-5"/>
              </w:rPr>
              <w:t xml:space="preserve"> </w:t>
            </w:r>
            <w:r>
              <w:t>the</w:t>
            </w:r>
            <w:r>
              <w:rPr>
                <w:spacing w:val="-5"/>
              </w:rPr>
              <w:t xml:space="preserve"> </w:t>
            </w:r>
            <w:r>
              <w:t>available</w:t>
            </w:r>
            <w:r>
              <w:rPr>
                <w:spacing w:val="-5"/>
              </w:rPr>
              <w:t xml:space="preserve"> </w:t>
            </w:r>
            <w:r>
              <w:t>minutes</w:t>
            </w:r>
            <w:r>
              <w:rPr>
                <w:spacing w:val="-5"/>
              </w:rPr>
              <w:t xml:space="preserve"> </w:t>
            </w:r>
            <w:r>
              <w:t>of</w:t>
            </w:r>
            <w:r>
              <w:rPr>
                <w:spacing w:val="-5"/>
              </w:rPr>
              <w:t xml:space="preserve"> </w:t>
            </w:r>
            <w:r>
              <w:t>meetings</w:t>
            </w:r>
            <w:r>
              <w:rPr>
                <w:spacing w:val="-5"/>
              </w:rPr>
              <w:t xml:space="preserve"> </w:t>
            </w:r>
            <w:r>
              <w:t>of</w:t>
            </w:r>
            <w:r>
              <w:rPr>
                <w:spacing w:val="-5"/>
              </w:rPr>
              <w:t xml:space="preserve"> </w:t>
            </w:r>
            <w:r>
              <w:t>management</w:t>
            </w:r>
            <w:r>
              <w:rPr>
                <w:spacing w:val="-5"/>
              </w:rPr>
              <w:t xml:space="preserve"> </w:t>
            </w:r>
            <w:r>
              <w:t>and/or those charged with governance, such as entity management committees, audit committees, or other appropriate groups, held after the date of the financial statements for information about events or transactions authorized or discussed that may require adjustment to or disclosure in the financial statements (AU-C 560.10c).</w:t>
            </w:r>
          </w:p>
          <w:p w14:paraId="0DFDD4A9" w14:textId="77777777" w:rsidR="00046465" w:rsidRDefault="008134EB">
            <w:pPr>
              <w:pStyle w:val="TableParagraph"/>
              <w:numPr>
                <w:ilvl w:val="0"/>
                <w:numId w:val="24"/>
              </w:numPr>
              <w:tabs>
                <w:tab w:val="left" w:pos="682"/>
              </w:tabs>
              <w:spacing w:before="239"/>
              <w:ind w:right="450"/>
            </w:pPr>
            <w:r>
              <w:t>With</w:t>
            </w:r>
            <w:r>
              <w:rPr>
                <w:spacing w:val="-4"/>
              </w:rPr>
              <w:t xml:space="preserve"> </w:t>
            </w:r>
            <w:r>
              <w:t>regard</w:t>
            </w:r>
            <w:r>
              <w:rPr>
                <w:spacing w:val="-5"/>
              </w:rPr>
              <w:t xml:space="preserve"> </w:t>
            </w:r>
            <w:r>
              <w:t>to</w:t>
            </w:r>
            <w:r>
              <w:rPr>
                <w:spacing w:val="-4"/>
              </w:rPr>
              <w:t xml:space="preserve"> </w:t>
            </w:r>
            <w:r>
              <w:t>meetings</w:t>
            </w:r>
            <w:r>
              <w:rPr>
                <w:spacing w:val="-4"/>
              </w:rPr>
              <w:t xml:space="preserve"> </w:t>
            </w:r>
            <w:r>
              <w:t>for</w:t>
            </w:r>
            <w:r>
              <w:rPr>
                <w:spacing w:val="-4"/>
              </w:rPr>
              <w:t xml:space="preserve"> </w:t>
            </w:r>
            <w:r>
              <w:t>which</w:t>
            </w:r>
            <w:r>
              <w:rPr>
                <w:spacing w:val="-4"/>
              </w:rPr>
              <w:t xml:space="preserve"> </w:t>
            </w:r>
            <w:r>
              <w:t>no</w:t>
            </w:r>
            <w:r>
              <w:rPr>
                <w:spacing w:val="-5"/>
              </w:rPr>
              <w:t xml:space="preserve"> </w:t>
            </w:r>
            <w:r>
              <w:t>minutes</w:t>
            </w:r>
            <w:r>
              <w:rPr>
                <w:spacing w:val="-4"/>
              </w:rPr>
              <w:t xml:space="preserve"> </w:t>
            </w:r>
            <w:r>
              <w:t>are</w:t>
            </w:r>
            <w:r>
              <w:rPr>
                <w:spacing w:val="-4"/>
              </w:rPr>
              <w:t xml:space="preserve"> </w:t>
            </w:r>
            <w:r>
              <w:t>available, inquire about matters discussed at such meetings and conclusions reached (AU-C 560.10c).</w:t>
            </w:r>
          </w:p>
          <w:p w14:paraId="0DFDD4AA" w14:textId="77777777" w:rsidR="00046465" w:rsidRDefault="008134EB">
            <w:pPr>
              <w:pStyle w:val="TableParagraph"/>
              <w:numPr>
                <w:ilvl w:val="0"/>
                <w:numId w:val="24"/>
              </w:numPr>
              <w:tabs>
                <w:tab w:val="left" w:pos="683"/>
              </w:tabs>
              <w:spacing w:before="241"/>
              <w:ind w:left="683" w:right="194"/>
            </w:pPr>
            <w:r>
              <w:t>Obtain</w:t>
            </w:r>
            <w:r>
              <w:rPr>
                <w:spacing w:val="-6"/>
              </w:rPr>
              <w:t xml:space="preserve"> </w:t>
            </w:r>
            <w:r>
              <w:t>additional</w:t>
            </w:r>
            <w:r>
              <w:rPr>
                <w:spacing w:val="-6"/>
              </w:rPr>
              <w:t xml:space="preserve"> </w:t>
            </w:r>
            <w:r>
              <w:t>information</w:t>
            </w:r>
            <w:r>
              <w:rPr>
                <w:spacing w:val="-6"/>
              </w:rPr>
              <w:t xml:space="preserve"> </w:t>
            </w:r>
            <w:r>
              <w:t>about</w:t>
            </w:r>
            <w:r>
              <w:rPr>
                <w:spacing w:val="-7"/>
              </w:rPr>
              <w:t xml:space="preserve"> </w:t>
            </w:r>
            <w:r>
              <w:t>changes</w:t>
            </w:r>
            <w:r>
              <w:rPr>
                <w:spacing w:val="-6"/>
              </w:rPr>
              <w:t xml:space="preserve"> </w:t>
            </w:r>
            <w:r>
              <w:t>in</w:t>
            </w:r>
            <w:r>
              <w:rPr>
                <w:spacing w:val="-7"/>
              </w:rPr>
              <w:t xml:space="preserve"> </w:t>
            </w:r>
            <w:r>
              <w:t>internal</w:t>
            </w:r>
            <w:r>
              <w:rPr>
                <w:spacing w:val="-6"/>
              </w:rPr>
              <w:t xml:space="preserve"> </w:t>
            </w:r>
            <w:r>
              <w:t>control or other conditions that might significantly affect the effectiveness of the entity’s internal control over financial reporting, by inquiring about and reading, for this subsequent period, the following (AU-C 940.48):</w:t>
            </w:r>
          </w:p>
          <w:p w14:paraId="0DFDD4AB" w14:textId="77777777" w:rsidR="00046465" w:rsidRDefault="008134EB">
            <w:pPr>
              <w:pStyle w:val="TableParagraph"/>
              <w:numPr>
                <w:ilvl w:val="1"/>
                <w:numId w:val="24"/>
              </w:numPr>
              <w:tabs>
                <w:tab w:val="left" w:pos="1188"/>
              </w:tabs>
              <w:spacing w:before="119"/>
              <w:ind w:right="642"/>
            </w:pPr>
            <w:r>
              <w:t>Relevant</w:t>
            </w:r>
            <w:r>
              <w:rPr>
                <w:spacing w:val="-6"/>
              </w:rPr>
              <w:t xml:space="preserve"> </w:t>
            </w:r>
            <w:r>
              <w:t>internal</w:t>
            </w:r>
            <w:r>
              <w:rPr>
                <w:spacing w:val="-6"/>
              </w:rPr>
              <w:t xml:space="preserve"> </w:t>
            </w:r>
            <w:r>
              <w:t>audit</w:t>
            </w:r>
            <w:r>
              <w:rPr>
                <w:spacing w:val="-6"/>
              </w:rPr>
              <w:t xml:space="preserve"> </w:t>
            </w:r>
            <w:r>
              <w:t>(or</w:t>
            </w:r>
            <w:r>
              <w:rPr>
                <w:spacing w:val="-6"/>
              </w:rPr>
              <w:t xml:space="preserve"> </w:t>
            </w:r>
            <w:r>
              <w:t>inspector</w:t>
            </w:r>
            <w:r>
              <w:rPr>
                <w:spacing w:val="-8"/>
              </w:rPr>
              <w:t xml:space="preserve"> </w:t>
            </w:r>
            <w:r>
              <w:t>general)</w:t>
            </w:r>
            <w:r>
              <w:rPr>
                <w:spacing w:val="-6"/>
              </w:rPr>
              <w:t xml:space="preserve"> </w:t>
            </w:r>
            <w:r>
              <w:t>reports issued during the subsequent period.</w:t>
            </w:r>
          </w:p>
          <w:p w14:paraId="0DFDD4AC" w14:textId="77777777" w:rsidR="00046465" w:rsidRDefault="008134EB">
            <w:pPr>
              <w:pStyle w:val="TableParagraph"/>
              <w:numPr>
                <w:ilvl w:val="1"/>
                <w:numId w:val="24"/>
              </w:numPr>
              <w:tabs>
                <w:tab w:val="left" w:pos="1188"/>
              </w:tabs>
              <w:spacing w:before="118"/>
              <w:ind w:right="1203"/>
            </w:pPr>
            <w:r>
              <w:t>Reports</w:t>
            </w:r>
            <w:r>
              <w:rPr>
                <w:spacing w:val="-8"/>
              </w:rPr>
              <w:t xml:space="preserve"> </w:t>
            </w:r>
            <w:r>
              <w:t>regarding</w:t>
            </w:r>
            <w:r>
              <w:rPr>
                <w:spacing w:val="-8"/>
              </w:rPr>
              <w:t xml:space="preserve"> </w:t>
            </w:r>
            <w:r>
              <w:t>deficiencies</w:t>
            </w:r>
            <w:r>
              <w:rPr>
                <w:spacing w:val="-8"/>
              </w:rPr>
              <w:t xml:space="preserve"> </w:t>
            </w:r>
            <w:r>
              <w:t>issued</w:t>
            </w:r>
            <w:r>
              <w:rPr>
                <w:spacing w:val="-8"/>
              </w:rPr>
              <w:t xml:space="preserve"> </w:t>
            </w:r>
            <w:r>
              <w:t>by</w:t>
            </w:r>
            <w:r>
              <w:rPr>
                <w:spacing w:val="-8"/>
              </w:rPr>
              <w:t xml:space="preserve"> </w:t>
            </w:r>
            <w:r>
              <w:t>other Independent auditors.</w:t>
            </w:r>
          </w:p>
          <w:p w14:paraId="0DFDD4AD" w14:textId="77777777" w:rsidR="00046465" w:rsidRDefault="008134EB">
            <w:pPr>
              <w:pStyle w:val="TableParagraph"/>
              <w:numPr>
                <w:ilvl w:val="1"/>
                <w:numId w:val="24"/>
              </w:numPr>
              <w:tabs>
                <w:tab w:val="left" w:pos="1174"/>
              </w:tabs>
              <w:spacing w:before="119"/>
              <w:ind w:left="1174" w:right="180"/>
            </w:pPr>
            <w:r>
              <w:t>Information</w:t>
            </w:r>
            <w:r>
              <w:rPr>
                <w:spacing w:val="-6"/>
              </w:rPr>
              <w:t xml:space="preserve"> </w:t>
            </w:r>
            <w:r>
              <w:t>about</w:t>
            </w:r>
            <w:r>
              <w:rPr>
                <w:spacing w:val="-6"/>
              </w:rPr>
              <w:t xml:space="preserve"> </w:t>
            </w:r>
            <w:r>
              <w:t>the</w:t>
            </w:r>
            <w:r>
              <w:rPr>
                <w:spacing w:val="-6"/>
              </w:rPr>
              <w:t xml:space="preserve"> </w:t>
            </w:r>
            <w:r>
              <w:t>effectiveness</w:t>
            </w:r>
            <w:r>
              <w:rPr>
                <w:spacing w:val="-6"/>
              </w:rPr>
              <w:t xml:space="preserve"> </w:t>
            </w:r>
            <w:r>
              <w:t>of</w:t>
            </w:r>
            <w:r>
              <w:rPr>
                <w:spacing w:val="-6"/>
              </w:rPr>
              <w:t xml:space="preserve"> </w:t>
            </w:r>
            <w:r>
              <w:t>the</w:t>
            </w:r>
            <w:r>
              <w:rPr>
                <w:spacing w:val="-6"/>
              </w:rPr>
              <w:t xml:space="preserve"> </w:t>
            </w:r>
            <w:r>
              <w:t>entity’s</w:t>
            </w:r>
            <w:r>
              <w:rPr>
                <w:spacing w:val="-7"/>
              </w:rPr>
              <w:t xml:space="preserve"> </w:t>
            </w:r>
            <w:r>
              <w:t>internal control over financial reporting obtained through other engagements performed for the entity by the auditor.</w:t>
            </w:r>
          </w:p>
        </w:tc>
        <w:tc>
          <w:tcPr>
            <w:tcW w:w="1170" w:type="dxa"/>
          </w:tcPr>
          <w:p w14:paraId="0DFDD4AE" w14:textId="77777777" w:rsidR="00046465" w:rsidRDefault="00046465">
            <w:pPr>
              <w:pStyle w:val="TableParagraph"/>
              <w:rPr>
                <w:rFonts w:ascii="Times New Roman"/>
                <w:sz w:val="20"/>
              </w:rPr>
            </w:pPr>
          </w:p>
        </w:tc>
        <w:tc>
          <w:tcPr>
            <w:tcW w:w="1368" w:type="dxa"/>
          </w:tcPr>
          <w:p w14:paraId="0DFDD4AF" w14:textId="77777777" w:rsidR="00046465" w:rsidRDefault="00046465">
            <w:pPr>
              <w:pStyle w:val="TableParagraph"/>
              <w:rPr>
                <w:rFonts w:ascii="Times New Roman"/>
                <w:sz w:val="20"/>
              </w:rPr>
            </w:pPr>
          </w:p>
        </w:tc>
      </w:tr>
    </w:tbl>
    <w:p w14:paraId="0DFDD4B1" w14:textId="77777777" w:rsidR="00046465" w:rsidRDefault="00046465">
      <w:pPr>
        <w:pStyle w:val="TableParagraph"/>
        <w:rPr>
          <w:rFonts w:ascii="Times New Roman"/>
          <w:sz w:val="20"/>
        </w:rPr>
        <w:sectPr w:rsidR="00046465">
          <w:pgSz w:w="12240" w:h="15840"/>
          <w:pgMar w:top="1340" w:right="720" w:bottom="940" w:left="360" w:header="721" w:footer="757" w:gutter="0"/>
          <w:cols w:space="720"/>
        </w:sectPr>
      </w:pPr>
    </w:p>
    <w:p w14:paraId="0DFDD4B2" w14:textId="77777777" w:rsidR="00046465" w:rsidRDefault="00046465">
      <w:pPr>
        <w:pStyle w:val="BodyText"/>
        <w:spacing w:before="6"/>
        <w:rPr>
          <w:sz w:val="10"/>
        </w:rPr>
      </w:pPr>
    </w:p>
    <w:tbl>
      <w:tblPr>
        <w:tblW w:w="0" w:type="auto"/>
        <w:tblInd w:w="1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30"/>
        <w:gridCol w:w="1170"/>
        <w:gridCol w:w="1368"/>
      </w:tblGrid>
      <w:tr w:rsidR="00046465" w14:paraId="0DFDD4B6" w14:textId="77777777">
        <w:trPr>
          <w:trHeight w:val="746"/>
        </w:trPr>
        <w:tc>
          <w:tcPr>
            <w:tcW w:w="6930" w:type="dxa"/>
            <w:shd w:val="clear" w:color="auto" w:fill="A6A6A6"/>
          </w:tcPr>
          <w:p w14:paraId="0DFDD4B3" w14:textId="77777777" w:rsidR="00046465" w:rsidRDefault="008134EB">
            <w:pPr>
              <w:pStyle w:val="TableParagraph"/>
              <w:spacing w:before="120"/>
              <w:ind w:left="107"/>
              <w:rPr>
                <w:b/>
              </w:rPr>
            </w:pPr>
            <w:r>
              <w:rPr>
                <w:b/>
              </w:rPr>
              <w:t>Subsequent</w:t>
            </w:r>
            <w:r>
              <w:rPr>
                <w:b/>
                <w:spacing w:val="-8"/>
              </w:rPr>
              <w:t xml:space="preserve"> </w:t>
            </w:r>
            <w:r>
              <w:rPr>
                <w:b/>
              </w:rPr>
              <w:t>Events</w:t>
            </w:r>
            <w:r>
              <w:rPr>
                <w:b/>
                <w:spacing w:val="-7"/>
              </w:rPr>
              <w:t xml:space="preserve"> </w:t>
            </w:r>
            <w:r>
              <w:rPr>
                <w:b/>
              </w:rPr>
              <w:t>Review</w:t>
            </w:r>
            <w:r>
              <w:rPr>
                <w:b/>
                <w:spacing w:val="-9"/>
              </w:rPr>
              <w:t xml:space="preserve"> </w:t>
            </w:r>
            <w:r>
              <w:rPr>
                <w:b/>
              </w:rPr>
              <w:t>–</w:t>
            </w:r>
            <w:r>
              <w:rPr>
                <w:b/>
                <w:spacing w:val="-7"/>
              </w:rPr>
              <w:t xml:space="preserve"> </w:t>
            </w:r>
            <w:r>
              <w:rPr>
                <w:b/>
              </w:rPr>
              <w:t>Audit</w:t>
            </w:r>
            <w:r>
              <w:rPr>
                <w:b/>
                <w:spacing w:val="-8"/>
              </w:rPr>
              <w:t xml:space="preserve"> </w:t>
            </w:r>
            <w:r>
              <w:rPr>
                <w:b/>
                <w:spacing w:val="-2"/>
              </w:rPr>
              <w:t>Procedures</w:t>
            </w:r>
          </w:p>
        </w:tc>
        <w:tc>
          <w:tcPr>
            <w:tcW w:w="1170" w:type="dxa"/>
            <w:shd w:val="clear" w:color="auto" w:fill="A6A6A6"/>
          </w:tcPr>
          <w:p w14:paraId="0DFDD4B4" w14:textId="77777777" w:rsidR="00046465" w:rsidRDefault="008134EB">
            <w:pPr>
              <w:pStyle w:val="TableParagraph"/>
              <w:spacing w:before="120"/>
              <w:ind w:left="107" w:right="144"/>
              <w:rPr>
                <w:b/>
              </w:rPr>
            </w:pPr>
            <w:r>
              <w:rPr>
                <w:b/>
                <w:spacing w:val="-2"/>
              </w:rPr>
              <w:t xml:space="preserve">Initials </w:t>
            </w:r>
            <w:r>
              <w:rPr>
                <w:b/>
              </w:rPr>
              <w:t>and</w:t>
            </w:r>
            <w:r>
              <w:rPr>
                <w:b/>
                <w:spacing w:val="-16"/>
              </w:rPr>
              <w:t xml:space="preserve"> </w:t>
            </w:r>
            <w:r>
              <w:rPr>
                <w:b/>
              </w:rPr>
              <w:t>date</w:t>
            </w:r>
          </w:p>
        </w:tc>
        <w:tc>
          <w:tcPr>
            <w:tcW w:w="1368" w:type="dxa"/>
            <w:shd w:val="clear" w:color="auto" w:fill="A6A6A6"/>
          </w:tcPr>
          <w:p w14:paraId="0DFDD4B5" w14:textId="77777777" w:rsidR="00046465" w:rsidRDefault="008134EB">
            <w:pPr>
              <w:pStyle w:val="TableParagraph"/>
              <w:spacing w:before="120"/>
              <w:ind w:left="107"/>
              <w:rPr>
                <w:b/>
              </w:rPr>
            </w:pPr>
            <w:r>
              <w:rPr>
                <w:b/>
              </w:rPr>
              <w:t>Doc.</w:t>
            </w:r>
            <w:r>
              <w:rPr>
                <w:b/>
                <w:spacing w:val="-6"/>
              </w:rPr>
              <w:t xml:space="preserve"> </w:t>
            </w:r>
            <w:r>
              <w:rPr>
                <w:b/>
                <w:spacing w:val="-4"/>
              </w:rPr>
              <w:t>ref.</w:t>
            </w:r>
          </w:p>
        </w:tc>
      </w:tr>
      <w:tr w:rsidR="00046465" w14:paraId="0DFDD4BB" w14:textId="77777777">
        <w:trPr>
          <w:trHeight w:val="1239"/>
        </w:trPr>
        <w:tc>
          <w:tcPr>
            <w:tcW w:w="6930" w:type="dxa"/>
          </w:tcPr>
          <w:p w14:paraId="0DFDD4B7" w14:textId="77777777" w:rsidR="00046465" w:rsidRDefault="008134EB">
            <w:pPr>
              <w:pStyle w:val="TableParagraph"/>
              <w:spacing w:before="120"/>
              <w:ind w:left="107"/>
              <w:rPr>
                <w:b/>
              </w:rPr>
            </w:pPr>
            <w:r>
              <w:rPr>
                <w:b/>
                <w:u w:val="single"/>
              </w:rPr>
              <w:t>V.</w:t>
            </w:r>
            <w:r>
              <w:rPr>
                <w:b/>
                <w:spacing w:val="-7"/>
                <w:u w:val="single"/>
              </w:rPr>
              <w:t xml:space="preserve"> </w:t>
            </w:r>
            <w:r>
              <w:rPr>
                <w:b/>
                <w:u w:val="single"/>
              </w:rPr>
              <w:t>Litigation,</w:t>
            </w:r>
            <w:r>
              <w:rPr>
                <w:b/>
                <w:spacing w:val="-6"/>
                <w:u w:val="single"/>
              </w:rPr>
              <w:t xml:space="preserve"> </w:t>
            </w:r>
            <w:r>
              <w:rPr>
                <w:b/>
                <w:u w:val="single"/>
              </w:rPr>
              <w:t>claims,</w:t>
            </w:r>
            <w:r>
              <w:rPr>
                <w:b/>
                <w:spacing w:val="-6"/>
                <w:u w:val="single"/>
              </w:rPr>
              <w:t xml:space="preserve"> </w:t>
            </w:r>
            <w:r>
              <w:rPr>
                <w:b/>
                <w:u w:val="single"/>
              </w:rPr>
              <w:t>and</w:t>
            </w:r>
            <w:r>
              <w:rPr>
                <w:b/>
                <w:spacing w:val="-6"/>
                <w:u w:val="single"/>
              </w:rPr>
              <w:t xml:space="preserve"> </w:t>
            </w:r>
            <w:r>
              <w:rPr>
                <w:b/>
                <w:spacing w:val="-2"/>
                <w:u w:val="single"/>
              </w:rPr>
              <w:t>assessments</w:t>
            </w:r>
          </w:p>
          <w:p w14:paraId="0DFDD4B8" w14:textId="77777777" w:rsidR="00046465" w:rsidRDefault="008134EB">
            <w:pPr>
              <w:pStyle w:val="TableParagraph"/>
              <w:tabs>
                <w:tab w:val="left" w:pos="723"/>
              </w:tabs>
              <w:spacing w:before="240"/>
              <w:ind w:left="723" w:right="252" w:hanging="616"/>
            </w:pPr>
            <w:r>
              <w:rPr>
                <w:spacing w:val="-6"/>
              </w:rPr>
              <w:t>1)</w:t>
            </w:r>
            <w:r>
              <w:tab/>
              <w:t>Determine</w:t>
            </w:r>
            <w:r>
              <w:rPr>
                <w:spacing w:val="-5"/>
              </w:rPr>
              <w:t xml:space="preserve"> </w:t>
            </w:r>
            <w:r>
              <w:t>if</w:t>
            </w:r>
            <w:r>
              <w:rPr>
                <w:spacing w:val="-5"/>
              </w:rPr>
              <w:t xml:space="preserve"> </w:t>
            </w:r>
            <w:r>
              <w:t>there</w:t>
            </w:r>
            <w:r>
              <w:rPr>
                <w:spacing w:val="-5"/>
              </w:rPr>
              <w:t xml:space="preserve"> </w:t>
            </w:r>
            <w:r>
              <w:t>are</w:t>
            </w:r>
            <w:r>
              <w:rPr>
                <w:spacing w:val="-5"/>
              </w:rPr>
              <w:t xml:space="preserve"> </w:t>
            </w:r>
            <w:r>
              <w:t>subsequent</w:t>
            </w:r>
            <w:r>
              <w:rPr>
                <w:spacing w:val="-5"/>
              </w:rPr>
              <w:t xml:space="preserve"> </w:t>
            </w:r>
            <w:r>
              <w:t>events</w:t>
            </w:r>
            <w:r>
              <w:rPr>
                <w:spacing w:val="-5"/>
              </w:rPr>
              <w:t xml:space="preserve"> </w:t>
            </w:r>
            <w:r>
              <w:t>related</w:t>
            </w:r>
            <w:r>
              <w:rPr>
                <w:spacing w:val="-5"/>
              </w:rPr>
              <w:t xml:space="preserve"> </w:t>
            </w:r>
            <w:r>
              <w:t>to</w:t>
            </w:r>
            <w:r>
              <w:rPr>
                <w:spacing w:val="-5"/>
              </w:rPr>
              <w:t xml:space="preserve"> </w:t>
            </w:r>
            <w:r>
              <w:t>litigation, claims, and assessments (see FAM 1002).</w:t>
            </w:r>
          </w:p>
        </w:tc>
        <w:tc>
          <w:tcPr>
            <w:tcW w:w="1170" w:type="dxa"/>
          </w:tcPr>
          <w:p w14:paraId="0DFDD4B9" w14:textId="77777777" w:rsidR="00046465" w:rsidRDefault="00046465">
            <w:pPr>
              <w:pStyle w:val="TableParagraph"/>
              <w:rPr>
                <w:rFonts w:ascii="Times New Roman"/>
                <w:sz w:val="20"/>
              </w:rPr>
            </w:pPr>
          </w:p>
        </w:tc>
        <w:tc>
          <w:tcPr>
            <w:tcW w:w="1368" w:type="dxa"/>
          </w:tcPr>
          <w:p w14:paraId="0DFDD4BA" w14:textId="77777777" w:rsidR="00046465" w:rsidRDefault="00046465">
            <w:pPr>
              <w:pStyle w:val="TableParagraph"/>
              <w:rPr>
                <w:rFonts w:ascii="Times New Roman"/>
                <w:sz w:val="20"/>
              </w:rPr>
            </w:pPr>
          </w:p>
        </w:tc>
      </w:tr>
      <w:tr w:rsidR="00046465" w14:paraId="0DFDD4C1" w14:textId="77777777">
        <w:trPr>
          <w:trHeight w:val="2996"/>
        </w:trPr>
        <w:tc>
          <w:tcPr>
            <w:tcW w:w="6930" w:type="dxa"/>
          </w:tcPr>
          <w:p w14:paraId="0DFDD4BC" w14:textId="77777777" w:rsidR="00046465" w:rsidRDefault="008134EB">
            <w:pPr>
              <w:pStyle w:val="TableParagraph"/>
              <w:spacing w:before="120"/>
              <w:ind w:left="107"/>
              <w:rPr>
                <w:b/>
              </w:rPr>
            </w:pPr>
            <w:r>
              <w:rPr>
                <w:b/>
                <w:u w:val="single"/>
              </w:rPr>
              <w:t>VI.</w:t>
            </w:r>
            <w:r>
              <w:rPr>
                <w:b/>
                <w:spacing w:val="-10"/>
                <w:u w:val="single"/>
              </w:rPr>
              <w:t xml:space="preserve"> </w:t>
            </w:r>
            <w:r>
              <w:rPr>
                <w:b/>
                <w:u w:val="single"/>
              </w:rPr>
              <w:t>Coverage</w:t>
            </w:r>
            <w:r>
              <w:rPr>
                <w:b/>
                <w:spacing w:val="-9"/>
                <w:u w:val="single"/>
              </w:rPr>
              <w:t xml:space="preserve"> </w:t>
            </w:r>
            <w:r>
              <w:rPr>
                <w:b/>
                <w:u w:val="single"/>
              </w:rPr>
              <w:t>in</w:t>
            </w:r>
            <w:r>
              <w:rPr>
                <w:b/>
                <w:spacing w:val="-9"/>
                <w:u w:val="single"/>
              </w:rPr>
              <w:t xml:space="preserve"> </w:t>
            </w:r>
            <w:r>
              <w:rPr>
                <w:b/>
                <w:u w:val="single"/>
              </w:rPr>
              <w:t>management</w:t>
            </w:r>
            <w:r>
              <w:rPr>
                <w:b/>
                <w:spacing w:val="-10"/>
                <w:u w:val="single"/>
              </w:rPr>
              <w:t xml:space="preserve"> </w:t>
            </w:r>
            <w:r>
              <w:rPr>
                <w:b/>
                <w:u w:val="single"/>
              </w:rPr>
              <w:t>representation</w:t>
            </w:r>
            <w:r>
              <w:rPr>
                <w:b/>
                <w:spacing w:val="-9"/>
                <w:u w:val="single"/>
              </w:rPr>
              <w:t xml:space="preserve"> </w:t>
            </w:r>
            <w:r>
              <w:rPr>
                <w:b/>
                <w:spacing w:val="-2"/>
                <w:u w:val="single"/>
              </w:rPr>
              <w:t>letter</w:t>
            </w:r>
          </w:p>
          <w:p w14:paraId="0DFDD4BD" w14:textId="77777777" w:rsidR="00046465" w:rsidRDefault="008134EB">
            <w:pPr>
              <w:pStyle w:val="TableParagraph"/>
              <w:numPr>
                <w:ilvl w:val="0"/>
                <w:numId w:val="23"/>
              </w:numPr>
              <w:tabs>
                <w:tab w:val="left" w:pos="683"/>
              </w:tabs>
              <w:spacing w:before="240"/>
              <w:ind w:right="120"/>
              <w:jc w:val="left"/>
            </w:pPr>
            <w:r>
              <w:t>Obtain</w:t>
            </w:r>
            <w:r>
              <w:rPr>
                <w:spacing w:val="-1"/>
              </w:rPr>
              <w:t xml:space="preserve"> </w:t>
            </w:r>
            <w:r>
              <w:t>representation</w:t>
            </w:r>
            <w:r>
              <w:rPr>
                <w:spacing w:val="-1"/>
              </w:rPr>
              <w:t xml:space="preserve"> </w:t>
            </w:r>
            <w:r>
              <w:t>in</w:t>
            </w:r>
            <w:r>
              <w:rPr>
                <w:spacing w:val="-2"/>
              </w:rPr>
              <w:t xml:space="preserve"> </w:t>
            </w:r>
            <w:r>
              <w:t>the</w:t>
            </w:r>
            <w:r>
              <w:rPr>
                <w:spacing w:val="-1"/>
              </w:rPr>
              <w:t xml:space="preserve"> </w:t>
            </w:r>
            <w:r>
              <w:t>management</w:t>
            </w:r>
            <w:r>
              <w:rPr>
                <w:spacing w:val="-1"/>
              </w:rPr>
              <w:t xml:space="preserve"> </w:t>
            </w:r>
            <w:r>
              <w:t>representation</w:t>
            </w:r>
            <w:r>
              <w:rPr>
                <w:spacing w:val="-1"/>
              </w:rPr>
              <w:t xml:space="preserve"> </w:t>
            </w:r>
            <w:r>
              <w:t>letter regarding</w:t>
            </w:r>
            <w:r>
              <w:rPr>
                <w:spacing w:val="-5"/>
              </w:rPr>
              <w:t xml:space="preserve"> </w:t>
            </w:r>
            <w:r>
              <w:t>whether</w:t>
            </w:r>
            <w:r>
              <w:rPr>
                <w:spacing w:val="-5"/>
              </w:rPr>
              <w:t xml:space="preserve"> </w:t>
            </w:r>
            <w:r>
              <w:t>any</w:t>
            </w:r>
            <w:r>
              <w:rPr>
                <w:spacing w:val="-5"/>
              </w:rPr>
              <w:t xml:space="preserve"> </w:t>
            </w:r>
            <w:r>
              <w:t>events</w:t>
            </w:r>
            <w:r>
              <w:rPr>
                <w:spacing w:val="-5"/>
              </w:rPr>
              <w:t xml:space="preserve"> </w:t>
            </w:r>
            <w:r>
              <w:t>occurred</w:t>
            </w:r>
            <w:r>
              <w:rPr>
                <w:spacing w:val="-5"/>
              </w:rPr>
              <w:t xml:space="preserve"> </w:t>
            </w:r>
            <w:r>
              <w:t>subsequent</w:t>
            </w:r>
            <w:r>
              <w:rPr>
                <w:spacing w:val="-5"/>
              </w:rPr>
              <w:t xml:space="preserve"> </w:t>
            </w:r>
            <w:r>
              <w:t>to</w:t>
            </w:r>
            <w:r>
              <w:rPr>
                <w:spacing w:val="-5"/>
              </w:rPr>
              <w:t xml:space="preserve"> </w:t>
            </w:r>
            <w:r>
              <w:t>the</w:t>
            </w:r>
            <w:r>
              <w:rPr>
                <w:spacing w:val="-5"/>
              </w:rPr>
              <w:t xml:space="preserve"> </w:t>
            </w:r>
            <w:r>
              <w:t>date of the financial statements that management should adjust for or disclose in the financial statements. See FAM 1001.</w:t>
            </w:r>
          </w:p>
          <w:p w14:paraId="0DFDD4BE" w14:textId="77777777" w:rsidR="00046465" w:rsidRDefault="008134EB">
            <w:pPr>
              <w:pStyle w:val="TableParagraph"/>
              <w:numPr>
                <w:ilvl w:val="0"/>
                <w:numId w:val="23"/>
              </w:numPr>
              <w:tabs>
                <w:tab w:val="left" w:pos="633"/>
              </w:tabs>
              <w:spacing w:before="240"/>
              <w:ind w:left="633" w:right="207" w:hanging="450"/>
              <w:jc w:val="left"/>
            </w:pPr>
            <w:r>
              <w:t>Obtain written representations from management relating to any changes in internal control or other factors that might significantly</w:t>
            </w:r>
            <w:r>
              <w:rPr>
                <w:spacing w:val="-5"/>
              </w:rPr>
              <w:t xml:space="preserve"> </w:t>
            </w:r>
            <w:r>
              <w:t>affect</w:t>
            </w:r>
            <w:r>
              <w:rPr>
                <w:spacing w:val="-4"/>
              </w:rPr>
              <w:t xml:space="preserve"> </w:t>
            </w:r>
            <w:r>
              <w:t>internal</w:t>
            </w:r>
            <w:r>
              <w:rPr>
                <w:spacing w:val="-4"/>
              </w:rPr>
              <w:t xml:space="preserve"> </w:t>
            </w:r>
            <w:r>
              <w:t>control</w:t>
            </w:r>
            <w:r>
              <w:rPr>
                <w:spacing w:val="-5"/>
              </w:rPr>
              <w:t xml:space="preserve"> </w:t>
            </w:r>
            <w:r>
              <w:t>subsequent</w:t>
            </w:r>
            <w:r>
              <w:rPr>
                <w:spacing w:val="-4"/>
              </w:rPr>
              <w:t xml:space="preserve"> </w:t>
            </w:r>
            <w:r>
              <w:t>to</w:t>
            </w:r>
            <w:r>
              <w:rPr>
                <w:spacing w:val="-5"/>
              </w:rPr>
              <w:t xml:space="preserve"> </w:t>
            </w:r>
            <w:r>
              <w:t>the</w:t>
            </w:r>
            <w:r>
              <w:rPr>
                <w:spacing w:val="-4"/>
              </w:rPr>
              <w:t xml:space="preserve"> </w:t>
            </w:r>
            <w:r>
              <w:t>date</w:t>
            </w:r>
            <w:r>
              <w:rPr>
                <w:spacing w:val="-4"/>
              </w:rPr>
              <w:t xml:space="preserve"> </w:t>
            </w:r>
            <w:r>
              <w:t>as</w:t>
            </w:r>
            <w:r>
              <w:rPr>
                <w:spacing w:val="-5"/>
              </w:rPr>
              <w:t xml:space="preserve"> </w:t>
            </w:r>
            <w:r>
              <w:t>of which internal control is being examined.</w:t>
            </w:r>
          </w:p>
        </w:tc>
        <w:tc>
          <w:tcPr>
            <w:tcW w:w="1170" w:type="dxa"/>
          </w:tcPr>
          <w:p w14:paraId="0DFDD4BF" w14:textId="77777777" w:rsidR="00046465" w:rsidRDefault="00046465">
            <w:pPr>
              <w:pStyle w:val="TableParagraph"/>
              <w:rPr>
                <w:rFonts w:ascii="Times New Roman"/>
                <w:sz w:val="20"/>
              </w:rPr>
            </w:pPr>
          </w:p>
        </w:tc>
        <w:tc>
          <w:tcPr>
            <w:tcW w:w="1368" w:type="dxa"/>
          </w:tcPr>
          <w:p w14:paraId="0DFDD4C0" w14:textId="77777777" w:rsidR="00046465" w:rsidRDefault="00046465">
            <w:pPr>
              <w:pStyle w:val="TableParagraph"/>
              <w:rPr>
                <w:rFonts w:ascii="Times New Roman"/>
                <w:sz w:val="20"/>
              </w:rPr>
            </w:pPr>
          </w:p>
        </w:tc>
      </w:tr>
      <w:tr w:rsidR="00046465" w14:paraId="0DFDD4CA" w14:textId="77777777">
        <w:trPr>
          <w:trHeight w:val="3717"/>
        </w:trPr>
        <w:tc>
          <w:tcPr>
            <w:tcW w:w="6930" w:type="dxa"/>
          </w:tcPr>
          <w:p w14:paraId="0DFDD4C2" w14:textId="77777777" w:rsidR="00046465" w:rsidRDefault="008134EB">
            <w:pPr>
              <w:pStyle w:val="TableParagraph"/>
              <w:spacing w:before="121"/>
              <w:ind w:left="107"/>
              <w:rPr>
                <w:b/>
              </w:rPr>
            </w:pPr>
            <w:r>
              <w:rPr>
                <w:b/>
                <w:u w:val="single"/>
              </w:rPr>
              <w:t>VII.</w:t>
            </w:r>
            <w:r>
              <w:rPr>
                <w:b/>
                <w:spacing w:val="-5"/>
                <w:u w:val="single"/>
              </w:rPr>
              <w:t xml:space="preserve"> </w:t>
            </w:r>
            <w:r>
              <w:rPr>
                <w:b/>
                <w:spacing w:val="-2"/>
                <w:u w:val="single"/>
              </w:rPr>
              <w:t>Other</w:t>
            </w:r>
          </w:p>
          <w:p w14:paraId="0DFDD4C3" w14:textId="77777777" w:rsidR="00046465" w:rsidRDefault="008134EB">
            <w:pPr>
              <w:pStyle w:val="TableParagraph"/>
              <w:numPr>
                <w:ilvl w:val="0"/>
                <w:numId w:val="22"/>
              </w:numPr>
              <w:tabs>
                <w:tab w:val="left" w:pos="683"/>
              </w:tabs>
              <w:spacing w:before="239"/>
              <w:ind w:right="816"/>
            </w:pPr>
            <w:r>
              <w:t>Use</w:t>
            </w:r>
            <w:r>
              <w:rPr>
                <w:spacing w:val="-5"/>
              </w:rPr>
              <w:t xml:space="preserve"> </w:t>
            </w:r>
            <w:r>
              <w:t>other</w:t>
            </w:r>
            <w:r>
              <w:rPr>
                <w:spacing w:val="-5"/>
              </w:rPr>
              <w:t xml:space="preserve"> </w:t>
            </w:r>
            <w:r>
              <w:t>sources</w:t>
            </w:r>
            <w:r>
              <w:rPr>
                <w:spacing w:val="-5"/>
              </w:rPr>
              <w:t xml:space="preserve"> </w:t>
            </w:r>
            <w:r>
              <w:t>of</w:t>
            </w:r>
            <w:r>
              <w:rPr>
                <w:spacing w:val="-5"/>
              </w:rPr>
              <w:t xml:space="preserve"> </w:t>
            </w:r>
            <w:r>
              <w:t>information</w:t>
            </w:r>
            <w:r>
              <w:rPr>
                <w:spacing w:val="-5"/>
              </w:rPr>
              <w:t xml:space="preserve"> </w:t>
            </w:r>
            <w:r>
              <w:t>to</w:t>
            </w:r>
            <w:r>
              <w:rPr>
                <w:spacing w:val="-5"/>
              </w:rPr>
              <w:t xml:space="preserve"> </w:t>
            </w:r>
            <w:r>
              <w:t>learn</w:t>
            </w:r>
            <w:r>
              <w:rPr>
                <w:spacing w:val="-5"/>
              </w:rPr>
              <w:t xml:space="preserve"> </w:t>
            </w:r>
            <w:r>
              <w:t>of</w:t>
            </w:r>
            <w:r>
              <w:rPr>
                <w:spacing w:val="-5"/>
              </w:rPr>
              <w:t xml:space="preserve"> </w:t>
            </w:r>
            <w:r>
              <w:t>subsequent events, such as</w:t>
            </w:r>
          </w:p>
          <w:p w14:paraId="0DFDD4C4" w14:textId="77777777" w:rsidR="00046465" w:rsidRDefault="008134EB">
            <w:pPr>
              <w:pStyle w:val="TableParagraph"/>
              <w:numPr>
                <w:ilvl w:val="1"/>
                <w:numId w:val="22"/>
              </w:numPr>
              <w:tabs>
                <w:tab w:val="left" w:pos="1259"/>
              </w:tabs>
              <w:spacing w:before="240"/>
              <w:ind w:hanging="576"/>
            </w:pPr>
            <w:r>
              <w:t>the</w:t>
            </w:r>
            <w:r>
              <w:rPr>
                <w:spacing w:val="-6"/>
              </w:rPr>
              <w:t xml:space="preserve"> </w:t>
            </w:r>
            <w:r>
              <w:t>inspector</w:t>
            </w:r>
            <w:r>
              <w:rPr>
                <w:spacing w:val="-6"/>
              </w:rPr>
              <w:t xml:space="preserve"> </w:t>
            </w:r>
            <w:r>
              <w:t>general</w:t>
            </w:r>
            <w:r>
              <w:rPr>
                <w:spacing w:val="-6"/>
              </w:rPr>
              <w:t xml:space="preserve"> </w:t>
            </w:r>
            <w:r>
              <w:t>or</w:t>
            </w:r>
            <w:r>
              <w:rPr>
                <w:spacing w:val="-8"/>
              </w:rPr>
              <w:t xml:space="preserve"> </w:t>
            </w:r>
            <w:r>
              <w:t>internal</w:t>
            </w:r>
            <w:r>
              <w:rPr>
                <w:spacing w:val="-6"/>
              </w:rPr>
              <w:t xml:space="preserve"> </w:t>
            </w:r>
            <w:r>
              <w:t>audit</w:t>
            </w:r>
            <w:r>
              <w:rPr>
                <w:spacing w:val="-6"/>
              </w:rPr>
              <w:t xml:space="preserve"> </w:t>
            </w:r>
            <w:r>
              <w:rPr>
                <w:spacing w:val="-2"/>
              </w:rPr>
              <w:t>department,</w:t>
            </w:r>
          </w:p>
          <w:p w14:paraId="0DFDD4C5" w14:textId="77777777" w:rsidR="00046465" w:rsidRDefault="008134EB">
            <w:pPr>
              <w:pStyle w:val="TableParagraph"/>
              <w:numPr>
                <w:ilvl w:val="1"/>
                <w:numId w:val="22"/>
              </w:numPr>
              <w:tabs>
                <w:tab w:val="left" w:pos="1259"/>
              </w:tabs>
              <w:spacing w:before="240"/>
              <w:ind w:hanging="576"/>
            </w:pPr>
            <w:r>
              <w:t>program</w:t>
            </w:r>
            <w:r>
              <w:rPr>
                <w:spacing w:val="-10"/>
              </w:rPr>
              <w:t xml:space="preserve"> </w:t>
            </w:r>
            <w:r>
              <w:t>divisions,</w:t>
            </w:r>
            <w:r>
              <w:rPr>
                <w:spacing w:val="-9"/>
              </w:rPr>
              <w:t xml:space="preserve"> </w:t>
            </w:r>
            <w:r>
              <w:rPr>
                <w:spacing w:val="-5"/>
              </w:rPr>
              <w:t>and</w:t>
            </w:r>
          </w:p>
          <w:p w14:paraId="0DFDD4C6" w14:textId="77777777" w:rsidR="00046465" w:rsidRDefault="008134EB">
            <w:pPr>
              <w:pStyle w:val="TableParagraph"/>
              <w:numPr>
                <w:ilvl w:val="1"/>
                <w:numId w:val="22"/>
              </w:numPr>
              <w:tabs>
                <w:tab w:val="left" w:pos="1259"/>
              </w:tabs>
              <w:spacing w:before="241"/>
              <w:ind w:hanging="576"/>
            </w:pPr>
            <w:r>
              <w:t>newspapers</w:t>
            </w:r>
            <w:r>
              <w:rPr>
                <w:spacing w:val="-6"/>
              </w:rPr>
              <w:t xml:space="preserve"> </w:t>
            </w:r>
            <w:r>
              <w:t>or</w:t>
            </w:r>
            <w:r>
              <w:rPr>
                <w:spacing w:val="-7"/>
              </w:rPr>
              <w:t xml:space="preserve"> </w:t>
            </w:r>
            <w:r>
              <w:t>other</w:t>
            </w:r>
            <w:r>
              <w:rPr>
                <w:spacing w:val="-7"/>
              </w:rPr>
              <w:t xml:space="preserve"> </w:t>
            </w:r>
            <w:r>
              <w:t>media</w:t>
            </w:r>
            <w:r>
              <w:rPr>
                <w:spacing w:val="-6"/>
              </w:rPr>
              <w:t xml:space="preserve"> </w:t>
            </w:r>
            <w:r>
              <w:rPr>
                <w:spacing w:val="-2"/>
              </w:rPr>
              <w:t>sources.</w:t>
            </w:r>
          </w:p>
          <w:p w14:paraId="0DFDD4C7" w14:textId="77777777" w:rsidR="00046465" w:rsidRDefault="008134EB">
            <w:pPr>
              <w:pStyle w:val="TableParagraph"/>
              <w:numPr>
                <w:ilvl w:val="0"/>
                <w:numId w:val="22"/>
              </w:numPr>
              <w:tabs>
                <w:tab w:val="left" w:pos="683"/>
              </w:tabs>
              <w:spacing w:before="239"/>
              <w:ind w:right="572"/>
            </w:pPr>
            <w:r>
              <w:t>Make</w:t>
            </w:r>
            <w:r>
              <w:rPr>
                <w:spacing w:val="-7"/>
              </w:rPr>
              <w:t xml:space="preserve"> </w:t>
            </w:r>
            <w:r>
              <w:t>additional</w:t>
            </w:r>
            <w:r>
              <w:rPr>
                <w:spacing w:val="-7"/>
              </w:rPr>
              <w:t xml:space="preserve"> </w:t>
            </w:r>
            <w:r>
              <w:t>inquiries</w:t>
            </w:r>
            <w:r>
              <w:rPr>
                <w:spacing w:val="-7"/>
              </w:rPr>
              <w:t xml:space="preserve"> </w:t>
            </w:r>
            <w:r>
              <w:t>or</w:t>
            </w:r>
            <w:r>
              <w:rPr>
                <w:spacing w:val="-7"/>
              </w:rPr>
              <w:t xml:space="preserve"> </w:t>
            </w:r>
            <w:r>
              <w:t>perform</w:t>
            </w:r>
            <w:r>
              <w:rPr>
                <w:spacing w:val="-7"/>
              </w:rPr>
              <w:t xml:space="preserve"> </w:t>
            </w:r>
            <w:r>
              <w:t>additional</w:t>
            </w:r>
            <w:r>
              <w:rPr>
                <w:spacing w:val="-7"/>
              </w:rPr>
              <w:t xml:space="preserve"> </w:t>
            </w:r>
            <w:r>
              <w:t>procedures deemed necessary to resolve any questions raised in the foregoing audit steps.</w:t>
            </w:r>
          </w:p>
        </w:tc>
        <w:tc>
          <w:tcPr>
            <w:tcW w:w="1170" w:type="dxa"/>
          </w:tcPr>
          <w:p w14:paraId="0DFDD4C8" w14:textId="77777777" w:rsidR="00046465" w:rsidRDefault="00046465">
            <w:pPr>
              <w:pStyle w:val="TableParagraph"/>
              <w:rPr>
                <w:rFonts w:ascii="Times New Roman"/>
                <w:sz w:val="20"/>
              </w:rPr>
            </w:pPr>
          </w:p>
        </w:tc>
        <w:tc>
          <w:tcPr>
            <w:tcW w:w="1368" w:type="dxa"/>
          </w:tcPr>
          <w:p w14:paraId="0DFDD4C9" w14:textId="77777777" w:rsidR="00046465" w:rsidRDefault="00046465">
            <w:pPr>
              <w:pStyle w:val="TableParagraph"/>
              <w:rPr>
                <w:rFonts w:ascii="Times New Roman"/>
                <w:sz w:val="20"/>
              </w:rPr>
            </w:pPr>
          </w:p>
        </w:tc>
      </w:tr>
      <w:tr w:rsidR="00046465" w14:paraId="0DFDD4CF" w14:textId="77777777">
        <w:trPr>
          <w:trHeight w:val="1745"/>
        </w:trPr>
        <w:tc>
          <w:tcPr>
            <w:tcW w:w="6930" w:type="dxa"/>
          </w:tcPr>
          <w:p w14:paraId="0DFDD4CB" w14:textId="77777777" w:rsidR="00046465" w:rsidRDefault="008134EB">
            <w:pPr>
              <w:pStyle w:val="TableParagraph"/>
              <w:spacing w:before="120"/>
              <w:ind w:left="107"/>
              <w:rPr>
                <w:b/>
              </w:rPr>
            </w:pPr>
            <w:r>
              <w:rPr>
                <w:b/>
                <w:u w:val="single"/>
              </w:rPr>
              <w:t>VIII.</w:t>
            </w:r>
            <w:r>
              <w:rPr>
                <w:b/>
                <w:spacing w:val="-5"/>
                <w:u w:val="single"/>
              </w:rPr>
              <w:t xml:space="preserve"> </w:t>
            </w:r>
            <w:r>
              <w:rPr>
                <w:b/>
                <w:spacing w:val="-2"/>
                <w:u w:val="single"/>
              </w:rPr>
              <w:t>Summarize</w:t>
            </w:r>
          </w:p>
          <w:p w14:paraId="0DFDD4CC" w14:textId="77777777" w:rsidR="00046465" w:rsidRDefault="008134EB">
            <w:pPr>
              <w:pStyle w:val="TableParagraph"/>
              <w:tabs>
                <w:tab w:val="left" w:pos="723"/>
              </w:tabs>
              <w:spacing w:before="240"/>
              <w:ind w:left="723" w:right="129" w:hanging="616"/>
            </w:pPr>
            <w:r>
              <w:rPr>
                <w:spacing w:val="-6"/>
              </w:rPr>
              <w:t>1)</w:t>
            </w:r>
            <w:r>
              <w:tab/>
              <w:t>Prepare a summary memo documenting the results of the work performed above and conclusions reached. If subsequent</w:t>
            </w:r>
            <w:r>
              <w:rPr>
                <w:spacing w:val="-7"/>
              </w:rPr>
              <w:t xml:space="preserve"> </w:t>
            </w:r>
            <w:r>
              <w:t>events</w:t>
            </w:r>
            <w:r>
              <w:rPr>
                <w:spacing w:val="-6"/>
              </w:rPr>
              <w:t xml:space="preserve"> </w:t>
            </w:r>
            <w:r>
              <w:t>were</w:t>
            </w:r>
            <w:r>
              <w:rPr>
                <w:spacing w:val="-7"/>
              </w:rPr>
              <w:t xml:space="preserve"> </w:t>
            </w:r>
            <w:r>
              <w:t>identified,</w:t>
            </w:r>
            <w:r>
              <w:rPr>
                <w:spacing w:val="-6"/>
              </w:rPr>
              <w:t xml:space="preserve"> </w:t>
            </w:r>
            <w:r>
              <w:t>ensure</w:t>
            </w:r>
            <w:r>
              <w:rPr>
                <w:spacing w:val="-6"/>
              </w:rPr>
              <w:t xml:space="preserve"> </w:t>
            </w:r>
            <w:r>
              <w:t>that</w:t>
            </w:r>
            <w:r>
              <w:rPr>
                <w:spacing w:val="-6"/>
              </w:rPr>
              <w:t xml:space="preserve"> </w:t>
            </w:r>
            <w:r>
              <w:t>the</w:t>
            </w:r>
            <w:r>
              <w:rPr>
                <w:spacing w:val="-6"/>
              </w:rPr>
              <w:t xml:space="preserve"> </w:t>
            </w:r>
            <w:r>
              <w:t>information was treated appropriately in the financial statements.</w:t>
            </w:r>
          </w:p>
        </w:tc>
        <w:tc>
          <w:tcPr>
            <w:tcW w:w="1170" w:type="dxa"/>
          </w:tcPr>
          <w:p w14:paraId="0DFDD4CD" w14:textId="77777777" w:rsidR="00046465" w:rsidRDefault="00046465">
            <w:pPr>
              <w:pStyle w:val="TableParagraph"/>
              <w:rPr>
                <w:rFonts w:ascii="Times New Roman"/>
                <w:sz w:val="20"/>
              </w:rPr>
            </w:pPr>
          </w:p>
        </w:tc>
        <w:tc>
          <w:tcPr>
            <w:tcW w:w="1368" w:type="dxa"/>
          </w:tcPr>
          <w:p w14:paraId="0DFDD4CE" w14:textId="77777777" w:rsidR="00046465" w:rsidRDefault="00046465">
            <w:pPr>
              <w:pStyle w:val="TableParagraph"/>
              <w:rPr>
                <w:rFonts w:ascii="Times New Roman"/>
                <w:sz w:val="20"/>
              </w:rPr>
            </w:pPr>
          </w:p>
        </w:tc>
      </w:tr>
    </w:tbl>
    <w:p w14:paraId="0DFDD4D0" w14:textId="77777777" w:rsidR="00046465" w:rsidRDefault="00046465">
      <w:pPr>
        <w:pStyle w:val="TableParagraph"/>
        <w:rPr>
          <w:rFonts w:ascii="Times New Roman"/>
          <w:sz w:val="20"/>
        </w:rPr>
        <w:sectPr w:rsidR="00046465">
          <w:pgSz w:w="12240" w:h="15840"/>
          <w:pgMar w:top="1340" w:right="720" w:bottom="940" w:left="360" w:header="721" w:footer="757" w:gutter="0"/>
          <w:cols w:space="720"/>
        </w:sectPr>
      </w:pPr>
    </w:p>
    <w:p w14:paraId="0DFDD4D1" w14:textId="77777777" w:rsidR="00046465" w:rsidRDefault="00046465">
      <w:pPr>
        <w:pStyle w:val="BodyText"/>
        <w:rPr>
          <w:sz w:val="20"/>
        </w:rPr>
      </w:pPr>
    </w:p>
    <w:p w14:paraId="0DFDD4D2" w14:textId="77777777" w:rsidR="00046465" w:rsidRDefault="00046465">
      <w:pPr>
        <w:pStyle w:val="BodyText"/>
        <w:rPr>
          <w:sz w:val="20"/>
        </w:rPr>
      </w:pPr>
    </w:p>
    <w:p w14:paraId="0DFDD4D3" w14:textId="77777777" w:rsidR="00046465" w:rsidRDefault="00046465">
      <w:pPr>
        <w:pStyle w:val="BodyText"/>
        <w:rPr>
          <w:sz w:val="20"/>
        </w:rPr>
      </w:pPr>
    </w:p>
    <w:p w14:paraId="0DFDD4D4" w14:textId="77777777" w:rsidR="00046465" w:rsidRDefault="00046465">
      <w:pPr>
        <w:pStyle w:val="BodyText"/>
        <w:rPr>
          <w:sz w:val="20"/>
        </w:rPr>
      </w:pPr>
    </w:p>
    <w:p w14:paraId="0DFDD4D5" w14:textId="77777777" w:rsidR="00046465" w:rsidRDefault="00046465">
      <w:pPr>
        <w:pStyle w:val="BodyText"/>
        <w:rPr>
          <w:sz w:val="20"/>
        </w:rPr>
      </w:pPr>
    </w:p>
    <w:p w14:paraId="0DFDD4D6" w14:textId="77777777" w:rsidR="00046465" w:rsidRDefault="00046465">
      <w:pPr>
        <w:pStyle w:val="BodyText"/>
        <w:rPr>
          <w:sz w:val="20"/>
        </w:rPr>
      </w:pPr>
    </w:p>
    <w:p w14:paraId="0DFDD4D7" w14:textId="77777777" w:rsidR="00046465" w:rsidRDefault="00046465">
      <w:pPr>
        <w:pStyle w:val="BodyText"/>
        <w:rPr>
          <w:sz w:val="20"/>
        </w:rPr>
      </w:pPr>
    </w:p>
    <w:p w14:paraId="0DFDD4D8" w14:textId="77777777" w:rsidR="00046465" w:rsidRDefault="00046465">
      <w:pPr>
        <w:pStyle w:val="BodyText"/>
        <w:rPr>
          <w:sz w:val="20"/>
        </w:rPr>
      </w:pPr>
    </w:p>
    <w:p w14:paraId="0DFDD4D9" w14:textId="77777777" w:rsidR="00046465" w:rsidRDefault="00046465">
      <w:pPr>
        <w:pStyle w:val="BodyText"/>
        <w:rPr>
          <w:sz w:val="20"/>
        </w:rPr>
      </w:pPr>
    </w:p>
    <w:p w14:paraId="0DFDD4DA" w14:textId="77777777" w:rsidR="00046465" w:rsidRDefault="00046465">
      <w:pPr>
        <w:pStyle w:val="BodyText"/>
        <w:spacing w:before="9"/>
        <w:rPr>
          <w:sz w:val="20"/>
        </w:rPr>
      </w:pPr>
    </w:p>
    <w:p w14:paraId="0DFDD4DB" w14:textId="77777777" w:rsidR="00046465" w:rsidRDefault="00046465">
      <w:pPr>
        <w:pStyle w:val="BodyText"/>
        <w:rPr>
          <w:sz w:val="20"/>
        </w:rPr>
        <w:sectPr w:rsidR="00046465">
          <w:headerReference w:type="default" r:id="rId259"/>
          <w:footerReference w:type="default" r:id="rId260"/>
          <w:pgSz w:w="12240" w:h="15840"/>
          <w:pgMar w:top="840" w:right="720" w:bottom="280" w:left="360" w:header="0" w:footer="0" w:gutter="0"/>
          <w:cols w:space="720"/>
        </w:sectPr>
      </w:pPr>
    </w:p>
    <w:p w14:paraId="0DFDD4DC" w14:textId="77777777" w:rsidR="00046465" w:rsidRDefault="008134EB">
      <w:pPr>
        <w:spacing w:before="132"/>
        <w:ind w:left="360"/>
        <w:rPr>
          <w:sz w:val="32"/>
        </w:rPr>
      </w:pPr>
      <w:r>
        <w:rPr>
          <w:sz w:val="32"/>
        </w:rPr>
        <w:t>GAO’s</w:t>
      </w:r>
      <w:r>
        <w:rPr>
          <w:spacing w:val="-9"/>
          <w:sz w:val="32"/>
        </w:rPr>
        <w:t xml:space="preserve"> </w:t>
      </w:r>
      <w:r>
        <w:rPr>
          <w:spacing w:val="-2"/>
          <w:sz w:val="32"/>
        </w:rPr>
        <w:t>Mission</w:t>
      </w:r>
    </w:p>
    <w:p w14:paraId="0DFDD4DD" w14:textId="77777777" w:rsidR="00046465" w:rsidRDefault="00046465">
      <w:pPr>
        <w:pStyle w:val="BodyText"/>
        <w:rPr>
          <w:sz w:val="32"/>
        </w:rPr>
      </w:pPr>
    </w:p>
    <w:p w14:paraId="0DFDD4DE" w14:textId="77777777" w:rsidR="00046465" w:rsidRDefault="00046465">
      <w:pPr>
        <w:pStyle w:val="BodyText"/>
        <w:rPr>
          <w:sz w:val="32"/>
        </w:rPr>
      </w:pPr>
    </w:p>
    <w:p w14:paraId="0DFDD4DF" w14:textId="77777777" w:rsidR="00046465" w:rsidRDefault="00046465">
      <w:pPr>
        <w:pStyle w:val="BodyText"/>
        <w:rPr>
          <w:sz w:val="32"/>
        </w:rPr>
      </w:pPr>
    </w:p>
    <w:p w14:paraId="0DFDD4E0" w14:textId="77777777" w:rsidR="00046465" w:rsidRDefault="00046465">
      <w:pPr>
        <w:pStyle w:val="BodyText"/>
        <w:spacing w:before="240"/>
        <w:rPr>
          <w:sz w:val="32"/>
        </w:rPr>
      </w:pPr>
    </w:p>
    <w:p w14:paraId="0DFDD4E1" w14:textId="77777777" w:rsidR="00046465" w:rsidRDefault="008134EB">
      <w:pPr>
        <w:ind w:left="360"/>
        <w:rPr>
          <w:sz w:val="32"/>
        </w:rPr>
      </w:pPr>
      <w:r>
        <w:rPr>
          <w:sz w:val="32"/>
        </w:rPr>
        <w:t>Obtaining</w:t>
      </w:r>
      <w:r>
        <w:rPr>
          <w:spacing w:val="-20"/>
          <w:sz w:val="32"/>
        </w:rPr>
        <w:t xml:space="preserve"> </w:t>
      </w:r>
      <w:r>
        <w:rPr>
          <w:sz w:val="32"/>
        </w:rPr>
        <w:t>Copies</w:t>
      </w:r>
      <w:r>
        <w:rPr>
          <w:spacing w:val="-19"/>
          <w:sz w:val="32"/>
        </w:rPr>
        <w:t xml:space="preserve"> </w:t>
      </w:r>
      <w:r>
        <w:rPr>
          <w:sz w:val="32"/>
        </w:rPr>
        <w:t xml:space="preserve">of GAO Reports and </w:t>
      </w:r>
      <w:r>
        <w:rPr>
          <w:spacing w:val="-2"/>
          <w:sz w:val="32"/>
        </w:rPr>
        <w:t>Testimony</w:t>
      </w:r>
    </w:p>
    <w:p w14:paraId="0DFDD4E2" w14:textId="77777777" w:rsidR="00046465" w:rsidRDefault="008134EB">
      <w:pPr>
        <w:spacing w:before="81"/>
        <w:ind w:left="374"/>
        <w:rPr>
          <w:sz w:val="28"/>
        </w:rPr>
      </w:pPr>
      <w:r>
        <w:rPr>
          <w:sz w:val="28"/>
        </w:rPr>
        <w:t>Order</w:t>
      </w:r>
      <w:r>
        <w:rPr>
          <w:spacing w:val="-6"/>
          <w:sz w:val="28"/>
        </w:rPr>
        <w:t xml:space="preserve"> </w:t>
      </w:r>
      <w:r>
        <w:rPr>
          <w:sz w:val="28"/>
        </w:rPr>
        <w:t>by</w:t>
      </w:r>
      <w:r>
        <w:rPr>
          <w:spacing w:val="-8"/>
          <w:sz w:val="28"/>
        </w:rPr>
        <w:t xml:space="preserve"> </w:t>
      </w:r>
      <w:r>
        <w:rPr>
          <w:spacing w:val="-2"/>
          <w:sz w:val="28"/>
        </w:rPr>
        <w:t>Phone</w:t>
      </w:r>
    </w:p>
    <w:p w14:paraId="0DFDD4E3" w14:textId="77777777" w:rsidR="00046465" w:rsidRDefault="00046465">
      <w:pPr>
        <w:pStyle w:val="BodyText"/>
        <w:rPr>
          <w:sz w:val="28"/>
        </w:rPr>
      </w:pPr>
    </w:p>
    <w:p w14:paraId="0DFDD4E4" w14:textId="77777777" w:rsidR="00046465" w:rsidRDefault="00046465">
      <w:pPr>
        <w:pStyle w:val="BodyText"/>
        <w:rPr>
          <w:sz w:val="28"/>
        </w:rPr>
      </w:pPr>
    </w:p>
    <w:p w14:paraId="0DFDD4E5" w14:textId="77777777" w:rsidR="00046465" w:rsidRDefault="00046465">
      <w:pPr>
        <w:pStyle w:val="BodyText"/>
        <w:rPr>
          <w:sz w:val="28"/>
        </w:rPr>
      </w:pPr>
    </w:p>
    <w:p w14:paraId="0DFDD4E6" w14:textId="77777777" w:rsidR="00046465" w:rsidRDefault="00046465">
      <w:pPr>
        <w:pStyle w:val="BodyText"/>
        <w:rPr>
          <w:sz w:val="28"/>
        </w:rPr>
      </w:pPr>
    </w:p>
    <w:p w14:paraId="0DFDD4E7" w14:textId="77777777" w:rsidR="00046465" w:rsidRDefault="00046465">
      <w:pPr>
        <w:pStyle w:val="BodyText"/>
        <w:rPr>
          <w:sz w:val="28"/>
        </w:rPr>
      </w:pPr>
    </w:p>
    <w:p w14:paraId="0DFDD4E8" w14:textId="77777777" w:rsidR="00046465" w:rsidRDefault="00046465">
      <w:pPr>
        <w:pStyle w:val="BodyText"/>
        <w:spacing w:before="160"/>
        <w:rPr>
          <w:sz w:val="28"/>
        </w:rPr>
      </w:pPr>
    </w:p>
    <w:p w14:paraId="0DFDD4E9" w14:textId="77777777" w:rsidR="00046465" w:rsidRDefault="008134EB">
      <w:pPr>
        <w:spacing w:before="1"/>
        <w:ind w:left="360"/>
        <w:rPr>
          <w:sz w:val="32"/>
        </w:rPr>
      </w:pPr>
      <w:r>
        <w:rPr>
          <w:sz w:val="32"/>
        </w:rPr>
        <w:t>Connect</w:t>
      </w:r>
      <w:r>
        <w:rPr>
          <w:spacing w:val="-4"/>
          <w:sz w:val="32"/>
        </w:rPr>
        <w:t xml:space="preserve"> </w:t>
      </w:r>
      <w:r>
        <w:rPr>
          <w:sz w:val="32"/>
        </w:rPr>
        <w:t>with</w:t>
      </w:r>
      <w:r>
        <w:rPr>
          <w:spacing w:val="-4"/>
          <w:sz w:val="32"/>
        </w:rPr>
        <w:t xml:space="preserve"> </w:t>
      </w:r>
      <w:r>
        <w:rPr>
          <w:spacing w:val="-5"/>
          <w:sz w:val="32"/>
        </w:rPr>
        <w:t>GAO</w:t>
      </w:r>
    </w:p>
    <w:p w14:paraId="0DFDD4EA" w14:textId="77777777" w:rsidR="00046465" w:rsidRDefault="00046465">
      <w:pPr>
        <w:pStyle w:val="BodyText"/>
        <w:spacing w:before="193"/>
        <w:rPr>
          <w:sz w:val="32"/>
        </w:rPr>
      </w:pPr>
    </w:p>
    <w:p w14:paraId="0DFDD4EB" w14:textId="77777777" w:rsidR="00046465" w:rsidRDefault="008134EB">
      <w:pPr>
        <w:spacing w:before="1"/>
        <w:ind w:left="360"/>
        <w:rPr>
          <w:sz w:val="32"/>
        </w:rPr>
      </w:pPr>
      <w:r>
        <w:rPr>
          <w:sz w:val="32"/>
        </w:rPr>
        <w:t>To Report Fraud, Waste,</w:t>
      </w:r>
      <w:r>
        <w:rPr>
          <w:spacing w:val="-23"/>
          <w:sz w:val="32"/>
        </w:rPr>
        <w:t xml:space="preserve"> </w:t>
      </w:r>
      <w:r>
        <w:rPr>
          <w:sz w:val="32"/>
        </w:rPr>
        <w:t>and</w:t>
      </w:r>
      <w:r>
        <w:rPr>
          <w:spacing w:val="-22"/>
          <w:sz w:val="32"/>
        </w:rPr>
        <w:t xml:space="preserve"> </w:t>
      </w:r>
      <w:r>
        <w:rPr>
          <w:sz w:val="32"/>
        </w:rPr>
        <w:t>Abuse</w:t>
      </w:r>
      <w:r>
        <w:rPr>
          <w:spacing w:val="-22"/>
          <w:sz w:val="32"/>
        </w:rPr>
        <w:t xml:space="preserve"> </w:t>
      </w:r>
      <w:r>
        <w:rPr>
          <w:sz w:val="32"/>
        </w:rPr>
        <w:t>in Federal Programs</w:t>
      </w:r>
    </w:p>
    <w:p w14:paraId="0DFDD4EC" w14:textId="77777777" w:rsidR="00046465" w:rsidRDefault="008134EB">
      <w:pPr>
        <w:spacing w:before="186"/>
        <w:ind w:left="360"/>
        <w:rPr>
          <w:sz w:val="32"/>
        </w:rPr>
      </w:pPr>
      <w:r>
        <w:rPr>
          <w:sz w:val="32"/>
        </w:rPr>
        <w:t>Media</w:t>
      </w:r>
      <w:r>
        <w:rPr>
          <w:spacing w:val="-5"/>
          <w:sz w:val="32"/>
        </w:rPr>
        <w:t xml:space="preserve"> </w:t>
      </w:r>
      <w:r>
        <w:rPr>
          <w:spacing w:val="-2"/>
          <w:sz w:val="32"/>
        </w:rPr>
        <w:t>Relations</w:t>
      </w:r>
    </w:p>
    <w:p w14:paraId="0DFDD4ED" w14:textId="77777777" w:rsidR="00046465" w:rsidRDefault="00046465">
      <w:pPr>
        <w:pStyle w:val="BodyText"/>
        <w:spacing w:before="204"/>
        <w:rPr>
          <w:sz w:val="32"/>
        </w:rPr>
      </w:pPr>
    </w:p>
    <w:p w14:paraId="0DFDD4EE" w14:textId="77777777" w:rsidR="00046465" w:rsidRDefault="008134EB">
      <w:pPr>
        <w:spacing w:before="1"/>
        <w:ind w:left="360"/>
        <w:rPr>
          <w:sz w:val="32"/>
        </w:rPr>
      </w:pPr>
      <w:r>
        <w:rPr>
          <w:spacing w:val="-2"/>
          <w:sz w:val="32"/>
        </w:rPr>
        <w:t>Congressional Relations</w:t>
      </w:r>
    </w:p>
    <w:p w14:paraId="0DFDD4EF" w14:textId="77777777" w:rsidR="00046465" w:rsidRDefault="008134EB">
      <w:pPr>
        <w:spacing w:before="254"/>
        <w:ind w:left="360"/>
        <w:rPr>
          <w:sz w:val="32"/>
        </w:rPr>
      </w:pPr>
      <w:r>
        <w:rPr>
          <w:sz w:val="32"/>
        </w:rPr>
        <w:t>General</w:t>
      </w:r>
      <w:r>
        <w:rPr>
          <w:spacing w:val="-4"/>
          <w:sz w:val="32"/>
        </w:rPr>
        <w:t xml:space="preserve"> </w:t>
      </w:r>
      <w:r>
        <w:rPr>
          <w:spacing w:val="-2"/>
          <w:sz w:val="32"/>
        </w:rPr>
        <w:t>Inquiries</w:t>
      </w:r>
    </w:p>
    <w:p w14:paraId="0DFDD4F0" w14:textId="77777777" w:rsidR="00046465" w:rsidRDefault="008134EB">
      <w:pPr>
        <w:spacing w:before="94"/>
        <w:ind w:left="360" w:right="5"/>
        <w:rPr>
          <w:sz w:val="20"/>
        </w:rPr>
      </w:pPr>
      <w:r>
        <w:br w:type="column"/>
      </w:r>
      <w:r>
        <w:rPr>
          <w:sz w:val="20"/>
        </w:rPr>
        <w:t>The Government Accountability Office, the audit, evaluation, and investigative arm of Congress, exists to support Congress in meeting its constitutional responsibilities and to help improve the performance and accountability of the federal government for the American people. GAO examines the use of public funds; evaluates federal programs and policies; and provides analyses, recommendations, and other assistance to help Congress make informed oversight,</w:t>
      </w:r>
      <w:r>
        <w:rPr>
          <w:spacing w:val="-4"/>
          <w:sz w:val="20"/>
        </w:rPr>
        <w:t xml:space="preserve"> </w:t>
      </w:r>
      <w:r>
        <w:rPr>
          <w:sz w:val="20"/>
        </w:rPr>
        <w:t>policy,</w:t>
      </w:r>
      <w:r>
        <w:rPr>
          <w:spacing w:val="-4"/>
          <w:sz w:val="20"/>
        </w:rPr>
        <w:t xml:space="preserve"> </w:t>
      </w:r>
      <w:r>
        <w:rPr>
          <w:sz w:val="20"/>
        </w:rPr>
        <w:t>and</w:t>
      </w:r>
      <w:r>
        <w:rPr>
          <w:spacing w:val="-4"/>
          <w:sz w:val="20"/>
        </w:rPr>
        <w:t xml:space="preserve"> </w:t>
      </w:r>
      <w:r>
        <w:rPr>
          <w:sz w:val="20"/>
        </w:rPr>
        <w:t>funding</w:t>
      </w:r>
      <w:r>
        <w:rPr>
          <w:spacing w:val="-4"/>
          <w:sz w:val="20"/>
        </w:rPr>
        <w:t xml:space="preserve"> </w:t>
      </w:r>
      <w:r>
        <w:rPr>
          <w:sz w:val="20"/>
        </w:rPr>
        <w:t>decisions.</w:t>
      </w:r>
      <w:r>
        <w:rPr>
          <w:spacing w:val="-4"/>
          <w:sz w:val="20"/>
        </w:rPr>
        <w:t xml:space="preserve"> </w:t>
      </w:r>
      <w:r>
        <w:rPr>
          <w:sz w:val="20"/>
        </w:rPr>
        <w:t>GAO’s</w:t>
      </w:r>
      <w:r>
        <w:rPr>
          <w:spacing w:val="-4"/>
          <w:sz w:val="20"/>
        </w:rPr>
        <w:t xml:space="preserve"> </w:t>
      </w:r>
      <w:r>
        <w:rPr>
          <w:sz w:val="20"/>
        </w:rPr>
        <w:t>commitment</w:t>
      </w:r>
      <w:r>
        <w:rPr>
          <w:spacing w:val="-4"/>
          <w:sz w:val="20"/>
        </w:rPr>
        <w:t xml:space="preserve"> </w:t>
      </w:r>
      <w:r>
        <w:rPr>
          <w:sz w:val="20"/>
        </w:rPr>
        <w:t>to</w:t>
      </w:r>
      <w:r>
        <w:rPr>
          <w:spacing w:val="-4"/>
          <w:sz w:val="20"/>
        </w:rPr>
        <w:t xml:space="preserve"> </w:t>
      </w:r>
      <w:r>
        <w:rPr>
          <w:sz w:val="20"/>
        </w:rPr>
        <w:t>good</w:t>
      </w:r>
      <w:r>
        <w:rPr>
          <w:spacing w:val="-4"/>
          <w:sz w:val="20"/>
        </w:rPr>
        <w:t xml:space="preserve"> </w:t>
      </w:r>
      <w:r>
        <w:rPr>
          <w:sz w:val="20"/>
        </w:rPr>
        <w:t>government is reflected in its core values of accountability, integrity, and reliability.</w:t>
      </w:r>
    </w:p>
    <w:p w14:paraId="0DFDD4F1" w14:textId="77777777" w:rsidR="00046465" w:rsidRDefault="00046465">
      <w:pPr>
        <w:pStyle w:val="BodyText"/>
        <w:spacing w:before="10"/>
        <w:rPr>
          <w:sz w:val="20"/>
        </w:rPr>
      </w:pPr>
    </w:p>
    <w:p w14:paraId="0DFDD4F2" w14:textId="77777777" w:rsidR="00046465" w:rsidRDefault="008134EB">
      <w:pPr>
        <w:ind w:left="360" w:right="5"/>
        <w:rPr>
          <w:sz w:val="20"/>
        </w:rPr>
      </w:pPr>
      <w:r>
        <w:rPr>
          <w:noProof/>
          <w:sz w:val="20"/>
        </w:rPr>
        <mc:AlternateContent>
          <mc:Choice Requires="wpg">
            <w:drawing>
              <wp:anchor distT="0" distB="0" distL="0" distR="0" simplePos="0" relativeHeight="15886848" behindDoc="0" locked="0" layoutInCell="1" allowOverlap="1" wp14:anchorId="0DFDD77B" wp14:editId="0DFDD77C">
                <wp:simplePos x="0" y="0"/>
                <wp:positionH relativeFrom="page">
                  <wp:posOffset>426721</wp:posOffset>
                </wp:positionH>
                <wp:positionV relativeFrom="paragraph">
                  <wp:posOffset>-1403431</wp:posOffset>
                </wp:positionV>
                <wp:extent cx="6934200" cy="95250"/>
                <wp:effectExtent l="0" t="0" r="0" b="0"/>
                <wp:wrapNone/>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0" cy="95250"/>
                          <a:chOff x="0" y="0"/>
                          <a:chExt cx="6934200" cy="95250"/>
                        </a:xfrm>
                      </wpg:grpSpPr>
                      <wps:wsp>
                        <wps:cNvPr id="1184" name="Graphic 1184"/>
                        <wps:cNvSpPr/>
                        <wps:spPr>
                          <a:xfrm>
                            <a:off x="0" y="4762"/>
                            <a:ext cx="6934200" cy="1270"/>
                          </a:xfrm>
                          <a:custGeom>
                            <a:avLst/>
                            <a:gdLst/>
                            <a:ahLst/>
                            <a:cxnLst/>
                            <a:rect l="l" t="t" r="r" b="b"/>
                            <a:pathLst>
                              <a:path w="6934200">
                                <a:moveTo>
                                  <a:pt x="0" y="0"/>
                                </a:moveTo>
                                <a:lnTo>
                                  <a:pt x="6934200" y="0"/>
                                </a:lnTo>
                              </a:path>
                            </a:pathLst>
                          </a:custGeom>
                          <a:ln w="9525">
                            <a:solidFill>
                              <a:srgbClr val="000000"/>
                            </a:solidFill>
                            <a:prstDash val="solid"/>
                          </a:ln>
                        </wps:spPr>
                        <wps:bodyPr wrap="square" lIns="0" tIns="0" rIns="0" bIns="0" rtlCol="0">
                          <a:prstTxWarp prst="textNoShape">
                            <a:avLst/>
                          </a:prstTxWarp>
                          <a:noAutofit/>
                        </wps:bodyPr>
                      </wps:wsp>
                      <wps:wsp>
                        <wps:cNvPr id="1185" name="Graphic 1185"/>
                        <wps:cNvSpPr/>
                        <wps:spPr>
                          <a:xfrm>
                            <a:off x="11428" y="37528"/>
                            <a:ext cx="2159635" cy="57150"/>
                          </a:xfrm>
                          <a:custGeom>
                            <a:avLst/>
                            <a:gdLst/>
                            <a:ahLst/>
                            <a:cxnLst/>
                            <a:rect l="l" t="t" r="r" b="b"/>
                            <a:pathLst>
                              <a:path w="2159635" h="57150">
                                <a:moveTo>
                                  <a:pt x="2159520" y="0"/>
                                </a:moveTo>
                                <a:lnTo>
                                  <a:pt x="0" y="0"/>
                                </a:lnTo>
                                <a:lnTo>
                                  <a:pt x="0" y="57150"/>
                                </a:lnTo>
                                <a:lnTo>
                                  <a:pt x="2159520" y="57150"/>
                                </a:lnTo>
                                <a:lnTo>
                                  <a:pt x="2159520" y="0"/>
                                </a:lnTo>
                                <a:close/>
                              </a:path>
                            </a:pathLst>
                          </a:custGeom>
                          <a:solidFill>
                            <a:srgbClr val="000000"/>
                          </a:solidFill>
                        </wps:spPr>
                        <wps:bodyPr wrap="square" lIns="0" tIns="0" rIns="0" bIns="0" rtlCol="0">
                          <a:prstTxWarp prst="textNoShape">
                            <a:avLst/>
                          </a:prstTxWarp>
                          <a:noAutofit/>
                        </wps:bodyPr>
                      </wps:wsp>
                      <wps:wsp>
                        <wps:cNvPr id="1186" name="Graphic 1186"/>
                        <wps:cNvSpPr/>
                        <wps:spPr>
                          <a:xfrm>
                            <a:off x="21590" y="43496"/>
                            <a:ext cx="6903720" cy="1270"/>
                          </a:xfrm>
                          <a:custGeom>
                            <a:avLst/>
                            <a:gdLst/>
                            <a:ahLst/>
                            <a:cxnLst/>
                            <a:rect l="l" t="t" r="r" b="b"/>
                            <a:pathLst>
                              <a:path w="690372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628338" id="Group 1183" o:spid="_x0000_s1026" style="position:absolute;margin-left:33.6pt;margin-top:-110.5pt;width:546pt;height:7.5pt;z-index:15886848;mso-wrap-distance-left:0;mso-wrap-distance-right:0;mso-position-horizontal-relative:page" coordsize="693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">
                <v:shape id="Graphic 1184" o:spid="_x0000_s1027" style="position:absolute;top:47;width:69342;height:13;visibility:visible;mso-wrap-style:square;v-text-anchor:top" coordsize="693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" path="m,l6934200,e" filled="f">
                  <v:path arrowok="t"/>
                </v:shape>
                <v:shape id="Graphic 1185" o:spid="_x0000_s1028" style="position:absolute;left:114;top:375;width:21596;height:571;visibility:visible;mso-wrap-style:square;v-text-anchor:top" coordsize="215963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" path="m2159520,l,,,57150r2159520,l2159520,xe" fillcolor="black" stroked="f">
                  <v:path arrowok="t"/>
                </v:shape>
                <v:shape id="Graphic 1186" o:spid="_x0000_s1029" style="position:absolute;left:215;top:434;width:69038;height:13;visibility:visible;mso-wrap-style:square;v-text-anchor:top" coordsize="690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" path="m,l6903720,e" filled="f">
                  <v:path arrowok="t"/>
                </v:shape>
                <w10:wrap anchorx="page"/>
              </v:group>
            </w:pict>
          </mc:Fallback>
        </mc:AlternateContent>
      </w:r>
      <w:r>
        <w:rPr>
          <w:noProof/>
          <w:sz w:val="20"/>
        </w:rPr>
        <mc:AlternateContent>
          <mc:Choice Requires="wpg">
            <w:drawing>
              <wp:anchor distT="0" distB="0" distL="0" distR="0" simplePos="0" relativeHeight="15887360" behindDoc="0" locked="0" layoutInCell="1" allowOverlap="1" wp14:anchorId="0DFDD77D" wp14:editId="0DFDD77E">
                <wp:simplePos x="0" y="0"/>
                <wp:positionH relativeFrom="page">
                  <wp:posOffset>438150</wp:posOffset>
                </wp:positionH>
                <wp:positionV relativeFrom="paragraph">
                  <wp:posOffset>-44595</wp:posOffset>
                </wp:positionV>
                <wp:extent cx="6910070" cy="57150"/>
                <wp:effectExtent l="0" t="0" r="0" b="0"/>
                <wp:wrapNone/>
                <wp:docPr id="1187"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0070" cy="57150"/>
                          <a:chOff x="0" y="0"/>
                          <a:chExt cx="6910070" cy="57150"/>
                        </a:xfrm>
                      </wpg:grpSpPr>
                      <wps:wsp>
                        <wps:cNvPr id="1188" name="Graphic 1188"/>
                        <wps:cNvSpPr/>
                        <wps:spPr>
                          <a:xfrm>
                            <a:off x="0" y="0"/>
                            <a:ext cx="2159635" cy="57150"/>
                          </a:xfrm>
                          <a:custGeom>
                            <a:avLst/>
                            <a:gdLst/>
                            <a:ahLst/>
                            <a:cxnLst/>
                            <a:rect l="l" t="t" r="r" b="b"/>
                            <a:pathLst>
                              <a:path w="2159635" h="57150">
                                <a:moveTo>
                                  <a:pt x="2159520" y="0"/>
                                </a:moveTo>
                                <a:lnTo>
                                  <a:pt x="0" y="0"/>
                                </a:lnTo>
                                <a:lnTo>
                                  <a:pt x="0" y="57150"/>
                                </a:lnTo>
                                <a:lnTo>
                                  <a:pt x="2159520" y="57150"/>
                                </a:lnTo>
                                <a:lnTo>
                                  <a:pt x="2159520" y="0"/>
                                </a:lnTo>
                                <a:close/>
                              </a:path>
                            </a:pathLst>
                          </a:custGeom>
                          <a:solidFill>
                            <a:srgbClr val="000000"/>
                          </a:solidFill>
                        </wps:spPr>
                        <wps:bodyPr wrap="square" lIns="0" tIns="0" rIns="0" bIns="0" rtlCol="0">
                          <a:prstTxWarp prst="textNoShape">
                            <a:avLst/>
                          </a:prstTxWarp>
                          <a:noAutofit/>
                        </wps:bodyPr>
                      </wps:wsp>
                      <wps:wsp>
                        <wps:cNvPr id="1189" name="Graphic 1189"/>
                        <wps:cNvSpPr/>
                        <wps:spPr>
                          <a:xfrm>
                            <a:off x="6350" y="5359"/>
                            <a:ext cx="6903720" cy="1270"/>
                          </a:xfrm>
                          <a:custGeom>
                            <a:avLst/>
                            <a:gdLst/>
                            <a:ahLst/>
                            <a:cxnLst/>
                            <a:rect l="l" t="t" r="r" b="b"/>
                            <a:pathLst>
                              <a:path w="690372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32B8B4" id="Group 1187" o:spid="_x0000_s1026" style="position:absolute;margin-left:34.5pt;margin-top:-3.5pt;width:544.1pt;height:4.5pt;z-index:15887360;mso-wrap-distance-left:0;mso-wrap-distance-right:0;mso-position-horizontal-relative:page" coordsize="69100,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">
                <v:shape id="Graphic 1188" o:spid="_x0000_s1027" style="position:absolute;width:21596;height:571;visibility:visible;mso-wrap-style:square;v-text-anchor:top" coordsize="215963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" path="m2159520,l,,,57150r2159520,l2159520,xe" fillcolor="black" stroked="f">
                  <v:path arrowok="t"/>
                </v:shape>
                <v:shape id="Graphic 1189" o:spid="_x0000_s1028" style="position:absolute;left:63;top:53;width:69037;height:13;visibility:visible;mso-wrap-style:square;v-text-anchor:top" coordsize="690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" path="m,l6903720,e" filled="f">
                  <v:path arrowok="t"/>
                </v:shape>
                <w10:wrap anchorx="page"/>
              </v:group>
            </w:pict>
          </mc:Fallback>
        </mc:AlternateContent>
      </w:r>
      <w:r>
        <w:rPr>
          <w:sz w:val="20"/>
        </w:rPr>
        <w:t>The fastest and easiest way to obtain copies of GAO documents at no cost is through</w:t>
      </w:r>
      <w:r>
        <w:rPr>
          <w:spacing w:val="-4"/>
          <w:sz w:val="20"/>
        </w:rPr>
        <w:t xml:space="preserve"> </w:t>
      </w:r>
      <w:r>
        <w:rPr>
          <w:sz w:val="20"/>
        </w:rPr>
        <w:t>our</w:t>
      </w:r>
      <w:r>
        <w:rPr>
          <w:spacing w:val="-3"/>
          <w:sz w:val="20"/>
        </w:rPr>
        <w:t xml:space="preserve"> </w:t>
      </w:r>
      <w:r>
        <w:rPr>
          <w:sz w:val="20"/>
        </w:rPr>
        <w:t>website.</w:t>
      </w:r>
      <w:r>
        <w:rPr>
          <w:spacing w:val="-4"/>
          <w:sz w:val="20"/>
        </w:rPr>
        <w:t xml:space="preserve"> </w:t>
      </w:r>
      <w:r>
        <w:rPr>
          <w:sz w:val="20"/>
        </w:rPr>
        <w:t>Each</w:t>
      </w:r>
      <w:r>
        <w:rPr>
          <w:spacing w:val="-4"/>
          <w:sz w:val="20"/>
        </w:rPr>
        <w:t xml:space="preserve"> </w:t>
      </w:r>
      <w:r>
        <w:rPr>
          <w:sz w:val="20"/>
        </w:rPr>
        <w:t>weekday</w:t>
      </w:r>
      <w:r>
        <w:rPr>
          <w:spacing w:val="-3"/>
          <w:sz w:val="20"/>
        </w:rPr>
        <w:t xml:space="preserve"> </w:t>
      </w:r>
      <w:r>
        <w:rPr>
          <w:sz w:val="20"/>
        </w:rPr>
        <w:t>afternoon,</w:t>
      </w:r>
      <w:r>
        <w:rPr>
          <w:spacing w:val="-4"/>
          <w:sz w:val="20"/>
        </w:rPr>
        <w:t xml:space="preserve"> </w:t>
      </w:r>
      <w:r>
        <w:rPr>
          <w:sz w:val="20"/>
        </w:rPr>
        <w:t>GAO</w:t>
      </w:r>
      <w:r>
        <w:rPr>
          <w:spacing w:val="-4"/>
          <w:sz w:val="20"/>
        </w:rPr>
        <w:t xml:space="preserve"> </w:t>
      </w:r>
      <w:r>
        <w:rPr>
          <w:sz w:val="20"/>
        </w:rPr>
        <w:t>posts</w:t>
      </w:r>
      <w:r>
        <w:rPr>
          <w:spacing w:val="-3"/>
          <w:sz w:val="20"/>
        </w:rPr>
        <w:t xml:space="preserve"> </w:t>
      </w:r>
      <w:r>
        <w:rPr>
          <w:sz w:val="20"/>
        </w:rPr>
        <w:t>on</w:t>
      </w:r>
      <w:r>
        <w:rPr>
          <w:spacing w:val="-4"/>
          <w:sz w:val="20"/>
        </w:rPr>
        <w:t xml:space="preserve"> </w:t>
      </w:r>
      <w:r>
        <w:rPr>
          <w:sz w:val="20"/>
        </w:rPr>
        <w:t>its</w:t>
      </w:r>
      <w:r>
        <w:rPr>
          <w:spacing w:val="-4"/>
          <w:sz w:val="20"/>
        </w:rPr>
        <w:t xml:space="preserve"> </w:t>
      </w:r>
      <w:hyperlink r:id="rId261">
        <w:r>
          <w:rPr>
            <w:color w:val="0000FF"/>
            <w:sz w:val="20"/>
          </w:rPr>
          <w:t>website</w:t>
        </w:r>
      </w:hyperlink>
      <w:r>
        <w:rPr>
          <w:color w:val="0000FF"/>
          <w:spacing w:val="-4"/>
          <w:sz w:val="20"/>
        </w:rPr>
        <w:t xml:space="preserve"> </w:t>
      </w:r>
      <w:r>
        <w:rPr>
          <w:sz w:val="20"/>
        </w:rPr>
        <w:t xml:space="preserve">newly released reports, testimony, and correspondence. You can also </w:t>
      </w:r>
      <w:hyperlink r:id="rId262">
        <w:r>
          <w:rPr>
            <w:color w:val="0000FF"/>
            <w:sz w:val="20"/>
          </w:rPr>
          <w:t xml:space="preserve">subscribe </w:t>
        </w:r>
        <w:r>
          <w:rPr>
            <w:sz w:val="20"/>
          </w:rPr>
          <w:t>t</w:t>
        </w:r>
      </w:hyperlink>
      <w:r>
        <w:rPr>
          <w:sz w:val="20"/>
        </w:rPr>
        <w:t>o GAO’s email updates to receive notification of newly posted products.</w:t>
      </w:r>
    </w:p>
    <w:p w14:paraId="0DFDD4F3" w14:textId="77777777" w:rsidR="00046465" w:rsidRDefault="00046465">
      <w:pPr>
        <w:pStyle w:val="BodyText"/>
        <w:spacing w:before="131"/>
        <w:rPr>
          <w:sz w:val="20"/>
        </w:rPr>
      </w:pPr>
    </w:p>
    <w:p w14:paraId="0DFDD4F4" w14:textId="77777777" w:rsidR="00046465" w:rsidRDefault="008134EB">
      <w:pPr>
        <w:ind w:left="360" w:right="5"/>
        <w:rPr>
          <w:sz w:val="20"/>
        </w:rPr>
      </w:pPr>
      <w:r>
        <w:rPr>
          <w:noProof/>
          <w:sz w:val="20"/>
        </w:rPr>
        <mc:AlternateContent>
          <mc:Choice Requires="wps">
            <w:drawing>
              <wp:anchor distT="0" distB="0" distL="0" distR="0" simplePos="0" relativeHeight="15890432" behindDoc="0" locked="0" layoutInCell="1" allowOverlap="1" wp14:anchorId="0DFDD77F" wp14:editId="0DFDD780">
                <wp:simplePos x="0" y="0"/>
                <wp:positionH relativeFrom="page">
                  <wp:posOffset>457200</wp:posOffset>
                </wp:positionH>
                <wp:positionV relativeFrom="paragraph">
                  <wp:posOffset>-27794</wp:posOffset>
                </wp:positionV>
                <wp:extent cx="6903720" cy="1270"/>
                <wp:effectExtent l="0" t="0" r="0" b="0"/>
                <wp:wrapNone/>
                <wp:docPr id="1190" name="Graphic 1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03720" cy="1270"/>
                        </a:xfrm>
                        <a:custGeom>
                          <a:avLst/>
                          <a:gdLst/>
                          <a:ahLst/>
                          <a:cxnLst/>
                          <a:rect l="l" t="t" r="r" b="b"/>
                          <a:pathLst>
                            <a:path w="690372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B9204A" id="Graphic 1190" o:spid="_x0000_s1026" style="position:absolute;margin-left:36pt;margin-top:-2.2pt;width:543.6pt;height:.1pt;z-index:15890432;visibility:visible;mso-wrap-style:square;mso-wrap-distance-left:0;mso-wrap-distance-top:0;mso-wrap-distance-right:0;mso-wrap-distance-bottom:0;mso-position-horizontal:absolute;mso-position-horizontal-relative:page;mso-position-vertical:absolute;mso-position-vertical-relative:text;v-text-anchor:top" coordsize="690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" path="m,l6903720,e" filled="f">
                <v:path arrowok="t"/>
                <w10:wrap anchorx="page"/>
              </v:shape>
            </w:pict>
          </mc:Fallback>
        </mc:AlternateContent>
      </w:r>
      <w:r>
        <w:rPr>
          <w:sz w:val="20"/>
        </w:rPr>
        <w:t>The price of each GAO publication reflects GAO’s actual cost of production and distribution</w:t>
      </w:r>
      <w:r>
        <w:rPr>
          <w:spacing w:val="-4"/>
          <w:sz w:val="20"/>
        </w:rPr>
        <w:t xml:space="preserve"> </w:t>
      </w:r>
      <w:r>
        <w:rPr>
          <w:sz w:val="20"/>
        </w:rPr>
        <w:t>and</w:t>
      </w:r>
      <w:r>
        <w:rPr>
          <w:spacing w:val="-4"/>
          <w:sz w:val="20"/>
        </w:rPr>
        <w:t xml:space="preserve"> </w:t>
      </w:r>
      <w:r>
        <w:rPr>
          <w:sz w:val="20"/>
        </w:rPr>
        <w:t>depends</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number</w:t>
      </w:r>
      <w:r>
        <w:rPr>
          <w:spacing w:val="-5"/>
          <w:sz w:val="20"/>
        </w:rPr>
        <w:t xml:space="preserve"> </w:t>
      </w:r>
      <w:r>
        <w:rPr>
          <w:sz w:val="20"/>
        </w:rPr>
        <w:t>of</w:t>
      </w:r>
      <w:r>
        <w:rPr>
          <w:spacing w:val="-4"/>
          <w:sz w:val="20"/>
        </w:rPr>
        <w:t xml:space="preserve"> </w:t>
      </w:r>
      <w:r>
        <w:rPr>
          <w:sz w:val="20"/>
        </w:rPr>
        <w:t>pages</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publication</w:t>
      </w:r>
      <w:r>
        <w:rPr>
          <w:spacing w:val="-4"/>
          <w:sz w:val="20"/>
        </w:rPr>
        <w:t xml:space="preserve"> </w:t>
      </w:r>
      <w:r>
        <w:rPr>
          <w:sz w:val="20"/>
        </w:rPr>
        <w:t>and</w:t>
      </w:r>
      <w:r>
        <w:rPr>
          <w:spacing w:val="-4"/>
          <w:sz w:val="20"/>
        </w:rPr>
        <w:t xml:space="preserve"> </w:t>
      </w:r>
      <w:r>
        <w:rPr>
          <w:sz w:val="20"/>
        </w:rPr>
        <w:t xml:space="preserve">whether the publication is printed in color or black and white. Pricing and ordering information is posted on GAO’s website, </w:t>
      </w:r>
      <w:hyperlink r:id="rId263">
        <w:r>
          <w:rPr>
            <w:color w:val="0000FF"/>
            <w:sz w:val="20"/>
          </w:rPr>
          <w:t>https://www.gao.gov/ordering.htm</w:t>
        </w:r>
        <w:r>
          <w:rPr>
            <w:sz w:val="20"/>
          </w:rPr>
          <w:t>.</w:t>
        </w:r>
      </w:hyperlink>
    </w:p>
    <w:p w14:paraId="0DFDD4F5" w14:textId="77777777" w:rsidR="00046465" w:rsidRDefault="008134EB">
      <w:pPr>
        <w:spacing w:before="121"/>
        <w:ind w:left="360"/>
        <w:rPr>
          <w:sz w:val="20"/>
        </w:rPr>
      </w:pPr>
      <w:r>
        <w:rPr>
          <w:sz w:val="20"/>
        </w:rPr>
        <w:t>Place</w:t>
      </w:r>
      <w:r>
        <w:rPr>
          <w:spacing w:val="-6"/>
          <w:sz w:val="20"/>
        </w:rPr>
        <w:t xml:space="preserve"> </w:t>
      </w:r>
      <w:r>
        <w:rPr>
          <w:sz w:val="20"/>
        </w:rPr>
        <w:t>orders</w:t>
      </w:r>
      <w:r>
        <w:rPr>
          <w:spacing w:val="-3"/>
          <w:sz w:val="20"/>
        </w:rPr>
        <w:t xml:space="preserve"> </w:t>
      </w:r>
      <w:r>
        <w:rPr>
          <w:sz w:val="20"/>
        </w:rPr>
        <w:t>by</w:t>
      </w:r>
      <w:r>
        <w:rPr>
          <w:spacing w:val="-3"/>
          <w:sz w:val="20"/>
        </w:rPr>
        <w:t xml:space="preserve"> </w:t>
      </w:r>
      <w:r>
        <w:rPr>
          <w:sz w:val="20"/>
        </w:rPr>
        <w:t>calling</w:t>
      </w:r>
      <w:r>
        <w:rPr>
          <w:spacing w:val="-3"/>
          <w:sz w:val="20"/>
        </w:rPr>
        <w:t xml:space="preserve"> </w:t>
      </w:r>
      <w:r>
        <w:rPr>
          <w:sz w:val="20"/>
        </w:rPr>
        <w:t>(202)</w:t>
      </w:r>
      <w:r>
        <w:rPr>
          <w:spacing w:val="-3"/>
          <w:sz w:val="20"/>
        </w:rPr>
        <w:t xml:space="preserve"> </w:t>
      </w:r>
      <w:r>
        <w:rPr>
          <w:sz w:val="20"/>
        </w:rPr>
        <w:t>512-6000,</w:t>
      </w:r>
      <w:r>
        <w:rPr>
          <w:spacing w:val="-5"/>
          <w:sz w:val="20"/>
        </w:rPr>
        <w:t xml:space="preserve"> </w:t>
      </w:r>
      <w:r>
        <w:rPr>
          <w:sz w:val="20"/>
        </w:rPr>
        <w:t>toll</w:t>
      </w:r>
      <w:r>
        <w:rPr>
          <w:spacing w:val="-3"/>
          <w:sz w:val="20"/>
        </w:rPr>
        <w:t xml:space="preserve"> </w:t>
      </w:r>
      <w:r>
        <w:rPr>
          <w:sz w:val="20"/>
        </w:rPr>
        <w:t>free</w:t>
      </w:r>
      <w:r>
        <w:rPr>
          <w:spacing w:val="-4"/>
          <w:sz w:val="20"/>
        </w:rPr>
        <w:t xml:space="preserve"> </w:t>
      </w:r>
      <w:r>
        <w:rPr>
          <w:sz w:val="20"/>
        </w:rPr>
        <w:t>(866)</w:t>
      </w:r>
      <w:r>
        <w:rPr>
          <w:spacing w:val="-4"/>
          <w:sz w:val="20"/>
        </w:rPr>
        <w:t xml:space="preserve"> </w:t>
      </w:r>
      <w:r>
        <w:rPr>
          <w:sz w:val="20"/>
        </w:rPr>
        <w:t>801-7077,</w:t>
      </w:r>
      <w:r>
        <w:rPr>
          <w:spacing w:val="-3"/>
          <w:sz w:val="20"/>
        </w:rPr>
        <w:t xml:space="preserve"> </w:t>
      </w:r>
      <w:r>
        <w:rPr>
          <w:spacing w:val="-5"/>
          <w:sz w:val="20"/>
        </w:rPr>
        <w:t>or</w:t>
      </w:r>
    </w:p>
    <w:p w14:paraId="0DFDD4F6" w14:textId="77777777" w:rsidR="00046465" w:rsidRDefault="008134EB">
      <w:pPr>
        <w:ind w:left="360"/>
        <w:rPr>
          <w:sz w:val="20"/>
        </w:rPr>
      </w:pPr>
      <w:r>
        <w:rPr>
          <w:sz w:val="20"/>
        </w:rPr>
        <w:t>TDD</w:t>
      </w:r>
      <w:r>
        <w:rPr>
          <w:spacing w:val="-4"/>
          <w:sz w:val="20"/>
        </w:rPr>
        <w:t xml:space="preserve"> </w:t>
      </w:r>
      <w:r>
        <w:rPr>
          <w:sz w:val="20"/>
        </w:rPr>
        <w:t>(202)</w:t>
      </w:r>
      <w:r>
        <w:rPr>
          <w:spacing w:val="-2"/>
          <w:sz w:val="20"/>
        </w:rPr>
        <w:t xml:space="preserve"> </w:t>
      </w:r>
      <w:r>
        <w:rPr>
          <w:sz w:val="20"/>
        </w:rPr>
        <w:t>512-</w:t>
      </w:r>
      <w:r>
        <w:rPr>
          <w:spacing w:val="-4"/>
          <w:sz w:val="20"/>
        </w:rPr>
        <w:t>2537.</w:t>
      </w:r>
    </w:p>
    <w:p w14:paraId="0DFDD4F7" w14:textId="77777777" w:rsidR="00046465" w:rsidRDefault="008134EB">
      <w:pPr>
        <w:spacing w:before="119"/>
        <w:ind w:left="360" w:right="349"/>
        <w:rPr>
          <w:sz w:val="20"/>
        </w:rPr>
      </w:pPr>
      <w:r>
        <w:rPr>
          <w:sz w:val="20"/>
        </w:rPr>
        <w:t>Orders</w:t>
      </w:r>
      <w:r>
        <w:rPr>
          <w:spacing w:val="-3"/>
          <w:sz w:val="20"/>
        </w:rPr>
        <w:t xml:space="preserve"> </w:t>
      </w:r>
      <w:r>
        <w:rPr>
          <w:sz w:val="20"/>
        </w:rPr>
        <w:t>may</w:t>
      </w:r>
      <w:r>
        <w:rPr>
          <w:spacing w:val="-3"/>
          <w:sz w:val="20"/>
        </w:rPr>
        <w:t xml:space="preserve"> </w:t>
      </w:r>
      <w:r>
        <w:rPr>
          <w:sz w:val="20"/>
        </w:rPr>
        <w:t>be</w:t>
      </w:r>
      <w:r>
        <w:rPr>
          <w:spacing w:val="-4"/>
          <w:sz w:val="20"/>
        </w:rPr>
        <w:t xml:space="preserve"> </w:t>
      </w:r>
      <w:r>
        <w:rPr>
          <w:sz w:val="20"/>
        </w:rPr>
        <w:t>paid</w:t>
      </w:r>
      <w:r>
        <w:rPr>
          <w:spacing w:val="-4"/>
          <w:sz w:val="20"/>
        </w:rPr>
        <w:t xml:space="preserve"> </w:t>
      </w:r>
      <w:r>
        <w:rPr>
          <w:sz w:val="20"/>
        </w:rPr>
        <w:t>for</w:t>
      </w:r>
      <w:r>
        <w:rPr>
          <w:spacing w:val="-3"/>
          <w:sz w:val="20"/>
        </w:rPr>
        <w:t xml:space="preserve"> </w:t>
      </w:r>
      <w:r>
        <w:rPr>
          <w:sz w:val="20"/>
        </w:rPr>
        <w:t>using</w:t>
      </w:r>
      <w:r>
        <w:rPr>
          <w:spacing w:val="-4"/>
          <w:sz w:val="20"/>
        </w:rPr>
        <w:t xml:space="preserve"> </w:t>
      </w:r>
      <w:r>
        <w:rPr>
          <w:sz w:val="20"/>
        </w:rPr>
        <w:t>American</w:t>
      </w:r>
      <w:r>
        <w:rPr>
          <w:spacing w:val="-5"/>
          <w:sz w:val="20"/>
        </w:rPr>
        <w:t xml:space="preserve"> </w:t>
      </w:r>
      <w:r>
        <w:rPr>
          <w:sz w:val="20"/>
        </w:rPr>
        <w:t>Express,</w:t>
      </w:r>
      <w:r>
        <w:rPr>
          <w:spacing w:val="-4"/>
          <w:sz w:val="20"/>
        </w:rPr>
        <w:t xml:space="preserve"> </w:t>
      </w:r>
      <w:r>
        <w:rPr>
          <w:sz w:val="20"/>
        </w:rPr>
        <w:t>Discover</w:t>
      </w:r>
      <w:r>
        <w:rPr>
          <w:spacing w:val="-3"/>
          <w:sz w:val="20"/>
        </w:rPr>
        <w:t xml:space="preserve"> </w:t>
      </w:r>
      <w:r>
        <w:rPr>
          <w:sz w:val="20"/>
        </w:rPr>
        <w:t>Card,</w:t>
      </w:r>
      <w:r>
        <w:rPr>
          <w:spacing w:val="-4"/>
          <w:sz w:val="20"/>
        </w:rPr>
        <w:t xml:space="preserve"> </w:t>
      </w:r>
      <w:r>
        <w:rPr>
          <w:sz w:val="20"/>
        </w:rPr>
        <w:t>MasterCard, Visa, check, or money order. Call for additional information.</w:t>
      </w:r>
    </w:p>
    <w:p w14:paraId="0DFDD4F8" w14:textId="77777777" w:rsidR="00046465" w:rsidRDefault="00046465">
      <w:pPr>
        <w:pStyle w:val="BodyText"/>
        <w:spacing w:before="10"/>
        <w:rPr>
          <w:sz w:val="20"/>
        </w:rPr>
      </w:pPr>
    </w:p>
    <w:p w14:paraId="0DFDD4F9" w14:textId="77777777" w:rsidR="00046465" w:rsidRDefault="008134EB">
      <w:pPr>
        <w:ind w:left="360" w:right="1013"/>
        <w:rPr>
          <w:sz w:val="20"/>
        </w:rPr>
      </w:pPr>
      <w:r>
        <w:rPr>
          <w:noProof/>
          <w:sz w:val="20"/>
        </w:rPr>
        <mc:AlternateContent>
          <mc:Choice Requires="wpg">
            <w:drawing>
              <wp:anchor distT="0" distB="0" distL="0" distR="0" simplePos="0" relativeHeight="15887872" behindDoc="0" locked="0" layoutInCell="1" allowOverlap="1" wp14:anchorId="0DFDD781" wp14:editId="0DFDD782">
                <wp:simplePos x="0" y="0"/>
                <wp:positionH relativeFrom="page">
                  <wp:posOffset>438150</wp:posOffset>
                </wp:positionH>
                <wp:positionV relativeFrom="paragraph">
                  <wp:posOffset>-45818</wp:posOffset>
                </wp:positionV>
                <wp:extent cx="6913880" cy="57150"/>
                <wp:effectExtent l="0" t="0" r="0" b="0"/>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3880" cy="57150"/>
                          <a:chOff x="0" y="0"/>
                          <a:chExt cx="6913880" cy="57150"/>
                        </a:xfrm>
                      </wpg:grpSpPr>
                      <wps:wsp>
                        <wps:cNvPr id="1192" name="Graphic 1192"/>
                        <wps:cNvSpPr/>
                        <wps:spPr>
                          <a:xfrm>
                            <a:off x="0" y="0"/>
                            <a:ext cx="2159635" cy="57150"/>
                          </a:xfrm>
                          <a:custGeom>
                            <a:avLst/>
                            <a:gdLst/>
                            <a:ahLst/>
                            <a:cxnLst/>
                            <a:rect l="l" t="t" r="r" b="b"/>
                            <a:pathLst>
                              <a:path w="2159635" h="57150">
                                <a:moveTo>
                                  <a:pt x="2159520" y="0"/>
                                </a:moveTo>
                                <a:lnTo>
                                  <a:pt x="0" y="0"/>
                                </a:lnTo>
                                <a:lnTo>
                                  <a:pt x="0" y="57150"/>
                                </a:lnTo>
                                <a:lnTo>
                                  <a:pt x="2159520" y="57150"/>
                                </a:lnTo>
                                <a:lnTo>
                                  <a:pt x="2159520" y="0"/>
                                </a:lnTo>
                                <a:close/>
                              </a:path>
                            </a:pathLst>
                          </a:custGeom>
                          <a:solidFill>
                            <a:srgbClr val="000000"/>
                          </a:solidFill>
                        </wps:spPr>
                        <wps:bodyPr wrap="square" lIns="0" tIns="0" rIns="0" bIns="0" rtlCol="0">
                          <a:prstTxWarp prst="textNoShape">
                            <a:avLst/>
                          </a:prstTxWarp>
                          <a:noAutofit/>
                        </wps:bodyPr>
                      </wps:wsp>
                      <wps:wsp>
                        <wps:cNvPr id="1193" name="Graphic 1193"/>
                        <wps:cNvSpPr/>
                        <wps:spPr>
                          <a:xfrm>
                            <a:off x="10161" y="5971"/>
                            <a:ext cx="6903720" cy="1270"/>
                          </a:xfrm>
                          <a:custGeom>
                            <a:avLst/>
                            <a:gdLst/>
                            <a:ahLst/>
                            <a:cxnLst/>
                            <a:rect l="l" t="t" r="r" b="b"/>
                            <a:pathLst>
                              <a:path w="690372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449AF3" id="Group 1191" o:spid="_x0000_s1026" style="position:absolute;margin-left:34.5pt;margin-top:-3.6pt;width:544.4pt;height:4.5pt;z-index:15887872;mso-wrap-distance-left:0;mso-wrap-distance-right:0;mso-position-horizontal-relative:page" coordsize="6913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">
                <v:shape id="Graphic 1192" o:spid="_x0000_s1027" style="position:absolute;width:21596;height:571;visibility:visible;mso-wrap-style:square;v-text-anchor:top" coordsize="215963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" path="m2159520,l,,,57150r2159520,l2159520,xe" fillcolor="black" stroked="f">
                  <v:path arrowok="t"/>
                </v:shape>
                <v:shape id="Graphic 1193" o:spid="_x0000_s1028" style="position:absolute;left:101;top:59;width:69037;height:13;visibility:visible;mso-wrap-style:square;v-text-anchor:top" coordsize="690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" path="m,l6903720,e" filled="f">
                  <v:path arrowok="t"/>
                </v:shape>
                <w10:wrap anchorx="page"/>
              </v:group>
            </w:pict>
          </mc:Fallback>
        </mc:AlternateContent>
      </w:r>
      <w:r>
        <w:rPr>
          <w:sz w:val="20"/>
        </w:rPr>
        <w:t>Connect</w:t>
      </w:r>
      <w:r>
        <w:rPr>
          <w:spacing w:val="-5"/>
          <w:sz w:val="20"/>
        </w:rPr>
        <w:t xml:space="preserve"> </w:t>
      </w:r>
      <w:r>
        <w:rPr>
          <w:sz w:val="20"/>
        </w:rPr>
        <w:t>with</w:t>
      </w:r>
      <w:r>
        <w:rPr>
          <w:spacing w:val="-5"/>
          <w:sz w:val="20"/>
        </w:rPr>
        <w:t xml:space="preserve"> </w:t>
      </w:r>
      <w:r>
        <w:rPr>
          <w:sz w:val="20"/>
        </w:rPr>
        <w:t>GAO</w:t>
      </w:r>
      <w:r>
        <w:rPr>
          <w:spacing w:val="-5"/>
          <w:sz w:val="20"/>
        </w:rPr>
        <w:t xml:space="preserve"> </w:t>
      </w:r>
      <w:r>
        <w:rPr>
          <w:sz w:val="20"/>
        </w:rPr>
        <w:t>on</w:t>
      </w:r>
      <w:r>
        <w:rPr>
          <w:spacing w:val="-5"/>
          <w:sz w:val="20"/>
        </w:rPr>
        <w:t xml:space="preserve"> </w:t>
      </w:r>
      <w:hyperlink r:id="rId264">
        <w:r>
          <w:rPr>
            <w:color w:val="0000FF"/>
            <w:sz w:val="20"/>
          </w:rPr>
          <w:t>X</w:t>
        </w:r>
        <w:r>
          <w:rPr>
            <w:sz w:val="20"/>
          </w:rPr>
          <w:t>,</w:t>
        </w:r>
      </w:hyperlink>
      <w:r>
        <w:rPr>
          <w:spacing w:val="-5"/>
          <w:sz w:val="20"/>
        </w:rPr>
        <w:t xml:space="preserve"> </w:t>
      </w:r>
      <w:hyperlink r:id="rId265">
        <w:r>
          <w:rPr>
            <w:color w:val="0000FF"/>
            <w:sz w:val="20"/>
          </w:rPr>
          <w:t>LinkedIn</w:t>
        </w:r>
        <w:r>
          <w:rPr>
            <w:sz w:val="20"/>
          </w:rPr>
          <w:t>,</w:t>
        </w:r>
      </w:hyperlink>
      <w:r>
        <w:rPr>
          <w:spacing w:val="-6"/>
          <w:sz w:val="20"/>
        </w:rPr>
        <w:t xml:space="preserve"> </w:t>
      </w:r>
      <w:hyperlink r:id="rId266">
        <w:r>
          <w:rPr>
            <w:color w:val="0000FF"/>
            <w:sz w:val="20"/>
          </w:rPr>
          <w:t>Instagram</w:t>
        </w:r>
        <w:r>
          <w:rPr>
            <w:sz w:val="20"/>
          </w:rPr>
          <w:t>,</w:t>
        </w:r>
      </w:hyperlink>
      <w:r>
        <w:rPr>
          <w:spacing w:val="-5"/>
          <w:sz w:val="20"/>
        </w:rPr>
        <w:t xml:space="preserve"> </w:t>
      </w:r>
      <w:r>
        <w:rPr>
          <w:sz w:val="20"/>
        </w:rPr>
        <w:t>and</w:t>
      </w:r>
      <w:r>
        <w:rPr>
          <w:spacing w:val="-5"/>
          <w:sz w:val="20"/>
        </w:rPr>
        <w:t xml:space="preserve"> </w:t>
      </w:r>
      <w:hyperlink r:id="rId267">
        <w:r>
          <w:rPr>
            <w:color w:val="0000FF"/>
            <w:sz w:val="20"/>
          </w:rPr>
          <w:t>YouTube.</w:t>
        </w:r>
      </w:hyperlink>
      <w:r>
        <w:rPr>
          <w:color w:val="0000FF"/>
          <w:sz w:val="20"/>
        </w:rPr>
        <w:t xml:space="preserve"> </w:t>
      </w:r>
      <w:r>
        <w:rPr>
          <w:sz w:val="20"/>
        </w:rPr>
        <w:t xml:space="preserve">Subscribe to our </w:t>
      </w:r>
      <w:hyperlink r:id="rId268">
        <w:r>
          <w:rPr>
            <w:color w:val="0000FF"/>
            <w:sz w:val="20"/>
          </w:rPr>
          <w:t>Email Updates.</w:t>
        </w:r>
      </w:hyperlink>
      <w:r>
        <w:rPr>
          <w:color w:val="0000FF"/>
          <w:sz w:val="20"/>
        </w:rPr>
        <w:t xml:space="preserve"> </w:t>
      </w:r>
      <w:r>
        <w:rPr>
          <w:sz w:val="20"/>
        </w:rPr>
        <w:t xml:space="preserve">Listen to our </w:t>
      </w:r>
      <w:hyperlink r:id="rId269">
        <w:r>
          <w:rPr>
            <w:color w:val="0000FF"/>
            <w:sz w:val="20"/>
          </w:rPr>
          <w:t>Podcasts.</w:t>
        </w:r>
      </w:hyperlink>
    </w:p>
    <w:p w14:paraId="0DFDD4FA" w14:textId="77777777" w:rsidR="00046465" w:rsidRDefault="008134EB">
      <w:pPr>
        <w:spacing w:before="1"/>
        <w:ind w:left="360"/>
        <w:rPr>
          <w:sz w:val="20"/>
        </w:rPr>
      </w:pPr>
      <w:r>
        <w:rPr>
          <w:sz w:val="20"/>
        </w:rPr>
        <w:t>Visit</w:t>
      </w:r>
      <w:r>
        <w:rPr>
          <w:spacing w:val="-2"/>
          <w:sz w:val="20"/>
        </w:rPr>
        <w:t xml:space="preserve"> </w:t>
      </w:r>
      <w:r>
        <w:rPr>
          <w:sz w:val="20"/>
        </w:rPr>
        <w:t>GAO</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web</w:t>
      </w:r>
      <w:r>
        <w:rPr>
          <w:spacing w:val="-2"/>
          <w:sz w:val="20"/>
        </w:rPr>
        <w:t xml:space="preserve"> </w:t>
      </w:r>
      <w:r>
        <w:rPr>
          <w:sz w:val="20"/>
        </w:rPr>
        <w:t>at</w:t>
      </w:r>
      <w:r>
        <w:rPr>
          <w:spacing w:val="-2"/>
          <w:sz w:val="20"/>
        </w:rPr>
        <w:t xml:space="preserve"> </w:t>
      </w:r>
      <w:hyperlink r:id="rId270">
        <w:r>
          <w:rPr>
            <w:color w:val="0000FF"/>
            <w:spacing w:val="-2"/>
            <w:sz w:val="20"/>
          </w:rPr>
          <w:t>https://www.gao.gov</w:t>
        </w:r>
        <w:r>
          <w:rPr>
            <w:spacing w:val="-2"/>
            <w:sz w:val="20"/>
          </w:rPr>
          <w:t>.</w:t>
        </w:r>
      </w:hyperlink>
    </w:p>
    <w:p w14:paraId="0DFDD4FB" w14:textId="77777777" w:rsidR="00046465" w:rsidRDefault="00046465">
      <w:pPr>
        <w:pStyle w:val="BodyText"/>
        <w:spacing w:before="9"/>
        <w:rPr>
          <w:sz w:val="20"/>
        </w:rPr>
      </w:pPr>
    </w:p>
    <w:p w14:paraId="0DFDD4FC" w14:textId="77777777" w:rsidR="00046465" w:rsidRDefault="008134EB">
      <w:pPr>
        <w:ind w:left="360"/>
        <w:rPr>
          <w:sz w:val="20"/>
        </w:rPr>
      </w:pPr>
      <w:r>
        <w:rPr>
          <w:noProof/>
          <w:sz w:val="20"/>
        </w:rPr>
        <mc:AlternateContent>
          <mc:Choice Requires="wpg">
            <w:drawing>
              <wp:anchor distT="0" distB="0" distL="0" distR="0" simplePos="0" relativeHeight="15888384" behindDoc="0" locked="0" layoutInCell="1" allowOverlap="1" wp14:anchorId="0DFDD783" wp14:editId="0DFDD784">
                <wp:simplePos x="0" y="0"/>
                <wp:positionH relativeFrom="page">
                  <wp:posOffset>438150</wp:posOffset>
                </wp:positionH>
                <wp:positionV relativeFrom="paragraph">
                  <wp:posOffset>-45769</wp:posOffset>
                </wp:positionV>
                <wp:extent cx="6913880" cy="57150"/>
                <wp:effectExtent l="0" t="0" r="0" b="0"/>
                <wp:wrapNone/>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3880" cy="57150"/>
                          <a:chOff x="0" y="0"/>
                          <a:chExt cx="6913880" cy="57150"/>
                        </a:xfrm>
                      </wpg:grpSpPr>
                      <wps:wsp>
                        <wps:cNvPr id="1195" name="Graphic 1195"/>
                        <wps:cNvSpPr/>
                        <wps:spPr>
                          <a:xfrm>
                            <a:off x="0" y="0"/>
                            <a:ext cx="2159635" cy="57150"/>
                          </a:xfrm>
                          <a:custGeom>
                            <a:avLst/>
                            <a:gdLst/>
                            <a:ahLst/>
                            <a:cxnLst/>
                            <a:rect l="l" t="t" r="r" b="b"/>
                            <a:pathLst>
                              <a:path w="2159635" h="57150">
                                <a:moveTo>
                                  <a:pt x="2159520" y="0"/>
                                </a:moveTo>
                                <a:lnTo>
                                  <a:pt x="0" y="0"/>
                                </a:lnTo>
                                <a:lnTo>
                                  <a:pt x="0" y="57150"/>
                                </a:lnTo>
                                <a:lnTo>
                                  <a:pt x="2159520" y="57150"/>
                                </a:lnTo>
                                <a:lnTo>
                                  <a:pt x="2159520" y="0"/>
                                </a:lnTo>
                                <a:close/>
                              </a:path>
                            </a:pathLst>
                          </a:custGeom>
                          <a:solidFill>
                            <a:srgbClr val="000000"/>
                          </a:solidFill>
                        </wps:spPr>
                        <wps:bodyPr wrap="square" lIns="0" tIns="0" rIns="0" bIns="0" rtlCol="0">
                          <a:prstTxWarp prst="textNoShape">
                            <a:avLst/>
                          </a:prstTxWarp>
                          <a:noAutofit/>
                        </wps:bodyPr>
                      </wps:wsp>
                      <wps:wsp>
                        <wps:cNvPr id="1196" name="Graphic 1196"/>
                        <wps:cNvSpPr/>
                        <wps:spPr>
                          <a:xfrm>
                            <a:off x="10161" y="9109"/>
                            <a:ext cx="6903720" cy="1270"/>
                          </a:xfrm>
                          <a:custGeom>
                            <a:avLst/>
                            <a:gdLst/>
                            <a:ahLst/>
                            <a:cxnLst/>
                            <a:rect l="l" t="t" r="r" b="b"/>
                            <a:pathLst>
                              <a:path w="690372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070C1F" id="Group 1194" o:spid="_x0000_s1026" style="position:absolute;margin-left:34.5pt;margin-top:-3.6pt;width:544.4pt;height:4.5pt;z-index:15888384;mso-wrap-distance-left:0;mso-wrap-distance-right:0;mso-position-horizontal-relative:page" coordsize="6913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">
                <v:shape id="Graphic 1195" o:spid="_x0000_s1027" style="position:absolute;width:21596;height:571;visibility:visible;mso-wrap-style:square;v-text-anchor:top" coordsize="215963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" path="m2159520,l,,,57150r2159520,l2159520,xe" fillcolor="black" stroked="f">
                  <v:path arrowok="t"/>
                </v:shape>
                <v:shape id="Graphic 1196" o:spid="_x0000_s1028" style="position:absolute;left:101;top:91;width:69037;height:12;visibility:visible;mso-wrap-style:square;v-text-anchor:top" coordsize="690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" path="m,l6903720,e" filled="f">
                  <v:path arrowok="t"/>
                </v:shape>
                <w10:wrap anchorx="page"/>
              </v:group>
            </w:pict>
          </mc:Fallback>
        </mc:AlternateContent>
      </w:r>
      <w:r>
        <w:rPr>
          <w:sz w:val="20"/>
        </w:rPr>
        <w:t>Contact</w:t>
      </w:r>
      <w:r>
        <w:rPr>
          <w:spacing w:val="-4"/>
          <w:sz w:val="20"/>
        </w:rPr>
        <w:t xml:space="preserve"> </w:t>
      </w:r>
      <w:r>
        <w:rPr>
          <w:spacing w:val="-2"/>
          <w:sz w:val="20"/>
        </w:rPr>
        <w:t>FraudNet:</w:t>
      </w:r>
    </w:p>
    <w:p w14:paraId="0DFDD4FD" w14:textId="77777777" w:rsidR="00046465" w:rsidRDefault="008134EB">
      <w:pPr>
        <w:spacing w:before="121" w:line="364" w:lineRule="auto"/>
        <w:ind w:left="360" w:right="1013" w:hanging="1"/>
        <w:rPr>
          <w:sz w:val="20"/>
        </w:rPr>
      </w:pPr>
      <w:r>
        <w:rPr>
          <w:sz w:val="20"/>
        </w:rPr>
        <w:t>Website:</w:t>
      </w:r>
      <w:r>
        <w:rPr>
          <w:spacing w:val="-14"/>
          <w:sz w:val="20"/>
        </w:rPr>
        <w:t xml:space="preserve"> </w:t>
      </w:r>
      <w:hyperlink r:id="rId271">
        <w:r>
          <w:rPr>
            <w:color w:val="0000FF"/>
            <w:sz w:val="20"/>
          </w:rPr>
          <w:t>https://www.gao.gov/about/what-gao-does/fraudnet</w:t>
        </w:r>
      </w:hyperlink>
      <w:r>
        <w:rPr>
          <w:color w:val="0000FF"/>
          <w:sz w:val="20"/>
        </w:rPr>
        <w:t xml:space="preserve"> </w:t>
      </w:r>
      <w:r>
        <w:rPr>
          <w:sz w:val="20"/>
        </w:rPr>
        <w:t>Automated answering system: (800) 424-5454</w:t>
      </w:r>
    </w:p>
    <w:p w14:paraId="0DFDD4FE" w14:textId="77777777" w:rsidR="00046465" w:rsidRDefault="00046465">
      <w:pPr>
        <w:pStyle w:val="BodyText"/>
        <w:spacing w:before="9"/>
        <w:rPr>
          <w:sz w:val="20"/>
        </w:rPr>
      </w:pPr>
    </w:p>
    <w:p w14:paraId="0DFDD4FF" w14:textId="77777777" w:rsidR="00046465" w:rsidRDefault="008134EB">
      <w:pPr>
        <w:ind w:left="360"/>
        <w:rPr>
          <w:sz w:val="20"/>
        </w:rPr>
      </w:pPr>
      <w:r>
        <w:rPr>
          <w:noProof/>
          <w:sz w:val="20"/>
        </w:rPr>
        <mc:AlternateContent>
          <mc:Choice Requires="wpg">
            <w:drawing>
              <wp:anchor distT="0" distB="0" distL="0" distR="0" simplePos="0" relativeHeight="15888896" behindDoc="0" locked="0" layoutInCell="1" allowOverlap="1" wp14:anchorId="0DFDD785" wp14:editId="0DFDD786">
                <wp:simplePos x="0" y="0"/>
                <wp:positionH relativeFrom="page">
                  <wp:posOffset>438150</wp:posOffset>
                </wp:positionH>
                <wp:positionV relativeFrom="paragraph">
                  <wp:posOffset>-45198</wp:posOffset>
                </wp:positionV>
                <wp:extent cx="6913245" cy="57150"/>
                <wp:effectExtent l="0" t="0" r="0" b="0"/>
                <wp:wrapNone/>
                <wp:docPr id="1197"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3245" cy="57150"/>
                          <a:chOff x="0" y="0"/>
                          <a:chExt cx="6913245" cy="57150"/>
                        </a:xfrm>
                      </wpg:grpSpPr>
                      <wps:wsp>
                        <wps:cNvPr id="1198" name="Graphic 1198"/>
                        <wps:cNvSpPr/>
                        <wps:spPr>
                          <a:xfrm>
                            <a:off x="0" y="0"/>
                            <a:ext cx="2159635" cy="57150"/>
                          </a:xfrm>
                          <a:custGeom>
                            <a:avLst/>
                            <a:gdLst/>
                            <a:ahLst/>
                            <a:cxnLst/>
                            <a:rect l="l" t="t" r="r" b="b"/>
                            <a:pathLst>
                              <a:path w="2159635" h="57150">
                                <a:moveTo>
                                  <a:pt x="2159520" y="0"/>
                                </a:moveTo>
                                <a:lnTo>
                                  <a:pt x="0" y="0"/>
                                </a:lnTo>
                                <a:lnTo>
                                  <a:pt x="0" y="57150"/>
                                </a:lnTo>
                                <a:lnTo>
                                  <a:pt x="2159520" y="57150"/>
                                </a:lnTo>
                                <a:lnTo>
                                  <a:pt x="2159520" y="0"/>
                                </a:lnTo>
                                <a:close/>
                              </a:path>
                            </a:pathLst>
                          </a:custGeom>
                          <a:solidFill>
                            <a:srgbClr val="000000"/>
                          </a:solidFill>
                        </wps:spPr>
                        <wps:bodyPr wrap="square" lIns="0" tIns="0" rIns="0" bIns="0" rtlCol="0">
                          <a:prstTxWarp prst="textNoShape">
                            <a:avLst/>
                          </a:prstTxWarp>
                          <a:noAutofit/>
                        </wps:bodyPr>
                      </wps:wsp>
                      <wps:wsp>
                        <wps:cNvPr id="1199" name="Graphic 1199"/>
                        <wps:cNvSpPr/>
                        <wps:spPr>
                          <a:xfrm>
                            <a:off x="9525" y="7805"/>
                            <a:ext cx="6903720" cy="1270"/>
                          </a:xfrm>
                          <a:custGeom>
                            <a:avLst/>
                            <a:gdLst/>
                            <a:ahLst/>
                            <a:cxnLst/>
                            <a:rect l="l" t="t" r="r" b="b"/>
                            <a:pathLst>
                              <a:path w="690372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76403B" id="Group 1197" o:spid="_x0000_s1026" style="position:absolute;margin-left:34.5pt;margin-top:-3.55pt;width:544.35pt;height:4.5pt;z-index:15888896;mso-wrap-distance-left:0;mso-wrap-distance-right:0;mso-position-horizontal-relative:page" coordsize="69132,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">
                <v:shape id="Graphic 1198" o:spid="_x0000_s1027" style="position:absolute;width:21596;height:571;visibility:visible;mso-wrap-style:square;v-text-anchor:top" coordsize="215963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" path="m2159520,l,,,57150r2159520,l2159520,xe" fillcolor="black" stroked="f">
                  <v:path arrowok="t"/>
                </v:shape>
                <v:shape id="Graphic 1199" o:spid="_x0000_s1028" style="position:absolute;left:95;top:78;width:69037;height:12;visibility:visible;mso-wrap-style:square;v-text-anchor:top" coordsize="690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" path="m,l6903720,e" filled="f">
                  <v:path arrowok="t"/>
                </v:shape>
                <w10:wrap anchorx="page"/>
              </v:group>
            </w:pict>
          </mc:Fallback>
        </mc:AlternateContent>
      </w:r>
      <w:r>
        <w:rPr>
          <w:sz w:val="20"/>
        </w:rPr>
        <w:t>Sarah</w:t>
      </w:r>
      <w:r>
        <w:rPr>
          <w:spacing w:val="-6"/>
          <w:sz w:val="20"/>
        </w:rPr>
        <w:t xml:space="preserve"> </w:t>
      </w:r>
      <w:r>
        <w:rPr>
          <w:sz w:val="20"/>
        </w:rPr>
        <w:t>Kaczmarek,</w:t>
      </w:r>
      <w:r>
        <w:rPr>
          <w:spacing w:val="-6"/>
          <w:sz w:val="20"/>
        </w:rPr>
        <w:t xml:space="preserve"> </w:t>
      </w:r>
      <w:r>
        <w:rPr>
          <w:sz w:val="20"/>
        </w:rPr>
        <w:t>Managing</w:t>
      </w:r>
      <w:r>
        <w:rPr>
          <w:spacing w:val="-6"/>
          <w:sz w:val="20"/>
        </w:rPr>
        <w:t xml:space="preserve"> </w:t>
      </w:r>
      <w:r>
        <w:rPr>
          <w:sz w:val="20"/>
        </w:rPr>
        <w:t>Director,</w:t>
      </w:r>
      <w:r>
        <w:rPr>
          <w:spacing w:val="-6"/>
          <w:sz w:val="20"/>
        </w:rPr>
        <w:t xml:space="preserve"> </w:t>
      </w:r>
      <w:hyperlink r:id="rId272">
        <w:r>
          <w:rPr>
            <w:color w:val="0000FF"/>
            <w:spacing w:val="-2"/>
            <w:sz w:val="20"/>
          </w:rPr>
          <w:t>Media@gao.gov</w:t>
        </w:r>
      </w:hyperlink>
    </w:p>
    <w:p w14:paraId="0DFDD500" w14:textId="77777777" w:rsidR="00046465" w:rsidRDefault="00046465">
      <w:pPr>
        <w:pStyle w:val="BodyText"/>
        <w:rPr>
          <w:sz w:val="20"/>
        </w:rPr>
      </w:pPr>
    </w:p>
    <w:p w14:paraId="0DFDD501" w14:textId="77777777" w:rsidR="00046465" w:rsidRDefault="00046465">
      <w:pPr>
        <w:pStyle w:val="BodyText"/>
        <w:rPr>
          <w:sz w:val="20"/>
        </w:rPr>
      </w:pPr>
    </w:p>
    <w:p w14:paraId="0DFDD502" w14:textId="77777777" w:rsidR="00046465" w:rsidRDefault="00046465">
      <w:pPr>
        <w:pStyle w:val="BodyText"/>
        <w:spacing w:before="21"/>
        <w:rPr>
          <w:sz w:val="20"/>
        </w:rPr>
      </w:pPr>
    </w:p>
    <w:p w14:paraId="0DFDD503" w14:textId="77777777" w:rsidR="00046465" w:rsidRDefault="008134EB">
      <w:pPr>
        <w:ind w:left="360"/>
        <w:rPr>
          <w:sz w:val="20"/>
        </w:rPr>
      </w:pPr>
      <w:r>
        <w:rPr>
          <w:noProof/>
          <w:sz w:val="20"/>
        </w:rPr>
        <mc:AlternateContent>
          <mc:Choice Requires="wpg">
            <w:drawing>
              <wp:anchor distT="0" distB="0" distL="0" distR="0" simplePos="0" relativeHeight="15889408" behindDoc="0" locked="0" layoutInCell="1" allowOverlap="1" wp14:anchorId="0DFDD787" wp14:editId="0DFDD788">
                <wp:simplePos x="0" y="0"/>
                <wp:positionH relativeFrom="page">
                  <wp:posOffset>438150</wp:posOffset>
                </wp:positionH>
                <wp:positionV relativeFrom="paragraph">
                  <wp:posOffset>-45275</wp:posOffset>
                </wp:positionV>
                <wp:extent cx="6913880" cy="57150"/>
                <wp:effectExtent l="0" t="0" r="0" b="0"/>
                <wp:wrapNone/>
                <wp:docPr id="1200"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3880" cy="57150"/>
                          <a:chOff x="0" y="0"/>
                          <a:chExt cx="6913880" cy="57150"/>
                        </a:xfrm>
                      </wpg:grpSpPr>
                      <wps:wsp>
                        <wps:cNvPr id="1201" name="Graphic 1201"/>
                        <wps:cNvSpPr/>
                        <wps:spPr>
                          <a:xfrm>
                            <a:off x="0" y="0"/>
                            <a:ext cx="2159635" cy="57150"/>
                          </a:xfrm>
                          <a:custGeom>
                            <a:avLst/>
                            <a:gdLst/>
                            <a:ahLst/>
                            <a:cxnLst/>
                            <a:rect l="l" t="t" r="r" b="b"/>
                            <a:pathLst>
                              <a:path w="2159635" h="57150">
                                <a:moveTo>
                                  <a:pt x="2159520" y="0"/>
                                </a:moveTo>
                                <a:lnTo>
                                  <a:pt x="0" y="0"/>
                                </a:lnTo>
                                <a:lnTo>
                                  <a:pt x="0" y="57149"/>
                                </a:lnTo>
                                <a:lnTo>
                                  <a:pt x="2159520" y="57149"/>
                                </a:lnTo>
                                <a:lnTo>
                                  <a:pt x="2159520" y="0"/>
                                </a:lnTo>
                                <a:close/>
                              </a:path>
                            </a:pathLst>
                          </a:custGeom>
                          <a:solidFill>
                            <a:srgbClr val="000000"/>
                          </a:solidFill>
                        </wps:spPr>
                        <wps:bodyPr wrap="square" lIns="0" tIns="0" rIns="0" bIns="0" rtlCol="0">
                          <a:prstTxWarp prst="textNoShape">
                            <a:avLst/>
                          </a:prstTxWarp>
                          <a:noAutofit/>
                        </wps:bodyPr>
                      </wps:wsp>
                      <wps:wsp>
                        <wps:cNvPr id="1202" name="Graphic 1202"/>
                        <wps:cNvSpPr/>
                        <wps:spPr>
                          <a:xfrm>
                            <a:off x="10161" y="8539"/>
                            <a:ext cx="6903720" cy="1270"/>
                          </a:xfrm>
                          <a:custGeom>
                            <a:avLst/>
                            <a:gdLst/>
                            <a:ahLst/>
                            <a:cxnLst/>
                            <a:rect l="l" t="t" r="r" b="b"/>
                            <a:pathLst>
                              <a:path w="690372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CE12C7" id="Group 1200" o:spid="_x0000_s1026" style="position:absolute;margin-left:34.5pt;margin-top:-3.55pt;width:544.4pt;height:4.5pt;z-index:15889408;mso-wrap-distance-left:0;mso-wrap-distance-right:0;mso-position-horizontal-relative:page" coordsize="6913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">
                <v:shape id="Graphic 1201" o:spid="_x0000_s1027" style="position:absolute;width:21596;height:571;visibility:visible;mso-wrap-style:square;v-text-anchor:top" coordsize="215963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" path="m2159520,l,,,57149r2159520,l2159520,xe" fillcolor="black" stroked="f">
                  <v:path arrowok="t"/>
                </v:shape>
                <v:shape id="Graphic 1202" o:spid="_x0000_s1028" style="position:absolute;left:101;top:85;width:69037;height:13;visibility:visible;mso-wrap-style:square;v-text-anchor:top" coordsize="690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" path="m,l6903720,e" filled="f">
                  <v:path arrowok="t"/>
                </v:shape>
                <w10:wrap anchorx="page"/>
              </v:group>
            </w:pict>
          </mc:Fallback>
        </mc:AlternateContent>
      </w:r>
      <w:r>
        <w:rPr>
          <w:sz w:val="20"/>
        </w:rPr>
        <w:t>David</w:t>
      </w:r>
      <w:r>
        <w:rPr>
          <w:spacing w:val="-4"/>
          <w:sz w:val="20"/>
        </w:rPr>
        <w:t xml:space="preserve"> </w:t>
      </w:r>
      <w:r>
        <w:rPr>
          <w:sz w:val="20"/>
        </w:rPr>
        <w:t>A.</w:t>
      </w:r>
      <w:r>
        <w:rPr>
          <w:spacing w:val="-5"/>
          <w:sz w:val="20"/>
        </w:rPr>
        <w:t xml:space="preserve"> </w:t>
      </w:r>
      <w:r>
        <w:rPr>
          <w:sz w:val="20"/>
        </w:rPr>
        <w:t>Powner,</w:t>
      </w:r>
      <w:r>
        <w:rPr>
          <w:spacing w:val="-4"/>
          <w:sz w:val="20"/>
        </w:rPr>
        <w:t xml:space="preserve"> </w:t>
      </w:r>
      <w:r>
        <w:rPr>
          <w:sz w:val="20"/>
        </w:rPr>
        <w:t>Acting</w:t>
      </w:r>
      <w:r>
        <w:rPr>
          <w:spacing w:val="-4"/>
          <w:sz w:val="20"/>
        </w:rPr>
        <w:t xml:space="preserve"> </w:t>
      </w:r>
      <w:r>
        <w:rPr>
          <w:sz w:val="20"/>
        </w:rPr>
        <w:t>Managing</w:t>
      </w:r>
      <w:r>
        <w:rPr>
          <w:spacing w:val="-4"/>
          <w:sz w:val="20"/>
        </w:rPr>
        <w:t xml:space="preserve"> </w:t>
      </w:r>
      <w:r>
        <w:rPr>
          <w:sz w:val="20"/>
        </w:rPr>
        <w:t>Director,</w:t>
      </w:r>
      <w:r>
        <w:rPr>
          <w:spacing w:val="-4"/>
          <w:sz w:val="20"/>
        </w:rPr>
        <w:t xml:space="preserve"> </w:t>
      </w:r>
      <w:hyperlink r:id="rId273">
        <w:r>
          <w:rPr>
            <w:color w:val="0000FF"/>
            <w:spacing w:val="-2"/>
            <w:sz w:val="20"/>
          </w:rPr>
          <w:t>CongRel@gao.gov</w:t>
        </w:r>
      </w:hyperlink>
    </w:p>
    <w:p w14:paraId="0DFDD504" w14:textId="77777777" w:rsidR="00046465" w:rsidRDefault="00046465">
      <w:pPr>
        <w:pStyle w:val="BodyText"/>
        <w:rPr>
          <w:sz w:val="20"/>
        </w:rPr>
      </w:pPr>
    </w:p>
    <w:p w14:paraId="0DFDD505" w14:textId="77777777" w:rsidR="00046465" w:rsidRDefault="00046465">
      <w:pPr>
        <w:pStyle w:val="BodyText"/>
        <w:rPr>
          <w:sz w:val="20"/>
        </w:rPr>
      </w:pPr>
    </w:p>
    <w:p w14:paraId="0DFDD506" w14:textId="77777777" w:rsidR="00046465" w:rsidRDefault="00046465">
      <w:pPr>
        <w:pStyle w:val="BodyText"/>
        <w:spacing w:before="69"/>
        <w:rPr>
          <w:sz w:val="20"/>
        </w:rPr>
      </w:pPr>
    </w:p>
    <w:p w14:paraId="0DFDD507" w14:textId="77777777" w:rsidR="00046465" w:rsidRDefault="008134EB">
      <w:pPr>
        <w:ind w:left="360"/>
        <w:rPr>
          <w:sz w:val="20"/>
        </w:rPr>
      </w:pPr>
      <w:r>
        <w:rPr>
          <w:noProof/>
          <w:sz w:val="20"/>
        </w:rPr>
        <mc:AlternateContent>
          <mc:Choice Requires="wpg">
            <w:drawing>
              <wp:anchor distT="0" distB="0" distL="0" distR="0" simplePos="0" relativeHeight="15889920" behindDoc="0" locked="0" layoutInCell="1" allowOverlap="1" wp14:anchorId="0DFDD789" wp14:editId="0DFDD78A">
                <wp:simplePos x="0" y="0"/>
                <wp:positionH relativeFrom="page">
                  <wp:posOffset>438150</wp:posOffset>
                </wp:positionH>
                <wp:positionV relativeFrom="paragraph">
                  <wp:posOffset>-44591</wp:posOffset>
                </wp:positionV>
                <wp:extent cx="6913880" cy="57150"/>
                <wp:effectExtent l="0" t="0" r="0" b="0"/>
                <wp:wrapNone/>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13880" cy="57150"/>
                          <a:chOff x="0" y="0"/>
                          <a:chExt cx="6913880" cy="57150"/>
                        </a:xfrm>
                      </wpg:grpSpPr>
                      <wps:wsp>
                        <wps:cNvPr id="1204" name="Graphic 1204"/>
                        <wps:cNvSpPr/>
                        <wps:spPr>
                          <a:xfrm>
                            <a:off x="0" y="0"/>
                            <a:ext cx="2159635" cy="57150"/>
                          </a:xfrm>
                          <a:custGeom>
                            <a:avLst/>
                            <a:gdLst/>
                            <a:ahLst/>
                            <a:cxnLst/>
                            <a:rect l="l" t="t" r="r" b="b"/>
                            <a:pathLst>
                              <a:path w="2159635" h="57150">
                                <a:moveTo>
                                  <a:pt x="2159520" y="0"/>
                                </a:moveTo>
                                <a:lnTo>
                                  <a:pt x="0" y="0"/>
                                </a:lnTo>
                                <a:lnTo>
                                  <a:pt x="0" y="57149"/>
                                </a:lnTo>
                                <a:lnTo>
                                  <a:pt x="2159520" y="57149"/>
                                </a:lnTo>
                                <a:lnTo>
                                  <a:pt x="2159520" y="0"/>
                                </a:lnTo>
                                <a:close/>
                              </a:path>
                            </a:pathLst>
                          </a:custGeom>
                          <a:solidFill>
                            <a:srgbClr val="000000"/>
                          </a:solidFill>
                        </wps:spPr>
                        <wps:bodyPr wrap="square" lIns="0" tIns="0" rIns="0" bIns="0" rtlCol="0">
                          <a:prstTxWarp prst="textNoShape">
                            <a:avLst/>
                          </a:prstTxWarp>
                          <a:noAutofit/>
                        </wps:bodyPr>
                      </wps:wsp>
                      <wps:wsp>
                        <wps:cNvPr id="1205" name="Graphic 1205"/>
                        <wps:cNvSpPr/>
                        <wps:spPr>
                          <a:xfrm>
                            <a:off x="10161" y="5988"/>
                            <a:ext cx="6903720" cy="1270"/>
                          </a:xfrm>
                          <a:custGeom>
                            <a:avLst/>
                            <a:gdLst/>
                            <a:ahLst/>
                            <a:cxnLst/>
                            <a:rect l="l" t="t" r="r" b="b"/>
                            <a:pathLst>
                              <a:path w="6903720">
                                <a:moveTo>
                                  <a:pt x="0" y="0"/>
                                </a:moveTo>
                                <a:lnTo>
                                  <a:pt x="690372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8BC029C" id="Group 1203" o:spid="_x0000_s1026" style="position:absolute;margin-left:34.5pt;margin-top:-3.5pt;width:544.4pt;height:4.5pt;z-index:15889920;mso-wrap-distance-left:0;mso-wrap-distance-right:0;mso-position-horizontal-relative:page" coordsize="69138,5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">
                <v:shape id="Graphic 1204" o:spid="_x0000_s1027" style="position:absolute;width:21596;height:571;visibility:visible;mso-wrap-style:square;v-text-anchor:top" coordsize="2159635,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" path="m2159520,l,,,57149r2159520,l2159520,xe" fillcolor="black" stroked="f">
                  <v:path arrowok="t"/>
                </v:shape>
                <v:shape id="Graphic 1205" o:spid="_x0000_s1028" style="position:absolute;left:101;top:59;width:69037;height:13;visibility:visible;mso-wrap-style:square;v-text-anchor:top" coordsize="69037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" path="m,l6903720,e" filled="f">
                  <v:path arrowok="t"/>
                </v:shape>
                <w10:wrap anchorx="page"/>
              </v:group>
            </w:pict>
          </mc:Fallback>
        </mc:AlternateContent>
      </w:r>
      <w:hyperlink r:id="rId274">
        <w:r>
          <w:rPr>
            <w:color w:val="0000FF"/>
            <w:spacing w:val="-2"/>
            <w:sz w:val="20"/>
          </w:rPr>
          <w:t>https://www.gao.gov/about/contact-</w:t>
        </w:r>
        <w:r>
          <w:rPr>
            <w:color w:val="0000FF"/>
            <w:spacing w:val="-5"/>
            <w:sz w:val="20"/>
          </w:rPr>
          <w:t>us</w:t>
        </w:r>
      </w:hyperlink>
    </w:p>
    <w:p w14:paraId="0DFDD508" w14:textId="77777777" w:rsidR="00046465" w:rsidRDefault="00046465">
      <w:pPr>
        <w:rPr>
          <w:sz w:val="20"/>
        </w:rPr>
        <w:sectPr w:rsidR="00046465">
          <w:type w:val="continuous"/>
          <w:pgSz w:w="12240" w:h="15840"/>
          <w:pgMar w:top="1020" w:right="720" w:bottom="280" w:left="360" w:header="0" w:footer="0" w:gutter="0"/>
          <w:cols w:num="2" w:space="720" w:equalWidth="0">
            <w:col w:w="3324" w:space="276"/>
            <w:col w:w="7560"/>
          </w:cols>
        </w:sectPr>
      </w:pPr>
    </w:p>
    <w:p w14:paraId="0DFDD509" w14:textId="77777777" w:rsidR="00046465" w:rsidRDefault="008134EB">
      <w:pPr>
        <w:pStyle w:val="BodyText"/>
        <w:rPr>
          <w:sz w:val="20"/>
        </w:rPr>
      </w:pPr>
      <w:r>
        <w:rPr>
          <w:noProof/>
          <w:sz w:val="20"/>
        </w:rPr>
        <mc:AlternateContent>
          <mc:Choice Requires="wps">
            <w:drawing>
              <wp:anchor distT="0" distB="0" distL="0" distR="0" simplePos="0" relativeHeight="15886336" behindDoc="0" locked="0" layoutInCell="1" allowOverlap="1" wp14:anchorId="0DFDD78B" wp14:editId="0DFDD78C">
                <wp:simplePos x="0" y="0"/>
                <wp:positionH relativeFrom="page">
                  <wp:posOffset>426721</wp:posOffset>
                </wp:positionH>
                <wp:positionV relativeFrom="page">
                  <wp:posOffset>533400</wp:posOffset>
                </wp:positionV>
                <wp:extent cx="6934200" cy="1270"/>
                <wp:effectExtent l="0" t="0" r="0" b="0"/>
                <wp:wrapNone/>
                <wp:docPr id="1206" name="Graphic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4200" cy="1270"/>
                        </a:xfrm>
                        <a:custGeom>
                          <a:avLst/>
                          <a:gdLst/>
                          <a:ahLst/>
                          <a:cxnLst/>
                          <a:rect l="l" t="t" r="r" b="b"/>
                          <a:pathLst>
                            <a:path w="6934200">
                              <a:moveTo>
                                <a:pt x="0" y="0"/>
                              </a:moveTo>
                              <a:lnTo>
                                <a:pt x="693420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134AED" id="Graphic 1206" o:spid="_x0000_s1026" style="position:absolute;margin-left:33.6pt;margin-top:42pt;width:546pt;height:.1pt;z-index:15886336;visibility:visible;mso-wrap-style:square;mso-wrap-distance-left:0;mso-wrap-distance-top:0;mso-wrap-distance-right:0;mso-wrap-distance-bottom:0;mso-position-horizontal:absolute;mso-position-horizontal-relative:page;mso-position-vertical:absolute;mso-position-vertical-relative:page;v-text-anchor:top" coordsize="6934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" path="m,l6934200,e" filled="f">
                <v:path arrowok="t"/>
                <w10:wrap anchorx="page" anchory="page"/>
              </v:shape>
            </w:pict>
          </mc:Fallback>
        </mc:AlternateContent>
      </w:r>
    </w:p>
    <w:p w14:paraId="0DFDD50A" w14:textId="77777777" w:rsidR="00046465" w:rsidRDefault="00046465">
      <w:pPr>
        <w:pStyle w:val="BodyText"/>
        <w:rPr>
          <w:sz w:val="20"/>
        </w:rPr>
      </w:pPr>
    </w:p>
    <w:p w14:paraId="0DFDD50B" w14:textId="77777777" w:rsidR="00046465" w:rsidRDefault="00046465">
      <w:pPr>
        <w:pStyle w:val="BodyText"/>
        <w:rPr>
          <w:sz w:val="20"/>
        </w:rPr>
      </w:pPr>
    </w:p>
    <w:p w14:paraId="0DFDD50C" w14:textId="77777777" w:rsidR="00046465" w:rsidRDefault="00046465">
      <w:pPr>
        <w:pStyle w:val="BodyText"/>
        <w:spacing w:before="217"/>
        <w:rPr>
          <w:sz w:val="20"/>
        </w:rPr>
      </w:pPr>
    </w:p>
    <w:p w14:paraId="0DFDD50D" w14:textId="77777777" w:rsidR="00046465" w:rsidRDefault="008134EB">
      <w:pPr>
        <w:ind w:left="5319"/>
        <w:rPr>
          <w:sz w:val="20"/>
        </w:rPr>
      </w:pPr>
      <w:r>
        <w:rPr>
          <w:noProof/>
          <w:sz w:val="20"/>
        </w:rPr>
        <w:drawing>
          <wp:inline distT="0" distB="0" distL="0" distR="0" wp14:anchorId="0DFDD78D" wp14:editId="0DFDD78E">
            <wp:extent cx="297815" cy="252603"/>
            <wp:effectExtent l="0" t="0" r="0" b="0"/>
            <wp:docPr id="1207" name="Image 1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7" name="Image 1207"/>
                    <pic:cNvPicPr/>
                  </pic:nvPicPr>
                  <pic:blipFill>
                    <a:blip r:embed="rId275" cstate="print"/>
                    <a:stretch>
                      <a:fillRect/>
                    </a:stretch>
                  </pic:blipFill>
                  <pic:spPr>
                    <a:xfrm>
                      <a:off x="0" y="0"/>
                      <a:ext cx="297815" cy="252603"/>
                    </a:xfrm>
                    <a:prstGeom prst="rect">
                      <a:avLst/>
                    </a:prstGeom>
                  </pic:spPr>
                </pic:pic>
              </a:graphicData>
            </a:graphic>
          </wp:inline>
        </w:drawing>
      </w:r>
    </w:p>
    <w:p w14:paraId="0DFDD50E" w14:textId="77777777" w:rsidR="00046465" w:rsidRDefault="008134EB">
      <w:pPr>
        <w:spacing w:before="103"/>
        <w:ind w:left="19"/>
        <w:jc w:val="center"/>
        <w:rPr>
          <w:sz w:val="18"/>
        </w:rPr>
      </w:pPr>
      <w:r>
        <w:rPr>
          <w:w w:val="105"/>
          <w:sz w:val="18"/>
        </w:rPr>
        <w:t>Please</w:t>
      </w:r>
      <w:r>
        <w:rPr>
          <w:spacing w:val="-8"/>
          <w:w w:val="105"/>
          <w:sz w:val="18"/>
        </w:rPr>
        <w:t xml:space="preserve"> </w:t>
      </w:r>
      <w:r>
        <w:rPr>
          <w:w w:val="105"/>
          <w:sz w:val="18"/>
        </w:rPr>
        <w:t>Print</w:t>
      </w:r>
      <w:r>
        <w:rPr>
          <w:spacing w:val="-8"/>
          <w:w w:val="105"/>
          <w:sz w:val="18"/>
        </w:rPr>
        <w:t xml:space="preserve"> </w:t>
      </w:r>
      <w:r>
        <w:rPr>
          <w:w w:val="105"/>
          <w:sz w:val="18"/>
        </w:rPr>
        <w:t>on</w:t>
      </w:r>
      <w:r>
        <w:rPr>
          <w:spacing w:val="-8"/>
          <w:w w:val="105"/>
          <w:sz w:val="18"/>
        </w:rPr>
        <w:t xml:space="preserve"> </w:t>
      </w:r>
      <w:r>
        <w:rPr>
          <w:w w:val="105"/>
          <w:sz w:val="18"/>
        </w:rPr>
        <w:t>Recycled</w:t>
      </w:r>
      <w:r>
        <w:rPr>
          <w:spacing w:val="-8"/>
          <w:w w:val="105"/>
          <w:sz w:val="18"/>
        </w:rPr>
        <w:t xml:space="preserve"> </w:t>
      </w:r>
      <w:r>
        <w:rPr>
          <w:spacing w:val="-2"/>
          <w:w w:val="105"/>
          <w:sz w:val="18"/>
        </w:rPr>
        <w:t>Paper.</w:t>
      </w:r>
    </w:p>
    <w:sectPr w:rsidR="00046465">
      <w:type w:val="continuous"/>
      <w:pgSz w:w="12240" w:h="15840"/>
      <w:pgMar w:top="1020" w:right="72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6055C4" w14:textId="77777777" w:rsidR="008B344F" w:rsidRDefault="008B344F">
      <w:r>
        <w:separator/>
      </w:r>
    </w:p>
  </w:endnote>
  <w:endnote w:type="continuationSeparator" w:id="0">
    <w:p w14:paraId="759E47ED" w14:textId="77777777" w:rsidR="008B344F" w:rsidRDefault="008B34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ndara">
    <w:altName w:val="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8F"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53504" behindDoc="1" locked="0" layoutInCell="1" allowOverlap="1" wp14:anchorId="0DFDD85E" wp14:editId="0DFDD85F">
              <wp:simplePos x="0" y="0"/>
              <wp:positionH relativeFrom="page">
                <wp:posOffset>901700</wp:posOffset>
              </wp:positionH>
              <wp:positionV relativeFrom="page">
                <wp:posOffset>9446630</wp:posOffset>
              </wp:positionV>
              <wp:extent cx="466725" cy="16764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6725" cy="167640"/>
                      </a:xfrm>
                      <a:prstGeom prst="rect">
                        <a:avLst/>
                      </a:prstGeom>
                    </wps:spPr>
                    <wps:txbx>
                      <w:txbxContent>
                        <w:p w14:paraId="0DFDDDD0" w14:textId="77777777" w:rsidR="00046465" w:rsidRDefault="008134EB">
                          <w:pPr>
                            <w:spacing w:before="14"/>
                            <w:ind w:left="20"/>
                            <w:rPr>
                              <w:sz w:val="20"/>
                            </w:rPr>
                          </w:pPr>
                          <w:r>
                            <w:rPr>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type w14:anchorId="0DFDD85E" id="_x0000_t202" coordsize="21600,21600" o:spt="202" path="m,l,21600r21600,l21600,xe">
              <v:stroke joinstyle="miter"/>
              <v:path gradientshapeok="t" o:connecttype="rect"/>
            </v:shapetype>
            <v:shape id="Textbox 22" o:spid="_x0000_s1046" type="#_x0000_t202" style="position:absolute;margin-left:71pt;margin-top:743.85pt;width:36.75pt;height:13.2pt;z-index:-2726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" filled="f" stroked="f">
              <v:textbox inset="0,0,0,0">
                <w:txbxContent>
                  <w:p w14:paraId="0DFDDDD0" w14:textId="77777777" w:rsidR="00046465" w:rsidRDefault="008134EB">
                    <w:pPr>
                      <w:spacing w:before="14"/>
                      <w:ind w:left="20"/>
                      <w:rPr>
                        <w:sz w:val="20"/>
                      </w:rPr>
                    </w:pPr>
                    <w:r>
                      <w:rPr>
                        <w:sz w:val="20"/>
                      </w:rPr>
                      <w:t>Page</w:t>
                    </w:r>
                    <w:r>
                      <w:rPr>
                        <w:spacing w:val="-2"/>
                        <w:sz w:val="20"/>
                      </w:rPr>
                      <w:t xml:space="preserve"> </w:t>
                    </w: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76054016" behindDoc="1" locked="0" layoutInCell="1" allowOverlap="1" wp14:anchorId="0DFDD860" wp14:editId="0DFDD861">
              <wp:simplePos x="0" y="0"/>
              <wp:positionH relativeFrom="page">
                <wp:posOffset>3894968</wp:posOffset>
              </wp:positionH>
              <wp:positionV relativeFrom="page">
                <wp:posOffset>9446630</wp:posOffset>
              </wp:positionV>
              <wp:extent cx="2977515" cy="16764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7515" cy="167640"/>
                      </a:xfrm>
                      <a:prstGeom prst="rect">
                        <a:avLst/>
                      </a:prstGeom>
                    </wps:spPr>
                    <wps:txbx>
                      <w:txbxContent>
                        <w:p w14:paraId="0DFDDDD1" w14:textId="77777777" w:rsidR="00046465" w:rsidRDefault="008134EB">
                          <w:pPr>
                            <w:spacing w:before="14"/>
                            <w:ind w:left="20"/>
                            <w:rPr>
                              <w:sz w:val="20"/>
                            </w:rPr>
                          </w:pPr>
                          <w:r>
                            <w:rPr>
                              <w:sz w:val="20"/>
                            </w:rPr>
                            <w:t>GAO-26-107706</w:t>
                          </w:r>
                          <w:r>
                            <w:rPr>
                              <w:spacing w:val="-6"/>
                              <w:sz w:val="20"/>
                            </w:rPr>
                            <w:t xml:space="preserve"> </w:t>
                          </w:r>
                          <w:r>
                            <w:rPr>
                              <w:sz w:val="20"/>
                            </w:rPr>
                            <w:t>GAO/CIGIE</w:t>
                          </w:r>
                          <w:r>
                            <w:rPr>
                              <w:spacing w:val="-5"/>
                              <w:sz w:val="20"/>
                            </w:rPr>
                            <w:t xml:space="preserve"> </w:t>
                          </w:r>
                          <w:r>
                            <w:rPr>
                              <w:sz w:val="20"/>
                            </w:rPr>
                            <w:t>Financial</w:t>
                          </w:r>
                          <w:r>
                            <w:rPr>
                              <w:spacing w:val="-6"/>
                              <w:sz w:val="20"/>
                            </w:rPr>
                            <w:t xml:space="preserve"> </w:t>
                          </w:r>
                          <w:r>
                            <w:rPr>
                              <w:sz w:val="20"/>
                            </w:rPr>
                            <w:t>Audit</w:t>
                          </w:r>
                          <w:r>
                            <w:rPr>
                              <w:spacing w:val="-5"/>
                              <w:sz w:val="20"/>
                            </w:rPr>
                            <w:t xml:space="preserve"> </w:t>
                          </w:r>
                          <w:r>
                            <w:rPr>
                              <w:spacing w:val="-2"/>
                              <w:sz w:val="20"/>
                            </w:rPr>
                            <w:t>Manual</w:t>
                          </w:r>
                        </w:p>
                      </w:txbxContent>
                    </wps:txbx>
                    <wps:bodyPr wrap="square" lIns="0" tIns="0" rIns="0" bIns="0" rtlCol="0">
                      <a:noAutofit/>
                    </wps:bodyPr>
                  </wps:wsp>
                </a:graphicData>
              </a:graphic>
            </wp:anchor>
          </w:drawing>
        </mc:Choice>
        <mc:Fallback>
          <w:pict>
            <v:shape w14:anchorId="0DFDD860" id="Textbox 23" o:spid="_x0000_s1047" type="#_x0000_t202" style="position:absolute;margin-left:306.7pt;margin-top:743.85pt;width:234.45pt;height:13.2pt;z-index:-2726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" filled="f" stroked="f">
              <v:textbox inset="0,0,0,0">
                <w:txbxContent>
                  <w:p w14:paraId="0DFDDDD1" w14:textId="77777777" w:rsidR="00046465" w:rsidRDefault="008134EB">
                    <w:pPr>
                      <w:spacing w:before="14"/>
                      <w:ind w:left="20"/>
                      <w:rPr>
                        <w:sz w:val="20"/>
                      </w:rPr>
                    </w:pPr>
                    <w:r>
                      <w:rPr>
                        <w:sz w:val="20"/>
                      </w:rPr>
                      <w:t>GAO-26-107706</w:t>
                    </w:r>
                    <w:r>
                      <w:rPr>
                        <w:spacing w:val="-6"/>
                        <w:sz w:val="20"/>
                      </w:rPr>
                      <w:t xml:space="preserve"> </w:t>
                    </w:r>
                    <w:r>
                      <w:rPr>
                        <w:sz w:val="20"/>
                      </w:rPr>
                      <w:t>GAO/CIGIE</w:t>
                    </w:r>
                    <w:r>
                      <w:rPr>
                        <w:spacing w:val="-5"/>
                        <w:sz w:val="20"/>
                      </w:rPr>
                      <w:t xml:space="preserve"> </w:t>
                    </w:r>
                    <w:r>
                      <w:rPr>
                        <w:sz w:val="20"/>
                      </w:rPr>
                      <w:t>Financial</w:t>
                    </w:r>
                    <w:r>
                      <w:rPr>
                        <w:spacing w:val="-6"/>
                        <w:sz w:val="20"/>
                      </w:rPr>
                      <w:t xml:space="preserve"> </w:t>
                    </w:r>
                    <w:r>
                      <w:rPr>
                        <w:sz w:val="20"/>
                      </w:rPr>
                      <w:t>Audit</w:t>
                    </w:r>
                    <w:r>
                      <w:rPr>
                        <w:spacing w:val="-5"/>
                        <w:sz w:val="20"/>
                      </w:rPr>
                      <w:t xml:space="preserve"> </w:t>
                    </w:r>
                    <w:r>
                      <w:rPr>
                        <w:spacing w:val="-2"/>
                        <w:sz w:val="20"/>
                      </w:rPr>
                      <w:t>Manual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1"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77568" behindDoc="1" locked="0" layoutInCell="1" allowOverlap="1" wp14:anchorId="0DFDD8BC" wp14:editId="0DFDD8BD">
              <wp:simplePos x="0" y="0"/>
              <wp:positionH relativeFrom="page">
                <wp:posOffset>895350</wp:posOffset>
              </wp:positionH>
              <wp:positionV relativeFrom="page">
                <wp:posOffset>9400031</wp:posOffset>
              </wp:positionV>
              <wp:extent cx="5981700" cy="28575"/>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266576" id="Graphic 113" o:spid="_x0000_s1026" style="position:absolute;margin-left:70.5pt;margin-top:740.15pt;width:471pt;height:2.25pt;z-index:-272389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78080" behindDoc="1" locked="0" layoutInCell="1" allowOverlap="1" wp14:anchorId="0DFDD8BE" wp14:editId="0DFDD8BF">
              <wp:simplePos x="0" y="0"/>
              <wp:positionH relativeFrom="page">
                <wp:posOffset>901700</wp:posOffset>
              </wp:positionH>
              <wp:positionV relativeFrom="page">
                <wp:posOffset>9432545</wp:posOffset>
              </wp:positionV>
              <wp:extent cx="678180" cy="1816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DED"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8BE" id="_x0000_t202" coordsize="21600,21600" o:spt="202" path="m,l,21600r21600,l21600,xe">
              <v:stroke joinstyle="miter"/>
              <v:path gradientshapeok="t" o:connecttype="rect"/>
            </v:shapetype>
            <v:shape id="Textbox 114" o:spid="_x0000_s1073" type="#_x0000_t202" style="position:absolute;margin-left:71pt;margin-top:742.7pt;width:53.4pt;height:14.3pt;z-index:-2723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IIjG2uXAQAA&#10;IgMAAA4AAAAAAAAAAAAAAAAALgIAAGRycy9lMm9Eb2MueG1sUEsBAi0AFAAGAAgAAAAhAK5q90Ph&#10;AAAADQEAAA8AAAAAAAAAAAAAAAAA8QMAAGRycy9kb3ducmV2LnhtbFBLBQYAAAAABAAEAPMAAAD/&#10;BAAAAAA=&#10;" filled="f" stroked="f">
              <v:textbox inset="0,0,0,0">
                <w:txbxContent>
                  <w:p w14:paraId="0DFDDDED"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078592" behindDoc="1" locked="0" layoutInCell="1" allowOverlap="1" wp14:anchorId="0DFDD8C0" wp14:editId="0DFDD8C1">
              <wp:simplePos x="0" y="0"/>
              <wp:positionH relativeFrom="page">
                <wp:posOffset>2783105</wp:posOffset>
              </wp:positionH>
              <wp:positionV relativeFrom="page">
                <wp:posOffset>9432545</wp:posOffset>
              </wp:positionV>
              <wp:extent cx="2206625" cy="181610"/>
              <wp:effectExtent l="0" t="0" r="0" b="0"/>
              <wp:wrapNone/>
              <wp:docPr id="115" name="Text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DEE"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8C0" id="Textbox 115" o:spid="_x0000_s1074" type="#_x0000_t202" style="position:absolute;margin-left:219.15pt;margin-top:742.7pt;width:173.75pt;height:14.3pt;z-index:-2723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Lkwsz5gB&#10;AAAjAwAADgAAAAAAAAAAAAAAAAAuAgAAZHJzL2Uyb0RvYy54bWxQSwECLQAUAAYACAAAACEA3pE0&#10;JuIAAAANAQAADwAAAAAAAAAAAAAAAADyAwAAZHJzL2Rvd25yZXYueG1sUEsFBgAAAAAEAAQA8wAA&#10;AAEFAAAAAA==&#10;" filled="f" stroked="f">
              <v:textbox inset="0,0,0,0">
                <w:txbxContent>
                  <w:p w14:paraId="0DFDDDEE"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079104" behindDoc="1" locked="0" layoutInCell="1" allowOverlap="1" wp14:anchorId="0DFDD8C2" wp14:editId="0DFDD8C3">
              <wp:simplePos x="0" y="0"/>
              <wp:positionH relativeFrom="page">
                <wp:posOffset>6123116</wp:posOffset>
              </wp:positionH>
              <wp:positionV relativeFrom="page">
                <wp:posOffset>9432545</wp:posOffset>
              </wp:positionV>
              <wp:extent cx="747395" cy="181610"/>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DEF" w14:textId="77777777" w:rsidR="00046465" w:rsidRDefault="008134EB">
                          <w:pPr>
                            <w:pStyle w:val="BodyText"/>
                            <w:spacing w:before="12"/>
                            <w:ind w:left="20"/>
                          </w:pPr>
                          <w:r>
                            <w:t>Page</w:t>
                          </w:r>
                          <w:r>
                            <w:rPr>
                              <w:spacing w:val="-11"/>
                            </w:rPr>
                            <w:t xml:space="preserve"> </w:t>
                          </w:r>
                          <w:r>
                            <w:t>610-</w:t>
                          </w:r>
                          <w:r>
                            <w:rPr>
                              <w:spacing w:val="-10"/>
                            </w:rPr>
                            <w:t>1</w:t>
                          </w:r>
                        </w:p>
                      </w:txbxContent>
                    </wps:txbx>
                    <wps:bodyPr wrap="square" lIns="0" tIns="0" rIns="0" bIns="0" rtlCol="0">
                      <a:noAutofit/>
                    </wps:bodyPr>
                  </wps:wsp>
                </a:graphicData>
              </a:graphic>
            </wp:anchor>
          </w:drawing>
        </mc:Choice>
        <mc:Fallback>
          <w:pict>
            <v:shape w14:anchorId="0DFDD8C2" id="Textbox 116" o:spid="_x0000_s1075" type="#_x0000_t202" style="position:absolute;margin-left:482.15pt;margin-top:742.7pt;width:58.85pt;height:14.3pt;z-index:-2723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" filled="f" stroked="f">
              <v:textbox inset="0,0,0,0">
                <w:txbxContent>
                  <w:p w14:paraId="0DFDDDEF" w14:textId="77777777" w:rsidR="00046465" w:rsidRDefault="008134EB">
                    <w:pPr>
                      <w:pStyle w:val="BodyText"/>
                      <w:spacing w:before="12"/>
                      <w:ind w:left="20"/>
                    </w:pPr>
                    <w:r>
                      <w:t>Page</w:t>
                    </w:r>
                    <w:r>
                      <w:rPr>
                        <w:spacing w:val="-11"/>
                      </w:rPr>
                      <w:t xml:space="preserve"> </w:t>
                    </w:r>
                    <w:r>
                      <w:t>610-</w:t>
                    </w:r>
                    <w:r>
                      <w:rPr>
                        <w:spacing w:val="-10"/>
                      </w:rPr>
                      <w:t>1</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55"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78112" behindDoc="1" locked="0" layoutInCell="1" allowOverlap="1" wp14:anchorId="0DFDDD52" wp14:editId="0DFDDD53">
              <wp:simplePos x="0" y="0"/>
              <wp:positionH relativeFrom="page">
                <wp:posOffset>666750</wp:posOffset>
              </wp:positionH>
              <wp:positionV relativeFrom="page">
                <wp:posOffset>9400031</wp:posOffset>
              </wp:positionV>
              <wp:extent cx="13982700" cy="28575"/>
              <wp:effectExtent l="0" t="0" r="0" b="0"/>
              <wp:wrapNone/>
              <wp:docPr id="1152" name="Graphic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0" cy="28575"/>
                      </a:xfrm>
                      <a:custGeom>
                        <a:avLst/>
                        <a:gdLst/>
                        <a:ahLst/>
                        <a:cxnLst/>
                        <a:rect l="l" t="t" r="r" b="b"/>
                        <a:pathLst>
                          <a:path w="13982700" h="28575">
                            <a:moveTo>
                              <a:pt x="13982700" y="0"/>
                            </a:moveTo>
                            <a:lnTo>
                              <a:pt x="0" y="0"/>
                            </a:lnTo>
                            <a:lnTo>
                              <a:pt x="0" y="28194"/>
                            </a:lnTo>
                            <a:lnTo>
                              <a:pt x="13982700" y="28194"/>
                            </a:lnTo>
                            <a:lnTo>
                              <a:pt x="1398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3912E8" id="Graphic 1152" o:spid="_x0000_s1026" style="position:absolute;margin-left:52.5pt;margin-top:740.15pt;width:1101pt;height:2.25pt;z-index:-26938368;visibility:visible;mso-wrap-style:square;mso-wrap-distance-left:0;mso-wrap-distance-top:0;mso-wrap-distance-right:0;mso-wrap-distance-bottom:0;mso-position-horizontal:absolute;mso-position-horizontal-relative:page;mso-position-vertical:absolute;mso-position-vertical-relative:page;v-text-anchor:top" coordsize="13982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" path="m13982700,l,,,28194r13982700,l13982700,xe" fillcolor="black" stroked="f">
              <v:path arrowok="t"/>
              <w10:wrap anchorx="page" anchory="page"/>
            </v:shape>
          </w:pict>
        </mc:Fallback>
      </mc:AlternateContent>
    </w:r>
    <w:r>
      <w:rPr>
        <w:noProof/>
        <w:sz w:val="20"/>
      </w:rPr>
      <mc:AlternateContent>
        <mc:Choice Requires="wps">
          <w:drawing>
            <wp:anchor distT="0" distB="0" distL="0" distR="0" simplePos="0" relativeHeight="476378624" behindDoc="1" locked="0" layoutInCell="1" allowOverlap="1" wp14:anchorId="0DFDDD54" wp14:editId="0DFDDD55">
              <wp:simplePos x="0" y="0"/>
              <wp:positionH relativeFrom="page">
                <wp:posOffset>673100</wp:posOffset>
              </wp:positionH>
              <wp:positionV relativeFrom="page">
                <wp:posOffset>9432545</wp:posOffset>
              </wp:positionV>
              <wp:extent cx="678180" cy="181610"/>
              <wp:effectExtent l="0" t="0" r="0" b="0"/>
              <wp:wrapNone/>
              <wp:docPr id="1153" name="Text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86"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D54" id="_x0000_t202" coordsize="21600,21600" o:spt="202" path="m,l,21600r21600,l21600,xe">
              <v:stroke joinstyle="miter"/>
              <v:path gradientshapeok="t" o:connecttype="rect"/>
            </v:shapetype>
            <v:shape id="Textbox 1153" o:spid="_x0000_s1413" type="#_x0000_t202" style="position:absolute;margin-left:53pt;margin-top:742.7pt;width:53.4pt;height:14.3pt;z-index:-269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4NnmQEAACMDAAAOAAAAZHJzL2Uyb0RvYy54bWysUs2O0zAQviPxDpbv1M0idau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" filled="f" stroked="f">
              <v:textbox inset="0,0,0,0">
                <w:txbxContent>
                  <w:p w14:paraId="0DFDDF86"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79136" behindDoc="1" locked="0" layoutInCell="1" allowOverlap="1" wp14:anchorId="0DFDDD56" wp14:editId="0DFDDD57">
              <wp:simplePos x="0" y="0"/>
              <wp:positionH relativeFrom="page">
                <wp:posOffset>6721093</wp:posOffset>
              </wp:positionH>
              <wp:positionV relativeFrom="page">
                <wp:posOffset>9432545</wp:posOffset>
              </wp:positionV>
              <wp:extent cx="2206625" cy="181610"/>
              <wp:effectExtent l="0" t="0" r="0" b="0"/>
              <wp:wrapNone/>
              <wp:docPr id="1154" name="Text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87"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D56" id="Textbox 1154" o:spid="_x0000_s1414" type="#_x0000_t202" style="position:absolute;margin-left:529.2pt;margin-top:742.7pt;width:173.75pt;height:14.3pt;z-index:-269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" filled="f" stroked="f">
              <v:textbox inset="0,0,0,0">
                <w:txbxContent>
                  <w:p w14:paraId="0DFDDF87"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79648" behindDoc="1" locked="0" layoutInCell="1" allowOverlap="1" wp14:anchorId="0DFDDD58" wp14:editId="0DFDDD59">
              <wp:simplePos x="0" y="0"/>
              <wp:positionH relativeFrom="page">
                <wp:posOffset>13679309</wp:posOffset>
              </wp:positionH>
              <wp:positionV relativeFrom="page">
                <wp:posOffset>9432545</wp:posOffset>
              </wp:positionV>
              <wp:extent cx="1001394" cy="181610"/>
              <wp:effectExtent l="0" t="0" r="0" b="0"/>
              <wp:wrapNone/>
              <wp:docPr id="1155" name="Text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1394" cy="181610"/>
                      </a:xfrm>
                      <a:prstGeom prst="rect">
                        <a:avLst/>
                      </a:prstGeom>
                    </wps:spPr>
                    <wps:txbx>
                      <w:txbxContent>
                        <w:p w14:paraId="0DFDDF88" w14:textId="77777777" w:rsidR="00046465" w:rsidRDefault="008134EB">
                          <w:pPr>
                            <w:pStyle w:val="BodyText"/>
                            <w:spacing w:before="12"/>
                            <w:ind w:left="20"/>
                          </w:pPr>
                          <w:r>
                            <w:t>Page</w:t>
                          </w:r>
                          <w:r>
                            <w:rPr>
                              <w:spacing w:val="-9"/>
                            </w:rPr>
                            <w:t xml:space="preserve"> </w:t>
                          </w:r>
                          <w:r>
                            <w:t>1002</w:t>
                          </w:r>
                          <w:r>
                            <w:rPr>
                              <w:spacing w:val="-8"/>
                            </w:rPr>
                            <w:t xml:space="preserve"> </w:t>
                          </w:r>
                          <w:r>
                            <w:t>D-</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w14:anchorId="0DFDDD58" id="Textbox 1155" o:spid="_x0000_s1415" type="#_x0000_t202" style="position:absolute;margin-left:1077.1pt;margin-top:742.7pt;width:78.85pt;height:14.3pt;z-index:-269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" filled="f" stroked="f">
              <v:textbox inset="0,0,0,0">
                <w:txbxContent>
                  <w:p w14:paraId="0DFDDF88" w14:textId="77777777" w:rsidR="00046465" w:rsidRDefault="008134EB">
                    <w:pPr>
                      <w:pStyle w:val="BodyText"/>
                      <w:spacing w:before="12"/>
                      <w:ind w:left="20"/>
                    </w:pPr>
                    <w:r>
                      <w:t>Page</w:t>
                    </w:r>
                    <w:r>
                      <w:rPr>
                        <w:spacing w:val="-9"/>
                      </w:rPr>
                      <w:t xml:space="preserve"> </w:t>
                    </w:r>
                    <w:r>
                      <w:t>1002</w:t>
                    </w:r>
                    <w:r>
                      <w:rPr>
                        <w:spacing w:val="-8"/>
                      </w:rPr>
                      <w:t xml:space="preserve"> </w:t>
                    </w:r>
                    <w:r>
                      <w:t>D-</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57"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81696" behindDoc="1" locked="0" layoutInCell="1" allowOverlap="1" wp14:anchorId="0DFDDD60" wp14:editId="0DFDDD61">
              <wp:simplePos x="0" y="0"/>
              <wp:positionH relativeFrom="page">
                <wp:posOffset>895350</wp:posOffset>
              </wp:positionH>
              <wp:positionV relativeFrom="page">
                <wp:posOffset>9400031</wp:posOffset>
              </wp:positionV>
              <wp:extent cx="5981700" cy="28575"/>
              <wp:effectExtent l="0" t="0" r="0" b="0"/>
              <wp:wrapNone/>
              <wp:docPr id="1159" name="Graphic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32A959" id="Graphic 1159" o:spid="_x0000_s1026" style="position:absolute;margin-left:70.5pt;margin-top:740.15pt;width:471pt;height:2.25pt;z-index:-2693478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82208" behindDoc="1" locked="0" layoutInCell="1" allowOverlap="1" wp14:anchorId="0DFDDD62" wp14:editId="0DFDDD63">
              <wp:simplePos x="0" y="0"/>
              <wp:positionH relativeFrom="page">
                <wp:posOffset>901700</wp:posOffset>
              </wp:positionH>
              <wp:positionV relativeFrom="page">
                <wp:posOffset>9432545</wp:posOffset>
              </wp:positionV>
              <wp:extent cx="678180" cy="181610"/>
              <wp:effectExtent l="0" t="0" r="0" b="0"/>
              <wp:wrapNone/>
              <wp:docPr id="1160" name="Text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8B"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D62" id="_x0000_t202" coordsize="21600,21600" o:spt="202" path="m,l,21600r21600,l21600,xe">
              <v:stroke joinstyle="miter"/>
              <v:path gradientshapeok="t" o:connecttype="rect"/>
            </v:shapetype>
            <v:shape id="Textbox 1160" o:spid="_x0000_s1417" type="#_x0000_t202" style="position:absolute;margin-left:71pt;margin-top:742.7pt;width:53.4pt;height:14.3pt;z-index:-269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FxmQEAACMDAAAOAAAAZHJzL2Uyb0RvYy54bWysUs2O0zAQviPxDpbv1M0idau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V7bpac8dwq1pXq6r4ra6HI1L6YsGLXDQS&#10;Oa5CQB8fKOXrdX0embk8X5+JpGk3ib5t5PvbKseY93bQnljMyHk2kn4fNFophq+BDcvhnws8F7tz&#10;gWn4BOWJZE0BPhwSuL5QuOLOFDiJwmx+NTnqv//L1PVtb/8A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eYTRcZkB&#10;AAAjAwAADgAAAAAAAAAAAAAAAAAuAgAAZHJzL2Uyb0RvYy54bWxQSwECLQAUAAYACAAAACEArmr3&#10;Q+EAAAANAQAADwAAAAAAAAAAAAAAAADzAwAAZHJzL2Rvd25yZXYueG1sUEsFBgAAAAAEAAQA8wAA&#10;AAEFAAAAAA==&#10;" filled="f" stroked="f">
              <v:textbox inset="0,0,0,0">
                <w:txbxContent>
                  <w:p w14:paraId="0DFDDF8B"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82720" behindDoc="1" locked="0" layoutInCell="1" allowOverlap="1" wp14:anchorId="0DFDDD64" wp14:editId="0DFDDD65">
              <wp:simplePos x="0" y="0"/>
              <wp:positionH relativeFrom="page">
                <wp:posOffset>2783105</wp:posOffset>
              </wp:positionH>
              <wp:positionV relativeFrom="page">
                <wp:posOffset>9432545</wp:posOffset>
              </wp:positionV>
              <wp:extent cx="2206625" cy="181610"/>
              <wp:effectExtent l="0" t="0" r="0" b="0"/>
              <wp:wrapNone/>
              <wp:docPr id="1161" name="Text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8C"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D64" id="Textbox 1161" o:spid="_x0000_s1418" type="#_x0000_t202" style="position:absolute;margin-left:219.15pt;margin-top:742.7pt;width:173.75pt;height:14.3pt;z-index:-269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ASioLg&#10;mgEAACQDAAAOAAAAAAAAAAAAAAAAAC4CAABkcnMvZTJvRG9jLnhtbFBLAQItABQABgAIAAAAIQDe&#10;kTQm4gAAAA0BAAAPAAAAAAAAAAAAAAAAAPQDAABkcnMvZG93bnJldi54bWxQSwUGAAAAAAQABADz&#10;AAAAAwUAAAAA&#10;" filled="f" stroked="f">
              <v:textbox inset="0,0,0,0">
                <w:txbxContent>
                  <w:p w14:paraId="0DFDDF8C"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83232" behindDoc="1" locked="0" layoutInCell="1" allowOverlap="1" wp14:anchorId="0DFDDD66" wp14:editId="0DFDDD67">
              <wp:simplePos x="0" y="0"/>
              <wp:positionH relativeFrom="page">
                <wp:posOffset>5967494</wp:posOffset>
              </wp:positionH>
              <wp:positionV relativeFrom="page">
                <wp:posOffset>9432545</wp:posOffset>
              </wp:positionV>
              <wp:extent cx="941069" cy="181610"/>
              <wp:effectExtent l="0" t="0" r="0" b="0"/>
              <wp:wrapNone/>
              <wp:docPr id="1162" name="Text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069" cy="181610"/>
                      </a:xfrm>
                      <a:prstGeom prst="rect">
                        <a:avLst/>
                      </a:prstGeom>
                    </wps:spPr>
                    <wps:txbx>
                      <w:txbxContent>
                        <w:p w14:paraId="0DFDDF8D" w14:textId="77777777" w:rsidR="00046465" w:rsidRDefault="008134EB">
                          <w:pPr>
                            <w:pStyle w:val="BodyText"/>
                            <w:spacing w:before="12"/>
                            <w:ind w:left="20"/>
                          </w:pPr>
                          <w:r>
                            <w:t>Page</w:t>
                          </w:r>
                          <w:r>
                            <w:rPr>
                              <w:spacing w:val="-12"/>
                            </w:rPr>
                            <w:t xml:space="preserve"> </w:t>
                          </w:r>
                          <w:r>
                            <w:t>1003-</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0DFDDD66" id="Textbox 1162" o:spid="_x0000_s1419" type="#_x0000_t202" style="position:absolute;margin-left:469.9pt;margin-top:742.7pt;width:74.1pt;height:14.3pt;z-index:-269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" filled="f" stroked="f">
              <v:textbox inset="0,0,0,0">
                <w:txbxContent>
                  <w:p w14:paraId="0DFDDF8D" w14:textId="77777777" w:rsidR="00046465" w:rsidRDefault="008134EB">
                    <w:pPr>
                      <w:pStyle w:val="BodyText"/>
                      <w:spacing w:before="12"/>
                      <w:ind w:left="20"/>
                    </w:pPr>
                    <w:r>
                      <w:t>Page</w:t>
                    </w:r>
                    <w:r>
                      <w:rPr>
                        <w:spacing w:val="-12"/>
                      </w:rPr>
                      <w:t xml:space="preserve"> </w:t>
                    </w:r>
                    <w:r>
                      <w:t>1003-</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59"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85280" behindDoc="1" locked="0" layoutInCell="1" allowOverlap="1" wp14:anchorId="0DFDDD6E" wp14:editId="0DFDDD6F">
              <wp:simplePos x="0" y="0"/>
              <wp:positionH relativeFrom="page">
                <wp:posOffset>895350</wp:posOffset>
              </wp:positionH>
              <wp:positionV relativeFrom="page">
                <wp:posOffset>9400031</wp:posOffset>
              </wp:positionV>
              <wp:extent cx="5981700" cy="28575"/>
              <wp:effectExtent l="0" t="0" r="0" b="0"/>
              <wp:wrapNone/>
              <wp:docPr id="1172" name="Graphic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A94487" id="Graphic 1172" o:spid="_x0000_s1026" style="position:absolute;margin-left:70.5pt;margin-top:740.15pt;width:471pt;height:2.25pt;z-index:-2693120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85792" behindDoc="1" locked="0" layoutInCell="1" allowOverlap="1" wp14:anchorId="0DFDDD70" wp14:editId="0DFDDD71">
              <wp:simplePos x="0" y="0"/>
              <wp:positionH relativeFrom="page">
                <wp:posOffset>901700</wp:posOffset>
              </wp:positionH>
              <wp:positionV relativeFrom="page">
                <wp:posOffset>9432545</wp:posOffset>
              </wp:positionV>
              <wp:extent cx="678180" cy="181610"/>
              <wp:effectExtent l="0" t="0" r="0" b="0"/>
              <wp:wrapNone/>
              <wp:docPr id="1173" name="Text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8F"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D70" id="_x0000_t202" coordsize="21600,21600" o:spt="202" path="m,l,21600r21600,l21600,xe">
              <v:stroke joinstyle="miter"/>
              <v:path gradientshapeok="t" o:connecttype="rect"/>
            </v:shapetype>
            <v:shape id="Textbox 1173" o:spid="_x0000_s1421" type="#_x0000_t202" style="position:absolute;margin-left:71pt;margin-top:742.7pt;width:53.4pt;height:14.3pt;z-index:-2693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JOMTbJkB&#10;AAAjAwAADgAAAAAAAAAAAAAAAAAuAgAAZHJzL2Uyb0RvYy54bWxQSwECLQAUAAYACAAAACEArmr3&#10;Q+EAAAANAQAADwAAAAAAAAAAAAAAAADzAwAAZHJzL2Rvd25yZXYueG1sUEsFBgAAAAAEAAQA8wAA&#10;AAEFAAAAAA==&#10;" filled="f" stroked="f">
              <v:textbox inset="0,0,0,0">
                <w:txbxContent>
                  <w:p w14:paraId="0DFDDF8F"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86304" behindDoc="1" locked="0" layoutInCell="1" allowOverlap="1" wp14:anchorId="0DFDDD72" wp14:editId="0DFDDD73">
              <wp:simplePos x="0" y="0"/>
              <wp:positionH relativeFrom="page">
                <wp:posOffset>2783105</wp:posOffset>
              </wp:positionH>
              <wp:positionV relativeFrom="page">
                <wp:posOffset>9432545</wp:posOffset>
              </wp:positionV>
              <wp:extent cx="2206625" cy="181610"/>
              <wp:effectExtent l="0" t="0" r="0" b="0"/>
              <wp:wrapNone/>
              <wp:docPr id="1174" name="Text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90"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D72" id="Textbox 1174" o:spid="_x0000_s1422" type="#_x0000_t202" style="position:absolute;margin-left:219.15pt;margin-top:742.7pt;width:173.75pt;height:14.3pt;z-index:-2693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BP7UD9&#10;mgEAACQDAAAOAAAAAAAAAAAAAAAAAC4CAABkcnMvZTJvRG9jLnhtbFBLAQItABQABgAIAAAAIQDe&#10;kTQm4gAAAA0BAAAPAAAAAAAAAAAAAAAAAPQDAABkcnMvZG93bnJldi54bWxQSwUGAAAAAAQABADz&#10;AAAAAwUAAAAA&#10;" filled="f" stroked="f">
              <v:textbox inset="0,0,0,0">
                <w:txbxContent>
                  <w:p w14:paraId="0DFDDF90"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86816" behindDoc="1" locked="0" layoutInCell="1" allowOverlap="1" wp14:anchorId="0DFDDD74" wp14:editId="0DFDDD75">
              <wp:simplePos x="0" y="0"/>
              <wp:positionH relativeFrom="page">
                <wp:posOffset>6045305</wp:posOffset>
              </wp:positionH>
              <wp:positionV relativeFrom="page">
                <wp:posOffset>9432545</wp:posOffset>
              </wp:positionV>
              <wp:extent cx="825500" cy="181610"/>
              <wp:effectExtent l="0" t="0" r="0" b="0"/>
              <wp:wrapNone/>
              <wp:docPr id="1175" name="Text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181610"/>
                      </a:xfrm>
                      <a:prstGeom prst="rect">
                        <a:avLst/>
                      </a:prstGeom>
                    </wps:spPr>
                    <wps:txbx>
                      <w:txbxContent>
                        <w:p w14:paraId="0DFDDF91" w14:textId="77777777" w:rsidR="00046465" w:rsidRDefault="008134EB">
                          <w:pPr>
                            <w:pStyle w:val="BodyText"/>
                            <w:spacing w:before="12"/>
                            <w:ind w:left="20"/>
                          </w:pPr>
                          <w:r>
                            <w:t>Page</w:t>
                          </w:r>
                          <w:r>
                            <w:rPr>
                              <w:spacing w:val="-12"/>
                            </w:rPr>
                            <w:t xml:space="preserve"> </w:t>
                          </w:r>
                          <w:r>
                            <w:t>1005-</w:t>
                          </w:r>
                          <w:r>
                            <w:rPr>
                              <w:spacing w:val="-10"/>
                            </w:rPr>
                            <w:t>1</w:t>
                          </w:r>
                        </w:p>
                      </w:txbxContent>
                    </wps:txbx>
                    <wps:bodyPr wrap="square" lIns="0" tIns="0" rIns="0" bIns="0" rtlCol="0">
                      <a:noAutofit/>
                    </wps:bodyPr>
                  </wps:wsp>
                </a:graphicData>
              </a:graphic>
            </wp:anchor>
          </w:drawing>
        </mc:Choice>
        <mc:Fallback>
          <w:pict>
            <v:shape w14:anchorId="0DFDDD74" id="Textbox 1175" o:spid="_x0000_s1423" type="#_x0000_t202" style="position:absolute;margin-left:476pt;margin-top:742.7pt;width:65pt;height:14.3pt;z-index:-2692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" filled="f" stroked="f">
              <v:textbox inset="0,0,0,0">
                <w:txbxContent>
                  <w:p w14:paraId="0DFDDF91" w14:textId="77777777" w:rsidR="00046465" w:rsidRDefault="008134EB">
                    <w:pPr>
                      <w:pStyle w:val="BodyText"/>
                      <w:spacing w:before="12"/>
                      <w:ind w:left="20"/>
                    </w:pPr>
                    <w:r>
                      <w:t>Page</w:t>
                    </w:r>
                    <w:r>
                      <w:rPr>
                        <w:spacing w:val="-12"/>
                      </w:rPr>
                      <w:t xml:space="preserve"> </w:t>
                    </w:r>
                    <w:r>
                      <w:t>1005-</w:t>
                    </w:r>
                    <w:r>
                      <w:rPr>
                        <w:spacing w:val="-10"/>
                      </w:rPr>
                      <w:t>1</w:t>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5B"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88864" behindDoc="1" locked="0" layoutInCell="1" allowOverlap="1" wp14:anchorId="0DFDDD7C" wp14:editId="0DFDDD7D">
              <wp:simplePos x="0" y="0"/>
              <wp:positionH relativeFrom="page">
                <wp:posOffset>895350</wp:posOffset>
              </wp:positionH>
              <wp:positionV relativeFrom="page">
                <wp:posOffset>9400031</wp:posOffset>
              </wp:positionV>
              <wp:extent cx="5981700" cy="28575"/>
              <wp:effectExtent l="0" t="0" r="0" b="0"/>
              <wp:wrapNone/>
              <wp:docPr id="1179" name="Graphic 1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CF1A44" id="Graphic 1179" o:spid="_x0000_s1026" style="position:absolute;margin-left:70.5pt;margin-top:740.15pt;width:471pt;height:2.25pt;z-index:-269276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89376" behindDoc="1" locked="0" layoutInCell="1" allowOverlap="1" wp14:anchorId="0DFDDD7E" wp14:editId="0DFDDD7F">
              <wp:simplePos x="0" y="0"/>
              <wp:positionH relativeFrom="page">
                <wp:posOffset>901700</wp:posOffset>
              </wp:positionH>
              <wp:positionV relativeFrom="page">
                <wp:posOffset>9432545</wp:posOffset>
              </wp:positionV>
              <wp:extent cx="678180" cy="181610"/>
              <wp:effectExtent l="0" t="0" r="0" b="0"/>
              <wp:wrapNone/>
              <wp:docPr id="1180" name="Text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93"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D7E" id="_x0000_t202" coordsize="21600,21600" o:spt="202" path="m,l,21600r21600,l21600,xe">
              <v:stroke joinstyle="miter"/>
              <v:path gradientshapeok="t" o:connecttype="rect"/>
            </v:shapetype>
            <v:shape id="Textbox 1180" o:spid="_x0000_s1425" type="#_x0000_t202" style="position:absolute;margin-left:71pt;margin-top:742.7pt;width:53.4pt;height:14.3pt;z-index:-2692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w0pVSpkB&#10;AAAjAwAADgAAAAAAAAAAAAAAAAAuAgAAZHJzL2Uyb0RvYy54bWxQSwECLQAUAAYACAAAACEArmr3&#10;Q+EAAAANAQAADwAAAAAAAAAAAAAAAADzAwAAZHJzL2Rvd25yZXYueG1sUEsFBgAAAAAEAAQA8wAA&#10;AAEFAAAAAA==&#10;" filled="f" stroked="f">
              <v:textbox inset="0,0,0,0">
                <w:txbxContent>
                  <w:p w14:paraId="0DFDDF93"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89888" behindDoc="1" locked="0" layoutInCell="1" allowOverlap="1" wp14:anchorId="0DFDDD80" wp14:editId="0DFDDD81">
              <wp:simplePos x="0" y="0"/>
              <wp:positionH relativeFrom="page">
                <wp:posOffset>2783105</wp:posOffset>
              </wp:positionH>
              <wp:positionV relativeFrom="page">
                <wp:posOffset>9432545</wp:posOffset>
              </wp:positionV>
              <wp:extent cx="2206625" cy="181610"/>
              <wp:effectExtent l="0" t="0" r="0" b="0"/>
              <wp:wrapNone/>
              <wp:docPr id="1181" name="Text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94"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D80" id="Textbox 1181" o:spid="_x0000_s1426" type="#_x0000_t202" style="position:absolute;margin-left:219.15pt;margin-top:742.7pt;width:173.75pt;height:14.3pt;z-index:-2692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JKEud+Z&#10;AQAAJAMAAA4AAAAAAAAAAAAAAAAALgIAAGRycy9lMm9Eb2MueG1sUEsBAi0AFAAGAAgAAAAhAN6R&#10;NCbiAAAADQEAAA8AAAAAAAAAAAAAAAAA8wMAAGRycy9kb3ducmV2LnhtbFBLBQYAAAAABAAEAPMA&#10;AAACBQAAAAA=&#10;" filled="f" stroked="f">
              <v:textbox inset="0,0,0,0">
                <w:txbxContent>
                  <w:p w14:paraId="0DFDDF94"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90400" behindDoc="1" locked="0" layoutInCell="1" allowOverlap="1" wp14:anchorId="0DFDDD82" wp14:editId="0DFDDD83">
              <wp:simplePos x="0" y="0"/>
              <wp:positionH relativeFrom="page">
                <wp:posOffset>6045305</wp:posOffset>
              </wp:positionH>
              <wp:positionV relativeFrom="page">
                <wp:posOffset>9432545</wp:posOffset>
              </wp:positionV>
              <wp:extent cx="863600" cy="181610"/>
              <wp:effectExtent l="0" t="0" r="0" b="0"/>
              <wp:wrapNone/>
              <wp:docPr id="1182" name="Text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0DFDDF95" w14:textId="77777777" w:rsidR="00046465" w:rsidRDefault="008134EB">
                          <w:pPr>
                            <w:pStyle w:val="BodyText"/>
                            <w:spacing w:before="12"/>
                            <w:ind w:left="20"/>
                          </w:pPr>
                          <w:r>
                            <w:t>Page</w:t>
                          </w:r>
                          <w:r>
                            <w:rPr>
                              <w:spacing w:val="-12"/>
                            </w:rPr>
                            <w:t xml:space="preserve"> </w:t>
                          </w:r>
                          <w:r>
                            <w:t>1005-</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D82" id="Textbox 1182" o:spid="_x0000_s1427" type="#_x0000_t202" style="position:absolute;margin-left:476pt;margin-top:742.7pt;width:68pt;height:14.3pt;z-index:-26926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" filled="f" stroked="f">
              <v:textbox inset="0,0,0,0">
                <w:txbxContent>
                  <w:p w14:paraId="0DFDDF95" w14:textId="77777777" w:rsidR="00046465" w:rsidRDefault="008134EB">
                    <w:pPr>
                      <w:pStyle w:val="BodyText"/>
                      <w:spacing w:before="12"/>
                      <w:ind w:left="20"/>
                    </w:pPr>
                    <w:r>
                      <w:t>Page</w:t>
                    </w:r>
                    <w:r>
                      <w:rPr>
                        <w:spacing w:val="-12"/>
                      </w:rPr>
                      <w:t xml:space="preserve"> </w:t>
                    </w:r>
                    <w:r>
                      <w:t>1005-</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5D" w14:textId="77777777" w:rsidR="00046465" w:rsidRDefault="00046465">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3"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81152" behindDoc="1" locked="0" layoutInCell="1" allowOverlap="1" wp14:anchorId="0DFDD8CA" wp14:editId="0DFDD8CB">
              <wp:simplePos x="0" y="0"/>
              <wp:positionH relativeFrom="page">
                <wp:posOffset>895350</wp:posOffset>
              </wp:positionH>
              <wp:positionV relativeFrom="page">
                <wp:posOffset>9400031</wp:posOffset>
              </wp:positionV>
              <wp:extent cx="5981700" cy="28575"/>
              <wp:effectExtent l="0" t="0" r="0" b="0"/>
              <wp:wrapNone/>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76DA1B" id="Graphic 120" o:spid="_x0000_s1026" style="position:absolute;margin-left:70.5pt;margin-top:740.15pt;width:471pt;height:2.25pt;z-index:-272353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81664" behindDoc="1" locked="0" layoutInCell="1" allowOverlap="1" wp14:anchorId="0DFDD8CC" wp14:editId="0DFDD8CD">
              <wp:simplePos x="0" y="0"/>
              <wp:positionH relativeFrom="page">
                <wp:posOffset>901700</wp:posOffset>
              </wp:positionH>
              <wp:positionV relativeFrom="page">
                <wp:posOffset>9432545</wp:posOffset>
              </wp:positionV>
              <wp:extent cx="678180" cy="181610"/>
              <wp:effectExtent l="0" t="0" r="0" b="0"/>
              <wp:wrapNone/>
              <wp:docPr id="121"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DF2"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8CC" id="_x0000_t202" coordsize="21600,21600" o:spt="202" path="m,l,21600r21600,l21600,xe">
              <v:stroke joinstyle="miter"/>
              <v:path gradientshapeok="t" o:connecttype="rect"/>
            </v:shapetype>
            <v:shape id="Textbox 121" o:spid="_x0000_s1077" type="#_x0000_t202" style="position:absolute;margin-left:71pt;margin-top:742.7pt;width:53.4pt;height:14.3pt;z-index:-2723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6jEl9mAEA&#10;ACIDAAAOAAAAAAAAAAAAAAAAAC4CAABkcnMvZTJvRG9jLnhtbFBLAQItABQABgAIAAAAIQCuavdD&#10;4QAAAA0BAAAPAAAAAAAAAAAAAAAAAPIDAABkcnMvZG93bnJldi54bWxQSwUGAAAAAAQABADzAAAA&#10;AAUAAAAA&#10;" filled="f" stroked="f">
              <v:textbox inset="0,0,0,0">
                <w:txbxContent>
                  <w:p w14:paraId="0DFDDDF2"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082176" behindDoc="1" locked="0" layoutInCell="1" allowOverlap="1" wp14:anchorId="0DFDD8CE" wp14:editId="0DFDD8CF">
              <wp:simplePos x="0" y="0"/>
              <wp:positionH relativeFrom="page">
                <wp:posOffset>2783105</wp:posOffset>
              </wp:positionH>
              <wp:positionV relativeFrom="page">
                <wp:posOffset>9432545</wp:posOffset>
              </wp:positionV>
              <wp:extent cx="2206625" cy="181610"/>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DF3"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8CE" id="Textbox 122" o:spid="_x0000_s1078" type="#_x0000_t202" style="position:absolute;margin-left:219.15pt;margin-top:742.7pt;width:173.75pt;height:14.3pt;z-index:-272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PFKOP+Z&#10;AQAAIwMAAA4AAAAAAAAAAAAAAAAALgIAAGRycy9lMm9Eb2MueG1sUEsBAi0AFAAGAAgAAAAhAN6R&#10;NCbiAAAADQEAAA8AAAAAAAAAAAAAAAAA8wMAAGRycy9kb3ducmV2LnhtbFBLBQYAAAAABAAEAPMA&#10;AAACBQAAAAA=&#10;" filled="f" stroked="f">
              <v:textbox inset="0,0,0,0">
                <w:txbxContent>
                  <w:p w14:paraId="0DFDDDF3"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082688" behindDoc="1" locked="0" layoutInCell="1" allowOverlap="1" wp14:anchorId="0DFDD8D0" wp14:editId="0DFDD8D1">
              <wp:simplePos x="0" y="0"/>
              <wp:positionH relativeFrom="page">
                <wp:posOffset>6123116</wp:posOffset>
              </wp:positionH>
              <wp:positionV relativeFrom="page">
                <wp:posOffset>9432545</wp:posOffset>
              </wp:positionV>
              <wp:extent cx="747395" cy="181610"/>
              <wp:effectExtent l="0" t="0" r="0" b="0"/>
              <wp:wrapNone/>
              <wp:docPr id="123" name="Text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DF4" w14:textId="77777777" w:rsidR="00046465" w:rsidRDefault="008134EB">
                          <w:pPr>
                            <w:pStyle w:val="BodyText"/>
                            <w:spacing w:before="12"/>
                            <w:ind w:left="20"/>
                          </w:pPr>
                          <w:r>
                            <w:t>Page</w:t>
                          </w:r>
                          <w:r>
                            <w:rPr>
                              <w:spacing w:val="-11"/>
                            </w:rPr>
                            <w:t xml:space="preserve"> </w:t>
                          </w:r>
                          <w:r>
                            <w:t>615-</w:t>
                          </w:r>
                          <w:r>
                            <w:rPr>
                              <w:spacing w:val="-10"/>
                            </w:rPr>
                            <w:t>1</w:t>
                          </w:r>
                        </w:p>
                      </w:txbxContent>
                    </wps:txbx>
                    <wps:bodyPr wrap="square" lIns="0" tIns="0" rIns="0" bIns="0" rtlCol="0">
                      <a:noAutofit/>
                    </wps:bodyPr>
                  </wps:wsp>
                </a:graphicData>
              </a:graphic>
            </wp:anchor>
          </w:drawing>
        </mc:Choice>
        <mc:Fallback>
          <w:pict>
            <v:shape w14:anchorId="0DFDD8D0" id="Textbox 123" o:spid="_x0000_s1079" type="#_x0000_t202" style="position:absolute;margin-left:482.15pt;margin-top:742.7pt;width:58.85pt;height:14.3pt;z-index:-2723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" filled="f" stroked="f">
              <v:textbox inset="0,0,0,0">
                <w:txbxContent>
                  <w:p w14:paraId="0DFDDDF4" w14:textId="77777777" w:rsidR="00046465" w:rsidRDefault="008134EB">
                    <w:pPr>
                      <w:pStyle w:val="BodyText"/>
                      <w:spacing w:before="12"/>
                      <w:ind w:left="20"/>
                    </w:pPr>
                    <w:r>
                      <w:t>Page</w:t>
                    </w:r>
                    <w:r>
                      <w:rPr>
                        <w:spacing w:val="-11"/>
                      </w:rPr>
                      <w:t xml:space="preserve"> </w:t>
                    </w:r>
                    <w:r>
                      <w:t>615-</w:t>
                    </w:r>
                    <w:r>
                      <w:rPr>
                        <w:spacing w:val="-10"/>
                      </w:rPr>
                      <w:t>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5"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84736" behindDoc="1" locked="0" layoutInCell="1" allowOverlap="1" wp14:anchorId="0DFDD8D8" wp14:editId="0DFDD8D9">
              <wp:simplePos x="0" y="0"/>
              <wp:positionH relativeFrom="page">
                <wp:posOffset>895350</wp:posOffset>
              </wp:positionH>
              <wp:positionV relativeFrom="page">
                <wp:posOffset>9400031</wp:posOffset>
              </wp:positionV>
              <wp:extent cx="5981700" cy="28575"/>
              <wp:effectExtent l="0" t="0" r="0" b="0"/>
              <wp:wrapNone/>
              <wp:docPr id="127" name="Graphic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2F6BF4" id="Graphic 127" o:spid="_x0000_s1026" style="position:absolute;margin-left:70.5pt;margin-top:740.15pt;width:471pt;height:2.25pt;z-index:-272317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85248" behindDoc="1" locked="0" layoutInCell="1" allowOverlap="1" wp14:anchorId="0DFDD8DA" wp14:editId="0DFDD8DB">
              <wp:simplePos x="0" y="0"/>
              <wp:positionH relativeFrom="page">
                <wp:posOffset>901700</wp:posOffset>
              </wp:positionH>
              <wp:positionV relativeFrom="page">
                <wp:posOffset>9432545</wp:posOffset>
              </wp:positionV>
              <wp:extent cx="678180" cy="181610"/>
              <wp:effectExtent l="0" t="0" r="0" b="0"/>
              <wp:wrapNone/>
              <wp:docPr id="128" name="Text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DF7"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8DA" id="_x0000_t202" coordsize="21600,21600" o:spt="202" path="m,l,21600r21600,l21600,xe">
              <v:stroke joinstyle="miter"/>
              <v:path gradientshapeok="t" o:connecttype="rect"/>
            </v:shapetype>
            <v:shape id="Textbox 128" o:spid="_x0000_s1081" type="#_x0000_t202" style="position:absolute;margin-left:71pt;margin-top:742.7pt;width:53.4pt;height:14.3pt;z-index:-2723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n64tgmAEA&#10;ACIDAAAOAAAAAAAAAAAAAAAAAC4CAABkcnMvZTJvRG9jLnhtbFBLAQItABQABgAIAAAAIQCuavdD&#10;4QAAAA0BAAAPAAAAAAAAAAAAAAAAAPIDAABkcnMvZG93bnJldi54bWxQSwUGAAAAAAQABADzAAAA&#10;AAUAAAAA&#10;" filled="f" stroked="f">
              <v:textbox inset="0,0,0,0">
                <w:txbxContent>
                  <w:p w14:paraId="0DFDDDF7"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085760" behindDoc="1" locked="0" layoutInCell="1" allowOverlap="1" wp14:anchorId="0DFDD8DC" wp14:editId="0DFDD8DD">
              <wp:simplePos x="0" y="0"/>
              <wp:positionH relativeFrom="page">
                <wp:posOffset>2783105</wp:posOffset>
              </wp:positionH>
              <wp:positionV relativeFrom="page">
                <wp:posOffset>9432545</wp:posOffset>
              </wp:positionV>
              <wp:extent cx="2206625" cy="181610"/>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DF8"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8DC" id="Textbox 129" o:spid="_x0000_s1082" type="#_x0000_t202" style="position:absolute;margin-left:219.15pt;margin-top:742.7pt;width:173.75pt;height:14.3pt;z-index:-272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rC364pgB&#10;AAAjAwAADgAAAAAAAAAAAAAAAAAuAgAAZHJzL2Uyb0RvYy54bWxQSwECLQAUAAYACAAAACEA3pE0&#10;JuIAAAANAQAADwAAAAAAAAAAAAAAAADyAwAAZHJzL2Rvd25yZXYueG1sUEsFBgAAAAAEAAQA8wAA&#10;AAEFAAAAAA==&#10;" filled="f" stroked="f">
              <v:textbox inset="0,0,0,0">
                <w:txbxContent>
                  <w:p w14:paraId="0DFDDDF8"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086272" behindDoc="1" locked="0" layoutInCell="1" allowOverlap="1" wp14:anchorId="0DFDD8DE" wp14:editId="0DFDD8DF">
              <wp:simplePos x="0" y="0"/>
              <wp:positionH relativeFrom="page">
                <wp:posOffset>6045444</wp:posOffset>
              </wp:positionH>
              <wp:positionV relativeFrom="page">
                <wp:posOffset>9432545</wp:posOffset>
              </wp:positionV>
              <wp:extent cx="863600" cy="181610"/>
              <wp:effectExtent l="0" t="0" r="0" b="0"/>
              <wp:wrapNone/>
              <wp:docPr id="130" name="Text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0DFDDDF9" w14:textId="77777777" w:rsidR="00046465" w:rsidRDefault="008134EB">
                          <w:pPr>
                            <w:pStyle w:val="BodyText"/>
                            <w:spacing w:before="12"/>
                            <w:ind w:left="20"/>
                          </w:pPr>
                          <w:r>
                            <w:t>Page</w:t>
                          </w:r>
                          <w:r>
                            <w:rPr>
                              <w:spacing w:val="-11"/>
                            </w:rPr>
                            <w:t xml:space="preserve"> </w:t>
                          </w:r>
                          <w:r>
                            <w:t>615-</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0DFDD8DE" id="Textbox 130" o:spid="_x0000_s1083" type="#_x0000_t202" style="position:absolute;margin-left:476pt;margin-top:742.7pt;width:68pt;height:14.3pt;z-index:-27230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" filled="f" stroked="f">
              <v:textbox inset="0,0,0,0">
                <w:txbxContent>
                  <w:p w14:paraId="0DFDDDF9" w14:textId="77777777" w:rsidR="00046465" w:rsidRDefault="008134EB">
                    <w:pPr>
                      <w:pStyle w:val="BodyText"/>
                      <w:spacing w:before="12"/>
                      <w:ind w:left="20"/>
                    </w:pPr>
                    <w:r>
                      <w:t>Page</w:t>
                    </w:r>
                    <w:r>
                      <w:rPr>
                        <w:spacing w:val="-11"/>
                      </w:rPr>
                      <w:t xml:space="preserve"> </w:t>
                    </w:r>
                    <w:r>
                      <w:t>615-</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7"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88320" behindDoc="1" locked="0" layoutInCell="1" allowOverlap="1" wp14:anchorId="0DFDD8E6" wp14:editId="0DFDD8E7">
              <wp:simplePos x="0" y="0"/>
              <wp:positionH relativeFrom="page">
                <wp:posOffset>895350</wp:posOffset>
              </wp:positionH>
              <wp:positionV relativeFrom="page">
                <wp:posOffset>9400031</wp:posOffset>
              </wp:positionV>
              <wp:extent cx="5981700" cy="28575"/>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07B463" id="Graphic 138" o:spid="_x0000_s1026" style="position:absolute;margin-left:70.5pt;margin-top:740.15pt;width:471pt;height:2.25pt;z-index:-272281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88832" behindDoc="1" locked="0" layoutInCell="1" allowOverlap="1" wp14:anchorId="0DFDD8E8" wp14:editId="0DFDD8E9">
              <wp:simplePos x="0" y="0"/>
              <wp:positionH relativeFrom="page">
                <wp:posOffset>901700</wp:posOffset>
              </wp:positionH>
              <wp:positionV relativeFrom="page">
                <wp:posOffset>9432545</wp:posOffset>
              </wp:positionV>
              <wp:extent cx="678180" cy="18161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DFC"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8E8" id="_x0000_t202" coordsize="21600,21600" o:spt="202" path="m,l,21600r21600,l21600,xe">
              <v:stroke joinstyle="miter"/>
              <v:path gradientshapeok="t" o:connecttype="rect"/>
            </v:shapetype>
            <v:shape id="Textbox 139" o:spid="_x0000_s1085" type="#_x0000_t202" style="position:absolute;margin-left:71pt;margin-top:742.7pt;width:53.4pt;height:14.3pt;z-index:-272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AQs1GmAEA&#10;ACIDAAAOAAAAAAAAAAAAAAAAAC4CAABkcnMvZTJvRG9jLnhtbFBLAQItABQABgAIAAAAIQCuavdD&#10;4QAAAA0BAAAPAAAAAAAAAAAAAAAAAPIDAABkcnMvZG93bnJldi54bWxQSwUGAAAAAAQABADzAAAA&#10;AAUAAAAA&#10;" filled="f" stroked="f">
              <v:textbox inset="0,0,0,0">
                <w:txbxContent>
                  <w:p w14:paraId="0DFDDDFC"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089344" behindDoc="1" locked="0" layoutInCell="1" allowOverlap="1" wp14:anchorId="0DFDD8EA" wp14:editId="0DFDD8EB">
              <wp:simplePos x="0" y="0"/>
              <wp:positionH relativeFrom="page">
                <wp:posOffset>2783105</wp:posOffset>
              </wp:positionH>
              <wp:positionV relativeFrom="page">
                <wp:posOffset>9432545</wp:posOffset>
              </wp:positionV>
              <wp:extent cx="2206625" cy="181610"/>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DFD"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8EA" id="Textbox 140" o:spid="_x0000_s1086" type="#_x0000_t202" style="position:absolute;margin-left:219.15pt;margin-top:742.7pt;width:173.75pt;height:14.3pt;z-index:-272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C2ajOuZ&#10;AQAAIwMAAA4AAAAAAAAAAAAAAAAALgIAAGRycy9lMm9Eb2MueG1sUEsBAi0AFAAGAAgAAAAhAN6R&#10;NCbiAAAADQEAAA8AAAAAAAAAAAAAAAAA8wMAAGRycy9kb3ducmV2LnhtbFBLBQYAAAAABAAEAPMA&#10;AAACBQAAAAA=&#10;" filled="f" stroked="f">
              <v:textbox inset="0,0,0,0">
                <w:txbxContent>
                  <w:p w14:paraId="0DFDDDFD"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089856" behindDoc="1" locked="0" layoutInCell="1" allowOverlap="1" wp14:anchorId="0DFDD8EC" wp14:editId="0DFDD8ED">
              <wp:simplePos x="0" y="0"/>
              <wp:positionH relativeFrom="page">
                <wp:posOffset>6123116</wp:posOffset>
              </wp:positionH>
              <wp:positionV relativeFrom="page">
                <wp:posOffset>9432545</wp:posOffset>
              </wp:positionV>
              <wp:extent cx="747395" cy="181610"/>
              <wp:effectExtent l="0" t="0" r="0" b="0"/>
              <wp:wrapNone/>
              <wp:docPr id="141" name="Text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DFE" w14:textId="77777777" w:rsidR="00046465" w:rsidRDefault="008134EB">
                          <w:pPr>
                            <w:pStyle w:val="BodyText"/>
                            <w:spacing w:before="12"/>
                            <w:ind w:left="20"/>
                          </w:pPr>
                          <w:r>
                            <w:t>Page</w:t>
                          </w:r>
                          <w:r>
                            <w:rPr>
                              <w:spacing w:val="-11"/>
                            </w:rPr>
                            <w:t xml:space="preserve"> </w:t>
                          </w:r>
                          <w:r>
                            <w:t>620-</w:t>
                          </w:r>
                          <w:r>
                            <w:rPr>
                              <w:spacing w:val="-10"/>
                            </w:rPr>
                            <w:t>1</w:t>
                          </w:r>
                        </w:p>
                      </w:txbxContent>
                    </wps:txbx>
                    <wps:bodyPr wrap="square" lIns="0" tIns="0" rIns="0" bIns="0" rtlCol="0">
                      <a:noAutofit/>
                    </wps:bodyPr>
                  </wps:wsp>
                </a:graphicData>
              </a:graphic>
            </wp:anchor>
          </w:drawing>
        </mc:Choice>
        <mc:Fallback>
          <w:pict>
            <v:shape w14:anchorId="0DFDD8EC" id="Textbox 141" o:spid="_x0000_s1087" type="#_x0000_t202" style="position:absolute;margin-left:482.15pt;margin-top:742.7pt;width:58.85pt;height:14.3pt;z-index:-2722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" filled="f" stroked="f">
              <v:textbox inset="0,0,0,0">
                <w:txbxContent>
                  <w:p w14:paraId="0DFDDDFE" w14:textId="77777777" w:rsidR="00046465" w:rsidRDefault="008134EB">
                    <w:pPr>
                      <w:pStyle w:val="BodyText"/>
                      <w:spacing w:before="12"/>
                      <w:ind w:left="20"/>
                    </w:pPr>
                    <w:r>
                      <w:t>Page</w:t>
                    </w:r>
                    <w:r>
                      <w:rPr>
                        <w:spacing w:val="-11"/>
                      </w:rPr>
                      <w:t xml:space="preserve"> </w:t>
                    </w:r>
                    <w:r>
                      <w:t>620-</w:t>
                    </w:r>
                    <w:r>
                      <w:rPr>
                        <w:spacing w:val="-10"/>
                      </w:rPr>
                      <w:t>1</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9"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91904" behindDoc="1" locked="0" layoutInCell="1" allowOverlap="1" wp14:anchorId="0DFDD8F4" wp14:editId="0DFDD8F5">
              <wp:simplePos x="0" y="0"/>
              <wp:positionH relativeFrom="page">
                <wp:posOffset>895350</wp:posOffset>
              </wp:positionH>
              <wp:positionV relativeFrom="page">
                <wp:posOffset>9400031</wp:posOffset>
              </wp:positionV>
              <wp:extent cx="5981700" cy="28575"/>
              <wp:effectExtent l="0" t="0" r="0" b="0"/>
              <wp:wrapNone/>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497276" id="Graphic 145" o:spid="_x0000_s1026" style="position:absolute;margin-left:70.5pt;margin-top:740.15pt;width:471pt;height:2.25pt;z-index:-2722457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92416" behindDoc="1" locked="0" layoutInCell="1" allowOverlap="1" wp14:anchorId="0DFDD8F6" wp14:editId="0DFDD8F7">
              <wp:simplePos x="0" y="0"/>
              <wp:positionH relativeFrom="page">
                <wp:posOffset>901700</wp:posOffset>
              </wp:positionH>
              <wp:positionV relativeFrom="page">
                <wp:posOffset>9432545</wp:posOffset>
              </wp:positionV>
              <wp:extent cx="678180" cy="181610"/>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01"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8F6" id="_x0000_t202" coordsize="21600,21600" o:spt="202" path="m,l,21600r21600,l21600,xe">
              <v:stroke joinstyle="miter"/>
              <v:path gradientshapeok="t" o:connecttype="rect"/>
            </v:shapetype>
            <v:shape id="Textbox 146" o:spid="_x0000_s1089" type="#_x0000_t202" style="position:absolute;margin-left:71pt;margin-top:742.7pt;width:53.4pt;height:14.3pt;z-index:-2722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mXP1pmAEA&#10;ACIDAAAOAAAAAAAAAAAAAAAAAC4CAABkcnMvZTJvRG9jLnhtbFBLAQItABQABgAIAAAAIQCuavdD&#10;4QAAAA0BAAAPAAAAAAAAAAAAAAAAAPIDAABkcnMvZG93bnJldi54bWxQSwUGAAAAAAQABADzAAAA&#10;AAUAAAAA&#10;" filled="f" stroked="f">
              <v:textbox inset="0,0,0,0">
                <w:txbxContent>
                  <w:p w14:paraId="0DFDDE01"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092928" behindDoc="1" locked="0" layoutInCell="1" allowOverlap="1" wp14:anchorId="0DFDD8F8" wp14:editId="0DFDD8F9">
              <wp:simplePos x="0" y="0"/>
              <wp:positionH relativeFrom="page">
                <wp:posOffset>2783105</wp:posOffset>
              </wp:positionH>
              <wp:positionV relativeFrom="page">
                <wp:posOffset>9432545</wp:posOffset>
              </wp:positionV>
              <wp:extent cx="2206625" cy="181610"/>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02"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8F8" id="Textbox 147" o:spid="_x0000_s1090" type="#_x0000_t202" style="position:absolute;margin-left:219.15pt;margin-top:742.7pt;width:173.75pt;height:14.3pt;z-index:-272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HD9TvaZ&#10;AQAAIwMAAA4AAAAAAAAAAAAAAAAALgIAAGRycy9lMm9Eb2MueG1sUEsBAi0AFAAGAAgAAAAhAN6R&#10;NCbiAAAADQEAAA8AAAAAAAAAAAAAAAAA8wMAAGRycy9kb3ducmV2LnhtbFBLBQYAAAAABAAEAPMA&#10;AAACBQAAAAA=&#10;" filled="f" stroked="f">
              <v:textbox inset="0,0,0,0">
                <w:txbxContent>
                  <w:p w14:paraId="0DFDDE02"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093440" behindDoc="1" locked="0" layoutInCell="1" allowOverlap="1" wp14:anchorId="0DFDD8FA" wp14:editId="0DFDD8FB">
              <wp:simplePos x="0" y="0"/>
              <wp:positionH relativeFrom="page">
                <wp:posOffset>6045444</wp:posOffset>
              </wp:positionH>
              <wp:positionV relativeFrom="page">
                <wp:posOffset>9432545</wp:posOffset>
              </wp:positionV>
              <wp:extent cx="863600" cy="18161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0DFDDE03" w14:textId="77777777" w:rsidR="00046465" w:rsidRDefault="008134EB">
                          <w:pPr>
                            <w:pStyle w:val="BodyText"/>
                            <w:spacing w:before="12"/>
                            <w:ind w:left="20"/>
                          </w:pPr>
                          <w:r>
                            <w:t>Page</w:t>
                          </w:r>
                          <w:r>
                            <w:rPr>
                              <w:spacing w:val="-11"/>
                            </w:rPr>
                            <w:t xml:space="preserve"> </w:t>
                          </w:r>
                          <w:r>
                            <w:t>620-</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0DFDD8FA" id="Textbox 148" o:spid="_x0000_s1091" type="#_x0000_t202" style="position:absolute;margin-left:476pt;margin-top:742.7pt;width:68pt;height:14.3pt;z-index:-27223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" filled="f" stroked="f">
              <v:textbox inset="0,0,0,0">
                <w:txbxContent>
                  <w:p w14:paraId="0DFDDE03" w14:textId="77777777" w:rsidR="00046465" w:rsidRDefault="008134EB">
                    <w:pPr>
                      <w:pStyle w:val="BodyText"/>
                      <w:spacing w:before="12"/>
                      <w:ind w:left="20"/>
                    </w:pPr>
                    <w:r>
                      <w:t>Page</w:t>
                    </w:r>
                    <w:r>
                      <w:rPr>
                        <w:spacing w:val="-11"/>
                      </w:rPr>
                      <w:t xml:space="preserve"> </w:t>
                    </w:r>
                    <w:r>
                      <w:t>620-</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B"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95488" behindDoc="1" locked="0" layoutInCell="1" allowOverlap="1" wp14:anchorId="0DFDD902" wp14:editId="0DFDD903">
              <wp:simplePos x="0" y="0"/>
              <wp:positionH relativeFrom="page">
                <wp:posOffset>895350</wp:posOffset>
              </wp:positionH>
              <wp:positionV relativeFrom="page">
                <wp:posOffset>9400031</wp:posOffset>
              </wp:positionV>
              <wp:extent cx="5981700" cy="28575"/>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90D49D" id="Graphic 153" o:spid="_x0000_s1026" style="position:absolute;margin-left:70.5pt;margin-top:740.15pt;width:471pt;height:2.25pt;z-index:-2722099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96000" behindDoc="1" locked="0" layoutInCell="1" allowOverlap="1" wp14:anchorId="0DFDD904" wp14:editId="0DFDD905">
              <wp:simplePos x="0" y="0"/>
              <wp:positionH relativeFrom="page">
                <wp:posOffset>901700</wp:posOffset>
              </wp:positionH>
              <wp:positionV relativeFrom="page">
                <wp:posOffset>9432545</wp:posOffset>
              </wp:positionV>
              <wp:extent cx="678180" cy="181610"/>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06"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04" id="_x0000_t202" coordsize="21600,21600" o:spt="202" path="m,l,21600r21600,l21600,xe">
              <v:stroke joinstyle="miter"/>
              <v:path gradientshapeok="t" o:connecttype="rect"/>
            </v:shapetype>
            <v:shape id="Textbox 154" o:spid="_x0000_s1093" type="#_x0000_t202" style="position:absolute;margin-left:71pt;margin-top:742.7pt;width:53.4pt;height:14.3pt;z-index:-2722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90mAEAACIDAAAOAAAAZHJzL2Uyb0RvYy54bWysUs2O0zAQviPxDpbv1M0Kdau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V7bpac8dwq1pXq6r4ra6HI1L6YsGLXDQS&#10;Oa5CQB8fKOXrdX0embk8X5+JpGk3ib5t5PvbnGLe2kF7Yi0jx9lI+n3QaKUYvgb2K2d/LvBc7M4F&#10;puETlBeSJQX4cEjg+sLgijsz4CAKsfnR5KT//i9T16e9/QM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7Oz90mAEA&#10;ACIDAAAOAAAAAAAAAAAAAAAAAC4CAABkcnMvZTJvRG9jLnhtbFBLAQItABQABgAIAAAAIQCuavdD&#10;4QAAAA0BAAAPAAAAAAAAAAAAAAAAAPIDAABkcnMvZG93bnJldi54bWxQSwUGAAAAAAQABADzAAAA&#10;AAUAAAAA&#10;" filled="f" stroked="f">
              <v:textbox inset="0,0,0,0">
                <w:txbxContent>
                  <w:p w14:paraId="0DFDDE06"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096512" behindDoc="1" locked="0" layoutInCell="1" allowOverlap="1" wp14:anchorId="0DFDD906" wp14:editId="0DFDD907">
              <wp:simplePos x="0" y="0"/>
              <wp:positionH relativeFrom="page">
                <wp:posOffset>2783105</wp:posOffset>
              </wp:positionH>
              <wp:positionV relativeFrom="page">
                <wp:posOffset>9432545</wp:posOffset>
              </wp:positionV>
              <wp:extent cx="2206625" cy="181610"/>
              <wp:effectExtent l="0" t="0" r="0" b="0"/>
              <wp:wrapNone/>
              <wp:docPr id="155" name="Text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07"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06" id="Textbox 155" o:spid="_x0000_s1094" type="#_x0000_t202" style="position:absolute;margin-left:219.15pt;margin-top:742.7pt;width:173.75pt;height:14.3pt;z-index:-2721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JdUCNCZ&#10;AQAAIwMAAA4AAAAAAAAAAAAAAAAALgIAAGRycy9lMm9Eb2MueG1sUEsBAi0AFAAGAAgAAAAhAN6R&#10;NCbiAAAADQEAAA8AAAAAAAAAAAAAAAAA8wMAAGRycy9kb3ducmV2LnhtbFBLBQYAAAAABAAEAPMA&#10;AAACBQAAAAA=&#10;" filled="f" stroked="f">
              <v:textbox inset="0,0,0,0">
                <w:txbxContent>
                  <w:p w14:paraId="0DFDDE07"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097024" behindDoc="1" locked="0" layoutInCell="1" allowOverlap="1" wp14:anchorId="0DFDD908" wp14:editId="0DFDD909">
              <wp:simplePos x="0" y="0"/>
              <wp:positionH relativeFrom="page">
                <wp:posOffset>6123116</wp:posOffset>
              </wp:positionH>
              <wp:positionV relativeFrom="page">
                <wp:posOffset>9432545</wp:posOffset>
              </wp:positionV>
              <wp:extent cx="747395" cy="181610"/>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E08" w14:textId="77777777" w:rsidR="00046465" w:rsidRDefault="008134EB">
                          <w:pPr>
                            <w:pStyle w:val="BodyText"/>
                            <w:spacing w:before="12"/>
                            <w:ind w:left="20"/>
                          </w:pPr>
                          <w:r>
                            <w:t>Page</w:t>
                          </w:r>
                          <w:r>
                            <w:rPr>
                              <w:spacing w:val="-11"/>
                            </w:rPr>
                            <w:t xml:space="preserve"> </w:t>
                          </w:r>
                          <w:r>
                            <w:t>625-</w:t>
                          </w:r>
                          <w:r>
                            <w:rPr>
                              <w:spacing w:val="-10"/>
                            </w:rPr>
                            <w:t>1</w:t>
                          </w:r>
                        </w:p>
                      </w:txbxContent>
                    </wps:txbx>
                    <wps:bodyPr wrap="square" lIns="0" tIns="0" rIns="0" bIns="0" rtlCol="0">
                      <a:noAutofit/>
                    </wps:bodyPr>
                  </wps:wsp>
                </a:graphicData>
              </a:graphic>
            </wp:anchor>
          </w:drawing>
        </mc:Choice>
        <mc:Fallback>
          <w:pict>
            <v:shape w14:anchorId="0DFDD908" id="Textbox 156" o:spid="_x0000_s1095" type="#_x0000_t202" style="position:absolute;margin-left:482.15pt;margin-top:742.7pt;width:58.85pt;height:14.3pt;z-index:-272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" filled="f" stroked="f">
              <v:textbox inset="0,0,0,0">
                <w:txbxContent>
                  <w:p w14:paraId="0DFDDE08" w14:textId="77777777" w:rsidR="00046465" w:rsidRDefault="008134EB">
                    <w:pPr>
                      <w:pStyle w:val="BodyText"/>
                      <w:spacing w:before="12"/>
                      <w:ind w:left="20"/>
                    </w:pPr>
                    <w:r>
                      <w:t>Page</w:t>
                    </w:r>
                    <w:r>
                      <w:rPr>
                        <w:spacing w:val="-11"/>
                      </w:rPr>
                      <w:t xml:space="preserve"> </w:t>
                    </w:r>
                    <w:r>
                      <w:t>625-</w:t>
                    </w:r>
                    <w:r>
                      <w:rPr>
                        <w:spacing w:val="-10"/>
                      </w:rPr>
                      <w:t>1</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D"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99072" behindDoc="1" locked="0" layoutInCell="1" allowOverlap="1" wp14:anchorId="0DFDD910" wp14:editId="0DFDD911">
              <wp:simplePos x="0" y="0"/>
              <wp:positionH relativeFrom="page">
                <wp:posOffset>895350</wp:posOffset>
              </wp:positionH>
              <wp:positionV relativeFrom="page">
                <wp:posOffset>9400031</wp:posOffset>
              </wp:positionV>
              <wp:extent cx="5981700" cy="2857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B62503" id="Graphic 161" o:spid="_x0000_s1026" style="position:absolute;margin-left:70.5pt;margin-top:740.15pt;width:471pt;height:2.25pt;z-index:-2721740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99584" behindDoc="1" locked="0" layoutInCell="1" allowOverlap="1" wp14:anchorId="0DFDD912" wp14:editId="0DFDD913">
              <wp:simplePos x="0" y="0"/>
              <wp:positionH relativeFrom="page">
                <wp:posOffset>901700</wp:posOffset>
              </wp:positionH>
              <wp:positionV relativeFrom="page">
                <wp:posOffset>9432545</wp:posOffset>
              </wp:positionV>
              <wp:extent cx="678180" cy="18161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0B"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12" id="_x0000_t202" coordsize="21600,21600" o:spt="202" path="m,l,21600r21600,l21600,xe">
              <v:stroke joinstyle="miter"/>
              <v:path gradientshapeok="t" o:connecttype="rect"/>
            </v:shapetype>
            <v:shape id="Textbox 162" o:spid="_x0000_s1097" type="#_x0000_t202" style="position:absolute;margin-left:71pt;margin-top:742.7pt;width:53.4pt;height:14.3pt;z-index:-2721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DlG1imAEA&#10;ACIDAAAOAAAAAAAAAAAAAAAAAC4CAABkcnMvZTJvRG9jLnhtbFBLAQItABQABgAIAAAAIQCuavdD&#10;4QAAAA0BAAAPAAAAAAAAAAAAAAAAAPIDAABkcnMvZG93bnJldi54bWxQSwUGAAAAAAQABADzAAAA&#10;AAUAAAAA&#10;" filled="f" stroked="f">
              <v:textbox inset="0,0,0,0">
                <w:txbxContent>
                  <w:p w14:paraId="0DFDDE0B"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00096" behindDoc="1" locked="0" layoutInCell="1" allowOverlap="1" wp14:anchorId="0DFDD914" wp14:editId="0DFDD915">
              <wp:simplePos x="0" y="0"/>
              <wp:positionH relativeFrom="page">
                <wp:posOffset>2783105</wp:posOffset>
              </wp:positionH>
              <wp:positionV relativeFrom="page">
                <wp:posOffset>9432545</wp:posOffset>
              </wp:positionV>
              <wp:extent cx="2206625" cy="18161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0C"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14" id="Textbox 163" o:spid="_x0000_s1098" type="#_x0000_t202" style="position:absolute;margin-left:219.15pt;margin-top:742.7pt;width:173.75pt;height:14.3pt;z-index:-272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EhSHOCZ&#10;AQAAIwMAAA4AAAAAAAAAAAAAAAAALgIAAGRycy9lMm9Eb2MueG1sUEsBAi0AFAAGAAgAAAAhAN6R&#10;NCbiAAAADQEAAA8AAAAAAAAAAAAAAAAA8wMAAGRycy9kb3ducmV2LnhtbFBLBQYAAAAABAAEAPMA&#10;AAACBQAAAAA=&#10;" filled="f" stroked="f">
              <v:textbox inset="0,0,0,0">
                <w:txbxContent>
                  <w:p w14:paraId="0DFDDE0C"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00608" behindDoc="1" locked="0" layoutInCell="1" allowOverlap="1" wp14:anchorId="0DFDD916" wp14:editId="0DFDD917">
              <wp:simplePos x="0" y="0"/>
              <wp:positionH relativeFrom="page">
                <wp:posOffset>6123116</wp:posOffset>
              </wp:positionH>
              <wp:positionV relativeFrom="page">
                <wp:posOffset>9432545</wp:posOffset>
              </wp:positionV>
              <wp:extent cx="785495" cy="1816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0D" w14:textId="77777777" w:rsidR="00046465" w:rsidRDefault="008134EB">
                          <w:pPr>
                            <w:pStyle w:val="BodyText"/>
                            <w:spacing w:before="12"/>
                            <w:ind w:left="20"/>
                          </w:pPr>
                          <w:r>
                            <w:t>Page</w:t>
                          </w:r>
                          <w:r>
                            <w:rPr>
                              <w:spacing w:val="-11"/>
                            </w:rPr>
                            <w:t xml:space="preserve"> </w:t>
                          </w:r>
                          <w:r>
                            <w:t>625-</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916" id="Textbox 164" o:spid="_x0000_s1099" type="#_x0000_t202" style="position:absolute;margin-left:482.15pt;margin-top:742.7pt;width:61.85pt;height:14.3pt;z-index:-2721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" filled="f" stroked="f">
              <v:textbox inset="0,0,0,0">
                <w:txbxContent>
                  <w:p w14:paraId="0DFDDE0D" w14:textId="77777777" w:rsidR="00046465" w:rsidRDefault="008134EB">
                    <w:pPr>
                      <w:pStyle w:val="BodyText"/>
                      <w:spacing w:before="12"/>
                      <w:ind w:left="20"/>
                    </w:pPr>
                    <w:r>
                      <w:t>Page</w:t>
                    </w:r>
                    <w:r>
                      <w:rPr>
                        <w:spacing w:val="-11"/>
                      </w:rPr>
                      <w:t xml:space="preserve"> </w:t>
                    </w:r>
                    <w:r>
                      <w:t>625-</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F"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02656" behindDoc="1" locked="0" layoutInCell="1" allowOverlap="1" wp14:anchorId="0DFDD91E" wp14:editId="0DFDD91F">
              <wp:simplePos x="0" y="0"/>
              <wp:positionH relativeFrom="page">
                <wp:posOffset>895350</wp:posOffset>
              </wp:positionH>
              <wp:positionV relativeFrom="page">
                <wp:posOffset>9400031</wp:posOffset>
              </wp:positionV>
              <wp:extent cx="5981700" cy="2857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499AAA" id="Graphic 168" o:spid="_x0000_s1026" style="position:absolute;margin-left:70.5pt;margin-top:740.15pt;width:471pt;height:2.25pt;z-index:-272138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03168" behindDoc="1" locked="0" layoutInCell="1" allowOverlap="1" wp14:anchorId="0DFDD920" wp14:editId="0DFDD921">
              <wp:simplePos x="0" y="0"/>
              <wp:positionH relativeFrom="page">
                <wp:posOffset>901700</wp:posOffset>
              </wp:positionH>
              <wp:positionV relativeFrom="page">
                <wp:posOffset>9432545</wp:posOffset>
              </wp:positionV>
              <wp:extent cx="678180" cy="1816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10"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20" id="_x0000_t202" coordsize="21600,21600" o:spt="202" path="m,l,21600r21600,l21600,xe">
              <v:stroke joinstyle="miter"/>
              <v:path gradientshapeok="t" o:connecttype="rect"/>
            </v:shapetype>
            <v:shape id="Textbox 169" o:spid="_x0000_s1101" type="#_x0000_t202" style="position:absolute;margin-left:71pt;margin-top:742.7pt;width:53.4pt;height:14.3pt;z-index:-272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69/mAEAACIDAAAOAAAAZHJzL2Uyb0RvYy54bWysUs2O0zAQviPxDpbv1M1KW6q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V+3W15o7hVrWuVlXxW10PR6T0xYIXuWgk&#10;clyFgD4+UMrX6/o8MnN5vj4TSdNuEn3byNvbnGLe2kF7Yi0jx9lI+n3QaKUYvgb2K2d/LvBc7M4F&#10;puETlBeSJQX4cEjg+sLgijsz4CAKsfnR5KT//i9T16e9/QM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e869/mAEA&#10;ACIDAAAOAAAAAAAAAAAAAAAAAC4CAABkcnMvZTJvRG9jLnhtbFBLAQItABQABgAIAAAAIQCuavdD&#10;4QAAAA0BAAAPAAAAAAAAAAAAAAAAAPIDAABkcnMvZG93bnJldi54bWxQSwUGAAAAAAQABADzAAAA&#10;AAUAAAAA&#10;" filled="f" stroked="f">
              <v:textbox inset="0,0,0,0">
                <w:txbxContent>
                  <w:p w14:paraId="0DFDDE10"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03680" behindDoc="1" locked="0" layoutInCell="1" allowOverlap="1" wp14:anchorId="0DFDD922" wp14:editId="0DFDD923">
              <wp:simplePos x="0" y="0"/>
              <wp:positionH relativeFrom="page">
                <wp:posOffset>2783105</wp:posOffset>
              </wp:positionH>
              <wp:positionV relativeFrom="page">
                <wp:posOffset>9432545</wp:posOffset>
              </wp:positionV>
              <wp:extent cx="2206625" cy="18161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11"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22" id="Textbox 170" o:spid="_x0000_s1102" type="#_x0000_t202" style="position:absolute;margin-left:219.15pt;margin-top:742.7pt;width:173.75pt;height:14.3pt;z-index:-272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FTXe/ZgB&#10;AAAjAwAADgAAAAAAAAAAAAAAAAAuAgAAZHJzL2Uyb0RvYy54bWxQSwECLQAUAAYACAAAACEA3pE0&#10;JuIAAAANAQAADwAAAAAAAAAAAAAAAADyAwAAZHJzL2Rvd25yZXYueG1sUEsFBgAAAAAEAAQA8wAA&#10;AAEFAAAAAA==&#10;" filled="f" stroked="f">
              <v:textbox inset="0,0,0,0">
                <w:txbxContent>
                  <w:p w14:paraId="0DFDDE11"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04192" behindDoc="1" locked="0" layoutInCell="1" allowOverlap="1" wp14:anchorId="0DFDD924" wp14:editId="0DFDD925">
              <wp:simplePos x="0" y="0"/>
              <wp:positionH relativeFrom="page">
                <wp:posOffset>6123116</wp:posOffset>
              </wp:positionH>
              <wp:positionV relativeFrom="page">
                <wp:posOffset>9432545</wp:posOffset>
              </wp:positionV>
              <wp:extent cx="747395" cy="18161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E12" w14:textId="77777777" w:rsidR="00046465" w:rsidRDefault="008134EB">
                          <w:pPr>
                            <w:pStyle w:val="BodyText"/>
                            <w:spacing w:before="12"/>
                            <w:ind w:left="20"/>
                          </w:pPr>
                          <w:r>
                            <w:t>Page</w:t>
                          </w:r>
                          <w:r>
                            <w:rPr>
                              <w:spacing w:val="-11"/>
                            </w:rPr>
                            <w:t xml:space="preserve"> </w:t>
                          </w:r>
                          <w:r>
                            <w:t>630-</w:t>
                          </w:r>
                          <w:r>
                            <w:rPr>
                              <w:spacing w:val="-10"/>
                            </w:rPr>
                            <w:t>1</w:t>
                          </w:r>
                        </w:p>
                      </w:txbxContent>
                    </wps:txbx>
                    <wps:bodyPr wrap="square" lIns="0" tIns="0" rIns="0" bIns="0" rtlCol="0">
                      <a:noAutofit/>
                    </wps:bodyPr>
                  </wps:wsp>
                </a:graphicData>
              </a:graphic>
            </wp:anchor>
          </w:drawing>
        </mc:Choice>
        <mc:Fallback>
          <w:pict>
            <v:shape w14:anchorId="0DFDD924" id="Textbox 171" o:spid="_x0000_s1103" type="#_x0000_t202" style="position:absolute;margin-left:482.15pt;margin-top:742.7pt;width:58.85pt;height:14.3pt;z-index:-272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" filled="f" stroked="f">
              <v:textbox inset="0,0,0,0">
                <w:txbxContent>
                  <w:p w14:paraId="0DFDDE12" w14:textId="77777777" w:rsidR="00046465" w:rsidRDefault="008134EB">
                    <w:pPr>
                      <w:pStyle w:val="BodyText"/>
                      <w:spacing w:before="12"/>
                      <w:ind w:left="20"/>
                    </w:pPr>
                    <w:r>
                      <w:t>Page</w:t>
                    </w:r>
                    <w:r>
                      <w:rPr>
                        <w:spacing w:val="-11"/>
                      </w:rPr>
                      <w:t xml:space="preserve"> </w:t>
                    </w:r>
                    <w:r>
                      <w:t>630-</w:t>
                    </w:r>
                    <w:r>
                      <w:rPr>
                        <w:spacing w:val="-10"/>
                      </w:rPr>
                      <w:t>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1"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06240" behindDoc="1" locked="0" layoutInCell="1" allowOverlap="1" wp14:anchorId="0DFDD92C" wp14:editId="0DFDD92D">
              <wp:simplePos x="0" y="0"/>
              <wp:positionH relativeFrom="page">
                <wp:posOffset>895350</wp:posOffset>
              </wp:positionH>
              <wp:positionV relativeFrom="page">
                <wp:posOffset>9400031</wp:posOffset>
              </wp:positionV>
              <wp:extent cx="5981700" cy="28575"/>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77111D" id="Graphic 176" o:spid="_x0000_s1026" style="position:absolute;margin-left:70.5pt;margin-top:740.15pt;width:471pt;height:2.25pt;z-index:-272102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06752" behindDoc="1" locked="0" layoutInCell="1" allowOverlap="1" wp14:anchorId="0DFDD92E" wp14:editId="0DFDD92F">
              <wp:simplePos x="0" y="0"/>
              <wp:positionH relativeFrom="page">
                <wp:posOffset>901700</wp:posOffset>
              </wp:positionH>
              <wp:positionV relativeFrom="page">
                <wp:posOffset>9432545</wp:posOffset>
              </wp:positionV>
              <wp:extent cx="678180" cy="18161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15"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2E" id="_x0000_t202" coordsize="21600,21600" o:spt="202" path="m,l,21600r21600,l21600,xe">
              <v:stroke joinstyle="miter"/>
              <v:path gradientshapeok="t" o:connecttype="rect"/>
            </v:shapetype>
            <v:shape id="Textbox 177" o:spid="_x0000_s1105" type="#_x0000_t202" style="position:absolute;margin-left:71pt;margin-top:742.7pt;width:53.4pt;height:14.3pt;z-index:-2720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5WulZmAEA&#10;ACIDAAAOAAAAAAAAAAAAAAAAAC4CAABkcnMvZTJvRG9jLnhtbFBLAQItABQABgAIAAAAIQCuavdD&#10;4QAAAA0BAAAPAAAAAAAAAAAAAAAAAPIDAABkcnMvZG93bnJldi54bWxQSwUGAAAAAAQABADzAAAA&#10;AAUAAAAA&#10;" filled="f" stroked="f">
              <v:textbox inset="0,0,0,0">
                <w:txbxContent>
                  <w:p w14:paraId="0DFDDE15"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07264" behindDoc="1" locked="0" layoutInCell="1" allowOverlap="1" wp14:anchorId="0DFDD930" wp14:editId="0DFDD931">
              <wp:simplePos x="0" y="0"/>
              <wp:positionH relativeFrom="page">
                <wp:posOffset>2783105</wp:posOffset>
              </wp:positionH>
              <wp:positionV relativeFrom="page">
                <wp:posOffset>9432545</wp:posOffset>
              </wp:positionV>
              <wp:extent cx="2206625" cy="18161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16"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30" id="Textbox 178" o:spid="_x0000_s1106" type="#_x0000_t202" style="position:absolute;margin-left:219.15pt;margin-top:742.7pt;width:173.75pt;height:14.3pt;z-index:-272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um1v4ZgB&#10;AAAjAwAADgAAAAAAAAAAAAAAAAAuAgAAZHJzL2Uyb0RvYy54bWxQSwECLQAUAAYACAAAACEA3pE0&#10;JuIAAAANAQAADwAAAAAAAAAAAAAAAADyAwAAZHJzL2Rvd25yZXYueG1sUEsFBgAAAAAEAAQA8wAA&#10;AAEFAAAAAA==&#10;" filled="f" stroked="f">
              <v:textbox inset="0,0,0,0">
                <w:txbxContent>
                  <w:p w14:paraId="0DFDDE16"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07776" behindDoc="1" locked="0" layoutInCell="1" allowOverlap="1" wp14:anchorId="0DFDD932" wp14:editId="0DFDD933">
              <wp:simplePos x="0" y="0"/>
              <wp:positionH relativeFrom="page">
                <wp:posOffset>6045444</wp:posOffset>
              </wp:positionH>
              <wp:positionV relativeFrom="page">
                <wp:posOffset>9432545</wp:posOffset>
              </wp:positionV>
              <wp:extent cx="863600" cy="18161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0DFDDE17" w14:textId="77777777" w:rsidR="00046465" w:rsidRDefault="008134EB">
                          <w:pPr>
                            <w:pStyle w:val="BodyText"/>
                            <w:spacing w:before="12"/>
                            <w:ind w:left="20"/>
                          </w:pPr>
                          <w:r>
                            <w:t>Page</w:t>
                          </w:r>
                          <w:r>
                            <w:rPr>
                              <w:spacing w:val="-11"/>
                            </w:rPr>
                            <w:t xml:space="preserve"> </w:t>
                          </w:r>
                          <w:r>
                            <w:t>630-</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0DFDD932" id="Textbox 179" o:spid="_x0000_s1107" type="#_x0000_t202" style="position:absolute;margin-left:476pt;margin-top:742.7pt;width:68pt;height:14.3pt;z-index:-272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" filled="f" stroked="f">
              <v:textbox inset="0,0,0,0">
                <w:txbxContent>
                  <w:p w14:paraId="0DFDDE17" w14:textId="77777777" w:rsidR="00046465" w:rsidRDefault="008134EB">
                    <w:pPr>
                      <w:pStyle w:val="BodyText"/>
                      <w:spacing w:before="12"/>
                      <w:ind w:left="20"/>
                    </w:pPr>
                    <w:r>
                      <w:t>Page</w:t>
                    </w:r>
                    <w:r>
                      <w:rPr>
                        <w:spacing w:val="-11"/>
                      </w:rPr>
                      <w:t xml:space="preserve"> </w:t>
                    </w:r>
                    <w:r>
                      <w:t>630-</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3"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09824" behindDoc="1" locked="0" layoutInCell="1" allowOverlap="1" wp14:anchorId="0DFDD93A" wp14:editId="0DFDD93B">
              <wp:simplePos x="0" y="0"/>
              <wp:positionH relativeFrom="page">
                <wp:posOffset>895350</wp:posOffset>
              </wp:positionH>
              <wp:positionV relativeFrom="page">
                <wp:posOffset>9400031</wp:posOffset>
              </wp:positionV>
              <wp:extent cx="5981700" cy="28575"/>
              <wp:effectExtent l="0" t="0" r="0" b="0"/>
              <wp:wrapNone/>
              <wp:docPr id="185" name="Graphic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A7E4A0" id="Graphic 185" o:spid="_x0000_s1026" style="position:absolute;margin-left:70.5pt;margin-top:740.15pt;width:471pt;height:2.25pt;z-index:-272066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10336" behindDoc="1" locked="0" layoutInCell="1" allowOverlap="1" wp14:anchorId="0DFDD93C" wp14:editId="0DFDD93D">
              <wp:simplePos x="0" y="0"/>
              <wp:positionH relativeFrom="page">
                <wp:posOffset>901700</wp:posOffset>
              </wp:positionH>
              <wp:positionV relativeFrom="page">
                <wp:posOffset>9432545</wp:posOffset>
              </wp:positionV>
              <wp:extent cx="678180" cy="181610"/>
              <wp:effectExtent l="0" t="0" r="0" b="0"/>
              <wp:wrapNone/>
              <wp:docPr id="186" name="Text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1A"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3C" id="_x0000_t202" coordsize="21600,21600" o:spt="202" path="m,l,21600r21600,l21600,xe">
              <v:stroke joinstyle="miter"/>
              <v:path gradientshapeok="t" o:connecttype="rect"/>
            </v:shapetype>
            <v:shape id="Textbox 186" o:spid="_x0000_s1109" type="#_x0000_t202" style="position:absolute;margin-left:71pt;margin-top:742.7pt;width:53.4pt;height:14.3pt;z-index:-272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xqx5jmAEA&#10;ACIDAAAOAAAAAAAAAAAAAAAAAC4CAABkcnMvZTJvRG9jLnhtbFBLAQItABQABgAIAAAAIQCuavdD&#10;4QAAAA0BAAAPAAAAAAAAAAAAAAAAAPIDAABkcnMvZG93bnJldi54bWxQSwUGAAAAAAQABADzAAAA&#10;AAUAAAAA&#10;" filled="f" stroked="f">
              <v:textbox inset="0,0,0,0">
                <w:txbxContent>
                  <w:p w14:paraId="0DFDDE1A"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10848" behindDoc="1" locked="0" layoutInCell="1" allowOverlap="1" wp14:anchorId="0DFDD93E" wp14:editId="0DFDD93F">
              <wp:simplePos x="0" y="0"/>
              <wp:positionH relativeFrom="page">
                <wp:posOffset>2783105</wp:posOffset>
              </wp:positionH>
              <wp:positionV relativeFrom="page">
                <wp:posOffset>9432545</wp:posOffset>
              </wp:positionV>
              <wp:extent cx="2206625" cy="18161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1B"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3E" id="Textbox 187" o:spid="_x0000_s1110" type="#_x0000_t202" style="position:absolute;margin-left:219.15pt;margin-top:742.7pt;width:173.75pt;height:14.3pt;z-index:-272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5wqt/JgB&#10;AAAjAwAADgAAAAAAAAAAAAAAAAAuAgAAZHJzL2Uyb0RvYy54bWxQSwECLQAUAAYACAAAACEA3pE0&#10;JuIAAAANAQAADwAAAAAAAAAAAAAAAADyAwAAZHJzL2Rvd25yZXYueG1sUEsFBgAAAAAEAAQA8wAA&#10;AAEFAAAAAA==&#10;" filled="f" stroked="f">
              <v:textbox inset="0,0,0,0">
                <w:txbxContent>
                  <w:p w14:paraId="0DFDDE1B"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11360" behindDoc="1" locked="0" layoutInCell="1" allowOverlap="1" wp14:anchorId="0DFDD940" wp14:editId="0DFDD941">
              <wp:simplePos x="0" y="0"/>
              <wp:positionH relativeFrom="page">
                <wp:posOffset>6123116</wp:posOffset>
              </wp:positionH>
              <wp:positionV relativeFrom="page">
                <wp:posOffset>9432545</wp:posOffset>
              </wp:positionV>
              <wp:extent cx="747395" cy="181610"/>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E1C" w14:textId="77777777" w:rsidR="00046465" w:rsidRDefault="008134EB">
                          <w:pPr>
                            <w:pStyle w:val="BodyText"/>
                            <w:spacing w:before="12"/>
                            <w:ind w:left="20"/>
                          </w:pPr>
                          <w:r>
                            <w:t>Page</w:t>
                          </w:r>
                          <w:r>
                            <w:rPr>
                              <w:spacing w:val="-11"/>
                            </w:rPr>
                            <w:t xml:space="preserve"> </w:t>
                          </w:r>
                          <w:r>
                            <w:t>640-</w:t>
                          </w:r>
                          <w:r>
                            <w:rPr>
                              <w:spacing w:val="-10"/>
                            </w:rPr>
                            <w:t>1</w:t>
                          </w:r>
                        </w:p>
                      </w:txbxContent>
                    </wps:txbx>
                    <wps:bodyPr wrap="square" lIns="0" tIns="0" rIns="0" bIns="0" rtlCol="0">
                      <a:noAutofit/>
                    </wps:bodyPr>
                  </wps:wsp>
                </a:graphicData>
              </a:graphic>
            </wp:anchor>
          </w:drawing>
        </mc:Choice>
        <mc:Fallback>
          <w:pict>
            <v:shape w14:anchorId="0DFDD940" id="Textbox 188" o:spid="_x0000_s1111" type="#_x0000_t202" style="position:absolute;margin-left:482.15pt;margin-top:742.7pt;width:58.85pt;height:14.3pt;z-index:-2720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" filled="f" stroked="f">
              <v:textbox inset="0,0,0,0">
                <w:txbxContent>
                  <w:p w14:paraId="0DFDDE1C" w14:textId="77777777" w:rsidR="00046465" w:rsidRDefault="008134EB">
                    <w:pPr>
                      <w:pStyle w:val="BodyText"/>
                      <w:spacing w:before="12"/>
                      <w:ind w:left="20"/>
                    </w:pPr>
                    <w:r>
                      <w:t>Page</w:t>
                    </w:r>
                    <w:r>
                      <w:rPr>
                        <w:spacing w:val="-11"/>
                      </w:rPr>
                      <w:t xml:space="preserve"> </w:t>
                    </w:r>
                    <w:r>
                      <w:t>640-</w:t>
                    </w:r>
                    <w:r>
                      <w:rPr>
                        <w:spacing w:val="-10"/>
                      </w:rPr>
                      <w:t>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1"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56064" behindDoc="1" locked="0" layoutInCell="1" allowOverlap="1" wp14:anchorId="0DFDD868" wp14:editId="0DFDD869">
              <wp:simplePos x="0" y="0"/>
              <wp:positionH relativeFrom="page">
                <wp:posOffset>895350</wp:posOffset>
              </wp:positionH>
              <wp:positionV relativeFrom="page">
                <wp:posOffset>9432035</wp:posOffset>
              </wp:positionV>
              <wp:extent cx="5981700" cy="2857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D02907" id="Graphic 33" o:spid="_x0000_s1026" style="position:absolute;margin-left:70.5pt;margin-top:742.7pt;width:471pt;height:2.25pt;z-index:-272604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56576" behindDoc="1" locked="0" layoutInCell="1" allowOverlap="1" wp14:anchorId="0DFDD86A" wp14:editId="0DFDD86B">
              <wp:simplePos x="0" y="0"/>
              <wp:positionH relativeFrom="page">
                <wp:posOffset>901700</wp:posOffset>
              </wp:positionH>
              <wp:positionV relativeFrom="page">
                <wp:posOffset>9464554</wp:posOffset>
              </wp:positionV>
              <wp:extent cx="678180" cy="1816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DD3"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86A" id="_x0000_t202" coordsize="21600,21600" o:spt="202" path="m,l,21600r21600,l21600,xe">
              <v:stroke joinstyle="miter"/>
              <v:path gradientshapeok="t" o:connecttype="rect"/>
            </v:shapetype>
            <v:shape id="Textbox 34" o:spid="_x0000_s1049" type="#_x0000_t202" style="position:absolute;margin-left:71pt;margin-top:745.25pt;width:53.4pt;height:14.3pt;z-index:-2725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" filled="f" stroked="f">
              <v:textbox inset="0,0,0,0">
                <w:txbxContent>
                  <w:p w14:paraId="0DFDDDD3"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057088" behindDoc="1" locked="0" layoutInCell="1" allowOverlap="1" wp14:anchorId="0DFDD86C" wp14:editId="0DFDD86D">
              <wp:simplePos x="0" y="0"/>
              <wp:positionH relativeFrom="page">
                <wp:posOffset>2782386</wp:posOffset>
              </wp:positionH>
              <wp:positionV relativeFrom="page">
                <wp:posOffset>9464554</wp:posOffset>
              </wp:positionV>
              <wp:extent cx="2207895" cy="1816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895" cy="181610"/>
                      </a:xfrm>
                      <a:prstGeom prst="rect">
                        <a:avLst/>
                      </a:prstGeom>
                    </wps:spPr>
                    <wps:txbx>
                      <w:txbxContent>
                        <w:p w14:paraId="0DFDDDD4" w14:textId="77777777" w:rsidR="00046465" w:rsidRDefault="008134EB">
                          <w:pPr>
                            <w:pStyle w:val="BodyText"/>
                            <w:spacing w:before="12"/>
                            <w:ind w:left="20"/>
                          </w:pPr>
                          <w:r>
                            <w:t>GAO/CIGIE</w:t>
                          </w:r>
                          <w:r>
                            <w:rPr>
                              <w:spacing w:val="-9"/>
                            </w:rPr>
                            <w:t xml:space="preserve"> </w:t>
                          </w:r>
                          <w:r>
                            <w:t>Financial</w:t>
                          </w:r>
                          <w:r>
                            <w:rPr>
                              <w:spacing w:val="-8"/>
                            </w:rPr>
                            <w:t xml:space="preserve"> </w:t>
                          </w:r>
                          <w:r>
                            <w:t>Audit</w:t>
                          </w:r>
                          <w:r>
                            <w:rPr>
                              <w:spacing w:val="-8"/>
                            </w:rPr>
                            <w:t xml:space="preserve"> </w:t>
                          </w:r>
                          <w:r>
                            <w:rPr>
                              <w:spacing w:val="-2"/>
                            </w:rPr>
                            <w:t>Manual</w:t>
                          </w:r>
                        </w:p>
                      </w:txbxContent>
                    </wps:txbx>
                    <wps:bodyPr wrap="square" lIns="0" tIns="0" rIns="0" bIns="0" rtlCol="0">
                      <a:noAutofit/>
                    </wps:bodyPr>
                  </wps:wsp>
                </a:graphicData>
              </a:graphic>
            </wp:anchor>
          </w:drawing>
        </mc:Choice>
        <mc:Fallback>
          <w:pict>
            <v:shape w14:anchorId="0DFDD86C" id="Textbox 35" o:spid="_x0000_s1050" type="#_x0000_t202" style="position:absolute;margin-left:219.1pt;margin-top:745.25pt;width:173.85pt;height:14.3pt;z-index:-2725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" filled="f" stroked="f">
              <v:textbox inset="0,0,0,0">
                <w:txbxContent>
                  <w:p w14:paraId="0DFDDDD4" w14:textId="77777777" w:rsidR="00046465" w:rsidRDefault="008134EB">
                    <w:pPr>
                      <w:pStyle w:val="BodyText"/>
                      <w:spacing w:before="12"/>
                      <w:ind w:left="20"/>
                    </w:pPr>
                    <w:r>
                      <w:t>GAO/CIGIE</w:t>
                    </w:r>
                    <w:r>
                      <w:rPr>
                        <w:spacing w:val="-9"/>
                      </w:rPr>
                      <w:t xml:space="preserve"> </w:t>
                    </w:r>
                    <w:r>
                      <w:t>Financial</w:t>
                    </w:r>
                    <w:r>
                      <w:rPr>
                        <w:spacing w:val="-8"/>
                      </w:rPr>
                      <w:t xml:space="preserve"> </w:t>
                    </w:r>
                    <w:r>
                      <w:t>Audit</w:t>
                    </w:r>
                    <w:r>
                      <w:rPr>
                        <w:spacing w:val="-8"/>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057600" behindDoc="1" locked="0" layoutInCell="1" allowOverlap="1" wp14:anchorId="0DFDD86E" wp14:editId="0DFDD86F">
              <wp:simplePos x="0" y="0"/>
              <wp:positionH relativeFrom="page">
                <wp:posOffset>6161862</wp:posOffset>
              </wp:positionH>
              <wp:positionV relativeFrom="page">
                <wp:posOffset>9464554</wp:posOffset>
              </wp:positionV>
              <wp:extent cx="708660" cy="18161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81610"/>
                      </a:xfrm>
                      <a:prstGeom prst="rect">
                        <a:avLst/>
                      </a:prstGeom>
                    </wps:spPr>
                    <wps:txbx>
                      <w:txbxContent>
                        <w:p w14:paraId="0DFDDDD5" w14:textId="77777777" w:rsidR="00046465" w:rsidRDefault="008134EB">
                          <w:pPr>
                            <w:pStyle w:val="BodyText"/>
                            <w:spacing w:before="12"/>
                            <w:ind w:left="20"/>
                          </w:pPr>
                          <w:r>
                            <w:rPr>
                              <w:spacing w:val="-2"/>
                            </w:rPr>
                            <w:t>Changes-</w:t>
                          </w:r>
                          <w:r>
                            <w:rPr>
                              <w:spacing w:val="-10"/>
                            </w:rPr>
                            <w:t>1</w:t>
                          </w:r>
                        </w:p>
                      </w:txbxContent>
                    </wps:txbx>
                    <wps:bodyPr wrap="square" lIns="0" tIns="0" rIns="0" bIns="0" rtlCol="0">
                      <a:noAutofit/>
                    </wps:bodyPr>
                  </wps:wsp>
                </a:graphicData>
              </a:graphic>
            </wp:anchor>
          </w:drawing>
        </mc:Choice>
        <mc:Fallback>
          <w:pict>
            <v:shape w14:anchorId="0DFDD86E" id="Textbox 36" o:spid="_x0000_s1051" type="#_x0000_t202" style="position:absolute;margin-left:485.2pt;margin-top:745.25pt;width:55.8pt;height:14.3pt;z-index:-2725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" filled="f" stroked="f">
              <v:textbox inset="0,0,0,0">
                <w:txbxContent>
                  <w:p w14:paraId="0DFDDDD5" w14:textId="77777777" w:rsidR="00046465" w:rsidRDefault="008134EB">
                    <w:pPr>
                      <w:pStyle w:val="BodyText"/>
                      <w:spacing w:before="12"/>
                      <w:ind w:left="20"/>
                    </w:pPr>
                    <w:r>
                      <w:rPr>
                        <w:spacing w:val="-2"/>
                      </w:rPr>
                      <w:t>Changes-</w:t>
                    </w:r>
                    <w:r>
                      <w:rPr>
                        <w:spacing w:val="-10"/>
                      </w:rPr>
                      <w:t>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5"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13408" behindDoc="1" locked="0" layoutInCell="1" allowOverlap="1" wp14:anchorId="0DFDD948" wp14:editId="0DFDD949">
              <wp:simplePos x="0" y="0"/>
              <wp:positionH relativeFrom="page">
                <wp:posOffset>895350</wp:posOffset>
              </wp:positionH>
              <wp:positionV relativeFrom="page">
                <wp:posOffset>9400031</wp:posOffset>
              </wp:positionV>
              <wp:extent cx="5981700" cy="28575"/>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197032" id="Graphic 193" o:spid="_x0000_s1026" style="position:absolute;margin-left:70.5pt;margin-top:740.15pt;width:471pt;height:2.25pt;z-index:-272030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13920" behindDoc="1" locked="0" layoutInCell="1" allowOverlap="1" wp14:anchorId="0DFDD94A" wp14:editId="0DFDD94B">
              <wp:simplePos x="0" y="0"/>
              <wp:positionH relativeFrom="page">
                <wp:posOffset>901700</wp:posOffset>
              </wp:positionH>
              <wp:positionV relativeFrom="page">
                <wp:posOffset>9432545</wp:posOffset>
              </wp:positionV>
              <wp:extent cx="678180" cy="181610"/>
              <wp:effectExtent l="0" t="0" r="0" b="0"/>
              <wp:wrapNone/>
              <wp:docPr id="194" name="Text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1F"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4A" id="_x0000_t202" coordsize="21600,21600" o:spt="202" path="m,l,21600r21600,l21600,xe">
              <v:stroke joinstyle="miter"/>
              <v:path gradientshapeok="t" o:connecttype="rect"/>
            </v:shapetype>
            <v:shape id="Textbox 194" o:spid="_x0000_s1113" type="#_x0000_t202" style="position:absolute;margin-left:71pt;margin-top:742.7pt;width:53.4pt;height:14.3pt;z-index:-2720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KzM3H6XAQAA&#10;IgMAAA4AAAAAAAAAAAAAAAAALgIAAGRycy9lMm9Eb2MueG1sUEsBAi0AFAAGAAgAAAAhAK5q90Ph&#10;AAAADQEAAA8AAAAAAAAAAAAAAAAA8QMAAGRycy9kb3ducmV2LnhtbFBLBQYAAAAABAAEAPMAAAD/&#10;BAAAAAA=&#10;" filled="f" stroked="f">
              <v:textbox inset="0,0,0,0">
                <w:txbxContent>
                  <w:p w14:paraId="0DFDDE1F"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14432" behindDoc="1" locked="0" layoutInCell="1" allowOverlap="1" wp14:anchorId="0DFDD94C" wp14:editId="0DFDD94D">
              <wp:simplePos x="0" y="0"/>
              <wp:positionH relativeFrom="page">
                <wp:posOffset>2783105</wp:posOffset>
              </wp:positionH>
              <wp:positionV relativeFrom="page">
                <wp:posOffset>9432545</wp:posOffset>
              </wp:positionV>
              <wp:extent cx="2206625" cy="181610"/>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20"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4C" id="Textbox 195" o:spid="_x0000_s1114" type="#_x0000_t202" style="position:absolute;margin-left:219.15pt;margin-top:742.7pt;width:173.75pt;height:14.3pt;z-index:-2720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ACj69qZ&#10;AQAAIwMAAA4AAAAAAAAAAAAAAAAALgIAAGRycy9lMm9Eb2MueG1sUEsBAi0AFAAGAAgAAAAhAN6R&#10;NCbiAAAADQEAAA8AAAAAAAAAAAAAAAAA8wMAAGRycy9kb3ducmV2LnhtbFBLBQYAAAAABAAEAPMA&#10;AAACBQAAAAA=&#10;" filled="f" stroked="f">
              <v:textbox inset="0,0,0,0">
                <w:txbxContent>
                  <w:p w14:paraId="0DFDDE20"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14944" behindDoc="1" locked="0" layoutInCell="1" allowOverlap="1" wp14:anchorId="0DFDD94E" wp14:editId="0DFDD94F">
              <wp:simplePos x="0" y="0"/>
              <wp:positionH relativeFrom="page">
                <wp:posOffset>6123116</wp:posOffset>
              </wp:positionH>
              <wp:positionV relativeFrom="page">
                <wp:posOffset>9432545</wp:posOffset>
              </wp:positionV>
              <wp:extent cx="785495" cy="18161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21" w14:textId="77777777" w:rsidR="00046465" w:rsidRDefault="008134EB">
                          <w:pPr>
                            <w:pStyle w:val="BodyText"/>
                            <w:spacing w:before="12"/>
                            <w:ind w:left="20"/>
                          </w:pPr>
                          <w:r>
                            <w:t>Page</w:t>
                          </w:r>
                          <w:r>
                            <w:rPr>
                              <w:spacing w:val="-11"/>
                            </w:rPr>
                            <w:t xml:space="preserve"> </w:t>
                          </w:r>
                          <w:r>
                            <w:t>640-</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94E" id="Textbox 196" o:spid="_x0000_s1115" type="#_x0000_t202" style="position:absolute;margin-left:482.15pt;margin-top:742.7pt;width:61.85pt;height:14.3pt;z-index:-272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" filled="f" stroked="f">
              <v:textbox inset="0,0,0,0">
                <w:txbxContent>
                  <w:p w14:paraId="0DFDDE21" w14:textId="77777777" w:rsidR="00046465" w:rsidRDefault="008134EB">
                    <w:pPr>
                      <w:pStyle w:val="BodyText"/>
                      <w:spacing w:before="12"/>
                      <w:ind w:left="20"/>
                    </w:pPr>
                    <w:r>
                      <w:t>Page</w:t>
                    </w:r>
                    <w:r>
                      <w:rPr>
                        <w:spacing w:val="-11"/>
                      </w:rPr>
                      <w:t xml:space="preserve"> </w:t>
                    </w:r>
                    <w:r>
                      <w:t>640-</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7"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16480" behindDoc="1" locked="0" layoutInCell="1" allowOverlap="1" wp14:anchorId="0DFDD954" wp14:editId="0DFDD955">
              <wp:simplePos x="0" y="0"/>
              <wp:positionH relativeFrom="page">
                <wp:posOffset>895350</wp:posOffset>
              </wp:positionH>
              <wp:positionV relativeFrom="page">
                <wp:posOffset>9400031</wp:posOffset>
              </wp:positionV>
              <wp:extent cx="5981700" cy="28575"/>
              <wp:effectExtent l="0" t="0" r="0" b="0"/>
              <wp:wrapNone/>
              <wp:docPr id="201" name="Graphic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588AD4" id="Graphic 201" o:spid="_x0000_s1026" style="position:absolute;margin-left:70.5pt;margin-top:740.15pt;width:471pt;height:2.25pt;z-index:-2720000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16992" behindDoc="1" locked="0" layoutInCell="1" allowOverlap="1" wp14:anchorId="0DFDD956" wp14:editId="0DFDD957">
              <wp:simplePos x="0" y="0"/>
              <wp:positionH relativeFrom="page">
                <wp:posOffset>901700</wp:posOffset>
              </wp:positionH>
              <wp:positionV relativeFrom="page">
                <wp:posOffset>9432545</wp:posOffset>
              </wp:positionV>
              <wp:extent cx="678180" cy="1816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24"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56" id="_x0000_t202" coordsize="21600,21600" o:spt="202" path="m,l,21600r21600,l21600,xe">
              <v:stroke joinstyle="miter"/>
              <v:path gradientshapeok="t" o:connecttype="rect"/>
            </v:shapetype>
            <v:shape id="Textbox 202" o:spid="_x0000_s1117" type="#_x0000_t202" style="position:absolute;margin-left:71pt;margin-top:742.7pt;width:53.4pt;height:14.3pt;z-index:-271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UY45omAEA&#10;ACIDAAAOAAAAAAAAAAAAAAAAAC4CAABkcnMvZTJvRG9jLnhtbFBLAQItABQABgAIAAAAIQCuavdD&#10;4QAAAA0BAAAPAAAAAAAAAAAAAAAAAPIDAABkcnMvZG93bnJldi54bWxQSwUGAAAAAAQABADzAAAA&#10;AAUAAAAA&#10;" filled="f" stroked="f">
              <v:textbox inset="0,0,0,0">
                <w:txbxContent>
                  <w:p w14:paraId="0DFDDE24"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17504" behindDoc="1" locked="0" layoutInCell="1" allowOverlap="1" wp14:anchorId="0DFDD958" wp14:editId="0DFDD959">
              <wp:simplePos x="0" y="0"/>
              <wp:positionH relativeFrom="page">
                <wp:posOffset>2783105</wp:posOffset>
              </wp:positionH>
              <wp:positionV relativeFrom="page">
                <wp:posOffset>9432545</wp:posOffset>
              </wp:positionV>
              <wp:extent cx="2206625" cy="181610"/>
              <wp:effectExtent l="0" t="0" r="0" b="0"/>
              <wp:wrapNone/>
              <wp:docPr id="203" name="Text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25"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58" id="Textbox 203" o:spid="_x0000_s1118" type="#_x0000_t202" style="position:absolute;margin-left:219.15pt;margin-top:742.7pt;width:173.75pt;height:14.3pt;z-index:-271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N+l/+qZ&#10;AQAAIwMAAA4AAAAAAAAAAAAAAAAALgIAAGRycy9lMm9Eb2MueG1sUEsBAi0AFAAGAAgAAAAhAN6R&#10;NCbiAAAADQEAAA8AAAAAAAAAAAAAAAAA8wMAAGRycy9kb3ducmV2LnhtbFBLBQYAAAAABAAEAPMA&#10;AAACBQAAAAA=&#10;" filled="f" stroked="f">
              <v:textbox inset="0,0,0,0">
                <w:txbxContent>
                  <w:p w14:paraId="0DFDDE25"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18016" behindDoc="1" locked="0" layoutInCell="1" allowOverlap="1" wp14:anchorId="0DFDD95A" wp14:editId="0DFDD95B">
              <wp:simplePos x="0" y="0"/>
              <wp:positionH relativeFrom="page">
                <wp:posOffset>5991339</wp:posOffset>
              </wp:positionH>
              <wp:positionV relativeFrom="page">
                <wp:posOffset>9432545</wp:posOffset>
              </wp:positionV>
              <wp:extent cx="917575" cy="181610"/>
              <wp:effectExtent l="0" t="0" r="0" b="0"/>
              <wp:wrapNone/>
              <wp:docPr id="204" name="Text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181610"/>
                      </a:xfrm>
                      <a:prstGeom prst="rect">
                        <a:avLst/>
                      </a:prstGeom>
                    </wps:spPr>
                    <wps:txbx>
                      <w:txbxContent>
                        <w:p w14:paraId="0DFDDE26" w14:textId="77777777" w:rsidR="00046465" w:rsidRDefault="008134EB">
                          <w:pPr>
                            <w:pStyle w:val="BodyText"/>
                            <w:spacing w:before="12"/>
                            <w:ind w:left="20"/>
                          </w:pPr>
                          <w:r>
                            <w:t>Page</w:t>
                          </w:r>
                          <w:r>
                            <w:rPr>
                              <w:spacing w:val="-8"/>
                            </w:rPr>
                            <w:t xml:space="preserve"> </w:t>
                          </w:r>
                          <w:r>
                            <w:t>640</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95A" id="Textbox 204" o:spid="_x0000_s1119" type="#_x0000_t202" style="position:absolute;margin-left:471.75pt;margin-top:742.7pt;width:72.25pt;height:14.3pt;z-index:-271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" filled="f" stroked="f">
              <v:textbox inset="0,0,0,0">
                <w:txbxContent>
                  <w:p w14:paraId="0DFDDE26" w14:textId="77777777" w:rsidR="00046465" w:rsidRDefault="008134EB">
                    <w:pPr>
                      <w:pStyle w:val="BodyText"/>
                      <w:spacing w:before="12"/>
                      <w:ind w:left="20"/>
                    </w:pPr>
                    <w:r>
                      <w:t>Page</w:t>
                    </w:r>
                    <w:r>
                      <w:rPr>
                        <w:spacing w:val="-8"/>
                      </w:rPr>
                      <w:t xml:space="preserve"> </w:t>
                    </w:r>
                    <w:r>
                      <w:t>640</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9"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20064" behindDoc="1" locked="0" layoutInCell="1" allowOverlap="1" wp14:anchorId="0DFDD962" wp14:editId="0DFDD963">
              <wp:simplePos x="0" y="0"/>
              <wp:positionH relativeFrom="page">
                <wp:posOffset>895350</wp:posOffset>
              </wp:positionH>
              <wp:positionV relativeFrom="page">
                <wp:posOffset>9400031</wp:posOffset>
              </wp:positionV>
              <wp:extent cx="5981700" cy="28575"/>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FC5F68" id="Graphic 225" o:spid="_x0000_s1026" style="position:absolute;margin-left:70.5pt;margin-top:740.15pt;width:471pt;height:2.25pt;z-index:-271964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20576" behindDoc="1" locked="0" layoutInCell="1" allowOverlap="1" wp14:anchorId="0DFDD964" wp14:editId="0DFDD965">
              <wp:simplePos x="0" y="0"/>
              <wp:positionH relativeFrom="page">
                <wp:posOffset>901700</wp:posOffset>
              </wp:positionH>
              <wp:positionV relativeFrom="page">
                <wp:posOffset>9432545</wp:posOffset>
              </wp:positionV>
              <wp:extent cx="678180" cy="18161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29"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64" id="_x0000_t202" coordsize="21600,21600" o:spt="202" path="m,l,21600r21600,l21600,xe">
              <v:stroke joinstyle="miter"/>
              <v:path gradientshapeok="t" o:connecttype="rect"/>
            </v:shapetype>
            <v:shape id="Textbox 226" o:spid="_x0000_s1121" type="#_x0000_t202" style="position:absolute;margin-left:71pt;margin-top:742.7pt;width:53.4pt;height:14.3pt;z-index:-2719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x1mAEAACIDAAAOAAAAZHJzL2Uyb0RvYy54bWysUs2O0zAQviPxDpbv1M1KdKu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V7bpac8dwq1pXq6r4ra6HI1L6YsGLXDQS&#10;Oa5CQB8fKOXrdX0embk8X5+JpGk3ib5t5O37nGLe2kF7Yi0jx9lI+n3QaKUYvgb2K2d/LvBc7M4F&#10;puETlBeSJQX4cEjg+sLgijsz4CAKsfnR5KT//i9T16e9/QM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JBEx1mAEA&#10;ACIDAAAOAAAAAAAAAAAAAAAAAC4CAABkcnMvZTJvRG9jLnhtbFBLAQItABQABgAIAAAAIQCuavdD&#10;4QAAAA0BAAAPAAAAAAAAAAAAAAAAAPIDAABkcnMvZG93bnJldi54bWxQSwUGAAAAAAQABADzAAAA&#10;AAUAAAAA&#10;" filled="f" stroked="f">
              <v:textbox inset="0,0,0,0">
                <w:txbxContent>
                  <w:p w14:paraId="0DFDDE29"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21088" behindDoc="1" locked="0" layoutInCell="1" allowOverlap="1" wp14:anchorId="0DFDD966" wp14:editId="0DFDD967">
              <wp:simplePos x="0" y="0"/>
              <wp:positionH relativeFrom="page">
                <wp:posOffset>2783105</wp:posOffset>
              </wp:positionH>
              <wp:positionV relativeFrom="page">
                <wp:posOffset>9432545</wp:posOffset>
              </wp:positionV>
              <wp:extent cx="2206625" cy="18161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2A"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66" id="Textbox 227" o:spid="_x0000_s1122" type="#_x0000_t202" style="position:absolute;margin-left:219.15pt;margin-top:742.7pt;width:173.75pt;height:14.3pt;z-index:-2719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gsI995gB&#10;AAAjAwAADgAAAAAAAAAAAAAAAAAuAgAAZHJzL2Uyb0RvYy54bWxQSwECLQAUAAYACAAAACEA3pE0&#10;JuIAAAANAQAADwAAAAAAAAAAAAAAAADyAwAAZHJzL2Rvd25yZXYueG1sUEsFBgAAAAAEAAQA8wAA&#10;AAEFAAAAAA==&#10;" filled="f" stroked="f">
              <v:textbox inset="0,0,0,0">
                <w:txbxContent>
                  <w:p w14:paraId="0DFDDE2A"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21600" behindDoc="1" locked="0" layoutInCell="1" allowOverlap="1" wp14:anchorId="0DFDD968" wp14:editId="0DFDD969">
              <wp:simplePos x="0" y="0"/>
              <wp:positionH relativeFrom="page">
                <wp:posOffset>5991339</wp:posOffset>
              </wp:positionH>
              <wp:positionV relativeFrom="page">
                <wp:posOffset>9432545</wp:posOffset>
              </wp:positionV>
              <wp:extent cx="917575" cy="18161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181610"/>
                      </a:xfrm>
                      <a:prstGeom prst="rect">
                        <a:avLst/>
                      </a:prstGeom>
                    </wps:spPr>
                    <wps:txbx>
                      <w:txbxContent>
                        <w:p w14:paraId="0DFDDE2B" w14:textId="77777777" w:rsidR="00046465" w:rsidRDefault="008134EB">
                          <w:pPr>
                            <w:pStyle w:val="BodyText"/>
                            <w:spacing w:before="12"/>
                            <w:ind w:left="20"/>
                          </w:pPr>
                          <w:r>
                            <w:t>Page</w:t>
                          </w:r>
                          <w:r>
                            <w:rPr>
                              <w:spacing w:val="-9"/>
                            </w:rPr>
                            <w:t xml:space="preserve"> </w:t>
                          </w:r>
                          <w:r>
                            <w:t>640</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w14:anchorId="0DFDD968" id="Textbox 228" o:spid="_x0000_s1123" type="#_x0000_t202" style="position:absolute;margin-left:471.75pt;margin-top:742.7pt;width:72.25pt;height:14.3pt;z-index:-271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" filled="f" stroked="f">
              <v:textbox inset="0,0,0,0">
                <w:txbxContent>
                  <w:p w14:paraId="0DFDDE2B" w14:textId="77777777" w:rsidR="00046465" w:rsidRDefault="008134EB">
                    <w:pPr>
                      <w:pStyle w:val="BodyText"/>
                      <w:spacing w:before="12"/>
                      <w:ind w:left="20"/>
                    </w:pPr>
                    <w:r>
                      <w:t>Page</w:t>
                    </w:r>
                    <w:r>
                      <w:rPr>
                        <w:spacing w:val="-9"/>
                      </w:rPr>
                      <w:t xml:space="preserve"> </w:t>
                    </w:r>
                    <w:r>
                      <w:t>640</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B"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23648" behindDoc="1" locked="0" layoutInCell="1" allowOverlap="1" wp14:anchorId="0DFDD970" wp14:editId="0DFDD971">
              <wp:simplePos x="0" y="0"/>
              <wp:positionH relativeFrom="page">
                <wp:posOffset>895350</wp:posOffset>
              </wp:positionH>
              <wp:positionV relativeFrom="page">
                <wp:posOffset>9400031</wp:posOffset>
              </wp:positionV>
              <wp:extent cx="5981700" cy="28575"/>
              <wp:effectExtent l="0" t="0" r="0" b="0"/>
              <wp:wrapNone/>
              <wp:docPr id="232" name="Graphic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F63887" id="Graphic 232" o:spid="_x0000_s1026" style="position:absolute;margin-left:70.5pt;margin-top:740.15pt;width:471pt;height:2.25pt;z-index:-271928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24160" behindDoc="1" locked="0" layoutInCell="1" allowOverlap="1" wp14:anchorId="0DFDD972" wp14:editId="0DFDD973">
              <wp:simplePos x="0" y="0"/>
              <wp:positionH relativeFrom="page">
                <wp:posOffset>901700</wp:posOffset>
              </wp:positionH>
              <wp:positionV relativeFrom="page">
                <wp:posOffset>9432545</wp:posOffset>
              </wp:positionV>
              <wp:extent cx="678180" cy="181610"/>
              <wp:effectExtent l="0" t="0" r="0" b="0"/>
              <wp:wrapNone/>
              <wp:docPr id="233" name="Text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2E"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72" id="_x0000_t202" coordsize="21600,21600" o:spt="202" path="m,l,21600r21600,l21600,xe">
              <v:stroke joinstyle="miter"/>
              <v:path gradientshapeok="t" o:connecttype="rect"/>
            </v:shapetype>
            <v:shape id="Textbox 233" o:spid="_x0000_s1125" type="#_x0000_t202" style="position:absolute;margin-left:71pt;margin-top:742.7pt;width:53.4pt;height:14.3pt;z-index:-271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urQpTmAEA&#10;ACIDAAAOAAAAAAAAAAAAAAAAAC4CAABkcnMvZTJvRG9jLnhtbFBLAQItABQABgAIAAAAIQCuavdD&#10;4QAAAA0BAAAPAAAAAAAAAAAAAAAAAPIDAABkcnMvZG93bnJldi54bWxQSwUGAAAAAAQABADzAAAA&#10;AAUAAAAA&#10;" filled="f" stroked="f">
              <v:textbox inset="0,0,0,0">
                <w:txbxContent>
                  <w:p w14:paraId="0DFDDE2E"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24672" behindDoc="1" locked="0" layoutInCell="1" allowOverlap="1" wp14:anchorId="0DFDD974" wp14:editId="0DFDD975">
              <wp:simplePos x="0" y="0"/>
              <wp:positionH relativeFrom="page">
                <wp:posOffset>2783105</wp:posOffset>
              </wp:positionH>
              <wp:positionV relativeFrom="page">
                <wp:posOffset>9432545</wp:posOffset>
              </wp:positionV>
              <wp:extent cx="2206625" cy="181610"/>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2F"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74" id="Textbox 234" o:spid="_x0000_s1126" type="#_x0000_t202" style="position:absolute;margin-left:219.15pt;margin-top:742.7pt;width:173.75pt;height:14.3pt;z-index:-27191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X6vE1ZgB&#10;AAAjAwAADgAAAAAAAAAAAAAAAAAuAgAAZHJzL2Uyb0RvYy54bWxQSwECLQAUAAYACAAAACEA3pE0&#10;JuIAAAANAQAADwAAAAAAAAAAAAAAAADyAwAAZHJzL2Rvd25yZXYueG1sUEsFBgAAAAAEAAQA8wAA&#10;AAEFAAAAAA==&#10;" filled="f" stroked="f">
              <v:textbox inset="0,0,0,0">
                <w:txbxContent>
                  <w:p w14:paraId="0DFDDE2F"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25184" behindDoc="1" locked="0" layoutInCell="1" allowOverlap="1" wp14:anchorId="0DFDD976" wp14:editId="0DFDD977">
              <wp:simplePos x="0" y="0"/>
              <wp:positionH relativeFrom="page">
                <wp:posOffset>6122976</wp:posOffset>
              </wp:positionH>
              <wp:positionV relativeFrom="page">
                <wp:posOffset>9432545</wp:posOffset>
              </wp:positionV>
              <wp:extent cx="785495" cy="181610"/>
              <wp:effectExtent l="0" t="0" r="0" b="0"/>
              <wp:wrapNone/>
              <wp:docPr id="235" name="Text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30" w14:textId="77777777" w:rsidR="00046465" w:rsidRDefault="008134EB">
                          <w:pPr>
                            <w:pStyle w:val="BodyText"/>
                            <w:spacing w:before="12"/>
                            <w:ind w:left="20"/>
                          </w:pPr>
                          <w:r>
                            <w:t>Page</w:t>
                          </w:r>
                          <w:r>
                            <w:rPr>
                              <w:spacing w:val="-11"/>
                            </w:rPr>
                            <w:t xml:space="preserve"> </w:t>
                          </w:r>
                          <w:r>
                            <w:t>645-</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976" id="Textbox 235" o:spid="_x0000_s1127" type="#_x0000_t202" style="position:absolute;margin-left:482.1pt;margin-top:742.7pt;width:61.85pt;height:14.3pt;z-index:-271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" filled="f" stroked="f">
              <v:textbox inset="0,0,0,0">
                <w:txbxContent>
                  <w:p w14:paraId="0DFDDE30" w14:textId="77777777" w:rsidR="00046465" w:rsidRDefault="008134EB">
                    <w:pPr>
                      <w:pStyle w:val="BodyText"/>
                      <w:spacing w:before="12"/>
                      <w:ind w:left="20"/>
                    </w:pPr>
                    <w:r>
                      <w:t>Page</w:t>
                    </w:r>
                    <w:r>
                      <w:rPr>
                        <w:spacing w:val="-11"/>
                      </w:rPr>
                      <w:t xml:space="preserve"> </w:t>
                    </w:r>
                    <w:r>
                      <w:t>645-</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D"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27232" behindDoc="1" locked="0" layoutInCell="1" allowOverlap="1" wp14:anchorId="0DFDD97E" wp14:editId="0DFDD97F">
              <wp:simplePos x="0" y="0"/>
              <wp:positionH relativeFrom="page">
                <wp:posOffset>895350</wp:posOffset>
              </wp:positionH>
              <wp:positionV relativeFrom="page">
                <wp:posOffset>9400031</wp:posOffset>
              </wp:positionV>
              <wp:extent cx="5981700" cy="28575"/>
              <wp:effectExtent l="0" t="0" r="0" b="0"/>
              <wp:wrapNone/>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6092D7" id="Graphic 239" o:spid="_x0000_s1026" style="position:absolute;margin-left:70.5pt;margin-top:740.15pt;width:471pt;height:2.25pt;z-index:-2718924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27744" behindDoc="1" locked="0" layoutInCell="1" allowOverlap="1" wp14:anchorId="0DFDD980" wp14:editId="0DFDD981">
              <wp:simplePos x="0" y="0"/>
              <wp:positionH relativeFrom="page">
                <wp:posOffset>901700</wp:posOffset>
              </wp:positionH>
              <wp:positionV relativeFrom="page">
                <wp:posOffset>9432545</wp:posOffset>
              </wp:positionV>
              <wp:extent cx="678180" cy="181610"/>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33"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80" id="_x0000_t202" coordsize="21600,21600" o:spt="202" path="m,l,21600r21600,l21600,xe">
              <v:stroke joinstyle="miter"/>
              <v:path gradientshapeok="t" o:connecttype="rect"/>
            </v:shapetype>
            <v:shape id="Textbox 240" o:spid="_x0000_s1129" type="#_x0000_t202" style="position:absolute;margin-left:71pt;margin-top:742.7pt;width:53.4pt;height:14.3pt;z-index:-27188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BRttVeXAQAA&#10;IgMAAA4AAAAAAAAAAAAAAAAALgIAAGRycy9lMm9Eb2MueG1sUEsBAi0AFAAGAAgAAAAhAK5q90Ph&#10;AAAADQEAAA8AAAAAAAAAAAAAAAAA8QMAAGRycy9kb3ducmV2LnhtbFBLBQYAAAAABAAEAPMAAAD/&#10;BAAAAAA=&#10;" filled="f" stroked="f">
              <v:textbox inset="0,0,0,0">
                <w:txbxContent>
                  <w:p w14:paraId="0DFDDE33"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28256" behindDoc="1" locked="0" layoutInCell="1" allowOverlap="1" wp14:anchorId="0DFDD982" wp14:editId="0DFDD983">
              <wp:simplePos x="0" y="0"/>
              <wp:positionH relativeFrom="page">
                <wp:posOffset>2783105</wp:posOffset>
              </wp:positionH>
              <wp:positionV relativeFrom="page">
                <wp:posOffset>9432545</wp:posOffset>
              </wp:positionV>
              <wp:extent cx="2206625" cy="18161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34"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82" id="Textbox 241" o:spid="_x0000_s1130" type="#_x0000_t202" style="position:absolute;margin-left:219.15pt;margin-top:742.7pt;width:173.75pt;height:14.3pt;z-index:-271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ALMBsiZ&#10;AQAAIwMAAA4AAAAAAAAAAAAAAAAALgIAAGRycy9lMm9Eb2MueG1sUEsBAi0AFAAGAAgAAAAhAN6R&#10;NCbiAAAADQEAAA8AAAAAAAAAAAAAAAAA8wMAAGRycy9kb3ducmV2LnhtbFBLBQYAAAAABAAEAPMA&#10;AAACBQAAAAA=&#10;" filled="f" stroked="f">
              <v:textbox inset="0,0,0,0">
                <w:txbxContent>
                  <w:p w14:paraId="0DFDDE34"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28768" behindDoc="1" locked="0" layoutInCell="1" allowOverlap="1" wp14:anchorId="0DFDD984" wp14:editId="0DFDD985">
              <wp:simplePos x="0" y="0"/>
              <wp:positionH relativeFrom="page">
                <wp:posOffset>6122976</wp:posOffset>
              </wp:positionH>
              <wp:positionV relativeFrom="page">
                <wp:posOffset>9432545</wp:posOffset>
              </wp:positionV>
              <wp:extent cx="747395" cy="181610"/>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E35" w14:textId="77777777" w:rsidR="00046465" w:rsidRDefault="008134EB">
                          <w:pPr>
                            <w:pStyle w:val="BodyText"/>
                            <w:spacing w:before="12"/>
                            <w:ind w:left="20"/>
                          </w:pPr>
                          <w:r>
                            <w:t>Page</w:t>
                          </w:r>
                          <w:r>
                            <w:rPr>
                              <w:spacing w:val="-11"/>
                            </w:rPr>
                            <w:t xml:space="preserve"> </w:t>
                          </w:r>
                          <w:r>
                            <w:t>670-</w:t>
                          </w:r>
                          <w:r>
                            <w:rPr>
                              <w:spacing w:val="-10"/>
                            </w:rPr>
                            <w:t>1</w:t>
                          </w:r>
                        </w:p>
                      </w:txbxContent>
                    </wps:txbx>
                    <wps:bodyPr wrap="square" lIns="0" tIns="0" rIns="0" bIns="0" rtlCol="0">
                      <a:noAutofit/>
                    </wps:bodyPr>
                  </wps:wsp>
                </a:graphicData>
              </a:graphic>
            </wp:anchor>
          </w:drawing>
        </mc:Choice>
        <mc:Fallback>
          <w:pict>
            <v:shape w14:anchorId="0DFDD984" id="Textbox 242" o:spid="_x0000_s1131" type="#_x0000_t202" style="position:absolute;margin-left:482.1pt;margin-top:742.7pt;width:58.85pt;height:14.3pt;z-index:-271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" filled="f" stroked="f">
              <v:textbox inset="0,0,0,0">
                <w:txbxContent>
                  <w:p w14:paraId="0DFDDE35" w14:textId="77777777" w:rsidR="00046465" w:rsidRDefault="008134EB">
                    <w:pPr>
                      <w:pStyle w:val="BodyText"/>
                      <w:spacing w:before="12"/>
                      <w:ind w:left="20"/>
                    </w:pPr>
                    <w:r>
                      <w:t>Page</w:t>
                    </w:r>
                    <w:r>
                      <w:rPr>
                        <w:spacing w:val="-11"/>
                      </w:rPr>
                      <w:t xml:space="preserve"> </w:t>
                    </w:r>
                    <w:r>
                      <w:t>670-</w:t>
                    </w:r>
                    <w:r>
                      <w:rPr>
                        <w:spacing w:val="-10"/>
                      </w:rPr>
                      <w:t>1</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F"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30816" behindDoc="1" locked="0" layoutInCell="1" allowOverlap="1" wp14:anchorId="0DFDD98C" wp14:editId="0DFDD98D">
              <wp:simplePos x="0" y="0"/>
              <wp:positionH relativeFrom="page">
                <wp:posOffset>895350</wp:posOffset>
              </wp:positionH>
              <wp:positionV relativeFrom="page">
                <wp:posOffset>9400031</wp:posOffset>
              </wp:positionV>
              <wp:extent cx="5981700" cy="28575"/>
              <wp:effectExtent l="0" t="0" r="0" b="0"/>
              <wp:wrapNone/>
              <wp:docPr id="247" name="Graphic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DFEDBD" id="Graphic 247" o:spid="_x0000_s1026" style="position:absolute;margin-left:70.5pt;margin-top:740.15pt;width:471pt;height:2.25pt;z-index:-271856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31328" behindDoc="1" locked="0" layoutInCell="1" allowOverlap="1" wp14:anchorId="0DFDD98E" wp14:editId="0DFDD98F">
              <wp:simplePos x="0" y="0"/>
              <wp:positionH relativeFrom="page">
                <wp:posOffset>901700</wp:posOffset>
              </wp:positionH>
              <wp:positionV relativeFrom="page">
                <wp:posOffset>9432545</wp:posOffset>
              </wp:positionV>
              <wp:extent cx="678180" cy="181610"/>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38"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8E" id="_x0000_t202" coordsize="21600,21600" o:spt="202" path="m,l,21600r21600,l21600,xe">
              <v:stroke joinstyle="miter"/>
              <v:path gradientshapeok="t" o:connecttype="rect"/>
            </v:shapetype>
            <v:shape id="Textbox 248" o:spid="_x0000_s1133" type="#_x0000_t202" style="position:absolute;margin-left:71pt;margin-top:742.7pt;width:53.4pt;height:14.3pt;z-index:-271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EkKd0qXAQAA&#10;IgMAAA4AAAAAAAAAAAAAAAAALgIAAGRycy9lMm9Eb2MueG1sUEsBAi0AFAAGAAgAAAAhAK5q90Ph&#10;AAAADQEAAA8AAAAAAAAAAAAAAAAA8QMAAGRycy9kb3ducmV2LnhtbFBLBQYAAAAABAAEAPMAAAD/&#10;BAAAAAA=&#10;" filled="f" stroked="f">
              <v:textbox inset="0,0,0,0">
                <w:txbxContent>
                  <w:p w14:paraId="0DFDDE38"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31840" behindDoc="1" locked="0" layoutInCell="1" allowOverlap="1" wp14:anchorId="0DFDD990" wp14:editId="0DFDD991">
              <wp:simplePos x="0" y="0"/>
              <wp:positionH relativeFrom="page">
                <wp:posOffset>2783105</wp:posOffset>
              </wp:positionH>
              <wp:positionV relativeFrom="page">
                <wp:posOffset>9432545</wp:posOffset>
              </wp:positionV>
              <wp:extent cx="2206625" cy="18161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39"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90" id="Textbox 249" o:spid="_x0000_s1134" type="#_x0000_t202" style="position:absolute;margin-left:219.15pt;margin-top:742.7pt;width:173.75pt;height:14.3pt;z-index:-27184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OVlQO6Z&#10;AQAAIwMAAA4AAAAAAAAAAAAAAAAALgIAAGRycy9lMm9Eb2MueG1sUEsBAi0AFAAGAAgAAAAhAN6R&#10;NCbiAAAADQEAAA8AAAAAAAAAAAAAAAAA8wMAAGRycy9kb3ducmV2LnhtbFBLBQYAAAAABAAEAPMA&#10;AAACBQAAAAA=&#10;" filled="f" stroked="f">
              <v:textbox inset="0,0,0,0">
                <w:txbxContent>
                  <w:p w14:paraId="0DFDDE39"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32352" behindDoc="1" locked="0" layoutInCell="1" allowOverlap="1" wp14:anchorId="0DFDD992" wp14:editId="0DFDD993">
              <wp:simplePos x="0" y="0"/>
              <wp:positionH relativeFrom="page">
                <wp:posOffset>6122976</wp:posOffset>
              </wp:positionH>
              <wp:positionV relativeFrom="page">
                <wp:posOffset>9432545</wp:posOffset>
              </wp:positionV>
              <wp:extent cx="785495" cy="18161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3A" w14:textId="77777777" w:rsidR="00046465" w:rsidRDefault="008134EB">
                          <w:pPr>
                            <w:pStyle w:val="BodyText"/>
                            <w:spacing w:before="12"/>
                            <w:ind w:left="20"/>
                          </w:pPr>
                          <w:r>
                            <w:t>Page</w:t>
                          </w:r>
                          <w:r>
                            <w:rPr>
                              <w:spacing w:val="-11"/>
                            </w:rPr>
                            <w:t xml:space="preserve"> </w:t>
                          </w:r>
                          <w:r>
                            <w:t>670-</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992" id="Textbox 250" o:spid="_x0000_s1135" type="#_x0000_t202" style="position:absolute;margin-left:482.1pt;margin-top:742.7pt;width:61.85pt;height:14.3pt;z-index:-27184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HbC5&#10;RJoBAAAiAwAADgAAAAAAAAAAAAAAAAAuAgAAZHJzL2Uyb0RvYy54bWxQSwECLQAUAAYACAAAACEA&#10;Y3QTQuMAAAAOAQAADwAAAAAAAAAAAAAAAAD0AwAAZHJzL2Rvd25yZXYueG1sUEsFBgAAAAAEAAQA&#10;8wAAAAQFAAAAAA==&#10;" filled="f" stroked="f">
              <v:textbox inset="0,0,0,0">
                <w:txbxContent>
                  <w:p w14:paraId="0DFDDE3A" w14:textId="77777777" w:rsidR="00046465" w:rsidRDefault="008134EB">
                    <w:pPr>
                      <w:pStyle w:val="BodyText"/>
                      <w:spacing w:before="12"/>
                      <w:ind w:left="20"/>
                    </w:pPr>
                    <w:r>
                      <w:t>Page</w:t>
                    </w:r>
                    <w:r>
                      <w:rPr>
                        <w:spacing w:val="-11"/>
                      </w:rPr>
                      <w:t xml:space="preserve"> </w:t>
                    </w:r>
                    <w:r>
                      <w:t>670-</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1"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34400" behindDoc="1" locked="0" layoutInCell="1" allowOverlap="1" wp14:anchorId="0DFDD99A" wp14:editId="0DFDD99B">
              <wp:simplePos x="0" y="0"/>
              <wp:positionH relativeFrom="page">
                <wp:posOffset>895350</wp:posOffset>
              </wp:positionH>
              <wp:positionV relativeFrom="page">
                <wp:posOffset>9400031</wp:posOffset>
              </wp:positionV>
              <wp:extent cx="5981700" cy="28575"/>
              <wp:effectExtent l="0" t="0" r="0" b="0"/>
              <wp:wrapNone/>
              <wp:docPr id="256" name="Graphic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58FA8D" id="Graphic 256" o:spid="_x0000_s1026" style="position:absolute;margin-left:70.5pt;margin-top:740.15pt;width:471pt;height:2.25pt;z-index:-271820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34912" behindDoc="1" locked="0" layoutInCell="1" allowOverlap="1" wp14:anchorId="0DFDD99C" wp14:editId="0DFDD99D">
              <wp:simplePos x="0" y="0"/>
              <wp:positionH relativeFrom="page">
                <wp:posOffset>901700</wp:posOffset>
              </wp:positionH>
              <wp:positionV relativeFrom="page">
                <wp:posOffset>9432545</wp:posOffset>
              </wp:positionV>
              <wp:extent cx="678180" cy="18161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3D"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9C" id="_x0000_t202" coordsize="21600,21600" o:spt="202" path="m,l,21600r21600,l21600,xe">
              <v:stroke joinstyle="miter"/>
              <v:path gradientshapeok="t" o:connecttype="rect"/>
            </v:shapetype>
            <v:shape id="Textbox 257" o:spid="_x0000_s1137" type="#_x0000_t202" style="position:absolute;margin-left:71pt;margin-top:742.7pt;width:53.4pt;height:14.3pt;z-index:-271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xpSVcmAEA&#10;ACIDAAAOAAAAAAAAAAAAAAAAAC4CAABkcnMvZTJvRG9jLnhtbFBLAQItABQABgAIAAAAIQCuavdD&#10;4QAAAA0BAAAPAAAAAAAAAAAAAAAAAPIDAABkcnMvZG93bnJldi54bWxQSwUGAAAAAAQABADzAAAA&#10;AAUAAAAA&#10;" filled="f" stroked="f">
              <v:textbox inset="0,0,0,0">
                <w:txbxContent>
                  <w:p w14:paraId="0DFDDE3D"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35424" behindDoc="1" locked="0" layoutInCell="1" allowOverlap="1" wp14:anchorId="0DFDD99E" wp14:editId="0DFDD99F">
              <wp:simplePos x="0" y="0"/>
              <wp:positionH relativeFrom="page">
                <wp:posOffset>2783105</wp:posOffset>
              </wp:positionH>
              <wp:positionV relativeFrom="page">
                <wp:posOffset>9432545</wp:posOffset>
              </wp:positionV>
              <wp:extent cx="2206625" cy="18161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3E"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9E" id="Textbox 258" o:spid="_x0000_s1138" type="#_x0000_t202" style="position:absolute;margin-left:219.15pt;margin-top:742.7pt;width:173.75pt;height:14.3pt;z-index:-2718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DpjVN6Z&#10;AQAAIwMAAA4AAAAAAAAAAAAAAAAALgIAAGRycy9lMm9Eb2MueG1sUEsBAi0AFAAGAAgAAAAhAN6R&#10;NCbiAAAADQEAAA8AAAAAAAAAAAAAAAAA8wMAAGRycy9kb3ducmV2LnhtbFBLBQYAAAAABAAEAPMA&#10;AAACBQAAAAA=&#10;" filled="f" stroked="f">
              <v:textbox inset="0,0,0,0">
                <w:txbxContent>
                  <w:p w14:paraId="0DFDDE3E"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35936" behindDoc="1" locked="0" layoutInCell="1" allowOverlap="1" wp14:anchorId="0DFDD9A0" wp14:editId="0DFDD9A1">
              <wp:simplePos x="0" y="0"/>
              <wp:positionH relativeFrom="page">
                <wp:posOffset>5991200</wp:posOffset>
              </wp:positionH>
              <wp:positionV relativeFrom="page">
                <wp:posOffset>9432545</wp:posOffset>
              </wp:positionV>
              <wp:extent cx="879475" cy="18161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181610"/>
                      </a:xfrm>
                      <a:prstGeom prst="rect">
                        <a:avLst/>
                      </a:prstGeom>
                    </wps:spPr>
                    <wps:txbx>
                      <w:txbxContent>
                        <w:p w14:paraId="0DFDDE3F" w14:textId="77777777" w:rsidR="00046465" w:rsidRDefault="008134EB">
                          <w:pPr>
                            <w:pStyle w:val="BodyText"/>
                            <w:spacing w:before="12"/>
                            <w:ind w:left="20"/>
                          </w:pPr>
                          <w:r>
                            <w:t>Page</w:t>
                          </w:r>
                          <w:r>
                            <w:rPr>
                              <w:spacing w:val="-8"/>
                            </w:rPr>
                            <w:t xml:space="preserve"> </w:t>
                          </w:r>
                          <w:r>
                            <w:t>670</w:t>
                          </w:r>
                          <w:r>
                            <w:rPr>
                              <w:spacing w:val="-6"/>
                            </w:rPr>
                            <w:t xml:space="preserve"> </w:t>
                          </w:r>
                          <w:r>
                            <w:t>A-</w:t>
                          </w:r>
                          <w:r>
                            <w:rPr>
                              <w:spacing w:val="-10"/>
                            </w:rPr>
                            <w:t>1</w:t>
                          </w:r>
                        </w:p>
                      </w:txbxContent>
                    </wps:txbx>
                    <wps:bodyPr wrap="square" lIns="0" tIns="0" rIns="0" bIns="0" rtlCol="0">
                      <a:noAutofit/>
                    </wps:bodyPr>
                  </wps:wsp>
                </a:graphicData>
              </a:graphic>
            </wp:anchor>
          </w:drawing>
        </mc:Choice>
        <mc:Fallback>
          <w:pict>
            <v:shape w14:anchorId="0DFDD9A0" id="Textbox 259" o:spid="_x0000_s1139" type="#_x0000_t202" style="position:absolute;margin-left:471.75pt;margin-top:742.7pt;width:69.25pt;height:14.3pt;z-index:-2718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" filled="f" stroked="f">
              <v:textbox inset="0,0,0,0">
                <w:txbxContent>
                  <w:p w14:paraId="0DFDDE3F" w14:textId="77777777" w:rsidR="00046465" w:rsidRDefault="008134EB">
                    <w:pPr>
                      <w:pStyle w:val="BodyText"/>
                      <w:spacing w:before="12"/>
                      <w:ind w:left="20"/>
                    </w:pPr>
                    <w:r>
                      <w:t>Page</w:t>
                    </w:r>
                    <w:r>
                      <w:rPr>
                        <w:spacing w:val="-8"/>
                      </w:rPr>
                      <w:t xml:space="preserve"> </w:t>
                    </w:r>
                    <w:r>
                      <w:t>670</w:t>
                    </w:r>
                    <w:r>
                      <w:rPr>
                        <w:spacing w:val="-6"/>
                      </w:rPr>
                      <w:t xml:space="preserve"> </w:t>
                    </w:r>
                    <w:r>
                      <w:t>A-</w:t>
                    </w:r>
                    <w:r>
                      <w:rPr>
                        <w:spacing w:val="-10"/>
                      </w:rPr>
                      <w:t>1</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3"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37984" behindDoc="1" locked="0" layoutInCell="1" allowOverlap="1" wp14:anchorId="0DFDD9A8" wp14:editId="0DFDD9A9">
              <wp:simplePos x="0" y="0"/>
              <wp:positionH relativeFrom="page">
                <wp:posOffset>895350</wp:posOffset>
              </wp:positionH>
              <wp:positionV relativeFrom="page">
                <wp:posOffset>9400031</wp:posOffset>
              </wp:positionV>
              <wp:extent cx="5981700" cy="28575"/>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2DDAD9" id="Graphic 263" o:spid="_x0000_s1026" style="position:absolute;margin-left:70.5pt;margin-top:740.15pt;width:471pt;height:2.25pt;z-index:-271784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38496" behindDoc="1" locked="0" layoutInCell="1" allowOverlap="1" wp14:anchorId="0DFDD9AA" wp14:editId="0DFDD9AB">
              <wp:simplePos x="0" y="0"/>
              <wp:positionH relativeFrom="page">
                <wp:posOffset>901700</wp:posOffset>
              </wp:positionH>
              <wp:positionV relativeFrom="page">
                <wp:posOffset>9432545</wp:posOffset>
              </wp:positionV>
              <wp:extent cx="678180" cy="18161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42"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AA" id="_x0000_t202" coordsize="21600,21600" o:spt="202" path="m,l,21600r21600,l21600,xe">
              <v:stroke joinstyle="miter"/>
              <v:path gradientshapeok="t" o:connecttype="rect"/>
            </v:shapetype>
            <v:shape id="Textbox 264" o:spid="_x0000_s1141" type="#_x0000_t202" style="position:absolute;margin-left:71pt;margin-top:742.7pt;width:53.4pt;height:14.3pt;z-index:-2717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swudBmAEA&#10;ACIDAAAOAAAAAAAAAAAAAAAAAC4CAABkcnMvZTJvRG9jLnhtbFBLAQItABQABgAIAAAAIQCuavdD&#10;4QAAAA0BAAAPAAAAAAAAAAAAAAAAAPIDAABkcnMvZG93bnJldi54bWxQSwUGAAAAAAQABADzAAAA&#10;AAUAAAAA&#10;" filled="f" stroked="f">
              <v:textbox inset="0,0,0,0">
                <w:txbxContent>
                  <w:p w14:paraId="0DFDDE42"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39008" behindDoc="1" locked="0" layoutInCell="1" allowOverlap="1" wp14:anchorId="0DFDD9AC" wp14:editId="0DFDD9AD">
              <wp:simplePos x="0" y="0"/>
              <wp:positionH relativeFrom="page">
                <wp:posOffset>2783105</wp:posOffset>
              </wp:positionH>
              <wp:positionV relativeFrom="page">
                <wp:posOffset>9432545</wp:posOffset>
              </wp:positionV>
              <wp:extent cx="2206625" cy="18161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43"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AC" id="Textbox 265" o:spid="_x0000_s1142" type="#_x0000_t202" style="position:absolute;margin-left:219.15pt;margin-top:742.7pt;width:173.75pt;height:14.3pt;z-index:-271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ZwSWw5gB&#10;AAAjAwAADgAAAAAAAAAAAAAAAAAuAgAAZHJzL2Uyb0RvYy54bWxQSwECLQAUAAYACAAAACEA3pE0&#10;JuIAAAANAQAADwAAAAAAAAAAAAAAAADyAwAAZHJzL2Rvd25yZXYueG1sUEsFBgAAAAAEAAQA8wAA&#10;AAEFAAAAAA==&#10;" filled="f" stroked="f">
              <v:textbox inset="0,0,0,0">
                <w:txbxContent>
                  <w:p w14:paraId="0DFDDE43"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39520" behindDoc="1" locked="0" layoutInCell="1" allowOverlap="1" wp14:anchorId="0DFDD9AE" wp14:editId="0DFDD9AF">
              <wp:simplePos x="0" y="0"/>
              <wp:positionH relativeFrom="page">
                <wp:posOffset>5991200</wp:posOffset>
              </wp:positionH>
              <wp:positionV relativeFrom="page">
                <wp:posOffset>9432545</wp:posOffset>
              </wp:positionV>
              <wp:extent cx="917575" cy="18161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181610"/>
                      </a:xfrm>
                      <a:prstGeom prst="rect">
                        <a:avLst/>
                      </a:prstGeom>
                    </wps:spPr>
                    <wps:txbx>
                      <w:txbxContent>
                        <w:p w14:paraId="0DFDDE44" w14:textId="77777777" w:rsidR="00046465" w:rsidRDefault="008134EB">
                          <w:pPr>
                            <w:pStyle w:val="BodyText"/>
                            <w:spacing w:before="12"/>
                            <w:ind w:left="20"/>
                          </w:pPr>
                          <w:r>
                            <w:t>Page</w:t>
                          </w:r>
                          <w:r>
                            <w:rPr>
                              <w:spacing w:val="-8"/>
                            </w:rPr>
                            <w:t xml:space="preserve"> </w:t>
                          </w:r>
                          <w:r>
                            <w:t>670</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9AE" id="Textbox 266" o:spid="_x0000_s1143" type="#_x0000_t202" style="position:absolute;margin-left:471.75pt;margin-top:742.7pt;width:72.25pt;height:14.3pt;z-index:-271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" filled="f" stroked="f">
              <v:textbox inset="0,0,0,0">
                <w:txbxContent>
                  <w:p w14:paraId="0DFDDE44" w14:textId="77777777" w:rsidR="00046465" w:rsidRDefault="008134EB">
                    <w:pPr>
                      <w:pStyle w:val="BodyText"/>
                      <w:spacing w:before="12"/>
                      <w:ind w:left="20"/>
                    </w:pPr>
                    <w:r>
                      <w:t>Page</w:t>
                    </w:r>
                    <w:r>
                      <w:rPr>
                        <w:spacing w:val="-8"/>
                      </w:rPr>
                      <w:t xml:space="preserve"> </w:t>
                    </w:r>
                    <w:r>
                      <w:t>670</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5"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41568" behindDoc="1" locked="0" layoutInCell="1" allowOverlap="1" wp14:anchorId="0DFDD9B6" wp14:editId="0DFDD9B7">
              <wp:simplePos x="0" y="0"/>
              <wp:positionH relativeFrom="page">
                <wp:posOffset>895350</wp:posOffset>
              </wp:positionH>
              <wp:positionV relativeFrom="page">
                <wp:posOffset>9400031</wp:posOffset>
              </wp:positionV>
              <wp:extent cx="5981700" cy="28575"/>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C413F2" id="Graphic 270" o:spid="_x0000_s1026" style="position:absolute;margin-left:70.5pt;margin-top:740.15pt;width:471pt;height:2.25pt;z-index:-271749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42080" behindDoc="1" locked="0" layoutInCell="1" allowOverlap="1" wp14:anchorId="0DFDD9B8" wp14:editId="0DFDD9B9">
              <wp:simplePos x="0" y="0"/>
              <wp:positionH relativeFrom="page">
                <wp:posOffset>901700</wp:posOffset>
              </wp:positionH>
              <wp:positionV relativeFrom="page">
                <wp:posOffset>9432545</wp:posOffset>
              </wp:positionV>
              <wp:extent cx="678180" cy="18161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47"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B8" id="_x0000_t202" coordsize="21600,21600" o:spt="202" path="m,l,21600r21600,l21600,xe">
              <v:stroke joinstyle="miter"/>
              <v:path gradientshapeok="t" o:connecttype="rect"/>
            </v:shapetype>
            <v:shape id="Textbox 271" o:spid="_x0000_s1145" type="#_x0000_t202" style="position:absolute;margin-left:71pt;margin-top:742.7pt;width:53.4pt;height:14.3pt;z-index:-27174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La6FnmAEA&#10;ACIDAAAOAAAAAAAAAAAAAAAAAC4CAABkcnMvZTJvRG9jLnhtbFBLAQItABQABgAIAAAAIQCuavdD&#10;4QAAAA0BAAAPAAAAAAAAAAAAAAAAAPIDAABkcnMvZG93bnJldi54bWxQSwUGAAAAAAQABADzAAAA&#10;AAUAAAAA&#10;" filled="f" stroked="f">
              <v:textbox inset="0,0,0,0">
                <w:txbxContent>
                  <w:p w14:paraId="0DFDDE47"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42592" behindDoc="1" locked="0" layoutInCell="1" allowOverlap="1" wp14:anchorId="0DFDD9BA" wp14:editId="0DFDD9BB">
              <wp:simplePos x="0" y="0"/>
              <wp:positionH relativeFrom="page">
                <wp:posOffset>2783105</wp:posOffset>
              </wp:positionH>
              <wp:positionV relativeFrom="page">
                <wp:posOffset>9432545</wp:posOffset>
              </wp:positionV>
              <wp:extent cx="2206625" cy="18161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48"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BA" id="Textbox 272" o:spid="_x0000_s1146" type="#_x0000_t202" style="position:absolute;margin-left:219.15pt;margin-top:742.7pt;width:173.75pt;height:14.3pt;z-index:-2717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N6/V5qZ&#10;AQAAJAMAAA4AAAAAAAAAAAAAAAAALgIAAGRycy9lMm9Eb2MueG1sUEsBAi0AFAAGAAgAAAAhAN6R&#10;NCbiAAAADQEAAA8AAAAAAAAAAAAAAAAA8wMAAGRycy9kb3ducmV2LnhtbFBLBQYAAAAABAAEAPMA&#10;AAACBQAAAAA=&#10;" filled="f" stroked="f">
              <v:textbox inset="0,0,0,0">
                <w:txbxContent>
                  <w:p w14:paraId="0DFDDE48"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43104" behindDoc="1" locked="0" layoutInCell="1" allowOverlap="1" wp14:anchorId="0DFDD9BC" wp14:editId="0DFDD9BD">
              <wp:simplePos x="0" y="0"/>
              <wp:positionH relativeFrom="page">
                <wp:posOffset>5991339</wp:posOffset>
              </wp:positionH>
              <wp:positionV relativeFrom="page">
                <wp:posOffset>9432545</wp:posOffset>
              </wp:positionV>
              <wp:extent cx="917575" cy="181610"/>
              <wp:effectExtent l="0" t="0" r="0" b="0"/>
              <wp:wrapNone/>
              <wp:docPr id="273" name="Text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181610"/>
                      </a:xfrm>
                      <a:prstGeom prst="rect">
                        <a:avLst/>
                      </a:prstGeom>
                    </wps:spPr>
                    <wps:txbx>
                      <w:txbxContent>
                        <w:p w14:paraId="0DFDDE49" w14:textId="77777777" w:rsidR="00046465" w:rsidRDefault="008134EB">
                          <w:pPr>
                            <w:pStyle w:val="BodyText"/>
                            <w:spacing w:before="12"/>
                            <w:ind w:left="20"/>
                          </w:pPr>
                          <w:r>
                            <w:t>Page</w:t>
                          </w:r>
                          <w:r>
                            <w:rPr>
                              <w:spacing w:val="-8"/>
                            </w:rPr>
                            <w:t xml:space="preserve"> </w:t>
                          </w:r>
                          <w:r>
                            <w:t>670</w:t>
                          </w:r>
                          <w:r>
                            <w:rPr>
                              <w:spacing w:val="-6"/>
                            </w:rPr>
                            <w:t xml:space="preserve"> </w:t>
                          </w:r>
                          <w:r>
                            <w:t>B-</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9BC" id="Textbox 273" o:spid="_x0000_s1147" type="#_x0000_t202" style="position:absolute;margin-left:471.75pt;margin-top:742.7pt;width:72.25pt;height:14.3pt;z-index:-27173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" filled="f" stroked="f">
              <v:textbox inset="0,0,0,0">
                <w:txbxContent>
                  <w:p w14:paraId="0DFDDE49" w14:textId="77777777" w:rsidR="00046465" w:rsidRDefault="008134EB">
                    <w:pPr>
                      <w:pStyle w:val="BodyText"/>
                      <w:spacing w:before="12"/>
                      <w:ind w:left="20"/>
                    </w:pPr>
                    <w:r>
                      <w:t>Page</w:t>
                    </w:r>
                    <w:r>
                      <w:rPr>
                        <w:spacing w:val="-8"/>
                      </w:rPr>
                      <w:t xml:space="preserve"> </w:t>
                    </w:r>
                    <w:r>
                      <w:t>670</w:t>
                    </w:r>
                    <w:r>
                      <w:rPr>
                        <w:spacing w:val="-6"/>
                      </w:rPr>
                      <w:t xml:space="preserve"> </w:t>
                    </w:r>
                    <w:r>
                      <w:t>B-</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7" w14:textId="77777777" w:rsidR="00046465" w:rsidRDefault="00046465">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3"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59648" behindDoc="1" locked="0" layoutInCell="1" allowOverlap="1" wp14:anchorId="0DFDD876" wp14:editId="0DFDD877">
              <wp:simplePos x="0" y="0"/>
              <wp:positionH relativeFrom="page">
                <wp:posOffset>895350</wp:posOffset>
              </wp:positionH>
              <wp:positionV relativeFrom="page">
                <wp:posOffset>9432035</wp:posOffset>
              </wp:positionV>
              <wp:extent cx="5981700" cy="2857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56FE7B" id="Graphic 60" o:spid="_x0000_s1026" style="position:absolute;margin-left:70.5pt;margin-top:742.7pt;width:471pt;height:2.25pt;z-index:-272568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60160" behindDoc="1" locked="0" layoutInCell="1" allowOverlap="1" wp14:anchorId="0DFDD878" wp14:editId="0DFDD879">
              <wp:simplePos x="0" y="0"/>
              <wp:positionH relativeFrom="page">
                <wp:posOffset>901700</wp:posOffset>
              </wp:positionH>
              <wp:positionV relativeFrom="page">
                <wp:posOffset>9464554</wp:posOffset>
              </wp:positionV>
              <wp:extent cx="678180" cy="18161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DD7"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878" id="_x0000_t202" coordsize="21600,21600" o:spt="202" path="m,l,21600r21600,l21600,xe">
              <v:stroke joinstyle="miter"/>
              <v:path gradientshapeok="t" o:connecttype="rect"/>
            </v:shapetype>
            <v:shape id="Textbox 61" o:spid="_x0000_s1053" type="#_x0000_t202" style="position:absolute;margin-left:71pt;margin-top:745.25pt;width:53.4pt;height:14.3pt;z-index:-2725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" filled="f" stroked="f">
              <v:textbox inset="0,0,0,0">
                <w:txbxContent>
                  <w:p w14:paraId="0DFDDDD7"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060672" behindDoc="1" locked="0" layoutInCell="1" allowOverlap="1" wp14:anchorId="0DFDD87A" wp14:editId="0DFDD87B">
              <wp:simplePos x="0" y="0"/>
              <wp:positionH relativeFrom="page">
                <wp:posOffset>2782386</wp:posOffset>
              </wp:positionH>
              <wp:positionV relativeFrom="page">
                <wp:posOffset>9464554</wp:posOffset>
              </wp:positionV>
              <wp:extent cx="2207895" cy="18161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895" cy="181610"/>
                      </a:xfrm>
                      <a:prstGeom prst="rect">
                        <a:avLst/>
                      </a:prstGeom>
                    </wps:spPr>
                    <wps:txbx>
                      <w:txbxContent>
                        <w:p w14:paraId="0DFDDDD8" w14:textId="77777777" w:rsidR="00046465" w:rsidRDefault="008134EB">
                          <w:pPr>
                            <w:pStyle w:val="BodyText"/>
                            <w:spacing w:before="12"/>
                            <w:ind w:left="20"/>
                          </w:pPr>
                          <w:r>
                            <w:t>GAO/CIGIE</w:t>
                          </w:r>
                          <w:r>
                            <w:rPr>
                              <w:spacing w:val="-9"/>
                            </w:rPr>
                            <w:t xml:space="preserve"> </w:t>
                          </w:r>
                          <w:r>
                            <w:t>Financial</w:t>
                          </w:r>
                          <w:r>
                            <w:rPr>
                              <w:spacing w:val="-8"/>
                            </w:rPr>
                            <w:t xml:space="preserve"> </w:t>
                          </w:r>
                          <w:r>
                            <w:t>Audit</w:t>
                          </w:r>
                          <w:r>
                            <w:rPr>
                              <w:spacing w:val="-8"/>
                            </w:rPr>
                            <w:t xml:space="preserve"> </w:t>
                          </w:r>
                          <w:r>
                            <w:rPr>
                              <w:spacing w:val="-2"/>
                            </w:rPr>
                            <w:t>Manual</w:t>
                          </w:r>
                        </w:p>
                      </w:txbxContent>
                    </wps:txbx>
                    <wps:bodyPr wrap="square" lIns="0" tIns="0" rIns="0" bIns="0" rtlCol="0">
                      <a:noAutofit/>
                    </wps:bodyPr>
                  </wps:wsp>
                </a:graphicData>
              </a:graphic>
            </wp:anchor>
          </w:drawing>
        </mc:Choice>
        <mc:Fallback>
          <w:pict>
            <v:shape w14:anchorId="0DFDD87A" id="Textbox 62" o:spid="_x0000_s1054" type="#_x0000_t202" style="position:absolute;margin-left:219.1pt;margin-top:745.25pt;width:173.85pt;height:14.3pt;z-index:-2725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" filled="f" stroked="f">
              <v:textbox inset="0,0,0,0">
                <w:txbxContent>
                  <w:p w14:paraId="0DFDDDD8" w14:textId="77777777" w:rsidR="00046465" w:rsidRDefault="008134EB">
                    <w:pPr>
                      <w:pStyle w:val="BodyText"/>
                      <w:spacing w:before="12"/>
                      <w:ind w:left="20"/>
                    </w:pPr>
                    <w:r>
                      <w:t>GAO/CIGIE</w:t>
                    </w:r>
                    <w:r>
                      <w:rPr>
                        <w:spacing w:val="-9"/>
                      </w:rPr>
                      <w:t xml:space="preserve"> </w:t>
                    </w:r>
                    <w:r>
                      <w:t>Financial</w:t>
                    </w:r>
                    <w:r>
                      <w:rPr>
                        <w:spacing w:val="-8"/>
                      </w:rPr>
                      <w:t xml:space="preserve"> </w:t>
                    </w:r>
                    <w:r>
                      <w:t>Audit</w:t>
                    </w:r>
                    <w:r>
                      <w:rPr>
                        <w:spacing w:val="-8"/>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061184" behindDoc="1" locked="0" layoutInCell="1" allowOverlap="1" wp14:anchorId="0DFDD87C" wp14:editId="0DFDD87D">
              <wp:simplePos x="0" y="0"/>
              <wp:positionH relativeFrom="page">
                <wp:posOffset>6161862</wp:posOffset>
              </wp:positionH>
              <wp:positionV relativeFrom="page">
                <wp:posOffset>9464554</wp:posOffset>
              </wp:positionV>
              <wp:extent cx="708660" cy="18161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81610"/>
                      </a:xfrm>
                      <a:prstGeom prst="rect">
                        <a:avLst/>
                      </a:prstGeom>
                    </wps:spPr>
                    <wps:txbx>
                      <w:txbxContent>
                        <w:p w14:paraId="0DFDDDD9" w14:textId="77777777" w:rsidR="00046465" w:rsidRDefault="008134EB">
                          <w:pPr>
                            <w:pStyle w:val="BodyText"/>
                            <w:spacing w:before="12"/>
                            <w:ind w:left="20"/>
                          </w:pPr>
                          <w:r>
                            <w:rPr>
                              <w:spacing w:val="-2"/>
                            </w:rPr>
                            <w:t>Changes-</w:t>
                          </w:r>
                          <w:r>
                            <w:rPr>
                              <w:spacing w:val="-10"/>
                            </w:rPr>
                            <w:t>2</w:t>
                          </w:r>
                        </w:p>
                      </w:txbxContent>
                    </wps:txbx>
                    <wps:bodyPr wrap="square" lIns="0" tIns="0" rIns="0" bIns="0" rtlCol="0">
                      <a:noAutofit/>
                    </wps:bodyPr>
                  </wps:wsp>
                </a:graphicData>
              </a:graphic>
            </wp:anchor>
          </w:drawing>
        </mc:Choice>
        <mc:Fallback>
          <w:pict>
            <v:shape w14:anchorId="0DFDD87C" id="Textbox 63" o:spid="_x0000_s1055" type="#_x0000_t202" style="position:absolute;margin-left:485.2pt;margin-top:745.25pt;width:55.8pt;height:14.3pt;z-index:-2725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" filled="f" stroked="f">
              <v:textbox inset="0,0,0,0">
                <w:txbxContent>
                  <w:p w14:paraId="0DFDDDD9" w14:textId="77777777" w:rsidR="00046465" w:rsidRDefault="008134EB">
                    <w:pPr>
                      <w:pStyle w:val="BodyText"/>
                      <w:spacing w:before="12"/>
                      <w:ind w:left="20"/>
                    </w:pPr>
                    <w:r>
                      <w:rPr>
                        <w:spacing w:val="-2"/>
                      </w:rPr>
                      <w:t>Changes-</w:t>
                    </w:r>
                    <w:r>
                      <w:rPr>
                        <w:spacing w:val="-10"/>
                      </w:rPr>
                      <w:t>2</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9"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45152" behindDoc="1" locked="0" layoutInCell="1" allowOverlap="1" wp14:anchorId="0DFDD9C4" wp14:editId="0DFDD9C5">
              <wp:simplePos x="0" y="0"/>
              <wp:positionH relativeFrom="page">
                <wp:posOffset>895350</wp:posOffset>
              </wp:positionH>
              <wp:positionV relativeFrom="page">
                <wp:posOffset>9400031</wp:posOffset>
              </wp:positionV>
              <wp:extent cx="5981700" cy="28575"/>
              <wp:effectExtent l="0" t="0" r="0" b="0"/>
              <wp:wrapNone/>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D9B08A" id="Graphic 283" o:spid="_x0000_s1026" style="position:absolute;margin-left:70.5pt;margin-top:740.15pt;width:471pt;height:2.25pt;z-index:-271713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45664" behindDoc="1" locked="0" layoutInCell="1" allowOverlap="1" wp14:anchorId="0DFDD9C6" wp14:editId="0DFDD9C7">
              <wp:simplePos x="0" y="0"/>
              <wp:positionH relativeFrom="page">
                <wp:posOffset>901700</wp:posOffset>
              </wp:positionH>
              <wp:positionV relativeFrom="page">
                <wp:posOffset>9432545</wp:posOffset>
              </wp:positionV>
              <wp:extent cx="678180" cy="181610"/>
              <wp:effectExtent l="0" t="0" r="0" b="0"/>
              <wp:wrapNone/>
              <wp:docPr id="284" name="Text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4C"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C6" id="_x0000_t202" coordsize="21600,21600" o:spt="202" path="m,l,21600r21600,l21600,xe">
              <v:stroke joinstyle="miter"/>
              <v:path gradientshapeok="t" o:connecttype="rect"/>
            </v:shapetype>
            <v:shape id="Textbox 284" o:spid="_x0000_s1149" type="#_x0000_t202" style="position:absolute;margin-left:71pt;margin-top:742.7pt;width:53.4pt;height:14.3pt;z-index:-271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LWxBAuXAQAA&#10;IwMAAA4AAAAAAAAAAAAAAAAALgIAAGRycy9lMm9Eb2MueG1sUEsBAi0AFAAGAAgAAAAhAK5q90Ph&#10;AAAADQEAAA8AAAAAAAAAAAAAAAAA8QMAAGRycy9kb3ducmV2LnhtbFBLBQYAAAAABAAEAPMAAAD/&#10;BAAAAAA=&#10;" filled="f" stroked="f">
              <v:textbox inset="0,0,0,0">
                <w:txbxContent>
                  <w:p w14:paraId="0DFDDE4C"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46176" behindDoc="1" locked="0" layoutInCell="1" allowOverlap="1" wp14:anchorId="0DFDD9C8" wp14:editId="0DFDD9C9">
              <wp:simplePos x="0" y="0"/>
              <wp:positionH relativeFrom="page">
                <wp:posOffset>2783105</wp:posOffset>
              </wp:positionH>
              <wp:positionV relativeFrom="page">
                <wp:posOffset>9432545</wp:posOffset>
              </wp:positionV>
              <wp:extent cx="2206625" cy="18161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4D"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C8" id="Textbox 285" o:spid="_x0000_s1150" type="#_x0000_t202" style="position:absolute;margin-left:219.15pt;margin-top:742.7pt;width:173.75pt;height:14.3pt;z-index:-2717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IPYlYeZ&#10;AQAAJAMAAA4AAAAAAAAAAAAAAAAALgIAAGRycy9lMm9Eb2MueG1sUEsBAi0AFAAGAAgAAAAhAN6R&#10;NCbiAAAADQEAAA8AAAAAAAAAAAAAAAAA8wMAAGRycy9kb3ducmV2LnhtbFBLBQYAAAAABAAEAPMA&#10;AAACBQAAAAA=&#10;" filled="f" stroked="f">
              <v:textbox inset="0,0,0,0">
                <w:txbxContent>
                  <w:p w14:paraId="0DFDDE4D"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46688" behindDoc="1" locked="0" layoutInCell="1" allowOverlap="1" wp14:anchorId="0DFDD9CA" wp14:editId="0DFDD9CB">
              <wp:simplePos x="0" y="0"/>
              <wp:positionH relativeFrom="page">
                <wp:posOffset>6123394</wp:posOffset>
              </wp:positionH>
              <wp:positionV relativeFrom="page">
                <wp:posOffset>9432545</wp:posOffset>
              </wp:positionV>
              <wp:extent cx="747395" cy="181610"/>
              <wp:effectExtent l="0" t="0" r="0" b="0"/>
              <wp:wrapNone/>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E4E" w14:textId="77777777" w:rsidR="00046465" w:rsidRDefault="008134EB">
                          <w:pPr>
                            <w:pStyle w:val="BodyText"/>
                            <w:spacing w:before="12"/>
                            <w:ind w:left="20"/>
                          </w:pPr>
                          <w:r>
                            <w:t>Page</w:t>
                          </w:r>
                          <w:r>
                            <w:rPr>
                              <w:spacing w:val="-11"/>
                            </w:rPr>
                            <w:t xml:space="preserve"> </w:t>
                          </w:r>
                          <w:r>
                            <w:fldChar w:fldCharType="begin"/>
                          </w:r>
                          <w:r>
                            <w:instrText xml:space="preserve"> PAGE </w:instrText>
                          </w:r>
                          <w:r>
                            <w:fldChar w:fldCharType="separate"/>
                          </w:r>
                          <w:r>
                            <w:t>700</w:t>
                          </w:r>
                          <w:r>
                            <w:fldChar w:fldCharType="end"/>
                          </w:r>
                          <w:r>
                            <w:t>-</w:t>
                          </w:r>
                          <w:r>
                            <w:rPr>
                              <w:spacing w:val="-10"/>
                            </w:rPr>
                            <w:t>1</w:t>
                          </w:r>
                        </w:p>
                      </w:txbxContent>
                    </wps:txbx>
                    <wps:bodyPr wrap="square" lIns="0" tIns="0" rIns="0" bIns="0" rtlCol="0">
                      <a:noAutofit/>
                    </wps:bodyPr>
                  </wps:wsp>
                </a:graphicData>
              </a:graphic>
            </wp:anchor>
          </w:drawing>
        </mc:Choice>
        <mc:Fallback>
          <w:pict>
            <v:shape w14:anchorId="0DFDD9CA" id="Textbox 286" o:spid="_x0000_s1151" type="#_x0000_t202" style="position:absolute;margin-left:482.15pt;margin-top:742.7pt;width:58.85pt;height:14.3pt;z-index:-27169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" filled="f" stroked="f">
              <v:textbox inset="0,0,0,0">
                <w:txbxContent>
                  <w:p w14:paraId="0DFDDE4E" w14:textId="77777777" w:rsidR="00046465" w:rsidRDefault="008134EB">
                    <w:pPr>
                      <w:pStyle w:val="BodyText"/>
                      <w:spacing w:before="12"/>
                      <w:ind w:left="20"/>
                    </w:pPr>
                    <w:r>
                      <w:t>Page</w:t>
                    </w:r>
                    <w:r>
                      <w:rPr>
                        <w:spacing w:val="-11"/>
                      </w:rPr>
                      <w:t xml:space="preserve"> </w:t>
                    </w:r>
                    <w:r>
                      <w:fldChar w:fldCharType="begin"/>
                    </w:r>
                    <w:r>
                      <w:instrText xml:space="preserve"> PAGE </w:instrText>
                    </w:r>
                    <w:r>
                      <w:fldChar w:fldCharType="separate"/>
                    </w:r>
                    <w:r>
                      <w:t>700</w:t>
                    </w:r>
                    <w:r>
                      <w:fldChar w:fldCharType="end"/>
                    </w:r>
                    <w:r>
                      <w:t>-</w:t>
                    </w:r>
                    <w:r>
                      <w:rPr>
                        <w:spacing w:val="-10"/>
                      </w:rPr>
                      <w:t>1</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B"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48736" behindDoc="1" locked="0" layoutInCell="1" allowOverlap="1" wp14:anchorId="0DFDD9D2" wp14:editId="0DFDD9D3">
              <wp:simplePos x="0" y="0"/>
              <wp:positionH relativeFrom="page">
                <wp:posOffset>895350</wp:posOffset>
              </wp:positionH>
              <wp:positionV relativeFrom="page">
                <wp:posOffset>9400031</wp:posOffset>
              </wp:positionV>
              <wp:extent cx="5981700" cy="28575"/>
              <wp:effectExtent l="0" t="0" r="0" b="0"/>
              <wp:wrapNone/>
              <wp:docPr id="290" name="Graphic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447B70" id="Graphic 290" o:spid="_x0000_s1026" style="position:absolute;margin-left:70.5pt;margin-top:740.15pt;width:471pt;height:2.25pt;z-index:-271677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49248" behindDoc="1" locked="0" layoutInCell="1" allowOverlap="1" wp14:anchorId="0DFDD9D4" wp14:editId="0DFDD9D5">
              <wp:simplePos x="0" y="0"/>
              <wp:positionH relativeFrom="page">
                <wp:posOffset>901700</wp:posOffset>
              </wp:positionH>
              <wp:positionV relativeFrom="page">
                <wp:posOffset>9432545</wp:posOffset>
              </wp:positionV>
              <wp:extent cx="678180" cy="181610"/>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51"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D4" id="_x0000_t202" coordsize="21600,21600" o:spt="202" path="m,l,21600r21600,l21600,xe">
              <v:stroke joinstyle="miter"/>
              <v:path gradientshapeok="t" o:connecttype="rect"/>
            </v:shapetype>
            <v:shape id="Textbox 291" o:spid="_x0000_s1153" type="#_x0000_t202" style="position:absolute;margin-left:71pt;margin-top:742.7pt;width:53.4pt;height:14.3pt;z-index:-2716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OjWxhaXAQAA&#10;IwMAAA4AAAAAAAAAAAAAAAAALgIAAGRycy9lMm9Eb2MueG1sUEsBAi0AFAAGAAgAAAAhAK5q90Ph&#10;AAAADQEAAA8AAAAAAAAAAAAAAAAA8QMAAGRycy9kb3ducmV2LnhtbFBLBQYAAAAABAAEAPMAAAD/&#10;BAAAAAA=&#10;" filled="f" stroked="f">
              <v:textbox inset="0,0,0,0">
                <w:txbxContent>
                  <w:p w14:paraId="0DFDDE51"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49760" behindDoc="1" locked="0" layoutInCell="1" allowOverlap="1" wp14:anchorId="0DFDD9D6" wp14:editId="0DFDD9D7">
              <wp:simplePos x="0" y="0"/>
              <wp:positionH relativeFrom="page">
                <wp:posOffset>2783105</wp:posOffset>
              </wp:positionH>
              <wp:positionV relativeFrom="page">
                <wp:posOffset>9432545</wp:posOffset>
              </wp:positionV>
              <wp:extent cx="2206625" cy="181610"/>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52"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D6" id="Textbox 292" o:spid="_x0000_s1154" type="#_x0000_t202" style="position:absolute;margin-left:219.15pt;margin-top:742.7pt;width:173.75pt;height:14.3pt;z-index:-271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GRx06GZ&#10;AQAAJAMAAA4AAAAAAAAAAAAAAAAALgIAAGRycy9lMm9Eb2MueG1sUEsBAi0AFAAGAAgAAAAhAN6R&#10;NCbiAAAADQEAAA8AAAAAAAAAAAAAAAAA8wMAAGRycy9kb3ducmV2LnhtbFBLBQYAAAAABAAEAPMA&#10;AAACBQAAAAA=&#10;" filled="f" stroked="f">
              <v:textbox inset="0,0,0,0">
                <w:txbxContent>
                  <w:p w14:paraId="0DFDDE52"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50272" behindDoc="1" locked="0" layoutInCell="1" allowOverlap="1" wp14:anchorId="0DFDD9D8" wp14:editId="0DFDD9D9">
              <wp:simplePos x="0" y="0"/>
              <wp:positionH relativeFrom="page">
                <wp:posOffset>6122976</wp:posOffset>
              </wp:positionH>
              <wp:positionV relativeFrom="page">
                <wp:posOffset>9432545</wp:posOffset>
              </wp:positionV>
              <wp:extent cx="747395" cy="18161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E53" w14:textId="77777777" w:rsidR="00046465" w:rsidRDefault="008134EB">
                          <w:pPr>
                            <w:pStyle w:val="BodyText"/>
                            <w:spacing w:before="12"/>
                            <w:ind w:left="20"/>
                          </w:pPr>
                          <w:r>
                            <w:t>Page</w:t>
                          </w:r>
                          <w:r>
                            <w:rPr>
                              <w:spacing w:val="-11"/>
                            </w:rPr>
                            <w:t xml:space="preserve"> </w:t>
                          </w:r>
                          <w:r>
                            <w:fldChar w:fldCharType="begin"/>
                          </w:r>
                          <w:r>
                            <w:instrText xml:space="preserve"> PAGE </w:instrText>
                          </w:r>
                          <w:r>
                            <w:fldChar w:fldCharType="separate"/>
                          </w:r>
                          <w:r>
                            <w:t>701</w:t>
                          </w:r>
                          <w:r>
                            <w:fldChar w:fldCharType="end"/>
                          </w:r>
                          <w:r>
                            <w:t>-</w:t>
                          </w:r>
                          <w:r>
                            <w:rPr>
                              <w:spacing w:val="-10"/>
                            </w:rPr>
                            <w:t>1</w:t>
                          </w:r>
                        </w:p>
                      </w:txbxContent>
                    </wps:txbx>
                    <wps:bodyPr wrap="square" lIns="0" tIns="0" rIns="0" bIns="0" rtlCol="0">
                      <a:noAutofit/>
                    </wps:bodyPr>
                  </wps:wsp>
                </a:graphicData>
              </a:graphic>
            </wp:anchor>
          </w:drawing>
        </mc:Choice>
        <mc:Fallback>
          <w:pict>
            <v:shape w14:anchorId="0DFDD9D8" id="Textbox 293" o:spid="_x0000_s1155" type="#_x0000_t202" style="position:absolute;margin-left:482.1pt;margin-top:742.7pt;width:58.85pt;height:14.3pt;z-index:-271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" filled="f" stroked="f">
              <v:textbox inset="0,0,0,0">
                <w:txbxContent>
                  <w:p w14:paraId="0DFDDE53" w14:textId="77777777" w:rsidR="00046465" w:rsidRDefault="008134EB">
                    <w:pPr>
                      <w:pStyle w:val="BodyText"/>
                      <w:spacing w:before="12"/>
                      <w:ind w:left="20"/>
                    </w:pPr>
                    <w:r>
                      <w:t>Page</w:t>
                    </w:r>
                    <w:r>
                      <w:rPr>
                        <w:spacing w:val="-11"/>
                      </w:rPr>
                      <w:t xml:space="preserve"> </w:t>
                    </w:r>
                    <w:r>
                      <w:fldChar w:fldCharType="begin"/>
                    </w:r>
                    <w:r>
                      <w:instrText xml:space="preserve"> PAGE </w:instrText>
                    </w:r>
                    <w:r>
                      <w:fldChar w:fldCharType="separate"/>
                    </w:r>
                    <w:r>
                      <w:t>701</w:t>
                    </w:r>
                    <w:r>
                      <w:fldChar w:fldCharType="end"/>
                    </w:r>
                    <w:r>
                      <w:t>-</w:t>
                    </w:r>
                    <w:r>
                      <w:rPr>
                        <w:spacing w:val="-10"/>
                      </w:rPr>
                      <w:t>1</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D"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52320" behindDoc="1" locked="0" layoutInCell="1" allowOverlap="1" wp14:anchorId="0DFDD9E0" wp14:editId="0DFDD9E1">
              <wp:simplePos x="0" y="0"/>
              <wp:positionH relativeFrom="page">
                <wp:posOffset>895350</wp:posOffset>
              </wp:positionH>
              <wp:positionV relativeFrom="page">
                <wp:posOffset>9400031</wp:posOffset>
              </wp:positionV>
              <wp:extent cx="5981700" cy="2857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286EA1" id="Graphic 298" o:spid="_x0000_s1026" style="position:absolute;margin-left:70.5pt;margin-top:740.15pt;width:471pt;height:2.25pt;z-index:-271641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52832" behindDoc="1" locked="0" layoutInCell="1" allowOverlap="1" wp14:anchorId="0DFDD9E2" wp14:editId="0DFDD9E3">
              <wp:simplePos x="0" y="0"/>
              <wp:positionH relativeFrom="page">
                <wp:posOffset>901700</wp:posOffset>
              </wp:positionH>
              <wp:positionV relativeFrom="page">
                <wp:posOffset>9432545</wp:posOffset>
              </wp:positionV>
              <wp:extent cx="678180" cy="181610"/>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56"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E2" id="_x0000_t202" coordsize="21600,21600" o:spt="202" path="m,l,21600r21600,l21600,xe">
              <v:stroke joinstyle="miter"/>
              <v:path gradientshapeok="t" o:connecttype="rect"/>
            </v:shapetype>
            <v:shape id="Textbox 299" o:spid="_x0000_s1157" type="#_x0000_t202" style="position:absolute;margin-left:71pt;margin-top:742.7pt;width:53.4pt;height:14.3pt;z-index:-27163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QeZQAmAEA&#10;ACMDAAAOAAAAAAAAAAAAAAAAAC4CAABkcnMvZTJvRG9jLnhtbFBLAQItABQABgAIAAAAIQCuavdD&#10;4QAAAA0BAAAPAAAAAAAAAAAAAAAAAPIDAABkcnMvZG93bnJldi54bWxQSwUGAAAAAAQABADzAAAA&#10;AAUAAAAA&#10;" filled="f" stroked="f">
              <v:textbox inset="0,0,0,0">
                <w:txbxContent>
                  <w:p w14:paraId="0DFDDE56"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53344" behindDoc="1" locked="0" layoutInCell="1" allowOverlap="1" wp14:anchorId="0DFDD9E4" wp14:editId="0DFDD9E5">
              <wp:simplePos x="0" y="0"/>
              <wp:positionH relativeFrom="page">
                <wp:posOffset>2783105</wp:posOffset>
              </wp:positionH>
              <wp:positionV relativeFrom="page">
                <wp:posOffset>9432545</wp:posOffset>
              </wp:positionV>
              <wp:extent cx="2206625" cy="181610"/>
              <wp:effectExtent l="0" t="0" r="0" b="0"/>
              <wp:wrapNone/>
              <wp:docPr id="300" name="Text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57"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E4" id="Textbox 300" o:spid="_x0000_s1158" type="#_x0000_t202" style="position:absolute;margin-left:219.15pt;margin-top:742.7pt;width:173.75pt;height:14.3pt;z-index:-27163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Lt3x5GZ&#10;AQAAJAMAAA4AAAAAAAAAAAAAAAAALgIAAGRycy9lMm9Eb2MueG1sUEsBAi0AFAAGAAgAAAAhAN6R&#10;NCbiAAAADQEAAA8AAAAAAAAAAAAAAAAA8wMAAGRycy9kb3ducmV2LnhtbFBLBQYAAAAABAAEAPMA&#10;AAACBQAAAAA=&#10;" filled="f" stroked="f">
              <v:textbox inset="0,0,0,0">
                <w:txbxContent>
                  <w:p w14:paraId="0DFDDE57"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53856" behindDoc="1" locked="0" layoutInCell="1" allowOverlap="1" wp14:anchorId="0DFDD9E6" wp14:editId="0DFDD9E7">
              <wp:simplePos x="0" y="0"/>
              <wp:positionH relativeFrom="page">
                <wp:posOffset>6122976</wp:posOffset>
              </wp:positionH>
              <wp:positionV relativeFrom="page">
                <wp:posOffset>9432545</wp:posOffset>
              </wp:positionV>
              <wp:extent cx="785495" cy="18161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58" w14:textId="77777777" w:rsidR="00046465" w:rsidRDefault="008134EB">
                          <w:pPr>
                            <w:pStyle w:val="BodyText"/>
                            <w:spacing w:before="12"/>
                            <w:ind w:left="20"/>
                          </w:pPr>
                          <w:r>
                            <w:t>Page</w:t>
                          </w:r>
                          <w:r>
                            <w:rPr>
                              <w:spacing w:val="-11"/>
                            </w:rPr>
                            <w:t xml:space="preserve"> </w:t>
                          </w:r>
                          <w:r>
                            <w:t>701-</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9E6" id="Textbox 301" o:spid="_x0000_s1159" type="#_x0000_t202" style="position:absolute;margin-left:482.1pt;margin-top:742.7pt;width:61.85pt;height:14.3pt;z-index:-2716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7FRu&#10;u5oBAAAjAwAADgAAAAAAAAAAAAAAAAAuAgAAZHJzL2Uyb0RvYy54bWxQSwECLQAUAAYACAAAACEA&#10;Y3QTQuMAAAAOAQAADwAAAAAAAAAAAAAAAAD0AwAAZHJzL2Rvd25yZXYueG1sUEsFBgAAAAAEAAQA&#10;8wAAAAQFAAAAAA==&#10;" filled="f" stroked="f">
              <v:textbox inset="0,0,0,0">
                <w:txbxContent>
                  <w:p w14:paraId="0DFDDE58" w14:textId="77777777" w:rsidR="00046465" w:rsidRDefault="008134EB">
                    <w:pPr>
                      <w:pStyle w:val="BodyText"/>
                      <w:spacing w:before="12"/>
                      <w:ind w:left="20"/>
                    </w:pPr>
                    <w:r>
                      <w:t>Page</w:t>
                    </w:r>
                    <w:r>
                      <w:rPr>
                        <w:spacing w:val="-11"/>
                      </w:rPr>
                      <w:t xml:space="preserve"> </w:t>
                    </w:r>
                    <w:r>
                      <w:t>701-</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F"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55904" behindDoc="1" locked="0" layoutInCell="1" allowOverlap="1" wp14:anchorId="0DFDD9EE" wp14:editId="0DFDD9EF">
              <wp:simplePos x="0" y="0"/>
              <wp:positionH relativeFrom="page">
                <wp:posOffset>895350</wp:posOffset>
              </wp:positionH>
              <wp:positionV relativeFrom="page">
                <wp:posOffset>9400031</wp:posOffset>
              </wp:positionV>
              <wp:extent cx="5981700" cy="28575"/>
              <wp:effectExtent l="0" t="0" r="0" b="0"/>
              <wp:wrapNone/>
              <wp:docPr id="308" name="Graphic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655349" id="Graphic 308" o:spid="_x0000_s1026" style="position:absolute;margin-left:70.5pt;margin-top:740.15pt;width:471pt;height:2.25pt;z-index:-2716057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56416" behindDoc="1" locked="0" layoutInCell="1" allowOverlap="1" wp14:anchorId="0DFDD9F0" wp14:editId="0DFDD9F1">
              <wp:simplePos x="0" y="0"/>
              <wp:positionH relativeFrom="page">
                <wp:posOffset>901700</wp:posOffset>
              </wp:positionH>
              <wp:positionV relativeFrom="page">
                <wp:posOffset>9432545</wp:posOffset>
              </wp:positionV>
              <wp:extent cx="678815" cy="181610"/>
              <wp:effectExtent l="0" t="0" r="0" b="0"/>
              <wp:wrapNone/>
              <wp:docPr id="309" name="Text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815" cy="181610"/>
                      </a:xfrm>
                      <a:prstGeom prst="rect">
                        <a:avLst/>
                      </a:prstGeom>
                    </wps:spPr>
                    <wps:txbx>
                      <w:txbxContent>
                        <w:p w14:paraId="0DFDDE5B"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F0" id="_x0000_t202" coordsize="21600,21600" o:spt="202" path="m,l,21600r21600,l21600,xe">
              <v:stroke joinstyle="miter"/>
              <v:path gradientshapeok="t" o:connecttype="rect"/>
            </v:shapetype>
            <v:shape id="Textbox 309" o:spid="_x0000_s1161" type="#_x0000_t202" style="position:absolute;margin-left:71pt;margin-top:742.7pt;width:53.45pt;height:14.3pt;z-index:-2716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" filled="f" stroked="f">
              <v:textbox inset="0,0,0,0">
                <w:txbxContent>
                  <w:p w14:paraId="0DFDDE5B"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56928" behindDoc="1" locked="0" layoutInCell="1" allowOverlap="1" wp14:anchorId="0DFDD9F2" wp14:editId="0DFDD9F3">
              <wp:simplePos x="0" y="0"/>
              <wp:positionH relativeFrom="page">
                <wp:posOffset>2783105</wp:posOffset>
              </wp:positionH>
              <wp:positionV relativeFrom="page">
                <wp:posOffset>9432545</wp:posOffset>
              </wp:positionV>
              <wp:extent cx="2206625" cy="181610"/>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5C"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9F2" id="Textbox 310" o:spid="_x0000_s1162" type="#_x0000_t202" style="position:absolute;margin-left:219.15pt;margin-top:742.7pt;width:173.75pt;height:14.3pt;z-index:-271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5hAFjJgB&#10;AAAkAwAADgAAAAAAAAAAAAAAAAAuAgAAZHJzL2Uyb0RvYy54bWxQSwECLQAUAAYACAAAACEA3pE0&#10;JuIAAAANAQAADwAAAAAAAAAAAAAAAADyAwAAZHJzL2Rvd25yZXYueG1sUEsFBgAAAAAEAAQA8wAA&#10;AAEFAAAAAA==&#10;" filled="f" stroked="f">
              <v:textbox inset="0,0,0,0">
                <w:txbxContent>
                  <w:p w14:paraId="0DFDDE5C"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57440" behindDoc="1" locked="0" layoutInCell="1" allowOverlap="1" wp14:anchorId="0DFDD9F4" wp14:editId="0DFDD9F5">
              <wp:simplePos x="0" y="0"/>
              <wp:positionH relativeFrom="page">
                <wp:posOffset>5991200</wp:posOffset>
              </wp:positionH>
              <wp:positionV relativeFrom="page">
                <wp:posOffset>9432545</wp:posOffset>
              </wp:positionV>
              <wp:extent cx="917575" cy="181610"/>
              <wp:effectExtent l="0" t="0" r="0" b="0"/>
              <wp:wrapNone/>
              <wp:docPr id="311" name="Text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181610"/>
                      </a:xfrm>
                      <a:prstGeom prst="rect">
                        <a:avLst/>
                      </a:prstGeom>
                    </wps:spPr>
                    <wps:txbx>
                      <w:txbxContent>
                        <w:p w14:paraId="0DFDDE5D" w14:textId="77777777" w:rsidR="00046465" w:rsidRDefault="008134EB">
                          <w:pPr>
                            <w:pStyle w:val="BodyText"/>
                            <w:spacing w:before="12"/>
                            <w:ind w:left="20"/>
                          </w:pPr>
                          <w:r>
                            <w:t>Page</w:t>
                          </w:r>
                          <w:r>
                            <w:rPr>
                              <w:spacing w:val="-9"/>
                            </w:rPr>
                            <w:t xml:space="preserve"> </w:t>
                          </w:r>
                          <w:r>
                            <w:t>701</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9F4" id="Textbox 311" o:spid="_x0000_s1163" type="#_x0000_t202" style="position:absolute;margin-left:471.75pt;margin-top:742.7pt;width:72.25pt;height:14.3pt;z-index:-27159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" filled="f" stroked="f">
              <v:textbox inset="0,0,0,0">
                <w:txbxContent>
                  <w:p w14:paraId="0DFDDE5D" w14:textId="77777777" w:rsidR="00046465" w:rsidRDefault="008134EB">
                    <w:pPr>
                      <w:pStyle w:val="BodyText"/>
                      <w:spacing w:before="12"/>
                      <w:ind w:left="20"/>
                    </w:pPr>
                    <w:r>
                      <w:t>Page</w:t>
                    </w:r>
                    <w:r>
                      <w:rPr>
                        <w:spacing w:val="-9"/>
                      </w:rPr>
                      <w:t xml:space="preserve"> </w:t>
                    </w:r>
                    <w:r>
                      <w:t>701</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1"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59488" behindDoc="1" locked="0" layoutInCell="1" allowOverlap="1" wp14:anchorId="0DFDD9FC" wp14:editId="0DFDD9FD">
              <wp:simplePos x="0" y="0"/>
              <wp:positionH relativeFrom="page">
                <wp:posOffset>895350</wp:posOffset>
              </wp:positionH>
              <wp:positionV relativeFrom="page">
                <wp:posOffset>9400031</wp:posOffset>
              </wp:positionV>
              <wp:extent cx="5981700" cy="28575"/>
              <wp:effectExtent l="0" t="0" r="0" b="0"/>
              <wp:wrapNone/>
              <wp:docPr id="316" name="Graphic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F12252" id="Graphic 316" o:spid="_x0000_s1026" style="position:absolute;margin-left:70.5pt;margin-top:740.15pt;width:471pt;height:2.25pt;z-index:-2715699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60000" behindDoc="1" locked="0" layoutInCell="1" allowOverlap="1" wp14:anchorId="0DFDD9FE" wp14:editId="0DFDD9FF">
              <wp:simplePos x="0" y="0"/>
              <wp:positionH relativeFrom="page">
                <wp:posOffset>901700</wp:posOffset>
              </wp:positionH>
              <wp:positionV relativeFrom="page">
                <wp:posOffset>9432545</wp:posOffset>
              </wp:positionV>
              <wp:extent cx="678180" cy="181610"/>
              <wp:effectExtent l="0" t="0" r="0" b="0"/>
              <wp:wrapNone/>
              <wp:docPr id="317" name="Text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5F"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9FE" id="_x0000_t202" coordsize="21600,21600" o:spt="202" path="m,l,21600r21600,l21600,xe">
              <v:stroke joinstyle="miter"/>
              <v:path gradientshapeok="t" o:connecttype="rect"/>
            </v:shapetype>
            <v:shape id="Textbox 317" o:spid="_x0000_s1165" type="#_x0000_t202" style="position:absolute;margin-left:71pt;margin-top:742.7pt;width:53.4pt;height:14.3pt;z-index:-2715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qtxA7mAEA&#10;ACMDAAAOAAAAAAAAAAAAAAAAAC4CAABkcnMvZTJvRG9jLnhtbFBLAQItABQABgAIAAAAIQCuavdD&#10;4QAAAA0BAAAPAAAAAAAAAAAAAAAAAPIDAABkcnMvZG93bnJldi54bWxQSwUGAAAAAAQABADzAAAA&#10;AAUAAAAA&#10;" filled="f" stroked="f">
              <v:textbox inset="0,0,0,0">
                <w:txbxContent>
                  <w:p w14:paraId="0DFDDE5F"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60512" behindDoc="1" locked="0" layoutInCell="1" allowOverlap="1" wp14:anchorId="0DFDDA00" wp14:editId="0DFDDA01">
              <wp:simplePos x="0" y="0"/>
              <wp:positionH relativeFrom="page">
                <wp:posOffset>2783077</wp:posOffset>
              </wp:positionH>
              <wp:positionV relativeFrom="page">
                <wp:posOffset>9432545</wp:posOffset>
              </wp:positionV>
              <wp:extent cx="2206625" cy="181610"/>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60"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00" id="Textbox 318" o:spid="_x0000_s1166" type="#_x0000_t202" style="position:absolute;margin-left:219.15pt;margin-top:742.7pt;width:173.75pt;height:14.3pt;z-index:-27155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ElItJCZ&#10;AQAAJAMAAA4AAAAAAAAAAAAAAAAALgIAAGRycy9lMm9Eb2MueG1sUEsBAi0AFAAGAAgAAAAhAN6R&#10;NCbiAAAADQEAAA8AAAAAAAAAAAAAAAAA8wMAAGRycy9kb3ducmV2LnhtbFBLBQYAAAAABAAEAPMA&#10;AAACBQAAAAA=&#10;" filled="f" stroked="f">
              <v:textbox inset="0,0,0,0">
                <w:txbxContent>
                  <w:p w14:paraId="0DFDDE60"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61024" behindDoc="1" locked="0" layoutInCell="1" allowOverlap="1" wp14:anchorId="0DFDDA02" wp14:editId="0DFDDA03">
              <wp:simplePos x="0" y="0"/>
              <wp:positionH relativeFrom="page">
                <wp:posOffset>6122949</wp:posOffset>
              </wp:positionH>
              <wp:positionV relativeFrom="page">
                <wp:posOffset>9432545</wp:posOffset>
              </wp:positionV>
              <wp:extent cx="785495" cy="18161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61" w14:textId="77777777" w:rsidR="00046465" w:rsidRDefault="008134EB">
                          <w:pPr>
                            <w:pStyle w:val="BodyText"/>
                            <w:spacing w:before="12"/>
                            <w:ind w:left="20"/>
                          </w:pPr>
                          <w:r>
                            <w:t>Page</w:t>
                          </w:r>
                          <w:r>
                            <w:rPr>
                              <w:spacing w:val="-11"/>
                            </w:rPr>
                            <w:t xml:space="preserve"> </w:t>
                          </w:r>
                          <w:r>
                            <w:t>710-</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A02" id="Textbox 319" o:spid="_x0000_s1167" type="#_x0000_t202" style="position:absolute;margin-left:482.1pt;margin-top:742.7pt;width:61.85pt;height:14.3pt;z-index:-27155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" filled="f" stroked="f">
              <v:textbox inset="0,0,0,0">
                <w:txbxContent>
                  <w:p w14:paraId="0DFDDE61" w14:textId="77777777" w:rsidR="00046465" w:rsidRDefault="008134EB">
                    <w:pPr>
                      <w:pStyle w:val="BodyText"/>
                      <w:spacing w:before="12"/>
                      <w:ind w:left="20"/>
                    </w:pPr>
                    <w:r>
                      <w:t>Page</w:t>
                    </w:r>
                    <w:r>
                      <w:rPr>
                        <w:spacing w:val="-11"/>
                      </w:rPr>
                      <w:t xml:space="preserve"> </w:t>
                    </w:r>
                    <w:r>
                      <w:t>710-</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3"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63072" behindDoc="1" locked="0" layoutInCell="1" allowOverlap="1" wp14:anchorId="0DFDDA0A" wp14:editId="0DFDDA0B">
              <wp:simplePos x="0" y="0"/>
              <wp:positionH relativeFrom="page">
                <wp:posOffset>895350</wp:posOffset>
              </wp:positionH>
              <wp:positionV relativeFrom="page">
                <wp:posOffset>9400031</wp:posOffset>
              </wp:positionV>
              <wp:extent cx="5981700" cy="28575"/>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112D30" id="Graphic 325" o:spid="_x0000_s1026" style="position:absolute;margin-left:70.5pt;margin-top:740.15pt;width:471pt;height:2.25pt;z-index:-2715340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63584" behindDoc="1" locked="0" layoutInCell="1" allowOverlap="1" wp14:anchorId="0DFDDA0C" wp14:editId="0DFDDA0D">
              <wp:simplePos x="0" y="0"/>
              <wp:positionH relativeFrom="page">
                <wp:posOffset>901700</wp:posOffset>
              </wp:positionH>
              <wp:positionV relativeFrom="page">
                <wp:posOffset>9432545</wp:posOffset>
              </wp:positionV>
              <wp:extent cx="678180" cy="18161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64"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0C" id="_x0000_t202" coordsize="21600,21600" o:spt="202" path="m,l,21600r21600,l21600,xe">
              <v:stroke joinstyle="miter"/>
              <v:path gradientshapeok="t" o:connecttype="rect"/>
            </v:shapetype>
            <v:shape id="Textbox 326" o:spid="_x0000_s1169" type="#_x0000_t202" style="position:absolute;margin-left:71pt;margin-top:742.7pt;width:53.4pt;height:14.3pt;z-index:-27152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iRucBmAEA&#10;ACMDAAAOAAAAAAAAAAAAAAAAAC4CAABkcnMvZTJvRG9jLnhtbFBLAQItABQABgAIAAAAIQCuavdD&#10;4QAAAA0BAAAPAAAAAAAAAAAAAAAAAPIDAABkcnMvZG93bnJldi54bWxQSwUGAAAAAAQABADzAAAA&#10;AAUAAAAA&#10;" filled="f" stroked="f">
              <v:textbox inset="0,0,0,0">
                <w:txbxContent>
                  <w:p w14:paraId="0DFDDE64"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64096" behindDoc="1" locked="0" layoutInCell="1" allowOverlap="1" wp14:anchorId="0DFDDA0E" wp14:editId="0DFDDA0F">
              <wp:simplePos x="0" y="0"/>
              <wp:positionH relativeFrom="page">
                <wp:posOffset>2783077</wp:posOffset>
              </wp:positionH>
              <wp:positionV relativeFrom="page">
                <wp:posOffset>9432545</wp:posOffset>
              </wp:positionV>
              <wp:extent cx="2206625" cy="18161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65"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0E" id="Textbox 327" o:spid="_x0000_s1170" type="#_x0000_t202" style="position:absolute;margin-left:219.15pt;margin-top:742.7pt;width:173.75pt;height:14.3pt;z-index:-2715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BQvdo2Z&#10;AQAAJAMAAA4AAAAAAAAAAAAAAAAALgIAAGRycy9lMm9Eb2MueG1sUEsBAi0AFAAGAAgAAAAhAN6R&#10;NCbiAAAADQEAAA8AAAAAAAAAAAAAAAAA8wMAAGRycy9kb3ducmV2LnhtbFBLBQYAAAAABAAEAPMA&#10;AAACBQAAAAA=&#10;" filled="f" stroked="f">
              <v:textbox inset="0,0,0,0">
                <w:txbxContent>
                  <w:p w14:paraId="0DFDDE65"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64608" behindDoc="1" locked="0" layoutInCell="1" allowOverlap="1" wp14:anchorId="0DFDDA10" wp14:editId="0DFDDA11">
              <wp:simplePos x="0" y="0"/>
              <wp:positionH relativeFrom="page">
                <wp:posOffset>5991172</wp:posOffset>
              </wp:positionH>
              <wp:positionV relativeFrom="page">
                <wp:posOffset>9432545</wp:posOffset>
              </wp:positionV>
              <wp:extent cx="917575" cy="181610"/>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181610"/>
                      </a:xfrm>
                      <a:prstGeom prst="rect">
                        <a:avLst/>
                      </a:prstGeom>
                    </wps:spPr>
                    <wps:txbx>
                      <w:txbxContent>
                        <w:p w14:paraId="0DFDDE66" w14:textId="77777777" w:rsidR="00046465" w:rsidRDefault="008134EB">
                          <w:pPr>
                            <w:pStyle w:val="BodyText"/>
                            <w:spacing w:before="12"/>
                            <w:ind w:left="20"/>
                          </w:pPr>
                          <w:r>
                            <w:t>Page</w:t>
                          </w:r>
                          <w:r>
                            <w:rPr>
                              <w:spacing w:val="-8"/>
                            </w:rPr>
                            <w:t xml:space="preserve"> </w:t>
                          </w:r>
                          <w:r>
                            <w:t>710</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A10" id="Textbox 328" o:spid="_x0000_s1171" type="#_x0000_t202" style="position:absolute;margin-left:471.75pt;margin-top:742.7pt;width:72.25pt;height:14.3pt;z-index:-2715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" filled="f" stroked="f">
              <v:textbox inset="0,0,0,0">
                <w:txbxContent>
                  <w:p w14:paraId="0DFDDE66" w14:textId="77777777" w:rsidR="00046465" w:rsidRDefault="008134EB">
                    <w:pPr>
                      <w:pStyle w:val="BodyText"/>
                      <w:spacing w:before="12"/>
                      <w:ind w:left="20"/>
                    </w:pPr>
                    <w:r>
                      <w:t>Page</w:t>
                    </w:r>
                    <w:r>
                      <w:rPr>
                        <w:spacing w:val="-8"/>
                      </w:rPr>
                      <w:t xml:space="preserve"> </w:t>
                    </w:r>
                    <w:r>
                      <w:t>710</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5"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66656" behindDoc="1" locked="0" layoutInCell="1" allowOverlap="1" wp14:anchorId="0DFDDA18" wp14:editId="0DFDDA19">
              <wp:simplePos x="0" y="0"/>
              <wp:positionH relativeFrom="page">
                <wp:posOffset>895350</wp:posOffset>
              </wp:positionH>
              <wp:positionV relativeFrom="page">
                <wp:posOffset>9400031</wp:posOffset>
              </wp:positionV>
              <wp:extent cx="5981700" cy="28575"/>
              <wp:effectExtent l="0" t="0" r="0" b="0"/>
              <wp:wrapNone/>
              <wp:docPr id="333" name="Graphic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44BDAE" id="Graphic 333" o:spid="_x0000_s1026" style="position:absolute;margin-left:70.5pt;margin-top:740.15pt;width:471pt;height:2.25pt;z-index:-271498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67168" behindDoc="1" locked="0" layoutInCell="1" allowOverlap="1" wp14:anchorId="0DFDDA1A" wp14:editId="0DFDDA1B">
              <wp:simplePos x="0" y="0"/>
              <wp:positionH relativeFrom="page">
                <wp:posOffset>901700</wp:posOffset>
              </wp:positionH>
              <wp:positionV relativeFrom="page">
                <wp:posOffset>9432545</wp:posOffset>
              </wp:positionV>
              <wp:extent cx="678180" cy="181610"/>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69"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1A" id="_x0000_t202" coordsize="21600,21600" o:spt="202" path="m,l,21600r21600,l21600,xe">
              <v:stroke joinstyle="miter"/>
              <v:path gradientshapeok="t" o:connecttype="rect"/>
            </v:shapetype>
            <v:shape id="Textbox 334" o:spid="_x0000_s1173" type="#_x0000_t202" style="position:absolute;margin-left:71pt;margin-top:742.7pt;width:53.4pt;height:14.3pt;z-index:-27149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ISUcmAEA&#10;ACMDAAAOAAAAAAAAAAAAAAAAAC4CAABkcnMvZTJvRG9jLnhtbFBLAQItABQABgAIAAAAIQCuavdD&#10;4QAAAA0BAAAPAAAAAAAAAAAAAAAAAPIDAABkcnMvZG93bnJldi54bWxQSwUGAAAAAAQABADzAAAA&#10;AAUAAAAA&#10;" filled="f" stroked="f">
              <v:textbox inset="0,0,0,0">
                <w:txbxContent>
                  <w:p w14:paraId="0DFDDE69"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67680" behindDoc="1" locked="0" layoutInCell="1" allowOverlap="1" wp14:anchorId="0DFDDA1C" wp14:editId="0DFDDA1D">
              <wp:simplePos x="0" y="0"/>
              <wp:positionH relativeFrom="page">
                <wp:posOffset>2783077</wp:posOffset>
              </wp:positionH>
              <wp:positionV relativeFrom="page">
                <wp:posOffset>9432545</wp:posOffset>
              </wp:positionV>
              <wp:extent cx="2206625" cy="18161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6A"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1C" id="Textbox 335" o:spid="_x0000_s1174" type="#_x0000_t202" style="position:absolute;margin-left:219.15pt;margin-top:742.7pt;width:173.75pt;height:14.3pt;z-index:-27148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POGMKuZ&#10;AQAAJAMAAA4AAAAAAAAAAAAAAAAALgIAAGRycy9lMm9Eb2MueG1sUEsBAi0AFAAGAAgAAAAhAN6R&#10;NCbiAAAADQEAAA8AAAAAAAAAAAAAAAAA8wMAAGRycy9kb3ducmV2LnhtbFBLBQYAAAAABAAEAPMA&#10;AAACBQAAAAA=&#10;" filled="f" stroked="f">
              <v:textbox inset="0,0,0,0">
                <w:txbxContent>
                  <w:p w14:paraId="0DFDDE6A"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68192" behindDoc="1" locked="0" layoutInCell="1" allowOverlap="1" wp14:anchorId="0DFDDA1E" wp14:editId="0DFDDA1F">
              <wp:simplePos x="0" y="0"/>
              <wp:positionH relativeFrom="page">
                <wp:posOffset>5991172</wp:posOffset>
              </wp:positionH>
              <wp:positionV relativeFrom="page">
                <wp:posOffset>9432545</wp:posOffset>
              </wp:positionV>
              <wp:extent cx="879475" cy="181610"/>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9475" cy="181610"/>
                      </a:xfrm>
                      <a:prstGeom prst="rect">
                        <a:avLst/>
                      </a:prstGeom>
                    </wps:spPr>
                    <wps:txbx>
                      <w:txbxContent>
                        <w:p w14:paraId="0DFDDE6B" w14:textId="77777777" w:rsidR="00046465" w:rsidRDefault="008134EB">
                          <w:pPr>
                            <w:pStyle w:val="BodyText"/>
                            <w:spacing w:before="12"/>
                            <w:ind w:left="20"/>
                          </w:pPr>
                          <w:r>
                            <w:t>Page</w:t>
                          </w:r>
                          <w:r>
                            <w:rPr>
                              <w:spacing w:val="-8"/>
                            </w:rPr>
                            <w:t xml:space="preserve"> </w:t>
                          </w:r>
                          <w:r>
                            <w:t>710</w:t>
                          </w:r>
                          <w:r>
                            <w:rPr>
                              <w:spacing w:val="-6"/>
                            </w:rPr>
                            <w:t xml:space="preserve"> </w:t>
                          </w:r>
                          <w:r>
                            <w:t>B-</w:t>
                          </w:r>
                          <w:r>
                            <w:rPr>
                              <w:spacing w:val="-10"/>
                            </w:rPr>
                            <w:t>1</w:t>
                          </w:r>
                        </w:p>
                      </w:txbxContent>
                    </wps:txbx>
                    <wps:bodyPr wrap="square" lIns="0" tIns="0" rIns="0" bIns="0" rtlCol="0">
                      <a:noAutofit/>
                    </wps:bodyPr>
                  </wps:wsp>
                </a:graphicData>
              </a:graphic>
            </wp:anchor>
          </w:drawing>
        </mc:Choice>
        <mc:Fallback>
          <w:pict>
            <v:shape w14:anchorId="0DFDDA1E" id="Textbox 336" o:spid="_x0000_s1175" type="#_x0000_t202" style="position:absolute;margin-left:471.75pt;margin-top:742.7pt;width:69.25pt;height:14.3pt;z-index:-2714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" filled="f" stroked="f">
              <v:textbox inset="0,0,0,0">
                <w:txbxContent>
                  <w:p w14:paraId="0DFDDE6B" w14:textId="77777777" w:rsidR="00046465" w:rsidRDefault="008134EB">
                    <w:pPr>
                      <w:pStyle w:val="BodyText"/>
                      <w:spacing w:before="12"/>
                      <w:ind w:left="20"/>
                    </w:pPr>
                    <w:r>
                      <w:t>Page</w:t>
                    </w:r>
                    <w:r>
                      <w:rPr>
                        <w:spacing w:val="-8"/>
                      </w:rPr>
                      <w:t xml:space="preserve"> </w:t>
                    </w:r>
                    <w:r>
                      <w:t>710</w:t>
                    </w:r>
                    <w:r>
                      <w:rPr>
                        <w:spacing w:val="-6"/>
                      </w:rPr>
                      <w:t xml:space="preserve"> </w:t>
                    </w:r>
                    <w:r>
                      <w:t>B-</w:t>
                    </w:r>
                    <w:r>
                      <w:rPr>
                        <w:spacing w:val="-10"/>
                      </w:rPr>
                      <w:t>1</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7"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70240" behindDoc="1" locked="0" layoutInCell="1" allowOverlap="1" wp14:anchorId="0DFDDA26" wp14:editId="0DFDDA27">
              <wp:simplePos x="0" y="0"/>
              <wp:positionH relativeFrom="page">
                <wp:posOffset>895350</wp:posOffset>
              </wp:positionH>
              <wp:positionV relativeFrom="page">
                <wp:posOffset>9400031</wp:posOffset>
              </wp:positionV>
              <wp:extent cx="5981700" cy="28575"/>
              <wp:effectExtent l="0" t="0" r="0" b="0"/>
              <wp:wrapNone/>
              <wp:docPr id="340" name="Graphic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D70710" id="Graphic 340" o:spid="_x0000_s1026" style="position:absolute;margin-left:70.5pt;margin-top:740.15pt;width:471pt;height:2.25pt;z-index:-271462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70752" behindDoc="1" locked="0" layoutInCell="1" allowOverlap="1" wp14:anchorId="0DFDDA28" wp14:editId="0DFDDA29">
              <wp:simplePos x="0" y="0"/>
              <wp:positionH relativeFrom="page">
                <wp:posOffset>901700</wp:posOffset>
              </wp:positionH>
              <wp:positionV relativeFrom="page">
                <wp:posOffset>9432545</wp:posOffset>
              </wp:positionV>
              <wp:extent cx="678180" cy="181610"/>
              <wp:effectExtent l="0" t="0" r="0" b="0"/>
              <wp:wrapNone/>
              <wp:docPr id="341" name="Text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6E"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28" id="_x0000_t202" coordsize="21600,21600" o:spt="202" path="m,l,21600r21600,l21600,xe">
              <v:stroke joinstyle="miter"/>
              <v:path gradientshapeok="t" o:connecttype="rect"/>
            </v:shapetype>
            <v:shape id="Textbox 341" o:spid="_x0000_s1177" type="#_x0000_t202" style="position:absolute;margin-left:71pt;margin-top:742.7pt;width:53.4pt;height:14.3pt;z-index:-27145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HjncKmAEA&#10;ACMDAAAOAAAAAAAAAAAAAAAAAC4CAABkcnMvZTJvRG9jLnhtbFBLAQItABQABgAIAAAAIQCuavdD&#10;4QAAAA0BAAAPAAAAAAAAAAAAAAAAAPIDAABkcnMvZG93bnJldi54bWxQSwUGAAAAAAQABADzAAAA&#10;AAUAAAAA&#10;" filled="f" stroked="f">
              <v:textbox inset="0,0,0,0">
                <w:txbxContent>
                  <w:p w14:paraId="0DFDDE6E"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71264" behindDoc="1" locked="0" layoutInCell="1" allowOverlap="1" wp14:anchorId="0DFDDA2A" wp14:editId="0DFDDA2B">
              <wp:simplePos x="0" y="0"/>
              <wp:positionH relativeFrom="page">
                <wp:posOffset>2783077</wp:posOffset>
              </wp:positionH>
              <wp:positionV relativeFrom="page">
                <wp:posOffset>9432545</wp:posOffset>
              </wp:positionV>
              <wp:extent cx="2206625" cy="181610"/>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6F"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2A" id="Textbox 342" o:spid="_x0000_s1178" type="#_x0000_t202" style="position:absolute;margin-left:219.15pt;margin-top:742.7pt;width:173.75pt;height:14.3pt;z-index:-27145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CyAJJuZ&#10;AQAAJAMAAA4AAAAAAAAAAAAAAAAALgIAAGRycy9lMm9Eb2MueG1sUEsBAi0AFAAGAAgAAAAhAN6R&#10;NCbiAAAADQEAAA8AAAAAAAAAAAAAAAAA8wMAAGRycy9kb3ducmV2LnhtbFBLBQYAAAAABAAEAPMA&#10;AAACBQAAAAA=&#10;" filled="f" stroked="f">
              <v:textbox inset="0,0,0,0">
                <w:txbxContent>
                  <w:p w14:paraId="0DFDDE6F"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71776" behindDoc="1" locked="0" layoutInCell="1" allowOverlap="1" wp14:anchorId="0DFDDA2C" wp14:editId="0DFDDA2D">
              <wp:simplePos x="0" y="0"/>
              <wp:positionH relativeFrom="page">
                <wp:posOffset>5983502</wp:posOffset>
              </wp:positionH>
              <wp:positionV relativeFrom="page">
                <wp:posOffset>9432545</wp:posOffset>
              </wp:positionV>
              <wp:extent cx="887094" cy="181610"/>
              <wp:effectExtent l="0" t="0" r="0" b="0"/>
              <wp:wrapNone/>
              <wp:docPr id="343" name="Text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81610"/>
                      </a:xfrm>
                      <a:prstGeom prst="rect">
                        <a:avLst/>
                      </a:prstGeom>
                    </wps:spPr>
                    <wps:txbx>
                      <w:txbxContent>
                        <w:p w14:paraId="0DFDDE70" w14:textId="77777777" w:rsidR="00046465" w:rsidRDefault="008134EB">
                          <w:pPr>
                            <w:pStyle w:val="BodyText"/>
                            <w:spacing w:before="12"/>
                            <w:ind w:left="20"/>
                          </w:pPr>
                          <w:r>
                            <w:t>Page</w:t>
                          </w:r>
                          <w:r>
                            <w:rPr>
                              <w:spacing w:val="-7"/>
                            </w:rPr>
                            <w:t xml:space="preserve"> </w:t>
                          </w:r>
                          <w:r>
                            <w:t>710</w:t>
                          </w:r>
                          <w:r>
                            <w:rPr>
                              <w:spacing w:val="-6"/>
                            </w:rPr>
                            <w:t xml:space="preserve"> </w:t>
                          </w:r>
                          <w:r>
                            <w:t>C-</w:t>
                          </w:r>
                          <w:r>
                            <w:rPr>
                              <w:spacing w:val="-10"/>
                            </w:rPr>
                            <w:t>1</w:t>
                          </w:r>
                        </w:p>
                      </w:txbxContent>
                    </wps:txbx>
                    <wps:bodyPr wrap="square" lIns="0" tIns="0" rIns="0" bIns="0" rtlCol="0">
                      <a:noAutofit/>
                    </wps:bodyPr>
                  </wps:wsp>
                </a:graphicData>
              </a:graphic>
            </wp:anchor>
          </w:drawing>
        </mc:Choice>
        <mc:Fallback>
          <w:pict>
            <v:shape w14:anchorId="0DFDDA2C" id="Textbox 343" o:spid="_x0000_s1179" type="#_x0000_t202" style="position:absolute;margin-left:471.15pt;margin-top:742.7pt;width:69.85pt;height:14.3pt;z-index:-2714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" filled="f" stroked="f">
              <v:textbox inset="0,0,0,0">
                <w:txbxContent>
                  <w:p w14:paraId="0DFDDE70" w14:textId="77777777" w:rsidR="00046465" w:rsidRDefault="008134EB">
                    <w:pPr>
                      <w:pStyle w:val="BodyText"/>
                      <w:spacing w:before="12"/>
                      <w:ind w:left="20"/>
                    </w:pPr>
                    <w:r>
                      <w:t>Page</w:t>
                    </w:r>
                    <w:r>
                      <w:rPr>
                        <w:spacing w:val="-7"/>
                      </w:rPr>
                      <w:t xml:space="preserve"> </w:t>
                    </w:r>
                    <w:r>
                      <w:t>710</w:t>
                    </w:r>
                    <w:r>
                      <w:rPr>
                        <w:spacing w:val="-6"/>
                      </w:rPr>
                      <w:t xml:space="preserve"> </w:t>
                    </w:r>
                    <w:r>
                      <w:t>C-</w:t>
                    </w:r>
                    <w:r>
                      <w:rPr>
                        <w:spacing w:val="-10"/>
                      </w:rPr>
                      <w:t>1</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9"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73824" behindDoc="1" locked="0" layoutInCell="1" allowOverlap="1" wp14:anchorId="0DFDDA34" wp14:editId="0DFDDA35">
              <wp:simplePos x="0" y="0"/>
              <wp:positionH relativeFrom="page">
                <wp:posOffset>895350</wp:posOffset>
              </wp:positionH>
              <wp:positionV relativeFrom="page">
                <wp:posOffset>9400031</wp:posOffset>
              </wp:positionV>
              <wp:extent cx="5981700" cy="28575"/>
              <wp:effectExtent l="0" t="0" r="0" b="0"/>
              <wp:wrapNone/>
              <wp:docPr id="347" name="Graphic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0E2396" id="Graphic 347" o:spid="_x0000_s1026" style="position:absolute;margin-left:70.5pt;margin-top:740.15pt;width:471pt;height:2.25pt;z-index:-271426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74336" behindDoc="1" locked="0" layoutInCell="1" allowOverlap="1" wp14:anchorId="0DFDDA36" wp14:editId="0DFDDA37">
              <wp:simplePos x="0" y="0"/>
              <wp:positionH relativeFrom="page">
                <wp:posOffset>901700</wp:posOffset>
              </wp:positionH>
              <wp:positionV relativeFrom="page">
                <wp:posOffset>9432545</wp:posOffset>
              </wp:positionV>
              <wp:extent cx="678180" cy="181610"/>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73"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36" id="_x0000_t202" coordsize="21600,21600" o:spt="202" path="m,l,21600r21600,l21600,xe">
              <v:stroke joinstyle="miter"/>
              <v:path gradientshapeok="t" o:connecttype="rect"/>
            </v:shapetype>
            <v:shape id="Textbox 348" o:spid="_x0000_s1181" type="#_x0000_t202" style="position:absolute;margin-left:71pt;margin-top:742.7pt;width:53.4pt;height:14.3pt;z-index:-2714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a6bUXmAEA&#10;ACMDAAAOAAAAAAAAAAAAAAAAAC4CAABkcnMvZTJvRG9jLnhtbFBLAQItABQABgAIAAAAIQCuavdD&#10;4QAAAA0BAAAPAAAAAAAAAAAAAAAAAPIDAABkcnMvZG93bnJldi54bWxQSwUGAAAAAAQABADzAAAA&#10;AAUAAAAA&#10;" filled="f" stroked="f">
              <v:textbox inset="0,0,0,0">
                <w:txbxContent>
                  <w:p w14:paraId="0DFDDE73"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74848" behindDoc="1" locked="0" layoutInCell="1" allowOverlap="1" wp14:anchorId="0DFDDA38" wp14:editId="0DFDDA39">
              <wp:simplePos x="0" y="0"/>
              <wp:positionH relativeFrom="page">
                <wp:posOffset>2783077</wp:posOffset>
              </wp:positionH>
              <wp:positionV relativeFrom="page">
                <wp:posOffset>9432545</wp:posOffset>
              </wp:positionV>
              <wp:extent cx="2206625" cy="181610"/>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74"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38" id="Textbox 349" o:spid="_x0000_s1182" type="#_x0000_t202" style="position:absolute;margin-left:219.15pt;margin-top:742.7pt;width:173.75pt;height:14.3pt;z-index:-2714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cefmhpgB&#10;AAAkAwAADgAAAAAAAAAAAAAAAAAuAgAAZHJzL2Uyb0RvYy54bWxQSwECLQAUAAYACAAAACEA3pE0&#10;JuIAAAANAQAADwAAAAAAAAAAAAAAAADyAwAAZHJzL2Rvd25yZXYueG1sUEsFBgAAAAAEAAQA8wAA&#10;AAEFAAAAAA==&#10;" filled="f" stroked="f">
              <v:textbox inset="0,0,0,0">
                <w:txbxContent>
                  <w:p w14:paraId="0DFDDE74"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75360" behindDoc="1" locked="0" layoutInCell="1" allowOverlap="1" wp14:anchorId="0DFDDA3A" wp14:editId="0DFDDA3B">
              <wp:simplePos x="0" y="0"/>
              <wp:positionH relativeFrom="page">
                <wp:posOffset>5983502</wp:posOffset>
              </wp:positionH>
              <wp:positionV relativeFrom="page">
                <wp:posOffset>9432545</wp:posOffset>
              </wp:positionV>
              <wp:extent cx="887094" cy="181610"/>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7094" cy="181610"/>
                      </a:xfrm>
                      <a:prstGeom prst="rect">
                        <a:avLst/>
                      </a:prstGeom>
                    </wps:spPr>
                    <wps:txbx>
                      <w:txbxContent>
                        <w:p w14:paraId="0DFDDE75" w14:textId="77777777" w:rsidR="00046465" w:rsidRDefault="008134EB">
                          <w:pPr>
                            <w:pStyle w:val="BodyText"/>
                            <w:spacing w:before="12"/>
                            <w:ind w:left="20"/>
                          </w:pPr>
                          <w:r>
                            <w:t>Page</w:t>
                          </w:r>
                          <w:r>
                            <w:rPr>
                              <w:spacing w:val="-7"/>
                            </w:rPr>
                            <w:t xml:space="preserve"> </w:t>
                          </w:r>
                          <w:r>
                            <w:t>710</w:t>
                          </w:r>
                          <w:r>
                            <w:rPr>
                              <w:spacing w:val="-6"/>
                            </w:rPr>
                            <w:t xml:space="preserve"> </w:t>
                          </w:r>
                          <w:r>
                            <w:t>D-</w:t>
                          </w:r>
                          <w:r>
                            <w:rPr>
                              <w:spacing w:val="-10"/>
                            </w:rPr>
                            <w:t>1</w:t>
                          </w:r>
                        </w:p>
                      </w:txbxContent>
                    </wps:txbx>
                    <wps:bodyPr wrap="square" lIns="0" tIns="0" rIns="0" bIns="0" rtlCol="0">
                      <a:noAutofit/>
                    </wps:bodyPr>
                  </wps:wsp>
                </a:graphicData>
              </a:graphic>
            </wp:anchor>
          </w:drawing>
        </mc:Choice>
        <mc:Fallback>
          <w:pict>
            <v:shape w14:anchorId="0DFDDA3A" id="Textbox 350" o:spid="_x0000_s1183" type="#_x0000_t202" style="position:absolute;margin-left:471.15pt;margin-top:742.7pt;width:69.85pt;height:14.3pt;z-index:-2714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" filled="f" stroked="f">
              <v:textbox inset="0,0,0,0">
                <w:txbxContent>
                  <w:p w14:paraId="0DFDDE75" w14:textId="77777777" w:rsidR="00046465" w:rsidRDefault="008134EB">
                    <w:pPr>
                      <w:pStyle w:val="BodyText"/>
                      <w:spacing w:before="12"/>
                      <w:ind w:left="20"/>
                    </w:pPr>
                    <w:r>
                      <w:t>Page</w:t>
                    </w:r>
                    <w:r>
                      <w:rPr>
                        <w:spacing w:val="-7"/>
                      </w:rPr>
                      <w:t xml:space="preserve"> </w:t>
                    </w:r>
                    <w:r>
                      <w:t>710</w:t>
                    </w:r>
                    <w:r>
                      <w:rPr>
                        <w:spacing w:val="-6"/>
                      </w:rPr>
                      <w:t xml:space="preserve"> </w:t>
                    </w:r>
                    <w:r>
                      <w:t>D-</w:t>
                    </w:r>
                    <w:r>
                      <w:rPr>
                        <w:spacing w:val="-10"/>
                      </w:rPr>
                      <w:t>1</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B"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77408" behindDoc="1" locked="0" layoutInCell="1" allowOverlap="1" wp14:anchorId="0DFDDA42" wp14:editId="0DFDDA43">
              <wp:simplePos x="0" y="0"/>
              <wp:positionH relativeFrom="page">
                <wp:posOffset>895350</wp:posOffset>
              </wp:positionH>
              <wp:positionV relativeFrom="page">
                <wp:posOffset>9400031</wp:posOffset>
              </wp:positionV>
              <wp:extent cx="5981700" cy="28575"/>
              <wp:effectExtent l="0" t="0" r="0" b="0"/>
              <wp:wrapNone/>
              <wp:docPr id="354" name="Graphic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EA985D" id="Graphic 354" o:spid="_x0000_s1026" style="position:absolute;margin-left:70.5pt;margin-top:740.15pt;width:471pt;height:2.25pt;z-index:-271390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77920" behindDoc="1" locked="0" layoutInCell="1" allowOverlap="1" wp14:anchorId="0DFDDA44" wp14:editId="0DFDDA45">
              <wp:simplePos x="0" y="0"/>
              <wp:positionH relativeFrom="page">
                <wp:posOffset>901700</wp:posOffset>
              </wp:positionH>
              <wp:positionV relativeFrom="page">
                <wp:posOffset>9432545</wp:posOffset>
              </wp:positionV>
              <wp:extent cx="678180" cy="181610"/>
              <wp:effectExtent l="0" t="0" r="0" b="0"/>
              <wp:wrapNone/>
              <wp:docPr id="355" name="Text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78"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44" id="_x0000_t202" coordsize="21600,21600" o:spt="202" path="m,l,21600r21600,l21600,xe">
              <v:stroke joinstyle="miter"/>
              <v:path gradientshapeok="t" o:connecttype="rect"/>
            </v:shapetype>
            <v:shape id="Textbox 355" o:spid="_x0000_s1185" type="#_x0000_t202" style="position:absolute;margin-left:71pt;margin-top:742.7pt;width:53.4pt;height:14.3pt;z-index:-27138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9QPMxmAEA&#10;ACMDAAAOAAAAAAAAAAAAAAAAAC4CAABkcnMvZTJvRG9jLnhtbFBLAQItABQABgAIAAAAIQCuavdD&#10;4QAAAA0BAAAPAAAAAAAAAAAAAAAAAPIDAABkcnMvZG93bnJldi54bWxQSwUGAAAAAAQABADzAAAA&#10;AAUAAAAA&#10;" filled="f" stroked="f">
              <v:textbox inset="0,0,0,0">
                <w:txbxContent>
                  <w:p w14:paraId="0DFDDE78"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78432" behindDoc="1" locked="0" layoutInCell="1" allowOverlap="1" wp14:anchorId="0DFDDA46" wp14:editId="0DFDDA47">
              <wp:simplePos x="0" y="0"/>
              <wp:positionH relativeFrom="page">
                <wp:posOffset>2783077</wp:posOffset>
              </wp:positionH>
              <wp:positionV relativeFrom="page">
                <wp:posOffset>9432545</wp:posOffset>
              </wp:positionV>
              <wp:extent cx="2206625" cy="181610"/>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79"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46" id="Textbox 356" o:spid="_x0000_s1186" type="#_x0000_t202" style="position:absolute;margin-left:219.15pt;margin-top:742.7pt;width:173.75pt;height:14.3pt;z-index:-2713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PBQkI+Z&#10;AQAAJAMAAA4AAAAAAAAAAAAAAAAALgIAAGRycy9lMm9Eb2MueG1sUEsBAi0AFAAGAAgAAAAhAN6R&#10;NCbiAAAADQEAAA8AAAAAAAAAAAAAAAAA8wMAAGRycy9kb3ducmV2LnhtbFBLBQYAAAAABAAEAPMA&#10;AAACBQAAAAA=&#10;" filled="f" stroked="f">
              <v:textbox inset="0,0,0,0">
                <w:txbxContent>
                  <w:p w14:paraId="0DFDDE79"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78944" behindDoc="1" locked="0" layoutInCell="1" allowOverlap="1" wp14:anchorId="0DFDDA48" wp14:editId="0DFDDA49">
              <wp:simplePos x="0" y="0"/>
              <wp:positionH relativeFrom="page">
                <wp:posOffset>5983502</wp:posOffset>
              </wp:positionH>
              <wp:positionV relativeFrom="page">
                <wp:posOffset>9432545</wp:posOffset>
              </wp:positionV>
              <wp:extent cx="925194" cy="181610"/>
              <wp:effectExtent l="0" t="0" r="0" b="0"/>
              <wp:wrapNone/>
              <wp:docPr id="357" name="Text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5194" cy="181610"/>
                      </a:xfrm>
                      <a:prstGeom prst="rect">
                        <a:avLst/>
                      </a:prstGeom>
                    </wps:spPr>
                    <wps:txbx>
                      <w:txbxContent>
                        <w:p w14:paraId="0DFDDE7A" w14:textId="77777777" w:rsidR="00046465" w:rsidRDefault="008134EB">
                          <w:pPr>
                            <w:pStyle w:val="BodyText"/>
                            <w:spacing w:before="12"/>
                            <w:ind w:left="20"/>
                          </w:pPr>
                          <w:r>
                            <w:t>Page</w:t>
                          </w:r>
                          <w:r>
                            <w:rPr>
                              <w:spacing w:val="-7"/>
                            </w:rPr>
                            <w:t xml:space="preserve"> </w:t>
                          </w:r>
                          <w:r>
                            <w:t>710</w:t>
                          </w:r>
                          <w:r>
                            <w:rPr>
                              <w:spacing w:val="-6"/>
                            </w:rPr>
                            <w:t xml:space="preserve"> </w:t>
                          </w:r>
                          <w:r>
                            <w:t>D-</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A48" id="Textbox 357" o:spid="_x0000_s1187" type="#_x0000_t202" style="position:absolute;margin-left:471.15pt;margin-top:742.7pt;width:72.85pt;height:14.3pt;z-index:-27137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" filled="f" stroked="f">
              <v:textbox inset="0,0,0,0">
                <w:txbxContent>
                  <w:p w14:paraId="0DFDDE7A" w14:textId="77777777" w:rsidR="00046465" w:rsidRDefault="008134EB">
                    <w:pPr>
                      <w:pStyle w:val="BodyText"/>
                      <w:spacing w:before="12"/>
                      <w:ind w:left="20"/>
                    </w:pPr>
                    <w:r>
                      <w:t>Page</w:t>
                    </w:r>
                    <w:r>
                      <w:rPr>
                        <w:spacing w:val="-7"/>
                      </w:rPr>
                      <w:t xml:space="preserve"> </w:t>
                    </w:r>
                    <w:r>
                      <w:t>710</w:t>
                    </w:r>
                    <w:r>
                      <w:rPr>
                        <w:spacing w:val="-6"/>
                      </w:rPr>
                      <w:t xml:space="preserve"> </w:t>
                    </w:r>
                    <w:r>
                      <w:t>D-</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5" w14:textId="77777777" w:rsidR="00046465" w:rsidRDefault="00046465">
    <w:pPr>
      <w:pStyle w:val="BodyText"/>
      <w:spacing w:line="14" w:lineRule="auto"/>
      <w:rPr>
        <w:sz w:val="2"/>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D"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80992" behindDoc="1" locked="0" layoutInCell="1" allowOverlap="1" wp14:anchorId="0DFDDA50" wp14:editId="0DFDDA51">
              <wp:simplePos x="0" y="0"/>
              <wp:positionH relativeFrom="page">
                <wp:posOffset>895350</wp:posOffset>
              </wp:positionH>
              <wp:positionV relativeFrom="page">
                <wp:posOffset>9400031</wp:posOffset>
              </wp:positionV>
              <wp:extent cx="5981700" cy="28575"/>
              <wp:effectExtent l="0" t="0" r="0" b="0"/>
              <wp:wrapNone/>
              <wp:docPr id="361" name="Graphic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169ADD" id="Graphic 361" o:spid="_x0000_s1026" style="position:absolute;margin-left:70.5pt;margin-top:740.15pt;width:471pt;height:2.25pt;z-index:-2713548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81504" behindDoc="1" locked="0" layoutInCell="1" allowOverlap="1" wp14:anchorId="0DFDDA52" wp14:editId="0DFDDA53">
              <wp:simplePos x="0" y="0"/>
              <wp:positionH relativeFrom="page">
                <wp:posOffset>901700</wp:posOffset>
              </wp:positionH>
              <wp:positionV relativeFrom="page">
                <wp:posOffset>9432545</wp:posOffset>
              </wp:positionV>
              <wp:extent cx="678180" cy="18161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7D"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52" id="_x0000_t202" coordsize="21600,21600" o:spt="202" path="m,l,21600r21600,l21600,xe">
              <v:stroke joinstyle="miter"/>
              <v:path gradientshapeok="t" o:connecttype="rect"/>
            </v:shapetype>
            <v:shape id="Textbox 362" o:spid="_x0000_s1189" type="#_x0000_t202" style="position:absolute;margin-left:71pt;margin-top:742.7pt;width:53.4pt;height:14.3pt;z-index:-2713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bXsMemAEA&#10;ACMDAAAOAAAAAAAAAAAAAAAAAC4CAABkcnMvZTJvRG9jLnhtbFBLAQItABQABgAIAAAAIQCuavdD&#10;4QAAAA0BAAAPAAAAAAAAAAAAAAAAAPIDAABkcnMvZG93bnJldi54bWxQSwUGAAAAAAQABADzAAAA&#10;AAUAAAAA&#10;" filled="f" stroked="f">
              <v:textbox inset="0,0,0,0">
                <w:txbxContent>
                  <w:p w14:paraId="0DFDDE7D"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82016" behindDoc="1" locked="0" layoutInCell="1" allowOverlap="1" wp14:anchorId="0DFDDA54" wp14:editId="0DFDDA55">
              <wp:simplePos x="0" y="0"/>
              <wp:positionH relativeFrom="page">
                <wp:posOffset>2783077</wp:posOffset>
              </wp:positionH>
              <wp:positionV relativeFrom="page">
                <wp:posOffset>9432545</wp:posOffset>
              </wp:positionV>
              <wp:extent cx="2206625" cy="181610"/>
              <wp:effectExtent l="0" t="0" r="0" b="0"/>
              <wp:wrapNone/>
              <wp:docPr id="363" name="Text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7E"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54" id="Textbox 363" o:spid="_x0000_s1190" type="#_x0000_t202" style="position:absolute;margin-left:219.15pt;margin-top:742.7pt;width:173.75pt;height:14.3pt;z-index:-2713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K03UpKZ&#10;AQAAJAMAAA4AAAAAAAAAAAAAAAAALgIAAGRycy9lMm9Eb2MueG1sUEsBAi0AFAAGAAgAAAAhAN6R&#10;NCbiAAAADQEAAA8AAAAAAAAAAAAAAAAA8wMAAGRycy9kb3ducmV2LnhtbFBLBQYAAAAABAAEAPMA&#10;AAACBQAAAAA=&#10;" filled="f" stroked="f">
              <v:textbox inset="0,0,0,0">
                <w:txbxContent>
                  <w:p w14:paraId="0DFDDE7E"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82528" behindDoc="1" locked="0" layoutInCell="1" allowOverlap="1" wp14:anchorId="0DFDDA56" wp14:editId="0DFDDA57">
              <wp:simplePos x="0" y="0"/>
              <wp:positionH relativeFrom="page">
                <wp:posOffset>5991172</wp:posOffset>
              </wp:positionH>
              <wp:positionV relativeFrom="page">
                <wp:posOffset>9432545</wp:posOffset>
              </wp:positionV>
              <wp:extent cx="917575" cy="18161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7575" cy="181610"/>
                      </a:xfrm>
                      <a:prstGeom prst="rect">
                        <a:avLst/>
                      </a:prstGeom>
                    </wps:spPr>
                    <wps:txbx>
                      <w:txbxContent>
                        <w:p w14:paraId="0DFDDE7F" w14:textId="77777777" w:rsidR="00046465" w:rsidRDefault="008134EB">
                          <w:pPr>
                            <w:pStyle w:val="BodyText"/>
                            <w:spacing w:before="12"/>
                            <w:ind w:left="20"/>
                          </w:pPr>
                          <w:r>
                            <w:t>Page</w:t>
                          </w:r>
                          <w:r>
                            <w:rPr>
                              <w:spacing w:val="-8"/>
                            </w:rPr>
                            <w:t xml:space="preserve"> </w:t>
                          </w:r>
                          <w:r>
                            <w:t>710</w:t>
                          </w:r>
                          <w:r>
                            <w:rPr>
                              <w:spacing w:val="-6"/>
                            </w:rPr>
                            <w:t xml:space="preserve"> </w:t>
                          </w:r>
                          <w:r>
                            <w:t>E-</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A56" id="Textbox 364" o:spid="_x0000_s1191" type="#_x0000_t202" style="position:absolute;margin-left:471.75pt;margin-top:742.7pt;width:72.25pt;height:14.3pt;z-index:-2713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" filled="f" stroked="f">
              <v:textbox inset="0,0,0,0">
                <w:txbxContent>
                  <w:p w14:paraId="0DFDDE7F" w14:textId="77777777" w:rsidR="00046465" w:rsidRDefault="008134EB">
                    <w:pPr>
                      <w:pStyle w:val="BodyText"/>
                      <w:spacing w:before="12"/>
                      <w:ind w:left="20"/>
                    </w:pPr>
                    <w:r>
                      <w:t>Page</w:t>
                    </w:r>
                    <w:r>
                      <w:rPr>
                        <w:spacing w:val="-8"/>
                      </w:rPr>
                      <w:t xml:space="preserve"> </w:t>
                    </w:r>
                    <w:r>
                      <w:t>710</w:t>
                    </w:r>
                    <w:r>
                      <w:rPr>
                        <w:spacing w:val="-6"/>
                      </w:rPr>
                      <w:t xml:space="preserve"> </w:t>
                    </w:r>
                    <w:r>
                      <w:t>E-</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F" w14:textId="77777777" w:rsidR="00046465" w:rsidRDefault="00046465">
    <w:pPr>
      <w:pStyle w:val="BodyText"/>
      <w:spacing w:line="14" w:lineRule="auto"/>
      <w:rPr>
        <w:sz w:val="2"/>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1"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84576" behindDoc="1" locked="0" layoutInCell="1" allowOverlap="1" wp14:anchorId="0DFDDA5E" wp14:editId="0DFDDA5F">
              <wp:simplePos x="0" y="0"/>
              <wp:positionH relativeFrom="page">
                <wp:posOffset>895350</wp:posOffset>
              </wp:positionH>
              <wp:positionV relativeFrom="page">
                <wp:posOffset>9409176</wp:posOffset>
              </wp:positionV>
              <wp:extent cx="5981700" cy="1905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A4B006" id="Graphic 375" o:spid="_x0000_s1026" style="position:absolute;margin-left:70.5pt;margin-top:740.9pt;width:471pt;height:1.5pt;z-index:-27131904;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85088" behindDoc="1" locked="0" layoutInCell="1" allowOverlap="1" wp14:anchorId="0DFDDA60" wp14:editId="0DFDDA61">
              <wp:simplePos x="0" y="0"/>
              <wp:positionH relativeFrom="page">
                <wp:posOffset>901700</wp:posOffset>
              </wp:positionH>
              <wp:positionV relativeFrom="page">
                <wp:posOffset>9432545</wp:posOffset>
              </wp:positionV>
              <wp:extent cx="678180" cy="18161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82"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60" id="_x0000_t202" coordsize="21600,21600" o:spt="202" path="m,l,21600r21600,l21600,xe">
              <v:stroke joinstyle="miter"/>
              <v:path gradientshapeok="t" o:connecttype="rect"/>
            </v:shapetype>
            <v:shape id="Textbox 376" o:spid="_x0000_s1193" type="#_x0000_t202" style="position:absolute;margin-left:71pt;margin-top:742.7pt;width:53.4pt;height:14.3pt;z-index:-2713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EDmAEAACMDAAAOAAAAZHJzL2Uyb0RvYy54bWysUs2O0zAQviPxDpbv1M0Kdau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V7bpac8dwq1pXq6r4ra6HI1L6YsGLXDQS&#10;Oa5CQB8fKOXrdX0embk8X5+JpGk3ib5l5Pe3Oca8t4P2xGJGzrOR9Pug0UoxfA1sWA7/XOC52J0L&#10;TMMnKE8kawrw4ZDA9YXCFXemwEkUZvOryVH//V+mrm97+wc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GOQEDmAEA&#10;ACMDAAAOAAAAAAAAAAAAAAAAAC4CAABkcnMvZTJvRG9jLnhtbFBLAQItABQABgAIAAAAIQCuavdD&#10;4QAAAA0BAAAPAAAAAAAAAAAAAAAAAPIDAABkcnMvZG93bnJldi54bWxQSwUGAAAAAAQABADzAAAA&#10;AAUAAAAA&#10;" filled="f" stroked="f">
              <v:textbox inset="0,0,0,0">
                <w:txbxContent>
                  <w:p w14:paraId="0DFDDE82"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85600" behindDoc="1" locked="0" layoutInCell="1" allowOverlap="1" wp14:anchorId="0DFDDA62" wp14:editId="0DFDDA63">
              <wp:simplePos x="0" y="0"/>
              <wp:positionH relativeFrom="page">
                <wp:posOffset>2888995</wp:posOffset>
              </wp:positionH>
              <wp:positionV relativeFrom="page">
                <wp:posOffset>9432545</wp:posOffset>
              </wp:positionV>
              <wp:extent cx="2206625" cy="18161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83"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62" id="Textbox 377" o:spid="_x0000_s1194" type="#_x0000_t202" style="position:absolute;margin-left:227.5pt;margin-top:742.7pt;width:173.75pt;height:14.3pt;z-index:-2713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" filled="f" stroked="f">
              <v:textbox inset="0,0,0,0">
                <w:txbxContent>
                  <w:p w14:paraId="0DFDDE83"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86112" behindDoc="1" locked="0" layoutInCell="1" allowOverlap="1" wp14:anchorId="0DFDDA64" wp14:editId="0DFDDA65">
              <wp:simplePos x="0" y="0"/>
              <wp:positionH relativeFrom="page">
                <wp:posOffset>6123166</wp:posOffset>
              </wp:positionH>
              <wp:positionV relativeFrom="page">
                <wp:posOffset>9432545</wp:posOffset>
              </wp:positionV>
              <wp:extent cx="747395" cy="181610"/>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E84" w14:textId="77777777" w:rsidR="00046465" w:rsidRDefault="008134EB">
                          <w:pPr>
                            <w:pStyle w:val="BodyText"/>
                            <w:spacing w:before="12"/>
                            <w:ind w:left="20"/>
                          </w:pPr>
                          <w:r>
                            <w:t>Page</w:t>
                          </w:r>
                          <w:r>
                            <w:rPr>
                              <w:spacing w:val="-11"/>
                            </w:rPr>
                            <w:t xml:space="preserve"> </w:t>
                          </w:r>
                          <w:r>
                            <w:t>800-</w:t>
                          </w:r>
                          <w:r>
                            <w:rPr>
                              <w:spacing w:val="-10"/>
                            </w:rPr>
                            <w:t>1</w:t>
                          </w:r>
                        </w:p>
                      </w:txbxContent>
                    </wps:txbx>
                    <wps:bodyPr wrap="square" lIns="0" tIns="0" rIns="0" bIns="0" rtlCol="0">
                      <a:noAutofit/>
                    </wps:bodyPr>
                  </wps:wsp>
                </a:graphicData>
              </a:graphic>
            </wp:anchor>
          </w:drawing>
        </mc:Choice>
        <mc:Fallback>
          <w:pict>
            <v:shape w14:anchorId="0DFDDA64" id="Textbox 378" o:spid="_x0000_s1195" type="#_x0000_t202" style="position:absolute;margin-left:482.15pt;margin-top:742.7pt;width:58.85pt;height:14.3pt;z-index:-2713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" filled="f" stroked="f">
              <v:textbox inset="0,0,0,0">
                <w:txbxContent>
                  <w:p w14:paraId="0DFDDE84" w14:textId="77777777" w:rsidR="00046465" w:rsidRDefault="008134EB">
                    <w:pPr>
                      <w:pStyle w:val="BodyText"/>
                      <w:spacing w:before="12"/>
                      <w:ind w:left="20"/>
                    </w:pPr>
                    <w:r>
                      <w:t>Page</w:t>
                    </w:r>
                    <w:r>
                      <w:rPr>
                        <w:spacing w:val="-11"/>
                      </w:rPr>
                      <w:t xml:space="preserve"> </w:t>
                    </w:r>
                    <w:r>
                      <w:t>800-</w:t>
                    </w:r>
                    <w:r>
                      <w:rPr>
                        <w:spacing w:val="-10"/>
                      </w:rPr>
                      <w:t>1</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3"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88160" behindDoc="1" locked="0" layoutInCell="1" allowOverlap="1" wp14:anchorId="0DFDDA6C" wp14:editId="0DFDDA6D">
              <wp:simplePos x="0" y="0"/>
              <wp:positionH relativeFrom="page">
                <wp:posOffset>895350</wp:posOffset>
              </wp:positionH>
              <wp:positionV relativeFrom="page">
                <wp:posOffset>9409176</wp:posOffset>
              </wp:positionV>
              <wp:extent cx="5981700" cy="19050"/>
              <wp:effectExtent l="0" t="0" r="0" b="0"/>
              <wp:wrapNone/>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EDA1E5" id="Graphic 382" o:spid="_x0000_s1026" style="position:absolute;margin-left:70.5pt;margin-top:740.9pt;width:471pt;height:1.5pt;z-index:-27128320;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88672" behindDoc="1" locked="0" layoutInCell="1" allowOverlap="1" wp14:anchorId="0DFDDA6E" wp14:editId="0DFDDA6F">
              <wp:simplePos x="0" y="0"/>
              <wp:positionH relativeFrom="page">
                <wp:posOffset>901700</wp:posOffset>
              </wp:positionH>
              <wp:positionV relativeFrom="page">
                <wp:posOffset>9432545</wp:posOffset>
              </wp:positionV>
              <wp:extent cx="678180" cy="181610"/>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87"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6E" id="_x0000_t202" coordsize="21600,21600" o:spt="202" path="m,l,21600r21600,l21600,xe">
              <v:stroke joinstyle="miter"/>
              <v:path gradientshapeok="t" o:connecttype="rect"/>
            </v:shapetype>
            <v:shape id="Textbox 383" o:spid="_x0000_s1197" type="#_x0000_t202" style="position:absolute;margin-left:71pt;margin-top:742.7pt;width:53.4pt;height:14.3pt;z-index:-271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llMVmAEA&#10;ACMDAAAOAAAAAAAAAAAAAAAAAC4CAABkcnMvZTJvRG9jLnhtbFBLAQItABQABgAIAAAAIQCuavdD&#10;4QAAAA0BAAAPAAAAAAAAAAAAAAAAAPIDAABkcnMvZG93bnJldi54bWxQSwUGAAAAAAQABADzAAAA&#10;AAUAAAAA&#10;" filled="f" stroked="f">
              <v:textbox inset="0,0,0,0">
                <w:txbxContent>
                  <w:p w14:paraId="0DFDDE87"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89184" behindDoc="1" locked="0" layoutInCell="1" allowOverlap="1" wp14:anchorId="0DFDDA70" wp14:editId="0DFDDA71">
              <wp:simplePos x="0" y="0"/>
              <wp:positionH relativeFrom="page">
                <wp:posOffset>2783105</wp:posOffset>
              </wp:positionH>
              <wp:positionV relativeFrom="page">
                <wp:posOffset>9432545</wp:posOffset>
              </wp:positionV>
              <wp:extent cx="2206625" cy="181610"/>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88"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70" id="Textbox 384" o:spid="_x0000_s1198" type="#_x0000_t202" style="position:absolute;margin-left:219.15pt;margin-top:742.7pt;width:173.75pt;height:14.3pt;z-index:-2712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JWYAISZ&#10;AQAAJAMAAA4AAAAAAAAAAAAAAAAALgIAAGRycy9lMm9Eb2MueG1sUEsBAi0AFAAGAAgAAAAhAN6R&#10;NCbiAAAADQEAAA8AAAAAAAAAAAAAAAAA8wMAAGRycy9kb3ducmV2LnhtbFBLBQYAAAAABAAEAPMA&#10;AAACBQAAAAA=&#10;" filled="f" stroked="f">
              <v:textbox inset="0,0,0,0">
                <w:txbxContent>
                  <w:p w14:paraId="0DFDDE88"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89696" behindDoc="1" locked="0" layoutInCell="1" allowOverlap="1" wp14:anchorId="0DFDDA72" wp14:editId="0DFDDA73">
              <wp:simplePos x="0" y="0"/>
              <wp:positionH relativeFrom="page">
                <wp:posOffset>6122976</wp:posOffset>
              </wp:positionH>
              <wp:positionV relativeFrom="page">
                <wp:posOffset>9432545</wp:posOffset>
              </wp:positionV>
              <wp:extent cx="747395" cy="181610"/>
              <wp:effectExtent l="0" t="0" r="0" b="0"/>
              <wp:wrapNone/>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E89" w14:textId="77777777" w:rsidR="00046465" w:rsidRDefault="008134EB">
                          <w:pPr>
                            <w:pStyle w:val="BodyText"/>
                            <w:spacing w:before="12"/>
                            <w:ind w:left="20"/>
                          </w:pPr>
                          <w:r>
                            <w:t>Page</w:t>
                          </w:r>
                          <w:r>
                            <w:rPr>
                              <w:spacing w:val="-11"/>
                            </w:rPr>
                            <w:t xml:space="preserve"> </w:t>
                          </w:r>
                          <w:r>
                            <w:t>802-</w:t>
                          </w:r>
                          <w:r>
                            <w:rPr>
                              <w:spacing w:val="-10"/>
                            </w:rPr>
                            <w:t>1</w:t>
                          </w:r>
                        </w:p>
                      </w:txbxContent>
                    </wps:txbx>
                    <wps:bodyPr wrap="square" lIns="0" tIns="0" rIns="0" bIns="0" rtlCol="0">
                      <a:noAutofit/>
                    </wps:bodyPr>
                  </wps:wsp>
                </a:graphicData>
              </a:graphic>
            </wp:anchor>
          </w:drawing>
        </mc:Choice>
        <mc:Fallback>
          <w:pict>
            <v:shape w14:anchorId="0DFDDA72" id="Textbox 385" o:spid="_x0000_s1199" type="#_x0000_t202" style="position:absolute;margin-left:482.1pt;margin-top:742.7pt;width:58.85pt;height:14.3pt;z-index:-2712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" filled="f" stroked="f">
              <v:textbox inset="0,0,0,0">
                <w:txbxContent>
                  <w:p w14:paraId="0DFDDE89" w14:textId="77777777" w:rsidR="00046465" w:rsidRDefault="008134EB">
                    <w:pPr>
                      <w:pStyle w:val="BodyText"/>
                      <w:spacing w:before="12"/>
                      <w:ind w:left="20"/>
                    </w:pPr>
                    <w:r>
                      <w:t>Page</w:t>
                    </w:r>
                    <w:r>
                      <w:rPr>
                        <w:spacing w:val="-11"/>
                      </w:rPr>
                      <w:t xml:space="preserve"> </w:t>
                    </w:r>
                    <w:r>
                      <w:t>802-</w:t>
                    </w:r>
                    <w:r>
                      <w:rPr>
                        <w:spacing w:val="-10"/>
                      </w:rPr>
                      <w:t>1</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5"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91744" behindDoc="1" locked="0" layoutInCell="1" allowOverlap="1" wp14:anchorId="0DFDDA7A" wp14:editId="0DFDDA7B">
              <wp:simplePos x="0" y="0"/>
              <wp:positionH relativeFrom="page">
                <wp:posOffset>895350</wp:posOffset>
              </wp:positionH>
              <wp:positionV relativeFrom="page">
                <wp:posOffset>9409176</wp:posOffset>
              </wp:positionV>
              <wp:extent cx="5981700" cy="1905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803ABA" id="Graphic 389" o:spid="_x0000_s1026" style="position:absolute;margin-left:70.5pt;margin-top:740.9pt;width:471pt;height:1.5pt;z-index:-27124736;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92256" behindDoc="1" locked="0" layoutInCell="1" allowOverlap="1" wp14:anchorId="0DFDDA7C" wp14:editId="0DFDDA7D">
              <wp:simplePos x="0" y="0"/>
              <wp:positionH relativeFrom="page">
                <wp:posOffset>901700</wp:posOffset>
              </wp:positionH>
              <wp:positionV relativeFrom="page">
                <wp:posOffset>9432545</wp:posOffset>
              </wp:positionV>
              <wp:extent cx="678180" cy="181610"/>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8C"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7C" id="_x0000_t202" coordsize="21600,21600" o:spt="202" path="m,l,21600r21600,l21600,xe">
              <v:stroke joinstyle="miter"/>
              <v:path gradientshapeok="t" o:connecttype="rect"/>
            </v:shapetype>
            <v:shape id="Textbox 390" o:spid="_x0000_s1201" type="#_x0000_t202" style="position:absolute;margin-left:71pt;margin-top:742.7pt;width:53.4pt;height:14.3pt;z-index:-2712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EImAEAACMDAAAOAAAAZHJzL2Uyb0RvYy54bWysUs2O0zAQviPxDpbv1M1KW6q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V+3W15o7hVrWuVlXxW10PR6T0xYIXuWgk&#10;clyFgD4+UMrX6/o8MnN5vj4TSdNuEn3LyLe3Oca8t4P2xGJGzrOR9Pug0UoxfA1sWA7/XOC52J0L&#10;TMMnKE8kawrw4ZDA9YXCFXemwEkUZvOryVH//V+mrm97+wc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j8ZEImAEA&#10;ACMDAAAOAAAAAAAAAAAAAAAAAC4CAABkcnMvZTJvRG9jLnhtbFBLAQItABQABgAIAAAAIQCuavdD&#10;4QAAAA0BAAAPAAAAAAAAAAAAAAAAAPIDAABkcnMvZG93bnJldi54bWxQSwUGAAAAAAQABADzAAAA&#10;AAUAAAAA&#10;" filled="f" stroked="f">
              <v:textbox inset="0,0,0,0">
                <w:txbxContent>
                  <w:p w14:paraId="0DFDDE8C"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92768" behindDoc="1" locked="0" layoutInCell="1" allowOverlap="1" wp14:anchorId="0DFDDA7E" wp14:editId="0DFDDA7F">
              <wp:simplePos x="0" y="0"/>
              <wp:positionH relativeFrom="page">
                <wp:posOffset>2783105</wp:posOffset>
              </wp:positionH>
              <wp:positionV relativeFrom="page">
                <wp:posOffset>9432545</wp:posOffset>
              </wp:positionV>
              <wp:extent cx="2206625" cy="18161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8D"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7E" id="Textbox 391" o:spid="_x0000_s1202" type="#_x0000_t202" style="position:absolute;margin-left:219.15pt;margin-top:742.7pt;width:173.75pt;height:14.3pt;z-index:-2712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yP/CmZgB&#10;AAAkAwAADgAAAAAAAAAAAAAAAAAuAgAAZHJzL2Uyb0RvYy54bWxQSwECLQAUAAYACAAAACEA3pE0&#10;JuIAAAANAQAADwAAAAAAAAAAAAAAAADyAwAAZHJzL2Rvd25yZXYueG1sUEsFBgAAAAAEAAQA8wAA&#10;AAEFAAAAAA==&#10;" filled="f" stroked="f">
              <v:textbox inset="0,0,0,0">
                <w:txbxContent>
                  <w:p w14:paraId="0DFDDE8D"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93280" behindDoc="1" locked="0" layoutInCell="1" allowOverlap="1" wp14:anchorId="0DFDDA80" wp14:editId="0DFDDA81">
              <wp:simplePos x="0" y="0"/>
              <wp:positionH relativeFrom="page">
                <wp:posOffset>6122976</wp:posOffset>
              </wp:positionH>
              <wp:positionV relativeFrom="page">
                <wp:posOffset>9432545</wp:posOffset>
              </wp:positionV>
              <wp:extent cx="785495" cy="18161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8E" w14:textId="77777777" w:rsidR="00046465" w:rsidRDefault="008134EB">
                          <w:pPr>
                            <w:pStyle w:val="BodyText"/>
                            <w:spacing w:before="12"/>
                            <w:ind w:left="20"/>
                          </w:pPr>
                          <w:r>
                            <w:t>Page</w:t>
                          </w:r>
                          <w:r>
                            <w:rPr>
                              <w:spacing w:val="-11"/>
                            </w:rPr>
                            <w:t xml:space="preserve"> </w:t>
                          </w:r>
                          <w:r>
                            <w:t>802-</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A80" id="Textbox 392" o:spid="_x0000_s1203" type="#_x0000_t202" style="position:absolute;margin-left:482.1pt;margin-top:742.7pt;width:61.85pt;height:14.3pt;z-index:-27123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" filled="f" stroked="f">
              <v:textbox inset="0,0,0,0">
                <w:txbxContent>
                  <w:p w14:paraId="0DFDDE8E" w14:textId="77777777" w:rsidR="00046465" w:rsidRDefault="008134EB">
                    <w:pPr>
                      <w:pStyle w:val="BodyText"/>
                      <w:spacing w:before="12"/>
                      <w:ind w:left="20"/>
                    </w:pPr>
                    <w:r>
                      <w:t>Page</w:t>
                    </w:r>
                    <w:r>
                      <w:rPr>
                        <w:spacing w:val="-11"/>
                      </w:rPr>
                      <w:t xml:space="preserve"> </w:t>
                    </w:r>
                    <w:r>
                      <w:t>802-</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7"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94816" behindDoc="1" locked="0" layoutInCell="1" allowOverlap="1" wp14:anchorId="0DFDDA86" wp14:editId="0DFDDA87">
              <wp:simplePos x="0" y="0"/>
              <wp:positionH relativeFrom="page">
                <wp:posOffset>895350</wp:posOffset>
              </wp:positionH>
              <wp:positionV relativeFrom="page">
                <wp:posOffset>9409176</wp:posOffset>
              </wp:positionV>
              <wp:extent cx="5981700" cy="19050"/>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871CFF" id="Graphic 398" o:spid="_x0000_s1026" style="position:absolute;margin-left:70.5pt;margin-top:740.9pt;width:471pt;height:1.5pt;z-index:-27121664;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95328" behindDoc="1" locked="0" layoutInCell="1" allowOverlap="1" wp14:anchorId="0DFDDA88" wp14:editId="0DFDDA89">
              <wp:simplePos x="0" y="0"/>
              <wp:positionH relativeFrom="page">
                <wp:posOffset>901700</wp:posOffset>
              </wp:positionH>
              <wp:positionV relativeFrom="page">
                <wp:posOffset>9432545</wp:posOffset>
              </wp:positionV>
              <wp:extent cx="678180" cy="181610"/>
              <wp:effectExtent l="0" t="0" r="0" b="0"/>
              <wp:wrapNone/>
              <wp:docPr id="399" name="Text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91"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88" id="_x0000_t202" coordsize="21600,21600" o:spt="202" path="m,l,21600r21600,l21600,xe">
              <v:stroke joinstyle="miter"/>
              <v:path gradientshapeok="t" o:connecttype="rect"/>
            </v:shapetype>
            <v:shape id="Textbox 399" o:spid="_x0000_s1205" type="#_x0000_t202" style="position:absolute;margin-left:71pt;margin-top:742.7pt;width:53.4pt;height:14.3pt;z-index:-2712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EWNcumAEA&#10;ACMDAAAOAAAAAAAAAAAAAAAAAC4CAABkcnMvZTJvRG9jLnhtbFBLAQItABQABgAIAAAAIQCuavdD&#10;4QAAAA0BAAAPAAAAAAAAAAAAAAAAAPIDAABkcnMvZG93bnJldi54bWxQSwUGAAAAAAQABADzAAAA&#10;AAUAAAAA&#10;" filled="f" stroked="f">
              <v:textbox inset="0,0,0,0">
                <w:txbxContent>
                  <w:p w14:paraId="0DFDDE91"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95840" behindDoc="1" locked="0" layoutInCell="1" allowOverlap="1" wp14:anchorId="0DFDDA8A" wp14:editId="0DFDDA8B">
              <wp:simplePos x="0" y="0"/>
              <wp:positionH relativeFrom="page">
                <wp:posOffset>2783105</wp:posOffset>
              </wp:positionH>
              <wp:positionV relativeFrom="page">
                <wp:posOffset>9432545</wp:posOffset>
              </wp:positionV>
              <wp:extent cx="2206625" cy="181610"/>
              <wp:effectExtent l="0" t="0" r="0" b="0"/>
              <wp:wrapNone/>
              <wp:docPr id="400" name="Text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92"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8A" id="Textbox 400" o:spid="_x0000_s1206" type="#_x0000_t202" style="position:absolute;margin-left:219.15pt;margin-top:742.7pt;width:173.75pt;height:14.3pt;z-index:-2712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Z6dzhZgB&#10;AAAkAwAADgAAAAAAAAAAAAAAAAAuAgAAZHJzL2Uyb0RvYy54bWxQSwECLQAUAAYACAAAACEA3pE0&#10;JuIAAAANAQAADwAAAAAAAAAAAAAAAADyAwAAZHJzL2Rvd25yZXYueG1sUEsFBgAAAAAEAAQA8wAA&#10;AAEFAAAAAA==&#10;" filled="f" stroked="f">
              <v:textbox inset="0,0,0,0">
                <w:txbxContent>
                  <w:p w14:paraId="0DFDDE92"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96352" behindDoc="1" locked="0" layoutInCell="1" allowOverlap="1" wp14:anchorId="0DFDDA8C" wp14:editId="0DFDDA8D">
              <wp:simplePos x="0" y="0"/>
              <wp:positionH relativeFrom="page">
                <wp:posOffset>6122976</wp:posOffset>
              </wp:positionH>
              <wp:positionV relativeFrom="page">
                <wp:posOffset>9432545</wp:posOffset>
              </wp:positionV>
              <wp:extent cx="785495" cy="18161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93" w14:textId="77777777" w:rsidR="00046465" w:rsidRDefault="008134EB">
                          <w:pPr>
                            <w:pStyle w:val="BodyText"/>
                            <w:spacing w:before="12"/>
                            <w:ind w:left="20"/>
                          </w:pPr>
                          <w:r>
                            <w:t>Page</w:t>
                          </w:r>
                          <w:r>
                            <w:rPr>
                              <w:spacing w:val="-11"/>
                            </w:rPr>
                            <w:t xml:space="preserve"> </w:t>
                          </w:r>
                          <w:r>
                            <w:t>802-</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w14:anchorId="0DFDDA8C" id="Textbox 401" o:spid="_x0000_s1207" type="#_x0000_t202" style="position:absolute;margin-left:482.1pt;margin-top:742.7pt;width:61.85pt;height:14.3pt;z-index:-2712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" filled="f" stroked="f">
              <v:textbox inset="0,0,0,0">
                <w:txbxContent>
                  <w:p w14:paraId="0DFDDE93" w14:textId="77777777" w:rsidR="00046465" w:rsidRDefault="008134EB">
                    <w:pPr>
                      <w:pStyle w:val="BodyText"/>
                      <w:spacing w:before="12"/>
                      <w:ind w:left="20"/>
                    </w:pPr>
                    <w:r>
                      <w:t>Page</w:t>
                    </w:r>
                    <w:r>
                      <w:rPr>
                        <w:spacing w:val="-11"/>
                      </w:rPr>
                      <w:t xml:space="preserve"> </w:t>
                    </w:r>
                    <w:r>
                      <w:t>802-</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9"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98400" behindDoc="1" locked="0" layoutInCell="1" allowOverlap="1" wp14:anchorId="0DFDDA94" wp14:editId="0DFDDA95">
              <wp:simplePos x="0" y="0"/>
              <wp:positionH relativeFrom="page">
                <wp:posOffset>895350</wp:posOffset>
              </wp:positionH>
              <wp:positionV relativeFrom="page">
                <wp:posOffset>9409176</wp:posOffset>
              </wp:positionV>
              <wp:extent cx="5981700" cy="19050"/>
              <wp:effectExtent l="0" t="0" r="0" b="0"/>
              <wp:wrapNone/>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6BC141" id="Graphic 415" o:spid="_x0000_s1026" style="position:absolute;margin-left:70.5pt;margin-top:740.9pt;width:471pt;height:1.5pt;z-index:-27118080;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98912" behindDoc="1" locked="0" layoutInCell="1" allowOverlap="1" wp14:anchorId="0DFDDA96" wp14:editId="0DFDDA97">
              <wp:simplePos x="0" y="0"/>
              <wp:positionH relativeFrom="page">
                <wp:posOffset>901700</wp:posOffset>
              </wp:positionH>
              <wp:positionV relativeFrom="page">
                <wp:posOffset>9432545</wp:posOffset>
              </wp:positionV>
              <wp:extent cx="678180" cy="181610"/>
              <wp:effectExtent l="0" t="0" r="0" b="0"/>
              <wp:wrapNone/>
              <wp:docPr id="416" name="Text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96"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96" id="_x0000_t202" coordsize="21600,21600" o:spt="202" path="m,l,21600r21600,l21600,xe">
              <v:stroke joinstyle="miter"/>
              <v:path gradientshapeok="t" o:connecttype="rect"/>
            </v:shapetype>
            <v:shape id="Textbox 416" o:spid="_x0000_s1209" type="#_x0000_t202" style="position:absolute;margin-left:71pt;margin-top:742.7pt;width:53.4pt;height:14.3pt;z-index:-2711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MqSAUmAEA&#10;ACMDAAAOAAAAAAAAAAAAAAAAAC4CAABkcnMvZTJvRG9jLnhtbFBLAQItABQABgAIAAAAIQCuavdD&#10;4QAAAA0BAAAPAAAAAAAAAAAAAAAAAPIDAABkcnMvZG93bnJldi54bWxQSwUGAAAAAAQABADzAAAA&#10;AAUAAAAA&#10;" filled="f" stroked="f">
              <v:textbox inset="0,0,0,0">
                <w:txbxContent>
                  <w:p w14:paraId="0DFDDE96"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199424" behindDoc="1" locked="0" layoutInCell="1" allowOverlap="1" wp14:anchorId="0DFDDA98" wp14:editId="0DFDDA99">
              <wp:simplePos x="0" y="0"/>
              <wp:positionH relativeFrom="page">
                <wp:posOffset>2783105</wp:posOffset>
              </wp:positionH>
              <wp:positionV relativeFrom="page">
                <wp:posOffset>9432545</wp:posOffset>
              </wp:positionV>
              <wp:extent cx="2206625" cy="181610"/>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97"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98" id="Textbox 417" o:spid="_x0000_s1210" type="#_x0000_t202" style="position:absolute;margin-left:219.15pt;margin-top:742.7pt;width:173.75pt;height:14.3pt;z-index:-27117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OsCxmJgB&#10;AAAkAwAADgAAAAAAAAAAAAAAAAAuAgAAZHJzL2Uyb0RvYy54bWxQSwECLQAUAAYACAAAACEA3pE0&#10;JuIAAAANAQAADwAAAAAAAAAAAAAAAADyAwAAZHJzL2Rvd25yZXYueG1sUEsFBgAAAAAEAAQA8wAA&#10;AAEFAAAAAA==&#10;" filled="f" stroked="f">
              <v:textbox inset="0,0,0,0">
                <w:txbxContent>
                  <w:p w14:paraId="0DFDDE97"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199936" behindDoc="1" locked="0" layoutInCell="1" allowOverlap="1" wp14:anchorId="0DFDDA9A" wp14:editId="0DFDDA9B">
              <wp:simplePos x="0" y="0"/>
              <wp:positionH relativeFrom="page">
                <wp:posOffset>6122976</wp:posOffset>
              </wp:positionH>
              <wp:positionV relativeFrom="page">
                <wp:posOffset>9432545</wp:posOffset>
              </wp:positionV>
              <wp:extent cx="785495" cy="18161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98" w14:textId="77777777" w:rsidR="00046465" w:rsidRDefault="008134EB">
                          <w:pPr>
                            <w:pStyle w:val="BodyText"/>
                            <w:spacing w:before="12"/>
                            <w:ind w:left="20"/>
                          </w:pPr>
                          <w:r>
                            <w:t>Page</w:t>
                          </w:r>
                          <w:r>
                            <w:rPr>
                              <w:spacing w:val="-11"/>
                            </w:rPr>
                            <w:t xml:space="preserve"> </w:t>
                          </w:r>
                          <w:r>
                            <w:t>802-</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w14:anchorId="0DFDDA9A" id="Textbox 418" o:spid="_x0000_s1211" type="#_x0000_t202" style="position:absolute;margin-left:482.1pt;margin-top:742.7pt;width:61.85pt;height:14.3pt;z-index:-2711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" filled="f" stroked="f">
              <v:textbox inset="0,0,0,0">
                <w:txbxContent>
                  <w:p w14:paraId="0DFDDE98" w14:textId="77777777" w:rsidR="00046465" w:rsidRDefault="008134EB">
                    <w:pPr>
                      <w:pStyle w:val="BodyText"/>
                      <w:spacing w:before="12"/>
                      <w:ind w:left="20"/>
                    </w:pPr>
                    <w:r>
                      <w:t>Page</w:t>
                    </w:r>
                    <w:r>
                      <w:rPr>
                        <w:spacing w:val="-11"/>
                      </w:rPr>
                      <w:t xml:space="preserve"> </w:t>
                    </w:r>
                    <w:r>
                      <w:t>802-</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B"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01472" behindDoc="1" locked="0" layoutInCell="1" allowOverlap="1" wp14:anchorId="0DFDDAA0" wp14:editId="0DFDDAA1">
              <wp:simplePos x="0" y="0"/>
              <wp:positionH relativeFrom="page">
                <wp:posOffset>895350</wp:posOffset>
              </wp:positionH>
              <wp:positionV relativeFrom="page">
                <wp:posOffset>9409176</wp:posOffset>
              </wp:positionV>
              <wp:extent cx="5981700" cy="1905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AB9678" id="Graphic 434" o:spid="_x0000_s1026" style="position:absolute;margin-left:70.5pt;margin-top:740.9pt;width:471pt;height:1.5pt;z-index:-27115008;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01984" behindDoc="1" locked="0" layoutInCell="1" allowOverlap="1" wp14:anchorId="0DFDDAA2" wp14:editId="0DFDDAA3">
              <wp:simplePos x="0" y="0"/>
              <wp:positionH relativeFrom="page">
                <wp:posOffset>901700</wp:posOffset>
              </wp:positionH>
              <wp:positionV relativeFrom="page">
                <wp:posOffset>9432545</wp:posOffset>
              </wp:positionV>
              <wp:extent cx="678180" cy="18161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9B"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A2" id="_x0000_t202" coordsize="21600,21600" o:spt="202" path="m,l,21600r21600,l21600,xe">
              <v:stroke joinstyle="miter"/>
              <v:path gradientshapeok="t" o:connecttype="rect"/>
            </v:shapetype>
            <v:shape id="Textbox 435" o:spid="_x0000_s1213" type="#_x0000_t202" style="position:absolute;margin-left:71pt;margin-top:742.7pt;width:53.4pt;height:14.3pt;z-index:-27114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RzuIJmAEA&#10;ACMDAAAOAAAAAAAAAAAAAAAAAC4CAABkcnMvZTJvRG9jLnhtbFBLAQItABQABgAIAAAAIQCuavdD&#10;4QAAAA0BAAAPAAAAAAAAAAAAAAAAAPIDAABkcnMvZG93bnJldi54bWxQSwUGAAAAAAQABADzAAAA&#10;AAUAAAAA&#10;" filled="f" stroked="f">
              <v:textbox inset="0,0,0,0">
                <w:txbxContent>
                  <w:p w14:paraId="0DFDDE9B"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02496" behindDoc="1" locked="0" layoutInCell="1" allowOverlap="1" wp14:anchorId="0DFDDAA4" wp14:editId="0DFDDAA5">
              <wp:simplePos x="0" y="0"/>
              <wp:positionH relativeFrom="page">
                <wp:posOffset>2783105</wp:posOffset>
              </wp:positionH>
              <wp:positionV relativeFrom="page">
                <wp:posOffset>9432545</wp:posOffset>
              </wp:positionV>
              <wp:extent cx="2206625" cy="18161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9C"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A4" id="Textbox 436" o:spid="_x0000_s1214" type="#_x0000_t202" style="position:absolute;margin-left:219.15pt;margin-top:742.7pt;width:173.75pt;height:14.3pt;z-index:-2711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N1p976Z&#10;AQAAJAMAAA4AAAAAAAAAAAAAAAAALgIAAGRycy9lMm9Eb2MueG1sUEsBAi0AFAAGAAgAAAAhAN6R&#10;NCbiAAAADQEAAA8AAAAAAAAAAAAAAAAA8wMAAGRycy9kb3ducmV2LnhtbFBLBQYAAAAABAAEAPMA&#10;AAACBQAAAAA=&#10;" filled="f" stroked="f">
              <v:textbox inset="0,0,0,0">
                <w:txbxContent>
                  <w:p w14:paraId="0DFDDE9C"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03008" behindDoc="1" locked="0" layoutInCell="1" allowOverlap="1" wp14:anchorId="0DFDDAA6" wp14:editId="0DFDDAA7">
              <wp:simplePos x="0" y="0"/>
              <wp:positionH relativeFrom="page">
                <wp:posOffset>6045305</wp:posOffset>
              </wp:positionH>
              <wp:positionV relativeFrom="page">
                <wp:posOffset>9432545</wp:posOffset>
              </wp:positionV>
              <wp:extent cx="863600" cy="18161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0DFDDE9D" w14:textId="77777777" w:rsidR="00046465" w:rsidRDefault="008134EB">
                          <w:pPr>
                            <w:pStyle w:val="BodyText"/>
                            <w:spacing w:before="12"/>
                            <w:ind w:left="20"/>
                          </w:pPr>
                          <w:r>
                            <w:t>Page</w:t>
                          </w:r>
                          <w:r>
                            <w:rPr>
                              <w:spacing w:val="-11"/>
                            </w:rPr>
                            <w:t xml:space="preserve"> </w:t>
                          </w:r>
                          <w:r>
                            <w:t>802-</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0DFDDAA6" id="Textbox 437" o:spid="_x0000_s1215" type="#_x0000_t202" style="position:absolute;margin-left:476pt;margin-top:742.7pt;width:68pt;height:14.3pt;z-index:-271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" filled="f" stroked="f">
              <v:textbox inset="0,0,0,0">
                <w:txbxContent>
                  <w:p w14:paraId="0DFDDE9D" w14:textId="77777777" w:rsidR="00046465" w:rsidRDefault="008134EB">
                    <w:pPr>
                      <w:pStyle w:val="BodyText"/>
                      <w:spacing w:before="12"/>
                      <w:ind w:left="20"/>
                    </w:pPr>
                    <w:r>
                      <w:t>Page</w:t>
                    </w:r>
                    <w:r>
                      <w:rPr>
                        <w:spacing w:val="-11"/>
                      </w:rPr>
                      <w:t xml:space="preserve"> </w:t>
                    </w:r>
                    <w:r>
                      <w:t>802-</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D"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05056" behindDoc="1" locked="0" layoutInCell="1" allowOverlap="1" wp14:anchorId="0DFDDAAE" wp14:editId="0DFDDAAF">
              <wp:simplePos x="0" y="0"/>
              <wp:positionH relativeFrom="page">
                <wp:posOffset>895350</wp:posOffset>
              </wp:positionH>
              <wp:positionV relativeFrom="page">
                <wp:posOffset>9409176</wp:posOffset>
              </wp:positionV>
              <wp:extent cx="5981700" cy="19050"/>
              <wp:effectExtent l="0" t="0" r="0" b="0"/>
              <wp:wrapNone/>
              <wp:docPr id="501" name="Graphic 5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83BD16" id="Graphic 501" o:spid="_x0000_s1026" style="position:absolute;margin-left:70.5pt;margin-top:740.9pt;width:471pt;height:1.5pt;z-index:-27111424;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05568" behindDoc="1" locked="0" layoutInCell="1" allowOverlap="1" wp14:anchorId="0DFDDAB0" wp14:editId="0DFDDAB1">
              <wp:simplePos x="0" y="0"/>
              <wp:positionH relativeFrom="page">
                <wp:posOffset>901700</wp:posOffset>
              </wp:positionH>
              <wp:positionV relativeFrom="page">
                <wp:posOffset>9432545</wp:posOffset>
              </wp:positionV>
              <wp:extent cx="678180" cy="18161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A0"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B0" id="_x0000_t202" coordsize="21600,21600" o:spt="202" path="m,l,21600r21600,l21600,xe">
              <v:stroke joinstyle="miter"/>
              <v:path gradientshapeok="t" o:connecttype="rect"/>
            </v:shapetype>
            <v:shape id="Textbox 502" o:spid="_x0000_s1217" type="#_x0000_t202" style="position:absolute;margin-left:71pt;margin-top:742.7pt;width:53.4pt;height:14.3pt;z-index:-2711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pYbAfmAEA&#10;ACMDAAAOAAAAAAAAAAAAAAAAAC4CAABkcnMvZTJvRG9jLnhtbFBLAQItABQABgAIAAAAIQCuavdD&#10;4QAAAA0BAAAPAAAAAAAAAAAAAAAAAPIDAABkcnMvZG93bnJldi54bWxQSwUGAAAAAAQABADzAAAA&#10;AAUAAAAA&#10;" filled="f" stroked="f">
              <v:textbox inset="0,0,0,0">
                <w:txbxContent>
                  <w:p w14:paraId="0DFDDEA0"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06080" behindDoc="1" locked="0" layoutInCell="1" allowOverlap="1" wp14:anchorId="0DFDDAB2" wp14:editId="0DFDDAB3">
              <wp:simplePos x="0" y="0"/>
              <wp:positionH relativeFrom="page">
                <wp:posOffset>2783105</wp:posOffset>
              </wp:positionH>
              <wp:positionV relativeFrom="page">
                <wp:posOffset>9432545</wp:posOffset>
              </wp:positionV>
              <wp:extent cx="2206625" cy="181610"/>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A1"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B2" id="Textbox 503" o:spid="_x0000_s1218" type="#_x0000_t202" style="position:absolute;margin-left:219.15pt;margin-top:742.7pt;width:173.75pt;height:14.3pt;z-index:-2711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AJv446Z&#10;AQAAJAMAAA4AAAAAAAAAAAAAAAAALgIAAGRycy9lMm9Eb2MueG1sUEsBAi0AFAAGAAgAAAAhAN6R&#10;NCbiAAAADQEAAA8AAAAAAAAAAAAAAAAA8wMAAGRycy9kb3ducmV2LnhtbFBLBQYAAAAABAAEAPMA&#10;AAACBQAAAAA=&#10;" filled="f" stroked="f">
              <v:textbox inset="0,0,0,0">
                <w:txbxContent>
                  <w:p w14:paraId="0DFDDEA1"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06592" behindDoc="1" locked="0" layoutInCell="1" allowOverlap="1" wp14:anchorId="0DFDDAB4" wp14:editId="0DFDDAB5">
              <wp:simplePos x="0" y="0"/>
              <wp:positionH relativeFrom="page">
                <wp:posOffset>6045305</wp:posOffset>
              </wp:positionH>
              <wp:positionV relativeFrom="page">
                <wp:posOffset>9432545</wp:posOffset>
              </wp:positionV>
              <wp:extent cx="863600" cy="181610"/>
              <wp:effectExtent l="0" t="0" r="0" b="0"/>
              <wp:wrapNone/>
              <wp:docPr id="504" name="Text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0DFDDEA2" w14:textId="77777777" w:rsidR="00046465" w:rsidRDefault="008134EB">
                          <w:pPr>
                            <w:pStyle w:val="BodyText"/>
                            <w:spacing w:before="12"/>
                            <w:ind w:left="20"/>
                          </w:pPr>
                          <w:r>
                            <w:t>Page</w:t>
                          </w:r>
                          <w:r>
                            <w:rPr>
                              <w:spacing w:val="-11"/>
                            </w:rPr>
                            <w:t xml:space="preserve"> </w:t>
                          </w:r>
                          <w:r>
                            <w:t>802-</w:t>
                          </w: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wps:txbx>
                    <wps:bodyPr wrap="square" lIns="0" tIns="0" rIns="0" bIns="0" rtlCol="0">
                      <a:noAutofit/>
                    </wps:bodyPr>
                  </wps:wsp>
                </a:graphicData>
              </a:graphic>
            </wp:anchor>
          </w:drawing>
        </mc:Choice>
        <mc:Fallback>
          <w:pict>
            <v:shape w14:anchorId="0DFDDAB4" id="Textbox 504" o:spid="_x0000_s1219" type="#_x0000_t202" style="position:absolute;margin-left:476pt;margin-top:742.7pt;width:68pt;height:14.3pt;z-index:-2710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" filled="f" stroked="f">
              <v:textbox inset="0,0,0,0">
                <w:txbxContent>
                  <w:p w14:paraId="0DFDDEA2" w14:textId="77777777" w:rsidR="00046465" w:rsidRDefault="008134EB">
                    <w:pPr>
                      <w:pStyle w:val="BodyText"/>
                      <w:spacing w:before="12"/>
                      <w:ind w:left="20"/>
                    </w:pPr>
                    <w:r>
                      <w:t>Page</w:t>
                    </w:r>
                    <w:r>
                      <w:rPr>
                        <w:spacing w:val="-11"/>
                      </w:rPr>
                      <w:t xml:space="preserve"> </w:t>
                    </w:r>
                    <w:r>
                      <w:t>802-</w:t>
                    </w:r>
                    <w:r>
                      <w:rPr>
                        <w:spacing w:val="-5"/>
                      </w:rPr>
                      <w:fldChar w:fldCharType="begin"/>
                    </w:r>
                    <w:r>
                      <w:rPr>
                        <w:spacing w:val="-5"/>
                      </w:rPr>
                      <w:instrText xml:space="preserve"> PAGE </w:instrText>
                    </w:r>
                    <w:r>
                      <w:rPr>
                        <w:spacing w:val="-5"/>
                      </w:rPr>
                      <w:fldChar w:fldCharType="separate"/>
                    </w:r>
                    <w:r>
                      <w:rPr>
                        <w:spacing w:val="-5"/>
                      </w:rPr>
                      <w:t>13</w:t>
                    </w:r>
                    <w:r>
                      <w:rPr>
                        <w:spacing w:val="-5"/>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F"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08640" behindDoc="1" locked="0" layoutInCell="1" allowOverlap="1" wp14:anchorId="0DFDDABC" wp14:editId="0DFDDABD">
              <wp:simplePos x="0" y="0"/>
              <wp:positionH relativeFrom="page">
                <wp:posOffset>666750</wp:posOffset>
              </wp:positionH>
              <wp:positionV relativeFrom="page">
                <wp:posOffset>7108697</wp:posOffset>
              </wp:positionV>
              <wp:extent cx="8496300" cy="19050"/>
              <wp:effectExtent l="0" t="0" r="0" b="0"/>
              <wp:wrapNone/>
              <wp:docPr id="508" name="Graphic 5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49"/>
                            </a:lnTo>
                            <a:lnTo>
                              <a:pt x="8496300" y="19049"/>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170087" id="Graphic 508" o:spid="_x0000_s1026" style="position:absolute;margin-left:52.5pt;margin-top:559.75pt;width:669pt;height:1.5pt;z-index:-27107840;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" path="m8496300,l,,,19049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09152" behindDoc="1" locked="0" layoutInCell="1" allowOverlap="1" wp14:anchorId="0DFDDABE" wp14:editId="0DFDDABF">
              <wp:simplePos x="0" y="0"/>
              <wp:positionH relativeFrom="page">
                <wp:posOffset>8287004</wp:posOffset>
              </wp:positionH>
              <wp:positionV relativeFrom="page">
                <wp:posOffset>7132532</wp:posOffset>
              </wp:positionV>
              <wp:extent cx="850900" cy="19621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196215"/>
                      </a:xfrm>
                      <a:prstGeom prst="rect">
                        <a:avLst/>
                      </a:prstGeom>
                    </wps:spPr>
                    <wps:txbx>
                      <w:txbxContent>
                        <w:p w14:paraId="0DFDDEA5" w14:textId="77777777" w:rsidR="00046465" w:rsidRDefault="008134EB">
                          <w:pPr>
                            <w:spacing w:before="12"/>
                            <w:ind w:left="20"/>
                            <w:rPr>
                              <w:sz w:val="24"/>
                            </w:rPr>
                          </w:pPr>
                          <w:r>
                            <w:rPr>
                              <w:sz w:val="24"/>
                            </w:rPr>
                            <w:t>Page</w:t>
                          </w:r>
                          <w:r>
                            <w:rPr>
                              <w:spacing w:val="-6"/>
                              <w:sz w:val="24"/>
                            </w:rPr>
                            <w:t xml:space="preserve"> </w:t>
                          </w:r>
                          <w:r>
                            <w:rPr>
                              <w:sz w:val="24"/>
                            </w:rPr>
                            <w:t>803-</w:t>
                          </w:r>
                          <w:r>
                            <w:rPr>
                              <w:spacing w:val="-10"/>
                              <w:sz w:val="24"/>
                            </w:rPr>
                            <w:fldChar w:fldCharType="begin"/>
                          </w:r>
                          <w:r>
                            <w:rPr>
                              <w:spacing w:val="-10"/>
                              <w:sz w:val="24"/>
                            </w:rPr>
                            <w:instrText xml:space="preserve"> PAGE </w:instrText>
                          </w:r>
                          <w:r>
                            <w:rPr>
                              <w:spacing w:val="-10"/>
                              <w:sz w:val="24"/>
                            </w:rPr>
                            <w:fldChar w:fldCharType="separate"/>
                          </w:r>
                          <w:r>
                            <w:rPr>
                              <w:spacing w:val="-10"/>
                              <w:sz w:val="24"/>
                            </w:rPr>
                            <w:t>1</w:t>
                          </w:r>
                          <w:r>
                            <w:rPr>
                              <w:spacing w:val="-10"/>
                              <w:sz w:val="24"/>
                            </w:rPr>
                            <w:fldChar w:fldCharType="end"/>
                          </w:r>
                        </w:p>
                      </w:txbxContent>
                    </wps:txbx>
                    <wps:bodyPr wrap="square" lIns="0" tIns="0" rIns="0" bIns="0" rtlCol="0">
                      <a:noAutofit/>
                    </wps:bodyPr>
                  </wps:wsp>
                </a:graphicData>
              </a:graphic>
            </wp:anchor>
          </w:drawing>
        </mc:Choice>
        <mc:Fallback>
          <w:pict>
            <v:shapetype w14:anchorId="0DFDDABE" id="_x0000_t202" coordsize="21600,21600" o:spt="202" path="m,l,21600r21600,l21600,xe">
              <v:stroke joinstyle="miter"/>
              <v:path gradientshapeok="t" o:connecttype="rect"/>
            </v:shapetype>
            <v:shape id="Textbox 509" o:spid="_x0000_s1221" type="#_x0000_t202" style="position:absolute;margin-left:652.5pt;margin-top:561.6pt;width:67pt;height:15.45pt;z-index:-2710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" filled="f" stroked="f">
              <v:textbox inset="0,0,0,0">
                <w:txbxContent>
                  <w:p w14:paraId="0DFDDEA5" w14:textId="77777777" w:rsidR="00046465" w:rsidRDefault="008134EB">
                    <w:pPr>
                      <w:spacing w:before="12"/>
                      <w:ind w:left="20"/>
                      <w:rPr>
                        <w:sz w:val="24"/>
                      </w:rPr>
                    </w:pPr>
                    <w:r>
                      <w:rPr>
                        <w:sz w:val="24"/>
                      </w:rPr>
                      <w:t>Page</w:t>
                    </w:r>
                    <w:r>
                      <w:rPr>
                        <w:spacing w:val="-6"/>
                        <w:sz w:val="24"/>
                      </w:rPr>
                      <w:t xml:space="preserve"> </w:t>
                    </w:r>
                    <w:r>
                      <w:rPr>
                        <w:sz w:val="24"/>
                      </w:rPr>
                      <w:t>803-</w:t>
                    </w:r>
                    <w:r>
                      <w:rPr>
                        <w:spacing w:val="-10"/>
                        <w:sz w:val="24"/>
                      </w:rPr>
                      <w:fldChar w:fldCharType="begin"/>
                    </w:r>
                    <w:r>
                      <w:rPr>
                        <w:spacing w:val="-10"/>
                        <w:sz w:val="24"/>
                      </w:rPr>
                      <w:instrText xml:space="preserve"> PAGE </w:instrText>
                    </w:r>
                    <w:r>
                      <w:rPr>
                        <w:spacing w:val="-10"/>
                        <w:sz w:val="24"/>
                      </w:rPr>
                      <w:fldChar w:fldCharType="separate"/>
                    </w:r>
                    <w:r>
                      <w:rPr>
                        <w:spacing w:val="-10"/>
                        <w:sz w:val="24"/>
                      </w:rPr>
                      <w:t>1</w:t>
                    </w:r>
                    <w:r>
                      <w:rPr>
                        <w:spacing w:val="-10"/>
                        <w:sz w:val="24"/>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76209664" behindDoc="1" locked="0" layoutInCell="1" allowOverlap="1" wp14:anchorId="0DFDDAC0" wp14:editId="0DFDDAC1">
              <wp:simplePos x="0" y="0"/>
              <wp:positionH relativeFrom="page">
                <wp:posOffset>673100</wp:posOffset>
              </wp:positionH>
              <wp:positionV relativeFrom="page">
                <wp:posOffset>7144259</wp:posOffset>
              </wp:positionV>
              <wp:extent cx="678180" cy="18161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A6"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 w14:anchorId="0DFDDAC0" id="Textbox 510" o:spid="_x0000_s1222" type="#_x0000_t202" style="position:absolute;margin-left:53pt;margin-top:562.55pt;width:53.4pt;height:14.3pt;z-index:-27106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" filled="f" stroked="f">
              <v:textbox inset="0,0,0,0">
                <w:txbxContent>
                  <w:p w14:paraId="0DFDDEA6"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10176" behindDoc="1" locked="0" layoutInCell="1" allowOverlap="1" wp14:anchorId="0DFDDAC2" wp14:editId="0DFDDAC3">
              <wp:simplePos x="0" y="0"/>
              <wp:positionH relativeFrom="page">
                <wp:posOffset>3697478</wp:posOffset>
              </wp:positionH>
              <wp:positionV relativeFrom="page">
                <wp:posOffset>7144259</wp:posOffset>
              </wp:positionV>
              <wp:extent cx="2206625" cy="18161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A7"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C2" id="Textbox 511" o:spid="_x0000_s1223" type="#_x0000_t202" style="position:absolute;margin-left:291.15pt;margin-top:562.55pt;width:173.75pt;height:14.3pt;z-index:-27106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" filled="f" stroked="f">
              <v:textbox inset="0,0,0,0">
                <w:txbxContent>
                  <w:p w14:paraId="0DFDDEA7"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7"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63232" behindDoc="1" locked="0" layoutInCell="1" allowOverlap="1" wp14:anchorId="0DFDD884" wp14:editId="0DFDD885">
              <wp:simplePos x="0" y="0"/>
              <wp:positionH relativeFrom="page">
                <wp:posOffset>895350</wp:posOffset>
              </wp:positionH>
              <wp:positionV relativeFrom="page">
                <wp:posOffset>9400031</wp:posOffset>
              </wp:positionV>
              <wp:extent cx="5981700" cy="28575"/>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9D4CD3" id="Graphic 81" o:spid="_x0000_s1026" style="position:absolute;margin-left:70.5pt;margin-top:740.15pt;width:471pt;height:2.25pt;z-index:-2725324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63744" behindDoc="1" locked="0" layoutInCell="1" allowOverlap="1" wp14:anchorId="0DFDD886" wp14:editId="0DFDD887">
              <wp:simplePos x="0" y="0"/>
              <wp:positionH relativeFrom="page">
                <wp:posOffset>901700</wp:posOffset>
              </wp:positionH>
              <wp:positionV relativeFrom="page">
                <wp:posOffset>9432545</wp:posOffset>
              </wp:positionV>
              <wp:extent cx="678180" cy="18161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DDB"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886" id="_x0000_t202" coordsize="21600,21600" o:spt="202" path="m,l,21600r21600,l21600,xe">
              <v:stroke joinstyle="miter"/>
              <v:path gradientshapeok="t" o:connecttype="rect"/>
            </v:shapetype>
            <v:shape id="Textbox 82" o:spid="_x0000_s1057" type="#_x0000_t202" style="position:absolute;margin-left:71pt;margin-top:742.7pt;width:53.4pt;height:14.3pt;z-index:-2725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C17qneXAQAA&#10;IgMAAA4AAAAAAAAAAAAAAAAALgIAAGRycy9lMm9Eb2MueG1sUEsBAi0AFAAGAAgAAAAhAK5q90Ph&#10;AAAADQEAAA8AAAAAAAAAAAAAAAAA8QMAAGRycy9kb3ducmV2LnhtbFBLBQYAAAAABAAEAPMAAAD/&#10;BAAAAAA=&#10;" filled="f" stroked="f">
              <v:textbox inset="0,0,0,0">
                <w:txbxContent>
                  <w:p w14:paraId="0DFDDDDB"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064256" behindDoc="1" locked="0" layoutInCell="1" allowOverlap="1" wp14:anchorId="0DFDD888" wp14:editId="0DFDD889">
              <wp:simplePos x="0" y="0"/>
              <wp:positionH relativeFrom="page">
                <wp:posOffset>2860253</wp:posOffset>
              </wp:positionH>
              <wp:positionV relativeFrom="page">
                <wp:posOffset>9432545</wp:posOffset>
              </wp:positionV>
              <wp:extent cx="2207260" cy="18161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0DFDDDDC" w14:textId="77777777" w:rsidR="00046465" w:rsidRDefault="008134EB">
                          <w:pPr>
                            <w:pStyle w:val="BodyText"/>
                            <w:spacing w:before="12"/>
                            <w:ind w:left="20"/>
                          </w:pPr>
                          <w:r>
                            <w:t>GAO/CIGIE</w:t>
                          </w:r>
                          <w:r>
                            <w:rPr>
                              <w:spacing w:val="-9"/>
                            </w:rPr>
                            <w:t xml:space="preserve"> </w:t>
                          </w:r>
                          <w:r>
                            <w:t>Financial</w:t>
                          </w:r>
                          <w:r>
                            <w:rPr>
                              <w:spacing w:val="-9"/>
                            </w:rPr>
                            <w:t xml:space="preserve"> </w:t>
                          </w:r>
                          <w:r>
                            <w:t>Audit</w:t>
                          </w:r>
                          <w:r>
                            <w:rPr>
                              <w:spacing w:val="-8"/>
                            </w:rPr>
                            <w:t xml:space="preserve"> </w:t>
                          </w:r>
                          <w:r>
                            <w:rPr>
                              <w:spacing w:val="-2"/>
                            </w:rPr>
                            <w:t>Manual</w:t>
                          </w:r>
                        </w:p>
                      </w:txbxContent>
                    </wps:txbx>
                    <wps:bodyPr wrap="square" lIns="0" tIns="0" rIns="0" bIns="0" rtlCol="0">
                      <a:noAutofit/>
                    </wps:bodyPr>
                  </wps:wsp>
                </a:graphicData>
              </a:graphic>
            </wp:anchor>
          </w:drawing>
        </mc:Choice>
        <mc:Fallback>
          <w:pict>
            <v:shape w14:anchorId="0DFDD888" id="Textbox 83" o:spid="_x0000_s1058" type="#_x0000_t202" style="position:absolute;margin-left:225.2pt;margin-top:742.7pt;width:173.8pt;height:14.3pt;z-index:-2725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" filled="f" stroked="f">
              <v:textbox inset="0,0,0,0">
                <w:txbxContent>
                  <w:p w14:paraId="0DFDDDDC" w14:textId="77777777" w:rsidR="00046465" w:rsidRDefault="008134EB">
                    <w:pPr>
                      <w:pStyle w:val="BodyText"/>
                      <w:spacing w:before="12"/>
                      <w:ind w:left="20"/>
                    </w:pPr>
                    <w:r>
                      <w:t>GAO/CIGIE</w:t>
                    </w:r>
                    <w:r>
                      <w:rPr>
                        <w:spacing w:val="-9"/>
                      </w:rPr>
                      <w:t xml:space="preserve"> </w:t>
                    </w:r>
                    <w:r>
                      <w:t>Financial</w:t>
                    </w:r>
                    <w:r>
                      <w:rPr>
                        <w:spacing w:val="-9"/>
                      </w:rPr>
                      <w:t xml:space="preserve"> </w:t>
                    </w:r>
                    <w:r>
                      <w:t>Audit</w:t>
                    </w:r>
                    <w:r>
                      <w:rPr>
                        <w:spacing w:val="-8"/>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064768" behindDoc="1" locked="0" layoutInCell="1" allowOverlap="1" wp14:anchorId="0DFDD88A" wp14:editId="0DFDD88B">
              <wp:simplePos x="0" y="0"/>
              <wp:positionH relativeFrom="page">
                <wp:posOffset>6161416</wp:posOffset>
              </wp:positionH>
              <wp:positionV relativeFrom="page">
                <wp:posOffset>9432545</wp:posOffset>
              </wp:positionV>
              <wp:extent cx="708660" cy="18161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81610"/>
                      </a:xfrm>
                      <a:prstGeom prst="rect">
                        <a:avLst/>
                      </a:prstGeom>
                    </wps:spPr>
                    <wps:txbx>
                      <w:txbxContent>
                        <w:p w14:paraId="0DFDDDDD" w14:textId="77777777" w:rsidR="00046465" w:rsidRDefault="008134EB">
                          <w:pPr>
                            <w:pStyle w:val="BodyText"/>
                            <w:spacing w:before="12"/>
                            <w:ind w:left="20"/>
                          </w:pPr>
                          <w:r>
                            <w:rPr>
                              <w:spacing w:val="-2"/>
                            </w:rPr>
                            <w:t>Contents-</w:t>
                          </w:r>
                          <w:r>
                            <w:rPr>
                              <w:spacing w:val="-10"/>
                            </w:rPr>
                            <w:t>1</w:t>
                          </w:r>
                        </w:p>
                      </w:txbxContent>
                    </wps:txbx>
                    <wps:bodyPr wrap="square" lIns="0" tIns="0" rIns="0" bIns="0" rtlCol="0">
                      <a:noAutofit/>
                    </wps:bodyPr>
                  </wps:wsp>
                </a:graphicData>
              </a:graphic>
            </wp:anchor>
          </w:drawing>
        </mc:Choice>
        <mc:Fallback>
          <w:pict>
            <v:shape w14:anchorId="0DFDD88A" id="Textbox 84" o:spid="_x0000_s1059" type="#_x0000_t202" style="position:absolute;margin-left:485.15pt;margin-top:742.7pt;width:55.8pt;height:14.3pt;z-index:-272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" filled="f" stroked="f">
              <v:textbox inset="0,0,0,0">
                <w:txbxContent>
                  <w:p w14:paraId="0DFDDDDD" w14:textId="77777777" w:rsidR="00046465" w:rsidRDefault="008134EB">
                    <w:pPr>
                      <w:pStyle w:val="BodyText"/>
                      <w:spacing w:before="12"/>
                      <w:ind w:left="20"/>
                    </w:pPr>
                    <w:r>
                      <w:rPr>
                        <w:spacing w:val="-2"/>
                      </w:rPr>
                      <w:t>Contents-</w:t>
                    </w:r>
                    <w:r>
                      <w:rPr>
                        <w:spacing w:val="-10"/>
                      </w:rPr>
                      <w:t>1</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1"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12224" behindDoc="1" locked="0" layoutInCell="1" allowOverlap="1" wp14:anchorId="0DFDDACA" wp14:editId="0DFDDACB">
              <wp:simplePos x="0" y="0"/>
              <wp:positionH relativeFrom="page">
                <wp:posOffset>895350</wp:posOffset>
              </wp:positionH>
              <wp:positionV relativeFrom="page">
                <wp:posOffset>9409176</wp:posOffset>
              </wp:positionV>
              <wp:extent cx="5981700" cy="19050"/>
              <wp:effectExtent l="0" t="0" r="0" b="0"/>
              <wp:wrapNone/>
              <wp:docPr id="533" name="Graphic 5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FE4398" id="Graphic 533" o:spid="_x0000_s1026" style="position:absolute;margin-left:70.5pt;margin-top:740.9pt;width:471pt;height:1.5pt;z-index:-27104256;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12736" behindDoc="1" locked="0" layoutInCell="1" allowOverlap="1" wp14:anchorId="0DFDDACC" wp14:editId="0DFDDACD">
              <wp:simplePos x="0" y="0"/>
              <wp:positionH relativeFrom="page">
                <wp:posOffset>901700</wp:posOffset>
              </wp:positionH>
              <wp:positionV relativeFrom="page">
                <wp:posOffset>9432545</wp:posOffset>
              </wp:positionV>
              <wp:extent cx="678180" cy="181610"/>
              <wp:effectExtent l="0" t="0" r="0" b="0"/>
              <wp:wrapNone/>
              <wp:docPr id="534" name="Text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AA"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CC" id="_x0000_t202" coordsize="21600,21600" o:spt="202" path="m,l,21600r21600,l21600,xe">
              <v:stroke joinstyle="miter"/>
              <v:path gradientshapeok="t" o:connecttype="rect"/>
            </v:shapetype>
            <v:shape id="Textbox 534" o:spid="_x0000_s1225" type="#_x0000_t202" style="position:absolute;margin-left:71pt;margin-top:742.7pt;width:53.4pt;height:14.3pt;z-index:-2710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TrzQkmAEA&#10;ACMDAAAOAAAAAAAAAAAAAAAAAC4CAABkcnMvZTJvRG9jLnhtbFBLAQItABQABgAIAAAAIQCuavdD&#10;4QAAAA0BAAAPAAAAAAAAAAAAAAAAAPIDAABkcnMvZG93bnJldi54bWxQSwUGAAAAAAQABADzAAAA&#10;AAUAAAAA&#10;" filled="f" stroked="f">
              <v:textbox inset="0,0,0,0">
                <w:txbxContent>
                  <w:p w14:paraId="0DFDDEAA"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13248" behindDoc="1" locked="0" layoutInCell="1" allowOverlap="1" wp14:anchorId="0DFDDACE" wp14:editId="0DFDDACF">
              <wp:simplePos x="0" y="0"/>
              <wp:positionH relativeFrom="page">
                <wp:posOffset>2783105</wp:posOffset>
              </wp:positionH>
              <wp:positionV relativeFrom="page">
                <wp:posOffset>9432545</wp:posOffset>
              </wp:positionV>
              <wp:extent cx="2206625" cy="181610"/>
              <wp:effectExtent l="0" t="0" r="0" b="0"/>
              <wp:wrapNone/>
              <wp:docPr id="535" name="Text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AB"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CE" id="Textbox 535" o:spid="_x0000_s1226" type="#_x0000_t202" style="position:absolute;margin-left:219.15pt;margin-top:742.7pt;width:173.75pt;height:14.3pt;z-index:-2710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gmHYsZgB&#10;AAAkAwAADgAAAAAAAAAAAAAAAAAuAgAAZHJzL2Uyb0RvYy54bWxQSwECLQAUAAYACAAAACEA3pE0&#10;JuIAAAANAQAADwAAAAAAAAAAAAAAAADyAwAAZHJzL2Rvd25yZXYueG1sUEsFBgAAAAAEAAQA8wAA&#10;AAEFAAAAAA==&#10;" filled="f" stroked="f">
              <v:textbox inset="0,0,0,0">
                <w:txbxContent>
                  <w:p w14:paraId="0DFDDEAB"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13760" behindDoc="1" locked="0" layoutInCell="1" allowOverlap="1" wp14:anchorId="0DFDDAD0" wp14:editId="0DFDDAD1">
              <wp:simplePos x="0" y="0"/>
              <wp:positionH relativeFrom="page">
                <wp:posOffset>6122976</wp:posOffset>
              </wp:positionH>
              <wp:positionV relativeFrom="page">
                <wp:posOffset>9432545</wp:posOffset>
              </wp:positionV>
              <wp:extent cx="785495" cy="181610"/>
              <wp:effectExtent l="0" t="0" r="0" b="0"/>
              <wp:wrapNone/>
              <wp:docPr id="536" name="Text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AC" w14:textId="77777777" w:rsidR="00046465" w:rsidRDefault="008134EB">
                          <w:pPr>
                            <w:pStyle w:val="BodyText"/>
                            <w:spacing w:before="12"/>
                            <w:ind w:left="20"/>
                          </w:pPr>
                          <w:r>
                            <w:t>Page</w:t>
                          </w:r>
                          <w:r>
                            <w:rPr>
                              <w:spacing w:val="-11"/>
                            </w:rPr>
                            <w:t xml:space="preserve"> </w:t>
                          </w:r>
                          <w:r>
                            <w:t>803-</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w14:anchorId="0DFDDAD0" id="Textbox 536" o:spid="_x0000_s1227" type="#_x0000_t202" style="position:absolute;margin-left:482.1pt;margin-top:742.7pt;width:61.85pt;height:14.3pt;z-index:-2710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" filled="f" stroked="f">
              <v:textbox inset="0,0,0,0">
                <w:txbxContent>
                  <w:p w14:paraId="0DFDDEAC" w14:textId="77777777" w:rsidR="00046465" w:rsidRDefault="008134EB">
                    <w:pPr>
                      <w:pStyle w:val="BodyText"/>
                      <w:spacing w:before="12"/>
                      <w:ind w:left="20"/>
                    </w:pPr>
                    <w:r>
                      <w:t>Page</w:t>
                    </w:r>
                    <w:r>
                      <w:rPr>
                        <w:spacing w:val="-11"/>
                      </w:rPr>
                      <w:t xml:space="preserve"> </w:t>
                    </w:r>
                    <w:r>
                      <w:t>803-</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3"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15808" behindDoc="1" locked="0" layoutInCell="1" allowOverlap="1" wp14:anchorId="0DFDDAD8" wp14:editId="0DFDDAD9">
              <wp:simplePos x="0" y="0"/>
              <wp:positionH relativeFrom="page">
                <wp:posOffset>666750</wp:posOffset>
              </wp:positionH>
              <wp:positionV relativeFrom="page">
                <wp:posOffset>7123176</wp:posOffset>
              </wp:positionV>
              <wp:extent cx="8496300" cy="19050"/>
              <wp:effectExtent l="0" t="0" r="0" b="0"/>
              <wp:wrapNone/>
              <wp:docPr id="540" name="Graphic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E160EF" id="Graphic 540" o:spid="_x0000_s1026" style="position:absolute;margin-left:52.5pt;margin-top:560.9pt;width:669pt;height:1.5pt;z-index:-27100672;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" path="m8496300,l,,,19050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16320" behindDoc="1" locked="0" layoutInCell="1" allowOverlap="1" wp14:anchorId="0DFDDADA" wp14:editId="0DFDDADB">
              <wp:simplePos x="0" y="0"/>
              <wp:positionH relativeFrom="page">
                <wp:posOffset>673100</wp:posOffset>
              </wp:positionH>
              <wp:positionV relativeFrom="page">
                <wp:posOffset>7146545</wp:posOffset>
              </wp:positionV>
              <wp:extent cx="678180" cy="181610"/>
              <wp:effectExtent l="0" t="0" r="0" b="0"/>
              <wp:wrapNone/>
              <wp:docPr id="541" name="Text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AF"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DA" id="_x0000_t202" coordsize="21600,21600" o:spt="202" path="m,l,21600r21600,l21600,xe">
              <v:stroke joinstyle="miter"/>
              <v:path gradientshapeok="t" o:connecttype="rect"/>
            </v:shapetype>
            <v:shape id="Textbox 541" o:spid="_x0000_s1229" type="#_x0000_t202" style="position:absolute;margin-left:53pt;margin-top:562.7pt;width:53.4pt;height:14.3pt;z-index:-2710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" filled="f" stroked="f">
              <v:textbox inset="0,0,0,0">
                <w:txbxContent>
                  <w:p w14:paraId="0DFDDEAF"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16832" behindDoc="1" locked="0" layoutInCell="1" allowOverlap="1" wp14:anchorId="0DFDDADC" wp14:editId="0DFDDADD">
              <wp:simplePos x="0" y="0"/>
              <wp:positionH relativeFrom="page">
                <wp:posOffset>3794459</wp:posOffset>
              </wp:positionH>
              <wp:positionV relativeFrom="page">
                <wp:posOffset>7146545</wp:posOffset>
              </wp:positionV>
              <wp:extent cx="2206625" cy="18161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B0"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DC" id="Textbox 542" o:spid="_x0000_s1230" type="#_x0000_t202" style="position:absolute;margin-left:298.8pt;margin-top:562.7pt;width:173.75pt;height:14.3pt;z-index:-2709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" filled="f" stroked="f">
              <v:textbox inset="0,0,0,0">
                <w:txbxContent>
                  <w:p w14:paraId="0DFDDEB0"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17344" behindDoc="1" locked="0" layoutInCell="1" allowOverlap="1" wp14:anchorId="0DFDDADE" wp14:editId="0DFDDADF">
              <wp:simplePos x="0" y="0"/>
              <wp:positionH relativeFrom="page">
                <wp:posOffset>8351973</wp:posOffset>
              </wp:positionH>
              <wp:positionV relativeFrom="page">
                <wp:posOffset>7146545</wp:posOffset>
              </wp:positionV>
              <wp:extent cx="785495" cy="181610"/>
              <wp:effectExtent l="0" t="0" r="0" b="0"/>
              <wp:wrapNone/>
              <wp:docPr id="543" name="Text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B1" w14:textId="77777777" w:rsidR="00046465" w:rsidRDefault="008134EB">
                          <w:pPr>
                            <w:pStyle w:val="BodyText"/>
                            <w:spacing w:before="12"/>
                            <w:ind w:left="20"/>
                          </w:pPr>
                          <w:r>
                            <w:t>Page</w:t>
                          </w:r>
                          <w:r>
                            <w:rPr>
                              <w:spacing w:val="-11"/>
                            </w:rPr>
                            <w:t xml:space="preserve"> </w:t>
                          </w:r>
                          <w:r>
                            <w:t>804-</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ADE" id="Textbox 543" o:spid="_x0000_s1231" type="#_x0000_t202" style="position:absolute;margin-left:657.65pt;margin-top:562.7pt;width:61.85pt;height:14.3pt;z-index:-2709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" filled="f" stroked="f">
              <v:textbox inset="0,0,0,0">
                <w:txbxContent>
                  <w:p w14:paraId="0DFDDEB1" w14:textId="77777777" w:rsidR="00046465" w:rsidRDefault="008134EB">
                    <w:pPr>
                      <w:pStyle w:val="BodyText"/>
                      <w:spacing w:before="12"/>
                      <w:ind w:left="20"/>
                    </w:pPr>
                    <w:r>
                      <w:t>Page</w:t>
                    </w:r>
                    <w:r>
                      <w:rPr>
                        <w:spacing w:val="-11"/>
                      </w:rPr>
                      <w:t xml:space="preserve"> </w:t>
                    </w:r>
                    <w:r>
                      <w:t>804-</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5"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18880" behindDoc="1" locked="0" layoutInCell="1" allowOverlap="1" wp14:anchorId="0DFDDAE4" wp14:editId="0DFDDAE5">
              <wp:simplePos x="0" y="0"/>
              <wp:positionH relativeFrom="page">
                <wp:posOffset>895350</wp:posOffset>
              </wp:positionH>
              <wp:positionV relativeFrom="page">
                <wp:posOffset>9409176</wp:posOffset>
              </wp:positionV>
              <wp:extent cx="5981700" cy="19050"/>
              <wp:effectExtent l="0" t="0" r="0" b="0"/>
              <wp:wrapNone/>
              <wp:docPr id="584" name="Graphic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424E53" id="Graphic 584" o:spid="_x0000_s1026" style="position:absolute;margin-left:70.5pt;margin-top:740.9pt;width:471pt;height:1.5pt;z-index:-27097600;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19392" behindDoc="1" locked="0" layoutInCell="1" allowOverlap="1" wp14:anchorId="0DFDDAE6" wp14:editId="0DFDDAE7">
              <wp:simplePos x="0" y="0"/>
              <wp:positionH relativeFrom="page">
                <wp:posOffset>901700</wp:posOffset>
              </wp:positionH>
              <wp:positionV relativeFrom="page">
                <wp:posOffset>9432545</wp:posOffset>
              </wp:positionV>
              <wp:extent cx="678180" cy="181610"/>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B4"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E6" id="_x0000_t202" coordsize="21600,21600" o:spt="202" path="m,l,21600r21600,l21600,xe">
              <v:stroke joinstyle="miter"/>
              <v:path gradientshapeok="t" o:connecttype="rect"/>
            </v:shapetype>
            <v:shape id="Textbox 585" o:spid="_x0000_s1233" type="#_x0000_t202" style="position:absolute;margin-left:71pt;margin-top:742.7pt;width:53.4pt;height:14.3pt;z-index:-2709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LQIST2XAQAA&#10;IwMAAA4AAAAAAAAAAAAAAAAALgIAAGRycy9lMm9Eb2MueG1sUEsBAi0AFAAGAAgAAAAhAK5q90Ph&#10;AAAADQEAAA8AAAAAAAAAAAAAAAAA8QMAAGRycy9kb3ducmV2LnhtbFBLBQYAAAAABAAEAPMAAAD/&#10;BAAAAAA=&#10;" filled="f" stroked="f">
              <v:textbox inset="0,0,0,0">
                <w:txbxContent>
                  <w:p w14:paraId="0DFDDEB4"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19904" behindDoc="1" locked="0" layoutInCell="1" allowOverlap="1" wp14:anchorId="0DFDDAE8" wp14:editId="0DFDDAE9">
              <wp:simplePos x="0" y="0"/>
              <wp:positionH relativeFrom="page">
                <wp:posOffset>2783105</wp:posOffset>
              </wp:positionH>
              <wp:positionV relativeFrom="page">
                <wp:posOffset>9432545</wp:posOffset>
              </wp:positionV>
              <wp:extent cx="2206625" cy="181610"/>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B5"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E8" id="Textbox 586" o:spid="_x0000_s1234" type="#_x0000_t202" style="position:absolute;margin-left:219.15pt;margin-top:742.7pt;width:173.75pt;height:14.3pt;z-index:-2709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OK9cipgB&#10;AAAkAwAADgAAAAAAAAAAAAAAAAAuAgAAZHJzL2Uyb0RvYy54bWxQSwECLQAUAAYACAAAACEA3pE0&#10;JuIAAAANAQAADwAAAAAAAAAAAAAAAADyAwAAZHJzL2Rvd25yZXYueG1sUEsFBgAAAAAEAAQA8wAA&#10;AAEFAAAAAA==&#10;" filled="f" stroked="f">
              <v:textbox inset="0,0,0,0">
                <w:txbxContent>
                  <w:p w14:paraId="0DFDDEB5"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20416" behindDoc="1" locked="0" layoutInCell="1" allowOverlap="1" wp14:anchorId="0DFDDAEA" wp14:editId="0DFDDAEB">
              <wp:simplePos x="0" y="0"/>
              <wp:positionH relativeFrom="page">
                <wp:posOffset>6122976</wp:posOffset>
              </wp:positionH>
              <wp:positionV relativeFrom="page">
                <wp:posOffset>9432545</wp:posOffset>
              </wp:positionV>
              <wp:extent cx="785495" cy="181610"/>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B6" w14:textId="77777777" w:rsidR="00046465" w:rsidRDefault="008134EB">
                          <w:pPr>
                            <w:pStyle w:val="BodyText"/>
                            <w:spacing w:before="12"/>
                            <w:ind w:left="20"/>
                          </w:pPr>
                          <w:r>
                            <w:t>Page</w:t>
                          </w:r>
                          <w:r>
                            <w:rPr>
                              <w:spacing w:val="-11"/>
                            </w:rPr>
                            <w:t xml:space="preserve"> </w:t>
                          </w:r>
                          <w:r>
                            <w:t>804-</w:t>
                          </w: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wps:txbx>
                    <wps:bodyPr wrap="square" lIns="0" tIns="0" rIns="0" bIns="0" rtlCol="0">
                      <a:noAutofit/>
                    </wps:bodyPr>
                  </wps:wsp>
                </a:graphicData>
              </a:graphic>
            </wp:anchor>
          </w:drawing>
        </mc:Choice>
        <mc:Fallback>
          <w:pict>
            <v:shape w14:anchorId="0DFDDAEA" id="Textbox 587" o:spid="_x0000_s1235" type="#_x0000_t202" style="position:absolute;margin-left:482.1pt;margin-top:742.7pt;width:61.85pt;height:14.3pt;z-index:-2709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" filled="f" stroked="f">
              <v:textbox inset="0,0,0,0">
                <w:txbxContent>
                  <w:p w14:paraId="0DFDDEB6" w14:textId="77777777" w:rsidR="00046465" w:rsidRDefault="008134EB">
                    <w:pPr>
                      <w:pStyle w:val="BodyText"/>
                      <w:spacing w:before="12"/>
                      <w:ind w:left="20"/>
                    </w:pPr>
                    <w:r>
                      <w:t>Page</w:t>
                    </w:r>
                    <w:r>
                      <w:rPr>
                        <w:spacing w:val="-11"/>
                      </w:rPr>
                      <w:t xml:space="preserve"> </w:t>
                    </w:r>
                    <w:r>
                      <w:t>804-</w:t>
                    </w:r>
                    <w:r>
                      <w:rPr>
                        <w:spacing w:val="-10"/>
                      </w:rPr>
                      <w:fldChar w:fldCharType="begin"/>
                    </w:r>
                    <w:r>
                      <w:rPr>
                        <w:spacing w:val="-10"/>
                      </w:rPr>
                      <w:instrText xml:space="preserve"> PAGE </w:instrText>
                    </w:r>
                    <w:r>
                      <w:rPr>
                        <w:spacing w:val="-10"/>
                      </w:rPr>
                      <w:fldChar w:fldCharType="separate"/>
                    </w:r>
                    <w:r>
                      <w:rPr>
                        <w:spacing w:val="-10"/>
                      </w:rPr>
                      <w:t>6</w:t>
                    </w:r>
                    <w:r>
                      <w:rPr>
                        <w:spacing w:val="-10"/>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7"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22464" behindDoc="1" locked="0" layoutInCell="1" allowOverlap="1" wp14:anchorId="0DFDDAF2" wp14:editId="0DFDDAF3">
              <wp:simplePos x="0" y="0"/>
              <wp:positionH relativeFrom="page">
                <wp:posOffset>666750</wp:posOffset>
              </wp:positionH>
              <wp:positionV relativeFrom="page">
                <wp:posOffset>7123176</wp:posOffset>
              </wp:positionV>
              <wp:extent cx="8496300" cy="19050"/>
              <wp:effectExtent l="0" t="0" r="0" b="0"/>
              <wp:wrapNone/>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D12D5C" id="Graphic 593" o:spid="_x0000_s1026" style="position:absolute;margin-left:52.5pt;margin-top:560.9pt;width:669pt;height:1.5pt;z-index:-27094016;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" path="m8496300,l,,,19050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22976" behindDoc="1" locked="0" layoutInCell="1" allowOverlap="1" wp14:anchorId="0DFDDAF4" wp14:editId="0DFDDAF5">
              <wp:simplePos x="0" y="0"/>
              <wp:positionH relativeFrom="page">
                <wp:posOffset>673100</wp:posOffset>
              </wp:positionH>
              <wp:positionV relativeFrom="page">
                <wp:posOffset>7146545</wp:posOffset>
              </wp:positionV>
              <wp:extent cx="678180" cy="181610"/>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B9"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AF4" id="_x0000_t202" coordsize="21600,21600" o:spt="202" path="m,l,21600r21600,l21600,xe">
              <v:stroke joinstyle="miter"/>
              <v:path gradientshapeok="t" o:connecttype="rect"/>
            </v:shapetype>
            <v:shape id="Textbox 594" o:spid="_x0000_s1237" type="#_x0000_t202" style="position:absolute;margin-left:53pt;margin-top:562.7pt;width:53.4pt;height:14.3pt;z-index:-270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" filled="f" stroked="f">
              <v:textbox inset="0,0,0,0">
                <w:txbxContent>
                  <w:p w14:paraId="0DFDDEB9"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23488" behindDoc="1" locked="0" layoutInCell="1" allowOverlap="1" wp14:anchorId="0DFDDAF6" wp14:editId="0DFDDAF7">
              <wp:simplePos x="0" y="0"/>
              <wp:positionH relativeFrom="page">
                <wp:posOffset>3697544</wp:posOffset>
              </wp:positionH>
              <wp:positionV relativeFrom="page">
                <wp:posOffset>7146545</wp:posOffset>
              </wp:positionV>
              <wp:extent cx="2206625" cy="18161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BA"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AF6" id="Textbox 595" o:spid="_x0000_s1238" type="#_x0000_t202" style="position:absolute;margin-left:291.15pt;margin-top:562.7pt;width:173.75pt;height:14.3pt;z-index:-2709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" filled="f" stroked="f">
              <v:textbox inset="0,0,0,0">
                <w:txbxContent>
                  <w:p w14:paraId="0DFDDEBA"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24000" behindDoc="1" locked="0" layoutInCell="1" allowOverlap="1" wp14:anchorId="0DFDDAF8" wp14:editId="0DFDDAF9">
              <wp:simplePos x="0" y="0"/>
              <wp:positionH relativeFrom="page">
                <wp:posOffset>8351833</wp:posOffset>
              </wp:positionH>
              <wp:positionV relativeFrom="page">
                <wp:posOffset>7146545</wp:posOffset>
              </wp:positionV>
              <wp:extent cx="785495" cy="18161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BB" w14:textId="77777777" w:rsidR="00046465" w:rsidRDefault="008134EB">
                          <w:pPr>
                            <w:pStyle w:val="BodyText"/>
                            <w:spacing w:before="12"/>
                            <w:ind w:left="20"/>
                          </w:pPr>
                          <w:r>
                            <w:t>Page</w:t>
                          </w:r>
                          <w:r>
                            <w:rPr>
                              <w:spacing w:val="-11"/>
                            </w:rPr>
                            <w:t xml:space="preserve"> </w:t>
                          </w:r>
                          <w:r>
                            <w:t>805-</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AF8" id="Textbox 596" o:spid="_x0000_s1239" type="#_x0000_t202" style="position:absolute;margin-left:657.6pt;margin-top:562.7pt;width:61.85pt;height:14.3pt;z-index:-2709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" filled="f" stroked="f">
              <v:textbox inset="0,0,0,0">
                <w:txbxContent>
                  <w:p w14:paraId="0DFDDEBB" w14:textId="77777777" w:rsidR="00046465" w:rsidRDefault="008134EB">
                    <w:pPr>
                      <w:pStyle w:val="BodyText"/>
                      <w:spacing w:before="12"/>
                      <w:ind w:left="20"/>
                    </w:pPr>
                    <w:r>
                      <w:t>Page</w:t>
                    </w:r>
                    <w:r>
                      <w:rPr>
                        <w:spacing w:val="-11"/>
                      </w:rPr>
                      <w:t xml:space="preserve"> </w:t>
                    </w:r>
                    <w:r>
                      <w:t>805-</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9"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26048" behindDoc="1" locked="0" layoutInCell="1" allowOverlap="1" wp14:anchorId="0DFDDB00" wp14:editId="0DFDDB01">
              <wp:simplePos x="0" y="0"/>
              <wp:positionH relativeFrom="page">
                <wp:posOffset>895350</wp:posOffset>
              </wp:positionH>
              <wp:positionV relativeFrom="page">
                <wp:posOffset>9409176</wp:posOffset>
              </wp:positionV>
              <wp:extent cx="5981700" cy="19050"/>
              <wp:effectExtent l="0" t="0" r="0" b="0"/>
              <wp:wrapNone/>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7FEC9A" id="Graphic 647" o:spid="_x0000_s1026" style="position:absolute;margin-left:70.5pt;margin-top:740.9pt;width:471pt;height:1.5pt;z-index:-27090432;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26560" behindDoc="1" locked="0" layoutInCell="1" allowOverlap="1" wp14:anchorId="0DFDDB02" wp14:editId="0DFDDB03">
              <wp:simplePos x="0" y="0"/>
              <wp:positionH relativeFrom="page">
                <wp:posOffset>901700</wp:posOffset>
              </wp:positionH>
              <wp:positionV relativeFrom="page">
                <wp:posOffset>9432545</wp:posOffset>
              </wp:positionV>
              <wp:extent cx="678180" cy="181610"/>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BE"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02" id="_x0000_t202" coordsize="21600,21600" o:spt="202" path="m,l,21600r21600,l21600,xe">
              <v:stroke joinstyle="miter"/>
              <v:path gradientshapeok="t" o:connecttype="rect"/>
            </v:shapetype>
            <v:shape id="Textbox 648" o:spid="_x0000_s1241" type="#_x0000_t202" style="position:absolute;margin-left:71pt;margin-top:742.7pt;width:53.4pt;height:14.3pt;z-index:-2708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RwNk2mAEA&#10;ACMDAAAOAAAAAAAAAAAAAAAAAC4CAABkcnMvZTJvRG9jLnhtbFBLAQItABQABgAIAAAAIQCuavdD&#10;4QAAAA0BAAAPAAAAAAAAAAAAAAAAAPIDAABkcnMvZG93bnJldi54bWxQSwUGAAAAAAQABADzAAAA&#10;AAUAAAAA&#10;" filled="f" stroked="f">
              <v:textbox inset="0,0,0,0">
                <w:txbxContent>
                  <w:p w14:paraId="0DFDDEBE"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27072" behindDoc="1" locked="0" layoutInCell="1" allowOverlap="1" wp14:anchorId="0DFDDB04" wp14:editId="0DFDDB05">
              <wp:simplePos x="0" y="0"/>
              <wp:positionH relativeFrom="page">
                <wp:posOffset>2783077</wp:posOffset>
              </wp:positionH>
              <wp:positionV relativeFrom="page">
                <wp:posOffset>9432545</wp:posOffset>
              </wp:positionV>
              <wp:extent cx="2206625" cy="181610"/>
              <wp:effectExtent l="0" t="0" r="0" b="0"/>
              <wp:wrapNone/>
              <wp:docPr id="649" name="Text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BF"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04" id="Textbox 649" o:spid="_x0000_s1242" type="#_x0000_t202" style="position:absolute;margin-left:219.15pt;margin-top:742.7pt;width:173.75pt;height:14.3pt;z-index:-2708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" filled="f" stroked="f">
              <v:textbox inset="0,0,0,0">
                <w:txbxContent>
                  <w:p w14:paraId="0DFDDEBF"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27584" behindDoc="1" locked="0" layoutInCell="1" allowOverlap="1" wp14:anchorId="0DFDDB06" wp14:editId="0DFDDB07">
              <wp:simplePos x="0" y="0"/>
              <wp:positionH relativeFrom="page">
                <wp:posOffset>6045200</wp:posOffset>
              </wp:positionH>
              <wp:positionV relativeFrom="page">
                <wp:posOffset>9432545</wp:posOffset>
              </wp:positionV>
              <wp:extent cx="863600" cy="181610"/>
              <wp:effectExtent l="0" t="0" r="0" b="0"/>
              <wp:wrapNone/>
              <wp:docPr id="650" name="Text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0DFDDEC0" w14:textId="77777777" w:rsidR="00046465" w:rsidRDefault="008134EB">
                          <w:pPr>
                            <w:pStyle w:val="BodyText"/>
                            <w:spacing w:before="12"/>
                            <w:ind w:left="20"/>
                          </w:pPr>
                          <w:r>
                            <w:t>Page</w:t>
                          </w:r>
                          <w:r>
                            <w:rPr>
                              <w:spacing w:val="-11"/>
                            </w:rPr>
                            <w:t xml:space="preserve"> </w:t>
                          </w:r>
                          <w:r>
                            <w:t>805-</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0DFDDB06" id="Textbox 650" o:spid="_x0000_s1243" type="#_x0000_t202" style="position:absolute;margin-left:476pt;margin-top:742.7pt;width:68pt;height:14.3pt;z-index:-2708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" filled="f" stroked="f">
              <v:textbox inset="0,0,0,0">
                <w:txbxContent>
                  <w:p w14:paraId="0DFDDEC0" w14:textId="77777777" w:rsidR="00046465" w:rsidRDefault="008134EB">
                    <w:pPr>
                      <w:pStyle w:val="BodyText"/>
                      <w:spacing w:before="12"/>
                      <w:ind w:left="20"/>
                    </w:pPr>
                    <w:r>
                      <w:t>Page</w:t>
                    </w:r>
                    <w:r>
                      <w:rPr>
                        <w:spacing w:val="-11"/>
                      </w:rPr>
                      <w:t xml:space="preserve"> </w:t>
                    </w:r>
                    <w:r>
                      <w:t>805-</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B"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29632" behindDoc="1" locked="0" layoutInCell="1" allowOverlap="1" wp14:anchorId="0DFDDB0E" wp14:editId="0DFDDB0F">
              <wp:simplePos x="0" y="0"/>
              <wp:positionH relativeFrom="page">
                <wp:posOffset>666750</wp:posOffset>
              </wp:positionH>
              <wp:positionV relativeFrom="page">
                <wp:posOffset>7123176</wp:posOffset>
              </wp:positionV>
              <wp:extent cx="8496300" cy="19050"/>
              <wp:effectExtent l="0" t="0" r="0" b="0"/>
              <wp:wrapNone/>
              <wp:docPr id="655" name="Graphic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BE54F4" id="Graphic 655" o:spid="_x0000_s1026" style="position:absolute;margin-left:52.5pt;margin-top:560.9pt;width:669pt;height:1.5pt;z-index:-27086848;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" path="m8496300,l,,,19050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30144" behindDoc="1" locked="0" layoutInCell="1" allowOverlap="1" wp14:anchorId="0DFDDB10" wp14:editId="0DFDDB11">
              <wp:simplePos x="0" y="0"/>
              <wp:positionH relativeFrom="page">
                <wp:posOffset>673100</wp:posOffset>
              </wp:positionH>
              <wp:positionV relativeFrom="page">
                <wp:posOffset>7146545</wp:posOffset>
              </wp:positionV>
              <wp:extent cx="678180" cy="18161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C3"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10" id="_x0000_t202" coordsize="21600,21600" o:spt="202" path="m,l,21600r21600,l21600,xe">
              <v:stroke joinstyle="miter"/>
              <v:path gradientshapeok="t" o:connecttype="rect"/>
            </v:shapetype>
            <v:shape id="Textbox 656" o:spid="_x0000_s1245" type="#_x0000_t202" style="position:absolute;margin-left:53pt;margin-top:562.7pt;width:53.4pt;height:14.3pt;z-index:-270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" filled="f" stroked="f">
              <v:textbox inset="0,0,0,0">
                <w:txbxContent>
                  <w:p w14:paraId="0DFDDEC3"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30656" behindDoc="1" locked="0" layoutInCell="1" allowOverlap="1" wp14:anchorId="0DFDDB12" wp14:editId="0DFDDB13">
              <wp:simplePos x="0" y="0"/>
              <wp:positionH relativeFrom="page">
                <wp:posOffset>3761485</wp:posOffset>
              </wp:positionH>
              <wp:positionV relativeFrom="page">
                <wp:posOffset>7146545</wp:posOffset>
              </wp:positionV>
              <wp:extent cx="2205990" cy="181610"/>
              <wp:effectExtent l="0" t="0" r="0" b="0"/>
              <wp:wrapNone/>
              <wp:docPr id="657" name="Text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5990" cy="181610"/>
                      </a:xfrm>
                      <a:prstGeom prst="rect">
                        <a:avLst/>
                      </a:prstGeom>
                    </wps:spPr>
                    <wps:txbx>
                      <w:txbxContent>
                        <w:p w14:paraId="0DFDDEC4" w14:textId="77777777" w:rsidR="00046465" w:rsidRDefault="008134EB">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12" id="Textbox 657" o:spid="_x0000_s1246" type="#_x0000_t202" style="position:absolute;margin-left:296.2pt;margin-top:562.7pt;width:173.7pt;height:14.3pt;z-index:-2708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" filled="f" stroked="f">
              <v:textbox inset="0,0,0,0">
                <w:txbxContent>
                  <w:p w14:paraId="0DFDDEC4" w14:textId="77777777" w:rsidR="00046465" w:rsidRDefault="008134EB">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31168" behindDoc="1" locked="0" layoutInCell="1" allowOverlap="1" wp14:anchorId="0DFDDB14" wp14:editId="0DFDDB15">
              <wp:simplePos x="0" y="0"/>
              <wp:positionH relativeFrom="page">
                <wp:posOffset>8408923</wp:posOffset>
              </wp:positionH>
              <wp:positionV relativeFrom="page">
                <wp:posOffset>7146545</wp:posOffset>
              </wp:positionV>
              <wp:extent cx="785495" cy="181610"/>
              <wp:effectExtent l="0" t="0" r="0" b="0"/>
              <wp:wrapNone/>
              <wp:docPr id="658" name="Text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C5" w14:textId="77777777" w:rsidR="00046465" w:rsidRDefault="008134EB">
                          <w:pPr>
                            <w:pStyle w:val="BodyText"/>
                            <w:spacing w:before="12"/>
                            <w:ind w:left="20"/>
                          </w:pPr>
                          <w:r>
                            <w:t>Page</w:t>
                          </w:r>
                          <w:r>
                            <w:rPr>
                              <w:spacing w:val="-11"/>
                            </w:rPr>
                            <w:t xml:space="preserve"> </w:t>
                          </w:r>
                          <w:r>
                            <w:t>806-</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B14" id="Textbox 658" o:spid="_x0000_s1247" type="#_x0000_t202" style="position:absolute;margin-left:662.1pt;margin-top:562.7pt;width:61.85pt;height:14.3pt;z-index:-2708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" filled="f" stroked="f">
              <v:textbox inset="0,0,0,0">
                <w:txbxContent>
                  <w:p w14:paraId="0DFDDEC5" w14:textId="77777777" w:rsidR="00046465" w:rsidRDefault="008134EB">
                    <w:pPr>
                      <w:pStyle w:val="BodyText"/>
                      <w:spacing w:before="12"/>
                      <w:ind w:left="20"/>
                    </w:pPr>
                    <w:r>
                      <w:t>Page</w:t>
                    </w:r>
                    <w:r>
                      <w:rPr>
                        <w:spacing w:val="-11"/>
                      </w:rPr>
                      <w:t xml:space="preserve"> </w:t>
                    </w:r>
                    <w:r>
                      <w:t>806-</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D"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33216" behindDoc="1" locked="0" layoutInCell="1" allowOverlap="1" wp14:anchorId="0DFDDB1C" wp14:editId="0DFDDB1D">
              <wp:simplePos x="0" y="0"/>
              <wp:positionH relativeFrom="page">
                <wp:posOffset>895350</wp:posOffset>
              </wp:positionH>
              <wp:positionV relativeFrom="page">
                <wp:posOffset>9409176</wp:posOffset>
              </wp:positionV>
              <wp:extent cx="5981700" cy="19050"/>
              <wp:effectExtent l="0" t="0" r="0" b="0"/>
              <wp:wrapNone/>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2A8F9D" id="Graphic 689" o:spid="_x0000_s1026" style="position:absolute;margin-left:70.5pt;margin-top:740.9pt;width:471pt;height:1.5pt;z-index:-27083264;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33728" behindDoc="1" locked="0" layoutInCell="1" allowOverlap="1" wp14:anchorId="0DFDDB1E" wp14:editId="0DFDDB1F">
              <wp:simplePos x="0" y="0"/>
              <wp:positionH relativeFrom="page">
                <wp:posOffset>901700</wp:posOffset>
              </wp:positionH>
              <wp:positionV relativeFrom="page">
                <wp:posOffset>9432545</wp:posOffset>
              </wp:positionV>
              <wp:extent cx="678180" cy="181610"/>
              <wp:effectExtent l="0" t="0" r="0" b="0"/>
              <wp:wrapNone/>
              <wp:docPr id="690" name="Text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C8"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1E" id="_x0000_t202" coordsize="21600,21600" o:spt="202" path="m,l,21600r21600,l21600,xe">
              <v:stroke joinstyle="miter"/>
              <v:path gradientshapeok="t" o:connecttype="rect"/>
            </v:shapetype>
            <v:shape id="Textbox 690" o:spid="_x0000_s1249" type="#_x0000_t202" style="position:absolute;margin-left:71pt;margin-top:742.7pt;width:53.4pt;height:14.3pt;z-index:-2708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LaZVUpkB&#10;AAAjAwAADgAAAAAAAAAAAAAAAAAuAgAAZHJzL2Uyb0RvYy54bWxQSwECLQAUAAYACAAAACEArmr3&#10;Q+EAAAANAQAADwAAAAAAAAAAAAAAAADzAwAAZHJzL2Rvd25yZXYueG1sUEsFBgAAAAAEAAQA8wAA&#10;AAEFAAAAAA==&#10;" filled="f" stroked="f">
              <v:textbox inset="0,0,0,0">
                <w:txbxContent>
                  <w:p w14:paraId="0DFDDEC8"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34240" behindDoc="1" locked="0" layoutInCell="1" allowOverlap="1" wp14:anchorId="0DFDDB20" wp14:editId="0DFDDB21">
              <wp:simplePos x="0" y="0"/>
              <wp:positionH relativeFrom="page">
                <wp:posOffset>2783077</wp:posOffset>
              </wp:positionH>
              <wp:positionV relativeFrom="page">
                <wp:posOffset>9432545</wp:posOffset>
              </wp:positionV>
              <wp:extent cx="2206625" cy="181610"/>
              <wp:effectExtent l="0" t="0" r="0" b="0"/>
              <wp:wrapNone/>
              <wp:docPr id="691" name="Text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C9"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20" id="Textbox 691" o:spid="_x0000_s1250" type="#_x0000_t202" style="position:absolute;margin-left:219.15pt;margin-top:742.7pt;width:173.75pt;height:14.3pt;z-index:-27082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Abz8Te&#10;mgEAACQDAAAOAAAAAAAAAAAAAAAAAC4CAABkcnMvZTJvRG9jLnhtbFBLAQItABQABgAIAAAAIQDe&#10;kTQm4gAAAA0BAAAPAAAAAAAAAAAAAAAAAPQDAABkcnMvZG93bnJldi54bWxQSwUGAAAAAAQABADz&#10;AAAAAwUAAAAA&#10;" filled="f" stroked="f">
              <v:textbox inset="0,0,0,0">
                <w:txbxContent>
                  <w:p w14:paraId="0DFDDEC9"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34752" behindDoc="1" locked="0" layoutInCell="1" allowOverlap="1" wp14:anchorId="0DFDDB22" wp14:editId="0DFDDB23">
              <wp:simplePos x="0" y="0"/>
              <wp:positionH relativeFrom="page">
                <wp:posOffset>6122923</wp:posOffset>
              </wp:positionH>
              <wp:positionV relativeFrom="page">
                <wp:posOffset>9432545</wp:posOffset>
              </wp:positionV>
              <wp:extent cx="785495" cy="181610"/>
              <wp:effectExtent l="0" t="0" r="0" b="0"/>
              <wp:wrapNone/>
              <wp:docPr id="692" name="Text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CA" w14:textId="77777777" w:rsidR="00046465" w:rsidRDefault="008134EB">
                          <w:pPr>
                            <w:pStyle w:val="BodyText"/>
                            <w:spacing w:before="12"/>
                            <w:ind w:left="20"/>
                          </w:pPr>
                          <w:r>
                            <w:t>Page</w:t>
                          </w:r>
                          <w:r>
                            <w:rPr>
                              <w:spacing w:val="-11"/>
                            </w:rPr>
                            <w:t xml:space="preserve"> </w:t>
                          </w:r>
                          <w:r>
                            <w:t>806-</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w14:anchorId="0DFDDB22" id="Textbox 692" o:spid="_x0000_s1251" type="#_x0000_t202" style="position:absolute;margin-left:482.1pt;margin-top:742.7pt;width:61.85pt;height:14.3pt;z-index:-27081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TOxt&#10;9JoBAAAjAwAADgAAAAAAAAAAAAAAAAAuAgAAZHJzL2Uyb0RvYy54bWxQSwECLQAUAAYACAAAACEA&#10;Y3QTQuMAAAAOAQAADwAAAAAAAAAAAAAAAAD0AwAAZHJzL2Rvd25yZXYueG1sUEsFBgAAAAAEAAQA&#10;8wAAAAQFAAAAAA==&#10;" filled="f" stroked="f">
              <v:textbox inset="0,0,0,0">
                <w:txbxContent>
                  <w:p w14:paraId="0DFDDECA" w14:textId="77777777" w:rsidR="00046465" w:rsidRDefault="008134EB">
                    <w:pPr>
                      <w:pStyle w:val="BodyText"/>
                      <w:spacing w:before="12"/>
                      <w:ind w:left="20"/>
                    </w:pPr>
                    <w:r>
                      <w:t>Page</w:t>
                    </w:r>
                    <w:r>
                      <w:rPr>
                        <w:spacing w:val="-11"/>
                      </w:rPr>
                      <w:t xml:space="preserve"> </w:t>
                    </w:r>
                    <w:r>
                      <w:t>806-</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F"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35264" behindDoc="1" locked="0" layoutInCell="1" allowOverlap="1" wp14:anchorId="0DFDDB24" wp14:editId="0DFDDB25">
              <wp:simplePos x="0" y="0"/>
              <wp:positionH relativeFrom="page">
                <wp:posOffset>673100</wp:posOffset>
              </wp:positionH>
              <wp:positionV relativeFrom="page">
                <wp:posOffset>7146545</wp:posOffset>
              </wp:positionV>
              <wp:extent cx="678180" cy="181610"/>
              <wp:effectExtent l="0" t="0" r="0" b="0"/>
              <wp:wrapNone/>
              <wp:docPr id="694" name="Text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CB"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24" id="_x0000_t202" coordsize="21600,21600" o:spt="202" path="m,l,21600r21600,l21600,xe">
              <v:stroke joinstyle="miter"/>
              <v:path gradientshapeok="t" o:connecttype="rect"/>
            </v:shapetype>
            <v:shape id="Textbox 694" o:spid="_x0000_s1252" type="#_x0000_t202" style="position:absolute;margin-left:53pt;margin-top:562.7pt;width:53.4pt;height:14.3pt;z-index:-27081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" filled="f" stroked="f">
              <v:textbox inset="0,0,0,0">
                <w:txbxContent>
                  <w:p w14:paraId="0DFDDECB"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35776" behindDoc="1" locked="0" layoutInCell="1" allowOverlap="1" wp14:anchorId="0DFDDB26" wp14:editId="0DFDDB27">
              <wp:simplePos x="0" y="0"/>
              <wp:positionH relativeFrom="page">
                <wp:posOffset>3740150</wp:posOffset>
              </wp:positionH>
              <wp:positionV relativeFrom="page">
                <wp:posOffset>7146545</wp:posOffset>
              </wp:positionV>
              <wp:extent cx="2205990" cy="181610"/>
              <wp:effectExtent l="0" t="0" r="0" b="0"/>
              <wp:wrapNone/>
              <wp:docPr id="695" name="Text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5990" cy="181610"/>
                      </a:xfrm>
                      <a:prstGeom prst="rect">
                        <a:avLst/>
                      </a:prstGeom>
                    </wps:spPr>
                    <wps:txbx>
                      <w:txbxContent>
                        <w:p w14:paraId="0DFDDECC" w14:textId="77777777" w:rsidR="00046465" w:rsidRDefault="008134EB">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26" id="Textbox 695" o:spid="_x0000_s1253" type="#_x0000_t202" style="position:absolute;margin-left:294.5pt;margin-top:562.7pt;width:173.7pt;height:14.3pt;z-index:-270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" filled="f" stroked="f">
              <v:textbox inset="0,0,0,0">
                <w:txbxContent>
                  <w:p w14:paraId="0DFDDECC" w14:textId="77777777" w:rsidR="00046465" w:rsidRDefault="008134EB">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36288" behindDoc="1" locked="0" layoutInCell="1" allowOverlap="1" wp14:anchorId="0DFDDB28" wp14:editId="0DFDDB29">
              <wp:simplePos x="0" y="0"/>
              <wp:positionH relativeFrom="page">
                <wp:posOffset>8408923</wp:posOffset>
              </wp:positionH>
              <wp:positionV relativeFrom="page">
                <wp:posOffset>7146545</wp:posOffset>
              </wp:positionV>
              <wp:extent cx="747395" cy="181610"/>
              <wp:effectExtent l="0" t="0" r="0" b="0"/>
              <wp:wrapNone/>
              <wp:docPr id="696" name="Text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ECD" w14:textId="77777777" w:rsidR="00046465" w:rsidRDefault="008134EB">
                          <w:pPr>
                            <w:pStyle w:val="BodyText"/>
                            <w:spacing w:before="12"/>
                            <w:ind w:left="20"/>
                          </w:pPr>
                          <w:r>
                            <w:t>Page</w:t>
                          </w:r>
                          <w:r>
                            <w:rPr>
                              <w:spacing w:val="-11"/>
                            </w:rPr>
                            <w:t xml:space="preserve"> </w:t>
                          </w:r>
                          <w:r>
                            <w:t>807-</w:t>
                          </w:r>
                          <w:r>
                            <w:rPr>
                              <w:spacing w:val="-10"/>
                            </w:rPr>
                            <w:t>1</w:t>
                          </w:r>
                        </w:p>
                      </w:txbxContent>
                    </wps:txbx>
                    <wps:bodyPr wrap="square" lIns="0" tIns="0" rIns="0" bIns="0" rtlCol="0">
                      <a:noAutofit/>
                    </wps:bodyPr>
                  </wps:wsp>
                </a:graphicData>
              </a:graphic>
            </wp:anchor>
          </w:drawing>
        </mc:Choice>
        <mc:Fallback>
          <w:pict>
            <v:shape w14:anchorId="0DFDDB28" id="Textbox 696" o:spid="_x0000_s1254" type="#_x0000_t202" style="position:absolute;margin-left:662.1pt;margin-top:562.7pt;width:58.85pt;height:14.3pt;z-index:-2708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" filled="f" stroked="f">
              <v:textbox inset="0,0,0,0">
                <w:txbxContent>
                  <w:p w14:paraId="0DFDDECD" w14:textId="77777777" w:rsidR="00046465" w:rsidRDefault="008134EB">
                    <w:pPr>
                      <w:pStyle w:val="BodyText"/>
                      <w:spacing w:before="12"/>
                      <w:ind w:left="20"/>
                    </w:pPr>
                    <w:r>
                      <w:t>Page</w:t>
                    </w:r>
                    <w:r>
                      <w:rPr>
                        <w:spacing w:val="-11"/>
                      </w:rPr>
                      <w:t xml:space="preserve"> </w:t>
                    </w:r>
                    <w:r>
                      <w:t>807-</w:t>
                    </w:r>
                    <w:r>
                      <w:rPr>
                        <w:spacing w:val="-10"/>
                      </w:rPr>
                      <w:t>1</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1"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38336" behindDoc="1" locked="0" layoutInCell="1" allowOverlap="1" wp14:anchorId="0DFDDB30" wp14:editId="0DFDDB31">
              <wp:simplePos x="0" y="0"/>
              <wp:positionH relativeFrom="page">
                <wp:posOffset>895350</wp:posOffset>
              </wp:positionH>
              <wp:positionV relativeFrom="page">
                <wp:posOffset>9409176</wp:posOffset>
              </wp:positionV>
              <wp:extent cx="5981700" cy="19050"/>
              <wp:effectExtent l="0" t="0" r="0" b="0"/>
              <wp:wrapNone/>
              <wp:docPr id="712" name="Graphic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875686" id="Graphic 712" o:spid="_x0000_s1026" style="position:absolute;margin-left:70.5pt;margin-top:740.9pt;width:471pt;height:1.5pt;z-index:-27078144;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38848" behindDoc="1" locked="0" layoutInCell="1" allowOverlap="1" wp14:anchorId="0DFDDB32" wp14:editId="0DFDDB33">
              <wp:simplePos x="0" y="0"/>
              <wp:positionH relativeFrom="page">
                <wp:posOffset>901700</wp:posOffset>
              </wp:positionH>
              <wp:positionV relativeFrom="page">
                <wp:posOffset>9432545</wp:posOffset>
              </wp:positionV>
              <wp:extent cx="678180" cy="181610"/>
              <wp:effectExtent l="0" t="0" r="0" b="0"/>
              <wp:wrapNone/>
              <wp:docPr id="713" name="Text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D0"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32" id="_x0000_t202" coordsize="21600,21600" o:spt="202" path="m,l,21600r21600,l21600,xe">
              <v:stroke joinstyle="miter"/>
              <v:path gradientshapeok="t" o:connecttype="rect"/>
            </v:shapetype>
            <v:shape id="Textbox 713" o:spid="_x0000_s1256" type="#_x0000_t202" style="position:absolute;margin-left:71pt;margin-top:742.7pt;width:53.4pt;height:14.3pt;z-index:-27077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" filled="f" stroked="f">
              <v:textbox inset="0,0,0,0">
                <w:txbxContent>
                  <w:p w14:paraId="0DFDDED0"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39360" behindDoc="1" locked="0" layoutInCell="1" allowOverlap="1" wp14:anchorId="0DFDDB34" wp14:editId="0DFDDB35">
              <wp:simplePos x="0" y="0"/>
              <wp:positionH relativeFrom="page">
                <wp:posOffset>2774695</wp:posOffset>
              </wp:positionH>
              <wp:positionV relativeFrom="page">
                <wp:posOffset>9432545</wp:posOffset>
              </wp:positionV>
              <wp:extent cx="2206625" cy="181610"/>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D1"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34" id="Textbox 714" o:spid="_x0000_s1257" type="#_x0000_t202" style="position:absolute;margin-left:218.5pt;margin-top:742.7pt;width:173.75pt;height:14.3pt;z-index:-2707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" filled="f" stroked="f">
              <v:textbox inset="0,0,0,0">
                <w:txbxContent>
                  <w:p w14:paraId="0DFDDED1"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39872" behindDoc="1" locked="0" layoutInCell="1" allowOverlap="1" wp14:anchorId="0DFDDB36" wp14:editId="0DFDDB37">
              <wp:simplePos x="0" y="0"/>
              <wp:positionH relativeFrom="page">
                <wp:posOffset>6122923</wp:posOffset>
              </wp:positionH>
              <wp:positionV relativeFrom="page">
                <wp:posOffset>9432545</wp:posOffset>
              </wp:positionV>
              <wp:extent cx="785495" cy="181610"/>
              <wp:effectExtent l="0" t="0" r="0" b="0"/>
              <wp:wrapNone/>
              <wp:docPr id="715" name="Text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D2" w14:textId="77777777" w:rsidR="00046465" w:rsidRDefault="008134EB">
                          <w:pPr>
                            <w:pStyle w:val="BodyText"/>
                            <w:spacing w:before="12"/>
                            <w:ind w:left="20"/>
                          </w:pPr>
                          <w:r>
                            <w:t>Page</w:t>
                          </w:r>
                          <w:r>
                            <w:rPr>
                              <w:spacing w:val="-11"/>
                            </w:rPr>
                            <w:t xml:space="preserve"> </w:t>
                          </w:r>
                          <w:r>
                            <w:t>807-</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B36" id="Textbox 715" o:spid="_x0000_s1258" type="#_x0000_t202" style="position:absolute;margin-left:482.1pt;margin-top:742.7pt;width:61.85pt;height:14.3pt;z-index:-27076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M5uT&#10;k5oBAAAjAwAADgAAAAAAAAAAAAAAAAAuAgAAZHJzL2Uyb0RvYy54bWxQSwECLQAUAAYACAAAACEA&#10;Y3QTQuMAAAAOAQAADwAAAAAAAAAAAAAAAAD0AwAAZHJzL2Rvd25yZXYueG1sUEsFBgAAAAAEAAQA&#10;8wAAAAQFAAAAAA==&#10;" filled="f" stroked="f">
              <v:textbox inset="0,0,0,0">
                <w:txbxContent>
                  <w:p w14:paraId="0DFDDED2" w14:textId="77777777" w:rsidR="00046465" w:rsidRDefault="008134EB">
                    <w:pPr>
                      <w:pStyle w:val="BodyText"/>
                      <w:spacing w:before="12"/>
                      <w:ind w:left="20"/>
                    </w:pPr>
                    <w:r>
                      <w:t>Page</w:t>
                    </w:r>
                    <w:r>
                      <w:rPr>
                        <w:spacing w:val="-11"/>
                      </w:rPr>
                      <w:t xml:space="preserve"> </w:t>
                    </w:r>
                    <w:r>
                      <w:t>807-</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3"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41920" behindDoc="1" locked="0" layoutInCell="1" allowOverlap="1" wp14:anchorId="0DFDDB3E" wp14:editId="0DFDDB3F">
              <wp:simplePos x="0" y="0"/>
              <wp:positionH relativeFrom="page">
                <wp:posOffset>666750</wp:posOffset>
              </wp:positionH>
              <wp:positionV relativeFrom="page">
                <wp:posOffset>7123176</wp:posOffset>
              </wp:positionV>
              <wp:extent cx="8496300" cy="19050"/>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093D91" id="Graphic 720" o:spid="_x0000_s1026" style="position:absolute;margin-left:52.5pt;margin-top:560.9pt;width:669pt;height:1.5pt;z-index:-27074560;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" path="m8496300,l,,,19050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42432" behindDoc="1" locked="0" layoutInCell="1" allowOverlap="1" wp14:anchorId="0DFDDB40" wp14:editId="0DFDDB41">
              <wp:simplePos x="0" y="0"/>
              <wp:positionH relativeFrom="page">
                <wp:posOffset>673100</wp:posOffset>
              </wp:positionH>
              <wp:positionV relativeFrom="page">
                <wp:posOffset>7146545</wp:posOffset>
              </wp:positionV>
              <wp:extent cx="678180" cy="181610"/>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D5"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40" id="_x0000_t202" coordsize="21600,21600" o:spt="202" path="m,l,21600r21600,l21600,xe">
              <v:stroke joinstyle="miter"/>
              <v:path gradientshapeok="t" o:connecttype="rect"/>
            </v:shapetype>
            <v:shape id="Textbox 721" o:spid="_x0000_s1260" type="#_x0000_t202" style="position:absolute;margin-left:53pt;margin-top:562.7pt;width:53.4pt;height:14.3pt;z-index:-270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" filled="f" stroked="f">
              <v:textbox inset="0,0,0,0">
                <w:txbxContent>
                  <w:p w14:paraId="0DFDDED5"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42944" behindDoc="1" locked="0" layoutInCell="1" allowOverlap="1" wp14:anchorId="0DFDDB42" wp14:editId="0DFDDB43">
              <wp:simplePos x="0" y="0"/>
              <wp:positionH relativeFrom="page">
                <wp:posOffset>3697478</wp:posOffset>
              </wp:positionH>
              <wp:positionV relativeFrom="page">
                <wp:posOffset>7146545</wp:posOffset>
              </wp:positionV>
              <wp:extent cx="2206625" cy="181610"/>
              <wp:effectExtent l="0" t="0" r="0" b="0"/>
              <wp:wrapNone/>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D6"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42" id="Textbox 722" o:spid="_x0000_s1261" type="#_x0000_t202" style="position:absolute;margin-left:291.15pt;margin-top:562.7pt;width:173.75pt;height:14.3pt;z-index:-2707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" filled="f" stroked="f">
              <v:textbox inset="0,0,0,0">
                <w:txbxContent>
                  <w:p w14:paraId="0DFDDED6"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43456" behindDoc="1" locked="0" layoutInCell="1" allowOverlap="1" wp14:anchorId="0DFDDB44" wp14:editId="0DFDDB45">
              <wp:simplePos x="0" y="0"/>
              <wp:positionH relativeFrom="page">
                <wp:posOffset>8408923</wp:posOffset>
              </wp:positionH>
              <wp:positionV relativeFrom="page">
                <wp:posOffset>7146545</wp:posOffset>
              </wp:positionV>
              <wp:extent cx="785495" cy="181610"/>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D7" w14:textId="77777777" w:rsidR="00046465" w:rsidRDefault="008134EB">
                          <w:pPr>
                            <w:pStyle w:val="BodyText"/>
                            <w:spacing w:before="12"/>
                            <w:ind w:left="20"/>
                          </w:pPr>
                          <w:r>
                            <w:t>Page</w:t>
                          </w:r>
                          <w:r>
                            <w:rPr>
                              <w:spacing w:val="-11"/>
                            </w:rPr>
                            <w:t xml:space="preserve"> </w:t>
                          </w:r>
                          <w:r>
                            <w:t>808-</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B44" id="Textbox 723" o:spid="_x0000_s1262" type="#_x0000_t202" style="position:absolute;margin-left:662.1pt;margin-top:562.7pt;width:61.85pt;height:14.3pt;z-index:-2707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" filled="f" stroked="f">
              <v:textbox inset="0,0,0,0">
                <w:txbxContent>
                  <w:p w14:paraId="0DFDDED7" w14:textId="77777777" w:rsidR="00046465" w:rsidRDefault="008134EB">
                    <w:pPr>
                      <w:pStyle w:val="BodyText"/>
                      <w:spacing w:before="12"/>
                      <w:ind w:left="20"/>
                    </w:pPr>
                    <w:r>
                      <w:t>Page</w:t>
                    </w:r>
                    <w:r>
                      <w:rPr>
                        <w:spacing w:val="-11"/>
                      </w:rPr>
                      <w:t xml:space="preserve"> </w:t>
                    </w:r>
                    <w:r>
                      <w:t>808-</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9"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66816" behindDoc="1" locked="0" layoutInCell="1" allowOverlap="1" wp14:anchorId="0DFDD892" wp14:editId="0DFDD893">
              <wp:simplePos x="0" y="0"/>
              <wp:positionH relativeFrom="page">
                <wp:posOffset>895350</wp:posOffset>
              </wp:positionH>
              <wp:positionV relativeFrom="page">
                <wp:posOffset>9400031</wp:posOffset>
              </wp:positionV>
              <wp:extent cx="5981700" cy="28575"/>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BE02E0" id="Graphic 88" o:spid="_x0000_s1026" style="position:absolute;margin-left:70.5pt;margin-top:740.15pt;width:471pt;height:2.25pt;z-index:-272496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67328" behindDoc="1" locked="0" layoutInCell="1" allowOverlap="1" wp14:anchorId="0DFDD894" wp14:editId="0DFDD895">
              <wp:simplePos x="0" y="0"/>
              <wp:positionH relativeFrom="page">
                <wp:posOffset>901700</wp:posOffset>
              </wp:positionH>
              <wp:positionV relativeFrom="page">
                <wp:posOffset>9432545</wp:posOffset>
              </wp:positionV>
              <wp:extent cx="678180" cy="1816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DDF"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894" id="_x0000_t202" coordsize="21600,21600" o:spt="202" path="m,l,21600r21600,l21600,xe">
              <v:stroke joinstyle="miter"/>
              <v:path gradientshapeok="t" o:connecttype="rect"/>
            </v:shapetype>
            <v:shape id="Textbox 89" o:spid="_x0000_s1061" type="#_x0000_t202" style="position:absolute;margin-left:71pt;margin-top:742.7pt;width:53.4pt;height:14.3pt;z-index:-2724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HAcaGqXAQAA&#10;IgMAAA4AAAAAAAAAAAAAAAAALgIAAGRycy9lMm9Eb2MueG1sUEsBAi0AFAAGAAgAAAAhAK5q90Ph&#10;AAAADQEAAA8AAAAAAAAAAAAAAAAA8QMAAGRycy9kb3ducmV2LnhtbFBLBQYAAAAABAAEAPMAAAD/&#10;BAAAAAA=&#10;" filled="f" stroked="f">
              <v:textbox inset="0,0,0,0">
                <w:txbxContent>
                  <w:p w14:paraId="0DFDDDDF"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067840" behindDoc="1" locked="0" layoutInCell="1" allowOverlap="1" wp14:anchorId="0DFDD896" wp14:editId="0DFDD897">
              <wp:simplePos x="0" y="0"/>
              <wp:positionH relativeFrom="page">
                <wp:posOffset>2860253</wp:posOffset>
              </wp:positionH>
              <wp:positionV relativeFrom="page">
                <wp:posOffset>9432545</wp:posOffset>
              </wp:positionV>
              <wp:extent cx="2207260" cy="18161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0DFDDDE0" w14:textId="77777777" w:rsidR="00046465" w:rsidRDefault="008134EB">
                          <w:pPr>
                            <w:pStyle w:val="BodyText"/>
                            <w:spacing w:before="12"/>
                            <w:ind w:left="20"/>
                          </w:pPr>
                          <w:r>
                            <w:t>GAO/CIGIE</w:t>
                          </w:r>
                          <w:r>
                            <w:rPr>
                              <w:spacing w:val="-9"/>
                            </w:rPr>
                            <w:t xml:space="preserve"> </w:t>
                          </w:r>
                          <w:r>
                            <w:t>Financial</w:t>
                          </w:r>
                          <w:r>
                            <w:rPr>
                              <w:spacing w:val="-9"/>
                            </w:rPr>
                            <w:t xml:space="preserve"> </w:t>
                          </w:r>
                          <w:r>
                            <w:t>Audit</w:t>
                          </w:r>
                          <w:r>
                            <w:rPr>
                              <w:spacing w:val="-8"/>
                            </w:rPr>
                            <w:t xml:space="preserve"> </w:t>
                          </w:r>
                          <w:r>
                            <w:rPr>
                              <w:spacing w:val="-2"/>
                            </w:rPr>
                            <w:t>Manual</w:t>
                          </w:r>
                        </w:p>
                      </w:txbxContent>
                    </wps:txbx>
                    <wps:bodyPr wrap="square" lIns="0" tIns="0" rIns="0" bIns="0" rtlCol="0">
                      <a:noAutofit/>
                    </wps:bodyPr>
                  </wps:wsp>
                </a:graphicData>
              </a:graphic>
            </wp:anchor>
          </w:drawing>
        </mc:Choice>
        <mc:Fallback>
          <w:pict>
            <v:shape w14:anchorId="0DFDD896" id="Textbox 90" o:spid="_x0000_s1062" type="#_x0000_t202" style="position:absolute;margin-left:225.2pt;margin-top:742.7pt;width:173.8pt;height:14.3pt;z-index:-2724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" filled="f" stroked="f">
              <v:textbox inset="0,0,0,0">
                <w:txbxContent>
                  <w:p w14:paraId="0DFDDDE0" w14:textId="77777777" w:rsidR="00046465" w:rsidRDefault="008134EB">
                    <w:pPr>
                      <w:pStyle w:val="BodyText"/>
                      <w:spacing w:before="12"/>
                      <w:ind w:left="20"/>
                    </w:pPr>
                    <w:r>
                      <w:t>GAO/CIGIE</w:t>
                    </w:r>
                    <w:r>
                      <w:rPr>
                        <w:spacing w:val="-9"/>
                      </w:rPr>
                      <w:t xml:space="preserve"> </w:t>
                    </w:r>
                    <w:r>
                      <w:t>Financial</w:t>
                    </w:r>
                    <w:r>
                      <w:rPr>
                        <w:spacing w:val="-9"/>
                      </w:rPr>
                      <w:t xml:space="preserve"> </w:t>
                    </w:r>
                    <w:r>
                      <w:t>Audit</w:t>
                    </w:r>
                    <w:r>
                      <w:rPr>
                        <w:spacing w:val="-8"/>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068352" behindDoc="1" locked="0" layoutInCell="1" allowOverlap="1" wp14:anchorId="0DFDD898" wp14:editId="0DFDD899">
              <wp:simplePos x="0" y="0"/>
              <wp:positionH relativeFrom="page">
                <wp:posOffset>6161416</wp:posOffset>
              </wp:positionH>
              <wp:positionV relativeFrom="page">
                <wp:posOffset>9432545</wp:posOffset>
              </wp:positionV>
              <wp:extent cx="708660" cy="181610"/>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81610"/>
                      </a:xfrm>
                      <a:prstGeom prst="rect">
                        <a:avLst/>
                      </a:prstGeom>
                    </wps:spPr>
                    <wps:txbx>
                      <w:txbxContent>
                        <w:p w14:paraId="0DFDDDE1" w14:textId="77777777" w:rsidR="00046465" w:rsidRDefault="008134EB">
                          <w:pPr>
                            <w:pStyle w:val="BodyText"/>
                            <w:spacing w:before="12"/>
                            <w:ind w:left="20"/>
                          </w:pPr>
                          <w:r>
                            <w:rPr>
                              <w:spacing w:val="-2"/>
                            </w:rPr>
                            <w:t>Contents-</w:t>
                          </w:r>
                          <w:r>
                            <w:rPr>
                              <w:spacing w:val="-10"/>
                            </w:rPr>
                            <w:t>2</w:t>
                          </w:r>
                        </w:p>
                      </w:txbxContent>
                    </wps:txbx>
                    <wps:bodyPr wrap="square" lIns="0" tIns="0" rIns="0" bIns="0" rtlCol="0">
                      <a:noAutofit/>
                    </wps:bodyPr>
                  </wps:wsp>
                </a:graphicData>
              </a:graphic>
            </wp:anchor>
          </w:drawing>
        </mc:Choice>
        <mc:Fallback>
          <w:pict>
            <v:shape w14:anchorId="0DFDD898" id="Textbox 91" o:spid="_x0000_s1063" type="#_x0000_t202" style="position:absolute;margin-left:485.15pt;margin-top:742.7pt;width:55.8pt;height:14.3pt;z-index:-2724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" filled="f" stroked="f">
              <v:textbox inset="0,0,0,0">
                <w:txbxContent>
                  <w:p w14:paraId="0DFDDDE1" w14:textId="77777777" w:rsidR="00046465" w:rsidRDefault="008134EB">
                    <w:pPr>
                      <w:pStyle w:val="BodyText"/>
                      <w:spacing w:before="12"/>
                      <w:ind w:left="20"/>
                    </w:pPr>
                    <w:r>
                      <w:rPr>
                        <w:spacing w:val="-2"/>
                      </w:rPr>
                      <w:t>Contents-</w:t>
                    </w:r>
                    <w:r>
                      <w:rPr>
                        <w:spacing w:val="-10"/>
                      </w:rPr>
                      <w:t>2</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5"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45504" behindDoc="1" locked="0" layoutInCell="1" allowOverlap="1" wp14:anchorId="0DFDDB4C" wp14:editId="0DFDDB4D">
              <wp:simplePos x="0" y="0"/>
              <wp:positionH relativeFrom="page">
                <wp:posOffset>895350</wp:posOffset>
              </wp:positionH>
              <wp:positionV relativeFrom="page">
                <wp:posOffset>9409176</wp:posOffset>
              </wp:positionV>
              <wp:extent cx="5981700" cy="19050"/>
              <wp:effectExtent l="0" t="0" r="0" b="0"/>
              <wp:wrapNone/>
              <wp:docPr id="753" name="Graphic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1DE392" id="Graphic 753" o:spid="_x0000_s1026" style="position:absolute;margin-left:70.5pt;margin-top:740.9pt;width:471pt;height:1.5pt;z-index:-27070976;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46016" behindDoc="1" locked="0" layoutInCell="1" allowOverlap="1" wp14:anchorId="0DFDDB4E" wp14:editId="0DFDDB4F">
              <wp:simplePos x="0" y="0"/>
              <wp:positionH relativeFrom="page">
                <wp:posOffset>901700</wp:posOffset>
              </wp:positionH>
              <wp:positionV relativeFrom="page">
                <wp:posOffset>9432545</wp:posOffset>
              </wp:positionV>
              <wp:extent cx="678180" cy="181610"/>
              <wp:effectExtent l="0" t="0" r="0" b="0"/>
              <wp:wrapNone/>
              <wp:docPr id="754" name="Textbox 7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DA"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4E" id="_x0000_t202" coordsize="21600,21600" o:spt="202" path="m,l,21600r21600,l21600,xe">
              <v:stroke joinstyle="miter"/>
              <v:path gradientshapeok="t" o:connecttype="rect"/>
            </v:shapetype>
            <v:shape id="Textbox 754" o:spid="_x0000_s1264" type="#_x0000_t202" style="position:absolute;margin-left:71pt;margin-top:742.7pt;width:53.4pt;height:14.3pt;z-index:-2707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1eO0TmAEA&#10;ACMDAAAOAAAAAAAAAAAAAAAAAC4CAABkcnMvZTJvRG9jLnhtbFBLAQItABQABgAIAAAAIQCuavdD&#10;4QAAAA0BAAAPAAAAAAAAAAAAAAAAAPIDAABkcnMvZG93bnJldi54bWxQSwUGAAAAAAQABADzAAAA&#10;AAUAAAAA&#10;" filled="f" stroked="f">
              <v:textbox inset="0,0,0,0">
                <w:txbxContent>
                  <w:p w14:paraId="0DFDDEDA"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46528" behindDoc="1" locked="0" layoutInCell="1" allowOverlap="1" wp14:anchorId="0DFDDB50" wp14:editId="0DFDDB51">
              <wp:simplePos x="0" y="0"/>
              <wp:positionH relativeFrom="page">
                <wp:posOffset>2783077</wp:posOffset>
              </wp:positionH>
              <wp:positionV relativeFrom="page">
                <wp:posOffset>9432545</wp:posOffset>
              </wp:positionV>
              <wp:extent cx="2206625" cy="181610"/>
              <wp:effectExtent l="0" t="0" r="0" b="0"/>
              <wp:wrapNone/>
              <wp:docPr id="755" name="Text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DB"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50" id="Textbox 755" o:spid="_x0000_s1265" type="#_x0000_t202" style="position:absolute;margin-left:219.15pt;margin-top:742.7pt;width:173.75pt;height:14.3pt;z-index:-2706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BQxudh&#10;mgEAACQDAAAOAAAAAAAAAAAAAAAAAC4CAABkcnMvZTJvRG9jLnhtbFBLAQItABQABgAIAAAAIQDe&#10;kTQm4gAAAA0BAAAPAAAAAAAAAAAAAAAAAPQDAABkcnMvZG93bnJldi54bWxQSwUGAAAAAAQABADz&#10;AAAAAwUAAAAA&#10;" filled="f" stroked="f">
              <v:textbox inset="0,0,0,0">
                <w:txbxContent>
                  <w:p w14:paraId="0DFDDEDB"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47040" behindDoc="1" locked="0" layoutInCell="1" allowOverlap="1" wp14:anchorId="0DFDDB52" wp14:editId="0DFDDB53">
              <wp:simplePos x="0" y="0"/>
              <wp:positionH relativeFrom="page">
                <wp:posOffset>6122923</wp:posOffset>
              </wp:positionH>
              <wp:positionV relativeFrom="page">
                <wp:posOffset>9432545</wp:posOffset>
              </wp:positionV>
              <wp:extent cx="785495" cy="181610"/>
              <wp:effectExtent l="0" t="0" r="0" b="0"/>
              <wp:wrapNone/>
              <wp:docPr id="756" name="Textbox 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DC" w14:textId="77777777" w:rsidR="00046465" w:rsidRDefault="008134EB">
                          <w:pPr>
                            <w:pStyle w:val="BodyText"/>
                            <w:spacing w:before="12"/>
                            <w:ind w:left="20"/>
                          </w:pPr>
                          <w:r>
                            <w:t>Page</w:t>
                          </w:r>
                          <w:r>
                            <w:rPr>
                              <w:spacing w:val="-11"/>
                            </w:rPr>
                            <w:t xml:space="preserve"> </w:t>
                          </w:r>
                          <w:r>
                            <w:t>808-</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w14:anchorId="0DFDDB52" id="Textbox 756" o:spid="_x0000_s1266" type="#_x0000_t202" style="position:absolute;margin-left:482.1pt;margin-top:742.7pt;width:61.85pt;height:14.3pt;z-index:-2706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waTg&#10;kpoBAAAjAwAADgAAAAAAAAAAAAAAAAAuAgAAZHJzL2Uyb0RvYy54bWxQSwECLQAUAAYACAAAACEA&#10;Y3QTQuMAAAAOAQAADwAAAAAAAAAAAAAAAAD0AwAAZHJzL2Rvd25yZXYueG1sUEsFBgAAAAAEAAQA&#10;8wAAAAQFAAAAAA==&#10;" filled="f" stroked="f">
              <v:textbox inset="0,0,0,0">
                <w:txbxContent>
                  <w:p w14:paraId="0DFDDEDC" w14:textId="77777777" w:rsidR="00046465" w:rsidRDefault="008134EB">
                    <w:pPr>
                      <w:pStyle w:val="BodyText"/>
                      <w:spacing w:before="12"/>
                      <w:ind w:left="20"/>
                    </w:pPr>
                    <w:r>
                      <w:t>Page</w:t>
                    </w:r>
                    <w:r>
                      <w:rPr>
                        <w:spacing w:val="-11"/>
                      </w:rPr>
                      <w:t xml:space="preserve"> </w:t>
                    </w:r>
                    <w:r>
                      <w:t>808-</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7"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49088" behindDoc="1" locked="0" layoutInCell="1" allowOverlap="1" wp14:anchorId="0DFDDB5A" wp14:editId="0DFDDB5B">
              <wp:simplePos x="0" y="0"/>
              <wp:positionH relativeFrom="page">
                <wp:posOffset>666750</wp:posOffset>
              </wp:positionH>
              <wp:positionV relativeFrom="page">
                <wp:posOffset>7123176</wp:posOffset>
              </wp:positionV>
              <wp:extent cx="8496300" cy="19050"/>
              <wp:effectExtent l="0" t="0" r="0" b="0"/>
              <wp:wrapNone/>
              <wp:docPr id="761" name="Graphic 7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7D5D67" id="Graphic 761" o:spid="_x0000_s1026" style="position:absolute;margin-left:52.5pt;margin-top:560.9pt;width:669pt;height:1.5pt;z-index:-27067392;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" path="m8496300,l,,,19050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49600" behindDoc="1" locked="0" layoutInCell="1" allowOverlap="1" wp14:anchorId="0DFDDB5C" wp14:editId="0DFDDB5D">
              <wp:simplePos x="0" y="0"/>
              <wp:positionH relativeFrom="page">
                <wp:posOffset>673100</wp:posOffset>
              </wp:positionH>
              <wp:positionV relativeFrom="page">
                <wp:posOffset>7146545</wp:posOffset>
              </wp:positionV>
              <wp:extent cx="678180" cy="181610"/>
              <wp:effectExtent l="0" t="0" r="0" b="0"/>
              <wp:wrapNone/>
              <wp:docPr id="762" name="Text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DF"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5C" id="_x0000_t202" coordsize="21600,21600" o:spt="202" path="m,l,21600r21600,l21600,xe">
              <v:stroke joinstyle="miter"/>
              <v:path gradientshapeok="t" o:connecttype="rect"/>
            </v:shapetype>
            <v:shape id="Textbox 762" o:spid="_x0000_s1268" type="#_x0000_t202" style="position:absolute;margin-left:53pt;margin-top:562.7pt;width:53.4pt;height:14.3pt;z-index:-2706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" filled="f" stroked="f">
              <v:textbox inset="0,0,0,0">
                <w:txbxContent>
                  <w:p w14:paraId="0DFDDEDF"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50112" behindDoc="1" locked="0" layoutInCell="1" allowOverlap="1" wp14:anchorId="0DFDDB5E" wp14:editId="0DFDDB5F">
              <wp:simplePos x="0" y="0"/>
              <wp:positionH relativeFrom="page">
                <wp:posOffset>3697478</wp:posOffset>
              </wp:positionH>
              <wp:positionV relativeFrom="page">
                <wp:posOffset>7146545</wp:posOffset>
              </wp:positionV>
              <wp:extent cx="2206625" cy="181610"/>
              <wp:effectExtent l="0" t="0" r="0" b="0"/>
              <wp:wrapNone/>
              <wp:docPr id="763" name="Text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E0"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5E" id="Textbox 763" o:spid="_x0000_s1269" type="#_x0000_t202" style="position:absolute;margin-left:291.15pt;margin-top:562.7pt;width:173.75pt;height:14.3pt;z-index:-2706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" filled="f" stroked="f">
              <v:textbox inset="0,0,0,0">
                <w:txbxContent>
                  <w:p w14:paraId="0DFDDEE0"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50624" behindDoc="1" locked="0" layoutInCell="1" allowOverlap="1" wp14:anchorId="0DFDDB60" wp14:editId="0DFDDB61">
              <wp:simplePos x="0" y="0"/>
              <wp:positionH relativeFrom="page">
                <wp:posOffset>8408923</wp:posOffset>
              </wp:positionH>
              <wp:positionV relativeFrom="page">
                <wp:posOffset>7146545</wp:posOffset>
              </wp:positionV>
              <wp:extent cx="785495" cy="181610"/>
              <wp:effectExtent l="0" t="0" r="0" b="0"/>
              <wp:wrapNone/>
              <wp:docPr id="764" name="Text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E1" w14:textId="77777777" w:rsidR="00046465" w:rsidRDefault="008134EB">
                          <w:pPr>
                            <w:pStyle w:val="BodyText"/>
                            <w:spacing w:before="12"/>
                            <w:ind w:left="20"/>
                          </w:pPr>
                          <w:r>
                            <w:t>Page</w:t>
                          </w:r>
                          <w:r>
                            <w:rPr>
                              <w:spacing w:val="-11"/>
                            </w:rPr>
                            <w:t xml:space="preserve"> </w:t>
                          </w:r>
                          <w:r>
                            <w:t>809-</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B60" id="Textbox 764" o:spid="_x0000_s1270" type="#_x0000_t202" style="position:absolute;margin-left:662.1pt;margin-top:562.7pt;width:61.85pt;height:14.3pt;z-index:-2706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" filled="f" stroked="f">
              <v:textbox inset="0,0,0,0">
                <w:txbxContent>
                  <w:p w14:paraId="0DFDDEE1" w14:textId="77777777" w:rsidR="00046465" w:rsidRDefault="008134EB">
                    <w:pPr>
                      <w:pStyle w:val="BodyText"/>
                      <w:spacing w:before="12"/>
                      <w:ind w:left="20"/>
                    </w:pPr>
                    <w:r>
                      <w:t>Page</w:t>
                    </w:r>
                    <w:r>
                      <w:rPr>
                        <w:spacing w:val="-11"/>
                      </w:rPr>
                      <w:t xml:space="preserve"> </w:t>
                    </w:r>
                    <w:r>
                      <w:t>809-</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9"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52672" behindDoc="1" locked="0" layoutInCell="1" allowOverlap="1" wp14:anchorId="0DFDDB68" wp14:editId="0DFDDB69">
              <wp:simplePos x="0" y="0"/>
              <wp:positionH relativeFrom="page">
                <wp:posOffset>895350</wp:posOffset>
              </wp:positionH>
              <wp:positionV relativeFrom="page">
                <wp:posOffset>9409176</wp:posOffset>
              </wp:positionV>
              <wp:extent cx="5981700" cy="19050"/>
              <wp:effectExtent l="0" t="0" r="0" b="0"/>
              <wp:wrapNone/>
              <wp:docPr id="781" name="Graphic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1077CE" id="Graphic 781" o:spid="_x0000_s1026" style="position:absolute;margin-left:70.5pt;margin-top:740.9pt;width:471pt;height:1.5pt;z-index:-27063808;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53184" behindDoc="1" locked="0" layoutInCell="1" allowOverlap="1" wp14:anchorId="0DFDDB6A" wp14:editId="0DFDDB6B">
              <wp:simplePos x="0" y="0"/>
              <wp:positionH relativeFrom="page">
                <wp:posOffset>901700</wp:posOffset>
              </wp:positionH>
              <wp:positionV relativeFrom="page">
                <wp:posOffset>9432545</wp:posOffset>
              </wp:positionV>
              <wp:extent cx="678180" cy="181610"/>
              <wp:effectExtent l="0" t="0" r="0" b="0"/>
              <wp:wrapNone/>
              <wp:docPr id="782" name="Text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E4"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6A" id="_x0000_t202" coordsize="21600,21600" o:spt="202" path="m,l,21600r21600,l21600,xe">
              <v:stroke joinstyle="miter"/>
              <v:path gradientshapeok="t" o:connecttype="rect"/>
            </v:shapetype>
            <v:shape id="Textbox 782" o:spid="_x0000_s1272" type="#_x0000_t202" style="position:absolute;margin-left:71pt;margin-top:742.7pt;width:53.4pt;height:14.3pt;z-index:-2706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g7tg0mAEA&#10;ACMDAAAOAAAAAAAAAAAAAAAAAC4CAABkcnMvZTJvRG9jLnhtbFBLAQItABQABgAIAAAAIQCuavdD&#10;4QAAAA0BAAAPAAAAAAAAAAAAAAAAAPIDAABkcnMvZG93bnJldi54bWxQSwUGAAAAAAQABADzAAAA&#10;AAUAAAAA&#10;" filled="f" stroked="f">
              <v:textbox inset="0,0,0,0">
                <w:txbxContent>
                  <w:p w14:paraId="0DFDDEE4"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53696" behindDoc="1" locked="0" layoutInCell="1" allowOverlap="1" wp14:anchorId="0DFDDB6C" wp14:editId="0DFDDB6D">
              <wp:simplePos x="0" y="0"/>
              <wp:positionH relativeFrom="page">
                <wp:posOffset>2783077</wp:posOffset>
              </wp:positionH>
              <wp:positionV relativeFrom="page">
                <wp:posOffset>9432545</wp:posOffset>
              </wp:positionV>
              <wp:extent cx="2206625" cy="181610"/>
              <wp:effectExtent l="0" t="0" r="0" b="0"/>
              <wp:wrapNone/>
              <wp:docPr id="783" name="Text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E5"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6C" id="Textbox 783" o:spid="_x0000_s1273" type="#_x0000_t202" style="position:absolute;margin-left:219.15pt;margin-top:742.7pt;width:173.75pt;height:14.3pt;z-index:-2706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EVQ0kaZ&#10;AQAAJAMAAA4AAAAAAAAAAAAAAAAALgIAAGRycy9lMm9Eb2MueG1sUEsBAi0AFAAGAAgAAAAhAN6R&#10;NCbiAAAADQEAAA8AAAAAAAAAAAAAAAAA8wMAAGRycy9kb3ducmV2LnhtbFBLBQYAAAAABAAEAPMA&#10;AAACBQAAAAA=&#10;" filled="f" stroked="f">
              <v:textbox inset="0,0,0,0">
                <w:txbxContent>
                  <w:p w14:paraId="0DFDDEE5"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54208" behindDoc="1" locked="0" layoutInCell="1" allowOverlap="1" wp14:anchorId="0DFDDB6E" wp14:editId="0DFDDB6F">
              <wp:simplePos x="0" y="0"/>
              <wp:positionH relativeFrom="page">
                <wp:posOffset>6122923</wp:posOffset>
              </wp:positionH>
              <wp:positionV relativeFrom="page">
                <wp:posOffset>9432545</wp:posOffset>
              </wp:positionV>
              <wp:extent cx="785495" cy="181610"/>
              <wp:effectExtent l="0" t="0" r="0" b="0"/>
              <wp:wrapNone/>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E6" w14:textId="77777777" w:rsidR="00046465" w:rsidRDefault="008134EB">
                          <w:pPr>
                            <w:pStyle w:val="BodyText"/>
                            <w:spacing w:before="12"/>
                            <w:ind w:left="20"/>
                          </w:pPr>
                          <w:r>
                            <w:t>Page</w:t>
                          </w:r>
                          <w:r>
                            <w:rPr>
                              <w:spacing w:val="-11"/>
                            </w:rPr>
                            <w:t xml:space="preserve"> </w:t>
                          </w:r>
                          <w:r>
                            <w:t>809-</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w14:anchorId="0DFDDB6E" id="Textbox 784" o:spid="_x0000_s1274" type="#_x0000_t202" style="position:absolute;margin-left:482.1pt;margin-top:742.7pt;width:61.85pt;height:14.3pt;z-index:-2706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e2pk&#10;qZoBAAAjAwAADgAAAAAAAAAAAAAAAAAuAgAAZHJzL2Uyb0RvYy54bWxQSwECLQAUAAYACAAAACEA&#10;Y3QTQuMAAAAOAQAADwAAAAAAAAAAAAAAAAD0AwAAZHJzL2Rvd25yZXYueG1sUEsFBgAAAAAEAAQA&#10;8wAAAAQFAAAAAA==&#10;" filled="f" stroked="f">
              <v:textbox inset="0,0,0,0">
                <w:txbxContent>
                  <w:p w14:paraId="0DFDDEE6" w14:textId="77777777" w:rsidR="00046465" w:rsidRDefault="008134EB">
                    <w:pPr>
                      <w:pStyle w:val="BodyText"/>
                      <w:spacing w:before="12"/>
                      <w:ind w:left="20"/>
                    </w:pPr>
                    <w:r>
                      <w:t>Page</w:t>
                    </w:r>
                    <w:r>
                      <w:rPr>
                        <w:spacing w:val="-11"/>
                      </w:rPr>
                      <w:t xml:space="preserve"> </w:t>
                    </w:r>
                    <w:r>
                      <w:t>809-</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B"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56256" behindDoc="1" locked="0" layoutInCell="1" allowOverlap="1" wp14:anchorId="0DFDDB76" wp14:editId="0DFDDB77">
              <wp:simplePos x="0" y="0"/>
              <wp:positionH relativeFrom="page">
                <wp:posOffset>666750</wp:posOffset>
              </wp:positionH>
              <wp:positionV relativeFrom="page">
                <wp:posOffset>7123176</wp:posOffset>
              </wp:positionV>
              <wp:extent cx="8496300" cy="19050"/>
              <wp:effectExtent l="0" t="0" r="0" b="0"/>
              <wp:wrapNone/>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CE9900" id="Graphic 789" o:spid="_x0000_s1026" style="position:absolute;margin-left:52.5pt;margin-top:560.9pt;width:669pt;height:1.5pt;z-index:-27060224;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" path="m8496300,l,,,19050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56768" behindDoc="1" locked="0" layoutInCell="1" allowOverlap="1" wp14:anchorId="0DFDDB78" wp14:editId="0DFDDB79">
              <wp:simplePos x="0" y="0"/>
              <wp:positionH relativeFrom="page">
                <wp:posOffset>673100</wp:posOffset>
              </wp:positionH>
              <wp:positionV relativeFrom="page">
                <wp:posOffset>7146545</wp:posOffset>
              </wp:positionV>
              <wp:extent cx="678180" cy="181610"/>
              <wp:effectExtent l="0" t="0" r="0" b="0"/>
              <wp:wrapNone/>
              <wp:docPr id="790" name="Text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E9"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78" id="_x0000_t202" coordsize="21600,21600" o:spt="202" path="m,l,21600r21600,l21600,xe">
              <v:stroke joinstyle="miter"/>
              <v:path gradientshapeok="t" o:connecttype="rect"/>
            </v:shapetype>
            <v:shape id="Textbox 790" o:spid="_x0000_s1276" type="#_x0000_t202" style="position:absolute;margin-left:53pt;margin-top:562.7pt;width:53.4pt;height:14.3pt;z-index:-2705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" filled="f" stroked="f">
              <v:textbox inset="0,0,0,0">
                <w:txbxContent>
                  <w:p w14:paraId="0DFDDEE9"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57280" behindDoc="1" locked="0" layoutInCell="1" allowOverlap="1" wp14:anchorId="0DFDDB7A" wp14:editId="0DFDDB7B">
              <wp:simplePos x="0" y="0"/>
              <wp:positionH relativeFrom="page">
                <wp:posOffset>3697478</wp:posOffset>
              </wp:positionH>
              <wp:positionV relativeFrom="page">
                <wp:posOffset>7146545</wp:posOffset>
              </wp:positionV>
              <wp:extent cx="2206625" cy="181610"/>
              <wp:effectExtent l="0" t="0" r="0" b="0"/>
              <wp:wrapNone/>
              <wp:docPr id="791" name="Text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EA"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7A" id="Textbox 791" o:spid="_x0000_s1277" type="#_x0000_t202" style="position:absolute;margin-left:291.15pt;margin-top:562.7pt;width:173.75pt;height:14.3pt;z-index:-2705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" filled="f" stroked="f">
              <v:textbox inset="0,0,0,0">
                <w:txbxContent>
                  <w:p w14:paraId="0DFDDEEA"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57792" behindDoc="1" locked="0" layoutInCell="1" allowOverlap="1" wp14:anchorId="0DFDDB7C" wp14:editId="0DFDDB7D">
              <wp:simplePos x="0" y="0"/>
              <wp:positionH relativeFrom="page">
                <wp:posOffset>8408923</wp:posOffset>
              </wp:positionH>
              <wp:positionV relativeFrom="page">
                <wp:posOffset>7146545</wp:posOffset>
              </wp:positionV>
              <wp:extent cx="785495" cy="181610"/>
              <wp:effectExtent l="0" t="0" r="0" b="0"/>
              <wp:wrapNone/>
              <wp:docPr id="792" name="Text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EB" w14:textId="77777777" w:rsidR="00046465" w:rsidRDefault="008134EB">
                          <w:pPr>
                            <w:pStyle w:val="BodyText"/>
                            <w:spacing w:before="12"/>
                            <w:ind w:left="20"/>
                          </w:pPr>
                          <w:r>
                            <w:t>Page</w:t>
                          </w:r>
                          <w:r>
                            <w:rPr>
                              <w:spacing w:val="-11"/>
                            </w:rPr>
                            <w:t xml:space="preserve"> </w:t>
                          </w:r>
                          <w:r>
                            <w:t>810-</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B7C" id="Textbox 792" o:spid="_x0000_s1278" type="#_x0000_t202" style="position:absolute;margin-left:662.1pt;margin-top:562.7pt;width:61.85pt;height:14.3pt;z-index:-2705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" filled="f" stroked="f">
              <v:textbox inset="0,0,0,0">
                <w:txbxContent>
                  <w:p w14:paraId="0DFDDEEB" w14:textId="77777777" w:rsidR="00046465" w:rsidRDefault="008134EB">
                    <w:pPr>
                      <w:pStyle w:val="BodyText"/>
                      <w:spacing w:before="12"/>
                      <w:ind w:left="20"/>
                    </w:pPr>
                    <w:r>
                      <w:t>Page</w:t>
                    </w:r>
                    <w:r>
                      <w:rPr>
                        <w:spacing w:val="-11"/>
                      </w:rPr>
                      <w:t xml:space="preserve"> </w:t>
                    </w:r>
                    <w:r>
                      <w:t>810-</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D"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59840" behindDoc="1" locked="0" layoutInCell="1" allowOverlap="1" wp14:anchorId="0DFDDB84" wp14:editId="0DFDDB85">
              <wp:simplePos x="0" y="0"/>
              <wp:positionH relativeFrom="page">
                <wp:posOffset>895350</wp:posOffset>
              </wp:positionH>
              <wp:positionV relativeFrom="page">
                <wp:posOffset>9409176</wp:posOffset>
              </wp:positionV>
              <wp:extent cx="5981700" cy="19050"/>
              <wp:effectExtent l="0" t="0" r="0" b="0"/>
              <wp:wrapNone/>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9D9FEB" id="Graphic 814" o:spid="_x0000_s1026" style="position:absolute;margin-left:70.5pt;margin-top:740.9pt;width:471pt;height:1.5pt;z-index:-27056640;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60352" behindDoc="1" locked="0" layoutInCell="1" allowOverlap="1" wp14:anchorId="0DFDDB86" wp14:editId="0DFDDB87">
              <wp:simplePos x="0" y="0"/>
              <wp:positionH relativeFrom="page">
                <wp:posOffset>901700</wp:posOffset>
              </wp:positionH>
              <wp:positionV relativeFrom="page">
                <wp:posOffset>9432545</wp:posOffset>
              </wp:positionV>
              <wp:extent cx="678180" cy="181610"/>
              <wp:effectExtent l="0" t="0" r="0" b="0"/>
              <wp:wrapNone/>
              <wp:docPr id="815" name="Text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EE"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86" id="_x0000_t202" coordsize="21600,21600" o:spt="202" path="m,l,21600r21600,l21600,xe">
              <v:stroke joinstyle="miter"/>
              <v:path gradientshapeok="t" o:connecttype="rect"/>
            </v:shapetype>
            <v:shape id="Textbox 815" o:spid="_x0000_s1280" type="#_x0000_t202" style="position:absolute;margin-left:71pt;margin-top:742.7pt;width:53.4pt;height:14.3pt;z-index:-2705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FJkg/mAEA&#10;ACMDAAAOAAAAAAAAAAAAAAAAAC4CAABkcnMvZTJvRG9jLnhtbFBLAQItABQABgAIAAAAIQCuavdD&#10;4QAAAA0BAAAPAAAAAAAAAAAAAAAAAPIDAABkcnMvZG93bnJldi54bWxQSwUGAAAAAAQABADzAAAA&#10;AAUAAAAA&#10;" filled="f" stroked="f">
              <v:textbox inset="0,0,0,0">
                <w:txbxContent>
                  <w:p w14:paraId="0DFDDEEE"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60864" behindDoc="1" locked="0" layoutInCell="1" allowOverlap="1" wp14:anchorId="0DFDDB88" wp14:editId="0DFDDB89">
              <wp:simplePos x="0" y="0"/>
              <wp:positionH relativeFrom="page">
                <wp:posOffset>2783077</wp:posOffset>
              </wp:positionH>
              <wp:positionV relativeFrom="page">
                <wp:posOffset>9432545</wp:posOffset>
              </wp:positionV>
              <wp:extent cx="2206625" cy="181610"/>
              <wp:effectExtent l="0" t="0" r="0" b="0"/>
              <wp:wrapNone/>
              <wp:docPr id="816" name="Text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EF"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88" id="Textbox 816" o:spid="_x0000_s1281" type="#_x0000_t202" style="position:absolute;margin-left:219.15pt;margin-top:742.7pt;width:173.75pt;height:14.3pt;z-index:-2705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AgmEJN&#10;mgEAACQDAAAOAAAAAAAAAAAAAAAAAC4CAABkcnMvZTJvRG9jLnhtbFBLAQItABQABgAIAAAAIQDe&#10;kTQm4gAAAA0BAAAPAAAAAAAAAAAAAAAAAPQDAABkcnMvZG93bnJldi54bWxQSwUGAAAAAAQABADz&#10;AAAAAwUAAAAA&#10;" filled="f" stroked="f">
              <v:textbox inset="0,0,0,0">
                <w:txbxContent>
                  <w:p w14:paraId="0DFDDEEF"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61376" behindDoc="1" locked="0" layoutInCell="1" allowOverlap="1" wp14:anchorId="0DFDDB8A" wp14:editId="0DFDDB8B">
              <wp:simplePos x="0" y="0"/>
              <wp:positionH relativeFrom="page">
                <wp:posOffset>6122923</wp:posOffset>
              </wp:positionH>
              <wp:positionV relativeFrom="page">
                <wp:posOffset>9432545</wp:posOffset>
              </wp:positionV>
              <wp:extent cx="786130" cy="181610"/>
              <wp:effectExtent l="0" t="0" r="0" b="0"/>
              <wp:wrapNone/>
              <wp:docPr id="817" name="Text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81610"/>
                      </a:xfrm>
                      <a:prstGeom prst="rect">
                        <a:avLst/>
                      </a:prstGeom>
                    </wps:spPr>
                    <wps:txbx>
                      <w:txbxContent>
                        <w:p w14:paraId="0DFDDEF0" w14:textId="77777777" w:rsidR="00046465" w:rsidRDefault="008134EB">
                          <w:pPr>
                            <w:pStyle w:val="BodyText"/>
                            <w:spacing w:before="12"/>
                            <w:ind w:left="20"/>
                          </w:pPr>
                          <w:r>
                            <w:t>Page</w:t>
                          </w:r>
                          <w:r>
                            <w:rPr>
                              <w:spacing w:val="-11"/>
                            </w:rPr>
                            <w:t xml:space="preserve"> </w:t>
                          </w:r>
                          <w:r>
                            <w:t>810-</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wps:txbx>
                    <wps:bodyPr wrap="square" lIns="0" tIns="0" rIns="0" bIns="0" rtlCol="0">
                      <a:noAutofit/>
                    </wps:bodyPr>
                  </wps:wsp>
                </a:graphicData>
              </a:graphic>
            </wp:anchor>
          </w:drawing>
        </mc:Choice>
        <mc:Fallback>
          <w:pict>
            <v:shape w14:anchorId="0DFDDB8A" id="Textbox 817" o:spid="_x0000_s1282" type="#_x0000_t202" style="position:absolute;margin-left:482.1pt;margin-top:742.7pt;width:61.9pt;height:14.3pt;z-index:-2705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" filled="f" stroked="f">
              <v:textbox inset="0,0,0,0">
                <w:txbxContent>
                  <w:p w14:paraId="0DFDDEF0" w14:textId="77777777" w:rsidR="00046465" w:rsidRDefault="008134EB">
                    <w:pPr>
                      <w:pStyle w:val="BodyText"/>
                      <w:spacing w:before="12"/>
                      <w:ind w:left="20"/>
                    </w:pPr>
                    <w:r>
                      <w:t>Page</w:t>
                    </w:r>
                    <w:r>
                      <w:rPr>
                        <w:spacing w:val="-11"/>
                      </w:rPr>
                      <w:t xml:space="preserve"> </w:t>
                    </w:r>
                    <w:r>
                      <w:t>810-</w:t>
                    </w:r>
                    <w:r>
                      <w:rPr>
                        <w:spacing w:val="-10"/>
                      </w:rPr>
                      <w:fldChar w:fldCharType="begin"/>
                    </w:r>
                    <w:r>
                      <w:rPr>
                        <w:spacing w:val="-10"/>
                      </w:rPr>
                      <w:instrText xml:space="preserve"> PAGE </w:instrText>
                    </w:r>
                    <w:r>
                      <w:rPr>
                        <w:spacing w:val="-10"/>
                      </w:rPr>
                      <w:fldChar w:fldCharType="separate"/>
                    </w:r>
                    <w:r>
                      <w:rPr>
                        <w:spacing w:val="-10"/>
                      </w:rPr>
                      <w:t>3</w:t>
                    </w:r>
                    <w:r>
                      <w:rPr>
                        <w:spacing w:val="-10"/>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F"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63424" behindDoc="1" locked="0" layoutInCell="1" allowOverlap="1" wp14:anchorId="0DFDDB92" wp14:editId="0DFDDB93">
              <wp:simplePos x="0" y="0"/>
              <wp:positionH relativeFrom="page">
                <wp:posOffset>666750</wp:posOffset>
              </wp:positionH>
              <wp:positionV relativeFrom="page">
                <wp:posOffset>7123176</wp:posOffset>
              </wp:positionV>
              <wp:extent cx="8496300" cy="19050"/>
              <wp:effectExtent l="0" t="0" r="0" b="0"/>
              <wp:wrapNone/>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19050"/>
                      </a:xfrm>
                      <a:custGeom>
                        <a:avLst/>
                        <a:gdLst/>
                        <a:ahLst/>
                        <a:cxnLst/>
                        <a:rect l="l" t="t" r="r" b="b"/>
                        <a:pathLst>
                          <a:path w="8496300" h="19050">
                            <a:moveTo>
                              <a:pt x="8496300" y="0"/>
                            </a:moveTo>
                            <a:lnTo>
                              <a:pt x="0" y="0"/>
                            </a:lnTo>
                            <a:lnTo>
                              <a:pt x="0" y="19050"/>
                            </a:lnTo>
                            <a:lnTo>
                              <a:pt x="8496300" y="19050"/>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708361" id="Graphic 821" o:spid="_x0000_s1026" style="position:absolute;margin-left:52.5pt;margin-top:560.9pt;width:669pt;height:1.5pt;z-index:-27053056;visibility:visible;mso-wrap-style:square;mso-wrap-distance-left:0;mso-wrap-distance-top:0;mso-wrap-distance-right:0;mso-wrap-distance-bottom:0;mso-position-horizontal:absolute;mso-position-horizontal-relative:page;mso-position-vertical:absolute;mso-position-vertical-relative:page;v-text-anchor:top" coordsize="84963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" path="m8496300,l,,,19050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63936" behindDoc="1" locked="0" layoutInCell="1" allowOverlap="1" wp14:anchorId="0DFDDB94" wp14:editId="0DFDDB95">
              <wp:simplePos x="0" y="0"/>
              <wp:positionH relativeFrom="page">
                <wp:posOffset>673100</wp:posOffset>
              </wp:positionH>
              <wp:positionV relativeFrom="page">
                <wp:posOffset>7146545</wp:posOffset>
              </wp:positionV>
              <wp:extent cx="678180" cy="181610"/>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F3"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94" id="_x0000_t202" coordsize="21600,21600" o:spt="202" path="m,l,21600r21600,l21600,xe">
              <v:stroke joinstyle="miter"/>
              <v:path gradientshapeok="t" o:connecttype="rect"/>
            </v:shapetype>
            <v:shape id="Textbox 822" o:spid="_x0000_s1284" type="#_x0000_t202" style="position:absolute;margin-left:53pt;margin-top:562.7pt;width:53.4pt;height:14.3pt;z-index:-2705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" filled="f" stroked="f">
              <v:textbox inset="0,0,0,0">
                <w:txbxContent>
                  <w:p w14:paraId="0DFDDEF3"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64448" behindDoc="1" locked="0" layoutInCell="1" allowOverlap="1" wp14:anchorId="0DFDDB96" wp14:editId="0DFDDB97">
              <wp:simplePos x="0" y="0"/>
              <wp:positionH relativeFrom="page">
                <wp:posOffset>3697478</wp:posOffset>
              </wp:positionH>
              <wp:positionV relativeFrom="page">
                <wp:posOffset>7146545</wp:posOffset>
              </wp:positionV>
              <wp:extent cx="2206625" cy="181610"/>
              <wp:effectExtent l="0" t="0" r="0" b="0"/>
              <wp:wrapNone/>
              <wp:docPr id="823" name="Text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F4"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96" id="Textbox 823" o:spid="_x0000_s1285" type="#_x0000_t202" style="position:absolute;margin-left:291.15pt;margin-top:562.7pt;width:173.75pt;height:14.3pt;z-index:-2705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" filled="f" stroked="f">
              <v:textbox inset="0,0,0,0">
                <w:txbxContent>
                  <w:p w14:paraId="0DFDDEF4"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64960" behindDoc="1" locked="0" layoutInCell="1" allowOverlap="1" wp14:anchorId="0DFDDB98" wp14:editId="0DFDDB99">
              <wp:simplePos x="0" y="0"/>
              <wp:positionH relativeFrom="page">
                <wp:posOffset>8408923</wp:posOffset>
              </wp:positionH>
              <wp:positionV relativeFrom="page">
                <wp:posOffset>7146545</wp:posOffset>
              </wp:positionV>
              <wp:extent cx="785495" cy="181610"/>
              <wp:effectExtent l="0" t="0" r="0" b="0"/>
              <wp:wrapNone/>
              <wp:docPr id="824" name="Text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F5" w14:textId="77777777" w:rsidR="00046465" w:rsidRDefault="008134EB">
                          <w:pPr>
                            <w:pStyle w:val="BodyText"/>
                            <w:spacing w:before="12"/>
                            <w:ind w:left="20"/>
                          </w:pPr>
                          <w:r>
                            <w:t>Page</w:t>
                          </w:r>
                          <w:r>
                            <w:rPr>
                              <w:spacing w:val="-11"/>
                            </w:rPr>
                            <w:t xml:space="preserve"> </w:t>
                          </w:r>
                          <w:r>
                            <w:t>811-</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B98" id="Textbox 824" o:spid="_x0000_s1286" type="#_x0000_t202" style="position:absolute;margin-left:662.1pt;margin-top:562.7pt;width:61.85pt;height:14.3pt;z-index:-2705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" filled="f" stroked="f">
              <v:textbox inset="0,0,0,0">
                <w:txbxContent>
                  <w:p w14:paraId="0DFDDEF5" w14:textId="77777777" w:rsidR="00046465" w:rsidRDefault="008134EB">
                    <w:pPr>
                      <w:pStyle w:val="BodyText"/>
                      <w:spacing w:before="12"/>
                      <w:ind w:left="20"/>
                    </w:pPr>
                    <w:r>
                      <w:t>Page</w:t>
                    </w:r>
                    <w:r>
                      <w:rPr>
                        <w:spacing w:val="-11"/>
                      </w:rPr>
                      <w:t xml:space="preserve"> </w:t>
                    </w:r>
                    <w:r>
                      <w:t>811-</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1"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67008" behindDoc="1" locked="0" layoutInCell="1" allowOverlap="1" wp14:anchorId="0DFDDBA0" wp14:editId="0DFDDBA1">
              <wp:simplePos x="0" y="0"/>
              <wp:positionH relativeFrom="page">
                <wp:posOffset>895350</wp:posOffset>
              </wp:positionH>
              <wp:positionV relativeFrom="page">
                <wp:posOffset>9409176</wp:posOffset>
              </wp:positionV>
              <wp:extent cx="5981700" cy="19050"/>
              <wp:effectExtent l="0" t="0" r="0" b="0"/>
              <wp:wrapNone/>
              <wp:docPr id="855" name="Graphic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19050"/>
                      </a:xfrm>
                      <a:custGeom>
                        <a:avLst/>
                        <a:gdLst/>
                        <a:ahLst/>
                        <a:cxnLst/>
                        <a:rect l="l" t="t" r="r" b="b"/>
                        <a:pathLst>
                          <a:path w="5981700" h="19050">
                            <a:moveTo>
                              <a:pt x="5981700" y="0"/>
                            </a:moveTo>
                            <a:lnTo>
                              <a:pt x="0" y="0"/>
                            </a:lnTo>
                            <a:lnTo>
                              <a:pt x="0" y="19050"/>
                            </a:lnTo>
                            <a:lnTo>
                              <a:pt x="5981700" y="19050"/>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6DBB21" id="Graphic 855" o:spid="_x0000_s1026" style="position:absolute;margin-left:70.5pt;margin-top:740.9pt;width:471pt;height:1.5pt;z-index:-27049472;visibility:visible;mso-wrap-style:square;mso-wrap-distance-left:0;mso-wrap-distance-top:0;mso-wrap-distance-right:0;mso-wrap-distance-bottom:0;mso-position-horizontal:absolute;mso-position-horizontal-relative:page;mso-position-vertical:absolute;mso-position-vertical-relative:page;v-text-anchor:top" coordsize="5981700,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" path="m5981700,l,,,19050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67520" behindDoc="1" locked="0" layoutInCell="1" allowOverlap="1" wp14:anchorId="0DFDDBA2" wp14:editId="0DFDDBA3">
              <wp:simplePos x="0" y="0"/>
              <wp:positionH relativeFrom="page">
                <wp:posOffset>901700</wp:posOffset>
              </wp:positionH>
              <wp:positionV relativeFrom="page">
                <wp:posOffset>9432545</wp:posOffset>
              </wp:positionV>
              <wp:extent cx="678180" cy="181610"/>
              <wp:effectExtent l="0" t="0" r="0" b="0"/>
              <wp:wrapNone/>
              <wp:docPr id="856" name="Textbox 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F8"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A2" id="_x0000_t202" coordsize="21600,21600" o:spt="202" path="m,l,21600r21600,l21600,xe">
              <v:stroke joinstyle="miter"/>
              <v:path gradientshapeok="t" o:connecttype="rect"/>
            </v:shapetype>
            <v:shape id="Textbox 856" o:spid="_x0000_s1288" type="#_x0000_t202" style="position:absolute;margin-left:71pt;margin-top:742.7pt;width:53.4pt;height:14.3pt;z-index:-270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EkT42mAEA&#10;ACMDAAAOAAAAAAAAAAAAAAAAAC4CAABkcnMvZTJvRG9jLnhtbFBLAQItABQABgAIAAAAIQCuavdD&#10;4QAAAA0BAAAPAAAAAAAAAAAAAAAAAPIDAABkcnMvZG93bnJldi54bWxQSwUGAAAAAAQABADzAAAA&#10;AAUAAAAA&#10;" filled="f" stroked="f">
              <v:textbox inset="0,0,0,0">
                <w:txbxContent>
                  <w:p w14:paraId="0DFDDEF8"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68032" behindDoc="1" locked="0" layoutInCell="1" allowOverlap="1" wp14:anchorId="0DFDDBA4" wp14:editId="0DFDDBA5">
              <wp:simplePos x="0" y="0"/>
              <wp:positionH relativeFrom="page">
                <wp:posOffset>2783077</wp:posOffset>
              </wp:positionH>
              <wp:positionV relativeFrom="page">
                <wp:posOffset>9432545</wp:posOffset>
              </wp:positionV>
              <wp:extent cx="2206625" cy="181610"/>
              <wp:effectExtent l="0" t="0" r="0" b="0"/>
              <wp:wrapNone/>
              <wp:docPr id="857" name="Text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F9"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A4" id="Textbox 857" o:spid="_x0000_s1289" type="#_x0000_t202" style="position:absolute;margin-left:219.15pt;margin-top:742.7pt;width:173.75pt;height:14.3pt;z-index:-2704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ChLzRE&#10;mgEAACQDAAAOAAAAAAAAAAAAAAAAAC4CAABkcnMvZTJvRG9jLnhtbFBLAQItABQABgAIAAAAIQDe&#10;kTQm4gAAAA0BAAAPAAAAAAAAAAAAAAAAAPQDAABkcnMvZG93bnJldi54bWxQSwUGAAAAAAQABADz&#10;AAAAAwUAAAAA&#10;" filled="f" stroked="f">
              <v:textbox inset="0,0,0,0">
                <w:txbxContent>
                  <w:p w14:paraId="0DFDDEF9"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68544" behindDoc="1" locked="0" layoutInCell="1" allowOverlap="1" wp14:anchorId="0DFDDBA6" wp14:editId="0DFDDBA7">
              <wp:simplePos x="0" y="0"/>
              <wp:positionH relativeFrom="page">
                <wp:posOffset>6122923</wp:posOffset>
              </wp:positionH>
              <wp:positionV relativeFrom="page">
                <wp:posOffset>9432545</wp:posOffset>
              </wp:positionV>
              <wp:extent cx="785495" cy="181610"/>
              <wp:effectExtent l="0" t="0" r="0" b="0"/>
              <wp:wrapNone/>
              <wp:docPr id="858" name="Textbox 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EFA" w14:textId="77777777" w:rsidR="00046465" w:rsidRDefault="008134EB">
                          <w:pPr>
                            <w:pStyle w:val="BodyText"/>
                            <w:spacing w:before="12"/>
                            <w:ind w:left="20"/>
                          </w:pPr>
                          <w:r>
                            <w:t>Page</w:t>
                          </w:r>
                          <w:r>
                            <w:rPr>
                              <w:spacing w:val="-11"/>
                            </w:rPr>
                            <w:t xml:space="preserve"> </w:t>
                          </w:r>
                          <w:r>
                            <w:t>811-</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wps:txbx>
                    <wps:bodyPr wrap="square" lIns="0" tIns="0" rIns="0" bIns="0" rtlCol="0">
                      <a:noAutofit/>
                    </wps:bodyPr>
                  </wps:wsp>
                </a:graphicData>
              </a:graphic>
            </wp:anchor>
          </w:drawing>
        </mc:Choice>
        <mc:Fallback>
          <w:pict>
            <v:shape w14:anchorId="0DFDDBA6" id="Textbox 858" o:spid="_x0000_s1290" type="#_x0000_t202" style="position:absolute;margin-left:482.1pt;margin-top:742.7pt;width:61.85pt;height:14.3pt;z-index:-2704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JdsG&#10;kJoBAAAjAwAADgAAAAAAAAAAAAAAAAAuAgAAZHJzL2Uyb0RvYy54bWxQSwECLQAUAAYACAAAACEA&#10;Y3QTQuMAAAAOAQAADwAAAAAAAAAAAAAAAAD0AwAAZHJzL2Rvd25yZXYueG1sUEsFBgAAAAAEAAQA&#10;8wAAAAQFAAAAAA==&#10;" filled="f" stroked="f">
              <v:textbox inset="0,0,0,0">
                <w:txbxContent>
                  <w:p w14:paraId="0DFDDEFA" w14:textId="77777777" w:rsidR="00046465" w:rsidRDefault="008134EB">
                    <w:pPr>
                      <w:pStyle w:val="BodyText"/>
                      <w:spacing w:before="12"/>
                      <w:ind w:left="20"/>
                    </w:pPr>
                    <w:r>
                      <w:t>Page</w:t>
                    </w:r>
                    <w:r>
                      <w:rPr>
                        <w:spacing w:val="-11"/>
                      </w:rPr>
                      <w:t xml:space="preserve"> </w:t>
                    </w:r>
                    <w:r>
                      <w:t>811-</w:t>
                    </w:r>
                    <w:r>
                      <w:rPr>
                        <w:spacing w:val="-10"/>
                      </w:rPr>
                      <w:fldChar w:fldCharType="begin"/>
                    </w:r>
                    <w:r>
                      <w:rPr>
                        <w:spacing w:val="-10"/>
                      </w:rPr>
                      <w:instrText xml:space="preserve"> PAGE </w:instrText>
                    </w:r>
                    <w:r>
                      <w:rPr>
                        <w:spacing w:val="-10"/>
                      </w:rPr>
                      <w:fldChar w:fldCharType="separate"/>
                    </w:r>
                    <w:r>
                      <w:rPr>
                        <w:spacing w:val="-10"/>
                      </w:rPr>
                      <w:t>4</w:t>
                    </w:r>
                    <w:r>
                      <w:rPr>
                        <w:spacing w:val="-10"/>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3" w14:textId="77777777" w:rsidR="00046465" w:rsidRDefault="00046465">
    <w:pPr>
      <w:pStyle w:val="BodyText"/>
      <w:spacing w:line="14" w:lineRule="auto"/>
      <w:rPr>
        <w:sz w:val="2"/>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5"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70592" behindDoc="1" locked="0" layoutInCell="1" allowOverlap="1" wp14:anchorId="0DFDDBAE" wp14:editId="0DFDDBAF">
              <wp:simplePos x="0" y="0"/>
              <wp:positionH relativeFrom="page">
                <wp:posOffset>895350</wp:posOffset>
              </wp:positionH>
              <wp:positionV relativeFrom="page">
                <wp:posOffset>9400031</wp:posOffset>
              </wp:positionV>
              <wp:extent cx="5981700" cy="28575"/>
              <wp:effectExtent l="0" t="0" r="0" b="0"/>
              <wp:wrapNone/>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727921" id="Graphic 869" o:spid="_x0000_s1026" style="position:absolute;margin-left:70.5pt;margin-top:740.15pt;width:471pt;height:2.25pt;z-index:-2704588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71104" behindDoc="1" locked="0" layoutInCell="1" allowOverlap="1" wp14:anchorId="0DFDDBB0" wp14:editId="0DFDDBB1">
              <wp:simplePos x="0" y="0"/>
              <wp:positionH relativeFrom="page">
                <wp:posOffset>901700</wp:posOffset>
              </wp:positionH>
              <wp:positionV relativeFrom="page">
                <wp:posOffset>9432545</wp:posOffset>
              </wp:positionV>
              <wp:extent cx="678180" cy="181610"/>
              <wp:effectExtent l="0" t="0" r="0" b="0"/>
              <wp:wrapNone/>
              <wp:docPr id="870" name="Text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EFD"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B0" id="_x0000_t202" coordsize="21600,21600" o:spt="202" path="m,l,21600r21600,l21600,xe">
              <v:stroke joinstyle="miter"/>
              <v:path gradientshapeok="t" o:connecttype="rect"/>
            </v:shapetype>
            <v:shape id="Textbox 870" o:spid="_x0000_s1292" type="#_x0000_t202" style="position:absolute;margin-left:71pt;margin-top:742.7pt;width:53.4pt;height:14.3pt;z-index:-2704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Z9vwrmAEA&#10;ACMDAAAOAAAAAAAAAAAAAAAAAC4CAABkcnMvZTJvRG9jLnhtbFBLAQItABQABgAIAAAAIQCuavdD&#10;4QAAAA0BAAAPAAAAAAAAAAAAAAAAAPIDAABkcnMvZG93bnJldi54bWxQSwUGAAAAAAQABADzAAAA&#10;AAUAAAAA&#10;" filled="f" stroked="f">
              <v:textbox inset="0,0,0,0">
                <w:txbxContent>
                  <w:p w14:paraId="0DFDDEFD"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71616" behindDoc="1" locked="0" layoutInCell="1" allowOverlap="1" wp14:anchorId="0DFDDBB2" wp14:editId="0DFDDBB3">
              <wp:simplePos x="0" y="0"/>
              <wp:positionH relativeFrom="page">
                <wp:posOffset>2880159</wp:posOffset>
              </wp:positionH>
              <wp:positionV relativeFrom="page">
                <wp:posOffset>9432545</wp:posOffset>
              </wp:positionV>
              <wp:extent cx="2206625" cy="181610"/>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EFE"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B2" id="Textbox 871" o:spid="_x0000_s1293" type="#_x0000_t202" style="position:absolute;margin-left:226.8pt;margin-top:742.7pt;width:173.75pt;height:14.3pt;z-index:-270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" filled="f" stroked="f">
              <v:textbox inset="0,0,0,0">
                <w:txbxContent>
                  <w:p w14:paraId="0DFDDEFE"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72128" behindDoc="1" locked="0" layoutInCell="1" allowOverlap="1" wp14:anchorId="0DFDDBB4" wp14:editId="0DFDDBB5">
              <wp:simplePos x="0" y="0"/>
              <wp:positionH relativeFrom="page">
                <wp:posOffset>6122976</wp:posOffset>
              </wp:positionH>
              <wp:positionV relativeFrom="page">
                <wp:posOffset>9432545</wp:posOffset>
              </wp:positionV>
              <wp:extent cx="747395" cy="181610"/>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EFF" w14:textId="77777777" w:rsidR="00046465" w:rsidRDefault="008134EB">
                          <w:pPr>
                            <w:pStyle w:val="BodyText"/>
                            <w:spacing w:before="12"/>
                            <w:ind w:left="20"/>
                          </w:pPr>
                          <w:r>
                            <w:t>Page</w:t>
                          </w:r>
                          <w:r>
                            <w:rPr>
                              <w:spacing w:val="-11"/>
                            </w:rPr>
                            <w:t xml:space="preserve"> </w:t>
                          </w:r>
                          <w:r>
                            <w:t>900-</w:t>
                          </w:r>
                          <w:r>
                            <w:rPr>
                              <w:spacing w:val="-10"/>
                            </w:rPr>
                            <w:t>1</w:t>
                          </w:r>
                        </w:p>
                      </w:txbxContent>
                    </wps:txbx>
                    <wps:bodyPr wrap="square" lIns="0" tIns="0" rIns="0" bIns="0" rtlCol="0">
                      <a:noAutofit/>
                    </wps:bodyPr>
                  </wps:wsp>
                </a:graphicData>
              </a:graphic>
            </wp:anchor>
          </w:drawing>
        </mc:Choice>
        <mc:Fallback>
          <w:pict>
            <v:shape w14:anchorId="0DFDDBB4" id="Textbox 872" o:spid="_x0000_s1294" type="#_x0000_t202" style="position:absolute;margin-left:482.1pt;margin-top:742.7pt;width:58.85pt;height:14.3pt;z-index:-2704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" filled="f" stroked="f">
              <v:textbox inset="0,0,0,0">
                <w:txbxContent>
                  <w:p w14:paraId="0DFDDEFF" w14:textId="77777777" w:rsidR="00046465" w:rsidRDefault="008134EB">
                    <w:pPr>
                      <w:pStyle w:val="BodyText"/>
                      <w:spacing w:before="12"/>
                      <w:ind w:left="20"/>
                    </w:pPr>
                    <w:r>
                      <w:t>Page</w:t>
                    </w:r>
                    <w:r>
                      <w:rPr>
                        <w:spacing w:val="-11"/>
                      </w:rPr>
                      <w:t xml:space="preserve"> </w:t>
                    </w:r>
                    <w:r>
                      <w:t>900-</w:t>
                    </w:r>
                    <w:r>
                      <w:rPr>
                        <w:spacing w:val="-10"/>
                      </w:rPr>
                      <w:t>1</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7"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74176" behindDoc="1" locked="0" layoutInCell="1" allowOverlap="1" wp14:anchorId="0DFDDBBC" wp14:editId="0DFDDBBD">
              <wp:simplePos x="0" y="0"/>
              <wp:positionH relativeFrom="page">
                <wp:posOffset>895350</wp:posOffset>
              </wp:positionH>
              <wp:positionV relativeFrom="page">
                <wp:posOffset>9400031</wp:posOffset>
              </wp:positionV>
              <wp:extent cx="5981700" cy="28575"/>
              <wp:effectExtent l="0" t="0" r="0" b="0"/>
              <wp:wrapNone/>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0DEFFF" id="Graphic 876" o:spid="_x0000_s1026" style="position:absolute;margin-left:70.5pt;margin-top:740.15pt;width:471pt;height:2.25pt;z-index:-2704230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74688" behindDoc="1" locked="0" layoutInCell="1" allowOverlap="1" wp14:anchorId="0DFDDBBE" wp14:editId="0DFDDBBF">
              <wp:simplePos x="0" y="0"/>
              <wp:positionH relativeFrom="page">
                <wp:posOffset>901700</wp:posOffset>
              </wp:positionH>
              <wp:positionV relativeFrom="page">
                <wp:posOffset>9432545</wp:posOffset>
              </wp:positionV>
              <wp:extent cx="678180" cy="181610"/>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01"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BE" id="_x0000_t202" coordsize="21600,21600" o:spt="202" path="m,l,21600r21600,l21600,xe">
              <v:stroke joinstyle="miter"/>
              <v:path gradientshapeok="t" o:connecttype="rect"/>
            </v:shapetype>
            <v:shape id="Textbox 877" o:spid="_x0000_s1296" type="#_x0000_t202" style="position:absolute;margin-left:71pt;margin-top:742.7pt;width:53.4pt;height:14.3pt;z-index:-2704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hWa49mAEA&#10;ACMDAAAOAAAAAAAAAAAAAAAAAC4CAABkcnMvZTJvRG9jLnhtbFBLAQItABQABgAIAAAAIQCuavdD&#10;4QAAAA0BAAAPAAAAAAAAAAAAAAAAAPIDAABkcnMvZG93bnJldi54bWxQSwUGAAAAAAQABADzAAAA&#10;AAUAAAAA&#10;" filled="f" stroked="f">
              <v:textbox inset="0,0,0,0">
                <w:txbxContent>
                  <w:p w14:paraId="0DFDDF01"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75200" behindDoc="1" locked="0" layoutInCell="1" allowOverlap="1" wp14:anchorId="0DFDDBC0" wp14:editId="0DFDDBC1">
              <wp:simplePos x="0" y="0"/>
              <wp:positionH relativeFrom="page">
                <wp:posOffset>2783105</wp:posOffset>
              </wp:positionH>
              <wp:positionV relativeFrom="page">
                <wp:posOffset>9432545</wp:posOffset>
              </wp:positionV>
              <wp:extent cx="2206625" cy="181610"/>
              <wp:effectExtent l="0" t="0" r="0" b="0"/>
              <wp:wrapNone/>
              <wp:docPr id="878" name="Text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02"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C0" id="Textbox 878" o:spid="_x0000_s1297" type="#_x0000_t202" style="position:absolute;margin-left:219.15pt;margin-top:742.7pt;width:173.75pt;height:14.3pt;z-index:-27041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DE56RP&#10;mgEAACQDAAAOAAAAAAAAAAAAAAAAAC4CAABkcnMvZTJvRG9jLnhtbFBLAQItABQABgAIAAAAIQDe&#10;kTQm4gAAAA0BAAAPAAAAAAAAAAAAAAAAAPQDAABkcnMvZG93bnJldi54bWxQSwUGAAAAAAQABADz&#10;AAAAAwUAAAAA&#10;" filled="f" stroked="f">
              <v:textbox inset="0,0,0,0">
                <w:txbxContent>
                  <w:p w14:paraId="0DFDDF02"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75712" behindDoc="1" locked="0" layoutInCell="1" allowOverlap="1" wp14:anchorId="0DFDDBC2" wp14:editId="0DFDDBC3">
              <wp:simplePos x="0" y="0"/>
              <wp:positionH relativeFrom="page">
                <wp:posOffset>6122976</wp:posOffset>
              </wp:positionH>
              <wp:positionV relativeFrom="page">
                <wp:posOffset>9432545</wp:posOffset>
              </wp:positionV>
              <wp:extent cx="747395" cy="181610"/>
              <wp:effectExtent l="0" t="0" r="0" b="0"/>
              <wp:wrapNone/>
              <wp:docPr id="879" name="Textbox 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F03" w14:textId="77777777" w:rsidR="00046465" w:rsidRDefault="008134EB">
                          <w:pPr>
                            <w:pStyle w:val="BodyText"/>
                            <w:spacing w:before="12"/>
                            <w:ind w:left="20"/>
                          </w:pPr>
                          <w:r>
                            <w:t>Page</w:t>
                          </w:r>
                          <w:r>
                            <w:rPr>
                              <w:spacing w:val="-11"/>
                            </w:rPr>
                            <w:t xml:space="preserve"> </w:t>
                          </w:r>
                          <w:r>
                            <w:t>902-</w:t>
                          </w:r>
                          <w:r>
                            <w:rPr>
                              <w:spacing w:val="-10"/>
                            </w:rPr>
                            <w:t>1</w:t>
                          </w:r>
                        </w:p>
                      </w:txbxContent>
                    </wps:txbx>
                    <wps:bodyPr wrap="square" lIns="0" tIns="0" rIns="0" bIns="0" rtlCol="0">
                      <a:noAutofit/>
                    </wps:bodyPr>
                  </wps:wsp>
                </a:graphicData>
              </a:graphic>
            </wp:anchor>
          </w:drawing>
        </mc:Choice>
        <mc:Fallback>
          <w:pict>
            <v:shape w14:anchorId="0DFDDBC2" id="Textbox 879" o:spid="_x0000_s1298" type="#_x0000_t202" style="position:absolute;margin-left:482.1pt;margin-top:742.7pt;width:58.85pt;height:14.3pt;z-index:-27040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" filled="f" stroked="f">
              <v:textbox inset="0,0,0,0">
                <w:txbxContent>
                  <w:p w14:paraId="0DFDDF03" w14:textId="77777777" w:rsidR="00046465" w:rsidRDefault="008134EB">
                    <w:pPr>
                      <w:pStyle w:val="BodyText"/>
                      <w:spacing w:before="12"/>
                      <w:ind w:left="20"/>
                    </w:pPr>
                    <w:r>
                      <w:t>Page</w:t>
                    </w:r>
                    <w:r>
                      <w:rPr>
                        <w:spacing w:val="-11"/>
                      </w:rPr>
                      <w:t xml:space="preserve"> </w:t>
                    </w:r>
                    <w:r>
                      <w:t>902-</w:t>
                    </w:r>
                    <w:r>
                      <w:rPr>
                        <w:spacing w:val="-10"/>
                      </w:rPr>
                      <w:t>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B"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70400" behindDoc="1" locked="0" layoutInCell="1" allowOverlap="1" wp14:anchorId="0DFDD8A0" wp14:editId="0DFDD8A1">
              <wp:simplePos x="0" y="0"/>
              <wp:positionH relativeFrom="page">
                <wp:posOffset>895350</wp:posOffset>
              </wp:positionH>
              <wp:positionV relativeFrom="page">
                <wp:posOffset>9400031</wp:posOffset>
              </wp:positionV>
              <wp:extent cx="5981700" cy="28575"/>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84A370" id="Graphic 95" o:spid="_x0000_s1026" style="position:absolute;margin-left:70.5pt;margin-top:740.15pt;width:471pt;height:2.25pt;z-index:-272460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70912" behindDoc="1" locked="0" layoutInCell="1" allowOverlap="1" wp14:anchorId="0DFDD8A2" wp14:editId="0DFDD8A3">
              <wp:simplePos x="0" y="0"/>
              <wp:positionH relativeFrom="page">
                <wp:posOffset>901700</wp:posOffset>
              </wp:positionH>
              <wp:positionV relativeFrom="page">
                <wp:posOffset>9432545</wp:posOffset>
              </wp:positionV>
              <wp:extent cx="678180" cy="181610"/>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DE3"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8A2" id="_x0000_t202" coordsize="21600,21600" o:spt="202" path="m,l,21600r21600,l21600,xe">
              <v:stroke joinstyle="miter"/>
              <v:path gradientshapeok="t" o:connecttype="rect"/>
            </v:shapetype>
            <v:shape id="Textbox 96" o:spid="_x0000_s1065" type="#_x0000_t202" style="position:absolute;margin-left:71pt;margin-top:742.7pt;width:53.4pt;height:14.3pt;z-index:-2724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" filled="f" stroked="f">
              <v:textbox inset="0,0,0,0">
                <w:txbxContent>
                  <w:p w14:paraId="0DFDDDE3"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071424" behindDoc="1" locked="0" layoutInCell="1" allowOverlap="1" wp14:anchorId="0DFDD8A4" wp14:editId="0DFDD8A5">
              <wp:simplePos x="0" y="0"/>
              <wp:positionH relativeFrom="page">
                <wp:posOffset>2860253</wp:posOffset>
              </wp:positionH>
              <wp:positionV relativeFrom="page">
                <wp:posOffset>9432545</wp:posOffset>
              </wp:positionV>
              <wp:extent cx="2207260" cy="181610"/>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7260" cy="181610"/>
                      </a:xfrm>
                      <a:prstGeom prst="rect">
                        <a:avLst/>
                      </a:prstGeom>
                    </wps:spPr>
                    <wps:txbx>
                      <w:txbxContent>
                        <w:p w14:paraId="0DFDDDE4" w14:textId="77777777" w:rsidR="00046465" w:rsidRDefault="008134EB">
                          <w:pPr>
                            <w:pStyle w:val="BodyText"/>
                            <w:spacing w:before="12"/>
                            <w:ind w:left="20"/>
                          </w:pPr>
                          <w:r>
                            <w:t>GAO/CIGIE</w:t>
                          </w:r>
                          <w:r>
                            <w:rPr>
                              <w:spacing w:val="-9"/>
                            </w:rPr>
                            <w:t xml:space="preserve"> </w:t>
                          </w:r>
                          <w:r>
                            <w:t>Financial</w:t>
                          </w:r>
                          <w:r>
                            <w:rPr>
                              <w:spacing w:val="-9"/>
                            </w:rPr>
                            <w:t xml:space="preserve"> </w:t>
                          </w:r>
                          <w:r>
                            <w:t>Audit</w:t>
                          </w:r>
                          <w:r>
                            <w:rPr>
                              <w:spacing w:val="-8"/>
                            </w:rPr>
                            <w:t xml:space="preserve"> </w:t>
                          </w:r>
                          <w:r>
                            <w:rPr>
                              <w:spacing w:val="-2"/>
                            </w:rPr>
                            <w:t>Manual</w:t>
                          </w:r>
                        </w:p>
                      </w:txbxContent>
                    </wps:txbx>
                    <wps:bodyPr wrap="square" lIns="0" tIns="0" rIns="0" bIns="0" rtlCol="0">
                      <a:noAutofit/>
                    </wps:bodyPr>
                  </wps:wsp>
                </a:graphicData>
              </a:graphic>
            </wp:anchor>
          </w:drawing>
        </mc:Choice>
        <mc:Fallback>
          <w:pict>
            <v:shape w14:anchorId="0DFDD8A4" id="Textbox 97" o:spid="_x0000_s1066" type="#_x0000_t202" style="position:absolute;margin-left:225.2pt;margin-top:742.7pt;width:173.8pt;height:14.3pt;z-index:-2724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" filled="f" stroked="f">
              <v:textbox inset="0,0,0,0">
                <w:txbxContent>
                  <w:p w14:paraId="0DFDDDE4" w14:textId="77777777" w:rsidR="00046465" w:rsidRDefault="008134EB">
                    <w:pPr>
                      <w:pStyle w:val="BodyText"/>
                      <w:spacing w:before="12"/>
                      <w:ind w:left="20"/>
                    </w:pPr>
                    <w:r>
                      <w:t>GAO/CIGIE</w:t>
                    </w:r>
                    <w:r>
                      <w:rPr>
                        <w:spacing w:val="-9"/>
                      </w:rPr>
                      <w:t xml:space="preserve"> </w:t>
                    </w:r>
                    <w:r>
                      <w:t>Financial</w:t>
                    </w:r>
                    <w:r>
                      <w:rPr>
                        <w:spacing w:val="-9"/>
                      </w:rPr>
                      <w:t xml:space="preserve"> </w:t>
                    </w:r>
                    <w:r>
                      <w:t>Audit</w:t>
                    </w:r>
                    <w:r>
                      <w:rPr>
                        <w:spacing w:val="-8"/>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071936" behindDoc="1" locked="0" layoutInCell="1" allowOverlap="1" wp14:anchorId="0DFDD8A6" wp14:editId="0DFDD8A7">
              <wp:simplePos x="0" y="0"/>
              <wp:positionH relativeFrom="page">
                <wp:posOffset>6161416</wp:posOffset>
              </wp:positionH>
              <wp:positionV relativeFrom="page">
                <wp:posOffset>9432545</wp:posOffset>
              </wp:positionV>
              <wp:extent cx="708660" cy="18161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660" cy="181610"/>
                      </a:xfrm>
                      <a:prstGeom prst="rect">
                        <a:avLst/>
                      </a:prstGeom>
                    </wps:spPr>
                    <wps:txbx>
                      <w:txbxContent>
                        <w:p w14:paraId="0DFDDDE5" w14:textId="77777777" w:rsidR="00046465" w:rsidRDefault="008134EB">
                          <w:pPr>
                            <w:pStyle w:val="BodyText"/>
                            <w:spacing w:before="12"/>
                            <w:ind w:left="20"/>
                          </w:pPr>
                          <w:r>
                            <w:rPr>
                              <w:spacing w:val="-2"/>
                            </w:rPr>
                            <w:t>Contents-</w:t>
                          </w:r>
                          <w:r>
                            <w:rPr>
                              <w:spacing w:val="-10"/>
                            </w:rPr>
                            <w:t>3</w:t>
                          </w:r>
                        </w:p>
                      </w:txbxContent>
                    </wps:txbx>
                    <wps:bodyPr wrap="square" lIns="0" tIns="0" rIns="0" bIns="0" rtlCol="0">
                      <a:noAutofit/>
                    </wps:bodyPr>
                  </wps:wsp>
                </a:graphicData>
              </a:graphic>
            </wp:anchor>
          </w:drawing>
        </mc:Choice>
        <mc:Fallback>
          <w:pict>
            <v:shape w14:anchorId="0DFDD8A6" id="Textbox 98" o:spid="_x0000_s1067" type="#_x0000_t202" style="position:absolute;margin-left:485.15pt;margin-top:742.7pt;width:55.8pt;height:14.3pt;z-index:-2724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" filled="f" stroked="f">
              <v:textbox inset="0,0,0,0">
                <w:txbxContent>
                  <w:p w14:paraId="0DFDDDE5" w14:textId="77777777" w:rsidR="00046465" w:rsidRDefault="008134EB">
                    <w:pPr>
                      <w:pStyle w:val="BodyText"/>
                      <w:spacing w:before="12"/>
                      <w:ind w:left="20"/>
                    </w:pPr>
                    <w:r>
                      <w:rPr>
                        <w:spacing w:val="-2"/>
                      </w:rPr>
                      <w:t>Contents-</w:t>
                    </w:r>
                    <w:r>
                      <w:rPr>
                        <w:spacing w:val="-10"/>
                      </w:rPr>
                      <w:t>3</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9"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77760" behindDoc="1" locked="0" layoutInCell="1" allowOverlap="1" wp14:anchorId="0DFDDBCA" wp14:editId="0DFDDBCB">
              <wp:simplePos x="0" y="0"/>
              <wp:positionH relativeFrom="page">
                <wp:posOffset>895350</wp:posOffset>
              </wp:positionH>
              <wp:positionV relativeFrom="page">
                <wp:posOffset>9400031</wp:posOffset>
              </wp:positionV>
              <wp:extent cx="5981700" cy="28575"/>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F53D89" id="Graphic 884" o:spid="_x0000_s1026" style="position:absolute;margin-left:70.5pt;margin-top:740.15pt;width:471pt;height:2.25pt;z-index:-2703872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78272" behindDoc="1" locked="0" layoutInCell="1" allowOverlap="1" wp14:anchorId="0DFDDBCC" wp14:editId="0DFDDBCD">
              <wp:simplePos x="0" y="0"/>
              <wp:positionH relativeFrom="page">
                <wp:posOffset>901700</wp:posOffset>
              </wp:positionH>
              <wp:positionV relativeFrom="page">
                <wp:posOffset>9432545</wp:posOffset>
              </wp:positionV>
              <wp:extent cx="678180" cy="181610"/>
              <wp:effectExtent l="0" t="0" r="0" b="0"/>
              <wp:wrapNone/>
              <wp:docPr id="885" name="Text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05"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CC" id="_x0000_t202" coordsize="21600,21600" o:spt="202" path="m,l,21600r21600,l21600,xe">
              <v:stroke joinstyle="miter"/>
              <v:path gradientshapeok="t" o:connecttype="rect"/>
            </v:shapetype>
            <v:shape id="Textbox 885" o:spid="_x0000_s1300" type="#_x0000_t202" style="position:absolute;margin-left:71pt;margin-top:742.7pt;width:53.4pt;height:14.3pt;z-index:-2703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8PmwgmAEA&#10;ACMDAAAOAAAAAAAAAAAAAAAAAC4CAABkcnMvZTJvRG9jLnhtbFBLAQItABQABgAIAAAAIQCuavdD&#10;4QAAAA0BAAAPAAAAAAAAAAAAAAAAAPIDAABkcnMvZG93bnJldi54bWxQSwUGAAAAAAQABADzAAAA&#10;AAUAAAAA&#10;" filled="f" stroked="f">
              <v:textbox inset="0,0,0,0">
                <w:txbxContent>
                  <w:p w14:paraId="0DFDDF05"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78784" behindDoc="1" locked="0" layoutInCell="1" allowOverlap="1" wp14:anchorId="0DFDDBCE" wp14:editId="0DFDDBCF">
              <wp:simplePos x="0" y="0"/>
              <wp:positionH relativeFrom="page">
                <wp:posOffset>2783105</wp:posOffset>
              </wp:positionH>
              <wp:positionV relativeFrom="page">
                <wp:posOffset>9432545</wp:posOffset>
              </wp:positionV>
              <wp:extent cx="2206625" cy="181610"/>
              <wp:effectExtent l="0" t="0" r="0" b="0"/>
              <wp:wrapNone/>
              <wp:docPr id="886" name="Text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06"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CE" id="Textbox 886" o:spid="_x0000_s1301" type="#_x0000_t202" style="position:absolute;margin-left:219.15pt;margin-top:742.7pt;width:173.75pt;height:14.3pt;z-index:-270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JmAZlKZ&#10;AQAAJAMAAA4AAAAAAAAAAAAAAAAALgIAAGRycy9lMm9Eb2MueG1sUEsBAi0AFAAGAAgAAAAhAN6R&#10;NCbiAAAADQEAAA8AAAAAAAAAAAAAAAAA8wMAAGRycy9kb3ducmV2LnhtbFBLBQYAAAAABAAEAPMA&#10;AAACBQAAAAA=&#10;" filled="f" stroked="f">
              <v:textbox inset="0,0,0,0">
                <w:txbxContent>
                  <w:p w14:paraId="0DFDDF06"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79296" behindDoc="1" locked="0" layoutInCell="1" allowOverlap="1" wp14:anchorId="0DFDDBD0" wp14:editId="0DFDDBD1">
              <wp:simplePos x="0" y="0"/>
              <wp:positionH relativeFrom="page">
                <wp:posOffset>6122976</wp:posOffset>
              </wp:positionH>
              <wp:positionV relativeFrom="page">
                <wp:posOffset>9432545</wp:posOffset>
              </wp:positionV>
              <wp:extent cx="785495" cy="181610"/>
              <wp:effectExtent l="0" t="0" r="0" b="0"/>
              <wp:wrapNone/>
              <wp:docPr id="887" name="Text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F07" w14:textId="77777777" w:rsidR="00046465" w:rsidRDefault="008134EB">
                          <w:pPr>
                            <w:pStyle w:val="BodyText"/>
                            <w:spacing w:before="12"/>
                            <w:ind w:left="20"/>
                          </w:pPr>
                          <w:r>
                            <w:t>Page</w:t>
                          </w:r>
                          <w:r>
                            <w:rPr>
                              <w:spacing w:val="-11"/>
                            </w:rPr>
                            <w:t xml:space="preserve"> </w:t>
                          </w:r>
                          <w:r>
                            <w:t>902-</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BD0" id="Textbox 887" o:spid="_x0000_s1302" type="#_x0000_t202" style="position:absolute;margin-left:482.1pt;margin-top:742.7pt;width:61.85pt;height:14.3pt;z-index:-2703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QBOW&#10;m5oBAAAjAwAADgAAAAAAAAAAAAAAAAAuAgAAZHJzL2Uyb0RvYy54bWxQSwECLQAUAAYACAAAACEA&#10;Y3QTQuMAAAAOAQAADwAAAAAAAAAAAAAAAAD0AwAAZHJzL2Rvd25yZXYueG1sUEsFBgAAAAAEAAQA&#10;8wAAAAQFAAAAAA==&#10;" filled="f" stroked="f">
              <v:textbox inset="0,0,0,0">
                <w:txbxContent>
                  <w:p w14:paraId="0DFDDF07" w14:textId="77777777" w:rsidR="00046465" w:rsidRDefault="008134EB">
                    <w:pPr>
                      <w:pStyle w:val="BodyText"/>
                      <w:spacing w:before="12"/>
                      <w:ind w:left="20"/>
                    </w:pPr>
                    <w:r>
                      <w:t>Page</w:t>
                    </w:r>
                    <w:r>
                      <w:rPr>
                        <w:spacing w:val="-11"/>
                      </w:rPr>
                      <w:t xml:space="preserve"> </w:t>
                    </w:r>
                    <w:r>
                      <w:t>902-</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B"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81344" behindDoc="1" locked="0" layoutInCell="1" allowOverlap="1" wp14:anchorId="0DFDDBD8" wp14:editId="0DFDDBD9">
              <wp:simplePos x="0" y="0"/>
              <wp:positionH relativeFrom="page">
                <wp:posOffset>895350</wp:posOffset>
              </wp:positionH>
              <wp:positionV relativeFrom="page">
                <wp:posOffset>9400031</wp:posOffset>
              </wp:positionV>
              <wp:extent cx="5981700" cy="28575"/>
              <wp:effectExtent l="0" t="0" r="0" b="0"/>
              <wp:wrapNone/>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997A1A" id="Graphic 897" o:spid="_x0000_s1026" style="position:absolute;margin-left:70.5pt;margin-top:740.15pt;width:471pt;height:2.25pt;z-index:-2703513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81856" behindDoc="1" locked="0" layoutInCell="1" allowOverlap="1" wp14:anchorId="0DFDDBDA" wp14:editId="0DFDDBDB">
              <wp:simplePos x="0" y="0"/>
              <wp:positionH relativeFrom="page">
                <wp:posOffset>901700</wp:posOffset>
              </wp:positionH>
              <wp:positionV relativeFrom="page">
                <wp:posOffset>9432545</wp:posOffset>
              </wp:positionV>
              <wp:extent cx="678180" cy="181610"/>
              <wp:effectExtent l="0" t="0" r="0" b="0"/>
              <wp:wrapNone/>
              <wp:docPr id="898" name="Text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0A"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DA" id="_x0000_t202" coordsize="21600,21600" o:spt="202" path="m,l,21600r21600,l21600,xe">
              <v:stroke joinstyle="miter"/>
              <v:path gradientshapeok="t" o:connecttype="rect"/>
            </v:shapetype>
            <v:shape id="Textbox 898" o:spid="_x0000_s1304" type="#_x0000_t202" style="position:absolute;margin-left:71pt;margin-top:742.7pt;width:53.4pt;height:14.3pt;z-index:-27034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m5cqBpkB&#10;AAAjAwAADgAAAAAAAAAAAAAAAAAuAgAAZHJzL2Uyb0RvYy54bWxQSwECLQAUAAYACAAAACEArmr3&#10;Q+EAAAANAQAADwAAAAAAAAAAAAAAAADzAwAAZHJzL2Rvd25yZXYueG1sUEsFBgAAAAAEAAQA8wAA&#10;AAEFAAAAAA==&#10;" filled="f" stroked="f">
              <v:textbox inset="0,0,0,0">
                <w:txbxContent>
                  <w:p w14:paraId="0DFDDF0A"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82368" behindDoc="1" locked="0" layoutInCell="1" allowOverlap="1" wp14:anchorId="0DFDDBDC" wp14:editId="0DFDDBDD">
              <wp:simplePos x="0" y="0"/>
              <wp:positionH relativeFrom="page">
                <wp:posOffset>2783105</wp:posOffset>
              </wp:positionH>
              <wp:positionV relativeFrom="page">
                <wp:posOffset>9432545</wp:posOffset>
              </wp:positionV>
              <wp:extent cx="2206625" cy="181610"/>
              <wp:effectExtent l="0" t="0" r="0" b="0"/>
              <wp:wrapNone/>
              <wp:docPr id="899" name="Textbox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0B"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DC" id="Textbox 899" o:spid="_x0000_s1305" type="#_x0000_t202" style="position:absolute;margin-left:219.15pt;margin-top:742.7pt;width:173.75pt;height:14.3pt;z-index:-2703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B+KSB0&#10;mgEAACQDAAAOAAAAAAAAAAAAAAAAAC4CAABkcnMvZTJvRG9jLnhtbFBLAQItABQABgAIAAAAIQDe&#10;kTQm4gAAAA0BAAAPAAAAAAAAAAAAAAAAAPQDAABkcnMvZG93bnJldi54bWxQSwUGAAAAAAQABADz&#10;AAAAAwUAAAAA&#10;" filled="f" stroked="f">
              <v:textbox inset="0,0,0,0">
                <w:txbxContent>
                  <w:p w14:paraId="0DFDDF0B"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82880" behindDoc="1" locked="0" layoutInCell="1" allowOverlap="1" wp14:anchorId="0DFDDBDE" wp14:editId="0DFDDBDF">
              <wp:simplePos x="0" y="0"/>
              <wp:positionH relativeFrom="page">
                <wp:posOffset>5913528</wp:posOffset>
              </wp:positionH>
              <wp:positionV relativeFrom="page">
                <wp:posOffset>9432545</wp:posOffset>
              </wp:positionV>
              <wp:extent cx="995680" cy="181610"/>
              <wp:effectExtent l="0" t="0" r="0" b="0"/>
              <wp:wrapNone/>
              <wp:docPr id="900" name="Text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181610"/>
                      </a:xfrm>
                      <a:prstGeom prst="rect">
                        <a:avLst/>
                      </a:prstGeom>
                    </wps:spPr>
                    <wps:txbx>
                      <w:txbxContent>
                        <w:p w14:paraId="0DFDDF0C" w14:textId="77777777" w:rsidR="00046465" w:rsidRDefault="008134EB">
                          <w:pPr>
                            <w:pStyle w:val="BodyText"/>
                            <w:spacing w:before="12"/>
                            <w:ind w:left="20"/>
                          </w:pPr>
                          <w:r>
                            <w:t>Page</w:t>
                          </w:r>
                          <w:r>
                            <w:rPr>
                              <w:spacing w:val="-8"/>
                            </w:rPr>
                            <w:t xml:space="preserve"> </w:t>
                          </w:r>
                          <w:r>
                            <w:t>902</w:t>
                          </w:r>
                          <w:r>
                            <w:rPr>
                              <w:spacing w:val="-6"/>
                            </w:rPr>
                            <w:t xml:space="preserve"> </w:t>
                          </w:r>
                          <w:r>
                            <w:t>A-</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0DFDDBDE" id="Textbox 900" o:spid="_x0000_s1306" type="#_x0000_t202" style="position:absolute;margin-left:465.65pt;margin-top:742.7pt;width:78.4pt;height:14.3pt;z-index:-2703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" filled="f" stroked="f">
              <v:textbox inset="0,0,0,0">
                <w:txbxContent>
                  <w:p w14:paraId="0DFDDF0C" w14:textId="77777777" w:rsidR="00046465" w:rsidRDefault="008134EB">
                    <w:pPr>
                      <w:pStyle w:val="BodyText"/>
                      <w:spacing w:before="12"/>
                      <w:ind w:left="20"/>
                    </w:pPr>
                    <w:r>
                      <w:t>Page</w:t>
                    </w:r>
                    <w:r>
                      <w:rPr>
                        <w:spacing w:val="-8"/>
                      </w:rPr>
                      <w:t xml:space="preserve"> </w:t>
                    </w:r>
                    <w:r>
                      <w:t>902</w:t>
                    </w:r>
                    <w:r>
                      <w:rPr>
                        <w:spacing w:val="-6"/>
                      </w:rPr>
                      <w:t xml:space="preserve"> </w:t>
                    </w:r>
                    <w:r>
                      <w:t>A-</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D"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84416" behindDoc="1" locked="0" layoutInCell="1" allowOverlap="1" wp14:anchorId="0DFDDBE4" wp14:editId="0DFDDBE5">
              <wp:simplePos x="0" y="0"/>
              <wp:positionH relativeFrom="page">
                <wp:posOffset>895350</wp:posOffset>
              </wp:positionH>
              <wp:positionV relativeFrom="page">
                <wp:posOffset>9400031</wp:posOffset>
              </wp:positionV>
              <wp:extent cx="5981700" cy="28575"/>
              <wp:effectExtent l="0" t="0" r="0" b="0"/>
              <wp:wrapNone/>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CC15E0" id="Graphic 906" o:spid="_x0000_s1026" style="position:absolute;margin-left:70.5pt;margin-top:740.15pt;width:471pt;height:2.25pt;z-index:-270320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84928" behindDoc="1" locked="0" layoutInCell="1" allowOverlap="1" wp14:anchorId="0DFDDBE6" wp14:editId="0DFDDBE7">
              <wp:simplePos x="0" y="0"/>
              <wp:positionH relativeFrom="page">
                <wp:posOffset>901700</wp:posOffset>
              </wp:positionH>
              <wp:positionV relativeFrom="page">
                <wp:posOffset>9432545</wp:posOffset>
              </wp:positionV>
              <wp:extent cx="678180" cy="181610"/>
              <wp:effectExtent l="0" t="0" r="0" b="0"/>
              <wp:wrapNone/>
              <wp:docPr id="907" name="Textbox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0F"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E6" id="_x0000_t202" coordsize="21600,21600" o:spt="202" path="m,l,21600r21600,l21600,xe">
              <v:stroke joinstyle="miter"/>
              <v:path gradientshapeok="t" o:connecttype="rect"/>
            </v:shapetype>
            <v:shape id="Textbox 907" o:spid="_x0000_s1308" type="#_x0000_t202" style="position:absolute;margin-left:71pt;margin-top:742.7pt;width:53.4pt;height:14.3pt;z-index:-2703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TZt08mAEA&#10;ACMDAAAOAAAAAAAAAAAAAAAAAC4CAABkcnMvZTJvRG9jLnhtbFBLAQItABQABgAIAAAAIQCuavdD&#10;4QAAAA0BAAAPAAAAAAAAAAAAAAAAAPIDAABkcnMvZG93bnJldi54bWxQSwUGAAAAAAQABADzAAAA&#10;AAUAAAAA&#10;" filled="f" stroked="f">
              <v:textbox inset="0,0,0,0">
                <w:txbxContent>
                  <w:p w14:paraId="0DFDDF0F"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85440" behindDoc="1" locked="0" layoutInCell="1" allowOverlap="1" wp14:anchorId="0DFDDBE8" wp14:editId="0DFDDBE9">
              <wp:simplePos x="0" y="0"/>
              <wp:positionH relativeFrom="page">
                <wp:posOffset>2783105</wp:posOffset>
              </wp:positionH>
              <wp:positionV relativeFrom="page">
                <wp:posOffset>9432545</wp:posOffset>
              </wp:positionV>
              <wp:extent cx="2206625" cy="181610"/>
              <wp:effectExtent l="0" t="0" r="0" b="0"/>
              <wp:wrapNone/>
              <wp:docPr id="908" name="Textbox 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10"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E8" id="Textbox 908" o:spid="_x0000_s1309" type="#_x0000_t202" style="position:absolute;margin-left:219.15pt;margin-top:742.7pt;width:173.75pt;height:14.3pt;z-index:-27031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DbY106Z&#10;AQAAJAMAAA4AAAAAAAAAAAAAAAAALgIAAGRycy9lMm9Eb2MueG1sUEsBAi0AFAAGAAgAAAAhAN6R&#10;NCbiAAAADQEAAA8AAAAAAAAAAAAAAAAA8wMAAGRycy9kb3ducmV2LnhtbFBLBQYAAAAABAAEAPMA&#10;AAACBQAAAAA=&#10;" filled="f" stroked="f">
              <v:textbox inset="0,0,0,0">
                <w:txbxContent>
                  <w:p w14:paraId="0DFDDF10"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85952" behindDoc="1" locked="0" layoutInCell="1" allowOverlap="1" wp14:anchorId="0DFDDBEA" wp14:editId="0DFDDBEB">
              <wp:simplePos x="0" y="0"/>
              <wp:positionH relativeFrom="page">
                <wp:posOffset>5913528</wp:posOffset>
              </wp:positionH>
              <wp:positionV relativeFrom="page">
                <wp:posOffset>9432545</wp:posOffset>
              </wp:positionV>
              <wp:extent cx="995680" cy="181610"/>
              <wp:effectExtent l="0" t="0" r="0" b="0"/>
              <wp:wrapNone/>
              <wp:docPr id="909"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181610"/>
                      </a:xfrm>
                      <a:prstGeom prst="rect">
                        <a:avLst/>
                      </a:prstGeom>
                    </wps:spPr>
                    <wps:txbx>
                      <w:txbxContent>
                        <w:p w14:paraId="0DFDDF11" w14:textId="77777777" w:rsidR="00046465" w:rsidRDefault="008134EB">
                          <w:pPr>
                            <w:pStyle w:val="BodyText"/>
                            <w:spacing w:before="12"/>
                            <w:ind w:left="20"/>
                          </w:pPr>
                          <w:r>
                            <w:t>Page</w:t>
                          </w:r>
                          <w:r>
                            <w:rPr>
                              <w:spacing w:val="-8"/>
                            </w:rPr>
                            <w:t xml:space="preserve"> </w:t>
                          </w:r>
                          <w:r>
                            <w:t>902</w:t>
                          </w:r>
                          <w:r>
                            <w:rPr>
                              <w:spacing w:val="-6"/>
                            </w:rPr>
                            <w:t xml:space="preserve"> </w:t>
                          </w:r>
                          <w:r>
                            <w:t>A-</w:t>
                          </w: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wps:txbx>
                    <wps:bodyPr wrap="square" lIns="0" tIns="0" rIns="0" bIns="0" rtlCol="0">
                      <a:noAutofit/>
                    </wps:bodyPr>
                  </wps:wsp>
                </a:graphicData>
              </a:graphic>
            </wp:anchor>
          </w:drawing>
        </mc:Choice>
        <mc:Fallback>
          <w:pict>
            <v:shape w14:anchorId="0DFDDBEA" id="Textbox 909" o:spid="_x0000_s1310" type="#_x0000_t202" style="position:absolute;margin-left:465.65pt;margin-top:742.7pt;width:78.4pt;height:14.3pt;z-index:-27030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" filled="f" stroked="f">
              <v:textbox inset="0,0,0,0">
                <w:txbxContent>
                  <w:p w14:paraId="0DFDDF11" w14:textId="77777777" w:rsidR="00046465" w:rsidRDefault="008134EB">
                    <w:pPr>
                      <w:pStyle w:val="BodyText"/>
                      <w:spacing w:before="12"/>
                      <w:ind w:left="20"/>
                    </w:pPr>
                    <w:r>
                      <w:t>Page</w:t>
                    </w:r>
                    <w:r>
                      <w:rPr>
                        <w:spacing w:val="-8"/>
                      </w:rPr>
                      <w:t xml:space="preserve"> </w:t>
                    </w:r>
                    <w:r>
                      <w:t>902</w:t>
                    </w:r>
                    <w:r>
                      <w:rPr>
                        <w:spacing w:val="-6"/>
                      </w:rPr>
                      <w:t xml:space="preserve"> </w:t>
                    </w:r>
                    <w:r>
                      <w:t>A-</w:t>
                    </w:r>
                    <w:r>
                      <w:rPr>
                        <w:spacing w:val="-5"/>
                      </w:rPr>
                      <w:fldChar w:fldCharType="begin"/>
                    </w:r>
                    <w:r>
                      <w:rPr>
                        <w:spacing w:val="-5"/>
                      </w:rPr>
                      <w:instrText xml:space="preserve"> PAGE </w:instrText>
                    </w:r>
                    <w:r>
                      <w:rPr>
                        <w:spacing w:val="-5"/>
                      </w:rPr>
                      <w:fldChar w:fldCharType="separate"/>
                    </w:r>
                    <w:r>
                      <w:rPr>
                        <w:spacing w:val="-5"/>
                      </w:rPr>
                      <w:t>17</w:t>
                    </w:r>
                    <w:r>
                      <w:rPr>
                        <w:spacing w:val="-5"/>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F"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88000" behindDoc="1" locked="0" layoutInCell="1" allowOverlap="1" wp14:anchorId="0DFDDBF2" wp14:editId="0DFDDBF3">
              <wp:simplePos x="0" y="0"/>
              <wp:positionH relativeFrom="page">
                <wp:posOffset>895350</wp:posOffset>
              </wp:positionH>
              <wp:positionV relativeFrom="page">
                <wp:posOffset>9400031</wp:posOffset>
              </wp:positionV>
              <wp:extent cx="5981700" cy="28575"/>
              <wp:effectExtent l="0" t="0" r="0" b="0"/>
              <wp:wrapNone/>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7D1066" id="Graphic 930" o:spid="_x0000_s1026" style="position:absolute;margin-left:70.5pt;margin-top:740.15pt;width:471pt;height:2.25pt;z-index:-270284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88512" behindDoc="1" locked="0" layoutInCell="1" allowOverlap="1" wp14:anchorId="0DFDDBF4" wp14:editId="0DFDDBF5">
              <wp:simplePos x="0" y="0"/>
              <wp:positionH relativeFrom="page">
                <wp:posOffset>901700</wp:posOffset>
              </wp:positionH>
              <wp:positionV relativeFrom="page">
                <wp:posOffset>9432545</wp:posOffset>
              </wp:positionV>
              <wp:extent cx="678180" cy="181610"/>
              <wp:effectExtent l="0" t="0" r="0" b="0"/>
              <wp:wrapNone/>
              <wp:docPr id="931" name="Text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13"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BF4" id="_x0000_t202" coordsize="21600,21600" o:spt="202" path="m,l,21600r21600,l21600,xe">
              <v:stroke joinstyle="miter"/>
              <v:path gradientshapeok="t" o:connecttype="rect"/>
            </v:shapetype>
            <v:shape id="Textbox 931" o:spid="_x0000_s1312" type="#_x0000_t202" style="position:absolute;margin-left:71pt;margin-top:742.7pt;width:53.4pt;height:14.3pt;z-index:-270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OAR8hmAEA&#10;ACMDAAAOAAAAAAAAAAAAAAAAAC4CAABkcnMvZTJvRG9jLnhtbFBLAQItABQABgAIAAAAIQCuavdD&#10;4QAAAA0BAAAPAAAAAAAAAAAAAAAAAPIDAABkcnMvZG93bnJldi54bWxQSwUGAAAAAAQABADzAAAA&#10;AAUAAAAA&#10;" filled="f" stroked="f">
              <v:textbox inset="0,0,0,0">
                <w:txbxContent>
                  <w:p w14:paraId="0DFDDF13"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89024" behindDoc="1" locked="0" layoutInCell="1" allowOverlap="1" wp14:anchorId="0DFDDBF6" wp14:editId="0DFDDBF7">
              <wp:simplePos x="0" y="0"/>
              <wp:positionH relativeFrom="page">
                <wp:posOffset>2910332</wp:posOffset>
              </wp:positionH>
              <wp:positionV relativeFrom="page">
                <wp:posOffset>9432545</wp:posOffset>
              </wp:positionV>
              <wp:extent cx="2206625" cy="181610"/>
              <wp:effectExtent l="0" t="0" r="0" b="0"/>
              <wp:wrapNone/>
              <wp:docPr id="932" name="Text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14"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BF6" id="Textbox 932" o:spid="_x0000_s1313" type="#_x0000_t202" style="position:absolute;margin-left:229.15pt;margin-top:742.7pt;width:173.75pt;height:14.3pt;z-index:-2702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" filled="f" stroked="f">
              <v:textbox inset="0,0,0,0">
                <w:txbxContent>
                  <w:p w14:paraId="0DFDDF14"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89536" behindDoc="1" locked="0" layoutInCell="1" allowOverlap="1" wp14:anchorId="0DFDDBF8" wp14:editId="0DFDDBF9">
              <wp:simplePos x="0" y="0"/>
              <wp:positionH relativeFrom="page">
                <wp:posOffset>6122889</wp:posOffset>
              </wp:positionH>
              <wp:positionV relativeFrom="page">
                <wp:posOffset>9432545</wp:posOffset>
              </wp:positionV>
              <wp:extent cx="785495" cy="181610"/>
              <wp:effectExtent l="0" t="0" r="0" b="0"/>
              <wp:wrapNone/>
              <wp:docPr id="933" name="Text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F15" w14:textId="77777777" w:rsidR="00046465" w:rsidRDefault="008134EB">
                          <w:pPr>
                            <w:pStyle w:val="BodyText"/>
                            <w:spacing w:before="12"/>
                            <w:ind w:left="20"/>
                          </w:pPr>
                          <w:r>
                            <w:t>Page</w:t>
                          </w:r>
                          <w:r>
                            <w:rPr>
                              <w:spacing w:val="-11"/>
                            </w:rPr>
                            <w:t xml:space="preserve"> </w:t>
                          </w:r>
                          <w:r>
                            <w:t>903-</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BF8" id="Textbox 933" o:spid="_x0000_s1314" type="#_x0000_t202" style="position:absolute;margin-left:482.1pt;margin-top:742.7pt;width:61.85pt;height:14.3pt;z-index:-2702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VYWj&#10;vJoBAAAjAwAADgAAAAAAAAAAAAAAAAAuAgAAZHJzL2Uyb0RvYy54bWxQSwECLQAUAAYACAAAACEA&#10;Y3QTQuMAAAAOAQAADwAAAAAAAAAAAAAAAAD0AwAAZHJzL2Rvd25yZXYueG1sUEsFBgAAAAAEAAQA&#10;8wAAAAQFAAAAAA==&#10;" filled="f" stroked="f">
              <v:textbox inset="0,0,0,0">
                <w:txbxContent>
                  <w:p w14:paraId="0DFDDF15" w14:textId="77777777" w:rsidR="00046465" w:rsidRDefault="008134EB">
                    <w:pPr>
                      <w:pStyle w:val="BodyText"/>
                      <w:spacing w:before="12"/>
                      <w:ind w:left="20"/>
                    </w:pPr>
                    <w:r>
                      <w:t>Page</w:t>
                    </w:r>
                    <w:r>
                      <w:rPr>
                        <w:spacing w:val="-11"/>
                      </w:rPr>
                      <w:t xml:space="preserve"> </w:t>
                    </w:r>
                    <w:r>
                      <w:t>903-</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1"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91584" behindDoc="1" locked="0" layoutInCell="1" allowOverlap="1" wp14:anchorId="0DFDDC00" wp14:editId="0DFDDC01">
              <wp:simplePos x="0" y="0"/>
              <wp:positionH relativeFrom="page">
                <wp:posOffset>895350</wp:posOffset>
              </wp:positionH>
              <wp:positionV relativeFrom="page">
                <wp:posOffset>9400031</wp:posOffset>
              </wp:positionV>
              <wp:extent cx="5981700" cy="28575"/>
              <wp:effectExtent l="0" t="0" r="0" b="0"/>
              <wp:wrapNone/>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6EC8C0" id="Graphic 939" o:spid="_x0000_s1026" style="position:absolute;margin-left:70.5pt;margin-top:740.15pt;width:471pt;height:2.25pt;z-index:-270248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92096" behindDoc="1" locked="0" layoutInCell="1" allowOverlap="1" wp14:anchorId="0DFDDC02" wp14:editId="0DFDDC03">
              <wp:simplePos x="0" y="0"/>
              <wp:positionH relativeFrom="page">
                <wp:posOffset>901700</wp:posOffset>
              </wp:positionH>
              <wp:positionV relativeFrom="page">
                <wp:posOffset>9432545</wp:posOffset>
              </wp:positionV>
              <wp:extent cx="678180" cy="181610"/>
              <wp:effectExtent l="0" t="0" r="0" b="0"/>
              <wp:wrapNone/>
              <wp:docPr id="940" name="Text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18"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02" id="_x0000_t202" coordsize="21600,21600" o:spt="202" path="m,l,21600r21600,l21600,xe">
              <v:stroke joinstyle="miter"/>
              <v:path gradientshapeok="t" o:connecttype="rect"/>
            </v:shapetype>
            <v:shape id="Textbox 940" o:spid="_x0000_s1316" type="#_x0000_t202" style="position:absolute;margin-left:71pt;margin-top:742.7pt;width:53.4pt;height:14.3pt;z-index:-27024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C2rk03mAEA&#10;ACMDAAAOAAAAAAAAAAAAAAAAAC4CAABkcnMvZTJvRG9jLnhtbFBLAQItABQABgAIAAAAIQCuavdD&#10;4QAAAA0BAAAPAAAAAAAAAAAAAAAAAPIDAABkcnMvZG93bnJldi54bWxQSwUGAAAAAAQABADzAAAA&#10;AAUAAAAA&#10;" filled="f" stroked="f">
              <v:textbox inset="0,0,0,0">
                <w:txbxContent>
                  <w:p w14:paraId="0DFDDF18"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92608" behindDoc="1" locked="0" layoutInCell="1" allowOverlap="1" wp14:anchorId="0DFDDC04" wp14:editId="0DFDDC05">
              <wp:simplePos x="0" y="0"/>
              <wp:positionH relativeFrom="page">
                <wp:posOffset>2783105</wp:posOffset>
              </wp:positionH>
              <wp:positionV relativeFrom="page">
                <wp:posOffset>9432545</wp:posOffset>
              </wp:positionV>
              <wp:extent cx="2206625" cy="181610"/>
              <wp:effectExtent l="0" t="0" r="0" b="0"/>
              <wp:wrapNone/>
              <wp:docPr id="941" name="Text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19" w14:textId="77777777" w:rsidR="00046465" w:rsidRDefault="008134EB">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04" id="Textbox 941" o:spid="_x0000_s1317" type="#_x0000_t202" style="position:absolute;margin-left:219.15pt;margin-top:742.7pt;width:173.75pt;height:14.3pt;z-index:-2702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BTEEdF&#10;mgEAACQDAAAOAAAAAAAAAAAAAAAAAC4CAABkcnMvZTJvRG9jLnhtbFBLAQItABQABgAIAAAAIQDe&#10;kTQm4gAAAA0BAAAPAAAAAAAAAAAAAAAAAPQDAABkcnMvZG93bnJldi54bWxQSwUGAAAAAAQABADz&#10;AAAAAwUAAAAA&#10;" filled="f" stroked="f">
              <v:textbox inset="0,0,0,0">
                <w:txbxContent>
                  <w:p w14:paraId="0DFDDF19" w14:textId="77777777" w:rsidR="00046465" w:rsidRDefault="008134EB">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93120" behindDoc="1" locked="0" layoutInCell="1" allowOverlap="1" wp14:anchorId="0DFDDC06" wp14:editId="0DFDDC07">
              <wp:simplePos x="0" y="0"/>
              <wp:positionH relativeFrom="page">
                <wp:posOffset>6122976</wp:posOffset>
              </wp:positionH>
              <wp:positionV relativeFrom="page">
                <wp:posOffset>9432545</wp:posOffset>
              </wp:positionV>
              <wp:extent cx="747395" cy="181610"/>
              <wp:effectExtent l="0" t="0" r="0" b="0"/>
              <wp:wrapNone/>
              <wp:docPr id="942" name="Text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F1A" w14:textId="77777777" w:rsidR="00046465" w:rsidRDefault="008134EB">
                          <w:pPr>
                            <w:pStyle w:val="BodyText"/>
                            <w:spacing w:before="12"/>
                            <w:ind w:left="20"/>
                          </w:pPr>
                          <w:r>
                            <w:t>Page</w:t>
                          </w:r>
                          <w:r>
                            <w:rPr>
                              <w:spacing w:val="-11"/>
                            </w:rPr>
                            <w:t xml:space="preserve"> </w:t>
                          </w:r>
                          <w:r>
                            <w:t>904-</w:t>
                          </w:r>
                          <w:r>
                            <w:rPr>
                              <w:spacing w:val="-10"/>
                            </w:rPr>
                            <w:t>1</w:t>
                          </w:r>
                        </w:p>
                      </w:txbxContent>
                    </wps:txbx>
                    <wps:bodyPr wrap="square" lIns="0" tIns="0" rIns="0" bIns="0" rtlCol="0">
                      <a:noAutofit/>
                    </wps:bodyPr>
                  </wps:wsp>
                </a:graphicData>
              </a:graphic>
            </wp:anchor>
          </w:drawing>
        </mc:Choice>
        <mc:Fallback>
          <w:pict>
            <v:shape w14:anchorId="0DFDDC06" id="Textbox 942" o:spid="_x0000_s1318" type="#_x0000_t202" style="position:absolute;margin-left:482.1pt;margin-top:742.7pt;width:58.85pt;height:14.3pt;z-index:-27023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" filled="f" stroked="f">
              <v:textbox inset="0,0,0,0">
                <w:txbxContent>
                  <w:p w14:paraId="0DFDDF1A" w14:textId="77777777" w:rsidR="00046465" w:rsidRDefault="008134EB">
                    <w:pPr>
                      <w:pStyle w:val="BodyText"/>
                      <w:spacing w:before="12"/>
                      <w:ind w:left="20"/>
                    </w:pPr>
                    <w:r>
                      <w:t>Page</w:t>
                    </w:r>
                    <w:r>
                      <w:rPr>
                        <w:spacing w:val="-11"/>
                      </w:rPr>
                      <w:t xml:space="preserve"> </w:t>
                    </w:r>
                    <w:r>
                      <w:t>904-</w:t>
                    </w:r>
                    <w:r>
                      <w:rPr>
                        <w:spacing w:val="-10"/>
                      </w:rPr>
                      <w:t>1</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3"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95168" behindDoc="1" locked="0" layoutInCell="1" allowOverlap="1" wp14:anchorId="0DFDDC0E" wp14:editId="0DFDDC0F">
              <wp:simplePos x="0" y="0"/>
              <wp:positionH relativeFrom="page">
                <wp:posOffset>895350</wp:posOffset>
              </wp:positionH>
              <wp:positionV relativeFrom="page">
                <wp:posOffset>9400031</wp:posOffset>
              </wp:positionV>
              <wp:extent cx="5981700" cy="28575"/>
              <wp:effectExtent l="0" t="0" r="0" b="0"/>
              <wp:wrapNone/>
              <wp:docPr id="946" name="Graphic 9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49507F" id="Graphic 946" o:spid="_x0000_s1026" style="position:absolute;margin-left:70.5pt;margin-top:740.15pt;width:471pt;height:2.25pt;z-index:-270213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95680" behindDoc="1" locked="0" layoutInCell="1" allowOverlap="1" wp14:anchorId="0DFDDC10" wp14:editId="0DFDDC11">
              <wp:simplePos x="0" y="0"/>
              <wp:positionH relativeFrom="page">
                <wp:posOffset>901700</wp:posOffset>
              </wp:positionH>
              <wp:positionV relativeFrom="page">
                <wp:posOffset>9432545</wp:posOffset>
              </wp:positionV>
              <wp:extent cx="678180" cy="181610"/>
              <wp:effectExtent l="0" t="0" r="0" b="0"/>
              <wp:wrapNone/>
              <wp:docPr id="947" name="Text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1D"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10" id="_x0000_t202" coordsize="21600,21600" o:spt="202" path="m,l,21600r21600,l21600,xe">
              <v:stroke joinstyle="miter"/>
              <v:path gradientshapeok="t" o:connecttype="rect"/>
            </v:shapetype>
            <v:shape id="Textbox 947" o:spid="_x0000_s1320" type="#_x0000_t202" style="position:absolute;margin-left:71pt;margin-top:742.7pt;width:53.4pt;height:14.3pt;z-index:-2702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68mPKpkB&#10;AAAjAwAADgAAAAAAAAAAAAAAAAAuAgAAZHJzL2Uyb0RvYy54bWxQSwECLQAUAAYACAAAACEArmr3&#10;Q+EAAAANAQAADwAAAAAAAAAAAAAAAADzAwAAZHJzL2Rvd25yZXYueG1sUEsFBgAAAAAEAAQA8wAA&#10;AAEFAAAAAA==&#10;" filled="f" stroked="f">
              <v:textbox inset="0,0,0,0">
                <w:txbxContent>
                  <w:p w14:paraId="0DFDDF1D"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96192" behindDoc="1" locked="0" layoutInCell="1" allowOverlap="1" wp14:anchorId="0DFDDC12" wp14:editId="0DFDDC13">
              <wp:simplePos x="0" y="0"/>
              <wp:positionH relativeFrom="page">
                <wp:posOffset>2783105</wp:posOffset>
              </wp:positionH>
              <wp:positionV relativeFrom="page">
                <wp:posOffset>9432545</wp:posOffset>
              </wp:positionV>
              <wp:extent cx="2206625" cy="181610"/>
              <wp:effectExtent l="0" t="0" r="0" b="0"/>
              <wp:wrapNone/>
              <wp:docPr id="948" name="Text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1E" w14:textId="77777777" w:rsidR="00046465" w:rsidRDefault="008134EB">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12" id="Textbox 948" o:spid="_x0000_s1321" type="#_x0000_t202" style="position:absolute;margin-left:219.15pt;margin-top:742.7pt;width:173.75pt;height:14.3pt;z-index:-27020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AOd4VY&#10;mgEAACQDAAAOAAAAAAAAAAAAAAAAAC4CAABkcnMvZTJvRG9jLnhtbFBLAQItABQABgAIAAAAIQDe&#10;kTQm4gAAAA0BAAAPAAAAAAAAAAAAAAAAAPQDAABkcnMvZG93bnJldi54bWxQSwUGAAAAAAQABADz&#10;AAAAAwUAAAAA&#10;" filled="f" stroked="f">
              <v:textbox inset="0,0,0,0">
                <w:txbxContent>
                  <w:p w14:paraId="0DFDDF1E" w14:textId="77777777" w:rsidR="00046465" w:rsidRDefault="008134EB">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296704" behindDoc="1" locked="0" layoutInCell="1" allowOverlap="1" wp14:anchorId="0DFDDC14" wp14:editId="0DFDDC15">
              <wp:simplePos x="0" y="0"/>
              <wp:positionH relativeFrom="page">
                <wp:posOffset>6122976</wp:posOffset>
              </wp:positionH>
              <wp:positionV relativeFrom="page">
                <wp:posOffset>9432545</wp:posOffset>
              </wp:positionV>
              <wp:extent cx="785495" cy="181610"/>
              <wp:effectExtent l="0" t="0" r="0" b="0"/>
              <wp:wrapNone/>
              <wp:docPr id="949" name="Text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F1F" w14:textId="77777777" w:rsidR="00046465" w:rsidRDefault="008134EB">
                          <w:pPr>
                            <w:pStyle w:val="BodyText"/>
                            <w:spacing w:before="12"/>
                            <w:ind w:left="20"/>
                          </w:pPr>
                          <w:r>
                            <w:t>Page</w:t>
                          </w:r>
                          <w:r>
                            <w:rPr>
                              <w:spacing w:val="-11"/>
                            </w:rPr>
                            <w:t xml:space="preserve"> </w:t>
                          </w:r>
                          <w:r>
                            <w:t>904-</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C14" id="Textbox 949" o:spid="_x0000_s1322" type="#_x0000_t202" style="position:absolute;margin-left:482.1pt;margin-top:742.7pt;width:61.85pt;height:14.3pt;z-index:-2701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1+R1&#10;kZoBAAAjAwAADgAAAAAAAAAAAAAAAAAuAgAAZHJzL2Uyb0RvYy54bWxQSwECLQAUAAYACAAAACEA&#10;Y3QTQuMAAAAOAQAADwAAAAAAAAAAAAAAAAD0AwAAZHJzL2Rvd25yZXYueG1sUEsFBgAAAAAEAAQA&#10;8wAAAAQFAAAAAA==&#10;" filled="f" stroked="f">
              <v:textbox inset="0,0,0,0">
                <w:txbxContent>
                  <w:p w14:paraId="0DFDDF1F" w14:textId="77777777" w:rsidR="00046465" w:rsidRDefault="008134EB">
                    <w:pPr>
                      <w:pStyle w:val="BodyText"/>
                      <w:spacing w:before="12"/>
                      <w:ind w:left="20"/>
                    </w:pPr>
                    <w:r>
                      <w:t>Page</w:t>
                    </w:r>
                    <w:r>
                      <w:rPr>
                        <w:spacing w:val="-11"/>
                      </w:rPr>
                      <w:t xml:space="preserve"> </w:t>
                    </w:r>
                    <w:r>
                      <w:t>904-</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5"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98752" behindDoc="1" locked="0" layoutInCell="1" allowOverlap="1" wp14:anchorId="0DFDDC1C" wp14:editId="0DFDDC1D">
              <wp:simplePos x="0" y="0"/>
              <wp:positionH relativeFrom="page">
                <wp:posOffset>895350</wp:posOffset>
              </wp:positionH>
              <wp:positionV relativeFrom="page">
                <wp:posOffset>9400031</wp:posOffset>
              </wp:positionV>
              <wp:extent cx="5981700" cy="28575"/>
              <wp:effectExtent l="0" t="0" r="0" b="0"/>
              <wp:wrapNone/>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1FE1F1" id="Graphic 953" o:spid="_x0000_s1026" style="position:absolute;margin-left:70.5pt;margin-top:740.15pt;width:471pt;height:2.25pt;z-index:-270177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99264" behindDoc="1" locked="0" layoutInCell="1" allowOverlap="1" wp14:anchorId="0DFDDC1E" wp14:editId="0DFDDC1F">
              <wp:simplePos x="0" y="0"/>
              <wp:positionH relativeFrom="page">
                <wp:posOffset>901700</wp:posOffset>
              </wp:positionH>
              <wp:positionV relativeFrom="page">
                <wp:posOffset>9432545</wp:posOffset>
              </wp:positionV>
              <wp:extent cx="678180" cy="181610"/>
              <wp:effectExtent l="0" t="0" r="0" b="0"/>
              <wp:wrapNone/>
              <wp:docPr id="954" name="Text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21"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1E" id="_x0000_t202" coordsize="21600,21600" o:spt="202" path="m,l,21600r21600,l21600,xe">
              <v:stroke joinstyle="miter"/>
              <v:path gradientshapeok="t" o:connecttype="rect"/>
            </v:shapetype>
            <v:shape id="Textbox 954" o:spid="_x0000_s1324" type="#_x0000_t202" style="position:absolute;margin-left:71pt;margin-top:742.7pt;width:53.4pt;height:14.3pt;z-index:-270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DGDJDJkB&#10;AAAjAwAADgAAAAAAAAAAAAAAAAAuAgAAZHJzL2Uyb0RvYy54bWxQSwECLQAUAAYACAAAACEArmr3&#10;Q+EAAAANAQAADwAAAAAAAAAAAAAAAADzAwAAZHJzL2Rvd25yZXYueG1sUEsFBgAAAAAEAAQA8wAA&#10;AAEFAAAAAA==&#10;" filled="f" stroked="f">
              <v:textbox inset="0,0,0,0">
                <w:txbxContent>
                  <w:p w14:paraId="0DFDDF21"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299776" behindDoc="1" locked="0" layoutInCell="1" allowOverlap="1" wp14:anchorId="0DFDDC20" wp14:editId="0DFDDC21">
              <wp:simplePos x="0" y="0"/>
              <wp:positionH relativeFrom="page">
                <wp:posOffset>2783105</wp:posOffset>
              </wp:positionH>
              <wp:positionV relativeFrom="page">
                <wp:posOffset>9432545</wp:posOffset>
              </wp:positionV>
              <wp:extent cx="2206625" cy="181610"/>
              <wp:effectExtent l="0" t="0" r="0" b="0"/>
              <wp:wrapNone/>
              <wp:docPr id="955" name="Text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22" w14:textId="77777777" w:rsidR="00046465" w:rsidRDefault="008134EB">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20" id="Textbox 955" o:spid="_x0000_s1325" type="#_x0000_t202" style="position:absolute;margin-left:219.15pt;margin-top:742.7pt;width:173.75pt;height:14.3pt;z-index:-270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Dp3sN+&#10;mgEAACQDAAAOAAAAAAAAAAAAAAAAAC4CAABkcnMvZTJvRG9jLnhtbFBLAQItABQABgAIAAAAIQDe&#10;kTQm4gAAAA0BAAAPAAAAAAAAAAAAAAAAAPQDAABkcnMvZG93bnJldi54bWxQSwUGAAAAAAQABADz&#10;AAAAAwUAAAAA&#10;" filled="f" stroked="f">
              <v:textbox inset="0,0,0,0">
                <w:txbxContent>
                  <w:p w14:paraId="0DFDDF22" w14:textId="77777777" w:rsidR="00046465" w:rsidRDefault="008134EB">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00288" behindDoc="1" locked="0" layoutInCell="1" allowOverlap="1" wp14:anchorId="0DFDDC22" wp14:editId="0DFDDC23">
              <wp:simplePos x="0" y="0"/>
              <wp:positionH relativeFrom="page">
                <wp:posOffset>6122976</wp:posOffset>
              </wp:positionH>
              <wp:positionV relativeFrom="page">
                <wp:posOffset>9432545</wp:posOffset>
              </wp:positionV>
              <wp:extent cx="748030" cy="181610"/>
              <wp:effectExtent l="0" t="0" r="0" b="0"/>
              <wp:wrapNone/>
              <wp:docPr id="956" name="Text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8030" cy="181610"/>
                      </a:xfrm>
                      <a:prstGeom prst="rect">
                        <a:avLst/>
                      </a:prstGeom>
                    </wps:spPr>
                    <wps:txbx>
                      <w:txbxContent>
                        <w:p w14:paraId="0DFDDF23" w14:textId="77777777" w:rsidR="00046465" w:rsidRDefault="008134EB">
                          <w:pPr>
                            <w:pStyle w:val="BodyText"/>
                            <w:spacing w:before="12"/>
                            <w:ind w:left="20"/>
                          </w:pPr>
                          <w:r>
                            <w:t>Page</w:t>
                          </w:r>
                          <w:r>
                            <w:rPr>
                              <w:spacing w:val="-11"/>
                            </w:rPr>
                            <w:t xml:space="preserve"> </w:t>
                          </w:r>
                          <w:r>
                            <w:t>905-</w:t>
                          </w:r>
                          <w:r>
                            <w:rPr>
                              <w:spacing w:val="-10"/>
                            </w:rPr>
                            <w:t>1</w:t>
                          </w:r>
                        </w:p>
                      </w:txbxContent>
                    </wps:txbx>
                    <wps:bodyPr wrap="square" lIns="0" tIns="0" rIns="0" bIns="0" rtlCol="0">
                      <a:noAutofit/>
                    </wps:bodyPr>
                  </wps:wsp>
                </a:graphicData>
              </a:graphic>
            </wp:anchor>
          </w:drawing>
        </mc:Choice>
        <mc:Fallback>
          <w:pict>
            <v:shape w14:anchorId="0DFDDC22" id="Textbox 956" o:spid="_x0000_s1326" type="#_x0000_t202" style="position:absolute;margin-left:482.1pt;margin-top:742.7pt;width:58.9pt;height:14.3pt;z-index:-270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" filled="f" stroked="f">
              <v:textbox inset="0,0,0,0">
                <w:txbxContent>
                  <w:p w14:paraId="0DFDDF23" w14:textId="77777777" w:rsidR="00046465" w:rsidRDefault="008134EB">
                    <w:pPr>
                      <w:pStyle w:val="BodyText"/>
                      <w:spacing w:before="12"/>
                      <w:ind w:left="20"/>
                    </w:pPr>
                    <w:r>
                      <w:t>Page</w:t>
                    </w:r>
                    <w:r>
                      <w:rPr>
                        <w:spacing w:val="-11"/>
                      </w:rPr>
                      <w:t xml:space="preserve"> </w:t>
                    </w:r>
                    <w:r>
                      <w:t>905-</w:t>
                    </w:r>
                    <w:r>
                      <w:rPr>
                        <w:spacing w:val="-10"/>
                      </w:rPr>
                      <w:t>1</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7"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02336" behindDoc="1" locked="0" layoutInCell="1" allowOverlap="1" wp14:anchorId="0DFDDC2A" wp14:editId="0DFDDC2B">
              <wp:simplePos x="0" y="0"/>
              <wp:positionH relativeFrom="page">
                <wp:posOffset>895350</wp:posOffset>
              </wp:positionH>
              <wp:positionV relativeFrom="page">
                <wp:posOffset>9400031</wp:posOffset>
              </wp:positionV>
              <wp:extent cx="5981700" cy="28575"/>
              <wp:effectExtent l="0" t="0" r="0" b="0"/>
              <wp:wrapNone/>
              <wp:docPr id="960" name="Graphic 9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207E7B" id="Graphic 960" o:spid="_x0000_s1026" style="position:absolute;margin-left:70.5pt;margin-top:740.15pt;width:471pt;height:2.25pt;z-index:-270141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02848" behindDoc="1" locked="0" layoutInCell="1" allowOverlap="1" wp14:anchorId="0DFDDC2C" wp14:editId="0DFDDC2D">
              <wp:simplePos x="0" y="0"/>
              <wp:positionH relativeFrom="page">
                <wp:posOffset>901700</wp:posOffset>
              </wp:positionH>
              <wp:positionV relativeFrom="page">
                <wp:posOffset>9432545</wp:posOffset>
              </wp:positionV>
              <wp:extent cx="678180" cy="181610"/>
              <wp:effectExtent l="0" t="0" r="0" b="0"/>
              <wp:wrapNone/>
              <wp:docPr id="961" name="Text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25"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2C" id="_x0000_t202" coordsize="21600,21600" o:spt="202" path="m,l,21600r21600,l21600,xe">
              <v:stroke joinstyle="miter"/>
              <v:path gradientshapeok="t" o:connecttype="rect"/>
            </v:shapetype>
            <v:shape id="Textbox 961" o:spid="_x0000_s1328" type="#_x0000_t202" style="position:absolute;margin-left:71pt;margin-top:742.7pt;width:53.4pt;height:14.3pt;z-index:-2701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2oHYImAEA&#10;ACMDAAAOAAAAAAAAAAAAAAAAAC4CAABkcnMvZTJvRG9jLnhtbFBLAQItABQABgAIAAAAIQCuavdD&#10;4QAAAA0BAAAPAAAAAAAAAAAAAAAAAPIDAABkcnMvZG93bnJldi54bWxQSwUGAAAAAAQABADzAAAA&#10;AAUAAAAA&#10;" filled="f" stroked="f">
              <v:textbox inset="0,0,0,0">
                <w:txbxContent>
                  <w:p w14:paraId="0DFDDF25"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03360" behindDoc="1" locked="0" layoutInCell="1" allowOverlap="1" wp14:anchorId="0DFDDC2E" wp14:editId="0DFDDC2F">
              <wp:simplePos x="0" y="0"/>
              <wp:positionH relativeFrom="page">
                <wp:posOffset>2783105</wp:posOffset>
              </wp:positionH>
              <wp:positionV relativeFrom="page">
                <wp:posOffset>9432545</wp:posOffset>
              </wp:positionV>
              <wp:extent cx="2206625" cy="181610"/>
              <wp:effectExtent l="0" t="0" r="0" b="0"/>
              <wp:wrapNone/>
              <wp:docPr id="962" name="Text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26" w14:textId="77777777" w:rsidR="00046465" w:rsidRDefault="008134EB">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2E" id="Textbox 962" o:spid="_x0000_s1329" type="#_x0000_t202" style="position:absolute;margin-left:219.15pt;margin-top:742.7pt;width:173.75pt;height:14.3pt;z-index:-27013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NMefHqZ&#10;AQAAJAMAAA4AAAAAAAAAAAAAAAAALgIAAGRycy9lMm9Eb2MueG1sUEsBAi0AFAAGAAgAAAAhAN6R&#10;NCbiAAAADQEAAA8AAAAAAAAAAAAAAAAA8wMAAGRycy9kb3ducmV2LnhtbFBLBQYAAAAABAAEAPMA&#10;AAACBQAAAAA=&#10;" filled="f" stroked="f">
              <v:textbox inset="0,0,0,0">
                <w:txbxContent>
                  <w:p w14:paraId="0DFDDF26" w14:textId="77777777" w:rsidR="00046465" w:rsidRDefault="008134EB">
                    <w:pPr>
                      <w:pStyle w:val="BodyText"/>
                      <w:spacing w:before="12"/>
                      <w:ind w:left="20"/>
                    </w:pPr>
                    <w:r>
                      <w:t>GAO/CIGIE</w:t>
                    </w:r>
                    <w:r>
                      <w:rPr>
                        <w:spacing w:val="-11"/>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03872" behindDoc="1" locked="0" layoutInCell="1" allowOverlap="1" wp14:anchorId="0DFDDC30" wp14:editId="0DFDDC31">
              <wp:simplePos x="0" y="0"/>
              <wp:positionH relativeFrom="page">
                <wp:posOffset>6122976</wp:posOffset>
              </wp:positionH>
              <wp:positionV relativeFrom="page">
                <wp:posOffset>9432545</wp:posOffset>
              </wp:positionV>
              <wp:extent cx="786130" cy="181610"/>
              <wp:effectExtent l="0" t="0" r="0" b="0"/>
              <wp:wrapNone/>
              <wp:docPr id="963" name="Text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6130" cy="181610"/>
                      </a:xfrm>
                      <a:prstGeom prst="rect">
                        <a:avLst/>
                      </a:prstGeom>
                    </wps:spPr>
                    <wps:txbx>
                      <w:txbxContent>
                        <w:p w14:paraId="0DFDDF27" w14:textId="77777777" w:rsidR="00046465" w:rsidRDefault="008134EB">
                          <w:pPr>
                            <w:pStyle w:val="BodyText"/>
                            <w:spacing w:before="12"/>
                            <w:ind w:left="20"/>
                          </w:pPr>
                          <w:r>
                            <w:t>Page</w:t>
                          </w:r>
                          <w:r>
                            <w:rPr>
                              <w:spacing w:val="-11"/>
                            </w:rPr>
                            <w:t xml:space="preserve"> </w:t>
                          </w:r>
                          <w:r>
                            <w:t>905-</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C30" id="Textbox 963" o:spid="_x0000_s1330" type="#_x0000_t202" style="position:absolute;margin-left:482.1pt;margin-top:742.7pt;width:61.9pt;height:14.3pt;z-index:-2701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" filled="f" stroked="f">
              <v:textbox inset="0,0,0,0">
                <w:txbxContent>
                  <w:p w14:paraId="0DFDDF27" w14:textId="77777777" w:rsidR="00046465" w:rsidRDefault="008134EB">
                    <w:pPr>
                      <w:pStyle w:val="BodyText"/>
                      <w:spacing w:before="12"/>
                      <w:ind w:left="20"/>
                    </w:pPr>
                    <w:r>
                      <w:t>Page</w:t>
                    </w:r>
                    <w:r>
                      <w:rPr>
                        <w:spacing w:val="-11"/>
                      </w:rPr>
                      <w:t xml:space="preserve"> </w:t>
                    </w:r>
                    <w:r>
                      <w:t>905-</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9"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05920" behindDoc="1" locked="0" layoutInCell="1" allowOverlap="1" wp14:anchorId="0DFDDC38" wp14:editId="0DFDDC39">
              <wp:simplePos x="0" y="0"/>
              <wp:positionH relativeFrom="page">
                <wp:posOffset>895350</wp:posOffset>
              </wp:positionH>
              <wp:positionV relativeFrom="page">
                <wp:posOffset>9400031</wp:posOffset>
              </wp:positionV>
              <wp:extent cx="5981700" cy="28575"/>
              <wp:effectExtent l="0" t="0" r="0" b="0"/>
              <wp:wrapNone/>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726E75" id="Graphic 967" o:spid="_x0000_s1026" style="position:absolute;margin-left:70.5pt;margin-top:740.15pt;width:471pt;height:2.25pt;z-index:-270105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06432" behindDoc="1" locked="0" layoutInCell="1" allowOverlap="1" wp14:anchorId="0DFDDC3A" wp14:editId="0DFDDC3B">
              <wp:simplePos x="0" y="0"/>
              <wp:positionH relativeFrom="page">
                <wp:posOffset>901700</wp:posOffset>
              </wp:positionH>
              <wp:positionV relativeFrom="page">
                <wp:posOffset>9432545</wp:posOffset>
              </wp:positionV>
              <wp:extent cx="678180" cy="181610"/>
              <wp:effectExtent l="0" t="0" r="0" b="0"/>
              <wp:wrapNone/>
              <wp:docPr id="968" name="Text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29"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3A" id="_x0000_t202" coordsize="21600,21600" o:spt="202" path="m,l,21600r21600,l21600,xe">
              <v:stroke joinstyle="miter"/>
              <v:path gradientshapeok="t" o:connecttype="rect"/>
            </v:shapetype>
            <v:shape id="Textbox 968" o:spid="_x0000_s1332" type="#_x0000_t202" style="position:absolute;margin-left:71pt;margin-top:742.7pt;width:53.4pt;height:14.3pt;z-index:-2701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rx7QVmAEA&#10;ACMDAAAOAAAAAAAAAAAAAAAAAC4CAABkcnMvZTJvRG9jLnhtbFBLAQItABQABgAIAAAAIQCuavdD&#10;4QAAAA0BAAAPAAAAAAAAAAAAAAAAAPIDAABkcnMvZG93bnJldi54bWxQSwUGAAAAAAQABADzAAAA&#10;AAUAAAAA&#10;" filled="f" stroked="f">
              <v:textbox inset="0,0,0,0">
                <w:txbxContent>
                  <w:p w14:paraId="0DFDDF29"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06944" behindDoc="1" locked="0" layoutInCell="1" allowOverlap="1" wp14:anchorId="0DFDDC3C" wp14:editId="0DFDDC3D">
              <wp:simplePos x="0" y="0"/>
              <wp:positionH relativeFrom="page">
                <wp:posOffset>2783105</wp:posOffset>
              </wp:positionH>
              <wp:positionV relativeFrom="page">
                <wp:posOffset>9432545</wp:posOffset>
              </wp:positionV>
              <wp:extent cx="2206625" cy="181610"/>
              <wp:effectExtent l="0" t="0" r="0" b="0"/>
              <wp:wrapNone/>
              <wp:docPr id="969" name="Text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2A"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3C" id="Textbox 969" o:spid="_x0000_s1333" type="#_x0000_t202" style="position:absolute;margin-left:219.15pt;margin-top:742.7pt;width:173.75pt;height:14.3pt;z-index:-2700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I55vmeZ&#10;AQAAJAMAAA4AAAAAAAAAAAAAAAAALgIAAGRycy9lMm9Eb2MueG1sUEsBAi0AFAAGAAgAAAAhAN6R&#10;NCbiAAAADQEAAA8AAAAAAAAAAAAAAAAA8wMAAGRycy9kb3ducmV2LnhtbFBLBQYAAAAABAAEAPMA&#10;AAACBQAAAAA=&#10;" filled="f" stroked="f">
              <v:textbox inset="0,0,0,0">
                <w:txbxContent>
                  <w:p w14:paraId="0DFDDF2A"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07456" behindDoc="1" locked="0" layoutInCell="1" allowOverlap="1" wp14:anchorId="0DFDDC3E" wp14:editId="0DFDDC3F">
              <wp:simplePos x="0" y="0"/>
              <wp:positionH relativeFrom="page">
                <wp:posOffset>6122976</wp:posOffset>
              </wp:positionH>
              <wp:positionV relativeFrom="page">
                <wp:posOffset>9432545</wp:posOffset>
              </wp:positionV>
              <wp:extent cx="747395" cy="181610"/>
              <wp:effectExtent l="0" t="0" r="0" b="0"/>
              <wp:wrapNone/>
              <wp:docPr id="970" name="Text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F2B" w14:textId="77777777" w:rsidR="00046465" w:rsidRDefault="008134EB">
                          <w:pPr>
                            <w:pStyle w:val="BodyText"/>
                            <w:spacing w:before="12"/>
                            <w:ind w:left="20"/>
                          </w:pPr>
                          <w:r>
                            <w:t>Page</w:t>
                          </w:r>
                          <w:r>
                            <w:rPr>
                              <w:spacing w:val="-11"/>
                            </w:rPr>
                            <w:t xml:space="preserve"> </w:t>
                          </w:r>
                          <w:r>
                            <w:t>921-</w:t>
                          </w:r>
                          <w:r>
                            <w:rPr>
                              <w:spacing w:val="-10"/>
                            </w:rPr>
                            <w:t>1</w:t>
                          </w:r>
                        </w:p>
                      </w:txbxContent>
                    </wps:txbx>
                    <wps:bodyPr wrap="square" lIns="0" tIns="0" rIns="0" bIns="0" rtlCol="0">
                      <a:noAutofit/>
                    </wps:bodyPr>
                  </wps:wsp>
                </a:graphicData>
              </a:graphic>
            </wp:anchor>
          </w:drawing>
        </mc:Choice>
        <mc:Fallback>
          <w:pict>
            <v:shape w14:anchorId="0DFDDC3E" id="Textbox 970" o:spid="_x0000_s1334" type="#_x0000_t202" style="position:absolute;margin-left:482.1pt;margin-top:742.7pt;width:58.85pt;height:14.3pt;z-index:-2700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" filled="f" stroked="f">
              <v:textbox inset="0,0,0,0">
                <w:txbxContent>
                  <w:p w14:paraId="0DFDDF2B" w14:textId="77777777" w:rsidR="00046465" w:rsidRDefault="008134EB">
                    <w:pPr>
                      <w:pStyle w:val="BodyText"/>
                      <w:spacing w:before="12"/>
                      <w:ind w:left="20"/>
                    </w:pPr>
                    <w:r>
                      <w:t>Page</w:t>
                    </w:r>
                    <w:r>
                      <w:rPr>
                        <w:spacing w:val="-11"/>
                      </w:rPr>
                      <w:t xml:space="preserve"> </w:t>
                    </w:r>
                    <w:r>
                      <w:t>921-</w:t>
                    </w:r>
                    <w:r>
                      <w:rPr>
                        <w:spacing w:val="-10"/>
                      </w:rPr>
                      <w:t>1</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B"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09504" behindDoc="1" locked="0" layoutInCell="1" allowOverlap="1" wp14:anchorId="0DFDDC46" wp14:editId="0DFDDC47">
              <wp:simplePos x="0" y="0"/>
              <wp:positionH relativeFrom="page">
                <wp:posOffset>895350</wp:posOffset>
              </wp:positionH>
              <wp:positionV relativeFrom="page">
                <wp:posOffset>9400031</wp:posOffset>
              </wp:positionV>
              <wp:extent cx="5981700" cy="28575"/>
              <wp:effectExtent l="0" t="0" r="0" b="0"/>
              <wp:wrapNone/>
              <wp:docPr id="975" name="Graphic 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0917AE" id="Graphic 975" o:spid="_x0000_s1026" style="position:absolute;margin-left:70.5pt;margin-top:740.15pt;width:471pt;height:2.25pt;z-index:-2700697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10016" behindDoc="1" locked="0" layoutInCell="1" allowOverlap="1" wp14:anchorId="0DFDDC48" wp14:editId="0DFDDC49">
              <wp:simplePos x="0" y="0"/>
              <wp:positionH relativeFrom="page">
                <wp:posOffset>901700</wp:posOffset>
              </wp:positionH>
              <wp:positionV relativeFrom="page">
                <wp:posOffset>9432545</wp:posOffset>
              </wp:positionV>
              <wp:extent cx="678180" cy="181610"/>
              <wp:effectExtent l="0" t="0" r="0" b="0"/>
              <wp:wrapNone/>
              <wp:docPr id="976" name="Text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2D"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48" id="_x0000_t202" coordsize="21600,21600" o:spt="202" path="m,l,21600r21600,l21600,xe">
              <v:stroke joinstyle="miter"/>
              <v:path gradientshapeok="t" o:connecttype="rect"/>
            </v:shapetype>
            <v:shape id="Textbox 976" o:spid="_x0000_s1336" type="#_x0000_t202" style="position:absolute;margin-left:71pt;margin-top:742.7pt;width:53.4pt;height:14.3pt;z-index:-2700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BTaOYDmAEA&#10;ACMDAAAOAAAAAAAAAAAAAAAAAC4CAABkcnMvZTJvRG9jLnhtbFBLAQItABQABgAIAAAAIQCuavdD&#10;4QAAAA0BAAAPAAAAAAAAAAAAAAAAAPIDAABkcnMvZG93bnJldi54bWxQSwUGAAAAAAQABADzAAAA&#10;AAUAAAAA&#10;" filled="f" stroked="f">
              <v:textbox inset="0,0,0,0">
                <w:txbxContent>
                  <w:p w14:paraId="0DFDDF2D"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10528" behindDoc="1" locked="0" layoutInCell="1" allowOverlap="1" wp14:anchorId="0DFDDC4A" wp14:editId="0DFDDC4B">
              <wp:simplePos x="0" y="0"/>
              <wp:positionH relativeFrom="page">
                <wp:posOffset>2783105</wp:posOffset>
              </wp:positionH>
              <wp:positionV relativeFrom="page">
                <wp:posOffset>9432545</wp:posOffset>
              </wp:positionV>
              <wp:extent cx="2206625" cy="181610"/>
              <wp:effectExtent l="0" t="0" r="0" b="0"/>
              <wp:wrapNone/>
              <wp:docPr id="977" name="Textbox 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2E"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4A" id="Textbox 977" o:spid="_x0000_s1337" type="#_x0000_t202" style="position:absolute;margin-left:219.15pt;margin-top:742.7pt;width:173.75pt;height:14.3pt;z-index:-2700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C21uxx&#10;mgEAACQDAAAOAAAAAAAAAAAAAAAAAC4CAABkcnMvZTJvRG9jLnhtbFBLAQItABQABgAIAAAAIQDe&#10;kTQm4gAAAA0BAAAPAAAAAAAAAAAAAAAAAPQDAABkcnMvZG93bnJldi54bWxQSwUGAAAAAAQABADz&#10;AAAAAwUAAAAA&#10;" filled="f" stroked="f">
              <v:textbox inset="0,0,0,0">
                <w:txbxContent>
                  <w:p w14:paraId="0DFDDF2E"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11040" behindDoc="1" locked="0" layoutInCell="1" allowOverlap="1" wp14:anchorId="0DFDDC4C" wp14:editId="0DFDDC4D">
              <wp:simplePos x="0" y="0"/>
              <wp:positionH relativeFrom="page">
                <wp:posOffset>6122976</wp:posOffset>
              </wp:positionH>
              <wp:positionV relativeFrom="page">
                <wp:posOffset>9432545</wp:posOffset>
              </wp:positionV>
              <wp:extent cx="785495" cy="181610"/>
              <wp:effectExtent l="0" t="0" r="0" b="0"/>
              <wp:wrapNone/>
              <wp:docPr id="978" name="Textbox 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F2F" w14:textId="77777777" w:rsidR="00046465" w:rsidRDefault="008134EB">
                          <w:pPr>
                            <w:pStyle w:val="BodyText"/>
                            <w:spacing w:before="12"/>
                            <w:ind w:left="20"/>
                          </w:pPr>
                          <w:r>
                            <w:t>Page</w:t>
                          </w:r>
                          <w:r>
                            <w:rPr>
                              <w:spacing w:val="-11"/>
                            </w:rPr>
                            <w:t xml:space="preserve"> </w:t>
                          </w:r>
                          <w:r>
                            <w:t>921-</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C4C" id="Textbox 978" o:spid="_x0000_s1338" type="#_x0000_t202" style="position:absolute;margin-left:482.1pt;margin-top:742.7pt;width:61.85pt;height:14.3pt;z-index:-27005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" filled="f" stroked="f">
              <v:textbox inset="0,0,0,0">
                <w:txbxContent>
                  <w:p w14:paraId="0DFDDF2F" w14:textId="77777777" w:rsidR="00046465" w:rsidRDefault="008134EB">
                    <w:pPr>
                      <w:pStyle w:val="BodyText"/>
                      <w:spacing w:before="12"/>
                      <w:ind w:left="20"/>
                    </w:pPr>
                    <w:r>
                      <w:t>Page</w:t>
                    </w:r>
                    <w:r>
                      <w:rPr>
                        <w:spacing w:val="-11"/>
                      </w:rPr>
                      <w:t xml:space="preserve"> </w:t>
                    </w:r>
                    <w:r>
                      <w:t>921-</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D" w14:textId="77777777" w:rsidR="00046465" w:rsidRDefault="00046465">
    <w:pPr>
      <w:pStyle w:val="BodyText"/>
      <w:spacing w:line="14" w:lineRule="auto"/>
      <w:rPr>
        <w:sz w:val="2"/>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D"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13088" behindDoc="1" locked="0" layoutInCell="1" allowOverlap="1" wp14:anchorId="0DFDDC54" wp14:editId="0DFDDC55">
              <wp:simplePos x="0" y="0"/>
              <wp:positionH relativeFrom="page">
                <wp:posOffset>895350</wp:posOffset>
              </wp:positionH>
              <wp:positionV relativeFrom="page">
                <wp:posOffset>9400031</wp:posOffset>
              </wp:positionV>
              <wp:extent cx="5981700" cy="28575"/>
              <wp:effectExtent l="0" t="0" r="0" b="0"/>
              <wp:wrapNone/>
              <wp:docPr id="988" name="Graphic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CD2618" id="Graphic 988" o:spid="_x0000_s1026" style="position:absolute;margin-left:70.5pt;margin-top:740.15pt;width:471pt;height:2.25pt;z-index:-2700339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13600" behindDoc="1" locked="0" layoutInCell="1" allowOverlap="1" wp14:anchorId="0DFDDC56" wp14:editId="0DFDDC57">
              <wp:simplePos x="0" y="0"/>
              <wp:positionH relativeFrom="page">
                <wp:posOffset>901700</wp:posOffset>
              </wp:positionH>
              <wp:positionV relativeFrom="page">
                <wp:posOffset>9432545</wp:posOffset>
              </wp:positionV>
              <wp:extent cx="678180" cy="181610"/>
              <wp:effectExtent l="0" t="0" r="0" b="0"/>
              <wp:wrapNone/>
              <wp:docPr id="989" name="Textbox 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32"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56" id="_x0000_t202" coordsize="21600,21600" o:spt="202" path="m,l,21600r21600,l21600,xe">
              <v:stroke joinstyle="miter"/>
              <v:path gradientshapeok="t" o:connecttype="rect"/>
            </v:shapetype>
            <v:shape id="Textbox 989" o:spid="_x0000_s1340" type="#_x0000_t202" style="position:absolute;margin-left:71pt;margin-top:742.7pt;width:53.4pt;height:14.3pt;z-index:-2700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AODyQemAEA&#10;ACMDAAAOAAAAAAAAAAAAAAAAAC4CAABkcnMvZTJvRG9jLnhtbFBLAQItABQABgAIAAAAIQCuavdD&#10;4QAAAA0BAAAPAAAAAAAAAAAAAAAAAPIDAABkcnMvZG93bnJldi54bWxQSwUGAAAAAAQABADzAAAA&#10;AAUAAAAA&#10;" filled="f" stroked="f">
              <v:textbox inset="0,0,0,0">
                <w:txbxContent>
                  <w:p w14:paraId="0DFDDF32"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14112" behindDoc="1" locked="0" layoutInCell="1" allowOverlap="1" wp14:anchorId="0DFDDC58" wp14:editId="0DFDDC59">
              <wp:simplePos x="0" y="0"/>
              <wp:positionH relativeFrom="page">
                <wp:posOffset>2783105</wp:posOffset>
              </wp:positionH>
              <wp:positionV relativeFrom="page">
                <wp:posOffset>9432545</wp:posOffset>
              </wp:positionV>
              <wp:extent cx="2206625" cy="181610"/>
              <wp:effectExtent l="0" t="0" r="0" b="0"/>
              <wp:wrapNone/>
              <wp:docPr id="990" name="Text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33"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58" id="Textbox 990" o:spid="_x0000_s1341" type="#_x0000_t202" style="position:absolute;margin-left:219.15pt;margin-top:742.7pt;width:173.75pt;height:14.3pt;z-index:-27002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DrsS5s&#10;mgEAACQDAAAOAAAAAAAAAAAAAAAAAC4CAABkcnMvZTJvRG9jLnhtbFBLAQItABQABgAIAAAAIQDe&#10;kTQm4gAAAA0BAAAPAAAAAAAAAAAAAAAAAPQDAABkcnMvZG93bnJldi54bWxQSwUGAAAAAAQABADz&#10;AAAAAwUAAAAA&#10;" filled="f" stroked="f">
              <v:textbox inset="0,0,0,0">
                <w:txbxContent>
                  <w:p w14:paraId="0DFDDF33"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14624" behindDoc="1" locked="0" layoutInCell="1" allowOverlap="1" wp14:anchorId="0DFDDC5A" wp14:editId="0DFDDC5B">
              <wp:simplePos x="0" y="0"/>
              <wp:positionH relativeFrom="page">
                <wp:posOffset>5992315</wp:posOffset>
              </wp:positionH>
              <wp:positionV relativeFrom="page">
                <wp:posOffset>9432545</wp:posOffset>
              </wp:positionV>
              <wp:extent cx="916940" cy="181610"/>
              <wp:effectExtent l="0" t="0" r="0" b="0"/>
              <wp:wrapNone/>
              <wp:docPr id="991" name="Textbox 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940" cy="181610"/>
                      </a:xfrm>
                      <a:prstGeom prst="rect">
                        <a:avLst/>
                      </a:prstGeom>
                    </wps:spPr>
                    <wps:txbx>
                      <w:txbxContent>
                        <w:p w14:paraId="0DFDDF34" w14:textId="77777777" w:rsidR="00046465" w:rsidRDefault="008134EB">
                          <w:pPr>
                            <w:pStyle w:val="BodyText"/>
                            <w:spacing w:before="12"/>
                            <w:ind w:left="20"/>
                          </w:pPr>
                          <w:r>
                            <w:t>Page</w:t>
                          </w:r>
                          <w:r>
                            <w:rPr>
                              <w:spacing w:val="-9"/>
                            </w:rPr>
                            <w:t xml:space="preserve"> </w:t>
                          </w:r>
                          <w:r>
                            <w:t>921</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C5A" id="Textbox 991" o:spid="_x0000_s1342" type="#_x0000_t202" style="position:absolute;margin-left:471.85pt;margin-top:742.7pt;width:72.2pt;height:14.3pt;z-index:-27001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" filled="f" stroked="f">
              <v:textbox inset="0,0,0,0">
                <w:txbxContent>
                  <w:p w14:paraId="0DFDDF34" w14:textId="77777777" w:rsidR="00046465" w:rsidRDefault="008134EB">
                    <w:pPr>
                      <w:pStyle w:val="BodyText"/>
                      <w:spacing w:before="12"/>
                      <w:ind w:left="20"/>
                    </w:pPr>
                    <w:r>
                      <w:t>Page</w:t>
                    </w:r>
                    <w:r>
                      <w:rPr>
                        <w:spacing w:val="-9"/>
                      </w:rPr>
                      <w:t xml:space="preserve"> </w:t>
                    </w:r>
                    <w:r>
                      <w:t>921</w:t>
                    </w:r>
                    <w:r>
                      <w:rPr>
                        <w:spacing w:val="-6"/>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F"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16672" behindDoc="1" locked="0" layoutInCell="1" allowOverlap="1" wp14:anchorId="0DFDDC62" wp14:editId="0DFDDC63">
              <wp:simplePos x="0" y="0"/>
              <wp:positionH relativeFrom="page">
                <wp:posOffset>895350</wp:posOffset>
              </wp:positionH>
              <wp:positionV relativeFrom="page">
                <wp:posOffset>9400031</wp:posOffset>
              </wp:positionV>
              <wp:extent cx="5981700" cy="28575"/>
              <wp:effectExtent l="0" t="0" r="0" b="0"/>
              <wp:wrapNone/>
              <wp:docPr id="996" name="Graphic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4EF8D0" id="Graphic 996" o:spid="_x0000_s1026" style="position:absolute;margin-left:70.5pt;margin-top:740.15pt;width:471pt;height:2.25pt;z-index:-2699980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17184" behindDoc="1" locked="0" layoutInCell="1" allowOverlap="1" wp14:anchorId="0DFDDC64" wp14:editId="0DFDDC65">
              <wp:simplePos x="0" y="0"/>
              <wp:positionH relativeFrom="page">
                <wp:posOffset>901700</wp:posOffset>
              </wp:positionH>
              <wp:positionV relativeFrom="page">
                <wp:posOffset>9432545</wp:posOffset>
              </wp:positionV>
              <wp:extent cx="678180" cy="181610"/>
              <wp:effectExtent l="0" t="0" r="0" b="0"/>
              <wp:wrapNone/>
              <wp:docPr id="997" name="Text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37"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64" id="_x0000_t202" coordsize="21600,21600" o:spt="202" path="m,l,21600r21600,l21600,xe">
              <v:stroke joinstyle="miter"/>
              <v:path gradientshapeok="t" o:connecttype="rect"/>
            </v:shapetype>
            <v:shape id="Textbox 997" o:spid="_x0000_s1344" type="#_x0000_t202" style="position:absolute;margin-left:71pt;margin-top:742.7pt;width:53.4pt;height:14.3pt;z-index:-26999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6aZiOJkB&#10;AAAjAwAADgAAAAAAAAAAAAAAAAAuAgAAZHJzL2Uyb0RvYy54bWxQSwECLQAUAAYACAAAACEArmr3&#10;Q+EAAAANAQAADwAAAAAAAAAAAAAAAADzAwAAZHJzL2Rvd25yZXYueG1sUEsFBgAAAAAEAAQA8wAA&#10;AAEFAAAAAA==&#10;" filled="f" stroked="f">
              <v:textbox inset="0,0,0,0">
                <w:txbxContent>
                  <w:p w14:paraId="0DFDDF37"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17696" behindDoc="1" locked="0" layoutInCell="1" allowOverlap="1" wp14:anchorId="0DFDDC66" wp14:editId="0DFDDC67">
              <wp:simplePos x="0" y="0"/>
              <wp:positionH relativeFrom="page">
                <wp:posOffset>2783105</wp:posOffset>
              </wp:positionH>
              <wp:positionV relativeFrom="page">
                <wp:posOffset>9432545</wp:posOffset>
              </wp:positionV>
              <wp:extent cx="2206625" cy="181610"/>
              <wp:effectExtent l="0" t="0" r="0" b="0"/>
              <wp:wrapNone/>
              <wp:docPr id="998" name="Text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38"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66" id="Textbox 998" o:spid="_x0000_s1345" type="#_x0000_t202" style="position:absolute;margin-left:219.15pt;margin-top:742.7pt;width:173.75pt;height:14.3pt;z-index:-2699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AMGGhK&#10;mgEAACQDAAAOAAAAAAAAAAAAAAAAAC4CAABkcnMvZTJvRG9jLnhtbFBLAQItABQABgAIAAAAIQDe&#10;kTQm4gAAAA0BAAAPAAAAAAAAAAAAAAAAAPQDAABkcnMvZG93bnJldi54bWxQSwUGAAAAAAQABADz&#10;AAAAAwUAAAAA&#10;" filled="f" stroked="f">
              <v:textbox inset="0,0,0,0">
                <w:txbxContent>
                  <w:p w14:paraId="0DFDDF38"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18208" behindDoc="1" locked="0" layoutInCell="1" allowOverlap="1" wp14:anchorId="0DFDDC68" wp14:editId="0DFDDC69">
              <wp:simplePos x="0" y="0"/>
              <wp:positionH relativeFrom="page">
                <wp:posOffset>5992315</wp:posOffset>
              </wp:positionH>
              <wp:positionV relativeFrom="page">
                <wp:posOffset>9432545</wp:posOffset>
              </wp:positionV>
              <wp:extent cx="916940" cy="181610"/>
              <wp:effectExtent l="0" t="0" r="0" b="0"/>
              <wp:wrapNone/>
              <wp:docPr id="999" name="Text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6940" cy="181610"/>
                      </a:xfrm>
                      <a:prstGeom prst="rect">
                        <a:avLst/>
                      </a:prstGeom>
                    </wps:spPr>
                    <wps:txbx>
                      <w:txbxContent>
                        <w:p w14:paraId="0DFDDF39" w14:textId="77777777" w:rsidR="00046465" w:rsidRDefault="008134EB">
                          <w:pPr>
                            <w:pStyle w:val="BodyText"/>
                            <w:spacing w:before="12"/>
                            <w:ind w:left="20"/>
                          </w:pPr>
                          <w:r>
                            <w:t>Page</w:t>
                          </w:r>
                          <w:r>
                            <w:rPr>
                              <w:spacing w:val="-9"/>
                            </w:rPr>
                            <w:t xml:space="preserve"> </w:t>
                          </w:r>
                          <w:r>
                            <w:t>921</w:t>
                          </w:r>
                          <w:r>
                            <w:rPr>
                              <w:spacing w:val="-6"/>
                            </w:rPr>
                            <w:t xml:space="preserve"> </w:t>
                          </w:r>
                          <w:r>
                            <w:t>B-</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C68" id="Textbox 999" o:spid="_x0000_s1346" type="#_x0000_t202" style="position:absolute;margin-left:471.85pt;margin-top:742.7pt;width:72.2pt;height:14.3pt;z-index:-2699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" filled="f" stroked="f">
              <v:textbox inset="0,0,0,0">
                <w:txbxContent>
                  <w:p w14:paraId="0DFDDF39" w14:textId="77777777" w:rsidR="00046465" w:rsidRDefault="008134EB">
                    <w:pPr>
                      <w:pStyle w:val="BodyText"/>
                      <w:spacing w:before="12"/>
                      <w:ind w:left="20"/>
                    </w:pPr>
                    <w:r>
                      <w:t>Page</w:t>
                    </w:r>
                    <w:r>
                      <w:rPr>
                        <w:spacing w:val="-9"/>
                      </w:rPr>
                      <w:t xml:space="preserve"> </w:t>
                    </w:r>
                    <w:r>
                      <w:t>921</w:t>
                    </w:r>
                    <w:r>
                      <w:rPr>
                        <w:spacing w:val="-6"/>
                      </w:rPr>
                      <w:t xml:space="preserve"> </w:t>
                    </w:r>
                    <w:r>
                      <w:t>B-</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1"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20256" behindDoc="1" locked="0" layoutInCell="1" allowOverlap="1" wp14:anchorId="0DFDDC70" wp14:editId="0DFDDC71">
              <wp:simplePos x="0" y="0"/>
              <wp:positionH relativeFrom="page">
                <wp:posOffset>895350</wp:posOffset>
              </wp:positionH>
              <wp:positionV relativeFrom="page">
                <wp:posOffset>9400031</wp:posOffset>
              </wp:positionV>
              <wp:extent cx="5981700" cy="28575"/>
              <wp:effectExtent l="0" t="0" r="0" b="0"/>
              <wp:wrapNone/>
              <wp:docPr id="1003" name="Graphic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092D7F" id="Graphic 1003" o:spid="_x0000_s1026" style="position:absolute;margin-left:70.5pt;margin-top:740.15pt;width:471pt;height:2.25pt;z-index:-269962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20768" behindDoc="1" locked="0" layoutInCell="1" allowOverlap="1" wp14:anchorId="0DFDDC72" wp14:editId="0DFDDC73">
              <wp:simplePos x="0" y="0"/>
              <wp:positionH relativeFrom="page">
                <wp:posOffset>901700</wp:posOffset>
              </wp:positionH>
              <wp:positionV relativeFrom="page">
                <wp:posOffset>9432545</wp:posOffset>
              </wp:positionV>
              <wp:extent cx="678180" cy="181610"/>
              <wp:effectExtent l="0" t="0" r="0" b="0"/>
              <wp:wrapNone/>
              <wp:docPr id="1004" name="Text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3B"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72" id="_x0000_t202" coordsize="21600,21600" o:spt="202" path="m,l,21600r21600,l21600,xe">
              <v:stroke joinstyle="miter"/>
              <v:path gradientshapeok="t" o:connecttype="rect"/>
            </v:shapetype>
            <v:shape id="Textbox 1004" o:spid="_x0000_s1348" type="#_x0000_t202" style="position:absolute;margin-left:71pt;margin-top:742.7pt;width:53.4pt;height:14.3pt;z-index:-26995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4ozJFJkB&#10;AAAjAwAADgAAAAAAAAAAAAAAAAAuAgAAZHJzL2Uyb0RvYy54bWxQSwECLQAUAAYACAAAACEArmr3&#10;Q+EAAAANAQAADwAAAAAAAAAAAAAAAADzAwAAZHJzL2Rvd25yZXYueG1sUEsFBgAAAAAEAAQA8wAA&#10;AAEFAAAAAA==&#10;" filled="f" stroked="f">
              <v:textbox inset="0,0,0,0">
                <w:txbxContent>
                  <w:p w14:paraId="0DFDDF3B"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21280" behindDoc="1" locked="0" layoutInCell="1" allowOverlap="1" wp14:anchorId="0DFDDC74" wp14:editId="0DFDDC75">
              <wp:simplePos x="0" y="0"/>
              <wp:positionH relativeFrom="page">
                <wp:posOffset>2783105</wp:posOffset>
              </wp:positionH>
              <wp:positionV relativeFrom="page">
                <wp:posOffset>9432545</wp:posOffset>
              </wp:positionV>
              <wp:extent cx="2206625" cy="181610"/>
              <wp:effectExtent l="0" t="0" r="0" b="0"/>
              <wp:wrapNone/>
              <wp:docPr id="1005" name="Text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3C"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74" id="Textbox 1005" o:spid="_x0000_s1349" type="#_x0000_t202" style="position:absolute;margin-left:219.15pt;margin-top:742.7pt;width:173.75pt;height:14.3pt;z-index:-26995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AHMsNm&#10;mgEAACQDAAAOAAAAAAAAAAAAAAAAAC4CAABkcnMvZTJvRG9jLnhtbFBLAQItABQABgAIAAAAIQDe&#10;kTQm4gAAAA0BAAAPAAAAAAAAAAAAAAAAAPQDAABkcnMvZG93bnJldi54bWxQSwUGAAAAAAQABADz&#10;AAAAAwUAAAAA&#10;" filled="f" stroked="f">
              <v:textbox inset="0,0,0,0">
                <w:txbxContent>
                  <w:p w14:paraId="0DFDDF3C"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21792" behindDoc="1" locked="0" layoutInCell="1" allowOverlap="1" wp14:anchorId="0DFDDC76" wp14:editId="0DFDDC77">
              <wp:simplePos x="0" y="0"/>
              <wp:positionH relativeFrom="page">
                <wp:posOffset>6124231</wp:posOffset>
              </wp:positionH>
              <wp:positionV relativeFrom="page">
                <wp:posOffset>9432545</wp:posOffset>
              </wp:positionV>
              <wp:extent cx="784860" cy="181610"/>
              <wp:effectExtent l="0" t="0" r="0" b="0"/>
              <wp:wrapNone/>
              <wp:docPr id="1006" name="Text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860" cy="181610"/>
                      </a:xfrm>
                      <a:prstGeom prst="rect">
                        <a:avLst/>
                      </a:prstGeom>
                    </wps:spPr>
                    <wps:txbx>
                      <w:txbxContent>
                        <w:p w14:paraId="0DFDDF3D" w14:textId="77777777" w:rsidR="00046465" w:rsidRDefault="008134EB">
                          <w:pPr>
                            <w:pStyle w:val="BodyText"/>
                            <w:spacing w:before="12"/>
                            <w:ind w:left="20"/>
                          </w:pPr>
                          <w:r>
                            <w:t>Page</w:t>
                          </w:r>
                          <w:r>
                            <w:rPr>
                              <w:spacing w:val="-13"/>
                            </w:rPr>
                            <w:t xml:space="preserve"> </w:t>
                          </w:r>
                          <w:r>
                            <w:t>931-</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C76" id="Textbox 1006" o:spid="_x0000_s1350" type="#_x0000_t202" style="position:absolute;margin-left:482.2pt;margin-top:742.7pt;width:61.8pt;height:14.3pt;z-index:-26994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" filled="f" stroked="f">
              <v:textbox inset="0,0,0,0">
                <w:txbxContent>
                  <w:p w14:paraId="0DFDDF3D" w14:textId="77777777" w:rsidR="00046465" w:rsidRDefault="008134EB">
                    <w:pPr>
                      <w:pStyle w:val="BodyText"/>
                      <w:spacing w:before="12"/>
                      <w:ind w:left="20"/>
                    </w:pPr>
                    <w:r>
                      <w:t>Page</w:t>
                    </w:r>
                    <w:r>
                      <w:rPr>
                        <w:spacing w:val="-13"/>
                      </w:rPr>
                      <w:t xml:space="preserve"> </w:t>
                    </w:r>
                    <w:r>
                      <w:t>931-</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3"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24352" behindDoc="1" locked="0" layoutInCell="1" allowOverlap="1" wp14:anchorId="0DFDDC80" wp14:editId="0DFDDC81">
              <wp:simplePos x="0" y="0"/>
              <wp:positionH relativeFrom="page">
                <wp:posOffset>895350</wp:posOffset>
              </wp:positionH>
              <wp:positionV relativeFrom="page">
                <wp:posOffset>9400031</wp:posOffset>
              </wp:positionV>
              <wp:extent cx="5981700" cy="28575"/>
              <wp:effectExtent l="0" t="0" r="0" b="0"/>
              <wp:wrapNone/>
              <wp:docPr id="1014" name="Graphic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74D486" id="Graphic 1014" o:spid="_x0000_s1026" style="position:absolute;margin-left:70.5pt;margin-top:740.15pt;width:471pt;height:2.25pt;z-index:-269921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24864" behindDoc="1" locked="0" layoutInCell="1" allowOverlap="1" wp14:anchorId="0DFDDC82" wp14:editId="0DFDDC83">
              <wp:simplePos x="0" y="0"/>
              <wp:positionH relativeFrom="page">
                <wp:posOffset>901700</wp:posOffset>
              </wp:positionH>
              <wp:positionV relativeFrom="page">
                <wp:posOffset>9432545</wp:posOffset>
              </wp:positionV>
              <wp:extent cx="678180" cy="181610"/>
              <wp:effectExtent l="0" t="0" r="0" b="0"/>
              <wp:wrapNone/>
              <wp:docPr id="1015" name="Text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40"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82" id="_x0000_t202" coordsize="21600,21600" o:spt="202" path="m,l,21600r21600,l21600,xe">
              <v:stroke joinstyle="miter"/>
              <v:path gradientshapeok="t" o:connecttype="rect"/>
            </v:shapetype>
            <v:shape id="Textbox 1015" o:spid="_x0000_s1353" type="#_x0000_t202" style="position:absolute;margin-left:71pt;margin-top:742.7pt;width:53.4pt;height:14.3pt;z-index:-26991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DOneJkB&#10;AAAjAwAADgAAAAAAAAAAAAAAAAAuAgAAZHJzL2Uyb0RvYy54bWxQSwECLQAUAAYACAAAACEArmr3&#10;Q+EAAAANAQAADwAAAAAAAAAAAAAAAADzAwAAZHJzL2Rvd25yZXYueG1sUEsFBgAAAAAEAAQA8wAA&#10;AAEFAAAAAA==&#10;" filled="f" stroked="f">
              <v:textbox inset="0,0,0,0">
                <w:txbxContent>
                  <w:p w14:paraId="0DFDDF40"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25376" behindDoc="1" locked="0" layoutInCell="1" allowOverlap="1" wp14:anchorId="0DFDDC84" wp14:editId="0DFDDC85">
              <wp:simplePos x="0" y="0"/>
              <wp:positionH relativeFrom="page">
                <wp:posOffset>2783105</wp:posOffset>
              </wp:positionH>
              <wp:positionV relativeFrom="page">
                <wp:posOffset>9432545</wp:posOffset>
              </wp:positionV>
              <wp:extent cx="2206625" cy="181610"/>
              <wp:effectExtent l="0" t="0" r="0" b="0"/>
              <wp:wrapNone/>
              <wp:docPr id="1016" name="Text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41"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84" id="Textbox 1016" o:spid="_x0000_s1354" type="#_x0000_t202" style="position:absolute;margin-left:219.15pt;margin-top:742.7pt;width:173.75pt;height:14.3pt;z-index:-2699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HSUss+Z&#10;AQAAJAMAAA4AAAAAAAAAAAAAAAAALgIAAGRycy9lMm9Eb2MueG1sUEsBAi0AFAAGAAgAAAAhAN6R&#10;NCbiAAAADQEAAA8AAAAAAAAAAAAAAAAA8wMAAGRycy9kb3ducmV2LnhtbFBLBQYAAAAABAAEAPMA&#10;AAACBQAAAAA=&#10;" filled="f" stroked="f">
              <v:textbox inset="0,0,0,0">
                <w:txbxContent>
                  <w:p w14:paraId="0DFDDF41"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25888" behindDoc="1" locked="0" layoutInCell="1" allowOverlap="1" wp14:anchorId="0DFDDC86" wp14:editId="0DFDDC87">
              <wp:simplePos x="0" y="0"/>
              <wp:positionH relativeFrom="page">
                <wp:posOffset>6124231</wp:posOffset>
              </wp:positionH>
              <wp:positionV relativeFrom="page">
                <wp:posOffset>9432545</wp:posOffset>
              </wp:positionV>
              <wp:extent cx="784860" cy="181610"/>
              <wp:effectExtent l="0" t="0" r="0" b="0"/>
              <wp:wrapNone/>
              <wp:docPr id="1017" name="Text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860" cy="181610"/>
                      </a:xfrm>
                      <a:prstGeom prst="rect">
                        <a:avLst/>
                      </a:prstGeom>
                    </wps:spPr>
                    <wps:txbx>
                      <w:txbxContent>
                        <w:p w14:paraId="0DFDDF42" w14:textId="77777777" w:rsidR="00046465" w:rsidRDefault="008134EB">
                          <w:pPr>
                            <w:pStyle w:val="BodyText"/>
                            <w:spacing w:before="12"/>
                            <w:ind w:left="20"/>
                          </w:pPr>
                          <w:r>
                            <w:t>Page</w:t>
                          </w:r>
                          <w:r>
                            <w:rPr>
                              <w:spacing w:val="-13"/>
                            </w:rPr>
                            <w:t xml:space="preserve"> </w:t>
                          </w:r>
                          <w:r>
                            <w:t>931-</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wps:txbx>
                    <wps:bodyPr wrap="square" lIns="0" tIns="0" rIns="0" bIns="0" rtlCol="0">
                      <a:noAutofit/>
                    </wps:bodyPr>
                  </wps:wsp>
                </a:graphicData>
              </a:graphic>
            </wp:anchor>
          </w:drawing>
        </mc:Choice>
        <mc:Fallback>
          <w:pict>
            <v:shape w14:anchorId="0DFDDC86" id="Textbox 1017" o:spid="_x0000_s1355" type="#_x0000_t202" style="position:absolute;margin-left:482.2pt;margin-top:742.7pt;width:61.8pt;height:14.3pt;z-index:-2699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" filled="f" stroked="f">
              <v:textbox inset="0,0,0,0">
                <w:txbxContent>
                  <w:p w14:paraId="0DFDDF42" w14:textId="77777777" w:rsidR="00046465" w:rsidRDefault="008134EB">
                    <w:pPr>
                      <w:pStyle w:val="BodyText"/>
                      <w:spacing w:before="12"/>
                      <w:ind w:left="20"/>
                    </w:pPr>
                    <w:r>
                      <w:t>Page</w:t>
                    </w:r>
                    <w:r>
                      <w:rPr>
                        <w:spacing w:val="-13"/>
                      </w:rPr>
                      <w:t xml:space="preserve"> </w:t>
                    </w:r>
                    <w:r>
                      <w:t>931-</w:t>
                    </w:r>
                    <w:r>
                      <w:rPr>
                        <w:spacing w:val="-10"/>
                      </w:rPr>
                      <w:fldChar w:fldCharType="begin"/>
                    </w:r>
                    <w:r>
                      <w:rPr>
                        <w:spacing w:val="-10"/>
                      </w:rPr>
                      <w:instrText xml:space="preserve"> PAGE </w:instrText>
                    </w:r>
                    <w:r>
                      <w:rPr>
                        <w:spacing w:val="-10"/>
                      </w:rPr>
                      <w:fldChar w:fldCharType="separate"/>
                    </w:r>
                    <w:r>
                      <w:rPr>
                        <w:spacing w:val="-10"/>
                      </w:rPr>
                      <w:t>5</w:t>
                    </w:r>
                    <w:r>
                      <w:rPr>
                        <w:spacing w:val="-10"/>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5"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27936" behindDoc="1" locked="0" layoutInCell="1" allowOverlap="1" wp14:anchorId="0DFDDC8E" wp14:editId="0DFDDC8F">
              <wp:simplePos x="0" y="0"/>
              <wp:positionH relativeFrom="page">
                <wp:posOffset>895350</wp:posOffset>
              </wp:positionH>
              <wp:positionV relativeFrom="page">
                <wp:posOffset>9400031</wp:posOffset>
              </wp:positionV>
              <wp:extent cx="5981700" cy="28575"/>
              <wp:effectExtent l="0" t="0" r="0" b="0"/>
              <wp:wrapNone/>
              <wp:docPr id="1021" name="Graphic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BFC443" id="Graphic 1021" o:spid="_x0000_s1026" style="position:absolute;margin-left:70.5pt;margin-top:740.15pt;width:471pt;height:2.25pt;z-index:-269885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28448" behindDoc="1" locked="0" layoutInCell="1" allowOverlap="1" wp14:anchorId="0DFDDC90" wp14:editId="0DFDDC91">
              <wp:simplePos x="0" y="0"/>
              <wp:positionH relativeFrom="page">
                <wp:posOffset>901700</wp:posOffset>
              </wp:positionH>
              <wp:positionV relativeFrom="page">
                <wp:posOffset>9432545</wp:posOffset>
              </wp:positionV>
              <wp:extent cx="678180" cy="181610"/>
              <wp:effectExtent l="0" t="0" r="0" b="0"/>
              <wp:wrapNone/>
              <wp:docPr id="1022" name="Text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44"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90" id="_x0000_t202" coordsize="21600,21600" o:spt="202" path="m,l,21600r21600,l21600,xe">
              <v:stroke joinstyle="miter"/>
              <v:path gradientshapeok="t" o:connecttype="rect"/>
            </v:shapetype>
            <v:shape id="Textbox 1022" o:spid="_x0000_s1357" type="#_x0000_t202" style="position:absolute;margin-left:71pt;margin-top:742.7pt;width:53.4pt;height:14.3pt;z-index:-2698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wJz1bpkB&#10;AAAjAwAADgAAAAAAAAAAAAAAAAAuAgAAZHJzL2Uyb0RvYy54bWxQSwECLQAUAAYACAAAACEArmr3&#10;Q+EAAAANAQAADwAAAAAAAAAAAAAAAADzAwAAZHJzL2Rvd25yZXYueG1sUEsFBgAAAAAEAAQA8wAA&#10;AAEFAAAAAA==&#10;" filled="f" stroked="f">
              <v:textbox inset="0,0,0,0">
                <w:txbxContent>
                  <w:p w14:paraId="0DFDDF44"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28960" behindDoc="1" locked="0" layoutInCell="1" allowOverlap="1" wp14:anchorId="0DFDDC92" wp14:editId="0DFDDC93">
              <wp:simplePos x="0" y="0"/>
              <wp:positionH relativeFrom="page">
                <wp:posOffset>2783105</wp:posOffset>
              </wp:positionH>
              <wp:positionV relativeFrom="page">
                <wp:posOffset>9432545</wp:posOffset>
              </wp:positionV>
              <wp:extent cx="2206625" cy="181610"/>
              <wp:effectExtent l="0" t="0" r="0" b="0"/>
              <wp:wrapNone/>
              <wp:docPr id="1023" name="Textbox 1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45"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92" id="Textbox 1023" o:spid="_x0000_s1358" type="#_x0000_t202" style="position:absolute;margin-left:219.15pt;margin-top:742.7pt;width:173.75pt;height:14.3pt;z-index:-26987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Crkqb/&#10;mgEAACQDAAAOAAAAAAAAAAAAAAAAAC4CAABkcnMvZTJvRG9jLnhtbFBLAQItABQABgAIAAAAIQDe&#10;kTQm4gAAAA0BAAAPAAAAAAAAAAAAAAAAAPQDAABkcnMvZG93bnJldi54bWxQSwUGAAAAAAQABADz&#10;AAAAAwUAAAAA&#10;" filled="f" stroked="f">
              <v:textbox inset="0,0,0,0">
                <w:txbxContent>
                  <w:p w14:paraId="0DFDDF45"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29472" behindDoc="1" locked="0" layoutInCell="1" allowOverlap="1" wp14:anchorId="0DFDDC94" wp14:editId="0DFDDC95">
              <wp:simplePos x="0" y="0"/>
              <wp:positionH relativeFrom="page">
                <wp:posOffset>6046420</wp:posOffset>
              </wp:positionH>
              <wp:positionV relativeFrom="page">
                <wp:posOffset>9432545</wp:posOffset>
              </wp:positionV>
              <wp:extent cx="862965" cy="181610"/>
              <wp:effectExtent l="0" t="0" r="0" b="0"/>
              <wp:wrapNone/>
              <wp:docPr id="1024" name="Textbox 1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2965" cy="181610"/>
                      </a:xfrm>
                      <a:prstGeom prst="rect">
                        <a:avLst/>
                      </a:prstGeom>
                    </wps:spPr>
                    <wps:txbx>
                      <w:txbxContent>
                        <w:p w14:paraId="0DFDDF46" w14:textId="77777777" w:rsidR="00046465" w:rsidRDefault="008134EB">
                          <w:pPr>
                            <w:pStyle w:val="BodyText"/>
                            <w:spacing w:before="12"/>
                            <w:ind w:left="20"/>
                          </w:pPr>
                          <w:r>
                            <w:t>Page</w:t>
                          </w:r>
                          <w:r>
                            <w:rPr>
                              <w:spacing w:val="-12"/>
                            </w:rPr>
                            <w:t xml:space="preserve"> </w:t>
                          </w:r>
                          <w:r>
                            <w:t>931-</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0DFDDC94" id="Textbox 1024" o:spid="_x0000_s1359" type="#_x0000_t202" style="position:absolute;margin-left:476.1pt;margin-top:742.7pt;width:67.95pt;height:14.3pt;z-index:-2698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" filled="f" stroked="f">
              <v:textbox inset="0,0,0,0">
                <w:txbxContent>
                  <w:p w14:paraId="0DFDDF46" w14:textId="77777777" w:rsidR="00046465" w:rsidRDefault="008134EB">
                    <w:pPr>
                      <w:pStyle w:val="BodyText"/>
                      <w:spacing w:before="12"/>
                      <w:ind w:left="20"/>
                    </w:pPr>
                    <w:r>
                      <w:t>Page</w:t>
                    </w:r>
                    <w:r>
                      <w:rPr>
                        <w:spacing w:val="-12"/>
                      </w:rPr>
                      <w:t xml:space="preserve"> </w:t>
                    </w:r>
                    <w:r>
                      <w:t>931-</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7"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31520" behindDoc="1" locked="0" layoutInCell="1" allowOverlap="1" wp14:anchorId="0DFDDC9C" wp14:editId="0DFDDC9D">
              <wp:simplePos x="0" y="0"/>
              <wp:positionH relativeFrom="page">
                <wp:posOffset>895350</wp:posOffset>
              </wp:positionH>
              <wp:positionV relativeFrom="page">
                <wp:posOffset>9400031</wp:posOffset>
              </wp:positionV>
              <wp:extent cx="5981700" cy="28575"/>
              <wp:effectExtent l="0" t="0" r="0" b="0"/>
              <wp:wrapNone/>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EFEE99" id="Graphic 1029" o:spid="_x0000_s1026" style="position:absolute;margin-left:70.5pt;margin-top:740.15pt;width:471pt;height:2.25pt;z-index:-269849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32032" behindDoc="1" locked="0" layoutInCell="1" allowOverlap="1" wp14:anchorId="0DFDDC9E" wp14:editId="0DFDDC9F">
              <wp:simplePos x="0" y="0"/>
              <wp:positionH relativeFrom="page">
                <wp:posOffset>901700</wp:posOffset>
              </wp:positionH>
              <wp:positionV relativeFrom="page">
                <wp:posOffset>9432545</wp:posOffset>
              </wp:positionV>
              <wp:extent cx="678180" cy="181610"/>
              <wp:effectExtent l="0" t="0" r="0" b="0"/>
              <wp:wrapNone/>
              <wp:docPr id="1030" name="Text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48"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9E" id="_x0000_t202" coordsize="21600,21600" o:spt="202" path="m,l,21600r21600,l21600,xe">
              <v:stroke joinstyle="miter"/>
              <v:path gradientshapeok="t" o:connecttype="rect"/>
            </v:shapetype>
            <v:shape id="Textbox 1030" o:spid="_x0000_s1361" type="#_x0000_t202" style="position:absolute;margin-left:71pt;margin-top:742.7pt;width:53.4pt;height:14.3pt;z-index:-2698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nfs3c5kB&#10;AAAjAwAADgAAAAAAAAAAAAAAAAAuAgAAZHJzL2Uyb0RvYy54bWxQSwECLQAUAAYACAAAACEArmr3&#10;Q+EAAAANAQAADwAAAAAAAAAAAAAAAADzAwAAZHJzL2Rvd25yZXYueG1sUEsFBgAAAAAEAAQA8wAA&#10;AAEFAAAAAA==&#10;" filled="f" stroked="f">
              <v:textbox inset="0,0,0,0">
                <w:txbxContent>
                  <w:p w14:paraId="0DFDDF48"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32544" behindDoc="1" locked="0" layoutInCell="1" allowOverlap="1" wp14:anchorId="0DFDDCA0" wp14:editId="0DFDDCA1">
              <wp:simplePos x="0" y="0"/>
              <wp:positionH relativeFrom="page">
                <wp:posOffset>2783105</wp:posOffset>
              </wp:positionH>
              <wp:positionV relativeFrom="page">
                <wp:posOffset>9432545</wp:posOffset>
              </wp:positionV>
              <wp:extent cx="2206625" cy="181610"/>
              <wp:effectExtent l="0" t="0" r="0" b="0"/>
              <wp:wrapNone/>
              <wp:docPr id="1031" name="Text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49"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A0" id="Textbox 1031" o:spid="_x0000_s1362" type="#_x0000_t202" style="position:absolute;margin-left:219.15pt;margin-top:742.7pt;width:173.75pt;height:14.3pt;z-index:-26983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Pb1ZOKZ&#10;AQAAJAMAAA4AAAAAAAAAAAAAAAAALgIAAGRycy9lMm9Eb2MueG1sUEsBAi0AFAAGAAgAAAAhAN6R&#10;NCbiAAAADQEAAA8AAAAAAAAAAAAAAAAA8wMAAGRycy9kb3ducmV2LnhtbFBLBQYAAAAABAAEAPMA&#10;AAACBQAAAAA=&#10;" filled="f" stroked="f">
              <v:textbox inset="0,0,0,0">
                <w:txbxContent>
                  <w:p w14:paraId="0DFDDF49"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33056" behindDoc="1" locked="0" layoutInCell="1" allowOverlap="1" wp14:anchorId="0DFDDCA2" wp14:editId="0DFDDCA3">
              <wp:simplePos x="0" y="0"/>
              <wp:positionH relativeFrom="page">
                <wp:posOffset>6124231</wp:posOffset>
              </wp:positionH>
              <wp:positionV relativeFrom="page">
                <wp:posOffset>9432545</wp:posOffset>
              </wp:positionV>
              <wp:extent cx="746760" cy="181610"/>
              <wp:effectExtent l="0" t="0" r="0" b="0"/>
              <wp:wrapNone/>
              <wp:docPr id="1032" name="Text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760" cy="181610"/>
                      </a:xfrm>
                      <a:prstGeom prst="rect">
                        <a:avLst/>
                      </a:prstGeom>
                    </wps:spPr>
                    <wps:txbx>
                      <w:txbxContent>
                        <w:p w14:paraId="0DFDDF4A" w14:textId="77777777" w:rsidR="00046465" w:rsidRDefault="008134EB">
                          <w:pPr>
                            <w:pStyle w:val="BodyText"/>
                            <w:spacing w:before="12"/>
                            <w:ind w:left="20"/>
                          </w:pPr>
                          <w:r>
                            <w:t>Page</w:t>
                          </w:r>
                          <w:r>
                            <w:rPr>
                              <w:spacing w:val="-12"/>
                            </w:rPr>
                            <w:t xml:space="preserve"> </w:t>
                          </w:r>
                          <w:r>
                            <w:t>932-</w:t>
                          </w:r>
                          <w:r>
                            <w:rPr>
                              <w:spacing w:val="-10"/>
                            </w:rPr>
                            <w:t>1</w:t>
                          </w:r>
                        </w:p>
                      </w:txbxContent>
                    </wps:txbx>
                    <wps:bodyPr wrap="square" lIns="0" tIns="0" rIns="0" bIns="0" rtlCol="0">
                      <a:noAutofit/>
                    </wps:bodyPr>
                  </wps:wsp>
                </a:graphicData>
              </a:graphic>
            </wp:anchor>
          </w:drawing>
        </mc:Choice>
        <mc:Fallback>
          <w:pict>
            <v:shape w14:anchorId="0DFDDCA2" id="Textbox 1032" o:spid="_x0000_s1363" type="#_x0000_t202" style="position:absolute;margin-left:482.2pt;margin-top:742.7pt;width:58.8pt;height:14.3pt;z-index:-26983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" filled="f" stroked="f">
              <v:textbox inset="0,0,0,0">
                <w:txbxContent>
                  <w:p w14:paraId="0DFDDF4A" w14:textId="77777777" w:rsidR="00046465" w:rsidRDefault="008134EB">
                    <w:pPr>
                      <w:pStyle w:val="BodyText"/>
                      <w:spacing w:before="12"/>
                      <w:ind w:left="20"/>
                    </w:pPr>
                    <w:r>
                      <w:t>Page</w:t>
                    </w:r>
                    <w:r>
                      <w:rPr>
                        <w:spacing w:val="-12"/>
                      </w:rPr>
                      <w:t xml:space="preserve"> </w:t>
                    </w:r>
                    <w:r>
                      <w:t>932-</w:t>
                    </w:r>
                    <w:r>
                      <w:rPr>
                        <w:spacing w:val="-10"/>
                      </w:rPr>
                      <w:t>1</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9"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35104" behindDoc="1" locked="0" layoutInCell="1" allowOverlap="1" wp14:anchorId="0DFDDCAA" wp14:editId="0DFDDCAB">
              <wp:simplePos x="0" y="0"/>
              <wp:positionH relativeFrom="page">
                <wp:posOffset>895350</wp:posOffset>
              </wp:positionH>
              <wp:positionV relativeFrom="page">
                <wp:posOffset>9400031</wp:posOffset>
              </wp:positionV>
              <wp:extent cx="5981700" cy="28575"/>
              <wp:effectExtent l="0" t="0" r="0" b="0"/>
              <wp:wrapNone/>
              <wp:docPr id="1036" name="Graphic 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5BB3B2" id="Graphic 1036" o:spid="_x0000_s1026" style="position:absolute;margin-left:70.5pt;margin-top:740.15pt;width:471pt;height:2.25pt;z-index:-2698137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35616" behindDoc="1" locked="0" layoutInCell="1" allowOverlap="1" wp14:anchorId="0DFDDCAC" wp14:editId="0DFDDCAD">
              <wp:simplePos x="0" y="0"/>
              <wp:positionH relativeFrom="page">
                <wp:posOffset>901700</wp:posOffset>
              </wp:positionH>
              <wp:positionV relativeFrom="page">
                <wp:posOffset>9432545</wp:posOffset>
              </wp:positionV>
              <wp:extent cx="678180" cy="181610"/>
              <wp:effectExtent l="0" t="0" r="0" b="0"/>
              <wp:wrapNone/>
              <wp:docPr id="1037" name="Textbox 10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4C"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AC" id="_x0000_t202" coordsize="21600,21600" o:spt="202" path="m,l,21600r21600,l21600,xe">
              <v:stroke joinstyle="miter"/>
              <v:path gradientshapeok="t" o:connecttype="rect"/>
            </v:shapetype>
            <v:shape id="Textbox 1037" o:spid="_x0000_s1365" type="#_x0000_t202" style="position:absolute;margin-left:71pt;margin-top:742.7pt;width:53.4pt;height:14.3pt;z-index:-269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elJxVZkB&#10;AAAjAwAADgAAAAAAAAAAAAAAAAAuAgAAZHJzL2Uyb0RvYy54bWxQSwECLQAUAAYACAAAACEArmr3&#10;Q+EAAAANAQAADwAAAAAAAAAAAAAAAADzAwAAZHJzL2Rvd25yZXYueG1sUEsFBgAAAAAEAAQA8wAA&#10;AAEFAAAAAA==&#10;" filled="f" stroked="f">
              <v:textbox inset="0,0,0,0">
                <w:txbxContent>
                  <w:p w14:paraId="0DFDDF4C"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36128" behindDoc="1" locked="0" layoutInCell="1" allowOverlap="1" wp14:anchorId="0DFDDCAE" wp14:editId="0DFDDCAF">
              <wp:simplePos x="0" y="0"/>
              <wp:positionH relativeFrom="page">
                <wp:posOffset>2783105</wp:posOffset>
              </wp:positionH>
              <wp:positionV relativeFrom="page">
                <wp:posOffset>9432545</wp:posOffset>
              </wp:positionV>
              <wp:extent cx="2206625" cy="181610"/>
              <wp:effectExtent l="0" t="0" r="0" b="0"/>
              <wp:wrapNone/>
              <wp:docPr id="1038" name="Textbox 1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4D"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AE" id="Textbox 1038" o:spid="_x0000_s1366" type="#_x0000_t202" style="position:absolute;margin-left:219.15pt;margin-top:742.7pt;width:173.75pt;height:14.3pt;z-index:-269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BZrdX+&#10;mgEAACQDAAAOAAAAAAAAAAAAAAAAAC4CAABkcnMvZTJvRG9jLnhtbFBLAQItABQABgAIAAAAIQDe&#10;kTQm4gAAAA0BAAAPAAAAAAAAAAAAAAAAAPQDAABkcnMvZG93bnJldi54bWxQSwUGAAAAAAQABADz&#10;AAAAAwUAAAAA&#10;" filled="f" stroked="f">
              <v:textbox inset="0,0,0,0">
                <w:txbxContent>
                  <w:p w14:paraId="0DFDDF4D"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36640" behindDoc="1" locked="0" layoutInCell="1" allowOverlap="1" wp14:anchorId="0DFDDCB0" wp14:editId="0DFDDCB1">
              <wp:simplePos x="0" y="0"/>
              <wp:positionH relativeFrom="page">
                <wp:posOffset>6124231</wp:posOffset>
              </wp:positionH>
              <wp:positionV relativeFrom="page">
                <wp:posOffset>9432545</wp:posOffset>
              </wp:positionV>
              <wp:extent cx="784860" cy="181610"/>
              <wp:effectExtent l="0" t="0" r="0" b="0"/>
              <wp:wrapNone/>
              <wp:docPr id="1039" name="Textbox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4860" cy="181610"/>
                      </a:xfrm>
                      <a:prstGeom prst="rect">
                        <a:avLst/>
                      </a:prstGeom>
                    </wps:spPr>
                    <wps:txbx>
                      <w:txbxContent>
                        <w:p w14:paraId="0DFDDF4E" w14:textId="77777777" w:rsidR="00046465" w:rsidRDefault="008134EB">
                          <w:pPr>
                            <w:pStyle w:val="BodyText"/>
                            <w:spacing w:before="12"/>
                            <w:ind w:left="20"/>
                          </w:pPr>
                          <w:r>
                            <w:t>Page</w:t>
                          </w:r>
                          <w:r>
                            <w:rPr>
                              <w:spacing w:val="-12"/>
                            </w:rPr>
                            <w:t xml:space="preserve"> </w:t>
                          </w:r>
                          <w:r>
                            <w:t>932-</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CB0" id="Textbox 1039" o:spid="_x0000_s1367" type="#_x0000_t202" style="position:absolute;margin-left:482.2pt;margin-top:742.7pt;width:61.8pt;height:14.3pt;z-index:-269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" filled="f" stroked="f">
              <v:textbox inset="0,0,0,0">
                <w:txbxContent>
                  <w:p w14:paraId="0DFDDF4E" w14:textId="77777777" w:rsidR="00046465" w:rsidRDefault="008134EB">
                    <w:pPr>
                      <w:pStyle w:val="BodyText"/>
                      <w:spacing w:before="12"/>
                      <w:ind w:left="20"/>
                    </w:pPr>
                    <w:r>
                      <w:t>Page</w:t>
                    </w:r>
                    <w:r>
                      <w:rPr>
                        <w:spacing w:val="-12"/>
                      </w:rPr>
                      <w:t xml:space="preserve"> </w:t>
                    </w:r>
                    <w:r>
                      <w:t>932-</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B"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38688" behindDoc="1" locked="0" layoutInCell="1" allowOverlap="1" wp14:anchorId="0DFDDCB8" wp14:editId="0DFDDCB9">
              <wp:simplePos x="0" y="0"/>
              <wp:positionH relativeFrom="page">
                <wp:posOffset>895350</wp:posOffset>
              </wp:positionH>
              <wp:positionV relativeFrom="page">
                <wp:posOffset>9400031</wp:posOffset>
              </wp:positionV>
              <wp:extent cx="5981700" cy="28575"/>
              <wp:effectExtent l="0" t="0" r="0" b="0"/>
              <wp:wrapNone/>
              <wp:docPr id="1044" name="Graphic 1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8B7D09" id="Graphic 1044" o:spid="_x0000_s1026" style="position:absolute;margin-left:70.5pt;margin-top:740.15pt;width:471pt;height:2.25pt;z-index:-2697779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39200" behindDoc="1" locked="0" layoutInCell="1" allowOverlap="1" wp14:anchorId="0DFDDCBA" wp14:editId="0DFDDCBB">
              <wp:simplePos x="0" y="0"/>
              <wp:positionH relativeFrom="page">
                <wp:posOffset>901700</wp:posOffset>
              </wp:positionH>
              <wp:positionV relativeFrom="page">
                <wp:posOffset>9432545</wp:posOffset>
              </wp:positionV>
              <wp:extent cx="678180" cy="181610"/>
              <wp:effectExtent l="0" t="0" r="0" b="0"/>
              <wp:wrapNone/>
              <wp:docPr id="1045" name="Textbox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51"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BA" id="_x0000_t202" coordsize="21600,21600" o:spt="202" path="m,l,21600r21600,l21600,xe">
              <v:stroke joinstyle="miter"/>
              <v:path gradientshapeok="t" o:connecttype="rect"/>
            </v:shapetype>
            <v:shape id="Textbox 1045" o:spid="_x0000_s1369" type="#_x0000_t202" style="position:absolute;margin-left:71pt;margin-top:742.7pt;width:53.4pt;height:14.3pt;z-index:-26977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MqOGb5kB&#10;AAAjAwAADgAAAAAAAAAAAAAAAAAuAgAAZHJzL2Uyb0RvYy54bWxQSwECLQAUAAYACAAAACEArmr3&#10;Q+EAAAANAQAADwAAAAAAAAAAAAAAAADzAwAAZHJzL2Rvd25yZXYueG1sUEsFBgAAAAAEAAQA8wAA&#10;AAEFAAAAAA==&#10;" filled="f" stroked="f">
              <v:textbox inset="0,0,0,0">
                <w:txbxContent>
                  <w:p w14:paraId="0DFDDF51"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39712" behindDoc="1" locked="0" layoutInCell="1" allowOverlap="1" wp14:anchorId="0DFDDCBC" wp14:editId="0DFDDCBD">
              <wp:simplePos x="0" y="0"/>
              <wp:positionH relativeFrom="page">
                <wp:posOffset>2841114</wp:posOffset>
              </wp:positionH>
              <wp:positionV relativeFrom="page">
                <wp:posOffset>9432545</wp:posOffset>
              </wp:positionV>
              <wp:extent cx="2206625" cy="181610"/>
              <wp:effectExtent l="0" t="0" r="0" b="0"/>
              <wp:wrapNone/>
              <wp:docPr id="1046" name="Textbox 1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52" w14:textId="77777777" w:rsidR="00046465" w:rsidRDefault="008134EB">
                          <w:pPr>
                            <w:pStyle w:val="BodyText"/>
                            <w:spacing w:before="12"/>
                            <w:ind w:left="20"/>
                          </w:pPr>
                          <w:r>
                            <w:t>GAO/CIGIE</w:t>
                          </w:r>
                          <w:r>
                            <w:rPr>
                              <w:spacing w:val="-10"/>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BC" id="Textbox 1046" o:spid="_x0000_s1370" type="#_x0000_t202" style="position:absolute;margin-left:223.7pt;margin-top:742.7pt;width:173.75pt;height:14.3pt;z-index:-26976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" filled="f" stroked="f">
              <v:textbox inset="0,0,0,0">
                <w:txbxContent>
                  <w:p w14:paraId="0DFDDF52" w14:textId="77777777" w:rsidR="00046465" w:rsidRDefault="008134EB">
                    <w:pPr>
                      <w:pStyle w:val="BodyText"/>
                      <w:spacing w:before="12"/>
                      <w:ind w:left="20"/>
                    </w:pPr>
                    <w:r>
                      <w:t>GAO/CIGIE</w:t>
                    </w:r>
                    <w:r>
                      <w:rPr>
                        <w:spacing w:val="-10"/>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40224" behindDoc="1" locked="0" layoutInCell="1" allowOverlap="1" wp14:anchorId="0DFDDCBE" wp14:editId="0DFDDCBF">
              <wp:simplePos x="0" y="0"/>
              <wp:positionH relativeFrom="page">
                <wp:posOffset>6122976</wp:posOffset>
              </wp:positionH>
              <wp:positionV relativeFrom="page">
                <wp:posOffset>9432545</wp:posOffset>
              </wp:positionV>
              <wp:extent cx="747395" cy="181610"/>
              <wp:effectExtent l="0" t="0" r="0" b="0"/>
              <wp:wrapNone/>
              <wp:docPr id="1047" name="Textbox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F53" w14:textId="77777777" w:rsidR="00046465" w:rsidRDefault="008134EB">
                          <w:pPr>
                            <w:pStyle w:val="BodyText"/>
                            <w:spacing w:before="12"/>
                            <w:ind w:left="20"/>
                          </w:pPr>
                          <w:r>
                            <w:t>Page</w:t>
                          </w:r>
                          <w:r>
                            <w:rPr>
                              <w:spacing w:val="-11"/>
                            </w:rPr>
                            <w:t xml:space="preserve"> </w:t>
                          </w:r>
                          <w:r>
                            <w:t>941-</w:t>
                          </w:r>
                          <w:r>
                            <w:rPr>
                              <w:spacing w:val="-10"/>
                            </w:rPr>
                            <w:t>1</w:t>
                          </w:r>
                        </w:p>
                      </w:txbxContent>
                    </wps:txbx>
                    <wps:bodyPr wrap="square" lIns="0" tIns="0" rIns="0" bIns="0" rtlCol="0">
                      <a:noAutofit/>
                    </wps:bodyPr>
                  </wps:wsp>
                </a:graphicData>
              </a:graphic>
            </wp:anchor>
          </w:drawing>
        </mc:Choice>
        <mc:Fallback>
          <w:pict>
            <v:shape w14:anchorId="0DFDDCBE" id="Textbox 1047" o:spid="_x0000_s1371" type="#_x0000_t202" style="position:absolute;margin-left:482.1pt;margin-top:742.7pt;width:58.85pt;height:14.3pt;z-index:-26976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" filled="f" stroked="f">
              <v:textbox inset="0,0,0,0">
                <w:txbxContent>
                  <w:p w14:paraId="0DFDDF53" w14:textId="77777777" w:rsidR="00046465" w:rsidRDefault="008134EB">
                    <w:pPr>
                      <w:pStyle w:val="BodyText"/>
                      <w:spacing w:before="12"/>
                      <w:ind w:left="20"/>
                    </w:pPr>
                    <w:r>
                      <w:t>Page</w:t>
                    </w:r>
                    <w:r>
                      <w:rPr>
                        <w:spacing w:val="-11"/>
                      </w:rPr>
                      <w:t xml:space="preserve"> </w:t>
                    </w:r>
                    <w:r>
                      <w:t>941-</w:t>
                    </w:r>
                    <w:r>
                      <w:rPr>
                        <w:spacing w:val="-10"/>
                      </w:rPr>
                      <w:t>1</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D"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42272" behindDoc="1" locked="0" layoutInCell="1" allowOverlap="1" wp14:anchorId="0DFDDCC6" wp14:editId="0DFDDCC7">
              <wp:simplePos x="0" y="0"/>
              <wp:positionH relativeFrom="page">
                <wp:posOffset>895350</wp:posOffset>
              </wp:positionH>
              <wp:positionV relativeFrom="page">
                <wp:posOffset>9400031</wp:posOffset>
              </wp:positionV>
              <wp:extent cx="5981700" cy="28575"/>
              <wp:effectExtent l="0" t="0" r="0" b="0"/>
              <wp:wrapNone/>
              <wp:docPr id="1052" name="Graphic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089C3E" id="Graphic 1052" o:spid="_x0000_s1026" style="position:absolute;margin-left:70.5pt;margin-top:740.15pt;width:471pt;height:2.25pt;z-index:-2697420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42784" behindDoc="1" locked="0" layoutInCell="1" allowOverlap="1" wp14:anchorId="0DFDDCC8" wp14:editId="0DFDDCC9">
              <wp:simplePos x="0" y="0"/>
              <wp:positionH relativeFrom="page">
                <wp:posOffset>901700</wp:posOffset>
              </wp:positionH>
              <wp:positionV relativeFrom="page">
                <wp:posOffset>9432545</wp:posOffset>
              </wp:positionV>
              <wp:extent cx="678180" cy="181610"/>
              <wp:effectExtent l="0" t="0" r="0" b="0"/>
              <wp:wrapNone/>
              <wp:docPr id="1053" name="Text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56"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C8" id="_x0000_t202" coordsize="21600,21600" o:spt="202" path="m,l,21600r21600,l21600,xe">
              <v:stroke joinstyle="miter"/>
              <v:path gradientshapeok="t" o:connecttype="rect"/>
            </v:shapetype>
            <v:shape id="Textbox 1053" o:spid="_x0000_s1373" type="#_x0000_t202" style="position:absolute;margin-left:71pt;margin-top:742.7pt;width:53.4pt;height:14.3pt;z-index:-26973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b8REcpkB&#10;AAAjAwAADgAAAAAAAAAAAAAAAAAuAgAAZHJzL2Uyb0RvYy54bWxQSwECLQAUAAYACAAAACEArmr3&#10;Q+EAAAANAQAADwAAAAAAAAAAAAAAAADzAwAAZHJzL2Rvd25yZXYueG1sUEsFBgAAAAAEAAQA8wAA&#10;AAEFAAAAAA==&#10;" filled="f" stroked="f">
              <v:textbox inset="0,0,0,0">
                <w:txbxContent>
                  <w:p w14:paraId="0DFDDF56"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43296" behindDoc="1" locked="0" layoutInCell="1" allowOverlap="1" wp14:anchorId="0DFDDCCA" wp14:editId="0DFDDCCB">
              <wp:simplePos x="0" y="0"/>
              <wp:positionH relativeFrom="page">
                <wp:posOffset>2841114</wp:posOffset>
              </wp:positionH>
              <wp:positionV relativeFrom="page">
                <wp:posOffset>9432545</wp:posOffset>
              </wp:positionV>
              <wp:extent cx="2206625" cy="181610"/>
              <wp:effectExtent l="0" t="0" r="0" b="0"/>
              <wp:wrapNone/>
              <wp:docPr id="1054" name="Text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57" w14:textId="77777777" w:rsidR="00046465" w:rsidRDefault="008134EB">
                          <w:pPr>
                            <w:pStyle w:val="BodyText"/>
                            <w:spacing w:before="12"/>
                            <w:ind w:left="20"/>
                          </w:pPr>
                          <w:r>
                            <w:t>GAO/CIGIE</w:t>
                          </w:r>
                          <w:r>
                            <w:rPr>
                              <w:spacing w:val="-10"/>
                            </w:rPr>
                            <w:t xml:space="preserve"> </w:t>
                          </w:r>
                          <w:r>
                            <w:t>Financial</w:t>
                          </w:r>
                          <w:r>
                            <w:rPr>
                              <w:spacing w:val="-11"/>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CA" id="Textbox 1054" o:spid="_x0000_s1374" type="#_x0000_t202" style="position:absolute;margin-left:223.7pt;margin-top:742.7pt;width:173.75pt;height:14.3pt;z-index:-26973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" filled="f" stroked="f">
              <v:textbox inset="0,0,0,0">
                <w:txbxContent>
                  <w:p w14:paraId="0DFDDF57" w14:textId="77777777" w:rsidR="00046465" w:rsidRDefault="008134EB">
                    <w:pPr>
                      <w:pStyle w:val="BodyText"/>
                      <w:spacing w:before="12"/>
                      <w:ind w:left="20"/>
                    </w:pPr>
                    <w:r>
                      <w:t>GAO/CIGIE</w:t>
                    </w:r>
                    <w:r>
                      <w:rPr>
                        <w:spacing w:val="-10"/>
                      </w:rPr>
                      <w:t xml:space="preserve"> </w:t>
                    </w:r>
                    <w:r>
                      <w:t>Financial</w:t>
                    </w:r>
                    <w:r>
                      <w:rPr>
                        <w:spacing w:val="-11"/>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43808" behindDoc="1" locked="0" layoutInCell="1" allowOverlap="1" wp14:anchorId="0DFDDCCC" wp14:editId="0DFDDCCD">
              <wp:simplePos x="0" y="0"/>
              <wp:positionH relativeFrom="page">
                <wp:posOffset>6122976</wp:posOffset>
              </wp:positionH>
              <wp:positionV relativeFrom="page">
                <wp:posOffset>9432545</wp:posOffset>
              </wp:positionV>
              <wp:extent cx="785495" cy="181610"/>
              <wp:effectExtent l="0" t="0" r="0" b="0"/>
              <wp:wrapNone/>
              <wp:docPr id="1055" name="Text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5495" cy="181610"/>
                      </a:xfrm>
                      <a:prstGeom prst="rect">
                        <a:avLst/>
                      </a:prstGeom>
                    </wps:spPr>
                    <wps:txbx>
                      <w:txbxContent>
                        <w:p w14:paraId="0DFDDF58" w14:textId="77777777" w:rsidR="00046465" w:rsidRDefault="008134EB">
                          <w:pPr>
                            <w:pStyle w:val="BodyText"/>
                            <w:spacing w:before="12"/>
                            <w:ind w:left="20"/>
                          </w:pPr>
                          <w:r>
                            <w:t>Page</w:t>
                          </w:r>
                          <w:r>
                            <w:rPr>
                              <w:spacing w:val="-11"/>
                            </w:rPr>
                            <w:t xml:space="preserve"> </w:t>
                          </w:r>
                          <w:r>
                            <w:t>941-</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CCC" id="Textbox 1055" o:spid="_x0000_s1375" type="#_x0000_t202" style="position:absolute;margin-left:482.1pt;margin-top:742.7pt;width:61.85pt;height:14.3pt;z-index:-2697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" filled="f" stroked="f">
              <v:textbox inset="0,0,0,0">
                <w:txbxContent>
                  <w:p w14:paraId="0DFDDF58" w14:textId="77777777" w:rsidR="00046465" w:rsidRDefault="008134EB">
                    <w:pPr>
                      <w:pStyle w:val="BodyText"/>
                      <w:spacing w:before="12"/>
                      <w:ind w:left="20"/>
                    </w:pPr>
                    <w:r>
                      <w:t>Page</w:t>
                    </w:r>
                    <w:r>
                      <w:rPr>
                        <w:spacing w:val="-11"/>
                      </w:rPr>
                      <w:t xml:space="preserve"> </w:t>
                    </w:r>
                    <w:r>
                      <w:t>941-</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F" w14:textId="77777777" w:rsidR="00046465" w:rsidRDefault="00046465">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F"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73984" behindDoc="1" locked="0" layoutInCell="1" allowOverlap="1" wp14:anchorId="0DFDD8AE" wp14:editId="0DFDD8AF">
              <wp:simplePos x="0" y="0"/>
              <wp:positionH relativeFrom="page">
                <wp:posOffset>895350</wp:posOffset>
              </wp:positionH>
              <wp:positionV relativeFrom="page">
                <wp:posOffset>9400031</wp:posOffset>
              </wp:positionV>
              <wp:extent cx="5981700" cy="28575"/>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AA5CAD" id="Graphic 106" o:spid="_x0000_s1026" style="position:absolute;margin-left:70.5pt;margin-top:740.15pt;width:471pt;height:2.25pt;z-index:-272424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74496" behindDoc="1" locked="0" layoutInCell="1" allowOverlap="1" wp14:anchorId="0DFDD8B0" wp14:editId="0DFDD8B1">
              <wp:simplePos x="0" y="0"/>
              <wp:positionH relativeFrom="page">
                <wp:posOffset>901700</wp:posOffset>
              </wp:positionH>
              <wp:positionV relativeFrom="page">
                <wp:posOffset>9432545</wp:posOffset>
              </wp:positionV>
              <wp:extent cx="678180" cy="181610"/>
              <wp:effectExtent l="0" t="0" r="0" b="0"/>
              <wp:wrapNone/>
              <wp:docPr id="107"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DE8"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8B0" id="_x0000_t202" coordsize="21600,21600" o:spt="202" path="m,l,21600r21600,l21600,xe">
              <v:stroke joinstyle="miter"/>
              <v:path gradientshapeok="t" o:connecttype="rect"/>
            </v:shapetype>
            <v:shape id="Textbox 107" o:spid="_x0000_s1069" type="#_x0000_t202" style="position:absolute;margin-left:71pt;margin-top:742.7pt;width:53.4pt;height:14.3pt;z-index:-272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" filled="f" stroked="f">
              <v:textbox inset="0,0,0,0">
                <w:txbxContent>
                  <w:p w14:paraId="0DFDDDE8"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075008" behindDoc="1" locked="0" layoutInCell="1" allowOverlap="1" wp14:anchorId="0DFDD8B2" wp14:editId="0DFDD8B3">
              <wp:simplePos x="0" y="0"/>
              <wp:positionH relativeFrom="page">
                <wp:posOffset>2783105</wp:posOffset>
              </wp:positionH>
              <wp:positionV relativeFrom="page">
                <wp:posOffset>9432545</wp:posOffset>
              </wp:positionV>
              <wp:extent cx="2206625" cy="18161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DE9"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8B2" id="Textbox 108" o:spid="_x0000_s1070" type="#_x0000_t202" style="position:absolute;margin-left:219.15pt;margin-top:742.7pt;width:173.75pt;height:14.3pt;z-index:-272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MnlaumZ&#10;AQAAIwMAAA4AAAAAAAAAAAAAAAAALgIAAGRycy9lMm9Eb2MueG1sUEsBAi0AFAAGAAgAAAAhAN6R&#10;NCbiAAAADQEAAA8AAAAAAAAAAAAAAAAA8wMAAGRycy9kb3ducmV2LnhtbFBLBQYAAAAABAAEAPMA&#10;AAACBQAAAAA=&#10;" filled="f" stroked="f">
              <v:textbox inset="0,0,0,0">
                <w:txbxContent>
                  <w:p w14:paraId="0DFDDDE9"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075520" behindDoc="1" locked="0" layoutInCell="1" allowOverlap="1" wp14:anchorId="0DFDD8B4" wp14:editId="0DFDD8B5">
              <wp:simplePos x="0" y="0"/>
              <wp:positionH relativeFrom="page">
                <wp:posOffset>6123116</wp:posOffset>
              </wp:positionH>
              <wp:positionV relativeFrom="page">
                <wp:posOffset>9432545</wp:posOffset>
              </wp:positionV>
              <wp:extent cx="747395" cy="18161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7395" cy="181610"/>
                      </a:xfrm>
                      <a:prstGeom prst="rect">
                        <a:avLst/>
                      </a:prstGeom>
                    </wps:spPr>
                    <wps:txbx>
                      <w:txbxContent>
                        <w:p w14:paraId="0DFDDDEA" w14:textId="77777777" w:rsidR="00046465" w:rsidRDefault="008134EB">
                          <w:pPr>
                            <w:pStyle w:val="BodyText"/>
                            <w:spacing w:before="12"/>
                            <w:ind w:left="20"/>
                          </w:pPr>
                          <w:r>
                            <w:t>Page</w:t>
                          </w:r>
                          <w:r>
                            <w:rPr>
                              <w:spacing w:val="-11"/>
                            </w:rPr>
                            <w:t xml:space="preserve"> </w:t>
                          </w:r>
                          <w:r>
                            <w:t>600-</w:t>
                          </w:r>
                          <w:r>
                            <w:rPr>
                              <w:spacing w:val="-10"/>
                            </w:rPr>
                            <w:t>1</w:t>
                          </w:r>
                        </w:p>
                      </w:txbxContent>
                    </wps:txbx>
                    <wps:bodyPr wrap="square" lIns="0" tIns="0" rIns="0" bIns="0" rtlCol="0">
                      <a:noAutofit/>
                    </wps:bodyPr>
                  </wps:wsp>
                </a:graphicData>
              </a:graphic>
            </wp:anchor>
          </w:drawing>
        </mc:Choice>
        <mc:Fallback>
          <w:pict>
            <v:shape w14:anchorId="0DFDD8B4" id="Textbox 109" o:spid="_x0000_s1071" type="#_x0000_t202" style="position:absolute;margin-left:482.15pt;margin-top:742.7pt;width:58.85pt;height:14.3pt;z-index:-2724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" filled="f" stroked="f">
              <v:textbox inset="0,0,0,0">
                <w:txbxContent>
                  <w:p w14:paraId="0DFDDDEA" w14:textId="77777777" w:rsidR="00046465" w:rsidRDefault="008134EB">
                    <w:pPr>
                      <w:pStyle w:val="BodyText"/>
                      <w:spacing w:before="12"/>
                      <w:ind w:left="20"/>
                    </w:pPr>
                    <w:r>
                      <w:t>Page</w:t>
                    </w:r>
                    <w:r>
                      <w:rPr>
                        <w:spacing w:val="-11"/>
                      </w:rPr>
                      <w:t xml:space="preserve"> </w:t>
                    </w:r>
                    <w:r>
                      <w:t>600-</w:t>
                    </w:r>
                    <w:r>
                      <w:rPr>
                        <w:spacing w:val="-10"/>
                      </w:rPr>
                      <w:t>1</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1"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45856" behindDoc="1" locked="0" layoutInCell="1" allowOverlap="1" wp14:anchorId="0DFDDCD4" wp14:editId="0DFDDCD5">
              <wp:simplePos x="0" y="0"/>
              <wp:positionH relativeFrom="page">
                <wp:posOffset>895350</wp:posOffset>
              </wp:positionH>
              <wp:positionV relativeFrom="page">
                <wp:posOffset>9400031</wp:posOffset>
              </wp:positionV>
              <wp:extent cx="5981700" cy="28575"/>
              <wp:effectExtent l="0" t="0" r="0" b="0"/>
              <wp:wrapNone/>
              <wp:docPr id="1070" name="Graphic 10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E98CE2" id="Graphic 1070" o:spid="_x0000_s1026" style="position:absolute;margin-left:70.5pt;margin-top:740.15pt;width:471pt;height:2.25pt;z-index:-269706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46368" behindDoc="1" locked="0" layoutInCell="1" allowOverlap="1" wp14:anchorId="0DFDDCD6" wp14:editId="0DFDDCD7">
              <wp:simplePos x="0" y="0"/>
              <wp:positionH relativeFrom="page">
                <wp:posOffset>901700</wp:posOffset>
              </wp:positionH>
              <wp:positionV relativeFrom="page">
                <wp:posOffset>9432545</wp:posOffset>
              </wp:positionV>
              <wp:extent cx="678180" cy="181610"/>
              <wp:effectExtent l="0" t="0" r="0" b="0"/>
              <wp:wrapNone/>
              <wp:docPr id="1071" name="Text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5B"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D6" id="_x0000_t202" coordsize="21600,21600" o:spt="202" path="m,l,21600r21600,l21600,xe">
              <v:stroke joinstyle="miter"/>
              <v:path gradientshapeok="t" o:connecttype="rect"/>
            </v:shapetype>
            <v:shape id="Textbox 1071" o:spid="_x0000_s1377" type="#_x0000_t202" style="position:absolute;margin-left:71pt;margin-top:742.7pt;width:53.4pt;height:14.3pt;z-index:-2697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xZkmQEAACMDAAAOAAAAZHJzL2Uyb0RvYy54bWysUs2O0zAQviPxDpbv1M2uVKq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V+3W15o7hVrWuVlXxW10PR6T0xYIXuWgk&#10;clyFgD4+UMrX6/o8MnN5vj4TSdNuEn3byNvbKseY93bQnljMyHk2kn4fNFophq+BDcvhnws8F7tz&#10;gWn4BOWJZE0BPhwSuL5QuOLOFDiJwmx+NTnqv//L1PVtb/8A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V2sWZJkB&#10;AAAjAwAADgAAAAAAAAAAAAAAAAAuAgAAZHJzL2Uyb0RvYy54bWxQSwECLQAUAAYACAAAACEArmr3&#10;Q+EAAAANAQAADwAAAAAAAAAAAAAAAADzAwAAZHJzL2Rvd25yZXYueG1sUEsFBgAAAAAEAAQA8wAA&#10;AAEFAAAAAA==&#10;" filled="f" stroked="f">
              <v:textbox inset="0,0,0,0">
                <w:txbxContent>
                  <w:p w14:paraId="0DFDDF5B"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46880" behindDoc="1" locked="0" layoutInCell="1" allowOverlap="1" wp14:anchorId="0DFDDCD8" wp14:editId="0DFDDCD9">
              <wp:simplePos x="0" y="0"/>
              <wp:positionH relativeFrom="page">
                <wp:posOffset>2783105</wp:posOffset>
              </wp:positionH>
              <wp:positionV relativeFrom="page">
                <wp:posOffset>9432545</wp:posOffset>
              </wp:positionV>
              <wp:extent cx="2206625" cy="181610"/>
              <wp:effectExtent l="0" t="0" r="0" b="0"/>
              <wp:wrapNone/>
              <wp:docPr id="1072" name="Text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5C"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D8" id="Textbox 1072" o:spid="_x0000_s1378" type="#_x0000_t202" style="position:absolute;margin-left:219.15pt;margin-top:742.7pt;width:173.75pt;height:14.3pt;z-index:-26969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A8ZUX1&#10;mgEAACQDAAAOAAAAAAAAAAAAAAAAAC4CAABkcnMvZTJvRG9jLnhtbFBLAQItABQABgAIAAAAIQDe&#10;kTQm4gAAAA0BAAAPAAAAAAAAAAAAAAAAAPQDAABkcnMvZG93bnJldi54bWxQSwUGAAAAAAQABADz&#10;AAAAAwUAAAAA&#10;" filled="f" stroked="f">
              <v:textbox inset="0,0,0,0">
                <w:txbxContent>
                  <w:p w14:paraId="0DFDDF5C"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47392" behindDoc="1" locked="0" layoutInCell="1" allowOverlap="1" wp14:anchorId="0DFDDCDA" wp14:editId="0DFDDCDB">
              <wp:simplePos x="0" y="0"/>
              <wp:positionH relativeFrom="page">
                <wp:posOffset>6045305</wp:posOffset>
              </wp:positionH>
              <wp:positionV relativeFrom="page">
                <wp:posOffset>9432545</wp:posOffset>
              </wp:positionV>
              <wp:extent cx="825500" cy="181610"/>
              <wp:effectExtent l="0" t="0" r="0" b="0"/>
              <wp:wrapNone/>
              <wp:docPr id="1073" name="Textbox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181610"/>
                      </a:xfrm>
                      <a:prstGeom prst="rect">
                        <a:avLst/>
                      </a:prstGeom>
                    </wps:spPr>
                    <wps:txbx>
                      <w:txbxContent>
                        <w:p w14:paraId="0DFDDF5D" w14:textId="77777777" w:rsidR="00046465" w:rsidRDefault="008134EB">
                          <w:pPr>
                            <w:pStyle w:val="BodyText"/>
                            <w:spacing w:before="12"/>
                            <w:ind w:left="20"/>
                          </w:pPr>
                          <w:r>
                            <w:t>Page</w:t>
                          </w:r>
                          <w:r>
                            <w:rPr>
                              <w:spacing w:val="-12"/>
                            </w:rPr>
                            <w:t xml:space="preserve"> </w:t>
                          </w:r>
                          <w:r>
                            <w:fldChar w:fldCharType="begin"/>
                          </w:r>
                          <w:r>
                            <w:instrText xml:space="preserve"> PAGE </w:instrText>
                          </w:r>
                          <w:r>
                            <w:fldChar w:fldCharType="separate"/>
                          </w:r>
                          <w:r>
                            <w:t>1000</w:t>
                          </w:r>
                          <w:r>
                            <w:fldChar w:fldCharType="end"/>
                          </w:r>
                          <w:r>
                            <w:t>-</w:t>
                          </w:r>
                          <w:r>
                            <w:rPr>
                              <w:spacing w:val="-10"/>
                            </w:rPr>
                            <w:t>1</w:t>
                          </w:r>
                        </w:p>
                      </w:txbxContent>
                    </wps:txbx>
                    <wps:bodyPr wrap="square" lIns="0" tIns="0" rIns="0" bIns="0" rtlCol="0">
                      <a:noAutofit/>
                    </wps:bodyPr>
                  </wps:wsp>
                </a:graphicData>
              </a:graphic>
            </wp:anchor>
          </w:drawing>
        </mc:Choice>
        <mc:Fallback>
          <w:pict>
            <v:shape w14:anchorId="0DFDDCDA" id="Textbox 1073" o:spid="_x0000_s1379" type="#_x0000_t202" style="position:absolute;margin-left:476pt;margin-top:742.7pt;width:65pt;height:14.3pt;z-index:-26969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" filled="f" stroked="f">
              <v:textbox inset="0,0,0,0">
                <w:txbxContent>
                  <w:p w14:paraId="0DFDDF5D" w14:textId="77777777" w:rsidR="00046465" w:rsidRDefault="008134EB">
                    <w:pPr>
                      <w:pStyle w:val="BodyText"/>
                      <w:spacing w:before="12"/>
                      <w:ind w:left="20"/>
                    </w:pPr>
                    <w:r>
                      <w:t>Page</w:t>
                    </w:r>
                    <w:r>
                      <w:rPr>
                        <w:spacing w:val="-12"/>
                      </w:rPr>
                      <w:t xml:space="preserve"> </w:t>
                    </w:r>
                    <w:r>
                      <w:fldChar w:fldCharType="begin"/>
                    </w:r>
                    <w:r>
                      <w:instrText xml:space="preserve"> PAGE </w:instrText>
                    </w:r>
                    <w:r>
                      <w:fldChar w:fldCharType="separate"/>
                    </w:r>
                    <w:r>
                      <w:t>1000</w:t>
                    </w:r>
                    <w:r>
                      <w:fldChar w:fldCharType="end"/>
                    </w:r>
                    <w:r>
                      <w:t>-</w:t>
                    </w:r>
                    <w:r>
                      <w:rPr>
                        <w:spacing w:val="-10"/>
                      </w:rPr>
                      <w:t>1</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3"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49440" behindDoc="1" locked="0" layoutInCell="1" allowOverlap="1" wp14:anchorId="0DFDDCE2" wp14:editId="0DFDDCE3">
              <wp:simplePos x="0" y="0"/>
              <wp:positionH relativeFrom="page">
                <wp:posOffset>895350</wp:posOffset>
              </wp:positionH>
              <wp:positionV relativeFrom="page">
                <wp:posOffset>9400031</wp:posOffset>
              </wp:positionV>
              <wp:extent cx="5981700" cy="28575"/>
              <wp:effectExtent l="0" t="0" r="0" b="0"/>
              <wp:wrapNone/>
              <wp:docPr id="1077" name="Graphic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462275" id="Graphic 1077" o:spid="_x0000_s1026" style="position:absolute;margin-left:70.5pt;margin-top:740.15pt;width:471pt;height:2.25pt;z-index:-269670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49952" behindDoc="1" locked="0" layoutInCell="1" allowOverlap="1" wp14:anchorId="0DFDDCE4" wp14:editId="0DFDDCE5">
              <wp:simplePos x="0" y="0"/>
              <wp:positionH relativeFrom="page">
                <wp:posOffset>901700</wp:posOffset>
              </wp:positionH>
              <wp:positionV relativeFrom="page">
                <wp:posOffset>9432545</wp:posOffset>
              </wp:positionV>
              <wp:extent cx="678180" cy="181610"/>
              <wp:effectExtent l="0" t="0" r="0" b="0"/>
              <wp:wrapNone/>
              <wp:docPr id="1078" name="Textbox 10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5F"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E4" id="_x0000_t202" coordsize="21600,21600" o:spt="202" path="m,l,21600r21600,l21600,xe">
              <v:stroke joinstyle="miter"/>
              <v:path gradientshapeok="t" o:connecttype="rect"/>
            </v:shapetype>
            <v:shape id="Textbox 1078" o:spid="_x0000_s1381" type="#_x0000_t202" style="position:absolute;margin-left:71pt;margin-top:742.7pt;width:53.4pt;height:14.3pt;z-index:-2696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CgzUeZkB&#10;AAAjAwAADgAAAAAAAAAAAAAAAAAuAgAAZHJzL2Uyb0RvYy54bWxQSwECLQAUAAYACAAAACEArmr3&#10;Q+EAAAANAQAADwAAAAAAAAAAAAAAAADzAwAAZHJzL2Rvd25yZXYueG1sUEsFBgAAAAAEAAQA8wAA&#10;AAEFAAAAAA==&#10;" filled="f" stroked="f">
              <v:textbox inset="0,0,0,0">
                <w:txbxContent>
                  <w:p w14:paraId="0DFDDF5F"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50464" behindDoc="1" locked="0" layoutInCell="1" allowOverlap="1" wp14:anchorId="0DFDDCE6" wp14:editId="0DFDDCE7">
              <wp:simplePos x="0" y="0"/>
              <wp:positionH relativeFrom="page">
                <wp:posOffset>2783105</wp:posOffset>
              </wp:positionH>
              <wp:positionV relativeFrom="page">
                <wp:posOffset>9432545</wp:posOffset>
              </wp:positionV>
              <wp:extent cx="2206625" cy="181610"/>
              <wp:effectExtent l="0" t="0" r="0" b="0"/>
              <wp:wrapNone/>
              <wp:docPr id="1079" name="Textbox 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60"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E6" id="Textbox 1079" o:spid="_x0000_s1382" type="#_x0000_t202" style="position:absolute;margin-left:219.15pt;margin-top:742.7pt;width:173.75pt;height:14.3pt;z-index:-2696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BhAofo&#10;mgEAACQDAAAOAAAAAAAAAAAAAAAAAC4CAABkcnMvZTJvRG9jLnhtbFBLAQItABQABgAIAAAAIQDe&#10;kTQm4gAAAA0BAAAPAAAAAAAAAAAAAAAAAPQDAABkcnMvZG93bnJldi54bWxQSwUGAAAAAAQABADz&#10;AAAAAwUAAAAA&#10;" filled="f" stroked="f">
              <v:textbox inset="0,0,0,0">
                <w:txbxContent>
                  <w:p w14:paraId="0DFDDF60"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50976" behindDoc="1" locked="0" layoutInCell="1" allowOverlap="1" wp14:anchorId="0DFDDCE8" wp14:editId="0DFDDCE9">
              <wp:simplePos x="0" y="0"/>
              <wp:positionH relativeFrom="page">
                <wp:posOffset>6045305</wp:posOffset>
              </wp:positionH>
              <wp:positionV relativeFrom="page">
                <wp:posOffset>9432545</wp:posOffset>
              </wp:positionV>
              <wp:extent cx="825500" cy="181610"/>
              <wp:effectExtent l="0" t="0" r="0" b="0"/>
              <wp:wrapNone/>
              <wp:docPr id="1080" name="Text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181610"/>
                      </a:xfrm>
                      <a:prstGeom prst="rect">
                        <a:avLst/>
                      </a:prstGeom>
                    </wps:spPr>
                    <wps:txbx>
                      <w:txbxContent>
                        <w:p w14:paraId="0DFDDF61" w14:textId="77777777" w:rsidR="00046465" w:rsidRDefault="008134EB">
                          <w:pPr>
                            <w:pStyle w:val="BodyText"/>
                            <w:spacing w:before="12"/>
                            <w:ind w:left="20"/>
                          </w:pPr>
                          <w:r>
                            <w:t>Page</w:t>
                          </w:r>
                          <w:r>
                            <w:rPr>
                              <w:spacing w:val="-12"/>
                            </w:rPr>
                            <w:t xml:space="preserve"> </w:t>
                          </w:r>
                          <w:r>
                            <w:fldChar w:fldCharType="begin"/>
                          </w:r>
                          <w:r>
                            <w:instrText xml:space="preserve"> PAGE </w:instrText>
                          </w:r>
                          <w:r>
                            <w:fldChar w:fldCharType="separate"/>
                          </w:r>
                          <w:r>
                            <w:t>1001</w:t>
                          </w:r>
                          <w:r>
                            <w:fldChar w:fldCharType="end"/>
                          </w:r>
                          <w:r>
                            <w:t>-</w:t>
                          </w:r>
                          <w:r>
                            <w:rPr>
                              <w:spacing w:val="-10"/>
                            </w:rPr>
                            <w:t>1</w:t>
                          </w:r>
                        </w:p>
                      </w:txbxContent>
                    </wps:txbx>
                    <wps:bodyPr wrap="square" lIns="0" tIns="0" rIns="0" bIns="0" rtlCol="0">
                      <a:noAutofit/>
                    </wps:bodyPr>
                  </wps:wsp>
                </a:graphicData>
              </a:graphic>
            </wp:anchor>
          </w:drawing>
        </mc:Choice>
        <mc:Fallback>
          <w:pict>
            <v:shape w14:anchorId="0DFDDCE8" id="Textbox 1080" o:spid="_x0000_s1383" type="#_x0000_t202" style="position:absolute;margin-left:476pt;margin-top:742.7pt;width:65pt;height:14.3pt;z-index:-2696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" filled="f" stroked="f">
              <v:textbox inset="0,0,0,0">
                <w:txbxContent>
                  <w:p w14:paraId="0DFDDF61" w14:textId="77777777" w:rsidR="00046465" w:rsidRDefault="008134EB">
                    <w:pPr>
                      <w:pStyle w:val="BodyText"/>
                      <w:spacing w:before="12"/>
                      <w:ind w:left="20"/>
                    </w:pPr>
                    <w:r>
                      <w:t>Page</w:t>
                    </w:r>
                    <w:r>
                      <w:rPr>
                        <w:spacing w:val="-12"/>
                      </w:rPr>
                      <w:t xml:space="preserve"> </w:t>
                    </w:r>
                    <w:r>
                      <w:fldChar w:fldCharType="begin"/>
                    </w:r>
                    <w:r>
                      <w:instrText xml:space="preserve"> PAGE </w:instrText>
                    </w:r>
                    <w:r>
                      <w:fldChar w:fldCharType="separate"/>
                    </w:r>
                    <w:r>
                      <w:t>1001</w:t>
                    </w:r>
                    <w:r>
                      <w:fldChar w:fldCharType="end"/>
                    </w:r>
                    <w:r>
                      <w:t>-</w:t>
                    </w:r>
                    <w:r>
                      <w:rPr>
                        <w:spacing w:val="-10"/>
                      </w:rPr>
                      <w:t>1</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5"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53024" behindDoc="1" locked="0" layoutInCell="1" allowOverlap="1" wp14:anchorId="0DFDDCF0" wp14:editId="0DFDDCF1">
              <wp:simplePos x="0" y="0"/>
              <wp:positionH relativeFrom="page">
                <wp:posOffset>895350</wp:posOffset>
              </wp:positionH>
              <wp:positionV relativeFrom="page">
                <wp:posOffset>9400031</wp:posOffset>
              </wp:positionV>
              <wp:extent cx="5981700" cy="28575"/>
              <wp:effectExtent l="0" t="0" r="0" b="0"/>
              <wp:wrapNone/>
              <wp:docPr id="1084" name="Graphic 10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F2D8BB" id="Graphic 1084" o:spid="_x0000_s1026" style="position:absolute;margin-left:70.5pt;margin-top:740.15pt;width:471pt;height:2.25pt;z-index:-269634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53536" behindDoc="1" locked="0" layoutInCell="1" allowOverlap="1" wp14:anchorId="0DFDDCF2" wp14:editId="0DFDDCF3">
              <wp:simplePos x="0" y="0"/>
              <wp:positionH relativeFrom="page">
                <wp:posOffset>901700</wp:posOffset>
              </wp:positionH>
              <wp:positionV relativeFrom="page">
                <wp:posOffset>9432545</wp:posOffset>
              </wp:positionV>
              <wp:extent cx="678180" cy="181610"/>
              <wp:effectExtent l="0" t="0" r="0" b="0"/>
              <wp:wrapNone/>
              <wp:docPr id="1085" name="Textbox 1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63"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CF2" id="_x0000_t202" coordsize="21600,21600" o:spt="202" path="m,l,21600r21600,l21600,xe">
              <v:stroke joinstyle="miter"/>
              <v:path gradientshapeok="t" o:connecttype="rect"/>
            </v:shapetype>
            <v:shape id="Textbox 1085" o:spid="_x0000_s1385" type="#_x0000_t202" style="position:absolute;margin-left:71pt;margin-top:742.7pt;width:53.4pt;height:14.3pt;z-index:-2696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7aWSX5kB&#10;AAAjAwAADgAAAAAAAAAAAAAAAAAuAgAAZHJzL2Uyb0RvYy54bWxQSwECLQAUAAYACAAAACEArmr3&#10;Q+EAAAANAQAADwAAAAAAAAAAAAAAAADzAwAAZHJzL2Rvd25yZXYueG1sUEsFBgAAAAAEAAQA8wAA&#10;AAEFAAAAAA==&#10;" filled="f" stroked="f">
              <v:textbox inset="0,0,0,0">
                <w:txbxContent>
                  <w:p w14:paraId="0DFDDF63"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54048" behindDoc="1" locked="0" layoutInCell="1" allowOverlap="1" wp14:anchorId="0DFDDCF4" wp14:editId="0DFDDCF5">
              <wp:simplePos x="0" y="0"/>
              <wp:positionH relativeFrom="page">
                <wp:posOffset>2783105</wp:posOffset>
              </wp:positionH>
              <wp:positionV relativeFrom="page">
                <wp:posOffset>9432545</wp:posOffset>
              </wp:positionV>
              <wp:extent cx="2206625" cy="181610"/>
              <wp:effectExtent l="0" t="0" r="0" b="0"/>
              <wp:wrapNone/>
              <wp:docPr id="1086" name="Textbox 1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64"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CF4" id="Textbox 1086" o:spid="_x0000_s1386" type="#_x0000_t202" style="position:absolute;margin-left:219.15pt;margin-top:742.7pt;width:173.75pt;height:14.3pt;z-index:-2696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DgtfHh&#10;mgEAACQDAAAOAAAAAAAAAAAAAAAAAC4CAABkcnMvZTJvRG9jLnhtbFBLAQItABQABgAIAAAAIQDe&#10;kTQm4gAAAA0BAAAPAAAAAAAAAAAAAAAAAPQDAABkcnMvZG93bnJldi54bWxQSwUGAAAAAAQABADz&#10;AAAAAwUAAAAA&#10;" filled="f" stroked="f">
              <v:textbox inset="0,0,0,0">
                <w:txbxContent>
                  <w:p w14:paraId="0DFDDF64"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54560" behindDoc="1" locked="0" layoutInCell="1" allowOverlap="1" wp14:anchorId="0DFDDCF6" wp14:editId="0DFDDCF7">
              <wp:simplePos x="0" y="0"/>
              <wp:positionH relativeFrom="page">
                <wp:posOffset>6045305</wp:posOffset>
              </wp:positionH>
              <wp:positionV relativeFrom="page">
                <wp:posOffset>9432545</wp:posOffset>
              </wp:positionV>
              <wp:extent cx="863600" cy="181610"/>
              <wp:effectExtent l="0" t="0" r="0" b="0"/>
              <wp:wrapNone/>
              <wp:docPr id="1087" name="Textbox 1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63600" cy="181610"/>
                      </a:xfrm>
                      <a:prstGeom prst="rect">
                        <a:avLst/>
                      </a:prstGeom>
                    </wps:spPr>
                    <wps:txbx>
                      <w:txbxContent>
                        <w:p w14:paraId="0DFDDF65" w14:textId="77777777" w:rsidR="00046465" w:rsidRDefault="008134EB">
                          <w:pPr>
                            <w:pStyle w:val="BodyText"/>
                            <w:spacing w:before="12"/>
                            <w:ind w:left="20"/>
                          </w:pPr>
                          <w:r>
                            <w:t>Page</w:t>
                          </w:r>
                          <w:r>
                            <w:rPr>
                              <w:spacing w:val="-12"/>
                            </w:rPr>
                            <w:t xml:space="preserve"> </w:t>
                          </w:r>
                          <w:r>
                            <w:t>1001-</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 w14:anchorId="0DFDDCF6" id="Textbox 1087" o:spid="_x0000_s1387" type="#_x0000_t202" style="position:absolute;margin-left:476pt;margin-top:742.7pt;width:68pt;height:14.3pt;z-index:-26961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" filled="f" stroked="f">
              <v:textbox inset="0,0,0,0">
                <w:txbxContent>
                  <w:p w14:paraId="0DFDDF65" w14:textId="77777777" w:rsidR="00046465" w:rsidRDefault="008134EB">
                    <w:pPr>
                      <w:pStyle w:val="BodyText"/>
                      <w:spacing w:before="12"/>
                      <w:ind w:left="20"/>
                    </w:pPr>
                    <w:r>
                      <w:t>Page</w:t>
                    </w:r>
                    <w:r>
                      <w:rPr>
                        <w:spacing w:val="-12"/>
                      </w:rPr>
                      <w:t xml:space="preserve"> </w:t>
                    </w:r>
                    <w:r>
                      <w:t>1001-</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7"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56608" behindDoc="1" locked="0" layoutInCell="1" allowOverlap="1" wp14:anchorId="0DFDDCFE" wp14:editId="0DFDDCFF">
              <wp:simplePos x="0" y="0"/>
              <wp:positionH relativeFrom="page">
                <wp:posOffset>895350</wp:posOffset>
              </wp:positionH>
              <wp:positionV relativeFrom="page">
                <wp:posOffset>9400031</wp:posOffset>
              </wp:positionV>
              <wp:extent cx="5981700" cy="28575"/>
              <wp:effectExtent l="0" t="0" r="0" b="0"/>
              <wp:wrapNone/>
              <wp:docPr id="1092" name="Graphic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AE491B" id="Graphic 1092" o:spid="_x0000_s1026" style="position:absolute;margin-left:70.5pt;margin-top:740.15pt;width:471pt;height:2.25pt;z-index:-269598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57120" behindDoc="1" locked="0" layoutInCell="1" allowOverlap="1" wp14:anchorId="0DFDDD00" wp14:editId="0DFDDD01">
              <wp:simplePos x="0" y="0"/>
              <wp:positionH relativeFrom="page">
                <wp:posOffset>901700</wp:posOffset>
              </wp:positionH>
              <wp:positionV relativeFrom="page">
                <wp:posOffset>9432545</wp:posOffset>
              </wp:positionV>
              <wp:extent cx="678180" cy="181610"/>
              <wp:effectExtent l="0" t="0" r="0" b="0"/>
              <wp:wrapNone/>
              <wp:docPr id="1093" name="Textbox 1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68"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D00" id="_x0000_t202" coordsize="21600,21600" o:spt="202" path="m,l,21600r21600,l21600,xe">
              <v:stroke joinstyle="miter"/>
              <v:path gradientshapeok="t" o:connecttype="rect"/>
            </v:shapetype>
            <v:shape id="Textbox 1093" o:spid="_x0000_s1389" type="#_x0000_t202" style="position:absolute;margin-left:71pt;margin-top:742.7pt;width:53.4pt;height:14.3pt;z-index:-26959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i7uicJkB&#10;AAAjAwAADgAAAAAAAAAAAAAAAAAuAgAAZHJzL2Uyb0RvYy54bWxQSwECLQAUAAYACAAAACEArmr3&#10;Q+EAAAANAQAADwAAAAAAAAAAAAAAAADzAwAAZHJzL2Rvd25yZXYueG1sUEsFBgAAAAAEAAQA8wAA&#10;AAEFAAAAAA==&#10;" filled="f" stroked="f">
              <v:textbox inset="0,0,0,0">
                <w:txbxContent>
                  <w:p w14:paraId="0DFDDF68"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57632" behindDoc="1" locked="0" layoutInCell="1" allowOverlap="1" wp14:anchorId="0DFDDD02" wp14:editId="0DFDDD03">
              <wp:simplePos x="0" y="0"/>
              <wp:positionH relativeFrom="page">
                <wp:posOffset>2783105</wp:posOffset>
              </wp:positionH>
              <wp:positionV relativeFrom="page">
                <wp:posOffset>9432545</wp:posOffset>
              </wp:positionV>
              <wp:extent cx="2206625" cy="181610"/>
              <wp:effectExtent l="0" t="0" r="0" b="0"/>
              <wp:wrapNone/>
              <wp:docPr id="1094" name="Text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69"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D02" id="Textbox 1094" o:spid="_x0000_s1390" type="#_x0000_t202" style="position:absolute;margin-left:219.15pt;margin-top:742.7pt;width:173.75pt;height:14.3pt;z-index:-26958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C90jP8&#10;mgEAACQDAAAOAAAAAAAAAAAAAAAAAC4CAABkcnMvZTJvRG9jLnhtbFBLAQItABQABgAIAAAAIQDe&#10;kTQm4gAAAA0BAAAPAAAAAAAAAAAAAAAAAPQDAABkcnMvZG93bnJldi54bWxQSwUGAAAAAAQABADz&#10;AAAAAwUAAAAA&#10;" filled="f" stroked="f">
              <v:textbox inset="0,0,0,0">
                <w:txbxContent>
                  <w:p w14:paraId="0DFDDF69"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58144" behindDoc="1" locked="0" layoutInCell="1" allowOverlap="1" wp14:anchorId="0DFDDD04" wp14:editId="0DFDDD05">
              <wp:simplePos x="0" y="0"/>
              <wp:positionH relativeFrom="page">
                <wp:posOffset>5913389</wp:posOffset>
              </wp:positionH>
              <wp:positionV relativeFrom="page">
                <wp:posOffset>9432545</wp:posOffset>
              </wp:positionV>
              <wp:extent cx="995680" cy="181610"/>
              <wp:effectExtent l="0" t="0" r="0" b="0"/>
              <wp:wrapNone/>
              <wp:docPr id="1095" name="Textbox 1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181610"/>
                      </a:xfrm>
                      <a:prstGeom prst="rect">
                        <a:avLst/>
                      </a:prstGeom>
                    </wps:spPr>
                    <wps:txbx>
                      <w:txbxContent>
                        <w:p w14:paraId="0DFDDF6A" w14:textId="77777777" w:rsidR="00046465" w:rsidRDefault="008134EB">
                          <w:pPr>
                            <w:pStyle w:val="BodyText"/>
                            <w:spacing w:before="12"/>
                            <w:ind w:left="20"/>
                          </w:pPr>
                          <w:r>
                            <w:t>Page</w:t>
                          </w:r>
                          <w:r>
                            <w:rPr>
                              <w:spacing w:val="-7"/>
                            </w:rPr>
                            <w:t xml:space="preserve"> </w:t>
                          </w:r>
                          <w:r>
                            <w:t>1001</w:t>
                          </w:r>
                          <w:r>
                            <w:rPr>
                              <w:spacing w:val="-7"/>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D04" id="Textbox 1095" o:spid="_x0000_s1391" type="#_x0000_t202" style="position:absolute;margin-left:465.6pt;margin-top:742.7pt;width:78.4pt;height:14.3pt;z-index:-26958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" filled="f" stroked="f">
              <v:textbox inset="0,0,0,0">
                <w:txbxContent>
                  <w:p w14:paraId="0DFDDF6A" w14:textId="77777777" w:rsidR="00046465" w:rsidRDefault="008134EB">
                    <w:pPr>
                      <w:pStyle w:val="BodyText"/>
                      <w:spacing w:before="12"/>
                      <w:ind w:left="20"/>
                    </w:pPr>
                    <w:r>
                      <w:t>Page</w:t>
                    </w:r>
                    <w:r>
                      <w:rPr>
                        <w:spacing w:val="-7"/>
                      </w:rPr>
                      <w:t xml:space="preserve"> </w:t>
                    </w:r>
                    <w:r>
                      <w:t>1001</w:t>
                    </w:r>
                    <w:r>
                      <w:rPr>
                        <w:spacing w:val="-7"/>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9"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60192" behindDoc="1" locked="0" layoutInCell="1" allowOverlap="1" wp14:anchorId="0DFDDD0C" wp14:editId="0DFDDD0D">
              <wp:simplePos x="0" y="0"/>
              <wp:positionH relativeFrom="page">
                <wp:posOffset>895350</wp:posOffset>
              </wp:positionH>
              <wp:positionV relativeFrom="page">
                <wp:posOffset>9400031</wp:posOffset>
              </wp:positionV>
              <wp:extent cx="5981700" cy="28575"/>
              <wp:effectExtent l="0" t="0" r="0" b="0"/>
              <wp:wrapNone/>
              <wp:docPr id="1101" name="Graphic 1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507437" id="Graphic 1101" o:spid="_x0000_s1026" style="position:absolute;margin-left:70.5pt;margin-top:740.15pt;width:471pt;height:2.25pt;z-index:-2695628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60704" behindDoc="1" locked="0" layoutInCell="1" allowOverlap="1" wp14:anchorId="0DFDDD0E" wp14:editId="0DFDDD0F">
              <wp:simplePos x="0" y="0"/>
              <wp:positionH relativeFrom="page">
                <wp:posOffset>901700</wp:posOffset>
              </wp:positionH>
              <wp:positionV relativeFrom="page">
                <wp:posOffset>9432545</wp:posOffset>
              </wp:positionV>
              <wp:extent cx="678180" cy="181610"/>
              <wp:effectExtent l="0" t="0" r="0" b="0"/>
              <wp:wrapNone/>
              <wp:docPr id="1102" name="Textbox 1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6D"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D0E" id="_x0000_t202" coordsize="21600,21600" o:spt="202" path="m,l,21600r21600,l21600,xe">
              <v:stroke joinstyle="miter"/>
              <v:path gradientshapeok="t" o:connecttype="rect"/>
            </v:shapetype>
            <v:shape id="Textbox 1102" o:spid="_x0000_s1393" type="#_x0000_t202" style="position:absolute;margin-left:71pt;margin-top:742.7pt;width:53.4pt;height:14.3pt;z-index:-26955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1txgbZkB&#10;AAAjAwAADgAAAAAAAAAAAAAAAAAuAgAAZHJzL2Uyb0RvYy54bWxQSwECLQAUAAYACAAAACEArmr3&#10;Q+EAAAANAQAADwAAAAAAAAAAAAAAAADzAwAAZHJzL2Rvd25yZXYueG1sUEsFBgAAAAAEAAQA8wAA&#10;AAEFAAAAAA==&#10;" filled="f" stroked="f">
              <v:textbox inset="0,0,0,0">
                <w:txbxContent>
                  <w:p w14:paraId="0DFDDF6D"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61216" behindDoc="1" locked="0" layoutInCell="1" allowOverlap="1" wp14:anchorId="0DFDDD10" wp14:editId="0DFDDD11">
              <wp:simplePos x="0" y="0"/>
              <wp:positionH relativeFrom="page">
                <wp:posOffset>2783105</wp:posOffset>
              </wp:positionH>
              <wp:positionV relativeFrom="page">
                <wp:posOffset>9432545</wp:posOffset>
              </wp:positionV>
              <wp:extent cx="2206625" cy="181610"/>
              <wp:effectExtent l="0" t="0" r="0" b="0"/>
              <wp:wrapNone/>
              <wp:docPr id="1103" name="Textbox 1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6E"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D10" id="Textbox 1103" o:spid="_x0000_s1394" type="#_x0000_t202" style="position:absolute;margin-left:219.15pt;margin-top:742.7pt;width:173.75pt;height:14.3pt;z-index:-2695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Fp7ddqZ&#10;AQAAJAMAAA4AAAAAAAAAAAAAAAAALgIAAGRycy9lMm9Eb2MueG1sUEsBAi0AFAAGAAgAAAAhAN6R&#10;NCbiAAAADQEAAA8AAAAAAAAAAAAAAAAA8wMAAGRycy9kb3ducmV2LnhtbFBLBQYAAAAABAAEAPMA&#10;AAACBQAAAAA=&#10;" filled="f" stroked="f">
              <v:textbox inset="0,0,0,0">
                <w:txbxContent>
                  <w:p w14:paraId="0DFDDF6E"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61728" behindDoc="1" locked="0" layoutInCell="1" allowOverlap="1" wp14:anchorId="0DFDDD12" wp14:editId="0DFDDD13">
              <wp:simplePos x="0" y="0"/>
              <wp:positionH relativeFrom="page">
                <wp:posOffset>5967494</wp:posOffset>
              </wp:positionH>
              <wp:positionV relativeFrom="page">
                <wp:posOffset>9432545</wp:posOffset>
              </wp:positionV>
              <wp:extent cx="941069" cy="181610"/>
              <wp:effectExtent l="0" t="0" r="0" b="0"/>
              <wp:wrapNone/>
              <wp:docPr id="1104" name="Text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1069" cy="181610"/>
                      </a:xfrm>
                      <a:prstGeom prst="rect">
                        <a:avLst/>
                      </a:prstGeom>
                    </wps:spPr>
                    <wps:txbx>
                      <w:txbxContent>
                        <w:p w14:paraId="0DFDDF6F" w14:textId="77777777" w:rsidR="00046465" w:rsidRDefault="008134EB">
                          <w:pPr>
                            <w:pStyle w:val="BodyText"/>
                            <w:spacing w:before="12"/>
                            <w:ind w:left="20"/>
                          </w:pPr>
                          <w:r>
                            <w:t>Page</w:t>
                          </w:r>
                          <w:r>
                            <w:rPr>
                              <w:spacing w:val="-12"/>
                            </w:rPr>
                            <w:t xml:space="preserve"> </w:t>
                          </w:r>
                          <w:r>
                            <w:t>1002-</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 w14:anchorId="0DFDDD12" id="Textbox 1104" o:spid="_x0000_s1395" type="#_x0000_t202" style="position:absolute;margin-left:469.9pt;margin-top:742.7pt;width:74.1pt;height:14.3pt;z-index:-26954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" filled="f" stroked="f">
              <v:textbox inset="0,0,0,0">
                <w:txbxContent>
                  <w:p w14:paraId="0DFDDF6F" w14:textId="77777777" w:rsidR="00046465" w:rsidRDefault="008134EB">
                    <w:pPr>
                      <w:pStyle w:val="BodyText"/>
                      <w:spacing w:before="12"/>
                      <w:ind w:left="20"/>
                    </w:pPr>
                    <w:r>
                      <w:t>Page</w:t>
                    </w:r>
                    <w:r>
                      <w:rPr>
                        <w:spacing w:val="-12"/>
                      </w:rPr>
                      <w:t xml:space="preserve"> </w:t>
                    </w:r>
                    <w:r>
                      <w:t>1002-</w:t>
                    </w: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B"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63776" behindDoc="1" locked="0" layoutInCell="1" allowOverlap="1" wp14:anchorId="0DFDDD1A" wp14:editId="0DFDDD1B">
              <wp:simplePos x="0" y="0"/>
              <wp:positionH relativeFrom="page">
                <wp:posOffset>895350</wp:posOffset>
              </wp:positionH>
              <wp:positionV relativeFrom="page">
                <wp:posOffset>9400031</wp:posOffset>
              </wp:positionV>
              <wp:extent cx="5981700" cy="28575"/>
              <wp:effectExtent l="0" t="0" r="0" b="0"/>
              <wp:wrapNone/>
              <wp:docPr id="1115" name="Graphic 1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ABEBB7" id="Graphic 1115" o:spid="_x0000_s1026" style="position:absolute;margin-left:70.5pt;margin-top:740.15pt;width:471pt;height:2.25pt;z-index:-2695270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64288" behindDoc="1" locked="0" layoutInCell="1" allowOverlap="1" wp14:anchorId="0DFDDD1C" wp14:editId="0DFDDD1D">
              <wp:simplePos x="0" y="0"/>
              <wp:positionH relativeFrom="page">
                <wp:posOffset>901700</wp:posOffset>
              </wp:positionH>
              <wp:positionV relativeFrom="page">
                <wp:posOffset>9432545</wp:posOffset>
              </wp:positionV>
              <wp:extent cx="678180" cy="181610"/>
              <wp:effectExtent l="0" t="0" r="0" b="0"/>
              <wp:wrapNone/>
              <wp:docPr id="1116" name="Text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72"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D1C" id="_x0000_t202" coordsize="21600,21600" o:spt="202" path="m,l,21600r21600,l21600,xe">
              <v:stroke joinstyle="miter"/>
              <v:path gradientshapeok="t" o:connecttype="rect"/>
            </v:shapetype>
            <v:shape id="Textbox 1116" o:spid="_x0000_s1397" type="#_x0000_t202" style="position:absolute;margin-left:71pt;margin-top:742.7pt;width:53.4pt;height:14.3pt;z-index:-2695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7nMye5kB&#10;AAAjAwAADgAAAAAAAAAAAAAAAAAuAgAAZHJzL2Uyb0RvYy54bWxQSwECLQAUAAYACAAAACEArmr3&#10;Q+EAAAANAQAADwAAAAAAAAAAAAAAAADzAwAAZHJzL2Rvd25yZXYueG1sUEsFBgAAAAAEAAQA8wAA&#10;AAEFAAAAAA==&#10;" filled="f" stroked="f">
              <v:textbox inset="0,0,0,0">
                <w:txbxContent>
                  <w:p w14:paraId="0DFDDF72"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64800" behindDoc="1" locked="0" layoutInCell="1" allowOverlap="1" wp14:anchorId="0DFDDD1E" wp14:editId="0DFDDD1F">
              <wp:simplePos x="0" y="0"/>
              <wp:positionH relativeFrom="page">
                <wp:posOffset>2783105</wp:posOffset>
              </wp:positionH>
              <wp:positionV relativeFrom="page">
                <wp:posOffset>9432545</wp:posOffset>
              </wp:positionV>
              <wp:extent cx="2206625" cy="181610"/>
              <wp:effectExtent l="0" t="0" r="0" b="0"/>
              <wp:wrapNone/>
              <wp:docPr id="1117" name="Text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73"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D1E" id="Textbox 1117" o:spid="_x0000_s1398" type="#_x0000_t202" style="position:absolute;margin-left:219.15pt;margin-top:742.7pt;width:173.75pt;height:14.3pt;z-index:-2695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CFfWHq&#10;mgEAACQDAAAOAAAAAAAAAAAAAAAAAC4CAABkcnMvZTJvRG9jLnhtbFBLAQItABQABgAIAAAAIQDe&#10;kTQm4gAAAA0BAAAPAAAAAAAAAAAAAAAAAPQDAABkcnMvZG93bnJldi54bWxQSwUGAAAAAAQABADz&#10;AAAAAwUAAAAA&#10;" filled="f" stroked="f">
              <v:textbox inset="0,0,0,0">
                <w:txbxContent>
                  <w:p w14:paraId="0DFDDF73"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65312" behindDoc="1" locked="0" layoutInCell="1" allowOverlap="1" wp14:anchorId="0DFDDD20" wp14:editId="0DFDDD21">
              <wp:simplePos x="0" y="0"/>
              <wp:positionH relativeFrom="page">
                <wp:posOffset>5913389</wp:posOffset>
              </wp:positionH>
              <wp:positionV relativeFrom="page">
                <wp:posOffset>9432545</wp:posOffset>
              </wp:positionV>
              <wp:extent cx="995680" cy="181610"/>
              <wp:effectExtent l="0" t="0" r="0" b="0"/>
              <wp:wrapNone/>
              <wp:docPr id="1118" name="Textbox 1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181610"/>
                      </a:xfrm>
                      <a:prstGeom prst="rect">
                        <a:avLst/>
                      </a:prstGeom>
                    </wps:spPr>
                    <wps:txbx>
                      <w:txbxContent>
                        <w:p w14:paraId="0DFDDF74" w14:textId="77777777" w:rsidR="00046465" w:rsidRDefault="008134EB">
                          <w:pPr>
                            <w:pStyle w:val="BodyText"/>
                            <w:spacing w:before="12"/>
                            <w:ind w:left="20"/>
                          </w:pPr>
                          <w:r>
                            <w:t>Page</w:t>
                          </w:r>
                          <w:r>
                            <w:rPr>
                              <w:spacing w:val="-7"/>
                            </w:rPr>
                            <w:t xml:space="preserve"> </w:t>
                          </w:r>
                          <w:r>
                            <w:t>1002</w:t>
                          </w:r>
                          <w:r>
                            <w:rPr>
                              <w:spacing w:val="-7"/>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D20" id="Textbox 1118" o:spid="_x0000_s1399" type="#_x0000_t202" style="position:absolute;margin-left:465.6pt;margin-top:742.7pt;width:78.4pt;height:14.3pt;z-index:-2695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" filled="f" stroked="f">
              <v:textbox inset="0,0,0,0">
                <w:txbxContent>
                  <w:p w14:paraId="0DFDDF74" w14:textId="77777777" w:rsidR="00046465" w:rsidRDefault="008134EB">
                    <w:pPr>
                      <w:pStyle w:val="BodyText"/>
                      <w:spacing w:before="12"/>
                      <w:ind w:left="20"/>
                    </w:pPr>
                    <w:r>
                      <w:t>Page</w:t>
                    </w:r>
                    <w:r>
                      <w:rPr>
                        <w:spacing w:val="-7"/>
                      </w:rPr>
                      <w:t xml:space="preserve"> </w:t>
                    </w:r>
                    <w:r>
                      <w:t>1002</w:t>
                    </w:r>
                    <w:r>
                      <w:rPr>
                        <w:spacing w:val="-7"/>
                      </w:rPr>
                      <w:t xml:space="preserve"> </w:t>
                    </w:r>
                    <w:r>
                      <w:t>A-</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D"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67360" behindDoc="1" locked="0" layoutInCell="1" allowOverlap="1" wp14:anchorId="0DFDDD28" wp14:editId="0DFDDD29">
              <wp:simplePos x="0" y="0"/>
              <wp:positionH relativeFrom="page">
                <wp:posOffset>895350</wp:posOffset>
              </wp:positionH>
              <wp:positionV relativeFrom="page">
                <wp:posOffset>9400031</wp:posOffset>
              </wp:positionV>
              <wp:extent cx="5981700" cy="28575"/>
              <wp:effectExtent l="0" t="0" r="0" b="0"/>
              <wp:wrapNone/>
              <wp:docPr id="1122" name="Graphic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A72AF2" id="Graphic 1122" o:spid="_x0000_s1026" style="position:absolute;margin-left:70.5pt;margin-top:740.15pt;width:471pt;height:2.25pt;z-index:-2694912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67872" behindDoc="1" locked="0" layoutInCell="1" allowOverlap="1" wp14:anchorId="0DFDDD2A" wp14:editId="0DFDDD2B">
              <wp:simplePos x="0" y="0"/>
              <wp:positionH relativeFrom="page">
                <wp:posOffset>901700</wp:posOffset>
              </wp:positionH>
              <wp:positionV relativeFrom="page">
                <wp:posOffset>9432545</wp:posOffset>
              </wp:positionV>
              <wp:extent cx="678180" cy="181610"/>
              <wp:effectExtent l="0" t="0" r="0" b="0"/>
              <wp:wrapNone/>
              <wp:docPr id="1123" name="Textbox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77"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D2A" id="_x0000_t202" coordsize="21600,21600" o:spt="202" path="m,l,21600r21600,l21600,xe">
              <v:stroke joinstyle="miter"/>
              <v:path gradientshapeok="t" o:connecttype="rect"/>
            </v:shapetype>
            <v:shape id="Textbox 1123" o:spid="_x0000_s1401" type="#_x0000_t202" style="position:absolute;margin-left:71pt;margin-top:742.7pt;width:53.4pt;height:14.3pt;z-index:-269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sxTwZpkB&#10;AAAjAwAADgAAAAAAAAAAAAAAAAAuAgAAZHJzL2Uyb0RvYy54bWxQSwECLQAUAAYACAAAACEArmr3&#10;Q+EAAAANAQAADwAAAAAAAAAAAAAAAADzAwAAZHJzL2Rvd25yZXYueG1sUEsFBgAAAAAEAAQA8wAA&#10;AAEFAAAAAA==&#10;" filled="f" stroked="f">
              <v:textbox inset="0,0,0,0">
                <w:txbxContent>
                  <w:p w14:paraId="0DFDDF77"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68384" behindDoc="1" locked="0" layoutInCell="1" allowOverlap="1" wp14:anchorId="0DFDDD2C" wp14:editId="0DFDDD2D">
              <wp:simplePos x="0" y="0"/>
              <wp:positionH relativeFrom="page">
                <wp:posOffset>2783105</wp:posOffset>
              </wp:positionH>
              <wp:positionV relativeFrom="page">
                <wp:posOffset>9432545</wp:posOffset>
              </wp:positionV>
              <wp:extent cx="2206625" cy="181610"/>
              <wp:effectExtent l="0" t="0" r="0" b="0"/>
              <wp:wrapNone/>
              <wp:docPr id="1124" name="Textbox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78"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D2C" id="Textbox 1124" o:spid="_x0000_s1402" type="#_x0000_t202" style="position:absolute;margin-left:219.15pt;margin-top:742.7pt;width:173.75pt;height:14.3pt;z-index:-269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" filled="f" stroked="f">
              <v:textbox inset="0,0,0,0">
                <w:txbxContent>
                  <w:p w14:paraId="0DFDDF78"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68896" behindDoc="1" locked="0" layoutInCell="1" allowOverlap="1" wp14:anchorId="0DFDDD2E" wp14:editId="0DFDDD2F">
              <wp:simplePos x="0" y="0"/>
              <wp:positionH relativeFrom="page">
                <wp:posOffset>5913389</wp:posOffset>
              </wp:positionH>
              <wp:positionV relativeFrom="page">
                <wp:posOffset>9432545</wp:posOffset>
              </wp:positionV>
              <wp:extent cx="995680" cy="181610"/>
              <wp:effectExtent l="0" t="0" r="0" b="0"/>
              <wp:wrapNone/>
              <wp:docPr id="1125" name="Text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5680" cy="181610"/>
                      </a:xfrm>
                      <a:prstGeom prst="rect">
                        <a:avLst/>
                      </a:prstGeom>
                    </wps:spPr>
                    <wps:txbx>
                      <w:txbxContent>
                        <w:p w14:paraId="0DFDDF79" w14:textId="77777777" w:rsidR="00046465" w:rsidRDefault="008134EB">
                          <w:pPr>
                            <w:pStyle w:val="BodyText"/>
                            <w:spacing w:before="12"/>
                            <w:ind w:left="20"/>
                          </w:pPr>
                          <w:r>
                            <w:t>Page</w:t>
                          </w:r>
                          <w:r>
                            <w:rPr>
                              <w:spacing w:val="-7"/>
                            </w:rPr>
                            <w:t xml:space="preserve"> </w:t>
                          </w:r>
                          <w:r>
                            <w:t>1002</w:t>
                          </w:r>
                          <w:r>
                            <w:rPr>
                              <w:spacing w:val="-7"/>
                            </w:rPr>
                            <w:t xml:space="preserve"> </w:t>
                          </w:r>
                          <w:r>
                            <w:t>B-</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D2E" id="Textbox 1125" o:spid="_x0000_s1403" type="#_x0000_t202" style="position:absolute;margin-left:465.6pt;margin-top:742.7pt;width:78.4pt;height:14.3pt;z-index:-269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" filled="f" stroked="f">
              <v:textbox inset="0,0,0,0">
                <w:txbxContent>
                  <w:p w14:paraId="0DFDDF79" w14:textId="77777777" w:rsidR="00046465" w:rsidRDefault="008134EB">
                    <w:pPr>
                      <w:pStyle w:val="BodyText"/>
                      <w:spacing w:before="12"/>
                      <w:ind w:left="20"/>
                    </w:pPr>
                    <w:r>
                      <w:t>Page</w:t>
                    </w:r>
                    <w:r>
                      <w:rPr>
                        <w:spacing w:val="-7"/>
                      </w:rPr>
                      <w:t xml:space="preserve"> </w:t>
                    </w:r>
                    <w:r>
                      <w:t>1002</w:t>
                    </w:r>
                    <w:r>
                      <w:rPr>
                        <w:spacing w:val="-7"/>
                      </w:rPr>
                      <w:t xml:space="preserve"> </w:t>
                    </w:r>
                    <w:r>
                      <w:t>B-</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F"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70944" behindDoc="1" locked="0" layoutInCell="1" allowOverlap="1" wp14:anchorId="0DFDDD36" wp14:editId="0DFDDD37">
              <wp:simplePos x="0" y="0"/>
              <wp:positionH relativeFrom="page">
                <wp:posOffset>895350</wp:posOffset>
              </wp:positionH>
              <wp:positionV relativeFrom="page">
                <wp:posOffset>9400031</wp:posOffset>
              </wp:positionV>
              <wp:extent cx="5981700" cy="28575"/>
              <wp:effectExtent l="0" t="0" r="0" b="0"/>
              <wp:wrapNone/>
              <wp:docPr id="1131" name="Graphic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507AFC" id="Graphic 1131" o:spid="_x0000_s1026" style="position:absolute;margin-left:70.5pt;margin-top:740.15pt;width:471pt;height:2.25pt;z-index:-2694553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71456" behindDoc="1" locked="0" layoutInCell="1" allowOverlap="1" wp14:anchorId="0DFDDD38" wp14:editId="0DFDDD39">
              <wp:simplePos x="0" y="0"/>
              <wp:positionH relativeFrom="page">
                <wp:posOffset>901700</wp:posOffset>
              </wp:positionH>
              <wp:positionV relativeFrom="page">
                <wp:posOffset>9432545</wp:posOffset>
              </wp:positionV>
              <wp:extent cx="678180" cy="181610"/>
              <wp:effectExtent l="0" t="0" r="0" b="0"/>
              <wp:wrapNone/>
              <wp:docPr id="1132" name="Text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7C"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D38" id="_x0000_t202" coordsize="21600,21600" o:spt="202" path="m,l,21600r21600,l21600,xe">
              <v:stroke joinstyle="miter"/>
              <v:path gradientshapeok="t" o:connecttype="rect"/>
            </v:shapetype>
            <v:shape id="Textbox 1132" o:spid="_x0000_s1405" type="#_x0000_t202" style="position:absolute;margin-left:71pt;margin-top:742.7pt;width:53.4pt;height:14.3pt;z-index:-269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" filled="f" stroked="f">
              <v:textbox inset="0,0,0,0">
                <w:txbxContent>
                  <w:p w14:paraId="0DFDDF7C"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71968" behindDoc="1" locked="0" layoutInCell="1" allowOverlap="1" wp14:anchorId="0DFDDD3A" wp14:editId="0DFDDD3B">
              <wp:simplePos x="0" y="0"/>
              <wp:positionH relativeFrom="page">
                <wp:posOffset>2783105</wp:posOffset>
              </wp:positionH>
              <wp:positionV relativeFrom="page">
                <wp:posOffset>9432545</wp:posOffset>
              </wp:positionV>
              <wp:extent cx="2206625" cy="181610"/>
              <wp:effectExtent l="0" t="0" r="0" b="0"/>
              <wp:wrapNone/>
              <wp:docPr id="1133" name="Text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7D"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D3A" id="Textbox 1133" o:spid="_x0000_s1406" type="#_x0000_t202" style="position:absolute;margin-left:219.15pt;margin-top:742.7pt;width:173.75pt;height:14.3pt;z-index:-269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" filled="f" stroked="f">
              <v:textbox inset="0,0,0,0">
                <w:txbxContent>
                  <w:p w14:paraId="0DFDDF7D"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72480" behindDoc="1" locked="0" layoutInCell="1" allowOverlap="1" wp14:anchorId="0DFDDD3C" wp14:editId="0DFDDD3D">
              <wp:simplePos x="0" y="0"/>
              <wp:positionH relativeFrom="page">
                <wp:posOffset>5905859</wp:posOffset>
              </wp:positionH>
              <wp:positionV relativeFrom="page">
                <wp:posOffset>9432545</wp:posOffset>
              </wp:positionV>
              <wp:extent cx="1003300" cy="181610"/>
              <wp:effectExtent l="0" t="0" r="0" b="0"/>
              <wp:wrapNone/>
              <wp:docPr id="1134" name="Text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0" cy="181610"/>
                      </a:xfrm>
                      <a:prstGeom prst="rect">
                        <a:avLst/>
                      </a:prstGeom>
                    </wps:spPr>
                    <wps:txbx>
                      <w:txbxContent>
                        <w:p w14:paraId="0DFDDF7E" w14:textId="77777777" w:rsidR="00046465" w:rsidRDefault="008134EB">
                          <w:pPr>
                            <w:pStyle w:val="BodyText"/>
                            <w:spacing w:before="12"/>
                            <w:ind w:left="20"/>
                          </w:pPr>
                          <w:r>
                            <w:t>Page</w:t>
                          </w:r>
                          <w:r>
                            <w:rPr>
                              <w:spacing w:val="-7"/>
                            </w:rPr>
                            <w:t xml:space="preserve"> </w:t>
                          </w:r>
                          <w:r>
                            <w:t>1002</w:t>
                          </w:r>
                          <w:r>
                            <w:rPr>
                              <w:spacing w:val="-7"/>
                            </w:rPr>
                            <w:t xml:space="preserve"> </w:t>
                          </w:r>
                          <w:r>
                            <w:t>C-</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 w14:anchorId="0DFDDD3C" id="Textbox 1134" o:spid="_x0000_s1407" type="#_x0000_t202" style="position:absolute;margin-left:465.05pt;margin-top:742.7pt;width:79pt;height:14.3pt;z-index:-269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" filled="f" stroked="f">
              <v:textbox inset="0,0,0,0">
                <w:txbxContent>
                  <w:p w14:paraId="0DFDDF7E" w14:textId="77777777" w:rsidR="00046465" w:rsidRDefault="008134EB">
                    <w:pPr>
                      <w:pStyle w:val="BodyText"/>
                      <w:spacing w:before="12"/>
                      <w:ind w:left="20"/>
                    </w:pPr>
                    <w:r>
                      <w:t>Page</w:t>
                    </w:r>
                    <w:r>
                      <w:rPr>
                        <w:spacing w:val="-7"/>
                      </w:rPr>
                      <w:t xml:space="preserve"> </w:t>
                    </w:r>
                    <w:r>
                      <w:t>1002</w:t>
                    </w:r>
                    <w:r>
                      <w:rPr>
                        <w:spacing w:val="-7"/>
                      </w:rPr>
                      <w:t xml:space="preserve"> </w:t>
                    </w:r>
                    <w:r>
                      <w:t>C-</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51"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74528" behindDoc="1" locked="0" layoutInCell="1" allowOverlap="1" wp14:anchorId="0DFDDD44" wp14:editId="0DFDDD45">
              <wp:simplePos x="0" y="0"/>
              <wp:positionH relativeFrom="page">
                <wp:posOffset>666750</wp:posOffset>
              </wp:positionH>
              <wp:positionV relativeFrom="page">
                <wp:posOffset>9400031</wp:posOffset>
              </wp:positionV>
              <wp:extent cx="13982700" cy="28575"/>
              <wp:effectExtent l="0" t="0" r="0" b="0"/>
              <wp:wrapNone/>
              <wp:docPr id="1140" name="Graphic 1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0" cy="28575"/>
                      </a:xfrm>
                      <a:custGeom>
                        <a:avLst/>
                        <a:gdLst/>
                        <a:ahLst/>
                        <a:cxnLst/>
                        <a:rect l="l" t="t" r="r" b="b"/>
                        <a:pathLst>
                          <a:path w="13982700" h="28575">
                            <a:moveTo>
                              <a:pt x="13982700" y="0"/>
                            </a:moveTo>
                            <a:lnTo>
                              <a:pt x="0" y="0"/>
                            </a:lnTo>
                            <a:lnTo>
                              <a:pt x="0" y="28194"/>
                            </a:lnTo>
                            <a:lnTo>
                              <a:pt x="13982700" y="28194"/>
                            </a:lnTo>
                            <a:lnTo>
                              <a:pt x="1398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D89FFE" id="Graphic 1140" o:spid="_x0000_s1026" style="position:absolute;margin-left:52.5pt;margin-top:740.15pt;width:1101pt;height:2.25pt;z-index:-26941952;visibility:visible;mso-wrap-style:square;mso-wrap-distance-left:0;mso-wrap-distance-top:0;mso-wrap-distance-right:0;mso-wrap-distance-bottom:0;mso-position-horizontal:absolute;mso-position-horizontal-relative:page;mso-position-vertical:absolute;mso-position-vertical-relative:page;v-text-anchor:top" coordsize="13982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" path="m13982700,l,,,28194r13982700,l13982700,xe" fillcolor="black" stroked="f">
              <v:path arrowok="t"/>
              <w10:wrap anchorx="page" anchory="page"/>
            </v:shape>
          </w:pict>
        </mc:Fallback>
      </mc:AlternateContent>
    </w:r>
    <w:r>
      <w:rPr>
        <w:noProof/>
        <w:sz w:val="20"/>
      </w:rPr>
      <mc:AlternateContent>
        <mc:Choice Requires="wps">
          <w:drawing>
            <wp:anchor distT="0" distB="0" distL="0" distR="0" simplePos="0" relativeHeight="476375040" behindDoc="1" locked="0" layoutInCell="1" allowOverlap="1" wp14:anchorId="0DFDDD46" wp14:editId="0DFDDD47">
              <wp:simplePos x="0" y="0"/>
              <wp:positionH relativeFrom="page">
                <wp:posOffset>673100</wp:posOffset>
              </wp:positionH>
              <wp:positionV relativeFrom="page">
                <wp:posOffset>9432545</wp:posOffset>
              </wp:positionV>
              <wp:extent cx="678180" cy="181610"/>
              <wp:effectExtent l="0" t="0" r="0" b="0"/>
              <wp:wrapNone/>
              <wp:docPr id="1141" name="Text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180" cy="181610"/>
                      </a:xfrm>
                      <a:prstGeom prst="rect">
                        <a:avLst/>
                      </a:prstGeom>
                    </wps:spPr>
                    <wps:txbx>
                      <w:txbxContent>
                        <w:p w14:paraId="0DFDDF81" w14:textId="77777777" w:rsidR="00046465" w:rsidRDefault="008134EB">
                          <w:pPr>
                            <w:pStyle w:val="BodyText"/>
                            <w:spacing w:before="12"/>
                            <w:ind w:left="20"/>
                          </w:pPr>
                          <w:r>
                            <w:t>June</w:t>
                          </w:r>
                          <w:r>
                            <w:rPr>
                              <w:spacing w:val="-5"/>
                            </w:rPr>
                            <w:t xml:space="preserve"> </w:t>
                          </w:r>
                          <w:r>
                            <w:rPr>
                              <w:spacing w:val="-4"/>
                            </w:rPr>
                            <w:t>2026</w:t>
                          </w:r>
                        </w:p>
                      </w:txbxContent>
                    </wps:txbx>
                    <wps:bodyPr wrap="square" lIns="0" tIns="0" rIns="0" bIns="0" rtlCol="0">
                      <a:noAutofit/>
                    </wps:bodyPr>
                  </wps:wsp>
                </a:graphicData>
              </a:graphic>
            </wp:anchor>
          </w:drawing>
        </mc:Choice>
        <mc:Fallback>
          <w:pict>
            <v:shapetype w14:anchorId="0DFDDD46" id="_x0000_t202" coordsize="21600,21600" o:spt="202" path="m,l,21600r21600,l21600,xe">
              <v:stroke joinstyle="miter"/>
              <v:path gradientshapeok="t" o:connecttype="rect"/>
            </v:shapetype>
            <v:shape id="Textbox 1141" o:spid="_x0000_s1409" type="#_x0000_t202" style="position:absolute;margin-left:53pt;margin-top:742.7pt;width:53.4pt;height:14.3pt;z-index:-269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" filled="f" stroked="f">
              <v:textbox inset="0,0,0,0">
                <w:txbxContent>
                  <w:p w14:paraId="0DFDDF81" w14:textId="77777777" w:rsidR="00046465" w:rsidRDefault="008134EB">
                    <w:pPr>
                      <w:pStyle w:val="BodyText"/>
                      <w:spacing w:before="12"/>
                      <w:ind w:left="20"/>
                    </w:pPr>
                    <w:r>
                      <w:t>June</w:t>
                    </w:r>
                    <w:r>
                      <w:rPr>
                        <w:spacing w:val="-5"/>
                      </w:rPr>
                      <w:t xml:space="preserve"> </w:t>
                    </w:r>
                    <w:r>
                      <w:rPr>
                        <w:spacing w:val="-4"/>
                      </w:rPr>
                      <w:t>2026</w:t>
                    </w:r>
                  </w:p>
                </w:txbxContent>
              </v:textbox>
              <w10:wrap anchorx="page" anchory="page"/>
            </v:shape>
          </w:pict>
        </mc:Fallback>
      </mc:AlternateContent>
    </w:r>
    <w:r>
      <w:rPr>
        <w:noProof/>
        <w:sz w:val="20"/>
      </w:rPr>
      <mc:AlternateContent>
        <mc:Choice Requires="wps">
          <w:drawing>
            <wp:anchor distT="0" distB="0" distL="0" distR="0" simplePos="0" relativeHeight="476375552" behindDoc="1" locked="0" layoutInCell="1" allowOverlap="1" wp14:anchorId="0DFDDD48" wp14:editId="0DFDDD49">
              <wp:simplePos x="0" y="0"/>
              <wp:positionH relativeFrom="page">
                <wp:posOffset>6721093</wp:posOffset>
              </wp:positionH>
              <wp:positionV relativeFrom="page">
                <wp:posOffset>9432545</wp:posOffset>
              </wp:positionV>
              <wp:extent cx="2206625" cy="181610"/>
              <wp:effectExtent l="0" t="0" r="0" b="0"/>
              <wp:wrapNone/>
              <wp:docPr id="1142" name="Text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6625" cy="181610"/>
                      </a:xfrm>
                      <a:prstGeom prst="rect">
                        <a:avLst/>
                      </a:prstGeom>
                    </wps:spPr>
                    <wps:txbx>
                      <w:txbxContent>
                        <w:p w14:paraId="0DFDDF82"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wps:txbx>
                    <wps:bodyPr wrap="square" lIns="0" tIns="0" rIns="0" bIns="0" rtlCol="0">
                      <a:noAutofit/>
                    </wps:bodyPr>
                  </wps:wsp>
                </a:graphicData>
              </a:graphic>
            </wp:anchor>
          </w:drawing>
        </mc:Choice>
        <mc:Fallback>
          <w:pict>
            <v:shape w14:anchorId="0DFDDD48" id="Textbox 1142" o:spid="_x0000_s1410" type="#_x0000_t202" style="position:absolute;margin-left:529.2pt;margin-top:742.7pt;width:173.75pt;height:14.3pt;z-index:-269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" filled="f" stroked="f">
              <v:textbox inset="0,0,0,0">
                <w:txbxContent>
                  <w:p w14:paraId="0DFDDF82" w14:textId="77777777" w:rsidR="00046465" w:rsidRDefault="008134EB">
                    <w:pPr>
                      <w:pStyle w:val="BodyText"/>
                      <w:spacing w:before="12"/>
                      <w:ind w:left="20"/>
                    </w:pPr>
                    <w:r>
                      <w:t>GAO/CIGIE</w:t>
                    </w:r>
                    <w:r>
                      <w:rPr>
                        <w:spacing w:val="-11"/>
                      </w:rPr>
                      <w:t xml:space="preserve"> </w:t>
                    </w:r>
                    <w:r>
                      <w:t>Financial</w:t>
                    </w:r>
                    <w:r>
                      <w:rPr>
                        <w:spacing w:val="-10"/>
                      </w:rPr>
                      <w:t xml:space="preserve"> </w:t>
                    </w:r>
                    <w:r>
                      <w:t>Audit</w:t>
                    </w:r>
                    <w:r>
                      <w:rPr>
                        <w:spacing w:val="-10"/>
                      </w:rPr>
                      <w:t xml:space="preserve"> </w:t>
                    </w:r>
                    <w:r>
                      <w:rPr>
                        <w:spacing w:val="-2"/>
                      </w:rPr>
                      <w:t>Manual</w:t>
                    </w:r>
                  </w:p>
                </w:txbxContent>
              </v:textbox>
              <w10:wrap anchorx="page" anchory="page"/>
            </v:shape>
          </w:pict>
        </mc:Fallback>
      </mc:AlternateContent>
    </w:r>
    <w:r>
      <w:rPr>
        <w:noProof/>
        <w:sz w:val="20"/>
      </w:rPr>
      <mc:AlternateContent>
        <mc:Choice Requires="wps">
          <w:drawing>
            <wp:anchor distT="0" distB="0" distL="0" distR="0" simplePos="0" relativeHeight="476376064" behindDoc="1" locked="0" layoutInCell="1" allowOverlap="1" wp14:anchorId="0DFDDD4A" wp14:editId="0DFDDD4B">
              <wp:simplePos x="0" y="0"/>
              <wp:positionH relativeFrom="page">
                <wp:posOffset>13679309</wp:posOffset>
              </wp:positionH>
              <wp:positionV relativeFrom="page">
                <wp:posOffset>9432545</wp:posOffset>
              </wp:positionV>
              <wp:extent cx="963294" cy="181610"/>
              <wp:effectExtent l="0" t="0" r="0" b="0"/>
              <wp:wrapNone/>
              <wp:docPr id="1143" name="Text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3294" cy="181610"/>
                      </a:xfrm>
                      <a:prstGeom prst="rect">
                        <a:avLst/>
                      </a:prstGeom>
                    </wps:spPr>
                    <wps:txbx>
                      <w:txbxContent>
                        <w:p w14:paraId="0DFDDF83" w14:textId="77777777" w:rsidR="00046465" w:rsidRDefault="008134EB">
                          <w:pPr>
                            <w:pStyle w:val="BodyText"/>
                            <w:spacing w:before="12"/>
                            <w:ind w:left="20"/>
                          </w:pPr>
                          <w:r>
                            <w:t>Page</w:t>
                          </w:r>
                          <w:r>
                            <w:rPr>
                              <w:spacing w:val="-9"/>
                            </w:rPr>
                            <w:t xml:space="preserve"> </w:t>
                          </w:r>
                          <w:r>
                            <w:t>1002</w:t>
                          </w:r>
                          <w:r>
                            <w:rPr>
                              <w:spacing w:val="-8"/>
                            </w:rPr>
                            <w:t xml:space="preserve"> </w:t>
                          </w:r>
                          <w:r>
                            <w:t>D-</w:t>
                          </w:r>
                          <w:r>
                            <w:rPr>
                              <w:spacing w:val="-10"/>
                            </w:rPr>
                            <w:t>1</w:t>
                          </w:r>
                        </w:p>
                      </w:txbxContent>
                    </wps:txbx>
                    <wps:bodyPr wrap="square" lIns="0" tIns="0" rIns="0" bIns="0" rtlCol="0">
                      <a:noAutofit/>
                    </wps:bodyPr>
                  </wps:wsp>
                </a:graphicData>
              </a:graphic>
            </wp:anchor>
          </w:drawing>
        </mc:Choice>
        <mc:Fallback>
          <w:pict>
            <v:shape w14:anchorId="0DFDDD4A" id="Textbox 1143" o:spid="_x0000_s1411" type="#_x0000_t202" style="position:absolute;margin-left:1077.1pt;margin-top:742.7pt;width:75.85pt;height:14.3pt;z-index:-269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" filled="f" stroked="f">
              <v:textbox inset="0,0,0,0">
                <w:txbxContent>
                  <w:p w14:paraId="0DFDDF83" w14:textId="77777777" w:rsidR="00046465" w:rsidRDefault="008134EB">
                    <w:pPr>
                      <w:pStyle w:val="BodyText"/>
                      <w:spacing w:before="12"/>
                      <w:ind w:left="20"/>
                    </w:pPr>
                    <w:r>
                      <w:t>Page</w:t>
                    </w:r>
                    <w:r>
                      <w:rPr>
                        <w:spacing w:val="-9"/>
                      </w:rPr>
                      <w:t xml:space="preserve"> </w:t>
                    </w:r>
                    <w:r>
                      <w:t>1002</w:t>
                    </w:r>
                    <w:r>
                      <w:rPr>
                        <w:spacing w:val="-8"/>
                      </w:rPr>
                      <w:t xml:space="preserve"> </w:t>
                    </w:r>
                    <w:r>
                      <w:t>D-</w:t>
                    </w:r>
                    <w:r>
                      <w:rPr>
                        <w:spacing w:val="-10"/>
                      </w:rPr>
                      <w:t>1</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53" w14:textId="77777777" w:rsidR="00046465" w:rsidRDefault="0004646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AF168" w14:textId="77777777" w:rsidR="008B344F" w:rsidRDefault="008B344F">
      <w:r>
        <w:separator/>
      </w:r>
    </w:p>
  </w:footnote>
  <w:footnote w:type="continuationSeparator" w:id="0">
    <w:p w14:paraId="08DBBE42" w14:textId="77777777" w:rsidR="008B344F" w:rsidRDefault="008B34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0"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54528" behindDoc="1" locked="0" layoutInCell="1" allowOverlap="1" wp14:anchorId="0DFDD862" wp14:editId="0DFDD863">
              <wp:simplePos x="0" y="0"/>
              <wp:positionH relativeFrom="page">
                <wp:posOffset>895350</wp:posOffset>
              </wp:positionH>
              <wp:positionV relativeFrom="page">
                <wp:posOffset>496062</wp:posOffset>
              </wp:positionV>
              <wp:extent cx="5981700" cy="2857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D38F80" id="Graphic 30" o:spid="_x0000_s1026" style="position:absolute;margin-left:70.5pt;margin-top:39.05pt;width:471pt;height:2.25pt;z-index:-2726195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55040" behindDoc="1" locked="0" layoutInCell="1" allowOverlap="1" wp14:anchorId="0DFDD864" wp14:editId="0DFDD865">
              <wp:simplePos x="0" y="0"/>
              <wp:positionH relativeFrom="page">
                <wp:posOffset>895350</wp:posOffset>
              </wp:positionH>
              <wp:positionV relativeFrom="page">
                <wp:posOffset>709422</wp:posOffset>
              </wp:positionV>
              <wp:extent cx="5981700" cy="2857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D60C6E" id="Graphic 31" o:spid="_x0000_s1026" style="position:absolute;margin-left:70.5pt;margin-top:55.85pt;width:471pt;height:2.25pt;z-index:-272614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55552" behindDoc="1" locked="0" layoutInCell="1" allowOverlap="1" wp14:anchorId="0DFDD866" wp14:editId="0DFDD867">
              <wp:simplePos x="0" y="0"/>
              <wp:positionH relativeFrom="page">
                <wp:posOffset>901700</wp:posOffset>
              </wp:positionH>
              <wp:positionV relativeFrom="page">
                <wp:posOffset>528576</wp:posOffset>
              </wp:positionV>
              <wp:extent cx="4258310" cy="181610"/>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310" cy="181610"/>
                      </a:xfrm>
                      <a:prstGeom prst="rect">
                        <a:avLst/>
                      </a:prstGeom>
                    </wps:spPr>
                    <wps:txbx>
                      <w:txbxContent>
                        <w:p w14:paraId="0DFDDDD2" w14:textId="77777777" w:rsidR="00046465" w:rsidRDefault="008134EB">
                          <w:pPr>
                            <w:pStyle w:val="BodyText"/>
                            <w:spacing w:before="12"/>
                            <w:ind w:left="20"/>
                          </w:pPr>
                          <w:r>
                            <w:t>Financial</w:t>
                          </w:r>
                          <w:r>
                            <w:rPr>
                              <w:spacing w:val="-6"/>
                            </w:rPr>
                            <w:t xml:space="preserve"> </w:t>
                          </w:r>
                          <w:r>
                            <w:t>Audit</w:t>
                          </w:r>
                          <w:r>
                            <w:rPr>
                              <w:spacing w:val="-6"/>
                            </w:rPr>
                            <w:t xml:space="preserve"> </w:t>
                          </w:r>
                          <w:r>
                            <w:t>Manual</w:t>
                          </w:r>
                          <w:r>
                            <w:rPr>
                              <w:spacing w:val="-6"/>
                            </w:rPr>
                            <w:t xml:space="preserve"> </w:t>
                          </w:r>
                          <w:r>
                            <w:t>Volume</w:t>
                          </w:r>
                          <w:r>
                            <w:rPr>
                              <w:spacing w:val="-6"/>
                            </w:rPr>
                            <w:t xml:space="preserve"> </w:t>
                          </w:r>
                          <w:r>
                            <w:t>2</w:t>
                          </w:r>
                          <w:r>
                            <w:rPr>
                              <w:spacing w:val="-6"/>
                            </w:rPr>
                            <w:t xml:space="preserve"> </w:t>
                          </w:r>
                          <w:r>
                            <w:t>–</w:t>
                          </w:r>
                          <w:r>
                            <w:rPr>
                              <w:spacing w:val="-6"/>
                            </w:rPr>
                            <w:t xml:space="preserve"> </w:t>
                          </w:r>
                          <w:r>
                            <w:t>Summary</w:t>
                          </w:r>
                          <w:r>
                            <w:rPr>
                              <w:spacing w:val="-6"/>
                            </w:rPr>
                            <w:t xml:space="preserve"> </w:t>
                          </w:r>
                          <w:r>
                            <w:t>of</w:t>
                          </w:r>
                          <w:r>
                            <w:rPr>
                              <w:spacing w:val="-5"/>
                            </w:rPr>
                            <w:t xml:space="preserve"> </w:t>
                          </w:r>
                          <w:r>
                            <w:t>Significant</w:t>
                          </w:r>
                          <w:r>
                            <w:rPr>
                              <w:spacing w:val="-7"/>
                            </w:rPr>
                            <w:t xml:space="preserve"> </w:t>
                          </w:r>
                          <w:r>
                            <w:rPr>
                              <w:spacing w:val="-2"/>
                            </w:rPr>
                            <w:t>Changes</w:t>
                          </w:r>
                        </w:p>
                      </w:txbxContent>
                    </wps:txbx>
                    <wps:bodyPr wrap="square" lIns="0" tIns="0" rIns="0" bIns="0" rtlCol="0">
                      <a:noAutofit/>
                    </wps:bodyPr>
                  </wps:wsp>
                </a:graphicData>
              </a:graphic>
            </wp:anchor>
          </w:drawing>
        </mc:Choice>
        <mc:Fallback>
          <w:pict>
            <v:shapetype w14:anchorId="0DFDD866" id="_x0000_t202" coordsize="21600,21600" o:spt="202" path="m,l,21600r21600,l21600,xe">
              <v:stroke joinstyle="miter"/>
              <v:path gradientshapeok="t" o:connecttype="rect"/>
            </v:shapetype>
            <v:shape id="Textbox 32" o:spid="_x0000_s1048" type="#_x0000_t202" style="position:absolute;margin-left:71pt;margin-top:41.6pt;width:335.3pt;height:14.3pt;z-index:-2726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" filled="f" stroked="f">
              <v:textbox inset="0,0,0,0">
                <w:txbxContent>
                  <w:p w14:paraId="0DFDDDD2" w14:textId="77777777" w:rsidR="00046465" w:rsidRDefault="008134EB">
                    <w:pPr>
                      <w:pStyle w:val="BodyText"/>
                      <w:spacing w:before="12"/>
                      <w:ind w:left="20"/>
                    </w:pPr>
                    <w:r>
                      <w:t>Financial</w:t>
                    </w:r>
                    <w:r>
                      <w:rPr>
                        <w:spacing w:val="-6"/>
                      </w:rPr>
                      <w:t xml:space="preserve"> </w:t>
                    </w:r>
                    <w:r>
                      <w:t>Audit</w:t>
                    </w:r>
                    <w:r>
                      <w:rPr>
                        <w:spacing w:val="-6"/>
                      </w:rPr>
                      <w:t xml:space="preserve"> </w:t>
                    </w:r>
                    <w:r>
                      <w:t>Manual</w:t>
                    </w:r>
                    <w:r>
                      <w:rPr>
                        <w:spacing w:val="-6"/>
                      </w:rPr>
                      <w:t xml:space="preserve"> </w:t>
                    </w:r>
                    <w:r>
                      <w:t>Volume</w:t>
                    </w:r>
                    <w:r>
                      <w:rPr>
                        <w:spacing w:val="-6"/>
                      </w:rPr>
                      <w:t xml:space="preserve"> </w:t>
                    </w:r>
                    <w:r>
                      <w:t>2</w:t>
                    </w:r>
                    <w:r>
                      <w:rPr>
                        <w:spacing w:val="-6"/>
                      </w:rPr>
                      <w:t xml:space="preserve"> </w:t>
                    </w:r>
                    <w:r>
                      <w:t>–</w:t>
                    </w:r>
                    <w:r>
                      <w:rPr>
                        <w:spacing w:val="-6"/>
                      </w:rPr>
                      <w:t xml:space="preserve"> </w:t>
                    </w:r>
                    <w:r>
                      <w:t>Summary</w:t>
                    </w:r>
                    <w:r>
                      <w:rPr>
                        <w:spacing w:val="-6"/>
                      </w:rPr>
                      <w:t xml:space="preserve"> </w:t>
                    </w:r>
                    <w:r>
                      <w:t>of</w:t>
                    </w:r>
                    <w:r>
                      <w:rPr>
                        <w:spacing w:val="-5"/>
                      </w:rPr>
                      <w:t xml:space="preserve"> </w:t>
                    </w:r>
                    <w:r>
                      <w:t>Significant</w:t>
                    </w:r>
                    <w:r>
                      <w:rPr>
                        <w:spacing w:val="-7"/>
                      </w:rPr>
                      <w:t xml:space="preserve"> </w:t>
                    </w:r>
                    <w:r>
                      <w:rPr>
                        <w:spacing w:val="-2"/>
                      </w:rPr>
                      <w:t>Changes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2"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79616" behindDoc="1" locked="0" layoutInCell="1" allowOverlap="1" wp14:anchorId="0DFDD8C4" wp14:editId="0DFDD8C5">
              <wp:simplePos x="0" y="0"/>
              <wp:positionH relativeFrom="page">
                <wp:posOffset>895350</wp:posOffset>
              </wp:positionH>
              <wp:positionV relativeFrom="page">
                <wp:posOffset>457962</wp:posOffset>
              </wp:positionV>
              <wp:extent cx="5981700" cy="28575"/>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B64357" id="Graphic 117" o:spid="_x0000_s1026" style="position:absolute;margin-left:70.5pt;margin-top:36.05pt;width:471pt;height:2.25pt;z-index:-272368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80128" behindDoc="1" locked="0" layoutInCell="1" allowOverlap="1" wp14:anchorId="0DFDD8C6" wp14:editId="0DFDD8C7">
              <wp:simplePos x="0" y="0"/>
              <wp:positionH relativeFrom="page">
                <wp:posOffset>895350</wp:posOffset>
              </wp:positionH>
              <wp:positionV relativeFrom="page">
                <wp:posOffset>832103</wp:posOffset>
              </wp:positionV>
              <wp:extent cx="5981700" cy="28575"/>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ABD4BE" id="Graphic 118" o:spid="_x0000_s1026" style="position:absolute;margin-left:70.5pt;margin-top:65.5pt;width:471pt;height:2.25pt;z-index:-2723635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80640" behindDoc="1" locked="0" layoutInCell="1" allowOverlap="1" wp14:anchorId="0DFDD8C8" wp14:editId="0DFDD8C9">
              <wp:simplePos x="0" y="0"/>
              <wp:positionH relativeFrom="page">
                <wp:posOffset>901700</wp:posOffset>
              </wp:positionH>
              <wp:positionV relativeFrom="page">
                <wp:posOffset>490475</wp:posOffset>
              </wp:positionV>
              <wp:extent cx="5048885" cy="3422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885" cy="342265"/>
                      </a:xfrm>
                      <a:prstGeom prst="rect">
                        <a:avLst/>
                      </a:prstGeom>
                    </wps:spPr>
                    <wps:txbx>
                      <w:txbxContent>
                        <w:p w14:paraId="0DFDDDF0"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DF1" w14:textId="77777777" w:rsidR="00046465" w:rsidRDefault="008134EB">
                          <w:pPr>
                            <w:pStyle w:val="BodyText"/>
                            <w:ind w:left="20"/>
                          </w:pPr>
                          <w:r>
                            <w:t>615</w:t>
                          </w:r>
                          <w:r>
                            <w:rPr>
                              <w:spacing w:val="-7"/>
                            </w:rPr>
                            <w:t xml:space="preserve"> </w:t>
                          </w:r>
                          <w:r>
                            <w:t>–</w:t>
                          </w:r>
                          <w:r>
                            <w:rPr>
                              <w:spacing w:val="-6"/>
                            </w:rPr>
                            <w:t xml:space="preserve"> </w:t>
                          </w:r>
                          <w:r>
                            <w:t>Evaluating</w:t>
                          </w:r>
                          <w:r>
                            <w:rPr>
                              <w:spacing w:val="-7"/>
                            </w:rPr>
                            <w:t xml:space="preserve"> </w:t>
                          </w:r>
                          <w:r>
                            <w:t>the</w:t>
                          </w:r>
                          <w:r>
                            <w:rPr>
                              <w:spacing w:val="-6"/>
                            </w:rPr>
                            <w:t xml:space="preserve"> </w:t>
                          </w:r>
                          <w:r>
                            <w:t>Objectivity</w:t>
                          </w:r>
                          <w:r>
                            <w:rPr>
                              <w:spacing w:val="-6"/>
                            </w:rPr>
                            <w:t xml:space="preserve"> </w:t>
                          </w:r>
                          <w:r>
                            <w:t>and</w:t>
                          </w:r>
                          <w:r>
                            <w:rPr>
                              <w:spacing w:val="-8"/>
                            </w:rPr>
                            <w:t xml:space="preserve"> </w:t>
                          </w:r>
                          <w:r>
                            <w:t>Competence</w:t>
                          </w:r>
                          <w:r>
                            <w:rPr>
                              <w:spacing w:val="-6"/>
                            </w:rPr>
                            <w:t xml:space="preserve"> </w:t>
                          </w:r>
                          <w:r>
                            <w:t>of</w:t>
                          </w:r>
                          <w:r>
                            <w:rPr>
                              <w:spacing w:val="-6"/>
                            </w:rPr>
                            <w:t xml:space="preserve"> </w:t>
                          </w:r>
                          <w:r>
                            <w:t>Other</w:t>
                          </w:r>
                          <w:r>
                            <w:rPr>
                              <w:spacing w:val="-7"/>
                            </w:rPr>
                            <w:t xml:space="preserve"> </w:t>
                          </w:r>
                          <w:r>
                            <w:t>Auditors</w:t>
                          </w:r>
                          <w:r>
                            <w:rPr>
                              <w:spacing w:val="-6"/>
                            </w:rPr>
                            <w:t xml:space="preserve"> </w:t>
                          </w:r>
                          <w:r>
                            <w:t>or</w:t>
                          </w:r>
                          <w:r>
                            <w:rPr>
                              <w:spacing w:val="-6"/>
                            </w:rPr>
                            <w:t xml:space="preserve"> </w:t>
                          </w:r>
                          <w:r>
                            <w:rPr>
                              <w:spacing w:val="-2"/>
                            </w:rPr>
                            <w:t>Specialists</w:t>
                          </w:r>
                        </w:p>
                      </w:txbxContent>
                    </wps:txbx>
                    <wps:bodyPr wrap="square" lIns="0" tIns="0" rIns="0" bIns="0" rtlCol="0">
                      <a:noAutofit/>
                    </wps:bodyPr>
                  </wps:wsp>
                </a:graphicData>
              </a:graphic>
            </wp:anchor>
          </w:drawing>
        </mc:Choice>
        <mc:Fallback>
          <w:pict>
            <v:shapetype w14:anchorId="0DFDD8C8" id="_x0000_t202" coordsize="21600,21600" o:spt="202" path="m,l,21600r21600,l21600,xe">
              <v:stroke joinstyle="miter"/>
              <v:path gradientshapeok="t" o:connecttype="rect"/>
            </v:shapetype>
            <v:shape id="Textbox 119" o:spid="_x0000_s1076" type="#_x0000_t202" style="position:absolute;margin-left:71pt;margin-top:38.6pt;width:397.55pt;height:26.95pt;z-index:-2723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" filled="f" stroked="f">
              <v:textbox inset="0,0,0,0">
                <w:txbxContent>
                  <w:p w14:paraId="0DFDDDF0"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DF1" w14:textId="77777777" w:rsidR="00046465" w:rsidRDefault="008134EB">
                    <w:pPr>
                      <w:pStyle w:val="BodyText"/>
                      <w:ind w:left="20"/>
                    </w:pPr>
                    <w:r>
                      <w:t>615</w:t>
                    </w:r>
                    <w:r>
                      <w:rPr>
                        <w:spacing w:val="-7"/>
                      </w:rPr>
                      <w:t xml:space="preserve"> </w:t>
                    </w:r>
                    <w:r>
                      <w:t>–</w:t>
                    </w:r>
                    <w:r>
                      <w:rPr>
                        <w:spacing w:val="-6"/>
                      </w:rPr>
                      <w:t xml:space="preserve"> </w:t>
                    </w:r>
                    <w:r>
                      <w:t>Evaluating</w:t>
                    </w:r>
                    <w:r>
                      <w:rPr>
                        <w:spacing w:val="-7"/>
                      </w:rPr>
                      <w:t xml:space="preserve"> </w:t>
                    </w:r>
                    <w:r>
                      <w:t>the</w:t>
                    </w:r>
                    <w:r>
                      <w:rPr>
                        <w:spacing w:val="-6"/>
                      </w:rPr>
                      <w:t xml:space="preserve"> </w:t>
                    </w:r>
                    <w:r>
                      <w:t>Objectivity</w:t>
                    </w:r>
                    <w:r>
                      <w:rPr>
                        <w:spacing w:val="-6"/>
                      </w:rPr>
                      <w:t xml:space="preserve"> </w:t>
                    </w:r>
                    <w:r>
                      <w:t>and</w:t>
                    </w:r>
                    <w:r>
                      <w:rPr>
                        <w:spacing w:val="-8"/>
                      </w:rPr>
                      <w:t xml:space="preserve"> </w:t>
                    </w:r>
                    <w:r>
                      <w:t>Competence</w:t>
                    </w:r>
                    <w:r>
                      <w:rPr>
                        <w:spacing w:val="-6"/>
                      </w:rPr>
                      <w:t xml:space="preserve"> </w:t>
                    </w:r>
                    <w:r>
                      <w:t>of</w:t>
                    </w:r>
                    <w:r>
                      <w:rPr>
                        <w:spacing w:val="-6"/>
                      </w:rPr>
                      <w:t xml:space="preserve"> </w:t>
                    </w:r>
                    <w:r>
                      <w:t>Other</w:t>
                    </w:r>
                    <w:r>
                      <w:rPr>
                        <w:spacing w:val="-7"/>
                      </w:rPr>
                      <w:t xml:space="preserve"> </w:t>
                    </w:r>
                    <w:r>
                      <w:t>Auditors</w:t>
                    </w:r>
                    <w:r>
                      <w:rPr>
                        <w:spacing w:val="-6"/>
                      </w:rPr>
                      <w:t xml:space="preserve"> </w:t>
                    </w:r>
                    <w:r>
                      <w:t>or</w:t>
                    </w:r>
                    <w:r>
                      <w:rPr>
                        <w:spacing w:val="-6"/>
                      </w:rPr>
                      <w:t xml:space="preserve"> </w:t>
                    </w:r>
                    <w:r>
                      <w:rPr>
                        <w:spacing w:val="-2"/>
                      </w:rPr>
                      <w:t>Specialists</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56"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80160" behindDoc="1" locked="0" layoutInCell="1" allowOverlap="1" wp14:anchorId="0DFDDD5A" wp14:editId="0DFDDD5B">
              <wp:simplePos x="0" y="0"/>
              <wp:positionH relativeFrom="page">
                <wp:posOffset>895350</wp:posOffset>
              </wp:positionH>
              <wp:positionV relativeFrom="page">
                <wp:posOffset>457962</wp:posOffset>
              </wp:positionV>
              <wp:extent cx="5981700" cy="28575"/>
              <wp:effectExtent l="0" t="0" r="0" b="0"/>
              <wp:wrapNone/>
              <wp:docPr id="1156" name="Graphic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62DB12" id="Graphic 1156" o:spid="_x0000_s1026" style="position:absolute;margin-left:70.5pt;margin-top:36.05pt;width:471pt;height:2.25pt;z-index:-2693632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80672" behindDoc="1" locked="0" layoutInCell="1" allowOverlap="1" wp14:anchorId="0DFDDD5C" wp14:editId="0DFDDD5D">
              <wp:simplePos x="0" y="0"/>
              <wp:positionH relativeFrom="page">
                <wp:posOffset>895350</wp:posOffset>
              </wp:positionH>
              <wp:positionV relativeFrom="page">
                <wp:posOffset>832103</wp:posOffset>
              </wp:positionV>
              <wp:extent cx="5981700" cy="28575"/>
              <wp:effectExtent l="0" t="0" r="0" b="0"/>
              <wp:wrapNone/>
              <wp:docPr id="1157" name="Graphic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2EF1C9" id="Graphic 1157" o:spid="_x0000_s1026" style="position:absolute;margin-left:70.5pt;margin-top:65.5pt;width:471pt;height:2.25pt;z-index:-2693580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81184" behindDoc="1" locked="0" layoutInCell="1" allowOverlap="1" wp14:anchorId="0DFDDD5E" wp14:editId="0DFDDD5F">
              <wp:simplePos x="0" y="0"/>
              <wp:positionH relativeFrom="page">
                <wp:posOffset>901700</wp:posOffset>
              </wp:positionH>
              <wp:positionV relativeFrom="page">
                <wp:posOffset>490475</wp:posOffset>
              </wp:positionV>
              <wp:extent cx="3434079" cy="342265"/>
              <wp:effectExtent l="0" t="0" r="0" b="0"/>
              <wp:wrapNone/>
              <wp:docPr id="1158" name="Text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34079" cy="342265"/>
                      </a:xfrm>
                      <a:prstGeom prst="rect">
                        <a:avLst/>
                      </a:prstGeom>
                    </wps:spPr>
                    <wps:txbx>
                      <w:txbxContent>
                        <w:p w14:paraId="0DFDDF89"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8A" w14:textId="77777777" w:rsidR="00046465" w:rsidRDefault="008134EB">
                          <w:pPr>
                            <w:pStyle w:val="BodyText"/>
                            <w:ind w:left="20"/>
                          </w:pPr>
                          <w:r>
                            <w:t>1003</w:t>
                          </w:r>
                          <w:r>
                            <w:rPr>
                              <w:spacing w:val="-8"/>
                            </w:rPr>
                            <w:t xml:space="preserve"> </w:t>
                          </w:r>
                          <w:r>
                            <w:t>–</w:t>
                          </w:r>
                          <w:r>
                            <w:rPr>
                              <w:spacing w:val="-8"/>
                            </w:rPr>
                            <w:t xml:space="preserve"> </w:t>
                          </w:r>
                          <w:r>
                            <w:t>Financial</w:t>
                          </w:r>
                          <w:r>
                            <w:rPr>
                              <w:spacing w:val="-8"/>
                            </w:rPr>
                            <w:t xml:space="preserve"> </w:t>
                          </w:r>
                          <w:r>
                            <w:t>Statement</w:t>
                          </w:r>
                          <w:r>
                            <w:rPr>
                              <w:spacing w:val="-8"/>
                            </w:rPr>
                            <w:t xml:space="preserve"> </w:t>
                          </w:r>
                          <w:r>
                            <w:t>Audit</w:t>
                          </w:r>
                          <w:r>
                            <w:rPr>
                              <w:spacing w:val="-8"/>
                            </w:rPr>
                            <w:t xml:space="preserve"> </w:t>
                          </w:r>
                          <w:r>
                            <w:t>Completion</w:t>
                          </w:r>
                          <w:r>
                            <w:rPr>
                              <w:spacing w:val="-8"/>
                            </w:rPr>
                            <w:t xml:space="preserve"> </w:t>
                          </w:r>
                          <w:r>
                            <w:rPr>
                              <w:spacing w:val="-2"/>
                            </w:rPr>
                            <w:t>Checklist</w:t>
                          </w:r>
                        </w:p>
                      </w:txbxContent>
                    </wps:txbx>
                    <wps:bodyPr wrap="square" lIns="0" tIns="0" rIns="0" bIns="0" rtlCol="0">
                      <a:noAutofit/>
                    </wps:bodyPr>
                  </wps:wsp>
                </a:graphicData>
              </a:graphic>
            </wp:anchor>
          </w:drawing>
        </mc:Choice>
        <mc:Fallback>
          <w:pict>
            <v:shapetype w14:anchorId="0DFDDD5E" id="_x0000_t202" coordsize="21600,21600" o:spt="202" path="m,l,21600r21600,l21600,xe">
              <v:stroke joinstyle="miter"/>
              <v:path gradientshapeok="t" o:connecttype="rect"/>
            </v:shapetype>
            <v:shape id="Textbox 1158" o:spid="_x0000_s1416" type="#_x0000_t202" style="position:absolute;margin-left:71pt;margin-top:38.6pt;width:270.4pt;height:26.95pt;z-index:-2693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" filled="f" stroked="f">
              <v:textbox inset="0,0,0,0">
                <w:txbxContent>
                  <w:p w14:paraId="0DFDDF89"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8A" w14:textId="77777777" w:rsidR="00046465" w:rsidRDefault="008134EB">
                    <w:pPr>
                      <w:pStyle w:val="BodyText"/>
                      <w:ind w:left="20"/>
                    </w:pPr>
                    <w:r>
                      <w:t>1003</w:t>
                    </w:r>
                    <w:r>
                      <w:rPr>
                        <w:spacing w:val="-8"/>
                      </w:rPr>
                      <w:t xml:space="preserve"> </w:t>
                    </w:r>
                    <w:r>
                      <w:t>–</w:t>
                    </w:r>
                    <w:r>
                      <w:rPr>
                        <w:spacing w:val="-8"/>
                      </w:rPr>
                      <w:t xml:space="preserve"> </w:t>
                    </w:r>
                    <w:r>
                      <w:t>Financial</w:t>
                    </w:r>
                    <w:r>
                      <w:rPr>
                        <w:spacing w:val="-8"/>
                      </w:rPr>
                      <w:t xml:space="preserve"> </w:t>
                    </w:r>
                    <w:r>
                      <w:t>Statement</w:t>
                    </w:r>
                    <w:r>
                      <w:rPr>
                        <w:spacing w:val="-8"/>
                      </w:rPr>
                      <w:t xml:space="preserve"> </w:t>
                    </w:r>
                    <w:r>
                      <w:t>Audit</w:t>
                    </w:r>
                    <w:r>
                      <w:rPr>
                        <w:spacing w:val="-8"/>
                      </w:rPr>
                      <w:t xml:space="preserve"> </w:t>
                    </w:r>
                    <w:r>
                      <w:t>Completion</w:t>
                    </w:r>
                    <w:r>
                      <w:rPr>
                        <w:spacing w:val="-8"/>
                      </w:rPr>
                      <w:t xml:space="preserve"> </w:t>
                    </w:r>
                    <w:r>
                      <w:rPr>
                        <w:spacing w:val="-2"/>
                      </w:rPr>
                      <w:t>Checklist</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58"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83744" behindDoc="1" locked="0" layoutInCell="1" allowOverlap="1" wp14:anchorId="0DFDDD68" wp14:editId="0DFDDD69">
              <wp:simplePos x="0" y="0"/>
              <wp:positionH relativeFrom="page">
                <wp:posOffset>895350</wp:posOffset>
              </wp:positionH>
              <wp:positionV relativeFrom="page">
                <wp:posOffset>457962</wp:posOffset>
              </wp:positionV>
              <wp:extent cx="5981700" cy="28575"/>
              <wp:effectExtent l="0" t="0" r="0" b="0"/>
              <wp:wrapNone/>
              <wp:docPr id="1169" name="Graphic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CB9995" id="Graphic 1169" o:spid="_x0000_s1026" style="position:absolute;margin-left:70.5pt;margin-top:36.05pt;width:471pt;height:2.25pt;z-index:-2693273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84256" behindDoc="1" locked="0" layoutInCell="1" allowOverlap="1" wp14:anchorId="0DFDDD6A" wp14:editId="0DFDDD6B">
              <wp:simplePos x="0" y="0"/>
              <wp:positionH relativeFrom="page">
                <wp:posOffset>895350</wp:posOffset>
              </wp:positionH>
              <wp:positionV relativeFrom="page">
                <wp:posOffset>832103</wp:posOffset>
              </wp:positionV>
              <wp:extent cx="5981700" cy="28575"/>
              <wp:effectExtent l="0" t="0" r="0" b="0"/>
              <wp:wrapNone/>
              <wp:docPr id="1170" name="Graphic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54AC39" id="Graphic 1170" o:spid="_x0000_s1026" style="position:absolute;margin-left:70.5pt;margin-top:65.5pt;width:471pt;height:2.25pt;z-index:-269322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84768" behindDoc="1" locked="0" layoutInCell="1" allowOverlap="1" wp14:anchorId="0DFDDD6C" wp14:editId="0DFDDD6D">
              <wp:simplePos x="0" y="0"/>
              <wp:positionH relativeFrom="page">
                <wp:posOffset>901700</wp:posOffset>
              </wp:positionH>
              <wp:positionV relativeFrom="page">
                <wp:posOffset>490475</wp:posOffset>
              </wp:positionV>
              <wp:extent cx="2261870" cy="342265"/>
              <wp:effectExtent l="0" t="0" r="0" b="0"/>
              <wp:wrapNone/>
              <wp:docPr id="1171" name="Text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1870" cy="342265"/>
                      </a:xfrm>
                      <a:prstGeom prst="rect">
                        <a:avLst/>
                      </a:prstGeom>
                    </wps:spPr>
                    <wps:txbx>
                      <w:txbxContent>
                        <w:p w14:paraId="0DFDDF8E" w14:textId="77777777" w:rsidR="00046465" w:rsidRDefault="008134EB">
                          <w:pPr>
                            <w:pStyle w:val="BodyText"/>
                            <w:spacing w:before="12"/>
                            <w:ind w:left="20"/>
                          </w:pPr>
                          <w:r>
                            <w:t>Reporting</w:t>
                          </w:r>
                          <w:r>
                            <w:rPr>
                              <w:spacing w:val="-16"/>
                            </w:rPr>
                            <w:t xml:space="preserve"> </w:t>
                          </w:r>
                          <w:r>
                            <w:t>Implementation</w:t>
                          </w:r>
                          <w:r>
                            <w:rPr>
                              <w:spacing w:val="-15"/>
                            </w:rPr>
                            <w:t xml:space="preserve"> </w:t>
                          </w:r>
                          <w:r>
                            <w:t>Guidance 1005 – Subsequent Events Review</w:t>
                          </w:r>
                        </w:p>
                      </w:txbxContent>
                    </wps:txbx>
                    <wps:bodyPr wrap="square" lIns="0" tIns="0" rIns="0" bIns="0" rtlCol="0">
                      <a:noAutofit/>
                    </wps:bodyPr>
                  </wps:wsp>
                </a:graphicData>
              </a:graphic>
            </wp:anchor>
          </w:drawing>
        </mc:Choice>
        <mc:Fallback>
          <w:pict>
            <v:shapetype w14:anchorId="0DFDDD6C" id="_x0000_t202" coordsize="21600,21600" o:spt="202" path="m,l,21600r21600,l21600,xe">
              <v:stroke joinstyle="miter"/>
              <v:path gradientshapeok="t" o:connecttype="rect"/>
            </v:shapetype>
            <v:shape id="Textbox 1171" o:spid="_x0000_s1420" type="#_x0000_t202" style="position:absolute;margin-left:71pt;margin-top:38.6pt;width:178.1pt;height:26.95pt;z-index:-2693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" filled="f" stroked="f">
              <v:textbox inset="0,0,0,0">
                <w:txbxContent>
                  <w:p w14:paraId="0DFDDF8E" w14:textId="77777777" w:rsidR="00046465" w:rsidRDefault="008134EB">
                    <w:pPr>
                      <w:pStyle w:val="BodyText"/>
                      <w:spacing w:before="12"/>
                      <w:ind w:left="20"/>
                    </w:pPr>
                    <w:r>
                      <w:t>Reporting</w:t>
                    </w:r>
                    <w:r>
                      <w:rPr>
                        <w:spacing w:val="-16"/>
                      </w:rPr>
                      <w:t xml:space="preserve"> </w:t>
                    </w:r>
                    <w:r>
                      <w:t>Implementation</w:t>
                    </w:r>
                    <w:r>
                      <w:rPr>
                        <w:spacing w:val="-15"/>
                      </w:rPr>
                      <w:t xml:space="preserve"> </w:t>
                    </w:r>
                    <w:r>
                      <w:t>Guidance 1005 – Subsequent Events Review</w:t>
                    </w:r>
                  </w:p>
                </w:txbxContent>
              </v:textbox>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5A"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87328" behindDoc="1" locked="0" layoutInCell="1" allowOverlap="1" wp14:anchorId="0DFDDD76" wp14:editId="0DFDDD77">
              <wp:simplePos x="0" y="0"/>
              <wp:positionH relativeFrom="page">
                <wp:posOffset>895350</wp:posOffset>
              </wp:positionH>
              <wp:positionV relativeFrom="page">
                <wp:posOffset>457962</wp:posOffset>
              </wp:positionV>
              <wp:extent cx="5981700" cy="28575"/>
              <wp:effectExtent l="0" t="0" r="0" b="0"/>
              <wp:wrapNone/>
              <wp:docPr id="1176" name="Graphic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E65B88" id="Graphic 1176" o:spid="_x0000_s1026" style="position:absolute;margin-left:70.5pt;margin-top:36.05pt;width:471pt;height:2.25pt;z-index:-2692915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87840" behindDoc="1" locked="0" layoutInCell="1" allowOverlap="1" wp14:anchorId="0DFDDD78" wp14:editId="0DFDDD79">
              <wp:simplePos x="0" y="0"/>
              <wp:positionH relativeFrom="page">
                <wp:posOffset>895350</wp:posOffset>
              </wp:positionH>
              <wp:positionV relativeFrom="page">
                <wp:posOffset>832103</wp:posOffset>
              </wp:positionV>
              <wp:extent cx="5981700" cy="28575"/>
              <wp:effectExtent l="0" t="0" r="0" b="0"/>
              <wp:wrapNone/>
              <wp:docPr id="1177" name="Graphic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56C43E" id="Graphic 1177" o:spid="_x0000_s1026" style="position:absolute;margin-left:70.5pt;margin-top:65.5pt;width:471pt;height:2.25pt;z-index:-269286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88352" behindDoc="1" locked="0" layoutInCell="1" allowOverlap="1" wp14:anchorId="0DFDDD7A" wp14:editId="0DFDDD7B">
              <wp:simplePos x="0" y="0"/>
              <wp:positionH relativeFrom="page">
                <wp:posOffset>901700</wp:posOffset>
              </wp:positionH>
              <wp:positionV relativeFrom="page">
                <wp:posOffset>490475</wp:posOffset>
              </wp:positionV>
              <wp:extent cx="2261870" cy="342265"/>
              <wp:effectExtent l="0" t="0" r="0" b="0"/>
              <wp:wrapNone/>
              <wp:docPr id="1178" name="Text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1870" cy="342265"/>
                      </a:xfrm>
                      <a:prstGeom prst="rect">
                        <a:avLst/>
                      </a:prstGeom>
                    </wps:spPr>
                    <wps:txbx>
                      <w:txbxContent>
                        <w:p w14:paraId="0DFDDF92" w14:textId="77777777" w:rsidR="00046465" w:rsidRDefault="008134EB">
                          <w:pPr>
                            <w:pStyle w:val="BodyText"/>
                            <w:spacing w:before="12"/>
                            <w:ind w:left="20"/>
                          </w:pPr>
                          <w:r>
                            <w:t>Reporting</w:t>
                          </w:r>
                          <w:r>
                            <w:rPr>
                              <w:spacing w:val="-16"/>
                            </w:rPr>
                            <w:t xml:space="preserve"> </w:t>
                          </w:r>
                          <w:r>
                            <w:t>Implementation</w:t>
                          </w:r>
                          <w:r>
                            <w:rPr>
                              <w:spacing w:val="-15"/>
                            </w:rPr>
                            <w:t xml:space="preserve"> </w:t>
                          </w:r>
                          <w:r>
                            <w:t>Guidance 1005 – Subsequent Events Review</w:t>
                          </w:r>
                        </w:p>
                      </w:txbxContent>
                    </wps:txbx>
                    <wps:bodyPr wrap="square" lIns="0" tIns="0" rIns="0" bIns="0" rtlCol="0">
                      <a:noAutofit/>
                    </wps:bodyPr>
                  </wps:wsp>
                </a:graphicData>
              </a:graphic>
            </wp:anchor>
          </w:drawing>
        </mc:Choice>
        <mc:Fallback>
          <w:pict>
            <v:shapetype w14:anchorId="0DFDDD7A" id="_x0000_t202" coordsize="21600,21600" o:spt="202" path="m,l,21600r21600,l21600,xe">
              <v:stroke joinstyle="miter"/>
              <v:path gradientshapeok="t" o:connecttype="rect"/>
            </v:shapetype>
            <v:shape id="Textbox 1178" o:spid="_x0000_s1424" type="#_x0000_t202" style="position:absolute;margin-left:71pt;margin-top:38.6pt;width:178.1pt;height:26.95pt;z-index:-2692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" filled="f" stroked="f">
              <v:textbox inset="0,0,0,0">
                <w:txbxContent>
                  <w:p w14:paraId="0DFDDF92" w14:textId="77777777" w:rsidR="00046465" w:rsidRDefault="008134EB">
                    <w:pPr>
                      <w:pStyle w:val="BodyText"/>
                      <w:spacing w:before="12"/>
                      <w:ind w:left="20"/>
                    </w:pPr>
                    <w:r>
                      <w:t>Reporting</w:t>
                    </w:r>
                    <w:r>
                      <w:rPr>
                        <w:spacing w:val="-16"/>
                      </w:rPr>
                      <w:t xml:space="preserve"> </w:t>
                    </w:r>
                    <w:r>
                      <w:t>Implementation</w:t>
                    </w:r>
                    <w:r>
                      <w:rPr>
                        <w:spacing w:val="-15"/>
                      </w:rPr>
                      <w:t xml:space="preserve"> </w:t>
                    </w:r>
                    <w:r>
                      <w:t>Guidance 1005 – Subsequent Events Review</w:t>
                    </w:r>
                  </w:p>
                </w:txbxContent>
              </v:textbox>
              <w10:wrap anchorx="page" anchory="page"/>
            </v:shape>
          </w:pict>
        </mc:Fallback>
      </mc:AlternateContent>
    </w: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5C" w14:textId="77777777" w:rsidR="00046465" w:rsidRDefault="00046465">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4"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83200" behindDoc="1" locked="0" layoutInCell="1" allowOverlap="1" wp14:anchorId="0DFDD8D2" wp14:editId="0DFDD8D3">
              <wp:simplePos x="0" y="0"/>
              <wp:positionH relativeFrom="page">
                <wp:posOffset>895350</wp:posOffset>
              </wp:positionH>
              <wp:positionV relativeFrom="page">
                <wp:posOffset>457962</wp:posOffset>
              </wp:positionV>
              <wp:extent cx="5981700" cy="2857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F0E55C" id="Graphic 124" o:spid="_x0000_s1026" style="position:absolute;margin-left:70.5pt;margin-top:36.05pt;width:471pt;height:2.25pt;z-index:-272332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83712" behindDoc="1" locked="0" layoutInCell="1" allowOverlap="1" wp14:anchorId="0DFDD8D4" wp14:editId="0DFDD8D5">
              <wp:simplePos x="0" y="0"/>
              <wp:positionH relativeFrom="page">
                <wp:posOffset>895350</wp:posOffset>
              </wp:positionH>
              <wp:positionV relativeFrom="page">
                <wp:posOffset>832103</wp:posOffset>
              </wp:positionV>
              <wp:extent cx="5981700" cy="2857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49235C" id="Graphic 125" o:spid="_x0000_s1026" style="position:absolute;margin-left:70.5pt;margin-top:65.5pt;width:471pt;height:2.25pt;z-index:-2723276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84224" behindDoc="1" locked="0" layoutInCell="1" allowOverlap="1" wp14:anchorId="0DFDD8D6" wp14:editId="0DFDD8D7">
              <wp:simplePos x="0" y="0"/>
              <wp:positionH relativeFrom="page">
                <wp:posOffset>901700</wp:posOffset>
              </wp:positionH>
              <wp:positionV relativeFrom="page">
                <wp:posOffset>490475</wp:posOffset>
              </wp:positionV>
              <wp:extent cx="5048885" cy="3422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885" cy="342265"/>
                      </a:xfrm>
                      <a:prstGeom prst="rect">
                        <a:avLst/>
                      </a:prstGeom>
                    </wps:spPr>
                    <wps:txbx>
                      <w:txbxContent>
                        <w:p w14:paraId="0DFDDDF5"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DF6" w14:textId="77777777" w:rsidR="00046465" w:rsidRDefault="008134EB">
                          <w:pPr>
                            <w:pStyle w:val="BodyText"/>
                            <w:ind w:left="20"/>
                          </w:pPr>
                          <w:r>
                            <w:t>615</w:t>
                          </w:r>
                          <w:r>
                            <w:rPr>
                              <w:spacing w:val="-7"/>
                            </w:rPr>
                            <w:t xml:space="preserve"> </w:t>
                          </w:r>
                          <w:r>
                            <w:t>–</w:t>
                          </w:r>
                          <w:r>
                            <w:rPr>
                              <w:spacing w:val="-6"/>
                            </w:rPr>
                            <w:t xml:space="preserve"> </w:t>
                          </w:r>
                          <w:r>
                            <w:t>Evaluating</w:t>
                          </w:r>
                          <w:r>
                            <w:rPr>
                              <w:spacing w:val="-7"/>
                            </w:rPr>
                            <w:t xml:space="preserve"> </w:t>
                          </w:r>
                          <w:r>
                            <w:t>the</w:t>
                          </w:r>
                          <w:r>
                            <w:rPr>
                              <w:spacing w:val="-6"/>
                            </w:rPr>
                            <w:t xml:space="preserve"> </w:t>
                          </w:r>
                          <w:r>
                            <w:t>Objectivity</w:t>
                          </w:r>
                          <w:r>
                            <w:rPr>
                              <w:spacing w:val="-6"/>
                            </w:rPr>
                            <w:t xml:space="preserve"> </w:t>
                          </w:r>
                          <w:r>
                            <w:t>and</w:t>
                          </w:r>
                          <w:r>
                            <w:rPr>
                              <w:spacing w:val="-8"/>
                            </w:rPr>
                            <w:t xml:space="preserve"> </w:t>
                          </w:r>
                          <w:r>
                            <w:t>Competence</w:t>
                          </w:r>
                          <w:r>
                            <w:rPr>
                              <w:spacing w:val="-6"/>
                            </w:rPr>
                            <w:t xml:space="preserve"> </w:t>
                          </w:r>
                          <w:r>
                            <w:t>of</w:t>
                          </w:r>
                          <w:r>
                            <w:rPr>
                              <w:spacing w:val="-6"/>
                            </w:rPr>
                            <w:t xml:space="preserve"> </w:t>
                          </w:r>
                          <w:r>
                            <w:t>Other</w:t>
                          </w:r>
                          <w:r>
                            <w:rPr>
                              <w:spacing w:val="-7"/>
                            </w:rPr>
                            <w:t xml:space="preserve"> </w:t>
                          </w:r>
                          <w:r>
                            <w:t>Auditors</w:t>
                          </w:r>
                          <w:r>
                            <w:rPr>
                              <w:spacing w:val="-6"/>
                            </w:rPr>
                            <w:t xml:space="preserve"> </w:t>
                          </w:r>
                          <w:r>
                            <w:t>or</w:t>
                          </w:r>
                          <w:r>
                            <w:rPr>
                              <w:spacing w:val="-6"/>
                            </w:rPr>
                            <w:t xml:space="preserve"> </w:t>
                          </w:r>
                          <w:r>
                            <w:rPr>
                              <w:spacing w:val="-2"/>
                            </w:rPr>
                            <w:t>Specialists</w:t>
                          </w:r>
                        </w:p>
                      </w:txbxContent>
                    </wps:txbx>
                    <wps:bodyPr wrap="square" lIns="0" tIns="0" rIns="0" bIns="0" rtlCol="0">
                      <a:noAutofit/>
                    </wps:bodyPr>
                  </wps:wsp>
                </a:graphicData>
              </a:graphic>
            </wp:anchor>
          </w:drawing>
        </mc:Choice>
        <mc:Fallback>
          <w:pict>
            <v:shapetype w14:anchorId="0DFDD8D6" id="_x0000_t202" coordsize="21600,21600" o:spt="202" path="m,l,21600r21600,l21600,xe">
              <v:stroke joinstyle="miter"/>
              <v:path gradientshapeok="t" o:connecttype="rect"/>
            </v:shapetype>
            <v:shape id="Textbox 126" o:spid="_x0000_s1080" type="#_x0000_t202" style="position:absolute;margin-left:71pt;margin-top:38.6pt;width:397.55pt;height:26.95pt;z-index:-27232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" filled="f" stroked="f">
              <v:textbox inset="0,0,0,0">
                <w:txbxContent>
                  <w:p w14:paraId="0DFDDDF5"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DF6" w14:textId="77777777" w:rsidR="00046465" w:rsidRDefault="008134EB">
                    <w:pPr>
                      <w:pStyle w:val="BodyText"/>
                      <w:ind w:left="20"/>
                    </w:pPr>
                    <w:r>
                      <w:t>615</w:t>
                    </w:r>
                    <w:r>
                      <w:rPr>
                        <w:spacing w:val="-7"/>
                      </w:rPr>
                      <w:t xml:space="preserve"> </w:t>
                    </w:r>
                    <w:r>
                      <w:t>–</w:t>
                    </w:r>
                    <w:r>
                      <w:rPr>
                        <w:spacing w:val="-6"/>
                      </w:rPr>
                      <w:t xml:space="preserve"> </w:t>
                    </w:r>
                    <w:r>
                      <w:t>Evaluating</w:t>
                    </w:r>
                    <w:r>
                      <w:rPr>
                        <w:spacing w:val="-7"/>
                      </w:rPr>
                      <w:t xml:space="preserve"> </w:t>
                    </w:r>
                    <w:r>
                      <w:t>the</w:t>
                    </w:r>
                    <w:r>
                      <w:rPr>
                        <w:spacing w:val="-6"/>
                      </w:rPr>
                      <w:t xml:space="preserve"> </w:t>
                    </w:r>
                    <w:r>
                      <w:t>Objectivity</w:t>
                    </w:r>
                    <w:r>
                      <w:rPr>
                        <w:spacing w:val="-6"/>
                      </w:rPr>
                      <w:t xml:space="preserve"> </w:t>
                    </w:r>
                    <w:r>
                      <w:t>and</w:t>
                    </w:r>
                    <w:r>
                      <w:rPr>
                        <w:spacing w:val="-8"/>
                      </w:rPr>
                      <w:t xml:space="preserve"> </w:t>
                    </w:r>
                    <w:r>
                      <w:t>Competence</w:t>
                    </w:r>
                    <w:r>
                      <w:rPr>
                        <w:spacing w:val="-6"/>
                      </w:rPr>
                      <w:t xml:space="preserve"> </w:t>
                    </w:r>
                    <w:r>
                      <w:t>of</w:t>
                    </w:r>
                    <w:r>
                      <w:rPr>
                        <w:spacing w:val="-6"/>
                      </w:rPr>
                      <w:t xml:space="preserve"> </w:t>
                    </w:r>
                    <w:r>
                      <w:t>Other</w:t>
                    </w:r>
                    <w:r>
                      <w:rPr>
                        <w:spacing w:val="-7"/>
                      </w:rPr>
                      <w:t xml:space="preserve"> </w:t>
                    </w:r>
                    <w:r>
                      <w:t>Auditors</w:t>
                    </w:r>
                    <w:r>
                      <w:rPr>
                        <w:spacing w:val="-6"/>
                      </w:rPr>
                      <w:t xml:space="preserve"> </w:t>
                    </w:r>
                    <w:r>
                      <w:t>or</w:t>
                    </w:r>
                    <w:r>
                      <w:rPr>
                        <w:spacing w:val="-6"/>
                      </w:rPr>
                      <w:t xml:space="preserve"> </w:t>
                    </w:r>
                    <w:r>
                      <w:rPr>
                        <w:spacing w:val="-2"/>
                      </w:rPr>
                      <w:t>Specialists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6"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86784" behindDoc="1" locked="0" layoutInCell="1" allowOverlap="1" wp14:anchorId="0DFDD8E0" wp14:editId="0DFDD8E1">
              <wp:simplePos x="0" y="0"/>
              <wp:positionH relativeFrom="page">
                <wp:posOffset>895350</wp:posOffset>
              </wp:positionH>
              <wp:positionV relativeFrom="page">
                <wp:posOffset>457962</wp:posOffset>
              </wp:positionV>
              <wp:extent cx="5981700" cy="2857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26BA5E" id="Graphic 135" o:spid="_x0000_s1026" style="position:absolute;margin-left:70.5pt;margin-top:36.05pt;width:471pt;height:2.25pt;z-index:-272296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87296" behindDoc="1" locked="0" layoutInCell="1" allowOverlap="1" wp14:anchorId="0DFDD8E2" wp14:editId="0DFDD8E3">
              <wp:simplePos x="0" y="0"/>
              <wp:positionH relativeFrom="page">
                <wp:posOffset>895350</wp:posOffset>
              </wp:positionH>
              <wp:positionV relativeFrom="page">
                <wp:posOffset>832103</wp:posOffset>
              </wp:positionV>
              <wp:extent cx="5981700" cy="2857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1E7104" id="Graphic 136" o:spid="_x0000_s1026" style="position:absolute;margin-left:70.5pt;margin-top:65.5pt;width:471pt;height:2.25pt;z-index:-2722918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87808" behindDoc="1" locked="0" layoutInCell="1" allowOverlap="1" wp14:anchorId="0DFDD8E4" wp14:editId="0DFDD8E5">
              <wp:simplePos x="0" y="0"/>
              <wp:positionH relativeFrom="page">
                <wp:posOffset>901700</wp:posOffset>
              </wp:positionH>
              <wp:positionV relativeFrom="page">
                <wp:posOffset>490475</wp:posOffset>
              </wp:positionV>
              <wp:extent cx="2937510" cy="34226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7510" cy="342265"/>
                      </a:xfrm>
                      <a:prstGeom prst="rect">
                        <a:avLst/>
                      </a:prstGeom>
                    </wps:spPr>
                    <wps:txbx>
                      <w:txbxContent>
                        <w:p w14:paraId="0DFDDDFA"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DFB" w14:textId="77777777" w:rsidR="00046465" w:rsidRDefault="008134EB">
                          <w:pPr>
                            <w:pStyle w:val="BodyText"/>
                            <w:ind w:left="20"/>
                          </w:pPr>
                          <w:r>
                            <w:t>620</w:t>
                          </w:r>
                          <w:r>
                            <w:rPr>
                              <w:spacing w:val="-5"/>
                            </w:rPr>
                            <w:t xml:space="preserve"> </w:t>
                          </w:r>
                          <w:r>
                            <w:t>–</w:t>
                          </w:r>
                          <w:r>
                            <w:rPr>
                              <w:spacing w:val="-4"/>
                            </w:rPr>
                            <w:t xml:space="preserve"> </w:t>
                          </w:r>
                          <w:r>
                            <w:t>Using</w:t>
                          </w:r>
                          <w:r>
                            <w:rPr>
                              <w:spacing w:val="-5"/>
                            </w:rPr>
                            <w:t xml:space="preserve"> </w:t>
                          </w:r>
                          <w:r>
                            <w:t>the</w:t>
                          </w:r>
                          <w:r>
                            <w:rPr>
                              <w:spacing w:val="-4"/>
                            </w:rPr>
                            <w:t xml:space="preserve"> </w:t>
                          </w:r>
                          <w:r>
                            <w:t>Work</w:t>
                          </w:r>
                          <w:r>
                            <w:rPr>
                              <w:spacing w:val="-5"/>
                            </w:rPr>
                            <w:t xml:space="preserve"> </w:t>
                          </w:r>
                          <w:r>
                            <w:t>of</w:t>
                          </w:r>
                          <w:r>
                            <w:rPr>
                              <w:spacing w:val="-5"/>
                            </w:rPr>
                            <w:t xml:space="preserve"> </w:t>
                          </w:r>
                          <w:r>
                            <w:t>an</w:t>
                          </w:r>
                          <w:r>
                            <w:rPr>
                              <w:spacing w:val="-4"/>
                            </w:rPr>
                            <w:t xml:space="preserve"> </w:t>
                          </w:r>
                          <w:r>
                            <w:t>Auditor’s</w:t>
                          </w:r>
                          <w:r>
                            <w:rPr>
                              <w:spacing w:val="-5"/>
                            </w:rPr>
                            <w:t xml:space="preserve"> </w:t>
                          </w:r>
                          <w:r>
                            <w:rPr>
                              <w:spacing w:val="-2"/>
                            </w:rPr>
                            <w:t>Specialist</w:t>
                          </w:r>
                        </w:p>
                      </w:txbxContent>
                    </wps:txbx>
                    <wps:bodyPr wrap="square" lIns="0" tIns="0" rIns="0" bIns="0" rtlCol="0">
                      <a:noAutofit/>
                    </wps:bodyPr>
                  </wps:wsp>
                </a:graphicData>
              </a:graphic>
            </wp:anchor>
          </w:drawing>
        </mc:Choice>
        <mc:Fallback>
          <w:pict>
            <v:shapetype w14:anchorId="0DFDD8E4" id="_x0000_t202" coordsize="21600,21600" o:spt="202" path="m,l,21600r21600,l21600,xe">
              <v:stroke joinstyle="miter"/>
              <v:path gradientshapeok="t" o:connecttype="rect"/>
            </v:shapetype>
            <v:shape id="Textbox 137" o:spid="_x0000_s1084" type="#_x0000_t202" style="position:absolute;margin-left:71pt;margin-top:38.6pt;width:231.3pt;height:26.95pt;z-index:-2722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" filled="f" stroked="f">
              <v:textbox inset="0,0,0,0">
                <w:txbxContent>
                  <w:p w14:paraId="0DFDDDFA"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DFB" w14:textId="77777777" w:rsidR="00046465" w:rsidRDefault="008134EB">
                    <w:pPr>
                      <w:pStyle w:val="BodyText"/>
                      <w:ind w:left="20"/>
                    </w:pPr>
                    <w:r>
                      <w:t>620</w:t>
                    </w:r>
                    <w:r>
                      <w:rPr>
                        <w:spacing w:val="-5"/>
                      </w:rPr>
                      <w:t xml:space="preserve"> </w:t>
                    </w:r>
                    <w:r>
                      <w:t>–</w:t>
                    </w:r>
                    <w:r>
                      <w:rPr>
                        <w:spacing w:val="-4"/>
                      </w:rPr>
                      <w:t xml:space="preserve"> </w:t>
                    </w:r>
                    <w:r>
                      <w:t>Using</w:t>
                    </w:r>
                    <w:r>
                      <w:rPr>
                        <w:spacing w:val="-5"/>
                      </w:rPr>
                      <w:t xml:space="preserve"> </w:t>
                    </w:r>
                    <w:r>
                      <w:t>the</w:t>
                    </w:r>
                    <w:r>
                      <w:rPr>
                        <w:spacing w:val="-4"/>
                      </w:rPr>
                      <w:t xml:space="preserve"> </w:t>
                    </w:r>
                    <w:r>
                      <w:t>Work</w:t>
                    </w:r>
                    <w:r>
                      <w:rPr>
                        <w:spacing w:val="-5"/>
                      </w:rPr>
                      <w:t xml:space="preserve"> </w:t>
                    </w:r>
                    <w:r>
                      <w:t>of</w:t>
                    </w:r>
                    <w:r>
                      <w:rPr>
                        <w:spacing w:val="-5"/>
                      </w:rPr>
                      <w:t xml:space="preserve"> </w:t>
                    </w:r>
                    <w:r>
                      <w:t>an</w:t>
                    </w:r>
                    <w:r>
                      <w:rPr>
                        <w:spacing w:val="-4"/>
                      </w:rPr>
                      <w:t xml:space="preserve"> </w:t>
                    </w:r>
                    <w:r>
                      <w:t>Auditor’s</w:t>
                    </w:r>
                    <w:r>
                      <w:rPr>
                        <w:spacing w:val="-5"/>
                      </w:rPr>
                      <w:t xml:space="preserve"> </w:t>
                    </w:r>
                    <w:r>
                      <w:rPr>
                        <w:spacing w:val="-2"/>
                      </w:rPr>
                      <w:t>Specialist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8"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90368" behindDoc="1" locked="0" layoutInCell="1" allowOverlap="1" wp14:anchorId="0DFDD8EE" wp14:editId="0DFDD8EF">
              <wp:simplePos x="0" y="0"/>
              <wp:positionH relativeFrom="page">
                <wp:posOffset>895350</wp:posOffset>
              </wp:positionH>
              <wp:positionV relativeFrom="page">
                <wp:posOffset>457962</wp:posOffset>
              </wp:positionV>
              <wp:extent cx="5981700" cy="28575"/>
              <wp:effectExtent l="0" t="0" r="0" b="0"/>
              <wp:wrapNone/>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BAB96C" id="Graphic 142" o:spid="_x0000_s1026" style="position:absolute;margin-left:70.5pt;margin-top:36.05pt;width:471pt;height:2.25pt;z-index:-272261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90880" behindDoc="1" locked="0" layoutInCell="1" allowOverlap="1" wp14:anchorId="0DFDD8F0" wp14:editId="0DFDD8F1">
              <wp:simplePos x="0" y="0"/>
              <wp:positionH relativeFrom="page">
                <wp:posOffset>895350</wp:posOffset>
              </wp:positionH>
              <wp:positionV relativeFrom="page">
                <wp:posOffset>832103</wp:posOffset>
              </wp:positionV>
              <wp:extent cx="5981700" cy="2857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3D9101" id="Graphic 143" o:spid="_x0000_s1026" style="position:absolute;margin-left:70.5pt;margin-top:65.5pt;width:471pt;height:2.25pt;z-index:-2722560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91392" behindDoc="1" locked="0" layoutInCell="1" allowOverlap="1" wp14:anchorId="0DFDD8F2" wp14:editId="0DFDD8F3">
              <wp:simplePos x="0" y="0"/>
              <wp:positionH relativeFrom="page">
                <wp:posOffset>901700</wp:posOffset>
              </wp:positionH>
              <wp:positionV relativeFrom="page">
                <wp:posOffset>490475</wp:posOffset>
              </wp:positionV>
              <wp:extent cx="2937510" cy="34226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7510" cy="342265"/>
                      </a:xfrm>
                      <a:prstGeom prst="rect">
                        <a:avLst/>
                      </a:prstGeom>
                    </wps:spPr>
                    <wps:txbx>
                      <w:txbxContent>
                        <w:p w14:paraId="0DFDDDFF"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00" w14:textId="77777777" w:rsidR="00046465" w:rsidRDefault="008134EB">
                          <w:pPr>
                            <w:pStyle w:val="BodyText"/>
                            <w:ind w:left="20"/>
                          </w:pPr>
                          <w:r>
                            <w:t>620</w:t>
                          </w:r>
                          <w:r>
                            <w:rPr>
                              <w:spacing w:val="-5"/>
                            </w:rPr>
                            <w:t xml:space="preserve"> </w:t>
                          </w:r>
                          <w:r>
                            <w:t>–</w:t>
                          </w:r>
                          <w:r>
                            <w:rPr>
                              <w:spacing w:val="-4"/>
                            </w:rPr>
                            <w:t xml:space="preserve"> </w:t>
                          </w:r>
                          <w:r>
                            <w:t>Using</w:t>
                          </w:r>
                          <w:r>
                            <w:rPr>
                              <w:spacing w:val="-5"/>
                            </w:rPr>
                            <w:t xml:space="preserve"> </w:t>
                          </w:r>
                          <w:r>
                            <w:t>the</w:t>
                          </w:r>
                          <w:r>
                            <w:rPr>
                              <w:spacing w:val="-4"/>
                            </w:rPr>
                            <w:t xml:space="preserve"> </w:t>
                          </w:r>
                          <w:r>
                            <w:t>Work</w:t>
                          </w:r>
                          <w:r>
                            <w:rPr>
                              <w:spacing w:val="-5"/>
                            </w:rPr>
                            <w:t xml:space="preserve"> </w:t>
                          </w:r>
                          <w:r>
                            <w:t>of</w:t>
                          </w:r>
                          <w:r>
                            <w:rPr>
                              <w:spacing w:val="-5"/>
                            </w:rPr>
                            <w:t xml:space="preserve"> </w:t>
                          </w:r>
                          <w:r>
                            <w:t>an</w:t>
                          </w:r>
                          <w:r>
                            <w:rPr>
                              <w:spacing w:val="-4"/>
                            </w:rPr>
                            <w:t xml:space="preserve"> </w:t>
                          </w:r>
                          <w:r>
                            <w:t>Auditor’s</w:t>
                          </w:r>
                          <w:r>
                            <w:rPr>
                              <w:spacing w:val="-5"/>
                            </w:rPr>
                            <w:t xml:space="preserve"> </w:t>
                          </w:r>
                          <w:r>
                            <w:rPr>
                              <w:spacing w:val="-2"/>
                            </w:rPr>
                            <w:t>Specialist</w:t>
                          </w:r>
                        </w:p>
                      </w:txbxContent>
                    </wps:txbx>
                    <wps:bodyPr wrap="square" lIns="0" tIns="0" rIns="0" bIns="0" rtlCol="0">
                      <a:noAutofit/>
                    </wps:bodyPr>
                  </wps:wsp>
                </a:graphicData>
              </a:graphic>
            </wp:anchor>
          </w:drawing>
        </mc:Choice>
        <mc:Fallback>
          <w:pict>
            <v:shapetype w14:anchorId="0DFDD8F2" id="_x0000_t202" coordsize="21600,21600" o:spt="202" path="m,l,21600r21600,l21600,xe">
              <v:stroke joinstyle="miter"/>
              <v:path gradientshapeok="t" o:connecttype="rect"/>
            </v:shapetype>
            <v:shape id="Textbox 144" o:spid="_x0000_s1088" type="#_x0000_t202" style="position:absolute;margin-left:71pt;margin-top:38.6pt;width:231.3pt;height:26.95pt;z-index:-2722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" filled="f" stroked="f">
              <v:textbox inset="0,0,0,0">
                <w:txbxContent>
                  <w:p w14:paraId="0DFDDDFF"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00" w14:textId="77777777" w:rsidR="00046465" w:rsidRDefault="008134EB">
                    <w:pPr>
                      <w:pStyle w:val="BodyText"/>
                      <w:ind w:left="20"/>
                    </w:pPr>
                    <w:r>
                      <w:t>620</w:t>
                    </w:r>
                    <w:r>
                      <w:rPr>
                        <w:spacing w:val="-5"/>
                      </w:rPr>
                      <w:t xml:space="preserve"> </w:t>
                    </w:r>
                    <w:r>
                      <w:t>–</w:t>
                    </w:r>
                    <w:r>
                      <w:rPr>
                        <w:spacing w:val="-4"/>
                      </w:rPr>
                      <w:t xml:space="preserve"> </w:t>
                    </w:r>
                    <w:r>
                      <w:t>Using</w:t>
                    </w:r>
                    <w:r>
                      <w:rPr>
                        <w:spacing w:val="-5"/>
                      </w:rPr>
                      <w:t xml:space="preserve"> </w:t>
                    </w:r>
                    <w:r>
                      <w:t>the</w:t>
                    </w:r>
                    <w:r>
                      <w:rPr>
                        <w:spacing w:val="-4"/>
                      </w:rPr>
                      <w:t xml:space="preserve"> </w:t>
                    </w:r>
                    <w:r>
                      <w:t>Work</w:t>
                    </w:r>
                    <w:r>
                      <w:rPr>
                        <w:spacing w:val="-5"/>
                      </w:rPr>
                      <w:t xml:space="preserve"> </w:t>
                    </w:r>
                    <w:r>
                      <w:t>of</w:t>
                    </w:r>
                    <w:r>
                      <w:rPr>
                        <w:spacing w:val="-5"/>
                      </w:rPr>
                      <w:t xml:space="preserve"> </w:t>
                    </w:r>
                    <w:r>
                      <w:t>an</w:t>
                    </w:r>
                    <w:r>
                      <w:rPr>
                        <w:spacing w:val="-4"/>
                      </w:rPr>
                      <w:t xml:space="preserve"> </w:t>
                    </w:r>
                    <w:r>
                      <w:t>Auditor’s</w:t>
                    </w:r>
                    <w:r>
                      <w:rPr>
                        <w:spacing w:val="-5"/>
                      </w:rPr>
                      <w:t xml:space="preserve"> </w:t>
                    </w:r>
                    <w:r>
                      <w:rPr>
                        <w:spacing w:val="-2"/>
                      </w:rPr>
                      <w:t>Specialist</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A"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93952" behindDoc="1" locked="0" layoutInCell="1" allowOverlap="1" wp14:anchorId="0DFDD8FC" wp14:editId="0DFDD8FD">
              <wp:simplePos x="0" y="0"/>
              <wp:positionH relativeFrom="page">
                <wp:posOffset>895350</wp:posOffset>
              </wp:positionH>
              <wp:positionV relativeFrom="page">
                <wp:posOffset>457962</wp:posOffset>
              </wp:positionV>
              <wp:extent cx="5981700" cy="2857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36AF04" id="Graphic 150" o:spid="_x0000_s1026" style="position:absolute;margin-left:70.5pt;margin-top:36.05pt;width:471pt;height:2.25pt;z-index:-272225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94464" behindDoc="1" locked="0" layoutInCell="1" allowOverlap="1" wp14:anchorId="0DFDD8FE" wp14:editId="0DFDD8FF">
              <wp:simplePos x="0" y="0"/>
              <wp:positionH relativeFrom="page">
                <wp:posOffset>895350</wp:posOffset>
              </wp:positionH>
              <wp:positionV relativeFrom="page">
                <wp:posOffset>832103</wp:posOffset>
              </wp:positionV>
              <wp:extent cx="5981700" cy="28575"/>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176E13" id="Graphic 151" o:spid="_x0000_s1026" style="position:absolute;margin-left:70.5pt;margin-top:65.5pt;width:471pt;height:2.25pt;z-index:-272220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94976" behindDoc="1" locked="0" layoutInCell="1" allowOverlap="1" wp14:anchorId="0DFDD900" wp14:editId="0DFDD901">
              <wp:simplePos x="0" y="0"/>
              <wp:positionH relativeFrom="page">
                <wp:posOffset>901700</wp:posOffset>
              </wp:positionH>
              <wp:positionV relativeFrom="page">
                <wp:posOffset>490475</wp:posOffset>
              </wp:positionV>
              <wp:extent cx="3185160" cy="342265"/>
              <wp:effectExtent l="0" t="0" r="0" b="0"/>
              <wp:wrapNone/>
              <wp:docPr id="152" name="Text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160" cy="342265"/>
                      </a:xfrm>
                      <a:prstGeom prst="rect">
                        <a:avLst/>
                      </a:prstGeom>
                    </wps:spPr>
                    <wps:txbx>
                      <w:txbxContent>
                        <w:p w14:paraId="0DFDDE04"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05" w14:textId="77777777" w:rsidR="00046465" w:rsidRDefault="008134EB">
                          <w:pPr>
                            <w:pStyle w:val="BodyText"/>
                            <w:ind w:left="20"/>
                          </w:pPr>
                          <w:r>
                            <w:t>625</w:t>
                          </w:r>
                          <w:r>
                            <w:rPr>
                              <w:spacing w:val="-6"/>
                            </w:rPr>
                            <w:t xml:space="preserve"> </w:t>
                          </w:r>
                          <w:r>
                            <w:t>–</w:t>
                          </w:r>
                          <w:r>
                            <w:rPr>
                              <w:spacing w:val="-5"/>
                            </w:rPr>
                            <w:t xml:space="preserve"> </w:t>
                          </w:r>
                          <w:r>
                            <w:t>Using</w:t>
                          </w:r>
                          <w:r>
                            <w:rPr>
                              <w:spacing w:val="-6"/>
                            </w:rPr>
                            <w:t xml:space="preserve"> </w:t>
                          </w:r>
                          <w:r>
                            <w:t>the</w:t>
                          </w:r>
                          <w:r>
                            <w:rPr>
                              <w:spacing w:val="-6"/>
                            </w:rPr>
                            <w:t xml:space="preserve"> </w:t>
                          </w:r>
                          <w:r>
                            <w:t>Work</w:t>
                          </w:r>
                          <w:r>
                            <w:rPr>
                              <w:spacing w:val="-5"/>
                            </w:rPr>
                            <w:t xml:space="preserve"> </w:t>
                          </w:r>
                          <w:r>
                            <w:t>of</w:t>
                          </w:r>
                          <w:r>
                            <w:rPr>
                              <w:spacing w:val="-6"/>
                            </w:rPr>
                            <w:t xml:space="preserve"> </w:t>
                          </w:r>
                          <w:r>
                            <w:t>Management’s</w:t>
                          </w:r>
                          <w:r>
                            <w:rPr>
                              <w:spacing w:val="-5"/>
                            </w:rPr>
                            <w:t xml:space="preserve"> </w:t>
                          </w:r>
                          <w:r>
                            <w:rPr>
                              <w:spacing w:val="-2"/>
                            </w:rPr>
                            <w:t>Specialists</w:t>
                          </w:r>
                        </w:p>
                      </w:txbxContent>
                    </wps:txbx>
                    <wps:bodyPr wrap="square" lIns="0" tIns="0" rIns="0" bIns="0" rtlCol="0">
                      <a:noAutofit/>
                    </wps:bodyPr>
                  </wps:wsp>
                </a:graphicData>
              </a:graphic>
            </wp:anchor>
          </w:drawing>
        </mc:Choice>
        <mc:Fallback>
          <w:pict>
            <v:shapetype w14:anchorId="0DFDD900" id="_x0000_t202" coordsize="21600,21600" o:spt="202" path="m,l,21600r21600,l21600,xe">
              <v:stroke joinstyle="miter"/>
              <v:path gradientshapeok="t" o:connecttype="rect"/>
            </v:shapetype>
            <v:shape id="Textbox 152" o:spid="_x0000_s1092" type="#_x0000_t202" style="position:absolute;margin-left:71pt;margin-top:38.6pt;width:250.8pt;height:26.95pt;z-index:-2722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" filled="f" stroked="f">
              <v:textbox inset="0,0,0,0">
                <w:txbxContent>
                  <w:p w14:paraId="0DFDDE04"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05" w14:textId="77777777" w:rsidR="00046465" w:rsidRDefault="008134EB">
                    <w:pPr>
                      <w:pStyle w:val="BodyText"/>
                      <w:ind w:left="20"/>
                    </w:pPr>
                    <w:r>
                      <w:t>625</w:t>
                    </w:r>
                    <w:r>
                      <w:rPr>
                        <w:spacing w:val="-6"/>
                      </w:rPr>
                      <w:t xml:space="preserve"> </w:t>
                    </w:r>
                    <w:r>
                      <w:t>–</w:t>
                    </w:r>
                    <w:r>
                      <w:rPr>
                        <w:spacing w:val="-5"/>
                      </w:rPr>
                      <w:t xml:space="preserve"> </w:t>
                    </w:r>
                    <w:r>
                      <w:t>Using</w:t>
                    </w:r>
                    <w:r>
                      <w:rPr>
                        <w:spacing w:val="-6"/>
                      </w:rPr>
                      <w:t xml:space="preserve"> </w:t>
                    </w:r>
                    <w:r>
                      <w:t>the</w:t>
                    </w:r>
                    <w:r>
                      <w:rPr>
                        <w:spacing w:val="-6"/>
                      </w:rPr>
                      <w:t xml:space="preserve"> </w:t>
                    </w:r>
                    <w:r>
                      <w:t>Work</w:t>
                    </w:r>
                    <w:r>
                      <w:rPr>
                        <w:spacing w:val="-5"/>
                      </w:rPr>
                      <w:t xml:space="preserve"> </w:t>
                    </w:r>
                    <w:r>
                      <w:t>of</w:t>
                    </w:r>
                    <w:r>
                      <w:rPr>
                        <w:spacing w:val="-6"/>
                      </w:rPr>
                      <w:t xml:space="preserve"> </w:t>
                    </w:r>
                    <w:r>
                      <w:t>Management’s</w:t>
                    </w:r>
                    <w:r>
                      <w:rPr>
                        <w:spacing w:val="-5"/>
                      </w:rPr>
                      <w:t xml:space="preserve"> </w:t>
                    </w:r>
                    <w:r>
                      <w:rPr>
                        <w:spacing w:val="-2"/>
                      </w:rPr>
                      <w:t>Specialists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C"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97536" behindDoc="1" locked="0" layoutInCell="1" allowOverlap="1" wp14:anchorId="0DFDD90A" wp14:editId="0DFDD90B">
              <wp:simplePos x="0" y="0"/>
              <wp:positionH relativeFrom="page">
                <wp:posOffset>895350</wp:posOffset>
              </wp:positionH>
              <wp:positionV relativeFrom="page">
                <wp:posOffset>457962</wp:posOffset>
              </wp:positionV>
              <wp:extent cx="5981700" cy="28575"/>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FC908D" id="Graphic 158" o:spid="_x0000_s1026" style="position:absolute;margin-left:70.5pt;margin-top:36.05pt;width:471pt;height:2.25pt;z-index:-272189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98048" behindDoc="1" locked="0" layoutInCell="1" allowOverlap="1" wp14:anchorId="0DFDD90C" wp14:editId="0DFDD90D">
              <wp:simplePos x="0" y="0"/>
              <wp:positionH relativeFrom="page">
                <wp:posOffset>895350</wp:posOffset>
              </wp:positionH>
              <wp:positionV relativeFrom="page">
                <wp:posOffset>832103</wp:posOffset>
              </wp:positionV>
              <wp:extent cx="5981700" cy="28575"/>
              <wp:effectExtent l="0" t="0" r="0" b="0"/>
              <wp:wrapNone/>
              <wp:docPr id="159" name="Graphic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DD86A4" id="Graphic 159" o:spid="_x0000_s1026" style="position:absolute;margin-left:70.5pt;margin-top:65.5pt;width:471pt;height:2.25pt;z-index:-272184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98560" behindDoc="1" locked="0" layoutInCell="1" allowOverlap="1" wp14:anchorId="0DFDD90E" wp14:editId="0DFDD90F">
              <wp:simplePos x="0" y="0"/>
              <wp:positionH relativeFrom="page">
                <wp:posOffset>901700</wp:posOffset>
              </wp:positionH>
              <wp:positionV relativeFrom="page">
                <wp:posOffset>490475</wp:posOffset>
              </wp:positionV>
              <wp:extent cx="3185160" cy="342265"/>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85160" cy="342265"/>
                      </a:xfrm>
                      <a:prstGeom prst="rect">
                        <a:avLst/>
                      </a:prstGeom>
                    </wps:spPr>
                    <wps:txbx>
                      <w:txbxContent>
                        <w:p w14:paraId="0DFDDE09"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0A" w14:textId="77777777" w:rsidR="00046465" w:rsidRDefault="008134EB">
                          <w:pPr>
                            <w:pStyle w:val="BodyText"/>
                            <w:ind w:left="20"/>
                          </w:pPr>
                          <w:r>
                            <w:t>625</w:t>
                          </w:r>
                          <w:r>
                            <w:rPr>
                              <w:spacing w:val="-6"/>
                            </w:rPr>
                            <w:t xml:space="preserve"> </w:t>
                          </w:r>
                          <w:r>
                            <w:t>–</w:t>
                          </w:r>
                          <w:r>
                            <w:rPr>
                              <w:spacing w:val="-5"/>
                            </w:rPr>
                            <w:t xml:space="preserve"> </w:t>
                          </w:r>
                          <w:r>
                            <w:t>Using</w:t>
                          </w:r>
                          <w:r>
                            <w:rPr>
                              <w:spacing w:val="-6"/>
                            </w:rPr>
                            <w:t xml:space="preserve"> </w:t>
                          </w:r>
                          <w:r>
                            <w:t>the</w:t>
                          </w:r>
                          <w:r>
                            <w:rPr>
                              <w:spacing w:val="-6"/>
                            </w:rPr>
                            <w:t xml:space="preserve"> </w:t>
                          </w:r>
                          <w:r>
                            <w:t>Work</w:t>
                          </w:r>
                          <w:r>
                            <w:rPr>
                              <w:spacing w:val="-5"/>
                            </w:rPr>
                            <w:t xml:space="preserve"> </w:t>
                          </w:r>
                          <w:r>
                            <w:t>of</w:t>
                          </w:r>
                          <w:r>
                            <w:rPr>
                              <w:spacing w:val="-6"/>
                            </w:rPr>
                            <w:t xml:space="preserve"> </w:t>
                          </w:r>
                          <w:r>
                            <w:t>Management’s</w:t>
                          </w:r>
                          <w:r>
                            <w:rPr>
                              <w:spacing w:val="-5"/>
                            </w:rPr>
                            <w:t xml:space="preserve"> </w:t>
                          </w:r>
                          <w:r>
                            <w:rPr>
                              <w:spacing w:val="-2"/>
                            </w:rPr>
                            <w:t>Specialists</w:t>
                          </w:r>
                        </w:p>
                      </w:txbxContent>
                    </wps:txbx>
                    <wps:bodyPr wrap="square" lIns="0" tIns="0" rIns="0" bIns="0" rtlCol="0">
                      <a:noAutofit/>
                    </wps:bodyPr>
                  </wps:wsp>
                </a:graphicData>
              </a:graphic>
            </wp:anchor>
          </w:drawing>
        </mc:Choice>
        <mc:Fallback>
          <w:pict>
            <v:shapetype w14:anchorId="0DFDD90E" id="_x0000_t202" coordsize="21600,21600" o:spt="202" path="m,l,21600r21600,l21600,xe">
              <v:stroke joinstyle="miter"/>
              <v:path gradientshapeok="t" o:connecttype="rect"/>
            </v:shapetype>
            <v:shape id="Textbox 160" o:spid="_x0000_s1096" type="#_x0000_t202" style="position:absolute;margin-left:71pt;margin-top:38.6pt;width:250.8pt;height:26.95pt;z-index:-272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" filled="f" stroked="f">
              <v:textbox inset="0,0,0,0">
                <w:txbxContent>
                  <w:p w14:paraId="0DFDDE09"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0A" w14:textId="77777777" w:rsidR="00046465" w:rsidRDefault="008134EB">
                    <w:pPr>
                      <w:pStyle w:val="BodyText"/>
                      <w:ind w:left="20"/>
                    </w:pPr>
                    <w:r>
                      <w:t>625</w:t>
                    </w:r>
                    <w:r>
                      <w:rPr>
                        <w:spacing w:val="-6"/>
                      </w:rPr>
                      <w:t xml:space="preserve"> </w:t>
                    </w:r>
                    <w:r>
                      <w:t>–</w:t>
                    </w:r>
                    <w:r>
                      <w:rPr>
                        <w:spacing w:val="-5"/>
                      </w:rPr>
                      <w:t xml:space="preserve"> </w:t>
                    </w:r>
                    <w:r>
                      <w:t>Using</w:t>
                    </w:r>
                    <w:r>
                      <w:rPr>
                        <w:spacing w:val="-6"/>
                      </w:rPr>
                      <w:t xml:space="preserve"> </w:t>
                    </w:r>
                    <w:r>
                      <w:t>the</w:t>
                    </w:r>
                    <w:r>
                      <w:rPr>
                        <w:spacing w:val="-6"/>
                      </w:rPr>
                      <w:t xml:space="preserve"> </w:t>
                    </w:r>
                    <w:r>
                      <w:t>Work</w:t>
                    </w:r>
                    <w:r>
                      <w:rPr>
                        <w:spacing w:val="-5"/>
                      </w:rPr>
                      <w:t xml:space="preserve"> </w:t>
                    </w:r>
                    <w:r>
                      <w:t>of</w:t>
                    </w:r>
                    <w:r>
                      <w:rPr>
                        <w:spacing w:val="-6"/>
                      </w:rPr>
                      <w:t xml:space="preserve"> </w:t>
                    </w:r>
                    <w:r>
                      <w:t>Management’s</w:t>
                    </w:r>
                    <w:r>
                      <w:rPr>
                        <w:spacing w:val="-5"/>
                      </w:rPr>
                      <w:t xml:space="preserve"> </w:t>
                    </w:r>
                    <w:r>
                      <w:rPr>
                        <w:spacing w:val="-2"/>
                      </w:rPr>
                      <w:t>Specialists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E"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01120" behindDoc="1" locked="0" layoutInCell="1" allowOverlap="1" wp14:anchorId="0DFDD918" wp14:editId="0DFDD919">
              <wp:simplePos x="0" y="0"/>
              <wp:positionH relativeFrom="page">
                <wp:posOffset>895350</wp:posOffset>
              </wp:positionH>
              <wp:positionV relativeFrom="page">
                <wp:posOffset>457962</wp:posOffset>
              </wp:positionV>
              <wp:extent cx="5981700" cy="28575"/>
              <wp:effectExtent l="0" t="0" r="0" b="0"/>
              <wp:wrapNone/>
              <wp:docPr id="165" name="Graphic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B4B41D" id="Graphic 165" o:spid="_x0000_s1026" style="position:absolute;margin-left:70.5pt;margin-top:36.05pt;width:471pt;height:2.25pt;z-index:-272153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01632" behindDoc="1" locked="0" layoutInCell="1" allowOverlap="1" wp14:anchorId="0DFDD91A" wp14:editId="0DFDD91B">
              <wp:simplePos x="0" y="0"/>
              <wp:positionH relativeFrom="page">
                <wp:posOffset>895350</wp:posOffset>
              </wp:positionH>
              <wp:positionV relativeFrom="page">
                <wp:posOffset>832103</wp:posOffset>
              </wp:positionV>
              <wp:extent cx="5981700" cy="28575"/>
              <wp:effectExtent l="0" t="0" r="0" b="0"/>
              <wp:wrapNone/>
              <wp:docPr id="166" name="Graphic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8A5863" id="Graphic 166" o:spid="_x0000_s1026" style="position:absolute;margin-left:70.5pt;margin-top:65.5pt;width:471pt;height:2.25pt;z-index:-2721484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02144" behindDoc="1" locked="0" layoutInCell="1" allowOverlap="1" wp14:anchorId="0DFDD91C" wp14:editId="0DFDD91D">
              <wp:simplePos x="0" y="0"/>
              <wp:positionH relativeFrom="page">
                <wp:posOffset>901700</wp:posOffset>
              </wp:positionH>
              <wp:positionV relativeFrom="page">
                <wp:posOffset>490475</wp:posOffset>
              </wp:positionV>
              <wp:extent cx="2727325" cy="342265"/>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7325" cy="342265"/>
                      </a:xfrm>
                      <a:prstGeom prst="rect">
                        <a:avLst/>
                      </a:prstGeom>
                    </wps:spPr>
                    <wps:txbx>
                      <w:txbxContent>
                        <w:p w14:paraId="0DFDDE0E"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0F" w14:textId="77777777" w:rsidR="00046465" w:rsidRDefault="008134EB">
                          <w:pPr>
                            <w:pStyle w:val="BodyText"/>
                            <w:ind w:left="20"/>
                          </w:pPr>
                          <w:r>
                            <w:t>630</w:t>
                          </w:r>
                          <w:r>
                            <w:rPr>
                              <w:spacing w:val="-5"/>
                            </w:rPr>
                            <w:t xml:space="preserve"> </w:t>
                          </w:r>
                          <w:r>
                            <w:t>–</w:t>
                          </w:r>
                          <w:r>
                            <w:rPr>
                              <w:spacing w:val="-5"/>
                            </w:rPr>
                            <w:t xml:space="preserve"> </w:t>
                          </w:r>
                          <w:r>
                            <w:t>Audits</w:t>
                          </w:r>
                          <w:r>
                            <w:rPr>
                              <w:spacing w:val="-6"/>
                            </w:rPr>
                            <w:t xml:space="preserve"> </w:t>
                          </w:r>
                          <w:r>
                            <w:t>of</w:t>
                          </w:r>
                          <w:r>
                            <w:rPr>
                              <w:spacing w:val="-5"/>
                            </w:rPr>
                            <w:t xml:space="preserve"> </w:t>
                          </w:r>
                          <w:r>
                            <w:t>Group</w:t>
                          </w:r>
                          <w:r>
                            <w:rPr>
                              <w:spacing w:val="-5"/>
                            </w:rPr>
                            <w:t xml:space="preserve"> </w:t>
                          </w:r>
                          <w:r>
                            <w:t>Financial</w:t>
                          </w:r>
                          <w:r>
                            <w:rPr>
                              <w:spacing w:val="-5"/>
                            </w:rPr>
                            <w:t xml:space="preserve"> </w:t>
                          </w:r>
                          <w:r>
                            <w:rPr>
                              <w:spacing w:val="-2"/>
                            </w:rPr>
                            <w:t>Statements</w:t>
                          </w:r>
                        </w:p>
                      </w:txbxContent>
                    </wps:txbx>
                    <wps:bodyPr wrap="square" lIns="0" tIns="0" rIns="0" bIns="0" rtlCol="0">
                      <a:noAutofit/>
                    </wps:bodyPr>
                  </wps:wsp>
                </a:graphicData>
              </a:graphic>
            </wp:anchor>
          </w:drawing>
        </mc:Choice>
        <mc:Fallback>
          <w:pict>
            <v:shapetype w14:anchorId="0DFDD91C" id="_x0000_t202" coordsize="21600,21600" o:spt="202" path="m,l,21600r21600,l21600,xe">
              <v:stroke joinstyle="miter"/>
              <v:path gradientshapeok="t" o:connecttype="rect"/>
            </v:shapetype>
            <v:shape id="Textbox 167" o:spid="_x0000_s1100" type="#_x0000_t202" style="position:absolute;margin-left:71pt;margin-top:38.6pt;width:214.75pt;height:26.95pt;z-index:-2721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" filled="f" stroked="f">
              <v:textbox inset="0,0,0,0">
                <w:txbxContent>
                  <w:p w14:paraId="0DFDDE0E"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0F" w14:textId="77777777" w:rsidR="00046465" w:rsidRDefault="008134EB">
                    <w:pPr>
                      <w:pStyle w:val="BodyText"/>
                      <w:ind w:left="20"/>
                    </w:pPr>
                    <w:r>
                      <w:t>630</w:t>
                    </w:r>
                    <w:r>
                      <w:rPr>
                        <w:spacing w:val="-5"/>
                      </w:rPr>
                      <w:t xml:space="preserve"> </w:t>
                    </w:r>
                    <w:r>
                      <w:t>–</w:t>
                    </w:r>
                    <w:r>
                      <w:rPr>
                        <w:spacing w:val="-5"/>
                      </w:rPr>
                      <w:t xml:space="preserve"> </w:t>
                    </w:r>
                    <w:r>
                      <w:t>Audits</w:t>
                    </w:r>
                    <w:r>
                      <w:rPr>
                        <w:spacing w:val="-6"/>
                      </w:rPr>
                      <w:t xml:space="preserve"> </w:t>
                    </w:r>
                    <w:r>
                      <w:t>of</w:t>
                    </w:r>
                    <w:r>
                      <w:rPr>
                        <w:spacing w:val="-5"/>
                      </w:rPr>
                      <w:t xml:space="preserve"> </w:t>
                    </w:r>
                    <w:r>
                      <w:t>Group</w:t>
                    </w:r>
                    <w:r>
                      <w:rPr>
                        <w:spacing w:val="-5"/>
                      </w:rPr>
                      <w:t xml:space="preserve"> </w:t>
                    </w:r>
                    <w:r>
                      <w:t>Financial</w:t>
                    </w:r>
                    <w:r>
                      <w:rPr>
                        <w:spacing w:val="-5"/>
                      </w:rPr>
                      <w:t xml:space="preserve"> </w:t>
                    </w:r>
                    <w:r>
                      <w:rPr>
                        <w:spacing w:val="-2"/>
                      </w:rPr>
                      <w:t>Statements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0"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04704" behindDoc="1" locked="0" layoutInCell="1" allowOverlap="1" wp14:anchorId="0DFDD926" wp14:editId="0DFDD927">
              <wp:simplePos x="0" y="0"/>
              <wp:positionH relativeFrom="page">
                <wp:posOffset>895350</wp:posOffset>
              </wp:positionH>
              <wp:positionV relativeFrom="page">
                <wp:posOffset>457962</wp:posOffset>
              </wp:positionV>
              <wp:extent cx="5981700" cy="2857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52EF55" id="Graphic 173" o:spid="_x0000_s1026" style="position:absolute;margin-left:70.5pt;margin-top:36.05pt;width:471pt;height:2.25pt;z-index:-2721177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05216" behindDoc="1" locked="0" layoutInCell="1" allowOverlap="1" wp14:anchorId="0DFDD928" wp14:editId="0DFDD929">
              <wp:simplePos x="0" y="0"/>
              <wp:positionH relativeFrom="page">
                <wp:posOffset>895350</wp:posOffset>
              </wp:positionH>
              <wp:positionV relativeFrom="page">
                <wp:posOffset>832103</wp:posOffset>
              </wp:positionV>
              <wp:extent cx="5981700" cy="28575"/>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606400" id="Graphic 174" o:spid="_x0000_s1026" style="position:absolute;margin-left:70.5pt;margin-top:65.5pt;width:471pt;height:2.25pt;z-index:-272112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05728" behindDoc="1" locked="0" layoutInCell="1" allowOverlap="1" wp14:anchorId="0DFDD92A" wp14:editId="0DFDD92B">
              <wp:simplePos x="0" y="0"/>
              <wp:positionH relativeFrom="page">
                <wp:posOffset>901700</wp:posOffset>
              </wp:positionH>
              <wp:positionV relativeFrom="page">
                <wp:posOffset>490475</wp:posOffset>
              </wp:positionV>
              <wp:extent cx="2727325" cy="342265"/>
              <wp:effectExtent l="0" t="0" r="0" b="0"/>
              <wp:wrapNone/>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7325" cy="342265"/>
                      </a:xfrm>
                      <a:prstGeom prst="rect">
                        <a:avLst/>
                      </a:prstGeom>
                    </wps:spPr>
                    <wps:txbx>
                      <w:txbxContent>
                        <w:p w14:paraId="0DFDDE13"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14" w14:textId="77777777" w:rsidR="00046465" w:rsidRDefault="008134EB">
                          <w:pPr>
                            <w:pStyle w:val="BodyText"/>
                            <w:ind w:left="20"/>
                          </w:pPr>
                          <w:r>
                            <w:t>630</w:t>
                          </w:r>
                          <w:r>
                            <w:rPr>
                              <w:spacing w:val="-5"/>
                            </w:rPr>
                            <w:t xml:space="preserve"> </w:t>
                          </w:r>
                          <w:r>
                            <w:t>–</w:t>
                          </w:r>
                          <w:r>
                            <w:rPr>
                              <w:spacing w:val="-5"/>
                            </w:rPr>
                            <w:t xml:space="preserve"> </w:t>
                          </w:r>
                          <w:r>
                            <w:t>Audits</w:t>
                          </w:r>
                          <w:r>
                            <w:rPr>
                              <w:spacing w:val="-6"/>
                            </w:rPr>
                            <w:t xml:space="preserve"> </w:t>
                          </w:r>
                          <w:r>
                            <w:t>of</w:t>
                          </w:r>
                          <w:r>
                            <w:rPr>
                              <w:spacing w:val="-5"/>
                            </w:rPr>
                            <w:t xml:space="preserve"> </w:t>
                          </w:r>
                          <w:r>
                            <w:t>Group</w:t>
                          </w:r>
                          <w:r>
                            <w:rPr>
                              <w:spacing w:val="-5"/>
                            </w:rPr>
                            <w:t xml:space="preserve"> </w:t>
                          </w:r>
                          <w:r>
                            <w:t>Financial</w:t>
                          </w:r>
                          <w:r>
                            <w:rPr>
                              <w:spacing w:val="-5"/>
                            </w:rPr>
                            <w:t xml:space="preserve"> </w:t>
                          </w:r>
                          <w:r>
                            <w:rPr>
                              <w:spacing w:val="-2"/>
                            </w:rPr>
                            <w:t>Statements</w:t>
                          </w:r>
                        </w:p>
                      </w:txbxContent>
                    </wps:txbx>
                    <wps:bodyPr wrap="square" lIns="0" tIns="0" rIns="0" bIns="0" rtlCol="0">
                      <a:noAutofit/>
                    </wps:bodyPr>
                  </wps:wsp>
                </a:graphicData>
              </a:graphic>
            </wp:anchor>
          </w:drawing>
        </mc:Choice>
        <mc:Fallback>
          <w:pict>
            <v:shapetype w14:anchorId="0DFDD92A" id="_x0000_t202" coordsize="21600,21600" o:spt="202" path="m,l,21600r21600,l21600,xe">
              <v:stroke joinstyle="miter"/>
              <v:path gradientshapeok="t" o:connecttype="rect"/>
            </v:shapetype>
            <v:shape id="Textbox 175" o:spid="_x0000_s1104" type="#_x0000_t202" style="position:absolute;margin-left:71pt;margin-top:38.6pt;width:214.75pt;height:26.95pt;z-index:-272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" filled="f" stroked="f">
              <v:textbox inset="0,0,0,0">
                <w:txbxContent>
                  <w:p w14:paraId="0DFDDE13"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14" w14:textId="77777777" w:rsidR="00046465" w:rsidRDefault="008134EB">
                    <w:pPr>
                      <w:pStyle w:val="BodyText"/>
                      <w:ind w:left="20"/>
                    </w:pPr>
                    <w:r>
                      <w:t>630</w:t>
                    </w:r>
                    <w:r>
                      <w:rPr>
                        <w:spacing w:val="-5"/>
                      </w:rPr>
                      <w:t xml:space="preserve"> </w:t>
                    </w:r>
                    <w:r>
                      <w:t>–</w:t>
                    </w:r>
                    <w:r>
                      <w:rPr>
                        <w:spacing w:val="-5"/>
                      </w:rPr>
                      <w:t xml:space="preserve"> </w:t>
                    </w:r>
                    <w:r>
                      <w:t>Audits</w:t>
                    </w:r>
                    <w:r>
                      <w:rPr>
                        <w:spacing w:val="-6"/>
                      </w:rPr>
                      <w:t xml:space="preserve"> </w:t>
                    </w:r>
                    <w:r>
                      <w:t>of</w:t>
                    </w:r>
                    <w:r>
                      <w:rPr>
                        <w:spacing w:val="-5"/>
                      </w:rPr>
                      <w:t xml:space="preserve"> </w:t>
                    </w:r>
                    <w:r>
                      <w:t>Group</w:t>
                    </w:r>
                    <w:r>
                      <w:rPr>
                        <w:spacing w:val="-5"/>
                      </w:rPr>
                      <w:t xml:space="preserve"> </w:t>
                    </w:r>
                    <w:r>
                      <w:t>Financial</w:t>
                    </w:r>
                    <w:r>
                      <w:rPr>
                        <w:spacing w:val="-5"/>
                      </w:rPr>
                      <w:t xml:space="preserve"> </w:t>
                    </w:r>
                    <w:r>
                      <w:rPr>
                        <w:spacing w:val="-2"/>
                      </w:rPr>
                      <w:t>Statements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2"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08288" behindDoc="1" locked="0" layoutInCell="1" allowOverlap="1" wp14:anchorId="0DFDD934" wp14:editId="0DFDD935">
              <wp:simplePos x="0" y="0"/>
              <wp:positionH relativeFrom="page">
                <wp:posOffset>895350</wp:posOffset>
              </wp:positionH>
              <wp:positionV relativeFrom="page">
                <wp:posOffset>457962</wp:posOffset>
              </wp:positionV>
              <wp:extent cx="5981700" cy="28575"/>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72F960" id="Graphic 182" o:spid="_x0000_s1026" style="position:absolute;margin-left:70.5pt;margin-top:36.05pt;width:471pt;height:2.25pt;z-index:-2720819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08800" behindDoc="1" locked="0" layoutInCell="1" allowOverlap="1" wp14:anchorId="0DFDD936" wp14:editId="0DFDD937">
              <wp:simplePos x="0" y="0"/>
              <wp:positionH relativeFrom="page">
                <wp:posOffset>895350</wp:posOffset>
              </wp:positionH>
              <wp:positionV relativeFrom="page">
                <wp:posOffset>832103</wp:posOffset>
              </wp:positionV>
              <wp:extent cx="5981700" cy="28575"/>
              <wp:effectExtent l="0" t="0" r="0" b="0"/>
              <wp:wrapNone/>
              <wp:docPr id="183" name="Graphic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4CF6BC" id="Graphic 183" o:spid="_x0000_s1026" style="position:absolute;margin-left:70.5pt;margin-top:65.5pt;width:471pt;height:2.25pt;z-index:-272076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09312" behindDoc="1" locked="0" layoutInCell="1" allowOverlap="1" wp14:anchorId="0DFDD938" wp14:editId="0DFDD939">
              <wp:simplePos x="0" y="0"/>
              <wp:positionH relativeFrom="page">
                <wp:posOffset>901700</wp:posOffset>
              </wp:positionH>
              <wp:positionV relativeFrom="page">
                <wp:posOffset>490475</wp:posOffset>
              </wp:positionV>
              <wp:extent cx="2720340" cy="342265"/>
              <wp:effectExtent l="0" t="0" r="0" b="0"/>
              <wp:wrapNone/>
              <wp:docPr id="184" name="Text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0340" cy="342265"/>
                      </a:xfrm>
                      <a:prstGeom prst="rect">
                        <a:avLst/>
                      </a:prstGeom>
                    </wps:spPr>
                    <wps:txbx>
                      <w:txbxContent>
                        <w:p w14:paraId="0DFDDE18"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19" w14:textId="77777777" w:rsidR="00046465" w:rsidRDefault="008134EB">
                          <w:pPr>
                            <w:pStyle w:val="BodyText"/>
                            <w:ind w:left="20"/>
                          </w:pPr>
                          <w:r>
                            <w:t>640</w:t>
                          </w:r>
                          <w:r>
                            <w:rPr>
                              <w:spacing w:val="-6"/>
                            </w:rPr>
                            <w:t xml:space="preserve"> </w:t>
                          </w:r>
                          <w:r>
                            <w:t>–</w:t>
                          </w:r>
                          <w:r>
                            <w:rPr>
                              <w:spacing w:val="-5"/>
                            </w:rPr>
                            <w:t xml:space="preserve"> </w:t>
                          </w:r>
                          <w:r>
                            <w:t>Entities</w:t>
                          </w:r>
                          <w:r>
                            <w:rPr>
                              <w:spacing w:val="-5"/>
                            </w:rPr>
                            <w:t xml:space="preserve"> </w:t>
                          </w:r>
                          <w:r>
                            <w:t>Using</w:t>
                          </w:r>
                          <w:r>
                            <w:rPr>
                              <w:spacing w:val="-5"/>
                            </w:rPr>
                            <w:t xml:space="preserve"> </w:t>
                          </w:r>
                          <w:r>
                            <w:t>a</w:t>
                          </w:r>
                          <w:r>
                            <w:rPr>
                              <w:spacing w:val="-6"/>
                            </w:rPr>
                            <w:t xml:space="preserve"> </w:t>
                          </w:r>
                          <w:r>
                            <w:t>Service</w:t>
                          </w:r>
                          <w:r>
                            <w:rPr>
                              <w:spacing w:val="-5"/>
                            </w:rPr>
                            <w:t xml:space="preserve"> </w:t>
                          </w:r>
                          <w:r>
                            <w:rPr>
                              <w:spacing w:val="-2"/>
                            </w:rPr>
                            <w:t>Organization</w:t>
                          </w:r>
                        </w:p>
                      </w:txbxContent>
                    </wps:txbx>
                    <wps:bodyPr wrap="square" lIns="0" tIns="0" rIns="0" bIns="0" rtlCol="0">
                      <a:noAutofit/>
                    </wps:bodyPr>
                  </wps:wsp>
                </a:graphicData>
              </a:graphic>
            </wp:anchor>
          </w:drawing>
        </mc:Choice>
        <mc:Fallback>
          <w:pict>
            <v:shapetype w14:anchorId="0DFDD938" id="_x0000_t202" coordsize="21600,21600" o:spt="202" path="m,l,21600r21600,l21600,xe">
              <v:stroke joinstyle="miter"/>
              <v:path gradientshapeok="t" o:connecttype="rect"/>
            </v:shapetype>
            <v:shape id="Textbox 184" o:spid="_x0000_s1108" type="#_x0000_t202" style="position:absolute;margin-left:71pt;margin-top:38.6pt;width:214.2pt;height:26.95pt;z-index:-272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" filled="f" stroked="f">
              <v:textbox inset="0,0,0,0">
                <w:txbxContent>
                  <w:p w14:paraId="0DFDDE18"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19" w14:textId="77777777" w:rsidR="00046465" w:rsidRDefault="008134EB">
                    <w:pPr>
                      <w:pStyle w:val="BodyText"/>
                      <w:ind w:left="20"/>
                    </w:pPr>
                    <w:r>
                      <w:t>640</w:t>
                    </w:r>
                    <w:r>
                      <w:rPr>
                        <w:spacing w:val="-6"/>
                      </w:rPr>
                      <w:t xml:space="preserve"> </w:t>
                    </w:r>
                    <w:r>
                      <w:t>–</w:t>
                    </w:r>
                    <w:r>
                      <w:rPr>
                        <w:spacing w:val="-5"/>
                      </w:rPr>
                      <w:t xml:space="preserve"> </w:t>
                    </w:r>
                    <w:r>
                      <w:t>Entities</w:t>
                    </w:r>
                    <w:r>
                      <w:rPr>
                        <w:spacing w:val="-5"/>
                      </w:rPr>
                      <w:t xml:space="preserve"> </w:t>
                    </w:r>
                    <w:r>
                      <w:t>Using</w:t>
                    </w:r>
                    <w:r>
                      <w:rPr>
                        <w:spacing w:val="-5"/>
                      </w:rPr>
                      <w:t xml:space="preserve"> </w:t>
                    </w:r>
                    <w:r>
                      <w:t>a</w:t>
                    </w:r>
                    <w:r>
                      <w:rPr>
                        <w:spacing w:val="-6"/>
                      </w:rPr>
                      <w:t xml:space="preserve"> </w:t>
                    </w:r>
                    <w:r>
                      <w:t>Service</w:t>
                    </w:r>
                    <w:r>
                      <w:rPr>
                        <w:spacing w:val="-5"/>
                      </w:rPr>
                      <w:t xml:space="preserve"> </w:t>
                    </w:r>
                    <w:r>
                      <w:rPr>
                        <w:spacing w:val="-2"/>
                      </w:rPr>
                      <w:t>Organization</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4"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11872" behindDoc="1" locked="0" layoutInCell="1" allowOverlap="1" wp14:anchorId="0DFDD942" wp14:editId="0DFDD943">
              <wp:simplePos x="0" y="0"/>
              <wp:positionH relativeFrom="page">
                <wp:posOffset>895350</wp:posOffset>
              </wp:positionH>
              <wp:positionV relativeFrom="page">
                <wp:posOffset>457962</wp:posOffset>
              </wp:positionV>
              <wp:extent cx="5981700" cy="28575"/>
              <wp:effectExtent l="0" t="0" r="0" b="0"/>
              <wp:wrapNone/>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E93086" id="Graphic 190" o:spid="_x0000_s1026" style="position:absolute;margin-left:70.5pt;margin-top:36.05pt;width:471pt;height:2.25pt;z-index:-2720460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12384" behindDoc="1" locked="0" layoutInCell="1" allowOverlap="1" wp14:anchorId="0DFDD944" wp14:editId="0DFDD945">
              <wp:simplePos x="0" y="0"/>
              <wp:positionH relativeFrom="page">
                <wp:posOffset>895350</wp:posOffset>
              </wp:positionH>
              <wp:positionV relativeFrom="page">
                <wp:posOffset>832103</wp:posOffset>
              </wp:positionV>
              <wp:extent cx="5981700" cy="28575"/>
              <wp:effectExtent l="0" t="0" r="0" b="0"/>
              <wp:wrapNone/>
              <wp:docPr id="191" name="Graphic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06D99D" id="Graphic 191" o:spid="_x0000_s1026" style="position:absolute;margin-left:70.5pt;margin-top:65.5pt;width:471pt;height:2.25pt;z-index:-272040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12896" behindDoc="1" locked="0" layoutInCell="1" allowOverlap="1" wp14:anchorId="0DFDD946" wp14:editId="0DFDD947">
              <wp:simplePos x="0" y="0"/>
              <wp:positionH relativeFrom="page">
                <wp:posOffset>901700</wp:posOffset>
              </wp:positionH>
              <wp:positionV relativeFrom="page">
                <wp:posOffset>490475</wp:posOffset>
              </wp:positionV>
              <wp:extent cx="2720340" cy="342265"/>
              <wp:effectExtent l="0" t="0" r="0" b="0"/>
              <wp:wrapNone/>
              <wp:docPr id="192" name="Text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0340" cy="342265"/>
                      </a:xfrm>
                      <a:prstGeom prst="rect">
                        <a:avLst/>
                      </a:prstGeom>
                    </wps:spPr>
                    <wps:txbx>
                      <w:txbxContent>
                        <w:p w14:paraId="0DFDDE1D"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1E" w14:textId="77777777" w:rsidR="00046465" w:rsidRDefault="008134EB">
                          <w:pPr>
                            <w:pStyle w:val="BodyText"/>
                            <w:ind w:left="20"/>
                          </w:pPr>
                          <w:r>
                            <w:t>640</w:t>
                          </w:r>
                          <w:r>
                            <w:rPr>
                              <w:spacing w:val="-6"/>
                            </w:rPr>
                            <w:t xml:space="preserve"> </w:t>
                          </w:r>
                          <w:r>
                            <w:t>–</w:t>
                          </w:r>
                          <w:r>
                            <w:rPr>
                              <w:spacing w:val="-5"/>
                            </w:rPr>
                            <w:t xml:space="preserve"> </w:t>
                          </w:r>
                          <w:r>
                            <w:t>Entities</w:t>
                          </w:r>
                          <w:r>
                            <w:rPr>
                              <w:spacing w:val="-5"/>
                            </w:rPr>
                            <w:t xml:space="preserve"> </w:t>
                          </w:r>
                          <w:r>
                            <w:t>Using</w:t>
                          </w:r>
                          <w:r>
                            <w:rPr>
                              <w:spacing w:val="-5"/>
                            </w:rPr>
                            <w:t xml:space="preserve"> </w:t>
                          </w:r>
                          <w:r>
                            <w:t>a</w:t>
                          </w:r>
                          <w:r>
                            <w:rPr>
                              <w:spacing w:val="-6"/>
                            </w:rPr>
                            <w:t xml:space="preserve"> </w:t>
                          </w:r>
                          <w:r>
                            <w:t>Service</w:t>
                          </w:r>
                          <w:r>
                            <w:rPr>
                              <w:spacing w:val="-5"/>
                            </w:rPr>
                            <w:t xml:space="preserve"> </w:t>
                          </w:r>
                          <w:r>
                            <w:rPr>
                              <w:spacing w:val="-2"/>
                            </w:rPr>
                            <w:t>Organization</w:t>
                          </w:r>
                        </w:p>
                      </w:txbxContent>
                    </wps:txbx>
                    <wps:bodyPr wrap="square" lIns="0" tIns="0" rIns="0" bIns="0" rtlCol="0">
                      <a:noAutofit/>
                    </wps:bodyPr>
                  </wps:wsp>
                </a:graphicData>
              </a:graphic>
            </wp:anchor>
          </w:drawing>
        </mc:Choice>
        <mc:Fallback>
          <w:pict>
            <v:shapetype w14:anchorId="0DFDD946" id="_x0000_t202" coordsize="21600,21600" o:spt="202" path="m,l,21600r21600,l21600,xe">
              <v:stroke joinstyle="miter"/>
              <v:path gradientshapeok="t" o:connecttype="rect"/>
            </v:shapetype>
            <v:shape id="Textbox 192" o:spid="_x0000_s1112" type="#_x0000_t202" style="position:absolute;margin-left:71pt;margin-top:38.6pt;width:214.2pt;height:26.95pt;z-index:-272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" filled="f" stroked="f">
              <v:textbox inset="0,0,0,0">
                <w:txbxContent>
                  <w:p w14:paraId="0DFDDE1D"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1E" w14:textId="77777777" w:rsidR="00046465" w:rsidRDefault="008134EB">
                    <w:pPr>
                      <w:pStyle w:val="BodyText"/>
                      <w:ind w:left="20"/>
                    </w:pPr>
                    <w:r>
                      <w:t>640</w:t>
                    </w:r>
                    <w:r>
                      <w:rPr>
                        <w:spacing w:val="-6"/>
                      </w:rPr>
                      <w:t xml:space="preserve"> </w:t>
                    </w:r>
                    <w:r>
                      <w:t>–</w:t>
                    </w:r>
                    <w:r>
                      <w:rPr>
                        <w:spacing w:val="-5"/>
                      </w:rPr>
                      <w:t xml:space="preserve"> </w:t>
                    </w:r>
                    <w:r>
                      <w:t>Entities</w:t>
                    </w:r>
                    <w:r>
                      <w:rPr>
                        <w:spacing w:val="-5"/>
                      </w:rPr>
                      <w:t xml:space="preserve"> </w:t>
                    </w:r>
                    <w:r>
                      <w:t>Using</w:t>
                    </w:r>
                    <w:r>
                      <w:rPr>
                        <w:spacing w:val="-5"/>
                      </w:rPr>
                      <w:t xml:space="preserve"> </w:t>
                    </w:r>
                    <w:r>
                      <w:t>a</w:t>
                    </w:r>
                    <w:r>
                      <w:rPr>
                        <w:spacing w:val="-6"/>
                      </w:rPr>
                      <w:t xml:space="preserve"> </w:t>
                    </w:r>
                    <w:r>
                      <w:t>Service</w:t>
                    </w:r>
                    <w:r>
                      <w:rPr>
                        <w:spacing w:val="-5"/>
                      </w:rPr>
                      <w:t xml:space="preserve"> </w:t>
                    </w:r>
                    <w:r>
                      <w:rPr>
                        <w:spacing w:val="-2"/>
                      </w:rPr>
                      <w:t>Organization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2"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58112" behindDoc="1" locked="0" layoutInCell="1" allowOverlap="1" wp14:anchorId="0DFDD870" wp14:editId="0DFDD871">
              <wp:simplePos x="0" y="0"/>
              <wp:positionH relativeFrom="page">
                <wp:posOffset>895350</wp:posOffset>
              </wp:positionH>
              <wp:positionV relativeFrom="page">
                <wp:posOffset>496062</wp:posOffset>
              </wp:positionV>
              <wp:extent cx="5981700" cy="2857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CB3A59" id="Graphic 57" o:spid="_x0000_s1026" style="position:absolute;margin-left:70.5pt;margin-top:39.05pt;width:471pt;height:2.25pt;z-index:-2725836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58624" behindDoc="1" locked="0" layoutInCell="1" allowOverlap="1" wp14:anchorId="0DFDD872" wp14:editId="0DFDD873">
              <wp:simplePos x="0" y="0"/>
              <wp:positionH relativeFrom="page">
                <wp:posOffset>895350</wp:posOffset>
              </wp:positionH>
              <wp:positionV relativeFrom="page">
                <wp:posOffset>709422</wp:posOffset>
              </wp:positionV>
              <wp:extent cx="5981700" cy="2857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A51006" id="Graphic 58" o:spid="_x0000_s1026" style="position:absolute;margin-left:70.5pt;margin-top:55.85pt;width:471pt;height:2.25pt;z-index:-272578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59136" behindDoc="1" locked="0" layoutInCell="1" allowOverlap="1" wp14:anchorId="0DFDD874" wp14:editId="0DFDD875">
              <wp:simplePos x="0" y="0"/>
              <wp:positionH relativeFrom="page">
                <wp:posOffset>901700</wp:posOffset>
              </wp:positionH>
              <wp:positionV relativeFrom="page">
                <wp:posOffset>528576</wp:posOffset>
              </wp:positionV>
              <wp:extent cx="4258310" cy="1816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8310" cy="181610"/>
                      </a:xfrm>
                      <a:prstGeom prst="rect">
                        <a:avLst/>
                      </a:prstGeom>
                    </wps:spPr>
                    <wps:txbx>
                      <w:txbxContent>
                        <w:p w14:paraId="0DFDDDD6" w14:textId="77777777" w:rsidR="00046465" w:rsidRDefault="008134EB">
                          <w:pPr>
                            <w:pStyle w:val="BodyText"/>
                            <w:spacing w:before="12"/>
                            <w:ind w:left="20"/>
                          </w:pPr>
                          <w:r>
                            <w:t>Financial</w:t>
                          </w:r>
                          <w:r>
                            <w:rPr>
                              <w:spacing w:val="-6"/>
                            </w:rPr>
                            <w:t xml:space="preserve"> </w:t>
                          </w:r>
                          <w:r>
                            <w:t>Audit</w:t>
                          </w:r>
                          <w:r>
                            <w:rPr>
                              <w:spacing w:val="-6"/>
                            </w:rPr>
                            <w:t xml:space="preserve"> </w:t>
                          </w:r>
                          <w:r>
                            <w:t>Manual</w:t>
                          </w:r>
                          <w:r>
                            <w:rPr>
                              <w:spacing w:val="-6"/>
                            </w:rPr>
                            <w:t xml:space="preserve"> </w:t>
                          </w:r>
                          <w:r>
                            <w:t>Volume</w:t>
                          </w:r>
                          <w:r>
                            <w:rPr>
                              <w:spacing w:val="-6"/>
                            </w:rPr>
                            <w:t xml:space="preserve"> </w:t>
                          </w:r>
                          <w:r>
                            <w:t>2</w:t>
                          </w:r>
                          <w:r>
                            <w:rPr>
                              <w:spacing w:val="-6"/>
                            </w:rPr>
                            <w:t xml:space="preserve"> </w:t>
                          </w:r>
                          <w:r>
                            <w:t>–</w:t>
                          </w:r>
                          <w:r>
                            <w:rPr>
                              <w:spacing w:val="-6"/>
                            </w:rPr>
                            <w:t xml:space="preserve"> </w:t>
                          </w:r>
                          <w:r>
                            <w:t>Summary</w:t>
                          </w:r>
                          <w:r>
                            <w:rPr>
                              <w:spacing w:val="-6"/>
                            </w:rPr>
                            <w:t xml:space="preserve"> </w:t>
                          </w:r>
                          <w:r>
                            <w:t>of</w:t>
                          </w:r>
                          <w:r>
                            <w:rPr>
                              <w:spacing w:val="-5"/>
                            </w:rPr>
                            <w:t xml:space="preserve"> </w:t>
                          </w:r>
                          <w:r>
                            <w:t>Significant</w:t>
                          </w:r>
                          <w:r>
                            <w:rPr>
                              <w:spacing w:val="-7"/>
                            </w:rPr>
                            <w:t xml:space="preserve"> </w:t>
                          </w:r>
                          <w:r>
                            <w:rPr>
                              <w:spacing w:val="-2"/>
                            </w:rPr>
                            <w:t>Changes</w:t>
                          </w:r>
                        </w:p>
                      </w:txbxContent>
                    </wps:txbx>
                    <wps:bodyPr wrap="square" lIns="0" tIns="0" rIns="0" bIns="0" rtlCol="0">
                      <a:noAutofit/>
                    </wps:bodyPr>
                  </wps:wsp>
                </a:graphicData>
              </a:graphic>
            </wp:anchor>
          </w:drawing>
        </mc:Choice>
        <mc:Fallback>
          <w:pict>
            <v:shapetype w14:anchorId="0DFDD874" id="_x0000_t202" coordsize="21600,21600" o:spt="202" path="m,l,21600r21600,l21600,xe">
              <v:stroke joinstyle="miter"/>
              <v:path gradientshapeok="t" o:connecttype="rect"/>
            </v:shapetype>
            <v:shape id="Textbox 59" o:spid="_x0000_s1052" type="#_x0000_t202" style="position:absolute;margin-left:71pt;margin-top:41.6pt;width:335.3pt;height:14.3pt;z-index:-2725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" filled="f" stroked="f">
              <v:textbox inset="0,0,0,0">
                <w:txbxContent>
                  <w:p w14:paraId="0DFDDDD6" w14:textId="77777777" w:rsidR="00046465" w:rsidRDefault="008134EB">
                    <w:pPr>
                      <w:pStyle w:val="BodyText"/>
                      <w:spacing w:before="12"/>
                      <w:ind w:left="20"/>
                    </w:pPr>
                    <w:r>
                      <w:t>Financial</w:t>
                    </w:r>
                    <w:r>
                      <w:rPr>
                        <w:spacing w:val="-6"/>
                      </w:rPr>
                      <w:t xml:space="preserve"> </w:t>
                    </w:r>
                    <w:r>
                      <w:t>Audit</w:t>
                    </w:r>
                    <w:r>
                      <w:rPr>
                        <w:spacing w:val="-6"/>
                      </w:rPr>
                      <w:t xml:space="preserve"> </w:t>
                    </w:r>
                    <w:r>
                      <w:t>Manual</w:t>
                    </w:r>
                    <w:r>
                      <w:rPr>
                        <w:spacing w:val="-6"/>
                      </w:rPr>
                      <w:t xml:space="preserve"> </w:t>
                    </w:r>
                    <w:r>
                      <w:t>Volume</w:t>
                    </w:r>
                    <w:r>
                      <w:rPr>
                        <w:spacing w:val="-6"/>
                      </w:rPr>
                      <w:t xml:space="preserve"> </w:t>
                    </w:r>
                    <w:r>
                      <w:t>2</w:t>
                    </w:r>
                    <w:r>
                      <w:rPr>
                        <w:spacing w:val="-6"/>
                      </w:rPr>
                      <w:t xml:space="preserve"> </w:t>
                    </w:r>
                    <w:r>
                      <w:t>–</w:t>
                    </w:r>
                    <w:r>
                      <w:rPr>
                        <w:spacing w:val="-6"/>
                      </w:rPr>
                      <w:t xml:space="preserve"> </w:t>
                    </w:r>
                    <w:r>
                      <w:t>Summary</w:t>
                    </w:r>
                    <w:r>
                      <w:rPr>
                        <w:spacing w:val="-6"/>
                      </w:rPr>
                      <w:t xml:space="preserve"> </w:t>
                    </w:r>
                    <w:r>
                      <w:t>of</w:t>
                    </w:r>
                    <w:r>
                      <w:rPr>
                        <w:spacing w:val="-5"/>
                      </w:rPr>
                      <w:t xml:space="preserve"> </w:t>
                    </w:r>
                    <w:r>
                      <w:t>Significant</w:t>
                    </w:r>
                    <w:r>
                      <w:rPr>
                        <w:spacing w:val="-7"/>
                      </w:rPr>
                      <w:t xml:space="preserve"> </w:t>
                    </w:r>
                    <w:r>
                      <w:rPr>
                        <w:spacing w:val="-2"/>
                      </w:rPr>
                      <w:t>Changes</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6"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15456" behindDoc="1" locked="0" layoutInCell="1" allowOverlap="1" wp14:anchorId="0DFDD950" wp14:editId="0DFDD951">
              <wp:simplePos x="0" y="0"/>
              <wp:positionH relativeFrom="page">
                <wp:posOffset>895350</wp:posOffset>
              </wp:positionH>
              <wp:positionV relativeFrom="page">
                <wp:posOffset>457962</wp:posOffset>
              </wp:positionV>
              <wp:extent cx="5981700" cy="2857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5729EE" id="Graphic 199" o:spid="_x0000_s1026" style="position:absolute;margin-left:70.5pt;margin-top:36.05pt;width:471pt;height:2.25pt;z-index:-272010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15968" behindDoc="1" locked="0" layoutInCell="1" allowOverlap="1" wp14:anchorId="0DFDD952" wp14:editId="0DFDD953">
              <wp:simplePos x="0" y="0"/>
              <wp:positionH relativeFrom="page">
                <wp:posOffset>901700</wp:posOffset>
              </wp:positionH>
              <wp:positionV relativeFrom="page">
                <wp:posOffset>490475</wp:posOffset>
              </wp:positionV>
              <wp:extent cx="3877310" cy="34226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7310" cy="342265"/>
                      </a:xfrm>
                      <a:prstGeom prst="rect">
                        <a:avLst/>
                      </a:prstGeom>
                    </wps:spPr>
                    <wps:txbx>
                      <w:txbxContent>
                        <w:p w14:paraId="0DFDDE22"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23" w14:textId="77777777" w:rsidR="00046465" w:rsidRDefault="008134EB">
                          <w:pPr>
                            <w:pStyle w:val="BodyText"/>
                            <w:ind w:left="20"/>
                          </w:pPr>
                          <w:r>
                            <w:t>640</w:t>
                          </w:r>
                          <w:r>
                            <w:rPr>
                              <w:spacing w:val="-7"/>
                            </w:rPr>
                            <w:t xml:space="preserve"> </w:t>
                          </w:r>
                          <w:r>
                            <w:t>A</w:t>
                          </w:r>
                          <w:r>
                            <w:rPr>
                              <w:spacing w:val="-6"/>
                            </w:rPr>
                            <w:t xml:space="preserve"> </w:t>
                          </w:r>
                          <w:r>
                            <w:t>–</w:t>
                          </w:r>
                          <w:r>
                            <w:rPr>
                              <w:spacing w:val="-6"/>
                            </w:rPr>
                            <w:t xml:space="preserve"> </w:t>
                          </w:r>
                          <w:r>
                            <w:t>Service</w:t>
                          </w:r>
                          <w:r>
                            <w:rPr>
                              <w:spacing w:val="-7"/>
                            </w:rPr>
                            <w:t xml:space="preserve"> </w:t>
                          </w:r>
                          <w:r>
                            <w:t>Organization</w:t>
                          </w:r>
                          <w:r>
                            <w:rPr>
                              <w:spacing w:val="-6"/>
                            </w:rPr>
                            <w:t xml:space="preserve"> </w:t>
                          </w:r>
                          <w:r>
                            <w:t>Type</w:t>
                          </w:r>
                          <w:r>
                            <w:rPr>
                              <w:spacing w:val="-6"/>
                            </w:rPr>
                            <w:t xml:space="preserve"> </w:t>
                          </w:r>
                          <w:r>
                            <w:t>2</w:t>
                          </w:r>
                          <w:r>
                            <w:rPr>
                              <w:spacing w:val="-8"/>
                            </w:rPr>
                            <w:t xml:space="preserve"> </w:t>
                          </w:r>
                          <w:r>
                            <w:t>Report</w:t>
                          </w:r>
                          <w:r>
                            <w:rPr>
                              <w:spacing w:val="-6"/>
                            </w:rPr>
                            <w:t xml:space="preserve"> </w:t>
                          </w:r>
                          <w:r>
                            <w:t>Assessment</w:t>
                          </w:r>
                          <w:r>
                            <w:rPr>
                              <w:spacing w:val="-6"/>
                            </w:rPr>
                            <w:t xml:space="preserve"> </w:t>
                          </w:r>
                          <w:r>
                            <w:rPr>
                              <w:spacing w:val="-4"/>
                            </w:rPr>
                            <w:t>Tool</w:t>
                          </w:r>
                        </w:p>
                      </w:txbxContent>
                    </wps:txbx>
                    <wps:bodyPr wrap="square" lIns="0" tIns="0" rIns="0" bIns="0" rtlCol="0">
                      <a:noAutofit/>
                    </wps:bodyPr>
                  </wps:wsp>
                </a:graphicData>
              </a:graphic>
            </wp:anchor>
          </w:drawing>
        </mc:Choice>
        <mc:Fallback>
          <w:pict>
            <v:shapetype w14:anchorId="0DFDD952" id="_x0000_t202" coordsize="21600,21600" o:spt="202" path="m,l,21600r21600,l21600,xe">
              <v:stroke joinstyle="miter"/>
              <v:path gradientshapeok="t" o:connecttype="rect"/>
            </v:shapetype>
            <v:shape id="Textbox 200" o:spid="_x0000_s1116" type="#_x0000_t202" style="position:absolute;margin-left:71pt;margin-top:38.6pt;width:305.3pt;height:26.95pt;z-index:-272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" filled="f" stroked="f">
              <v:textbox inset="0,0,0,0">
                <w:txbxContent>
                  <w:p w14:paraId="0DFDDE22"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23" w14:textId="77777777" w:rsidR="00046465" w:rsidRDefault="008134EB">
                    <w:pPr>
                      <w:pStyle w:val="BodyText"/>
                      <w:ind w:left="20"/>
                    </w:pPr>
                    <w:r>
                      <w:t>640</w:t>
                    </w:r>
                    <w:r>
                      <w:rPr>
                        <w:spacing w:val="-7"/>
                      </w:rPr>
                      <w:t xml:space="preserve"> </w:t>
                    </w:r>
                    <w:r>
                      <w:t>A</w:t>
                    </w:r>
                    <w:r>
                      <w:rPr>
                        <w:spacing w:val="-6"/>
                      </w:rPr>
                      <w:t xml:space="preserve"> </w:t>
                    </w:r>
                    <w:r>
                      <w:t>–</w:t>
                    </w:r>
                    <w:r>
                      <w:rPr>
                        <w:spacing w:val="-6"/>
                      </w:rPr>
                      <w:t xml:space="preserve"> </w:t>
                    </w:r>
                    <w:r>
                      <w:t>Service</w:t>
                    </w:r>
                    <w:r>
                      <w:rPr>
                        <w:spacing w:val="-7"/>
                      </w:rPr>
                      <w:t xml:space="preserve"> </w:t>
                    </w:r>
                    <w:r>
                      <w:t>Organization</w:t>
                    </w:r>
                    <w:r>
                      <w:rPr>
                        <w:spacing w:val="-6"/>
                      </w:rPr>
                      <w:t xml:space="preserve"> </w:t>
                    </w:r>
                    <w:r>
                      <w:t>Type</w:t>
                    </w:r>
                    <w:r>
                      <w:rPr>
                        <w:spacing w:val="-6"/>
                      </w:rPr>
                      <w:t xml:space="preserve"> </w:t>
                    </w:r>
                    <w:r>
                      <w:t>2</w:t>
                    </w:r>
                    <w:r>
                      <w:rPr>
                        <w:spacing w:val="-8"/>
                      </w:rPr>
                      <w:t xml:space="preserve"> </w:t>
                    </w:r>
                    <w:r>
                      <w:t>Report</w:t>
                    </w:r>
                    <w:r>
                      <w:rPr>
                        <w:spacing w:val="-6"/>
                      </w:rPr>
                      <w:t xml:space="preserve"> </w:t>
                    </w:r>
                    <w:r>
                      <w:t>Assessment</w:t>
                    </w:r>
                    <w:r>
                      <w:rPr>
                        <w:spacing w:val="-6"/>
                      </w:rPr>
                      <w:t xml:space="preserve"> </w:t>
                    </w:r>
                    <w:r>
                      <w:rPr>
                        <w:spacing w:val="-4"/>
                      </w:rPr>
                      <w:t>Tool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8"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18528" behindDoc="1" locked="0" layoutInCell="1" allowOverlap="1" wp14:anchorId="0DFDD95C" wp14:editId="0DFDD95D">
              <wp:simplePos x="0" y="0"/>
              <wp:positionH relativeFrom="page">
                <wp:posOffset>895350</wp:posOffset>
              </wp:positionH>
              <wp:positionV relativeFrom="page">
                <wp:posOffset>457962</wp:posOffset>
              </wp:positionV>
              <wp:extent cx="5981700" cy="28575"/>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DC8A1B" id="Graphic 222" o:spid="_x0000_s1026" style="position:absolute;margin-left:70.5pt;margin-top:36.05pt;width:471pt;height:2.25pt;z-index:-2719795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19040" behindDoc="1" locked="0" layoutInCell="1" allowOverlap="1" wp14:anchorId="0DFDD95E" wp14:editId="0DFDD95F">
              <wp:simplePos x="0" y="0"/>
              <wp:positionH relativeFrom="page">
                <wp:posOffset>895350</wp:posOffset>
              </wp:positionH>
              <wp:positionV relativeFrom="page">
                <wp:posOffset>832103</wp:posOffset>
              </wp:positionV>
              <wp:extent cx="5981700" cy="2857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5D0CC6" id="Graphic 223" o:spid="_x0000_s1026" style="position:absolute;margin-left:70.5pt;margin-top:65.5pt;width:471pt;height:2.25pt;z-index:-271974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19552" behindDoc="1" locked="0" layoutInCell="1" allowOverlap="1" wp14:anchorId="0DFDD960" wp14:editId="0DFDD961">
              <wp:simplePos x="0" y="0"/>
              <wp:positionH relativeFrom="page">
                <wp:posOffset>901700</wp:posOffset>
              </wp:positionH>
              <wp:positionV relativeFrom="page">
                <wp:posOffset>490475</wp:posOffset>
              </wp:positionV>
              <wp:extent cx="3877310" cy="34226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77310" cy="342265"/>
                      </a:xfrm>
                      <a:prstGeom prst="rect">
                        <a:avLst/>
                      </a:prstGeom>
                    </wps:spPr>
                    <wps:txbx>
                      <w:txbxContent>
                        <w:p w14:paraId="0DFDDE27"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28" w14:textId="77777777" w:rsidR="00046465" w:rsidRDefault="008134EB">
                          <w:pPr>
                            <w:pStyle w:val="BodyText"/>
                            <w:ind w:left="20"/>
                          </w:pPr>
                          <w:r>
                            <w:t>640</w:t>
                          </w:r>
                          <w:r>
                            <w:rPr>
                              <w:spacing w:val="-7"/>
                            </w:rPr>
                            <w:t xml:space="preserve"> </w:t>
                          </w:r>
                          <w:r>
                            <w:t>A</w:t>
                          </w:r>
                          <w:r>
                            <w:rPr>
                              <w:spacing w:val="-6"/>
                            </w:rPr>
                            <w:t xml:space="preserve"> </w:t>
                          </w:r>
                          <w:r>
                            <w:t>–</w:t>
                          </w:r>
                          <w:r>
                            <w:rPr>
                              <w:spacing w:val="-6"/>
                            </w:rPr>
                            <w:t xml:space="preserve"> </w:t>
                          </w:r>
                          <w:r>
                            <w:t>Service</w:t>
                          </w:r>
                          <w:r>
                            <w:rPr>
                              <w:spacing w:val="-7"/>
                            </w:rPr>
                            <w:t xml:space="preserve"> </w:t>
                          </w:r>
                          <w:r>
                            <w:t>Organization</w:t>
                          </w:r>
                          <w:r>
                            <w:rPr>
                              <w:spacing w:val="-6"/>
                            </w:rPr>
                            <w:t xml:space="preserve"> </w:t>
                          </w:r>
                          <w:r>
                            <w:t>Type</w:t>
                          </w:r>
                          <w:r>
                            <w:rPr>
                              <w:spacing w:val="-6"/>
                            </w:rPr>
                            <w:t xml:space="preserve"> </w:t>
                          </w:r>
                          <w:r>
                            <w:t>2</w:t>
                          </w:r>
                          <w:r>
                            <w:rPr>
                              <w:spacing w:val="-8"/>
                            </w:rPr>
                            <w:t xml:space="preserve"> </w:t>
                          </w:r>
                          <w:r>
                            <w:t>Report</w:t>
                          </w:r>
                          <w:r>
                            <w:rPr>
                              <w:spacing w:val="-6"/>
                            </w:rPr>
                            <w:t xml:space="preserve"> </w:t>
                          </w:r>
                          <w:r>
                            <w:t>Assessment</w:t>
                          </w:r>
                          <w:r>
                            <w:rPr>
                              <w:spacing w:val="-6"/>
                            </w:rPr>
                            <w:t xml:space="preserve"> </w:t>
                          </w:r>
                          <w:r>
                            <w:rPr>
                              <w:spacing w:val="-4"/>
                            </w:rPr>
                            <w:t>Tool</w:t>
                          </w:r>
                        </w:p>
                      </w:txbxContent>
                    </wps:txbx>
                    <wps:bodyPr wrap="square" lIns="0" tIns="0" rIns="0" bIns="0" rtlCol="0">
                      <a:noAutofit/>
                    </wps:bodyPr>
                  </wps:wsp>
                </a:graphicData>
              </a:graphic>
            </wp:anchor>
          </w:drawing>
        </mc:Choice>
        <mc:Fallback>
          <w:pict>
            <v:shapetype w14:anchorId="0DFDD960" id="_x0000_t202" coordsize="21600,21600" o:spt="202" path="m,l,21600r21600,l21600,xe">
              <v:stroke joinstyle="miter"/>
              <v:path gradientshapeok="t" o:connecttype="rect"/>
            </v:shapetype>
            <v:shape id="Textbox 224" o:spid="_x0000_s1120" type="#_x0000_t202" style="position:absolute;margin-left:71pt;margin-top:38.6pt;width:305.3pt;height:26.95pt;z-index:-271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" filled="f" stroked="f">
              <v:textbox inset="0,0,0,0">
                <w:txbxContent>
                  <w:p w14:paraId="0DFDDE27"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28" w14:textId="77777777" w:rsidR="00046465" w:rsidRDefault="008134EB">
                    <w:pPr>
                      <w:pStyle w:val="BodyText"/>
                      <w:ind w:left="20"/>
                    </w:pPr>
                    <w:r>
                      <w:t>640</w:t>
                    </w:r>
                    <w:r>
                      <w:rPr>
                        <w:spacing w:val="-7"/>
                      </w:rPr>
                      <w:t xml:space="preserve"> </w:t>
                    </w:r>
                    <w:r>
                      <w:t>A</w:t>
                    </w:r>
                    <w:r>
                      <w:rPr>
                        <w:spacing w:val="-6"/>
                      </w:rPr>
                      <w:t xml:space="preserve"> </w:t>
                    </w:r>
                    <w:r>
                      <w:t>–</w:t>
                    </w:r>
                    <w:r>
                      <w:rPr>
                        <w:spacing w:val="-6"/>
                      </w:rPr>
                      <w:t xml:space="preserve"> </w:t>
                    </w:r>
                    <w:r>
                      <w:t>Service</w:t>
                    </w:r>
                    <w:r>
                      <w:rPr>
                        <w:spacing w:val="-7"/>
                      </w:rPr>
                      <w:t xml:space="preserve"> </w:t>
                    </w:r>
                    <w:r>
                      <w:t>Organization</w:t>
                    </w:r>
                    <w:r>
                      <w:rPr>
                        <w:spacing w:val="-6"/>
                      </w:rPr>
                      <w:t xml:space="preserve"> </w:t>
                    </w:r>
                    <w:r>
                      <w:t>Type</w:t>
                    </w:r>
                    <w:r>
                      <w:rPr>
                        <w:spacing w:val="-6"/>
                      </w:rPr>
                      <w:t xml:space="preserve"> </w:t>
                    </w:r>
                    <w:r>
                      <w:t>2</w:t>
                    </w:r>
                    <w:r>
                      <w:rPr>
                        <w:spacing w:val="-8"/>
                      </w:rPr>
                      <w:t xml:space="preserve"> </w:t>
                    </w:r>
                    <w:r>
                      <w:t>Report</w:t>
                    </w:r>
                    <w:r>
                      <w:rPr>
                        <w:spacing w:val="-6"/>
                      </w:rPr>
                      <w:t xml:space="preserve"> </w:t>
                    </w:r>
                    <w:r>
                      <w:t>Assessment</w:t>
                    </w:r>
                    <w:r>
                      <w:rPr>
                        <w:spacing w:val="-6"/>
                      </w:rPr>
                      <w:t xml:space="preserve"> </w:t>
                    </w:r>
                    <w:r>
                      <w:rPr>
                        <w:spacing w:val="-4"/>
                      </w:rPr>
                      <w:t>Tool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A"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22112" behindDoc="1" locked="0" layoutInCell="1" allowOverlap="1" wp14:anchorId="0DFDD96A" wp14:editId="0DFDD96B">
              <wp:simplePos x="0" y="0"/>
              <wp:positionH relativeFrom="page">
                <wp:posOffset>895350</wp:posOffset>
              </wp:positionH>
              <wp:positionV relativeFrom="page">
                <wp:posOffset>457962</wp:posOffset>
              </wp:positionV>
              <wp:extent cx="5981700" cy="28575"/>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80214A" id="Graphic 229" o:spid="_x0000_s1026" style="position:absolute;margin-left:70.5pt;margin-top:36.05pt;width:471pt;height:2.25pt;z-index:-2719436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22624" behindDoc="1" locked="0" layoutInCell="1" allowOverlap="1" wp14:anchorId="0DFDD96C" wp14:editId="0DFDD96D">
              <wp:simplePos x="0" y="0"/>
              <wp:positionH relativeFrom="page">
                <wp:posOffset>895350</wp:posOffset>
              </wp:positionH>
              <wp:positionV relativeFrom="page">
                <wp:posOffset>832103</wp:posOffset>
              </wp:positionV>
              <wp:extent cx="5981700" cy="28575"/>
              <wp:effectExtent l="0" t="0" r="0" b="0"/>
              <wp:wrapNone/>
              <wp:docPr id="230" name="Graphic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0C61AC" id="Graphic 230" o:spid="_x0000_s1026" style="position:absolute;margin-left:70.5pt;margin-top:65.5pt;width:471pt;height:2.25pt;z-index:-271938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23136" behindDoc="1" locked="0" layoutInCell="1" allowOverlap="1" wp14:anchorId="0DFDD96E" wp14:editId="0DFDD96F">
              <wp:simplePos x="0" y="0"/>
              <wp:positionH relativeFrom="page">
                <wp:posOffset>901700</wp:posOffset>
              </wp:positionH>
              <wp:positionV relativeFrom="page">
                <wp:posOffset>490475</wp:posOffset>
              </wp:positionV>
              <wp:extent cx="2703830" cy="34226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3830" cy="342265"/>
                      </a:xfrm>
                      <a:prstGeom prst="rect">
                        <a:avLst/>
                      </a:prstGeom>
                    </wps:spPr>
                    <wps:txbx>
                      <w:txbxContent>
                        <w:p w14:paraId="0DFDDE2C"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2D" w14:textId="77777777" w:rsidR="00046465" w:rsidRDefault="008134EB">
                          <w:pPr>
                            <w:pStyle w:val="BodyText"/>
                            <w:ind w:left="20"/>
                          </w:pPr>
                          <w:r>
                            <w:t>645</w:t>
                          </w:r>
                          <w:r>
                            <w:rPr>
                              <w:spacing w:val="-4"/>
                            </w:rPr>
                            <w:t xml:space="preserve"> </w:t>
                          </w:r>
                          <w:r>
                            <w:t>–</w:t>
                          </w:r>
                          <w:r>
                            <w:rPr>
                              <w:spacing w:val="-4"/>
                            </w:rPr>
                            <w:t xml:space="preserve"> </w:t>
                          </w:r>
                          <w:r>
                            <w:t>Using</w:t>
                          </w:r>
                          <w:r>
                            <w:rPr>
                              <w:spacing w:val="-5"/>
                            </w:rPr>
                            <w:t xml:space="preserve"> </w:t>
                          </w:r>
                          <w:r>
                            <w:t>the</w:t>
                          </w:r>
                          <w:r>
                            <w:rPr>
                              <w:spacing w:val="-4"/>
                            </w:rPr>
                            <w:t xml:space="preserve"> </w:t>
                          </w:r>
                          <w:r>
                            <w:t>Work</w:t>
                          </w:r>
                          <w:r>
                            <w:rPr>
                              <w:spacing w:val="-4"/>
                            </w:rPr>
                            <w:t xml:space="preserve"> </w:t>
                          </w:r>
                          <w:r>
                            <w:t>of</w:t>
                          </w:r>
                          <w:r>
                            <w:rPr>
                              <w:spacing w:val="-5"/>
                            </w:rPr>
                            <w:t xml:space="preserve"> </w:t>
                          </w:r>
                          <w:r>
                            <w:t>an</w:t>
                          </w:r>
                          <w:r>
                            <w:rPr>
                              <w:spacing w:val="-4"/>
                            </w:rPr>
                            <w:t xml:space="preserve"> </w:t>
                          </w:r>
                          <w:r>
                            <w:t>Internal</w:t>
                          </w:r>
                          <w:r>
                            <w:rPr>
                              <w:spacing w:val="-5"/>
                            </w:rPr>
                            <w:t xml:space="preserve"> </w:t>
                          </w:r>
                          <w:r>
                            <w:rPr>
                              <w:spacing w:val="-2"/>
                            </w:rPr>
                            <w:t>Auditor</w:t>
                          </w:r>
                        </w:p>
                      </w:txbxContent>
                    </wps:txbx>
                    <wps:bodyPr wrap="square" lIns="0" tIns="0" rIns="0" bIns="0" rtlCol="0">
                      <a:noAutofit/>
                    </wps:bodyPr>
                  </wps:wsp>
                </a:graphicData>
              </a:graphic>
            </wp:anchor>
          </w:drawing>
        </mc:Choice>
        <mc:Fallback>
          <w:pict>
            <v:shapetype w14:anchorId="0DFDD96E" id="_x0000_t202" coordsize="21600,21600" o:spt="202" path="m,l,21600r21600,l21600,xe">
              <v:stroke joinstyle="miter"/>
              <v:path gradientshapeok="t" o:connecttype="rect"/>
            </v:shapetype>
            <v:shape id="Textbox 231" o:spid="_x0000_s1124" type="#_x0000_t202" style="position:absolute;margin-left:71pt;margin-top:38.6pt;width:212.9pt;height:26.95pt;z-index:-271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" filled="f" stroked="f">
              <v:textbox inset="0,0,0,0">
                <w:txbxContent>
                  <w:p w14:paraId="0DFDDE2C"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2D" w14:textId="77777777" w:rsidR="00046465" w:rsidRDefault="008134EB">
                    <w:pPr>
                      <w:pStyle w:val="BodyText"/>
                      <w:ind w:left="20"/>
                    </w:pPr>
                    <w:r>
                      <w:t>645</w:t>
                    </w:r>
                    <w:r>
                      <w:rPr>
                        <w:spacing w:val="-4"/>
                      </w:rPr>
                      <w:t xml:space="preserve"> </w:t>
                    </w:r>
                    <w:r>
                      <w:t>–</w:t>
                    </w:r>
                    <w:r>
                      <w:rPr>
                        <w:spacing w:val="-4"/>
                      </w:rPr>
                      <w:t xml:space="preserve"> </w:t>
                    </w:r>
                    <w:r>
                      <w:t>Using</w:t>
                    </w:r>
                    <w:r>
                      <w:rPr>
                        <w:spacing w:val="-5"/>
                      </w:rPr>
                      <w:t xml:space="preserve"> </w:t>
                    </w:r>
                    <w:r>
                      <w:t>the</w:t>
                    </w:r>
                    <w:r>
                      <w:rPr>
                        <w:spacing w:val="-4"/>
                      </w:rPr>
                      <w:t xml:space="preserve"> </w:t>
                    </w:r>
                    <w:r>
                      <w:t>Work</w:t>
                    </w:r>
                    <w:r>
                      <w:rPr>
                        <w:spacing w:val="-4"/>
                      </w:rPr>
                      <w:t xml:space="preserve"> </w:t>
                    </w:r>
                    <w:r>
                      <w:t>of</w:t>
                    </w:r>
                    <w:r>
                      <w:rPr>
                        <w:spacing w:val="-5"/>
                      </w:rPr>
                      <w:t xml:space="preserve"> </w:t>
                    </w:r>
                    <w:r>
                      <w:t>an</w:t>
                    </w:r>
                    <w:r>
                      <w:rPr>
                        <w:spacing w:val="-4"/>
                      </w:rPr>
                      <w:t xml:space="preserve"> </w:t>
                    </w:r>
                    <w:r>
                      <w:t>Internal</w:t>
                    </w:r>
                    <w:r>
                      <w:rPr>
                        <w:spacing w:val="-5"/>
                      </w:rPr>
                      <w:t xml:space="preserve"> </w:t>
                    </w:r>
                    <w:r>
                      <w:rPr>
                        <w:spacing w:val="-2"/>
                      </w:rPr>
                      <w:t>Auditor</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C"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25696" behindDoc="1" locked="0" layoutInCell="1" allowOverlap="1" wp14:anchorId="0DFDD978" wp14:editId="0DFDD979">
              <wp:simplePos x="0" y="0"/>
              <wp:positionH relativeFrom="page">
                <wp:posOffset>895350</wp:posOffset>
              </wp:positionH>
              <wp:positionV relativeFrom="page">
                <wp:posOffset>457962</wp:posOffset>
              </wp:positionV>
              <wp:extent cx="5981700" cy="28575"/>
              <wp:effectExtent l="0" t="0" r="0" b="0"/>
              <wp:wrapNone/>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E585F5" id="Graphic 236" o:spid="_x0000_s1026" style="position:absolute;margin-left:70.5pt;margin-top:36.05pt;width:471pt;height:2.25pt;z-index:-2719078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26208" behindDoc="1" locked="0" layoutInCell="1" allowOverlap="1" wp14:anchorId="0DFDD97A" wp14:editId="0DFDD97B">
              <wp:simplePos x="0" y="0"/>
              <wp:positionH relativeFrom="page">
                <wp:posOffset>895350</wp:posOffset>
              </wp:positionH>
              <wp:positionV relativeFrom="page">
                <wp:posOffset>992886</wp:posOffset>
              </wp:positionV>
              <wp:extent cx="5981700" cy="2857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CA17F0" id="Graphic 237" o:spid="_x0000_s1026" style="position:absolute;margin-left:70.5pt;margin-top:78.2pt;width:471pt;height:2.25pt;z-index:-271902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26720" behindDoc="1" locked="0" layoutInCell="1" allowOverlap="1" wp14:anchorId="0DFDD97C" wp14:editId="0DFDD97D">
              <wp:simplePos x="0" y="0"/>
              <wp:positionH relativeFrom="page">
                <wp:posOffset>901700</wp:posOffset>
              </wp:positionH>
              <wp:positionV relativeFrom="page">
                <wp:posOffset>490475</wp:posOffset>
              </wp:positionV>
              <wp:extent cx="5895340" cy="502920"/>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340" cy="502920"/>
                      </a:xfrm>
                      <a:prstGeom prst="rect">
                        <a:avLst/>
                      </a:prstGeom>
                    </wps:spPr>
                    <wps:txbx>
                      <w:txbxContent>
                        <w:p w14:paraId="0DFDDE31"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32" w14:textId="77777777" w:rsidR="00046465" w:rsidRDefault="008134EB">
                          <w:pPr>
                            <w:pStyle w:val="BodyText"/>
                            <w:ind w:left="20"/>
                          </w:pPr>
                          <w:r>
                            <w:t>670</w:t>
                          </w:r>
                          <w:r>
                            <w:rPr>
                              <w:spacing w:val="-4"/>
                            </w:rPr>
                            <w:t xml:space="preserve"> </w:t>
                          </w:r>
                          <w:r>
                            <w:t>–</w:t>
                          </w:r>
                          <w:r>
                            <w:rPr>
                              <w:spacing w:val="-4"/>
                            </w:rPr>
                            <w:t xml:space="preserve"> </w:t>
                          </w:r>
                          <w:r>
                            <w:t>IG</w:t>
                          </w:r>
                          <w:r>
                            <w:rPr>
                              <w:spacing w:val="-5"/>
                            </w:rPr>
                            <w:t xml:space="preserve"> </w:t>
                          </w:r>
                          <w:r>
                            <w:t>Oversight</w:t>
                          </w:r>
                          <w:r>
                            <w:rPr>
                              <w:spacing w:val="-4"/>
                            </w:rPr>
                            <w:t xml:space="preserve"> </w:t>
                          </w:r>
                          <w:r>
                            <w:t>of</w:t>
                          </w:r>
                          <w:r>
                            <w:rPr>
                              <w:spacing w:val="-4"/>
                            </w:rPr>
                            <w:t xml:space="preserve"> </w:t>
                          </w:r>
                          <w:r>
                            <w:t>Financial</w:t>
                          </w:r>
                          <w:r>
                            <w:rPr>
                              <w:spacing w:val="-4"/>
                            </w:rPr>
                            <w:t xml:space="preserve"> </w:t>
                          </w:r>
                          <w:r>
                            <w:t>Statement</w:t>
                          </w:r>
                          <w:r>
                            <w:rPr>
                              <w:spacing w:val="-4"/>
                            </w:rPr>
                            <w:t xml:space="preserve"> </w:t>
                          </w:r>
                          <w:r>
                            <w:t>Audits</w:t>
                          </w:r>
                          <w:r>
                            <w:rPr>
                              <w:spacing w:val="-4"/>
                            </w:rPr>
                            <w:t xml:space="preserve"> </w:t>
                          </w:r>
                          <w:r>
                            <w:t>Performed</w:t>
                          </w:r>
                          <w:r>
                            <w:rPr>
                              <w:spacing w:val="-4"/>
                            </w:rPr>
                            <w:t xml:space="preserve"> </w:t>
                          </w:r>
                          <w:r>
                            <w:t>by</w:t>
                          </w:r>
                          <w:r>
                            <w:rPr>
                              <w:spacing w:val="-4"/>
                            </w:rPr>
                            <w:t xml:space="preserve"> </w:t>
                          </w:r>
                          <w:r>
                            <w:t>Independent</w:t>
                          </w:r>
                          <w:r>
                            <w:rPr>
                              <w:spacing w:val="-4"/>
                            </w:rPr>
                            <w:t xml:space="preserve"> </w:t>
                          </w:r>
                          <w:r>
                            <w:t>Public</w:t>
                          </w:r>
                          <w:r>
                            <w:rPr>
                              <w:spacing w:val="-5"/>
                            </w:rPr>
                            <w:t xml:space="preserve"> </w:t>
                          </w:r>
                          <w:r>
                            <w:t>Accounting (IPA) Firms</w:t>
                          </w:r>
                        </w:p>
                      </w:txbxContent>
                    </wps:txbx>
                    <wps:bodyPr wrap="square" lIns="0" tIns="0" rIns="0" bIns="0" rtlCol="0">
                      <a:noAutofit/>
                    </wps:bodyPr>
                  </wps:wsp>
                </a:graphicData>
              </a:graphic>
            </wp:anchor>
          </w:drawing>
        </mc:Choice>
        <mc:Fallback>
          <w:pict>
            <v:shapetype w14:anchorId="0DFDD97C" id="_x0000_t202" coordsize="21600,21600" o:spt="202" path="m,l,21600r21600,l21600,xe">
              <v:stroke joinstyle="miter"/>
              <v:path gradientshapeok="t" o:connecttype="rect"/>
            </v:shapetype>
            <v:shape id="Textbox 238" o:spid="_x0000_s1128" type="#_x0000_t202" style="position:absolute;margin-left:71pt;margin-top:38.6pt;width:464.2pt;height:39.6pt;z-index:-27189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" filled="f" stroked="f">
              <v:textbox inset="0,0,0,0">
                <w:txbxContent>
                  <w:p w14:paraId="0DFDDE31"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32" w14:textId="77777777" w:rsidR="00046465" w:rsidRDefault="008134EB">
                    <w:pPr>
                      <w:pStyle w:val="BodyText"/>
                      <w:ind w:left="20"/>
                    </w:pPr>
                    <w:r>
                      <w:t>670</w:t>
                    </w:r>
                    <w:r>
                      <w:rPr>
                        <w:spacing w:val="-4"/>
                      </w:rPr>
                      <w:t xml:space="preserve"> </w:t>
                    </w:r>
                    <w:r>
                      <w:t>–</w:t>
                    </w:r>
                    <w:r>
                      <w:rPr>
                        <w:spacing w:val="-4"/>
                      </w:rPr>
                      <w:t xml:space="preserve"> </w:t>
                    </w:r>
                    <w:r>
                      <w:t>IG</w:t>
                    </w:r>
                    <w:r>
                      <w:rPr>
                        <w:spacing w:val="-5"/>
                      </w:rPr>
                      <w:t xml:space="preserve"> </w:t>
                    </w:r>
                    <w:r>
                      <w:t>Oversight</w:t>
                    </w:r>
                    <w:r>
                      <w:rPr>
                        <w:spacing w:val="-4"/>
                      </w:rPr>
                      <w:t xml:space="preserve"> </w:t>
                    </w:r>
                    <w:r>
                      <w:t>of</w:t>
                    </w:r>
                    <w:r>
                      <w:rPr>
                        <w:spacing w:val="-4"/>
                      </w:rPr>
                      <w:t xml:space="preserve"> </w:t>
                    </w:r>
                    <w:r>
                      <w:t>Financial</w:t>
                    </w:r>
                    <w:r>
                      <w:rPr>
                        <w:spacing w:val="-4"/>
                      </w:rPr>
                      <w:t xml:space="preserve"> </w:t>
                    </w:r>
                    <w:r>
                      <w:t>Statement</w:t>
                    </w:r>
                    <w:r>
                      <w:rPr>
                        <w:spacing w:val="-4"/>
                      </w:rPr>
                      <w:t xml:space="preserve"> </w:t>
                    </w:r>
                    <w:r>
                      <w:t>Audits</w:t>
                    </w:r>
                    <w:r>
                      <w:rPr>
                        <w:spacing w:val="-4"/>
                      </w:rPr>
                      <w:t xml:space="preserve"> </w:t>
                    </w:r>
                    <w:r>
                      <w:t>Performed</w:t>
                    </w:r>
                    <w:r>
                      <w:rPr>
                        <w:spacing w:val="-4"/>
                      </w:rPr>
                      <w:t xml:space="preserve"> </w:t>
                    </w:r>
                    <w:r>
                      <w:t>by</w:t>
                    </w:r>
                    <w:r>
                      <w:rPr>
                        <w:spacing w:val="-4"/>
                      </w:rPr>
                      <w:t xml:space="preserve"> </w:t>
                    </w:r>
                    <w:r>
                      <w:t>Independent</w:t>
                    </w:r>
                    <w:r>
                      <w:rPr>
                        <w:spacing w:val="-4"/>
                      </w:rPr>
                      <w:t xml:space="preserve"> </w:t>
                    </w:r>
                    <w:r>
                      <w:t>Public</w:t>
                    </w:r>
                    <w:r>
                      <w:rPr>
                        <w:spacing w:val="-5"/>
                      </w:rPr>
                      <w:t xml:space="preserve"> </w:t>
                    </w:r>
                    <w:r>
                      <w:t>Accounting (IPA) Firms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BE"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29280" behindDoc="1" locked="0" layoutInCell="1" allowOverlap="1" wp14:anchorId="0DFDD986" wp14:editId="0DFDD987">
              <wp:simplePos x="0" y="0"/>
              <wp:positionH relativeFrom="page">
                <wp:posOffset>895350</wp:posOffset>
              </wp:positionH>
              <wp:positionV relativeFrom="page">
                <wp:posOffset>457962</wp:posOffset>
              </wp:positionV>
              <wp:extent cx="5981700" cy="28575"/>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9ACB78" id="Graphic 244" o:spid="_x0000_s1026" style="position:absolute;margin-left:70.5pt;margin-top:36.05pt;width:471pt;height:2.25pt;z-index:-2718720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29792" behindDoc="1" locked="0" layoutInCell="1" allowOverlap="1" wp14:anchorId="0DFDD988" wp14:editId="0DFDD989">
              <wp:simplePos x="0" y="0"/>
              <wp:positionH relativeFrom="page">
                <wp:posOffset>895350</wp:posOffset>
              </wp:positionH>
              <wp:positionV relativeFrom="page">
                <wp:posOffset>992886</wp:posOffset>
              </wp:positionV>
              <wp:extent cx="5981700" cy="28575"/>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C178E7" id="Graphic 245" o:spid="_x0000_s1026" style="position:absolute;margin-left:70.5pt;margin-top:78.2pt;width:471pt;height:2.25pt;z-index:-2718668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30304" behindDoc="1" locked="0" layoutInCell="1" allowOverlap="1" wp14:anchorId="0DFDD98A" wp14:editId="0DFDD98B">
              <wp:simplePos x="0" y="0"/>
              <wp:positionH relativeFrom="page">
                <wp:posOffset>901700</wp:posOffset>
              </wp:positionH>
              <wp:positionV relativeFrom="page">
                <wp:posOffset>490475</wp:posOffset>
              </wp:positionV>
              <wp:extent cx="5895340" cy="50292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340" cy="502920"/>
                      </a:xfrm>
                      <a:prstGeom prst="rect">
                        <a:avLst/>
                      </a:prstGeom>
                    </wps:spPr>
                    <wps:txbx>
                      <w:txbxContent>
                        <w:p w14:paraId="0DFDDE36"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37" w14:textId="77777777" w:rsidR="00046465" w:rsidRDefault="008134EB">
                          <w:pPr>
                            <w:pStyle w:val="BodyText"/>
                            <w:ind w:left="20"/>
                          </w:pPr>
                          <w:r>
                            <w:t>670</w:t>
                          </w:r>
                          <w:r>
                            <w:rPr>
                              <w:spacing w:val="-4"/>
                            </w:rPr>
                            <w:t xml:space="preserve"> </w:t>
                          </w:r>
                          <w:r>
                            <w:t>–</w:t>
                          </w:r>
                          <w:r>
                            <w:rPr>
                              <w:spacing w:val="-4"/>
                            </w:rPr>
                            <w:t xml:space="preserve"> </w:t>
                          </w:r>
                          <w:r>
                            <w:t>IG</w:t>
                          </w:r>
                          <w:r>
                            <w:rPr>
                              <w:spacing w:val="-5"/>
                            </w:rPr>
                            <w:t xml:space="preserve"> </w:t>
                          </w:r>
                          <w:r>
                            <w:t>Oversight</w:t>
                          </w:r>
                          <w:r>
                            <w:rPr>
                              <w:spacing w:val="-4"/>
                            </w:rPr>
                            <w:t xml:space="preserve"> </w:t>
                          </w:r>
                          <w:r>
                            <w:t>of</w:t>
                          </w:r>
                          <w:r>
                            <w:rPr>
                              <w:spacing w:val="-4"/>
                            </w:rPr>
                            <w:t xml:space="preserve"> </w:t>
                          </w:r>
                          <w:r>
                            <w:t>Financial</w:t>
                          </w:r>
                          <w:r>
                            <w:rPr>
                              <w:spacing w:val="-4"/>
                            </w:rPr>
                            <w:t xml:space="preserve"> </w:t>
                          </w:r>
                          <w:r>
                            <w:t>Statement</w:t>
                          </w:r>
                          <w:r>
                            <w:rPr>
                              <w:spacing w:val="-4"/>
                            </w:rPr>
                            <w:t xml:space="preserve"> </w:t>
                          </w:r>
                          <w:r>
                            <w:t>Audits</w:t>
                          </w:r>
                          <w:r>
                            <w:rPr>
                              <w:spacing w:val="-4"/>
                            </w:rPr>
                            <w:t xml:space="preserve"> </w:t>
                          </w:r>
                          <w:r>
                            <w:t>Performed</w:t>
                          </w:r>
                          <w:r>
                            <w:rPr>
                              <w:spacing w:val="-4"/>
                            </w:rPr>
                            <w:t xml:space="preserve"> </w:t>
                          </w:r>
                          <w:r>
                            <w:t>by</w:t>
                          </w:r>
                          <w:r>
                            <w:rPr>
                              <w:spacing w:val="-4"/>
                            </w:rPr>
                            <w:t xml:space="preserve"> </w:t>
                          </w:r>
                          <w:r>
                            <w:t>Independent</w:t>
                          </w:r>
                          <w:r>
                            <w:rPr>
                              <w:spacing w:val="-4"/>
                            </w:rPr>
                            <w:t xml:space="preserve"> </w:t>
                          </w:r>
                          <w:r>
                            <w:t>Public</w:t>
                          </w:r>
                          <w:r>
                            <w:rPr>
                              <w:spacing w:val="-5"/>
                            </w:rPr>
                            <w:t xml:space="preserve"> </w:t>
                          </w:r>
                          <w:r>
                            <w:t>Accounting (IPA) Firms</w:t>
                          </w:r>
                        </w:p>
                      </w:txbxContent>
                    </wps:txbx>
                    <wps:bodyPr wrap="square" lIns="0" tIns="0" rIns="0" bIns="0" rtlCol="0">
                      <a:noAutofit/>
                    </wps:bodyPr>
                  </wps:wsp>
                </a:graphicData>
              </a:graphic>
            </wp:anchor>
          </w:drawing>
        </mc:Choice>
        <mc:Fallback>
          <w:pict>
            <v:shapetype w14:anchorId="0DFDD98A" id="_x0000_t202" coordsize="21600,21600" o:spt="202" path="m,l,21600r21600,l21600,xe">
              <v:stroke joinstyle="miter"/>
              <v:path gradientshapeok="t" o:connecttype="rect"/>
            </v:shapetype>
            <v:shape id="Textbox 246" o:spid="_x0000_s1132" type="#_x0000_t202" style="position:absolute;margin-left:71pt;margin-top:38.6pt;width:464.2pt;height:39.6pt;z-index:-27186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" filled="f" stroked="f">
              <v:textbox inset="0,0,0,0">
                <w:txbxContent>
                  <w:p w14:paraId="0DFDDE36"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37" w14:textId="77777777" w:rsidR="00046465" w:rsidRDefault="008134EB">
                    <w:pPr>
                      <w:pStyle w:val="BodyText"/>
                      <w:ind w:left="20"/>
                    </w:pPr>
                    <w:r>
                      <w:t>670</w:t>
                    </w:r>
                    <w:r>
                      <w:rPr>
                        <w:spacing w:val="-4"/>
                      </w:rPr>
                      <w:t xml:space="preserve"> </w:t>
                    </w:r>
                    <w:r>
                      <w:t>–</w:t>
                    </w:r>
                    <w:r>
                      <w:rPr>
                        <w:spacing w:val="-4"/>
                      </w:rPr>
                      <w:t xml:space="preserve"> </w:t>
                    </w:r>
                    <w:r>
                      <w:t>IG</w:t>
                    </w:r>
                    <w:r>
                      <w:rPr>
                        <w:spacing w:val="-5"/>
                      </w:rPr>
                      <w:t xml:space="preserve"> </w:t>
                    </w:r>
                    <w:r>
                      <w:t>Oversight</w:t>
                    </w:r>
                    <w:r>
                      <w:rPr>
                        <w:spacing w:val="-4"/>
                      </w:rPr>
                      <w:t xml:space="preserve"> </w:t>
                    </w:r>
                    <w:r>
                      <w:t>of</w:t>
                    </w:r>
                    <w:r>
                      <w:rPr>
                        <w:spacing w:val="-4"/>
                      </w:rPr>
                      <w:t xml:space="preserve"> </w:t>
                    </w:r>
                    <w:r>
                      <w:t>Financial</w:t>
                    </w:r>
                    <w:r>
                      <w:rPr>
                        <w:spacing w:val="-4"/>
                      </w:rPr>
                      <w:t xml:space="preserve"> </w:t>
                    </w:r>
                    <w:r>
                      <w:t>Statement</w:t>
                    </w:r>
                    <w:r>
                      <w:rPr>
                        <w:spacing w:val="-4"/>
                      </w:rPr>
                      <w:t xml:space="preserve"> </w:t>
                    </w:r>
                    <w:r>
                      <w:t>Audits</w:t>
                    </w:r>
                    <w:r>
                      <w:rPr>
                        <w:spacing w:val="-4"/>
                      </w:rPr>
                      <w:t xml:space="preserve"> </w:t>
                    </w:r>
                    <w:r>
                      <w:t>Performed</w:t>
                    </w:r>
                    <w:r>
                      <w:rPr>
                        <w:spacing w:val="-4"/>
                      </w:rPr>
                      <w:t xml:space="preserve"> </w:t>
                    </w:r>
                    <w:r>
                      <w:t>by</w:t>
                    </w:r>
                    <w:r>
                      <w:rPr>
                        <w:spacing w:val="-4"/>
                      </w:rPr>
                      <w:t xml:space="preserve"> </w:t>
                    </w:r>
                    <w:r>
                      <w:t>Independent</w:t>
                    </w:r>
                    <w:r>
                      <w:rPr>
                        <w:spacing w:val="-4"/>
                      </w:rPr>
                      <w:t xml:space="preserve"> </w:t>
                    </w:r>
                    <w:r>
                      <w:t>Public</w:t>
                    </w:r>
                    <w:r>
                      <w:rPr>
                        <w:spacing w:val="-5"/>
                      </w:rPr>
                      <w:t xml:space="preserve"> </w:t>
                    </w:r>
                    <w:r>
                      <w:t>Accounting (IPA) Firms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0"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32864" behindDoc="1" locked="0" layoutInCell="1" allowOverlap="1" wp14:anchorId="0DFDD994" wp14:editId="0DFDD995">
              <wp:simplePos x="0" y="0"/>
              <wp:positionH relativeFrom="page">
                <wp:posOffset>895350</wp:posOffset>
              </wp:positionH>
              <wp:positionV relativeFrom="page">
                <wp:posOffset>457962</wp:posOffset>
              </wp:positionV>
              <wp:extent cx="5981700" cy="28575"/>
              <wp:effectExtent l="0" t="0" r="0" b="0"/>
              <wp:wrapNone/>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1E1C7B" id="Graphic 253" o:spid="_x0000_s1026" style="position:absolute;margin-left:70.5pt;margin-top:36.05pt;width:471pt;height:2.25pt;z-index:-271836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33376" behindDoc="1" locked="0" layoutInCell="1" allowOverlap="1" wp14:anchorId="0DFDD996" wp14:editId="0DFDD997">
              <wp:simplePos x="0" y="0"/>
              <wp:positionH relativeFrom="page">
                <wp:posOffset>895350</wp:posOffset>
              </wp:positionH>
              <wp:positionV relativeFrom="page">
                <wp:posOffset>992886</wp:posOffset>
              </wp:positionV>
              <wp:extent cx="5981700" cy="28575"/>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11D07B" id="Graphic 254" o:spid="_x0000_s1026" style="position:absolute;margin-left:70.5pt;margin-top:78.2pt;width:471pt;height:2.25pt;z-index:-2718310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33888" behindDoc="1" locked="0" layoutInCell="1" allowOverlap="1" wp14:anchorId="0DFDD998" wp14:editId="0DFDD999">
              <wp:simplePos x="0" y="0"/>
              <wp:positionH relativeFrom="page">
                <wp:posOffset>901700</wp:posOffset>
              </wp:positionH>
              <wp:positionV relativeFrom="page">
                <wp:posOffset>490475</wp:posOffset>
              </wp:positionV>
              <wp:extent cx="5755005" cy="50292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502920"/>
                      </a:xfrm>
                      <a:prstGeom prst="rect">
                        <a:avLst/>
                      </a:prstGeom>
                    </wps:spPr>
                    <wps:txbx>
                      <w:txbxContent>
                        <w:p w14:paraId="0DFDDE3B"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3C" w14:textId="77777777" w:rsidR="00046465" w:rsidRDefault="008134EB">
                          <w:pPr>
                            <w:pStyle w:val="BodyText"/>
                            <w:ind w:left="20" w:hanging="1"/>
                          </w:pPr>
                          <w:r>
                            <w:t>670</w:t>
                          </w:r>
                          <w:r>
                            <w:rPr>
                              <w:spacing w:val="-3"/>
                            </w:rPr>
                            <w:t xml:space="preserve"> </w:t>
                          </w:r>
                          <w:r>
                            <w:t>A</w:t>
                          </w:r>
                          <w:r>
                            <w:rPr>
                              <w:spacing w:val="-3"/>
                            </w:rPr>
                            <w:t xml:space="preserve"> </w:t>
                          </w:r>
                          <w:r>
                            <w:t>–</w:t>
                          </w:r>
                          <w:r>
                            <w:rPr>
                              <w:spacing w:val="-3"/>
                            </w:rPr>
                            <w:t xml:space="preserve"> </w:t>
                          </w:r>
                          <w:r>
                            <w:t>Summary</w:t>
                          </w:r>
                          <w:r>
                            <w:rPr>
                              <w:spacing w:val="-3"/>
                            </w:rPr>
                            <w:t xml:space="preserve"> </w:t>
                          </w:r>
                          <w:r>
                            <w:t>of</w:t>
                          </w:r>
                          <w:r>
                            <w:rPr>
                              <w:spacing w:val="-3"/>
                            </w:rPr>
                            <w:t xml:space="preserve"> </w:t>
                          </w:r>
                          <w:r>
                            <w:t>Procedures</w:t>
                          </w:r>
                          <w:r>
                            <w:rPr>
                              <w:spacing w:val="-3"/>
                            </w:rPr>
                            <w:t xml:space="preserve"> </w:t>
                          </w:r>
                          <w:r>
                            <w:t>and</w:t>
                          </w:r>
                          <w:r>
                            <w:rPr>
                              <w:spacing w:val="-3"/>
                            </w:rPr>
                            <w:t xml:space="preserve"> </w:t>
                          </w:r>
                          <w:r>
                            <w:t>Documentation</w:t>
                          </w:r>
                          <w:r>
                            <w:rPr>
                              <w:spacing w:val="-3"/>
                            </w:rPr>
                            <w:t xml:space="preserve"> </w:t>
                          </w:r>
                          <w:r>
                            <w:t>for</w:t>
                          </w:r>
                          <w:r>
                            <w:rPr>
                              <w:spacing w:val="-3"/>
                            </w:rPr>
                            <w:t xml:space="preserve"> </w:t>
                          </w:r>
                          <w:r>
                            <w:t>IG</w:t>
                          </w:r>
                          <w:r>
                            <w:rPr>
                              <w:spacing w:val="-3"/>
                            </w:rPr>
                            <w:t xml:space="preserve"> </w:t>
                          </w:r>
                          <w:r>
                            <w:t>Oversight</w:t>
                          </w:r>
                          <w:r>
                            <w:rPr>
                              <w:spacing w:val="-3"/>
                            </w:rPr>
                            <w:t xml:space="preserve"> </w:t>
                          </w:r>
                          <w:r>
                            <w:t>of</w:t>
                          </w:r>
                          <w:r>
                            <w:rPr>
                              <w:spacing w:val="-4"/>
                            </w:rPr>
                            <w:t xml:space="preserve"> </w:t>
                          </w:r>
                          <w:r>
                            <w:t>Financial</w:t>
                          </w:r>
                          <w:r>
                            <w:rPr>
                              <w:spacing w:val="-3"/>
                            </w:rPr>
                            <w:t xml:space="preserve"> </w:t>
                          </w:r>
                          <w:r>
                            <w:t>Statement Audits Performed by IPA Firms</w:t>
                          </w:r>
                        </w:p>
                      </w:txbxContent>
                    </wps:txbx>
                    <wps:bodyPr wrap="square" lIns="0" tIns="0" rIns="0" bIns="0" rtlCol="0">
                      <a:noAutofit/>
                    </wps:bodyPr>
                  </wps:wsp>
                </a:graphicData>
              </a:graphic>
            </wp:anchor>
          </w:drawing>
        </mc:Choice>
        <mc:Fallback>
          <w:pict>
            <v:shapetype w14:anchorId="0DFDD998" id="_x0000_t202" coordsize="21600,21600" o:spt="202" path="m,l,21600r21600,l21600,xe">
              <v:stroke joinstyle="miter"/>
              <v:path gradientshapeok="t" o:connecttype="rect"/>
            </v:shapetype>
            <v:shape id="Textbox 255" o:spid="_x0000_s1136" type="#_x0000_t202" style="position:absolute;margin-left:71pt;margin-top:38.6pt;width:453.15pt;height:39.6pt;z-index:-2718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" filled="f" stroked="f">
              <v:textbox inset="0,0,0,0">
                <w:txbxContent>
                  <w:p w14:paraId="0DFDDE3B"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3C" w14:textId="77777777" w:rsidR="00046465" w:rsidRDefault="008134EB">
                    <w:pPr>
                      <w:pStyle w:val="BodyText"/>
                      <w:ind w:left="20" w:hanging="1"/>
                    </w:pPr>
                    <w:r>
                      <w:t>670</w:t>
                    </w:r>
                    <w:r>
                      <w:rPr>
                        <w:spacing w:val="-3"/>
                      </w:rPr>
                      <w:t xml:space="preserve"> </w:t>
                    </w:r>
                    <w:r>
                      <w:t>A</w:t>
                    </w:r>
                    <w:r>
                      <w:rPr>
                        <w:spacing w:val="-3"/>
                      </w:rPr>
                      <w:t xml:space="preserve"> </w:t>
                    </w:r>
                    <w:r>
                      <w:t>–</w:t>
                    </w:r>
                    <w:r>
                      <w:rPr>
                        <w:spacing w:val="-3"/>
                      </w:rPr>
                      <w:t xml:space="preserve"> </w:t>
                    </w:r>
                    <w:r>
                      <w:t>Summary</w:t>
                    </w:r>
                    <w:r>
                      <w:rPr>
                        <w:spacing w:val="-3"/>
                      </w:rPr>
                      <w:t xml:space="preserve"> </w:t>
                    </w:r>
                    <w:r>
                      <w:t>of</w:t>
                    </w:r>
                    <w:r>
                      <w:rPr>
                        <w:spacing w:val="-3"/>
                      </w:rPr>
                      <w:t xml:space="preserve"> </w:t>
                    </w:r>
                    <w:r>
                      <w:t>Procedures</w:t>
                    </w:r>
                    <w:r>
                      <w:rPr>
                        <w:spacing w:val="-3"/>
                      </w:rPr>
                      <w:t xml:space="preserve"> </w:t>
                    </w:r>
                    <w:r>
                      <w:t>and</w:t>
                    </w:r>
                    <w:r>
                      <w:rPr>
                        <w:spacing w:val="-3"/>
                      </w:rPr>
                      <w:t xml:space="preserve"> </w:t>
                    </w:r>
                    <w:r>
                      <w:t>Documentation</w:t>
                    </w:r>
                    <w:r>
                      <w:rPr>
                        <w:spacing w:val="-3"/>
                      </w:rPr>
                      <w:t xml:space="preserve"> </w:t>
                    </w:r>
                    <w:r>
                      <w:t>for</w:t>
                    </w:r>
                    <w:r>
                      <w:rPr>
                        <w:spacing w:val="-3"/>
                      </w:rPr>
                      <w:t xml:space="preserve"> </w:t>
                    </w:r>
                    <w:r>
                      <w:t>IG</w:t>
                    </w:r>
                    <w:r>
                      <w:rPr>
                        <w:spacing w:val="-3"/>
                      </w:rPr>
                      <w:t xml:space="preserve"> </w:t>
                    </w:r>
                    <w:r>
                      <w:t>Oversight</w:t>
                    </w:r>
                    <w:r>
                      <w:rPr>
                        <w:spacing w:val="-3"/>
                      </w:rPr>
                      <w:t xml:space="preserve"> </w:t>
                    </w:r>
                    <w:r>
                      <w:t>of</w:t>
                    </w:r>
                    <w:r>
                      <w:rPr>
                        <w:spacing w:val="-4"/>
                      </w:rPr>
                      <w:t xml:space="preserve"> </w:t>
                    </w:r>
                    <w:r>
                      <w:t>Financial</w:t>
                    </w:r>
                    <w:r>
                      <w:rPr>
                        <w:spacing w:val="-3"/>
                      </w:rPr>
                      <w:t xml:space="preserve"> </w:t>
                    </w:r>
                    <w:r>
                      <w:t>Statement Audits Performed by IPA Firms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2"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36448" behindDoc="1" locked="0" layoutInCell="1" allowOverlap="1" wp14:anchorId="0DFDD9A2" wp14:editId="0DFDD9A3">
              <wp:simplePos x="0" y="0"/>
              <wp:positionH relativeFrom="page">
                <wp:posOffset>895350</wp:posOffset>
              </wp:positionH>
              <wp:positionV relativeFrom="page">
                <wp:posOffset>457962</wp:posOffset>
              </wp:positionV>
              <wp:extent cx="5981700" cy="28575"/>
              <wp:effectExtent l="0" t="0" r="0" b="0"/>
              <wp:wrapNone/>
              <wp:docPr id="260" name="Graphic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C8F8C4" id="Graphic 260" o:spid="_x0000_s1026" style="position:absolute;margin-left:70.5pt;margin-top:36.05pt;width:471pt;height:2.25pt;z-index:-271800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36960" behindDoc="1" locked="0" layoutInCell="1" allowOverlap="1" wp14:anchorId="0DFDD9A4" wp14:editId="0DFDD9A5">
              <wp:simplePos x="0" y="0"/>
              <wp:positionH relativeFrom="page">
                <wp:posOffset>895350</wp:posOffset>
              </wp:positionH>
              <wp:positionV relativeFrom="page">
                <wp:posOffset>992886</wp:posOffset>
              </wp:positionV>
              <wp:extent cx="5981700" cy="28575"/>
              <wp:effectExtent l="0" t="0" r="0" b="0"/>
              <wp:wrapNone/>
              <wp:docPr id="261" name="Graphic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938F9F" id="Graphic 261" o:spid="_x0000_s1026" style="position:absolute;margin-left:70.5pt;margin-top:78.2pt;width:471pt;height:2.25pt;z-index:-2717952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37472" behindDoc="1" locked="0" layoutInCell="1" allowOverlap="1" wp14:anchorId="0DFDD9A6" wp14:editId="0DFDD9A7">
              <wp:simplePos x="0" y="0"/>
              <wp:positionH relativeFrom="page">
                <wp:posOffset>901700</wp:posOffset>
              </wp:positionH>
              <wp:positionV relativeFrom="page">
                <wp:posOffset>490475</wp:posOffset>
              </wp:positionV>
              <wp:extent cx="5755005" cy="50292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5005" cy="502920"/>
                      </a:xfrm>
                      <a:prstGeom prst="rect">
                        <a:avLst/>
                      </a:prstGeom>
                    </wps:spPr>
                    <wps:txbx>
                      <w:txbxContent>
                        <w:p w14:paraId="0DFDDE40"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41" w14:textId="77777777" w:rsidR="00046465" w:rsidRDefault="008134EB">
                          <w:pPr>
                            <w:pStyle w:val="BodyText"/>
                            <w:ind w:left="20" w:hanging="1"/>
                          </w:pPr>
                          <w:r>
                            <w:t>670</w:t>
                          </w:r>
                          <w:r>
                            <w:rPr>
                              <w:spacing w:val="-3"/>
                            </w:rPr>
                            <w:t xml:space="preserve"> </w:t>
                          </w:r>
                          <w:r>
                            <w:t>A</w:t>
                          </w:r>
                          <w:r>
                            <w:rPr>
                              <w:spacing w:val="-3"/>
                            </w:rPr>
                            <w:t xml:space="preserve"> </w:t>
                          </w:r>
                          <w:r>
                            <w:t>–</w:t>
                          </w:r>
                          <w:r>
                            <w:rPr>
                              <w:spacing w:val="-3"/>
                            </w:rPr>
                            <w:t xml:space="preserve"> </w:t>
                          </w:r>
                          <w:r>
                            <w:t>Summary</w:t>
                          </w:r>
                          <w:r>
                            <w:rPr>
                              <w:spacing w:val="-3"/>
                            </w:rPr>
                            <w:t xml:space="preserve"> </w:t>
                          </w:r>
                          <w:r>
                            <w:t>of</w:t>
                          </w:r>
                          <w:r>
                            <w:rPr>
                              <w:spacing w:val="-3"/>
                            </w:rPr>
                            <w:t xml:space="preserve"> </w:t>
                          </w:r>
                          <w:r>
                            <w:t>Procedures</w:t>
                          </w:r>
                          <w:r>
                            <w:rPr>
                              <w:spacing w:val="-3"/>
                            </w:rPr>
                            <w:t xml:space="preserve"> </w:t>
                          </w:r>
                          <w:r>
                            <w:t>and</w:t>
                          </w:r>
                          <w:r>
                            <w:rPr>
                              <w:spacing w:val="-3"/>
                            </w:rPr>
                            <w:t xml:space="preserve"> </w:t>
                          </w:r>
                          <w:r>
                            <w:t>Documentation</w:t>
                          </w:r>
                          <w:r>
                            <w:rPr>
                              <w:spacing w:val="-3"/>
                            </w:rPr>
                            <w:t xml:space="preserve"> </w:t>
                          </w:r>
                          <w:r>
                            <w:t>for</w:t>
                          </w:r>
                          <w:r>
                            <w:rPr>
                              <w:spacing w:val="-3"/>
                            </w:rPr>
                            <w:t xml:space="preserve"> </w:t>
                          </w:r>
                          <w:r>
                            <w:t>IG</w:t>
                          </w:r>
                          <w:r>
                            <w:rPr>
                              <w:spacing w:val="-3"/>
                            </w:rPr>
                            <w:t xml:space="preserve"> </w:t>
                          </w:r>
                          <w:r>
                            <w:t>Oversight</w:t>
                          </w:r>
                          <w:r>
                            <w:rPr>
                              <w:spacing w:val="-3"/>
                            </w:rPr>
                            <w:t xml:space="preserve"> </w:t>
                          </w:r>
                          <w:r>
                            <w:t>of</w:t>
                          </w:r>
                          <w:r>
                            <w:rPr>
                              <w:spacing w:val="-4"/>
                            </w:rPr>
                            <w:t xml:space="preserve"> </w:t>
                          </w:r>
                          <w:r>
                            <w:t>Financial</w:t>
                          </w:r>
                          <w:r>
                            <w:rPr>
                              <w:spacing w:val="-3"/>
                            </w:rPr>
                            <w:t xml:space="preserve"> </w:t>
                          </w:r>
                          <w:r>
                            <w:t>Statement Audits Performed by IPA Firms</w:t>
                          </w:r>
                        </w:p>
                      </w:txbxContent>
                    </wps:txbx>
                    <wps:bodyPr wrap="square" lIns="0" tIns="0" rIns="0" bIns="0" rtlCol="0">
                      <a:noAutofit/>
                    </wps:bodyPr>
                  </wps:wsp>
                </a:graphicData>
              </a:graphic>
            </wp:anchor>
          </w:drawing>
        </mc:Choice>
        <mc:Fallback>
          <w:pict>
            <v:shapetype w14:anchorId="0DFDD9A6" id="_x0000_t202" coordsize="21600,21600" o:spt="202" path="m,l,21600r21600,l21600,xe">
              <v:stroke joinstyle="miter"/>
              <v:path gradientshapeok="t" o:connecttype="rect"/>
            </v:shapetype>
            <v:shape id="Textbox 262" o:spid="_x0000_s1140" type="#_x0000_t202" style="position:absolute;margin-left:71pt;margin-top:38.6pt;width:453.15pt;height:39.6pt;z-index:-271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" filled="f" stroked="f">
              <v:textbox inset="0,0,0,0">
                <w:txbxContent>
                  <w:p w14:paraId="0DFDDE40"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41" w14:textId="77777777" w:rsidR="00046465" w:rsidRDefault="008134EB">
                    <w:pPr>
                      <w:pStyle w:val="BodyText"/>
                      <w:ind w:left="20" w:hanging="1"/>
                    </w:pPr>
                    <w:r>
                      <w:t>670</w:t>
                    </w:r>
                    <w:r>
                      <w:rPr>
                        <w:spacing w:val="-3"/>
                      </w:rPr>
                      <w:t xml:space="preserve"> </w:t>
                    </w:r>
                    <w:r>
                      <w:t>A</w:t>
                    </w:r>
                    <w:r>
                      <w:rPr>
                        <w:spacing w:val="-3"/>
                      </w:rPr>
                      <w:t xml:space="preserve"> </w:t>
                    </w:r>
                    <w:r>
                      <w:t>–</w:t>
                    </w:r>
                    <w:r>
                      <w:rPr>
                        <w:spacing w:val="-3"/>
                      </w:rPr>
                      <w:t xml:space="preserve"> </w:t>
                    </w:r>
                    <w:r>
                      <w:t>Summary</w:t>
                    </w:r>
                    <w:r>
                      <w:rPr>
                        <w:spacing w:val="-3"/>
                      </w:rPr>
                      <w:t xml:space="preserve"> </w:t>
                    </w:r>
                    <w:r>
                      <w:t>of</w:t>
                    </w:r>
                    <w:r>
                      <w:rPr>
                        <w:spacing w:val="-3"/>
                      </w:rPr>
                      <w:t xml:space="preserve"> </w:t>
                    </w:r>
                    <w:r>
                      <w:t>Procedures</w:t>
                    </w:r>
                    <w:r>
                      <w:rPr>
                        <w:spacing w:val="-3"/>
                      </w:rPr>
                      <w:t xml:space="preserve"> </w:t>
                    </w:r>
                    <w:r>
                      <w:t>and</w:t>
                    </w:r>
                    <w:r>
                      <w:rPr>
                        <w:spacing w:val="-3"/>
                      </w:rPr>
                      <w:t xml:space="preserve"> </w:t>
                    </w:r>
                    <w:r>
                      <w:t>Documentation</w:t>
                    </w:r>
                    <w:r>
                      <w:rPr>
                        <w:spacing w:val="-3"/>
                      </w:rPr>
                      <w:t xml:space="preserve"> </w:t>
                    </w:r>
                    <w:r>
                      <w:t>for</w:t>
                    </w:r>
                    <w:r>
                      <w:rPr>
                        <w:spacing w:val="-3"/>
                      </w:rPr>
                      <w:t xml:space="preserve"> </w:t>
                    </w:r>
                    <w:r>
                      <w:t>IG</w:t>
                    </w:r>
                    <w:r>
                      <w:rPr>
                        <w:spacing w:val="-3"/>
                      </w:rPr>
                      <w:t xml:space="preserve"> </w:t>
                    </w:r>
                    <w:r>
                      <w:t>Oversight</w:t>
                    </w:r>
                    <w:r>
                      <w:rPr>
                        <w:spacing w:val="-3"/>
                      </w:rPr>
                      <w:t xml:space="preserve"> </w:t>
                    </w:r>
                    <w:r>
                      <w:t>of</w:t>
                    </w:r>
                    <w:r>
                      <w:rPr>
                        <w:spacing w:val="-4"/>
                      </w:rPr>
                      <w:t xml:space="preserve"> </w:t>
                    </w:r>
                    <w:r>
                      <w:t>Financial</w:t>
                    </w:r>
                    <w:r>
                      <w:rPr>
                        <w:spacing w:val="-3"/>
                      </w:rPr>
                      <w:t xml:space="preserve"> </w:t>
                    </w:r>
                    <w:r>
                      <w:t>Statement Audits Performed by IPA Firms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4"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40032" behindDoc="1" locked="0" layoutInCell="1" allowOverlap="1" wp14:anchorId="0DFDD9B0" wp14:editId="0DFDD9B1">
              <wp:simplePos x="0" y="0"/>
              <wp:positionH relativeFrom="page">
                <wp:posOffset>895350</wp:posOffset>
              </wp:positionH>
              <wp:positionV relativeFrom="page">
                <wp:posOffset>457962</wp:posOffset>
              </wp:positionV>
              <wp:extent cx="5981700" cy="28575"/>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3402DB" id="Graphic 267" o:spid="_x0000_s1026" style="position:absolute;margin-left:70.5pt;margin-top:36.05pt;width:471pt;height:2.25pt;z-index:-2717644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40544" behindDoc="1" locked="0" layoutInCell="1" allowOverlap="1" wp14:anchorId="0DFDD9B2" wp14:editId="0DFDD9B3">
              <wp:simplePos x="0" y="0"/>
              <wp:positionH relativeFrom="page">
                <wp:posOffset>895350</wp:posOffset>
              </wp:positionH>
              <wp:positionV relativeFrom="page">
                <wp:posOffset>992886</wp:posOffset>
              </wp:positionV>
              <wp:extent cx="5981700" cy="28575"/>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0191DF" id="Graphic 268" o:spid="_x0000_s1026" style="position:absolute;margin-left:70.5pt;margin-top:78.2pt;width:471pt;height:2.25pt;z-index:-2717593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41056" behindDoc="1" locked="0" layoutInCell="1" allowOverlap="1" wp14:anchorId="0DFDD9B4" wp14:editId="0DFDD9B5">
              <wp:simplePos x="0" y="0"/>
              <wp:positionH relativeFrom="page">
                <wp:posOffset>901700</wp:posOffset>
              </wp:positionH>
              <wp:positionV relativeFrom="page">
                <wp:posOffset>490475</wp:posOffset>
              </wp:positionV>
              <wp:extent cx="5787390" cy="50292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7390" cy="502920"/>
                      </a:xfrm>
                      <a:prstGeom prst="rect">
                        <a:avLst/>
                      </a:prstGeom>
                    </wps:spPr>
                    <wps:txbx>
                      <w:txbxContent>
                        <w:p w14:paraId="0DFDDE45"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46" w14:textId="77777777" w:rsidR="00046465" w:rsidRDefault="008134EB">
                          <w:pPr>
                            <w:pStyle w:val="BodyText"/>
                            <w:ind w:left="20" w:hanging="1"/>
                          </w:pPr>
                          <w:r>
                            <w:t>670</w:t>
                          </w:r>
                          <w:r>
                            <w:rPr>
                              <w:spacing w:val="-3"/>
                            </w:rPr>
                            <w:t xml:space="preserve"> </w:t>
                          </w:r>
                          <w:r>
                            <w:t>B</w:t>
                          </w:r>
                          <w:r>
                            <w:rPr>
                              <w:spacing w:val="-3"/>
                            </w:rPr>
                            <w:t xml:space="preserve"> </w:t>
                          </w:r>
                          <w:r>
                            <w:t>–</w:t>
                          </w:r>
                          <w:r>
                            <w:rPr>
                              <w:spacing w:val="-3"/>
                            </w:rPr>
                            <w:t xml:space="preserve"> </w:t>
                          </w:r>
                          <w:r>
                            <w:t>Example</w:t>
                          </w:r>
                          <w:r>
                            <w:rPr>
                              <w:spacing w:val="-3"/>
                            </w:rPr>
                            <w:t xml:space="preserve"> </w:t>
                          </w:r>
                          <w:r>
                            <w:t>Transmittal</w:t>
                          </w:r>
                          <w:r>
                            <w:rPr>
                              <w:spacing w:val="-3"/>
                            </w:rPr>
                            <w:t xml:space="preserve"> </w:t>
                          </w:r>
                          <w:r>
                            <w:t>Letter</w:t>
                          </w:r>
                          <w:r>
                            <w:rPr>
                              <w:spacing w:val="-3"/>
                            </w:rPr>
                            <w:t xml:space="preserve"> </w:t>
                          </w:r>
                          <w:r>
                            <w:t>for</w:t>
                          </w:r>
                          <w:r>
                            <w:rPr>
                              <w:spacing w:val="-3"/>
                            </w:rPr>
                            <w:t xml:space="preserve"> </w:t>
                          </w:r>
                          <w:r>
                            <w:t>IG</w:t>
                          </w:r>
                          <w:r>
                            <w:rPr>
                              <w:spacing w:val="-4"/>
                            </w:rPr>
                            <w:t xml:space="preserve"> </w:t>
                          </w:r>
                          <w:r>
                            <w:t>Oversight</w:t>
                          </w:r>
                          <w:r>
                            <w:rPr>
                              <w:spacing w:val="-3"/>
                            </w:rPr>
                            <w:t xml:space="preserve"> </w:t>
                          </w:r>
                          <w:r>
                            <w:t>of</w:t>
                          </w:r>
                          <w:r>
                            <w:rPr>
                              <w:spacing w:val="-3"/>
                            </w:rPr>
                            <w:t xml:space="preserve"> </w:t>
                          </w:r>
                          <w:r>
                            <w:t>Financial</w:t>
                          </w:r>
                          <w:r>
                            <w:rPr>
                              <w:spacing w:val="-3"/>
                            </w:rPr>
                            <w:t xml:space="preserve"> </w:t>
                          </w:r>
                          <w:r>
                            <w:t>Statement</w:t>
                          </w:r>
                          <w:r>
                            <w:rPr>
                              <w:spacing w:val="-3"/>
                            </w:rPr>
                            <w:t xml:space="preserve"> </w:t>
                          </w:r>
                          <w:r>
                            <w:t>Audits</w:t>
                          </w:r>
                          <w:r>
                            <w:rPr>
                              <w:spacing w:val="-3"/>
                            </w:rPr>
                            <w:t xml:space="preserve"> </w:t>
                          </w:r>
                          <w:r>
                            <w:t>Performed by IPA Firms</w:t>
                          </w:r>
                        </w:p>
                      </w:txbxContent>
                    </wps:txbx>
                    <wps:bodyPr wrap="square" lIns="0" tIns="0" rIns="0" bIns="0" rtlCol="0">
                      <a:noAutofit/>
                    </wps:bodyPr>
                  </wps:wsp>
                </a:graphicData>
              </a:graphic>
            </wp:anchor>
          </w:drawing>
        </mc:Choice>
        <mc:Fallback>
          <w:pict>
            <v:shapetype w14:anchorId="0DFDD9B4" id="_x0000_t202" coordsize="21600,21600" o:spt="202" path="m,l,21600r21600,l21600,xe">
              <v:stroke joinstyle="miter"/>
              <v:path gradientshapeok="t" o:connecttype="rect"/>
            </v:shapetype>
            <v:shape id="Textbox 269" o:spid="_x0000_s1144" type="#_x0000_t202" style="position:absolute;margin-left:71pt;margin-top:38.6pt;width:455.7pt;height:39.6pt;z-index:-271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" filled="f" stroked="f">
              <v:textbox inset="0,0,0,0">
                <w:txbxContent>
                  <w:p w14:paraId="0DFDDE45"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E46" w14:textId="77777777" w:rsidR="00046465" w:rsidRDefault="008134EB">
                    <w:pPr>
                      <w:pStyle w:val="BodyText"/>
                      <w:ind w:left="20" w:hanging="1"/>
                    </w:pPr>
                    <w:r>
                      <w:t>670</w:t>
                    </w:r>
                    <w:r>
                      <w:rPr>
                        <w:spacing w:val="-3"/>
                      </w:rPr>
                      <w:t xml:space="preserve"> </w:t>
                    </w:r>
                    <w:r>
                      <w:t>B</w:t>
                    </w:r>
                    <w:r>
                      <w:rPr>
                        <w:spacing w:val="-3"/>
                      </w:rPr>
                      <w:t xml:space="preserve"> </w:t>
                    </w:r>
                    <w:r>
                      <w:t>–</w:t>
                    </w:r>
                    <w:r>
                      <w:rPr>
                        <w:spacing w:val="-3"/>
                      </w:rPr>
                      <w:t xml:space="preserve"> </w:t>
                    </w:r>
                    <w:r>
                      <w:t>Example</w:t>
                    </w:r>
                    <w:r>
                      <w:rPr>
                        <w:spacing w:val="-3"/>
                      </w:rPr>
                      <w:t xml:space="preserve"> </w:t>
                    </w:r>
                    <w:r>
                      <w:t>Transmittal</w:t>
                    </w:r>
                    <w:r>
                      <w:rPr>
                        <w:spacing w:val="-3"/>
                      </w:rPr>
                      <w:t xml:space="preserve"> </w:t>
                    </w:r>
                    <w:r>
                      <w:t>Letter</w:t>
                    </w:r>
                    <w:r>
                      <w:rPr>
                        <w:spacing w:val="-3"/>
                      </w:rPr>
                      <w:t xml:space="preserve"> </w:t>
                    </w:r>
                    <w:r>
                      <w:t>for</w:t>
                    </w:r>
                    <w:r>
                      <w:rPr>
                        <w:spacing w:val="-3"/>
                      </w:rPr>
                      <w:t xml:space="preserve"> </w:t>
                    </w:r>
                    <w:r>
                      <w:t>IG</w:t>
                    </w:r>
                    <w:r>
                      <w:rPr>
                        <w:spacing w:val="-4"/>
                      </w:rPr>
                      <w:t xml:space="preserve"> </w:t>
                    </w:r>
                    <w:r>
                      <w:t>Oversight</w:t>
                    </w:r>
                    <w:r>
                      <w:rPr>
                        <w:spacing w:val="-3"/>
                      </w:rPr>
                      <w:t xml:space="preserve"> </w:t>
                    </w:r>
                    <w:r>
                      <w:t>of</w:t>
                    </w:r>
                    <w:r>
                      <w:rPr>
                        <w:spacing w:val="-3"/>
                      </w:rPr>
                      <w:t xml:space="preserve"> </w:t>
                    </w:r>
                    <w:r>
                      <w:t>Financial</w:t>
                    </w:r>
                    <w:r>
                      <w:rPr>
                        <w:spacing w:val="-3"/>
                      </w:rPr>
                      <w:t xml:space="preserve"> </w:t>
                    </w:r>
                    <w:r>
                      <w:t>Statement</w:t>
                    </w:r>
                    <w:r>
                      <w:rPr>
                        <w:spacing w:val="-3"/>
                      </w:rPr>
                      <w:t xml:space="preserve"> </w:t>
                    </w:r>
                    <w:r>
                      <w:t>Audits</w:t>
                    </w:r>
                    <w:r>
                      <w:rPr>
                        <w:spacing w:val="-3"/>
                      </w:rPr>
                      <w:t xml:space="preserve"> </w:t>
                    </w:r>
                    <w:r>
                      <w:t>Performed by IPA Firms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6" w14:textId="77777777" w:rsidR="00046465" w:rsidRDefault="00046465">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8"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43616" behindDoc="1" locked="0" layoutInCell="1" allowOverlap="1" wp14:anchorId="0DFDD9BE" wp14:editId="0DFDD9BF">
              <wp:simplePos x="0" y="0"/>
              <wp:positionH relativeFrom="page">
                <wp:posOffset>895350</wp:posOffset>
              </wp:positionH>
              <wp:positionV relativeFrom="page">
                <wp:posOffset>457962</wp:posOffset>
              </wp:positionV>
              <wp:extent cx="5981700" cy="28575"/>
              <wp:effectExtent l="0" t="0" r="0" b="0"/>
              <wp:wrapNone/>
              <wp:docPr id="280" name="Graphic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B9221D" id="Graphic 280" o:spid="_x0000_s1026" style="position:absolute;margin-left:70.5pt;margin-top:36.05pt;width:471pt;height:2.25pt;z-index:-271728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44128" behindDoc="1" locked="0" layoutInCell="1" allowOverlap="1" wp14:anchorId="0DFDD9C0" wp14:editId="0DFDD9C1">
              <wp:simplePos x="0" y="0"/>
              <wp:positionH relativeFrom="page">
                <wp:posOffset>895350</wp:posOffset>
              </wp:positionH>
              <wp:positionV relativeFrom="page">
                <wp:posOffset>832103</wp:posOffset>
              </wp:positionV>
              <wp:extent cx="5981700" cy="28575"/>
              <wp:effectExtent l="0" t="0" r="0" b="0"/>
              <wp:wrapNone/>
              <wp:docPr id="281" name="Graphic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04150E" id="Graphic 281" o:spid="_x0000_s1026" style="position:absolute;margin-left:70.5pt;margin-top:65.5pt;width:471pt;height:2.25pt;z-index:-2717235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44640" behindDoc="1" locked="0" layoutInCell="1" allowOverlap="1" wp14:anchorId="0DFDD9C2" wp14:editId="0DFDD9C3">
              <wp:simplePos x="0" y="0"/>
              <wp:positionH relativeFrom="page">
                <wp:posOffset>901700</wp:posOffset>
              </wp:positionH>
              <wp:positionV relativeFrom="page">
                <wp:posOffset>490475</wp:posOffset>
              </wp:positionV>
              <wp:extent cx="4754245" cy="342265"/>
              <wp:effectExtent l="0" t="0" r="0" b="0"/>
              <wp:wrapNone/>
              <wp:docPr id="282" name="Text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4245" cy="342265"/>
                      </a:xfrm>
                      <a:prstGeom prst="rect">
                        <a:avLst/>
                      </a:prstGeom>
                    </wps:spPr>
                    <wps:txbx>
                      <w:txbxContent>
                        <w:p w14:paraId="0DFDDE4A"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0DFDDE4B" w14:textId="77777777" w:rsidR="00046465" w:rsidRDefault="008134EB">
                          <w:pPr>
                            <w:pStyle w:val="BodyText"/>
                            <w:ind w:left="20"/>
                          </w:pPr>
                          <w:r>
                            <w:t>700</w:t>
                          </w:r>
                          <w:r>
                            <w:rPr>
                              <w:spacing w:val="-8"/>
                            </w:rPr>
                            <w:t xml:space="preserve"> </w:t>
                          </w:r>
                          <w:r>
                            <w:t>–</w:t>
                          </w:r>
                          <w:r>
                            <w:rPr>
                              <w:spacing w:val="-7"/>
                            </w:rPr>
                            <w:t xml:space="preserve"> </w:t>
                          </w:r>
                          <w:r>
                            <w:t>Contents</w:t>
                          </w:r>
                          <w:r>
                            <w:rPr>
                              <w:spacing w:val="-7"/>
                            </w:rPr>
                            <w:t xml:space="preserve"> </w:t>
                          </w:r>
                          <w:r>
                            <w:t>of</w:t>
                          </w:r>
                          <w:r>
                            <w:rPr>
                              <w:spacing w:val="-8"/>
                            </w:rPr>
                            <w:t xml:space="preserve"> </w:t>
                          </w:r>
                          <w:r>
                            <w:t>FFMIA</w:t>
                          </w:r>
                          <w:r>
                            <w:rPr>
                              <w:spacing w:val="-7"/>
                            </w:rPr>
                            <w:t xml:space="preserve"> </w:t>
                          </w:r>
                          <w:r>
                            <w:t>Guidance</w:t>
                          </w:r>
                          <w:r>
                            <w:rPr>
                              <w:spacing w:val="-7"/>
                            </w:rPr>
                            <w:t xml:space="preserve"> </w:t>
                          </w:r>
                          <w:r>
                            <w:t>and</w:t>
                          </w:r>
                          <w:r>
                            <w:rPr>
                              <w:spacing w:val="-7"/>
                            </w:rPr>
                            <w:t xml:space="preserve"> </w:t>
                          </w:r>
                          <w:r>
                            <w:t>Agreed-Upon</w:t>
                          </w:r>
                          <w:r>
                            <w:rPr>
                              <w:spacing w:val="-8"/>
                            </w:rPr>
                            <w:t xml:space="preserve"> </w:t>
                          </w:r>
                          <w:r>
                            <w:t>Procedures</w:t>
                          </w:r>
                          <w:r>
                            <w:rPr>
                              <w:spacing w:val="-7"/>
                            </w:rPr>
                            <w:t xml:space="preserve"> </w:t>
                          </w:r>
                          <w:r>
                            <w:rPr>
                              <w:spacing w:val="-2"/>
                            </w:rPr>
                            <w:t>Guidance</w:t>
                          </w:r>
                        </w:p>
                      </w:txbxContent>
                    </wps:txbx>
                    <wps:bodyPr wrap="square" lIns="0" tIns="0" rIns="0" bIns="0" rtlCol="0">
                      <a:noAutofit/>
                    </wps:bodyPr>
                  </wps:wsp>
                </a:graphicData>
              </a:graphic>
            </wp:anchor>
          </w:drawing>
        </mc:Choice>
        <mc:Fallback>
          <w:pict>
            <v:shapetype w14:anchorId="0DFDD9C2" id="_x0000_t202" coordsize="21600,21600" o:spt="202" path="m,l,21600r21600,l21600,xe">
              <v:stroke joinstyle="miter"/>
              <v:path gradientshapeok="t" o:connecttype="rect"/>
            </v:shapetype>
            <v:shape id="Textbox 282" o:spid="_x0000_s1148" type="#_x0000_t202" style="position:absolute;margin-left:71pt;margin-top:38.6pt;width:374.35pt;height:26.95pt;z-index:-27171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" filled="f" stroked="f">
              <v:textbox inset="0,0,0,0">
                <w:txbxContent>
                  <w:p w14:paraId="0DFDDE4A"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0DFDDE4B" w14:textId="77777777" w:rsidR="00046465" w:rsidRDefault="008134EB">
                    <w:pPr>
                      <w:pStyle w:val="BodyText"/>
                      <w:ind w:left="20"/>
                    </w:pPr>
                    <w:r>
                      <w:t>700</w:t>
                    </w:r>
                    <w:r>
                      <w:rPr>
                        <w:spacing w:val="-8"/>
                      </w:rPr>
                      <w:t xml:space="preserve"> </w:t>
                    </w:r>
                    <w:r>
                      <w:t>–</w:t>
                    </w:r>
                    <w:r>
                      <w:rPr>
                        <w:spacing w:val="-7"/>
                      </w:rPr>
                      <w:t xml:space="preserve"> </w:t>
                    </w:r>
                    <w:r>
                      <w:t>Contents</w:t>
                    </w:r>
                    <w:r>
                      <w:rPr>
                        <w:spacing w:val="-7"/>
                      </w:rPr>
                      <w:t xml:space="preserve"> </w:t>
                    </w:r>
                    <w:r>
                      <w:t>of</w:t>
                    </w:r>
                    <w:r>
                      <w:rPr>
                        <w:spacing w:val="-8"/>
                      </w:rPr>
                      <w:t xml:space="preserve"> </w:t>
                    </w:r>
                    <w:r>
                      <w:t>FFMIA</w:t>
                    </w:r>
                    <w:r>
                      <w:rPr>
                        <w:spacing w:val="-7"/>
                      </w:rPr>
                      <w:t xml:space="preserve"> </w:t>
                    </w:r>
                    <w:r>
                      <w:t>Guidance</w:t>
                    </w:r>
                    <w:r>
                      <w:rPr>
                        <w:spacing w:val="-7"/>
                      </w:rPr>
                      <w:t xml:space="preserve"> </w:t>
                    </w:r>
                    <w:r>
                      <w:t>and</w:t>
                    </w:r>
                    <w:r>
                      <w:rPr>
                        <w:spacing w:val="-7"/>
                      </w:rPr>
                      <w:t xml:space="preserve"> </w:t>
                    </w:r>
                    <w:r>
                      <w:t>Agreed-Upon</w:t>
                    </w:r>
                    <w:r>
                      <w:rPr>
                        <w:spacing w:val="-8"/>
                      </w:rPr>
                      <w:t xml:space="preserve"> </w:t>
                    </w:r>
                    <w:r>
                      <w:t>Procedures</w:t>
                    </w:r>
                    <w:r>
                      <w:rPr>
                        <w:spacing w:val="-7"/>
                      </w:rPr>
                      <w:t xml:space="preserve"> </w:t>
                    </w:r>
                    <w:r>
                      <w:rPr>
                        <w:spacing w:val="-2"/>
                      </w:rPr>
                      <w:t>Guidance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4" w14:textId="77777777" w:rsidR="00046465" w:rsidRDefault="00046465">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A"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47200" behindDoc="1" locked="0" layoutInCell="1" allowOverlap="1" wp14:anchorId="0DFDD9CC" wp14:editId="0DFDD9CD">
              <wp:simplePos x="0" y="0"/>
              <wp:positionH relativeFrom="page">
                <wp:posOffset>895350</wp:posOffset>
              </wp:positionH>
              <wp:positionV relativeFrom="page">
                <wp:posOffset>457962</wp:posOffset>
              </wp:positionV>
              <wp:extent cx="5981700" cy="28575"/>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472C02" id="Graphic 287" o:spid="_x0000_s1026" style="position:absolute;margin-left:70.5pt;margin-top:36.05pt;width:471pt;height:2.25pt;z-index:-271692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47712" behindDoc="1" locked="0" layoutInCell="1" allowOverlap="1" wp14:anchorId="0DFDD9CE" wp14:editId="0DFDD9CF">
              <wp:simplePos x="0" y="0"/>
              <wp:positionH relativeFrom="page">
                <wp:posOffset>895350</wp:posOffset>
              </wp:positionH>
              <wp:positionV relativeFrom="page">
                <wp:posOffset>832103</wp:posOffset>
              </wp:positionV>
              <wp:extent cx="5981700" cy="28575"/>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6CB867" id="Graphic 288" o:spid="_x0000_s1026" style="position:absolute;margin-left:70.5pt;margin-top:65.5pt;width:471pt;height:2.25pt;z-index:-2716876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48224" behindDoc="1" locked="0" layoutInCell="1" allowOverlap="1" wp14:anchorId="0DFDD9D0" wp14:editId="0DFDD9D1">
              <wp:simplePos x="0" y="0"/>
              <wp:positionH relativeFrom="page">
                <wp:posOffset>901700</wp:posOffset>
              </wp:positionH>
              <wp:positionV relativeFrom="page">
                <wp:posOffset>490475</wp:posOffset>
              </wp:positionV>
              <wp:extent cx="4739005" cy="34226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9005" cy="342265"/>
                      </a:xfrm>
                      <a:prstGeom prst="rect">
                        <a:avLst/>
                      </a:prstGeom>
                    </wps:spPr>
                    <wps:txbx>
                      <w:txbxContent>
                        <w:p w14:paraId="0DFDDE4F"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0DFDDE50" w14:textId="77777777" w:rsidR="00046465" w:rsidRDefault="008134EB">
                          <w:pPr>
                            <w:pStyle w:val="BodyText"/>
                            <w:ind w:left="20"/>
                          </w:pPr>
                          <w:r>
                            <w:t>701</w:t>
                          </w:r>
                          <w:r>
                            <w:rPr>
                              <w:spacing w:val="-9"/>
                            </w:rPr>
                            <w:t xml:space="preserve"> </w:t>
                          </w:r>
                          <w:r>
                            <w:t>–</w:t>
                          </w:r>
                          <w:r>
                            <w:rPr>
                              <w:spacing w:val="-9"/>
                            </w:rPr>
                            <w:t xml:space="preserve"> </w:t>
                          </w:r>
                          <w:r>
                            <w:t>Assessing</w:t>
                          </w:r>
                          <w:r>
                            <w:rPr>
                              <w:spacing w:val="-9"/>
                            </w:rPr>
                            <w:t xml:space="preserve"> </w:t>
                          </w:r>
                          <w:r>
                            <w:t>Financial</w:t>
                          </w:r>
                          <w:r>
                            <w:rPr>
                              <w:spacing w:val="-9"/>
                            </w:rPr>
                            <w:t xml:space="preserve"> </w:t>
                          </w:r>
                          <w:r>
                            <w:t>Management</w:t>
                          </w:r>
                          <w:r>
                            <w:rPr>
                              <w:spacing w:val="-9"/>
                            </w:rPr>
                            <w:t xml:space="preserve"> </w:t>
                          </w:r>
                          <w:r>
                            <w:t>Systems’</w:t>
                          </w:r>
                          <w:r>
                            <w:rPr>
                              <w:spacing w:val="-9"/>
                            </w:rPr>
                            <w:t xml:space="preserve"> </w:t>
                          </w:r>
                          <w:r>
                            <w:t>Compliance</w:t>
                          </w:r>
                          <w:r>
                            <w:rPr>
                              <w:spacing w:val="-9"/>
                            </w:rPr>
                            <w:t xml:space="preserve"> </w:t>
                          </w:r>
                          <w:r>
                            <w:t>under</w:t>
                          </w:r>
                          <w:r>
                            <w:rPr>
                              <w:spacing w:val="-9"/>
                            </w:rPr>
                            <w:t xml:space="preserve"> </w:t>
                          </w:r>
                          <w:r>
                            <w:rPr>
                              <w:spacing w:val="-2"/>
                            </w:rPr>
                            <w:t>FFMIA</w:t>
                          </w:r>
                        </w:p>
                      </w:txbxContent>
                    </wps:txbx>
                    <wps:bodyPr wrap="square" lIns="0" tIns="0" rIns="0" bIns="0" rtlCol="0">
                      <a:noAutofit/>
                    </wps:bodyPr>
                  </wps:wsp>
                </a:graphicData>
              </a:graphic>
            </wp:anchor>
          </w:drawing>
        </mc:Choice>
        <mc:Fallback>
          <w:pict>
            <v:shapetype w14:anchorId="0DFDD9D0" id="_x0000_t202" coordsize="21600,21600" o:spt="202" path="m,l,21600r21600,l21600,xe">
              <v:stroke joinstyle="miter"/>
              <v:path gradientshapeok="t" o:connecttype="rect"/>
            </v:shapetype>
            <v:shape id="Textbox 289" o:spid="_x0000_s1152" type="#_x0000_t202" style="position:absolute;margin-left:71pt;margin-top:38.6pt;width:373.15pt;height:26.95pt;z-index:-271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" filled="f" stroked="f">
              <v:textbox inset="0,0,0,0">
                <w:txbxContent>
                  <w:p w14:paraId="0DFDDE4F"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0DFDDE50" w14:textId="77777777" w:rsidR="00046465" w:rsidRDefault="008134EB">
                    <w:pPr>
                      <w:pStyle w:val="BodyText"/>
                      <w:ind w:left="20"/>
                    </w:pPr>
                    <w:r>
                      <w:t>701</w:t>
                    </w:r>
                    <w:r>
                      <w:rPr>
                        <w:spacing w:val="-9"/>
                      </w:rPr>
                      <w:t xml:space="preserve"> </w:t>
                    </w:r>
                    <w:r>
                      <w:t>–</w:t>
                    </w:r>
                    <w:r>
                      <w:rPr>
                        <w:spacing w:val="-9"/>
                      </w:rPr>
                      <w:t xml:space="preserve"> </w:t>
                    </w:r>
                    <w:r>
                      <w:t>Assessing</w:t>
                    </w:r>
                    <w:r>
                      <w:rPr>
                        <w:spacing w:val="-9"/>
                      </w:rPr>
                      <w:t xml:space="preserve"> </w:t>
                    </w:r>
                    <w:r>
                      <w:t>Financial</w:t>
                    </w:r>
                    <w:r>
                      <w:rPr>
                        <w:spacing w:val="-9"/>
                      </w:rPr>
                      <w:t xml:space="preserve"> </w:t>
                    </w:r>
                    <w:r>
                      <w:t>Management</w:t>
                    </w:r>
                    <w:r>
                      <w:rPr>
                        <w:spacing w:val="-9"/>
                      </w:rPr>
                      <w:t xml:space="preserve"> </w:t>
                    </w:r>
                    <w:r>
                      <w:t>Systems’</w:t>
                    </w:r>
                    <w:r>
                      <w:rPr>
                        <w:spacing w:val="-9"/>
                      </w:rPr>
                      <w:t xml:space="preserve"> </w:t>
                    </w:r>
                    <w:r>
                      <w:t>Compliance</w:t>
                    </w:r>
                    <w:r>
                      <w:rPr>
                        <w:spacing w:val="-9"/>
                      </w:rPr>
                      <w:t xml:space="preserve"> </w:t>
                    </w:r>
                    <w:r>
                      <w:t>under</w:t>
                    </w:r>
                    <w:r>
                      <w:rPr>
                        <w:spacing w:val="-9"/>
                      </w:rPr>
                      <w:t xml:space="preserve"> </w:t>
                    </w:r>
                    <w:r>
                      <w:rPr>
                        <w:spacing w:val="-2"/>
                      </w:rPr>
                      <w:t>FFMIA</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C"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50784" behindDoc="1" locked="0" layoutInCell="1" allowOverlap="1" wp14:anchorId="0DFDD9DA" wp14:editId="0DFDD9DB">
              <wp:simplePos x="0" y="0"/>
              <wp:positionH relativeFrom="page">
                <wp:posOffset>895350</wp:posOffset>
              </wp:positionH>
              <wp:positionV relativeFrom="page">
                <wp:posOffset>457962</wp:posOffset>
              </wp:positionV>
              <wp:extent cx="5981700" cy="28575"/>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D97917" id="Graphic 295" o:spid="_x0000_s1026" style="position:absolute;margin-left:70.5pt;margin-top:36.05pt;width:471pt;height:2.25pt;z-index:-271656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51296" behindDoc="1" locked="0" layoutInCell="1" allowOverlap="1" wp14:anchorId="0DFDD9DC" wp14:editId="0DFDD9DD">
              <wp:simplePos x="0" y="0"/>
              <wp:positionH relativeFrom="page">
                <wp:posOffset>895350</wp:posOffset>
              </wp:positionH>
              <wp:positionV relativeFrom="page">
                <wp:posOffset>832103</wp:posOffset>
              </wp:positionV>
              <wp:extent cx="5981700" cy="28575"/>
              <wp:effectExtent l="0" t="0" r="0" b="0"/>
              <wp:wrapNone/>
              <wp:docPr id="296" name="Graphic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7E0CF8" id="Graphic 296" o:spid="_x0000_s1026" style="position:absolute;margin-left:70.5pt;margin-top:65.5pt;width:471pt;height:2.25pt;z-index:-2716518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51808" behindDoc="1" locked="0" layoutInCell="1" allowOverlap="1" wp14:anchorId="0DFDD9DE" wp14:editId="0DFDD9DF">
              <wp:simplePos x="0" y="0"/>
              <wp:positionH relativeFrom="page">
                <wp:posOffset>901700</wp:posOffset>
              </wp:positionH>
              <wp:positionV relativeFrom="page">
                <wp:posOffset>490475</wp:posOffset>
              </wp:positionV>
              <wp:extent cx="4739005" cy="342265"/>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9005" cy="342265"/>
                      </a:xfrm>
                      <a:prstGeom prst="rect">
                        <a:avLst/>
                      </a:prstGeom>
                    </wps:spPr>
                    <wps:txbx>
                      <w:txbxContent>
                        <w:p w14:paraId="0DFDDE54"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0DFDDE55" w14:textId="77777777" w:rsidR="00046465" w:rsidRDefault="008134EB">
                          <w:pPr>
                            <w:pStyle w:val="BodyText"/>
                            <w:ind w:left="20"/>
                          </w:pPr>
                          <w:r>
                            <w:t>701</w:t>
                          </w:r>
                          <w:r>
                            <w:rPr>
                              <w:spacing w:val="-9"/>
                            </w:rPr>
                            <w:t xml:space="preserve"> </w:t>
                          </w:r>
                          <w:r>
                            <w:t>–</w:t>
                          </w:r>
                          <w:r>
                            <w:rPr>
                              <w:spacing w:val="-9"/>
                            </w:rPr>
                            <w:t xml:space="preserve"> </w:t>
                          </w:r>
                          <w:r>
                            <w:t>Assessing</w:t>
                          </w:r>
                          <w:r>
                            <w:rPr>
                              <w:spacing w:val="-9"/>
                            </w:rPr>
                            <w:t xml:space="preserve"> </w:t>
                          </w:r>
                          <w:r>
                            <w:t>Financial</w:t>
                          </w:r>
                          <w:r>
                            <w:rPr>
                              <w:spacing w:val="-9"/>
                            </w:rPr>
                            <w:t xml:space="preserve"> </w:t>
                          </w:r>
                          <w:r>
                            <w:t>Management</w:t>
                          </w:r>
                          <w:r>
                            <w:rPr>
                              <w:spacing w:val="-9"/>
                            </w:rPr>
                            <w:t xml:space="preserve"> </w:t>
                          </w:r>
                          <w:r>
                            <w:t>Systems’</w:t>
                          </w:r>
                          <w:r>
                            <w:rPr>
                              <w:spacing w:val="-9"/>
                            </w:rPr>
                            <w:t xml:space="preserve"> </w:t>
                          </w:r>
                          <w:r>
                            <w:t>Compliance</w:t>
                          </w:r>
                          <w:r>
                            <w:rPr>
                              <w:spacing w:val="-9"/>
                            </w:rPr>
                            <w:t xml:space="preserve"> </w:t>
                          </w:r>
                          <w:r>
                            <w:t>under</w:t>
                          </w:r>
                          <w:r>
                            <w:rPr>
                              <w:spacing w:val="-9"/>
                            </w:rPr>
                            <w:t xml:space="preserve"> </w:t>
                          </w:r>
                          <w:r>
                            <w:rPr>
                              <w:spacing w:val="-2"/>
                            </w:rPr>
                            <w:t>FFMIA</w:t>
                          </w:r>
                        </w:p>
                      </w:txbxContent>
                    </wps:txbx>
                    <wps:bodyPr wrap="square" lIns="0" tIns="0" rIns="0" bIns="0" rtlCol="0">
                      <a:noAutofit/>
                    </wps:bodyPr>
                  </wps:wsp>
                </a:graphicData>
              </a:graphic>
            </wp:anchor>
          </w:drawing>
        </mc:Choice>
        <mc:Fallback>
          <w:pict>
            <v:shapetype w14:anchorId="0DFDD9DE" id="_x0000_t202" coordsize="21600,21600" o:spt="202" path="m,l,21600r21600,l21600,xe">
              <v:stroke joinstyle="miter"/>
              <v:path gradientshapeok="t" o:connecttype="rect"/>
            </v:shapetype>
            <v:shape id="Textbox 297" o:spid="_x0000_s1156" type="#_x0000_t202" style="position:absolute;margin-left:71pt;margin-top:38.6pt;width:373.15pt;height:26.95pt;z-index:-2716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" filled="f" stroked="f">
              <v:textbox inset="0,0,0,0">
                <w:txbxContent>
                  <w:p w14:paraId="0DFDDE54"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0DFDDE55" w14:textId="77777777" w:rsidR="00046465" w:rsidRDefault="008134EB">
                    <w:pPr>
                      <w:pStyle w:val="BodyText"/>
                      <w:ind w:left="20"/>
                    </w:pPr>
                    <w:r>
                      <w:t>701</w:t>
                    </w:r>
                    <w:r>
                      <w:rPr>
                        <w:spacing w:val="-9"/>
                      </w:rPr>
                      <w:t xml:space="preserve"> </w:t>
                    </w:r>
                    <w:r>
                      <w:t>–</w:t>
                    </w:r>
                    <w:r>
                      <w:rPr>
                        <w:spacing w:val="-9"/>
                      </w:rPr>
                      <w:t xml:space="preserve"> </w:t>
                    </w:r>
                    <w:r>
                      <w:t>Assessing</w:t>
                    </w:r>
                    <w:r>
                      <w:rPr>
                        <w:spacing w:val="-9"/>
                      </w:rPr>
                      <w:t xml:space="preserve"> </w:t>
                    </w:r>
                    <w:r>
                      <w:t>Financial</w:t>
                    </w:r>
                    <w:r>
                      <w:rPr>
                        <w:spacing w:val="-9"/>
                      </w:rPr>
                      <w:t xml:space="preserve"> </w:t>
                    </w:r>
                    <w:r>
                      <w:t>Management</w:t>
                    </w:r>
                    <w:r>
                      <w:rPr>
                        <w:spacing w:val="-9"/>
                      </w:rPr>
                      <w:t xml:space="preserve"> </w:t>
                    </w:r>
                    <w:r>
                      <w:t>Systems’</w:t>
                    </w:r>
                    <w:r>
                      <w:rPr>
                        <w:spacing w:val="-9"/>
                      </w:rPr>
                      <w:t xml:space="preserve"> </w:t>
                    </w:r>
                    <w:r>
                      <w:t>Compliance</w:t>
                    </w:r>
                    <w:r>
                      <w:rPr>
                        <w:spacing w:val="-9"/>
                      </w:rPr>
                      <w:t xml:space="preserve"> </w:t>
                    </w:r>
                    <w:r>
                      <w:t>under</w:t>
                    </w:r>
                    <w:r>
                      <w:rPr>
                        <w:spacing w:val="-9"/>
                      </w:rPr>
                      <w:t xml:space="preserve"> </w:t>
                    </w:r>
                    <w:r>
                      <w:rPr>
                        <w:spacing w:val="-2"/>
                      </w:rPr>
                      <w:t>FFMIA</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CE"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54368" behindDoc="1" locked="0" layoutInCell="1" allowOverlap="1" wp14:anchorId="0DFDD9E8" wp14:editId="0DFDD9E9">
              <wp:simplePos x="0" y="0"/>
              <wp:positionH relativeFrom="page">
                <wp:posOffset>895350</wp:posOffset>
              </wp:positionH>
              <wp:positionV relativeFrom="page">
                <wp:posOffset>457962</wp:posOffset>
              </wp:positionV>
              <wp:extent cx="5981700" cy="28575"/>
              <wp:effectExtent l="0" t="0" r="0" b="0"/>
              <wp:wrapNone/>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D86377" id="Graphic 305" o:spid="_x0000_s1026" style="position:absolute;margin-left:70.5pt;margin-top:36.05pt;width:471pt;height:2.25pt;z-index:-271621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54880" behindDoc="1" locked="0" layoutInCell="1" allowOverlap="1" wp14:anchorId="0DFDD9EA" wp14:editId="0DFDD9EB">
              <wp:simplePos x="0" y="0"/>
              <wp:positionH relativeFrom="page">
                <wp:posOffset>895350</wp:posOffset>
              </wp:positionH>
              <wp:positionV relativeFrom="page">
                <wp:posOffset>992886</wp:posOffset>
              </wp:positionV>
              <wp:extent cx="5981700" cy="28575"/>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AFCF0B" id="Graphic 306" o:spid="_x0000_s1026" style="position:absolute;margin-left:70.5pt;margin-top:78.2pt;width:471pt;height:2.25pt;z-index:-2716160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55392" behindDoc="1" locked="0" layoutInCell="1" allowOverlap="1" wp14:anchorId="0DFDD9EC" wp14:editId="0DFDD9ED">
              <wp:simplePos x="0" y="0"/>
              <wp:positionH relativeFrom="page">
                <wp:posOffset>901700</wp:posOffset>
              </wp:positionH>
              <wp:positionV relativeFrom="page">
                <wp:posOffset>490475</wp:posOffset>
              </wp:positionV>
              <wp:extent cx="5871845" cy="50292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1845" cy="502920"/>
                      </a:xfrm>
                      <a:prstGeom prst="rect">
                        <a:avLst/>
                      </a:prstGeom>
                    </wps:spPr>
                    <wps:txbx>
                      <w:txbxContent>
                        <w:p w14:paraId="0DFDDE59"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0DFDDE5A" w14:textId="77777777" w:rsidR="00046465" w:rsidRDefault="008134EB">
                          <w:pPr>
                            <w:pStyle w:val="BodyText"/>
                            <w:ind w:left="20" w:hanging="1"/>
                          </w:pPr>
                          <w:r>
                            <w:t>701</w:t>
                          </w:r>
                          <w:r>
                            <w:rPr>
                              <w:spacing w:val="-4"/>
                            </w:rPr>
                            <w:t xml:space="preserve"> </w:t>
                          </w:r>
                          <w:r>
                            <w:t>A</w:t>
                          </w:r>
                          <w:r>
                            <w:rPr>
                              <w:spacing w:val="-4"/>
                            </w:rPr>
                            <w:t xml:space="preserve"> </w:t>
                          </w:r>
                          <w:r>
                            <w:t>–</w:t>
                          </w:r>
                          <w:r>
                            <w:rPr>
                              <w:spacing w:val="-4"/>
                            </w:rPr>
                            <w:t xml:space="preserve"> </w:t>
                          </w:r>
                          <w:r>
                            <w:t>Example</w:t>
                          </w:r>
                          <w:r>
                            <w:rPr>
                              <w:spacing w:val="-4"/>
                            </w:rPr>
                            <w:t xml:space="preserve"> </w:t>
                          </w:r>
                          <w:r>
                            <w:t>Audit</w:t>
                          </w:r>
                          <w:r>
                            <w:rPr>
                              <w:spacing w:val="-4"/>
                            </w:rPr>
                            <w:t xml:space="preserve"> </w:t>
                          </w:r>
                          <w:r>
                            <w:t>Plan</w:t>
                          </w:r>
                          <w:r>
                            <w:rPr>
                              <w:spacing w:val="-4"/>
                            </w:rPr>
                            <w:t xml:space="preserve"> </w:t>
                          </w:r>
                          <w:r>
                            <w:t>for</w:t>
                          </w:r>
                          <w:r>
                            <w:rPr>
                              <w:spacing w:val="-4"/>
                            </w:rPr>
                            <w:t xml:space="preserve"> </w:t>
                          </w:r>
                          <w:r>
                            <w:t>Assessing</w:t>
                          </w:r>
                          <w:r>
                            <w:rPr>
                              <w:spacing w:val="-4"/>
                            </w:rPr>
                            <w:t xml:space="preserve"> </w:t>
                          </w:r>
                          <w:r>
                            <w:t>Financial</w:t>
                          </w:r>
                          <w:r>
                            <w:rPr>
                              <w:spacing w:val="-4"/>
                            </w:rPr>
                            <w:t xml:space="preserve"> </w:t>
                          </w:r>
                          <w:r>
                            <w:t>Management</w:t>
                          </w:r>
                          <w:r>
                            <w:rPr>
                              <w:spacing w:val="-4"/>
                            </w:rPr>
                            <w:t xml:space="preserve"> </w:t>
                          </w:r>
                          <w:r>
                            <w:t>Systems’</w:t>
                          </w:r>
                          <w:r>
                            <w:rPr>
                              <w:spacing w:val="-4"/>
                            </w:rPr>
                            <w:t xml:space="preserve"> </w:t>
                          </w:r>
                          <w:r>
                            <w:t>Compliance</w:t>
                          </w:r>
                          <w:r>
                            <w:rPr>
                              <w:spacing w:val="-4"/>
                            </w:rPr>
                            <w:t xml:space="preserve"> </w:t>
                          </w:r>
                          <w:r>
                            <w:t xml:space="preserve">under </w:t>
                          </w:r>
                          <w:r>
                            <w:rPr>
                              <w:spacing w:val="-2"/>
                            </w:rPr>
                            <w:t>FFMIA</w:t>
                          </w:r>
                        </w:p>
                      </w:txbxContent>
                    </wps:txbx>
                    <wps:bodyPr wrap="square" lIns="0" tIns="0" rIns="0" bIns="0" rtlCol="0">
                      <a:noAutofit/>
                    </wps:bodyPr>
                  </wps:wsp>
                </a:graphicData>
              </a:graphic>
            </wp:anchor>
          </w:drawing>
        </mc:Choice>
        <mc:Fallback>
          <w:pict>
            <v:shapetype w14:anchorId="0DFDD9EC" id="_x0000_t202" coordsize="21600,21600" o:spt="202" path="m,l,21600r21600,l21600,xe">
              <v:stroke joinstyle="miter"/>
              <v:path gradientshapeok="t" o:connecttype="rect"/>
            </v:shapetype>
            <v:shape id="Textbox 307" o:spid="_x0000_s1160" type="#_x0000_t202" style="position:absolute;margin-left:71pt;margin-top:38.6pt;width:462.35pt;height:39.6pt;z-index:-27161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" filled="f" stroked="f">
              <v:textbox inset="0,0,0,0">
                <w:txbxContent>
                  <w:p w14:paraId="0DFDDE59"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0DFDDE5A" w14:textId="77777777" w:rsidR="00046465" w:rsidRDefault="008134EB">
                    <w:pPr>
                      <w:pStyle w:val="BodyText"/>
                      <w:ind w:left="20" w:hanging="1"/>
                    </w:pPr>
                    <w:r>
                      <w:t>701</w:t>
                    </w:r>
                    <w:r>
                      <w:rPr>
                        <w:spacing w:val="-4"/>
                      </w:rPr>
                      <w:t xml:space="preserve"> </w:t>
                    </w:r>
                    <w:r>
                      <w:t>A</w:t>
                    </w:r>
                    <w:r>
                      <w:rPr>
                        <w:spacing w:val="-4"/>
                      </w:rPr>
                      <w:t xml:space="preserve"> </w:t>
                    </w:r>
                    <w:r>
                      <w:t>–</w:t>
                    </w:r>
                    <w:r>
                      <w:rPr>
                        <w:spacing w:val="-4"/>
                      </w:rPr>
                      <w:t xml:space="preserve"> </w:t>
                    </w:r>
                    <w:r>
                      <w:t>Example</w:t>
                    </w:r>
                    <w:r>
                      <w:rPr>
                        <w:spacing w:val="-4"/>
                      </w:rPr>
                      <w:t xml:space="preserve"> </w:t>
                    </w:r>
                    <w:r>
                      <w:t>Audit</w:t>
                    </w:r>
                    <w:r>
                      <w:rPr>
                        <w:spacing w:val="-4"/>
                      </w:rPr>
                      <w:t xml:space="preserve"> </w:t>
                    </w:r>
                    <w:r>
                      <w:t>Plan</w:t>
                    </w:r>
                    <w:r>
                      <w:rPr>
                        <w:spacing w:val="-4"/>
                      </w:rPr>
                      <w:t xml:space="preserve"> </w:t>
                    </w:r>
                    <w:r>
                      <w:t>for</w:t>
                    </w:r>
                    <w:r>
                      <w:rPr>
                        <w:spacing w:val="-4"/>
                      </w:rPr>
                      <w:t xml:space="preserve"> </w:t>
                    </w:r>
                    <w:r>
                      <w:t>Assessing</w:t>
                    </w:r>
                    <w:r>
                      <w:rPr>
                        <w:spacing w:val="-4"/>
                      </w:rPr>
                      <w:t xml:space="preserve"> </w:t>
                    </w:r>
                    <w:r>
                      <w:t>Financial</w:t>
                    </w:r>
                    <w:r>
                      <w:rPr>
                        <w:spacing w:val="-4"/>
                      </w:rPr>
                      <w:t xml:space="preserve"> </w:t>
                    </w:r>
                    <w:r>
                      <w:t>Management</w:t>
                    </w:r>
                    <w:r>
                      <w:rPr>
                        <w:spacing w:val="-4"/>
                      </w:rPr>
                      <w:t xml:space="preserve"> </w:t>
                    </w:r>
                    <w:r>
                      <w:t>Systems’</w:t>
                    </w:r>
                    <w:r>
                      <w:rPr>
                        <w:spacing w:val="-4"/>
                      </w:rPr>
                      <w:t xml:space="preserve"> </w:t>
                    </w:r>
                    <w:r>
                      <w:t>Compliance</w:t>
                    </w:r>
                    <w:r>
                      <w:rPr>
                        <w:spacing w:val="-4"/>
                      </w:rPr>
                      <w:t xml:space="preserve"> </w:t>
                    </w:r>
                    <w:r>
                      <w:t xml:space="preserve">under </w:t>
                    </w:r>
                    <w:r>
                      <w:rPr>
                        <w:spacing w:val="-2"/>
                      </w:rPr>
                      <w:t>FFMIA</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0"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57952" behindDoc="1" locked="0" layoutInCell="1" allowOverlap="1" wp14:anchorId="0DFDD9F6" wp14:editId="0DFDD9F7">
              <wp:simplePos x="0" y="0"/>
              <wp:positionH relativeFrom="page">
                <wp:posOffset>895350</wp:posOffset>
              </wp:positionH>
              <wp:positionV relativeFrom="page">
                <wp:posOffset>457962</wp:posOffset>
              </wp:positionV>
              <wp:extent cx="5981700" cy="28575"/>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E3165E" id="Graphic 313" o:spid="_x0000_s1026" style="position:absolute;margin-left:70.5pt;margin-top:36.05pt;width:471pt;height:2.25pt;z-index:-271585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58464" behindDoc="1" locked="0" layoutInCell="1" allowOverlap="1" wp14:anchorId="0DFDD9F8" wp14:editId="0DFDD9F9">
              <wp:simplePos x="0" y="0"/>
              <wp:positionH relativeFrom="page">
                <wp:posOffset>895350</wp:posOffset>
              </wp:positionH>
              <wp:positionV relativeFrom="page">
                <wp:posOffset>832103</wp:posOffset>
              </wp:positionV>
              <wp:extent cx="5981700" cy="28575"/>
              <wp:effectExtent l="0" t="0" r="0" b="0"/>
              <wp:wrapNone/>
              <wp:docPr id="314" name="Graphic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9378D6" id="Graphic 314" o:spid="_x0000_s1026" style="position:absolute;margin-left:70.5pt;margin-top:65.5pt;width:471pt;height:2.25pt;z-index:-271580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58976" behindDoc="1" locked="0" layoutInCell="1" allowOverlap="1" wp14:anchorId="0DFDD9FA" wp14:editId="0DFDD9FB">
              <wp:simplePos x="0" y="0"/>
              <wp:positionH relativeFrom="page">
                <wp:posOffset>901700</wp:posOffset>
              </wp:positionH>
              <wp:positionV relativeFrom="page">
                <wp:posOffset>490475</wp:posOffset>
              </wp:positionV>
              <wp:extent cx="3613150" cy="342265"/>
              <wp:effectExtent l="0" t="0" r="0" b="0"/>
              <wp:wrapNone/>
              <wp:docPr id="315" name="Text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3150" cy="342265"/>
                      </a:xfrm>
                      <a:prstGeom prst="rect">
                        <a:avLst/>
                      </a:prstGeom>
                    </wps:spPr>
                    <wps:txbx>
                      <w:txbxContent>
                        <w:p w14:paraId="0DFDDE5E" w14:textId="77777777" w:rsidR="00046465" w:rsidRDefault="008134EB">
                          <w:pPr>
                            <w:pStyle w:val="BodyText"/>
                            <w:spacing w:before="12"/>
                            <w:ind w:left="20" w:right="18"/>
                          </w:pPr>
                          <w:r>
                            <w:t>FFMIA</w:t>
                          </w:r>
                          <w:r>
                            <w:rPr>
                              <w:spacing w:val="-8"/>
                            </w:rPr>
                            <w:t xml:space="preserve"> </w:t>
                          </w:r>
                          <w:r>
                            <w:t>Guidance</w:t>
                          </w:r>
                          <w:r>
                            <w:rPr>
                              <w:spacing w:val="-8"/>
                            </w:rPr>
                            <w:t xml:space="preserve"> </w:t>
                          </w:r>
                          <w:r>
                            <w:t>and</w:t>
                          </w:r>
                          <w:r>
                            <w:rPr>
                              <w:spacing w:val="-8"/>
                            </w:rPr>
                            <w:t xml:space="preserve"> </w:t>
                          </w:r>
                          <w:r>
                            <w:t>Agreed-Upon</w:t>
                          </w:r>
                          <w:r>
                            <w:rPr>
                              <w:spacing w:val="-8"/>
                            </w:rPr>
                            <w:t xml:space="preserve"> </w:t>
                          </w:r>
                          <w:r>
                            <w:t>Procedures</w:t>
                          </w:r>
                          <w:r>
                            <w:rPr>
                              <w:spacing w:val="-8"/>
                            </w:rPr>
                            <w:t xml:space="preserve"> </w:t>
                          </w:r>
                          <w:r>
                            <w:t>Guidance 710 – Agreed-Upon Procedures</w:t>
                          </w:r>
                        </w:p>
                      </w:txbxContent>
                    </wps:txbx>
                    <wps:bodyPr wrap="square" lIns="0" tIns="0" rIns="0" bIns="0" rtlCol="0">
                      <a:noAutofit/>
                    </wps:bodyPr>
                  </wps:wsp>
                </a:graphicData>
              </a:graphic>
            </wp:anchor>
          </w:drawing>
        </mc:Choice>
        <mc:Fallback>
          <w:pict>
            <v:shapetype w14:anchorId="0DFDD9FA" id="_x0000_t202" coordsize="21600,21600" o:spt="202" path="m,l,21600r21600,l21600,xe">
              <v:stroke joinstyle="miter"/>
              <v:path gradientshapeok="t" o:connecttype="rect"/>
            </v:shapetype>
            <v:shape id="Textbox 315" o:spid="_x0000_s1164" type="#_x0000_t202" style="position:absolute;margin-left:71pt;margin-top:38.6pt;width:284.5pt;height:26.95pt;z-index:-2715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" filled="f" stroked="f">
              <v:textbox inset="0,0,0,0">
                <w:txbxContent>
                  <w:p w14:paraId="0DFDDE5E" w14:textId="77777777" w:rsidR="00046465" w:rsidRDefault="008134EB">
                    <w:pPr>
                      <w:pStyle w:val="BodyText"/>
                      <w:spacing w:before="12"/>
                      <w:ind w:left="20" w:right="18"/>
                    </w:pPr>
                    <w:r>
                      <w:t>FFMIA</w:t>
                    </w:r>
                    <w:r>
                      <w:rPr>
                        <w:spacing w:val="-8"/>
                      </w:rPr>
                      <w:t xml:space="preserve"> </w:t>
                    </w:r>
                    <w:r>
                      <w:t>Guidance</w:t>
                    </w:r>
                    <w:r>
                      <w:rPr>
                        <w:spacing w:val="-8"/>
                      </w:rPr>
                      <w:t xml:space="preserve"> </w:t>
                    </w:r>
                    <w:r>
                      <w:t>and</w:t>
                    </w:r>
                    <w:r>
                      <w:rPr>
                        <w:spacing w:val="-8"/>
                      </w:rPr>
                      <w:t xml:space="preserve"> </w:t>
                    </w:r>
                    <w:r>
                      <w:t>Agreed-Upon</w:t>
                    </w:r>
                    <w:r>
                      <w:rPr>
                        <w:spacing w:val="-8"/>
                      </w:rPr>
                      <w:t xml:space="preserve"> </w:t>
                    </w:r>
                    <w:r>
                      <w:t>Procedures</w:t>
                    </w:r>
                    <w:r>
                      <w:rPr>
                        <w:spacing w:val="-8"/>
                      </w:rPr>
                      <w:t xml:space="preserve"> </w:t>
                    </w:r>
                    <w:r>
                      <w:t>Guidance 710 – Agreed-Upon Procedures</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2"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61536" behindDoc="1" locked="0" layoutInCell="1" allowOverlap="1" wp14:anchorId="0DFDDA04" wp14:editId="0DFDDA05">
              <wp:simplePos x="0" y="0"/>
              <wp:positionH relativeFrom="page">
                <wp:posOffset>895350</wp:posOffset>
              </wp:positionH>
              <wp:positionV relativeFrom="page">
                <wp:posOffset>457962</wp:posOffset>
              </wp:positionV>
              <wp:extent cx="5981700" cy="28575"/>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043D87" id="Graphic 322" o:spid="_x0000_s1026" style="position:absolute;margin-left:70.5pt;margin-top:36.05pt;width:471pt;height:2.25pt;z-index:-271549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62048" behindDoc="1" locked="0" layoutInCell="1" allowOverlap="1" wp14:anchorId="0DFDDA06" wp14:editId="0DFDDA07">
              <wp:simplePos x="0" y="0"/>
              <wp:positionH relativeFrom="page">
                <wp:posOffset>895350</wp:posOffset>
              </wp:positionH>
              <wp:positionV relativeFrom="page">
                <wp:posOffset>832103</wp:posOffset>
              </wp:positionV>
              <wp:extent cx="5981700" cy="28575"/>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986394" id="Graphic 323" o:spid="_x0000_s1026" style="position:absolute;margin-left:70.5pt;margin-top:65.5pt;width:471pt;height:2.25pt;z-index:-271544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62560" behindDoc="1" locked="0" layoutInCell="1" allowOverlap="1" wp14:anchorId="0DFDDA08" wp14:editId="0DFDDA09">
              <wp:simplePos x="0" y="0"/>
              <wp:positionH relativeFrom="page">
                <wp:posOffset>901700</wp:posOffset>
              </wp:positionH>
              <wp:positionV relativeFrom="page">
                <wp:posOffset>490475</wp:posOffset>
              </wp:positionV>
              <wp:extent cx="3938270" cy="34226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8270" cy="342265"/>
                      </a:xfrm>
                      <a:prstGeom prst="rect">
                        <a:avLst/>
                      </a:prstGeom>
                    </wps:spPr>
                    <wps:txbx>
                      <w:txbxContent>
                        <w:p w14:paraId="0DFDDE62"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0"/>
                            </w:rPr>
                            <w:t xml:space="preserve"> </w:t>
                          </w:r>
                          <w:r>
                            <w:rPr>
                              <w:spacing w:val="-2"/>
                            </w:rPr>
                            <w:t>Guidance</w:t>
                          </w:r>
                        </w:p>
                        <w:p w14:paraId="0DFDDE63" w14:textId="77777777" w:rsidR="00046465" w:rsidRDefault="008134EB">
                          <w:pPr>
                            <w:pStyle w:val="BodyText"/>
                            <w:ind w:left="20"/>
                          </w:pPr>
                          <w:r>
                            <w:t>710</w:t>
                          </w:r>
                          <w:r>
                            <w:rPr>
                              <w:spacing w:val="-9"/>
                            </w:rPr>
                            <w:t xml:space="preserve"> </w:t>
                          </w:r>
                          <w:r>
                            <w:t>A</w:t>
                          </w:r>
                          <w:r>
                            <w:rPr>
                              <w:spacing w:val="-9"/>
                            </w:rPr>
                            <w:t xml:space="preserve"> </w:t>
                          </w:r>
                          <w:r>
                            <w:t>–</w:t>
                          </w:r>
                          <w:r>
                            <w:rPr>
                              <w:spacing w:val="-8"/>
                            </w:rPr>
                            <w:t xml:space="preserve"> </w:t>
                          </w:r>
                          <w:r>
                            <w:t>Example</w:t>
                          </w:r>
                          <w:r>
                            <w:rPr>
                              <w:spacing w:val="-9"/>
                            </w:rPr>
                            <w:t xml:space="preserve"> </w:t>
                          </w:r>
                          <w:r>
                            <w:t>Agreed-Upon</w:t>
                          </w:r>
                          <w:r>
                            <w:rPr>
                              <w:spacing w:val="-8"/>
                            </w:rPr>
                            <w:t xml:space="preserve"> </w:t>
                          </w:r>
                          <w:r>
                            <w:t>Procedures</w:t>
                          </w:r>
                          <w:r>
                            <w:rPr>
                              <w:spacing w:val="-9"/>
                            </w:rPr>
                            <w:t xml:space="preserve"> </w:t>
                          </w:r>
                          <w:r>
                            <w:t>Engagement</w:t>
                          </w:r>
                          <w:r>
                            <w:rPr>
                              <w:spacing w:val="-8"/>
                            </w:rPr>
                            <w:t xml:space="preserve"> </w:t>
                          </w:r>
                          <w:r>
                            <w:rPr>
                              <w:spacing w:val="-2"/>
                            </w:rPr>
                            <w:t>Letter</w:t>
                          </w:r>
                        </w:p>
                      </w:txbxContent>
                    </wps:txbx>
                    <wps:bodyPr wrap="square" lIns="0" tIns="0" rIns="0" bIns="0" rtlCol="0">
                      <a:noAutofit/>
                    </wps:bodyPr>
                  </wps:wsp>
                </a:graphicData>
              </a:graphic>
            </wp:anchor>
          </w:drawing>
        </mc:Choice>
        <mc:Fallback>
          <w:pict>
            <v:shapetype w14:anchorId="0DFDDA08" id="_x0000_t202" coordsize="21600,21600" o:spt="202" path="m,l,21600r21600,l21600,xe">
              <v:stroke joinstyle="miter"/>
              <v:path gradientshapeok="t" o:connecttype="rect"/>
            </v:shapetype>
            <v:shape id="Textbox 324" o:spid="_x0000_s1168" type="#_x0000_t202" style="position:absolute;margin-left:71pt;margin-top:38.6pt;width:310.1pt;height:26.95pt;z-index:-27153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" filled="f" stroked="f">
              <v:textbox inset="0,0,0,0">
                <w:txbxContent>
                  <w:p w14:paraId="0DFDDE62"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0"/>
                      </w:rPr>
                      <w:t xml:space="preserve"> </w:t>
                    </w:r>
                    <w:r>
                      <w:rPr>
                        <w:spacing w:val="-2"/>
                      </w:rPr>
                      <w:t>Guidance</w:t>
                    </w:r>
                  </w:p>
                  <w:p w14:paraId="0DFDDE63" w14:textId="77777777" w:rsidR="00046465" w:rsidRDefault="008134EB">
                    <w:pPr>
                      <w:pStyle w:val="BodyText"/>
                      <w:ind w:left="20"/>
                    </w:pPr>
                    <w:r>
                      <w:t>710</w:t>
                    </w:r>
                    <w:r>
                      <w:rPr>
                        <w:spacing w:val="-9"/>
                      </w:rPr>
                      <w:t xml:space="preserve"> </w:t>
                    </w:r>
                    <w:r>
                      <w:t>A</w:t>
                    </w:r>
                    <w:r>
                      <w:rPr>
                        <w:spacing w:val="-9"/>
                      </w:rPr>
                      <w:t xml:space="preserve"> </w:t>
                    </w:r>
                    <w:r>
                      <w:t>–</w:t>
                    </w:r>
                    <w:r>
                      <w:rPr>
                        <w:spacing w:val="-8"/>
                      </w:rPr>
                      <w:t xml:space="preserve"> </w:t>
                    </w:r>
                    <w:r>
                      <w:t>Example</w:t>
                    </w:r>
                    <w:r>
                      <w:rPr>
                        <w:spacing w:val="-9"/>
                      </w:rPr>
                      <w:t xml:space="preserve"> </w:t>
                    </w:r>
                    <w:r>
                      <w:t>Agreed-Upon</w:t>
                    </w:r>
                    <w:r>
                      <w:rPr>
                        <w:spacing w:val="-8"/>
                      </w:rPr>
                      <w:t xml:space="preserve"> </w:t>
                    </w:r>
                    <w:r>
                      <w:t>Procedures</w:t>
                    </w:r>
                    <w:r>
                      <w:rPr>
                        <w:spacing w:val="-9"/>
                      </w:rPr>
                      <w:t xml:space="preserve"> </w:t>
                    </w:r>
                    <w:r>
                      <w:t>Engagement</w:t>
                    </w:r>
                    <w:r>
                      <w:rPr>
                        <w:spacing w:val="-8"/>
                      </w:rPr>
                      <w:t xml:space="preserve"> </w:t>
                    </w:r>
                    <w:r>
                      <w:rPr>
                        <w:spacing w:val="-2"/>
                      </w:rPr>
                      <w:t>Letter</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4"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65120" behindDoc="1" locked="0" layoutInCell="1" allowOverlap="1" wp14:anchorId="0DFDDA12" wp14:editId="0DFDDA13">
              <wp:simplePos x="0" y="0"/>
              <wp:positionH relativeFrom="page">
                <wp:posOffset>895350</wp:posOffset>
              </wp:positionH>
              <wp:positionV relativeFrom="page">
                <wp:posOffset>457962</wp:posOffset>
              </wp:positionV>
              <wp:extent cx="5981700" cy="28575"/>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DBCDDD" id="Graphic 330" o:spid="_x0000_s1026" style="position:absolute;margin-left:70.5pt;margin-top:36.05pt;width:471pt;height:2.25pt;z-index:-271513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65632" behindDoc="1" locked="0" layoutInCell="1" allowOverlap="1" wp14:anchorId="0DFDDA14" wp14:editId="0DFDDA15">
              <wp:simplePos x="0" y="0"/>
              <wp:positionH relativeFrom="page">
                <wp:posOffset>895350</wp:posOffset>
              </wp:positionH>
              <wp:positionV relativeFrom="page">
                <wp:posOffset>992886</wp:posOffset>
              </wp:positionV>
              <wp:extent cx="5981700" cy="28575"/>
              <wp:effectExtent l="0" t="0" r="0" b="0"/>
              <wp:wrapNone/>
              <wp:docPr id="331" name="Graphic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69591A" id="Graphic 331" o:spid="_x0000_s1026" style="position:absolute;margin-left:70.5pt;margin-top:78.2pt;width:471pt;height:2.25pt;z-index:-2715084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66144" behindDoc="1" locked="0" layoutInCell="1" allowOverlap="1" wp14:anchorId="0DFDDA16" wp14:editId="0DFDDA17">
              <wp:simplePos x="0" y="0"/>
              <wp:positionH relativeFrom="page">
                <wp:posOffset>901700</wp:posOffset>
              </wp:positionH>
              <wp:positionV relativeFrom="page">
                <wp:posOffset>490475</wp:posOffset>
              </wp:positionV>
              <wp:extent cx="5601335" cy="502920"/>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1335" cy="502920"/>
                      </a:xfrm>
                      <a:prstGeom prst="rect">
                        <a:avLst/>
                      </a:prstGeom>
                    </wps:spPr>
                    <wps:txbx>
                      <w:txbxContent>
                        <w:p w14:paraId="0DFDDE67"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0"/>
                            </w:rPr>
                            <w:t xml:space="preserve"> </w:t>
                          </w:r>
                          <w:r>
                            <w:rPr>
                              <w:spacing w:val="-2"/>
                            </w:rPr>
                            <w:t>Guidance</w:t>
                          </w:r>
                        </w:p>
                        <w:p w14:paraId="0DFDDE68" w14:textId="77777777" w:rsidR="00046465" w:rsidRDefault="008134EB">
                          <w:pPr>
                            <w:pStyle w:val="BodyText"/>
                            <w:ind w:left="20" w:hanging="1"/>
                          </w:pPr>
                          <w:r>
                            <w:t>710</w:t>
                          </w:r>
                          <w:r>
                            <w:rPr>
                              <w:spacing w:val="-4"/>
                            </w:rPr>
                            <w:t xml:space="preserve"> </w:t>
                          </w:r>
                          <w:r>
                            <w:t>B</w:t>
                          </w:r>
                          <w:r>
                            <w:rPr>
                              <w:spacing w:val="-4"/>
                            </w:rPr>
                            <w:t xml:space="preserve"> </w:t>
                          </w:r>
                          <w:r>
                            <w:t>–</w:t>
                          </w:r>
                          <w:r>
                            <w:rPr>
                              <w:spacing w:val="-4"/>
                            </w:rPr>
                            <w:t xml:space="preserve"> </w:t>
                          </w:r>
                          <w:r>
                            <w:t>Example</w:t>
                          </w:r>
                          <w:r>
                            <w:rPr>
                              <w:spacing w:val="-4"/>
                            </w:rPr>
                            <w:t xml:space="preserve"> </w:t>
                          </w:r>
                          <w:r>
                            <w:t>Representation</w:t>
                          </w:r>
                          <w:r>
                            <w:rPr>
                              <w:spacing w:val="-4"/>
                            </w:rPr>
                            <w:t xml:space="preserve"> </w:t>
                          </w:r>
                          <w:r>
                            <w:t>Letter</w:t>
                          </w:r>
                          <w:r>
                            <w:rPr>
                              <w:spacing w:val="-4"/>
                            </w:rPr>
                            <w:t xml:space="preserve"> </w:t>
                          </w:r>
                          <w:r>
                            <w:t>from</w:t>
                          </w:r>
                          <w:r>
                            <w:rPr>
                              <w:spacing w:val="-5"/>
                            </w:rPr>
                            <w:t xml:space="preserve"> </w:t>
                          </w:r>
                          <w:r>
                            <w:t>Engaging</w:t>
                          </w:r>
                          <w:r>
                            <w:rPr>
                              <w:spacing w:val="-4"/>
                            </w:rPr>
                            <w:t xml:space="preserve"> </w:t>
                          </w:r>
                          <w:r>
                            <w:t>Party</w:t>
                          </w:r>
                          <w:r>
                            <w:rPr>
                              <w:spacing w:val="-4"/>
                            </w:rPr>
                            <w:t xml:space="preserve"> </w:t>
                          </w:r>
                          <w:r>
                            <w:t>on</w:t>
                          </w:r>
                          <w:r>
                            <w:rPr>
                              <w:spacing w:val="-4"/>
                            </w:rPr>
                            <w:t xml:space="preserve"> </w:t>
                          </w:r>
                          <w:r>
                            <w:t>Agreed-Upon</w:t>
                          </w:r>
                          <w:r>
                            <w:rPr>
                              <w:spacing w:val="-4"/>
                            </w:rPr>
                            <w:t xml:space="preserve"> </w:t>
                          </w:r>
                          <w:r>
                            <w:t xml:space="preserve">Procedures </w:t>
                          </w:r>
                          <w:r>
                            <w:rPr>
                              <w:spacing w:val="-2"/>
                            </w:rPr>
                            <w:t>Engagement</w:t>
                          </w:r>
                        </w:p>
                      </w:txbxContent>
                    </wps:txbx>
                    <wps:bodyPr wrap="square" lIns="0" tIns="0" rIns="0" bIns="0" rtlCol="0">
                      <a:noAutofit/>
                    </wps:bodyPr>
                  </wps:wsp>
                </a:graphicData>
              </a:graphic>
            </wp:anchor>
          </w:drawing>
        </mc:Choice>
        <mc:Fallback>
          <w:pict>
            <v:shapetype w14:anchorId="0DFDDA16" id="_x0000_t202" coordsize="21600,21600" o:spt="202" path="m,l,21600r21600,l21600,xe">
              <v:stroke joinstyle="miter"/>
              <v:path gradientshapeok="t" o:connecttype="rect"/>
            </v:shapetype>
            <v:shape id="Textbox 332" o:spid="_x0000_s1172" type="#_x0000_t202" style="position:absolute;margin-left:71pt;margin-top:38.6pt;width:441.05pt;height:39.6pt;z-index:-271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" filled="f" stroked="f">
              <v:textbox inset="0,0,0,0">
                <w:txbxContent>
                  <w:p w14:paraId="0DFDDE67"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0"/>
                      </w:rPr>
                      <w:t xml:space="preserve"> </w:t>
                    </w:r>
                    <w:r>
                      <w:rPr>
                        <w:spacing w:val="-2"/>
                      </w:rPr>
                      <w:t>Guidance</w:t>
                    </w:r>
                  </w:p>
                  <w:p w14:paraId="0DFDDE68" w14:textId="77777777" w:rsidR="00046465" w:rsidRDefault="008134EB">
                    <w:pPr>
                      <w:pStyle w:val="BodyText"/>
                      <w:ind w:left="20" w:hanging="1"/>
                    </w:pPr>
                    <w:r>
                      <w:t>710</w:t>
                    </w:r>
                    <w:r>
                      <w:rPr>
                        <w:spacing w:val="-4"/>
                      </w:rPr>
                      <w:t xml:space="preserve"> </w:t>
                    </w:r>
                    <w:r>
                      <w:t>B</w:t>
                    </w:r>
                    <w:r>
                      <w:rPr>
                        <w:spacing w:val="-4"/>
                      </w:rPr>
                      <w:t xml:space="preserve"> </w:t>
                    </w:r>
                    <w:r>
                      <w:t>–</w:t>
                    </w:r>
                    <w:r>
                      <w:rPr>
                        <w:spacing w:val="-4"/>
                      </w:rPr>
                      <w:t xml:space="preserve"> </w:t>
                    </w:r>
                    <w:r>
                      <w:t>Example</w:t>
                    </w:r>
                    <w:r>
                      <w:rPr>
                        <w:spacing w:val="-4"/>
                      </w:rPr>
                      <w:t xml:space="preserve"> </w:t>
                    </w:r>
                    <w:r>
                      <w:t>Representation</w:t>
                    </w:r>
                    <w:r>
                      <w:rPr>
                        <w:spacing w:val="-4"/>
                      </w:rPr>
                      <w:t xml:space="preserve"> </w:t>
                    </w:r>
                    <w:r>
                      <w:t>Letter</w:t>
                    </w:r>
                    <w:r>
                      <w:rPr>
                        <w:spacing w:val="-4"/>
                      </w:rPr>
                      <w:t xml:space="preserve"> </w:t>
                    </w:r>
                    <w:r>
                      <w:t>from</w:t>
                    </w:r>
                    <w:r>
                      <w:rPr>
                        <w:spacing w:val="-5"/>
                      </w:rPr>
                      <w:t xml:space="preserve"> </w:t>
                    </w:r>
                    <w:r>
                      <w:t>Engaging</w:t>
                    </w:r>
                    <w:r>
                      <w:rPr>
                        <w:spacing w:val="-4"/>
                      </w:rPr>
                      <w:t xml:space="preserve"> </w:t>
                    </w:r>
                    <w:r>
                      <w:t>Party</w:t>
                    </w:r>
                    <w:r>
                      <w:rPr>
                        <w:spacing w:val="-4"/>
                      </w:rPr>
                      <w:t xml:space="preserve"> </w:t>
                    </w:r>
                    <w:r>
                      <w:t>on</w:t>
                    </w:r>
                    <w:r>
                      <w:rPr>
                        <w:spacing w:val="-4"/>
                      </w:rPr>
                      <w:t xml:space="preserve"> </w:t>
                    </w:r>
                    <w:r>
                      <w:t>Agreed-Upon</w:t>
                    </w:r>
                    <w:r>
                      <w:rPr>
                        <w:spacing w:val="-4"/>
                      </w:rPr>
                      <w:t xml:space="preserve"> </w:t>
                    </w:r>
                    <w:r>
                      <w:t xml:space="preserve">Procedures </w:t>
                    </w:r>
                    <w:r>
                      <w:rPr>
                        <w:spacing w:val="-2"/>
                      </w:rPr>
                      <w:t>Engagement</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6"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68704" behindDoc="1" locked="0" layoutInCell="1" allowOverlap="1" wp14:anchorId="0DFDDA20" wp14:editId="0DFDDA21">
              <wp:simplePos x="0" y="0"/>
              <wp:positionH relativeFrom="page">
                <wp:posOffset>895350</wp:posOffset>
              </wp:positionH>
              <wp:positionV relativeFrom="page">
                <wp:posOffset>457962</wp:posOffset>
              </wp:positionV>
              <wp:extent cx="5981700" cy="28575"/>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590CDB" id="Graphic 337" o:spid="_x0000_s1026" style="position:absolute;margin-left:70.5pt;margin-top:36.05pt;width:471pt;height:2.25pt;z-index:-2714777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69216" behindDoc="1" locked="0" layoutInCell="1" allowOverlap="1" wp14:anchorId="0DFDDA22" wp14:editId="0DFDDA23">
              <wp:simplePos x="0" y="0"/>
              <wp:positionH relativeFrom="page">
                <wp:posOffset>895350</wp:posOffset>
              </wp:positionH>
              <wp:positionV relativeFrom="page">
                <wp:posOffset>992886</wp:posOffset>
              </wp:positionV>
              <wp:extent cx="5981700" cy="2857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AC889D7" id="Graphic 338" o:spid="_x0000_s1026" style="position:absolute;margin-left:70.5pt;margin-top:78.2pt;width:471pt;height:2.25pt;z-index:-271472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69728" behindDoc="1" locked="0" layoutInCell="1" allowOverlap="1" wp14:anchorId="0DFDDA24" wp14:editId="0DFDDA25">
              <wp:simplePos x="0" y="0"/>
              <wp:positionH relativeFrom="page">
                <wp:posOffset>901700</wp:posOffset>
              </wp:positionH>
              <wp:positionV relativeFrom="page">
                <wp:posOffset>490475</wp:posOffset>
              </wp:positionV>
              <wp:extent cx="5787390" cy="502920"/>
              <wp:effectExtent l="0" t="0" r="0" b="0"/>
              <wp:wrapNone/>
              <wp:docPr id="339" name="Text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7390" cy="502920"/>
                      </a:xfrm>
                      <a:prstGeom prst="rect">
                        <a:avLst/>
                      </a:prstGeom>
                    </wps:spPr>
                    <wps:txbx>
                      <w:txbxContent>
                        <w:p w14:paraId="0DFDDE6C"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0"/>
                            </w:rPr>
                            <w:t xml:space="preserve"> </w:t>
                          </w:r>
                          <w:r>
                            <w:rPr>
                              <w:spacing w:val="-2"/>
                            </w:rPr>
                            <w:t>Guidance</w:t>
                          </w:r>
                        </w:p>
                        <w:p w14:paraId="0DFDDE6D" w14:textId="77777777" w:rsidR="00046465" w:rsidRDefault="008134EB">
                          <w:pPr>
                            <w:pStyle w:val="BodyText"/>
                            <w:ind w:left="20"/>
                          </w:pPr>
                          <w:r>
                            <w:t>710</w:t>
                          </w:r>
                          <w:r>
                            <w:rPr>
                              <w:spacing w:val="-4"/>
                            </w:rPr>
                            <w:t xml:space="preserve"> </w:t>
                          </w:r>
                          <w:r>
                            <w:t>C</w:t>
                          </w:r>
                          <w:r>
                            <w:rPr>
                              <w:spacing w:val="-5"/>
                            </w:rPr>
                            <w:t xml:space="preserve"> </w:t>
                          </w:r>
                          <w:r>
                            <w:t>–</w:t>
                          </w:r>
                          <w:r>
                            <w:rPr>
                              <w:spacing w:val="-4"/>
                            </w:rPr>
                            <w:t xml:space="preserve"> </w:t>
                          </w:r>
                          <w:r>
                            <w:t>Example</w:t>
                          </w:r>
                          <w:r>
                            <w:rPr>
                              <w:spacing w:val="-4"/>
                            </w:rPr>
                            <w:t xml:space="preserve"> </w:t>
                          </w:r>
                          <w:r>
                            <w:t>Representation</w:t>
                          </w:r>
                          <w:r>
                            <w:rPr>
                              <w:spacing w:val="-4"/>
                            </w:rPr>
                            <w:t xml:space="preserve"> </w:t>
                          </w:r>
                          <w:r>
                            <w:t>Letter</w:t>
                          </w:r>
                          <w:r>
                            <w:rPr>
                              <w:spacing w:val="-4"/>
                            </w:rPr>
                            <w:t xml:space="preserve"> </w:t>
                          </w:r>
                          <w:r>
                            <w:t>from</w:t>
                          </w:r>
                          <w:r>
                            <w:rPr>
                              <w:spacing w:val="-5"/>
                            </w:rPr>
                            <w:t xml:space="preserve"> </w:t>
                          </w:r>
                          <w:r>
                            <w:t>Responsible</w:t>
                          </w:r>
                          <w:r>
                            <w:rPr>
                              <w:spacing w:val="-4"/>
                            </w:rPr>
                            <w:t xml:space="preserve"> </w:t>
                          </w:r>
                          <w:r>
                            <w:t>Party</w:t>
                          </w:r>
                          <w:r>
                            <w:rPr>
                              <w:spacing w:val="-4"/>
                            </w:rPr>
                            <w:t xml:space="preserve"> </w:t>
                          </w:r>
                          <w:r>
                            <w:t>on</w:t>
                          </w:r>
                          <w:r>
                            <w:rPr>
                              <w:spacing w:val="-4"/>
                            </w:rPr>
                            <w:t xml:space="preserve"> </w:t>
                          </w:r>
                          <w:r>
                            <w:t>Agreed-Upon</w:t>
                          </w:r>
                          <w:r>
                            <w:rPr>
                              <w:spacing w:val="-4"/>
                            </w:rPr>
                            <w:t xml:space="preserve"> </w:t>
                          </w:r>
                          <w:r>
                            <w:t xml:space="preserve">Procedures </w:t>
                          </w:r>
                          <w:r>
                            <w:rPr>
                              <w:spacing w:val="-2"/>
                            </w:rPr>
                            <w:t>Engagement</w:t>
                          </w:r>
                        </w:p>
                      </w:txbxContent>
                    </wps:txbx>
                    <wps:bodyPr wrap="square" lIns="0" tIns="0" rIns="0" bIns="0" rtlCol="0">
                      <a:noAutofit/>
                    </wps:bodyPr>
                  </wps:wsp>
                </a:graphicData>
              </a:graphic>
            </wp:anchor>
          </w:drawing>
        </mc:Choice>
        <mc:Fallback>
          <w:pict>
            <v:shapetype w14:anchorId="0DFDDA24" id="_x0000_t202" coordsize="21600,21600" o:spt="202" path="m,l,21600r21600,l21600,xe">
              <v:stroke joinstyle="miter"/>
              <v:path gradientshapeok="t" o:connecttype="rect"/>
            </v:shapetype>
            <v:shape id="Textbox 339" o:spid="_x0000_s1176" type="#_x0000_t202" style="position:absolute;margin-left:71pt;margin-top:38.6pt;width:455.7pt;height:39.6pt;z-index:-2714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" filled="f" stroked="f">
              <v:textbox inset="0,0,0,0">
                <w:txbxContent>
                  <w:p w14:paraId="0DFDDE6C"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0"/>
                      </w:rPr>
                      <w:t xml:space="preserve"> </w:t>
                    </w:r>
                    <w:r>
                      <w:rPr>
                        <w:spacing w:val="-2"/>
                      </w:rPr>
                      <w:t>Guidance</w:t>
                    </w:r>
                  </w:p>
                  <w:p w14:paraId="0DFDDE6D" w14:textId="77777777" w:rsidR="00046465" w:rsidRDefault="008134EB">
                    <w:pPr>
                      <w:pStyle w:val="BodyText"/>
                      <w:ind w:left="20"/>
                    </w:pPr>
                    <w:r>
                      <w:t>710</w:t>
                    </w:r>
                    <w:r>
                      <w:rPr>
                        <w:spacing w:val="-4"/>
                      </w:rPr>
                      <w:t xml:space="preserve"> </w:t>
                    </w:r>
                    <w:r>
                      <w:t>C</w:t>
                    </w:r>
                    <w:r>
                      <w:rPr>
                        <w:spacing w:val="-5"/>
                      </w:rPr>
                      <w:t xml:space="preserve"> </w:t>
                    </w:r>
                    <w:r>
                      <w:t>–</w:t>
                    </w:r>
                    <w:r>
                      <w:rPr>
                        <w:spacing w:val="-4"/>
                      </w:rPr>
                      <w:t xml:space="preserve"> </w:t>
                    </w:r>
                    <w:r>
                      <w:t>Example</w:t>
                    </w:r>
                    <w:r>
                      <w:rPr>
                        <w:spacing w:val="-4"/>
                      </w:rPr>
                      <w:t xml:space="preserve"> </w:t>
                    </w:r>
                    <w:r>
                      <w:t>Representation</w:t>
                    </w:r>
                    <w:r>
                      <w:rPr>
                        <w:spacing w:val="-4"/>
                      </w:rPr>
                      <w:t xml:space="preserve"> </w:t>
                    </w:r>
                    <w:r>
                      <w:t>Letter</w:t>
                    </w:r>
                    <w:r>
                      <w:rPr>
                        <w:spacing w:val="-4"/>
                      </w:rPr>
                      <w:t xml:space="preserve"> </w:t>
                    </w:r>
                    <w:r>
                      <w:t>from</w:t>
                    </w:r>
                    <w:r>
                      <w:rPr>
                        <w:spacing w:val="-5"/>
                      </w:rPr>
                      <w:t xml:space="preserve"> </w:t>
                    </w:r>
                    <w:r>
                      <w:t>Responsible</w:t>
                    </w:r>
                    <w:r>
                      <w:rPr>
                        <w:spacing w:val="-4"/>
                      </w:rPr>
                      <w:t xml:space="preserve"> </w:t>
                    </w:r>
                    <w:r>
                      <w:t>Party</w:t>
                    </w:r>
                    <w:r>
                      <w:rPr>
                        <w:spacing w:val="-4"/>
                      </w:rPr>
                      <w:t xml:space="preserve"> </w:t>
                    </w:r>
                    <w:r>
                      <w:t>on</w:t>
                    </w:r>
                    <w:r>
                      <w:rPr>
                        <w:spacing w:val="-4"/>
                      </w:rPr>
                      <w:t xml:space="preserve"> </w:t>
                    </w:r>
                    <w:r>
                      <w:t>Agreed-Upon</w:t>
                    </w:r>
                    <w:r>
                      <w:rPr>
                        <w:spacing w:val="-4"/>
                      </w:rPr>
                      <w:t xml:space="preserve"> </w:t>
                    </w:r>
                    <w:r>
                      <w:t xml:space="preserve">Procedures </w:t>
                    </w:r>
                    <w:r>
                      <w:rPr>
                        <w:spacing w:val="-2"/>
                      </w:rPr>
                      <w:t>Engagement</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8"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72288" behindDoc="1" locked="0" layoutInCell="1" allowOverlap="1" wp14:anchorId="0DFDDA2E" wp14:editId="0DFDDA2F">
              <wp:simplePos x="0" y="0"/>
              <wp:positionH relativeFrom="page">
                <wp:posOffset>895350</wp:posOffset>
              </wp:positionH>
              <wp:positionV relativeFrom="page">
                <wp:posOffset>457962</wp:posOffset>
              </wp:positionV>
              <wp:extent cx="5981700" cy="28575"/>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DD7F43" id="Graphic 344" o:spid="_x0000_s1026" style="position:absolute;margin-left:70.5pt;margin-top:36.05pt;width:471pt;height:2.25pt;z-index:-2714419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72800" behindDoc="1" locked="0" layoutInCell="1" allowOverlap="1" wp14:anchorId="0DFDDA30" wp14:editId="0DFDDA31">
              <wp:simplePos x="0" y="0"/>
              <wp:positionH relativeFrom="page">
                <wp:posOffset>895350</wp:posOffset>
              </wp:positionH>
              <wp:positionV relativeFrom="page">
                <wp:posOffset>992886</wp:posOffset>
              </wp:positionV>
              <wp:extent cx="5981700" cy="28575"/>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3F6ACC" id="Graphic 345" o:spid="_x0000_s1026" style="position:absolute;margin-left:70.5pt;margin-top:78.2pt;width:471pt;height:2.25pt;z-index:-271436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73312" behindDoc="1" locked="0" layoutInCell="1" allowOverlap="1" wp14:anchorId="0DFDDA32" wp14:editId="0DFDDA33">
              <wp:simplePos x="0" y="0"/>
              <wp:positionH relativeFrom="page">
                <wp:posOffset>901700</wp:posOffset>
              </wp:positionH>
              <wp:positionV relativeFrom="page">
                <wp:posOffset>490475</wp:posOffset>
              </wp:positionV>
              <wp:extent cx="5491480" cy="50292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1480" cy="502920"/>
                      </a:xfrm>
                      <a:prstGeom prst="rect">
                        <a:avLst/>
                      </a:prstGeom>
                    </wps:spPr>
                    <wps:txbx>
                      <w:txbxContent>
                        <w:p w14:paraId="0DFDDE71"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0"/>
                            </w:rPr>
                            <w:t xml:space="preserve"> </w:t>
                          </w:r>
                          <w:r>
                            <w:rPr>
                              <w:spacing w:val="-2"/>
                            </w:rPr>
                            <w:t>Guidance</w:t>
                          </w:r>
                        </w:p>
                        <w:p w14:paraId="0DFDDE72" w14:textId="77777777" w:rsidR="00046465" w:rsidRDefault="008134EB">
                          <w:pPr>
                            <w:pStyle w:val="BodyText"/>
                            <w:ind w:left="20"/>
                          </w:pPr>
                          <w:r>
                            <w:t>710</w:t>
                          </w:r>
                          <w:r>
                            <w:rPr>
                              <w:spacing w:val="-3"/>
                            </w:rPr>
                            <w:t xml:space="preserve"> </w:t>
                          </w:r>
                          <w:r>
                            <w:t>D</w:t>
                          </w:r>
                          <w:r>
                            <w:rPr>
                              <w:spacing w:val="-4"/>
                            </w:rPr>
                            <w:t xml:space="preserve"> </w:t>
                          </w:r>
                          <w:r>
                            <w:t>–</w:t>
                          </w:r>
                          <w:r>
                            <w:rPr>
                              <w:spacing w:val="-3"/>
                            </w:rPr>
                            <w:t xml:space="preserve"> </w:t>
                          </w:r>
                          <w:r>
                            <w:t>Example</w:t>
                          </w:r>
                          <w:r>
                            <w:rPr>
                              <w:spacing w:val="-3"/>
                            </w:rPr>
                            <w:t xml:space="preserve"> </w:t>
                          </w:r>
                          <w:r>
                            <w:t>Agreed-Upon</w:t>
                          </w:r>
                          <w:r>
                            <w:rPr>
                              <w:spacing w:val="-3"/>
                            </w:rPr>
                            <w:t xml:space="preserve"> </w:t>
                          </w:r>
                          <w:r>
                            <w:t>Procedures</w:t>
                          </w:r>
                          <w:r>
                            <w:rPr>
                              <w:spacing w:val="-3"/>
                            </w:rPr>
                            <w:t xml:space="preserve"> </w:t>
                          </w:r>
                          <w:r>
                            <w:t>Report</w:t>
                          </w:r>
                          <w:r>
                            <w:rPr>
                              <w:spacing w:val="-3"/>
                            </w:rPr>
                            <w:t xml:space="preserve"> </w:t>
                          </w:r>
                          <w:r>
                            <w:t>Where</w:t>
                          </w:r>
                          <w:r>
                            <w:rPr>
                              <w:spacing w:val="-3"/>
                            </w:rPr>
                            <w:t xml:space="preserve"> </w:t>
                          </w:r>
                          <w:r>
                            <w:t>the</w:t>
                          </w:r>
                          <w:r>
                            <w:rPr>
                              <w:spacing w:val="-3"/>
                            </w:rPr>
                            <w:t xml:space="preserve"> </w:t>
                          </w:r>
                          <w:r>
                            <w:t>Engaging</w:t>
                          </w:r>
                          <w:r>
                            <w:rPr>
                              <w:spacing w:val="-3"/>
                            </w:rPr>
                            <w:t xml:space="preserve"> </w:t>
                          </w:r>
                          <w:r>
                            <w:t>Party</w:t>
                          </w:r>
                          <w:r>
                            <w:rPr>
                              <w:spacing w:val="-3"/>
                            </w:rPr>
                            <w:t xml:space="preserve"> </w:t>
                          </w:r>
                          <w:r>
                            <w:t>Is</w:t>
                          </w:r>
                          <w:r>
                            <w:rPr>
                              <w:spacing w:val="-3"/>
                            </w:rPr>
                            <w:t xml:space="preserve"> </w:t>
                          </w:r>
                          <w:r>
                            <w:t>Not</w:t>
                          </w:r>
                          <w:r>
                            <w:rPr>
                              <w:spacing w:val="-3"/>
                            </w:rPr>
                            <w:t xml:space="preserve"> </w:t>
                          </w:r>
                          <w:r>
                            <w:t>the Responsible Party</w:t>
                          </w:r>
                        </w:p>
                      </w:txbxContent>
                    </wps:txbx>
                    <wps:bodyPr wrap="square" lIns="0" tIns="0" rIns="0" bIns="0" rtlCol="0">
                      <a:noAutofit/>
                    </wps:bodyPr>
                  </wps:wsp>
                </a:graphicData>
              </a:graphic>
            </wp:anchor>
          </w:drawing>
        </mc:Choice>
        <mc:Fallback>
          <w:pict>
            <v:shapetype w14:anchorId="0DFDDA32" id="_x0000_t202" coordsize="21600,21600" o:spt="202" path="m,l,21600r21600,l21600,xe">
              <v:stroke joinstyle="miter"/>
              <v:path gradientshapeok="t" o:connecttype="rect"/>
            </v:shapetype>
            <v:shape id="Textbox 346" o:spid="_x0000_s1180" type="#_x0000_t202" style="position:absolute;margin-left:71pt;margin-top:38.6pt;width:432.4pt;height:39.6pt;z-index:-27143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" filled="f" stroked="f">
              <v:textbox inset="0,0,0,0">
                <w:txbxContent>
                  <w:p w14:paraId="0DFDDE71"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0"/>
                      </w:rPr>
                      <w:t xml:space="preserve"> </w:t>
                    </w:r>
                    <w:r>
                      <w:rPr>
                        <w:spacing w:val="-2"/>
                      </w:rPr>
                      <w:t>Guidance</w:t>
                    </w:r>
                  </w:p>
                  <w:p w14:paraId="0DFDDE72" w14:textId="77777777" w:rsidR="00046465" w:rsidRDefault="008134EB">
                    <w:pPr>
                      <w:pStyle w:val="BodyText"/>
                      <w:ind w:left="20"/>
                    </w:pPr>
                    <w:r>
                      <w:t>710</w:t>
                    </w:r>
                    <w:r>
                      <w:rPr>
                        <w:spacing w:val="-3"/>
                      </w:rPr>
                      <w:t xml:space="preserve"> </w:t>
                    </w:r>
                    <w:r>
                      <w:t>D</w:t>
                    </w:r>
                    <w:r>
                      <w:rPr>
                        <w:spacing w:val="-4"/>
                      </w:rPr>
                      <w:t xml:space="preserve"> </w:t>
                    </w:r>
                    <w:r>
                      <w:t>–</w:t>
                    </w:r>
                    <w:r>
                      <w:rPr>
                        <w:spacing w:val="-3"/>
                      </w:rPr>
                      <w:t xml:space="preserve"> </w:t>
                    </w:r>
                    <w:r>
                      <w:t>Example</w:t>
                    </w:r>
                    <w:r>
                      <w:rPr>
                        <w:spacing w:val="-3"/>
                      </w:rPr>
                      <w:t xml:space="preserve"> </w:t>
                    </w:r>
                    <w:r>
                      <w:t>Agreed-Upon</w:t>
                    </w:r>
                    <w:r>
                      <w:rPr>
                        <w:spacing w:val="-3"/>
                      </w:rPr>
                      <w:t xml:space="preserve"> </w:t>
                    </w:r>
                    <w:r>
                      <w:t>Procedures</w:t>
                    </w:r>
                    <w:r>
                      <w:rPr>
                        <w:spacing w:val="-3"/>
                      </w:rPr>
                      <w:t xml:space="preserve"> </w:t>
                    </w:r>
                    <w:r>
                      <w:t>Report</w:t>
                    </w:r>
                    <w:r>
                      <w:rPr>
                        <w:spacing w:val="-3"/>
                      </w:rPr>
                      <w:t xml:space="preserve"> </w:t>
                    </w:r>
                    <w:r>
                      <w:t>Where</w:t>
                    </w:r>
                    <w:r>
                      <w:rPr>
                        <w:spacing w:val="-3"/>
                      </w:rPr>
                      <w:t xml:space="preserve"> </w:t>
                    </w:r>
                    <w:r>
                      <w:t>the</w:t>
                    </w:r>
                    <w:r>
                      <w:rPr>
                        <w:spacing w:val="-3"/>
                      </w:rPr>
                      <w:t xml:space="preserve"> </w:t>
                    </w:r>
                    <w:r>
                      <w:t>Engaging</w:t>
                    </w:r>
                    <w:r>
                      <w:rPr>
                        <w:spacing w:val="-3"/>
                      </w:rPr>
                      <w:t xml:space="preserve"> </w:t>
                    </w:r>
                    <w:r>
                      <w:t>Party</w:t>
                    </w:r>
                    <w:r>
                      <w:rPr>
                        <w:spacing w:val="-3"/>
                      </w:rPr>
                      <w:t xml:space="preserve"> </w:t>
                    </w:r>
                    <w:r>
                      <w:t>Is</w:t>
                    </w:r>
                    <w:r>
                      <w:rPr>
                        <w:spacing w:val="-3"/>
                      </w:rPr>
                      <w:t xml:space="preserve"> </w:t>
                    </w:r>
                    <w:r>
                      <w:t>Not</w:t>
                    </w:r>
                    <w:r>
                      <w:rPr>
                        <w:spacing w:val="-3"/>
                      </w:rPr>
                      <w:t xml:space="preserve"> </w:t>
                    </w:r>
                    <w:r>
                      <w:t>the Responsible Party</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A"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75872" behindDoc="1" locked="0" layoutInCell="1" allowOverlap="1" wp14:anchorId="0DFDDA3C" wp14:editId="0DFDDA3D">
              <wp:simplePos x="0" y="0"/>
              <wp:positionH relativeFrom="page">
                <wp:posOffset>895350</wp:posOffset>
              </wp:positionH>
              <wp:positionV relativeFrom="page">
                <wp:posOffset>457962</wp:posOffset>
              </wp:positionV>
              <wp:extent cx="5981700" cy="28575"/>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B0B28F" id="Graphic 351" o:spid="_x0000_s1026" style="position:absolute;margin-left:70.5pt;margin-top:36.05pt;width:471pt;height:2.25pt;z-index:-2714060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76384" behindDoc="1" locked="0" layoutInCell="1" allowOverlap="1" wp14:anchorId="0DFDDA3E" wp14:editId="0DFDDA3F">
              <wp:simplePos x="0" y="0"/>
              <wp:positionH relativeFrom="page">
                <wp:posOffset>895350</wp:posOffset>
              </wp:positionH>
              <wp:positionV relativeFrom="page">
                <wp:posOffset>992886</wp:posOffset>
              </wp:positionV>
              <wp:extent cx="5981700" cy="28575"/>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5695FE" id="Graphic 352" o:spid="_x0000_s1026" style="position:absolute;margin-left:70.5pt;margin-top:78.2pt;width:471pt;height:2.25pt;z-index:-271400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76896" behindDoc="1" locked="0" layoutInCell="1" allowOverlap="1" wp14:anchorId="0DFDDA40" wp14:editId="0DFDDA41">
              <wp:simplePos x="0" y="0"/>
              <wp:positionH relativeFrom="page">
                <wp:posOffset>901700</wp:posOffset>
              </wp:positionH>
              <wp:positionV relativeFrom="page">
                <wp:posOffset>490475</wp:posOffset>
              </wp:positionV>
              <wp:extent cx="5491480" cy="50292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1480" cy="502920"/>
                      </a:xfrm>
                      <a:prstGeom prst="rect">
                        <a:avLst/>
                      </a:prstGeom>
                    </wps:spPr>
                    <wps:txbx>
                      <w:txbxContent>
                        <w:p w14:paraId="0DFDDE76"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0"/>
                            </w:rPr>
                            <w:t xml:space="preserve"> </w:t>
                          </w:r>
                          <w:r>
                            <w:rPr>
                              <w:spacing w:val="-2"/>
                            </w:rPr>
                            <w:t>Guidance</w:t>
                          </w:r>
                        </w:p>
                        <w:p w14:paraId="0DFDDE77" w14:textId="77777777" w:rsidR="00046465" w:rsidRDefault="008134EB">
                          <w:pPr>
                            <w:pStyle w:val="BodyText"/>
                            <w:ind w:left="20"/>
                          </w:pPr>
                          <w:r>
                            <w:t>710</w:t>
                          </w:r>
                          <w:r>
                            <w:rPr>
                              <w:spacing w:val="-3"/>
                            </w:rPr>
                            <w:t xml:space="preserve"> </w:t>
                          </w:r>
                          <w:r>
                            <w:t>D</w:t>
                          </w:r>
                          <w:r>
                            <w:rPr>
                              <w:spacing w:val="-4"/>
                            </w:rPr>
                            <w:t xml:space="preserve"> </w:t>
                          </w:r>
                          <w:r>
                            <w:t>–</w:t>
                          </w:r>
                          <w:r>
                            <w:rPr>
                              <w:spacing w:val="-3"/>
                            </w:rPr>
                            <w:t xml:space="preserve"> </w:t>
                          </w:r>
                          <w:r>
                            <w:t>Example</w:t>
                          </w:r>
                          <w:r>
                            <w:rPr>
                              <w:spacing w:val="-3"/>
                            </w:rPr>
                            <w:t xml:space="preserve"> </w:t>
                          </w:r>
                          <w:r>
                            <w:t>Agreed-Upon</w:t>
                          </w:r>
                          <w:r>
                            <w:rPr>
                              <w:spacing w:val="-3"/>
                            </w:rPr>
                            <w:t xml:space="preserve"> </w:t>
                          </w:r>
                          <w:r>
                            <w:t>Procedures</w:t>
                          </w:r>
                          <w:r>
                            <w:rPr>
                              <w:spacing w:val="-3"/>
                            </w:rPr>
                            <w:t xml:space="preserve"> </w:t>
                          </w:r>
                          <w:r>
                            <w:t>Report</w:t>
                          </w:r>
                          <w:r>
                            <w:rPr>
                              <w:spacing w:val="-3"/>
                            </w:rPr>
                            <w:t xml:space="preserve"> </w:t>
                          </w:r>
                          <w:r>
                            <w:t>Where</w:t>
                          </w:r>
                          <w:r>
                            <w:rPr>
                              <w:spacing w:val="-3"/>
                            </w:rPr>
                            <w:t xml:space="preserve"> </w:t>
                          </w:r>
                          <w:r>
                            <w:t>the</w:t>
                          </w:r>
                          <w:r>
                            <w:rPr>
                              <w:spacing w:val="-3"/>
                            </w:rPr>
                            <w:t xml:space="preserve"> </w:t>
                          </w:r>
                          <w:r>
                            <w:t>Engaging</w:t>
                          </w:r>
                          <w:r>
                            <w:rPr>
                              <w:spacing w:val="-3"/>
                            </w:rPr>
                            <w:t xml:space="preserve"> </w:t>
                          </w:r>
                          <w:r>
                            <w:t>Party</w:t>
                          </w:r>
                          <w:r>
                            <w:rPr>
                              <w:spacing w:val="-3"/>
                            </w:rPr>
                            <w:t xml:space="preserve"> </w:t>
                          </w:r>
                          <w:r>
                            <w:t>Is</w:t>
                          </w:r>
                          <w:r>
                            <w:rPr>
                              <w:spacing w:val="-3"/>
                            </w:rPr>
                            <w:t xml:space="preserve"> </w:t>
                          </w:r>
                          <w:r>
                            <w:t>Not</w:t>
                          </w:r>
                          <w:r>
                            <w:rPr>
                              <w:spacing w:val="-3"/>
                            </w:rPr>
                            <w:t xml:space="preserve"> </w:t>
                          </w:r>
                          <w:r>
                            <w:t>the Responsible Party</w:t>
                          </w:r>
                        </w:p>
                      </w:txbxContent>
                    </wps:txbx>
                    <wps:bodyPr wrap="square" lIns="0" tIns="0" rIns="0" bIns="0" rtlCol="0">
                      <a:noAutofit/>
                    </wps:bodyPr>
                  </wps:wsp>
                </a:graphicData>
              </a:graphic>
            </wp:anchor>
          </w:drawing>
        </mc:Choice>
        <mc:Fallback>
          <w:pict>
            <v:shapetype w14:anchorId="0DFDDA40" id="_x0000_t202" coordsize="21600,21600" o:spt="202" path="m,l,21600r21600,l21600,xe">
              <v:stroke joinstyle="miter"/>
              <v:path gradientshapeok="t" o:connecttype="rect"/>
            </v:shapetype>
            <v:shape id="Textbox 353" o:spid="_x0000_s1184" type="#_x0000_t202" style="position:absolute;margin-left:71pt;margin-top:38.6pt;width:432.4pt;height:39.6pt;z-index:-2713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" filled="f" stroked="f">
              <v:textbox inset="0,0,0,0">
                <w:txbxContent>
                  <w:p w14:paraId="0DFDDE76"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0"/>
                      </w:rPr>
                      <w:t xml:space="preserve"> </w:t>
                    </w:r>
                    <w:r>
                      <w:rPr>
                        <w:spacing w:val="-2"/>
                      </w:rPr>
                      <w:t>Guidance</w:t>
                    </w:r>
                  </w:p>
                  <w:p w14:paraId="0DFDDE77" w14:textId="77777777" w:rsidR="00046465" w:rsidRDefault="008134EB">
                    <w:pPr>
                      <w:pStyle w:val="BodyText"/>
                      <w:ind w:left="20"/>
                    </w:pPr>
                    <w:r>
                      <w:t>710</w:t>
                    </w:r>
                    <w:r>
                      <w:rPr>
                        <w:spacing w:val="-3"/>
                      </w:rPr>
                      <w:t xml:space="preserve"> </w:t>
                    </w:r>
                    <w:r>
                      <w:t>D</w:t>
                    </w:r>
                    <w:r>
                      <w:rPr>
                        <w:spacing w:val="-4"/>
                      </w:rPr>
                      <w:t xml:space="preserve"> </w:t>
                    </w:r>
                    <w:r>
                      <w:t>–</w:t>
                    </w:r>
                    <w:r>
                      <w:rPr>
                        <w:spacing w:val="-3"/>
                      </w:rPr>
                      <w:t xml:space="preserve"> </w:t>
                    </w:r>
                    <w:r>
                      <w:t>Example</w:t>
                    </w:r>
                    <w:r>
                      <w:rPr>
                        <w:spacing w:val="-3"/>
                      </w:rPr>
                      <w:t xml:space="preserve"> </w:t>
                    </w:r>
                    <w:r>
                      <w:t>Agreed-Upon</w:t>
                    </w:r>
                    <w:r>
                      <w:rPr>
                        <w:spacing w:val="-3"/>
                      </w:rPr>
                      <w:t xml:space="preserve"> </w:t>
                    </w:r>
                    <w:r>
                      <w:t>Procedures</w:t>
                    </w:r>
                    <w:r>
                      <w:rPr>
                        <w:spacing w:val="-3"/>
                      </w:rPr>
                      <w:t xml:space="preserve"> </w:t>
                    </w:r>
                    <w:r>
                      <w:t>Report</w:t>
                    </w:r>
                    <w:r>
                      <w:rPr>
                        <w:spacing w:val="-3"/>
                      </w:rPr>
                      <w:t xml:space="preserve"> </w:t>
                    </w:r>
                    <w:r>
                      <w:t>Where</w:t>
                    </w:r>
                    <w:r>
                      <w:rPr>
                        <w:spacing w:val="-3"/>
                      </w:rPr>
                      <w:t xml:space="preserve"> </w:t>
                    </w:r>
                    <w:r>
                      <w:t>the</w:t>
                    </w:r>
                    <w:r>
                      <w:rPr>
                        <w:spacing w:val="-3"/>
                      </w:rPr>
                      <w:t xml:space="preserve"> </w:t>
                    </w:r>
                    <w:r>
                      <w:t>Engaging</w:t>
                    </w:r>
                    <w:r>
                      <w:rPr>
                        <w:spacing w:val="-3"/>
                      </w:rPr>
                      <w:t xml:space="preserve"> </w:t>
                    </w:r>
                    <w:r>
                      <w:t>Party</w:t>
                    </w:r>
                    <w:r>
                      <w:rPr>
                        <w:spacing w:val="-3"/>
                      </w:rPr>
                      <w:t xml:space="preserve"> </w:t>
                    </w:r>
                    <w:r>
                      <w:t>Is</w:t>
                    </w:r>
                    <w:r>
                      <w:rPr>
                        <w:spacing w:val="-3"/>
                      </w:rPr>
                      <w:t xml:space="preserve"> </w:t>
                    </w:r>
                    <w:r>
                      <w:t>Not</w:t>
                    </w:r>
                    <w:r>
                      <w:rPr>
                        <w:spacing w:val="-3"/>
                      </w:rPr>
                      <w:t xml:space="preserve"> </w:t>
                    </w:r>
                    <w:r>
                      <w:t>the Responsible Party</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C"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79456" behindDoc="1" locked="0" layoutInCell="1" allowOverlap="1" wp14:anchorId="0DFDDA4A" wp14:editId="0DFDDA4B">
              <wp:simplePos x="0" y="0"/>
              <wp:positionH relativeFrom="page">
                <wp:posOffset>895350</wp:posOffset>
              </wp:positionH>
              <wp:positionV relativeFrom="page">
                <wp:posOffset>457962</wp:posOffset>
              </wp:positionV>
              <wp:extent cx="5981700" cy="28575"/>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3B64D6" id="Graphic 358" o:spid="_x0000_s1026" style="position:absolute;margin-left:70.5pt;margin-top:36.05pt;width:471pt;height:2.25pt;z-index:-271370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79968" behindDoc="1" locked="0" layoutInCell="1" allowOverlap="1" wp14:anchorId="0DFDDA4C" wp14:editId="0DFDDA4D">
              <wp:simplePos x="0" y="0"/>
              <wp:positionH relativeFrom="page">
                <wp:posOffset>895350</wp:posOffset>
              </wp:positionH>
              <wp:positionV relativeFrom="page">
                <wp:posOffset>832103</wp:posOffset>
              </wp:positionV>
              <wp:extent cx="5981700" cy="28575"/>
              <wp:effectExtent l="0" t="0" r="0" b="0"/>
              <wp:wrapNone/>
              <wp:docPr id="359" name="Graphic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222058" id="Graphic 359" o:spid="_x0000_s1026" style="position:absolute;margin-left:70.5pt;margin-top:65.5pt;width:471pt;height:2.25pt;z-index:-271365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80480" behindDoc="1" locked="0" layoutInCell="1" allowOverlap="1" wp14:anchorId="0DFDDA4E" wp14:editId="0DFDDA4F">
              <wp:simplePos x="0" y="0"/>
              <wp:positionH relativeFrom="page">
                <wp:posOffset>901700</wp:posOffset>
              </wp:positionH>
              <wp:positionV relativeFrom="page">
                <wp:posOffset>490475</wp:posOffset>
              </wp:positionV>
              <wp:extent cx="4311015" cy="34226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015" cy="342265"/>
                      </a:xfrm>
                      <a:prstGeom prst="rect">
                        <a:avLst/>
                      </a:prstGeom>
                    </wps:spPr>
                    <wps:txbx>
                      <w:txbxContent>
                        <w:p w14:paraId="0DFDDE7B"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0DFDDE7C" w14:textId="77777777" w:rsidR="00046465" w:rsidRDefault="008134EB">
                          <w:pPr>
                            <w:pStyle w:val="BodyText"/>
                            <w:ind w:left="20"/>
                          </w:pPr>
                          <w:r>
                            <w:t>710</w:t>
                          </w:r>
                          <w:r>
                            <w:rPr>
                              <w:spacing w:val="-9"/>
                            </w:rPr>
                            <w:t xml:space="preserve"> </w:t>
                          </w:r>
                          <w:r>
                            <w:t>E</w:t>
                          </w:r>
                          <w:r>
                            <w:rPr>
                              <w:spacing w:val="-9"/>
                            </w:rPr>
                            <w:t xml:space="preserve"> </w:t>
                          </w:r>
                          <w:r>
                            <w:t>–</w:t>
                          </w:r>
                          <w:r>
                            <w:rPr>
                              <w:spacing w:val="-9"/>
                            </w:rPr>
                            <w:t xml:space="preserve"> </w:t>
                          </w:r>
                          <w:r>
                            <w:t>Agreed-Upon</w:t>
                          </w:r>
                          <w:r>
                            <w:rPr>
                              <w:spacing w:val="-9"/>
                            </w:rPr>
                            <w:t xml:space="preserve"> </w:t>
                          </w:r>
                          <w:r>
                            <w:t>Procedures</w:t>
                          </w:r>
                          <w:r>
                            <w:rPr>
                              <w:spacing w:val="-9"/>
                            </w:rPr>
                            <w:t xml:space="preserve"> </w:t>
                          </w:r>
                          <w:r>
                            <w:t>Engagement</w:t>
                          </w:r>
                          <w:r>
                            <w:rPr>
                              <w:spacing w:val="-9"/>
                            </w:rPr>
                            <w:t xml:space="preserve"> </w:t>
                          </w:r>
                          <w:r>
                            <w:t>Completion</w:t>
                          </w:r>
                          <w:r>
                            <w:rPr>
                              <w:spacing w:val="-9"/>
                            </w:rPr>
                            <w:t xml:space="preserve"> </w:t>
                          </w:r>
                          <w:r>
                            <w:rPr>
                              <w:spacing w:val="-2"/>
                            </w:rPr>
                            <w:t>Checklist</w:t>
                          </w:r>
                        </w:p>
                      </w:txbxContent>
                    </wps:txbx>
                    <wps:bodyPr wrap="square" lIns="0" tIns="0" rIns="0" bIns="0" rtlCol="0">
                      <a:noAutofit/>
                    </wps:bodyPr>
                  </wps:wsp>
                </a:graphicData>
              </a:graphic>
            </wp:anchor>
          </w:drawing>
        </mc:Choice>
        <mc:Fallback>
          <w:pict>
            <v:shapetype w14:anchorId="0DFDDA4E" id="_x0000_t202" coordsize="21600,21600" o:spt="202" path="m,l,21600r21600,l21600,xe">
              <v:stroke joinstyle="miter"/>
              <v:path gradientshapeok="t" o:connecttype="rect"/>
            </v:shapetype>
            <v:shape id="Textbox 360" o:spid="_x0000_s1188" type="#_x0000_t202" style="position:absolute;margin-left:71pt;margin-top:38.6pt;width:339.45pt;height:26.95pt;z-index:-2713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" filled="f" stroked="f">
              <v:textbox inset="0,0,0,0">
                <w:txbxContent>
                  <w:p w14:paraId="0DFDDE7B" w14:textId="77777777" w:rsidR="00046465" w:rsidRDefault="008134EB">
                    <w:pPr>
                      <w:pStyle w:val="BodyText"/>
                      <w:spacing w:before="12"/>
                      <w:ind w:left="20"/>
                    </w:pPr>
                    <w:r>
                      <w:t>FFMIA</w:t>
                    </w:r>
                    <w:r>
                      <w:rPr>
                        <w:spacing w:val="-10"/>
                      </w:rPr>
                      <w:t xml:space="preserve"> </w:t>
                    </w:r>
                    <w:r>
                      <w:t>Guidance</w:t>
                    </w:r>
                    <w:r>
                      <w:rPr>
                        <w:spacing w:val="-10"/>
                      </w:rPr>
                      <w:t xml:space="preserve"> </w:t>
                    </w:r>
                    <w:r>
                      <w:t>and</w:t>
                    </w:r>
                    <w:r>
                      <w:rPr>
                        <w:spacing w:val="-9"/>
                      </w:rPr>
                      <w:t xml:space="preserve"> </w:t>
                    </w:r>
                    <w:r>
                      <w:t>Agreed-Upon</w:t>
                    </w:r>
                    <w:r>
                      <w:rPr>
                        <w:spacing w:val="-10"/>
                      </w:rPr>
                      <w:t xml:space="preserve"> </w:t>
                    </w:r>
                    <w:r>
                      <w:t>Procedures</w:t>
                    </w:r>
                    <w:r>
                      <w:rPr>
                        <w:spacing w:val="-11"/>
                      </w:rPr>
                      <w:t xml:space="preserve"> </w:t>
                    </w:r>
                    <w:r>
                      <w:rPr>
                        <w:spacing w:val="-2"/>
                      </w:rPr>
                      <w:t>Guidance</w:t>
                    </w:r>
                  </w:p>
                  <w:p w14:paraId="0DFDDE7C" w14:textId="77777777" w:rsidR="00046465" w:rsidRDefault="008134EB">
                    <w:pPr>
                      <w:pStyle w:val="BodyText"/>
                      <w:ind w:left="20"/>
                    </w:pPr>
                    <w:r>
                      <w:t>710</w:t>
                    </w:r>
                    <w:r>
                      <w:rPr>
                        <w:spacing w:val="-9"/>
                      </w:rPr>
                      <w:t xml:space="preserve"> </w:t>
                    </w:r>
                    <w:r>
                      <w:t>E</w:t>
                    </w:r>
                    <w:r>
                      <w:rPr>
                        <w:spacing w:val="-9"/>
                      </w:rPr>
                      <w:t xml:space="preserve"> </w:t>
                    </w:r>
                    <w:r>
                      <w:t>–</w:t>
                    </w:r>
                    <w:r>
                      <w:rPr>
                        <w:spacing w:val="-9"/>
                      </w:rPr>
                      <w:t xml:space="preserve"> </w:t>
                    </w:r>
                    <w:r>
                      <w:t>Agreed-Upon</w:t>
                    </w:r>
                    <w:r>
                      <w:rPr>
                        <w:spacing w:val="-9"/>
                      </w:rPr>
                      <w:t xml:space="preserve"> </w:t>
                    </w:r>
                    <w:r>
                      <w:t>Procedures</w:t>
                    </w:r>
                    <w:r>
                      <w:rPr>
                        <w:spacing w:val="-9"/>
                      </w:rPr>
                      <w:t xml:space="preserve"> </w:t>
                    </w:r>
                    <w:r>
                      <w:t>Engagement</w:t>
                    </w:r>
                    <w:r>
                      <w:rPr>
                        <w:spacing w:val="-9"/>
                      </w:rPr>
                      <w:t xml:space="preserve"> </w:t>
                    </w:r>
                    <w:r>
                      <w:t>Completion</w:t>
                    </w:r>
                    <w:r>
                      <w:rPr>
                        <w:spacing w:val="-9"/>
                      </w:rPr>
                      <w:t xml:space="preserve"> </w:t>
                    </w:r>
                    <w:r>
                      <w:rPr>
                        <w:spacing w:val="-2"/>
                      </w:rPr>
                      <w:t>Checklist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6"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61696" behindDoc="1" locked="0" layoutInCell="1" allowOverlap="1" wp14:anchorId="0DFDD87E" wp14:editId="0DFDD87F">
              <wp:simplePos x="0" y="0"/>
              <wp:positionH relativeFrom="page">
                <wp:posOffset>895350</wp:posOffset>
              </wp:positionH>
              <wp:positionV relativeFrom="page">
                <wp:posOffset>457962</wp:posOffset>
              </wp:positionV>
              <wp:extent cx="5981700" cy="28575"/>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C5C9C5" id="Graphic 78" o:spid="_x0000_s1026" style="position:absolute;margin-left:70.5pt;margin-top:36.05pt;width:471pt;height:2.25pt;z-index:-2725478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62208" behindDoc="1" locked="0" layoutInCell="1" allowOverlap="1" wp14:anchorId="0DFDD880" wp14:editId="0DFDD881">
              <wp:simplePos x="0" y="0"/>
              <wp:positionH relativeFrom="page">
                <wp:posOffset>895350</wp:posOffset>
              </wp:positionH>
              <wp:positionV relativeFrom="page">
                <wp:posOffset>671322</wp:posOffset>
              </wp:positionV>
              <wp:extent cx="5981700" cy="28575"/>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B4DBFD" id="Graphic 79" o:spid="_x0000_s1026" style="position:absolute;margin-left:70.5pt;margin-top:52.85pt;width:471pt;height:2.25pt;z-index:-272542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62720" behindDoc="1" locked="0" layoutInCell="1" allowOverlap="1" wp14:anchorId="0DFDD882" wp14:editId="0DFDD883">
              <wp:simplePos x="0" y="0"/>
              <wp:positionH relativeFrom="page">
                <wp:posOffset>901700</wp:posOffset>
              </wp:positionH>
              <wp:positionV relativeFrom="page">
                <wp:posOffset>490476</wp:posOffset>
              </wp:positionV>
              <wp:extent cx="4002404" cy="18161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2404" cy="181610"/>
                      </a:xfrm>
                      <a:prstGeom prst="rect">
                        <a:avLst/>
                      </a:prstGeom>
                    </wps:spPr>
                    <wps:txbx>
                      <w:txbxContent>
                        <w:p w14:paraId="0DFDDDDA" w14:textId="77777777" w:rsidR="00046465" w:rsidRDefault="008134EB">
                          <w:pPr>
                            <w:pStyle w:val="BodyText"/>
                            <w:spacing w:before="12"/>
                            <w:ind w:left="20"/>
                          </w:pPr>
                          <w:r>
                            <w:t>Contents</w:t>
                          </w:r>
                          <w:r>
                            <w:rPr>
                              <w:spacing w:val="-6"/>
                            </w:rPr>
                            <w:t xml:space="preserve"> </w:t>
                          </w:r>
                          <w:r>
                            <w:t>of</w:t>
                          </w:r>
                          <w:r>
                            <w:rPr>
                              <w:spacing w:val="-6"/>
                            </w:rPr>
                            <w:t xml:space="preserve"> </w:t>
                          </w:r>
                          <w:r>
                            <w:t>FAM</w:t>
                          </w:r>
                          <w:r>
                            <w:rPr>
                              <w:spacing w:val="-6"/>
                            </w:rPr>
                            <w:t xml:space="preserve"> </w:t>
                          </w:r>
                          <w:r>
                            <w:t>Volume</w:t>
                          </w:r>
                          <w:r>
                            <w:rPr>
                              <w:spacing w:val="-6"/>
                            </w:rPr>
                            <w:t xml:space="preserve"> </w:t>
                          </w:r>
                          <w:r>
                            <w:t>2</w:t>
                          </w:r>
                          <w:r>
                            <w:rPr>
                              <w:spacing w:val="-5"/>
                            </w:rPr>
                            <w:t xml:space="preserve"> </w:t>
                          </w:r>
                          <w:r>
                            <w:t>–</w:t>
                          </w:r>
                          <w:r>
                            <w:rPr>
                              <w:spacing w:val="-6"/>
                            </w:rPr>
                            <w:t xml:space="preserve"> </w:t>
                          </w:r>
                          <w:r>
                            <w:t>Detailed</w:t>
                          </w:r>
                          <w:r>
                            <w:rPr>
                              <w:spacing w:val="-6"/>
                            </w:rPr>
                            <w:t xml:space="preserve"> </w:t>
                          </w:r>
                          <w:r>
                            <w:t>Implementation</w:t>
                          </w:r>
                          <w:r>
                            <w:rPr>
                              <w:spacing w:val="-6"/>
                            </w:rPr>
                            <w:t xml:space="preserve"> </w:t>
                          </w:r>
                          <w:r>
                            <w:rPr>
                              <w:spacing w:val="-2"/>
                            </w:rPr>
                            <w:t>Guidance</w:t>
                          </w:r>
                        </w:p>
                      </w:txbxContent>
                    </wps:txbx>
                    <wps:bodyPr wrap="square" lIns="0" tIns="0" rIns="0" bIns="0" rtlCol="0">
                      <a:noAutofit/>
                    </wps:bodyPr>
                  </wps:wsp>
                </a:graphicData>
              </a:graphic>
            </wp:anchor>
          </w:drawing>
        </mc:Choice>
        <mc:Fallback>
          <w:pict>
            <v:shapetype w14:anchorId="0DFDD882" id="_x0000_t202" coordsize="21600,21600" o:spt="202" path="m,l,21600r21600,l21600,xe">
              <v:stroke joinstyle="miter"/>
              <v:path gradientshapeok="t" o:connecttype="rect"/>
            </v:shapetype>
            <v:shape id="Textbox 80" o:spid="_x0000_s1056" type="#_x0000_t202" style="position:absolute;margin-left:71pt;margin-top:38.6pt;width:315.15pt;height:14.3pt;z-index:-2725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" filled="f" stroked="f">
              <v:textbox inset="0,0,0,0">
                <w:txbxContent>
                  <w:p w14:paraId="0DFDDDDA" w14:textId="77777777" w:rsidR="00046465" w:rsidRDefault="008134EB">
                    <w:pPr>
                      <w:pStyle w:val="BodyText"/>
                      <w:spacing w:before="12"/>
                      <w:ind w:left="20"/>
                    </w:pPr>
                    <w:r>
                      <w:t>Contents</w:t>
                    </w:r>
                    <w:r>
                      <w:rPr>
                        <w:spacing w:val="-6"/>
                      </w:rPr>
                      <w:t xml:space="preserve"> </w:t>
                    </w:r>
                    <w:r>
                      <w:t>of</w:t>
                    </w:r>
                    <w:r>
                      <w:rPr>
                        <w:spacing w:val="-6"/>
                      </w:rPr>
                      <w:t xml:space="preserve"> </w:t>
                    </w:r>
                    <w:r>
                      <w:t>FAM</w:t>
                    </w:r>
                    <w:r>
                      <w:rPr>
                        <w:spacing w:val="-6"/>
                      </w:rPr>
                      <w:t xml:space="preserve"> </w:t>
                    </w:r>
                    <w:r>
                      <w:t>Volume</w:t>
                    </w:r>
                    <w:r>
                      <w:rPr>
                        <w:spacing w:val="-6"/>
                      </w:rPr>
                      <w:t xml:space="preserve"> </w:t>
                    </w:r>
                    <w:r>
                      <w:t>2</w:t>
                    </w:r>
                    <w:r>
                      <w:rPr>
                        <w:spacing w:val="-5"/>
                      </w:rPr>
                      <w:t xml:space="preserve"> </w:t>
                    </w:r>
                    <w:r>
                      <w:t>–</w:t>
                    </w:r>
                    <w:r>
                      <w:rPr>
                        <w:spacing w:val="-6"/>
                      </w:rPr>
                      <w:t xml:space="preserve"> </w:t>
                    </w:r>
                    <w:r>
                      <w:t>Detailed</w:t>
                    </w:r>
                    <w:r>
                      <w:rPr>
                        <w:spacing w:val="-6"/>
                      </w:rPr>
                      <w:t xml:space="preserve"> </w:t>
                    </w:r>
                    <w:r>
                      <w:t>Implementation</w:t>
                    </w:r>
                    <w:r>
                      <w:rPr>
                        <w:spacing w:val="-6"/>
                      </w:rPr>
                      <w:t xml:space="preserve"> </w:t>
                    </w:r>
                    <w:r>
                      <w:rPr>
                        <w:spacing w:val="-2"/>
                      </w:rPr>
                      <w:t>Guidance</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DE" w14:textId="77777777" w:rsidR="00046465" w:rsidRDefault="00046465">
    <w:pPr>
      <w:pStyle w:val="BodyTex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0"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83040" behindDoc="1" locked="0" layoutInCell="1" allowOverlap="1" wp14:anchorId="0DFDDA58" wp14:editId="0DFDDA59">
              <wp:simplePos x="0" y="0"/>
              <wp:positionH relativeFrom="page">
                <wp:posOffset>895350</wp:posOffset>
              </wp:positionH>
              <wp:positionV relativeFrom="page">
                <wp:posOffset>457962</wp:posOffset>
              </wp:positionV>
              <wp:extent cx="5981700" cy="28575"/>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5C4D00" id="Graphic 372" o:spid="_x0000_s1026" style="position:absolute;margin-left:70.5pt;margin-top:36.05pt;width:471pt;height:2.25pt;z-index:-271334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83552" behindDoc="1" locked="0" layoutInCell="1" allowOverlap="1" wp14:anchorId="0DFDDA5A" wp14:editId="0DFDDA5B">
              <wp:simplePos x="0" y="0"/>
              <wp:positionH relativeFrom="page">
                <wp:posOffset>895350</wp:posOffset>
              </wp:positionH>
              <wp:positionV relativeFrom="page">
                <wp:posOffset>832103</wp:posOffset>
              </wp:positionV>
              <wp:extent cx="5981700" cy="28575"/>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FDDC6D" id="Graphic 373" o:spid="_x0000_s1026" style="position:absolute;margin-left:70.5pt;margin-top:65.5pt;width:471pt;height:2.25pt;z-index:-271329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84064" behindDoc="1" locked="0" layoutInCell="1" allowOverlap="1" wp14:anchorId="0DFDDA5C" wp14:editId="0DFDDA5D">
              <wp:simplePos x="0" y="0"/>
              <wp:positionH relativeFrom="page">
                <wp:posOffset>901700</wp:posOffset>
              </wp:positionH>
              <wp:positionV relativeFrom="page">
                <wp:posOffset>490475</wp:posOffset>
              </wp:positionV>
              <wp:extent cx="1905000" cy="342265"/>
              <wp:effectExtent l="0" t="0" r="0" b="0"/>
              <wp:wrapNone/>
              <wp:docPr id="374" name="Text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342265"/>
                      </a:xfrm>
                      <a:prstGeom prst="rect">
                        <a:avLst/>
                      </a:prstGeom>
                    </wps:spPr>
                    <wps:txbx>
                      <w:txbxContent>
                        <w:p w14:paraId="0DFDDE80" w14:textId="77777777" w:rsidR="00046465" w:rsidRDefault="008134EB">
                          <w:pPr>
                            <w:pStyle w:val="BodyText"/>
                            <w:spacing w:before="12"/>
                            <w:ind w:left="20"/>
                          </w:pPr>
                          <w:r>
                            <w:rPr>
                              <w:spacing w:val="-2"/>
                            </w:rPr>
                            <w:t>Compliance</w:t>
                          </w:r>
                        </w:p>
                        <w:p w14:paraId="0DFDDE81" w14:textId="77777777" w:rsidR="00046465" w:rsidRDefault="008134EB">
                          <w:pPr>
                            <w:pStyle w:val="BodyText"/>
                            <w:ind w:left="20"/>
                          </w:pPr>
                          <w:r>
                            <w:t>800</w:t>
                          </w:r>
                          <w:r>
                            <w:rPr>
                              <w:spacing w:val="-5"/>
                            </w:rPr>
                            <w:t xml:space="preserve"> </w:t>
                          </w:r>
                          <w:r>
                            <w:t>–</w:t>
                          </w:r>
                          <w:r>
                            <w:rPr>
                              <w:spacing w:val="-4"/>
                            </w:rPr>
                            <w:t xml:space="preserve"> </w:t>
                          </w:r>
                          <w:r>
                            <w:t>Contents</w:t>
                          </w:r>
                          <w:r>
                            <w:rPr>
                              <w:spacing w:val="-4"/>
                            </w:rPr>
                            <w:t xml:space="preserve"> </w:t>
                          </w:r>
                          <w:r>
                            <w:t>of</w:t>
                          </w:r>
                          <w:r>
                            <w:rPr>
                              <w:spacing w:val="-4"/>
                            </w:rPr>
                            <w:t xml:space="preserve"> </w:t>
                          </w:r>
                          <w:r>
                            <w:rPr>
                              <w:spacing w:val="-2"/>
                            </w:rPr>
                            <w:t>Compliance</w:t>
                          </w:r>
                        </w:p>
                      </w:txbxContent>
                    </wps:txbx>
                    <wps:bodyPr wrap="square" lIns="0" tIns="0" rIns="0" bIns="0" rtlCol="0">
                      <a:noAutofit/>
                    </wps:bodyPr>
                  </wps:wsp>
                </a:graphicData>
              </a:graphic>
            </wp:anchor>
          </w:drawing>
        </mc:Choice>
        <mc:Fallback>
          <w:pict>
            <v:shapetype w14:anchorId="0DFDDA5C" id="_x0000_t202" coordsize="21600,21600" o:spt="202" path="m,l,21600r21600,l21600,xe">
              <v:stroke joinstyle="miter"/>
              <v:path gradientshapeok="t" o:connecttype="rect"/>
            </v:shapetype>
            <v:shape id="Textbox 374" o:spid="_x0000_s1192" type="#_x0000_t202" style="position:absolute;margin-left:71pt;margin-top:38.6pt;width:150pt;height:26.95pt;z-index:-2713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" filled="f" stroked="f">
              <v:textbox inset="0,0,0,0">
                <w:txbxContent>
                  <w:p w14:paraId="0DFDDE80" w14:textId="77777777" w:rsidR="00046465" w:rsidRDefault="008134EB">
                    <w:pPr>
                      <w:pStyle w:val="BodyText"/>
                      <w:spacing w:before="12"/>
                      <w:ind w:left="20"/>
                    </w:pPr>
                    <w:r>
                      <w:rPr>
                        <w:spacing w:val="-2"/>
                      </w:rPr>
                      <w:t>Compliance</w:t>
                    </w:r>
                  </w:p>
                  <w:p w14:paraId="0DFDDE81" w14:textId="77777777" w:rsidR="00046465" w:rsidRDefault="008134EB">
                    <w:pPr>
                      <w:pStyle w:val="BodyText"/>
                      <w:ind w:left="20"/>
                    </w:pPr>
                    <w:r>
                      <w:t>800</w:t>
                    </w:r>
                    <w:r>
                      <w:rPr>
                        <w:spacing w:val="-5"/>
                      </w:rPr>
                      <w:t xml:space="preserve"> </w:t>
                    </w:r>
                    <w:r>
                      <w:t>–</w:t>
                    </w:r>
                    <w:r>
                      <w:rPr>
                        <w:spacing w:val="-4"/>
                      </w:rPr>
                      <w:t xml:space="preserve"> </w:t>
                    </w:r>
                    <w:r>
                      <w:t>Contents</w:t>
                    </w:r>
                    <w:r>
                      <w:rPr>
                        <w:spacing w:val="-4"/>
                      </w:rPr>
                      <w:t xml:space="preserve"> </w:t>
                    </w:r>
                    <w:r>
                      <w:t>of</w:t>
                    </w:r>
                    <w:r>
                      <w:rPr>
                        <w:spacing w:val="-4"/>
                      </w:rPr>
                      <w:t xml:space="preserve"> </w:t>
                    </w:r>
                    <w:r>
                      <w:rPr>
                        <w:spacing w:val="-2"/>
                      </w:rPr>
                      <w:t>Compliance</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2"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86624" behindDoc="1" locked="0" layoutInCell="1" allowOverlap="1" wp14:anchorId="0DFDDA66" wp14:editId="0DFDDA67">
              <wp:simplePos x="0" y="0"/>
              <wp:positionH relativeFrom="page">
                <wp:posOffset>895350</wp:posOffset>
              </wp:positionH>
              <wp:positionV relativeFrom="page">
                <wp:posOffset>457962</wp:posOffset>
              </wp:positionV>
              <wp:extent cx="5981700" cy="28575"/>
              <wp:effectExtent l="0" t="0" r="0" b="0"/>
              <wp:wrapNone/>
              <wp:docPr id="379" name="Graphic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27CF23" id="Graphic 379" o:spid="_x0000_s1026" style="position:absolute;margin-left:70.5pt;margin-top:36.05pt;width:471pt;height:2.25pt;z-index:-271298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87136" behindDoc="1" locked="0" layoutInCell="1" allowOverlap="1" wp14:anchorId="0DFDDA68" wp14:editId="0DFDDA69">
              <wp:simplePos x="0" y="0"/>
              <wp:positionH relativeFrom="page">
                <wp:posOffset>895350</wp:posOffset>
              </wp:positionH>
              <wp:positionV relativeFrom="page">
                <wp:posOffset>832103</wp:posOffset>
              </wp:positionV>
              <wp:extent cx="5981700" cy="28575"/>
              <wp:effectExtent l="0" t="0" r="0" b="0"/>
              <wp:wrapNone/>
              <wp:docPr id="380" name="Graphic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73F03C" id="Graphic 380" o:spid="_x0000_s1026" style="position:absolute;margin-left:70.5pt;margin-top:65.5pt;width:471pt;height:2.25pt;z-index:-271293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87648" behindDoc="1" locked="0" layoutInCell="1" allowOverlap="1" wp14:anchorId="0DFDDA6A" wp14:editId="0DFDDA6B">
              <wp:simplePos x="0" y="0"/>
              <wp:positionH relativeFrom="page">
                <wp:posOffset>901700</wp:posOffset>
              </wp:positionH>
              <wp:positionV relativeFrom="page">
                <wp:posOffset>490475</wp:posOffset>
              </wp:positionV>
              <wp:extent cx="2292985" cy="342265"/>
              <wp:effectExtent l="0" t="0" r="0" b="0"/>
              <wp:wrapNone/>
              <wp:docPr id="381" name="Text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985" cy="342265"/>
                      </a:xfrm>
                      <a:prstGeom prst="rect">
                        <a:avLst/>
                      </a:prstGeom>
                    </wps:spPr>
                    <wps:txbx>
                      <w:txbxContent>
                        <w:p w14:paraId="0DFDDE85" w14:textId="77777777" w:rsidR="00046465" w:rsidRDefault="008134EB">
                          <w:pPr>
                            <w:pStyle w:val="BodyText"/>
                            <w:spacing w:before="12"/>
                            <w:ind w:left="20"/>
                          </w:pPr>
                          <w:r>
                            <w:rPr>
                              <w:spacing w:val="-2"/>
                            </w:rPr>
                            <w:t>Compliance</w:t>
                          </w:r>
                        </w:p>
                        <w:p w14:paraId="0DFDDE86" w14:textId="77777777" w:rsidR="00046465" w:rsidRDefault="008134EB">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wps:txbx>
                    <wps:bodyPr wrap="square" lIns="0" tIns="0" rIns="0" bIns="0" rtlCol="0">
                      <a:noAutofit/>
                    </wps:bodyPr>
                  </wps:wsp>
                </a:graphicData>
              </a:graphic>
            </wp:anchor>
          </w:drawing>
        </mc:Choice>
        <mc:Fallback>
          <w:pict>
            <v:shapetype w14:anchorId="0DFDDA6A" id="_x0000_t202" coordsize="21600,21600" o:spt="202" path="m,l,21600r21600,l21600,xe">
              <v:stroke joinstyle="miter"/>
              <v:path gradientshapeok="t" o:connecttype="rect"/>
            </v:shapetype>
            <v:shape id="Textbox 381" o:spid="_x0000_s1196" type="#_x0000_t202" style="position:absolute;margin-left:71pt;margin-top:38.6pt;width:180.55pt;height:26.95pt;z-index:-271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" filled="f" stroked="f">
              <v:textbox inset="0,0,0,0">
                <w:txbxContent>
                  <w:p w14:paraId="0DFDDE85" w14:textId="77777777" w:rsidR="00046465" w:rsidRDefault="008134EB">
                    <w:pPr>
                      <w:pStyle w:val="BodyText"/>
                      <w:spacing w:before="12"/>
                      <w:ind w:left="20"/>
                    </w:pPr>
                    <w:r>
                      <w:rPr>
                        <w:spacing w:val="-2"/>
                      </w:rPr>
                      <w:t>Compliance</w:t>
                    </w:r>
                  </w:p>
                  <w:p w14:paraId="0DFDDE86" w14:textId="77777777" w:rsidR="00046465" w:rsidRDefault="008134EB">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4"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90208" behindDoc="1" locked="0" layoutInCell="1" allowOverlap="1" wp14:anchorId="0DFDDA74" wp14:editId="0DFDDA75">
              <wp:simplePos x="0" y="0"/>
              <wp:positionH relativeFrom="page">
                <wp:posOffset>895350</wp:posOffset>
              </wp:positionH>
              <wp:positionV relativeFrom="page">
                <wp:posOffset>457962</wp:posOffset>
              </wp:positionV>
              <wp:extent cx="5981700" cy="28575"/>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3423D2" id="Graphic 386" o:spid="_x0000_s1026" style="position:absolute;margin-left:70.5pt;margin-top:36.05pt;width:471pt;height:2.25pt;z-index:-271262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90720" behindDoc="1" locked="0" layoutInCell="1" allowOverlap="1" wp14:anchorId="0DFDDA76" wp14:editId="0DFDDA77">
              <wp:simplePos x="0" y="0"/>
              <wp:positionH relativeFrom="page">
                <wp:posOffset>895350</wp:posOffset>
              </wp:positionH>
              <wp:positionV relativeFrom="page">
                <wp:posOffset>832103</wp:posOffset>
              </wp:positionV>
              <wp:extent cx="5981700" cy="28575"/>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7E62DF" id="Graphic 387" o:spid="_x0000_s1026" style="position:absolute;margin-left:70.5pt;margin-top:65.5pt;width:471pt;height:2.25pt;z-index:-271257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91232" behindDoc="1" locked="0" layoutInCell="1" allowOverlap="1" wp14:anchorId="0DFDDA78" wp14:editId="0DFDDA79">
              <wp:simplePos x="0" y="0"/>
              <wp:positionH relativeFrom="page">
                <wp:posOffset>901700</wp:posOffset>
              </wp:positionH>
              <wp:positionV relativeFrom="page">
                <wp:posOffset>490475</wp:posOffset>
              </wp:positionV>
              <wp:extent cx="2292985" cy="34226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985" cy="342265"/>
                      </a:xfrm>
                      <a:prstGeom prst="rect">
                        <a:avLst/>
                      </a:prstGeom>
                    </wps:spPr>
                    <wps:txbx>
                      <w:txbxContent>
                        <w:p w14:paraId="0DFDDE8A" w14:textId="77777777" w:rsidR="00046465" w:rsidRDefault="008134EB">
                          <w:pPr>
                            <w:pStyle w:val="BodyText"/>
                            <w:spacing w:before="12"/>
                            <w:ind w:left="20"/>
                          </w:pPr>
                          <w:r>
                            <w:rPr>
                              <w:spacing w:val="-2"/>
                            </w:rPr>
                            <w:t>Compliance</w:t>
                          </w:r>
                        </w:p>
                        <w:p w14:paraId="0DFDDE8B" w14:textId="77777777" w:rsidR="00046465" w:rsidRDefault="008134EB">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wps:txbx>
                    <wps:bodyPr wrap="square" lIns="0" tIns="0" rIns="0" bIns="0" rtlCol="0">
                      <a:noAutofit/>
                    </wps:bodyPr>
                  </wps:wsp>
                </a:graphicData>
              </a:graphic>
            </wp:anchor>
          </w:drawing>
        </mc:Choice>
        <mc:Fallback>
          <w:pict>
            <v:shapetype w14:anchorId="0DFDDA78" id="_x0000_t202" coordsize="21600,21600" o:spt="202" path="m,l,21600r21600,l21600,xe">
              <v:stroke joinstyle="miter"/>
              <v:path gradientshapeok="t" o:connecttype="rect"/>
            </v:shapetype>
            <v:shape id="Textbox 388" o:spid="_x0000_s1200" type="#_x0000_t202" style="position:absolute;margin-left:71pt;margin-top:38.6pt;width:180.55pt;height:26.95pt;z-index:-2712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" filled="f" stroked="f">
              <v:textbox inset="0,0,0,0">
                <w:txbxContent>
                  <w:p w14:paraId="0DFDDE8A" w14:textId="77777777" w:rsidR="00046465" w:rsidRDefault="008134EB">
                    <w:pPr>
                      <w:pStyle w:val="BodyText"/>
                      <w:spacing w:before="12"/>
                      <w:ind w:left="20"/>
                    </w:pPr>
                    <w:r>
                      <w:rPr>
                        <w:spacing w:val="-2"/>
                      </w:rPr>
                      <w:t>Compliance</w:t>
                    </w:r>
                  </w:p>
                  <w:p w14:paraId="0DFDDE8B" w14:textId="77777777" w:rsidR="00046465" w:rsidRDefault="008134EB">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6"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93792" behindDoc="1" locked="0" layoutInCell="1" allowOverlap="1" wp14:anchorId="0DFDDA82" wp14:editId="0DFDDA83">
              <wp:simplePos x="0" y="0"/>
              <wp:positionH relativeFrom="page">
                <wp:posOffset>895350</wp:posOffset>
              </wp:positionH>
              <wp:positionV relativeFrom="page">
                <wp:posOffset>457962</wp:posOffset>
              </wp:positionV>
              <wp:extent cx="5981700" cy="28575"/>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68AD36" id="Graphic 396" o:spid="_x0000_s1026" style="position:absolute;margin-left:70.5pt;margin-top:36.05pt;width:471pt;height:2.25pt;z-index:-2712268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94304" behindDoc="1" locked="0" layoutInCell="1" allowOverlap="1" wp14:anchorId="0DFDDA84" wp14:editId="0DFDDA85">
              <wp:simplePos x="0" y="0"/>
              <wp:positionH relativeFrom="page">
                <wp:posOffset>901700</wp:posOffset>
              </wp:positionH>
              <wp:positionV relativeFrom="page">
                <wp:posOffset>490475</wp:posOffset>
              </wp:positionV>
              <wp:extent cx="2292985" cy="342265"/>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985" cy="342265"/>
                      </a:xfrm>
                      <a:prstGeom prst="rect">
                        <a:avLst/>
                      </a:prstGeom>
                    </wps:spPr>
                    <wps:txbx>
                      <w:txbxContent>
                        <w:p w14:paraId="0DFDDE8F" w14:textId="77777777" w:rsidR="00046465" w:rsidRDefault="008134EB">
                          <w:pPr>
                            <w:pStyle w:val="BodyText"/>
                            <w:spacing w:before="12"/>
                            <w:ind w:left="20"/>
                          </w:pPr>
                          <w:r>
                            <w:rPr>
                              <w:spacing w:val="-2"/>
                            </w:rPr>
                            <w:t>Compliance</w:t>
                          </w:r>
                        </w:p>
                        <w:p w14:paraId="0DFDDE90" w14:textId="77777777" w:rsidR="00046465" w:rsidRDefault="008134EB">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wps:txbx>
                    <wps:bodyPr wrap="square" lIns="0" tIns="0" rIns="0" bIns="0" rtlCol="0">
                      <a:noAutofit/>
                    </wps:bodyPr>
                  </wps:wsp>
                </a:graphicData>
              </a:graphic>
            </wp:anchor>
          </w:drawing>
        </mc:Choice>
        <mc:Fallback>
          <w:pict>
            <v:shapetype w14:anchorId="0DFDDA84" id="_x0000_t202" coordsize="21600,21600" o:spt="202" path="m,l,21600r21600,l21600,xe">
              <v:stroke joinstyle="miter"/>
              <v:path gradientshapeok="t" o:connecttype="rect"/>
            </v:shapetype>
            <v:shape id="Textbox 397" o:spid="_x0000_s1204" type="#_x0000_t202" style="position:absolute;margin-left:71pt;margin-top:38.6pt;width:180.55pt;height:26.95pt;z-index:-2712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" filled="f" stroked="f">
              <v:textbox inset="0,0,0,0">
                <w:txbxContent>
                  <w:p w14:paraId="0DFDDE8F" w14:textId="77777777" w:rsidR="00046465" w:rsidRDefault="008134EB">
                    <w:pPr>
                      <w:pStyle w:val="BodyText"/>
                      <w:spacing w:before="12"/>
                      <w:ind w:left="20"/>
                    </w:pPr>
                    <w:r>
                      <w:rPr>
                        <w:spacing w:val="-2"/>
                      </w:rPr>
                      <w:t>Compliance</w:t>
                    </w:r>
                  </w:p>
                  <w:p w14:paraId="0DFDDE90" w14:textId="77777777" w:rsidR="00046465" w:rsidRDefault="008134EB">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8"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196864" behindDoc="1" locked="0" layoutInCell="1" allowOverlap="1" wp14:anchorId="0DFDDA8E" wp14:editId="0DFDDA8F">
              <wp:simplePos x="0" y="0"/>
              <wp:positionH relativeFrom="page">
                <wp:posOffset>895350</wp:posOffset>
              </wp:positionH>
              <wp:positionV relativeFrom="page">
                <wp:posOffset>457962</wp:posOffset>
              </wp:positionV>
              <wp:extent cx="5981700" cy="28575"/>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37321C" id="Graphic 412" o:spid="_x0000_s1026" style="position:absolute;margin-left:70.5pt;margin-top:36.05pt;width:471pt;height:2.25pt;z-index:-271196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97376" behindDoc="1" locked="0" layoutInCell="1" allowOverlap="1" wp14:anchorId="0DFDDA90" wp14:editId="0DFDDA91">
              <wp:simplePos x="0" y="0"/>
              <wp:positionH relativeFrom="page">
                <wp:posOffset>895350</wp:posOffset>
              </wp:positionH>
              <wp:positionV relativeFrom="page">
                <wp:posOffset>832103</wp:posOffset>
              </wp:positionV>
              <wp:extent cx="5981700" cy="28575"/>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EFAEDC" id="Graphic 413" o:spid="_x0000_s1026" style="position:absolute;margin-left:70.5pt;margin-top:65.5pt;width:471pt;height:2.25pt;z-index:-2711910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197888" behindDoc="1" locked="0" layoutInCell="1" allowOverlap="1" wp14:anchorId="0DFDDA92" wp14:editId="0DFDDA93">
              <wp:simplePos x="0" y="0"/>
              <wp:positionH relativeFrom="page">
                <wp:posOffset>901700</wp:posOffset>
              </wp:positionH>
              <wp:positionV relativeFrom="page">
                <wp:posOffset>490475</wp:posOffset>
              </wp:positionV>
              <wp:extent cx="2292985" cy="342265"/>
              <wp:effectExtent l="0" t="0" r="0" b="0"/>
              <wp:wrapNone/>
              <wp:docPr id="414" name="Text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985" cy="342265"/>
                      </a:xfrm>
                      <a:prstGeom prst="rect">
                        <a:avLst/>
                      </a:prstGeom>
                    </wps:spPr>
                    <wps:txbx>
                      <w:txbxContent>
                        <w:p w14:paraId="0DFDDE94" w14:textId="77777777" w:rsidR="00046465" w:rsidRDefault="008134EB">
                          <w:pPr>
                            <w:pStyle w:val="BodyText"/>
                            <w:spacing w:before="12"/>
                            <w:ind w:left="20"/>
                          </w:pPr>
                          <w:r>
                            <w:rPr>
                              <w:spacing w:val="-2"/>
                            </w:rPr>
                            <w:t>Compliance</w:t>
                          </w:r>
                        </w:p>
                        <w:p w14:paraId="0DFDDE95" w14:textId="77777777" w:rsidR="00046465" w:rsidRDefault="008134EB">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wps:txbx>
                    <wps:bodyPr wrap="square" lIns="0" tIns="0" rIns="0" bIns="0" rtlCol="0">
                      <a:noAutofit/>
                    </wps:bodyPr>
                  </wps:wsp>
                </a:graphicData>
              </a:graphic>
            </wp:anchor>
          </w:drawing>
        </mc:Choice>
        <mc:Fallback>
          <w:pict>
            <v:shapetype w14:anchorId="0DFDDA92" id="_x0000_t202" coordsize="21600,21600" o:spt="202" path="m,l,21600r21600,l21600,xe">
              <v:stroke joinstyle="miter"/>
              <v:path gradientshapeok="t" o:connecttype="rect"/>
            </v:shapetype>
            <v:shape id="Textbox 414" o:spid="_x0000_s1208" type="#_x0000_t202" style="position:absolute;margin-left:71pt;margin-top:38.6pt;width:180.55pt;height:26.95pt;z-index:-27118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" filled="f" stroked="f">
              <v:textbox inset="0,0,0,0">
                <w:txbxContent>
                  <w:p w14:paraId="0DFDDE94" w14:textId="77777777" w:rsidR="00046465" w:rsidRDefault="008134EB">
                    <w:pPr>
                      <w:pStyle w:val="BodyText"/>
                      <w:spacing w:before="12"/>
                      <w:ind w:left="20"/>
                    </w:pPr>
                    <w:r>
                      <w:rPr>
                        <w:spacing w:val="-2"/>
                      </w:rPr>
                      <w:t>Compliance</w:t>
                    </w:r>
                  </w:p>
                  <w:p w14:paraId="0DFDDE95" w14:textId="77777777" w:rsidR="00046465" w:rsidRDefault="008134EB">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A"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00448" behindDoc="1" locked="0" layoutInCell="1" allowOverlap="1" wp14:anchorId="0DFDDA9C" wp14:editId="0DFDDA9D">
              <wp:simplePos x="0" y="0"/>
              <wp:positionH relativeFrom="page">
                <wp:posOffset>895350</wp:posOffset>
              </wp:positionH>
              <wp:positionV relativeFrom="page">
                <wp:posOffset>457962</wp:posOffset>
              </wp:positionV>
              <wp:extent cx="5981700" cy="28575"/>
              <wp:effectExtent l="0" t="0" r="0" b="0"/>
              <wp:wrapNone/>
              <wp:docPr id="432" name="Graphic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A137F6" id="Graphic 432" o:spid="_x0000_s1026" style="position:absolute;margin-left:70.5pt;margin-top:36.05pt;width:471pt;height:2.25pt;z-index:-271160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00960" behindDoc="1" locked="0" layoutInCell="1" allowOverlap="1" wp14:anchorId="0DFDDA9E" wp14:editId="0DFDDA9F">
              <wp:simplePos x="0" y="0"/>
              <wp:positionH relativeFrom="page">
                <wp:posOffset>901700</wp:posOffset>
              </wp:positionH>
              <wp:positionV relativeFrom="page">
                <wp:posOffset>490475</wp:posOffset>
              </wp:positionV>
              <wp:extent cx="2292985" cy="34226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985" cy="342265"/>
                      </a:xfrm>
                      <a:prstGeom prst="rect">
                        <a:avLst/>
                      </a:prstGeom>
                    </wps:spPr>
                    <wps:txbx>
                      <w:txbxContent>
                        <w:p w14:paraId="0DFDDE99" w14:textId="77777777" w:rsidR="00046465" w:rsidRDefault="008134EB">
                          <w:pPr>
                            <w:pStyle w:val="BodyText"/>
                            <w:spacing w:before="12"/>
                            <w:ind w:left="20"/>
                          </w:pPr>
                          <w:r>
                            <w:rPr>
                              <w:spacing w:val="-2"/>
                            </w:rPr>
                            <w:t>Compliance</w:t>
                          </w:r>
                        </w:p>
                        <w:p w14:paraId="0DFDDE9A" w14:textId="77777777" w:rsidR="00046465" w:rsidRDefault="008134EB">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wps:txbx>
                    <wps:bodyPr wrap="square" lIns="0" tIns="0" rIns="0" bIns="0" rtlCol="0">
                      <a:noAutofit/>
                    </wps:bodyPr>
                  </wps:wsp>
                </a:graphicData>
              </a:graphic>
            </wp:anchor>
          </w:drawing>
        </mc:Choice>
        <mc:Fallback>
          <w:pict>
            <v:shapetype w14:anchorId="0DFDDA9E" id="_x0000_t202" coordsize="21600,21600" o:spt="202" path="m,l,21600r21600,l21600,xe">
              <v:stroke joinstyle="miter"/>
              <v:path gradientshapeok="t" o:connecttype="rect"/>
            </v:shapetype>
            <v:shape id="Textbox 433" o:spid="_x0000_s1212" type="#_x0000_t202" style="position:absolute;margin-left:71pt;margin-top:38.6pt;width:180.55pt;height:26.95pt;z-index:-2711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" filled="f" stroked="f">
              <v:textbox inset="0,0,0,0">
                <w:txbxContent>
                  <w:p w14:paraId="0DFDDE99" w14:textId="77777777" w:rsidR="00046465" w:rsidRDefault="008134EB">
                    <w:pPr>
                      <w:pStyle w:val="BodyText"/>
                      <w:spacing w:before="12"/>
                      <w:ind w:left="20"/>
                    </w:pPr>
                    <w:r>
                      <w:rPr>
                        <w:spacing w:val="-2"/>
                      </w:rPr>
                      <w:t>Compliance</w:t>
                    </w:r>
                  </w:p>
                  <w:p w14:paraId="0DFDDE9A" w14:textId="77777777" w:rsidR="00046465" w:rsidRDefault="008134EB">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C"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03520" behindDoc="1" locked="0" layoutInCell="1" allowOverlap="1" wp14:anchorId="0DFDDAA8" wp14:editId="0DFDDAA9">
              <wp:simplePos x="0" y="0"/>
              <wp:positionH relativeFrom="page">
                <wp:posOffset>895350</wp:posOffset>
              </wp:positionH>
              <wp:positionV relativeFrom="page">
                <wp:posOffset>457962</wp:posOffset>
              </wp:positionV>
              <wp:extent cx="5981700" cy="28575"/>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30F72D" id="Graphic 498" o:spid="_x0000_s1026" style="position:absolute;margin-left:70.5pt;margin-top:36.05pt;width:471pt;height:2.25pt;z-index:-271129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04032" behindDoc="1" locked="0" layoutInCell="1" allowOverlap="1" wp14:anchorId="0DFDDAAA" wp14:editId="0DFDDAAB">
              <wp:simplePos x="0" y="0"/>
              <wp:positionH relativeFrom="page">
                <wp:posOffset>895350</wp:posOffset>
              </wp:positionH>
              <wp:positionV relativeFrom="page">
                <wp:posOffset>832103</wp:posOffset>
              </wp:positionV>
              <wp:extent cx="5981700" cy="28575"/>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5FF04E" id="Graphic 499" o:spid="_x0000_s1026" style="position:absolute;margin-left:70.5pt;margin-top:65.5pt;width:471pt;height:2.25pt;z-index:-2711244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04544" behindDoc="1" locked="0" layoutInCell="1" allowOverlap="1" wp14:anchorId="0DFDDAAC" wp14:editId="0DFDDAAD">
              <wp:simplePos x="0" y="0"/>
              <wp:positionH relativeFrom="page">
                <wp:posOffset>901700</wp:posOffset>
              </wp:positionH>
              <wp:positionV relativeFrom="page">
                <wp:posOffset>490475</wp:posOffset>
              </wp:positionV>
              <wp:extent cx="2292985" cy="342265"/>
              <wp:effectExtent l="0" t="0" r="0" b="0"/>
              <wp:wrapNone/>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985" cy="342265"/>
                      </a:xfrm>
                      <a:prstGeom prst="rect">
                        <a:avLst/>
                      </a:prstGeom>
                    </wps:spPr>
                    <wps:txbx>
                      <w:txbxContent>
                        <w:p w14:paraId="0DFDDE9E" w14:textId="77777777" w:rsidR="00046465" w:rsidRDefault="008134EB">
                          <w:pPr>
                            <w:pStyle w:val="BodyText"/>
                            <w:spacing w:before="12"/>
                            <w:ind w:left="20"/>
                          </w:pPr>
                          <w:r>
                            <w:rPr>
                              <w:spacing w:val="-2"/>
                            </w:rPr>
                            <w:t>Compliance</w:t>
                          </w:r>
                        </w:p>
                        <w:p w14:paraId="0DFDDE9F" w14:textId="77777777" w:rsidR="00046465" w:rsidRDefault="008134EB">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wps:txbx>
                    <wps:bodyPr wrap="square" lIns="0" tIns="0" rIns="0" bIns="0" rtlCol="0">
                      <a:noAutofit/>
                    </wps:bodyPr>
                  </wps:wsp>
                </a:graphicData>
              </a:graphic>
            </wp:anchor>
          </w:drawing>
        </mc:Choice>
        <mc:Fallback>
          <w:pict>
            <v:shapetype w14:anchorId="0DFDDAAC" id="_x0000_t202" coordsize="21600,21600" o:spt="202" path="m,l,21600r21600,l21600,xe">
              <v:stroke joinstyle="miter"/>
              <v:path gradientshapeok="t" o:connecttype="rect"/>
            </v:shapetype>
            <v:shape id="Textbox 500" o:spid="_x0000_s1216" type="#_x0000_t202" style="position:absolute;margin-left:71pt;margin-top:38.6pt;width:180.55pt;height:26.95pt;z-index:-271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" filled="f" stroked="f">
              <v:textbox inset="0,0,0,0">
                <w:txbxContent>
                  <w:p w14:paraId="0DFDDE9E" w14:textId="77777777" w:rsidR="00046465" w:rsidRDefault="008134EB">
                    <w:pPr>
                      <w:pStyle w:val="BodyText"/>
                      <w:spacing w:before="12"/>
                      <w:ind w:left="20"/>
                    </w:pPr>
                    <w:r>
                      <w:rPr>
                        <w:spacing w:val="-2"/>
                      </w:rPr>
                      <w:t>Compliance</w:t>
                    </w:r>
                  </w:p>
                  <w:p w14:paraId="0DFDDE9F" w14:textId="77777777" w:rsidR="00046465" w:rsidRDefault="008134EB">
                    <w:pPr>
                      <w:pStyle w:val="BodyText"/>
                      <w:ind w:left="20"/>
                    </w:pPr>
                    <w:r>
                      <w:t>802</w:t>
                    </w:r>
                    <w:r>
                      <w:rPr>
                        <w:spacing w:val="-7"/>
                      </w:rPr>
                      <w:t xml:space="preserve"> </w:t>
                    </w:r>
                    <w:r>
                      <w:t>–</w:t>
                    </w:r>
                    <w:r>
                      <w:rPr>
                        <w:spacing w:val="-7"/>
                      </w:rPr>
                      <w:t xml:space="preserve"> </w:t>
                    </w:r>
                    <w:r>
                      <w:t>General</w:t>
                    </w:r>
                    <w:r>
                      <w:rPr>
                        <w:spacing w:val="-7"/>
                      </w:rPr>
                      <w:t xml:space="preserve"> </w:t>
                    </w:r>
                    <w:r>
                      <w:t>Compliance</w:t>
                    </w:r>
                    <w:r>
                      <w:rPr>
                        <w:spacing w:val="-7"/>
                      </w:rPr>
                      <w:t xml:space="preserve"> </w:t>
                    </w:r>
                    <w:r>
                      <w:rPr>
                        <w:spacing w:val="-2"/>
                      </w:rPr>
                      <w:t>Checklist</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EE"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07104" behindDoc="1" locked="0" layoutInCell="1" allowOverlap="1" wp14:anchorId="0DFDDAB6" wp14:editId="0DFDDAB7">
              <wp:simplePos x="0" y="0"/>
              <wp:positionH relativeFrom="page">
                <wp:posOffset>666750</wp:posOffset>
              </wp:positionH>
              <wp:positionV relativeFrom="page">
                <wp:posOffset>457962</wp:posOffset>
              </wp:positionV>
              <wp:extent cx="8496300" cy="28575"/>
              <wp:effectExtent l="0" t="0" r="0" b="0"/>
              <wp:wrapNone/>
              <wp:docPr id="505" name="Graphic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FD58F4" id="Graphic 505" o:spid="_x0000_s1026" style="position:absolute;margin-left:52.5pt;margin-top:36.05pt;width:669pt;height:2.25pt;z-index:-27109376;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" path="m8496300,l,,,28194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07616" behindDoc="1" locked="0" layoutInCell="1" allowOverlap="1" wp14:anchorId="0DFDDAB8" wp14:editId="0DFDDAB9">
              <wp:simplePos x="0" y="0"/>
              <wp:positionH relativeFrom="page">
                <wp:posOffset>666750</wp:posOffset>
              </wp:positionH>
              <wp:positionV relativeFrom="page">
                <wp:posOffset>832103</wp:posOffset>
              </wp:positionV>
              <wp:extent cx="8496300" cy="28575"/>
              <wp:effectExtent l="0" t="0" r="0" b="0"/>
              <wp:wrapNone/>
              <wp:docPr id="506" name="Graphic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6B04E" id="Graphic 506" o:spid="_x0000_s1026" style="position:absolute;margin-left:52.5pt;margin-top:65.5pt;width:669pt;height:2.25pt;z-index:-27108864;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" path="m8496300,l,,,28194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08128" behindDoc="1" locked="0" layoutInCell="1" allowOverlap="1" wp14:anchorId="0DFDDABA" wp14:editId="0DFDDABB">
              <wp:simplePos x="0" y="0"/>
              <wp:positionH relativeFrom="page">
                <wp:posOffset>673100</wp:posOffset>
              </wp:positionH>
              <wp:positionV relativeFrom="page">
                <wp:posOffset>490475</wp:posOffset>
              </wp:positionV>
              <wp:extent cx="5158105" cy="34226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8105" cy="342265"/>
                      </a:xfrm>
                      <a:prstGeom prst="rect">
                        <a:avLst/>
                      </a:prstGeom>
                    </wps:spPr>
                    <wps:txbx>
                      <w:txbxContent>
                        <w:p w14:paraId="0DFDDEA3" w14:textId="77777777" w:rsidR="00046465" w:rsidRDefault="008134EB">
                          <w:pPr>
                            <w:pStyle w:val="BodyText"/>
                            <w:spacing w:before="12"/>
                            <w:ind w:left="20"/>
                          </w:pPr>
                          <w:r>
                            <w:rPr>
                              <w:spacing w:val="-2"/>
                            </w:rPr>
                            <w:t>Compliance</w:t>
                          </w:r>
                        </w:p>
                        <w:p w14:paraId="0DFDDEA4" w14:textId="77777777" w:rsidR="00046465" w:rsidRDefault="008134EB">
                          <w:pPr>
                            <w:pStyle w:val="BodyText"/>
                            <w:ind w:left="20"/>
                          </w:pPr>
                          <w:r>
                            <w:t>803</w:t>
                          </w:r>
                          <w:r>
                            <w:rPr>
                              <w:spacing w:val="-7"/>
                            </w:rPr>
                            <w:t xml:space="preserve"> </w:t>
                          </w:r>
                          <w:r>
                            <w:t>–</w:t>
                          </w:r>
                          <w:r>
                            <w:rPr>
                              <w:spacing w:val="-6"/>
                            </w:rPr>
                            <w:t xml:space="preserve"> </w:t>
                          </w:r>
                          <w:r>
                            <w:t>Antideficiency</w:t>
                          </w:r>
                          <w:r>
                            <w:rPr>
                              <w:spacing w:val="-7"/>
                            </w:rPr>
                            <w:t xml:space="preserve"> </w:t>
                          </w:r>
                          <w:r>
                            <w:t>Act</w:t>
                          </w:r>
                          <w:r>
                            <w:rPr>
                              <w:spacing w:val="-6"/>
                            </w:rPr>
                            <w:t xml:space="preserve"> </w:t>
                          </w:r>
                          <w:r>
                            <w:t>(ADA),</w:t>
                          </w:r>
                          <w:r>
                            <w:rPr>
                              <w:spacing w:val="-7"/>
                            </w:rPr>
                            <w:t xml:space="preserve"> </w:t>
                          </w:r>
                          <w:r>
                            <w:t>as</w:t>
                          </w:r>
                          <w:r>
                            <w:rPr>
                              <w:spacing w:val="-6"/>
                            </w:rPr>
                            <w:t xml:space="preserve"> </w:t>
                          </w:r>
                          <w:r>
                            <w:t>Provided</w:t>
                          </w:r>
                          <w:r>
                            <w:rPr>
                              <w:spacing w:val="-6"/>
                            </w:rPr>
                            <w:t xml:space="preserve"> </w:t>
                          </w:r>
                          <w:r>
                            <w:t>Primarily</w:t>
                          </w:r>
                          <w:r>
                            <w:rPr>
                              <w:spacing w:val="-7"/>
                            </w:rPr>
                            <w:t xml:space="preserve"> </w:t>
                          </w:r>
                          <w:r>
                            <w:t>in</w:t>
                          </w:r>
                          <w:r>
                            <w:rPr>
                              <w:spacing w:val="-6"/>
                            </w:rPr>
                            <w:t xml:space="preserve"> </w:t>
                          </w:r>
                          <w:r>
                            <w:t>31</w:t>
                          </w:r>
                          <w:r>
                            <w:rPr>
                              <w:spacing w:val="-8"/>
                            </w:rPr>
                            <w:t xml:space="preserve"> </w:t>
                          </w:r>
                          <w:r>
                            <w:t>U.S.C.</w:t>
                          </w:r>
                          <w:r>
                            <w:rPr>
                              <w:spacing w:val="-6"/>
                            </w:rPr>
                            <w:t xml:space="preserve"> </w:t>
                          </w:r>
                          <w:r>
                            <w:t>Chapters</w:t>
                          </w:r>
                          <w:r>
                            <w:rPr>
                              <w:spacing w:val="-6"/>
                            </w:rPr>
                            <w:t xml:space="preserve"> </w:t>
                          </w:r>
                          <w:r>
                            <w:t>13,</w:t>
                          </w:r>
                          <w:r>
                            <w:rPr>
                              <w:spacing w:val="-7"/>
                            </w:rPr>
                            <w:t xml:space="preserve"> </w:t>
                          </w:r>
                          <w:r>
                            <w:rPr>
                              <w:spacing w:val="-5"/>
                            </w:rPr>
                            <w:t>15</w:t>
                          </w:r>
                        </w:p>
                      </w:txbxContent>
                    </wps:txbx>
                    <wps:bodyPr wrap="square" lIns="0" tIns="0" rIns="0" bIns="0" rtlCol="0">
                      <a:noAutofit/>
                    </wps:bodyPr>
                  </wps:wsp>
                </a:graphicData>
              </a:graphic>
            </wp:anchor>
          </w:drawing>
        </mc:Choice>
        <mc:Fallback>
          <w:pict>
            <v:shapetype w14:anchorId="0DFDDABA" id="_x0000_t202" coordsize="21600,21600" o:spt="202" path="m,l,21600r21600,l21600,xe">
              <v:stroke joinstyle="miter"/>
              <v:path gradientshapeok="t" o:connecttype="rect"/>
            </v:shapetype>
            <v:shape id="Textbox 507" o:spid="_x0000_s1220" type="#_x0000_t202" style="position:absolute;margin-left:53pt;margin-top:38.6pt;width:406.15pt;height:26.95pt;z-index:-27108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" filled="f" stroked="f">
              <v:textbox inset="0,0,0,0">
                <w:txbxContent>
                  <w:p w14:paraId="0DFDDEA3" w14:textId="77777777" w:rsidR="00046465" w:rsidRDefault="008134EB">
                    <w:pPr>
                      <w:pStyle w:val="BodyText"/>
                      <w:spacing w:before="12"/>
                      <w:ind w:left="20"/>
                    </w:pPr>
                    <w:r>
                      <w:rPr>
                        <w:spacing w:val="-2"/>
                      </w:rPr>
                      <w:t>Compliance</w:t>
                    </w:r>
                  </w:p>
                  <w:p w14:paraId="0DFDDEA4" w14:textId="77777777" w:rsidR="00046465" w:rsidRDefault="008134EB">
                    <w:pPr>
                      <w:pStyle w:val="BodyText"/>
                      <w:ind w:left="20"/>
                    </w:pPr>
                    <w:r>
                      <w:t>803</w:t>
                    </w:r>
                    <w:r>
                      <w:rPr>
                        <w:spacing w:val="-7"/>
                      </w:rPr>
                      <w:t xml:space="preserve"> </w:t>
                    </w:r>
                    <w:r>
                      <w:t>–</w:t>
                    </w:r>
                    <w:r>
                      <w:rPr>
                        <w:spacing w:val="-6"/>
                      </w:rPr>
                      <w:t xml:space="preserve"> </w:t>
                    </w:r>
                    <w:r>
                      <w:t>Antideficiency</w:t>
                    </w:r>
                    <w:r>
                      <w:rPr>
                        <w:spacing w:val="-7"/>
                      </w:rPr>
                      <w:t xml:space="preserve"> </w:t>
                    </w:r>
                    <w:r>
                      <w:t>Act</w:t>
                    </w:r>
                    <w:r>
                      <w:rPr>
                        <w:spacing w:val="-6"/>
                      </w:rPr>
                      <w:t xml:space="preserve"> </w:t>
                    </w:r>
                    <w:r>
                      <w:t>(ADA),</w:t>
                    </w:r>
                    <w:r>
                      <w:rPr>
                        <w:spacing w:val="-7"/>
                      </w:rPr>
                      <w:t xml:space="preserve"> </w:t>
                    </w:r>
                    <w:r>
                      <w:t>as</w:t>
                    </w:r>
                    <w:r>
                      <w:rPr>
                        <w:spacing w:val="-6"/>
                      </w:rPr>
                      <w:t xml:space="preserve"> </w:t>
                    </w:r>
                    <w:r>
                      <w:t>Provided</w:t>
                    </w:r>
                    <w:r>
                      <w:rPr>
                        <w:spacing w:val="-6"/>
                      </w:rPr>
                      <w:t xml:space="preserve"> </w:t>
                    </w:r>
                    <w:r>
                      <w:t>Primarily</w:t>
                    </w:r>
                    <w:r>
                      <w:rPr>
                        <w:spacing w:val="-7"/>
                      </w:rPr>
                      <w:t xml:space="preserve"> </w:t>
                    </w:r>
                    <w:r>
                      <w:t>in</w:t>
                    </w:r>
                    <w:r>
                      <w:rPr>
                        <w:spacing w:val="-6"/>
                      </w:rPr>
                      <w:t xml:space="preserve"> </w:t>
                    </w:r>
                    <w:r>
                      <w:t>31</w:t>
                    </w:r>
                    <w:r>
                      <w:rPr>
                        <w:spacing w:val="-8"/>
                      </w:rPr>
                      <w:t xml:space="preserve"> </w:t>
                    </w:r>
                    <w:r>
                      <w:t>U.S.C.</w:t>
                    </w:r>
                    <w:r>
                      <w:rPr>
                        <w:spacing w:val="-6"/>
                      </w:rPr>
                      <w:t xml:space="preserve"> </w:t>
                    </w:r>
                    <w:r>
                      <w:t>Chapters</w:t>
                    </w:r>
                    <w:r>
                      <w:rPr>
                        <w:spacing w:val="-6"/>
                      </w:rPr>
                      <w:t xml:space="preserve"> </w:t>
                    </w:r>
                    <w:r>
                      <w:t>13,</w:t>
                    </w:r>
                    <w:r>
                      <w:rPr>
                        <w:spacing w:val="-7"/>
                      </w:rPr>
                      <w:t xml:space="preserve"> </w:t>
                    </w:r>
                    <w:r>
                      <w:rPr>
                        <w:spacing w:val="-5"/>
                      </w:rPr>
                      <w:t>15</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0"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10688" behindDoc="1" locked="0" layoutInCell="1" allowOverlap="1" wp14:anchorId="0DFDDAC4" wp14:editId="0DFDDAC5">
              <wp:simplePos x="0" y="0"/>
              <wp:positionH relativeFrom="page">
                <wp:posOffset>895350</wp:posOffset>
              </wp:positionH>
              <wp:positionV relativeFrom="page">
                <wp:posOffset>457962</wp:posOffset>
              </wp:positionV>
              <wp:extent cx="5981700" cy="28575"/>
              <wp:effectExtent l="0" t="0" r="0" b="0"/>
              <wp:wrapNone/>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00A2AE" id="Graphic 530" o:spid="_x0000_s1026" style="position:absolute;margin-left:70.5pt;margin-top:36.05pt;width:471pt;height:2.25pt;z-index:-2710579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11200" behindDoc="1" locked="0" layoutInCell="1" allowOverlap="1" wp14:anchorId="0DFDDAC6" wp14:editId="0DFDDAC7">
              <wp:simplePos x="0" y="0"/>
              <wp:positionH relativeFrom="page">
                <wp:posOffset>895350</wp:posOffset>
              </wp:positionH>
              <wp:positionV relativeFrom="page">
                <wp:posOffset>832103</wp:posOffset>
              </wp:positionV>
              <wp:extent cx="5981700" cy="28575"/>
              <wp:effectExtent l="0" t="0" r="0" b="0"/>
              <wp:wrapNone/>
              <wp:docPr id="531" name="Graphic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AFDEB2" id="Graphic 531" o:spid="_x0000_s1026" style="position:absolute;margin-left:70.5pt;margin-top:65.5pt;width:471pt;height:2.25pt;z-index:-271052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11712" behindDoc="1" locked="0" layoutInCell="1" allowOverlap="1" wp14:anchorId="0DFDDAC8" wp14:editId="0DFDDAC9">
              <wp:simplePos x="0" y="0"/>
              <wp:positionH relativeFrom="page">
                <wp:posOffset>901700</wp:posOffset>
              </wp:positionH>
              <wp:positionV relativeFrom="page">
                <wp:posOffset>490475</wp:posOffset>
              </wp:positionV>
              <wp:extent cx="5158105" cy="342265"/>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58105" cy="342265"/>
                      </a:xfrm>
                      <a:prstGeom prst="rect">
                        <a:avLst/>
                      </a:prstGeom>
                    </wps:spPr>
                    <wps:txbx>
                      <w:txbxContent>
                        <w:p w14:paraId="0DFDDEA8" w14:textId="77777777" w:rsidR="00046465" w:rsidRDefault="008134EB">
                          <w:pPr>
                            <w:pStyle w:val="BodyText"/>
                            <w:spacing w:before="12"/>
                            <w:ind w:left="20"/>
                          </w:pPr>
                          <w:r>
                            <w:rPr>
                              <w:spacing w:val="-2"/>
                            </w:rPr>
                            <w:t>Compliance</w:t>
                          </w:r>
                        </w:p>
                        <w:p w14:paraId="0DFDDEA9" w14:textId="77777777" w:rsidR="00046465" w:rsidRDefault="008134EB">
                          <w:pPr>
                            <w:pStyle w:val="BodyText"/>
                            <w:ind w:left="20"/>
                          </w:pPr>
                          <w:r>
                            <w:t>803</w:t>
                          </w:r>
                          <w:r>
                            <w:rPr>
                              <w:spacing w:val="-7"/>
                            </w:rPr>
                            <w:t xml:space="preserve"> </w:t>
                          </w:r>
                          <w:r>
                            <w:t>–</w:t>
                          </w:r>
                          <w:r>
                            <w:rPr>
                              <w:spacing w:val="-6"/>
                            </w:rPr>
                            <w:t xml:space="preserve"> </w:t>
                          </w:r>
                          <w:r>
                            <w:t>Antideficiency</w:t>
                          </w:r>
                          <w:r>
                            <w:rPr>
                              <w:spacing w:val="-7"/>
                            </w:rPr>
                            <w:t xml:space="preserve"> </w:t>
                          </w:r>
                          <w:r>
                            <w:t>Act</w:t>
                          </w:r>
                          <w:r>
                            <w:rPr>
                              <w:spacing w:val="-6"/>
                            </w:rPr>
                            <w:t xml:space="preserve"> </w:t>
                          </w:r>
                          <w:r>
                            <w:t>(ADA),</w:t>
                          </w:r>
                          <w:r>
                            <w:rPr>
                              <w:spacing w:val="-7"/>
                            </w:rPr>
                            <w:t xml:space="preserve"> </w:t>
                          </w:r>
                          <w:r>
                            <w:t>as</w:t>
                          </w:r>
                          <w:r>
                            <w:rPr>
                              <w:spacing w:val="-6"/>
                            </w:rPr>
                            <w:t xml:space="preserve"> </w:t>
                          </w:r>
                          <w:r>
                            <w:t>Provided</w:t>
                          </w:r>
                          <w:r>
                            <w:rPr>
                              <w:spacing w:val="-6"/>
                            </w:rPr>
                            <w:t xml:space="preserve"> </w:t>
                          </w:r>
                          <w:r>
                            <w:t>Primarily</w:t>
                          </w:r>
                          <w:r>
                            <w:rPr>
                              <w:spacing w:val="-7"/>
                            </w:rPr>
                            <w:t xml:space="preserve"> </w:t>
                          </w:r>
                          <w:r>
                            <w:t>in</w:t>
                          </w:r>
                          <w:r>
                            <w:rPr>
                              <w:spacing w:val="-6"/>
                            </w:rPr>
                            <w:t xml:space="preserve"> </w:t>
                          </w:r>
                          <w:r>
                            <w:t>31</w:t>
                          </w:r>
                          <w:r>
                            <w:rPr>
                              <w:spacing w:val="-8"/>
                            </w:rPr>
                            <w:t xml:space="preserve"> </w:t>
                          </w:r>
                          <w:r>
                            <w:t>U.S.C.</w:t>
                          </w:r>
                          <w:r>
                            <w:rPr>
                              <w:spacing w:val="-6"/>
                            </w:rPr>
                            <w:t xml:space="preserve"> </w:t>
                          </w:r>
                          <w:r>
                            <w:t>Chapters</w:t>
                          </w:r>
                          <w:r>
                            <w:rPr>
                              <w:spacing w:val="-6"/>
                            </w:rPr>
                            <w:t xml:space="preserve"> </w:t>
                          </w:r>
                          <w:r>
                            <w:t>13,</w:t>
                          </w:r>
                          <w:r>
                            <w:rPr>
                              <w:spacing w:val="-7"/>
                            </w:rPr>
                            <w:t xml:space="preserve"> </w:t>
                          </w:r>
                          <w:r>
                            <w:rPr>
                              <w:spacing w:val="-5"/>
                            </w:rPr>
                            <w:t>15</w:t>
                          </w:r>
                        </w:p>
                      </w:txbxContent>
                    </wps:txbx>
                    <wps:bodyPr wrap="square" lIns="0" tIns="0" rIns="0" bIns="0" rtlCol="0">
                      <a:noAutofit/>
                    </wps:bodyPr>
                  </wps:wsp>
                </a:graphicData>
              </a:graphic>
            </wp:anchor>
          </w:drawing>
        </mc:Choice>
        <mc:Fallback>
          <w:pict>
            <v:shapetype w14:anchorId="0DFDDAC8" id="_x0000_t202" coordsize="21600,21600" o:spt="202" path="m,l,21600r21600,l21600,xe">
              <v:stroke joinstyle="miter"/>
              <v:path gradientshapeok="t" o:connecttype="rect"/>
            </v:shapetype>
            <v:shape id="Textbox 532" o:spid="_x0000_s1224" type="#_x0000_t202" style="position:absolute;margin-left:71pt;margin-top:38.6pt;width:406.15pt;height:26.95pt;z-index:-27104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" filled="f" stroked="f">
              <v:textbox inset="0,0,0,0">
                <w:txbxContent>
                  <w:p w14:paraId="0DFDDEA8" w14:textId="77777777" w:rsidR="00046465" w:rsidRDefault="008134EB">
                    <w:pPr>
                      <w:pStyle w:val="BodyText"/>
                      <w:spacing w:before="12"/>
                      <w:ind w:left="20"/>
                    </w:pPr>
                    <w:r>
                      <w:rPr>
                        <w:spacing w:val="-2"/>
                      </w:rPr>
                      <w:t>Compliance</w:t>
                    </w:r>
                  </w:p>
                  <w:p w14:paraId="0DFDDEA9" w14:textId="77777777" w:rsidR="00046465" w:rsidRDefault="008134EB">
                    <w:pPr>
                      <w:pStyle w:val="BodyText"/>
                      <w:ind w:left="20"/>
                    </w:pPr>
                    <w:r>
                      <w:t>803</w:t>
                    </w:r>
                    <w:r>
                      <w:rPr>
                        <w:spacing w:val="-7"/>
                      </w:rPr>
                      <w:t xml:space="preserve"> </w:t>
                    </w:r>
                    <w:r>
                      <w:t>–</w:t>
                    </w:r>
                    <w:r>
                      <w:rPr>
                        <w:spacing w:val="-6"/>
                      </w:rPr>
                      <w:t xml:space="preserve"> </w:t>
                    </w:r>
                    <w:r>
                      <w:t>Antideficiency</w:t>
                    </w:r>
                    <w:r>
                      <w:rPr>
                        <w:spacing w:val="-7"/>
                      </w:rPr>
                      <w:t xml:space="preserve"> </w:t>
                    </w:r>
                    <w:r>
                      <w:t>Act</w:t>
                    </w:r>
                    <w:r>
                      <w:rPr>
                        <w:spacing w:val="-6"/>
                      </w:rPr>
                      <w:t xml:space="preserve"> </w:t>
                    </w:r>
                    <w:r>
                      <w:t>(ADA),</w:t>
                    </w:r>
                    <w:r>
                      <w:rPr>
                        <w:spacing w:val="-7"/>
                      </w:rPr>
                      <w:t xml:space="preserve"> </w:t>
                    </w:r>
                    <w:r>
                      <w:t>as</w:t>
                    </w:r>
                    <w:r>
                      <w:rPr>
                        <w:spacing w:val="-6"/>
                      </w:rPr>
                      <w:t xml:space="preserve"> </w:t>
                    </w:r>
                    <w:r>
                      <w:t>Provided</w:t>
                    </w:r>
                    <w:r>
                      <w:rPr>
                        <w:spacing w:val="-6"/>
                      </w:rPr>
                      <w:t xml:space="preserve"> </w:t>
                    </w:r>
                    <w:r>
                      <w:t>Primarily</w:t>
                    </w:r>
                    <w:r>
                      <w:rPr>
                        <w:spacing w:val="-7"/>
                      </w:rPr>
                      <w:t xml:space="preserve"> </w:t>
                    </w:r>
                    <w:r>
                      <w:t>in</w:t>
                    </w:r>
                    <w:r>
                      <w:rPr>
                        <w:spacing w:val="-6"/>
                      </w:rPr>
                      <w:t xml:space="preserve"> </w:t>
                    </w:r>
                    <w:r>
                      <w:t>31</w:t>
                    </w:r>
                    <w:r>
                      <w:rPr>
                        <w:spacing w:val="-8"/>
                      </w:rPr>
                      <w:t xml:space="preserve"> </w:t>
                    </w:r>
                    <w:r>
                      <w:t>U.S.C.</w:t>
                    </w:r>
                    <w:r>
                      <w:rPr>
                        <w:spacing w:val="-6"/>
                      </w:rPr>
                      <w:t xml:space="preserve"> </w:t>
                    </w:r>
                    <w:r>
                      <w:t>Chapters</w:t>
                    </w:r>
                    <w:r>
                      <w:rPr>
                        <w:spacing w:val="-6"/>
                      </w:rPr>
                      <w:t xml:space="preserve"> </w:t>
                    </w:r>
                    <w:r>
                      <w:t>13,</w:t>
                    </w:r>
                    <w:r>
                      <w:rPr>
                        <w:spacing w:val="-7"/>
                      </w:rPr>
                      <w:t xml:space="preserve"> </w:t>
                    </w:r>
                    <w:r>
                      <w:rPr>
                        <w:spacing w:val="-5"/>
                      </w:rPr>
                      <w:t>15</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8"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65280" behindDoc="1" locked="0" layoutInCell="1" allowOverlap="1" wp14:anchorId="0DFDD88C" wp14:editId="0DFDD88D">
              <wp:simplePos x="0" y="0"/>
              <wp:positionH relativeFrom="page">
                <wp:posOffset>895350</wp:posOffset>
              </wp:positionH>
              <wp:positionV relativeFrom="page">
                <wp:posOffset>457962</wp:posOffset>
              </wp:positionV>
              <wp:extent cx="5981700" cy="2857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663198" id="Graphic 85" o:spid="_x0000_s1026" style="position:absolute;margin-left:70.5pt;margin-top:36.05pt;width:471pt;height:2.25pt;z-index:-2725120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65792" behindDoc="1" locked="0" layoutInCell="1" allowOverlap="1" wp14:anchorId="0DFDD88E" wp14:editId="0DFDD88F">
              <wp:simplePos x="0" y="0"/>
              <wp:positionH relativeFrom="page">
                <wp:posOffset>895350</wp:posOffset>
              </wp:positionH>
              <wp:positionV relativeFrom="page">
                <wp:posOffset>671322</wp:posOffset>
              </wp:positionV>
              <wp:extent cx="5981700" cy="2857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DA7624" id="Graphic 86" o:spid="_x0000_s1026" style="position:absolute;margin-left:70.5pt;margin-top:52.85pt;width:471pt;height:2.25pt;z-index:-2725068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66304" behindDoc="1" locked="0" layoutInCell="1" allowOverlap="1" wp14:anchorId="0DFDD890" wp14:editId="0DFDD891">
              <wp:simplePos x="0" y="0"/>
              <wp:positionH relativeFrom="page">
                <wp:posOffset>901700</wp:posOffset>
              </wp:positionH>
              <wp:positionV relativeFrom="page">
                <wp:posOffset>490476</wp:posOffset>
              </wp:positionV>
              <wp:extent cx="4002404" cy="181610"/>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2404" cy="181610"/>
                      </a:xfrm>
                      <a:prstGeom prst="rect">
                        <a:avLst/>
                      </a:prstGeom>
                    </wps:spPr>
                    <wps:txbx>
                      <w:txbxContent>
                        <w:p w14:paraId="0DFDDDDE" w14:textId="77777777" w:rsidR="00046465" w:rsidRDefault="008134EB">
                          <w:pPr>
                            <w:pStyle w:val="BodyText"/>
                            <w:spacing w:before="12"/>
                            <w:ind w:left="20"/>
                          </w:pPr>
                          <w:r>
                            <w:t>Contents</w:t>
                          </w:r>
                          <w:r>
                            <w:rPr>
                              <w:spacing w:val="-6"/>
                            </w:rPr>
                            <w:t xml:space="preserve"> </w:t>
                          </w:r>
                          <w:r>
                            <w:t>of</w:t>
                          </w:r>
                          <w:r>
                            <w:rPr>
                              <w:spacing w:val="-6"/>
                            </w:rPr>
                            <w:t xml:space="preserve"> </w:t>
                          </w:r>
                          <w:r>
                            <w:t>FAM</w:t>
                          </w:r>
                          <w:r>
                            <w:rPr>
                              <w:spacing w:val="-6"/>
                            </w:rPr>
                            <w:t xml:space="preserve"> </w:t>
                          </w:r>
                          <w:r>
                            <w:t>Volume</w:t>
                          </w:r>
                          <w:r>
                            <w:rPr>
                              <w:spacing w:val="-6"/>
                            </w:rPr>
                            <w:t xml:space="preserve"> </w:t>
                          </w:r>
                          <w:r>
                            <w:t>2</w:t>
                          </w:r>
                          <w:r>
                            <w:rPr>
                              <w:spacing w:val="-5"/>
                            </w:rPr>
                            <w:t xml:space="preserve"> </w:t>
                          </w:r>
                          <w:r>
                            <w:t>–</w:t>
                          </w:r>
                          <w:r>
                            <w:rPr>
                              <w:spacing w:val="-6"/>
                            </w:rPr>
                            <w:t xml:space="preserve"> </w:t>
                          </w:r>
                          <w:r>
                            <w:t>Detailed</w:t>
                          </w:r>
                          <w:r>
                            <w:rPr>
                              <w:spacing w:val="-6"/>
                            </w:rPr>
                            <w:t xml:space="preserve"> </w:t>
                          </w:r>
                          <w:r>
                            <w:t>Implementation</w:t>
                          </w:r>
                          <w:r>
                            <w:rPr>
                              <w:spacing w:val="-6"/>
                            </w:rPr>
                            <w:t xml:space="preserve"> </w:t>
                          </w:r>
                          <w:r>
                            <w:rPr>
                              <w:spacing w:val="-2"/>
                            </w:rPr>
                            <w:t>Guidance</w:t>
                          </w:r>
                        </w:p>
                      </w:txbxContent>
                    </wps:txbx>
                    <wps:bodyPr wrap="square" lIns="0" tIns="0" rIns="0" bIns="0" rtlCol="0">
                      <a:noAutofit/>
                    </wps:bodyPr>
                  </wps:wsp>
                </a:graphicData>
              </a:graphic>
            </wp:anchor>
          </w:drawing>
        </mc:Choice>
        <mc:Fallback>
          <w:pict>
            <v:shapetype w14:anchorId="0DFDD890" id="_x0000_t202" coordsize="21600,21600" o:spt="202" path="m,l,21600r21600,l21600,xe">
              <v:stroke joinstyle="miter"/>
              <v:path gradientshapeok="t" o:connecttype="rect"/>
            </v:shapetype>
            <v:shape id="Textbox 87" o:spid="_x0000_s1060" type="#_x0000_t202" style="position:absolute;margin-left:71pt;margin-top:38.6pt;width:315.15pt;height:14.3pt;z-index:-2725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" filled="f" stroked="f">
              <v:textbox inset="0,0,0,0">
                <w:txbxContent>
                  <w:p w14:paraId="0DFDDDDE" w14:textId="77777777" w:rsidR="00046465" w:rsidRDefault="008134EB">
                    <w:pPr>
                      <w:pStyle w:val="BodyText"/>
                      <w:spacing w:before="12"/>
                      <w:ind w:left="20"/>
                    </w:pPr>
                    <w:r>
                      <w:t>Contents</w:t>
                    </w:r>
                    <w:r>
                      <w:rPr>
                        <w:spacing w:val="-6"/>
                      </w:rPr>
                      <w:t xml:space="preserve"> </w:t>
                    </w:r>
                    <w:r>
                      <w:t>of</w:t>
                    </w:r>
                    <w:r>
                      <w:rPr>
                        <w:spacing w:val="-6"/>
                      </w:rPr>
                      <w:t xml:space="preserve"> </w:t>
                    </w:r>
                    <w:r>
                      <w:t>FAM</w:t>
                    </w:r>
                    <w:r>
                      <w:rPr>
                        <w:spacing w:val="-6"/>
                      </w:rPr>
                      <w:t xml:space="preserve"> </w:t>
                    </w:r>
                    <w:r>
                      <w:t>Volume</w:t>
                    </w:r>
                    <w:r>
                      <w:rPr>
                        <w:spacing w:val="-6"/>
                      </w:rPr>
                      <w:t xml:space="preserve"> </w:t>
                    </w:r>
                    <w:r>
                      <w:t>2</w:t>
                    </w:r>
                    <w:r>
                      <w:rPr>
                        <w:spacing w:val="-5"/>
                      </w:rPr>
                      <w:t xml:space="preserve"> </w:t>
                    </w:r>
                    <w:r>
                      <w:t>–</w:t>
                    </w:r>
                    <w:r>
                      <w:rPr>
                        <w:spacing w:val="-6"/>
                      </w:rPr>
                      <w:t xml:space="preserve"> </w:t>
                    </w:r>
                    <w:r>
                      <w:t>Detailed</w:t>
                    </w:r>
                    <w:r>
                      <w:rPr>
                        <w:spacing w:val="-6"/>
                      </w:rPr>
                      <w:t xml:space="preserve"> </w:t>
                    </w:r>
                    <w:r>
                      <w:t>Implementation</w:t>
                    </w:r>
                    <w:r>
                      <w:rPr>
                        <w:spacing w:val="-6"/>
                      </w:rPr>
                      <w:t xml:space="preserve"> </w:t>
                    </w:r>
                    <w:r>
                      <w:rPr>
                        <w:spacing w:val="-2"/>
                      </w:rPr>
                      <w:t>Guidance</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2"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14272" behindDoc="1" locked="0" layoutInCell="1" allowOverlap="1" wp14:anchorId="0DFDDAD2" wp14:editId="0DFDDAD3">
              <wp:simplePos x="0" y="0"/>
              <wp:positionH relativeFrom="page">
                <wp:posOffset>666750</wp:posOffset>
              </wp:positionH>
              <wp:positionV relativeFrom="page">
                <wp:posOffset>457962</wp:posOffset>
              </wp:positionV>
              <wp:extent cx="8496300" cy="28575"/>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651D73" id="Graphic 537" o:spid="_x0000_s1026" style="position:absolute;margin-left:52.5pt;margin-top:36.05pt;width:669pt;height:2.25pt;z-index:-27102208;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" path="m8496300,l,,,28194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14784" behindDoc="1" locked="0" layoutInCell="1" allowOverlap="1" wp14:anchorId="0DFDDAD4" wp14:editId="0DFDDAD5">
              <wp:simplePos x="0" y="0"/>
              <wp:positionH relativeFrom="page">
                <wp:posOffset>666750</wp:posOffset>
              </wp:positionH>
              <wp:positionV relativeFrom="page">
                <wp:posOffset>832103</wp:posOffset>
              </wp:positionV>
              <wp:extent cx="8496300" cy="28575"/>
              <wp:effectExtent l="0" t="0" r="0" b="0"/>
              <wp:wrapNone/>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3AE288" id="Graphic 538" o:spid="_x0000_s1026" style="position:absolute;margin-left:52.5pt;margin-top:65.5pt;width:669pt;height:2.25pt;z-index:-27101696;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" path="m8496300,l,,,28194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15296" behindDoc="1" locked="0" layoutInCell="1" allowOverlap="1" wp14:anchorId="0DFDDAD6" wp14:editId="0DFDDAD7">
              <wp:simplePos x="0" y="0"/>
              <wp:positionH relativeFrom="page">
                <wp:posOffset>673100</wp:posOffset>
              </wp:positionH>
              <wp:positionV relativeFrom="page">
                <wp:posOffset>490475</wp:posOffset>
              </wp:positionV>
              <wp:extent cx="4887595" cy="342265"/>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7595" cy="342265"/>
                      </a:xfrm>
                      <a:prstGeom prst="rect">
                        <a:avLst/>
                      </a:prstGeom>
                    </wps:spPr>
                    <wps:txbx>
                      <w:txbxContent>
                        <w:p w14:paraId="0DFDDEAD" w14:textId="77777777" w:rsidR="00046465" w:rsidRDefault="008134EB">
                          <w:pPr>
                            <w:pStyle w:val="BodyText"/>
                            <w:spacing w:before="12"/>
                            <w:ind w:left="20"/>
                          </w:pPr>
                          <w:r>
                            <w:rPr>
                              <w:spacing w:val="-2"/>
                            </w:rPr>
                            <w:t>Compliance</w:t>
                          </w:r>
                        </w:p>
                        <w:p w14:paraId="0DFDDEAE" w14:textId="77777777" w:rsidR="00046465" w:rsidRDefault="008134EB">
                          <w:pPr>
                            <w:pStyle w:val="BodyText"/>
                            <w:ind w:left="20"/>
                          </w:pPr>
                          <w:r>
                            <w:t>804</w:t>
                          </w:r>
                          <w:r>
                            <w:rPr>
                              <w:spacing w:val="-6"/>
                            </w:rPr>
                            <w:t xml:space="preserve"> </w:t>
                          </w:r>
                          <w:r>
                            <w:t>–</w:t>
                          </w:r>
                          <w:r>
                            <w:rPr>
                              <w:spacing w:val="-5"/>
                            </w:rPr>
                            <w:t xml:space="preserve"> </w:t>
                          </w:r>
                          <w:r>
                            <w:t>Federal</w:t>
                          </w:r>
                          <w:r>
                            <w:rPr>
                              <w:spacing w:val="-5"/>
                            </w:rPr>
                            <w:t xml:space="preserve"> </w:t>
                          </w:r>
                          <w:r>
                            <w:t>Credit</w:t>
                          </w:r>
                          <w:r>
                            <w:rPr>
                              <w:spacing w:val="-5"/>
                            </w:rPr>
                            <w:t xml:space="preserve"> </w:t>
                          </w:r>
                          <w:r>
                            <w:t>Reform</w:t>
                          </w:r>
                          <w:r>
                            <w:rPr>
                              <w:spacing w:val="-6"/>
                            </w:rPr>
                            <w:t xml:space="preserve"> </w:t>
                          </w:r>
                          <w:r>
                            <w:t>Act</w:t>
                          </w:r>
                          <w:r>
                            <w:rPr>
                              <w:spacing w:val="-6"/>
                            </w:rPr>
                            <w:t xml:space="preserve"> </w:t>
                          </w:r>
                          <w:r>
                            <w:t>of</w:t>
                          </w:r>
                          <w:r>
                            <w:rPr>
                              <w:spacing w:val="-5"/>
                            </w:rPr>
                            <w:t xml:space="preserve"> </w:t>
                          </w:r>
                          <w:r>
                            <w:t>1990,</w:t>
                          </w:r>
                          <w:r>
                            <w:rPr>
                              <w:spacing w:val="-5"/>
                            </w:rPr>
                            <w:t xml:space="preserve"> </w:t>
                          </w:r>
                          <w:r>
                            <w:t>as</w:t>
                          </w:r>
                          <w:r>
                            <w:rPr>
                              <w:spacing w:val="-5"/>
                            </w:rPr>
                            <w:t xml:space="preserve"> </w:t>
                          </w:r>
                          <w:r>
                            <w:t>Provided</w:t>
                          </w:r>
                          <w:r>
                            <w:rPr>
                              <w:spacing w:val="-5"/>
                            </w:rPr>
                            <w:t xml:space="preserve"> </w:t>
                          </w:r>
                          <w:r>
                            <w:t>in</w:t>
                          </w:r>
                          <w:r>
                            <w:rPr>
                              <w:spacing w:val="-6"/>
                            </w:rPr>
                            <w:t xml:space="preserve"> </w:t>
                          </w:r>
                          <w:r>
                            <w:t>2</w:t>
                          </w:r>
                          <w:r>
                            <w:rPr>
                              <w:spacing w:val="-5"/>
                            </w:rPr>
                            <w:t xml:space="preserve"> </w:t>
                          </w:r>
                          <w:r>
                            <w:t>U.S.C.</w:t>
                          </w:r>
                          <w:r>
                            <w:rPr>
                              <w:spacing w:val="-5"/>
                            </w:rPr>
                            <w:t xml:space="preserve"> </w:t>
                          </w:r>
                          <w:r>
                            <w:t>§§</w:t>
                          </w:r>
                          <w:r>
                            <w:rPr>
                              <w:spacing w:val="-5"/>
                            </w:rPr>
                            <w:t xml:space="preserve"> </w:t>
                          </w:r>
                          <w:r>
                            <w:t>661–</w:t>
                          </w:r>
                          <w:r>
                            <w:rPr>
                              <w:spacing w:val="-4"/>
                            </w:rPr>
                            <w:t>661f</w:t>
                          </w:r>
                        </w:p>
                      </w:txbxContent>
                    </wps:txbx>
                    <wps:bodyPr wrap="square" lIns="0" tIns="0" rIns="0" bIns="0" rtlCol="0">
                      <a:noAutofit/>
                    </wps:bodyPr>
                  </wps:wsp>
                </a:graphicData>
              </a:graphic>
            </wp:anchor>
          </w:drawing>
        </mc:Choice>
        <mc:Fallback>
          <w:pict>
            <v:shapetype w14:anchorId="0DFDDAD6" id="_x0000_t202" coordsize="21600,21600" o:spt="202" path="m,l,21600r21600,l21600,xe">
              <v:stroke joinstyle="miter"/>
              <v:path gradientshapeok="t" o:connecttype="rect"/>
            </v:shapetype>
            <v:shape id="Textbox 539" o:spid="_x0000_s1228" type="#_x0000_t202" style="position:absolute;margin-left:53pt;margin-top:38.6pt;width:384.85pt;height:26.95pt;z-index:-2710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" filled="f" stroked="f">
              <v:textbox inset="0,0,0,0">
                <w:txbxContent>
                  <w:p w14:paraId="0DFDDEAD" w14:textId="77777777" w:rsidR="00046465" w:rsidRDefault="008134EB">
                    <w:pPr>
                      <w:pStyle w:val="BodyText"/>
                      <w:spacing w:before="12"/>
                      <w:ind w:left="20"/>
                    </w:pPr>
                    <w:r>
                      <w:rPr>
                        <w:spacing w:val="-2"/>
                      </w:rPr>
                      <w:t>Compliance</w:t>
                    </w:r>
                  </w:p>
                  <w:p w14:paraId="0DFDDEAE" w14:textId="77777777" w:rsidR="00046465" w:rsidRDefault="008134EB">
                    <w:pPr>
                      <w:pStyle w:val="BodyText"/>
                      <w:ind w:left="20"/>
                    </w:pPr>
                    <w:r>
                      <w:t>804</w:t>
                    </w:r>
                    <w:r>
                      <w:rPr>
                        <w:spacing w:val="-6"/>
                      </w:rPr>
                      <w:t xml:space="preserve"> </w:t>
                    </w:r>
                    <w:r>
                      <w:t>–</w:t>
                    </w:r>
                    <w:r>
                      <w:rPr>
                        <w:spacing w:val="-5"/>
                      </w:rPr>
                      <w:t xml:space="preserve"> </w:t>
                    </w:r>
                    <w:r>
                      <w:t>Federal</w:t>
                    </w:r>
                    <w:r>
                      <w:rPr>
                        <w:spacing w:val="-5"/>
                      </w:rPr>
                      <w:t xml:space="preserve"> </w:t>
                    </w:r>
                    <w:r>
                      <w:t>Credit</w:t>
                    </w:r>
                    <w:r>
                      <w:rPr>
                        <w:spacing w:val="-5"/>
                      </w:rPr>
                      <w:t xml:space="preserve"> </w:t>
                    </w:r>
                    <w:r>
                      <w:t>Reform</w:t>
                    </w:r>
                    <w:r>
                      <w:rPr>
                        <w:spacing w:val="-6"/>
                      </w:rPr>
                      <w:t xml:space="preserve"> </w:t>
                    </w:r>
                    <w:r>
                      <w:t>Act</w:t>
                    </w:r>
                    <w:r>
                      <w:rPr>
                        <w:spacing w:val="-6"/>
                      </w:rPr>
                      <w:t xml:space="preserve"> </w:t>
                    </w:r>
                    <w:r>
                      <w:t>of</w:t>
                    </w:r>
                    <w:r>
                      <w:rPr>
                        <w:spacing w:val="-5"/>
                      </w:rPr>
                      <w:t xml:space="preserve"> </w:t>
                    </w:r>
                    <w:r>
                      <w:t>1990,</w:t>
                    </w:r>
                    <w:r>
                      <w:rPr>
                        <w:spacing w:val="-5"/>
                      </w:rPr>
                      <w:t xml:space="preserve"> </w:t>
                    </w:r>
                    <w:r>
                      <w:t>as</w:t>
                    </w:r>
                    <w:r>
                      <w:rPr>
                        <w:spacing w:val="-5"/>
                      </w:rPr>
                      <w:t xml:space="preserve"> </w:t>
                    </w:r>
                    <w:r>
                      <w:t>Provided</w:t>
                    </w:r>
                    <w:r>
                      <w:rPr>
                        <w:spacing w:val="-5"/>
                      </w:rPr>
                      <w:t xml:space="preserve"> </w:t>
                    </w:r>
                    <w:r>
                      <w:t>in</w:t>
                    </w:r>
                    <w:r>
                      <w:rPr>
                        <w:spacing w:val="-6"/>
                      </w:rPr>
                      <w:t xml:space="preserve"> </w:t>
                    </w:r>
                    <w:r>
                      <w:t>2</w:t>
                    </w:r>
                    <w:r>
                      <w:rPr>
                        <w:spacing w:val="-5"/>
                      </w:rPr>
                      <w:t xml:space="preserve"> </w:t>
                    </w:r>
                    <w:r>
                      <w:t>U.S.C.</w:t>
                    </w:r>
                    <w:r>
                      <w:rPr>
                        <w:spacing w:val="-5"/>
                      </w:rPr>
                      <w:t xml:space="preserve"> </w:t>
                    </w:r>
                    <w:r>
                      <w:t>§§</w:t>
                    </w:r>
                    <w:r>
                      <w:rPr>
                        <w:spacing w:val="-5"/>
                      </w:rPr>
                      <w:t xml:space="preserve"> </w:t>
                    </w:r>
                    <w:r>
                      <w:t>661–</w:t>
                    </w:r>
                    <w:r>
                      <w:rPr>
                        <w:spacing w:val="-4"/>
                      </w:rPr>
                      <w:t>661f</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4"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17856" behindDoc="1" locked="0" layoutInCell="1" allowOverlap="1" wp14:anchorId="0DFDDAE0" wp14:editId="0DFDDAE1">
              <wp:simplePos x="0" y="0"/>
              <wp:positionH relativeFrom="page">
                <wp:posOffset>895350</wp:posOffset>
              </wp:positionH>
              <wp:positionV relativeFrom="page">
                <wp:posOffset>457962</wp:posOffset>
              </wp:positionV>
              <wp:extent cx="5981700" cy="28575"/>
              <wp:effectExtent l="0" t="0" r="0" b="0"/>
              <wp:wrapNone/>
              <wp:docPr id="582" name="Graphic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EF1B6" id="Graphic 582" o:spid="_x0000_s1026" style="position:absolute;margin-left:70.5pt;margin-top:36.05pt;width:471pt;height:2.25pt;z-index:-270986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18368" behindDoc="1" locked="0" layoutInCell="1" allowOverlap="1" wp14:anchorId="0DFDDAE2" wp14:editId="0DFDDAE3">
              <wp:simplePos x="0" y="0"/>
              <wp:positionH relativeFrom="page">
                <wp:posOffset>901700</wp:posOffset>
              </wp:positionH>
              <wp:positionV relativeFrom="page">
                <wp:posOffset>490475</wp:posOffset>
              </wp:positionV>
              <wp:extent cx="4886960" cy="342265"/>
              <wp:effectExtent l="0" t="0" r="0" b="0"/>
              <wp:wrapNone/>
              <wp:docPr id="583" name="Text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6960" cy="342265"/>
                      </a:xfrm>
                      <a:prstGeom prst="rect">
                        <a:avLst/>
                      </a:prstGeom>
                    </wps:spPr>
                    <wps:txbx>
                      <w:txbxContent>
                        <w:p w14:paraId="0DFDDEB2" w14:textId="77777777" w:rsidR="00046465" w:rsidRDefault="008134EB">
                          <w:pPr>
                            <w:pStyle w:val="BodyText"/>
                            <w:spacing w:before="12"/>
                            <w:ind w:left="20"/>
                          </w:pPr>
                          <w:r>
                            <w:rPr>
                              <w:spacing w:val="-2"/>
                            </w:rPr>
                            <w:t>Compliance</w:t>
                          </w:r>
                        </w:p>
                        <w:p w14:paraId="0DFDDEB3" w14:textId="77777777" w:rsidR="00046465" w:rsidRDefault="008134EB">
                          <w:pPr>
                            <w:pStyle w:val="BodyText"/>
                            <w:ind w:left="20"/>
                          </w:pPr>
                          <w:r>
                            <w:t>804</w:t>
                          </w:r>
                          <w:r>
                            <w:rPr>
                              <w:spacing w:val="-6"/>
                            </w:rPr>
                            <w:t xml:space="preserve"> </w:t>
                          </w:r>
                          <w:r>
                            <w:t>–</w:t>
                          </w:r>
                          <w:r>
                            <w:rPr>
                              <w:spacing w:val="-5"/>
                            </w:rPr>
                            <w:t xml:space="preserve"> </w:t>
                          </w:r>
                          <w:r>
                            <w:t>Federal</w:t>
                          </w:r>
                          <w:r>
                            <w:rPr>
                              <w:spacing w:val="-5"/>
                            </w:rPr>
                            <w:t xml:space="preserve"> </w:t>
                          </w:r>
                          <w:r>
                            <w:t>Credit</w:t>
                          </w:r>
                          <w:r>
                            <w:rPr>
                              <w:spacing w:val="-5"/>
                            </w:rPr>
                            <w:t xml:space="preserve"> </w:t>
                          </w:r>
                          <w:r>
                            <w:t>Reform</w:t>
                          </w:r>
                          <w:r>
                            <w:rPr>
                              <w:spacing w:val="-6"/>
                            </w:rPr>
                            <w:t xml:space="preserve"> </w:t>
                          </w:r>
                          <w:r>
                            <w:t>Act</w:t>
                          </w:r>
                          <w:r>
                            <w:rPr>
                              <w:spacing w:val="-6"/>
                            </w:rPr>
                            <w:t xml:space="preserve"> </w:t>
                          </w:r>
                          <w:r>
                            <w:t>of</w:t>
                          </w:r>
                          <w:r>
                            <w:rPr>
                              <w:spacing w:val="-5"/>
                            </w:rPr>
                            <w:t xml:space="preserve"> </w:t>
                          </w:r>
                          <w:r>
                            <w:t>1990,</w:t>
                          </w:r>
                          <w:r>
                            <w:rPr>
                              <w:spacing w:val="-5"/>
                            </w:rPr>
                            <w:t xml:space="preserve"> </w:t>
                          </w:r>
                          <w:r>
                            <w:t>as</w:t>
                          </w:r>
                          <w:r>
                            <w:rPr>
                              <w:spacing w:val="-5"/>
                            </w:rPr>
                            <w:t xml:space="preserve"> </w:t>
                          </w:r>
                          <w:r>
                            <w:t>Provided</w:t>
                          </w:r>
                          <w:r>
                            <w:rPr>
                              <w:spacing w:val="-5"/>
                            </w:rPr>
                            <w:t xml:space="preserve"> </w:t>
                          </w:r>
                          <w:r>
                            <w:t>in</w:t>
                          </w:r>
                          <w:r>
                            <w:rPr>
                              <w:spacing w:val="-6"/>
                            </w:rPr>
                            <w:t xml:space="preserve"> </w:t>
                          </w:r>
                          <w:r>
                            <w:t>2</w:t>
                          </w:r>
                          <w:r>
                            <w:rPr>
                              <w:spacing w:val="-5"/>
                            </w:rPr>
                            <w:t xml:space="preserve"> </w:t>
                          </w:r>
                          <w:r>
                            <w:t>U.S.C.</w:t>
                          </w:r>
                          <w:r>
                            <w:rPr>
                              <w:spacing w:val="-5"/>
                            </w:rPr>
                            <w:t xml:space="preserve"> </w:t>
                          </w:r>
                          <w:r>
                            <w:t>§§</w:t>
                          </w:r>
                          <w:r>
                            <w:rPr>
                              <w:spacing w:val="-5"/>
                            </w:rPr>
                            <w:t xml:space="preserve"> </w:t>
                          </w:r>
                          <w:r>
                            <w:t>661–</w:t>
                          </w:r>
                          <w:r>
                            <w:rPr>
                              <w:spacing w:val="-4"/>
                            </w:rPr>
                            <w:t>661f</w:t>
                          </w:r>
                        </w:p>
                      </w:txbxContent>
                    </wps:txbx>
                    <wps:bodyPr wrap="square" lIns="0" tIns="0" rIns="0" bIns="0" rtlCol="0">
                      <a:noAutofit/>
                    </wps:bodyPr>
                  </wps:wsp>
                </a:graphicData>
              </a:graphic>
            </wp:anchor>
          </w:drawing>
        </mc:Choice>
        <mc:Fallback>
          <w:pict>
            <v:shapetype w14:anchorId="0DFDDAE2" id="_x0000_t202" coordsize="21600,21600" o:spt="202" path="m,l,21600r21600,l21600,xe">
              <v:stroke joinstyle="miter"/>
              <v:path gradientshapeok="t" o:connecttype="rect"/>
            </v:shapetype>
            <v:shape id="Textbox 583" o:spid="_x0000_s1232" type="#_x0000_t202" style="position:absolute;margin-left:71pt;margin-top:38.6pt;width:384.8pt;height:26.95pt;z-index:-2709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" filled="f" stroked="f">
              <v:textbox inset="0,0,0,0">
                <w:txbxContent>
                  <w:p w14:paraId="0DFDDEB2" w14:textId="77777777" w:rsidR="00046465" w:rsidRDefault="008134EB">
                    <w:pPr>
                      <w:pStyle w:val="BodyText"/>
                      <w:spacing w:before="12"/>
                      <w:ind w:left="20"/>
                    </w:pPr>
                    <w:r>
                      <w:rPr>
                        <w:spacing w:val="-2"/>
                      </w:rPr>
                      <w:t>Compliance</w:t>
                    </w:r>
                  </w:p>
                  <w:p w14:paraId="0DFDDEB3" w14:textId="77777777" w:rsidR="00046465" w:rsidRDefault="008134EB">
                    <w:pPr>
                      <w:pStyle w:val="BodyText"/>
                      <w:ind w:left="20"/>
                    </w:pPr>
                    <w:r>
                      <w:t>804</w:t>
                    </w:r>
                    <w:r>
                      <w:rPr>
                        <w:spacing w:val="-6"/>
                      </w:rPr>
                      <w:t xml:space="preserve"> </w:t>
                    </w:r>
                    <w:r>
                      <w:t>–</w:t>
                    </w:r>
                    <w:r>
                      <w:rPr>
                        <w:spacing w:val="-5"/>
                      </w:rPr>
                      <w:t xml:space="preserve"> </w:t>
                    </w:r>
                    <w:r>
                      <w:t>Federal</w:t>
                    </w:r>
                    <w:r>
                      <w:rPr>
                        <w:spacing w:val="-5"/>
                      </w:rPr>
                      <w:t xml:space="preserve"> </w:t>
                    </w:r>
                    <w:r>
                      <w:t>Credit</w:t>
                    </w:r>
                    <w:r>
                      <w:rPr>
                        <w:spacing w:val="-5"/>
                      </w:rPr>
                      <w:t xml:space="preserve"> </w:t>
                    </w:r>
                    <w:r>
                      <w:t>Reform</w:t>
                    </w:r>
                    <w:r>
                      <w:rPr>
                        <w:spacing w:val="-6"/>
                      </w:rPr>
                      <w:t xml:space="preserve"> </w:t>
                    </w:r>
                    <w:r>
                      <w:t>Act</w:t>
                    </w:r>
                    <w:r>
                      <w:rPr>
                        <w:spacing w:val="-6"/>
                      </w:rPr>
                      <w:t xml:space="preserve"> </w:t>
                    </w:r>
                    <w:r>
                      <w:t>of</w:t>
                    </w:r>
                    <w:r>
                      <w:rPr>
                        <w:spacing w:val="-5"/>
                      </w:rPr>
                      <w:t xml:space="preserve"> </w:t>
                    </w:r>
                    <w:r>
                      <w:t>1990,</w:t>
                    </w:r>
                    <w:r>
                      <w:rPr>
                        <w:spacing w:val="-5"/>
                      </w:rPr>
                      <w:t xml:space="preserve"> </w:t>
                    </w:r>
                    <w:r>
                      <w:t>as</w:t>
                    </w:r>
                    <w:r>
                      <w:rPr>
                        <w:spacing w:val="-5"/>
                      </w:rPr>
                      <w:t xml:space="preserve"> </w:t>
                    </w:r>
                    <w:r>
                      <w:t>Provided</w:t>
                    </w:r>
                    <w:r>
                      <w:rPr>
                        <w:spacing w:val="-5"/>
                      </w:rPr>
                      <w:t xml:space="preserve"> </w:t>
                    </w:r>
                    <w:r>
                      <w:t>in</w:t>
                    </w:r>
                    <w:r>
                      <w:rPr>
                        <w:spacing w:val="-6"/>
                      </w:rPr>
                      <w:t xml:space="preserve"> </w:t>
                    </w:r>
                    <w:r>
                      <w:t>2</w:t>
                    </w:r>
                    <w:r>
                      <w:rPr>
                        <w:spacing w:val="-5"/>
                      </w:rPr>
                      <w:t xml:space="preserve"> </w:t>
                    </w:r>
                    <w:r>
                      <w:t>U.S.C.</w:t>
                    </w:r>
                    <w:r>
                      <w:rPr>
                        <w:spacing w:val="-5"/>
                      </w:rPr>
                      <w:t xml:space="preserve"> </w:t>
                    </w:r>
                    <w:r>
                      <w:t>§§</w:t>
                    </w:r>
                    <w:r>
                      <w:rPr>
                        <w:spacing w:val="-5"/>
                      </w:rPr>
                      <w:t xml:space="preserve"> </w:t>
                    </w:r>
                    <w:r>
                      <w:t>661–</w:t>
                    </w:r>
                    <w:r>
                      <w:rPr>
                        <w:spacing w:val="-4"/>
                      </w:rPr>
                      <w:t>661f</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6"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20928" behindDoc="1" locked="0" layoutInCell="1" allowOverlap="1" wp14:anchorId="0DFDDAEC" wp14:editId="0DFDDAED">
              <wp:simplePos x="0" y="0"/>
              <wp:positionH relativeFrom="page">
                <wp:posOffset>666750</wp:posOffset>
              </wp:positionH>
              <wp:positionV relativeFrom="page">
                <wp:posOffset>457962</wp:posOffset>
              </wp:positionV>
              <wp:extent cx="8496300" cy="28575"/>
              <wp:effectExtent l="0" t="0" r="0" b="0"/>
              <wp:wrapNone/>
              <wp:docPr id="590" name="Graphic 5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21737D" id="Graphic 590" o:spid="_x0000_s1026" style="position:absolute;margin-left:52.5pt;margin-top:36.05pt;width:669pt;height:2.25pt;z-index:-27095552;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" path="m8496300,l,,,28194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21440" behindDoc="1" locked="0" layoutInCell="1" allowOverlap="1" wp14:anchorId="0DFDDAEE" wp14:editId="0DFDDAEF">
              <wp:simplePos x="0" y="0"/>
              <wp:positionH relativeFrom="page">
                <wp:posOffset>666750</wp:posOffset>
              </wp:positionH>
              <wp:positionV relativeFrom="page">
                <wp:posOffset>832103</wp:posOffset>
              </wp:positionV>
              <wp:extent cx="8496300" cy="28575"/>
              <wp:effectExtent l="0" t="0" r="0" b="0"/>
              <wp:wrapNone/>
              <wp:docPr id="591" name="Graphic 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BF3521" id="Graphic 591" o:spid="_x0000_s1026" style="position:absolute;margin-left:52.5pt;margin-top:65.5pt;width:669pt;height:2.25pt;z-index:-27095040;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" path="m8496300,l,,,28194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21952" behindDoc="1" locked="0" layoutInCell="1" allowOverlap="1" wp14:anchorId="0DFDDAF0" wp14:editId="0DFDDAF1">
              <wp:simplePos x="0" y="0"/>
              <wp:positionH relativeFrom="page">
                <wp:posOffset>673100</wp:posOffset>
              </wp:positionH>
              <wp:positionV relativeFrom="page">
                <wp:posOffset>490475</wp:posOffset>
              </wp:positionV>
              <wp:extent cx="4910455" cy="342265"/>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0455" cy="342265"/>
                      </a:xfrm>
                      <a:prstGeom prst="rect">
                        <a:avLst/>
                      </a:prstGeom>
                    </wps:spPr>
                    <wps:txbx>
                      <w:txbxContent>
                        <w:p w14:paraId="0DFDDEB7" w14:textId="77777777" w:rsidR="00046465" w:rsidRDefault="008134EB">
                          <w:pPr>
                            <w:pStyle w:val="BodyText"/>
                            <w:spacing w:before="12"/>
                            <w:ind w:left="20"/>
                          </w:pPr>
                          <w:r>
                            <w:rPr>
                              <w:spacing w:val="-2"/>
                            </w:rPr>
                            <w:t>Compliance</w:t>
                          </w:r>
                        </w:p>
                        <w:p w14:paraId="0DFDDEB8" w14:textId="77777777" w:rsidR="00046465" w:rsidRDefault="008134EB">
                          <w:pPr>
                            <w:pStyle w:val="BodyText"/>
                            <w:ind w:left="20"/>
                          </w:pPr>
                          <w:r>
                            <w:t>805</w:t>
                          </w:r>
                          <w:r>
                            <w:rPr>
                              <w:spacing w:val="-7"/>
                            </w:rPr>
                            <w:t xml:space="preserve"> </w:t>
                          </w:r>
                          <w:r>
                            <w:t>–</w:t>
                          </w:r>
                          <w:r>
                            <w:rPr>
                              <w:spacing w:val="-6"/>
                            </w:rPr>
                            <w:t xml:space="preserve"> </w:t>
                          </w:r>
                          <w:r>
                            <w:t>Federal</w:t>
                          </w:r>
                          <w:r>
                            <w:rPr>
                              <w:spacing w:val="-6"/>
                            </w:rPr>
                            <w:t xml:space="preserve"> </w:t>
                          </w:r>
                          <w:r>
                            <w:t>Debt</w:t>
                          </w:r>
                          <w:r>
                            <w:rPr>
                              <w:spacing w:val="-7"/>
                            </w:rPr>
                            <w:t xml:space="preserve"> </w:t>
                          </w:r>
                          <w:r>
                            <w:t>Collection</w:t>
                          </w:r>
                          <w:r>
                            <w:rPr>
                              <w:spacing w:val="-6"/>
                            </w:rPr>
                            <w:t xml:space="preserve"> </w:t>
                          </w:r>
                          <w:r>
                            <w:t>Authorities,</w:t>
                          </w:r>
                          <w:r>
                            <w:rPr>
                              <w:spacing w:val="-6"/>
                            </w:rPr>
                            <w:t xml:space="preserve"> </w:t>
                          </w:r>
                          <w:r>
                            <w:t>as</w:t>
                          </w:r>
                          <w:r>
                            <w:rPr>
                              <w:spacing w:val="-7"/>
                            </w:rPr>
                            <w:t xml:space="preserve"> </w:t>
                          </w:r>
                          <w:r>
                            <w:t>Provided</w:t>
                          </w:r>
                          <w:r>
                            <w:rPr>
                              <w:spacing w:val="-7"/>
                            </w:rPr>
                            <w:t xml:space="preserve"> </w:t>
                          </w:r>
                          <w:r>
                            <w:t>in</w:t>
                          </w:r>
                          <w:r>
                            <w:rPr>
                              <w:spacing w:val="-6"/>
                            </w:rPr>
                            <w:t xml:space="preserve"> </w:t>
                          </w:r>
                          <w:r>
                            <w:t>31</w:t>
                          </w:r>
                          <w:r>
                            <w:rPr>
                              <w:spacing w:val="-7"/>
                            </w:rPr>
                            <w:t xml:space="preserve"> </w:t>
                          </w:r>
                          <w:r>
                            <w:t>U.S.C.</w:t>
                          </w:r>
                          <w:r>
                            <w:rPr>
                              <w:spacing w:val="-6"/>
                            </w:rPr>
                            <w:t xml:space="preserve"> </w:t>
                          </w:r>
                          <w:r>
                            <w:t>Chapter</w:t>
                          </w:r>
                          <w:r>
                            <w:rPr>
                              <w:spacing w:val="-7"/>
                            </w:rPr>
                            <w:t xml:space="preserve"> </w:t>
                          </w:r>
                          <w:r>
                            <w:rPr>
                              <w:spacing w:val="-5"/>
                            </w:rPr>
                            <w:t>37</w:t>
                          </w:r>
                        </w:p>
                      </w:txbxContent>
                    </wps:txbx>
                    <wps:bodyPr wrap="square" lIns="0" tIns="0" rIns="0" bIns="0" rtlCol="0">
                      <a:noAutofit/>
                    </wps:bodyPr>
                  </wps:wsp>
                </a:graphicData>
              </a:graphic>
            </wp:anchor>
          </w:drawing>
        </mc:Choice>
        <mc:Fallback>
          <w:pict>
            <v:shapetype w14:anchorId="0DFDDAF0" id="_x0000_t202" coordsize="21600,21600" o:spt="202" path="m,l,21600r21600,l21600,xe">
              <v:stroke joinstyle="miter"/>
              <v:path gradientshapeok="t" o:connecttype="rect"/>
            </v:shapetype>
            <v:shape id="Textbox 592" o:spid="_x0000_s1236" type="#_x0000_t202" style="position:absolute;margin-left:53pt;margin-top:38.6pt;width:386.65pt;height:26.95pt;z-index:-270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" filled="f" stroked="f">
              <v:textbox inset="0,0,0,0">
                <w:txbxContent>
                  <w:p w14:paraId="0DFDDEB7" w14:textId="77777777" w:rsidR="00046465" w:rsidRDefault="008134EB">
                    <w:pPr>
                      <w:pStyle w:val="BodyText"/>
                      <w:spacing w:before="12"/>
                      <w:ind w:left="20"/>
                    </w:pPr>
                    <w:r>
                      <w:rPr>
                        <w:spacing w:val="-2"/>
                      </w:rPr>
                      <w:t>Compliance</w:t>
                    </w:r>
                  </w:p>
                  <w:p w14:paraId="0DFDDEB8" w14:textId="77777777" w:rsidR="00046465" w:rsidRDefault="008134EB">
                    <w:pPr>
                      <w:pStyle w:val="BodyText"/>
                      <w:ind w:left="20"/>
                    </w:pPr>
                    <w:r>
                      <w:t>805</w:t>
                    </w:r>
                    <w:r>
                      <w:rPr>
                        <w:spacing w:val="-7"/>
                      </w:rPr>
                      <w:t xml:space="preserve"> </w:t>
                    </w:r>
                    <w:r>
                      <w:t>–</w:t>
                    </w:r>
                    <w:r>
                      <w:rPr>
                        <w:spacing w:val="-6"/>
                      </w:rPr>
                      <w:t xml:space="preserve"> </w:t>
                    </w:r>
                    <w:r>
                      <w:t>Federal</w:t>
                    </w:r>
                    <w:r>
                      <w:rPr>
                        <w:spacing w:val="-6"/>
                      </w:rPr>
                      <w:t xml:space="preserve"> </w:t>
                    </w:r>
                    <w:r>
                      <w:t>Debt</w:t>
                    </w:r>
                    <w:r>
                      <w:rPr>
                        <w:spacing w:val="-7"/>
                      </w:rPr>
                      <w:t xml:space="preserve"> </w:t>
                    </w:r>
                    <w:r>
                      <w:t>Collection</w:t>
                    </w:r>
                    <w:r>
                      <w:rPr>
                        <w:spacing w:val="-6"/>
                      </w:rPr>
                      <w:t xml:space="preserve"> </w:t>
                    </w:r>
                    <w:r>
                      <w:t>Authorities,</w:t>
                    </w:r>
                    <w:r>
                      <w:rPr>
                        <w:spacing w:val="-6"/>
                      </w:rPr>
                      <w:t xml:space="preserve"> </w:t>
                    </w:r>
                    <w:r>
                      <w:t>as</w:t>
                    </w:r>
                    <w:r>
                      <w:rPr>
                        <w:spacing w:val="-7"/>
                      </w:rPr>
                      <w:t xml:space="preserve"> </w:t>
                    </w:r>
                    <w:r>
                      <w:t>Provided</w:t>
                    </w:r>
                    <w:r>
                      <w:rPr>
                        <w:spacing w:val="-7"/>
                      </w:rPr>
                      <w:t xml:space="preserve"> </w:t>
                    </w:r>
                    <w:r>
                      <w:t>in</w:t>
                    </w:r>
                    <w:r>
                      <w:rPr>
                        <w:spacing w:val="-6"/>
                      </w:rPr>
                      <w:t xml:space="preserve"> </w:t>
                    </w:r>
                    <w:r>
                      <w:t>31</w:t>
                    </w:r>
                    <w:r>
                      <w:rPr>
                        <w:spacing w:val="-7"/>
                      </w:rPr>
                      <w:t xml:space="preserve"> </w:t>
                    </w:r>
                    <w:r>
                      <w:t>U.S.C.</w:t>
                    </w:r>
                    <w:r>
                      <w:rPr>
                        <w:spacing w:val="-6"/>
                      </w:rPr>
                      <w:t xml:space="preserve"> </w:t>
                    </w:r>
                    <w:r>
                      <w:t>Chapter</w:t>
                    </w:r>
                    <w:r>
                      <w:rPr>
                        <w:spacing w:val="-7"/>
                      </w:rPr>
                      <w:t xml:space="preserve"> </w:t>
                    </w:r>
                    <w:r>
                      <w:rPr>
                        <w:spacing w:val="-5"/>
                      </w:rPr>
                      <w:t>37</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8"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24512" behindDoc="1" locked="0" layoutInCell="1" allowOverlap="1" wp14:anchorId="0DFDDAFA" wp14:editId="0DFDDAFB">
              <wp:simplePos x="0" y="0"/>
              <wp:positionH relativeFrom="page">
                <wp:posOffset>895350</wp:posOffset>
              </wp:positionH>
              <wp:positionV relativeFrom="page">
                <wp:posOffset>549401</wp:posOffset>
              </wp:positionV>
              <wp:extent cx="5981700" cy="28575"/>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88F85D" id="Graphic 644" o:spid="_x0000_s1026" style="position:absolute;margin-left:70.5pt;margin-top:43.25pt;width:471pt;height:2.25pt;z-index:-2709196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25024" behindDoc="1" locked="0" layoutInCell="1" allowOverlap="1" wp14:anchorId="0DFDDAFC" wp14:editId="0DFDDAFD">
              <wp:simplePos x="0" y="0"/>
              <wp:positionH relativeFrom="page">
                <wp:posOffset>895350</wp:posOffset>
              </wp:positionH>
              <wp:positionV relativeFrom="page">
                <wp:posOffset>923544</wp:posOffset>
              </wp:positionV>
              <wp:extent cx="5981700" cy="28575"/>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47E699" id="Graphic 645" o:spid="_x0000_s1026" style="position:absolute;margin-left:70.5pt;margin-top:72.7pt;width:471pt;height:2.25pt;z-index:-270914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25536" behindDoc="1" locked="0" layoutInCell="1" allowOverlap="1" wp14:anchorId="0DFDDAFE" wp14:editId="0DFDDAFF">
              <wp:simplePos x="0" y="0"/>
              <wp:positionH relativeFrom="page">
                <wp:posOffset>901700</wp:posOffset>
              </wp:positionH>
              <wp:positionV relativeFrom="page">
                <wp:posOffset>581915</wp:posOffset>
              </wp:positionV>
              <wp:extent cx="4910455" cy="342265"/>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0455" cy="342265"/>
                      </a:xfrm>
                      <a:prstGeom prst="rect">
                        <a:avLst/>
                      </a:prstGeom>
                    </wps:spPr>
                    <wps:txbx>
                      <w:txbxContent>
                        <w:p w14:paraId="0DFDDEBC" w14:textId="77777777" w:rsidR="00046465" w:rsidRDefault="008134EB">
                          <w:pPr>
                            <w:pStyle w:val="BodyText"/>
                            <w:spacing w:before="12"/>
                            <w:ind w:left="20"/>
                          </w:pPr>
                          <w:r>
                            <w:rPr>
                              <w:spacing w:val="-2"/>
                            </w:rPr>
                            <w:t>Compliance</w:t>
                          </w:r>
                        </w:p>
                        <w:p w14:paraId="0DFDDEBD" w14:textId="77777777" w:rsidR="00046465" w:rsidRDefault="008134EB">
                          <w:pPr>
                            <w:pStyle w:val="BodyText"/>
                            <w:ind w:left="20"/>
                          </w:pPr>
                          <w:r>
                            <w:t>805</w:t>
                          </w:r>
                          <w:r>
                            <w:rPr>
                              <w:spacing w:val="-7"/>
                            </w:rPr>
                            <w:t xml:space="preserve"> </w:t>
                          </w:r>
                          <w:r>
                            <w:t>–</w:t>
                          </w:r>
                          <w:r>
                            <w:rPr>
                              <w:spacing w:val="-6"/>
                            </w:rPr>
                            <w:t xml:space="preserve"> </w:t>
                          </w:r>
                          <w:r>
                            <w:t>Federal</w:t>
                          </w:r>
                          <w:r>
                            <w:rPr>
                              <w:spacing w:val="-6"/>
                            </w:rPr>
                            <w:t xml:space="preserve"> </w:t>
                          </w:r>
                          <w:r>
                            <w:t>Debt</w:t>
                          </w:r>
                          <w:r>
                            <w:rPr>
                              <w:spacing w:val="-7"/>
                            </w:rPr>
                            <w:t xml:space="preserve"> </w:t>
                          </w:r>
                          <w:r>
                            <w:t>Collection</w:t>
                          </w:r>
                          <w:r>
                            <w:rPr>
                              <w:spacing w:val="-6"/>
                            </w:rPr>
                            <w:t xml:space="preserve"> </w:t>
                          </w:r>
                          <w:r>
                            <w:t>Authorities,</w:t>
                          </w:r>
                          <w:r>
                            <w:rPr>
                              <w:spacing w:val="-6"/>
                            </w:rPr>
                            <w:t xml:space="preserve"> </w:t>
                          </w:r>
                          <w:r>
                            <w:t>as</w:t>
                          </w:r>
                          <w:r>
                            <w:rPr>
                              <w:spacing w:val="-7"/>
                            </w:rPr>
                            <w:t xml:space="preserve"> </w:t>
                          </w:r>
                          <w:r>
                            <w:t>Provided</w:t>
                          </w:r>
                          <w:r>
                            <w:rPr>
                              <w:spacing w:val="-7"/>
                            </w:rPr>
                            <w:t xml:space="preserve"> </w:t>
                          </w:r>
                          <w:r>
                            <w:t>in</w:t>
                          </w:r>
                          <w:r>
                            <w:rPr>
                              <w:spacing w:val="-6"/>
                            </w:rPr>
                            <w:t xml:space="preserve"> </w:t>
                          </w:r>
                          <w:r>
                            <w:t>31</w:t>
                          </w:r>
                          <w:r>
                            <w:rPr>
                              <w:spacing w:val="-7"/>
                            </w:rPr>
                            <w:t xml:space="preserve"> </w:t>
                          </w:r>
                          <w:r>
                            <w:t>U.S.C.</w:t>
                          </w:r>
                          <w:r>
                            <w:rPr>
                              <w:spacing w:val="-6"/>
                            </w:rPr>
                            <w:t xml:space="preserve"> </w:t>
                          </w:r>
                          <w:r>
                            <w:t>Chapter</w:t>
                          </w:r>
                          <w:r>
                            <w:rPr>
                              <w:spacing w:val="-7"/>
                            </w:rPr>
                            <w:t xml:space="preserve"> </w:t>
                          </w:r>
                          <w:r>
                            <w:rPr>
                              <w:spacing w:val="-5"/>
                            </w:rPr>
                            <w:t>37</w:t>
                          </w:r>
                        </w:p>
                      </w:txbxContent>
                    </wps:txbx>
                    <wps:bodyPr wrap="square" lIns="0" tIns="0" rIns="0" bIns="0" rtlCol="0">
                      <a:noAutofit/>
                    </wps:bodyPr>
                  </wps:wsp>
                </a:graphicData>
              </a:graphic>
            </wp:anchor>
          </w:drawing>
        </mc:Choice>
        <mc:Fallback>
          <w:pict>
            <v:shapetype w14:anchorId="0DFDDAFE" id="_x0000_t202" coordsize="21600,21600" o:spt="202" path="m,l,21600r21600,l21600,xe">
              <v:stroke joinstyle="miter"/>
              <v:path gradientshapeok="t" o:connecttype="rect"/>
            </v:shapetype>
            <v:shape id="Textbox 646" o:spid="_x0000_s1240" type="#_x0000_t202" style="position:absolute;margin-left:71pt;margin-top:45.8pt;width:386.65pt;height:26.95pt;z-index:-2709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" filled="f" stroked="f">
              <v:textbox inset="0,0,0,0">
                <w:txbxContent>
                  <w:p w14:paraId="0DFDDEBC" w14:textId="77777777" w:rsidR="00046465" w:rsidRDefault="008134EB">
                    <w:pPr>
                      <w:pStyle w:val="BodyText"/>
                      <w:spacing w:before="12"/>
                      <w:ind w:left="20"/>
                    </w:pPr>
                    <w:r>
                      <w:rPr>
                        <w:spacing w:val="-2"/>
                      </w:rPr>
                      <w:t>Compliance</w:t>
                    </w:r>
                  </w:p>
                  <w:p w14:paraId="0DFDDEBD" w14:textId="77777777" w:rsidR="00046465" w:rsidRDefault="008134EB">
                    <w:pPr>
                      <w:pStyle w:val="BodyText"/>
                      <w:ind w:left="20"/>
                    </w:pPr>
                    <w:r>
                      <w:t>805</w:t>
                    </w:r>
                    <w:r>
                      <w:rPr>
                        <w:spacing w:val="-7"/>
                      </w:rPr>
                      <w:t xml:space="preserve"> </w:t>
                    </w:r>
                    <w:r>
                      <w:t>–</w:t>
                    </w:r>
                    <w:r>
                      <w:rPr>
                        <w:spacing w:val="-6"/>
                      </w:rPr>
                      <w:t xml:space="preserve"> </w:t>
                    </w:r>
                    <w:r>
                      <w:t>Federal</w:t>
                    </w:r>
                    <w:r>
                      <w:rPr>
                        <w:spacing w:val="-6"/>
                      </w:rPr>
                      <w:t xml:space="preserve"> </w:t>
                    </w:r>
                    <w:r>
                      <w:t>Debt</w:t>
                    </w:r>
                    <w:r>
                      <w:rPr>
                        <w:spacing w:val="-7"/>
                      </w:rPr>
                      <w:t xml:space="preserve"> </w:t>
                    </w:r>
                    <w:r>
                      <w:t>Collection</w:t>
                    </w:r>
                    <w:r>
                      <w:rPr>
                        <w:spacing w:val="-6"/>
                      </w:rPr>
                      <w:t xml:space="preserve"> </w:t>
                    </w:r>
                    <w:r>
                      <w:t>Authorities,</w:t>
                    </w:r>
                    <w:r>
                      <w:rPr>
                        <w:spacing w:val="-6"/>
                      </w:rPr>
                      <w:t xml:space="preserve"> </w:t>
                    </w:r>
                    <w:r>
                      <w:t>as</w:t>
                    </w:r>
                    <w:r>
                      <w:rPr>
                        <w:spacing w:val="-7"/>
                      </w:rPr>
                      <w:t xml:space="preserve"> </w:t>
                    </w:r>
                    <w:r>
                      <w:t>Provided</w:t>
                    </w:r>
                    <w:r>
                      <w:rPr>
                        <w:spacing w:val="-7"/>
                      </w:rPr>
                      <w:t xml:space="preserve"> </w:t>
                    </w:r>
                    <w:r>
                      <w:t>in</w:t>
                    </w:r>
                    <w:r>
                      <w:rPr>
                        <w:spacing w:val="-6"/>
                      </w:rPr>
                      <w:t xml:space="preserve"> </w:t>
                    </w:r>
                    <w:r>
                      <w:t>31</w:t>
                    </w:r>
                    <w:r>
                      <w:rPr>
                        <w:spacing w:val="-7"/>
                      </w:rPr>
                      <w:t xml:space="preserve"> </w:t>
                    </w:r>
                    <w:r>
                      <w:t>U.S.C.</w:t>
                    </w:r>
                    <w:r>
                      <w:rPr>
                        <w:spacing w:val="-6"/>
                      </w:rPr>
                      <w:t xml:space="preserve"> </w:t>
                    </w:r>
                    <w:r>
                      <w:t>Chapter</w:t>
                    </w:r>
                    <w:r>
                      <w:rPr>
                        <w:spacing w:val="-7"/>
                      </w:rPr>
                      <w:t xml:space="preserve"> </w:t>
                    </w:r>
                    <w:r>
                      <w:rPr>
                        <w:spacing w:val="-5"/>
                      </w:rPr>
                      <w:t>37</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A"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28096" behindDoc="1" locked="0" layoutInCell="1" allowOverlap="1" wp14:anchorId="0DFDDB08" wp14:editId="0DFDDB09">
              <wp:simplePos x="0" y="0"/>
              <wp:positionH relativeFrom="page">
                <wp:posOffset>666750</wp:posOffset>
              </wp:positionH>
              <wp:positionV relativeFrom="page">
                <wp:posOffset>457962</wp:posOffset>
              </wp:positionV>
              <wp:extent cx="8496300" cy="28575"/>
              <wp:effectExtent l="0" t="0" r="0" b="0"/>
              <wp:wrapNone/>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70D4F4" id="Graphic 652" o:spid="_x0000_s1026" style="position:absolute;margin-left:52.5pt;margin-top:36.05pt;width:669pt;height:2.25pt;z-index:-27088384;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" path="m8496300,l,,,28194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28608" behindDoc="1" locked="0" layoutInCell="1" allowOverlap="1" wp14:anchorId="0DFDDB0A" wp14:editId="0DFDDB0B">
              <wp:simplePos x="0" y="0"/>
              <wp:positionH relativeFrom="page">
                <wp:posOffset>666750</wp:posOffset>
              </wp:positionH>
              <wp:positionV relativeFrom="page">
                <wp:posOffset>832103</wp:posOffset>
              </wp:positionV>
              <wp:extent cx="8496300" cy="28575"/>
              <wp:effectExtent l="0" t="0" r="0" b="0"/>
              <wp:wrapNone/>
              <wp:docPr id="653" name="Graphic 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D86CA8" id="Graphic 653" o:spid="_x0000_s1026" style="position:absolute;margin-left:52.5pt;margin-top:65.5pt;width:669pt;height:2.25pt;z-index:-27087872;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" path="m8496300,l,,,28194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29120" behindDoc="1" locked="0" layoutInCell="1" allowOverlap="1" wp14:anchorId="0DFDDB0C" wp14:editId="0DFDDB0D">
              <wp:simplePos x="0" y="0"/>
              <wp:positionH relativeFrom="page">
                <wp:posOffset>673100</wp:posOffset>
              </wp:positionH>
              <wp:positionV relativeFrom="page">
                <wp:posOffset>490475</wp:posOffset>
              </wp:positionV>
              <wp:extent cx="4445000" cy="342265"/>
              <wp:effectExtent l="0" t="0" r="0" b="0"/>
              <wp:wrapNone/>
              <wp:docPr id="654" name="Text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342265"/>
                      </a:xfrm>
                      <a:prstGeom prst="rect">
                        <a:avLst/>
                      </a:prstGeom>
                    </wps:spPr>
                    <wps:txbx>
                      <w:txbxContent>
                        <w:p w14:paraId="0DFDDEC1" w14:textId="77777777" w:rsidR="00046465" w:rsidRDefault="008134EB">
                          <w:pPr>
                            <w:pStyle w:val="BodyText"/>
                            <w:spacing w:before="12"/>
                            <w:ind w:left="20"/>
                          </w:pPr>
                          <w:r>
                            <w:rPr>
                              <w:spacing w:val="-2"/>
                            </w:rPr>
                            <w:t>Compliance</w:t>
                          </w:r>
                        </w:p>
                        <w:p w14:paraId="0DFDDEC2" w14:textId="77777777" w:rsidR="00046465" w:rsidRDefault="008134EB">
                          <w:pPr>
                            <w:pStyle w:val="BodyText"/>
                            <w:ind w:left="20"/>
                          </w:pPr>
                          <w:r>
                            <w:t>806</w:t>
                          </w:r>
                          <w:r>
                            <w:rPr>
                              <w:spacing w:val="-6"/>
                            </w:rPr>
                            <w:t xml:space="preserve"> </w:t>
                          </w:r>
                          <w:r>
                            <w:t>–</w:t>
                          </w:r>
                          <w:r>
                            <w:rPr>
                              <w:spacing w:val="-6"/>
                            </w:rPr>
                            <w:t xml:space="preserve"> </w:t>
                          </w:r>
                          <w:r>
                            <w:t>Prompt</w:t>
                          </w:r>
                          <w:r>
                            <w:rPr>
                              <w:spacing w:val="-5"/>
                            </w:rPr>
                            <w:t xml:space="preserve"> </w:t>
                          </w:r>
                          <w:r>
                            <w:t>Payment</w:t>
                          </w:r>
                          <w:r>
                            <w:rPr>
                              <w:spacing w:val="-6"/>
                            </w:rPr>
                            <w:t xml:space="preserve"> </w:t>
                          </w:r>
                          <w:r>
                            <w:t>Act</w:t>
                          </w:r>
                          <w:r>
                            <w:rPr>
                              <w:spacing w:val="-6"/>
                            </w:rPr>
                            <w:t xml:space="preserve"> </w:t>
                          </w:r>
                          <w:r>
                            <w:t>(PPA),</w:t>
                          </w:r>
                          <w:r>
                            <w:rPr>
                              <w:spacing w:val="-5"/>
                            </w:rPr>
                            <w:t xml:space="preserve"> </w:t>
                          </w:r>
                          <w:r>
                            <w:t>as</w:t>
                          </w:r>
                          <w:r>
                            <w:rPr>
                              <w:spacing w:val="-6"/>
                            </w:rPr>
                            <w:t xml:space="preserve"> </w:t>
                          </w:r>
                          <w:r>
                            <w:t>Provided</w:t>
                          </w:r>
                          <w:r>
                            <w:rPr>
                              <w:spacing w:val="-6"/>
                            </w:rPr>
                            <w:t xml:space="preserve"> </w:t>
                          </w:r>
                          <w:r>
                            <w:t>in</w:t>
                          </w:r>
                          <w:r>
                            <w:rPr>
                              <w:spacing w:val="-5"/>
                            </w:rPr>
                            <w:t xml:space="preserve"> </w:t>
                          </w:r>
                          <w:r>
                            <w:t>31</w:t>
                          </w:r>
                          <w:r>
                            <w:rPr>
                              <w:spacing w:val="-6"/>
                            </w:rPr>
                            <w:t xml:space="preserve"> </w:t>
                          </w:r>
                          <w:r>
                            <w:t>U.S.C.</w:t>
                          </w:r>
                          <w:r>
                            <w:rPr>
                              <w:spacing w:val="-5"/>
                            </w:rPr>
                            <w:t xml:space="preserve"> </w:t>
                          </w:r>
                          <w:r>
                            <w:t>Chapter</w:t>
                          </w:r>
                          <w:r>
                            <w:rPr>
                              <w:spacing w:val="-5"/>
                            </w:rPr>
                            <w:t xml:space="preserve"> 39</w:t>
                          </w:r>
                        </w:p>
                      </w:txbxContent>
                    </wps:txbx>
                    <wps:bodyPr wrap="square" lIns="0" tIns="0" rIns="0" bIns="0" rtlCol="0">
                      <a:noAutofit/>
                    </wps:bodyPr>
                  </wps:wsp>
                </a:graphicData>
              </a:graphic>
            </wp:anchor>
          </w:drawing>
        </mc:Choice>
        <mc:Fallback>
          <w:pict>
            <v:shapetype w14:anchorId="0DFDDB0C" id="_x0000_t202" coordsize="21600,21600" o:spt="202" path="m,l,21600r21600,l21600,xe">
              <v:stroke joinstyle="miter"/>
              <v:path gradientshapeok="t" o:connecttype="rect"/>
            </v:shapetype>
            <v:shape id="Textbox 654" o:spid="_x0000_s1244" type="#_x0000_t202" style="position:absolute;margin-left:53pt;margin-top:38.6pt;width:350pt;height:26.95pt;z-index:-2708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" filled="f" stroked="f">
              <v:textbox inset="0,0,0,0">
                <w:txbxContent>
                  <w:p w14:paraId="0DFDDEC1" w14:textId="77777777" w:rsidR="00046465" w:rsidRDefault="008134EB">
                    <w:pPr>
                      <w:pStyle w:val="BodyText"/>
                      <w:spacing w:before="12"/>
                      <w:ind w:left="20"/>
                    </w:pPr>
                    <w:r>
                      <w:rPr>
                        <w:spacing w:val="-2"/>
                      </w:rPr>
                      <w:t>Compliance</w:t>
                    </w:r>
                  </w:p>
                  <w:p w14:paraId="0DFDDEC2" w14:textId="77777777" w:rsidR="00046465" w:rsidRDefault="008134EB">
                    <w:pPr>
                      <w:pStyle w:val="BodyText"/>
                      <w:ind w:left="20"/>
                    </w:pPr>
                    <w:r>
                      <w:t>806</w:t>
                    </w:r>
                    <w:r>
                      <w:rPr>
                        <w:spacing w:val="-6"/>
                      </w:rPr>
                      <w:t xml:space="preserve"> </w:t>
                    </w:r>
                    <w:r>
                      <w:t>–</w:t>
                    </w:r>
                    <w:r>
                      <w:rPr>
                        <w:spacing w:val="-6"/>
                      </w:rPr>
                      <w:t xml:space="preserve"> </w:t>
                    </w:r>
                    <w:r>
                      <w:t>Prompt</w:t>
                    </w:r>
                    <w:r>
                      <w:rPr>
                        <w:spacing w:val="-5"/>
                      </w:rPr>
                      <w:t xml:space="preserve"> </w:t>
                    </w:r>
                    <w:r>
                      <w:t>Payment</w:t>
                    </w:r>
                    <w:r>
                      <w:rPr>
                        <w:spacing w:val="-6"/>
                      </w:rPr>
                      <w:t xml:space="preserve"> </w:t>
                    </w:r>
                    <w:r>
                      <w:t>Act</w:t>
                    </w:r>
                    <w:r>
                      <w:rPr>
                        <w:spacing w:val="-6"/>
                      </w:rPr>
                      <w:t xml:space="preserve"> </w:t>
                    </w:r>
                    <w:r>
                      <w:t>(PPA),</w:t>
                    </w:r>
                    <w:r>
                      <w:rPr>
                        <w:spacing w:val="-5"/>
                      </w:rPr>
                      <w:t xml:space="preserve"> </w:t>
                    </w:r>
                    <w:r>
                      <w:t>as</w:t>
                    </w:r>
                    <w:r>
                      <w:rPr>
                        <w:spacing w:val="-6"/>
                      </w:rPr>
                      <w:t xml:space="preserve"> </w:t>
                    </w:r>
                    <w:r>
                      <w:t>Provided</w:t>
                    </w:r>
                    <w:r>
                      <w:rPr>
                        <w:spacing w:val="-6"/>
                      </w:rPr>
                      <w:t xml:space="preserve"> </w:t>
                    </w:r>
                    <w:r>
                      <w:t>in</w:t>
                    </w:r>
                    <w:r>
                      <w:rPr>
                        <w:spacing w:val="-5"/>
                      </w:rPr>
                      <w:t xml:space="preserve"> </w:t>
                    </w:r>
                    <w:r>
                      <w:t>31</w:t>
                    </w:r>
                    <w:r>
                      <w:rPr>
                        <w:spacing w:val="-6"/>
                      </w:rPr>
                      <w:t xml:space="preserve"> </w:t>
                    </w:r>
                    <w:r>
                      <w:t>U.S.C.</w:t>
                    </w:r>
                    <w:r>
                      <w:rPr>
                        <w:spacing w:val="-5"/>
                      </w:rPr>
                      <w:t xml:space="preserve"> </w:t>
                    </w:r>
                    <w:r>
                      <w:t>Chapter</w:t>
                    </w:r>
                    <w:r>
                      <w:rPr>
                        <w:spacing w:val="-5"/>
                      </w:rPr>
                      <w:t xml:space="preserve"> 39</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C"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31680" behindDoc="1" locked="0" layoutInCell="1" allowOverlap="1" wp14:anchorId="0DFDDB16" wp14:editId="0DFDDB17">
              <wp:simplePos x="0" y="0"/>
              <wp:positionH relativeFrom="page">
                <wp:posOffset>895350</wp:posOffset>
              </wp:positionH>
              <wp:positionV relativeFrom="page">
                <wp:posOffset>457962</wp:posOffset>
              </wp:positionV>
              <wp:extent cx="5981700" cy="28575"/>
              <wp:effectExtent l="0" t="0" r="0" b="0"/>
              <wp:wrapNone/>
              <wp:docPr id="686" name="Graphic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4C8A46" id="Graphic 686" o:spid="_x0000_s1026" style="position:absolute;margin-left:70.5pt;margin-top:36.05pt;width:471pt;height:2.25pt;z-index:-2708480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32192" behindDoc="1" locked="0" layoutInCell="1" allowOverlap="1" wp14:anchorId="0DFDDB18" wp14:editId="0DFDDB19">
              <wp:simplePos x="0" y="0"/>
              <wp:positionH relativeFrom="page">
                <wp:posOffset>895350</wp:posOffset>
              </wp:positionH>
              <wp:positionV relativeFrom="page">
                <wp:posOffset>832103</wp:posOffset>
              </wp:positionV>
              <wp:extent cx="5981700" cy="28575"/>
              <wp:effectExtent l="0" t="0" r="0" b="0"/>
              <wp:wrapNone/>
              <wp:docPr id="687" name="Graphic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D51F84" id="Graphic 687" o:spid="_x0000_s1026" style="position:absolute;margin-left:70.5pt;margin-top:65.5pt;width:471pt;height:2.25pt;z-index:-2708428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32704" behindDoc="1" locked="0" layoutInCell="1" allowOverlap="1" wp14:anchorId="0DFDDB1A" wp14:editId="0DFDDB1B">
              <wp:simplePos x="0" y="0"/>
              <wp:positionH relativeFrom="page">
                <wp:posOffset>901700</wp:posOffset>
              </wp:positionH>
              <wp:positionV relativeFrom="page">
                <wp:posOffset>490475</wp:posOffset>
              </wp:positionV>
              <wp:extent cx="4445000" cy="342265"/>
              <wp:effectExtent l="0" t="0" r="0" b="0"/>
              <wp:wrapNone/>
              <wp:docPr id="688" name="Text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5000" cy="342265"/>
                      </a:xfrm>
                      <a:prstGeom prst="rect">
                        <a:avLst/>
                      </a:prstGeom>
                    </wps:spPr>
                    <wps:txbx>
                      <w:txbxContent>
                        <w:p w14:paraId="0DFDDEC6" w14:textId="77777777" w:rsidR="00046465" w:rsidRDefault="008134EB">
                          <w:pPr>
                            <w:pStyle w:val="BodyText"/>
                            <w:spacing w:before="12"/>
                            <w:ind w:left="20"/>
                          </w:pPr>
                          <w:r>
                            <w:rPr>
                              <w:spacing w:val="-2"/>
                            </w:rPr>
                            <w:t>Compliance</w:t>
                          </w:r>
                        </w:p>
                        <w:p w14:paraId="0DFDDEC7" w14:textId="77777777" w:rsidR="00046465" w:rsidRDefault="008134EB">
                          <w:pPr>
                            <w:pStyle w:val="BodyText"/>
                            <w:ind w:left="20"/>
                          </w:pPr>
                          <w:r>
                            <w:t>806</w:t>
                          </w:r>
                          <w:r>
                            <w:rPr>
                              <w:spacing w:val="-6"/>
                            </w:rPr>
                            <w:t xml:space="preserve"> </w:t>
                          </w:r>
                          <w:r>
                            <w:t>–</w:t>
                          </w:r>
                          <w:r>
                            <w:rPr>
                              <w:spacing w:val="-6"/>
                            </w:rPr>
                            <w:t xml:space="preserve"> </w:t>
                          </w:r>
                          <w:r>
                            <w:t>Prompt</w:t>
                          </w:r>
                          <w:r>
                            <w:rPr>
                              <w:spacing w:val="-5"/>
                            </w:rPr>
                            <w:t xml:space="preserve"> </w:t>
                          </w:r>
                          <w:r>
                            <w:t>Payment</w:t>
                          </w:r>
                          <w:r>
                            <w:rPr>
                              <w:spacing w:val="-6"/>
                            </w:rPr>
                            <w:t xml:space="preserve"> </w:t>
                          </w:r>
                          <w:r>
                            <w:t>Act</w:t>
                          </w:r>
                          <w:r>
                            <w:rPr>
                              <w:spacing w:val="-6"/>
                            </w:rPr>
                            <w:t xml:space="preserve"> </w:t>
                          </w:r>
                          <w:r>
                            <w:t>(PPA),</w:t>
                          </w:r>
                          <w:r>
                            <w:rPr>
                              <w:spacing w:val="-5"/>
                            </w:rPr>
                            <w:t xml:space="preserve"> </w:t>
                          </w:r>
                          <w:r>
                            <w:t>as</w:t>
                          </w:r>
                          <w:r>
                            <w:rPr>
                              <w:spacing w:val="-6"/>
                            </w:rPr>
                            <w:t xml:space="preserve"> </w:t>
                          </w:r>
                          <w:r>
                            <w:t>Provided</w:t>
                          </w:r>
                          <w:r>
                            <w:rPr>
                              <w:spacing w:val="-6"/>
                            </w:rPr>
                            <w:t xml:space="preserve"> </w:t>
                          </w:r>
                          <w:r>
                            <w:t>in</w:t>
                          </w:r>
                          <w:r>
                            <w:rPr>
                              <w:spacing w:val="-5"/>
                            </w:rPr>
                            <w:t xml:space="preserve"> </w:t>
                          </w:r>
                          <w:r>
                            <w:t>31</w:t>
                          </w:r>
                          <w:r>
                            <w:rPr>
                              <w:spacing w:val="-6"/>
                            </w:rPr>
                            <w:t xml:space="preserve"> </w:t>
                          </w:r>
                          <w:r>
                            <w:t>U.S.C.</w:t>
                          </w:r>
                          <w:r>
                            <w:rPr>
                              <w:spacing w:val="-5"/>
                            </w:rPr>
                            <w:t xml:space="preserve"> </w:t>
                          </w:r>
                          <w:r>
                            <w:t>Chapter</w:t>
                          </w:r>
                          <w:r>
                            <w:rPr>
                              <w:spacing w:val="-5"/>
                            </w:rPr>
                            <w:t xml:space="preserve"> 39</w:t>
                          </w:r>
                        </w:p>
                      </w:txbxContent>
                    </wps:txbx>
                    <wps:bodyPr wrap="square" lIns="0" tIns="0" rIns="0" bIns="0" rtlCol="0">
                      <a:noAutofit/>
                    </wps:bodyPr>
                  </wps:wsp>
                </a:graphicData>
              </a:graphic>
            </wp:anchor>
          </w:drawing>
        </mc:Choice>
        <mc:Fallback>
          <w:pict>
            <v:shapetype w14:anchorId="0DFDDB1A" id="_x0000_t202" coordsize="21600,21600" o:spt="202" path="m,l,21600r21600,l21600,xe">
              <v:stroke joinstyle="miter"/>
              <v:path gradientshapeok="t" o:connecttype="rect"/>
            </v:shapetype>
            <v:shape id="Textbox 688" o:spid="_x0000_s1248" type="#_x0000_t202" style="position:absolute;margin-left:71pt;margin-top:38.6pt;width:350pt;height:26.95pt;z-index:-2708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" filled="f" stroked="f">
              <v:textbox inset="0,0,0,0">
                <w:txbxContent>
                  <w:p w14:paraId="0DFDDEC6" w14:textId="77777777" w:rsidR="00046465" w:rsidRDefault="008134EB">
                    <w:pPr>
                      <w:pStyle w:val="BodyText"/>
                      <w:spacing w:before="12"/>
                      <w:ind w:left="20"/>
                    </w:pPr>
                    <w:r>
                      <w:rPr>
                        <w:spacing w:val="-2"/>
                      </w:rPr>
                      <w:t>Compliance</w:t>
                    </w:r>
                  </w:p>
                  <w:p w14:paraId="0DFDDEC7" w14:textId="77777777" w:rsidR="00046465" w:rsidRDefault="008134EB">
                    <w:pPr>
                      <w:pStyle w:val="BodyText"/>
                      <w:ind w:left="20"/>
                    </w:pPr>
                    <w:r>
                      <w:t>806</w:t>
                    </w:r>
                    <w:r>
                      <w:rPr>
                        <w:spacing w:val="-6"/>
                      </w:rPr>
                      <w:t xml:space="preserve"> </w:t>
                    </w:r>
                    <w:r>
                      <w:t>–</w:t>
                    </w:r>
                    <w:r>
                      <w:rPr>
                        <w:spacing w:val="-6"/>
                      </w:rPr>
                      <w:t xml:space="preserve"> </w:t>
                    </w:r>
                    <w:r>
                      <w:t>Prompt</w:t>
                    </w:r>
                    <w:r>
                      <w:rPr>
                        <w:spacing w:val="-5"/>
                      </w:rPr>
                      <w:t xml:space="preserve"> </w:t>
                    </w:r>
                    <w:r>
                      <w:t>Payment</w:t>
                    </w:r>
                    <w:r>
                      <w:rPr>
                        <w:spacing w:val="-6"/>
                      </w:rPr>
                      <w:t xml:space="preserve"> </w:t>
                    </w:r>
                    <w:r>
                      <w:t>Act</w:t>
                    </w:r>
                    <w:r>
                      <w:rPr>
                        <w:spacing w:val="-6"/>
                      </w:rPr>
                      <w:t xml:space="preserve"> </w:t>
                    </w:r>
                    <w:r>
                      <w:t>(PPA),</w:t>
                    </w:r>
                    <w:r>
                      <w:rPr>
                        <w:spacing w:val="-5"/>
                      </w:rPr>
                      <w:t xml:space="preserve"> </w:t>
                    </w:r>
                    <w:r>
                      <w:t>as</w:t>
                    </w:r>
                    <w:r>
                      <w:rPr>
                        <w:spacing w:val="-6"/>
                      </w:rPr>
                      <w:t xml:space="preserve"> </w:t>
                    </w:r>
                    <w:r>
                      <w:t>Provided</w:t>
                    </w:r>
                    <w:r>
                      <w:rPr>
                        <w:spacing w:val="-6"/>
                      </w:rPr>
                      <w:t xml:space="preserve"> </w:t>
                    </w:r>
                    <w:r>
                      <w:t>in</w:t>
                    </w:r>
                    <w:r>
                      <w:rPr>
                        <w:spacing w:val="-5"/>
                      </w:rPr>
                      <w:t xml:space="preserve"> </w:t>
                    </w:r>
                    <w:r>
                      <w:t>31</w:t>
                    </w:r>
                    <w:r>
                      <w:rPr>
                        <w:spacing w:val="-6"/>
                      </w:rPr>
                      <w:t xml:space="preserve"> </w:t>
                    </w:r>
                    <w:r>
                      <w:t>U.S.C.</w:t>
                    </w:r>
                    <w:r>
                      <w:rPr>
                        <w:spacing w:val="-5"/>
                      </w:rPr>
                      <w:t xml:space="preserve"> </w:t>
                    </w:r>
                    <w:r>
                      <w:t>Chapter</w:t>
                    </w:r>
                    <w:r>
                      <w:rPr>
                        <w:spacing w:val="-5"/>
                      </w:rPr>
                      <w:t xml:space="preserve"> 39</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FE" w14:textId="77777777" w:rsidR="00046465" w:rsidRDefault="00046465">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0"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36800" behindDoc="1" locked="0" layoutInCell="1" allowOverlap="1" wp14:anchorId="0DFDDB2A" wp14:editId="0DFDDB2B">
              <wp:simplePos x="0" y="0"/>
              <wp:positionH relativeFrom="page">
                <wp:posOffset>895350</wp:posOffset>
              </wp:positionH>
              <wp:positionV relativeFrom="page">
                <wp:posOffset>549401</wp:posOffset>
              </wp:positionV>
              <wp:extent cx="5981700" cy="28575"/>
              <wp:effectExtent l="0" t="0" r="0" b="0"/>
              <wp:wrapNone/>
              <wp:docPr id="709" name="Graphic 7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3C0E10" id="Graphic 709" o:spid="_x0000_s1026" style="position:absolute;margin-left:70.5pt;margin-top:43.25pt;width:471pt;height:2.25pt;z-index:-270796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37312" behindDoc="1" locked="0" layoutInCell="1" allowOverlap="1" wp14:anchorId="0DFDDB2C" wp14:editId="0DFDDB2D">
              <wp:simplePos x="0" y="0"/>
              <wp:positionH relativeFrom="page">
                <wp:posOffset>895350</wp:posOffset>
              </wp:positionH>
              <wp:positionV relativeFrom="page">
                <wp:posOffset>1084325</wp:posOffset>
              </wp:positionV>
              <wp:extent cx="5981700" cy="28575"/>
              <wp:effectExtent l="0" t="0" r="0" b="0"/>
              <wp:wrapNone/>
              <wp:docPr id="710" name="Graphic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EC8EB9" id="Graphic 710" o:spid="_x0000_s1026" style="position:absolute;margin-left:70.5pt;margin-top:85.4pt;width:471pt;height:2.25pt;z-index:-2707916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37824" behindDoc="1" locked="0" layoutInCell="1" allowOverlap="1" wp14:anchorId="0DFDDB2E" wp14:editId="0DFDDB2F">
              <wp:simplePos x="0" y="0"/>
              <wp:positionH relativeFrom="page">
                <wp:posOffset>901700</wp:posOffset>
              </wp:positionH>
              <wp:positionV relativeFrom="page">
                <wp:posOffset>581915</wp:posOffset>
              </wp:positionV>
              <wp:extent cx="5637530" cy="502920"/>
              <wp:effectExtent l="0" t="0" r="0" b="0"/>
              <wp:wrapNone/>
              <wp:docPr id="711" name="Text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7530" cy="502920"/>
                      </a:xfrm>
                      <a:prstGeom prst="rect">
                        <a:avLst/>
                      </a:prstGeom>
                    </wps:spPr>
                    <wps:txbx>
                      <w:txbxContent>
                        <w:p w14:paraId="0DFDDECE" w14:textId="77777777" w:rsidR="00046465" w:rsidRDefault="008134EB">
                          <w:pPr>
                            <w:pStyle w:val="BodyText"/>
                            <w:spacing w:before="12"/>
                            <w:ind w:left="20"/>
                          </w:pPr>
                          <w:r>
                            <w:rPr>
                              <w:spacing w:val="-2"/>
                            </w:rPr>
                            <w:t>Compliance</w:t>
                          </w:r>
                        </w:p>
                        <w:p w14:paraId="0DFDDECF" w14:textId="77777777" w:rsidR="00046465" w:rsidRDefault="008134EB">
                          <w:pPr>
                            <w:pStyle w:val="BodyText"/>
                            <w:ind w:left="20"/>
                          </w:pPr>
                          <w:r>
                            <w:t>807</w:t>
                          </w:r>
                          <w:r>
                            <w:rPr>
                              <w:spacing w:val="-3"/>
                            </w:rPr>
                            <w:t xml:space="preserve"> </w:t>
                          </w:r>
                          <w:r>
                            <w:t>–</w:t>
                          </w:r>
                          <w:r>
                            <w:rPr>
                              <w:spacing w:val="-3"/>
                            </w:rPr>
                            <w:t xml:space="preserve"> </w:t>
                          </w:r>
                          <w:r>
                            <w:t>Pay</w:t>
                          </w:r>
                          <w:r>
                            <w:rPr>
                              <w:spacing w:val="-3"/>
                            </w:rPr>
                            <w:t xml:space="preserve"> </w:t>
                          </w:r>
                          <w:r>
                            <w:t>and</w:t>
                          </w:r>
                          <w:r>
                            <w:rPr>
                              <w:spacing w:val="-3"/>
                            </w:rPr>
                            <w:t xml:space="preserve"> </w:t>
                          </w:r>
                          <w:r>
                            <w:t>Allowance</w:t>
                          </w:r>
                          <w:r>
                            <w:rPr>
                              <w:spacing w:val="-3"/>
                            </w:rPr>
                            <w:t xml:space="preserve"> </w:t>
                          </w:r>
                          <w:r>
                            <w:t>System</w:t>
                          </w:r>
                          <w:r>
                            <w:rPr>
                              <w:spacing w:val="-4"/>
                            </w:rPr>
                            <w:t xml:space="preserve"> </w:t>
                          </w:r>
                          <w:r>
                            <w:t>for</w:t>
                          </w:r>
                          <w:r>
                            <w:rPr>
                              <w:spacing w:val="-3"/>
                            </w:rPr>
                            <w:t xml:space="preserve"> </w:t>
                          </w:r>
                          <w:r>
                            <w:t>Civilian</w:t>
                          </w:r>
                          <w:r>
                            <w:rPr>
                              <w:spacing w:val="-3"/>
                            </w:rPr>
                            <w:t xml:space="preserve"> </w:t>
                          </w:r>
                          <w:r>
                            <w:t>Employees,</w:t>
                          </w:r>
                          <w:r>
                            <w:rPr>
                              <w:spacing w:val="-3"/>
                            </w:rPr>
                            <w:t xml:space="preserve"> </w:t>
                          </w:r>
                          <w:r>
                            <w:t>as</w:t>
                          </w:r>
                          <w:r>
                            <w:rPr>
                              <w:spacing w:val="-3"/>
                            </w:rPr>
                            <w:t xml:space="preserve"> </w:t>
                          </w:r>
                          <w:r>
                            <w:t>Provided</w:t>
                          </w:r>
                          <w:r>
                            <w:rPr>
                              <w:spacing w:val="-4"/>
                            </w:rPr>
                            <w:t xml:space="preserve"> </w:t>
                          </w:r>
                          <w:r>
                            <w:t>Primarily</w:t>
                          </w:r>
                          <w:r>
                            <w:rPr>
                              <w:spacing w:val="-3"/>
                            </w:rPr>
                            <w:t xml:space="preserve"> </w:t>
                          </w:r>
                          <w:r>
                            <w:t>in</w:t>
                          </w:r>
                          <w:r>
                            <w:rPr>
                              <w:spacing w:val="-4"/>
                            </w:rPr>
                            <w:t xml:space="preserve"> </w:t>
                          </w:r>
                          <w:r>
                            <w:t>5</w:t>
                          </w:r>
                          <w:r>
                            <w:rPr>
                              <w:spacing w:val="-3"/>
                            </w:rPr>
                            <w:t xml:space="preserve"> </w:t>
                          </w:r>
                          <w:r>
                            <w:t>U.S.C. Chapters 51–59</w:t>
                          </w:r>
                        </w:p>
                      </w:txbxContent>
                    </wps:txbx>
                    <wps:bodyPr wrap="square" lIns="0" tIns="0" rIns="0" bIns="0" rtlCol="0">
                      <a:noAutofit/>
                    </wps:bodyPr>
                  </wps:wsp>
                </a:graphicData>
              </a:graphic>
            </wp:anchor>
          </w:drawing>
        </mc:Choice>
        <mc:Fallback>
          <w:pict>
            <v:shapetype w14:anchorId="0DFDDB2E" id="_x0000_t202" coordsize="21600,21600" o:spt="202" path="m,l,21600r21600,l21600,xe">
              <v:stroke joinstyle="miter"/>
              <v:path gradientshapeok="t" o:connecttype="rect"/>
            </v:shapetype>
            <v:shape id="Textbox 711" o:spid="_x0000_s1255" type="#_x0000_t202" style="position:absolute;margin-left:71pt;margin-top:45.8pt;width:443.9pt;height:39.6pt;z-index:-2707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" filled="f" stroked="f">
              <v:textbox inset="0,0,0,0">
                <w:txbxContent>
                  <w:p w14:paraId="0DFDDECE" w14:textId="77777777" w:rsidR="00046465" w:rsidRDefault="008134EB">
                    <w:pPr>
                      <w:pStyle w:val="BodyText"/>
                      <w:spacing w:before="12"/>
                      <w:ind w:left="20"/>
                    </w:pPr>
                    <w:r>
                      <w:rPr>
                        <w:spacing w:val="-2"/>
                      </w:rPr>
                      <w:t>Compliance</w:t>
                    </w:r>
                  </w:p>
                  <w:p w14:paraId="0DFDDECF" w14:textId="77777777" w:rsidR="00046465" w:rsidRDefault="008134EB">
                    <w:pPr>
                      <w:pStyle w:val="BodyText"/>
                      <w:ind w:left="20"/>
                    </w:pPr>
                    <w:r>
                      <w:t>807</w:t>
                    </w:r>
                    <w:r>
                      <w:rPr>
                        <w:spacing w:val="-3"/>
                      </w:rPr>
                      <w:t xml:space="preserve"> </w:t>
                    </w:r>
                    <w:r>
                      <w:t>–</w:t>
                    </w:r>
                    <w:r>
                      <w:rPr>
                        <w:spacing w:val="-3"/>
                      </w:rPr>
                      <w:t xml:space="preserve"> </w:t>
                    </w:r>
                    <w:r>
                      <w:t>Pay</w:t>
                    </w:r>
                    <w:r>
                      <w:rPr>
                        <w:spacing w:val="-3"/>
                      </w:rPr>
                      <w:t xml:space="preserve"> </w:t>
                    </w:r>
                    <w:r>
                      <w:t>and</w:t>
                    </w:r>
                    <w:r>
                      <w:rPr>
                        <w:spacing w:val="-3"/>
                      </w:rPr>
                      <w:t xml:space="preserve"> </w:t>
                    </w:r>
                    <w:r>
                      <w:t>Allowance</w:t>
                    </w:r>
                    <w:r>
                      <w:rPr>
                        <w:spacing w:val="-3"/>
                      </w:rPr>
                      <w:t xml:space="preserve"> </w:t>
                    </w:r>
                    <w:r>
                      <w:t>System</w:t>
                    </w:r>
                    <w:r>
                      <w:rPr>
                        <w:spacing w:val="-4"/>
                      </w:rPr>
                      <w:t xml:space="preserve"> </w:t>
                    </w:r>
                    <w:r>
                      <w:t>for</w:t>
                    </w:r>
                    <w:r>
                      <w:rPr>
                        <w:spacing w:val="-3"/>
                      </w:rPr>
                      <w:t xml:space="preserve"> </w:t>
                    </w:r>
                    <w:r>
                      <w:t>Civilian</w:t>
                    </w:r>
                    <w:r>
                      <w:rPr>
                        <w:spacing w:val="-3"/>
                      </w:rPr>
                      <w:t xml:space="preserve"> </w:t>
                    </w:r>
                    <w:r>
                      <w:t>Employees,</w:t>
                    </w:r>
                    <w:r>
                      <w:rPr>
                        <w:spacing w:val="-3"/>
                      </w:rPr>
                      <w:t xml:space="preserve"> </w:t>
                    </w:r>
                    <w:r>
                      <w:t>as</w:t>
                    </w:r>
                    <w:r>
                      <w:rPr>
                        <w:spacing w:val="-3"/>
                      </w:rPr>
                      <w:t xml:space="preserve"> </w:t>
                    </w:r>
                    <w:r>
                      <w:t>Provided</w:t>
                    </w:r>
                    <w:r>
                      <w:rPr>
                        <w:spacing w:val="-4"/>
                      </w:rPr>
                      <w:t xml:space="preserve"> </w:t>
                    </w:r>
                    <w:r>
                      <w:t>Primarily</w:t>
                    </w:r>
                    <w:r>
                      <w:rPr>
                        <w:spacing w:val="-3"/>
                      </w:rPr>
                      <w:t xml:space="preserve"> </w:t>
                    </w:r>
                    <w:r>
                      <w:t>in</w:t>
                    </w:r>
                    <w:r>
                      <w:rPr>
                        <w:spacing w:val="-4"/>
                      </w:rPr>
                      <w:t xml:space="preserve"> </w:t>
                    </w:r>
                    <w:r>
                      <w:t>5</w:t>
                    </w:r>
                    <w:r>
                      <w:rPr>
                        <w:spacing w:val="-3"/>
                      </w:rPr>
                      <w:t xml:space="preserve"> </w:t>
                    </w:r>
                    <w:r>
                      <w:t>U.S.C. Chapters 51–59</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2"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40384" behindDoc="1" locked="0" layoutInCell="1" allowOverlap="1" wp14:anchorId="0DFDDB38" wp14:editId="0DFDDB39">
              <wp:simplePos x="0" y="0"/>
              <wp:positionH relativeFrom="page">
                <wp:posOffset>666750</wp:posOffset>
              </wp:positionH>
              <wp:positionV relativeFrom="page">
                <wp:posOffset>457962</wp:posOffset>
              </wp:positionV>
              <wp:extent cx="8496300" cy="28575"/>
              <wp:effectExtent l="0" t="0" r="0" b="0"/>
              <wp:wrapNone/>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04548B" id="Graphic 717" o:spid="_x0000_s1026" style="position:absolute;margin-left:52.5pt;margin-top:36.05pt;width:669pt;height:2.25pt;z-index:-27076096;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" path="m8496300,l,,,28194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40896" behindDoc="1" locked="0" layoutInCell="1" allowOverlap="1" wp14:anchorId="0DFDDB3A" wp14:editId="0DFDDB3B">
              <wp:simplePos x="0" y="0"/>
              <wp:positionH relativeFrom="page">
                <wp:posOffset>666750</wp:posOffset>
              </wp:positionH>
              <wp:positionV relativeFrom="page">
                <wp:posOffset>832103</wp:posOffset>
              </wp:positionV>
              <wp:extent cx="8496300" cy="28575"/>
              <wp:effectExtent l="0" t="0" r="0" b="0"/>
              <wp:wrapNone/>
              <wp:docPr id="718" name="Graphic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D14049" id="Graphic 718" o:spid="_x0000_s1026" style="position:absolute;margin-left:52.5pt;margin-top:65.5pt;width:669pt;height:2.25pt;z-index:-27075584;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" path="m8496300,l,,,28194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41408" behindDoc="1" locked="0" layoutInCell="1" allowOverlap="1" wp14:anchorId="0DFDDB3C" wp14:editId="0DFDDB3D">
              <wp:simplePos x="0" y="0"/>
              <wp:positionH relativeFrom="page">
                <wp:posOffset>673100</wp:posOffset>
              </wp:positionH>
              <wp:positionV relativeFrom="page">
                <wp:posOffset>490475</wp:posOffset>
              </wp:positionV>
              <wp:extent cx="4924425" cy="342265"/>
              <wp:effectExtent l="0" t="0" r="0" b="0"/>
              <wp:wrapNone/>
              <wp:docPr id="719" name="Text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4425" cy="342265"/>
                      </a:xfrm>
                      <a:prstGeom prst="rect">
                        <a:avLst/>
                      </a:prstGeom>
                    </wps:spPr>
                    <wps:txbx>
                      <w:txbxContent>
                        <w:p w14:paraId="0DFDDED3" w14:textId="77777777" w:rsidR="00046465" w:rsidRDefault="008134EB">
                          <w:pPr>
                            <w:pStyle w:val="BodyText"/>
                            <w:spacing w:before="12"/>
                            <w:ind w:left="20"/>
                          </w:pPr>
                          <w:r>
                            <w:rPr>
                              <w:spacing w:val="-2"/>
                            </w:rPr>
                            <w:t>Compliance</w:t>
                          </w:r>
                        </w:p>
                        <w:p w14:paraId="0DFDDED4" w14:textId="77777777" w:rsidR="00046465" w:rsidRDefault="008134EB">
                          <w:pPr>
                            <w:pStyle w:val="BodyText"/>
                            <w:ind w:left="20"/>
                          </w:pPr>
                          <w:r>
                            <w:t>808</w:t>
                          </w:r>
                          <w:r>
                            <w:rPr>
                              <w:spacing w:val="-7"/>
                            </w:rPr>
                            <w:t xml:space="preserve"> </w:t>
                          </w:r>
                          <w:r>
                            <w:t>–</w:t>
                          </w:r>
                          <w:r>
                            <w:rPr>
                              <w:spacing w:val="-6"/>
                            </w:rPr>
                            <w:t xml:space="preserve"> </w:t>
                          </w:r>
                          <w:r>
                            <w:t>Civil</w:t>
                          </w:r>
                          <w:r>
                            <w:rPr>
                              <w:spacing w:val="-7"/>
                            </w:rPr>
                            <w:t xml:space="preserve"> </w:t>
                          </w:r>
                          <w:r>
                            <w:t>Service</w:t>
                          </w:r>
                          <w:r>
                            <w:rPr>
                              <w:spacing w:val="-6"/>
                            </w:rPr>
                            <w:t xml:space="preserve"> </w:t>
                          </w:r>
                          <w:r>
                            <w:t>Retirement</w:t>
                          </w:r>
                          <w:r>
                            <w:rPr>
                              <w:spacing w:val="-6"/>
                            </w:rPr>
                            <w:t xml:space="preserve"> </w:t>
                          </w:r>
                          <w:r>
                            <w:t>Act</w:t>
                          </w:r>
                          <w:r>
                            <w:rPr>
                              <w:spacing w:val="-7"/>
                            </w:rPr>
                            <w:t xml:space="preserve"> </w:t>
                          </w:r>
                          <w:r>
                            <w:t>(CSRA),</w:t>
                          </w:r>
                          <w:r>
                            <w:rPr>
                              <w:spacing w:val="-6"/>
                            </w:rPr>
                            <w:t xml:space="preserve"> </w:t>
                          </w:r>
                          <w:r>
                            <w:t>as</w:t>
                          </w:r>
                          <w:r>
                            <w:rPr>
                              <w:spacing w:val="-5"/>
                            </w:rPr>
                            <w:t xml:space="preserve"> </w:t>
                          </w:r>
                          <w:r>
                            <w:t>Provided</w:t>
                          </w:r>
                          <w:r>
                            <w:rPr>
                              <w:spacing w:val="-6"/>
                            </w:rPr>
                            <w:t xml:space="preserve"> </w:t>
                          </w:r>
                          <w:r>
                            <w:t>in</w:t>
                          </w:r>
                          <w:r>
                            <w:rPr>
                              <w:spacing w:val="-8"/>
                            </w:rPr>
                            <w:t xml:space="preserve"> </w:t>
                          </w:r>
                          <w:r>
                            <w:t>5</w:t>
                          </w:r>
                          <w:r>
                            <w:rPr>
                              <w:spacing w:val="-6"/>
                            </w:rPr>
                            <w:t xml:space="preserve"> </w:t>
                          </w:r>
                          <w:r>
                            <w:t>U.S.C.</w:t>
                          </w:r>
                          <w:r>
                            <w:rPr>
                              <w:spacing w:val="-6"/>
                            </w:rPr>
                            <w:t xml:space="preserve"> </w:t>
                          </w:r>
                          <w:r>
                            <w:t>Chapter</w:t>
                          </w:r>
                          <w:r>
                            <w:rPr>
                              <w:spacing w:val="-6"/>
                            </w:rPr>
                            <w:t xml:space="preserve"> </w:t>
                          </w:r>
                          <w:r>
                            <w:rPr>
                              <w:spacing w:val="-5"/>
                            </w:rPr>
                            <w:t>83</w:t>
                          </w:r>
                        </w:p>
                      </w:txbxContent>
                    </wps:txbx>
                    <wps:bodyPr wrap="square" lIns="0" tIns="0" rIns="0" bIns="0" rtlCol="0">
                      <a:noAutofit/>
                    </wps:bodyPr>
                  </wps:wsp>
                </a:graphicData>
              </a:graphic>
            </wp:anchor>
          </w:drawing>
        </mc:Choice>
        <mc:Fallback>
          <w:pict>
            <v:shapetype w14:anchorId="0DFDDB3C" id="_x0000_t202" coordsize="21600,21600" o:spt="202" path="m,l,21600r21600,l21600,xe">
              <v:stroke joinstyle="miter"/>
              <v:path gradientshapeok="t" o:connecttype="rect"/>
            </v:shapetype>
            <v:shape id="Textbox 719" o:spid="_x0000_s1259" type="#_x0000_t202" style="position:absolute;margin-left:53pt;margin-top:38.6pt;width:387.75pt;height:26.95pt;z-index:-2707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" filled="f" stroked="f">
              <v:textbox inset="0,0,0,0">
                <w:txbxContent>
                  <w:p w14:paraId="0DFDDED3" w14:textId="77777777" w:rsidR="00046465" w:rsidRDefault="008134EB">
                    <w:pPr>
                      <w:pStyle w:val="BodyText"/>
                      <w:spacing w:before="12"/>
                      <w:ind w:left="20"/>
                    </w:pPr>
                    <w:r>
                      <w:rPr>
                        <w:spacing w:val="-2"/>
                      </w:rPr>
                      <w:t>Compliance</w:t>
                    </w:r>
                  </w:p>
                  <w:p w14:paraId="0DFDDED4" w14:textId="77777777" w:rsidR="00046465" w:rsidRDefault="008134EB">
                    <w:pPr>
                      <w:pStyle w:val="BodyText"/>
                      <w:ind w:left="20"/>
                    </w:pPr>
                    <w:r>
                      <w:t>808</w:t>
                    </w:r>
                    <w:r>
                      <w:rPr>
                        <w:spacing w:val="-7"/>
                      </w:rPr>
                      <w:t xml:space="preserve"> </w:t>
                    </w:r>
                    <w:r>
                      <w:t>–</w:t>
                    </w:r>
                    <w:r>
                      <w:rPr>
                        <w:spacing w:val="-6"/>
                      </w:rPr>
                      <w:t xml:space="preserve"> </w:t>
                    </w:r>
                    <w:r>
                      <w:t>Civil</w:t>
                    </w:r>
                    <w:r>
                      <w:rPr>
                        <w:spacing w:val="-7"/>
                      </w:rPr>
                      <w:t xml:space="preserve"> </w:t>
                    </w:r>
                    <w:r>
                      <w:t>Service</w:t>
                    </w:r>
                    <w:r>
                      <w:rPr>
                        <w:spacing w:val="-6"/>
                      </w:rPr>
                      <w:t xml:space="preserve"> </w:t>
                    </w:r>
                    <w:r>
                      <w:t>Retirement</w:t>
                    </w:r>
                    <w:r>
                      <w:rPr>
                        <w:spacing w:val="-6"/>
                      </w:rPr>
                      <w:t xml:space="preserve"> </w:t>
                    </w:r>
                    <w:r>
                      <w:t>Act</w:t>
                    </w:r>
                    <w:r>
                      <w:rPr>
                        <w:spacing w:val="-7"/>
                      </w:rPr>
                      <w:t xml:space="preserve"> </w:t>
                    </w:r>
                    <w:r>
                      <w:t>(CSRA),</w:t>
                    </w:r>
                    <w:r>
                      <w:rPr>
                        <w:spacing w:val="-6"/>
                      </w:rPr>
                      <w:t xml:space="preserve"> </w:t>
                    </w:r>
                    <w:r>
                      <w:t>as</w:t>
                    </w:r>
                    <w:r>
                      <w:rPr>
                        <w:spacing w:val="-5"/>
                      </w:rPr>
                      <w:t xml:space="preserve"> </w:t>
                    </w:r>
                    <w:r>
                      <w:t>Provided</w:t>
                    </w:r>
                    <w:r>
                      <w:rPr>
                        <w:spacing w:val="-6"/>
                      </w:rPr>
                      <w:t xml:space="preserve"> </w:t>
                    </w:r>
                    <w:r>
                      <w:t>in</w:t>
                    </w:r>
                    <w:r>
                      <w:rPr>
                        <w:spacing w:val="-8"/>
                      </w:rPr>
                      <w:t xml:space="preserve"> </w:t>
                    </w:r>
                    <w:r>
                      <w:t>5</w:t>
                    </w:r>
                    <w:r>
                      <w:rPr>
                        <w:spacing w:val="-6"/>
                      </w:rPr>
                      <w:t xml:space="preserve"> </w:t>
                    </w:r>
                    <w:r>
                      <w:t>U.S.C.</w:t>
                    </w:r>
                    <w:r>
                      <w:rPr>
                        <w:spacing w:val="-6"/>
                      </w:rPr>
                      <w:t xml:space="preserve"> </w:t>
                    </w:r>
                    <w:r>
                      <w:t>Chapter</w:t>
                    </w:r>
                    <w:r>
                      <w:rPr>
                        <w:spacing w:val="-6"/>
                      </w:rPr>
                      <w:t xml:space="preserve"> </w:t>
                    </w:r>
                    <w:r>
                      <w:rPr>
                        <w:spacing w:val="-5"/>
                      </w:rPr>
                      <w:t>83</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4"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43968" behindDoc="1" locked="0" layoutInCell="1" allowOverlap="1" wp14:anchorId="0DFDDB46" wp14:editId="0DFDDB47">
              <wp:simplePos x="0" y="0"/>
              <wp:positionH relativeFrom="page">
                <wp:posOffset>895350</wp:posOffset>
              </wp:positionH>
              <wp:positionV relativeFrom="page">
                <wp:posOffset>457962</wp:posOffset>
              </wp:positionV>
              <wp:extent cx="5981700" cy="28575"/>
              <wp:effectExtent l="0" t="0" r="0" b="0"/>
              <wp:wrapNone/>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7F68C0" id="Graphic 750" o:spid="_x0000_s1026" style="position:absolute;margin-left:70.5pt;margin-top:36.05pt;width:471pt;height:2.25pt;z-index:-270725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44480" behindDoc="1" locked="0" layoutInCell="1" allowOverlap="1" wp14:anchorId="0DFDDB48" wp14:editId="0DFDDB49">
              <wp:simplePos x="0" y="0"/>
              <wp:positionH relativeFrom="page">
                <wp:posOffset>895350</wp:posOffset>
              </wp:positionH>
              <wp:positionV relativeFrom="page">
                <wp:posOffset>832103</wp:posOffset>
              </wp:positionV>
              <wp:extent cx="5981700" cy="28575"/>
              <wp:effectExtent l="0" t="0" r="0" b="0"/>
              <wp:wrapNone/>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F1CD820" id="Graphic 751" o:spid="_x0000_s1026" style="position:absolute;margin-left:70.5pt;margin-top:65.5pt;width:471pt;height:2.25pt;z-index:-2707200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44992" behindDoc="1" locked="0" layoutInCell="1" allowOverlap="1" wp14:anchorId="0DFDDB4A" wp14:editId="0DFDDB4B">
              <wp:simplePos x="0" y="0"/>
              <wp:positionH relativeFrom="page">
                <wp:posOffset>901700</wp:posOffset>
              </wp:positionH>
              <wp:positionV relativeFrom="page">
                <wp:posOffset>490475</wp:posOffset>
              </wp:positionV>
              <wp:extent cx="4924425" cy="342265"/>
              <wp:effectExtent l="0" t="0" r="0" b="0"/>
              <wp:wrapNone/>
              <wp:docPr id="752" name="Text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4425" cy="342265"/>
                      </a:xfrm>
                      <a:prstGeom prst="rect">
                        <a:avLst/>
                      </a:prstGeom>
                    </wps:spPr>
                    <wps:txbx>
                      <w:txbxContent>
                        <w:p w14:paraId="0DFDDED8" w14:textId="77777777" w:rsidR="00046465" w:rsidRDefault="008134EB">
                          <w:pPr>
                            <w:pStyle w:val="BodyText"/>
                            <w:spacing w:before="12"/>
                            <w:ind w:left="20"/>
                          </w:pPr>
                          <w:r>
                            <w:rPr>
                              <w:spacing w:val="-2"/>
                            </w:rPr>
                            <w:t>Compliance</w:t>
                          </w:r>
                        </w:p>
                        <w:p w14:paraId="0DFDDED9" w14:textId="77777777" w:rsidR="00046465" w:rsidRDefault="008134EB">
                          <w:pPr>
                            <w:pStyle w:val="BodyText"/>
                            <w:ind w:left="20"/>
                          </w:pPr>
                          <w:r>
                            <w:t>808</w:t>
                          </w:r>
                          <w:r>
                            <w:rPr>
                              <w:spacing w:val="-7"/>
                            </w:rPr>
                            <w:t xml:space="preserve"> </w:t>
                          </w:r>
                          <w:r>
                            <w:t>–</w:t>
                          </w:r>
                          <w:r>
                            <w:rPr>
                              <w:spacing w:val="-6"/>
                            </w:rPr>
                            <w:t xml:space="preserve"> </w:t>
                          </w:r>
                          <w:r>
                            <w:t>Civil</w:t>
                          </w:r>
                          <w:r>
                            <w:rPr>
                              <w:spacing w:val="-7"/>
                            </w:rPr>
                            <w:t xml:space="preserve"> </w:t>
                          </w:r>
                          <w:r>
                            <w:t>Service</w:t>
                          </w:r>
                          <w:r>
                            <w:rPr>
                              <w:spacing w:val="-6"/>
                            </w:rPr>
                            <w:t xml:space="preserve"> </w:t>
                          </w:r>
                          <w:r>
                            <w:t>Retirement</w:t>
                          </w:r>
                          <w:r>
                            <w:rPr>
                              <w:spacing w:val="-6"/>
                            </w:rPr>
                            <w:t xml:space="preserve"> </w:t>
                          </w:r>
                          <w:r>
                            <w:t>Act</w:t>
                          </w:r>
                          <w:r>
                            <w:rPr>
                              <w:spacing w:val="-7"/>
                            </w:rPr>
                            <w:t xml:space="preserve"> </w:t>
                          </w:r>
                          <w:r>
                            <w:t>(CSRA),</w:t>
                          </w:r>
                          <w:r>
                            <w:rPr>
                              <w:spacing w:val="-6"/>
                            </w:rPr>
                            <w:t xml:space="preserve"> </w:t>
                          </w:r>
                          <w:r>
                            <w:t>as</w:t>
                          </w:r>
                          <w:r>
                            <w:rPr>
                              <w:spacing w:val="-5"/>
                            </w:rPr>
                            <w:t xml:space="preserve"> </w:t>
                          </w:r>
                          <w:r>
                            <w:t>Provided</w:t>
                          </w:r>
                          <w:r>
                            <w:rPr>
                              <w:spacing w:val="-6"/>
                            </w:rPr>
                            <w:t xml:space="preserve"> </w:t>
                          </w:r>
                          <w:r>
                            <w:t>in</w:t>
                          </w:r>
                          <w:r>
                            <w:rPr>
                              <w:spacing w:val="-8"/>
                            </w:rPr>
                            <w:t xml:space="preserve"> </w:t>
                          </w:r>
                          <w:r>
                            <w:t>5</w:t>
                          </w:r>
                          <w:r>
                            <w:rPr>
                              <w:spacing w:val="-6"/>
                            </w:rPr>
                            <w:t xml:space="preserve"> </w:t>
                          </w:r>
                          <w:r>
                            <w:t>U.S.C.</w:t>
                          </w:r>
                          <w:r>
                            <w:rPr>
                              <w:spacing w:val="-6"/>
                            </w:rPr>
                            <w:t xml:space="preserve"> </w:t>
                          </w:r>
                          <w:r>
                            <w:t>Chapter</w:t>
                          </w:r>
                          <w:r>
                            <w:rPr>
                              <w:spacing w:val="-6"/>
                            </w:rPr>
                            <w:t xml:space="preserve"> </w:t>
                          </w:r>
                          <w:r>
                            <w:rPr>
                              <w:spacing w:val="-5"/>
                            </w:rPr>
                            <w:t>83</w:t>
                          </w:r>
                        </w:p>
                      </w:txbxContent>
                    </wps:txbx>
                    <wps:bodyPr wrap="square" lIns="0" tIns="0" rIns="0" bIns="0" rtlCol="0">
                      <a:noAutofit/>
                    </wps:bodyPr>
                  </wps:wsp>
                </a:graphicData>
              </a:graphic>
            </wp:anchor>
          </w:drawing>
        </mc:Choice>
        <mc:Fallback>
          <w:pict>
            <v:shapetype w14:anchorId="0DFDDB4A" id="_x0000_t202" coordsize="21600,21600" o:spt="202" path="m,l,21600r21600,l21600,xe">
              <v:stroke joinstyle="miter"/>
              <v:path gradientshapeok="t" o:connecttype="rect"/>
            </v:shapetype>
            <v:shape id="Textbox 752" o:spid="_x0000_s1263" type="#_x0000_t202" style="position:absolute;margin-left:71pt;margin-top:38.6pt;width:387.75pt;height:26.95pt;z-index:-2707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" filled="f" stroked="f">
              <v:textbox inset="0,0,0,0">
                <w:txbxContent>
                  <w:p w14:paraId="0DFDDED8" w14:textId="77777777" w:rsidR="00046465" w:rsidRDefault="008134EB">
                    <w:pPr>
                      <w:pStyle w:val="BodyText"/>
                      <w:spacing w:before="12"/>
                      <w:ind w:left="20"/>
                    </w:pPr>
                    <w:r>
                      <w:rPr>
                        <w:spacing w:val="-2"/>
                      </w:rPr>
                      <w:t>Compliance</w:t>
                    </w:r>
                  </w:p>
                  <w:p w14:paraId="0DFDDED9" w14:textId="77777777" w:rsidR="00046465" w:rsidRDefault="008134EB">
                    <w:pPr>
                      <w:pStyle w:val="BodyText"/>
                      <w:ind w:left="20"/>
                    </w:pPr>
                    <w:r>
                      <w:t>808</w:t>
                    </w:r>
                    <w:r>
                      <w:rPr>
                        <w:spacing w:val="-7"/>
                      </w:rPr>
                      <w:t xml:space="preserve"> </w:t>
                    </w:r>
                    <w:r>
                      <w:t>–</w:t>
                    </w:r>
                    <w:r>
                      <w:rPr>
                        <w:spacing w:val="-6"/>
                      </w:rPr>
                      <w:t xml:space="preserve"> </w:t>
                    </w:r>
                    <w:r>
                      <w:t>Civil</w:t>
                    </w:r>
                    <w:r>
                      <w:rPr>
                        <w:spacing w:val="-7"/>
                      </w:rPr>
                      <w:t xml:space="preserve"> </w:t>
                    </w:r>
                    <w:r>
                      <w:t>Service</w:t>
                    </w:r>
                    <w:r>
                      <w:rPr>
                        <w:spacing w:val="-6"/>
                      </w:rPr>
                      <w:t xml:space="preserve"> </w:t>
                    </w:r>
                    <w:r>
                      <w:t>Retirement</w:t>
                    </w:r>
                    <w:r>
                      <w:rPr>
                        <w:spacing w:val="-6"/>
                      </w:rPr>
                      <w:t xml:space="preserve"> </w:t>
                    </w:r>
                    <w:r>
                      <w:t>Act</w:t>
                    </w:r>
                    <w:r>
                      <w:rPr>
                        <w:spacing w:val="-7"/>
                      </w:rPr>
                      <w:t xml:space="preserve"> </w:t>
                    </w:r>
                    <w:r>
                      <w:t>(CSRA),</w:t>
                    </w:r>
                    <w:r>
                      <w:rPr>
                        <w:spacing w:val="-6"/>
                      </w:rPr>
                      <w:t xml:space="preserve"> </w:t>
                    </w:r>
                    <w:r>
                      <w:t>as</w:t>
                    </w:r>
                    <w:r>
                      <w:rPr>
                        <w:spacing w:val="-5"/>
                      </w:rPr>
                      <w:t xml:space="preserve"> </w:t>
                    </w:r>
                    <w:r>
                      <w:t>Provided</w:t>
                    </w:r>
                    <w:r>
                      <w:rPr>
                        <w:spacing w:val="-6"/>
                      </w:rPr>
                      <w:t xml:space="preserve"> </w:t>
                    </w:r>
                    <w:r>
                      <w:t>in</w:t>
                    </w:r>
                    <w:r>
                      <w:rPr>
                        <w:spacing w:val="-8"/>
                      </w:rPr>
                      <w:t xml:space="preserve"> </w:t>
                    </w:r>
                    <w:r>
                      <w:t>5</w:t>
                    </w:r>
                    <w:r>
                      <w:rPr>
                        <w:spacing w:val="-6"/>
                      </w:rPr>
                      <w:t xml:space="preserve"> </w:t>
                    </w:r>
                    <w:r>
                      <w:t>U.S.C.</w:t>
                    </w:r>
                    <w:r>
                      <w:rPr>
                        <w:spacing w:val="-6"/>
                      </w:rPr>
                      <w:t xml:space="preserve"> </w:t>
                    </w:r>
                    <w:r>
                      <w:t>Chapter</w:t>
                    </w:r>
                    <w:r>
                      <w:rPr>
                        <w:spacing w:val="-6"/>
                      </w:rPr>
                      <w:t xml:space="preserve"> </w:t>
                    </w:r>
                    <w:r>
                      <w:rPr>
                        <w:spacing w:val="-5"/>
                      </w:rPr>
                      <w:t>83</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A"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68864" behindDoc="1" locked="0" layoutInCell="1" allowOverlap="1" wp14:anchorId="0DFDD89A" wp14:editId="0DFDD89B">
              <wp:simplePos x="0" y="0"/>
              <wp:positionH relativeFrom="page">
                <wp:posOffset>895350</wp:posOffset>
              </wp:positionH>
              <wp:positionV relativeFrom="page">
                <wp:posOffset>457962</wp:posOffset>
              </wp:positionV>
              <wp:extent cx="5981700" cy="2857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C6F93E" id="Graphic 92" o:spid="_x0000_s1026" style="position:absolute;margin-left:70.5pt;margin-top:36.05pt;width:471pt;height:2.25pt;z-index:-272476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69376" behindDoc="1" locked="0" layoutInCell="1" allowOverlap="1" wp14:anchorId="0DFDD89C" wp14:editId="0DFDD89D">
              <wp:simplePos x="0" y="0"/>
              <wp:positionH relativeFrom="page">
                <wp:posOffset>895350</wp:posOffset>
              </wp:positionH>
              <wp:positionV relativeFrom="page">
                <wp:posOffset>671322</wp:posOffset>
              </wp:positionV>
              <wp:extent cx="5981700" cy="28575"/>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1E4426" id="Graphic 93" o:spid="_x0000_s1026" style="position:absolute;margin-left:70.5pt;margin-top:52.85pt;width:471pt;height:2.25pt;z-index:-2724710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69888" behindDoc="1" locked="0" layoutInCell="1" allowOverlap="1" wp14:anchorId="0DFDD89E" wp14:editId="0DFDD89F">
              <wp:simplePos x="0" y="0"/>
              <wp:positionH relativeFrom="page">
                <wp:posOffset>901700</wp:posOffset>
              </wp:positionH>
              <wp:positionV relativeFrom="page">
                <wp:posOffset>490476</wp:posOffset>
              </wp:positionV>
              <wp:extent cx="4002404" cy="181610"/>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2404" cy="181610"/>
                      </a:xfrm>
                      <a:prstGeom prst="rect">
                        <a:avLst/>
                      </a:prstGeom>
                    </wps:spPr>
                    <wps:txbx>
                      <w:txbxContent>
                        <w:p w14:paraId="0DFDDDE2" w14:textId="77777777" w:rsidR="00046465" w:rsidRDefault="008134EB">
                          <w:pPr>
                            <w:pStyle w:val="BodyText"/>
                            <w:spacing w:before="12"/>
                            <w:ind w:left="20"/>
                          </w:pPr>
                          <w:r>
                            <w:t>Contents</w:t>
                          </w:r>
                          <w:r>
                            <w:rPr>
                              <w:spacing w:val="-6"/>
                            </w:rPr>
                            <w:t xml:space="preserve"> </w:t>
                          </w:r>
                          <w:r>
                            <w:t>of</w:t>
                          </w:r>
                          <w:r>
                            <w:rPr>
                              <w:spacing w:val="-6"/>
                            </w:rPr>
                            <w:t xml:space="preserve"> </w:t>
                          </w:r>
                          <w:r>
                            <w:t>FAM</w:t>
                          </w:r>
                          <w:r>
                            <w:rPr>
                              <w:spacing w:val="-6"/>
                            </w:rPr>
                            <w:t xml:space="preserve"> </w:t>
                          </w:r>
                          <w:r>
                            <w:t>Volume</w:t>
                          </w:r>
                          <w:r>
                            <w:rPr>
                              <w:spacing w:val="-6"/>
                            </w:rPr>
                            <w:t xml:space="preserve"> </w:t>
                          </w:r>
                          <w:r>
                            <w:t>2</w:t>
                          </w:r>
                          <w:r>
                            <w:rPr>
                              <w:spacing w:val="-5"/>
                            </w:rPr>
                            <w:t xml:space="preserve"> </w:t>
                          </w:r>
                          <w:r>
                            <w:t>–</w:t>
                          </w:r>
                          <w:r>
                            <w:rPr>
                              <w:spacing w:val="-6"/>
                            </w:rPr>
                            <w:t xml:space="preserve"> </w:t>
                          </w:r>
                          <w:r>
                            <w:t>Detailed</w:t>
                          </w:r>
                          <w:r>
                            <w:rPr>
                              <w:spacing w:val="-6"/>
                            </w:rPr>
                            <w:t xml:space="preserve"> </w:t>
                          </w:r>
                          <w:r>
                            <w:t>Implementation</w:t>
                          </w:r>
                          <w:r>
                            <w:rPr>
                              <w:spacing w:val="-6"/>
                            </w:rPr>
                            <w:t xml:space="preserve"> </w:t>
                          </w:r>
                          <w:r>
                            <w:rPr>
                              <w:spacing w:val="-2"/>
                            </w:rPr>
                            <w:t>Guidance</w:t>
                          </w:r>
                        </w:p>
                      </w:txbxContent>
                    </wps:txbx>
                    <wps:bodyPr wrap="square" lIns="0" tIns="0" rIns="0" bIns="0" rtlCol="0">
                      <a:noAutofit/>
                    </wps:bodyPr>
                  </wps:wsp>
                </a:graphicData>
              </a:graphic>
            </wp:anchor>
          </w:drawing>
        </mc:Choice>
        <mc:Fallback>
          <w:pict>
            <v:shapetype w14:anchorId="0DFDD89E" id="_x0000_t202" coordsize="21600,21600" o:spt="202" path="m,l,21600r21600,l21600,xe">
              <v:stroke joinstyle="miter"/>
              <v:path gradientshapeok="t" o:connecttype="rect"/>
            </v:shapetype>
            <v:shape id="Textbox 94" o:spid="_x0000_s1064" type="#_x0000_t202" style="position:absolute;margin-left:71pt;margin-top:38.6pt;width:315.15pt;height:14.3pt;z-index:-2724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" filled="f" stroked="f">
              <v:textbox inset="0,0,0,0">
                <w:txbxContent>
                  <w:p w14:paraId="0DFDDDE2" w14:textId="77777777" w:rsidR="00046465" w:rsidRDefault="008134EB">
                    <w:pPr>
                      <w:pStyle w:val="BodyText"/>
                      <w:spacing w:before="12"/>
                      <w:ind w:left="20"/>
                    </w:pPr>
                    <w:r>
                      <w:t>Contents</w:t>
                    </w:r>
                    <w:r>
                      <w:rPr>
                        <w:spacing w:val="-6"/>
                      </w:rPr>
                      <w:t xml:space="preserve"> </w:t>
                    </w:r>
                    <w:r>
                      <w:t>of</w:t>
                    </w:r>
                    <w:r>
                      <w:rPr>
                        <w:spacing w:val="-6"/>
                      </w:rPr>
                      <w:t xml:space="preserve"> </w:t>
                    </w:r>
                    <w:r>
                      <w:t>FAM</w:t>
                    </w:r>
                    <w:r>
                      <w:rPr>
                        <w:spacing w:val="-6"/>
                      </w:rPr>
                      <w:t xml:space="preserve"> </w:t>
                    </w:r>
                    <w:r>
                      <w:t>Volume</w:t>
                    </w:r>
                    <w:r>
                      <w:rPr>
                        <w:spacing w:val="-6"/>
                      </w:rPr>
                      <w:t xml:space="preserve"> </w:t>
                    </w:r>
                    <w:r>
                      <w:t>2</w:t>
                    </w:r>
                    <w:r>
                      <w:rPr>
                        <w:spacing w:val="-5"/>
                      </w:rPr>
                      <w:t xml:space="preserve"> </w:t>
                    </w:r>
                    <w:r>
                      <w:t>–</w:t>
                    </w:r>
                    <w:r>
                      <w:rPr>
                        <w:spacing w:val="-6"/>
                      </w:rPr>
                      <w:t xml:space="preserve"> </w:t>
                    </w:r>
                    <w:r>
                      <w:t>Detailed</w:t>
                    </w:r>
                    <w:r>
                      <w:rPr>
                        <w:spacing w:val="-6"/>
                      </w:rPr>
                      <w:t xml:space="preserve"> </w:t>
                    </w:r>
                    <w:r>
                      <w:t>Implementation</w:t>
                    </w:r>
                    <w:r>
                      <w:rPr>
                        <w:spacing w:val="-6"/>
                      </w:rPr>
                      <w:t xml:space="preserve"> </w:t>
                    </w:r>
                    <w:r>
                      <w:rPr>
                        <w:spacing w:val="-2"/>
                      </w:rPr>
                      <w:t>Guidance</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6"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47552" behindDoc="1" locked="0" layoutInCell="1" allowOverlap="1" wp14:anchorId="0DFDDB54" wp14:editId="0DFDDB55">
              <wp:simplePos x="0" y="0"/>
              <wp:positionH relativeFrom="page">
                <wp:posOffset>666750</wp:posOffset>
              </wp:positionH>
              <wp:positionV relativeFrom="page">
                <wp:posOffset>457962</wp:posOffset>
              </wp:positionV>
              <wp:extent cx="8496300" cy="28575"/>
              <wp:effectExtent l="0" t="0" r="0" b="0"/>
              <wp:wrapNone/>
              <wp:docPr id="758" name="Graphic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690932" id="Graphic 758" o:spid="_x0000_s1026" style="position:absolute;margin-left:52.5pt;margin-top:36.05pt;width:669pt;height:2.25pt;z-index:-27068928;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" path="m8496300,l,,,28194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48064" behindDoc="1" locked="0" layoutInCell="1" allowOverlap="1" wp14:anchorId="0DFDDB56" wp14:editId="0DFDDB57">
              <wp:simplePos x="0" y="0"/>
              <wp:positionH relativeFrom="page">
                <wp:posOffset>666750</wp:posOffset>
              </wp:positionH>
              <wp:positionV relativeFrom="page">
                <wp:posOffset>832103</wp:posOffset>
              </wp:positionV>
              <wp:extent cx="8496300" cy="28575"/>
              <wp:effectExtent l="0" t="0" r="0" b="0"/>
              <wp:wrapNone/>
              <wp:docPr id="759" name="Graphic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6CF354" id="Graphic 759" o:spid="_x0000_s1026" style="position:absolute;margin-left:52.5pt;margin-top:65.5pt;width:669pt;height:2.25pt;z-index:-27068416;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" path="m8496300,l,,,28194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48576" behindDoc="1" locked="0" layoutInCell="1" allowOverlap="1" wp14:anchorId="0DFDDB58" wp14:editId="0DFDDB59">
              <wp:simplePos x="0" y="0"/>
              <wp:positionH relativeFrom="page">
                <wp:posOffset>673100</wp:posOffset>
              </wp:positionH>
              <wp:positionV relativeFrom="page">
                <wp:posOffset>490475</wp:posOffset>
              </wp:positionV>
              <wp:extent cx="5671185" cy="342265"/>
              <wp:effectExtent l="0" t="0" r="0" b="0"/>
              <wp:wrapNone/>
              <wp:docPr id="760" name="Text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1185" cy="342265"/>
                      </a:xfrm>
                      <a:prstGeom prst="rect">
                        <a:avLst/>
                      </a:prstGeom>
                    </wps:spPr>
                    <wps:txbx>
                      <w:txbxContent>
                        <w:p w14:paraId="0DFDDEDD" w14:textId="77777777" w:rsidR="00046465" w:rsidRDefault="008134EB">
                          <w:pPr>
                            <w:pStyle w:val="BodyText"/>
                            <w:spacing w:before="12"/>
                            <w:ind w:left="20"/>
                          </w:pPr>
                          <w:r>
                            <w:rPr>
                              <w:spacing w:val="-2"/>
                            </w:rPr>
                            <w:t>Compliance</w:t>
                          </w:r>
                        </w:p>
                        <w:p w14:paraId="0DFDDEDE" w14:textId="77777777" w:rsidR="00046465" w:rsidRDefault="008134EB">
                          <w:pPr>
                            <w:pStyle w:val="BodyText"/>
                            <w:ind w:left="20"/>
                          </w:pPr>
                          <w:r>
                            <w:t>809</w:t>
                          </w:r>
                          <w:r>
                            <w:rPr>
                              <w:spacing w:val="-7"/>
                            </w:rPr>
                            <w:t xml:space="preserve"> </w:t>
                          </w:r>
                          <w:r>
                            <w:t>-</w:t>
                          </w:r>
                          <w:r>
                            <w:rPr>
                              <w:spacing w:val="-6"/>
                            </w:rPr>
                            <w:t xml:space="preserve"> </w:t>
                          </w:r>
                          <w:r>
                            <w:t>Federal</w:t>
                          </w:r>
                          <w:r>
                            <w:rPr>
                              <w:spacing w:val="-7"/>
                            </w:rPr>
                            <w:t xml:space="preserve"> </w:t>
                          </w:r>
                          <w:r>
                            <w:t>Employees</w:t>
                          </w:r>
                          <w:r>
                            <w:rPr>
                              <w:spacing w:val="-6"/>
                            </w:rPr>
                            <w:t xml:space="preserve"> </w:t>
                          </w:r>
                          <w:r>
                            <w:t>Health</w:t>
                          </w:r>
                          <w:r>
                            <w:rPr>
                              <w:spacing w:val="-7"/>
                            </w:rPr>
                            <w:t xml:space="preserve"> </w:t>
                          </w:r>
                          <w:r>
                            <w:t>Benefits</w:t>
                          </w:r>
                          <w:r>
                            <w:rPr>
                              <w:spacing w:val="-6"/>
                            </w:rPr>
                            <w:t xml:space="preserve"> </w:t>
                          </w:r>
                          <w:r>
                            <w:t>Act</w:t>
                          </w:r>
                          <w:r>
                            <w:rPr>
                              <w:spacing w:val="-6"/>
                            </w:rPr>
                            <w:t xml:space="preserve"> </w:t>
                          </w:r>
                          <w:r>
                            <w:t>(FEHBA),</w:t>
                          </w:r>
                          <w:r>
                            <w:rPr>
                              <w:spacing w:val="-7"/>
                            </w:rPr>
                            <w:t xml:space="preserve"> </w:t>
                          </w:r>
                          <w:r>
                            <w:t>as</w:t>
                          </w:r>
                          <w:r>
                            <w:rPr>
                              <w:spacing w:val="-5"/>
                            </w:rPr>
                            <w:t xml:space="preserve"> </w:t>
                          </w:r>
                          <w:r>
                            <w:t>Provided</w:t>
                          </w:r>
                          <w:r>
                            <w:rPr>
                              <w:spacing w:val="-7"/>
                            </w:rPr>
                            <w:t xml:space="preserve"> </w:t>
                          </w:r>
                          <w:r>
                            <w:t>in</w:t>
                          </w:r>
                          <w:r>
                            <w:rPr>
                              <w:spacing w:val="-7"/>
                            </w:rPr>
                            <w:t xml:space="preserve"> </w:t>
                          </w:r>
                          <w:r>
                            <w:t>5</w:t>
                          </w:r>
                          <w:r>
                            <w:rPr>
                              <w:spacing w:val="-7"/>
                            </w:rPr>
                            <w:t xml:space="preserve"> </w:t>
                          </w:r>
                          <w:r>
                            <w:t>U.S.C.</w:t>
                          </w:r>
                          <w:r>
                            <w:rPr>
                              <w:spacing w:val="-6"/>
                            </w:rPr>
                            <w:t xml:space="preserve"> </w:t>
                          </w:r>
                          <w:r>
                            <w:t>Chapter</w:t>
                          </w:r>
                          <w:r>
                            <w:rPr>
                              <w:spacing w:val="-6"/>
                            </w:rPr>
                            <w:t xml:space="preserve"> </w:t>
                          </w:r>
                          <w:r>
                            <w:rPr>
                              <w:spacing w:val="-5"/>
                            </w:rPr>
                            <w:t>89</w:t>
                          </w:r>
                        </w:p>
                      </w:txbxContent>
                    </wps:txbx>
                    <wps:bodyPr wrap="square" lIns="0" tIns="0" rIns="0" bIns="0" rtlCol="0">
                      <a:noAutofit/>
                    </wps:bodyPr>
                  </wps:wsp>
                </a:graphicData>
              </a:graphic>
            </wp:anchor>
          </w:drawing>
        </mc:Choice>
        <mc:Fallback>
          <w:pict>
            <v:shapetype w14:anchorId="0DFDDB58" id="_x0000_t202" coordsize="21600,21600" o:spt="202" path="m,l,21600r21600,l21600,xe">
              <v:stroke joinstyle="miter"/>
              <v:path gradientshapeok="t" o:connecttype="rect"/>
            </v:shapetype>
            <v:shape id="Textbox 760" o:spid="_x0000_s1267" type="#_x0000_t202" style="position:absolute;margin-left:53pt;margin-top:38.6pt;width:446.55pt;height:26.95pt;z-index:-2706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" filled="f" stroked="f">
              <v:textbox inset="0,0,0,0">
                <w:txbxContent>
                  <w:p w14:paraId="0DFDDEDD" w14:textId="77777777" w:rsidR="00046465" w:rsidRDefault="008134EB">
                    <w:pPr>
                      <w:pStyle w:val="BodyText"/>
                      <w:spacing w:before="12"/>
                      <w:ind w:left="20"/>
                    </w:pPr>
                    <w:r>
                      <w:rPr>
                        <w:spacing w:val="-2"/>
                      </w:rPr>
                      <w:t>Compliance</w:t>
                    </w:r>
                  </w:p>
                  <w:p w14:paraId="0DFDDEDE" w14:textId="77777777" w:rsidR="00046465" w:rsidRDefault="008134EB">
                    <w:pPr>
                      <w:pStyle w:val="BodyText"/>
                      <w:ind w:left="20"/>
                    </w:pPr>
                    <w:r>
                      <w:t>809</w:t>
                    </w:r>
                    <w:r>
                      <w:rPr>
                        <w:spacing w:val="-7"/>
                      </w:rPr>
                      <w:t xml:space="preserve"> </w:t>
                    </w:r>
                    <w:r>
                      <w:t>-</w:t>
                    </w:r>
                    <w:r>
                      <w:rPr>
                        <w:spacing w:val="-6"/>
                      </w:rPr>
                      <w:t xml:space="preserve"> </w:t>
                    </w:r>
                    <w:r>
                      <w:t>Federal</w:t>
                    </w:r>
                    <w:r>
                      <w:rPr>
                        <w:spacing w:val="-7"/>
                      </w:rPr>
                      <w:t xml:space="preserve"> </w:t>
                    </w:r>
                    <w:r>
                      <w:t>Employees</w:t>
                    </w:r>
                    <w:r>
                      <w:rPr>
                        <w:spacing w:val="-6"/>
                      </w:rPr>
                      <w:t xml:space="preserve"> </w:t>
                    </w:r>
                    <w:r>
                      <w:t>Health</w:t>
                    </w:r>
                    <w:r>
                      <w:rPr>
                        <w:spacing w:val="-7"/>
                      </w:rPr>
                      <w:t xml:space="preserve"> </w:t>
                    </w:r>
                    <w:r>
                      <w:t>Benefits</w:t>
                    </w:r>
                    <w:r>
                      <w:rPr>
                        <w:spacing w:val="-6"/>
                      </w:rPr>
                      <w:t xml:space="preserve"> </w:t>
                    </w:r>
                    <w:r>
                      <w:t>Act</w:t>
                    </w:r>
                    <w:r>
                      <w:rPr>
                        <w:spacing w:val="-6"/>
                      </w:rPr>
                      <w:t xml:space="preserve"> </w:t>
                    </w:r>
                    <w:r>
                      <w:t>(FEHBA),</w:t>
                    </w:r>
                    <w:r>
                      <w:rPr>
                        <w:spacing w:val="-7"/>
                      </w:rPr>
                      <w:t xml:space="preserve"> </w:t>
                    </w:r>
                    <w:r>
                      <w:t>as</w:t>
                    </w:r>
                    <w:r>
                      <w:rPr>
                        <w:spacing w:val="-5"/>
                      </w:rPr>
                      <w:t xml:space="preserve"> </w:t>
                    </w:r>
                    <w:r>
                      <w:t>Provided</w:t>
                    </w:r>
                    <w:r>
                      <w:rPr>
                        <w:spacing w:val="-7"/>
                      </w:rPr>
                      <w:t xml:space="preserve"> </w:t>
                    </w:r>
                    <w:r>
                      <w:t>in</w:t>
                    </w:r>
                    <w:r>
                      <w:rPr>
                        <w:spacing w:val="-7"/>
                      </w:rPr>
                      <w:t xml:space="preserve"> </w:t>
                    </w:r>
                    <w:r>
                      <w:t>5</w:t>
                    </w:r>
                    <w:r>
                      <w:rPr>
                        <w:spacing w:val="-7"/>
                      </w:rPr>
                      <w:t xml:space="preserve"> </w:t>
                    </w:r>
                    <w:r>
                      <w:t>U.S.C.</w:t>
                    </w:r>
                    <w:r>
                      <w:rPr>
                        <w:spacing w:val="-6"/>
                      </w:rPr>
                      <w:t xml:space="preserve"> </w:t>
                    </w:r>
                    <w:r>
                      <w:t>Chapter</w:t>
                    </w:r>
                    <w:r>
                      <w:rPr>
                        <w:spacing w:val="-6"/>
                      </w:rPr>
                      <w:t xml:space="preserve"> </w:t>
                    </w:r>
                    <w:r>
                      <w:rPr>
                        <w:spacing w:val="-5"/>
                      </w:rPr>
                      <w:t>89</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8"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51136" behindDoc="1" locked="0" layoutInCell="1" allowOverlap="1" wp14:anchorId="0DFDDB62" wp14:editId="0DFDDB63">
              <wp:simplePos x="0" y="0"/>
              <wp:positionH relativeFrom="page">
                <wp:posOffset>895350</wp:posOffset>
              </wp:positionH>
              <wp:positionV relativeFrom="page">
                <wp:posOffset>457962</wp:posOffset>
              </wp:positionV>
              <wp:extent cx="5981700" cy="28575"/>
              <wp:effectExtent l="0" t="0" r="0" b="0"/>
              <wp:wrapNone/>
              <wp:docPr id="778" name="Graphic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402693" id="Graphic 778" o:spid="_x0000_s1026" style="position:absolute;margin-left:70.5pt;margin-top:36.05pt;width:471pt;height:2.25pt;z-index:-270653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51648" behindDoc="1" locked="0" layoutInCell="1" allowOverlap="1" wp14:anchorId="0DFDDB64" wp14:editId="0DFDDB65">
              <wp:simplePos x="0" y="0"/>
              <wp:positionH relativeFrom="page">
                <wp:posOffset>895350</wp:posOffset>
              </wp:positionH>
              <wp:positionV relativeFrom="page">
                <wp:posOffset>832103</wp:posOffset>
              </wp:positionV>
              <wp:extent cx="5981700" cy="28575"/>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2A96F5" id="Graphic 779" o:spid="_x0000_s1026" style="position:absolute;margin-left:70.5pt;margin-top:65.5pt;width:471pt;height:2.25pt;z-index:-270648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52160" behindDoc="1" locked="0" layoutInCell="1" allowOverlap="1" wp14:anchorId="0DFDDB66" wp14:editId="0DFDDB67">
              <wp:simplePos x="0" y="0"/>
              <wp:positionH relativeFrom="page">
                <wp:posOffset>901700</wp:posOffset>
              </wp:positionH>
              <wp:positionV relativeFrom="page">
                <wp:posOffset>490475</wp:posOffset>
              </wp:positionV>
              <wp:extent cx="5671185" cy="342265"/>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1185" cy="342265"/>
                      </a:xfrm>
                      <a:prstGeom prst="rect">
                        <a:avLst/>
                      </a:prstGeom>
                    </wps:spPr>
                    <wps:txbx>
                      <w:txbxContent>
                        <w:p w14:paraId="0DFDDEE2" w14:textId="77777777" w:rsidR="00046465" w:rsidRDefault="008134EB">
                          <w:pPr>
                            <w:pStyle w:val="BodyText"/>
                            <w:spacing w:before="12"/>
                            <w:ind w:left="20"/>
                          </w:pPr>
                          <w:r>
                            <w:rPr>
                              <w:spacing w:val="-2"/>
                            </w:rPr>
                            <w:t>Compliance</w:t>
                          </w:r>
                        </w:p>
                        <w:p w14:paraId="0DFDDEE3" w14:textId="77777777" w:rsidR="00046465" w:rsidRDefault="008134EB">
                          <w:pPr>
                            <w:pStyle w:val="BodyText"/>
                            <w:ind w:left="20"/>
                          </w:pPr>
                          <w:r>
                            <w:t>809</w:t>
                          </w:r>
                          <w:r>
                            <w:rPr>
                              <w:spacing w:val="-7"/>
                            </w:rPr>
                            <w:t xml:space="preserve"> </w:t>
                          </w:r>
                          <w:r>
                            <w:t>-</w:t>
                          </w:r>
                          <w:r>
                            <w:rPr>
                              <w:spacing w:val="-6"/>
                            </w:rPr>
                            <w:t xml:space="preserve"> </w:t>
                          </w:r>
                          <w:r>
                            <w:t>Federal</w:t>
                          </w:r>
                          <w:r>
                            <w:rPr>
                              <w:spacing w:val="-7"/>
                            </w:rPr>
                            <w:t xml:space="preserve"> </w:t>
                          </w:r>
                          <w:r>
                            <w:t>Employees</w:t>
                          </w:r>
                          <w:r>
                            <w:rPr>
                              <w:spacing w:val="-6"/>
                            </w:rPr>
                            <w:t xml:space="preserve"> </w:t>
                          </w:r>
                          <w:r>
                            <w:t>Health</w:t>
                          </w:r>
                          <w:r>
                            <w:rPr>
                              <w:spacing w:val="-7"/>
                            </w:rPr>
                            <w:t xml:space="preserve"> </w:t>
                          </w:r>
                          <w:r>
                            <w:t>Benefits</w:t>
                          </w:r>
                          <w:r>
                            <w:rPr>
                              <w:spacing w:val="-6"/>
                            </w:rPr>
                            <w:t xml:space="preserve"> </w:t>
                          </w:r>
                          <w:r>
                            <w:t>Act</w:t>
                          </w:r>
                          <w:r>
                            <w:rPr>
                              <w:spacing w:val="-6"/>
                            </w:rPr>
                            <w:t xml:space="preserve"> </w:t>
                          </w:r>
                          <w:r>
                            <w:t>(FEHBA),</w:t>
                          </w:r>
                          <w:r>
                            <w:rPr>
                              <w:spacing w:val="-7"/>
                            </w:rPr>
                            <w:t xml:space="preserve"> </w:t>
                          </w:r>
                          <w:r>
                            <w:t>as</w:t>
                          </w:r>
                          <w:r>
                            <w:rPr>
                              <w:spacing w:val="-5"/>
                            </w:rPr>
                            <w:t xml:space="preserve"> </w:t>
                          </w:r>
                          <w:r>
                            <w:t>Provided</w:t>
                          </w:r>
                          <w:r>
                            <w:rPr>
                              <w:spacing w:val="-7"/>
                            </w:rPr>
                            <w:t xml:space="preserve"> </w:t>
                          </w:r>
                          <w:r>
                            <w:t>in</w:t>
                          </w:r>
                          <w:r>
                            <w:rPr>
                              <w:spacing w:val="-7"/>
                            </w:rPr>
                            <w:t xml:space="preserve"> </w:t>
                          </w:r>
                          <w:r>
                            <w:t>5</w:t>
                          </w:r>
                          <w:r>
                            <w:rPr>
                              <w:spacing w:val="-7"/>
                            </w:rPr>
                            <w:t xml:space="preserve"> </w:t>
                          </w:r>
                          <w:r>
                            <w:t>U.S.C.</w:t>
                          </w:r>
                          <w:r>
                            <w:rPr>
                              <w:spacing w:val="-6"/>
                            </w:rPr>
                            <w:t xml:space="preserve"> </w:t>
                          </w:r>
                          <w:r>
                            <w:t>Chapter</w:t>
                          </w:r>
                          <w:r>
                            <w:rPr>
                              <w:spacing w:val="-6"/>
                            </w:rPr>
                            <w:t xml:space="preserve"> </w:t>
                          </w:r>
                          <w:r>
                            <w:rPr>
                              <w:spacing w:val="-5"/>
                            </w:rPr>
                            <w:t>89</w:t>
                          </w:r>
                        </w:p>
                      </w:txbxContent>
                    </wps:txbx>
                    <wps:bodyPr wrap="square" lIns="0" tIns="0" rIns="0" bIns="0" rtlCol="0">
                      <a:noAutofit/>
                    </wps:bodyPr>
                  </wps:wsp>
                </a:graphicData>
              </a:graphic>
            </wp:anchor>
          </w:drawing>
        </mc:Choice>
        <mc:Fallback>
          <w:pict>
            <v:shapetype w14:anchorId="0DFDDB66" id="_x0000_t202" coordsize="21600,21600" o:spt="202" path="m,l,21600r21600,l21600,xe">
              <v:stroke joinstyle="miter"/>
              <v:path gradientshapeok="t" o:connecttype="rect"/>
            </v:shapetype>
            <v:shape id="Textbox 780" o:spid="_x0000_s1271" type="#_x0000_t202" style="position:absolute;margin-left:71pt;margin-top:38.6pt;width:446.55pt;height:26.95pt;z-index:-2706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" filled="f" stroked="f">
              <v:textbox inset="0,0,0,0">
                <w:txbxContent>
                  <w:p w14:paraId="0DFDDEE2" w14:textId="77777777" w:rsidR="00046465" w:rsidRDefault="008134EB">
                    <w:pPr>
                      <w:pStyle w:val="BodyText"/>
                      <w:spacing w:before="12"/>
                      <w:ind w:left="20"/>
                    </w:pPr>
                    <w:r>
                      <w:rPr>
                        <w:spacing w:val="-2"/>
                      </w:rPr>
                      <w:t>Compliance</w:t>
                    </w:r>
                  </w:p>
                  <w:p w14:paraId="0DFDDEE3" w14:textId="77777777" w:rsidR="00046465" w:rsidRDefault="008134EB">
                    <w:pPr>
                      <w:pStyle w:val="BodyText"/>
                      <w:ind w:left="20"/>
                    </w:pPr>
                    <w:r>
                      <w:t>809</w:t>
                    </w:r>
                    <w:r>
                      <w:rPr>
                        <w:spacing w:val="-7"/>
                      </w:rPr>
                      <w:t xml:space="preserve"> </w:t>
                    </w:r>
                    <w:r>
                      <w:t>-</w:t>
                    </w:r>
                    <w:r>
                      <w:rPr>
                        <w:spacing w:val="-6"/>
                      </w:rPr>
                      <w:t xml:space="preserve"> </w:t>
                    </w:r>
                    <w:r>
                      <w:t>Federal</w:t>
                    </w:r>
                    <w:r>
                      <w:rPr>
                        <w:spacing w:val="-7"/>
                      </w:rPr>
                      <w:t xml:space="preserve"> </w:t>
                    </w:r>
                    <w:r>
                      <w:t>Employees</w:t>
                    </w:r>
                    <w:r>
                      <w:rPr>
                        <w:spacing w:val="-6"/>
                      </w:rPr>
                      <w:t xml:space="preserve"> </w:t>
                    </w:r>
                    <w:r>
                      <w:t>Health</w:t>
                    </w:r>
                    <w:r>
                      <w:rPr>
                        <w:spacing w:val="-7"/>
                      </w:rPr>
                      <w:t xml:space="preserve"> </w:t>
                    </w:r>
                    <w:r>
                      <w:t>Benefits</w:t>
                    </w:r>
                    <w:r>
                      <w:rPr>
                        <w:spacing w:val="-6"/>
                      </w:rPr>
                      <w:t xml:space="preserve"> </w:t>
                    </w:r>
                    <w:r>
                      <w:t>Act</w:t>
                    </w:r>
                    <w:r>
                      <w:rPr>
                        <w:spacing w:val="-6"/>
                      </w:rPr>
                      <w:t xml:space="preserve"> </w:t>
                    </w:r>
                    <w:r>
                      <w:t>(FEHBA),</w:t>
                    </w:r>
                    <w:r>
                      <w:rPr>
                        <w:spacing w:val="-7"/>
                      </w:rPr>
                      <w:t xml:space="preserve"> </w:t>
                    </w:r>
                    <w:r>
                      <w:t>as</w:t>
                    </w:r>
                    <w:r>
                      <w:rPr>
                        <w:spacing w:val="-5"/>
                      </w:rPr>
                      <w:t xml:space="preserve"> </w:t>
                    </w:r>
                    <w:r>
                      <w:t>Provided</w:t>
                    </w:r>
                    <w:r>
                      <w:rPr>
                        <w:spacing w:val="-7"/>
                      </w:rPr>
                      <w:t xml:space="preserve"> </w:t>
                    </w:r>
                    <w:r>
                      <w:t>in</w:t>
                    </w:r>
                    <w:r>
                      <w:rPr>
                        <w:spacing w:val="-7"/>
                      </w:rPr>
                      <w:t xml:space="preserve"> </w:t>
                    </w:r>
                    <w:r>
                      <w:t>5</w:t>
                    </w:r>
                    <w:r>
                      <w:rPr>
                        <w:spacing w:val="-7"/>
                      </w:rPr>
                      <w:t xml:space="preserve"> </w:t>
                    </w:r>
                    <w:r>
                      <w:t>U.S.C.</w:t>
                    </w:r>
                    <w:r>
                      <w:rPr>
                        <w:spacing w:val="-6"/>
                      </w:rPr>
                      <w:t xml:space="preserve"> </w:t>
                    </w:r>
                    <w:r>
                      <w:t>Chapter</w:t>
                    </w:r>
                    <w:r>
                      <w:rPr>
                        <w:spacing w:val="-6"/>
                      </w:rPr>
                      <w:t xml:space="preserve"> </w:t>
                    </w:r>
                    <w:r>
                      <w:rPr>
                        <w:spacing w:val="-5"/>
                      </w:rPr>
                      <w:t>89</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A"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54720" behindDoc="1" locked="0" layoutInCell="1" allowOverlap="1" wp14:anchorId="0DFDDB70" wp14:editId="0DFDDB71">
              <wp:simplePos x="0" y="0"/>
              <wp:positionH relativeFrom="page">
                <wp:posOffset>666750</wp:posOffset>
              </wp:positionH>
              <wp:positionV relativeFrom="page">
                <wp:posOffset>457962</wp:posOffset>
              </wp:positionV>
              <wp:extent cx="8496300" cy="28575"/>
              <wp:effectExtent l="0" t="0" r="0" b="0"/>
              <wp:wrapNone/>
              <wp:docPr id="786" name="Graphic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9FD857" id="Graphic 786" o:spid="_x0000_s1026" style="position:absolute;margin-left:52.5pt;margin-top:36.05pt;width:669pt;height:2.25pt;z-index:-27061760;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" path="m8496300,l,,,28194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55232" behindDoc="1" locked="0" layoutInCell="1" allowOverlap="1" wp14:anchorId="0DFDDB72" wp14:editId="0DFDDB73">
              <wp:simplePos x="0" y="0"/>
              <wp:positionH relativeFrom="page">
                <wp:posOffset>666750</wp:posOffset>
              </wp:positionH>
              <wp:positionV relativeFrom="page">
                <wp:posOffset>832103</wp:posOffset>
              </wp:positionV>
              <wp:extent cx="8496300" cy="28575"/>
              <wp:effectExtent l="0" t="0" r="0" b="0"/>
              <wp:wrapNone/>
              <wp:docPr id="78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96300" cy="28575"/>
                      </a:xfrm>
                      <a:custGeom>
                        <a:avLst/>
                        <a:gdLst/>
                        <a:ahLst/>
                        <a:cxnLst/>
                        <a:rect l="l" t="t" r="r" b="b"/>
                        <a:pathLst>
                          <a:path w="8496300" h="28575">
                            <a:moveTo>
                              <a:pt x="8496300" y="0"/>
                            </a:moveTo>
                            <a:lnTo>
                              <a:pt x="0" y="0"/>
                            </a:lnTo>
                            <a:lnTo>
                              <a:pt x="0" y="28194"/>
                            </a:lnTo>
                            <a:lnTo>
                              <a:pt x="8496300" y="28194"/>
                            </a:lnTo>
                            <a:lnTo>
                              <a:pt x="8496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F77196" id="Graphic 787" o:spid="_x0000_s1026" style="position:absolute;margin-left:52.5pt;margin-top:65.5pt;width:669pt;height:2.25pt;z-index:-27061248;visibility:visible;mso-wrap-style:square;mso-wrap-distance-left:0;mso-wrap-distance-top:0;mso-wrap-distance-right:0;mso-wrap-distance-bottom:0;mso-position-horizontal:absolute;mso-position-horizontal-relative:page;mso-position-vertical:absolute;mso-position-vertical-relative:page;v-text-anchor:top" coordsize="84963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" path="m8496300,l,,,28194r8496300,l8496300,xe" fillcolor="black" stroked="f">
              <v:path arrowok="t"/>
              <w10:wrap anchorx="page" anchory="page"/>
            </v:shape>
          </w:pict>
        </mc:Fallback>
      </mc:AlternateContent>
    </w:r>
    <w:r>
      <w:rPr>
        <w:noProof/>
        <w:sz w:val="20"/>
      </w:rPr>
      <mc:AlternateContent>
        <mc:Choice Requires="wps">
          <w:drawing>
            <wp:anchor distT="0" distB="0" distL="0" distR="0" simplePos="0" relativeHeight="476255744" behindDoc="1" locked="0" layoutInCell="1" allowOverlap="1" wp14:anchorId="0DFDDB74" wp14:editId="0DFDDB75">
              <wp:simplePos x="0" y="0"/>
              <wp:positionH relativeFrom="page">
                <wp:posOffset>673100</wp:posOffset>
              </wp:positionH>
              <wp:positionV relativeFrom="page">
                <wp:posOffset>490475</wp:posOffset>
              </wp:positionV>
              <wp:extent cx="5588635" cy="342265"/>
              <wp:effectExtent l="0" t="0" r="0" b="0"/>
              <wp:wrapNone/>
              <wp:docPr id="788" name="Text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635" cy="342265"/>
                      </a:xfrm>
                      <a:prstGeom prst="rect">
                        <a:avLst/>
                      </a:prstGeom>
                    </wps:spPr>
                    <wps:txbx>
                      <w:txbxContent>
                        <w:p w14:paraId="0DFDDEE7" w14:textId="77777777" w:rsidR="00046465" w:rsidRDefault="008134EB">
                          <w:pPr>
                            <w:pStyle w:val="BodyText"/>
                            <w:spacing w:before="12"/>
                            <w:ind w:left="20"/>
                          </w:pPr>
                          <w:r>
                            <w:rPr>
                              <w:spacing w:val="-2"/>
                            </w:rPr>
                            <w:t>Compliance</w:t>
                          </w:r>
                        </w:p>
                        <w:p w14:paraId="0DFDDEE8" w14:textId="77777777" w:rsidR="00046465" w:rsidRDefault="008134EB">
                          <w:pPr>
                            <w:pStyle w:val="BodyText"/>
                            <w:ind w:left="20"/>
                          </w:pPr>
                          <w:r>
                            <w:t>810</w:t>
                          </w:r>
                          <w:r>
                            <w:rPr>
                              <w:spacing w:val="-7"/>
                            </w:rPr>
                            <w:t xml:space="preserve"> </w:t>
                          </w:r>
                          <w:r>
                            <w:t>–</w:t>
                          </w:r>
                          <w:r>
                            <w:rPr>
                              <w:spacing w:val="-7"/>
                            </w:rPr>
                            <w:t xml:space="preserve"> </w:t>
                          </w:r>
                          <w:r>
                            <w:t>Federal</w:t>
                          </w:r>
                          <w:r>
                            <w:rPr>
                              <w:spacing w:val="-7"/>
                            </w:rPr>
                            <w:t xml:space="preserve"> </w:t>
                          </w:r>
                          <w:r>
                            <w:t>Employees'</w:t>
                          </w:r>
                          <w:r>
                            <w:rPr>
                              <w:spacing w:val="-7"/>
                            </w:rPr>
                            <w:t xml:space="preserve"> </w:t>
                          </w:r>
                          <w:r>
                            <w:t>Compensation</w:t>
                          </w:r>
                          <w:r>
                            <w:rPr>
                              <w:spacing w:val="-7"/>
                            </w:rPr>
                            <w:t xml:space="preserve"> </w:t>
                          </w:r>
                          <w:r>
                            <w:t>Act</w:t>
                          </w:r>
                          <w:r>
                            <w:rPr>
                              <w:spacing w:val="-7"/>
                            </w:rPr>
                            <w:t xml:space="preserve"> </w:t>
                          </w:r>
                          <w:r>
                            <w:t>(FECA),</w:t>
                          </w:r>
                          <w:r>
                            <w:rPr>
                              <w:spacing w:val="-7"/>
                            </w:rPr>
                            <w:t xml:space="preserve"> </w:t>
                          </w:r>
                          <w:r>
                            <w:t>as</w:t>
                          </w:r>
                          <w:r>
                            <w:rPr>
                              <w:spacing w:val="-6"/>
                            </w:rPr>
                            <w:t xml:space="preserve"> </w:t>
                          </w:r>
                          <w:r>
                            <w:t>Provided</w:t>
                          </w:r>
                          <w:r>
                            <w:rPr>
                              <w:spacing w:val="-7"/>
                            </w:rPr>
                            <w:t xml:space="preserve"> </w:t>
                          </w:r>
                          <w:r>
                            <w:t>in</w:t>
                          </w:r>
                          <w:r>
                            <w:rPr>
                              <w:spacing w:val="-7"/>
                            </w:rPr>
                            <w:t xml:space="preserve"> </w:t>
                          </w:r>
                          <w:r>
                            <w:t>5</w:t>
                          </w:r>
                          <w:r>
                            <w:rPr>
                              <w:spacing w:val="-8"/>
                            </w:rPr>
                            <w:t xml:space="preserve"> </w:t>
                          </w:r>
                          <w:r>
                            <w:t>U.S.C.</w:t>
                          </w:r>
                          <w:r>
                            <w:rPr>
                              <w:spacing w:val="-7"/>
                            </w:rPr>
                            <w:t xml:space="preserve"> </w:t>
                          </w:r>
                          <w:r>
                            <w:t>Chapter</w:t>
                          </w:r>
                          <w:r>
                            <w:rPr>
                              <w:spacing w:val="-7"/>
                            </w:rPr>
                            <w:t xml:space="preserve"> </w:t>
                          </w:r>
                          <w:r>
                            <w:rPr>
                              <w:spacing w:val="-5"/>
                            </w:rPr>
                            <w:t>81</w:t>
                          </w:r>
                        </w:p>
                      </w:txbxContent>
                    </wps:txbx>
                    <wps:bodyPr wrap="square" lIns="0" tIns="0" rIns="0" bIns="0" rtlCol="0">
                      <a:noAutofit/>
                    </wps:bodyPr>
                  </wps:wsp>
                </a:graphicData>
              </a:graphic>
            </wp:anchor>
          </w:drawing>
        </mc:Choice>
        <mc:Fallback>
          <w:pict>
            <v:shapetype w14:anchorId="0DFDDB74" id="_x0000_t202" coordsize="21600,21600" o:spt="202" path="m,l,21600r21600,l21600,xe">
              <v:stroke joinstyle="miter"/>
              <v:path gradientshapeok="t" o:connecttype="rect"/>
            </v:shapetype>
            <v:shape id="Textbox 788" o:spid="_x0000_s1275" type="#_x0000_t202" style="position:absolute;margin-left:53pt;margin-top:38.6pt;width:440.05pt;height:26.95pt;z-index:-2706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" filled="f" stroked="f">
              <v:textbox inset="0,0,0,0">
                <w:txbxContent>
                  <w:p w14:paraId="0DFDDEE7" w14:textId="77777777" w:rsidR="00046465" w:rsidRDefault="008134EB">
                    <w:pPr>
                      <w:pStyle w:val="BodyText"/>
                      <w:spacing w:before="12"/>
                      <w:ind w:left="20"/>
                    </w:pPr>
                    <w:r>
                      <w:rPr>
                        <w:spacing w:val="-2"/>
                      </w:rPr>
                      <w:t>Compliance</w:t>
                    </w:r>
                  </w:p>
                  <w:p w14:paraId="0DFDDEE8" w14:textId="77777777" w:rsidR="00046465" w:rsidRDefault="008134EB">
                    <w:pPr>
                      <w:pStyle w:val="BodyText"/>
                      <w:ind w:left="20"/>
                    </w:pPr>
                    <w:r>
                      <w:t>810</w:t>
                    </w:r>
                    <w:r>
                      <w:rPr>
                        <w:spacing w:val="-7"/>
                      </w:rPr>
                      <w:t xml:space="preserve"> </w:t>
                    </w:r>
                    <w:r>
                      <w:t>–</w:t>
                    </w:r>
                    <w:r>
                      <w:rPr>
                        <w:spacing w:val="-7"/>
                      </w:rPr>
                      <w:t xml:space="preserve"> </w:t>
                    </w:r>
                    <w:r>
                      <w:t>Federal</w:t>
                    </w:r>
                    <w:r>
                      <w:rPr>
                        <w:spacing w:val="-7"/>
                      </w:rPr>
                      <w:t xml:space="preserve"> </w:t>
                    </w:r>
                    <w:r>
                      <w:t>Employees'</w:t>
                    </w:r>
                    <w:r>
                      <w:rPr>
                        <w:spacing w:val="-7"/>
                      </w:rPr>
                      <w:t xml:space="preserve"> </w:t>
                    </w:r>
                    <w:r>
                      <w:t>Compensation</w:t>
                    </w:r>
                    <w:r>
                      <w:rPr>
                        <w:spacing w:val="-7"/>
                      </w:rPr>
                      <w:t xml:space="preserve"> </w:t>
                    </w:r>
                    <w:r>
                      <w:t>Act</w:t>
                    </w:r>
                    <w:r>
                      <w:rPr>
                        <w:spacing w:val="-7"/>
                      </w:rPr>
                      <w:t xml:space="preserve"> </w:t>
                    </w:r>
                    <w:r>
                      <w:t>(FECA),</w:t>
                    </w:r>
                    <w:r>
                      <w:rPr>
                        <w:spacing w:val="-7"/>
                      </w:rPr>
                      <w:t xml:space="preserve"> </w:t>
                    </w:r>
                    <w:r>
                      <w:t>as</w:t>
                    </w:r>
                    <w:r>
                      <w:rPr>
                        <w:spacing w:val="-6"/>
                      </w:rPr>
                      <w:t xml:space="preserve"> </w:t>
                    </w:r>
                    <w:r>
                      <w:t>Provided</w:t>
                    </w:r>
                    <w:r>
                      <w:rPr>
                        <w:spacing w:val="-7"/>
                      </w:rPr>
                      <w:t xml:space="preserve"> </w:t>
                    </w:r>
                    <w:r>
                      <w:t>in</w:t>
                    </w:r>
                    <w:r>
                      <w:rPr>
                        <w:spacing w:val="-7"/>
                      </w:rPr>
                      <w:t xml:space="preserve"> </w:t>
                    </w:r>
                    <w:r>
                      <w:t>5</w:t>
                    </w:r>
                    <w:r>
                      <w:rPr>
                        <w:spacing w:val="-8"/>
                      </w:rPr>
                      <w:t xml:space="preserve"> </w:t>
                    </w:r>
                    <w:r>
                      <w:t>U.S.C.</w:t>
                    </w:r>
                    <w:r>
                      <w:rPr>
                        <w:spacing w:val="-7"/>
                      </w:rPr>
                      <w:t xml:space="preserve"> </w:t>
                    </w:r>
                    <w:r>
                      <w:t>Chapter</w:t>
                    </w:r>
                    <w:r>
                      <w:rPr>
                        <w:spacing w:val="-7"/>
                      </w:rPr>
                      <w:t xml:space="preserve"> </w:t>
                    </w:r>
                    <w:r>
                      <w:rPr>
                        <w:spacing w:val="-5"/>
                      </w:rPr>
                      <w:t>81</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C"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58304" behindDoc="1" locked="0" layoutInCell="1" allowOverlap="1" wp14:anchorId="0DFDDB7E" wp14:editId="0DFDDB7F">
              <wp:simplePos x="0" y="0"/>
              <wp:positionH relativeFrom="page">
                <wp:posOffset>838200</wp:posOffset>
              </wp:positionH>
              <wp:positionV relativeFrom="page">
                <wp:posOffset>457962</wp:posOffset>
              </wp:positionV>
              <wp:extent cx="6038850" cy="28575"/>
              <wp:effectExtent l="0" t="0" r="0" b="0"/>
              <wp:wrapNone/>
              <wp:docPr id="811" name="Graphic 8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28575"/>
                      </a:xfrm>
                      <a:custGeom>
                        <a:avLst/>
                        <a:gdLst/>
                        <a:ahLst/>
                        <a:cxnLst/>
                        <a:rect l="l" t="t" r="r" b="b"/>
                        <a:pathLst>
                          <a:path w="6038850" h="28575">
                            <a:moveTo>
                              <a:pt x="6038850" y="0"/>
                            </a:moveTo>
                            <a:lnTo>
                              <a:pt x="0" y="0"/>
                            </a:lnTo>
                            <a:lnTo>
                              <a:pt x="0" y="28194"/>
                            </a:lnTo>
                            <a:lnTo>
                              <a:pt x="6038850" y="28194"/>
                            </a:lnTo>
                            <a:lnTo>
                              <a:pt x="6038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730AB1" id="Graphic 811" o:spid="_x0000_s1026" style="position:absolute;margin-left:66pt;margin-top:36.05pt;width:475.5pt;height:2.25pt;z-index:-27058176;visibility:visible;mso-wrap-style:square;mso-wrap-distance-left:0;mso-wrap-distance-top:0;mso-wrap-distance-right:0;mso-wrap-distance-bottom:0;mso-position-horizontal:absolute;mso-position-horizontal-relative:page;mso-position-vertical:absolute;mso-position-vertical-relative:page;v-text-anchor:top" coordsize="60388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" path="m6038850,l,,,28194r6038850,l6038850,xe" fillcolor="black" stroked="f">
              <v:path arrowok="t"/>
              <w10:wrap anchorx="page" anchory="page"/>
            </v:shape>
          </w:pict>
        </mc:Fallback>
      </mc:AlternateContent>
    </w:r>
    <w:r>
      <w:rPr>
        <w:noProof/>
        <w:sz w:val="20"/>
      </w:rPr>
      <mc:AlternateContent>
        <mc:Choice Requires="wps">
          <w:drawing>
            <wp:anchor distT="0" distB="0" distL="0" distR="0" simplePos="0" relativeHeight="476258816" behindDoc="1" locked="0" layoutInCell="1" allowOverlap="1" wp14:anchorId="0DFDDB80" wp14:editId="0DFDDB81">
              <wp:simplePos x="0" y="0"/>
              <wp:positionH relativeFrom="page">
                <wp:posOffset>838200</wp:posOffset>
              </wp:positionH>
              <wp:positionV relativeFrom="page">
                <wp:posOffset>832103</wp:posOffset>
              </wp:positionV>
              <wp:extent cx="6038850" cy="28575"/>
              <wp:effectExtent l="0" t="0" r="0" b="0"/>
              <wp:wrapNone/>
              <wp:docPr id="812" name="Graphic 8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28575"/>
                      </a:xfrm>
                      <a:custGeom>
                        <a:avLst/>
                        <a:gdLst/>
                        <a:ahLst/>
                        <a:cxnLst/>
                        <a:rect l="l" t="t" r="r" b="b"/>
                        <a:pathLst>
                          <a:path w="6038850" h="28575">
                            <a:moveTo>
                              <a:pt x="6038850" y="0"/>
                            </a:moveTo>
                            <a:lnTo>
                              <a:pt x="0" y="0"/>
                            </a:lnTo>
                            <a:lnTo>
                              <a:pt x="0" y="28194"/>
                            </a:lnTo>
                            <a:lnTo>
                              <a:pt x="6038850" y="28194"/>
                            </a:lnTo>
                            <a:lnTo>
                              <a:pt x="6038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AFB27A" id="Graphic 812" o:spid="_x0000_s1026" style="position:absolute;margin-left:66pt;margin-top:65.5pt;width:475.5pt;height:2.25pt;z-index:-27057664;visibility:visible;mso-wrap-style:square;mso-wrap-distance-left:0;mso-wrap-distance-top:0;mso-wrap-distance-right:0;mso-wrap-distance-bottom:0;mso-position-horizontal:absolute;mso-position-horizontal-relative:page;mso-position-vertical:absolute;mso-position-vertical-relative:page;v-text-anchor:top" coordsize="60388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" path="m6038850,l,,,28194r6038850,l6038850,xe" fillcolor="black" stroked="f">
              <v:path arrowok="t"/>
              <w10:wrap anchorx="page" anchory="page"/>
            </v:shape>
          </w:pict>
        </mc:Fallback>
      </mc:AlternateContent>
    </w:r>
    <w:r>
      <w:rPr>
        <w:noProof/>
        <w:sz w:val="20"/>
      </w:rPr>
      <mc:AlternateContent>
        <mc:Choice Requires="wps">
          <w:drawing>
            <wp:anchor distT="0" distB="0" distL="0" distR="0" simplePos="0" relativeHeight="476259328" behindDoc="1" locked="0" layoutInCell="1" allowOverlap="1" wp14:anchorId="0DFDDB82" wp14:editId="0DFDDB83">
              <wp:simplePos x="0" y="0"/>
              <wp:positionH relativeFrom="page">
                <wp:posOffset>844550</wp:posOffset>
              </wp:positionH>
              <wp:positionV relativeFrom="page">
                <wp:posOffset>490475</wp:posOffset>
              </wp:positionV>
              <wp:extent cx="5588635" cy="342265"/>
              <wp:effectExtent l="0" t="0" r="0" b="0"/>
              <wp:wrapNone/>
              <wp:docPr id="813" name="Text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8635" cy="342265"/>
                      </a:xfrm>
                      <a:prstGeom prst="rect">
                        <a:avLst/>
                      </a:prstGeom>
                    </wps:spPr>
                    <wps:txbx>
                      <w:txbxContent>
                        <w:p w14:paraId="0DFDDEEC" w14:textId="77777777" w:rsidR="00046465" w:rsidRDefault="008134EB">
                          <w:pPr>
                            <w:pStyle w:val="BodyText"/>
                            <w:spacing w:before="12"/>
                            <w:ind w:left="20"/>
                          </w:pPr>
                          <w:r>
                            <w:rPr>
                              <w:spacing w:val="-2"/>
                            </w:rPr>
                            <w:t>Compliance</w:t>
                          </w:r>
                        </w:p>
                        <w:p w14:paraId="0DFDDEED" w14:textId="77777777" w:rsidR="00046465" w:rsidRDefault="008134EB">
                          <w:pPr>
                            <w:pStyle w:val="BodyText"/>
                            <w:ind w:left="20"/>
                          </w:pPr>
                          <w:r>
                            <w:t>810</w:t>
                          </w:r>
                          <w:r>
                            <w:rPr>
                              <w:spacing w:val="-7"/>
                            </w:rPr>
                            <w:t xml:space="preserve"> </w:t>
                          </w:r>
                          <w:r>
                            <w:t>–</w:t>
                          </w:r>
                          <w:r>
                            <w:rPr>
                              <w:spacing w:val="-7"/>
                            </w:rPr>
                            <w:t xml:space="preserve"> </w:t>
                          </w:r>
                          <w:r>
                            <w:t>Federal</w:t>
                          </w:r>
                          <w:r>
                            <w:rPr>
                              <w:spacing w:val="-7"/>
                            </w:rPr>
                            <w:t xml:space="preserve"> </w:t>
                          </w:r>
                          <w:r>
                            <w:t>Employees'</w:t>
                          </w:r>
                          <w:r>
                            <w:rPr>
                              <w:spacing w:val="-7"/>
                            </w:rPr>
                            <w:t xml:space="preserve"> </w:t>
                          </w:r>
                          <w:r>
                            <w:t>Compensation</w:t>
                          </w:r>
                          <w:r>
                            <w:rPr>
                              <w:spacing w:val="-7"/>
                            </w:rPr>
                            <w:t xml:space="preserve"> </w:t>
                          </w:r>
                          <w:r>
                            <w:t>Act</w:t>
                          </w:r>
                          <w:r>
                            <w:rPr>
                              <w:spacing w:val="-7"/>
                            </w:rPr>
                            <w:t xml:space="preserve"> </w:t>
                          </w:r>
                          <w:r>
                            <w:t>(FECA),</w:t>
                          </w:r>
                          <w:r>
                            <w:rPr>
                              <w:spacing w:val="-7"/>
                            </w:rPr>
                            <w:t xml:space="preserve"> </w:t>
                          </w:r>
                          <w:r>
                            <w:t>as</w:t>
                          </w:r>
                          <w:r>
                            <w:rPr>
                              <w:spacing w:val="-6"/>
                            </w:rPr>
                            <w:t xml:space="preserve"> </w:t>
                          </w:r>
                          <w:r>
                            <w:t>Provided</w:t>
                          </w:r>
                          <w:r>
                            <w:rPr>
                              <w:spacing w:val="-7"/>
                            </w:rPr>
                            <w:t xml:space="preserve"> </w:t>
                          </w:r>
                          <w:r>
                            <w:t>in</w:t>
                          </w:r>
                          <w:r>
                            <w:rPr>
                              <w:spacing w:val="-7"/>
                            </w:rPr>
                            <w:t xml:space="preserve"> </w:t>
                          </w:r>
                          <w:r>
                            <w:t>5</w:t>
                          </w:r>
                          <w:r>
                            <w:rPr>
                              <w:spacing w:val="-8"/>
                            </w:rPr>
                            <w:t xml:space="preserve"> </w:t>
                          </w:r>
                          <w:r>
                            <w:t>U.S.C.</w:t>
                          </w:r>
                          <w:r>
                            <w:rPr>
                              <w:spacing w:val="-7"/>
                            </w:rPr>
                            <w:t xml:space="preserve"> </w:t>
                          </w:r>
                          <w:r>
                            <w:t>Chapter</w:t>
                          </w:r>
                          <w:r>
                            <w:rPr>
                              <w:spacing w:val="-7"/>
                            </w:rPr>
                            <w:t xml:space="preserve"> </w:t>
                          </w:r>
                          <w:r>
                            <w:rPr>
                              <w:spacing w:val="-5"/>
                            </w:rPr>
                            <w:t>81</w:t>
                          </w:r>
                        </w:p>
                      </w:txbxContent>
                    </wps:txbx>
                    <wps:bodyPr wrap="square" lIns="0" tIns="0" rIns="0" bIns="0" rtlCol="0">
                      <a:noAutofit/>
                    </wps:bodyPr>
                  </wps:wsp>
                </a:graphicData>
              </a:graphic>
            </wp:anchor>
          </w:drawing>
        </mc:Choice>
        <mc:Fallback>
          <w:pict>
            <v:shapetype w14:anchorId="0DFDDB82" id="_x0000_t202" coordsize="21600,21600" o:spt="202" path="m,l,21600r21600,l21600,xe">
              <v:stroke joinstyle="miter"/>
              <v:path gradientshapeok="t" o:connecttype="rect"/>
            </v:shapetype>
            <v:shape id="Textbox 813" o:spid="_x0000_s1279" type="#_x0000_t202" style="position:absolute;margin-left:66.5pt;margin-top:38.6pt;width:440.05pt;height:26.95pt;z-index:-2705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" filled="f" stroked="f">
              <v:textbox inset="0,0,0,0">
                <w:txbxContent>
                  <w:p w14:paraId="0DFDDEEC" w14:textId="77777777" w:rsidR="00046465" w:rsidRDefault="008134EB">
                    <w:pPr>
                      <w:pStyle w:val="BodyText"/>
                      <w:spacing w:before="12"/>
                      <w:ind w:left="20"/>
                    </w:pPr>
                    <w:r>
                      <w:rPr>
                        <w:spacing w:val="-2"/>
                      </w:rPr>
                      <w:t>Compliance</w:t>
                    </w:r>
                  </w:p>
                  <w:p w14:paraId="0DFDDEED" w14:textId="77777777" w:rsidR="00046465" w:rsidRDefault="008134EB">
                    <w:pPr>
                      <w:pStyle w:val="BodyText"/>
                      <w:ind w:left="20"/>
                    </w:pPr>
                    <w:r>
                      <w:t>810</w:t>
                    </w:r>
                    <w:r>
                      <w:rPr>
                        <w:spacing w:val="-7"/>
                      </w:rPr>
                      <w:t xml:space="preserve"> </w:t>
                    </w:r>
                    <w:r>
                      <w:t>–</w:t>
                    </w:r>
                    <w:r>
                      <w:rPr>
                        <w:spacing w:val="-7"/>
                      </w:rPr>
                      <w:t xml:space="preserve"> </w:t>
                    </w:r>
                    <w:r>
                      <w:t>Federal</w:t>
                    </w:r>
                    <w:r>
                      <w:rPr>
                        <w:spacing w:val="-7"/>
                      </w:rPr>
                      <w:t xml:space="preserve"> </w:t>
                    </w:r>
                    <w:r>
                      <w:t>Employees'</w:t>
                    </w:r>
                    <w:r>
                      <w:rPr>
                        <w:spacing w:val="-7"/>
                      </w:rPr>
                      <w:t xml:space="preserve"> </w:t>
                    </w:r>
                    <w:r>
                      <w:t>Compensation</w:t>
                    </w:r>
                    <w:r>
                      <w:rPr>
                        <w:spacing w:val="-7"/>
                      </w:rPr>
                      <w:t xml:space="preserve"> </w:t>
                    </w:r>
                    <w:r>
                      <w:t>Act</w:t>
                    </w:r>
                    <w:r>
                      <w:rPr>
                        <w:spacing w:val="-7"/>
                      </w:rPr>
                      <w:t xml:space="preserve"> </w:t>
                    </w:r>
                    <w:r>
                      <w:t>(FECA),</w:t>
                    </w:r>
                    <w:r>
                      <w:rPr>
                        <w:spacing w:val="-7"/>
                      </w:rPr>
                      <w:t xml:space="preserve"> </w:t>
                    </w:r>
                    <w:r>
                      <w:t>as</w:t>
                    </w:r>
                    <w:r>
                      <w:rPr>
                        <w:spacing w:val="-6"/>
                      </w:rPr>
                      <w:t xml:space="preserve"> </w:t>
                    </w:r>
                    <w:r>
                      <w:t>Provided</w:t>
                    </w:r>
                    <w:r>
                      <w:rPr>
                        <w:spacing w:val="-7"/>
                      </w:rPr>
                      <w:t xml:space="preserve"> </w:t>
                    </w:r>
                    <w:r>
                      <w:t>in</w:t>
                    </w:r>
                    <w:r>
                      <w:rPr>
                        <w:spacing w:val="-7"/>
                      </w:rPr>
                      <w:t xml:space="preserve"> </w:t>
                    </w:r>
                    <w:r>
                      <w:t>5</w:t>
                    </w:r>
                    <w:r>
                      <w:rPr>
                        <w:spacing w:val="-8"/>
                      </w:rPr>
                      <w:t xml:space="preserve"> </w:t>
                    </w:r>
                    <w:r>
                      <w:t>U.S.C.</w:t>
                    </w:r>
                    <w:r>
                      <w:rPr>
                        <w:spacing w:val="-7"/>
                      </w:rPr>
                      <w:t xml:space="preserve"> </w:t>
                    </w:r>
                    <w:r>
                      <w:t>Chapter</w:t>
                    </w:r>
                    <w:r>
                      <w:rPr>
                        <w:spacing w:val="-7"/>
                      </w:rPr>
                      <w:t xml:space="preserve"> </w:t>
                    </w:r>
                    <w:r>
                      <w:rPr>
                        <w:spacing w:val="-5"/>
                      </w:rPr>
                      <w:t>81</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0E"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61888" behindDoc="1" locked="0" layoutInCell="1" allowOverlap="1" wp14:anchorId="0DFDDB8C" wp14:editId="0DFDDB8D">
              <wp:simplePos x="0" y="0"/>
              <wp:positionH relativeFrom="page">
                <wp:posOffset>609600</wp:posOffset>
              </wp:positionH>
              <wp:positionV relativeFrom="page">
                <wp:posOffset>457962</wp:posOffset>
              </wp:positionV>
              <wp:extent cx="8553450" cy="28575"/>
              <wp:effectExtent l="0" t="0" r="0" b="0"/>
              <wp:wrapNone/>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3450" cy="28575"/>
                      </a:xfrm>
                      <a:custGeom>
                        <a:avLst/>
                        <a:gdLst/>
                        <a:ahLst/>
                        <a:cxnLst/>
                        <a:rect l="l" t="t" r="r" b="b"/>
                        <a:pathLst>
                          <a:path w="8553450" h="28575">
                            <a:moveTo>
                              <a:pt x="8553450" y="0"/>
                            </a:moveTo>
                            <a:lnTo>
                              <a:pt x="0" y="0"/>
                            </a:lnTo>
                            <a:lnTo>
                              <a:pt x="0" y="28194"/>
                            </a:lnTo>
                            <a:lnTo>
                              <a:pt x="8553450" y="28194"/>
                            </a:lnTo>
                            <a:lnTo>
                              <a:pt x="85534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88A9EE" id="Graphic 818" o:spid="_x0000_s1026" style="position:absolute;margin-left:48pt;margin-top:36.05pt;width:673.5pt;height:2.25pt;z-index:-27054592;visibility:visible;mso-wrap-style:square;mso-wrap-distance-left:0;mso-wrap-distance-top:0;mso-wrap-distance-right:0;mso-wrap-distance-bottom:0;mso-position-horizontal:absolute;mso-position-horizontal-relative:page;mso-position-vertical:absolute;mso-position-vertical-relative:page;v-text-anchor:top" coordsize="85534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" path="m8553450,l,,,28194r8553450,l8553450,xe" fillcolor="black" stroked="f">
              <v:path arrowok="t"/>
              <w10:wrap anchorx="page" anchory="page"/>
            </v:shape>
          </w:pict>
        </mc:Fallback>
      </mc:AlternateContent>
    </w:r>
    <w:r>
      <w:rPr>
        <w:noProof/>
        <w:sz w:val="20"/>
      </w:rPr>
      <mc:AlternateContent>
        <mc:Choice Requires="wps">
          <w:drawing>
            <wp:anchor distT="0" distB="0" distL="0" distR="0" simplePos="0" relativeHeight="476262400" behindDoc="1" locked="0" layoutInCell="1" allowOverlap="1" wp14:anchorId="0DFDDB8E" wp14:editId="0DFDDB8F">
              <wp:simplePos x="0" y="0"/>
              <wp:positionH relativeFrom="page">
                <wp:posOffset>609600</wp:posOffset>
              </wp:positionH>
              <wp:positionV relativeFrom="page">
                <wp:posOffset>832103</wp:posOffset>
              </wp:positionV>
              <wp:extent cx="8553450" cy="28575"/>
              <wp:effectExtent l="0" t="0" r="0" b="0"/>
              <wp:wrapNone/>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53450" cy="28575"/>
                      </a:xfrm>
                      <a:custGeom>
                        <a:avLst/>
                        <a:gdLst/>
                        <a:ahLst/>
                        <a:cxnLst/>
                        <a:rect l="l" t="t" r="r" b="b"/>
                        <a:pathLst>
                          <a:path w="8553450" h="28575">
                            <a:moveTo>
                              <a:pt x="8553450" y="0"/>
                            </a:moveTo>
                            <a:lnTo>
                              <a:pt x="0" y="0"/>
                            </a:lnTo>
                            <a:lnTo>
                              <a:pt x="0" y="28194"/>
                            </a:lnTo>
                            <a:lnTo>
                              <a:pt x="8553450" y="28194"/>
                            </a:lnTo>
                            <a:lnTo>
                              <a:pt x="85534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6DC619" id="Graphic 819" o:spid="_x0000_s1026" style="position:absolute;margin-left:48pt;margin-top:65.5pt;width:673.5pt;height:2.25pt;z-index:-27054080;visibility:visible;mso-wrap-style:square;mso-wrap-distance-left:0;mso-wrap-distance-top:0;mso-wrap-distance-right:0;mso-wrap-distance-bottom:0;mso-position-horizontal:absolute;mso-position-horizontal-relative:page;mso-position-vertical:absolute;mso-position-vertical-relative:page;v-text-anchor:top" coordsize="85534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" path="m8553450,l,,,28194r8553450,l8553450,xe" fillcolor="black" stroked="f">
              <v:path arrowok="t"/>
              <w10:wrap anchorx="page" anchory="page"/>
            </v:shape>
          </w:pict>
        </mc:Fallback>
      </mc:AlternateContent>
    </w:r>
    <w:r>
      <w:rPr>
        <w:noProof/>
        <w:sz w:val="20"/>
      </w:rPr>
      <mc:AlternateContent>
        <mc:Choice Requires="wps">
          <w:drawing>
            <wp:anchor distT="0" distB="0" distL="0" distR="0" simplePos="0" relativeHeight="476262912" behindDoc="1" locked="0" layoutInCell="1" allowOverlap="1" wp14:anchorId="0DFDDB90" wp14:editId="0DFDDB91">
              <wp:simplePos x="0" y="0"/>
              <wp:positionH relativeFrom="page">
                <wp:posOffset>615950</wp:posOffset>
              </wp:positionH>
              <wp:positionV relativeFrom="page">
                <wp:posOffset>490475</wp:posOffset>
              </wp:positionV>
              <wp:extent cx="5972810" cy="342265"/>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810" cy="342265"/>
                      </a:xfrm>
                      <a:prstGeom prst="rect">
                        <a:avLst/>
                      </a:prstGeom>
                    </wps:spPr>
                    <wps:txbx>
                      <w:txbxContent>
                        <w:p w14:paraId="0DFDDEF1" w14:textId="77777777" w:rsidR="00046465" w:rsidRDefault="008134EB">
                          <w:pPr>
                            <w:pStyle w:val="BodyText"/>
                            <w:spacing w:before="12"/>
                            <w:ind w:left="20"/>
                          </w:pPr>
                          <w:r>
                            <w:rPr>
                              <w:spacing w:val="-2"/>
                            </w:rPr>
                            <w:t>Compliance</w:t>
                          </w:r>
                        </w:p>
                        <w:p w14:paraId="0DFDDEF2" w14:textId="77777777" w:rsidR="00046465" w:rsidRDefault="008134EB">
                          <w:pPr>
                            <w:pStyle w:val="BodyText"/>
                            <w:ind w:left="20"/>
                          </w:pPr>
                          <w:r>
                            <w:t>811</w:t>
                          </w:r>
                          <w:r>
                            <w:rPr>
                              <w:spacing w:val="-7"/>
                            </w:rPr>
                            <w:t xml:space="preserve"> </w:t>
                          </w:r>
                          <w:r>
                            <w:t>–</w:t>
                          </w:r>
                          <w:r>
                            <w:rPr>
                              <w:spacing w:val="-7"/>
                            </w:rPr>
                            <w:t xml:space="preserve"> </w:t>
                          </w:r>
                          <w:r>
                            <w:t>Federal</w:t>
                          </w:r>
                          <w:r>
                            <w:rPr>
                              <w:spacing w:val="-7"/>
                            </w:rPr>
                            <w:t xml:space="preserve"> </w:t>
                          </w:r>
                          <w:r>
                            <w:t>Employees’</w:t>
                          </w:r>
                          <w:r>
                            <w:rPr>
                              <w:spacing w:val="-7"/>
                            </w:rPr>
                            <w:t xml:space="preserve"> </w:t>
                          </w:r>
                          <w:r>
                            <w:t>Retirement</w:t>
                          </w:r>
                          <w:r>
                            <w:rPr>
                              <w:spacing w:val="-7"/>
                            </w:rPr>
                            <w:t xml:space="preserve"> </w:t>
                          </w:r>
                          <w:r>
                            <w:t>System</w:t>
                          </w:r>
                          <w:r>
                            <w:rPr>
                              <w:spacing w:val="-8"/>
                            </w:rPr>
                            <w:t xml:space="preserve"> </w:t>
                          </w:r>
                          <w:r>
                            <w:t>Act</w:t>
                          </w:r>
                          <w:r>
                            <w:rPr>
                              <w:spacing w:val="-7"/>
                            </w:rPr>
                            <w:t xml:space="preserve"> </w:t>
                          </w:r>
                          <w:r>
                            <w:t>(FERSA),</w:t>
                          </w:r>
                          <w:r>
                            <w:rPr>
                              <w:spacing w:val="-6"/>
                            </w:rPr>
                            <w:t xml:space="preserve"> </w:t>
                          </w:r>
                          <w:r>
                            <w:t>as</w:t>
                          </w:r>
                          <w:r>
                            <w:rPr>
                              <w:spacing w:val="-7"/>
                            </w:rPr>
                            <w:t xml:space="preserve"> </w:t>
                          </w:r>
                          <w:r>
                            <w:t>Provided</w:t>
                          </w:r>
                          <w:r>
                            <w:rPr>
                              <w:spacing w:val="-8"/>
                            </w:rPr>
                            <w:t xml:space="preserve"> </w:t>
                          </w:r>
                          <w:r>
                            <w:t>in</w:t>
                          </w:r>
                          <w:r>
                            <w:rPr>
                              <w:spacing w:val="-7"/>
                            </w:rPr>
                            <w:t xml:space="preserve"> </w:t>
                          </w:r>
                          <w:r>
                            <w:t>5</w:t>
                          </w:r>
                          <w:r>
                            <w:rPr>
                              <w:spacing w:val="-7"/>
                            </w:rPr>
                            <w:t xml:space="preserve"> </w:t>
                          </w:r>
                          <w:r>
                            <w:t>U.S.C.</w:t>
                          </w:r>
                          <w:r>
                            <w:rPr>
                              <w:spacing w:val="-7"/>
                            </w:rPr>
                            <w:t xml:space="preserve"> </w:t>
                          </w:r>
                          <w:r>
                            <w:t>Chapter</w:t>
                          </w:r>
                          <w:r>
                            <w:rPr>
                              <w:spacing w:val="-7"/>
                            </w:rPr>
                            <w:t xml:space="preserve"> </w:t>
                          </w:r>
                          <w:r>
                            <w:rPr>
                              <w:spacing w:val="-5"/>
                            </w:rPr>
                            <w:t>84</w:t>
                          </w:r>
                        </w:p>
                      </w:txbxContent>
                    </wps:txbx>
                    <wps:bodyPr wrap="square" lIns="0" tIns="0" rIns="0" bIns="0" rtlCol="0">
                      <a:noAutofit/>
                    </wps:bodyPr>
                  </wps:wsp>
                </a:graphicData>
              </a:graphic>
            </wp:anchor>
          </w:drawing>
        </mc:Choice>
        <mc:Fallback>
          <w:pict>
            <v:shapetype w14:anchorId="0DFDDB90" id="_x0000_t202" coordsize="21600,21600" o:spt="202" path="m,l,21600r21600,l21600,xe">
              <v:stroke joinstyle="miter"/>
              <v:path gradientshapeok="t" o:connecttype="rect"/>
            </v:shapetype>
            <v:shape id="Textbox 820" o:spid="_x0000_s1283" type="#_x0000_t202" style="position:absolute;margin-left:48.5pt;margin-top:38.6pt;width:470.3pt;height:26.95pt;z-index:-2705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" filled="f" stroked="f">
              <v:textbox inset="0,0,0,0">
                <w:txbxContent>
                  <w:p w14:paraId="0DFDDEF1" w14:textId="77777777" w:rsidR="00046465" w:rsidRDefault="008134EB">
                    <w:pPr>
                      <w:pStyle w:val="BodyText"/>
                      <w:spacing w:before="12"/>
                      <w:ind w:left="20"/>
                    </w:pPr>
                    <w:r>
                      <w:rPr>
                        <w:spacing w:val="-2"/>
                      </w:rPr>
                      <w:t>Compliance</w:t>
                    </w:r>
                  </w:p>
                  <w:p w14:paraId="0DFDDEF2" w14:textId="77777777" w:rsidR="00046465" w:rsidRDefault="008134EB">
                    <w:pPr>
                      <w:pStyle w:val="BodyText"/>
                      <w:ind w:left="20"/>
                    </w:pPr>
                    <w:r>
                      <w:t>811</w:t>
                    </w:r>
                    <w:r>
                      <w:rPr>
                        <w:spacing w:val="-7"/>
                      </w:rPr>
                      <w:t xml:space="preserve"> </w:t>
                    </w:r>
                    <w:r>
                      <w:t>–</w:t>
                    </w:r>
                    <w:r>
                      <w:rPr>
                        <w:spacing w:val="-7"/>
                      </w:rPr>
                      <w:t xml:space="preserve"> </w:t>
                    </w:r>
                    <w:r>
                      <w:t>Federal</w:t>
                    </w:r>
                    <w:r>
                      <w:rPr>
                        <w:spacing w:val="-7"/>
                      </w:rPr>
                      <w:t xml:space="preserve"> </w:t>
                    </w:r>
                    <w:r>
                      <w:t>Employees’</w:t>
                    </w:r>
                    <w:r>
                      <w:rPr>
                        <w:spacing w:val="-7"/>
                      </w:rPr>
                      <w:t xml:space="preserve"> </w:t>
                    </w:r>
                    <w:r>
                      <w:t>Retirement</w:t>
                    </w:r>
                    <w:r>
                      <w:rPr>
                        <w:spacing w:val="-7"/>
                      </w:rPr>
                      <w:t xml:space="preserve"> </w:t>
                    </w:r>
                    <w:r>
                      <w:t>System</w:t>
                    </w:r>
                    <w:r>
                      <w:rPr>
                        <w:spacing w:val="-8"/>
                      </w:rPr>
                      <w:t xml:space="preserve"> </w:t>
                    </w:r>
                    <w:r>
                      <w:t>Act</w:t>
                    </w:r>
                    <w:r>
                      <w:rPr>
                        <w:spacing w:val="-7"/>
                      </w:rPr>
                      <w:t xml:space="preserve"> </w:t>
                    </w:r>
                    <w:r>
                      <w:t>(FERSA),</w:t>
                    </w:r>
                    <w:r>
                      <w:rPr>
                        <w:spacing w:val="-6"/>
                      </w:rPr>
                      <w:t xml:space="preserve"> </w:t>
                    </w:r>
                    <w:r>
                      <w:t>as</w:t>
                    </w:r>
                    <w:r>
                      <w:rPr>
                        <w:spacing w:val="-7"/>
                      </w:rPr>
                      <w:t xml:space="preserve"> </w:t>
                    </w:r>
                    <w:r>
                      <w:t>Provided</w:t>
                    </w:r>
                    <w:r>
                      <w:rPr>
                        <w:spacing w:val="-8"/>
                      </w:rPr>
                      <w:t xml:space="preserve"> </w:t>
                    </w:r>
                    <w:r>
                      <w:t>in</w:t>
                    </w:r>
                    <w:r>
                      <w:rPr>
                        <w:spacing w:val="-7"/>
                      </w:rPr>
                      <w:t xml:space="preserve"> </w:t>
                    </w:r>
                    <w:r>
                      <w:t>5</w:t>
                    </w:r>
                    <w:r>
                      <w:rPr>
                        <w:spacing w:val="-7"/>
                      </w:rPr>
                      <w:t xml:space="preserve"> </w:t>
                    </w:r>
                    <w:r>
                      <w:t>U.S.C.</w:t>
                    </w:r>
                    <w:r>
                      <w:rPr>
                        <w:spacing w:val="-7"/>
                      </w:rPr>
                      <w:t xml:space="preserve"> </w:t>
                    </w:r>
                    <w:r>
                      <w:t>Chapter</w:t>
                    </w:r>
                    <w:r>
                      <w:rPr>
                        <w:spacing w:val="-7"/>
                      </w:rPr>
                      <w:t xml:space="preserve"> </w:t>
                    </w:r>
                    <w:r>
                      <w:rPr>
                        <w:spacing w:val="-5"/>
                      </w:rPr>
                      <w:t>84</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0"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65472" behindDoc="1" locked="0" layoutInCell="1" allowOverlap="1" wp14:anchorId="0DFDDB9A" wp14:editId="0DFDDB9B">
              <wp:simplePos x="0" y="0"/>
              <wp:positionH relativeFrom="page">
                <wp:posOffset>838200</wp:posOffset>
              </wp:positionH>
              <wp:positionV relativeFrom="page">
                <wp:posOffset>457962</wp:posOffset>
              </wp:positionV>
              <wp:extent cx="6038850" cy="28575"/>
              <wp:effectExtent l="0" t="0" r="0" b="0"/>
              <wp:wrapNone/>
              <wp:docPr id="852" name="Graphic 8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28575"/>
                      </a:xfrm>
                      <a:custGeom>
                        <a:avLst/>
                        <a:gdLst/>
                        <a:ahLst/>
                        <a:cxnLst/>
                        <a:rect l="l" t="t" r="r" b="b"/>
                        <a:pathLst>
                          <a:path w="6038850" h="28575">
                            <a:moveTo>
                              <a:pt x="6038850" y="0"/>
                            </a:moveTo>
                            <a:lnTo>
                              <a:pt x="0" y="0"/>
                            </a:lnTo>
                            <a:lnTo>
                              <a:pt x="0" y="28194"/>
                            </a:lnTo>
                            <a:lnTo>
                              <a:pt x="6038850" y="28194"/>
                            </a:lnTo>
                            <a:lnTo>
                              <a:pt x="6038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DCB352" id="Graphic 852" o:spid="_x0000_s1026" style="position:absolute;margin-left:66pt;margin-top:36.05pt;width:475.5pt;height:2.25pt;z-index:-27051008;visibility:visible;mso-wrap-style:square;mso-wrap-distance-left:0;mso-wrap-distance-top:0;mso-wrap-distance-right:0;mso-wrap-distance-bottom:0;mso-position-horizontal:absolute;mso-position-horizontal-relative:page;mso-position-vertical:absolute;mso-position-vertical-relative:page;v-text-anchor:top" coordsize="60388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" path="m6038850,l,,,28194r6038850,l6038850,xe" fillcolor="black" stroked="f">
              <v:path arrowok="t"/>
              <w10:wrap anchorx="page" anchory="page"/>
            </v:shape>
          </w:pict>
        </mc:Fallback>
      </mc:AlternateContent>
    </w:r>
    <w:r>
      <w:rPr>
        <w:noProof/>
        <w:sz w:val="20"/>
      </w:rPr>
      <mc:AlternateContent>
        <mc:Choice Requires="wps">
          <w:drawing>
            <wp:anchor distT="0" distB="0" distL="0" distR="0" simplePos="0" relativeHeight="476265984" behindDoc="1" locked="0" layoutInCell="1" allowOverlap="1" wp14:anchorId="0DFDDB9C" wp14:editId="0DFDDB9D">
              <wp:simplePos x="0" y="0"/>
              <wp:positionH relativeFrom="page">
                <wp:posOffset>838200</wp:posOffset>
              </wp:positionH>
              <wp:positionV relativeFrom="page">
                <wp:posOffset>832103</wp:posOffset>
              </wp:positionV>
              <wp:extent cx="6038850" cy="28575"/>
              <wp:effectExtent l="0" t="0" r="0" b="0"/>
              <wp:wrapNone/>
              <wp:docPr id="853" name="Graphic 8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28575"/>
                      </a:xfrm>
                      <a:custGeom>
                        <a:avLst/>
                        <a:gdLst/>
                        <a:ahLst/>
                        <a:cxnLst/>
                        <a:rect l="l" t="t" r="r" b="b"/>
                        <a:pathLst>
                          <a:path w="6038850" h="28575">
                            <a:moveTo>
                              <a:pt x="6038850" y="0"/>
                            </a:moveTo>
                            <a:lnTo>
                              <a:pt x="0" y="0"/>
                            </a:lnTo>
                            <a:lnTo>
                              <a:pt x="0" y="28194"/>
                            </a:lnTo>
                            <a:lnTo>
                              <a:pt x="6038850" y="28194"/>
                            </a:lnTo>
                            <a:lnTo>
                              <a:pt x="6038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FC0353" id="Graphic 853" o:spid="_x0000_s1026" style="position:absolute;margin-left:66pt;margin-top:65.5pt;width:475.5pt;height:2.25pt;z-index:-27050496;visibility:visible;mso-wrap-style:square;mso-wrap-distance-left:0;mso-wrap-distance-top:0;mso-wrap-distance-right:0;mso-wrap-distance-bottom:0;mso-position-horizontal:absolute;mso-position-horizontal-relative:page;mso-position-vertical:absolute;mso-position-vertical-relative:page;v-text-anchor:top" coordsize="60388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" path="m6038850,l,,,28194r6038850,l6038850,xe" fillcolor="black" stroked="f">
              <v:path arrowok="t"/>
              <w10:wrap anchorx="page" anchory="page"/>
            </v:shape>
          </w:pict>
        </mc:Fallback>
      </mc:AlternateContent>
    </w:r>
    <w:r>
      <w:rPr>
        <w:noProof/>
        <w:sz w:val="20"/>
      </w:rPr>
      <mc:AlternateContent>
        <mc:Choice Requires="wps">
          <w:drawing>
            <wp:anchor distT="0" distB="0" distL="0" distR="0" simplePos="0" relativeHeight="476266496" behindDoc="1" locked="0" layoutInCell="1" allowOverlap="1" wp14:anchorId="0DFDDB9E" wp14:editId="0DFDDB9F">
              <wp:simplePos x="0" y="0"/>
              <wp:positionH relativeFrom="page">
                <wp:posOffset>844550</wp:posOffset>
              </wp:positionH>
              <wp:positionV relativeFrom="page">
                <wp:posOffset>490475</wp:posOffset>
              </wp:positionV>
              <wp:extent cx="5972810" cy="342265"/>
              <wp:effectExtent l="0" t="0" r="0" b="0"/>
              <wp:wrapNone/>
              <wp:docPr id="854" name="Text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2810" cy="342265"/>
                      </a:xfrm>
                      <a:prstGeom prst="rect">
                        <a:avLst/>
                      </a:prstGeom>
                    </wps:spPr>
                    <wps:txbx>
                      <w:txbxContent>
                        <w:p w14:paraId="0DFDDEF6" w14:textId="77777777" w:rsidR="00046465" w:rsidRDefault="008134EB">
                          <w:pPr>
                            <w:pStyle w:val="BodyText"/>
                            <w:spacing w:before="12"/>
                            <w:ind w:left="20"/>
                          </w:pPr>
                          <w:r>
                            <w:rPr>
                              <w:spacing w:val="-2"/>
                            </w:rPr>
                            <w:t>Compliance</w:t>
                          </w:r>
                        </w:p>
                        <w:p w14:paraId="0DFDDEF7" w14:textId="77777777" w:rsidR="00046465" w:rsidRDefault="008134EB">
                          <w:pPr>
                            <w:pStyle w:val="BodyText"/>
                            <w:ind w:left="20"/>
                          </w:pPr>
                          <w:r>
                            <w:t>811</w:t>
                          </w:r>
                          <w:r>
                            <w:rPr>
                              <w:spacing w:val="-7"/>
                            </w:rPr>
                            <w:t xml:space="preserve"> </w:t>
                          </w:r>
                          <w:r>
                            <w:t>–</w:t>
                          </w:r>
                          <w:r>
                            <w:rPr>
                              <w:spacing w:val="-7"/>
                            </w:rPr>
                            <w:t xml:space="preserve"> </w:t>
                          </w:r>
                          <w:r>
                            <w:t>Federal</w:t>
                          </w:r>
                          <w:r>
                            <w:rPr>
                              <w:spacing w:val="-7"/>
                            </w:rPr>
                            <w:t xml:space="preserve"> </w:t>
                          </w:r>
                          <w:r>
                            <w:t>Employees’</w:t>
                          </w:r>
                          <w:r>
                            <w:rPr>
                              <w:spacing w:val="-7"/>
                            </w:rPr>
                            <w:t xml:space="preserve"> </w:t>
                          </w:r>
                          <w:r>
                            <w:t>Retirement</w:t>
                          </w:r>
                          <w:r>
                            <w:rPr>
                              <w:spacing w:val="-7"/>
                            </w:rPr>
                            <w:t xml:space="preserve"> </w:t>
                          </w:r>
                          <w:r>
                            <w:t>System</w:t>
                          </w:r>
                          <w:r>
                            <w:rPr>
                              <w:spacing w:val="-8"/>
                            </w:rPr>
                            <w:t xml:space="preserve"> </w:t>
                          </w:r>
                          <w:r>
                            <w:t>Act</w:t>
                          </w:r>
                          <w:r>
                            <w:rPr>
                              <w:spacing w:val="-7"/>
                            </w:rPr>
                            <w:t xml:space="preserve"> </w:t>
                          </w:r>
                          <w:r>
                            <w:t>(FERSA),</w:t>
                          </w:r>
                          <w:r>
                            <w:rPr>
                              <w:spacing w:val="-6"/>
                            </w:rPr>
                            <w:t xml:space="preserve"> </w:t>
                          </w:r>
                          <w:r>
                            <w:t>as</w:t>
                          </w:r>
                          <w:r>
                            <w:rPr>
                              <w:spacing w:val="-7"/>
                            </w:rPr>
                            <w:t xml:space="preserve"> </w:t>
                          </w:r>
                          <w:r>
                            <w:t>Provided</w:t>
                          </w:r>
                          <w:r>
                            <w:rPr>
                              <w:spacing w:val="-8"/>
                            </w:rPr>
                            <w:t xml:space="preserve"> </w:t>
                          </w:r>
                          <w:r>
                            <w:t>in</w:t>
                          </w:r>
                          <w:r>
                            <w:rPr>
                              <w:spacing w:val="-7"/>
                            </w:rPr>
                            <w:t xml:space="preserve"> </w:t>
                          </w:r>
                          <w:r>
                            <w:t>5</w:t>
                          </w:r>
                          <w:r>
                            <w:rPr>
                              <w:spacing w:val="-7"/>
                            </w:rPr>
                            <w:t xml:space="preserve"> </w:t>
                          </w:r>
                          <w:r>
                            <w:t>U.S.C.</w:t>
                          </w:r>
                          <w:r>
                            <w:rPr>
                              <w:spacing w:val="-7"/>
                            </w:rPr>
                            <w:t xml:space="preserve"> </w:t>
                          </w:r>
                          <w:r>
                            <w:t>Chapter</w:t>
                          </w:r>
                          <w:r>
                            <w:rPr>
                              <w:spacing w:val="-7"/>
                            </w:rPr>
                            <w:t xml:space="preserve"> </w:t>
                          </w:r>
                          <w:r>
                            <w:rPr>
                              <w:spacing w:val="-5"/>
                            </w:rPr>
                            <w:t>84</w:t>
                          </w:r>
                        </w:p>
                      </w:txbxContent>
                    </wps:txbx>
                    <wps:bodyPr wrap="square" lIns="0" tIns="0" rIns="0" bIns="0" rtlCol="0">
                      <a:noAutofit/>
                    </wps:bodyPr>
                  </wps:wsp>
                </a:graphicData>
              </a:graphic>
            </wp:anchor>
          </w:drawing>
        </mc:Choice>
        <mc:Fallback>
          <w:pict>
            <v:shapetype w14:anchorId="0DFDDB9E" id="_x0000_t202" coordsize="21600,21600" o:spt="202" path="m,l,21600r21600,l21600,xe">
              <v:stroke joinstyle="miter"/>
              <v:path gradientshapeok="t" o:connecttype="rect"/>
            </v:shapetype>
            <v:shape id="Textbox 854" o:spid="_x0000_s1287" type="#_x0000_t202" style="position:absolute;margin-left:66.5pt;margin-top:38.6pt;width:470.3pt;height:26.95pt;z-index:-2704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" filled="f" stroked="f">
              <v:textbox inset="0,0,0,0">
                <w:txbxContent>
                  <w:p w14:paraId="0DFDDEF6" w14:textId="77777777" w:rsidR="00046465" w:rsidRDefault="008134EB">
                    <w:pPr>
                      <w:pStyle w:val="BodyText"/>
                      <w:spacing w:before="12"/>
                      <w:ind w:left="20"/>
                    </w:pPr>
                    <w:r>
                      <w:rPr>
                        <w:spacing w:val="-2"/>
                      </w:rPr>
                      <w:t>Compliance</w:t>
                    </w:r>
                  </w:p>
                  <w:p w14:paraId="0DFDDEF7" w14:textId="77777777" w:rsidR="00046465" w:rsidRDefault="008134EB">
                    <w:pPr>
                      <w:pStyle w:val="BodyText"/>
                      <w:ind w:left="20"/>
                    </w:pPr>
                    <w:r>
                      <w:t>811</w:t>
                    </w:r>
                    <w:r>
                      <w:rPr>
                        <w:spacing w:val="-7"/>
                      </w:rPr>
                      <w:t xml:space="preserve"> </w:t>
                    </w:r>
                    <w:r>
                      <w:t>–</w:t>
                    </w:r>
                    <w:r>
                      <w:rPr>
                        <w:spacing w:val="-7"/>
                      </w:rPr>
                      <w:t xml:space="preserve"> </w:t>
                    </w:r>
                    <w:r>
                      <w:t>Federal</w:t>
                    </w:r>
                    <w:r>
                      <w:rPr>
                        <w:spacing w:val="-7"/>
                      </w:rPr>
                      <w:t xml:space="preserve"> </w:t>
                    </w:r>
                    <w:r>
                      <w:t>Employees’</w:t>
                    </w:r>
                    <w:r>
                      <w:rPr>
                        <w:spacing w:val="-7"/>
                      </w:rPr>
                      <w:t xml:space="preserve"> </w:t>
                    </w:r>
                    <w:r>
                      <w:t>Retirement</w:t>
                    </w:r>
                    <w:r>
                      <w:rPr>
                        <w:spacing w:val="-7"/>
                      </w:rPr>
                      <w:t xml:space="preserve"> </w:t>
                    </w:r>
                    <w:r>
                      <w:t>System</w:t>
                    </w:r>
                    <w:r>
                      <w:rPr>
                        <w:spacing w:val="-8"/>
                      </w:rPr>
                      <w:t xml:space="preserve"> </w:t>
                    </w:r>
                    <w:r>
                      <w:t>Act</w:t>
                    </w:r>
                    <w:r>
                      <w:rPr>
                        <w:spacing w:val="-7"/>
                      </w:rPr>
                      <w:t xml:space="preserve"> </w:t>
                    </w:r>
                    <w:r>
                      <w:t>(FERSA),</w:t>
                    </w:r>
                    <w:r>
                      <w:rPr>
                        <w:spacing w:val="-6"/>
                      </w:rPr>
                      <w:t xml:space="preserve"> </w:t>
                    </w:r>
                    <w:r>
                      <w:t>as</w:t>
                    </w:r>
                    <w:r>
                      <w:rPr>
                        <w:spacing w:val="-7"/>
                      </w:rPr>
                      <w:t xml:space="preserve"> </w:t>
                    </w:r>
                    <w:r>
                      <w:t>Provided</w:t>
                    </w:r>
                    <w:r>
                      <w:rPr>
                        <w:spacing w:val="-8"/>
                      </w:rPr>
                      <w:t xml:space="preserve"> </w:t>
                    </w:r>
                    <w:r>
                      <w:t>in</w:t>
                    </w:r>
                    <w:r>
                      <w:rPr>
                        <w:spacing w:val="-7"/>
                      </w:rPr>
                      <w:t xml:space="preserve"> </w:t>
                    </w:r>
                    <w:r>
                      <w:t>5</w:t>
                    </w:r>
                    <w:r>
                      <w:rPr>
                        <w:spacing w:val="-7"/>
                      </w:rPr>
                      <w:t xml:space="preserve"> </w:t>
                    </w:r>
                    <w:r>
                      <w:t>U.S.C.</w:t>
                    </w:r>
                    <w:r>
                      <w:rPr>
                        <w:spacing w:val="-7"/>
                      </w:rPr>
                      <w:t xml:space="preserve"> </w:t>
                    </w:r>
                    <w:r>
                      <w:t>Chapter</w:t>
                    </w:r>
                    <w:r>
                      <w:rPr>
                        <w:spacing w:val="-7"/>
                      </w:rPr>
                      <w:t xml:space="preserve"> </w:t>
                    </w:r>
                    <w:r>
                      <w:rPr>
                        <w:spacing w:val="-5"/>
                      </w:rPr>
                      <w:t>84</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2" w14:textId="77777777" w:rsidR="00046465" w:rsidRDefault="00046465">
    <w:pPr>
      <w:pStyle w:val="BodyText"/>
      <w:spacing w:line="14" w:lineRule="auto"/>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4"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69056" behindDoc="1" locked="0" layoutInCell="1" allowOverlap="1" wp14:anchorId="0DFDDBA8" wp14:editId="0DFDDBA9">
              <wp:simplePos x="0" y="0"/>
              <wp:positionH relativeFrom="page">
                <wp:posOffset>895350</wp:posOffset>
              </wp:positionH>
              <wp:positionV relativeFrom="page">
                <wp:posOffset>457962</wp:posOffset>
              </wp:positionV>
              <wp:extent cx="5981700" cy="28575"/>
              <wp:effectExtent l="0" t="0" r="0" b="0"/>
              <wp:wrapNone/>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D08E28" id="Graphic 866" o:spid="_x0000_s1026" style="position:absolute;margin-left:70.5pt;margin-top:36.05pt;width:471pt;height:2.25pt;z-index:-270474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69568" behindDoc="1" locked="0" layoutInCell="1" allowOverlap="1" wp14:anchorId="0DFDDBAA" wp14:editId="0DFDDBAB">
              <wp:simplePos x="0" y="0"/>
              <wp:positionH relativeFrom="page">
                <wp:posOffset>895350</wp:posOffset>
              </wp:positionH>
              <wp:positionV relativeFrom="page">
                <wp:posOffset>832103</wp:posOffset>
              </wp:positionV>
              <wp:extent cx="5981700" cy="28575"/>
              <wp:effectExtent l="0" t="0" r="0" b="0"/>
              <wp:wrapNone/>
              <wp:docPr id="867" name="Graphic 8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7357FA" id="Graphic 867" o:spid="_x0000_s1026" style="position:absolute;margin-left:70.5pt;margin-top:65.5pt;width:471pt;height:2.25pt;z-index:-270469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70080" behindDoc="1" locked="0" layoutInCell="1" allowOverlap="1" wp14:anchorId="0DFDDBAC" wp14:editId="0DFDDBAD">
              <wp:simplePos x="0" y="0"/>
              <wp:positionH relativeFrom="page">
                <wp:posOffset>901700</wp:posOffset>
              </wp:positionH>
              <wp:positionV relativeFrom="page">
                <wp:posOffset>490475</wp:posOffset>
              </wp:positionV>
              <wp:extent cx="4024629" cy="342265"/>
              <wp:effectExtent l="0" t="0" r="0" b="0"/>
              <wp:wrapNone/>
              <wp:docPr id="868" name="Text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4629" cy="342265"/>
                      </a:xfrm>
                      <a:prstGeom prst="rect">
                        <a:avLst/>
                      </a:prstGeom>
                    </wps:spPr>
                    <wps:txbx>
                      <w:txbxContent>
                        <w:p w14:paraId="0DFDDEFB"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0DFDDEFC" w14:textId="77777777" w:rsidR="00046465" w:rsidRDefault="008134EB">
                          <w:pPr>
                            <w:pStyle w:val="BodyText"/>
                            <w:ind w:left="20"/>
                          </w:pPr>
                          <w:r>
                            <w:t>900</w:t>
                          </w:r>
                          <w:r>
                            <w:rPr>
                              <w:spacing w:val="-9"/>
                            </w:rPr>
                            <w:t xml:space="preserve"> </w:t>
                          </w:r>
                          <w:r>
                            <w:t>–</w:t>
                          </w:r>
                          <w:r>
                            <w:rPr>
                              <w:spacing w:val="-8"/>
                            </w:rPr>
                            <w:t xml:space="preserve"> </w:t>
                          </w:r>
                          <w:r>
                            <w:t>Contents</w:t>
                          </w:r>
                          <w:r>
                            <w:rPr>
                              <w:spacing w:val="-8"/>
                            </w:rPr>
                            <w:t xml:space="preserve"> </w:t>
                          </w:r>
                          <w:r>
                            <w:t>of</w:t>
                          </w:r>
                          <w:r>
                            <w:rPr>
                              <w:spacing w:val="-8"/>
                            </w:rPr>
                            <w:t xml:space="preserve"> </w:t>
                          </w:r>
                          <w:r>
                            <w:t>Substantive</w:t>
                          </w:r>
                          <w:r>
                            <w:rPr>
                              <w:spacing w:val="-8"/>
                            </w:rPr>
                            <w:t xml:space="preserve"> </w:t>
                          </w:r>
                          <w:r>
                            <w:t>Testing</w:t>
                          </w:r>
                          <w:r>
                            <w:rPr>
                              <w:spacing w:val="-9"/>
                            </w:rPr>
                            <w:t xml:space="preserve"> </w:t>
                          </w:r>
                          <w:r>
                            <w:t>Implementation</w:t>
                          </w:r>
                          <w:r>
                            <w:rPr>
                              <w:spacing w:val="-8"/>
                            </w:rPr>
                            <w:t xml:space="preserve"> </w:t>
                          </w:r>
                          <w:r>
                            <w:rPr>
                              <w:spacing w:val="-2"/>
                            </w:rPr>
                            <w:t>Guidance</w:t>
                          </w:r>
                        </w:p>
                      </w:txbxContent>
                    </wps:txbx>
                    <wps:bodyPr wrap="square" lIns="0" tIns="0" rIns="0" bIns="0" rtlCol="0">
                      <a:noAutofit/>
                    </wps:bodyPr>
                  </wps:wsp>
                </a:graphicData>
              </a:graphic>
            </wp:anchor>
          </w:drawing>
        </mc:Choice>
        <mc:Fallback>
          <w:pict>
            <v:shapetype w14:anchorId="0DFDDBAC" id="_x0000_t202" coordsize="21600,21600" o:spt="202" path="m,l,21600r21600,l21600,xe">
              <v:stroke joinstyle="miter"/>
              <v:path gradientshapeok="t" o:connecttype="rect"/>
            </v:shapetype>
            <v:shape id="Textbox 868" o:spid="_x0000_s1291" type="#_x0000_t202" style="position:absolute;margin-left:71pt;margin-top:38.6pt;width:316.9pt;height:26.95pt;z-index:-2704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" filled="f" stroked="f">
              <v:textbox inset="0,0,0,0">
                <w:txbxContent>
                  <w:p w14:paraId="0DFDDEFB"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0DFDDEFC" w14:textId="77777777" w:rsidR="00046465" w:rsidRDefault="008134EB">
                    <w:pPr>
                      <w:pStyle w:val="BodyText"/>
                      <w:ind w:left="20"/>
                    </w:pPr>
                    <w:r>
                      <w:t>900</w:t>
                    </w:r>
                    <w:r>
                      <w:rPr>
                        <w:spacing w:val="-9"/>
                      </w:rPr>
                      <w:t xml:space="preserve"> </w:t>
                    </w:r>
                    <w:r>
                      <w:t>–</w:t>
                    </w:r>
                    <w:r>
                      <w:rPr>
                        <w:spacing w:val="-8"/>
                      </w:rPr>
                      <w:t xml:space="preserve"> </w:t>
                    </w:r>
                    <w:r>
                      <w:t>Contents</w:t>
                    </w:r>
                    <w:r>
                      <w:rPr>
                        <w:spacing w:val="-8"/>
                      </w:rPr>
                      <w:t xml:space="preserve"> </w:t>
                    </w:r>
                    <w:r>
                      <w:t>of</w:t>
                    </w:r>
                    <w:r>
                      <w:rPr>
                        <w:spacing w:val="-8"/>
                      </w:rPr>
                      <w:t xml:space="preserve"> </w:t>
                    </w:r>
                    <w:r>
                      <w:t>Substantive</w:t>
                    </w:r>
                    <w:r>
                      <w:rPr>
                        <w:spacing w:val="-8"/>
                      </w:rPr>
                      <w:t xml:space="preserve"> </w:t>
                    </w:r>
                    <w:r>
                      <w:t>Testing</w:t>
                    </w:r>
                    <w:r>
                      <w:rPr>
                        <w:spacing w:val="-9"/>
                      </w:rPr>
                      <w:t xml:space="preserve"> </w:t>
                    </w:r>
                    <w:r>
                      <w:t>Implementation</w:t>
                    </w:r>
                    <w:r>
                      <w:rPr>
                        <w:spacing w:val="-8"/>
                      </w:rPr>
                      <w:t xml:space="preserve"> </w:t>
                    </w:r>
                    <w:r>
                      <w:rPr>
                        <w:spacing w:val="-2"/>
                      </w:rPr>
                      <w:t>Guidance</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6"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72640" behindDoc="1" locked="0" layoutInCell="1" allowOverlap="1" wp14:anchorId="0DFDDBB6" wp14:editId="0DFDDBB7">
              <wp:simplePos x="0" y="0"/>
              <wp:positionH relativeFrom="page">
                <wp:posOffset>895350</wp:posOffset>
              </wp:positionH>
              <wp:positionV relativeFrom="page">
                <wp:posOffset>457962</wp:posOffset>
              </wp:positionV>
              <wp:extent cx="5981700" cy="28575"/>
              <wp:effectExtent l="0" t="0" r="0" b="0"/>
              <wp:wrapNone/>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490B4C" id="Graphic 873" o:spid="_x0000_s1026" style="position:absolute;margin-left:70.5pt;margin-top:36.05pt;width:471pt;height:2.25pt;z-index:-270438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73152" behindDoc="1" locked="0" layoutInCell="1" allowOverlap="1" wp14:anchorId="0DFDDBB8" wp14:editId="0DFDDBB9">
              <wp:simplePos x="0" y="0"/>
              <wp:positionH relativeFrom="page">
                <wp:posOffset>895350</wp:posOffset>
              </wp:positionH>
              <wp:positionV relativeFrom="page">
                <wp:posOffset>832103</wp:posOffset>
              </wp:positionV>
              <wp:extent cx="5981700" cy="28575"/>
              <wp:effectExtent l="0" t="0" r="0" b="0"/>
              <wp:wrapNone/>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01B031" id="Graphic 874" o:spid="_x0000_s1026" style="position:absolute;margin-left:70.5pt;margin-top:65.5pt;width:471pt;height:2.25pt;z-index:-270433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73664" behindDoc="1" locked="0" layoutInCell="1" allowOverlap="1" wp14:anchorId="0DFDDBBA" wp14:editId="0DFDDBBB">
              <wp:simplePos x="0" y="0"/>
              <wp:positionH relativeFrom="page">
                <wp:posOffset>901700</wp:posOffset>
              </wp:positionH>
              <wp:positionV relativeFrom="page">
                <wp:posOffset>490475</wp:posOffset>
              </wp:positionV>
              <wp:extent cx="2906395" cy="342265"/>
              <wp:effectExtent l="0" t="0" r="0" b="0"/>
              <wp:wrapNone/>
              <wp:docPr id="875" name="Text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6395" cy="342265"/>
                      </a:xfrm>
                      <a:prstGeom prst="rect">
                        <a:avLst/>
                      </a:prstGeom>
                    </wps:spPr>
                    <wps:txbx>
                      <w:txbxContent>
                        <w:p w14:paraId="0DFDDF00" w14:textId="77777777" w:rsidR="00046465" w:rsidRDefault="008134EB">
                          <w:pPr>
                            <w:pStyle w:val="BodyText"/>
                            <w:spacing w:before="12"/>
                            <w:ind w:left="20"/>
                          </w:pPr>
                          <w:r>
                            <w:t>Substantive</w:t>
                          </w:r>
                          <w:r>
                            <w:rPr>
                              <w:spacing w:val="-2"/>
                            </w:rPr>
                            <w:t xml:space="preserve"> </w:t>
                          </w:r>
                          <w:r>
                            <w:t>Testing</w:t>
                          </w:r>
                          <w:r>
                            <w:rPr>
                              <w:spacing w:val="-1"/>
                            </w:rPr>
                            <w:t xml:space="preserve"> </w:t>
                          </w:r>
                          <w:r>
                            <w:t>Implementation</w:t>
                          </w:r>
                          <w:r>
                            <w:rPr>
                              <w:spacing w:val="-1"/>
                            </w:rPr>
                            <w:t xml:space="preserve"> </w:t>
                          </w:r>
                          <w:r>
                            <w:t>Guidance 902</w:t>
                          </w:r>
                          <w:r>
                            <w:rPr>
                              <w:spacing w:val="-8"/>
                            </w:rPr>
                            <w:t xml:space="preserve"> </w:t>
                          </w:r>
                          <w:r>
                            <w:t>–</w:t>
                          </w:r>
                          <w:r>
                            <w:rPr>
                              <w:spacing w:val="-7"/>
                            </w:rPr>
                            <w:t xml:space="preserve"> </w:t>
                          </w:r>
                          <w:r>
                            <w:t>Intragovernmental</w:t>
                          </w:r>
                          <w:r>
                            <w:rPr>
                              <w:spacing w:val="-7"/>
                            </w:rPr>
                            <w:t xml:space="preserve"> </w:t>
                          </w:r>
                          <w:r>
                            <w:t>Activity</w:t>
                          </w:r>
                          <w:r>
                            <w:rPr>
                              <w:spacing w:val="-9"/>
                            </w:rPr>
                            <w:t xml:space="preserve"> </w:t>
                          </w:r>
                          <w:r>
                            <w:t>and</w:t>
                          </w:r>
                          <w:r>
                            <w:rPr>
                              <w:spacing w:val="-8"/>
                            </w:rPr>
                            <w:t xml:space="preserve"> </w:t>
                          </w:r>
                          <w:r>
                            <w:rPr>
                              <w:spacing w:val="-2"/>
                            </w:rPr>
                            <w:t>Balances</w:t>
                          </w:r>
                        </w:p>
                      </w:txbxContent>
                    </wps:txbx>
                    <wps:bodyPr wrap="square" lIns="0" tIns="0" rIns="0" bIns="0" rtlCol="0">
                      <a:noAutofit/>
                    </wps:bodyPr>
                  </wps:wsp>
                </a:graphicData>
              </a:graphic>
            </wp:anchor>
          </w:drawing>
        </mc:Choice>
        <mc:Fallback>
          <w:pict>
            <v:shapetype w14:anchorId="0DFDDBBA" id="_x0000_t202" coordsize="21600,21600" o:spt="202" path="m,l,21600r21600,l21600,xe">
              <v:stroke joinstyle="miter"/>
              <v:path gradientshapeok="t" o:connecttype="rect"/>
            </v:shapetype>
            <v:shape id="Textbox 875" o:spid="_x0000_s1295" type="#_x0000_t202" style="position:absolute;margin-left:71pt;margin-top:38.6pt;width:228.85pt;height:26.95pt;z-index:-2704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" filled="f" stroked="f">
              <v:textbox inset="0,0,0,0">
                <w:txbxContent>
                  <w:p w14:paraId="0DFDDF00" w14:textId="77777777" w:rsidR="00046465" w:rsidRDefault="008134EB">
                    <w:pPr>
                      <w:pStyle w:val="BodyText"/>
                      <w:spacing w:before="12"/>
                      <w:ind w:left="20"/>
                    </w:pPr>
                    <w:r>
                      <w:t>Substantive</w:t>
                    </w:r>
                    <w:r>
                      <w:rPr>
                        <w:spacing w:val="-2"/>
                      </w:rPr>
                      <w:t xml:space="preserve"> </w:t>
                    </w:r>
                    <w:r>
                      <w:t>Testing</w:t>
                    </w:r>
                    <w:r>
                      <w:rPr>
                        <w:spacing w:val="-1"/>
                      </w:rPr>
                      <w:t xml:space="preserve"> </w:t>
                    </w:r>
                    <w:r>
                      <w:t>Implementation</w:t>
                    </w:r>
                    <w:r>
                      <w:rPr>
                        <w:spacing w:val="-1"/>
                      </w:rPr>
                      <w:t xml:space="preserve"> </w:t>
                    </w:r>
                    <w:r>
                      <w:t>Guidance 902</w:t>
                    </w:r>
                    <w:r>
                      <w:rPr>
                        <w:spacing w:val="-8"/>
                      </w:rPr>
                      <w:t xml:space="preserve"> </w:t>
                    </w:r>
                    <w:r>
                      <w:t>–</w:t>
                    </w:r>
                    <w:r>
                      <w:rPr>
                        <w:spacing w:val="-7"/>
                      </w:rPr>
                      <w:t xml:space="preserve"> </w:t>
                    </w:r>
                    <w:r>
                      <w:t>Intragovernmental</w:t>
                    </w:r>
                    <w:r>
                      <w:rPr>
                        <w:spacing w:val="-7"/>
                      </w:rPr>
                      <w:t xml:space="preserve"> </w:t>
                    </w:r>
                    <w:r>
                      <w:t>Activity</w:t>
                    </w:r>
                    <w:r>
                      <w:rPr>
                        <w:spacing w:val="-9"/>
                      </w:rPr>
                      <w:t xml:space="preserve"> </w:t>
                    </w:r>
                    <w:r>
                      <w:t>and</w:t>
                    </w:r>
                    <w:r>
                      <w:rPr>
                        <w:spacing w:val="-8"/>
                      </w:rPr>
                      <w:t xml:space="preserve"> </w:t>
                    </w:r>
                    <w:r>
                      <w:rPr>
                        <w:spacing w:val="-2"/>
                      </w:rPr>
                      <w:t>Balances</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8"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76224" behindDoc="1" locked="0" layoutInCell="1" allowOverlap="1" wp14:anchorId="0DFDDBC4" wp14:editId="0DFDDBC5">
              <wp:simplePos x="0" y="0"/>
              <wp:positionH relativeFrom="page">
                <wp:posOffset>895350</wp:posOffset>
              </wp:positionH>
              <wp:positionV relativeFrom="page">
                <wp:posOffset>457962</wp:posOffset>
              </wp:positionV>
              <wp:extent cx="5981700" cy="28575"/>
              <wp:effectExtent l="0" t="0" r="0" b="0"/>
              <wp:wrapNone/>
              <wp:docPr id="881" name="Graphic 8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1CB872" id="Graphic 881" o:spid="_x0000_s1026" style="position:absolute;margin-left:70.5pt;margin-top:36.05pt;width:471pt;height:2.25pt;z-index:-270402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76736" behindDoc="1" locked="0" layoutInCell="1" allowOverlap="1" wp14:anchorId="0DFDDBC6" wp14:editId="0DFDDBC7">
              <wp:simplePos x="0" y="0"/>
              <wp:positionH relativeFrom="page">
                <wp:posOffset>895350</wp:posOffset>
              </wp:positionH>
              <wp:positionV relativeFrom="page">
                <wp:posOffset>832103</wp:posOffset>
              </wp:positionV>
              <wp:extent cx="5981700" cy="28575"/>
              <wp:effectExtent l="0" t="0" r="0" b="0"/>
              <wp:wrapNone/>
              <wp:docPr id="882" name="Graphic 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D7DD00" id="Graphic 882" o:spid="_x0000_s1026" style="position:absolute;margin-left:70.5pt;margin-top:65.5pt;width:471pt;height:2.25pt;z-index:-270397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77248" behindDoc="1" locked="0" layoutInCell="1" allowOverlap="1" wp14:anchorId="0DFDDBC8" wp14:editId="0DFDDBC9">
              <wp:simplePos x="0" y="0"/>
              <wp:positionH relativeFrom="page">
                <wp:posOffset>901700</wp:posOffset>
              </wp:positionH>
              <wp:positionV relativeFrom="page">
                <wp:posOffset>490475</wp:posOffset>
              </wp:positionV>
              <wp:extent cx="2906395" cy="342265"/>
              <wp:effectExtent l="0" t="0" r="0" b="0"/>
              <wp:wrapNone/>
              <wp:docPr id="883" name="Text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06395" cy="342265"/>
                      </a:xfrm>
                      <a:prstGeom prst="rect">
                        <a:avLst/>
                      </a:prstGeom>
                    </wps:spPr>
                    <wps:txbx>
                      <w:txbxContent>
                        <w:p w14:paraId="0DFDDF04" w14:textId="77777777" w:rsidR="00046465" w:rsidRDefault="008134EB">
                          <w:pPr>
                            <w:pStyle w:val="BodyText"/>
                            <w:spacing w:before="12"/>
                            <w:ind w:left="20"/>
                          </w:pPr>
                          <w:r>
                            <w:t>Substantive</w:t>
                          </w:r>
                          <w:r>
                            <w:rPr>
                              <w:spacing w:val="-2"/>
                            </w:rPr>
                            <w:t xml:space="preserve"> </w:t>
                          </w:r>
                          <w:r>
                            <w:t>Testing</w:t>
                          </w:r>
                          <w:r>
                            <w:rPr>
                              <w:spacing w:val="-1"/>
                            </w:rPr>
                            <w:t xml:space="preserve"> </w:t>
                          </w:r>
                          <w:r>
                            <w:t>Implementation</w:t>
                          </w:r>
                          <w:r>
                            <w:rPr>
                              <w:spacing w:val="-1"/>
                            </w:rPr>
                            <w:t xml:space="preserve"> </w:t>
                          </w:r>
                          <w:r>
                            <w:t>Guidance 902</w:t>
                          </w:r>
                          <w:r>
                            <w:rPr>
                              <w:spacing w:val="-8"/>
                            </w:rPr>
                            <w:t xml:space="preserve"> </w:t>
                          </w:r>
                          <w:r>
                            <w:t>–</w:t>
                          </w:r>
                          <w:r>
                            <w:rPr>
                              <w:spacing w:val="-7"/>
                            </w:rPr>
                            <w:t xml:space="preserve"> </w:t>
                          </w:r>
                          <w:r>
                            <w:t>Intragovernmental</w:t>
                          </w:r>
                          <w:r>
                            <w:rPr>
                              <w:spacing w:val="-7"/>
                            </w:rPr>
                            <w:t xml:space="preserve"> </w:t>
                          </w:r>
                          <w:r>
                            <w:t>Activity</w:t>
                          </w:r>
                          <w:r>
                            <w:rPr>
                              <w:spacing w:val="-9"/>
                            </w:rPr>
                            <w:t xml:space="preserve"> </w:t>
                          </w:r>
                          <w:r>
                            <w:t>and</w:t>
                          </w:r>
                          <w:r>
                            <w:rPr>
                              <w:spacing w:val="-8"/>
                            </w:rPr>
                            <w:t xml:space="preserve"> </w:t>
                          </w:r>
                          <w:r>
                            <w:rPr>
                              <w:spacing w:val="-2"/>
                            </w:rPr>
                            <w:t>Balances</w:t>
                          </w:r>
                        </w:p>
                      </w:txbxContent>
                    </wps:txbx>
                    <wps:bodyPr wrap="square" lIns="0" tIns="0" rIns="0" bIns="0" rtlCol="0">
                      <a:noAutofit/>
                    </wps:bodyPr>
                  </wps:wsp>
                </a:graphicData>
              </a:graphic>
            </wp:anchor>
          </w:drawing>
        </mc:Choice>
        <mc:Fallback>
          <w:pict>
            <v:shapetype w14:anchorId="0DFDDBC8" id="_x0000_t202" coordsize="21600,21600" o:spt="202" path="m,l,21600r21600,l21600,xe">
              <v:stroke joinstyle="miter"/>
              <v:path gradientshapeok="t" o:connecttype="rect"/>
            </v:shapetype>
            <v:shape id="Textbox 883" o:spid="_x0000_s1299" type="#_x0000_t202" style="position:absolute;margin-left:71pt;margin-top:38.6pt;width:228.85pt;height:26.95pt;z-index:-2703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" filled="f" stroked="f">
              <v:textbox inset="0,0,0,0">
                <w:txbxContent>
                  <w:p w14:paraId="0DFDDF04" w14:textId="77777777" w:rsidR="00046465" w:rsidRDefault="008134EB">
                    <w:pPr>
                      <w:pStyle w:val="BodyText"/>
                      <w:spacing w:before="12"/>
                      <w:ind w:left="20"/>
                    </w:pPr>
                    <w:r>
                      <w:t>Substantive</w:t>
                    </w:r>
                    <w:r>
                      <w:rPr>
                        <w:spacing w:val="-2"/>
                      </w:rPr>
                      <w:t xml:space="preserve"> </w:t>
                    </w:r>
                    <w:r>
                      <w:t>Testing</w:t>
                    </w:r>
                    <w:r>
                      <w:rPr>
                        <w:spacing w:val="-1"/>
                      </w:rPr>
                      <w:t xml:space="preserve"> </w:t>
                    </w:r>
                    <w:r>
                      <w:t>Implementation</w:t>
                    </w:r>
                    <w:r>
                      <w:rPr>
                        <w:spacing w:val="-1"/>
                      </w:rPr>
                      <w:t xml:space="preserve"> </w:t>
                    </w:r>
                    <w:r>
                      <w:t>Guidance 902</w:t>
                    </w:r>
                    <w:r>
                      <w:rPr>
                        <w:spacing w:val="-8"/>
                      </w:rPr>
                      <w:t xml:space="preserve"> </w:t>
                    </w:r>
                    <w:r>
                      <w:t>–</w:t>
                    </w:r>
                    <w:r>
                      <w:rPr>
                        <w:spacing w:val="-7"/>
                      </w:rPr>
                      <w:t xml:space="preserve"> </w:t>
                    </w:r>
                    <w:r>
                      <w:t>Intragovernmental</w:t>
                    </w:r>
                    <w:r>
                      <w:rPr>
                        <w:spacing w:val="-7"/>
                      </w:rPr>
                      <w:t xml:space="preserve"> </w:t>
                    </w:r>
                    <w:r>
                      <w:t>Activity</w:t>
                    </w:r>
                    <w:r>
                      <w:rPr>
                        <w:spacing w:val="-9"/>
                      </w:rPr>
                      <w:t xml:space="preserve"> </w:t>
                    </w:r>
                    <w:r>
                      <w:t>and</w:t>
                    </w:r>
                    <w:r>
                      <w:rPr>
                        <w:spacing w:val="-8"/>
                      </w:rPr>
                      <w:t xml:space="preserve"> </w:t>
                    </w:r>
                    <w:r>
                      <w:rPr>
                        <w:spacing w:val="-2"/>
                      </w:rPr>
                      <w:t>Balances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C" w14:textId="77777777" w:rsidR="00046465" w:rsidRDefault="00046465">
    <w:pPr>
      <w:pStyle w:val="BodyText"/>
      <w:spacing w:line="14" w:lineRule="auto"/>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A"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79808" behindDoc="1" locked="0" layoutInCell="1" allowOverlap="1" wp14:anchorId="0DFDDBD2" wp14:editId="0DFDDBD3">
              <wp:simplePos x="0" y="0"/>
              <wp:positionH relativeFrom="page">
                <wp:posOffset>895350</wp:posOffset>
              </wp:positionH>
              <wp:positionV relativeFrom="page">
                <wp:posOffset>457962</wp:posOffset>
              </wp:positionV>
              <wp:extent cx="5981700" cy="28575"/>
              <wp:effectExtent l="0" t="0" r="0" b="0"/>
              <wp:wrapNone/>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F1E1AB" id="Graphic 894" o:spid="_x0000_s1026" style="position:absolute;margin-left:70.5pt;margin-top:36.05pt;width:471pt;height:2.25pt;z-index:-270366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80320" behindDoc="1" locked="0" layoutInCell="1" allowOverlap="1" wp14:anchorId="0DFDDBD4" wp14:editId="0DFDDBD5">
              <wp:simplePos x="0" y="0"/>
              <wp:positionH relativeFrom="page">
                <wp:posOffset>895350</wp:posOffset>
              </wp:positionH>
              <wp:positionV relativeFrom="page">
                <wp:posOffset>832103</wp:posOffset>
              </wp:positionV>
              <wp:extent cx="5981700" cy="28575"/>
              <wp:effectExtent l="0" t="0" r="0" b="0"/>
              <wp:wrapNone/>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FED53C" id="Graphic 895" o:spid="_x0000_s1026" style="position:absolute;margin-left:70.5pt;margin-top:65.5pt;width:471pt;height:2.25pt;z-index:-270361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80832" behindDoc="1" locked="0" layoutInCell="1" allowOverlap="1" wp14:anchorId="0DFDDBD6" wp14:editId="0DFDDBD7">
              <wp:simplePos x="0" y="0"/>
              <wp:positionH relativeFrom="page">
                <wp:posOffset>901700</wp:posOffset>
              </wp:positionH>
              <wp:positionV relativeFrom="page">
                <wp:posOffset>490475</wp:posOffset>
              </wp:positionV>
              <wp:extent cx="4932045" cy="342265"/>
              <wp:effectExtent l="0" t="0" r="0" b="0"/>
              <wp:wrapNone/>
              <wp:docPr id="896" name="Textbox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2045" cy="342265"/>
                      </a:xfrm>
                      <a:prstGeom prst="rect">
                        <a:avLst/>
                      </a:prstGeom>
                    </wps:spPr>
                    <wps:txbx>
                      <w:txbxContent>
                        <w:p w14:paraId="0DFDDF08"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0DFDDF09" w14:textId="77777777" w:rsidR="00046465" w:rsidRDefault="008134EB">
                          <w:pPr>
                            <w:pStyle w:val="BodyText"/>
                            <w:ind w:left="20"/>
                          </w:pPr>
                          <w:r>
                            <w:t>902</w:t>
                          </w:r>
                          <w:r>
                            <w:rPr>
                              <w:spacing w:val="-8"/>
                            </w:rPr>
                            <w:t xml:space="preserve"> </w:t>
                          </w:r>
                          <w:r>
                            <w:t>A</w:t>
                          </w:r>
                          <w:r>
                            <w:rPr>
                              <w:spacing w:val="-7"/>
                            </w:rPr>
                            <w:t xml:space="preserve"> </w:t>
                          </w:r>
                          <w:r>
                            <w:t>–</w:t>
                          </w:r>
                          <w:r>
                            <w:rPr>
                              <w:spacing w:val="-7"/>
                            </w:rPr>
                            <w:t xml:space="preserve"> </w:t>
                          </w:r>
                          <w:r>
                            <w:t>Example</w:t>
                          </w:r>
                          <w:r>
                            <w:rPr>
                              <w:spacing w:val="-7"/>
                            </w:rPr>
                            <w:t xml:space="preserve"> </w:t>
                          </w:r>
                          <w:r>
                            <w:t>Audit</w:t>
                          </w:r>
                          <w:r>
                            <w:rPr>
                              <w:spacing w:val="-7"/>
                            </w:rPr>
                            <w:t xml:space="preserve"> </w:t>
                          </w:r>
                          <w:r>
                            <w:t>Procedures</w:t>
                          </w:r>
                          <w:r>
                            <w:rPr>
                              <w:spacing w:val="-8"/>
                            </w:rPr>
                            <w:t xml:space="preserve"> </w:t>
                          </w:r>
                          <w:r>
                            <w:t>for</w:t>
                          </w:r>
                          <w:r>
                            <w:rPr>
                              <w:spacing w:val="-7"/>
                            </w:rPr>
                            <w:t xml:space="preserve"> </w:t>
                          </w:r>
                          <w:r>
                            <w:t>Intragovernmental</w:t>
                          </w:r>
                          <w:r>
                            <w:rPr>
                              <w:spacing w:val="-7"/>
                            </w:rPr>
                            <w:t xml:space="preserve"> </w:t>
                          </w:r>
                          <w:r>
                            <w:t>Activity</w:t>
                          </w:r>
                          <w:r>
                            <w:rPr>
                              <w:spacing w:val="-7"/>
                            </w:rPr>
                            <w:t xml:space="preserve"> </w:t>
                          </w:r>
                          <w:r>
                            <w:t>and</w:t>
                          </w:r>
                          <w:r>
                            <w:rPr>
                              <w:spacing w:val="-7"/>
                            </w:rPr>
                            <w:t xml:space="preserve"> </w:t>
                          </w:r>
                          <w:r>
                            <w:rPr>
                              <w:spacing w:val="-2"/>
                            </w:rPr>
                            <w:t>Balances</w:t>
                          </w:r>
                        </w:p>
                      </w:txbxContent>
                    </wps:txbx>
                    <wps:bodyPr wrap="square" lIns="0" tIns="0" rIns="0" bIns="0" rtlCol="0">
                      <a:noAutofit/>
                    </wps:bodyPr>
                  </wps:wsp>
                </a:graphicData>
              </a:graphic>
            </wp:anchor>
          </w:drawing>
        </mc:Choice>
        <mc:Fallback>
          <w:pict>
            <v:shapetype w14:anchorId="0DFDDBD6" id="_x0000_t202" coordsize="21600,21600" o:spt="202" path="m,l,21600r21600,l21600,xe">
              <v:stroke joinstyle="miter"/>
              <v:path gradientshapeok="t" o:connecttype="rect"/>
            </v:shapetype>
            <v:shape id="Textbox 896" o:spid="_x0000_s1303" type="#_x0000_t202" style="position:absolute;margin-left:71pt;margin-top:38.6pt;width:388.35pt;height:26.95pt;z-index:-2703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" filled="f" stroked="f">
              <v:textbox inset="0,0,0,0">
                <w:txbxContent>
                  <w:p w14:paraId="0DFDDF08"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0DFDDF09" w14:textId="77777777" w:rsidR="00046465" w:rsidRDefault="008134EB">
                    <w:pPr>
                      <w:pStyle w:val="BodyText"/>
                      <w:ind w:left="20"/>
                    </w:pPr>
                    <w:r>
                      <w:t>902</w:t>
                    </w:r>
                    <w:r>
                      <w:rPr>
                        <w:spacing w:val="-8"/>
                      </w:rPr>
                      <w:t xml:space="preserve"> </w:t>
                    </w:r>
                    <w:r>
                      <w:t>A</w:t>
                    </w:r>
                    <w:r>
                      <w:rPr>
                        <w:spacing w:val="-7"/>
                      </w:rPr>
                      <w:t xml:space="preserve"> </w:t>
                    </w:r>
                    <w:r>
                      <w:t>–</w:t>
                    </w:r>
                    <w:r>
                      <w:rPr>
                        <w:spacing w:val="-7"/>
                      </w:rPr>
                      <w:t xml:space="preserve"> </w:t>
                    </w:r>
                    <w:r>
                      <w:t>Example</w:t>
                    </w:r>
                    <w:r>
                      <w:rPr>
                        <w:spacing w:val="-7"/>
                      </w:rPr>
                      <w:t xml:space="preserve"> </w:t>
                    </w:r>
                    <w:r>
                      <w:t>Audit</w:t>
                    </w:r>
                    <w:r>
                      <w:rPr>
                        <w:spacing w:val="-7"/>
                      </w:rPr>
                      <w:t xml:space="preserve"> </w:t>
                    </w:r>
                    <w:r>
                      <w:t>Procedures</w:t>
                    </w:r>
                    <w:r>
                      <w:rPr>
                        <w:spacing w:val="-8"/>
                      </w:rPr>
                      <w:t xml:space="preserve"> </w:t>
                    </w:r>
                    <w:r>
                      <w:t>for</w:t>
                    </w:r>
                    <w:r>
                      <w:rPr>
                        <w:spacing w:val="-7"/>
                      </w:rPr>
                      <w:t xml:space="preserve"> </w:t>
                    </w:r>
                    <w:r>
                      <w:t>Intragovernmental</w:t>
                    </w:r>
                    <w:r>
                      <w:rPr>
                        <w:spacing w:val="-7"/>
                      </w:rPr>
                      <w:t xml:space="preserve"> </w:t>
                    </w:r>
                    <w:r>
                      <w:t>Activity</w:t>
                    </w:r>
                    <w:r>
                      <w:rPr>
                        <w:spacing w:val="-7"/>
                      </w:rPr>
                      <w:t xml:space="preserve"> </w:t>
                    </w:r>
                    <w:r>
                      <w:t>and</w:t>
                    </w:r>
                    <w:r>
                      <w:rPr>
                        <w:spacing w:val="-7"/>
                      </w:rPr>
                      <w:t xml:space="preserve"> </w:t>
                    </w:r>
                    <w:r>
                      <w:rPr>
                        <w:spacing w:val="-2"/>
                      </w:rPr>
                      <w:t>Balances</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C"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83392" behindDoc="1" locked="0" layoutInCell="1" allowOverlap="1" wp14:anchorId="0DFDDBE0" wp14:editId="0DFDDBE1">
              <wp:simplePos x="0" y="0"/>
              <wp:positionH relativeFrom="page">
                <wp:posOffset>895350</wp:posOffset>
              </wp:positionH>
              <wp:positionV relativeFrom="page">
                <wp:posOffset>457962</wp:posOffset>
              </wp:positionV>
              <wp:extent cx="5981700" cy="28575"/>
              <wp:effectExtent l="0" t="0" r="0" b="0"/>
              <wp:wrapNone/>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0C9672" id="Graphic 904" o:spid="_x0000_s1026" style="position:absolute;margin-left:70.5pt;margin-top:36.05pt;width:471pt;height:2.25pt;z-index:-2703308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83904" behindDoc="1" locked="0" layoutInCell="1" allowOverlap="1" wp14:anchorId="0DFDDBE2" wp14:editId="0DFDDBE3">
              <wp:simplePos x="0" y="0"/>
              <wp:positionH relativeFrom="page">
                <wp:posOffset>901700</wp:posOffset>
              </wp:positionH>
              <wp:positionV relativeFrom="page">
                <wp:posOffset>490475</wp:posOffset>
              </wp:positionV>
              <wp:extent cx="4932045" cy="342265"/>
              <wp:effectExtent l="0" t="0" r="0" b="0"/>
              <wp:wrapNone/>
              <wp:docPr id="90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32045" cy="342265"/>
                      </a:xfrm>
                      <a:prstGeom prst="rect">
                        <a:avLst/>
                      </a:prstGeom>
                    </wps:spPr>
                    <wps:txbx>
                      <w:txbxContent>
                        <w:p w14:paraId="0DFDDF0D"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0DFDDF0E" w14:textId="77777777" w:rsidR="00046465" w:rsidRDefault="008134EB">
                          <w:pPr>
                            <w:pStyle w:val="BodyText"/>
                            <w:ind w:left="20"/>
                          </w:pPr>
                          <w:r>
                            <w:t>902</w:t>
                          </w:r>
                          <w:r>
                            <w:rPr>
                              <w:spacing w:val="-8"/>
                            </w:rPr>
                            <w:t xml:space="preserve"> </w:t>
                          </w:r>
                          <w:r>
                            <w:t>A</w:t>
                          </w:r>
                          <w:r>
                            <w:rPr>
                              <w:spacing w:val="-7"/>
                            </w:rPr>
                            <w:t xml:space="preserve"> </w:t>
                          </w:r>
                          <w:r>
                            <w:t>–</w:t>
                          </w:r>
                          <w:r>
                            <w:rPr>
                              <w:spacing w:val="-7"/>
                            </w:rPr>
                            <w:t xml:space="preserve"> </w:t>
                          </w:r>
                          <w:r>
                            <w:t>Example</w:t>
                          </w:r>
                          <w:r>
                            <w:rPr>
                              <w:spacing w:val="-7"/>
                            </w:rPr>
                            <w:t xml:space="preserve"> </w:t>
                          </w:r>
                          <w:r>
                            <w:t>Audit</w:t>
                          </w:r>
                          <w:r>
                            <w:rPr>
                              <w:spacing w:val="-7"/>
                            </w:rPr>
                            <w:t xml:space="preserve"> </w:t>
                          </w:r>
                          <w:r>
                            <w:t>Procedures</w:t>
                          </w:r>
                          <w:r>
                            <w:rPr>
                              <w:spacing w:val="-8"/>
                            </w:rPr>
                            <w:t xml:space="preserve"> </w:t>
                          </w:r>
                          <w:r>
                            <w:t>for</w:t>
                          </w:r>
                          <w:r>
                            <w:rPr>
                              <w:spacing w:val="-7"/>
                            </w:rPr>
                            <w:t xml:space="preserve"> </w:t>
                          </w:r>
                          <w:r>
                            <w:t>Intragovernmental</w:t>
                          </w:r>
                          <w:r>
                            <w:rPr>
                              <w:spacing w:val="-7"/>
                            </w:rPr>
                            <w:t xml:space="preserve"> </w:t>
                          </w:r>
                          <w:r>
                            <w:t>Activity</w:t>
                          </w:r>
                          <w:r>
                            <w:rPr>
                              <w:spacing w:val="-7"/>
                            </w:rPr>
                            <w:t xml:space="preserve"> </w:t>
                          </w:r>
                          <w:r>
                            <w:t>and</w:t>
                          </w:r>
                          <w:r>
                            <w:rPr>
                              <w:spacing w:val="-7"/>
                            </w:rPr>
                            <w:t xml:space="preserve"> </w:t>
                          </w:r>
                          <w:r>
                            <w:rPr>
                              <w:spacing w:val="-2"/>
                            </w:rPr>
                            <w:t>Balances</w:t>
                          </w:r>
                        </w:p>
                      </w:txbxContent>
                    </wps:txbx>
                    <wps:bodyPr wrap="square" lIns="0" tIns="0" rIns="0" bIns="0" rtlCol="0">
                      <a:noAutofit/>
                    </wps:bodyPr>
                  </wps:wsp>
                </a:graphicData>
              </a:graphic>
            </wp:anchor>
          </w:drawing>
        </mc:Choice>
        <mc:Fallback>
          <w:pict>
            <v:shapetype w14:anchorId="0DFDDBE2" id="_x0000_t202" coordsize="21600,21600" o:spt="202" path="m,l,21600r21600,l21600,xe">
              <v:stroke joinstyle="miter"/>
              <v:path gradientshapeok="t" o:connecttype="rect"/>
            </v:shapetype>
            <v:shape id="Textbox 905" o:spid="_x0000_s1307" type="#_x0000_t202" style="position:absolute;margin-left:71pt;margin-top:38.6pt;width:388.35pt;height:26.95pt;z-index:-2703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" filled="f" stroked="f">
              <v:textbox inset="0,0,0,0">
                <w:txbxContent>
                  <w:p w14:paraId="0DFDDF0D"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0DFDDF0E" w14:textId="77777777" w:rsidR="00046465" w:rsidRDefault="008134EB">
                    <w:pPr>
                      <w:pStyle w:val="BodyText"/>
                      <w:ind w:left="20"/>
                    </w:pPr>
                    <w:r>
                      <w:t>902</w:t>
                    </w:r>
                    <w:r>
                      <w:rPr>
                        <w:spacing w:val="-8"/>
                      </w:rPr>
                      <w:t xml:space="preserve"> </w:t>
                    </w:r>
                    <w:r>
                      <w:t>A</w:t>
                    </w:r>
                    <w:r>
                      <w:rPr>
                        <w:spacing w:val="-7"/>
                      </w:rPr>
                      <w:t xml:space="preserve"> </w:t>
                    </w:r>
                    <w:r>
                      <w:t>–</w:t>
                    </w:r>
                    <w:r>
                      <w:rPr>
                        <w:spacing w:val="-7"/>
                      </w:rPr>
                      <w:t xml:space="preserve"> </w:t>
                    </w:r>
                    <w:r>
                      <w:t>Example</w:t>
                    </w:r>
                    <w:r>
                      <w:rPr>
                        <w:spacing w:val="-7"/>
                      </w:rPr>
                      <w:t xml:space="preserve"> </w:t>
                    </w:r>
                    <w:r>
                      <w:t>Audit</w:t>
                    </w:r>
                    <w:r>
                      <w:rPr>
                        <w:spacing w:val="-7"/>
                      </w:rPr>
                      <w:t xml:space="preserve"> </w:t>
                    </w:r>
                    <w:r>
                      <w:t>Procedures</w:t>
                    </w:r>
                    <w:r>
                      <w:rPr>
                        <w:spacing w:val="-8"/>
                      </w:rPr>
                      <w:t xml:space="preserve"> </w:t>
                    </w:r>
                    <w:r>
                      <w:t>for</w:t>
                    </w:r>
                    <w:r>
                      <w:rPr>
                        <w:spacing w:val="-7"/>
                      </w:rPr>
                      <w:t xml:space="preserve"> </w:t>
                    </w:r>
                    <w:r>
                      <w:t>Intragovernmental</w:t>
                    </w:r>
                    <w:r>
                      <w:rPr>
                        <w:spacing w:val="-7"/>
                      </w:rPr>
                      <w:t xml:space="preserve"> </w:t>
                    </w:r>
                    <w:r>
                      <w:t>Activity</w:t>
                    </w:r>
                    <w:r>
                      <w:rPr>
                        <w:spacing w:val="-7"/>
                      </w:rPr>
                      <w:t xml:space="preserve"> </w:t>
                    </w:r>
                    <w:r>
                      <w:t>and</w:t>
                    </w:r>
                    <w:r>
                      <w:rPr>
                        <w:spacing w:val="-7"/>
                      </w:rPr>
                      <w:t xml:space="preserve"> </w:t>
                    </w:r>
                    <w:r>
                      <w:rPr>
                        <w:spacing w:val="-2"/>
                      </w:rPr>
                      <w:t>Balances</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1E"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86464" behindDoc="1" locked="0" layoutInCell="1" allowOverlap="1" wp14:anchorId="0DFDDBEC" wp14:editId="0DFDDBED">
              <wp:simplePos x="0" y="0"/>
              <wp:positionH relativeFrom="page">
                <wp:posOffset>895350</wp:posOffset>
              </wp:positionH>
              <wp:positionV relativeFrom="page">
                <wp:posOffset>457962</wp:posOffset>
              </wp:positionV>
              <wp:extent cx="5981700" cy="28575"/>
              <wp:effectExtent l="0" t="0" r="0" b="0"/>
              <wp:wrapNone/>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D90545" id="Graphic 927" o:spid="_x0000_s1026" style="position:absolute;margin-left:70.5pt;margin-top:36.05pt;width:471pt;height:2.25pt;z-index:-270300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86976" behindDoc="1" locked="0" layoutInCell="1" allowOverlap="1" wp14:anchorId="0DFDDBEE" wp14:editId="0DFDDBEF">
              <wp:simplePos x="0" y="0"/>
              <wp:positionH relativeFrom="page">
                <wp:posOffset>895350</wp:posOffset>
              </wp:positionH>
              <wp:positionV relativeFrom="page">
                <wp:posOffset>832103</wp:posOffset>
              </wp:positionV>
              <wp:extent cx="5981700" cy="28575"/>
              <wp:effectExtent l="0" t="0" r="0" b="0"/>
              <wp:wrapNone/>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F2DDE4" id="Graphic 928" o:spid="_x0000_s1026" style="position:absolute;margin-left:70.5pt;margin-top:65.5pt;width:471pt;height:2.25pt;z-index:-2702950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87488" behindDoc="1" locked="0" layoutInCell="1" allowOverlap="1" wp14:anchorId="0DFDDBF0" wp14:editId="0DFDDBF1">
              <wp:simplePos x="0" y="0"/>
              <wp:positionH relativeFrom="page">
                <wp:posOffset>901700</wp:posOffset>
              </wp:positionH>
              <wp:positionV relativeFrom="page">
                <wp:posOffset>490475</wp:posOffset>
              </wp:positionV>
              <wp:extent cx="2882265" cy="342265"/>
              <wp:effectExtent l="0" t="0" r="0" b="0"/>
              <wp:wrapNone/>
              <wp:docPr id="929" name="Text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265" cy="342265"/>
                      </a:xfrm>
                      <a:prstGeom prst="rect">
                        <a:avLst/>
                      </a:prstGeom>
                    </wps:spPr>
                    <wps:txbx>
                      <w:txbxContent>
                        <w:p w14:paraId="0DFDDF12"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903 – Auditing Cost Information</w:t>
                          </w:r>
                        </w:p>
                      </w:txbxContent>
                    </wps:txbx>
                    <wps:bodyPr wrap="square" lIns="0" tIns="0" rIns="0" bIns="0" rtlCol="0">
                      <a:noAutofit/>
                    </wps:bodyPr>
                  </wps:wsp>
                </a:graphicData>
              </a:graphic>
            </wp:anchor>
          </w:drawing>
        </mc:Choice>
        <mc:Fallback>
          <w:pict>
            <v:shapetype w14:anchorId="0DFDDBF0" id="_x0000_t202" coordsize="21600,21600" o:spt="202" path="m,l,21600r21600,l21600,xe">
              <v:stroke joinstyle="miter"/>
              <v:path gradientshapeok="t" o:connecttype="rect"/>
            </v:shapetype>
            <v:shape id="Textbox 929" o:spid="_x0000_s1311" type="#_x0000_t202" style="position:absolute;margin-left:71pt;margin-top:38.6pt;width:226.95pt;height:26.95pt;z-index:-2702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" filled="f" stroked="f">
              <v:textbox inset="0,0,0,0">
                <w:txbxContent>
                  <w:p w14:paraId="0DFDDF12"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903 – Auditing Cost Information</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0"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90048" behindDoc="1" locked="0" layoutInCell="1" allowOverlap="1" wp14:anchorId="0DFDDBFA" wp14:editId="0DFDDBFB">
              <wp:simplePos x="0" y="0"/>
              <wp:positionH relativeFrom="page">
                <wp:posOffset>895350</wp:posOffset>
              </wp:positionH>
              <wp:positionV relativeFrom="page">
                <wp:posOffset>457962</wp:posOffset>
              </wp:positionV>
              <wp:extent cx="5981700" cy="28575"/>
              <wp:effectExtent l="0" t="0" r="0" b="0"/>
              <wp:wrapNone/>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F81F33" id="Graphic 936" o:spid="_x0000_s1026" style="position:absolute;margin-left:70.5pt;margin-top:36.05pt;width:471pt;height:2.25pt;z-index:-270264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90560" behindDoc="1" locked="0" layoutInCell="1" allowOverlap="1" wp14:anchorId="0DFDDBFC" wp14:editId="0DFDDBFD">
              <wp:simplePos x="0" y="0"/>
              <wp:positionH relativeFrom="page">
                <wp:posOffset>895350</wp:posOffset>
              </wp:positionH>
              <wp:positionV relativeFrom="page">
                <wp:posOffset>832103</wp:posOffset>
              </wp:positionV>
              <wp:extent cx="5981700" cy="28575"/>
              <wp:effectExtent l="0" t="0" r="0" b="0"/>
              <wp:wrapNone/>
              <wp:docPr id="937" name="Graphic 9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B11CC8" id="Graphic 937" o:spid="_x0000_s1026" style="position:absolute;margin-left:70.5pt;margin-top:65.5pt;width:471pt;height:2.25pt;z-index:-2702592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91072" behindDoc="1" locked="0" layoutInCell="1" allowOverlap="1" wp14:anchorId="0DFDDBFE" wp14:editId="0DFDDBFF">
              <wp:simplePos x="0" y="0"/>
              <wp:positionH relativeFrom="page">
                <wp:posOffset>901700</wp:posOffset>
              </wp:positionH>
              <wp:positionV relativeFrom="page">
                <wp:posOffset>490475</wp:posOffset>
              </wp:positionV>
              <wp:extent cx="4629785" cy="342265"/>
              <wp:effectExtent l="0" t="0" r="0" b="0"/>
              <wp:wrapNone/>
              <wp:docPr id="938" name="Text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785" cy="342265"/>
                      </a:xfrm>
                      <a:prstGeom prst="rect">
                        <a:avLst/>
                      </a:prstGeom>
                    </wps:spPr>
                    <wps:txbx>
                      <w:txbxContent>
                        <w:p w14:paraId="0DFDDF16"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0DFDDF17" w14:textId="77777777" w:rsidR="00046465" w:rsidRDefault="008134EB">
                          <w:pPr>
                            <w:pStyle w:val="BodyText"/>
                            <w:ind w:left="20"/>
                          </w:pPr>
                          <w:r>
                            <w:t>904</w:t>
                          </w:r>
                          <w:r>
                            <w:rPr>
                              <w:spacing w:val="-8"/>
                            </w:rPr>
                            <w:t xml:space="preserve"> </w:t>
                          </w:r>
                          <w:r>
                            <w:t>–</w:t>
                          </w:r>
                          <w:r>
                            <w:rPr>
                              <w:spacing w:val="-8"/>
                            </w:rPr>
                            <w:t xml:space="preserve"> </w:t>
                          </w:r>
                          <w:r>
                            <w:t>Disclosure</w:t>
                          </w:r>
                          <w:r>
                            <w:rPr>
                              <w:spacing w:val="-8"/>
                            </w:rPr>
                            <w:t xml:space="preserve"> </w:t>
                          </w:r>
                          <w:r>
                            <w:t>Entities,</w:t>
                          </w:r>
                          <w:r>
                            <w:rPr>
                              <w:spacing w:val="-8"/>
                            </w:rPr>
                            <w:t xml:space="preserve"> </w:t>
                          </w:r>
                          <w:r>
                            <w:t>Related</w:t>
                          </w:r>
                          <w:r>
                            <w:rPr>
                              <w:spacing w:val="-8"/>
                            </w:rPr>
                            <w:t xml:space="preserve"> </w:t>
                          </w:r>
                          <w:r>
                            <w:t>Parties,</w:t>
                          </w:r>
                          <w:r>
                            <w:rPr>
                              <w:spacing w:val="-8"/>
                            </w:rPr>
                            <w:t xml:space="preserve"> </w:t>
                          </w:r>
                          <w:r>
                            <w:t>and</w:t>
                          </w:r>
                          <w:r>
                            <w:rPr>
                              <w:spacing w:val="-8"/>
                            </w:rPr>
                            <w:t xml:space="preserve"> </w:t>
                          </w:r>
                          <w:r>
                            <w:t>Public-Private</w:t>
                          </w:r>
                          <w:r>
                            <w:rPr>
                              <w:spacing w:val="-9"/>
                            </w:rPr>
                            <w:t xml:space="preserve"> </w:t>
                          </w:r>
                          <w:r>
                            <w:rPr>
                              <w:spacing w:val="-2"/>
                            </w:rPr>
                            <w:t>Partnerships</w:t>
                          </w:r>
                        </w:p>
                      </w:txbxContent>
                    </wps:txbx>
                    <wps:bodyPr wrap="square" lIns="0" tIns="0" rIns="0" bIns="0" rtlCol="0">
                      <a:noAutofit/>
                    </wps:bodyPr>
                  </wps:wsp>
                </a:graphicData>
              </a:graphic>
            </wp:anchor>
          </w:drawing>
        </mc:Choice>
        <mc:Fallback>
          <w:pict>
            <v:shapetype w14:anchorId="0DFDDBFE" id="_x0000_t202" coordsize="21600,21600" o:spt="202" path="m,l,21600r21600,l21600,xe">
              <v:stroke joinstyle="miter"/>
              <v:path gradientshapeok="t" o:connecttype="rect"/>
            </v:shapetype>
            <v:shape id="Textbox 938" o:spid="_x0000_s1315" type="#_x0000_t202" style="position:absolute;margin-left:71pt;margin-top:38.6pt;width:364.55pt;height:26.95pt;z-index:-2702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" filled="f" stroked="f">
              <v:textbox inset="0,0,0,0">
                <w:txbxContent>
                  <w:p w14:paraId="0DFDDF16"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0DFDDF17" w14:textId="77777777" w:rsidR="00046465" w:rsidRDefault="008134EB">
                    <w:pPr>
                      <w:pStyle w:val="BodyText"/>
                      <w:ind w:left="20"/>
                    </w:pPr>
                    <w:r>
                      <w:t>904</w:t>
                    </w:r>
                    <w:r>
                      <w:rPr>
                        <w:spacing w:val="-8"/>
                      </w:rPr>
                      <w:t xml:space="preserve"> </w:t>
                    </w:r>
                    <w:r>
                      <w:t>–</w:t>
                    </w:r>
                    <w:r>
                      <w:rPr>
                        <w:spacing w:val="-8"/>
                      </w:rPr>
                      <w:t xml:space="preserve"> </w:t>
                    </w:r>
                    <w:r>
                      <w:t>Disclosure</w:t>
                    </w:r>
                    <w:r>
                      <w:rPr>
                        <w:spacing w:val="-8"/>
                      </w:rPr>
                      <w:t xml:space="preserve"> </w:t>
                    </w:r>
                    <w:r>
                      <w:t>Entities,</w:t>
                    </w:r>
                    <w:r>
                      <w:rPr>
                        <w:spacing w:val="-8"/>
                      </w:rPr>
                      <w:t xml:space="preserve"> </w:t>
                    </w:r>
                    <w:r>
                      <w:t>Related</w:t>
                    </w:r>
                    <w:r>
                      <w:rPr>
                        <w:spacing w:val="-8"/>
                      </w:rPr>
                      <w:t xml:space="preserve"> </w:t>
                    </w:r>
                    <w:r>
                      <w:t>Parties,</w:t>
                    </w:r>
                    <w:r>
                      <w:rPr>
                        <w:spacing w:val="-8"/>
                      </w:rPr>
                      <w:t xml:space="preserve"> </w:t>
                    </w:r>
                    <w:r>
                      <w:t>and</w:t>
                    </w:r>
                    <w:r>
                      <w:rPr>
                        <w:spacing w:val="-8"/>
                      </w:rPr>
                      <w:t xml:space="preserve"> </w:t>
                    </w:r>
                    <w:r>
                      <w:t>Public-Private</w:t>
                    </w:r>
                    <w:r>
                      <w:rPr>
                        <w:spacing w:val="-9"/>
                      </w:rPr>
                      <w:t xml:space="preserve"> </w:t>
                    </w:r>
                    <w:r>
                      <w:rPr>
                        <w:spacing w:val="-2"/>
                      </w:rPr>
                      <w:t>Partnerships</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2"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93632" behindDoc="1" locked="0" layoutInCell="1" allowOverlap="1" wp14:anchorId="0DFDDC08" wp14:editId="0DFDDC09">
              <wp:simplePos x="0" y="0"/>
              <wp:positionH relativeFrom="page">
                <wp:posOffset>895350</wp:posOffset>
              </wp:positionH>
              <wp:positionV relativeFrom="page">
                <wp:posOffset>457962</wp:posOffset>
              </wp:positionV>
              <wp:extent cx="5981700" cy="28575"/>
              <wp:effectExtent l="0" t="0" r="0" b="0"/>
              <wp:wrapNone/>
              <wp:docPr id="943" name="Graphic 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BC3EC0" id="Graphic 943" o:spid="_x0000_s1026" style="position:absolute;margin-left:70.5pt;margin-top:36.05pt;width:471pt;height:2.25pt;z-index:-2702284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94144" behindDoc="1" locked="0" layoutInCell="1" allowOverlap="1" wp14:anchorId="0DFDDC0A" wp14:editId="0DFDDC0B">
              <wp:simplePos x="0" y="0"/>
              <wp:positionH relativeFrom="page">
                <wp:posOffset>895350</wp:posOffset>
              </wp:positionH>
              <wp:positionV relativeFrom="page">
                <wp:posOffset>832103</wp:posOffset>
              </wp:positionV>
              <wp:extent cx="5981700" cy="28575"/>
              <wp:effectExtent l="0" t="0" r="0" b="0"/>
              <wp:wrapNone/>
              <wp:docPr id="944" name="Graphic 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987B19" id="Graphic 944" o:spid="_x0000_s1026" style="position:absolute;margin-left:70.5pt;margin-top:65.5pt;width:471pt;height:2.25pt;z-index:-2702233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94656" behindDoc="1" locked="0" layoutInCell="1" allowOverlap="1" wp14:anchorId="0DFDDC0C" wp14:editId="0DFDDC0D">
              <wp:simplePos x="0" y="0"/>
              <wp:positionH relativeFrom="page">
                <wp:posOffset>901700</wp:posOffset>
              </wp:positionH>
              <wp:positionV relativeFrom="page">
                <wp:posOffset>490475</wp:posOffset>
              </wp:positionV>
              <wp:extent cx="4629785" cy="342265"/>
              <wp:effectExtent l="0" t="0" r="0" b="0"/>
              <wp:wrapNone/>
              <wp:docPr id="945" name="Text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29785" cy="342265"/>
                      </a:xfrm>
                      <a:prstGeom prst="rect">
                        <a:avLst/>
                      </a:prstGeom>
                    </wps:spPr>
                    <wps:txbx>
                      <w:txbxContent>
                        <w:p w14:paraId="0DFDDF1B"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0DFDDF1C" w14:textId="77777777" w:rsidR="00046465" w:rsidRDefault="008134EB">
                          <w:pPr>
                            <w:pStyle w:val="BodyText"/>
                            <w:ind w:left="20"/>
                          </w:pPr>
                          <w:r>
                            <w:t>904</w:t>
                          </w:r>
                          <w:r>
                            <w:rPr>
                              <w:spacing w:val="-8"/>
                            </w:rPr>
                            <w:t xml:space="preserve"> </w:t>
                          </w:r>
                          <w:r>
                            <w:t>–</w:t>
                          </w:r>
                          <w:r>
                            <w:rPr>
                              <w:spacing w:val="-8"/>
                            </w:rPr>
                            <w:t xml:space="preserve"> </w:t>
                          </w:r>
                          <w:r>
                            <w:t>Disclosure</w:t>
                          </w:r>
                          <w:r>
                            <w:rPr>
                              <w:spacing w:val="-8"/>
                            </w:rPr>
                            <w:t xml:space="preserve"> </w:t>
                          </w:r>
                          <w:r>
                            <w:t>Entities,</w:t>
                          </w:r>
                          <w:r>
                            <w:rPr>
                              <w:spacing w:val="-8"/>
                            </w:rPr>
                            <w:t xml:space="preserve"> </w:t>
                          </w:r>
                          <w:r>
                            <w:t>Related</w:t>
                          </w:r>
                          <w:r>
                            <w:rPr>
                              <w:spacing w:val="-8"/>
                            </w:rPr>
                            <w:t xml:space="preserve"> </w:t>
                          </w:r>
                          <w:r>
                            <w:t>Parties,</w:t>
                          </w:r>
                          <w:r>
                            <w:rPr>
                              <w:spacing w:val="-8"/>
                            </w:rPr>
                            <w:t xml:space="preserve"> </w:t>
                          </w:r>
                          <w:r>
                            <w:t>and</w:t>
                          </w:r>
                          <w:r>
                            <w:rPr>
                              <w:spacing w:val="-8"/>
                            </w:rPr>
                            <w:t xml:space="preserve"> </w:t>
                          </w:r>
                          <w:r>
                            <w:t>Public-Private</w:t>
                          </w:r>
                          <w:r>
                            <w:rPr>
                              <w:spacing w:val="-9"/>
                            </w:rPr>
                            <w:t xml:space="preserve"> </w:t>
                          </w:r>
                          <w:r>
                            <w:rPr>
                              <w:spacing w:val="-2"/>
                            </w:rPr>
                            <w:t>Partnerships</w:t>
                          </w:r>
                        </w:p>
                      </w:txbxContent>
                    </wps:txbx>
                    <wps:bodyPr wrap="square" lIns="0" tIns="0" rIns="0" bIns="0" rtlCol="0">
                      <a:noAutofit/>
                    </wps:bodyPr>
                  </wps:wsp>
                </a:graphicData>
              </a:graphic>
            </wp:anchor>
          </w:drawing>
        </mc:Choice>
        <mc:Fallback>
          <w:pict>
            <v:shapetype w14:anchorId="0DFDDC0C" id="_x0000_t202" coordsize="21600,21600" o:spt="202" path="m,l,21600r21600,l21600,xe">
              <v:stroke joinstyle="miter"/>
              <v:path gradientshapeok="t" o:connecttype="rect"/>
            </v:shapetype>
            <v:shape id="Textbox 945" o:spid="_x0000_s1319" type="#_x0000_t202" style="position:absolute;margin-left:71pt;margin-top:38.6pt;width:364.55pt;height:26.95pt;z-index:-2702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" filled="f" stroked="f">
              <v:textbox inset="0,0,0,0">
                <w:txbxContent>
                  <w:p w14:paraId="0DFDDF1B"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0DFDDF1C" w14:textId="77777777" w:rsidR="00046465" w:rsidRDefault="008134EB">
                    <w:pPr>
                      <w:pStyle w:val="BodyText"/>
                      <w:ind w:left="20"/>
                    </w:pPr>
                    <w:r>
                      <w:t>904</w:t>
                    </w:r>
                    <w:r>
                      <w:rPr>
                        <w:spacing w:val="-8"/>
                      </w:rPr>
                      <w:t xml:space="preserve"> </w:t>
                    </w:r>
                    <w:r>
                      <w:t>–</w:t>
                    </w:r>
                    <w:r>
                      <w:rPr>
                        <w:spacing w:val="-8"/>
                      </w:rPr>
                      <w:t xml:space="preserve"> </w:t>
                    </w:r>
                    <w:r>
                      <w:t>Disclosure</w:t>
                    </w:r>
                    <w:r>
                      <w:rPr>
                        <w:spacing w:val="-8"/>
                      </w:rPr>
                      <w:t xml:space="preserve"> </w:t>
                    </w:r>
                    <w:r>
                      <w:t>Entities,</w:t>
                    </w:r>
                    <w:r>
                      <w:rPr>
                        <w:spacing w:val="-8"/>
                      </w:rPr>
                      <w:t xml:space="preserve"> </w:t>
                    </w:r>
                    <w:r>
                      <w:t>Related</w:t>
                    </w:r>
                    <w:r>
                      <w:rPr>
                        <w:spacing w:val="-8"/>
                      </w:rPr>
                      <w:t xml:space="preserve"> </w:t>
                    </w:r>
                    <w:r>
                      <w:t>Parties,</w:t>
                    </w:r>
                    <w:r>
                      <w:rPr>
                        <w:spacing w:val="-8"/>
                      </w:rPr>
                      <w:t xml:space="preserve"> </w:t>
                    </w:r>
                    <w:r>
                      <w:t>and</w:t>
                    </w:r>
                    <w:r>
                      <w:rPr>
                        <w:spacing w:val="-8"/>
                      </w:rPr>
                      <w:t xml:space="preserve"> </w:t>
                    </w:r>
                    <w:r>
                      <w:t>Public-Private</w:t>
                    </w:r>
                    <w:r>
                      <w:rPr>
                        <w:spacing w:val="-9"/>
                      </w:rPr>
                      <w:t xml:space="preserve"> </w:t>
                    </w:r>
                    <w:r>
                      <w:rPr>
                        <w:spacing w:val="-2"/>
                      </w:rPr>
                      <w:t>Partnerships</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4"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297216" behindDoc="1" locked="0" layoutInCell="1" allowOverlap="1" wp14:anchorId="0DFDDC16" wp14:editId="0DFDDC17">
              <wp:simplePos x="0" y="0"/>
              <wp:positionH relativeFrom="page">
                <wp:posOffset>895350</wp:posOffset>
              </wp:positionH>
              <wp:positionV relativeFrom="page">
                <wp:posOffset>457962</wp:posOffset>
              </wp:positionV>
              <wp:extent cx="5981700" cy="28575"/>
              <wp:effectExtent l="0" t="0" r="0" b="0"/>
              <wp:wrapNone/>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763A15" id="Graphic 950" o:spid="_x0000_s1026" style="position:absolute;margin-left:70.5pt;margin-top:36.05pt;width:471pt;height:2.25pt;z-index:-270192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97728" behindDoc="1" locked="0" layoutInCell="1" allowOverlap="1" wp14:anchorId="0DFDDC18" wp14:editId="0DFDDC19">
              <wp:simplePos x="0" y="0"/>
              <wp:positionH relativeFrom="page">
                <wp:posOffset>895350</wp:posOffset>
              </wp:positionH>
              <wp:positionV relativeFrom="page">
                <wp:posOffset>832103</wp:posOffset>
              </wp:positionV>
              <wp:extent cx="5981700" cy="28575"/>
              <wp:effectExtent l="0" t="0" r="0" b="0"/>
              <wp:wrapNone/>
              <wp:docPr id="951" name="Graphic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AD46CE" id="Graphic 951" o:spid="_x0000_s1026" style="position:absolute;margin-left:70.5pt;margin-top:65.5pt;width:471pt;height:2.25pt;z-index:-2701875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298240" behindDoc="1" locked="0" layoutInCell="1" allowOverlap="1" wp14:anchorId="0DFDDC1A" wp14:editId="0DFDDC1B">
              <wp:simplePos x="0" y="0"/>
              <wp:positionH relativeFrom="page">
                <wp:posOffset>901700</wp:posOffset>
              </wp:positionH>
              <wp:positionV relativeFrom="page">
                <wp:posOffset>490475</wp:posOffset>
              </wp:positionV>
              <wp:extent cx="2882265" cy="342265"/>
              <wp:effectExtent l="0" t="0" r="0" b="0"/>
              <wp:wrapNone/>
              <wp:docPr id="952" name="Text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265" cy="342265"/>
                      </a:xfrm>
                      <a:prstGeom prst="rect">
                        <a:avLst/>
                      </a:prstGeom>
                    </wps:spPr>
                    <wps:txbx>
                      <w:txbxContent>
                        <w:p w14:paraId="0DFDDF20"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905 – Auditing Accounting Estimates</w:t>
                          </w:r>
                        </w:p>
                      </w:txbxContent>
                    </wps:txbx>
                    <wps:bodyPr wrap="square" lIns="0" tIns="0" rIns="0" bIns="0" rtlCol="0">
                      <a:noAutofit/>
                    </wps:bodyPr>
                  </wps:wsp>
                </a:graphicData>
              </a:graphic>
            </wp:anchor>
          </w:drawing>
        </mc:Choice>
        <mc:Fallback>
          <w:pict>
            <v:shapetype w14:anchorId="0DFDDC1A" id="_x0000_t202" coordsize="21600,21600" o:spt="202" path="m,l,21600r21600,l21600,xe">
              <v:stroke joinstyle="miter"/>
              <v:path gradientshapeok="t" o:connecttype="rect"/>
            </v:shapetype>
            <v:shape id="Textbox 952" o:spid="_x0000_s1323" type="#_x0000_t202" style="position:absolute;margin-left:71pt;margin-top:38.6pt;width:226.95pt;height:26.95pt;z-index:-2701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" filled="f" stroked="f">
              <v:textbox inset="0,0,0,0">
                <w:txbxContent>
                  <w:p w14:paraId="0DFDDF20"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905 – Auditing Accounting Estimates</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6"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00800" behindDoc="1" locked="0" layoutInCell="1" allowOverlap="1" wp14:anchorId="0DFDDC24" wp14:editId="0DFDDC25">
              <wp:simplePos x="0" y="0"/>
              <wp:positionH relativeFrom="page">
                <wp:posOffset>895350</wp:posOffset>
              </wp:positionH>
              <wp:positionV relativeFrom="page">
                <wp:posOffset>457962</wp:posOffset>
              </wp:positionV>
              <wp:extent cx="5981700" cy="28575"/>
              <wp:effectExtent l="0" t="0" r="0" b="0"/>
              <wp:wrapNone/>
              <wp:docPr id="957" name="Graphic 9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CBBA66" id="Graphic 957" o:spid="_x0000_s1026" style="position:absolute;margin-left:70.5pt;margin-top:36.05pt;width:471pt;height:2.25pt;z-index:-270156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01312" behindDoc="1" locked="0" layoutInCell="1" allowOverlap="1" wp14:anchorId="0DFDDC26" wp14:editId="0DFDDC27">
              <wp:simplePos x="0" y="0"/>
              <wp:positionH relativeFrom="page">
                <wp:posOffset>895350</wp:posOffset>
              </wp:positionH>
              <wp:positionV relativeFrom="page">
                <wp:posOffset>832103</wp:posOffset>
              </wp:positionV>
              <wp:extent cx="5981700" cy="28575"/>
              <wp:effectExtent l="0" t="0" r="0" b="0"/>
              <wp:wrapNone/>
              <wp:docPr id="958" name="Graphic 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55BC82" id="Graphic 958" o:spid="_x0000_s1026" style="position:absolute;margin-left:70.5pt;margin-top:65.5pt;width:471pt;height:2.25pt;z-index:-2701516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01824" behindDoc="1" locked="0" layoutInCell="1" allowOverlap="1" wp14:anchorId="0DFDDC28" wp14:editId="0DFDDC29">
              <wp:simplePos x="0" y="0"/>
              <wp:positionH relativeFrom="page">
                <wp:posOffset>901700</wp:posOffset>
              </wp:positionH>
              <wp:positionV relativeFrom="page">
                <wp:posOffset>490475</wp:posOffset>
              </wp:positionV>
              <wp:extent cx="2882265" cy="342265"/>
              <wp:effectExtent l="0" t="0" r="0" b="0"/>
              <wp:wrapNone/>
              <wp:docPr id="959" name="Text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265" cy="342265"/>
                      </a:xfrm>
                      <a:prstGeom prst="rect">
                        <a:avLst/>
                      </a:prstGeom>
                    </wps:spPr>
                    <wps:txbx>
                      <w:txbxContent>
                        <w:p w14:paraId="0DFDDF24"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905 – Auditing Accounting Estimates</w:t>
                          </w:r>
                        </w:p>
                      </w:txbxContent>
                    </wps:txbx>
                    <wps:bodyPr wrap="square" lIns="0" tIns="0" rIns="0" bIns="0" rtlCol="0">
                      <a:noAutofit/>
                    </wps:bodyPr>
                  </wps:wsp>
                </a:graphicData>
              </a:graphic>
            </wp:anchor>
          </w:drawing>
        </mc:Choice>
        <mc:Fallback>
          <w:pict>
            <v:shapetype w14:anchorId="0DFDDC28" id="_x0000_t202" coordsize="21600,21600" o:spt="202" path="m,l,21600r21600,l21600,xe">
              <v:stroke joinstyle="miter"/>
              <v:path gradientshapeok="t" o:connecttype="rect"/>
            </v:shapetype>
            <v:shape id="Textbox 959" o:spid="_x0000_s1327" type="#_x0000_t202" style="position:absolute;margin-left:71pt;margin-top:38.6pt;width:226.95pt;height:26.95pt;z-index:-2701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" filled="f" stroked="f">
              <v:textbox inset="0,0,0,0">
                <w:txbxContent>
                  <w:p w14:paraId="0DFDDF24"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905 – Auditing Accounting Estimates</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8"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04384" behindDoc="1" locked="0" layoutInCell="1" allowOverlap="1" wp14:anchorId="0DFDDC32" wp14:editId="0DFDDC33">
              <wp:simplePos x="0" y="0"/>
              <wp:positionH relativeFrom="page">
                <wp:posOffset>895350</wp:posOffset>
              </wp:positionH>
              <wp:positionV relativeFrom="page">
                <wp:posOffset>457962</wp:posOffset>
              </wp:positionV>
              <wp:extent cx="5981700" cy="28575"/>
              <wp:effectExtent l="0" t="0" r="0" b="0"/>
              <wp:wrapNone/>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46274A" id="Graphic 964" o:spid="_x0000_s1026" style="position:absolute;margin-left:70.5pt;margin-top:36.05pt;width:471pt;height:2.25pt;z-index:-270120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04896" behindDoc="1" locked="0" layoutInCell="1" allowOverlap="1" wp14:anchorId="0DFDDC34" wp14:editId="0DFDDC35">
              <wp:simplePos x="0" y="0"/>
              <wp:positionH relativeFrom="page">
                <wp:posOffset>895350</wp:posOffset>
              </wp:positionH>
              <wp:positionV relativeFrom="page">
                <wp:posOffset>832103</wp:posOffset>
              </wp:positionV>
              <wp:extent cx="5981700" cy="28575"/>
              <wp:effectExtent l="0" t="0" r="0" b="0"/>
              <wp:wrapNone/>
              <wp:docPr id="965" name="Graphic 9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05ED30" id="Graphic 965" o:spid="_x0000_s1026" style="position:absolute;margin-left:70.5pt;margin-top:65.5pt;width:471pt;height:2.25pt;z-index:-2701158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05408" behindDoc="1" locked="0" layoutInCell="1" allowOverlap="1" wp14:anchorId="0DFDDC36" wp14:editId="0DFDDC37">
              <wp:simplePos x="0" y="0"/>
              <wp:positionH relativeFrom="page">
                <wp:posOffset>901700</wp:posOffset>
              </wp:positionH>
              <wp:positionV relativeFrom="page">
                <wp:posOffset>490475</wp:posOffset>
              </wp:positionV>
              <wp:extent cx="2882265" cy="342265"/>
              <wp:effectExtent l="0" t="0" r="0" b="0"/>
              <wp:wrapNone/>
              <wp:docPr id="966" name="Text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265" cy="342265"/>
                      </a:xfrm>
                      <a:prstGeom prst="rect">
                        <a:avLst/>
                      </a:prstGeom>
                    </wps:spPr>
                    <wps:txbx>
                      <w:txbxContent>
                        <w:p w14:paraId="0DFDDF28"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921 – Auditing Fund Balance with Treasury</w:t>
                          </w:r>
                        </w:p>
                      </w:txbxContent>
                    </wps:txbx>
                    <wps:bodyPr wrap="square" lIns="0" tIns="0" rIns="0" bIns="0" rtlCol="0">
                      <a:noAutofit/>
                    </wps:bodyPr>
                  </wps:wsp>
                </a:graphicData>
              </a:graphic>
            </wp:anchor>
          </w:drawing>
        </mc:Choice>
        <mc:Fallback>
          <w:pict>
            <v:shapetype w14:anchorId="0DFDDC36" id="_x0000_t202" coordsize="21600,21600" o:spt="202" path="m,l,21600r21600,l21600,xe">
              <v:stroke joinstyle="miter"/>
              <v:path gradientshapeok="t" o:connecttype="rect"/>
            </v:shapetype>
            <v:shape id="Textbox 966" o:spid="_x0000_s1331" type="#_x0000_t202" style="position:absolute;margin-left:71pt;margin-top:38.6pt;width:226.95pt;height:26.95pt;z-index:-2701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" filled="f" stroked="f">
              <v:textbox inset="0,0,0,0">
                <w:txbxContent>
                  <w:p w14:paraId="0DFDDF28"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921 – Auditing Fund Balance with Treasury</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A"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07968" behindDoc="1" locked="0" layoutInCell="1" allowOverlap="1" wp14:anchorId="0DFDDC40" wp14:editId="0DFDDC41">
              <wp:simplePos x="0" y="0"/>
              <wp:positionH relativeFrom="page">
                <wp:posOffset>895350</wp:posOffset>
              </wp:positionH>
              <wp:positionV relativeFrom="page">
                <wp:posOffset>457962</wp:posOffset>
              </wp:positionV>
              <wp:extent cx="5981700" cy="28575"/>
              <wp:effectExtent l="0" t="0" r="0" b="0"/>
              <wp:wrapNone/>
              <wp:docPr id="972" name="Graphic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FDA1B3" id="Graphic 972" o:spid="_x0000_s1026" style="position:absolute;margin-left:70.5pt;margin-top:36.05pt;width:471pt;height:2.25pt;z-index:-270085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08480" behindDoc="1" locked="0" layoutInCell="1" allowOverlap="1" wp14:anchorId="0DFDDC42" wp14:editId="0DFDDC43">
              <wp:simplePos x="0" y="0"/>
              <wp:positionH relativeFrom="page">
                <wp:posOffset>895350</wp:posOffset>
              </wp:positionH>
              <wp:positionV relativeFrom="page">
                <wp:posOffset>832103</wp:posOffset>
              </wp:positionV>
              <wp:extent cx="5981700" cy="28575"/>
              <wp:effectExtent l="0" t="0" r="0" b="0"/>
              <wp:wrapNone/>
              <wp:docPr id="973" name="Graphic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825D76" id="Graphic 973" o:spid="_x0000_s1026" style="position:absolute;margin-left:70.5pt;margin-top:65.5pt;width:471pt;height:2.25pt;z-index:-2700800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08992" behindDoc="1" locked="0" layoutInCell="1" allowOverlap="1" wp14:anchorId="0DFDDC44" wp14:editId="0DFDDC45">
              <wp:simplePos x="0" y="0"/>
              <wp:positionH relativeFrom="page">
                <wp:posOffset>901700</wp:posOffset>
              </wp:positionH>
              <wp:positionV relativeFrom="page">
                <wp:posOffset>490475</wp:posOffset>
              </wp:positionV>
              <wp:extent cx="2882265" cy="342265"/>
              <wp:effectExtent l="0" t="0" r="0" b="0"/>
              <wp:wrapNone/>
              <wp:docPr id="974" name="Text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265" cy="342265"/>
                      </a:xfrm>
                      <a:prstGeom prst="rect">
                        <a:avLst/>
                      </a:prstGeom>
                    </wps:spPr>
                    <wps:txbx>
                      <w:txbxContent>
                        <w:p w14:paraId="0DFDDF2C"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921 – Auditing Fund Balance with Treasury</w:t>
                          </w:r>
                        </w:p>
                      </w:txbxContent>
                    </wps:txbx>
                    <wps:bodyPr wrap="square" lIns="0" tIns="0" rIns="0" bIns="0" rtlCol="0">
                      <a:noAutofit/>
                    </wps:bodyPr>
                  </wps:wsp>
                </a:graphicData>
              </a:graphic>
            </wp:anchor>
          </w:drawing>
        </mc:Choice>
        <mc:Fallback>
          <w:pict>
            <v:shapetype w14:anchorId="0DFDDC44" id="_x0000_t202" coordsize="21600,21600" o:spt="202" path="m,l,21600r21600,l21600,xe">
              <v:stroke joinstyle="miter"/>
              <v:path gradientshapeok="t" o:connecttype="rect"/>
            </v:shapetype>
            <v:shape id="Textbox 974" o:spid="_x0000_s1335" type="#_x0000_t202" style="position:absolute;margin-left:71pt;margin-top:38.6pt;width:226.95pt;height:26.95pt;z-index:-27007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" filled="f" stroked="f">
              <v:textbox inset="0,0,0,0">
                <w:txbxContent>
                  <w:p w14:paraId="0DFDDF2C"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921 – Auditing Fund Balance with Treasury</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C"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11552" behindDoc="1" locked="0" layoutInCell="1" allowOverlap="1" wp14:anchorId="0DFDDC4E" wp14:editId="0DFDDC4F">
              <wp:simplePos x="0" y="0"/>
              <wp:positionH relativeFrom="page">
                <wp:posOffset>895350</wp:posOffset>
              </wp:positionH>
              <wp:positionV relativeFrom="page">
                <wp:posOffset>457962</wp:posOffset>
              </wp:positionV>
              <wp:extent cx="5981700" cy="28575"/>
              <wp:effectExtent l="0" t="0" r="0" b="0"/>
              <wp:wrapNone/>
              <wp:docPr id="985" name="Graphic 9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5DEC68" id="Graphic 985" o:spid="_x0000_s1026" style="position:absolute;margin-left:70.5pt;margin-top:36.05pt;width:471pt;height:2.25pt;z-index:-270049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12064" behindDoc="1" locked="0" layoutInCell="1" allowOverlap="1" wp14:anchorId="0DFDDC50" wp14:editId="0DFDDC51">
              <wp:simplePos x="0" y="0"/>
              <wp:positionH relativeFrom="page">
                <wp:posOffset>895350</wp:posOffset>
              </wp:positionH>
              <wp:positionV relativeFrom="page">
                <wp:posOffset>832103</wp:posOffset>
              </wp:positionV>
              <wp:extent cx="5981700" cy="28575"/>
              <wp:effectExtent l="0" t="0" r="0" b="0"/>
              <wp:wrapNone/>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CD516A" id="Graphic 986" o:spid="_x0000_s1026" style="position:absolute;margin-left:70.5pt;margin-top:65.5pt;width:471pt;height:2.25pt;z-index:-270044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12576" behindDoc="1" locked="0" layoutInCell="1" allowOverlap="1" wp14:anchorId="0DFDDC52" wp14:editId="0DFDDC53">
              <wp:simplePos x="0" y="0"/>
              <wp:positionH relativeFrom="page">
                <wp:posOffset>901700</wp:posOffset>
              </wp:positionH>
              <wp:positionV relativeFrom="page">
                <wp:posOffset>490475</wp:posOffset>
              </wp:positionV>
              <wp:extent cx="4178935" cy="342265"/>
              <wp:effectExtent l="0" t="0" r="0" b="0"/>
              <wp:wrapNone/>
              <wp:docPr id="987" name="Textbox 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935" cy="342265"/>
                      </a:xfrm>
                      <a:prstGeom prst="rect">
                        <a:avLst/>
                      </a:prstGeom>
                    </wps:spPr>
                    <wps:txbx>
                      <w:txbxContent>
                        <w:p w14:paraId="0DFDDF30"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0DFDDF31" w14:textId="77777777" w:rsidR="00046465" w:rsidRDefault="008134EB">
                          <w:pPr>
                            <w:pStyle w:val="BodyText"/>
                            <w:ind w:left="20"/>
                          </w:pPr>
                          <w:r>
                            <w:t>921</w:t>
                          </w:r>
                          <w:r>
                            <w:rPr>
                              <w:spacing w:val="-6"/>
                            </w:rPr>
                            <w:t xml:space="preserve"> </w:t>
                          </w:r>
                          <w:r>
                            <w:t>A</w:t>
                          </w:r>
                          <w:r>
                            <w:rPr>
                              <w:spacing w:val="-6"/>
                            </w:rPr>
                            <w:t xml:space="preserve"> </w:t>
                          </w:r>
                          <w:r>
                            <w:t>–</w:t>
                          </w:r>
                          <w:r>
                            <w:rPr>
                              <w:spacing w:val="-6"/>
                            </w:rPr>
                            <w:t xml:space="preserve"> </w:t>
                          </w:r>
                          <w:r>
                            <w:t>Example</w:t>
                          </w:r>
                          <w:r>
                            <w:rPr>
                              <w:spacing w:val="-5"/>
                            </w:rPr>
                            <w:t xml:space="preserve"> </w:t>
                          </w:r>
                          <w:r>
                            <w:t>Audit</w:t>
                          </w:r>
                          <w:r>
                            <w:rPr>
                              <w:spacing w:val="-6"/>
                            </w:rPr>
                            <w:t xml:space="preserve"> </w:t>
                          </w:r>
                          <w:r>
                            <w:t>Procedures</w:t>
                          </w:r>
                          <w:r>
                            <w:rPr>
                              <w:spacing w:val="-6"/>
                            </w:rPr>
                            <w:t xml:space="preserve"> </w:t>
                          </w:r>
                          <w:r>
                            <w:t>for</w:t>
                          </w:r>
                          <w:r>
                            <w:rPr>
                              <w:spacing w:val="-6"/>
                            </w:rPr>
                            <w:t xml:space="preserve"> </w:t>
                          </w:r>
                          <w:r>
                            <w:t>Fund</w:t>
                          </w:r>
                          <w:r>
                            <w:rPr>
                              <w:spacing w:val="-6"/>
                            </w:rPr>
                            <w:t xml:space="preserve"> </w:t>
                          </w:r>
                          <w:r>
                            <w:t>Balance</w:t>
                          </w:r>
                          <w:r>
                            <w:rPr>
                              <w:spacing w:val="-5"/>
                            </w:rPr>
                            <w:t xml:space="preserve"> </w:t>
                          </w:r>
                          <w:r>
                            <w:t>with</w:t>
                          </w:r>
                          <w:r>
                            <w:rPr>
                              <w:spacing w:val="-6"/>
                            </w:rPr>
                            <w:t xml:space="preserve"> </w:t>
                          </w:r>
                          <w:r>
                            <w:rPr>
                              <w:spacing w:val="-2"/>
                            </w:rPr>
                            <w:t>Treasury</w:t>
                          </w:r>
                        </w:p>
                      </w:txbxContent>
                    </wps:txbx>
                    <wps:bodyPr wrap="square" lIns="0" tIns="0" rIns="0" bIns="0" rtlCol="0">
                      <a:noAutofit/>
                    </wps:bodyPr>
                  </wps:wsp>
                </a:graphicData>
              </a:graphic>
            </wp:anchor>
          </w:drawing>
        </mc:Choice>
        <mc:Fallback>
          <w:pict>
            <v:shapetype w14:anchorId="0DFDDC52" id="_x0000_t202" coordsize="21600,21600" o:spt="202" path="m,l,21600r21600,l21600,xe">
              <v:stroke joinstyle="miter"/>
              <v:path gradientshapeok="t" o:connecttype="rect"/>
            </v:shapetype>
            <v:shape id="Textbox 987" o:spid="_x0000_s1339" type="#_x0000_t202" style="position:absolute;margin-left:71pt;margin-top:38.6pt;width:329.05pt;height:26.95pt;z-index:-2700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" filled="f" stroked="f">
              <v:textbox inset="0,0,0,0">
                <w:txbxContent>
                  <w:p w14:paraId="0DFDDF30"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0DFDDF31" w14:textId="77777777" w:rsidR="00046465" w:rsidRDefault="008134EB">
                    <w:pPr>
                      <w:pStyle w:val="BodyText"/>
                      <w:ind w:left="20"/>
                    </w:pPr>
                    <w:r>
                      <w:t>921</w:t>
                    </w:r>
                    <w:r>
                      <w:rPr>
                        <w:spacing w:val="-6"/>
                      </w:rPr>
                      <w:t xml:space="preserve"> </w:t>
                    </w:r>
                    <w:r>
                      <w:t>A</w:t>
                    </w:r>
                    <w:r>
                      <w:rPr>
                        <w:spacing w:val="-6"/>
                      </w:rPr>
                      <w:t xml:space="preserve"> </w:t>
                    </w:r>
                    <w:r>
                      <w:t>–</w:t>
                    </w:r>
                    <w:r>
                      <w:rPr>
                        <w:spacing w:val="-6"/>
                      </w:rPr>
                      <w:t xml:space="preserve"> </w:t>
                    </w:r>
                    <w:r>
                      <w:t>Example</w:t>
                    </w:r>
                    <w:r>
                      <w:rPr>
                        <w:spacing w:val="-5"/>
                      </w:rPr>
                      <w:t xml:space="preserve"> </w:t>
                    </w:r>
                    <w:r>
                      <w:t>Audit</w:t>
                    </w:r>
                    <w:r>
                      <w:rPr>
                        <w:spacing w:val="-6"/>
                      </w:rPr>
                      <w:t xml:space="preserve"> </w:t>
                    </w:r>
                    <w:r>
                      <w:t>Procedures</w:t>
                    </w:r>
                    <w:r>
                      <w:rPr>
                        <w:spacing w:val="-6"/>
                      </w:rPr>
                      <w:t xml:space="preserve"> </w:t>
                    </w:r>
                    <w:r>
                      <w:t>for</w:t>
                    </w:r>
                    <w:r>
                      <w:rPr>
                        <w:spacing w:val="-6"/>
                      </w:rPr>
                      <w:t xml:space="preserve"> </w:t>
                    </w:r>
                    <w:r>
                      <w:t>Fund</w:t>
                    </w:r>
                    <w:r>
                      <w:rPr>
                        <w:spacing w:val="-6"/>
                      </w:rPr>
                      <w:t xml:space="preserve"> </w:t>
                    </w:r>
                    <w:r>
                      <w:t>Balance</w:t>
                    </w:r>
                    <w:r>
                      <w:rPr>
                        <w:spacing w:val="-5"/>
                      </w:rPr>
                      <w:t xml:space="preserve"> </w:t>
                    </w:r>
                    <w:r>
                      <w:t>with</w:t>
                    </w:r>
                    <w:r>
                      <w:rPr>
                        <w:spacing w:val="-6"/>
                      </w:rPr>
                      <w:t xml:space="preserve"> </w:t>
                    </w:r>
                    <w:r>
                      <w:rPr>
                        <w:spacing w:val="-2"/>
                      </w:rPr>
                      <w:t>Treasury</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9E"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72448" behindDoc="1" locked="0" layoutInCell="1" allowOverlap="1" wp14:anchorId="0DFDD8A8" wp14:editId="0DFDD8A9">
              <wp:simplePos x="0" y="0"/>
              <wp:positionH relativeFrom="page">
                <wp:posOffset>895350</wp:posOffset>
              </wp:positionH>
              <wp:positionV relativeFrom="page">
                <wp:posOffset>457962</wp:posOffset>
              </wp:positionV>
              <wp:extent cx="5981700" cy="28575"/>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DF4D35" id="Graphic 103" o:spid="_x0000_s1026" style="position:absolute;margin-left:70.5pt;margin-top:36.05pt;width:471pt;height:2.25pt;z-index:-272440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72960" behindDoc="1" locked="0" layoutInCell="1" allowOverlap="1" wp14:anchorId="0DFDD8AA" wp14:editId="0DFDD8AB">
              <wp:simplePos x="0" y="0"/>
              <wp:positionH relativeFrom="page">
                <wp:posOffset>895350</wp:posOffset>
              </wp:positionH>
              <wp:positionV relativeFrom="page">
                <wp:posOffset>832103</wp:posOffset>
              </wp:positionV>
              <wp:extent cx="5981700" cy="28575"/>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6DCE4" id="Graphic 104" o:spid="_x0000_s1026" style="position:absolute;margin-left:70.5pt;margin-top:65.5pt;width:471pt;height:2.25pt;z-index:-2724352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73472" behindDoc="1" locked="0" layoutInCell="1" allowOverlap="1" wp14:anchorId="0DFDD8AC" wp14:editId="0DFDD8AD">
              <wp:simplePos x="0" y="0"/>
              <wp:positionH relativeFrom="page">
                <wp:posOffset>901700</wp:posOffset>
              </wp:positionH>
              <wp:positionV relativeFrom="page">
                <wp:posOffset>490475</wp:posOffset>
              </wp:positionV>
              <wp:extent cx="2734945" cy="34226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4945" cy="342265"/>
                      </a:xfrm>
                      <a:prstGeom prst="rect">
                        <a:avLst/>
                      </a:prstGeom>
                    </wps:spPr>
                    <wps:txbx>
                      <w:txbxContent>
                        <w:p w14:paraId="0DFDDDE6"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DE7" w14:textId="77777777" w:rsidR="00046465" w:rsidRDefault="008134EB">
                          <w:pPr>
                            <w:pStyle w:val="BodyText"/>
                            <w:ind w:left="20"/>
                          </w:pPr>
                          <w:r>
                            <w:t>600</w:t>
                          </w:r>
                          <w:r>
                            <w:rPr>
                              <w:spacing w:val="-5"/>
                            </w:rPr>
                            <w:t xml:space="preserve"> </w:t>
                          </w:r>
                          <w:r>
                            <w:t>–</w:t>
                          </w:r>
                          <w:r>
                            <w:rPr>
                              <w:spacing w:val="-4"/>
                            </w:rPr>
                            <w:t xml:space="preserve"> </w:t>
                          </w:r>
                          <w:r>
                            <w:t>Contents</w:t>
                          </w:r>
                          <w:r>
                            <w:rPr>
                              <w:spacing w:val="-4"/>
                            </w:rPr>
                            <w:t xml:space="preserve"> </w:t>
                          </w:r>
                          <w:r>
                            <w:t>of</w:t>
                          </w:r>
                          <w:r>
                            <w:rPr>
                              <w:spacing w:val="-4"/>
                            </w:rPr>
                            <w:t xml:space="preserve"> </w:t>
                          </w:r>
                          <w:r>
                            <w:t>Using</w:t>
                          </w:r>
                          <w:r>
                            <w:rPr>
                              <w:spacing w:val="-5"/>
                            </w:rPr>
                            <w:t xml:space="preserve"> </w:t>
                          </w:r>
                          <w:r>
                            <w:t>the</w:t>
                          </w:r>
                          <w:r>
                            <w:rPr>
                              <w:spacing w:val="-4"/>
                            </w:rPr>
                            <w:t xml:space="preserve"> </w:t>
                          </w:r>
                          <w:r>
                            <w:t>Work</w:t>
                          </w:r>
                          <w:r>
                            <w:rPr>
                              <w:spacing w:val="-5"/>
                            </w:rPr>
                            <w:t xml:space="preserve"> </w:t>
                          </w:r>
                          <w:r>
                            <w:t>of</w:t>
                          </w:r>
                          <w:r>
                            <w:rPr>
                              <w:spacing w:val="-5"/>
                            </w:rPr>
                            <w:t xml:space="preserve"> </w:t>
                          </w:r>
                          <w:r>
                            <w:rPr>
                              <w:spacing w:val="-2"/>
                            </w:rPr>
                            <w:t>Others</w:t>
                          </w:r>
                        </w:p>
                      </w:txbxContent>
                    </wps:txbx>
                    <wps:bodyPr wrap="square" lIns="0" tIns="0" rIns="0" bIns="0" rtlCol="0">
                      <a:noAutofit/>
                    </wps:bodyPr>
                  </wps:wsp>
                </a:graphicData>
              </a:graphic>
            </wp:anchor>
          </w:drawing>
        </mc:Choice>
        <mc:Fallback>
          <w:pict>
            <v:shapetype w14:anchorId="0DFDD8AC" id="_x0000_t202" coordsize="21600,21600" o:spt="202" path="m,l,21600r21600,l21600,xe">
              <v:stroke joinstyle="miter"/>
              <v:path gradientshapeok="t" o:connecttype="rect"/>
            </v:shapetype>
            <v:shape id="Textbox 105" o:spid="_x0000_s1068" type="#_x0000_t202" style="position:absolute;margin-left:71pt;margin-top:38.6pt;width:215.35pt;height:26.95pt;z-index:-2724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" filled="f" stroked="f">
              <v:textbox inset="0,0,0,0">
                <w:txbxContent>
                  <w:p w14:paraId="0DFDDDE6"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DE7" w14:textId="77777777" w:rsidR="00046465" w:rsidRDefault="008134EB">
                    <w:pPr>
                      <w:pStyle w:val="BodyText"/>
                      <w:ind w:left="20"/>
                    </w:pPr>
                    <w:r>
                      <w:t>600</w:t>
                    </w:r>
                    <w:r>
                      <w:rPr>
                        <w:spacing w:val="-5"/>
                      </w:rPr>
                      <w:t xml:space="preserve"> </w:t>
                    </w:r>
                    <w:r>
                      <w:t>–</w:t>
                    </w:r>
                    <w:r>
                      <w:rPr>
                        <w:spacing w:val="-4"/>
                      </w:rPr>
                      <w:t xml:space="preserve"> </w:t>
                    </w:r>
                    <w:r>
                      <w:t>Contents</w:t>
                    </w:r>
                    <w:r>
                      <w:rPr>
                        <w:spacing w:val="-4"/>
                      </w:rPr>
                      <w:t xml:space="preserve"> </w:t>
                    </w:r>
                    <w:r>
                      <w:t>of</w:t>
                    </w:r>
                    <w:r>
                      <w:rPr>
                        <w:spacing w:val="-4"/>
                      </w:rPr>
                      <w:t xml:space="preserve"> </w:t>
                    </w:r>
                    <w:r>
                      <w:t>Using</w:t>
                    </w:r>
                    <w:r>
                      <w:rPr>
                        <w:spacing w:val="-5"/>
                      </w:rPr>
                      <w:t xml:space="preserve"> </w:t>
                    </w:r>
                    <w:r>
                      <w:t>the</w:t>
                    </w:r>
                    <w:r>
                      <w:rPr>
                        <w:spacing w:val="-4"/>
                      </w:rPr>
                      <w:t xml:space="preserve"> </w:t>
                    </w:r>
                    <w:r>
                      <w:t>Work</w:t>
                    </w:r>
                    <w:r>
                      <w:rPr>
                        <w:spacing w:val="-5"/>
                      </w:rPr>
                      <w:t xml:space="preserve"> </w:t>
                    </w:r>
                    <w:r>
                      <w:t>of</w:t>
                    </w:r>
                    <w:r>
                      <w:rPr>
                        <w:spacing w:val="-5"/>
                      </w:rPr>
                      <w:t xml:space="preserve"> </w:t>
                    </w:r>
                    <w:r>
                      <w:rPr>
                        <w:spacing w:val="-2"/>
                      </w:rPr>
                      <w:t>Others</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2E"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15136" behindDoc="1" locked="0" layoutInCell="1" allowOverlap="1" wp14:anchorId="0DFDDC5C" wp14:editId="0DFDDC5D">
              <wp:simplePos x="0" y="0"/>
              <wp:positionH relativeFrom="page">
                <wp:posOffset>895350</wp:posOffset>
              </wp:positionH>
              <wp:positionV relativeFrom="page">
                <wp:posOffset>457962</wp:posOffset>
              </wp:positionV>
              <wp:extent cx="5981700" cy="28575"/>
              <wp:effectExtent l="0" t="0" r="0" b="0"/>
              <wp:wrapNone/>
              <wp:docPr id="993" name="Graphic 9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6E1302" id="Graphic 993" o:spid="_x0000_s1026" style="position:absolute;margin-left:70.5pt;margin-top:36.05pt;width:471pt;height:2.25pt;z-index:-270013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15648" behindDoc="1" locked="0" layoutInCell="1" allowOverlap="1" wp14:anchorId="0DFDDC5E" wp14:editId="0DFDDC5F">
              <wp:simplePos x="0" y="0"/>
              <wp:positionH relativeFrom="page">
                <wp:posOffset>895350</wp:posOffset>
              </wp:positionH>
              <wp:positionV relativeFrom="page">
                <wp:posOffset>832103</wp:posOffset>
              </wp:positionV>
              <wp:extent cx="5981700" cy="28575"/>
              <wp:effectExtent l="0" t="0" r="0" b="0"/>
              <wp:wrapNone/>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0133B4" id="Graphic 994" o:spid="_x0000_s1026" style="position:absolute;margin-left:70.5pt;margin-top:65.5pt;width:471pt;height:2.25pt;z-index:-270008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16160" behindDoc="1" locked="0" layoutInCell="1" allowOverlap="1" wp14:anchorId="0DFDDC60" wp14:editId="0DFDDC61">
              <wp:simplePos x="0" y="0"/>
              <wp:positionH relativeFrom="page">
                <wp:posOffset>901700</wp:posOffset>
              </wp:positionH>
              <wp:positionV relativeFrom="page">
                <wp:posOffset>490475</wp:posOffset>
              </wp:positionV>
              <wp:extent cx="3938270" cy="342265"/>
              <wp:effectExtent l="0" t="0" r="0" b="0"/>
              <wp:wrapNone/>
              <wp:docPr id="995" name="Text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8270" cy="342265"/>
                      </a:xfrm>
                      <a:prstGeom prst="rect">
                        <a:avLst/>
                      </a:prstGeom>
                    </wps:spPr>
                    <wps:txbx>
                      <w:txbxContent>
                        <w:p w14:paraId="0DFDDF35"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0DFDDF36" w14:textId="77777777" w:rsidR="00046465" w:rsidRDefault="008134EB">
                          <w:pPr>
                            <w:pStyle w:val="BodyText"/>
                            <w:ind w:left="20"/>
                          </w:pPr>
                          <w:r>
                            <w:t>921</w:t>
                          </w:r>
                          <w:r>
                            <w:rPr>
                              <w:spacing w:val="-6"/>
                            </w:rPr>
                            <w:t xml:space="preserve"> </w:t>
                          </w:r>
                          <w:r>
                            <w:t>B</w:t>
                          </w:r>
                          <w:r>
                            <w:rPr>
                              <w:spacing w:val="-6"/>
                            </w:rPr>
                            <w:t xml:space="preserve"> </w:t>
                          </w:r>
                          <w:r>
                            <w:t>–</w:t>
                          </w:r>
                          <w:r>
                            <w:rPr>
                              <w:spacing w:val="-5"/>
                            </w:rPr>
                            <w:t xml:space="preserve"> </w:t>
                          </w:r>
                          <w:r>
                            <w:t>Example</w:t>
                          </w:r>
                          <w:r>
                            <w:rPr>
                              <w:spacing w:val="-6"/>
                            </w:rPr>
                            <w:t xml:space="preserve"> </w:t>
                          </w:r>
                          <w:r>
                            <w:t>Audit</w:t>
                          </w:r>
                          <w:r>
                            <w:rPr>
                              <w:spacing w:val="-5"/>
                            </w:rPr>
                            <w:t xml:space="preserve"> </w:t>
                          </w:r>
                          <w:r>
                            <w:t>Procedures</w:t>
                          </w:r>
                          <w:r>
                            <w:rPr>
                              <w:spacing w:val="-7"/>
                            </w:rPr>
                            <w:t xml:space="preserve"> </w:t>
                          </w:r>
                          <w:r>
                            <w:t>for</w:t>
                          </w:r>
                          <w:r>
                            <w:rPr>
                              <w:spacing w:val="-5"/>
                            </w:rPr>
                            <w:t xml:space="preserve"> </w:t>
                          </w:r>
                          <w:r>
                            <w:t>Auditing</w:t>
                          </w:r>
                          <w:r>
                            <w:rPr>
                              <w:spacing w:val="-7"/>
                            </w:rPr>
                            <w:t xml:space="preserve"> </w:t>
                          </w:r>
                          <w:r>
                            <w:t>TAS</w:t>
                          </w:r>
                          <w:r>
                            <w:rPr>
                              <w:spacing w:val="-6"/>
                            </w:rPr>
                            <w:t xml:space="preserve"> </w:t>
                          </w:r>
                          <w:r>
                            <w:t>and</w:t>
                          </w:r>
                          <w:r>
                            <w:rPr>
                              <w:spacing w:val="-5"/>
                            </w:rPr>
                            <w:t xml:space="preserve"> </w:t>
                          </w:r>
                          <w:r>
                            <w:rPr>
                              <w:spacing w:val="-4"/>
                            </w:rPr>
                            <w:t>BETC</w:t>
                          </w:r>
                        </w:p>
                      </w:txbxContent>
                    </wps:txbx>
                    <wps:bodyPr wrap="square" lIns="0" tIns="0" rIns="0" bIns="0" rtlCol="0">
                      <a:noAutofit/>
                    </wps:bodyPr>
                  </wps:wsp>
                </a:graphicData>
              </a:graphic>
            </wp:anchor>
          </w:drawing>
        </mc:Choice>
        <mc:Fallback>
          <w:pict>
            <v:shapetype w14:anchorId="0DFDDC60" id="_x0000_t202" coordsize="21600,21600" o:spt="202" path="m,l,21600r21600,l21600,xe">
              <v:stroke joinstyle="miter"/>
              <v:path gradientshapeok="t" o:connecttype="rect"/>
            </v:shapetype>
            <v:shape id="Textbox 995" o:spid="_x0000_s1343" type="#_x0000_t202" style="position:absolute;margin-left:71pt;margin-top:38.6pt;width:310.1pt;height:26.95pt;z-index:-27000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" filled="f" stroked="f">
              <v:textbox inset="0,0,0,0">
                <w:txbxContent>
                  <w:p w14:paraId="0DFDDF35"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2"/>
                      </w:rPr>
                      <w:t xml:space="preserve"> </w:t>
                    </w:r>
                    <w:r>
                      <w:rPr>
                        <w:spacing w:val="-2"/>
                      </w:rPr>
                      <w:t>Guidance</w:t>
                    </w:r>
                  </w:p>
                  <w:p w14:paraId="0DFDDF36" w14:textId="77777777" w:rsidR="00046465" w:rsidRDefault="008134EB">
                    <w:pPr>
                      <w:pStyle w:val="BodyText"/>
                      <w:ind w:left="20"/>
                    </w:pPr>
                    <w:r>
                      <w:t>921</w:t>
                    </w:r>
                    <w:r>
                      <w:rPr>
                        <w:spacing w:val="-6"/>
                      </w:rPr>
                      <w:t xml:space="preserve"> </w:t>
                    </w:r>
                    <w:r>
                      <w:t>B</w:t>
                    </w:r>
                    <w:r>
                      <w:rPr>
                        <w:spacing w:val="-6"/>
                      </w:rPr>
                      <w:t xml:space="preserve"> </w:t>
                    </w:r>
                    <w:r>
                      <w:t>–</w:t>
                    </w:r>
                    <w:r>
                      <w:rPr>
                        <w:spacing w:val="-5"/>
                      </w:rPr>
                      <w:t xml:space="preserve"> </w:t>
                    </w:r>
                    <w:r>
                      <w:t>Example</w:t>
                    </w:r>
                    <w:r>
                      <w:rPr>
                        <w:spacing w:val="-6"/>
                      </w:rPr>
                      <w:t xml:space="preserve"> </w:t>
                    </w:r>
                    <w:r>
                      <w:t>Audit</w:t>
                    </w:r>
                    <w:r>
                      <w:rPr>
                        <w:spacing w:val="-5"/>
                      </w:rPr>
                      <w:t xml:space="preserve"> </w:t>
                    </w:r>
                    <w:r>
                      <w:t>Procedures</w:t>
                    </w:r>
                    <w:r>
                      <w:rPr>
                        <w:spacing w:val="-7"/>
                      </w:rPr>
                      <w:t xml:space="preserve"> </w:t>
                    </w:r>
                    <w:r>
                      <w:t>for</w:t>
                    </w:r>
                    <w:r>
                      <w:rPr>
                        <w:spacing w:val="-5"/>
                      </w:rPr>
                      <w:t xml:space="preserve"> </w:t>
                    </w:r>
                    <w:r>
                      <w:t>Auditing</w:t>
                    </w:r>
                    <w:r>
                      <w:rPr>
                        <w:spacing w:val="-7"/>
                      </w:rPr>
                      <w:t xml:space="preserve"> </w:t>
                    </w:r>
                    <w:r>
                      <w:t>TAS</w:t>
                    </w:r>
                    <w:r>
                      <w:rPr>
                        <w:spacing w:val="-6"/>
                      </w:rPr>
                      <w:t xml:space="preserve"> </w:t>
                    </w:r>
                    <w:r>
                      <w:t>and</w:t>
                    </w:r>
                    <w:r>
                      <w:rPr>
                        <w:spacing w:val="-5"/>
                      </w:rPr>
                      <w:t xml:space="preserve"> </w:t>
                    </w:r>
                    <w:r>
                      <w:rPr>
                        <w:spacing w:val="-4"/>
                      </w:rPr>
                      <w:t>BETC</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0"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18720" behindDoc="1" locked="0" layoutInCell="1" allowOverlap="1" wp14:anchorId="0DFDDC6A" wp14:editId="0DFDDC6B">
              <wp:simplePos x="0" y="0"/>
              <wp:positionH relativeFrom="page">
                <wp:posOffset>895350</wp:posOffset>
              </wp:positionH>
              <wp:positionV relativeFrom="page">
                <wp:posOffset>457962</wp:posOffset>
              </wp:positionV>
              <wp:extent cx="5981700" cy="28575"/>
              <wp:effectExtent l="0" t="0" r="0" b="0"/>
              <wp:wrapNone/>
              <wp:docPr id="1000" name="Graphic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B01811" id="Graphic 1000" o:spid="_x0000_s1026" style="position:absolute;margin-left:70.5pt;margin-top:36.05pt;width:471pt;height:2.25pt;z-index:-269977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19232" behindDoc="1" locked="0" layoutInCell="1" allowOverlap="1" wp14:anchorId="0DFDDC6C" wp14:editId="0DFDDC6D">
              <wp:simplePos x="0" y="0"/>
              <wp:positionH relativeFrom="page">
                <wp:posOffset>895350</wp:posOffset>
              </wp:positionH>
              <wp:positionV relativeFrom="page">
                <wp:posOffset>832103</wp:posOffset>
              </wp:positionV>
              <wp:extent cx="5981700" cy="28575"/>
              <wp:effectExtent l="0" t="0" r="0" b="0"/>
              <wp:wrapNone/>
              <wp:docPr id="1001" name="Graphic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B2374D" id="Graphic 1001" o:spid="_x0000_s1026" style="position:absolute;margin-left:70.5pt;margin-top:65.5pt;width:471pt;height:2.25pt;z-index:-2699724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19744" behindDoc="1" locked="0" layoutInCell="1" allowOverlap="1" wp14:anchorId="0DFDDC6E" wp14:editId="0DFDDC6F">
              <wp:simplePos x="0" y="0"/>
              <wp:positionH relativeFrom="page">
                <wp:posOffset>901700</wp:posOffset>
              </wp:positionH>
              <wp:positionV relativeFrom="page">
                <wp:posOffset>490475</wp:posOffset>
              </wp:positionV>
              <wp:extent cx="3108325" cy="342265"/>
              <wp:effectExtent l="0" t="0" r="0" b="0"/>
              <wp:wrapNone/>
              <wp:docPr id="1002" name="Text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325" cy="342265"/>
                      </a:xfrm>
                      <a:prstGeom prst="rect">
                        <a:avLst/>
                      </a:prstGeom>
                    </wps:spPr>
                    <wps:txbx>
                      <w:txbxContent>
                        <w:p w14:paraId="0DFDDF3A" w14:textId="77777777" w:rsidR="00046465" w:rsidRDefault="008134EB">
                          <w:pPr>
                            <w:pStyle w:val="BodyText"/>
                            <w:spacing w:before="12"/>
                            <w:ind w:left="20" w:right="18"/>
                          </w:pPr>
                          <w:r>
                            <w:t>Substantive Testing Implementation Guidance 931</w:t>
                          </w:r>
                          <w:r>
                            <w:rPr>
                              <w:spacing w:val="-6"/>
                            </w:rPr>
                            <w:t xml:space="preserve"> </w:t>
                          </w:r>
                          <w:r>
                            <w:t>–</w:t>
                          </w:r>
                          <w:r>
                            <w:rPr>
                              <w:spacing w:val="-6"/>
                            </w:rPr>
                            <w:t xml:space="preserve"> </w:t>
                          </w:r>
                          <w:r>
                            <w:t>Auditing</w:t>
                          </w:r>
                          <w:r>
                            <w:rPr>
                              <w:spacing w:val="-6"/>
                            </w:rPr>
                            <w:t xml:space="preserve"> </w:t>
                          </w:r>
                          <w:r>
                            <w:t>PP&amp;E</w:t>
                          </w:r>
                          <w:r>
                            <w:rPr>
                              <w:spacing w:val="-6"/>
                            </w:rPr>
                            <w:t xml:space="preserve"> </w:t>
                          </w:r>
                          <w:r>
                            <w:t>Land</w:t>
                          </w:r>
                          <w:r>
                            <w:rPr>
                              <w:spacing w:val="-6"/>
                            </w:rPr>
                            <w:t xml:space="preserve"> </w:t>
                          </w:r>
                          <w:r>
                            <w:t>and</w:t>
                          </w:r>
                          <w:r>
                            <w:rPr>
                              <w:spacing w:val="-6"/>
                            </w:rPr>
                            <w:t xml:space="preserve"> </w:t>
                          </w:r>
                          <w:r>
                            <w:t>Stewardship</w:t>
                          </w:r>
                          <w:r>
                            <w:rPr>
                              <w:spacing w:val="-6"/>
                            </w:rPr>
                            <w:t xml:space="preserve"> </w:t>
                          </w:r>
                          <w:r>
                            <w:t>Land</w:t>
                          </w:r>
                        </w:p>
                      </w:txbxContent>
                    </wps:txbx>
                    <wps:bodyPr wrap="square" lIns="0" tIns="0" rIns="0" bIns="0" rtlCol="0">
                      <a:noAutofit/>
                    </wps:bodyPr>
                  </wps:wsp>
                </a:graphicData>
              </a:graphic>
            </wp:anchor>
          </w:drawing>
        </mc:Choice>
        <mc:Fallback>
          <w:pict>
            <v:shapetype w14:anchorId="0DFDDC6E" id="_x0000_t202" coordsize="21600,21600" o:spt="202" path="m,l,21600r21600,l21600,xe">
              <v:stroke joinstyle="miter"/>
              <v:path gradientshapeok="t" o:connecttype="rect"/>
            </v:shapetype>
            <v:shape id="Textbox 1002" o:spid="_x0000_s1347" type="#_x0000_t202" style="position:absolute;margin-left:71pt;margin-top:38.6pt;width:244.75pt;height:26.95pt;z-index:-2699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" filled="f" stroked="f">
              <v:textbox inset="0,0,0,0">
                <w:txbxContent>
                  <w:p w14:paraId="0DFDDF3A" w14:textId="77777777" w:rsidR="00046465" w:rsidRDefault="008134EB">
                    <w:pPr>
                      <w:pStyle w:val="BodyText"/>
                      <w:spacing w:before="12"/>
                      <w:ind w:left="20" w:right="18"/>
                    </w:pPr>
                    <w:r>
                      <w:t>Substantive Testing Implementation Guidance 931</w:t>
                    </w:r>
                    <w:r>
                      <w:rPr>
                        <w:spacing w:val="-6"/>
                      </w:rPr>
                      <w:t xml:space="preserve"> </w:t>
                    </w:r>
                    <w:r>
                      <w:t>–</w:t>
                    </w:r>
                    <w:r>
                      <w:rPr>
                        <w:spacing w:val="-6"/>
                      </w:rPr>
                      <w:t xml:space="preserve"> </w:t>
                    </w:r>
                    <w:r>
                      <w:t>Auditing</w:t>
                    </w:r>
                    <w:r>
                      <w:rPr>
                        <w:spacing w:val="-6"/>
                      </w:rPr>
                      <w:t xml:space="preserve"> </w:t>
                    </w:r>
                    <w:r>
                      <w:t>PP&amp;E</w:t>
                    </w:r>
                    <w:r>
                      <w:rPr>
                        <w:spacing w:val="-6"/>
                      </w:rPr>
                      <w:t xml:space="preserve"> </w:t>
                    </w:r>
                    <w:r>
                      <w:t>Land</w:t>
                    </w:r>
                    <w:r>
                      <w:rPr>
                        <w:spacing w:val="-6"/>
                      </w:rPr>
                      <w:t xml:space="preserve"> </w:t>
                    </w:r>
                    <w:r>
                      <w:t>and</w:t>
                    </w:r>
                    <w:r>
                      <w:rPr>
                        <w:spacing w:val="-6"/>
                      </w:rPr>
                      <w:t xml:space="preserve"> </w:t>
                    </w:r>
                    <w:r>
                      <w:t>Stewardship</w:t>
                    </w:r>
                    <w:r>
                      <w:rPr>
                        <w:spacing w:val="-6"/>
                      </w:rPr>
                      <w:t xml:space="preserve"> </w:t>
                    </w:r>
                    <w:r>
                      <w:t>Land</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2"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22304" behindDoc="1" locked="0" layoutInCell="1" allowOverlap="1" wp14:anchorId="0DFDDC78" wp14:editId="0DFDDC79">
              <wp:simplePos x="0" y="0"/>
              <wp:positionH relativeFrom="page">
                <wp:posOffset>895350</wp:posOffset>
              </wp:positionH>
              <wp:positionV relativeFrom="page">
                <wp:posOffset>457962</wp:posOffset>
              </wp:positionV>
              <wp:extent cx="5981700" cy="28575"/>
              <wp:effectExtent l="0" t="0" r="0" b="0"/>
              <wp:wrapNone/>
              <wp:docPr id="1010" name="Graphic 10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710ECA" id="Graphic 1010" o:spid="_x0000_s1026" style="position:absolute;margin-left:70.5pt;margin-top:36.05pt;width:471pt;height:2.25pt;z-index:-2699417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22816" behindDoc="1" locked="0" layoutInCell="1" allowOverlap="1" wp14:anchorId="0DFDDC7A" wp14:editId="0DFDDC7B">
              <wp:simplePos x="0" y="0"/>
              <wp:positionH relativeFrom="page">
                <wp:posOffset>895350</wp:posOffset>
              </wp:positionH>
              <wp:positionV relativeFrom="page">
                <wp:posOffset>832103</wp:posOffset>
              </wp:positionV>
              <wp:extent cx="5981700" cy="28575"/>
              <wp:effectExtent l="0" t="0" r="0" b="0"/>
              <wp:wrapNone/>
              <wp:docPr id="1011" name="Graphic 10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9DAFDE" id="Graphic 1011" o:spid="_x0000_s1026" style="position:absolute;margin-left:70.5pt;margin-top:65.5pt;width:471pt;height:2.25pt;z-index:-269936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23328" behindDoc="1" locked="0" layoutInCell="1" allowOverlap="1" wp14:anchorId="0DFDDC7C" wp14:editId="0DFDDC7D">
              <wp:simplePos x="0" y="0"/>
              <wp:positionH relativeFrom="page">
                <wp:posOffset>901700</wp:posOffset>
              </wp:positionH>
              <wp:positionV relativeFrom="page">
                <wp:posOffset>490475</wp:posOffset>
              </wp:positionV>
              <wp:extent cx="3108325" cy="342265"/>
              <wp:effectExtent l="0" t="0" r="0" b="0"/>
              <wp:wrapNone/>
              <wp:docPr id="1012" name="Textbox 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325" cy="342265"/>
                      </a:xfrm>
                      <a:prstGeom prst="rect">
                        <a:avLst/>
                      </a:prstGeom>
                    </wps:spPr>
                    <wps:txbx>
                      <w:txbxContent>
                        <w:p w14:paraId="0DFDDF3E" w14:textId="77777777" w:rsidR="00046465" w:rsidRDefault="008134EB">
                          <w:pPr>
                            <w:pStyle w:val="BodyText"/>
                            <w:spacing w:before="12"/>
                            <w:ind w:left="20" w:right="18"/>
                          </w:pPr>
                          <w:r>
                            <w:t>Substantive Testing Implementation Guidance 931</w:t>
                          </w:r>
                          <w:r>
                            <w:rPr>
                              <w:spacing w:val="-6"/>
                            </w:rPr>
                            <w:t xml:space="preserve"> </w:t>
                          </w:r>
                          <w:r>
                            <w:t>–</w:t>
                          </w:r>
                          <w:r>
                            <w:rPr>
                              <w:spacing w:val="-6"/>
                            </w:rPr>
                            <w:t xml:space="preserve"> </w:t>
                          </w:r>
                          <w:r>
                            <w:t>Auditing</w:t>
                          </w:r>
                          <w:r>
                            <w:rPr>
                              <w:spacing w:val="-6"/>
                            </w:rPr>
                            <w:t xml:space="preserve"> </w:t>
                          </w:r>
                          <w:r>
                            <w:t>PP&amp;E</w:t>
                          </w:r>
                          <w:r>
                            <w:rPr>
                              <w:spacing w:val="-6"/>
                            </w:rPr>
                            <w:t xml:space="preserve"> </w:t>
                          </w:r>
                          <w:r>
                            <w:t>Land</w:t>
                          </w:r>
                          <w:r>
                            <w:rPr>
                              <w:spacing w:val="-6"/>
                            </w:rPr>
                            <w:t xml:space="preserve"> </w:t>
                          </w:r>
                          <w:r>
                            <w:t>and</w:t>
                          </w:r>
                          <w:r>
                            <w:rPr>
                              <w:spacing w:val="-6"/>
                            </w:rPr>
                            <w:t xml:space="preserve"> </w:t>
                          </w:r>
                          <w:r>
                            <w:t>Stewardship</w:t>
                          </w:r>
                          <w:r>
                            <w:rPr>
                              <w:spacing w:val="-6"/>
                            </w:rPr>
                            <w:t xml:space="preserve"> </w:t>
                          </w:r>
                          <w:r>
                            <w:t>Land</w:t>
                          </w:r>
                        </w:p>
                      </w:txbxContent>
                    </wps:txbx>
                    <wps:bodyPr wrap="square" lIns="0" tIns="0" rIns="0" bIns="0" rtlCol="0">
                      <a:noAutofit/>
                    </wps:bodyPr>
                  </wps:wsp>
                </a:graphicData>
              </a:graphic>
            </wp:anchor>
          </w:drawing>
        </mc:Choice>
        <mc:Fallback>
          <w:pict>
            <v:shapetype w14:anchorId="0DFDDC7C" id="_x0000_t202" coordsize="21600,21600" o:spt="202" path="m,l,21600r21600,l21600,xe">
              <v:stroke joinstyle="miter"/>
              <v:path gradientshapeok="t" o:connecttype="rect"/>
            </v:shapetype>
            <v:shape id="Textbox 1012" o:spid="_x0000_s1351" type="#_x0000_t202" style="position:absolute;margin-left:71pt;margin-top:38.6pt;width:244.75pt;height:26.95pt;z-index:-2699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" filled="f" stroked="f">
              <v:textbox inset="0,0,0,0">
                <w:txbxContent>
                  <w:p w14:paraId="0DFDDF3E" w14:textId="77777777" w:rsidR="00046465" w:rsidRDefault="008134EB">
                    <w:pPr>
                      <w:pStyle w:val="BodyText"/>
                      <w:spacing w:before="12"/>
                      <w:ind w:left="20" w:right="18"/>
                    </w:pPr>
                    <w:r>
                      <w:t>Substantive Testing Implementation Guidance 931</w:t>
                    </w:r>
                    <w:r>
                      <w:rPr>
                        <w:spacing w:val="-6"/>
                      </w:rPr>
                      <w:t xml:space="preserve"> </w:t>
                    </w:r>
                    <w:r>
                      <w:t>–</w:t>
                    </w:r>
                    <w:r>
                      <w:rPr>
                        <w:spacing w:val="-6"/>
                      </w:rPr>
                      <w:t xml:space="preserve"> </w:t>
                    </w:r>
                    <w:r>
                      <w:t>Auditing</w:t>
                    </w:r>
                    <w:r>
                      <w:rPr>
                        <w:spacing w:val="-6"/>
                      </w:rPr>
                      <w:t xml:space="preserve"> </w:t>
                    </w:r>
                    <w:r>
                      <w:t>PP&amp;E</w:t>
                    </w:r>
                    <w:r>
                      <w:rPr>
                        <w:spacing w:val="-6"/>
                      </w:rPr>
                      <w:t xml:space="preserve"> </w:t>
                    </w:r>
                    <w:r>
                      <w:t>Land</w:t>
                    </w:r>
                    <w:r>
                      <w:rPr>
                        <w:spacing w:val="-6"/>
                      </w:rPr>
                      <w:t xml:space="preserve"> </w:t>
                    </w:r>
                    <w:r>
                      <w:t>and</w:t>
                    </w:r>
                    <w:r>
                      <w:rPr>
                        <w:spacing w:val="-6"/>
                      </w:rPr>
                      <w:t xml:space="preserve"> </w:t>
                    </w:r>
                    <w:r>
                      <w:t>Stewardship</w:t>
                    </w:r>
                    <w:r>
                      <w:rPr>
                        <w:spacing w:val="-6"/>
                      </w:rPr>
                      <w:t xml:space="preserve"> </w:t>
                    </w:r>
                    <w:r>
                      <w:t>Land</w:t>
                    </w:r>
                  </w:p>
                </w:txbxContent>
              </v:textbox>
              <w10:wrap anchorx="page" anchory="page"/>
            </v:shape>
          </w:pict>
        </mc:Fallback>
      </mc:AlternateContent>
    </w:r>
    <w:r>
      <w:rPr>
        <w:noProof/>
        <w:sz w:val="20"/>
      </w:rPr>
      <mc:AlternateContent>
        <mc:Choice Requires="wps">
          <w:drawing>
            <wp:anchor distT="0" distB="0" distL="0" distR="0" simplePos="0" relativeHeight="476323840" behindDoc="1" locked="0" layoutInCell="1" allowOverlap="1" wp14:anchorId="0DFDDC7E" wp14:editId="0DFDDC7F">
              <wp:simplePos x="0" y="0"/>
              <wp:positionH relativeFrom="page">
                <wp:posOffset>955802</wp:posOffset>
              </wp:positionH>
              <wp:positionV relativeFrom="page">
                <wp:posOffset>1058831</wp:posOffset>
              </wp:positionV>
              <wp:extent cx="4350385" cy="153670"/>
              <wp:effectExtent l="0" t="0" r="0" b="0"/>
              <wp:wrapNone/>
              <wp:docPr id="1013" name="Textbox 1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0385" cy="153670"/>
                      </a:xfrm>
                      <a:prstGeom prst="rect">
                        <a:avLst/>
                      </a:prstGeom>
                    </wps:spPr>
                    <wps:txbx>
                      <w:txbxContent>
                        <w:p w14:paraId="0DFDDF3F" w14:textId="77777777" w:rsidR="00046465" w:rsidRDefault="008134EB">
                          <w:pPr>
                            <w:spacing w:before="14"/>
                            <w:ind w:left="20"/>
                            <w:rPr>
                              <w:b/>
                              <w:sz w:val="18"/>
                            </w:rPr>
                          </w:pPr>
                          <w:r>
                            <w:rPr>
                              <w:b/>
                              <w:sz w:val="18"/>
                            </w:rPr>
                            <w:t>Table</w:t>
                          </w:r>
                          <w:r>
                            <w:rPr>
                              <w:b/>
                              <w:spacing w:val="-6"/>
                              <w:sz w:val="18"/>
                            </w:rPr>
                            <w:t xml:space="preserve"> </w:t>
                          </w:r>
                          <w:r>
                            <w:rPr>
                              <w:b/>
                              <w:sz w:val="18"/>
                            </w:rPr>
                            <w:t>931.1:</w:t>
                          </w:r>
                          <w:r>
                            <w:rPr>
                              <w:b/>
                              <w:spacing w:val="-2"/>
                              <w:sz w:val="18"/>
                            </w:rPr>
                            <w:t xml:space="preserve"> </w:t>
                          </w:r>
                          <w:r>
                            <w:rPr>
                              <w:b/>
                              <w:sz w:val="18"/>
                            </w:rPr>
                            <w:t>Identifying</w:t>
                          </w:r>
                          <w:r>
                            <w:rPr>
                              <w:b/>
                              <w:spacing w:val="-4"/>
                              <w:sz w:val="18"/>
                            </w:rPr>
                            <w:t xml:space="preserve"> </w:t>
                          </w:r>
                          <w:r>
                            <w:rPr>
                              <w:b/>
                              <w:sz w:val="18"/>
                            </w:rPr>
                            <w:t>Control</w:t>
                          </w:r>
                          <w:r>
                            <w:rPr>
                              <w:b/>
                              <w:spacing w:val="-2"/>
                              <w:sz w:val="18"/>
                            </w:rPr>
                            <w:t xml:space="preserve"> </w:t>
                          </w:r>
                          <w:r>
                            <w:rPr>
                              <w:b/>
                              <w:sz w:val="18"/>
                            </w:rPr>
                            <w:t>Activities</w:t>
                          </w:r>
                          <w:r>
                            <w:rPr>
                              <w:b/>
                              <w:spacing w:val="-4"/>
                              <w:sz w:val="18"/>
                            </w:rPr>
                            <w:t xml:space="preserve"> </w:t>
                          </w:r>
                          <w:r>
                            <w:rPr>
                              <w:b/>
                              <w:sz w:val="18"/>
                            </w:rPr>
                            <w:t>for</w:t>
                          </w:r>
                          <w:r>
                            <w:rPr>
                              <w:b/>
                              <w:spacing w:val="-3"/>
                              <w:sz w:val="18"/>
                            </w:rPr>
                            <w:t xml:space="preserve"> </w:t>
                          </w:r>
                          <w:r>
                            <w:rPr>
                              <w:b/>
                              <w:sz w:val="18"/>
                            </w:rPr>
                            <w:t>PP&amp;E</w:t>
                          </w:r>
                          <w:r>
                            <w:rPr>
                              <w:b/>
                              <w:spacing w:val="-3"/>
                              <w:sz w:val="18"/>
                            </w:rPr>
                            <w:t xml:space="preserve"> </w:t>
                          </w:r>
                          <w:r>
                            <w:rPr>
                              <w:b/>
                              <w:sz w:val="18"/>
                            </w:rPr>
                            <w:t>Land</w:t>
                          </w:r>
                          <w:r>
                            <w:rPr>
                              <w:b/>
                              <w:spacing w:val="-2"/>
                              <w:sz w:val="18"/>
                            </w:rPr>
                            <w:t xml:space="preserve"> </w:t>
                          </w:r>
                          <w:r>
                            <w:rPr>
                              <w:b/>
                              <w:sz w:val="18"/>
                            </w:rPr>
                            <w:t>and</w:t>
                          </w:r>
                          <w:r>
                            <w:rPr>
                              <w:b/>
                              <w:spacing w:val="-4"/>
                              <w:sz w:val="18"/>
                            </w:rPr>
                            <w:t xml:space="preserve"> </w:t>
                          </w:r>
                          <w:r>
                            <w:rPr>
                              <w:b/>
                              <w:sz w:val="18"/>
                            </w:rPr>
                            <w:t>Stewardship</w:t>
                          </w:r>
                          <w:r>
                            <w:rPr>
                              <w:b/>
                              <w:spacing w:val="-2"/>
                              <w:sz w:val="18"/>
                            </w:rPr>
                            <w:t xml:space="preserve"> </w:t>
                          </w:r>
                          <w:r>
                            <w:rPr>
                              <w:b/>
                              <w:spacing w:val="-4"/>
                              <w:sz w:val="18"/>
                            </w:rPr>
                            <w:t>Land</w:t>
                          </w:r>
                        </w:p>
                      </w:txbxContent>
                    </wps:txbx>
                    <wps:bodyPr wrap="square" lIns="0" tIns="0" rIns="0" bIns="0" rtlCol="0">
                      <a:noAutofit/>
                    </wps:bodyPr>
                  </wps:wsp>
                </a:graphicData>
              </a:graphic>
            </wp:anchor>
          </w:drawing>
        </mc:Choice>
        <mc:Fallback>
          <w:pict>
            <v:shape w14:anchorId="0DFDDC7E" id="Textbox 1013" o:spid="_x0000_s1352" type="#_x0000_t202" style="position:absolute;margin-left:75.25pt;margin-top:83.35pt;width:342.55pt;height:12.1pt;z-index:-26992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" filled="f" stroked="f">
              <v:textbox inset="0,0,0,0">
                <w:txbxContent>
                  <w:p w14:paraId="0DFDDF3F" w14:textId="77777777" w:rsidR="00046465" w:rsidRDefault="008134EB">
                    <w:pPr>
                      <w:spacing w:before="14"/>
                      <w:ind w:left="20"/>
                      <w:rPr>
                        <w:b/>
                        <w:sz w:val="18"/>
                      </w:rPr>
                    </w:pPr>
                    <w:r>
                      <w:rPr>
                        <w:b/>
                        <w:sz w:val="18"/>
                      </w:rPr>
                      <w:t>Table</w:t>
                    </w:r>
                    <w:r>
                      <w:rPr>
                        <w:b/>
                        <w:spacing w:val="-6"/>
                        <w:sz w:val="18"/>
                      </w:rPr>
                      <w:t xml:space="preserve"> </w:t>
                    </w:r>
                    <w:r>
                      <w:rPr>
                        <w:b/>
                        <w:sz w:val="18"/>
                      </w:rPr>
                      <w:t>931.1:</w:t>
                    </w:r>
                    <w:r>
                      <w:rPr>
                        <w:b/>
                        <w:spacing w:val="-2"/>
                        <w:sz w:val="18"/>
                      </w:rPr>
                      <w:t xml:space="preserve"> </w:t>
                    </w:r>
                    <w:r>
                      <w:rPr>
                        <w:b/>
                        <w:sz w:val="18"/>
                      </w:rPr>
                      <w:t>Identifying</w:t>
                    </w:r>
                    <w:r>
                      <w:rPr>
                        <w:b/>
                        <w:spacing w:val="-4"/>
                        <w:sz w:val="18"/>
                      </w:rPr>
                      <w:t xml:space="preserve"> </w:t>
                    </w:r>
                    <w:r>
                      <w:rPr>
                        <w:b/>
                        <w:sz w:val="18"/>
                      </w:rPr>
                      <w:t>Control</w:t>
                    </w:r>
                    <w:r>
                      <w:rPr>
                        <w:b/>
                        <w:spacing w:val="-2"/>
                        <w:sz w:val="18"/>
                      </w:rPr>
                      <w:t xml:space="preserve"> </w:t>
                    </w:r>
                    <w:r>
                      <w:rPr>
                        <w:b/>
                        <w:sz w:val="18"/>
                      </w:rPr>
                      <w:t>Activities</w:t>
                    </w:r>
                    <w:r>
                      <w:rPr>
                        <w:b/>
                        <w:spacing w:val="-4"/>
                        <w:sz w:val="18"/>
                      </w:rPr>
                      <w:t xml:space="preserve"> </w:t>
                    </w:r>
                    <w:r>
                      <w:rPr>
                        <w:b/>
                        <w:sz w:val="18"/>
                      </w:rPr>
                      <w:t>for</w:t>
                    </w:r>
                    <w:r>
                      <w:rPr>
                        <w:b/>
                        <w:spacing w:val="-3"/>
                        <w:sz w:val="18"/>
                      </w:rPr>
                      <w:t xml:space="preserve"> </w:t>
                    </w:r>
                    <w:r>
                      <w:rPr>
                        <w:b/>
                        <w:sz w:val="18"/>
                      </w:rPr>
                      <w:t>PP&amp;E</w:t>
                    </w:r>
                    <w:r>
                      <w:rPr>
                        <w:b/>
                        <w:spacing w:val="-3"/>
                        <w:sz w:val="18"/>
                      </w:rPr>
                      <w:t xml:space="preserve"> </w:t>
                    </w:r>
                    <w:r>
                      <w:rPr>
                        <w:b/>
                        <w:sz w:val="18"/>
                      </w:rPr>
                      <w:t>Land</w:t>
                    </w:r>
                    <w:r>
                      <w:rPr>
                        <w:b/>
                        <w:spacing w:val="-2"/>
                        <w:sz w:val="18"/>
                      </w:rPr>
                      <w:t xml:space="preserve"> </w:t>
                    </w:r>
                    <w:r>
                      <w:rPr>
                        <w:b/>
                        <w:sz w:val="18"/>
                      </w:rPr>
                      <w:t>and</w:t>
                    </w:r>
                    <w:r>
                      <w:rPr>
                        <w:b/>
                        <w:spacing w:val="-4"/>
                        <w:sz w:val="18"/>
                      </w:rPr>
                      <w:t xml:space="preserve"> </w:t>
                    </w:r>
                    <w:r>
                      <w:rPr>
                        <w:b/>
                        <w:sz w:val="18"/>
                      </w:rPr>
                      <w:t>Stewardship</w:t>
                    </w:r>
                    <w:r>
                      <w:rPr>
                        <w:b/>
                        <w:spacing w:val="-2"/>
                        <w:sz w:val="18"/>
                      </w:rPr>
                      <w:t xml:space="preserve"> </w:t>
                    </w:r>
                    <w:r>
                      <w:rPr>
                        <w:b/>
                        <w:spacing w:val="-4"/>
                        <w:sz w:val="18"/>
                      </w:rPr>
                      <w:t>Land</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4"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26400" behindDoc="1" locked="0" layoutInCell="1" allowOverlap="1" wp14:anchorId="0DFDDC88" wp14:editId="0DFDDC89">
              <wp:simplePos x="0" y="0"/>
              <wp:positionH relativeFrom="page">
                <wp:posOffset>895350</wp:posOffset>
              </wp:positionH>
              <wp:positionV relativeFrom="page">
                <wp:posOffset>457962</wp:posOffset>
              </wp:positionV>
              <wp:extent cx="5981700" cy="28575"/>
              <wp:effectExtent l="0" t="0" r="0" b="0"/>
              <wp:wrapNone/>
              <wp:docPr id="1018" name="Graphic 10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802D52" id="Graphic 1018" o:spid="_x0000_s1026" style="position:absolute;margin-left:70.5pt;margin-top:36.05pt;width:471pt;height:2.25pt;z-index:-269900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26912" behindDoc="1" locked="0" layoutInCell="1" allowOverlap="1" wp14:anchorId="0DFDDC8A" wp14:editId="0DFDDC8B">
              <wp:simplePos x="0" y="0"/>
              <wp:positionH relativeFrom="page">
                <wp:posOffset>895350</wp:posOffset>
              </wp:positionH>
              <wp:positionV relativeFrom="page">
                <wp:posOffset>832103</wp:posOffset>
              </wp:positionV>
              <wp:extent cx="5981700" cy="28575"/>
              <wp:effectExtent l="0" t="0" r="0" b="0"/>
              <wp:wrapNone/>
              <wp:docPr id="1019" name="Graphic 10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0D944E" id="Graphic 1019" o:spid="_x0000_s1026" style="position:absolute;margin-left:70.5pt;margin-top:65.5pt;width:471pt;height:2.25pt;z-index:-2698956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27424" behindDoc="1" locked="0" layoutInCell="1" allowOverlap="1" wp14:anchorId="0DFDDC8C" wp14:editId="0DFDDC8D">
              <wp:simplePos x="0" y="0"/>
              <wp:positionH relativeFrom="page">
                <wp:posOffset>901700</wp:posOffset>
              </wp:positionH>
              <wp:positionV relativeFrom="page">
                <wp:posOffset>490475</wp:posOffset>
              </wp:positionV>
              <wp:extent cx="3108325" cy="342265"/>
              <wp:effectExtent l="0" t="0" r="0" b="0"/>
              <wp:wrapNone/>
              <wp:docPr id="1020" name="Textbox 10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8325" cy="342265"/>
                      </a:xfrm>
                      <a:prstGeom prst="rect">
                        <a:avLst/>
                      </a:prstGeom>
                    </wps:spPr>
                    <wps:txbx>
                      <w:txbxContent>
                        <w:p w14:paraId="0DFDDF43" w14:textId="77777777" w:rsidR="00046465" w:rsidRDefault="008134EB">
                          <w:pPr>
                            <w:pStyle w:val="BodyText"/>
                            <w:spacing w:before="12"/>
                            <w:ind w:left="20" w:right="18"/>
                          </w:pPr>
                          <w:r>
                            <w:t>Substantive Testing Implementation Guidance 931</w:t>
                          </w:r>
                          <w:r>
                            <w:rPr>
                              <w:spacing w:val="-6"/>
                            </w:rPr>
                            <w:t xml:space="preserve"> </w:t>
                          </w:r>
                          <w:r>
                            <w:t>–</w:t>
                          </w:r>
                          <w:r>
                            <w:rPr>
                              <w:spacing w:val="-6"/>
                            </w:rPr>
                            <w:t xml:space="preserve"> </w:t>
                          </w:r>
                          <w:r>
                            <w:t>Auditing</w:t>
                          </w:r>
                          <w:r>
                            <w:rPr>
                              <w:spacing w:val="-6"/>
                            </w:rPr>
                            <w:t xml:space="preserve"> </w:t>
                          </w:r>
                          <w:r>
                            <w:t>PP&amp;E</w:t>
                          </w:r>
                          <w:r>
                            <w:rPr>
                              <w:spacing w:val="-6"/>
                            </w:rPr>
                            <w:t xml:space="preserve"> </w:t>
                          </w:r>
                          <w:r>
                            <w:t>Land</w:t>
                          </w:r>
                          <w:r>
                            <w:rPr>
                              <w:spacing w:val="-6"/>
                            </w:rPr>
                            <w:t xml:space="preserve"> </w:t>
                          </w:r>
                          <w:r>
                            <w:t>and</w:t>
                          </w:r>
                          <w:r>
                            <w:rPr>
                              <w:spacing w:val="-6"/>
                            </w:rPr>
                            <w:t xml:space="preserve"> </w:t>
                          </w:r>
                          <w:r>
                            <w:t>Stewardship</w:t>
                          </w:r>
                          <w:r>
                            <w:rPr>
                              <w:spacing w:val="-6"/>
                            </w:rPr>
                            <w:t xml:space="preserve"> </w:t>
                          </w:r>
                          <w:r>
                            <w:t>Land</w:t>
                          </w:r>
                        </w:p>
                      </w:txbxContent>
                    </wps:txbx>
                    <wps:bodyPr wrap="square" lIns="0" tIns="0" rIns="0" bIns="0" rtlCol="0">
                      <a:noAutofit/>
                    </wps:bodyPr>
                  </wps:wsp>
                </a:graphicData>
              </a:graphic>
            </wp:anchor>
          </w:drawing>
        </mc:Choice>
        <mc:Fallback>
          <w:pict>
            <v:shapetype w14:anchorId="0DFDDC8C" id="_x0000_t202" coordsize="21600,21600" o:spt="202" path="m,l,21600r21600,l21600,xe">
              <v:stroke joinstyle="miter"/>
              <v:path gradientshapeok="t" o:connecttype="rect"/>
            </v:shapetype>
            <v:shape id="Textbox 1020" o:spid="_x0000_s1356" type="#_x0000_t202" style="position:absolute;margin-left:71pt;margin-top:38.6pt;width:244.75pt;height:26.95pt;z-index:-26989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" filled="f" stroked="f">
              <v:textbox inset="0,0,0,0">
                <w:txbxContent>
                  <w:p w14:paraId="0DFDDF43" w14:textId="77777777" w:rsidR="00046465" w:rsidRDefault="008134EB">
                    <w:pPr>
                      <w:pStyle w:val="BodyText"/>
                      <w:spacing w:before="12"/>
                      <w:ind w:left="20" w:right="18"/>
                    </w:pPr>
                    <w:r>
                      <w:t>Substantive Testing Implementation Guidance 931</w:t>
                    </w:r>
                    <w:r>
                      <w:rPr>
                        <w:spacing w:val="-6"/>
                      </w:rPr>
                      <w:t xml:space="preserve"> </w:t>
                    </w:r>
                    <w:r>
                      <w:t>–</w:t>
                    </w:r>
                    <w:r>
                      <w:rPr>
                        <w:spacing w:val="-6"/>
                      </w:rPr>
                      <w:t xml:space="preserve"> </w:t>
                    </w:r>
                    <w:r>
                      <w:t>Auditing</w:t>
                    </w:r>
                    <w:r>
                      <w:rPr>
                        <w:spacing w:val="-6"/>
                      </w:rPr>
                      <w:t xml:space="preserve"> </w:t>
                    </w:r>
                    <w:r>
                      <w:t>PP&amp;E</w:t>
                    </w:r>
                    <w:r>
                      <w:rPr>
                        <w:spacing w:val="-6"/>
                      </w:rPr>
                      <w:t xml:space="preserve"> </w:t>
                    </w:r>
                    <w:r>
                      <w:t>Land</w:t>
                    </w:r>
                    <w:r>
                      <w:rPr>
                        <w:spacing w:val="-6"/>
                      </w:rPr>
                      <w:t xml:space="preserve"> </w:t>
                    </w:r>
                    <w:r>
                      <w:t>and</w:t>
                    </w:r>
                    <w:r>
                      <w:rPr>
                        <w:spacing w:val="-6"/>
                      </w:rPr>
                      <w:t xml:space="preserve"> </w:t>
                    </w:r>
                    <w:r>
                      <w:t>Stewardship</w:t>
                    </w:r>
                    <w:r>
                      <w:rPr>
                        <w:spacing w:val="-6"/>
                      </w:rPr>
                      <w:t xml:space="preserve"> </w:t>
                    </w:r>
                    <w:r>
                      <w:t>Land</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6"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29984" behindDoc="1" locked="0" layoutInCell="1" allowOverlap="1" wp14:anchorId="0DFDDC96" wp14:editId="0DFDDC97">
              <wp:simplePos x="0" y="0"/>
              <wp:positionH relativeFrom="page">
                <wp:posOffset>895350</wp:posOffset>
              </wp:positionH>
              <wp:positionV relativeFrom="page">
                <wp:posOffset>457962</wp:posOffset>
              </wp:positionV>
              <wp:extent cx="5981700" cy="28575"/>
              <wp:effectExtent l="0" t="0" r="0" b="0"/>
              <wp:wrapNone/>
              <wp:docPr id="1026" name="Graphic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9CD0D9" id="Graphic 1026" o:spid="_x0000_s1026" style="position:absolute;margin-left:70.5pt;margin-top:36.05pt;width:471pt;height:2.25pt;z-index:-269864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30496" behindDoc="1" locked="0" layoutInCell="1" allowOverlap="1" wp14:anchorId="0DFDDC98" wp14:editId="0DFDDC99">
              <wp:simplePos x="0" y="0"/>
              <wp:positionH relativeFrom="page">
                <wp:posOffset>895350</wp:posOffset>
              </wp:positionH>
              <wp:positionV relativeFrom="page">
                <wp:posOffset>832103</wp:posOffset>
              </wp:positionV>
              <wp:extent cx="5981700" cy="28575"/>
              <wp:effectExtent l="0" t="0" r="0" b="0"/>
              <wp:wrapNone/>
              <wp:docPr id="1027" name="Graphic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33D7FE" id="Graphic 1027" o:spid="_x0000_s1026" style="position:absolute;margin-left:70.5pt;margin-top:65.5pt;width:471pt;height:2.25pt;z-index:-2698598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31008" behindDoc="1" locked="0" layoutInCell="1" allowOverlap="1" wp14:anchorId="0DFDDC9A" wp14:editId="0DFDDC9B">
              <wp:simplePos x="0" y="0"/>
              <wp:positionH relativeFrom="page">
                <wp:posOffset>901700</wp:posOffset>
              </wp:positionH>
              <wp:positionV relativeFrom="page">
                <wp:posOffset>490475</wp:posOffset>
              </wp:positionV>
              <wp:extent cx="2882265" cy="342265"/>
              <wp:effectExtent l="0" t="0" r="0" b="0"/>
              <wp:wrapNone/>
              <wp:docPr id="1028" name="Textbox 1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265" cy="342265"/>
                      </a:xfrm>
                      <a:prstGeom prst="rect">
                        <a:avLst/>
                      </a:prstGeom>
                    </wps:spPr>
                    <wps:txbx>
                      <w:txbxContent>
                        <w:p w14:paraId="0DFDDF47"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932 – Auditing Heritage Assets</w:t>
                          </w:r>
                        </w:p>
                      </w:txbxContent>
                    </wps:txbx>
                    <wps:bodyPr wrap="square" lIns="0" tIns="0" rIns="0" bIns="0" rtlCol="0">
                      <a:noAutofit/>
                    </wps:bodyPr>
                  </wps:wsp>
                </a:graphicData>
              </a:graphic>
            </wp:anchor>
          </w:drawing>
        </mc:Choice>
        <mc:Fallback>
          <w:pict>
            <v:shapetype w14:anchorId="0DFDDC9A" id="_x0000_t202" coordsize="21600,21600" o:spt="202" path="m,l,21600r21600,l21600,xe">
              <v:stroke joinstyle="miter"/>
              <v:path gradientshapeok="t" o:connecttype="rect"/>
            </v:shapetype>
            <v:shape id="Textbox 1028" o:spid="_x0000_s1360" type="#_x0000_t202" style="position:absolute;margin-left:71pt;margin-top:38.6pt;width:226.95pt;height:26.95pt;z-index:-2698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" filled="f" stroked="f">
              <v:textbox inset="0,0,0,0">
                <w:txbxContent>
                  <w:p w14:paraId="0DFDDF47"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932 – Auditing Heritage Assets</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8"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33568" behindDoc="1" locked="0" layoutInCell="1" allowOverlap="1" wp14:anchorId="0DFDDCA4" wp14:editId="0DFDDCA5">
              <wp:simplePos x="0" y="0"/>
              <wp:positionH relativeFrom="page">
                <wp:posOffset>895350</wp:posOffset>
              </wp:positionH>
              <wp:positionV relativeFrom="page">
                <wp:posOffset>457962</wp:posOffset>
              </wp:positionV>
              <wp:extent cx="5981700" cy="28575"/>
              <wp:effectExtent l="0" t="0" r="0" b="0"/>
              <wp:wrapNone/>
              <wp:docPr id="1033" name="Graphic 1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39B746" id="Graphic 1033" o:spid="_x0000_s1026" style="position:absolute;margin-left:70.5pt;margin-top:36.05pt;width:471pt;height:2.25pt;z-index:-269829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34080" behindDoc="1" locked="0" layoutInCell="1" allowOverlap="1" wp14:anchorId="0DFDDCA6" wp14:editId="0DFDDCA7">
              <wp:simplePos x="0" y="0"/>
              <wp:positionH relativeFrom="page">
                <wp:posOffset>895350</wp:posOffset>
              </wp:positionH>
              <wp:positionV relativeFrom="page">
                <wp:posOffset>832103</wp:posOffset>
              </wp:positionV>
              <wp:extent cx="5981700" cy="28575"/>
              <wp:effectExtent l="0" t="0" r="0" b="0"/>
              <wp:wrapNone/>
              <wp:docPr id="1034" name="Graphic 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01C077" id="Graphic 1034" o:spid="_x0000_s1026" style="position:absolute;margin-left:70.5pt;margin-top:65.5pt;width:471pt;height:2.25pt;z-index:-2698240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34592" behindDoc="1" locked="0" layoutInCell="1" allowOverlap="1" wp14:anchorId="0DFDDCA8" wp14:editId="0DFDDCA9">
              <wp:simplePos x="0" y="0"/>
              <wp:positionH relativeFrom="page">
                <wp:posOffset>901700</wp:posOffset>
              </wp:positionH>
              <wp:positionV relativeFrom="page">
                <wp:posOffset>490475</wp:posOffset>
              </wp:positionV>
              <wp:extent cx="2882265" cy="342265"/>
              <wp:effectExtent l="0" t="0" r="0" b="0"/>
              <wp:wrapNone/>
              <wp:docPr id="1035" name="Textbox 1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265" cy="342265"/>
                      </a:xfrm>
                      <a:prstGeom prst="rect">
                        <a:avLst/>
                      </a:prstGeom>
                    </wps:spPr>
                    <wps:txbx>
                      <w:txbxContent>
                        <w:p w14:paraId="0DFDDF4B"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932 – Auditing Heritage Assets</w:t>
                          </w:r>
                        </w:p>
                      </w:txbxContent>
                    </wps:txbx>
                    <wps:bodyPr wrap="square" lIns="0" tIns="0" rIns="0" bIns="0" rtlCol="0">
                      <a:noAutofit/>
                    </wps:bodyPr>
                  </wps:wsp>
                </a:graphicData>
              </a:graphic>
            </wp:anchor>
          </w:drawing>
        </mc:Choice>
        <mc:Fallback>
          <w:pict>
            <v:shapetype w14:anchorId="0DFDDCA8" id="_x0000_t202" coordsize="21600,21600" o:spt="202" path="m,l,21600r21600,l21600,xe">
              <v:stroke joinstyle="miter"/>
              <v:path gradientshapeok="t" o:connecttype="rect"/>
            </v:shapetype>
            <v:shape id="Textbox 1035" o:spid="_x0000_s1364" type="#_x0000_t202" style="position:absolute;margin-left:71pt;margin-top:38.6pt;width:226.95pt;height:26.95pt;z-index:-269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" filled="f" stroked="f">
              <v:textbox inset="0,0,0,0">
                <w:txbxContent>
                  <w:p w14:paraId="0DFDDF4B" w14:textId="77777777" w:rsidR="00046465" w:rsidRDefault="008134EB">
                    <w:pPr>
                      <w:pStyle w:val="BodyText"/>
                      <w:spacing w:before="12"/>
                      <w:ind w:left="20"/>
                    </w:pPr>
                    <w:r>
                      <w:t>Substantive</w:t>
                    </w:r>
                    <w:r>
                      <w:rPr>
                        <w:spacing w:val="-14"/>
                      </w:rPr>
                      <w:t xml:space="preserve"> </w:t>
                    </w:r>
                    <w:r>
                      <w:t>Testing</w:t>
                    </w:r>
                    <w:r>
                      <w:rPr>
                        <w:spacing w:val="-13"/>
                      </w:rPr>
                      <w:t xml:space="preserve"> </w:t>
                    </w:r>
                    <w:r>
                      <w:t>Implementation</w:t>
                    </w:r>
                    <w:r>
                      <w:rPr>
                        <w:spacing w:val="-13"/>
                      </w:rPr>
                      <w:t xml:space="preserve"> </w:t>
                    </w:r>
                    <w:r>
                      <w:t>Guidance 932 – Auditing Heritage Assets</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A"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37152" behindDoc="1" locked="0" layoutInCell="1" allowOverlap="1" wp14:anchorId="0DFDDCB2" wp14:editId="0DFDDCB3">
              <wp:simplePos x="0" y="0"/>
              <wp:positionH relativeFrom="page">
                <wp:posOffset>895350</wp:posOffset>
              </wp:positionH>
              <wp:positionV relativeFrom="page">
                <wp:posOffset>457962</wp:posOffset>
              </wp:positionV>
              <wp:extent cx="5981700" cy="28575"/>
              <wp:effectExtent l="0" t="0" r="0" b="0"/>
              <wp:wrapNone/>
              <wp:docPr id="1041" name="Graphic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2AD567" id="Graphic 1041" o:spid="_x0000_s1026" style="position:absolute;margin-left:70.5pt;margin-top:36.05pt;width:471pt;height:2.25pt;z-index:-269793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37664" behindDoc="1" locked="0" layoutInCell="1" allowOverlap="1" wp14:anchorId="0DFDDCB4" wp14:editId="0DFDDCB5">
              <wp:simplePos x="0" y="0"/>
              <wp:positionH relativeFrom="page">
                <wp:posOffset>895350</wp:posOffset>
              </wp:positionH>
              <wp:positionV relativeFrom="page">
                <wp:posOffset>992886</wp:posOffset>
              </wp:positionV>
              <wp:extent cx="5981700" cy="28575"/>
              <wp:effectExtent l="0" t="0" r="0" b="0"/>
              <wp:wrapNone/>
              <wp:docPr id="1042" name="Graphic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028F13" id="Graphic 1042" o:spid="_x0000_s1026" style="position:absolute;margin-left:70.5pt;margin-top:78.2pt;width:471pt;height:2.25pt;z-index:-2697881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38176" behindDoc="1" locked="0" layoutInCell="1" allowOverlap="1" wp14:anchorId="0DFDDCB6" wp14:editId="0DFDDCB7">
              <wp:simplePos x="0" y="0"/>
              <wp:positionH relativeFrom="page">
                <wp:posOffset>901700</wp:posOffset>
              </wp:positionH>
              <wp:positionV relativeFrom="page">
                <wp:posOffset>490475</wp:posOffset>
              </wp:positionV>
              <wp:extent cx="5555615" cy="502920"/>
              <wp:effectExtent l="0" t="0" r="0" b="0"/>
              <wp:wrapNone/>
              <wp:docPr id="1043" name="Textbox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5615" cy="502920"/>
                      </a:xfrm>
                      <a:prstGeom prst="rect">
                        <a:avLst/>
                      </a:prstGeom>
                    </wps:spPr>
                    <wps:txbx>
                      <w:txbxContent>
                        <w:p w14:paraId="0DFDDF4F" w14:textId="77777777" w:rsidR="00046465" w:rsidRDefault="008134EB">
                          <w:pPr>
                            <w:pStyle w:val="BodyText"/>
                            <w:spacing w:before="12"/>
                            <w:ind w:left="20"/>
                          </w:pPr>
                          <w:r>
                            <w:t>Substantive</w:t>
                          </w:r>
                          <w:r>
                            <w:rPr>
                              <w:spacing w:val="-15"/>
                            </w:rPr>
                            <w:t xml:space="preserve"> </w:t>
                          </w:r>
                          <w:r>
                            <w:t>Procedures</w:t>
                          </w:r>
                          <w:r>
                            <w:rPr>
                              <w:spacing w:val="-15"/>
                            </w:rPr>
                            <w:t xml:space="preserve"> </w:t>
                          </w:r>
                          <w:r>
                            <w:t>Implementation</w:t>
                          </w:r>
                          <w:r>
                            <w:rPr>
                              <w:spacing w:val="-13"/>
                            </w:rPr>
                            <w:t xml:space="preserve"> </w:t>
                          </w:r>
                          <w:r>
                            <w:rPr>
                              <w:spacing w:val="-2"/>
                            </w:rPr>
                            <w:t>Guidance</w:t>
                          </w:r>
                        </w:p>
                        <w:p w14:paraId="0DFDDF50" w14:textId="77777777" w:rsidR="00046465" w:rsidRDefault="008134EB">
                          <w:pPr>
                            <w:pStyle w:val="BodyText"/>
                            <w:ind w:left="20"/>
                          </w:pPr>
                          <w:r>
                            <w:t>941</w:t>
                          </w:r>
                          <w:r>
                            <w:rPr>
                              <w:spacing w:val="-3"/>
                            </w:rPr>
                            <w:t xml:space="preserve"> </w:t>
                          </w:r>
                          <w:r>
                            <w:t>–</w:t>
                          </w:r>
                          <w:r>
                            <w:rPr>
                              <w:spacing w:val="-3"/>
                            </w:rPr>
                            <w:t xml:space="preserve"> </w:t>
                          </w:r>
                          <w:r>
                            <w:t>Auditing</w:t>
                          </w:r>
                          <w:r>
                            <w:rPr>
                              <w:spacing w:val="-3"/>
                            </w:rPr>
                            <w:t xml:space="preserve"> </w:t>
                          </w:r>
                          <w:r>
                            <w:t>the</w:t>
                          </w:r>
                          <w:r>
                            <w:rPr>
                              <w:spacing w:val="-3"/>
                            </w:rPr>
                            <w:t xml:space="preserve"> </w:t>
                          </w:r>
                          <w:r>
                            <w:t>Statement</w:t>
                          </w:r>
                          <w:r>
                            <w:rPr>
                              <w:spacing w:val="-3"/>
                            </w:rPr>
                            <w:t xml:space="preserve"> </w:t>
                          </w:r>
                          <w:r>
                            <w:t>of</w:t>
                          </w:r>
                          <w:r>
                            <w:rPr>
                              <w:spacing w:val="-3"/>
                            </w:rPr>
                            <w:t xml:space="preserve"> </w:t>
                          </w:r>
                          <w:r>
                            <w:t>Social</w:t>
                          </w:r>
                          <w:r>
                            <w:rPr>
                              <w:spacing w:val="-3"/>
                            </w:rPr>
                            <w:t xml:space="preserve"> </w:t>
                          </w:r>
                          <w:r>
                            <w:t>Insurance</w:t>
                          </w:r>
                          <w:r>
                            <w:rPr>
                              <w:spacing w:val="-4"/>
                            </w:rPr>
                            <w:t xml:space="preserve"> </w:t>
                          </w:r>
                          <w:r>
                            <w:t>and</w:t>
                          </w:r>
                          <w:r>
                            <w:rPr>
                              <w:spacing w:val="-3"/>
                            </w:rPr>
                            <w:t xml:space="preserve"> </w:t>
                          </w:r>
                          <w:r>
                            <w:t>the</w:t>
                          </w:r>
                          <w:r>
                            <w:rPr>
                              <w:spacing w:val="-3"/>
                            </w:rPr>
                            <w:t xml:space="preserve"> </w:t>
                          </w:r>
                          <w:r>
                            <w:t>Statement</w:t>
                          </w:r>
                          <w:r>
                            <w:rPr>
                              <w:spacing w:val="-3"/>
                            </w:rPr>
                            <w:t xml:space="preserve"> </w:t>
                          </w:r>
                          <w:r>
                            <w:t>of</w:t>
                          </w:r>
                          <w:r>
                            <w:rPr>
                              <w:spacing w:val="-3"/>
                            </w:rPr>
                            <w:t xml:space="preserve"> </w:t>
                          </w:r>
                          <w:r>
                            <w:t>Changes</w:t>
                          </w:r>
                          <w:r>
                            <w:rPr>
                              <w:spacing w:val="-3"/>
                            </w:rPr>
                            <w:t xml:space="preserve"> </w:t>
                          </w:r>
                          <w:r>
                            <w:t>in</w:t>
                          </w:r>
                          <w:r>
                            <w:rPr>
                              <w:spacing w:val="-3"/>
                            </w:rPr>
                            <w:t xml:space="preserve"> </w:t>
                          </w:r>
                          <w:r>
                            <w:t>Social Insurance Amounts</w:t>
                          </w:r>
                        </w:p>
                      </w:txbxContent>
                    </wps:txbx>
                    <wps:bodyPr wrap="square" lIns="0" tIns="0" rIns="0" bIns="0" rtlCol="0">
                      <a:noAutofit/>
                    </wps:bodyPr>
                  </wps:wsp>
                </a:graphicData>
              </a:graphic>
            </wp:anchor>
          </w:drawing>
        </mc:Choice>
        <mc:Fallback>
          <w:pict>
            <v:shapetype w14:anchorId="0DFDDCB6" id="_x0000_t202" coordsize="21600,21600" o:spt="202" path="m,l,21600r21600,l21600,xe">
              <v:stroke joinstyle="miter"/>
              <v:path gradientshapeok="t" o:connecttype="rect"/>
            </v:shapetype>
            <v:shape id="Textbox 1043" o:spid="_x0000_s1368" type="#_x0000_t202" style="position:absolute;margin-left:71pt;margin-top:38.6pt;width:437.45pt;height:39.6pt;z-index:-2697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" filled="f" stroked="f">
              <v:textbox inset="0,0,0,0">
                <w:txbxContent>
                  <w:p w14:paraId="0DFDDF4F" w14:textId="77777777" w:rsidR="00046465" w:rsidRDefault="008134EB">
                    <w:pPr>
                      <w:pStyle w:val="BodyText"/>
                      <w:spacing w:before="12"/>
                      <w:ind w:left="20"/>
                    </w:pPr>
                    <w:r>
                      <w:t>Substantive</w:t>
                    </w:r>
                    <w:r>
                      <w:rPr>
                        <w:spacing w:val="-15"/>
                      </w:rPr>
                      <w:t xml:space="preserve"> </w:t>
                    </w:r>
                    <w:r>
                      <w:t>Procedures</w:t>
                    </w:r>
                    <w:r>
                      <w:rPr>
                        <w:spacing w:val="-15"/>
                      </w:rPr>
                      <w:t xml:space="preserve"> </w:t>
                    </w:r>
                    <w:r>
                      <w:t>Implementation</w:t>
                    </w:r>
                    <w:r>
                      <w:rPr>
                        <w:spacing w:val="-13"/>
                      </w:rPr>
                      <w:t xml:space="preserve"> </w:t>
                    </w:r>
                    <w:r>
                      <w:rPr>
                        <w:spacing w:val="-2"/>
                      </w:rPr>
                      <w:t>Guidance</w:t>
                    </w:r>
                  </w:p>
                  <w:p w14:paraId="0DFDDF50" w14:textId="77777777" w:rsidR="00046465" w:rsidRDefault="008134EB">
                    <w:pPr>
                      <w:pStyle w:val="BodyText"/>
                      <w:ind w:left="20"/>
                    </w:pPr>
                    <w:r>
                      <w:t>941</w:t>
                    </w:r>
                    <w:r>
                      <w:rPr>
                        <w:spacing w:val="-3"/>
                      </w:rPr>
                      <w:t xml:space="preserve"> </w:t>
                    </w:r>
                    <w:r>
                      <w:t>–</w:t>
                    </w:r>
                    <w:r>
                      <w:rPr>
                        <w:spacing w:val="-3"/>
                      </w:rPr>
                      <w:t xml:space="preserve"> </w:t>
                    </w:r>
                    <w:r>
                      <w:t>Auditing</w:t>
                    </w:r>
                    <w:r>
                      <w:rPr>
                        <w:spacing w:val="-3"/>
                      </w:rPr>
                      <w:t xml:space="preserve"> </w:t>
                    </w:r>
                    <w:r>
                      <w:t>the</w:t>
                    </w:r>
                    <w:r>
                      <w:rPr>
                        <w:spacing w:val="-3"/>
                      </w:rPr>
                      <w:t xml:space="preserve"> </w:t>
                    </w:r>
                    <w:r>
                      <w:t>Statement</w:t>
                    </w:r>
                    <w:r>
                      <w:rPr>
                        <w:spacing w:val="-3"/>
                      </w:rPr>
                      <w:t xml:space="preserve"> </w:t>
                    </w:r>
                    <w:r>
                      <w:t>of</w:t>
                    </w:r>
                    <w:r>
                      <w:rPr>
                        <w:spacing w:val="-3"/>
                      </w:rPr>
                      <w:t xml:space="preserve"> </w:t>
                    </w:r>
                    <w:r>
                      <w:t>Social</w:t>
                    </w:r>
                    <w:r>
                      <w:rPr>
                        <w:spacing w:val="-3"/>
                      </w:rPr>
                      <w:t xml:space="preserve"> </w:t>
                    </w:r>
                    <w:r>
                      <w:t>Insurance</w:t>
                    </w:r>
                    <w:r>
                      <w:rPr>
                        <w:spacing w:val="-4"/>
                      </w:rPr>
                      <w:t xml:space="preserve"> </w:t>
                    </w:r>
                    <w:r>
                      <w:t>and</w:t>
                    </w:r>
                    <w:r>
                      <w:rPr>
                        <w:spacing w:val="-3"/>
                      </w:rPr>
                      <w:t xml:space="preserve"> </w:t>
                    </w:r>
                    <w:r>
                      <w:t>the</w:t>
                    </w:r>
                    <w:r>
                      <w:rPr>
                        <w:spacing w:val="-3"/>
                      </w:rPr>
                      <w:t xml:space="preserve"> </w:t>
                    </w:r>
                    <w:r>
                      <w:t>Statement</w:t>
                    </w:r>
                    <w:r>
                      <w:rPr>
                        <w:spacing w:val="-3"/>
                      </w:rPr>
                      <w:t xml:space="preserve"> </w:t>
                    </w:r>
                    <w:r>
                      <w:t>of</w:t>
                    </w:r>
                    <w:r>
                      <w:rPr>
                        <w:spacing w:val="-3"/>
                      </w:rPr>
                      <w:t xml:space="preserve"> </w:t>
                    </w:r>
                    <w:r>
                      <w:t>Changes</w:t>
                    </w:r>
                    <w:r>
                      <w:rPr>
                        <w:spacing w:val="-3"/>
                      </w:rPr>
                      <w:t xml:space="preserve"> </w:t>
                    </w:r>
                    <w:r>
                      <w:t>in</w:t>
                    </w:r>
                    <w:r>
                      <w:rPr>
                        <w:spacing w:val="-3"/>
                      </w:rPr>
                      <w:t xml:space="preserve"> </w:t>
                    </w:r>
                    <w:r>
                      <w:t>Social Insurance Amounts</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C"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40736" behindDoc="1" locked="0" layoutInCell="1" allowOverlap="1" wp14:anchorId="0DFDDCC0" wp14:editId="0DFDDCC1">
              <wp:simplePos x="0" y="0"/>
              <wp:positionH relativeFrom="page">
                <wp:posOffset>895350</wp:posOffset>
              </wp:positionH>
              <wp:positionV relativeFrom="page">
                <wp:posOffset>457962</wp:posOffset>
              </wp:positionV>
              <wp:extent cx="5981700" cy="28575"/>
              <wp:effectExtent l="0" t="0" r="0" b="0"/>
              <wp:wrapNone/>
              <wp:docPr id="1049" name="Graphic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135964" id="Graphic 1049" o:spid="_x0000_s1026" style="position:absolute;margin-left:70.5pt;margin-top:36.05pt;width:471pt;height:2.25pt;z-index:-269757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41248" behindDoc="1" locked="0" layoutInCell="1" allowOverlap="1" wp14:anchorId="0DFDDCC2" wp14:editId="0DFDDCC3">
              <wp:simplePos x="0" y="0"/>
              <wp:positionH relativeFrom="page">
                <wp:posOffset>895350</wp:posOffset>
              </wp:positionH>
              <wp:positionV relativeFrom="page">
                <wp:posOffset>992886</wp:posOffset>
              </wp:positionV>
              <wp:extent cx="5981700" cy="28575"/>
              <wp:effectExtent l="0" t="0" r="0" b="0"/>
              <wp:wrapNone/>
              <wp:docPr id="1050" name="Graphic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2DD29F" id="Graphic 1050" o:spid="_x0000_s1026" style="position:absolute;margin-left:70.5pt;margin-top:78.2pt;width:471pt;height:2.25pt;z-index:-2697523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41760" behindDoc="1" locked="0" layoutInCell="1" allowOverlap="1" wp14:anchorId="0DFDDCC4" wp14:editId="0DFDDCC5">
              <wp:simplePos x="0" y="0"/>
              <wp:positionH relativeFrom="page">
                <wp:posOffset>901700</wp:posOffset>
              </wp:positionH>
              <wp:positionV relativeFrom="page">
                <wp:posOffset>490475</wp:posOffset>
              </wp:positionV>
              <wp:extent cx="5555615" cy="502920"/>
              <wp:effectExtent l="0" t="0" r="0" b="0"/>
              <wp:wrapNone/>
              <wp:docPr id="1051" name="Text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5615" cy="502920"/>
                      </a:xfrm>
                      <a:prstGeom prst="rect">
                        <a:avLst/>
                      </a:prstGeom>
                    </wps:spPr>
                    <wps:txbx>
                      <w:txbxContent>
                        <w:p w14:paraId="0DFDDF54" w14:textId="77777777" w:rsidR="00046465" w:rsidRDefault="008134EB">
                          <w:pPr>
                            <w:pStyle w:val="BodyText"/>
                            <w:spacing w:before="12"/>
                            <w:ind w:left="20"/>
                          </w:pPr>
                          <w:r>
                            <w:t>Substantive</w:t>
                          </w:r>
                          <w:r>
                            <w:rPr>
                              <w:spacing w:val="-15"/>
                            </w:rPr>
                            <w:t xml:space="preserve"> </w:t>
                          </w:r>
                          <w:r>
                            <w:t>Procedures</w:t>
                          </w:r>
                          <w:r>
                            <w:rPr>
                              <w:spacing w:val="-15"/>
                            </w:rPr>
                            <w:t xml:space="preserve"> </w:t>
                          </w:r>
                          <w:r>
                            <w:t>Implementation</w:t>
                          </w:r>
                          <w:r>
                            <w:rPr>
                              <w:spacing w:val="-13"/>
                            </w:rPr>
                            <w:t xml:space="preserve"> </w:t>
                          </w:r>
                          <w:r>
                            <w:rPr>
                              <w:spacing w:val="-2"/>
                            </w:rPr>
                            <w:t>Guidance</w:t>
                          </w:r>
                        </w:p>
                        <w:p w14:paraId="0DFDDF55" w14:textId="77777777" w:rsidR="00046465" w:rsidRDefault="008134EB">
                          <w:pPr>
                            <w:pStyle w:val="BodyText"/>
                            <w:ind w:left="20"/>
                          </w:pPr>
                          <w:r>
                            <w:t>941</w:t>
                          </w:r>
                          <w:r>
                            <w:rPr>
                              <w:spacing w:val="-3"/>
                            </w:rPr>
                            <w:t xml:space="preserve"> </w:t>
                          </w:r>
                          <w:r>
                            <w:t>–</w:t>
                          </w:r>
                          <w:r>
                            <w:rPr>
                              <w:spacing w:val="-3"/>
                            </w:rPr>
                            <w:t xml:space="preserve"> </w:t>
                          </w:r>
                          <w:r>
                            <w:t>Auditing</w:t>
                          </w:r>
                          <w:r>
                            <w:rPr>
                              <w:spacing w:val="-3"/>
                            </w:rPr>
                            <w:t xml:space="preserve"> </w:t>
                          </w:r>
                          <w:r>
                            <w:t>the</w:t>
                          </w:r>
                          <w:r>
                            <w:rPr>
                              <w:spacing w:val="-3"/>
                            </w:rPr>
                            <w:t xml:space="preserve"> </w:t>
                          </w:r>
                          <w:r>
                            <w:t>Statement</w:t>
                          </w:r>
                          <w:r>
                            <w:rPr>
                              <w:spacing w:val="-3"/>
                            </w:rPr>
                            <w:t xml:space="preserve"> </w:t>
                          </w:r>
                          <w:r>
                            <w:t>of</w:t>
                          </w:r>
                          <w:r>
                            <w:rPr>
                              <w:spacing w:val="-3"/>
                            </w:rPr>
                            <w:t xml:space="preserve"> </w:t>
                          </w:r>
                          <w:r>
                            <w:t>Social</w:t>
                          </w:r>
                          <w:r>
                            <w:rPr>
                              <w:spacing w:val="-3"/>
                            </w:rPr>
                            <w:t xml:space="preserve"> </w:t>
                          </w:r>
                          <w:r>
                            <w:t>Insurance</w:t>
                          </w:r>
                          <w:r>
                            <w:rPr>
                              <w:spacing w:val="-4"/>
                            </w:rPr>
                            <w:t xml:space="preserve"> </w:t>
                          </w:r>
                          <w:r>
                            <w:t>and</w:t>
                          </w:r>
                          <w:r>
                            <w:rPr>
                              <w:spacing w:val="-3"/>
                            </w:rPr>
                            <w:t xml:space="preserve"> </w:t>
                          </w:r>
                          <w:r>
                            <w:t>the</w:t>
                          </w:r>
                          <w:r>
                            <w:rPr>
                              <w:spacing w:val="-3"/>
                            </w:rPr>
                            <w:t xml:space="preserve"> </w:t>
                          </w:r>
                          <w:r>
                            <w:t>Statement</w:t>
                          </w:r>
                          <w:r>
                            <w:rPr>
                              <w:spacing w:val="-3"/>
                            </w:rPr>
                            <w:t xml:space="preserve"> </w:t>
                          </w:r>
                          <w:r>
                            <w:t>of</w:t>
                          </w:r>
                          <w:r>
                            <w:rPr>
                              <w:spacing w:val="-3"/>
                            </w:rPr>
                            <w:t xml:space="preserve"> </w:t>
                          </w:r>
                          <w:r>
                            <w:t>Changes</w:t>
                          </w:r>
                          <w:r>
                            <w:rPr>
                              <w:spacing w:val="-3"/>
                            </w:rPr>
                            <w:t xml:space="preserve"> </w:t>
                          </w:r>
                          <w:r>
                            <w:t>in</w:t>
                          </w:r>
                          <w:r>
                            <w:rPr>
                              <w:spacing w:val="-3"/>
                            </w:rPr>
                            <w:t xml:space="preserve"> </w:t>
                          </w:r>
                          <w:r>
                            <w:t>Social Insurance Amounts</w:t>
                          </w:r>
                        </w:p>
                      </w:txbxContent>
                    </wps:txbx>
                    <wps:bodyPr wrap="square" lIns="0" tIns="0" rIns="0" bIns="0" rtlCol="0">
                      <a:noAutofit/>
                    </wps:bodyPr>
                  </wps:wsp>
                </a:graphicData>
              </a:graphic>
            </wp:anchor>
          </w:drawing>
        </mc:Choice>
        <mc:Fallback>
          <w:pict>
            <v:shapetype w14:anchorId="0DFDDCC4" id="_x0000_t202" coordsize="21600,21600" o:spt="202" path="m,l,21600r21600,l21600,xe">
              <v:stroke joinstyle="miter"/>
              <v:path gradientshapeok="t" o:connecttype="rect"/>
            </v:shapetype>
            <v:shape id="Textbox 1051" o:spid="_x0000_s1372" type="#_x0000_t202" style="position:absolute;margin-left:71pt;margin-top:38.6pt;width:437.45pt;height:39.6pt;z-index:-26974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" filled="f" stroked="f">
              <v:textbox inset="0,0,0,0">
                <w:txbxContent>
                  <w:p w14:paraId="0DFDDF54" w14:textId="77777777" w:rsidR="00046465" w:rsidRDefault="008134EB">
                    <w:pPr>
                      <w:pStyle w:val="BodyText"/>
                      <w:spacing w:before="12"/>
                      <w:ind w:left="20"/>
                    </w:pPr>
                    <w:r>
                      <w:t>Substantive</w:t>
                    </w:r>
                    <w:r>
                      <w:rPr>
                        <w:spacing w:val="-15"/>
                      </w:rPr>
                      <w:t xml:space="preserve"> </w:t>
                    </w:r>
                    <w:r>
                      <w:t>Procedures</w:t>
                    </w:r>
                    <w:r>
                      <w:rPr>
                        <w:spacing w:val="-15"/>
                      </w:rPr>
                      <w:t xml:space="preserve"> </w:t>
                    </w:r>
                    <w:r>
                      <w:t>Implementation</w:t>
                    </w:r>
                    <w:r>
                      <w:rPr>
                        <w:spacing w:val="-13"/>
                      </w:rPr>
                      <w:t xml:space="preserve"> </w:t>
                    </w:r>
                    <w:r>
                      <w:rPr>
                        <w:spacing w:val="-2"/>
                      </w:rPr>
                      <w:t>Guidance</w:t>
                    </w:r>
                  </w:p>
                  <w:p w14:paraId="0DFDDF55" w14:textId="77777777" w:rsidR="00046465" w:rsidRDefault="008134EB">
                    <w:pPr>
                      <w:pStyle w:val="BodyText"/>
                      <w:ind w:left="20"/>
                    </w:pPr>
                    <w:r>
                      <w:t>941</w:t>
                    </w:r>
                    <w:r>
                      <w:rPr>
                        <w:spacing w:val="-3"/>
                      </w:rPr>
                      <w:t xml:space="preserve"> </w:t>
                    </w:r>
                    <w:r>
                      <w:t>–</w:t>
                    </w:r>
                    <w:r>
                      <w:rPr>
                        <w:spacing w:val="-3"/>
                      </w:rPr>
                      <w:t xml:space="preserve"> </w:t>
                    </w:r>
                    <w:r>
                      <w:t>Auditing</w:t>
                    </w:r>
                    <w:r>
                      <w:rPr>
                        <w:spacing w:val="-3"/>
                      </w:rPr>
                      <w:t xml:space="preserve"> </w:t>
                    </w:r>
                    <w:r>
                      <w:t>the</w:t>
                    </w:r>
                    <w:r>
                      <w:rPr>
                        <w:spacing w:val="-3"/>
                      </w:rPr>
                      <w:t xml:space="preserve"> </w:t>
                    </w:r>
                    <w:r>
                      <w:t>Statement</w:t>
                    </w:r>
                    <w:r>
                      <w:rPr>
                        <w:spacing w:val="-3"/>
                      </w:rPr>
                      <w:t xml:space="preserve"> </w:t>
                    </w:r>
                    <w:r>
                      <w:t>of</w:t>
                    </w:r>
                    <w:r>
                      <w:rPr>
                        <w:spacing w:val="-3"/>
                      </w:rPr>
                      <w:t xml:space="preserve"> </w:t>
                    </w:r>
                    <w:r>
                      <w:t>Social</w:t>
                    </w:r>
                    <w:r>
                      <w:rPr>
                        <w:spacing w:val="-3"/>
                      </w:rPr>
                      <w:t xml:space="preserve"> </w:t>
                    </w:r>
                    <w:r>
                      <w:t>Insurance</w:t>
                    </w:r>
                    <w:r>
                      <w:rPr>
                        <w:spacing w:val="-4"/>
                      </w:rPr>
                      <w:t xml:space="preserve"> </w:t>
                    </w:r>
                    <w:r>
                      <w:t>and</w:t>
                    </w:r>
                    <w:r>
                      <w:rPr>
                        <w:spacing w:val="-3"/>
                      </w:rPr>
                      <w:t xml:space="preserve"> </w:t>
                    </w:r>
                    <w:r>
                      <w:t>the</w:t>
                    </w:r>
                    <w:r>
                      <w:rPr>
                        <w:spacing w:val="-3"/>
                      </w:rPr>
                      <w:t xml:space="preserve"> </w:t>
                    </w:r>
                    <w:r>
                      <w:t>Statement</w:t>
                    </w:r>
                    <w:r>
                      <w:rPr>
                        <w:spacing w:val="-3"/>
                      </w:rPr>
                      <w:t xml:space="preserve"> </w:t>
                    </w:r>
                    <w:r>
                      <w:t>of</w:t>
                    </w:r>
                    <w:r>
                      <w:rPr>
                        <w:spacing w:val="-3"/>
                      </w:rPr>
                      <w:t xml:space="preserve"> </w:t>
                    </w:r>
                    <w:r>
                      <w:t>Changes</w:t>
                    </w:r>
                    <w:r>
                      <w:rPr>
                        <w:spacing w:val="-3"/>
                      </w:rPr>
                      <w:t xml:space="preserve"> </w:t>
                    </w:r>
                    <w:r>
                      <w:t>in</w:t>
                    </w:r>
                    <w:r>
                      <w:rPr>
                        <w:spacing w:val="-3"/>
                      </w:rPr>
                      <w:t xml:space="preserve"> </w:t>
                    </w:r>
                    <w:r>
                      <w:t>Social Insurance Amounts</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3E" w14:textId="77777777" w:rsidR="00046465" w:rsidRDefault="00046465">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0"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44320" behindDoc="1" locked="0" layoutInCell="1" allowOverlap="1" wp14:anchorId="0DFDDCCE" wp14:editId="0DFDDCCF">
              <wp:simplePos x="0" y="0"/>
              <wp:positionH relativeFrom="page">
                <wp:posOffset>895350</wp:posOffset>
              </wp:positionH>
              <wp:positionV relativeFrom="page">
                <wp:posOffset>457962</wp:posOffset>
              </wp:positionV>
              <wp:extent cx="5981700" cy="28575"/>
              <wp:effectExtent l="0" t="0" r="0" b="0"/>
              <wp:wrapNone/>
              <wp:docPr id="1067" name="Graphi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82F286" id="Graphic 1067" o:spid="_x0000_s1026" style="position:absolute;margin-left:70.5pt;margin-top:36.05pt;width:471pt;height:2.25pt;z-index:-269721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44832" behindDoc="1" locked="0" layoutInCell="1" allowOverlap="1" wp14:anchorId="0DFDDCD0" wp14:editId="0DFDDCD1">
              <wp:simplePos x="0" y="0"/>
              <wp:positionH relativeFrom="page">
                <wp:posOffset>895350</wp:posOffset>
              </wp:positionH>
              <wp:positionV relativeFrom="page">
                <wp:posOffset>832103</wp:posOffset>
              </wp:positionV>
              <wp:extent cx="5981700" cy="28575"/>
              <wp:effectExtent l="0" t="0" r="0" b="0"/>
              <wp:wrapNone/>
              <wp:docPr id="1068" name="Graphic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4DA923" id="Graphic 1068" o:spid="_x0000_s1026" style="position:absolute;margin-left:70.5pt;margin-top:65.5pt;width:471pt;height:2.25pt;z-index:-2697164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45344" behindDoc="1" locked="0" layoutInCell="1" allowOverlap="1" wp14:anchorId="0DFDDCD2" wp14:editId="0DFDDCD3">
              <wp:simplePos x="0" y="0"/>
              <wp:positionH relativeFrom="page">
                <wp:posOffset>901700</wp:posOffset>
              </wp:positionH>
              <wp:positionV relativeFrom="page">
                <wp:posOffset>490475</wp:posOffset>
              </wp:positionV>
              <wp:extent cx="3482340" cy="342265"/>
              <wp:effectExtent l="0" t="0" r="0" b="0"/>
              <wp:wrapNone/>
              <wp:docPr id="1069" name="Textbox 10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2340" cy="342265"/>
                      </a:xfrm>
                      <a:prstGeom prst="rect">
                        <a:avLst/>
                      </a:prstGeom>
                    </wps:spPr>
                    <wps:txbx>
                      <w:txbxContent>
                        <w:p w14:paraId="0DFDDF59"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5A" w14:textId="77777777" w:rsidR="00046465" w:rsidRDefault="008134EB">
                          <w:pPr>
                            <w:pStyle w:val="BodyText"/>
                            <w:ind w:left="20"/>
                          </w:pPr>
                          <w:r>
                            <w:t>1000</w:t>
                          </w:r>
                          <w:r>
                            <w:rPr>
                              <w:spacing w:val="-8"/>
                            </w:rPr>
                            <w:t xml:space="preserve"> </w:t>
                          </w:r>
                          <w:r>
                            <w:t>–</w:t>
                          </w:r>
                          <w:r>
                            <w:rPr>
                              <w:spacing w:val="-8"/>
                            </w:rPr>
                            <w:t xml:space="preserve"> </w:t>
                          </w:r>
                          <w:r>
                            <w:t>Contents</w:t>
                          </w:r>
                          <w:r>
                            <w:rPr>
                              <w:spacing w:val="-7"/>
                            </w:rPr>
                            <w:t xml:space="preserve"> </w:t>
                          </w:r>
                          <w:r>
                            <w:t>of</w:t>
                          </w:r>
                          <w:r>
                            <w:rPr>
                              <w:spacing w:val="-8"/>
                            </w:rPr>
                            <w:t xml:space="preserve"> </w:t>
                          </w:r>
                          <w:r>
                            <w:t>Reporting</w:t>
                          </w:r>
                          <w:r>
                            <w:rPr>
                              <w:spacing w:val="-7"/>
                            </w:rPr>
                            <w:t xml:space="preserve"> </w:t>
                          </w:r>
                          <w:r>
                            <w:t>Implementation</w:t>
                          </w:r>
                          <w:r>
                            <w:rPr>
                              <w:spacing w:val="-8"/>
                            </w:rPr>
                            <w:t xml:space="preserve"> </w:t>
                          </w:r>
                          <w:r>
                            <w:rPr>
                              <w:spacing w:val="-2"/>
                            </w:rPr>
                            <w:t>Guidance</w:t>
                          </w:r>
                        </w:p>
                      </w:txbxContent>
                    </wps:txbx>
                    <wps:bodyPr wrap="square" lIns="0" tIns="0" rIns="0" bIns="0" rtlCol="0">
                      <a:noAutofit/>
                    </wps:bodyPr>
                  </wps:wsp>
                </a:graphicData>
              </a:graphic>
            </wp:anchor>
          </w:drawing>
        </mc:Choice>
        <mc:Fallback>
          <w:pict>
            <v:shapetype w14:anchorId="0DFDDCD2" id="_x0000_t202" coordsize="21600,21600" o:spt="202" path="m,l,21600r21600,l21600,xe">
              <v:stroke joinstyle="miter"/>
              <v:path gradientshapeok="t" o:connecttype="rect"/>
            </v:shapetype>
            <v:shape id="Textbox 1069" o:spid="_x0000_s1376" type="#_x0000_t202" style="position:absolute;margin-left:71pt;margin-top:38.6pt;width:274.2pt;height:26.95pt;z-index:-26971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" filled="f" stroked="f">
              <v:textbox inset="0,0,0,0">
                <w:txbxContent>
                  <w:p w14:paraId="0DFDDF59"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5A" w14:textId="77777777" w:rsidR="00046465" w:rsidRDefault="008134EB">
                    <w:pPr>
                      <w:pStyle w:val="BodyText"/>
                      <w:ind w:left="20"/>
                    </w:pPr>
                    <w:r>
                      <w:t>1000</w:t>
                    </w:r>
                    <w:r>
                      <w:rPr>
                        <w:spacing w:val="-8"/>
                      </w:rPr>
                      <w:t xml:space="preserve"> </w:t>
                    </w:r>
                    <w:r>
                      <w:t>–</w:t>
                    </w:r>
                    <w:r>
                      <w:rPr>
                        <w:spacing w:val="-8"/>
                      </w:rPr>
                      <w:t xml:space="preserve"> </w:t>
                    </w:r>
                    <w:r>
                      <w:t>Contents</w:t>
                    </w:r>
                    <w:r>
                      <w:rPr>
                        <w:spacing w:val="-7"/>
                      </w:rPr>
                      <w:t xml:space="preserve"> </w:t>
                    </w:r>
                    <w:r>
                      <w:t>of</w:t>
                    </w:r>
                    <w:r>
                      <w:rPr>
                        <w:spacing w:val="-8"/>
                      </w:rPr>
                      <w:t xml:space="preserve"> </w:t>
                    </w:r>
                    <w:r>
                      <w:t>Reporting</w:t>
                    </w:r>
                    <w:r>
                      <w:rPr>
                        <w:spacing w:val="-7"/>
                      </w:rPr>
                      <w:t xml:space="preserve"> </w:t>
                    </w:r>
                    <w:r>
                      <w:t>Implementation</w:t>
                    </w:r>
                    <w:r>
                      <w:rPr>
                        <w:spacing w:val="-8"/>
                      </w:rPr>
                      <w:t xml:space="preserve"> </w:t>
                    </w:r>
                    <w:r>
                      <w:rPr>
                        <w:spacing w:val="-2"/>
                      </w:rPr>
                      <w:t>Guidance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7A0"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076032" behindDoc="1" locked="0" layoutInCell="1" allowOverlap="1" wp14:anchorId="0DFDD8B6" wp14:editId="0DFDD8B7">
              <wp:simplePos x="0" y="0"/>
              <wp:positionH relativeFrom="page">
                <wp:posOffset>895350</wp:posOffset>
              </wp:positionH>
              <wp:positionV relativeFrom="page">
                <wp:posOffset>457962</wp:posOffset>
              </wp:positionV>
              <wp:extent cx="5981700" cy="2857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EDF802" id="Graphic 110" o:spid="_x0000_s1026" style="position:absolute;margin-left:70.5pt;margin-top:36.05pt;width:471pt;height:2.25pt;z-index:-2724044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76544" behindDoc="1" locked="0" layoutInCell="1" allowOverlap="1" wp14:anchorId="0DFDD8B8" wp14:editId="0DFDD8B9">
              <wp:simplePos x="0" y="0"/>
              <wp:positionH relativeFrom="page">
                <wp:posOffset>895350</wp:posOffset>
              </wp:positionH>
              <wp:positionV relativeFrom="page">
                <wp:posOffset>832103</wp:posOffset>
              </wp:positionV>
              <wp:extent cx="5981700" cy="2857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315920" id="Graphic 111" o:spid="_x0000_s1026" style="position:absolute;margin-left:70.5pt;margin-top:65.5pt;width:471pt;height:2.25pt;z-index:-2723993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077056" behindDoc="1" locked="0" layoutInCell="1" allowOverlap="1" wp14:anchorId="0DFDD8BA" wp14:editId="0DFDD8BB">
              <wp:simplePos x="0" y="0"/>
              <wp:positionH relativeFrom="page">
                <wp:posOffset>901700</wp:posOffset>
              </wp:positionH>
              <wp:positionV relativeFrom="page">
                <wp:posOffset>490475</wp:posOffset>
              </wp:positionV>
              <wp:extent cx="2758440" cy="342265"/>
              <wp:effectExtent l="0" t="0" r="0" b="0"/>
              <wp:wrapNone/>
              <wp:docPr id="112" name="Text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342265"/>
                      </a:xfrm>
                      <a:prstGeom prst="rect">
                        <a:avLst/>
                      </a:prstGeom>
                    </wps:spPr>
                    <wps:txbx>
                      <w:txbxContent>
                        <w:p w14:paraId="0DFDDDEB"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DEC" w14:textId="77777777" w:rsidR="00046465" w:rsidRDefault="008134EB">
                          <w:pPr>
                            <w:pStyle w:val="BodyText"/>
                            <w:ind w:left="20"/>
                          </w:pPr>
                          <w:r>
                            <w:t>610</w:t>
                          </w:r>
                          <w:r>
                            <w:rPr>
                              <w:spacing w:val="-5"/>
                            </w:rPr>
                            <w:t xml:space="preserve"> </w:t>
                          </w:r>
                          <w:r>
                            <w:t>–</w:t>
                          </w:r>
                          <w:r>
                            <w:rPr>
                              <w:spacing w:val="-4"/>
                            </w:rPr>
                            <w:t xml:space="preserve"> </w:t>
                          </w:r>
                          <w:r>
                            <w:t>Overview</w:t>
                          </w:r>
                          <w:r>
                            <w:rPr>
                              <w:spacing w:val="-5"/>
                            </w:rPr>
                            <w:t xml:space="preserve"> </w:t>
                          </w:r>
                          <w:r>
                            <w:t>of</w:t>
                          </w:r>
                          <w:r>
                            <w:rPr>
                              <w:spacing w:val="-4"/>
                            </w:rPr>
                            <w:t xml:space="preserve"> </w:t>
                          </w:r>
                          <w:r>
                            <w:t>Using</w:t>
                          </w:r>
                          <w:r>
                            <w:rPr>
                              <w:spacing w:val="-4"/>
                            </w:rPr>
                            <w:t xml:space="preserve"> </w:t>
                          </w:r>
                          <w:r>
                            <w:t>the</w:t>
                          </w:r>
                          <w:r>
                            <w:rPr>
                              <w:spacing w:val="-5"/>
                            </w:rPr>
                            <w:t xml:space="preserve"> </w:t>
                          </w:r>
                          <w:r>
                            <w:t>Work</w:t>
                          </w:r>
                          <w:r>
                            <w:rPr>
                              <w:spacing w:val="-4"/>
                            </w:rPr>
                            <w:t xml:space="preserve"> </w:t>
                          </w:r>
                          <w:r>
                            <w:t>of</w:t>
                          </w:r>
                          <w:r>
                            <w:rPr>
                              <w:spacing w:val="-5"/>
                            </w:rPr>
                            <w:t xml:space="preserve"> </w:t>
                          </w:r>
                          <w:r>
                            <w:rPr>
                              <w:spacing w:val="-2"/>
                            </w:rPr>
                            <w:t>Others</w:t>
                          </w:r>
                        </w:p>
                      </w:txbxContent>
                    </wps:txbx>
                    <wps:bodyPr wrap="square" lIns="0" tIns="0" rIns="0" bIns="0" rtlCol="0">
                      <a:noAutofit/>
                    </wps:bodyPr>
                  </wps:wsp>
                </a:graphicData>
              </a:graphic>
            </wp:anchor>
          </w:drawing>
        </mc:Choice>
        <mc:Fallback>
          <w:pict>
            <v:shapetype w14:anchorId="0DFDD8BA" id="_x0000_t202" coordsize="21600,21600" o:spt="202" path="m,l,21600r21600,l21600,xe">
              <v:stroke joinstyle="miter"/>
              <v:path gradientshapeok="t" o:connecttype="rect"/>
            </v:shapetype>
            <v:shape id="Textbox 112" o:spid="_x0000_s1072" type="#_x0000_t202" style="position:absolute;margin-left:71pt;margin-top:38.6pt;width:217.2pt;height:26.95pt;z-index:-272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" filled="f" stroked="f">
              <v:textbox inset="0,0,0,0">
                <w:txbxContent>
                  <w:p w14:paraId="0DFDDDEB" w14:textId="77777777" w:rsidR="00046465" w:rsidRDefault="008134EB">
                    <w:pPr>
                      <w:pStyle w:val="BodyText"/>
                      <w:spacing w:before="12"/>
                      <w:ind w:left="20"/>
                    </w:pPr>
                    <w:r>
                      <w:t>Using</w:t>
                    </w:r>
                    <w:r>
                      <w:rPr>
                        <w:spacing w:val="-5"/>
                      </w:rPr>
                      <w:t xml:space="preserve"> </w:t>
                    </w:r>
                    <w:r>
                      <w:t>the</w:t>
                    </w:r>
                    <w:r>
                      <w:rPr>
                        <w:spacing w:val="-4"/>
                      </w:rPr>
                      <w:t xml:space="preserve"> </w:t>
                    </w:r>
                    <w:r>
                      <w:t>Work</w:t>
                    </w:r>
                    <w:r>
                      <w:rPr>
                        <w:spacing w:val="-5"/>
                      </w:rPr>
                      <w:t xml:space="preserve"> </w:t>
                    </w:r>
                    <w:r>
                      <w:t>of</w:t>
                    </w:r>
                    <w:r>
                      <w:rPr>
                        <w:spacing w:val="-4"/>
                      </w:rPr>
                      <w:t xml:space="preserve"> </w:t>
                    </w:r>
                    <w:r>
                      <w:rPr>
                        <w:spacing w:val="-2"/>
                      </w:rPr>
                      <w:t>Others</w:t>
                    </w:r>
                  </w:p>
                  <w:p w14:paraId="0DFDDDEC" w14:textId="77777777" w:rsidR="00046465" w:rsidRDefault="008134EB">
                    <w:pPr>
                      <w:pStyle w:val="BodyText"/>
                      <w:ind w:left="20"/>
                    </w:pPr>
                    <w:r>
                      <w:t>610</w:t>
                    </w:r>
                    <w:r>
                      <w:rPr>
                        <w:spacing w:val="-5"/>
                      </w:rPr>
                      <w:t xml:space="preserve"> </w:t>
                    </w:r>
                    <w:r>
                      <w:t>–</w:t>
                    </w:r>
                    <w:r>
                      <w:rPr>
                        <w:spacing w:val="-4"/>
                      </w:rPr>
                      <w:t xml:space="preserve"> </w:t>
                    </w:r>
                    <w:r>
                      <w:t>Overview</w:t>
                    </w:r>
                    <w:r>
                      <w:rPr>
                        <w:spacing w:val="-5"/>
                      </w:rPr>
                      <w:t xml:space="preserve"> </w:t>
                    </w:r>
                    <w:r>
                      <w:t>of</w:t>
                    </w:r>
                    <w:r>
                      <w:rPr>
                        <w:spacing w:val="-4"/>
                      </w:rPr>
                      <w:t xml:space="preserve"> </w:t>
                    </w:r>
                    <w:r>
                      <w:t>Using</w:t>
                    </w:r>
                    <w:r>
                      <w:rPr>
                        <w:spacing w:val="-4"/>
                      </w:rPr>
                      <w:t xml:space="preserve"> </w:t>
                    </w:r>
                    <w:r>
                      <w:t>the</w:t>
                    </w:r>
                    <w:r>
                      <w:rPr>
                        <w:spacing w:val="-5"/>
                      </w:rPr>
                      <w:t xml:space="preserve"> </w:t>
                    </w:r>
                    <w:r>
                      <w:t>Work</w:t>
                    </w:r>
                    <w:r>
                      <w:rPr>
                        <w:spacing w:val="-4"/>
                      </w:rPr>
                      <w:t xml:space="preserve"> </w:t>
                    </w:r>
                    <w:r>
                      <w:t>of</w:t>
                    </w:r>
                    <w:r>
                      <w:rPr>
                        <w:spacing w:val="-5"/>
                      </w:rPr>
                      <w:t xml:space="preserve"> </w:t>
                    </w:r>
                    <w:r>
                      <w:rPr>
                        <w:spacing w:val="-2"/>
                      </w:rPr>
                      <w:t>Others</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2"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47904" behindDoc="1" locked="0" layoutInCell="1" allowOverlap="1" wp14:anchorId="0DFDDCDC" wp14:editId="0DFDDCDD">
              <wp:simplePos x="0" y="0"/>
              <wp:positionH relativeFrom="page">
                <wp:posOffset>895350</wp:posOffset>
              </wp:positionH>
              <wp:positionV relativeFrom="page">
                <wp:posOffset>457962</wp:posOffset>
              </wp:positionV>
              <wp:extent cx="5981700" cy="28575"/>
              <wp:effectExtent l="0" t="0" r="0" b="0"/>
              <wp:wrapNone/>
              <wp:docPr id="1074" name="Graphic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CD5446" id="Graphic 1074" o:spid="_x0000_s1026" style="position:absolute;margin-left:70.5pt;margin-top:36.05pt;width:471pt;height:2.25pt;z-index:-2696857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48416" behindDoc="1" locked="0" layoutInCell="1" allowOverlap="1" wp14:anchorId="0DFDDCDE" wp14:editId="0DFDDCDF">
              <wp:simplePos x="0" y="0"/>
              <wp:positionH relativeFrom="page">
                <wp:posOffset>895350</wp:posOffset>
              </wp:positionH>
              <wp:positionV relativeFrom="page">
                <wp:posOffset>832103</wp:posOffset>
              </wp:positionV>
              <wp:extent cx="5981700" cy="28575"/>
              <wp:effectExtent l="0" t="0" r="0" b="0"/>
              <wp:wrapNone/>
              <wp:docPr id="1075" name="Graphic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82A5A5" id="Graphic 1075" o:spid="_x0000_s1026" style="position:absolute;margin-left:70.5pt;margin-top:65.5pt;width:471pt;height:2.25pt;z-index:-2696806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48928" behindDoc="1" locked="0" layoutInCell="1" allowOverlap="1" wp14:anchorId="0DFDDCE0" wp14:editId="0DFDDCE1">
              <wp:simplePos x="0" y="0"/>
              <wp:positionH relativeFrom="page">
                <wp:posOffset>901700</wp:posOffset>
              </wp:positionH>
              <wp:positionV relativeFrom="page">
                <wp:posOffset>490475</wp:posOffset>
              </wp:positionV>
              <wp:extent cx="2362835" cy="342265"/>
              <wp:effectExtent l="0" t="0" r="0" b="0"/>
              <wp:wrapNone/>
              <wp:docPr id="1076" name="Text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35" cy="342265"/>
                      </a:xfrm>
                      <a:prstGeom prst="rect">
                        <a:avLst/>
                      </a:prstGeom>
                    </wps:spPr>
                    <wps:txbx>
                      <w:txbxContent>
                        <w:p w14:paraId="0DFDDF5E" w14:textId="77777777" w:rsidR="00046465" w:rsidRDefault="008134EB">
                          <w:pPr>
                            <w:pStyle w:val="BodyText"/>
                            <w:spacing w:before="12"/>
                            <w:ind w:left="20"/>
                          </w:pPr>
                          <w:r>
                            <w:t>Reporting Implementation Guidance 1001</w:t>
                          </w:r>
                          <w:r>
                            <w:rPr>
                              <w:spacing w:val="-13"/>
                            </w:rPr>
                            <w:t xml:space="preserve"> </w:t>
                          </w:r>
                          <w:r>
                            <w:t>–</w:t>
                          </w:r>
                          <w:r>
                            <w:rPr>
                              <w:spacing w:val="-13"/>
                            </w:rPr>
                            <w:t xml:space="preserve"> </w:t>
                          </w:r>
                          <w:r>
                            <w:t>Management</w:t>
                          </w:r>
                          <w:r>
                            <w:rPr>
                              <w:spacing w:val="-13"/>
                            </w:rPr>
                            <w:t xml:space="preserve"> </w:t>
                          </w:r>
                          <w:r>
                            <w:t>Representations</w:t>
                          </w:r>
                        </w:p>
                      </w:txbxContent>
                    </wps:txbx>
                    <wps:bodyPr wrap="square" lIns="0" tIns="0" rIns="0" bIns="0" rtlCol="0">
                      <a:noAutofit/>
                    </wps:bodyPr>
                  </wps:wsp>
                </a:graphicData>
              </a:graphic>
            </wp:anchor>
          </w:drawing>
        </mc:Choice>
        <mc:Fallback>
          <w:pict>
            <v:shapetype w14:anchorId="0DFDDCE0" id="_x0000_t202" coordsize="21600,21600" o:spt="202" path="m,l,21600r21600,l21600,xe">
              <v:stroke joinstyle="miter"/>
              <v:path gradientshapeok="t" o:connecttype="rect"/>
            </v:shapetype>
            <v:shape id="Textbox 1076" o:spid="_x0000_s1380" type="#_x0000_t202" style="position:absolute;margin-left:71pt;margin-top:38.6pt;width:186.05pt;height:26.95pt;z-index:-2696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" filled="f" stroked="f">
              <v:textbox inset="0,0,0,0">
                <w:txbxContent>
                  <w:p w14:paraId="0DFDDF5E" w14:textId="77777777" w:rsidR="00046465" w:rsidRDefault="008134EB">
                    <w:pPr>
                      <w:pStyle w:val="BodyText"/>
                      <w:spacing w:before="12"/>
                      <w:ind w:left="20"/>
                    </w:pPr>
                    <w:r>
                      <w:t>Reporting Implementation Guidance 1001</w:t>
                    </w:r>
                    <w:r>
                      <w:rPr>
                        <w:spacing w:val="-13"/>
                      </w:rPr>
                      <w:t xml:space="preserve"> </w:t>
                    </w:r>
                    <w:r>
                      <w:t>–</w:t>
                    </w:r>
                    <w:r>
                      <w:rPr>
                        <w:spacing w:val="-13"/>
                      </w:rPr>
                      <w:t xml:space="preserve"> </w:t>
                    </w:r>
                    <w:r>
                      <w:t>Management</w:t>
                    </w:r>
                    <w:r>
                      <w:rPr>
                        <w:spacing w:val="-13"/>
                      </w:rPr>
                      <w:t xml:space="preserve"> </w:t>
                    </w:r>
                    <w:r>
                      <w:t>Representations</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4"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51488" behindDoc="1" locked="0" layoutInCell="1" allowOverlap="1" wp14:anchorId="0DFDDCEA" wp14:editId="0DFDDCEB">
              <wp:simplePos x="0" y="0"/>
              <wp:positionH relativeFrom="page">
                <wp:posOffset>895350</wp:posOffset>
              </wp:positionH>
              <wp:positionV relativeFrom="page">
                <wp:posOffset>457962</wp:posOffset>
              </wp:positionV>
              <wp:extent cx="5981700" cy="28575"/>
              <wp:effectExtent l="0" t="0" r="0" b="0"/>
              <wp:wrapNone/>
              <wp:docPr id="1081" name="Graphic 10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35A599" id="Graphic 1081" o:spid="_x0000_s1026" style="position:absolute;margin-left:70.5pt;margin-top:36.05pt;width:471pt;height:2.25pt;z-index:-2696499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52000" behindDoc="1" locked="0" layoutInCell="1" allowOverlap="1" wp14:anchorId="0DFDDCEC" wp14:editId="0DFDDCED">
              <wp:simplePos x="0" y="0"/>
              <wp:positionH relativeFrom="page">
                <wp:posOffset>895350</wp:posOffset>
              </wp:positionH>
              <wp:positionV relativeFrom="page">
                <wp:posOffset>832103</wp:posOffset>
              </wp:positionV>
              <wp:extent cx="5981700" cy="28575"/>
              <wp:effectExtent l="0" t="0" r="0" b="0"/>
              <wp:wrapNone/>
              <wp:docPr id="1082" name="Graphic 10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782C1D" id="Graphic 1082" o:spid="_x0000_s1026" style="position:absolute;margin-left:70.5pt;margin-top:65.5pt;width:471pt;height:2.25pt;z-index:-2696448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52512" behindDoc="1" locked="0" layoutInCell="1" allowOverlap="1" wp14:anchorId="0DFDDCEE" wp14:editId="0DFDDCEF">
              <wp:simplePos x="0" y="0"/>
              <wp:positionH relativeFrom="page">
                <wp:posOffset>901700</wp:posOffset>
              </wp:positionH>
              <wp:positionV relativeFrom="page">
                <wp:posOffset>490475</wp:posOffset>
              </wp:positionV>
              <wp:extent cx="2362835" cy="342265"/>
              <wp:effectExtent l="0" t="0" r="0" b="0"/>
              <wp:wrapNone/>
              <wp:docPr id="1083" name="Textbox 1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2835" cy="342265"/>
                      </a:xfrm>
                      <a:prstGeom prst="rect">
                        <a:avLst/>
                      </a:prstGeom>
                    </wps:spPr>
                    <wps:txbx>
                      <w:txbxContent>
                        <w:p w14:paraId="0DFDDF62" w14:textId="77777777" w:rsidR="00046465" w:rsidRDefault="008134EB">
                          <w:pPr>
                            <w:pStyle w:val="BodyText"/>
                            <w:spacing w:before="12"/>
                            <w:ind w:left="20"/>
                          </w:pPr>
                          <w:r>
                            <w:t>Reporting Implementation Guidance 1001</w:t>
                          </w:r>
                          <w:r>
                            <w:rPr>
                              <w:spacing w:val="-13"/>
                            </w:rPr>
                            <w:t xml:space="preserve"> </w:t>
                          </w:r>
                          <w:r>
                            <w:t>–</w:t>
                          </w:r>
                          <w:r>
                            <w:rPr>
                              <w:spacing w:val="-13"/>
                            </w:rPr>
                            <w:t xml:space="preserve"> </w:t>
                          </w:r>
                          <w:r>
                            <w:t>Management</w:t>
                          </w:r>
                          <w:r>
                            <w:rPr>
                              <w:spacing w:val="-13"/>
                            </w:rPr>
                            <w:t xml:space="preserve"> </w:t>
                          </w:r>
                          <w:r>
                            <w:t>Representations</w:t>
                          </w:r>
                        </w:p>
                      </w:txbxContent>
                    </wps:txbx>
                    <wps:bodyPr wrap="square" lIns="0" tIns="0" rIns="0" bIns="0" rtlCol="0">
                      <a:noAutofit/>
                    </wps:bodyPr>
                  </wps:wsp>
                </a:graphicData>
              </a:graphic>
            </wp:anchor>
          </w:drawing>
        </mc:Choice>
        <mc:Fallback>
          <w:pict>
            <v:shapetype w14:anchorId="0DFDDCEE" id="_x0000_t202" coordsize="21600,21600" o:spt="202" path="m,l,21600r21600,l21600,xe">
              <v:stroke joinstyle="miter"/>
              <v:path gradientshapeok="t" o:connecttype="rect"/>
            </v:shapetype>
            <v:shape id="Textbox 1083" o:spid="_x0000_s1384" type="#_x0000_t202" style="position:absolute;margin-left:71pt;margin-top:38.6pt;width:186.05pt;height:26.95pt;z-index:-26963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" filled="f" stroked="f">
              <v:textbox inset="0,0,0,0">
                <w:txbxContent>
                  <w:p w14:paraId="0DFDDF62" w14:textId="77777777" w:rsidR="00046465" w:rsidRDefault="008134EB">
                    <w:pPr>
                      <w:pStyle w:val="BodyText"/>
                      <w:spacing w:before="12"/>
                      <w:ind w:left="20"/>
                    </w:pPr>
                    <w:r>
                      <w:t>Reporting Implementation Guidance 1001</w:t>
                    </w:r>
                    <w:r>
                      <w:rPr>
                        <w:spacing w:val="-13"/>
                      </w:rPr>
                      <w:t xml:space="preserve"> </w:t>
                    </w:r>
                    <w:r>
                      <w:t>–</w:t>
                    </w:r>
                    <w:r>
                      <w:rPr>
                        <w:spacing w:val="-13"/>
                      </w:rPr>
                      <w:t xml:space="preserve"> </w:t>
                    </w:r>
                    <w:r>
                      <w:t>Management</w:t>
                    </w:r>
                    <w:r>
                      <w:rPr>
                        <w:spacing w:val="-13"/>
                      </w:rPr>
                      <w:t xml:space="preserve"> </w:t>
                    </w:r>
                    <w:r>
                      <w:t>Representations</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6"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55072" behindDoc="1" locked="0" layoutInCell="1" allowOverlap="1" wp14:anchorId="0DFDDCF8" wp14:editId="0DFDDCF9">
              <wp:simplePos x="0" y="0"/>
              <wp:positionH relativeFrom="page">
                <wp:posOffset>895350</wp:posOffset>
              </wp:positionH>
              <wp:positionV relativeFrom="page">
                <wp:posOffset>457962</wp:posOffset>
              </wp:positionV>
              <wp:extent cx="5981700" cy="28575"/>
              <wp:effectExtent l="0" t="0" r="0" b="0"/>
              <wp:wrapNone/>
              <wp:docPr id="1089" name="Graphic 10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27C44C" id="Graphic 1089" o:spid="_x0000_s1026" style="position:absolute;margin-left:70.5pt;margin-top:36.05pt;width:471pt;height:2.25pt;z-index:-2696140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55584" behindDoc="1" locked="0" layoutInCell="1" allowOverlap="1" wp14:anchorId="0DFDDCFA" wp14:editId="0DFDDCFB">
              <wp:simplePos x="0" y="0"/>
              <wp:positionH relativeFrom="page">
                <wp:posOffset>895350</wp:posOffset>
              </wp:positionH>
              <wp:positionV relativeFrom="page">
                <wp:posOffset>832103</wp:posOffset>
              </wp:positionV>
              <wp:extent cx="5981700" cy="28575"/>
              <wp:effectExtent l="0" t="0" r="0" b="0"/>
              <wp:wrapNone/>
              <wp:docPr id="1090" name="Graphic 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C0447C" id="Graphic 1090" o:spid="_x0000_s1026" style="position:absolute;margin-left:70.5pt;margin-top:65.5pt;width:471pt;height:2.25pt;z-index:-2696089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56096" behindDoc="1" locked="0" layoutInCell="1" allowOverlap="1" wp14:anchorId="0DFDDCFC" wp14:editId="0DFDDCFD">
              <wp:simplePos x="0" y="0"/>
              <wp:positionH relativeFrom="page">
                <wp:posOffset>901700</wp:posOffset>
              </wp:positionH>
              <wp:positionV relativeFrom="page">
                <wp:posOffset>490475</wp:posOffset>
              </wp:positionV>
              <wp:extent cx="3404235" cy="342265"/>
              <wp:effectExtent l="0" t="0" r="0" b="0"/>
              <wp:wrapNone/>
              <wp:docPr id="1091" name="Textbox 1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4235" cy="342265"/>
                      </a:xfrm>
                      <a:prstGeom prst="rect">
                        <a:avLst/>
                      </a:prstGeom>
                    </wps:spPr>
                    <wps:txbx>
                      <w:txbxContent>
                        <w:p w14:paraId="0DFDDF66"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67" w14:textId="77777777" w:rsidR="00046465" w:rsidRDefault="008134EB">
                          <w:pPr>
                            <w:pStyle w:val="BodyText"/>
                            <w:ind w:left="20"/>
                          </w:pPr>
                          <w:r>
                            <w:t>1001</w:t>
                          </w:r>
                          <w:r>
                            <w:rPr>
                              <w:spacing w:val="-8"/>
                            </w:rPr>
                            <w:t xml:space="preserve"> </w:t>
                          </w:r>
                          <w:r>
                            <w:t>A</w:t>
                          </w:r>
                          <w:r>
                            <w:rPr>
                              <w:spacing w:val="-8"/>
                            </w:rPr>
                            <w:t xml:space="preserve"> </w:t>
                          </w:r>
                          <w:r>
                            <w:t>–</w:t>
                          </w:r>
                          <w:r>
                            <w:rPr>
                              <w:spacing w:val="-8"/>
                            </w:rPr>
                            <w:t xml:space="preserve"> </w:t>
                          </w:r>
                          <w:r>
                            <w:t>Example</w:t>
                          </w:r>
                          <w:r>
                            <w:rPr>
                              <w:spacing w:val="-8"/>
                            </w:rPr>
                            <w:t xml:space="preserve"> </w:t>
                          </w:r>
                          <w:r>
                            <w:t>Management</w:t>
                          </w:r>
                          <w:r>
                            <w:rPr>
                              <w:spacing w:val="-8"/>
                            </w:rPr>
                            <w:t xml:space="preserve"> </w:t>
                          </w:r>
                          <w:r>
                            <w:t>Representation</w:t>
                          </w:r>
                          <w:r>
                            <w:rPr>
                              <w:spacing w:val="-8"/>
                            </w:rPr>
                            <w:t xml:space="preserve"> </w:t>
                          </w:r>
                          <w:r>
                            <w:rPr>
                              <w:spacing w:val="-2"/>
                            </w:rPr>
                            <w:t>Letter</w:t>
                          </w:r>
                        </w:p>
                      </w:txbxContent>
                    </wps:txbx>
                    <wps:bodyPr wrap="square" lIns="0" tIns="0" rIns="0" bIns="0" rtlCol="0">
                      <a:noAutofit/>
                    </wps:bodyPr>
                  </wps:wsp>
                </a:graphicData>
              </a:graphic>
            </wp:anchor>
          </w:drawing>
        </mc:Choice>
        <mc:Fallback>
          <w:pict>
            <v:shapetype w14:anchorId="0DFDDCFC" id="_x0000_t202" coordsize="21600,21600" o:spt="202" path="m,l,21600r21600,l21600,xe">
              <v:stroke joinstyle="miter"/>
              <v:path gradientshapeok="t" o:connecttype="rect"/>
            </v:shapetype>
            <v:shape id="Textbox 1091" o:spid="_x0000_s1388" type="#_x0000_t202" style="position:absolute;margin-left:71pt;margin-top:38.6pt;width:268.05pt;height:26.95pt;z-index:-2696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" filled="f" stroked="f">
              <v:textbox inset="0,0,0,0">
                <w:txbxContent>
                  <w:p w14:paraId="0DFDDF66"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67" w14:textId="77777777" w:rsidR="00046465" w:rsidRDefault="008134EB">
                    <w:pPr>
                      <w:pStyle w:val="BodyText"/>
                      <w:ind w:left="20"/>
                    </w:pPr>
                    <w:r>
                      <w:t>1001</w:t>
                    </w:r>
                    <w:r>
                      <w:rPr>
                        <w:spacing w:val="-8"/>
                      </w:rPr>
                      <w:t xml:space="preserve"> </w:t>
                    </w:r>
                    <w:r>
                      <w:t>A</w:t>
                    </w:r>
                    <w:r>
                      <w:rPr>
                        <w:spacing w:val="-8"/>
                      </w:rPr>
                      <w:t xml:space="preserve"> </w:t>
                    </w:r>
                    <w:r>
                      <w:t>–</w:t>
                    </w:r>
                    <w:r>
                      <w:rPr>
                        <w:spacing w:val="-8"/>
                      </w:rPr>
                      <w:t xml:space="preserve"> </w:t>
                    </w:r>
                    <w:r>
                      <w:t>Example</w:t>
                    </w:r>
                    <w:r>
                      <w:rPr>
                        <w:spacing w:val="-8"/>
                      </w:rPr>
                      <w:t xml:space="preserve"> </w:t>
                    </w:r>
                    <w:r>
                      <w:t>Management</w:t>
                    </w:r>
                    <w:r>
                      <w:rPr>
                        <w:spacing w:val="-8"/>
                      </w:rPr>
                      <w:t xml:space="preserve"> </w:t>
                    </w:r>
                    <w:r>
                      <w:t>Representation</w:t>
                    </w:r>
                    <w:r>
                      <w:rPr>
                        <w:spacing w:val="-8"/>
                      </w:rPr>
                      <w:t xml:space="preserve"> </w:t>
                    </w:r>
                    <w:r>
                      <w:rPr>
                        <w:spacing w:val="-2"/>
                      </w:rPr>
                      <w:t>Letter</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8"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58656" behindDoc="1" locked="0" layoutInCell="1" allowOverlap="1" wp14:anchorId="0DFDDD06" wp14:editId="0DFDDD07">
              <wp:simplePos x="0" y="0"/>
              <wp:positionH relativeFrom="page">
                <wp:posOffset>895350</wp:posOffset>
              </wp:positionH>
              <wp:positionV relativeFrom="page">
                <wp:posOffset>457962</wp:posOffset>
              </wp:positionV>
              <wp:extent cx="5981700" cy="28575"/>
              <wp:effectExtent l="0" t="0" r="0" b="0"/>
              <wp:wrapNone/>
              <wp:docPr id="1098" name="Graphic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4DB8549" id="Graphic 1098" o:spid="_x0000_s1026" style="position:absolute;margin-left:70.5pt;margin-top:36.05pt;width:471pt;height:2.25pt;z-index:-2695782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59168" behindDoc="1" locked="0" layoutInCell="1" allowOverlap="1" wp14:anchorId="0DFDDD08" wp14:editId="0DFDDD09">
              <wp:simplePos x="0" y="0"/>
              <wp:positionH relativeFrom="page">
                <wp:posOffset>895350</wp:posOffset>
              </wp:positionH>
              <wp:positionV relativeFrom="page">
                <wp:posOffset>832103</wp:posOffset>
              </wp:positionV>
              <wp:extent cx="5981700" cy="28575"/>
              <wp:effectExtent l="0" t="0" r="0" b="0"/>
              <wp:wrapNone/>
              <wp:docPr id="1099" name="Graphic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9788EA" id="Graphic 1099" o:spid="_x0000_s1026" style="position:absolute;margin-left:70.5pt;margin-top:65.5pt;width:471pt;height:2.25pt;z-index:-2695731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59680" behindDoc="1" locked="0" layoutInCell="1" allowOverlap="1" wp14:anchorId="0DFDDD0A" wp14:editId="0DFDDD0B">
              <wp:simplePos x="0" y="0"/>
              <wp:positionH relativeFrom="page">
                <wp:posOffset>901700</wp:posOffset>
              </wp:positionH>
              <wp:positionV relativeFrom="page">
                <wp:posOffset>490475</wp:posOffset>
              </wp:positionV>
              <wp:extent cx="2735580" cy="342265"/>
              <wp:effectExtent l="0" t="0" r="0" b="0"/>
              <wp:wrapNone/>
              <wp:docPr id="1100" name="Text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5580" cy="342265"/>
                      </a:xfrm>
                      <a:prstGeom prst="rect">
                        <a:avLst/>
                      </a:prstGeom>
                    </wps:spPr>
                    <wps:txbx>
                      <w:txbxContent>
                        <w:p w14:paraId="0DFDDF6B"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6C" w14:textId="77777777" w:rsidR="00046465" w:rsidRDefault="008134EB">
                          <w:pPr>
                            <w:pStyle w:val="BodyText"/>
                            <w:ind w:left="20"/>
                          </w:pPr>
                          <w:r>
                            <w:t>1002</w:t>
                          </w:r>
                          <w:r>
                            <w:rPr>
                              <w:spacing w:val="-6"/>
                            </w:rPr>
                            <w:t xml:space="preserve"> </w:t>
                          </w:r>
                          <w:r>
                            <w:t>–</w:t>
                          </w:r>
                          <w:r>
                            <w:rPr>
                              <w:spacing w:val="-6"/>
                            </w:rPr>
                            <w:t xml:space="preserve"> </w:t>
                          </w:r>
                          <w:r>
                            <w:t>Litigation,</w:t>
                          </w:r>
                          <w:r>
                            <w:rPr>
                              <w:spacing w:val="-6"/>
                            </w:rPr>
                            <w:t xml:space="preserve"> </w:t>
                          </w:r>
                          <w:r>
                            <w:t>Claims,</w:t>
                          </w:r>
                          <w:r>
                            <w:rPr>
                              <w:spacing w:val="-6"/>
                            </w:rPr>
                            <w:t xml:space="preserve"> </w:t>
                          </w:r>
                          <w:r>
                            <w:t>and</w:t>
                          </w:r>
                          <w:r>
                            <w:rPr>
                              <w:spacing w:val="-6"/>
                            </w:rPr>
                            <w:t xml:space="preserve"> </w:t>
                          </w:r>
                          <w:r>
                            <w:rPr>
                              <w:spacing w:val="-2"/>
                            </w:rPr>
                            <w:t>Assessments</w:t>
                          </w:r>
                        </w:p>
                      </w:txbxContent>
                    </wps:txbx>
                    <wps:bodyPr wrap="square" lIns="0" tIns="0" rIns="0" bIns="0" rtlCol="0">
                      <a:noAutofit/>
                    </wps:bodyPr>
                  </wps:wsp>
                </a:graphicData>
              </a:graphic>
            </wp:anchor>
          </w:drawing>
        </mc:Choice>
        <mc:Fallback>
          <w:pict>
            <v:shapetype w14:anchorId="0DFDDD0A" id="_x0000_t202" coordsize="21600,21600" o:spt="202" path="m,l,21600r21600,l21600,xe">
              <v:stroke joinstyle="miter"/>
              <v:path gradientshapeok="t" o:connecttype="rect"/>
            </v:shapetype>
            <v:shape id="Textbox 1100" o:spid="_x0000_s1392" type="#_x0000_t202" style="position:absolute;margin-left:71pt;margin-top:38.6pt;width:215.4pt;height:26.95pt;z-index:-26956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" filled="f" stroked="f">
              <v:textbox inset="0,0,0,0">
                <w:txbxContent>
                  <w:p w14:paraId="0DFDDF6B"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6C" w14:textId="77777777" w:rsidR="00046465" w:rsidRDefault="008134EB">
                    <w:pPr>
                      <w:pStyle w:val="BodyText"/>
                      <w:ind w:left="20"/>
                    </w:pPr>
                    <w:r>
                      <w:t>1002</w:t>
                    </w:r>
                    <w:r>
                      <w:rPr>
                        <w:spacing w:val="-6"/>
                      </w:rPr>
                      <w:t xml:space="preserve"> </w:t>
                    </w:r>
                    <w:r>
                      <w:t>–</w:t>
                    </w:r>
                    <w:r>
                      <w:rPr>
                        <w:spacing w:val="-6"/>
                      </w:rPr>
                      <w:t xml:space="preserve"> </w:t>
                    </w:r>
                    <w:r>
                      <w:t>Litigation,</w:t>
                    </w:r>
                    <w:r>
                      <w:rPr>
                        <w:spacing w:val="-6"/>
                      </w:rPr>
                      <w:t xml:space="preserve"> </w:t>
                    </w:r>
                    <w:r>
                      <w:t>Claims,</w:t>
                    </w:r>
                    <w:r>
                      <w:rPr>
                        <w:spacing w:val="-6"/>
                      </w:rPr>
                      <w:t xml:space="preserve"> </w:t>
                    </w:r>
                    <w:r>
                      <w:t>and</w:t>
                    </w:r>
                    <w:r>
                      <w:rPr>
                        <w:spacing w:val="-6"/>
                      </w:rPr>
                      <w:t xml:space="preserve"> </w:t>
                    </w:r>
                    <w:r>
                      <w:rPr>
                        <w:spacing w:val="-2"/>
                      </w:rPr>
                      <w:t>Assessments</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A"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62240" behindDoc="1" locked="0" layoutInCell="1" allowOverlap="1" wp14:anchorId="0DFDDD14" wp14:editId="0DFDDD15">
              <wp:simplePos x="0" y="0"/>
              <wp:positionH relativeFrom="page">
                <wp:posOffset>895350</wp:posOffset>
              </wp:positionH>
              <wp:positionV relativeFrom="page">
                <wp:posOffset>457962</wp:posOffset>
              </wp:positionV>
              <wp:extent cx="5981700" cy="28575"/>
              <wp:effectExtent l="0" t="0" r="0" b="0"/>
              <wp:wrapNone/>
              <wp:docPr id="1112" name="Graphic 1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D084B2" id="Graphic 1112" o:spid="_x0000_s1026" style="position:absolute;margin-left:70.5pt;margin-top:36.05pt;width:471pt;height:2.25pt;z-index:-2695424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62752" behindDoc="1" locked="0" layoutInCell="1" allowOverlap="1" wp14:anchorId="0DFDDD16" wp14:editId="0DFDDD17">
              <wp:simplePos x="0" y="0"/>
              <wp:positionH relativeFrom="page">
                <wp:posOffset>895350</wp:posOffset>
              </wp:positionH>
              <wp:positionV relativeFrom="page">
                <wp:posOffset>832103</wp:posOffset>
              </wp:positionV>
              <wp:extent cx="5981700" cy="28575"/>
              <wp:effectExtent l="0" t="0" r="0" b="0"/>
              <wp:wrapNone/>
              <wp:docPr id="1113" name="Graphic 1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2A92B2" id="Graphic 1113" o:spid="_x0000_s1026" style="position:absolute;margin-left:70.5pt;margin-top:65.5pt;width:471pt;height:2.25pt;z-index:-26953728;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63264" behindDoc="1" locked="0" layoutInCell="1" allowOverlap="1" wp14:anchorId="0DFDDD18" wp14:editId="0DFDDD19">
              <wp:simplePos x="0" y="0"/>
              <wp:positionH relativeFrom="page">
                <wp:posOffset>901700</wp:posOffset>
              </wp:positionH>
              <wp:positionV relativeFrom="page">
                <wp:posOffset>490475</wp:posOffset>
              </wp:positionV>
              <wp:extent cx="4761865" cy="342265"/>
              <wp:effectExtent l="0" t="0" r="0" b="0"/>
              <wp:wrapNone/>
              <wp:docPr id="1114" name="Text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61865" cy="342265"/>
                      </a:xfrm>
                      <a:prstGeom prst="rect">
                        <a:avLst/>
                      </a:prstGeom>
                    </wps:spPr>
                    <wps:txbx>
                      <w:txbxContent>
                        <w:p w14:paraId="0DFDDF70"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71" w14:textId="77777777" w:rsidR="00046465" w:rsidRDefault="008134EB">
                          <w:pPr>
                            <w:pStyle w:val="BodyText"/>
                            <w:ind w:left="20"/>
                          </w:pPr>
                          <w:r>
                            <w:t>1002</w:t>
                          </w:r>
                          <w:r>
                            <w:rPr>
                              <w:spacing w:val="-7"/>
                            </w:rPr>
                            <w:t xml:space="preserve"> </w:t>
                          </w:r>
                          <w:r>
                            <w:t>A</w:t>
                          </w:r>
                          <w:r>
                            <w:rPr>
                              <w:spacing w:val="-6"/>
                            </w:rPr>
                            <w:t xml:space="preserve"> </w:t>
                          </w:r>
                          <w:r>
                            <w:t>–</w:t>
                          </w:r>
                          <w:r>
                            <w:rPr>
                              <w:spacing w:val="-6"/>
                            </w:rPr>
                            <w:t xml:space="preserve"> </w:t>
                          </w:r>
                          <w:r>
                            <w:t>Example</w:t>
                          </w:r>
                          <w:r>
                            <w:rPr>
                              <w:spacing w:val="-6"/>
                            </w:rPr>
                            <w:t xml:space="preserve"> </w:t>
                          </w:r>
                          <w:r>
                            <w:t>Audit</w:t>
                          </w:r>
                          <w:r>
                            <w:rPr>
                              <w:spacing w:val="-7"/>
                            </w:rPr>
                            <w:t xml:space="preserve"> </w:t>
                          </w:r>
                          <w:r>
                            <w:t>Procedures</w:t>
                          </w:r>
                          <w:r>
                            <w:rPr>
                              <w:spacing w:val="-7"/>
                            </w:rPr>
                            <w:t xml:space="preserve"> </w:t>
                          </w:r>
                          <w:r>
                            <w:t>for</w:t>
                          </w:r>
                          <w:r>
                            <w:rPr>
                              <w:spacing w:val="-6"/>
                            </w:rPr>
                            <w:t xml:space="preserve"> </w:t>
                          </w:r>
                          <w:r>
                            <w:t>Litigation,</w:t>
                          </w:r>
                          <w:r>
                            <w:rPr>
                              <w:spacing w:val="-6"/>
                            </w:rPr>
                            <w:t xml:space="preserve"> </w:t>
                          </w:r>
                          <w:r>
                            <w:t>Claims,</w:t>
                          </w:r>
                          <w:r>
                            <w:rPr>
                              <w:spacing w:val="-7"/>
                            </w:rPr>
                            <w:t xml:space="preserve"> </w:t>
                          </w:r>
                          <w:r>
                            <w:t>and</w:t>
                          </w:r>
                          <w:r>
                            <w:rPr>
                              <w:spacing w:val="-6"/>
                            </w:rPr>
                            <w:t xml:space="preserve"> </w:t>
                          </w:r>
                          <w:r>
                            <w:rPr>
                              <w:spacing w:val="-2"/>
                            </w:rPr>
                            <w:t>Assessments</w:t>
                          </w:r>
                        </w:p>
                      </w:txbxContent>
                    </wps:txbx>
                    <wps:bodyPr wrap="square" lIns="0" tIns="0" rIns="0" bIns="0" rtlCol="0">
                      <a:noAutofit/>
                    </wps:bodyPr>
                  </wps:wsp>
                </a:graphicData>
              </a:graphic>
            </wp:anchor>
          </w:drawing>
        </mc:Choice>
        <mc:Fallback>
          <w:pict>
            <v:shapetype w14:anchorId="0DFDDD18" id="_x0000_t202" coordsize="21600,21600" o:spt="202" path="m,l,21600r21600,l21600,xe">
              <v:stroke joinstyle="miter"/>
              <v:path gradientshapeok="t" o:connecttype="rect"/>
            </v:shapetype>
            <v:shape id="Textbox 1114" o:spid="_x0000_s1396" type="#_x0000_t202" style="position:absolute;margin-left:71pt;margin-top:38.6pt;width:374.95pt;height:26.95pt;z-index:-2695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" filled="f" stroked="f">
              <v:textbox inset="0,0,0,0">
                <w:txbxContent>
                  <w:p w14:paraId="0DFDDF70"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71" w14:textId="77777777" w:rsidR="00046465" w:rsidRDefault="008134EB">
                    <w:pPr>
                      <w:pStyle w:val="BodyText"/>
                      <w:ind w:left="20"/>
                    </w:pPr>
                    <w:r>
                      <w:t>1002</w:t>
                    </w:r>
                    <w:r>
                      <w:rPr>
                        <w:spacing w:val="-7"/>
                      </w:rPr>
                      <w:t xml:space="preserve"> </w:t>
                    </w:r>
                    <w:r>
                      <w:t>A</w:t>
                    </w:r>
                    <w:r>
                      <w:rPr>
                        <w:spacing w:val="-6"/>
                      </w:rPr>
                      <w:t xml:space="preserve"> </w:t>
                    </w:r>
                    <w:r>
                      <w:t>–</w:t>
                    </w:r>
                    <w:r>
                      <w:rPr>
                        <w:spacing w:val="-6"/>
                      </w:rPr>
                      <w:t xml:space="preserve"> </w:t>
                    </w:r>
                    <w:r>
                      <w:t>Example</w:t>
                    </w:r>
                    <w:r>
                      <w:rPr>
                        <w:spacing w:val="-6"/>
                      </w:rPr>
                      <w:t xml:space="preserve"> </w:t>
                    </w:r>
                    <w:r>
                      <w:t>Audit</w:t>
                    </w:r>
                    <w:r>
                      <w:rPr>
                        <w:spacing w:val="-7"/>
                      </w:rPr>
                      <w:t xml:space="preserve"> </w:t>
                    </w:r>
                    <w:r>
                      <w:t>Procedures</w:t>
                    </w:r>
                    <w:r>
                      <w:rPr>
                        <w:spacing w:val="-7"/>
                      </w:rPr>
                      <w:t xml:space="preserve"> </w:t>
                    </w:r>
                    <w:r>
                      <w:t>for</w:t>
                    </w:r>
                    <w:r>
                      <w:rPr>
                        <w:spacing w:val="-6"/>
                      </w:rPr>
                      <w:t xml:space="preserve"> </w:t>
                    </w:r>
                    <w:r>
                      <w:t>Litigation,</w:t>
                    </w:r>
                    <w:r>
                      <w:rPr>
                        <w:spacing w:val="-6"/>
                      </w:rPr>
                      <w:t xml:space="preserve"> </w:t>
                    </w:r>
                    <w:r>
                      <w:t>Claims,</w:t>
                    </w:r>
                    <w:r>
                      <w:rPr>
                        <w:spacing w:val="-7"/>
                      </w:rPr>
                      <w:t xml:space="preserve"> </w:t>
                    </w:r>
                    <w:r>
                      <w:t>and</w:t>
                    </w:r>
                    <w:r>
                      <w:rPr>
                        <w:spacing w:val="-6"/>
                      </w:rPr>
                      <w:t xml:space="preserve"> </w:t>
                    </w:r>
                    <w:r>
                      <w:rPr>
                        <w:spacing w:val="-2"/>
                      </w:rPr>
                      <w:t>Assessments</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C"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65824" behindDoc="1" locked="0" layoutInCell="1" allowOverlap="1" wp14:anchorId="0DFDDD22" wp14:editId="0DFDDD23">
              <wp:simplePos x="0" y="0"/>
              <wp:positionH relativeFrom="page">
                <wp:posOffset>895350</wp:posOffset>
              </wp:positionH>
              <wp:positionV relativeFrom="page">
                <wp:posOffset>457962</wp:posOffset>
              </wp:positionV>
              <wp:extent cx="5981700" cy="28575"/>
              <wp:effectExtent l="0" t="0" r="0" b="0"/>
              <wp:wrapNone/>
              <wp:docPr id="1119" name="Graphic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D754E8" id="Graphic 1119" o:spid="_x0000_s1026" style="position:absolute;margin-left:70.5pt;margin-top:36.05pt;width:471pt;height:2.25pt;z-index:-26950656;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66336" behindDoc="1" locked="0" layoutInCell="1" allowOverlap="1" wp14:anchorId="0DFDDD24" wp14:editId="0DFDDD25">
              <wp:simplePos x="0" y="0"/>
              <wp:positionH relativeFrom="page">
                <wp:posOffset>895350</wp:posOffset>
              </wp:positionH>
              <wp:positionV relativeFrom="page">
                <wp:posOffset>832103</wp:posOffset>
              </wp:positionV>
              <wp:extent cx="5981700" cy="28575"/>
              <wp:effectExtent l="0" t="0" r="0" b="0"/>
              <wp:wrapNone/>
              <wp:docPr id="1120" name="Graphic 1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37387D" id="Graphic 1120" o:spid="_x0000_s1026" style="position:absolute;margin-left:70.5pt;margin-top:65.5pt;width:471pt;height:2.25pt;z-index:-26950144;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66848" behindDoc="1" locked="0" layoutInCell="1" allowOverlap="1" wp14:anchorId="0DFDDD26" wp14:editId="0DFDDD27">
              <wp:simplePos x="0" y="0"/>
              <wp:positionH relativeFrom="page">
                <wp:posOffset>901700</wp:posOffset>
              </wp:positionH>
              <wp:positionV relativeFrom="page">
                <wp:posOffset>490475</wp:posOffset>
              </wp:positionV>
              <wp:extent cx="2658745" cy="342265"/>
              <wp:effectExtent l="0" t="0" r="0" b="0"/>
              <wp:wrapNone/>
              <wp:docPr id="1121" name="Text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8745" cy="342265"/>
                      </a:xfrm>
                      <a:prstGeom prst="rect">
                        <a:avLst/>
                      </a:prstGeom>
                    </wps:spPr>
                    <wps:txbx>
                      <w:txbxContent>
                        <w:p w14:paraId="0DFDDF75"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76" w14:textId="77777777" w:rsidR="00046465" w:rsidRDefault="008134EB">
                          <w:pPr>
                            <w:pStyle w:val="BodyText"/>
                            <w:ind w:left="20"/>
                          </w:pPr>
                          <w:r>
                            <w:t>1002</w:t>
                          </w:r>
                          <w:r>
                            <w:rPr>
                              <w:spacing w:val="-6"/>
                            </w:rPr>
                            <w:t xml:space="preserve"> </w:t>
                          </w:r>
                          <w:r>
                            <w:t>B</w:t>
                          </w:r>
                          <w:r>
                            <w:rPr>
                              <w:spacing w:val="-5"/>
                            </w:rPr>
                            <w:t xml:space="preserve"> </w:t>
                          </w:r>
                          <w:r>
                            <w:t>–</w:t>
                          </w:r>
                          <w:r>
                            <w:rPr>
                              <w:spacing w:val="-6"/>
                            </w:rPr>
                            <w:t xml:space="preserve"> </w:t>
                          </w:r>
                          <w:r>
                            <w:t>Example</w:t>
                          </w:r>
                          <w:r>
                            <w:rPr>
                              <w:spacing w:val="-5"/>
                            </w:rPr>
                            <w:t xml:space="preserve"> </w:t>
                          </w:r>
                          <w:r>
                            <w:t>Legal</w:t>
                          </w:r>
                          <w:r>
                            <w:rPr>
                              <w:spacing w:val="-6"/>
                            </w:rPr>
                            <w:t xml:space="preserve"> </w:t>
                          </w:r>
                          <w:r>
                            <w:t>Counsel</w:t>
                          </w:r>
                          <w:r>
                            <w:rPr>
                              <w:spacing w:val="-5"/>
                            </w:rPr>
                            <w:t xml:space="preserve"> </w:t>
                          </w:r>
                          <w:r>
                            <w:rPr>
                              <w:spacing w:val="-2"/>
                            </w:rPr>
                            <w:t>Request</w:t>
                          </w:r>
                        </w:p>
                      </w:txbxContent>
                    </wps:txbx>
                    <wps:bodyPr wrap="square" lIns="0" tIns="0" rIns="0" bIns="0" rtlCol="0">
                      <a:noAutofit/>
                    </wps:bodyPr>
                  </wps:wsp>
                </a:graphicData>
              </a:graphic>
            </wp:anchor>
          </w:drawing>
        </mc:Choice>
        <mc:Fallback>
          <w:pict>
            <v:shapetype w14:anchorId="0DFDDD26" id="_x0000_t202" coordsize="21600,21600" o:spt="202" path="m,l,21600r21600,l21600,xe">
              <v:stroke joinstyle="miter"/>
              <v:path gradientshapeok="t" o:connecttype="rect"/>
            </v:shapetype>
            <v:shape id="Textbox 1121" o:spid="_x0000_s1400" type="#_x0000_t202" style="position:absolute;margin-left:71pt;margin-top:38.6pt;width:209.35pt;height:26.95pt;z-index:-269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" filled="f" stroked="f">
              <v:textbox inset="0,0,0,0">
                <w:txbxContent>
                  <w:p w14:paraId="0DFDDF75"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76" w14:textId="77777777" w:rsidR="00046465" w:rsidRDefault="008134EB">
                    <w:pPr>
                      <w:pStyle w:val="BodyText"/>
                      <w:ind w:left="20"/>
                    </w:pPr>
                    <w:r>
                      <w:t>1002</w:t>
                    </w:r>
                    <w:r>
                      <w:rPr>
                        <w:spacing w:val="-6"/>
                      </w:rPr>
                      <w:t xml:space="preserve"> </w:t>
                    </w:r>
                    <w:r>
                      <w:t>B</w:t>
                    </w:r>
                    <w:r>
                      <w:rPr>
                        <w:spacing w:val="-5"/>
                      </w:rPr>
                      <w:t xml:space="preserve"> </w:t>
                    </w:r>
                    <w:r>
                      <w:t>–</w:t>
                    </w:r>
                    <w:r>
                      <w:rPr>
                        <w:spacing w:val="-6"/>
                      </w:rPr>
                      <w:t xml:space="preserve"> </w:t>
                    </w:r>
                    <w:r>
                      <w:t>Example</w:t>
                    </w:r>
                    <w:r>
                      <w:rPr>
                        <w:spacing w:val="-5"/>
                      </w:rPr>
                      <w:t xml:space="preserve"> </w:t>
                    </w:r>
                    <w:r>
                      <w:t>Legal</w:t>
                    </w:r>
                    <w:r>
                      <w:rPr>
                        <w:spacing w:val="-6"/>
                      </w:rPr>
                      <w:t xml:space="preserve"> </w:t>
                    </w:r>
                    <w:r>
                      <w:t>Counsel</w:t>
                    </w:r>
                    <w:r>
                      <w:rPr>
                        <w:spacing w:val="-5"/>
                      </w:rPr>
                      <w:t xml:space="preserve"> </w:t>
                    </w:r>
                    <w:r>
                      <w:rPr>
                        <w:spacing w:val="-2"/>
                      </w:rPr>
                      <w:t>Request</w:t>
                    </w:r>
                  </w:p>
                </w:txbxContent>
              </v:textbox>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4E"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69408" behindDoc="1" locked="0" layoutInCell="1" allowOverlap="1" wp14:anchorId="0DFDDD30" wp14:editId="0DFDDD31">
              <wp:simplePos x="0" y="0"/>
              <wp:positionH relativeFrom="page">
                <wp:posOffset>895350</wp:posOffset>
              </wp:positionH>
              <wp:positionV relativeFrom="page">
                <wp:posOffset>457962</wp:posOffset>
              </wp:positionV>
              <wp:extent cx="5981700" cy="28575"/>
              <wp:effectExtent l="0" t="0" r="0" b="0"/>
              <wp:wrapNone/>
              <wp:docPr id="1128" name="Graphic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47A70A" id="Graphic 1128" o:spid="_x0000_s1026" style="position:absolute;margin-left:70.5pt;margin-top:36.05pt;width:471pt;height:2.25pt;z-index:-26947072;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69920" behindDoc="1" locked="0" layoutInCell="1" allowOverlap="1" wp14:anchorId="0DFDDD32" wp14:editId="0DFDDD33">
              <wp:simplePos x="0" y="0"/>
              <wp:positionH relativeFrom="page">
                <wp:posOffset>895350</wp:posOffset>
              </wp:positionH>
              <wp:positionV relativeFrom="page">
                <wp:posOffset>832103</wp:posOffset>
              </wp:positionV>
              <wp:extent cx="5981700" cy="28575"/>
              <wp:effectExtent l="0" t="0" r="0" b="0"/>
              <wp:wrapNone/>
              <wp:docPr id="1129" name="Graphic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700" cy="28575"/>
                      </a:xfrm>
                      <a:custGeom>
                        <a:avLst/>
                        <a:gdLst/>
                        <a:ahLst/>
                        <a:cxnLst/>
                        <a:rect l="l" t="t" r="r" b="b"/>
                        <a:pathLst>
                          <a:path w="5981700" h="28575">
                            <a:moveTo>
                              <a:pt x="5981700" y="0"/>
                            </a:moveTo>
                            <a:lnTo>
                              <a:pt x="0" y="0"/>
                            </a:lnTo>
                            <a:lnTo>
                              <a:pt x="0" y="28194"/>
                            </a:lnTo>
                            <a:lnTo>
                              <a:pt x="5981700" y="28194"/>
                            </a:lnTo>
                            <a:lnTo>
                              <a:pt x="5981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62BDDE" id="Graphic 1129" o:spid="_x0000_s1026" style="position:absolute;margin-left:70.5pt;margin-top:65.5pt;width:471pt;height:2.25pt;z-index:-26946560;visibility:visible;mso-wrap-style:square;mso-wrap-distance-left:0;mso-wrap-distance-top:0;mso-wrap-distance-right:0;mso-wrap-distance-bottom:0;mso-position-horizontal:absolute;mso-position-horizontal-relative:page;mso-position-vertical:absolute;mso-position-vertical-relative:page;v-text-anchor:top" coordsize="5981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" path="m5981700,l,,,28194r5981700,l5981700,xe" fillcolor="black" stroked="f">
              <v:path arrowok="t"/>
              <w10:wrap anchorx="page" anchory="page"/>
            </v:shape>
          </w:pict>
        </mc:Fallback>
      </mc:AlternateContent>
    </w:r>
    <w:r>
      <w:rPr>
        <w:noProof/>
        <w:sz w:val="20"/>
      </w:rPr>
      <mc:AlternateContent>
        <mc:Choice Requires="wps">
          <w:drawing>
            <wp:anchor distT="0" distB="0" distL="0" distR="0" simplePos="0" relativeHeight="476370432" behindDoc="1" locked="0" layoutInCell="1" allowOverlap="1" wp14:anchorId="0DFDDD34" wp14:editId="0DFDDD35">
              <wp:simplePos x="0" y="0"/>
              <wp:positionH relativeFrom="page">
                <wp:posOffset>901700</wp:posOffset>
              </wp:positionH>
              <wp:positionV relativeFrom="page">
                <wp:posOffset>490475</wp:posOffset>
              </wp:positionV>
              <wp:extent cx="2774950" cy="342265"/>
              <wp:effectExtent l="0" t="0" r="0" b="0"/>
              <wp:wrapNone/>
              <wp:docPr id="1130" name="Text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0" cy="342265"/>
                      </a:xfrm>
                      <a:prstGeom prst="rect">
                        <a:avLst/>
                      </a:prstGeom>
                    </wps:spPr>
                    <wps:txbx>
                      <w:txbxContent>
                        <w:p w14:paraId="0DFDDF7A"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7B" w14:textId="77777777" w:rsidR="00046465" w:rsidRDefault="008134EB">
                          <w:pPr>
                            <w:pStyle w:val="BodyText"/>
                            <w:ind w:left="20"/>
                          </w:pPr>
                          <w:r>
                            <w:t>1002</w:t>
                          </w:r>
                          <w:r>
                            <w:rPr>
                              <w:spacing w:val="-6"/>
                            </w:rPr>
                            <w:t xml:space="preserve"> </w:t>
                          </w:r>
                          <w:r>
                            <w:t>C</w:t>
                          </w:r>
                          <w:r>
                            <w:rPr>
                              <w:spacing w:val="-6"/>
                            </w:rPr>
                            <w:t xml:space="preserve"> </w:t>
                          </w:r>
                          <w:r>
                            <w:t>–</w:t>
                          </w:r>
                          <w:r>
                            <w:rPr>
                              <w:spacing w:val="-6"/>
                            </w:rPr>
                            <w:t xml:space="preserve"> </w:t>
                          </w:r>
                          <w:r>
                            <w:t>Example</w:t>
                          </w:r>
                          <w:r>
                            <w:rPr>
                              <w:spacing w:val="-5"/>
                            </w:rPr>
                            <w:t xml:space="preserve"> </w:t>
                          </w:r>
                          <w:r>
                            <w:t>Legal</w:t>
                          </w:r>
                          <w:r>
                            <w:rPr>
                              <w:spacing w:val="-6"/>
                            </w:rPr>
                            <w:t xml:space="preserve"> </w:t>
                          </w:r>
                          <w:r>
                            <w:t>Counsel</w:t>
                          </w:r>
                          <w:r>
                            <w:rPr>
                              <w:spacing w:val="-5"/>
                            </w:rPr>
                            <w:t xml:space="preserve"> </w:t>
                          </w:r>
                          <w:r>
                            <w:rPr>
                              <w:spacing w:val="-2"/>
                            </w:rPr>
                            <w:t>Response</w:t>
                          </w:r>
                        </w:p>
                      </w:txbxContent>
                    </wps:txbx>
                    <wps:bodyPr wrap="square" lIns="0" tIns="0" rIns="0" bIns="0" rtlCol="0">
                      <a:noAutofit/>
                    </wps:bodyPr>
                  </wps:wsp>
                </a:graphicData>
              </a:graphic>
            </wp:anchor>
          </w:drawing>
        </mc:Choice>
        <mc:Fallback>
          <w:pict>
            <v:shapetype w14:anchorId="0DFDDD34" id="_x0000_t202" coordsize="21600,21600" o:spt="202" path="m,l,21600r21600,l21600,xe">
              <v:stroke joinstyle="miter"/>
              <v:path gradientshapeok="t" o:connecttype="rect"/>
            </v:shapetype>
            <v:shape id="Textbox 1130" o:spid="_x0000_s1404" type="#_x0000_t202" style="position:absolute;margin-left:71pt;margin-top:38.6pt;width:218.5pt;height:26.95pt;z-index:-269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" filled="f" stroked="f">
              <v:textbox inset="0,0,0,0">
                <w:txbxContent>
                  <w:p w14:paraId="0DFDDF7A"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7B" w14:textId="77777777" w:rsidR="00046465" w:rsidRDefault="008134EB">
                    <w:pPr>
                      <w:pStyle w:val="BodyText"/>
                      <w:ind w:left="20"/>
                    </w:pPr>
                    <w:r>
                      <w:t>1002</w:t>
                    </w:r>
                    <w:r>
                      <w:rPr>
                        <w:spacing w:val="-6"/>
                      </w:rPr>
                      <w:t xml:space="preserve"> </w:t>
                    </w:r>
                    <w:r>
                      <w:t>C</w:t>
                    </w:r>
                    <w:r>
                      <w:rPr>
                        <w:spacing w:val="-6"/>
                      </w:rPr>
                      <w:t xml:space="preserve"> </w:t>
                    </w:r>
                    <w:r>
                      <w:t>–</w:t>
                    </w:r>
                    <w:r>
                      <w:rPr>
                        <w:spacing w:val="-6"/>
                      </w:rPr>
                      <w:t xml:space="preserve"> </w:t>
                    </w:r>
                    <w:r>
                      <w:t>Example</w:t>
                    </w:r>
                    <w:r>
                      <w:rPr>
                        <w:spacing w:val="-5"/>
                      </w:rPr>
                      <w:t xml:space="preserve"> </w:t>
                    </w:r>
                    <w:r>
                      <w:t>Legal</w:t>
                    </w:r>
                    <w:r>
                      <w:rPr>
                        <w:spacing w:val="-6"/>
                      </w:rPr>
                      <w:t xml:space="preserve"> </w:t>
                    </w:r>
                    <w:r>
                      <w:t>Counsel</w:t>
                    </w:r>
                    <w:r>
                      <w:rPr>
                        <w:spacing w:val="-5"/>
                      </w:rPr>
                      <w:t xml:space="preserve"> </w:t>
                    </w:r>
                    <w:r>
                      <w:rPr>
                        <w:spacing w:val="-2"/>
                      </w:rPr>
                      <w:t>Response</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50"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72992" behindDoc="1" locked="0" layoutInCell="1" allowOverlap="1" wp14:anchorId="0DFDDD3E" wp14:editId="0DFDDD3F">
              <wp:simplePos x="0" y="0"/>
              <wp:positionH relativeFrom="page">
                <wp:posOffset>666750</wp:posOffset>
              </wp:positionH>
              <wp:positionV relativeFrom="page">
                <wp:posOffset>457962</wp:posOffset>
              </wp:positionV>
              <wp:extent cx="13982700" cy="28575"/>
              <wp:effectExtent l="0" t="0" r="0" b="0"/>
              <wp:wrapNone/>
              <wp:docPr id="1137" name="Graphic 1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0" cy="28575"/>
                      </a:xfrm>
                      <a:custGeom>
                        <a:avLst/>
                        <a:gdLst/>
                        <a:ahLst/>
                        <a:cxnLst/>
                        <a:rect l="l" t="t" r="r" b="b"/>
                        <a:pathLst>
                          <a:path w="13982700" h="28575">
                            <a:moveTo>
                              <a:pt x="13982700" y="0"/>
                            </a:moveTo>
                            <a:lnTo>
                              <a:pt x="0" y="0"/>
                            </a:lnTo>
                            <a:lnTo>
                              <a:pt x="0" y="28194"/>
                            </a:lnTo>
                            <a:lnTo>
                              <a:pt x="13982700" y="28194"/>
                            </a:lnTo>
                            <a:lnTo>
                              <a:pt x="1398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B4029F" id="Graphic 1137" o:spid="_x0000_s1026" style="position:absolute;margin-left:52.5pt;margin-top:36.05pt;width:1101pt;height:2.25pt;z-index:-26943488;visibility:visible;mso-wrap-style:square;mso-wrap-distance-left:0;mso-wrap-distance-top:0;mso-wrap-distance-right:0;mso-wrap-distance-bottom:0;mso-position-horizontal:absolute;mso-position-horizontal-relative:page;mso-position-vertical:absolute;mso-position-vertical-relative:page;v-text-anchor:top" coordsize="13982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" path="m13982700,l,,,28194r13982700,l13982700,xe" fillcolor="black" stroked="f">
              <v:path arrowok="t"/>
              <w10:wrap anchorx="page" anchory="page"/>
            </v:shape>
          </w:pict>
        </mc:Fallback>
      </mc:AlternateContent>
    </w:r>
    <w:r>
      <w:rPr>
        <w:noProof/>
        <w:sz w:val="20"/>
      </w:rPr>
      <mc:AlternateContent>
        <mc:Choice Requires="wps">
          <w:drawing>
            <wp:anchor distT="0" distB="0" distL="0" distR="0" simplePos="0" relativeHeight="476373504" behindDoc="1" locked="0" layoutInCell="1" allowOverlap="1" wp14:anchorId="0DFDDD40" wp14:editId="0DFDDD41">
              <wp:simplePos x="0" y="0"/>
              <wp:positionH relativeFrom="page">
                <wp:posOffset>666750</wp:posOffset>
              </wp:positionH>
              <wp:positionV relativeFrom="page">
                <wp:posOffset>832103</wp:posOffset>
              </wp:positionV>
              <wp:extent cx="13982700" cy="28575"/>
              <wp:effectExtent l="0" t="0" r="0" b="0"/>
              <wp:wrapNone/>
              <wp:docPr id="1138" name="Graphic 1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0" cy="28575"/>
                      </a:xfrm>
                      <a:custGeom>
                        <a:avLst/>
                        <a:gdLst/>
                        <a:ahLst/>
                        <a:cxnLst/>
                        <a:rect l="l" t="t" r="r" b="b"/>
                        <a:pathLst>
                          <a:path w="13982700" h="28575">
                            <a:moveTo>
                              <a:pt x="13982700" y="0"/>
                            </a:moveTo>
                            <a:lnTo>
                              <a:pt x="0" y="0"/>
                            </a:lnTo>
                            <a:lnTo>
                              <a:pt x="0" y="28194"/>
                            </a:lnTo>
                            <a:lnTo>
                              <a:pt x="13982700" y="28194"/>
                            </a:lnTo>
                            <a:lnTo>
                              <a:pt x="1398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4B0178" id="Graphic 1138" o:spid="_x0000_s1026" style="position:absolute;margin-left:52.5pt;margin-top:65.5pt;width:1101pt;height:2.25pt;z-index:-26942976;visibility:visible;mso-wrap-style:square;mso-wrap-distance-left:0;mso-wrap-distance-top:0;mso-wrap-distance-right:0;mso-wrap-distance-bottom:0;mso-position-horizontal:absolute;mso-position-horizontal-relative:page;mso-position-vertical:absolute;mso-position-vertical-relative:page;v-text-anchor:top" coordsize="13982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" path="m13982700,l,,,28194r13982700,l13982700,xe" fillcolor="black" stroked="f">
              <v:path arrowok="t"/>
              <w10:wrap anchorx="page" anchory="page"/>
            </v:shape>
          </w:pict>
        </mc:Fallback>
      </mc:AlternateContent>
    </w:r>
    <w:r>
      <w:rPr>
        <w:noProof/>
        <w:sz w:val="20"/>
      </w:rPr>
      <mc:AlternateContent>
        <mc:Choice Requires="wps">
          <w:drawing>
            <wp:anchor distT="0" distB="0" distL="0" distR="0" simplePos="0" relativeHeight="476374016" behindDoc="1" locked="0" layoutInCell="1" allowOverlap="1" wp14:anchorId="0DFDDD42" wp14:editId="0DFDDD43">
              <wp:simplePos x="0" y="0"/>
              <wp:positionH relativeFrom="page">
                <wp:posOffset>673100</wp:posOffset>
              </wp:positionH>
              <wp:positionV relativeFrom="page">
                <wp:posOffset>490475</wp:posOffset>
              </wp:positionV>
              <wp:extent cx="2650490" cy="342265"/>
              <wp:effectExtent l="0" t="0" r="0" b="0"/>
              <wp:wrapNone/>
              <wp:docPr id="1139" name="Text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0490" cy="342265"/>
                      </a:xfrm>
                      <a:prstGeom prst="rect">
                        <a:avLst/>
                      </a:prstGeom>
                    </wps:spPr>
                    <wps:txbx>
                      <w:txbxContent>
                        <w:p w14:paraId="0DFDDF7F"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80" w14:textId="77777777" w:rsidR="00046465" w:rsidRDefault="008134EB">
                          <w:pPr>
                            <w:pStyle w:val="BodyText"/>
                            <w:ind w:left="20"/>
                          </w:pPr>
                          <w:r>
                            <w:t>1002</w:t>
                          </w:r>
                          <w:r>
                            <w:rPr>
                              <w:spacing w:val="-7"/>
                            </w:rPr>
                            <w:t xml:space="preserve"> </w:t>
                          </w:r>
                          <w:r>
                            <w:t>D</w:t>
                          </w:r>
                          <w:r>
                            <w:rPr>
                              <w:spacing w:val="-7"/>
                            </w:rPr>
                            <w:t xml:space="preserve"> </w:t>
                          </w:r>
                          <w:r>
                            <w:t>–</w:t>
                          </w:r>
                          <w:r>
                            <w:rPr>
                              <w:spacing w:val="-7"/>
                            </w:rPr>
                            <w:t xml:space="preserve"> </w:t>
                          </w:r>
                          <w:r>
                            <w:t>Example</w:t>
                          </w:r>
                          <w:r>
                            <w:rPr>
                              <w:spacing w:val="-6"/>
                            </w:rPr>
                            <w:t xml:space="preserve"> </w:t>
                          </w:r>
                          <w:r>
                            <w:t>Management</w:t>
                          </w:r>
                          <w:r>
                            <w:rPr>
                              <w:spacing w:val="-7"/>
                            </w:rPr>
                            <w:t xml:space="preserve"> </w:t>
                          </w:r>
                          <w:r>
                            <w:rPr>
                              <w:spacing w:val="-2"/>
                            </w:rPr>
                            <w:t>Schedule</w:t>
                          </w:r>
                        </w:p>
                      </w:txbxContent>
                    </wps:txbx>
                    <wps:bodyPr wrap="square" lIns="0" tIns="0" rIns="0" bIns="0" rtlCol="0">
                      <a:noAutofit/>
                    </wps:bodyPr>
                  </wps:wsp>
                </a:graphicData>
              </a:graphic>
            </wp:anchor>
          </w:drawing>
        </mc:Choice>
        <mc:Fallback>
          <w:pict>
            <v:shapetype w14:anchorId="0DFDDD42" id="_x0000_t202" coordsize="21600,21600" o:spt="202" path="m,l,21600r21600,l21600,xe">
              <v:stroke joinstyle="miter"/>
              <v:path gradientshapeok="t" o:connecttype="rect"/>
            </v:shapetype>
            <v:shape id="Textbox 1139" o:spid="_x0000_s1408" type="#_x0000_t202" style="position:absolute;margin-left:53pt;margin-top:38.6pt;width:208.7pt;height:26.95pt;z-index:-269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" filled="f" stroked="f">
              <v:textbox inset="0,0,0,0">
                <w:txbxContent>
                  <w:p w14:paraId="0DFDDF7F"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80" w14:textId="77777777" w:rsidR="00046465" w:rsidRDefault="008134EB">
                    <w:pPr>
                      <w:pStyle w:val="BodyText"/>
                      <w:ind w:left="20"/>
                    </w:pPr>
                    <w:r>
                      <w:t>1002</w:t>
                    </w:r>
                    <w:r>
                      <w:rPr>
                        <w:spacing w:val="-7"/>
                      </w:rPr>
                      <w:t xml:space="preserve"> </w:t>
                    </w:r>
                    <w:r>
                      <w:t>D</w:t>
                    </w:r>
                    <w:r>
                      <w:rPr>
                        <w:spacing w:val="-7"/>
                      </w:rPr>
                      <w:t xml:space="preserve"> </w:t>
                    </w:r>
                    <w:r>
                      <w:t>–</w:t>
                    </w:r>
                    <w:r>
                      <w:rPr>
                        <w:spacing w:val="-7"/>
                      </w:rPr>
                      <w:t xml:space="preserve"> </w:t>
                    </w:r>
                    <w:r>
                      <w:t>Example</w:t>
                    </w:r>
                    <w:r>
                      <w:rPr>
                        <w:spacing w:val="-6"/>
                      </w:rPr>
                      <w:t xml:space="preserve"> </w:t>
                    </w:r>
                    <w:r>
                      <w:t>Management</w:t>
                    </w:r>
                    <w:r>
                      <w:rPr>
                        <w:spacing w:val="-7"/>
                      </w:rPr>
                      <w:t xml:space="preserve"> </w:t>
                    </w:r>
                    <w:r>
                      <w:rPr>
                        <w:spacing w:val="-2"/>
                      </w:rPr>
                      <w:t>Schedule</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52" w14:textId="77777777" w:rsidR="00046465" w:rsidRDefault="00046465">
    <w:pPr>
      <w:pStyle w:val="BodyText"/>
      <w:spacing w:line="14" w:lineRule="auto"/>
      <w:rPr>
        <w:sz w:val="2"/>
      </w:rP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DD854" w14:textId="77777777" w:rsidR="00046465" w:rsidRDefault="008134EB">
    <w:pPr>
      <w:pStyle w:val="BodyText"/>
      <w:spacing w:line="14" w:lineRule="auto"/>
      <w:rPr>
        <w:sz w:val="20"/>
      </w:rPr>
    </w:pPr>
    <w:r>
      <w:rPr>
        <w:noProof/>
        <w:sz w:val="20"/>
      </w:rPr>
      <mc:AlternateContent>
        <mc:Choice Requires="wps">
          <w:drawing>
            <wp:anchor distT="0" distB="0" distL="0" distR="0" simplePos="0" relativeHeight="476376576" behindDoc="1" locked="0" layoutInCell="1" allowOverlap="1" wp14:anchorId="0DFDDD4C" wp14:editId="0DFDDD4D">
              <wp:simplePos x="0" y="0"/>
              <wp:positionH relativeFrom="page">
                <wp:posOffset>666750</wp:posOffset>
              </wp:positionH>
              <wp:positionV relativeFrom="page">
                <wp:posOffset>457962</wp:posOffset>
              </wp:positionV>
              <wp:extent cx="13982700" cy="28575"/>
              <wp:effectExtent l="0" t="0" r="0" b="0"/>
              <wp:wrapNone/>
              <wp:docPr id="1149" name="Graphic 1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0" cy="28575"/>
                      </a:xfrm>
                      <a:custGeom>
                        <a:avLst/>
                        <a:gdLst/>
                        <a:ahLst/>
                        <a:cxnLst/>
                        <a:rect l="l" t="t" r="r" b="b"/>
                        <a:pathLst>
                          <a:path w="13982700" h="28575">
                            <a:moveTo>
                              <a:pt x="13982700" y="0"/>
                            </a:moveTo>
                            <a:lnTo>
                              <a:pt x="0" y="0"/>
                            </a:lnTo>
                            <a:lnTo>
                              <a:pt x="0" y="28194"/>
                            </a:lnTo>
                            <a:lnTo>
                              <a:pt x="13982700" y="28194"/>
                            </a:lnTo>
                            <a:lnTo>
                              <a:pt x="1398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39B847" id="Graphic 1149" o:spid="_x0000_s1026" style="position:absolute;margin-left:52.5pt;margin-top:36.05pt;width:1101pt;height:2.25pt;z-index:-26939904;visibility:visible;mso-wrap-style:square;mso-wrap-distance-left:0;mso-wrap-distance-top:0;mso-wrap-distance-right:0;mso-wrap-distance-bottom:0;mso-position-horizontal:absolute;mso-position-horizontal-relative:page;mso-position-vertical:absolute;mso-position-vertical-relative:page;v-text-anchor:top" coordsize="13982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" path="m13982700,l,,,28194r13982700,l13982700,xe" fillcolor="black" stroked="f">
              <v:path arrowok="t"/>
              <w10:wrap anchorx="page" anchory="page"/>
            </v:shape>
          </w:pict>
        </mc:Fallback>
      </mc:AlternateContent>
    </w:r>
    <w:r>
      <w:rPr>
        <w:noProof/>
        <w:sz w:val="20"/>
      </w:rPr>
      <mc:AlternateContent>
        <mc:Choice Requires="wps">
          <w:drawing>
            <wp:anchor distT="0" distB="0" distL="0" distR="0" simplePos="0" relativeHeight="476377088" behindDoc="1" locked="0" layoutInCell="1" allowOverlap="1" wp14:anchorId="0DFDDD4E" wp14:editId="0DFDDD4F">
              <wp:simplePos x="0" y="0"/>
              <wp:positionH relativeFrom="page">
                <wp:posOffset>666750</wp:posOffset>
              </wp:positionH>
              <wp:positionV relativeFrom="page">
                <wp:posOffset>832103</wp:posOffset>
              </wp:positionV>
              <wp:extent cx="13982700" cy="28575"/>
              <wp:effectExtent l="0" t="0" r="0" b="0"/>
              <wp:wrapNone/>
              <wp:docPr id="1150" name="Graphic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82700" cy="28575"/>
                      </a:xfrm>
                      <a:custGeom>
                        <a:avLst/>
                        <a:gdLst/>
                        <a:ahLst/>
                        <a:cxnLst/>
                        <a:rect l="l" t="t" r="r" b="b"/>
                        <a:pathLst>
                          <a:path w="13982700" h="28575">
                            <a:moveTo>
                              <a:pt x="13982700" y="0"/>
                            </a:moveTo>
                            <a:lnTo>
                              <a:pt x="0" y="0"/>
                            </a:lnTo>
                            <a:lnTo>
                              <a:pt x="0" y="28194"/>
                            </a:lnTo>
                            <a:lnTo>
                              <a:pt x="13982700" y="28194"/>
                            </a:lnTo>
                            <a:lnTo>
                              <a:pt x="139827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F44E01" id="Graphic 1150" o:spid="_x0000_s1026" style="position:absolute;margin-left:52.5pt;margin-top:65.5pt;width:1101pt;height:2.25pt;z-index:-26939392;visibility:visible;mso-wrap-style:square;mso-wrap-distance-left:0;mso-wrap-distance-top:0;mso-wrap-distance-right:0;mso-wrap-distance-bottom:0;mso-position-horizontal:absolute;mso-position-horizontal-relative:page;mso-position-vertical:absolute;mso-position-vertical-relative:page;v-text-anchor:top" coordsize="1398270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" path="m13982700,l,,,28194r13982700,l13982700,xe" fillcolor="black" stroked="f">
              <v:path arrowok="t"/>
              <w10:wrap anchorx="page" anchory="page"/>
            </v:shape>
          </w:pict>
        </mc:Fallback>
      </mc:AlternateContent>
    </w:r>
    <w:r>
      <w:rPr>
        <w:noProof/>
        <w:sz w:val="20"/>
      </w:rPr>
      <mc:AlternateContent>
        <mc:Choice Requires="wps">
          <w:drawing>
            <wp:anchor distT="0" distB="0" distL="0" distR="0" simplePos="0" relativeHeight="476377600" behindDoc="1" locked="0" layoutInCell="1" allowOverlap="1" wp14:anchorId="0DFDDD50" wp14:editId="0DFDDD51">
              <wp:simplePos x="0" y="0"/>
              <wp:positionH relativeFrom="page">
                <wp:posOffset>673100</wp:posOffset>
              </wp:positionH>
              <wp:positionV relativeFrom="page">
                <wp:posOffset>490475</wp:posOffset>
              </wp:positionV>
              <wp:extent cx="2650490" cy="342265"/>
              <wp:effectExtent l="0" t="0" r="0" b="0"/>
              <wp:wrapNone/>
              <wp:docPr id="1151" name="Text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0490" cy="342265"/>
                      </a:xfrm>
                      <a:prstGeom prst="rect">
                        <a:avLst/>
                      </a:prstGeom>
                    </wps:spPr>
                    <wps:txbx>
                      <w:txbxContent>
                        <w:p w14:paraId="0DFDDF84"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85" w14:textId="77777777" w:rsidR="00046465" w:rsidRDefault="008134EB">
                          <w:pPr>
                            <w:pStyle w:val="BodyText"/>
                            <w:ind w:left="20"/>
                          </w:pPr>
                          <w:r>
                            <w:t>1002</w:t>
                          </w:r>
                          <w:r>
                            <w:rPr>
                              <w:spacing w:val="-7"/>
                            </w:rPr>
                            <w:t xml:space="preserve"> </w:t>
                          </w:r>
                          <w:r>
                            <w:t>D</w:t>
                          </w:r>
                          <w:r>
                            <w:rPr>
                              <w:spacing w:val="-7"/>
                            </w:rPr>
                            <w:t xml:space="preserve"> </w:t>
                          </w:r>
                          <w:r>
                            <w:t>–</w:t>
                          </w:r>
                          <w:r>
                            <w:rPr>
                              <w:spacing w:val="-7"/>
                            </w:rPr>
                            <w:t xml:space="preserve"> </w:t>
                          </w:r>
                          <w:r>
                            <w:t>Example</w:t>
                          </w:r>
                          <w:r>
                            <w:rPr>
                              <w:spacing w:val="-6"/>
                            </w:rPr>
                            <w:t xml:space="preserve"> </w:t>
                          </w:r>
                          <w:r>
                            <w:t>Management</w:t>
                          </w:r>
                          <w:r>
                            <w:rPr>
                              <w:spacing w:val="-7"/>
                            </w:rPr>
                            <w:t xml:space="preserve"> </w:t>
                          </w:r>
                          <w:r>
                            <w:rPr>
                              <w:spacing w:val="-2"/>
                            </w:rPr>
                            <w:t>Schedule</w:t>
                          </w:r>
                        </w:p>
                      </w:txbxContent>
                    </wps:txbx>
                    <wps:bodyPr wrap="square" lIns="0" tIns="0" rIns="0" bIns="0" rtlCol="0">
                      <a:noAutofit/>
                    </wps:bodyPr>
                  </wps:wsp>
                </a:graphicData>
              </a:graphic>
            </wp:anchor>
          </w:drawing>
        </mc:Choice>
        <mc:Fallback>
          <w:pict>
            <v:shapetype w14:anchorId="0DFDDD50" id="_x0000_t202" coordsize="21600,21600" o:spt="202" path="m,l,21600r21600,l21600,xe">
              <v:stroke joinstyle="miter"/>
              <v:path gradientshapeok="t" o:connecttype="rect"/>
            </v:shapetype>
            <v:shape id="Textbox 1151" o:spid="_x0000_s1412" type="#_x0000_t202" style="position:absolute;margin-left:53pt;margin-top:38.6pt;width:208.7pt;height:26.95pt;z-index:-269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" filled="f" stroked="f">
              <v:textbox inset="0,0,0,0">
                <w:txbxContent>
                  <w:p w14:paraId="0DFDDF84" w14:textId="77777777" w:rsidR="00046465" w:rsidRDefault="008134EB">
                    <w:pPr>
                      <w:pStyle w:val="BodyText"/>
                      <w:spacing w:before="12"/>
                      <w:ind w:left="20"/>
                    </w:pPr>
                    <w:r>
                      <w:t>Reporting</w:t>
                    </w:r>
                    <w:r>
                      <w:rPr>
                        <w:spacing w:val="-14"/>
                      </w:rPr>
                      <w:t xml:space="preserve"> </w:t>
                    </w:r>
                    <w:r>
                      <w:t>Implementation</w:t>
                    </w:r>
                    <w:r>
                      <w:rPr>
                        <w:spacing w:val="-13"/>
                      </w:rPr>
                      <w:t xml:space="preserve"> </w:t>
                    </w:r>
                    <w:r>
                      <w:rPr>
                        <w:spacing w:val="-2"/>
                      </w:rPr>
                      <w:t>Guidance</w:t>
                    </w:r>
                  </w:p>
                  <w:p w14:paraId="0DFDDF85" w14:textId="77777777" w:rsidR="00046465" w:rsidRDefault="008134EB">
                    <w:pPr>
                      <w:pStyle w:val="BodyText"/>
                      <w:ind w:left="20"/>
                    </w:pPr>
                    <w:r>
                      <w:t>1002</w:t>
                    </w:r>
                    <w:r>
                      <w:rPr>
                        <w:spacing w:val="-7"/>
                      </w:rPr>
                      <w:t xml:space="preserve"> </w:t>
                    </w:r>
                    <w:r>
                      <w:t>D</w:t>
                    </w:r>
                    <w:r>
                      <w:rPr>
                        <w:spacing w:val="-7"/>
                      </w:rPr>
                      <w:t xml:space="preserve"> </w:t>
                    </w:r>
                    <w:r>
                      <w:t>–</w:t>
                    </w:r>
                    <w:r>
                      <w:rPr>
                        <w:spacing w:val="-7"/>
                      </w:rPr>
                      <w:t xml:space="preserve"> </w:t>
                    </w:r>
                    <w:r>
                      <w:t>Example</w:t>
                    </w:r>
                    <w:r>
                      <w:rPr>
                        <w:spacing w:val="-6"/>
                      </w:rPr>
                      <w:t xml:space="preserve"> </w:t>
                    </w:r>
                    <w:r>
                      <w:t>Management</w:t>
                    </w:r>
                    <w:r>
                      <w:rPr>
                        <w:spacing w:val="-7"/>
                      </w:rPr>
                      <w:t xml:space="preserve"> </w:t>
                    </w:r>
                    <w:r>
                      <w:rPr>
                        <w:spacing w:val="-2"/>
                      </w:rPr>
                      <w:t>Schedule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51348"/>
    <w:multiLevelType w:val="hybridMultilevel"/>
    <w:tmpl w:val="A69EA20E"/>
    <w:lvl w:ilvl="0" w:tplc="5A62DD12">
      <w:start w:val="5"/>
      <w:numFmt w:val="lowerLetter"/>
      <w:lvlText w:val="%1."/>
      <w:lvlJc w:val="left"/>
      <w:pPr>
        <w:ind w:left="1304" w:hanging="390"/>
        <w:jc w:val="left"/>
      </w:pPr>
      <w:rPr>
        <w:rFonts w:ascii="Arial" w:eastAsia="Arial" w:hAnsi="Arial" w:cs="Arial" w:hint="default"/>
        <w:b w:val="0"/>
        <w:bCs w:val="0"/>
        <w:i w:val="0"/>
        <w:iCs w:val="0"/>
        <w:spacing w:val="0"/>
        <w:w w:val="99"/>
        <w:sz w:val="22"/>
        <w:szCs w:val="22"/>
        <w:lang w:val="en-US" w:eastAsia="en-US" w:bidi="ar-SA"/>
      </w:rPr>
    </w:lvl>
    <w:lvl w:ilvl="1" w:tplc="84DC8BC2">
      <w:numFmt w:val="bullet"/>
      <w:lvlText w:val=""/>
      <w:lvlJc w:val="left"/>
      <w:pPr>
        <w:ind w:left="1693" w:hanging="362"/>
      </w:pPr>
      <w:rPr>
        <w:rFonts w:ascii="Symbol" w:eastAsia="Symbol" w:hAnsi="Symbol" w:cs="Symbol" w:hint="default"/>
        <w:b w:val="0"/>
        <w:bCs w:val="0"/>
        <w:i w:val="0"/>
        <w:iCs w:val="0"/>
        <w:spacing w:val="0"/>
        <w:w w:val="99"/>
        <w:sz w:val="22"/>
        <w:szCs w:val="22"/>
        <w:lang w:val="en-US" w:eastAsia="en-US" w:bidi="ar-SA"/>
      </w:rPr>
    </w:lvl>
    <w:lvl w:ilvl="2" w:tplc="2BDCDF26">
      <w:numFmt w:val="bullet"/>
      <w:lvlText w:val="•"/>
      <w:lvlJc w:val="left"/>
      <w:pPr>
        <w:ind w:left="2327" w:hanging="362"/>
      </w:pPr>
      <w:rPr>
        <w:rFonts w:hint="default"/>
        <w:lang w:val="en-US" w:eastAsia="en-US" w:bidi="ar-SA"/>
      </w:rPr>
    </w:lvl>
    <w:lvl w:ilvl="3" w:tplc="5A76E712">
      <w:numFmt w:val="bullet"/>
      <w:lvlText w:val="•"/>
      <w:lvlJc w:val="left"/>
      <w:pPr>
        <w:ind w:left="2955" w:hanging="362"/>
      </w:pPr>
      <w:rPr>
        <w:rFonts w:hint="default"/>
        <w:lang w:val="en-US" w:eastAsia="en-US" w:bidi="ar-SA"/>
      </w:rPr>
    </w:lvl>
    <w:lvl w:ilvl="4" w:tplc="2F9AA32C">
      <w:numFmt w:val="bullet"/>
      <w:lvlText w:val="•"/>
      <w:lvlJc w:val="left"/>
      <w:pPr>
        <w:ind w:left="3583" w:hanging="362"/>
      </w:pPr>
      <w:rPr>
        <w:rFonts w:hint="default"/>
        <w:lang w:val="en-US" w:eastAsia="en-US" w:bidi="ar-SA"/>
      </w:rPr>
    </w:lvl>
    <w:lvl w:ilvl="5" w:tplc="4F805D04">
      <w:numFmt w:val="bullet"/>
      <w:lvlText w:val="•"/>
      <w:lvlJc w:val="left"/>
      <w:pPr>
        <w:ind w:left="4211" w:hanging="362"/>
      </w:pPr>
      <w:rPr>
        <w:rFonts w:hint="default"/>
        <w:lang w:val="en-US" w:eastAsia="en-US" w:bidi="ar-SA"/>
      </w:rPr>
    </w:lvl>
    <w:lvl w:ilvl="6" w:tplc="EAB4A820">
      <w:numFmt w:val="bullet"/>
      <w:lvlText w:val="•"/>
      <w:lvlJc w:val="left"/>
      <w:pPr>
        <w:ind w:left="4838" w:hanging="362"/>
      </w:pPr>
      <w:rPr>
        <w:rFonts w:hint="default"/>
        <w:lang w:val="en-US" w:eastAsia="en-US" w:bidi="ar-SA"/>
      </w:rPr>
    </w:lvl>
    <w:lvl w:ilvl="7" w:tplc="54C8E75E">
      <w:numFmt w:val="bullet"/>
      <w:lvlText w:val="•"/>
      <w:lvlJc w:val="left"/>
      <w:pPr>
        <w:ind w:left="5466" w:hanging="362"/>
      </w:pPr>
      <w:rPr>
        <w:rFonts w:hint="default"/>
        <w:lang w:val="en-US" w:eastAsia="en-US" w:bidi="ar-SA"/>
      </w:rPr>
    </w:lvl>
    <w:lvl w:ilvl="8" w:tplc="9A6456B0">
      <w:numFmt w:val="bullet"/>
      <w:lvlText w:val="•"/>
      <w:lvlJc w:val="left"/>
      <w:pPr>
        <w:ind w:left="6094" w:hanging="362"/>
      </w:pPr>
      <w:rPr>
        <w:rFonts w:hint="default"/>
        <w:lang w:val="en-US" w:eastAsia="en-US" w:bidi="ar-SA"/>
      </w:rPr>
    </w:lvl>
  </w:abstractNum>
  <w:abstractNum w:abstractNumId="1" w15:restartNumberingAfterBreak="0">
    <w:nsid w:val="0246709C"/>
    <w:multiLevelType w:val="hybridMultilevel"/>
    <w:tmpl w:val="E51E6856"/>
    <w:lvl w:ilvl="0" w:tplc="0D34C166">
      <w:start w:val="1"/>
      <w:numFmt w:val="decimalZero"/>
      <w:lvlText w:val=".%1"/>
      <w:lvlJc w:val="left"/>
      <w:pPr>
        <w:ind w:left="2520" w:hanging="721"/>
        <w:jc w:val="left"/>
      </w:pPr>
      <w:rPr>
        <w:rFonts w:ascii="Arial" w:eastAsia="Arial" w:hAnsi="Arial" w:cs="Arial" w:hint="default"/>
        <w:b w:val="0"/>
        <w:bCs w:val="0"/>
        <w:i w:val="0"/>
        <w:iCs w:val="0"/>
        <w:spacing w:val="0"/>
        <w:w w:val="99"/>
        <w:sz w:val="22"/>
        <w:szCs w:val="22"/>
        <w:lang w:val="en-US" w:eastAsia="en-US" w:bidi="ar-SA"/>
      </w:rPr>
    </w:lvl>
    <w:lvl w:ilvl="1" w:tplc="0C0C6FE4">
      <w:numFmt w:val="bullet"/>
      <w:lvlText w:val=""/>
      <w:lvlJc w:val="left"/>
      <w:pPr>
        <w:ind w:left="2880" w:hanging="360"/>
      </w:pPr>
      <w:rPr>
        <w:rFonts w:ascii="Symbol" w:eastAsia="Symbol" w:hAnsi="Symbol" w:cs="Symbol" w:hint="default"/>
        <w:b w:val="0"/>
        <w:bCs w:val="0"/>
        <w:i w:val="0"/>
        <w:iCs w:val="0"/>
        <w:spacing w:val="0"/>
        <w:w w:val="99"/>
        <w:sz w:val="22"/>
        <w:szCs w:val="22"/>
        <w:lang w:val="en-US" w:eastAsia="en-US" w:bidi="ar-SA"/>
      </w:rPr>
    </w:lvl>
    <w:lvl w:ilvl="2" w:tplc="01DCA134">
      <w:numFmt w:val="bullet"/>
      <w:lvlText w:val="•"/>
      <w:lvlJc w:val="left"/>
      <w:pPr>
        <w:ind w:left="3800" w:hanging="360"/>
      </w:pPr>
      <w:rPr>
        <w:rFonts w:hint="default"/>
        <w:lang w:val="en-US" w:eastAsia="en-US" w:bidi="ar-SA"/>
      </w:rPr>
    </w:lvl>
    <w:lvl w:ilvl="3" w:tplc="F5B4B274">
      <w:numFmt w:val="bullet"/>
      <w:lvlText w:val="•"/>
      <w:lvlJc w:val="left"/>
      <w:pPr>
        <w:ind w:left="4720" w:hanging="360"/>
      </w:pPr>
      <w:rPr>
        <w:rFonts w:hint="default"/>
        <w:lang w:val="en-US" w:eastAsia="en-US" w:bidi="ar-SA"/>
      </w:rPr>
    </w:lvl>
    <w:lvl w:ilvl="4" w:tplc="A692AC08">
      <w:numFmt w:val="bullet"/>
      <w:lvlText w:val="•"/>
      <w:lvlJc w:val="left"/>
      <w:pPr>
        <w:ind w:left="5640" w:hanging="360"/>
      </w:pPr>
      <w:rPr>
        <w:rFonts w:hint="default"/>
        <w:lang w:val="en-US" w:eastAsia="en-US" w:bidi="ar-SA"/>
      </w:rPr>
    </w:lvl>
    <w:lvl w:ilvl="5" w:tplc="2154D8E8">
      <w:numFmt w:val="bullet"/>
      <w:lvlText w:val="•"/>
      <w:lvlJc w:val="left"/>
      <w:pPr>
        <w:ind w:left="6560" w:hanging="360"/>
      </w:pPr>
      <w:rPr>
        <w:rFonts w:hint="default"/>
        <w:lang w:val="en-US" w:eastAsia="en-US" w:bidi="ar-SA"/>
      </w:rPr>
    </w:lvl>
    <w:lvl w:ilvl="6" w:tplc="EDD0E900">
      <w:numFmt w:val="bullet"/>
      <w:lvlText w:val="•"/>
      <w:lvlJc w:val="left"/>
      <w:pPr>
        <w:ind w:left="7480" w:hanging="360"/>
      </w:pPr>
      <w:rPr>
        <w:rFonts w:hint="default"/>
        <w:lang w:val="en-US" w:eastAsia="en-US" w:bidi="ar-SA"/>
      </w:rPr>
    </w:lvl>
    <w:lvl w:ilvl="7" w:tplc="583A0AA2">
      <w:numFmt w:val="bullet"/>
      <w:lvlText w:val="•"/>
      <w:lvlJc w:val="left"/>
      <w:pPr>
        <w:ind w:left="8400" w:hanging="360"/>
      </w:pPr>
      <w:rPr>
        <w:rFonts w:hint="default"/>
        <w:lang w:val="en-US" w:eastAsia="en-US" w:bidi="ar-SA"/>
      </w:rPr>
    </w:lvl>
    <w:lvl w:ilvl="8" w:tplc="4C8E5CD0">
      <w:numFmt w:val="bullet"/>
      <w:lvlText w:val="•"/>
      <w:lvlJc w:val="left"/>
      <w:pPr>
        <w:ind w:left="9320" w:hanging="360"/>
      </w:pPr>
      <w:rPr>
        <w:rFonts w:hint="default"/>
        <w:lang w:val="en-US" w:eastAsia="en-US" w:bidi="ar-SA"/>
      </w:rPr>
    </w:lvl>
  </w:abstractNum>
  <w:abstractNum w:abstractNumId="2" w15:restartNumberingAfterBreak="0">
    <w:nsid w:val="02633F9A"/>
    <w:multiLevelType w:val="hybridMultilevel"/>
    <w:tmpl w:val="90EC1704"/>
    <w:lvl w:ilvl="0" w:tplc="340CFBDC">
      <w:numFmt w:val="bullet"/>
      <w:lvlText w:val=""/>
      <w:lvlJc w:val="left"/>
      <w:pPr>
        <w:ind w:left="964" w:hanging="370"/>
      </w:pPr>
      <w:rPr>
        <w:rFonts w:ascii="Symbol" w:eastAsia="Symbol" w:hAnsi="Symbol" w:cs="Symbol" w:hint="default"/>
        <w:b w:val="0"/>
        <w:bCs w:val="0"/>
        <w:i w:val="0"/>
        <w:iCs w:val="0"/>
        <w:spacing w:val="0"/>
        <w:w w:val="99"/>
        <w:sz w:val="22"/>
        <w:szCs w:val="22"/>
        <w:lang w:val="en-US" w:eastAsia="en-US" w:bidi="ar-SA"/>
      </w:rPr>
    </w:lvl>
    <w:lvl w:ilvl="1" w:tplc="AD5AD31C">
      <w:numFmt w:val="bullet"/>
      <w:lvlText w:val="•"/>
      <w:lvlJc w:val="left"/>
      <w:pPr>
        <w:ind w:left="1556" w:hanging="370"/>
      </w:pPr>
      <w:rPr>
        <w:rFonts w:hint="default"/>
        <w:lang w:val="en-US" w:eastAsia="en-US" w:bidi="ar-SA"/>
      </w:rPr>
    </w:lvl>
    <w:lvl w:ilvl="2" w:tplc="61BE423A">
      <w:numFmt w:val="bullet"/>
      <w:lvlText w:val="•"/>
      <w:lvlJc w:val="left"/>
      <w:pPr>
        <w:ind w:left="2152" w:hanging="370"/>
      </w:pPr>
      <w:rPr>
        <w:rFonts w:hint="default"/>
        <w:lang w:val="en-US" w:eastAsia="en-US" w:bidi="ar-SA"/>
      </w:rPr>
    </w:lvl>
    <w:lvl w:ilvl="3" w:tplc="299E0502">
      <w:numFmt w:val="bullet"/>
      <w:lvlText w:val="•"/>
      <w:lvlJc w:val="left"/>
      <w:pPr>
        <w:ind w:left="2748" w:hanging="370"/>
      </w:pPr>
      <w:rPr>
        <w:rFonts w:hint="default"/>
        <w:lang w:val="en-US" w:eastAsia="en-US" w:bidi="ar-SA"/>
      </w:rPr>
    </w:lvl>
    <w:lvl w:ilvl="4" w:tplc="8B387BDE">
      <w:numFmt w:val="bullet"/>
      <w:lvlText w:val="•"/>
      <w:lvlJc w:val="left"/>
      <w:pPr>
        <w:ind w:left="3345" w:hanging="370"/>
      </w:pPr>
      <w:rPr>
        <w:rFonts w:hint="default"/>
        <w:lang w:val="en-US" w:eastAsia="en-US" w:bidi="ar-SA"/>
      </w:rPr>
    </w:lvl>
    <w:lvl w:ilvl="5" w:tplc="9A486BA2">
      <w:numFmt w:val="bullet"/>
      <w:lvlText w:val="•"/>
      <w:lvlJc w:val="left"/>
      <w:pPr>
        <w:ind w:left="3941" w:hanging="370"/>
      </w:pPr>
      <w:rPr>
        <w:rFonts w:hint="default"/>
        <w:lang w:val="en-US" w:eastAsia="en-US" w:bidi="ar-SA"/>
      </w:rPr>
    </w:lvl>
    <w:lvl w:ilvl="6" w:tplc="C708284A">
      <w:numFmt w:val="bullet"/>
      <w:lvlText w:val="•"/>
      <w:lvlJc w:val="left"/>
      <w:pPr>
        <w:ind w:left="4537" w:hanging="370"/>
      </w:pPr>
      <w:rPr>
        <w:rFonts w:hint="default"/>
        <w:lang w:val="en-US" w:eastAsia="en-US" w:bidi="ar-SA"/>
      </w:rPr>
    </w:lvl>
    <w:lvl w:ilvl="7" w:tplc="221A8BB2">
      <w:numFmt w:val="bullet"/>
      <w:lvlText w:val="•"/>
      <w:lvlJc w:val="left"/>
      <w:pPr>
        <w:ind w:left="5134" w:hanging="370"/>
      </w:pPr>
      <w:rPr>
        <w:rFonts w:hint="default"/>
        <w:lang w:val="en-US" w:eastAsia="en-US" w:bidi="ar-SA"/>
      </w:rPr>
    </w:lvl>
    <w:lvl w:ilvl="8" w:tplc="B372C208">
      <w:numFmt w:val="bullet"/>
      <w:lvlText w:val="•"/>
      <w:lvlJc w:val="left"/>
      <w:pPr>
        <w:ind w:left="5730" w:hanging="370"/>
      </w:pPr>
      <w:rPr>
        <w:rFonts w:hint="default"/>
        <w:lang w:val="en-US" w:eastAsia="en-US" w:bidi="ar-SA"/>
      </w:rPr>
    </w:lvl>
  </w:abstractNum>
  <w:abstractNum w:abstractNumId="3" w15:restartNumberingAfterBreak="0">
    <w:nsid w:val="030E4C60"/>
    <w:multiLevelType w:val="hybridMultilevel"/>
    <w:tmpl w:val="8E4A0E2A"/>
    <w:lvl w:ilvl="0" w:tplc="D94CBF84">
      <w:start w:val="15"/>
      <w:numFmt w:val="decimal"/>
      <w:lvlText w:val="%1."/>
      <w:lvlJc w:val="left"/>
      <w:pPr>
        <w:ind w:left="546" w:hanging="422"/>
        <w:jc w:val="left"/>
      </w:pPr>
      <w:rPr>
        <w:rFonts w:ascii="Arial" w:eastAsia="Arial" w:hAnsi="Arial" w:cs="Arial" w:hint="default"/>
        <w:b w:val="0"/>
        <w:bCs w:val="0"/>
        <w:i w:val="0"/>
        <w:iCs w:val="0"/>
        <w:spacing w:val="0"/>
        <w:w w:val="99"/>
        <w:sz w:val="22"/>
        <w:szCs w:val="22"/>
        <w:lang w:val="en-US" w:eastAsia="en-US" w:bidi="ar-SA"/>
      </w:rPr>
    </w:lvl>
    <w:lvl w:ilvl="1" w:tplc="D5A0F2BE">
      <w:numFmt w:val="bullet"/>
      <w:lvlText w:val=""/>
      <w:lvlJc w:val="left"/>
      <w:pPr>
        <w:ind w:left="862" w:hanging="360"/>
      </w:pPr>
      <w:rPr>
        <w:rFonts w:ascii="Symbol" w:eastAsia="Symbol" w:hAnsi="Symbol" w:cs="Symbol" w:hint="default"/>
        <w:b w:val="0"/>
        <w:bCs w:val="0"/>
        <w:i w:val="0"/>
        <w:iCs w:val="0"/>
        <w:spacing w:val="0"/>
        <w:w w:val="99"/>
        <w:sz w:val="22"/>
        <w:szCs w:val="22"/>
        <w:lang w:val="en-US" w:eastAsia="en-US" w:bidi="ar-SA"/>
      </w:rPr>
    </w:lvl>
    <w:lvl w:ilvl="2" w:tplc="13561C5A">
      <w:numFmt w:val="bullet"/>
      <w:lvlText w:val="•"/>
      <w:lvlJc w:val="left"/>
      <w:pPr>
        <w:ind w:left="1528" w:hanging="360"/>
      </w:pPr>
      <w:rPr>
        <w:rFonts w:hint="default"/>
        <w:lang w:val="en-US" w:eastAsia="en-US" w:bidi="ar-SA"/>
      </w:rPr>
    </w:lvl>
    <w:lvl w:ilvl="3" w:tplc="17708B4E">
      <w:numFmt w:val="bullet"/>
      <w:lvlText w:val="•"/>
      <w:lvlJc w:val="left"/>
      <w:pPr>
        <w:ind w:left="2196" w:hanging="360"/>
      </w:pPr>
      <w:rPr>
        <w:rFonts w:hint="default"/>
        <w:lang w:val="en-US" w:eastAsia="en-US" w:bidi="ar-SA"/>
      </w:rPr>
    </w:lvl>
    <w:lvl w:ilvl="4" w:tplc="97E81810">
      <w:numFmt w:val="bullet"/>
      <w:lvlText w:val="•"/>
      <w:lvlJc w:val="left"/>
      <w:pPr>
        <w:ind w:left="2864" w:hanging="360"/>
      </w:pPr>
      <w:rPr>
        <w:rFonts w:hint="default"/>
        <w:lang w:val="en-US" w:eastAsia="en-US" w:bidi="ar-SA"/>
      </w:rPr>
    </w:lvl>
    <w:lvl w:ilvl="5" w:tplc="7EBA177C">
      <w:numFmt w:val="bullet"/>
      <w:lvlText w:val="•"/>
      <w:lvlJc w:val="left"/>
      <w:pPr>
        <w:ind w:left="3532" w:hanging="360"/>
      </w:pPr>
      <w:rPr>
        <w:rFonts w:hint="default"/>
        <w:lang w:val="en-US" w:eastAsia="en-US" w:bidi="ar-SA"/>
      </w:rPr>
    </w:lvl>
    <w:lvl w:ilvl="6" w:tplc="6E1A601A">
      <w:numFmt w:val="bullet"/>
      <w:lvlText w:val="•"/>
      <w:lvlJc w:val="left"/>
      <w:pPr>
        <w:ind w:left="4200" w:hanging="360"/>
      </w:pPr>
      <w:rPr>
        <w:rFonts w:hint="default"/>
        <w:lang w:val="en-US" w:eastAsia="en-US" w:bidi="ar-SA"/>
      </w:rPr>
    </w:lvl>
    <w:lvl w:ilvl="7" w:tplc="5F92BEF2">
      <w:numFmt w:val="bullet"/>
      <w:lvlText w:val="•"/>
      <w:lvlJc w:val="left"/>
      <w:pPr>
        <w:ind w:left="4868" w:hanging="360"/>
      </w:pPr>
      <w:rPr>
        <w:rFonts w:hint="default"/>
        <w:lang w:val="en-US" w:eastAsia="en-US" w:bidi="ar-SA"/>
      </w:rPr>
    </w:lvl>
    <w:lvl w:ilvl="8" w:tplc="F274FEDC">
      <w:numFmt w:val="bullet"/>
      <w:lvlText w:val="•"/>
      <w:lvlJc w:val="left"/>
      <w:pPr>
        <w:ind w:left="5536" w:hanging="360"/>
      </w:pPr>
      <w:rPr>
        <w:rFonts w:hint="default"/>
        <w:lang w:val="en-US" w:eastAsia="en-US" w:bidi="ar-SA"/>
      </w:rPr>
    </w:lvl>
  </w:abstractNum>
  <w:abstractNum w:abstractNumId="4" w15:restartNumberingAfterBreak="0">
    <w:nsid w:val="03784594"/>
    <w:multiLevelType w:val="hybridMultilevel"/>
    <w:tmpl w:val="EC448F64"/>
    <w:lvl w:ilvl="0" w:tplc="898C2FA6">
      <w:start w:val="3"/>
      <w:numFmt w:val="decimal"/>
      <w:lvlText w:val="%1."/>
      <w:lvlJc w:val="left"/>
      <w:pPr>
        <w:ind w:left="485" w:hanging="360"/>
        <w:jc w:val="left"/>
      </w:pPr>
      <w:rPr>
        <w:rFonts w:ascii="Arial" w:eastAsia="Arial" w:hAnsi="Arial" w:cs="Arial" w:hint="default"/>
        <w:b w:val="0"/>
        <w:bCs w:val="0"/>
        <w:i w:val="0"/>
        <w:iCs w:val="0"/>
        <w:spacing w:val="0"/>
        <w:w w:val="99"/>
        <w:sz w:val="22"/>
        <w:szCs w:val="22"/>
        <w:lang w:val="en-US" w:eastAsia="en-US" w:bidi="ar-SA"/>
      </w:rPr>
    </w:lvl>
    <w:lvl w:ilvl="1" w:tplc="8452BC40">
      <w:numFmt w:val="bullet"/>
      <w:lvlText w:val=""/>
      <w:lvlJc w:val="left"/>
      <w:pPr>
        <w:ind w:left="859" w:hanging="360"/>
      </w:pPr>
      <w:rPr>
        <w:rFonts w:ascii="Symbol" w:eastAsia="Symbol" w:hAnsi="Symbol" w:cs="Symbol" w:hint="default"/>
        <w:b w:val="0"/>
        <w:bCs w:val="0"/>
        <w:i w:val="0"/>
        <w:iCs w:val="0"/>
        <w:spacing w:val="0"/>
        <w:w w:val="99"/>
        <w:sz w:val="22"/>
        <w:szCs w:val="22"/>
        <w:lang w:val="en-US" w:eastAsia="en-US" w:bidi="ar-SA"/>
      </w:rPr>
    </w:lvl>
    <w:lvl w:ilvl="2" w:tplc="58D68434">
      <w:numFmt w:val="bullet"/>
      <w:lvlText w:val="•"/>
      <w:lvlJc w:val="left"/>
      <w:pPr>
        <w:ind w:left="1528" w:hanging="360"/>
      </w:pPr>
      <w:rPr>
        <w:rFonts w:hint="default"/>
        <w:lang w:val="en-US" w:eastAsia="en-US" w:bidi="ar-SA"/>
      </w:rPr>
    </w:lvl>
    <w:lvl w:ilvl="3" w:tplc="25DE1FDE">
      <w:numFmt w:val="bullet"/>
      <w:lvlText w:val="•"/>
      <w:lvlJc w:val="left"/>
      <w:pPr>
        <w:ind w:left="2196" w:hanging="360"/>
      </w:pPr>
      <w:rPr>
        <w:rFonts w:hint="default"/>
        <w:lang w:val="en-US" w:eastAsia="en-US" w:bidi="ar-SA"/>
      </w:rPr>
    </w:lvl>
    <w:lvl w:ilvl="4" w:tplc="D9A64AF4">
      <w:numFmt w:val="bullet"/>
      <w:lvlText w:val="•"/>
      <w:lvlJc w:val="left"/>
      <w:pPr>
        <w:ind w:left="2864" w:hanging="360"/>
      </w:pPr>
      <w:rPr>
        <w:rFonts w:hint="default"/>
        <w:lang w:val="en-US" w:eastAsia="en-US" w:bidi="ar-SA"/>
      </w:rPr>
    </w:lvl>
    <w:lvl w:ilvl="5" w:tplc="CA0CB646">
      <w:numFmt w:val="bullet"/>
      <w:lvlText w:val="•"/>
      <w:lvlJc w:val="left"/>
      <w:pPr>
        <w:ind w:left="3532" w:hanging="360"/>
      </w:pPr>
      <w:rPr>
        <w:rFonts w:hint="default"/>
        <w:lang w:val="en-US" w:eastAsia="en-US" w:bidi="ar-SA"/>
      </w:rPr>
    </w:lvl>
    <w:lvl w:ilvl="6" w:tplc="13142722">
      <w:numFmt w:val="bullet"/>
      <w:lvlText w:val="•"/>
      <w:lvlJc w:val="left"/>
      <w:pPr>
        <w:ind w:left="4200" w:hanging="360"/>
      </w:pPr>
      <w:rPr>
        <w:rFonts w:hint="default"/>
        <w:lang w:val="en-US" w:eastAsia="en-US" w:bidi="ar-SA"/>
      </w:rPr>
    </w:lvl>
    <w:lvl w:ilvl="7" w:tplc="C7B26B9C">
      <w:numFmt w:val="bullet"/>
      <w:lvlText w:val="•"/>
      <w:lvlJc w:val="left"/>
      <w:pPr>
        <w:ind w:left="4868" w:hanging="360"/>
      </w:pPr>
      <w:rPr>
        <w:rFonts w:hint="default"/>
        <w:lang w:val="en-US" w:eastAsia="en-US" w:bidi="ar-SA"/>
      </w:rPr>
    </w:lvl>
    <w:lvl w:ilvl="8" w:tplc="B92A15B6">
      <w:numFmt w:val="bullet"/>
      <w:lvlText w:val="•"/>
      <w:lvlJc w:val="left"/>
      <w:pPr>
        <w:ind w:left="5536" w:hanging="360"/>
      </w:pPr>
      <w:rPr>
        <w:rFonts w:hint="default"/>
        <w:lang w:val="en-US" w:eastAsia="en-US" w:bidi="ar-SA"/>
      </w:rPr>
    </w:lvl>
  </w:abstractNum>
  <w:abstractNum w:abstractNumId="5" w15:restartNumberingAfterBreak="0">
    <w:nsid w:val="040F69D9"/>
    <w:multiLevelType w:val="hybridMultilevel"/>
    <w:tmpl w:val="E592D040"/>
    <w:lvl w:ilvl="0" w:tplc="D168329C">
      <w:start w:val="1"/>
      <w:numFmt w:val="decimalZero"/>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D132F85C">
      <w:start w:val="1"/>
      <w:numFmt w:val="lowerLetter"/>
      <w:lvlText w:val="%2."/>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2" w:tplc="7FF695CC">
      <w:numFmt w:val="bullet"/>
      <w:lvlText w:val=""/>
      <w:lvlJc w:val="left"/>
      <w:pPr>
        <w:ind w:left="2519" w:hanging="360"/>
      </w:pPr>
      <w:rPr>
        <w:rFonts w:ascii="Symbol" w:eastAsia="Symbol" w:hAnsi="Symbol" w:cs="Symbol" w:hint="default"/>
        <w:b w:val="0"/>
        <w:bCs w:val="0"/>
        <w:i w:val="0"/>
        <w:iCs w:val="0"/>
        <w:spacing w:val="0"/>
        <w:w w:val="99"/>
        <w:sz w:val="22"/>
        <w:szCs w:val="22"/>
        <w:lang w:val="en-US" w:eastAsia="en-US" w:bidi="ar-SA"/>
      </w:rPr>
    </w:lvl>
    <w:lvl w:ilvl="3" w:tplc="2B70C64E">
      <w:numFmt w:val="bullet"/>
      <w:lvlText w:val="•"/>
      <w:lvlJc w:val="left"/>
      <w:pPr>
        <w:ind w:left="3510" w:hanging="360"/>
      </w:pPr>
      <w:rPr>
        <w:rFonts w:hint="default"/>
        <w:lang w:val="en-US" w:eastAsia="en-US" w:bidi="ar-SA"/>
      </w:rPr>
    </w:lvl>
    <w:lvl w:ilvl="4" w:tplc="2612DE20">
      <w:numFmt w:val="bullet"/>
      <w:lvlText w:val="•"/>
      <w:lvlJc w:val="left"/>
      <w:pPr>
        <w:ind w:left="4500" w:hanging="360"/>
      </w:pPr>
      <w:rPr>
        <w:rFonts w:hint="default"/>
        <w:lang w:val="en-US" w:eastAsia="en-US" w:bidi="ar-SA"/>
      </w:rPr>
    </w:lvl>
    <w:lvl w:ilvl="5" w:tplc="01D49D96">
      <w:numFmt w:val="bullet"/>
      <w:lvlText w:val="•"/>
      <w:lvlJc w:val="left"/>
      <w:pPr>
        <w:ind w:left="5490" w:hanging="360"/>
      </w:pPr>
      <w:rPr>
        <w:rFonts w:hint="default"/>
        <w:lang w:val="en-US" w:eastAsia="en-US" w:bidi="ar-SA"/>
      </w:rPr>
    </w:lvl>
    <w:lvl w:ilvl="6" w:tplc="1B26F97C">
      <w:numFmt w:val="bullet"/>
      <w:lvlText w:val="•"/>
      <w:lvlJc w:val="left"/>
      <w:pPr>
        <w:ind w:left="6480" w:hanging="360"/>
      </w:pPr>
      <w:rPr>
        <w:rFonts w:hint="default"/>
        <w:lang w:val="en-US" w:eastAsia="en-US" w:bidi="ar-SA"/>
      </w:rPr>
    </w:lvl>
    <w:lvl w:ilvl="7" w:tplc="A272797A">
      <w:numFmt w:val="bullet"/>
      <w:lvlText w:val="•"/>
      <w:lvlJc w:val="left"/>
      <w:pPr>
        <w:ind w:left="7470" w:hanging="360"/>
      </w:pPr>
      <w:rPr>
        <w:rFonts w:hint="default"/>
        <w:lang w:val="en-US" w:eastAsia="en-US" w:bidi="ar-SA"/>
      </w:rPr>
    </w:lvl>
    <w:lvl w:ilvl="8" w:tplc="C03C361E">
      <w:numFmt w:val="bullet"/>
      <w:lvlText w:val="•"/>
      <w:lvlJc w:val="left"/>
      <w:pPr>
        <w:ind w:left="8460" w:hanging="360"/>
      </w:pPr>
      <w:rPr>
        <w:rFonts w:hint="default"/>
        <w:lang w:val="en-US" w:eastAsia="en-US" w:bidi="ar-SA"/>
      </w:rPr>
    </w:lvl>
  </w:abstractNum>
  <w:abstractNum w:abstractNumId="6" w15:restartNumberingAfterBreak="0">
    <w:nsid w:val="06714182"/>
    <w:multiLevelType w:val="hybridMultilevel"/>
    <w:tmpl w:val="9EA4A500"/>
    <w:lvl w:ilvl="0" w:tplc="9E42BC58">
      <w:numFmt w:val="bullet"/>
      <w:lvlText w:val=""/>
      <w:lvlJc w:val="left"/>
      <w:pPr>
        <w:ind w:left="2160" w:hanging="360"/>
      </w:pPr>
      <w:rPr>
        <w:rFonts w:ascii="Symbol" w:eastAsia="Symbol" w:hAnsi="Symbol" w:cs="Symbol" w:hint="default"/>
        <w:b w:val="0"/>
        <w:bCs w:val="0"/>
        <w:i w:val="0"/>
        <w:iCs w:val="0"/>
        <w:spacing w:val="0"/>
        <w:w w:val="99"/>
        <w:sz w:val="22"/>
        <w:szCs w:val="22"/>
        <w:lang w:val="en-US" w:eastAsia="en-US" w:bidi="ar-SA"/>
      </w:rPr>
    </w:lvl>
    <w:lvl w:ilvl="1" w:tplc="2EDAB25E">
      <w:numFmt w:val="bullet"/>
      <w:lvlText w:val="•"/>
      <w:lvlJc w:val="left"/>
      <w:pPr>
        <w:ind w:left="2988" w:hanging="360"/>
      </w:pPr>
      <w:rPr>
        <w:rFonts w:hint="default"/>
        <w:lang w:val="en-US" w:eastAsia="en-US" w:bidi="ar-SA"/>
      </w:rPr>
    </w:lvl>
    <w:lvl w:ilvl="2" w:tplc="62282D80">
      <w:numFmt w:val="bullet"/>
      <w:lvlText w:val="•"/>
      <w:lvlJc w:val="left"/>
      <w:pPr>
        <w:ind w:left="3816" w:hanging="360"/>
      </w:pPr>
      <w:rPr>
        <w:rFonts w:hint="default"/>
        <w:lang w:val="en-US" w:eastAsia="en-US" w:bidi="ar-SA"/>
      </w:rPr>
    </w:lvl>
    <w:lvl w:ilvl="3" w:tplc="F98AE954">
      <w:numFmt w:val="bullet"/>
      <w:lvlText w:val="•"/>
      <w:lvlJc w:val="left"/>
      <w:pPr>
        <w:ind w:left="4644" w:hanging="360"/>
      </w:pPr>
      <w:rPr>
        <w:rFonts w:hint="default"/>
        <w:lang w:val="en-US" w:eastAsia="en-US" w:bidi="ar-SA"/>
      </w:rPr>
    </w:lvl>
    <w:lvl w:ilvl="4" w:tplc="C10807FC">
      <w:numFmt w:val="bullet"/>
      <w:lvlText w:val="•"/>
      <w:lvlJc w:val="left"/>
      <w:pPr>
        <w:ind w:left="5472" w:hanging="360"/>
      </w:pPr>
      <w:rPr>
        <w:rFonts w:hint="default"/>
        <w:lang w:val="en-US" w:eastAsia="en-US" w:bidi="ar-SA"/>
      </w:rPr>
    </w:lvl>
    <w:lvl w:ilvl="5" w:tplc="CD48CD3E">
      <w:numFmt w:val="bullet"/>
      <w:lvlText w:val="•"/>
      <w:lvlJc w:val="left"/>
      <w:pPr>
        <w:ind w:left="6300" w:hanging="360"/>
      </w:pPr>
      <w:rPr>
        <w:rFonts w:hint="default"/>
        <w:lang w:val="en-US" w:eastAsia="en-US" w:bidi="ar-SA"/>
      </w:rPr>
    </w:lvl>
    <w:lvl w:ilvl="6" w:tplc="5B0EBBE2">
      <w:numFmt w:val="bullet"/>
      <w:lvlText w:val="•"/>
      <w:lvlJc w:val="left"/>
      <w:pPr>
        <w:ind w:left="7128" w:hanging="360"/>
      </w:pPr>
      <w:rPr>
        <w:rFonts w:hint="default"/>
        <w:lang w:val="en-US" w:eastAsia="en-US" w:bidi="ar-SA"/>
      </w:rPr>
    </w:lvl>
    <w:lvl w:ilvl="7" w:tplc="75B2BDF0">
      <w:numFmt w:val="bullet"/>
      <w:lvlText w:val="•"/>
      <w:lvlJc w:val="left"/>
      <w:pPr>
        <w:ind w:left="7956" w:hanging="360"/>
      </w:pPr>
      <w:rPr>
        <w:rFonts w:hint="default"/>
        <w:lang w:val="en-US" w:eastAsia="en-US" w:bidi="ar-SA"/>
      </w:rPr>
    </w:lvl>
    <w:lvl w:ilvl="8" w:tplc="0FACA038">
      <w:numFmt w:val="bullet"/>
      <w:lvlText w:val="•"/>
      <w:lvlJc w:val="left"/>
      <w:pPr>
        <w:ind w:left="8784" w:hanging="360"/>
      </w:pPr>
      <w:rPr>
        <w:rFonts w:hint="default"/>
        <w:lang w:val="en-US" w:eastAsia="en-US" w:bidi="ar-SA"/>
      </w:rPr>
    </w:lvl>
  </w:abstractNum>
  <w:abstractNum w:abstractNumId="7" w15:restartNumberingAfterBreak="0">
    <w:nsid w:val="06AB0977"/>
    <w:multiLevelType w:val="hybridMultilevel"/>
    <w:tmpl w:val="90AECF2A"/>
    <w:lvl w:ilvl="0" w:tplc="32928CEE">
      <w:start w:val="10"/>
      <w:numFmt w:val="decimal"/>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E8F20D7E">
      <w:numFmt w:val="bullet"/>
      <w:lvlText w:val=""/>
      <w:lvlJc w:val="left"/>
      <w:pPr>
        <w:ind w:left="2159" w:hanging="360"/>
      </w:pPr>
      <w:rPr>
        <w:rFonts w:ascii="Symbol" w:eastAsia="Symbol" w:hAnsi="Symbol" w:cs="Symbol" w:hint="default"/>
        <w:b w:val="0"/>
        <w:bCs w:val="0"/>
        <w:i w:val="0"/>
        <w:iCs w:val="0"/>
        <w:spacing w:val="0"/>
        <w:w w:val="99"/>
        <w:sz w:val="22"/>
        <w:szCs w:val="22"/>
        <w:lang w:val="en-US" w:eastAsia="en-US" w:bidi="ar-SA"/>
      </w:rPr>
    </w:lvl>
    <w:lvl w:ilvl="2" w:tplc="F05ECDDC">
      <w:numFmt w:val="bullet"/>
      <w:lvlText w:val="•"/>
      <w:lvlJc w:val="left"/>
      <w:pPr>
        <w:ind w:left="3080" w:hanging="360"/>
      </w:pPr>
      <w:rPr>
        <w:rFonts w:hint="default"/>
        <w:lang w:val="en-US" w:eastAsia="en-US" w:bidi="ar-SA"/>
      </w:rPr>
    </w:lvl>
    <w:lvl w:ilvl="3" w:tplc="305481DC">
      <w:numFmt w:val="bullet"/>
      <w:lvlText w:val="•"/>
      <w:lvlJc w:val="left"/>
      <w:pPr>
        <w:ind w:left="4000" w:hanging="360"/>
      </w:pPr>
      <w:rPr>
        <w:rFonts w:hint="default"/>
        <w:lang w:val="en-US" w:eastAsia="en-US" w:bidi="ar-SA"/>
      </w:rPr>
    </w:lvl>
    <w:lvl w:ilvl="4" w:tplc="3FC4A2DE">
      <w:numFmt w:val="bullet"/>
      <w:lvlText w:val="•"/>
      <w:lvlJc w:val="left"/>
      <w:pPr>
        <w:ind w:left="4920" w:hanging="360"/>
      </w:pPr>
      <w:rPr>
        <w:rFonts w:hint="default"/>
        <w:lang w:val="en-US" w:eastAsia="en-US" w:bidi="ar-SA"/>
      </w:rPr>
    </w:lvl>
    <w:lvl w:ilvl="5" w:tplc="B1A4973A">
      <w:numFmt w:val="bullet"/>
      <w:lvlText w:val="•"/>
      <w:lvlJc w:val="left"/>
      <w:pPr>
        <w:ind w:left="5840" w:hanging="360"/>
      </w:pPr>
      <w:rPr>
        <w:rFonts w:hint="default"/>
        <w:lang w:val="en-US" w:eastAsia="en-US" w:bidi="ar-SA"/>
      </w:rPr>
    </w:lvl>
    <w:lvl w:ilvl="6" w:tplc="19620DD0">
      <w:numFmt w:val="bullet"/>
      <w:lvlText w:val="•"/>
      <w:lvlJc w:val="left"/>
      <w:pPr>
        <w:ind w:left="6760" w:hanging="360"/>
      </w:pPr>
      <w:rPr>
        <w:rFonts w:hint="default"/>
        <w:lang w:val="en-US" w:eastAsia="en-US" w:bidi="ar-SA"/>
      </w:rPr>
    </w:lvl>
    <w:lvl w:ilvl="7" w:tplc="25F6A6EC">
      <w:numFmt w:val="bullet"/>
      <w:lvlText w:val="•"/>
      <w:lvlJc w:val="left"/>
      <w:pPr>
        <w:ind w:left="7680" w:hanging="360"/>
      </w:pPr>
      <w:rPr>
        <w:rFonts w:hint="default"/>
        <w:lang w:val="en-US" w:eastAsia="en-US" w:bidi="ar-SA"/>
      </w:rPr>
    </w:lvl>
    <w:lvl w:ilvl="8" w:tplc="32461A10">
      <w:numFmt w:val="bullet"/>
      <w:lvlText w:val="•"/>
      <w:lvlJc w:val="left"/>
      <w:pPr>
        <w:ind w:left="8600" w:hanging="360"/>
      </w:pPr>
      <w:rPr>
        <w:rFonts w:hint="default"/>
        <w:lang w:val="en-US" w:eastAsia="en-US" w:bidi="ar-SA"/>
      </w:rPr>
    </w:lvl>
  </w:abstractNum>
  <w:abstractNum w:abstractNumId="8" w15:restartNumberingAfterBreak="0">
    <w:nsid w:val="06D24486"/>
    <w:multiLevelType w:val="hybridMultilevel"/>
    <w:tmpl w:val="025E4792"/>
    <w:lvl w:ilvl="0" w:tplc="2FE84C08">
      <w:start w:val="10"/>
      <w:numFmt w:val="decimal"/>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1D42BFB8">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7242C4E2">
      <w:numFmt w:val="bullet"/>
      <w:lvlText w:val="•"/>
      <w:lvlJc w:val="left"/>
      <w:pPr>
        <w:ind w:left="3080" w:hanging="360"/>
      </w:pPr>
      <w:rPr>
        <w:rFonts w:hint="default"/>
        <w:lang w:val="en-US" w:eastAsia="en-US" w:bidi="ar-SA"/>
      </w:rPr>
    </w:lvl>
    <w:lvl w:ilvl="3" w:tplc="8C0E7E10">
      <w:numFmt w:val="bullet"/>
      <w:lvlText w:val="•"/>
      <w:lvlJc w:val="left"/>
      <w:pPr>
        <w:ind w:left="4000" w:hanging="360"/>
      </w:pPr>
      <w:rPr>
        <w:rFonts w:hint="default"/>
        <w:lang w:val="en-US" w:eastAsia="en-US" w:bidi="ar-SA"/>
      </w:rPr>
    </w:lvl>
    <w:lvl w:ilvl="4" w:tplc="99DAB920">
      <w:numFmt w:val="bullet"/>
      <w:lvlText w:val="•"/>
      <w:lvlJc w:val="left"/>
      <w:pPr>
        <w:ind w:left="4920" w:hanging="360"/>
      </w:pPr>
      <w:rPr>
        <w:rFonts w:hint="default"/>
        <w:lang w:val="en-US" w:eastAsia="en-US" w:bidi="ar-SA"/>
      </w:rPr>
    </w:lvl>
    <w:lvl w:ilvl="5" w:tplc="8222F220">
      <w:numFmt w:val="bullet"/>
      <w:lvlText w:val="•"/>
      <w:lvlJc w:val="left"/>
      <w:pPr>
        <w:ind w:left="5840" w:hanging="360"/>
      </w:pPr>
      <w:rPr>
        <w:rFonts w:hint="default"/>
        <w:lang w:val="en-US" w:eastAsia="en-US" w:bidi="ar-SA"/>
      </w:rPr>
    </w:lvl>
    <w:lvl w:ilvl="6" w:tplc="6C849C18">
      <w:numFmt w:val="bullet"/>
      <w:lvlText w:val="•"/>
      <w:lvlJc w:val="left"/>
      <w:pPr>
        <w:ind w:left="6760" w:hanging="360"/>
      </w:pPr>
      <w:rPr>
        <w:rFonts w:hint="default"/>
        <w:lang w:val="en-US" w:eastAsia="en-US" w:bidi="ar-SA"/>
      </w:rPr>
    </w:lvl>
    <w:lvl w:ilvl="7" w:tplc="BDEE0362">
      <w:numFmt w:val="bullet"/>
      <w:lvlText w:val="•"/>
      <w:lvlJc w:val="left"/>
      <w:pPr>
        <w:ind w:left="7680" w:hanging="360"/>
      </w:pPr>
      <w:rPr>
        <w:rFonts w:hint="default"/>
        <w:lang w:val="en-US" w:eastAsia="en-US" w:bidi="ar-SA"/>
      </w:rPr>
    </w:lvl>
    <w:lvl w:ilvl="8" w:tplc="0BDEA5FE">
      <w:numFmt w:val="bullet"/>
      <w:lvlText w:val="•"/>
      <w:lvlJc w:val="left"/>
      <w:pPr>
        <w:ind w:left="8600" w:hanging="360"/>
      </w:pPr>
      <w:rPr>
        <w:rFonts w:hint="default"/>
        <w:lang w:val="en-US" w:eastAsia="en-US" w:bidi="ar-SA"/>
      </w:rPr>
    </w:lvl>
  </w:abstractNum>
  <w:abstractNum w:abstractNumId="9" w15:restartNumberingAfterBreak="0">
    <w:nsid w:val="0741668B"/>
    <w:multiLevelType w:val="hybridMultilevel"/>
    <w:tmpl w:val="4426B1D6"/>
    <w:lvl w:ilvl="0" w:tplc="D512B6E4">
      <w:numFmt w:val="bullet"/>
      <w:lvlText w:val=""/>
      <w:lvlJc w:val="left"/>
      <w:pPr>
        <w:ind w:left="353" w:hanging="202"/>
      </w:pPr>
      <w:rPr>
        <w:rFonts w:ascii="Symbol" w:eastAsia="Symbol" w:hAnsi="Symbol" w:cs="Symbol" w:hint="default"/>
        <w:b w:val="0"/>
        <w:bCs w:val="0"/>
        <w:i w:val="0"/>
        <w:iCs w:val="0"/>
        <w:spacing w:val="0"/>
        <w:w w:val="100"/>
        <w:sz w:val="18"/>
        <w:szCs w:val="18"/>
        <w:lang w:val="en-US" w:eastAsia="en-US" w:bidi="ar-SA"/>
      </w:rPr>
    </w:lvl>
    <w:lvl w:ilvl="1" w:tplc="CB761308">
      <w:numFmt w:val="bullet"/>
      <w:lvlText w:val="•"/>
      <w:lvlJc w:val="left"/>
      <w:pPr>
        <w:ind w:left="799" w:hanging="202"/>
      </w:pPr>
      <w:rPr>
        <w:rFonts w:hint="default"/>
        <w:lang w:val="en-US" w:eastAsia="en-US" w:bidi="ar-SA"/>
      </w:rPr>
    </w:lvl>
    <w:lvl w:ilvl="2" w:tplc="6448A372">
      <w:numFmt w:val="bullet"/>
      <w:lvlText w:val="•"/>
      <w:lvlJc w:val="left"/>
      <w:pPr>
        <w:ind w:left="1239" w:hanging="202"/>
      </w:pPr>
      <w:rPr>
        <w:rFonts w:hint="default"/>
        <w:lang w:val="en-US" w:eastAsia="en-US" w:bidi="ar-SA"/>
      </w:rPr>
    </w:lvl>
    <w:lvl w:ilvl="3" w:tplc="FF10B1CC">
      <w:numFmt w:val="bullet"/>
      <w:lvlText w:val="•"/>
      <w:lvlJc w:val="left"/>
      <w:pPr>
        <w:ind w:left="1678" w:hanging="202"/>
      </w:pPr>
      <w:rPr>
        <w:rFonts w:hint="default"/>
        <w:lang w:val="en-US" w:eastAsia="en-US" w:bidi="ar-SA"/>
      </w:rPr>
    </w:lvl>
    <w:lvl w:ilvl="4" w:tplc="4BC40DD8">
      <w:numFmt w:val="bullet"/>
      <w:lvlText w:val="•"/>
      <w:lvlJc w:val="left"/>
      <w:pPr>
        <w:ind w:left="2118" w:hanging="202"/>
      </w:pPr>
      <w:rPr>
        <w:rFonts w:hint="default"/>
        <w:lang w:val="en-US" w:eastAsia="en-US" w:bidi="ar-SA"/>
      </w:rPr>
    </w:lvl>
    <w:lvl w:ilvl="5" w:tplc="82BE3C74">
      <w:numFmt w:val="bullet"/>
      <w:lvlText w:val="•"/>
      <w:lvlJc w:val="left"/>
      <w:pPr>
        <w:ind w:left="2558" w:hanging="202"/>
      </w:pPr>
      <w:rPr>
        <w:rFonts w:hint="default"/>
        <w:lang w:val="en-US" w:eastAsia="en-US" w:bidi="ar-SA"/>
      </w:rPr>
    </w:lvl>
    <w:lvl w:ilvl="6" w:tplc="802EDF56">
      <w:numFmt w:val="bullet"/>
      <w:lvlText w:val="•"/>
      <w:lvlJc w:val="left"/>
      <w:pPr>
        <w:ind w:left="2997" w:hanging="202"/>
      </w:pPr>
      <w:rPr>
        <w:rFonts w:hint="default"/>
        <w:lang w:val="en-US" w:eastAsia="en-US" w:bidi="ar-SA"/>
      </w:rPr>
    </w:lvl>
    <w:lvl w:ilvl="7" w:tplc="88AC924E">
      <w:numFmt w:val="bullet"/>
      <w:lvlText w:val="•"/>
      <w:lvlJc w:val="left"/>
      <w:pPr>
        <w:ind w:left="3437" w:hanging="202"/>
      </w:pPr>
      <w:rPr>
        <w:rFonts w:hint="default"/>
        <w:lang w:val="en-US" w:eastAsia="en-US" w:bidi="ar-SA"/>
      </w:rPr>
    </w:lvl>
    <w:lvl w:ilvl="8" w:tplc="4B3CAFF0">
      <w:numFmt w:val="bullet"/>
      <w:lvlText w:val="•"/>
      <w:lvlJc w:val="left"/>
      <w:pPr>
        <w:ind w:left="3877" w:hanging="202"/>
      </w:pPr>
      <w:rPr>
        <w:rFonts w:hint="default"/>
        <w:lang w:val="en-US" w:eastAsia="en-US" w:bidi="ar-SA"/>
      </w:rPr>
    </w:lvl>
  </w:abstractNum>
  <w:abstractNum w:abstractNumId="10" w15:restartNumberingAfterBreak="0">
    <w:nsid w:val="07A45906"/>
    <w:multiLevelType w:val="hybridMultilevel"/>
    <w:tmpl w:val="E21268DC"/>
    <w:lvl w:ilvl="0" w:tplc="3BB867B4">
      <w:start w:val="1"/>
      <w:numFmt w:val="decimalZero"/>
      <w:lvlText w:val=".%1"/>
      <w:lvlJc w:val="left"/>
      <w:pPr>
        <w:ind w:left="1799" w:hanging="721"/>
        <w:jc w:val="left"/>
      </w:pPr>
      <w:rPr>
        <w:rFonts w:ascii="Arial" w:eastAsia="Arial" w:hAnsi="Arial" w:cs="Arial" w:hint="default"/>
        <w:b w:val="0"/>
        <w:bCs w:val="0"/>
        <w:i w:val="0"/>
        <w:iCs w:val="0"/>
        <w:spacing w:val="0"/>
        <w:w w:val="99"/>
        <w:sz w:val="22"/>
        <w:szCs w:val="22"/>
        <w:lang w:val="en-US" w:eastAsia="en-US" w:bidi="ar-SA"/>
      </w:rPr>
    </w:lvl>
    <w:lvl w:ilvl="1" w:tplc="E228CAA0">
      <w:numFmt w:val="bullet"/>
      <w:lvlText w:val=""/>
      <w:lvlJc w:val="left"/>
      <w:pPr>
        <w:ind w:left="2160" w:hanging="360"/>
      </w:pPr>
      <w:rPr>
        <w:rFonts w:ascii="Symbol" w:eastAsia="Symbol" w:hAnsi="Symbol" w:cs="Symbol" w:hint="default"/>
        <w:b w:val="0"/>
        <w:bCs w:val="0"/>
        <w:i w:val="0"/>
        <w:iCs w:val="0"/>
        <w:spacing w:val="0"/>
        <w:w w:val="99"/>
        <w:sz w:val="22"/>
        <w:szCs w:val="22"/>
        <w:lang w:val="en-US" w:eastAsia="en-US" w:bidi="ar-SA"/>
      </w:rPr>
    </w:lvl>
    <w:lvl w:ilvl="2" w:tplc="E05CA90E">
      <w:numFmt w:val="bullet"/>
      <w:lvlText w:val="•"/>
      <w:lvlJc w:val="left"/>
      <w:pPr>
        <w:ind w:left="3080" w:hanging="360"/>
      </w:pPr>
      <w:rPr>
        <w:rFonts w:hint="default"/>
        <w:lang w:val="en-US" w:eastAsia="en-US" w:bidi="ar-SA"/>
      </w:rPr>
    </w:lvl>
    <w:lvl w:ilvl="3" w:tplc="EFFC3252">
      <w:numFmt w:val="bullet"/>
      <w:lvlText w:val="•"/>
      <w:lvlJc w:val="left"/>
      <w:pPr>
        <w:ind w:left="4000" w:hanging="360"/>
      </w:pPr>
      <w:rPr>
        <w:rFonts w:hint="default"/>
        <w:lang w:val="en-US" w:eastAsia="en-US" w:bidi="ar-SA"/>
      </w:rPr>
    </w:lvl>
    <w:lvl w:ilvl="4" w:tplc="D4A8C124">
      <w:numFmt w:val="bullet"/>
      <w:lvlText w:val="•"/>
      <w:lvlJc w:val="left"/>
      <w:pPr>
        <w:ind w:left="4920" w:hanging="360"/>
      </w:pPr>
      <w:rPr>
        <w:rFonts w:hint="default"/>
        <w:lang w:val="en-US" w:eastAsia="en-US" w:bidi="ar-SA"/>
      </w:rPr>
    </w:lvl>
    <w:lvl w:ilvl="5" w:tplc="041ACFD2">
      <w:numFmt w:val="bullet"/>
      <w:lvlText w:val="•"/>
      <w:lvlJc w:val="left"/>
      <w:pPr>
        <w:ind w:left="5840" w:hanging="360"/>
      </w:pPr>
      <w:rPr>
        <w:rFonts w:hint="default"/>
        <w:lang w:val="en-US" w:eastAsia="en-US" w:bidi="ar-SA"/>
      </w:rPr>
    </w:lvl>
    <w:lvl w:ilvl="6" w:tplc="3D067824">
      <w:numFmt w:val="bullet"/>
      <w:lvlText w:val="•"/>
      <w:lvlJc w:val="left"/>
      <w:pPr>
        <w:ind w:left="6760" w:hanging="360"/>
      </w:pPr>
      <w:rPr>
        <w:rFonts w:hint="default"/>
        <w:lang w:val="en-US" w:eastAsia="en-US" w:bidi="ar-SA"/>
      </w:rPr>
    </w:lvl>
    <w:lvl w:ilvl="7" w:tplc="9B78E372">
      <w:numFmt w:val="bullet"/>
      <w:lvlText w:val="•"/>
      <w:lvlJc w:val="left"/>
      <w:pPr>
        <w:ind w:left="7680" w:hanging="360"/>
      </w:pPr>
      <w:rPr>
        <w:rFonts w:hint="default"/>
        <w:lang w:val="en-US" w:eastAsia="en-US" w:bidi="ar-SA"/>
      </w:rPr>
    </w:lvl>
    <w:lvl w:ilvl="8" w:tplc="0BC6FE7C">
      <w:numFmt w:val="bullet"/>
      <w:lvlText w:val="•"/>
      <w:lvlJc w:val="left"/>
      <w:pPr>
        <w:ind w:left="8600" w:hanging="360"/>
      </w:pPr>
      <w:rPr>
        <w:rFonts w:hint="default"/>
        <w:lang w:val="en-US" w:eastAsia="en-US" w:bidi="ar-SA"/>
      </w:rPr>
    </w:lvl>
  </w:abstractNum>
  <w:abstractNum w:abstractNumId="11" w15:restartNumberingAfterBreak="0">
    <w:nsid w:val="07E04BBA"/>
    <w:multiLevelType w:val="hybridMultilevel"/>
    <w:tmpl w:val="E1C265C8"/>
    <w:lvl w:ilvl="0" w:tplc="1AC0815E">
      <w:start w:val="1"/>
      <w:numFmt w:val="decimal"/>
      <w:lvlText w:val="%1."/>
      <w:lvlJc w:val="left"/>
      <w:pPr>
        <w:ind w:left="720" w:hanging="360"/>
        <w:jc w:val="left"/>
      </w:pPr>
      <w:rPr>
        <w:rFonts w:ascii="Arial" w:eastAsia="Arial" w:hAnsi="Arial" w:cs="Arial" w:hint="default"/>
        <w:b w:val="0"/>
        <w:bCs w:val="0"/>
        <w:i w:val="0"/>
        <w:iCs w:val="0"/>
        <w:spacing w:val="0"/>
        <w:w w:val="99"/>
        <w:sz w:val="22"/>
        <w:szCs w:val="22"/>
        <w:lang w:val="en-US" w:eastAsia="en-US" w:bidi="ar-SA"/>
      </w:rPr>
    </w:lvl>
    <w:lvl w:ilvl="1" w:tplc="8404F628">
      <w:numFmt w:val="bullet"/>
      <w:lvlText w:val="•"/>
      <w:lvlJc w:val="left"/>
      <w:pPr>
        <w:ind w:left="1692" w:hanging="360"/>
      </w:pPr>
      <w:rPr>
        <w:rFonts w:hint="default"/>
        <w:lang w:val="en-US" w:eastAsia="en-US" w:bidi="ar-SA"/>
      </w:rPr>
    </w:lvl>
    <w:lvl w:ilvl="2" w:tplc="0E36AB8A">
      <w:numFmt w:val="bullet"/>
      <w:lvlText w:val="•"/>
      <w:lvlJc w:val="left"/>
      <w:pPr>
        <w:ind w:left="2664" w:hanging="360"/>
      </w:pPr>
      <w:rPr>
        <w:rFonts w:hint="default"/>
        <w:lang w:val="en-US" w:eastAsia="en-US" w:bidi="ar-SA"/>
      </w:rPr>
    </w:lvl>
    <w:lvl w:ilvl="3" w:tplc="39361B8C">
      <w:numFmt w:val="bullet"/>
      <w:lvlText w:val="•"/>
      <w:lvlJc w:val="left"/>
      <w:pPr>
        <w:ind w:left="3636" w:hanging="360"/>
      </w:pPr>
      <w:rPr>
        <w:rFonts w:hint="default"/>
        <w:lang w:val="en-US" w:eastAsia="en-US" w:bidi="ar-SA"/>
      </w:rPr>
    </w:lvl>
    <w:lvl w:ilvl="4" w:tplc="3B9E9076">
      <w:numFmt w:val="bullet"/>
      <w:lvlText w:val="•"/>
      <w:lvlJc w:val="left"/>
      <w:pPr>
        <w:ind w:left="4608" w:hanging="360"/>
      </w:pPr>
      <w:rPr>
        <w:rFonts w:hint="default"/>
        <w:lang w:val="en-US" w:eastAsia="en-US" w:bidi="ar-SA"/>
      </w:rPr>
    </w:lvl>
    <w:lvl w:ilvl="5" w:tplc="7988C254">
      <w:numFmt w:val="bullet"/>
      <w:lvlText w:val="•"/>
      <w:lvlJc w:val="left"/>
      <w:pPr>
        <w:ind w:left="5580" w:hanging="360"/>
      </w:pPr>
      <w:rPr>
        <w:rFonts w:hint="default"/>
        <w:lang w:val="en-US" w:eastAsia="en-US" w:bidi="ar-SA"/>
      </w:rPr>
    </w:lvl>
    <w:lvl w:ilvl="6" w:tplc="A2122FDE">
      <w:numFmt w:val="bullet"/>
      <w:lvlText w:val="•"/>
      <w:lvlJc w:val="left"/>
      <w:pPr>
        <w:ind w:left="6552" w:hanging="360"/>
      </w:pPr>
      <w:rPr>
        <w:rFonts w:hint="default"/>
        <w:lang w:val="en-US" w:eastAsia="en-US" w:bidi="ar-SA"/>
      </w:rPr>
    </w:lvl>
    <w:lvl w:ilvl="7" w:tplc="B65EE1D0">
      <w:numFmt w:val="bullet"/>
      <w:lvlText w:val="•"/>
      <w:lvlJc w:val="left"/>
      <w:pPr>
        <w:ind w:left="7524" w:hanging="360"/>
      </w:pPr>
      <w:rPr>
        <w:rFonts w:hint="default"/>
        <w:lang w:val="en-US" w:eastAsia="en-US" w:bidi="ar-SA"/>
      </w:rPr>
    </w:lvl>
    <w:lvl w:ilvl="8" w:tplc="72F0D752">
      <w:numFmt w:val="bullet"/>
      <w:lvlText w:val="•"/>
      <w:lvlJc w:val="left"/>
      <w:pPr>
        <w:ind w:left="8496" w:hanging="360"/>
      </w:pPr>
      <w:rPr>
        <w:rFonts w:hint="default"/>
        <w:lang w:val="en-US" w:eastAsia="en-US" w:bidi="ar-SA"/>
      </w:rPr>
    </w:lvl>
  </w:abstractNum>
  <w:abstractNum w:abstractNumId="12" w15:restartNumberingAfterBreak="0">
    <w:nsid w:val="085A0385"/>
    <w:multiLevelType w:val="hybridMultilevel"/>
    <w:tmpl w:val="75DAC0C2"/>
    <w:lvl w:ilvl="0" w:tplc="8AAAFC36">
      <w:start w:val="1"/>
      <w:numFmt w:val="decimalZero"/>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2F08B18E">
      <w:numFmt w:val="bullet"/>
      <w:lvlText w:val=""/>
      <w:lvlJc w:val="left"/>
      <w:pPr>
        <w:ind w:left="2160" w:hanging="360"/>
      </w:pPr>
      <w:rPr>
        <w:rFonts w:ascii="Symbol" w:eastAsia="Symbol" w:hAnsi="Symbol" w:cs="Symbol" w:hint="default"/>
        <w:b w:val="0"/>
        <w:bCs w:val="0"/>
        <w:i w:val="0"/>
        <w:iCs w:val="0"/>
        <w:spacing w:val="0"/>
        <w:w w:val="99"/>
        <w:sz w:val="22"/>
        <w:szCs w:val="22"/>
        <w:lang w:val="en-US" w:eastAsia="en-US" w:bidi="ar-SA"/>
      </w:rPr>
    </w:lvl>
    <w:lvl w:ilvl="2" w:tplc="2DA0BC42">
      <w:numFmt w:val="bullet"/>
      <w:lvlText w:val="•"/>
      <w:lvlJc w:val="left"/>
      <w:pPr>
        <w:ind w:left="3080" w:hanging="360"/>
      </w:pPr>
      <w:rPr>
        <w:rFonts w:hint="default"/>
        <w:lang w:val="en-US" w:eastAsia="en-US" w:bidi="ar-SA"/>
      </w:rPr>
    </w:lvl>
    <w:lvl w:ilvl="3" w:tplc="CC80D58C">
      <w:numFmt w:val="bullet"/>
      <w:lvlText w:val="•"/>
      <w:lvlJc w:val="left"/>
      <w:pPr>
        <w:ind w:left="4000" w:hanging="360"/>
      </w:pPr>
      <w:rPr>
        <w:rFonts w:hint="default"/>
        <w:lang w:val="en-US" w:eastAsia="en-US" w:bidi="ar-SA"/>
      </w:rPr>
    </w:lvl>
    <w:lvl w:ilvl="4" w:tplc="0734D70A">
      <w:numFmt w:val="bullet"/>
      <w:lvlText w:val="•"/>
      <w:lvlJc w:val="left"/>
      <w:pPr>
        <w:ind w:left="4920" w:hanging="360"/>
      </w:pPr>
      <w:rPr>
        <w:rFonts w:hint="default"/>
        <w:lang w:val="en-US" w:eastAsia="en-US" w:bidi="ar-SA"/>
      </w:rPr>
    </w:lvl>
    <w:lvl w:ilvl="5" w:tplc="338869A2">
      <w:numFmt w:val="bullet"/>
      <w:lvlText w:val="•"/>
      <w:lvlJc w:val="left"/>
      <w:pPr>
        <w:ind w:left="5840" w:hanging="360"/>
      </w:pPr>
      <w:rPr>
        <w:rFonts w:hint="default"/>
        <w:lang w:val="en-US" w:eastAsia="en-US" w:bidi="ar-SA"/>
      </w:rPr>
    </w:lvl>
    <w:lvl w:ilvl="6" w:tplc="F73A170E">
      <w:numFmt w:val="bullet"/>
      <w:lvlText w:val="•"/>
      <w:lvlJc w:val="left"/>
      <w:pPr>
        <w:ind w:left="6760" w:hanging="360"/>
      </w:pPr>
      <w:rPr>
        <w:rFonts w:hint="default"/>
        <w:lang w:val="en-US" w:eastAsia="en-US" w:bidi="ar-SA"/>
      </w:rPr>
    </w:lvl>
    <w:lvl w:ilvl="7" w:tplc="C68A2758">
      <w:numFmt w:val="bullet"/>
      <w:lvlText w:val="•"/>
      <w:lvlJc w:val="left"/>
      <w:pPr>
        <w:ind w:left="7680" w:hanging="360"/>
      </w:pPr>
      <w:rPr>
        <w:rFonts w:hint="default"/>
        <w:lang w:val="en-US" w:eastAsia="en-US" w:bidi="ar-SA"/>
      </w:rPr>
    </w:lvl>
    <w:lvl w:ilvl="8" w:tplc="A8F2CB7C">
      <w:numFmt w:val="bullet"/>
      <w:lvlText w:val="•"/>
      <w:lvlJc w:val="left"/>
      <w:pPr>
        <w:ind w:left="8600" w:hanging="360"/>
      </w:pPr>
      <w:rPr>
        <w:rFonts w:hint="default"/>
        <w:lang w:val="en-US" w:eastAsia="en-US" w:bidi="ar-SA"/>
      </w:rPr>
    </w:lvl>
  </w:abstractNum>
  <w:abstractNum w:abstractNumId="13" w15:restartNumberingAfterBreak="0">
    <w:nsid w:val="0907093A"/>
    <w:multiLevelType w:val="hybridMultilevel"/>
    <w:tmpl w:val="68C6FED6"/>
    <w:lvl w:ilvl="0" w:tplc="E78C7EFA">
      <w:numFmt w:val="bullet"/>
      <w:lvlText w:val=""/>
      <w:lvlJc w:val="left"/>
      <w:pPr>
        <w:ind w:left="307" w:hanging="189"/>
      </w:pPr>
      <w:rPr>
        <w:rFonts w:ascii="Symbol" w:eastAsia="Symbol" w:hAnsi="Symbol" w:cs="Symbol" w:hint="default"/>
        <w:b w:val="0"/>
        <w:bCs w:val="0"/>
        <w:i w:val="0"/>
        <w:iCs w:val="0"/>
        <w:spacing w:val="0"/>
        <w:w w:val="100"/>
        <w:sz w:val="18"/>
        <w:szCs w:val="18"/>
        <w:lang w:val="en-US" w:eastAsia="en-US" w:bidi="ar-SA"/>
      </w:rPr>
    </w:lvl>
    <w:lvl w:ilvl="1" w:tplc="C0343C80">
      <w:numFmt w:val="bullet"/>
      <w:lvlText w:val="•"/>
      <w:lvlJc w:val="left"/>
      <w:pPr>
        <w:ind w:left="1028" w:hanging="189"/>
      </w:pPr>
      <w:rPr>
        <w:rFonts w:hint="default"/>
        <w:lang w:val="en-US" w:eastAsia="en-US" w:bidi="ar-SA"/>
      </w:rPr>
    </w:lvl>
    <w:lvl w:ilvl="2" w:tplc="6D1C56F0">
      <w:numFmt w:val="bullet"/>
      <w:lvlText w:val="•"/>
      <w:lvlJc w:val="left"/>
      <w:pPr>
        <w:ind w:left="1756" w:hanging="189"/>
      </w:pPr>
      <w:rPr>
        <w:rFonts w:hint="default"/>
        <w:lang w:val="en-US" w:eastAsia="en-US" w:bidi="ar-SA"/>
      </w:rPr>
    </w:lvl>
    <w:lvl w:ilvl="3" w:tplc="BFD4AE78">
      <w:numFmt w:val="bullet"/>
      <w:lvlText w:val="•"/>
      <w:lvlJc w:val="left"/>
      <w:pPr>
        <w:ind w:left="2484" w:hanging="189"/>
      </w:pPr>
      <w:rPr>
        <w:rFonts w:hint="default"/>
        <w:lang w:val="en-US" w:eastAsia="en-US" w:bidi="ar-SA"/>
      </w:rPr>
    </w:lvl>
    <w:lvl w:ilvl="4" w:tplc="A5D4372A">
      <w:numFmt w:val="bullet"/>
      <w:lvlText w:val="•"/>
      <w:lvlJc w:val="left"/>
      <w:pPr>
        <w:ind w:left="3212" w:hanging="189"/>
      </w:pPr>
      <w:rPr>
        <w:rFonts w:hint="default"/>
        <w:lang w:val="en-US" w:eastAsia="en-US" w:bidi="ar-SA"/>
      </w:rPr>
    </w:lvl>
    <w:lvl w:ilvl="5" w:tplc="BC52498C">
      <w:numFmt w:val="bullet"/>
      <w:lvlText w:val="•"/>
      <w:lvlJc w:val="left"/>
      <w:pPr>
        <w:ind w:left="3940" w:hanging="189"/>
      </w:pPr>
      <w:rPr>
        <w:rFonts w:hint="default"/>
        <w:lang w:val="en-US" w:eastAsia="en-US" w:bidi="ar-SA"/>
      </w:rPr>
    </w:lvl>
    <w:lvl w:ilvl="6" w:tplc="E11A6722">
      <w:numFmt w:val="bullet"/>
      <w:lvlText w:val="•"/>
      <w:lvlJc w:val="left"/>
      <w:pPr>
        <w:ind w:left="4668" w:hanging="189"/>
      </w:pPr>
      <w:rPr>
        <w:rFonts w:hint="default"/>
        <w:lang w:val="en-US" w:eastAsia="en-US" w:bidi="ar-SA"/>
      </w:rPr>
    </w:lvl>
    <w:lvl w:ilvl="7" w:tplc="EFDA0A7E">
      <w:numFmt w:val="bullet"/>
      <w:lvlText w:val="•"/>
      <w:lvlJc w:val="left"/>
      <w:pPr>
        <w:ind w:left="5396" w:hanging="189"/>
      </w:pPr>
      <w:rPr>
        <w:rFonts w:hint="default"/>
        <w:lang w:val="en-US" w:eastAsia="en-US" w:bidi="ar-SA"/>
      </w:rPr>
    </w:lvl>
    <w:lvl w:ilvl="8" w:tplc="E57A1714">
      <w:numFmt w:val="bullet"/>
      <w:lvlText w:val="•"/>
      <w:lvlJc w:val="left"/>
      <w:pPr>
        <w:ind w:left="6124" w:hanging="189"/>
      </w:pPr>
      <w:rPr>
        <w:rFonts w:hint="default"/>
        <w:lang w:val="en-US" w:eastAsia="en-US" w:bidi="ar-SA"/>
      </w:rPr>
    </w:lvl>
  </w:abstractNum>
  <w:abstractNum w:abstractNumId="14" w15:restartNumberingAfterBreak="0">
    <w:nsid w:val="0A9063E8"/>
    <w:multiLevelType w:val="hybridMultilevel"/>
    <w:tmpl w:val="10D0663A"/>
    <w:lvl w:ilvl="0" w:tplc="26C48020">
      <w:start w:val="1"/>
      <w:numFmt w:val="decimalZero"/>
      <w:lvlText w:val=".%1"/>
      <w:lvlJc w:val="left"/>
      <w:pPr>
        <w:ind w:left="1799" w:hanging="721"/>
        <w:jc w:val="left"/>
      </w:pPr>
      <w:rPr>
        <w:rFonts w:ascii="Arial" w:eastAsia="Arial" w:hAnsi="Arial" w:cs="Arial" w:hint="default"/>
        <w:b w:val="0"/>
        <w:bCs w:val="0"/>
        <w:i w:val="0"/>
        <w:iCs w:val="0"/>
        <w:spacing w:val="0"/>
        <w:w w:val="99"/>
        <w:sz w:val="22"/>
        <w:szCs w:val="22"/>
        <w:lang w:val="en-US" w:eastAsia="en-US" w:bidi="ar-SA"/>
      </w:rPr>
    </w:lvl>
    <w:lvl w:ilvl="1" w:tplc="C2A49698">
      <w:start w:val="1"/>
      <w:numFmt w:val="lowerLetter"/>
      <w:lvlText w:val="%2."/>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2" w:tplc="B136FD76">
      <w:numFmt w:val="bullet"/>
      <w:lvlText w:val="•"/>
      <w:lvlJc w:val="left"/>
      <w:pPr>
        <w:ind w:left="3080" w:hanging="360"/>
      </w:pPr>
      <w:rPr>
        <w:rFonts w:hint="default"/>
        <w:lang w:val="en-US" w:eastAsia="en-US" w:bidi="ar-SA"/>
      </w:rPr>
    </w:lvl>
    <w:lvl w:ilvl="3" w:tplc="3F308AAE">
      <w:numFmt w:val="bullet"/>
      <w:lvlText w:val="•"/>
      <w:lvlJc w:val="left"/>
      <w:pPr>
        <w:ind w:left="4000" w:hanging="360"/>
      </w:pPr>
      <w:rPr>
        <w:rFonts w:hint="default"/>
        <w:lang w:val="en-US" w:eastAsia="en-US" w:bidi="ar-SA"/>
      </w:rPr>
    </w:lvl>
    <w:lvl w:ilvl="4" w:tplc="A8623F98">
      <w:numFmt w:val="bullet"/>
      <w:lvlText w:val="•"/>
      <w:lvlJc w:val="left"/>
      <w:pPr>
        <w:ind w:left="4920" w:hanging="360"/>
      </w:pPr>
      <w:rPr>
        <w:rFonts w:hint="default"/>
        <w:lang w:val="en-US" w:eastAsia="en-US" w:bidi="ar-SA"/>
      </w:rPr>
    </w:lvl>
    <w:lvl w:ilvl="5" w:tplc="09C4177E">
      <w:numFmt w:val="bullet"/>
      <w:lvlText w:val="•"/>
      <w:lvlJc w:val="left"/>
      <w:pPr>
        <w:ind w:left="5840" w:hanging="360"/>
      </w:pPr>
      <w:rPr>
        <w:rFonts w:hint="default"/>
        <w:lang w:val="en-US" w:eastAsia="en-US" w:bidi="ar-SA"/>
      </w:rPr>
    </w:lvl>
    <w:lvl w:ilvl="6" w:tplc="95DE14FC">
      <w:numFmt w:val="bullet"/>
      <w:lvlText w:val="•"/>
      <w:lvlJc w:val="left"/>
      <w:pPr>
        <w:ind w:left="6760" w:hanging="360"/>
      </w:pPr>
      <w:rPr>
        <w:rFonts w:hint="default"/>
        <w:lang w:val="en-US" w:eastAsia="en-US" w:bidi="ar-SA"/>
      </w:rPr>
    </w:lvl>
    <w:lvl w:ilvl="7" w:tplc="661E1F9A">
      <w:numFmt w:val="bullet"/>
      <w:lvlText w:val="•"/>
      <w:lvlJc w:val="left"/>
      <w:pPr>
        <w:ind w:left="7680" w:hanging="360"/>
      </w:pPr>
      <w:rPr>
        <w:rFonts w:hint="default"/>
        <w:lang w:val="en-US" w:eastAsia="en-US" w:bidi="ar-SA"/>
      </w:rPr>
    </w:lvl>
    <w:lvl w:ilvl="8" w:tplc="D9AE649E">
      <w:numFmt w:val="bullet"/>
      <w:lvlText w:val="•"/>
      <w:lvlJc w:val="left"/>
      <w:pPr>
        <w:ind w:left="8600" w:hanging="360"/>
      </w:pPr>
      <w:rPr>
        <w:rFonts w:hint="default"/>
        <w:lang w:val="en-US" w:eastAsia="en-US" w:bidi="ar-SA"/>
      </w:rPr>
    </w:lvl>
  </w:abstractNum>
  <w:abstractNum w:abstractNumId="15" w15:restartNumberingAfterBreak="0">
    <w:nsid w:val="0BB250E7"/>
    <w:multiLevelType w:val="hybridMultilevel"/>
    <w:tmpl w:val="D81434B4"/>
    <w:lvl w:ilvl="0" w:tplc="535A0A78">
      <w:numFmt w:val="bullet"/>
      <w:lvlText w:val=""/>
      <w:lvlJc w:val="left"/>
      <w:pPr>
        <w:ind w:left="272" w:hanging="186"/>
      </w:pPr>
      <w:rPr>
        <w:rFonts w:ascii="Symbol" w:eastAsia="Symbol" w:hAnsi="Symbol" w:cs="Symbol" w:hint="default"/>
        <w:b w:val="0"/>
        <w:bCs w:val="0"/>
        <w:i w:val="0"/>
        <w:iCs w:val="0"/>
        <w:spacing w:val="0"/>
        <w:w w:val="100"/>
        <w:sz w:val="18"/>
        <w:szCs w:val="18"/>
        <w:lang w:val="en-US" w:eastAsia="en-US" w:bidi="ar-SA"/>
      </w:rPr>
    </w:lvl>
    <w:lvl w:ilvl="1" w:tplc="E5802652">
      <w:numFmt w:val="bullet"/>
      <w:lvlText w:val="•"/>
      <w:lvlJc w:val="left"/>
      <w:pPr>
        <w:ind w:left="727" w:hanging="186"/>
      </w:pPr>
      <w:rPr>
        <w:rFonts w:hint="default"/>
        <w:lang w:val="en-US" w:eastAsia="en-US" w:bidi="ar-SA"/>
      </w:rPr>
    </w:lvl>
    <w:lvl w:ilvl="2" w:tplc="79285D98">
      <w:numFmt w:val="bullet"/>
      <w:lvlText w:val="•"/>
      <w:lvlJc w:val="left"/>
      <w:pPr>
        <w:ind w:left="1175" w:hanging="186"/>
      </w:pPr>
      <w:rPr>
        <w:rFonts w:hint="default"/>
        <w:lang w:val="en-US" w:eastAsia="en-US" w:bidi="ar-SA"/>
      </w:rPr>
    </w:lvl>
    <w:lvl w:ilvl="3" w:tplc="E39C7FA0">
      <w:numFmt w:val="bullet"/>
      <w:lvlText w:val="•"/>
      <w:lvlJc w:val="left"/>
      <w:pPr>
        <w:ind w:left="1623" w:hanging="186"/>
      </w:pPr>
      <w:rPr>
        <w:rFonts w:hint="default"/>
        <w:lang w:val="en-US" w:eastAsia="en-US" w:bidi="ar-SA"/>
      </w:rPr>
    </w:lvl>
    <w:lvl w:ilvl="4" w:tplc="7D0EE786">
      <w:numFmt w:val="bullet"/>
      <w:lvlText w:val="•"/>
      <w:lvlJc w:val="left"/>
      <w:pPr>
        <w:ind w:left="2071" w:hanging="186"/>
      </w:pPr>
      <w:rPr>
        <w:rFonts w:hint="default"/>
        <w:lang w:val="en-US" w:eastAsia="en-US" w:bidi="ar-SA"/>
      </w:rPr>
    </w:lvl>
    <w:lvl w:ilvl="5" w:tplc="AE26557C">
      <w:numFmt w:val="bullet"/>
      <w:lvlText w:val="•"/>
      <w:lvlJc w:val="left"/>
      <w:pPr>
        <w:ind w:left="2518" w:hanging="186"/>
      </w:pPr>
      <w:rPr>
        <w:rFonts w:hint="default"/>
        <w:lang w:val="en-US" w:eastAsia="en-US" w:bidi="ar-SA"/>
      </w:rPr>
    </w:lvl>
    <w:lvl w:ilvl="6" w:tplc="E21495DC">
      <w:numFmt w:val="bullet"/>
      <w:lvlText w:val="•"/>
      <w:lvlJc w:val="left"/>
      <w:pPr>
        <w:ind w:left="2966" w:hanging="186"/>
      </w:pPr>
      <w:rPr>
        <w:rFonts w:hint="default"/>
        <w:lang w:val="en-US" w:eastAsia="en-US" w:bidi="ar-SA"/>
      </w:rPr>
    </w:lvl>
    <w:lvl w:ilvl="7" w:tplc="B712DFAA">
      <w:numFmt w:val="bullet"/>
      <w:lvlText w:val="•"/>
      <w:lvlJc w:val="left"/>
      <w:pPr>
        <w:ind w:left="3414" w:hanging="186"/>
      </w:pPr>
      <w:rPr>
        <w:rFonts w:hint="default"/>
        <w:lang w:val="en-US" w:eastAsia="en-US" w:bidi="ar-SA"/>
      </w:rPr>
    </w:lvl>
    <w:lvl w:ilvl="8" w:tplc="274040C4">
      <w:numFmt w:val="bullet"/>
      <w:lvlText w:val="•"/>
      <w:lvlJc w:val="left"/>
      <w:pPr>
        <w:ind w:left="3862" w:hanging="186"/>
      </w:pPr>
      <w:rPr>
        <w:rFonts w:hint="default"/>
        <w:lang w:val="en-US" w:eastAsia="en-US" w:bidi="ar-SA"/>
      </w:rPr>
    </w:lvl>
  </w:abstractNum>
  <w:abstractNum w:abstractNumId="16" w15:restartNumberingAfterBreak="0">
    <w:nsid w:val="0BF6046E"/>
    <w:multiLevelType w:val="hybridMultilevel"/>
    <w:tmpl w:val="5A4EE7F0"/>
    <w:lvl w:ilvl="0" w:tplc="8B62C812">
      <w:start w:val="6"/>
      <w:numFmt w:val="decimal"/>
      <w:lvlText w:val="%1."/>
      <w:lvlJc w:val="left"/>
      <w:pPr>
        <w:ind w:left="461" w:hanging="307"/>
        <w:jc w:val="left"/>
      </w:pPr>
      <w:rPr>
        <w:rFonts w:ascii="Arial" w:eastAsia="Arial" w:hAnsi="Arial" w:cs="Arial" w:hint="default"/>
        <w:b w:val="0"/>
        <w:bCs w:val="0"/>
        <w:i w:val="0"/>
        <w:iCs w:val="0"/>
        <w:spacing w:val="0"/>
        <w:w w:val="99"/>
        <w:sz w:val="22"/>
        <w:szCs w:val="22"/>
        <w:lang w:val="en-US" w:eastAsia="en-US" w:bidi="ar-SA"/>
      </w:rPr>
    </w:lvl>
    <w:lvl w:ilvl="1" w:tplc="0E7615AA">
      <w:numFmt w:val="bullet"/>
      <w:lvlText w:val=""/>
      <w:lvlJc w:val="left"/>
      <w:pPr>
        <w:ind w:left="850" w:hanging="360"/>
      </w:pPr>
      <w:rPr>
        <w:rFonts w:ascii="Symbol" w:eastAsia="Symbol" w:hAnsi="Symbol" w:cs="Symbol" w:hint="default"/>
        <w:b w:val="0"/>
        <w:bCs w:val="0"/>
        <w:i w:val="0"/>
        <w:iCs w:val="0"/>
        <w:spacing w:val="0"/>
        <w:w w:val="99"/>
        <w:sz w:val="22"/>
        <w:szCs w:val="22"/>
        <w:lang w:val="en-US" w:eastAsia="en-US" w:bidi="ar-SA"/>
      </w:rPr>
    </w:lvl>
    <w:lvl w:ilvl="2" w:tplc="9C3E9B2C">
      <w:numFmt w:val="bullet"/>
      <w:lvlText w:val="•"/>
      <w:lvlJc w:val="left"/>
      <w:pPr>
        <w:ind w:left="1570" w:hanging="360"/>
      </w:pPr>
      <w:rPr>
        <w:rFonts w:hint="default"/>
        <w:lang w:val="en-US" w:eastAsia="en-US" w:bidi="ar-SA"/>
      </w:rPr>
    </w:lvl>
    <w:lvl w:ilvl="3" w:tplc="5FFE2B1C">
      <w:numFmt w:val="bullet"/>
      <w:lvlText w:val="•"/>
      <w:lvlJc w:val="left"/>
      <w:pPr>
        <w:ind w:left="2281" w:hanging="360"/>
      </w:pPr>
      <w:rPr>
        <w:rFonts w:hint="default"/>
        <w:lang w:val="en-US" w:eastAsia="en-US" w:bidi="ar-SA"/>
      </w:rPr>
    </w:lvl>
    <w:lvl w:ilvl="4" w:tplc="367A70C6">
      <w:numFmt w:val="bullet"/>
      <w:lvlText w:val="•"/>
      <w:lvlJc w:val="left"/>
      <w:pPr>
        <w:ind w:left="2992" w:hanging="360"/>
      </w:pPr>
      <w:rPr>
        <w:rFonts w:hint="default"/>
        <w:lang w:val="en-US" w:eastAsia="en-US" w:bidi="ar-SA"/>
      </w:rPr>
    </w:lvl>
    <w:lvl w:ilvl="5" w:tplc="C218B8D6">
      <w:numFmt w:val="bullet"/>
      <w:lvlText w:val="•"/>
      <w:lvlJc w:val="left"/>
      <w:pPr>
        <w:ind w:left="3702" w:hanging="360"/>
      </w:pPr>
      <w:rPr>
        <w:rFonts w:hint="default"/>
        <w:lang w:val="en-US" w:eastAsia="en-US" w:bidi="ar-SA"/>
      </w:rPr>
    </w:lvl>
    <w:lvl w:ilvl="6" w:tplc="647C6BB2">
      <w:numFmt w:val="bullet"/>
      <w:lvlText w:val="•"/>
      <w:lvlJc w:val="left"/>
      <w:pPr>
        <w:ind w:left="4413" w:hanging="360"/>
      </w:pPr>
      <w:rPr>
        <w:rFonts w:hint="default"/>
        <w:lang w:val="en-US" w:eastAsia="en-US" w:bidi="ar-SA"/>
      </w:rPr>
    </w:lvl>
    <w:lvl w:ilvl="7" w:tplc="1B9A2F48">
      <w:numFmt w:val="bullet"/>
      <w:lvlText w:val="•"/>
      <w:lvlJc w:val="left"/>
      <w:pPr>
        <w:ind w:left="5124" w:hanging="360"/>
      </w:pPr>
      <w:rPr>
        <w:rFonts w:hint="default"/>
        <w:lang w:val="en-US" w:eastAsia="en-US" w:bidi="ar-SA"/>
      </w:rPr>
    </w:lvl>
    <w:lvl w:ilvl="8" w:tplc="3AF63B7C">
      <w:numFmt w:val="bullet"/>
      <w:lvlText w:val="•"/>
      <w:lvlJc w:val="left"/>
      <w:pPr>
        <w:ind w:left="5834" w:hanging="360"/>
      </w:pPr>
      <w:rPr>
        <w:rFonts w:hint="default"/>
        <w:lang w:val="en-US" w:eastAsia="en-US" w:bidi="ar-SA"/>
      </w:rPr>
    </w:lvl>
  </w:abstractNum>
  <w:abstractNum w:abstractNumId="17" w15:restartNumberingAfterBreak="0">
    <w:nsid w:val="0CE550FE"/>
    <w:multiLevelType w:val="hybridMultilevel"/>
    <w:tmpl w:val="C0A86D6E"/>
    <w:lvl w:ilvl="0" w:tplc="6E923B10">
      <w:start w:val="1"/>
      <w:numFmt w:val="decimalZero"/>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3592A510">
      <w:start w:val="1"/>
      <w:numFmt w:val="lowerLetter"/>
      <w:lvlText w:val="%2."/>
      <w:lvlJc w:val="left"/>
      <w:pPr>
        <w:ind w:left="2161" w:hanging="360"/>
        <w:jc w:val="left"/>
      </w:pPr>
      <w:rPr>
        <w:rFonts w:ascii="Arial" w:eastAsia="Arial" w:hAnsi="Arial" w:cs="Arial" w:hint="default"/>
        <w:b w:val="0"/>
        <w:bCs w:val="0"/>
        <w:i w:val="0"/>
        <w:iCs w:val="0"/>
        <w:spacing w:val="0"/>
        <w:w w:val="99"/>
        <w:sz w:val="22"/>
        <w:szCs w:val="22"/>
        <w:lang w:val="en-US" w:eastAsia="en-US" w:bidi="ar-SA"/>
      </w:rPr>
    </w:lvl>
    <w:lvl w:ilvl="2" w:tplc="F266EA08">
      <w:numFmt w:val="bullet"/>
      <w:lvlText w:val=""/>
      <w:lvlJc w:val="left"/>
      <w:pPr>
        <w:ind w:left="2520" w:hanging="360"/>
      </w:pPr>
      <w:rPr>
        <w:rFonts w:ascii="Symbol" w:eastAsia="Symbol" w:hAnsi="Symbol" w:cs="Symbol" w:hint="default"/>
        <w:b w:val="0"/>
        <w:bCs w:val="0"/>
        <w:i w:val="0"/>
        <w:iCs w:val="0"/>
        <w:spacing w:val="0"/>
        <w:w w:val="99"/>
        <w:sz w:val="22"/>
        <w:szCs w:val="22"/>
        <w:lang w:val="en-US" w:eastAsia="en-US" w:bidi="ar-SA"/>
      </w:rPr>
    </w:lvl>
    <w:lvl w:ilvl="3" w:tplc="C3F62B2A">
      <w:numFmt w:val="bullet"/>
      <w:lvlText w:val="•"/>
      <w:lvlJc w:val="left"/>
      <w:pPr>
        <w:ind w:left="3510" w:hanging="360"/>
      </w:pPr>
      <w:rPr>
        <w:rFonts w:hint="default"/>
        <w:lang w:val="en-US" w:eastAsia="en-US" w:bidi="ar-SA"/>
      </w:rPr>
    </w:lvl>
    <w:lvl w:ilvl="4" w:tplc="57FCC612">
      <w:numFmt w:val="bullet"/>
      <w:lvlText w:val="•"/>
      <w:lvlJc w:val="left"/>
      <w:pPr>
        <w:ind w:left="4500" w:hanging="360"/>
      </w:pPr>
      <w:rPr>
        <w:rFonts w:hint="default"/>
        <w:lang w:val="en-US" w:eastAsia="en-US" w:bidi="ar-SA"/>
      </w:rPr>
    </w:lvl>
    <w:lvl w:ilvl="5" w:tplc="398E6B8E">
      <w:numFmt w:val="bullet"/>
      <w:lvlText w:val="•"/>
      <w:lvlJc w:val="left"/>
      <w:pPr>
        <w:ind w:left="5490" w:hanging="360"/>
      </w:pPr>
      <w:rPr>
        <w:rFonts w:hint="default"/>
        <w:lang w:val="en-US" w:eastAsia="en-US" w:bidi="ar-SA"/>
      </w:rPr>
    </w:lvl>
    <w:lvl w:ilvl="6" w:tplc="B384494E">
      <w:numFmt w:val="bullet"/>
      <w:lvlText w:val="•"/>
      <w:lvlJc w:val="left"/>
      <w:pPr>
        <w:ind w:left="6480" w:hanging="360"/>
      </w:pPr>
      <w:rPr>
        <w:rFonts w:hint="default"/>
        <w:lang w:val="en-US" w:eastAsia="en-US" w:bidi="ar-SA"/>
      </w:rPr>
    </w:lvl>
    <w:lvl w:ilvl="7" w:tplc="A43E8AC0">
      <w:numFmt w:val="bullet"/>
      <w:lvlText w:val="•"/>
      <w:lvlJc w:val="left"/>
      <w:pPr>
        <w:ind w:left="7470" w:hanging="360"/>
      </w:pPr>
      <w:rPr>
        <w:rFonts w:hint="default"/>
        <w:lang w:val="en-US" w:eastAsia="en-US" w:bidi="ar-SA"/>
      </w:rPr>
    </w:lvl>
    <w:lvl w:ilvl="8" w:tplc="86D6653A">
      <w:numFmt w:val="bullet"/>
      <w:lvlText w:val="•"/>
      <w:lvlJc w:val="left"/>
      <w:pPr>
        <w:ind w:left="8460" w:hanging="360"/>
      </w:pPr>
      <w:rPr>
        <w:rFonts w:hint="default"/>
        <w:lang w:val="en-US" w:eastAsia="en-US" w:bidi="ar-SA"/>
      </w:rPr>
    </w:lvl>
  </w:abstractNum>
  <w:abstractNum w:abstractNumId="18" w15:restartNumberingAfterBreak="0">
    <w:nsid w:val="0D9A104F"/>
    <w:multiLevelType w:val="hybridMultilevel"/>
    <w:tmpl w:val="D8E66C3C"/>
    <w:lvl w:ilvl="0" w:tplc="D3445974">
      <w:start w:val="4"/>
      <w:numFmt w:val="decimal"/>
      <w:lvlText w:val="%1."/>
      <w:lvlJc w:val="left"/>
      <w:pPr>
        <w:ind w:left="860" w:hanging="360"/>
        <w:jc w:val="left"/>
      </w:pPr>
      <w:rPr>
        <w:rFonts w:ascii="Arial" w:eastAsia="Arial" w:hAnsi="Arial" w:cs="Arial" w:hint="default"/>
        <w:b w:val="0"/>
        <w:bCs w:val="0"/>
        <w:i w:val="0"/>
        <w:iCs w:val="0"/>
        <w:spacing w:val="0"/>
        <w:w w:val="99"/>
        <w:sz w:val="22"/>
        <w:szCs w:val="22"/>
        <w:lang w:val="en-US" w:eastAsia="en-US" w:bidi="ar-SA"/>
      </w:rPr>
    </w:lvl>
    <w:lvl w:ilvl="1" w:tplc="24FC5452">
      <w:numFmt w:val="bullet"/>
      <w:lvlText w:val=""/>
      <w:lvlJc w:val="left"/>
      <w:pPr>
        <w:ind w:left="1162" w:hanging="274"/>
      </w:pPr>
      <w:rPr>
        <w:rFonts w:ascii="Symbol" w:eastAsia="Symbol" w:hAnsi="Symbol" w:cs="Symbol" w:hint="default"/>
        <w:b w:val="0"/>
        <w:bCs w:val="0"/>
        <w:i w:val="0"/>
        <w:iCs w:val="0"/>
        <w:spacing w:val="0"/>
        <w:w w:val="99"/>
        <w:sz w:val="22"/>
        <w:szCs w:val="22"/>
        <w:lang w:val="en-US" w:eastAsia="en-US" w:bidi="ar-SA"/>
      </w:rPr>
    </w:lvl>
    <w:lvl w:ilvl="2" w:tplc="2DD0DC80">
      <w:numFmt w:val="bullet"/>
      <w:lvlText w:val="•"/>
      <w:lvlJc w:val="left"/>
      <w:pPr>
        <w:ind w:left="1879" w:hanging="274"/>
      </w:pPr>
      <w:rPr>
        <w:rFonts w:hint="default"/>
        <w:lang w:val="en-US" w:eastAsia="en-US" w:bidi="ar-SA"/>
      </w:rPr>
    </w:lvl>
    <w:lvl w:ilvl="3" w:tplc="BCD481FE">
      <w:numFmt w:val="bullet"/>
      <w:lvlText w:val="•"/>
      <w:lvlJc w:val="left"/>
      <w:pPr>
        <w:ind w:left="2598" w:hanging="274"/>
      </w:pPr>
      <w:rPr>
        <w:rFonts w:hint="default"/>
        <w:lang w:val="en-US" w:eastAsia="en-US" w:bidi="ar-SA"/>
      </w:rPr>
    </w:lvl>
    <w:lvl w:ilvl="4" w:tplc="75E2EDE2">
      <w:numFmt w:val="bullet"/>
      <w:lvlText w:val="•"/>
      <w:lvlJc w:val="left"/>
      <w:pPr>
        <w:ind w:left="3317" w:hanging="274"/>
      </w:pPr>
      <w:rPr>
        <w:rFonts w:hint="default"/>
        <w:lang w:val="en-US" w:eastAsia="en-US" w:bidi="ar-SA"/>
      </w:rPr>
    </w:lvl>
    <w:lvl w:ilvl="5" w:tplc="A0C2DAEA">
      <w:numFmt w:val="bullet"/>
      <w:lvlText w:val="•"/>
      <w:lvlJc w:val="left"/>
      <w:pPr>
        <w:ind w:left="4036" w:hanging="274"/>
      </w:pPr>
      <w:rPr>
        <w:rFonts w:hint="default"/>
        <w:lang w:val="en-US" w:eastAsia="en-US" w:bidi="ar-SA"/>
      </w:rPr>
    </w:lvl>
    <w:lvl w:ilvl="6" w:tplc="FCFABBB6">
      <w:numFmt w:val="bullet"/>
      <w:lvlText w:val="•"/>
      <w:lvlJc w:val="left"/>
      <w:pPr>
        <w:ind w:left="4755" w:hanging="274"/>
      </w:pPr>
      <w:rPr>
        <w:rFonts w:hint="default"/>
        <w:lang w:val="en-US" w:eastAsia="en-US" w:bidi="ar-SA"/>
      </w:rPr>
    </w:lvl>
    <w:lvl w:ilvl="7" w:tplc="C8E8F824">
      <w:numFmt w:val="bullet"/>
      <w:lvlText w:val="•"/>
      <w:lvlJc w:val="left"/>
      <w:pPr>
        <w:ind w:left="5474" w:hanging="274"/>
      </w:pPr>
      <w:rPr>
        <w:rFonts w:hint="default"/>
        <w:lang w:val="en-US" w:eastAsia="en-US" w:bidi="ar-SA"/>
      </w:rPr>
    </w:lvl>
    <w:lvl w:ilvl="8" w:tplc="29EC9114">
      <w:numFmt w:val="bullet"/>
      <w:lvlText w:val="•"/>
      <w:lvlJc w:val="left"/>
      <w:pPr>
        <w:ind w:left="6193" w:hanging="274"/>
      </w:pPr>
      <w:rPr>
        <w:rFonts w:hint="default"/>
        <w:lang w:val="en-US" w:eastAsia="en-US" w:bidi="ar-SA"/>
      </w:rPr>
    </w:lvl>
  </w:abstractNum>
  <w:abstractNum w:abstractNumId="19" w15:restartNumberingAfterBreak="0">
    <w:nsid w:val="0E5C084A"/>
    <w:multiLevelType w:val="hybridMultilevel"/>
    <w:tmpl w:val="7E1C65AE"/>
    <w:lvl w:ilvl="0" w:tplc="45B802D0">
      <w:numFmt w:val="bullet"/>
      <w:lvlText w:val=""/>
      <w:lvlJc w:val="left"/>
      <w:pPr>
        <w:ind w:left="306" w:hanging="189"/>
      </w:pPr>
      <w:rPr>
        <w:rFonts w:ascii="Symbol" w:eastAsia="Symbol" w:hAnsi="Symbol" w:cs="Symbol" w:hint="default"/>
        <w:b w:val="0"/>
        <w:bCs w:val="0"/>
        <w:i w:val="0"/>
        <w:iCs w:val="0"/>
        <w:spacing w:val="0"/>
        <w:w w:val="100"/>
        <w:sz w:val="18"/>
        <w:szCs w:val="18"/>
        <w:lang w:val="en-US" w:eastAsia="en-US" w:bidi="ar-SA"/>
      </w:rPr>
    </w:lvl>
    <w:lvl w:ilvl="1" w:tplc="5FB04166">
      <w:numFmt w:val="bullet"/>
      <w:lvlText w:val="•"/>
      <w:lvlJc w:val="left"/>
      <w:pPr>
        <w:ind w:left="1028" w:hanging="189"/>
      </w:pPr>
      <w:rPr>
        <w:rFonts w:hint="default"/>
        <w:lang w:val="en-US" w:eastAsia="en-US" w:bidi="ar-SA"/>
      </w:rPr>
    </w:lvl>
    <w:lvl w:ilvl="2" w:tplc="52E80278">
      <w:numFmt w:val="bullet"/>
      <w:lvlText w:val="•"/>
      <w:lvlJc w:val="left"/>
      <w:pPr>
        <w:ind w:left="1756" w:hanging="189"/>
      </w:pPr>
      <w:rPr>
        <w:rFonts w:hint="default"/>
        <w:lang w:val="en-US" w:eastAsia="en-US" w:bidi="ar-SA"/>
      </w:rPr>
    </w:lvl>
    <w:lvl w:ilvl="3" w:tplc="2580FD1E">
      <w:numFmt w:val="bullet"/>
      <w:lvlText w:val="•"/>
      <w:lvlJc w:val="left"/>
      <w:pPr>
        <w:ind w:left="2484" w:hanging="189"/>
      </w:pPr>
      <w:rPr>
        <w:rFonts w:hint="default"/>
        <w:lang w:val="en-US" w:eastAsia="en-US" w:bidi="ar-SA"/>
      </w:rPr>
    </w:lvl>
    <w:lvl w:ilvl="4" w:tplc="1C5A1216">
      <w:numFmt w:val="bullet"/>
      <w:lvlText w:val="•"/>
      <w:lvlJc w:val="left"/>
      <w:pPr>
        <w:ind w:left="3212" w:hanging="189"/>
      </w:pPr>
      <w:rPr>
        <w:rFonts w:hint="default"/>
        <w:lang w:val="en-US" w:eastAsia="en-US" w:bidi="ar-SA"/>
      </w:rPr>
    </w:lvl>
    <w:lvl w:ilvl="5" w:tplc="5D98F5E4">
      <w:numFmt w:val="bullet"/>
      <w:lvlText w:val="•"/>
      <w:lvlJc w:val="left"/>
      <w:pPr>
        <w:ind w:left="3940" w:hanging="189"/>
      </w:pPr>
      <w:rPr>
        <w:rFonts w:hint="default"/>
        <w:lang w:val="en-US" w:eastAsia="en-US" w:bidi="ar-SA"/>
      </w:rPr>
    </w:lvl>
    <w:lvl w:ilvl="6" w:tplc="DB7CAA26">
      <w:numFmt w:val="bullet"/>
      <w:lvlText w:val="•"/>
      <w:lvlJc w:val="left"/>
      <w:pPr>
        <w:ind w:left="4668" w:hanging="189"/>
      </w:pPr>
      <w:rPr>
        <w:rFonts w:hint="default"/>
        <w:lang w:val="en-US" w:eastAsia="en-US" w:bidi="ar-SA"/>
      </w:rPr>
    </w:lvl>
    <w:lvl w:ilvl="7" w:tplc="176263DE">
      <w:numFmt w:val="bullet"/>
      <w:lvlText w:val="•"/>
      <w:lvlJc w:val="left"/>
      <w:pPr>
        <w:ind w:left="5396" w:hanging="189"/>
      </w:pPr>
      <w:rPr>
        <w:rFonts w:hint="default"/>
        <w:lang w:val="en-US" w:eastAsia="en-US" w:bidi="ar-SA"/>
      </w:rPr>
    </w:lvl>
    <w:lvl w:ilvl="8" w:tplc="943AE544">
      <w:numFmt w:val="bullet"/>
      <w:lvlText w:val="•"/>
      <w:lvlJc w:val="left"/>
      <w:pPr>
        <w:ind w:left="6124" w:hanging="189"/>
      </w:pPr>
      <w:rPr>
        <w:rFonts w:hint="default"/>
        <w:lang w:val="en-US" w:eastAsia="en-US" w:bidi="ar-SA"/>
      </w:rPr>
    </w:lvl>
  </w:abstractNum>
  <w:abstractNum w:abstractNumId="20" w15:restartNumberingAfterBreak="0">
    <w:nsid w:val="0ED07056"/>
    <w:multiLevelType w:val="hybridMultilevel"/>
    <w:tmpl w:val="A086A6F0"/>
    <w:lvl w:ilvl="0" w:tplc="BEBEFC94">
      <w:start w:val="1"/>
      <w:numFmt w:val="lowerLetter"/>
      <w:lvlText w:val="%1)"/>
      <w:lvlJc w:val="left"/>
      <w:pPr>
        <w:ind w:left="1244" w:hanging="397"/>
        <w:jc w:val="left"/>
      </w:pPr>
      <w:rPr>
        <w:rFonts w:ascii="Arial" w:eastAsia="Arial" w:hAnsi="Arial" w:cs="Arial" w:hint="default"/>
        <w:b w:val="0"/>
        <w:bCs w:val="0"/>
        <w:i w:val="0"/>
        <w:iCs w:val="0"/>
        <w:spacing w:val="0"/>
        <w:w w:val="99"/>
        <w:sz w:val="22"/>
        <w:szCs w:val="22"/>
        <w:lang w:val="en-US" w:eastAsia="en-US" w:bidi="ar-SA"/>
      </w:rPr>
    </w:lvl>
    <w:lvl w:ilvl="1" w:tplc="5A421A0C">
      <w:start w:val="1"/>
      <w:numFmt w:val="lowerRoman"/>
      <w:lvlText w:val="%2."/>
      <w:lvlJc w:val="left"/>
      <w:pPr>
        <w:ind w:left="1708" w:hanging="361"/>
        <w:jc w:val="left"/>
      </w:pPr>
      <w:rPr>
        <w:rFonts w:ascii="Arial" w:eastAsia="Arial" w:hAnsi="Arial" w:cs="Arial" w:hint="default"/>
        <w:b w:val="0"/>
        <w:bCs w:val="0"/>
        <w:i w:val="0"/>
        <w:iCs w:val="0"/>
        <w:spacing w:val="0"/>
        <w:w w:val="99"/>
        <w:sz w:val="22"/>
        <w:szCs w:val="22"/>
        <w:lang w:val="en-US" w:eastAsia="en-US" w:bidi="ar-SA"/>
      </w:rPr>
    </w:lvl>
    <w:lvl w:ilvl="2" w:tplc="A4C256CA">
      <w:numFmt w:val="bullet"/>
      <w:lvlText w:val="•"/>
      <w:lvlJc w:val="left"/>
      <w:pPr>
        <w:ind w:left="2252" w:hanging="361"/>
      </w:pPr>
      <w:rPr>
        <w:rFonts w:hint="default"/>
        <w:lang w:val="en-US" w:eastAsia="en-US" w:bidi="ar-SA"/>
      </w:rPr>
    </w:lvl>
    <w:lvl w:ilvl="3" w:tplc="FD6A7B94">
      <w:numFmt w:val="bullet"/>
      <w:lvlText w:val="•"/>
      <w:lvlJc w:val="left"/>
      <w:pPr>
        <w:ind w:left="2804" w:hanging="361"/>
      </w:pPr>
      <w:rPr>
        <w:rFonts w:hint="default"/>
        <w:lang w:val="en-US" w:eastAsia="en-US" w:bidi="ar-SA"/>
      </w:rPr>
    </w:lvl>
    <w:lvl w:ilvl="4" w:tplc="700E6138">
      <w:numFmt w:val="bullet"/>
      <w:lvlText w:val="•"/>
      <w:lvlJc w:val="left"/>
      <w:pPr>
        <w:ind w:left="3356" w:hanging="361"/>
      </w:pPr>
      <w:rPr>
        <w:rFonts w:hint="default"/>
        <w:lang w:val="en-US" w:eastAsia="en-US" w:bidi="ar-SA"/>
      </w:rPr>
    </w:lvl>
    <w:lvl w:ilvl="5" w:tplc="36387716">
      <w:numFmt w:val="bullet"/>
      <w:lvlText w:val="•"/>
      <w:lvlJc w:val="left"/>
      <w:pPr>
        <w:ind w:left="3908" w:hanging="361"/>
      </w:pPr>
      <w:rPr>
        <w:rFonts w:hint="default"/>
        <w:lang w:val="en-US" w:eastAsia="en-US" w:bidi="ar-SA"/>
      </w:rPr>
    </w:lvl>
    <w:lvl w:ilvl="6" w:tplc="28D61F24">
      <w:numFmt w:val="bullet"/>
      <w:lvlText w:val="•"/>
      <w:lvlJc w:val="left"/>
      <w:pPr>
        <w:ind w:left="4460" w:hanging="361"/>
      </w:pPr>
      <w:rPr>
        <w:rFonts w:hint="default"/>
        <w:lang w:val="en-US" w:eastAsia="en-US" w:bidi="ar-SA"/>
      </w:rPr>
    </w:lvl>
    <w:lvl w:ilvl="7" w:tplc="0E54F9CC">
      <w:numFmt w:val="bullet"/>
      <w:lvlText w:val="•"/>
      <w:lvlJc w:val="left"/>
      <w:pPr>
        <w:ind w:left="5012" w:hanging="361"/>
      </w:pPr>
      <w:rPr>
        <w:rFonts w:hint="default"/>
        <w:lang w:val="en-US" w:eastAsia="en-US" w:bidi="ar-SA"/>
      </w:rPr>
    </w:lvl>
    <w:lvl w:ilvl="8" w:tplc="B2C00AC8">
      <w:numFmt w:val="bullet"/>
      <w:lvlText w:val="•"/>
      <w:lvlJc w:val="left"/>
      <w:pPr>
        <w:ind w:left="5564" w:hanging="361"/>
      </w:pPr>
      <w:rPr>
        <w:rFonts w:hint="default"/>
        <w:lang w:val="en-US" w:eastAsia="en-US" w:bidi="ar-SA"/>
      </w:rPr>
    </w:lvl>
  </w:abstractNum>
  <w:abstractNum w:abstractNumId="21" w15:restartNumberingAfterBreak="0">
    <w:nsid w:val="0EDE0998"/>
    <w:multiLevelType w:val="hybridMultilevel"/>
    <w:tmpl w:val="A0927278"/>
    <w:lvl w:ilvl="0" w:tplc="BE66C82E">
      <w:numFmt w:val="bullet"/>
      <w:lvlText w:val="o"/>
      <w:lvlJc w:val="left"/>
      <w:pPr>
        <w:ind w:left="2518" w:hanging="360"/>
      </w:pPr>
      <w:rPr>
        <w:rFonts w:ascii="Courier New" w:eastAsia="Courier New" w:hAnsi="Courier New" w:cs="Courier New" w:hint="default"/>
        <w:b w:val="0"/>
        <w:bCs w:val="0"/>
        <w:i w:val="0"/>
        <w:iCs w:val="0"/>
        <w:spacing w:val="0"/>
        <w:w w:val="99"/>
        <w:sz w:val="22"/>
        <w:szCs w:val="22"/>
        <w:lang w:val="en-US" w:eastAsia="en-US" w:bidi="ar-SA"/>
      </w:rPr>
    </w:lvl>
    <w:lvl w:ilvl="1" w:tplc="17E28CC2">
      <w:numFmt w:val="bullet"/>
      <w:lvlText w:val="•"/>
      <w:lvlJc w:val="left"/>
      <w:pPr>
        <w:ind w:left="3312" w:hanging="360"/>
      </w:pPr>
      <w:rPr>
        <w:rFonts w:hint="default"/>
        <w:lang w:val="en-US" w:eastAsia="en-US" w:bidi="ar-SA"/>
      </w:rPr>
    </w:lvl>
    <w:lvl w:ilvl="2" w:tplc="81669C2C">
      <w:numFmt w:val="bullet"/>
      <w:lvlText w:val="•"/>
      <w:lvlJc w:val="left"/>
      <w:pPr>
        <w:ind w:left="4104" w:hanging="360"/>
      </w:pPr>
      <w:rPr>
        <w:rFonts w:hint="default"/>
        <w:lang w:val="en-US" w:eastAsia="en-US" w:bidi="ar-SA"/>
      </w:rPr>
    </w:lvl>
    <w:lvl w:ilvl="3" w:tplc="C69864FE">
      <w:numFmt w:val="bullet"/>
      <w:lvlText w:val="•"/>
      <w:lvlJc w:val="left"/>
      <w:pPr>
        <w:ind w:left="4896" w:hanging="360"/>
      </w:pPr>
      <w:rPr>
        <w:rFonts w:hint="default"/>
        <w:lang w:val="en-US" w:eastAsia="en-US" w:bidi="ar-SA"/>
      </w:rPr>
    </w:lvl>
    <w:lvl w:ilvl="4" w:tplc="004CE034">
      <w:numFmt w:val="bullet"/>
      <w:lvlText w:val="•"/>
      <w:lvlJc w:val="left"/>
      <w:pPr>
        <w:ind w:left="5688" w:hanging="360"/>
      </w:pPr>
      <w:rPr>
        <w:rFonts w:hint="default"/>
        <w:lang w:val="en-US" w:eastAsia="en-US" w:bidi="ar-SA"/>
      </w:rPr>
    </w:lvl>
    <w:lvl w:ilvl="5" w:tplc="D93682D2">
      <w:numFmt w:val="bullet"/>
      <w:lvlText w:val="•"/>
      <w:lvlJc w:val="left"/>
      <w:pPr>
        <w:ind w:left="6480" w:hanging="360"/>
      </w:pPr>
      <w:rPr>
        <w:rFonts w:hint="default"/>
        <w:lang w:val="en-US" w:eastAsia="en-US" w:bidi="ar-SA"/>
      </w:rPr>
    </w:lvl>
    <w:lvl w:ilvl="6" w:tplc="0FFE0664">
      <w:numFmt w:val="bullet"/>
      <w:lvlText w:val="•"/>
      <w:lvlJc w:val="left"/>
      <w:pPr>
        <w:ind w:left="7272" w:hanging="360"/>
      </w:pPr>
      <w:rPr>
        <w:rFonts w:hint="default"/>
        <w:lang w:val="en-US" w:eastAsia="en-US" w:bidi="ar-SA"/>
      </w:rPr>
    </w:lvl>
    <w:lvl w:ilvl="7" w:tplc="650A8ECC">
      <w:numFmt w:val="bullet"/>
      <w:lvlText w:val="•"/>
      <w:lvlJc w:val="left"/>
      <w:pPr>
        <w:ind w:left="8064" w:hanging="360"/>
      </w:pPr>
      <w:rPr>
        <w:rFonts w:hint="default"/>
        <w:lang w:val="en-US" w:eastAsia="en-US" w:bidi="ar-SA"/>
      </w:rPr>
    </w:lvl>
    <w:lvl w:ilvl="8" w:tplc="C7A46562">
      <w:numFmt w:val="bullet"/>
      <w:lvlText w:val="•"/>
      <w:lvlJc w:val="left"/>
      <w:pPr>
        <w:ind w:left="8856" w:hanging="360"/>
      </w:pPr>
      <w:rPr>
        <w:rFonts w:hint="default"/>
        <w:lang w:val="en-US" w:eastAsia="en-US" w:bidi="ar-SA"/>
      </w:rPr>
    </w:lvl>
  </w:abstractNum>
  <w:abstractNum w:abstractNumId="22" w15:restartNumberingAfterBreak="0">
    <w:nsid w:val="0F310F95"/>
    <w:multiLevelType w:val="hybridMultilevel"/>
    <w:tmpl w:val="D1228982"/>
    <w:lvl w:ilvl="0" w:tplc="C178D532">
      <w:start w:val="1"/>
      <w:numFmt w:val="decimal"/>
      <w:lvlText w:val="%1)"/>
      <w:lvlJc w:val="left"/>
      <w:pPr>
        <w:ind w:left="485" w:hanging="429"/>
        <w:jc w:val="left"/>
      </w:pPr>
      <w:rPr>
        <w:rFonts w:ascii="Arial" w:eastAsia="Arial" w:hAnsi="Arial" w:cs="Arial" w:hint="default"/>
        <w:b w:val="0"/>
        <w:bCs w:val="0"/>
        <w:i w:val="0"/>
        <w:iCs w:val="0"/>
        <w:spacing w:val="0"/>
        <w:w w:val="99"/>
        <w:sz w:val="22"/>
        <w:szCs w:val="22"/>
        <w:lang w:val="en-US" w:eastAsia="en-US" w:bidi="ar-SA"/>
      </w:rPr>
    </w:lvl>
    <w:lvl w:ilvl="1" w:tplc="55A61854">
      <w:start w:val="1"/>
      <w:numFmt w:val="lowerLetter"/>
      <w:lvlText w:val="%2)"/>
      <w:lvlJc w:val="left"/>
      <w:pPr>
        <w:ind w:left="845" w:hanging="361"/>
        <w:jc w:val="left"/>
      </w:pPr>
      <w:rPr>
        <w:rFonts w:ascii="Arial" w:eastAsia="Arial" w:hAnsi="Arial" w:cs="Arial" w:hint="default"/>
        <w:b w:val="0"/>
        <w:bCs w:val="0"/>
        <w:i w:val="0"/>
        <w:iCs w:val="0"/>
        <w:spacing w:val="0"/>
        <w:w w:val="99"/>
        <w:sz w:val="22"/>
        <w:szCs w:val="22"/>
        <w:lang w:val="en-US" w:eastAsia="en-US" w:bidi="ar-SA"/>
      </w:rPr>
    </w:lvl>
    <w:lvl w:ilvl="2" w:tplc="B0540C0A">
      <w:start w:val="1"/>
      <w:numFmt w:val="lowerRoman"/>
      <w:lvlText w:val="%3."/>
      <w:lvlJc w:val="left"/>
      <w:pPr>
        <w:ind w:left="1115" w:hanging="291"/>
        <w:jc w:val="right"/>
      </w:pPr>
      <w:rPr>
        <w:rFonts w:ascii="Arial" w:eastAsia="Arial" w:hAnsi="Arial" w:cs="Arial" w:hint="default"/>
        <w:b w:val="0"/>
        <w:bCs w:val="0"/>
        <w:i w:val="0"/>
        <w:iCs w:val="0"/>
        <w:spacing w:val="0"/>
        <w:w w:val="99"/>
        <w:sz w:val="22"/>
        <w:szCs w:val="22"/>
        <w:lang w:val="en-US" w:eastAsia="en-US" w:bidi="ar-SA"/>
      </w:rPr>
    </w:lvl>
    <w:lvl w:ilvl="3" w:tplc="257C4B80">
      <w:numFmt w:val="bullet"/>
      <w:lvlText w:val="•"/>
      <w:lvlJc w:val="left"/>
      <w:pPr>
        <w:ind w:left="1762" w:hanging="291"/>
      </w:pPr>
      <w:rPr>
        <w:rFonts w:hint="default"/>
        <w:lang w:val="en-US" w:eastAsia="en-US" w:bidi="ar-SA"/>
      </w:rPr>
    </w:lvl>
    <w:lvl w:ilvl="4" w:tplc="F62A4CA8">
      <w:numFmt w:val="bullet"/>
      <w:lvlText w:val="•"/>
      <w:lvlJc w:val="left"/>
      <w:pPr>
        <w:ind w:left="2404" w:hanging="291"/>
      </w:pPr>
      <w:rPr>
        <w:rFonts w:hint="default"/>
        <w:lang w:val="en-US" w:eastAsia="en-US" w:bidi="ar-SA"/>
      </w:rPr>
    </w:lvl>
    <w:lvl w:ilvl="5" w:tplc="35A68E0C">
      <w:numFmt w:val="bullet"/>
      <w:lvlText w:val="•"/>
      <w:lvlJc w:val="left"/>
      <w:pPr>
        <w:ind w:left="3047" w:hanging="291"/>
      </w:pPr>
      <w:rPr>
        <w:rFonts w:hint="default"/>
        <w:lang w:val="en-US" w:eastAsia="en-US" w:bidi="ar-SA"/>
      </w:rPr>
    </w:lvl>
    <w:lvl w:ilvl="6" w:tplc="DC9AB04E">
      <w:numFmt w:val="bullet"/>
      <w:lvlText w:val="•"/>
      <w:lvlJc w:val="left"/>
      <w:pPr>
        <w:ind w:left="3689" w:hanging="291"/>
      </w:pPr>
      <w:rPr>
        <w:rFonts w:hint="default"/>
        <w:lang w:val="en-US" w:eastAsia="en-US" w:bidi="ar-SA"/>
      </w:rPr>
    </w:lvl>
    <w:lvl w:ilvl="7" w:tplc="21BA47DE">
      <w:numFmt w:val="bullet"/>
      <w:lvlText w:val="•"/>
      <w:lvlJc w:val="left"/>
      <w:pPr>
        <w:ind w:left="4332" w:hanging="291"/>
      </w:pPr>
      <w:rPr>
        <w:rFonts w:hint="default"/>
        <w:lang w:val="en-US" w:eastAsia="en-US" w:bidi="ar-SA"/>
      </w:rPr>
    </w:lvl>
    <w:lvl w:ilvl="8" w:tplc="926832CE">
      <w:numFmt w:val="bullet"/>
      <w:lvlText w:val="•"/>
      <w:lvlJc w:val="left"/>
      <w:pPr>
        <w:ind w:left="4974" w:hanging="291"/>
      </w:pPr>
      <w:rPr>
        <w:rFonts w:hint="default"/>
        <w:lang w:val="en-US" w:eastAsia="en-US" w:bidi="ar-SA"/>
      </w:rPr>
    </w:lvl>
  </w:abstractNum>
  <w:abstractNum w:abstractNumId="23" w15:restartNumberingAfterBreak="0">
    <w:nsid w:val="0F3F0F10"/>
    <w:multiLevelType w:val="hybridMultilevel"/>
    <w:tmpl w:val="1084E408"/>
    <w:lvl w:ilvl="0" w:tplc="C8C4AFEA">
      <w:start w:val="10"/>
      <w:numFmt w:val="decimal"/>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534603A4">
      <w:numFmt w:val="bullet"/>
      <w:lvlText w:val=""/>
      <w:lvlJc w:val="left"/>
      <w:pPr>
        <w:ind w:left="2160" w:hanging="360"/>
      </w:pPr>
      <w:rPr>
        <w:rFonts w:ascii="Symbol" w:eastAsia="Symbol" w:hAnsi="Symbol" w:cs="Symbol" w:hint="default"/>
        <w:b w:val="0"/>
        <w:bCs w:val="0"/>
        <w:i w:val="0"/>
        <w:iCs w:val="0"/>
        <w:spacing w:val="0"/>
        <w:w w:val="99"/>
        <w:sz w:val="22"/>
        <w:szCs w:val="22"/>
        <w:lang w:val="en-US" w:eastAsia="en-US" w:bidi="ar-SA"/>
      </w:rPr>
    </w:lvl>
    <w:lvl w:ilvl="2" w:tplc="22045FB0">
      <w:numFmt w:val="bullet"/>
      <w:lvlText w:val="•"/>
      <w:lvlJc w:val="left"/>
      <w:pPr>
        <w:ind w:left="3080" w:hanging="360"/>
      </w:pPr>
      <w:rPr>
        <w:rFonts w:hint="default"/>
        <w:lang w:val="en-US" w:eastAsia="en-US" w:bidi="ar-SA"/>
      </w:rPr>
    </w:lvl>
    <w:lvl w:ilvl="3" w:tplc="7A904978">
      <w:numFmt w:val="bullet"/>
      <w:lvlText w:val="•"/>
      <w:lvlJc w:val="left"/>
      <w:pPr>
        <w:ind w:left="4000" w:hanging="360"/>
      </w:pPr>
      <w:rPr>
        <w:rFonts w:hint="default"/>
        <w:lang w:val="en-US" w:eastAsia="en-US" w:bidi="ar-SA"/>
      </w:rPr>
    </w:lvl>
    <w:lvl w:ilvl="4" w:tplc="F034C126">
      <w:numFmt w:val="bullet"/>
      <w:lvlText w:val="•"/>
      <w:lvlJc w:val="left"/>
      <w:pPr>
        <w:ind w:left="4920" w:hanging="360"/>
      </w:pPr>
      <w:rPr>
        <w:rFonts w:hint="default"/>
        <w:lang w:val="en-US" w:eastAsia="en-US" w:bidi="ar-SA"/>
      </w:rPr>
    </w:lvl>
    <w:lvl w:ilvl="5" w:tplc="43B04DBE">
      <w:numFmt w:val="bullet"/>
      <w:lvlText w:val="•"/>
      <w:lvlJc w:val="left"/>
      <w:pPr>
        <w:ind w:left="5840" w:hanging="360"/>
      </w:pPr>
      <w:rPr>
        <w:rFonts w:hint="default"/>
        <w:lang w:val="en-US" w:eastAsia="en-US" w:bidi="ar-SA"/>
      </w:rPr>
    </w:lvl>
    <w:lvl w:ilvl="6" w:tplc="C2222ADC">
      <w:numFmt w:val="bullet"/>
      <w:lvlText w:val="•"/>
      <w:lvlJc w:val="left"/>
      <w:pPr>
        <w:ind w:left="6760" w:hanging="360"/>
      </w:pPr>
      <w:rPr>
        <w:rFonts w:hint="default"/>
        <w:lang w:val="en-US" w:eastAsia="en-US" w:bidi="ar-SA"/>
      </w:rPr>
    </w:lvl>
    <w:lvl w:ilvl="7" w:tplc="87DC7784">
      <w:numFmt w:val="bullet"/>
      <w:lvlText w:val="•"/>
      <w:lvlJc w:val="left"/>
      <w:pPr>
        <w:ind w:left="7680" w:hanging="360"/>
      </w:pPr>
      <w:rPr>
        <w:rFonts w:hint="default"/>
        <w:lang w:val="en-US" w:eastAsia="en-US" w:bidi="ar-SA"/>
      </w:rPr>
    </w:lvl>
    <w:lvl w:ilvl="8" w:tplc="6E648C44">
      <w:numFmt w:val="bullet"/>
      <w:lvlText w:val="•"/>
      <w:lvlJc w:val="left"/>
      <w:pPr>
        <w:ind w:left="8600" w:hanging="360"/>
      </w:pPr>
      <w:rPr>
        <w:rFonts w:hint="default"/>
        <w:lang w:val="en-US" w:eastAsia="en-US" w:bidi="ar-SA"/>
      </w:rPr>
    </w:lvl>
  </w:abstractNum>
  <w:abstractNum w:abstractNumId="24" w15:restartNumberingAfterBreak="0">
    <w:nsid w:val="0FB42AEE"/>
    <w:multiLevelType w:val="hybridMultilevel"/>
    <w:tmpl w:val="37121700"/>
    <w:lvl w:ilvl="0" w:tplc="CB0E5A34">
      <w:start w:val="1"/>
      <w:numFmt w:val="decimalZero"/>
      <w:lvlText w:val=".%1"/>
      <w:lvlJc w:val="left"/>
      <w:pPr>
        <w:ind w:left="1799" w:hanging="721"/>
        <w:jc w:val="left"/>
      </w:pPr>
      <w:rPr>
        <w:rFonts w:ascii="Arial" w:eastAsia="Arial" w:hAnsi="Arial" w:cs="Arial" w:hint="default"/>
        <w:b w:val="0"/>
        <w:bCs w:val="0"/>
        <w:i w:val="0"/>
        <w:iCs w:val="0"/>
        <w:spacing w:val="0"/>
        <w:w w:val="99"/>
        <w:sz w:val="22"/>
        <w:szCs w:val="22"/>
        <w:lang w:val="en-US" w:eastAsia="en-US" w:bidi="ar-SA"/>
      </w:rPr>
    </w:lvl>
    <w:lvl w:ilvl="1" w:tplc="FD5E8BF4">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B3FAF9E2">
      <w:numFmt w:val="bullet"/>
      <w:lvlText w:val=""/>
      <w:lvlJc w:val="left"/>
      <w:pPr>
        <w:ind w:left="2520" w:hanging="360"/>
      </w:pPr>
      <w:rPr>
        <w:rFonts w:ascii="Symbol" w:eastAsia="Symbol" w:hAnsi="Symbol" w:cs="Symbol" w:hint="default"/>
        <w:b w:val="0"/>
        <w:bCs w:val="0"/>
        <w:i w:val="0"/>
        <w:iCs w:val="0"/>
        <w:spacing w:val="0"/>
        <w:w w:val="99"/>
        <w:sz w:val="22"/>
        <w:szCs w:val="22"/>
        <w:lang w:val="en-US" w:eastAsia="en-US" w:bidi="ar-SA"/>
      </w:rPr>
    </w:lvl>
    <w:lvl w:ilvl="3" w:tplc="E8B64E66">
      <w:numFmt w:val="bullet"/>
      <w:lvlText w:val="•"/>
      <w:lvlJc w:val="left"/>
      <w:pPr>
        <w:ind w:left="3510" w:hanging="360"/>
      </w:pPr>
      <w:rPr>
        <w:rFonts w:hint="default"/>
        <w:lang w:val="en-US" w:eastAsia="en-US" w:bidi="ar-SA"/>
      </w:rPr>
    </w:lvl>
    <w:lvl w:ilvl="4" w:tplc="1EF4D4EC">
      <w:numFmt w:val="bullet"/>
      <w:lvlText w:val="•"/>
      <w:lvlJc w:val="left"/>
      <w:pPr>
        <w:ind w:left="4500" w:hanging="360"/>
      </w:pPr>
      <w:rPr>
        <w:rFonts w:hint="default"/>
        <w:lang w:val="en-US" w:eastAsia="en-US" w:bidi="ar-SA"/>
      </w:rPr>
    </w:lvl>
    <w:lvl w:ilvl="5" w:tplc="1ACE99F0">
      <w:numFmt w:val="bullet"/>
      <w:lvlText w:val="•"/>
      <w:lvlJc w:val="left"/>
      <w:pPr>
        <w:ind w:left="5490" w:hanging="360"/>
      </w:pPr>
      <w:rPr>
        <w:rFonts w:hint="default"/>
        <w:lang w:val="en-US" w:eastAsia="en-US" w:bidi="ar-SA"/>
      </w:rPr>
    </w:lvl>
    <w:lvl w:ilvl="6" w:tplc="16AC0B62">
      <w:numFmt w:val="bullet"/>
      <w:lvlText w:val="•"/>
      <w:lvlJc w:val="left"/>
      <w:pPr>
        <w:ind w:left="6480" w:hanging="360"/>
      </w:pPr>
      <w:rPr>
        <w:rFonts w:hint="default"/>
        <w:lang w:val="en-US" w:eastAsia="en-US" w:bidi="ar-SA"/>
      </w:rPr>
    </w:lvl>
    <w:lvl w:ilvl="7" w:tplc="3226538E">
      <w:numFmt w:val="bullet"/>
      <w:lvlText w:val="•"/>
      <w:lvlJc w:val="left"/>
      <w:pPr>
        <w:ind w:left="7470" w:hanging="360"/>
      </w:pPr>
      <w:rPr>
        <w:rFonts w:hint="default"/>
        <w:lang w:val="en-US" w:eastAsia="en-US" w:bidi="ar-SA"/>
      </w:rPr>
    </w:lvl>
    <w:lvl w:ilvl="8" w:tplc="BF1C2008">
      <w:numFmt w:val="bullet"/>
      <w:lvlText w:val="•"/>
      <w:lvlJc w:val="left"/>
      <w:pPr>
        <w:ind w:left="8460" w:hanging="360"/>
      </w:pPr>
      <w:rPr>
        <w:rFonts w:hint="default"/>
        <w:lang w:val="en-US" w:eastAsia="en-US" w:bidi="ar-SA"/>
      </w:rPr>
    </w:lvl>
  </w:abstractNum>
  <w:abstractNum w:abstractNumId="25" w15:restartNumberingAfterBreak="0">
    <w:nsid w:val="1052417C"/>
    <w:multiLevelType w:val="hybridMultilevel"/>
    <w:tmpl w:val="C9EAAB6C"/>
    <w:lvl w:ilvl="0" w:tplc="F4AAC290">
      <w:start w:val="1"/>
      <w:numFmt w:val="decimalZero"/>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8872FE9E">
      <w:numFmt w:val="bullet"/>
      <w:lvlText w:val=""/>
      <w:lvlJc w:val="left"/>
      <w:pPr>
        <w:ind w:left="2160" w:hanging="360"/>
      </w:pPr>
      <w:rPr>
        <w:rFonts w:ascii="Symbol" w:eastAsia="Symbol" w:hAnsi="Symbol" w:cs="Symbol" w:hint="default"/>
        <w:b w:val="0"/>
        <w:bCs w:val="0"/>
        <w:i w:val="0"/>
        <w:iCs w:val="0"/>
        <w:spacing w:val="0"/>
        <w:w w:val="99"/>
        <w:sz w:val="22"/>
        <w:szCs w:val="22"/>
        <w:lang w:val="en-US" w:eastAsia="en-US" w:bidi="ar-SA"/>
      </w:rPr>
    </w:lvl>
    <w:lvl w:ilvl="2" w:tplc="AC62B24C">
      <w:numFmt w:val="bullet"/>
      <w:lvlText w:val="•"/>
      <w:lvlJc w:val="left"/>
      <w:pPr>
        <w:ind w:left="3080" w:hanging="360"/>
      </w:pPr>
      <w:rPr>
        <w:rFonts w:hint="default"/>
        <w:lang w:val="en-US" w:eastAsia="en-US" w:bidi="ar-SA"/>
      </w:rPr>
    </w:lvl>
    <w:lvl w:ilvl="3" w:tplc="7974DCBA">
      <w:numFmt w:val="bullet"/>
      <w:lvlText w:val="•"/>
      <w:lvlJc w:val="left"/>
      <w:pPr>
        <w:ind w:left="4000" w:hanging="360"/>
      </w:pPr>
      <w:rPr>
        <w:rFonts w:hint="default"/>
        <w:lang w:val="en-US" w:eastAsia="en-US" w:bidi="ar-SA"/>
      </w:rPr>
    </w:lvl>
    <w:lvl w:ilvl="4" w:tplc="678CD8EC">
      <w:numFmt w:val="bullet"/>
      <w:lvlText w:val="•"/>
      <w:lvlJc w:val="left"/>
      <w:pPr>
        <w:ind w:left="4920" w:hanging="360"/>
      </w:pPr>
      <w:rPr>
        <w:rFonts w:hint="default"/>
        <w:lang w:val="en-US" w:eastAsia="en-US" w:bidi="ar-SA"/>
      </w:rPr>
    </w:lvl>
    <w:lvl w:ilvl="5" w:tplc="8974C476">
      <w:numFmt w:val="bullet"/>
      <w:lvlText w:val="•"/>
      <w:lvlJc w:val="left"/>
      <w:pPr>
        <w:ind w:left="5840" w:hanging="360"/>
      </w:pPr>
      <w:rPr>
        <w:rFonts w:hint="default"/>
        <w:lang w:val="en-US" w:eastAsia="en-US" w:bidi="ar-SA"/>
      </w:rPr>
    </w:lvl>
    <w:lvl w:ilvl="6" w:tplc="7040BAAA">
      <w:numFmt w:val="bullet"/>
      <w:lvlText w:val="•"/>
      <w:lvlJc w:val="left"/>
      <w:pPr>
        <w:ind w:left="6760" w:hanging="360"/>
      </w:pPr>
      <w:rPr>
        <w:rFonts w:hint="default"/>
        <w:lang w:val="en-US" w:eastAsia="en-US" w:bidi="ar-SA"/>
      </w:rPr>
    </w:lvl>
    <w:lvl w:ilvl="7" w:tplc="918E743E">
      <w:numFmt w:val="bullet"/>
      <w:lvlText w:val="•"/>
      <w:lvlJc w:val="left"/>
      <w:pPr>
        <w:ind w:left="7680" w:hanging="360"/>
      </w:pPr>
      <w:rPr>
        <w:rFonts w:hint="default"/>
        <w:lang w:val="en-US" w:eastAsia="en-US" w:bidi="ar-SA"/>
      </w:rPr>
    </w:lvl>
    <w:lvl w:ilvl="8" w:tplc="C786E8C4">
      <w:numFmt w:val="bullet"/>
      <w:lvlText w:val="•"/>
      <w:lvlJc w:val="left"/>
      <w:pPr>
        <w:ind w:left="8600" w:hanging="360"/>
      </w:pPr>
      <w:rPr>
        <w:rFonts w:hint="default"/>
        <w:lang w:val="en-US" w:eastAsia="en-US" w:bidi="ar-SA"/>
      </w:rPr>
    </w:lvl>
  </w:abstractNum>
  <w:abstractNum w:abstractNumId="26" w15:restartNumberingAfterBreak="0">
    <w:nsid w:val="11116976"/>
    <w:multiLevelType w:val="hybridMultilevel"/>
    <w:tmpl w:val="3BA44B40"/>
    <w:lvl w:ilvl="0" w:tplc="5C76A6E0">
      <w:start w:val="2"/>
      <w:numFmt w:val="decimal"/>
      <w:lvlText w:val="%1)"/>
      <w:lvlJc w:val="left"/>
      <w:pPr>
        <w:ind w:left="711" w:hanging="577"/>
        <w:jc w:val="left"/>
      </w:pPr>
      <w:rPr>
        <w:rFonts w:ascii="Arial" w:eastAsia="Arial" w:hAnsi="Arial" w:cs="Arial" w:hint="default"/>
        <w:b w:val="0"/>
        <w:bCs w:val="0"/>
        <w:i w:val="0"/>
        <w:iCs w:val="0"/>
        <w:spacing w:val="0"/>
        <w:w w:val="99"/>
        <w:sz w:val="22"/>
        <w:szCs w:val="22"/>
        <w:lang w:val="en-US" w:eastAsia="en-US" w:bidi="ar-SA"/>
      </w:rPr>
    </w:lvl>
    <w:lvl w:ilvl="1" w:tplc="5E4E409A">
      <w:numFmt w:val="bullet"/>
      <w:lvlText w:val=""/>
      <w:lvlJc w:val="left"/>
      <w:pPr>
        <w:ind w:left="1069" w:hanging="360"/>
      </w:pPr>
      <w:rPr>
        <w:rFonts w:ascii="Symbol" w:eastAsia="Symbol" w:hAnsi="Symbol" w:cs="Symbol" w:hint="default"/>
        <w:b w:val="0"/>
        <w:bCs w:val="0"/>
        <w:i w:val="0"/>
        <w:iCs w:val="0"/>
        <w:spacing w:val="0"/>
        <w:w w:val="99"/>
        <w:sz w:val="22"/>
        <w:szCs w:val="22"/>
        <w:lang w:val="en-US" w:eastAsia="en-US" w:bidi="ar-SA"/>
      </w:rPr>
    </w:lvl>
    <w:lvl w:ilvl="2" w:tplc="DD5A836E">
      <w:numFmt w:val="bullet"/>
      <w:lvlText w:val="•"/>
      <w:lvlJc w:val="left"/>
      <w:pPr>
        <w:ind w:left="1719" w:hanging="360"/>
      </w:pPr>
      <w:rPr>
        <w:rFonts w:hint="default"/>
        <w:lang w:val="en-US" w:eastAsia="en-US" w:bidi="ar-SA"/>
      </w:rPr>
    </w:lvl>
    <w:lvl w:ilvl="3" w:tplc="B45A85A4">
      <w:numFmt w:val="bullet"/>
      <w:lvlText w:val="•"/>
      <w:lvlJc w:val="left"/>
      <w:pPr>
        <w:ind w:left="2378" w:hanging="360"/>
      </w:pPr>
      <w:rPr>
        <w:rFonts w:hint="default"/>
        <w:lang w:val="en-US" w:eastAsia="en-US" w:bidi="ar-SA"/>
      </w:rPr>
    </w:lvl>
    <w:lvl w:ilvl="4" w:tplc="562EB700">
      <w:numFmt w:val="bullet"/>
      <w:lvlText w:val="•"/>
      <w:lvlJc w:val="left"/>
      <w:pPr>
        <w:ind w:left="3038" w:hanging="360"/>
      </w:pPr>
      <w:rPr>
        <w:rFonts w:hint="default"/>
        <w:lang w:val="en-US" w:eastAsia="en-US" w:bidi="ar-SA"/>
      </w:rPr>
    </w:lvl>
    <w:lvl w:ilvl="5" w:tplc="EF845618">
      <w:numFmt w:val="bullet"/>
      <w:lvlText w:val="•"/>
      <w:lvlJc w:val="left"/>
      <w:pPr>
        <w:ind w:left="3697" w:hanging="360"/>
      </w:pPr>
      <w:rPr>
        <w:rFonts w:hint="default"/>
        <w:lang w:val="en-US" w:eastAsia="en-US" w:bidi="ar-SA"/>
      </w:rPr>
    </w:lvl>
    <w:lvl w:ilvl="6" w:tplc="515CB712">
      <w:numFmt w:val="bullet"/>
      <w:lvlText w:val="•"/>
      <w:lvlJc w:val="left"/>
      <w:pPr>
        <w:ind w:left="4357" w:hanging="360"/>
      </w:pPr>
      <w:rPr>
        <w:rFonts w:hint="default"/>
        <w:lang w:val="en-US" w:eastAsia="en-US" w:bidi="ar-SA"/>
      </w:rPr>
    </w:lvl>
    <w:lvl w:ilvl="7" w:tplc="9F646464">
      <w:numFmt w:val="bullet"/>
      <w:lvlText w:val="•"/>
      <w:lvlJc w:val="left"/>
      <w:pPr>
        <w:ind w:left="5016" w:hanging="360"/>
      </w:pPr>
      <w:rPr>
        <w:rFonts w:hint="default"/>
        <w:lang w:val="en-US" w:eastAsia="en-US" w:bidi="ar-SA"/>
      </w:rPr>
    </w:lvl>
    <w:lvl w:ilvl="8" w:tplc="A94C4324">
      <w:numFmt w:val="bullet"/>
      <w:lvlText w:val="•"/>
      <w:lvlJc w:val="left"/>
      <w:pPr>
        <w:ind w:left="5676" w:hanging="360"/>
      </w:pPr>
      <w:rPr>
        <w:rFonts w:hint="default"/>
        <w:lang w:val="en-US" w:eastAsia="en-US" w:bidi="ar-SA"/>
      </w:rPr>
    </w:lvl>
  </w:abstractNum>
  <w:abstractNum w:abstractNumId="27" w15:restartNumberingAfterBreak="0">
    <w:nsid w:val="11216146"/>
    <w:multiLevelType w:val="hybridMultilevel"/>
    <w:tmpl w:val="06AA198A"/>
    <w:lvl w:ilvl="0" w:tplc="35A2D132">
      <w:numFmt w:val="bullet"/>
      <w:lvlText w:val=""/>
      <w:lvlJc w:val="left"/>
      <w:pPr>
        <w:ind w:left="328" w:hanging="180"/>
      </w:pPr>
      <w:rPr>
        <w:rFonts w:ascii="Symbol" w:eastAsia="Symbol" w:hAnsi="Symbol" w:cs="Symbol" w:hint="default"/>
        <w:b w:val="0"/>
        <w:bCs w:val="0"/>
        <w:i w:val="0"/>
        <w:iCs w:val="0"/>
        <w:spacing w:val="0"/>
        <w:w w:val="100"/>
        <w:sz w:val="18"/>
        <w:szCs w:val="18"/>
        <w:lang w:val="en-US" w:eastAsia="en-US" w:bidi="ar-SA"/>
      </w:rPr>
    </w:lvl>
    <w:lvl w:ilvl="1" w:tplc="151E7CC2">
      <w:numFmt w:val="bullet"/>
      <w:lvlText w:val="•"/>
      <w:lvlJc w:val="left"/>
      <w:pPr>
        <w:ind w:left="763" w:hanging="180"/>
      </w:pPr>
      <w:rPr>
        <w:rFonts w:hint="default"/>
        <w:lang w:val="en-US" w:eastAsia="en-US" w:bidi="ar-SA"/>
      </w:rPr>
    </w:lvl>
    <w:lvl w:ilvl="2" w:tplc="8AC40C28">
      <w:numFmt w:val="bullet"/>
      <w:lvlText w:val="•"/>
      <w:lvlJc w:val="left"/>
      <w:pPr>
        <w:ind w:left="1207" w:hanging="180"/>
      </w:pPr>
      <w:rPr>
        <w:rFonts w:hint="default"/>
        <w:lang w:val="en-US" w:eastAsia="en-US" w:bidi="ar-SA"/>
      </w:rPr>
    </w:lvl>
    <w:lvl w:ilvl="3" w:tplc="C65EACDA">
      <w:numFmt w:val="bullet"/>
      <w:lvlText w:val="•"/>
      <w:lvlJc w:val="left"/>
      <w:pPr>
        <w:ind w:left="1651" w:hanging="180"/>
      </w:pPr>
      <w:rPr>
        <w:rFonts w:hint="default"/>
        <w:lang w:val="en-US" w:eastAsia="en-US" w:bidi="ar-SA"/>
      </w:rPr>
    </w:lvl>
    <w:lvl w:ilvl="4" w:tplc="A17EFAC8">
      <w:numFmt w:val="bullet"/>
      <w:lvlText w:val="•"/>
      <w:lvlJc w:val="left"/>
      <w:pPr>
        <w:ind w:left="2095" w:hanging="180"/>
      </w:pPr>
      <w:rPr>
        <w:rFonts w:hint="default"/>
        <w:lang w:val="en-US" w:eastAsia="en-US" w:bidi="ar-SA"/>
      </w:rPr>
    </w:lvl>
    <w:lvl w:ilvl="5" w:tplc="55B4328E">
      <w:numFmt w:val="bullet"/>
      <w:lvlText w:val="•"/>
      <w:lvlJc w:val="left"/>
      <w:pPr>
        <w:ind w:left="2538" w:hanging="180"/>
      </w:pPr>
      <w:rPr>
        <w:rFonts w:hint="default"/>
        <w:lang w:val="en-US" w:eastAsia="en-US" w:bidi="ar-SA"/>
      </w:rPr>
    </w:lvl>
    <w:lvl w:ilvl="6" w:tplc="E8E0608C">
      <w:numFmt w:val="bullet"/>
      <w:lvlText w:val="•"/>
      <w:lvlJc w:val="left"/>
      <w:pPr>
        <w:ind w:left="2982" w:hanging="180"/>
      </w:pPr>
      <w:rPr>
        <w:rFonts w:hint="default"/>
        <w:lang w:val="en-US" w:eastAsia="en-US" w:bidi="ar-SA"/>
      </w:rPr>
    </w:lvl>
    <w:lvl w:ilvl="7" w:tplc="5A8AFA4E">
      <w:numFmt w:val="bullet"/>
      <w:lvlText w:val="•"/>
      <w:lvlJc w:val="left"/>
      <w:pPr>
        <w:ind w:left="3426" w:hanging="180"/>
      </w:pPr>
      <w:rPr>
        <w:rFonts w:hint="default"/>
        <w:lang w:val="en-US" w:eastAsia="en-US" w:bidi="ar-SA"/>
      </w:rPr>
    </w:lvl>
    <w:lvl w:ilvl="8" w:tplc="26BC7BC8">
      <w:numFmt w:val="bullet"/>
      <w:lvlText w:val="•"/>
      <w:lvlJc w:val="left"/>
      <w:pPr>
        <w:ind w:left="3870" w:hanging="180"/>
      </w:pPr>
      <w:rPr>
        <w:rFonts w:hint="default"/>
        <w:lang w:val="en-US" w:eastAsia="en-US" w:bidi="ar-SA"/>
      </w:rPr>
    </w:lvl>
  </w:abstractNum>
  <w:abstractNum w:abstractNumId="28" w15:restartNumberingAfterBreak="0">
    <w:nsid w:val="115D610D"/>
    <w:multiLevelType w:val="hybridMultilevel"/>
    <w:tmpl w:val="F73090FC"/>
    <w:lvl w:ilvl="0" w:tplc="AA9A485E">
      <w:numFmt w:val="bullet"/>
      <w:lvlText w:val=""/>
      <w:lvlJc w:val="left"/>
      <w:pPr>
        <w:ind w:left="1599" w:hanging="360"/>
      </w:pPr>
      <w:rPr>
        <w:rFonts w:ascii="Symbol" w:eastAsia="Symbol" w:hAnsi="Symbol" w:cs="Symbol" w:hint="default"/>
        <w:b w:val="0"/>
        <w:bCs w:val="0"/>
        <w:i w:val="0"/>
        <w:iCs w:val="0"/>
        <w:spacing w:val="0"/>
        <w:w w:val="99"/>
        <w:sz w:val="22"/>
        <w:szCs w:val="22"/>
        <w:lang w:val="en-US" w:eastAsia="en-US" w:bidi="ar-SA"/>
      </w:rPr>
    </w:lvl>
    <w:lvl w:ilvl="1" w:tplc="B998A6C6">
      <w:numFmt w:val="bullet"/>
      <w:lvlText w:val="•"/>
      <w:lvlJc w:val="left"/>
      <w:pPr>
        <w:ind w:left="2145" w:hanging="360"/>
      </w:pPr>
      <w:rPr>
        <w:rFonts w:hint="default"/>
        <w:lang w:val="en-US" w:eastAsia="en-US" w:bidi="ar-SA"/>
      </w:rPr>
    </w:lvl>
    <w:lvl w:ilvl="2" w:tplc="8140E1EE">
      <w:numFmt w:val="bullet"/>
      <w:lvlText w:val="•"/>
      <w:lvlJc w:val="left"/>
      <w:pPr>
        <w:ind w:left="2690" w:hanging="360"/>
      </w:pPr>
      <w:rPr>
        <w:rFonts w:hint="default"/>
        <w:lang w:val="en-US" w:eastAsia="en-US" w:bidi="ar-SA"/>
      </w:rPr>
    </w:lvl>
    <w:lvl w:ilvl="3" w:tplc="1D50D992">
      <w:numFmt w:val="bullet"/>
      <w:lvlText w:val="•"/>
      <w:lvlJc w:val="left"/>
      <w:pPr>
        <w:ind w:left="3235" w:hanging="360"/>
      </w:pPr>
      <w:rPr>
        <w:rFonts w:hint="default"/>
        <w:lang w:val="en-US" w:eastAsia="en-US" w:bidi="ar-SA"/>
      </w:rPr>
    </w:lvl>
    <w:lvl w:ilvl="4" w:tplc="3708799E">
      <w:numFmt w:val="bullet"/>
      <w:lvlText w:val="•"/>
      <w:lvlJc w:val="left"/>
      <w:pPr>
        <w:ind w:left="3780" w:hanging="360"/>
      </w:pPr>
      <w:rPr>
        <w:rFonts w:hint="default"/>
        <w:lang w:val="en-US" w:eastAsia="en-US" w:bidi="ar-SA"/>
      </w:rPr>
    </w:lvl>
    <w:lvl w:ilvl="5" w:tplc="40EC0686">
      <w:numFmt w:val="bullet"/>
      <w:lvlText w:val="•"/>
      <w:lvlJc w:val="left"/>
      <w:pPr>
        <w:ind w:left="4325" w:hanging="360"/>
      </w:pPr>
      <w:rPr>
        <w:rFonts w:hint="default"/>
        <w:lang w:val="en-US" w:eastAsia="en-US" w:bidi="ar-SA"/>
      </w:rPr>
    </w:lvl>
    <w:lvl w:ilvl="6" w:tplc="C136B594">
      <w:numFmt w:val="bullet"/>
      <w:lvlText w:val="•"/>
      <w:lvlJc w:val="left"/>
      <w:pPr>
        <w:ind w:left="4870" w:hanging="360"/>
      </w:pPr>
      <w:rPr>
        <w:rFonts w:hint="default"/>
        <w:lang w:val="en-US" w:eastAsia="en-US" w:bidi="ar-SA"/>
      </w:rPr>
    </w:lvl>
    <w:lvl w:ilvl="7" w:tplc="7958BFF6">
      <w:numFmt w:val="bullet"/>
      <w:lvlText w:val="•"/>
      <w:lvlJc w:val="left"/>
      <w:pPr>
        <w:ind w:left="5415" w:hanging="360"/>
      </w:pPr>
      <w:rPr>
        <w:rFonts w:hint="default"/>
        <w:lang w:val="en-US" w:eastAsia="en-US" w:bidi="ar-SA"/>
      </w:rPr>
    </w:lvl>
    <w:lvl w:ilvl="8" w:tplc="E250C4B4">
      <w:numFmt w:val="bullet"/>
      <w:lvlText w:val="•"/>
      <w:lvlJc w:val="left"/>
      <w:pPr>
        <w:ind w:left="5960" w:hanging="360"/>
      </w:pPr>
      <w:rPr>
        <w:rFonts w:hint="default"/>
        <w:lang w:val="en-US" w:eastAsia="en-US" w:bidi="ar-SA"/>
      </w:rPr>
    </w:lvl>
  </w:abstractNum>
  <w:abstractNum w:abstractNumId="29" w15:restartNumberingAfterBreak="0">
    <w:nsid w:val="11B465BD"/>
    <w:multiLevelType w:val="hybridMultilevel"/>
    <w:tmpl w:val="84400056"/>
    <w:lvl w:ilvl="0" w:tplc="4ED8324E">
      <w:start w:val="1"/>
      <w:numFmt w:val="lowerLetter"/>
      <w:lvlText w:val="(%1)"/>
      <w:lvlJc w:val="left"/>
      <w:pPr>
        <w:ind w:left="1800" w:hanging="331"/>
        <w:jc w:val="left"/>
      </w:pPr>
      <w:rPr>
        <w:rFonts w:ascii="Arial" w:eastAsia="Arial" w:hAnsi="Arial" w:cs="Arial" w:hint="default"/>
        <w:b w:val="0"/>
        <w:bCs w:val="0"/>
        <w:i w:val="0"/>
        <w:iCs w:val="0"/>
        <w:spacing w:val="-1"/>
        <w:w w:val="99"/>
        <w:sz w:val="22"/>
        <w:szCs w:val="22"/>
        <w:lang w:val="en-US" w:eastAsia="en-US" w:bidi="ar-SA"/>
      </w:rPr>
    </w:lvl>
    <w:lvl w:ilvl="1" w:tplc="376CA972">
      <w:numFmt w:val="bullet"/>
      <w:lvlText w:val="•"/>
      <w:lvlJc w:val="left"/>
      <w:pPr>
        <w:ind w:left="2664" w:hanging="331"/>
      </w:pPr>
      <w:rPr>
        <w:rFonts w:hint="default"/>
        <w:lang w:val="en-US" w:eastAsia="en-US" w:bidi="ar-SA"/>
      </w:rPr>
    </w:lvl>
    <w:lvl w:ilvl="2" w:tplc="06F09902">
      <w:numFmt w:val="bullet"/>
      <w:lvlText w:val="•"/>
      <w:lvlJc w:val="left"/>
      <w:pPr>
        <w:ind w:left="3528" w:hanging="331"/>
      </w:pPr>
      <w:rPr>
        <w:rFonts w:hint="default"/>
        <w:lang w:val="en-US" w:eastAsia="en-US" w:bidi="ar-SA"/>
      </w:rPr>
    </w:lvl>
    <w:lvl w:ilvl="3" w:tplc="5C0C9226">
      <w:numFmt w:val="bullet"/>
      <w:lvlText w:val="•"/>
      <w:lvlJc w:val="left"/>
      <w:pPr>
        <w:ind w:left="4392" w:hanging="331"/>
      </w:pPr>
      <w:rPr>
        <w:rFonts w:hint="default"/>
        <w:lang w:val="en-US" w:eastAsia="en-US" w:bidi="ar-SA"/>
      </w:rPr>
    </w:lvl>
    <w:lvl w:ilvl="4" w:tplc="2ED0360C">
      <w:numFmt w:val="bullet"/>
      <w:lvlText w:val="•"/>
      <w:lvlJc w:val="left"/>
      <w:pPr>
        <w:ind w:left="5256" w:hanging="331"/>
      </w:pPr>
      <w:rPr>
        <w:rFonts w:hint="default"/>
        <w:lang w:val="en-US" w:eastAsia="en-US" w:bidi="ar-SA"/>
      </w:rPr>
    </w:lvl>
    <w:lvl w:ilvl="5" w:tplc="FC1EACCC">
      <w:numFmt w:val="bullet"/>
      <w:lvlText w:val="•"/>
      <w:lvlJc w:val="left"/>
      <w:pPr>
        <w:ind w:left="6120" w:hanging="331"/>
      </w:pPr>
      <w:rPr>
        <w:rFonts w:hint="default"/>
        <w:lang w:val="en-US" w:eastAsia="en-US" w:bidi="ar-SA"/>
      </w:rPr>
    </w:lvl>
    <w:lvl w:ilvl="6" w:tplc="78D29E52">
      <w:numFmt w:val="bullet"/>
      <w:lvlText w:val="•"/>
      <w:lvlJc w:val="left"/>
      <w:pPr>
        <w:ind w:left="6984" w:hanging="331"/>
      </w:pPr>
      <w:rPr>
        <w:rFonts w:hint="default"/>
        <w:lang w:val="en-US" w:eastAsia="en-US" w:bidi="ar-SA"/>
      </w:rPr>
    </w:lvl>
    <w:lvl w:ilvl="7" w:tplc="4844B122">
      <w:numFmt w:val="bullet"/>
      <w:lvlText w:val="•"/>
      <w:lvlJc w:val="left"/>
      <w:pPr>
        <w:ind w:left="7848" w:hanging="331"/>
      </w:pPr>
      <w:rPr>
        <w:rFonts w:hint="default"/>
        <w:lang w:val="en-US" w:eastAsia="en-US" w:bidi="ar-SA"/>
      </w:rPr>
    </w:lvl>
    <w:lvl w:ilvl="8" w:tplc="039A6A5E">
      <w:numFmt w:val="bullet"/>
      <w:lvlText w:val="•"/>
      <w:lvlJc w:val="left"/>
      <w:pPr>
        <w:ind w:left="8712" w:hanging="331"/>
      </w:pPr>
      <w:rPr>
        <w:rFonts w:hint="default"/>
        <w:lang w:val="en-US" w:eastAsia="en-US" w:bidi="ar-SA"/>
      </w:rPr>
    </w:lvl>
  </w:abstractNum>
  <w:abstractNum w:abstractNumId="30" w15:restartNumberingAfterBreak="0">
    <w:nsid w:val="11C02B37"/>
    <w:multiLevelType w:val="hybridMultilevel"/>
    <w:tmpl w:val="0E3EB850"/>
    <w:lvl w:ilvl="0" w:tplc="67FE009C">
      <w:numFmt w:val="bullet"/>
      <w:lvlText w:val=""/>
      <w:lvlJc w:val="left"/>
      <w:pPr>
        <w:ind w:left="863" w:hanging="360"/>
      </w:pPr>
      <w:rPr>
        <w:rFonts w:ascii="Symbol" w:eastAsia="Symbol" w:hAnsi="Symbol" w:cs="Symbol" w:hint="default"/>
        <w:b w:val="0"/>
        <w:bCs w:val="0"/>
        <w:i w:val="0"/>
        <w:iCs w:val="0"/>
        <w:spacing w:val="0"/>
        <w:w w:val="99"/>
        <w:sz w:val="22"/>
        <w:szCs w:val="22"/>
        <w:lang w:val="en-US" w:eastAsia="en-US" w:bidi="ar-SA"/>
      </w:rPr>
    </w:lvl>
    <w:lvl w:ilvl="1" w:tplc="A48292C2">
      <w:numFmt w:val="bullet"/>
      <w:lvlText w:val="•"/>
      <w:lvlJc w:val="left"/>
      <w:pPr>
        <w:ind w:left="1461" w:hanging="360"/>
      </w:pPr>
      <w:rPr>
        <w:rFonts w:hint="default"/>
        <w:lang w:val="en-US" w:eastAsia="en-US" w:bidi="ar-SA"/>
      </w:rPr>
    </w:lvl>
    <w:lvl w:ilvl="2" w:tplc="9B2A2C28">
      <w:numFmt w:val="bullet"/>
      <w:lvlText w:val="•"/>
      <w:lvlJc w:val="left"/>
      <w:pPr>
        <w:ind w:left="2062" w:hanging="360"/>
      </w:pPr>
      <w:rPr>
        <w:rFonts w:hint="default"/>
        <w:lang w:val="en-US" w:eastAsia="en-US" w:bidi="ar-SA"/>
      </w:rPr>
    </w:lvl>
    <w:lvl w:ilvl="3" w:tplc="532E72F6">
      <w:numFmt w:val="bullet"/>
      <w:lvlText w:val="•"/>
      <w:lvlJc w:val="left"/>
      <w:pPr>
        <w:ind w:left="2663" w:hanging="360"/>
      </w:pPr>
      <w:rPr>
        <w:rFonts w:hint="default"/>
        <w:lang w:val="en-US" w:eastAsia="en-US" w:bidi="ar-SA"/>
      </w:rPr>
    </w:lvl>
    <w:lvl w:ilvl="4" w:tplc="CC8CC780">
      <w:numFmt w:val="bullet"/>
      <w:lvlText w:val="•"/>
      <w:lvlJc w:val="left"/>
      <w:pPr>
        <w:ind w:left="3265" w:hanging="360"/>
      </w:pPr>
      <w:rPr>
        <w:rFonts w:hint="default"/>
        <w:lang w:val="en-US" w:eastAsia="en-US" w:bidi="ar-SA"/>
      </w:rPr>
    </w:lvl>
    <w:lvl w:ilvl="5" w:tplc="F8FC82D6">
      <w:numFmt w:val="bullet"/>
      <w:lvlText w:val="•"/>
      <w:lvlJc w:val="left"/>
      <w:pPr>
        <w:ind w:left="3866" w:hanging="360"/>
      </w:pPr>
      <w:rPr>
        <w:rFonts w:hint="default"/>
        <w:lang w:val="en-US" w:eastAsia="en-US" w:bidi="ar-SA"/>
      </w:rPr>
    </w:lvl>
    <w:lvl w:ilvl="6" w:tplc="DB6AEAF6">
      <w:numFmt w:val="bullet"/>
      <w:lvlText w:val="•"/>
      <w:lvlJc w:val="left"/>
      <w:pPr>
        <w:ind w:left="4467" w:hanging="360"/>
      </w:pPr>
      <w:rPr>
        <w:rFonts w:hint="default"/>
        <w:lang w:val="en-US" w:eastAsia="en-US" w:bidi="ar-SA"/>
      </w:rPr>
    </w:lvl>
    <w:lvl w:ilvl="7" w:tplc="8D403EFC">
      <w:numFmt w:val="bullet"/>
      <w:lvlText w:val="•"/>
      <w:lvlJc w:val="left"/>
      <w:pPr>
        <w:ind w:left="5069" w:hanging="360"/>
      </w:pPr>
      <w:rPr>
        <w:rFonts w:hint="default"/>
        <w:lang w:val="en-US" w:eastAsia="en-US" w:bidi="ar-SA"/>
      </w:rPr>
    </w:lvl>
    <w:lvl w:ilvl="8" w:tplc="C31227AC">
      <w:numFmt w:val="bullet"/>
      <w:lvlText w:val="•"/>
      <w:lvlJc w:val="left"/>
      <w:pPr>
        <w:ind w:left="5670" w:hanging="360"/>
      </w:pPr>
      <w:rPr>
        <w:rFonts w:hint="default"/>
        <w:lang w:val="en-US" w:eastAsia="en-US" w:bidi="ar-SA"/>
      </w:rPr>
    </w:lvl>
  </w:abstractNum>
  <w:abstractNum w:abstractNumId="31" w15:restartNumberingAfterBreak="0">
    <w:nsid w:val="12916E75"/>
    <w:multiLevelType w:val="hybridMultilevel"/>
    <w:tmpl w:val="9968D0C0"/>
    <w:lvl w:ilvl="0" w:tplc="D1F64DDA">
      <w:start w:val="5"/>
      <w:numFmt w:val="decimal"/>
      <w:lvlText w:val="%1."/>
      <w:lvlJc w:val="left"/>
      <w:pPr>
        <w:ind w:left="561" w:hanging="432"/>
        <w:jc w:val="left"/>
      </w:pPr>
      <w:rPr>
        <w:rFonts w:ascii="Arial" w:eastAsia="Arial" w:hAnsi="Arial" w:cs="Arial" w:hint="default"/>
        <w:b w:val="0"/>
        <w:bCs w:val="0"/>
        <w:i w:val="0"/>
        <w:iCs w:val="0"/>
        <w:spacing w:val="0"/>
        <w:w w:val="99"/>
        <w:sz w:val="22"/>
        <w:szCs w:val="22"/>
        <w:lang w:val="en-US" w:eastAsia="en-US" w:bidi="ar-SA"/>
      </w:rPr>
    </w:lvl>
    <w:lvl w:ilvl="1" w:tplc="20801B9E">
      <w:start w:val="1"/>
      <w:numFmt w:val="lowerLetter"/>
      <w:lvlText w:val="(%2)"/>
      <w:lvlJc w:val="left"/>
      <w:pPr>
        <w:ind w:left="1092" w:hanging="525"/>
        <w:jc w:val="left"/>
      </w:pPr>
      <w:rPr>
        <w:rFonts w:ascii="Arial" w:eastAsia="Arial" w:hAnsi="Arial" w:cs="Arial" w:hint="default"/>
        <w:b w:val="0"/>
        <w:bCs w:val="0"/>
        <w:i w:val="0"/>
        <w:iCs w:val="0"/>
        <w:spacing w:val="-1"/>
        <w:w w:val="99"/>
        <w:sz w:val="22"/>
        <w:szCs w:val="22"/>
        <w:lang w:val="en-US" w:eastAsia="en-US" w:bidi="ar-SA"/>
      </w:rPr>
    </w:lvl>
    <w:lvl w:ilvl="2" w:tplc="C002B7F2">
      <w:numFmt w:val="bullet"/>
      <w:lvlText w:val="•"/>
      <w:lvlJc w:val="left"/>
      <w:pPr>
        <w:ind w:left="1747" w:hanging="525"/>
      </w:pPr>
      <w:rPr>
        <w:rFonts w:hint="default"/>
        <w:lang w:val="en-US" w:eastAsia="en-US" w:bidi="ar-SA"/>
      </w:rPr>
    </w:lvl>
    <w:lvl w:ilvl="3" w:tplc="5D24941A">
      <w:numFmt w:val="bullet"/>
      <w:lvlText w:val="•"/>
      <w:lvlJc w:val="left"/>
      <w:pPr>
        <w:ind w:left="2394" w:hanging="525"/>
      </w:pPr>
      <w:rPr>
        <w:rFonts w:hint="default"/>
        <w:lang w:val="en-US" w:eastAsia="en-US" w:bidi="ar-SA"/>
      </w:rPr>
    </w:lvl>
    <w:lvl w:ilvl="4" w:tplc="2050F1E4">
      <w:numFmt w:val="bullet"/>
      <w:lvlText w:val="•"/>
      <w:lvlJc w:val="left"/>
      <w:pPr>
        <w:ind w:left="3041" w:hanging="525"/>
      </w:pPr>
      <w:rPr>
        <w:rFonts w:hint="default"/>
        <w:lang w:val="en-US" w:eastAsia="en-US" w:bidi="ar-SA"/>
      </w:rPr>
    </w:lvl>
    <w:lvl w:ilvl="5" w:tplc="647C60D6">
      <w:numFmt w:val="bullet"/>
      <w:lvlText w:val="•"/>
      <w:lvlJc w:val="left"/>
      <w:pPr>
        <w:ind w:left="3688" w:hanging="525"/>
      </w:pPr>
      <w:rPr>
        <w:rFonts w:hint="default"/>
        <w:lang w:val="en-US" w:eastAsia="en-US" w:bidi="ar-SA"/>
      </w:rPr>
    </w:lvl>
    <w:lvl w:ilvl="6" w:tplc="76F4D7B8">
      <w:numFmt w:val="bullet"/>
      <w:lvlText w:val="•"/>
      <w:lvlJc w:val="left"/>
      <w:pPr>
        <w:ind w:left="4335" w:hanging="525"/>
      </w:pPr>
      <w:rPr>
        <w:rFonts w:hint="default"/>
        <w:lang w:val="en-US" w:eastAsia="en-US" w:bidi="ar-SA"/>
      </w:rPr>
    </w:lvl>
    <w:lvl w:ilvl="7" w:tplc="637ADEDC">
      <w:numFmt w:val="bullet"/>
      <w:lvlText w:val="•"/>
      <w:lvlJc w:val="left"/>
      <w:pPr>
        <w:ind w:left="4982" w:hanging="525"/>
      </w:pPr>
      <w:rPr>
        <w:rFonts w:hint="default"/>
        <w:lang w:val="en-US" w:eastAsia="en-US" w:bidi="ar-SA"/>
      </w:rPr>
    </w:lvl>
    <w:lvl w:ilvl="8" w:tplc="44ACDA76">
      <w:numFmt w:val="bullet"/>
      <w:lvlText w:val="•"/>
      <w:lvlJc w:val="left"/>
      <w:pPr>
        <w:ind w:left="5629" w:hanging="525"/>
      </w:pPr>
      <w:rPr>
        <w:rFonts w:hint="default"/>
        <w:lang w:val="en-US" w:eastAsia="en-US" w:bidi="ar-SA"/>
      </w:rPr>
    </w:lvl>
  </w:abstractNum>
  <w:abstractNum w:abstractNumId="32" w15:restartNumberingAfterBreak="0">
    <w:nsid w:val="13280C66"/>
    <w:multiLevelType w:val="hybridMultilevel"/>
    <w:tmpl w:val="890409D8"/>
    <w:lvl w:ilvl="0" w:tplc="0BA4D1CA">
      <w:start w:val="8"/>
      <w:numFmt w:val="decimal"/>
      <w:lvlText w:val="%1."/>
      <w:lvlJc w:val="left"/>
      <w:pPr>
        <w:ind w:left="404" w:hanging="307"/>
        <w:jc w:val="left"/>
      </w:pPr>
      <w:rPr>
        <w:rFonts w:ascii="Arial" w:eastAsia="Arial" w:hAnsi="Arial" w:cs="Arial" w:hint="default"/>
        <w:b w:val="0"/>
        <w:bCs w:val="0"/>
        <w:i w:val="0"/>
        <w:iCs w:val="0"/>
        <w:spacing w:val="0"/>
        <w:w w:val="99"/>
        <w:sz w:val="22"/>
        <w:szCs w:val="22"/>
        <w:lang w:val="en-US" w:eastAsia="en-US" w:bidi="ar-SA"/>
      </w:rPr>
    </w:lvl>
    <w:lvl w:ilvl="1" w:tplc="BF162A74">
      <w:numFmt w:val="bullet"/>
      <w:lvlText w:val=""/>
      <w:lvlJc w:val="left"/>
      <w:pPr>
        <w:ind w:left="704" w:hanging="270"/>
      </w:pPr>
      <w:rPr>
        <w:rFonts w:ascii="Symbol" w:eastAsia="Symbol" w:hAnsi="Symbol" w:cs="Symbol" w:hint="default"/>
        <w:b w:val="0"/>
        <w:bCs w:val="0"/>
        <w:i w:val="0"/>
        <w:iCs w:val="0"/>
        <w:spacing w:val="0"/>
        <w:w w:val="99"/>
        <w:sz w:val="16"/>
        <w:szCs w:val="16"/>
        <w:lang w:val="en-US" w:eastAsia="en-US" w:bidi="ar-SA"/>
      </w:rPr>
    </w:lvl>
    <w:lvl w:ilvl="2" w:tplc="15467318">
      <w:numFmt w:val="bullet"/>
      <w:lvlText w:val="•"/>
      <w:lvlJc w:val="left"/>
      <w:pPr>
        <w:ind w:left="1338" w:hanging="270"/>
      </w:pPr>
      <w:rPr>
        <w:rFonts w:hint="default"/>
        <w:lang w:val="en-US" w:eastAsia="en-US" w:bidi="ar-SA"/>
      </w:rPr>
    </w:lvl>
    <w:lvl w:ilvl="3" w:tplc="038092C2">
      <w:numFmt w:val="bullet"/>
      <w:lvlText w:val="•"/>
      <w:lvlJc w:val="left"/>
      <w:pPr>
        <w:ind w:left="1977" w:hanging="270"/>
      </w:pPr>
      <w:rPr>
        <w:rFonts w:hint="default"/>
        <w:lang w:val="en-US" w:eastAsia="en-US" w:bidi="ar-SA"/>
      </w:rPr>
    </w:lvl>
    <w:lvl w:ilvl="4" w:tplc="89B4694C">
      <w:numFmt w:val="bullet"/>
      <w:lvlText w:val="•"/>
      <w:lvlJc w:val="left"/>
      <w:pPr>
        <w:ind w:left="2616" w:hanging="270"/>
      </w:pPr>
      <w:rPr>
        <w:rFonts w:hint="default"/>
        <w:lang w:val="en-US" w:eastAsia="en-US" w:bidi="ar-SA"/>
      </w:rPr>
    </w:lvl>
    <w:lvl w:ilvl="5" w:tplc="1158CE5E">
      <w:numFmt w:val="bullet"/>
      <w:lvlText w:val="•"/>
      <w:lvlJc w:val="left"/>
      <w:pPr>
        <w:ind w:left="3255" w:hanging="270"/>
      </w:pPr>
      <w:rPr>
        <w:rFonts w:hint="default"/>
        <w:lang w:val="en-US" w:eastAsia="en-US" w:bidi="ar-SA"/>
      </w:rPr>
    </w:lvl>
    <w:lvl w:ilvl="6" w:tplc="6952E4EA">
      <w:numFmt w:val="bullet"/>
      <w:lvlText w:val="•"/>
      <w:lvlJc w:val="left"/>
      <w:pPr>
        <w:ind w:left="3894" w:hanging="270"/>
      </w:pPr>
      <w:rPr>
        <w:rFonts w:hint="default"/>
        <w:lang w:val="en-US" w:eastAsia="en-US" w:bidi="ar-SA"/>
      </w:rPr>
    </w:lvl>
    <w:lvl w:ilvl="7" w:tplc="6B228622">
      <w:numFmt w:val="bullet"/>
      <w:lvlText w:val="•"/>
      <w:lvlJc w:val="left"/>
      <w:pPr>
        <w:ind w:left="4533" w:hanging="270"/>
      </w:pPr>
      <w:rPr>
        <w:rFonts w:hint="default"/>
        <w:lang w:val="en-US" w:eastAsia="en-US" w:bidi="ar-SA"/>
      </w:rPr>
    </w:lvl>
    <w:lvl w:ilvl="8" w:tplc="5C34C7FA">
      <w:numFmt w:val="bullet"/>
      <w:lvlText w:val="•"/>
      <w:lvlJc w:val="left"/>
      <w:pPr>
        <w:ind w:left="5172" w:hanging="270"/>
      </w:pPr>
      <w:rPr>
        <w:rFonts w:hint="default"/>
        <w:lang w:val="en-US" w:eastAsia="en-US" w:bidi="ar-SA"/>
      </w:rPr>
    </w:lvl>
  </w:abstractNum>
  <w:abstractNum w:abstractNumId="33" w15:restartNumberingAfterBreak="0">
    <w:nsid w:val="133C2017"/>
    <w:multiLevelType w:val="hybridMultilevel"/>
    <w:tmpl w:val="9208E67A"/>
    <w:lvl w:ilvl="0" w:tplc="96EA3AFC">
      <w:start w:val="1"/>
      <w:numFmt w:val="decimalZero"/>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615A325A">
      <w:start w:val="1"/>
      <w:numFmt w:val="lowerLetter"/>
      <w:lvlText w:val="%2."/>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2" w:tplc="08AE60FE">
      <w:numFmt w:val="bullet"/>
      <w:lvlText w:val=""/>
      <w:lvlJc w:val="left"/>
      <w:pPr>
        <w:ind w:left="2519" w:hanging="360"/>
      </w:pPr>
      <w:rPr>
        <w:rFonts w:ascii="Symbol" w:eastAsia="Symbol" w:hAnsi="Symbol" w:cs="Symbol" w:hint="default"/>
        <w:b w:val="0"/>
        <w:bCs w:val="0"/>
        <w:i w:val="0"/>
        <w:iCs w:val="0"/>
        <w:spacing w:val="0"/>
        <w:w w:val="99"/>
        <w:sz w:val="22"/>
        <w:szCs w:val="22"/>
        <w:lang w:val="en-US" w:eastAsia="en-US" w:bidi="ar-SA"/>
      </w:rPr>
    </w:lvl>
    <w:lvl w:ilvl="3" w:tplc="730E472A">
      <w:numFmt w:val="bullet"/>
      <w:lvlText w:val="•"/>
      <w:lvlJc w:val="left"/>
      <w:pPr>
        <w:ind w:left="3510" w:hanging="360"/>
      </w:pPr>
      <w:rPr>
        <w:rFonts w:hint="default"/>
        <w:lang w:val="en-US" w:eastAsia="en-US" w:bidi="ar-SA"/>
      </w:rPr>
    </w:lvl>
    <w:lvl w:ilvl="4" w:tplc="987660F4">
      <w:numFmt w:val="bullet"/>
      <w:lvlText w:val="•"/>
      <w:lvlJc w:val="left"/>
      <w:pPr>
        <w:ind w:left="4500" w:hanging="360"/>
      </w:pPr>
      <w:rPr>
        <w:rFonts w:hint="default"/>
        <w:lang w:val="en-US" w:eastAsia="en-US" w:bidi="ar-SA"/>
      </w:rPr>
    </w:lvl>
    <w:lvl w:ilvl="5" w:tplc="F66053D0">
      <w:numFmt w:val="bullet"/>
      <w:lvlText w:val="•"/>
      <w:lvlJc w:val="left"/>
      <w:pPr>
        <w:ind w:left="5490" w:hanging="360"/>
      </w:pPr>
      <w:rPr>
        <w:rFonts w:hint="default"/>
        <w:lang w:val="en-US" w:eastAsia="en-US" w:bidi="ar-SA"/>
      </w:rPr>
    </w:lvl>
    <w:lvl w:ilvl="6" w:tplc="DB724D7A">
      <w:numFmt w:val="bullet"/>
      <w:lvlText w:val="•"/>
      <w:lvlJc w:val="left"/>
      <w:pPr>
        <w:ind w:left="6480" w:hanging="360"/>
      </w:pPr>
      <w:rPr>
        <w:rFonts w:hint="default"/>
        <w:lang w:val="en-US" w:eastAsia="en-US" w:bidi="ar-SA"/>
      </w:rPr>
    </w:lvl>
    <w:lvl w:ilvl="7" w:tplc="A7C6F6D2">
      <w:numFmt w:val="bullet"/>
      <w:lvlText w:val="•"/>
      <w:lvlJc w:val="left"/>
      <w:pPr>
        <w:ind w:left="7470" w:hanging="360"/>
      </w:pPr>
      <w:rPr>
        <w:rFonts w:hint="default"/>
        <w:lang w:val="en-US" w:eastAsia="en-US" w:bidi="ar-SA"/>
      </w:rPr>
    </w:lvl>
    <w:lvl w:ilvl="8" w:tplc="5CCA1F3A">
      <w:numFmt w:val="bullet"/>
      <w:lvlText w:val="•"/>
      <w:lvlJc w:val="left"/>
      <w:pPr>
        <w:ind w:left="8460" w:hanging="360"/>
      </w:pPr>
      <w:rPr>
        <w:rFonts w:hint="default"/>
        <w:lang w:val="en-US" w:eastAsia="en-US" w:bidi="ar-SA"/>
      </w:rPr>
    </w:lvl>
  </w:abstractNum>
  <w:abstractNum w:abstractNumId="34" w15:restartNumberingAfterBreak="0">
    <w:nsid w:val="14052B84"/>
    <w:multiLevelType w:val="hybridMultilevel"/>
    <w:tmpl w:val="48BCDA7A"/>
    <w:lvl w:ilvl="0" w:tplc="2B98E098">
      <w:numFmt w:val="bullet"/>
      <w:lvlText w:val=""/>
      <w:lvlJc w:val="left"/>
      <w:pPr>
        <w:ind w:left="585" w:hanging="180"/>
      </w:pPr>
      <w:rPr>
        <w:rFonts w:ascii="Symbol" w:eastAsia="Symbol" w:hAnsi="Symbol" w:cs="Symbol" w:hint="default"/>
        <w:b w:val="0"/>
        <w:bCs w:val="0"/>
        <w:i w:val="0"/>
        <w:iCs w:val="0"/>
        <w:spacing w:val="0"/>
        <w:w w:val="100"/>
        <w:sz w:val="18"/>
        <w:szCs w:val="18"/>
        <w:lang w:val="en-US" w:eastAsia="en-US" w:bidi="ar-SA"/>
      </w:rPr>
    </w:lvl>
    <w:lvl w:ilvl="1" w:tplc="B6568E96">
      <w:numFmt w:val="bullet"/>
      <w:lvlText w:val="•"/>
      <w:lvlJc w:val="left"/>
      <w:pPr>
        <w:ind w:left="1129" w:hanging="180"/>
      </w:pPr>
      <w:rPr>
        <w:rFonts w:hint="default"/>
        <w:lang w:val="en-US" w:eastAsia="en-US" w:bidi="ar-SA"/>
      </w:rPr>
    </w:lvl>
    <w:lvl w:ilvl="2" w:tplc="A93002A4">
      <w:numFmt w:val="bullet"/>
      <w:lvlText w:val="•"/>
      <w:lvlJc w:val="left"/>
      <w:pPr>
        <w:ind w:left="1678" w:hanging="180"/>
      </w:pPr>
      <w:rPr>
        <w:rFonts w:hint="default"/>
        <w:lang w:val="en-US" w:eastAsia="en-US" w:bidi="ar-SA"/>
      </w:rPr>
    </w:lvl>
    <w:lvl w:ilvl="3" w:tplc="A6F48BC8">
      <w:numFmt w:val="bullet"/>
      <w:lvlText w:val="•"/>
      <w:lvlJc w:val="left"/>
      <w:pPr>
        <w:ind w:left="2227" w:hanging="180"/>
      </w:pPr>
      <w:rPr>
        <w:rFonts w:hint="default"/>
        <w:lang w:val="en-US" w:eastAsia="en-US" w:bidi="ar-SA"/>
      </w:rPr>
    </w:lvl>
    <w:lvl w:ilvl="4" w:tplc="F5F417C0">
      <w:numFmt w:val="bullet"/>
      <w:lvlText w:val="•"/>
      <w:lvlJc w:val="left"/>
      <w:pPr>
        <w:ind w:left="2776" w:hanging="180"/>
      </w:pPr>
      <w:rPr>
        <w:rFonts w:hint="default"/>
        <w:lang w:val="en-US" w:eastAsia="en-US" w:bidi="ar-SA"/>
      </w:rPr>
    </w:lvl>
    <w:lvl w:ilvl="5" w:tplc="74CAF776">
      <w:numFmt w:val="bullet"/>
      <w:lvlText w:val="•"/>
      <w:lvlJc w:val="left"/>
      <w:pPr>
        <w:ind w:left="3325" w:hanging="180"/>
      </w:pPr>
      <w:rPr>
        <w:rFonts w:hint="default"/>
        <w:lang w:val="en-US" w:eastAsia="en-US" w:bidi="ar-SA"/>
      </w:rPr>
    </w:lvl>
    <w:lvl w:ilvl="6" w:tplc="1C3813E4">
      <w:numFmt w:val="bullet"/>
      <w:lvlText w:val="•"/>
      <w:lvlJc w:val="left"/>
      <w:pPr>
        <w:ind w:left="3874" w:hanging="180"/>
      </w:pPr>
      <w:rPr>
        <w:rFonts w:hint="default"/>
        <w:lang w:val="en-US" w:eastAsia="en-US" w:bidi="ar-SA"/>
      </w:rPr>
    </w:lvl>
    <w:lvl w:ilvl="7" w:tplc="65F4E2D2">
      <w:numFmt w:val="bullet"/>
      <w:lvlText w:val="•"/>
      <w:lvlJc w:val="left"/>
      <w:pPr>
        <w:ind w:left="4423" w:hanging="180"/>
      </w:pPr>
      <w:rPr>
        <w:rFonts w:hint="default"/>
        <w:lang w:val="en-US" w:eastAsia="en-US" w:bidi="ar-SA"/>
      </w:rPr>
    </w:lvl>
    <w:lvl w:ilvl="8" w:tplc="1B2CB0F0">
      <w:numFmt w:val="bullet"/>
      <w:lvlText w:val="•"/>
      <w:lvlJc w:val="left"/>
      <w:pPr>
        <w:ind w:left="4972" w:hanging="180"/>
      </w:pPr>
      <w:rPr>
        <w:rFonts w:hint="default"/>
        <w:lang w:val="en-US" w:eastAsia="en-US" w:bidi="ar-SA"/>
      </w:rPr>
    </w:lvl>
  </w:abstractNum>
  <w:abstractNum w:abstractNumId="35" w15:restartNumberingAfterBreak="0">
    <w:nsid w:val="14106679"/>
    <w:multiLevelType w:val="hybridMultilevel"/>
    <w:tmpl w:val="03BEF0C2"/>
    <w:lvl w:ilvl="0" w:tplc="C916073C">
      <w:numFmt w:val="bullet"/>
      <w:lvlText w:val=""/>
      <w:lvlJc w:val="left"/>
      <w:pPr>
        <w:ind w:left="306" w:hanging="189"/>
      </w:pPr>
      <w:rPr>
        <w:rFonts w:ascii="Symbol" w:eastAsia="Symbol" w:hAnsi="Symbol" w:cs="Symbol" w:hint="default"/>
        <w:b w:val="0"/>
        <w:bCs w:val="0"/>
        <w:i w:val="0"/>
        <w:iCs w:val="0"/>
        <w:spacing w:val="0"/>
        <w:w w:val="100"/>
        <w:sz w:val="18"/>
        <w:szCs w:val="18"/>
        <w:lang w:val="en-US" w:eastAsia="en-US" w:bidi="ar-SA"/>
      </w:rPr>
    </w:lvl>
    <w:lvl w:ilvl="1" w:tplc="CD58531C">
      <w:numFmt w:val="bullet"/>
      <w:lvlText w:val="•"/>
      <w:lvlJc w:val="left"/>
      <w:pPr>
        <w:ind w:left="1028" w:hanging="189"/>
      </w:pPr>
      <w:rPr>
        <w:rFonts w:hint="default"/>
        <w:lang w:val="en-US" w:eastAsia="en-US" w:bidi="ar-SA"/>
      </w:rPr>
    </w:lvl>
    <w:lvl w:ilvl="2" w:tplc="F01849B8">
      <w:numFmt w:val="bullet"/>
      <w:lvlText w:val="•"/>
      <w:lvlJc w:val="left"/>
      <w:pPr>
        <w:ind w:left="1756" w:hanging="189"/>
      </w:pPr>
      <w:rPr>
        <w:rFonts w:hint="default"/>
        <w:lang w:val="en-US" w:eastAsia="en-US" w:bidi="ar-SA"/>
      </w:rPr>
    </w:lvl>
    <w:lvl w:ilvl="3" w:tplc="9DF42B82">
      <w:numFmt w:val="bullet"/>
      <w:lvlText w:val="•"/>
      <w:lvlJc w:val="left"/>
      <w:pPr>
        <w:ind w:left="2484" w:hanging="189"/>
      </w:pPr>
      <w:rPr>
        <w:rFonts w:hint="default"/>
        <w:lang w:val="en-US" w:eastAsia="en-US" w:bidi="ar-SA"/>
      </w:rPr>
    </w:lvl>
    <w:lvl w:ilvl="4" w:tplc="80B29178">
      <w:numFmt w:val="bullet"/>
      <w:lvlText w:val="•"/>
      <w:lvlJc w:val="left"/>
      <w:pPr>
        <w:ind w:left="3212" w:hanging="189"/>
      </w:pPr>
      <w:rPr>
        <w:rFonts w:hint="default"/>
        <w:lang w:val="en-US" w:eastAsia="en-US" w:bidi="ar-SA"/>
      </w:rPr>
    </w:lvl>
    <w:lvl w:ilvl="5" w:tplc="127EE0FA">
      <w:numFmt w:val="bullet"/>
      <w:lvlText w:val="•"/>
      <w:lvlJc w:val="left"/>
      <w:pPr>
        <w:ind w:left="3940" w:hanging="189"/>
      </w:pPr>
      <w:rPr>
        <w:rFonts w:hint="default"/>
        <w:lang w:val="en-US" w:eastAsia="en-US" w:bidi="ar-SA"/>
      </w:rPr>
    </w:lvl>
    <w:lvl w:ilvl="6" w:tplc="740E9DA8">
      <w:numFmt w:val="bullet"/>
      <w:lvlText w:val="•"/>
      <w:lvlJc w:val="left"/>
      <w:pPr>
        <w:ind w:left="4668" w:hanging="189"/>
      </w:pPr>
      <w:rPr>
        <w:rFonts w:hint="default"/>
        <w:lang w:val="en-US" w:eastAsia="en-US" w:bidi="ar-SA"/>
      </w:rPr>
    </w:lvl>
    <w:lvl w:ilvl="7" w:tplc="BC300432">
      <w:numFmt w:val="bullet"/>
      <w:lvlText w:val="•"/>
      <w:lvlJc w:val="left"/>
      <w:pPr>
        <w:ind w:left="5396" w:hanging="189"/>
      </w:pPr>
      <w:rPr>
        <w:rFonts w:hint="default"/>
        <w:lang w:val="en-US" w:eastAsia="en-US" w:bidi="ar-SA"/>
      </w:rPr>
    </w:lvl>
    <w:lvl w:ilvl="8" w:tplc="6D421D56">
      <w:numFmt w:val="bullet"/>
      <w:lvlText w:val="•"/>
      <w:lvlJc w:val="left"/>
      <w:pPr>
        <w:ind w:left="6124" w:hanging="189"/>
      </w:pPr>
      <w:rPr>
        <w:rFonts w:hint="default"/>
        <w:lang w:val="en-US" w:eastAsia="en-US" w:bidi="ar-SA"/>
      </w:rPr>
    </w:lvl>
  </w:abstractNum>
  <w:abstractNum w:abstractNumId="36" w15:restartNumberingAfterBreak="0">
    <w:nsid w:val="14A47EC1"/>
    <w:multiLevelType w:val="hybridMultilevel"/>
    <w:tmpl w:val="22321CFE"/>
    <w:lvl w:ilvl="0" w:tplc="ABB27A60">
      <w:start w:val="1"/>
      <w:numFmt w:val="decimalZero"/>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1C9C15AC">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CD828A1A">
      <w:numFmt w:val="bullet"/>
      <w:lvlText w:val=""/>
      <w:lvlJc w:val="left"/>
      <w:pPr>
        <w:ind w:left="2520" w:hanging="360"/>
      </w:pPr>
      <w:rPr>
        <w:rFonts w:ascii="Symbol" w:eastAsia="Symbol" w:hAnsi="Symbol" w:cs="Symbol" w:hint="default"/>
        <w:b w:val="0"/>
        <w:bCs w:val="0"/>
        <w:i w:val="0"/>
        <w:iCs w:val="0"/>
        <w:spacing w:val="0"/>
        <w:w w:val="99"/>
        <w:sz w:val="22"/>
        <w:szCs w:val="22"/>
        <w:lang w:val="en-US" w:eastAsia="en-US" w:bidi="ar-SA"/>
      </w:rPr>
    </w:lvl>
    <w:lvl w:ilvl="3" w:tplc="904058DE">
      <w:numFmt w:val="bullet"/>
      <w:lvlText w:val="•"/>
      <w:lvlJc w:val="left"/>
      <w:pPr>
        <w:ind w:left="3510" w:hanging="360"/>
      </w:pPr>
      <w:rPr>
        <w:rFonts w:hint="default"/>
        <w:lang w:val="en-US" w:eastAsia="en-US" w:bidi="ar-SA"/>
      </w:rPr>
    </w:lvl>
    <w:lvl w:ilvl="4" w:tplc="9A121B8A">
      <w:numFmt w:val="bullet"/>
      <w:lvlText w:val="•"/>
      <w:lvlJc w:val="left"/>
      <w:pPr>
        <w:ind w:left="4500" w:hanging="360"/>
      </w:pPr>
      <w:rPr>
        <w:rFonts w:hint="default"/>
        <w:lang w:val="en-US" w:eastAsia="en-US" w:bidi="ar-SA"/>
      </w:rPr>
    </w:lvl>
    <w:lvl w:ilvl="5" w:tplc="E0C20824">
      <w:numFmt w:val="bullet"/>
      <w:lvlText w:val="•"/>
      <w:lvlJc w:val="left"/>
      <w:pPr>
        <w:ind w:left="5490" w:hanging="360"/>
      </w:pPr>
      <w:rPr>
        <w:rFonts w:hint="default"/>
        <w:lang w:val="en-US" w:eastAsia="en-US" w:bidi="ar-SA"/>
      </w:rPr>
    </w:lvl>
    <w:lvl w:ilvl="6" w:tplc="938CEDE4">
      <w:numFmt w:val="bullet"/>
      <w:lvlText w:val="•"/>
      <w:lvlJc w:val="left"/>
      <w:pPr>
        <w:ind w:left="6480" w:hanging="360"/>
      </w:pPr>
      <w:rPr>
        <w:rFonts w:hint="default"/>
        <w:lang w:val="en-US" w:eastAsia="en-US" w:bidi="ar-SA"/>
      </w:rPr>
    </w:lvl>
    <w:lvl w:ilvl="7" w:tplc="EAAA102A">
      <w:numFmt w:val="bullet"/>
      <w:lvlText w:val="•"/>
      <w:lvlJc w:val="left"/>
      <w:pPr>
        <w:ind w:left="7470" w:hanging="360"/>
      </w:pPr>
      <w:rPr>
        <w:rFonts w:hint="default"/>
        <w:lang w:val="en-US" w:eastAsia="en-US" w:bidi="ar-SA"/>
      </w:rPr>
    </w:lvl>
    <w:lvl w:ilvl="8" w:tplc="94D0542C">
      <w:numFmt w:val="bullet"/>
      <w:lvlText w:val="•"/>
      <w:lvlJc w:val="left"/>
      <w:pPr>
        <w:ind w:left="8460" w:hanging="360"/>
      </w:pPr>
      <w:rPr>
        <w:rFonts w:hint="default"/>
        <w:lang w:val="en-US" w:eastAsia="en-US" w:bidi="ar-SA"/>
      </w:rPr>
    </w:lvl>
  </w:abstractNum>
  <w:abstractNum w:abstractNumId="37" w15:restartNumberingAfterBreak="0">
    <w:nsid w:val="14AF3C3B"/>
    <w:multiLevelType w:val="hybridMultilevel"/>
    <w:tmpl w:val="B642981A"/>
    <w:lvl w:ilvl="0" w:tplc="B1D4B42A">
      <w:start w:val="1"/>
      <w:numFmt w:val="decimal"/>
      <w:lvlText w:val="%1."/>
      <w:lvlJc w:val="left"/>
      <w:pPr>
        <w:ind w:left="720" w:hanging="360"/>
        <w:jc w:val="left"/>
      </w:pPr>
      <w:rPr>
        <w:rFonts w:ascii="Arial" w:eastAsia="Arial" w:hAnsi="Arial" w:cs="Arial" w:hint="default"/>
        <w:b w:val="0"/>
        <w:bCs w:val="0"/>
        <w:i w:val="0"/>
        <w:iCs w:val="0"/>
        <w:spacing w:val="0"/>
        <w:w w:val="99"/>
        <w:sz w:val="22"/>
        <w:szCs w:val="22"/>
        <w:lang w:val="en-US" w:eastAsia="en-US" w:bidi="ar-SA"/>
      </w:rPr>
    </w:lvl>
    <w:lvl w:ilvl="1" w:tplc="3B56D802">
      <w:numFmt w:val="bullet"/>
      <w:lvlText w:val="•"/>
      <w:lvlJc w:val="left"/>
      <w:pPr>
        <w:ind w:left="1692" w:hanging="360"/>
      </w:pPr>
      <w:rPr>
        <w:rFonts w:hint="default"/>
        <w:lang w:val="en-US" w:eastAsia="en-US" w:bidi="ar-SA"/>
      </w:rPr>
    </w:lvl>
    <w:lvl w:ilvl="2" w:tplc="5A2009A2">
      <w:numFmt w:val="bullet"/>
      <w:lvlText w:val="•"/>
      <w:lvlJc w:val="left"/>
      <w:pPr>
        <w:ind w:left="2664" w:hanging="360"/>
      </w:pPr>
      <w:rPr>
        <w:rFonts w:hint="default"/>
        <w:lang w:val="en-US" w:eastAsia="en-US" w:bidi="ar-SA"/>
      </w:rPr>
    </w:lvl>
    <w:lvl w:ilvl="3" w:tplc="FAB22B0C">
      <w:numFmt w:val="bullet"/>
      <w:lvlText w:val="•"/>
      <w:lvlJc w:val="left"/>
      <w:pPr>
        <w:ind w:left="3636" w:hanging="360"/>
      </w:pPr>
      <w:rPr>
        <w:rFonts w:hint="default"/>
        <w:lang w:val="en-US" w:eastAsia="en-US" w:bidi="ar-SA"/>
      </w:rPr>
    </w:lvl>
    <w:lvl w:ilvl="4" w:tplc="E8441E22">
      <w:numFmt w:val="bullet"/>
      <w:lvlText w:val="•"/>
      <w:lvlJc w:val="left"/>
      <w:pPr>
        <w:ind w:left="4608" w:hanging="360"/>
      </w:pPr>
      <w:rPr>
        <w:rFonts w:hint="default"/>
        <w:lang w:val="en-US" w:eastAsia="en-US" w:bidi="ar-SA"/>
      </w:rPr>
    </w:lvl>
    <w:lvl w:ilvl="5" w:tplc="7A7C5522">
      <w:numFmt w:val="bullet"/>
      <w:lvlText w:val="•"/>
      <w:lvlJc w:val="left"/>
      <w:pPr>
        <w:ind w:left="5580" w:hanging="360"/>
      </w:pPr>
      <w:rPr>
        <w:rFonts w:hint="default"/>
        <w:lang w:val="en-US" w:eastAsia="en-US" w:bidi="ar-SA"/>
      </w:rPr>
    </w:lvl>
    <w:lvl w:ilvl="6" w:tplc="5838D2C0">
      <w:numFmt w:val="bullet"/>
      <w:lvlText w:val="•"/>
      <w:lvlJc w:val="left"/>
      <w:pPr>
        <w:ind w:left="6552" w:hanging="360"/>
      </w:pPr>
      <w:rPr>
        <w:rFonts w:hint="default"/>
        <w:lang w:val="en-US" w:eastAsia="en-US" w:bidi="ar-SA"/>
      </w:rPr>
    </w:lvl>
    <w:lvl w:ilvl="7" w:tplc="C62ADD5C">
      <w:numFmt w:val="bullet"/>
      <w:lvlText w:val="•"/>
      <w:lvlJc w:val="left"/>
      <w:pPr>
        <w:ind w:left="7524" w:hanging="360"/>
      </w:pPr>
      <w:rPr>
        <w:rFonts w:hint="default"/>
        <w:lang w:val="en-US" w:eastAsia="en-US" w:bidi="ar-SA"/>
      </w:rPr>
    </w:lvl>
    <w:lvl w:ilvl="8" w:tplc="8CE497E6">
      <w:numFmt w:val="bullet"/>
      <w:lvlText w:val="•"/>
      <w:lvlJc w:val="left"/>
      <w:pPr>
        <w:ind w:left="8496" w:hanging="360"/>
      </w:pPr>
      <w:rPr>
        <w:rFonts w:hint="default"/>
        <w:lang w:val="en-US" w:eastAsia="en-US" w:bidi="ar-SA"/>
      </w:rPr>
    </w:lvl>
  </w:abstractNum>
  <w:abstractNum w:abstractNumId="38" w15:restartNumberingAfterBreak="0">
    <w:nsid w:val="14B5282B"/>
    <w:multiLevelType w:val="hybridMultilevel"/>
    <w:tmpl w:val="684CA564"/>
    <w:lvl w:ilvl="0" w:tplc="6818D1F2">
      <w:start w:val="10"/>
      <w:numFmt w:val="decimal"/>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BE148D96">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1B30664A">
      <w:numFmt w:val="bullet"/>
      <w:lvlText w:val="•"/>
      <w:lvlJc w:val="left"/>
      <w:pPr>
        <w:ind w:left="3080" w:hanging="360"/>
      </w:pPr>
      <w:rPr>
        <w:rFonts w:hint="default"/>
        <w:lang w:val="en-US" w:eastAsia="en-US" w:bidi="ar-SA"/>
      </w:rPr>
    </w:lvl>
    <w:lvl w:ilvl="3" w:tplc="AB2E754C">
      <w:numFmt w:val="bullet"/>
      <w:lvlText w:val="•"/>
      <w:lvlJc w:val="left"/>
      <w:pPr>
        <w:ind w:left="4000" w:hanging="360"/>
      </w:pPr>
      <w:rPr>
        <w:rFonts w:hint="default"/>
        <w:lang w:val="en-US" w:eastAsia="en-US" w:bidi="ar-SA"/>
      </w:rPr>
    </w:lvl>
    <w:lvl w:ilvl="4" w:tplc="58AE66F0">
      <w:numFmt w:val="bullet"/>
      <w:lvlText w:val="•"/>
      <w:lvlJc w:val="left"/>
      <w:pPr>
        <w:ind w:left="4920" w:hanging="360"/>
      </w:pPr>
      <w:rPr>
        <w:rFonts w:hint="default"/>
        <w:lang w:val="en-US" w:eastAsia="en-US" w:bidi="ar-SA"/>
      </w:rPr>
    </w:lvl>
    <w:lvl w:ilvl="5" w:tplc="786644C6">
      <w:numFmt w:val="bullet"/>
      <w:lvlText w:val="•"/>
      <w:lvlJc w:val="left"/>
      <w:pPr>
        <w:ind w:left="5840" w:hanging="360"/>
      </w:pPr>
      <w:rPr>
        <w:rFonts w:hint="default"/>
        <w:lang w:val="en-US" w:eastAsia="en-US" w:bidi="ar-SA"/>
      </w:rPr>
    </w:lvl>
    <w:lvl w:ilvl="6" w:tplc="F418055C">
      <w:numFmt w:val="bullet"/>
      <w:lvlText w:val="•"/>
      <w:lvlJc w:val="left"/>
      <w:pPr>
        <w:ind w:left="6760" w:hanging="360"/>
      </w:pPr>
      <w:rPr>
        <w:rFonts w:hint="default"/>
        <w:lang w:val="en-US" w:eastAsia="en-US" w:bidi="ar-SA"/>
      </w:rPr>
    </w:lvl>
    <w:lvl w:ilvl="7" w:tplc="F3A23D18">
      <w:numFmt w:val="bullet"/>
      <w:lvlText w:val="•"/>
      <w:lvlJc w:val="left"/>
      <w:pPr>
        <w:ind w:left="7680" w:hanging="360"/>
      </w:pPr>
      <w:rPr>
        <w:rFonts w:hint="default"/>
        <w:lang w:val="en-US" w:eastAsia="en-US" w:bidi="ar-SA"/>
      </w:rPr>
    </w:lvl>
    <w:lvl w:ilvl="8" w:tplc="45AA10E8">
      <w:numFmt w:val="bullet"/>
      <w:lvlText w:val="•"/>
      <w:lvlJc w:val="left"/>
      <w:pPr>
        <w:ind w:left="8600" w:hanging="360"/>
      </w:pPr>
      <w:rPr>
        <w:rFonts w:hint="default"/>
        <w:lang w:val="en-US" w:eastAsia="en-US" w:bidi="ar-SA"/>
      </w:rPr>
    </w:lvl>
  </w:abstractNum>
  <w:abstractNum w:abstractNumId="39" w15:restartNumberingAfterBreak="0">
    <w:nsid w:val="1663163C"/>
    <w:multiLevelType w:val="hybridMultilevel"/>
    <w:tmpl w:val="4CD850BA"/>
    <w:lvl w:ilvl="0" w:tplc="49D0281C">
      <w:start w:val="10"/>
      <w:numFmt w:val="decimal"/>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1B54E6E8">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01E61AF4">
      <w:numFmt w:val="bullet"/>
      <w:lvlText w:val=""/>
      <w:lvlJc w:val="left"/>
      <w:pPr>
        <w:ind w:left="2519" w:hanging="360"/>
      </w:pPr>
      <w:rPr>
        <w:rFonts w:ascii="Symbol" w:eastAsia="Symbol" w:hAnsi="Symbol" w:cs="Symbol" w:hint="default"/>
        <w:b w:val="0"/>
        <w:bCs w:val="0"/>
        <w:i w:val="0"/>
        <w:iCs w:val="0"/>
        <w:spacing w:val="0"/>
        <w:w w:val="99"/>
        <w:sz w:val="22"/>
        <w:szCs w:val="22"/>
        <w:lang w:val="en-US" w:eastAsia="en-US" w:bidi="ar-SA"/>
      </w:rPr>
    </w:lvl>
    <w:lvl w:ilvl="3" w:tplc="5E567FDA">
      <w:numFmt w:val="bullet"/>
      <w:lvlText w:val="•"/>
      <w:lvlJc w:val="left"/>
      <w:pPr>
        <w:ind w:left="3510" w:hanging="360"/>
      </w:pPr>
      <w:rPr>
        <w:rFonts w:hint="default"/>
        <w:lang w:val="en-US" w:eastAsia="en-US" w:bidi="ar-SA"/>
      </w:rPr>
    </w:lvl>
    <w:lvl w:ilvl="4" w:tplc="44E6BC14">
      <w:numFmt w:val="bullet"/>
      <w:lvlText w:val="•"/>
      <w:lvlJc w:val="left"/>
      <w:pPr>
        <w:ind w:left="4500" w:hanging="360"/>
      </w:pPr>
      <w:rPr>
        <w:rFonts w:hint="default"/>
        <w:lang w:val="en-US" w:eastAsia="en-US" w:bidi="ar-SA"/>
      </w:rPr>
    </w:lvl>
    <w:lvl w:ilvl="5" w:tplc="E216F3B8">
      <w:numFmt w:val="bullet"/>
      <w:lvlText w:val="•"/>
      <w:lvlJc w:val="left"/>
      <w:pPr>
        <w:ind w:left="5490" w:hanging="360"/>
      </w:pPr>
      <w:rPr>
        <w:rFonts w:hint="default"/>
        <w:lang w:val="en-US" w:eastAsia="en-US" w:bidi="ar-SA"/>
      </w:rPr>
    </w:lvl>
    <w:lvl w:ilvl="6" w:tplc="752ED154">
      <w:numFmt w:val="bullet"/>
      <w:lvlText w:val="•"/>
      <w:lvlJc w:val="left"/>
      <w:pPr>
        <w:ind w:left="6480" w:hanging="360"/>
      </w:pPr>
      <w:rPr>
        <w:rFonts w:hint="default"/>
        <w:lang w:val="en-US" w:eastAsia="en-US" w:bidi="ar-SA"/>
      </w:rPr>
    </w:lvl>
    <w:lvl w:ilvl="7" w:tplc="036A4D22">
      <w:numFmt w:val="bullet"/>
      <w:lvlText w:val="•"/>
      <w:lvlJc w:val="left"/>
      <w:pPr>
        <w:ind w:left="7470" w:hanging="360"/>
      </w:pPr>
      <w:rPr>
        <w:rFonts w:hint="default"/>
        <w:lang w:val="en-US" w:eastAsia="en-US" w:bidi="ar-SA"/>
      </w:rPr>
    </w:lvl>
    <w:lvl w:ilvl="8" w:tplc="6026030E">
      <w:numFmt w:val="bullet"/>
      <w:lvlText w:val="•"/>
      <w:lvlJc w:val="left"/>
      <w:pPr>
        <w:ind w:left="8460" w:hanging="360"/>
      </w:pPr>
      <w:rPr>
        <w:rFonts w:hint="default"/>
        <w:lang w:val="en-US" w:eastAsia="en-US" w:bidi="ar-SA"/>
      </w:rPr>
    </w:lvl>
  </w:abstractNum>
  <w:abstractNum w:abstractNumId="40" w15:restartNumberingAfterBreak="0">
    <w:nsid w:val="16771576"/>
    <w:multiLevelType w:val="hybridMultilevel"/>
    <w:tmpl w:val="26DC305A"/>
    <w:lvl w:ilvl="0" w:tplc="66F073EE">
      <w:numFmt w:val="bullet"/>
      <w:lvlText w:val=""/>
      <w:lvlJc w:val="left"/>
      <w:pPr>
        <w:ind w:left="2159" w:hanging="360"/>
      </w:pPr>
      <w:rPr>
        <w:rFonts w:ascii="Symbol" w:eastAsia="Symbol" w:hAnsi="Symbol" w:cs="Symbol" w:hint="default"/>
        <w:b w:val="0"/>
        <w:bCs w:val="0"/>
        <w:i w:val="0"/>
        <w:iCs w:val="0"/>
        <w:spacing w:val="0"/>
        <w:w w:val="99"/>
        <w:sz w:val="22"/>
        <w:szCs w:val="22"/>
        <w:lang w:val="en-US" w:eastAsia="en-US" w:bidi="ar-SA"/>
      </w:rPr>
    </w:lvl>
    <w:lvl w:ilvl="1" w:tplc="DDD6E174">
      <w:numFmt w:val="bullet"/>
      <w:lvlText w:val="•"/>
      <w:lvlJc w:val="left"/>
      <w:pPr>
        <w:ind w:left="2988" w:hanging="360"/>
      </w:pPr>
      <w:rPr>
        <w:rFonts w:hint="default"/>
        <w:lang w:val="en-US" w:eastAsia="en-US" w:bidi="ar-SA"/>
      </w:rPr>
    </w:lvl>
    <w:lvl w:ilvl="2" w:tplc="CCEAADFC">
      <w:numFmt w:val="bullet"/>
      <w:lvlText w:val="•"/>
      <w:lvlJc w:val="left"/>
      <w:pPr>
        <w:ind w:left="3816" w:hanging="360"/>
      </w:pPr>
      <w:rPr>
        <w:rFonts w:hint="default"/>
        <w:lang w:val="en-US" w:eastAsia="en-US" w:bidi="ar-SA"/>
      </w:rPr>
    </w:lvl>
    <w:lvl w:ilvl="3" w:tplc="29888D54">
      <w:numFmt w:val="bullet"/>
      <w:lvlText w:val="•"/>
      <w:lvlJc w:val="left"/>
      <w:pPr>
        <w:ind w:left="4644" w:hanging="360"/>
      </w:pPr>
      <w:rPr>
        <w:rFonts w:hint="default"/>
        <w:lang w:val="en-US" w:eastAsia="en-US" w:bidi="ar-SA"/>
      </w:rPr>
    </w:lvl>
    <w:lvl w:ilvl="4" w:tplc="310041EE">
      <w:numFmt w:val="bullet"/>
      <w:lvlText w:val="•"/>
      <w:lvlJc w:val="left"/>
      <w:pPr>
        <w:ind w:left="5472" w:hanging="360"/>
      </w:pPr>
      <w:rPr>
        <w:rFonts w:hint="default"/>
        <w:lang w:val="en-US" w:eastAsia="en-US" w:bidi="ar-SA"/>
      </w:rPr>
    </w:lvl>
    <w:lvl w:ilvl="5" w:tplc="AD505F58">
      <w:numFmt w:val="bullet"/>
      <w:lvlText w:val="•"/>
      <w:lvlJc w:val="left"/>
      <w:pPr>
        <w:ind w:left="6300" w:hanging="360"/>
      </w:pPr>
      <w:rPr>
        <w:rFonts w:hint="default"/>
        <w:lang w:val="en-US" w:eastAsia="en-US" w:bidi="ar-SA"/>
      </w:rPr>
    </w:lvl>
    <w:lvl w:ilvl="6" w:tplc="3C2CD916">
      <w:numFmt w:val="bullet"/>
      <w:lvlText w:val="•"/>
      <w:lvlJc w:val="left"/>
      <w:pPr>
        <w:ind w:left="7128" w:hanging="360"/>
      </w:pPr>
      <w:rPr>
        <w:rFonts w:hint="default"/>
        <w:lang w:val="en-US" w:eastAsia="en-US" w:bidi="ar-SA"/>
      </w:rPr>
    </w:lvl>
    <w:lvl w:ilvl="7" w:tplc="AFF6DB34">
      <w:numFmt w:val="bullet"/>
      <w:lvlText w:val="•"/>
      <w:lvlJc w:val="left"/>
      <w:pPr>
        <w:ind w:left="7956" w:hanging="360"/>
      </w:pPr>
      <w:rPr>
        <w:rFonts w:hint="default"/>
        <w:lang w:val="en-US" w:eastAsia="en-US" w:bidi="ar-SA"/>
      </w:rPr>
    </w:lvl>
    <w:lvl w:ilvl="8" w:tplc="F7F658FC">
      <w:numFmt w:val="bullet"/>
      <w:lvlText w:val="•"/>
      <w:lvlJc w:val="left"/>
      <w:pPr>
        <w:ind w:left="8784" w:hanging="360"/>
      </w:pPr>
      <w:rPr>
        <w:rFonts w:hint="default"/>
        <w:lang w:val="en-US" w:eastAsia="en-US" w:bidi="ar-SA"/>
      </w:rPr>
    </w:lvl>
  </w:abstractNum>
  <w:abstractNum w:abstractNumId="41" w15:restartNumberingAfterBreak="0">
    <w:nsid w:val="16A97D3D"/>
    <w:multiLevelType w:val="hybridMultilevel"/>
    <w:tmpl w:val="9F70F424"/>
    <w:lvl w:ilvl="0" w:tplc="C67C081C">
      <w:start w:val="7"/>
      <w:numFmt w:val="decimal"/>
      <w:lvlText w:val="%1)"/>
      <w:lvlJc w:val="left"/>
      <w:pPr>
        <w:ind w:left="668" w:hanging="577"/>
        <w:jc w:val="left"/>
      </w:pPr>
      <w:rPr>
        <w:rFonts w:ascii="Arial" w:eastAsia="Arial" w:hAnsi="Arial" w:cs="Arial" w:hint="default"/>
        <w:b w:val="0"/>
        <w:bCs w:val="0"/>
        <w:i w:val="0"/>
        <w:iCs w:val="0"/>
        <w:spacing w:val="0"/>
        <w:w w:val="99"/>
        <w:sz w:val="22"/>
        <w:szCs w:val="22"/>
        <w:lang w:val="en-US" w:eastAsia="en-US" w:bidi="ar-SA"/>
      </w:rPr>
    </w:lvl>
    <w:lvl w:ilvl="1" w:tplc="72BC28AE">
      <w:numFmt w:val="bullet"/>
      <w:lvlText w:val=""/>
      <w:lvlJc w:val="left"/>
      <w:pPr>
        <w:ind w:left="1103" w:hanging="360"/>
      </w:pPr>
      <w:rPr>
        <w:rFonts w:ascii="Symbol" w:eastAsia="Symbol" w:hAnsi="Symbol" w:cs="Symbol" w:hint="default"/>
        <w:b w:val="0"/>
        <w:bCs w:val="0"/>
        <w:i w:val="0"/>
        <w:iCs w:val="0"/>
        <w:spacing w:val="0"/>
        <w:w w:val="99"/>
        <w:sz w:val="22"/>
        <w:szCs w:val="22"/>
        <w:lang w:val="en-US" w:eastAsia="en-US" w:bidi="ar-SA"/>
      </w:rPr>
    </w:lvl>
    <w:lvl w:ilvl="2" w:tplc="0E6CA41A">
      <w:numFmt w:val="bullet"/>
      <w:lvlText w:val="•"/>
      <w:lvlJc w:val="left"/>
      <w:pPr>
        <w:ind w:left="1798" w:hanging="360"/>
      </w:pPr>
      <w:rPr>
        <w:rFonts w:hint="default"/>
        <w:lang w:val="en-US" w:eastAsia="en-US" w:bidi="ar-SA"/>
      </w:rPr>
    </w:lvl>
    <w:lvl w:ilvl="3" w:tplc="15FE12B2">
      <w:numFmt w:val="bullet"/>
      <w:lvlText w:val="•"/>
      <w:lvlJc w:val="left"/>
      <w:pPr>
        <w:ind w:left="2497" w:hanging="360"/>
      </w:pPr>
      <w:rPr>
        <w:rFonts w:hint="default"/>
        <w:lang w:val="en-US" w:eastAsia="en-US" w:bidi="ar-SA"/>
      </w:rPr>
    </w:lvl>
    <w:lvl w:ilvl="4" w:tplc="A91E5C10">
      <w:numFmt w:val="bullet"/>
      <w:lvlText w:val="•"/>
      <w:lvlJc w:val="left"/>
      <w:pPr>
        <w:ind w:left="3196" w:hanging="360"/>
      </w:pPr>
      <w:rPr>
        <w:rFonts w:hint="default"/>
        <w:lang w:val="en-US" w:eastAsia="en-US" w:bidi="ar-SA"/>
      </w:rPr>
    </w:lvl>
    <w:lvl w:ilvl="5" w:tplc="3CB0816E">
      <w:numFmt w:val="bullet"/>
      <w:lvlText w:val="•"/>
      <w:lvlJc w:val="left"/>
      <w:pPr>
        <w:ind w:left="3895" w:hanging="360"/>
      </w:pPr>
      <w:rPr>
        <w:rFonts w:hint="default"/>
        <w:lang w:val="en-US" w:eastAsia="en-US" w:bidi="ar-SA"/>
      </w:rPr>
    </w:lvl>
    <w:lvl w:ilvl="6" w:tplc="FD02F900">
      <w:numFmt w:val="bullet"/>
      <w:lvlText w:val="•"/>
      <w:lvlJc w:val="left"/>
      <w:pPr>
        <w:ind w:left="4594" w:hanging="360"/>
      </w:pPr>
      <w:rPr>
        <w:rFonts w:hint="default"/>
        <w:lang w:val="en-US" w:eastAsia="en-US" w:bidi="ar-SA"/>
      </w:rPr>
    </w:lvl>
    <w:lvl w:ilvl="7" w:tplc="3B5245D8">
      <w:numFmt w:val="bullet"/>
      <w:lvlText w:val="•"/>
      <w:lvlJc w:val="left"/>
      <w:pPr>
        <w:ind w:left="5293" w:hanging="360"/>
      </w:pPr>
      <w:rPr>
        <w:rFonts w:hint="default"/>
        <w:lang w:val="en-US" w:eastAsia="en-US" w:bidi="ar-SA"/>
      </w:rPr>
    </w:lvl>
    <w:lvl w:ilvl="8" w:tplc="E1AC2784">
      <w:numFmt w:val="bullet"/>
      <w:lvlText w:val="•"/>
      <w:lvlJc w:val="left"/>
      <w:pPr>
        <w:ind w:left="5992" w:hanging="360"/>
      </w:pPr>
      <w:rPr>
        <w:rFonts w:hint="default"/>
        <w:lang w:val="en-US" w:eastAsia="en-US" w:bidi="ar-SA"/>
      </w:rPr>
    </w:lvl>
  </w:abstractNum>
  <w:abstractNum w:abstractNumId="42" w15:restartNumberingAfterBreak="0">
    <w:nsid w:val="172F1122"/>
    <w:multiLevelType w:val="hybridMultilevel"/>
    <w:tmpl w:val="1248CF62"/>
    <w:lvl w:ilvl="0" w:tplc="8DE40308">
      <w:start w:val="2"/>
      <w:numFmt w:val="lowerLetter"/>
      <w:lvlText w:val="%1."/>
      <w:lvlJc w:val="left"/>
      <w:pPr>
        <w:ind w:left="1203" w:hanging="360"/>
        <w:jc w:val="left"/>
      </w:pPr>
      <w:rPr>
        <w:rFonts w:ascii="Arial" w:eastAsia="Arial" w:hAnsi="Arial" w:cs="Arial" w:hint="default"/>
        <w:b w:val="0"/>
        <w:bCs w:val="0"/>
        <w:i w:val="0"/>
        <w:iCs w:val="0"/>
        <w:spacing w:val="0"/>
        <w:w w:val="99"/>
        <w:sz w:val="22"/>
        <w:szCs w:val="22"/>
        <w:lang w:val="en-US" w:eastAsia="en-US" w:bidi="ar-SA"/>
      </w:rPr>
    </w:lvl>
    <w:lvl w:ilvl="1" w:tplc="C868BA64">
      <w:numFmt w:val="bullet"/>
      <w:lvlText w:val=""/>
      <w:lvlJc w:val="left"/>
      <w:pPr>
        <w:ind w:left="1520" w:hanging="274"/>
      </w:pPr>
      <w:rPr>
        <w:rFonts w:ascii="Symbol" w:eastAsia="Symbol" w:hAnsi="Symbol" w:cs="Symbol" w:hint="default"/>
        <w:spacing w:val="0"/>
        <w:w w:val="99"/>
        <w:lang w:val="en-US" w:eastAsia="en-US" w:bidi="ar-SA"/>
      </w:rPr>
    </w:lvl>
    <w:lvl w:ilvl="2" w:tplc="3F6A1158">
      <w:numFmt w:val="bullet"/>
      <w:lvlText w:val="•"/>
      <w:lvlJc w:val="left"/>
      <w:pPr>
        <w:ind w:left="2167" w:hanging="274"/>
      </w:pPr>
      <w:rPr>
        <w:rFonts w:hint="default"/>
        <w:lang w:val="en-US" w:eastAsia="en-US" w:bidi="ar-SA"/>
      </w:rPr>
    </w:lvl>
    <w:lvl w:ilvl="3" w:tplc="B9DA949A">
      <w:numFmt w:val="bullet"/>
      <w:lvlText w:val="•"/>
      <w:lvlJc w:val="left"/>
      <w:pPr>
        <w:ind w:left="2815" w:hanging="274"/>
      </w:pPr>
      <w:rPr>
        <w:rFonts w:hint="default"/>
        <w:lang w:val="en-US" w:eastAsia="en-US" w:bidi="ar-SA"/>
      </w:rPr>
    </w:lvl>
    <w:lvl w:ilvl="4" w:tplc="4246DF22">
      <w:numFmt w:val="bullet"/>
      <w:lvlText w:val="•"/>
      <w:lvlJc w:val="left"/>
      <w:pPr>
        <w:ind w:left="3463" w:hanging="274"/>
      </w:pPr>
      <w:rPr>
        <w:rFonts w:hint="default"/>
        <w:lang w:val="en-US" w:eastAsia="en-US" w:bidi="ar-SA"/>
      </w:rPr>
    </w:lvl>
    <w:lvl w:ilvl="5" w:tplc="D5443562">
      <w:numFmt w:val="bullet"/>
      <w:lvlText w:val="•"/>
      <w:lvlJc w:val="left"/>
      <w:pPr>
        <w:ind w:left="4111" w:hanging="274"/>
      </w:pPr>
      <w:rPr>
        <w:rFonts w:hint="default"/>
        <w:lang w:val="en-US" w:eastAsia="en-US" w:bidi="ar-SA"/>
      </w:rPr>
    </w:lvl>
    <w:lvl w:ilvl="6" w:tplc="45C8813A">
      <w:numFmt w:val="bullet"/>
      <w:lvlText w:val="•"/>
      <w:lvlJc w:val="left"/>
      <w:pPr>
        <w:ind w:left="4758" w:hanging="274"/>
      </w:pPr>
      <w:rPr>
        <w:rFonts w:hint="default"/>
        <w:lang w:val="en-US" w:eastAsia="en-US" w:bidi="ar-SA"/>
      </w:rPr>
    </w:lvl>
    <w:lvl w:ilvl="7" w:tplc="EAF680D4">
      <w:numFmt w:val="bullet"/>
      <w:lvlText w:val="•"/>
      <w:lvlJc w:val="left"/>
      <w:pPr>
        <w:ind w:left="5406" w:hanging="274"/>
      </w:pPr>
      <w:rPr>
        <w:rFonts w:hint="default"/>
        <w:lang w:val="en-US" w:eastAsia="en-US" w:bidi="ar-SA"/>
      </w:rPr>
    </w:lvl>
    <w:lvl w:ilvl="8" w:tplc="B51C70B0">
      <w:numFmt w:val="bullet"/>
      <w:lvlText w:val="•"/>
      <w:lvlJc w:val="left"/>
      <w:pPr>
        <w:ind w:left="6054" w:hanging="274"/>
      </w:pPr>
      <w:rPr>
        <w:rFonts w:hint="default"/>
        <w:lang w:val="en-US" w:eastAsia="en-US" w:bidi="ar-SA"/>
      </w:rPr>
    </w:lvl>
  </w:abstractNum>
  <w:abstractNum w:abstractNumId="43" w15:restartNumberingAfterBreak="0">
    <w:nsid w:val="19783519"/>
    <w:multiLevelType w:val="hybridMultilevel"/>
    <w:tmpl w:val="5B3EC8F4"/>
    <w:lvl w:ilvl="0" w:tplc="C9D44030">
      <w:start w:val="2"/>
      <w:numFmt w:val="decimal"/>
      <w:lvlText w:val="%1)"/>
      <w:lvlJc w:val="left"/>
      <w:pPr>
        <w:ind w:left="705" w:hanging="577"/>
        <w:jc w:val="left"/>
      </w:pPr>
      <w:rPr>
        <w:rFonts w:ascii="Arial" w:eastAsia="Arial" w:hAnsi="Arial" w:cs="Arial" w:hint="default"/>
        <w:b w:val="0"/>
        <w:bCs w:val="0"/>
        <w:i w:val="0"/>
        <w:iCs w:val="0"/>
        <w:spacing w:val="0"/>
        <w:w w:val="99"/>
        <w:sz w:val="22"/>
        <w:szCs w:val="22"/>
        <w:lang w:val="en-US" w:eastAsia="en-US" w:bidi="ar-SA"/>
      </w:rPr>
    </w:lvl>
    <w:lvl w:ilvl="1" w:tplc="D1204814">
      <w:start w:val="1"/>
      <w:numFmt w:val="lowerLetter"/>
      <w:lvlText w:val="%2)"/>
      <w:lvlJc w:val="left"/>
      <w:pPr>
        <w:ind w:left="1239" w:hanging="535"/>
        <w:jc w:val="left"/>
      </w:pPr>
      <w:rPr>
        <w:rFonts w:ascii="Arial" w:eastAsia="Arial" w:hAnsi="Arial" w:cs="Arial" w:hint="default"/>
        <w:b w:val="0"/>
        <w:bCs w:val="0"/>
        <w:i w:val="0"/>
        <w:iCs w:val="0"/>
        <w:spacing w:val="0"/>
        <w:w w:val="99"/>
        <w:sz w:val="22"/>
        <w:szCs w:val="22"/>
        <w:lang w:val="en-US" w:eastAsia="en-US" w:bidi="ar-SA"/>
      </w:rPr>
    </w:lvl>
    <w:lvl w:ilvl="2" w:tplc="8DACA442">
      <w:numFmt w:val="bullet"/>
      <w:lvlText w:val=""/>
      <w:lvlJc w:val="left"/>
      <w:pPr>
        <w:ind w:left="1599" w:hanging="360"/>
      </w:pPr>
      <w:rPr>
        <w:rFonts w:ascii="Symbol" w:eastAsia="Symbol" w:hAnsi="Symbol" w:cs="Symbol" w:hint="default"/>
        <w:b w:val="0"/>
        <w:bCs w:val="0"/>
        <w:i w:val="0"/>
        <w:iCs w:val="0"/>
        <w:spacing w:val="0"/>
        <w:w w:val="99"/>
        <w:sz w:val="22"/>
        <w:szCs w:val="22"/>
        <w:lang w:val="en-US" w:eastAsia="en-US" w:bidi="ar-SA"/>
      </w:rPr>
    </w:lvl>
    <w:lvl w:ilvl="3" w:tplc="248A14E0">
      <w:numFmt w:val="bullet"/>
      <w:lvlText w:val="•"/>
      <w:lvlJc w:val="left"/>
      <w:pPr>
        <w:ind w:left="2281" w:hanging="360"/>
      </w:pPr>
      <w:rPr>
        <w:rFonts w:hint="default"/>
        <w:lang w:val="en-US" w:eastAsia="en-US" w:bidi="ar-SA"/>
      </w:rPr>
    </w:lvl>
    <w:lvl w:ilvl="4" w:tplc="414C5F3C">
      <w:numFmt w:val="bullet"/>
      <w:lvlText w:val="•"/>
      <w:lvlJc w:val="left"/>
      <w:pPr>
        <w:ind w:left="2962" w:hanging="360"/>
      </w:pPr>
      <w:rPr>
        <w:rFonts w:hint="default"/>
        <w:lang w:val="en-US" w:eastAsia="en-US" w:bidi="ar-SA"/>
      </w:rPr>
    </w:lvl>
    <w:lvl w:ilvl="5" w:tplc="08F2810A">
      <w:numFmt w:val="bullet"/>
      <w:lvlText w:val="•"/>
      <w:lvlJc w:val="left"/>
      <w:pPr>
        <w:ind w:left="3643" w:hanging="360"/>
      </w:pPr>
      <w:rPr>
        <w:rFonts w:hint="default"/>
        <w:lang w:val="en-US" w:eastAsia="en-US" w:bidi="ar-SA"/>
      </w:rPr>
    </w:lvl>
    <w:lvl w:ilvl="6" w:tplc="E0604A96">
      <w:numFmt w:val="bullet"/>
      <w:lvlText w:val="•"/>
      <w:lvlJc w:val="left"/>
      <w:pPr>
        <w:ind w:left="4325" w:hanging="360"/>
      </w:pPr>
      <w:rPr>
        <w:rFonts w:hint="default"/>
        <w:lang w:val="en-US" w:eastAsia="en-US" w:bidi="ar-SA"/>
      </w:rPr>
    </w:lvl>
    <w:lvl w:ilvl="7" w:tplc="E5DCEE4A">
      <w:numFmt w:val="bullet"/>
      <w:lvlText w:val="•"/>
      <w:lvlJc w:val="left"/>
      <w:pPr>
        <w:ind w:left="5006" w:hanging="360"/>
      </w:pPr>
      <w:rPr>
        <w:rFonts w:hint="default"/>
        <w:lang w:val="en-US" w:eastAsia="en-US" w:bidi="ar-SA"/>
      </w:rPr>
    </w:lvl>
    <w:lvl w:ilvl="8" w:tplc="47D8A842">
      <w:numFmt w:val="bullet"/>
      <w:lvlText w:val="•"/>
      <w:lvlJc w:val="left"/>
      <w:pPr>
        <w:ind w:left="5687" w:hanging="360"/>
      </w:pPr>
      <w:rPr>
        <w:rFonts w:hint="default"/>
        <w:lang w:val="en-US" w:eastAsia="en-US" w:bidi="ar-SA"/>
      </w:rPr>
    </w:lvl>
  </w:abstractNum>
  <w:abstractNum w:abstractNumId="44" w15:restartNumberingAfterBreak="0">
    <w:nsid w:val="19FF7D6A"/>
    <w:multiLevelType w:val="hybridMultilevel"/>
    <w:tmpl w:val="5C127F50"/>
    <w:lvl w:ilvl="0" w:tplc="A41E93A0">
      <w:start w:val="14"/>
      <w:numFmt w:val="lowerLetter"/>
      <w:lvlText w:val="%1."/>
      <w:lvlJc w:val="left"/>
      <w:pPr>
        <w:ind w:left="1203" w:hanging="360"/>
        <w:jc w:val="left"/>
      </w:pPr>
      <w:rPr>
        <w:rFonts w:ascii="Arial" w:eastAsia="Arial" w:hAnsi="Arial" w:cs="Arial" w:hint="default"/>
        <w:b w:val="0"/>
        <w:bCs w:val="0"/>
        <w:i w:val="0"/>
        <w:iCs w:val="0"/>
        <w:spacing w:val="0"/>
        <w:w w:val="99"/>
        <w:sz w:val="22"/>
        <w:szCs w:val="22"/>
        <w:lang w:val="en-US" w:eastAsia="en-US" w:bidi="ar-SA"/>
      </w:rPr>
    </w:lvl>
    <w:lvl w:ilvl="1" w:tplc="E9E802C8">
      <w:numFmt w:val="bullet"/>
      <w:lvlText w:val=""/>
      <w:lvlJc w:val="left"/>
      <w:pPr>
        <w:ind w:left="1514" w:hanging="270"/>
      </w:pPr>
      <w:rPr>
        <w:rFonts w:ascii="Symbol" w:eastAsia="Symbol" w:hAnsi="Symbol" w:cs="Symbol" w:hint="default"/>
        <w:spacing w:val="0"/>
        <w:w w:val="99"/>
        <w:lang w:val="en-US" w:eastAsia="en-US" w:bidi="ar-SA"/>
      </w:rPr>
    </w:lvl>
    <w:lvl w:ilvl="2" w:tplc="EC1473C8">
      <w:numFmt w:val="bullet"/>
      <w:lvlText w:val="o"/>
      <w:lvlJc w:val="left"/>
      <w:pPr>
        <w:ind w:left="1875" w:hanging="360"/>
      </w:pPr>
      <w:rPr>
        <w:rFonts w:ascii="Courier New" w:eastAsia="Courier New" w:hAnsi="Courier New" w:cs="Courier New" w:hint="default"/>
        <w:b w:val="0"/>
        <w:bCs w:val="0"/>
        <w:i w:val="0"/>
        <w:iCs w:val="0"/>
        <w:spacing w:val="0"/>
        <w:w w:val="99"/>
        <w:sz w:val="22"/>
        <w:szCs w:val="22"/>
        <w:lang w:val="en-US" w:eastAsia="en-US" w:bidi="ar-SA"/>
      </w:rPr>
    </w:lvl>
    <w:lvl w:ilvl="3" w:tplc="262CCE40">
      <w:numFmt w:val="bullet"/>
      <w:lvlText w:val="•"/>
      <w:lvlJc w:val="left"/>
      <w:pPr>
        <w:ind w:left="2563" w:hanging="360"/>
      </w:pPr>
      <w:rPr>
        <w:rFonts w:hint="default"/>
        <w:lang w:val="en-US" w:eastAsia="en-US" w:bidi="ar-SA"/>
      </w:rPr>
    </w:lvl>
    <w:lvl w:ilvl="4" w:tplc="15C239FE">
      <w:numFmt w:val="bullet"/>
      <w:lvlText w:val="•"/>
      <w:lvlJc w:val="left"/>
      <w:pPr>
        <w:ind w:left="3247" w:hanging="360"/>
      </w:pPr>
      <w:rPr>
        <w:rFonts w:hint="default"/>
        <w:lang w:val="en-US" w:eastAsia="en-US" w:bidi="ar-SA"/>
      </w:rPr>
    </w:lvl>
    <w:lvl w:ilvl="5" w:tplc="4E1CE152">
      <w:numFmt w:val="bullet"/>
      <w:lvlText w:val="•"/>
      <w:lvlJc w:val="left"/>
      <w:pPr>
        <w:ind w:left="3931" w:hanging="360"/>
      </w:pPr>
      <w:rPr>
        <w:rFonts w:hint="default"/>
        <w:lang w:val="en-US" w:eastAsia="en-US" w:bidi="ar-SA"/>
      </w:rPr>
    </w:lvl>
    <w:lvl w:ilvl="6" w:tplc="8C36810E">
      <w:numFmt w:val="bullet"/>
      <w:lvlText w:val="•"/>
      <w:lvlJc w:val="left"/>
      <w:pPr>
        <w:ind w:left="4615" w:hanging="360"/>
      </w:pPr>
      <w:rPr>
        <w:rFonts w:hint="default"/>
        <w:lang w:val="en-US" w:eastAsia="en-US" w:bidi="ar-SA"/>
      </w:rPr>
    </w:lvl>
    <w:lvl w:ilvl="7" w:tplc="6EC621EE">
      <w:numFmt w:val="bullet"/>
      <w:lvlText w:val="•"/>
      <w:lvlJc w:val="left"/>
      <w:pPr>
        <w:ind w:left="5298" w:hanging="360"/>
      </w:pPr>
      <w:rPr>
        <w:rFonts w:hint="default"/>
        <w:lang w:val="en-US" w:eastAsia="en-US" w:bidi="ar-SA"/>
      </w:rPr>
    </w:lvl>
    <w:lvl w:ilvl="8" w:tplc="10C253C2">
      <w:numFmt w:val="bullet"/>
      <w:lvlText w:val="•"/>
      <w:lvlJc w:val="left"/>
      <w:pPr>
        <w:ind w:left="5982" w:hanging="360"/>
      </w:pPr>
      <w:rPr>
        <w:rFonts w:hint="default"/>
        <w:lang w:val="en-US" w:eastAsia="en-US" w:bidi="ar-SA"/>
      </w:rPr>
    </w:lvl>
  </w:abstractNum>
  <w:abstractNum w:abstractNumId="45" w15:restartNumberingAfterBreak="0">
    <w:nsid w:val="1A015511"/>
    <w:multiLevelType w:val="hybridMultilevel"/>
    <w:tmpl w:val="77D49326"/>
    <w:lvl w:ilvl="0" w:tplc="80C4859C">
      <w:numFmt w:val="bullet"/>
      <w:lvlText w:val=""/>
      <w:lvlJc w:val="left"/>
      <w:pPr>
        <w:ind w:left="2159" w:hanging="360"/>
      </w:pPr>
      <w:rPr>
        <w:rFonts w:ascii="Symbol" w:eastAsia="Symbol" w:hAnsi="Symbol" w:cs="Symbol" w:hint="default"/>
        <w:b w:val="0"/>
        <w:bCs w:val="0"/>
        <w:i w:val="0"/>
        <w:iCs w:val="0"/>
        <w:spacing w:val="0"/>
        <w:w w:val="99"/>
        <w:sz w:val="22"/>
        <w:szCs w:val="22"/>
        <w:lang w:val="en-US" w:eastAsia="en-US" w:bidi="ar-SA"/>
      </w:rPr>
    </w:lvl>
    <w:lvl w:ilvl="1" w:tplc="372024A0">
      <w:start w:val="1"/>
      <w:numFmt w:val="decimal"/>
      <w:lvlText w:val="%2."/>
      <w:lvlJc w:val="left"/>
      <w:pPr>
        <w:ind w:left="2519" w:hanging="360"/>
        <w:jc w:val="left"/>
      </w:pPr>
      <w:rPr>
        <w:rFonts w:ascii="Arial" w:eastAsia="Arial" w:hAnsi="Arial" w:cs="Arial" w:hint="default"/>
        <w:b w:val="0"/>
        <w:bCs w:val="0"/>
        <w:i w:val="0"/>
        <w:iCs w:val="0"/>
        <w:spacing w:val="0"/>
        <w:w w:val="99"/>
        <w:sz w:val="22"/>
        <w:szCs w:val="22"/>
        <w:lang w:val="en-US" w:eastAsia="en-US" w:bidi="ar-SA"/>
      </w:rPr>
    </w:lvl>
    <w:lvl w:ilvl="2" w:tplc="8020E042">
      <w:numFmt w:val="bullet"/>
      <w:lvlText w:val="•"/>
      <w:lvlJc w:val="left"/>
      <w:pPr>
        <w:ind w:left="3400" w:hanging="360"/>
      </w:pPr>
      <w:rPr>
        <w:rFonts w:hint="default"/>
        <w:lang w:val="en-US" w:eastAsia="en-US" w:bidi="ar-SA"/>
      </w:rPr>
    </w:lvl>
    <w:lvl w:ilvl="3" w:tplc="C91AA06A">
      <w:numFmt w:val="bullet"/>
      <w:lvlText w:val="•"/>
      <w:lvlJc w:val="left"/>
      <w:pPr>
        <w:ind w:left="4280" w:hanging="360"/>
      </w:pPr>
      <w:rPr>
        <w:rFonts w:hint="default"/>
        <w:lang w:val="en-US" w:eastAsia="en-US" w:bidi="ar-SA"/>
      </w:rPr>
    </w:lvl>
    <w:lvl w:ilvl="4" w:tplc="75860F14">
      <w:numFmt w:val="bullet"/>
      <w:lvlText w:val="•"/>
      <w:lvlJc w:val="left"/>
      <w:pPr>
        <w:ind w:left="5160" w:hanging="360"/>
      </w:pPr>
      <w:rPr>
        <w:rFonts w:hint="default"/>
        <w:lang w:val="en-US" w:eastAsia="en-US" w:bidi="ar-SA"/>
      </w:rPr>
    </w:lvl>
    <w:lvl w:ilvl="5" w:tplc="B2FC0F12">
      <w:numFmt w:val="bullet"/>
      <w:lvlText w:val="•"/>
      <w:lvlJc w:val="left"/>
      <w:pPr>
        <w:ind w:left="6040" w:hanging="360"/>
      </w:pPr>
      <w:rPr>
        <w:rFonts w:hint="default"/>
        <w:lang w:val="en-US" w:eastAsia="en-US" w:bidi="ar-SA"/>
      </w:rPr>
    </w:lvl>
    <w:lvl w:ilvl="6" w:tplc="A4084D76">
      <w:numFmt w:val="bullet"/>
      <w:lvlText w:val="•"/>
      <w:lvlJc w:val="left"/>
      <w:pPr>
        <w:ind w:left="6920" w:hanging="360"/>
      </w:pPr>
      <w:rPr>
        <w:rFonts w:hint="default"/>
        <w:lang w:val="en-US" w:eastAsia="en-US" w:bidi="ar-SA"/>
      </w:rPr>
    </w:lvl>
    <w:lvl w:ilvl="7" w:tplc="1F9646FA">
      <w:numFmt w:val="bullet"/>
      <w:lvlText w:val="•"/>
      <w:lvlJc w:val="left"/>
      <w:pPr>
        <w:ind w:left="7800" w:hanging="360"/>
      </w:pPr>
      <w:rPr>
        <w:rFonts w:hint="default"/>
        <w:lang w:val="en-US" w:eastAsia="en-US" w:bidi="ar-SA"/>
      </w:rPr>
    </w:lvl>
    <w:lvl w:ilvl="8" w:tplc="65E6C860">
      <w:numFmt w:val="bullet"/>
      <w:lvlText w:val="•"/>
      <w:lvlJc w:val="left"/>
      <w:pPr>
        <w:ind w:left="8680" w:hanging="360"/>
      </w:pPr>
      <w:rPr>
        <w:rFonts w:hint="default"/>
        <w:lang w:val="en-US" w:eastAsia="en-US" w:bidi="ar-SA"/>
      </w:rPr>
    </w:lvl>
  </w:abstractNum>
  <w:abstractNum w:abstractNumId="46" w15:restartNumberingAfterBreak="0">
    <w:nsid w:val="1B8F7E0A"/>
    <w:multiLevelType w:val="hybridMultilevel"/>
    <w:tmpl w:val="3AD8CDE6"/>
    <w:lvl w:ilvl="0" w:tplc="AB289E2E">
      <w:start w:val="1"/>
      <w:numFmt w:val="decimal"/>
      <w:lvlText w:val="%1."/>
      <w:lvlJc w:val="left"/>
      <w:pPr>
        <w:ind w:left="489" w:hanging="360"/>
        <w:jc w:val="left"/>
      </w:pPr>
      <w:rPr>
        <w:rFonts w:ascii="Arial" w:eastAsia="Arial" w:hAnsi="Arial" w:cs="Arial" w:hint="default"/>
        <w:b w:val="0"/>
        <w:bCs w:val="0"/>
        <w:i w:val="0"/>
        <w:iCs w:val="0"/>
        <w:spacing w:val="0"/>
        <w:w w:val="99"/>
        <w:sz w:val="22"/>
        <w:szCs w:val="22"/>
        <w:lang w:val="en-US" w:eastAsia="en-US" w:bidi="ar-SA"/>
      </w:rPr>
    </w:lvl>
    <w:lvl w:ilvl="1" w:tplc="B5002FFC">
      <w:start w:val="1"/>
      <w:numFmt w:val="lowerLetter"/>
      <w:lvlText w:val="%2."/>
      <w:lvlJc w:val="left"/>
      <w:pPr>
        <w:ind w:left="921" w:hanging="360"/>
        <w:jc w:val="left"/>
      </w:pPr>
      <w:rPr>
        <w:rFonts w:ascii="Arial" w:eastAsia="Arial" w:hAnsi="Arial" w:cs="Arial" w:hint="default"/>
        <w:b w:val="0"/>
        <w:bCs w:val="0"/>
        <w:i w:val="0"/>
        <w:iCs w:val="0"/>
        <w:spacing w:val="0"/>
        <w:w w:val="99"/>
        <w:sz w:val="22"/>
        <w:szCs w:val="22"/>
        <w:lang w:val="en-US" w:eastAsia="en-US" w:bidi="ar-SA"/>
      </w:rPr>
    </w:lvl>
    <w:lvl w:ilvl="2" w:tplc="5DECC188">
      <w:start w:val="1"/>
      <w:numFmt w:val="lowerRoman"/>
      <w:lvlText w:val="%3."/>
      <w:lvlJc w:val="left"/>
      <w:pPr>
        <w:ind w:left="1569" w:hanging="471"/>
        <w:jc w:val="right"/>
      </w:pPr>
      <w:rPr>
        <w:rFonts w:ascii="Arial" w:eastAsia="Arial" w:hAnsi="Arial" w:cs="Arial" w:hint="default"/>
        <w:b w:val="0"/>
        <w:bCs w:val="0"/>
        <w:i w:val="0"/>
        <w:iCs w:val="0"/>
        <w:spacing w:val="0"/>
        <w:w w:val="99"/>
        <w:sz w:val="22"/>
        <w:szCs w:val="22"/>
        <w:lang w:val="en-US" w:eastAsia="en-US" w:bidi="ar-SA"/>
      </w:rPr>
    </w:lvl>
    <w:lvl w:ilvl="3" w:tplc="FCDE9714">
      <w:numFmt w:val="bullet"/>
      <w:lvlText w:val="•"/>
      <w:lvlJc w:val="left"/>
      <w:pPr>
        <w:ind w:left="2238" w:hanging="471"/>
      </w:pPr>
      <w:rPr>
        <w:rFonts w:hint="default"/>
        <w:lang w:val="en-US" w:eastAsia="en-US" w:bidi="ar-SA"/>
      </w:rPr>
    </w:lvl>
    <w:lvl w:ilvl="4" w:tplc="62A49B48">
      <w:numFmt w:val="bullet"/>
      <w:lvlText w:val="•"/>
      <w:lvlJc w:val="left"/>
      <w:pPr>
        <w:ind w:left="2917" w:hanging="471"/>
      </w:pPr>
      <w:rPr>
        <w:rFonts w:hint="default"/>
        <w:lang w:val="en-US" w:eastAsia="en-US" w:bidi="ar-SA"/>
      </w:rPr>
    </w:lvl>
    <w:lvl w:ilvl="5" w:tplc="BB10F69E">
      <w:numFmt w:val="bullet"/>
      <w:lvlText w:val="•"/>
      <w:lvlJc w:val="left"/>
      <w:pPr>
        <w:ind w:left="3596" w:hanging="471"/>
      </w:pPr>
      <w:rPr>
        <w:rFonts w:hint="default"/>
        <w:lang w:val="en-US" w:eastAsia="en-US" w:bidi="ar-SA"/>
      </w:rPr>
    </w:lvl>
    <w:lvl w:ilvl="6" w:tplc="AF3E82AE">
      <w:numFmt w:val="bullet"/>
      <w:lvlText w:val="•"/>
      <w:lvlJc w:val="left"/>
      <w:pPr>
        <w:ind w:left="4275" w:hanging="471"/>
      </w:pPr>
      <w:rPr>
        <w:rFonts w:hint="default"/>
        <w:lang w:val="en-US" w:eastAsia="en-US" w:bidi="ar-SA"/>
      </w:rPr>
    </w:lvl>
    <w:lvl w:ilvl="7" w:tplc="D486AFA2">
      <w:numFmt w:val="bullet"/>
      <w:lvlText w:val="•"/>
      <w:lvlJc w:val="left"/>
      <w:pPr>
        <w:ind w:left="4954" w:hanging="471"/>
      </w:pPr>
      <w:rPr>
        <w:rFonts w:hint="default"/>
        <w:lang w:val="en-US" w:eastAsia="en-US" w:bidi="ar-SA"/>
      </w:rPr>
    </w:lvl>
    <w:lvl w:ilvl="8" w:tplc="50380A96">
      <w:numFmt w:val="bullet"/>
      <w:lvlText w:val="•"/>
      <w:lvlJc w:val="left"/>
      <w:pPr>
        <w:ind w:left="5633" w:hanging="471"/>
      </w:pPr>
      <w:rPr>
        <w:rFonts w:hint="default"/>
        <w:lang w:val="en-US" w:eastAsia="en-US" w:bidi="ar-SA"/>
      </w:rPr>
    </w:lvl>
  </w:abstractNum>
  <w:abstractNum w:abstractNumId="47" w15:restartNumberingAfterBreak="0">
    <w:nsid w:val="1BB64638"/>
    <w:multiLevelType w:val="hybridMultilevel"/>
    <w:tmpl w:val="10DAF692"/>
    <w:lvl w:ilvl="0" w:tplc="EB6C1502">
      <w:start w:val="1"/>
      <w:numFmt w:val="decimal"/>
      <w:lvlText w:val="%1."/>
      <w:lvlJc w:val="left"/>
      <w:pPr>
        <w:ind w:left="1337" w:hanging="360"/>
        <w:jc w:val="left"/>
      </w:pPr>
      <w:rPr>
        <w:rFonts w:ascii="Arial" w:eastAsia="Arial" w:hAnsi="Arial" w:cs="Arial" w:hint="default"/>
        <w:b w:val="0"/>
        <w:bCs w:val="0"/>
        <w:i w:val="0"/>
        <w:iCs w:val="0"/>
        <w:spacing w:val="0"/>
        <w:w w:val="99"/>
        <w:sz w:val="22"/>
        <w:szCs w:val="22"/>
        <w:lang w:val="en-US" w:eastAsia="en-US" w:bidi="ar-SA"/>
      </w:rPr>
    </w:lvl>
    <w:lvl w:ilvl="1" w:tplc="3F0868AA">
      <w:numFmt w:val="bullet"/>
      <w:lvlText w:val="•"/>
      <w:lvlJc w:val="left"/>
      <w:pPr>
        <w:ind w:left="1910" w:hanging="360"/>
      </w:pPr>
      <w:rPr>
        <w:rFonts w:hint="default"/>
        <w:lang w:val="en-US" w:eastAsia="en-US" w:bidi="ar-SA"/>
      </w:rPr>
    </w:lvl>
    <w:lvl w:ilvl="2" w:tplc="A23E9A92">
      <w:numFmt w:val="bullet"/>
      <w:lvlText w:val="•"/>
      <w:lvlJc w:val="left"/>
      <w:pPr>
        <w:ind w:left="2480" w:hanging="360"/>
      </w:pPr>
      <w:rPr>
        <w:rFonts w:hint="default"/>
        <w:lang w:val="en-US" w:eastAsia="en-US" w:bidi="ar-SA"/>
      </w:rPr>
    </w:lvl>
    <w:lvl w:ilvl="3" w:tplc="4E2A0A42">
      <w:numFmt w:val="bullet"/>
      <w:lvlText w:val="•"/>
      <w:lvlJc w:val="left"/>
      <w:pPr>
        <w:ind w:left="3050" w:hanging="360"/>
      </w:pPr>
      <w:rPr>
        <w:rFonts w:hint="default"/>
        <w:lang w:val="en-US" w:eastAsia="en-US" w:bidi="ar-SA"/>
      </w:rPr>
    </w:lvl>
    <w:lvl w:ilvl="4" w:tplc="D3085222">
      <w:numFmt w:val="bullet"/>
      <w:lvlText w:val="•"/>
      <w:lvlJc w:val="left"/>
      <w:pPr>
        <w:ind w:left="3620" w:hanging="360"/>
      </w:pPr>
      <w:rPr>
        <w:rFonts w:hint="default"/>
        <w:lang w:val="en-US" w:eastAsia="en-US" w:bidi="ar-SA"/>
      </w:rPr>
    </w:lvl>
    <w:lvl w:ilvl="5" w:tplc="5D945B8C">
      <w:numFmt w:val="bullet"/>
      <w:lvlText w:val="•"/>
      <w:lvlJc w:val="left"/>
      <w:pPr>
        <w:ind w:left="4190" w:hanging="360"/>
      </w:pPr>
      <w:rPr>
        <w:rFonts w:hint="default"/>
        <w:lang w:val="en-US" w:eastAsia="en-US" w:bidi="ar-SA"/>
      </w:rPr>
    </w:lvl>
    <w:lvl w:ilvl="6" w:tplc="62F4B752">
      <w:numFmt w:val="bullet"/>
      <w:lvlText w:val="•"/>
      <w:lvlJc w:val="left"/>
      <w:pPr>
        <w:ind w:left="4760" w:hanging="360"/>
      </w:pPr>
      <w:rPr>
        <w:rFonts w:hint="default"/>
        <w:lang w:val="en-US" w:eastAsia="en-US" w:bidi="ar-SA"/>
      </w:rPr>
    </w:lvl>
    <w:lvl w:ilvl="7" w:tplc="55948F1A">
      <w:numFmt w:val="bullet"/>
      <w:lvlText w:val="•"/>
      <w:lvlJc w:val="left"/>
      <w:pPr>
        <w:ind w:left="5330" w:hanging="360"/>
      </w:pPr>
      <w:rPr>
        <w:rFonts w:hint="default"/>
        <w:lang w:val="en-US" w:eastAsia="en-US" w:bidi="ar-SA"/>
      </w:rPr>
    </w:lvl>
    <w:lvl w:ilvl="8" w:tplc="3BC0A940">
      <w:numFmt w:val="bullet"/>
      <w:lvlText w:val="•"/>
      <w:lvlJc w:val="left"/>
      <w:pPr>
        <w:ind w:left="5900" w:hanging="360"/>
      </w:pPr>
      <w:rPr>
        <w:rFonts w:hint="default"/>
        <w:lang w:val="en-US" w:eastAsia="en-US" w:bidi="ar-SA"/>
      </w:rPr>
    </w:lvl>
  </w:abstractNum>
  <w:abstractNum w:abstractNumId="48" w15:restartNumberingAfterBreak="0">
    <w:nsid w:val="1BF24BD2"/>
    <w:multiLevelType w:val="hybridMultilevel"/>
    <w:tmpl w:val="E29C1F0C"/>
    <w:lvl w:ilvl="0" w:tplc="823EE67E">
      <w:start w:val="2"/>
      <w:numFmt w:val="decimal"/>
      <w:lvlText w:val="%1."/>
      <w:lvlJc w:val="left"/>
      <w:pPr>
        <w:ind w:left="561" w:hanging="432"/>
        <w:jc w:val="left"/>
      </w:pPr>
      <w:rPr>
        <w:rFonts w:ascii="Arial" w:eastAsia="Arial" w:hAnsi="Arial" w:cs="Arial" w:hint="default"/>
        <w:b w:val="0"/>
        <w:bCs w:val="0"/>
        <w:i w:val="0"/>
        <w:iCs w:val="0"/>
        <w:spacing w:val="0"/>
        <w:w w:val="99"/>
        <w:sz w:val="22"/>
        <w:szCs w:val="22"/>
        <w:lang w:val="en-US" w:eastAsia="en-US" w:bidi="ar-SA"/>
      </w:rPr>
    </w:lvl>
    <w:lvl w:ilvl="1" w:tplc="231C2F26">
      <w:numFmt w:val="bullet"/>
      <w:lvlText w:val=""/>
      <w:lvlJc w:val="left"/>
      <w:pPr>
        <w:ind w:left="921" w:hanging="360"/>
      </w:pPr>
      <w:rPr>
        <w:rFonts w:ascii="Symbol" w:eastAsia="Symbol" w:hAnsi="Symbol" w:cs="Symbol" w:hint="default"/>
        <w:b w:val="0"/>
        <w:bCs w:val="0"/>
        <w:i w:val="0"/>
        <w:iCs w:val="0"/>
        <w:spacing w:val="0"/>
        <w:w w:val="99"/>
        <w:sz w:val="22"/>
        <w:szCs w:val="22"/>
        <w:lang w:val="en-US" w:eastAsia="en-US" w:bidi="ar-SA"/>
      </w:rPr>
    </w:lvl>
    <w:lvl w:ilvl="2" w:tplc="252ED3DE">
      <w:numFmt w:val="bullet"/>
      <w:lvlText w:val="•"/>
      <w:lvlJc w:val="left"/>
      <w:pPr>
        <w:ind w:left="1547" w:hanging="360"/>
      </w:pPr>
      <w:rPr>
        <w:rFonts w:hint="default"/>
        <w:lang w:val="en-US" w:eastAsia="en-US" w:bidi="ar-SA"/>
      </w:rPr>
    </w:lvl>
    <w:lvl w:ilvl="3" w:tplc="A87AD164">
      <w:numFmt w:val="bullet"/>
      <w:lvlText w:val="•"/>
      <w:lvlJc w:val="left"/>
      <w:pPr>
        <w:ind w:left="2175" w:hanging="360"/>
      </w:pPr>
      <w:rPr>
        <w:rFonts w:hint="default"/>
        <w:lang w:val="en-US" w:eastAsia="en-US" w:bidi="ar-SA"/>
      </w:rPr>
    </w:lvl>
    <w:lvl w:ilvl="4" w:tplc="6D12DEDC">
      <w:numFmt w:val="bullet"/>
      <w:lvlText w:val="•"/>
      <w:lvlJc w:val="left"/>
      <w:pPr>
        <w:ind w:left="2803" w:hanging="360"/>
      </w:pPr>
      <w:rPr>
        <w:rFonts w:hint="default"/>
        <w:lang w:val="en-US" w:eastAsia="en-US" w:bidi="ar-SA"/>
      </w:rPr>
    </w:lvl>
    <w:lvl w:ilvl="5" w:tplc="30081002">
      <w:numFmt w:val="bullet"/>
      <w:lvlText w:val="•"/>
      <w:lvlJc w:val="left"/>
      <w:pPr>
        <w:ind w:left="3431" w:hanging="360"/>
      </w:pPr>
      <w:rPr>
        <w:rFonts w:hint="default"/>
        <w:lang w:val="en-US" w:eastAsia="en-US" w:bidi="ar-SA"/>
      </w:rPr>
    </w:lvl>
    <w:lvl w:ilvl="6" w:tplc="88D00E0C">
      <w:numFmt w:val="bullet"/>
      <w:lvlText w:val="•"/>
      <w:lvlJc w:val="left"/>
      <w:pPr>
        <w:ind w:left="4058" w:hanging="360"/>
      </w:pPr>
      <w:rPr>
        <w:rFonts w:hint="default"/>
        <w:lang w:val="en-US" w:eastAsia="en-US" w:bidi="ar-SA"/>
      </w:rPr>
    </w:lvl>
    <w:lvl w:ilvl="7" w:tplc="4454DFAA">
      <w:numFmt w:val="bullet"/>
      <w:lvlText w:val="•"/>
      <w:lvlJc w:val="left"/>
      <w:pPr>
        <w:ind w:left="4686" w:hanging="360"/>
      </w:pPr>
      <w:rPr>
        <w:rFonts w:hint="default"/>
        <w:lang w:val="en-US" w:eastAsia="en-US" w:bidi="ar-SA"/>
      </w:rPr>
    </w:lvl>
    <w:lvl w:ilvl="8" w:tplc="F6D2890C">
      <w:numFmt w:val="bullet"/>
      <w:lvlText w:val="•"/>
      <w:lvlJc w:val="left"/>
      <w:pPr>
        <w:ind w:left="5314" w:hanging="360"/>
      </w:pPr>
      <w:rPr>
        <w:rFonts w:hint="default"/>
        <w:lang w:val="en-US" w:eastAsia="en-US" w:bidi="ar-SA"/>
      </w:rPr>
    </w:lvl>
  </w:abstractNum>
  <w:abstractNum w:abstractNumId="49" w15:restartNumberingAfterBreak="0">
    <w:nsid w:val="1C45477E"/>
    <w:multiLevelType w:val="hybridMultilevel"/>
    <w:tmpl w:val="C97C2230"/>
    <w:lvl w:ilvl="0" w:tplc="DC4E4BF2">
      <w:start w:val="1"/>
      <w:numFmt w:val="lowerLetter"/>
      <w:lvlText w:val="%1."/>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1" w:tplc="DEF287F0">
      <w:numFmt w:val="bullet"/>
      <w:lvlText w:val="•"/>
      <w:lvlJc w:val="left"/>
      <w:pPr>
        <w:ind w:left="2988" w:hanging="360"/>
      </w:pPr>
      <w:rPr>
        <w:rFonts w:hint="default"/>
        <w:lang w:val="en-US" w:eastAsia="en-US" w:bidi="ar-SA"/>
      </w:rPr>
    </w:lvl>
    <w:lvl w:ilvl="2" w:tplc="8A345926">
      <w:numFmt w:val="bullet"/>
      <w:lvlText w:val="•"/>
      <w:lvlJc w:val="left"/>
      <w:pPr>
        <w:ind w:left="3816" w:hanging="360"/>
      </w:pPr>
      <w:rPr>
        <w:rFonts w:hint="default"/>
        <w:lang w:val="en-US" w:eastAsia="en-US" w:bidi="ar-SA"/>
      </w:rPr>
    </w:lvl>
    <w:lvl w:ilvl="3" w:tplc="A336EB46">
      <w:numFmt w:val="bullet"/>
      <w:lvlText w:val="•"/>
      <w:lvlJc w:val="left"/>
      <w:pPr>
        <w:ind w:left="4644" w:hanging="360"/>
      </w:pPr>
      <w:rPr>
        <w:rFonts w:hint="default"/>
        <w:lang w:val="en-US" w:eastAsia="en-US" w:bidi="ar-SA"/>
      </w:rPr>
    </w:lvl>
    <w:lvl w:ilvl="4" w:tplc="6A885C12">
      <w:numFmt w:val="bullet"/>
      <w:lvlText w:val="•"/>
      <w:lvlJc w:val="left"/>
      <w:pPr>
        <w:ind w:left="5472" w:hanging="360"/>
      </w:pPr>
      <w:rPr>
        <w:rFonts w:hint="default"/>
        <w:lang w:val="en-US" w:eastAsia="en-US" w:bidi="ar-SA"/>
      </w:rPr>
    </w:lvl>
    <w:lvl w:ilvl="5" w:tplc="A1B2CB1C">
      <w:numFmt w:val="bullet"/>
      <w:lvlText w:val="•"/>
      <w:lvlJc w:val="left"/>
      <w:pPr>
        <w:ind w:left="6300" w:hanging="360"/>
      </w:pPr>
      <w:rPr>
        <w:rFonts w:hint="default"/>
        <w:lang w:val="en-US" w:eastAsia="en-US" w:bidi="ar-SA"/>
      </w:rPr>
    </w:lvl>
    <w:lvl w:ilvl="6" w:tplc="8D66FC6A">
      <w:numFmt w:val="bullet"/>
      <w:lvlText w:val="•"/>
      <w:lvlJc w:val="left"/>
      <w:pPr>
        <w:ind w:left="7128" w:hanging="360"/>
      </w:pPr>
      <w:rPr>
        <w:rFonts w:hint="default"/>
        <w:lang w:val="en-US" w:eastAsia="en-US" w:bidi="ar-SA"/>
      </w:rPr>
    </w:lvl>
    <w:lvl w:ilvl="7" w:tplc="03DA411E">
      <w:numFmt w:val="bullet"/>
      <w:lvlText w:val="•"/>
      <w:lvlJc w:val="left"/>
      <w:pPr>
        <w:ind w:left="7956" w:hanging="360"/>
      </w:pPr>
      <w:rPr>
        <w:rFonts w:hint="default"/>
        <w:lang w:val="en-US" w:eastAsia="en-US" w:bidi="ar-SA"/>
      </w:rPr>
    </w:lvl>
    <w:lvl w:ilvl="8" w:tplc="77B25842">
      <w:numFmt w:val="bullet"/>
      <w:lvlText w:val="•"/>
      <w:lvlJc w:val="left"/>
      <w:pPr>
        <w:ind w:left="8784" w:hanging="360"/>
      </w:pPr>
      <w:rPr>
        <w:rFonts w:hint="default"/>
        <w:lang w:val="en-US" w:eastAsia="en-US" w:bidi="ar-SA"/>
      </w:rPr>
    </w:lvl>
  </w:abstractNum>
  <w:abstractNum w:abstractNumId="50" w15:restartNumberingAfterBreak="0">
    <w:nsid w:val="1CC85A57"/>
    <w:multiLevelType w:val="hybridMultilevel"/>
    <w:tmpl w:val="04406D28"/>
    <w:lvl w:ilvl="0" w:tplc="240E8A8A">
      <w:start w:val="10"/>
      <w:numFmt w:val="decimal"/>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519666CE">
      <w:start w:val="1"/>
      <w:numFmt w:val="lowerLetter"/>
      <w:lvlText w:val="%2."/>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2" w:tplc="5BCABCDE">
      <w:numFmt w:val="bullet"/>
      <w:lvlText w:val=""/>
      <w:lvlJc w:val="left"/>
      <w:pPr>
        <w:ind w:left="2520" w:hanging="360"/>
      </w:pPr>
      <w:rPr>
        <w:rFonts w:ascii="Symbol" w:eastAsia="Symbol" w:hAnsi="Symbol" w:cs="Symbol" w:hint="default"/>
        <w:b w:val="0"/>
        <w:bCs w:val="0"/>
        <w:i w:val="0"/>
        <w:iCs w:val="0"/>
        <w:spacing w:val="0"/>
        <w:w w:val="99"/>
        <w:sz w:val="22"/>
        <w:szCs w:val="22"/>
        <w:lang w:val="en-US" w:eastAsia="en-US" w:bidi="ar-SA"/>
      </w:rPr>
    </w:lvl>
    <w:lvl w:ilvl="3" w:tplc="1FDA740C">
      <w:numFmt w:val="bullet"/>
      <w:lvlText w:val="o"/>
      <w:lvlJc w:val="left"/>
      <w:pPr>
        <w:ind w:left="2880" w:hanging="360"/>
      </w:pPr>
      <w:rPr>
        <w:rFonts w:ascii="Courier New" w:eastAsia="Courier New" w:hAnsi="Courier New" w:cs="Courier New" w:hint="default"/>
        <w:b w:val="0"/>
        <w:bCs w:val="0"/>
        <w:i w:val="0"/>
        <w:iCs w:val="0"/>
        <w:spacing w:val="0"/>
        <w:w w:val="99"/>
        <w:sz w:val="22"/>
        <w:szCs w:val="22"/>
        <w:lang w:val="en-US" w:eastAsia="en-US" w:bidi="ar-SA"/>
      </w:rPr>
    </w:lvl>
    <w:lvl w:ilvl="4" w:tplc="8D6C0E74">
      <w:numFmt w:val="bullet"/>
      <w:lvlText w:val="•"/>
      <w:lvlJc w:val="left"/>
      <w:pPr>
        <w:ind w:left="3960" w:hanging="360"/>
      </w:pPr>
      <w:rPr>
        <w:rFonts w:hint="default"/>
        <w:lang w:val="en-US" w:eastAsia="en-US" w:bidi="ar-SA"/>
      </w:rPr>
    </w:lvl>
    <w:lvl w:ilvl="5" w:tplc="D0A4A2F4">
      <w:numFmt w:val="bullet"/>
      <w:lvlText w:val="•"/>
      <w:lvlJc w:val="left"/>
      <w:pPr>
        <w:ind w:left="5040" w:hanging="360"/>
      </w:pPr>
      <w:rPr>
        <w:rFonts w:hint="default"/>
        <w:lang w:val="en-US" w:eastAsia="en-US" w:bidi="ar-SA"/>
      </w:rPr>
    </w:lvl>
    <w:lvl w:ilvl="6" w:tplc="0CB027B2">
      <w:numFmt w:val="bullet"/>
      <w:lvlText w:val="•"/>
      <w:lvlJc w:val="left"/>
      <w:pPr>
        <w:ind w:left="6120" w:hanging="360"/>
      </w:pPr>
      <w:rPr>
        <w:rFonts w:hint="default"/>
        <w:lang w:val="en-US" w:eastAsia="en-US" w:bidi="ar-SA"/>
      </w:rPr>
    </w:lvl>
    <w:lvl w:ilvl="7" w:tplc="6080909C">
      <w:numFmt w:val="bullet"/>
      <w:lvlText w:val="•"/>
      <w:lvlJc w:val="left"/>
      <w:pPr>
        <w:ind w:left="7200" w:hanging="360"/>
      </w:pPr>
      <w:rPr>
        <w:rFonts w:hint="default"/>
        <w:lang w:val="en-US" w:eastAsia="en-US" w:bidi="ar-SA"/>
      </w:rPr>
    </w:lvl>
    <w:lvl w:ilvl="8" w:tplc="3C20FC78">
      <w:numFmt w:val="bullet"/>
      <w:lvlText w:val="•"/>
      <w:lvlJc w:val="left"/>
      <w:pPr>
        <w:ind w:left="8280" w:hanging="360"/>
      </w:pPr>
      <w:rPr>
        <w:rFonts w:hint="default"/>
        <w:lang w:val="en-US" w:eastAsia="en-US" w:bidi="ar-SA"/>
      </w:rPr>
    </w:lvl>
  </w:abstractNum>
  <w:abstractNum w:abstractNumId="51" w15:restartNumberingAfterBreak="0">
    <w:nsid w:val="1D4F2229"/>
    <w:multiLevelType w:val="hybridMultilevel"/>
    <w:tmpl w:val="722C8FEC"/>
    <w:lvl w:ilvl="0" w:tplc="DD4EA684">
      <w:numFmt w:val="bullet"/>
      <w:lvlText w:val=""/>
      <w:lvlJc w:val="left"/>
      <w:pPr>
        <w:ind w:left="583" w:hanging="180"/>
      </w:pPr>
      <w:rPr>
        <w:rFonts w:ascii="Symbol" w:eastAsia="Symbol" w:hAnsi="Symbol" w:cs="Symbol" w:hint="default"/>
        <w:b w:val="0"/>
        <w:bCs w:val="0"/>
        <w:i w:val="0"/>
        <w:iCs w:val="0"/>
        <w:spacing w:val="0"/>
        <w:w w:val="100"/>
        <w:sz w:val="18"/>
        <w:szCs w:val="18"/>
        <w:lang w:val="en-US" w:eastAsia="en-US" w:bidi="ar-SA"/>
      </w:rPr>
    </w:lvl>
    <w:lvl w:ilvl="1" w:tplc="BE94D682">
      <w:numFmt w:val="bullet"/>
      <w:lvlText w:val="•"/>
      <w:lvlJc w:val="left"/>
      <w:pPr>
        <w:ind w:left="1129" w:hanging="180"/>
      </w:pPr>
      <w:rPr>
        <w:rFonts w:hint="default"/>
        <w:lang w:val="en-US" w:eastAsia="en-US" w:bidi="ar-SA"/>
      </w:rPr>
    </w:lvl>
    <w:lvl w:ilvl="2" w:tplc="D352B0CA">
      <w:numFmt w:val="bullet"/>
      <w:lvlText w:val="•"/>
      <w:lvlJc w:val="left"/>
      <w:pPr>
        <w:ind w:left="1678" w:hanging="180"/>
      </w:pPr>
      <w:rPr>
        <w:rFonts w:hint="default"/>
        <w:lang w:val="en-US" w:eastAsia="en-US" w:bidi="ar-SA"/>
      </w:rPr>
    </w:lvl>
    <w:lvl w:ilvl="3" w:tplc="A4C8382C">
      <w:numFmt w:val="bullet"/>
      <w:lvlText w:val="•"/>
      <w:lvlJc w:val="left"/>
      <w:pPr>
        <w:ind w:left="2227" w:hanging="180"/>
      </w:pPr>
      <w:rPr>
        <w:rFonts w:hint="default"/>
        <w:lang w:val="en-US" w:eastAsia="en-US" w:bidi="ar-SA"/>
      </w:rPr>
    </w:lvl>
    <w:lvl w:ilvl="4" w:tplc="6AE40F88">
      <w:numFmt w:val="bullet"/>
      <w:lvlText w:val="•"/>
      <w:lvlJc w:val="left"/>
      <w:pPr>
        <w:ind w:left="2776" w:hanging="180"/>
      </w:pPr>
      <w:rPr>
        <w:rFonts w:hint="default"/>
        <w:lang w:val="en-US" w:eastAsia="en-US" w:bidi="ar-SA"/>
      </w:rPr>
    </w:lvl>
    <w:lvl w:ilvl="5" w:tplc="4F12CAAE">
      <w:numFmt w:val="bullet"/>
      <w:lvlText w:val="•"/>
      <w:lvlJc w:val="left"/>
      <w:pPr>
        <w:ind w:left="3325" w:hanging="180"/>
      </w:pPr>
      <w:rPr>
        <w:rFonts w:hint="default"/>
        <w:lang w:val="en-US" w:eastAsia="en-US" w:bidi="ar-SA"/>
      </w:rPr>
    </w:lvl>
    <w:lvl w:ilvl="6" w:tplc="FF4A6382">
      <w:numFmt w:val="bullet"/>
      <w:lvlText w:val="•"/>
      <w:lvlJc w:val="left"/>
      <w:pPr>
        <w:ind w:left="3874" w:hanging="180"/>
      </w:pPr>
      <w:rPr>
        <w:rFonts w:hint="default"/>
        <w:lang w:val="en-US" w:eastAsia="en-US" w:bidi="ar-SA"/>
      </w:rPr>
    </w:lvl>
    <w:lvl w:ilvl="7" w:tplc="EE8C1952">
      <w:numFmt w:val="bullet"/>
      <w:lvlText w:val="•"/>
      <w:lvlJc w:val="left"/>
      <w:pPr>
        <w:ind w:left="4423" w:hanging="180"/>
      </w:pPr>
      <w:rPr>
        <w:rFonts w:hint="default"/>
        <w:lang w:val="en-US" w:eastAsia="en-US" w:bidi="ar-SA"/>
      </w:rPr>
    </w:lvl>
    <w:lvl w:ilvl="8" w:tplc="E500DF40">
      <w:numFmt w:val="bullet"/>
      <w:lvlText w:val="•"/>
      <w:lvlJc w:val="left"/>
      <w:pPr>
        <w:ind w:left="4972" w:hanging="180"/>
      </w:pPr>
      <w:rPr>
        <w:rFonts w:hint="default"/>
        <w:lang w:val="en-US" w:eastAsia="en-US" w:bidi="ar-SA"/>
      </w:rPr>
    </w:lvl>
  </w:abstractNum>
  <w:abstractNum w:abstractNumId="52" w15:restartNumberingAfterBreak="0">
    <w:nsid w:val="1DAE5FDC"/>
    <w:multiLevelType w:val="hybridMultilevel"/>
    <w:tmpl w:val="9C247C76"/>
    <w:lvl w:ilvl="0" w:tplc="5C06B1D2">
      <w:numFmt w:val="bullet"/>
      <w:lvlText w:val=""/>
      <w:lvlJc w:val="left"/>
      <w:pPr>
        <w:ind w:left="1441" w:hanging="360"/>
      </w:pPr>
      <w:rPr>
        <w:rFonts w:ascii="Symbol" w:eastAsia="Symbol" w:hAnsi="Symbol" w:cs="Symbol" w:hint="default"/>
        <w:b w:val="0"/>
        <w:bCs w:val="0"/>
        <w:i w:val="0"/>
        <w:iCs w:val="0"/>
        <w:spacing w:val="0"/>
        <w:w w:val="99"/>
        <w:sz w:val="22"/>
        <w:szCs w:val="22"/>
        <w:lang w:val="en-US" w:eastAsia="en-US" w:bidi="ar-SA"/>
      </w:rPr>
    </w:lvl>
    <w:lvl w:ilvl="1" w:tplc="50E4B99A">
      <w:numFmt w:val="bullet"/>
      <w:lvlText w:val="o"/>
      <w:lvlJc w:val="left"/>
      <w:pPr>
        <w:ind w:left="1800" w:hanging="360"/>
      </w:pPr>
      <w:rPr>
        <w:rFonts w:ascii="Courier New" w:eastAsia="Courier New" w:hAnsi="Courier New" w:cs="Courier New" w:hint="default"/>
        <w:b w:val="0"/>
        <w:bCs w:val="0"/>
        <w:i w:val="0"/>
        <w:iCs w:val="0"/>
        <w:spacing w:val="0"/>
        <w:w w:val="99"/>
        <w:sz w:val="22"/>
        <w:szCs w:val="22"/>
        <w:lang w:val="en-US" w:eastAsia="en-US" w:bidi="ar-SA"/>
      </w:rPr>
    </w:lvl>
    <w:lvl w:ilvl="2" w:tplc="D9F8A70A">
      <w:numFmt w:val="bullet"/>
      <w:lvlText w:val="•"/>
      <w:lvlJc w:val="left"/>
      <w:pPr>
        <w:ind w:left="2840" w:hanging="360"/>
      </w:pPr>
      <w:rPr>
        <w:rFonts w:hint="default"/>
        <w:lang w:val="en-US" w:eastAsia="en-US" w:bidi="ar-SA"/>
      </w:rPr>
    </w:lvl>
    <w:lvl w:ilvl="3" w:tplc="BA5CF2C8">
      <w:numFmt w:val="bullet"/>
      <w:lvlText w:val="•"/>
      <w:lvlJc w:val="left"/>
      <w:pPr>
        <w:ind w:left="3880" w:hanging="360"/>
      </w:pPr>
      <w:rPr>
        <w:rFonts w:hint="default"/>
        <w:lang w:val="en-US" w:eastAsia="en-US" w:bidi="ar-SA"/>
      </w:rPr>
    </w:lvl>
    <w:lvl w:ilvl="4" w:tplc="A35A4630">
      <w:numFmt w:val="bullet"/>
      <w:lvlText w:val="•"/>
      <w:lvlJc w:val="left"/>
      <w:pPr>
        <w:ind w:left="4920" w:hanging="360"/>
      </w:pPr>
      <w:rPr>
        <w:rFonts w:hint="default"/>
        <w:lang w:val="en-US" w:eastAsia="en-US" w:bidi="ar-SA"/>
      </w:rPr>
    </w:lvl>
    <w:lvl w:ilvl="5" w:tplc="2C10AE9A">
      <w:numFmt w:val="bullet"/>
      <w:lvlText w:val="•"/>
      <w:lvlJc w:val="left"/>
      <w:pPr>
        <w:ind w:left="5960" w:hanging="360"/>
      </w:pPr>
      <w:rPr>
        <w:rFonts w:hint="default"/>
        <w:lang w:val="en-US" w:eastAsia="en-US" w:bidi="ar-SA"/>
      </w:rPr>
    </w:lvl>
    <w:lvl w:ilvl="6" w:tplc="F932A3C8">
      <w:numFmt w:val="bullet"/>
      <w:lvlText w:val="•"/>
      <w:lvlJc w:val="left"/>
      <w:pPr>
        <w:ind w:left="7000" w:hanging="360"/>
      </w:pPr>
      <w:rPr>
        <w:rFonts w:hint="default"/>
        <w:lang w:val="en-US" w:eastAsia="en-US" w:bidi="ar-SA"/>
      </w:rPr>
    </w:lvl>
    <w:lvl w:ilvl="7" w:tplc="D6B474CC">
      <w:numFmt w:val="bullet"/>
      <w:lvlText w:val="•"/>
      <w:lvlJc w:val="left"/>
      <w:pPr>
        <w:ind w:left="8040" w:hanging="360"/>
      </w:pPr>
      <w:rPr>
        <w:rFonts w:hint="default"/>
        <w:lang w:val="en-US" w:eastAsia="en-US" w:bidi="ar-SA"/>
      </w:rPr>
    </w:lvl>
    <w:lvl w:ilvl="8" w:tplc="40F6A56E">
      <w:numFmt w:val="bullet"/>
      <w:lvlText w:val="•"/>
      <w:lvlJc w:val="left"/>
      <w:pPr>
        <w:ind w:left="9080" w:hanging="360"/>
      </w:pPr>
      <w:rPr>
        <w:rFonts w:hint="default"/>
        <w:lang w:val="en-US" w:eastAsia="en-US" w:bidi="ar-SA"/>
      </w:rPr>
    </w:lvl>
  </w:abstractNum>
  <w:abstractNum w:abstractNumId="53" w15:restartNumberingAfterBreak="0">
    <w:nsid w:val="200177F0"/>
    <w:multiLevelType w:val="hybridMultilevel"/>
    <w:tmpl w:val="FE78D976"/>
    <w:lvl w:ilvl="0" w:tplc="089C9114">
      <w:start w:val="1"/>
      <w:numFmt w:val="lowerLetter"/>
      <w:lvlText w:val="%1."/>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1" w:tplc="48961674">
      <w:numFmt w:val="bullet"/>
      <w:lvlText w:val=""/>
      <w:lvlJc w:val="left"/>
      <w:pPr>
        <w:ind w:left="2518" w:hanging="360"/>
      </w:pPr>
      <w:rPr>
        <w:rFonts w:ascii="Symbol" w:eastAsia="Symbol" w:hAnsi="Symbol" w:cs="Symbol" w:hint="default"/>
        <w:b w:val="0"/>
        <w:bCs w:val="0"/>
        <w:i w:val="0"/>
        <w:iCs w:val="0"/>
        <w:spacing w:val="0"/>
        <w:w w:val="99"/>
        <w:sz w:val="22"/>
        <w:szCs w:val="22"/>
        <w:lang w:val="en-US" w:eastAsia="en-US" w:bidi="ar-SA"/>
      </w:rPr>
    </w:lvl>
    <w:lvl w:ilvl="2" w:tplc="B6BAB62C">
      <w:numFmt w:val="bullet"/>
      <w:lvlText w:val="•"/>
      <w:lvlJc w:val="left"/>
      <w:pPr>
        <w:ind w:left="3400" w:hanging="360"/>
      </w:pPr>
      <w:rPr>
        <w:rFonts w:hint="default"/>
        <w:lang w:val="en-US" w:eastAsia="en-US" w:bidi="ar-SA"/>
      </w:rPr>
    </w:lvl>
    <w:lvl w:ilvl="3" w:tplc="2E56237A">
      <w:numFmt w:val="bullet"/>
      <w:lvlText w:val="•"/>
      <w:lvlJc w:val="left"/>
      <w:pPr>
        <w:ind w:left="4280" w:hanging="360"/>
      </w:pPr>
      <w:rPr>
        <w:rFonts w:hint="default"/>
        <w:lang w:val="en-US" w:eastAsia="en-US" w:bidi="ar-SA"/>
      </w:rPr>
    </w:lvl>
    <w:lvl w:ilvl="4" w:tplc="7AD81158">
      <w:numFmt w:val="bullet"/>
      <w:lvlText w:val="•"/>
      <w:lvlJc w:val="left"/>
      <w:pPr>
        <w:ind w:left="5160" w:hanging="360"/>
      </w:pPr>
      <w:rPr>
        <w:rFonts w:hint="default"/>
        <w:lang w:val="en-US" w:eastAsia="en-US" w:bidi="ar-SA"/>
      </w:rPr>
    </w:lvl>
    <w:lvl w:ilvl="5" w:tplc="D2D6D35A">
      <w:numFmt w:val="bullet"/>
      <w:lvlText w:val="•"/>
      <w:lvlJc w:val="left"/>
      <w:pPr>
        <w:ind w:left="6040" w:hanging="360"/>
      </w:pPr>
      <w:rPr>
        <w:rFonts w:hint="default"/>
        <w:lang w:val="en-US" w:eastAsia="en-US" w:bidi="ar-SA"/>
      </w:rPr>
    </w:lvl>
    <w:lvl w:ilvl="6" w:tplc="DB7831DA">
      <w:numFmt w:val="bullet"/>
      <w:lvlText w:val="•"/>
      <w:lvlJc w:val="left"/>
      <w:pPr>
        <w:ind w:left="6920" w:hanging="360"/>
      </w:pPr>
      <w:rPr>
        <w:rFonts w:hint="default"/>
        <w:lang w:val="en-US" w:eastAsia="en-US" w:bidi="ar-SA"/>
      </w:rPr>
    </w:lvl>
    <w:lvl w:ilvl="7" w:tplc="F1307E06">
      <w:numFmt w:val="bullet"/>
      <w:lvlText w:val="•"/>
      <w:lvlJc w:val="left"/>
      <w:pPr>
        <w:ind w:left="7800" w:hanging="360"/>
      </w:pPr>
      <w:rPr>
        <w:rFonts w:hint="default"/>
        <w:lang w:val="en-US" w:eastAsia="en-US" w:bidi="ar-SA"/>
      </w:rPr>
    </w:lvl>
    <w:lvl w:ilvl="8" w:tplc="32B00254">
      <w:numFmt w:val="bullet"/>
      <w:lvlText w:val="•"/>
      <w:lvlJc w:val="left"/>
      <w:pPr>
        <w:ind w:left="8680" w:hanging="360"/>
      </w:pPr>
      <w:rPr>
        <w:rFonts w:hint="default"/>
        <w:lang w:val="en-US" w:eastAsia="en-US" w:bidi="ar-SA"/>
      </w:rPr>
    </w:lvl>
  </w:abstractNum>
  <w:abstractNum w:abstractNumId="54" w15:restartNumberingAfterBreak="0">
    <w:nsid w:val="20D84998"/>
    <w:multiLevelType w:val="hybridMultilevel"/>
    <w:tmpl w:val="193C5132"/>
    <w:lvl w:ilvl="0" w:tplc="5F664BA8">
      <w:start w:val="2"/>
      <w:numFmt w:val="decimal"/>
      <w:lvlText w:val="%1."/>
      <w:lvlJc w:val="left"/>
      <w:pPr>
        <w:ind w:left="614" w:hanging="485"/>
        <w:jc w:val="left"/>
      </w:pPr>
      <w:rPr>
        <w:rFonts w:ascii="Arial" w:eastAsia="Arial" w:hAnsi="Arial" w:cs="Arial" w:hint="default"/>
        <w:b w:val="0"/>
        <w:bCs w:val="0"/>
        <w:i w:val="0"/>
        <w:iCs w:val="0"/>
        <w:spacing w:val="0"/>
        <w:w w:val="99"/>
        <w:sz w:val="22"/>
        <w:szCs w:val="22"/>
        <w:lang w:val="en-US" w:eastAsia="en-US" w:bidi="ar-SA"/>
      </w:rPr>
    </w:lvl>
    <w:lvl w:ilvl="1" w:tplc="C8003242">
      <w:numFmt w:val="bullet"/>
      <w:lvlText w:val=""/>
      <w:lvlJc w:val="left"/>
      <w:pPr>
        <w:ind w:left="922" w:hanging="323"/>
      </w:pPr>
      <w:rPr>
        <w:rFonts w:ascii="Symbol" w:eastAsia="Symbol" w:hAnsi="Symbol" w:cs="Symbol" w:hint="default"/>
        <w:b w:val="0"/>
        <w:bCs w:val="0"/>
        <w:i w:val="0"/>
        <w:iCs w:val="0"/>
        <w:spacing w:val="0"/>
        <w:w w:val="99"/>
        <w:sz w:val="22"/>
        <w:szCs w:val="22"/>
        <w:lang w:val="en-US" w:eastAsia="en-US" w:bidi="ar-SA"/>
      </w:rPr>
    </w:lvl>
    <w:lvl w:ilvl="2" w:tplc="8C9A642C">
      <w:numFmt w:val="bullet"/>
      <w:lvlText w:val="•"/>
      <w:lvlJc w:val="left"/>
      <w:pPr>
        <w:ind w:left="1547" w:hanging="323"/>
      </w:pPr>
      <w:rPr>
        <w:rFonts w:hint="default"/>
        <w:lang w:val="en-US" w:eastAsia="en-US" w:bidi="ar-SA"/>
      </w:rPr>
    </w:lvl>
    <w:lvl w:ilvl="3" w:tplc="55ECDB04">
      <w:numFmt w:val="bullet"/>
      <w:lvlText w:val="•"/>
      <w:lvlJc w:val="left"/>
      <w:pPr>
        <w:ind w:left="2175" w:hanging="323"/>
      </w:pPr>
      <w:rPr>
        <w:rFonts w:hint="default"/>
        <w:lang w:val="en-US" w:eastAsia="en-US" w:bidi="ar-SA"/>
      </w:rPr>
    </w:lvl>
    <w:lvl w:ilvl="4" w:tplc="A8380ED8">
      <w:numFmt w:val="bullet"/>
      <w:lvlText w:val="•"/>
      <w:lvlJc w:val="left"/>
      <w:pPr>
        <w:ind w:left="2802" w:hanging="323"/>
      </w:pPr>
      <w:rPr>
        <w:rFonts w:hint="default"/>
        <w:lang w:val="en-US" w:eastAsia="en-US" w:bidi="ar-SA"/>
      </w:rPr>
    </w:lvl>
    <w:lvl w:ilvl="5" w:tplc="B544A93C">
      <w:numFmt w:val="bullet"/>
      <w:lvlText w:val="•"/>
      <w:lvlJc w:val="left"/>
      <w:pPr>
        <w:ind w:left="3430" w:hanging="323"/>
      </w:pPr>
      <w:rPr>
        <w:rFonts w:hint="default"/>
        <w:lang w:val="en-US" w:eastAsia="en-US" w:bidi="ar-SA"/>
      </w:rPr>
    </w:lvl>
    <w:lvl w:ilvl="6" w:tplc="E0E68E70">
      <w:numFmt w:val="bullet"/>
      <w:lvlText w:val="•"/>
      <w:lvlJc w:val="left"/>
      <w:pPr>
        <w:ind w:left="4057" w:hanging="323"/>
      </w:pPr>
      <w:rPr>
        <w:rFonts w:hint="default"/>
        <w:lang w:val="en-US" w:eastAsia="en-US" w:bidi="ar-SA"/>
      </w:rPr>
    </w:lvl>
    <w:lvl w:ilvl="7" w:tplc="D38ACFDE">
      <w:numFmt w:val="bullet"/>
      <w:lvlText w:val="•"/>
      <w:lvlJc w:val="left"/>
      <w:pPr>
        <w:ind w:left="4685" w:hanging="323"/>
      </w:pPr>
      <w:rPr>
        <w:rFonts w:hint="default"/>
        <w:lang w:val="en-US" w:eastAsia="en-US" w:bidi="ar-SA"/>
      </w:rPr>
    </w:lvl>
    <w:lvl w:ilvl="8" w:tplc="17323564">
      <w:numFmt w:val="bullet"/>
      <w:lvlText w:val="•"/>
      <w:lvlJc w:val="left"/>
      <w:pPr>
        <w:ind w:left="5312" w:hanging="323"/>
      </w:pPr>
      <w:rPr>
        <w:rFonts w:hint="default"/>
        <w:lang w:val="en-US" w:eastAsia="en-US" w:bidi="ar-SA"/>
      </w:rPr>
    </w:lvl>
  </w:abstractNum>
  <w:abstractNum w:abstractNumId="55" w15:restartNumberingAfterBreak="0">
    <w:nsid w:val="21A321BC"/>
    <w:multiLevelType w:val="hybridMultilevel"/>
    <w:tmpl w:val="B5E6D1C6"/>
    <w:lvl w:ilvl="0" w:tplc="27320006">
      <w:start w:val="1"/>
      <w:numFmt w:val="decimal"/>
      <w:lvlText w:val="%1)"/>
      <w:lvlJc w:val="left"/>
      <w:pPr>
        <w:ind w:left="683" w:hanging="577"/>
        <w:jc w:val="left"/>
      </w:pPr>
      <w:rPr>
        <w:rFonts w:ascii="Arial" w:eastAsia="Arial" w:hAnsi="Arial" w:cs="Arial" w:hint="default"/>
        <w:b w:val="0"/>
        <w:bCs w:val="0"/>
        <w:i w:val="0"/>
        <w:iCs w:val="0"/>
        <w:spacing w:val="0"/>
        <w:w w:val="99"/>
        <w:sz w:val="22"/>
        <w:szCs w:val="22"/>
        <w:lang w:val="en-US" w:eastAsia="en-US" w:bidi="ar-SA"/>
      </w:rPr>
    </w:lvl>
    <w:lvl w:ilvl="1" w:tplc="275085C4">
      <w:start w:val="1"/>
      <w:numFmt w:val="lowerLetter"/>
      <w:lvlText w:val="%2)"/>
      <w:lvlJc w:val="left"/>
      <w:pPr>
        <w:ind w:left="1259" w:hanging="577"/>
        <w:jc w:val="left"/>
      </w:pPr>
      <w:rPr>
        <w:rFonts w:ascii="Arial" w:eastAsia="Arial" w:hAnsi="Arial" w:cs="Arial" w:hint="default"/>
        <w:b w:val="0"/>
        <w:bCs w:val="0"/>
        <w:i w:val="0"/>
        <w:iCs w:val="0"/>
        <w:spacing w:val="0"/>
        <w:w w:val="99"/>
        <w:sz w:val="22"/>
        <w:szCs w:val="22"/>
        <w:lang w:val="en-US" w:eastAsia="en-US" w:bidi="ar-SA"/>
      </w:rPr>
    </w:lvl>
    <w:lvl w:ilvl="2" w:tplc="58BA5C1E">
      <w:numFmt w:val="bullet"/>
      <w:lvlText w:val="•"/>
      <w:lvlJc w:val="left"/>
      <w:pPr>
        <w:ind w:left="1888" w:hanging="577"/>
      </w:pPr>
      <w:rPr>
        <w:rFonts w:hint="default"/>
        <w:lang w:val="en-US" w:eastAsia="en-US" w:bidi="ar-SA"/>
      </w:rPr>
    </w:lvl>
    <w:lvl w:ilvl="3" w:tplc="6C708D04">
      <w:numFmt w:val="bullet"/>
      <w:lvlText w:val="•"/>
      <w:lvlJc w:val="left"/>
      <w:pPr>
        <w:ind w:left="2517" w:hanging="577"/>
      </w:pPr>
      <w:rPr>
        <w:rFonts w:hint="default"/>
        <w:lang w:val="en-US" w:eastAsia="en-US" w:bidi="ar-SA"/>
      </w:rPr>
    </w:lvl>
    <w:lvl w:ilvl="4" w:tplc="32EC18AC">
      <w:numFmt w:val="bullet"/>
      <w:lvlText w:val="•"/>
      <w:lvlJc w:val="left"/>
      <w:pPr>
        <w:ind w:left="3146" w:hanging="577"/>
      </w:pPr>
      <w:rPr>
        <w:rFonts w:hint="default"/>
        <w:lang w:val="en-US" w:eastAsia="en-US" w:bidi="ar-SA"/>
      </w:rPr>
    </w:lvl>
    <w:lvl w:ilvl="5" w:tplc="C784B58E">
      <w:numFmt w:val="bullet"/>
      <w:lvlText w:val="•"/>
      <w:lvlJc w:val="left"/>
      <w:pPr>
        <w:ind w:left="3775" w:hanging="577"/>
      </w:pPr>
      <w:rPr>
        <w:rFonts w:hint="default"/>
        <w:lang w:val="en-US" w:eastAsia="en-US" w:bidi="ar-SA"/>
      </w:rPr>
    </w:lvl>
    <w:lvl w:ilvl="6" w:tplc="B84E283A">
      <w:numFmt w:val="bullet"/>
      <w:lvlText w:val="•"/>
      <w:lvlJc w:val="left"/>
      <w:pPr>
        <w:ind w:left="4404" w:hanging="577"/>
      </w:pPr>
      <w:rPr>
        <w:rFonts w:hint="default"/>
        <w:lang w:val="en-US" w:eastAsia="en-US" w:bidi="ar-SA"/>
      </w:rPr>
    </w:lvl>
    <w:lvl w:ilvl="7" w:tplc="B5481DF0">
      <w:numFmt w:val="bullet"/>
      <w:lvlText w:val="•"/>
      <w:lvlJc w:val="left"/>
      <w:pPr>
        <w:ind w:left="5033" w:hanging="577"/>
      </w:pPr>
      <w:rPr>
        <w:rFonts w:hint="default"/>
        <w:lang w:val="en-US" w:eastAsia="en-US" w:bidi="ar-SA"/>
      </w:rPr>
    </w:lvl>
    <w:lvl w:ilvl="8" w:tplc="D880283A">
      <w:numFmt w:val="bullet"/>
      <w:lvlText w:val="•"/>
      <w:lvlJc w:val="left"/>
      <w:pPr>
        <w:ind w:left="5662" w:hanging="577"/>
      </w:pPr>
      <w:rPr>
        <w:rFonts w:hint="default"/>
        <w:lang w:val="en-US" w:eastAsia="en-US" w:bidi="ar-SA"/>
      </w:rPr>
    </w:lvl>
  </w:abstractNum>
  <w:abstractNum w:abstractNumId="56" w15:restartNumberingAfterBreak="0">
    <w:nsid w:val="22426420"/>
    <w:multiLevelType w:val="hybridMultilevel"/>
    <w:tmpl w:val="F2B248B2"/>
    <w:lvl w:ilvl="0" w:tplc="2DC2C6FA">
      <w:start w:val="4"/>
      <w:numFmt w:val="decimal"/>
      <w:lvlText w:val="%1."/>
      <w:lvlJc w:val="left"/>
      <w:pPr>
        <w:ind w:left="624" w:hanging="485"/>
        <w:jc w:val="left"/>
      </w:pPr>
      <w:rPr>
        <w:rFonts w:ascii="Arial" w:eastAsia="Arial" w:hAnsi="Arial" w:cs="Arial" w:hint="default"/>
        <w:b w:val="0"/>
        <w:bCs w:val="0"/>
        <w:i w:val="0"/>
        <w:iCs w:val="0"/>
        <w:spacing w:val="0"/>
        <w:w w:val="99"/>
        <w:sz w:val="22"/>
        <w:szCs w:val="22"/>
        <w:lang w:val="en-US" w:eastAsia="en-US" w:bidi="ar-SA"/>
      </w:rPr>
    </w:lvl>
    <w:lvl w:ilvl="1" w:tplc="EA960774">
      <w:start w:val="1"/>
      <w:numFmt w:val="lowerLetter"/>
      <w:lvlText w:val="(%2)"/>
      <w:lvlJc w:val="left"/>
      <w:pPr>
        <w:ind w:left="1219" w:hanging="536"/>
        <w:jc w:val="left"/>
      </w:pPr>
      <w:rPr>
        <w:rFonts w:ascii="Arial" w:eastAsia="Arial" w:hAnsi="Arial" w:cs="Arial" w:hint="default"/>
        <w:b w:val="0"/>
        <w:bCs w:val="0"/>
        <w:i w:val="0"/>
        <w:iCs w:val="0"/>
        <w:spacing w:val="-1"/>
        <w:w w:val="99"/>
        <w:sz w:val="22"/>
        <w:szCs w:val="22"/>
        <w:lang w:val="en-US" w:eastAsia="en-US" w:bidi="ar-SA"/>
      </w:rPr>
    </w:lvl>
    <w:lvl w:ilvl="2" w:tplc="480AFC56">
      <w:numFmt w:val="bullet"/>
      <w:lvlText w:val="•"/>
      <w:lvlJc w:val="left"/>
      <w:pPr>
        <w:ind w:left="1793" w:hanging="536"/>
      </w:pPr>
      <w:rPr>
        <w:rFonts w:hint="default"/>
        <w:lang w:val="en-US" w:eastAsia="en-US" w:bidi="ar-SA"/>
      </w:rPr>
    </w:lvl>
    <w:lvl w:ilvl="3" w:tplc="F104C130">
      <w:numFmt w:val="bullet"/>
      <w:lvlText w:val="•"/>
      <w:lvlJc w:val="left"/>
      <w:pPr>
        <w:ind w:left="2367" w:hanging="536"/>
      </w:pPr>
      <w:rPr>
        <w:rFonts w:hint="default"/>
        <w:lang w:val="en-US" w:eastAsia="en-US" w:bidi="ar-SA"/>
      </w:rPr>
    </w:lvl>
    <w:lvl w:ilvl="4" w:tplc="FFF26CE6">
      <w:numFmt w:val="bullet"/>
      <w:lvlText w:val="•"/>
      <w:lvlJc w:val="left"/>
      <w:pPr>
        <w:ind w:left="2941" w:hanging="536"/>
      </w:pPr>
      <w:rPr>
        <w:rFonts w:hint="default"/>
        <w:lang w:val="en-US" w:eastAsia="en-US" w:bidi="ar-SA"/>
      </w:rPr>
    </w:lvl>
    <w:lvl w:ilvl="5" w:tplc="4912BD5E">
      <w:numFmt w:val="bullet"/>
      <w:lvlText w:val="•"/>
      <w:lvlJc w:val="left"/>
      <w:pPr>
        <w:ind w:left="3515" w:hanging="536"/>
      </w:pPr>
      <w:rPr>
        <w:rFonts w:hint="default"/>
        <w:lang w:val="en-US" w:eastAsia="en-US" w:bidi="ar-SA"/>
      </w:rPr>
    </w:lvl>
    <w:lvl w:ilvl="6" w:tplc="54420338">
      <w:numFmt w:val="bullet"/>
      <w:lvlText w:val="•"/>
      <w:lvlJc w:val="left"/>
      <w:pPr>
        <w:ind w:left="4088" w:hanging="536"/>
      </w:pPr>
      <w:rPr>
        <w:rFonts w:hint="default"/>
        <w:lang w:val="en-US" w:eastAsia="en-US" w:bidi="ar-SA"/>
      </w:rPr>
    </w:lvl>
    <w:lvl w:ilvl="7" w:tplc="C548CF1A">
      <w:numFmt w:val="bullet"/>
      <w:lvlText w:val="•"/>
      <w:lvlJc w:val="left"/>
      <w:pPr>
        <w:ind w:left="4662" w:hanging="536"/>
      </w:pPr>
      <w:rPr>
        <w:rFonts w:hint="default"/>
        <w:lang w:val="en-US" w:eastAsia="en-US" w:bidi="ar-SA"/>
      </w:rPr>
    </w:lvl>
    <w:lvl w:ilvl="8" w:tplc="BB7055AC">
      <w:numFmt w:val="bullet"/>
      <w:lvlText w:val="•"/>
      <w:lvlJc w:val="left"/>
      <w:pPr>
        <w:ind w:left="5236" w:hanging="536"/>
      </w:pPr>
      <w:rPr>
        <w:rFonts w:hint="default"/>
        <w:lang w:val="en-US" w:eastAsia="en-US" w:bidi="ar-SA"/>
      </w:rPr>
    </w:lvl>
  </w:abstractNum>
  <w:abstractNum w:abstractNumId="57" w15:restartNumberingAfterBreak="0">
    <w:nsid w:val="2263712E"/>
    <w:multiLevelType w:val="hybridMultilevel"/>
    <w:tmpl w:val="6B2E1A8C"/>
    <w:lvl w:ilvl="0" w:tplc="CB225D24">
      <w:start w:val="1"/>
      <w:numFmt w:val="decimalZero"/>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944CC76E">
      <w:start w:val="1"/>
      <w:numFmt w:val="lowerLetter"/>
      <w:lvlText w:val="%2."/>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2" w:tplc="6CA43A2A">
      <w:numFmt w:val="bullet"/>
      <w:lvlText w:val="•"/>
      <w:lvlJc w:val="left"/>
      <w:pPr>
        <w:ind w:left="3080" w:hanging="360"/>
      </w:pPr>
      <w:rPr>
        <w:rFonts w:hint="default"/>
        <w:lang w:val="en-US" w:eastAsia="en-US" w:bidi="ar-SA"/>
      </w:rPr>
    </w:lvl>
    <w:lvl w:ilvl="3" w:tplc="EAF6A7A8">
      <w:numFmt w:val="bullet"/>
      <w:lvlText w:val="•"/>
      <w:lvlJc w:val="left"/>
      <w:pPr>
        <w:ind w:left="4000" w:hanging="360"/>
      </w:pPr>
      <w:rPr>
        <w:rFonts w:hint="default"/>
        <w:lang w:val="en-US" w:eastAsia="en-US" w:bidi="ar-SA"/>
      </w:rPr>
    </w:lvl>
    <w:lvl w:ilvl="4" w:tplc="5066B932">
      <w:numFmt w:val="bullet"/>
      <w:lvlText w:val="•"/>
      <w:lvlJc w:val="left"/>
      <w:pPr>
        <w:ind w:left="4920" w:hanging="360"/>
      </w:pPr>
      <w:rPr>
        <w:rFonts w:hint="default"/>
        <w:lang w:val="en-US" w:eastAsia="en-US" w:bidi="ar-SA"/>
      </w:rPr>
    </w:lvl>
    <w:lvl w:ilvl="5" w:tplc="5E3EE21E">
      <w:numFmt w:val="bullet"/>
      <w:lvlText w:val="•"/>
      <w:lvlJc w:val="left"/>
      <w:pPr>
        <w:ind w:left="5840" w:hanging="360"/>
      </w:pPr>
      <w:rPr>
        <w:rFonts w:hint="default"/>
        <w:lang w:val="en-US" w:eastAsia="en-US" w:bidi="ar-SA"/>
      </w:rPr>
    </w:lvl>
    <w:lvl w:ilvl="6" w:tplc="3DFA124C">
      <w:numFmt w:val="bullet"/>
      <w:lvlText w:val="•"/>
      <w:lvlJc w:val="left"/>
      <w:pPr>
        <w:ind w:left="6760" w:hanging="360"/>
      </w:pPr>
      <w:rPr>
        <w:rFonts w:hint="default"/>
        <w:lang w:val="en-US" w:eastAsia="en-US" w:bidi="ar-SA"/>
      </w:rPr>
    </w:lvl>
    <w:lvl w:ilvl="7" w:tplc="5C9896B0">
      <w:numFmt w:val="bullet"/>
      <w:lvlText w:val="•"/>
      <w:lvlJc w:val="left"/>
      <w:pPr>
        <w:ind w:left="7680" w:hanging="360"/>
      </w:pPr>
      <w:rPr>
        <w:rFonts w:hint="default"/>
        <w:lang w:val="en-US" w:eastAsia="en-US" w:bidi="ar-SA"/>
      </w:rPr>
    </w:lvl>
    <w:lvl w:ilvl="8" w:tplc="6066889A">
      <w:numFmt w:val="bullet"/>
      <w:lvlText w:val="•"/>
      <w:lvlJc w:val="left"/>
      <w:pPr>
        <w:ind w:left="8600" w:hanging="360"/>
      </w:pPr>
      <w:rPr>
        <w:rFonts w:hint="default"/>
        <w:lang w:val="en-US" w:eastAsia="en-US" w:bidi="ar-SA"/>
      </w:rPr>
    </w:lvl>
  </w:abstractNum>
  <w:abstractNum w:abstractNumId="58" w15:restartNumberingAfterBreak="0">
    <w:nsid w:val="2338667C"/>
    <w:multiLevelType w:val="hybridMultilevel"/>
    <w:tmpl w:val="C95E9FC2"/>
    <w:lvl w:ilvl="0" w:tplc="7BF61D34">
      <w:start w:val="5"/>
      <w:numFmt w:val="decimal"/>
      <w:lvlText w:val="%1)"/>
      <w:lvlJc w:val="left"/>
      <w:pPr>
        <w:ind w:left="812" w:hanging="504"/>
        <w:jc w:val="left"/>
      </w:pPr>
      <w:rPr>
        <w:rFonts w:ascii="Arial" w:eastAsia="Arial" w:hAnsi="Arial" w:cs="Arial" w:hint="default"/>
        <w:b w:val="0"/>
        <w:bCs w:val="0"/>
        <w:i w:val="0"/>
        <w:iCs w:val="0"/>
        <w:spacing w:val="0"/>
        <w:w w:val="99"/>
        <w:sz w:val="22"/>
        <w:szCs w:val="22"/>
        <w:lang w:val="en-US" w:eastAsia="en-US" w:bidi="ar-SA"/>
      </w:rPr>
    </w:lvl>
    <w:lvl w:ilvl="1" w:tplc="CD6C6574">
      <w:start w:val="1"/>
      <w:numFmt w:val="lowerLetter"/>
      <w:lvlText w:val="%2)"/>
      <w:lvlJc w:val="left"/>
      <w:pPr>
        <w:ind w:left="1244" w:hanging="397"/>
        <w:jc w:val="left"/>
      </w:pPr>
      <w:rPr>
        <w:rFonts w:ascii="Arial" w:eastAsia="Arial" w:hAnsi="Arial" w:cs="Arial" w:hint="default"/>
        <w:b w:val="0"/>
        <w:bCs w:val="0"/>
        <w:i w:val="0"/>
        <w:iCs w:val="0"/>
        <w:spacing w:val="0"/>
        <w:w w:val="99"/>
        <w:sz w:val="22"/>
        <w:szCs w:val="22"/>
        <w:lang w:val="en-US" w:eastAsia="en-US" w:bidi="ar-SA"/>
      </w:rPr>
    </w:lvl>
    <w:lvl w:ilvl="2" w:tplc="968CF4C0">
      <w:numFmt w:val="bullet"/>
      <w:lvlText w:val="•"/>
      <w:lvlJc w:val="left"/>
      <w:pPr>
        <w:ind w:left="1843" w:hanging="397"/>
      </w:pPr>
      <w:rPr>
        <w:rFonts w:hint="default"/>
        <w:lang w:val="en-US" w:eastAsia="en-US" w:bidi="ar-SA"/>
      </w:rPr>
    </w:lvl>
    <w:lvl w:ilvl="3" w:tplc="183C0F76">
      <w:numFmt w:val="bullet"/>
      <w:lvlText w:val="•"/>
      <w:lvlJc w:val="left"/>
      <w:pPr>
        <w:ind w:left="2446" w:hanging="397"/>
      </w:pPr>
      <w:rPr>
        <w:rFonts w:hint="default"/>
        <w:lang w:val="en-US" w:eastAsia="en-US" w:bidi="ar-SA"/>
      </w:rPr>
    </w:lvl>
    <w:lvl w:ilvl="4" w:tplc="A0F2D2D2">
      <w:numFmt w:val="bullet"/>
      <w:lvlText w:val="•"/>
      <w:lvlJc w:val="left"/>
      <w:pPr>
        <w:ind w:left="3049" w:hanging="397"/>
      </w:pPr>
      <w:rPr>
        <w:rFonts w:hint="default"/>
        <w:lang w:val="en-US" w:eastAsia="en-US" w:bidi="ar-SA"/>
      </w:rPr>
    </w:lvl>
    <w:lvl w:ilvl="5" w:tplc="4054357A">
      <w:numFmt w:val="bullet"/>
      <w:lvlText w:val="•"/>
      <w:lvlJc w:val="left"/>
      <w:pPr>
        <w:ind w:left="3652" w:hanging="397"/>
      </w:pPr>
      <w:rPr>
        <w:rFonts w:hint="default"/>
        <w:lang w:val="en-US" w:eastAsia="en-US" w:bidi="ar-SA"/>
      </w:rPr>
    </w:lvl>
    <w:lvl w:ilvl="6" w:tplc="EDBCF752">
      <w:numFmt w:val="bullet"/>
      <w:lvlText w:val="•"/>
      <w:lvlJc w:val="left"/>
      <w:pPr>
        <w:ind w:left="4255" w:hanging="397"/>
      </w:pPr>
      <w:rPr>
        <w:rFonts w:hint="default"/>
        <w:lang w:val="en-US" w:eastAsia="en-US" w:bidi="ar-SA"/>
      </w:rPr>
    </w:lvl>
    <w:lvl w:ilvl="7" w:tplc="C12099E8">
      <w:numFmt w:val="bullet"/>
      <w:lvlText w:val="•"/>
      <w:lvlJc w:val="left"/>
      <w:pPr>
        <w:ind w:left="4859" w:hanging="397"/>
      </w:pPr>
      <w:rPr>
        <w:rFonts w:hint="default"/>
        <w:lang w:val="en-US" w:eastAsia="en-US" w:bidi="ar-SA"/>
      </w:rPr>
    </w:lvl>
    <w:lvl w:ilvl="8" w:tplc="DF348E00">
      <w:numFmt w:val="bullet"/>
      <w:lvlText w:val="•"/>
      <w:lvlJc w:val="left"/>
      <w:pPr>
        <w:ind w:left="5462" w:hanging="397"/>
      </w:pPr>
      <w:rPr>
        <w:rFonts w:hint="default"/>
        <w:lang w:val="en-US" w:eastAsia="en-US" w:bidi="ar-SA"/>
      </w:rPr>
    </w:lvl>
  </w:abstractNum>
  <w:abstractNum w:abstractNumId="59" w15:restartNumberingAfterBreak="0">
    <w:nsid w:val="238A1303"/>
    <w:multiLevelType w:val="hybridMultilevel"/>
    <w:tmpl w:val="06DEB5F8"/>
    <w:lvl w:ilvl="0" w:tplc="6FB85296">
      <w:numFmt w:val="bullet"/>
      <w:lvlText w:val=""/>
      <w:lvlJc w:val="left"/>
      <w:pPr>
        <w:ind w:left="339" w:hanging="184"/>
      </w:pPr>
      <w:rPr>
        <w:rFonts w:ascii="Symbol" w:eastAsia="Symbol" w:hAnsi="Symbol" w:cs="Symbol" w:hint="default"/>
        <w:b w:val="0"/>
        <w:bCs w:val="0"/>
        <w:i w:val="0"/>
        <w:iCs w:val="0"/>
        <w:spacing w:val="0"/>
        <w:w w:val="100"/>
        <w:sz w:val="18"/>
        <w:szCs w:val="18"/>
        <w:lang w:val="en-US" w:eastAsia="en-US" w:bidi="ar-SA"/>
      </w:rPr>
    </w:lvl>
    <w:lvl w:ilvl="1" w:tplc="DCC2BE26">
      <w:numFmt w:val="bullet"/>
      <w:lvlText w:val="•"/>
      <w:lvlJc w:val="left"/>
      <w:pPr>
        <w:ind w:left="781" w:hanging="184"/>
      </w:pPr>
      <w:rPr>
        <w:rFonts w:hint="default"/>
        <w:lang w:val="en-US" w:eastAsia="en-US" w:bidi="ar-SA"/>
      </w:rPr>
    </w:lvl>
    <w:lvl w:ilvl="2" w:tplc="3B8A7E98">
      <w:numFmt w:val="bullet"/>
      <w:lvlText w:val="•"/>
      <w:lvlJc w:val="left"/>
      <w:pPr>
        <w:ind w:left="1223" w:hanging="184"/>
      </w:pPr>
      <w:rPr>
        <w:rFonts w:hint="default"/>
        <w:lang w:val="en-US" w:eastAsia="en-US" w:bidi="ar-SA"/>
      </w:rPr>
    </w:lvl>
    <w:lvl w:ilvl="3" w:tplc="F6DE29A0">
      <w:numFmt w:val="bullet"/>
      <w:lvlText w:val="•"/>
      <w:lvlJc w:val="left"/>
      <w:pPr>
        <w:ind w:left="1664" w:hanging="184"/>
      </w:pPr>
      <w:rPr>
        <w:rFonts w:hint="default"/>
        <w:lang w:val="en-US" w:eastAsia="en-US" w:bidi="ar-SA"/>
      </w:rPr>
    </w:lvl>
    <w:lvl w:ilvl="4" w:tplc="491E658A">
      <w:numFmt w:val="bullet"/>
      <w:lvlText w:val="•"/>
      <w:lvlJc w:val="left"/>
      <w:pPr>
        <w:ind w:left="2106" w:hanging="184"/>
      </w:pPr>
      <w:rPr>
        <w:rFonts w:hint="default"/>
        <w:lang w:val="en-US" w:eastAsia="en-US" w:bidi="ar-SA"/>
      </w:rPr>
    </w:lvl>
    <w:lvl w:ilvl="5" w:tplc="E782E286">
      <w:numFmt w:val="bullet"/>
      <w:lvlText w:val="•"/>
      <w:lvlJc w:val="left"/>
      <w:pPr>
        <w:ind w:left="2548" w:hanging="184"/>
      </w:pPr>
      <w:rPr>
        <w:rFonts w:hint="default"/>
        <w:lang w:val="en-US" w:eastAsia="en-US" w:bidi="ar-SA"/>
      </w:rPr>
    </w:lvl>
    <w:lvl w:ilvl="6" w:tplc="F0F0BE7C">
      <w:numFmt w:val="bullet"/>
      <w:lvlText w:val="•"/>
      <w:lvlJc w:val="left"/>
      <w:pPr>
        <w:ind w:left="2989" w:hanging="184"/>
      </w:pPr>
      <w:rPr>
        <w:rFonts w:hint="default"/>
        <w:lang w:val="en-US" w:eastAsia="en-US" w:bidi="ar-SA"/>
      </w:rPr>
    </w:lvl>
    <w:lvl w:ilvl="7" w:tplc="234A1014">
      <w:numFmt w:val="bullet"/>
      <w:lvlText w:val="•"/>
      <w:lvlJc w:val="left"/>
      <w:pPr>
        <w:ind w:left="3431" w:hanging="184"/>
      </w:pPr>
      <w:rPr>
        <w:rFonts w:hint="default"/>
        <w:lang w:val="en-US" w:eastAsia="en-US" w:bidi="ar-SA"/>
      </w:rPr>
    </w:lvl>
    <w:lvl w:ilvl="8" w:tplc="16B47AC0">
      <w:numFmt w:val="bullet"/>
      <w:lvlText w:val="•"/>
      <w:lvlJc w:val="left"/>
      <w:pPr>
        <w:ind w:left="3873" w:hanging="184"/>
      </w:pPr>
      <w:rPr>
        <w:rFonts w:hint="default"/>
        <w:lang w:val="en-US" w:eastAsia="en-US" w:bidi="ar-SA"/>
      </w:rPr>
    </w:lvl>
  </w:abstractNum>
  <w:abstractNum w:abstractNumId="60" w15:restartNumberingAfterBreak="0">
    <w:nsid w:val="23CA2CDE"/>
    <w:multiLevelType w:val="hybridMultilevel"/>
    <w:tmpl w:val="F60260CA"/>
    <w:lvl w:ilvl="0" w:tplc="BA0E3A0E">
      <w:numFmt w:val="bullet"/>
      <w:lvlText w:val=""/>
      <w:lvlJc w:val="left"/>
      <w:pPr>
        <w:ind w:left="330" w:hanging="186"/>
      </w:pPr>
      <w:rPr>
        <w:rFonts w:ascii="Symbol" w:eastAsia="Symbol" w:hAnsi="Symbol" w:cs="Symbol" w:hint="default"/>
        <w:b w:val="0"/>
        <w:bCs w:val="0"/>
        <w:i w:val="0"/>
        <w:iCs w:val="0"/>
        <w:spacing w:val="0"/>
        <w:w w:val="100"/>
        <w:sz w:val="18"/>
        <w:szCs w:val="18"/>
        <w:lang w:val="en-US" w:eastAsia="en-US" w:bidi="ar-SA"/>
      </w:rPr>
    </w:lvl>
    <w:lvl w:ilvl="1" w:tplc="9626BA44">
      <w:numFmt w:val="bullet"/>
      <w:lvlText w:val="•"/>
      <w:lvlJc w:val="left"/>
      <w:pPr>
        <w:ind w:left="781" w:hanging="186"/>
      </w:pPr>
      <w:rPr>
        <w:rFonts w:hint="default"/>
        <w:lang w:val="en-US" w:eastAsia="en-US" w:bidi="ar-SA"/>
      </w:rPr>
    </w:lvl>
    <w:lvl w:ilvl="2" w:tplc="5450FAD0">
      <w:numFmt w:val="bullet"/>
      <w:lvlText w:val="•"/>
      <w:lvlJc w:val="left"/>
      <w:pPr>
        <w:ind w:left="1223" w:hanging="186"/>
      </w:pPr>
      <w:rPr>
        <w:rFonts w:hint="default"/>
        <w:lang w:val="en-US" w:eastAsia="en-US" w:bidi="ar-SA"/>
      </w:rPr>
    </w:lvl>
    <w:lvl w:ilvl="3" w:tplc="942865DA">
      <w:numFmt w:val="bullet"/>
      <w:lvlText w:val="•"/>
      <w:lvlJc w:val="left"/>
      <w:pPr>
        <w:ind w:left="1665" w:hanging="186"/>
      </w:pPr>
      <w:rPr>
        <w:rFonts w:hint="default"/>
        <w:lang w:val="en-US" w:eastAsia="en-US" w:bidi="ar-SA"/>
      </w:rPr>
    </w:lvl>
    <w:lvl w:ilvl="4" w:tplc="D66A566A">
      <w:numFmt w:val="bullet"/>
      <w:lvlText w:val="•"/>
      <w:lvlJc w:val="left"/>
      <w:pPr>
        <w:ind w:left="2107" w:hanging="186"/>
      </w:pPr>
      <w:rPr>
        <w:rFonts w:hint="default"/>
        <w:lang w:val="en-US" w:eastAsia="en-US" w:bidi="ar-SA"/>
      </w:rPr>
    </w:lvl>
    <w:lvl w:ilvl="5" w:tplc="76089B4E">
      <w:numFmt w:val="bullet"/>
      <w:lvlText w:val="•"/>
      <w:lvlJc w:val="left"/>
      <w:pPr>
        <w:ind w:left="2548" w:hanging="186"/>
      </w:pPr>
      <w:rPr>
        <w:rFonts w:hint="default"/>
        <w:lang w:val="en-US" w:eastAsia="en-US" w:bidi="ar-SA"/>
      </w:rPr>
    </w:lvl>
    <w:lvl w:ilvl="6" w:tplc="832CC4F4">
      <w:numFmt w:val="bullet"/>
      <w:lvlText w:val="•"/>
      <w:lvlJc w:val="left"/>
      <w:pPr>
        <w:ind w:left="2990" w:hanging="186"/>
      </w:pPr>
      <w:rPr>
        <w:rFonts w:hint="default"/>
        <w:lang w:val="en-US" w:eastAsia="en-US" w:bidi="ar-SA"/>
      </w:rPr>
    </w:lvl>
    <w:lvl w:ilvl="7" w:tplc="38547DE6">
      <w:numFmt w:val="bullet"/>
      <w:lvlText w:val="•"/>
      <w:lvlJc w:val="left"/>
      <w:pPr>
        <w:ind w:left="3432" w:hanging="186"/>
      </w:pPr>
      <w:rPr>
        <w:rFonts w:hint="default"/>
        <w:lang w:val="en-US" w:eastAsia="en-US" w:bidi="ar-SA"/>
      </w:rPr>
    </w:lvl>
    <w:lvl w:ilvl="8" w:tplc="7CF086F6">
      <w:numFmt w:val="bullet"/>
      <w:lvlText w:val="•"/>
      <w:lvlJc w:val="left"/>
      <w:pPr>
        <w:ind w:left="3874" w:hanging="186"/>
      </w:pPr>
      <w:rPr>
        <w:rFonts w:hint="default"/>
        <w:lang w:val="en-US" w:eastAsia="en-US" w:bidi="ar-SA"/>
      </w:rPr>
    </w:lvl>
  </w:abstractNum>
  <w:abstractNum w:abstractNumId="61" w15:restartNumberingAfterBreak="0">
    <w:nsid w:val="25BB3F14"/>
    <w:multiLevelType w:val="hybridMultilevel"/>
    <w:tmpl w:val="29587EA0"/>
    <w:lvl w:ilvl="0" w:tplc="5DF29E0A">
      <w:start w:val="1"/>
      <w:numFmt w:val="decimal"/>
      <w:lvlText w:val="(%1)"/>
      <w:lvlJc w:val="left"/>
      <w:pPr>
        <w:ind w:left="367" w:hanging="270"/>
        <w:jc w:val="left"/>
      </w:pPr>
      <w:rPr>
        <w:rFonts w:ascii="Arial" w:eastAsia="Arial" w:hAnsi="Arial" w:cs="Arial" w:hint="default"/>
        <w:b w:val="0"/>
        <w:bCs w:val="0"/>
        <w:i w:val="0"/>
        <w:iCs w:val="0"/>
        <w:spacing w:val="-1"/>
        <w:w w:val="100"/>
        <w:sz w:val="18"/>
        <w:szCs w:val="18"/>
        <w:lang w:val="en-US" w:eastAsia="en-US" w:bidi="ar-SA"/>
      </w:rPr>
    </w:lvl>
    <w:lvl w:ilvl="1" w:tplc="4BCADDCC">
      <w:numFmt w:val="bullet"/>
      <w:lvlText w:val="•"/>
      <w:lvlJc w:val="left"/>
      <w:pPr>
        <w:ind w:left="858" w:hanging="270"/>
      </w:pPr>
      <w:rPr>
        <w:rFonts w:hint="default"/>
        <w:lang w:val="en-US" w:eastAsia="en-US" w:bidi="ar-SA"/>
      </w:rPr>
    </w:lvl>
    <w:lvl w:ilvl="2" w:tplc="787CB2FE">
      <w:numFmt w:val="bullet"/>
      <w:lvlText w:val="•"/>
      <w:lvlJc w:val="left"/>
      <w:pPr>
        <w:ind w:left="1356" w:hanging="270"/>
      </w:pPr>
      <w:rPr>
        <w:rFonts w:hint="default"/>
        <w:lang w:val="en-US" w:eastAsia="en-US" w:bidi="ar-SA"/>
      </w:rPr>
    </w:lvl>
    <w:lvl w:ilvl="3" w:tplc="2AA688B8">
      <w:numFmt w:val="bullet"/>
      <w:lvlText w:val="•"/>
      <w:lvlJc w:val="left"/>
      <w:pPr>
        <w:ind w:left="1855" w:hanging="270"/>
      </w:pPr>
      <w:rPr>
        <w:rFonts w:hint="default"/>
        <w:lang w:val="en-US" w:eastAsia="en-US" w:bidi="ar-SA"/>
      </w:rPr>
    </w:lvl>
    <w:lvl w:ilvl="4" w:tplc="79F8AE92">
      <w:numFmt w:val="bullet"/>
      <w:lvlText w:val="•"/>
      <w:lvlJc w:val="left"/>
      <w:pPr>
        <w:ind w:left="2353" w:hanging="270"/>
      </w:pPr>
      <w:rPr>
        <w:rFonts w:hint="default"/>
        <w:lang w:val="en-US" w:eastAsia="en-US" w:bidi="ar-SA"/>
      </w:rPr>
    </w:lvl>
    <w:lvl w:ilvl="5" w:tplc="A17454E6">
      <w:numFmt w:val="bullet"/>
      <w:lvlText w:val="•"/>
      <w:lvlJc w:val="left"/>
      <w:pPr>
        <w:ind w:left="2852" w:hanging="270"/>
      </w:pPr>
      <w:rPr>
        <w:rFonts w:hint="default"/>
        <w:lang w:val="en-US" w:eastAsia="en-US" w:bidi="ar-SA"/>
      </w:rPr>
    </w:lvl>
    <w:lvl w:ilvl="6" w:tplc="4D9CCEFE">
      <w:numFmt w:val="bullet"/>
      <w:lvlText w:val="•"/>
      <w:lvlJc w:val="left"/>
      <w:pPr>
        <w:ind w:left="3350" w:hanging="270"/>
      </w:pPr>
      <w:rPr>
        <w:rFonts w:hint="default"/>
        <w:lang w:val="en-US" w:eastAsia="en-US" w:bidi="ar-SA"/>
      </w:rPr>
    </w:lvl>
    <w:lvl w:ilvl="7" w:tplc="8BF2607E">
      <w:numFmt w:val="bullet"/>
      <w:lvlText w:val="•"/>
      <w:lvlJc w:val="left"/>
      <w:pPr>
        <w:ind w:left="3848" w:hanging="270"/>
      </w:pPr>
      <w:rPr>
        <w:rFonts w:hint="default"/>
        <w:lang w:val="en-US" w:eastAsia="en-US" w:bidi="ar-SA"/>
      </w:rPr>
    </w:lvl>
    <w:lvl w:ilvl="8" w:tplc="425C3CFA">
      <w:numFmt w:val="bullet"/>
      <w:lvlText w:val="•"/>
      <w:lvlJc w:val="left"/>
      <w:pPr>
        <w:ind w:left="4347" w:hanging="270"/>
      </w:pPr>
      <w:rPr>
        <w:rFonts w:hint="default"/>
        <w:lang w:val="en-US" w:eastAsia="en-US" w:bidi="ar-SA"/>
      </w:rPr>
    </w:lvl>
  </w:abstractNum>
  <w:abstractNum w:abstractNumId="62" w15:restartNumberingAfterBreak="0">
    <w:nsid w:val="25D92D2A"/>
    <w:multiLevelType w:val="hybridMultilevel"/>
    <w:tmpl w:val="CB02B02A"/>
    <w:lvl w:ilvl="0" w:tplc="A8DCB340">
      <w:numFmt w:val="bullet"/>
      <w:lvlText w:val=""/>
      <w:lvlJc w:val="left"/>
      <w:pPr>
        <w:ind w:left="1079" w:hanging="360"/>
      </w:pPr>
      <w:rPr>
        <w:rFonts w:ascii="Symbol" w:eastAsia="Symbol" w:hAnsi="Symbol" w:cs="Symbol" w:hint="default"/>
        <w:b w:val="0"/>
        <w:bCs w:val="0"/>
        <w:i w:val="0"/>
        <w:iCs w:val="0"/>
        <w:spacing w:val="0"/>
        <w:w w:val="99"/>
        <w:sz w:val="22"/>
        <w:szCs w:val="22"/>
        <w:lang w:val="en-US" w:eastAsia="en-US" w:bidi="ar-SA"/>
      </w:rPr>
    </w:lvl>
    <w:lvl w:ilvl="1" w:tplc="43987194">
      <w:numFmt w:val="bullet"/>
      <w:lvlText w:val="•"/>
      <w:lvlJc w:val="left"/>
      <w:pPr>
        <w:ind w:left="2016" w:hanging="360"/>
      </w:pPr>
      <w:rPr>
        <w:rFonts w:hint="default"/>
        <w:lang w:val="en-US" w:eastAsia="en-US" w:bidi="ar-SA"/>
      </w:rPr>
    </w:lvl>
    <w:lvl w:ilvl="2" w:tplc="DAE895DC">
      <w:numFmt w:val="bullet"/>
      <w:lvlText w:val="•"/>
      <w:lvlJc w:val="left"/>
      <w:pPr>
        <w:ind w:left="2952" w:hanging="360"/>
      </w:pPr>
      <w:rPr>
        <w:rFonts w:hint="default"/>
        <w:lang w:val="en-US" w:eastAsia="en-US" w:bidi="ar-SA"/>
      </w:rPr>
    </w:lvl>
    <w:lvl w:ilvl="3" w:tplc="966AEA8E">
      <w:numFmt w:val="bullet"/>
      <w:lvlText w:val="•"/>
      <w:lvlJc w:val="left"/>
      <w:pPr>
        <w:ind w:left="3888" w:hanging="360"/>
      </w:pPr>
      <w:rPr>
        <w:rFonts w:hint="default"/>
        <w:lang w:val="en-US" w:eastAsia="en-US" w:bidi="ar-SA"/>
      </w:rPr>
    </w:lvl>
    <w:lvl w:ilvl="4" w:tplc="0C0452CA">
      <w:numFmt w:val="bullet"/>
      <w:lvlText w:val="•"/>
      <w:lvlJc w:val="left"/>
      <w:pPr>
        <w:ind w:left="4824" w:hanging="360"/>
      </w:pPr>
      <w:rPr>
        <w:rFonts w:hint="default"/>
        <w:lang w:val="en-US" w:eastAsia="en-US" w:bidi="ar-SA"/>
      </w:rPr>
    </w:lvl>
    <w:lvl w:ilvl="5" w:tplc="646010FE">
      <w:numFmt w:val="bullet"/>
      <w:lvlText w:val="•"/>
      <w:lvlJc w:val="left"/>
      <w:pPr>
        <w:ind w:left="5760" w:hanging="360"/>
      </w:pPr>
      <w:rPr>
        <w:rFonts w:hint="default"/>
        <w:lang w:val="en-US" w:eastAsia="en-US" w:bidi="ar-SA"/>
      </w:rPr>
    </w:lvl>
    <w:lvl w:ilvl="6" w:tplc="30A0C182">
      <w:numFmt w:val="bullet"/>
      <w:lvlText w:val="•"/>
      <w:lvlJc w:val="left"/>
      <w:pPr>
        <w:ind w:left="6696" w:hanging="360"/>
      </w:pPr>
      <w:rPr>
        <w:rFonts w:hint="default"/>
        <w:lang w:val="en-US" w:eastAsia="en-US" w:bidi="ar-SA"/>
      </w:rPr>
    </w:lvl>
    <w:lvl w:ilvl="7" w:tplc="3956F20E">
      <w:numFmt w:val="bullet"/>
      <w:lvlText w:val="•"/>
      <w:lvlJc w:val="left"/>
      <w:pPr>
        <w:ind w:left="7632" w:hanging="360"/>
      </w:pPr>
      <w:rPr>
        <w:rFonts w:hint="default"/>
        <w:lang w:val="en-US" w:eastAsia="en-US" w:bidi="ar-SA"/>
      </w:rPr>
    </w:lvl>
    <w:lvl w:ilvl="8" w:tplc="AA7609F0">
      <w:numFmt w:val="bullet"/>
      <w:lvlText w:val="•"/>
      <w:lvlJc w:val="left"/>
      <w:pPr>
        <w:ind w:left="8568" w:hanging="360"/>
      </w:pPr>
      <w:rPr>
        <w:rFonts w:hint="default"/>
        <w:lang w:val="en-US" w:eastAsia="en-US" w:bidi="ar-SA"/>
      </w:rPr>
    </w:lvl>
  </w:abstractNum>
  <w:abstractNum w:abstractNumId="63" w15:restartNumberingAfterBreak="0">
    <w:nsid w:val="26EA2638"/>
    <w:multiLevelType w:val="hybridMultilevel"/>
    <w:tmpl w:val="B306A4F8"/>
    <w:lvl w:ilvl="0" w:tplc="569E5190">
      <w:start w:val="6"/>
      <w:numFmt w:val="decimal"/>
      <w:lvlText w:val="%1)"/>
      <w:lvlJc w:val="left"/>
      <w:pPr>
        <w:ind w:left="1172" w:hanging="361"/>
        <w:jc w:val="left"/>
      </w:pPr>
      <w:rPr>
        <w:rFonts w:ascii="Arial" w:eastAsia="Arial" w:hAnsi="Arial" w:cs="Arial" w:hint="default"/>
        <w:b w:val="0"/>
        <w:bCs w:val="0"/>
        <w:i w:val="0"/>
        <w:iCs w:val="0"/>
        <w:spacing w:val="0"/>
        <w:w w:val="99"/>
        <w:sz w:val="22"/>
        <w:szCs w:val="22"/>
        <w:lang w:val="en-US" w:eastAsia="en-US" w:bidi="ar-SA"/>
      </w:rPr>
    </w:lvl>
    <w:lvl w:ilvl="1" w:tplc="76229638">
      <w:start w:val="1"/>
      <w:numFmt w:val="lowerLetter"/>
      <w:lvlText w:val="%2)"/>
      <w:lvlJc w:val="left"/>
      <w:pPr>
        <w:ind w:left="1569" w:hanging="397"/>
        <w:jc w:val="left"/>
      </w:pPr>
      <w:rPr>
        <w:rFonts w:ascii="Arial" w:eastAsia="Arial" w:hAnsi="Arial" w:cs="Arial" w:hint="default"/>
        <w:b w:val="0"/>
        <w:bCs w:val="0"/>
        <w:i w:val="0"/>
        <w:iCs w:val="0"/>
        <w:spacing w:val="0"/>
        <w:w w:val="99"/>
        <w:sz w:val="22"/>
        <w:szCs w:val="22"/>
        <w:lang w:val="en-US" w:eastAsia="en-US" w:bidi="ar-SA"/>
      </w:rPr>
    </w:lvl>
    <w:lvl w:ilvl="2" w:tplc="6A64DA62">
      <w:numFmt w:val="bullet"/>
      <w:lvlText w:val="•"/>
      <w:lvlJc w:val="left"/>
      <w:pPr>
        <w:ind w:left="2127" w:hanging="397"/>
      </w:pPr>
      <w:rPr>
        <w:rFonts w:hint="default"/>
        <w:lang w:val="en-US" w:eastAsia="en-US" w:bidi="ar-SA"/>
      </w:rPr>
    </w:lvl>
    <w:lvl w:ilvl="3" w:tplc="97C017D6">
      <w:numFmt w:val="bullet"/>
      <w:lvlText w:val="•"/>
      <w:lvlJc w:val="left"/>
      <w:pPr>
        <w:ind w:left="2695" w:hanging="397"/>
      </w:pPr>
      <w:rPr>
        <w:rFonts w:hint="default"/>
        <w:lang w:val="en-US" w:eastAsia="en-US" w:bidi="ar-SA"/>
      </w:rPr>
    </w:lvl>
    <w:lvl w:ilvl="4" w:tplc="D990F02E">
      <w:numFmt w:val="bullet"/>
      <w:lvlText w:val="•"/>
      <w:lvlJc w:val="left"/>
      <w:pPr>
        <w:ind w:left="3262" w:hanging="397"/>
      </w:pPr>
      <w:rPr>
        <w:rFonts w:hint="default"/>
        <w:lang w:val="en-US" w:eastAsia="en-US" w:bidi="ar-SA"/>
      </w:rPr>
    </w:lvl>
    <w:lvl w:ilvl="5" w:tplc="9B58EBAE">
      <w:numFmt w:val="bullet"/>
      <w:lvlText w:val="•"/>
      <w:lvlJc w:val="left"/>
      <w:pPr>
        <w:ind w:left="3830" w:hanging="397"/>
      </w:pPr>
      <w:rPr>
        <w:rFonts w:hint="default"/>
        <w:lang w:val="en-US" w:eastAsia="en-US" w:bidi="ar-SA"/>
      </w:rPr>
    </w:lvl>
    <w:lvl w:ilvl="6" w:tplc="21226D06">
      <w:numFmt w:val="bullet"/>
      <w:lvlText w:val="•"/>
      <w:lvlJc w:val="left"/>
      <w:pPr>
        <w:ind w:left="4398" w:hanging="397"/>
      </w:pPr>
      <w:rPr>
        <w:rFonts w:hint="default"/>
        <w:lang w:val="en-US" w:eastAsia="en-US" w:bidi="ar-SA"/>
      </w:rPr>
    </w:lvl>
    <w:lvl w:ilvl="7" w:tplc="127EE7FE">
      <w:numFmt w:val="bullet"/>
      <w:lvlText w:val="•"/>
      <w:lvlJc w:val="left"/>
      <w:pPr>
        <w:ind w:left="4965" w:hanging="397"/>
      </w:pPr>
      <w:rPr>
        <w:rFonts w:hint="default"/>
        <w:lang w:val="en-US" w:eastAsia="en-US" w:bidi="ar-SA"/>
      </w:rPr>
    </w:lvl>
    <w:lvl w:ilvl="8" w:tplc="BC40871C">
      <w:numFmt w:val="bullet"/>
      <w:lvlText w:val="•"/>
      <w:lvlJc w:val="left"/>
      <w:pPr>
        <w:ind w:left="5533" w:hanging="397"/>
      </w:pPr>
      <w:rPr>
        <w:rFonts w:hint="default"/>
        <w:lang w:val="en-US" w:eastAsia="en-US" w:bidi="ar-SA"/>
      </w:rPr>
    </w:lvl>
  </w:abstractNum>
  <w:abstractNum w:abstractNumId="64" w15:restartNumberingAfterBreak="0">
    <w:nsid w:val="2707794F"/>
    <w:multiLevelType w:val="hybridMultilevel"/>
    <w:tmpl w:val="3F2A91B8"/>
    <w:lvl w:ilvl="0" w:tplc="C952D9EC">
      <w:numFmt w:val="bullet"/>
      <w:lvlText w:val=""/>
      <w:lvlJc w:val="left"/>
      <w:pPr>
        <w:ind w:left="2160" w:hanging="360"/>
      </w:pPr>
      <w:rPr>
        <w:rFonts w:ascii="Symbol" w:eastAsia="Symbol" w:hAnsi="Symbol" w:cs="Symbol" w:hint="default"/>
        <w:b w:val="0"/>
        <w:bCs w:val="0"/>
        <w:i w:val="0"/>
        <w:iCs w:val="0"/>
        <w:spacing w:val="0"/>
        <w:w w:val="99"/>
        <w:sz w:val="22"/>
        <w:szCs w:val="22"/>
        <w:lang w:val="en-US" w:eastAsia="en-US" w:bidi="ar-SA"/>
      </w:rPr>
    </w:lvl>
    <w:lvl w:ilvl="1" w:tplc="B5C60E5C">
      <w:numFmt w:val="bullet"/>
      <w:lvlText w:val="•"/>
      <w:lvlJc w:val="left"/>
      <w:pPr>
        <w:ind w:left="2988" w:hanging="360"/>
      </w:pPr>
      <w:rPr>
        <w:rFonts w:hint="default"/>
        <w:lang w:val="en-US" w:eastAsia="en-US" w:bidi="ar-SA"/>
      </w:rPr>
    </w:lvl>
    <w:lvl w:ilvl="2" w:tplc="39B2EA44">
      <w:numFmt w:val="bullet"/>
      <w:lvlText w:val="•"/>
      <w:lvlJc w:val="left"/>
      <w:pPr>
        <w:ind w:left="3816" w:hanging="360"/>
      </w:pPr>
      <w:rPr>
        <w:rFonts w:hint="default"/>
        <w:lang w:val="en-US" w:eastAsia="en-US" w:bidi="ar-SA"/>
      </w:rPr>
    </w:lvl>
    <w:lvl w:ilvl="3" w:tplc="B7549AEA">
      <w:numFmt w:val="bullet"/>
      <w:lvlText w:val="•"/>
      <w:lvlJc w:val="left"/>
      <w:pPr>
        <w:ind w:left="4644" w:hanging="360"/>
      </w:pPr>
      <w:rPr>
        <w:rFonts w:hint="default"/>
        <w:lang w:val="en-US" w:eastAsia="en-US" w:bidi="ar-SA"/>
      </w:rPr>
    </w:lvl>
    <w:lvl w:ilvl="4" w:tplc="9030E4F0">
      <w:numFmt w:val="bullet"/>
      <w:lvlText w:val="•"/>
      <w:lvlJc w:val="left"/>
      <w:pPr>
        <w:ind w:left="5472" w:hanging="360"/>
      </w:pPr>
      <w:rPr>
        <w:rFonts w:hint="default"/>
        <w:lang w:val="en-US" w:eastAsia="en-US" w:bidi="ar-SA"/>
      </w:rPr>
    </w:lvl>
    <w:lvl w:ilvl="5" w:tplc="8948156A">
      <w:numFmt w:val="bullet"/>
      <w:lvlText w:val="•"/>
      <w:lvlJc w:val="left"/>
      <w:pPr>
        <w:ind w:left="6300" w:hanging="360"/>
      </w:pPr>
      <w:rPr>
        <w:rFonts w:hint="default"/>
        <w:lang w:val="en-US" w:eastAsia="en-US" w:bidi="ar-SA"/>
      </w:rPr>
    </w:lvl>
    <w:lvl w:ilvl="6" w:tplc="CF686B16">
      <w:numFmt w:val="bullet"/>
      <w:lvlText w:val="•"/>
      <w:lvlJc w:val="left"/>
      <w:pPr>
        <w:ind w:left="7128" w:hanging="360"/>
      </w:pPr>
      <w:rPr>
        <w:rFonts w:hint="default"/>
        <w:lang w:val="en-US" w:eastAsia="en-US" w:bidi="ar-SA"/>
      </w:rPr>
    </w:lvl>
    <w:lvl w:ilvl="7" w:tplc="C30AE2FC">
      <w:numFmt w:val="bullet"/>
      <w:lvlText w:val="•"/>
      <w:lvlJc w:val="left"/>
      <w:pPr>
        <w:ind w:left="7956" w:hanging="360"/>
      </w:pPr>
      <w:rPr>
        <w:rFonts w:hint="default"/>
        <w:lang w:val="en-US" w:eastAsia="en-US" w:bidi="ar-SA"/>
      </w:rPr>
    </w:lvl>
    <w:lvl w:ilvl="8" w:tplc="731A2D84">
      <w:numFmt w:val="bullet"/>
      <w:lvlText w:val="•"/>
      <w:lvlJc w:val="left"/>
      <w:pPr>
        <w:ind w:left="8784" w:hanging="360"/>
      </w:pPr>
      <w:rPr>
        <w:rFonts w:hint="default"/>
        <w:lang w:val="en-US" w:eastAsia="en-US" w:bidi="ar-SA"/>
      </w:rPr>
    </w:lvl>
  </w:abstractNum>
  <w:abstractNum w:abstractNumId="65" w15:restartNumberingAfterBreak="0">
    <w:nsid w:val="27565500"/>
    <w:multiLevelType w:val="hybridMultilevel"/>
    <w:tmpl w:val="4C24589A"/>
    <w:lvl w:ilvl="0" w:tplc="A8067B6A">
      <w:numFmt w:val="bullet"/>
      <w:lvlText w:val=""/>
      <w:lvlJc w:val="left"/>
      <w:pPr>
        <w:ind w:left="1802" w:hanging="360"/>
      </w:pPr>
      <w:rPr>
        <w:rFonts w:ascii="Symbol" w:eastAsia="Symbol" w:hAnsi="Symbol" w:cs="Symbol" w:hint="default"/>
        <w:b w:val="0"/>
        <w:bCs w:val="0"/>
        <w:i w:val="0"/>
        <w:iCs w:val="0"/>
        <w:spacing w:val="0"/>
        <w:w w:val="99"/>
        <w:sz w:val="22"/>
        <w:szCs w:val="22"/>
        <w:lang w:val="en-US" w:eastAsia="en-US" w:bidi="ar-SA"/>
      </w:rPr>
    </w:lvl>
    <w:lvl w:ilvl="1" w:tplc="133E7B9E">
      <w:numFmt w:val="bullet"/>
      <w:lvlText w:val="•"/>
      <w:lvlJc w:val="left"/>
      <w:pPr>
        <w:ind w:left="2522" w:hanging="360"/>
      </w:pPr>
      <w:rPr>
        <w:rFonts w:hint="default"/>
        <w:lang w:val="en-US" w:eastAsia="en-US" w:bidi="ar-SA"/>
      </w:rPr>
    </w:lvl>
    <w:lvl w:ilvl="2" w:tplc="F668A9DE">
      <w:numFmt w:val="bullet"/>
      <w:lvlText w:val="•"/>
      <w:lvlJc w:val="left"/>
      <w:pPr>
        <w:ind w:left="3244" w:hanging="360"/>
      </w:pPr>
      <w:rPr>
        <w:rFonts w:hint="default"/>
        <w:lang w:val="en-US" w:eastAsia="en-US" w:bidi="ar-SA"/>
      </w:rPr>
    </w:lvl>
    <w:lvl w:ilvl="3" w:tplc="2910ADAA">
      <w:numFmt w:val="bullet"/>
      <w:lvlText w:val="•"/>
      <w:lvlJc w:val="left"/>
      <w:pPr>
        <w:ind w:left="3967" w:hanging="360"/>
      </w:pPr>
      <w:rPr>
        <w:rFonts w:hint="default"/>
        <w:lang w:val="en-US" w:eastAsia="en-US" w:bidi="ar-SA"/>
      </w:rPr>
    </w:lvl>
    <w:lvl w:ilvl="4" w:tplc="CB4CB7FE">
      <w:numFmt w:val="bullet"/>
      <w:lvlText w:val="•"/>
      <w:lvlJc w:val="left"/>
      <w:pPr>
        <w:ind w:left="4689" w:hanging="360"/>
      </w:pPr>
      <w:rPr>
        <w:rFonts w:hint="default"/>
        <w:lang w:val="en-US" w:eastAsia="en-US" w:bidi="ar-SA"/>
      </w:rPr>
    </w:lvl>
    <w:lvl w:ilvl="5" w:tplc="29586A88">
      <w:numFmt w:val="bullet"/>
      <w:lvlText w:val="•"/>
      <w:lvlJc w:val="left"/>
      <w:pPr>
        <w:ind w:left="5412" w:hanging="360"/>
      </w:pPr>
      <w:rPr>
        <w:rFonts w:hint="default"/>
        <w:lang w:val="en-US" w:eastAsia="en-US" w:bidi="ar-SA"/>
      </w:rPr>
    </w:lvl>
    <w:lvl w:ilvl="6" w:tplc="5B70414E">
      <w:numFmt w:val="bullet"/>
      <w:lvlText w:val="•"/>
      <w:lvlJc w:val="left"/>
      <w:pPr>
        <w:ind w:left="6134" w:hanging="360"/>
      </w:pPr>
      <w:rPr>
        <w:rFonts w:hint="default"/>
        <w:lang w:val="en-US" w:eastAsia="en-US" w:bidi="ar-SA"/>
      </w:rPr>
    </w:lvl>
    <w:lvl w:ilvl="7" w:tplc="D26888D2">
      <w:numFmt w:val="bullet"/>
      <w:lvlText w:val="•"/>
      <w:lvlJc w:val="left"/>
      <w:pPr>
        <w:ind w:left="6856" w:hanging="360"/>
      </w:pPr>
      <w:rPr>
        <w:rFonts w:hint="default"/>
        <w:lang w:val="en-US" w:eastAsia="en-US" w:bidi="ar-SA"/>
      </w:rPr>
    </w:lvl>
    <w:lvl w:ilvl="8" w:tplc="49862F40">
      <w:numFmt w:val="bullet"/>
      <w:lvlText w:val="•"/>
      <w:lvlJc w:val="left"/>
      <w:pPr>
        <w:ind w:left="7579" w:hanging="360"/>
      </w:pPr>
      <w:rPr>
        <w:rFonts w:hint="default"/>
        <w:lang w:val="en-US" w:eastAsia="en-US" w:bidi="ar-SA"/>
      </w:rPr>
    </w:lvl>
  </w:abstractNum>
  <w:abstractNum w:abstractNumId="66" w15:restartNumberingAfterBreak="0">
    <w:nsid w:val="27786F60"/>
    <w:multiLevelType w:val="hybridMultilevel"/>
    <w:tmpl w:val="3064CCF0"/>
    <w:lvl w:ilvl="0" w:tplc="B290C91C">
      <w:start w:val="1"/>
      <w:numFmt w:val="lowerRoman"/>
      <w:lvlText w:val="%1."/>
      <w:lvlJc w:val="left"/>
      <w:pPr>
        <w:ind w:left="1707" w:hanging="368"/>
        <w:jc w:val="right"/>
      </w:pPr>
      <w:rPr>
        <w:rFonts w:hint="default"/>
        <w:spacing w:val="0"/>
        <w:w w:val="99"/>
        <w:lang w:val="en-US" w:eastAsia="en-US" w:bidi="ar-SA"/>
      </w:rPr>
    </w:lvl>
    <w:lvl w:ilvl="1" w:tplc="E3D8661E">
      <w:numFmt w:val="bullet"/>
      <w:lvlText w:val="•"/>
      <w:lvlJc w:val="left"/>
      <w:pPr>
        <w:ind w:left="2196" w:hanging="368"/>
      </w:pPr>
      <w:rPr>
        <w:rFonts w:hint="default"/>
        <w:lang w:val="en-US" w:eastAsia="en-US" w:bidi="ar-SA"/>
      </w:rPr>
    </w:lvl>
    <w:lvl w:ilvl="2" w:tplc="EAE4AA46">
      <w:numFmt w:val="bullet"/>
      <w:lvlText w:val="•"/>
      <w:lvlJc w:val="left"/>
      <w:pPr>
        <w:ind w:left="2693" w:hanging="368"/>
      </w:pPr>
      <w:rPr>
        <w:rFonts w:hint="default"/>
        <w:lang w:val="en-US" w:eastAsia="en-US" w:bidi="ar-SA"/>
      </w:rPr>
    </w:lvl>
    <w:lvl w:ilvl="3" w:tplc="C80E7160">
      <w:numFmt w:val="bullet"/>
      <w:lvlText w:val="•"/>
      <w:lvlJc w:val="left"/>
      <w:pPr>
        <w:ind w:left="3190" w:hanging="368"/>
      </w:pPr>
      <w:rPr>
        <w:rFonts w:hint="default"/>
        <w:lang w:val="en-US" w:eastAsia="en-US" w:bidi="ar-SA"/>
      </w:rPr>
    </w:lvl>
    <w:lvl w:ilvl="4" w:tplc="D9CE370C">
      <w:numFmt w:val="bullet"/>
      <w:lvlText w:val="•"/>
      <w:lvlJc w:val="left"/>
      <w:pPr>
        <w:ind w:left="3687" w:hanging="368"/>
      </w:pPr>
      <w:rPr>
        <w:rFonts w:hint="default"/>
        <w:lang w:val="en-US" w:eastAsia="en-US" w:bidi="ar-SA"/>
      </w:rPr>
    </w:lvl>
    <w:lvl w:ilvl="5" w:tplc="409CF5BA">
      <w:numFmt w:val="bullet"/>
      <w:lvlText w:val="•"/>
      <w:lvlJc w:val="left"/>
      <w:pPr>
        <w:ind w:left="4184" w:hanging="368"/>
      </w:pPr>
      <w:rPr>
        <w:rFonts w:hint="default"/>
        <w:lang w:val="en-US" w:eastAsia="en-US" w:bidi="ar-SA"/>
      </w:rPr>
    </w:lvl>
    <w:lvl w:ilvl="6" w:tplc="625E3DD2">
      <w:numFmt w:val="bullet"/>
      <w:lvlText w:val="•"/>
      <w:lvlJc w:val="left"/>
      <w:pPr>
        <w:ind w:left="4681" w:hanging="368"/>
      </w:pPr>
      <w:rPr>
        <w:rFonts w:hint="default"/>
        <w:lang w:val="en-US" w:eastAsia="en-US" w:bidi="ar-SA"/>
      </w:rPr>
    </w:lvl>
    <w:lvl w:ilvl="7" w:tplc="35545F8E">
      <w:numFmt w:val="bullet"/>
      <w:lvlText w:val="•"/>
      <w:lvlJc w:val="left"/>
      <w:pPr>
        <w:ind w:left="5177" w:hanging="368"/>
      </w:pPr>
      <w:rPr>
        <w:rFonts w:hint="default"/>
        <w:lang w:val="en-US" w:eastAsia="en-US" w:bidi="ar-SA"/>
      </w:rPr>
    </w:lvl>
    <w:lvl w:ilvl="8" w:tplc="62A4BD76">
      <w:numFmt w:val="bullet"/>
      <w:lvlText w:val="•"/>
      <w:lvlJc w:val="left"/>
      <w:pPr>
        <w:ind w:left="5674" w:hanging="368"/>
      </w:pPr>
      <w:rPr>
        <w:rFonts w:hint="default"/>
        <w:lang w:val="en-US" w:eastAsia="en-US" w:bidi="ar-SA"/>
      </w:rPr>
    </w:lvl>
  </w:abstractNum>
  <w:abstractNum w:abstractNumId="67" w15:restartNumberingAfterBreak="0">
    <w:nsid w:val="283545A8"/>
    <w:multiLevelType w:val="hybridMultilevel"/>
    <w:tmpl w:val="FDBEF33E"/>
    <w:lvl w:ilvl="0" w:tplc="33BE8E28">
      <w:start w:val="10"/>
      <w:numFmt w:val="lowerLetter"/>
      <w:lvlText w:val="%1."/>
      <w:lvlJc w:val="left"/>
      <w:pPr>
        <w:ind w:left="1304" w:hanging="390"/>
        <w:jc w:val="left"/>
      </w:pPr>
      <w:rPr>
        <w:rFonts w:ascii="Arial" w:eastAsia="Arial" w:hAnsi="Arial" w:cs="Arial" w:hint="default"/>
        <w:b w:val="0"/>
        <w:bCs w:val="0"/>
        <w:i w:val="0"/>
        <w:iCs w:val="0"/>
        <w:spacing w:val="0"/>
        <w:w w:val="99"/>
        <w:sz w:val="22"/>
        <w:szCs w:val="22"/>
        <w:lang w:val="en-US" w:eastAsia="en-US" w:bidi="ar-SA"/>
      </w:rPr>
    </w:lvl>
    <w:lvl w:ilvl="1" w:tplc="30F0ED8A">
      <w:numFmt w:val="bullet"/>
      <w:lvlText w:val=""/>
      <w:lvlJc w:val="left"/>
      <w:pPr>
        <w:ind w:left="1693" w:hanging="362"/>
      </w:pPr>
      <w:rPr>
        <w:rFonts w:ascii="Symbol" w:eastAsia="Symbol" w:hAnsi="Symbol" w:cs="Symbol" w:hint="default"/>
        <w:b w:val="0"/>
        <w:bCs w:val="0"/>
        <w:i w:val="0"/>
        <w:iCs w:val="0"/>
        <w:spacing w:val="0"/>
        <w:w w:val="99"/>
        <w:sz w:val="22"/>
        <w:szCs w:val="22"/>
        <w:lang w:val="en-US" w:eastAsia="en-US" w:bidi="ar-SA"/>
      </w:rPr>
    </w:lvl>
    <w:lvl w:ilvl="2" w:tplc="8550DAAE">
      <w:numFmt w:val="bullet"/>
      <w:lvlText w:val="•"/>
      <w:lvlJc w:val="left"/>
      <w:pPr>
        <w:ind w:left="2327" w:hanging="362"/>
      </w:pPr>
      <w:rPr>
        <w:rFonts w:hint="default"/>
        <w:lang w:val="en-US" w:eastAsia="en-US" w:bidi="ar-SA"/>
      </w:rPr>
    </w:lvl>
    <w:lvl w:ilvl="3" w:tplc="C0CCCB88">
      <w:numFmt w:val="bullet"/>
      <w:lvlText w:val="•"/>
      <w:lvlJc w:val="left"/>
      <w:pPr>
        <w:ind w:left="2955" w:hanging="362"/>
      </w:pPr>
      <w:rPr>
        <w:rFonts w:hint="default"/>
        <w:lang w:val="en-US" w:eastAsia="en-US" w:bidi="ar-SA"/>
      </w:rPr>
    </w:lvl>
    <w:lvl w:ilvl="4" w:tplc="B438796C">
      <w:numFmt w:val="bullet"/>
      <w:lvlText w:val="•"/>
      <w:lvlJc w:val="left"/>
      <w:pPr>
        <w:ind w:left="3583" w:hanging="362"/>
      </w:pPr>
      <w:rPr>
        <w:rFonts w:hint="default"/>
        <w:lang w:val="en-US" w:eastAsia="en-US" w:bidi="ar-SA"/>
      </w:rPr>
    </w:lvl>
    <w:lvl w:ilvl="5" w:tplc="B322C674">
      <w:numFmt w:val="bullet"/>
      <w:lvlText w:val="•"/>
      <w:lvlJc w:val="left"/>
      <w:pPr>
        <w:ind w:left="4211" w:hanging="362"/>
      </w:pPr>
      <w:rPr>
        <w:rFonts w:hint="default"/>
        <w:lang w:val="en-US" w:eastAsia="en-US" w:bidi="ar-SA"/>
      </w:rPr>
    </w:lvl>
    <w:lvl w:ilvl="6" w:tplc="C250F734">
      <w:numFmt w:val="bullet"/>
      <w:lvlText w:val="•"/>
      <w:lvlJc w:val="left"/>
      <w:pPr>
        <w:ind w:left="4838" w:hanging="362"/>
      </w:pPr>
      <w:rPr>
        <w:rFonts w:hint="default"/>
        <w:lang w:val="en-US" w:eastAsia="en-US" w:bidi="ar-SA"/>
      </w:rPr>
    </w:lvl>
    <w:lvl w:ilvl="7" w:tplc="4D5045F4">
      <w:numFmt w:val="bullet"/>
      <w:lvlText w:val="•"/>
      <w:lvlJc w:val="left"/>
      <w:pPr>
        <w:ind w:left="5466" w:hanging="362"/>
      </w:pPr>
      <w:rPr>
        <w:rFonts w:hint="default"/>
        <w:lang w:val="en-US" w:eastAsia="en-US" w:bidi="ar-SA"/>
      </w:rPr>
    </w:lvl>
    <w:lvl w:ilvl="8" w:tplc="0B0C4A32">
      <w:numFmt w:val="bullet"/>
      <w:lvlText w:val="•"/>
      <w:lvlJc w:val="left"/>
      <w:pPr>
        <w:ind w:left="6094" w:hanging="362"/>
      </w:pPr>
      <w:rPr>
        <w:rFonts w:hint="default"/>
        <w:lang w:val="en-US" w:eastAsia="en-US" w:bidi="ar-SA"/>
      </w:rPr>
    </w:lvl>
  </w:abstractNum>
  <w:abstractNum w:abstractNumId="68" w15:restartNumberingAfterBreak="0">
    <w:nsid w:val="28AF0E90"/>
    <w:multiLevelType w:val="hybridMultilevel"/>
    <w:tmpl w:val="C622A806"/>
    <w:lvl w:ilvl="0" w:tplc="9EFEDC28">
      <w:start w:val="7"/>
      <w:numFmt w:val="decimal"/>
      <w:lvlText w:val="%1."/>
      <w:lvlJc w:val="left"/>
      <w:pPr>
        <w:ind w:left="614" w:hanging="439"/>
        <w:jc w:val="left"/>
      </w:pPr>
      <w:rPr>
        <w:rFonts w:ascii="Arial" w:eastAsia="Arial" w:hAnsi="Arial" w:cs="Arial" w:hint="default"/>
        <w:b w:val="0"/>
        <w:bCs w:val="0"/>
        <w:i w:val="0"/>
        <w:iCs w:val="0"/>
        <w:spacing w:val="0"/>
        <w:w w:val="99"/>
        <w:sz w:val="22"/>
        <w:szCs w:val="22"/>
        <w:lang w:val="en-US" w:eastAsia="en-US" w:bidi="ar-SA"/>
      </w:rPr>
    </w:lvl>
    <w:lvl w:ilvl="1" w:tplc="69DC7B8A">
      <w:numFmt w:val="bullet"/>
      <w:lvlText w:val=""/>
      <w:lvlJc w:val="left"/>
      <w:pPr>
        <w:ind w:left="979" w:hanging="356"/>
      </w:pPr>
      <w:rPr>
        <w:rFonts w:ascii="Symbol" w:eastAsia="Symbol" w:hAnsi="Symbol" w:cs="Symbol" w:hint="default"/>
        <w:b w:val="0"/>
        <w:bCs w:val="0"/>
        <w:i w:val="0"/>
        <w:iCs w:val="0"/>
        <w:spacing w:val="0"/>
        <w:w w:val="99"/>
        <w:sz w:val="22"/>
        <w:szCs w:val="22"/>
        <w:lang w:val="en-US" w:eastAsia="en-US" w:bidi="ar-SA"/>
      </w:rPr>
    </w:lvl>
    <w:lvl w:ilvl="2" w:tplc="F8AA536E">
      <w:numFmt w:val="bullet"/>
      <w:lvlText w:val="•"/>
      <w:lvlJc w:val="left"/>
      <w:pPr>
        <w:ind w:left="1579" w:hanging="356"/>
      </w:pPr>
      <w:rPr>
        <w:rFonts w:hint="default"/>
        <w:lang w:val="en-US" w:eastAsia="en-US" w:bidi="ar-SA"/>
      </w:rPr>
    </w:lvl>
    <w:lvl w:ilvl="3" w:tplc="25DA63E4">
      <w:numFmt w:val="bullet"/>
      <w:lvlText w:val="•"/>
      <w:lvlJc w:val="left"/>
      <w:pPr>
        <w:ind w:left="2179" w:hanging="356"/>
      </w:pPr>
      <w:rPr>
        <w:rFonts w:hint="default"/>
        <w:lang w:val="en-US" w:eastAsia="en-US" w:bidi="ar-SA"/>
      </w:rPr>
    </w:lvl>
    <w:lvl w:ilvl="4" w:tplc="B0D8D4D2">
      <w:numFmt w:val="bullet"/>
      <w:lvlText w:val="•"/>
      <w:lvlJc w:val="left"/>
      <w:pPr>
        <w:ind w:left="2778" w:hanging="356"/>
      </w:pPr>
      <w:rPr>
        <w:rFonts w:hint="default"/>
        <w:lang w:val="en-US" w:eastAsia="en-US" w:bidi="ar-SA"/>
      </w:rPr>
    </w:lvl>
    <w:lvl w:ilvl="5" w:tplc="39049A74">
      <w:numFmt w:val="bullet"/>
      <w:lvlText w:val="•"/>
      <w:lvlJc w:val="left"/>
      <w:pPr>
        <w:ind w:left="3378" w:hanging="356"/>
      </w:pPr>
      <w:rPr>
        <w:rFonts w:hint="default"/>
        <w:lang w:val="en-US" w:eastAsia="en-US" w:bidi="ar-SA"/>
      </w:rPr>
    </w:lvl>
    <w:lvl w:ilvl="6" w:tplc="D8667E8A">
      <w:numFmt w:val="bullet"/>
      <w:lvlText w:val="•"/>
      <w:lvlJc w:val="left"/>
      <w:pPr>
        <w:ind w:left="3977" w:hanging="356"/>
      </w:pPr>
      <w:rPr>
        <w:rFonts w:hint="default"/>
        <w:lang w:val="en-US" w:eastAsia="en-US" w:bidi="ar-SA"/>
      </w:rPr>
    </w:lvl>
    <w:lvl w:ilvl="7" w:tplc="E0B63B5A">
      <w:numFmt w:val="bullet"/>
      <w:lvlText w:val="•"/>
      <w:lvlJc w:val="left"/>
      <w:pPr>
        <w:ind w:left="4577" w:hanging="356"/>
      </w:pPr>
      <w:rPr>
        <w:rFonts w:hint="default"/>
        <w:lang w:val="en-US" w:eastAsia="en-US" w:bidi="ar-SA"/>
      </w:rPr>
    </w:lvl>
    <w:lvl w:ilvl="8" w:tplc="5064A1F4">
      <w:numFmt w:val="bullet"/>
      <w:lvlText w:val="•"/>
      <w:lvlJc w:val="left"/>
      <w:pPr>
        <w:ind w:left="5176" w:hanging="356"/>
      </w:pPr>
      <w:rPr>
        <w:rFonts w:hint="default"/>
        <w:lang w:val="en-US" w:eastAsia="en-US" w:bidi="ar-SA"/>
      </w:rPr>
    </w:lvl>
  </w:abstractNum>
  <w:abstractNum w:abstractNumId="69" w15:restartNumberingAfterBreak="0">
    <w:nsid w:val="29084418"/>
    <w:multiLevelType w:val="hybridMultilevel"/>
    <w:tmpl w:val="F8EAD174"/>
    <w:lvl w:ilvl="0" w:tplc="FBB633D2">
      <w:numFmt w:val="bullet"/>
      <w:lvlText w:val=""/>
      <w:lvlJc w:val="left"/>
      <w:pPr>
        <w:ind w:left="320" w:hanging="188"/>
      </w:pPr>
      <w:rPr>
        <w:rFonts w:ascii="Symbol" w:eastAsia="Symbol" w:hAnsi="Symbol" w:cs="Symbol" w:hint="default"/>
        <w:b w:val="0"/>
        <w:bCs w:val="0"/>
        <w:i w:val="0"/>
        <w:iCs w:val="0"/>
        <w:spacing w:val="0"/>
        <w:w w:val="100"/>
        <w:sz w:val="18"/>
        <w:szCs w:val="18"/>
        <w:lang w:val="en-US" w:eastAsia="en-US" w:bidi="ar-SA"/>
      </w:rPr>
    </w:lvl>
    <w:lvl w:ilvl="1" w:tplc="5F584A3C">
      <w:numFmt w:val="bullet"/>
      <w:lvlText w:val="•"/>
      <w:lvlJc w:val="left"/>
      <w:pPr>
        <w:ind w:left="1001" w:hanging="188"/>
      </w:pPr>
      <w:rPr>
        <w:rFonts w:hint="default"/>
        <w:lang w:val="en-US" w:eastAsia="en-US" w:bidi="ar-SA"/>
      </w:rPr>
    </w:lvl>
    <w:lvl w:ilvl="2" w:tplc="2F624268">
      <w:numFmt w:val="bullet"/>
      <w:lvlText w:val="•"/>
      <w:lvlJc w:val="left"/>
      <w:pPr>
        <w:ind w:left="1682" w:hanging="188"/>
      </w:pPr>
      <w:rPr>
        <w:rFonts w:hint="default"/>
        <w:lang w:val="en-US" w:eastAsia="en-US" w:bidi="ar-SA"/>
      </w:rPr>
    </w:lvl>
    <w:lvl w:ilvl="3" w:tplc="1338B7C8">
      <w:numFmt w:val="bullet"/>
      <w:lvlText w:val="•"/>
      <w:lvlJc w:val="left"/>
      <w:pPr>
        <w:ind w:left="2363" w:hanging="188"/>
      </w:pPr>
      <w:rPr>
        <w:rFonts w:hint="default"/>
        <w:lang w:val="en-US" w:eastAsia="en-US" w:bidi="ar-SA"/>
      </w:rPr>
    </w:lvl>
    <w:lvl w:ilvl="4" w:tplc="E446041E">
      <w:numFmt w:val="bullet"/>
      <w:lvlText w:val="•"/>
      <w:lvlJc w:val="left"/>
      <w:pPr>
        <w:ind w:left="3044" w:hanging="188"/>
      </w:pPr>
      <w:rPr>
        <w:rFonts w:hint="default"/>
        <w:lang w:val="en-US" w:eastAsia="en-US" w:bidi="ar-SA"/>
      </w:rPr>
    </w:lvl>
    <w:lvl w:ilvl="5" w:tplc="6A9C6A70">
      <w:numFmt w:val="bullet"/>
      <w:lvlText w:val="•"/>
      <w:lvlJc w:val="left"/>
      <w:pPr>
        <w:ind w:left="3725" w:hanging="188"/>
      </w:pPr>
      <w:rPr>
        <w:rFonts w:hint="default"/>
        <w:lang w:val="en-US" w:eastAsia="en-US" w:bidi="ar-SA"/>
      </w:rPr>
    </w:lvl>
    <w:lvl w:ilvl="6" w:tplc="E9A885EA">
      <w:numFmt w:val="bullet"/>
      <w:lvlText w:val="•"/>
      <w:lvlJc w:val="left"/>
      <w:pPr>
        <w:ind w:left="4406" w:hanging="188"/>
      </w:pPr>
      <w:rPr>
        <w:rFonts w:hint="default"/>
        <w:lang w:val="en-US" w:eastAsia="en-US" w:bidi="ar-SA"/>
      </w:rPr>
    </w:lvl>
    <w:lvl w:ilvl="7" w:tplc="C7EADFD4">
      <w:numFmt w:val="bullet"/>
      <w:lvlText w:val="•"/>
      <w:lvlJc w:val="left"/>
      <w:pPr>
        <w:ind w:left="5087" w:hanging="188"/>
      </w:pPr>
      <w:rPr>
        <w:rFonts w:hint="default"/>
        <w:lang w:val="en-US" w:eastAsia="en-US" w:bidi="ar-SA"/>
      </w:rPr>
    </w:lvl>
    <w:lvl w:ilvl="8" w:tplc="4AC4B59C">
      <w:numFmt w:val="bullet"/>
      <w:lvlText w:val="•"/>
      <w:lvlJc w:val="left"/>
      <w:pPr>
        <w:ind w:left="5768" w:hanging="188"/>
      </w:pPr>
      <w:rPr>
        <w:rFonts w:hint="default"/>
        <w:lang w:val="en-US" w:eastAsia="en-US" w:bidi="ar-SA"/>
      </w:rPr>
    </w:lvl>
  </w:abstractNum>
  <w:abstractNum w:abstractNumId="70" w15:restartNumberingAfterBreak="0">
    <w:nsid w:val="294A2F0C"/>
    <w:multiLevelType w:val="hybridMultilevel"/>
    <w:tmpl w:val="47B2F510"/>
    <w:lvl w:ilvl="0" w:tplc="EB96A21A">
      <w:start w:val="10"/>
      <w:numFmt w:val="decimal"/>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28EEAB14">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8D8A8314">
      <w:numFmt w:val="bullet"/>
      <w:lvlText w:val=""/>
      <w:lvlJc w:val="left"/>
      <w:pPr>
        <w:ind w:left="2520" w:hanging="360"/>
      </w:pPr>
      <w:rPr>
        <w:rFonts w:ascii="Symbol" w:eastAsia="Symbol" w:hAnsi="Symbol" w:cs="Symbol" w:hint="default"/>
        <w:b w:val="0"/>
        <w:bCs w:val="0"/>
        <w:i w:val="0"/>
        <w:iCs w:val="0"/>
        <w:spacing w:val="0"/>
        <w:w w:val="99"/>
        <w:sz w:val="22"/>
        <w:szCs w:val="22"/>
        <w:lang w:val="en-US" w:eastAsia="en-US" w:bidi="ar-SA"/>
      </w:rPr>
    </w:lvl>
    <w:lvl w:ilvl="3" w:tplc="04FEC50A">
      <w:numFmt w:val="bullet"/>
      <w:lvlText w:val="•"/>
      <w:lvlJc w:val="left"/>
      <w:pPr>
        <w:ind w:left="3510" w:hanging="360"/>
      </w:pPr>
      <w:rPr>
        <w:rFonts w:hint="default"/>
        <w:lang w:val="en-US" w:eastAsia="en-US" w:bidi="ar-SA"/>
      </w:rPr>
    </w:lvl>
    <w:lvl w:ilvl="4" w:tplc="AEFA28AC">
      <w:numFmt w:val="bullet"/>
      <w:lvlText w:val="•"/>
      <w:lvlJc w:val="left"/>
      <w:pPr>
        <w:ind w:left="4500" w:hanging="360"/>
      </w:pPr>
      <w:rPr>
        <w:rFonts w:hint="default"/>
        <w:lang w:val="en-US" w:eastAsia="en-US" w:bidi="ar-SA"/>
      </w:rPr>
    </w:lvl>
    <w:lvl w:ilvl="5" w:tplc="CBC85368">
      <w:numFmt w:val="bullet"/>
      <w:lvlText w:val="•"/>
      <w:lvlJc w:val="left"/>
      <w:pPr>
        <w:ind w:left="5490" w:hanging="360"/>
      </w:pPr>
      <w:rPr>
        <w:rFonts w:hint="default"/>
        <w:lang w:val="en-US" w:eastAsia="en-US" w:bidi="ar-SA"/>
      </w:rPr>
    </w:lvl>
    <w:lvl w:ilvl="6" w:tplc="3C365630">
      <w:numFmt w:val="bullet"/>
      <w:lvlText w:val="•"/>
      <w:lvlJc w:val="left"/>
      <w:pPr>
        <w:ind w:left="6480" w:hanging="360"/>
      </w:pPr>
      <w:rPr>
        <w:rFonts w:hint="default"/>
        <w:lang w:val="en-US" w:eastAsia="en-US" w:bidi="ar-SA"/>
      </w:rPr>
    </w:lvl>
    <w:lvl w:ilvl="7" w:tplc="C6F2C0D0">
      <w:numFmt w:val="bullet"/>
      <w:lvlText w:val="•"/>
      <w:lvlJc w:val="left"/>
      <w:pPr>
        <w:ind w:left="7470" w:hanging="360"/>
      </w:pPr>
      <w:rPr>
        <w:rFonts w:hint="default"/>
        <w:lang w:val="en-US" w:eastAsia="en-US" w:bidi="ar-SA"/>
      </w:rPr>
    </w:lvl>
    <w:lvl w:ilvl="8" w:tplc="8BDCEB3E">
      <w:numFmt w:val="bullet"/>
      <w:lvlText w:val="•"/>
      <w:lvlJc w:val="left"/>
      <w:pPr>
        <w:ind w:left="8460" w:hanging="360"/>
      </w:pPr>
      <w:rPr>
        <w:rFonts w:hint="default"/>
        <w:lang w:val="en-US" w:eastAsia="en-US" w:bidi="ar-SA"/>
      </w:rPr>
    </w:lvl>
  </w:abstractNum>
  <w:abstractNum w:abstractNumId="71" w15:restartNumberingAfterBreak="0">
    <w:nsid w:val="2B010F83"/>
    <w:multiLevelType w:val="hybridMultilevel"/>
    <w:tmpl w:val="798EBB46"/>
    <w:lvl w:ilvl="0" w:tplc="08C6D0F6">
      <w:numFmt w:val="bullet"/>
      <w:lvlText w:val=""/>
      <w:lvlJc w:val="left"/>
      <w:pPr>
        <w:ind w:left="2159" w:hanging="360"/>
      </w:pPr>
      <w:rPr>
        <w:rFonts w:ascii="Symbol" w:eastAsia="Symbol" w:hAnsi="Symbol" w:cs="Symbol" w:hint="default"/>
        <w:b w:val="0"/>
        <w:bCs w:val="0"/>
        <w:i w:val="0"/>
        <w:iCs w:val="0"/>
        <w:spacing w:val="0"/>
        <w:w w:val="99"/>
        <w:sz w:val="22"/>
        <w:szCs w:val="22"/>
        <w:lang w:val="en-US" w:eastAsia="en-US" w:bidi="ar-SA"/>
      </w:rPr>
    </w:lvl>
    <w:lvl w:ilvl="1" w:tplc="EEBC5BB8">
      <w:numFmt w:val="bullet"/>
      <w:lvlText w:val="•"/>
      <w:lvlJc w:val="left"/>
      <w:pPr>
        <w:ind w:left="2988" w:hanging="360"/>
      </w:pPr>
      <w:rPr>
        <w:rFonts w:hint="default"/>
        <w:lang w:val="en-US" w:eastAsia="en-US" w:bidi="ar-SA"/>
      </w:rPr>
    </w:lvl>
    <w:lvl w:ilvl="2" w:tplc="14ECFD20">
      <w:numFmt w:val="bullet"/>
      <w:lvlText w:val="•"/>
      <w:lvlJc w:val="left"/>
      <w:pPr>
        <w:ind w:left="3816" w:hanging="360"/>
      </w:pPr>
      <w:rPr>
        <w:rFonts w:hint="default"/>
        <w:lang w:val="en-US" w:eastAsia="en-US" w:bidi="ar-SA"/>
      </w:rPr>
    </w:lvl>
    <w:lvl w:ilvl="3" w:tplc="54A2351A">
      <w:numFmt w:val="bullet"/>
      <w:lvlText w:val="•"/>
      <w:lvlJc w:val="left"/>
      <w:pPr>
        <w:ind w:left="4644" w:hanging="360"/>
      </w:pPr>
      <w:rPr>
        <w:rFonts w:hint="default"/>
        <w:lang w:val="en-US" w:eastAsia="en-US" w:bidi="ar-SA"/>
      </w:rPr>
    </w:lvl>
    <w:lvl w:ilvl="4" w:tplc="8A624612">
      <w:numFmt w:val="bullet"/>
      <w:lvlText w:val="•"/>
      <w:lvlJc w:val="left"/>
      <w:pPr>
        <w:ind w:left="5472" w:hanging="360"/>
      </w:pPr>
      <w:rPr>
        <w:rFonts w:hint="default"/>
        <w:lang w:val="en-US" w:eastAsia="en-US" w:bidi="ar-SA"/>
      </w:rPr>
    </w:lvl>
    <w:lvl w:ilvl="5" w:tplc="8A10FE00">
      <w:numFmt w:val="bullet"/>
      <w:lvlText w:val="•"/>
      <w:lvlJc w:val="left"/>
      <w:pPr>
        <w:ind w:left="6300" w:hanging="360"/>
      </w:pPr>
      <w:rPr>
        <w:rFonts w:hint="default"/>
        <w:lang w:val="en-US" w:eastAsia="en-US" w:bidi="ar-SA"/>
      </w:rPr>
    </w:lvl>
    <w:lvl w:ilvl="6" w:tplc="DF708B00">
      <w:numFmt w:val="bullet"/>
      <w:lvlText w:val="•"/>
      <w:lvlJc w:val="left"/>
      <w:pPr>
        <w:ind w:left="7128" w:hanging="360"/>
      </w:pPr>
      <w:rPr>
        <w:rFonts w:hint="default"/>
        <w:lang w:val="en-US" w:eastAsia="en-US" w:bidi="ar-SA"/>
      </w:rPr>
    </w:lvl>
    <w:lvl w:ilvl="7" w:tplc="F7E4B1E6">
      <w:numFmt w:val="bullet"/>
      <w:lvlText w:val="•"/>
      <w:lvlJc w:val="left"/>
      <w:pPr>
        <w:ind w:left="7956" w:hanging="360"/>
      </w:pPr>
      <w:rPr>
        <w:rFonts w:hint="default"/>
        <w:lang w:val="en-US" w:eastAsia="en-US" w:bidi="ar-SA"/>
      </w:rPr>
    </w:lvl>
    <w:lvl w:ilvl="8" w:tplc="30C2F71E">
      <w:numFmt w:val="bullet"/>
      <w:lvlText w:val="•"/>
      <w:lvlJc w:val="left"/>
      <w:pPr>
        <w:ind w:left="8784" w:hanging="360"/>
      </w:pPr>
      <w:rPr>
        <w:rFonts w:hint="default"/>
        <w:lang w:val="en-US" w:eastAsia="en-US" w:bidi="ar-SA"/>
      </w:rPr>
    </w:lvl>
  </w:abstractNum>
  <w:abstractNum w:abstractNumId="72" w15:restartNumberingAfterBreak="0">
    <w:nsid w:val="2CFE4356"/>
    <w:multiLevelType w:val="hybridMultilevel"/>
    <w:tmpl w:val="1E90D808"/>
    <w:lvl w:ilvl="0" w:tplc="332ED126">
      <w:start w:val="1"/>
      <w:numFmt w:val="lowerLetter"/>
      <w:lvlText w:val="%1."/>
      <w:lvlJc w:val="left"/>
      <w:pPr>
        <w:ind w:left="1334" w:hanging="390"/>
        <w:jc w:val="left"/>
      </w:pPr>
      <w:rPr>
        <w:rFonts w:ascii="Arial" w:eastAsia="Arial" w:hAnsi="Arial" w:cs="Arial" w:hint="default"/>
        <w:b w:val="0"/>
        <w:bCs w:val="0"/>
        <w:i w:val="0"/>
        <w:iCs w:val="0"/>
        <w:spacing w:val="0"/>
        <w:w w:val="99"/>
        <w:sz w:val="22"/>
        <w:szCs w:val="22"/>
        <w:lang w:val="en-US" w:eastAsia="en-US" w:bidi="ar-SA"/>
      </w:rPr>
    </w:lvl>
    <w:lvl w:ilvl="1" w:tplc="23E21A44">
      <w:numFmt w:val="bullet"/>
      <w:lvlText w:val=""/>
      <w:lvlJc w:val="left"/>
      <w:pPr>
        <w:ind w:left="1693" w:hanging="362"/>
      </w:pPr>
      <w:rPr>
        <w:rFonts w:ascii="Symbol" w:eastAsia="Symbol" w:hAnsi="Symbol" w:cs="Symbol" w:hint="default"/>
        <w:b w:val="0"/>
        <w:bCs w:val="0"/>
        <w:i w:val="0"/>
        <w:iCs w:val="0"/>
        <w:spacing w:val="0"/>
        <w:w w:val="99"/>
        <w:sz w:val="22"/>
        <w:szCs w:val="22"/>
        <w:lang w:val="en-US" w:eastAsia="en-US" w:bidi="ar-SA"/>
      </w:rPr>
    </w:lvl>
    <w:lvl w:ilvl="2" w:tplc="F5626514">
      <w:numFmt w:val="bullet"/>
      <w:lvlText w:val="•"/>
      <w:lvlJc w:val="left"/>
      <w:pPr>
        <w:ind w:left="2327" w:hanging="362"/>
      </w:pPr>
      <w:rPr>
        <w:rFonts w:hint="default"/>
        <w:lang w:val="en-US" w:eastAsia="en-US" w:bidi="ar-SA"/>
      </w:rPr>
    </w:lvl>
    <w:lvl w:ilvl="3" w:tplc="09347642">
      <w:numFmt w:val="bullet"/>
      <w:lvlText w:val="•"/>
      <w:lvlJc w:val="left"/>
      <w:pPr>
        <w:ind w:left="2955" w:hanging="362"/>
      </w:pPr>
      <w:rPr>
        <w:rFonts w:hint="default"/>
        <w:lang w:val="en-US" w:eastAsia="en-US" w:bidi="ar-SA"/>
      </w:rPr>
    </w:lvl>
    <w:lvl w:ilvl="4" w:tplc="5CE06EA4">
      <w:numFmt w:val="bullet"/>
      <w:lvlText w:val="•"/>
      <w:lvlJc w:val="left"/>
      <w:pPr>
        <w:ind w:left="3583" w:hanging="362"/>
      </w:pPr>
      <w:rPr>
        <w:rFonts w:hint="default"/>
        <w:lang w:val="en-US" w:eastAsia="en-US" w:bidi="ar-SA"/>
      </w:rPr>
    </w:lvl>
    <w:lvl w:ilvl="5" w:tplc="1ED42500">
      <w:numFmt w:val="bullet"/>
      <w:lvlText w:val="•"/>
      <w:lvlJc w:val="left"/>
      <w:pPr>
        <w:ind w:left="4211" w:hanging="362"/>
      </w:pPr>
      <w:rPr>
        <w:rFonts w:hint="default"/>
        <w:lang w:val="en-US" w:eastAsia="en-US" w:bidi="ar-SA"/>
      </w:rPr>
    </w:lvl>
    <w:lvl w:ilvl="6" w:tplc="DBF025D8">
      <w:numFmt w:val="bullet"/>
      <w:lvlText w:val="•"/>
      <w:lvlJc w:val="left"/>
      <w:pPr>
        <w:ind w:left="4838" w:hanging="362"/>
      </w:pPr>
      <w:rPr>
        <w:rFonts w:hint="default"/>
        <w:lang w:val="en-US" w:eastAsia="en-US" w:bidi="ar-SA"/>
      </w:rPr>
    </w:lvl>
    <w:lvl w:ilvl="7" w:tplc="3238EF74">
      <w:numFmt w:val="bullet"/>
      <w:lvlText w:val="•"/>
      <w:lvlJc w:val="left"/>
      <w:pPr>
        <w:ind w:left="5466" w:hanging="362"/>
      </w:pPr>
      <w:rPr>
        <w:rFonts w:hint="default"/>
        <w:lang w:val="en-US" w:eastAsia="en-US" w:bidi="ar-SA"/>
      </w:rPr>
    </w:lvl>
    <w:lvl w:ilvl="8" w:tplc="E49CB012">
      <w:numFmt w:val="bullet"/>
      <w:lvlText w:val="•"/>
      <w:lvlJc w:val="left"/>
      <w:pPr>
        <w:ind w:left="6094" w:hanging="362"/>
      </w:pPr>
      <w:rPr>
        <w:rFonts w:hint="default"/>
        <w:lang w:val="en-US" w:eastAsia="en-US" w:bidi="ar-SA"/>
      </w:rPr>
    </w:lvl>
  </w:abstractNum>
  <w:abstractNum w:abstractNumId="73" w15:restartNumberingAfterBreak="0">
    <w:nsid w:val="2D152A40"/>
    <w:multiLevelType w:val="hybridMultilevel"/>
    <w:tmpl w:val="29D06B02"/>
    <w:lvl w:ilvl="0" w:tplc="8B0CD640">
      <w:start w:val="19"/>
      <w:numFmt w:val="lowerLetter"/>
      <w:lvlText w:val="%1."/>
      <w:lvlJc w:val="left"/>
      <w:pPr>
        <w:ind w:left="1203" w:hanging="360"/>
        <w:jc w:val="left"/>
      </w:pPr>
      <w:rPr>
        <w:rFonts w:ascii="Arial" w:eastAsia="Arial" w:hAnsi="Arial" w:cs="Arial" w:hint="default"/>
        <w:b w:val="0"/>
        <w:bCs w:val="0"/>
        <w:i w:val="0"/>
        <w:iCs w:val="0"/>
        <w:spacing w:val="0"/>
        <w:w w:val="99"/>
        <w:sz w:val="22"/>
        <w:szCs w:val="22"/>
        <w:lang w:val="en-US" w:eastAsia="en-US" w:bidi="ar-SA"/>
      </w:rPr>
    </w:lvl>
    <w:lvl w:ilvl="1" w:tplc="10004B46">
      <w:numFmt w:val="bullet"/>
      <w:lvlText w:val=""/>
      <w:lvlJc w:val="left"/>
      <w:pPr>
        <w:ind w:left="1520" w:hanging="274"/>
      </w:pPr>
      <w:rPr>
        <w:rFonts w:ascii="Symbol" w:eastAsia="Symbol" w:hAnsi="Symbol" w:cs="Symbol" w:hint="default"/>
        <w:spacing w:val="0"/>
        <w:w w:val="99"/>
        <w:lang w:val="en-US" w:eastAsia="en-US" w:bidi="ar-SA"/>
      </w:rPr>
    </w:lvl>
    <w:lvl w:ilvl="2" w:tplc="197E683C">
      <w:numFmt w:val="bullet"/>
      <w:lvlText w:val="•"/>
      <w:lvlJc w:val="left"/>
      <w:pPr>
        <w:ind w:left="2167" w:hanging="274"/>
      </w:pPr>
      <w:rPr>
        <w:rFonts w:hint="default"/>
        <w:lang w:val="en-US" w:eastAsia="en-US" w:bidi="ar-SA"/>
      </w:rPr>
    </w:lvl>
    <w:lvl w:ilvl="3" w:tplc="6486E394">
      <w:numFmt w:val="bullet"/>
      <w:lvlText w:val="•"/>
      <w:lvlJc w:val="left"/>
      <w:pPr>
        <w:ind w:left="2815" w:hanging="274"/>
      </w:pPr>
      <w:rPr>
        <w:rFonts w:hint="default"/>
        <w:lang w:val="en-US" w:eastAsia="en-US" w:bidi="ar-SA"/>
      </w:rPr>
    </w:lvl>
    <w:lvl w:ilvl="4" w:tplc="20C0BC88">
      <w:numFmt w:val="bullet"/>
      <w:lvlText w:val="•"/>
      <w:lvlJc w:val="left"/>
      <w:pPr>
        <w:ind w:left="3463" w:hanging="274"/>
      </w:pPr>
      <w:rPr>
        <w:rFonts w:hint="default"/>
        <w:lang w:val="en-US" w:eastAsia="en-US" w:bidi="ar-SA"/>
      </w:rPr>
    </w:lvl>
    <w:lvl w:ilvl="5" w:tplc="2E503CE8">
      <w:numFmt w:val="bullet"/>
      <w:lvlText w:val="•"/>
      <w:lvlJc w:val="left"/>
      <w:pPr>
        <w:ind w:left="4111" w:hanging="274"/>
      </w:pPr>
      <w:rPr>
        <w:rFonts w:hint="default"/>
        <w:lang w:val="en-US" w:eastAsia="en-US" w:bidi="ar-SA"/>
      </w:rPr>
    </w:lvl>
    <w:lvl w:ilvl="6" w:tplc="0F2C7D0C">
      <w:numFmt w:val="bullet"/>
      <w:lvlText w:val="•"/>
      <w:lvlJc w:val="left"/>
      <w:pPr>
        <w:ind w:left="4758" w:hanging="274"/>
      </w:pPr>
      <w:rPr>
        <w:rFonts w:hint="default"/>
        <w:lang w:val="en-US" w:eastAsia="en-US" w:bidi="ar-SA"/>
      </w:rPr>
    </w:lvl>
    <w:lvl w:ilvl="7" w:tplc="94EEFE00">
      <w:numFmt w:val="bullet"/>
      <w:lvlText w:val="•"/>
      <w:lvlJc w:val="left"/>
      <w:pPr>
        <w:ind w:left="5406" w:hanging="274"/>
      </w:pPr>
      <w:rPr>
        <w:rFonts w:hint="default"/>
        <w:lang w:val="en-US" w:eastAsia="en-US" w:bidi="ar-SA"/>
      </w:rPr>
    </w:lvl>
    <w:lvl w:ilvl="8" w:tplc="D3C271BA">
      <w:numFmt w:val="bullet"/>
      <w:lvlText w:val="•"/>
      <w:lvlJc w:val="left"/>
      <w:pPr>
        <w:ind w:left="6054" w:hanging="274"/>
      </w:pPr>
      <w:rPr>
        <w:rFonts w:hint="default"/>
        <w:lang w:val="en-US" w:eastAsia="en-US" w:bidi="ar-SA"/>
      </w:rPr>
    </w:lvl>
  </w:abstractNum>
  <w:abstractNum w:abstractNumId="74" w15:restartNumberingAfterBreak="0">
    <w:nsid w:val="2ED60DDB"/>
    <w:multiLevelType w:val="hybridMultilevel"/>
    <w:tmpl w:val="674643B0"/>
    <w:lvl w:ilvl="0" w:tplc="24E0E6D4">
      <w:start w:val="1"/>
      <w:numFmt w:val="lowerLetter"/>
      <w:lvlText w:val="%1."/>
      <w:lvlJc w:val="left"/>
      <w:pPr>
        <w:ind w:left="1203" w:hanging="360"/>
        <w:jc w:val="left"/>
      </w:pPr>
      <w:rPr>
        <w:rFonts w:ascii="Arial" w:eastAsia="Arial" w:hAnsi="Arial" w:cs="Arial" w:hint="default"/>
        <w:b w:val="0"/>
        <w:bCs w:val="0"/>
        <w:i w:val="0"/>
        <w:iCs w:val="0"/>
        <w:spacing w:val="0"/>
        <w:w w:val="99"/>
        <w:sz w:val="22"/>
        <w:szCs w:val="22"/>
        <w:lang w:val="en-US" w:eastAsia="en-US" w:bidi="ar-SA"/>
      </w:rPr>
    </w:lvl>
    <w:lvl w:ilvl="1" w:tplc="F5F69470">
      <w:numFmt w:val="bullet"/>
      <w:lvlText w:val=""/>
      <w:lvlJc w:val="left"/>
      <w:pPr>
        <w:ind w:left="1520" w:hanging="274"/>
      </w:pPr>
      <w:rPr>
        <w:rFonts w:ascii="Symbol" w:eastAsia="Symbol" w:hAnsi="Symbol" w:cs="Symbol" w:hint="default"/>
        <w:b w:val="0"/>
        <w:bCs w:val="0"/>
        <w:i w:val="0"/>
        <w:iCs w:val="0"/>
        <w:spacing w:val="0"/>
        <w:w w:val="99"/>
        <w:sz w:val="22"/>
        <w:szCs w:val="22"/>
        <w:lang w:val="en-US" w:eastAsia="en-US" w:bidi="ar-SA"/>
      </w:rPr>
    </w:lvl>
    <w:lvl w:ilvl="2" w:tplc="F6001348">
      <w:numFmt w:val="bullet"/>
      <w:lvlText w:val="•"/>
      <w:lvlJc w:val="left"/>
      <w:pPr>
        <w:ind w:left="2167" w:hanging="274"/>
      </w:pPr>
      <w:rPr>
        <w:rFonts w:hint="default"/>
        <w:lang w:val="en-US" w:eastAsia="en-US" w:bidi="ar-SA"/>
      </w:rPr>
    </w:lvl>
    <w:lvl w:ilvl="3" w:tplc="024ED278">
      <w:numFmt w:val="bullet"/>
      <w:lvlText w:val="•"/>
      <w:lvlJc w:val="left"/>
      <w:pPr>
        <w:ind w:left="2815" w:hanging="274"/>
      </w:pPr>
      <w:rPr>
        <w:rFonts w:hint="default"/>
        <w:lang w:val="en-US" w:eastAsia="en-US" w:bidi="ar-SA"/>
      </w:rPr>
    </w:lvl>
    <w:lvl w:ilvl="4" w:tplc="CF6E37EE">
      <w:numFmt w:val="bullet"/>
      <w:lvlText w:val="•"/>
      <w:lvlJc w:val="left"/>
      <w:pPr>
        <w:ind w:left="3463" w:hanging="274"/>
      </w:pPr>
      <w:rPr>
        <w:rFonts w:hint="default"/>
        <w:lang w:val="en-US" w:eastAsia="en-US" w:bidi="ar-SA"/>
      </w:rPr>
    </w:lvl>
    <w:lvl w:ilvl="5" w:tplc="F48A083E">
      <w:numFmt w:val="bullet"/>
      <w:lvlText w:val="•"/>
      <w:lvlJc w:val="left"/>
      <w:pPr>
        <w:ind w:left="4111" w:hanging="274"/>
      </w:pPr>
      <w:rPr>
        <w:rFonts w:hint="default"/>
        <w:lang w:val="en-US" w:eastAsia="en-US" w:bidi="ar-SA"/>
      </w:rPr>
    </w:lvl>
    <w:lvl w:ilvl="6" w:tplc="96BE84C4">
      <w:numFmt w:val="bullet"/>
      <w:lvlText w:val="•"/>
      <w:lvlJc w:val="left"/>
      <w:pPr>
        <w:ind w:left="4758" w:hanging="274"/>
      </w:pPr>
      <w:rPr>
        <w:rFonts w:hint="default"/>
        <w:lang w:val="en-US" w:eastAsia="en-US" w:bidi="ar-SA"/>
      </w:rPr>
    </w:lvl>
    <w:lvl w:ilvl="7" w:tplc="B6A20E3A">
      <w:numFmt w:val="bullet"/>
      <w:lvlText w:val="•"/>
      <w:lvlJc w:val="left"/>
      <w:pPr>
        <w:ind w:left="5406" w:hanging="274"/>
      </w:pPr>
      <w:rPr>
        <w:rFonts w:hint="default"/>
        <w:lang w:val="en-US" w:eastAsia="en-US" w:bidi="ar-SA"/>
      </w:rPr>
    </w:lvl>
    <w:lvl w:ilvl="8" w:tplc="4D54F576">
      <w:numFmt w:val="bullet"/>
      <w:lvlText w:val="•"/>
      <w:lvlJc w:val="left"/>
      <w:pPr>
        <w:ind w:left="6054" w:hanging="274"/>
      </w:pPr>
      <w:rPr>
        <w:rFonts w:hint="default"/>
        <w:lang w:val="en-US" w:eastAsia="en-US" w:bidi="ar-SA"/>
      </w:rPr>
    </w:lvl>
  </w:abstractNum>
  <w:abstractNum w:abstractNumId="75" w15:restartNumberingAfterBreak="0">
    <w:nsid w:val="2EF34AAC"/>
    <w:multiLevelType w:val="hybridMultilevel"/>
    <w:tmpl w:val="DBB674A2"/>
    <w:lvl w:ilvl="0" w:tplc="05503430">
      <w:start w:val="4"/>
      <w:numFmt w:val="decimal"/>
      <w:lvlText w:val="%1)"/>
      <w:lvlJc w:val="left"/>
      <w:pPr>
        <w:ind w:left="711" w:hanging="577"/>
        <w:jc w:val="left"/>
      </w:pPr>
      <w:rPr>
        <w:rFonts w:ascii="Arial" w:eastAsia="Arial" w:hAnsi="Arial" w:cs="Arial" w:hint="default"/>
        <w:b w:val="0"/>
        <w:bCs w:val="0"/>
        <w:i w:val="0"/>
        <w:iCs w:val="0"/>
        <w:spacing w:val="0"/>
        <w:w w:val="99"/>
        <w:sz w:val="22"/>
        <w:szCs w:val="22"/>
        <w:lang w:val="en-US" w:eastAsia="en-US" w:bidi="ar-SA"/>
      </w:rPr>
    </w:lvl>
    <w:lvl w:ilvl="1" w:tplc="69F8C72C">
      <w:start w:val="1"/>
      <w:numFmt w:val="lowerLetter"/>
      <w:lvlText w:val="%2)"/>
      <w:lvlJc w:val="left"/>
      <w:pPr>
        <w:ind w:left="1287" w:hanging="577"/>
        <w:jc w:val="left"/>
      </w:pPr>
      <w:rPr>
        <w:rFonts w:ascii="Arial" w:eastAsia="Arial" w:hAnsi="Arial" w:cs="Arial" w:hint="default"/>
        <w:b w:val="0"/>
        <w:bCs w:val="0"/>
        <w:i w:val="0"/>
        <w:iCs w:val="0"/>
        <w:spacing w:val="0"/>
        <w:w w:val="99"/>
        <w:sz w:val="22"/>
        <w:szCs w:val="22"/>
        <w:lang w:val="en-US" w:eastAsia="en-US" w:bidi="ar-SA"/>
      </w:rPr>
    </w:lvl>
    <w:lvl w:ilvl="2" w:tplc="766EB514">
      <w:numFmt w:val="bullet"/>
      <w:lvlText w:val="•"/>
      <w:lvlJc w:val="left"/>
      <w:pPr>
        <w:ind w:left="1915" w:hanging="577"/>
      </w:pPr>
      <w:rPr>
        <w:rFonts w:hint="default"/>
        <w:lang w:val="en-US" w:eastAsia="en-US" w:bidi="ar-SA"/>
      </w:rPr>
    </w:lvl>
    <w:lvl w:ilvl="3" w:tplc="536EFFB0">
      <w:numFmt w:val="bullet"/>
      <w:lvlText w:val="•"/>
      <w:lvlJc w:val="left"/>
      <w:pPr>
        <w:ind w:left="2550" w:hanging="577"/>
      </w:pPr>
      <w:rPr>
        <w:rFonts w:hint="default"/>
        <w:lang w:val="en-US" w:eastAsia="en-US" w:bidi="ar-SA"/>
      </w:rPr>
    </w:lvl>
    <w:lvl w:ilvl="4" w:tplc="8A9035EA">
      <w:numFmt w:val="bullet"/>
      <w:lvlText w:val="•"/>
      <w:lvlJc w:val="left"/>
      <w:pPr>
        <w:ind w:left="3185" w:hanging="577"/>
      </w:pPr>
      <w:rPr>
        <w:rFonts w:hint="default"/>
        <w:lang w:val="en-US" w:eastAsia="en-US" w:bidi="ar-SA"/>
      </w:rPr>
    </w:lvl>
    <w:lvl w:ilvl="5" w:tplc="A0F42B04">
      <w:numFmt w:val="bullet"/>
      <w:lvlText w:val="•"/>
      <w:lvlJc w:val="left"/>
      <w:pPr>
        <w:ind w:left="3820" w:hanging="577"/>
      </w:pPr>
      <w:rPr>
        <w:rFonts w:hint="default"/>
        <w:lang w:val="en-US" w:eastAsia="en-US" w:bidi="ar-SA"/>
      </w:rPr>
    </w:lvl>
    <w:lvl w:ilvl="6" w:tplc="BE18293E">
      <w:numFmt w:val="bullet"/>
      <w:lvlText w:val="•"/>
      <w:lvlJc w:val="left"/>
      <w:pPr>
        <w:ind w:left="4455" w:hanging="577"/>
      </w:pPr>
      <w:rPr>
        <w:rFonts w:hint="default"/>
        <w:lang w:val="en-US" w:eastAsia="en-US" w:bidi="ar-SA"/>
      </w:rPr>
    </w:lvl>
    <w:lvl w:ilvl="7" w:tplc="9DA8A56E">
      <w:numFmt w:val="bullet"/>
      <w:lvlText w:val="•"/>
      <w:lvlJc w:val="left"/>
      <w:pPr>
        <w:ind w:left="5090" w:hanging="577"/>
      </w:pPr>
      <w:rPr>
        <w:rFonts w:hint="default"/>
        <w:lang w:val="en-US" w:eastAsia="en-US" w:bidi="ar-SA"/>
      </w:rPr>
    </w:lvl>
    <w:lvl w:ilvl="8" w:tplc="1E9CAD66">
      <w:numFmt w:val="bullet"/>
      <w:lvlText w:val="•"/>
      <w:lvlJc w:val="left"/>
      <w:pPr>
        <w:ind w:left="5725" w:hanging="577"/>
      </w:pPr>
      <w:rPr>
        <w:rFonts w:hint="default"/>
        <w:lang w:val="en-US" w:eastAsia="en-US" w:bidi="ar-SA"/>
      </w:rPr>
    </w:lvl>
  </w:abstractNum>
  <w:abstractNum w:abstractNumId="76" w15:restartNumberingAfterBreak="0">
    <w:nsid w:val="30073161"/>
    <w:multiLevelType w:val="hybridMultilevel"/>
    <w:tmpl w:val="03E6C9E2"/>
    <w:lvl w:ilvl="0" w:tplc="791CAB18">
      <w:start w:val="5"/>
      <w:numFmt w:val="decimal"/>
      <w:lvlText w:val="%1."/>
      <w:lvlJc w:val="left"/>
      <w:pPr>
        <w:ind w:left="561" w:hanging="432"/>
        <w:jc w:val="left"/>
      </w:pPr>
      <w:rPr>
        <w:rFonts w:ascii="Arial" w:eastAsia="Arial" w:hAnsi="Arial" w:cs="Arial" w:hint="default"/>
        <w:b w:val="0"/>
        <w:bCs w:val="0"/>
        <w:i w:val="0"/>
        <w:iCs w:val="0"/>
        <w:spacing w:val="0"/>
        <w:w w:val="99"/>
        <w:sz w:val="22"/>
        <w:szCs w:val="22"/>
        <w:lang w:val="en-US" w:eastAsia="en-US" w:bidi="ar-SA"/>
      </w:rPr>
    </w:lvl>
    <w:lvl w:ilvl="1" w:tplc="618CBA4C">
      <w:start w:val="1"/>
      <w:numFmt w:val="lowerLetter"/>
      <w:lvlText w:val="(%2)"/>
      <w:lvlJc w:val="left"/>
      <w:pPr>
        <w:ind w:left="1064" w:hanging="481"/>
        <w:jc w:val="left"/>
      </w:pPr>
      <w:rPr>
        <w:rFonts w:ascii="Arial" w:eastAsia="Arial" w:hAnsi="Arial" w:cs="Arial" w:hint="default"/>
        <w:b w:val="0"/>
        <w:bCs w:val="0"/>
        <w:i w:val="0"/>
        <w:iCs w:val="0"/>
        <w:spacing w:val="-1"/>
        <w:w w:val="99"/>
        <w:sz w:val="22"/>
        <w:szCs w:val="22"/>
        <w:lang w:val="en-US" w:eastAsia="en-US" w:bidi="ar-SA"/>
      </w:rPr>
    </w:lvl>
    <w:lvl w:ilvl="2" w:tplc="9D04113A">
      <w:numFmt w:val="bullet"/>
      <w:lvlText w:val="•"/>
      <w:lvlJc w:val="left"/>
      <w:pPr>
        <w:ind w:left="1672" w:hanging="481"/>
      </w:pPr>
      <w:rPr>
        <w:rFonts w:hint="default"/>
        <w:lang w:val="en-US" w:eastAsia="en-US" w:bidi="ar-SA"/>
      </w:rPr>
    </w:lvl>
    <w:lvl w:ilvl="3" w:tplc="4C02741C">
      <w:numFmt w:val="bullet"/>
      <w:lvlText w:val="•"/>
      <w:lvlJc w:val="left"/>
      <w:pPr>
        <w:ind w:left="2284" w:hanging="481"/>
      </w:pPr>
      <w:rPr>
        <w:rFonts w:hint="default"/>
        <w:lang w:val="en-US" w:eastAsia="en-US" w:bidi="ar-SA"/>
      </w:rPr>
    </w:lvl>
    <w:lvl w:ilvl="4" w:tplc="EC9CBAC8">
      <w:numFmt w:val="bullet"/>
      <w:lvlText w:val="•"/>
      <w:lvlJc w:val="left"/>
      <w:pPr>
        <w:ind w:left="2896" w:hanging="481"/>
      </w:pPr>
      <w:rPr>
        <w:rFonts w:hint="default"/>
        <w:lang w:val="en-US" w:eastAsia="en-US" w:bidi="ar-SA"/>
      </w:rPr>
    </w:lvl>
    <w:lvl w:ilvl="5" w:tplc="0F626F42">
      <w:numFmt w:val="bullet"/>
      <w:lvlText w:val="•"/>
      <w:lvlJc w:val="left"/>
      <w:pPr>
        <w:ind w:left="3508" w:hanging="481"/>
      </w:pPr>
      <w:rPr>
        <w:rFonts w:hint="default"/>
        <w:lang w:val="en-US" w:eastAsia="en-US" w:bidi="ar-SA"/>
      </w:rPr>
    </w:lvl>
    <w:lvl w:ilvl="6" w:tplc="C840FAB4">
      <w:numFmt w:val="bullet"/>
      <w:lvlText w:val="•"/>
      <w:lvlJc w:val="left"/>
      <w:pPr>
        <w:ind w:left="4121" w:hanging="481"/>
      </w:pPr>
      <w:rPr>
        <w:rFonts w:hint="default"/>
        <w:lang w:val="en-US" w:eastAsia="en-US" w:bidi="ar-SA"/>
      </w:rPr>
    </w:lvl>
    <w:lvl w:ilvl="7" w:tplc="74624DEC">
      <w:numFmt w:val="bullet"/>
      <w:lvlText w:val="•"/>
      <w:lvlJc w:val="left"/>
      <w:pPr>
        <w:ind w:left="4733" w:hanging="481"/>
      </w:pPr>
      <w:rPr>
        <w:rFonts w:hint="default"/>
        <w:lang w:val="en-US" w:eastAsia="en-US" w:bidi="ar-SA"/>
      </w:rPr>
    </w:lvl>
    <w:lvl w:ilvl="8" w:tplc="BA32C8C6">
      <w:numFmt w:val="bullet"/>
      <w:lvlText w:val="•"/>
      <w:lvlJc w:val="left"/>
      <w:pPr>
        <w:ind w:left="5345" w:hanging="481"/>
      </w:pPr>
      <w:rPr>
        <w:rFonts w:hint="default"/>
        <w:lang w:val="en-US" w:eastAsia="en-US" w:bidi="ar-SA"/>
      </w:rPr>
    </w:lvl>
  </w:abstractNum>
  <w:abstractNum w:abstractNumId="77" w15:restartNumberingAfterBreak="0">
    <w:nsid w:val="30567F8A"/>
    <w:multiLevelType w:val="hybridMultilevel"/>
    <w:tmpl w:val="655E60B8"/>
    <w:lvl w:ilvl="0" w:tplc="EB12BAEE">
      <w:start w:val="1"/>
      <w:numFmt w:val="lowerLetter"/>
      <w:lvlText w:val="%1."/>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1" w:tplc="EAFED972">
      <w:numFmt w:val="bullet"/>
      <w:lvlText w:val="•"/>
      <w:lvlJc w:val="left"/>
      <w:pPr>
        <w:ind w:left="2988" w:hanging="360"/>
      </w:pPr>
      <w:rPr>
        <w:rFonts w:hint="default"/>
        <w:lang w:val="en-US" w:eastAsia="en-US" w:bidi="ar-SA"/>
      </w:rPr>
    </w:lvl>
    <w:lvl w:ilvl="2" w:tplc="77521CFC">
      <w:numFmt w:val="bullet"/>
      <w:lvlText w:val="•"/>
      <w:lvlJc w:val="left"/>
      <w:pPr>
        <w:ind w:left="3816" w:hanging="360"/>
      </w:pPr>
      <w:rPr>
        <w:rFonts w:hint="default"/>
        <w:lang w:val="en-US" w:eastAsia="en-US" w:bidi="ar-SA"/>
      </w:rPr>
    </w:lvl>
    <w:lvl w:ilvl="3" w:tplc="423AFDC2">
      <w:numFmt w:val="bullet"/>
      <w:lvlText w:val="•"/>
      <w:lvlJc w:val="left"/>
      <w:pPr>
        <w:ind w:left="4644" w:hanging="360"/>
      </w:pPr>
      <w:rPr>
        <w:rFonts w:hint="default"/>
        <w:lang w:val="en-US" w:eastAsia="en-US" w:bidi="ar-SA"/>
      </w:rPr>
    </w:lvl>
    <w:lvl w:ilvl="4" w:tplc="C3A0869C">
      <w:numFmt w:val="bullet"/>
      <w:lvlText w:val="•"/>
      <w:lvlJc w:val="left"/>
      <w:pPr>
        <w:ind w:left="5472" w:hanging="360"/>
      </w:pPr>
      <w:rPr>
        <w:rFonts w:hint="default"/>
        <w:lang w:val="en-US" w:eastAsia="en-US" w:bidi="ar-SA"/>
      </w:rPr>
    </w:lvl>
    <w:lvl w:ilvl="5" w:tplc="AD8C7588">
      <w:numFmt w:val="bullet"/>
      <w:lvlText w:val="•"/>
      <w:lvlJc w:val="left"/>
      <w:pPr>
        <w:ind w:left="6300" w:hanging="360"/>
      </w:pPr>
      <w:rPr>
        <w:rFonts w:hint="default"/>
        <w:lang w:val="en-US" w:eastAsia="en-US" w:bidi="ar-SA"/>
      </w:rPr>
    </w:lvl>
    <w:lvl w:ilvl="6" w:tplc="64D248B6">
      <w:numFmt w:val="bullet"/>
      <w:lvlText w:val="•"/>
      <w:lvlJc w:val="left"/>
      <w:pPr>
        <w:ind w:left="7128" w:hanging="360"/>
      </w:pPr>
      <w:rPr>
        <w:rFonts w:hint="default"/>
        <w:lang w:val="en-US" w:eastAsia="en-US" w:bidi="ar-SA"/>
      </w:rPr>
    </w:lvl>
    <w:lvl w:ilvl="7" w:tplc="C1A69498">
      <w:numFmt w:val="bullet"/>
      <w:lvlText w:val="•"/>
      <w:lvlJc w:val="left"/>
      <w:pPr>
        <w:ind w:left="7956" w:hanging="360"/>
      </w:pPr>
      <w:rPr>
        <w:rFonts w:hint="default"/>
        <w:lang w:val="en-US" w:eastAsia="en-US" w:bidi="ar-SA"/>
      </w:rPr>
    </w:lvl>
    <w:lvl w:ilvl="8" w:tplc="1F766A32">
      <w:numFmt w:val="bullet"/>
      <w:lvlText w:val="•"/>
      <w:lvlJc w:val="left"/>
      <w:pPr>
        <w:ind w:left="8784" w:hanging="360"/>
      </w:pPr>
      <w:rPr>
        <w:rFonts w:hint="default"/>
        <w:lang w:val="en-US" w:eastAsia="en-US" w:bidi="ar-SA"/>
      </w:rPr>
    </w:lvl>
  </w:abstractNum>
  <w:abstractNum w:abstractNumId="78" w15:restartNumberingAfterBreak="0">
    <w:nsid w:val="30A31834"/>
    <w:multiLevelType w:val="hybridMultilevel"/>
    <w:tmpl w:val="693EFA5E"/>
    <w:lvl w:ilvl="0" w:tplc="8DB02DC4">
      <w:start w:val="2"/>
      <w:numFmt w:val="decimal"/>
      <w:lvlText w:val="%1)"/>
      <w:lvlJc w:val="left"/>
      <w:pPr>
        <w:ind w:left="812" w:hanging="504"/>
        <w:jc w:val="left"/>
      </w:pPr>
      <w:rPr>
        <w:rFonts w:ascii="Arial" w:eastAsia="Arial" w:hAnsi="Arial" w:cs="Arial" w:hint="default"/>
        <w:b w:val="0"/>
        <w:bCs w:val="0"/>
        <w:i w:val="0"/>
        <w:iCs w:val="0"/>
        <w:spacing w:val="0"/>
        <w:w w:val="99"/>
        <w:sz w:val="22"/>
        <w:szCs w:val="22"/>
        <w:lang w:val="en-US" w:eastAsia="en-US" w:bidi="ar-SA"/>
      </w:rPr>
    </w:lvl>
    <w:lvl w:ilvl="1" w:tplc="15746296">
      <w:start w:val="1"/>
      <w:numFmt w:val="lowerLetter"/>
      <w:lvlText w:val="%2)"/>
      <w:lvlJc w:val="left"/>
      <w:pPr>
        <w:ind w:left="1298" w:hanging="450"/>
        <w:jc w:val="left"/>
      </w:pPr>
      <w:rPr>
        <w:rFonts w:ascii="Arial" w:eastAsia="Arial" w:hAnsi="Arial" w:cs="Arial" w:hint="default"/>
        <w:b w:val="0"/>
        <w:bCs w:val="0"/>
        <w:i w:val="0"/>
        <w:iCs w:val="0"/>
        <w:spacing w:val="0"/>
        <w:w w:val="99"/>
        <w:sz w:val="22"/>
        <w:szCs w:val="22"/>
        <w:lang w:val="en-US" w:eastAsia="en-US" w:bidi="ar-SA"/>
      </w:rPr>
    </w:lvl>
    <w:lvl w:ilvl="2" w:tplc="8B6E9F4E">
      <w:numFmt w:val="bullet"/>
      <w:lvlText w:val="•"/>
      <w:lvlJc w:val="left"/>
      <w:pPr>
        <w:ind w:left="1896" w:hanging="450"/>
      </w:pPr>
      <w:rPr>
        <w:rFonts w:hint="default"/>
        <w:lang w:val="en-US" w:eastAsia="en-US" w:bidi="ar-SA"/>
      </w:rPr>
    </w:lvl>
    <w:lvl w:ilvl="3" w:tplc="F40E5FB0">
      <w:numFmt w:val="bullet"/>
      <w:lvlText w:val="•"/>
      <w:lvlJc w:val="left"/>
      <w:pPr>
        <w:ind w:left="2493" w:hanging="450"/>
      </w:pPr>
      <w:rPr>
        <w:rFonts w:hint="default"/>
        <w:lang w:val="en-US" w:eastAsia="en-US" w:bidi="ar-SA"/>
      </w:rPr>
    </w:lvl>
    <w:lvl w:ilvl="4" w:tplc="579EE4B6">
      <w:numFmt w:val="bullet"/>
      <w:lvlText w:val="•"/>
      <w:lvlJc w:val="left"/>
      <w:pPr>
        <w:ind w:left="3089" w:hanging="450"/>
      </w:pPr>
      <w:rPr>
        <w:rFonts w:hint="default"/>
        <w:lang w:val="en-US" w:eastAsia="en-US" w:bidi="ar-SA"/>
      </w:rPr>
    </w:lvl>
    <w:lvl w:ilvl="5" w:tplc="B71894C2">
      <w:numFmt w:val="bullet"/>
      <w:lvlText w:val="•"/>
      <w:lvlJc w:val="left"/>
      <w:pPr>
        <w:ind w:left="3686" w:hanging="450"/>
      </w:pPr>
      <w:rPr>
        <w:rFonts w:hint="default"/>
        <w:lang w:val="en-US" w:eastAsia="en-US" w:bidi="ar-SA"/>
      </w:rPr>
    </w:lvl>
    <w:lvl w:ilvl="6" w:tplc="5AE8DAB2">
      <w:numFmt w:val="bullet"/>
      <w:lvlText w:val="•"/>
      <w:lvlJc w:val="left"/>
      <w:pPr>
        <w:ind w:left="4282" w:hanging="450"/>
      </w:pPr>
      <w:rPr>
        <w:rFonts w:hint="default"/>
        <w:lang w:val="en-US" w:eastAsia="en-US" w:bidi="ar-SA"/>
      </w:rPr>
    </w:lvl>
    <w:lvl w:ilvl="7" w:tplc="574681A8">
      <w:numFmt w:val="bullet"/>
      <w:lvlText w:val="•"/>
      <w:lvlJc w:val="left"/>
      <w:pPr>
        <w:ind w:left="4879" w:hanging="450"/>
      </w:pPr>
      <w:rPr>
        <w:rFonts w:hint="default"/>
        <w:lang w:val="en-US" w:eastAsia="en-US" w:bidi="ar-SA"/>
      </w:rPr>
    </w:lvl>
    <w:lvl w:ilvl="8" w:tplc="8836086C">
      <w:numFmt w:val="bullet"/>
      <w:lvlText w:val="•"/>
      <w:lvlJc w:val="left"/>
      <w:pPr>
        <w:ind w:left="5475" w:hanging="450"/>
      </w:pPr>
      <w:rPr>
        <w:rFonts w:hint="default"/>
        <w:lang w:val="en-US" w:eastAsia="en-US" w:bidi="ar-SA"/>
      </w:rPr>
    </w:lvl>
  </w:abstractNum>
  <w:abstractNum w:abstractNumId="79" w15:restartNumberingAfterBreak="0">
    <w:nsid w:val="30E03F1D"/>
    <w:multiLevelType w:val="hybridMultilevel"/>
    <w:tmpl w:val="D92602BA"/>
    <w:lvl w:ilvl="0" w:tplc="02A82666">
      <w:numFmt w:val="bullet"/>
      <w:lvlText w:val=""/>
      <w:lvlJc w:val="left"/>
      <w:pPr>
        <w:ind w:left="2159" w:hanging="360"/>
      </w:pPr>
      <w:rPr>
        <w:rFonts w:ascii="Symbol" w:eastAsia="Symbol" w:hAnsi="Symbol" w:cs="Symbol" w:hint="default"/>
        <w:b w:val="0"/>
        <w:bCs w:val="0"/>
        <w:i w:val="0"/>
        <w:iCs w:val="0"/>
        <w:spacing w:val="0"/>
        <w:w w:val="99"/>
        <w:sz w:val="22"/>
        <w:szCs w:val="22"/>
        <w:lang w:val="en-US" w:eastAsia="en-US" w:bidi="ar-SA"/>
      </w:rPr>
    </w:lvl>
    <w:lvl w:ilvl="1" w:tplc="780863CC">
      <w:numFmt w:val="bullet"/>
      <w:lvlText w:val="•"/>
      <w:lvlJc w:val="left"/>
      <w:pPr>
        <w:ind w:left="2988" w:hanging="360"/>
      </w:pPr>
      <w:rPr>
        <w:rFonts w:hint="default"/>
        <w:lang w:val="en-US" w:eastAsia="en-US" w:bidi="ar-SA"/>
      </w:rPr>
    </w:lvl>
    <w:lvl w:ilvl="2" w:tplc="13AAAF04">
      <w:numFmt w:val="bullet"/>
      <w:lvlText w:val="•"/>
      <w:lvlJc w:val="left"/>
      <w:pPr>
        <w:ind w:left="3816" w:hanging="360"/>
      </w:pPr>
      <w:rPr>
        <w:rFonts w:hint="default"/>
        <w:lang w:val="en-US" w:eastAsia="en-US" w:bidi="ar-SA"/>
      </w:rPr>
    </w:lvl>
    <w:lvl w:ilvl="3" w:tplc="971A6232">
      <w:numFmt w:val="bullet"/>
      <w:lvlText w:val="•"/>
      <w:lvlJc w:val="left"/>
      <w:pPr>
        <w:ind w:left="4644" w:hanging="360"/>
      </w:pPr>
      <w:rPr>
        <w:rFonts w:hint="default"/>
        <w:lang w:val="en-US" w:eastAsia="en-US" w:bidi="ar-SA"/>
      </w:rPr>
    </w:lvl>
    <w:lvl w:ilvl="4" w:tplc="764A6272">
      <w:numFmt w:val="bullet"/>
      <w:lvlText w:val="•"/>
      <w:lvlJc w:val="left"/>
      <w:pPr>
        <w:ind w:left="5472" w:hanging="360"/>
      </w:pPr>
      <w:rPr>
        <w:rFonts w:hint="default"/>
        <w:lang w:val="en-US" w:eastAsia="en-US" w:bidi="ar-SA"/>
      </w:rPr>
    </w:lvl>
    <w:lvl w:ilvl="5" w:tplc="42D0A27E">
      <w:numFmt w:val="bullet"/>
      <w:lvlText w:val="•"/>
      <w:lvlJc w:val="left"/>
      <w:pPr>
        <w:ind w:left="6300" w:hanging="360"/>
      </w:pPr>
      <w:rPr>
        <w:rFonts w:hint="default"/>
        <w:lang w:val="en-US" w:eastAsia="en-US" w:bidi="ar-SA"/>
      </w:rPr>
    </w:lvl>
    <w:lvl w:ilvl="6" w:tplc="431285A8">
      <w:numFmt w:val="bullet"/>
      <w:lvlText w:val="•"/>
      <w:lvlJc w:val="left"/>
      <w:pPr>
        <w:ind w:left="7128" w:hanging="360"/>
      </w:pPr>
      <w:rPr>
        <w:rFonts w:hint="default"/>
        <w:lang w:val="en-US" w:eastAsia="en-US" w:bidi="ar-SA"/>
      </w:rPr>
    </w:lvl>
    <w:lvl w:ilvl="7" w:tplc="1F08D91E">
      <w:numFmt w:val="bullet"/>
      <w:lvlText w:val="•"/>
      <w:lvlJc w:val="left"/>
      <w:pPr>
        <w:ind w:left="7956" w:hanging="360"/>
      </w:pPr>
      <w:rPr>
        <w:rFonts w:hint="default"/>
        <w:lang w:val="en-US" w:eastAsia="en-US" w:bidi="ar-SA"/>
      </w:rPr>
    </w:lvl>
    <w:lvl w:ilvl="8" w:tplc="E474C6D8">
      <w:numFmt w:val="bullet"/>
      <w:lvlText w:val="•"/>
      <w:lvlJc w:val="left"/>
      <w:pPr>
        <w:ind w:left="8784" w:hanging="360"/>
      </w:pPr>
      <w:rPr>
        <w:rFonts w:hint="default"/>
        <w:lang w:val="en-US" w:eastAsia="en-US" w:bidi="ar-SA"/>
      </w:rPr>
    </w:lvl>
  </w:abstractNum>
  <w:abstractNum w:abstractNumId="80" w15:restartNumberingAfterBreak="0">
    <w:nsid w:val="31473CA0"/>
    <w:multiLevelType w:val="hybridMultilevel"/>
    <w:tmpl w:val="1E46D816"/>
    <w:lvl w:ilvl="0" w:tplc="5B80A3B6">
      <w:start w:val="14"/>
      <w:numFmt w:val="decimal"/>
      <w:lvlText w:val="%1."/>
      <w:lvlJc w:val="left"/>
      <w:pPr>
        <w:ind w:left="485" w:hanging="360"/>
        <w:jc w:val="left"/>
      </w:pPr>
      <w:rPr>
        <w:rFonts w:ascii="Arial" w:eastAsia="Arial" w:hAnsi="Arial" w:cs="Arial" w:hint="default"/>
        <w:b w:val="0"/>
        <w:bCs w:val="0"/>
        <w:i w:val="0"/>
        <w:iCs w:val="0"/>
        <w:spacing w:val="0"/>
        <w:w w:val="99"/>
        <w:sz w:val="22"/>
        <w:szCs w:val="22"/>
        <w:lang w:val="en-US" w:eastAsia="en-US" w:bidi="ar-SA"/>
      </w:rPr>
    </w:lvl>
    <w:lvl w:ilvl="1" w:tplc="E89A16FA">
      <w:numFmt w:val="bullet"/>
      <w:lvlText w:val=""/>
      <w:lvlJc w:val="left"/>
      <w:pPr>
        <w:ind w:left="859" w:hanging="360"/>
      </w:pPr>
      <w:rPr>
        <w:rFonts w:ascii="Symbol" w:eastAsia="Symbol" w:hAnsi="Symbol" w:cs="Symbol" w:hint="default"/>
        <w:b w:val="0"/>
        <w:bCs w:val="0"/>
        <w:i w:val="0"/>
        <w:iCs w:val="0"/>
        <w:spacing w:val="0"/>
        <w:w w:val="99"/>
        <w:sz w:val="22"/>
        <w:szCs w:val="22"/>
        <w:lang w:val="en-US" w:eastAsia="en-US" w:bidi="ar-SA"/>
      </w:rPr>
    </w:lvl>
    <w:lvl w:ilvl="2" w:tplc="D2EC5CA4">
      <w:numFmt w:val="bullet"/>
      <w:lvlText w:val="•"/>
      <w:lvlJc w:val="left"/>
      <w:pPr>
        <w:ind w:left="1528" w:hanging="360"/>
      </w:pPr>
      <w:rPr>
        <w:rFonts w:hint="default"/>
        <w:lang w:val="en-US" w:eastAsia="en-US" w:bidi="ar-SA"/>
      </w:rPr>
    </w:lvl>
    <w:lvl w:ilvl="3" w:tplc="7BD072DE">
      <w:numFmt w:val="bullet"/>
      <w:lvlText w:val="•"/>
      <w:lvlJc w:val="left"/>
      <w:pPr>
        <w:ind w:left="2196" w:hanging="360"/>
      </w:pPr>
      <w:rPr>
        <w:rFonts w:hint="default"/>
        <w:lang w:val="en-US" w:eastAsia="en-US" w:bidi="ar-SA"/>
      </w:rPr>
    </w:lvl>
    <w:lvl w:ilvl="4" w:tplc="3C7E0A74">
      <w:numFmt w:val="bullet"/>
      <w:lvlText w:val="•"/>
      <w:lvlJc w:val="left"/>
      <w:pPr>
        <w:ind w:left="2864" w:hanging="360"/>
      </w:pPr>
      <w:rPr>
        <w:rFonts w:hint="default"/>
        <w:lang w:val="en-US" w:eastAsia="en-US" w:bidi="ar-SA"/>
      </w:rPr>
    </w:lvl>
    <w:lvl w:ilvl="5" w:tplc="7ACE92B4">
      <w:numFmt w:val="bullet"/>
      <w:lvlText w:val="•"/>
      <w:lvlJc w:val="left"/>
      <w:pPr>
        <w:ind w:left="3532" w:hanging="360"/>
      </w:pPr>
      <w:rPr>
        <w:rFonts w:hint="default"/>
        <w:lang w:val="en-US" w:eastAsia="en-US" w:bidi="ar-SA"/>
      </w:rPr>
    </w:lvl>
    <w:lvl w:ilvl="6" w:tplc="ACCA4D48">
      <w:numFmt w:val="bullet"/>
      <w:lvlText w:val="•"/>
      <w:lvlJc w:val="left"/>
      <w:pPr>
        <w:ind w:left="4200" w:hanging="360"/>
      </w:pPr>
      <w:rPr>
        <w:rFonts w:hint="default"/>
        <w:lang w:val="en-US" w:eastAsia="en-US" w:bidi="ar-SA"/>
      </w:rPr>
    </w:lvl>
    <w:lvl w:ilvl="7" w:tplc="2E7EED4E">
      <w:numFmt w:val="bullet"/>
      <w:lvlText w:val="•"/>
      <w:lvlJc w:val="left"/>
      <w:pPr>
        <w:ind w:left="4868" w:hanging="360"/>
      </w:pPr>
      <w:rPr>
        <w:rFonts w:hint="default"/>
        <w:lang w:val="en-US" w:eastAsia="en-US" w:bidi="ar-SA"/>
      </w:rPr>
    </w:lvl>
    <w:lvl w:ilvl="8" w:tplc="4A2273D6">
      <w:numFmt w:val="bullet"/>
      <w:lvlText w:val="•"/>
      <w:lvlJc w:val="left"/>
      <w:pPr>
        <w:ind w:left="5536" w:hanging="360"/>
      </w:pPr>
      <w:rPr>
        <w:rFonts w:hint="default"/>
        <w:lang w:val="en-US" w:eastAsia="en-US" w:bidi="ar-SA"/>
      </w:rPr>
    </w:lvl>
  </w:abstractNum>
  <w:abstractNum w:abstractNumId="81" w15:restartNumberingAfterBreak="0">
    <w:nsid w:val="31733A56"/>
    <w:multiLevelType w:val="hybridMultilevel"/>
    <w:tmpl w:val="4ADA17D6"/>
    <w:lvl w:ilvl="0" w:tplc="E23CC610">
      <w:start w:val="3"/>
      <w:numFmt w:val="decimal"/>
      <w:lvlText w:val="%1."/>
      <w:lvlJc w:val="left"/>
      <w:pPr>
        <w:ind w:left="600" w:hanging="471"/>
        <w:jc w:val="left"/>
      </w:pPr>
      <w:rPr>
        <w:rFonts w:ascii="Arial" w:eastAsia="Arial" w:hAnsi="Arial" w:cs="Arial" w:hint="default"/>
        <w:b w:val="0"/>
        <w:bCs w:val="0"/>
        <w:i w:val="0"/>
        <w:iCs w:val="0"/>
        <w:spacing w:val="0"/>
        <w:w w:val="99"/>
        <w:sz w:val="22"/>
        <w:szCs w:val="22"/>
        <w:lang w:val="en-US" w:eastAsia="en-US" w:bidi="ar-SA"/>
      </w:rPr>
    </w:lvl>
    <w:lvl w:ilvl="1" w:tplc="0B144B4A">
      <w:start w:val="1"/>
      <w:numFmt w:val="lowerLetter"/>
      <w:lvlText w:val="(%2)"/>
      <w:lvlJc w:val="left"/>
      <w:pPr>
        <w:ind w:left="1064" w:hanging="450"/>
        <w:jc w:val="left"/>
      </w:pPr>
      <w:rPr>
        <w:rFonts w:ascii="Arial" w:eastAsia="Arial" w:hAnsi="Arial" w:cs="Arial" w:hint="default"/>
        <w:b w:val="0"/>
        <w:bCs w:val="0"/>
        <w:i w:val="0"/>
        <w:iCs w:val="0"/>
        <w:spacing w:val="-1"/>
        <w:w w:val="99"/>
        <w:sz w:val="22"/>
        <w:szCs w:val="22"/>
        <w:lang w:val="en-US" w:eastAsia="en-US" w:bidi="ar-SA"/>
      </w:rPr>
    </w:lvl>
    <w:lvl w:ilvl="2" w:tplc="E9502A1A">
      <w:numFmt w:val="bullet"/>
      <w:lvlText w:val="•"/>
      <w:lvlJc w:val="left"/>
      <w:pPr>
        <w:ind w:left="1698" w:hanging="450"/>
      </w:pPr>
      <w:rPr>
        <w:rFonts w:hint="default"/>
        <w:lang w:val="en-US" w:eastAsia="en-US" w:bidi="ar-SA"/>
      </w:rPr>
    </w:lvl>
    <w:lvl w:ilvl="3" w:tplc="995866C2">
      <w:numFmt w:val="bullet"/>
      <w:lvlText w:val="•"/>
      <w:lvlJc w:val="left"/>
      <w:pPr>
        <w:ind w:left="2337" w:hanging="450"/>
      </w:pPr>
      <w:rPr>
        <w:rFonts w:hint="default"/>
        <w:lang w:val="en-US" w:eastAsia="en-US" w:bidi="ar-SA"/>
      </w:rPr>
    </w:lvl>
    <w:lvl w:ilvl="4" w:tplc="9D52D7AC">
      <w:numFmt w:val="bullet"/>
      <w:lvlText w:val="•"/>
      <w:lvlJc w:val="left"/>
      <w:pPr>
        <w:ind w:left="2976" w:hanging="450"/>
      </w:pPr>
      <w:rPr>
        <w:rFonts w:hint="default"/>
        <w:lang w:val="en-US" w:eastAsia="en-US" w:bidi="ar-SA"/>
      </w:rPr>
    </w:lvl>
    <w:lvl w:ilvl="5" w:tplc="73E0B2E8">
      <w:numFmt w:val="bullet"/>
      <w:lvlText w:val="•"/>
      <w:lvlJc w:val="left"/>
      <w:pPr>
        <w:ind w:left="3615" w:hanging="450"/>
      </w:pPr>
      <w:rPr>
        <w:rFonts w:hint="default"/>
        <w:lang w:val="en-US" w:eastAsia="en-US" w:bidi="ar-SA"/>
      </w:rPr>
    </w:lvl>
    <w:lvl w:ilvl="6" w:tplc="1FF6A476">
      <w:numFmt w:val="bullet"/>
      <w:lvlText w:val="•"/>
      <w:lvlJc w:val="left"/>
      <w:pPr>
        <w:ind w:left="4254" w:hanging="450"/>
      </w:pPr>
      <w:rPr>
        <w:rFonts w:hint="default"/>
        <w:lang w:val="en-US" w:eastAsia="en-US" w:bidi="ar-SA"/>
      </w:rPr>
    </w:lvl>
    <w:lvl w:ilvl="7" w:tplc="D436ADB2">
      <w:numFmt w:val="bullet"/>
      <w:lvlText w:val="•"/>
      <w:lvlJc w:val="left"/>
      <w:pPr>
        <w:ind w:left="4893" w:hanging="450"/>
      </w:pPr>
      <w:rPr>
        <w:rFonts w:hint="default"/>
        <w:lang w:val="en-US" w:eastAsia="en-US" w:bidi="ar-SA"/>
      </w:rPr>
    </w:lvl>
    <w:lvl w:ilvl="8" w:tplc="30547DA8">
      <w:numFmt w:val="bullet"/>
      <w:lvlText w:val="•"/>
      <w:lvlJc w:val="left"/>
      <w:pPr>
        <w:ind w:left="5532" w:hanging="450"/>
      </w:pPr>
      <w:rPr>
        <w:rFonts w:hint="default"/>
        <w:lang w:val="en-US" w:eastAsia="en-US" w:bidi="ar-SA"/>
      </w:rPr>
    </w:lvl>
  </w:abstractNum>
  <w:abstractNum w:abstractNumId="82" w15:restartNumberingAfterBreak="0">
    <w:nsid w:val="321F7DA2"/>
    <w:multiLevelType w:val="hybridMultilevel"/>
    <w:tmpl w:val="107824A6"/>
    <w:lvl w:ilvl="0" w:tplc="4ECC533C">
      <w:start w:val="5"/>
      <w:numFmt w:val="decimal"/>
      <w:lvlText w:val="%1."/>
      <w:lvlJc w:val="left"/>
      <w:pPr>
        <w:ind w:left="600" w:hanging="471"/>
        <w:jc w:val="left"/>
      </w:pPr>
      <w:rPr>
        <w:rFonts w:ascii="Arial" w:eastAsia="Arial" w:hAnsi="Arial" w:cs="Arial" w:hint="default"/>
        <w:b w:val="0"/>
        <w:bCs w:val="0"/>
        <w:i w:val="0"/>
        <w:iCs w:val="0"/>
        <w:spacing w:val="0"/>
        <w:w w:val="99"/>
        <w:sz w:val="22"/>
        <w:szCs w:val="22"/>
        <w:lang w:val="en-US" w:eastAsia="en-US" w:bidi="ar-SA"/>
      </w:rPr>
    </w:lvl>
    <w:lvl w:ilvl="1" w:tplc="766CAFC4">
      <w:numFmt w:val="bullet"/>
      <w:lvlText w:val=""/>
      <w:lvlJc w:val="left"/>
      <w:pPr>
        <w:ind w:left="928" w:hanging="360"/>
      </w:pPr>
      <w:rPr>
        <w:rFonts w:ascii="Symbol" w:eastAsia="Symbol" w:hAnsi="Symbol" w:cs="Symbol" w:hint="default"/>
        <w:b w:val="0"/>
        <w:bCs w:val="0"/>
        <w:i w:val="0"/>
        <w:iCs w:val="0"/>
        <w:spacing w:val="0"/>
        <w:w w:val="99"/>
        <w:sz w:val="22"/>
        <w:szCs w:val="22"/>
        <w:lang w:val="en-US" w:eastAsia="en-US" w:bidi="ar-SA"/>
      </w:rPr>
    </w:lvl>
    <w:lvl w:ilvl="2" w:tplc="6AD4A592">
      <w:numFmt w:val="bullet"/>
      <w:lvlText w:val="•"/>
      <w:lvlJc w:val="left"/>
      <w:pPr>
        <w:ind w:left="1574" w:hanging="360"/>
      </w:pPr>
      <w:rPr>
        <w:rFonts w:hint="default"/>
        <w:lang w:val="en-US" w:eastAsia="en-US" w:bidi="ar-SA"/>
      </w:rPr>
    </w:lvl>
    <w:lvl w:ilvl="3" w:tplc="53240CBE">
      <w:numFmt w:val="bullet"/>
      <w:lvlText w:val="•"/>
      <w:lvlJc w:val="left"/>
      <w:pPr>
        <w:ind w:left="2228" w:hanging="360"/>
      </w:pPr>
      <w:rPr>
        <w:rFonts w:hint="default"/>
        <w:lang w:val="en-US" w:eastAsia="en-US" w:bidi="ar-SA"/>
      </w:rPr>
    </w:lvl>
    <w:lvl w:ilvl="4" w:tplc="1EBA1096">
      <w:numFmt w:val="bullet"/>
      <w:lvlText w:val="•"/>
      <w:lvlJc w:val="left"/>
      <w:pPr>
        <w:ind w:left="2883" w:hanging="360"/>
      </w:pPr>
      <w:rPr>
        <w:rFonts w:hint="default"/>
        <w:lang w:val="en-US" w:eastAsia="en-US" w:bidi="ar-SA"/>
      </w:rPr>
    </w:lvl>
    <w:lvl w:ilvl="5" w:tplc="936408B4">
      <w:numFmt w:val="bullet"/>
      <w:lvlText w:val="•"/>
      <w:lvlJc w:val="left"/>
      <w:pPr>
        <w:ind w:left="3537" w:hanging="360"/>
      </w:pPr>
      <w:rPr>
        <w:rFonts w:hint="default"/>
        <w:lang w:val="en-US" w:eastAsia="en-US" w:bidi="ar-SA"/>
      </w:rPr>
    </w:lvl>
    <w:lvl w:ilvl="6" w:tplc="50424F40">
      <w:numFmt w:val="bullet"/>
      <w:lvlText w:val="•"/>
      <w:lvlJc w:val="left"/>
      <w:pPr>
        <w:ind w:left="4192" w:hanging="360"/>
      </w:pPr>
      <w:rPr>
        <w:rFonts w:hint="default"/>
        <w:lang w:val="en-US" w:eastAsia="en-US" w:bidi="ar-SA"/>
      </w:rPr>
    </w:lvl>
    <w:lvl w:ilvl="7" w:tplc="BF3AA35E">
      <w:numFmt w:val="bullet"/>
      <w:lvlText w:val="•"/>
      <w:lvlJc w:val="left"/>
      <w:pPr>
        <w:ind w:left="4846" w:hanging="360"/>
      </w:pPr>
      <w:rPr>
        <w:rFonts w:hint="default"/>
        <w:lang w:val="en-US" w:eastAsia="en-US" w:bidi="ar-SA"/>
      </w:rPr>
    </w:lvl>
    <w:lvl w:ilvl="8" w:tplc="B6BA6E74">
      <w:numFmt w:val="bullet"/>
      <w:lvlText w:val="•"/>
      <w:lvlJc w:val="left"/>
      <w:pPr>
        <w:ind w:left="5501" w:hanging="360"/>
      </w:pPr>
      <w:rPr>
        <w:rFonts w:hint="default"/>
        <w:lang w:val="en-US" w:eastAsia="en-US" w:bidi="ar-SA"/>
      </w:rPr>
    </w:lvl>
  </w:abstractNum>
  <w:abstractNum w:abstractNumId="83" w15:restartNumberingAfterBreak="0">
    <w:nsid w:val="33102DBB"/>
    <w:multiLevelType w:val="hybridMultilevel"/>
    <w:tmpl w:val="2BC4725E"/>
    <w:lvl w:ilvl="0" w:tplc="0582AA74">
      <w:start w:val="2"/>
      <w:numFmt w:val="decimal"/>
      <w:lvlText w:val="%1)"/>
      <w:lvlJc w:val="left"/>
      <w:pPr>
        <w:ind w:left="668" w:hanging="577"/>
        <w:jc w:val="left"/>
      </w:pPr>
      <w:rPr>
        <w:rFonts w:ascii="Arial" w:eastAsia="Arial" w:hAnsi="Arial" w:cs="Arial" w:hint="default"/>
        <w:b w:val="0"/>
        <w:bCs w:val="0"/>
        <w:i w:val="0"/>
        <w:iCs w:val="0"/>
        <w:spacing w:val="0"/>
        <w:w w:val="99"/>
        <w:sz w:val="22"/>
        <w:szCs w:val="22"/>
        <w:lang w:val="en-US" w:eastAsia="en-US" w:bidi="ar-SA"/>
      </w:rPr>
    </w:lvl>
    <w:lvl w:ilvl="1" w:tplc="AF9A151A">
      <w:start w:val="1"/>
      <w:numFmt w:val="lowerLetter"/>
      <w:lvlText w:val="%2)"/>
      <w:lvlJc w:val="left"/>
      <w:pPr>
        <w:ind w:left="1244" w:hanging="577"/>
        <w:jc w:val="left"/>
      </w:pPr>
      <w:rPr>
        <w:rFonts w:ascii="Arial" w:eastAsia="Arial" w:hAnsi="Arial" w:cs="Arial" w:hint="default"/>
        <w:b w:val="0"/>
        <w:bCs w:val="0"/>
        <w:i w:val="0"/>
        <w:iCs w:val="0"/>
        <w:spacing w:val="0"/>
        <w:w w:val="99"/>
        <w:sz w:val="22"/>
        <w:szCs w:val="22"/>
        <w:lang w:val="en-US" w:eastAsia="en-US" w:bidi="ar-SA"/>
      </w:rPr>
    </w:lvl>
    <w:lvl w:ilvl="2" w:tplc="E9F2A170">
      <w:numFmt w:val="bullet"/>
      <w:lvlText w:val="•"/>
      <w:lvlJc w:val="left"/>
      <w:pPr>
        <w:ind w:left="1923" w:hanging="577"/>
      </w:pPr>
      <w:rPr>
        <w:rFonts w:hint="default"/>
        <w:lang w:val="en-US" w:eastAsia="en-US" w:bidi="ar-SA"/>
      </w:rPr>
    </w:lvl>
    <w:lvl w:ilvl="3" w:tplc="D58C1498">
      <w:numFmt w:val="bullet"/>
      <w:lvlText w:val="•"/>
      <w:lvlJc w:val="left"/>
      <w:pPr>
        <w:ind w:left="2606" w:hanging="577"/>
      </w:pPr>
      <w:rPr>
        <w:rFonts w:hint="default"/>
        <w:lang w:val="en-US" w:eastAsia="en-US" w:bidi="ar-SA"/>
      </w:rPr>
    </w:lvl>
    <w:lvl w:ilvl="4" w:tplc="781897CE">
      <w:numFmt w:val="bullet"/>
      <w:lvlText w:val="•"/>
      <w:lvlJc w:val="left"/>
      <w:pPr>
        <w:ind w:left="3290" w:hanging="577"/>
      </w:pPr>
      <w:rPr>
        <w:rFonts w:hint="default"/>
        <w:lang w:val="en-US" w:eastAsia="en-US" w:bidi="ar-SA"/>
      </w:rPr>
    </w:lvl>
    <w:lvl w:ilvl="5" w:tplc="41141916">
      <w:numFmt w:val="bullet"/>
      <w:lvlText w:val="•"/>
      <w:lvlJc w:val="left"/>
      <w:pPr>
        <w:ind w:left="3973" w:hanging="577"/>
      </w:pPr>
      <w:rPr>
        <w:rFonts w:hint="default"/>
        <w:lang w:val="en-US" w:eastAsia="en-US" w:bidi="ar-SA"/>
      </w:rPr>
    </w:lvl>
    <w:lvl w:ilvl="6" w:tplc="EA4AE140">
      <w:numFmt w:val="bullet"/>
      <w:lvlText w:val="•"/>
      <w:lvlJc w:val="left"/>
      <w:pPr>
        <w:ind w:left="4656" w:hanging="577"/>
      </w:pPr>
      <w:rPr>
        <w:rFonts w:hint="default"/>
        <w:lang w:val="en-US" w:eastAsia="en-US" w:bidi="ar-SA"/>
      </w:rPr>
    </w:lvl>
    <w:lvl w:ilvl="7" w:tplc="E648E192">
      <w:numFmt w:val="bullet"/>
      <w:lvlText w:val="•"/>
      <w:lvlJc w:val="left"/>
      <w:pPr>
        <w:ind w:left="5340" w:hanging="577"/>
      </w:pPr>
      <w:rPr>
        <w:rFonts w:hint="default"/>
        <w:lang w:val="en-US" w:eastAsia="en-US" w:bidi="ar-SA"/>
      </w:rPr>
    </w:lvl>
    <w:lvl w:ilvl="8" w:tplc="43884260">
      <w:numFmt w:val="bullet"/>
      <w:lvlText w:val="•"/>
      <w:lvlJc w:val="left"/>
      <w:pPr>
        <w:ind w:left="6023" w:hanging="577"/>
      </w:pPr>
      <w:rPr>
        <w:rFonts w:hint="default"/>
        <w:lang w:val="en-US" w:eastAsia="en-US" w:bidi="ar-SA"/>
      </w:rPr>
    </w:lvl>
  </w:abstractNum>
  <w:abstractNum w:abstractNumId="84" w15:restartNumberingAfterBreak="0">
    <w:nsid w:val="33DF3B8C"/>
    <w:multiLevelType w:val="hybridMultilevel"/>
    <w:tmpl w:val="54C44F96"/>
    <w:lvl w:ilvl="0" w:tplc="BD3E89F4">
      <w:start w:val="5"/>
      <w:numFmt w:val="decimal"/>
      <w:lvlText w:val="%1."/>
      <w:lvlJc w:val="left"/>
      <w:pPr>
        <w:ind w:left="497" w:hanging="360"/>
        <w:jc w:val="left"/>
      </w:pPr>
      <w:rPr>
        <w:rFonts w:ascii="Arial" w:eastAsia="Arial" w:hAnsi="Arial" w:cs="Arial" w:hint="default"/>
        <w:b w:val="0"/>
        <w:bCs w:val="0"/>
        <w:i w:val="0"/>
        <w:iCs w:val="0"/>
        <w:spacing w:val="0"/>
        <w:w w:val="99"/>
        <w:sz w:val="22"/>
        <w:szCs w:val="22"/>
        <w:lang w:val="en-US" w:eastAsia="en-US" w:bidi="ar-SA"/>
      </w:rPr>
    </w:lvl>
    <w:lvl w:ilvl="1" w:tplc="BD923A78">
      <w:start w:val="1"/>
      <w:numFmt w:val="lowerLetter"/>
      <w:lvlText w:val="%2."/>
      <w:lvlJc w:val="left"/>
      <w:pPr>
        <w:ind w:left="929" w:hanging="360"/>
        <w:jc w:val="left"/>
      </w:pPr>
      <w:rPr>
        <w:rFonts w:ascii="Arial" w:eastAsia="Arial" w:hAnsi="Arial" w:cs="Arial" w:hint="default"/>
        <w:b w:val="0"/>
        <w:bCs w:val="0"/>
        <w:i w:val="0"/>
        <w:iCs w:val="0"/>
        <w:spacing w:val="0"/>
        <w:w w:val="99"/>
        <w:sz w:val="22"/>
        <w:szCs w:val="22"/>
        <w:lang w:val="en-US" w:eastAsia="en-US" w:bidi="ar-SA"/>
      </w:rPr>
    </w:lvl>
    <w:lvl w:ilvl="2" w:tplc="A0BCE312">
      <w:numFmt w:val="bullet"/>
      <w:lvlText w:val="•"/>
      <w:lvlJc w:val="left"/>
      <w:pPr>
        <w:ind w:left="1595" w:hanging="360"/>
      </w:pPr>
      <w:rPr>
        <w:rFonts w:hint="default"/>
        <w:lang w:val="en-US" w:eastAsia="en-US" w:bidi="ar-SA"/>
      </w:rPr>
    </w:lvl>
    <w:lvl w:ilvl="3" w:tplc="B0F2D8B2">
      <w:numFmt w:val="bullet"/>
      <w:lvlText w:val="•"/>
      <w:lvlJc w:val="left"/>
      <w:pPr>
        <w:ind w:left="2270" w:hanging="360"/>
      </w:pPr>
      <w:rPr>
        <w:rFonts w:hint="default"/>
        <w:lang w:val="en-US" w:eastAsia="en-US" w:bidi="ar-SA"/>
      </w:rPr>
    </w:lvl>
    <w:lvl w:ilvl="4" w:tplc="A2E0198A">
      <w:numFmt w:val="bullet"/>
      <w:lvlText w:val="•"/>
      <w:lvlJc w:val="left"/>
      <w:pPr>
        <w:ind w:left="2946" w:hanging="360"/>
      </w:pPr>
      <w:rPr>
        <w:rFonts w:hint="default"/>
        <w:lang w:val="en-US" w:eastAsia="en-US" w:bidi="ar-SA"/>
      </w:rPr>
    </w:lvl>
    <w:lvl w:ilvl="5" w:tplc="141A7F2E">
      <w:numFmt w:val="bullet"/>
      <w:lvlText w:val="•"/>
      <w:lvlJc w:val="left"/>
      <w:pPr>
        <w:ind w:left="3621" w:hanging="360"/>
      </w:pPr>
      <w:rPr>
        <w:rFonts w:hint="default"/>
        <w:lang w:val="en-US" w:eastAsia="en-US" w:bidi="ar-SA"/>
      </w:rPr>
    </w:lvl>
    <w:lvl w:ilvl="6" w:tplc="A3B60120">
      <w:numFmt w:val="bullet"/>
      <w:lvlText w:val="•"/>
      <w:lvlJc w:val="left"/>
      <w:pPr>
        <w:ind w:left="4296" w:hanging="360"/>
      </w:pPr>
      <w:rPr>
        <w:rFonts w:hint="default"/>
        <w:lang w:val="en-US" w:eastAsia="en-US" w:bidi="ar-SA"/>
      </w:rPr>
    </w:lvl>
    <w:lvl w:ilvl="7" w:tplc="8B1899BA">
      <w:numFmt w:val="bullet"/>
      <w:lvlText w:val="•"/>
      <w:lvlJc w:val="left"/>
      <w:pPr>
        <w:ind w:left="4972" w:hanging="360"/>
      </w:pPr>
      <w:rPr>
        <w:rFonts w:hint="default"/>
        <w:lang w:val="en-US" w:eastAsia="en-US" w:bidi="ar-SA"/>
      </w:rPr>
    </w:lvl>
    <w:lvl w:ilvl="8" w:tplc="D8EA399C">
      <w:numFmt w:val="bullet"/>
      <w:lvlText w:val="•"/>
      <w:lvlJc w:val="left"/>
      <w:pPr>
        <w:ind w:left="5647" w:hanging="360"/>
      </w:pPr>
      <w:rPr>
        <w:rFonts w:hint="default"/>
        <w:lang w:val="en-US" w:eastAsia="en-US" w:bidi="ar-SA"/>
      </w:rPr>
    </w:lvl>
  </w:abstractNum>
  <w:abstractNum w:abstractNumId="85" w15:restartNumberingAfterBreak="0">
    <w:nsid w:val="341556C5"/>
    <w:multiLevelType w:val="hybridMultilevel"/>
    <w:tmpl w:val="12661D08"/>
    <w:lvl w:ilvl="0" w:tplc="28EC2AD4">
      <w:start w:val="1"/>
      <w:numFmt w:val="decimal"/>
      <w:lvlText w:val="%1."/>
      <w:lvlJc w:val="left"/>
      <w:pPr>
        <w:ind w:left="457" w:hanging="360"/>
        <w:jc w:val="left"/>
      </w:pPr>
      <w:rPr>
        <w:rFonts w:ascii="Arial" w:eastAsia="Arial" w:hAnsi="Arial" w:cs="Arial" w:hint="default"/>
        <w:b w:val="0"/>
        <w:bCs w:val="0"/>
        <w:i w:val="0"/>
        <w:iCs w:val="0"/>
        <w:spacing w:val="0"/>
        <w:w w:val="100"/>
        <w:sz w:val="20"/>
        <w:szCs w:val="20"/>
        <w:lang w:val="en-US" w:eastAsia="en-US" w:bidi="ar-SA"/>
      </w:rPr>
    </w:lvl>
    <w:lvl w:ilvl="1" w:tplc="6D68A570">
      <w:numFmt w:val="bullet"/>
      <w:lvlText w:val=""/>
      <w:lvlJc w:val="left"/>
      <w:pPr>
        <w:ind w:left="817" w:hanging="360"/>
      </w:pPr>
      <w:rPr>
        <w:rFonts w:ascii="Symbol" w:eastAsia="Symbol" w:hAnsi="Symbol" w:cs="Symbol" w:hint="default"/>
        <w:b w:val="0"/>
        <w:bCs w:val="0"/>
        <w:i w:val="0"/>
        <w:iCs w:val="0"/>
        <w:spacing w:val="0"/>
        <w:w w:val="100"/>
        <w:sz w:val="20"/>
        <w:szCs w:val="20"/>
        <w:lang w:val="en-US" w:eastAsia="en-US" w:bidi="ar-SA"/>
      </w:rPr>
    </w:lvl>
    <w:lvl w:ilvl="2" w:tplc="357E7738">
      <w:numFmt w:val="bullet"/>
      <w:lvlText w:val="•"/>
      <w:lvlJc w:val="left"/>
      <w:pPr>
        <w:ind w:left="1260" w:hanging="360"/>
      </w:pPr>
      <w:rPr>
        <w:rFonts w:hint="default"/>
        <w:lang w:val="en-US" w:eastAsia="en-US" w:bidi="ar-SA"/>
      </w:rPr>
    </w:lvl>
    <w:lvl w:ilvl="3" w:tplc="F9E2D802">
      <w:numFmt w:val="bullet"/>
      <w:lvlText w:val="•"/>
      <w:lvlJc w:val="left"/>
      <w:pPr>
        <w:ind w:left="1701" w:hanging="360"/>
      </w:pPr>
      <w:rPr>
        <w:rFonts w:hint="default"/>
        <w:lang w:val="en-US" w:eastAsia="en-US" w:bidi="ar-SA"/>
      </w:rPr>
    </w:lvl>
    <w:lvl w:ilvl="4" w:tplc="67FCA178">
      <w:numFmt w:val="bullet"/>
      <w:lvlText w:val="•"/>
      <w:lvlJc w:val="left"/>
      <w:pPr>
        <w:ind w:left="2142" w:hanging="360"/>
      </w:pPr>
      <w:rPr>
        <w:rFonts w:hint="default"/>
        <w:lang w:val="en-US" w:eastAsia="en-US" w:bidi="ar-SA"/>
      </w:rPr>
    </w:lvl>
    <w:lvl w:ilvl="5" w:tplc="F2D8C7EC">
      <w:numFmt w:val="bullet"/>
      <w:lvlText w:val="•"/>
      <w:lvlJc w:val="left"/>
      <w:pPr>
        <w:ind w:left="2583" w:hanging="360"/>
      </w:pPr>
      <w:rPr>
        <w:rFonts w:hint="default"/>
        <w:lang w:val="en-US" w:eastAsia="en-US" w:bidi="ar-SA"/>
      </w:rPr>
    </w:lvl>
    <w:lvl w:ilvl="6" w:tplc="506A83C0">
      <w:numFmt w:val="bullet"/>
      <w:lvlText w:val="•"/>
      <w:lvlJc w:val="left"/>
      <w:pPr>
        <w:ind w:left="3024" w:hanging="360"/>
      </w:pPr>
      <w:rPr>
        <w:rFonts w:hint="default"/>
        <w:lang w:val="en-US" w:eastAsia="en-US" w:bidi="ar-SA"/>
      </w:rPr>
    </w:lvl>
    <w:lvl w:ilvl="7" w:tplc="E2D6ACCE">
      <w:numFmt w:val="bullet"/>
      <w:lvlText w:val="•"/>
      <w:lvlJc w:val="left"/>
      <w:pPr>
        <w:ind w:left="3465" w:hanging="360"/>
      </w:pPr>
      <w:rPr>
        <w:rFonts w:hint="default"/>
        <w:lang w:val="en-US" w:eastAsia="en-US" w:bidi="ar-SA"/>
      </w:rPr>
    </w:lvl>
    <w:lvl w:ilvl="8" w:tplc="D8C6C904">
      <w:numFmt w:val="bullet"/>
      <w:lvlText w:val="•"/>
      <w:lvlJc w:val="left"/>
      <w:pPr>
        <w:ind w:left="3906" w:hanging="360"/>
      </w:pPr>
      <w:rPr>
        <w:rFonts w:hint="default"/>
        <w:lang w:val="en-US" w:eastAsia="en-US" w:bidi="ar-SA"/>
      </w:rPr>
    </w:lvl>
  </w:abstractNum>
  <w:abstractNum w:abstractNumId="86" w15:restartNumberingAfterBreak="0">
    <w:nsid w:val="344452D6"/>
    <w:multiLevelType w:val="hybridMultilevel"/>
    <w:tmpl w:val="4232F4E2"/>
    <w:lvl w:ilvl="0" w:tplc="048844FA">
      <w:start w:val="1"/>
      <w:numFmt w:val="decimalZero"/>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8EA6F26A">
      <w:start w:val="1"/>
      <w:numFmt w:val="lowerLetter"/>
      <w:lvlText w:val="%2."/>
      <w:lvlJc w:val="left"/>
      <w:pPr>
        <w:ind w:left="2161" w:hanging="360"/>
        <w:jc w:val="left"/>
      </w:pPr>
      <w:rPr>
        <w:rFonts w:ascii="Arial" w:eastAsia="Arial" w:hAnsi="Arial" w:cs="Arial" w:hint="default"/>
        <w:b w:val="0"/>
        <w:bCs w:val="0"/>
        <w:i w:val="0"/>
        <w:iCs w:val="0"/>
        <w:spacing w:val="0"/>
        <w:w w:val="99"/>
        <w:sz w:val="22"/>
        <w:szCs w:val="22"/>
        <w:lang w:val="en-US" w:eastAsia="en-US" w:bidi="ar-SA"/>
      </w:rPr>
    </w:lvl>
    <w:lvl w:ilvl="2" w:tplc="62ACDE24">
      <w:numFmt w:val="bullet"/>
      <w:lvlText w:val="•"/>
      <w:lvlJc w:val="left"/>
      <w:pPr>
        <w:ind w:left="3080" w:hanging="360"/>
      </w:pPr>
      <w:rPr>
        <w:rFonts w:hint="default"/>
        <w:lang w:val="en-US" w:eastAsia="en-US" w:bidi="ar-SA"/>
      </w:rPr>
    </w:lvl>
    <w:lvl w:ilvl="3" w:tplc="ADBA6408">
      <w:numFmt w:val="bullet"/>
      <w:lvlText w:val="•"/>
      <w:lvlJc w:val="left"/>
      <w:pPr>
        <w:ind w:left="4000" w:hanging="360"/>
      </w:pPr>
      <w:rPr>
        <w:rFonts w:hint="default"/>
        <w:lang w:val="en-US" w:eastAsia="en-US" w:bidi="ar-SA"/>
      </w:rPr>
    </w:lvl>
    <w:lvl w:ilvl="4" w:tplc="2604DEAE">
      <w:numFmt w:val="bullet"/>
      <w:lvlText w:val="•"/>
      <w:lvlJc w:val="left"/>
      <w:pPr>
        <w:ind w:left="4920" w:hanging="360"/>
      </w:pPr>
      <w:rPr>
        <w:rFonts w:hint="default"/>
        <w:lang w:val="en-US" w:eastAsia="en-US" w:bidi="ar-SA"/>
      </w:rPr>
    </w:lvl>
    <w:lvl w:ilvl="5" w:tplc="490CD020">
      <w:numFmt w:val="bullet"/>
      <w:lvlText w:val="•"/>
      <w:lvlJc w:val="left"/>
      <w:pPr>
        <w:ind w:left="5840" w:hanging="360"/>
      </w:pPr>
      <w:rPr>
        <w:rFonts w:hint="default"/>
        <w:lang w:val="en-US" w:eastAsia="en-US" w:bidi="ar-SA"/>
      </w:rPr>
    </w:lvl>
    <w:lvl w:ilvl="6" w:tplc="E3E2ED90">
      <w:numFmt w:val="bullet"/>
      <w:lvlText w:val="•"/>
      <w:lvlJc w:val="left"/>
      <w:pPr>
        <w:ind w:left="6760" w:hanging="360"/>
      </w:pPr>
      <w:rPr>
        <w:rFonts w:hint="default"/>
        <w:lang w:val="en-US" w:eastAsia="en-US" w:bidi="ar-SA"/>
      </w:rPr>
    </w:lvl>
    <w:lvl w:ilvl="7" w:tplc="534CEC10">
      <w:numFmt w:val="bullet"/>
      <w:lvlText w:val="•"/>
      <w:lvlJc w:val="left"/>
      <w:pPr>
        <w:ind w:left="7680" w:hanging="360"/>
      </w:pPr>
      <w:rPr>
        <w:rFonts w:hint="default"/>
        <w:lang w:val="en-US" w:eastAsia="en-US" w:bidi="ar-SA"/>
      </w:rPr>
    </w:lvl>
    <w:lvl w:ilvl="8" w:tplc="EA5A2974">
      <w:numFmt w:val="bullet"/>
      <w:lvlText w:val="•"/>
      <w:lvlJc w:val="left"/>
      <w:pPr>
        <w:ind w:left="8600" w:hanging="360"/>
      </w:pPr>
      <w:rPr>
        <w:rFonts w:hint="default"/>
        <w:lang w:val="en-US" w:eastAsia="en-US" w:bidi="ar-SA"/>
      </w:rPr>
    </w:lvl>
  </w:abstractNum>
  <w:abstractNum w:abstractNumId="87" w15:restartNumberingAfterBreak="0">
    <w:nsid w:val="344E639E"/>
    <w:multiLevelType w:val="hybridMultilevel"/>
    <w:tmpl w:val="CE88C6BA"/>
    <w:lvl w:ilvl="0" w:tplc="664AA03E">
      <w:start w:val="7"/>
      <w:numFmt w:val="decimal"/>
      <w:lvlText w:val="%1)"/>
      <w:lvlJc w:val="left"/>
      <w:pPr>
        <w:ind w:left="705" w:hanging="577"/>
        <w:jc w:val="left"/>
      </w:pPr>
      <w:rPr>
        <w:rFonts w:ascii="Arial" w:eastAsia="Arial" w:hAnsi="Arial" w:cs="Arial" w:hint="default"/>
        <w:b w:val="0"/>
        <w:bCs w:val="0"/>
        <w:i w:val="0"/>
        <w:iCs w:val="0"/>
        <w:spacing w:val="0"/>
        <w:w w:val="99"/>
        <w:sz w:val="22"/>
        <w:szCs w:val="22"/>
        <w:lang w:val="en-US" w:eastAsia="en-US" w:bidi="ar-SA"/>
      </w:rPr>
    </w:lvl>
    <w:lvl w:ilvl="1" w:tplc="05945CA2">
      <w:numFmt w:val="bullet"/>
      <w:lvlText w:val=""/>
      <w:lvlJc w:val="left"/>
      <w:pPr>
        <w:ind w:left="1064" w:hanging="360"/>
      </w:pPr>
      <w:rPr>
        <w:rFonts w:ascii="Symbol" w:eastAsia="Symbol" w:hAnsi="Symbol" w:cs="Symbol" w:hint="default"/>
        <w:b w:val="0"/>
        <w:bCs w:val="0"/>
        <w:i w:val="0"/>
        <w:iCs w:val="0"/>
        <w:spacing w:val="0"/>
        <w:w w:val="99"/>
        <w:sz w:val="22"/>
        <w:szCs w:val="22"/>
        <w:lang w:val="en-US" w:eastAsia="en-US" w:bidi="ar-SA"/>
      </w:rPr>
    </w:lvl>
    <w:lvl w:ilvl="2" w:tplc="1B5637FE">
      <w:numFmt w:val="bullet"/>
      <w:lvlText w:val="•"/>
      <w:lvlJc w:val="left"/>
      <w:pPr>
        <w:ind w:left="1725" w:hanging="360"/>
      </w:pPr>
      <w:rPr>
        <w:rFonts w:hint="default"/>
        <w:lang w:val="en-US" w:eastAsia="en-US" w:bidi="ar-SA"/>
      </w:rPr>
    </w:lvl>
    <w:lvl w:ilvl="3" w:tplc="8B92C9A6">
      <w:numFmt w:val="bullet"/>
      <w:lvlText w:val="•"/>
      <w:lvlJc w:val="left"/>
      <w:pPr>
        <w:ind w:left="2391" w:hanging="360"/>
      </w:pPr>
      <w:rPr>
        <w:rFonts w:hint="default"/>
        <w:lang w:val="en-US" w:eastAsia="en-US" w:bidi="ar-SA"/>
      </w:rPr>
    </w:lvl>
    <w:lvl w:ilvl="4" w:tplc="926E2B2A">
      <w:numFmt w:val="bullet"/>
      <w:lvlText w:val="•"/>
      <w:lvlJc w:val="left"/>
      <w:pPr>
        <w:ind w:left="3056" w:hanging="360"/>
      </w:pPr>
      <w:rPr>
        <w:rFonts w:hint="default"/>
        <w:lang w:val="en-US" w:eastAsia="en-US" w:bidi="ar-SA"/>
      </w:rPr>
    </w:lvl>
    <w:lvl w:ilvl="5" w:tplc="2FB226BE">
      <w:numFmt w:val="bullet"/>
      <w:lvlText w:val="•"/>
      <w:lvlJc w:val="left"/>
      <w:pPr>
        <w:ind w:left="3722" w:hanging="360"/>
      </w:pPr>
      <w:rPr>
        <w:rFonts w:hint="default"/>
        <w:lang w:val="en-US" w:eastAsia="en-US" w:bidi="ar-SA"/>
      </w:rPr>
    </w:lvl>
    <w:lvl w:ilvl="6" w:tplc="B7363EFA">
      <w:numFmt w:val="bullet"/>
      <w:lvlText w:val="•"/>
      <w:lvlJc w:val="left"/>
      <w:pPr>
        <w:ind w:left="4387" w:hanging="360"/>
      </w:pPr>
      <w:rPr>
        <w:rFonts w:hint="default"/>
        <w:lang w:val="en-US" w:eastAsia="en-US" w:bidi="ar-SA"/>
      </w:rPr>
    </w:lvl>
    <w:lvl w:ilvl="7" w:tplc="4A1EDFDE">
      <w:numFmt w:val="bullet"/>
      <w:lvlText w:val="•"/>
      <w:lvlJc w:val="left"/>
      <w:pPr>
        <w:ind w:left="5053" w:hanging="360"/>
      </w:pPr>
      <w:rPr>
        <w:rFonts w:hint="default"/>
        <w:lang w:val="en-US" w:eastAsia="en-US" w:bidi="ar-SA"/>
      </w:rPr>
    </w:lvl>
    <w:lvl w:ilvl="8" w:tplc="E6BA34E4">
      <w:numFmt w:val="bullet"/>
      <w:lvlText w:val="•"/>
      <w:lvlJc w:val="left"/>
      <w:pPr>
        <w:ind w:left="5718" w:hanging="360"/>
      </w:pPr>
      <w:rPr>
        <w:rFonts w:hint="default"/>
        <w:lang w:val="en-US" w:eastAsia="en-US" w:bidi="ar-SA"/>
      </w:rPr>
    </w:lvl>
  </w:abstractNum>
  <w:abstractNum w:abstractNumId="88" w15:restartNumberingAfterBreak="0">
    <w:nsid w:val="35077D93"/>
    <w:multiLevelType w:val="hybridMultilevel"/>
    <w:tmpl w:val="8730C07C"/>
    <w:lvl w:ilvl="0" w:tplc="0FD82426">
      <w:start w:val="3"/>
      <w:numFmt w:val="lowerLetter"/>
      <w:lvlText w:val="%1."/>
      <w:lvlJc w:val="left"/>
      <w:pPr>
        <w:ind w:left="1304" w:hanging="390"/>
        <w:jc w:val="left"/>
      </w:pPr>
      <w:rPr>
        <w:rFonts w:ascii="Arial" w:eastAsia="Arial" w:hAnsi="Arial" w:cs="Arial" w:hint="default"/>
        <w:b w:val="0"/>
        <w:bCs w:val="0"/>
        <w:i w:val="0"/>
        <w:iCs w:val="0"/>
        <w:spacing w:val="0"/>
        <w:w w:val="99"/>
        <w:sz w:val="22"/>
        <w:szCs w:val="22"/>
        <w:lang w:val="en-US" w:eastAsia="en-US" w:bidi="ar-SA"/>
      </w:rPr>
    </w:lvl>
    <w:lvl w:ilvl="1" w:tplc="2736AE3E">
      <w:numFmt w:val="bullet"/>
      <w:lvlText w:val=""/>
      <w:lvlJc w:val="left"/>
      <w:pPr>
        <w:ind w:left="1693" w:hanging="362"/>
      </w:pPr>
      <w:rPr>
        <w:rFonts w:ascii="Symbol" w:eastAsia="Symbol" w:hAnsi="Symbol" w:cs="Symbol" w:hint="default"/>
        <w:b w:val="0"/>
        <w:bCs w:val="0"/>
        <w:i w:val="0"/>
        <w:iCs w:val="0"/>
        <w:spacing w:val="0"/>
        <w:w w:val="99"/>
        <w:sz w:val="22"/>
        <w:szCs w:val="22"/>
        <w:lang w:val="en-US" w:eastAsia="en-US" w:bidi="ar-SA"/>
      </w:rPr>
    </w:lvl>
    <w:lvl w:ilvl="2" w:tplc="30BCFE46">
      <w:numFmt w:val="bullet"/>
      <w:lvlText w:val="•"/>
      <w:lvlJc w:val="left"/>
      <w:pPr>
        <w:ind w:left="2327" w:hanging="362"/>
      </w:pPr>
      <w:rPr>
        <w:rFonts w:hint="default"/>
        <w:lang w:val="en-US" w:eastAsia="en-US" w:bidi="ar-SA"/>
      </w:rPr>
    </w:lvl>
    <w:lvl w:ilvl="3" w:tplc="684E090E">
      <w:numFmt w:val="bullet"/>
      <w:lvlText w:val="•"/>
      <w:lvlJc w:val="left"/>
      <w:pPr>
        <w:ind w:left="2955" w:hanging="362"/>
      </w:pPr>
      <w:rPr>
        <w:rFonts w:hint="default"/>
        <w:lang w:val="en-US" w:eastAsia="en-US" w:bidi="ar-SA"/>
      </w:rPr>
    </w:lvl>
    <w:lvl w:ilvl="4" w:tplc="BF48A272">
      <w:numFmt w:val="bullet"/>
      <w:lvlText w:val="•"/>
      <w:lvlJc w:val="left"/>
      <w:pPr>
        <w:ind w:left="3583" w:hanging="362"/>
      </w:pPr>
      <w:rPr>
        <w:rFonts w:hint="default"/>
        <w:lang w:val="en-US" w:eastAsia="en-US" w:bidi="ar-SA"/>
      </w:rPr>
    </w:lvl>
    <w:lvl w:ilvl="5" w:tplc="83946604">
      <w:numFmt w:val="bullet"/>
      <w:lvlText w:val="•"/>
      <w:lvlJc w:val="left"/>
      <w:pPr>
        <w:ind w:left="4211" w:hanging="362"/>
      </w:pPr>
      <w:rPr>
        <w:rFonts w:hint="default"/>
        <w:lang w:val="en-US" w:eastAsia="en-US" w:bidi="ar-SA"/>
      </w:rPr>
    </w:lvl>
    <w:lvl w:ilvl="6" w:tplc="0B1EB8C2">
      <w:numFmt w:val="bullet"/>
      <w:lvlText w:val="•"/>
      <w:lvlJc w:val="left"/>
      <w:pPr>
        <w:ind w:left="4838" w:hanging="362"/>
      </w:pPr>
      <w:rPr>
        <w:rFonts w:hint="default"/>
        <w:lang w:val="en-US" w:eastAsia="en-US" w:bidi="ar-SA"/>
      </w:rPr>
    </w:lvl>
    <w:lvl w:ilvl="7" w:tplc="9D52CFE4">
      <w:numFmt w:val="bullet"/>
      <w:lvlText w:val="•"/>
      <w:lvlJc w:val="left"/>
      <w:pPr>
        <w:ind w:left="5466" w:hanging="362"/>
      </w:pPr>
      <w:rPr>
        <w:rFonts w:hint="default"/>
        <w:lang w:val="en-US" w:eastAsia="en-US" w:bidi="ar-SA"/>
      </w:rPr>
    </w:lvl>
    <w:lvl w:ilvl="8" w:tplc="DAC4215C">
      <w:numFmt w:val="bullet"/>
      <w:lvlText w:val="•"/>
      <w:lvlJc w:val="left"/>
      <w:pPr>
        <w:ind w:left="6094" w:hanging="362"/>
      </w:pPr>
      <w:rPr>
        <w:rFonts w:hint="default"/>
        <w:lang w:val="en-US" w:eastAsia="en-US" w:bidi="ar-SA"/>
      </w:rPr>
    </w:lvl>
  </w:abstractNum>
  <w:abstractNum w:abstractNumId="89" w15:restartNumberingAfterBreak="0">
    <w:nsid w:val="351D4BE1"/>
    <w:multiLevelType w:val="hybridMultilevel"/>
    <w:tmpl w:val="82B831F0"/>
    <w:lvl w:ilvl="0" w:tplc="0E38C7A8">
      <w:start w:val="1"/>
      <w:numFmt w:val="decimalZero"/>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30AC927E">
      <w:start w:val="1"/>
      <w:numFmt w:val="lowerLetter"/>
      <w:lvlText w:val="%2."/>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2" w:tplc="935CB596">
      <w:numFmt w:val="bullet"/>
      <w:lvlText w:val=""/>
      <w:lvlJc w:val="left"/>
      <w:pPr>
        <w:ind w:left="2519" w:hanging="360"/>
      </w:pPr>
      <w:rPr>
        <w:rFonts w:ascii="Symbol" w:eastAsia="Symbol" w:hAnsi="Symbol" w:cs="Symbol" w:hint="default"/>
        <w:b w:val="0"/>
        <w:bCs w:val="0"/>
        <w:i w:val="0"/>
        <w:iCs w:val="0"/>
        <w:spacing w:val="0"/>
        <w:w w:val="99"/>
        <w:sz w:val="22"/>
        <w:szCs w:val="22"/>
        <w:lang w:val="en-US" w:eastAsia="en-US" w:bidi="ar-SA"/>
      </w:rPr>
    </w:lvl>
    <w:lvl w:ilvl="3" w:tplc="C9EA89BE">
      <w:numFmt w:val="bullet"/>
      <w:lvlText w:val="•"/>
      <w:lvlJc w:val="left"/>
      <w:pPr>
        <w:ind w:left="3510" w:hanging="360"/>
      </w:pPr>
      <w:rPr>
        <w:rFonts w:hint="default"/>
        <w:lang w:val="en-US" w:eastAsia="en-US" w:bidi="ar-SA"/>
      </w:rPr>
    </w:lvl>
    <w:lvl w:ilvl="4" w:tplc="ABB000AC">
      <w:numFmt w:val="bullet"/>
      <w:lvlText w:val="•"/>
      <w:lvlJc w:val="left"/>
      <w:pPr>
        <w:ind w:left="4500" w:hanging="360"/>
      </w:pPr>
      <w:rPr>
        <w:rFonts w:hint="default"/>
        <w:lang w:val="en-US" w:eastAsia="en-US" w:bidi="ar-SA"/>
      </w:rPr>
    </w:lvl>
    <w:lvl w:ilvl="5" w:tplc="105CFA46">
      <w:numFmt w:val="bullet"/>
      <w:lvlText w:val="•"/>
      <w:lvlJc w:val="left"/>
      <w:pPr>
        <w:ind w:left="5490" w:hanging="360"/>
      </w:pPr>
      <w:rPr>
        <w:rFonts w:hint="default"/>
        <w:lang w:val="en-US" w:eastAsia="en-US" w:bidi="ar-SA"/>
      </w:rPr>
    </w:lvl>
    <w:lvl w:ilvl="6" w:tplc="FB0CC19A">
      <w:numFmt w:val="bullet"/>
      <w:lvlText w:val="•"/>
      <w:lvlJc w:val="left"/>
      <w:pPr>
        <w:ind w:left="6480" w:hanging="360"/>
      </w:pPr>
      <w:rPr>
        <w:rFonts w:hint="default"/>
        <w:lang w:val="en-US" w:eastAsia="en-US" w:bidi="ar-SA"/>
      </w:rPr>
    </w:lvl>
    <w:lvl w:ilvl="7" w:tplc="EA98757C">
      <w:numFmt w:val="bullet"/>
      <w:lvlText w:val="•"/>
      <w:lvlJc w:val="left"/>
      <w:pPr>
        <w:ind w:left="7470" w:hanging="360"/>
      </w:pPr>
      <w:rPr>
        <w:rFonts w:hint="default"/>
        <w:lang w:val="en-US" w:eastAsia="en-US" w:bidi="ar-SA"/>
      </w:rPr>
    </w:lvl>
    <w:lvl w:ilvl="8" w:tplc="7DAA87BC">
      <w:numFmt w:val="bullet"/>
      <w:lvlText w:val="•"/>
      <w:lvlJc w:val="left"/>
      <w:pPr>
        <w:ind w:left="8460" w:hanging="360"/>
      </w:pPr>
      <w:rPr>
        <w:rFonts w:hint="default"/>
        <w:lang w:val="en-US" w:eastAsia="en-US" w:bidi="ar-SA"/>
      </w:rPr>
    </w:lvl>
  </w:abstractNum>
  <w:abstractNum w:abstractNumId="90" w15:restartNumberingAfterBreak="0">
    <w:nsid w:val="35B75E7F"/>
    <w:multiLevelType w:val="hybridMultilevel"/>
    <w:tmpl w:val="E23EFDEC"/>
    <w:lvl w:ilvl="0" w:tplc="0EE6E466">
      <w:start w:val="8"/>
      <w:numFmt w:val="lowerLetter"/>
      <w:lvlText w:val="%1."/>
      <w:lvlJc w:val="left"/>
      <w:pPr>
        <w:ind w:left="1203" w:hanging="360"/>
        <w:jc w:val="left"/>
      </w:pPr>
      <w:rPr>
        <w:rFonts w:ascii="Arial" w:eastAsia="Arial" w:hAnsi="Arial" w:cs="Arial" w:hint="default"/>
        <w:b w:val="0"/>
        <w:bCs w:val="0"/>
        <w:i w:val="0"/>
        <w:iCs w:val="0"/>
        <w:spacing w:val="0"/>
        <w:w w:val="99"/>
        <w:sz w:val="22"/>
        <w:szCs w:val="22"/>
        <w:lang w:val="en-US" w:eastAsia="en-US" w:bidi="ar-SA"/>
      </w:rPr>
    </w:lvl>
    <w:lvl w:ilvl="1" w:tplc="D31ED5D0">
      <w:numFmt w:val="bullet"/>
      <w:lvlText w:val=""/>
      <w:lvlJc w:val="left"/>
      <w:pPr>
        <w:ind w:left="1520" w:hanging="274"/>
      </w:pPr>
      <w:rPr>
        <w:rFonts w:ascii="Symbol" w:eastAsia="Symbol" w:hAnsi="Symbol" w:cs="Symbol" w:hint="default"/>
        <w:spacing w:val="0"/>
        <w:w w:val="99"/>
        <w:lang w:val="en-US" w:eastAsia="en-US" w:bidi="ar-SA"/>
      </w:rPr>
    </w:lvl>
    <w:lvl w:ilvl="2" w:tplc="09508F86">
      <w:numFmt w:val="bullet"/>
      <w:lvlText w:val="•"/>
      <w:lvlJc w:val="left"/>
      <w:pPr>
        <w:ind w:left="2167" w:hanging="274"/>
      </w:pPr>
      <w:rPr>
        <w:rFonts w:hint="default"/>
        <w:lang w:val="en-US" w:eastAsia="en-US" w:bidi="ar-SA"/>
      </w:rPr>
    </w:lvl>
    <w:lvl w:ilvl="3" w:tplc="B3B6BB84">
      <w:numFmt w:val="bullet"/>
      <w:lvlText w:val="•"/>
      <w:lvlJc w:val="left"/>
      <w:pPr>
        <w:ind w:left="2815" w:hanging="274"/>
      </w:pPr>
      <w:rPr>
        <w:rFonts w:hint="default"/>
        <w:lang w:val="en-US" w:eastAsia="en-US" w:bidi="ar-SA"/>
      </w:rPr>
    </w:lvl>
    <w:lvl w:ilvl="4" w:tplc="65A84446">
      <w:numFmt w:val="bullet"/>
      <w:lvlText w:val="•"/>
      <w:lvlJc w:val="left"/>
      <w:pPr>
        <w:ind w:left="3463" w:hanging="274"/>
      </w:pPr>
      <w:rPr>
        <w:rFonts w:hint="default"/>
        <w:lang w:val="en-US" w:eastAsia="en-US" w:bidi="ar-SA"/>
      </w:rPr>
    </w:lvl>
    <w:lvl w:ilvl="5" w:tplc="C4C07766">
      <w:numFmt w:val="bullet"/>
      <w:lvlText w:val="•"/>
      <w:lvlJc w:val="left"/>
      <w:pPr>
        <w:ind w:left="4111" w:hanging="274"/>
      </w:pPr>
      <w:rPr>
        <w:rFonts w:hint="default"/>
        <w:lang w:val="en-US" w:eastAsia="en-US" w:bidi="ar-SA"/>
      </w:rPr>
    </w:lvl>
    <w:lvl w:ilvl="6" w:tplc="0AE0AD20">
      <w:numFmt w:val="bullet"/>
      <w:lvlText w:val="•"/>
      <w:lvlJc w:val="left"/>
      <w:pPr>
        <w:ind w:left="4758" w:hanging="274"/>
      </w:pPr>
      <w:rPr>
        <w:rFonts w:hint="default"/>
        <w:lang w:val="en-US" w:eastAsia="en-US" w:bidi="ar-SA"/>
      </w:rPr>
    </w:lvl>
    <w:lvl w:ilvl="7" w:tplc="4C724098">
      <w:numFmt w:val="bullet"/>
      <w:lvlText w:val="•"/>
      <w:lvlJc w:val="left"/>
      <w:pPr>
        <w:ind w:left="5406" w:hanging="274"/>
      </w:pPr>
      <w:rPr>
        <w:rFonts w:hint="default"/>
        <w:lang w:val="en-US" w:eastAsia="en-US" w:bidi="ar-SA"/>
      </w:rPr>
    </w:lvl>
    <w:lvl w:ilvl="8" w:tplc="953EF4F6">
      <w:numFmt w:val="bullet"/>
      <w:lvlText w:val="•"/>
      <w:lvlJc w:val="left"/>
      <w:pPr>
        <w:ind w:left="6054" w:hanging="274"/>
      </w:pPr>
      <w:rPr>
        <w:rFonts w:hint="default"/>
        <w:lang w:val="en-US" w:eastAsia="en-US" w:bidi="ar-SA"/>
      </w:rPr>
    </w:lvl>
  </w:abstractNum>
  <w:abstractNum w:abstractNumId="91" w15:restartNumberingAfterBreak="0">
    <w:nsid w:val="3608204C"/>
    <w:multiLevelType w:val="hybridMultilevel"/>
    <w:tmpl w:val="998E768C"/>
    <w:lvl w:ilvl="0" w:tplc="49B4ED94">
      <w:numFmt w:val="bullet"/>
      <w:lvlText w:val=""/>
      <w:lvlJc w:val="left"/>
      <w:pPr>
        <w:ind w:left="336" w:hanging="180"/>
      </w:pPr>
      <w:rPr>
        <w:rFonts w:ascii="Symbol" w:eastAsia="Symbol" w:hAnsi="Symbol" w:cs="Symbol" w:hint="default"/>
        <w:b w:val="0"/>
        <w:bCs w:val="0"/>
        <w:i w:val="0"/>
        <w:iCs w:val="0"/>
        <w:spacing w:val="0"/>
        <w:w w:val="100"/>
        <w:sz w:val="18"/>
        <w:szCs w:val="18"/>
        <w:lang w:val="en-US" w:eastAsia="en-US" w:bidi="ar-SA"/>
      </w:rPr>
    </w:lvl>
    <w:lvl w:ilvl="1" w:tplc="087A8CBC">
      <w:numFmt w:val="bullet"/>
      <w:lvlText w:val="•"/>
      <w:lvlJc w:val="left"/>
      <w:pPr>
        <w:ind w:left="781" w:hanging="180"/>
      </w:pPr>
      <w:rPr>
        <w:rFonts w:hint="default"/>
        <w:lang w:val="en-US" w:eastAsia="en-US" w:bidi="ar-SA"/>
      </w:rPr>
    </w:lvl>
    <w:lvl w:ilvl="2" w:tplc="9B9AD170">
      <w:numFmt w:val="bullet"/>
      <w:lvlText w:val="•"/>
      <w:lvlJc w:val="left"/>
      <w:pPr>
        <w:ind w:left="1223" w:hanging="180"/>
      </w:pPr>
      <w:rPr>
        <w:rFonts w:hint="default"/>
        <w:lang w:val="en-US" w:eastAsia="en-US" w:bidi="ar-SA"/>
      </w:rPr>
    </w:lvl>
    <w:lvl w:ilvl="3" w:tplc="52FADB36">
      <w:numFmt w:val="bullet"/>
      <w:lvlText w:val="•"/>
      <w:lvlJc w:val="left"/>
      <w:pPr>
        <w:ind w:left="1664" w:hanging="180"/>
      </w:pPr>
      <w:rPr>
        <w:rFonts w:hint="default"/>
        <w:lang w:val="en-US" w:eastAsia="en-US" w:bidi="ar-SA"/>
      </w:rPr>
    </w:lvl>
    <w:lvl w:ilvl="4" w:tplc="3F5885DA">
      <w:numFmt w:val="bullet"/>
      <w:lvlText w:val="•"/>
      <w:lvlJc w:val="left"/>
      <w:pPr>
        <w:ind w:left="2106" w:hanging="180"/>
      </w:pPr>
      <w:rPr>
        <w:rFonts w:hint="default"/>
        <w:lang w:val="en-US" w:eastAsia="en-US" w:bidi="ar-SA"/>
      </w:rPr>
    </w:lvl>
    <w:lvl w:ilvl="5" w:tplc="77D000D0">
      <w:numFmt w:val="bullet"/>
      <w:lvlText w:val="•"/>
      <w:lvlJc w:val="left"/>
      <w:pPr>
        <w:ind w:left="2548" w:hanging="180"/>
      </w:pPr>
      <w:rPr>
        <w:rFonts w:hint="default"/>
        <w:lang w:val="en-US" w:eastAsia="en-US" w:bidi="ar-SA"/>
      </w:rPr>
    </w:lvl>
    <w:lvl w:ilvl="6" w:tplc="8E0CFE84">
      <w:numFmt w:val="bullet"/>
      <w:lvlText w:val="•"/>
      <w:lvlJc w:val="left"/>
      <w:pPr>
        <w:ind w:left="2989" w:hanging="180"/>
      </w:pPr>
      <w:rPr>
        <w:rFonts w:hint="default"/>
        <w:lang w:val="en-US" w:eastAsia="en-US" w:bidi="ar-SA"/>
      </w:rPr>
    </w:lvl>
    <w:lvl w:ilvl="7" w:tplc="CF1CDD8E">
      <w:numFmt w:val="bullet"/>
      <w:lvlText w:val="•"/>
      <w:lvlJc w:val="left"/>
      <w:pPr>
        <w:ind w:left="3431" w:hanging="180"/>
      </w:pPr>
      <w:rPr>
        <w:rFonts w:hint="default"/>
        <w:lang w:val="en-US" w:eastAsia="en-US" w:bidi="ar-SA"/>
      </w:rPr>
    </w:lvl>
    <w:lvl w:ilvl="8" w:tplc="4D74C9C6">
      <w:numFmt w:val="bullet"/>
      <w:lvlText w:val="•"/>
      <w:lvlJc w:val="left"/>
      <w:pPr>
        <w:ind w:left="3873" w:hanging="180"/>
      </w:pPr>
      <w:rPr>
        <w:rFonts w:hint="default"/>
        <w:lang w:val="en-US" w:eastAsia="en-US" w:bidi="ar-SA"/>
      </w:rPr>
    </w:lvl>
  </w:abstractNum>
  <w:abstractNum w:abstractNumId="92" w15:restartNumberingAfterBreak="0">
    <w:nsid w:val="368376A9"/>
    <w:multiLevelType w:val="hybridMultilevel"/>
    <w:tmpl w:val="E7E4C0A0"/>
    <w:lvl w:ilvl="0" w:tplc="6AD26346">
      <w:start w:val="3"/>
      <w:numFmt w:val="lowerLetter"/>
      <w:lvlText w:val="%1."/>
      <w:lvlJc w:val="left"/>
      <w:pPr>
        <w:ind w:left="1249" w:hanging="360"/>
        <w:jc w:val="left"/>
      </w:pPr>
      <w:rPr>
        <w:rFonts w:ascii="Arial" w:eastAsia="Arial" w:hAnsi="Arial" w:cs="Arial" w:hint="default"/>
        <w:b w:val="0"/>
        <w:bCs w:val="0"/>
        <w:i w:val="0"/>
        <w:iCs w:val="0"/>
        <w:spacing w:val="0"/>
        <w:w w:val="99"/>
        <w:sz w:val="22"/>
        <w:szCs w:val="22"/>
        <w:lang w:val="en-US" w:eastAsia="en-US" w:bidi="ar-SA"/>
      </w:rPr>
    </w:lvl>
    <w:lvl w:ilvl="1" w:tplc="DC5E9504">
      <w:numFmt w:val="bullet"/>
      <w:lvlText w:val=""/>
      <w:lvlJc w:val="left"/>
      <w:pPr>
        <w:ind w:left="1606" w:hanging="363"/>
      </w:pPr>
      <w:rPr>
        <w:rFonts w:ascii="Symbol" w:eastAsia="Symbol" w:hAnsi="Symbol" w:cs="Symbol" w:hint="default"/>
        <w:spacing w:val="0"/>
        <w:w w:val="99"/>
        <w:lang w:val="en-US" w:eastAsia="en-US" w:bidi="ar-SA"/>
      </w:rPr>
    </w:lvl>
    <w:lvl w:ilvl="2" w:tplc="22906908">
      <w:numFmt w:val="bullet"/>
      <w:lvlText w:val="•"/>
      <w:lvlJc w:val="left"/>
      <w:pPr>
        <w:ind w:left="2238" w:hanging="363"/>
      </w:pPr>
      <w:rPr>
        <w:rFonts w:hint="default"/>
        <w:lang w:val="en-US" w:eastAsia="en-US" w:bidi="ar-SA"/>
      </w:rPr>
    </w:lvl>
    <w:lvl w:ilvl="3" w:tplc="D8AA7F6E">
      <w:numFmt w:val="bullet"/>
      <w:lvlText w:val="•"/>
      <w:lvlJc w:val="left"/>
      <w:pPr>
        <w:ind w:left="2877" w:hanging="363"/>
      </w:pPr>
      <w:rPr>
        <w:rFonts w:hint="default"/>
        <w:lang w:val="en-US" w:eastAsia="en-US" w:bidi="ar-SA"/>
      </w:rPr>
    </w:lvl>
    <w:lvl w:ilvl="4" w:tplc="110692BA">
      <w:numFmt w:val="bullet"/>
      <w:lvlText w:val="•"/>
      <w:lvlJc w:val="left"/>
      <w:pPr>
        <w:ind w:left="3516" w:hanging="363"/>
      </w:pPr>
      <w:rPr>
        <w:rFonts w:hint="default"/>
        <w:lang w:val="en-US" w:eastAsia="en-US" w:bidi="ar-SA"/>
      </w:rPr>
    </w:lvl>
    <w:lvl w:ilvl="5" w:tplc="8EA4B8A2">
      <w:numFmt w:val="bullet"/>
      <w:lvlText w:val="•"/>
      <w:lvlJc w:val="left"/>
      <w:pPr>
        <w:ind w:left="4155" w:hanging="363"/>
      </w:pPr>
      <w:rPr>
        <w:rFonts w:hint="default"/>
        <w:lang w:val="en-US" w:eastAsia="en-US" w:bidi="ar-SA"/>
      </w:rPr>
    </w:lvl>
    <w:lvl w:ilvl="6" w:tplc="94306F40">
      <w:numFmt w:val="bullet"/>
      <w:lvlText w:val="•"/>
      <w:lvlJc w:val="left"/>
      <w:pPr>
        <w:ind w:left="4794" w:hanging="363"/>
      </w:pPr>
      <w:rPr>
        <w:rFonts w:hint="default"/>
        <w:lang w:val="en-US" w:eastAsia="en-US" w:bidi="ar-SA"/>
      </w:rPr>
    </w:lvl>
    <w:lvl w:ilvl="7" w:tplc="6422C9B2">
      <w:numFmt w:val="bullet"/>
      <w:lvlText w:val="•"/>
      <w:lvlJc w:val="left"/>
      <w:pPr>
        <w:ind w:left="5433" w:hanging="363"/>
      </w:pPr>
      <w:rPr>
        <w:rFonts w:hint="default"/>
        <w:lang w:val="en-US" w:eastAsia="en-US" w:bidi="ar-SA"/>
      </w:rPr>
    </w:lvl>
    <w:lvl w:ilvl="8" w:tplc="6D9A46FA">
      <w:numFmt w:val="bullet"/>
      <w:lvlText w:val="•"/>
      <w:lvlJc w:val="left"/>
      <w:pPr>
        <w:ind w:left="6072" w:hanging="363"/>
      </w:pPr>
      <w:rPr>
        <w:rFonts w:hint="default"/>
        <w:lang w:val="en-US" w:eastAsia="en-US" w:bidi="ar-SA"/>
      </w:rPr>
    </w:lvl>
  </w:abstractNum>
  <w:abstractNum w:abstractNumId="93" w15:restartNumberingAfterBreak="0">
    <w:nsid w:val="369F299D"/>
    <w:multiLevelType w:val="hybridMultilevel"/>
    <w:tmpl w:val="4F2A6540"/>
    <w:lvl w:ilvl="0" w:tplc="BE401824">
      <w:start w:val="1"/>
      <w:numFmt w:val="decimalZero"/>
      <w:lvlText w:val=".%1"/>
      <w:lvlJc w:val="left"/>
      <w:pPr>
        <w:ind w:left="1799" w:hanging="721"/>
        <w:jc w:val="left"/>
      </w:pPr>
      <w:rPr>
        <w:rFonts w:ascii="Arial" w:eastAsia="Arial" w:hAnsi="Arial" w:cs="Arial" w:hint="default"/>
        <w:b w:val="0"/>
        <w:bCs w:val="0"/>
        <w:i w:val="0"/>
        <w:iCs w:val="0"/>
        <w:spacing w:val="0"/>
        <w:w w:val="99"/>
        <w:sz w:val="22"/>
        <w:szCs w:val="22"/>
        <w:lang w:val="en-US" w:eastAsia="en-US" w:bidi="ar-SA"/>
      </w:rPr>
    </w:lvl>
    <w:lvl w:ilvl="1" w:tplc="8E9C5DA6">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3EAE26FE">
      <w:numFmt w:val="bullet"/>
      <w:lvlText w:val="•"/>
      <w:lvlJc w:val="left"/>
      <w:pPr>
        <w:ind w:left="3080" w:hanging="360"/>
      </w:pPr>
      <w:rPr>
        <w:rFonts w:hint="default"/>
        <w:lang w:val="en-US" w:eastAsia="en-US" w:bidi="ar-SA"/>
      </w:rPr>
    </w:lvl>
    <w:lvl w:ilvl="3" w:tplc="27C05376">
      <w:numFmt w:val="bullet"/>
      <w:lvlText w:val="•"/>
      <w:lvlJc w:val="left"/>
      <w:pPr>
        <w:ind w:left="4000" w:hanging="360"/>
      </w:pPr>
      <w:rPr>
        <w:rFonts w:hint="default"/>
        <w:lang w:val="en-US" w:eastAsia="en-US" w:bidi="ar-SA"/>
      </w:rPr>
    </w:lvl>
    <w:lvl w:ilvl="4" w:tplc="59E87016">
      <w:numFmt w:val="bullet"/>
      <w:lvlText w:val="•"/>
      <w:lvlJc w:val="left"/>
      <w:pPr>
        <w:ind w:left="4920" w:hanging="360"/>
      </w:pPr>
      <w:rPr>
        <w:rFonts w:hint="default"/>
        <w:lang w:val="en-US" w:eastAsia="en-US" w:bidi="ar-SA"/>
      </w:rPr>
    </w:lvl>
    <w:lvl w:ilvl="5" w:tplc="7CBA54E2">
      <w:numFmt w:val="bullet"/>
      <w:lvlText w:val="•"/>
      <w:lvlJc w:val="left"/>
      <w:pPr>
        <w:ind w:left="5840" w:hanging="360"/>
      </w:pPr>
      <w:rPr>
        <w:rFonts w:hint="default"/>
        <w:lang w:val="en-US" w:eastAsia="en-US" w:bidi="ar-SA"/>
      </w:rPr>
    </w:lvl>
    <w:lvl w:ilvl="6" w:tplc="B71424E4">
      <w:numFmt w:val="bullet"/>
      <w:lvlText w:val="•"/>
      <w:lvlJc w:val="left"/>
      <w:pPr>
        <w:ind w:left="6760" w:hanging="360"/>
      </w:pPr>
      <w:rPr>
        <w:rFonts w:hint="default"/>
        <w:lang w:val="en-US" w:eastAsia="en-US" w:bidi="ar-SA"/>
      </w:rPr>
    </w:lvl>
    <w:lvl w:ilvl="7" w:tplc="C0586EA8">
      <w:numFmt w:val="bullet"/>
      <w:lvlText w:val="•"/>
      <w:lvlJc w:val="left"/>
      <w:pPr>
        <w:ind w:left="7680" w:hanging="360"/>
      </w:pPr>
      <w:rPr>
        <w:rFonts w:hint="default"/>
        <w:lang w:val="en-US" w:eastAsia="en-US" w:bidi="ar-SA"/>
      </w:rPr>
    </w:lvl>
    <w:lvl w:ilvl="8" w:tplc="98348386">
      <w:numFmt w:val="bullet"/>
      <w:lvlText w:val="•"/>
      <w:lvlJc w:val="left"/>
      <w:pPr>
        <w:ind w:left="8600" w:hanging="360"/>
      </w:pPr>
      <w:rPr>
        <w:rFonts w:hint="default"/>
        <w:lang w:val="en-US" w:eastAsia="en-US" w:bidi="ar-SA"/>
      </w:rPr>
    </w:lvl>
  </w:abstractNum>
  <w:abstractNum w:abstractNumId="94" w15:restartNumberingAfterBreak="0">
    <w:nsid w:val="374502D4"/>
    <w:multiLevelType w:val="hybridMultilevel"/>
    <w:tmpl w:val="3A202CD6"/>
    <w:lvl w:ilvl="0" w:tplc="53ECEA2A">
      <w:numFmt w:val="bullet"/>
      <w:lvlText w:val=""/>
      <w:lvlJc w:val="left"/>
      <w:pPr>
        <w:ind w:left="328" w:hanging="180"/>
      </w:pPr>
      <w:rPr>
        <w:rFonts w:ascii="Symbol" w:eastAsia="Symbol" w:hAnsi="Symbol" w:cs="Symbol" w:hint="default"/>
        <w:b w:val="0"/>
        <w:bCs w:val="0"/>
        <w:i w:val="0"/>
        <w:iCs w:val="0"/>
        <w:spacing w:val="0"/>
        <w:w w:val="100"/>
        <w:sz w:val="18"/>
        <w:szCs w:val="18"/>
        <w:lang w:val="en-US" w:eastAsia="en-US" w:bidi="ar-SA"/>
      </w:rPr>
    </w:lvl>
    <w:lvl w:ilvl="1" w:tplc="0F581CE6">
      <w:numFmt w:val="bullet"/>
      <w:lvlText w:val="•"/>
      <w:lvlJc w:val="left"/>
      <w:pPr>
        <w:ind w:left="763" w:hanging="180"/>
      </w:pPr>
      <w:rPr>
        <w:rFonts w:hint="default"/>
        <w:lang w:val="en-US" w:eastAsia="en-US" w:bidi="ar-SA"/>
      </w:rPr>
    </w:lvl>
    <w:lvl w:ilvl="2" w:tplc="1936B678">
      <w:numFmt w:val="bullet"/>
      <w:lvlText w:val="•"/>
      <w:lvlJc w:val="left"/>
      <w:pPr>
        <w:ind w:left="1207" w:hanging="180"/>
      </w:pPr>
      <w:rPr>
        <w:rFonts w:hint="default"/>
        <w:lang w:val="en-US" w:eastAsia="en-US" w:bidi="ar-SA"/>
      </w:rPr>
    </w:lvl>
    <w:lvl w:ilvl="3" w:tplc="B9B4C8DA">
      <w:numFmt w:val="bullet"/>
      <w:lvlText w:val="•"/>
      <w:lvlJc w:val="left"/>
      <w:pPr>
        <w:ind w:left="1651" w:hanging="180"/>
      </w:pPr>
      <w:rPr>
        <w:rFonts w:hint="default"/>
        <w:lang w:val="en-US" w:eastAsia="en-US" w:bidi="ar-SA"/>
      </w:rPr>
    </w:lvl>
    <w:lvl w:ilvl="4" w:tplc="0BB0E51C">
      <w:numFmt w:val="bullet"/>
      <w:lvlText w:val="•"/>
      <w:lvlJc w:val="left"/>
      <w:pPr>
        <w:ind w:left="2095" w:hanging="180"/>
      </w:pPr>
      <w:rPr>
        <w:rFonts w:hint="default"/>
        <w:lang w:val="en-US" w:eastAsia="en-US" w:bidi="ar-SA"/>
      </w:rPr>
    </w:lvl>
    <w:lvl w:ilvl="5" w:tplc="EBB88A4E">
      <w:numFmt w:val="bullet"/>
      <w:lvlText w:val="•"/>
      <w:lvlJc w:val="left"/>
      <w:pPr>
        <w:ind w:left="2538" w:hanging="180"/>
      </w:pPr>
      <w:rPr>
        <w:rFonts w:hint="default"/>
        <w:lang w:val="en-US" w:eastAsia="en-US" w:bidi="ar-SA"/>
      </w:rPr>
    </w:lvl>
    <w:lvl w:ilvl="6" w:tplc="4962AD86">
      <w:numFmt w:val="bullet"/>
      <w:lvlText w:val="•"/>
      <w:lvlJc w:val="left"/>
      <w:pPr>
        <w:ind w:left="2982" w:hanging="180"/>
      </w:pPr>
      <w:rPr>
        <w:rFonts w:hint="default"/>
        <w:lang w:val="en-US" w:eastAsia="en-US" w:bidi="ar-SA"/>
      </w:rPr>
    </w:lvl>
    <w:lvl w:ilvl="7" w:tplc="8FFE7BC8">
      <w:numFmt w:val="bullet"/>
      <w:lvlText w:val="•"/>
      <w:lvlJc w:val="left"/>
      <w:pPr>
        <w:ind w:left="3426" w:hanging="180"/>
      </w:pPr>
      <w:rPr>
        <w:rFonts w:hint="default"/>
        <w:lang w:val="en-US" w:eastAsia="en-US" w:bidi="ar-SA"/>
      </w:rPr>
    </w:lvl>
    <w:lvl w:ilvl="8" w:tplc="0C64B324">
      <w:numFmt w:val="bullet"/>
      <w:lvlText w:val="•"/>
      <w:lvlJc w:val="left"/>
      <w:pPr>
        <w:ind w:left="3870" w:hanging="180"/>
      </w:pPr>
      <w:rPr>
        <w:rFonts w:hint="default"/>
        <w:lang w:val="en-US" w:eastAsia="en-US" w:bidi="ar-SA"/>
      </w:rPr>
    </w:lvl>
  </w:abstractNum>
  <w:abstractNum w:abstractNumId="95" w15:restartNumberingAfterBreak="0">
    <w:nsid w:val="374D3E42"/>
    <w:multiLevelType w:val="hybridMultilevel"/>
    <w:tmpl w:val="3C889EDA"/>
    <w:lvl w:ilvl="0" w:tplc="809C5CD2">
      <w:numFmt w:val="bullet"/>
      <w:lvlText w:val=""/>
      <w:lvlJc w:val="left"/>
      <w:pPr>
        <w:ind w:left="272" w:hanging="186"/>
      </w:pPr>
      <w:rPr>
        <w:rFonts w:ascii="Symbol" w:eastAsia="Symbol" w:hAnsi="Symbol" w:cs="Symbol" w:hint="default"/>
        <w:b w:val="0"/>
        <w:bCs w:val="0"/>
        <w:i w:val="0"/>
        <w:iCs w:val="0"/>
        <w:spacing w:val="0"/>
        <w:w w:val="100"/>
        <w:sz w:val="18"/>
        <w:szCs w:val="18"/>
        <w:lang w:val="en-US" w:eastAsia="en-US" w:bidi="ar-SA"/>
      </w:rPr>
    </w:lvl>
    <w:lvl w:ilvl="1" w:tplc="67E89308">
      <w:numFmt w:val="bullet"/>
      <w:lvlText w:val="•"/>
      <w:lvlJc w:val="left"/>
      <w:pPr>
        <w:ind w:left="727" w:hanging="186"/>
      </w:pPr>
      <w:rPr>
        <w:rFonts w:hint="default"/>
        <w:lang w:val="en-US" w:eastAsia="en-US" w:bidi="ar-SA"/>
      </w:rPr>
    </w:lvl>
    <w:lvl w:ilvl="2" w:tplc="13EE0854">
      <w:numFmt w:val="bullet"/>
      <w:lvlText w:val="•"/>
      <w:lvlJc w:val="left"/>
      <w:pPr>
        <w:ind w:left="1175" w:hanging="186"/>
      </w:pPr>
      <w:rPr>
        <w:rFonts w:hint="default"/>
        <w:lang w:val="en-US" w:eastAsia="en-US" w:bidi="ar-SA"/>
      </w:rPr>
    </w:lvl>
    <w:lvl w:ilvl="3" w:tplc="EC6ED618">
      <w:numFmt w:val="bullet"/>
      <w:lvlText w:val="•"/>
      <w:lvlJc w:val="left"/>
      <w:pPr>
        <w:ind w:left="1623" w:hanging="186"/>
      </w:pPr>
      <w:rPr>
        <w:rFonts w:hint="default"/>
        <w:lang w:val="en-US" w:eastAsia="en-US" w:bidi="ar-SA"/>
      </w:rPr>
    </w:lvl>
    <w:lvl w:ilvl="4" w:tplc="D0DE55D4">
      <w:numFmt w:val="bullet"/>
      <w:lvlText w:val="•"/>
      <w:lvlJc w:val="left"/>
      <w:pPr>
        <w:ind w:left="2071" w:hanging="186"/>
      </w:pPr>
      <w:rPr>
        <w:rFonts w:hint="default"/>
        <w:lang w:val="en-US" w:eastAsia="en-US" w:bidi="ar-SA"/>
      </w:rPr>
    </w:lvl>
    <w:lvl w:ilvl="5" w:tplc="3C64421A">
      <w:numFmt w:val="bullet"/>
      <w:lvlText w:val="•"/>
      <w:lvlJc w:val="left"/>
      <w:pPr>
        <w:ind w:left="2518" w:hanging="186"/>
      </w:pPr>
      <w:rPr>
        <w:rFonts w:hint="default"/>
        <w:lang w:val="en-US" w:eastAsia="en-US" w:bidi="ar-SA"/>
      </w:rPr>
    </w:lvl>
    <w:lvl w:ilvl="6" w:tplc="3DD6C7EA">
      <w:numFmt w:val="bullet"/>
      <w:lvlText w:val="•"/>
      <w:lvlJc w:val="left"/>
      <w:pPr>
        <w:ind w:left="2966" w:hanging="186"/>
      </w:pPr>
      <w:rPr>
        <w:rFonts w:hint="default"/>
        <w:lang w:val="en-US" w:eastAsia="en-US" w:bidi="ar-SA"/>
      </w:rPr>
    </w:lvl>
    <w:lvl w:ilvl="7" w:tplc="F7762F0C">
      <w:numFmt w:val="bullet"/>
      <w:lvlText w:val="•"/>
      <w:lvlJc w:val="left"/>
      <w:pPr>
        <w:ind w:left="3414" w:hanging="186"/>
      </w:pPr>
      <w:rPr>
        <w:rFonts w:hint="default"/>
        <w:lang w:val="en-US" w:eastAsia="en-US" w:bidi="ar-SA"/>
      </w:rPr>
    </w:lvl>
    <w:lvl w:ilvl="8" w:tplc="369A0D98">
      <w:numFmt w:val="bullet"/>
      <w:lvlText w:val="•"/>
      <w:lvlJc w:val="left"/>
      <w:pPr>
        <w:ind w:left="3862" w:hanging="186"/>
      </w:pPr>
      <w:rPr>
        <w:rFonts w:hint="default"/>
        <w:lang w:val="en-US" w:eastAsia="en-US" w:bidi="ar-SA"/>
      </w:rPr>
    </w:lvl>
  </w:abstractNum>
  <w:abstractNum w:abstractNumId="96" w15:restartNumberingAfterBreak="0">
    <w:nsid w:val="38E731F2"/>
    <w:multiLevelType w:val="hybridMultilevel"/>
    <w:tmpl w:val="A8A44082"/>
    <w:lvl w:ilvl="0" w:tplc="3D0C86BE">
      <w:start w:val="18"/>
      <w:numFmt w:val="lowerLetter"/>
      <w:lvlText w:val="%1."/>
      <w:lvlJc w:val="left"/>
      <w:pPr>
        <w:ind w:left="1203" w:hanging="360"/>
        <w:jc w:val="left"/>
      </w:pPr>
      <w:rPr>
        <w:rFonts w:ascii="Arial" w:eastAsia="Arial" w:hAnsi="Arial" w:cs="Arial" w:hint="default"/>
        <w:b w:val="0"/>
        <w:bCs w:val="0"/>
        <w:i w:val="0"/>
        <w:iCs w:val="0"/>
        <w:spacing w:val="0"/>
        <w:w w:val="99"/>
        <w:sz w:val="22"/>
        <w:szCs w:val="22"/>
        <w:lang w:val="en-US" w:eastAsia="en-US" w:bidi="ar-SA"/>
      </w:rPr>
    </w:lvl>
    <w:lvl w:ilvl="1" w:tplc="B09263B0">
      <w:numFmt w:val="bullet"/>
      <w:lvlText w:val=""/>
      <w:lvlJc w:val="left"/>
      <w:pPr>
        <w:ind w:left="1520" w:hanging="274"/>
      </w:pPr>
      <w:rPr>
        <w:rFonts w:ascii="Symbol" w:eastAsia="Symbol" w:hAnsi="Symbol" w:cs="Symbol" w:hint="default"/>
        <w:spacing w:val="0"/>
        <w:w w:val="99"/>
        <w:lang w:val="en-US" w:eastAsia="en-US" w:bidi="ar-SA"/>
      </w:rPr>
    </w:lvl>
    <w:lvl w:ilvl="2" w:tplc="CA686E76">
      <w:numFmt w:val="bullet"/>
      <w:lvlText w:val="•"/>
      <w:lvlJc w:val="left"/>
      <w:pPr>
        <w:ind w:left="2167" w:hanging="274"/>
      </w:pPr>
      <w:rPr>
        <w:rFonts w:hint="default"/>
        <w:lang w:val="en-US" w:eastAsia="en-US" w:bidi="ar-SA"/>
      </w:rPr>
    </w:lvl>
    <w:lvl w:ilvl="3" w:tplc="1B8E7962">
      <w:numFmt w:val="bullet"/>
      <w:lvlText w:val="•"/>
      <w:lvlJc w:val="left"/>
      <w:pPr>
        <w:ind w:left="2815" w:hanging="274"/>
      </w:pPr>
      <w:rPr>
        <w:rFonts w:hint="default"/>
        <w:lang w:val="en-US" w:eastAsia="en-US" w:bidi="ar-SA"/>
      </w:rPr>
    </w:lvl>
    <w:lvl w:ilvl="4" w:tplc="21FAEA60">
      <w:numFmt w:val="bullet"/>
      <w:lvlText w:val="•"/>
      <w:lvlJc w:val="left"/>
      <w:pPr>
        <w:ind w:left="3463" w:hanging="274"/>
      </w:pPr>
      <w:rPr>
        <w:rFonts w:hint="default"/>
        <w:lang w:val="en-US" w:eastAsia="en-US" w:bidi="ar-SA"/>
      </w:rPr>
    </w:lvl>
    <w:lvl w:ilvl="5" w:tplc="23BA1F28">
      <w:numFmt w:val="bullet"/>
      <w:lvlText w:val="•"/>
      <w:lvlJc w:val="left"/>
      <w:pPr>
        <w:ind w:left="4111" w:hanging="274"/>
      </w:pPr>
      <w:rPr>
        <w:rFonts w:hint="default"/>
        <w:lang w:val="en-US" w:eastAsia="en-US" w:bidi="ar-SA"/>
      </w:rPr>
    </w:lvl>
    <w:lvl w:ilvl="6" w:tplc="A2A8907A">
      <w:numFmt w:val="bullet"/>
      <w:lvlText w:val="•"/>
      <w:lvlJc w:val="left"/>
      <w:pPr>
        <w:ind w:left="4758" w:hanging="274"/>
      </w:pPr>
      <w:rPr>
        <w:rFonts w:hint="default"/>
        <w:lang w:val="en-US" w:eastAsia="en-US" w:bidi="ar-SA"/>
      </w:rPr>
    </w:lvl>
    <w:lvl w:ilvl="7" w:tplc="0C50B98C">
      <w:numFmt w:val="bullet"/>
      <w:lvlText w:val="•"/>
      <w:lvlJc w:val="left"/>
      <w:pPr>
        <w:ind w:left="5406" w:hanging="274"/>
      </w:pPr>
      <w:rPr>
        <w:rFonts w:hint="default"/>
        <w:lang w:val="en-US" w:eastAsia="en-US" w:bidi="ar-SA"/>
      </w:rPr>
    </w:lvl>
    <w:lvl w:ilvl="8" w:tplc="C1FA180A">
      <w:numFmt w:val="bullet"/>
      <w:lvlText w:val="•"/>
      <w:lvlJc w:val="left"/>
      <w:pPr>
        <w:ind w:left="6054" w:hanging="274"/>
      </w:pPr>
      <w:rPr>
        <w:rFonts w:hint="default"/>
        <w:lang w:val="en-US" w:eastAsia="en-US" w:bidi="ar-SA"/>
      </w:rPr>
    </w:lvl>
  </w:abstractNum>
  <w:abstractNum w:abstractNumId="97" w15:restartNumberingAfterBreak="0">
    <w:nsid w:val="3A74312E"/>
    <w:multiLevelType w:val="hybridMultilevel"/>
    <w:tmpl w:val="C0D66EE2"/>
    <w:lvl w:ilvl="0" w:tplc="672435BC">
      <w:start w:val="1"/>
      <w:numFmt w:val="lowerLetter"/>
      <w:lvlText w:val="%1)"/>
      <w:lvlJc w:val="left"/>
      <w:pPr>
        <w:ind w:left="1167" w:hanging="362"/>
        <w:jc w:val="left"/>
      </w:pPr>
      <w:rPr>
        <w:rFonts w:ascii="Arial" w:eastAsia="Arial" w:hAnsi="Arial" w:cs="Arial" w:hint="default"/>
        <w:b w:val="0"/>
        <w:bCs w:val="0"/>
        <w:i w:val="0"/>
        <w:iCs w:val="0"/>
        <w:spacing w:val="0"/>
        <w:w w:val="99"/>
        <w:sz w:val="22"/>
        <w:szCs w:val="22"/>
        <w:lang w:val="en-US" w:eastAsia="en-US" w:bidi="ar-SA"/>
      </w:rPr>
    </w:lvl>
    <w:lvl w:ilvl="1" w:tplc="EE667EA4">
      <w:numFmt w:val="bullet"/>
      <w:lvlText w:val="•"/>
      <w:lvlJc w:val="left"/>
      <w:pPr>
        <w:ind w:left="1710" w:hanging="362"/>
      </w:pPr>
      <w:rPr>
        <w:rFonts w:hint="default"/>
        <w:lang w:val="en-US" w:eastAsia="en-US" w:bidi="ar-SA"/>
      </w:rPr>
    </w:lvl>
    <w:lvl w:ilvl="2" w:tplc="BCF0DB70">
      <w:numFmt w:val="bullet"/>
      <w:lvlText w:val="•"/>
      <w:lvlJc w:val="left"/>
      <w:pPr>
        <w:ind w:left="2261" w:hanging="362"/>
      </w:pPr>
      <w:rPr>
        <w:rFonts w:hint="default"/>
        <w:lang w:val="en-US" w:eastAsia="en-US" w:bidi="ar-SA"/>
      </w:rPr>
    </w:lvl>
    <w:lvl w:ilvl="3" w:tplc="D7BE21F8">
      <w:numFmt w:val="bullet"/>
      <w:lvlText w:val="•"/>
      <w:lvlJc w:val="left"/>
      <w:pPr>
        <w:ind w:left="2812" w:hanging="362"/>
      </w:pPr>
      <w:rPr>
        <w:rFonts w:hint="default"/>
        <w:lang w:val="en-US" w:eastAsia="en-US" w:bidi="ar-SA"/>
      </w:rPr>
    </w:lvl>
    <w:lvl w:ilvl="4" w:tplc="7938FA2E">
      <w:numFmt w:val="bullet"/>
      <w:lvlText w:val="•"/>
      <w:lvlJc w:val="left"/>
      <w:pPr>
        <w:ind w:left="3363" w:hanging="362"/>
      </w:pPr>
      <w:rPr>
        <w:rFonts w:hint="default"/>
        <w:lang w:val="en-US" w:eastAsia="en-US" w:bidi="ar-SA"/>
      </w:rPr>
    </w:lvl>
    <w:lvl w:ilvl="5" w:tplc="3EA2441A">
      <w:numFmt w:val="bullet"/>
      <w:lvlText w:val="•"/>
      <w:lvlJc w:val="left"/>
      <w:pPr>
        <w:ind w:left="3914" w:hanging="362"/>
      </w:pPr>
      <w:rPr>
        <w:rFonts w:hint="default"/>
        <w:lang w:val="en-US" w:eastAsia="en-US" w:bidi="ar-SA"/>
      </w:rPr>
    </w:lvl>
    <w:lvl w:ilvl="6" w:tplc="F9A0327A">
      <w:numFmt w:val="bullet"/>
      <w:lvlText w:val="•"/>
      <w:lvlJc w:val="left"/>
      <w:pPr>
        <w:ind w:left="4465" w:hanging="362"/>
      </w:pPr>
      <w:rPr>
        <w:rFonts w:hint="default"/>
        <w:lang w:val="en-US" w:eastAsia="en-US" w:bidi="ar-SA"/>
      </w:rPr>
    </w:lvl>
    <w:lvl w:ilvl="7" w:tplc="FCC4A548">
      <w:numFmt w:val="bullet"/>
      <w:lvlText w:val="•"/>
      <w:lvlJc w:val="left"/>
      <w:pPr>
        <w:ind w:left="5015" w:hanging="362"/>
      </w:pPr>
      <w:rPr>
        <w:rFonts w:hint="default"/>
        <w:lang w:val="en-US" w:eastAsia="en-US" w:bidi="ar-SA"/>
      </w:rPr>
    </w:lvl>
    <w:lvl w:ilvl="8" w:tplc="54DE5F50">
      <w:numFmt w:val="bullet"/>
      <w:lvlText w:val="•"/>
      <w:lvlJc w:val="left"/>
      <w:pPr>
        <w:ind w:left="5566" w:hanging="362"/>
      </w:pPr>
      <w:rPr>
        <w:rFonts w:hint="default"/>
        <w:lang w:val="en-US" w:eastAsia="en-US" w:bidi="ar-SA"/>
      </w:rPr>
    </w:lvl>
  </w:abstractNum>
  <w:abstractNum w:abstractNumId="98" w15:restartNumberingAfterBreak="0">
    <w:nsid w:val="3AA226EA"/>
    <w:multiLevelType w:val="hybridMultilevel"/>
    <w:tmpl w:val="4CD6FE3E"/>
    <w:lvl w:ilvl="0" w:tplc="4C32877E">
      <w:start w:val="17"/>
      <w:numFmt w:val="decimal"/>
      <w:lvlText w:val="%1."/>
      <w:lvlJc w:val="left"/>
      <w:pPr>
        <w:ind w:left="485" w:hanging="360"/>
        <w:jc w:val="left"/>
      </w:pPr>
      <w:rPr>
        <w:rFonts w:ascii="Arial" w:eastAsia="Arial" w:hAnsi="Arial" w:cs="Arial" w:hint="default"/>
        <w:b w:val="0"/>
        <w:bCs w:val="0"/>
        <w:i w:val="0"/>
        <w:iCs w:val="0"/>
        <w:spacing w:val="0"/>
        <w:w w:val="99"/>
        <w:sz w:val="22"/>
        <w:szCs w:val="22"/>
        <w:lang w:val="en-US" w:eastAsia="en-US" w:bidi="ar-SA"/>
      </w:rPr>
    </w:lvl>
    <w:lvl w:ilvl="1" w:tplc="68307BB2">
      <w:numFmt w:val="bullet"/>
      <w:lvlText w:val=""/>
      <w:lvlJc w:val="left"/>
      <w:pPr>
        <w:ind w:left="862" w:hanging="360"/>
      </w:pPr>
      <w:rPr>
        <w:rFonts w:ascii="Symbol" w:eastAsia="Symbol" w:hAnsi="Symbol" w:cs="Symbol" w:hint="default"/>
        <w:b w:val="0"/>
        <w:bCs w:val="0"/>
        <w:i w:val="0"/>
        <w:iCs w:val="0"/>
        <w:spacing w:val="0"/>
        <w:w w:val="99"/>
        <w:sz w:val="22"/>
        <w:szCs w:val="22"/>
        <w:lang w:val="en-US" w:eastAsia="en-US" w:bidi="ar-SA"/>
      </w:rPr>
    </w:lvl>
    <w:lvl w:ilvl="2" w:tplc="B7ACEB3E">
      <w:numFmt w:val="bullet"/>
      <w:lvlText w:val="•"/>
      <w:lvlJc w:val="left"/>
      <w:pPr>
        <w:ind w:left="1528" w:hanging="360"/>
      </w:pPr>
      <w:rPr>
        <w:rFonts w:hint="default"/>
        <w:lang w:val="en-US" w:eastAsia="en-US" w:bidi="ar-SA"/>
      </w:rPr>
    </w:lvl>
    <w:lvl w:ilvl="3" w:tplc="6E10F3A4">
      <w:numFmt w:val="bullet"/>
      <w:lvlText w:val="•"/>
      <w:lvlJc w:val="left"/>
      <w:pPr>
        <w:ind w:left="2196" w:hanging="360"/>
      </w:pPr>
      <w:rPr>
        <w:rFonts w:hint="default"/>
        <w:lang w:val="en-US" w:eastAsia="en-US" w:bidi="ar-SA"/>
      </w:rPr>
    </w:lvl>
    <w:lvl w:ilvl="4" w:tplc="6C3A75DE">
      <w:numFmt w:val="bullet"/>
      <w:lvlText w:val="•"/>
      <w:lvlJc w:val="left"/>
      <w:pPr>
        <w:ind w:left="2864" w:hanging="360"/>
      </w:pPr>
      <w:rPr>
        <w:rFonts w:hint="default"/>
        <w:lang w:val="en-US" w:eastAsia="en-US" w:bidi="ar-SA"/>
      </w:rPr>
    </w:lvl>
    <w:lvl w:ilvl="5" w:tplc="552004A0">
      <w:numFmt w:val="bullet"/>
      <w:lvlText w:val="•"/>
      <w:lvlJc w:val="left"/>
      <w:pPr>
        <w:ind w:left="3532" w:hanging="360"/>
      </w:pPr>
      <w:rPr>
        <w:rFonts w:hint="default"/>
        <w:lang w:val="en-US" w:eastAsia="en-US" w:bidi="ar-SA"/>
      </w:rPr>
    </w:lvl>
    <w:lvl w:ilvl="6" w:tplc="D164A5EA">
      <w:numFmt w:val="bullet"/>
      <w:lvlText w:val="•"/>
      <w:lvlJc w:val="left"/>
      <w:pPr>
        <w:ind w:left="4200" w:hanging="360"/>
      </w:pPr>
      <w:rPr>
        <w:rFonts w:hint="default"/>
        <w:lang w:val="en-US" w:eastAsia="en-US" w:bidi="ar-SA"/>
      </w:rPr>
    </w:lvl>
    <w:lvl w:ilvl="7" w:tplc="A9EC3ABC">
      <w:numFmt w:val="bullet"/>
      <w:lvlText w:val="•"/>
      <w:lvlJc w:val="left"/>
      <w:pPr>
        <w:ind w:left="4868" w:hanging="360"/>
      </w:pPr>
      <w:rPr>
        <w:rFonts w:hint="default"/>
        <w:lang w:val="en-US" w:eastAsia="en-US" w:bidi="ar-SA"/>
      </w:rPr>
    </w:lvl>
    <w:lvl w:ilvl="8" w:tplc="C74C261C">
      <w:numFmt w:val="bullet"/>
      <w:lvlText w:val="•"/>
      <w:lvlJc w:val="left"/>
      <w:pPr>
        <w:ind w:left="5536" w:hanging="360"/>
      </w:pPr>
      <w:rPr>
        <w:rFonts w:hint="default"/>
        <w:lang w:val="en-US" w:eastAsia="en-US" w:bidi="ar-SA"/>
      </w:rPr>
    </w:lvl>
  </w:abstractNum>
  <w:abstractNum w:abstractNumId="99" w15:restartNumberingAfterBreak="0">
    <w:nsid w:val="3AA22802"/>
    <w:multiLevelType w:val="hybridMultilevel"/>
    <w:tmpl w:val="441439EA"/>
    <w:lvl w:ilvl="0" w:tplc="3908560E">
      <w:start w:val="1"/>
      <w:numFmt w:val="decimal"/>
      <w:lvlText w:val="%1."/>
      <w:lvlJc w:val="left"/>
      <w:pPr>
        <w:ind w:left="719" w:hanging="360"/>
        <w:jc w:val="left"/>
      </w:pPr>
      <w:rPr>
        <w:rFonts w:ascii="Arial" w:eastAsia="Arial" w:hAnsi="Arial" w:cs="Arial" w:hint="default"/>
        <w:b w:val="0"/>
        <w:bCs w:val="0"/>
        <w:i w:val="0"/>
        <w:iCs w:val="0"/>
        <w:spacing w:val="0"/>
        <w:w w:val="99"/>
        <w:sz w:val="22"/>
        <w:szCs w:val="22"/>
        <w:lang w:val="en-US" w:eastAsia="en-US" w:bidi="ar-SA"/>
      </w:rPr>
    </w:lvl>
    <w:lvl w:ilvl="1" w:tplc="E6980316">
      <w:start w:val="1"/>
      <w:numFmt w:val="lowerLetter"/>
      <w:lvlText w:val="%2."/>
      <w:lvlJc w:val="left"/>
      <w:pPr>
        <w:ind w:left="1080" w:hanging="361"/>
        <w:jc w:val="left"/>
      </w:pPr>
      <w:rPr>
        <w:rFonts w:ascii="Arial" w:eastAsia="Arial" w:hAnsi="Arial" w:cs="Arial" w:hint="default"/>
        <w:b w:val="0"/>
        <w:bCs w:val="0"/>
        <w:i w:val="0"/>
        <w:iCs w:val="0"/>
        <w:spacing w:val="-3"/>
        <w:w w:val="99"/>
        <w:sz w:val="22"/>
        <w:szCs w:val="22"/>
        <w:lang w:val="en-US" w:eastAsia="en-US" w:bidi="ar-SA"/>
      </w:rPr>
    </w:lvl>
    <w:lvl w:ilvl="2" w:tplc="BFB2A4A0">
      <w:start w:val="1"/>
      <w:numFmt w:val="lowerRoman"/>
      <w:lvlText w:val="%3."/>
      <w:lvlJc w:val="left"/>
      <w:pPr>
        <w:ind w:left="1619" w:hanging="471"/>
        <w:jc w:val="left"/>
      </w:pPr>
      <w:rPr>
        <w:rFonts w:ascii="Arial" w:eastAsia="Arial" w:hAnsi="Arial" w:cs="Arial" w:hint="default"/>
        <w:b w:val="0"/>
        <w:bCs w:val="0"/>
        <w:i w:val="0"/>
        <w:iCs w:val="0"/>
        <w:spacing w:val="0"/>
        <w:w w:val="99"/>
        <w:sz w:val="22"/>
        <w:szCs w:val="22"/>
        <w:lang w:val="en-US" w:eastAsia="en-US" w:bidi="ar-SA"/>
      </w:rPr>
    </w:lvl>
    <w:lvl w:ilvl="3" w:tplc="045ED79C">
      <w:numFmt w:val="bullet"/>
      <w:lvlText w:val="•"/>
      <w:lvlJc w:val="left"/>
      <w:pPr>
        <w:ind w:left="2722" w:hanging="471"/>
      </w:pPr>
      <w:rPr>
        <w:rFonts w:hint="default"/>
        <w:lang w:val="en-US" w:eastAsia="en-US" w:bidi="ar-SA"/>
      </w:rPr>
    </w:lvl>
    <w:lvl w:ilvl="4" w:tplc="3B26A730">
      <w:numFmt w:val="bullet"/>
      <w:lvlText w:val="•"/>
      <w:lvlJc w:val="left"/>
      <w:pPr>
        <w:ind w:left="3825" w:hanging="471"/>
      </w:pPr>
      <w:rPr>
        <w:rFonts w:hint="default"/>
        <w:lang w:val="en-US" w:eastAsia="en-US" w:bidi="ar-SA"/>
      </w:rPr>
    </w:lvl>
    <w:lvl w:ilvl="5" w:tplc="554E29DE">
      <w:numFmt w:val="bullet"/>
      <w:lvlText w:val="•"/>
      <w:lvlJc w:val="left"/>
      <w:pPr>
        <w:ind w:left="4927" w:hanging="471"/>
      </w:pPr>
      <w:rPr>
        <w:rFonts w:hint="default"/>
        <w:lang w:val="en-US" w:eastAsia="en-US" w:bidi="ar-SA"/>
      </w:rPr>
    </w:lvl>
    <w:lvl w:ilvl="6" w:tplc="6C9C0CF8">
      <w:numFmt w:val="bullet"/>
      <w:lvlText w:val="•"/>
      <w:lvlJc w:val="left"/>
      <w:pPr>
        <w:ind w:left="6030" w:hanging="471"/>
      </w:pPr>
      <w:rPr>
        <w:rFonts w:hint="default"/>
        <w:lang w:val="en-US" w:eastAsia="en-US" w:bidi="ar-SA"/>
      </w:rPr>
    </w:lvl>
    <w:lvl w:ilvl="7" w:tplc="CACC9168">
      <w:numFmt w:val="bullet"/>
      <w:lvlText w:val="•"/>
      <w:lvlJc w:val="left"/>
      <w:pPr>
        <w:ind w:left="7132" w:hanging="471"/>
      </w:pPr>
      <w:rPr>
        <w:rFonts w:hint="default"/>
        <w:lang w:val="en-US" w:eastAsia="en-US" w:bidi="ar-SA"/>
      </w:rPr>
    </w:lvl>
    <w:lvl w:ilvl="8" w:tplc="C7FC8A8E">
      <w:numFmt w:val="bullet"/>
      <w:lvlText w:val="•"/>
      <w:lvlJc w:val="left"/>
      <w:pPr>
        <w:ind w:left="8235" w:hanging="471"/>
      </w:pPr>
      <w:rPr>
        <w:rFonts w:hint="default"/>
        <w:lang w:val="en-US" w:eastAsia="en-US" w:bidi="ar-SA"/>
      </w:rPr>
    </w:lvl>
  </w:abstractNum>
  <w:abstractNum w:abstractNumId="100" w15:restartNumberingAfterBreak="0">
    <w:nsid w:val="3B915C87"/>
    <w:multiLevelType w:val="hybridMultilevel"/>
    <w:tmpl w:val="C6320332"/>
    <w:lvl w:ilvl="0" w:tplc="DE48FD6A">
      <w:numFmt w:val="bullet"/>
      <w:lvlText w:val=""/>
      <w:lvlJc w:val="left"/>
      <w:pPr>
        <w:ind w:left="332" w:hanging="180"/>
      </w:pPr>
      <w:rPr>
        <w:rFonts w:ascii="Symbol" w:eastAsia="Symbol" w:hAnsi="Symbol" w:cs="Symbol" w:hint="default"/>
        <w:b w:val="0"/>
        <w:bCs w:val="0"/>
        <w:i w:val="0"/>
        <w:iCs w:val="0"/>
        <w:spacing w:val="0"/>
        <w:w w:val="100"/>
        <w:sz w:val="18"/>
        <w:szCs w:val="18"/>
        <w:lang w:val="en-US" w:eastAsia="en-US" w:bidi="ar-SA"/>
      </w:rPr>
    </w:lvl>
    <w:lvl w:ilvl="1" w:tplc="546E6CFE">
      <w:numFmt w:val="bullet"/>
      <w:lvlText w:val="•"/>
      <w:lvlJc w:val="left"/>
      <w:pPr>
        <w:ind w:left="781" w:hanging="180"/>
      </w:pPr>
      <w:rPr>
        <w:rFonts w:hint="default"/>
        <w:lang w:val="en-US" w:eastAsia="en-US" w:bidi="ar-SA"/>
      </w:rPr>
    </w:lvl>
    <w:lvl w:ilvl="2" w:tplc="D6D68B4E">
      <w:numFmt w:val="bullet"/>
      <w:lvlText w:val="•"/>
      <w:lvlJc w:val="left"/>
      <w:pPr>
        <w:ind w:left="1223" w:hanging="180"/>
      </w:pPr>
      <w:rPr>
        <w:rFonts w:hint="default"/>
        <w:lang w:val="en-US" w:eastAsia="en-US" w:bidi="ar-SA"/>
      </w:rPr>
    </w:lvl>
    <w:lvl w:ilvl="3" w:tplc="B22A74F0">
      <w:numFmt w:val="bullet"/>
      <w:lvlText w:val="•"/>
      <w:lvlJc w:val="left"/>
      <w:pPr>
        <w:ind w:left="1665" w:hanging="180"/>
      </w:pPr>
      <w:rPr>
        <w:rFonts w:hint="default"/>
        <w:lang w:val="en-US" w:eastAsia="en-US" w:bidi="ar-SA"/>
      </w:rPr>
    </w:lvl>
    <w:lvl w:ilvl="4" w:tplc="87928928">
      <w:numFmt w:val="bullet"/>
      <w:lvlText w:val="•"/>
      <w:lvlJc w:val="left"/>
      <w:pPr>
        <w:ind w:left="2107" w:hanging="180"/>
      </w:pPr>
      <w:rPr>
        <w:rFonts w:hint="default"/>
        <w:lang w:val="en-US" w:eastAsia="en-US" w:bidi="ar-SA"/>
      </w:rPr>
    </w:lvl>
    <w:lvl w:ilvl="5" w:tplc="26200A3C">
      <w:numFmt w:val="bullet"/>
      <w:lvlText w:val="•"/>
      <w:lvlJc w:val="left"/>
      <w:pPr>
        <w:ind w:left="2549" w:hanging="180"/>
      </w:pPr>
      <w:rPr>
        <w:rFonts w:hint="default"/>
        <w:lang w:val="en-US" w:eastAsia="en-US" w:bidi="ar-SA"/>
      </w:rPr>
    </w:lvl>
    <w:lvl w:ilvl="6" w:tplc="22DE1064">
      <w:numFmt w:val="bullet"/>
      <w:lvlText w:val="•"/>
      <w:lvlJc w:val="left"/>
      <w:pPr>
        <w:ind w:left="2991" w:hanging="180"/>
      </w:pPr>
      <w:rPr>
        <w:rFonts w:hint="default"/>
        <w:lang w:val="en-US" w:eastAsia="en-US" w:bidi="ar-SA"/>
      </w:rPr>
    </w:lvl>
    <w:lvl w:ilvl="7" w:tplc="3D24F77C">
      <w:numFmt w:val="bullet"/>
      <w:lvlText w:val="•"/>
      <w:lvlJc w:val="left"/>
      <w:pPr>
        <w:ind w:left="3432" w:hanging="180"/>
      </w:pPr>
      <w:rPr>
        <w:rFonts w:hint="default"/>
        <w:lang w:val="en-US" w:eastAsia="en-US" w:bidi="ar-SA"/>
      </w:rPr>
    </w:lvl>
    <w:lvl w:ilvl="8" w:tplc="EE0248A0">
      <w:numFmt w:val="bullet"/>
      <w:lvlText w:val="•"/>
      <w:lvlJc w:val="left"/>
      <w:pPr>
        <w:ind w:left="3874" w:hanging="180"/>
      </w:pPr>
      <w:rPr>
        <w:rFonts w:hint="default"/>
        <w:lang w:val="en-US" w:eastAsia="en-US" w:bidi="ar-SA"/>
      </w:rPr>
    </w:lvl>
  </w:abstractNum>
  <w:abstractNum w:abstractNumId="101" w15:restartNumberingAfterBreak="0">
    <w:nsid w:val="3C403196"/>
    <w:multiLevelType w:val="hybridMultilevel"/>
    <w:tmpl w:val="0478E67A"/>
    <w:lvl w:ilvl="0" w:tplc="5B7AD106">
      <w:start w:val="1"/>
      <w:numFmt w:val="lowerLetter"/>
      <w:lvlText w:val="%1)"/>
      <w:lvlJc w:val="left"/>
      <w:pPr>
        <w:ind w:left="1115" w:hanging="404"/>
        <w:jc w:val="left"/>
      </w:pPr>
      <w:rPr>
        <w:rFonts w:ascii="Arial" w:eastAsia="Arial" w:hAnsi="Arial" w:cs="Arial" w:hint="default"/>
        <w:b w:val="0"/>
        <w:bCs w:val="0"/>
        <w:i w:val="0"/>
        <w:iCs w:val="0"/>
        <w:spacing w:val="0"/>
        <w:w w:val="99"/>
        <w:sz w:val="22"/>
        <w:szCs w:val="22"/>
        <w:lang w:val="en-US" w:eastAsia="en-US" w:bidi="ar-SA"/>
      </w:rPr>
    </w:lvl>
    <w:lvl w:ilvl="1" w:tplc="795425B6">
      <w:start w:val="1"/>
      <w:numFmt w:val="lowerRoman"/>
      <w:lvlText w:val="%2."/>
      <w:lvlJc w:val="left"/>
      <w:pPr>
        <w:ind w:left="1565" w:hanging="381"/>
        <w:jc w:val="left"/>
      </w:pPr>
      <w:rPr>
        <w:rFonts w:ascii="Arial" w:eastAsia="Arial" w:hAnsi="Arial" w:cs="Arial" w:hint="default"/>
        <w:b w:val="0"/>
        <w:bCs w:val="0"/>
        <w:i w:val="0"/>
        <w:iCs w:val="0"/>
        <w:spacing w:val="0"/>
        <w:w w:val="99"/>
        <w:sz w:val="22"/>
        <w:szCs w:val="22"/>
        <w:lang w:val="en-US" w:eastAsia="en-US" w:bidi="ar-SA"/>
      </w:rPr>
    </w:lvl>
    <w:lvl w:ilvl="2" w:tplc="3ACE46D0">
      <w:numFmt w:val="bullet"/>
      <w:lvlText w:val="•"/>
      <w:lvlJc w:val="left"/>
      <w:pPr>
        <w:ind w:left="2130" w:hanging="381"/>
      </w:pPr>
      <w:rPr>
        <w:rFonts w:hint="default"/>
        <w:lang w:val="en-US" w:eastAsia="en-US" w:bidi="ar-SA"/>
      </w:rPr>
    </w:lvl>
    <w:lvl w:ilvl="3" w:tplc="0266457A">
      <w:numFmt w:val="bullet"/>
      <w:lvlText w:val="•"/>
      <w:lvlJc w:val="left"/>
      <w:pPr>
        <w:ind w:left="2700" w:hanging="381"/>
      </w:pPr>
      <w:rPr>
        <w:rFonts w:hint="default"/>
        <w:lang w:val="en-US" w:eastAsia="en-US" w:bidi="ar-SA"/>
      </w:rPr>
    </w:lvl>
    <w:lvl w:ilvl="4" w:tplc="E3944084">
      <w:numFmt w:val="bullet"/>
      <w:lvlText w:val="•"/>
      <w:lvlJc w:val="left"/>
      <w:pPr>
        <w:ind w:left="3270" w:hanging="381"/>
      </w:pPr>
      <w:rPr>
        <w:rFonts w:hint="default"/>
        <w:lang w:val="en-US" w:eastAsia="en-US" w:bidi="ar-SA"/>
      </w:rPr>
    </w:lvl>
    <w:lvl w:ilvl="5" w:tplc="907C8644">
      <w:numFmt w:val="bullet"/>
      <w:lvlText w:val="•"/>
      <w:lvlJc w:val="left"/>
      <w:pPr>
        <w:ind w:left="3840" w:hanging="381"/>
      </w:pPr>
      <w:rPr>
        <w:rFonts w:hint="default"/>
        <w:lang w:val="en-US" w:eastAsia="en-US" w:bidi="ar-SA"/>
      </w:rPr>
    </w:lvl>
    <w:lvl w:ilvl="6" w:tplc="8614221C">
      <w:numFmt w:val="bullet"/>
      <w:lvlText w:val="•"/>
      <w:lvlJc w:val="left"/>
      <w:pPr>
        <w:ind w:left="4410" w:hanging="381"/>
      </w:pPr>
      <w:rPr>
        <w:rFonts w:hint="default"/>
        <w:lang w:val="en-US" w:eastAsia="en-US" w:bidi="ar-SA"/>
      </w:rPr>
    </w:lvl>
    <w:lvl w:ilvl="7" w:tplc="0EA096EA">
      <w:numFmt w:val="bullet"/>
      <w:lvlText w:val="•"/>
      <w:lvlJc w:val="left"/>
      <w:pPr>
        <w:ind w:left="4981" w:hanging="381"/>
      </w:pPr>
      <w:rPr>
        <w:rFonts w:hint="default"/>
        <w:lang w:val="en-US" w:eastAsia="en-US" w:bidi="ar-SA"/>
      </w:rPr>
    </w:lvl>
    <w:lvl w:ilvl="8" w:tplc="302A17B6">
      <w:numFmt w:val="bullet"/>
      <w:lvlText w:val="•"/>
      <w:lvlJc w:val="left"/>
      <w:pPr>
        <w:ind w:left="5551" w:hanging="381"/>
      </w:pPr>
      <w:rPr>
        <w:rFonts w:hint="default"/>
        <w:lang w:val="en-US" w:eastAsia="en-US" w:bidi="ar-SA"/>
      </w:rPr>
    </w:lvl>
  </w:abstractNum>
  <w:abstractNum w:abstractNumId="102" w15:restartNumberingAfterBreak="0">
    <w:nsid w:val="3C7761ED"/>
    <w:multiLevelType w:val="hybridMultilevel"/>
    <w:tmpl w:val="3522C05E"/>
    <w:lvl w:ilvl="0" w:tplc="8F4CE964">
      <w:start w:val="1"/>
      <w:numFmt w:val="lowerRoman"/>
      <w:lvlText w:val="%1."/>
      <w:lvlJc w:val="left"/>
      <w:pPr>
        <w:ind w:left="2520" w:hanging="291"/>
        <w:jc w:val="right"/>
      </w:pPr>
      <w:rPr>
        <w:rFonts w:ascii="Arial" w:eastAsia="Arial" w:hAnsi="Arial" w:cs="Arial" w:hint="default"/>
        <w:b w:val="0"/>
        <w:bCs w:val="0"/>
        <w:i w:val="0"/>
        <w:iCs w:val="0"/>
        <w:spacing w:val="0"/>
        <w:w w:val="99"/>
        <w:sz w:val="22"/>
        <w:szCs w:val="22"/>
        <w:lang w:val="en-US" w:eastAsia="en-US" w:bidi="ar-SA"/>
      </w:rPr>
    </w:lvl>
    <w:lvl w:ilvl="1" w:tplc="3BBC0144">
      <w:numFmt w:val="bullet"/>
      <w:lvlText w:val="•"/>
      <w:lvlJc w:val="left"/>
      <w:pPr>
        <w:ind w:left="3312" w:hanging="291"/>
      </w:pPr>
      <w:rPr>
        <w:rFonts w:hint="default"/>
        <w:lang w:val="en-US" w:eastAsia="en-US" w:bidi="ar-SA"/>
      </w:rPr>
    </w:lvl>
    <w:lvl w:ilvl="2" w:tplc="0590BEB8">
      <w:numFmt w:val="bullet"/>
      <w:lvlText w:val="•"/>
      <w:lvlJc w:val="left"/>
      <w:pPr>
        <w:ind w:left="4104" w:hanging="291"/>
      </w:pPr>
      <w:rPr>
        <w:rFonts w:hint="default"/>
        <w:lang w:val="en-US" w:eastAsia="en-US" w:bidi="ar-SA"/>
      </w:rPr>
    </w:lvl>
    <w:lvl w:ilvl="3" w:tplc="2E26EA1A">
      <w:numFmt w:val="bullet"/>
      <w:lvlText w:val="•"/>
      <w:lvlJc w:val="left"/>
      <w:pPr>
        <w:ind w:left="4896" w:hanging="291"/>
      </w:pPr>
      <w:rPr>
        <w:rFonts w:hint="default"/>
        <w:lang w:val="en-US" w:eastAsia="en-US" w:bidi="ar-SA"/>
      </w:rPr>
    </w:lvl>
    <w:lvl w:ilvl="4" w:tplc="6B9CCA1C">
      <w:numFmt w:val="bullet"/>
      <w:lvlText w:val="•"/>
      <w:lvlJc w:val="left"/>
      <w:pPr>
        <w:ind w:left="5688" w:hanging="291"/>
      </w:pPr>
      <w:rPr>
        <w:rFonts w:hint="default"/>
        <w:lang w:val="en-US" w:eastAsia="en-US" w:bidi="ar-SA"/>
      </w:rPr>
    </w:lvl>
    <w:lvl w:ilvl="5" w:tplc="42C6F1B6">
      <w:numFmt w:val="bullet"/>
      <w:lvlText w:val="•"/>
      <w:lvlJc w:val="left"/>
      <w:pPr>
        <w:ind w:left="6480" w:hanging="291"/>
      </w:pPr>
      <w:rPr>
        <w:rFonts w:hint="default"/>
        <w:lang w:val="en-US" w:eastAsia="en-US" w:bidi="ar-SA"/>
      </w:rPr>
    </w:lvl>
    <w:lvl w:ilvl="6" w:tplc="7C2ABE76">
      <w:numFmt w:val="bullet"/>
      <w:lvlText w:val="•"/>
      <w:lvlJc w:val="left"/>
      <w:pPr>
        <w:ind w:left="7272" w:hanging="291"/>
      </w:pPr>
      <w:rPr>
        <w:rFonts w:hint="default"/>
        <w:lang w:val="en-US" w:eastAsia="en-US" w:bidi="ar-SA"/>
      </w:rPr>
    </w:lvl>
    <w:lvl w:ilvl="7" w:tplc="296EB028">
      <w:numFmt w:val="bullet"/>
      <w:lvlText w:val="•"/>
      <w:lvlJc w:val="left"/>
      <w:pPr>
        <w:ind w:left="8064" w:hanging="291"/>
      </w:pPr>
      <w:rPr>
        <w:rFonts w:hint="default"/>
        <w:lang w:val="en-US" w:eastAsia="en-US" w:bidi="ar-SA"/>
      </w:rPr>
    </w:lvl>
    <w:lvl w:ilvl="8" w:tplc="8B7CA288">
      <w:numFmt w:val="bullet"/>
      <w:lvlText w:val="•"/>
      <w:lvlJc w:val="left"/>
      <w:pPr>
        <w:ind w:left="8856" w:hanging="291"/>
      </w:pPr>
      <w:rPr>
        <w:rFonts w:hint="default"/>
        <w:lang w:val="en-US" w:eastAsia="en-US" w:bidi="ar-SA"/>
      </w:rPr>
    </w:lvl>
  </w:abstractNum>
  <w:abstractNum w:abstractNumId="103" w15:restartNumberingAfterBreak="0">
    <w:nsid w:val="3CE55F2E"/>
    <w:multiLevelType w:val="hybridMultilevel"/>
    <w:tmpl w:val="5FF6CEA0"/>
    <w:lvl w:ilvl="0" w:tplc="646A9F98">
      <w:start w:val="2"/>
      <w:numFmt w:val="lowerLetter"/>
      <w:lvlText w:val="%1."/>
      <w:lvlJc w:val="left"/>
      <w:pPr>
        <w:ind w:left="1697" w:hanging="364"/>
        <w:jc w:val="left"/>
      </w:pPr>
      <w:rPr>
        <w:rFonts w:ascii="Arial" w:eastAsia="Arial" w:hAnsi="Arial" w:cs="Arial" w:hint="default"/>
        <w:b w:val="0"/>
        <w:bCs w:val="0"/>
        <w:i w:val="0"/>
        <w:iCs w:val="0"/>
        <w:spacing w:val="0"/>
        <w:w w:val="99"/>
        <w:sz w:val="22"/>
        <w:szCs w:val="22"/>
        <w:lang w:val="en-US" w:eastAsia="en-US" w:bidi="ar-SA"/>
      </w:rPr>
    </w:lvl>
    <w:lvl w:ilvl="1" w:tplc="3C5266F8">
      <w:numFmt w:val="bullet"/>
      <w:lvlText w:val="•"/>
      <w:lvlJc w:val="left"/>
      <w:pPr>
        <w:ind w:left="2234" w:hanging="364"/>
      </w:pPr>
      <w:rPr>
        <w:rFonts w:hint="default"/>
        <w:lang w:val="en-US" w:eastAsia="en-US" w:bidi="ar-SA"/>
      </w:rPr>
    </w:lvl>
    <w:lvl w:ilvl="2" w:tplc="95021BE2">
      <w:numFmt w:val="bullet"/>
      <w:lvlText w:val="•"/>
      <w:lvlJc w:val="left"/>
      <w:pPr>
        <w:ind w:left="2768" w:hanging="364"/>
      </w:pPr>
      <w:rPr>
        <w:rFonts w:hint="default"/>
        <w:lang w:val="en-US" w:eastAsia="en-US" w:bidi="ar-SA"/>
      </w:rPr>
    </w:lvl>
    <w:lvl w:ilvl="3" w:tplc="033A1CA8">
      <w:numFmt w:val="bullet"/>
      <w:lvlText w:val="•"/>
      <w:lvlJc w:val="left"/>
      <w:pPr>
        <w:ind w:left="3302" w:hanging="364"/>
      </w:pPr>
      <w:rPr>
        <w:rFonts w:hint="default"/>
        <w:lang w:val="en-US" w:eastAsia="en-US" w:bidi="ar-SA"/>
      </w:rPr>
    </w:lvl>
    <w:lvl w:ilvl="4" w:tplc="E16219E8">
      <w:numFmt w:val="bullet"/>
      <w:lvlText w:val="•"/>
      <w:lvlJc w:val="left"/>
      <w:pPr>
        <w:ind w:left="3836" w:hanging="364"/>
      </w:pPr>
      <w:rPr>
        <w:rFonts w:hint="default"/>
        <w:lang w:val="en-US" w:eastAsia="en-US" w:bidi="ar-SA"/>
      </w:rPr>
    </w:lvl>
    <w:lvl w:ilvl="5" w:tplc="31B8AC4E">
      <w:numFmt w:val="bullet"/>
      <w:lvlText w:val="•"/>
      <w:lvlJc w:val="left"/>
      <w:pPr>
        <w:ind w:left="4370" w:hanging="364"/>
      </w:pPr>
      <w:rPr>
        <w:rFonts w:hint="default"/>
        <w:lang w:val="en-US" w:eastAsia="en-US" w:bidi="ar-SA"/>
      </w:rPr>
    </w:lvl>
    <w:lvl w:ilvl="6" w:tplc="CACC7DF4">
      <w:numFmt w:val="bullet"/>
      <w:lvlText w:val="•"/>
      <w:lvlJc w:val="left"/>
      <w:pPr>
        <w:ind w:left="4904" w:hanging="364"/>
      </w:pPr>
      <w:rPr>
        <w:rFonts w:hint="default"/>
        <w:lang w:val="en-US" w:eastAsia="en-US" w:bidi="ar-SA"/>
      </w:rPr>
    </w:lvl>
    <w:lvl w:ilvl="7" w:tplc="60588F00">
      <w:numFmt w:val="bullet"/>
      <w:lvlText w:val="•"/>
      <w:lvlJc w:val="left"/>
      <w:pPr>
        <w:ind w:left="5438" w:hanging="364"/>
      </w:pPr>
      <w:rPr>
        <w:rFonts w:hint="default"/>
        <w:lang w:val="en-US" w:eastAsia="en-US" w:bidi="ar-SA"/>
      </w:rPr>
    </w:lvl>
    <w:lvl w:ilvl="8" w:tplc="7A102778">
      <w:numFmt w:val="bullet"/>
      <w:lvlText w:val="•"/>
      <w:lvlJc w:val="left"/>
      <w:pPr>
        <w:ind w:left="5972" w:hanging="364"/>
      </w:pPr>
      <w:rPr>
        <w:rFonts w:hint="default"/>
        <w:lang w:val="en-US" w:eastAsia="en-US" w:bidi="ar-SA"/>
      </w:rPr>
    </w:lvl>
  </w:abstractNum>
  <w:abstractNum w:abstractNumId="104" w15:restartNumberingAfterBreak="0">
    <w:nsid w:val="3DAE6A69"/>
    <w:multiLevelType w:val="hybridMultilevel"/>
    <w:tmpl w:val="FA2CF02C"/>
    <w:lvl w:ilvl="0" w:tplc="66E6F18E">
      <w:start w:val="1"/>
      <w:numFmt w:val="decimalZero"/>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5360D9C0">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1D6E5480">
      <w:numFmt w:val="bullet"/>
      <w:lvlText w:val=""/>
      <w:lvlJc w:val="left"/>
      <w:pPr>
        <w:ind w:left="2520" w:hanging="360"/>
      </w:pPr>
      <w:rPr>
        <w:rFonts w:ascii="Symbol" w:eastAsia="Symbol" w:hAnsi="Symbol" w:cs="Symbol" w:hint="default"/>
        <w:b w:val="0"/>
        <w:bCs w:val="0"/>
        <w:i w:val="0"/>
        <w:iCs w:val="0"/>
        <w:spacing w:val="0"/>
        <w:w w:val="99"/>
        <w:sz w:val="22"/>
        <w:szCs w:val="22"/>
        <w:lang w:val="en-US" w:eastAsia="en-US" w:bidi="ar-SA"/>
      </w:rPr>
    </w:lvl>
    <w:lvl w:ilvl="3" w:tplc="32404CEA">
      <w:numFmt w:val="bullet"/>
      <w:lvlText w:val="•"/>
      <w:lvlJc w:val="left"/>
      <w:pPr>
        <w:ind w:left="3510" w:hanging="360"/>
      </w:pPr>
      <w:rPr>
        <w:rFonts w:hint="default"/>
        <w:lang w:val="en-US" w:eastAsia="en-US" w:bidi="ar-SA"/>
      </w:rPr>
    </w:lvl>
    <w:lvl w:ilvl="4" w:tplc="FE5A7752">
      <w:numFmt w:val="bullet"/>
      <w:lvlText w:val="•"/>
      <w:lvlJc w:val="left"/>
      <w:pPr>
        <w:ind w:left="4500" w:hanging="360"/>
      </w:pPr>
      <w:rPr>
        <w:rFonts w:hint="default"/>
        <w:lang w:val="en-US" w:eastAsia="en-US" w:bidi="ar-SA"/>
      </w:rPr>
    </w:lvl>
    <w:lvl w:ilvl="5" w:tplc="E89A0C14">
      <w:numFmt w:val="bullet"/>
      <w:lvlText w:val="•"/>
      <w:lvlJc w:val="left"/>
      <w:pPr>
        <w:ind w:left="5490" w:hanging="360"/>
      </w:pPr>
      <w:rPr>
        <w:rFonts w:hint="default"/>
        <w:lang w:val="en-US" w:eastAsia="en-US" w:bidi="ar-SA"/>
      </w:rPr>
    </w:lvl>
    <w:lvl w:ilvl="6" w:tplc="96AA8020">
      <w:numFmt w:val="bullet"/>
      <w:lvlText w:val="•"/>
      <w:lvlJc w:val="left"/>
      <w:pPr>
        <w:ind w:left="6480" w:hanging="360"/>
      </w:pPr>
      <w:rPr>
        <w:rFonts w:hint="default"/>
        <w:lang w:val="en-US" w:eastAsia="en-US" w:bidi="ar-SA"/>
      </w:rPr>
    </w:lvl>
    <w:lvl w:ilvl="7" w:tplc="D14E30CC">
      <w:numFmt w:val="bullet"/>
      <w:lvlText w:val="•"/>
      <w:lvlJc w:val="left"/>
      <w:pPr>
        <w:ind w:left="7470" w:hanging="360"/>
      </w:pPr>
      <w:rPr>
        <w:rFonts w:hint="default"/>
        <w:lang w:val="en-US" w:eastAsia="en-US" w:bidi="ar-SA"/>
      </w:rPr>
    </w:lvl>
    <w:lvl w:ilvl="8" w:tplc="739ED16C">
      <w:numFmt w:val="bullet"/>
      <w:lvlText w:val="•"/>
      <w:lvlJc w:val="left"/>
      <w:pPr>
        <w:ind w:left="8460" w:hanging="360"/>
      </w:pPr>
      <w:rPr>
        <w:rFonts w:hint="default"/>
        <w:lang w:val="en-US" w:eastAsia="en-US" w:bidi="ar-SA"/>
      </w:rPr>
    </w:lvl>
  </w:abstractNum>
  <w:abstractNum w:abstractNumId="105" w15:restartNumberingAfterBreak="0">
    <w:nsid w:val="3E1F591F"/>
    <w:multiLevelType w:val="hybridMultilevel"/>
    <w:tmpl w:val="8A7C4670"/>
    <w:lvl w:ilvl="0" w:tplc="C45EE922">
      <w:start w:val="4"/>
      <w:numFmt w:val="decimal"/>
      <w:lvlText w:val="%1)"/>
      <w:lvlJc w:val="left"/>
      <w:pPr>
        <w:ind w:left="705" w:hanging="577"/>
        <w:jc w:val="left"/>
      </w:pPr>
      <w:rPr>
        <w:rFonts w:ascii="Arial" w:eastAsia="Arial" w:hAnsi="Arial" w:cs="Arial" w:hint="default"/>
        <w:b w:val="0"/>
        <w:bCs w:val="0"/>
        <w:i w:val="0"/>
        <w:iCs w:val="0"/>
        <w:spacing w:val="0"/>
        <w:w w:val="99"/>
        <w:sz w:val="22"/>
        <w:szCs w:val="22"/>
        <w:lang w:val="en-US" w:eastAsia="en-US" w:bidi="ar-SA"/>
      </w:rPr>
    </w:lvl>
    <w:lvl w:ilvl="1" w:tplc="47866AE4">
      <w:start w:val="1"/>
      <w:numFmt w:val="lowerLetter"/>
      <w:lvlText w:val="%2)"/>
      <w:lvlJc w:val="left"/>
      <w:pPr>
        <w:ind w:left="1281" w:hanging="577"/>
        <w:jc w:val="left"/>
      </w:pPr>
      <w:rPr>
        <w:rFonts w:ascii="Arial" w:eastAsia="Arial" w:hAnsi="Arial" w:cs="Arial" w:hint="default"/>
        <w:b w:val="0"/>
        <w:bCs w:val="0"/>
        <w:i w:val="0"/>
        <w:iCs w:val="0"/>
        <w:spacing w:val="0"/>
        <w:w w:val="99"/>
        <w:sz w:val="22"/>
        <w:szCs w:val="22"/>
        <w:lang w:val="en-US" w:eastAsia="en-US" w:bidi="ar-SA"/>
      </w:rPr>
    </w:lvl>
    <w:lvl w:ilvl="2" w:tplc="43D000D0">
      <w:numFmt w:val="bullet"/>
      <w:lvlText w:val="•"/>
      <w:lvlJc w:val="left"/>
      <w:pPr>
        <w:ind w:left="1921" w:hanging="577"/>
      </w:pPr>
      <w:rPr>
        <w:rFonts w:hint="default"/>
        <w:lang w:val="en-US" w:eastAsia="en-US" w:bidi="ar-SA"/>
      </w:rPr>
    </w:lvl>
    <w:lvl w:ilvl="3" w:tplc="6542284E">
      <w:numFmt w:val="bullet"/>
      <w:lvlText w:val="•"/>
      <w:lvlJc w:val="left"/>
      <w:pPr>
        <w:ind w:left="2562" w:hanging="577"/>
      </w:pPr>
      <w:rPr>
        <w:rFonts w:hint="default"/>
        <w:lang w:val="en-US" w:eastAsia="en-US" w:bidi="ar-SA"/>
      </w:rPr>
    </w:lvl>
    <w:lvl w:ilvl="4" w:tplc="8FA4EC3C">
      <w:numFmt w:val="bullet"/>
      <w:lvlText w:val="•"/>
      <w:lvlJc w:val="left"/>
      <w:pPr>
        <w:ind w:left="3203" w:hanging="577"/>
      </w:pPr>
      <w:rPr>
        <w:rFonts w:hint="default"/>
        <w:lang w:val="en-US" w:eastAsia="en-US" w:bidi="ar-SA"/>
      </w:rPr>
    </w:lvl>
    <w:lvl w:ilvl="5" w:tplc="716257B2">
      <w:numFmt w:val="bullet"/>
      <w:lvlText w:val="•"/>
      <w:lvlJc w:val="left"/>
      <w:pPr>
        <w:ind w:left="3844" w:hanging="577"/>
      </w:pPr>
      <w:rPr>
        <w:rFonts w:hint="default"/>
        <w:lang w:val="en-US" w:eastAsia="en-US" w:bidi="ar-SA"/>
      </w:rPr>
    </w:lvl>
    <w:lvl w:ilvl="6" w:tplc="CFD0FA5C">
      <w:numFmt w:val="bullet"/>
      <w:lvlText w:val="•"/>
      <w:lvlJc w:val="left"/>
      <w:pPr>
        <w:ind w:left="4485" w:hanging="577"/>
      </w:pPr>
      <w:rPr>
        <w:rFonts w:hint="default"/>
        <w:lang w:val="en-US" w:eastAsia="en-US" w:bidi="ar-SA"/>
      </w:rPr>
    </w:lvl>
    <w:lvl w:ilvl="7" w:tplc="21DEB328">
      <w:numFmt w:val="bullet"/>
      <w:lvlText w:val="•"/>
      <w:lvlJc w:val="left"/>
      <w:pPr>
        <w:ind w:left="5126" w:hanging="577"/>
      </w:pPr>
      <w:rPr>
        <w:rFonts w:hint="default"/>
        <w:lang w:val="en-US" w:eastAsia="en-US" w:bidi="ar-SA"/>
      </w:rPr>
    </w:lvl>
    <w:lvl w:ilvl="8" w:tplc="898A1404">
      <w:numFmt w:val="bullet"/>
      <w:lvlText w:val="•"/>
      <w:lvlJc w:val="left"/>
      <w:pPr>
        <w:ind w:left="5767" w:hanging="577"/>
      </w:pPr>
      <w:rPr>
        <w:rFonts w:hint="default"/>
        <w:lang w:val="en-US" w:eastAsia="en-US" w:bidi="ar-SA"/>
      </w:rPr>
    </w:lvl>
  </w:abstractNum>
  <w:abstractNum w:abstractNumId="106" w15:restartNumberingAfterBreak="0">
    <w:nsid w:val="3E574552"/>
    <w:multiLevelType w:val="hybridMultilevel"/>
    <w:tmpl w:val="2DDA4BF6"/>
    <w:lvl w:ilvl="0" w:tplc="71EE34E2">
      <w:start w:val="1"/>
      <w:numFmt w:val="lowerLetter"/>
      <w:lvlText w:val="%1."/>
      <w:lvlJc w:val="left"/>
      <w:pPr>
        <w:ind w:left="720" w:hanging="360"/>
        <w:jc w:val="left"/>
      </w:pPr>
      <w:rPr>
        <w:rFonts w:ascii="Arial" w:eastAsia="Arial" w:hAnsi="Arial" w:cs="Arial" w:hint="default"/>
        <w:b w:val="0"/>
        <w:bCs w:val="0"/>
        <w:i w:val="0"/>
        <w:iCs w:val="0"/>
        <w:spacing w:val="0"/>
        <w:w w:val="99"/>
        <w:sz w:val="22"/>
        <w:szCs w:val="22"/>
        <w:lang w:val="en-US" w:eastAsia="en-US" w:bidi="ar-SA"/>
      </w:rPr>
    </w:lvl>
    <w:lvl w:ilvl="1" w:tplc="226CD67C">
      <w:numFmt w:val="bullet"/>
      <w:lvlText w:val="•"/>
      <w:lvlJc w:val="left"/>
      <w:pPr>
        <w:ind w:left="1692" w:hanging="360"/>
      </w:pPr>
      <w:rPr>
        <w:rFonts w:hint="default"/>
        <w:lang w:val="en-US" w:eastAsia="en-US" w:bidi="ar-SA"/>
      </w:rPr>
    </w:lvl>
    <w:lvl w:ilvl="2" w:tplc="0AACCAB2">
      <w:numFmt w:val="bullet"/>
      <w:lvlText w:val="•"/>
      <w:lvlJc w:val="left"/>
      <w:pPr>
        <w:ind w:left="2664" w:hanging="360"/>
      </w:pPr>
      <w:rPr>
        <w:rFonts w:hint="default"/>
        <w:lang w:val="en-US" w:eastAsia="en-US" w:bidi="ar-SA"/>
      </w:rPr>
    </w:lvl>
    <w:lvl w:ilvl="3" w:tplc="8F289862">
      <w:numFmt w:val="bullet"/>
      <w:lvlText w:val="•"/>
      <w:lvlJc w:val="left"/>
      <w:pPr>
        <w:ind w:left="3636" w:hanging="360"/>
      </w:pPr>
      <w:rPr>
        <w:rFonts w:hint="default"/>
        <w:lang w:val="en-US" w:eastAsia="en-US" w:bidi="ar-SA"/>
      </w:rPr>
    </w:lvl>
    <w:lvl w:ilvl="4" w:tplc="7F707628">
      <w:numFmt w:val="bullet"/>
      <w:lvlText w:val="•"/>
      <w:lvlJc w:val="left"/>
      <w:pPr>
        <w:ind w:left="4608" w:hanging="360"/>
      </w:pPr>
      <w:rPr>
        <w:rFonts w:hint="default"/>
        <w:lang w:val="en-US" w:eastAsia="en-US" w:bidi="ar-SA"/>
      </w:rPr>
    </w:lvl>
    <w:lvl w:ilvl="5" w:tplc="7D26AC72">
      <w:numFmt w:val="bullet"/>
      <w:lvlText w:val="•"/>
      <w:lvlJc w:val="left"/>
      <w:pPr>
        <w:ind w:left="5580" w:hanging="360"/>
      </w:pPr>
      <w:rPr>
        <w:rFonts w:hint="default"/>
        <w:lang w:val="en-US" w:eastAsia="en-US" w:bidi="ar-SA"/>
      </w:rPr>
    </w:lvl>
    <w:lvl w:ilvl="6" w:tplc="110C4076">
      <w:numFmt w:val="bullet"/>
      <w:lvlText w:val="•"/>
      <w:lvlJc w:val="left"/>
      <w:pPr>
        <w:ind w:left="6552" w:hanging="360"/>
      </w:pPr>
      <w:rPr>
        <w:rFonts w:hint="default"/>
        <w:lang w:val="en-US" w:eastAsia="en-US" w:bidi="ar-SA"/>
      </w:rPr>
    </w:lvl>
    <w:lvl w:ilvl="7" w:tplc="4E34772A">
      <w:numFmt w:val="bullet"/>
      <w:lvlText w:val="•"/>
      <w:lvlJc w:val="left"/>
      <w:pPr>
        <w:ind w:left="7524" w:hanging="360"/>
      </w:pPr>
      <w:rPr>
        <w:rFonts w:hint="default"/>
        <w:lang w:val="en-US" w:eastAsia="en-US" w:bidi="ar-SA"/>
      </w:rPr>
    </w:lvl>
    <w:lvl w:ilvl="8" w:tplc="1940EBE6">
      <w:numFmt w:val="bullet"/>
      <w:lvlText w:val="•"/>
      <w:lvlJc w:val="left"/>
      <w:pPr>
        <w:ind w:left="8496" w:hanging="360"/>
      </w:pPr>
      <w:rPr>
        <w:rFonts w:hint="default"/>
        <w:lang w:val="en-US" w:eastAsia="en-US" w:bidi="ar-SA"/>
      </w:rPr>
    </w:lvl>
  </w:abstractNum>
  <w:abstractNum w:abstractNumId="107" w15:restartNumberingAfterBreak="0">
    <w:nsid w:val="3E9636EE"/>
    <w:multiLevelType w:val="hybridMultilevel"/>
    <w:tmpl w:val="0E5646C6"/>
    <w:lvl w:ilvl="0" w:tplc="A288E458">
      <w:start w:val="10"/>
      <w:numFmt w:val="decimal"/>
      <w:lvlText w:val=".%1"/>
      <w:lvlJc w:val="left"/>
      <w:pPr>
        <w:ind w:left="1799" w:hanging="721"/>
        <w:jc w:val="left"/>
      </w:pPr>
      <w:rPr>
        <w:rFonts w:ascii="Arial" w:eastAsia="Arial" w:hAnsi="Arial" w:cs="Arial" w:hint="default"/>
        <w:b w:val="0"/>
        <w:bCs w:val="0"/>
        <w:i w:val="0"/>
        <w:iCs w:val="0"/>
        <w:spacing w:val="0"/>
        <w:w w:val="99"/>
        <w:sz w:val="22"/>
        <w:szCs w:val="22"/>
        <w:lang w:val="en-US" w:eastAsia="en-US" w:bidi="ar-SA"/>
      </w:rPr>
    </w:lvl>
    <w:lvl w:ilvl="1" w:tplc="91D4F390">
      <w:start w:val="1"/>
      <w:numFmt w:val="lowerLetter"/>
      <w:lvlText w:val="%2."/>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2" w:tplc="6C56AC14">
      <w:numFmt w:val="bullet"/>
      <w:lvlText w:val=""/>
      <w:lvlJc w:val="left"/>
      <w:pPr>
        <w:ind w:left="2519" w:hanging="360"/>
      </w:pPr>
      <w:rPr>
        <w:rFonts w:ascii="Symbol" w:eastAsia="Symbol" w:hAnsi="Symbol" w:cs="Symbol" w:hint="default"/>
        <w:b w:val="0"/>
        <w:bCs w:val="0"/>
        <w:i w:val="0"/>
        <w:iCs w:val="0"/>
        <w:spacing w:val="0"/>
        <w:w w:val="99"/>
        <w:sz w:val="22"/>
        <w:szCs w:val="22"/>
        <w:lang w:val="en-US" w:eastAsia="en-US" w:bidi="ar-SA"/>
      </w:rPr>
    </w:lvl>
    <w:lvl w:ilvl="3" w:tplc="303CDE1C">
      <w:numFmt w:val="bullet"/>
      <w:lvlText w:val="•"/>
      <w:lvlJc w:val="left"/>
      <w:pPr>
        <w:ind w:left="3510" w:hanging="360"/>
      </w:pPr>
      <w:rPr>
        <w:rFonts w:hint="default"/>
        <w:lang w:val="en-US" w:eastAsia="en-US" w:bidi="ar-SA"/>
      </w:rPr>
    </w:lvl>
    <w:lvl w:ilvl="4" w:tplc="809A3570">
      <w:numFmt w:val="bullet"/>
      <w:lvlText w:val="•"/>
      <w:lvlJc w:val="left"/>
      <w:pPr>
        <w:ind w:left="4500" w:hanging="360"/>
      </w:pPr>
      <w:rPr>
        <w:rFonts w:hint="default"/>
        <w:lang w:val="en-US" w:eastAsia="en-US" w:bidi="ar-SA"/>
      </w:rPr>
    </w:lvl>
    <w:lvl w:ilvl="5" w:tplc="5B24F446">
      <w:numFmt w:val="bullet"/>
      <w:lvlText w:val="•"/>
      <w:lvlJc w:val="left"/>
      <w:pPr>
        <w:ind w:left="5490" w:hanging="360"/>
      </w:pPr>
      <w:rPr>
        <w:rFonts w:hint="default"/>
        <w:lang w:val="en-US" w:eastAsia="en-US" w:bidi="ar-SA"/>
      </w:rPr>
    </w:lvl>
    <w:lvl w:ilvl="6" w:tplc="BFF81D40">
      <w:numFmt w:val="bullet"/>
      <w:lvlText w:val="•"/>
      <w:lvlJc w:val="left"/>
      <w:pPr>
        <w:ind w:left="6480" w:hanging="360"/>
      </w:pPr>
      <w:rPr>
        <w:rFonts w:hint="default"/>
        <w:lang w:val="en-US" w:eastAsia="en-US" w:bidi="ar-SA"/>
      </w:rPr>
    </w:lvl>
    <w:lvl w:ilvl="7" w:tplc="71B6ABB0">
      <w:numFmt w:val="bullet"/>
      <w:lvlText w:val="•"/>
      <w:lvlJc w:val="left"/>
      <w:pPr>
        <w:ind w:left="7470" w:hanging="360"/>
      </w:pPr>
      <w:rPr>
        <w:rFonts w:hint="default"/>
        <w:lang w:val="en-US" w:eastAsia="en-US" w:bidi="ar-SA"/>
      </w:rPr>
    </w:lvl>
    <w:lvl w:ilvl="8" w:tplc="03D09EFA">
      <w:numFmt w:val="bullet"/>
      <w:lvlText w:val="•"/>
      <w:lvlJc w:val="left"/>
      <w:pPr>
        <w:ind w:left="8460" w:hanging="360"/>
      </w:pPr>
      <w:rPr>
        <w:rFonts w:hint="default"/>
        <w:lang w:val="en-US" w:eastAsia="en-US" w:bidi="ar-SA"/>
      </w:rPr>
    </w:lvl>
  </w:abstractNum>
  <w:abstractNum w:abstractNumId="108" w15:restartNumberingAfterBreak="0">
    <w:nsid w:val="3FA3199C"/>
    <w:multiLevelType w:val="hybridMultilevel"/>
    <w:tmpl w:val="45486582"/>
    <w:lvl w:ilvl="0" w:tplc="982EC740">
      <w:numFmt w:val="bullet"/>
      <w:lvlText w:val=""/>
      <w:lvlJc w:val="left"/>
      <w:pPr>
        <w:ind w:left="271" w:hanging="186"/>
      </w:pPr>
      <w:rPr>
        <w:rFonts w:ascii="Symbol" w:eastAsia="Symbol" w:hAnsi="Symbol" w:cs="Symbol" w:hint="default"/>
        <w:b w:val="0"/>
        <w:bCs w:val="0"/>
        <w:i w:val="0"/>
        <w:iCs w:val="0"/>
        <w:spacing w:val="0"/>
        <w:w w:val="100"/>
        <w:sz w:val="18"/>
        <w:szCs w:val="18"/>
        <w:lang w:val="en-US" w:eastAsia="en-US" w:bidi="ar-SA"/>
      </w:rPr>
    </w:lvl>
    <w:lvl w:ilvl="1" w:tplc="91C6C0AC">
      <w:numFmt w:val="bullet"/>
      <w:lvlText w:val="•"/>
      <w:lvlJc w:val="left"/>
      <w:pPr>
        <w:ind w:left="727" w:hanging="186"/>
      </w:pPr>
      <w:rPr>
        <w:rFonts w:hint="default"/>
        <w:lang w:val="en-US" w:eastAsia="en-US" w:bidi="ar-SA"/>
      </w:rPr>
    </w:lvl>
    <w:lvl w:ilvl="2" w:tplc="3F26ED8A">
      <w:numFmt w:val="bullet"/>
      <w:lvlText w:val="•"/>
      <w:lvlJc w:val="left"/>
      <w:pPr>
        <w:ind w:left="1175" w:hanging="186"/>
      </w:pPr>
      <w:rPr>
        <w:rFonts w:hint="default"/>
        <w:lang w:val="en-US" w:eastAsia="en-US" w:bidi="ar-SA"/>
      </w:rPr>
    </w:lvl>
    <w:lvl w:ilvl="3" w:tplc="66B8F5D4">
      <w:numFmt w:val="bullet"/>
      <w:lvlText w:val="•"/>
      <w:lvlJc w:val="left"/>
      <w:pPr>
        <w:ind w:left="1623" w:hanging="186"/>
      </w:pPr>
      <w:rPr>
        <w:rFonts w:hint="default"/>
        <w:lang w:val="en-US" w:eastAsia="en-US" w:bidi="ar-SA"/>
      </w:rPr>
    </w:lvl>
    <w:lvl w:ilvl="4" w:tplc="7B12DC7C">
      <w:numFmt w:val="bullet"/>
      <w:lvlText w:val="•"/>
      <w:lvlJc w:val="left"/>
      <w:pPr>
        <w:ind w:left="2071" w:hanging="186"/>
      </w:pPr>
      <w:rPr>
        <w:rFonts w:hint="default"/>
        <w:lang w:val="en-US" w:eastAsia="en-US" w:bidi="ar-SA"/>
      </w:rPr>
    </w:lvl>
    <w:lvl w:ilvl="5" w:tplc="1842F52C">
      <w:numFmt w:val="bullet"/>
      <w:lvlText w:val="•"/>
      <w:lvlJc w:val="left"/>
      <w:pPr>
        <w:ind w:left="2518" w:hanging="186"/>
      </w:pPr>
      <w:rPr>
        <w:rFonts w:hint="default"/>
        <w:lang w:val="en-US" w:eastAsia="en-US" w:bidi="ar-SA"/>
      </w:rPr>
    </w:lvl>
    <w:lvl w:ilvl="6" w:tplc="5B403F38">
      <w:numFmt w:val="bullet"/>
      <w:lvlText w:val="•"/>
      <w:lvlJc w:val="left"/>
      <w:pPr>
        <w:ind w:left="2966" w:hanging="186"/>
      </w:pPr>
      <w:rPr>
        <w:rFonts w:hint="default"/>
        <w:lang w:val="en-US" w:eastAsia="en-US" w:bidi="ar-SA"/>
      </w:rPr>
    </w:lvl>
    <w:lvl w:ilvl="7" w:tplc="C4F8E372">
      <w:numFmt w:val="bullet"/>
      <w:lvlText w:val="•"/>
      <w:lvlJc w:val="left"/>
      <w:pPr>
        <w:ind w:left="3414" w:hanging="186"/>
      </w:pPr>
      <w:rPr>
        <w:rFonts w:hint="default"/>
        <w:lang w:val="en-US" w:eastAsia="en-US" w:bidi="ar-SA"/>
      </w:rPr>
    </w:lvl>
    <w:lvl w:ilvl="8" w:tplc="3320C8A2">
      <w:numFmt w:val="bullet"/>
      <w:lvlText w:val="•"/>
      <w:lvlJc w:val="left"/>
      <w:pPr>
        <w:ind w:left="3862" w:hanging="186"/>
      </w:pPr>
      <w:rPr>
        <w:rFonts w:hint="default"/>
        <w:lang w:val="en-US" w:eastAsia="en-US" w:bidi="ar-SA"/>
      </w:rPr>
    </w:lvl>
  </w:abstractNum>
  <w:abstractNum w:abstractNumId="109" w15:restartNumberingAfterBreak="0">
    <w:nsid w:val="40926F64"/>
    <w:multiLevelType w:val="hybridMultilevel"/>
    <w:tmpl w:val="43F8D328"/>
    <w:lvl w:ilvl="0" w:tplc="66E839AE">
      <w:numFmt w:val="bullet"/>
      <w:lvlText w:val=""/>
      <w:lvlJc w:val="left"/>
      <w:pPr>
        <w:ind w:left="585" w:hanging="180"/>
      </w:pPr>
      <w:rPr>
        <w:rFonts w:ascii="Symbol" w:eastAsia="Symbol" w:hAnsi="Symbol" w:cs="Symbol" w:hint="default"/>
        <w:b w:val="0"/>
        <w:bCs w:val="0"/>
        <w:i w:val="0"/>
        <w:iCs w:val="0"/>
        <w:spacing w:val="0"/>
        <w:w w:val="100"/>
        <w:sz w:val="18"/>
        <w:szCs w:val="18"/>
        <w:lang w:val="en-US" w:eastAsia="en-US" w:bidi="ar-SA"/>
      </w:rPr>
    </w:lvl>
    <w:lvl w:ilvl="1" w:tplc="1620167E">
      <w:numFmt w:val="bullet"/>
      <w:lvlText w:val="•"/>
      <w:lvlJc w:val="left"/>
      <w:pPr>
        <w:ind w:left="1129" w:hanging="180"/>
      </w:pPr>
      <w:rPr>
        <w:rFonts w:hint="default"/>
        <w:lang w:val="en-US" w:eastAsia="en-US" w:bidi="ar-SA"/>
      </w:rPr>
    </w:lvl>
    <w:lvl w:ilvl="2" w:tplc="20C47404">
      <w:numFmt w:val="bullet"/>
      <w:lvlText w:val="•"/>
      <w:lvlJc w:val="left"/>
      <w:pPr>
        <w:ind w:left="1678" w:hanging="180"/>
      </w:pPr>
      <w:rPr>
        <w:rFonts w:hint="default"/>
        <w:lang w:val="en-US" w:eastAsia="en-US" w:bidi="ar-SA"/>
      </w:rPr>
    </w:lvl>
    <w:lvl w:ilvl="3" w:tplc="3022DFDE">
      <w:numFmt w:val="bullet"/>
      <w:lvlText w:val="•"/>
      <w:lvlJc w:val="left"/>
      <w:pPr>
        <w:ind w:left="2227" w:hanging="180"/>
      </w:pPr>
      <w:rPr>
        <w:rFonts w:hint="default"/>
        <w:lang w:val="en-US" w:eastAsia="en-US" w:bidi="ar-SA"/>
      </w:rPr>
    </w:lvl>
    <w:lvl w:ilvl="4" w:tplc="0D1678F6">
      <w:numFmt w:val="bullet"/>
      <w:lvlText w:val="•"/>
      <w:lvlJc w:val="left"/>
      <w:pPr>
        <w:ind w:left="2776" w:hanging="180"/>
      </w:pPr>
      <w:rPr>
        <w:rFonts w:hint="default"/>
        <w:lang w:val="en-US" w:eastAsia="en-US" w:bidi="ar-SA"/>
      </w:rPr>
    </w:lvl>
    <w:lvl w:ilvl="5" w:tplc="D2A23FC4">
      <w:numFmt w:val="bullet"/>
      <w:lvlText w:val="•"/>
      <w:lvlJc w:val="left"/>
      <w:pPr>
        <w:ind w:left="3325" w:hanging="180"/>
      </w:pPr>
      <w:rPr>
        <w:rFonts w:hint="default"/>
        <w:lang w:val="en-US" w:eastAsia="en-US" w:bidi="ar-SA"/>
      </w:rPr>
    </w:lvl>
    <w:lvl w:ilvl="6" w:tplc="CD1C60E4">
      <w:numFmt w:val="bullet"/>
      <w:lvlText w:val="•"/>
      <w:lvlJc w:val="left"/>
      <w:pPr>
        <w:ind w:left="3874" w:hanging="180"/>
      </w:pPr>
      <w:rPr>
        <w:rFonts w:hint="default"/>
        <w:lang w:val="en-US" w:eastAsia="en-US" w:bidi="ar-SA"/>
      </w:rPr>
    </w:lvl>
    <w:lvl w:ilvl="7" w:tplc="6284F5EE">
      <w:numFmt w:val="bullet"/>
      <w:lvlText w:val="•"/>
      <w:lvlJc w:val="left"/>
      <w:pPr>
        <w:ind w:left="4423" w:hanging="180"/>
      </w:pPr>
      <w:rPr>
        <w:rFonts w:hint="default"/>
        <w:lang w:val="en-US" w:eastAsia="en-US" w:bidi="ar-SA"/>
      </w:rPr>
    </w:lvl>
    <w:lvl w:ilvl="8" w:tplc="5A2CAD56">
      <w:numFmt w:val="bullet"/>
      <w:lvlText w:val="•"/>
      <w:lvlJc w:val="left"/>
      <w:pPr>
        <w:ind w:left="4972" w:hanging="180"/>
      </w:pPr>
      <w:rPr>
        <w:rFonts w:hint="default"/>
        <w:lang w:val="en-US" w:eastAsia="en-US" w:bidi="ar-SA"/>
      </w:rPr>
    </w:lvl>
  </w:abstractNum>
  <w:abstractNum w:abstractNumId="110" w15:restartNumberingAfterBreak="0">
    <w:nsid w:val="41034971"/>
    <w:multiLevelType w:val="hybridMultilevel"/>
    <w:tmpl w:val="77929008"/>
    <w:lvl w:ilvl="0" w:tplc="00C00870">
      <w:start w:val="1"/>
      <w:numFmt w:val="decimal"/>
      <w:lvlText w:val="%1."/>
      <w:lvlJc w:val="left"/>
      <w:pPr>
        <w:ind w:left="719" w:hanging="360"/>
        <w:jc w:val="left"/>
      </w:pPr>
      <w:rPr>
        <w:rFonts w:ascii="Arial" w:eastAsia="Arial" w:hAnsi="Arial" w:cs="Arial" w:hint="default"/>
        <w:b w:val="0"/>
        <w:bCs w:val="0"/>
        <w:i w:val="0"/>
        <w:iCs w:val="0"/>
        <w:spacing w:val="0"/>
        <w:w w:val="99"/>
        <w:sz w:val="22"/>
        <w:szCs w:val="22"/>
        <w:lang w:val="en-US" w:eastAsia="en-US" w:bidi="ar-SA"/>
      </w:rPr>
    </w:lvl>
    <w:lvl w:ilvl="1" w:tplc="17DEE394">
      <w:start w:val="1"/>
      <w:numFmt w:val="decimal"/>
      <w:lvlText w:val="(%2)"/>
      <w:lvlJc w:val="left"/>
      <w:pPr>
        <w:ind w:left="993" w:hanging="270"/>
        <w:jc w:val="left"/>
      </w:pPr>
      <w:rPr>
        <w:rFonts w:ascii="Arial" w:eastAsia="Arial" w:hAnsi="Arial" w:cs="Arial" w:hint="default"/>
        <w:b w:val="0"/>
        <w:bCs w:val="0"/>
        <w:i w:val="0"/>
        <w:iCs w:val="0"/>
        <w:spacing w:val="-1"/>
        <w:w w:val="100"/>
        <w:sz w:val="18"/>
        <w:szCs w:val="18"/>
        <w:lang w:val="en-US" w:eastAsia="en-US" w:bidi="ar-SA"/>
      </w:rPr>
    </w:lvl>
    <w:lvl w:ilvl="2" w:tplc="5044971C">
      <w:start w:val="1"/>
      <w:numFmt w:val="lowerLetter"/>
      <w:lvlText w:val="(%3)"/>
      <w:lvlJc w:val="left"/>
      <w:pPr>
        <w:ind w:left="1263" w:hanging="270"/>
        <w:jc w:val="left"/>
      </w:pPr>
      <w:rPr>
        <w:rFonts w:ascii="Arial" w:eastAsia="Arial" w:hAnsi="Arial" w:cs="Arial" w:hint="default"/>
        <w:b w:val="0"/>
        <w:bCs w:val="0"/>
        <w:i w:val="0"/>
        <w:iCs w:val="0"/>
        <w:spacing w:val="-1"/>
        <w:w w:val="100"/>
        <w:sz w:val="18"/>
        <w:szCs w:val="18"/>
        <w:lang w:val="en-US" w:eastAsia="en-US" w:bidi="ar-SA"/>
      </w:rPr>
    </w:lvl>
    <w:lvl w:ilvl="3" w:tplc="767A8080">
      <w:numFmt w:val="bullet"/>
      <w:lvlText w:val="•"/>
      <w:lvlJc w:val="left"/>
      <w:pPr>
        <w:ind w:left="2407" w:hanging="270"/>
      </w:pPr>
      <w:rPr>
        <w:rFonts w:hint="default"/>
        <w:lang w:val="en-US" w:eastAsia="en-US" w:bidi="ar-SA"/>
      </w:rPr>
    </w:lvl>
    <w:lvl w:ilvl="4" w:tplc="44B8A776">
      <w:numFmt w:val="bullet"/>
      <w:lvlText w:val="•"/>
      <w:lvlJc w:val="left"/>
      <w:pPr>
        <w:ind w:left="3555" w:hanging="270"/>
      </w:pPr>
      <w:rPr>
        <w:rFonts w:hint="default"/>
        <w:lang w:val="en-US" w:eastAsia="en-US" w:bidi="ar-SA"/>
      </w:rPr>
    </w:lvl>
    <w:lvl w:ilvl="5" w:tplc="E5324B3A">
      <w:numFmt w:val="bullet"/>
      <w:lvlText w:val="•"/>
      <w:lvlJc w:val="left"/>
      <w:pPr>
        <w:ind w:left="4702" w:hanging="270"/>
      </w:pPr>
      <w:rPr>
        <w:rFonts w:hint="default"/>
        <w:lang w:val="en-US" w:eastAsia="en-US" w:bidi="ar-SA"/>
      </w:rPr>
    </w:lvl>
    <w:lvl w:ilvl="6" w:tplc="513A9B7E">
      <w:numFmt w:val="bullet"/>
      <w:lvlText w:val="•"/>
      <w:lvlJc w:val="left"/>
      <w:pPr>
        <w:ind w:left="5850" w:hanging="270"/>
      </w:pPr>
      <w:rPr>
        <w:rFonts w:hint="default"/>
        <w:lang w:val="en-US" w:eastAsia="en-US" w:bidi="ar-SA"/>
      </w:rPr>
    </w:lvl>
    <w:lvl w:ilvl="7" w:tplc="A41C48EA">
      <w:numFmt w:val="bullet"/>
      <w:lvlText w:val="•"/>
      <w:lvlJc w:val="left"/>
      <w:pPr>
        <w:ind w:left="6997" w:hanging="270"/>
      </w:pPr>
      <w:rPr>
        <w:rFonts w:hint="default"/>
        <w:lang w:val="en-US" w:eastAsia="en-US" w:bidi="ar-SA"/>
      </w:rPr>
    </w:lvl>
    <w:lvl w:ilvl="8" w:tplc="BEB23060">
      <w:numFmt w:val="bullet"/>
      <w:lvlText w:val="•"/>
      <w:lvlJc w:val="left"/>
      <w:pPr>
        <w:ind w:left="8145" w:hanging="270"/>
      </w:pPr>
      <w:rPr>
        <w:rFonts w:hint="default"/>
        <w:lang w:val="en-US" w:eastAsia="en-US" w:bidi="ar-SA"/>
      </w:rPr>
    </w:lvl>
  </w:abstractNum>
  <w:abstractNum w:abstractNumId="111" w15:restartNumberingAfterBreak="0">
    <w:nsid w:val="41354932"/>
    <w:multiLevelType w:val="hybridMultilevel"/>
    <w:tmpl w:val="A8623368"/>
    <w:lvl w:ilvl="0" w:tplc="822E8BF0">
      <w:start w:val="11"/>
      <w:numFmt w:val="decimal"/>
      <w:lvlText w:val="%1."/>
      <w:lvlJc w:val="left"/>
      <w:pPr>
        <w:ind w:left="485" w:hanging="360"/>
        <w:jc w:val="left"/>
      </w:pPr>
      <w:rPr>
        <w:rFonts w:ascii="Arial" w:eastAsia="Arial" w:hAnsi="Arial" w:cs="Arial" w:hint="default"/>
        <w:b w:val="0"/>
        <w:bCs w:val="0"/>
        <w:i w:val="0"/>
        <w:iCs w:val="0"/>
        <w:spacing w:val="0"/>
        <w:w w:val="99"/>
        <w:sz w:val="22"/>
        <w:szCs w:val="22"/>
        <w:lang w:val="en-US" w:eastAsia="en-US" w:bidi="ar-SA"/>
      </w:rPr>
    </w:lvl>
    <w:lvl w:ilvl="1" w:tplc="11B6F2BC">
      <w:numFmt w:val="bullet"/>
      <w:lvlText w:val=""/>
      <w:lvlJc w:val="left"/>
      <w:pPr>
        <w:ind w:left="862" w:hanging="360"/>
      </w:pPr>
      <w:rPr>
        <w:rFonts w:ascii="Symbol" w:eastAsia="Symbol" w:hAnsi="Symbol" w:cs="Symbol" w:hint="default"/>
        <w:b w:val="0"/>
        <w:bCs w:val="0"/>
        <w:i w:val="0"/>
        <w:iCs w:val="0"/>
        <w:spacing w:val="0"/>
        <w:w w:val="99"/>
        <w:sz w:val="22"/>
        <w:szCs w:val="22"/>
        <w:lang w:val="en-US" w:eastAsia="en-US" w:bidi="ar-SA"/>
      </w:rPr>
    </w:lvl>
    <w:lvl w:ilvl="2" w:tplc="9642FE84">
      <w:numFmt w:val="bullet"/>
      <w:lvlText w:val="•"/>
      <w:lvlJc w:val="left"/>
      <w:pPr>
        <w:ind w:left="1528" w:hanging="360"/>
      </w:pPr>
      <w:rPr>
        <w:rFonts w:hint="default"/>
        <w:lang w:val="en-US" w:eastAsia="en-US" w:bidi="ar-SA"/>
      </w:rPr>
    </w:lvl>
    <w:lvl w:ilvl="3" w:tplc="AD7AC9C6">
      <w:numFmt w:val="bullet"/>
      <w:lvlText w:val="•"/>
      <w:lvlJc w:val="left"/>
      <w:pPr>
        <w:ind w:left="2196" w:hanging="360"/>
      </w:pPr>
      <w:rPr>
        <w:rFonts w:hint="default"/>
        <w:lang w:val="en-US" w:eastAsia="en-US" w:bidi="ar-SA"/>
      </w:rPr>
    </w:lvl>
    <w:lvl w:ilvl="4" w:tplc="60A4CEC8">
      <w:numFmt w:val="bullet"/>
      <w:lvlText w:val="•"/>
      <w:lvlJc w:val="left"/>
      <w:pPr>
        <w:ind w:left="2864" w:hanging="360"/>
      </w:pPr>
      <w:rPr>
        <w:rFonts w:hint="default"/>
        <w:lang w:val="en-US" w:eastAsia="en-US" w:bidi="ar-SA"/>
      </w:rPr>
    </w:lvl>
    <w:lvl w:ilvl="5" w:tplc="7C705146">
      <w:numFmt w:val="bullet"/>
      <w:lvlText w:val="•"/>
      <w:lvlJc w:val="left"/>
      <w:pPr>
        <w:ind w:left="3532" w:hanging="360"/>
      </w:pPr>
      <w:rPr>
        <w:rFonts w:hint="default"/>
        <w:lang w:val="en-US" w:eastAsia="en-US" w:bidi="ar-SA"/>
      </w:rPr>
    </w:lvl>
    <w:lvl w:ilvl="6" w:tplc="640A3CB6">
      <w:numFmt w:val="bullet"/>
      <w:lvlText w:val="•"/>
      <w:lvlJc w:val="left"/>
      <w:pPr>
        <w:ind w:left="4200" w:hanging="360"/>
      </w:pPr>
      <w:rPr>
        <w:rFonts w:hint="default"/>
        <w:lang w:val="en-US" w:eastAsia="en-US" w:bidi="ar-SA"/>
      </w:rPr>
    </w:lvl>
    <w:lvl w:ilvl="7" w:tplc="5C967F30">
      <w:numFmt w:val="bullet"/>
      <w:lvlText w:val="•"/>
      <w:lvlJc w:val="left"/>
      <w:pPr>
        <w:ind w:left="4868" w:hanging="360"/>
      </w:pPr>
      <w:rPr>
        <w:rFonts w:hint="default"/>
        <w:lang w:val="en-US" w:eastAsia="en-US" w:bidi="ar-SA"/>
      </w:rPr>
    </w:lvl>
    <w:lvl w:ilvl="8" w:tplc="B8926378">
      <w:numFmt w:val="bullet"/>
      <w:lvlText w:val="•"/>
      <w:lvlJc w:val="left"/>
      <w:pPr>
        <w:ind w:left="5536" w:hanging="360"/>
      </w:pPr>
      <w:rPr>
        <w:rFonts w:hint="default"/>
        <w:lang w:val="en-US" w:eastAsia="en-US" w:bidi="ar-SA"/>
      </w:rPr>
    </w:lvl>
  </w:abstractNum>
  <w:abstractNum w:abstractNumId="112" w15:restartNumberingAfterBreak="0">
    <w:nsid w:val="43224421"/>
    <w:multiLevelType w:val="hybridMultilevel"/>
    <w:tmpl w:val="D82A4956"/>
    <w:lvl w:ilvl="0" w:tplc="B6FEAAE4">
      <w:numFmt w:val="bullet"/>
      <w:lvlText w:val=""/>
      <w:lvlJc w:val="left"/>
      <w:pPr>
        <w:ind w:left="307" w:hanging="189"/>
      </w:pPr>
      <w:rPr>
        <w:rFonts w:ascii="Symbol" w:eastAsia="Symbol" w:hAnsi="Symbol" w:cs="Symbol" w:hint="default"/>
        <w:b w:val="0"/>
        <w:bCs w:val="0"/>
        <w:i w:val="0"/>
        <w:iCs w:val="0"/>
        <w:spacing w:val="0"/>
        <w:w w:val="100"/>
        <w:sz w:val="18"/>
        <w:szCs w:val="18"/>
        <w:lang w:val="en-US" w:eastAsia="en-US" w:bidi="ar-SA"/>
      </w:rPr>
    </w:lvl>
    <w:lvl w:ilvl="1" w:tplc="96DE35D2">
      <w:numFmt w:val="bullet"/>
      <w:lvlText w:val="•"/>
      <w:lvlJc w:val="left"/>
      <w:pPr>
        <w:ind w:left="1028" w:hanging="189"/>
      </w:pPr>
      <w:rPr>
        <w:rFonts w:hint="default"/>
        <w:lang w:val="en-US" w:eastAsia="en-US" w:bidi="ar-SA"/>
      </w:rPr>
    </w:lvl>
    <w:lvl w:ilvl="2" w:tplc="00285B64">
      <w:numFmt w:val="bullet"/>
      <w:lvlText w:val="•"/>
      <w:lvlJc w:val="left"/>
      <w:pPr>
        <w:ind w:left="1756" w:hanging="189"/>
      </w:pPr>
      <w:rPr>
        <w:rFonts w:hint="default"/>
        <w:lang w:val="en-US" w:eastAsia="en-US" w:bidi="ar-SA"/>
      </w:rPr>
    </w:lvl>
    <w:lvl w:ilvl="3" w:tplc="A1B4F23E">
      <w:numFmt w:val="bullet"/>
      <w:lvlText w:val="•"/>
      <w:lvlJc w:val="left"/>
      <w:pPr>
        <w:ind w:left="2484" w:hanging="189"/>
      </w:pPr>
      <w:rPr>
        <w:rFonts w:hint="default"/>
        <w:lang w:val="en-US" w:eastAsia="en-US" w:bidi="ar-SA"/>
      </w:rPr>
    </w:lvl>
    <w:lvl w:ilvl="4" w:tplc="FCE4740C">
      <w:numFmt w:val="bullet"/>
      <w:lvlText w:val="•"/>
      <w:lvlJc w:val="left"/>
      <w:pPr>
        <w:ind w:left="3212" w:hanging="189"/>
      </w:pPr>
      <w:rPr>
        <w:rFonts w:hint="default"/>
        <w:lang w:val="en-US" w:eastAsia="en-US" w:bidi="ar-SA"/>
      </w:rPr>
    </w:lvl>
    <w:lvl w:ilvl="5" w:tplc="5F2C9DAC">
      <w:numFmt w:val="bullet"/>
      <w:lvlText w:val="•"/>
      <w:lvlJc w:val="left"/>
      <w:pPr>
        <w:ind w:left="3940" w:hanging="189"/>
      </w:pPr>
      <w:rPr>
        <w:rFonts w:hint="default"/>
        <w:lang w:val="en-US" w:eastAsia="en-US" w:bidi="ar-SA"/>
      </w:rPr>
    </w:lvl>
    <w:lvl w:ilvl="6" w:tplc="5D0AABE0">
      <w:numFmt w:val="bullet"/>
      <w:lvlText w:val="•"/>
      <w:lvlJc w:val="left"/>
      <w:pPr>
        <w:ind w:left="4668" w:hanging="189"/>
      </w:pPr>
      <w:rPr>
        <w:rFonts w:hint="default"/>
        <w:lang w:val="en-US" w:eastAsia="en-US" w:bidi="ar-SA"/>
      </w:rPr>
    </w:lvl>
    <w:lvl w:ilvl="7" w:tplc="244AB140">
      <w:numFmt w:val="bullet"/>
      <w:lvlText w:val="•"/>
      <w:lvlJc w:val="left"/>
      <w:pPr>
        <w:ind w:left="5396" w:hanging="189"/>
      </w:pPr>
      <w:rPr>
        <w:rFonts w:hint="default"/>
        <w:lang w:val="en-US" w:eastAsia="en-US" w:bidi="ar-SA"/>
      </w:rPr>
    </w:lvl>
    <w:lvl w:ilvl="8" w:tplc="8C10A268">
      <w:numFmt w:val="bullet"/>
      <w:lvlText w:val="•"/>
      <w:lvlJc w:val="left"/>
      <w:pPr>
        <w:ind w:left="6124" w:hanging="189"/>
      </w:pPr>
      <w:rPr>
        <w:rFonts w:hint="default"/>
        <w:lang w:val="en-US" w:eastAsia="en-US" w:bidi="ar-SA"/>
      </w:rPr>
    </w:lvl>
  </w:abstractNum>
  <w:abstractNum w:abstractNumId="113" w15:restartNumberingAfterBreak="0">
    <w:nsid w:val="44830CA8"/>
    <w:multiLevelType w:val="hybridMultilevel"/>
    <w:tmpl w:val="8C2E2FEA"/>
    <w:lvl w:ilvl="0" w:tplc="A2120B14">
      <w:start w:val="10"/>
      <w:numFmt w:val="lowerLetter"/>
      <w:lvlText w:val="%1."/>
      <w:lvlJc w:val="left"/>
      <w:pPr>
        <w:ind w:left="1204" w:hanging="361"/>
        <w:jc w:val="left"/>
      </w:pPr>
      <w:rPr>
        <w:rFonts w:ascii="Arial" w:eastAsia="Arial" w:hAnsi="Arial" w:cs="Arial" w:hint="default"/>
        <w:b w:val="0"/>
        <w:bCs w:val="0"/>
        <w:i w:val="0"/>
        <w:iCs w:val="0"/>
        <w:spacing w:val="0"/>
        <w:w w:val="99"/>
        <w:sz w:val="22"/>
        <w:szCs w:val="22"/>
        <w:lang w:val="en-US" w:eastAsia="en-US" w:bidi="ar-SA"/>
      </w:rPr>
    </w:lvl>
    <w:lvl w:ilvl="1" w:tplc="6B40F532">
      <w:numFmt w:val="bullet"/>
      <w:lvlText w:val=""/>
      <w:lvlJc w:val="left"/>
      <w:pPr>
        <w:ind w:left="1520" w:hanging="274"/>
      </w:pPr>
      <w:rPr>
        <w:rFonts w:ascii="Symbol" w:eastAsia="Symbol" w:hAnsi="Symbol" w:cs="Symbol" w:hint="default"/>
        <w:spacing w:val="0"/>
        <w:w w:val="99"/>
        <w:lang w:val="en-US" w:eastAsia="en-US" w:bidi="ar-SA"/>
      </w:rPr>
    </w:lvl>
    <w:lvl w:ilvl="2" w:tplc="26F61168">
      <w:numFmt w:val="bullet"/>
      <w:lvlText w:val="•"/>
      <w:lvlJc w:val="left"/>
      <w:pPr>
        <w:ind w:left="2167" w:hanging="274"/>
      </w:pPr>
      <w:rPr>
        <w:rFonts w:hint="default"/>
        <w:lang w:val="en-US" w:eastAsia="en-US" w:bidi="ar-SA"/>
      </w:rPr>
    </w:lvl>
    <w:lvl w:ilvl="3" w:tplc="1F36BA66">
      <w:numFmt w:val="bullet"/>
      <w:lvlText w:val="•"/>
      <w:lvlJc w:val="left"/>
      <w:pPr>
        <w:ind w:left="2815" w:hanging="274"/>
      </w:pPr>
      <w:rPr>
        <w:rFonts w:hint="default"/>
        <w:lang w:val="en-US" w:eastAsia="en-US" w:bidi="ar-SA"/>
      </w:rPr>
    </w:lvl>
    <w:lvl w:ilvl="4" w:tplc="6306536E">
      <w:numFmt w:val="bullet"/>
      <w:lvlText w:val="•"/>
      <w:lvlJc w:val="left"/>
      <w:pPr>
        <w:ind w:left="3463" w:hanging="274"/>
      </w:pPr>
      <w:rPr>
        <w:rFonts w:hint="default"/>
        <w:lang w:val="en-US" w:eastAsia="en-US" w:bidi="ar-SA"/>
      </w:rPr>
    </w:lvl>
    <w:lvl w:ilvl="5" w:tplc="F320D8DE">
      <w:numFmt w:val="bullet"/>
      <w:lvlText w:val="•"/>
      <w:lvlJc w:val="left"/>
      <w:pPr>
        <w:ind w:left="4111" w:hanging="274"/>
      </w:pPr>
      <w:rPr>
        <w:rFonts w:hint="default"/>
        <w:lang w:val="en-US" w:eastAsia="en-US" w:bidi="ar-SA"/>
      </w:rPr>
    </w:lvl>
    <w:lvl w:ilvl="6" w:tplc="4536A356">
      <w:numFmt w:val="bullet"/>
      <w:lvlText w:val="•"/>
      <w:lvlJc w:val="left"/>
      <w:pPr>
        <w:ind w:left="4758" w:hanging="274"/>
      </w:pPr>
      <w:rPr>
        <w:rFonts w:hint="default"/>
        <w:lang w:val="en-US" w:eastAsia="en-US" w:bidi="ar-SA"/>
      </w:rPr>
    </w:lvl>
    <w:lvl w:ilvl="7" w:tplc="BEBA8BE4">
      <w:numFmt w:val="bullet"/>
      <w:lvlText w:val="•"/>
      <w:lvlJc w:val="left"/>
      <w:pPr>
        <w:ind w:left="5406" w:hanging="274"/>
      </w:pPr>
      <w:rPr>
        <w:rFonts w:hint="default"/>
        <w:lang w:val="en-US" w:eastAsia="en-US" w:bidi="ar-SA"/>
      </w:rPr>
    </w:lvl>
    <w:lvl w:ilvl="8" w:tplc="231AF19C">
      <w:numFmt w:val="bullet"/>
      <w:lvlText w:val="•"/>
      <w:lvlJc w:val="left"/>
      <w:pPr>
        <w:ind w:left="6054" w:hanging="274"/>
      </w:pPr>
      <w:rPr>
        <w:rFonts w:hint="default"/>
        <w:lang w:val="en-US" w:eastAsia="en-US" w:bidi="ar-SA"/>
      </w:rPr>
    </w:lvl>
  </w:abstractNum>
  <w:abstractNum w:abstractNumId="114" w15:restartNumberingAfterBreak="0">
    <w:nsid w:val="452A2CDA"/>
    <w:multiLevelType w:val="hybridMultilevel"/>
    <w:tmpl w:val="B984B5A2"/>
    <w:lvl w:ilvl="0" w:tplc="AEBCE82E">
      <w:start w:val="1"/>
      <w:numFmt w:val="decimal"/>
      <w:lvlText w:val="%1."/>
      <w:lvlJc w:val="left"/>
      <w:pPr>
        <w:ind w:left="909" w:hanging="300"/>
        <w:jc w:val="left"/>
      </w:pPr>
      <w:rPr>
        <w:rFonts w:ascii="Arial" w:eastAsia="Arial" w:hAnsi="Arial" w:cs="Arial" w:hint="default"/>
        <w:b w:val="0"/>
        <w:bCs w:val="0"/>
        <w:i w:val="0"/>
        <w:iCs w:val="0"/>
        <w:spacing w:val="0"/>
        <w:w w:val="99"/>
        <w:sz w:val="22"/>
        <w:szCs w:val="22"/>
        <w:lang w:val="en-US" w:eastAsia="en-US" w:bidi="ar-SA"/>
      </w:rPr>
    </w:lvl>
    <w:lvl w:ilvl="1" w:tplc="C0C28606">
      <w:numFmt w:val="bullet"/>
      <w:lvlText w:val="•"/>
      <w:lvlJc w:val="left"/>
      <w:pPr>
        <w:ind w:left="1611" w:hanging="300"/>
      </w:pPr>
      <w:rPr>
        <w:rFonts w:hint="default"/>
        <w:lang w:val="en-US" w:eastAsia="en-US" w:bidi="ar-SA"/>
      </w:rPr>
    </w:lvl>
    <w:lvl w:ilvl="2" w:tplc="2FC283B8">
      <w:numFmt w:val="bullet"/>
      <w:lvlText w:val="•"/>
      <w:lvlJc w:val="left"/>
      <w:pPr>
        <w:ind w:left="2322" w:hanging="300"/>
      </w:pPr>
      <w:rPr>
        <w:rFonts w:hint="default"/>
        <w:lang w:val="en-US" w:eastAsia="en-US" w:bidi="ar-SA"/>
      </w:rPr>
    </w:lvl>
    <w:lvl w:ilvl="3" w:tplc="A394F530">
      <w:numFmt w:val="bullet"/>
      <w:lvlText w:val="•"/>
      <w:lvlJc w:val="left"/>
      <w:pPr>
        <w:ind w:left="3033" w:hanging="300"/>
      </w:pPr>
      <w:rPr>
        <w:rFonts w:hint="default"/>
        <w:lang w:val="en-US" w:eastAsia="en-US" w:bidi="ar-SA"/>
      </w:rPr>
    </w:lvl>
    <w:lvl w:ilvl="4" w:tplc="DCB83C88">
      <w:numFmt w:val="bullet"/>
      <w:lvlText w:val="•"/>
      <w:lvlJc w:val="left"/>
      <w:pPr>
        <w:ind w:left="3744" w:hanging="300"/>
      </w:pPr>
      <w:rPr>
        <w:rFonts w:hint="default"/>
        <w:lang w:val="en-US" w:eastAsia="en-US" w:bidi="ar-SA"/>
      </w:rPr>
    </w:lvl>
    <w:lvl w:ilvl="5" w:tplc="A978DB02">
      <w:numFmt w:val="bullet"/>
      <w:lvlText w:val="•"/>
      <w:lvlJc w:val="left"/>
      <w:pPr>
        <w:ind w:left="4456" w:hanging="300"/>
      </w:pPr>
      <w:rPr>
        <w:rFonts w:hint="default"/>
        <w:lang w:val="en-US" w:eastAsia="en-US" w:bidi="ar-SA"/>
      </w:rPr>
    </w:lvl>
    <w:lvl w:ilvl="6" w:tplc="9AFE88DC">
      <w:numFmt w:val="bullet"/>
      <w:lvlText w:val="•"/>
      <w:lvlJc w:val="left"/>
      <w:pPr>
        <w:ind w:left="5167" w:hanging="300"/>
      </w:pPr>
      <w:rPr>
        <w:rFonts w:hint="default"/>
        <w:lang w:val="en-US" w:eastAsia="en-US" w:bidi="ar-SA"/>
      </w:rPr>
    </w:lvl>
    <w:lvl w:ilvl="7" w:tplc="F620D294">
      <w:numFmt w:val="bullet"/>
      <w:lvlText w:val="•"/>
      <w:lvlJc w:val="left"/>
      <w:pPr>
        <w:ind w:left="5878" w:hanging="300"/>
      </w:pPr>
      <w:rPr>
        <w:rFonts w:hint="default"/>
        <w:lang w:val="en-US" w:eastAsia="en-US" w:bidi="ar-SA"/>
      </w:rPr>
    </w:lvl>
    <w:lvl w:ilvl="8" w:tplc="1C0410E4">
      <w:numFmt w:val="bullet"/>
      <w:lvlText w:val="•"/>
      <w:lvlJc w:val="left"/>
      <w:pPr>
        <w:ind w:left="6589" w:hanging="300"/>
      </w:pPr>
      <w:rPr>
        <w:rFonts w:hint="default"/>
        <w:lang w:val="en-US" w:eastAsia="en-US" w:bidi="ar-SA"/>
      </w:rPr>
    </w:lvl>
  </w:abstractNum>
  <w:abstractNum w:abstractNumId="115" w15:restartNumberingAfterBreak="0">
    <w:nsid w:val="45D82A7F"/>
    <w:multiLevelType w:val="hybridMultilevel"/>
    <w:tmpl w:val="FAE6EAF2"/>
    <w:lvl w:ilvl="0" w:tplc="CBFAD32C">
      <w:start w:val="3"/>
      <w:numFmt w:val="lowerLetter"/>
      <w:lvlText w:val="%1)"/>
      <w:lvlJc w:val="left"/>
      <w:pPr>
        <w:ind w:left="1025" w:hanging="357"/>
        <w:jc w:val="left"/>
      </w:pPr>
      <w:rPr>
        <w:rFonts w:ascii="Arial" w:eastAsia="Arial" w:hAnsi="Arial" w:cs="Arial" w:hint="default"/>
        <w:b w:val="0"/>
        <w:bCs w:val="0"/>
        <w:i w:val="0"/>
        <w:iCs w:val="0"/>
        <w:spacing w:val="0"/>
        <w:w w:val="99"/>
        <w:sz w:val="22"/>
        <w:szCs w:val="22"/>
        <w:lang w:val="en-US" w:eastAsia="en-US" w:bidi="ar-SA"/>
      </w:rPr>
    </w:lvl>
    <w:lvl w:ilvl="1" w:tplc="D3505F92">
      <w:start w:val="1"/>
      <w:numFmt w:val="lowerRoman"/>
      <w:lvlText w:val="%2."/>
      <w:lvlJc w:val="left"/>
      <w:pPr>
        <w:ind w:left="1618" w:hanging="287"/>
        <w:jc w:val="right"/>
      </w:pPr>
      <w:rPr>
        <w:rFonts w:ascii="Arial" w:eastAsia="Arial" w:hAnsi="Arial" w:cs="Arial" w:hint="default"/>
        <w:b w:val="0"/>
        <w:bCs w:val="0"/>
        <w:i w:val="0"/>
        <w:iCs w:val="0"/>
        <w:spacing w:val="0"/>
        <w:w w:val="99"/>
        <w:sz w:val="22"/>
        <w:szCs w:val="22"/>
        <w:lang w:val="en-US" w:eastAsia="en-US" w:bidi="ar-SA"/>
      </w:rPr>
    </w:lvl>
    <w:lvl w:ilvl="2" w:tplc="E7682C28">
      <w:numFmt w:val="bullet"/>
      <w:lvlText w:val="•"/>
      <w:lvlJc w:val="left"/>
      <w:pPr>
        <w:ind w:left="2183" w:hanging="287"/>
      </w:pPr>
      <w:rPr>
        <w:rFonts w:hint="default"/>
        <w:lang w:val="en-US" w:eastAsia="en-US" w:bidi="ar-SA"/>
      </w:rPr>
    </w:lvl>
    <w:lvl w:ilvl="3" w:tplc="4446A17E">
      <w:numFmt w:val="bullet"/>
      <w:lvlText w:val="•"/>
      <w:lvlJc w:val="left"/>
      <w:pPr>
        <w:ind w:left="2747" w:hanging="287"/>
      </w:pPr>
      <w:rPr>
        <w:rFonts w:hint="default"/>
        <w:lang w:val="en-US" w:eastAsia="en-US" w:bidi="ar-SA"/>
      </w:rPr>
    </w:lvl>
    <w:lvl w:ilvl="4" w:tplc="ED9C02D0">
      <w:numFmt w:val="bullet"/>
      <w:lvlText w:val="•"/>
      <w:lvlJc w:val="left"/>
      <w:pPr>
        <w:ind w:left="3310" w:hanging="287"/>
      </w:pPr>
      <w:rPr>
        <w:rFonts w:hint="default"/>
        <w:lang w:val="en-US" w:eastAsia="en-US" w:bidi="ar-SA"/>
      </w:rPr>
    </w:lvl>
    <w:lvl w:ilvl="5" w:tplc="4CC246B6">
      <w:numFmt w:val="bullet"/>
      <w:lvlText w:val="•"/>
      <w:lvlJc w:val="left"/>
      <w:pPr>
        <w:ind w:left="3874" w:hanging="287"/>
      </w:pPr>
      <w:rPr>
        <w:rFonts w:hint="default"/>
        <w:lang w:val="en-US" w:eastAsia="en-US" w:bidi="ar-SA"/>
      </w:rPr>
    </w:lvl>
    <w:lvl w:ilvl="6" w:tplc="23D02C9C">
      <w:numFmt w:val="bullet"/>
      <w:lvlText w:val="•"/>
      <w:lvlJc w:val="left"/>
      <w:pPr>
        <w:ind w:left="4437" w:hanging="287"/>
      </w:pPr>
      <w:rPr>
        <w:rFonts w:hint="default"/>
        <w:lang w:val="en-US" w:eastAsia="en-US" w:bidi="ar-SA"/>
      </w:rPr>
    </w:lvl>
    <w:lvl w:ilvl="7" w:tplc="C7A45956">
      <w:numFmt w:val="bullet"/>
      <w:lvlText w:val="•"/>
      <w:lvlJc w:val="left"/>
      <w:pPr>
        <w:ind w:left="5001" w:hanging="287"/>
      </w:pPr>
      <w:rPr>
        <w:rFonts w:hint="default"/>
        <w:lang w:val="en-US" w:eastAsia="en-US" w:bidi="ar-SA"/>
      </w:rPr>
    </w:lvl>
    <w:lvl w:ilvl="8" w:tplc="C0783730">
      <w:numFmt w:val="bullet"/>
      <w:lvlText w:val="•"/>
      <w:lvlJc w:val="left"/>
      <w:pPr>
        <w:ind w:left="5564" w:hanging="287"/>
      </w:pPr>
      <w:rPr>
        <w:rFonts w:hint="default"/>
        <w:lang w:val="en-US" w:eastAsia="en-US" w:bidi="ar-SA"/>
      </w:rPr>
    </w:lvl>
  </w:abstractNum>
  <w:abstractNum w:abstractNumId="116" w15:restartNumberingAfterBreak="0">
    <w:nsid w:val="45D96C21"/>
    <w:multiLevelType w:val="hybridMultilevel"/>
    <w:tmpl w:val="0A06D7DC"/>
    <w:lvl w:ilvl="0" w:tplc="C25A8AC2">
      <w:start w:val="10"/>
      <w:numFmt w:val="decimal"/>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9DBCB1B2">
      <w:start w:val="1"/>
      <w:numFmt w:val="lowerLetter"/>
      <w:lvlText w:val="%2."/>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2" w:tplc="70226A8A">
      <w:numFmt w:val="bullet"/>
      <w:lvlText w:val="•"/>
      <w:lvlJc w:val="left"/>
      <w:pPr>
        <w:ind w:left="3080" w:hanging="360"/>
      </w:pPr>
      <w:rPr>
        <w:rFonts w:hint="default"/>
        <w:lang w:val="en-US" w:eastAsia="en-US" w:bidi="ar-SA"/>
      </w:rPr>
    </w:lvl>
    <w:lvl w:ilvl="3" w:tplc="B928BE30">
      <w:numFmt w:val="bullet"/>
      <w:lvlText w:val="•"/>
      <w:lvlJc w:val="left"/>
      <w:pPr>
        <w:ind w:left="4000" w:hanging="360"/>
      </w:pPr>
      <w:rPr>
        <w:rFonts w:hint="default"/>
        <w:lang w:val="en-US" w:eastAsia="en-US" w:bidi="ar-SA"/>
      </w:rPr>
    </w:lvl>
    <w:lvl w:ilvl="4" w:tplc="C39012FA">
      <w:numFmt w:val="bullet"/>
      <w:lvlText w:val="•"/>
      <w:lvlJc w:val="left"/>
      <w:pPr>
        <w:ind w:left="4920" w:hanging="360"/>
      </w:pPr>
      <w:rPr>
        <w:rFonts w:hint="default"/>
        <w:lang w:val="en-US" w:eastAsia="en-US" w:bidi="ar-SA"/>
      </w:rPr>
    </w:lvl>
    <w:lvl w:ilvl="5" w:tplc="838ABA3E">
      <w:numFmt w:val="bullet"/>
      <w:lvlText w:val="•"/>
      <w:lvlJc w:val="left"/>
      <w:pPr>
        <w:ind w:left="5840" w:hanging="360"/>
      </w:pPr>
      <w:rPr>
        <w:rFonts w:hint="default"/>
        <w:lang w:val="en-US" w:eastAsia="en-US" w:bidi="ar-SA"/>
      </w:rPr>
    </w:lvl>
    <w:lvl w:ilvl="6" w:tplc="5E24E870">
      <w:numFmt w:val="bullet"/>
      <w:lvlText w:val="•"/>
      <w:lvlJc w:val="left"/>
      <w:pPr>
        <w:ind w:left="6760" w:hanging="360"/>
      </w:pPr>
      <w:rPr>
        <w:rFonts w:hint="default"/>
        <w:lang w:val="en-US" w:eastAsia="en-US" w:bidi="ar-SA"/>
      </w:rPr>
    </w:lvl>
    <w:lvl w:ilvl="7" w:tplc="C422DBF2">
      <w:numFmt w:val="bullet"/>
      <w:lvlText w:val="•"/>
      <w:lvlJc w:val="left"/>
      <w:pPr>
        <w:ind w:left="7680" w:hanging="360"/>
      </w:pPr>
      <w:rPr>
        <w:rFonts w:hint="default"/>
        <w:lang w:val="en-US" w:eastAsia="en-US" w:bidi="ar-SA"/>
      </w:rPr>
    </w:lvl>
    <w:lvl w:ilvl="8" w:tplc="976C9740">
      <w:numFmt w:val="bullet"/>
      <w:lvlText w:val="•"/>
      <w:lvlJc w:val="left"/>
      <w:pPr>
        <w:ind w:left="8600" w:hanging="360"/>
      </w:pPr>
      <w:rPr>
        <w:rFonts w:hint="default"/>
        <w:lang w:val="en-US" w:eastAsia="en-US" w:bidi="ar-SA"/>
      </w:rPr>
    </w:lvl>
  </w:abstractNum>
  <w:abstractNum w:abstractNumId="117" w15:restartNumberingAfterBreak="0">
    <w:nsid w:val="46167103"/>
    <w:multiLevelType w:val="hybridMultilevel"/>
    <w:tmpl w:val="A998B05C"/>
    <w:lvl w:ilvl="0" w:tplc="5C34B5EE">
      <w:start w:val="6"/>
      <w:numFmt w:val="decimal"/>
      <w:lvlText w:val="%1)"/>
      <w:lvlJc w:val="left"/>
      <w:pPr>
        <w:ind w:left="848" w:hanging="450"/>
        <w:jc w:val="left"/>
      </w:pPr>
      <w:rPr>
        <w:rFonts w:ascii="Arial" w:eastAsia="Arial" w:hAnsi="Arial" w:cs="Arial" w:hint="default"/>
        <w:b w:val="0"/>
        <w:bCs w:val="0"/>
        <w:i w:val="0"/>
        <w:iCs w:val="0"/>
        <w:spacing w:val="0"/>
        <w:w w:val="99"/>
        <w:sz w:val="22"/>
        <w:szCs w:val="22"/>
        <w:lang w:val="en-US" w:eastAsia="en-US" w:bidi="ar-SA"/>
      </w:rPr>
    </w:lvl>
    <w:lvl w:ilvl="1" w:tplc="F0489F78">
      <w:start w:val="1"/>
      <w:numFmt w:val="lowerLetter"/>
      <w:lvlText w:val="%2)"/>
      <w:lvlJc w:val="left"/>
      <w:pPr>
        <w:ind w:left="1244" w:hanging="397"/>
        <w:jc w:val="left"/>
      </w:pPr>
      <w:rPr>
        <w:rFonts w:ascii="Arial" w:eastAsia="Arial" w:hAnsi="Arial" w:cs="Arial" w:hint="default"/>
        <w:b w:val="0"/>
        <w:bCs w:val="0"/>
        <w:i w:val="0"/>
        <w:iCs w:val="0"/>
        <w:spacing w:val="0"/>
        <w:w w:val="99"/>
        <w:sz w:val="22"/>
        <w:szCs w:val="22"/>
        <w:lang w:val="en-US" w:eastAsia="en-US" w:bidi="ar-SA"/>
      </w:rPr>
    </w:lvl>
    <w:lvl w:ilvl="2" w:tplc="49A46E0C">
      <w:numFmt w:val="bullet"/>
      <w:lvlText w:val="•"/>
      <w:lvlJc w:val="left"/>
      <w:pPr>
        <w:ind w:left="1843" w:hanging="397"/>
      </w:pPr>
      <w:rPr>
        <w:rFonts w:hint="default"/>
        <w:lang w:val="en-US" w:eastAsia="en-US" w:bidi="ar-SA"/>
      </w:rPr>
    </w:lvl>
    <w:lvl w:ilvl="3" w:tplc="3E48B024">
      <w:numFmt w:val="bullet"/>
      <w:lvlText w:val="•"/>
      <w:lvlJc w:val="left"/>
      <w:pPr>
        <w:ind w:left="2446" w:hanging="397"/>
      </w:pPr>
      <w:rPr>
        <w:rFonts w:hint="default"/>
        <w:lang w:val="en-US" w:eastAsia="en-US" w:bidi="ar-SA"/>
      </w:rPr>
    </w:lvl>
    <w:lvl w:ilvl="4" w:tplc="D418225A">
      <w:numFmt w:val="bullet"/>
      <w:lvlText w:val="•"/>
      <w:lvlJc w:val="left"/>
      <w:pPr>
        <w:ind w:left="3049" w:hanging="397"/>
      </w:pPr>
      <w:rPr>
        <w:rFonts w:hint="default"/>
        <w:lang w:val="en-US" w:eastAsia="en-US" w:bidi="ar-SA"/>
      </w:rPr>
    </w:lvl>
    <w:lvl w:ilvl="5" w:tplc="28603304">
      <w:numFmt w:val="bullet"/>
      <w:lvlText w:val="•"/>
      <w:lvlJc w:val="left"/>
      <w:pPr>
        <w:ind w:left="3652" w:hanging="397"/>
      </w:pPr>
      <w:rPr>
        <w:rFonts w:hint="default"/>
        <w:lang w:val="en-US" w:eastAsia="en-US" w:bidi="ar-SA"/>
      </w:rPr>
    </w:lvl>
    <w:lvl w:ilvl="6" w:tplc="78945408">
      <w:numFmt w:val="bullet"/>
      <w:lvlText w:val="•"/>
      <w:lvlJc w:val="left"/>
      <w:pPr>
        <w:ind w:left="4255" w:hanging="397"/>
      </w:pPr>
      <w:rPr>
        <w:rFonts w:hint="default"/>
        <w:lang w:val="en-US" w:eastAsia="en-US" w:bidi="ar-SA"/>
      </w:rPr>
    </w:lvl>
    <w:lvl w:ilvl="7" w:tplc="206669EC">
      <w:numFmt w:val="bullet"/>
      <w:lvlText w:val="•"/>
      <w:lvlJc w:val="left"/>
      <w:pPr>
        <w:ind w:left="4859" w:hanging="397"/>
      </w:pPr>
      <w:rPr>
        <w:rFonts w:hint="default"/>
        <w:lang w:val="en-US" w:eastAsia="en-US" w:bidi="ar-SA"/>
      </w:rPr>
    </w:lvl>
    <w:lvl w:ilvl="8" w:tplc="F8CA0866">
      <w:numFmt w:val="bullet"/>
      <w:lvlText w:val="•"/>
      <w:lvlJc w:val="left"/>
      <w:pPr>
        <w:ind w:left="5462" w:hanging="397"/>
      </w:pPr>
      <w:rPr>
        <w:rFonts w:hint="default"/>
        <w:lang w:val="en-US" w:eastAsia="en-US" w:bidi="ar-SA"/>
      </w:rPr>
    </w:lvl>
  </w:abstractNum>
  <w:abstractNum w:abstractNumId="118" w15:restartNumberingAfterBreak="0">
    <w:nsid w:val="467C50BA"/>
    <w:multiLevelType w:val="hybridMultilevel"/>
    <w:tmpl w:val="718C7A44"/>
    <w:lvl w:ilvl="0" w:tplc="E87C6FC6">
      <w:numFmt w:val="bullet"/>
      <w:lvlText w:val=""/>
      <w:lvlJc w:val="left"/>
      <w:pPr>
        <w:ind w:left="349" w:hanging="200"/>
      </w:pPr>
      <w:rPr>
        <w:rFonts w:ascii="Symbol" w:eastAsia="Symbol" w:hAnsi="Symbol" w:cs="Symbol" w:hint="default"/>
        <w:b w:val="0"/>
        <w:bCs w:val="0"/>
        <w:i w:val="0"/>
        <w:iCs w:val="0"/>
        <w:spacing w:val="0"/>
        <w:w w:val="100"/>
        <w:sz w:val="18"/>
        <w:szCs w:val="18"/>
        <w:lang w:val="en-US" w:eastAsia="en-US" w:bidi="ar-SA"/>
      </w:rPr>
    </w:lvl>
    <w:lvl w:ilvl="1" w:tplc="5DACF938">
      <w:numFmt w:val="bullet"/>
      <w:lvlText w:val="•"/>
      <w:lvlJc w:val="left"/>
      <w:pPr>
        <w:ind w:left="781" w:hanging="200"/>
      </w:pPr>
      <w:rPr>
        <w:rFonts w:hint="default"/>
        <w:lang w:val="en-US" w:eastAsia="en-US" w:bidi="ar-SA"/>
      </w:rPr>
    </w:lvl>
    <w:lvl w:ilvl="2" w:tplc="74FC8542">
      <w:numFmt w:val="bullet"/>
      <w:lvlText w:val="•"/>
      <w:lvlJc w:val="left"/>
      <w:pPr>
        <w:ind w:left="1223" w:hanging="200"/>
      </w:pPr>
      <w:rPr>
        <w:rFonts w:hint="default"/>
        <w:lang w:val="en-US" w:eastAsia="en-US" w:bidi="ar-SA"/>
      </w:rPr>
    </w:lvl>
    <w:lvl w:ilvl="3" w:tplc="A63E124A">
      <w:numFmt w:val="bullet"/>
      <w:lvlText w:val="•"/>
      <w:lvlJc w:val="left"/>
      <w:pPr>
        <w:ind w:left="1665" w:hanging="200"/>
      </w:pPr>
      <w:rPr>
        <w:rFonts w:hint="default"/>
        <w:lang w:val="en-US" w:eastAsia="en-US" w:bidi="ar-SA"/>
      </w:rPr>
    </w:lvl>
    <w:lvl w:ilvl="4" w:tplc="FD94B834">
      <w:numFmt w:val="bullet"/>
      <w:lvlText w:val="•"/>
      <w:lvlJc w:val="left"/>
      <w:pPr>
        <w:ind w:left="2107" w:hanging="200"/>
      </w:pPr>
      <w:rPr>
        <w:rFonts w:hint="default"/>
        <w:lang w:val="en-US" w:eastAsia="en-US" w:bidi="ar-SA"/>
      </w:rPr>
    </w:lvl>
    <w:lvl w:ilvl="5" w:tplc="1E8671F0">
      <w:numFmt w:val="bullet"/>
      <w:lvlText w:val="•"/>
      <w:lvlJc w:val="left"/>
      <w:pPr>
        <w:ind w:left="2549" w:hanging="200"/>
      </w:pPr>
      <w:rPr>
        <w:rFonts w:hint="default"/>
        <w:lang w:val="en-US" w:eastAsia="en-US" w:bidi="ar-SA"/>
      </w:rPr>
    </w:lvl>
    <w:lvl w:ilvl="6" w:tplc="639E3AF2">
      <w:numFmt w:val="bullet"/>
      <w:lvlText w:val="•"/>
      <w:lvlJc w:val="left"/>
      <w:pPr>
        <w:ind w:left="2991" w:hanging="200"/>
      </w:pPr>
      <w:rPr>
        <w:rFonts w:hint="default"/>
        <w:lang w:val="en-US" w:eastAsia="en-US" w:bidi="ar-SA"/>
      </w:rPr>
    </w:lvl>
    <w:lvl w:ilvl="7" w:tplc="ACD88A52">
      <w:numFmt w:val="bullet"/>
      <w:lvlText w:val="•"/>
      <w:lvlJc w:val="left"/>
      <w:pPr>
        <w:ind w:left="3432" w:hanging="200"/>
      </w:pPr>
      <w:rPr>
        <w:rFonts w:hint="default"/>
        <w:lang w:val="en-US" w:eastAsia="en-US" w:bidi="ar-SA"/>
      </w:rPr>
    </w:lvl>
    <w:lvl w:ilvl="8" w:tplc="145210D0">
      <w:numFmt w:val="bullet"/>
      <w:lvlText w:val="•"/>
      <w:lvlJc w:val="left"/>
      <w:pPr>
        <w:ind w:left="3874" w:hanging="200"/>
      </w:pPr>
      <w:rPr>
        <w:rFonts w:hint="default"/>
        <w:lang w:val="en-US" w:eastAsia="en-US" w:bidi="ar-SA"/>
      </w:rPr>
    </w:lvl>
  </w:abstractNum>
  <w:abstractNum w:abstractNumId="119" w15:restartNumberingAfterBreak="0">
    <w:nsid w:val="46A55A0E"/>
    <w:multiLevelType w:val="hybridMultilevel"/>
    <w:tmpl w:val="2EBAE82E"/>
    <w:lvl w:ilvl="0" w:tplc="F100238E">
      <w:start w:val="7"/>
      <w:numFmt w:val="decimal"/>
      <w:lvlText w:val="%1."/>
      <w:lvlJc w:val="left"/>
      <w:pPr>
        <w:ind w:left="456" w:hanging="364"/>
        <w:jc w:val="left"/>
      </w:pPr>
      <w:rPr>
        <w:rFonts w:ascii="Arial" w:eastAsia="Arial" w:hAnsi="Arial" w:cs="Arial" w:hint="default"/>
        <w:b w:val="0"/>
        <w:bCs w:val="0"/>
        <w:i w:val="0"/>
        <w:iCs w:val="0"/>
        <w:spacing w:val="0"/>
        <w:w w:val="99"/>
        <w:sz w:val="22"/>
        <w:szCs w:val="22"/>
        <w:lang w:val="en-US" w:eastAsia="en-US" w:bidi="ar-SA"/>
      </w:rPr>
    </w:lvl>
    <w:lvl w:ilvl="1" w:tplc="7DDCFCF6">
      <w:numFmt w:val="bullet"/>
      <w:lvlText w:val=""/>
      <w:lvlJc w:val="left"/>
      <w:pPr>
        <w:ind w:left="820" w:hanging="360"/>
      </w:pPr>
      <w:rPr>
        <w:rFonts w:ascii="Symbol" w:eastAsia="Symbol" w:hAnsi="Symbol" w:cs="Symbol" w:hint="default"/>
        <w:b w:val="0"/>
        <w:bCs w:val="0"/>
        <w:i w:val="0"/>
        <w:iCs w:val="0"/>
        <w:spacing w:val="0"/>
        <w:w w:val="99"/>
        <w:sz w:val="22"/>
        <w:szCs w:val="22"/>
        <w:lang w:val="en-US" w:eastAsia="en-US" w:bidi="ar-SA"/>
      </w:rPr>
    </w:lvl>
    <w:lvl w:ilvl="2" w:tplc="1DDCE5A4">
      <w:numFmt w:val="bullet"/>
      <w:lvlText w:val="•"/>
      <w:lvlJc w:val="left"/>
      <w:pPr>
        <w:ind w:left="1534" w:hanging="360"/>
      </w:pPr>
      <w:rPr>
        <w:rFonts w:hint="default"/>
        <w:lang w:val="en-US" w:eastAsia="en-US" w:bidi="ar-SA"/>
      </w:rPr>
    </w:lvl>
    <w:lvl w:ilvl="3" w:tplc="53D6AF86">
      <w:numFmt w:val="bullet"/>
      <w:lvlText w:val="•"/>
      <w:lvlJc w:val="left"/>
      <w:pPr>
        <w:ind w:left="2248" w:hanging="360"/>
      </w:pPr>
      <w:rPr>
        <w:rFonts w:hint="default"/>
        <w:lang w:val="en-US" w:eastAsia="en-US" w:bidi="ar-SA"/>
      </w:rPr>
    </w:lvl>
    <w:lvl w:ilvl="4" w:tplc="2886F2B4">
      <w:numFmt w:val="bullet"/>
      <w:lvlText w:val="•"/>
      <w:lvlJc w:val="left"/>
      <w:pPr>
        <w:ind w:left="2962" w:hanging="360"/>
      </w:pPr>
      <w:rPr>
        <w:rFonts w:hint="default"/>
        <w:lang w:val="en-US" w:eastAsia="en-US" w:bidi="ar-SA"/>
      </w:rPr>
    </w:lvl>
    <w:lvl w:ilvl="5" w:tplc="ACF8591E">
      <w:numFmt w:val="bullet"/>
      <w:lvlText w:val="•"/>
      <w:lvlJc w:val="left"/>
      <w:pPr>
        <w:ind w:left="3676" w:hanging="360"/>
      </w:pPr>
      <w:rPr>
        <w:rFonts w:hint="default"/>
        <w:lang w:val="en-US" w:eastAsia="en-US" w:bidi="ar-SA"/>
      </w:rPr>
    </w:lvl>
    <w:lvl w:ilvl="6" w:tplc="354618EA">
      <w:numFmt w:val="bullet"/>
      <w:lvlText w:val="•"/>
      <w:lvlJc w:val="left"/>
      <w:pPr>
        <w:ind w:left="4391" w:hanging="360"/>
      </w:pPr>
      <w:rPr>
        <w:rFonts w:hint="default"/>
        <w:lang w:val="en-US" w:eastAsia="en-US" w:bidi="ar-SA"/>
      </w:rPr>
    </w:lvl>
    <w:lvl w:ilvl="7" w:tplc="2F8A359E">
      <w:numFmt w:val="bullet"/>
      <w:lvlText w:val="•"/>
      <w:lvlJc w:val="left"/>
      <w:pPr>
        <w:ind w:left="5105" w:hanging="360"/>
      </w:pPr>
      <w:rPr>
        <w:rFonts w:hint="default"/>
        <w:lang w:val="en-US" w:eastAsia="en-US" w:bidi="ar-SA"/>
      </w:rPr>
    </w:lvl>
    <w:lvl w:ilvl="8" w:tplc="5590CCE6">
      <w:numFmt w:val="bullet"/>
      <w:lvlText w:val="•"/>
      <w:lvlJc w:val="left"/>
      <w:pPr>
        <w:ind w:left="5819" w:hanging="360"/>
      </w:pPr>
      <w:rPr>
        <w:rFonts w:hint="default"/>
        <w:lang w:val="en-US" w:eastAsia="en-US" w:bidi="ar-SA"/>
      </w:rPr>
    </w:lvl>
  </w:abstractNum>
  <w:abstractNum w:abstractNumId="120" w15:restartNumberingAfterBreak="0">
    <w:nsid w:val="46A85F76"/>
    <w:multiLevelType w:val="hybridMultilevel"/>
    <w:tmpl w:val="E41813E6"/>
    <w:lvl w:ilvl="0" w:tplc="9CFCFB88">
      <w:numFmt w:val="bullet"/>
      <w:lvlText w:val=""/>
      <w:lvlJc w:val="left"/>
      <w:pPr>
        <w:ind w:left="1203" w:hanging="360"/>
      </w:pPr>
      <w:rPr>
        <w:rFonts w:ascii="Symbol" w:eastAsia="Symbol" w:hAnsi="Symbol" w:cs="Symbol" w:hint="default"/>
        <w:spacing w:val="0"/>
        <w:w w:val="99"/>
        <w:lang w:val="en-US" w:eastAsia="en-US" w:bidi="ar-SA"/>
      </w:rPr>
    </w:lvl>
    <w:lvl w:ilvl="1" w:tplc="14BE3534">
      <w:numFmt w:val="bullet"/>
      <w:lvlText w:val="•"/>
      <w:lvlJc w:val="left"/>
      <w:pPr>
        <w:ind w:left="1814" w:hanging="360"/>
      </w:pPr>
      <w:rPr>
        <w:rFonts w:hint="default"/>
        <w:lang w:val="en-US" w:eastAsia="en-US" w:bidi="ar-SA"/>
      </w:rPr>
    </w:lvl>
    <w:lvl w:ilvl="2" w:tplc="8F703702">
      <w:numFmt w:val="bullet"/>
      <w:lvlText w:val="•"/>
      <w:lvlJc w:val="left"/>
      <w:pPr>
        <w:ind w:left="2429" w:hanging="360"/>
      </w:pPr>
      <w:rPr>
        <w:rFonts w:hint="default"/>
        <w:lang w:val="en-US" w:eastAsia="en-US" w:bidi="ar-SA"/>
      </w:rPr>
    </w:lvl>
    <w:lvl w:ilvl="3" w:tplc="9BAEDB44">
      <w:numFmt w:val="bullet"/>
      <w:lvlText w:val="•"/>
      <w:lvlJc w:val="left"/>
      <w:pPr>
        <w:ind w:left="3044" w:hanging="360"/>
      </w:pPr>
      <w:rPr>
        <w:rFonts w:hint="default"/>
        <w:lang w:val="en-US" w:eastAsia="en-US" w:bidi="ar-SA"/>
      </w:rPr>
    </w:lvl>
    <w:lvl w:ilvl="4" w:tplc="3EF4A7D6">
      <w:numFmt w:val="bullet"/>
      <w:lvlText w:val="•"/>
      <w:lvlJc w:val="left"/>
      <w:pPr>
        <w:ind w:left="3659" w:hanging="360"/>
      </w:pPr>
      <w:rPr>
        <w:rFonts w:hint="default"/>
        <w:lang w:val="en-US" w:eastAsia="en-US" w:bidi="ar-SA"/>
      </w:rPr>
    </w:lvl>
    <w:lvl w:ilvl="5" w:tplc="282A4758">
      <w:numFmt w:val="bullet"/>
      <w:lvlText w:val="•"/>
      <w:lvlJc w:val="left"/>
      <w:pPr>
        <w:ind w:left="4273" w:hanging="360"/>
      </w:pPr>
      <w:rPr>
        <w:rFonts w:hint="default"/>
        <w:lang w:val="en-US" w:eastAsia="en-US" w:bidi="ar-SA"/>
      </w:rPr>
    </w:lvl>
    <w:lvl w:ilvl="6" w:tplc="51B4EF7C">
      <w:numFmt w:val="bullet"/>
      <w:lvlText w:val="•"/>
      <w:lvlJc w:val="left"/>
      <w:pPr>
        <w:ind w:left="4888" w:hanging="360"/>
      </w:pPr>
      <w:rPr>
        <w:rFonts w:hint="default"/>
        <w:lang w:val="en-US" w:eastAsia="en-US" w:bidi="ar-SA"/>
      </w:rPr>
    </w:lvl>
    <w:lvl w:ilvl="7" w:tplc="F57AEAD2">
      <w:numFmt w:val="bullet"/>
      <w:lvlText w:val="•"/>
      <w:lvlJc w:val="left"/>
      <w:pPr>
        <w:ind w:left="5503" w:hanging="360"/>
      </w:pPr>
      <w:rPr>
        <w:rFonts w:hint="default"/>
        <w:lang w:val="en-US" w:eastAsia="en-US" w:bidi="ar-SA"/>
      </w:rPr>
    </w:lvl>
    <w:lvl w:ilvl="8" w:tplc="2EB8CCB4">
      <w:numFmt w:val="bullet"/>
      <w:lvlText w:val="•"/>
      <w:lvlJc w:val="left"/>
      <w:pPr>
        <w:ind w:left="6118" w:hanging="360"/>
      </w:pPr>
      <w:rPr>
        <w:rFonts w:hint="default"/>
        <w:lang w:val="en-US" w:eastAsia="en-US" w:bidi="ar-SA"/>
      </w:rPr>
    </w:lvl>
  </w:abstractNum>
  <w:abstractNum w:abstractNumId="121" w15:restartNumberingAfterBreak="0">
    <w:nsid w:val="46B55FA4"/>
    <w:multiLevelType w:val="hybridMultilevel"/>
    <w:tmpl w:val="B02ACD72"/>
    <w:lvl w:ilvl="0" w:tplc="05388FEC">
      <w:numFmt w:val="bullet"/>
      <w:lvlText w:val=""/>
      <w:lvlJc w:val="left"/>
      <w:pPr>
        <w:ind w:left="585" w:hanging="180"/>
      </w:pPr>
      <w:rPr>
        <w:rFonts w:ascii="Symbol" w:eastAsia="Symbol" w:hAnsi="Symbol" w:cs="Symbol" w:hint="default"/>
        <w:b w:val="0"/>
        <w:bCs w:val="0"/>
        <w:i w:val="0"/>
        <w:iCs w:val="0"/>
        <w:spacing w:val="0"/>
        <w:w w:val="100"/>
        <w:sz w:val="18"/>
        <w:szCs w:val="18"/>
        <w:lang w:val="en-US" w:eastAsia="en-US" w:bidi="ar-SA"/>
      </w:rPr>
    </w:lvl>
    <w:lvl w:ilvl="1" w:tplc="C7F8EC70">
      <w:numFmt w:val="bullet"/>
      <w:lvlText w:val="•"/>
      <w:lvlJc w:val="left"/>
      <w:pPr>
        <w:ind w:left="1129" w:hanging="180"/>
      </w:pPr>
      <w:rPr>
        <w:rFonts w:hint="default"/>
        <w:lang w:val="en-US" w:eastAsia="en-US" w:bidi="ar-SA"/>
      </w:rPr>
    </w:lvl>
    <w:lvl w:ilvl="2" w:tplc="101A1DEE">
      <w:numFmt w:val="bullet"/>
      <w:lvlText w:val="•"/>
      <w:lvlJc w:val="left"/>
      <w:pPr>
        <w:ind w:left="1678" w:hanging="180"/>
      </w:pPr>
      <w:rPr>
        <w:rFonts w:hint="default"/>
        <w:lang w:val="en-US" w:eastAsia="en-US" w:bidi="ar-SA"/>
      </w:rPr>
    </w:lvl>
    <w:lvl w:ilvl="3" w:tplc="B52AB300">
      <w:numFmt w:val="bullet"/>
      <w:lvlText w:val="•"/>
      <w:lvlJc w:val="left"/>
      <w:pPr>
        <w:ind w:left="2227" w:hanging="180"/>
      </w:pPr>
      <w:rPr>
        <w:rFonts w:hint="default"/>
        <w:lang w:val="en-US" w:eastAsia="en-US" w:bidi="ar-SA"/>
      </w:rPr>
    </w:lvl>
    <w:lvl w:ilvl="4" w:tplc="766C9D50">
      <w:numFmt w:val="bullet"/>
      <w:lvlText w:val="•"/>
      <w:lvlJc w:val="left"/>
      <w:pPr>
        <w:ind w:left="2776" w:hanging="180"/>
      </w:pPr>
      <w:rPr>
        <w:rFonts w:hint="default"/>
        <w:lang w:val="en-US" w:eastAsia="en-US" w:bidi="ar-SA"/>
      </w:rPr>
    </w:lvl>
    <w:lvl w:ilvl="5" w:tplc="7C4E3618">
      <w:numFmt w:val="bullet"/>
      <w:lvlText w:val="•"/>
      <w:lvlJc w:val="left"/>
      <w:pPr>
        <w:ind w:left="3325" w:hanging="180"/>
      </w:pPr>
      <w:rPr>
        <w:rFonts w:hint="default"/>
        <w:lang w:val="en-US" w:eastAsia="en-US" w:bidi="ar-SA"/>
      </w:rPr>
    </w:lvl>
    <w:lvl w:ilvl="6" w:tplc="83664E94">
      <w:numFmt w:val="bullet"/>
      <w:lvlText w:val="•"/>
      <w:lvlJc w:val="left"/>
      <w:pPr>
        <w:ind w:left="3874" w:hanging="180"/>
      </w:pPr>
      <w:rPr>
        <w:rFonts w:hint="default"/>
        <w:lang w:val="en-US" w:eastAsia="en-US" w:bidi="ar-SA"/>
      </w:rPr>
    </w:lvl>
    <w:lvl w:ilvl="7" w:tplc="E74A8114">
      <w:numFmt w:val="bullet"/>
      <w:lvlText w:val="•"/>
      <w:lvlJc w:val="left"/>
      <w:pPr>
        <w:ind w:left="4423" w:hanging="180"/>
      </w:pPr>
      <w:rPr>
        <w:rFonts w:hint="default"/>
        <w:lang w:val="en-US" w:eastAsia="en-US" w:bidi="ar-SA"/>
      </w:rPr>
    </w:lvl>
    <w:lvl w:ilvl="8" w:tplc="6B1C6A26">
      <w:numFmt w:val="bullet"/>
      <w:lvlText w:val="•"/>
      <w:lvlJc w:val="left"/>
      <w:pPr>
        <w:ind w:left="4972" w:hanging="180"/>
      </w:pPr>
      <w:rPr>
        <w:rFonts w:hint="default"/>
        <w:lang w:val="en-US" w:eastAsia="en-US" w:bidi="ar-SA"/>
      </w:rPr>
    </w:lvl>
  </w:abstractNum>
  <w:abstractNum w:abstractNumId="122" w15:restartNumberingAfterBreak="0">
    <w:nsid w:val="477359A3"/>
    <w:multiLevelType w:val="hybridMultilevel"/>
    <w:tmpl w:val="03E83162"/>
    <w:lvl w:ilvl="0" w:tplc="E9EEE120">
      <w:start w:val="1"/>
      <w:numFmt w:val="decimalZero"/>
      <w:lvlText w:val=".%1"/>
      <w:lvlJc w:val="left"/>
      <w:pPr>
        <w:ind w:left="1710" w:hanging="721"/>
        <w:jc w:val="left"/>
      </w:pPr>
      <w:rPr>
        <w:rFonts w:ascii="Arial" w:eastAsia="Arial" w:hAnsi="Arial" w:cs="Arial" w:hint="default"/>
        <w:b w:val="0"/>
        <w:bCs w:val="0"/>
        <w:i w:val="0"/>
        <w:iCs w:val="0"/>
        <w:spacing w:val="0"/>
        <w:w w:val="99"/>
        <w:sz w:val="22"/>
        <w:szCs w:val="22"/>
        <w:lang w:val="en-US" w:eastAsia="en-US" w:bidi="ar-SA"/>
      </w:rPr>
    </w:lvl>
    <w:lvl w:ilvl="1" w:tplc="41AE2994">
      <w:numFmt w:val="bullet"/>
      <w:lvlText w:val="•"/>
      <w:lvlJc w:val="left"/>
      <w:pPr>
        <w:ind w:left="2592" w:hanging="721"/>
      </w:pPr>
      <w:rPr>
        <w:rFonts w:hint="default"/>
        <w:lang w:val="en-US" w:eastAsia="en-US" w:bidi="ar-SA"/>
      </w:rPr>
    </w:lvl>
    <w:lvl w:ilvl="2" w:tplc="930219CC">
      <w:numFmt w:val="bullet"/>
      <w:lvlText w:val="•"/>
      <w:lvlJc w:val="left"/>
      <w:pPr>
        <w:ind w:left="3464" w:hanging="721"/>
      </w:pPr>
      <w:rPr>
        <w:rFonts w:hint="default"/>
        <w:lang w:val="en-US" w:eastAsia="en-US" w:bidi="ar-SA"/>
      </w:rPr>
    </w:lvl>
    <w:lvl w:ilvl="3" w:tplc="271A73C2">
      <w:numFmt w:val="bullet"/>
      <w:lvlText w:val="•"/>
      <w:lvlJc w:val="left"/>
      <w:pPr>
        <w:ind w:left="4336" w:hanging="721"/>
      </w:pPr>
      <w:rPr>
        <w:rFonts w:hint="default"/>
        <w:lang w:val="en-US" w:eastAsia="en-US" w:bidi="ar-SA"/>
      </w:rPr>
    </w:lvl>
    <w:lvl w:ilvl="4" w:tplc="5CD6DD44">
      <w:numFmt w:val="bullet"/>
      <w:lvlText w:val="•"/>
      <w:lvlJc w:val="left"/>
      <w:pPr>
        <w:ind w:left="5208" w:hanging="721"/>
      </w:pPr>
      <w:rPr>
        <w:rFonts w:hint="default"/>
        <w:lang w:val="en-US" w:eastAsia="en-US" w:bidi="ar-SA"/>
      </w:rPr>
    </w:lvl>
    <w:lvl w:ilvl="5" w:tplc="F7C85E18">
      <w:numFmt w:val="bullet"/>
      <w:lvlText w:val="•"/>
      <w:lvlJc w:val="left"/>
      <w:pPr>
        <w:ind w:left="6080" w:hanging="721"/>
      </w:pPr>
      <w:rPr>
        <w:rFonts w:hint="default"/>
        <w:lang w:val="en-US" w:eastAsia="en-US" w:bidi="ar-SA"/>
      </w:rPr>
    </w:lvl>
    <w:lvl w:ilvl="6" w:tplc="30582116">
      <w:numFmt w:val="bullet"/>
      <w:lvlText w:val="•"/>
      <w:lvlJc w:val="left"/>
      <w:pPr>
        <w:ind w:left="6952" w:hanging="721"/>
      </w:pPr>
      <w:rPr>
        <w:rFonts w:hint="default"/>
        <w:lang w:val="en-US" w:eastAsia="en-US" w:bidi="ar-SA"/>
      </w:rPr>
    </w:lvl>
    <w:lvl w:ilvl="7" w:tplc="AA96D2AA">
      <w:numFmt w:val="bullet"/>
      <w:lvlText w:val="•"/>
      <w:lvlJc w:val="left"/>
      <w:pPr>
        <w:ind w:left="7824" w:hanging="721"/>
      </w:pPr>
      <w:rPr>
        <w:rFonts w:hint="default"/>
        <w:lang w:val="en-US" w:eastAsia="en-US" w:bidi="ar-SA"/>
      </w:rPr>
    </w:lvl>
    <w:lvl w:ilvl="8" w:tplc="7382AD04">
      <w:numFmt w:val="bullet"/>
      <w:lvlText w:val="•"/>
      <w:lvlJc w:val="left"/>
      <w:pPr>
        <w:ind w:left="8696" w:hanging="721"/>
      </w:pPr>
      <w:rPr>
        <w:rFonts w:hint="default"/>
        <w:lang w:val="en-US" w:eastAsia="en-US" w:bidi="ar-SA"/>
      </w:rPr>
    </w:lvl>
  </w:abstractNum>
  <w:abstractNum w:abstractNumId="123" w15:restartNumberingAfterBreak="0">
    <w:nsid w:val="47B34EFB"/>
    <w:multiLevelType w:val="hybridMultilevel"/>
    <w:tmpl w:val="92D8E514"/>
    <w:lvl w:ilvl="0" w:tplc="D91A5434">
      <w:start w:val="8"/>
      <w:numFmt w:val="decimal"/>
      <w:lvlText w:val="%1."/>
      <w:lvlJc w:val="left"/>
      <w:pPr>
        <w:ind w:left="561" w:hanging="432"/>
        <w:jc w:val="left"/>
      </w:pPr>
      <w:rPr>
        <w:rFonts w:ascii="Arial" w:eastAsia="Arial" w:hAnsi="Arial" w:cs="Arial" w:hint="default"/>
        <w:b w:val="0"/>
        <w:bCs w:val="0"/>
        <w:i w:val="0"/>
        <w:iCs w:val="0"/>
        <w:spacing w:val="0"/>
        <w:w w:val="99"/>
        <w:sz w:val="22"/>
        <w:szCs w:val="22"/>
        <w:lang w:val="en-US" w:eastAsia="en-US" w:bidi="ar-SA"/>
      </w:rPr>
    </w:lvl>
    <w:lvl w:ilvl="1" w:tplc="CA58287C">
      <w:numFmt w:val="bullet"/>
      <w:lvlText w:val=""/>
      <w:lvlJc w:val="left"/>
      <w:pPr>
        <w:ind w:left="922" w:hanging="323"/>
      </w:pPr>
      <w:rPr>
        <w:rFonts w:ascii="Symbol" w:eastAsia="Symbol" w:hAnsi="Symbol" w:cs="Symbol" w:hint="default"/>
        <w:b w:val="0"/>
        <w:bCs w:val="0"/>
        <w:i w:val="0"/>
        <w:iCs w:val="0"/>
        <w:spacing w:val="0"/>
        <w:w w:val="99"/>
        <w:sz w:val="22"/>
        <w:szCs w:val="22"/>
        <w:lang w:val="en-US" w:eastAsia="en-US" w:bidi="ar-SA"/>
      </w:rPr>
    </w:lvl>
    <w:lvl w:ilvl="2" w:tplc="68E6AE72">
      <w:numFmt w:val="bullet"/>
      <w:lvlText w:val="•"/>
      <w:lvlJc w:val="left"/>
      <w:pPr>
        <w:ind w:left="1547" w:hanging="323"/>
      </w:pPr>
      <w:rPr>
        <w:rFonts w:hint="default"/>
        <w:lang w:val="en-US" w:eastAsia="en-US" w:bidi="ar-SA"/>
      </w:rPr>
    </w:lvl>
    <w:lvl w:ilvl="3" w:tplc="EE0281F0">
      <w:numFmt w:val="bullet"/>
      <w:lvlText w:val="•"/>
      <w:lvlJc w:val="left"/>
      <w:pPr>
        <w:ind w:left="2175" w:hanging="323"/>
      </w:pPr>
      <w:rPr>
        <w:rFonts w:hint="default"/>
        <w:lang w:val="en-US" w:eastAsia="en-US" w:bidi="ar-SA"/>
      </w:rPr>
    </w:lvl>
    <w:lvl w:ilvl="4" w:tplc="3ABCBBCC">
      <w:numFmt w:val="bullet"/>
      <w:lvlText w:val="•"/>
      <w:lvlJc w:val="left"/>
      <w:pPr>
        <w:ind w:left="2803" w:hanging="323"/>
      </w:pPr>
      <w:rPr>
        <w:rFonts w:hint="default"/>
        <w:lang w:val="en-US" w:eastAsia="en-US" w:bidi="ar-SA"/>
      </w:rPr>
    </w:lvl>
    <w:lvl w:ilvl="5" w:tplc="32B2604A">
      <w:numFmt w:val="bullet"/>
      <w:lvlText w:val="•"/>
      <w:lvlJc w:val="left"/>
      <w:pPr>
        <w:ind w:left="3431" w:hanging="323"/>
      </w:pPr>
      <w:rPr>
        <w:rFonts w:hint="default"/>
        <w:lang w:val="en-US" w:eastAsia="en-US" w:bidi="ar-SA"/>
      </w:rPr>
    </w:lvl>
    <w:lvl w:ilvl="6" w:tplc="722C9D00">
      <w:numFmt w:val="bullet"/>
      <w:lvlText w:val="•"/>
      <w:lvlJc w:val="left"/>
      <w:pPr>
        <w:ind w:left="4058" w:hanging="323"/>
      </w:pPr>
      <w:rPr>
        <w:rFonts w:hint="default"/>
        <w:lang w:val="en-US" w:eastAsia="en-US" w:bidi="ar-SA"/>
      </w:rPr>
    </w:lvl>
    <w:lvl w:ilvl="7" w:tplc="864EDDAA">
      <w:numFmt w:val="bullet"/>
      <w:lvlText w:val="•"/>
      <w:lvlJc w:val="left"/>
      <w:pPr>
        <w:ind w:left="4686" w:hanging="323"/>
      </w:pPr>
      <w:rPr>
        <w:rFonts w:hint="default"/>
        <w:lang w:val="en-US" w:eastAsia="en-US" w:bidi="ar-SA"/>
      </w:rPr>
    </w:lvl>
    <w:lvl w:ilvl="8" w:tplc="4522872E">
      <w:numFmt w:val="bullet"/>
      <w:lvlText w:val="•"/>
      <w:lvlJc w:val="left"/>
      <w:pPr>
        <w:ind w:left="5314" w:hanging="323"/>
      </w:pPr>
      <w:rPr>
        <w:rFonts w:hint="default"/>
        <w:lang w:val="en-US" w:eastAsia="en-US" w:bidi="ar-SA"/>
      </w:rPr>
    </w:lvl>
  </w:abstractNum>
  <w:abstractNum w:abstractNumId="124" w15:restartNumberingAfterBreak="0">
    <w:nsid w:val="47C51E59"/>
    <w:multiLevelType w:val="hybridMultilevel"/>
    <w:tmpl w:val="D624DD92"/>
    <w:lvl w:ilvl="0" w:tplc="E5DE0312">
      <w:numFmt w:val="bullet"/>
      <w:lvlText w:val=""/>
      <w:lvlJc w:val="left"/>
      <w:pPr>
        <w:ind w:left="336" w:hanging="180"/>
      </w:pPr>
      <w:rPr>
        <w:rFonts w:ascii="Symbol" w:eastAsia="Symbol" w:hAnsi="Symbol" w:cs="Symbol" w:hint="default"/>
        <w:b w:val="0"/>
        <w:bCs w:val="0"/>
        <w:i w:val="0"/>
        <w:iCs w:val="0"/>
        <w:spacing w:val="0"/>
        <w:w w:val="100"/>
        <w:sz w:val="18"/>
        <w:szCs w:val="18"/>
        <w:lang w:val="en-US" w:eastAsia="en-US" w:bidi="ar-SA"/>
      </w:rPr>
    </w:lvl>
    <w:lvl w:ilvl="1" w:tplc="28D6F52E">
      <w:numFmt w:val="bullet"/>
      <w:lvlText w:val="•"/>
      <w:lvlJc w:val="left"/>
      <w:pPr>
        <w:ind w:left="781" w:hanging="180"/>
      </w:pPr>
      <w:rPr>
        <w:rFonts w:hint="default"/>
        <w:lang w:val="en-US" w:eastAsia="en-US" w:bidi="ar-SA"/>
      </w:rPr>
    </w:lvl>
    <w:lvl w:ilvl="2" w:tplc="835856FE">
      <w:numFmt w:val="bullet"/>
      <w:lvlText w:val="•"/>
      <w:lvlJc w:val="left"/>
      <w:pPr>
        <w:ind w:left="1223" w:hanging="180"/>
      </w:pPr>
      <w:rPr>
        <w:rFonts w:hint="default"/>
        <w:lang w:val="en-US" w:eastAsia="en-US" w:bidi="ar-SA"/>
      </w:rPr>
    </w:lvl>
    <w:lvl w:ilvl="3" w:tplc="ABBA8308">
      <w:numFmt w:val="bullet"/>
      <w:lvlText w:val="•"/>
      <w:lvlJc w:val="left"/>
      <w:pPr>
        <w:ind w:left="1664" w:hanging="180"/>
      </w:pPr>
      <w:rPr>
        <w:rFonts w:hint="default"/>
        <w:lang w:val="en-US" w:eastAsia="en-US" w:bidi="ar-SA"/>
      </w:rPr>
    </w:lvl>
    <w:lvl w:ilvl="4" w:tplc="5734F59C">
      <w:numFmt w:val="bullet"/>
      <w:lvlText w:val="•"/>
      <w:lvlJc w:val="left"/>
      <w:pPr>
        <w:ind w:left="2106" w:hanging="180"/>
      </w:pPr>
      <w:rPr>
        <w:rFonts w:hint="default"/>
        <w:lang w:val="en-US" w:eastAsia="en-US" w:bidi="ar-SA"/>
      </w:rPr>
    </w:lvl>
    <w:lvl w:ilvl="5" w:tplc="1570E458">
      <w:numFmt w:val="bullet"/>
      <w:lvlText w:val="•"/>
      <w:lvlJc w:val="left"/>
      <w:pPr>
        <w:ind w:left="2548" w:hanging="180"/>
      </w:pPr>
      <w:rPr>
        <w:rFonts w:hint="default"/>
        <w:lang w:val="en-US" w:eastAsia="en-US" w:bidi="ar-SA"/>
      </w:rPr>
    </w:lvl>
    <w:lvl w:ilvl="6" w:tplc="8B8263E0">
      <w:numFmt w:val="bullet"/>
      <w:lvlText w:val="•"/>
      <w:lvlJc w:val="left"/>
      <w:pPr>
        <w:ind w:left="2989" w:hanging="180"/>
      </w:pPr>
      <w:rPr>
        <w:rFonts w:hint="default"/>
        <w:lang w:val="en-US" w:eastAsia="en-US" w:bidi="ar-SA"/>
      </w:rPr>
    </w:lvl>
    <w:lvl w:ilvl="7" w:tplc="FC20E2CA">
      <w:numFmt w:val="bullet"/>
      <w:lvlText w:val="•"/>
      <w:lvlJc w:val="left"/>
      <w:pPr>
        <w:ind w:left="3431" w:hanging="180"/>
      </w:pPr>
      <w:rPr>
        <w:rFonts w:hint="default"/>
        <w:lang w:val="en-US" w:eastAsia="en-US" w:bidi="ar-SA"/>
      </w:rPr>
    </w:lvl>
    <w:lvl w:ilvl="8" w:tplc="0832A770">
      <w:numFmt w:val="bullet"/>
      <w:lvlText w:val="•"/>
      <w:lvlJc w:val="left"/>
      <w:pPr>
        <w:ind w:left="3873" w:hanging="180"/>
      </w:pPr>
      <w:rPr>
        <w:rFonts w:hint="default"/>
        <w:lang w:val="en-US" w:eastAsia="en-US" w:bidi="ar-SA"/>
      </w:rPr>
    </w:lvl>
  </w:abstractNum>
  <w:abstractNum w:abstractNumId="125" w15:restartNumberingAfterBreak="0">
    <w:nsid w:val="485530C0"/>
    <w:multiLevelType w:val="hybridMultilevel"/>
    <w:tmpl w:val="C944AD7A"/>
    <w:lvl w:ilvl="0" w:tplc="A4B09FA4">
      <w:start w:val="1"/>
      <w:numFmt w:val="decimal"/>
      <w:lvlText w:val="(%1)"/>
      <w:lvlJc w:val="left"/>
      <w:pPr>
        <w:ind w:left="1475" w:hanging="360"/>
        <w:jc w:val="right"/>
      </w:pPr>
      <w:rPr>
        <w:rFonts w:ascii="Arial" w:eastAsia="Arial" w:hAnsi="Arial" w:cs="Arial" w:hint="default"/>
        <w:b w:val="0"/>
        <w:bCs w:val="0"/>
        <w:i w:val="0"/>
        <w:iCs w:val="0"/>
        <w:spacing w:val="-1"/>
        <w:w w:val="99"/>
        <w:sz w:val="22"/>
        <w:szCs w:val="22"/>
        <w:lang w:val="en-US" w:eastAsia="en-US" w:bidi="ar-SA"/>
      </w:rPr>
    </w:lvl>
    <w:lvl w:ilvl="1" w:tplc="F60CF6D2">
      <w:numFmt w:val="bullet"/>
      <w:lvlText w:val=""/>
      <w:lvlJc w:val="left"/>
      <w:pPr>
        <w:ind w:left="1835" w:hanging="318"/>
      </w:pPr>
      <w:rPr>
        <w:rFonts w:ascii="Symbol" w:eastAsia="Symbol" w:hAnsi="Symbol" w:cs="Symbol" w:hint="default"/>
        <w:b w:val="0"/>
        <w:bCs w:val="0"/>
        <w:i w:val="0"/>
        <w:iCs w:val="0"/>
        <w:spacing w:val="0"/>
        <w:w w:val="99"/>
        <w:sz w:val="22"/>
        <w:szCs w:val="22"/>
        <w:lang w:val="en-US" w:eastAsia="en-US" w:bidi="ar-SA"/>
      </w:rPr>
    </w:lvl>
    <w:lvl w:ilvl="2" w:tplc="57B093DA">
      <w:numFmt w:val="bullet"/>
      <w:lvlText w:val="•"/>
      <w:lvlJc w:val="left"/>
      <w:pPr>
        <w:ind w:left="2331" w:hanging="318"/>
      </w:pPr>
      <w:rPr>
        <w:rFonts w:hint="default"/>
        <w:lang w:val="en-US" w:eastAsia="en-US" w:bidi="ar-SA"/>
      </w:rPr>
    </w:lvl>
    <w:lvl w:ilvl="3" w:tplc="A7FC1D34">
      <w:numFmt w:val="bullet"/>
      <w:lvlText w:val="•"/>
      <w:lvlJc w:val="left"/>
      <w:pPr>
        <w:ind w:left="2822" w:hanging="318"/>
      </w:pPr>
      <w:rPr>
        <w:rFonts w:hint="default"/>
        <w:lang w:val="en-US" w:eastAsia="en-US" w:bidi="ar-SA"/>
      </w:rPr>
    </w:lvl>
    <w:lvl w:ilvl="4" w:tplc="D9680036">
      <w:numFmt w:val="bullet"/>
      <w:lvlText w:val="•"/>
      <w:lvlJc w:val="left"/>
      <w:pPr>
        <w:ind w:left="3313" w:hanging="318"/>
      </w:pPr>
      <w:rPr>
        <w:rFonts w:hint="default"/>
        <w:lang w:val="en-US" w:eastAsia="en-US" w:bidi="ar-SA"/>
      </w:rPr>
    </w:lvl>
    <w:lvl w:ilvl="5" w:tplc="7BD2A8A8">
      <w:numFmt w:val="bullet"/>
      <w:lvlText w:val="•"/>
      <w:lvlJc w:val="left"/>
      <w:pPr>
        <w:ind w:left="3804" w:hanging="318"/>
      </w:pPr>
      <w:rPr>
        <w:rFonts w:hint="default"/>
        <w:lang w:val="en-US" w:eastAsia="en-US" w:bidi="ar-SA"/>
      </w:rPr>
    </w:lvl>
    <w:lvl w:ilvl="6" w:tplc="D07E09B0">
      <w:numFmt w:val="bullet"/>
      <w:lvlText w:val="•"/>
      <w:lvlJc w:val="left"/>
      <w:pPr>
        <w:ind w:left="4295" w:hanging="318"/>
      </w:pPr>
      <w:rPr>
        <w:rFonts w:hint="default"/>
        <w:lang w:val="en-US" w:eastAsia="en-US" w:bidi="ar-SA"/>
      </w:rPr>
    </w:lvl>
    <w:lvl w:ilvl="7" w:tplc="090213F6">
      <w:numFmt w:val="bullet"/>
      <w:lvlText w:val="•"/>
      <w:lvlJc w:val="left"/>
      <w:pPr>
        <w:ind w:left="4786" w:hanging="318"/>
      </w:pPr>
      <w:rPr>
        <w:rFonts w:hint="default"/>
        <w:lang w:val="en-US" w:eastAsia="en-US" w:bidi="ar-SA"/>
      </w:rPr>
    </w:lvl>
    <w:lvl w:ilvl="8" w:tplc="05804248">
      <w:numFmt w:val="bullet"/>
      <w:lvlText w:val="•"/>
      <w:lvlJc w:val="left"/>
      <w:pPr>
        <w:ind w:left="5277" w:hanging="318"/>
      </w:pPr>
      <w:rPr>
        <w:rFonts w:hint="default"/>
        <w:lang w:val="en-US" w:eastAsia="en-US" w:bidi="ar-SA"/>
      </w:rPr>
    </w:lvl>
  </w:abstractNum>
  <w:abstractNum w:abstractNumId="126" w15:restartNumberingAfterBreak="0">
    <w:nsid w:val="499D4B00"/>
    <w:multiLevelType w:val="hybridMultilevel"/>
    <w:tmpl w:val="EDC2F28E"/>
    <w:lvl w:ilvl="0" w:tplc="B4DE1500">
      <w:start w:val="1"/>
      <w:numFmt w:val="decimal"/>
      <w:lvlText w:val="%1)"/>
      <w:lvlJc w:val="left"/>
      <w:pPr>
        <w:ind w:left="683" w:hanging="577"/>
        <w:jc w:val="left"/>
      </w:pPr>
      <w:rPr>
        <w:rFonts w:ascii="Arial" w:eastAsia="Arial" w:hAnsi="Arial" w:cs="Arial" w:hint="default"/>
        <w:b w:val="0"/>
        <w:bCs w:val="0"/>
        <w:i w:val="0"/>
        <w:iCs w:val="0"/>
        <w:spacing w:val="0"/>
        <w:w w:val="99"/>
        <w:sz w:val="22"/>
        <w:szCs w:val="22"/>
        <w:lang w:val="en-US" w:eastAsia="en-US" w:bidi="ar-SA"/>
      </w:rPr>
    </w:lvl>
    <w:lvl w:ilvl="1" w:tplc="ECF633EE">
      <w:start w:val="1"/>
      <w:numFmt w:val="lowerLetter"/>
      <w:lvlText w:val="%2)"/>
      <w:lvlJc w:val="left"/>
      <w:pPr>
        <w:ind w:left="1259" w:hanging="577"/>
        <w:jc w:val="left"/>
      </w:pPr>
      <w:rPr>
        <w:rFonts w:ascii="Arial" w:eastAsia="Arial" w:hAnsi="Arial" w:cs="Arial" w:hint="default"/>
        <w:b w:val="0"/>
        <w:bCs w:val="0"/>
        <w:i w:val="0"/>
        <w:iCs w:val="0"/>
        <w:spacing w:val="0"/>
        <w:w w:val="99"/>
        <w:sz w:val="22"/>
        <w:szCs w:val="22"/>
        <w:lang w:val="en-US" w:eastAsia="en-US" w:bidi="ar-SA"/>
      </w:rPr>
    </w:lvl>
    <w:lvl w:ilvl="2" w:tplc="BF3E48A6">
      <w:numFmt w:val="bullet"/>
      <w:lvlText w:val="•"/>
      <w:lvlJc w:val="left"/>
      <w:pPr>
        <w:ind w:left="1888" w:hanging="577"/>
      </w:pPr>
      <w:rPr>
        <w:rFonts w:hint="default"/>
        <w:lang w:val="en-US" w:eastAsia="en-US" w:bidi="ar-SA"/>
      </w:rPr>
    </w:lvl>
    <w:lvl w:ilvl="3" w:tplc="9DE602EE">
      <w:numFmt w:val="bullet"/>
      <w:lvlText w:val="•"/>
      <w:lvlJc w:val="left"/>
      <w:pPr>
        <w:ind w:left="2517" w:hanging="577"/>
      </w:pPr>
      <w:rPr>
        <w:rFonts w:hint="default"/>
        <w:lang w:val="en-US" w:eastAsia="en-US" w:bidi="ar-SA"/>
      </w:rPr>
    </w:lvl>
    <w:lvl w:ilvl="4" w:tplc="C53C08D6">
      <w:numFmt w:val="bullet"/>
      <w:lvlText w:val="•"/>
      <w:lvlJc w:val="left"/>
      <w:pPr>
        <w:ind w:left="3146" w:hanging="577"/>
      </w:pPr>
      <w:rPr>
        <w:rFonts w:hint="default"/>
        <w:lang w:val="en-US" w:eastAsia="en-US" w:bidi="ar-SA"/>
      </w:rPr>
    </w:lvl>
    <w:lvl w:ilvl="5" w:tplc="78942D0E">
      <w:numFmt w:val="bullet"/>
      <w:lvlText w:val="•"/>
      <w:lvlJc w:val="left"/>
      <w:pPr>
        <w:ind w:left="3775" w:hanging="577"/>
      </w:pPr>
      <w:rPr>
        <w:rFonts w:hint="default"/>
        <w:lang w:val="en-US" w:eastAsia="en-US" w:bidi="ar-SA"/>
      </w:rPr>
    </w:lvl>
    <w:lvl w:ilvl="6" w:tplc="C42EA478">
      <w:numFmt w:val="bullet"/>
      <w:lvlText w:val="•"/>
      <w:lvlJc w:val="left"/>
      <w:pPr>
        <w:ind w:left="4404" w:hanging="577"/>
      </w:pPr>
      <w:rPr>
        <w:rFonts w:hint="default"/>
        <w:lang w:val="en-US" w:eastAsia="en-US" w:bidi="ar-SA"/>
      </w:rPr>
    </w:lvl>
    <w:lvl w:ilvl="7" w:tplc="17C2D998">
      <w:numFmt w:val="bullet"/>
      <w:lvlText w:val="•"/>
      <w:lvlJc w:val="left"/>
      <w:pPr>
        <w:ind w:left="5033" w:hanging="577"/>
      </w:pPr>
      <w:rPr>
        <w:rFonts w:hint="default"/>
        <w:lang w:val="en-US" w:eastAsia="en-US" w:bidi="ar-SA"/>
      </w:rPr>
    </w:lvl>
    <w:lvl w:ilvl="8" w:tplc="18BC66E6">
      <w:numFmt w:val="bullet"/>
      <w:lvlText w:val="•"/>
      <w:lvlJc w:val="left"/>
      <w:pPr>
        <w:ind w:left="5662" w:hanging="577"/>
      </w:pPr>
      <w:rPr>
        <w:rFonts w:hint="default"/>
        <w:lang w:val="en-US" w:eastAsia="en-US" w:bidi="ar-SA"/>
      </w:rPr>
    </w:lvl>
  </w:abstractNum>
  <w:abstractNum w:abstractNumId="127" w15:restartNumberingAfterBreak="0">
    <w:nsid w:val="4A2A7C70"/>
    <w:multiLevelType w:val="hybridMultilevel"/>
    <w:tmpl w:val="4DDEC7E8"/>
    <w:lvl w:ilvl="0" w:tplc="8AE6FFCA">
      <w:numFmt w:val="bullet"/>
      <w:lvlText w:val=""/>
      <w:lvlJc w:val="left"/>
      <w:pPr>
        <w:ind w:left="719" w:hanging="270"/>
      </w:pPr>
      <w:rPr>
        <w:rFonts w:ascii="Symbol" w:eastAsia="Symbol" w:hAnsi="Symbol" w:cs="Symbol" w:hint="default"/>
        <w:b w:val="0"/>
        <w:bCs w:val="0"/>
        <w:i w:val="0"/>
        <w:iCs w:val="0"/>
        <w:spacing w:val="0"/>
        <w:w w:val="99"/>
        <w:sz w:val="22"/>
        <w:szCs w:val="22"/>
        <w:lang w:val="en-US" w:eastAsia="en-US" w:bidi="ar-SA"/>
      </w:rPr>
    </w:lvl>
    <w:lvl w:ilvl="1" w:tplc="7E46E128">
      <w:numFmt w:val="bullet"/>
      <w:lvlText w:val="•"/>
      <w:lvlJc w:val="left"/>
      <w:pPr>
        <w:ind w:left="1692" w:hanging="270"/>
      </w:pPr>
      <w:rPr>
        <w:rFonts w:hint="default"/>
        <w:lang w:val="en-US" w:eastAsia="en-US" w:bidi="ar-SA"/>
      </w:rPr>
    </w:lvl>
    <w:lvl w:ilvl="2" w:tplc="4FDAB252">
      <w:numFmt w:val="bullet"/>
      <w:lvlText w:val="•"/>
      <w:lvlJc w:val="left"/>
      <w:pPr>
        <w:ind w:left="2664" w:hanging="270"/>
      </w:pPr>
      <w:rPr>
        <w:rFonts w:hint="default"/>
        <w:lang w:val="en-US" w:eastAsia="en-US" w:bidi="ar-SA"/>
      </w:rPr>
    </w:lvl>
    <w:lvl w:ilvl="3" w:tplc="A1860E7C">
      <w:numFmt w:val="bullet"/>
      <w:lvlText w:val="•"/>
      <w:lvlJc w:val="left"/>
      <w:pPr>
        <w:ind w:left="3636" w:hanging="270"/>
      </w:pPr>
      <w:rPr>
        <w:rFonts w:hint="default"/>
        <w:lang w:val="en-US" w:eastAsia="en-US" w:bidi="ar-SA"/>
      </w:rPr>
    </w:lvl>
    <w:lvl w:ilvl="4" w:tplc="060E9248">
      <w:numFmt w:val="bullet"/>
      <w:lvlText w:val="•"/>
      <w:lvlJc w:val="left"/>
      <w:pPr>
        <w:ind w:left="4608" w:hanging="270"/>
      </w:pPr>
      <w:rPr>
        <w:rFonts w:hint="default"/>
        <w:lang w:val="en-US" w:eastAsia="en-US" w:bidi="ar-SA"/>
      </w:rPr>
    </w:lvl>
    <w:lvl w:ilvl="5" w:tplc="502E45DC">
      <w:numFmt w:val="bullet"/>
      <w:lvlText w:val="•"/>
      <w:lvlJc w:val="left"/>
      <w:pPr>
        <w:ind w:left="5580" w:hanging="270"/>
      </w:pPr>
      <w:rPr>
        <w:rFonts w:hint="default"/>
        <w:lang w:val="en-US" w:eastAsia="en-US" w:bidi="ar-SA"/>
      </w:rPr>
    </w:lvl>
    <w:lvl w:ilvl="6" w:tplc="6A12C0D6">
      <w:numFmt w:val="bullet"/>
      <w:lvlText w:val="•"/>
      <w:lvlJc w:val="left"/>
      <w:pPr>
        <w:ind w:left="6552" w:hanging="270"/>
      </w:pPr>
      <w:rPr>
        <w:rFonts w:hint="default"/>
        <w:lang w:val="en-US" w:eastAsia="en-US" w:bidi="ar-SA"/>
      </w:rPr>
    </w:lvl>
    <w:lvl w:ilvl="7" w:tplc="76481F40">
      <w:numFmt w:val="bullet"/>
      <w:lvlText w:val="•"/>
      <w:lvlJc w:val="left"/>
      <w:pPr>
        <w:ind w:left="7524" w:hanging="270"/>
      </w:pPr>
      <w:rPr>
        <w:rFonts w:hint="default"/>
        <w:lang w:val="en-US" w:eastAsia="en-US" w:bidi="ar-SA"/>
      </w:rPr>
    </w:lvl>
    <w:lvl w:ilvl="8" w:tplc="221291FA">
      <w:numFmt w:val="bullet"/>
      <w:lvlText w:val="•"/>
      <w:lvlJc w:val="left"/>
      <w:pPr>
        <w:ind w:left="8496" w:hanging="270"/>
      </w:pPr>
      <w:rPr>
        <w:rFonts w:hint="default"/>
        <w:lang w:val="en-US" w:eastAsia="en-US" w:bidi="ar-SA"/>
      </w:rPr>
    </w:lvl>
  </w:abstractNum>
  <w:abstractNum w:abstractNumId="128" w15:restartNumberingAfterBreak="0">
    <w:nsid w:val="4A5C6F8A"/>
    <w:multiLevelType w:val="hybridMultilevel"/>
    <w:tmpl w:val="829C04DC"/>
    <w:lvl w:ilvl="0" w:tplc="CCD225A0">
      <w:numFmt w:val="bullet"/>
      <w:lvlText w:val=""/>
      <w:lvlJc w:val="left"/>
      <w:pPr>
        <w:ind w:left="353" w:hanging="200"/>
      </w:pPr>
      <w:rPr>
        <w:rFonts w:ascii="Symbol" w:eastAsia="Symbol" w:hAnsi="Symbol" w:cs="Symbol" w:hint="default"/>
        <w:b w:val="0"/>
        <w:bCs w:val="0"/>
        <w:i w:val="0"/>
        <w:iCs w:val="0"/>
        <w:spacing w:val="0"/>
        <w:w w:val="100"/>
        <w:sz w:val="18"/>
        <w:szCs w:val="18"/>
        <w:lang w:val="en-US" w:eastAsia="en-US" w:bidi="ar-SA"/>
      </w:rPr>
    </w:lvl>
    <w:lvl w:ilvl="1" w:tplc="E8CEC9CE">
      <w:numFmt w:val="bullet"/>
      <w:lvlText w:val="•"/>
      <w:lvlJc w:val="left"/>
      <w:pPr>
        <w:ind w:left="799" w:hanging="200"/>
      </w:pPr>
      <w:rPr>
        <w:rFonts w:hint="default"/>
        <w:lang w:val="en-US" w:eastAsia="en-US" w:bidi="ar-SA"/>
      </w:rPr>
    </w:lvl>
    <w:lvl w:ilvl="2" w:tplc="8118F296">
      <w:numFmt w:val="bullet"/>
      <w:lvlText w:val="•"/>
      <w:lvlJc w:val="left"/>
      <w:pPr>
        <w:ind w:left="1239" w:hanging="200"/>
      </w:pPr>
      <w:rPr>
        <w:rFonts w:hint="default"/>
        <w:lang w:val="en-US" w:eastAsia="en-US" w:bidi="ar-SA"/>
      </w:rPr>
    </w:lvl>
    <w:lvl w:ilvl="3" w:tplc="0C0A1AF6">
      <w:numFmt w:val="bullet"/>
      <w:lvlText w:val="•"/>
      <w:lvlJc w:val="left"/>
      <w:pPr>
        <w:ind w:left="1678" w:hanging="200"/>
      </w:pPr>
      <w:rPr>
        <w:rFonts w:hint="default"/>
        <w:lang w:val="en-US" w:eastAsia="en-US" w:bidi="ar-SA"/>
      </w:rPr>
    </w:lvl>
    <w:lvl w:ilvl="4" w:tplc="AA1A34DE">
      <w:numFmt w:val="bullet"/>
      <w:lvlText w:val="•"/>
      <w:lvlJc w:val="left"/>
      <w:pPr>
        <w:ind w:left="2118" w:hanging="200"/>
      </w:pPr>
      <w:rPr>
        <w:rFonts w:hint="default"/>
        <w:lang w:val="en-US" w:eastAsia="en-US" w:bidi="ar-SA"/>
      </w:rPr>
    </w:lvl>
    <w:lvl w:ilvl="5" w:tplc="9E885BBE">
      <w:numFmt w:val="bullet"/>
      <w:lvlText w:val="•"/>
      <w:lvlJc w:val="left"/>
      <w:pPr>
        <w:ind w:left="2558" w:hanging="200"/>
      </w:pPr>
      <w:rPr>
        <w:rFonts w:hint="default"/>
        <w:lang w:val="en-US" w:eastAsia="en-US" w:bidi="ar-SA"/>
      </w:rPr>
    </w:lvl>
    <w:lvl w:ilvl="6" w:tplc="EB8C209C">
      <w:numFmt w:val="bullet"/>
      <w:lvlText w:val="•"/>
      <w:lvlJc w:val="left"/>
      <w:pPr>
        <w:ind w:left="2997" w:hanging="200"/>
      </w:pPr>
      <w:rPr>
        <w:rFonts w:hint="default"/>
        <w:lang w:val="en-US" w:eastAsia="en-US" w:bidi="ar-SA"/>
      </w:rPr>
    </w:lvl>
    <w:lvl w:ilvl="7" w:tplc="4D9026EC">
      <w:numFmt w:val="bullet"/>
      <w:lvlText w:val="•"/>
      <w:lvlJc w:val="left"/>
      <w:pPr>
        <w:ind w:left="3437" w:hanging="200"/>
      </w:pPr>
      <w:rPr>
        <w:rFonts w:hint="default"/>
        <w:lang w:val="en-US" w:eastAsia="en-US" w:bidi="ar-SA"/>
      </w:rPr>
    </w:lvl>
    <w:lvl w:ilvl="8" w:tplc="B9C06AFC">
      <w:numFmt w:val="bullet"/>
      <w:lvlText w:val="•"/>
      <w:lvlJc w:val="left"/>
      <w:pPr>
        <w:ind w:left="3877" w:hanging="200"/>
      </w:pPr>
      <w:rPr>
        <w:rFonts w:hint="default"/>
        <w:lang w:val="en-US" w:eastAsia="en-US" w:bidi="ar-SA"/>
      </w:rPr>
    </w:lvl>
  </w:abstractNum>
  <w:abstractNum w:abstractNumId="129" w15:restartNumberingAfterBreak="0">
    <w:nsid w:val="4A8A62E2"/>
    <w:multiLevelType w:val="hybridMultilevel"/>
    <w:tmpl w:val="7D4E8440"/>
    <w:lvl w:ilvl="0" w:tplc="2A24F270">
      <w:start w:val="1"/>
      <w:numFmt w:val="lowerLetter"/>
      <w:lvlText w:val="%1."/>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1" w:tplc="6DD8623A">
      <w:numFmt w:val="bullet"/>
      <w:lvlText w:val="•"/>
      <w:lvlJc w:val="left"/>
      <w:pPr>
        <w:ind w:left="2988" w:hanging="360"/>
      </w:pPr>
      <w:rPr>
        <w:rFonts w:hint="default"/>
        <w:lang w:val="en-US" w:eastAsia="en-US" w:bidi="ar-SA"/>
      </w:rPr>
    </w:lvl>
    <w:lvl w:ilvl="2" w:tplc="D7AC8778">
      <w:numFmt w:val="bullet"/>
      <w:lvlText w:val="•"/>
      <w:lvlJc w:val="left"/>
      <w:pPr>
        <w:ind w:left="3816" w:hanging="360"/>
      </w:pPr>
      <w:rPr>
        <w:rFonts w:hint="default"/>
        <w:lang w:val="en-US" w:eastAsia="en-US" w:bidi="ar-SA"/>
      </w:rPr>
    </w:lvl>
    <w:lvl w:ilvl="3" w:tplc="AFD4CB0A">
      <w:numFmt w:val="bullet"/>
      <w:lvlText w:val="•"/>
      <w:lvlJc w:val="left"/>
      <w:pPr>
        <w:ind w:left="4644" w:hanging="360"/>
      </w:pPr>
      <w:rPr>
        <w:rFonts w:hint="default"/>
        <w:lang w:val="en-US" w:eastAsia="en-US" w:bidi="ar-SA"/>
      </w:rPr>
    </w:lvl>
    <w:lvl w:ilvl="4" w:tplc="E7C060C0">
      <w:numFmt w:val="bullet"/>
      <w:lvlText w:val="•"/>
      <w:lvlJc w:val="left"/>
      <w:pPr>
        <w:ind w:left="5472" w:hanging="360"/>
      </w:pPr>
      <w:rPr>
        <w:rFonts w:hint="default"/>
        <w:lang w:val="en-US" w:eastAsia="en-US" w:bidi="ar-SA"/>
      </w:rPr>
    </w:lvl>
    <w:lvl w:ilvl="5" w:tplc="16BEBD22">
      <w:numFmt w:val="bullet"/>
      <w:lvlText w:val="•"/>
      <w:lvlJc w:val="left"/>
      <w:pPr>
        <w:ind w:left="6300" w:hanging="360"/>
      </w:pPr>
      <w:rPr>
        <w:rFonts w:hint="default"/>
        <w:lang w:val="en-US" w:eastAsia="en-US" w:bidi="ar-SA"/>
      </w:rPr>
    </w:lvl>
    <w:lvl w:ilvl="6" w:tplc="53822CEA">
      <w:numFmt w:val="bullet"/>
      <w:lvlText w:val="•"/>
      <w:lvlJc w:val="left"/>
      <w:pPr>
        <w:ind w:left="7128" w:hanging="360"/>
      </w:pPr>
      <w:rPr>
        <w:rFonts w:hint="default"/>
        <w:lang w:val="en-US" w:eastAsia="en-US" w:bidi="ar-SA"/>
      </w:rPr>
    </w:lvl>
    <w:lvl w:ilvl="7" w:tplc="6DDAD46E">
      <w:numFmt w:val="bullet"/>
      <w:lvlText w:val="•"/>
      <w:lvlJc w:val="left"/>
      <w:pPr>
        <w:ind w:left="7956" w:hanging="360"/>
      </w:pPr>
      <w:rPr>
        <w:rFonts w:hint="default"/>
        <w:lang w:val="en-US" w:eastAsia="en-US" w:bidi="ar-SA"/>
      </w:rPr>
    </w:lvl>
    <w:lvl w:ilvl="8" w:tplc="35C89A78">
      <w:numFmt w:val="bullet"/>
      <w:lvlText w:val="•"/>
      <w:lvlJc w:val="left"/>
      <w:pPr>
        <w:ind w:left="8784" w:hanging="360"/>
      </w:pPr>
      <w:rPr>
        <w:rFonts w:hint="default"/>
        <w:lang w:val="en-US" w:eastAsia="en-US" w:bidi="ar-SA"/>
      </w:rPr>
    </w:lvl>
  </w:abstractNum>
  <w:abstractNum w:abstractNumId="130" w15:restartNumberingAfterBreak="0">
    <w:nsid w:val="4B5832D8"/>
    <w:multiLevelType w:val="hybridMultilevel"/>
    <w:tmpl w:val="A7E6A024"/>
    <w:lvl w:ilvl="0" w:tplc="10B42288">
      <w:start w:val="1"/>
      <w:numFmt w:val="decimal"/>
      <w:lvlText w:val="%1)"/>
      <w:lvlJc w:val="left"/>
      <w:pPr>
        <w:ind w:left="683" w:hanging="577"/>
        <w:jc w:val="right"/>
      </w:pPr>
      <w:rPr>
        <w:rFonts w:ascii="Arial" w:eastAsia="Arial" w:hAnsi="Arial" w:cs="Arial" w:hint="default"/>
        <w:b w:val="0"/>
        <w:bCs w:val="0"/>
        <w:i w:val="0"/>
        <w:iCs w:val="0"/>
        <w:spacing w:val="0"/>
        <w:w w:val="99"/>
        <w:sz w:val="22"/>
        <w:szCs w:val="22"/>
        <w:lang w:val="en-US" w:eastAsia="en-US" w:bidi="ar-SA"/>
      </w:rPr>
    </w:lvl>
    <w:lvl w:ilvl="1" w:tplc="463021CA">
      <w:numFmt w:val="bullet"/>
      <w:lvlText w:val="•"/>
      <w:lvlJc w:val="left"/>
      <w:pPr>
        <w:ind w:left="1304" w:hanging="577"/>
      </w:pPr>
      <w:rPr>
        <w:rFonts w:hint="default"/>
        <w:lang w:val="en-US" w:eastAsia="en-US" w:bidi="ar-SA"/>
      </w:rPr>
    </w:lvl>
    <w:lvl w:ilvl="2" w:tplc="92207AB6">
      <w:numFmt w:val="bullet"/>
      <w:lvlText w:val="•"/>
      <w:lvlJc w:val="left"/>
      <w:pPr>
        <w:ind w:left="1928" w:hanging="577"/>
      </w:pPr>
      <w:rPr>
        <w:rFonts w:hint="default"/>
        <w:lang w:val="en-US" w:eastAsia="en-US" w:bidi="ar-SA"/>
      </w:rPr>
    </w:lvl>
    <w:lvl w:ilvl="3" w:tplc="000C45C6">
      <w:numFmt w:val="bullet"/>
      <w:lvlText w:val="•"/>
      <w:lvlJc w:val="left"/>
      <w:pPr>
        <w:ind w:left="2552" w:hanging="577"/>
      </w:pPr>
      <w:rPr>
        <w:rFonts w:hint="default"/>
        <w:lang w:val="en-US" w:eastAsia="en-US" w:bidi="ar-SA"/>
      </w:rPr>
    </w:lvl>
    <w:lvl w:ilvl="4" w:tplc="28C45EC6">
      <w:numFmt w:val="bullet"/>
      <w:lvlText w:val="•"/>
      <w:lvlJc w:val="left"/>
      <w:pPr>
        <w:ind w:left="3176" w:hanging="577"/>
      </w:pPr>
      <w:rPr>
        <w:rFonts w:hint="default"/>
        <w:lang w:val="en-US" w:eastAsia="en-US" w:bidi="ar-SA"/>
      </w:rPr>
    </w:lvl>
    <w:lvl w:ilvl="5" w:tplc="320A026A">
      <w:numFmt w:val="bullet"/>
      <w:lvlText w:val="•"/>
      <w:lvlJc w:val="left"/>
      <w:pPr>
        <w:ind w:left="3800" w:hanging="577"/>
      </w:pPr>
      <w:rPr>
        <w:rFonts w:hint="default"/>
        <w:lang w:val="en-US" w:eastAsia="en-US" w:bidi="ar-SA"/>
      </w:rPr>
    </w:lvl>
    <w:lvl w:ilvl="6" w:tplc="181A0BA8">
      <w:numFmt w:val="bullet"/>
      <w:lvlText w:val="•"/>
      <w:lvlJc w:val="left"/>
      <w:pPr>
        <w:ind w:left="4424" w:hanging="577"/>
      </w:pPr>
      <w:rPr>
        <w:rFonts w:hint="default"/>
        <w:lang w:val="en-US" w:eastAsia="en-US" w:bidi="ar-SA"/>
      </w:rPr>
    </w:lvl>
    <w:lvl w:ilvl="7" w:tplc="6B84015E">
      <w:numFmt w:val="bullet"/>
      <w:lvlText w:val="•"/>
      <w:lvlJc w:val="left"/>
      <w:pPr>
        <w:ind w:left="5048" w:hanging="577"/>
      </w:pPr>
      <w:rPr>
        <w:rFonts w:hint="default"/>
        <w:lang w:val="en-US" w:eastAsia="en-US" w:bidi="ar-SA"/>
      </w:rPr>
    </w:lvl>
    <w:lvl w:ilvl="8" w:tplc="CADAAC3E">
      <w:numFmt w:val="bullet"/>
      <w:lvlText w:val="•"/>
      <w:lvlJc w:val="left"/>
      <w:pPr>
        <w:ind w:left="5672" w:hanging="577"/>
      </w:pPr>
      <w:rPr>
        <w:rFonts w:hint="default"/>
        <w:lang w:val="en-US" w:eastAsia="en-US" w:bidi="ar-SA"/>
      </w:rPr>
    </w:lvl>
  </w:abstractNum>
  <w:abstractNum w:abstractNumId="131" w15:restartNumberingAfterBreak="0">
    <w:nsid w:val="4BA23CA4"/>
    <w:multiLevelType w:val="hybridMultilevel"/>
    <w:tmpl w:val="4FCA6A98"/>
    <w:lvl w:ilvl="0" w:tplc="A9A81CB6">
      <w:start w:val="1"/>
      <w:numFmt w:val="lowerRoman"/>
      <w:lvlText w:val="%1."/>
      <w:lvlJc w:val="left"/>
      <w:pPr>
        <w:ind w:left="1653" w:hanging="376"/>
        <w:jc w:val="left"/>
      </w:pPr>
      <w:rPr>
        <w:rFonts w:ascii="Arial" w:eastAsia="Arial" w:hAnsi="Arial" w:cs="Arial" w:hint="default"/>
        <w:b w:val="0"/>
        <w:bCs w:val="0"/>
        <w:i w:val="0"/>
        <w:iCs w:val="0"/>
        <w:spacing w:val="0"/>
        <w:w w:val="99"/>
        <w:sz w:val="22"/>
        <w:szCs w:val="22"/>
        <w:lang w:val="en-US" w:eastAsia="en-US" w:bidi="ar-SA"/>
      </w:rPr>
    </w:lvl>
    <w:lvl w:ilvl="1" w:tplc="C82CD768">
      <w:numFmt w:val="bullet"/>
      <w:lvlText w:val=""/>
      <w:lvlJc w:val="left"/>
      <w:pPr>
        <w:ind w:left="2193" w:hanging="360"/>
      </w:pPr>
      <w:rPr>
        <w:rFonts w:ascii="Symbol" w:eastAsia="Symbol" w:hAnsi="Symbol" w:cs="Symbol" w:hint="default"/>
        <w:b w:val="0"/>
        <w:bCs w:val="0"/>
        <w:i w:val="0"/>
        <w:iCs w:val="0"/>
        <w:spacing w:val="0"/>
        <w:w w:val="99"/>
        <w:sz w:val="22"/>
        <w:szCs w:val="22"/>
        <w:lang w:val="en-US" w:eastAsia="en-US" w:bidi="ar-SA"/>
      </w:rPr>
    </w:lvl>
    <w:lvl w:ilvl="2" w:tplc="6B6C76C8">
      <w:numFmt w:val="bullet"/>
      <w:lvlText w:val="•"/>
      <w:lvlJc w:val="left"/>
      <w:pPr>
        <w:ind w:left="2696" w:hanging="360"/>
      </w:pPr>
      <w:rPr>
        <w:rFonts w:hint="default"/>
        <w:lang w:val="en-US" w:eastAsia="en-US" w:bidi="ar-SA"/>
      </w:rPr>
    </w:lvl>
    <w:lvl w:ilvl="3" w:tplc="73BEC63E">
      <w:numFmt w:val="bullet"/>
      <w:lvlText w:val="•"/>
      <w:lvlJc w:val="left"/>
      <w:pPr>
        <w:ind w:left="3193" w:hanging="360"/>
      </w:pPr>
      <w:rPr>
        <w:rFonts w:hint="default"/>
        <w:lang w:val="en-US" w:eastAsia="en-US" w:bidi="ar-SA"/>
      </w:rPr>
    </w:lvl>
    <w:lvl w:ilvl="4" w:tplc="B100E5E2">
      <w:numFmt w:val="bullet"/>
      <w:lvlText w:val="•"/>
      <w:lvlJc w:val="left"/>
      <w:pPr>
        <w:ind w:left="3689" w:hanging="360"/>
      </w:pPr>
      <w:rPr>
        <w:rFonts w:hint="default"/>
        <w:lang w:val="en-US" w:eastAsia="en-US" w:bidi="ar-SA"/>
      </w:rPr>
    </w:lvl>
    <w:lvl w:ilvl="5" w:tplc="A1FCC67E">
      <w:numFmt w:val="bullet"/>
      <w:lvlText w:val="•"/>
      <w:lvlJc w:val="left"/>
      <w:pPr>
        <w:ind w:left="4186" w:hanging="360"/>
      </w:pPr>
      <w:rPr>
        <w:rFonts w:hint="default"/>
        <w:lang w:val="en-US" w:eastAsia="en-US" w:bidi="ar-SA"/>
      </w:rPr>
    </w:lvl>
    <w:lvl w:ilvl="6" w:tplc="7AA0C0B2">
      <w:numFmt w:val="bullet"/>
      <w:lvlText w:val="•"/>
      <w:lvlJc w:val="left"/>
      <w:pPr>
        <w:ind w:left="4682" w:hanging="360"/>
      </w:pPr>
      <w:rPr>
        <w:rFonts w:hint="default"/>
        <w:lang w:val="en-US" w:eastAsia="en-US" w:bidi="ar-SA"/>
      </w:rPr>
    </w:lvl>
    <w:lvl w:ilvl="7" w:tplc="F3F8F22E">
      <w:numFmt w:val="bullet"/>
      <w:lvlText w:val="•"/>
      <w:lvlJc w:val="left"/>
      <w:pPr>
        <w:ind w:left="5179" w:hanging="360"/>
      </w:pPr>
      <w:rPr>
        <w:rFonts w:hint="default"/>
        <w:lang w:val="en-US" w:eastAsia="en-US" w:bidi="ar-SA"/>
      </w:rPr>
    </w:lvl>
    <w:lvl w:ilvl="8" w:tplc="8F542A90">
      <w:numFmt w:val="bullet"/>
      <w:lvlText w:val="•"/>
      <w:lvlJc w:val="left"/>
      <w:pPr>
        <w:ind w:left="5675" w:hanging="360"/>
      </w:pPr>
      <w:rPr>
        <w:rFonts w:hint="default"/>
        <w:lang w:val="en-US" w:eastAsia="en-US" w:bidi="ar-SA"/>
      </w:rPr>
    </w:lvl>
  </w:abstractNum>
  <w:abstractNum w:abstractNumId="132" w15:restartNumberingAfterBreak="0">
    <w:nsid w:val="4BAE20C2"/>
    <w:multiLevelType w:val="hybridMultilevel"/>
    <w:tmpl w:val="D7580DDE"/>
    <w:lvl w:ilvl="0" w:tplc="557AB332">
      <w:start w:val="5"/>
      <w:numFmt w:val="decimal"/>
      <w:lvlText w:val="%1)"/>
      <w:lvlJc w:val="left"/>
      <w:pPr>
        <w:ind w:left="705" w:hanging="577"/>
        <w:jc w:val="left"/>
      </w:pPr>
      <w:rPr>
        <w:rFonts w:ascii="Arial" w:eastAsia="Arial" w:hAnsi="Arial" w:cs="Arial" w:hint="default"/>
        <w:b w:val="0"/>
        <w:bCs w:val="0"/>
        <w:i w:val="0"/>
        <w:iCs w:val="0"/>
        <w:spacing w:val="0"/>
        <w:w w:val="99"/>
        <w:sz w:val="22"/>
        <w:szCs w:val="22"/>
        <w:lang w:val="en-US" w:eastAsia="en-US" w:bidi="ar-SA"/>
      </w:rPr>
    </w:lvl>
    <w:lvl w:ilvl="1" w:tplc="36827EB6">
      <w:start w:val="1"/>
      <w:numFmt w:val="lowerLetter"/>
      <w:lvlText w:val="%2)"/>
      <w:lvlJc w:val="left"/>
      <w:pPr>
        <w:ind w:left="1282" w:hanging="577"/>
        <w:jc w:val="left"/>
      </w:pPr>
      <w:rPr>
        <w:rFonts w:ascii="Arial" w:eastAsia="Arial" w:hAnsi="Arial" w:cs="Arial" w:hint="default"/>
        <w:b w:val="0"/>
        <w:bCs w:val="0"/>
        <w:i w:val="0"/>
        <w:iCs w:val="0"/>
        <w:spacing w:val="0"/>
        <w:w w:val="99"/>
        <w:sz w:val="22"/>
        <w:szCs w:val="22"/>
        <w:lang w:val="en-US" w:eastAsia="en-US" w:bidi="ar-SA"/>
      </w:rPr>
    </w:lvl>
    <w:lvl w:ilvl="2" w:tplc="79841FBA">
      <w:numFmt w:val="bullet"/>
      <w:lvlText w:val="•"/>
      <w:lvlJc w:val="left"/>
      <w:pPr>
        <w:ind w:left="1921" w:hanging="577"/>
      </w:pPr>
      <w:rPr>
        <w:rFonts w:hint="default"/>
        <w:lang w:val="en-US" w:eastAsia="en-US" w:bidi="ar-SA"/>
      </w:rPr>
    </w:lvl>
    <w:lvl w:ilvl="3" w:tplc="800817E6">
      <w:numFmt w:val="bullet"/>
      <w:lvlText w:val="•"/>
      <w:lvlJc w:val="left"/>
      <w:pPr>
        <w:ind w:left="2562" w:hanging="577"/>
      </w:pPr>
      <w:rPr>
        <w:rFonts w:hint="default"/>
        <w:lang w:val="en-US" w:eastAsia="en-US" w:bidi="ar-SA"/>
      </w:rPr>
    </w:lvl>
    <w:lvl w:ilvl="4" w:tplc="1B586670">
      <w:numFmt w:val="bullet"/>
      <w:lvlText w:val="•"/>
      <w:lvlJc w:val="left"/>
      <w:pPr>
        <w:ind w:left="3203" w:hanging="577"/>
      </w:pPr>
      <w:rPr>
        <w:rFonts w:hint="default"/>
        <w:lang w:val="en-US" w:eastAsia="en-US" w:bidi="ar-SA"/>
      </w:rPr>
    </w:lvl>
    <w:lvl w:ilvl="5" w:tplc="537AF884">
      <w:numFmt w:val="bullet"/>
      <w:lvlText w:val="•"/>
      <w:lvlJc w:val="left"/>
      <w:pPr>
        <w:ind w:left="3844" w:hanging="577"/>
      </w:pPr>
      <w:rPr>
        <w:rFonts w:hint="default"/>
        <w:lang w:val="en-US" w:eastAsia="en-US" w:bidi="ar-SA"/>
      </w:rPr>
    </w:lvl>
    <w:lvl w:ilvl="6" w:tplc="978A29C6">
      <w:numFmt w:val="bullet"/>
      <w:lvlText w:val="•"/>
      <w:lvlJc w:val="left"/>
      <w:pPr>
        <w:ind w:left="4485" w:hanging="577"/>
      </w:pPr>
      <w:rPr>
        <w:rFonts w:hint="default"/>
        <w:lang w:val="en-US" w:eastAsia="en-US" w:bidi="ar-SA"/>
      </w:rPr>
    </w:lvl>
    <w:lvl w:ilvl="7" w:tplc="192032F4">
      <w:numFmt w:val="bullet"/>
      <w:lvlText w:val="•"/>
      <w:lvlJc w:val="left"/>
      <w:pPr>
        <w:ind w:left="5126" w:hanging="577"/>
      </w:pPr>
      <w:rPr>
        <w:rFonts w:hint="default"/>
        <w:lang w:val="en-US" w:eastAsia="en-US" w:bidi="ar-SA"/>
      </w:rPr>
    </w:lvl>
    <w:lvl w:ilvl="8" w:tplc="317E28C8">
      <w:numFmt w:val="bullet"/>
      <w:lvlText w:val="•"/>
      <w:lvlJc w:val="left"/>
      <w:pPr>
        <w:ind w:left="5767" w:hanging="577"/>
      </w:pPr>
      <w:rPr>
        <w:rFonts w:hint="default"/>
        <w:lang w:val="en-US" w:eastAsia="en-US" w:bidi="ar-SA"/>
      </w:rPr>
    </w:lvl>
  </w:abstractNum>
  <w:abstractNum w:abstractNumId="133" w15:restartNumberingAfterBreak="0">
    <w:nsid w:val="4BE30804"/>
    <w:multiLevelType w:val="hybridMultilevel"/>
    <w:tmpl w:val="6E8E94FA"/>
    <w:lvl w:ilvl="0" w:tplc="E54C2CD2">
      <w:start w:val="15"/>
      <w:numFmt w:val="decimal"/>
      <w:lvlText w:val="(%1)"/>
      <w:lvlJc w:val="left"/>
      <w:pPr>
        <w:ind w:left="419" w:hanging="370"/>
        <w:jc w:val="left"/>
      </w:pPr>
      <w:rPr>
        <w:rFonts w:ascii="Arial" w:eastAsia="Arial" w:hAnsi="Arial" w:cs="Arial" w:hint="default"/>
        <w:b w:val="0"/>
        <w:bCs w:val="0"/>
        <w:i w:val="0"/>
        <w:iCs w:val="0"/>
        <w:spacing w:val="-1"/>
        <w:w w:val="100"/>
        <w:sz w:val="18"/>
        <w:szCs w:val="18"/>
        <w:lang w:val="en-US" w:eastAsia="en-US" w:bidi="ar-SA"/>
      </w:rPr>
    </w:lvl>
    <w:lvl w:ilvl="1" w:tplc="C596B0FE">
      <w:numFmt w:val="bullet"/>
      <w:lvlText w:val="•"/>
      <w:lvlJc w:val="left"/>
      <w:pPr>
        <w:ind w:left="2480" w:hanging="370"/>
      </w:pPr>
      <w:rPr>
        <w:rFonts w:hint="default"/>
        <w:lang w:val="en-US" w:eastAsia="en-US" w:bidi="ar-SA"/>
      </w:rPr>
    </w:lvl>
    <w:lvl w:ilvl="2" w:tplc="7CBCA32A">
      <w:numFmt w:val="bullet"/>
      <w:lvlText w:val="•"/>
      <w:lvlJc w:val="left"/>
      <w:pPr>
        <w:ind w:left="4540" w:hanging="370"/>
      </w:pPr>
      <w:rPr>
        <w:rFonts w:hint="default"/>
        <w:lang w:val="en-US" w:eastAsia="en-US" w:bidi="ar-SA"/>
      </w:rPr>
    </w:lvl>
    <w:lvl w:ilvl="3" w:tplc="FA7CF3AC">
      <w:numFmt w:val="bullet"/>
      <w:lvlText w:val="•"/>
      <w:lvlJc w:val="left"/>
      <w:pPr>
        <w:ind w:left="6600" w:hanging="370"/>
      </w:pPr>
      <w:rPr>
        <w:rFonts w:hint="default"/>
        <w:lang w:val="en-US" w:eastAsia="en-US" w:bidi="ar-SA"/>
      </w:rPr>
    </w:lvl>
    <w:lvl w:ilvl="4" w:tplc="AA8AF4CE">
      <w:numFmt w:val="bullet"/>
      <w:lvlText w:val="•"/>
      <w:lvlJc w:val="left"/>
      <w:pPr>
        <w:ind w:left="8661" w:hanging="370"/>
      </w:pPr>
      <w:rPr>
        <w:rFonts w:hint="default"/>
        <w:lang w:val="en-US" w:eastAsia="en-US" w:bidi="ar-SA"/>
      </w:rPr>
    </w:lvl>
    <w:lvl w:ilvl="5" w:tplc="39C48DCE">
      <w:numFmt w:val="bullet"/>
      <w:lvlText w:val="•"/>
      <w:lvlJc w:val="left"/>
      <w:pPr>
        <w:ind w:left="10721" w:hanging="370"/>
      </w:pPr>
      <w:rPr>
        <w:rFonts w:hint="default"/>
        <w:lang w:val="en-US" w:eastAsia="en-US" w:bidi="ar-SA"/>
      </w:rPr>
    </w:lvl>
    <w:lvl w:ilvl="6" w:tplc="78AE3200">
      <w:numFmt w:val="bullet"/>
      <w:lvlText w:val="•"/>
      <w:lvlJc w:val="left"/>
      <w:pPr>
        <w:ind w:left="12781" w:hanging="370"/>
      </w:pPr>
      <w:rPr>
        <w:rFonts w:hint="default"/>
        <w:lang w:val="en-US" w:eastAsia="en-US" w:bidi="ar-SA"/>
      </w:rPr>
    </w:lvl>
    <w:lvl w:ilvl="7" w:tplc="86A2979C">
      <w:numFmt w:val="bullet"/>
      <w:lvlText w:val="•"/>
      <w:lvlJc w:val="left"/>
      <w:pPr>
        <w:ind w:left="14842" w:hanging="370"/>
      </w:pPr>
      <w:rPr>
        <w:rFonts w:hint="default"/>
        <w:lang w:val="en-US" w:eastAsia="en-US" w:bidi="ar-SA"/>
      </w:rPr>
    </w:lvl>
    <w:lvl w:ilvl="8" w:tplc="B978CECE">
      <w:numFmt w:val="bullet"/>
      <w:lvlText w:val="•"/>
      <w:lvlJc w:val="left"/>
      <w:pPr>
        <w:ind w:left="16902" w:hanging="370"/>
      </w:pPr>
      <w:rPr>
        <w:rFonts w:hint="default"/>
        <w:lang w:val="en-US" w:eastAsia="en-US" w:bidi="ar-SA"/>
      </w:rPr>
    </w:lvl>
  </w:abstractNum>
  <w:abstractNum w:abstractNumId="134" w15:restartNumberingAfterBreak="0">
    <w:nsid w:val="4C0B0056"/>
    <w:multiLevelType w:val="hybridMultilevel"/>
    <w:tmpl w:val="3470F342"/>
    <w:lvl w:ilvl="0" w:tplc="BF30363A">
      <w:numFmt w:val="bullet"/>
      <w:lvlText w:val=""/>
      <w:lvlJc w:val="left"/>
      <w:pPr>
        <w:ind w:left="859" w:hanging="360"/>
      </w:pPr>
      <w:rPr>
        <w:rFonts w:ascii="Symbol" w:eastAsia="Symbol" w:hAnsi="Symbol" w:cs="Symbol" w:hint="default"/>
        <w:b w:val="0"/>
        <w:bCs w:val="0"/>
        <w:i w:val="0"/>
        <w:iCs w:val="0"/>
        <w:spacing w:val="0"/>
        <w:w w:val="99"/>
        <w:sz w:val="22"/>
        <w:szCs w:val="22"/>
        <w:lang w:val="en-US" w:eastAsia="en-US" w:bidi="ar-SA"/>
      </w:rPr>
    </w:lvl>
    <w:lvl w:ilvl="1" w:tplc="D27208FA">
      <w:numFmt w:val="bullet"/>
      <w:lvlText w:val="•"/>
      <w:lvlJc w:val="left"/>
      <w:pPr>
        <w:ind w:left="1461" w:hanging="360"/>
      </w:pPr>
      <w:rPr>
        <w:rFonts w:hint="default"/>
        <w:lang w:val="en-US" w:eastAsia="en-US" w:bidi="ar-SA"/>
      </w:rPr>
    </w:lvl>
    <w:lvl w:ilvl="2" w:tplc="C0B46D8A">
      <w:numFmt w:val="bullet"/>
      <w:lvlText w:val="•"/>
      <w:lvlJc w:val="left"/>
      <w:pPr>
        <w:ind w:left="2062" w:hanging="360"/>
      </w:pPr>
      <w:rPr>
        <w:rFonts w:hint="default"/>
        <w:lang w:val="en-US" w:eastAsia="en-US" w:bidi="ar-SA"/>
      </w:rPr>
    </w:lvl>
    <w:lvl w:ilvl="3" w:tplc="EA845BCE">
      <w:numFmt w:val="bullet"/>
      <w:lvlText w:val="•"/>
      <w:lvlJc w:val="left"/>
      <w:pPr>
        <w:ind w:left="2663" w:hanging="360"/>
      </w:pPr>
      <w:rPr>
        <w:rFonts w:hint="default"/>
        <w:lang w:val="en-US" w:eastAsia="en-US" w:bidi="ar-SA"/>
      </w:rPr>
    </w:lvl>
    <w:lvl w:ilvl="4" w:tplc="8018BE22">
      <w:numFmt w:val="bullet"/>
      <w:lvlText w:val="•"/>
      <w:lvlJc w:val="left"/>
      <w:pPr>
        <w:ind w:left="3265" w:hanging="360"/>
      </w:pPr>
      <w:rPr>
        <w:rFonts w:hint="default"/>
        <w:lang w:val="en-US" w:eastAsia="en-US" w:bidi="ar-SA"/>
      </w:rPr>
    </w:lvl>
    <w:lvl w:ilvl="5" w:tplc="8F5EAD0A">
      <w:numFmt w:val="bullet"/>
      <w:lvlText w:val="•"/>
      <w:lvlJc w:val="left"/>
      <w:pPr>
        <w:ind w:left="3866" w:hanging="360"/>
      </w:pPr>
      <w:rPr>
        <w:rFonts w:hint="default"/>
        <w:lang w:val="en-US" w:eastAsia="en-US" w:bidi="ar-SA"/>
      </w:rPr>
    </w:lvl>
    <w:lvl w:ilvl="6" w:tplc="0E448CAA">
      <w:numFmt w:val="bullet"/>
      <w:lvlText w:val="•"/>
      <w:lvlJc w:val="left"/>
      <w:pPr>
        <w:ind w:left="4467" w:hanging="360"/>
      </w:pPr>
      <w:rPr>
        <w:rFonts w:hint="default"/>
        <w:lang w:val="en-US" w:eastAsia="en-US" w:bidi="ar-SA"/>
      </w:rPr>
    </w:lvl>
    <w:lvl w:ilvl="7" w:tplc="E0E4382E">
      <w:numFmt w:val="bullet"/>
      <w:lvlText w:val="•"/>
      <w:lvlJc w:val="left"/>
      <w:pPr>
        <w:ind w:left="5069" w:hanging="360"/>
      </w:pPr>
      <w:rPr>
        <w:rFonts w:hint="default"/>
        <w:lang w:val="en-US" w:eastAsia="en-US" w:bidi="ar-SA"/>
      </w:rPr>
    </w:lvl>
    <w:lvl w:ilvl="8" w:tplc="BB7AA7C6">
      <w:numFmt w:val="bullet"/>
      <w:lvlText w:val="•"/>
      <w:lvlJc w:val="left"/>
      <w:pPr>
        <w:ind w:left="5670" w:hanging="360"/>
      </w:pPr>
      <w:rPr>
        <w:rFonts w:hint="default"/>
        <w:lang w:val="en-US" w:eastAsia="en-US" w:bidi="ar-SA"/>
      </w:rPr>
    </w:lvl>
  </w:abstractNum>
  <w:abstractNum w:abstractNumId="135" w15:restartNumberingAfterBreak="0">
    <w:nsid w:val="4C1164EA"/>
    <w:multiLevelType w:val="hybridMultilevel"/>
    <w:tmpl w:val="4F2A7F3C"/>
    <w:lvl w:ilvl="0" w:tplc="81B2ECB6">
      <w:numFmt w:val="bullet"/>
      <w:lvlText w:val=""/>
      <w:lvlJc w:val="left"/>
      <w:pPr>
        <w:ind w:left="1337" w:hanging="360"/>
      </w:pPr>
      <w:rPr>
        <w:rFonts w:ascii="Symbol" w:eastAsia="Symbol" w:hAnsi="Symbol" w:cs="Symbol" w:hint="default"/>
        <w:spacing w:val="0"/>
        <w:w w:val="99"/>
        <w:lang w:val="en-US" w:eastAsia="en-US" w:bidi="ar-SA"/>
      </w:rPr>
    </w:lvl>
    <w:lvl w:ilvl="1" w:tplc="B2EA3086">
      <w:numFmt w:val="bullet"/>
      <w:lvlText w:val="•"/>
      <w:lvlJc w:val="left"/>
      <w:pPr>
        <w:ind w:left="1910" w:hanging="360"/>
      </w:pPr>
      <w:rPr>
        <w:rFonts w:hint="default"/>
        <w:lang w:val="en-US" w:eastAsia="en-US" w:bidi="ar-SA"/>
      </w:rPr>
    </w:lvl>
    <w:lvl w:ilvl="2" w:tplc="15501AEA">
      <w:numFmt w:val="bullet"/>
      <w:lvlText w:val="•"/>
      <w:lvlJc w:val="left"/>
      <w:pPr>
        <w:ind w:left="2480" w:hanging="360"/>
      </w:pPr>
      <w:rPr>
        <w:rFonts w:hint="default"/>
        <w:lang w:val="en-US" w:eastAsia="en-US" w:bidi="ar-SA"/>
      </w:rPr>
    </w:lvl>
    <w:lvl w:ilvl="3" w:tplc="0AA0DEEC">
      <w:numFmt w:val="bullet"/>
      <w:lvlText w:val="•"/>
      <w:lvlJc w:val="left"/>
      <w:pPr>
        <w:ind w:left="3050" w:hanging="360"/>
      </w:pPr>
      <w:rPr>
        <w:rFonts w:hint="default"/>
        <w:lang w:val="en-US" w:eastAsia="en-US" w:bidi="ar-SA"/>
      </w:rPr>
    </w:lvl>
    <w:lvl w:ilvl="4" w:tplc="80303728">
      <w:numFmt w:val="bullet"/>
      <w:lvlText w:val="•"/>
      <w:lvlJc w:val="left"/>
      <w:pPr>
        <w:ind w:left="3620" w:hanging="360"/>
      </w:pPr>
      <w:rPr>
        <w:rFonts w:hint="default"/>
        <w:lang w:val="en-US" w:eastAsia="en-US" w:bidi="ar-SA"/>
      </w:rPr>
    </w:lvl>
    <w:lvl w:ilvl="5" w:tplc="5E5AFAD2">
      <w:numFmt w:val="bullet"/>
      <w:lvlText w:val="•"/>
      <w:lvlJc w:val="left"/>
      <w:pPr>
        <w:ind w:left="4190" w:hanging="360"/>
      </w:pPr>
      <w:rPr>
        <w:rFonts w:hint="default"/>
        <w:lang w:val="en-US" w:eastAsia="en-US" w:bidi="ar-SA"/>
      </w:rPr>
    </w:lvl>
    <w:lvl w:ilvl="6" w:tplc="F506929C">
      <w:numFmt w:val="bullet"/>
      <w:lvlText w:val="•"/>
      <w:lvlJc w:val="left"/>
      <w:pPr>
        <w:ind w:left="4760" w:hanging="360"/>
      </w:pPr>
      <w:rPr>
        <w:rFonts w:hint="default"/>
        <w:lang w:val="en-US" w:eastAsia="en-US" w:bidi="ar-SA"/>
      </w:rPr>
    </w:lvl>
    <w:lvl w:ilvl="7" w:tplc="111EE8C4">
      <w:numFmt w:val="bullet"/>
      <w:lvlText w:val="•"/>
      <w:lvlJc w:val="left"/>
      <w:pPr>
        <w:ind w:left="5330" w:hanging="360"/>
      </w:pPr>
      <w:rPr>
        <w:rFonts w:hint="default"/>
        <w:lang w:val="en-US" w:eastAsia="en-US" w:bidi="ar-SA"/>
      </w:rPr>
    </w:lvl>
    <w:lvl w:ilvl="8" w:tplc="355EDD66">
      <w:numFmt w:val="bullet"/>
      <w:lvlText w:val="•"/>
      <w:lvlJc w:val="left"/>
      <w:pPr>
        <w:ind w:left="5900" w:hanging="360"/>
      </w:pPr>
      <w:rPr>
        <w:rFonts w:hint="default"/>
        <w:lang w:val="en-US" w:eastAsia="en-US" w:bidi="ar-SA"/>
      </w:rPr>
    </w:lvl>
  </w:abstractNum>
  <w:abstractNum w:abstractNumId="136" w15:restartNumberingAfterBreak="0">
    <w:nsid w:val="4C994197"/>
    <w:multiLevelType w:val="hybridMultilevel"/>
    <w:tmpl w:val="F2A424EC"/>
    <w:lvl w:ilvl="0" w:tplc="F5068C76">
      <w:start w:val="3"/>
      <w:numFmt w:val="decimal"/>
      <w:lvlText w:val="%1."/>
      <w:lvlJc w:val="left"/>
      <w:pPr>
        <w:ind w:left="568" w:hanging="439"/>
        <w:jc w:val="left"/>
      </w:pPr>
      <w:rPr>
        <w:rFonts w:ascii="Arial" w:eastAsia="Arial" w:hAnsi="Arial" w:cs="Arial" w:hint="default"/>
        <w:b w:val="0"/>
        <w:bCs w:val="0"/>
        <w:i w:val="0"/>
        <w:iCs w:val="0"/>
        <w:spacing w:val="0"/>
        <w:w w:val="99"/>
        <w:sz w:val="22"/>
        <w:szCs w:val="22"/>
        <w:lang w:val="en-US" w:eastAsia="en-US" w:bidi="ar-SA"/>
      </w:rPr>
    </w:lvl>
    <w:lvl w:ilvl="1" w:tplc="2304A4BC">
      <w:start w:val="1"/>
      <w:numFmt w:val="lowerLetter"/>
      <w:lvlText w:val="(%2)"/>
      <w:lvlJc w:val="left"/>
      <w:pPr>
        <w:ind w:left="1123" w:hanging="531"/>
        <w:jc w:val="left"/>
      </w:pPr>
      <w:rPr>
        <w:rFonts w:ascii="Arial" w:eastAsia="Arial" w:hAnsi="Arial" w:cs="Arial" w:hint="default"/>
        <w:b w:val="0"/>
        <w:bCs w:val="0"/>
        <w:i w:val="0"/>
        <w:iCs w:val="0"/>
        <w:spacing w:val="-1"/>
        <w:w w:val="99"/>
        <w:sz w:val="22"/>
        <w:szCs w:val="22"/>
        <w:lang w:val="en-US" w:eastAsia="en-US" w:bidi="ar-SA"/>
      </w:rPr>
    </w:lvl>
    <w:lvl w:ilvl="2" w:tplc="51E426E6">
      <w:numFmt w:val="bullet"/>
      <w:lvlText w:val="•"/>
      <w:lvlJc w:val="left"/>
      <w:pPr>
        <w:ind w:left="1764" w:hanging="531"/>
      </w:pPr>
      <w:rPr>
        <w:rFonts w:hint="default"/>
        <w:lang w:val="en-US" w:eastAsia="en-US" w:bidi="ar-SA"/>
      </w:rPr>
    </w:lvl>
    <w:lvl w:ilvl="3" w:tplc="B3AC7DCA">
      <w:numFmt w:val="bullet"/>
      <w:lvlText w:val="•"/>
      <w:lvlJc w:val="left"/>
      <w:pPr>
        <w:ind w:left="2409" w:hanging="531"/>
      </w:pPr>
      <w:rPr>
        <w:rFonts w:hint="default"/>
        <w:lang w:val="en-US" w:eastAsia="en-US" w:bidi="ar-SA"/>
      </w:rPr>
    </w:lvl>
    <w:lvl w:ilvl="4" w:tplc="55D2C2C0">
      <w:numFmt w:val="bullet"/>
      <w:lvlText w:val="•"/>
      <w:lvlJc w:val="left"/>
      <w:pPr>
        <w:ind w:left="3054" w:hanging="531"/>
      </w:pPr>
      <w:rPr>
        <w:rFonts w:hint="default"/>
        <w:lang w:val="en-US" w:eastAsia="en-US" w:bidi="ar-SA"/>
      </w:rPr>
    </w:lvl>
    <w:lvl w:ilvl="5" w:tplc="D166CAE8">
      <w:numFmt w:val="bullet"/>
      <w:lvlText w:val="•"/>
      <w:lvlJc w:val="left"/>
      <w:pPr>
        <w:ind w:left="3699" w:hanging="531"/>
      </w:pPr>
      <w:rPr>
        <w:rFonts w:hint="default"/>
        <w:lang w:val="en-US" w:eastAsia="en-US" w:bidi="ar-SA"/>
      </w:rPr>
    </w:lvl>
    <w:lvl w:ilvl="6" w:tplc="E4067B8A">
      <w:numFmt w:val="bullet"/>
      <w:lvlText w:val="•"/>
      <w:lvlJc w:val="left"/>
      <w:pPr>
        <w:ind w:left="4343" w:hanging="531"/>
      </w:pPr>
      <w:rPr>
        <w:rFonts w:hint="default"/>
        <w:lang w:val="en-US" w:eastAsia="en-US" w:bidi="ar-SA"/>
      </w:rPr>
    </w:lvl>
    <w:lvl w:ilvl="7" w:tplc="DFE84228">
      <w:numFmt w:val="bullet"/>
      <w:lvlText w:val="•"/>
      <w:lvlJc w:val="left"/>
      <w:pPr>
        <w:ind w:left="4988" w:hanging="531"/>
      </w:pPr>
      <w:rPr>
        <w:rFonts w:hint="default"/>
        <w:lang w:val="en-US" w:eastAsia="en-US" w:bidi="ar-SA"/>
      </w:rPr>
    </w:lvl>
    <w:lvl w:ilvl="8" w:tplc="86AC0FF0">
      <w:numFmt w:val="bullet"/>
      <w:lvlText w:val="•"/>
      <w:lvlJc w:val="left"/>
      <w:pPr>
        <w:ind w:left="5633" w:hanging="531"/>
      </w:pPr>
      <w:rPr>
        <w:rFonts w:hint="default"/>
        <w:lang w:val="en-US" w:eastAsia="en-US" w:bidi="ar-SA"/>
      </w:rPr>
    </w:lvl>
  </w:abstractNum>
  <w:abstractNum w:abstractNumId="137" w15:restartNumberingAfterBreak="0">
    <w:nsid w:val="4CEB1E3D"/>
    <w:multiLevelType w:val="hybridMultilevel"/>
    <w:tmpl w:val="86421380"/>
    <w:lvl w:ilvl="0" w:tplc="602A9C28">
      <w:numFmt w:val="bullet"/>
      <w:lvlText w:val=""/>
      <w:lvlJc w:val="left"/>
      <w:pPr>
        <w:ind w:left="2160" w:hanging="360"/>
      </w:pPr>
      <w:rPr>
        <w:rFonts w:ascii="Symbol" w:eastAsia="Symbol" w:hAnsi="Symbol" w:cs="Symbol" w:hint="default"/>
        <w:b w:val="0"/>
        <w:bCs w:val="0"/>
        <w:i w:val="0"/>
        <w:iCs w:val="0"/>
        <w:spacing w:val="0"/>
        <w:w w:val="99"/>
        <w:sz w:val="22"/>
        <w:szCs w:val="22"/>
        <w:lang w:val="en-US" w:eastAsia="en-US" w:bidi="ar-SA"/>
      </w:rPr>
    </w:lvl>
    <w:lvl w:ilvl="1" w:tplc="2B163224">
      <w:numFmt w:val="bullet"/>
      <w:lvlText w:val="•"/>
      <w:lvlJc w:val="left"/>
      <w:pPr>
        <w:ind w:left="2988" w:hanging="360"/>
      </w:pPr>
      <w:rPr>
        <w:rFonts w:hint="default"/>
        <w:lang w:val="en-US" w:eastAsia="en-US" w:bidi="ar-SA"/>
      </w:rPr>
    </w:lvl>
    <w:lvl w:ilvl="2" w:tplc="FE40665E">
      <w:numFmt w:val="bullet"/>
      <w:lvlText w:val="•"/>
      <w:lvlJc w:val="left"/>
      <w:pPr>
        <w:ind w:left="3816" w:hanging="360"/>
      </w:pPr>
      <w:rPr>
        <w:rFonts w:hint="default"/>
        <w:lang w:val="en-US" w:eastAsia="en-US" w:bidi="ar-SA"/>
      </w:rPr>
    </w:lvl>
    <w:lvl w:ilvl="3" w:tplc="C1C670D2">
      <w:numFmt w:val="bullet"/>
      <w:lvlText w:val="•"/>
      <w:lvlJc w:val="left"/>
      <w:pPr>
        <w:ind w:left="4644" w:hanging="360"/>
      </w:pPr>
      <w:rPr>
        <w:rFonts w:hint="default"/>
        <w:lang w:val="en-US" w:eastAsia="en-US" w:bidi="ar-SA"/>
      </w:rPr>
    </w:lvl>
    <w:lvl w:ilvl="4" w:tplc="C8F4CC3E">
      <w:numFmt w:val="bullet"/>
      <w:lvlText w:val="•"/>
      <w:lvlJc w:val="left"/>
      <w:pPr>
        <w:ind w:left="5472" w:hanging="360"/>
      </w:pPr>
      <w:rPr>
        <w:rFonts w:hint="default"/>
        <w:lang w:val="en-US" w:eastAsia="en-US" w:bidi="ar-SA"/>
      </w:rPr>
    </w:lvl>
    <w:lvl w:ilvl="5" w:tplc="F766BF2A">
      <w:numFmt w:val="bullet"/>
      <w:lvlText w:val="•"/>
      <w:lvlJc w:val="left"/>
      <w:pPr>
        <w:ind w:left="6300" w:hanging="360"/>
      </w:pPr>
      <w:rPr>
        <w:rFonts w:hint="default"/>
        <w:lang w:val="en-US" w:eastAsia="en-US" w:bidi="ar-SA"/>
      </w:rPr>
    </w:lvl>
    <w:lvl w:ilvl="6" w:tplc="46A4811C">
      <w:numFmt w:val="bullet"/>
      <w:lvlText w:val="•"/>
      <w:lvlJc w:val="left"/>
      <w:pPr>
        <w:ind w:left="7128" w:hanging="360"/>
      </w:pPr>
      <w:rPr>
        <w:rFonts w:hint="default"/>
        <w:lang w:val="en-US" w:eastAsia="en-US" w:bidi="ar-SA"/>
      </w:rPr>
    </w:lvl>
    <w:lvl w:ilvl="7" w:tplc="B3BA9930">
      <w:numFmt w:val="bullet"/>
      <w:lvlText w:val="•"/>
      <w:lvlJc w:val="left"/>
      <w:pPr>
        <w:ind w:left="7956" w:hanging="360"/>
      </w:pPr>
      <w:rPr>
        <w:rFonts w:hint="default"/>
        <w:lang w:val="en-US" w:eastAsia="en-US" w:bidi="ar-SA"/>
      </w:rPr>
    </w:lvl>
    <w:lvl w:ilvl="8" w:tplc="44A61376">
      <w:numFmt w:val="bullet"/>
      <w:lvlText w:val="•"/>
      <w:lvlJc w:val="left"/>
      <w:pPr>
        <w:ind w:left="8784" w:hanging="360"/>
      </w:pPr>
      <w:rPr>
        <w:rFonts w:hint="default"/>
        <w:lang w:val="en-US" w:eastAsia="en-US" w:bidi="ar-SA"/>
      </w:rPr>
    </w:lvl>
  </w:abstractNum>
  <w:abstractNum w:abstractNumId="138" w15:restartNumberingAfterBreak="0">
    <w:nsid w:val="4CF523DD"/>
    <w:multiLevelType w:val="hybridMultilevel"/>
    <w:tmpl w:val="407C6138"/>
    <w:lvl w:ilvl="0" w:tplc="1FF2F20E">
      <w:numFmt w:val="bullet"/>
      <w:lvlText w:val=""/>
      <w:lvlJc w:val="left"/>
      <w:pPr>
        <w:ind w:left="320" w:hanging="186"/>
      </w:pPr>
      <w:rPr>
        <w:rFonts w:ascii="Symbol" w:eastAsia="Symbol" w:hAnsi="Symbol" w:cs="Symbol" w:hint="default"/>
        <w:b w:val="0"/>
        <w:bCs w:val="0"/>
        <w:i w:val="0"/>
        <w:iCs w:val="0"/>
        <w:spacing w:val="0"/>
        <w:w w:val="100"/>
        <w:sz w:val="18"/>
        <w:szCs w:val="18"/>
        <w:lang w:val="en-US" w:eastAsia="en-US" w:bidi="ar-SA"/>
      </w:rPr>
    </w:lvl>
    <w:lvl w:ilvl="1" w:tplc="C3E4A7F6">
      <w:numFmt w:val="bullet"/>
      <w:lvlText w:val="•"/>
      <w:lvlJc w:val="left"/>
      <w:pPr>
        <w:ind w:left="1001" w:hanging="186"/>
      </w:pPr>
      <w:rPr>
        <w:rFonts w:hint="default"/>
        <w:lang w:val="en-US" w:eastAsia="en-US" w:bidi="ar-SA"/>
      </w:rPr>
    </w:lvl>
    <w:lvl w:ilvl="2" w:tplc="16726534">
      <w:numFmt w:val="bullet"/>
      <w:lvlText w:val="•"/>
      <w:lvlJc w:val="left"/>
      <w:pPr>
        <w:ind w:left="1682" w:hanging="186"/>
      </w:pPr>
      <w:rPr>
        <w:rFonts w:hint="default"/>
        <w:lang w:val="en-US" w:eastAsia="en-US" w:bidi="ar-SA"/>
      </w:rPr>
    </w:lvl>
    <w:lvl w:ilvl="3" w:tplc="E6481536">
      <w:numFmt w:val="bullet"/>
      <w:lvlText w:val="•"/>
      <w:lvlJc w:val="left"/>
      <w:pPr>
        <w:ind w:left="2363" w:hanging="186"/>
      </w:pPr>
      <w:rPr>
        <w:rFonts w:hint="default"/>
        <w:lang w:val="en-US" w:eastAsia="en-US" w:bidi="ar-SA"/>
      </w:rPr>
    </w:lvl>
    <w:lvl w:ilvl="4" w:tplc="0AC0A88C">
      <w:numFmt w:val="bullet"/>
      <w:lvlText w:val="•"/>
      <w:lvlJc w:val="left"/>
      <w:pPr>
        <w:ind w:left="3044" w:hanging="186"/>
      </w:pPr>
      <w:rPr>
        <w:rFonts w:hint="default"/>
        <w:lang w:val="en-US" w:eastAsia="en-US" w:bidi="ar-SA"/>
      </w:rPr>
    </w:lvl>
    <w:lvl w:ilvl="5" w:tplc="85C0A2FC">
      <w:numFmt w:val="bullet"/>
      <w:lvlText w:val="•"/>
      <w:lvlJc w:val="left"/>
      <w:pPr>
        <w:ind w:left="3725" w:hanging="186"/>
      </w:pPr>
      <w:rPr>
        <w:rFonts w:hint="default"/>
        <w:lang w:val="en-US" w:eastAsia="en-US" w:bidi="ar-SA"/>
      </w:rPr>
    </w:lvl>
    <w:lvl w:ilvl="6" w:tplc="295C07EA">
      <w:numFmt w:val="bullet"/>
      <w:lvlText w:val="•"/>
      <w:lvlJc w:val="left"/>
      <w:pPr>
        <w:ind w:left="4406" w:hanging="186"/>
      </w:pPr>
      <w:rPr>
        <w:rFonts w:hint="default"/>
        <w:lang w:val="en-US" w:eastAsia="en-US" w:bidi="ar-SA"/>
      </w:rPr>
    </w:lvl>
    <w:lvl w:ilvl="7" w:tplc="18D890AE">
      <w:numFmt w:val="bullet"/>
      <w:lvlText w:val="•"/>
      <w:lvlJc w:val="left"/>
      <w:pPr>
        <w:ind w:left="5087" w:hanging="186"/>
      </w:pPr>
      <w:rPr>
        <w:rFonts w:hint="default"/>
        <w:lang w:val="en-US" w:eastAsia="en-US" w:bidi="ar-SA"/>
      </w:rPr>
    </w:lvl>
    <w:lvl w:ilvl="8" w:tplc="CCA2142C">
      <w:numFmt w:val="bullet"/>
      <w:lvlText w:val="•"/>
      <w:lvlJc w:val="left"/>
      <w:pPr>
        <w:ind w:left="5768" w:hanging="186"/>
      </w:pPr>
      <w:rPr>
        <w:rFonts w:hint="default"/>
        <w:lang w:val="en-US" w:eastAsia="en-US" w:bidi="ar-SA"/>
      </w:rPr>
    </w:lvl>
  </w:abstractNum>
  <w:abstractNum w:abstractNumId="139" w15:restartNumberingAfterBreak="0">
    <w:nsid w:val="4D5C0A5F"/>
    <w:multiLevelType w:val="hybridMultilevel"/>
    <w:tmpl w:val="424E3FAC"/>
    <w:lvl w:ilvl="0" w:tplc="36802ADC">
      <w:start w:val="10"/>
      <w:numFmt w:val="decimal"/>
      <w:lvlText w:val=".%1"/>
      <w:lvlJc w:val="left"/>
      <w:pPr>
        <w:ind w:left="1710" w:hanging="721"/>
        <w:jc w:val="left"/>
      </w:pPr>
      <w:rPr>
        <w:rFonts w:ascii="Arial" w:eastAsia="Arial" w:hAnsi="Arial" w:cs="Arial" w:hint="default"/>
        <w:b w:val="0"/>
        <w:bCs w:val="0"/>
        <w:i w:val="0"/>
        <w:iCs w:val="0"/>
        <w:spacing w:val="0"/>
        <w:w w:val="99"/>
        <w:sz w:val="22"/>
        <w:szCs w:val="22"/>
        <w:lang w:val="en-US" w:eastAsia="en-US" w:bidi="ar-SA"/>
      </w:rPr>
    </w:lvl>
    <w:lvl w:ilvl="1" w:tplc="8D8008B0">
      <w:numFmt w:val="bullet"/>
      <w:lvlText w:val="•"/>
      <w:lvlJc w:val="left"/>
      <w:pPr>
        <w:ind w:left="2592" w:hanging="721"/>
      </w:pPr>
      <w:rPr>
        <w:rFonts w:hint="default"/>
        <w:lang w:val="en-US" w:eastAsia="en-US" w:bidi="ar-SA"/>
      </w:rPr>
    </w:lvl>
    <w:lvl w:ilvl="2" w:tplc="896EE198">
      <w:numFmt w:val="bullet"/>
      <w:lvlText w:val="•"/>
      <w:lvlJc w:val="left"/>
      <w:pPr>
        <w:ind w:left="3464" w:hanging="721"/>
      </w:pPr>
      <w:rPr>
        <w:rFonts w:hint="default"/>
        <w:lang w:val="en-US" w:eastAsia="en-US" w:bidi="ar-SA"/>
      </w:rPr>
    </w:lvl>
    <w:lvl w:ilvl="3" w:tplc="344E263C">
      <w:numFmt w:val="bullet"/>
      <w:lvlText w:val="•"/>
      <w:lvlJc w:val="left"/>
      <w:pPr>
        <w:ind w:left="4336" w:hanging="721"/>
      </w:pPr>
      <w:rPr>
        <w:rFonts w:hint="default"/>
        <w:lang w:val="en-US" w:eastAsia="en-US" w:bidi="ar-SA"/>
      </w:rPr>
    </w:lvl>
    <w:lvl w:ilvl="4" w:tplc="26EA552E">
      <w:numFmt w:val="bullet"/>
      <w:lvlText w:val="•"/>
      <w:lvlJc w:val="left"/>
      <w:pPr>
        <w:ind w:left="5208" w:hanging="721"/>
      </w:pPr>
      <w:rPr>
        <w:rFonts w:hint="default"/>
        <w:lang w:val="en-US" w:eastAsia="en-US" w:bidi="ar-SA"/>
      </w:rPr>
    </w:lvl>
    <w:lvl w:ilvl="5" w:tplc="2486B00C">
      <w:numFmt w:val="bullet"/>
      <w:lvlText w:val="•"/>
      <w:lvlJc w:val="left"/>
      <w:pPr>
        <w:ind w:left="6080" w:hanging="721"/>
      </w:pPr>
      <w:rPr>
        <w:rFonts w:hint="default"/>
        <w:lang w:val="en-US" w:eastAsia="en-US" w:bidi="ar-SA"/>
      </w:rPr>
    </w:lvl>
    <w:lvl w:ilvl="6" w:tplc="6562F49E">
      <w:numFmt w:val="bullet"/>
      <w:lvlText w:val="•"/>
      <w:lvlJc w:val="left"/>
      <w:pPr>
        <w:ind w:left="6952" w:hanging="721"/>
      </w:pPr>
      <w:rPr>
        <w:rFonts w:hint="default"/>
        <w:lang w:val="en-US" w:eastAsia="en-US" w:bidi="ar-SA"/>
      </w:rPr>
    </w:lvl>
    <w:lvl w:ilvl="7" w:tplc="0C88015C">
      <w:numFmt w:val="bullet"/>
      <w:lvlText w:val="•"/>
      <w:lvlJc w:val="left"/>
      <w:pPr>
        <w:ind w:left="7824" w:hanging="721"/>
      </w:pPr>
      <w:rPr>
        <w:rFonts w:hint="default"/>
        <w:lang w:val="en-US" w:eastAsia="en-US" w:bidi="ar-SA"/>
      </w:rPr>
    </w:lvl>
    <w:lvl w:ilvl="8" w:tplc="7D5A76AC">
      <w:numFmt w:val="bullet"/>
      <w:lvlText w:val="•"/>
      <w:lvlJc w:val="left"/>
      <w:pPr>
        <w:ind w:left="8696" w:hanging="721"/>
      </w:pPr>
      <w:rPr>
        <w:rFonts w:hint="default"/>
        <w:lang w:val="en-US" w:eastAsia="en-US" w:bidi="ar-SA"/>
      </w:rPr>
    </w:lvl>
  </w:abstractNum>
  <w:abstractNum w:abstractNumId="140" w15:restartNumberingAfterBreak="0">
    <w:nsid w:val="4E9A32A8"/>
    <w:multiLevelType w:val="hybridMultilevel"/>
    <w:tmpl w:val="4B322DA2"/>
    <w:lvl w:ilvl="0" w:tplc="05CA9940">
      <w:start w:val="1"/>
      <w:numFmt w:val="decimalZero"/>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B802B56C">
      <w:numFmt w:val="bullet"/>
      <w:lvlText w:val="•"/>
      <w:lvlJc w:val="left"/>
      <w:pPr>
        <w:ind w:left="2664" w:hanging="721"/>
      </w:pPr>
      <w:rPr>
        <w:rFonts w:hint="default"/>
        <w:lang w:val="en-US" w:eastAsia="en-US" w:bidi="ar-SA"/>
      </w:rPr>
    </w:lvl>
    <w:lvl w:ilvl="2" w:tplc="7AE291DE">
      <w:numFmt w:val="bullet"/>
      <w:lvlText w:val="•"/>
      <w:lvlJc w:val="left"/>
      <w:pPr>
        <w:ind w:left="3528" w:hanging="721"/>
      </w:pPr>
      <w:rPr>
        <w:rFonts w:hint="default"/>
        <w:lang w:val="en-US" w:eastAsia="en-US" w:bidi="ar-SA"/>
      </w:rPr>
    </w:lvl>
    <w:lvl w:ilvl="3" w:tplc="77182F6C">
      <w:numFmt w:val="bullet"/>
      <w:lvlText w:val="•"/>
      <w:lvlJc w:val="left"/>
      <w:pPr>
        <w:ind w:left="4392" w:hanging="721"/>
      </w:pPr>
      <w:rPr>
        <w:rFonts w:hint="default"/>
        <w:lang w:val="en-US" w:eastAsia="en-US" w:bidi="ar-SA"/>
      </w:rPr>
    </w:lvl>
    <w:lvl w:ilvl="4" w:tplc="9998C41E">
      <w:numFmt w:val="bullet"/>
      <w:lvlText w:val="•"/>
      <w:lvlJc w:val="left"/>
      <w:pPr>
        <w:ind w:left="5256" w:hanging="721"/>
      </w:pPr>
      <w:rPr>
        <w:rFonts w:hint="default"/>
        <w:lang w:val="en-US" w:eastAsia="en-US" w:bidi="ar-SA"/>
      </w:rPr>
    </w:lvl>
    <w:lvl w:ilvl="5" w:tplc="6054077A">
      <w:numFmt w:val="bullet"/>
      <w:lvlText w:val="•"/>
      <w:lvlJc w:val="left"/>
      <w:pPr>
        <w:ind w:left="6120" w:hanging="721"/>
      </w:pPr>
      <w:rPr>
        <w:rFonts w:hint="default"/>
        <w:lang w:val="en-US" w:eastAsia="en-US" w:bidi="ar-SA"/>
      </w:rPr>
    </w:lvl>
    <w:lvl w:ilvl="6" w:tplc="1070FF12">
      <w:numFmt w:val="bullet"/>
      <w:lvlText w:val="•"/>
      <w:lvlJc w:val="left"/>
      <w:pPr>
        <w:ind w:left="6984" w:hanging="721"/>
      </w:pPr>
      <w:rPr>
        <w:rFonts w:hint="default"/>
        <w:lang w:val="en-US" w:eastAsia="en-US" w:bidi="ar-SA"/>
      </w:rPr>
    </w:lvl>
    <w:lvl w:ilvl="7" w:tplc="0EAADA22">
      <w:numFmt w:val="bullet"/>
      <w:lvlText w:val="•"/>
      <w:lvlJc w:val="left"/>
      <w:pPr>
        <w:ind w:left="7848" w:hanging="721"/>
      </w:pPr>
      <w:rPr>
        <w:rFonts w:hint="default"/>
        <w:lang w:val="en-US" w:eastAsia="en-US" w:bidi="ar-SA"/>
      </w:rPr>
    </w:lvl>
    <w:lvl w:ilvl="8" w:tplc="E91C710E">
      <w:numFmt w:val="bullet"/>
      <w:lvlText w:val="•"/>
      <w:lvlJc w:val="left"/>
      <w:pPr>
        <w:ind w:left="8712" w:hanging="721"/>
      </w:pPr>
      <w:rPr>
        <w:rFonts w:hint="default"/>
        <w:lang w:val="en-US" w:eastAsia="en-US" w:bidi="ar-SA"/>
      </w:rPr>
    </w:lvl>
  </w:abstractNum>
  <w:abstractNum w:abstractNumId="141" w15:restartNumberingAfterBreak="0">
    <w:nsid w:val="4F041218"/>
    <w:multiLevelType w:val="hybridMultilevel"/>
    <w:tmpl w:val="B734B50A"/>
    <w:lvl w:ilvl="0" w:tplc="EBF832DC">
      <w:start w:val="10"/>
      <w:numFmt w:val="decimal"/>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AC6C22D8">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FED01332">
      <w:numFmt w:val="bullet"/>
      <w:lvlText w:val="•"/>
      <w:lvlJc w:val="left"/>
      <w:pPr>
        <w:ind w:left="3080" w:hanging="360"/>
      </w:pPr>
      <w:rPr>
        <w:rFonts w:hint="default"/>
        <w:lang w:val="en-US" w:eastAsia="en-US" w:bidi="ar-SA"/>
      </w:rPr>
    </w:lvl>
    <w:lvl w:ilvl="3" w:tplc="C94286EC">
      <w:numFmt w:val="bullet"/>
      <w:lvlText w:val="•"/>
      <w:lvlJc w:val="left"/>
      <w:pPr>
        <w:ind w:left="4000" w:hanging="360"/>
      </w:pPr>
      <w:rPr>
        <w:rFonts w:hint="default"/>
        <w:lang w:val="en-US" w:eastAsia="en-US" w:bidi="ar-SA"/>
      </w:rPr>
    </w:lvl>
    <w:lvl w:ilvl="4" w:tplc="82743A26">
      <w:numFmt w:val="bullet"/>
      <w:lvlText w:val="•"/>
      <w:lvlJc w:val="left"/>
      <w:pPr>
        <w:ind w:left="4920" w:hanging="360"/>
      </w:pPr>
      <w:rPr>
        <w:rFonts w:hint="default"/>
        <w:lang w:val="en-US" w:eastAsia="en-US" w:bidi="ar-SA"/>
      </w:rPr>
    </w:lvl>
    <w:lvl w:ilvl="5" w:tplc="38AC6E86">
      <w:numFmt w:val="bullet"/>
      <w:lvlText w:val="•"/>
      <w:lvlJc w:val="left"/>
      <w:pPr>
        <w:ind w:left="5840" w:hanging="360"/>
      </w:pPr>
      <w:rPr>
        <w:rFonts w:hint="default"/>
        <w:lang w:val="en-US" w:eastAsia="en-US" w:bidi="ar-SA"/>
      </w:rPr>
    </w:lvl>
    <w:lvl w:ilvl="6" w:tplc="AADEB36A">
      <w:numFmt w:val="bullet"/>
      <w:lvlText w:val="•"/>
      <w:lvlJc w:val="left"/>
      <w:pPr>
        <w:ind w:left="6760" w:hanging="360"/>
      </w:pPr>
      <w:rPr>
        <w:rFonts w:hint="default"/>
        <w:lang w:val="en-US" w:eastAsia="en-US" w:bidi="ar-SA"/>
      </w:rPr>
    </w:lvl>
    <w:lvl w:ilvl="7" w:tplc="8B3C2022">
      <w:numFmt w:val="bullet"/>
      <w:lvlText w:val="•"/>
      <w:lvlJc w:val="left"/>
      <w:pPr>
        <w:ind w:left="7680" w:hanging="360"/>
      </w:pPr>
      <w:rPr>
        <w:rFonts w:hint="default"/>
        <w:lang w:val="en-US" w:eastAsia="en-US" w:bidi="ar-SA"/>
      </w:rPr>
    </w:lvl>
    <w:lvl w:ilvl="8" w:tplc="08DADE94">
      <w:numFmt w:val="bullet"/>
      <w:lvlText w:val="•"/>
      <w:lvlJc w:val="left"/>
      <w:pPr>
        <w:ind w:left="8600" w:hanging="360"/>
      </w:pPr>
      <w:rPr>
        <w:rFonts w:hint="default"/>
        <w:lang w:val="en-US" w:eastAsia="en-US" w:bidi="ar-SA"/>
      </w:rPr>
    </w:lvl>
  </w:abstractNum>
  <w:abstractNum w:abstractNumId="142" w15:restartNumberingAfterBreak="0">
    <w:nsid w:val="4F1931FB"/>
    <w:multiLevelType w:val="hybridMultilevel"/>
    <w:tmpl w:val="6C58D978"/>
    <w:lvl w:ilvl="0" w:tplc="9468CABC">
      <w:start w:val="1"/>
      <w:numFmt w:val="decimal"/>
      <w:lvlText w:val="%1)"/>
      <w:lvlJc w:val="left"/>
      <w:pPr>
        <w:ind w:left="684" w:hanging="577"/>
        <w:jc w:val="left"/>
      </w:pPr>
      <w:rPr>
        <w:rFonts w:ascii="Arial" w:eastAsia="Arial" w:hAnsi="Arial" w:cs="Arial" w:hint="default"/>
        <w:b w:val="0"/>
        <w:bCs w:val="0"/>
        <w:i w:val="0"/>
        <w:iCs w:val="0"/>
        <w:spacing w:val="0"/>
        <w:w w:val="99"/>
        <w:sz w:val="22"/>
        <w:szCs w:val="22"/>
        <w:lang w:val="en-US" w:eastAsia="en-US" w:bidi="ar-SA"/>
      </w:rPr>
    </w:lvl>
    <w:lvl w:ilvl="1" w:tplc="0E0EB472">
      <w:numFmt w:val="bullet"/>
      <w:lvlText w:val="•"/>
      <w:lvlJc w:val="left"/>
      <w:pPr>
        <w:ind w:left="1304" w:hanging="577"/>
      </w:pPr>
      <w:rPr>
        <w:rFonts w:hint="default"/>
        <w:lang w:val="en-US" w:eastAsia="en-US" w:bidi="ar-SA"/>
      </w:rPr>
    </w:lvl>
    <w:lvl w:ilvl="2" w:tplc="EAA8EFFA">
      <w:numFmt w:val="bullet"/>
      <w:lvlText w:val="•"/>
      <w:lvlJc w:val="left"/>
      <w:pPr>
        <w:ind w:left="1928" w:hanging="577"/>
      </w:pPr>
      <w:rPr>
        <w:rFonts w:hint="default"/>
        <w:lang w:val="en-US" w:eastAsia="en-US" w:bidi="ar-SA"/>
      </w:rPr>
    </w:lvl>
    <w:lvl w:ilvl="3" w:tplc="D2C42156">
      <w:numFmt w:val="bullet"/>
      <w:lvlText w:val="•"/>
      <w:lvlJc w:val="left"/>
      <w:pPr>
        <w:ind w:left="2552" w:hanging="577"/>
      </w:pPr>
      <w:rPr>
        <w:rFonts w:hint="default"/>
        <w:lang w:val="en-US" w:eastAsia="en-US" w:bidi="ar-SA"/>
      </w:rPr>
    </w:lvl>
    <w:lvl w:ilvl="4" w:tplc="4A00586A">
      <w:numFmt w:val="bullet"/>
      <w:lvlText w:val="•"/>
      <w:lvlJc w:val="left"/>
      <w:pPr>
        <w:ind w:left="3176" w:hanging="577"/>
      </w:pPr>
      <w:rPr>
        <w:rFonts w:hint="default"/>
        <w:lang w:val="en-US" w:eastAsia="en-US" w:bidi="ar-SA"/>
      </w:rPr>
    </w:lvl>
    <w:lvl w:ilvl="5" w:tplc="5E182C8A">
      <w:numFmt w:val="bullet"/>
      <w:lvlText w:val="•"/>
      <w:lvlJc w:val="left"/>
      <w:pPr>
        <w:ind w:left="3800" w:hanging="577"/>
      </w:pPr>
      <w:rPr>
        <w:rFonts w:hint="default"/>
        <w:lang w:val="en-US" w:eastAsia="en-US" w:bidi="ar-SA"/>
      </w:rPr>
    </w:lvl>
    <w:lvl w:ilvl="6" w:tplc="1E9802E2">
      <w:numFmt w:val="bullet"/>
      <w:lvlText w:val="•"/>
      <w:lvlJc w:val="left"/>
      <w:pPr>
        <w:ind w:left="4424" w:hanging="577"/>
      </w:pPr>
      <w:rPr>
        <w:rFonts w:hint="default"/>
        <w:lang w:val="en-US" w:eastAsia="en-US" w:bidi="ar-SA"/>
      </w:rPr>
    </w:lvl>
    <w:lvl w:ilvl="7" w:tplc="FEC687DA">
      <w:numFmt w:val="bullet"/>
      <w:lvlText w:val="•"/>
      <w:lvlJc w:val="left"/>
      <w:pPr>
        <w:ind w:left="5048" w:hanging="577"/>
      </w:pPr>
      <w:rPr>
        <w:rFonts w:hint="default"/>
        <w:lang w:val="en-US" w:eastAsia="en-US" w:bidi="ar-SA"/>
      </w:rPr>
    </w:lvl>
    <w:lvl w:ilvl="8" w:tplc="51849524">
      <w:numFmt w:val="bullet"/>
      <w:lvlText w:val="•"/>
      <w:lvlJc w:val="left"/>
      <w:pPr>
        <w:ind w:left="5672" w:hanging="577"/>
      </w:pPr>
      <w:rPr>
        <w:rFonts w:hint="default"/>
        <w:lang w:val="en-US" w:eastAsia="en-US" w:bidi="ar-SA"/>
      </w:rPr>
    </w:lvl>
  </w:abstractNum>
  <w:abstractNum w:abstractNumId="143" w15:restartNumberingAfterBreak="0">
    <w:nsid w:val="50CA2832"/>
    <w:multiLevelType w:val="hybridMultilevel"/>
    <w:tmpl w:val="9E049318"/>
    <w:lvl w:ilvl="0" w:tplc="ABFEE114">
      <w:start w:val="8"/>
      <w:numFmt w:val="decimal"/>
      <w:lvlText w:val="%1."/>
      <w:lvlJc w:val="left"/>
      <w:pPr>
        <w:ind w:left="485" w:hanging="360"/>
        <w:jc w:val="left"/>
      </w:pPr>
      <w:rPr>
        <w:rFonts w:ascii="Arial" w:eastAsia="Arial" w:hAnsi="Arial" w:cs="Arial" w:hint="default"/>
        <w:b w:val="0"/>
        <w:bCs w:val="0"/>
        <w:i w:val="0"/>
        <w:iCs w:val="0"/>
        <w:spacing w:val="0"/>
        <w:w w:val="99"/>
        <w:sz w:val="22"/>
        <w:szCs w:val="22"/>
        <w:lang w:val="en-US" w:eastAsia="en-US" w:bidi="ar-SA"/>
      </w:rPr>
    </w:lvl>
    <w:lvl w:ilvl="1" w:tplc="42E84BEE">
      <w:numFmt w:val="bullet"/>
      <w:lvlText w:val=""/>
      <w:lvlJc w:val="left"/>
      <w:pPr>
        <w:ind w:left="862" w:hanging="360"/>
      </w:pPr>
      <w:rPr>
        <w:rFonts w:ascii="Symbol" w:eastAsia="Symbol" w:hAnsi="Symbol" w:cs="Symbol" w:hint="default"/>
        <w:b w:val="0"/>
        <w:bCs w:val="0"/>
        <w:i w:val="0"/>
        <w:iCs w:val="0"/>
        <w:spacing w:val="0"/>
        <w:w w:val="99"/>
        <w:sz w:val="22"/>
        <w:szCs w:val="22"/>
        <w:lang w:val="en-US" w:eastAsia="en-US" w:bidi="ar-SA"/>
      </w:rPr>
    </w:lvl>
    <w:lvl w:ilvl="2" w:tplc="57C6977C">
      <w:numFmt w:val="bullet"/>
      <w:lvlText w:val="o"/>
      <w:lvlJc w:val="left"/>
      <w:pPr>
        <w:ind w:left="1204" w:hanging="360"/>
      </w:pPr>
      <w:rPr>
        <w:rFonts w:ascii="Courier New" w:eastAsia="Courier New" w:hAnsi="Courier New" w:cs="Courier New" w:hint="default"/>
        <w:b w:val="0"/>
        <w:bCs w:val="0"/>
        <w:i w:val="0"/>
        <w:iCs w:val="0"/>
        <w:spacing w:val="0"/>
        <w:w w:val="99"/>
        <w:sz w:val="22"/>
        <w:szCs w:val="22"/>
        <w:lang w:val="en-US" w:eastAsia="en-US" w:bidi="ar-SA"/>
      </w:rPr>
    </w:lvl>
    <w:lvl w:ilvl="3" w:tplc="D4AA2E50">
      <w:numFmt w:val="bullet"/>
      <w:lvlText w:val="•"/>
      <w:lvlJc w:val="left"/>
      <w:pPr>
        <w:ind w:left="1909" w:hanging="360"/>
      </w:pPr>
      <w:rPr>
        <w:rFonts w:hint="default"/>
        <w:lang w:val="en-US" w:eastAsia="en-US" w:bidi="ar-SA"/>
      </w:rPr>
    </w:lvl>
    <w:lvl w:ilvl="4" w:tplc="41EE9998">
      <w:numFmt w:val="bullet"/>
      <w:lvlText w:val="•"/>
      <w:lvlJc w:val="left"/>
      <w:pPr>
        <w:ind w:left="2618" w:hanging="360"/>
      </w:pPr>
      <w:rPr>
        <w:rFonts w:hint="default"/>
        <w:lang w:val="en-US" w:eastAsia="en-US" w:bidi="ar-SA"/>
      </w:rPr>
    </w:lvl>
    <w:lvl w:ilvl="5" w:tplc="D368C1B4">
      <w:numFmt w:val="bullet"/>
      <w:lvlText w:val="•"/>
      <w:lvlJc w:val="left"/>
      <w:pPr>
        <w:ind w:left="3327" w:hanging="360"/>
      </w:pPr>
      <w:rPr>
        <w:rFonts w:hint="default"/>
        <w:lang w:val="en-US" w:eastAsia="en-US" w:bidi="ar-SA"/>
      </w:rPr>
    </w:lvl>
    <w:lvl w:ilvl="6" w:tplc="95321B1E">
      <w:numFmt w:val="bullet"/>
      <w:lvlText w:val="•"/>
      <w:lvlJc w:val="left"/>
      <w:pPr>
        <w:ind w:left="4036" w:hanging="360"/>
      </w:pPr>
      <w:rPr>
        <w:rFonts w:hint="default"/>
        <w:lang w:val="en-US" w:eastAsia="en-US" w:bidi="ar-SA"/>
      </w:rPr>
    </w:lvl>
    <w:lvl w:ilvl="7" w:tplc="D4DC7894">
      <w:numFmt w:val="bullet"/>
      <w:lvlText w:val="•"/>
      <w:lvlJc w:val="left"/>
      <w:pPr>
        <w:ind w:left="4745" w:hanging="360"/>
      </w:pPr>
      <w:rPr>
        <w:rFonts w:hint="default"/>
        <w:lang w:val="en-US" w:eastAsia="en-US" w:bidi="ar-SA"/>
      </w:rPr>
    </w:lvl>
    <w:lvl w:ilvl="8" w:tplc="3D02E046">
      <w:numFmt w:val="bullet"/>
      <w:lvlText w:val="•"/>
      <w:lvlJc w:val="left"/>
      <w:pPr>
        <w:ind w:left="5454" w:hanging="360"/>
      </w:pPr>
      <w:rPr>
        <w:rFonts w:hint="default"/>
        <w:lang w:val="en-US" w:eastAsia="en-US" w:bidi="ar-SA"/>
      </w:rPr>
    </w:lvl>
  </w:abstractNum>
  <w:abstractNum w:abstractNumId="144" w15:restartNumberingAfterBreak="0">
    <w:nsid w:val="51600687"/>
    <w:multiLevelType w:val="hybridMultilevel"/>
    <w:tmpl w:val="2434263A"/>
    <w:lvl w:ilvl="0" w:tplc="062E5202">
      <w:start w:val="1"/>
      <w:numFmt w:val="decimalZero"/>
      <w:lvlText w:val=".%1"/>
      <w:lvlJc w:val="left"/>
      <w:pPr>
        <w:ind w:left="1799" w:hanging="721"/>
        <w:jc w:val="left"/>
      </w:pPr>
      <w:rPr>
        <w:rFonts w:ascii="Arial" w:eastAsia="Arial" w:hAnsi="Arial" w:cs="Arial" w:hint="default"/>
        <w:b w:val="0"/>
        <w:bCs w:val="0"/>
        <w:i w:val="0"/>
        <w:iCs w:val="0"/>
        <w:spacing w:val="0"/>
        <w:w w:val="99"/>
        <w:sz w:val="22"/>
        <w:szCs w:val="22"/>
        <w:lang w:val="en-US" w:eastAsia="en-US" w:bidi="ar-SA"/>
      </w:rPr>
    </w:lvl>
    <w:lvl w:ilvl="1" w:tplc="77D4717E">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83E8D73C">
      <w:numFmt w:val="bullet"/>
      <w:lvlText w:val="•"/>
      <w:lvlJc w:val="left"/>
      <w:pPr>
        <w:ind w:left="3080" w:hanging="360"/>
      </w:pPr>
      <w:rPr>
        <w:rFonts w:hint="default"/>
        <w:lang w:val="en-US" w:eastAsia="en-US" w:bidi="ar-SA"/>
      </w:rPr>
    </w:lvl>
    <w:lvl w:ilvl="3" w:tplc="CE32F3C0">
      <w:numFmt w:val="bullet"/>
      <w:lvlText w:val="•"/>
      <w:lvlJc w:val="left"/>
      <w:pPr>
        <w:ind w:left="4000" w:hanging="360"/>
      </w:pPr>
      <w:rPr>
        <w:rFonts w:hint="default"/>
        <w:lang w:val="en-US" w:eastAsia="en-US" w:bidi="ar-SA"/>
      </w:rPr>
    </w:lvl>
    <w:lvl w:ilvl="4" w:tplc="A2869D5C">
      <w:numFmt w:val="bullet"/>
      <w:lvlText w:val="•"/>
      <w:lvlJc w:val="left"/>
      <w:pPr>
        <w:ind w:left="4920" w:hanging="360"/>
      </w:pPr>
      <w:rPr>
        <w:rFonts w:hint="default"/>
        <w:lang w:val="en-US" w:eastAsia="en-US" w:bidi="ar-SA"/>
      </w:rPr>
    </w:lvl>
    <w:lvl w:ilvl="5" w:tplc="7A9E84DC">
      <w:numFmt w:val="bullet"/>
      <w:lvlText w:val="•"/>
      <w:lvlJc w:val="left"/>
      <w:pPr>
        <w:ind w:left="5840" w:hanging="360"/>
      </w:pPr>
      <w:rPr>
        <w:rFonts w:hint="default"/>
        <w:lang w:val="en-US" w:eastAsia="en-US" w:bidi="ar-SA"/>
      </w:rPr>
    </w:lvl>
    <w:lvl w:ilvl="6" w:tplc="700AAE68">
      <w:numFmt w:val="bullet"/>
      <w:lvlText w:val="•"/>
      <w:lvlJc w:val="left"/>
      <w:pPr>
        <w:ind w:left="6760" w:hanging="360"/>
      </w:pPr>
      <w:rPr>
        <w:rFonts w:hint="default"/>
        <w:lang w:val="en-US" w:eastAsia="en-US" w:bidi="ar-SA"/>
      </w:rPr>
    </w:lvl>
    <w:lvl w:ilvl="7" w:tplc="79D8E612">
      <w:numFmt w:val="bullet"/>
      <w:lvlText w:val="•"/>
      <w:lvlJc w:val="left"/>
      <w:pPr>
        <w:ind w:left="7680" w:hanging="360"/>
      </w:pPr>
      <w:rPr>
        <w:rFonts w:hint="default"/>
        <w:lang w:val="en-US" w:eastAsia="en-US" w:bidi="ar-SA"/>
      </w:rPr>
    </w:lvl>
    <w:lvl w:ilvl="8" w:tplc="C344A5B6">
      <w:numFmt w:val="bullet"/>
      <w:lvlText w:val="•"/>
      <w:lvlJc w:val="left"/>
      <w:pPr>
        <w:ind w:left="8600" w:hanging="360"/>
      </w:pPr>
      <w:rPr>
        <w:rFonts w:hint="default"/>
        <w:lang w:val="en-US" w:eastAsia="en-US" w:bidi="ar-SA"/>
      </w:rPr>
    </w:lvl>
  </w:abstractNum>
  <w:abstractNum w:abstractNumId="145" w15:restartNumberingAfterBreak="0">
    <w:nsid w:val="522E6309"/>
    <w:multiLevelType w:val="hybridMultilevel"/>
    <w:tmpl w:val="2B4ED392"/>
    <w:lvl w:ilvl="0" w:tplc="27289EA2">
      <w:numFmt w:val="bullet"/>
      <w:lvlText w:val=""/>
      <w:lvlJc w:val="left"/>
      <w:pPr>
        <w:ind w:left="267" w:hanging="180"/>
      </w:pPr>
      <w:rPr>
        <w:rFonts w:ascii="Symbol" w:eastAsia="Symbol" w:hAnsi="Symbol" w:cs="Symbol" w:hint="default"/>
        <w:spacing w:val="0"/>
        <w:w w:val="100"/>
        <w:lang w:val="en-US" w:eastAsia="en-US" w:bidi="ar-SA"/>
      </w:rPr>
    </w:lvl>
    <w:lvl w:ilvl="1" w:tplc="4232FE5A">
      <w:numFmt w:val="bullet"/>
      <w:lvlText w:val="•"/>
      <w:lvlJc w:val="left"/>
      <w:pPr>
        <w:ind w:left="709" w:hanging="180"/>
      </w:pPr>
      <w:rPr>
        <w:rFonts w:hint="default"/>
        <w:lang w:val="en-US" w:eastAsia="en-US" w:bidi="ar-SA"/>
      </w:rPr>
    </w:lvl>
    <w:lvl w:ilvl="2" w:tplc="84FAF00A">
      <w:numFmt w:val="bullet"/>
      <w:lvlText w:val="•"/>
      <w:lvlJc w:val="left"/>
      <w:pPr>
        <w:ind w:left="1159" w:hanging="180"/>
      </w:pPr>
      <w:rPr>
        <w:rFonts w:hint="default"/>
        <w:lang w:val="en-US" w:eastAsia="en-US" w:bidi="ar-SA"/>
      </w:rPr>
    </w:lvl>
    <w:lvl w:ilvl="3" w:tplc="662894AA">
      <w:numFmt w:val="bullet"/>
      <w:lvlText w:val="•"/>
      <w:lvlJc w:val="left"/>
      <w:pPr>
        <w:ind w:left="1609" w:hanging="180"/>
      </w:pPr>
      <w:rPr>
        <w:rFonts w:hint="default"/>
        <w:lang w:val="en-US" w:eastAsia="en-US" w:bidi="ar-SA"/>
      </w:rPr>
    </w:lvl>
    <w:lvl w:ilvl="4" w:tplc="BF326178">
      <w:numFmt w:val="bullet"/>
      <w:lvlText w:val="•"/>
      <w:lvlJc w:val="left"/>
      <w:pPr>
        <w:ind w:left="2059" w:hanging="180"/>
      </w:pPr>
      <w:rPr>
        <w:rFonts w:hint="default"/>
        <w:lang w:val="en-US" w:eastAsia="en-US" w:bidi="ar-SA"/>
      </w:rPr>
    </w:lvl>
    <w:lvl w:ilvl="5" w:tplc="ABBCF368">
      <w:numFmt w:val="bullet"/>
      <w:lvlText w:val="•"/>
      <w:lvlJc w:val="left"/>
      <w:pPr>
        <w:ind w:left="2508" w:hanging="180"/>
      </w:pPr>
      <w:rPr>
        <w:rFonts w:hint="default"/>
        <w:lang w:val="en-US" w:eastAsia="en-US" w:bidi="ar-SA"/>
      </w:rPr>
    </w:lvl>
    <w:lvl w:ilvl="6" w:tplc="709C7154">
      <w:numFmt w:val="bullet"/>
      <w:lvlText w:val="•"/>
      <w:lvlJc w:val="left"/>
      <w:pPr>
        <w:ind w:left="2958" w:hanging="180"/>
      </w:pPr>
      <w:rPr>
        <w:rFonts w:hint="default"/>
        <w:lang w:val="en-US" w:eastAsia="en-US" w:bidi="ar-SA"/>
      </w:rPr>
    </w:lvl>
    <w:lvl w:ilvl="7" w:tplc="2782F842">
      <w:numFmt w:val="bullet"/>
      <w:lvlText w:val="•"/>
      <w:lvlJc w:val="left"/>
      <w:pPr>
        <w:ind w:left="3408" w:hanging="180"/>
      </w:pPr>
      <w:rPr>
        <w:rFonts w:hint="default"/>
        <w:lang w:val="en-US" w:eastAsia="en-US" w:bidi="ar-SA"/>
      </w:rPr>
    </w:lvl>
    <w:lvl w:ilvl="8" w:tplc="A0405CAE">
      <w:numFmt w:val="bullet"/>
      <w:lvlText w:val="•"/>
      <w:lvlJc w:val="left"/>
      <w:pPr>
        <w:ind w:left="3858" w:hanging="180"/>
      </w:pPr>
      <w:rPr>
        <w:rFonts w:hint="default"/>
        <w:lang w:val="en-US" w:eastAsia="en-US" w:bidi="ar-SA"/>
      </w:rPr>
    </w:lvl>
  </w:abstractNum>
  <w:abstractNum w:abstractNumId="146" w15:restartNumberingAfterBreak="0">
    <w:nsid w:val="526A7D53"/>
    <w:multiLevelType w:val="hybridMultilevel"/>
    <w:tmpl w:val="5656A726"/>
    <w:lvl w:ilvl="0" w:tplc="0326026A">
      <w:start w:val="1"/>
      <w:numFmt w:val="decimal"/>
      <w:lvlText w:val="%1)"/>
      <w:lvlJc w:val="left"/>
      <w:pPr>
        <w:ind w:left="812" w:hanging="504"/>
        <w:jc w:val="left"/>
      </w:pPr>
      <w:rPr>
        <w:rFonts w:ascii="Arial" w:eastAsia="Arial" w:hAnsi="Arial" w:cs="Arial" w:hint="default"/>
        <w:b w:val="0"/>
        <w:bCs w:val="0"/>
        <w:i w:val="0"/>
        <w:iCs w:val="0"/>
        <w:spacing w:val="0"/>
        <w:w w:val="99"/>
        <w:sz w:val="22"/>
        <w:szCs w:val="22"/>
        <w:lang w:val="en-US" w:eastAsia="en-US" w:bidi="ar-SA"/>
      </w:rPr>
    </w:lvl>
    <w:lvl w:ilvl="1" w:tplc="0EC4FAE8">
      <w:start w:val="1"/>
      <w:numFmt w:val="lowerLetter"/>
      <w:lvlText w:val="%2)"/>
      <w:lvlJc w:val="left"/>
      <w:pPr>
        <w:ind w:left="1244" w:hanging="397"/>
        <w:jc w:val="left"/>
      </w:pPr>
      <w:rPr>
        <w:rFonts w:ascii="Arial" w:eastAsia="Arial" w:hAnsi="Arial" w:cs="Arial" w:hint="default"/>
        <w:b w:val="0"/>
        <w:bCs w:val="0"/>
        <w:i w:val="0"/>
        <w:iCs w:val="0"/>
        <w:spacing w:val="0"/>
        <w:w w:val="99"/>
        <w:sz w:val="22"/>
        <w:szCs w:val="22"/>
        <w:lang w:val="en-US" w:eastAsia="en-US" w:bidi="ar-SA"/>
      </w:rPr>
    </w:lvl>
    <w:lvl w:ilvl="2" w:tplc="1F18297E">
      <w:numFmt w:val="bullet"/>
      <w:lvlText w:val="•"/>
      <w:lvlJc w:val="left"/>
      <w:pPr>
        <w:ind w:left="1843" w:hanging="397"/>
      </w:pPr>
      <w:rPr>
        <w:rFonts w:hint="default"/>
        <w:lang w:val="en-US" w:eastAsia="en-US" w:bidi="ar-SA"/>
      </w:rPr>
    </w:lvl>
    <w:lvl w:ilvl="3" w:tplc="412CBC72">
      <w:numFmt w:val="bullet"/>
      <w:lvlText w:val="•"/>
      <w:lvlJc w:val="left"/>
      <w:pPr>
        <w:ind w:left="2446" w:hanging="397"/>
      </w:pPr>
      <w:rPr>
        <w:rFonts w:hint="default"/>
        <w:lang w:val="en-US" w:eastAsia="en-US" w:bidi="ar-SA"/>
      </w:rPr>
    </w:lvl>
    <w:lvl w:ilvl="4" w:tplc="0B16CDA2">
      <w:numFmt w:val="bullet"/>
      <w:lvlText w:val="•"/>
      <w:lvlJc w:val="left"/>
      <w:pPr>
        <w:ind w:left="3049" w:hanging="397"/>
      </w:pPr>
      <w:rPr>
        <w:rFonts w:hint="default"/>
        <w:lang w:val="en-US" w:eastAsia="en-US" w:bidi="ar-SA"/>
      </w:rPr>
    </w:lvl>
    <w:lvl w:ilvl="5" w:tplc="5ED801B2">
      <w:numFmt w:val="bullet"/>
      <w:lvlText w:val="•"/>
      <w:lvlJc w:val="left"/>
      <w:pPr>
        <w:ind w:left="3652" w:hanging="397"/>
      </w:pPr>
      <w:rPr>
        <w:rFonts w:hint="default"/>
        <w:lang w:val="en-US" w:eastAsia="en-US" w:bidi="ar-SA"/>
      </w:rPr>
    </w:lvl>
    <w:lvl w:ilvl="6" w:tplc="73865D82">
      <w:numFmt w:val="bullet"/>
      <w:lvlText w:val="•"/>
      <w:lvlJc w:val="left"/>
      <w:pPr>
        <w:ind w:left="4255" w:hanging="397"/>
      </w:pPr>
      <w:rPr>
        <w:rFonts w:hint="default"/>
        <w:lang w:val="en-US" w:eastAsia="en-US" w:bidi="ar-SA"/>
      </w:rPr>
    </w:lvl>
    <w:lvl w:ilvl="7" w:tplc="B8E0E6AA">
      <w:numFmt w:val="bullet"/>
      <w:lvlText w:val="•"/>
      <w:lvlJc w:val="left"/>
      <w:pPr>
        <w:ind w:left="4859" w:hanging="397"/>
      </w:pPr>
      <w:rPr>
        <w:rFonts w:hint="default"/>
        <w:lang w:val="en-US" w:eastAsia="en-US" w:bidi="ar-SA"/>
      </w:rPr>
    </w:lvl>
    <w:lvl w:ilvl="8" w:tplc="86328FA0">
      <w:numFmt w:val="bullet"/>
      <w:lvlText w:val="•"/>
      <w:lvlJc w:val="left"/>
      <w:pPr>
        <w:ind w:left="5462" w:hanging="397"/>
      </w:pPr>
      <w:rPr>
        <w:rFonts w:hint="default"/>
        <w:lang w:val="en-US" w:eastAsia="en-US" w:bidi="ar-SA"/>
      </w:rPr>
    </w:lvl>
  </w:abstractNum>
  <w:abstractNum w:abstractNumId="147" w15:restartNumberingAfterBreak="0">
    <w:nsid w:val="53551AC8"/>
    <w:multiLevelType w:val="hybridMultilevel"/>
    <w:tmpl w:val="4F92F8C8"/>
    <w:lvl w:ilvl="0" w:tplc="91F8750E">
      <w:start w:val="1"/>
      <w:numFmt w:val="lowerLetter"/>
      <w:lvlText w:val="%1."/>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1" w:tplc="12EA1C4A">
      <w:numFmt w:val="bullet"/>
      <w:lvlText w:val="•"/>
      <w:lvlJc w:val="left"/>
      <w:pPr>
        <w:ind w:left="2988" w:hanging="360"/>
      </w:pPr>
      <w:rPr>
        <w:rFonts w:hint="default"/>
        <w:lang w:val="en-US" w:eastAsia="en-US" w:bidi="ar-SA"/>
      </w:rPr>
    </w:lvl>
    <w:lvl w:ilvl="2" w:tplc="CB1C9B4C">
      <w:numFmt w:val="bullet"/>
      <w:lvlText w:val="•"/>
      <w:lvlJc w:val="left"/>
      <w:pPr>
        <w:ind w:left="3816" w:hanging="360"/>
      </w:pPr>
      <w:rPr>
        <w:rFonts w:hint="default"/>
        <w:lang w:val="en-US" w:eastAsia="en-US" w:bidi="ar-SA"/>
      </w:rPr>
    </w:lvl>
    <w:lvl w:ilvl="3" w:tplc="32BE2150">
      <w:numFmt w:val="bullet"/>
      <w:lvlText w:val="•"/>
      <w:lvlJc w:val="left"/>
      <w:pPr>
        <w:ind w:left="4644" w:hanging="360"/>
      </w:pPr>
      <w:rPr>
        <w:rFonts w:hint="default"/>
        <w:lang w:val="en-US" w:eastAsia="en-US" w:bidi="ar-SA"/>
      </w:rPr>
    </w:lvl>
    <w:lvl w:ilvl="4" w:tplc="7004A45A">
      <w:numFmt w:val="bullet"/>
      <w:lvlText w:val="•"/>
      <w:lvlJc w:val="left"/>
      <w:pPr>
        <w:ind w:left="5472" w:hanging="360"/>
      </w:pPr>
      <w:rPr>
        <w:rFonts w:hint="default"/>
        <w:lang w:val="en-US" w:eastAsia="en-US" w:bidi="ar-SA"/>
      </w:rPr>
    </w:lvl>
    <w:lvl w:ilvl="5" w:tplc="AE626FAE">
      <w:numFmt w:val="bullet"/>
      <w:lvlText w:val="•"/>
      <w:lvlJc w:val="left"/>
      <w:pPr>
        <w:ind w:left="6300" w:hanging="360"/>
      </w:pPr>
      <w:rPr>
        <w:rFonts w:hint="default"/>
        <w:lang w:val="en-US" w:eastAsia="en-US" w:bidi="ar-SA"/>
      </w:rPr>
    </w:lvl>
    <w:lvl w:ilvl="6" w:tplc="CC66D918">
      <w:numFmt w:val="bullet"/>
      <w:lvlText w:val="•"/>
      <w:lvlJc w:val="left"/>
      <w:pPr>
        <w:ind w:left="7128" w:hanging="360"/>
      </w:pPr>
      <w:rPr>
        <w:rFonts w:hint="default"/>
        <w:lang w:val="en-US" w:eastAsia="en-US" w:bidi="ar-SA"/>
      </w:rPr>
    </w:lvl>
    <w:lvl w:ilvl="7" w:tplc="0AE0849C">
      <w:numFmt w:val="bullet"/>
      <w:lvlText w:val="•"/>
      <w:lvlJc w:val="left"/>
      <w:pPr>
        <w:ind w:left="7956" w:hanging="360"/>
      </w:pPr>
      <w:rPr>
        <w:rFonts w:hint="default"/>
        <w:lang w:val="en-US" w:eastAsia="en-US" w:bidi="ar-SA"/>
      </w:rPr>
    </w:lvl>
    <w:lvl w:ilvl="8" w:tplc="C616DB3E">
      <w:numFmt w:val="bullet"/>
      <w:lvlText w:val="•"/>
      <w:lvlJc w:val="left"/>
      <w:pPr>
        <w:ind w:left="8784" w:hanging="360"/>
      </w:pPr>
      <w:rPr>
        <w:rFonts w:hint="default"/>
        <w:lang w:val="en-US" w:eastAsia="en-US" w:bidi="ar-SA"/>
      </w:rPr>
    </w:lvl>
  </w:abstractNum>
  <w:abstractNum w:abstractNumId="148" w15:restartNumberingAfterBreak="0">
    <w:nsid w:val="53620B64"/>
    <w:multiLevelType w:val="hybridMultilevel"/>
    <w:tmpl w:val="77D82CD2"/>
    <w:lvl w:ilvl="0" w:tplc="F51E089A">
      <w:start w:val="1"/>
      <w:numFmt w:val="decimalZero"/>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4DA0495E">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014C3CB2">
      <w:numFmt w:val="bullet"/>
      <w:lvlText w:val="•"/>
      <w:lvlJc w:val="left"/>
      <w:pPr>
        <w:ind w:left="3080" w:hanging="360"/>
      </w:pPr>
      <w:rPr>
        <w:rFonts w:hint="default"/>
        <w:lang w:val="en-US" w:eastAsia="en-US" w:bidi="ar-SA"/>
      </w:rPr>
    </w:lvl>
    <w:lvl w:ilvl="3" w:tplc="CEC61BE4">
      <w:numFmt w:val="bullet"/>
      <w:lvlText w:val="•"/>
      <w:lvlJc w:val="left"/>
      <w:pPr>
        <w:ind w:left="4000" w:hanging="360"/>
      </w:pPr>
      <w:rPr>
        <w:rFonts w:hint="default"/>
        <w:lang w:val="en-US" w:eastAsia="en-US" w:bidi="ar-SA"/>
      </w:rPr>
    </w:lvl>
    <w:lvl w:ilvl="4" w:tplc="7D4C59FC">
      <w:numFmt w:val="bullet"/>
      <w:lvlText w:val="•"/>
      <w:lvlJc w:val="left"/>
      <w:pPr>
        <w:ind w:left="4920" w:hanging="360"/>
      </w:pPr>
      <w:rPr>
        <w:rFonts w:hint="default"/>
        <w:lang w:val="en-US" w:eastAsia="en-US" w:bidi="ar-SA"/>
      </w:rPr>
    </w:lvl>
    <w:lvl w:ilvl="5" w:tplc="7476629C">
      <w:numFmt w:val="bullet"/>
      <w:lvlText w:val="•"/>
      <w:lvlJc w:val="left"/>
      <w:pPr>
        <w:ind w:left="5840" w:hanging="360"/>
      </w:pPr>
      <w:rPr>
        <w:rFonts w:hint="default"/>
        <w:lang w:val="en-US" w:eastAsia="en-US" w:bidi="ar-SA"/>
      </w:rPr>
    </w:lvl>
    <w:lvl w:ilvl="6" w:tplc="761EF18E">
      <w:numFmt w:val="bullet"/>
      <w:lvlText w:val="•"/>
      <w:lvlJc w:val="left"/>
      <w:pPr>
        <w:ind w:left="6760" w:hanging="360"/>
      </w:pPr>
      <w:rPr>
        <w:rFonts w:hint="default"/>
        <w:lang w:val="en-US" w:eastAsia="en-US" w:bidi="ar-SA"/>
      </w:rPr>
    </w:lvl>
    <w:lvl w:ilvl="7" w:tplc="781A2144">
      <w:numFmt w:val="bullet"/>
      <w:lvlText w:val="•"/>
      <w:lvlJc w:val="left"/>
      <w:pPr>
        <w:ind w:left="7680" w:hanging="360"/>
      </w:pPr>
      <w:rPr>
        <w:rFonts w:hint="default"/>
        <w:lang w:val="en-US" w:eastAsia="en-US" w:bidi="ar-SA"/>
      </w:rPr>
    </w:lvl>
    <w:lvl w:ilvl="8" w:tplc="739807C8">
      <w:numFmt w:val="bullet"/>
      <w:lvlText w:val="•"/>
      <w:lvlJc w:val="left"/>
      <w:pPr>
        <w:ind w:left="8600" w:hanging="360"/>
      </w:pPr>
      <w:rPr>
        <w:rFonts w:hint="default"/>
        <w:lang w:val="en-US" w:eastAsia="en-US" w:bidi="ar-SA"/>
      </w:rPr>
    </w:lvl>
  </w:abstractNum>
  <w:abstractNum w:abstractNumId="149" w15:restartNumberingAfterBreak="0">
    <w:nsid w:val="53EC5767"/>
    <w:multiLevelType w:val="hybridMultilevel"/>
    <w:tmpl w:val="A22625FE"/>
    <w:lvl w:ilvl="0" w:tplc="E3885CA4">
      <w:numFmt w:val="bullet"/>
      <w:lvlText w:val=""/>
      <w:lvlJc w:val="left"/>
      <w:pPr>
        <w:ind w:left="272" w:hanging="186"/>
      </w:pPr>
      <w:rPr>
        <w:rFonts w:ascii="Symbol" w:eastAsia="Symbol" w:hAnsi="Symbol" w:cs="Symbol" w:hint="default"/>
        <w:b w:val="0"/>
        <w:bCs w:val="0"/>
        <w:i w:val="0"/>
        <w:iCs w:val="0"/>
        <w:spacing w:val="0"/>
        <w:w w:val="100"/>
        <w:sz w:val="18"/>
        <w:szCs w:val="18"/>
        <w:lang w:val="en-US" w:eastAsia="en-US" w:bidi="ar-SA"/>
      </w:rPr>
    </w:lvl>
    <w:lvl w:ilvl="1" w:tplc="717E4868">
      <w:numFmt w:val="bullet"/>
      <w:lvlText w:val="•"/>
      <w:lvlJc w:val="left"/>
      <w:pPr>
        <w:ind w:left="727" w:hanging="186"/>
      </w:pPr>
      <w:rPr>
        <w:rFonts w:hint="default"/>
        <w:lang w:val="en-US" w:eastAsia="en-US" w:bidi="ar-SA"/>
      </w:rPr>
    </w:lvl>
    <w:lvl w:ilvl="2" w:tplc="2168E692">
      <w:numFmt w:val="bullet"/>
      <w:lvlText w:val="•"/>
      <w:lvlJc w:val="left"/>
      <w:pPr>
        <w:ind w:left="1175" w:hanging="186"/>
      </w:pPr>
      <w:rPr>
        <w:rFonts w:hint="default"/>
        <w:lang w:val="en-US" w:eastAsia="en-US" w:bidi="ar-SA"/>
      </w:rPr>
    </w:lvl>
    <w:lvl w:ilvl="3" w:tplc="0A6C4E78">
      <w:numFmt w:val="bullet"/>
      <w:lvlText w:val="•"/>
      <w:lvlJc w:val="left"/>
      <w:pPr>
        <w:ind w:left="1623" w:hanging="186"/>
      </w:pPr>
      <w:rPr>
        <w:rFonts w:hint="default"/>
        <w:lang w:val="en-US" w:eastAsia="en-US" w:bidi="ar-SA"/>
      </w:rPr>
    </w:lvl>
    <w:lvl w:ilvl="4" w:tplc="BE22B092">
      <w:numFmt w:val="bullet"/>
      <w:lvlText w:val="•"/>
      <w:lvlJc w:val="left"/>
      <w:pPr>
        <w:ind w:left="2071" w:hanging="186"/>
      </w:pPr>
      <w:rPr>
        <w:rFonts w:hint="default"/>
        <w:lang w:val="en-US" w:eastAsia="en-US" w:bidi="ar-SA"/>
      </w:rPr>
    </w:lvl>
    <w:lvl w:ilvl="5" w:tplc="74DC867C">
      <w:numFmt w:val="bullet"/>
      <w:lvlText w:val="•"/>
      <w:lvlJc w:val="left"/>
      <w:pPr>
        <w:ind w:left="2518" w:hanging="186"/>
      </w:pPr>
      <w:rPr>
        <w:rFonts w:hint="default"/>
        <w:lang w:val="en-US" w:eastAsia="en-US" w:bidi="ar-SA"/>
      </w:rPr>
    </w:lvl>
    <w:lvl w:ilvl="6" w:tplc="C0727AC8">
      <w:numFmt w:val="bullet"/>
      <w:lvlText w:val="•"/>
      <w:lvlJc w:val="left"/>
      <w:pPr>
        <w:ind w:left="2966" w:hanging="186"/>
      </w:pPr>
      <w:rPr>
        <w:rFonts w:hint="default"/>
        <w:lang w:val="en-US" w:eastAsia="en-US" w:bidi="ar-SA"/>
      </w:rPr>
    </w:lvl>
    <w:lvl w:ilvl="7" w:tplc="BE4014E2">
      <w:numFmt w:val="bullet"/>
      <w:lvlText w:val="•"/>
      <w:lvlJc w:val="left"/>
      <w:pPr>
        <w:ind w:left="3414" w:hanging="186"/>
      </w:pPr>
      <w:rPr>
        <w:rFonts w:hint="default"/>
        <w:lang w:val="en-US" w:eastAsia="en-US" w:bidi="ar-SA"/>
      </w:rPr>
    </w:lvl>
    <w:lvl w:ilvl="8" w:tplc="8E409CC0">
      <w:numFmt w:val="bullet"/>
      <w:lvlText w:val="•"/>
      <w:lvlJc w:val="left"/>
      <w:pPr>
        <w:ind w:left="3862" w:hanging="186"/>
      </w:pPr>
      <w:rPr>
        <w:rFonts w:hint="default"/>
        <w:lang w:val="en-US" w:eastAsia="en-US" w:bidi="ar-SA"/>
      </w:rPr>
    </w:lvl>
  </w:abstractNum>
  <w:abstractNum w:abstractNumId="150" w15:restartNumberingAfterBreak="0">
    <w:nsid w:val="54B328CD"/>
    <w:multiLevelType w:val="hybridMultilevel"/>
    <w:tmpl w:val="034CB4DC"/>
    <w:lvl w:ilvl="0" w:tplc="09544F06">
      <w:numFmt w:val="bullet"/>
      <w:lvlText w:val=""/>
      <w:lvlJc w:val="left"/>
      <w:pPr>
        <w:ind w:left="2159" w:hanging="360"/>
      </w:pPr>
      <w:rPr>
        <w:rFonts w:ascii="Symbol" w:eastAsia="Symbol" w:hAnsi="Symbol" w:cs="Symbol" w:hint="default"/>
        <w:b w:val="0"/>
        <w:bCs w:val="0"/>
        <w:i w:val="0"/>
        <w:iCs w:val="0"/>
        <w:spacing w:val="0"/>
        <w:w w:val="99"/>
        <w:sz w:val="22"/>
        <w:szCs w:val="22"/>
        <w:lang w:val="en-US" w:eastAsia="en-US" w:bidi="ar-SA"/>
      </w:rPr>
    </w:lvl>
    <w:lvl w:ilvl="1" w:tplc="23CEE9B8">
      <w:numFmt w:val="bullet"/>
      <w:lvlText w:val="•"/>
      <w:lvlJc w:val="left"/>
      <w:pPr>
        <w:ind w:left="2988" w:hanging="360"/>
      </w:pPr>
      <w:rPr>
        <w:rFonts w:hint="default"/>
        <w:lang w:val="en-US" w:eastAsia="en-US" w:bidi="ar-SA"/>
      </w:rPr>
    </w:lvl>
    <w:lvl w:ilvl="2" w:tplc="BC8A84AC">
      <w:numFmt w:val="bullet"/>
      <w:lvlText w:val="•"/>
      <w:lvlJc w:val="left"/>
      <w:pPr>
        <w:ind w:left="3816" w:hanging="360"/>
      </w:pPr>
      <w:rPr>
        <w:rFonts w:hint="default"/>
        <w:lang w:val="en-US" w:eastAsia="en-US" w:bidi="ar-SA"/>
      </w:rPr>
    </w:lvl>
    <w:lvl w:ilvl="3" w:tplc="1CBCB988">
      <w:numFmt w:val="bullet"/>
      <w:lvlText w:val="•"/>
      <w:lvlJc w:val="left"/>
      <w:pPr>
        <w:ind w:left="4644" w:hanging="360"/>
      </w:pPr>
      <w:rPr>
        <w:rFonts w:hint="default"/>
        <w:lang w:val="en-US" w:eastAsia="en-US" w:bidi="ar-SA"/>
      </w:rPr>
    </w:lvl>
    <w:lvl w:ilvl="4" w:tplc="261C6660">
      <w:numFmt w:val="bullet"/>
      <w:lvlText w:val="•"/>
      <w:lvlJc w:val="left"/>
      <w:pPr>
        <w:ind w:left="5472" w:hanging="360"/>
      </w:pPr>
      <w:rPr>
        <w:rFonts w:hint="default"/>
        <w:lang w:val="en-US" w:eastAsia="en-US" w:bidi="ar-SA"/>
      </w:rPr>
    </w:lvl>
    <w:lvl w:ilvl="5" w:tplc="F10A8EF4">
      <w:numFmt w:val="bullet"/>
      <w:lvlText w:val="•"/>
      <w:lvlJc w:val="left"/>
      <w:pPr>
        <w:ind w:left="6300" w:hanging="360"/>
      </w:pPr>
      <w:rPr>
        <w:rFonts w:hint="default"/>
        <w:lang w:val="en-US" w:eastAsia="en-US" w:bidi="ar-SA"/>
      </w:rPr>
    </w:lvl>
    <w:lvl w:ilvl="6" w:tplc="B02C3EA8">
      <w:numFmt w:val="bullet"/>
      <w:lvlText w:val="•"/>
      <w:lvlJc w:val="left"/>
      <w:pPr>
        <w:ind w:left="7128" w:hanging="360"/>
      </w:pPr>
      <w:rPr>
        <w:rFonts w:hint="default"/>
        <w:lang w:val="en-US" w:eastAsia="en-US" w:bidi="ar-SA"/>
      </w:rPr>
    </w:lvl>
    <w:lvl w:ilvl="7" w:tplc="3AF42108">
      <w:numFmt w:val="bullet"/>
      <w:lvlText w:val="•"/>
      <w:lvlJc w:val="left"/>
      <w:pPr>
        <w:ind w:left="7956" w:hanging="360"/>
      </w:pPr>
      <w:rPr>
        <w:rFonts w:hint="default"/>
        <w:lang w:val="en-US" w:eastAsia="en-US" w:bidi="ar-SA"/>
      </w:rPr>
    </w:lvl>
    <w:lvl w:ilvl="8" w:tplc="96EC851E">
      <w:numFmt w:val="bullet"/>
      <w:lvlText w:val="•"/>
      <w:lvlJc w:val="left"/>
      <w:pPr>
        <w:ind w:left="8784" w:hanging="360"/>
      </w:pPr>
      <w:rPr>
        <w:rFonts w:hint="default"/>
        <w:lang w:val="en-US" w:eastAsia="en-US" w:bidi="ar-SA"/>
      </w:rPr>
    </w:lvl>
  </w:abstractNum>
  <w:abstractNum w:abstractNumId="151" w15:restartNumberingAfterBreak="0">
    <w:nsid w:val="54D53FDF"/>
    <w:multiLevelType w:val="hybridMultilevel"/>
    <w:tmpl w:val="1F7E8392"/>
    <w:lvl w:ilvl="0" w:tplc="EACC2D12">
      <w:start w:val="7"/>
      <w:numFmt w:val="decimal"/>
      <w:lvlText w:val="%1)"/>
      <w:lvlJc w:val="left"/>
      <w:pPr>
        <w:ind w:left="758" w:hanging="361"/>
        <w:jc w:val="left"/>
      </w:pPr>
      <w:rPr>
        <w:rFonts w:ascii="Arial" w:eastAsia="Arial" w:hAnsi="Arial" w:cs="Arial" w:hint="default"/>
        <w:b w:val="0"/>
        <w:bCs w:val="0"/>
        <w:i w:val="0"/>
        <w:iCs w:val="0"/>
        <w:spacing w:val="0"/>
        <w:w w:val="99"/>
        <w:sz w:val="22"/>
        <w:szCs w:val="22"/>
        <w:lang w:val="en-US" w:eastAsia="en-US" w:bidi="ar-SA"/>
      </w:rPr>
    </w:lvl>
    <w:lvl w:ilvl="1" w:tplc="98CEB8EA">
      <w:numFmt w:val="bullet"/>
      <w:lvlText w:val=""/>
      <w:lvlJc w:val="left"/>
      <w:pPr>
        <w:ind w:left="1209" w:hanging="360"/>
      </w:pPr>
      <w:rPr>
        <w:rFonts w:ascii="Symbol" w:eastAsia="Symbol" w:hAnsi="Symbol" w:cs="Symbol" w:hint="default"/>
        <w:b w:val="0"/>
        <w:bCs w:val="0"/>
        <w:i w:val="0"/>
        <w:iCs w:val="0"/>
        <w:spacing w:val="0"/>
        <w:w w:val="99"/>
        <w:sz w:val="22"/>
        <w:szCs w:val="22"/>
        <w:lang w:val="en-US" w:eastAsia="en-US" w:bidi="ar-SA"/>
      </w:rPr>
    </w:lvl>
    <w:lvl w:ilvl="2" w:tplc="7F50A9F6">
      <w:numFmt w:val="bullet"/>
      <w:lvlText w:val="•"/>
      <w:lvlJc w:val="left"/>
      <w:pPr>
        <w:ind w:left="1807" w:hanging="360"/>
      </w:pPr>
      <w:rPr>
        <w:rFonts w:hint="default"/>
        <w:lang w:val="en-US" w:eastAsia="en-US" w:bidi="ar-SA"/>
      </w:rPr>
    </w:lvl>
    <w:lvl w:ilvl="3" w:tplc="F104BC78">
      <w:numFmt w:val="bullet"/>
      <w:lvlText w:val="•"/>
      <w:lvlJc w:val="left"/>
      <w:pPr>
        <w:ind w:left="2415" w:hanging="360"/>
      </w:pPr>
      <w:rPr>
        <w:rFonts w:hint="default"/>
        <w:lang w:val="en-US" w:eastAsia="en-US" w:bidi="ar-SA"/>
      </w:rPr>
    </w:lvl>
    <w:lvl w:ilvl="4" w:tplc="BEB493F6">
      <w:numFmt w:val="bullet"/>
      <w:lvlText w:val="•"/>
      <w:lvlJc w:val="left"/>
      <w:pPr>
        <w:ind w:left="3022" w:hanging="360"/>
      </w:pPr>
      <w:rPr>
        <w:rFonts w:hint="default"/>
        <w:lang w:val="en-US" w:eastAsia="en-US" w:bidi="ar-SA"/>
      </w:rPr>
    </w:lvl>
    <w:lvl w:ilvl="5" w:tplc="EC0E53DC">
      <w:numFmt w:val="bullet"/>
      <w:lvlText w:val="•"/>
      <w:lvlJc w:val="left"/>
      <w:pPr>
        <w:ind w:left="3630" w:hanging="360"/>
      </w:pPr>
      <w:rPr>
        <w:rFonts w:hint="default"/>
        <w:lang w:val="en-US" w:eastAsia="en-US" w:bidi="ar-SA"/>
      </w:rPr>
    </w:lvl>
    <w:lvl w:ilvl="6" w:tplc="7A021D82">
      <w:numFmt w:val="bullet"/>
      <w:lvlText w:val="•"/>
      <w:lvlJc w:val="left"/>
      <w:pPr>
        <w:ind w:left="4238" w:hanging="360"/>
      </w:pPr>
      <w:rPr>
        <w:rFonts w:hint="default"/>
        <w:lang w:val="en-US" w:eastAsia="en-US" w:bidi="ar-SA"/>
      </w:rPr>
    </w:lvl>
    <w:lvl w:ilvl="7" w:tplc="69960E62">
      <w:numFmt w:val="bullet"/>
      <w:lvlText w:val="•"/>
      <w:lvlJc w:val="left"/>
      <w:pPr>
        <w:ind w:left="4845" w:hanging="360"/>
      </w:pPr>
      <w:rPr>
        <w:rFonts w:hint="default"/>
        <w:lang w:val="en-US" w:eastAsia="en-US" w:bidi="ar-SA"/>
      </w:rPr>
    </w:lvl>
    <w:lvl w:ilvl="8" w:tplc="4B76453C">
      <w:numFmt w:val="bullet"/>
      <w:lvlText w:val="•"/>
      <w:lvlJc w:val="left"/>
      <w:pPr>
        <w:ind w:left="5453" w:hanging="360"/>
      </w:pPr>
      <w:rPr>
        <w:rFonts w:hint="default"/>
        <w:lang w:val="en-US" w:eastAsia="en-US" w:bidi="ar-SA"/>
      </w:rPr>
    </w:lvl>
  </w:abstractNum>
  <w:abstractNum w:abstractNumId="152" w15:restartNumberingAfterBreak="0">
    <w:nsid w:val="5527726A"/>
    <w:multiLevelType w:val="hybridMultilevel"/>
    <w:tmpl w:val="468A7740"/>
    <w:lvl w:ilvl="0" w:tplc="6F40492E">
      <w:start w:val="10"/>
      <w:numFmt w:val="decimal"/>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FE8E1E36">
      <w:start w:val="1"/>
      <w:numFmt w:val="lowerLetter"/>
      <w:lvlText w:val="%2."/>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2" w:tplc="7192533E">
      <w:numFmt w:val="bullet"/>
      <w:lvlText w:val="•"/>
      <w:lvlJc w:val="left"/>
      <w:pPr>
        <w:ind w:left="3080" w:hanging="360"/>
      </w:pPr>
      <w:rPr>
        <w:rFonts w:hint="default"/>
        <w:lang w:val="en-US" w:eastAsia="en-US" w:bidi="ar-SA"/>
      </w:rPr>
    </w:lvl>
    <w:lvl w:ilvl="3" w:tplc="E8B2B0E0">
      <w:numFmt w:val="bullet"/>
      <w:lvlText w:val="•"/>
      <w:lvlJc w:val="left"/>
      <w:pPr>
        <w:ind w:left="4000" w:hanging="360"/>
      </w:pPr>
      <w:rPr>
        <w:rFonts w:hint="default"/>
        <w:lang w:val="en-US" w:eastAsia="en-US" w:bidi="ar-SA"/>
      </w:rPr>
    </w:lvl>
    <w:lvl w:ilvl="4" w:tplc="2CECD5A8">
      <w:numFmt w:val="bullet"/>
      <w:lvlText w:val="•"/>
      <w:lvlJc w:val="left"/>
      <w:pPr>
        <w:ind w:left="4920" w:hanging="360"/>
      </w:pPr>
      <w:rPr>
        <w:rFonts w:hint="default"/>
        <w:lang w:val="en-US" w:eastAsia="en-US" w:bidi="ar-SA"/>
      </w:rPr>
    </w:lvl>
    <w:lvl w:ilvl="5" w:tplc="431025BA">
      <w:numFmt w:val="bullet"/>
      <w:lvlText w:val="•"/>
      <w:lvlJc w:val="left"/>
      <w:pPr>
        <w:ind w:left="5840" w:hanging="360"/>
      </w:pPr>
      <w:rPr>
        <w:rFonts w:hint="default"/>
        <w:lang w:val="en-US" w:eastAsia="en-US" w:bidi="ar-SA"/>
      </w:rPr>
    </w:lvl>
    <w:lvl w:ilvl="6" w:tplc="AB0C54F0">
      <w:numFmt w:val="bullet"/>
      <w:lvlText w:val="•"/>
      <w:lvlJc w:val="left"/>
      <w:pPr>
        <w:ind w:left="6760" w:hanging="360"/>
      </w:pPr>
      <w:rPr>
        <w:rFonts w:hint="default"/>
        <w:lang w:val="en-US" w:eastAsia="en-US" w:bidi="ar-SA"/>
      </w:rPr>
    </w:lvl>
    <w:lvl w:ilvl="7" w:tplc="DEFAC622">
      <w:numFmt w:val="bullet"/>
      <w:lvlText w:val="•"/>
      <w:lvlJc w:val="left"/>
      <w:pPr>
        <w:ind w:left="7680" w:hanging="360"/>
      </w:pPr>
      <w:rPr>
        <w:rFonts w:hint="default"/>
        <w:lang w:val="en-US" w:eastAsia="en-US" w:bidi="ar-SA"/>
      </w:rPr>
    </w:lvl>
    <w:lvl w:ilvl="8" w:tplc="B17A166C">
      <w:numFmt w:val="bullet"/>
      <w:lvlText w:val="•"/>
      <w:lvlJc w:val="left"/>
      <w:pPr>
        <w:ind w:left="8600" w:hanging="360"/>
      </w:pPr>
      <w:rPr>
        <w:rFonts w:hint="default"/>
        <w:lang w:val="en-US" w:eastAsia="en-US" w:bidi="ar-SA"/>
      </w:rPr>
    </w:lvl>
  </w:abstractNum>
  <w:abstractNum w:abstractNumId="153" w15:restartNumberingAfterBreak="0">
    <w:nsid w:val="55C37188"/>
    <w:multiLevelType w:val="hybridMultilevel"/>
    <w:tmpl w:val="602E3624"/>
    <w:lvl w:ilvl="0" w:tplc="8A763326">
      <w:start w:val="10"/>
      <w:numFmt w:val="decimal"/>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BAC0E650">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1096C430">
      <w:numFmt w:val="bullet"/>
      <w:lvlText w:val=""/>
      <w:lvlJc w:val="left"/>
      <w:pPr>
        <w:ind w:left="2520" w:hanging="360"/>
      </w:pPr>
      <w:rPr>
        <w:rFonts w:ascii="Symbol" w:eastAsia="Symbol" w:hAnsi="Symbol" w:cs="Symbol" w:hint="default"/>
        <w:b w:val="0"/>
        <w:bCs w:val="0"/>
        <w:i w:val="0"/>
        <w:iCs w:val="0"/>
        <w:spacing w:val="0"/>
        <w:w w:val="99"/>
        <w:sz w:val="22"/>
        <w:szCs w:val="22"/>
        <w:lang w:val="en-US" w:eastAsia="en-US" w:bidi="ar-SA"/>
      </w:rPr>
    </w:lvl>
    <w:lvl w:ilvl="3" w:tplc="21C00E80">
      <w:numFmt w:val="bullet"/>
      <w:lvlText w:val="•"/>
      <w:lvlJc w:val="left"/>
      <w:pPr>
        <w:ind w:left="3510" w:hanging="360"/>
      </w:pPr>
      <w:rPr>
        <w:rFonts w:hint="default"/>
        <w:lang w:val="en-US" w:eastAsia="en-US" w:bidi="ar-SA"/>
      </w:rPr>
    </w:lvl>
    <w:lvl w:ilvl="4" w:tplc="BDE6AC42">
      <w:numFmt w:val="bullet"/>
      <w:lvlText w:val="•"/>
      <w:lvlJc w:val="left"/>
      <w:pPr>
        <w:ind w:left="4500" w:hanging="360"/>
      </w:pPr>
      <w:rPr>
        <w:rFonts w:hint="default"/>
        <w:lang w:val="en-US" w:eastAsia="en-US" w:bidi="ar-SA"/>
      </w:rPr>
    </w:lvl>
    <w:lvl w:ilvl="5" w:tplc="FCC226D6">
      <w:numFmt w:val="bullet"/>
      <w:lvlText w:val="•"/>
      <w:lvlJc w:val="left"/>
      <w:pPr>
        <w:ind w:left="5490" w:hanging="360"/>
      </w:pPr>
      <w:rPr>
        <w:rFonts w:hint="default"/>
        <w:lang w:val="en-US" w:eastAsia="en-US" w:bidi="ar-SA"/>
      </w:rPr>
    </w:lvl>
    <w:lvl w:ilvl="6" w:tplc="6C9ACB9A">
      <w:numFmt w:val="bullet"/>
      <w:lvlText w:val="•"/>
      <w:lvlJc w:val="left"/>
      <w:pPr>
        <w:ind w:left="6480" w:hanging="360"/>
      </w:pPr>
      <w:rPr>
        <w:rFonts w:hint="default"/>
        <w:lang w:val="en-US" w:eastAsia="en-US" w:bidi="ar-SA"/>
      </w:rPr>
    </w:lvl>
    <w:lvl w:ilvl="7" w:tplc="85569CA2">
      <w:numFmt w:val="bullet"/>
      <w:lvlText w:val="•"/>
      <w:lvlJc w:val="left"/>
      <w:pPr>
        <w:ind w:left="7470" w:hanging="360"/>
      </w:pPr>
      <w:rPr>
        <w:rFonts w:hint="default"/>
        <w:lang w:val="en-US" w:eastAsia="en-US" w:bidi="ar-SA"/>
      </w:rPr>
    </w:lvl>
    <w:lvl w:ilvl="8" w:tplc="7F08B7B4">
      <w:numFmt w:val="bullet"/>
      <w:lvlText w:val="•"/>
      <w:lvlJc w:val="left"/>
      <w:pPr>
        <w:ind w:left="8460" w:hanging="360"/>
      </w:pPr>
      <w:rPr>
        <w:rFonts w:hint="default"/>
        <w:lang w:val="en-US" w:eastAsia="en-US" w:bidi="ar-SA"/>
      </w:rPr>
    </w:lvl>
  </w:abstractNum>
  <w:abstractNum w:abstractNumId="154" w15:restartNumberingAfterBreak="0">
    <w:nsid w:val="56AB137A"/>
    <w:multiLevelType w:val="hybridMultilevel"/>
    <w:tmpl w:val="B7967682"/>
    <w:lvl w:ilvl="0" w:tplc="BE6270D0">
      <w:start w:val="1"/>
      <w:numFmt w:val="decimalZero"/>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7734A14A">
      <w:start w:val="1"/>
      <w:numFmt w:val="lowerLetter"/>
      <w:lvlText w:val="%2."/>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2" w:tplc="FF86596C">
      <w:numFmt w:val="bullet"/>
      <w:lvlText w:val="•"/>
      <w:lvlJc w:val="left"/>
      <w:pPr>
        <w:ind w:left="3080" w:hanging="360"/>
      </w:pPr>
      <w:rPr>
        <w:rFonts w:hint="default"/>
        <w:lang w:val="en-US" w:eastAsia="en-US" w:bidi="ar-SA"/>
      </w:rPr>
    </w:lvl>
    <w:lvl w:ilvl="3" w:tplc="F9469686">
      <w:numFmt w:val="bullet"/>
      <w:lvlText w:val="•"/>
      <w:lvlJc w:val="left"/>
      <w:pPr>
        <w:ind w:left="4000" w:hanging="360"/>
      </w:pPr>
      <w:rPr>
        <w:rFonts w:hint="default"/>
        <w:lang w:val="en-US" w:eastAsia="en-US" w:bidi="ar-SA"/>
      </w:rPr>
    </w:lvl>
    <w:lvl w:ilvl="4" w:tplc="170C925E">
      <w:numFmt w:val="bullet"/>
      <w:lvlText w:val="•"/>
      <w:lvlJc w:val="left"/>
      <w:pPr>
        <w:ind w:left="4920" w:hanging="360"/>
      </w:pPr>
      <w:rPr>
        <w:rFonts w:hint="default"/>
        <w:lang w:val="en-US" w:eastAsia="en-US" w:bidi="ar-SA"/>
      </w:rPr>
    </w:lvl>
    <w:lvl w:ilvl="5" w:tplc="C1C41C16">
      <w:numFmt w:val="bullet"/>
      <w:lvlText w:val="•"/>
      <w:lvlJc w:val="left"/>
      <w:pPr>
        <w:ind w:left="5840" w:hanging="360"/>
      </w:pPr>
      <w:rPr>
        <w:rFonts w:hint="default"/>
        <w:lang w:val="en-US" w:eastAsia="en-US" w:bidi="ar-SA"/>
      </w:rPr>
    </w:lvl>
    <w:lvl w:ilvl="6" w:tplc="EE32A2A4">
      <w:numFmt w:val="bullet"/>
      <w:lvlText w:val="•"/>
      <w:lvlJc w:val="left"/>
      <w:pPr>
        <w:ind w:left="6760" w:hanging="360"/>
      </w:pPr>
      <w:rPr>
        <w:rFonts w:hint="default"/>
        <w:lang w:val="en-US" w:eastAsia="en-US" w:bidi="ar-SA"/>
      </w:rPr>
    </w:lvl>
    <w:lvl w:ilvl="7" w:tplc="1F72CD4C">
      <w:numFmt w:val="bullet"/>
      <w:lvlText w:val="•"/>
      <w:lvlJc w:val="left"/>
      <w:pPr>
        <w:ind w:left="7680" w:hanging="360"/>
      </w:pPr>
      <w:rPr>
        <w:rFonts w:hint="default"/>
        <w:lang w:val="en-US" w:eastAsia="en-US" w:bidi="ar-SA"/>
      </w:rPr>
    </w:lvl>
    <w:lvl w:ilvl="8" w:tplc="5E1A6392">
      <w:numFmt w:val="bullet"/>
      <w:lvlText w:val="•"/>
      <w:lvlJc w:val="left"/>
      <w:pPr>
        <w:ind w:left="8600" w:hanging="360"/>
      </w:pPr>
      <w:rPr>
        <w:rFonts w:hint="default"/>
        <w:lang w:val="en-US" w:eastAsia="en-US" w:bidi="ar-SA"/>
      </w:rPr>
    </w:lvl>
  </w:abstractNum>
  <w:abstractNum w:abstractNumId="155" w15:restartNumberingAfterBreak="0">
    <w:nsid w:val="56F95694"/>
    <w:multiLevelType w:val="hybridMultilevel"/>
    <w:tmpl w:val="5F1E8DFA"/>
    <w:lvl w:ilvl="0" w:tplc="5CA48186">
      <w:numFmt w:val="bullet"/>
      <w:lvlText w:val=""/>
      <w:lvlJc w:val="left"/>
      <w:pPr>
        <w:ind w:left="328" w:hanging="180"/>
      </w:pPr>
      <w:rPr>
        <w:rFonts w:ascii="Symbol" w:eastAsia="Symbol" w:hAnsi="Symbol" w:cs="Symbol" w:hint="default"/>
        <w:b w:val="0"/>
        <w:bCs w:val="0"/>
        <w:i w:val="0"/>
        <w:iCs w:val="0"/>
        <w:spacing w:val="0"/>
        <w:w w:val="100"/>
        <w:sz w:val="18"/>
        <w:szCs w:val="18"/>
        <w:lang w:val="en-US" w:eastAsia="en-US" w:bidi="ar-SA"/>
      </w:rPr>
    </w:lvl>
    <w:lvl w:ilvl="1" w:tplc="959E7BC0">
      <w:numFmt w:val="bullet"/>
      <w:lvlText w:val="•"/>
      <w:lvlJc w:val="left"/>
      <w:pPr>
        <w:ind w:left="763" w:hanging="180"/>
      </w:pPr>
      <w:rPr>
        <w:rFonts w:hint="default"/>
        <w:lang w:val="en-US" w:eastAsia="en-US" w:bidi="ar-SA"/>
      </w:rPr>
    </w:lvl>
    <w:lvl w:ilvl="2" w:tplc="DDA45F9C">
      <w:numFmt w:val="bullet"/>
      <w:lvlText w:val="•"/>
      <w:lvlJc w:val="left"/>
      <w:pPr>
        <w:ind w:left="1207" w:hanging="180"/>
      </w:pPr>
      <w:rPr>
        <w:rFonts w:hint="default"/>
        <w:lang w:val="en-US" w:eastAsia="en-US" w:bidi="ar-SA"/>
      </w:rPr>
    </w:lvl>
    <w:lvl w:ilvl="3" w:tplc="3B466460">
      <w:numFmt w:val="bullet"/>
      <w:lvlText w:val="•"/>
      <w:lvlJc w:val="left"/>
      <w:pPr>
        <w:ind w:left="1651" w:hanging="180"/>
      </w:pPr>
      <w:rPr>
        <w:rFonts w:hint="default"/>
        <w:lang w:val="en-US" w:eastAsia="en-US" w:bidi="ar-SA"/>
      </w:rPr>
    </w:lvl>
    <w:lvl w:ilvl="4" w:tplc="3E94209C">
      <w:numFmt w:val="bullet"/>
      <w:lvlText w:val="•"/>
      <w:lvlJc w:val="left"/>
      <w:pPr>
        <w:ind w:left="2095" w:hanging="180"/>
      </w:pPr>
      <w:rPr>
        <w:rFonts w:hint="default"/>
        <w:lang w:val="en-US" w:eastAsia="en-US" w:bidi="ar-SA"/>
      </w:rPr>
    </w:lvl>
    <w:lvl w:ilvl="5" w:tplc="8BF24778">
      <w:numFmt w:val="bullet"/>
      <w:lvlText w:val="•"/>
      <w:lvlJc w:val="left"/>
      <w:pPr>
        <w:ind w:left="2538" w:hanging="180"/>
      </w:pPr>
      <w:rPr>
        <w:rFonts w:hint="default"/>
        <w:lang w:val="en-US" w:eastAsia="en-US" w:bidi="ar-SA"/>
      </w:rPr>
    </w:lvl>
    <w:lvl w:ilvl="6" w:tplc="26AA989C">
      <w:numFmt w:val="bullet"/>
      <w:lvlText w:val="•"/>
      <w:lvlJc w:val="left"/>
      <w:pPr>
        <w:ind w:left="2982" w:hanging="180"/>
      </w:pPr>
      <w:rPr>
        <w:rFonts w:hint="default"/>
        <w:lang w:val="en-US" w:eastAsia="en-US" w:bidi="ar-SA"/>
      </w:rPr>
    </w:lvl>
    <w:lvl w:ilvl="7" w:tplc="2BEC5FAC">
      <w:numFmt w:val="bullet"/>
      <w:lvlText w:val="•"/>
      <w:lvlJc w:val="left"/>
      <w:pPr>
        <w:ind w:left="3426" w:hanging="180"/>
      </w:pPr>
      <w:rPr>
        <w:rFonts w:hint="default"/>
        <w:lang w:val="en-US" w:eastAsia="en-US" w:bidi="ar-SA"/>
      </w:rPr>
    </w:lvl>
    <w:lvl w:ilvl="8" w:tplc="AAB42D64">
      <w:numFmt w:val="bullet"/>
      <w:lvlText w:val="•"/>
      <w:lvlJc w:val="left"/>
      <w:pPr>
        <w:ind w:left="3870" w:hanging="180"/>
      </w:pPr>
      <w:rPr>
        <w:rFonts w:hint="default"/>
        <w:lang w:val="en-US" w:eastAsia="en-US" w:bidi="ar-SA"/>
      </w:rPr>
    </w:lvl>
  </w:abstractNum>
  <w:abstractNum w:abstractNumId="156" w15:restartNumberingAfterBreak="0">
    <w:nsid w:val="57785CDD"/>
    <w:multiLevelType w:val="hybridMultilevel"/>
    <w:tmpl w:val="9AC26C5E"/>
    <w:lvl w:ilvl="0" w:tplc="E384FE7E">
      <w:start w:val="1"/>
      <w:numFmt w:val="decimalZero"/>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AFDE4BD0">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F8961B4E">
      <w:numFmt w:val="bullet"/>
      <w:lvlText w:val=""/>
      <w:lvlJc w:val="left"/>
      <w:pPr>
        <w:ind w:left="2520" w:hanging="360"/>
      </w:pPr>
      <w:rPr>
        <w:rFonts w:ascii="Symbol" w:eastAsia="Symbol" w:hAnsi="Symbol" w:cs="Symbol" w:hint="default"/>
        <w:b w:val="0"/>
        <w:bCs w:val="0"/>
        <w:i w:val="0"/>
        <w:iCs w:val="0"/>
        <w:spacing w:val="0"/>
        <w:w w:val="99"/>
        <w:sz w:val="22"/>
        <w:szCs w:val="22"/>
        <w:lang w:val="en-US" w:eastAsia="en-US" w:bidi="ar-SA"/>
      </w:rPr>
    </w:lvl>
    <w:lvl w:ilvl="3" w:tplc="F0F4763A">
      <w:numFmt w:val="bullet"/>
      <w:lvlText w:val="•"/>
      <w:lvlJc w:val="left"/>
      <w:pPr>
        <w:ind w:left="3510" w:hanging="360"/>
      </w:pPr>
      <w:rPr>
        <w:rFonts w:hint="default"/>
        <w:lang w:val="en-US" w:eastAsia="en-US" w:bidi="ar-SA"/>
      </w:rPr>
    </w:lvl>
    <w:lvl w:ilvl="4" w:tplc="1A8831E8">
      <w:numFmt w:val="bullet"/>
      <w:lvlText w:val="•"/>
      <w:lvlJc w:val="left"/>
      <w:pPr>
        <w:ind w:left="4500" w:hanging="360"/>
      </w:pPr>
      <w:rPr>
        <w:rFonts w:hint="default"/>
        <w:lang w:val="en-US" w:eastAsia="en-US" w:bidi="ar-SA"/>
      </w:rPr>
    </w:lvl>
    <w:lvl w:ilvl="5" w:tplc="128035A8">
      <w:numFmt w:val="bullet"/>
      <w:lvlText w:val="•"/>
      <w:lvlJc w:val="left"/>
      <w:pPr>
        <w:ind w:left="5490" w:hanging="360"/>
      </w:pPr>
      <w:rPr>
        <w:rFonts w:hint="default"/>
        <w:lang w:val="en-US" w:eastAsia="en-US" w:bidi="ar-SA"/>
      </w:rPr>
    </w:lvl>
    <w:lvl w:ilvl="6" w:tplc="E2FEB850">
      <w:numFmt w:val="bullet"/>
      <w:lvlText w:val="•"/>
      <w:lvlJc w:val="left"/>
      <w:pPr>
        <w:ind w:left="6480" w:hanging="360"/>
      </w:pPr>
      <w:rPr>
        <w:rFonts w:hint="default"/>
        <w:lang w:val="en-US" w:eastAsia="en-US" w:bidi="ar-SA"/>
      </w:rPr>
    </w:lvl>
    <w:lvl w:ilvl="7" w:tplc="6D12E032">
      <w:numFmt w:val="bullet"/>
      <w:lvlText w:val="•"/>
      <w:lvlJc w:val="left"/>
      <w:pPr>
        <w:ind w:left="7470" w:hanging="360"/>
      </w:pPr>
      <w:rPr>
        <w:rFonts w:hint="default"/>
        <w:lang w:val="en-US" w:eastAsia="en-US" w:bidi="ar-SA"/>
      </w:rPr>
    </w:lvl>
    <w:lvl w:ilvl="8" w:tplc="9F4EED9C">
      <w:numFmt w:val="bullet"/>
      <w:lvlText w:val="•"/>
      <w:lvlJc w:val="left"/>
      <w:pPr>
        <w:ind w:left="8460" w:hanging="360"/>
      </w:pPr>
      <w:rPr>
        <w:rFonts w:hint="default"/>
        <w:lang w:val="en-US" w:eastAsia="en-US" w:bidi="ar-SA"/>
      </w:rPr>
    </w:lvl>
  </w:abstractNum>
  <w:abstractNum w:abstractNumId="157" w15:restartNumberingAfterBreak="0">
    <w:nsid w:val="57CE541E"/>
    <w:multiLevelType w:val="hybridMultilevel"/>
    <w:tmpl w:val="8B62C5A2"/>
    <w:lvl w:ilvl="0" w:tplc="79D08792">
      <w:numFmt w:val="bullet"/>
      <w:lvlText w:val=""/>
      <w:lvlJc w:val="left"/>
      <w:pPr>
        <w:ind w:left="320" w:hanging="186"/>
      </w:pPr>
      <w:rPr>
        <w:rFonts w:ascii="Symbol" w:eastAsia="Symbol" w:hAnsi="Symbol" w:cs="Symbol" w:hint="default"/>
        <w:b w:val="0"/>
        <w:bCs w:val="0"/>
        <w:i w:val="0"/>
        <w:iCs w:val="0"/>
        <w:spacing w:val="0"/>
        <w:w w:val="100"/>
        <w:sz w:val="18"/>
        <w:szCs w:val="18"/>
        <w:lang w:val="en-US" w:eastAsia="en-US" w:bidi="ar-SA"/>
      </w:rPr>
    </w:lvl>
    <w:lvl w:ilvl="1" w:tplc="8F2C11FA">
      <w:numFmt w:val="bullet"/>
      <w:lvlText w:val="•"/>
      <w:lvlJc w:val="left"/>
      <w:pPr>
        <w:ind w:left="1001" w:hanging="186"/>
      </w:pPr>
      <w:rPr>
        <w:rFonts w:hint="default"/>
        <w:lang w:val="en-US" w:eastAsia="en-US" w:bidi="ar-SA"/>
      </w:rPr>
    </w:lvl>
    <w:lvl w:ilvl="2" w:tplc="0450AD34">
      <w:numFmt w:val="bullet"/>
      <w:lvlText w:val="•"/>
      <w:lvlJc w:val="left"/>
      <w:pPr>
        <w:ind w:left="1682" w:hanging="186"/>
      </w:pPr>
      <w:rPr>
        <w:rFonts w:hint="default"/>
        <w:lang w:val="en-US" w:eastAsia="en-US" w:bidi="ar-SA"/>
      </w:rPr>
    </w:lvl>
    <w:lvl w:ilvl="3" w:tplc="11B80C2E">
      <w:numFmt w:val="bullet"/>
      <w:lvlText w:val="•"/>
      <w:lvlJc w:val="left"/>
      <w:pPr>
        <w:ind w:left="2363" w:hanging="186"/>
      </w:pPr>
      <w:rPr>
        <w:rFonts w:hint="default"/>
        <w:lang w:val="en-US" w:eastAsia="en-US" w:bidi="ar-SA"/>
      </w:rPr>
    </w:lvl>
    <w:lvl w:ilvl="4" w:tplc="BDFE5552">
      <w:numFmt w:val="bullet"/>
      <w:lvlText w:val="•"/>
      <w:lvlJc w:val="left"/>
      <w:pPr>
        <w:ind w:left="3044" w:hanging="186"/>
      </w:pPr>
      <w:rPr>
        <w:rFonts w:hint="default"/>
        <w:lang w:val="en-US" w:eastAsia="en-US" w:bidi="ar-SA"/>
      </w:rPr>
    </w:lvl>
    <w:lvl w:ilvl="5" w:tplc="A606A740">
      <w:numFmt w:val="bullet"/>
      <w:lvlText w:val="•"/>
      <w:lvlJc w:val="left"/>
      <w:pPr>
        <w:ind w:left="3725" w:hanging="186"/>
      </w:pPr>
      <w:rPr>
        <w:rFonts w:hint="default"/>
        <w:lang w:val="en-US" w:eastAsia="en-US" w:bidi="ar-SA"/>
      </w:rPr>
    </w:lvl>
    <w:lvl w:ilvl="6" w:tplc="B4780FE6">
      <w:numFmt w:val="bullet"/>
      <w:lvlText w:val="•"/>
      <w:lvlJc w:val="left"/>
      <w:pPr>
        <w:ind w:left="4406" w:hanging="186"/>
      </w:pPr>
      <w:rPr>
        <w:rFonts w:hint="default"/>
        <w:lang w:val="en-US" w:eastAsia="en-US" w:bidi="ar-SA"/>
      </w:rPr>
    </w:lvl>
    <w:lvl w:ilvl="7" w:tplc="69E854CC">
      <w:numFmt w:val="bullet"/>
      <w:lvlText w:val="•"/>
      <w:lvlJc w:val="left"/>
      <w:pPr>
        <w:ind w:left="5087" w:hanging="186"/>
      </w:pPr>
      <w:rPr>
        <w:rFonts w:hint="default"/>
        <w:lang w:val="en-US" w:eastAsia="en-US" w:bidi="ar-SA"/>
      </w:rPr>
    </w:lvl>
    <w:lvl w:ilvl="8" w:tplc="8DBCE8CA">
      <w:numFmt w:val="bullet"/>
      <w:lvlText w:val="•"/>
      <w:lvlJc w:val="left"/>
      <w:pPr>
        <w:ind w:left="5768" w:hanging="186"/>
      </w:pPr>
      <w:rPr>
        <w:rFonts w:hint="default"/>
        <w:lang w:val="en-US" w:eastAsia="en-US" w:bidi="ar-SA"/>
      </w:rPr>
    </w:lvl>
  </w:abstractNum>
  <w:abstractNum w:abstractNumId="158" w15:restartNumberingAfterBreak="0">
    <w:nsid w:val="584A5312"/>
    <w:multiLevelType w:val="hybridMultilevel"/>
    <w:tmpl w:val="3CBED372"/>
    <w:lvl w:ilvl="0" w:tplc="5C64C32E">
      <w:start w:val="4"/>
      <w:numFmt w:val="decimal"/>
      <w:lvlText w:val="%1."/>
      <w:lvlJc w:val="left"/>
      <w:pPr>
        <w:ind w:left="472" w:hanging="368"/>
        <w:jc w:val="left"/>
      </w:pPr>
      <w:rPr>
        <w:rFonts w:ascii="Arial" w:eastAsia="Arial" w:hAnsi="Arial" w:cs="Arial" w:hint="default"/>
        <w:b w:val="0"/>
        <w:bCs w:val="0"/>
        <w:i w:val="0"/>
        <w:iCs w:val="0"/>
        <w:spacing w:val="0"/>
        <w:w w:val="99"/>
        <w:sz w:val="22"/>
        <w:szCs w:val="22"/>
        <w:lang w:val="en-US" w:eastAsia="en-US" w:bidi="ar-SA"/>
      </w:rPr>
    </w:lvl>
    <w:lvl w:ilvl="1" w:tplc="32D693D6">
      <w:start w:val="1"/>
      <w:numFmt w:val="lowerLetter"/>
      <w:lvlText w:val="(%2)"/>
      <w:lvlJc w:val="left"/>
      <w:pPr>
        <w:ind w:left="968" w:hanging="504"/>
        <w:jc w:val="left"/>
      </w:pPr>
      <w:rPr>
        <w:rFonts w:ascii="Arial" w:eastAsia="Arial" w:hAnsi="Arial" w:cs="Arial" w:hint="default"/>
        <w:b w:val="0"/>
        <w:bCs w:val="0"/>
        <w:i w:val="0"/>
        <w:iCs w:val="0"/>
        <w:spacing w:val="-1"/>
        <w:w w:val="99"/>
        <w:sz w:val="22"/>
        <w:szCs w:val="22"/>
        <w:lang w:val="en-US" w:eastAsia="en-US" w:bidi="ar-SA"/>
      </w:rPr>
    </w:lvl>
    <w:lvl w:ilvl="2" w:tplc="F30CB4B2">
      <w:numFmt w:val="bullet"/>
      <w:lvlText w:val="•"/>
      <w:lvlJc w:val="left"/>
      <w:pPr>
        <w:ind w:left="1570" w:hanging="504"/>
      </w:pPr>
      <w:rPr>
        <w:rFonts w:hint="default"/>
        <w:lang w:val="en-US" w:eastAsia="en-US" w:bidi="ar-SA"/>
      </w:rPr>
    </w:lvl>
    <w:lvl w:ilvl="3" w:tplc="BAB650CC">
      <w:numFmt w:val="bullet"/>
      <w:lvlText w:val="•"/>
      <w:lvlJc w:val="left"/>
      <w:pPr>
        <w:ind w:left="2180" w:hanging="504"/>
      </w:pPr>
      <w:rPr>
        <w:rFonts w:hint="default"/>
        <w:lang w:val="en-US" w:eastAsia="en-US" w:bidi="ar-SA"/>
      </w:rPr>
    </w:lvl>
    <w:lvl w:ilvl="4" w:tplc="07AC99D8">
      <w:numFmt w:val="bullet"/>
      <w:lvlText w:val="•"/>
      <w:lvlJc w:val="left"/>
      <w:pPr>
        <w:ind w:left="2790" w:hanging="504"/>
      </w:pPr>
      <w:rPr>
        <w:rFonts w:hint="default"/>
        <w:lang w:val="en-US" w:eastAsia="en-US" w:bidi="ar-SA"/>
      </w:rPr>
    </w:lvl>
    <w:lvl w:ilvl="5" w:tplc="9EFC9500">
      <w:numFmt w:val="bullet"/>
      <w:lvlText w:val="•"/>
      <w:lvlJc w:val="left"/>
      <w:pPr>
        <w:ind w:left="3401" w:hanging="504"/>
      </w:pPr>
      <w:rPr>
        <w:rFonts w:hint="default"/>
        <w:lang w:val="en-US" w:eastAsia="en-US" w:bidi="ar-SA"/>
      </w:rPr>
    </w:lvl>
    <w:lvl w:ilvl="6" w:tplc="9E5E16F2">
      <w:numFmt w:val="bullet"/>
      <w:lvlText w:val="•"/>
      <w:lvlJc w:val="left"/>
      <w:pPr>
        <w:ind w:left="4011" w:hanging="504"/>
      </w:pPr>
      <w:rPr>
        <w:rFonts w:hint="default"/>
        <w:lang w:val="en-US" w:eastAsia="en-US" w:bidi="ar-SA"/>
      </w:rPr>
    </w:lvl>
    <w:lvl w:ilvl="7" w:tplc="C9F8C832">
      <w:numFmt w:val="bullet"/>
      <w:lvlText w:val="•"/>
      <w:lvlJc w:val="left"/>
      <w:pPr>
        <w:ind w:left="4621" w:hanging="504"/>
      </w:pPr>
      <w:rPr>
        <w:rFonts w:hint="default"/>
        <w:lang w:val="en-US" w:eastAsia="en-US" w:bidi="ar-SA"/>
      </w:rPr>
    </w:lvl>
    <w:lvl w:ilvl="8" w:tplc="DE48195C">
      <w:numFmt w:val="bullet"/>
      <w:lvlText w:val="•"/>
      <w:lvlJc w:val="left"/>
      <w:pPr>
        <w:ind w:left="5231" w:hanging="504"/>
      </w:pPr>
      <w:rPr>
        <w:rFonts w:hint="default"/>
        <w:lang w:val="en-US" w:eastAsia="en-US" w:bidi="ar-SA"/>
      </w:rPr>
    </w:lvl>
  </w:abstractNum>
  <w:abstractNum w:abstractNumId="159" w15:restartNumberingAfterBreak="0">
    <w:nsid w:val="58C549CD"/>
    <w:multiLevelType w:val="hybridMultilevel"/>
    <w:tmpl w:val="26D2BC2C"/>
    <w:lvl w:ilvl="0" w:tplc="575A8DC4">
      <w:numFmt w:val="bullet"/>
      <w:lvlText w:val=""/>
      <w:lvlJc w:val="left"/>
      <w:pPr>
        <w:ind w:left="307" w:hanging="189"/>
      </w:pPr>
      <w:rPr>
        <w:rFonts w:ascii="Symbol" w:eastAsia="Symbol" w:hAnsi="Symbol" w:cs="Symbol" w:hint="default"/>
        <w:b w:val="0"/>
        <w:bCs w:val="0"/>
        <w:i w:val="0"/>
        <w:iCs w:val="0"/>
        <w:spacing w:val="0"/>
        <w:w w:val="100"/>
        <w:sz w:val="18"/>
        <w:szCs w:val="18"/>
        <w:lang w:val="en-US" w:eastAsia="en-US" w:bidi="ar-SA"/>
      </w:rPr>
    </w:lvl>
    <w:lvl w:ilvl="1" w:tplc="019877CE">
      <w:numFmt w:val="bullet"/>
      <w:lvlText w:val="•"/>
      <w:lvlJc w:val="left"/>
      <w:pPr>
        <w:ind w:left="1028" w:hanging="189"/>
      </w:pPr>
      <w:rPr>
        <w:rFonts w:hint="default"/>
        <w:lang w:val="en-US" w:eastAsia="en-US" w:bidi="ar-SA"/>
      </w:rPr>
    </w:lvl>
    <w:lvl w:ilvl="2" w:tplc="B2EA6C3C">
      <w:numFmt w:val="bullet"/>
      <w:lvlText w:val="•"/>
      <w:lvlJc w:val="left"/>
      <w:pPr>
        <w:ind w:left="1756" w:hanging="189"/>
      </w:pPr>
      <w:rPr>
        <w:rFonts w:hint="default"/>
        <w:lang w:val="en-US" w:eastAsia="en-US" w:bidi="ar-SA"/>
      </w:rPr>
    </w:lvl>
    <w:lvl w:ilvl="3" w:tplc="9680209C">
      <w:numFmt w:val="bullet"/>
      <w:lvlText w:val="•"/>
      <w:lvlJc w:val="left"/>
      <w:pPr>
        <w:ind w:left="2484" w:hanging="189"/>
      </w:pPr>
      <w:rPr>
        <w:rFonts w:hint="default"/>
        <w:lang w:val="en-US" w:eastAsia="en-US" w:bidi="ar-SA"/>
      </w:rPr>
    </w:lvl>
    <w:lvl w:ilvl="4" w:tplc="594C43F8">
      <w:numFmt w:val="bullet"/>
      <w:lvlText w:val="•"/>
      <w:lvlJc w:val="left"/>
      <w:pPr>
        <w:ind w:left="3212" w:hanging="189"/>
      </w:pPr>
      <w:rPr>
        <w:rFonts w:hint="default"/>
        <w:lang w:val="en-US" w:eastAsia="en-US" w:bidi="ar-SA"/>
      </w:rPr>
    </w:lvl>
    <w:lvl w:ilvl="5" w:tplc="E8CC59DE">
      <w:numFmt w:val="bullet"/>
      <w:lvlText w:val="•"/>
      <w:lvlJc w:val="left"/>
      <w:pPr>
        <w:ind w:left="3940" w:hanging="189"/>
      </w:pPr>
      <w:rPr>
        <w:rFonts w:hint="default"/>
        <w:lang w:val="en-US" w:eastAsia="en-US" w:bidi="ar-SA"/>
      </w:rPr>
    </w:lvl>
    <w:lvl w:ilvl="6" w:tplc="F51489F2">
      <w:numFmt w:val="bullet"/>
      <w:lvlText w:val="•"/>
      <w:lvlJc w:val="left"/>
      <w:pPr>
        <w:ind w:left="4668" w:hanging="189"/>
      </w:pPr>
      <w:rPr>
        <w:rFonts w:hint="default"/>
        <w:lang w:val="en-US" w:eastAsia="en-US" w:bidi="ar-SA"/>
      </w:rPr>
    </w:lvl>
    <w:lvl w:ilvl="7" w:tplc="AC7CC032">
      <w:numFmt w:val="bullet"/>
      <w:lvlText w:val="•"/>
      <w:lvlJc w:val="left"/>
      <w:pPr>
        <w:ind w:left="5396" w:hanging="189"/>
      </w:pPr>
      <w:rPr>
        <w:rFonts w:hint="default"/>
        <w:lang w:val="en-US" w:eastAsia="en-US" w:bidi="ar-SA"/>
      </w:rPr>
    </w:lvl>
    <w:lvl w:ilvl="8" w:tplc="D3A63210">
      <w:numFmt w:val="bullet"/>
      <w:lvlText w:val="•"/>
      <w:lvlJc w:val="left"/>
      <w:pPr>
        <w:ind w:left="6124" w:hanging="189"/>
      </w:pPr>
      <w:rPr>
        <w:rFonts w:hint="default"/>
        <w:lang w:val="en-US" w:eastAsia="en-US" w:bidi="ar-SA"/>
      </w:rPr>
    </w:lvl>
  </w:abstractNum>
  <w:abstractNum w:abstractNumId="160" w15:restartNumberingAfterBreak="0">
    <w:nsid w:val="59625D3D"/>
    <w:multiLevelType w:val="hybridMultilevel"/>
    <w:tmpl w:val="5E2C4FE2"/>
    <w:lvl w:ilvl="0" w:tplc="0F800ABC">
      <w:start w:val="1"/>
      <w:numFmt w:val="decimal"/>
      <w:lvlText w:val="%1."/>
      <w:lvlJc w:val="left"/>
      <w:pPr>
        <w:ind w:left="719" w:hanging="360"/>
        <w:jc w:val="left"/>
      </w:pPr>
      <w:rPr>
        <w:rFonts w:ascii="Arial" w:eastAsia="Arial" w:hAnsi="Arial" w:cs="Arial" w:hint="default"/>
        <w:b w:val="0"/>
        <w:bCs w:val="0"/>
        <w:i w:val="0"/>
        <w:iCs w:val="0"/>
        <w:spacing w:val="0"/>
        <w:w w:val="99"/>
        <w:sz w:val="22"/>
        <w:szCs w:val="22"/>
        <w:lang w:val="en-US" w:eastAsia="en-US" w:bidi="ar-SA"/>
      </w:rPr>
    </w:lvl>
    <w:lvl w:ilvl="1" w:tplc="1F66D4A6">
      <w:numFmt w:val="bullet"/>
      <w:lvlText w:val="•"/>
      <w:lvlJc w:val="left"/>
      <w:pPr>
        <w:ind w:left="1692" w:hanging="360"/>
      </w:pPr>
      <w:rPr>
        <w:rFonts w:hint="default"/>
        <w:lang w:val="en-US" w:eastAsia="en-US" w:bidi="ar-SA"/>
      </w:rPr>
    </w:lvl>
    <w:lvl w:ilvl="2" w:tplc="732A8684">
      <w:numFmt w:val="bullet"/>
      <w:lvlText w:val="•"/>
      <w:lvlJc w:val="left"/>
      <w:pPr>
        <w:ind w:left="2664" w:hanging="360"/>
      </w:pPr>
      <w:rPr>
        <w:rFonts w:hint="default"/>
        <w:lang w:val="en-US" w:eastAsia="en-US" w:bidi="ar-SA"/>
      </w:rPr>
    </w:lvl>
    <w:lvl w:ilvl="3" w:tplc="F38846EE">
      <w:numFmt w:val="bullet"/>
      <w:lvlText w:val="•"/>
      <w:lvlJc w:val="left"/>
      <w:pPr>
        <w:ind w:left="3636" w:hanging="360"/>
      </w:pPr>
      <w:rPr>
        <w:rFonts w:hint="default"/>
        <w:lang w:val="en-US" w:eastAsia="en-US" w:bidi="ar-SA"/>
      </w:rPr>
    </w:lvl>
    <w:lvl w:ilvl="4" w:tplc="7F183E04">
      <w:numFmt w:val="bullet"/>
      <w:lvlText w:val="•"/>
      <w:lvlJc w:val="left"/>
      <w:pPr>
        <w:ind w:left="4608" w:hanging="360"/>
      </w:pPr>
      <w:rPr>
        <w:rFonts w:hint="default"/>
        <w:lang w:val="en-US" w:eastAsia="en-US" w:bidi="ar-SA"/>
      </w:rPr>
    </w:lvl>
    <w:lvl w:ilvl="5" w:tplc="A37C438A">
      <w:numFmt w:val="bullet"/>
      <w:lvlText w:val="•"/>
      <w:lvlJc w:val="left"/>
      <w:pPr>
        <w:ind w:left="5580" w:hanging="360"/>
      </w:pPr>
      <w:rPr>
        <w:rFonts w:hint="default"/>
        <w:lang w:val="en-US" w:eastAsia="en-US" w:bidi="ar-SA"/>
      </w:rPr>
    </w:lvl>
    <w:lvl w:ilvl="6" w:tplc="8EBC6DAA">
      <w:numFmt w:val="bullet"/>
      <w:lvlText w:val="•"/>
      <w:lvlJc w:val="left"/>
      <w:pPr>
        <w:ind w:left="6552" w:hanging="360"/>
      </w:pPr>
      <w:rPr>
        <w:rFonts w:hint="default"/>
        <w:lang w:val="en-US" w:eastAsia="en-US" w:bidi="ar-SA"/>
      </w:rPr>
    </w:lvl>
    <w:lvl w:ilvl="7" w:tplc="98683E16">
      <w:numFmt w:val="bullet"/>
      <w:lvlText w:val="•"/>
      <w:lvlJc w:val="left"/>
      <w:pPr>
        <w:ind w:left="7524" w:hanging="360"/>
      </w:pPr>
      <w:rPr>
        <w:rFonts w:hint="default"/>
        <w:lang w:val="en-US" w:eastAsia="en-US" w:bidi="ar-SA"/>
      </w:rPr>
    </w:lvl>
    <w:lvl w:ilvl="8" w:tplc="2C16CBCE">
      <w:numFmt w:val="bullet"/>
      <w:lvlText w:val="•"/>
      <w:lvlJc w:val="left"/>
      <w:pPr>
        <w:ind w:left="8496" w:hanging="360"/>
      </w:pPr>
      <w:rPr>
        <w:rFonts w:hint="default"/>
        <w:lang w:val="en-US" w:eastAsia="en-US" w:bidi="ar-SA"/>
      </w:rPr>
    </w:lvl>
  </w:abstractNum>
  <w:abstractNum w:abstractNumId="161" w15:restartNumberingAfterBreak="0">
    <w:nsid w:val="59C0521C"/>
    <w:multiLevelType w:val="hybridMultilevel"/>
    <w:tmpl w:val="A936E780"/>
    <w:lvl w:ilvl="0" w:tplc="B9DA77FA">
      <w:start w:val="10"/>
      <w:numFmt w:val="decimal"/>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2B64F5EA">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A5D0BABE">
      <w:start w:val="1"/>
      <w:numFmt w:val="lowerRoman"/>
      <w:lvlText w:val="%3."/>
      <w:lvlJc w:val="left"/>
      <w:pPr>
        <w:ind w:left="2520" w:hanging="291"/>
        <w:jc w:val="right"/>
      </w:pPr>
      <w:rPr>
        <w:rFonts w:ascii="Arial" w:eastAsia="Arial" w:hAnsi="Arial" w:cs="Arial" w:hint="default"/>
        <w:b w:val="0"/>
        <w:bCs w:val="0"/>
        <w:i w:val="0"/>
        <w:iCs w:val="0"/>
        <w:spacing w:val="0"/>
        <w:w w:val="99"/>
        <w:sz w:val="22"/>
        <w:szCs w:val="22"/>
        <w:lang w:val="en-US" w:eastAsia="en-US" w:bidi="ar-SA"/>
      </w:rPr>
    </w:lvl>
    <w:lvl w:ilvl="3" w:tplc="B8B217DA">
      <w:numFmt w:val="bullet"/>
      <w:lvlText w:val="•"/>
      <w:lvlJc w:val="left"/>
      <w:pPr>
        <w:ind w:left="3510" w:hanging="291"/>
      </w:pPr>
      <w:rPr>
        <w:rFonts w:hint="default"/>
        <w:lang w:val="en-US" w:eastAsia="en-US" w:bidi="ar-SA"/>
      </w:rPr>
    </w:lvl>
    <w:lvl w:ilvl="4" w:tplc="788E50FE">
      <w:numFmt w:val="bullet"/>
      <w:lvlText w:val="•"/>
      <w:lvlJc w:val="left"/>
      <w:pPr>
        <w:ind w:left="4500" w:hanging="291"/>
      </w:pPr>
      <w:rPr>
        <w:rFonts w:hint="default"/>
        <w:lang w:val="en-US" w:eastAsia="en-US" w:bidi="ar-SA"/>
      </w:rPr>
    </w:lvl>
    <w:lvl w:ilvl="5" w:tplc="A710A820">
      <w:numFmt w:val="bullet"/>
      <w:lvlText w:val="•"/>
      <w:lvlJc w:val="left"/>
      <w:pPr>
        <w:ind w:left="5490" w:hanging="291"/>
      </w:pPr>
      <w:rPr>
        <w:rFonts w:hint="default"/>
        <w:lang w:val="en-US" w:eastAsia="en-US" w:bidi="ar-SA"/>
      </w:rPr>
    </w:lvl>
    <w:lvl w:ilvl="6" w:tplc="7A9AD6A6">
      <w:numFmt w:val="bullet"/>
      <w:lvlText w:val="•"/>
      <w:lvlJc w:val="left"/>
      <w:pPr>
        <w:ind w:left="6480" w:hanging="291"/>
      </w:pPr>
      <w:rPr>
        <w:rFonts w:hint="default"/>
        <w:lang w:val="en-US" w:eastAsia="en-US" w:bidi="ar-SA"/>
      </w:rPr>
    </w:lvl>
    <w:lvl w:ilvl="7" w:tplc="204C4A30">
      <w:numFmt w:val="bullet"/>
      <w:lvlText w:val="•"/>
      <w:lvlJc w:val="left"/>
      <w:pPr>
        <w:ind w:left="7470" w:hanging="291"/>
      </w:pPr>
      <w:rPr>
        <w:rFonts w:hint="default"/>
        <w:lang w:val="en-US" w:eastAsia="en-US" w:bidi="ar-SA"/>
      </w:rPr>
    </w:lvl>
    <w:lvl w:ilvl="8" w:tplc="73AC1370">
      <w:numFmt w:val="bullet"/>
      <w:lvlText w:val="•"/>
      <w:lvlJc w:val="left"/>
      <w:pPr>
        <w:ind w:left="8460" w:hanging="291"/>
      </w:pPr>
      <w:rPr>
        <w:rFonts w:hint="default"/>
        <w:lang w:val="en-US" w:eastAsia="en-US" w:bidi="ar-SA"/>
      </w:rPr>
    </w:lvl>
  </w:abstractNum>
  <w:abstractNum w:abstractNumId="162" w15:restartNumberingAfterBreak="0">
    <w:nsid w:val="5A460783"/>
    <w:multiLevelType w:val="hybridMultilevel"/>
    <w:tmpl w:val="CA72ED44"/>
    <w:lvl w:ilvl="0" w:tplc="E6B0917A">
      <w:numFmt w:val="bullet"/>
      <w:lvlText w:val=""/>
      <w:lvlJc w:val="left"/>
      <w:pPr>
        <w:ind w:left="1832" w:hanging="360"/>
      </w:pPr>
      <w:rPr>
        <w:rFonts w:ascii="Symbol" w:eastAsia="Symbol" w:hAnsi="Symbol" w:cs="Symbol" w:hint="default"/>
        <w:b w:val="0"/>
        <w:bCs w:val="0"/>
        <w:i w:val="0"/>
        <w:iCs w:val="0"/>
        <w:spacing w:val="0"/>
        <w:w w:val="99"/>
        <w:sz w:val="22"/>
        <w:szCs w:val="22"/>
        <w:lang w:val="en-US" w:eastAsia="en-US" w:bidi="ar-SA"/>
      </w:rPr>
    </w:lvl>
    <w:lvl w:ilvl="1" w:tplc="9654BB10">
      <w:numFmt w:val="bullet"/>
      <w:lvlText w:val="•"/>
      <w:lvlJc w:val="left"/>
      <w:pPr>
        <w:ind w:left="2558" w:hanging="360"/>
      </w:pPr>
      <w:rPr>
        <w:rFonts w:hint="default"/>
        <w:lang w:val="en-US" w:eastAsia="en-US" w:bidi="ar-SA"/>
      </w:rPr>
    </w:lvl>
    <w:lvl w:ilvl="2" w:tplc="DC7C35E6">
      <w:numFmt w:val="bullet"/>
      <w:lvlText w:val="•"/>
      <w:lvlJc w:val="left"/>
      <w:pPr>
        <w:ind w:left="3276" w:hanging="360"/>
      </w:pPr>
      <w:rPr>
        <w:rFonts w:hint="default"/>
        <w:lang w:val="en-US" w:eastAsia="en-US" w:bidi="ar-SA"/>
      </w:rPr>
    </w:lvl>
    <w:lvl w:ilvl="3" w:tplc="334658EE">
      <w:numFmt w:val="bullet"/>
      <w:lvlText w:val="•"/>
      <w:lvlJc w:val="left"/>
      <w:pPr>
        <w:ind w:left="3995" w:hanging="360"/>
      </w:pPr>
      <w:rPr>
        <w:rFonts w:hint="default"/>
        <w:lang w:val="en-US" w:eastAsia="en-US" w:bidi="ar-SA"/>
      </w:rPr>
    </w:lvl>
    <w:lvl w:ilvl="4" w:tplc="FFD8AB20">
      <w:numFmt w:val="bullet"/>
      <w:lvlText w:val="•"/>
      <w:lvlJc w:val="left"/>
      <w:pPr>
        <w:ind w:left="4713" w:hanging="360"/>
      </w:pPr>
      <w:rPr>
        <w:rFonts w:hint="default"/>
        <w:lang w:val="en-US" w:eastAsia="en-US" w:bidi="ar-SA"/>
      </w:rPr>
    </w:lvl>
    <w:lvl w:ilvl="5" w:tplc="90A47B60">
      <w:numFmt w:val="bullet"/>
      <w:lvlText w:val="•"/>
      <w:lvlJc w:val="left"/>
      <w:pPr>
        <w:ind w:left="5432" w:hanging="360"/>
      </w:pPr>
      <w:rPr>
        <w:rFonts w:hint="default"/>
        <w:lang w:val="en-US" w:eastAsia="en-US" w:bidi="ar-SA"/>
      </w:rPr>
    </w:lvl>
    <w:lvl w:ilvl="6" w:tplc="972879E6">
      <w:numFmt w:val="bullet"/>
      <w:lvlText w:val="•"/>
      <w:lvlJc w:val="left"/>
      <w:pPr>
        <w:ind w:left="6150" w:hanging="360"/>
      </w:pPr>
      <w:rPr>
        <w:rFonts w:hint="default"/>
        <w:lang w:val="en-US" w:eastAsia="en-US" w:bidi="ar-SA"/>
      </w:rPr>
    </w:lvl>
    <w:lvl w:ilvl="7" w:tplc="C9C2C9D8">
      <w:numFmt w:val="bullet"/>
      <w:lvlText w:val="•"/>
      <w:lvlJc w:val="left"/>
      <w:pPr>
        <w:ind w:left="6868" w:hanging="360"/>
      </w:pPr>
      <w:rPr>
        <w:rFonts w:hint="default"/>
        <w:lang w:val="en-US" w:eastAsia="en-US" w:bidi="ar-SA"/>
      </w:rPr>
    </w:lvl>
    <w:lvl w:ilvl="8" w:tplc="F67466C6">
      <w:numFmt w:val="bullet"/>
      <w:lvlText w:val="•"/>
      <w:lvlJc w:val="left"/>
      <w:pPr>
        <w:ind w:left="7587" w:hanging="360"/>
      </w:pPr>
      <w:rPr>
        <w:rFonts w:hint="default"/>
        <w:lang w:val="en-US" w:eastAsia="en-US" w:bidi="ar-SA"/>
      </w:rPr>
    </w:lvl>
  </w:abstractNum>
  <w:abstractNum w:abstractNumId="163" w15:restartNumberingAfterBreak="0">
    <w:nsid w:val="5A4967A3"/>
    <w:multiLevelType w:val="hybridMultilevel"/>
    <w:tmpl w:val="3A0E99FA"/>
    <w:lvl w:ilvl="0" w:tplc="BC3AAE08">
      <w:start w:val="1"/>
      <w:numFmt w:val="decimal"/>
      <w:lvlText w:val="%1."/>
      <w:lvlJc w:val="left"/>
      <w:pPr>
        <w:ind w:left="781" w:hanging="360"/>
        <w:jc w:val="left"/>
      </w:pPr>
      <w:rPr>
        <w:rFonts w:ascii="Arial" w:eastAsia="Arial" w:hAnsi="Arial" w:cs="Arial" w:hint="default"/>
        <w:b w:val="0"/>
        <w:bCs w:val="0"/>
        <w:i w:val="0"/>
        <w:iCs w:val="0"/>
        <w:spacing w:val="0"/>
        <w:w w:val="99"/>
        <w:sz w:val="22"/>
        <w:szCs w:val="22"/>
        <w:lang w:val="en-US" w:eastAsia="en-US" w:bidi="ar-SA"/>
      </w:rPr>
    </w:lvl>
    <w:lvl w:ilvl="1" w:tplc="ED0C9694">
      <w:start w:val="1"/>
      <w:numFmt w:val="lowerLetter"/>
      <w:lvlText w:val="%2."/>
      <w:lvlJc w:val="left"/>
      <w:pPr>
        <w:ind w:left="1140" w:hanging="360"/>
        <w:jc w:val="left"/>
      </w:pPr>
      <w:rPr>
        <w:rFonts w:ascii="Arial" w:eastAsia="Arial" w:hAnsi="Arial" w:cs="Arial" w:hint="default"/>
        <w:b w:val="0"/>
        <w:bCs w:val="0"/>
        <w:i w:val="0"/>
        <w:iCs w:val="0"/>
        <w:spacing w:val="0"/>
        <w:w w:val="99"/>
        <w:sz w:val="22"/>
        <w:szCs w:val="22"/>
        <w:lang w:val="en-US" w:eastAsia="en-US" w:bidi="ar-SA"/>
      </w:rPr>
    </w:lvl>
    <w:lvl w:ilvl="2" w:tplc="41D6311A">
      <w:numFmt w:val="bullet"/>
      <w:lvlText w:val="•"/>
      <w:lvlJc w:val="left"/>
      <w:pPr>
        <w:ind w:left="2049" w:hanging="360"/>
      </w:pPr>
      <w:rPr>
        <w:rFonts w:hint="default"/>
        <w:lang w:val="en-US" w:eastAsia="en-US" w:bidi="ar-SA"/>
      </w:rPr>
    </w:lvl>
    <w:lvl w:ilvl="3" w:tplc="23B070E0">
      <w:numFmt w:val="bullet"/>
      <w:lvlText w:val="•"/>
      <w:lvlJc w:val="left"/>
      <w:pPr>
        <w:ind w:left="2958" w:hanging="360"/>
      </w:pPr>
      <w:rPr>
        <w:rFonts w:hint="default"/>
        <w:lang w:val="en-US" w:eastAsia="en-US" w:bidi="ar-SA"/>
      </w:rPr>
    </w:lvl>
    <w:lvl w:ilvl="4" w:tplc="B2B44DB6">
      <w:numFmt w:val="bullet"/>
      <w:lvlText w:val="•"/>
      <w:lvlJc w:val="left"/>
      <w:pPr>
        <w:ind w:left="3867" w:hanging="360"/>
      </w:pPr>
      <w:rPr>
        <w:rFonts w:hint="default"/>
        <w:lang w:val="en-US" w:eastAsia="en-US" w:bidi="ar-SA"/>
      </w:rPr>
    </w:lvl>
    <w:lvl w:ilvl="5" w:tplc="AD0EA10A">
      <w:numFmt w:val="bullet"/>
      <w:lvlText w:val="•"/>
      <w:lvlJc w:val="left"/>
      <w:pPr>
        <w:ind w:left="4776" w:hanging="360"/>
      </w:pPr>
      <w:rPr>
        <w:rFonts w:hint="default"/>
        <w:lang w:val="en-US" w:eastAsia="en-US" w:bidi="ar-SA"/>
      </w:rPr>
    </w:lvl>
    <w:lvl w:ilvl="6" w:tplc="A266D064">
      <w:numFmt w:val="bullet"/>
      <w:lvlText w:val="•"/>
      <w:lvlJc w:val="left"/>
      <w:pPr>
        <w:ind w:left="5685" w:hanging="360"/>
      </w:pPr>
      <w:rPr>
        <w:rFonts w:hint="default"/>
        <w:lang w:val="en-US" w:eastAsia="en-US" w:bidi="ar-SA"/>
      </w:rPr>
    </w:lvl>
    <w:lvl w:ilvl="7" w:tplc="249608D0">
      <w:numFmt w:val="bullet"/>
      <w:lvlText w:val="•"/>
      <w:lvlJc w:val="left"/>
      <w:pPr>
        <w:ind w:left="6594" w:hanging="360"/>
      </w:pPr>
      <w:rPr>
        <w:rFonts w:hint="default"/>
        <w:lang w:val="en-US" w:eastAsia="en-US" w:bidi="ar-SA"/>
      </w:rPr>
    </w:lvl>
    <w:lvl w:ilvl="8" w:tplc="6A1E797C">
      <w:numFmt w:val="bullet"/>
      <w:lvlText w:val="•"/>
      <w:lvlJc w:val="left"/>
      <w:pPr>
        <w:ind w:left="7503" w:hanging="360"/>
      </w:pPr>
      <w:rPr>
        <w:rFonts w:hint="default"/>
        <w:lang w:val="en-US" w:eastAsia="en-US" w:bidi="ar-SA"/>
      </w:rPr>
    </w:lvl>
  </w:abstractNum>
  <w:abstractNum w:abstractNumId="164" w15:restartNumberingAfterBreak="0">
    <w:nsid w:val="5AAD7A23"/>
    <w:multiLevelType w:val="hybridMultilevel"/>
    <w:tmpl w:val="A2D2D906"/>
    <w:lvl w:ilvl="0" w:tplc="6E82D160">
      <w:start w:val="3"/>
      <w:numFmt w:val="lowerLetter"/>
      <w:lvlText w:val="(%1)"/>
      <w:lvlJc w:val="left"/>
      <w:pPr>
        <w:ind w:left="1154" w:hanging="587"/>
        <w:jc w:val="left"/>
      </w:pPr>
      <w:rPr>
        <w:rFonts w:ascii="Arial" w:eastAsia="Arial" w:hAnsi="Arial" w:cs="Arial" w:hint="default"/>
        <w:b w:val="0"/>
        <w:bCs w:val="0"/>
        <w:i w:val="0"/>
        <w:iCs w:val="0"/>
        <w:spacing w:val="0"/>
        <w:w w:val="99"/>
        <w:sz w:val="22"/>
        <w:szCs w:val="22"/>
        <w:lang w:val="en-US" w:eastAsia="en-US" w:bidi="ar-SA"/>
      </w:rPr>
    </w:lvl>
    <w:lvl w:ilvl="1" w:tplc="D786B050">
      <w:start w:val="1"/>
      <w:numFmt w:val="lowerRoman"/>
      <w:lvlText w:val="%2."/>
      <w:lvlJc w:val="left"/>
      <w:pPr>
        <w:ind w:left="1779" w:hanging="471"/>
        <w:jc w:val="left"/>
      </w:pPr>
      <w:rPr>
        <w:rFonts w:ascii="Arial" w:eastAsia="Arial" w:hAnsi="Arial" w:cs="Arial" w:hint="default"/>
        <w:b w:val="0"/>
        <w:bCs w:val="0"/>
        <w:i w:val="0"/>
        <w:iCs w:val="0"/>
        <w:spacing w:val="0"/>
        <w:w w:val="99"/>
        <w:sz w:val="22"/>
        <w:szCs w:val="22"/>
        <w:lang w:val="en-US" w:eastAsia="en-US" w:bidi="ar-SA"/>
      </w:rPr>
    </w:lvl>
    <w:lvl w:ilvl="2" w:tplc="793EBD14">
      <w:numFmt w:val="bullet"/>
      <w:lvlText w:val="•"/>
      <w:lvlJc w:val="left"/>
      <w:pPr>
        <w:ind w:left="2290" w:hanging="471"/>
      </w:pPr>
      <w:rPr>
        <w:rFonts w:hint="default"/>
        <w:lang w:val="en-US" w:eastAsia="en-US" w:bidi="ar-SA"/>
      </w:rPr>
    </w:lvl>
    <w:lvl w:ilvl="3" w:tplc="1710312A">
      <w:numFmt w:val="bullet"/>
      <w:lvlText w:val="•"/>
      <w:lvlJc w:val="left"/>
      <w:pPr>
        <w:ind w:left="2801" w:hanging="471"/>
      </w:pPr>
      <w:rPr>
        <w:rFonts w:hint="default"/>
        <w:lang w:val="en-US" w:eastAsia="en-US" w:bidi="ar-SA"/>
      </w:rPr>
    </w:lvl>
    <w:lvl w:ilvl="4" w:tplc="61E0667E">
      <w:numFmt w:val="bullet"/>
      <w:lvlText w:val="•"/>
      <w:lvlJc w:val="left"/>
      <w:pPr>
        <w:ind w:left="3312" w:hanging="471"/>
      </w:pPr>
      <w:rPr>
        <w:rFonts w:hint="default"/>
        <w:lang w:val="en-US" w:eastAsia="en-US" w:bidi="ar-SA"/>
      </w:rPr>
    </w:lvl>
    <w:lvl w:ilvl="5" w:tplc="7BEA5352">
      <w:numFmt w:val="bullet"/>
      <w:lvlText w:val="•"/>
      <w:lvlJc w:val="left"/>
      <w:pPr>
        <w:ind w:left="3823" w:hanging="471"/>
      </w:pPr>
      <w:rPr>
        <w:rFonts w:hint="default"/>
        <w:lang w:val="en-US" w:eastAsia="en-US" w:bidi="ar-SA"/>
      </w:rPr>
    </w:lvl>
    <w:lvl w:ilvl="6" w:tplc="FD8A3B96">
      <w:numFmt w:val="bullet"/>
      <w:lvlText w:val="•"/>
      <w:lvlJc w:val="left"/>
      <w:pPr>
        <w:ind w:left="4334" w:hanging="471"/>
      </w:pPr>
      <w:rPr>
        <w:rFonts w:hint="default"/>
        <w:lang w:val="en-US" w:eastAsia="en-US" w:bidi="ar-SA"/>
      </w:rPr>
    </w:lvl>
    <w:lvl w:ilvl="7" w:tplc="620E273E">
      <w:numFmt w:val="bullet"/>
      <w:lvlText w:val="•"/>
      <w:lvlJc w:val="left"/>
      <w:pPr>
        <w:ind w:left="4845" w:hanging="471"/>
      </w:pPr>
      <w:rPr>
        <w:rFonts w:hint="default"/>
        <w:lang w:val="en-US" w:eastAsia="en-US" w:bidi="ar-SA"/>
      </w:rPr>
    </w:lvl>
    <w:lvl w:ilvl="8" w:tplc="DF6234DC">
      <w:numFmt w:val="bullet"/>
      <w:lvlText w:val="•"/>
      <w:lvlJc w:val="left"/>
      <w:pPr>
        <w:ind w:left="5356" w:hanging="471"/>
      </w:pPr>
      <w:rPr>
        <w:rFonts w:hint="default"/>
        <w:lang w:val="en-US" w:eastAsia="en-US" w:bidi="ar-SA"/>
      </w:rPr>
    </w:lvl>
  </w:abstractNum>
  <w:abstractNum w:abstractNumId="165" w15:restartNumberingAfterBreak="0">
    <w:nsid w:val="5B2C00D1"/>
    <w:multiLevelType w:val="hybridMultilevel"/>
    <w:tmpl w:val="F43C5A4E"/>
    <w:lvl w:ilvl="0" w:tplc="B980F798">
      <w:start w:val="1"/>
      <w:numFmt w:val="lowerLetter"/>
      <w:lvlText w:val="%1."/>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1" w:tplc="3202D712">
      <w:numFmt w:val="bullet"/>
      <w:lvlText w:val="•"/>
      <w:lvlJc w:val="left"/>
      <w:pPr>
        <w:ind w:left="2988" w:hanging="360"/>
      </w:pPr>
      <w:rPr>
        <w:rFonts w:hint="default"/>
        <w:lang w:val="en-US" w:eastAsia="en-US" w:bidi="ar-SA"/>
      </w:rPr>
    </w:lvl>
    <w:lvl w:ilvl="2" w:tplc="8E7A507C">
      <w:numFmt w:val="bullet"/>
      <w:lvlText w:val="•"/>
      <w:lvlJc w:val="left"/>
      <w:pPr>
        <w:ind w:left="3816" w:hanging="360"/>
      </w:pPr>
      <w:rPr>
        <w:rFonts w:hint="default"/>
        <w:lang w:val="en-US" w:eastAsia="en-US" w:bidi="ar-SA"/>
      </w:rPr>
    </w:lvl>
    <w:lvl w:ilvl="3" w:tplc="25DCEA36">
      <w:numFmt w:val="bullet"/>
      <w:lvlText w:val="•"/>
      <w:lvlJc w:val="left"/>
      <w:pPr>
        <w:ind w:left="4644" w:hanging="360"/>
      </w:pPr>
      <w:rPr>
        <w:rFonts w:hint="default"/>
        <w:lang w:val="en-US" w:eastAsia="en-US" w:bidi="ar-SA"/>
      </w:rPr>
    </w:lvl>
    <w:lvl w:ilvl="4" w:tplc="B7863C98">
      <w:numFmt w:val="bullet"/>
      <w:lvlText w:val="•"/>
      <w:lvlJc w:val="left"/>
      <w:pPr>
        <w:ind w:left="5472" w:hanging="360"/>
      </w:pPr>
      <w:rPr>
        <w:rFonts w:hint="default"/>
        <w:lang w:val="en-US" w:eastAsia="en-US" w:bidi="ar-SA"/>
      </w:rPr>
    </w:lvl>
    <w:lvl w:ilvl="5" w:tplc="F0D84DA8">
      <w:numFmt w:val="bullet"/>
      <w:lvlText w:val="•"/>
      <w:lvlJc w:val="left"/>
      <w:pPr>
        <w:ind w:left="6300" w:hanging="360"/>
      </w:pPr>
      <w:rPr>
        <w:rFonts w:hint="default"/>
        <w:lang w:val="en-US" w:eastAsia="en-US" w:bidi="ar-SA"/>
      </w:rPr>
    </w:lvl>
    <w:lvl w:ilvl="6" w:tplc="76807A9C">
      <w:numFmt w:val="bullet"/>
      <w:lvlText w:val="•"/>
      <w:lvlJc w:val="left"/>
      <w:pPr>
        <w:ind w:left="7128" w:hanging="360"/>
      </w:pPr>
      <w:rPr>
        <w:rFonts w:hint="default"/>
        <w:lang w:val="en-US" w:eastAsia="en-US" w:bidi="ar-SA"/>
      </w:rPr>
    </w:lvl>
    <w:lvl w:ilvl="7" w:tplc="51C672BA">
      <w:numFmt w:val="bullet"/>
      <w:lvlText w:val="•"/>
      <w:lvlJc w:val="left"/>
      <w:pPr>
        <w:ind w:left="7956" w:hanging="360"/>
      </w:pPr>
      <w:rPr>
        <w:rFonts w:hint="default"/>
        <w:lang w:val="en-US" w:eastAsia="en-US" w:bidi="ar-SA"/>
      </w:rPr>
    </w:lvl>
    <w:lvl w:ilvl="8" w:tplc="ED94FEBA">
      <w:numFmt w:val="bullet"/>
      <w:lvlText w:val="•"/>
      <w:lvlJc w:val="left"/>
      <w:pPr>
        <w:ind w:left="8784" w:hanging="360"/>
      </w:pPr>
      <w:rPr>
        <w:rFonts w:hint="default"/>
        <w:lang w:val="en-US" w:eastAsia="en-US" w:bidi="ar-SA"/>
      </w:rPr>
    </w:lvl>
  </w:abstractNum>
  <w:abstractNum w:abstractNumId="166" w15:restartNumberingAfterBreak="0">
    <w:nsid w:val="5B3B38E1"/>
    <w:multiLevelType w:val="hybridMultilevel"/>
    <w:tmpl w:val="C28E5D16"/>
    <w:lvl w:ilvl="0" w:tplc="75247A0E">
      <w:start w:val="3"/>
      <w:numFmt w:val="decimal"/>
      <w:lvlText w:val="%1)"/>
      <w:lvlJc w:val="left"/>
      <w:pPr>
        <w:ind w:left="711" w:hanging="577"/>
        <w:jc w:val="left"/>
      </w:pPr>
      <w:rPr>
        <w:rFonts w:ascii="Arial" w:eastAsia="Arial" w:hAnsi="Arial" w:cs="Arial" w:hint="default"/>
        <w:b w:val="0"/>
        <w:bCs w:val="0"/>
        <w:i w:val="0"/>
        <w:iCs w:val="0"/>
        <w:spacing w:val="0"/>
        <w:w w:val="99"/>
        <w:sz w:val="22"/>
        <w:szCs w:val="22"/>
        <w:lang w:val="en-US" w:eastAsia="en-US" w:bidi="ar-SA"/>
      </w:rPr>
    </w:lvl>
    <w:lvl w:ilvl="1" w:tplc="F336F160">
      <w:numFmt w:val="bullet"/>
      <w:lvlText w:val=""/>
      <w:lvlJc w:val="left"/>
      <w:pPr>
        <w:ind w:left="1069" w:hanging="360"/>
      </w:pPr>
      <w:rPr>
        <w:rFonts w:ascii="Symbol" w:eastAsia="Symbol" w:hAnsi="Symbol" w:cs="Symbol" w:hint="default"/>
        <w:b w:val="0"/>
        <w:bCs w:val="0"/>
        <w:i w:val="0"/>
        <w:iCs w:val="0"/>
        <w:spacing w:val="0"/>
        <w:w w:val="99"/>
        <w:sz w:val="22"/>
        <w:szCs w:val="22"/>
        <w:lang w:val="en-US" w:eastAsia="en-US" w:bidi="ar-SA"/>
      </w:rPr>
    </w:lvl>
    <w:lvl w:ilvl="2" w:tplc="B9EE4D98">
      <w:numFmt w:val="bullet"/>
      <w:lvlText w:val="•"/>
      <w:lvlJc w:val="left"/>
      <w:pPr>
        <w:ind w:left="1719" w:hanging="360"/>
      </w:pPr>
      <w:rPr>
        <w:rFonts w:hint="default"/>
        <w:lang w:val="en-US" w:eastAsia="en-US" w:bidi="ar-SA"/>
      </w:rPr>
    </w:lvl>
    <w:lvl w:ilvl="3" w:tplc="2C481414">
      <w:numFmt w:val="bullet"/>
      <w:lvlText w:val="•"/>
      <w:lvlJc w:val="left"/>
      <w:pPr>
        <w:ind w:left="2378" w:hanging="360"/>
      </w:pPr>
      <w:rPr>
        <w:rFonts w:hint="default"/>
        <w:lang w:val="en-US" w:eastAsia="en-US" w:bidi="ar-SA"/>
      </w:rPr>
    </w:lvl>
    <w:lvl w:ilvl="4" w:tplc="C642473E">
      <w:numFmt w:val="bullet"/>
      <w:lvlText w:val="•"/>
      <w:lvlJc w:val="left"/>
      <w:pPr>
        <w:ind w:left="3038" w:hanging="360"/>
      </w:pPr>
      <w:rPr>
        <w:rFonts w:hint="default"/>
        <w:lang w:val="en-US" w:eastAsia="en-US" w:bidi="ar-SA"/>
      </w:rPr>
    </w:lvl>
    <w:lvl w:ilvl="5" w:tplc="9DC89EBE">
      <w:numFmt w:val="bullet"/>
      <w:lvlText w:val="•"/>
      <w:lvlJc w:val="left"/>
      <w:pPr>
        <w:ind w:left="3697" w:hanging="360"/>
      </w:pPr>
      <w:rPr>
        <w:rFonts w:hint="default"/>
        <w:lang w:val="en-US" w:eastAsia="en-US" w:bidi="ar-SA"/>
      </w:rPr>
    </w:lvl>
    <w:lvl w:ilvl="6" w:tplc="90348C5C">
      <w:numFmt w:val="bullet"/>
      <w:lvlText w:val="•"/>
      <w:lvlJc w:val="left"/>
      <w:pPr>
        <w:ind w:left="4357" w:hanging="360"/>
      </w:pPr>
      <w:rPr>
        <w:rFonts w:hint="default"/>
        <w:lang w:val="en-US" w:eastAsia="en-US" w:bidi="ar-SA"/>
      </w:rPr>
    </w:lvl>
    <w:lvl w:ilvl="7" w:tplc="076ACCCE">
      <w:numFmt w:val="bullet"/>
      <w:lvlText w:val="•"/>
      <w:lvlJc w:val="left"/>
      <w:pPr>
        <w:ind w:left="5016" w:hanging="360"/>
      </w:pPr>
      <w:rPr>
        <w:rFonts w:hint="default"/>
        <w:lang w:val="en-US" w:eastAsia="en-US" w:bidi="ar-SA"/>
      </w:rPr>
    </w:lvl>
    <w:lvl w:ilvl="8" w:tplc="9DD229B4">
      <w:numFmt w:val="bullet"/>
      <w:lvlText w:val="•"/>
      <w:lvlJc w:val="left"/>
      <w:pPr>
        <w:ind w:left="5676" w:hanging="360"/>
      </w:pPr>
      <w:rPr>
        <w:rFonts w:hint="default"/>
        <w:lang w:val="en-US" w:eastAsia="en-US" w:bidi="ar-SA"/>
      </w:rPr>
    </w:lvl>
  </w:abstractNum>
  <w:abstractNum w:abstractNumId="167" w15:restartNumberingAfterBreak="0">
    <w:nsid w:val="5B674951"/>
    <w:multiLevelType w:val="hybridMultilevel"/>
    <w:tmpl w:val="DF1014FC"/>
    <w:lvl w:ilvl="0" w:tplc="851C25AC">
      <w:numFmt w:val="bullet"/>
      <w:lvlText w:val=""/>
      <w:lvlJc w:val="left"/>
      <w:pPr>
        <w:ind w:left="485" w:hanging="360"/>
      </w:pPr>
      <w:rPr>
        <w:rFonts w:ascii="Symbol" w:eastAsia="Symbol" w:hAnsi="Symbol" w:cs="Symbol" w:hint="default"/>
        <w:b w:val="0"/>
        <w:bCs w:val="0"/>
        <w:i w:val="0"/>
        <w:iCs w:val="0"/>
        <w:spacing w:val="0"/>
        <w:w w:val="99"/>
        <w:sz w:val="22"/>
        <w:szCs w:val="22"/>
        <w:lang w:val="en-US" w:eastAsia="en-US" w:bidi="ar-SA"/>
      </w:rPr>
    </w:lvl>
    <w:lvl w:ilvl="1" w:tplc="B9EE55A6">
      <w:numFmt w:val="bullet"/>
      <w:lvlText w:val="•"/>
      <w:lvlJc w:val="left"/>
      <w:pPr>
        <w:ind w:left="1354" w:hanging="360"/>
      </w:pPr>
      <w:rPr>
        <w:rFonts w:hint="default"/>
        <w:lang w:val="en-US" w:eastAsia="en-US" w:bidi="ar-SA"/>
      </w:rPr>
    </w:lvl>
    <w:lvl w:ilvl="2" w:tplc="43BCDA7A">
      <w:numFmt w:val="bullet"/>
      <w:lvlText w:val="•"/>
      <w:lvlJc w:val="left"/>
      <w:pPr>
        <w:ind w:left="2229" w:hanging="360"/>
      </w:pPr>
      <w:rPr>
        <w:rFonts w:hint="default"/>
        <w:lang w:val="en-US" w:eastAsia="en-US" w:bidi="ar-SA"/>
      </w:rPr>
    </w:lvl>
    <w:lvl w:ilvl="3" w:tplc="F508F668">
      <w:numFmt w:val="bullet"/>
      <w:lvlText w:val="•"/>
      <w:lvlJc w:val="left"/>
      <w:pPr>
        <w:ind w:left="3103" w:hanging="360"/>
      </w:pPr>
      <w:rPr>
        <w:rFonts w:hint="default"/>
        <w:lang w:val="en-US" w:eastAsia="en-US" w:bidi="ar-SA"/>
      </w:rPr>
    </w:lvl>
    <w:lvl w:ilvl="4" w:tplc="9E04A018">
      <w:numFmt w:val="bullet"/>
      <w:lvlText w:val="•"/>
      <w:lvlJc w:val="left"/>
      <w:pPr>
        <w:ind w:left="3978" w:hanging="360"/>
      </w:pPr>
      <w:rPr>
        <w:rFonts w:hint="default"/>
        <w:lang w:val="en-US" w:eastAsia="en-US" w:bidi="ar-SA"/>
      </w:rPr>
    </w:lvl>
    <w:lvl w:ilvl="5" w:tplc="3F12FE38">
      <w:numFmt w:val="bullet"/>
      <w:lvlText w:val="•"/>
      <w:lvlJc w:val="left"/>
      <w:pPr>
        <w:ind w:left="4852" w:hanging="360"/>
      </w:pPr>
      <w:rPr>
        <w:rFonts w:hint="default"/>
        <w:lang w:val="en-US" w:eastAsia="en-US" w:bidi="ar-SA"/>
      </w:rPr>
    </w:lvl>
    <w:lvl w:ilvl="6" w:tplc="743480AE">
      <w:numFmt w:val="bullet"/>
      <w:lvlText w:val="•"/>
      <w:lvlJc w:val="left"/>
      <w:pPr>
        <w:ind w:left="5727" w:hanging="360"/>
      </w:pPr>
      <w:rPr>
        <w:rFonts w:hint="default"/>
        <w:lang w:val="en-US" w:eastAsia="en-US" w:bidi="ar-SA"/>
      </w:rPr>
    </w:lvl>
    <w:lvl w:ilvl="7" w:tplc="36BE6984">
      <w:numFmt w:val="bullet"/>
      <w:lvlText w:val="•"/>
      <w:lvlJc w:val="left"/>
      <w:pPr>
        <w:ind w:left="6601" w:hanging="360"/>
      </w:pPr>
      <w:rPr>
        <w:rFonts w:hint="default"/>
        <w:lang w:val="en-US" w:eastAsia="en-US" w:bidi="ar-SA"/>
      </w:rPr>
    </w:lvl>
    <w:lvl w:ilvl="8" w:tplc="761ECACA">
      <w:numFmt w:val="bullet"/>
      <w:lvlText w:val="•"/>
      <w:lvlJc w:val="left"/>
      <w:pPr>
        <w:ind w:left="7476" w:hanging="360"/>
      </w:pPr>
      <w:rPr>
        <w:rFonts w:hint="default"/>
        <w:lang w:val="en-US" w:eastAsia="en-US" w:bidi="ar-SA"/>
      </w:rPr>
    </w:lvl>
  </w:abstractNum>
  <w:abstractNum w:abstractNumId="168" w15:restartNumberingAfterBreak="0">
    <w:nsid w:val="5CC36709"/>
    <w:multiLevelType w:val="hybridMultilevel"/>
    <w:tmpl w:val="29D0806A"/>
    <w:lvl w:ilvl="0" w:tplc="0A8638F4">
      <w:start w:val="1"/>
      <w:numFmt w:val="decimal"/>
      <w:lvlText w:val="%1."/>
      <w:lvlJc w:val="left"/>
      <w:pPr>
        <w:ind w:left="1337" w:hanging="360"/>
        <w:jc w:val="left"/>
      </w:pPr>
      <w:rPr>
        <w:rFonts w:ascii="Arial" w:eastAsia="Arial" w:hAnsi="Arial" w:cs="Arial" w:hint="default"/>
        <w:b w:val="0"/>
        <w:bCs w:val="0"/>
        <w:i w:val="0"/>
        <w:iCs w:val="0"/>
        <w:spacing w:val="0"/>
        <w:w w:val="99"/>
        <w:sz w:val="22"/>
        <w:szCs w:val="22"/>
        <w:lang w:val="en-US" w:eastAsia="en-US" w:bidi="ar-SA"/>
      </w:rPr>
    </w:lvl>
    <w:lvl w:ilvl="1" w:tplc="34BA3FC8">
      <w:start w:val="1"/>
      <w:numFmt w:val="lowerLetter"/>
      <w:lvlText w:val="%2."/>
      <w:lvlJc w:val="left"/>
      <w:pPr>
        <w:ind w:left="1697" w:hanging="360"/>
        <w:jc w:val="left"/>
      </w:pPr>
      <w:rPr>
        <w:rFonts w:ascii="Arial" w:eastAsia="Arial" w:hAnsi="Arial" w:cs="Arial" w:hint="default"/>
        <w:b w:val="0"/>
        <w:bCs w:val="0"/>
        <w:i w:val="0"/>
        <w:iCs w:val="0"/>
        <w:spacing w:val="0"/>
        <w:w w:val="99"/>
        <w:sz w:val="22"/>
        <w:szCs w:val="22"/>
        <w:lang w:val="en-US" w:eastAsia="en-US" w:bidi="ar-SA"/>
      </w:rPr>
    </w:lvl>
    <w:lvl w:ilvl="2" w:tplc="5B648482">
      <w:numFmt w:val="bullet"/>
      <w:lvlText w:val="•"/>
      <w:lvlJc w:val="left"/>
      <w:pPr>
        <w:ind w:left="2293" w:hanging="360"/>
      </w:pPr>
      <w:rPr>
        <w:rFonts w:hint="default"/>
        <w:lang w:val="en-US" w:eastAsia="en-US" w:bidi="ar-SA"/>
      </w:rPr>
    </w:lvl>
    <w:lvl w:ilvl="3" w:tplc="0326409C">
      <w:numFmt w:val="bullet"/>
      <w:lvlText w:val="•"/>
      <w:lvlJc w:val="left"/>
      <w:pPr>
        <w:ind w:left="2886" w:hanging="360"/>
      </w:pPr>
      <w:rPr>
        <w:rFonts w:hint="default"/>
        <w:lang w:val="en-US" w:eastAsia="en-US" w:bidi="ar-SA"/>
      </w:rPr>
    </w:lvl>
    <w:lvl w:ilvl="4" w:tplc="25F22194">
      <w:numFmt w:val="bullet"/>
      <w:lvlText w:val="•"/>
      <w:lvlJc w:val="left"/>
      <w:pPr>
        <w:ind w:left="3480" w:hanging="360"/>
      </w:pPr>
      <w:rPr>
        <w:rFonts w:hint="default"/>
        <w:lang w:val="en-US" w:eastAsia="en-US" w:bidi="ar-SA"/>
      </w:rPr>
    </w:lvl>
    <w:lvl w:ilvl="5" w:tplc="7952D69E">
      <w:numFmt w:val="bullet"/>
      <w:lvlText w:val="•"/>
      <w:lvlJc w:val="left"/>
      <w:pPr>
        <w:ind w:left="4073" w:hanging="360"/>
      </w:pPr>
      <w:rPr>
        <w:rFonts w:hint="default"/>
        <w:lang w:val="en-US" w:eastAsia="en-US" w:bidi="ar-SA"/>
      </w:rPr>
    </w:lvl>
    <w:lvl w:ilvl="6" w:tplc="ED2E9384">
      <w:numFmt w:val="bullet"/>
      <w:lvlText w:val="•"/>
      <w:lvlJc w:val="left"/>
      <w:pPr>
        <w:ind w:left="4666" w:hanging="360"/>
      </w:pPr>
      <w:rPr>
        <w:rFonts w:hint="default"/>
        <w:lang w:val="en-US" w:eastAsia="en-US" w:bidi="ar-SA"/>
      </w:rPr>
    </w:lvl>
    <w:lvl w:ilvl="7" w:tplc="CE10D646">
      <w:numFmt w:val="bullet"/>
      <w:lvlText w:val="•"/>
      <w:lvlJc w:val="left"/>
      <w:pPr>
        <w:ind w:left="5260" w:hanging="360"/>
      </w:pPr>
      <w:rPr>
        <w:rFonts w:hint="default"/>
        <w:lang w:val="en-US" w:eastAsia="en-US" w:bidi="ar-SA"/>
      </w:rPr>
    </w:lvl>
    <w:lvl w:ilvl="8" w:tplc="D196E5CA">
      <w:numFmt w:val="bullet"/>
      <w:lvlText w:val="•"/>
      <w:lvlJc w:val="left"/>
      <w:pPr>
        <w:ind w:left="5853" w:hanging="360"/>
      </w:pPr>
      <w:rPr>
        <w:rFonts w:hint="default"/>
        <w:lang w:val="en-US" w:eastAsia="en-US" w:bidi="ar-SA"/>
      </w:rPr>
    </w:lvl>
  </w:abstractNum>
  <w:abstractNum w:abstractNumId="169" w15:restartNumberingAfterBreak="0">
    <w:nsid w:val="5CDD5306"/>
    <w:multiLevelType w:val="hybridMultilevel"/>
    <w:tmpl w:val="9DF41320"/>
    <w:lvl w:ilvl="0" w:tplc="27FAFCC4">
      <w:start w:val="802"/>
      <w:numFmt w:val="decimal"/>
      <w:lvlText w:val="%1"/>
      <w:lvlJc w:val="left"/>
      <w:pPr>
        <w:ind w:left="2519" w:hanging="1620"/>
        <w:jc w:val="left"/>
      </w:pPr>
      <w:rPr>
        <w:rFonts w:ascii="Arial" w:eastAsia="Arial" w:hAnsi="Arial" w:cs="Arial" w:hint="default"/>
        <w:b w:val="0"/>
        <w:bCs w:val="0"/>
        <w:i w:val="0"/>
        <w:iCs w:val="0"/>
        <w:spacing w:val="0"/>
        <w:w w:val="99"/>
        <w:sz w:val="22"/>
        <w:szCs w:val="22"/>
        <w:lang w:val="en-US" w:eastAsia="en-US" w:bidi="ar-SA"/>
      </w:rPr>
    </w:lvl>
    <w:lvl w:ilvl="1" w:tplc="A79E0536">
      <w:numFmt w:val="bullet"/>
      <w:lvlText w:val="•"/>
      <w:lvlJc w:val="left"/>
      <w:pPr>
        <w:ind w:left="3312" w:hanging="1620"/>
      </w:pPr>
      <w:rPr>
        <w:rFonts w:hint="default"/>
        <w:lang w:val="en-US" w:eastAsia="en-US" w:bidi="ar-SA"/>
      </w:rPr>
    </w:lvl>
    <w:lvl w:ilvl="2" w:tplc="6BE23692">
      <w:numFmt w:val="bullet"/>
      <w:lvlText w:val="•"/>
      <w:lvlJc w:val="left"/>
      <w:pPr>
        <w:ind w:left="4104" w:hanging="1620"/>
      </w:pPr>
      <w:rPr>
        <w:rFonts w:hint="default"/>
        <w:lang w:val="en-US" w:eastAsia="en-US" w:bidi="ar-SA"/>
      </w:rPr>
    </w:lvl>
    <w:lvl w:ilvl="3" w:tplc="E09A2DCC">
      <w:numFmt w:val="bullet"/>
      <w:lvlText w:val="•"/>
      <w:lvlJc w:val="left"/>
      <w:pPr>
        <w:ind w:left="4896" w:hanging="1620"/>
      </w:pPr>
      <w:rPr>
        <w:rFonts w:hint="default"/>
        <w:lang w:val="en-US" w:eastAsia="en-US" w:bidi="ar-SA"/>
      </w:rPr>
    </w:lvl>
    <w:lvl w:ilvl="4" w:tplc="42BEE66C">
      <w:numFmt w:val="bullet"/>
      <w:lvlText w:val="•"/>
      <w:lvlJc w:val="left"/>
      <w:pPr>
        <w:ind w:left="5688" w:hanging="1620"/>
      </w:pPr>
      <w:rPr>
        <w:rFonts w:hint="default"/>
        <w:lang w:val="en-US" w:eastAsia="en-US" w:bidi="ar-SA"/>
      </w:rPr>
    </w:lvl>
    <w:lvl w:ilvl="5" w:tplc="5426B100">
      <w:numFmt w:val="bullet"/>
      <w:lvlText w:val="•"/>
      <w:lvlJc w:val="left"/>
      <w:pPr>
        <w:ind w:left="6480" w:hanging="1620"/>
      </w:pPr>
      <w:rPr>
        <w:rFonts w:hint="default"/>
        <w:lang w:val="en-US" w:eastAsia="en-US" w:bidi="ar-SA"/>
      </w:rPr>
    </w:lvl>
    <w:lvl w:ilvl="6" w:tplc="E4E6CB52">
      <w:numFmt w:val="bullet"/>
      <w:lvlText w:val="•"/>
      <w:lvlJc w:val="left"/>
      <w:pPr>
        <w:ind w:left="7272" w:hanging="1620"/>
      </w:pPr>
      <w:rPr>
        <w:rFonts w:hint="default"/>
        <w:lang w:val="en-US" w:eastAsia="en-US" w:bidi="ar-SA"/>
      </w:rPr>
    </w:lvl>
    <w:lvl w:ilvl="7" w:tplc="7DE652F2">
      <w:numFmt w:val="bullet"/>
      <w:lvlText w:val="•"/>
      <w:lvlJc w:val="left"/>
      <w:pPr>
        <w:ind w:left="8064" w:hanging="1620"/>
      </w:pPr>
      <w:rPr>
        <w:rFonts w:hint="default"/>
        <w:lang w:val="en-US" w:eastAsia="en-US" w:bidi="ar-SA"/>
      </w:rPr>
    </w:lvl>
    <w:lvl w:ilvl="8" w:tplc="72605E32">
      <w:numFmt w:val="bullet"/>
      <w:lvlText w:val="•"/>
      <w:lvlJc w:val="left"/>
      <w:pPr>
        <w:ind w:left="8856" w:hanging="1620"/>
      </w:pPr>
      <w:rPr>
        <w:rFonts w:hint="default"/>
        <w:lang w:val="en-US" w:eastAsia="en-US" w:bidi="ar-SA"/>
      </w:rPr>
    </w:lvl>
  </w:abstractNum>
  <w:abstractNum w:abstractNumId="170" w15:restartNumberingAfterBreak="0">
    <w:nsid w:val="5D8C006C"/>
    <w:multiLevelType w:val="hybridMultilevel"/>
    <w:tmpl w:val="B2F4C02A"/>
    <w:lvl w:ilvl="0" w:tplc="7F2421DE">
      <w:start w:val="10"/>
      <w:numFmt w:val="decimal"/>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870A1C4E">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3B1ABEDC">
      <w:numFmt w:val="bullet"/>
      <w:lvlText w:val=""/>
      <w:lvlJc w:val="left"/>
      <w:pPr>
        <w:ind w:left="2520" w:hanging="360"/>
      </w:pPr>
      <w:rPr>
        <w:rFonts w:ascii="Symbol" w:eastAsia="Symbol" w:hAnsi="Symbol" w:cs="Symbol" w:hint="default"/>
        <w:b w:val="0"/>
        <w:bCs w:val="0"/>
        <w:i w:val="0"/>
        <w:iCs w:val="0"/>
        <w:spacing w:val="0"/>
        <w:w w:val="99"/>
        <w:sz w:val="22"/>
        <w:szCs w:val="22"/>
        <w:lang w:val="en-US" w:eastAsia="en-US" w:bidi="ar-SA"/>
      </w:rPr>
    </w:lvl>
    <w:lvl w:ilvl="3" w:tplc="8ABCF932">
      <w:numFmt w:val="bullet"/>
      <w:lvlText w:val="•"/>
      <w:lvlJc w:val="left"/>
      <w:pPr>
        <w:ind w:left="3510" w:hanging="360"/>
      </w:pPr>
      <w:rPr>
        <w:rFonts w:hint="default"/>
        <w:lang w:val="en-US" w:eastAsia="en-US" w:bidi="ar-SA"/>
      </w:rPr>
    </w:lvl>
    <w:lvl w:ilvl="4" w:tplc="95B023E2">
      <w:numFmt w:val="bullet"/>
      <w:lvlText w:val="•"/>
      <w:lvlJc w:val="left"/>
      <w:pPr>
        <w:ind w:left="4500" w:hanging="360"/>
      </w:pPr>
      <w:rPr>
        <w:rFonts w:hint="default"/>
        <w:lang w:val="en-US" w:eastAsia="en-US" w:bidi="ar-SA"/>
      </w:rPr>
    </w:lvl>
    <w:lvl w:ilvl="5" w:tplc="08B423F8">
      <w:numFmt w:val="bullet"/>
      <w:lvlText w:val="•"/>
      <w:lvlJc w:val="left"/>
      <w:pPr>
        <w:ind w:left="5490" w:hanging="360"/>
      </w:pPr>
      <w:rPr>
        <w:rFonts w:hint="default"/>
        <w:lang w:val="en-US" w:eastAsia="en-US" w:bidi="ar-SA"/>
      </w:rPr>
    </w:lvl>
    <w:lvl w:ilvl="6" w:tplc="37924960">
      <w:numFmt w:val="bullet"/>
      <w:lvlText w:val="•"/>
      <w:lvlJc w:val="left"/>
      <w:pPr>
        <w:ind w:left="6480" w:hanging="360"/>
      </w:pPr>
      <w:rPr>
        <w:rFonts w:hint="default"/>
        <w:lang w:val="en-US" w:eastAsia="en-US" w:bidi="ar-SA"/>
      </w:rPr>
    </w:lvl>
    <w:lvl w:ilvl="7" w:tplc="55447476">
      <w:numFmt w:val="bullet"/>
      <w:lvlText w:val="•"/>
      <w:lvlJc w:val="left"/>
      <w:pPr>
        <w:ind w:left="7470" w:hanging="360"/>
      </w:pPr>
      <w:rPr>
        <w:rFonts w:hint="default"/>
        <w:lang w:val="en-US" w:eastAsia="en-US" w:bidi="ar-SA"/>
      </w:rPr>
    </w:lvl>
    <w:lvl w:ilvl="8" w:tplc="71A2E778">
      <w:numFmt w:val="bullet"/>
      <w:lvlText w:val="•"/>
      <w:lvlJc w:val="left"/>
      <w:pPr>
        <w:ind w:left="8460" w:hanging="360"/>
      </w:pPr>
      <w:rPr>
        <w:rFonts w:hint="default"/>
        <w:lang w:val="en-US" w:eastAsia="en-US" w:bidi="ar-SA"/>
      </w:rPr>
    </w:lvl>
  </w:abstractNum>
  <w:abstractNum w:abstractNumId="171" w15:restartNumberingAfterBreak="0">
    <w:nsid w:val="5DED1BD8"/>
    <w:multiLevelType w:val="hybridMultilevel"/>
    <w:tmpl w:val="D174CF68"/>
    <w:lvl w:ilvl="0" w:tplc="41189BC0">
      <w:start w:val="1"/>
      <w:numFmt w:val="decimalZero"/>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A8C41B6A">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27C2C276">
      <w:numFmt w:val="bullet"/>
      <w:lvlText w:val="•"/>
      <w:lvlJc w:val="left"/>
      <w:pPr>
        <w:ind w:left="3080" w:hanging="360"/>
      </w:pPr>
      <w:rPr>
        <w:rFonts w:hint="default"/>
        <w:lang w:val="en-US" w:eastAsia="en-US" w:bidi="ar-SA"/>
      </w:rPr>
    </w:lvl>
    <w:lvl w:ilvl="3" w:tplc="E0ACA51C">
      <w:numFmt w:val="bullet"/>
      <w:lvlText w:val="•"/>
      <w:lvlJc w:val="left"/>
      <w:pPr>
        <w:ind w:left="4000" w:hanging="360"/>
      </w:pPr>
      <w:rPr>
        <w:rFonts w:hint="default"/>
        <w:lang w:val="en-US" w:eastAsia="en-US" w:bidi="ar-SA"/>
      </w:rPr>
    </w:lvl>
    <w:lvl w:ilvl="4" w:tplc="935A7AFA">
      <w:numFmt w:val="bullet"/>
      <w:lvlText w:val="•"/>
      <w:lvlJc w:val="left"/>
      <w:pPr>
        <w:ind w:left="4920" w:hanging="360"/>
      </w:pPr>
      <w:rPr>
        <w:rFonts w:hint="default"/>
        <w:lang w:val="en-US" w:eastAsia="en-US" w:bidi="ar-SA"/>
      </w:rPr>
    </w:lvl>
    <w:lvl w:ilvl="5" w:tplc="423EA62C">
      <w:numFmt w:val="bullet"/>
      <w:lvlText w:val="•"/>
      <w:lvlJc w:val="left"/>
      <w:pPr>
        <w:ind w:left="5840" w:hanging="360"/>
      </w:pPr>
      <w:rPr>
        <w:rFonts w:hint="default"/>
        <w:lang w:val="en-US" w:eastAsia="en-US" w:bidi="ar-SA"/>
      </w:rPr>
    </w:lvl>
    <w:lvl w:ilvl="6" w:tplc="6762A4C8">
      <w:numFmt w:val="bullet"/>
      <w:lvlText w:val="•"/>
      <w:lvlJc w:val="left"/>
      <w:pPr>
        <w:ind w:left="6760" w:hanging="360"/>
      </w:pPr>
      <w:rPr>
        <w:rFonts w:hint="default"/>
        <w:lang w:val="en-US" w:eastAsia="en-US" w:bidi="ar-SA"/>
      </w:rPr>
    </w:lvl>
    <w:lvl w:ilvl="7" w:tplc="3BDCB806">
      <w:numFmt w:val="bullet"/>
      <w:lvlText w:val="•"/>
      <w:lvlJc w:val="left"/>
      <w:pPr>
        <w:ind w:left="7680" w:hanging="360"/>
      </w:pPr>
      <w:rPr>
        <w:rFonts w:hint="default"/>
        <w:lang w:val="en-US" w:eastAsia="en-US" w:bidi="ar-SA"/>
      </w:rPr>
    </w:lvl>
    <w:lvl w:ilvl="8" w:tplc="48D226A8">
      <w:numFmt w:val="bullet"/>
      <w:lvlText w:val="•"/>
      <w:lvlJc w:val="left"/>
      <w:pPr>
        <w:ind w:left="8600" w:hanging="360"/>
      </w:pPr>
      <w:rPr>
        <w:rFonts w:hint="default"/>
        <w:lang w:val="en-US" w:eastAsia="en-US" w:bidi="ar-SA"/>
      </w:rPr>
    </w:lvl>
  </w:abstractNum>
  <w:abstractNum w:abstractNumId="172" w15:restartNumberingAfterBreak="0">
    <w:nsid w:val="5E327ACC"/>
    <w:multiLevelType w:val="hybridMultilevel"/>
    <w:tmpl w:val="4F2CBF68"/>
    <w:lvl w:ilvl="0" w:tplc="AC5CB704">
      <w:start w:val="1"/>
      <w:numFmt w:val="lowerLetter"/>
      <w:lvlText w:val="%1."/>
      <w:lvlJc w:val="left"/>
      <w:pPr>
        <w:ind w:left="1249" w:hanging="360"/>
        <w:jc w:val="left"/>
      </w:pPr>
      <w:rPr>
        <w:rFonts w:ascii="Arial" w:eastAsia="Arial" w:hAnsi="Arial" w:cs="Arial" w:hint="default"/>
        <w:b w:val="0"/>
        <w:bCs w:val="0"/>
        <w:i w:val="0"/>
        <w:iCs w:val="0"/>
        <w:spacing w:val="0"/>
        <w:w w:val="99"/>
        <w:sz w:val="22"/>
        <w:szCs w:val="22"/>
        <w:lang w:val="en-US" w:eastAsia="en-US" w:bidi="ar-SA"/>
      </w:rPr>
    </w:lvl>
    <w:lvl w:ilvl="1" w:tplc="92904A72">
      <w:numFmt w:val="bullet"/>
      <w:lvlText w:val=""/>
      <w:lvlJc w:val="left"/>
      <w:pPr>
        <w:ind w:left="1606" w:hanging="363"/>
      </w:pPr>
      <w:rPr>
        <w:rFonts w:ascii="Symbol" w:eastAsia="Symbol" w:hAnsi="Symbol" w:cs="Symbol" w:hint="default"/>
        <w:spacing w:val="0"/>
        <w:w w:val="99"/>
        <w:lang w:val="en-US" w:eastAsia="en-US" w:bidi="ar-SA"/>
      </w:rPr>
    </w:lvl>
    <w:lvl w:ilvl="2" w:tplc="80A83BC2">
      <w:numFmt w:val="bullet"/>
      <w:lvlText w:val="•"/>
      <w:lvlJc w:val="left"/>
      <w:pPr>
        <w:ind w:left="2238" w:hanging="363"/>
      </w:pPr>
      <w:rPr>
        <w:rFonts w:hint="default"/>
        <w:lang w:val="en-US" w:eastAsia="en-US" w:bidi="ar-SA"/>
      </w:rPr>
    </w:lvl>
    <w:lvl w:ilvl="3" w:tplc="009CD288">
      <w:numFmt w:val="bullet"/>
      <w:lvlText w:val="•"/>
      <w:lvlJc w:val="left"/>
      <w:pPr>
        <w:ind w:left="2877" w:hanging="363"/>
      </w:pPr>
      <w:rPr>
        <w:rFonts w:hint="default"/>
        <w:lang w:val="en-US" w:eastAsia="en-US" w:bidi="ar-SA"/>
      </w:rPr>
    </w:lvl>
    <w:lvl w:ilvl="4" w:tplc="6AC694E2">
      <w:numFmt w:val="bullet"/>
      <w:lvlText w:val="•"/>
      <w:lvlJc w:val="left"/>
      <w:pPr>
        <w:ind w:left="3516" w:hanging="363"/>
      </w:pPr>
      <w:rPr>
        <w:rFonts w:hint="default"/>
        <w:lang w:val="en-US" w:eastAsia="en-US" w:bidi="ar-SA"/>
      </w:rPr>
    </w:lvl>
    <w:lvl w:ilvl="5" w:tplc="0E7880B8">
      <w:numFmt w:val="bullet"/>
      <w:lvlText w:val="•"/>
      <w:lvlJc w:val="left"/>
      <w:pPr>
        <w:ind w:left="4155" w:hanging="363"/>
      </w:pPr>
      <w:rPr>
        <w:rFonts w:hint="default"/>
        <w:lang w:val="en-US" w:eastAsia="en-US" w:bidi="ar-SA"/>
      </w:rPr>
    </w:lvl>
    <w:lvl w:ilvl="6" w:tplc="A45AA7FA">
      <w:numFmt w:val="bullet"/>
      <w:lvlText w:val="•"/>
      <w:lvlJc w:val="left"/>
      <w:pPr>
        <w:ind w:left="4794" w:hanging="363"/>
      </w:pPr>
      <w:rPr>
        <w:rFonts w:hint="default"/>
        <w:lang w:val="en-US" w:eastAsia="en-US" w:bidi="ar-SA"/>
      </w:rPr>
    </w:lvl>
    <w:lvl w:ilvl="7" w:tplc="8A4887D8">
      <w:numFmt w:val="bullet"/>
      <w:lvlText w:val="•"/>
      <w:lvlJc w:val="left"/>
      <w:pPr>
        <w:ind w:left="5433" w:hanging="363"/>
      </w:pPr>
      <w:rPr>
        <w:rFonts w:hint="default"/>
        <w:lang w:val="en-US" w:eastAsia="en-US" w:bidi="ar-SA"/>
      </w:rPr>
    </w:lvl>
    <w:lvl w:ilvl="8" w:tplc="D4404914">
      <w:numFmt w:val="bullet"/>
      <w:lvlText w:val="•"/>
      <w:lvlJc w:val="left"/>
      <w:pPr>
        <w:ind w:left="6072" w:hanging="363"/>
      </w:pPr>
      <w:rPr>
        <w:rFonts w:hint="default"/>
        <w:lang w:val="en-US" w:eastAsia="en-US" w:bidi="ar-SA"/>
      </w:rPr>
    </w:lvl>
  </w:abstractNum>
  <w:abstractNum w:abstractNumId="173" w15:restartNumberingAfterBreak="0">
    <w:nsid w:val="5FCD0324"/>
    <w:multiLevelType w:val="hybridMultilevel"/>
    <w:tmpl w:val="6F30E750"/>
    <w:lvl w:ilvl="0" w:tplc="7CCAF27C">
      <w:numFmt w:val="bullet"/>
      <w:lvlText w:val=""/>
      <w:lvlJc w:val="left"/>
      <w:pPr>
        <w:ind w:left="320" w:hanging="186"/>
      </w:pPr>
      <w:rPr>
        <w:rFonts w:ascii="Symbol" w:eastAsia="Symbol" w:hAnsi="Symbol" w:cs="Symbol" w:hint="default"/>
        <w:b w:val="0"/>
        <w:bCs w:val="0"/>
        <w:i w:val="0"/>
        <w:iCs w:val="0"/>
        <w:spacing w:val="0"/>
        <w:w w:val="100"/>
        <w:sz w:val="18"/>
        <w:szCs w:val="18"/>
        <w:lang w:val="en-US" w:eastAsia="en-US" w:bidi="ar-SA"/>
      </w:rPr>
    </w:lvl>
    <w:lvl w:ilvl="1" w:tplc="37A0609C">
      <w:numFmt w:val="bullet"/>
      <w:lvlText w:val="•"/>
      <w:lvlJc w:val="left"/>
      <w:pPr>
        <w:ind w:left="1001" w:hanging="186"/>
      </w:pPr>
      <w:rPr>
        <w:rFonts w:hint="default"/>
        <w:lang w:val="en-US" w:eastAsia="en-US" w:bidi="ar-SA"/>
      </w:rPr>
    </w:lvl>
    <w:lvl w:ilvl="2" w:tplc="98767394">
      <w:numFmt w:val="bullet"/>
      <w:lvlText w:val="•"/>
      <w:lvlJc w:val="left"/>
      <w:pPr>
        <w:ind w:left="1682" w:hanging="186"/>
      </w:pPr>
      <w:rPr>
        <w:rFonts w:hint="default"/>
        <w:lang w:val="en-US" w:eastAsia="en-US" w:bidi="ar-SA"/>
      </w:rPr>
    </w:lvl>
    <w:lvl w:ilvl="3" w:tplc="6810921A">
      <w:numFmt w:val="bullet"/>
      <w:lvlText w:val="•"/>
      <w:lvlJc w:val="left"/>
      <w:pPr>
        <w:ind w:left="2363" w:hanging="186"/>
      </w:pPr>
      <w:rPr>
        <w:rFonts w:hint="default"/>
        <w:lang w:val="en-US" w:eastAsia="en-US" w:bidi="ar-SA"/>
      </w:rPr>
    </w:lvl>
    <w:lvl w:ilvl="4" w:tplc="83B6590C">
      <w:numFmt w:val="bullet"/>
      <w:lvlText w:val="•"/>
      <w:lvlJc w:val="left"/>
      <w:pPr>
        <w:ind w:left="3044" w:hanging="186"/>
      </w:pPr>
      <w:rPr>
        <w:rFonts w:hint="default"/>
        <w:lang w:val="en-US" w:eastAsia="en-US" w:bidi="ar-SA"/>
      </w:rPr>
    </w:lvl>
    <w:lvl w:ilvl="5" w:tplc="90A696C0">
      <w:numFmt w:val="bullet"/>
      <w:lvlText w:val="•"/>
      <w:lvlJc w:val="left"/>
      <w:pPr>
        <w:ind w:left="3725" w:hanging="186"/>
      </w:pPr>
      <w:rPr>
        <w:rFonts w:hint="default"/>
        <w:lang w:val="en-US" w:eastAsia="en-US" w:bidi="ar-SA"/>
      </w:rPr>
    </w:lvl>
    <w:lvl w:ilvl="6" w:tplc="CF5A4430">
      <w:numFmt w:val="bullet"/>
      <w:lvlText w:val="•"/>
      <w:lvlJc w:val="left"/>
      <w:pPr>
        <w:ind w:left="4406" w:hanging="186"/>
      </w:pPr>
      <w:rPr>
        <w:rFonts w:hint="default"/>
        <w:lang w:val="en-US" w:eastAsia="en-US" w:bidi="ar-SA"/>
      </w:rPr>
    </w:lvl>
    <w:lvl w:ilvl="7" w:tplc="5A9439DE">
      <w:numFmt w:val="bullet"/>
      <w:lvlText w:val="•"/>
      <w:lvlJc w:val="left"/>
      <w:pPr>
        <w:ind w:left="5087" w:hanging="186"/>
      </w:pPr>
      <w:rPr>
        <w:rFonts w:hint="default"/>
        <w:lang w:val="en-US" w:eastAsia="en-US" w:bidi="ar-SA"/>
      </w:rPr>
    </w:lvl>
    <w:lvl w:ilvl="8" w:tplc="85CEA294">
      <w:numFmt w:val="bullet"/>
      <w:lvlText w:val="•"/>
      <w:lvlJc w:val="left"/>
      <w:pPr>
        <w:ind w:left="5768" w:hanging="186"/>
      </w:pPr>
      <w:rPr>
        <w:rFonts w:hint="default"/>
        <w:lang w:val="en-US" w:eastAsia="en-US" w:bidi="ar-SA"/>
      </w:rPr>
    </w:lvl>
  </w:abstractNum>
  <w:abstractNum w:abstractNumId="174" w15:restartNumberingAfterBreak="0">
    <w:nsid w:val="5FFD2FB9"/>
    <w:multiLevelType w:val="hybridMultilevel"/>
    <w:tmpl w:val="225C8548"/>
    <w:lvl w:ilvl="0" w:tplc="80F47F84">
      <w:start w:val="3"/>
      <w:numFmt w:val="decimal"/>
      <w:lvlText w:val="%1."/>
      <w:lvlJc w:val="left"/>
      <w:pPr>
        <w:ind w:left="435" w:hanging="359"/>
        <w:jc w:val="left"/>
      </w:pPr>
      <w:rPr>
        <w:rFonts w:ascii="Arial" w:eastAsia="Arial" w:hAnsi="Arial" w:cs="Arial" w:hint="default"/>
        <w:b w:val="0"/>
        <w:bCs w:val="0"/>
        <w:i w:val="0"/>
        <w:iCs w:val="0"/>
        <w:spacing w:val="0"/>
        <w:w w:val="99"/>
        <w:sz w:val="22"/>
        <w:szCs w:val="22"/>
        <w:lang w:val="en-US" w:eastAsia="en-US" w:bidi="ar-SA"/>
      </w:rPr>
    </w:lvl>
    <w:lvl w:ilvl="1" w:tplc="81A883C6">
      <w:numFmt w:val="bullet"/>
      <w:lvlText w:val=""/>
      <w:lvlJc w:val="left"/>
      <w:pPr>
        <w:ind w:left="614" w:hanging="179"/>
      </w:pPr>
      <w:rPr>
        <w:rFonts w:ascii="Symbol" w:eastAsia="Symbol" w:hAnsi="Symbol" w:cs="Symbol" w:hint="default"/>
        <w:b w:val="0"/>
        <w:bCs w:val="0"/>
        <w:i w:val="0"/>
        <w:iCs w:val="0"/>
        <w:spacing w:val="0"/>
        <w:w w:val="99"/>
        <w:sz w:val="16"/>
        <w:szCs w:val="16"/>
        <w:lang w:val="en-US" w:eastAsia="en-US" w:bidi="ar-SA"/>
      </w:rPr>
    </w:lvl>
    <w:lvl w:ilvl="2" w:tplc="C85C0094">
      <w:numFmt w:val="bullet"/>
      <w:lvlText w:val="•"/>
      <w:lvlJc w:val="left"/>
      <w:pPr>
        <w:ind w:left="1268" w:hanging="179"/>
      </w:pPr>
      <w:rPr>
        <w:rFonts w:hint="default"/>
        <w:lang w:val="en-US" w:eastAsia="en-US" w:bidi="ar-SA"/>
      </w:rPr>
    </w:lvl>
    <w:lvl w:ilvl="3" w:tplc="888A929A">
      <w:numFmt w:val="bullet"/>
      <w:lvlText w:val="•"/>
      <w:lvlJc w:val="left"/>
      <w:pPr>
        <w:ind w:left="1916" w:hanging="179"/>
      </w:pPr>
      <w:rPr>
        <w:rFonts w:hint="default"/>
        <w:lang w:val="en-US" w:eastAsia="en-US" w:bidi="ar-SA"/>
      </w:rPr>
    </w:lvl>
    <w:lvl w:ilvl="4" w:tplc="80C21EC2">
      <w:numFmt w:val="bullet"/>
      <w:lvlText w:val="•"/>
      <w:lvlJc w:val="left"/>
      <w:pPr>
        <w:ind w:left="2564" w:hanging="179"/>
      </w:pPr>
      <w:rPr>
        <w:rFonts w:hint="default"/>
        <w:lang w:val="en-US" w:eastAsia="en-US" w:bidi="ar-SA"/>
      </w:rPr>
    </w:lvl>
    <w:lvl w:ilvl="5" w:tplc="75C45438">
      <w:numFmt w:val="bullet"/>
      <w:lvlText w:val="•"/>
      <w:lvlJc w:val="left"/>
      <w:pPr>
        <w:ind w:left="3212" w:hanging="179"/>
      </w:pPr>
      <w:rPr>
        <w:rFonts w:hint="default"/>
        <w:lang w:val="en-US" w:eastAsia="en-US" w:bidi="ar-SA"/>
      </w:rPr>
    </w:lvl>
    <w:lvl w:ilvl="6" w:tplc="5DCA7844">
      <w:numFmt w:val="bullet"/>
      <w:lvlText w:val="•"/>
      <w:lvlJc w:val="left"/>
      <w:pPr>
        <w:ind w:left="3860" w:hanging="179"/>
      </w:pPr>
      <w:rPr>
        <w:rFonts w:hint="default"/>
        <w:lang w:val="en-US" w:eastAsia="en-US" w:bidi="ar-SA"/>
      </w:rPr>
    </w:lvl>
    <w:lvl w:ilvl="7" w:tplc="34BC59C8">
      <w:numFmt w:val="bullet"/>
      <w:lvlText w:val="•"/>
      <w:lvlJc w:val="left"/>
      <w:pPr>
        <w:ind w:left="4508" w:hanging="179"/>
      </w:pPr>
      <w:rPr>
        <w:rFonts w:hint="default"/>
        <w:lang w:val="en-US" w:eastAsia="en-US" w:bidi="ar-SA"/>
      </w:rPr>
    </w:lvl>
    <w:lvl w:ilvl="8" w:tplc="D0F017FC">
      <w:numFmt w:val="bullet"/>
      <w:lvlText w:val="•"/>
      <w:lvlJc w:val="left"/>
      <w:pPr>
        <w:ind w:left="5156" w:hanging="179"/>
      </w:pPr>
      <w:rPr>
        <w:rFonts w:hint="default"/>
        <w:lang w:val="en-US" w:eastAsia="en-US" w:bidi="ar-SA"/>
      </w:rPr>
    </w:lvl>
  </w:abstractNum>
  <w:abstractNum w:abstractNumId="175" w15:restartNumberingAfterBreak="0">
    <w:nsid w:val="602A001E"/>
    <w:multiLevelType w:val="hybridMultilevel"/>
    <w:tmpl w:val="6E88C074"/>
    <w:lvl w:ilvl="0" w:tplc="C17C450E">
      <w:start w:val="1"/>
      <w:numFmt w:val="decimal"/>
      <w:lvlText w:val="%1)"/>
      <w:lvlJc w:val="left"/>
      <w:pPr>
        <w:ind w:left="682" w:hanging="575"/>
        <w:jc w:val="left"/>
      </w:pPr>
      <w:rPr>
        <w:rFonts w:ascii="Arial" w:eastAsia="Arial" w:hAnsi="Arial" w:cs="Arial" w:hint="default"/>
        <w:b w:val="0"/>
        <w:bCs w:val="0"/>
        <w:i w:val="0"/>
        <w:iCs w:val="0"/>
        <w:spacing w:val="0"/>
        <w:w w:val="99"/>
        <w:sz w:val="22"/>
        <w:szCs w:val="22"/>
        <w:lang w:val="en-US" w:eastAsia="en-US" w:bidi="ar-SA"/>
      </w:rPr>
    </w:lvl>
    <w:lvl w:ilvl="1" w:tplc="A47498DA">
      <w:numFmt w:val="bullet"/>
      <w:lvlText w:val=""/>
      <w:lvlJc w:val="left"/>
      <w:pPr>
        <w:ind w:left="1188" w:hanging="360"/>
      </w:pPr>
      <w:rPr>
        <w:rFonts w:ascii="Symbol" w:eastAsia="Symbol" w:hAnsi="Symbol" w:cs="Symbol" w:hint="default"/>
        <w:b w:val="0"/>
        <w:bCs w:val="0"/>
        <w:i w:val="0"/>
        <w:iCs w:val="0"/>
        <w:spacing w:val="0"/>
        <w:w w:val="99"/>
        <w:sz w:val="22"/>
        <w:szCs w:val="22"/>
        <w:lang w:val="en-US" w:eastAsia="en-US" w:bidi="ar-SA"/>
      </w:rPr>
    </w:lvl>
    <w:lvl w:ilvl="2" w:tplc="866C5FC0">
      <w:numFmt w:val="bullet"/>
      <w:lvlText w:val="•"/>
      <w:lvlJc w:val="left"/>
      <w:pPr>
        <w:ind w:left="1817" w:hanging="360"/>
      </w:pPr>
      <w:rPr>
        <w:rFonts w:hint="default"/>
        <w:lang w:val="en-US" w:eastAsia="en-US" w:bidi="ar-SA"/>
      </w:rPr>
    </w:lvl>
    <w:lvl w:ilvl="3" w:tplc="C70E05DA">
      <w:numFmt w:val="bullet"/>
      <w:lvlText w:val="•"/>
      <w:lvlJc w:val="left"/>
      <w:pPr>
        <w:ind w:left="2455" w:hanging="360"/>
      </w:pPr>
      <w:rPr>
        <w:rFonts w:hint="default"/>
        <w:lang w:val="en-US" w:eastAsia="en-US" w:bidi="ar-SA"/>
      </w:rPr>
    </w:lvl>
    <w:lvl w:ilvl="4" w:tplc="B5889004">
      <w:numFmt w:val="bullet"/>
      <w:lvlText w:val="•"/>
      <w:lvlJc w:val="left"/>
      <w:pPr>
        <w:ind w:left="3093" w:hanging="360"/>
      </w:pPr>
      <w:rPr>
        <w:rFonts w:hint="default"/>
        <w:lang w:val="en-US" w:eastAsia="en-US" w:bidi="ar-SA"/>
      </w:rPr>
    </w:lvl>
    <w:lvl w:ilvl="5" w:tplc="7044422C">
      <w:numFmt w:val="bullet"/>
      <w:lvlText w:val="•"/>
      <w:lvlJc w:val="left"/>
      <w:pPr>
        <w:ind w:left="3731" w:hanging="360"/>
      </w:pPr>
      <w:rPr>
        <w:rFonts w:hint="default"/>
        <w:lang w:val="en-US" w:eastAsia="en-US" w:bidi="ar-SA"/>
      </w:rPr>
    </w:lvl>
    <w:lvl w:ilvl="6" w:tplc="152805E4">
      <w:numFmt w:val="bullet"/>
      <w:lvlText w:val="•"/>
      <w:lvlJc w:val="left"/>
      <w:pPr>
        <w:ind w:left="4368" w:hanging="360"/>
      </w:pPr>
      <w:rPr>
        <w:rFonts w:hint="default"/>
        <w:lang w:val="en-US" w:eastAsia="en-US" w:bidi="ar-SA"/>
      </w:rPr>
    </w:lvl>
    <w:lvl w:ilvl="7" w:tplc="7B7492DE">
      <w:numFmt w:val="bullet"/>
      <w:lvlText w:val="•"/>
      <w:lvlJc w:val="left"/>
      <w:pPr>
        <w:ind w:left="5006" w:hanging="360"/>
      </w:pPr>
      <w:rPr>
        <w:rFonts w:hint="default"/>
        <w:lang w:val="en-US" w:eastAsia="en-US" w:bidi="ar-SA"/>
      </w:rPr>
    </w:lvl>
    <w:lvl w:ilvl="8" w:tplc="BA0A9D98">
      <w:numFmt w:val="bullet"/>
      <w:lvlText w:val="•"/>
      <w:lvlJc w:val="left"/>
      <w:pPr>
        <w:ind w:left="5644" w:hanging="360"/>
      </w:pPr>
      <w:rPr>
        <w:rFonts w:hint="default"/>
        <w:lang w:val="en-US" w:eastAsia="en-US" w:bidi="ar-SA"/>
      </w:rPr>
    </w:lvl>
  </w:abstractNum>
  <w:abstractNum w:abstractNumId="176" w15:restartNumberingAfterBreak="0">
    <w:nsid w:val="60560504"/>
    <w:multiLevelType w:val="hybridMultilevel"/>
    <w:tmpl w:val="3604AF0C"/>
    <w:lvl w:ilvl="0" w:tplc="EE780EA2">
      <w:start w:val="6"/>
      <w:numFmt w:val="lowerLetter"/>
      <w:lvlText w:val="%1."/>
      <w:lvlJc w:val="left"/>
      <w:pPr>
        <w:ind w:left="1203" w:hanging="360"/>
        <w:jc w:val="left"/>
      </w:pPr>
      <w:rPr>
        <w:rFonts w:ascii="Arial" w:eastAsia="Arial" w:hAnsi="Arial" w:cs="Arial" w:hint="default"/>
        <w:b w:val="0"/>
        <w:bCs w:val="0"/>
        <w:i w:val="0"/>
        <w:iCs w:val="0"/>
        <w:spacing w:val="0"/>
        <w:w w:val="99"/>
        <w:sz w:val="22"/>
        <w:szCs w:val="22"/>
        <w:lang w:val="en-US" w:eastAsia="en-US" w:bidi="ar-SA"/>
      </w:rPr>
    </w:lvl>
    <w:lvl w:ilvl="1" w:tplc="B23679CC">
      <w:start w:val="1"/>
      <w:numFmt w:val="lowerRoman"/>
      <w:lvlText w:val="%2."/>
      <w:lvlJc w:val="left"/>
      <w:pPr>
        <w:ind w:left="1514" w:hanging="286"/>
        <w:jc w:val="right"/>
      </w:pPr>
      <w:rPr>
        <w:rFonts w:hint="default"/>
        <w:spacing w:val="0"/>
        <w:w w:val="99"/>
        <w:lang w:val="en-US" w:eastAsia="en-US" w:bidi="ar-SA"/>
      </w:rPr>
    </w:lvl>
    <w:lvl w:ilvl="2" w:tplc="085885BC">
      <w:numFmt w:val="bullet"/>
      <w:lvlText w:val="•"/>
      <w:lvlJc w:val="left"/>
      <w:pPr>
        <w:ind w:left="2167" w:hanging="286"/>
      </w:pPr>
      <w:rPr>
        <w:rFonts w:hint="default"/>
        <w:lang w:val="en-US" w:eastAsia="en-US" w:bidi="ar-SA"/>
      </w:rPr>
    </w:lvl>
    <w:lvl w:ilvl="3" w:tplc="10828EE0">
      <w:numFmt w:val="bullet"/>
      <w:lvlText w:val="•"/>
      <w:lvlJc w:val="left"/>
      <w:pPr>
        <w:ind w:left="2815" w:hanging="286"/>
      </w:pPr>
      <w:rPr>
        <w:rFonts w:hint="default"/>
        <w:lang w:val="en-US" w:eastAsia="en-US" w:bidi="ar-SA"/>
      </w:rPr>
    </w:lvl>
    <w:lvl w:ilvl="4" w:tplc="C88E952A">
      <w:numFmt w:val="bullet"/>
      <w:lvlText w:val="•"/>
      <w:lvlJc w:val="left"/>
      <w:pPr>
        <w:ind w:left="3462" w:hanging="286"/>
      </w:pPr>
      <w:rPr>
        <w:rFonts w:hint="default"/>
        <w:lang w:val="en-US" w:eastAsia="en-US" w:bidi="ar-SA"/>
      </w:rPr>
    </w:lvl>
    <w:lvl w:ilvl="5" w:tplc="E494BFBA">
      <w:numFmt w:val="bullet"/>
      <w:lvlText w:val="•"/>
      <w:lvlJc w:val="left"/>
      <w:pPr>
        <w:ind w:left="4110" w:hanging="286"/>
      </w:pPr>
      <w:rPr>
        <w:rFonts w:hint="default"/>
        <w:lang w:val="en-US" w:eastAsia="en-US" w:bidi="ar-SA"/>
      </w:rPr>
    </w:lvl>
    <w:lvl w:ilvl="6" w:tplc="C6F0882A">
      <w:numFmt w:val="bullet"/>
      <w:lvlText w:val="•"/>
      <w:lvlJc w:val="left"/>
      <w:pPr>
        <w:ind w:left="4757" w:hanging="286"/>
      </w:pPr>
      <w:rPr>
        <w:rFonts w:hint="default"/>
        <w:lang w:val="en-US" w:eastAsia="en-US" w:bidi="ar-SA"/>
      </w:rPr>
    </w:lvl>
    <w:lvl w:ilvl="7" w:tplc="1AA8E142">
      <w:numFmt w:val="bullet"/>
      <w:lvlText w:val="•"/>
      <w:lvlJc w:val="left"/>
      <w:pPr>
        <w:ind w:left="5405" w:hanging="286"/>
      </w:pPr>
      <w:rPr>
        <w:rFonts w:hint="default"/>
        <w:lang w:val="en-US" w:eastAsia="en-US" w:bidi="ar-SA"/>
      </w:rPr>
    </w:lvl>
    <w:lvl w:ilvl="8" w:tplc="4EB86FA0">
      <w:numFmt w:val="bullet"/>
      <w:lvlText w:val="•"/>
      <w:lvlJc w:val="left"/>
      <w:pPr>
        <w:ind w:left="6052" w:hanging="286"/>
      </w:pPr>
      <w:rPr>
        <w:rFonts w:hint="default"/>
        <w:lang w:val="en-US" w:eastAsia="en-US" w:bidi="ar-SA"/>
      </w:rPr>
    </w:lvl>
  </w:abstractNum>
  <w:abstractNum w:abstractNumId="177" w15:restartNumberingAfterBreak="0">
    <w:nsid w:val="60736337"/>
    <w:multiLevelType w:val="hybridMultilevel"/>
    <w:tmpl w:val="E138CD60"/>
    <w:lvl w:ilvl="0" w:tplc="6AE2FCEC">
      <w:start w:val="1"/>
      <w:numFmt w:val="decimalZero"/>
      <w:lvlText w:val=".%1"/>
      <w:lvlJc w:val="left"/>
      <w:pPr>
        <w:ind w:left="1799" w:hanging="721"/>
        <w:jc w:val="left"/>
      </w:pPr>
      <w:rPr>
        <w:rFonts w:ascii="Arial" w:eastAsia="Arial" w:hAnsi="Arial" w:cs="Arial" w:hint="default"/>
        <w:b w:val="0"/>
        <w:bCs w:val="0"/>
        <w:i w:val="0"/>
        <w:iCs w:val="0"/>
        <w:spacing w:val="0"/>
        <w:w w:val="99"/>
        <w:sz w:val="22"/>
        <w:szCs w:val="22"/>
        <w:lang w:val="en-US" w:eastAsia="en-US" w:bidi="ar-SA"/>
      </w:rPr>
    </w:lvl>
    <w:lvl w:ilvl="1" w:tplc="B7605C46">
      <w:start w:val="1"/>
      <w:numFmt w:val="lowerLetter"/>
      <w:lvlText w:val="%2."/>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2" w:tplc="7458DE02">
      <w:numFmt w:val="bullet"/>
      <w:lvlText w:val="•"/>
      <w:lvlJc w:val="left"/>
      <w:pPr>
        <w:ind w:left="3080" w:hanging="360"/>
      </w:pPr>
      <w:rPr>
        <w:rFonts w:hint="default"/>
        <w:lang w:val="en-US" w:eastAsia="en-US" w:bidi="ar-SA"/>
      </w:rPr>
    </w:lvl>
    <w:lvl w:ilvl="3" w:tplc="AAD077AC">
      <w:numFmt w:val="bullet"/>
      <w:lvlText w:val="•"/>
      <w:lvlJc w:val="left"/>
      <w:pPr>
        <w:ind w:left="4000" w:hanging="360"/>
      </w:pPr>
      <w:rPr>
        <w:rFonts w:hint="default"/>
        <w:lang w:val="en-US" w:eastAsia="en-US" w:bidi="ar-SA"/>
      </w:rPr>
    </w:lvl>
    <w:lvl w:ilvl="4" w:tplc="703E6724">
      <w:numFmt w:val="bullet"/>
      <w:lvlText w:val="•"/>
      <w:lvlJc w:val="left"/>
      <w:pPr>
        <w:ind w:left="4920" w:hanging="360"/>
      </w:pPr>
      <w:rPr>
        <w:rFonts w:hint="default"/>
        <w:lang w:val="en-US" w:eastAsia="en-US" w:bidi="ar-SA"/>
      </w:rPr>
    </w:lvl>
    <w:lvl w:ilvl="5" w:tplc="5A1072C6">
      <w:numFmt w:val="bullet"/>
      <w:lvlText w:val="•"/>
      <w:lvlJc w:val="left"/>
      <w:pPr>
        <w:ind w:left="5840" w:hanging="360"/>
      </w:pPr>
      <w:rPr>
        <w:rFonts w:hint="default"/>
        <w:lang w:val="en-US" w:eastAsia="en-US" w:bidi="ar-SA"/>
      </w:rPr>
    </w:lvl>
    <w:lvl w:ilvl="6" w:tplc="A404A7A6">
      <w:numFmt w:val="bullet"/>
      <w:lvlText w:val="•"/>
      <w:lvlJc w:val="left"/>
      <w:pPr>
        <w:ind w:left="6760" w:hanging="360"/>
      </w:pPr>
      <w:rPr>
        <w:rFonts w:hint="default"/>
        <w:lang w:val="en-US" w:eastAsia="en-US" w:bidi="ar-SA"/>
      </w:rPr>
    </w:lvl>
    <w:lvl w:ilvl="7" w:tplc="11B6BEC8">
      <w:numFmt w:val="bullet"/>
      <w:lvlText w:val="•"/>
      <w:lvlJc w:val="left"/>
      <w:pPr>
        <w:ind w:left="7680" w:hanging="360"/>
      </w:pPr>
      <w:rPr>
        <w:rFonts w:hint="default"/>
        <w:lang w:val="en-US" w:eastAsia="en-US" w:bidi="ar-SA"/>
      </w:rPr>
    </w:lvl>
    <w:lvl w:ilvl="8" w:tplc="A796BDFC">
      <w:numFmt w:val="bullet"/>
      <w:lvlText w:val="•"/>
      <w:lvlJc w:val="left"/>
      <w:pPr>
        <w:ind w:left="8600" w:hanging="360"/>
      </w:pPr>
      <w:rPr>
        <w:rFonts w:hint="default"/>
        <w:lang w:val="en-US" w:eastAsia="en-US" w:bidi="ar-SA"/>
      </w:rPr>
    </w:lvl>
  </w:abstractNum>
  <w:abstractNum w:abstractNumId="178" w15:restartNumberingAfterBreak="0">
    <w:nsid w:val="60D17712"/>
    <w:multiLevelType w:val="hybridMultilevel"/>
    <w:tmpl w:val="5C9C699A"/>
    <w:lvl w:ilvl="0" w:tplc="CA5255AA">
      <w:numFmt w:val="bullet"/>
      <w:lvlText w:val=""/>
      <w:lvlJc w:val="left"/>
      <w:pPr>
        <w:ind w:left="1069" w:hanging="360"/>
      </w:pPr>
      <w:rPr>
        <w:rFonts w:ascii="Symbol" w:eastAsia="Symbol" w:hAnsi="Symbol" w:cs="Symbol" w:hint="default"/>
        <w:b w:val="0"/>
        <w:bCs w:val="0"/>
        <w:i w:val="0"/>
        <w:iCs w:val="0"/>
        <w:spacing w:val="0"/>
        <w:w w:val="99"/>
        <w:sz w:val="22"/>
        <w:szCs w:val="22"/>
        <w:lang w:val="en-US" w:eastAsia="en-US" w:bidi="ar-SA"/>
      </w:rPr>
    </w:lvl>
    <w:lvl w:ilvl="1" w:tplc="F6E65BA8">
      <w:numFmt w:val="bullet"/>
      <w:lvlText w:val="•"/>
      <w:lvlJc w:val="left"/>
      <w:pPr>
        <w:ind w:left="1653" w:hanging="360"/>
      </w:pPr>
      <w:rPr>
        <w:rFonts w:hint="default"/>
        <w:lang w:val="en-US" w:eastAsia="en-US" w:bidi="ar-SA"/>
      </w:rPr>
    </w:lvl>
    <w:lvl w:ilvl="2" w:tplc="95AE99FC">
      <w:numFmt w:val="bullet"/>
      <w:lvlText w:val="•"/>
      <w:lvlJc w:val="left"/>
      <w:pPr>
        <w:ind w:left="2247" w:hanging="360"/>
      </w:pPr>
      <w:rPr>
        <w:rFonts w:hint="default"/>
        <w:lang w:val="en-US" w:eastAsia="en-US" w:bidi="ar-SA"/>
      </w:rPr>
    </w:lvl>
    <w:lvl w:ilvl="3" w:tplc="C914A5C4">
      <w:numFmt w:val="bullet"/>
      <w:lvlText w:val="•"/>
      <w:lvlJc w:val="left"/>
      <w:pPr>
        <w:ind w:left="2840" w:hanging="360"/>
      </w:pPr>
      <w:rPr>
        <w:rFonts w:hint="default"/>
        <w:lang w:val="en-US" w:eastAsia="en-US" w:bidi="ar-SA"/>
      </w:rPr>
    </w:lvl>
    <w:lvl w:ilvl="4" w:tplc="BE24EBE8">
      <w:numFmt w:val="bullet"/>
      <w:lvlText w:val="•"/>
      <w:lvlJc w:val="left"/>
      <w:pPr>
        <w:ind w:left="3434" w:hanging="360"/>
      </w:pPr>
      <w:rPr>
        <w:rFonts w:hint="default"/>
        <w:lang w:val="en-US" w:eastAsia="en-US" w:bidi="ar-SA"/>
      </w:rPr>
    </w:lvl>
    <w:lvl w:ilvl="5" w:tplc="B8C2693C">
      <w:numFmt w:val="bullet"/>
      <w:lvlText w:val="•"/>
      <w:lvlJc w:val="left"/>
      <w:pPr>
        <w:ind w:left="4027" w:hanging="360"/>
      </w:pPr>
      <w:rPr>
        <w:rFonts w:hint="default"/>
        <w:lang w:val="en-US" w:eastAsia="en-US" w:bidi="ar-SA"/>
      </w:rPr>
    </w:lvl>
    <w:lvl w:ilvl="6" w:tplc="949215C0">
      <w:numFmt w:val="bullet"/>
      <w:lvlText w:val="•"/>
      <w:lvlJc w:val="left"/>
      <w:pPr>
        <w:ind w:left="4621" w:hanging="360"/>
      </w:pPr>
      <w:rPr>
        <w:rFonts w:hint="default"/>
        <w:lang w:val="en-US" w:eastAsia="en-US" w:bidi="ar-SA"/>
      </w:rPr>
    </w:lvl>
    <w:lvl w:ilvl="7" w:tplc="EAE03802">
      <w:numFmt w:val="bullet"/>
      <w:lvlText w:val="•"/>
      <w:lvlJc w:val="left"/>
      <w:pPr>
        <w:ind w:left="5214" w:hanging="360"/>
      </w:pPr>
      <w:rPr>
        <w:rFonts w:hint="default"/>
        <w:lang w:val="en-US" w:eastAsia="en-US" w:bidi="ar-SA"/>
      </w:rPr>
    </w:lvl>
    <w:lvl w:ilvl="8" w:tplc="ECF06208">
      <w:numFmt w:val="bullet"/>
      <w:lvlText w:val="•"/>
      <w:lvlJc w:val="left"/>
      <w:pPr>
        <w:ind w:left="5808" w:hanging="360"/>
      </w:pPr>
      <w:rPr>
        <w:rFonts w:hint="default"/>
        <w:lang w:val="en-US" w:eastAsia="en-US" w:bidi="ar-SA"/>
      </w:rPr>
    </w:lvl>
  </w:abstractNum>
  <w:abstractNum w:abstractNumId="179" w15:restartNumberingAfterBreak="0">
    <w:nsid w:val="613E5853"/>
    <w:multiLevelType w:val="hybridMultilevel"/>
    <w:tmpl w:val="4E209566"/>
    <w:lvl w:ilvl="0" w:tplc="D6E24ED6">
      <w:start w:val="2"/>
      <w:numFmt w:val="decimal"/>
      <w:lvlText w:val="%1."/>
      <w:lvlJc w:val="left"/>
      <w:pPr>
        <w:ind w:left="600" w:hanging="439"/>
        <w:jc w:val="left"/>
      </w:pPr>
      <w:rPr>
        <w:rFonts w:ascii="Arial" w:eastAsia="Arial" w:hAnsi="Arial" w:cs="Arial" w:hint="default"/>
        <w:b w:val="0"/>
        <w:bCs w:val="0"/>
        <w:i w:val="0"/>
        <w:iCs w:val="0"/>
        <w:spacing w:val="0"/>
        <w:w w:val="99"/>
        <w:sz w:val="22"/>
        <w:szCs w:val="22"/>
        <w:lang w:val="en-US" w:eastAsia="en-US" w:bidi="ar-SA"/>
      </w:rPr>
    </w:lvl>
    <w:lvl w:ilvl="1" w:tplc="F138BBD4">
      <w:numFmt w:val="bullet"/>
      <w:lvlText w:val=""/>
      <w:lvlJc w:val="left"/>
      <w:pPr>
        <w:ind w:left="965" w:hanging="370"/>
      </w:pPr>
      <w:rPr>
        <w:rFonts w:ascii="Symbol" w:eastAsia="Symbol" w:hAnsi="Symbol" w:cs="Symbol" w:hint="default"/>
        <w:b w:val="0"/>
        <w:bCs w:val="0"/>
        <w:i w:val="0"/>
        <w:iCs w:val="0"/>
        <w:spacing w:val="0"/>
        <w:w w:val="99"/>
        <w:sz w:val="22"/>
        <w:szCs w:val="22"/>
        <w:lang w:val="en-US" w:eastAsia="en-US" w:bidi="ar-SA"/>
      </w:rPr>
    </w:lvl>
    <w:lvl w:ilvl="2" w:tplc="333835C4">
      <w:numFmt w:val="bullet"/>
      <w:lvlText w:val="•"/>
      <w:lvlJc w:val="left"/>
      <w:pPr>
        <w:ind w:left="1622" w:hanging="370"/>
      </w:pPr>
      <w:rPr>
        <w:rFonts w:hint="default"/>
        <w:lang w:val="en-US" w:eastAsia="en-US" w:bidi="ar-SA"/>
      </w:rPr>
    </w:lvl>
    <w:lvl w:ilvl="3" w:tplc="245E6D22">
      <w:numFmt w:val="bullet"/>
      <w:lvlText w:val="•"/>
      <w:lvlJc w:val="left"/>
      <w:pPr>
        <w:ind w:left="2284" w:hanging="370"/>
      </w:pPr>
      <w:rPr>
        <w:rFonts w:hint="default"/>
        <w:lang w:val="en-US" w:eastAsia="en-US" w:bidi="ar-SA"/>
      </w:rPr>
    </w:lvl>
    <w:lvl w:ilvl="4" w:tplc="2EA243DA">
      <w:numFmt w:val="bullet"/>
      <w:lvlText w:val="•"/>
      <w:lvlJc w:val="left"/>
      <w:pPr>
        <w:ind w:left="2946" w:hanging="370"/>
      </w:pPr>
      <w:rPr>
        <w:rFonts w:hint="default"/>
        <w:lang w:val="en-US" w:eastAsia="en-US" w:bidi="ar-SA"/>
      </w:rPr>
    </w:lvl>
    <w:lvl w:ilvl="5" w:tplc="938866A6">
      <w:numFmt w:val="bullet"/>
      <w:lvlText w:val="•"/>
      <w:lvlJc w:val="left"/>
      <w:pPr>
        <w:ind w:left="3608" w:hanging="370"/>
      </w:pPr>
      <w:rPr>
        <w:rFonts w:hint="default"/>
        <w:lang w:val="en-US" w:eastAsia="en-US" w:bidi="ar-SA"/>
      </w:rPr>
    </w:lvl>
    <w:lvl w:ilvl="6" w:tplc="8BBAC63A">
      <w:numFmt w:val="bullet"/>
      <w:lvlText w:val="•"/>
      <w:lvlJc w:val="left"/>
      <w:pPr>
        <w:ind w:left="4270" w:hanging="370"/>
      </w:pPr>
      <w:rPr>
        <w:rFonts w:hint="default"/>
        <w:lang w:val="en-US" w:eastAsia="en-US" w:bidi="ar-SA"/>
      </w:rPr>
    </w:lvl>
    <w:lvl w:ilvl="7" w:tplc="31FE6C7A">
      <w:numFmt w:val="bullet"/>
      <w:lvlText w:val="•"/>
      <w:lvlJc w:val="left"/>
      <w:pPr>
        <w:ind w:left="4932" w:hanging="370"/>
      </w:pPr>
      <w:rPr>
        <w:rFonts w:hint="default"/>
        <w:lang w:val="en-US" w:eastAsia="en-US" w:bidi="ar-SA"/>
      </w:rPr>
    </w:lvl>
    <w:lvl w:ilvl="8" w:tplc="F8685FEA">
      <w:numFmt w:val="bullet"/>
      <w:lvlText w:val="•"/>
      <w:lvlJc w:val="left"/>
      <w:pPr>
        <w:ind w:left="5594" w:hanging="370"/>
      </w:pPr>
      <w:rPr>
        <w:rFonts w:hint="default"/>
        <w:lang w:val="en-US" w:eastAsia="en-US" w:bidi="ar-SA"/>
      </w:rPr>
    </w:lvl>
  </w:abstractNum>
  <w:abstractNum w:abstractNumId="180" w15:restartNumberingAfterBreak="0">
    <w:nsid w:val="614A13FE"/>
    <w:multiLevelType w:val="hybridMultilevel"/>
    <w:tmpl w:val="61AEEDAA"/>
    <w:lvl w:ilvl="0" w:tplc="40B85D4A">
      <w:numFmt w:val="bullet"/>
      <w:lvlText w:val=""/>
      <w:lvlJc w:val="left"/>
      <w:pPr>
        <w:ind w:left="2159" w:hanging="360"/>
      </w:pPr>
      <w:rPr>
        <w:rFonts w:ascii="Symbol" w:eastAsia="Symbol" w:hAnsi="Symbol" w:cs="Symbol" w:hint="default"/>
        <w:b w:val="0"/>
        <w:bCs w:val="0"/>
        <w:i w:val="0"/>
        <w:iCs w:val="0"/>
        <w:spacing w:val="0"/>
        <w:w w:val="99"/>
        <w:sz w:val="22"/>
        <w:szCs w:val="22"/>
        <w:lang w:val="en-US" w:eastAsia="en-US" w:bidi="ar-SA"/>
      </w:rPr>
    </w:lvl>
    <w:lvl w:ilvl="1" w:tplc="625CEA04">
      <w:numFmt w:val="bullet"/>
      <w:lvlText w:val="•"/>
      <w:lvlJc w:val="left"/>
      <w:pPr>
        <w:ind w:left="2988" w:hanging="360"/>
      </w:pPr>
      <w:rPr>
        <w:rFonts w:hint="default"/>
        <w:lang w:val="en-US" w:eastAsia="en-US" w:bidi="ar-SA"/>
      </w:rPr>
    </w:lvl>
    <w:lvl w:ilvl="2" w:tplc="25B4C9EC">
      <w:numFmt w:val="bullet"/>
      <w:lvlText w:val="•"/>
      <w:lvlJc w:val="left"/>
      <w:pPr>
        <w:ind w:left="3816" w:hanging="360"/>
      </w:pPr>
      <w:rPr>
        <w:rFonts w:hint="default"/>
        <w:lang w:val="en-US" w:eastAsia="en-US" w:bidi="ar-SA"/>
      </w:rPr>
    </w:lvl>
    <w:lvl w:ilvl="3" w:tplc="013002DA">
      <w:numFmt w:val="bullet"/>
      <w:lvlText w:val="•"/>
      <w:lvlJc w:val="left"/>
      <w:pPr>
        <w:ind w:left="4644" w:hanging="360"/>
      </w:pPr>
      <w:rPr>
        <w:rFonts w:hint="default"/>
        <w:lang w:val="en-US" w:eastAsia="en-US" w:bidi="ar-SA"/>
      </w:rPr>
    </w:lvl>
    <w:lvl w:ilvl="4" w:tplc="ABEAAF04">
      <w:numFmt w:val="bullet"/>
      <w:lvlText w:val="•"/>
      <w:lvlJc w:val="left"/>
      <w:pPr>
        <w:ind w:left="5472" w:hanging="360"/>
      </w:pPr>
      <w:rPr>
        <w:rFonts w:hint="default"/>
        <w:lang w:val="en-US" w:eastAsia="en-US" w:bidi="ar-SA"/>
      </w:rPr>
    </w:lvl>
    <w:lvl w:ilvl="5" w:tplc="984E4F64">
      <w:numFmt w:val="bullet"/>
      <w:lvlText w:val="•"/>
      <w:lvlJc w:val="left"/>
      <w:pPr>
        <w:ind w:left="6300" w:hanging="360"/>
      </w:pPr>
      <w:rPr>
        <w:rFonts w:hint="default"/>
        <w:lang w:val="en-US" w:eastAsia="en-US" w:bidi="ar-SA"/>
      </w:rPr>
    </w:lvl>
    <w:lvl w:ilvl="6" w:tplc="3EB63386">
      <w:numFmt w:val="bullet"/>
      <w:lvlText w:val="•"/>
      <w:lvlJc w:val="left"/>
      <w:pPr>
        <w:ind w:left="7128" w:hanging="360"/>
      </w:pPr>
      <w:rPr>
        <w:rFonts w:hint="default"/>
        <w:lang w:val="en-US" w:eastAsia="en-US" w:bidi="ar-SA"/>
      </w:rPr>
    </w:lvl>
    <w:lvl w:ilvl="7" w:tplc="24926DCE">
      <w:numFmt w:val="bullet"/>
      <w:lvlText w:val="•"/>
      <w:lvlJc w:val="left"/>
      <w:pPr>
        <w:ind w:left="7956" w:hanging="360"/>
      </w:pPr>
      <w:rPr>
        <w:rFonts w:hint="default"/>
        <w:lang w:val="en-US" w:eastAsia="en-US" w:bidi="ar-SA"/>
      </w:rPr>
    </w:lvl>
    <w:lvl w:ilvl="8" w:tplc="E6C47332">
      <w:numFmt w:val="bullet"/>
      <w:lvlText w:val="•"/>
      <w:lvlJc w:val="left"/>
      <w:pPr>
        <w:ind w:left="8784" w:hanging="360"/>
      </w:pPr>
      <w:rPr>
        <w:rFonts w:hint="default"/>
        <w:lang w:val="en-US" w:eastAsia="en-US" w:bidi="ar-SA"/>
      </w:rPr>
    </w:lvl>
  </w:abstractNum>
  <w:abstractNum w:abstractNumId="181" w15:restartNumberingAfterBreak="0">
    <w:nsid w:val="617F1723"/>
    <w:multiLevelType w:val="hybridMultilevel"/>
    <w:tmpl w:val="9D6A5ABA"/>
    <w:lvl w:ilvl="0" w:tplc="13DA038C">
      <w:numFmt w:val="bullet"/>
      <w:lvlText w:val=""/>
      <w:lvlJc w:val="left"/>
      <w:pPr>
        <w:ind w:left="844" w:hanging="360"/>
      </w:pPr>
      <w:rPr>
        <w:rFonts w:ascii="Symbol" w:eastAsia="Symbol" w:hAnsi="Symbol" w:cs="Symbol" w:hint="default"/>
        <w:b w:val="0"/>
        <w:bCs w:val="0"/>
        <w:i w:val="0"/>
        <w:iCs w:val="0"/>
        <w:spacing w:val="0"/>
        <w:w w:val="99"/>
        <w:sz w:val="22"/>
        <w:szCs w:val="22"/>
        <w:lang w:val="en-US" w:eastAsia="en-US" w:bidi="ar-SA"/>
      </w:rPr>
    </w:lvl>
    <w:lvl w:ilvl="1" w:tplc="89248C24">
      <w:numFmt w:val="bullet"/>
      <w:lvlText w:val="•"/>
      <w:lvlJc w:val="left"/>
      <w:pPr>
        <w:ind w:left="1425" w:hanging="360"/>
      </w:pPr>
      <w:rPr>
        <w:rFonts w:hint="default"/>
        <w:lang w:val="en-US" w:eastAsia="en-US" w:bidi="ar-SA"/>
      </w:rPr>
    </w:lvl>
    <w:lvl w:ilvl="2" w:tplc="CF02366C">
      <w:numFmt w:val="bullet"/>
      <w:lvlText w:val="•"/>
      <w:lvlJc w:val="left"/>
      <w:pPr>
        <w:ind w:left="2010" w:hanging="360"/>
      </w:pPr>
      <w:rPr>
        <w:rFonts w:hint="default"/>
        <w:lang w:val="en-US" w:eastAsia="en-US" w:bidi="ar-SA"/>
      </w:rPr>
    </w:lvl>
    <w:lvl w:ilvl="3" w:tplc="4CA60550">
      <w:numFmt w:val="bullet"/>
      <w:lvlText w:val="•"/>
      <w:lvlJc w:val="left"/>
      <w:pPr>
        <w:ind w:left="2595" w:hanging="360"/>
      </w:pPr>
      <w:rPr>
        <w:rFonts w:hint="default"/>
        <w:lang w:val="en-US" w:eastAsia="en-US" w:bidi="ar-SA"/>
      </w:rPr>
    </w:lvl>
    <w:lvl w:ilvl="4" w:tplc="34B460DE">
      <w:numFmt w:val="bullet"/>
      <w:lvlText w:val="•"/>
      <w:lvlJc w:val="left"/>
      <w:pPr>
        <w:ind w:left="3180" w:hanging="360"/>
      </w:pPr>
      <w:rPr>
        <w:rFonts w:hint="default"/>
        <w:lang w:val="en-US" w:eastAsia="en-US" w:bidi="ar-SA"/>
      </w:rPr>
    </w:lvl>
    <w:lvl w:ilvl="5" w:tplc="8BB888A6">
      <w:numFmt w:val="bullet"/>
      <w:lvlText w:val="•"/>
      <w:lvlJc w:val="left"/>
      <w:pPr>
        <w:ind w:left="3765" w:hanging="360"/>
      </w:pPr>
      <w:rPr>
        <w:rFonts w:hint="default"/>
        <w:lang w:val="en-US" w:eastAsia="en-US" w:bidi="ar-SA"/>
      </w:rPr>
    </w:lvl>
    <w:lvl w:ilvl="6" w:tplc="E766B1B6">
      <w:numFmt w:val="bullet"/>
      <w:lvlText w:val="•"/>
      <w:lvlJc w:val="left"/>
      <w:pPr>
        <w:ind w:left="4350" w:hanging="360"/>
      </w:pPr>
      <w:rPr>
        <w:rFonts w:hint="default"/>
        <w:lang w:val="en-US" w:eastAsia="en-US" w:bidi="ar-SA"/>
      </w:rPr>
    </w:lvl>
    <w:lvl w:ilvl="7" w:tplc="0A9695DC">
      <w:numFmt w:val="bullet"/>
      <w:lvlText w:val="•"/>
      <w:lvlJc w:val="left"/>
      <w:pPr>
        <w:ind w:left="4936" w:hanging="360"/>
      </w:pPr>
      <w:rPr>
        <w:rFonts w:hint="default"/>
        <w:lang w:val="en-US" w:eastAsia="en-US" w:bidi="ar-SA"/>
      </w:rPr>
    </w:lvl>
    <w:lvl w:ilvl="8" w:tplc="847ACFAE">
      <w:numFmt w:val="bullet"/>
      <w:lvlText w:val="•"/>
      <w:lvlJc w:val="left"/>
      <w:pPr>
        <w:ind w:left="5521" w:hanging="360"/>
      </w:pPr>
      <w:rPr>
        <w:rFonts w:hint="default"/>
        <w:lang w:val="en-US" w:eastAsia="en-US" w:bidi="ar-SA"/>
      </w:rPr>
    </w:lvl>
  </w:abstractNum>
  <w:abstractNum w:abstractNumId="182" w15:restartNumberingAfterBreak="0">
    <w:nsid w:val="61C9334E"/>
    <w:multiLevelType w:val="hybridMultilevel"/>
    <w:tmpl w:val="D4DA4016"/>
    <w:lvl w:ilvl="0" w:tplc="08B2EFD0">
      <w:start w:val="10"/>
      <w:numFmt w:val="decimal"/>
      <w:lvlText w:val=".%1"/>
      <w:lvlJc w:val="left"/>
      <w:pPr>
        <w:ind w:left="1799" w:hanging="721"/>
        <w:jc w:val="left"/>
      </w:pPr>
      <w:rPr>
        <w:rFonts w:ascii="Arial" w:eastAsia="Arial" w:hAnsi="Arial" w:cs="Arial" w:hint="default"/>
        <w:b w:val="0"/>
        <w:bCs w:val="0"/>
        <w:i w:val="0"/>
        <w:iCs w:val="0"/>
        <w:spacing w:val="0"/>
        <w:w w:val="99"/>
        <w:sz w:val="22"/>
        <w:szCs w:val="22"/>
        <w:lang w:val="en-US" w:eastAsia="en-US" w:bidi="ar-SA"/>
      </w:rPr>
    </w:lvl>
    <w:lvl w:ilvl="1" w:tplc="C16A7132">
      <w:start w:val="1"/>
      <w:numFmt w:val="lowerLetter"/>
      <w:lvlText w:val="%2."/>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2" w:tplc="2A16F13E">
      <w:numFmt w:val="bullet"/>
      <w:lvlText w:val="•"/>
      <w:lvlJc w:val="left"/>
      <w:pPr>
        <w:ind w:left="3080" w:hanging="360"/>
      </w:pPr>
      <w:rPr>
        <w:rFonts w:hint="default"/>
        <w:lang w:val="en-US" w:eastAsia="en-US" w:bidi="ar-SA"/>
      </w:rPr>
    </w:lvl>
    <w:lvl w:ilvl="3" w:tplc="5DA4BBCA">
      <w:numFmt w:val="bullet"/>
      <w:lvlText w:val="•"/>
      <w:lvlJc w:val="left"/>
      <w:pPr>
        <w:ind w:left="4000" w:hanging="360"/>
      </w:pPr>
      <w:rPr>
        <w:rFonts w:hint="default"/>
        <w:lang w:val="en-US" w:eastAsia="en-US" w:bidi="ar-SA"/>
      </w:rPr>
    </w:lvl>
    <w:lvl w:ilvl="4" w:tplc="B0FC2A0E">
      <w:numFmt w:val="bullet"/>
      <w:lvlText w:val="•"/>
      <w:lvlJc w:val="left"/>
      <w:pPr>
        <w:ind w:left="4920" w:hanging="360"/>
      </w:pPr>
      <w:rPr>
        <w:rFonts w:hint="default"/>
        <w:lang w:val="en-US" w:eastAsia="en-US" w:bidi="ar-SA"/>
      </w:rPr>
    </w:lvl>
    <w:lvl w:ilvl="5" w:tplc="B06CCC9A">
      <w:numFmt w:val="bullet"/>
      <w:lvlText w:val="•"/>
      <w:lvlJc w:val="left"/>
      <w:pPr>
        <w:ind w:left="5840" w:hanging="360"/>
      </w:pPr>
      <w:rPr>
        <w:rFonts w:hint="default"/>
        <w:lang w:val="en-US" w:eastAsia="en-US" w:bidi="ar-SA"/>
      </w:rPr>
    </w:lvl>
    <w:lvl w:ilvl="6" w:tplc="EE42DD1C">
      <w:numFmt w:val="bullet"/>
      <w:lvlText w:val="•"/>
      <w:lvlJc w:val="left"/>
      <w:pPr>
        <w:ind w:left="6760" w:hanging="360"/>
      </w:pPr>
      <w:rPr>
        <w:rFonts w:hint="default"/>
        <w:lang w:val="en-US" w:eastAsia="en-US" w:bidi="ar-SA"/>
      </w:rPr>
    </w:lvl>
    <w:lvl w:ilvl="7" w:tplc="13364F46">
      <w:numFmt w:val="bullet"/>
      <w:lvlText w:val="•"/>
      <w:lvlJc w:val="left"/>
      <w:pPr>
        <w:ind w:left="7680" w:hanging="360"/>
      </w:pPr>
      <w:rPr>
        <w:rFonts w:hint="default"/>
        <w:lang w:val="en-US" w:eastAsia="en-US" w:bidi="ar-SA"/>
      </w:rPr>
    </w:lvl>
    <w:lvl w:ilvl="8" w:tplc="9B580310">
      <w:numFmt w:val="bullet"/>
      <w:lvlText w:val="•"/>
      <w:lvlJc w:val="left"/>
      <w:pPr>
        <w:ind w:left="8600" w:hanging="360"/>
      </w:pPr>
      <w:rPr>
        <w:rFonts w:hint="default"/>
        <w:lang w:val="en-US" w:eastAsia="en-US" w:bidi="ar-SA"/>
      </w:rPr>
    </w:lvl>
  </w:abstractNum>
  <w:abstractNum w:abstractNumId="183" w15:restartNumberingAfterBreak="0">
    <w:nsid w:val="62E41D18"/>
    <w:multiLevelType w:val="hybridMultilevel"/>
    <w:tmpl w:val="B7B41544"/>
    <w:lvl w:ilvl="0" w:tplc="21FAEAD2">
      <w:numFmt w:val="bullet"/>
      <w:lvlText w:val=""/>
      <w:lvlJc w:val="left"/>
      <w:pPr>
        <w:ind w:left="923" w:hanging="360"/>
      </w:pPr>
      <w:rPr>
        <w:rFonts w:ascii="Symbol" w:eastAsia="Symbol" w:hAnsi="Symbol" w:cs="Symbol" w:hint="default"/>
        <w:b w:val="0"/>
        <w:bCs w:val="0"/>
        <w:i w:val="0"/>
        <w:iCs w:val="0"/>
        <w:spacing w:val="0"/>
        <w:w w:val="99"/>
        <w:sz w:val="22"/>
        <w:szCs w:val="22"/>
        <w:lang w:val="en-US" w:eastAsia="en-US" w:bidi="ar-SA"/>
      </w:rPr>
    </w:lvl>
    <w:lvl w:ilvl="1" w:tplc="32508AF8">
      <w:numFmt w:val="bullet"/>
      <w:lvlText w:val="•"/>
      <w:lvlJc w:val="left"/>
      <w:pPr>
        <w:ind w:left="1485" w:hanging="360"/>
      </w:pPr>
      <w:rPr>
        <w:rFonts w:hint="default"/>
        <w:lang w:val="en-US" w:eastAsia="en-US" w:bidi="ar-SA"/>
      </w:rPr>
    </w:lvl>
    <w:lvl w:ilvl="2" w:tplc="B476B9DA">
      <w:numFmt w:val="bullet"/>
      <w:lvlText w:val="•"/>
      <w:lvlJc w:val="left"/>
      <w:pPr>
        <w:ind w:left="2050" w:hanging="360"/>
      </w:pPr>
      <w:rPr>
        <w:rFonts w:hint="default"/>
        <w:lang w:val="en-US" w:eastAsia="en-US" w:bidi="ar-SA"/>
      </w:rPr>
    </w:lvl>
    <w:lvl w:ilvl="3" w:tplc="6E1A5CD2">
      <w:numFmt w:val="bullet"/>
      <w:lvlText w:val="•"/>
      <w:lvlJc w:val="left"/>
      <w:pPr>
        <w:ind w:left="2615" w:hanging="360"/>
      </w:pPr>
      <w:rPr>
        <w:rFonts w:hint="default"/>
        <w:lang w:val="en-US" w:eastAsia="en-US" w:bidi="ar-SA"/>
      </w:rPr>
    </w:lvl>
    <w:lvl w:ilvl="4" w:tplc="80A84A80">
      <w:numFmt w:val="bullet"/>
      <w:lvlText w:val="•"/>
      <w:lvlJc w:val="left"/>
      <w:pPr>
        <w:ind w:left="3180" w:hanging="360"/>
      </w:pPr>
      <w:rPr>
        <w:rFonts w:hint="default"/>
        <w:lang w:val="en-US" w:eastAsia="en-US" w:bidi="ar-SA"/>
      </w:rPr>
    </w:lvl>
    <w:lvl w:ilvl="5" w:tplc="773A521C">
      <w:numFmt w:val="bullet"/>
      <w:lvlText w:val="•"/>
      <w:lvlJc w:val="left"/>
      <w:pPr>
        <w:ind w:left="3745" w:hanging="360"/>
      </w:pPr>
      <w:rPr>
        <w:rFonts w:hint="default"/>
        <w:lang w:val="en-US" w:eastAsia="en-US" w:bidi="ar-SA"/>
      </w:rPr>
    </w:lvl>
    <w:lvl w:ilvl="6" w:tplc="971EE738">
      <w:numFmt w:val="bullet"/>
      <w:lvlText w:val="•"/>
      <w:lvlJc w:val="left"/>
      <w:pPr>
        <w:ind w:left="4310" w:hanging="360"/>
      </w:pPr>
      <w:rPr>
        <w:rFonts w:hint="default"/>
        <w:lang w:val="en-US" w:eastAsia="en-US" w:bidi="ar-SA"/>
      </w:rPr>
    </w:lvl>
    <w:lvl w:ilvl="7" w:tplc="025CBCAC">
      <w:numFmt w:val="bullet"/>
      <w:lvlText w:val="•"/>
      <w:lvlJc w:val="left"/>
      <w:pPr>
        <w:ind w:left="4875" w:hanging="360"/>
      </w:pPr>
      <w:rPr>
        <w:rFonts w:hint="default"/>
        <w:lang w:val="en-US" w:eastAsia="en-US" w:bidi="ar-SA"/>
      </w:rPr>
    </w:lvl>
    <w:lvl w:ilvl="8" w:tplc="B9F46DC6">
      <w:numFmt w:val="bullet"/>
      <w:lvlText w:val="•"/>
      <w:lvlJc w:val="left"/>
      <w:pPr>
        <w:ind w:left="5440" w:hanging="360"/>
      </w:pPr>
      <w:rPr>
        <w:rFonts w:hint="default"/>
        <w:lang w:val="en-US" w:eastAsia="en-US" w:bidi="ar-SA"/>
      </w:rPr>
    </w:lvl>
  </w:abstractNum>
  <w:abstractNum w:abstractNumId="184" w15:restartNumberingAfterBreak="0">
    <w:nsid w:val="63DC4C2D"/>
    <w:multiLevelType w:val="hybridMultilevel"/>
    <w:tmpl w:val="5792FEA4"/>
    <w:lvl w:ilvl="0" w:tplc="8188B622">
      <w:start w:val="1"/>
      <w:numFmt w:val="decimal"/>
      <w:lvlText w:val="%1."/>
      <w:lvlJc w:val="left"/>
      <w:pPr>
        <w:ind w:left="719" w:hanging="360"/>
        <w:jc w:val="left"/>
      </w:pPr>
      <w:rPr>
        <w:rFonts w:ascii="Arial" w:eastAsia="Arial" w:hAnsi="Arial" w:cs="Arial" w:hint="default"/>
        <w:b w:val="0"/>
        <w:bCs w:val="0"/>
        <w:i w:val="0"/>
        <w:iCs w:val="0"/>
        <w:spacing w:val="0"/>
        <w:w w:val="99"/>
        <w:sz w:val="22"/>
        <w:szCs w:val="22"/>
        <w:lang w:val="en-US" w:eastAsia="en-US" w:bidi="ar-SA"/>
      </w:rPr>
    </w:lvl>
    <w:lvl w:ilvl="1" w:tplc="E5CC47A6">
      <w:numFmt w:val="bullet"/>
      <w:lvlText w:val="•"/>
      <w:lvlJc w:val="left"/>
      <w:pPr>
        <w:ind w:left="1692" w:hanging="360"/>
      </w:pPr>
      <w:rPr>
        <w:rFonts w:hint="default"/>
        <w:lang w:val="en-US" w:eastAsia="en-US" w:bidi="ar-SA"/>
      </w:rPr>
    </w:lvl>
    <w:lvl w:ilvl="2" w:tplc="1FDC94B6">
      <w:numFmt w:val="bullet"/>
      <w:lvlText w:val="•"/>
      <w:lvlJc w:val="left"/>
      <w:pPr>
        <w:ind w:left="2664" w:hanging="360"/>
      </w:pPr>
      <w:rPr>
        <w:rFonts w:hint="default"/>
        <w:lang w:val="en-US" w:eastAsia="en-US" w:bidi="ar-SA"/>
      </w:rPr>
    </w:lvl>
    <w:lvl w:ilvl="3" w:tplc="895C10EC">
      <w:numFmt w:val="bullet"/>
      <w:lvlText w:val="•"/>
      <w:lvlJc w:val="left"/>
      <w:pPr>
        <w:ind w:left="3636" w:hanging="360"/>
      </w:pPr>
      <w:rPr>
        <w:rFonts w:hint="default"/>
        <w:lang w:val="en-US" w:eastAsia="en-US" w:bidi="ar-SA"/>
      </w:rPr>
    </w:lvl>
    <w:lvl w:ilvl="4" w:tplc="93DCED30">
      <w:numFmt w:val="bullet"/>
      <w:lvlText w:val="•"/>
      <w:lvlJc w:val="left"/>
      <w:pPr>
        <w:ind w:left="4608" w:hanging="360"/>
      </w:pPr>
      <w:rPr>
        <w:rFonts w:hint="default"/>
        <w:lang w:val="en-US" w:eastAsia="en-US" w:bidi="ar-SA"/>
      </w:rPr>
    </w:lvl>
    <w:lvl w:ilvl="5" w:tplc="DB8AECB6">
      <w:numFmt w:val="bullet"/>
      <w:lvlText w:val="•"/>
      <w:lvlJc w:val="left"/>
      <w:pPr>
        <w:ind w:left="5580" w:hanging="360"/>
      </w:pPr>
      <w:rPr>
        <w:rFonts w:hint="default"/>
        <w:lang w:val="en-US" w:eastAsia="en-US" w:bidi="ar-SA"/>
      </w:rPr>
    </w:lvl>
    <w:lvl w:ilvl="6" w:tplc="AA4A5F38">
      <w:numFmt w:val="bullet"/>
      <w:lvlText w:val="•"/>
      <w:lvlJc w:val="left"/>
      <w:pPr>
        <w:ind w:left="6552" w:hanging="360"/>
      </w:pPr>
      <w:rPr>
        <w:rFonts w:hint="default"/>
        <w:lang w:val="en-US" w:eastAsia="en-US" w:bidi="ar-SA"/>
      </w:rPr>
    </w:lvl>
    <w:lvl w:ilvl="7" w:tplc="47AE6FAA">
      <w:numFmt w:val="bullet"/>
      <w:lvlText w:val="•"/>
      <w:lvlJc w:val="left"/>
      <w:pPr>
        <w:ind w:left="7524" w:hanging="360"/>
      </w:pPr>
      <w:rPr>
        <w:rFonts w:hint="default"/>
        <w:lang w:val="en-US" w:eastAsia="en-US" w:bidi="ar-SA"/>
      </w:rPr>
    </w:lvl>
    <w:lvl w:ilvl="8" w:tplc="4BE64560">
      <w:numFmt w:val="bullet"/>
      <w:lvlText w:val="•"/>
      <w:lvlJc w:val="left"/>
      <w:pPr>
        <w:ind w:left="8496" w:hanging="360"/>
      </w:pPr>
      <w:rPr>
        <w:rFonts w:hint="default"/>
        <w:lang w:val="en-US" w:eastAsia="en-US" w:bidi="ar-SA"/>
      </w:rPr>
    </w:lvl>
  </w:abstractNum>
  <w:abstractNum w:abstractNumId="185" w15:restartNumberingAfterBreak="0">
    <w:nsid w:val="65A66CED"/>
    <w:multiLevelType w:val="hybridMultilevel"/>
    <w:tmpl w:val="41360A32"/>
    <w:lvl w:ilvl="0" w:tplc="8E720CC6">
      <w:start w:val="13"/>
      <w:numFmt w:val="decimal"/>
      <w:lvlText w:val="%1)"/>
      <w:lvlJc w:val="left"/>
      <w:pPr>
        <w:ind w:left="683" w:hanging="577"/>
        <w:jc w:val="left"/>
      </w:pPr>
      <w:rPr>
        <w:rFonts w:ascii="Arial" w:eastAsia="Arial" w:hAnsi="Arial" w:cs="Arial" w:hint="default"/>
        <w:b w:val="0"/>
        <w:bCs w:val="0"/>
        <w:i w:val="0"/>
        <w:iCs w:val="0"/>
        <w:spacing w:val="0"/>
        <w:w w:val="99"/>
        <w:sz w:val="22"/>
        <w:szCs w:val="22"/>
        <w:lang w:val="en-US" w:eastAsia="en-US" w:bidi="ar-SA"/>
      </w:rPr>
    </w:lvl>
    <w:lvl w:ilvl="1" w:tplc="81B80628">
      <w:numFmt w:val="bullet"/>
      <w:lvlText w:val="•"/>
      <w:lvlJc w:val="left"/>
      <w:pPr>
        <w:ind w:left="1304" w:hanging="577"/>
      </w:pPr>
      <w:rPr>
        <w:rFonts w:hint="default"/>
        <w:lang w:val="en-US" w:eastAsia="en-US" w:bidi="ar-SA"/>
      </w:rPr>
    </w:lvl>
    <w:lvl w:ilvl="2" w:tplc="667ABDD2">
      <w:numFmt w:val="bullet"/>
      <w:lvlText w:val="•"/>
      <w:lvlJc w:val="left"/>
      <w:pPr>
        <w:ind w:left="1928" w:hanging="577"/>
      </w:pPr>
      <w:rPr>
        <w:rFonts w:hint="default"/>
        <w:lang w:val="en-US" w:eastAsia="en-US" w:bidi="ar-SA"/>
      </w:rPr>
    </w:lvl>
    <w:lvl w:ilvl="3" w:tplc="D8CA7F5E">
      <w:numFmt w:val="bullet"/>
      <w:lvlText w:val="•"/>
      <w:lvlJc w:val="left"/>
      <w:pPr>
        <w:ind w:left="2552" w:hanging="577"/>
      </w:pPr>
      <w:rPr>
        <w:rFonts w:hint="default"/>
        <w:lang w:val="en-US" w:eastAsia="en-US" w:bidi="ar-SA"/>
      </w:rPr>
    </w:lvl>
    <w:lvl w:ilvl="4" w:tplc="99E0AF8A">
      <w:numFmt w:val="bullet"/>
      <w:lvlText w:val="•"/>
      <w:lvlJc w:val="left"/>
      <w:pPr>
        <w:ind w:left="3176" w:hanging="577"/>
      </w:pPr>
      <w:rPr>
        <w:rFonts w:hint="default"/>
        <w:lang w:val="en-US" w:eastAsia="en-US" w:bidi="ar-SA"/>
      </w:rPr>
    </w:lvl>
    <w:lvl w:ilvl="5" w:tplc="D45AF8D6">
      <w:numFmt w:val="bullet"/>
      <w:lvlText w:val="•"/>
      <w:lvlJc w:val="left"/>
      <w:pPr>
        <w:ind w:left="3800" w:hanging="577"/>
      </w:pPr>
      <w:rPr>
        <w:rFonts w:hint="default"/>
        <w:lang w:val="en-US" w:eastAsia="en-US" w:bidi="ar-SA"/>
      </w:rPr>
    </w:lvl>
    <w:lvl w:ilvl="6" w:tplc="BEE4DADC">
      <w:numFmt w:val="bullet"/>
      <w:lvlText w:val="•"/>
      <w:lvlJc w:val="left"/>
      <w:pPr>
        <w:ind w:left="4424" w:hanging="577"/>
      </w:pPr>
      <w:rPr>
        <w:rFonts w:hint="default"/>
        <w:lang w:val="en-US" w:eastAsia="en-US" w:bidi="ar-SA"/>
      </w:rPr>
    </w:lvl>
    <w:lvl w:ilvl="7" w:tplc="D6A2A65C">
      <w:numFmt w:val="bullet"/>
      <w:lvlText w:val="•"/>
      <w:lvlJc w:val="left"/>
      <w:pPr>
        <w:ind w:left="5048" w:hanging="577"/>
      </w:pPr>
      <w:rPr>
        <w:rFonts w:hint="default"/>
        <w:lang w:val="en-US" w:eastAsia="en-US" w:bidi="ar-SA"/>
      </w:rPr>
    </w:lvl>
    <w:lvl w:ilvl="8" w:tplc="AE48A5B6">
      <w:numFmt w:val="bullet"/>
      <w:lvlText w:val="•"/>
      <w:lvlJc w:val="left"/>
      <w:pPr>
        <w:ind w:left="5672" w:hanging="577"/>
      </w:pPr>
      <w:rPr>
        <w:rFonts w:hint="default"/>
        <w:lang w:val="en-US" w:eastAsia="en-US" w:bidi="ar-SA"/>
      </w:rPr>
    </w:lvl>
  </w:abstractNum>
  <w:abstractNum w:abstractNumId="186" w15:restartNumberingAfterBreak="0">
    <w:nsid w:val="66B15DF9"/>
    <w:multiLevelType w:val="hybridMultilevel"/>
    <w:tmpl w:val="E0A6BCCA"/>
    <w:lvl w:ilvl="0" w:tplc="267A7194">
      <w:start w:val="4"/>
      <w:numFmt w:val="lowerLetter"/>
      <w:lvlText w:val="%1."/>
      <w:lvlJc w:val="left"/>
      <w:pPr>
        <w:ind w:left="1285" w:hanging="360"/>
        <w:jc w:val="left"/>
      </w:pPr>
      <w:rPr>
        <w:rFonts w:ascii="Arial" w:eastAsia="Arial" w:hAnsi="Arial" w:cs="Arial" w:hint="default"/>
        <w:b w:val="0"/>
        <w:bCs w:val="0"/>
        <w:i w:val="0"/>
        <w:iCs w:val="0"/>
        <w:spacing w:val="0"/>
        <w:w w:val="99"/>
        <w:sz w:val="22"/>
        <w:szCs w:val="22"/>
        <w:lang w:val="en-US" w:eastAsia="en-US" w:bidi="ar-SA"/>
      </w:rPr>
    </w:lvl>
    <w:lvl w:ilvl="1" w:tplc="DC4251E4">
      <w:numFmt w:val="bullet"/>
      <w:lvlText w:val=""/>
      <w:lvlJc w:val="left"/>
      <w:pPr>
        <w:ind w:left="1674" w:hanging="362"/>
      </w:pPr>
      <w:rPr>
        <w:rFonts w:ascii="Symbol" w:eastAsia="Symbol" w:hAnsi="Symbol" w:cs="Symbol" w:hint="default"/>
        <w:b w:val="0"/>
        <w:bCs w:val="0"/>
        <w:i w:val="0"/>
        <w:iCs w:val="0"/>
        <w:spacing w:val="0"/>
        <w:w w:val="99"/>
        <w:sz w:val="22"/>
        <w:szCs w:val="22"/>
        <w:lang w:val="en-US" w:eastAsia="en-US" w:bidi="ar-SA"/>
      </w:rPr>
    </w:lvl>
    <w:lvl w:ilvl="2" w:tplc="244AACAA">
      <w:numFmt w:val="bullet"/>
      <w:lvlText w:val="•"/>
      <w:lvlJc w:val="left"/>
      <w:pPr>
        <w:ind w:left="2317" w:hanging="362"/>
      </w:pPr>
      <w:rPr>
        <w:rFonts w:hint="default"/>
        <w:lang w:val="en-US" w:eastAsia="en-US" w:bidi="ar-SA"/>
      </w:rPr>
    </w:lvl>
    <w:lvl w:ilvl="3" w:tplc="8C60B62E">
      <w:numFmt w:val="bullet"/>
      <w:lvlText w:val="•"/>
      <w:lvlJc w:val="left"/>
      <w:pPr>
        <w:ind w:left="2954" w:hanging="362"/>
      </w:pPr>
      <w:rPr>
        <w:rFonts w:hint="default"/>
        <w:lang w:val="en-US" w:eastAsia="en-US" w:bidi="ar-SA"/>
      </w:rPr>
    </w:lvl>
    <w:lvl w:ilvl="4" w:tplc="A80AFD50">
      <w:numFmt w:val="bullet"/>
      <w:lvlText w:val="•"/>
      <w:lvlJc w:val="left"/>
      <w:pPr>
        <w:ind w:left="3591" w:hanging="362"/>
      </w:pPr>
      <w:rPr>
        <w:rFonts w:hint="default"/>
        <w:lang w:val="en-US" w:eastAsia="en-US" w:bidi="ar-SA"/>
      </w:rPr>
    </w:lvl>
    <w:lvl w:ilvl="5" w:tplc="773E0B56">
      <w:numFmt w:val="bullet"/>
      <w:lvlText w:val="•"/>
      <w:lvlJc w:val="left"/>
      <w:pPr>
        <w:ind w:left="4228" w:hanging="362"/>
      </w:pPr>
      <w:rPr>
        <w:rFonts w:hint="default"/>
        <w:lang w:val="en-US" w:eastAsia="en-US" w:bidi="ar-SA"/>
      </w:rPr>
    </w:lvl>
    <w:lvl w:ilvl="6" w:tplc="5EA8D214">
      <w:numFmt w:val="bullet"/>
      <w:lvlText w:val="•"/>
      <w:lvlJc w:val="left"/>
      <w:pPr>
        <w:ind w:left="4865" w:hanging="362"/>
      </w:pPr>
      <w:rPr>
        <w:rFonts w:hint="default"/>
        <w:lang w:val="en-US" w:eastAsia="en-US" w:bidi="ar-SA"/>
      </w:rPr>
    </w:lvl>
    <w:lvl w:ilvl="7" w:tplc="C3901174">
      <w:numFmt w:val="bullet"/>
      <w:lvlText w:val="•"/>
      <w:lvlJc w:val="left"/>
      <w:pPr>
        <w:ind w:left="5502" w:hanging="362"/>
      </w:pPr>
      <w:rPr>
        <w:rFonts w:hint="default"/>
        <w:lang w:val="en-US" w:eastAsia="en-US" w:bidi="ar-SA"/>
      </w:rPr>
    </w:lvl>
    <w:lvl w:ilvl="8" w:tplc="EBEE8BCA">
      <w:numFmt w:val="bullet"/>
      <w:lvlText w:val="•"/>
      <w:lvlJc w:val="left"/>
      <w:pPr>
        <w:ind w:left="6139" w:hanging="362"/>
      </w:pPr>
      <w:rPr>
        <w:rFonts w:hint="default"/>
        <w:lang w:val="en-US" w:eastAsia="en-US" w:bidi="ar-SA"/>
      </w:rPr>
    </w:lvl>
  </w:abstractNum>
  <w:abstractNum w:abstractNumId="187" w15:restartNumberingAfterBreak="0">
    <w:nsid w:val="673F176A"/>
    <w:multiLevelType w:val="hybridMultilevel"/>
    <w:tmpl w:val="C4964478"/>
    <w:lvl w:ilvl="0" w:tplc="2ACC286C">
      <w:start w:val="1"/>
      <w:numFmt w:val="decimal"/>
      <w:lvlText w:val="%1."/>
      <w:lvlJc w:val="left"/>
      <w:pPr>
        <w:ind w:left="462" w:hanging="360"/>
        <w:jc w:val="left"/>
      </w:pPr>
      <w:rPr>
        <w:rFonts w:ascii="Arial" w:eastAsia="Arial" w:hAnsi="Arial" w:cs="Arial" w:hint="default"/>
        <w:b w:val="0"/>
        <w:bCs w:val="0"/>
        <w:i w:val="0"/>
        <w:iCs w:val="0"/>
        <w:spacing w:val="0"/>
        <w:w w:val="100"/>
        <w:sz w:val="20"/>
        <w:szCs w:val="20"/>
        <w:lang w:val="en-US" w:eastAsia="en-US" w:bidi="ar-SA"/>
      </w:rPr>
    </w:lvl>
    <w:lvl w:ilvl="1" w:tplc="30D02B80">
      <w:numFmt w:val="bullet"/>
      <w:lvlText w:val=""/>
      <w:lvlJc w:val="left"/>
      <w:pPr>
        <w:ind w:left="821" w:hanging="360"/>
      </w:pPr>
      <w:rPr>
        <w:rFonts w:ascii="Symbol" w:eastAsia="Symbol" w:hAnsi="Symbol" w:cs="Symbol" w:hint="default"/>
        <w:b w:val="0"/>
        <w:bCs w:val="0"/>
        <w:i w:val="0"/>
        <w:iCs w:val="0"/>
        <w:spacing w:val="0"/>
        <w:w w:val="100"/>
        <w:sz w:val="20"/>
        <w:szCs w:val="20"/>
        <w:lang w:val="en-US" w:eastAsia="en-US" w:bidi="ar-SA"/>
      </w:rPr>
    </w:lvl>
    <w:lvl w:ilvl="2" w:tplc="1A44E2FE">
      <w:numFmt w:val="bullet"/>
      <w:lvlText w:val="•"/>
      <w:lvlJc w:val="left"/>
      <w:pPr>
        <w:ind w:left="1215" w:hanging="360"/>
      </w:pPr>
      <w:rPr>
        <w:rFonts w:hint="default"/>
        <w:lang w:val="en-US" w:eastAsia="en-US" w:bidi="ar-SA"/>
      </w:rPr>
    </w:lvl>
    <w:lvl w:ilvl="3" w:tplc="B84E0650">
      <w:numFmt w:val="bullet"/>
      <w:lvlText w:val="•"/>
      <w:lvlJc w:val="left"/>
      <w:pPr>
        <w:ind w:left="1611" w:hanging="360"/>
      </w:pPr>
      <w:rPr>
        <w:rFonts w:hint="default"/>
        <w:lang w:val="en-US" w:eastAsia="en-US" w:bidi="ar-SA"/>
      </w:rPr>
    </w:lvl>
    <w:lvl w:ilvl="4" w:tplc="8AEAB71A">
      <w:numFmt w:val="bullet"/>
      <w:lvlText w:val="•"/>
      <w:lvlJc w:val="left"/>
      <w:pPr>
        <w:ind w:left="2007" w:hanging="360"/>
      </w:pPr>
      <w:rPr>
        <w:rFonts w:hint="default"/>
        <w:lang w:val="en-US" w:eastAsia="en-US" w:bidi="ar-SA"/>
      </w:rPr>
    </w:lvl>
    <w:lvl w:ilvl="5" w:tplc="F78AF82E">
      <w:numFmt w:val="bullet"/>
      <w:lvlText w:val="•"/>
      <w:lvlJc w:val="left"/>
      <w:pPr>
        <w:ind w:left="2403" w:hanging="360"/>
      </w:pPr>
      <w:rPr>
        <w:rFonts w:hint="default"/>
        <w:lang w:val="en-US" w:eastAsia="en-US" w:bidi="ar-SA"/>
      </w:rPr>
    </w:lvl>
    <w:lvl w:ilvl="6" w:tplc="C30ADC4E">
      <w:numFmt w:val="bullet"/>
      <w:lvlText w:val="•"/>
      <w:lvlJc w:val="left"/>
      <w:pPr>
        <w:ind w:left="2799" w:hanging="360"/>
      </w:pPr>
      <w:rPr>
        <w:rFonts w:hint="default"/>
        <w:lang w:val="en-US" w:eastAsia="en-US" w:bidi="ar-SA"/>
      </w:rPr>
    </w:lvl>
    <w:lvl w:ilvl="7" w:tplc="304E8F20">
      <w:numFmt w:val="bullet"/>
      <w:lvlText w:val="•"/>
      <w:lvlJc w:val="left"/>
      <w:pPr>
        <w:ind w:left="3195" w:hanging="360"/>
      </w:pPr>
      <w:rPr>
        <w:rFonts w:hint="default"/>
        <w:lang w:val="en-US" w:eastAsia="en-US" w:bidi="ar-SA"/>
      </w:rPr>
    </w:lvl>
    <w:lvl w:ilvl="8" w:tplc="2504769A">
      <w:numFmt w:val="bullet"/>
      <w:lvlText w:val="•"/>
      <w:lvlJc w:val="left"/>
      <w:pPr>
        <w:ind w:left="3590" w:hanging="360"/>
      </w:pPr>
      <w:rPr>
        <w:rFonts w:hint="default"/>
        <w:lang w:val="en-US" w:eastAsia="en-US" w:bidi="ar-SA"/>
      </w:rPr>
    </w:lvl>
  </w:abstractNum>
  <w:abstractNum w:abstractNumId="188" w15:restartNumberingAfterBreak="0">
    <w:nsid w:val="67AF632A"/>
    <w:multiLevelType w:val="hybridMultilevel"/>
    <w:tmpl w:val="3B48BB0E"/>
    <w:lvl w:ilvl="0" w:tplc="8A32434E">
      <w:start w:val="3"/>
      <w:numFmt w:val="lowerLetter"/>
      <w:lvlText w:val="%1."/>
      <w:lvlJc w:val="left"/>
      <w:pPr>
        <w:ind w:left="1285" w:hanging="360"/>
        <w:jc w:val="left"/>
      </w:pPr>
      <w:rPr>
        <w:rFonts w:ascii="Arial" w:eastAsia="Arial" w:hAnsi="Arial" w:cs="Arial" w:hint="default"/>
        <w:b w:val="0"/>
        <w:bCs w:val="0"/>
        <w:i w:val="0"/>
        <w:iCs w:val="0"/>
        <w:spacing w:val="0"/>
        <w:w w:val="99"/>
        <w:sz w:val="22"/>
        <w:szCs w:val="22"/>
        <w:lang w:val="en-US" w:eastAsia="en-US" w:bidi="ar-SA"/>
      </w:rPr>
    </w:lvl>
    <w:lvl w:ilvl="1" w:tplc="999C614C">
      <w:numFmt w:val="bullet"/>
      <w:lvlText w:val=""/>
      <w:lvlJc w:val="left"/>
      <w:pPr>
        <w:ind w:left="1674" w:hanging="362"/>
      </w:pPr>
      <w:rPr>
        <w:rFonts w:ascii="Symbol" w:eastAsia="Symbol" w:hAnsi="Symbol" w:cs="Symbol" w:hint="default"/>
        <w:b w:val="0"/>
        <w:bCs w:val="0"/>
        <w:i w:val="0"/>
        <w:iCs w:val="0"/>
        <w:spacing w:val="0"/>
        <w:w w:val="99"/>
        <w:sz w:val="22"/>
        <w:szCs w:val="22"/>
        <w:lang w:val="en-US" w:eastAsia="en-US" w:bidi="ar-SA"/>
      </w:rPr>
    </w:lvl>
    <w:lvl w:ilvl="2" w:tplc="2C54F058">
      <w:numFmt w:val="bullet"/>
      <w:lvlText w:val="•"/>
      <w:lvlJc w:val="left"/>
      <w:pPr>
        <w:ind w:left="2317" w:hanging="362"/>
      </w:pPr>
      <w:rPr>
        <w:rFonts w:hint="default"/>
        <w:lang w:val="en-US" w:eastAsia="en-US" w:bidi="ar-SA"/>
      </w:rPr>
    </w:lvl>
    <w:lvl w:ilvl="3" w:tplc="F8C2B38C">
      <w:numFmt w:val="bullet"/>
      <w:lvlText w:val="•"/>
      <w:lvlJc w:val="left"/>
      <w:pPr>
        <w:ind w:left="2954" w:hanging="362"/>
      </w:pPr>
      <w:rPr>
        <w:rFonts w:hint="default"/>
        <w:lang w:val="en-US" w:eastAsia="en-US" w:bidi="ar-SA"/>
      </w:rPr>
    </w:lvl>
    <w:lvl w:ilvl="4" w:tplc="A906CDF2">
      <w:numFmt w:val="bullet"/>
      <w:lvlText w:val="•"/>
      <w:lvlJc w:val="left"/>
      <w:pPr>
        <w:ind w:left="3591" w:hanging="362"/>
      </w:pPr>
      <w:rPr>
        <w:rFonts w:hint="default"/>
        <w:lang w:val="en-US" w:eastAsia="en-US" w:bidi="ar-SA"/>
      </w:rPr>
    </w:lvl>
    <w:lvl w:ilvl="5" w:tplc="7BDE9A4E">
      <w:numFmt w:val="bullet"/>
      <w:lvlText w:val="•"/>
      <w:lvlJc w:val="left"/>
      <w:pPr>
        <w:ind w:left="4228" w:hanging="362"/>
      </w:pPr>
      <w:rPr>
        <w:rFonts w:hint="default"/>
        <w:lang w:val="en-US" w:eastAsia="en-US" w:bidi="ar-SA"/>
      </w:rPr>
    </w:lvl>
    <w:lvl w:ilvl="6" w:tplc="2A985098">
      <w:numFmt w:val="bullet"/>
      <w:lvlText w:val="•"/>
      <w:lvlJc w:val="left"/>
      <w:pPr>
        <w:ind w:left="4865" w:hanging="362"/>
      </w:pPr>
      <w:rPr>
        <w:rFonts w:hint="default"/>
        <w:lang w:val="en-US" w:eastAsia="en-US" w:bidi="ar-SA"/>
      </w:rPr>
    </w:lvl>
    <w:lvl w:ilvl="7" w:tplc="3FC272BC">
      <w:numFmt w:val="bullet"/>
      <w:lvlText w:val="•"/>
      <w:lvlJc w:val="left"/>
      <w:pPr>
        <w:ind w:left="5502" w:hanging="362"/>
      </w:pPr>
      <w:rPr>
        <w:rFonts w:hint="default"/>
        <w:lang w:val="en-US" w:eastAsia="en-US" w:bidi="ar-SA"/>
      </w:rPr>
    </w:lvl>
    <w:lvl w:ilvl="8" w:tplc="04E4EFE6">
      <w:numFmt w:val="bullet"/>
      <w:lvlText w:val="•"/>
      <w:lvlJc w:val="left"/>
      <w:pPr>
        <w:ind w:left="6139" w:hanging="362"/>
      </w:pPr>
      <w:rPr>
        <w:rFonts w:hint="default"/>
        <w:lang w:val="en-US" w:eastAsia="en-US" w:bidi="ar-SA"/>
      </w:rPr>
    </w:lvl>
  </w:abstractNum>
  <w:abstractNum w:abstractNumId="189" w15:restartNumberingAfterBreak="0">
    <w:nsid w:val="6AD07620"/>
    <w:multiLevelType w:val="hybridMultilevel"/>
    <w:tmpl w:val="D898CC4C"/>
    <w:lvl w:ilvl="0" w:tplc="F9AE1108">
      <w:numFmt w:val="bullet"/>
      <w:lvlText w:val=""/>
      <w:lvlJc w:val="left"/>
      <w:pPr>
        <w:ind w:left="1693" w:hanging="362"/>
      </w:pPr>
      <w:rPr>
        <w:rFonts w:ascii="Symbol" w:eastAsia="Symbol" w:hAnsi="Symbol" w:cs="Symbol" w:hint="default"/>
        <w:b w:val="0"/>
        <w:bCs w:val="0"/>
        <w:i w:val="0"/>
        <w:iCs w:val="0"/>
        <w:spacing w:val="0"/>
        <w:w w:val="99"/>
        <w:sz w:val="22"/>
        <w:szCs w:val="22"/>
        <w:lang w:val="en-US" w:eastAsia="en-US" w:bidi="ar-SA"/>
      </w:rPr>
    </w:lvl>
    <w:lvl w:ilvl="1" w:tplc="C37ABF10">
      <w:numFmt w:val="bullet"/>
      <w:lvlText w:val="•"/>
      <w:lvlJc w:val="left"/>
      <w:pPr>
        <w:ind w:left="2265" w:hanging="362"/>
      </w:pPr>
      <w:rPr>
        <w:rFonts w:hint="default"/>
        <w:lang w:val="en-US" w:eastAsia="en-US" w:bidi="ar-SA"/>
      </w:rPr>
    </w:lvl>
    <w:lvl w:ilvl="2" w:tplc="6DA862C6">
      <w:numFmt w:val="bullet"/>
      <w:lvlText w:val="•"/>
      <w:lvlJc w:val="left"/>
      <w:pPr>
        <w:ind w:left="2830" w:hanging="362"/>
      </w:pPr>
      <w:rPr>
        <w:rFonts w:hint="default"/>
        <w:lang w:val="en-US" w:eastAsia="en-US" w:bidi="ar-SA"/>
      </w:rPr>
    </w:lvl>
    <w:lvl w:ilvl="3" w:tplc="A7C6F6B0">
      <w:numFmt w:val="bullet"/>
      <w:lvlText w:val="•"/>
      <w:lvlJc w:val="left"/>
      <w:pPr>
        <w:ind w:left="3395" w:hanging="362"/>
      </w:pPr>
      <w:rPr>
        <w:rFonts w:hint="default"/>
        <w:lang w:val="en-US" w:eastAsia="en-US" w:bidi="ar-SA"/>
      </w:rPr>
    </w:lvl>
    <w:lvl w:ilvl="4" w:tplc="5E8A2F2A">
      <w:numFmt w:val="bullet"/>
      <w:lvlText w:val="•"/>
      <w:lvlJc w:val="left"/>
      <w:pPr>
        <w:ind w:left="3960" w:hanging="362"/>
      </w:pPr>
      <w:rPr>
        <w:rFonts w:hint="default"/>
        <w:lang w:val="en-US" w:eastAsia="en-US" w:bidi="ar-SA"/>
      </w:rPr>
    </w:lvl>
    <w:lvl w:ilvl="5" w:tplc="CEFA0A46">
      <w:numFmt w:val="bullet"/>
      <w:lvlText w:val="•"/>
      <w:lvlJc w:val="left"/>
      <w:pPr>
        <w:ind w:left="4525" w:hanging="362"/>
      </w:pPr>
      <w:rPr>
        <w:rFonts w:hint="default"/>
        <w:lang w:val="en-US" w:eastAsia="en-US" w:bidi="ar-SA"/>
      </w:rPr>
    </w:lvl>
    <w:lvl w:ilvl="6" w:tplc="6C8E17BE">
      <w:numFmt w:val="bullet"/>
      <w:lvlText w:val="•"/>
      <w:lvlJc w:val="left"/>
      <w:pPr>
        <w:ind w:left="5090" w:hanging="362"/>
      </w:pPr>
      <w:rPr>
        <w:rFonts w:hint="default"/>
        <w:lang w:val="en-US" w:eastAsia="en-US" w:bidi="ar-SA"/>
      </w:rPr>
    </w:lvl>
    <w:lvl w:ilvl="7" w:tplc="393652F6">
      <w:numFmt w:val="bullet"/>
      <w:lvlText w:val="•"/>
      <w:lvlJc w:val="left"/>
      <w:pPr>
        <w:ind w:left="5655" w:hanging="362"/>
      </w:pPr>
      <w:rPr>
        <w:rFonts w:hint="default"/>
        <w:lang w:val="en-US" w:eastAsia="en-US" w:bidi="ar-SA"/>
      </w:rPr>
    </w:lvl>
    <w:lvl w:ilvl="8" w:tplc="0C30DF74">
      <w:numFmt w:val="bullet"/>
      <w:lvlText w:val="•"/>
      <w:lvlJc w:val="left"/>
      <w:pPr>
        <w:ind w:left="6220" w:hanging="362"/>
      </w:pPr>
      <w:rPr>
        <w:rFonts w:hint="default"/>
        <w:lang w:val="en-US" w:eastAsia="en-US" w:bidi="ar-SA"/>
      </w:rPr>
    </w:lvl>
  </w:abstractNum>
  <w:abstractNum w:abstractNumId="190" w15:restartNumberingAfterBreak="0">
    <w:nsid w:val="6B9D2552"/>
    <w:multiLevelType w:val="hybridMultilevel"/>
    <w:tmpl w:val="D49AD31E"/>
    <w:lvl w:ilvl="0" w:tplc="C4022B6C">
      <w:start w:val="1"/>
      <w:numFmt w:val="lowerLetter"/>
      <w:lvlText w:val="%1."/>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1" w:tplc="55FC1F76">
      <w:numFmt w:val="bullet"/>
      <w:lvlText w:val="•"/>
      <w:lvlJc w:val="left"/>
      <w:pPr>
        <w:ind w:left="2988" w:hanging="360"/>
      </w:pPr>
      <w:rPr>
        <w:rFonts w:hint="default"/>
        <w:lang w:val="en-US" w:eastAsia="en-US" w:bidi="ar-SA"/>
      </w:rPr>
    </w:lvl>
    <w:lvl w:ilvl="2" w:tplc="5CBCF388">
      <w:numFmt w:val="bullet"/>
      <w:lvlText w:val="•"/>
      <w:lvlJc w:val="left"/>
      <w:pPr>
        <w:ind w:left="3816" w:hanging="360"/>
      </w:pPr>
      <w:rPr>
        <w:rFonts w:hint="default"/>
        <w:lang w:val="en-US" w:eastAsia="en-US" w:bidi="ar-SA"/>
      </w:rPr>
    </w:lvl>
    <w:lvl w:ilvl="3" w:tplc="372016B4">
      <w:numFmt w:val="bullet"/>
      <w:lvlText w:val="•"/>
      <w:lvlJc w:val="left"/>
      <w:pPr>
        <w:ind w:left="4644" w:hanging="360"/>
      </w:pPr>
      <w:rPr>
        <w:rFonts w:hint="default"/>
        <w:lang w:val="en-US" w:eastAsia="en-US" w:bidi="ar-SA"/>
      </w:rPr>
    </w:lvl>
    <w:lvl w:ilvl="4" w:tplc="58C029F6">
      <w:numFmt w:val="bullet"/>
      <w:lvlText w:val="•"/>
      <w:lvlJc w:val="left"/>
      <w:pPr>
        <w:ind w:left="5472" w:hanging="360"/>
      </w:pPr>
      <w:rPr>
        <w:rFonts w:hint="default"/>
        <w:lang w:val="en-US" w:eastAsia="en-US" w:bidi="ar-SA"/>
      </w:rPr>
    </w:lvl>
    <w:lvl w:ilvl="5" w:tplc="06A09BA8">
      <w:numFmt w:val="bullet"/>
      <w:lvlText w:val="•"/>
      <w:lvlJc w:val="left"/>
      <w:pPr>
        <w:ind w:left="6300" w:hanging="360"/>
      </w:pPr>
      <w:rPr>
        <w:rFonts w:hint="default"/>
        <w:lang w:val="en-US" w:eastAsia="en-US" w:bidi="ar-SA"/>
      </w:rPr>
    </w:lvl>
    <w:lvl w:ilvl="6" w:tplc="06B493E6">
      <w:numFmt w:val="bullet"/>
      <w:lvlText w:val="•"/>
      <w:lvlJc w:val="left"/>
      <w:pPr>
        <w:ind w:left="7128" w:hanging="360"/>
      </w:pPr>
      <w:rPr>
        <w:rFonts w:hint="default"/>
        <w:lang w:val="en-US" w:eastAsia="en-US" w:bidi="ar-SA"/>
      </w:rPr>
    </w:lvl>
    <w:lvl w:ilvl="7" w:tplc="4AB4334C">
      <w:numFmt w:val="bullet"/>
      <w:lvlText w:val="•"/>
      <w:lvlJc w:val="left"/>
      <w:pPr>
        <w:ind w:left="7956" w:hanging="360"/>
      </w:pPr>
      <w:rPr>
        <w:rFonts w:hint="default"/>
        <w:lang w:val="en-US" w:eastAsia="en-US" w:bidi="ar-SA"/>
      </w:rPr>
    </w:lvl>
    <w:lvl w:ilvl="8" w:tplc="40AEE086">
      <w:numFmt w:val="bullet"/>
      <w:lvlText w:val="•"/>
      <w:lvlJc w:val="left"/>
      <w:pPr>
        <w:ind w:left="8784" w:hanging="360"/>
      </w:pPr>
      <w:rPr>
        <w:rFonts w:hint="default"/>
        <w:lang w:val="en-US" w:eastAsia="en-US" w:bidi="ar-SA"/>
      </w:rPr>
    </w:lvl>
  </w:abstractNum>
  <w:abstractNum w:abstractNumId="191" w15:restartNumberingAfterBreak="0">
    <w:nsid w:val="6B9E4983"/>
    <w:multiLevelType w:val="hybridMultilevel"/>
    <w:tmpl w:val="F7A2B020"/>
    <w:lvl w:ilvl="0" w:tplc="5DFC25CE">
      <w:start w:val="4"/>
      <w:numFmt w:val="lowerLetter"/>
      <w:lvlText w:val="%1."/>
      <w:lvlJc w:val="left"/>
      <w:pPr>
        <w:ind w:left="1334" w:hanging="390"/>
        <w:jc w:val="left"/>
      </w:pPr>
      <w:rPr>
        <w:rFonts w:ascii="Arial" w:eastAsia="Arial" w:hAnsi="Arial" w:cs="Arial" w:hint="default"/>
        <w:b w:val="0"/>
        <w:bCs w:val="0"/>
        <w:i w:val="0"/>
        <w:iCs w:val="0"/>
        <w:spacing w:val="0"/>
        <w:w w:val="99"/>
        <w:sz w:val="22"/>
        <w:szCs w:val="22"/>
        <w:lang w:val="en-US" w:eastAsia="en-US" w:bidi="ar-SA"/>
      </w:rPr>
    </w:lvl>
    <w:lvl w:ilvl="1" w:tplc="C0A2902E">
      <w:numFmt w:val="bullet"/>
      <w:lvlText w:val=""/>
      <w:lvlJc w:val="left"/>
      <w:pPr>
        <w:ind w:left="1693" w:hanging="362"/>
      </w:pPr>
      <w:rPr>
        <w:rFonts w:ascii="Symbol" w:eastAsia="Symbol" w:hAnsi="Symbol" w:cs="Symbol" w:hint="default"/>
        <w:b w:val="0"/>
        <w:bCs w:val="0"/>
        <w:i w:val="0"/>
        <w:iCs w:val="0"/>
        <w:spacing w:val="0"/>
        <w:w w:val="99"/>
        <w:sz w:val="22"/>
        <w:szCs w:val="22"/>
        <w:lang w:val="en-US" w:eastAsia="en-US" w:bidi="ar-SA"/>
      </w:rPr>
    </w:lvl>
    <w:lvl w:ilvl="2" w:tplc="97E6F78A">
      <w:numFmt w:val="bullet"/>
      <w:lvlText w:val="•"/>
      <w:lvlJc w:val="left"/>
      <w:pPr>
        <w:ind w:left="2327" w:hanging="362"/>
      </w:pPr>
      <w:rPr>
        <w:rFonts w:hint="default"/>
        <w:lang w:val="en-US" w:eastAsia="en-US" w:bidi="ar-SA"/>
      </w:rPr>
    </w:lvl>
    <w:lvl w:ilvl="3" w:tplc="0A98DA7A">
      <w:numFmt w:val="bullet"/>
      <w:lvlText w:val="•"/>
      <w:lvlJc w:val="left"/>
      <w:pPr>
        <w:ind w:left="2955" w:hanging="362"/>
      </w:pPr>
      <w:rPr>
        <w:rFonts w:hint="default"/>
        <w:lang w:val="en-US" w:eastAsia="en-US" w:bidi="ar-SA"/>
      </w:rPr>
    </w:lvl>
    <w:lvl w:ilvl="4" w:tplc="1C30A30A">
      <w:numFmt w:val="bullet"/>
      <w:lvlText w:val="•"/>
      <w:lvlJc w:val="left"/>
      <w:pPr>
        <w:ind w:left="3583" w:hanging="362"/>
      </w:pPr>
      <w:rPr>
        <w:rFonts w:hint="default"/>
        <w:lang w:val="en-US" w:eastAsia="en-US" w:bidi="ar-SA"/>
      </w:rPr>
    </w:lvl>
    <w:lvl w:ilvl="5" w:tplc="270441AC">
      <w:numFmt w:val="bullet"/>
      <w:lvlText w:val="•"/>
      <w:lvlJc w:val="left"/>
      <w:pPr>
        <w:ind w:left="4211" w:hanging="362"/>
      </w:pPr>
      <w:rPr>
        <w:rFonts w:hint="default"/>
        <w:lang w:val="en-US" w:eastAsia="en-US" w:bidi="ar-SA"/>
      </w:rPr>
    </w:lvl>
    <w:lvl w:ilvl="6" w:tplc="D046AEB6">
      <w:numFmt w:val="bullet"/>
      <w:lvlText w:val="•"/>
      <w:lvlJc w:val="left"/>
      <w:pPr>
        <w:ind w:left="4838" w:hanging="362"/>
      </w:pPr>
      <w:rPr>
        <w:rFonts w:hint="default"/>
        <w:lang w:val="en-US" w:eastAsia="en-US" w:bidi="ar-SA"/>
      </w:rPr>
    </w:lvl>
    <w:lvl w:ilvl="7" w:tplc="2DB25ADE">
      <w:numFmt w:val="bullet"/>
      <w:lvlText w:val="•"/>
      <w:lvlJc w:val="left"/>
      <w:pPr>
        <w:ind w:left="5466" w:hanging="362"/>
      </w:pPr>
      <w:rPr>
        <w:rFonts w:hint="default"/>
        <w:lang w:val="en-US" w:eastAsia="en-US" w:bidi="ar-SA"/>
      </w:rPr>
    </w:lvl>
    <w:lvl w:ilvl="8" w:tplc="6116E54E">
      <w:numFmt w:val="bullet"/>
      <w:lvlText w:val="•"/>
      <w:lvlJc w:val="left"/>
      <w:pPr>
        <w:ind w:left="6094" w:hanging="362"/>
      </w:pPr>
      <w:rPr>
        <w:rFonts w:hint="default"/>
        <w:lang w:val="en-US" w:eastAsia="en-US" w:bidi="ar-SA"/>
      </w:rPr>
    </w:lvl>
  </w:abstractNum>
  <w:abstractNum w:abstractNumId="192" w15:restartNumberingAfterBreak="0">
    <w:nsid w:val="6C820B8C"/>
    <w:multiLevelType w:val="hybridMultilevel"/>
    <w:tmpl w:val="501A733E"/>
    <w:lvl w:ilvl="0" w:tplc="9DC4052E">
      <w:start w:val="1"/>
      <w:numFmt w:val="decimal"/>
      <w:lvlText w:val="%1."/>
      <w:lvlJc w:val="left"/>
      <w:pPr>
        <w:ind w:left="457" w:hanging="360"/>
        <w:jc w:val="left"/>
      </w:pPr>
      <w:rPr>
        <w:rFonts w:ascii="Arial" w:eastAsia="Arial" w:hAnsi="Arial" w:cs="Arial" w:hint="default"/>
        <w:b w:val="0"/>
        <w:bCs w:val="0"/>
        <w:i w:val="0"/>
        <w:iCs w:val="0"/>
        <w:spacing w:val="0"/>
        <w:w w:val="100"/>
        <w:sz w:val="20"/>
        <w:szCs w:val="20"/>
        <w:lang w:val="en-US" w:eastAsia="en-US" w:bidi="ar-SA"/>
      </w:rPr>
    </w:lvl>
    <w:lvl w:ilvl="1" w:tplc="2360696A">
      <w:numFmt w:val="bullet"/>
      <w:lvlText w:val=""/>
      <w:lvlJc w:val="left"/>
      <w:pPr>
        <w:ind w:left="817" w:hanging="360"/>
      </w:pPr>
      <w:rPr>
        <w:rFonts w:ascii="Symbol" w:eastAsia="Symbol" w:hAnsi="Symbol" w:cs="Symbol" w:hint="default"/>
        <w:b w:val="0"/>
        <w:bCs w:val="0"/>
        <w:i w:val="0"/>
        <w:iCs w:val="0"/>
        <w:spacing w:val="0"/>
        <w:w w:val="100"/>
        <w:sz w:val="20"/>
        <w:szCs w:val="20"/>
        <w:lang w:val="en-US" w:eastAsia="en-US" w:bidi="ar-SA"/>
      </w:rPr>
    </w:lvl>
    <w:lvl w:ilvl="2" w:tplc="780E411C">
      <w:numFmt w:val="bullet"/>
      <w:lvlText w:val="•"/>
      <w:lvlJc w:val="left"/>
      <w:pPr>
        <w:ind w:left="1677" w:hanging="360"/>
      </w:pPr>
      <w:rPr>
        <w:rFonts w:hint="default"/>
        <w:lang w:val="en-US" w:eastAsia="en-US" w:bidi="ar-SA"/>
      </w:rPr>
    </w:lvl>
    <w:lvl w:ilvl="3" w:tplc="42308AB0">
      <w:numFmt w:val="bullet"/>
      <w:lvlText w:val="•"/>
      <w:lvlJc w:val="left"/>
      <w:pPr>
        <w:ind w:left="2535" w:hanging="360"/>
      </w:pPr>
      <w:rPr>
        <w:rFonts w:hint="default"/>
        <w:lang w:val="en-US" w:eastAsia="en-US" w:bidi="ar-SA"/>
      </w:rPr>
    </w:lvl>
    <w:lvl w:ilvl="4" w:tplc="1624E06A">
      <w:numFmt w:val="bullet"/>
      <w:lvlText w:val="•"/>
      <w:lvlJc w:val="left"/>
      <w:pPr>
        <w:ind w:left="3392" w:hanging="360"/>
      </w:pPr>
      <w:rPr>
        <w:rFonts w:hint="default"/>
        <w:lang w:val="en-US" w:eastAsia="en-US" w:bidi="ar-SA"/>
      </w:rPr>
    </w:lvl>
    <w:lvl w:ilvl="5" w:tplc="DA2A3CE8">
      <w:numFmt w:val="bullet"/>
      <w:lvlText w:val="•"/>
      <w:lvlJc w:val="left"/>
      <w:pPr>
        <w:ind w:left="4250" w:hanging="360"/>
      </w:pPr>
      <w:rPr>
        <w:rFonts w:hint="default"/>
        <w:lang w:val="en-US" w:eastAsia="en-US" w:bidi="ar-SA"/>
      </w:rPr>
    </w:lvl>
    <w:lvl w:ilvl="6" w:tplc="F788A97E">
      <w:numFmt w:val="bullet"/>
      <w:lvlText w:val="•"/>
      <w:lvlJc w:val="left"/>
      <w:pPr>
        <w:ind w:left="5107" w:hanging="360"/>
      </w:pPr>
      <w:rPr>
        <w:rFonts w:hint="default"/>
        <w:lang w:val="en-US" w:eastAsia="en-US" w:bidi="ar-SA"/>
      </w:rPr>
    </w:lvl>
    <w:lvl w:ilvl="7" w:tplc="E9C4B1BE">
      <w:numFmt w:val="bullet"/>
      <w:lvlText w:val="•"/>
      <w:lvlJc w:val="left"/>
      <w:pPr>
        <w:ind w:left="5965" w:hanging="360"/>
      </w:pPr>
      <w:rPr>
        <w:rFonts w:hint="default"/>
        <w:lang w:val="en-US" w:eastAsia="en-US" w:bidi="ar-SA"/>
      </w:rPr>
    </w:lvl>
    <w:lvl w:ilvl="8" w:tplc="6F72F508">
      <w:numFmt w:val="bullet"/>
      <w:lvlText w:val="•"/>
      <w:lvlJc w:val="left"/>
      <w:pPr>
        <w:ind w:left="6822" w:hanging="360"/>
      </w:pPr>
      <w:rPr>
        <w:rFonts w:hint="default"/>
        <w:lang w:val="en-US" w:eastAsia="en-US" w:bidi="ar-SA"/>
      </w:rPr>
    </w:lvl>
  </w:abstractNum>
  <w:abstractNum w:abstractNumId="193" w15:restartNumberingAfterBreak="0">
    <w:nsid w:val="6DBB0125"/>
    <w:multiLevelType w:val="hybridMultilevel"/>
    <w:tmpl w:val="456A5020"/>
    <w:lvl w:ilvl="0" w:tplc="3D4A945A">
      <w:start w:val="5"/>
      <w:numFmt w:val="decimal"/>
      <w:lvlText w:val="%1."/>
      <w:lvlJc w:val="left"/>
      <w:pPr>
        <w:ind w:left="464" w:hanging="307"/>
        <w:jc w:val="left"/>
      </w:pPr>
      <w:rPr>
        <w:rFonts w:ascii="Arial" w:eastAsia="Arial" w:hAnsi="Arial" w:cs="Arial" w:hint="default"/>
        <w:b w:val="0"/>
        <w:bCs w:val="0"/>
        <w:i w:val="0"/>
        <w:iCs w:val="0"/>
        <w:spacing w:val="0"/>
        <w:w w:val="99"/>
        <w:sz w:val="22"/>
        <w:szCs w:val="22"/>
        <w:lang w:val="en-US" w:eastAsia="en-US" w:bidi="ar-SA"/>
      </w:rPr>
    </w:lvl>
    <w:lvl w:ilvl="1" w:tplc="CA96837C">
      <w:start w:val="1"/>
      <w:numFmt w:val="lowerLetter"/>
      <w:lvlText w:val="(%2)"/>
      <w:lvlJc w:val="left"/>
      <w:pPr>
        <w:ind w:left="968" w:hanging="449"/>
        <w:jc w:val="left"/>
      </w:pPr>
      <w:rPr>
        <w:rFonts w:ascii="Arial" w:eastAsia="Arial" w:hAnsi="Arial" w:cs="Arial" w:hint="default"/>
        <w:b w:val="0"/>
        <w:bCs w:val="0"/>
        <w:i w:val="0"/>
        <w:iCs w:val="0"/>
        <w:spacing w:val="-1"/>
        <w:w w:val="99"/>
        <w:sz w:val="22"/>
        <w:szCs w:val="22"/>
        <w:lang w:val="en-US" w:eastAsia="en-US" w:bidi="ar-SA"/>
      </w:rPr>
    </w:lvl>
    <w:lvl w:ilvl="2" w:tplc="C8A60EF0">
      <w:numFmt w:val="bullet"/>
      <w:lvlText w:val="•"/>
      <w:lvlJc w:val="left"/>
      <w:pPr>
        <w:ind w:left="1570" w:hanging="449"/>
      </w:pPr>
      <w:rPr>
        <w:rFonts w:hint="default"/>
        <w:lang w:val="en-US" w:eastAsia="en-US" w:bidi="ar-SA"/>
      </w:rPr>
    </w:lvl>
    <w:lvl w:ilvl="3" w:tplc="55E815A2">
      <w:numFmt w:val="bullet"/>
      <w:lvlText w:val="•"/>
      <w:lvlJc w:val="left"/>
      <w:pPr>
        <w:ind w:left="2180" w:hanging="449"/>
      </w:pPr>
      <w:rPr>
        <w:rFonts w:hint="default"/>
        <w:lang w:val="en-US" w:eastAsia="en-US" w:bidi="ar-SA"/>
      </w:rPr>
    </w:lvl>
    <w:lvl w:ilvl="4" w:tplc="44BE90B4">
      <w:numFmt w:val="bullet"/>
      <w:lvlText w:val="•"/>
      <w:lvlJc w:val="left"/>
      <w:pPr>
        <w:ind w:left="2790" w:hanging="449"/>
      </w:pPr>
      <w:rPr>
        <w:rFonts w:hint="default"/>
        <w:lang w:val="en-US" w:eastAsia="en-US" w:bidi="ar-SA"/>
      </w:rPr>
    </w:lvl>
    <w:lvl w:ilvl="5" w:tplc="CDCC8F6E">
      <w:numFmt w:val="bullet"/>
      <w:lvlText w:val="•"/>
      <w:lvlJc w:val="left"/>
      <w:pPr>
        <w:ind w:left="3400" w:hanging="449"/>
      </w:pPr>
      <w:rPr>
        <w:rFonts w:hint="default"/>
        <w:lang w:val="en-US" w:eastAsia="en-US" w:bidi="ar-SA"/>
      </w:rPr>
    </w:lvl>
    <w:lvl w:ilvl="6" w:tplc="EE1A1266">
      <w:numFmt w:val="bullet"/>
      <w:lvlText w:val="•"/>
      <w:lvlJc w:val="left"/>
      <w:pPr>
        <w:ind w:left="4010" w:hanging="449"/>
      </w:pPr>
      <w:rPr>
        <w:rFonts w:hint="default"/>
        <w:lang w:val="en-US" w:eastAsia="en-US" w:bidi="ar-SA"/>
      </w:rPr>
    </w:lvl>
    <w:lvl w:ilvl="7" w:tplc="4CFA6576">
      <w:numFmt w:val="bullet"/>
      <w:lvlText w:val="•"/>
      <w:lvlJc w:val="left"/>
      <w:pPr>
        <w:ind w:left="4620" w:hanging="449"/>
      </w:pPr>
      <w:rPr>
        <w:rFonts w:hint="default"/>
        <w:lang w:val="en-US" w:eastAsia="en-US" w:bidi="ar-SA"/>
      </w:rPr>
    </w:lvl>
    <w:lvl w:ilvl="8" w:tplc="C46AA374">
      <w:numFmt w:val="bullet"/>
      <w:lvlText w:val="•"/>
      <w:lvlJc w:val="left"/>
      <w:pPr>
        <w:ind w:left="5230" w:hanging="449"/>
      </w:pPr>
      <w:rPr>
        <w:rFonts w:hint="default"/>
        <w:lang w:val="en-US" w:eastAsia="en-US" w:bidi="ar-SA"/>
      </w:rPr>
    </w:lvl>
  </w:abstractNum>
  <w:abstractNum w:abstractNumId="194" w15:restartNumberingAfterBreak="0">
    <w:nsid w:val="6F9E4A62"/>
    <w:multiLevelType w:val="hybridMultilevel"/>
    <w:tmpl w:val="9D487C58"/>
    <w:lvl w:ilvl="0" w:tplc="B63EDD50">
      <w:start w:val="2"/>
      <w:numFmt w:val="decimal"/>
      <w:lvlText w:val="%1."/>
      <w:lvlJc w:val="left"/>
      <w:pPr>
        <w:ind w:left="1336" w:hanging="360"/>
        <w:jc w:val="left"/>
      </w:pPr>
      <w:rPr>
        <w:rFonts w:ascii="Arial" w:eastAsia="Arial" w:hAnsi="Arial" w:cs="Arial" w:hint="default"/>
        <w:b w:val="0"/>
        <w:bCs w:val="0"/>
        <w:i w:val="0"/>
        <w:iCs w:val="0"/>
        <w:spacing w:val="0"/>
        <w:w w:val="99"/>
        <w:sz w:val="22"/>
        <w:szCs w:val="22"/>
        <w:lang w:val="en-US" w:eastAsia="en-US" w:bidi="ar-SA"/>
      </w:rPr>
    </w:lvl>
    <w:lvl w:ilvl="1" w:tplc="FC143270">
      <w:start w:val="1"/>
      <w:numFmt w:val="lowerLetter"/>
      <w:lvlText w:val="%2."/>
      <w:lvlJc w:val="left"/>
      <w:pPr>
        <w:ind w:left="1697" w:hanging="364"/>
        <w:jc w:val="left"/>
      </w:pPr>
      <w:rPr>
        <w:rFonts w:ascii="Arial" w:eastAsia="Arial" w:hAnsi="Arial" w:cs="Arial" w:hint="default"/>
        <w:b w:val="0"/>
        <w:bCs w:val="0"/>
        <w:i w:val="0"/>
        <w:iCs w:val="0"/>
        <w:spacing w:val="0"/>
        <w:w w:val="99"/>
        <w:sz w:val="22"/>
        <w:szCs w:val="22"/>
        <w:lang w:val="en-US" w:eastAsia="en-US" w:bidi="ar-SA"/>
      </w:rPr>
    </w:lvl>
    <w:lvl w:ilvl="2" w:tplc="56AED410">
      <w:start w:val="1"/>
      <w:numFmt w:val="lowerRoman"/>
      <w:lvlText w:val="%3."/>
      <w:lvlJc w:val="left"/>
      <w:pPr>
        <w:ind w:left="2147" w:hanging="290"/>
        <w:jc w:val="left"/>
      </w:pPr>
      <w:rPr>
        <w:rFonts w:ascii="Arial" w:eastAsia="Arial" w:hAnsi="Arial" w:cs="Arial" w:hint="default"/>
        <w:b w:val="0"/>
        <w:bCs w:val="0"/>
        <w:i w:val="0"/>
        <w:iCs w:val="0"/>
        <w:spacing w:val="0"/>
        <w:w w:val="99"/>
        <w:sz w:val="22"/>
        <w:szCs w:val="22"/>
        <w:lang w:val="en-US" w:eastAsia="en-US" w:bidi="ar-SA"/>
      </w:rPr>
    </w:lvl>
    <w:lvl w:ilvl="3" w:tplc="1DB62A0A">
      <w:numFmt w:val="bullet"/>
      <w:lvlText w:val="•"/>
      <w:lvlJc w:val="left"/>
      <w:pPr>
        <w:ind w:left="2752" w:hanging="290"/>
      </w:pPr>
      <w:rPr>
        <w:rFonts w:hint="default"/>
        <w:lang w:val="en-US" w:eastAsia="en-US" w:bidi="ar-SA"/>
      </w:rPr>
    </w:lvl>
    <w:lvl w:ilvl="4" w:tplc="35B81B66">
      <w:numFmt w:val="bullet"/>
      <w:lvlText w:val="•"/>
      <w:lvlJc w:val="left"/>
      <w:pPr>
        <w:ind w:left="3365" w:hanging="290"/>
      </w:pPr>
      <w:rPr>
        <w:rFonts w:hint="default"/>
        <w:lang w:val="en-US" w:eastAsia="en-US" w:bidi="ar-SA"/>
      </w:rPr>
    </w:lvl>
    <w:lvl w:ilvl="5" w:tplc="94FC3254">
      <w:numFmt w:val="bullet"/>
      <w:lvlText w:val="•"/>
      <w:lvlJc w:val="left"/>
      <w:pPr>
        <w:ind w:left="3977" w:hanging="290"/>
      </w:pPr>
      <w:rPr>
        <w:rFonts w:hint="default"/>
        <w:lang w:val="en-US" w:eastAsia="en-US" w:bidi="ar-SA"/>
      </w:rPr>
    </w:lvl>
    <w:lvl w:ilvl="6" w:tplc="25C2017C">
      <w:numFmt w:val="bullet"/>
      <w:lvlText w:val="•"/>
      <w:lvlJc w:val="left"/>
      <w:pPr>
        <w:ind w:left="4590" w:hanging="290"/>
      </w:pPr>
      <w:rPr>
        <w:rFonts w:hint="default"/>
        <w:lang w:val="en-US" w:eastAsia="en-US" w:bidi="ar-SA"/>
      </w:rPr>
    </w:lvl>
    <w:lvl w:ilvl="7" w:tplc="55609964">
      <w:numFmt w:val="bullet"/>
      <w:lvlText w:val="•"/>
      <w:lvlJc w:val="left"/>
      <w:pPr>
        <w:ind w:left="5202" w:hanging="290"/>
      </w:pPr>
      <w:rPr>
        <w:rFonts w:hint="default"/>
        <w:lang w:val="en-US" w:eastAsia="en-US" w:bidi="ar-SA"/>
      </w:rPr>
    </w:lvl>
    <w:lvl w:ilvl="8" w:tplc="1D4C2C38">
      <w:numFmt w:val="bullet"/>
      <w:lvlText w:val="•"/>
      <w:lvlJc w:val="left"/>
      <w:pPr>
        <w:ind w:left="5815" w:hanging="290"/>
      </w:pPr>
      <w:rPr>
        <w:rFonts w:hint="default"/>
        <w:lang w:val="en-US" w:eastAsia="en-US" w:bidi="ar-SA"/>
      </w:rPr>
    </w:lvl>
  </w:abstractNum>
  <w:abstractNum w:abstractNumId="195" w15:restartNumberingAfterBreak="0">
    <w:nsid w:val="701934E0"/>
    <w:multiLevelType w:val="hybridMultilevel"/>
    <w:tmpl w:val="7010AB12"/>
    <w:lvl w:ilvl="0" w:tplc="6FA46B56">
      <w:numFmt w:val="bullet"/>
      <w:lvlText w:val=""/>
      <w:lvlJc w:val="left"/>
      <w:pPr>
        <w:ind w:left="2144" w:hanging="360"/>
      </w:pPr>
      <w:rPr>
        <w:rFonts w:ascii="Symbol" w:eastAsia="Symbol" w:hAnsi="Symbol" w:cs="Symbol" w:hint="default"/>
        <w:b w:val="0"/>
        <w:bCs w:val="0"/>
        <w:i w:val="0"/>
        <w:iCs w:val="0"/>
        <w:spacing w:val="0"/>
        <w:w w:val="99"/>
        <w:sz w:val="22"/>
        <w:szCs w:val="22"/>
        <w:lang w:val="en-US" w:eastAsia="en-US" w:bidi="ar-SA"/>
      </w:rPr>
    </w:lvl>
    <w:lvl w:ilvl="1" w:tplc="3CE8097A">
      <w:numFmt w:val="bullet"/>
      <w:lvlText w:val="•"/>
      <w:lvlJc w:val="left"/>
      <w:pPr>
        <w:ind w:left="2592" w:hanging="360"/>
      </w:pPr>
      <w:rPr>
        <w:rFonts w:hint="default"/>
        <w:lang w:val="en-US" w:eastAsia="en-US" w:bidi="ar-SA"/>
      </w:rPr>
    </w:lvl>
    <w:lvl w:ilvl="2" w:tplc="11903B18">
      <w:numFmt w:val="bullet"/>
      <w:lvlText w:val="•"/>
      <w:lvlJc w:val="left"/>
      <w:pPr>
        <w:ind w:left="3045" w:hanging="360"/>
      </w:pPr>
      <w:rPr>
        <w:rFonts w:hint="default"/>
        <w:lang w:val="en-US" w:eastAsia="en-US" w:bidi="ar-SA"/>
      </w:rPr>
    </w:lvl>
    <w:lvl w:ilvl="3" w:tplc="726289DA">
      <w:numFmt w:val="bullet"/>
      <w:lvlText w:val="•"/>
      <w:lvlJc w:val="left"/>
      <w:pPr>
        <w:ind w:left="3498" w:hanging="360"/>
      </w:pPr>
      <w:rPr>
        <w:rFonts w:hint="default"/>
        <w:lang w:val="en-US" w:eastAsia="en-US" w:bidi="ar-SA"/>
      </w:rPr>
    </w:lvl>
    <w:lvl w:ilvl="4" w:tplc="D11E1094">
      <w:numFmt w:val="bullet"/>
      <w:lvlText w:val="•"/>
      <w:lvlJc w:val="left"/>
      <w:pPr>
        <w:ind w:left="3951" w:hanging="360"/>
      </w:pPr>
      <w:rPr>
        <w:rFonts w:hint="default"/>
        <w:lang w:val="en-US" w:eastAsia="en-US" w:bidi="ar-SA"/>
      </w:rPr>
    </w:lvl>
    <w:lvl w:ilvl="5" w:tplc="5600D2A2">
      <w:numFmt w:val="bullet"/>
      <w:lvlText w:val="•"/>
      <w:lvlJc w:val="left"/>
      <w:pPr>
        <w:ind w:left="4404" w:hanging="360"/>
      </w:pPr>
      <w:rPr>
        <w:rFonts w:hint="default"/>
        <w:lang w:val="en-US" w:eastAsia="en-US" w:bidi="ar-SA"/>
      </w:rPr>
    </w:lvl>
    <w:lvl w:ilvl="6" w:tplc="09240322">
      <w:numFmt w:val="bullet"/>
      <w:lvlText w:val="•"/>
      <w:lvlJc w:val="left"/>
      <w:pPr>
        <w:ind w:left="4857" w:hanging="360"/>
      </w:pPr>
      <w:rPr>
        <w:rFonts w:hint="default"/>
        <w:lang w:val="en-US" w:eastAsia="en-US" w:bidi="ar-SA"/>
      </w:rPr>
    </w:lvl>
    <w:lvl w:ilvl="7" w:tplc="745A1424">
      <w:numFmt w:val="bullet"/>
      <w:lvlText w:val="•"/>
      <w:lvlJc w:val="left"/>
      <w:pPr>
        <w:ind w:left="5309" w:hanging="360"/>
      </w:pPr>
      <w:rPr>
        <w:rFonts w:hint="default"/>
        <w:lang w:val="en-US" w:eastAsia="en-US" w:bidi="ar-SA"/>
      </w:rPr>
    </w:lvl>
    <w:lvl w:ilvl="8" w:tplc="064AABE4">
      <w:numFmt w:val="bullet"/>
      <w:lvlText w:val="•"/>
      <w:lvlJc w:val="left"/>
      <w:pPr>
        <w:ind w:left="5762" w:hanging="360"/>
      </w:pPr>
      <w:rPr>
        <w:rFonts w:hint="default"/>
        <w:lang w:val="en-US" w:eastAsia="en-US" w:bidi="ar-SA"/>
      </w:rPr>
    </w:lvl>
  </w:abstractNum>
  <w:abstractNum w:abstractNumId="196" w15:restartNumberingAfterBreak="0">
    <w:nsid w:val="70C043C9"/>
    <w:multiLevelType w:val="hybridMultilevel"/>
    <w:tmpl w:val="54804B84"/>
    <w:lvl w:ilvl="0" w:tplc="6CC2EB38">
      <w:start w:val="4"/>
      <w:numFmt w:val="decimal"/>
      <w:lvlText w:val="%1."/>
      <w:lvlJc w:val="left"/>
      <w:pPr>
        <w:ind w:left="569" w:hanging="439"/>
        <w:jc w:val="left"/>
      </w:pPr>
      <w:rPr>
        <w:rFonts w:ascii="Arial" w:eastAsia="Arial" w:hAnsi="Arial" w:cs="Arial" w:hint="default"/>
        <w:b w:val="0"/>
        <w:bCs w:val="0"/>
        <w:i w:val="0"/>
        <w:iCs w:val="0"/>
        <w:spacing w:val="0"/>
        <w:w w:val="99"/>
        <w:sz w:val="22"/>
        <w:szCs w:val="22"/>
        <w:lang w:val="en-US" w:eastAsia="en-US" w:bidi="ar-SA"/>
      </w:rPr>
    </w:lvl>
    <w:lvl w:ilvl="1" w:tplc="4FDC2768">
      <w:start w:val="1"/>
      <w:numFmt w:val="lowerLetter"/>
      <w:lvlText w:val="(%2)"/>
      <w:lvlJc w:val="left"/>
      <w:pPr>
        <w:ind w:left="1067" w:hanging="474"/>
        <w:jc w:val="left"/>
      </w:pPr>
      <w:rPr>
        <w:rFonts w:ascii="Arial" w:eastAsia="Arial" w:hAnsi="Arial" w:cs="Arial" w:hint="default"/>
        <w:b w:val="0"/>
        <w:bCs w:val="0"/>
        <w:i w:val="0"/>
        <w:iCs w:val="0"/>
        <w:spacing w:val="-1"/>
        <w:w w:val="99"/>
        <w:sz w:val="22"/>
        <w:szCs w:val="22"/>
        <w:lang w:val="en-US" w:eastAsia="en-US" w:bidi="ar-SA"/>
      </w:rPr>
    </w:lvl>
    <w:lvl w:ilvl="2" w:tplc="0D90B244">
      <w:numFmt w:val="bullet"/>
      <w:lvlText w:val="•"/>
      <w:lvlJc w:val="left"/>
      <w:pPr>
        <w:ind w:left="1672" w:hanging="474"/>
      </w:pPr>
      <w:rPr>
        <w:rFonts w:hint="default"/>
        <w:lang w:val="en-US" w:eastAsia="en-US" w:bidi="ar-SA"/>
      </w:rPr>
    </w:lvl>
    <w:lvl w:ilvl="3" w:tplc="8D0A2A20">
      <w:numFmt w:val="bullet"/>
      <w:lvlText w:val="•"/>
      <w:lvlJc w:val="left"/>
      <w:pPr>
        <w:ind w:left="2284" w:hanging="474"/>
      </w:pPr>
      <w:rPr>
        <w:rFonts w:hint="default"/>
        <w:lang w:val="en-US" w:eastAsia="en-US" w:bidi="ar-SA"/>
      </w:rPr>
    </w:lvl>
    <w:lvl w:ilvl="4" w:tplc="86CCA34A">
      <w:numFmt w:val="bullet"/>
      <w:lvlText w:val="•"/>
      <w:lvlJc w:val="left"/>
      <w:pPr>
        <w:ind w:left="2896" w:hanging="474"/>
      </w:pPr>
      <w:rPr>
        <w:rFonts w:hint="default"/>
        <w:lang w:val="en-US" w:eastAsia="en-US" w:bidi="ar-SA"/>
      </w:rPr>
    </w:lvl>
    <w:lvl w:ilvl="5" w:tplc="D4D69C78">
      <w:numFmt w:val="bullet"/>
      <w:lvlText w:val="•"/>
      <w:lvlJc w:val="left"/>
      <w:pPr>
        <w:ind w:left="3508" w:hanging="474"/>
      </w:pPr>
      <w:rPr>
        <w:rFonts w:hint="default"/>
        <w:lang w:val="en-US" w:eastAsia="en-US" w:bidi="ar-SA"/>
      </w:rPr>
    </w:lvl>
    <w:lvl w:ilvl="6" w:tplc="452646B0">
      <w:numFmt w:val="bullet"/>
      <w:lvlText w:val="•"/>
      <w:lvlJc w:val="left"/>
      <w:pPr>
        <w:ind w:left="4121" w:hanging="474"/>
      </w:pPr>
      <w:rPr>
        <w:rFonts w:hint="default"/>
        <w:lang w:val="en-US" w:eastAsia="en-US" w:bidi="ar-SA"/>
      </w:rPr>
    </w:lvl>
    <w:lvl w:ilvl="7" w:tplc="45DECEB0">
      <w:numFmt w:val="bullet"/>
      <w:lvlText w:val="•"/>
      <w:lvlJc w:val="left"/>
      <w:pPr>
        <w:ind w:left="4733" w:hanging="474"/>
      </w:pPr>
      <w:rPr>
        <w:rFonts w:hint="default"/>
        <w:lang w:val="en-US" w:eastAsia="en-US" w:bidi="ar-SA"/>
      </w:rPr>
    </w:lvl>
    <w:lvl w:ilvl="8" w:tplc="CB94A05A">
      <w:numFmt w:val="bullet"/>
      <w:lvlText w:val="•"/>
      <w:lvlJc w:val="left"/>
      <w:pPr>
        <w:ind w:left="5345" w:hanging="474"/>
      </w:pPr>
      <w:rPr>
        <w:rFonts w:hint="default"/>
        <w:lang w:val="en-US" w:eastAsia="en-US" w:bidi="ar-SA"/>
      </w:rPr>
    </w:lvl>
  </w:abstractNum>
  <w:abstractNum w:abstractNumId="197" w15:restartNumberingAfterBreak="0">
    <w:nsid w:val="70C33F50"/>
    <w:multiLevelType w:val="hybridMultilevel"/>
    <w:tmpl w:val="28B04550"/>
    <w:lvl w:ilvl="0" w:tplc="6C7C40DC">
      <w:numFmt w:val="bullet"/>
      <w:lvlText w:val=""/>
      <w:lvlJc w:val="left"/>
      <w:pPr>
        <w:ind w:left="2159" w:hanging="360"/>
      </w:pPr>
      <w:rPr>
        <w:rFonts w:ascii="Symbol" w:eastAsia="Symbol" w:hAnsi="Symbol" w:cs="Symbol" w:hint="default"/>
        <w:b w:val="0"/>
        <w:bCs w:val="0"/>
        <w:i w:val="0"/>
        <w:iCs w:val="0"/>
        <w:spacing w:val="0"/>
        <w:w w:val="99"/>
        <w:sz w:val="22"/>
        <w:szCs w:val="22"/>
        <w:lang w:val="en-US" w:eastAsia="en-US" w:bidi="ar-SA"/>
      </w:rPr>
    </w:lvl>
    <w:lvl w:ilvl="1" w:tplc="CA4AFA88">
      <w:numFmt w:val="bullet"/>
      <w:lvlText w:val="o"/>
      <w:lvlJc w:val="left"/>
      <w:pPr>
        <w:ind w:left="2519" w:hanging="360"/>
      </w:pPr>
      <w:rPr>
        <w:rFonts w:ascii="Courier New" w:eastAsia="Courier New" w:hAnsi="Courier New" w:cs="Courier New" w:hint="default"/>
        <w:b w:val="0"/>
        <w:bCs w:val="0"/>
        <w:i w:val="0"/>
        <w:iCs w:val="0"/>
        <w:spacing w:val="0"/>
        <w:w w:val="99"/>
        <w:sz w:val="22"/>
        <w:szCs w:val="22"/>
        <w:lang w:val="en-US" w:eastAsia="en-US" w:bidi="ar-SA"/>
      </w:rPr>
    </w:lvl>
    <w:lvl w:ilvl="2" w:tplc="D592BFA6">
      <w:numFmt w:val="bullet"/>
      <w:lvlText w:val="•"/>
      <w:lvlJc w:val="left"/>
      <w:pPr>
        <w:ind w:left="3400" w:hanging="360"/>
      </w:pPr>
      <w:rPr>
        <w:rFonts w:hint="default"/>
        <w:lang w:val="en-US" w:eastAsia="en-US" w:bidi="ar-SA"/>
      </w:rPr>
    </w:lvl>
    <w:lvl w:ilvl="3" w:tplc="DC287584">
      <w:numFmt w:val="bullet"/>
      <w:lvlText w:val="•"/>
      <w:lvlJc w:val="left"/>
      <w:pPr>
        <w:ind w:left="4280" w:hanging="360"/>
      </w:pPr>
      <w:rPr>
        <w:rFonts w:hint="default"/>
        <w:lang w:val="en-US" w:eastAsia="en-US" w:bidi="ar-SA"/>
      </w:rPr>
    </w:lvl>
    <w:lvl w:ilvl="4" w:tplc="E858089C">
      <w:numFmt w:val="bullet"/>
      <w:lvlText w:val="•"/>
      <w:lvlJc w:val="left"/>
      <w:pPr>
        <w:ind w:left="5160" w:hanging="360"/>
      </w:pPr>
      <w:rPr>
        <w:rFonts w:hint="default"/>
        <w:lang w:val="en-US" w:eastAsia="en-US" w:bidi="ar-SA"/>
      </w:rPr>
    </w:lvl>
    <w:lvl w:ilvl="5" w:tplc="98A455D2">
      <w:numFmt w:val="bullet"/>
      <w:lvlText w:val="•"/>
      <w:lvlJc w:val="left"/>
      <w:pPr>
        <w:ind w:left="6040" w:hanging="360"/>
      </w:pPr>
      <w:rPr>
        <w:rFonts w:hint="default"/>
        <w:lang w:val="en-US" w:eastAsia="en-US" w:bidi="ar-SA"/>
      </w:rPr>
    </w:lvl>
    <w:lvl w:ilvl="6" w:tplc="B1E0609E">
      <w:numFmt w:val="bullet"/>
      <w:lvlText w:val="•"/>
      <w:lvlJc w:val="left"/>
      <w:pPr>
        <w:ind w:left="6920" w:hanging="360"/>
      </w:pPr>
      <w:rPr>
        <w:rFonts w:hint="default"/>
        <w:lang w:val="en-US" w:eastAsia="en-US" w:bidi="ar-SA"/>
      </w:rPr>
    </w:lvl>
    <w:lvl w:ilvl="7" w:tplc="F208E40C">
      <w:numFmt w:val="bullet"/>
      <w:lvlText w:val="•"/>
      <w:lvlJc w:val="left"/>
      <w:pPr>
        <w:ind w:left="7800" w:hanging="360"/>
      </w:pPr>
      <w:rPr>
        <w:rFonts w:hint="default"/>
        <w:lang w:val="en-US" w:eastAsia="en-US" w:bidi="ar-SA"/>
      </w:rPr>
    </w:lvl>
    <w:lvl w:ilvl="8" w:tplc="3BE077FE">
      <w:numFmt w:val="bullet"/>
      <w:lvlText w:val="•"/>
      <w:lvlJc w:val="left"/>
      <w:pPr>
        <w:ind w:left="8680" w:hanging="360"/>
      </w:pPr>
      <w:rPr>
        <w:rFonts w:hint="default"/>
        <w:lang w:val="en-US" w:eastAsia="en-US" w:bidi="ar-SA"/>
      </w:rPr>
    </w:lvl>
  </w:abstractNum>
  <w:abstractNum w:abstractNumId="198" w15:restartNumberingAfterBreak="0">
    <w:nsid w:val="73264ED1"/>
    <w:multiLevelType w:val="hybridMultilevel"/>
    <w:tmpl w:val="F760AB4C"/>
    <w:lvl w:ilvl="0" w:tplc="23FE53AA">
      <w:start w:val="4"/>
      <w:numFmt w:val="decimal"/>
      <w:lvlText w:val="%1."/>
      <w:lvlJc w:val="left"/>
      <w:pPr>
        <w:ind w:left="561" w:hanging="432"/>
        <w:jc w:val="left"/>
      </w:pPr>
      <w:rPr>
        <w:rFonts w:ascii="Arial" w:eastAsia="Arial" w:hAnsi="Arial" w:cs="Arial" w:hint="default"/>
        <w:b w:val="0"/>
        <w:bCs w:val="0"/>
        <w:i w:val="0"/>
        <w:iCs w:val="0"/>
        <w:spacing w:val="0"/>
        <w:w w:val="99"/>
        <w:sz w:val="22"/>
        <w:szCs w:val="22"/>
        <w:lang w:val="en-US" w:eastAsia="en-US" w:bidi="ar-SA"/>
      </w:rPr>
    </w:lvl>
    <w:lvl w:ilvl="1" w:tplc="148A6064">
      <w:start w:val="1"/>
      <w:numFmt w:val="lowerLetter"/>
      <w:lvlText w:val="(%2)"/>
      <w:lvlJc w:val="left"/>
      <w:pPr>
        <w:ind w:left="1092" w:hanging="525"/>
        <w:jc w:val="left"/>
      </w:pPr>
      <w:rPr>
        <w:rFonts w:ascii="Arial" w:eastAsia="Arial" w:hAnsi="Arial" w:cs="Arial" w:hint="default"/>
        <w:b w:val="0"/>
        <w:bCs w:val="0"/>
        <w:i w:val="0"/>
        <w:iCs w:val="0"/>
        <w:spacing w:val="-1"/>
        <w:w w:val="99"/>
        <w:sz w:val="22"/>
        <w:szCs w:val="22"/>
        <w:lang w:val="en-US" w:eastAsia="en-US" w:bidi="ar-SA"/>
      </w:rPr>
    </w:lvl>
    <w:lvl w:ilvl="2" w:tplc="54E8A7A8">
      <w:numFmt w:val="bullet"/>
      <w:lvlText w:val="•"/>
      <w:lvlJc w:val="left"/>
      <w:pPr>
        <w:ind w:left="1747" w:hanging="525"/>
      </w:pPr>
      <w:rPr>
        <w:rFonts w:hint="default"/>
        <w:lang w:val="en-US" w:eastAsia="en-US" w:bidi="ar-SA"/>
      </w:rPr>
    </w:lvl>
    <w:lvl w:ilvl="3" w:tplc="69705D5E">
      <w:numFmt w:val="bullet"/>
      <w:lvlText w:val="•"/>
      <w:lvlJc w:val="left"/>
      <w:pPr>
        <w:ind w:left="2394" w:hanging="525"/>
      </w:pPr>
      <w:rPr>
        <w:rFonts w:hint="default"/>
        <w:lang w:val="en-US" w:eastAsia="en-US" w:bidi="ar-SA"/>
      </w:rPr>
    </w:lvl>
    <w:lvl w:ilvl="4" w:tplc="7D9A03FA">
      <w:numFmt w:val="bullet"/>
      <w:lvlText w:val="•"/>
      <w:lvlJc w:val="left"/>
      <w:pPr>
        <w:ind w:left="3041" w:hanging="525"/>
      </w:pPr>
      <w:rPr>
        <w:rFonts w:hint="default"/>
        <w:lang w:val="en-US" w:eastAsia="en-US" w:bidi="ar-SA"/>
      </w:rPr>
    </w:lvl>
    <w:lvl w:ilvl="5" w:tplc="D12E4956">
      <w:numFmt w:val="bullet"/>
      <w:lvlText w:val="•"/>
      <w:lvlJc w:val="left"/>
      <w:pPr>
        <w:ind w:left="3688" w:hanging="525"/>
      </w:pPr>
      <w:rPr>
        <w:rFonts w:hint="default"/>
        <w:lang w:val="en-US" w:eastAsia="en-US" w:bidi="ar-SA"/>
      </w:rPr>
    </w:lvl>
    <w:lvl w:ilvl="6" w:tplc="BB180B2A">
      <w:numFmt w:val="bullet"/>
      <w:lvlText w:val="•"/>
      <w:lvlJc w:val="left"/>
      <w:pPr>
        <w:ind w:left="4335" w:hanging="525"/>
      </w:pPr>
      <w:rPr>
        <w:rFonts w:hint="default"/>
        <w:lang w:val="en-US" w:eastAsia="en-US" w:bidi="ar-SA"/>
      </w:rPr>
    </w:lvl>
    <w:lvl w:ilvl="7" w:tplc="C06C9DA0">
      <w:numFmt w:val="bullet"/>
      <w:lvlText w:val="•"/>
      <w:lvlJc w:val="left"/>
      <w:pPr>
        <w:ind w:left="4982" w:hanging="525"/>
      </w:pPr>
      <w:rPr>
        <w:rFonts w:hint="default"/>
        <w:lang w:val="en-US" w:eastAsia="en-US" w:bidi="ar-SA"/>
      </w:rPr>
    </w:lvl>
    <w:lvl w:ilvl="8" w:tplc="8F2AC35A">
      <w:numFmt w:val="bullet"/>
      <w:lvlText w:val="•"/>
      <w:lvlJc w:val="left"/>
      <w:pPr>
        <w:ind w:left="5629" w:hanging="525"/>
      </w:pPr>
      <w:rPr>
        <w:rFonts w:hint="default"/>
        <w:lang w:val="en-US" w:eastAsia="en-US" w:bidi="ar-SA"/>
      </w:rPr>
    </w:lvl>
  </w:abstractNum>
  <w:abstractNum w:abstractNumId="199" w15:restartNumberingAfterBreak="0">
    <w:nsid w:val="732949D3"/>
    <w:multiLevelType w:val="hybridMultilevel"/>
    <w:tmpl w:val="E4029CF0"/>
    <w:lvl w:ilvl="0" w:tplc="2902AA0A">
      <w:start w:val="4"/>
      <w:numFmt w:val="decimal"/>
      <w:lvlText w:val="%1)"/>
      <w:lvlJc w:val="left"/>
      <w:pPr>
        <w:ind w:left="812" w:hanging="504"/>
        <w:jc w:val="left"/>
      </w:pPr>
      <w:rPr>
        <w:rFonts w:ascii="Arial" w:eastAsia="Arial" w:hAnsi="Arial" w:cs="Arial" w:hint="default"/>
        <w:b w:val="0"/>
        <w:bCs w:val="0"/>
        <w:i w:val="0"/>
        <w:iCs w:val="0"/>
        <w:spacing w:val="0"/>
        <w:w w:val="99"/>
        <w:sz w:val="22"/>
        <w:szCs w:val="22"/>
        <w:lang w:val="en-US" w:eastAsia="en-US" w:bidi="ar-SA"/>
      </w:rPr>
    </w:lvl>
    <w:lvl w:ilvl="1" w:tplc="C9987BFE">
      <w:start w:val="1"/>
      <w:numFmt w:val="lowerLetter"/>
      <w:lvlText w:val="%2)"/>
      <w:lvlJc w:val="left"/>
      <w:pPr>
        <w:ind w:left="1244" w:hanging="397"/>
        <w:jc w:val="left"/>
      </w:pPr>
      <w:rPr>
        <w:rFonts w:ascii="Arial" w:eastAsia="Arial" w:hAnsi="Arial" w:cs="Arial" w:hint="default"/>
        <w:b w:val="0"/>
        <w:bCs w:val="0"/>
        <w:i w:val="0"/>
        <w:iCs w:val="0"/>
        <w:spacing w:val="0"/>
        <w:w w:val="99"/>
        <w:sz w:val="22"/>
        <w:szCs w:val="22"/>
        <w:lang w:val="en-US" w:eastAsia="en-US" w:bidi="ar-SA"/>
      </w:rPr>
    </w:lvl>
    <w:lvl w:ilvl="2" w:tplc="27007202">
      <w:start w:val="1"/>
      <w:numFmt w:val="lowerRoman"/>
      <w:lvlText w:val="%3."/>
      <w:lvlJc w:val="left"/>
      <w:pPr>
        <w:ind w:left="1562" w:hanging="381"/>
        <w:jc w:val="left"/>
      </w:pPr>
      <w:rPr>
        <w:rFonts w:ascii="Arial" w:eastAsia="Arial" w:hAnsi="Arial" w:cs="Arial" w:hint="default"/>
        <w:b w:val="0"/>
        <w:bCs w:val="0"/>
        <w:i w:val="0"/>
        <w:iCs w:val="0"/>
        <w:spacing w:val="0"/>
        <w:w w:val="99"/>
        <w:sz w:val="22"/>
        <w:szCs w:val="22"/>
        <w:lang w:val="en-US" w:eastAsia="en-US" w:bidi="ar-SA"/>
      </w:rPr>
    </w:lvl>
    <w:lvl w:ilvl="3" w:tplc="49ACAF42">
      <w:numFmt w:val="bullet"/>
      <w:lvlText w:val="•"/>
      <w:lvlJc w:val="left"/>
      <w:pPr>
        <w:ind w:left="2198" w:hanging="381"/>
      </w:pPr>
      <w:rPr>
        <w:rFonts w:hint="default"/>
        <w:lang w:val="en-US" w:eastAsia="en-US" w:bidi="ar-SA"/>
      </w:rPr>
    </w:lvl>
    <w:lvl w:ilvl="4" w:tplc="02025C2E">
      <w:numFmt w:val="bullet"/>
      <w:lvlText w:val="•"/>
      <w:lvlJc w:val="left"/>
      <w:pPr>
        <w:ind w:left="2837" w:hanging="381"/>
      </w:pPr>
      <w:rPr>
        <w:rFonts w:hint="default"/>
        <w:lang w:val="en-US" w:eastAsia="en-US" w:bidi="ar-SA"/>
      </w:rPr>
    </w:lvl>
    <w:lvl w:ilvl="5" w:tplc="B5CCC3A4">
      <w:numFmt w:val="bullet"/>
      <w:lvlText w:val="•"/>
      <w:lvlJc w:val="left"/>
      <w:pPr>
        <w:ind w:left="3475" w:hanging="381"/>
      </w:pPr>
      <w:rPr>
        <w:rFonts w:hint="default"/>
        <w:lang w:val="en-US" w:eastAsia="en-US" w:bidi="ar-SA"/>
      </w:rPr>
    </w:lvl>
    <w:lvl w:ilvl="6" w:tplc="EA2297B4">
      <w:numFmt w:val="bullet"/>
      <w:lvlText w:val="•"/>
      <w:lvlJc w:val="left"/>
      <w:pPr>
        <w:ind w:left="4114" w:hanging="381"/>
      </w:pPr>
      <w:rPr>
        <w:rFonts w:hint="default"/>
        <w:lang w:val="en-US" w:eastAsia="en-US" w:bidi="ar-SA"/>
      </w:rPr>
    </w:lvl>
    <w:lvl w:ilvl="7" w:tplc="704C6FBC">
      <w:numFmt w:val="bullet"/>
      <w:lvlText w:val="•"/>
      <w:lvlJc w:val="left"/>
      <w:pPr>
        <w:ind w:left="4752" w:hanging="381"/>
      </w:pPr>
      <w:rPr>
        <w:rFonts w:hint="default"/>
        <w:lang w:val="en-US" w:eastAsia="en-US" w:bidi="ar-SA"/>
      </w:rPr>
    </w:lvl>
    <w:lvl w:ilvl="8" w:tplc="06E860C6">
      <w:numFmt w:val="bullet"/>
      <w:lvlText w:val="•"/>
      <w:lvlJc w:val="left"/>
      <w:pPr>
        <w:ind w:left="5391" w:hanging="381"/>
      </w:pPr>
      <w:rPr>
        <w:rFonts w:hint="default"/>
        <w:lang w:val="en-US" w:eastAsia="en-US" w:bidi="ar-SA"/>
      </w:rPr>
    </w:lvl>
  </w:abstractNum>
  <w:abstractNum w:abstractNumId="200" w15:restartNumberingAfterBreak="0">
    <w:nsid w:val="73FF57F6"/>
    <w:multiLevelType w:val="hybridMultilevel"/>
    <w:tmpl w:val="9D8A4EB6"/>
    <w:lvl w:ilvl="0" w:tplc="2A3A50A4">
      <w:numFmt w:val="bullet"/>
      <w:lvlText w:val=""/>
      <w:lvlJc w:val="left"/>
      <w:pPr>
        <w:ind w:left="353" w:hanging="200"/>
      </w:pPr>
      <w:rPr>
        <w:rFonts w:ascii="Symbol" w:eastAsia="Symbol" w:hAnsi="Symbol" w:cs="Symbol" w:hint="default"/>
        <w:b w:val="0"/>
        <w:bCs w:val="0"/>
        <w:i w:val="0"/>
        <w:iCs w:val="0"/>
        <w:spacing w:val="0"/>
        <w:w w:val="100"/>
        <w:sz w:val="18"/>
        <w:szCs w:val="18"/>
        <w:lang w:val="en-US" w:eastAsia="en-US" w:bidi="ar-SA"/>
      </w:rPr>
    </w:lvl>
    <w:lvl w:ilvl="1" w:tplc="0A9A1E9A">
      <w:numFmt w:val="bullet"/>
      <w:lvlText w:val="•"/>
      <w:lvlJc w:val="left"/>
      <w:pPr>
        <w:ind w:left="799" w:hanging="200"/>
      </w:pPr>
      <w:rPr>
        <w:rFonts w:hint="default"/>
        <w:lang w:val="en-US" w:eastAsia="en-US" w:bidi="ar-SA"/>
      </w:rPr>
    </w:lvl>
    <w:lvl w:ilvl="2" w:tplc="4684AAB4">
      <w:numFmt w:val="bullet"/>
      <w:lvlText w:val="•"/>
      <w:lvlJc w:val="left"/>
      <w:pPr>
        <w:ind w:left="1239" w:hanging="200"/>
      </w:pPr>
      <w:rPr>
        <w:rFonts w:hint="default"/>
        <w:lang w:val="en-US" w:eastAsia="en-US" w:bidi="ar-SA"/>
      </w:rPr>
    </w:lvl>
    <w:lvl w:ilvl="3" w:tplc="3D844F0A">
      <w:numFmt w:val="bullet"/>
      <w:lvlText w:val="•"/>
      <w:lvlJc w:val="left"/>
      <w:pPr>
        <w:ind w:left="1678" w:hanging="200"/>
      </w:pPr>
      <w:rPr>
        <w:rFonts w:hint="default"/>
        <w:lang w:val="en-US" w:eastAsia="en-US" w:bidi="ar-SA"/>
      </w:rPr>
    </w:lvl>
    <w:lvl w:ilvl="4" w:tplc="9326A654">
      <w:numFmt w:val="bullet"/>
      <w:lvlText w:val="•"/>
      <w:lvlJc w:val="left"/>
      <w:pPr>
        <w:ind w:left="2118" w:hanging="200"/>
      </w:pPr>
      <w:rPr>
        <w:rFonts w:hint="default"/>
        <w:lang w:val="en-US" w:eastAsia="en-US" w:bidi="ar-SA"/>
      </w:rPr>
    </w:lvl>
    <w:lvl w:ilvl="5" w:tplc="8B34D1E2">
      <w:numFmt w:val="bullet"/>
      <w:lvlText w:val="•"/>
      <w:lvlJc w:val="left"/>
      <w:pPr>
        <w:ind w:left="2558" w:hanging="200"/>
      </w:pPr>
      <w:rPr>
        <w:rFonts w:hint="default"/>
        <w:lang w:val="en-US" w:eastAsia="en-US" w:bidi="ar-SA"/>
      </w:rPr>
    </w:lvl>
    <w:lvl w:ilvl="6" w:tplc="709A3B2C">
      <w:numFmt w:val="bullet"/>
      <w:lvlText w:val="•"/>
      <w:lvlJc w:val="left"/>
      <w:pPr>
        <w:ind w:left="2997" w:hanging="200"/>
      </w:pPr>
      <w:rPr>
        <w:rFonts w:hint="default"/>
        <w:lang w:val="en-US" w:eastAsia="en-US" w:bidi="ar-SA"/>
      </w:rPr>
    </w:lvl>
    <w:lvl w:ilvl="7" w:tplc="8478979E">
      <w:numFmt w:val="bullet"/>
      <w:lvlText w:val="•"/>
      <w:lvlJc w:val="left"/>
      <w:pPr>
        <w:ind w:left="3437" w:hanging="200"/>
      </w:pPr>
      <w:rPr>
        <w:rFonts w:hint="default"/>
        <w:lang w:val="en-US" w:eastAsia="en-US" w:bidi="ar-SA"/>
      </w:rPr>
    </w:lvl>
    <w:lvl w:ilvl="8" w:tplc="1542D3D0">
      <w:numFmt w:val="bullet"/>
      <w:lvlText w:val="•"/>
      <w:lvlJc w:val="left"/>
      <w:pPr>
        <w:ind w:left="3877" w:hanging="200"/>
      </w:pPr>
      <w:rPr>
        <w:rFonts w:hint="default"/>
        <w:lang w:val="en-US" w:eastAsia="en-US" w:bidi="ar-SA"/>
      </w:rPr>
    </w:lvl>
  </w:abstractNum>
  <w:abstractNum w:abstractNumId="201" w15:restartNumberingAfterBreak="0">
    <w:nsid w:val="746B6DC4"/>
    <w:multiLevelType w:val="hybridMultilevel"/>
    <w:tmpl w:val="A05C8D2C"/>
    <w:lvl w:ilvl="0" w:tplc="6AA00132">
      <w:start w:val="5"/>
      <w:numFmt w:val="lowerLetter"/>
      <w:lvlText w:val="%1)"/>
      <w:lvlJc w:val="left"/>
      <w:pPr>
        <w:ind w:left="1568" w:hanging="450"/>
        <w:jc w:val="left"/>
      </w:pPr>
      <w:rPr>
        <w:rFonts w:ascii="Arial" w:eastAsia="Arial" w:hAnsi="Arial" w:cs="Arial" w:hint="default"/>
        <w:b w:val="0"/>
        <w:bCs w:val="0"/>
        <w:i w:val="0"/>
        <w:iCs w:val="0"/>
        <w:spacing w:val="0"/>
        <w:w w:val="99"/>
        <w:sz w:val="22"/>
        <w:szCs w:val="22"/>
        <w:lang w:val="en-US" w:eastAsia="en-US" w:bidi="ar-SA"/>
      </w:rPr>
    </w:lvl>
    <w:lvl w:ilvl="1" w:tplc="3BD853B0">
      <w:start w:val="1"/>
      <w:numFmt w:val="lowerRoman"/>
      <w:lvlText w:val="%2."/>
      <w:lvlJc w:val="left"/>
      <w:pPr>
        <w:ind w:left="2012" w:hanging="381"/>
        <w:jc w:val="left"/>
      </w:pPr>
      <w:rPr>
        <w:rFonts w:ascii="Arial" w:eastAsia="Arial" w:hAnsi="Arial" w:cs="Arial" w:hint="default"/>
        <w:b w:val="0"/>
        <w:bCs w:val="0"/>
        <w:i w:val="0"/>
        <w:iCs w:val="0"/>
        <w:spacing w:val="0"/>
        <w:w w:val="99"/>
        <w:sz w:val="22"/>
        <w:szCs w:val="22"/>
        <w:lang w:val="en-US" w:eastAsia="en-US" w:bidi="ar-SA"/>
      </w:rPr>
    </w:lvl>
    <w:lvl w:ilvl="2" w:tplc="E43EB036">
      <w:numFmt w:val="bullet"/>
      <w:lvlText w:val="•"/>
      <w:lvlJc w:val="left"/>
      <w:pPr>
        <w:ind w:left="2536" w:hanging="381"/>
      </w:pPr>
      <w:rPr>
        <w:rFonts w:hint="default"/>
        <w:lang w:val="en-US" w:eastAsia="en-US" w:bidi="ar-SA"/>
      </w:rPr>
    </w:lvl>
    <w:lvl w:ilvl="3" w:tplc="8640EAAA">
      <w:numFmt w:val="bullet"/>
      <w:lvlText w:val="•"/>
      <w:lvlJc w:val="left"/>
      <w:pPr>
        <w:ind w:left="3053" w:hanging="381"/>
      </w:pPr>
      <w:rPr>
        <w:rFonts w:hint="default"/>
        <w:lang w:val="en-US" w:eastAsia="en-US" w:bidi="ar-SA"/>
      </w:rPr>
    </w:lvl>
    <w:lvl w:ilvl="4" w:tplc="FC22541A">
      <w:numFmt w:val="bullet"/>
      <w:lvlText w:val="•"/>
      <w:lvlJc w:val="left"/>
      <w:pPr>
        <w:ind w:left="3569" w:hanging="381"/>
      </w:pPr>
      <w:rPr>
        <w:rFonts w:hint="default"/>
        <w:lang w:val="en-US" w:eastAsia="en-US" w:bidi="ar-SA"/>
      </w:rPr>
    </w:lvl>
    <w:lvl w:ilvl="5" w:tplc="CCBCE7C2">
      <w:numFmt w:val="bullet"/>
      <w:lvlText w:val="•"/>
      <w:lvlJc w:val="left"/>
      <w:pPr>
        <w:ind w:left="4086" w:hanging="381"/>
      </w:pPr>
      <w:rPr>
        <w:rFonts w:hint="default"/>
        <w:lang w:val="en-US" w:eastAsia="en-US" w:bidi="ar-SA"/>
      </w:rPr>
    </w:lvl>
    <w:lvl w:ilvl="6" w:tplc="C068DC32">
      <w:numFmt w:val="bullet"/>
      <w:lvlText w:val="•"/>
      <w:lvlJc w:val="left"/>
      <w:pPr>
        <w:ind w:left="4602" w:hanging="381"/>
      </w:pPr>
      <w:rPr>
        <w:rFonts w:hint="default"/>
        <w:lang w:val="en-US" w:eastAsia="en-US" w:bidi="ar-SA"/>
      </w:rPr>
    </w:lvl>
    <w:lvl w:ilvl="7" w:tplc="147AFD3C">
      <w:numFmt w:val="bullet"/>
      <w:lvlText w:val="•"/>
      <w:lvlJc w:val="left"/>
      <w:pPr>
        <w:ind w:left="5119" w:hanging="381"/>
      </w:pPr>
      <w:rPr>
        <w:rFonts w:hint="default"/>
        <w:lang w:val="en-US" w:eastAsia="en-US" w:bidi="ar-SA"/>
      </w:rPr>
    </w:lvl>
    <w:lvl w:ilvl="8" w:tplc="A2004F76">
      <w:numFmt w:val="bullet"/>
      <w:lvlText w:val="•"/>
      <w:lvlJc w:val="left"/>
      <w:pPr>
        <w:ind w:left="5635" w:hanging="381"/>
      </w:pPr>
      <w:rPr>
        <w:rFonts w:hint="default"/>
        <w:lang w:val="en-US" w:eastAsia="en-US" w:bidi="ar-SA"/>
      </w:rPr>
    </w:lvl>
  </w:abstractNum>
  <w:abstractNum w:abstractNumId="202" w15:restartNumberingAfterBreak="0">
    <w:nsid w:val="74E8496E"/>
    <w:multiLevelType w:val="hybridMultilevel"/>
    <w:tmpl w:val="96861F36"/>
    <w:lvl w:ilvl="0" w:tplc="B950BF7E">
      <w:start w:val="7"/>
      <w:numFmt w:val="lowerLetter"/>
      <w:lvlText w:val="%1."/>
      <w:lvlJc w:val="left"/>
      <w:pPr>
        <w:ind w:left="1334" w:hanging="390"/>
        <w:jc w:val="left"/>
      </w:pPr>
      <w:rPr>
        <w:rFonts w:ascii="Arial" w:eastAsia="Arial" w:hAnsi="Arial" w:cs="Arial" w:hint="default"/>
        <w:b w:val="0"/>
        <w:bCs w:val="0"/>
        <w:i w:val="0"/>
        <w:iCs w:val="0"/>
        <w:spacing w:val="0"/>
        <w:w w:val="99"/>
        <w:sz w:val="22"/>
        <w:szCs w:val="22"/>
        <w:lang w:val="en-US" w:eastAsia="en-US" w:bidi="ar-SA"/>
      </w:rPr>
    </w:lvl>
    <w:lvl w:ilvl="1" w:tplc="F7A89198">
      <w:numFmt w:val="bullet"/>
      <w:lvlText w:val=""/>
      <w:lvlJc w:val="left"/>
      <w:pPr>
        <w:ind w:left="1695" w:hanging="360"/>
      </w:pPr>
      <w:rPr>
        <w:rFonts w:ascii="Symbol" w:eastAsia="Symbol" w:hAnsi="Symbol" w:cs="Symbol" w:hint="default"/>
        <w:b w:val="0"/>
        <w:bCs w:val="0"/>
        <w:i w:val="0"/>
        <w:iCs w:val="0"/>
        <w:spacing w:val="0"/>
        <w:w w:val="99"/>
        <w:sz w:val="22"/>
        <w:szCs w:val="22"/>
        <w:lang w:val="en-US" w:eastAsia="en-US" w:bidi="ar-SA"/>
      </w:rPr>
    </w:lvl>
    <w:lvl w:ilvl="2" w:tplc="17207434">
      <w:numFmt w:val="bullet"/>
      <w:lvlText w:val="•"/>
      <w:lvlJc w:val="left"/>
      <w:pPr>
        <w:ind w:left="2327" w:hanging="360"/>
      </w:pPr>
      <w:rPr>
        <w:rFonts w:hint="default"/>
        <w:lang w:val="en-US" w:eastAsia="en-US" w:bidi="ar-SA"/>
      </w:rPr>
    </w:lvl>
    <w:lvl w:ilvl="3" w:tplc="56B26DC4">
      <w:numFmt w:val="bullet"/>
      <w:lvlText w:val="•"/>
      <w:lvlJc w:val="left"/>
      <w:pPr>
        <w:ind w:left="2955" w:hanging="360"/>
      </w:pPr>
      <w:rPr>
        <w:rFonts w:hint="default"/>
        <w:lang w:val="en-US" w:eastAsia="en-US" w:bidi="ar-SA"/>
      </w:rPr>
    </w:lvl>
    <w:lvl w:ilvl="4" w:tplc="95C05676">
      <w:numFmt w:val="bullet"/>
      <w:lvlText w:val="•"/>
      <w:lvlJc w:val="left"/>
      <w:pPr>
        <w:ind w:left="3583" w:hanging="360"/>
      </w:pPr>
      <w:rPr>
        <w:rFonts w:hint="default"/>
        <w:lang w:val="en-US" w:eastAsia="en-US" w:bidi="ar-SA"/>
      </w:rPr>
    </w:lvl>
    <w:lvl w:ilvl="5" w:tplc="42A41326">
      <w:numFmt w:val="bullet"/>
      <w:lvlText w:val="•"/>
      <w:lvlJc w:val="left"/>
      <w:pPr>
        <w:ind w:left="4211" w:hanging="360"/>
      </w:pPr>
      <w:rPr>
        <w:rFonts w:hint="default"/>
        <w:lang w:val="en-US" w:eastAsia="en-US" w:bidi="ar-SA"/>
      </w:rPr>
    </w:lvl>
    <w:lvl w:ilvl="6" w:tplc="ECD42972">
      <w:numFmt w:val="bullet"/>
      <w:lvlText w:val="•"/>
      <w:lvlJc w:val="left"/>
      <w:pPr>
        <w:ind w:left="4838" w:hanging="360"/>
      </w:pPr>
      <w:rPr>
        <w:rFonts w:hint="default"/>
        <w:lang w:val="en-US" w:eastAsia="en-US" w:bidi="ar-SA"/>
      </w:rPr>
    </w:lvl>
    <w:lvl w:ilvl="7" w:tplc="7B9C85BA">
      <w:numFmt w:val="bullet"/>
      <w:lvlText w:val="•"/>
      <w:lvlJc w:val="left"/>
      <w:pPr>
        <w:ind w:left="5466" w:hanging="360"/>
      </w:pPr>
      <w:rPr>
        <w:rFonts w:hint="default"/>
        <w:lang w:val="en-US" w:eastAsia="en-US" w:bidi="ar-SA"/>
      </w:rPr>
    </w:lvl>
    <w:lvl w:ilvl="8" w:tplc="AC44168E">
      <w:numFmt w:val="bullet"/>
      <w:lvlText w:val="•"/>
      <w:lvlJc w:val="left"/>
      <w:pPr>
        <w:ind w:left="6094" w:hanging="360"/>
      </w:pPr>
      <w:rPr>
        <w:rFonts w:hint="default"/>
        <w:lang w:val="en-US" w:eastAsia="en-US" w:bidi="ar-SA"/>
      </w:rPr>
    </w:lvl>
  </w:abstractNum>
  <w:abstractNum w:abstractNumId="203" w15:restartNumberingAfterBreak="0">
    <w:nsid w:val="751F7989"/>
    <w:multiLevelType w:val="hybridMultilevel"/>
    <w:tmpl w:val="94481888"/>
    <w:lvl w:ilvl="0" w:tplc="980EBA88">
      <w:start w:val="6"/>
      <w:numFmt w:val="decimal"/>
      <w:lvlText w:val="%1."/>
      <w:lvlJc w:val="left"/>
      <w:pPr>
        <w:ind w:left="600" w:hanging="439"/>
        <w:jc w:val="left"/>
      </w:pPr>
      <w:rPr>
        <w:rFonts w:ascii="Arial" w:eastAsia="Arial" w:hAnsi="Arial" w:cs="Arial" w:hint="default"/>
        <w:b w:val="0"/>
        <w:bCs w:val="0"/>
        <w:i w:val="0"/>
        <w:iCs w:val="0"/>
        <w:spacing w:val="0"/>
        <w:w w:val="99"/>
        <w:sz w:val="22"/>
        <w:szCs w:val="22"/>
        <w:lang w:val="en-US" w:eastAsia="en-US" w:bidi="ar-SA"/>
      </w:rPr>
    </w:lvl>
    <w:lvl w:ilvl="1" w:tplc="9BD4C104">
      <w:numFmt w:val="bullet"/>
      <w:lvlText w:val=""/>
      <w:lvlJc w:val="left"/>
      <w:pPr>
        <w:ind w:left="965" w:hanging="370"/>
      </w:pPr>
      <w:rPr>
        <w:rFonts w:ascii="Symbol" w:eastAsia="Symbol" w:hAnsi="Symbol" w:cs="Symbol" w:hint="default"/>
        <w:b w:val="0"/>
        <w:bCs w:val="0"/>
        <w:i w:val="0"/>
        <w:iCs w:val="0"/>
        <w:spacing w:val="0"/>
        <w:w w:val="99"/>
        <w:sz w:val="22"/>
        <w:szCs w:val="22"/>
        <w:lang w:val="en-US" w:eastAsia="en-US" w:bidi="ar-SA"/>
      </w:rPr>
    </w:lvl>
    <w:lvl w:ilvl="2" w:tplc="2BBE8918">
      <w:numFmt w:val="bullet"/>
      <w:lvlText w:val="•"/>
      <w:lvlJc w:val="left"/>
      <w:pPr>
        <w:ind w:left="1622" w:hanging="370"/>
      </w:pPr>
      <w:rPr>
        <w:rFonts w:hint="default"/>
        <w:lang w:val="en-US" w:eastAsia="en-US" w:bidi="ar-SA"/>
      </w:rPr>
    </w:lvl>
    <w:lvl w:ilvl="3" w:tplc="BEDED3BC">
      <w:numFmt w:val="bullet"/>
      <w:lvlText w:val="•"/>
      <w:lvlJc w:val="left"/>
      <w:pPr>
        <w:ind w:left="2285" w:hanging="370"/>
      </w:pPr>
      <w:rPr>
        <w:rFonts w:hint="default"/>
        <w:lang w:val="en-US" w:eastAsia="en-US" w:bidi="ar-SA"/>
      </w:rPr>
    </w:lvl>
    <w:lvl w:ilvl="4" w:tplc="73CA77F8">
      <w:numFmt w:val="bullet"/>
      <w:lvlText w:val="•"/>
      <w:lvlJc w:val="left"/>
      <w:pPr>
        <w:ind w:left="2947" w:hanging="370"/>
      </w:pPr>
      <w:rPr>
        <w:rFonts w:hint="default"/>
        <w:lang w:val="en-US" w:eastAsia="en-US" w:bidi="ar-SA"/>
      </w:rPr>
    </w:lvl>
    <w:lvl w:ilvl="5" w:tplc="08EE0098">
      <w:numFmt w:val="bullet"/>
      <w:lvlText w:val="•"/>
      <w:lvlJc w:val="left"/>
      <w:pPr>
        <w:ind w:left="3610" w:hanging="370"/>
      </w:pPr>
      <w:rPr>
        <w:rFonts w:hint="default"/>
        <w:lang w:val="en-US" w:eastAsia="en-US" w:bidi="ar-SA"/>
      </w:rPr>
    </w:lvl>
    <w:lvl w:ilvl="6" w:tplc="1BCA77AA">
      <w:numFmt w:val="bullet"/>
      <w:lvlText w:val="•"/>
      <w:lvlJc w:val="left"/>
      <w:pPr>
        <w:ind w:left="4272" w:hanging="370"/>
      </w:pPr>
      <w:rPr>
        <w:rFonts w:hint="default"/>
        <w:lang w:val="en-US" w:eastAsia="en-US" w:bidi="ar-SA"/>
      </w:rPr>
    </w:lvl>
    <w:lvl w:ilvl="7" w:tplc="51A2442E">
      <w:numFmt w:val="bullet"/>
      <w:lvlText w:val="•"/>
      <w:lvlJc w:val="left"/>
      <w:pPr>
        <w:ind w:left="4935" w:hanging="370"/>
      </w:pPr>
      <w:rPr>
        <w:rFonts w:hint="default"/>
        <w:lang w:val="en-US" w:eastAsia="en-US" w:bidi="ar-SA"/>
      </w:rPr>
    </w:lvl>
    <w:lvl w:ilvl="8" w:tplc="E39A3422">
      <w:numFmt w:val="bullet"/>
      <w:lvlText w:val="•"/>
      <w:lvlJc w:val="left"/>
      <w:pPr>
        <w:ind w:left="5597" w:hanging="370"/>
      </w:pPr>
      <w:rPr>
        <w:rFonts w:hint="default"/>
        <w:lang w:val="en-US" w:eastAsia="en-US" w:bidi="ar-SA"/>
      </w:rPr>
    </w:lvl>
  </w:abstractNum>
  <w:abstractNum w:abstractNumId="204" w15:restartNumberingAfterBreak="0">
    <w:nsid w:val="765C7068"/>
    <w:multiLevelType w:val="hybridMultilevel"/>
    <w:tmpl w:val="095ECC68"/>
    <w:lvl w:ilvl="0" w:tplc="4F3E7116">
      <w:start w:val="3"/>
      <w:numFmt w:val="decimal"/>
      <w:lvlText w:val="%1."/>
      <w:lvlJc w:val="left"/>
      <w:pPr>
        <w:ind w:left="555" w:hanging="432"/>
        <w:jc w:val="left"/>
      </w:pPr>
      <w:rPr>
        <w:rFonts w:ascii="Arial" w:eastAsia="Arial" w:hAnsi="Arial" w:cs="Arial" w:hint="default"/>
        <w:b w:val="0"/>
        <w:bCs w:val="0"/>
        <w:i w:val="0"/>
        <w:iCs w:val="0"/>
        <w:spacing w:val="0"/>
        <w:w w:val="99"/>
        <w:sz w:val="22"/>
        <w:szCs w:val="22"/>
        <w:lang w:val="en-US" w:eastAsia="en-US" w:bidi="ar-SA"/>
      </w:rPr>
    </w:lvl>
    <w:lvl w:ilvl="1" w:tplc="C3CE60B0">
      <w:numFmt w:val="bullet"/>
      <w:lvlText w:val=""/>
      <w:lvlJc w:val="left"/>
      <w:pPr>
        <w:ind w:left="915" w:hanging="360"/>
      </w:pPr>
      <w:rPr>
        <w:rFonts w:ascii="Symbol" w:eastAsia="Symbol" w:hAnsi="Symbol" w:cs="Symbol" w:hint="default"/>
        <w:b w:val="0"/>
        <w:bCs w:val="0"/>
        <w:i w:val="0"/>
        <w:iCs w:val="0"/>
        <w:spacing w:val="0"/>
        <w:w w:val="99"/>
        <w:sz w:val="22"/>
        <w:szCs w:val="22"/>
        <w:lang w:val="en-US" w:eastAsia="en-US" w:bidi="ar-SA"/>
      </w:rPr>
    </w:lvl>
    <w:lvl w:ilvl="2" w:tplc="B5063730">
      <w:numFmt w:val="bullet"/>
      <w:lvlText w:val="•"/>
      <w:lvlJc w:val="left"/>
      <w:pPr>
        <w:ind w:left="1546" w:hanging="360"/>
      </w:pPr>
      <w:rPr>
        <w:rFonts w:hint="default"/>
        <w:lang w:val="en-US" w:eastAsia="en-US" w:bidi="ar-SA"/>
      </w:rPr>
    </w:lvl>
    <w:lvl w:ilvl="3" w:tplc="8836034C">
      <w:numFmt w:val="bullet"/>
      <w:lvlText w:val="•"/>
      <w:lvlJc w:val="left"/>
      <w:pPr>
        <w:ind w:left="2173" w:hanging="360"/>
      </w:pPr>
      <w:rPr>
        <w:rFonts w:hint="default"/>
        <w:lang w:val="en-US" w:eastAsia="en-US" w:bidi="ar-SA"/>
      </w:rPr>
    </w:lvl>
    <w:lvl w:ilvl="4" w:tplc="E9BA034E">
      <w:numFmt w:val="bullet"/>
      <w:lvlText w:val="•"/>
      <w:lvlJc w:val="left"/>
      <w:pPr>
        <w:ind w:left="2800" w:hanging="360"/>
      </w:pPr>
      <w:rPr>
        <w:rFonts w:hint="default"/>
        <w:lang w:val="en-US" w:eastAsia="en-US" w:bidi="ar-SA"/>
      </w:rPr>
    </w:lvl>
    <w:lvl w:ilvl="5" w:tplc="00842538">
      <w:numFmt w:val="bullet"/>
      <w:lvlText w:val="•"/>
      <w:lvlJc w:val="left"/>
      <w:pPr>
        <w:ind w:left="3426" w:hanging="360"/>
      </w:pPr>
      <w:rPr>
        <w:rFonts w:hint="default"/>
        <w:lang w:val="en-US" w:eastAsia="en-US" w:bidi="ar-SA"/>
      </w:rPr>
    </w:lvl>
    <w:lvl w:ilvl="6" w:tplc="2D2C6906">
      <w:numFmt w:val="bullet"/>
      <w:lvlText w:val="•"/>
      <w:lvlJc w:val="left"/>
      <w:pPr>
        <w:ind w:left="4053" w:hanging="360"/>
      </w:pPr>
      <w:rPr>
        <w:rFonts w:hint="default"/>
        <w:lang w:val="en-US" w:eastAsia="en-US" w:bidi="ar-SA"/>
      </w:rPr>
    </w:lvl>
    <w:lvl w:ilvl="7" w:tplc="7A2C7ACE">
      <w:numFmt w:val="bullet"/>
      <w:lvlText w:val="•"/>
      <w:lvlJc w:val="left"/>
      <w:pPr>
        <w:ind w:left="4680" w:hanging="360"/>
      </w:pPr>
      <w:rPr>
        <w:rFonts w:hint="default"/>
        <w:lang w:val="en-US" w:eastAsia="en-US" w:bidi="ar-SA"/>
      </w:rPr>
    </w:lvl>
    <w:lvl w:ilvl="8" w:tplc="A0683D62">
      <w:numFmt w:val="bullet"/>
      <w:lvlText w:val="•"/>
      <w:lvlJc w:val="left"/>
      <w:pPr>
        <w:ind w:left="5306" w:hanging="360"/>
      </w:pPr>
      <w:rPr>
        <w:rFonts w:hint="default"/>
        <w:lang w:val="en-US" w:eastAsia="en-US" w:bidi="ar-SA"/>
      </w:rPr>
    </w:lvl>
  </w:abstractNum>
  <w:abstractNum w:abstractNumId="205" w15:restartNumberingAfterBreak="0">
    <w:nsid w:val="76613857"/>
    <w:multiLevelType w:val="hybridMultilevel"/>
    <w:tmpl w:val="2F6CA26E"/>
    <w:lvl w:ilvl="0" w:tplc="BFA25FAE">
      <w:start w:val="2"/>
      <w:numFmt w:val="decimal"/>
      <w:lvlText w:val="%1."/>
      <w:lvlJc w:val="left"/>
      <w:pPr>
        <w:ind w:left="435" w:hanging="359"/>
        <w:jc w:val="left"/>
      </w:pPr>
      <w:rPr>
        <w:rFonts w:ascii="Arial" w:eastAsia="Arial" w:hAnsi="Arial" w:cs="Arial" w:hint="default"/>
        <w:b w:val="0"/>
        <w:bCs w:val="0"/>
        <w:i w:val="0"/>
        <w:iCs w:val="0"/>
        <w:spacing w:val="0"/>
        <w:w w:val="99"/>
        <w:sz w:val="22"/>
        <w:szCs w:val="22"/>
        <w:lang w:val="en-US" w:eastAsia="en-US" w:bidi="ar-SA"/>
      </w:rPr>
    </w:lvl>
    <w:lvl w:ilvl="1" w:tplc="EE689BE6">
      <w:numFmt w:val="bullet"/>
      <w:lvlText w:val=""/>
      <w:lvlJc w:val="left"/>
      <w:pPr>
        <w:ind w:left="623" w:hanging="179"/>
      </w:pPr>
      <w:rPr>
        <w:rFonts w:ascii="Symbol" w:eastAsia="Symbol" w:hAnsi="Symbol" w:cs="Symbol" w:hint="default"/>
        <w:b w:val="0"/>
        <w:bCs w:val="0"/>
        <w:i w:val="0"/>
        <w:iCs w:val="0"/>
        <w:spacing w:val="0"/>
        <w:w w:val="99"/>
        <w:sz w:val="16"/>
        <w:szCs w:val="16"/>
        <w:lang w:val="en-US" w:eastAsia="en-US" w:bidi="ar-SA"/>
      </w:rPr>
    </w:lvl>
    <w:lvl w:ilvl="2" w:tplc="509AB4AC">
      <w:numFmt w:val="bullet"/>
      <w:lvlText w:val="•"/>
      <w:lvlJc w:val="left"/>
      <w:pPr>
        <w:ind w:left="1268" w:hanging="179"/>
      </w:pPr>
      <w:rPr>
        <w:rFonts w:hint="default"/>
        <w:lang w:val="en-US" w:eastAsia="en-US" w:bidi="ar-SA"/>
      </w:rPr>
    </w:lvl>
    <w:lvl w:ilvl="3" w:tplc="C0D2BD32">
      <w:numFmt w:val="bullet"/>
      <w:lvlText w:val="•"/>
      <w:lvlJc w:val="left"/>
      <w:pPr>
        <w:ind w:left="1916" w:hanging="179"/>
      </w:pPr>
      <w:rPr>
        <w:rFonts w:hint="default"/>
        <w:lang w:val="en-US" w:eastAsia="en-US" w:bidi="ar-SA"/>
      </w:rPr>
    </w:lvl>
    <w:lvl w:ilvl="4" w:tplc="BF70BB22">
      <w:numFmt w:val="bullet"/>
      <w:lvlText w:val="•"/>
      <w:lvlJc w:val="left"/>
      <w:pPr>
        <w:ind w:left="2564" w:hanging="179"/>
      </w:pPr>
      <w:rPr>
        <w:rFonts w:hint="default"/>
        <w:lang w:val="en-US" w:eastAsia="en-US" w:bidi="ar-SA"/>
      </w:rPr>
    </w:lvl>
    <w:lvl w:ilvl="5" w:tplc="76ACFE80">
      <w:numFmt w:val="bullet"/>
      <w:lvlText w:val="•"/>
      <w:lvlJc w:val="left"/>
      <w:pPr>
        <w:ind w:left="3212" w:hanging="179"/>
      </w:pPr>
      <w:rPr>
        <w:rFonts w:hint="default"/>
        <w:lang w:val="en-US" w:eastAsia="en-US" w:bidi="ar-SA"/>
      </w:rPr>
    </w:lvl>
    <w:lvl w:ilvl="6" w:tplc="13561216">
      <w:numFmt w:val="bullet"/>
      <w:lvlText w:val="•"/>
      <w:lvlJc w:val="left"/>
      <w:pPr>
        <w:ind w:left="3860" w:hanging="179"/>
      </w:pPr>
      <w:rPr>
        <w:rFonts w:hint="default"/>
        <w:lang w:val="en-US" w:eastAsia="en-US" w:bidi="ar-SA"/>
      </w:rPr>
    </w:lvl>
    <w:lvl w:ilvl="7" w:tplc="5A6686C4">
      <w:numFmt w:val="bullet"/>
      <w:lvlText w:val="•"/>
      <w:lvlJc w:val="left"/>
      <w:pPr>
        <w:ind w:left="4508" w:hanging="179"/>
      </w:pPr>
      <w:rPr>
        <w:rFonts w:hint="default"/>
        <w:lang w:val="en-US" w:eastAsia="en-US" w:bidi="ar-SA"/>
      </w:rPr>
    </w:lvl>
    <w:lvl w:ilvl="8" w:tplc="76029B8E">
      <w:numFmt w:val="bullet"/>
      <w:lvlText w:val="•"/>
      <w:lvlJc w:val="left"/>
      <w:pPr>
        <w:ind w:left="5156" w:hanging="179"/>
      </w:pPr>
      <w:rPr>
        <w:rFonts w:hint="default"/>
        <w:lang w:val="en-US" w:eastAsia="en-US" w:bidi="ar-SA"/>
      </w:rPr>
    </w:lvl>
  </w:abstractNum>
  <w:abstractNum w:abstractNumId="206" w15:restartNumberingAfterBreak="0">
    <w:nsid w:val="777932FC"/>
    <w:multiLevelType w:val="hybridMultilevel"/>
    <w:tmpl w:val="476445B0"/>
    <w:lvl w:ilvl="0" w:tplc="078862AE">
      <w:numFmt w:val="bullet"/>
      <w:lvlText w:val=""/>
      <w:lvlJc w:val="left"/>
      <w:pPr>
        <w:ind w:left="320" w:hanging="186"/>
      </w:pPr>
      <w:rPr>
        <w:rFonts w:ascii="Symbol" w:eastAsia="Symbol" w:hAnsi="Symbol" w:cs="Symbol" w:hint="default"/>
        <w:b w:val="0"/>
        <w:bCs w:val="0"/>
        <w:i w:val="0"/>
        <w:iCs w:val="0"/>
        <w:spacing w:val="0"/>
        <w:w w:val="100"/>
        <w:sz w:val="18"/>
        <w:szCs w:val="18"/>
        <w:lang w:val="en-US" w:eastAsia="en-US" w:bidi="ar-SA"/>
      </w:rPr>
    </w:lvl>
    <w:lvl w:ilvl="1" w:tplc="15420AC4">
      <w:numFmt w:val="bullet"/>
      <w:lvlText w:val="•"/>
      <w:lvlJc w:val="left"/>
      <w:pPr>
        <w:ind w:left="1001" w:hanging="186"/>
      </w:pPr>
      <w:rPr>
        <w:rFonts w:hint="default"/>
        <w:lang w:val="en-US" w:eastAsia="en-US" w:bidi="ar-SA"/>
      </w:rPr>
    </w:lvl>
    <w:lvl w:ilvl="2" w:tplc="60203B46">
      <w:numFmt w:val="bullet"/>
      <w:lvlText w:val="•"/>
      <w:lvlJc w:val="left"/>
      <w:pPr>
        <w:ind w:left="1682" w:hanging="186"/>
      </w:pPr>
      <w:rPr>
        <w:rFonts w:hint="default"/>
        <w:lang w:val="en-US" w:eastAsia="en-US" w:bidi="ar-SA"/>
      </w:rPr>
    </w:lvl>
    <w:lvl w:ilvl="3" w:tplc="71008568">
      <w:numFmt w:val="bullet"/>
      <w:lvlText w:val="•"/>
      <w:lvlJc w:val="left"/>
      <w:pPr>
        <w:ind w:left="2363" w:hanging="186"/>
      </w:pPr>
      <w:rPr>
        <w:rFonts w:hint="default"/>
        <w:lang w:val="en-US" w:eastAsia="en-US" w:bidi="ar-SA"/>
      </w:rPr>
    </w:lvl>
    <w:lvl w:ilvl="4" w:tplc="54721998">
      <w:numFmt w:val="bullet"/>
      <w:lvlText w:val="•"/>
      <w:lvlJc w:val="left"/>
      <w:pPr>
        <w:ind w:left="3044" w:hanging="186"/>
      </w:pPr>
      <w:rPr>
        <w:rFonts w:hint="default"/>
        <w:lang w:val="en-US" w:eastAsia="en-US" w:bidi="ar-SA"/>
      </w:rPr>
    </w:lvl>
    <w:lvl w:ilvl="5" w:tplc="58B80EEE">
      <w:numFmt w:val="bullet"/>
      <w:lvlText w:val="•"/>
      <w:lvlJc w:val="left"/>
      <w:pPr>
        <w:ind w:left="3725" w:hanging="186"/>
      </w:pPr>
      <w:rPr>
        <w:rFonts w:hint="default"/>
        <w:lang w:val="en-US" w:eastAsia="en-US" w:bidi="ar-SA"/>
      </w:rPr>
    </w:lvl>
    <w:lvl w:ilvl="6" w:tplc="3CBC69C6">
      <w:numFmt w:val="bullet"/>
      <w:lvlText w:val="•"/>
      <w:lvlJc w:val="left"/>
      <w:pPr>
        <w:ind w:left="4406" w:hanging="186"/>
      </w:pPr>
      <w:rPr>
        <w:rFonts w:hint="default"/>
        <w:lang w:val="en-US" w:eastAsia="en-US" w:bidi="ar-SA"/>
      </w:rPr>
    </w:lvl>
    <w:lvl w:ilvl="7" w:tplc="5E46FCE2">
      <w:numFmt w:val="bullet"/>
      <w:lvlText w:val="•"/>
      <w:lvlJc w:val="left"/>
      <w:pPr>
        <w:ind w:left="5087" w:hanging="186"/>
      </w:pPr>
      <w:rPr>
        <w:rFonts w:hint="default"/>
        <w:lang w:val="en-US" w:eastAsia="en-US" w:bidi="ar-SA"/>
      </w:rPr>
    </w:lvl>
    <w:lvl w:ilvl="8" w:tplc="F6B8A680">
      <w:numFmt w:val="bullet"/>
      <w:lvlText w:val="•"/>
      <w:lvlJc w:val="left"/>
      <w:pPr>
        <w:ind w:left="5768" w:hanging="186"/>
      </w:pPr>
      <w:rPr>
        <w:rFonts w:hint="default"/>
        <w:lang w:val="en-US" w:eastAsia="en-US" w:bidi="ar-SA"/>
      </w:rPr>
    </w:lvl>
  </w:abstractNum>
  <w:abstractNum w:abstractNumId="207" w15:restartNumberingAfterBreak="0">
    <w:nsid w:val="782B6E10"/>
    <w:multiLevelType w:val="hybridMultilevel"/>
    <w:tmpl w:val="3FCA7C96"/>
    <w:lvl w:ilvl="0" w:tplc="E92CDAA6">
      <w:start w:val="3"/>
      <w:numFmt w:val="decimal"/>
      <w:lvlText w:val="%1)"/>
      <w:lvlJc w:val="left"/>
      <w:pPr>
        <w:ind w:left="812" w:hanging="504"/>
        <w:jc w:val="left"/>
      </w:pPr>
      <w:rPr>
        <w:rFonts w:ascii="Arial" w:eastAsia="Arial" w:hAnsi="Arial" w:cs="Arial" w:hint="default"/>
        <w:b w:val="0"/>
        <w:bCs w:val="0"/>
        <w:i w:val="0"/>
        <w:iCs w:val="0"/>
        <w:spacing w:val="0"/>
        <w:w w:val="99"/>
        <w:sz w:val="22"/>
        <w:szCs w:val="22"/>
        <w:lang w:val="en-US" w:eastAsia="en-US" w:bidi="ar-SA"/>
      </w:rPr>
    </w:lvl>
    <w:lvl w:ilvl="1" w:tplc="B22E2016">
      <w:start w:val="1"/>
      <w:numFmt w:val="lowerLetter"/>
      <w:lvlText w:val="%2)"/>
      <w:lvlJc w:val="left"/>
      <w:pPr>
        <w:ind w:left="1244" w:hanging="397"/>
        <w:jc w:val="left"/>
      </w:pPr>
      <w:rPr>
        <w:rFonts w:ascii="Arial" w:eastAsia="Arial" w:hAnsi="Arial" w:cs="Arial" w:hint="default"/>
        <w:b w:val="0"/>
        <w:bCs w:val="0"/>
        <w:i w:val="0"/>
        <w:iCs w:val="0"/>
        <w:spacing w:val="0"/>
        <w:w w:val="99"/>
        <w:sz w:val="22"/>
        <w:szCs w:val="22"/>
        <w:lang w:val="en-US" w:eastAsia="en-US" w:bidi="ar-SA"/>
      </w:rPr>
    </w:lvl>
    <w:lvl w:ilvl="2" w:tplc="4D005CB2">
      <w:numFmt w:val="bullet"/>
      <w:lvlText w:val="•"/>
      <w:lvlJc w:val="left"/>
      <w:pPr>
        <w:ind w:left="1843" w:hanging="397"/>
      </w:pPr>
      <w:rPr>
        <w:rFonts w:hint="default"/>
        <w:lang w:val="en-US" w:eastAsia="en-US" w:bidi="ar-SA"/>
      </w:rPr>
    </w:lvl>
    <w:lvl w:ilvl="3" w:tplc="8BD26D1E">
      <w:numFmt w:val="bullet"/>
      <w:lvlText w:val="•"/>
      <w:lvlJc w:val="left"/>
      <w:pPr>
        <w:ind w:left="2446" w:hanging="397"/>
      </w:pPr>
      <w:rPr>
        <w:rFonts w:hint="default"/>
        <w:lang w:val="en-US" w:eastAsia="en-US" w:bidi="ar-SA"/>
      </w:rPr>
    </w:lvl>
    <w:lvl w:ilvl="4" w:tplc="7FEE409E">
      <w:numFmt w:val="bullet"/>
      <w:lvlText w:val="•"/>
      <w:lvlJc w:val="left"/>
      <w:pPr>
        <w:ind w:left="3049" w:hanging="397"/>
      </w:pPr>
      <w:rPr>
        <w:rFonts w:hint="default"/>
        <w:lang w:val="en-US" w:eastAsia="en-US" w:bidi="ar-SA"/>
      </w:rPr>
    </w:lvl>
    <w:lvl w:ilvl="5" w:tplc="38DA5E0C">
      <w:numFmt w:val="bullet"/>
      <w:lvlText w:val="•"/>
      <w:lvlJc w:val="left"/>
      <w:pPr>
        <w:ind w:left="3652" w:hanging="397"/>
      </w:pPr>
      <w:rPr>
        <w:rFonts w:hint="default"/>
        <w:lang w:val="en-US" w:eastAsia="en-US" w:bidi="ar-SA"/>
      </w:rPr>
    </w:lvl>
    <w:lvl w:ilvl="6" w:tplc="8992303E">
      <w:numFmt w:val="bullet"/>
      <w:lvlText w:val="•"/>
      <w:lvlJc w:val="left"/>
      <w:pPr>
        <w:ind w:left="4255" w:hanging="397"/>
      </w:pPr>
      <w:rPr>
        <w:rFonts w:hint="default"/>
        <w:lang w:val="en-US" w:eastAsia="en-US" w:bidi="ar-SA"/>
      </w:rPr>
    </w:lvl>
    <w:lvl w:ilvl="7" w:tplc="3B5A7596">
      <w:numFmt w:val="bullet"/>
      <w:lvlText w:val="•"/>
      <w:lvlJc w:val="left"/>
      <w:pPr>
        <w:ind w:left="4859" w:hanging="397"/>
      </w:pPr>
      <w:rPr>
        <w:rFonts w:hint="default"/>
        <w:lang w:val="en-US" w:eastAsia="en-US" w:bidi="ar-SA"/>
      </w:rPr>
    </w:lvl>
    <w:lvl w:ilvl="8" w:tplc="67E2E622">
      <w:numFmt w:val="bullet"/>
      <w:lvlText w:val="•"/>
      <w:lvlJc w:val="left"/>
      <w:pPr>
        <w:ind w:left="5462" w:hanging="397"/>
      </w:pPr>
      <w:rPr>
        <w:rFonts w:hint="default"/>
        <w:lang w:val="en-US" w:eastAsia="en-US" w:bidi="ar-SA"/>
      </w:rPr>
    </w:lvl>
  </w:abstractNum>
  <w:abstractNum w:abstractNumId="208" w15:restartNumberingAfterBreak="0">
    <w:nsid w:val="783C7425"/>
    <w:multiLevelType w:val="hybridMultilevel"/>
    <w:tmpl w:val="FFDE7E84"/>
    <w:lvl w:ilvl="0" w:tplc="18028B1C">
      <w:start w:val="10"/>
      <w:numFmt w:val="decimal"/>
      <w:lvlText w:val=".%1"/>
      <w:lvlJc w:val="left"/>
      <w:pPr>
        <w:ind w:left="1799" w:hanging="721"/>
        <w:jc w:val="left"/>
      </w:pPr>
      <w:rPr>
        <w:rFonts w:ascii="Arial" w:eastAsia="Arial" w:hAnsi="Arial" w:cs="Arial" w:hint="default"/>
        <w:b w:val="0"/>
        <w:bCs w:val="0"/>
        <w:i w:val="0"/>
        <w:iCs w:val="0"/>
        <w:spacing w:val="0"/>
        <w:w w:val="99"/>
        <w:sz w:val="22"/>
        <w:szCs w:val="22"/>
        <w:lang w:val="en-US" w:eastAsia="en-US" w:bidi="ar-SA"/>
      </w:rPr>
    </w:lvl>
    <w:lvl w:ilvl="1" w:tplc="48067C8C">
      <w:start w:val="1"/>
      <w:numFmt w:val="lowerLetter"/>
      <w:lvlText w:val="%2."/>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2" w:tplc="A624362A">
      <w:numFmt w:val="bullet"/>
      <w:lvlText w:val=""/>
      <w:lvlJc w:val="left"/>
      <w:pPr>
        <w:ind w:left="2519" w:hanging="360"/>
      </w:pPr>
      <w:rPr>
        <w:rFonts w:ascii="Symbol" w:eastAsia="Symbol" w:hAnsi="Symbol" w:cs="Symbol" w:hint="default"/>
        <w:b w:val="0"/>
        <w:bCs w:val="0"/>
        <w:i w:val="0"/>
        <w:iCs w:val="0"/>
        <w:spacing w:val="0"/>
        <w:w w:val="99"/>
        <w:sz w:val="22"/>
        <w:szCs w:val="22"/>
        <w:lang w:val="en-US" w:eastAsia="en-US" w:bidi="ar-SA"/>
      </w:rPr>
    </w:lvl>
    <w:lvl w:ilvl="3" w:tplc="36D845E0">
      <w:numFmt w:val="bullet"/>
      <w:lvlText w:val="o"/>
      <w:lvlJc w:val="left"/>
      <w:pPr>
        <w:ind w:left="2519" w:hanging="360"/>
      </w:pPr>
      <w:rPr>
        <w:rFonts w:ascii="Courier New" w:eastAsia="Courier New" w:hAnsi="Courier New" w:cs="Courier New" w:hint="default"/>
        <w:b w:val="0"/>
        <w:bCs w:val="0"/>
        <w:i w:val="0"/>
        <w:iCs w:val="0"/>
        <w:spacing w:val="0"/>
        <w:w w:val="99"/>
        <w:sz w:val="22"/>
        <w:szCs w:val="22"/>
        <w:lang w:val="en-US" w:eastAsia="en-US" w:bidi="ar-SA"/>
      </w:rPr>
    </w:lvl>
    <w:lvl w:ilvl="4" w:tplc="2BD61ADE">
      <w:numFmt w:val="bullet"/>
      <w:lvlText w:val="•"/>
      <w:lvlJc w:val="left"/>
      <w:pPr>
        <w:ind w:left="4500" w:hanging="360"/>
      </w:pPr>
      <w:rPr>
        <w:rFonts w:hint="default"/>
        <w:lang w:val="en-US" w:eastAsia="en-US" w:bidi="ar-SA"/>
      </w:rPr>
    </w:lvl>
    <w:lvl w:ilvl="5" w:tplc="3F064AC8">
      <w:numFmt w:val="bullet"/>
      <w:lvlText w:val="•"/>
      <w:lvlJc w:val="left"/>
      <w:pPr>
        <w:ind w:left="5490" w:hanging="360"/>
      </w:pPr>
      <w:rPr>
        <w:rFonts w:hint="default"/>
        <w:lang w:val="en-US" w:eastAsia="en-US" w:bidi="ar-SA"/>
      </w:rPr>
    </w:lvl>
    <w:lvl w:ilvl="6" w:tplc="6D68A8C4">
      <w:numFmt w:val="bullet"/>
      <w:lvlText w:val="•"/>
      <w:lvlJc w:val="left"/>
      <w:pPr>
        <w:ind w:left="6480" w:hanging="360"/>
      </w:pPr>
      <w:rPr>
        <w:rFonts w:hint="default"/>
        <w:lang w:val="en-US" w:eastAsia="en-US" w:bidi="ar-SA"/>
      </w:rPr>
    </w:lvl>
    <w:lvl w:ilvl="7" w:tplc="EA92A53E">
      <w:numFmt w:val="bullet"/>
      <w:lvlText w:val="•"/>
      <w:lvlJc w:val="left"/>
      <w:pPr>
        <w:ind w:left="7470" w:hanging="360"/>
      </w:pPr>
      <w:rPr>
        <w:rFonts w:hint="default"/>
        <w:lang w:val="en-US" w:eastAsia="en-US" w:bidi="ar-SA"/>
      </w:rPr>
    </w:lvl>
    <w:lvl w:ilvl="8" w:tplc="EDB4B5A0">
      <w:numFmt w:val="bullet"/>
      <w:lvlText w:val="•"/>
      <w:lvlJc w:val="left"/>
      <w:pPr>
        <w:ind w:left="8460" w:hanging="360"/>
      </w:pPr>
      <w:rPr>
        <w:rFonts w:hint="default"/>
        <w:lang w:val="en-US" w:eastAsia="en-US" w:bidi="ar-SA"/>
      </w:rPr>
    </w:lvl>
  </w:abstractNum>
  <w:abstractNum w:abstractNumId="209" w15:restartNumberingAfterBreak="0">
    <w:nsid w:val="792B3E12"/>
    <w:multiLevelType w:val="hybridMultilevel"/>
    <w:tmpl w:val="E2C656C8"/>
    <w:lvl w:ilvl="0" w:tplc="8DAC88E2">
      <w:start w:val="1"/>
      <w:numFmt w:val="lowerLetter"/>
      <w:lvlText w:val="%1."/>
      <w:lvlJc w:val="left"/>
      <w:pPr>
        <w:ind w:left="1285" w:hanging="360"/>
        <w:jc w:val="left"/>
      </w:pPr>
      <w:rPr>
        <w:rFonts w:ascii="Arial" w:eastAsia="Arial" w:hAnsi="Arial" w:cs="Arial" w:hint="default"/>
        <w:b w:val="0"/>
        <w:bCs w:val="0"/>
        <w:i w:val="0"/>
        <w:iCs w:val="0"/>
        <w:spacing w:val="0"/>
        <w:w w:val="99"/>
        <w:sz w:val="22"/>
        <w:szCs w:val="22"/>
        <w:lang w:val="en-US" w:eastAsia="en-US" w:bidi="ar-SA"/>
      </w:rPr>
    </w:lvl>
    <w:lvl w:ilvl="1" w:tplc="ABD22220">
      <w:numFmt w:val="bullet"/>
      <w:lvlText w:val=""/>
      <w:lvlJc w:val="left"/>
      <w:pPr>
        <w:ind w:left="1674" w:hanging="362"/>
      </w:pPr>
      <w:rPr>
        <w:rFonts w:ascii="Symbol" w:eastAsia="Symbol" w:hAnsi="Symbol" w:cs="Symbol" w:hint="default"/>
        <w:b w:val="0"/>
        <w:bCs w:val="0"/>
        <w:i w:val="0"/>
        <w:iCs w:val="0"/>
        <w:spacing w:val="0"/>
        <w:w w:val="99"/>
        <w:sz w:val="22"/>
        <w:szCs w:val="22"/>
        <w:lang w:val="en-US" w:eastAsia="en-US" w:bidi="ar-SA"/>
      </w:rPr>
    </w:lvl>
    <w:lvl w:ilvl="2" w:tplc="A99A2914">
      <w:numFmt w:val="bullet"/>
      <w:lvlText w:val="•"/>
      <w:lvlJc w:val="left"/>
      <w:pPr>
        <w:ind w:left="2317" w:hanging="362"/>
      </w:pPr>
      <w:rPr>
        <w:rFonts w:hint="default"/>
        <w:lang w:val="en-US" w:eastAsia="en-US" w:bidi="ar-SA"/>
      </w:rPr>
    </w:lvl>
    <w:lvl w:ilvl="3" w:tplc="724EAD78">
      <w:numFmt w:val="bullet"/>
      <w:lvlText w:val="•"/>
      <w:lvlJc w:val="left"/>
      <w:pPr>
        <w:ind w:left="2954" w:hanging="362"/>
      </w:pPr>
      <w:rPr>
        <w:rFonts w:hint="default"/>
        <w:lang w:val="en-US" w:eastAsia="en-US" w:bidi="ar-SA"/>
      </w:rPr>
    </w:lvl>
    <w:lvl w:ilvl="4" w:tplc="7B3660CA">
      <w:numFmt w:val="bullet"/>
      <w:lvlText w:val="•"/>
      <w:lvlJc w:val="left"/>
      <w:pPr>
        <w:ind w:left="3591" w:hanging="362"/>
      </w:pPr>
      <w:rPr>
        <w:rFonts w:hint="default"/>
        <w:lang w:val="en-US" w:eastAsia="en-US" w:bidi="ar-SA"/>
      </w:rPr>
    </w:lvl>
    <w:lvl w:ilvl="5" w:tplc="AE1C1968">
      <w:numFmt w:val="bullet"/>
      <w:lvlText w:val="•"/>
      <w:lvlJc w:val="left"/>
      <w:pPr>
        <w:ind w:left="4228" w:hanging="362"/>
      </w:pPr>
      <w:rPr>
        <w:rFonts w:hint="default"/>
        <w:lang w:val="en-US" w:eastAsia="en-US" w:bidi="ar-SA"/>
      </w:rPr>
    </w:lvl>
    <w:lvl w:ilvl="6" w:tplc="2B06DA90">
      <w:numFmt w:val="bullet"/>
      <w:lvlText w:val="•"/>
      <w:lvlJc w:val="left"/>
      <w:pPr>
        <w:ind w:left="4865" w:hanging="362"/>
      </w:pPr>
      <w:rPr>
        <w:rFonts w:hint="default"/>
        <w:lang w:val="en-US" w:eastAsia="en-US" w:bidi="ar-SA"/>
      </w:rPr>
    </w:lvl>
    <w:lvl w:ilvl="7" w:tplc="598266DC">
      <w:numFmt w:val="bullet"/>
      <w:lvlText w:val="•"/>
      <w:lvlJc w:val="left"/>
      <w:pPr>
        <w:ind w:left="5502" w:hanging="362"/>
      </w:pPr>
      <w:rPr>
        <w:rFonts w:hint="default"/>
        <w:lang w:val="en-US" w:eastAsia="en-US" w:bidi="ar-SA"/>
      </w:rPr>
    </w:lvl>
    <w:lvl w:ilvl="8" w:tplc="9A7C23EE">
      <w:numFmt w:val="bullet"/>
      <w:lvlText w:val="•"/>
      <w:lvlJc w:val="left"/>
      <w:pPr>
        <w:ind w:left="6139" w:hanging="362"/>
      </w:pPr>
      <w:rPr>
        <w:rFonts w:hint="default"/>
        <w:lang w:val="en-US" w:eastAsia="en-US" w:bidi="ar-SA"/>
      </w:rPr>
    </w:lvl>
  </w:abstractNum>
  <w:abstractNum w:abstractNumId="210" w15:restartNumberingAfterBreak="0">
    <w:nsid w:val="795C0039"/>
    <w:multiLevelType w:val="hybridMultilevel"/>
    <w:tmpl w:val="5CF0F70E"/>
    <w:lvl w:ilvl="0" w:tplc="7FDCB100">
      <w:start w:val="6"/>
      <w:numFmt w:val="lowerLetter"/>
      <w:lvlText w:val="%1)"/>
      <w:lvlJc w:val="left"/>
      <w:pPr>
        <w:ind w:left="1244" w:hanging="396"/>
        <w:jc w:val="left"/>
      </w:pPr>
      <w:rPr>
        <w:rFonts w:ascii="Arial" w:eastAsia="Arial" w:hAnsi="Arial" w:cs="Arial" w:hint="default"/>
        <w:b w:val="0"/>
        <w:bCs w:val="0"/>
        <w:i w:val="0"/>
        <w:iCs w:val="0"/>
        <w:spacing w:val="0"/>
        <w:w w:val="99"/>
        <w:sz w:val="22"/>
        <w:szCs w:val="22"/>
        <w:lang w:val="en-US" w:eastAsia="en-US" w:bidi="ar-SA"/>
      </w:rPr>
    </w:lvl>
    <w:lvl w:ilvl="1" w:tplc="E3F4CA40">
      <w:start w:val="1"/>
      <w:numFmt w:val="lowerRoman"/>
      <w:lvlText w:val="%2."/>
      <w:lvlJc w:val="left"/>
      <w:pPr>
        <w:ind w:left="1618" w:hanging="291"/>
        <w:jc w:val="left"/>
      </w:pPr>
      <w:rPr>
        <w:rFonts w:ascii="Arial" w:eastAsia="Arial" w:hAnsi="Arial" w:cs="Arial" w:hint="default"/>
        <w:b w:val="0"/>
        <w:bCs w:val="0"/>
        <w:i w:val="0"/>
        <w:iCs w:val="0"/>
        <w:spacing w:val="0"/>
        <w:w w:val="99"/>
        <w:sz w:val="22"/>
        <w:szCs w:val="22"/>
        <w:lang w:val="en-US" w:eastAsia="en-US" w:bidi="ar-SA"/>
      </w:rPr>
    </w:lvl>
    <w:lvl w:ilvl="2" w:tplc="8894F85E">
      <w:numFmt w:val="bullet"/>
      <w:lvlText w:val="•"/>
      <w:lvlJc w:val="left"/>
      <w:pPr>
        <w:ind w:left="2180" w:hanging="291"/>
      </w:pPr>
      <w:rPr>
        <w:rFonts w:hint="default"/>
        <w:lang w:val="en-US" w:eastAsia="en-US" w:bidi="ar-SA"/>
      </w:rPr>
    </w:lvl>
    <w:lvl w:ilvl="3" w:tplc="D8CA812A">
      <w:numFmt w:val="bullet"/>
      <w:lvlText w:val="•"/>
      <w:lvlJc w:val="left"/>
      <w:pPr>
        <w:ind w:left="2741" w:hanging="291"/>
      </w:pPr>
      <w:rPr>
        <w:rFonts w:hint="default"/>
        <w:lang w:val="en-US" w:eastAsia="en-US" w:bidi="ar-SA"/>
      </w:rPr>
    </w:lvl>
    <w:lvl w:ilvl="4" w:tplc="AB5EA162">
      <w:numFmt w:val="bullet"/>
      <w:lvlText w:val="•"/>
      <w:lvlJc w:val="left"/>
      <w:pPr>
        <w:ind w:left="3302" w:hanging="291"/>
      </w:pPr>
      <w:rPr>
        <w:rFonts w:hint="default"/>
        <w:lang w:val="en-US" w:eastAsia="en-US" w:bidi="ar-SA"/>
      </w:rPr>
    </w:lvl>
    <w:lvl w:ilvl="5" w:tplc="D67AAC90">
      <w:numFmt w:val="bullet"/>
      <w:lvlText w:val="•"/>
      <w:lvlJc w:val="left"/>
      <w:pPr>
        <w:ind w:left="3863" w:hanging="291"/>
      </w:pPr>
      <w:rPr>
        <w:rFonts w:hint="default"/>
        <w:lang w:val="en-US" w:eastAsia="en-US" w:bidi="ar-SA"/>
      </w:rPr>
    </w:lvl>
    <w:lvl w:ilvl="6" w:tplc="BE823214">
      <w:numFmt w:val="bullet"/>
      <w:lvlText w:val="•"/>
      <w:lvlJc w:val="left"/>
      <w:pPr>
        <w:ind w:left="4424" w:hanging="291"/>
      </w:pPr>
      <w:rPr>
        <w:rFonts w:hint="default"/>
        <w:lang w:val="en-US" w:eastAsia="en-US" w:bidi="ar-SA"/>
      </w:rPr>
    </w:lvl>
    <w:lvl w:ilvl="7" w:tplc="7A5481CC">
      <w:numFmt w:val="bullet"/>
      <w:lvlText w:val="•"/>
      <w:lvlJc w:val="left"/>
      <w:pPr>
        <w:ind w:left="4985" w:hanging="291"/>
      </w:pPr>
      <w:rPr>
        <w:rFonts w:hint="default"/>
        <w:lang w:val="en-US" w:eastAsia="en-US" w:bidi="ar-SA"/>
      </w:rPr>
    </w:lvl>
    <w:lvl w:ilvl="8" w:tplc="02F276A8">
      <w:numFmt w:val="bullet"/>
      <w:lvlText w:val="•"/>
      <w:lvlJc w:val="left"/>
      <w:pPr>
        <w:ind w:left="5546" w:hanging="291"/>
      </w:pPr>
      <w:rPr>
        <w:rFonts w:hint="default"/>
        <w:lang w:val="en-US" w:eastAsia="en-US" w:bidi="ar-SA"/>
      </w:rPr>
    </w:lvl>
  </w:abstractNum>
  <w:abstractNum w:abstractNumId="211" w15:restartNumberingAfterBreak="0">
    <w:nsid w:val="798A6F17"/>
    <w:multiLevelType w:val="hybridMultilevel"/>
    <w:tmpl w:val="0CCAEFD2"/>
    <w:lvl w:ilvl="0" w:tplc="08807A7A">
      <w:numFmt w:val="bullet"/>
      <w:lvlText w:val=""/>
      <w:lvlJc w:val="left"/>
      <w:pPr>
        <w:ind w:left="2159" w:hanging="360"/>
      </w:pPr>
      <w:rPr>
        <w:rFonts w:ascii="Symbol" w:eastAsia="Symbol" w:hAnsi="Symbol" w:cs="Symbol" w:hint="default"/>
        <w:b w:val="0"/>
        <w:bCs w:val="0"/>
        <w:i w:val="0"/>
        <w:iCs w:val="0"/>
        <w:spacing w:val="0"/>
        <w:w w:val="99"/>
        <w:sz w:val="22"/>
        <w:szCs w:val="22"/>
        <w:lang w:val="en-US" w:eastAsia="en-US" w:bidi="ar-SA"/>
      </w:rPr>
    </w:lvl>
    <w:lvl w:ilvl="1" w:tplc="377CD950">
      <w:numFmt w:val="bullet"/>
      <w:lvlText w:val="•"/>
      <w:lvlJc w:val="left"/>
      <w:pPr>
        <w:ind w:left="2988" w:hanging="360"/>
      </w:pPr>
      <w:rPr>
        <w:rFonts w:hint="default"/>
        <w:lang w:val="en-US" w:eastAsia="en-US" w:bidi="ar-SA"/>
      </w:rPr>
    </w:lvl>
    <w:lvl w:ilvl="2" w:tplc="796EEFCE">
      <w:numFmt w:val="bullet"/>
      <w:lvlText w:val="•"/>
      <w:lvlJc w:val="left"/>
      <w:pPr>
        <w:ind w:left="3816" w:hanging="360"/>
      </w:pPr>
      <w:rPr>
        <w:rFonts w:hint="default"/>
        <w:lang w:val="en-US" w:eastAsia="en-US" w:bidi="ar-SA"/>
      </w:rPr>
    </w:lvl>
    <w:lvl w:ilvl="3" w:tplc="777EAA68">
      <w:numFmt w:val="bullet"/>
      <w:lvlText w:val="•"/>
      <w:lvlJc w:val="left"/>
      <w:pPr>
        <w:ind w:left="4644" w:hanging="360"/>
      </w:pPr>
      <w:rPr>
        <w:rFonts w:hint="default"/>
        <w:lang w:val="en-US" w:eastAsia="en-US" w:bidi="ar-SA"/>
      </w:rPr>
    </w:lvl>
    <w:lvl w:ilvl="4" w:tplc="090A3768">
      <w:numFmt w:val="bullet"/>
      <w:lvlText w:val="•"/>
      <w:lvlJc w:val="left"/>
      <w:pPr>
        <w:ind w:left="5472" w:hanging="360"/>
      </w:pPr>
      <w:rPr>
        <w:rFonts w:hint="default"/>
        <w:lang w:val="en-US" w:eastAsia="en-US" w:bidi="ar-SA"/>
      </w:rPr>
    </w:lvl>
    <w:lvl w:ilvl="5" w:tplc="DC928CDC">
      <w:numFmt w:val="bullet"/>
      <w:lvlText w:val="•"/>
      <w:lvlJc w:val="left"/>
      <w:pPr>
        <w:ind w:left="6300" w:hanging="360"/>
      </w:pPr>
      <w:rPr>
        <w:rFonts w:hint="default"/>
        <w:lang w:val="en-US" w:eastAsia="en-US" w:bidi="ar-SA"/>
      </w:rPr>
    </w:lvl>
    <w:lvl w:ilvl="6" w:tplc="7F263B76">
      <w:numFmt w:val="bullet"/>
      <w:lvlText w:val="•"/>
      <w:lvlJc w:val="left"/>
      <w:pPr>
        <w:ind w:left="7128" w:hanging="360"/>
      </w:pPr>
      <w:rPr>
        <w:rFonts w:hint="default"/>
        <w:lang w:val="en-US" w:eastAsia="en-US" w:bidi="ar-SA"/>
      </w:rPr>
    </w:lvl>
    <w:lvl w:ilvl="7" w:tplc="729059E8">
      <w:numFmt w:val="bullet"/>
      <w:lvlText w:val="•"/>
      <w:lvlJc w:val="left"/>
      <w:pPr>
        <w:ind w:left="7956" w:hanging="360"/>
      </w:pPr>
      <w:rPr>
        <w:rFonts w:hint="default"/>
        <w:lang w:val="en-US" w:eastAsia="en-US" w:bidi="ar-SA"/>
      </w:rPr>
    </w:lvl>
    <w:lvl w:ilvl="8" w:tplc="7768565A">
      <w:numFmt w:val="bullet"/>
      <w:lvlText w:val="•"/>
      <w:lvlJc w:val="left"/>
      <w:pPr>
        <w:ind w:left="8784" w:hanging="360"/>
      </w:pPr>
      <w:rPr>
        <w:rFonts w:hint="default"/>
        <w:lang w:val="en-US" w:eastAsia="en-US" w:bidi="ar-SA"/>
      </w:rPr>
    </w:lvl>
  </w:abstractNum>
  <w:abstractNum w:abstractNumId="212" w15:restartNumberingAfterBreak="0">
    <w:nsid w:val="7A101700"/>
    <w:multiLevelType w:val="hybridMultilevel"/>
    <w:tmpl w:val="3998CBE8"/>
    <w:lvl w:ilvl="0" w:tplc="23FE3374">
      <w:start w:val="10"/>
      <w:numFmt w:val="decimal"/>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5608ED40">
      <w:start w:val="1"/>
      <w:numFmt w:val="lowerLetter"/>
      <w:lvlText w:val="%2."/>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2" w:tplc="6334451E">
      <w:numFmt w:val="bullet"/>
      <w:lvlText w:val="•"/>
      <w:lvlJc w:val="left"/>
      <w:pPr>
        <w:ind w:left="3080" w:hanging="360"/>
      </w:pPr>
      <w:rPr>
        <w:rFonts w:hint="default"/>
        <w:lang w:val="en-US" w:eastAsia="en-US" w:bidi="ar-SA"/>
      </w:rPr>
    </w:lvl>
    <w:lvl w:ilvl="3" w:tplc="EC2008DC">
      <w:numFmt w:val="bullet"/>
      <w:lvlText w:val="•"/>
      <w:lvlJc w:val="left"/>
      <w:pPr>
        <w:ind w:left="4000" w:hanging="360"/>
      </w:pPr>
      <w:rPr>
        <w:rFonts w:hint="default"/>
        <w:lang w:val="en-US" w:eastAsia="en-US" w:bidi="ar-SA"/>
      </w:rPr>
    </w:lvl>
    <w:lvl w:ilvl="4" w:tplc="5E2C47F2">
      <w:numFmt w:val="bullet"/>
      <w:lvlText w:val="•"/>
      <w:lvlJc w:val="left"/>
      <w:pPr>
        <w:ind w:left="4920" w:hanging="360"/>
      </w:pPr>
      <w:rPr>
        <w:rFonts w:hint="default"/>
        <w:lang w:val="en-US" w:eastAsia="en-US" w:bidi="ar-SA"/>
      </w:rPr>
    </w:lvl>
    <w:lvl w:ilvl="5" w:tplc="779E593E">
      <w:numFmt w:val="bullet"/>
      <w:lvlText w:val="•"/>
      <w:lvlJc w:val="left"/>
      <w:pPr>
        <w:ind w:left="5840" w:hanging="360"/>
      </w:pPr>
      <w:rPr>
        <w:rFonts w:hint="default"/>
        <w:lang w:val="en-US" w:eastAsia="en-US" w:bidi="ar-SA"/>
      </w:rPr>
    </w:lvl>
    <w:lvl w:ilvl="6" w:tplc="37088D44">
      <w:numFmt w:val="bullet"/>
      <w:lvlText w:val="•"/>
      <w:lvlJc w:val="left"/>
      <w:pPr>
        <w:ind w:left="6760" w:hanging="360"/>
      </w:pPr>
      <w:rPr>
        <w:rFonts w:hint="default"/>
        <w:lang w:val="en-US" w:eastAsia="en-US" w:bidi="ar-SA"/>
      </w:rPr>
    </w:lvl>
    <w:lvl w:ilvl="7" w:tplc="EA9AC4CA">
      <w:numFmt w:val="bullet"/>
      <w:lvlText w:val="•"/>
      <w:lvlJc w:val="left"/>
      <w:pPr>
        <w:ind w:left="7680" w:hanging="360"/>
      </w:pPr>
      <w:rPr>
        <w:rFonts w:hint="default"/>
        <w:lang w:val="en-US" w:eastAsia="en-US" w:bidi="ar-SA"/>
      </w:rPr>
    </w:lvl>
    <w:lvl w:ilvl="8" w:tplc="F9B4F5DA">
      <w:numFmt w:val="bullet"/>
      <w:lvlText w:val="•"/>
      <w:lvlJc w:val="left"/>
      <w:pPr>
        <w:ind w:left="8600" w:hanging="360"/>
      </w:pPr>
      <w:rPr>
        <w:rFonts w:hint="default"/>
        <w:lang w:val="en-US" w:eastAsia="en-US" w:bidi="ar-SA"/>
      </w:rPr>
    </w:lvl>
  </w:abstractNum>
  <w:abstractNum w:abstractNumId="213" w15:restartNumberingAfterBreak="0">
    <w:nsid w:val="7AE048E8"/>
    <w:multiLevelType w:val="hybridMultilevel"/>
    <w:tmpl w:val="4140A780"/>
    <w:lvl w:ilvl="0" w:tplc="7C58DF7A">
      <w:start w:val="1"/>
      <w:numFmt w:val="decimal"/>
      <w:lvlText w:val="%1)"/>
      <w:lvlJc w:val="left"/>
      <w:pPr>
        <w:ind w:left="848" w:hanging="361"/>
        <w:jc w:val="left"/>
      </w:pPr>
      <w:rPr>
        <w:rFonts w:ascii="Arial" w:eastAsia="Arial" w:hAnsi="Arial" w:cs="Arial" w:hint="default"/>
        <w:b w:val="0"/>
        <w:bCs w:val="0"/>
        <w:i w:val="0"/>
        <w:iCs w:val="0"/>
        <w:spacing w:val="0"/>
        <w:w w:val="99"/>
        <w:sz w:val="22"/>
        <w:szCs w:val="22"/>
        <w:lang w:val="en-US" w:eastAsia="en-US" w:bidi="ar-SA"/>
      </w:rPr>
    </w:lvl>
    <w:lvl w:ilvl="1" w:tplc="096EFDF4">
      <w:start w:val="1"/>
      <w:numFmt w:val="lowerLetter"/>
      <w:lvlText w:val="%2)"/>
      <w:lvlJc w:val="left"/>
      <w:pPr>
        <w:ind w:left="1245" w:hanging="397"/>
        <w:jc w:val="left"/>
      </w:pPr>
      <w:rPr>
        <w:rFonts w:ascii="Arial" w:eastAsia="Arial" w:hAnsi="Arial" w:cs="Arial" w:hint="default"/>
        <w:b w:val="0"/>
        <w:bCs w:val="0"/>
        <w:i w:val="0"/>
        <w:iCs w:val="0"/>
        <w:spacing w:val="0"/>
        <w:w w:val="99"/>
        <w:sz w:val="22"/>
        <w:szCs w:val="22"/>
        <w:lang w:val="en-US" w:eastAsia="en-US" w:bidi="ar-SA"/>
      </w:rPr>
    </w:lvl>
    <w:lvl w:ilvl="2" w:tplc="04905B54">
      <w:start w:val="1"/>
      <w:numFmt w:val="lowerRoman"/>
      <w:lvlText w:val="%3."/>
      <w:lvlJc w:val="left"/>
      <w:pPr>
        <w:ind w:left="1652" w:hanging="423"/>
        <w:jc w:val="left"/>
      </w:pPr>
      <w:rPr>
        <w:rFonts w:ascii="Arial" w:eastAsia="Arial" w:hAnsi="Arial" w:cs="Arial" w:hint="default"/>
        <w:b w:val="0"/>
        <w:bCs w:val="0"/>
        <w:i w:val="0"/>
        <w:iCs w:val="0"/>
        <w:spacing w:val="0"/>
        <w:w w:val="99"/>
        <w:sz w:val="22"/>
        <w:szCs w:val="22"/>
        <w:lang w:val="en-US" w:eastAsia="en-US" w:bidi="ar-SA"/>
      </w:rPr>
    </w:lvl>
    <w:lvl w:ilvl="3" w:tplc="FEA815C2">
      <w:numFmt w:val="bullet"/>
      <w:lvlText w:val="•"/>
      <w:lvlJc w:val="left"/>
      <w:pPr>
        <w:ind w:left="2286" w:hanging="423"/>
      </w:pPr>
      <w:rPr>
        <w:rFonts w:hint="default"/>
        <w:lang w:val="en-US" w:eastAsia="en-US" w:bidi="ar-SA"/>
      </w:rPr>
    </w:lvl>
    <w:lvl w:ilvl="4" w:tplc="0038D32E">
      <w:numFmt w:val="bullet"/>
      <w:lvlText w:val="•"/>
      <w:lvlJc w:val="left"/>
      <w:pPr>
        <w:ind w:left="2912" w:hanging="423"/>
      </w:pPr>
      <w:rPr>
        <w:rFonts w:hint="default"/>
        <w:lang w:val="en-US" w:eastAsia="en-US" w:bidi="ar-SA"/>
      </w:rPr>
    </w:lvl>
    <w:lvl w:ilvl="5" w:tplc="2D602316">
      <w:numFmt w:val="bullet"/>
      <w:lvlText w:val="•"/>
      <w:lvlJc w:val="left"/>
      <w:pPr>
        <w:ind w:left="3538" w:hanging="423"/>
      </w:pPr>
      <w:rPr>
        <w:rFonts w:hint="default"/>
        <w:lang w:val="en-US" w:eastAsia="en-US" w:bidi="ar-SA"/>
      </w:rPr>
    </w:lvl>
    <w:lvl w:ilvl="6" w:tplc="774AD352">
      <w:numFmt w:val="bullet"/>
      <w:lvlText w:val="•"/>
      <w:lvlJc w:val="left"/>
      <w:pPr>
        <w:ind w:left="4164" w:hanging="423"/>
      </w:pPr>
      <w:rPr>
        <w:rFonts w:hint="default"/>
        <w:lang w:val="en-US" w:eastAsia="en-US" w:bidi="ar-SA"/>
      </w:rPr>
    </w:lvl>
    <w:lvl w:ilvl="7" w:tplc="AEA0AC28">
      <w:numFmt w:val="bullet"/>
      <w:lvlText w:val="•"/>
      <w:lvlJc w:val="left"/>
      <w:pPr>
        <w:ind w:left="4790" w:hanging="423"/>
      </w:pPr>
      <w:rPr>
        <w:rFonts w:hint="default"/>
        <w:lang w:val="en-US" w:eastAsia="en-US" w:bidi="ar-SA"/>
      </w:rPr>
    </w:lvl>
    <w:lvl w:ilvl="8" w:tplc="F19CA1BE">
      <w:numFmt w:val="bullet"/>
      <w:lvlText w:val="•"/>
      <w:lvlJc w:val="left"/>
      <w:pPr>
        <w:ind w:left="5416" w:hanging="423"/>
      </w:pPr>
      <w:rPr>
        <w:rFonts w:hint="default"/>
        <w:lang w:val="en-US" w:eastAsia="en-US" w:bidi="ar-SA"/>
      </w:rPr>
    </w:lvl>
  </w:abstractNum>
  <w:abstractNum w:abstractNumId="214" w15:restartNumberingAfterBreak="0">
    <w:nsid w:val="7C7562F5"/>
    <w:multiLevelType w:val="hybridMultilevel"/>
    <w:tmpl w:val="475E7638"/>
    <w:lvl w:ilvl="0" w:tplc="A4B8ACF0">
      <w:start w:val="11"/>
      <w:numFmt w:val="lowerLetter"/>
      <w:lvlText w:val="%1."/>
      <w:lvlJc w:val="left"/>
      <w:pPr>
        <w:ind w:left="1203" w:hanging="360"/>
        <w:jc w:val="left"/>
      </w:pPr>
      <w:rPr>
        <w:rFonts w:ascii="Arial" w:eastAsia="Arial" w:hAnsi="Arial" w:cs="Arial" w:hint="default"/>
        <w:b w:val="0"/>
        <w:bCs w:val="0"/>
        <w:i w:val="0"/>
        <w:iCs w:val="0"/>
        <w:spacing w:val="0"/>
        <w:w w:val="99"/>
        <w:sz w:val="22"/>
        <w:szCs w:val="22"/>
        <w:lang w:val="en-US" w:eastAsia="en-US" w:bidi="ar-SA"/>
      </w:rPr>
    </w:lvl>
    <w:lvl w:ilvl="1" w:tplc="10B2C1C4">
      <w:numFmt w:val="bullet"/>
      <w:lvlText w:val=""/>
      <w:lvlJc w:val="left"/>
      <w:pPr>
        <w:ind w:left="1520" w:hanging="274"/>
      </w:pPr>
      <w:rPr>
        <w:rFonts w:ascii="Symbol" w:eastAsia="Symbol" w:hAnsi="Symbol" w:cs="Symbol" w:hint="default"/>
        <w:spacing w:val="0"/>
        <w:w w:val="99"/>
        <w:lang w:val="en-US" w:eastAsia="en-US" w:bidi="ar-SA"/>
      </w:rPr>
    </w:lvl>
    <w:lvl w:ilvl="2" w:tplc="257C4E3C">
      <w:numFmt w:val="bullet"/>
      <w:lvlText w:val="•"/>
      <w:lvlJc w:val="left"/>
      <w:pPr>
        <w:ind w:left="2167" w:hanging="274"/>
      </w:pPr>
      <w:rPr>
        <w:rFonts w:hint="default"/>
        <w:lang w:val="en-US" w:eastAsia="en-US" w:bidi="ar-SA"/>
      </w:rPr>
    </w:lvl>
    <w:lvl w:ilvl="3" w:tplc="DED2994C">
      <w:numFmt w:val="bullet"/>
      <w:lvlText w:val="•"/>
      <w:lvlJc w:val="left"/>
      <w:pPr>
        <w:ind w:left="2815" w:hanging="274"/>
      </w:pPr>
      <w:rPr>
        <w:rFonts w:hint="default"/>
        <w:lang w:val="en-US" w:eastAsia="en-US" w:bidi="ar-SA"/>
      </w:rPr>
    </w:lvl>
    <w:lvl w:ilvl="4" w:tplc="A14A3406">
      <w:numFmt w:val="bullet"/>
      <w:lvlText w:val="•"/>
      <w:lvlJc w:val="left"/>
      <w:pPr>
        <w:ind w:left="3463" w:hanging="274"/>
      </w:pPr>
      <w:rPr>
        <w:rFonts w:hint="default"/>
        <w:lang w:val="en-US" w:eastAsia="en-US" w:bidi="ar-SA"/>
      </w:rPr>
    </w:lvl>
    <w:lvl w:ilvl="5" w:tplc="15C69B92">
      <w:numFmt w:val="bullet"/>
      <w:lvlText w:val="•"/>
      <w:lvlJc w:val="left"/>
      <w:pPr>
        <w:ind w:left="4111" w:hanging="274"/>
      </w:pPr>
      <w:rPr>
        <w:rFonts w:hint="default"/>
        <w:lang w:val="en-US" w:eastAsia="en-US" w:bidi="ar-SA"/>
      </w:rPr>
    </w:lvl>
    <w:lvl w:ilvl="6" w:tplc="BA585760">
      <w:numFmt w:val="bullet"/>
      <w:lvlText w:val="•"/>
      <w:lvlJc w:val="left"/>
      <w:pPr>
        <w:ind w:left="4758" w:hanging="274"/>
      </w:pPr>
      <w:rPr>
        <w:rFonts w:hint="default"/>
        <w:lang w:val="en-US" w:eastAsia="en-US" w:bidi="ar-SA"/>
      </w:rPr>
    </w:lvl>
    <w:lvl w:ilvl="7" w:tplc="690424B8">
      <w:numFmt w:val="bullet"/>
      <w:lvlText w:val="•"/>
      <w:lvlJc w:val="left"/>
      <w:pPr>
        <w:ind w:left="5406" w:hanging="274"/>
      </w:pPr>
      <w:rPr>
        <w:rFonts w:hint="default"/>
        <w:lang w:val="en-US" w:eastAsia="en-US" w:bidi="ar-SA"/>
      </w:rPr>
    </w:lvl>
    <w:lvl w:ilvl="8" w:tplc="0316B560">
      <w:numFmt w:val="bullet"/>
      <w:lvlText w:val="•"/>
      <w:lvlJc w:val="left"/>
      <w:pPr>
        <w:ind w:left="6054" w:hanging="274"/>
      </w:pPr>
      <w:rPr>
        <w:rFonts w:hint="default"/>
        <w:lang w:val="en-US" w:eastAsia="en-US" w:bidi="ar-SA"/>
      </w:rPr>
    </w:lvl>
  </w:abstractNum>
  <w:abstractNum w:abstractNumId="215" w15:restartNumberingAfterBreak="0">
    <w:nsid w:val="7C9F34C3"/>
    <w:multiLevelType w:val="hybridMultilevel"/>
    <w:tmpl w:val="A8BCC5CA"/>
    <w:lvl w:ilvl="0" w:tplc="837831A4">
      <w:start w:val="10"/>
      <w:numFmt w:val="decimal"/>
      <w:lvlText w:val=".%1"/>
      <w:lvlJc w:val="left"/>
      <w:pPr>
        <w:ind w:left="1799" w:hanging="721"/>
        <w:jc w:val="left"/>
      </w:pPr>
      <w:rPr>
        <w:rFonts w:ascii="Arial" w:eastAsia="Arial" w:hAnsi="Arial" w:cs="Arial" w:hint="default"/>
        <w:b w:val="0"/>
        <w:bCs w:val="0"/>
        <w:i w:val="0"/>
        <w:iCs w:val="0"/>
        <w:spacing w:val="0"/>
        <w:w w:val="99"/>
        <w:sz w:val="22"/>
        <w:szCs w:val="22"/>
        <w:lang w:val="en-US" w:eastAsia="en-US" w:bidi="ar-SA"/>
      </w:rPr>
    </w:lvl>
    <w:lvl w:ilvl="1" w:tplc="C43241EE">
      <w:start w:val="1"/>
      <w:numFmt w:val="lowerLetter"/>
      <w:lvlText w:val="%2."/>
      <w:lvlJc w:val="left"/>
      <w:pPr>
        <w:ind w:left="2160" w:hanging="360"/>
        <w:jc w:val="left"/>
      </w:pPr>
      <w:rPr>
        <w:rFonts w:ascii="Arial" w:eastAsia="Arial" w:hAnsi="Arial" w:cs="Arial" w:hint="default"/>
        <w:b w:val="0"/>
        <w:bCs w:val="0"/>
        <w:i w:val="0"/>
        <w:iCs w:val="0"/>
        <w:spacing w:val="0"/>
        <w:w w:val="99"/>
        <w:sz w:val="22"/>
        <w:szCs w:val="22"/>
        <w:lang w:val="en-US" w:eastAsia="en-US" w:bidi="ar-SA"/>
      </w:rPr>
    </w:lvl>
    <w:lvl w:ilvl="2" w:tplc="C636A3B0">
      <w:numFmt w:val="bullet"/>
      <w:lvlText w:val=""/>
      <w:lvlJc w:val="left"/>
      <w:pPr>
        <w:ind w:left="2519" w:hanging="360"/>
      </w:pPr>
      <w:rPr>
        <w:rFonts w:ascii="Symbol" w:eastAsia="Symbol" w:hAnsi="Symbol" w:cs="Symbol" w:hint="default"/>
        <w:b w:val="0"/>
        <w:bCs w:val="0"/>
        <w:i w:val="0"/>
        <w:iCs w:val="0"/>
        <w:spacing w:val="0"/>
        <w:w w:val="99"/>
        <w:sz w:val="22"/>
        <w:szCs w:val="22"/>
        <w:lang w:val="en-US" w:eastAsia="en-US" w:bidi="ar-SA"/>
      </w:rPr>
    </w:lvl>
    <w:lvl w:ilvl="3" w:tplc="194266E4">
      <w:numFmt w:val="bullet"/>
      <w:lvlText w:val="•"/>
      <w:lvlJc w:val="left"/>
      <w:pPr>
        <w:ind w:left="3510" w:hanging="360"/>
      </w:pPr>
      <w:rPr>
        <w:rFonts w:hint="default"/>
        <w:lang w:val="en-US" w:eastAsia="en-US" w:bidi="ar-SA"/>
      </w:rPr>
    </w:lvl>
    <w:lvl w:ilvl="4" w:tplc="BF3E509A">
      <w:numFmt w:val="bullet"/>
      <w:lvlText w:val="•"/>
      <w:lvlJc w:val="left"/>
      <w:pPr>
        <w:ind w:left="4500" w:hanging="360"/>
      </w:pPr>
      <w:rPr>
        <w:rFonts w:hint="default"/>
        <w:lang w:val="en-US" w:eastAsia="en-US" w:bidi="ar-SA"/>
      </w:rPr>
    </w:lvl>
    <w:lvl w:ilvl="5" w:tplc="B4862538">
      <w:numFmt w:val="bullet"/>
      <w:lvlText w:val="•"/>
      <w:lvlJc w:val="left"/>
      <w:pPr>
        <w:ind w:left="5490" w:hanging="360"/>
      </w:pPr>
      <w:rPr>
        <w:rFonts w:hint="default"/>
        <w:lang w:val="en-US" w:eastAsia="en-US" w:bidi="ar-SA"/>
      </w:rPr>
    </w:lvl>
    <w:lvl w:ilvl="6" w:tplc="1A8A9450">
      <w:numFmt w:val="bullet"/>
      <w:lvlText w:val="•"/>
      <w:lvlJc w:val="left"/>
      <w:pPr>
        <w:ind w:left="6480" w:hanging="360"/>
      </w:pPr>
      <w:rPr>
        <w:rFonts w:hint="default"/>
        <w:lang w:val="en-US" w:eastAsia="en-US" w:bidi="ar-SA"/>
      </w:rPr>
    </w:lvl>
    <w:lvl w:ilvl="7" w:tplc="5E380650">
      <w:numFmt w:val="bullet"/>
      <w:lvlText w:val="•"/>
      <w:lvlJc w:val="left"/>
      <w:pPr>
        <w:ind w:left="7470" w:hanging="360"/>
      </w:pPr>
      <w:rPr>
        <w:rFonts w:hint="default"/>
        <w:lang w:val="en-US" w:eastAsia="en-US" w:bidi="ar-SA"/>
      </w:rPr>
    </w:lvl>
    <w:lvl w:ilvl="8" w:tplc="A9084488">
      <w:numFmt w:val="bullet"/>
      <w:lvlText w:val="•"/>
      <w:lvlJc w:val="left"/>
      <w:pPr>
        <w:ind w:left="8460" w:hanging="360"/>
      </w:pPr>
      <w:rPr>
        <w:rFonts w:hint="default"/>
        <w:lang w:val="en-US" w:eastAsia="en-US" w:bidi="ar-SA"/>
      </w:rPr>
    </w:lvl>
  </w:abstractNum>
  <w:abstractNum w:abstractNumId="216" w15:restartNumberingAfterBreak="0">
    <w:nsid w:val="7D4A6295"/>
    <w:multiLevelType w:val="hybridMultilevel"/>
    <w:tmpl w:val="7D9665EA"/>
    <w:lvl w:ilvl="0" w:tplc="4D482542">
      <w:start w:val="2"/>
      <w:numFmt w:val="lowerLetter"/>
      <w:lvlText w:val="%1."/>
      <w:lvlJc w:val="left"/>
      <w:pPr>
        <w:ind w:left="1203" w:hanging="360"/>
        <w:jc w:val="left"/>
      </w:pPr>
      <w:rPr>
        <w:rFonts w:ascii="Arial" w:eastAsia="Arial" w:hAnsi="Arial" w:cs="Arial" w:hint="default"/>
        <w:b w:val="0"/>
        <w:bCs w:val="0"/>
        <w:i w:val="0"/>
        <w:iCs w:val="0"/>
        <w:color w:val="242424"/>
        <w:spacing w:val="0"/>
        <w:w w:val="99"/>
        <w:sz w:val="22"/>
        <w:szCs w:val="22"/>
        <w:lang w:val="en-US" w:eastAsia="en-US" w:bidi="ar-SA"/>
      </w:rPr>
    </w:lvl>
    <w:lvl w:ilvl="1" w:tplc="DD5008BA">
      <w:start w:val="1"/>
      <w:numFmt w:val="lowerRoman"/>
      <w:lvlText w:val="%2."/>
      <w:lvlJc w:val="left"/>
      <w:pPr>
        <w:ind w:left="1519" w:hanging="291"/>
        <w:jc w:val="left"/>
      </w:pPr>
      <w:rPr>
        <w:rFonts w:ascii="Arial" w:eastAsia="Arial" w:hAnsi="Arial" w:cs="Arial" w:hint="default"/>
        <w:b w:val="0"/>
        <w:bCs w:val="0"/>
        <w:i w:val="0"/>
        <w:iCs w:val="0"/>
        <w:color w:val="242424"/>
        <w:spacing w:val="0"/>
        <w:w w:val="99"/>
        <w:sz w:val="22"/>
        <w:szCs w:val="22"/>
        <w:lang w:val="en-US" w:eastAsia="en-US" w:bidi="ar-SA"/>
      </w:rPr>
    </w:lvl>
    <w:lvl w:ilvl="2" w:tplc="2D8CDACA">
      <w:numFmt w:val="bullet"/>
      <w:lvlText w:val=""/>
      <w:lvlJc w:val="left"/>
      <w:pPr>
        <w:ind w:left="1969" w:hanging="360"/>
      </w:pPr>
      <w:rPr>
        <w:rFonts w:ascii="Symbol" w:eastAsia="Symbol" w:hAnsi="Symbol" w:cs="Symbol" w:hint="default"/>
        <w:b w:val="0"/>
        <w:bCs w:val="0"/>
        <w:i w:val="0"/>
        <w:iCs w:val="0"/>
        <w:color w:val="242424"/>
        <w:spacing w:val="0"/>
        <w:w w:val="99"/>
        <w:sz w:val="22"/>
        <w:szCs w:val="22"/>
        <w:lang w:val="en-US" w:eastAsia="en-US" w:bidi="ar-SA"/>
      </w:rPr>
    </w:lvl>
    <w:lvl w:ilvl="3" w:tplc="188610C6">
      <w:numFmt w:val="bullet"/>
      <w:lvlText w:val="•"/>
      <w:lvlJc w:val="left"/>
      <w:pPr>
        <w:ind w:left="2633" w:hanging="360"/>
      </w:pPr>
      <w:rPr>
        <w:rFonts w:hint="default"/>
        <w:lang w:val="en-US" w:eastAsia="en-US" w:bidi="ar-SA"/>
      </w:rPr>
    </w:lvl>
    <w:lvl w:ilvl="4" w:tplc="E6B2B760">
      <w:numFmt w:val="bullet"/>
      <w:lvlText w:val="•"/>
      <w:lvlJc w:val="left"/>
      <w:pPr>
        <w:ind w:left="3306" w:hanging="360"/>
      </w:pPr>
      <w:rPr>
        <w:rFonts w:hint="default"/>
        <w:lang w:val="en-US" w:eastAsia="en-US" w:bidi="ar-SA"/>
      </w:rPr>
    </w:lvl>
    <w:lvl w:ilvl="5" w:tplc="845C4342">
      <w:numFmt w:val="bullet"/>
      <w:lvlText w:val="•"/>
      <w:lvlJc w:val="left"/>
      <w:pPr>
        <w:ind w:left="3980" w:hanging="360"/>
      </w:pPr>
      <w:rPr>
        <w:rFonts w:hint="default"/>
        <w:lang w:val="en-US" w:eastAsia="en-US" w:bidi="ar-SA"/>
      </w:rPr>
    </w:lvl>
    <w:lvl w:ilvl="6" w:tplc="8DF69F4E">
      <w:numFmt w:val="bullet"/>
      <w:lvlText w:val="•"/>
      <w:lvlJc w:val="left"/>
      <w:pPr>
        <w:ind w:left="4653" w:hanging="360"/>
      </w:pPr>
      <w:rPr>
        <w:rFonts w:hint="default"/>
        <w:lang w:val="en-US" w:eastAsia="en-US" w:bidi="ar-SA"/>
      </w:rPr>
    </w:lvl>
    <w:lvl w:ilvl="7" w:tplc="1C1A7BB8">
      <w:numFmt w:val="bullet"/>
      <w:lvlText w:val="•"/>
      <w:lvlJc w:val="left"/>
      <w:pPr>
        <w:ind w:left="5327" w:hanging="360"/>
      </w:pPr>
      <w:rPr>
        <w:rFonts w:hint="default"/>
        <w:lang w:val="en-US" w:eastAsia="en-US" w:bidi="ar-SA"/>
      </w:rPr>
    </w:lvl>
    <w:lvl w:ilvl="8" w:tplc="9EC2E1D2">
      <w:numFmt w:val="bullet"/>
      <w:lvlText w:val="•"/>
      <w:lvlJc w:val="left"/>
      <w:pPr>
        <w:ind w:left="6000" w:hanging="360"/>
      </w:pPr>
      <w:rPr>
        <w:rFonts w:hint="default"/>
        <w:lang w:val="en-US" w:eastAsia="en-US" w:bidi="ar-SA"/>
      </w:rPr>
    </w:lvl>
  </w:abstractNum>
  <w:abstractNum w:abstractNumId="217" w15:restartNumberingAfterBreak="0">
    <w:nsid w:val="7E902C14"/>
    <w:multiLevelType w:val="hybridMultilevel"/>
    <w:tmpl w:val="567A01E2"/>
    <w:lvl w:ilvl="0" w:tplc="8D884596">
      <w:numFmt w:val="bullet"/>
      <w:lvlText w:val=""/>
      <w:lvlJc w:val="left"/>
      <w:pPr>
        <w:ind w:left="859" w:hanging="360"/>
      </w:pPr>
      <w:rPr>
        <w:rFonts w:ascii="Symbol" w:eastAsia="Symbol" w:hAnsi="Symbol" w:cs="Symbol" w:hint="default"/>
        <w:b w:val="0"/>
        <w:bCs w:val="0"/>
        <w:i w:val="0"/>
        <w:iCs w:val="0"/>
        <w:spacing w:val="0"/>
        <w:w w:val="99"/>
        <w:sz w:val="22"/>
        <w:szCs w:val="22"/>
        <w:lang w:val="en-US" w:eastAsia="en-US" w:bidi="ar-SA"/>
      </w:rPr>
    </w:lvl>
    <w:lvl w:ilvl="1" w:tplc="0FDA67F6">
      <w:numFmt w:val="bullet"/>
      <w:lvlText w:val="•"/>
      <w:lvlJc w:val="left"/>
      <w:pPr>
        <w:ind w:left="1461" w:hanging="360"/>
      </w:pPr>
      <w:rPr>
        <w:rFonts w:hint="default"/>
        <w:lang w:val="en-US" w:eastAsia="en-US" w:bidi="ar-SA"/>
      </w:rPr>
    </w:lvl>
    <w:lvl w:ilvl="2" w:tplc="CB364A92">
      <w:numFmt w:val="bullet"/>
      <w:lvlText w:val="•"/>
      <w:lvlJc w:val="left"/>
      <w:pPr>
        <w:ind w:left="2062" w:hanging="360"/>
      </w:pPr>
      <w:rPr>
        <w:rFonts w:hint="default"/>
        <w:lang w:val="en-US" w:eastAsia="en-US" w:bidi="ar-SA"/>
      </w:rPr>
    </w:lvl>
    <w:lvl w:ilvl="3" w:tplc="2A94E2E8">
      <w:numFmt w:val="bullet"/>
      <w:lvlText w:val="•"/>
      <w:lvlJc w:val="left"/>
      <w:pPr>
        <w:ind w:left="2663" w:hanging="360"/>
      </w:pPr>
      <w:rPr>
        <w:rFonts w:hint="default"/>
        <w:lang w:val="en-US" w:eastAsia="en-US" w:bidi="ar-SA"/>
      </w:rPr>
    </w:lvl>
    <w:lvl w:ilvl="4" w:tplc="9BE2B89A">
      <w:numFmt w:val="bullet"/>
      <w:lvlText w:val="•"/>
      <w:lvlJc w:val="left"/>
      <w:pPr>
        <w:ind w:left="3265" w:hanging="360"/>
      </w:pPr>
      <w:rPr>
        <w:rFonts w:hint="default"/>
        <w:lang w:val="en-US" w:eastAsia="en-US" w:bidi="ar-SA"/>
      </w:rPr>
    </w:lvl>
    <w:lvl w:ilvl="5" w:tplc="8DC074EC">
      <w:numFmt w:val="bullet"/>
      <w:lvlText w:val="•"/>
      <w:lvlJc w:val="left"/>
      <w:pPr>
        <w:ind w:left="3866" w:hanging="360"/>
      </w:pPr>
      <w:rPr>
        <w:rFonts w:hint="default"/>
        <w:lang w:val="en-US" w:eastAsia="en-US" w:bidi="ar-SA"/>
      </w:rPr>
    </w:lvl>
    <w:lvl w:ilvl="6" w:tplc="EF74EF80">
      <w:numFmt w:val="bullet"/>
      <w:lvlText w:val="•"/>
      <w:lvlJc w:val="left"/>
      <w:pPr>
        <w:ind w:left="4467" w:hanging="360"/>
      </w:pPr>
      <w:rPr>
        <w:rFonts w:hint="default"/>
        <w:lang w:val="en-US" w:eastAsia="en-US" w:bidi="ar-SA"/>
      </w:rPr>
    </w:lvl>
    <w:lvl w:ilvl="7" w:tplc="8FF8B320">
      <w:numFmt w:val="bullet"/>
      <w:lvlText w:val="•"/>
      <w:lvlJc w:val="left"/>
      <w:pPr>
        <w:ind w:left="5069" w:hanging="360"/>
      </w:pPr>
      <w:rPr>
        <w:rFonts w:hint="default"/>
        <w:lang w:val="en-US" w:eastAsia="en-US" w:bidi="ar-SA"/>
      </w:rPr>
    </w:lvl>
    <w:lvl w:ilvl="8" w:tplc="667AD9B2">
      <w:numFmt w:val="bullet"/>
      <w:lvlText w:val="•"/>
      <w:lvlJc w:val="left"/>
      <w:pPr>
        <w:ind w:left="5670" w:hanging="360"/>
      </w:pPr>
      <w:rPr>
        <w:rFonts w:hint="default"/>
        <w:lang w:val="en-US" w:eastAsia="en-US" w:bidi="ar-SA"/>
      </w:rPr>
    </w:lvl>
  </w:abstractNum>
  <w:abstractNum w:abstractNumId="218" w15:restartNumberingAfterBreak="0">
    <w:nsid w:val="7ED21051"/>
    <w:multiLevelType w:val="hybridMultilevel"/>
    <w:tmpl w:val="4BA46144"/>
    <w:lvl w:ilvl="0" w:tplc="E2DCBBBE">
      <w:start w:val="10"/>
      <w:numFmt w:val="decimal"/>
      <w:lvlText w:val=".%1"/>
      <w:lvlJc w:val="left"/>
      <w:pPr>
        <w:ind w:left="1800" w:hanging="721"/>
        <w:jc w:val="left"/>
      </w:pPr>
      <w:rPr>
        <w:rFonts w:ascii="Arial" w:eastAsia="Arial" w:hAnsi="Arial" w:cs="Arial" w:hint="default"/>
        <w:b w:val="0"/>
        <w:bCs w:val="0"/>
        <w:i w:val="0"/>
        <w:iCs w:val="0"/>
        <w:spacing w:val="0"/>
        <w:w w:val="99"/>
        <w:sz w:val="22"/>
        <w:szCs w:val="22"/>
        <w:lang w:val="en-US" w:eastAsia="en-US" w:bidi="ar-SA"/>
      </w:rPr>
    </w:lvl>
    <w:lvl w:ilvl="1" w:tplc="EAF2F446">
      <w:start w:val="1"/>
      <w:numFmt w:val="lowerLetter"/>
      <w:lvlText w:val="%2."/>
      <w:lvlJc w:val="left"/>
      <w:pPr>
        <w:ind w:left="2159" w:hanging="360"/>
        <w:jc w:val="left"/>
      </w:pPr>
      <w:rPr>
        <w:rFonts w:ascii="Arial" w:eastAsia="Arial" w:hAnsi="Arial" w:cs="Arial" w:hint="default"/>
        <w:b w:val="0"/>
        <w:bCs w:val="0"/>
        <w:i w:val="0"/>
        <w:iCs w:val="0"/>
        <w:spacing w:val="0"/>
        <w:w w:val="99"/>
        <w:sz w:val="22"/>
        <w:szCs w:val="22"/>
        <w:lang w:val="en-US" w:eastAsia="en-US" w:bidi="ar-SA"/>
      </w:rPr>
    </w:lvl>
    <w:lvl w:ilvl="2" w:tplc="B3401BA4">
      <w:numFmt w:val="bullet"/>
      <w:lvlText w:val="•"/>
      <w:lvlJc w:val="left"/>
      <w:pPr>
        <w:ind w:left="3080" w:hanging="360"/>
      </w:pPr>
      <w:rPr>
        <w:rFonts w:hint="default"/>
        <w:lang w:val="en-US" w:eastAsia="en-US" w:bidi="ar-SA"/>
      </w:rPr>
    </w:lvl>
    <w:lvl w:ilvl="3" w:tplc="B1907EA8">
      <w:numFmt w:val="bullet"/>
      <w:lvlText w:val="•"/>
      <w:lvlJc w:val="left"/>
      <w:pPr>
        <w:ind w:left="4000" w:hanging="360"/>
      </w:pPr>
      <w:rPr>
        <w:rFonts w:hint="default"/>
        <w:lang w:val="en-US" w:eastAsia="en-US" w:bidi="ar-SA"/>
      </w:rPr>
    </w:lvl>
    <w:lvl w:ilvl="4" w:tplc="58B6D536">
      <w:numFmt w:val="bullet"/>
      <w:lvlText w:val="•"/>
      <w:lvlJc w:val="left"/>
      <w:pPr>
        <w:ind w:left="4920" w:hanging="360"/>
      </w:pPr>
      <w:rPr>
        <w:rFonts w:hint="default"/>
        <w:lang w:val="en-US" w:eastAsia="en-US" w:bidi="ar-SA"/>
      </w:rPr>
    </w:lvl>
    <w:lvl w:ilvl="5" w:tplc="215E6068">
      <w:numFmt w:val="bullet"/>
      <w:lvlText w:val="•"/>
      <w:lvlJc w:val="left"/>
      <w:pPr>
        <w:ind w:left="5840" w:hanging="360"/>
      </w:pPr>
      <w:rPr>
        <w:rFonts w:hint="default"/>
        <w:lang w:val="en-US" w:eastAsia="en-US" w:bidi="ar-SA"/>
      </w:rPr>
    </w:lvl>
    <w:lvl w:ilvl="6" w:tplc="0AACE21E">
      <w:numFmt w:val="bullet"/>
      <w:lvlText w:val="•"/>
      <w:lvlJc w:val="left"/>
      <w:pPr>
        <w:ind w:left="6760" w:hanging="360"/>
      </w:pPr>
      <w:rPr>
        <w:rFonts w:hint="default"/>
        <w:lang w:val="en-US" w:eastAsia="en-US" w:bidi="ar-SA"/>
      </w:rPr>
    </w:lvl>
    <w:lvl w:ilvl="7" w:tplc="3F94731E">
      <w:numFmt w:val="bullet"/>
      <w:lvlText w:val="•"/>
      <w:lvlJc w:val="left"/>
      <w:pPr>
        <w:ind w:left="7680" w:hanging="360"/>
      </w:pPr>
      <w:rPr>
        <w:rFonts w:hint="default"/>
        <w:lang w:val="en-US" w:eastAsia="en-US" w:bidi="ar-SA"/>
      </w:rPr>
    </w:lvl>
    <w:lvl w:ilvl="8" w:tplc="ADE6CFC0">
      <w:numFmt w:val="bullet"/>
      <w:lvlText w:val="•"/>
      <w:lvlJc w:val="left"/>
      <w:pPr>
        <w:ind w:left="8600" w:hanging="360"/>
      </w:pPr>
      <w:rPr>
        <w:rFonts w:hint="default"/>
        <w:lang w:val="en-US" w:eastAsia="en-US" w:bidi="ar-SA"/>
      </w:rPr>
    </w:lvl>
  </w:abstractNum>
  <w:abstractNum w:abstractNumId="219" w15:restartNumberingAfterBreak="0">
    <w:nsid w:val="7F1A6E08"/>
    <w:multiLevelType w:val="hybridMultilevel"/>
    <w:tmpl w:val="E08269D2"/>
    <w:lvl w:ilvl="0" w:tplc="005059CC">
      <w:numFmt w:val="bullet"/>
      <w:lvlText w:val=""/>
      <w:lvlJc w:val="left"/>
      <w:pPr>
        <w:ind w:left="2160" w:hanging="360"/>
      </w:pPr>
      <w:rPr>
        <w:rFonts w:ascii="Symbol" w:eastAsia="Symbol" w:hAnsi="Symbol" w:cs="Symbol" w:hint="default"/>
        <w:b w:val="0"/>
        <w:bCs w:val="0"/>
        <w:i w:val="0"/>
        <w:iCs w:val="0"/>
        <w:spacing w:val="0"/>
        <w:w w:val="99"/>
        <w:sz w:val="22"/>
        <w:szCs w:val="22"/>
        <w:lang w:val="en-US" w:eastAsia="en-US" w:bidi="ar-SA"/>
      </w:rPr>
    </w:lvl>
    <w:lvl w:ilvl="1" w:tplc="6B82EAD2">
      <w:numFmt w:val="bullet"/>
      <w:lvlText w:val="•"/>
      <w:lvlJc w:val="left"/>
      <w:pPr>
        <w:ind w:left="2988" w:hanging="360"/>
      </w:pPr>
      <w:rPr>
        <w:rFonts w:hint="default"/>
        <w:lang w:val="en-US" w:eastAsia="en-US" w:bidi="ar-SA"/>
      </w:rPr>
    </w:lvl>
    <w:lvl w:ilvl="2" w:tplc="0D165D86">
      <w:numFmt w:val="bullet"/>
      <w:lvlText w:val="•"/>
      <w:lvlJc w:val="left"/>
      <w:pPr>
        <w:ind w:left="3816" w:hanging="360"/>
      </w:pPr>
      <w:rPr>
        <w:rFonts w:hint="default"/>
        <w:lang w:val="en-US" w:eastAsia="en-US" w:bidi="ar-SA"/>
      </w:rPr>
    </w:lvl>
    <w:lvl w:ilvl="3" w:tplc="6C5201AE">
      <w:numFmt w:val="bullet"/>
      <w:lvlText w:val="•"/>
      <w:lvlJc w:val="left"/>
      <w:pPr>
        <w:ind w:left="4644" w:hanging="360"/>
      </w:pPr>
      <w:rPr>
        <w:rFonts w:hint="default"/>
        <w:lang w:val="en-US" w:eastAsia="en-US" w:bidi="ar-SA"/>
      </w:rPr>
    </w:lvl>
    <w:lvl w:ilvl="4" w:tplc="DD00F744">
      <w:numFmt w:val="bullet"/>
      <w:lvlText w:val="•"/>
      <w:lvlJc w:val="left"/>
      <w:pPr>
        <w:ind w:left="5472" w:hanging="360"/>
      </w:pPr>
      <w:rPr>
        <w:rFonts w:hint="default"/>
        <w:lang w:val="en-US" w:eastAsia="en-US" w:bidi="ar-SA"/>
      </w:rPr>
    </w:lvl>
    <w:lvl w:ilvl="5" w:tplc="73B2D294">
      <w:numFmt w:val="bullet"/>
      <w:lvlText w:val="•"/>
      <w:lvlJc w:val="left"/>
      <w:pPr>
        <w:ind w:left="6300" w:hanging="360"/>
      </w:pPr>
      <w:rPr>
        <w:rFonts w:hint="default"/>
        <w:lang w:val="en-US" w:eastAsia="en-US" w:bidi="ar-SA"/>
      </w:rPr>
    </w:lvl>
    <w:lvl w:ilvl="6" w:tplc="12860E3E">
      <w:numFmt w:val="bullet"/>
      <w:lvlText w:val="•"/>
      <w:lvlJc w:val="left"/>
      <w:pPr>
        <w:ind w:left="7128" w:hanging="360"/>
      </w:pPr>
      <w:rPr>
        <w:rFonts w:hint="default"/>
        <w:lang w:val="en-US" w:eastAsia="en-US" w:bidi="ar-SA"/>
      </w:rPr>
    </w:lvl>
    <w:lvl w:ilvl="7" w:tplc="A79EF112">
      <w:numFmt w:val="bullet"/>
      <w:lvlText w:val="•"/>
      <w:lvlJc w:val="left"/>
      <w:pPr>
        <w:ind w:left="7956" w:hanging="360"/>
      </w:pPr>
      <w:rPr>
        <w:rFonts w:hint="default"/>
        <w:lang w:val="en-US" w:eastAsia="en-US" w:bidi="ar-SA"/>
      </w:rPr>
    </w:lvl>
    <w:lvl w:ilvl="8" w:tplc="FA66B08C">
      <w:numFmt w:val="bullet"/>
      <w:lvlText w:val="•"/>
      <w:lvlJc w:val="left"/>
      <w:pPr>
        <w:ind w:left="8784" w:hanging="360"/>
      </w:pPr>
      <w:rPr>
        <w:rFonts w:hint="default"/>
        <w:lang w:val="en-US" w:eastAsia="en-US" w:bidi="ar-SA"/>
      </w:rPr>
    </w:lvl>
  </w:abstractNum>
  <w:abstractNum w:abstractNumId="220" w15:restartNumberingAfterBreak="0">
    <w:nsid w:val="7F2D2AA6"/>
    <w:multiLevelType w:val="hybridMultilevel"/>
    <w:tmpl w:val="A6209AB0"/>
    <w:lvl w:ilvl="0" w:tplc="008678FE">
      <w:start w:val="1"/>
      <w:numFmt w:val="decimal"/>
      <w:lvlText w:val="%1."/>
      <w:lvlJc w:val="left"/>
      <w:pPr>
        <w:ind w:left="2106" w:hanging="307"/>
        <w:jc w:val="left"/>
      </w:pPr>
      <w:rPr>
        <w:rFonts w:ascii="Arial" w:eastAsia="Arial" w:hAnsi="Arial" w:cs="Arial" w:hint="default"/>
        <w:b w:val="0"/>
        <w:bCs w:val="0"/>
        <w:i w:val="0"/>
        <w:iCs w:val="0"/>
        <w:spacing w:val="0"/>
        <w:w w:val="99"/>
        <w:sz w:val="22"/>
        <w:szCs w:val="22"/>
        <w:lang w:val="en-US" w:eastAsia="en-US" w:bidi="ar-SA"/>
      </w:rPr>
    </w:lvl>
    <w:lvl w:ilvl="1" w:tplc="2CE4A684">
      <w:numFmt w:val="bullet"/>
      <w:lvlText w:val="•"/>
      <w:lvlJc w:val="left"/>
      <w:pPr>
        <w:ind w:left="2934" w:hanging="307"/>
      </w:pPr>
      <w:rPr>
        <w:rFonts w:hint="default"/>
        <w:lang w:val="en-US" w:eastAsia="en-US" w:bidi="ar-SA"/>
      </w:rPr>
    </w:lvl>
    <w:lvl w:ilvl="2" w:tplc="ACC47DA6">
      <w:numFmt w:val="bullet"/>
      <w:lvlText w:val="•"/>
      <w:lvlJc w:val="left"/>
      <w:pPr>
        <w:ind w:left="3768" w:hanging="307"/>
      </w:pPr>
      <w:rPr>
        <w:rFonts w:hint="default"/>
        <w:lang w:val="en-US" w:eastAsia="en-US" w:bidi="ar-SA"/>
      </w:rPr>
    </w:lvl>
    <w:lvl w:ilvl="3" w:tplc="E56603CE">
      <w:numFmt w:val="bullet"/>
      <w:lvlText w:val="•"/>
      <w:lvlJc w:val="left"/>
      <w:pPr>
        <w:ind w:left="4602" w:hanging="307"/>
      </w:pPr>
      <w:rPr>
        <w:rFonts w:hint="default"/>
        <w:lang w:val="en-US" w:eastAsia="en-US" w:bidi="ar-SA"/>
      </w:rPr>
    </w:lvl>
    <w:lvl w:ilvl="4" w:tplc="6E169FDE">
      <w:numFmt w:val="bullet"/>
      <w:lvlText w:val="•"/>
      <w:lvlJc w:val="left"/>
      <w:pPr>
        <w:ind w:left="5436" w:hanging="307"/>
      </w:pPr>
      <w:rPr>
        <w:rFonts w:hint="default"/>
        <w:lang w:val="en-US" w:eastAsia="en-US" w:bidi="ar-SA"/>
      </w:rPr>
    </w:lvl>
    <w:lvl w:ilvl="5" w:tplc="9B04534C">
      <w:numFmt w:val="bullet"/>
      <w:lvlText w:val="•"/>
      <w:lvlJc w:val="left"/>
      <w:pPr>
        <w:ind w:left="6270" w:hanging="307"/>
      </w:pPr>
      <w:rPr>
        <w:rFonts w:hint="default"/>
        <w:lang w:val="en-US" w:eastAsia="en-US" w:bidi="ar-SA"/>
      </w:rPr>
    </w:lvl>
    <w:lvl w:ilvl="6" w:tplc="DD083AAA">
      <w:numFmt w:val="bullet"/>
      <w:lvlText w:val="•"/>
      <w:lvlJc w:val="left"/>
      <w:pPr>
        <w:ind w:left="7104" w:hanging="307"/>
      </w:pPr>
      <w:rPr>
        <w:rFonts w:hint="default"/>
        <w:lang w:val="en-US" w:eastAsia="en-US" w:bidi="ar-SA"/>
      </w:rPr>
    </w:lvl>
    <w:lvl w:ilvl="7" w:tplc="E2E4EEC2">
      <w:numFmt w:val="bullet"/>
      <w:lvlText w:val="•"/>
      <w:lvlJc w:val="left"/>
      <w:pPr>
        <w:ind w:left="7938" w:hanging="307"/>
      </w:pPr>
      <w:rPr>
        <w:rFonts w:hint="default"/>
        <w:lang w:val="en-US" w:eastAsia="en-US" w:bidi="ar-SA"/>
      </w:rPr>
    </w:lvl>
    <w:lvl w:ilvl="8" w:tplc="44C0F20C">
      <w:numFmt w:val="bullet"/>
      <w:lvlText w:val="•"/>
      <w:lvlJc w:val="left"/>
      <w:pPr>
        <w:ind w:left="8772" w:hanging="307"/>
      </w:pPr>
      <w:rPr>
        <w:rFonts w:hint="default"/>
        <w:lang w:val="en-US" w:eastAsia="en-US" w:bidi="ar-SA"/>
      </w:rPr>
    </w:lvl>
  </w:abstractNum>
  <w:num w:numId="1" w16cid:durableId="1137841325">
    <w:abstractNumId w:val="156"/>
  </w:num>
  <w:num w:numId="2" w16cid:durableId="1502504602">
    <w:abstractNumId w:val="89"/>
  </w:num>
  <w:num w:numId="3" w16cid:durableId="671614081">
    <w:abstractNumId w:val="57"/>
  </w:num>
  <w:num w:numId="4" w16cid:durableId="1861116033">
    <w:abstractNumId w:val="36"/>
  </w:num>
  <w:num w:numId="5" w16cid:durableId="1823889112">
    <w:abstractNumId w:val="24"/>
  </w:num>
  <w:num w:numId="6" w16cid:durableId="1580363081">
    <w:abstractNumId w:val="5"/>
  </w:num>
  <w:num w:numId="7" w16cid:durableId="574173029">
    <w:abstractNumId w:val="33"/>
  </w:num>
  <w:num w:numId="8" w16cid:durableId="1915431065">
    <w:abstractNumId w:val="122"/>
  </w:num>
  <w:num w:numId="9" w16cid:durableId="1781219080">
    <w:abstractNumId w:val="140"/>
  </w:num>
  <w:num w:numId="10" w16cid:durableId="1671367407">
    <w:abstractNumId w:val="127"/>
  </w:num>
  <w:num w:numId="11" w16cid:durableId="1947957035">
    <w:abstractNumId w:val="14"/>
  </w:num>
  <w:num w:numId="12" w16cid:durableId="2116559941">
    <w:abstractNumId w:val="104"/>
  </w:num>
  <w:num w:numId="13" w16cid:durableId="1264992445">
    <w:abstractNumId w:val="144"/>
  </w:num>
  <w:num w:numId="14" w16cid:durableId="212079502">
    <w:abstractNumId w:val="10"/>
  </w:num>
  <w:num w:numId="15" w16cid:durableId="191379245">
    <w:abstractNumId w:val="106"/>
  </w:num>
  <w:num w:numId="16" w16cid:durableId="1128817164">
    <w:abstractNumId w:val="17"/>
  </w:num>
  <w:num w:numId="17" w16cid:durableId="151456731">
    <w:abstractNumId w:val="177"/>
  </w:num>
  <w:num w:numId="18" w16cid:durableId="1341354077">
    <w:abstractNumId w:val="93"/>
  </w:num>
  <w:num w:numId="19" w16cid:durableId="863983755">
    <w:abstractNumId w:val="154"/>
  </w:num>
  <w:num w:numId="20" w16cid:durableId="1058283080">
    <w:abstractNumId w:val="148"/>
  </w:num>
  <w:num w:numId="21" w16cid:durableId="185946195">
    <w:abstractNumId w:val="86"/>
  </w:num>
  <w:num w:numId="22" w16cid:durableId="120735641">
    <w:abstractNumId w:val="126"/>
  </w:num>
  <w:num w:numId="23" w16cid:durableId="549538979">
    <w:abstractNumId w:val="130"/>
  </w:num>
  <w:num w:numId="24" w16cid:durableId="1138648680">
    <w:abstractNumId w:val="175"/>
  </w:num>
  <w:num w:numId="25" w16cid:durableId="1676498469">
    <w:abstractNumId w:val="185"/>
  </w:num>
  <w:num w:numId="26" w16cid:durableId="1290012218">
    <w:abstractNumId w:val="142"/>
  </w:num>
  <w:num w:numId="27" w16cid:durableId="1737435457">
    <w:abstractNumId w:val="55"/>
  </w:num>
  <w:num w:numId="28" w16cid:durableId="1278751667">
    <w:abstractNumId w:val="1"/>
  </w:num>
  <w:num w:numId="29" w16cid:durableId="2116442365">
    <w:abstractNumId w:val="163"/>
  </w:num>
  <w:num w:numId="30" w16cid:durableId="971403893">
    <w:abstractNumId w:val="18"/>
  </w:num>
  <w:num w:numId="31" w16cid:durableId="1337263582">
    <w:abstractNumId w:val="186"/>
  </w:num>
  <w:num w:numId="32" w16cid:durableId="372539350">
    <w:abstractNumId w:val="188"/>
  </w:num>
  <w:num w:numId="33" w16cid:durableId="1756590111">
    <w:abstractNumId w:val="209"/>
  </w:num>
  <w:num w:numId="34" w16cid:durableId="999044351">
    <w:abstractNumId w:val="67"/>
  </w:num>
  <w:num w:numId="35" w16cid:durableId="934827142">
    <w:abstractNumId w:val="202"/>
  </w:num>
  <w:num w:numId="36" w16cid:durableId="1747992184">
    <w:abstractNumId w:val="189"/>
  </w:num>
  <w:num w:numId="37" w16cid:durableId="1529950574">
    <w:abstractNumId w:val="0"/>
  </w:num>
  <w:num w:numId="38" w16cid:durableId="2093745117">
    <w:abstractNumId w:val="191"/>
  </w:num>
  <w:num w:numId="39" w16cid:durableId="738985974">
    <w:abstractNumId w:val="88"/>
  </w:num>
  <w:num w:numId="40" w16cid:durableId="1416515395">
    <w:abstractNumId w:val="72"/>
  </w:num>
  <w:num w:numId="41" w16cid:durableId="91511465">
    <w:abstractNumId w:val="120"/>
  </w:num>
  <w:num w:numId="42" w16cid:durableId="1265188943">
    <w:abstractNumId w:val="73"/>
  </w:num>
  <w:num w:numId="43" w16cid:durableId="349336211">
    <w:abstractNumId w:val="96"/>
  </w:num>
  <w:num w:numId="44" w16cid:durableId="623774542">
    <w:abstractNumId w:val="44"/>
  </w:num>
  <w:num w:numId="45" w16cid:durableId="993219221">
    <w:abstractNumId w:val="214"/>
  </w:num>
  <w:num w:numId="46" w16cid:durableId="1684430944">
    <w:abstractNumId w:val="113"/>
  </w:num>
  <w:num w:numId="47" w16cid:durableId="980500970">
    <w:abstractNumId w:val="90"/>
  </w:num>
  <w:num w:numId="48" w16cid:durableId="1398473829">
    <w:abstractNumId w:val="42"/>
  </w:num>
  <w:num w:numId="49" w16cid:durableId="1678339324">
    <w:abstractNumId w:val="74"/>
  </w:num>
  <w:num w:numId="50" w16cid:durableId="53552975">
    <w:abstractNumId w:val="176"/>
  </w:num>
  <w:num w:numId="51" w16cid:durableId="2048480670">
    <w:abstractNumId w:val="216"/>
  </w:num>
  <w:num w:numId="52" w16cid:durableId="105589785">
    <w:abstractNumId w:val="92"/>
  </w:num>
  <w:num w:numId="53" w16cid:durableId="1707749542">
    <w:abstractNumId w:val="172"/>
  </w:num>
  <w:num w:numId="54" w16cid:durableId="141393633">
    <w:abstractNumId w:val="52"/>
  </w:num>
  <w:num w:numId="55" w16cid:durableId="1691950285">
    <w:abstractNumId w:val="133"/>
  </w:num>
  <w:num w:numId="56" w16cid:durableId="955334587">
    <w:abstractNumId w:val="110"/>
  </w:num>
  <w:num w:numId="57" w16cid:durableId="2121757291">
    <w:abstractNumId w:val="160"/>
  </w:num>
  <w:num w:numId="58" w16cid:durableId="234631372">
    <w:abstractNumId w:val="11"/>
  </w:num>
  <w:num w:numId="59" w16cid:durableId="840463207">
    <w:abstractNumId w:val="184"/>
  </w:num>
  <w:num w:numId="60" w16cid:durableId="69736995">
    <w:abstractNumId w:val="37"/>
  </w:num>
  <w:num w:numId="61" w16cid:durableId="18893359">
    <w:abstractNumId w:val="83"/>
  </w:num>
  <w:num w:numId="62" w16cid:durableId="1223327056">
    <w:abstractNumId w:val="41"/>
  </w:num>
  <w:num w:numId="63" w16cid:durableId="1432509853">
    <w:abstractNumId w:val="161"/>
  </w:num>
  <w:num w:numId="64" w16cid:durableId="40792686">
    <w:abstractNumId w:val="29"/>
  </w:num>
  <w:num w:numId="65" w16cid:durableId="1484158279">
    <w:abstractNumId w:val="25"/>
  </w:num>
  <w:num w:numId="66" w16cid:durableId="675886925">
    <w:abstractNumId w:val="99"/>
  </w:num>
  <w:num w:numId="67" w16cid:durableId="1016811796">
    <w:abstractNumId w:val="38"/>
  </w:num>
  <w:num w:numId="68" w16cid:durableId="44186991">
    <w:abstractNumId w:val="12"/>
  </w:num>
  <w:num w:numId="69" w16cid:durableId="814444643">
    <w:abstractNumId w:val="79"/>
  </w:num>
  <w:num w:numId="70" w16cid:durableId="1866673221">
    <w:abstractNumId w:val="150"/>
  </w:num>
  <w:num w:numId="71" w16cid:durableId="1351830915">
    <w:abstractNumId w:val="211"/>
  </w:num>
  <w:num w:numId="72" w16cid:durableId="931744410">
    <w:abstractNumId w:val="137"/>
  </w:num>
  <w:num w:numId="73" w16cid:durableId="1231039809">
    <w:abstractNumId w:val="220"/>
  </w:num>
  <w:num w:numId="74" w16cid:durableId="1963222015">
    <w:abstractNumId w:val="182"/>
  </w:num>
  <w:num w:numId="75" w16cid:durableId="275794221">
    <w:abstractNumId w:val="21"/>
  </w:num>
  <w:num w:numId="76" w16cid:durableId="559440837">
    <w:abstractNumId w:val="45"/>
  </w:num>
  <w:num w:numId="77" w16cid:durableId="1107388673">
    <w:abstractNumId w:val="102"/>
  </w:num>
  <w:num w:numId="78" w16cid:durableId="877090192">
    <w:abstractNumId w:val="141"/>
  </w:num>
  <w:num w:numId="79" w16cid:durableId="1096246727">
    <w:abstractNumId w:val="219"/>
  </w:num>
  <w:num w:numId="80" w16cid:durableId="506602432">
    <w:abstractNumId w:val="159"/>
  </w:num>
  <w:num w:numId="81" w16cid:durableId="1760324408">
    <w:abstractNumId w:val="35"/>
  </w:num>
  <w:num w:numId="82" w16cid:durableId="425275863">
    <w:abstractNumId w:val="19"/>
  </w:num>
  <w:num w:numId="83" w16cid:durableId="178470508">
    <w:abstractNumId w:val="112"/>
  </w:num>
  <w:num w:numId="84" w16cid:durableId="218594197">
    <w:abstractNumId w:val="13"/>
  </w:num>
  <w:num w:numId="85" w16cid:durableId="2146653121">
    <w:abstractNumId w:val="157"/>
  </w:num>
  <w:num w:numId="86" w16cid:durableId="685448099">
    <w:abstractNumId w:val="173"/>
  </w:num>
  <w:num w:numId="87" w16cid:durableId="463545735">
    <w:abstractNumId w:val="69"/>
  </w:num>
  <w:num w:numId="88" w16cid:durableId="861554897">
    <w:abstractNumId w:val="138"/>
  </w:num>
  <w:num w:numId="89" w16cid:durableId="1582368557">
    <w:abstractNumId w:val="206"/>
  </w:num>
  <w:num w:numId="90" w16cid:durableId="2082631439">
    <w:abstractNumId w:val="100"/>
  </w:num>
  <w:num w:numId="91" w16cid:durableId="1527912033">
    <w:abstractNumId w:val="118"/>
  </w:num>
  <w:num w:numId="92" w16cid:durableId="279918514">
    <w:abstractNumId w:val="128"/>
  </w:num>
  <w:num w:numId="93" w16cid:durableId="992100081">
    <w:abstractNumId w:val="9"/>
  </w:num>
  <w:num w:numId="94" w16cid:durableId="875964799">
    <w:abstractNumId w:val="200"/>
  </w:num>
  <w:num w:numId="95" w16cid:durableId="2023048193">
    <w:abstractNumId w:val="91"/>
  </w:num>
  <w:num w:numId="96" w16cid:durableId="1047219329">
    <w:abstractNumId w:val="124"/>
  </w:num>
  <w:num w:numId="97" w16cid:durableId="1114902590">
    <w:abstractNumId w:val="59"/>
  </w:num>
  <w:num w:numId="98" w16cid:durableId="1192499811">
    <w:abstractNumId w:val="155"/>
  </w:num>
  <w:num w:numId="99" w16cid:durableId="863136486">
    <w:abstractNumId w:val="94"/>
  </w:num>
  <w:num w:numId="100" w16cid:durableId="1380398815">
    <w:abstractNumId w:val="27"/>
  </w:num>
  <w:num w:numId="101" w16cid:durableId="1026639644">
    <w:abstractNumId w:val="60"/>
  </w:num>
  <w:num w:numId="102" w16cid:durableId="682629881">
    <w:abstractNumId w:val="108"/>
  </w:num>
  <w:num w:numId="103" w16cid:durableId="942613632">
    <w:abstractNumId w:val="95"/>
  </w:num>
  <w:num w:numId="104" w16cid:durableId="1353068576">
    <w:abstractNumId w:val="15"/>
  </w:num>
  <w:num w:numId="105" w16cid:durableId="389496073">
    <w:abstractNumId w:val="145"/>
  </w:num>
  <w:num w:numId="106" w16cid:durableId="636492681">
    <w:abstractNumId w:val="149"/>
  </w:num>
  <w:num w:numId="107" w16cid:durableId="1821117141">
    <w:abstractNumId w:val="8"/>
  </w:num>
  <w:num w:numId="108" w16cid:durableId="350448438">
    <w:abstractNumId w:val="171"/>
  </w:num>
  <w:num w:numId="109" w16cid:durableId="1048456704">
    <w:abstractNumId w:val="125"/>
  </w:num>
  <w:num w:numId="110" w16cid:durableId="767116391">
    <w:abstractNumId w:val="22"/>
  </w:num>
  <w:num w:numId="111" w16cid:durableId="229779760">
    <w:abstractNumId w:val="181"/>
  </w:num>
  <w:num w:numId="112" w16cid:durableId="1095252811">
    <w:abstractNumId w:val="115"/>
  </w:num>
  <w:num w:numId="113" w16cid:durableId="800929084">
    <w:abstractNumId w:val="101"/>
  </w:num>
  <w:num w:numId="114" w16cid:durableId="1574469312">
    <w:abstractNumId w:val="40"/>
  </w:num>
  <w:num w:numId="115" w16cid:durableId="1232227972">
    <w:abstractNumId w:val="190"/>
  </w:num>
  <w:num w:numId="116" w16cid:durableId="483159008">
    <w:abstractNumId w:val="7"/>
  </w:num>
  <w:num w:numId="117" w16cid:durableId="568463104">
    <w:abstractNumId w:val="64"/>
  </w:num>
  <w:num w:numId="118" w16cid:durableId="997877241">
    <w:abstractNumId w:val="208"/>
  </w:num>
  <w:num w:numId="119" w16cid:durableId="1887374217">
    <w:abstractNumId w:val="70"/>
  </w:num>
  <w:num w:numId="120" w16cid:durableId="1351375203">
    <w:abstractNumId w:val="71"/>
  </w:num>
  <w:num w:numId="121" w16cid:durableId="1096486252">
    <w:abstractNumId w:val="152"/>
  </w:num>
  <w:num w:numId="122" w16cid:durableId="2104573615">
    <w:abstractNumId w:val="197"/>
  </w:num>
  <w:num w:numId="123" w16cid:durableId="378670274">
    <w:abstractNumId w:val="97"/>
  </w:num>
  <w:num w:numId="124" w16cid:durableId="50420987">
    <w:abstractNumId w:val="151"/>
  </w:num>
  <w:num w:numId="125" w16cid:durableId="1554081668">
    <w:abstractNumId w:val="117"/>
  </w:num>
  <w:num w:numId="126" w16cid:durableId="1521507702">
    <w:abstractNumId w:val="66"/>
  </w:num>
  <w:num w:numId="127" w16cid:durableId="460733411">
    <w:abstractNumId w:val="20"/>
  </w:num>
  <w:num w:numId="128" w16cid:durableId="702830369">
    <w:abstractNumId w:val="65"/>
  </w:num>
  <w:num w:numId="129" w16cid:durableId="908729532">
    <w:abstractNumId w:val="210"/>
  </w:num>
  <w:num w:numId="130" w16cid:durableId="440875661">
    <w:abstractNumId w:val="63"/>
  </w:num>
  <w:num w:numId="131" w16cid:durableId="675377123">
    <w:abstractNumId w:val="201"/>
  </w:num>
  <w:num w:numId="132" w16cid:durableId="825510357">
    <w:abstractNumId w:val="162"/>
  </w:num>
  <w:num w:numId="133" w16cid:durableId="657420249">
    <w:abstractNumId w:val="213"/>
  </w:num>
  <w:num w:numId="134" w16cid:durableId="242035817">
    <w:abstractNumId w:val="58"/>
  </w:num>
  <w:num w:numId="135" w16cid:durableId="2086292836">
    <w:abstractNumId w:val="199"/>
  </w:num>
  <w:num w:numId="136" w16cid:durableId="696544742">
    <w:abstractNumId w:val="207"/>
  </w:num>
  <w:num w:numId="137" w16cid:durableId="1287200168">
    <w:abstractNumId w:val="78"/>
  </w:num>
  <w:num w:numId="138" w16cid:durableId="1067918369">
    <w:abstractNumId w:val="195"/>
  </w:num>
  <w:num w:numId="139" w16cid:durableId="1905406156">
    <w:abstractNumId w:val="131"/>
  </w:num>
  <w:num w:numId="140" w16cid:durableId="2066484138">
    <w:abstractNumId w:val="146"/>
  </w:num>
  <w:num w:numId="141" w16cid:durableId="964654637">
    <w:abstractNumId w:val="53"/>
  </w:num>
  <w:num w:numId="142" w16cid:durableId="1336961899">
    <w:abstractNumId w:val="23"/>
  </w:num>
  <w:num w:numId="143" w16cid:durableId="2111317692">
    <w:abstractNumId w:val="32"/>
  </w:num>
  <w:num w:numId="144" w16cid:durableId="1976253396">
    <w:abstractNumId w:val="193"/>
  </w:num>
  <w:num w:numId="145" w16cid:durableId="217134239">
    <w:abstractNumId w:val="158"/>
  </w:num>
  <w:num w:numId="146" w16cid:durableId="308559512">
    <w:abstractNumId w:val="174"/>
  </w:num>
  <w:num w:numId="147" w16cid:durableId="636574171">
    <w:abstractNumId w:val="205"/>
  </w:num>
  <w:num w:numId="148" w16cid:durableId="996804145">
    <w:abstractNumId w:val="54"/>
  </w:num>
  <w:num w:numId="149" w16cid:durableId="1201941937">
    <w:abstractNumId w:val="68"/>
  </w:num>
  <w:num w:numId="150" w16cid:durableId="1538614780">
    <w:abstractNumId w:val="164"/>
  </w:num>
  <w:num w:numId="151" w16cid:durableId="1655329350">
    <w:abstractNumId w:val="56"/>
  </w:num>
  <w:num w:numId="152" w16cid:durableId="1289362145">
    <w:abstractNumId w:val="123"/>
  </w:num>
  <w:num w:numId="153" w16cid:durableId="952858864">
    <w:abstractNumId w:val="76"/>
  </w:num>
  <w:num w:numId="154" w16cid:durableId="701441879">
    <w:abstractNumId w:val="196"/>
  </w:num>
  <w:num w:numId="155" w16cid:durableId="224337676">
    <w:abstractNumId w:val="204"/>
  </w:num>
  <w:num w:numId="156" w16cid:durableId="514149058">
    <w:abstractNumId w:val="183"/>
  </w:num>
  <w:num w:numId="157" w16cid:durableId="423187770">
    <w:abstractNumId w:val="48"/>
  </w:num>
  <w:num w:numId="158" w16cid:durableId="1399939980">
    <w:abstractNumId w:val="75"/>
  </w:num>
  <w:num w:numId="159" w16cid:durableId="1346515567">
    <w:abstractNumId w:val="166"/>
  </w:num>
  <w:num w:numId="160" w16cid:durableId="1522085762">
    <w:abstractNumId w:val="178"/>
  </w:num>
  <w:num w:numId="161" w16cid:durableId="426115322">
    <w:abstractNumId w:val="26"/>
  </w:num>
  <w:num w:numId="162" w16cid:durableId="1745253176">
    <w:abstractNumId w:val="87"/>
  </w:num>
  <w:num w:numId="163" w16cid:durableId="585457180">
    <w:abstractNumId w:val="132"/>
  </w:num>
  <w:num w:numId="164" w16cid:durableId="875582346">
    <w:abstractNumId w:val="105"/>
  </w:num>
  <w:num w:numId="165" w16cid:durableId="1615597186">
    <w:abstractNumId w:val="28"/>
  </w:num>
  <w:num w:numId="166" w16cid:durableId="1536188777">
    <w:abstractNumId w:val="43"/>
  </w:num>
  <w:num w:numId="167" w16cid:durableId="897519738">
    <w:abstractNumId w:val="2"/>
  </w:num>
  <w:num w:numId="168" w16cid:durableId="556821825">
    <w:abstractNumId w:val="203"/>
  </w:num>
  <w:num w:numId="169" w16cid:durableId="1627272219">
    <w:abstractNumId w:val="31"/>
  </w:num>
  <w:num w:numId="170" w16cid:durableId="815799614">
    <w:abstractNumId w:val="198"/>
  </w:num>
  <w:num w:numId="171" w16cid:durableId="462961823">
    <w:abstractNumId w:val="136"/>
  </w:num>
  <w:num w:numId="172" w16cid:durableId="828129614">
    <w:abstractNumId w:val="179"/>
  </w:num>
  <w:num w:numId="173" w16cid:durableId="1782141636">
    <w:abstractNumId w:val="82"/>
  </w:num>
  <w:num w:numId="174" w16cid:durableId="640621151">
    <w:abstractNumId w:val="81"/>
  </w:num>
  <w:num w:numId="175" w16cid:durableId="2122722742">
    <w:abstractNumId w:val="119"/>
  </w:num>
  <w:num w:numId="176" w16cid:durableId="2014607886">
    <w:abstractNumId w:val="16"/>
  </w:num>
  <w:num w:numId="177" w16cid:durableId="2140608810">
    <w:abstractNumId w:val="61"/>
  </w:num>
  <w:num w:numId="178" w16cid:durableId="368728130">
    <w:abstractNumId w:val="139"/>
  </w:num>
  <w:num w:numId="179" w16cid:durableId="1022246993">
    <w:abstractNumId w:val="84"/>
  </w:num>
  <w:num w:numId="180" w16cid:durableId="2046901709">
    <w:abstractNumId w:val="46"/>
  </w:num>
  <w:num w:numId="181" w16cid:durableId="402334897">
    <w:abstractNumId w:val="114"/>
  </w:num>
  <w:num w:numId="182" w16cid:durableId="214515033">
    <w:abstractNumId w:val="167"/>
  </w:num>
  <w:num w:numId="183" w16cid:durableId="1519930490">
    <w:abstractNumId w:val="98"/>
  </w:num>
  <w:num w:numId="184" w16cid:durableId="687366541">
    <w:abstractNumId w:val="3"/>
  </w:num>
  <w:num w:numId="185" w16cid:durableId="1467166151">
    <w:abstractNumId w:val="134"/>
  </w:num>
  <w:num w:numId="186" w16cid:durableId="2002928129">
    <w:abstractNumId w:val="80"/>
  </w:num>
  <w:num w:numId="187" w16cid:durableId="1795639431">
    <w:abstractNumId w:val="111"/>
  </w:num>
  <w:num w:numId="188" w16cid:durableId="744842376">
    <w:abstractNumId w:val="30"/>
  </w:num>
  <w:num w:numId="189" w16cid:durableId="1859152162">
    <w:abstractNumId w:val="143"/>
  </w:num>
  <w:num w:numId="190" w16cid:durableId="1548644255">
    <w:abstractNumId w:val="217"/>
  </w:num>
  <w:num w:numId="191" w16cid:durableId="1515220586">
    <w:abstractNumId w:val="4"/>
  </w:num>
  <w:num w:numId="192" w16cid:durableId="402531066">
    <w:abstractNumId w:val="170"/>
  </w:num>
  <w:num w:numId="193" w16cid:durableId="1024746690">
    <w:abstractNumId w:val="168"/>
  </w:num>
  <w:num w:numId="194" w16cid:durableId="1685277225">
    <w:abstractNumId w:val="47"/>
  </w:num>
  <w:num w:numId="195" w16cid:durableId="1921019812">
    <w:abstractNumId w:val="103"/>
  </w:num>
  <w:num w:numId="196" w16cid:durableId="276104332">
    <w:abstractNumId w:val="194"/>
  </w:num>
  <w:num w:numId="197" w16cid:durableId="939684359">
    <w:abstractNumId w:val="135"/>
  </w:num>
  <w:num w:numId="198" w16cid:durableId="797991164">
    <w:abstractNumId w:val="107"/>
  </w:num>
  <w:num w:numId="199" w16cid:durableId="1938564531">
    <w:abstractNumId w:val="180"/>
  </w:num>
  <w:num w:numId="200" w16cid:durableId="48769475">
    <w:abstractNumId w:val="62"/>
  </w:num>
  <w:num w:numId="201" w16cid:durableId="1917205184">
    <w:abstractNumId w:val="192"/>
  </w:num>
  <w:num w:numId="202" w16cid:durableId="2121991168">
    <w:abstractNumId w:val="187"/>
  </w:num>
  <w:num w:numId="203" w16cid:durableId="885483307">
    <w:abstractNumId w:val="85"/>
  </w:num>
  <w:num w:numId="204" w16cid:durableId="1105072509">
    <w:abstractNumId w:val="6"/>
  </w:num>
  <w:num w:numId="205" w16cid:durableId="175845548">
    <w:abstractNumId w:val="212"/>
  </w:num>
  <w:num w:numId="206" w16cid:durableId="13188800">
    <w:abstractNumId w:val="153"/>
  </w:num>
  <w:num w:numId="207" w16cid:durableId="2126581587">
    <w:abstractNumId w:val="77"/>
  </w:num>
  <w:num w:numId="208" w16cid:durableId="1583954583">
    <w:abstractNumId w:val="129"/>
  </w:num>
  <w:num w:numId="209" w16cid:durableId="46414280">
    <w:abstractNumId w:val="165"/>
  </w:num>
  <w:num w:numId="210" w16cid:durableId="762184624">
    <w:abstractNumId w:val="109"/>
  </w:num>
  <w:num w:numId="211" w16cid:durableId="228349721">
    <w:abstractNumId w:val="51"/>
  </w:num>
  <w:num w:numId="212" w16cid:durableId="1213931899">
    <w:abstractNumId w:val="121"/>
  </w:num>
  <w:num w:numId="213" w16cid:durableId="1819150359">
    <w:abstractNumId w:val="34"/>
  </w:num>
  <w:num w:numId="214" w16cid:durableId="129791376">
    <w:abstractNumId w:val="215"/>
  </w:num>
  <w:num w:numId="215" w16cid:durableId="1249659091">
    <w:abstractNumId w:val="49"/>
  </w:num>
  <w:num w:numId="216" w16cid:durableId="2033915758">
    <w:abstractNumId w:val="147"/>
  </w:num>
  <w:num w:numId="217" w16cid:durableId="1776092165">
    <w:abstractNumId w:val="50"/>
  </w:num>
  <w:num w:numId="218" w16cid:durableId="1333490378">
    <w:abstractNumId w:val="218"/>
  </w:num>
  <w:num w:numId="219" w16cid:durableId="1180774623">
    <w:abstractNumId w:val="39"/>
  </w:num>
  <w:num w:numId="220" w16cid:durableId="1563977919">
    <w:abstractNumId w:val="116"/>
  </w:num>
  <w:num w:numId="221" w16cid:durableId="453255400">
    <w:abstractNumId w:val="169"/>
  </w:num>
  <w:numIdMacAtCleanup w:val="2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046465"/>
    <w:rsid w:val="00046465"/>
    <w:rsid w:val="00053397"/>
    <w:rsid w:val="000D3DC0"/>
    <w:rsid w:val="0016409E"/>
    <w:rsid w:val="00226B1F"/>
    <w:rsid w:val="002F57B9"/>
    <w:rsid w:val="00335083"/>
    <w:rsid w:val="0035680C"/>
    <w:rsid w:val="005112B6"/>
    <w:rsid w:val="006125EB"/>
    <w:rsid w:val="00672078"/>
    <w:rsid w:val="00775A6A"/>
    <w:rsid w:val="008134EB"/>
    <w:rsid w:val="008B344F"/>
    <w:rsid w:val="00956B14"/>
    <w:rsid w:val="009A2326"/>
    <w:rsid w:val="009D5654"/>
    <w:rsid w:val="00A76B23"/>
    <w:rsid w:val="00C30459"/>
    <w:rsid w:val="00C75B49"/>
    <w:rsid w:val="00DF6890"/>
    <w:rsid w:val="00E450EC"/>
    <w:rsid w:val="00FC43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FDAA40"/>
  <w15:docId w15:val="{44D2035A-A47B-4C19-9536-92EFCAE8A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5886"/>
      <w:outlineLvl w:val="0"/>
    </w:pPr>
    <w:rPr>
      <w:sz w:val="60"/>
      <w:szCs w:val="60"/>
    </w:rPr>
  </w:style>
  <w:style w:type="paragraph" w:styleId="Heading2">
    <w:name w:val="heading 2"/>
    <w:basedOn w:val="Normal"/>
    <w:uiPriority w:val="9"/>
    <w:unhideWhenUsed/>
    <w:qFormat/>
    <w:pPr>
      <w:ind w:right="718"/>
      <w:jc w:val="right"/>
      <w:outlineLvl w:val="1"/>
    </w:pPr>
    <w:rPr>
      <w:sz w:val="48"/>
      <w:szCs w:val="48"/>
    </w:rPr>
  </w:style>
  <w:style w:type="paragraph" w:styleId="Heading3">
    <w:name w:val="heading 3"/>
    <w:basedOn w:val="Normal"/>
    <w:uiPriority w:val="9"/>
    <w:unhideWhenUsed/>
    <w:qFormat/>
    <w:pPr>
      <w:spacing w:before="241"/>
      <w:ind w:left="360"/>
      <w:outlineLvl w:val="2"/>
    </w:pPr>
    <w:rPr>
      <w:b/>
      <w:bCs/>
      <w:sz w:val="32"/>
      <w:szCs w:val="32"/>
      <w:u w:val="single" w:color="000000"/>
    </w:rPr>
  </w:style>
  <w:style w:type="paragraph" w:styleId="Heading4">
    <w:name w:val="heading 4"/>
    <w:basedOn w:val="Normal"/>
    <w:uiPriority w:val="9"/>
    <w:unhideWhenUsed/>
    <w:qFormat/>
    <w:pPr>
      <w:spacing w:before="241"/>
      <w:ind w:left="360"/>
      <w:outlineLvl w:val="3"/>
    </w:pPr>
    <w:rPr>
      <w:b/>
      <w:bCs/>
      <w:sz w:val="28"/>
      <w:szCs w:val="28"/>
    </w:rPr>
  </w:style>
  <w:style w:type="paragraph" w:styleId="Heading5">
    <w:name w:val="heading 5"/>
    <w:basedOn w:val="Normal"/>
    <w:uiPriority w:val="9"/>
    <w:unhideWhenUsed/>
    <w:qFormat/>
    <w:pPr>
      <w:spacing w:before="241"/>
      <w:ind w:left="1080"/>
      <w:outlineLvl w:val="4"/>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1066" w:lineRule="exact"/>
      <w:ind w:left="60"/>
    </w:pPr>
    <w:rPr>
      <w:rFonts w:ascii="Candara" w:eastAsia="Candara" w:hAnsi="Candara" w:cs="Candara"/>
      <w:b/>
      <w:bCs/>
      <w:sz w:val="102"/>
      <w:szCs w:val="102"/>
    </w:rPr>
  </w:style>
  <w:style w:type="paragraph" w:styleId="ListParagraph">
    <w:name w:val="List Paragraph"/>
    <w:basedOn w:val="Normal"/>
    <w:uiPriority w:val="1"/>
    <w:qFormat/>
    <w:pPr>
      <w:spacing w:before="120"/>
      <w:ind w:left="2159"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112B6"/>
    <w:pPr>
      <w:tabs>
        <w:tab w:val="center" w:pos="4680"/>
        <w:tab w:val="right" w:pos="9360"/>
      </w:tabs>
    </w:pPr>
  </w:style>
  <w:style w:type="character" w:customStyle="1" w:styleId="HeaderChar">
    <w:name w:val="Header Char"/>
    <w:basedOn w:val="DefaultParagraphFont"/>
    <w:link w:val="Header"/>
    <w:uiPriority w:val="99"/>
    <w:rsid w:val="005112B6"/>
    <w:rPr>
      <w:rFonts w:ascii="Arial" w:eastAsia="Arial" w:hAnsi="Arial" w:cs="Arial"/>
    </w:rPr>
  </w:style>
  <w:style w:type="paragraph" w:styleId="Footer">
    <w:name w:val="footer"/>
    <w:basedOn w:val="Normal"/>
    <w:link w:val="FooterChar"/>
    <w:uiPriority w:val="99"/>
    <w:unhideWhenUsed/>
    <w:rsid w:val="005112B6"/>
    <w:pPr>
      <w:tabs>
        <w:tab w:val="center" w:pos="4680"/>
        <w:tab w:val="right" w:pos="9360"/>
      </w:tabs>
    </w:pPr>
  </w:style>
  <w:style w:type="character" w:customStyle="1" w:styleId="FooterChar">
    <w:name w:val="Footer Char"/>
    <w:basedOn w:val="DefaultParagraphFont"/>
    <w:link w:val="Footer"/>
    <w:uiPriority w:val="99"/>
    <w:rsid w:val="005112B6"/>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footer" Target="footer45.xml"/><Relationship Id="rId21" Type="http://schemas.openxmlformats.org/officeDocument/2006/relationships/footer" Target="footer6.xml"/><Relationship Id="rId63" Type="http://schemas.openxmlformats.org/officeDocument/2006/relationships/hyperlink" Target="https://checkpoint.riag.com/app/find?begParm=y&amp;app.version=14.12&amp;dbName=PROFSTDS&amp;linkType=docloc&amp;locId=ad_610.13&amp;permaId=iPROFSTDS%3A16125.1&amp;tagName=PSSUBSECT&amp;endParm=y" TargetMode="External"/><Relationship Id="rId159" Type="http://schemas.openxmlformats.org/officeDocument/2006/relationships/hyperlink" Target="https://www.opm.gov/retirement-center/publications-forms/benefits-administration-letters/" TargetMode="External"/><Relationship Id="rId170" Type="http://schemas.openxmlformats.org/officeDocument/2006/relationships/hyperlink" Target="https://tfx.treasury.gov/tfm" TargetMode="External"/><Relationship Id="rId226" Type="http://schemas.openxmlformats.org/officeDocument/2006/relationships/header" Target="header90.xml"/><Relationship Id="rId268" Type="http://schemas.openxmlformats.org/officeDocument/2006/relationships/hyperlink" Target="https://www.gao.gov/about/contact-us/stay-connected" TargetMode="External"/><Relationship Id="rId32" Type="http://schemas.openxmlformats.org/officeDocument/2006/relationships/header" Target="header11.xml"/><Relationship Id="rId74" Type="http://schemas.openxmlformats.org/officeDocument/2006/relationships/header" Target="header26.xml"/><Relationship Id="rId128" Type="http://schemas.openxmlformats.org/officeDocument/2006/relationships/hyperlink" Target="https://www.gao.gov/legal/appropriations-law/resources" TargetMode="External"/><Relationship Id="rId5" Type="http://schemas.openxmlformats.org/officeDocument/2006/relationships/footnotes" Target="footnotes.xml"/><Relationship Id="rId181" Type="http://schemas.openxmlformats.org/officeDocument/2006/relationships/header" Target="header75.xml"/><Relationship Id="rId237" Type="http://schemas.openxmlformats.org/officeDocument/2006/relationships/header" Target="header94.xml"/><Relationship Id="rId258" Type="http://schemas.openxmlformats.org/officeDocument/2006/relationships/footer" Target="footer103.xml"/><Relationship Id="rId22" Type="http://schemas.openxmlformats.org/officeDocument/2006/relationships/header" Target="header6.xml"/><Relationship Id="rId43" Type="http://schemas.openxmlformats.org/officeDocument/2006/relationships/footer" Target="footer15.xml"/><Relationship Id="rId64" Type="http://schemas.openxmlformats.org/officeDocument/2006/relationships/hyperlink" Target="https://checkpoint.riag.com/app/find?begParm=y&amp;app.version=14.12&amp;dbName=PROFSTDS&amp;linkType=docloc&amp;locId=ad_610.13&amp;permaId=iPROFSTDS%3A16125.1&amp;tagName=PSSUBSECT&amp;endParm=y" TargetMode="External"/><Relationship Id="rId118" Type="http://schemas.openxmlformats.org/officeDocument/2006/relationships/header" Target="header45.xml"/><Relationship Id="rId139" Type="http://schemas.openxmlformats.org/officeDocument/2006/relationships/header" Target="header55.xml"/><Relationship Id="rId85" Type="http://schemas.openxmlformats.org/officeDocument/2006/relationships/footer" Target="footer31.xml"/><Relationship Id="rId150" Type="http://schemas.openxmlformats.org/officeDocument/2006/relationships/footer" Target="footer61.xml"/><Relationship Id="rId171" Type="http://schemas.openxmlformats.org/officeDocument/2006/relationships/header" Target="header70.xml"/><Relationship Id="rId192" Type="http://schemas.openxmlformats.org/officeDocument/2006/relationships/footer" Target="footer79.xml"/><Relationship Id="rId206" Type="http://schemas.openxmlformats.org/officeDocument/2006/relationships/header" Target="header80.xml"/><Relationship Id="rId227" Type="http://schemas.openxmlformats.org/officeDocument/2006/relationships/footer" Target="footer91.xml"/><Relationship Id="rId248" Type="http://schemas.openxmlformats.org/officeDocument/2006/relationships/footer" Target="footer99.xml"/><Relationship Id="rId269" Type="http://schemas.openxmlformats.org/officeDocument/2006/relationships/hyperlink" Target="https://www.gao.gov/podcast/watchdog.html" TargetMode="External"/><Relationship Id="rId12" Type="http://schemas.openxmlformats.org/officeDocument/2006/relationships/header" Target="header1.xml"/><Relationship Id="rId33" Type="http://schemas.openxmlformats.org/officeDocument/2006/relationships/footer" Target="footer12.xml"/><Relationship Id="rId108" Type="http://schemas.openxmlformats.org/officeDocument/2006/relationships/header" Target="header40.xml"/><Relationship Id="rId129" Type="http://schemas.openxmlformats.org/officeDocument/2006/relationships/header" Target="header50.xml"/><Relationship Id="rId54" Type="http://schemas.openxmlformats.org/officeDocument/2006/relationships/hyperlink" Target="https://www.whitehouse.gov/wp-content/uploads/2024/07/OMB-Bulletin-No.-24-02.pdf" TargetMode="External"/><Relationship Id="rId75" Type="http://schemas.openxmlformats.org/officeDocument/2006/relationships/footer" Target="footer27.xml"/><Relationship Id="rId96" Type="http://schemas.openxmlformats.org/officeDocument/2006/relationships/header" Target="header34.xml"/><Relationship Id="rId140" Type="http://schemas.openxmlformats.org/officeDocument/2006/relationships/footer" Target="footer56.xml"/><Relationship Id="rId161" Type="http://schemas.openxmlformats.org/officeDocument/2006/relationships/footer" Target="footer66.xml"/><Relationship Id="rId182" Type="http://schemas.openxmlformats.org/officeDocument/2006/relationships/footer" Target="footer76.xml"/><Relationship Id="rId217" Type="http://schemas.openxmlformats.org/officeDocument/2006/relationships/footer" Target="footer86.xml"/><Relationship Id="rId6" Type="http://schemas.openxmlformats.org/officeDocument/2006/relationships/endnotes" Target="endnotes.xml"/><Relationship Id="rId238" Type="http://schemas.openxmlformats.org/officeDocument/2006/relationships/footer" Target="footer95.xml"/><Relationship Id="rId259" Type="http://schemas.openxmlformats.org/officeDocument/2006/relationships/header" Target="header103.xml"/><Relationship Id="rId23" Type="http://schemas.openxmlformats.org/officeDocument/2006/relationships/footer" Target="footer7.xml"/><Relationship Id="rId119" Type="http://schemas.openxmlformats.org/officeDocument/2006/relationships/footer" Target="footer46.xml"/><Relationship Id="rId270" Type="http://schemas.openxmlformats.org/officeDocument/2006/relationships/hyperlink" Target="https://www.gao.gov/" TargetMode="External"/><Relationship Id="rId44" Type="http://schemas.openxmlformats.org/officeDocument/2006/relationships/header" Target="header15.xml"/><Relationship Id="rId65" Type="http://schemas.openxmlformats.org/officeDocument/2006/relationships/hyperlink" Target="https://checkpoint.riag.com/app/find?begParm=y&amp;app.version=14.12&amp;dbName=PROFSTDS&amp;linkType=docloc&amp;locId=ad_610.27&amp;permaId=iPROFSTDS%3A16125.1&amp;tagName=PSSUBSECT&amp;endParm=y" TargetMode="External"/><Relationship Id="rId86" Type="http://schemas.openxmlformats.org/officeDocument/2006/relationships/hyperlink" Target="https://tfx.treasury.gov/tfm/volume1/part6/chapter-9500-revised-federal-financial-management-system-requirements-fiscal" TargetMode="External"/><Relationship Id="rId130" Type="http://schemas.openxmlformats.org/officeDocument/2006/relationships/footer" Target="footer51.xml"/><Relationship Id="rId151" Type="http://schemas.openxmlformats.org/officeDocument/2006/relationships/header" Target="header61.xml"/><Relationship Id="rId172" Type="http://schemas.openxmlformats.org/officeDocument/2006/relationships/footer" Target="footer71.xml"/><Relationship Id="rId193" Type="http://schemas.openxmlformats.org/officeDocument/2006/relationships/hyperlink" Target="https://fiscal.treasury.gov/accounting/central-accounting-reporting-system-cars" TargetMode="External"/><Relationship Id="rId207" Type="http://schemas.openxmlformats.org/officeDocument/2006/relationships/footer" Target="footer81.xml"/><Relationship Id="rId228" Type="http://schemas.openxmlformats.org/officeDocument/2006/relationships/header" Target="header91.xml"/><Relationship Id="rId249" Type="http://schemas.openxmlformats.org/officeDocument/2006/relationships/header" Target="header99.xml"/><Relationship Id="rId13" Type="http://schemas.openxmlformats.org/officeDocument/2006/relationships/footer" Target="footer2.xml"/><Relationship Id="rId109" Type="http://schemas.openxmlformats.org/officeDocument/2006/relationships/footer" Target="footer41.xml"/><Relationship Id="rId260" Type="http://schemas.openxmlformats.org/officeDocument/2006/relationships/footer" Target="footer104.xml"/><Relationship Id="rId34" Type="http://schemas.openxmlformats.org/officeDocument/2006/relationships/hyperlink" Target="https://pcaobus.org/" TargetMode="External"/><Relationship Id="rId55" Type="http://schemas.openxmlformats.org/officeDocument/2006/relationships/header" Target="header19.xml"/><Relationship Id="rId76" Type="http://schemas.openxmlformats.org/officeDocument/2006/relationships/header" Target="header27.xml"/><Relationship Id="rId97" Type="http://schemas.openxmlformats.org/officeDocument/2006/relationships/footer" Target="footer35.xml"/><Relationship Id="rId120" Type="http://schemas.openxmlformats.org/officeDocument/2006/relationships/header" Target="header46.xml"/><Relationship Id="rId141" Type="http://schemas.openxmlformats.org/officeDocument/2006/relationships/header" Target="header56.xml"/><Relationship Id="rId7" Type="http://schemas.openxmlformats.org/officeDocument/2006/relationships/image" Target="media/image1.png"/><Relationship Id="rId162" Type="http://schemas.openxmlformats.org/officeDocument/2006/relationships/header" Target="header66.xml"/><Relationship Id="rId183" Type="http://schemas.openxmlformats.org/officeDocument/2006/relationships/header" Target="header76.xml"/><Relationship Id="rId218" Type="http://schemas.openxmlformats.org/officeDocument/2006/relationships/header" Target="header86.xml"/><Relationship Id="rId239" Type="http://schemas.openxmlformats.org/officeDocument/2006/relationships/header" Target="header95.xml"/><Relationship Id="rId250" Type="http://schemas.openxmlformats.org/officeDocument/2006/relationships/footer" Target="footer100.xml"/><Relationship Id="rId271" Type="http://schemas.openxmlformats.org/officeDocument/2006/relationships/hyperlink" Target="https://www.gao.gov/about/what-gao-does/fraudnet" TargetMode="External"/><Relationship Id="rId24" Type="http://schemas.openxmlformats.org/officeDocument/2006/relationships/header" Target="header7.xml"/><Relationship Id="rId45" Type="http://schemas.openxmlformats.org/officeDocument/2006/relationships/footer" Target="footer16.xml"/><Relationship Id="rId66" Type="http://schemas.openxmlformats.org/officeDocument/2006/relationships/hyperlink" Target="https://www.whitehouse.gov/wp-content/uploads/2024/07/OMB-Bulletin-No.-24-02.pdf" TargetMode="External"/><Relationship Id="rId87" Type="http://schemas.openxmlformats.org/officeDocument/2006/relationships/hyperlink" Target="https://tfx.treasury.gov/tfm/volume1/part6/chapter-9500-revised-federal-financial-management-system-requirements-fiscal" TargetMode="External"/><Relationship Id="rId110" Type="http://schemas.openxmlformats.org/officeDocument/2006/relationships/header" Target="header41.xml"/><Relationship Id="rId131" Type="http://schemas.openxmlformats.org/officeDocument/2006/relationships/header" Target="header51.xml"/><Relationship Id="rId152" Type="http://schemas.openxmlformats.org/officeDocument/2006/relationships/footer" Target="footer62.xml"/><Relationship Id="rId173" Type="http://schemas.openxmlformats.org/officeDocument/2006/relationships/header" Target="header71.xml"/><Relationship Id="rId194" Type="http://schemas.openxmlformats.org/officeDocument/2006/relationships/hyperlink" Target="https://fiscal.treasury.gov/accounting/central-accounting-reporting-system-cars" TargetMode="External"/><Relationship Id="rId208" Type="http://schemas.openxmlformats.org/officeDocument/2006/relationships/header" Target="header81.xml"/><Relationship Id="rId229" Type="http://schemas.openxmlformats.org/officeDocument/2006/relationships/footer" Target="footer92.xml"/><Relationship Id="rId240" Type="http://schemas.openxmlformats.org/officeDocument/2006/relationships/footer" Target="footer96.xml"/><Relationship Id="rId261" Type="http://schemas.openxmlformats.org/officeDocument/2006/relationships/hyperlink" Target="https://www.gao.gov/" TargetMode="External"/><Relationship Id="rId14" Type="http://schemas.openxmlformats.org/officeDocument/2006/relationships/header" Target="header2.xml"/><Relationship Id="rId35" Type="http://schemas.openxmlformats.org/officeDocument/2006/relationships/header" Target="header12.xml"/><Relationship Id="rId56" Type="http://schemas.openxmlformats.org/officeDocument/2006/relationships/footer" Target="footer20.xml"/><Relationship Id="rId77" Type="http://schemas.openxmlformats.org/officeDocument/2006/relationships/footer" Target="footer28.xml"/><Relationship Id="rId100" Type="http://schemas.openxmlformats.org/officeDocument/2006/relationships/header" Target="header36.xml"/><Relationship Id="rId8" Type="http://schemas.openxmlformats.org/officeDocument/2006/relationships/image" Target="media/image2.png"/><Relationship Id="rId98" Type="http://schemas.openxmlformats.org/officeDocument/2006/relationships/header" Target="header35.xml"/><Relationship Id="rId121" Type="http://schemas.openxmlformats.org/officeDocument/2006/relationships/footer" Target="footer47.xml"/><Relationship Id="rId142" Type="http://schemas.openxmlformats.org/officeDocument/2006/relationships/footer" Target="footer57.xml"/><Relationship Id="rId163" Type="http://schemas.openxmlformats.org/officeDocument/2006/relationships/footer" Target="footer67.xml"/><Relationship Id="rId184" Type="http://schemas.openxmlformats.org/officeDocument/2006/relationships/footer" Target="footer77.xml"/><Relationship Id="rId219" Type="http://schemas.openxmlformats.org/officeDocument/2006/relationships/footer" Target="footer87.xml"/><Relationship Id="rId230" Type="http://schemas.openxmlformats.org/officeDocument/2006/relationships/hyperlink" Target="https://www.gao.gov/greenbook" TargetMode="External"/><Relationship Id="rId251" Type="http://schemas.openxmlformats.org/officeDocument/2006/relationships/header" Target="header100.xml"/><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hyperlink" Target="https://www.whitehouse.gov/wp-content/uploads/2024/07/OMB-Bulletin-No.-24-02.pdf" TargetMode="External"/><Relationship Id="rId272" Type="http://schemas.openxmlformats.org/officeDocument/2006/relationships/hyperlink" Target="mailto:Media@gao.gov" TargetMode="External"/><Relationship Id="rId88" Type="http://schemas.openxmlformats.org/officeDocument/2006/relationships/hyperlink" Target="https://fasab.gov/" TargetMode="External"/><Relationship Id="rId111" Type="http://schemas.openxmlformats.org/officeDocument/2006/relationships/footer" Target="footer42.xml"/><Relationship Id="rId132" Type="http://schemas.openxmlformats.org/officeDocument/2006/relationships/footer" Target="footer52.xml"/><Relationship Id="rId153" Type="http://schemas.openxmlformats.org/officeDocument/2006/relationships/header" Target="header62.xml"/><Relationship Id="rId174" Type="http://schemas.openxmlformats.org/officeDocument/2006/relationships/footer" Target="footer72.xml"/><Relationship Id="rId195" Type="http://schemas.openxmlformats.org/officeDocument/2006/relationships/hyperlink" Target="https://fiscal.treasury.gov/accounting/central-accounting-reporting-system-cars/fund-balance-with-treasury" TargetMode="External"/><Relationship Id="rId209" Type="http://schemas.openxmlformats.org/officeDocument/2006/relationships/footer" Target="footer82.xml"/><Relationship Id="rId220" Type="http://schemas.openxmlformats.org/officeDocument/2006/relationships/header" Target="header87.xml"/><Relationship Id="rId241" Type="http://schemas.openxmlformats.org/officeDocument/2006/relationships/hyperlink" Target="https://www.justice.gov/civil/documents-and-forms" TargetMode="External"/><Relationship Id="rId15" Type="http://schemas.openxmlformats.org/officeDocument/2006/relationships/footer" Target="footer3.xml"/><Relationship Id="rId36" Type="http://schemas.openxmlformats.org/officeDocument/2006/relationships/footer" Target="footer13.xml"/><Relationship Id="rId57" Type="http://schemas.openxmlformats.org/officeDocument/2006/relationships/header" Target="header20.xml"/><Relationship Id="rId262" Type="http://schemas.openxmlformats.org/officeDocument/2006/relationships/hyperlink" Target="https://www.gao.gov/subscribe/index.php" TargetMode="External"/><Relationship Id="rId78" Type="http://schemas.openxmlformats.org/officeDocument/2006/relationships/header" Target="header28.xml"/><Relationship Id="rId99" Type="http://schemas.openxmlformats.org/officeDocument/2006/relationships/footer" Target="footer36.xml"/><Relationship Id="rId101" Type="http://schemas.openxmlformats.org/officeDocument/2006/relationships/footer" Target="footer37.xml"/><Relationship Id="rId122" Type="http://schemas.openxmlformats.org/officeDocument/2006/relationships/header" Target="header47.xml"/><Relationship Id="rId143" Type="http://schemas.openxmlformats.org/officeDocument/2006/relationships/header" Target="header57.xml"/><Relationship Id="rId164" Type="http://schemas.openxmlformats.org/officeDocument/2006/relationships/header" Target="header67.xml"/><Relationship Id="rId185" Type="http://schemas.openxmlformats.org/officeDocument/2006/relationships/hyperlink" Target="https://fiscal.treasury.gov/accounting/central-accounting-reporting-system-cars/faqs" TargetMode="External"/><Relationship Id="rId9" Type="http://schemas.openxmlformats.org/officeDocument/2006/relationships/image" Target="media/image3.png"/><Relationship Id="rId210" Type="http://schemas.openxmlformats.org/officeDocument/2006/relationships/header" Target="header82.xml"/><Relationship Id="rId26" Type="http://schemas.openxmlformats.org/officeDocument/2006/relationships/header" Target="header8.xml"/><Relationship Id="rId231" Type="http://schemas.openxmlformats.org/officeDocument/2006/relationships/header" Target="header92.xml"/><Relationship Id="rId252" Type="http://schemas.openxmlformats.org/officeDocument/2006/relationships/footer" Target="footer101.xml"/><Relationship Id="rId273" Type="http://schemas.openxmlformats.org/officeDocument/2006/relationships/hyperlink" Target="mailto:CongRel@gao.gov" TargetMode="External"/><Relationship Id="rId47" Type="http://schemas.openxmlformats.org/officeDocument/2006/relationships/footer" Target="footer17.xml"/><Relationship Id="rId68" Type="http://schemas.openxmlformats.org/officeDocument/2006/relationships/header" Target="header23.xml"/><Relationship Id="rId89" Type="http://schemas.openxmlformats.org/officeDocument/2006/relationships/header" Target="header31.xml"/><Relationship Id="rId112" Type="http://schemas.openxmlformats.org/officeDocument/2006/relationships/header" Target="header42.xml"/><Relationship Id="rId133" Type="http://schemas.openxmlformats.org/officeDocument/2006/relationships/header" Target="header52.xml"/><Relationship Id="rId154" Type="http://schemas.openxmlformats.org/officeDocument/2006/relationships/footer" Target="footer63.xml"/><Relationship Id="rId175" Type="http://schemas.openxmlformats.org/officeDocument/2006/relationships/header" Target="header72.xml"/><Relationship Id="rId196" Type="http://schemas.openxmlformats.org/officeDocument/2006/relationships/hyperlink" Target="https://fiscal.treasury.gov/accounting/central-accounting-reporting-system-cars/fund-balance-with-treasury" TargetMode="External"/><Relationship Id="rId200" Type="http://schemas.openxmlformats.org/officeDocument/2006/relationships/hyperlink" Target="https://tfx.treasury.gov/tfm/volume1/part2/chapter-5100-fund-balance-treasury-accounts" TargetMode="External"/><Relationship Id="rId16" Type="http://schemas.openxmlformats.org/officeDocument/2006/relationships/header" Target="header3.xml"/><Relationship Id="rId221" Type="http://schemas.openxmlformats.org/officeDocument/2006/relationships/footer" Target="footer88.xml"/><Relationship Id="rId242" Type="http://schemas.openxmlformats.org/officeDocument/2006/relationships/hyperlink" Target="https://www.justice.gov/civil/documents-and-forms" TargetMode="External"/><Relationship Id="rId263" Type="http://schemas.openxmlformats.org/officeDocument/2006/relationships/hyperlink" Target="https://www.gao.gov/ordering.htm" TargetMode="External"/><Relationship Id="rId37" Type="http://schemas.openxmlformats.org/officeDocument/2006/relationships/header" Target="header13.xml"/><Relationship Id="rId58" Type="http://schemas.openxmlformats.org/officeDocument/2006/relationships/footer" Target="footer21.xml"/><Relationship Id="rId79" Type="http://schemas.openxmlformats.org/officeDocument/2006/relationships/footer" Target="footer29.xml"/><Relationship Id="rId102" Type="http://schemas.openxmlformats.org/officeDocument/2006/relationships/header" Target="header37.xml"/><Relationship Id="rId123" Type="http://schemas.openxmlformats.org/officeDocument/2006/relationships/footer" Target="footer48.xml"/><Relationship Id="rId144" Type="http://schemas.openxmlformats.org/officeDocument/2006/relationships/footer" Target="footer58.xml"/><Relationship Id="rId90" Type="http://schemas.openxmlformats.org/officeDocument/2006/relationships/footer" Target="footer32.xml"/><Relationship Id="rId165" Type="http://schemas.openxmlformats.org/officeDocument/2006/relationships/footer" Target="footer68.xml"/><Relationship Id="rId186" Type="http://schemas.openxmlformats.org/officeDocument/2006/relationships/hyperlink" Target="https://fiscal.treasury.gov/accounting/central-accounting-reporting-system-cars/faqs" TargetMode="External"/><Relationship Id="rId211" Type="http://schemas.openxmlformats.org/officeDocument/2006/relationships/footer" Target="footer83.xml"/><Relationship Id="rId232" Type="http://schemas.openxmlformats.org/officeDocument/2006/relationships/footer" Target="footer93.xml"/><Relationship Id="rId253" Type="http://schemas.openxmlformats.org/officeDocument/2006/relationships/hyperlink" Target="https://www.gao.gov/financial-audit-manual" TargetMode="External"/><Relationship Id="rId274" Type="http://schemas.openxmlformats.org/officeDocument/2006/relationships/hyperlink" Target="https://www.gao.gov/about/contact-us" TargetMode="External"/><Relationship Id="rId27" Type="http://schemas.openxmlformats.org/officeDocument/2006/relationships/footer" Target="footer9.xml"/><Relationship Id="rId48" Type="http://schemas.openxmlformats.org/officeDocument/2006/relationships/header" Target="header17.xml"/><Relationship Id="rId69" Type="http://schemas.openxmlformats.org/officeDocument/2006/relationships/footer" Target="footer24.xml"/><Relationship Id="rId113" Type="http://schemas.openxmlformats.org/officeDocument/2006/relationships/footer" Target="footer43.xml"/><Relationship Id="rId134" Type="http://schemas.openxmlformats.org/officeDocument/2006/relationships/footer" Target="footer53.xml"/><Relationship Id="rId80" Type="http://schemas.openxmlformats.org/officeDocument/2006/relationships/header" Target="header29.xml"/><Relationship Id="rId155" Type="http://schemas.openxmlformats.org/officeDocument/2006/relationships/header" Target="header63.xml"/><Relationship Id="rId176" Type="http://schemas.openxmlformats.org/officeDocument/2006/relationships/footer" Target="footer73.xml"/><Relationship Id="rId197" Type="http://schemas.openxmlformats.org/officeDocument/2006/relationships/hyperlink" Target="https://fiscal.treasury.gov/accounting/central-accounting-reporting-system-cars/types-of-reconciliations-agencies" TargetMode="External"/><Relationship Id="rId201" Type="http://schemas.openxmlformats.org/officeDocument/2006/relationships/hyperlink" Target="https://tfx.treasury.gov/reference-books/fast-book" TargetMode="External"/><Relationship Id="rId222" Type="http://schemas.openxmlformats.org/officeDocument/2006/relationships/header" Target="header88.xml"/><Relationship Id="rId243" Type="http://schemas.openxmlformats.org/officeDocument/2006/relationships/header" Target="header96.xml"/><Relationship Id="rId264" Type="http://schemas.openxmlformats.org/officeDocument/2006/relationships/hyperlink" Target="https://x.com/usgao" TargetMode="External"/><Relationship Id="rId17" Type="http://schemas.openxmlformats.org/officeDocument/2006/relationships/footer" Target="footer4.xml"/><Relationship Id="rId38" Type="http://schemas.openxmlformats.org/officeDocument/2006/relationships/footer" Target="footer14.xml"/><Relationship Id="rId59" Type="http://schemas.openxmlformats.org/officeDocument/2006/relationships/header" Target="header21.xml"/><Relationship Id="rId103" Type="http://schemas.openxmlformats.org/officeDocument/2006/relationships/footer" Target="footer38.xml"/><Relationship Id="rId124" Type="http://schemas.openxmlformats.org/officeDocument/2006/relationships/header" Target="header48.xml"/><Relationship Id="rId70" Type="http://schemas.openxmlformats.org/officeDocument/2006/relationships/header" Target="header24.xml"/><Relationship Id="rId91" Type="http://schemas.openxmlformats.org/officeDocument/2006/relationships/hyperlink" Target="https://tfx.treasury.gov/tfm/supplements/ussgl" TargetMode="External"/><Relationship Id="rId145" Type="http://schemas.openxmlformats.org/officeDocument/2006/relationships/header" Target="header58.xml"/><Relationship Id="rId166" Type="http://schemas.openxmlformats.org/officeDocument/2006/relationships/header" Target="header68.xml"/><Relationship Id="rId187" Type="http://schemas.openxmlformats.org/officeDocument/2006/relationships/header" Target="header77.xml"/><Relationship Id="rId1" Type="http://schemas.openxmlformats.org/officeDocument/2006/relationships/numbering" Target="numbering.xml"/><Relationship Id="rId212" Type="http://schemas.openxmlformats.org/officeDocument/2006/relationships/header" Target="header83.xml"/><Relationship Id="rId233" Type="http://schemas.openxmlformats.org/officeDocument/2006/relationships/header" Target="header93.xml"/><Relationship Id="rId254" Type="http://schemas.openxmlformats.org/officeDocument/2006/relationships/hyperlink" Target="https://www.gao.gov/financial-audit-manual" TargetMode="External"/><Relationship Id="rId28" Type="http://schemas.openxmlformats.org/officeDocument/2006/relationships/header" Target="header9.xml"/><Relationship Id="rId49" Type="http://schemas.openxmlformats.org/officeDocument/2006/relationships/footer" Target="footer18.xml"/><Relationship Id="rId114" Type="http://schemas.openxmlformats.org/officeDocument/2006/relationships/header" Target="header43.xml"/><Relationship Id="rId275" Type="http://schemas.openxmlformats.org/officeDocument/2006/relationships/image" Target="media/image5.png"/><Relationship Id="rId60" Type="http://schemas.openxmlformats.org/officeDocument/2006/relationships/footer" Target="footer22.xml"/><Relationship Id="rId81" Type="http://schemas.openxmlformats.org/officeDocument/2006/relationships/footer" Target="footer30.xml"/><Relationship Id="rId135" Type="http://schemas.openxmlformats.org/officeDocument/2006/relationships/header" Target="header53.xml"/><Relationship Id="rId156" Type="http://schemas.openxmlformats.org/officeDocument/2006/relationships/footer" Target="footer64.xml"/><Relationship Id="rId177" Type="http://schemas.openxmlformats.org/officeDocument/2006/relationships/header" Target="header73.xml"/><Relationship Id="rId198" Type="http://schemas.openxmlformats.org/officeDocument/2006/relationships/hyperlink" Target="https://fiscal.treasury.gov/accounting/central-accounting-reporting-system-cars/types-of-reconciliations-agencies" TargetMode="External"/><Relationship Id="rId202" Type="http://schemas.openxmlformats.org/officeDocument/2006/relationships/hyperlink" Target="https://fiscal.treasury.gov/accounting/central-accounting-reporting-system-cars/faqs" TargetMode="External"/><Relationship Id="rId223" Type="http://schemas.openxmlformats.org/officeDocument/2006/relationships/footer" Target="footer89.xml"/><Relationship Id="rId244" Type="http://schemas.openxmlformats.org/officeDocument/2006/relationships/footer" Target="footer97.xml"/><Relationship Id="rId18" Type="http://schemas.openxmlformats.org/officeDocument/2006/relationships/header" Target="header4.xml"/><Relationship Id="rId39" Type="http://schemas.openxmlformats.org/officeDocument/2006/relationships/hyperlink" Target="https://checkpoint.riag.com/app/find?begParm=y&amp;app.version=14.12&amp;dbName=PROFSTDS&amp;linkType=docloc&amp;locId=ad_220&amp;permaId=iPROFSTDS%3A16091.1&amp;tagName=PSSECTION&amp;endParm=y" TargetMode="External"/><Relationship Id="rId265" Type="http://schemas.openxmlformats.org/officeDocument/2006/relationships/hyperlink" Target="https://www.linkedin.com/company/us-government" TargetMode="External"/><Relationship Id="rId50" Type="http://schemas.openxmlformats.org/officeDocument/2006/relationships/hyperlink" Target="https://checkpoint.riag.com/app/find?begParm=y&amp;app.version=14.09&amp;dbName=PROFSTDS&amp;linkType=docloc&amp;locId=ad_600.20&amp;permaId=iPROFSTDS%3A16124.1&amp;tagName=PSSUBSECT&amp;endParm=y" TargetMode="External"/><Relationship Id="rId104" Type="http://schemas.openxmlformats.org/officeDocument/2006/relationships/header" Target="header38.xml"/><Relationship Id="rId125" Type="http://schemas.openxmlformats.org/officeDocument/2006/relationships/footer" Target="footer49.xml"/><Relationship Id="rId146" Type="http://schemas.openxmlformats.org/officeDocument/2006/relationships/footer" Target="footer59.xml"/><Relationship Id="rId167" Type="http://schemas.openxmlformats.org/officeDocument/2006/relationships/footer" Target="footer69.xml"/><Relationship Id="rId188" Type="http://schemas.openxmlformats.org/officeDocument/2006/relationships/footer" Target="footer78.xml"/><Relationship Id="rId71" Type="http://schemas.openxmlformats.org/officeDocument/2006/relationships/footer" Target="footer25.xml"/><Relationship Id="rId92" Type="http://schemas.openxmlformats.org/officeDocument/2006/relationships/header" Target="header32.xml"/><Relationship Id="rId213" Type="http://schemas.openxmlformats.org/officeDocument/2006/relationships/footer" Target="footer84.xml"/><Relationship Id="rId234" Type="http://schemas.openxmlformats.org/officeDocument/2006/relationships/footer" Target="footer94.xml"/><Relationship Id="rId2" Type="http://schemas.openxmlformats.org/officeDocument/2006/relationships/styles" Target="styles.xml"/><Relationship Id="rId29" Type="http://schemas.openxmlformats.org/officeDocument/2006/relationships/footer" Target="footer10.xml"/><Relationship Id="rId255" Type="http://schemas.openxmlformats.org/officeDocument/2006/relationships/header" Target="header101.xml"/><Relationship Id="rId276" Type="http://schemas.openxmlformats.org/officeDocument/2006/relationships/fontTable" Target="fontTable.xml"/><Relationship Id="rId40" Type="http://schemas.openxmlformats.org/officeDocument/2006/relationships/hyperlink" Target="https://checkpoint.riag.com/app/find?begParm=y&amp;app.version=14.12&amp;dbName=PROFSTDS&amp;linkType=docloc&amp;locId=ad_620.08&amp;permaId=iPROFSTDS%3A16126.1&amp;tagName=PSSUBSECT&amp;endParm=y" TargetMode="External"/><Relationship Id="rId115" Type="http://schemas.openxmlformats.org/officeDocument/2006/relationships/footer" Target="footer44.xml"/><Relationship Id="rId136" Type="http://schemas.openxmlformats.org/officeDocument/2006/relationships/footer" Target="footer54.xml"/><Relationship Id="rId157" Type="http://schemas.openxmlformats.org/officeDocument/2006/relationships/header" Target="header64.xml"/><Relationship Id="rId178" Type="http://schemas.openxmlformats.org/officeDocument/2006/relationships/footer" Target="footer74.xml"/><Relationship Id="rId61" Type="http://schemas.openxmlformats.org/officeDocument/2006/relationships/header" Target="header22.xml"/><Relationship Id="rId82" Type="http://schemas.openxmlformats.org/officeDocument/2006/relationships/hyperlink" Target="https://www.whitehouse.gov/wp-content/uploads/2024/07/OMB-Bulletin-No.-24-02.pdf" TargetMode="External"/><Relationship Id="rId199" Type="http://schemas.openxmlformats.org/officeDocument/2006/relationships/hyperlink" Target="https://tfx.treasury.gov/tfm/volume1/part2/chapter-5100-fund-balance-treasury-accounts" TargetMode="External"/><Relationship Id="rId203" Type="http://schemas.openxmlformats.org/officeDocument/2006/relationships/hyperlink" Target="https://fiscal.treasury.gov/accounting/central-accounting-reporting-system-cars/faqs" TargetMode="External"/><Relationship Id="rId19" Type="http://schemas.openxmlformats.org/officeDocument/2006/relationships/footer" Target="footer5.xml"/><Relationship Id="rId224" Type="http://schemas.openxmlformats.org/officeDocument/2006/relationships/header" Target="header89.xml"/><Relationship Id="rId245" Type="http://schemas.openxmlformats.org/officeDocument/2006/relationships/header" Target="header97.xml"/><Relationship Id="rId266" Type="http://schemas.openxmlformats.org/officeDocument/2006/relationships/hyperlink" Target="https://www.instagram.com/usgao/" TargetMode="External"/><Relationship Id="rId30" Type="http://schemas.openxmlformats.org/officeDocument/2006/relationships/header" Target="header10.xml"/><Relationship Id="rId105" Type="http://schemas.openxmlformats.org/officeDocument/2006/relationships/footer" Target="footer39.xml"/><Relationship Id="rId126" Type="http://schemas.openxmlformats.org/officeDocument/2006/relationships/header" Target="header49.xml"/><Relationship Id="rId147" Type="http://schemas.openxmlformats.org/officeDocument/2006/relationships/header" Target="header59.xml"/><Relationship Id="rId168" Type="http://schemas.openxmlformats.org/officeDocument/2006/relationships/header" Target="header69.xml"/><Relationship Id="rId51" Type="http://schemas.openxmlformats.org/officeDocument/2006/relationships/hyperlink" Target="https://checkpoint.riag.com/app/find?begParm=y&amp;app.version=14.09&amp;dbName=PROFSTDS&amp;linkType=docloc&amp;locId=ad_600.20&amp;permaId=iPROFSTDS%3A16124.1&amp;tagName=PSSUBSECT&amp;endParm=y" TargetMode="External"/><Relationship Id="rId72" Type="http://schemas.openxmlformats.org/officeDocument/2006/relationships/header" Target="header25.xml"/><Relationship Id="rId93" Type="http://schemas.openxmlformats.org/officeDocument/2006/relationships/footer" Target="footer33.xml"/><Relationship Id="rId189" Type="http://schemas.openxmlformats.org/officeDocument/2006/relationships/hyperlink" Target="https://fiscal.treasury.gov/accounting/central-accounting-reporting-system-cars/faqs" TargetMode="External"/><Relationship Id="rId3" Type="http://schemas.openxmlformats.org/officeDocument/2006/relationships/settings" Target="settings.xml"/><Relationship Id="rId214" Type="http://schemas.openxmlformats.org/officeDocument/2006/relationships/header" Target="header84.xml"/><Relationship Id="rId235" Type="http://schemas.openxmlformats.org/officeDocument/2006/relationships/hyperlink" Target="https://www.justice.gov/civil/documents-and-forms" TargetMode="External"/><Relationship Id="rId256" Type="http://schemas.openxmlformats.org/officeDocument/2006/relationships/footer" Target="footer102.xml"/><Relationship Id="rId277" Type="http://schemas.openxmlformats.org/officeDocument/2006/relationships/theme" Target="theme/theme1.xml"/><Relationship Id="rId116" Type="http://schemas.openxmlformats.org/officeDocument/2006/relationships/header" Target="header44.xml"/><Relationship Id="rId137" Type="http://schemas.openxmlformats.org/officeDocument/2006/relationships/header" Target="header54.xml"/><Relationship Id="rId158" Type="http://schemas.openxmlformats.org/officeDocument/2006/relationships/footer" Target="footer65.xml"/><Relationship Id="rId20" Type="http://schemas.openxmlformats.org/officeDocument/2006/relationships/header" Target="header5.xml"/><Relationship Id="rId41" Type="http://schemas.openxmlformats.org/officeDocument/2006/relationships/hyperlink" Target="https://checkpoint.riag.com/app/find?begParm=y&amp;app.version=15.03&amp;dbName=PROFSTDS&amp;linkType=docloc&amp;locId=ad_500.08&amp;permaId=iPROFSTDS%3A16109.1&amp;tagName=PSSUBSECT&amp;endParm=y" TargetMode="External"/><Relationship Id="rId62" Type="http://schemas.openxmlformats.org/officeDocument/2006/relationships/footer" Target="footer23.xml"/><Relationship Id="rId83" Type="http://schemas.openxmlformats.org/officeDocument/2006/relationships/hyperlink" Target="https://www.whitehouse.gov/wp-content/uploads/2024/07/OMB-Bulletin-No.-24-02.pdf" TargetMode="External"/><Relationship Id="rId179" Type="http://schemas.openxmlformats.org/officeDocument/2006/relationships/header" Target="header74.xml"/><Relationship Id="rId190" Type="http://schemas.openxmlformats.org/officeDocument/2006/relationships/hyperlink" Target="https://fiscal.treasury.gov/accounting/central-accounting-reporting-system-cars/faqs" TargetMode="External"/><Relationship Id="rId204" Type="http://schemas.openxmlformats.org/officeDocument/2006/relationships/header" Target="header79.xml"/><Relationship Id="rId225" Type="http://schemas.openxmlformats.org/officeDocument/2006/relationships/footer" Target="footer90.xml"/><Relationship Id="rId246" Type="http://schemas.openxmlformats.org/officeDocument/2006/relationships/footer" Target="footer98.xml"/><Relationship Id="rId267" Type="http://schemas.openxmlformats.org/officeDocument/2006/relationships/hyperlink" Target="https://youtube.com/usgao" TargetMode="External"/><Relationship Id="rId106" Type="http://schemas.openxmlformats.org/officeDocument/2006/relationships/header" Target="header39.xml"/><Relationship Id="rId127" Type="http://schemas.openxmlformats.org/officeDocument/2006/relationships/footer" Target="footer50.xml"/><Relationship Id="rId10" Type="http://schemas.openxmlformats.org/officeDocument/2006/relationships/image" Target="media/image4.png"/><Relationship Id="rId31" Type="http://schemas.openxmlformats.org/officeDocument/2006/relationships/footer" Target="footer11.xml"/><Relationship Id="rId52" Type="http://schemas.openxmlformats.org/officeDocument/2006/relationships/header" Target="header18.xml"/><Relationship Id="rId73" Type="http://schemas.openxmlformats.org/officeDocument/2006/relationships/footer" Target="footer26.xml"/><Relationship Id="rId94" Type="http://schemas.openxmlformats.org/officeDocument/2006/relationships/header" Target="header33.xml"/><Relationship Id="rId148" Type="http://schemas.openxmlformats.org/officeDocument/2006/relationships/footer" Target="footer60.xml"/><Relationship Id="rId169" Type="http://schemas.openxmlformats.org/officeDocument/2006/relationships/footer" Target="footer70.xml"/><Relationship Id="rId4" Type="http://schemas.openxmlformats.org/officeDocument/2006/relationships/webSettings" Target="webSettings.xml"/><Relationship Id="rId180" Type="http://schemas.openxmlformats.org/officeDocument/2006/relationships/footer" Target="footer75.xml"/><Relationship Id="rId215" Type="http://schemas.openxmlformats.org/officeDocument/2006/relationships/footer" Target="footer85.xml"/><Relationship Id="rId236" Type="http://schemas.openxmlformats.org/officeDocument/2006/relationships/hyperlink" Target="https://tfx.treasury.gov/tfm/bulletins" TargetMode="External"/><Relationship Id="rId257" Type="http://schemas.openxmlformats.org/officeDocument/2006/relationships/header" Target="header102.xml"/><Relationship Id="rId42" Type="http://schemas.openxmlformats.org/officeDocument/2006/relationships/header" Target="header14.xml"/><Relationship Id="rId84" Type="http://schemas.openxmlformats.org/officeDocument/2006/relationships/header" Target="header30.xml"/><Relationship Id="rId138" Type="http://schemas.openxmlformats.org/officeDocument/2006/relationships/footer" Target="footer55.xml"/><Relationship Id="rId191" Type="http://schemas.openxmlformats.org/officeDocument/2006/relationships/header" Target="header78.xml"/><Relationship Id="rId205" Type="http://schemas.openxmlformats.org/officeDocument/2006/relationships/footer" Target="footer80.xml"/><Relationship Id="rId247" Type="http://schemas.openxmlformats.org/officeDocument/2006/relationships/header" Target="header98.xml"/><Relationship Id="rId107" Type="http://schemas.openxmlformats.org/officeDocument/2006/relationships/footer" Target="footer40.xml"/><Relationship Id="rId11" Type="http://schemas.openxmlformats.org/officeDocument/2006/relationships/footer" Target="footer1.xml"/><Relationship Id="rId53" Type="http://schemas.openxmlformats.org/officeDocument/2006/relationships/footer" Target="footer19.xml"/><Relationship Id="rId149" Type="http://schemas.openxmlformats.org/officeDocument/2006/relationships/header" Target="header60.xml"/><Relationship Id="rId95" Type="http://schemas.openxmlformats.org/officeDocument/2006/relationships/footer" Target="footer34.xml"/><Relationship Id="rId160" Type="http://schemas.openxmlformats.org/officeDocument/2006/relationships/header" Target="header65.xml"/><Relationship Id="rId216" Type="http://schemas.openxmlformats.org/officeDocument/2006/relationships/header" Target="header8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382</Pages>
  <Words>128753</Words>
  <Characters>733896</Characters>
  <Application>Microsoft Office Word</Application>
  <DocSecurity>0</DocSecurity>
  <Lines>6115</Lines>
  <Paragraphs>1721</Paragraphs>
  <ScaleCrop>false</ScaleCrop>
  <Company>GAO</Company>
  <LinksUpToDate>false</LinksUpToDate>
  <CharactersWithSpaces>860928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 Government Accountability Office</dc:creator>
  <cp:lastModifiedBy>To, Lien T</cp:lastModifiedBy>
  <cp:revision>18</cp:revision>
  <dcterms:created xsi:type="dcterms:W3CDTF">2026-06-16T21:00:00Z</dcterms:created>
  <dcterms:modified xsi:type="dcterms:W3CDTF">2026-06-16T22:08:00Z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2026-06-10T00:00:00Z</vt:filetime>
  </property>
  <property fmtid="{D5CDD505-2E9C-101B-9397-08002B2CF9AE}" pid="3" name="Creator">
    <vt:lpwstr>Adobe Acrobat (32-bit) 26.1.21529</vt:lpwstr>
  </property>
  <property fmtid="{D5CDD505-2E9C-101B-9397-08002B2CF9AE}" pid="4" name="LastSaved">
    <vt:filetime>2026-06-16T00:00:00Z</vt:filetime>
  </property>
  <property fmtid="{D5CDD505-2E9C-101B-9397-08002B2CF9AE}" pid="5" name="Producer">
    <vt:lpwstr>Adobe Acrobat (32-bit) 26.1.21529</vt:lpwstr>
  </property>
</Properties>
</file>